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F2FD5D" w14:textId="77777777" w:rsidR="00D42737" w:rsidRPr="00A21FBE" w:rsidRDefault="00D42737" w:rsidP="00D42737">
      <w:pPr>
        <w:spacing w:after="120" w:line="264" w:lineRule="auto"/>
        <w:jc w:val="center"/>
        <w:rPr>
          <w:rFonts w:asciiTheme="majorHAnsi" w:hAnsiTheme="majorHAnsi"/>
          <w:caps/>
          <w:sz w:val="28"/>
          <w:lang w:val="uk-UA"/>
        </w:rPr>
      </w:pPr>
      <w:r w:rsidRPr="00A21FBE">
        <w:rPr>
          <w:rFonts w:asciiTheme="majorHAnsi" w:hAnsiTheme="majorHAnsi"/>
          <w:caps/>
          <w:sz w:val="28"/>
          <w:lang w:val="uk-UA"/>
        </w:rPr>
        <w:t>Міністерство освіти і науки України</w:t>
      </w:r>
    </w:p>
    <w:p w14:paraId="2AEEB2C7" w14:textId="77777777" w:rsidR="00D42737" w:rsidRPr="00A21FBE" w:rsidRDefault="00D42737" w:rsidP="00D42737">
      <w:pPr>
        <w:spacing w:after="0" w:line="264" w:lineRule="auto"/>
        <w:jc w:val="center"/>
        <w:rPr>
          <w:rFonts w:asciiTheme="majorHAnsi" w:hAnsiTheme="majorHAnsi"/>
          <w:caps/>
          <w:sz w:val="28"/>
          <w:lang w:val="uk-UA"/>
        </w:rPr>
      </w:pPr>
      <w:r w:rsidRPr="00A21FBE">
        <w:rPr>
          <w:rFonts w:asciiTheme="majorHAnsi" w:hAnsiTheme="majorHAnsi"/>
          <w:caps/>
          <w:sz w:val="28"/>
          <w:lang w:val="uk-UA"/>
        </w:rPr>
        <w:t>Національний технічний університет України</w:t>
      </w:r>
      <w:r w:rsidRPr="00A21FBE">
        <w:rPr>
          <w:rFonts w:asciiTheme="majorHAnsi" w:hAnsiTheme="majorHAnsi"/>
          <w:caps/>
          <w:sz w:val="28"/>
          <w:lang w:val="uk-UA"/>
        </w:rPr>
        <w:br/>
        <w:t>«Київський політехнічний інститут</w:t>
      </w:r>
    </w:p>
    <w:p w14:paraId="224D358A" w14:textId="77777777" w:rsidR="00D42737" w:rsidRPr="00A21FBE" w:rsidRDefault="00D42737" w:rsidP="00D42737">
      <w:pPr>
        <w:spacing w:after="0" w:line="264" w:lineRule="auto"/>
        <w:jc w:val="center"/>
        <w:rPr>
          <w:rFonts w:asciiTheme="majorHAnsi" w:hAnsiTheme="majorHAnsi"/>
          <w:caps/>
          <w:sz w:val="28"/>
          <w:lang w:val="uk-UA"/>
        </w:rPr>
      </w:pPr>
      <w:r w:rsidRPr="00A21FBE">
        <w:rPr>
          <w:rFonts w:asciiTheme="majorHAnsi" w:hAnsiTheme="majorHAnsi"/>
          <w:sz w:val="28"/>
          <w:lang w:val="uk-UA"/>
        </w:rPr>
        <w:t>імені ІГОРЯ СІКОРСЬКОГО</w:t>
      </w:r>
      <w:r w:rsidRPr="00A21FBE">
        <w:rPr>
          <w:rFonts w:asciiTheme="majorHAnsi" w:hAnsiTheme="majorHAnsi"/>
          <w:caps/>
          <w:sz w:val="28"/>
          <w:lang w:val="uk-UA"/>
        </w:rPr>
        <w:t>»</w:t>
      </w:r>
    </w:p>
    <w:p w14:paraId="070BC049" w14:textId="77777777" w:rsidR="00D42737" w:rsidRDefault="00866912" w:rsidP="00D42737">
      <w:pPr>
        <w:spacing w:after="0" w:line="264" w:lineRule="auto"/>
        <w:rPr>
          <w:rFonts w:asciiTheme="majorHAnsi" w:hAnsiTheme="majorHAnsi"/>
          <w:sz w:val="26"/>
          <w:szCs w:val="26"/>
          <w:lang w:val="uk-UA"/>
        </w:rPr>
      </w:pPr>
      <w:r>
        <w:rPr>
          <w:rFonts w:asciiTheme="majorHAnsi" w:hAnsiTheme="majorHAnsi"/>
          <w:sz w:val="26"/>
          <w:szCs w:val="26"/>
          <w:lang w:val="uk-UA"/>
        </w:rPr>
        <w:t xml:space="preserve"> </w:t>
      </w:r>
    </w:p>
    <w:p w14:paraId="68DC5921" w14:textId="77777777" w:rsidR="0061201F" w:rsidRDefault="0061201F" w:rsidP="00D42737">
      <w:pPr>
        <w:spacing w:after="0" w:line="264" w:lineRule="auto"/>
        <w:rPr>
          <w:rFonts w:asciiTheme="majorHAnsi" w:hAnsiTheme="majorHAnsi"/>
          <w:sz w:val="26"/>
          <w:szCs w:val="26"/>
          <w:lang w:val="uk-UA"/>
        </w:rPr>
      </w:pPr>
    </w:p>
    <w:p w14:paraId="6854320F" w14:textId="77777777" w:rsidR="00F74133" w:rsidRPr="00A21FBE" w:rsidRDefault="00F74133" w:rsidP="00D42737">
      <w:pPr>
        <w:spacing w:after="0" w:line="264" w:lineRule="auto"/>
        <w:rPr>
          <w:rFonts w:asciiTheme="majorHAnsi" w:hAnsiTheme="majorHAnsi"/>
          <w:sz w:val="26"/>
          <w:szCs w:val="26"/>
          <w:lang w:val="uk-UA"/>
        </w:rPr>
      </w:pPr>
    </w:p>
    <w:p w14:paraId="011158F2" w14:textId="77777777" w:rsidR="00E84D58" w:rsidRPr="00A21FBE" w:rsidRDefault="00E84D58" w:rsidP="00D42737">
      <w:pPr>
        <w:spacing w:after="0" w:line="264" w:lineRule="auto"/>
        <w:rPr>
          <w:rFonts w:asciiTheme="majorHAnsi" w:hAnsiTheme="majorHAnsi"/>
          <w:sz w:val="26"/>
          <w:szCs w:val="26"/>
          <w:lang w:val="uk-UA"/>
        </w:rPr>
      </w:pPr>
    </w:p>
    <w:p w14:paraId="6D0B61E6" w14:textId="77777777" w:rsidR="00D42737" w:rsidRPr="000977F7" w:rsidRDefault="00D42737" w:rsidP="00D42737">
      <w:pPr>
        <w:spacing w:after="0" w:line="264" w:lineRule="auto"/>
        <w:rPr>
          <w:rFonts w:asciiTheme="majorHAnsi" w:hAnsiTheme="majorHAnsi"/>
          <w:sz w:val="26"/>
          <w:szCs w:val="26"/>
          <w:lang w:val="uk-UA"/>
        </w:rPr>
      </w:pPr>
    </w:p>
    <w:p w14:paraId="67512E3E" w14:textId="425F320E" w:rsidR="002E203C" w:rsidRPr="004D2D14" w:rsidRDefault="004D2D14" w:rsidP="002E203C">
      <w:pPr>
        <w:spacing w:after="0" w:line="264" w:lineRule="auto"/>
        <w:jc w:val="center"/>
        <w:rPr>
          <w:rFonts w:ascii="Cambria Math" w:hAnsi="Cambria Math"/>
          <w:b/>
          <w:caps/>
          <w:sz w:val="36"/>
          <w:szCs w:val="36"/>
          <w:lang w:val="uk-UA"/>
        </w:rPr>
      </w:pPr>
      <w:r w:rsidRPr="004D2D14">
        <w:rPr>
          <w:rFonts w:ascii="Cambria Math" w:hAnsi="Cambria Math"/>
          <w:b/>
          <w:sz w:val="36"/>
          <w:szCs w:val="36"/>
          <w:lang w:val="uk-UA"/>
        </w:rPr>
        <w:t>ОЦІНКА ВІДПОВІДНОСТІ ПРОДУКЦІЇ МАШИНОБУДУВАННЯ ТА СИСТЕМИ УПРАВЛІННЯ ЯКІСТЮ.  НОРМАТИВНА</w:t>
      </w:r>
      <w:r w:rsidRPr="004D2D14">
        <w:rPr>
          <w:rFonts w:ascii="Cambria Math" w:hAnsi="Cambria Math"/>
          <w:b/>
          <w:spacing w:val="-3"/>
          <w:sz w:val="36"/>
          <w:szCs w:val="36"/>
          <w:lang w:val="uk-UA"/>
        </w:rPr>
        <w:t xml:space="preserve"> </w:t>
      </w:r>
      <w:r w:rsidRPr="004D2D14">
        <w:rPr>
          <w:rFonts w:ascii="Cambria Math" w:hAnsi="Cambria Math"/>
          <w:b/>
          <w:sz w:val="36"/>
          <w:szCs w:val="36"/>
          <w:lang w:val="uk-UA"/>
        </w:rPr>
        <w:t>ТЕРМІНОЛОГІЯ</w:t>
      </w:r>
      <w:r w:rsidRPr="004D2D14">
        <w:rPr>
          <w:rFonts w:ascii="Cambria Math" w:hAnsi="Cambria Math"/>
          <w:b/>
          <w:sz w:val="36"/>
          <w:szCs w:val="36"/>
        </w:rPr>
        <w:t xml:space="preserve"> </w:t>
      </w:r>
      <w:r w:rsidRPr="004D2D14">
        <w:rPr>
          <w:rFonts w:ascii="Cambria Math" w:hAnsi="Cambria Math"/>
          <w:b/>
          <w:sz w:val="36"/>
          <w:szCs w:val="36"/>
          <w:lang w:val="uk-UA"/>
        </w:rPr>
        <w:t>ТА</w:t>
      </w:r>
      <w:r w:rsidRPr="004D2D14">
        <w:rPr>
          <w:rFonts w:ascii="Cambria Math" w:hAnsi="Cambria Math"/>
          <w:b/>
          <w:spacing w:val="-3"/>
          <w:sz w:val="36"/>
          <w:szCs w:val="36"/>
          <w:lang w:val="uk-UA"/>
        </w:rPr>
        <w:t xml:space="preserve"> </w:t>
      </w:r>
      <w:r w:rsidRPr="004D2D14">
        <w:rPr>
          <w:rFonts w:ascii="Cambria Math" w:hAnsi="Cambria Math"/>
          <w:b/>
          <w:sz w:val="36"/>
          <w:szCs w:val="36"/>
          <w:lang w:val="uk-UA"/>
        </w:rPr>
        <w:t xml:space="preserve">ВИЗНАЧЕННЯ </w:t>
      </w:r>
    </w:p>
    <w:p w14:paraId="3067F736" w14:textId="77777777" w:rsidR="00D42737" w:rsidRPr="004D2D14" w:rsidRDefault="00D42737" w:rsidP="00D42737">
      <w:pPr>
        <w:spacing w:after="0" w:line="264" w:lineRule="auto"/>
        <w:rPr>
          <w:rFonts w:asciiTheme="majorHAnsi" w:hAnsiTheme="majorHAnsi"/>
          <w:sz w:val="36"/>
          <w:szCs w:val="36"/>
          <w:lang w:val="uk-UA"/>
        </w:rPr>
      </w:pPr>
    </w:p>
    <w:p w14:paraId="1F83A1AB" w14:textId="77777777" w:rsidR="00197D47" w:rsidRDefault="00197D47" w:rsidP="00D42737">
      <w:pPr>
        <w:spacing w:after="0" w:line="264" w:lineRule="auto"/>
        <w:rPr>
          <w:rFonts w:asciiTheme="majorHAnsi" w:hAnsiTheme="majorHAnsi"/>
          <w:sz w:val="26"/>
          <w:szCs w:val="26"/>
          <w:lang w:val="uk-UA"/>
        </w:rPr>
      </w:pPr>
    </w:p>
    <w:p w14:paraId="17DDE8CD" w14:textId="77777777" w:rsidR="0061201F" w:rsidRPr="00A21FBE" w:rsidRDefault="0061201F" w:rsidP="00D42737">
      <w:pPr>
        <w:spacing w:after="0" w:line="264" w:lineRule="auto"/>
        <w:rPr>
          <w:rFonts w:asciiTheme="majorHAnsi" w:hAnsiTheme="majorHAnsi"/>
          <w:sz w:val="26"/>
          <w:szCs w:val="26"/>
          <w:lang w:val="uk-UA"/>
        </w:rPr>
      </w:pPr>
    </w:p>
    <w:p w14:paraId="3738C57C" w14:textId="77777777" w:rsidR="00D42737" w:rsidRPr="00AD62AB" w:rsidRDefault="00330A6C" w:rsidP="00330A6C">
      <w:pPr>
        <w:spacing w:after="0" w:line="264" w:lineRule="auto"/>
        <w:jc w:val="center"/>
        <w:rPr>
          <w:rFonts w:asciiTheme="majorHAnsi" w:hAnsiTheme="majorHAnsi"/>
          <w:b/>
          <w:sz w:val="28"/>
          <w:szCs w:val="26"/>
          <w:lang w:val="uk-UA"/>
        </w:rPr>
      </w:pPr>
      <w:r w:rsidRPr="00AD62AB">
        <w:rPr>
          <w:rFonts w:asciiTheme="majorHAnsi" w:hAnsiTheme="majorHAnsi"/>
          <w:b/>
          <w:sz w:val="28"/>
          <w:szCs w:val="26"/>
          <w:lang w:val="uk-UA"/>
        </w:rPr>
        <w:t>Навчальний посібник</w:t>
      </w:r>
    </w:p>
    <w:p w14:paraId="17FCE4B1" w14:textId="77777777" w:rsidR="00BD4EA6" w:rsidRPr="00AD62AB" w:rsidRDefault="00BD4EA6" w:rsidP="00D42737">
      <w:pPr>
        <w:spacing w:after="0" w:line="264" w:lineRule="auto"/>
        <w:rPr>
          <w:rFonts w:asciiTheme="majorHAnsi" w:hAnsiTheme="majorHAnsi"/>
          <w:sz w:val="26"/>
          <w:szCs w:val="26"/>
          <w:lang w:val="uk-UA"/>
        </w:rPr>
      </w:pPr>
    </w:p>
    <w:p w14:paraId="5BDE0815" w14:textId="77777777" w:rsidR="00F72A97" w:rsidRPr="00AD62AB" w:rsidRDefault="00F72A97" w:rsidP="00D42737">
      <w:pPr>
        <w:spacing w:after="0" w:line="264" w:lineRule="auto"/>
        <w:rPr>
          <w:rFonts w:asciiTheme="majorHAnsi" w:hAnsiTheme="majorHAnsi"/>
          <w:sz w:val="26"/>
          <w:szCs w:val="26"/>
          <w:lang w:val="uk-UA"/>
        </w:rPr>
      </w:pPr>
    </w:p>
    <w:p w14:paraId="45DDA0F3" w14:textId="7A72D38B" w:rsidR="00297070" w:rsidRPr="00AD62AB" w:rsidRDefault="00D42737" w:rsidP="00D42737">
      <w:pPr>
        <w:spacing w:after="0" w:line="264" w:lineRule="auto"/>
        <w:jc w:val="center"/>
        <w:rPr>
          <w:rFonts w:asciiTheme="majorHAnsi" w:hAnsiTheme="majorHAnsi"/>
          <w:sz w:val="24"/>
          <w:szCs w:val="26"/>
          <w:lang w:val="uk-UA"/>
        </w:rPr>
      </w:pPr>
      <w:r w:rsidRPr="00AD62AB">
        <w:rPr>
          <w:rFonts w:asciiTheme="majorHAnsi" w:hAnsiTheme="majorHAnsi"/>
          <w:sz w:val="24"/>
          <w:szCs w:val="26"/>
          <w:lang w:val="uk-UA"/>
        </w:rPr>
        <w:t xml:space="preserve">Рекомендовано </w:t>
      </w:r>
      <w:r w:rsidR="0036519F">
        <w:rPr>
          <w:rFonts w:asciiTheme="majorHAnsi" w:hAnsiTheme="majorHAnsi"/>
          <w:sz w:val="24"/>
          <w:szCs w:val="26"/>
          <w:lang w:val="uk-UA"/>
        </w:rPr>
        <w:t xml:space="preserve">Вченою радою </w:t>
      </w:r>
      <w:r w:rsidRPr="00AD62AB">
        <w:rPr>
          <w:rFonts w:asciiTheme="majorHAnsi" w:hAnsiTheme="majorHAnsi"/>
          <w:sz w:val="24"/>
          <w:szCs w:val="26"/>
          <w:lang w:val="uk-UA"/>
        </w:rPr>
        <w:t xml:space="preserve"> </w:t>
      </w:r>
      <w:r w:rsidR="0036519F" w:rsidRPr="0036519F">
        <w:rPr>
          <w:rFonts w:asciiTheme="majorHAnsi" w:hAnsiTheme="majorHAnsi"/>
          <w:sz w:val="24"/>
          <w:szCs w:val="26"/>
          <w:lang w:val="uk-UA"/>
        </w:rPr>
        <w:t>навчально-наукового механіко-машинобудівного інституту </w:t>
      </w:r>
      <w:r w:rsidRPr="00AD62AB">
        <w:rPr>
          <w:rFonts w:asciiTheme="majorHAnsi" w:hAnsiTheme="majorHAnsi"/>
          <w:sz w:val="24"/>
          <w:szCs w:val="26"/>
          <w:lang w:val="uk-UA"/>
        </w:rPr>
        <w:t>КПІ ім. Ігоря Сікорського</w:t>
      </w:r>
      <w:r w:rsidR="0036519F">
        <w:rPr>
          <w:rFonts w:asciiTheme="majorHAnsi" w:hAnsiTheme="majorHAnsi"/>
          <w:sz w:val="24"/>
          <w:szCs w:val="26"/>
          <w:lang w:val="uk-UA"/>
        </w:rPr>
        <w:t xml:space="preserve"> </w:t>
      </w:r>
      <w:r w:rsidR="0036519F" w:rsidRPr="0036519F">
        <w:rPr>
          <w:rFonts w:asciiTheme="majorHAnsi" w:hAnsiTheme="majorHAnsi"/>
          <w:sz w:val="24"/>
          <w:szCs w:val="26"/>
          <w:lang w:val="uk-UA"/>
        </w:rPr>
        <w:t>(протокол №9/2 від 25.04.2023 р.)</w:t>
      </w:r>
      <w:r w:rsidR="0036519F">
        <w:rPr>
          <w:rFonts w:asciiTheme="majorHAnsi" w:hAnsiTheme="majorHAnsi"/>
          <w:sz w:val="24"/>
          <w:szCs w:val="26"/>
          <w:lang w:val="uk-UA"/>
        </w:rPr>
        <w:t xml:space="preserve"> </w:t>
      </w:r>
      <w:r w:rsidRPr="00AD62AB">
        <w:rPr>
          <w:rFonts w:asciiTheme="majorHAnsi" w:hAnsiTheme="majorHAnsi"/>
          <w:sz w:val="24"/>
          <w:szCs w:val="26"/>
          <w:lang w:val="uk-UA"/>
        </w:rPr>
        <w:t xml:space="preserve"> </w:t>
      </w:r>
      <w:r w:rsidRPr="00AD62AB">
        <w:rPr>
          <w:rFonts w:asciiTheme="majorHAnsi" w:hAnsiTheme="majorHAnsi"/>
          <w:sz w:val="24"/>
          <w:szCs w:val="26"/>
          <w:lang w:val="uk-UA"/>
        </w:rPr>
        <w:br/>
        <w:t xml:space="preserve">як навчальний посібник для </w:t>
      </w:r>
      <w:bookmarkStart w:id="0" w:name="_Hlk127349689"/>
      <w:r w:rsidRPr="00AD62AB">
        <w:rPr>
          <w:rFonts w:asciiTheme="majorHAnsi" w:hAnsiTheme="majorHAnsi"/>
          <w:sz w:val="24"/>
          <w:szCs w:val="26"/>
          <w:lang w:val="uk-UA"/>
        </w:rPr>
        <w:t xml:space="preserve">здобувачів ступеня магістра </w:t>
      </w:r>
    </w:p>
    <w:p w14:paraId="6FE8E6CA" w14:textId="446FE58D" w:rsidR="00D42737" w:rsidRPr="00AD62AB" w:rsidRDefault="00297070" w:rsidP="00D42737">
      <w:pPr>
        <w:spacing w:after="0" w:line="264" w:lineRule="auto"/>
        <w:jc w:val="center"/>
        <w:rPr>
          <w:rFonts w:asciiTheme="majorHAnsi" w:hAnsiTheme="majorHAnsi"/>
          <w:sz w:val="24"/>
          <w:szCs w:val="26"/>
          <w:lang w:val="uk-UA"/>
        </w:rPr>
      </w:pPr>
      <w:r w:rsidRPr="00AD62AB">
        <w:rPr>
          <w:rFonts w:asciiTheme="majorHAnsi" w:hAnsiTheme="majorHAnsi"/>
          <w:sz w:val="24"/>
          <w:szCs w:val="26"/>
          <w:lang w:val="uk-UA"/>
        </w:rPr>
        <w:t xml:space="preserve"> </w:t>
      </w:r>
      <w:bookmarkEnd w:id="0"/>
      <w:r w:rsidRPr="00AD62AB">
        <w:rPr>
          <w:rFonts w:asciiTheme="majorHAnsi" w:hAnsiTheme="majorHAnsi"/>
          <w:sz w:val="24"/>
          <w:szCs w:val="26"/>
          <w:lang w:val="uk-UA"/>
        </w:rPr>
        <w:t xml:space="preserve">за </w:t>
      </w:r>
      <w:r w:rsidR="00AD62AB" w:rsidRPr="00AD62AB">
        <w:rPr>
          <w:rFonts w:asciiTheme="majorHAnsi" w:hAnsiTheme="majorHAnsi"/>
          <w:sz w:val="24"/>
          <w:szCs w:val="26"/>
          <w:lang w:val="uk-UA"/>
        </w:rPr>
        <w:t>технічн</w:t>
      </w:r>
      <w:r w:rsidR="0036519F">
        <w:rPr>
          <w:rFonts w:asciiTheme="majorHAnsi" w:hAnsiTheme="majorHAnsi"/>
          <w:sz w:val="24"/>
          <w:szCs w:val="26"/>
          <w:lang w:val="uk-UA"/>
        </w:rPr>
        <w:t>ими</w:t>
      </w:r>
      <w:r w:rsidR="00AD62AB" w:rsidRPr="00AD62AB">
        <w:rPr>
          <w:rFonts w:asciiTheme="majorHAnsi" w:hAnsiTheme="majorHAnsi"/>
          <w:sz w:val="24"/>
          <w:szCs w:val="26"/>
          <w:lang w:val="uk-UA"/>
        </w:rPr>
        <w:t xml:space="preserve"> спеціальностями</w:t>
      </w:r>
    </w:p>
    <w:p w14:paraId="54EAD96E" w14:textId="77777777" w:rsidR="00BD4EA6" w:rsidRPr="00AD62AB" w:rsidRDefault="00BD4EA6" w:rsidP="00BD4EA6">
      <w:pPr>
        <w:spacing w:after="0" w:line="264" w:lineRule="auto"/>
        <w:jc w:val="center"/>
        <w:rPr>
          <w:rFonts w:asciiTheme="majorHAnsi" w:hAnsiTheme="majorHAnsi"/>
          <w:sz w:val="26"/>
          <w:szCs w:val="26"/>
          <w:lang w:val="uk-UA"/>
        </w:rPr>
      </w:pPr>
    </w:p>
    <w:p w14:paraId="7E242D0F" w14:textId="77777777" w:rsidR="00297070" w:rsidRPr="00AD62AB" w:rsidRDefault="00297070" w:rsidP="00BD4EA6">
      <w:pPr>
        <w:spacing w:after="0" w:line="264" w:lineRule="auto"/>
        <w:jc w:val="center"/>
        <w:rPr>
          <w:rFonts w:asciiTheme="majorHAnsi" w:hAnsiTheme="majorHAnsi"/>
          <w:sz w:val="26"/>
          <w:szCs w:val="26"/>
          <w:lang w:val="uk-UA"/>
        </w:rPr>
      </w:pPr>
    </w:p>
    <w:p w14:paraId="44F95987" w14:textId="45307505" w:rsidR="00297070" w:rsidRPr="00AD62AB" w:rsidRDefault="00297070" w:rsidP="00297070">
      <w:pPr>
        <w:spacing w:after="0" w:line="264" w:lineRule="auto"/>
        <w:jc w:val="center"/>
        <w:rPr>
          <w:rFonts w:asciiTheme="majorHAnsi" w:hAnsiTheme="majorHAnsi"/>
          <w:bCs/>
          <w:sz w:val="36"/>
          <w:szCs w:val="36"/>
          <w:lang w:val="uk-UA"/>
        </w:rPr>
      </w:pPr>
      <w:r w:rsidRPr="00AD62AB">
        <w:rPr>
          <w:rFonts w:ascii="Times New Roman" w:hAnsi="Times New Roman"/>
          <w:sz w:val="28"/>
          <w:szCs w:val="26"/>
          <w:lang w:val="uk-UA"/>
        </w:rPr>
        <w:t>Укладачі:</w:t>
      </w:r>
      <w:r w:rsidR="0036519F">
        <w:rPr>
          <w:rFonts w:ascii="Times New Roman" w:hAnsi="Times New Roman"/>
          <w:sz w:val="28"/>
          <w:szCs w:val="26"/>
          <w:lang w:val="uk-UA"/>
        </w:rPr>
        <w:t xml:space="preserve"> </w:t>
      </w:r>
      <w:r w:rsidRPr="00AD62AB">
        <w:rPr>
          <w:rFonts w:ascii="Times New Roman" w:hAnsi="Times New Roman"/>
          <w:sz w:val="28"/>
          <w:szCs w:val="26"/>
          <w:lang w:val="uk-UA"/>
        </w:rPr>
        <w:t>В.М. Шишкін, А.М. Лоза, А.С. Ромашко</w:t>
      </w:r>
    </w:p>
    <w:p w14:paraId="50A42927" w14:textId="77777777" w:rsidR="00BD4EA6" w:rsidRPr="00AD62AB" w:rsidRDefault="00BD4EA6" w:rsidP="00BD4EA6">
      <w:pPr>
        <w:spacing w:after="0" w:line="264" w:lineRule="auto"/>
        <w:jc w:val="center"/>
        <w:rPr>
          <w:rFonts w:asciiTheme="majorHAnsi" w:hAnsiTheme="majorHAnsi"/>
          <w:sz w:val="26"/>
          <w:szCs w:val="26"/>
          <w:lang w:val="uk-UA"/>
        </w:rPr>
      </w:pPr>
    </w:p>
    <w:p w14:paraId="44CB8EFD" w14:textId="42D8F3FE" w:rsidR="00FD1D67" w:rsidRPr="00A21FBE" w:rsidRDefault="00FD1D67" w:rsidP="00721FB4">
      <w:pPr>
        <w:spacing w:after="0" w:line="240" w:lineRule="auto"/>
        <w:jc w:val="center"/>
        <w:rPr>
          <w:rFonts w:asciiTheme="majorHAnsi" w:hAnsiTheme="majorHAnsi"/>
          <w:spacing w:val="20"/>
          <w:lang w:val="uk-UA"/>
        </w:rPr>
      </w:pPr>
      <w:r w:rsidRPr="00AD62AB">
        <w:rPr>
          <w:rFonts w:asciiTheme="majorHAnsi" w:hAnsiTheme="majorHAnsi"/>
          <w:spacing w:val="20"/>
          <w:lang w:val="uk-UA"/>
        </w:rPr>
        <w:t>Електронне мережне навчальне видання</w:t>
      </w:r>
    </w:p>
    <w:p w14:paraId="5039673C" w14:textId="77777777" w:rsidR="00D42737" w:rsidRPr="00A21FBE" w:rsidRDefault="00D42737" w:rsidP="00923499">
      <w:pPr>
        <w:spacing w:after="0" w:line="240" w:lineRule="auto"/>
        <w:rPr>
          <w:rFonts w:asciiTheme="majorHAnsi" w:hAnsiTheme="majorHAnsi"/>
          <w:sz w:val="26"/>
          <w:szCs w:val="26"/>
          <w:lang w:val="uk-UA"/>
        </w:rPr>
      </w:pPr>
    </w:p>
    <w:p w14:paraId="453A5525" w14:textId="77777777" w:rsidR="00330A6C" w:rsidRDefault="00330A6C" w:rsidP="00A022C6">
      <w:pPr>
        <w:spacing w:after="0" w:line="264" w:lineRule="auto"/>
        <w:rPr>
          <w:rFonts w:asciiTheme="majorHAnsi" w:hAnsiTheme="majorHAnsi"/>
          <w:sz w:val="26"/>
          <w:szCs w:val="26"/>
          <w:lang w:val="uk-UA"/>
        </w:rPr>
      </w:pPr>
    </w:p>
    <w:p w14:paraId="69E138F1" w14:textId="77777777" w:rsidR="0061201F" w:rsidRDefault="0061201F" w:rsidP="00A022C6">
      <w:pPr>
        <w:spacing w:after="0" w:line="264" w:lineRule="auto"/>
        <w:rPr>
          <w:rFonts w:asciiTheme="majorHAnsi" w:hAnsiTheme="majorHAnsi"/>
          <w:sz w:val="26"/>
          <w:szCs w:val="26"/>
          <w:lang w:val="uk-UA"/>
        </w:rPr>
      </w:pPr>
    </w:p>
    <w:p w14:paraId="005260DA" w14:textId="77777777" w:rsidR="0061201F" w:rsidRDefault="0061201F" w:rsidP="00A022C6">
      <w:pPr>
        <w:spacing w:after="0" w:line="264" w:lineRule="auto"/>
        <w:rPr>
          <w:rFonts w:asciiTheme="majorHAnsi" w:hAnsiTheme="majorHAnsi"/>
          <w:sz w:val="26"/>
          <w:szCs w:val="26"/>
          <w:lang w:val="uk-UA"/>
        </w:rPr>
      </w:pPr>
    </w:p>
    <w:p w14:paraId="568B994B" w14:textId="77777777" w:rsidR="00AD62AB" w:rsidRDefault="00AD62AB" w:rsidP="00A022C6">
      <w:pPr>
        <w:spacing w:after="0" w:line="264" w:lineRule="auto"/>
        <w:rPr>
          <w:rFonts w:asciiTheme="majorHAnsi" w:hAnsiTheme="majorHAnsi"/>
          <w:sz w:val="26"/>
          <w:szCs w:val="26"/>
          <w:lang w:val="uk-UA"/>
        </w:rPr>
      </w:pPr>
    </w:p>
    <w:p w14:paraId="4484A5DE" w14:textId="77777777" w:rsidR="00AD62AB" w:rsidRDefault="00AD62AB" w:rsidP="00A022C6">
      <w:pPr>
        <w:spacing w:after="0" w:line="264" w:lineRule="auto"/>
        <w:rPr>
          <w:rFonts w:asciiTheme="majorHAnsi" w:hAnsiTheme="majorHAnsi"/>
          <w:sz w:val="26"/>
          <w:szCs w:val="26"/>
          <w:lang w:val="uk-UA"/>
        </w:rPr>
      </w:pPr>
    </w:p>
    <w:p w14:paraId="2FDC0466" w14:textId="77777777" w:rsidR="00AD62AB" w:rsidRDefault="00AD62AB" w:rsidP="00A022C6">
      <w:pPr>
        <w:spacing w:after="0" w:line="264" w:lineRule="auto"/>
        <w:rPr>
          <w:rFonts w:asciiTheme="majorHAnsi" w:hAnsiTheme="majorHAnsi"/>
          <w:sz w:val="26"/>
          <w:szCs w:val="26"/>
          <w:lang w:val="uk-UA"/>
        </w:rPr>
      </w:pPr>
    </w:p>
    <w:p w14:paraId="26A19339" w14:textId="77777777" w:rsidR="00AD62AB" w:rsidRDefault="00AD62AB" w:rsidP="00A022C6">
      <w:pPr>
        <w:spacing w:after="0" w:line="264" w:lineRule="auto"/>
        <w:rPr>
          <w:rFonts w:asciiTheme="majorHAnsi" w:hAnsiTheme="majorHAnsi"/>
          <w:sz w:val="26"/>
          <w:szCs w:val="26"/>
          <w:lang w:val="uk-UA"/>
        </w:rPr>
      </w:pPr>
    </w:p>
    <w:p w14:paraId="1F99C734" w14:textId="77777777" w:rsidR="00AD62AB" w:rsidRPr="00A21FBE" w:rsidRDefault="00AD62AB" w:rsidP="00A022C6">
      <w:pPr>
        <w:spacing w:after="0" w:line="264" w:lineRule="auto"/>
        <w:rPr>
          <w:rFonts w:asciiTheme="majorHAnsi" w:hAnsiTheme="majorHAnsi"/>
          <w:sz w:val="26"/>
          <w:szCs w:val="26"/>
          <w:lang w:val="uk-UA"/>
        </w:rPr>
      </w:pPr>
    </w:p>
    <w:p w14:paraId="735A42DD" w14:textId="77777777" w:rsidR="00D42737" w:rsidRPr="00A21FBE" w:rsidRDefault="00D42737" w:rsidP="00D42737">
      <w:pPr>
        <w:spacing w:after="0" w:line="264" w:lineRule="auto"/>
        <w:jc w:val="center"/>
        <w:rPr>
          <w:rFonts w:asciiTheme="majorHAnsi" w:hAnsiTheme="majorHAnsi"/>
          <w:sz w:val="28"/>
          <w:lang w:val="uk-UA"/>
        </w:rPr>
      </w:pPr>
      <w:r w:rsidRPr="00A21FBE">
        <w:rPr>
          <w:rFonts w:asciiTheme="majorHAnsi" w:hAnsiTheme="majorHAnsi"/>
          <w:sz w:val="28"/>
          <w:lang w:val="uk-UA"/>
        </w:rPr>
        <w:t>Київ</w:t>
      </w:r>
    </w:p>
    <w:p w14:paraId="68C416EA" w14:textId="77777777" w:rsidR="00D42737" w:rsidRPr="00A21FBE" w:rsidRDefault="00D42737" w:rsidP="00D42737">
      <w:pPr>
        <w:spacing w:after="0" w:line="264" w:lineRule="auto"/>
        <w:jc w:val="center"/>
        <w:rPr>
          <w:rFonts w:asciiTheme="majorHAnsi" w:hAnsiTheme="majorHAnsi"/>
          <w:sz w:val="28"/>
          <w:lang w:val="uk-UA"/>
        </w:rPr>
      </w:pPr>
      <w:r w:rsidRPr="00A21FBE">
        <w:rPr>
          <w:rFonts w:asciiTheme="majorHAnsi" w:hAnsiTheme="majorHAnsi"/>
          <w:sz w:val="28"/>
          <w:lang w:val="uk-UA"/>
        </w:rPr>
        <w:t>КПІ ім. Ігоря Сікорського</w:t>
      </w:r>
    </w:p>
    <w:p w14:paraId="45AFF62F" w14:textId="77777777" w:rsidR="002E203C" w:rsidRPr="00A21FBE" w:rsidRDefault="00D42737" w:rsidP="00B61CC8">
      <w:pPr>
        <w:spacing w:after="0" w:line="264" w:lineRule="auto"/>
        <w:jc w:val="center"/>
        <w:rPr>
          <w:rFonts w:asciiTheme="majorHAnsi" w:hAnsiTheme="majorHAnsi"/>
          <w:sz w:val="28"/>
          <w:lang w:val="uk-UA"/>
        </w:rPr>
        <w:sectPr w:rsidR="002E203C" w:rsidRPr="00A21FBE" w:rsidSect="002E203C">
          <w:footerReference w:type="default" r:id="rId8"/>
          <w:pgSz w:w="11906" w:h="16838"/>
          <w:pgMar w:top="1134" w:right="851" w:bottom="1134" w:left="1418" w:header="709" w:footer="709" w:gutter="0"/>
          <w:pgNumType w:start="1"/>
          <w:cols w:space="708"/>
          <w:docGrid w:linePitch="360"/>
        </w:sectPr>
      </w:pPr>
      <w:r w:rsidRPr="00A21FBE">
        <w:rPr>
          <w:rFonts w:asciiTheme="majorHAnsi" w:hAnsiTheme="majorHAnsi"/>
          <w:sz w:val="28"/>
          <w:lang w:val="uk-UA"/>
        </w:rPr>
        <w:t>20</w:t>
      </w:r>
      <w:r w:rsidR="00E84D58" w:rsidRPr="00A21FBE">
        <w:rPr>
          <w:rFonts w:asciiTheme="majorHAnsi" w:hAnsiTheme="majorHAnsi"/>
          <w:sz w:val="28"/>
          <w:lang w:val="uk-UA"/>
        </w:rPr>
        <w:t>23</w:t>
      </w:r>
    </w:p>
    <w:p w14:paraId="0A84477D" w14:textId="77777777" w:rsidR="00B61CC8" w:rsidRPr="00A21FBE" w:rsidRDefault="00B61CC8" w:rsidP="00B61CC8">
      <w:pPr>
        <w:spacing w:after="0" w:line="264" w:lineRule="auto"/>
        <w:jc w:val="center"/>
        <w:rPr>
          <w:rFonts w:asciiTheme="majorHAnsi" w:hAnsiTheme="majorHAnsi"/>
          <w:sz w:val="24"/>
          <w:szCs w:val="28"/>
          <w:lang w:val="uk-UA"/>
        </w:rPr>
      </w:pPr>
    </w:p>
    <w:p w14:paraId="605BC7EF" w14:textId="77777777" w:rsidR="00B50800" w:rsidRPr="00A21FBE" w:rsidRDefault="00B50800" w:rsidP="0035526F">
      <w:pPr>
        <w:tabs>
          <w:tab w:val="left" w:pos="2410"/>
        </w:tabs>
        <w:spacing w:after="0" w:line="240" w:lineRule="auto"/>
        <w:ind w:left="2410" w:right="-2" w:hanging="2410"/>
        <w:rPr>
          <w:rFonts w:asciiTheme="majorHAnsi" w:hAnsiTheme="majorHAnsi"/>
          <w:sz w:val="24"/>
          <w:szCs w:val="28"/>
          <w:lang w:val="uk-UA"/>
        </w:rPr>
      </w:pPr>
    </w:p>
    <w:p w14:paraId="3C11F2D1" w14:textId="747BC1FF" w:rsidR="00B014B0" w:rsidRPr="00506C44" w:rsidRDefault="00B014B0" w:rsidP="0035526F">
      <w:pPr>
        <w:tabs>
          <w:tab w:val="left" w:pos="2410"/>
        </w:tabs>
        <w:spacing w:after="0" w:line="240" w:lineRule="auto"/>
        <w:ind w:left="2410" w:right="-2" w:hanging="2410"/>
        <w:rPr>
          <w:rFonts w:asciiTheme="majorHAnsi" w:hAnsiTheme="majorHAnsi"/>
          <w:sz w:val="24"/>
          <w:szCs w:val="28"/>
          <w:lang w:val="uk-UA"/>
        </w:rPr>
      </w:pPr>
      <w:r w:rsidRPr="00A21FBE">
        <w:rPr>
          <w:rFonts w:asciiTheme="majorHAnsi" w:hAnsiTheme="majorHAnsi"/>
          <w:sz w:val="24"/>
          <w:szCs w:val="28"/>
          <w:lang w:val="uk-UA"/>
        </w:rPr>
        <w:t>Рецензент</w:t>
      </w:r>
      <w:r w:rsidRPr="00A21FBE">
        <w:rPr>
          <w:rFonts w:asciiTheme="majorHAnsi" w:hAnsiTheme="majorHAnsi"/>
          <w:sz w:val="24"/>
          <w:szCs w:val="28"/>
          <w:lang w:val="uk-UA"/>
        </w:rPr>
        <w:tab/>
      </w:r>
      <w:r w:rsidR="0036519F" w:rsidRPr="00763835">
        <w:rPr>
          <w:rFonts w:asciiTheme="majorHAnsi" w:hAnsiTheme="majorHAnsi"/>
          <w:i/>
          <w:sz w:val="24"/>
          <w:szCs w:val="28"/>
          <w:lang w:val="uk-UA"/>
        </w:rPr>
        <w:t xml:space="preserve">Холявік О.В., </w:t>
      </w:r>
      <w:r w:rsidR="0036519F" w:rsidRPr="00763835">
        <w:rPr>
          <w:rFonts w:asciiTheme="majorHAnsi" w:hAnsiTheme="majorHAnsi"/>
          <w:iCs/>
          <w:sz w:val="24"/>
          <w:szCs w:val="28"/>
          <w:lang w:val="uk-UA"/>
        </w:rPr>
        <w:t>к.т.н.,</w:t>
      </w:r>
      <w:r w:rsidR="0036519F" w:rsidRPr="00763835">
        <w:rPr>
          <w:rFonts w:asciiTheme="majorHAnsi" w:hAnsiTheme="majorHAnsi"/>
          <w:sz w:val="24"/>
          <w:szCs w:val="28"/>
          <w:lang w:val="uk-UA"/>
        </w:rPr>
        <w:t xml:space="preserve"> доцент КПІ ім. Ігоря Сікорського</w:t>
      </w:r>
    </w:p>
    <w:p w14:paraId="179D1159" w14:textId="77777777" w:rsidR="00B014B0" w:rsidRDefault="00B014B0" w:rsidP="0035526F">
      <w:pPr>
        <w:tabs>
          <w:tab w:val="left" w:pos="2107"/>
        </w:tabs>
        <w:spacing w:after="0" w:line="240" w:lineRule="auto"/>
        <w:ind w:left="2127" w:right="-2" w:hanging="2410"/>
        <w:rPr>
          <w:rFonts w:asciiTheme="majorHAnsi" w:hAnsiTheme="majorHAnsi"/>
          <w:sz w:val="24"/>
          <w:szCs w:val="28"/>
          <w:lang w:val="uk-UA"/>
        </w:rPr>
      </w:pPr>
    </w:p>
    <w:p w14:paraId="3F5320F8" w14:textId="77777777" w:rsidR="00AD62AB" w:rsidRPr="00A21FBE" w:rsidRDefault="00AD62AB" w:rsidP="0035526F">
      <w:pPr>
        <w:tabs>
          <w:tab w:val="left" w:pos="2107"/>
        </w:tabs>
        <w:spacing w:after="0" w:line="240" w:lineRule="auto"/>
        <w:ind w:left="2127" w:right="-2" w:hanging="2410"/>
        <w:rPr>
          <w:rFonts w:asciiTheme="majorHAnsi" w:hAnsiTheme="majorHAnsi"/>
          <w:sz w:val="24"/>
          <w:szCs w:val="28"/>
          <w:lang w:val="uk-UA"/>
        </w:rPr>
      </w:pPr>
    </w:p>
    <w:p w14:paraId="7FAF3980" w14:textId="77777777" w:rsidR="00B014B0" w:rsidRPr="00506C44" w:rsidRDefault="00B014B0" w:rsidP="0035526F">
      <w:pPr>
        <w:tabs>
          <w:tab w:val="left" w:pos="2410"/>
        </w:tabs>
        <w:spacing w:after="0" w:line="240" w:lineRule="auto"/>
        <w:ind w:right="-2"/>
        <w:rPr>
          <w:rFonts w:asciiTheme="majorHAnsi" w:hAnsiTheme="majorHAnsi"/>
          <w:sz w:val="24"/>
          <w:szCs w:val="28"/>
          <w:lang w:val="uk-UA"/>
        </w:rPr>
      </w:pPr>
      <w:r w:rsidRPr="00A21FBE">
        <w:rPr>
          <w:rFonts w:asciiTheme="majorHAnsi" w:hAnsiTheme="majorHAnsi"/>
          <w:sz w:val="24"/>
          <w:szCs w:val="28"/>
          <w:lang w:val="uk-UA"/>
        </w:rPr>
        <w:t xml:space="preserve">Відповідальний </w:t>
      </w:r>
      <w:r w:rsidRPr="00A21FBE">
        <w:rPr>
          <w:rFonts w:asciiTheme="majorHAnsi" w:hAnsiTheme="majorHAnsi"/>
          <w:sz w:val="24"/>
          <w:szCs w:val="28"/>
          <w:lang w:val="uk-UA"/>
        </w:rPr>
        <w:br/>
        <w:t>редактор</w:t>
      </w:r>
      <w:r w:rsidRPr="00A21FBE">
        <w:rPr>
          <w:rFonts w:asciiTheme="majorHAnsi" w:hAnsiTheme="majorHAnsi"/>
          <w:sz w:val="24"/>
          <w:szCs w:val="28"/>
          <w:lang w:val="uk-UA"/>
        </w:rPr>
        <w:tab/>
      </w:r>
      <w:r w:rsidR="00B36B19" w:rsidRPr="00506C44">
        <w:rPr>
          <w:rFonts w:asciiTheme="majorHAnsi" w:hAnsiTheme="majorHAnsi"/>
          <w:i/>
          <w:sz w:val="24"/>
          <w:szCs w:val="28"/>
          <w:lang w:val="uk-UA"/>
        </w:rPr>
        <w:t>Адаменко Ю.І.</w:t>
      </w:r>
      <w:r w:rsidRPr="00506C44">
        <w:rPr>
          <w:rFonts w:asciiTheme="majorHAnsi" w:hAnsiTheme="majorHAnsi"/>
          <w:sz w:val="24"/>
          <w:szCs w:val="28"/>
          <w:lang w:val="uk-UA"/>
        </w:rPr>
        <w:t xml:space="preserve">, </w:t>
      </w:r>
      <w:r w:rsidR="00506C44" w:rsidRPr="00506C44">
        <w:rPr>
          <w:rFonts w:asciiTheme="majorHAnsi" w:hAnsiTheme="majorHAnsi"/>
          <w:sz w:val="24"/>
          <w:szCs w:val="28"/>
          <w:lang w:val="uk-UA"/>
        </w:rPr>
        <w:t>к.т.н., доцент</w:t>
      </w:r>
    </w:p>
    <w:p w14:paraId="003DF038" w14:textId="77777777" w:rsidR="00ED1246" w:rsidRPr="00A21FBE" w:rsidRDefault="00ED1246" w:rsidP="0035526F">
      <w:pPr>
        <w:spacing w:after="0" w:line="240" w:lineRule="auto"/>
        <w:ind w:right="-2"/>
        <w:rPr>
          <w:rFonts w:asciiTheme="majorHAnsi" w:hAnsiTheme="majorHAnsi"/>
          <w:sz w:val="28"/>
          <w:szCs w:val="28"/>
          <w:lang w:val="uk-UA"/>
        </w:rPr>
      </w:pPr>
    </w:p>
    <w:p w14:paraId="63354C9D" w14:textId="77777777" w:rsidR="00B014B0" w:rsidRDefault="00B014B0" w:rsidP="0035526F">
      <w:pPr>
        <w:spacing w:after="0" w:line="240" w:lineRule="auto"/>
        <w:ind w:right="-2"/>
        <w:rPr>
          <w:rFonts w:asciiTheme="majorHAnsi" w:hAnsiTheme="majorHAnsi"/>
          <w:sz w:val="28"/>
          <w:szCs w:val="28"/>
          <w:lang w:val="uk-UA"/>
        </w:rPr>
      </w:pPr>
    </w:p>
    <w:p w14:paraId="7324B29E" w14:textId="77777777" w:rsidR="00AD62AB" w:rsidRDefault="00AD62AB" w:rsidP="0035526F">
      <w:pPr>
        <w:spacing w:after="0" w:line="240" w:lineRule="auto"/>
        <w:ind w:right="-2"/>
        <w:rPr>
          <w:rFonts w:asciiTheme="majorHAnsi" w:hAnsiTheme="majorHAnsi"/>
          <w:sz w:val="28"/>
          <w:szCs w:val="28"/>
          <w:lang w:val="uk-UA"/>
        </w:rPr>
      </w:pPr>
    </w:p>
    <w:p w14:paraId="61E54025" w14:textId="77777777" w:rsidR="00AD62AB" w:rsidRDefault="00AD62AB" w:rsidP="0035526F">
      <w:pPr>
        <w:spacing w:after="0" w:line="240" w:lineRule="auto"/>
        <w:ind w:right="-2"/>
        <w:rPr>
          <w:rFonts w:asciiTheme="majorHAnsi" w:hAnsiTheme="majorHAnsi"/>
          <w:sz w:val="28"/>
          <w:szCs w:val="28"/>
          <w:lang w:val="uk-UA"/>
        </w:rPr>
      </w:pPr>
    </w:p>
    <w:p w14:paraId="32DAC93F" w14:textId="77777777" w:rsidR="00AD62AB" w:rsidRPr="00A21FBE" w:rsidRDefault="00AD62AB" w:rsidP="0035526F">
      <w:pPr>
        <w:spacing w:after="0" w:line="240" w:lineRule="auto"/>
        <w:ind w:right="-2"/>
        <w:rPr>
          <w:rFonts w:asciiTheme="majorHAnsi" w:hAnsiTheme="majorHAnsi"/>
          <w:sz w:val="28"/>
          <w:szCs w:val="28"/>
          <w:lang w:val="uk-UA"/>
        </w:rPr>
      </w:pPr>
    </w:p>
    <w:p w14:paraId="0EC90CB0" w14:textId="106C996B" w:rsidR="00B014B0" w:rsidRPr="00A21FBE" w:rsidRDefault="00B014B0" w:rsidP="0035526F">
      <w:pPr>
        <w:spacing w:after="0" w:line="240" w:lineRule="auto"/>
        <w:ind w:right="-2"/>
        <w:jc w:val="center"/>
        <w:rPr>
          <w:rFonts w:asciiTheme="majorHAnsi" w:hAnsiTheme="majorHAnsi"/>
          <w:i/>
          <w:szCs w:val="28"/>
          <w:lang w:val="uk-UA"/>
        </w:rPr>
      </w:pPr>
      <w:r w:rsidRPr="00A21FBE">
        <w:rPr>
          <w:rFonts w:asciiTheme="majorHAnsi" w:hAnsiTheme="majorHAnsi"/>
          <w:i/>
          <w:szCs w:val="28"/>
          <w:lang w:val="uk-UA"/>
        </w:rPr>
        <w:t xml:space="preserve">за поданням Вченої ради </w:t>
      </w:r>
      <w:r w:rsidRPr="0036519F">
        <w:rPr>
          <w:rFonts w:asciiTheme="majorHAnsi" w:hAnsiTheme="majorHAnsi"/>
          <w:i/>
          <w:szCs w:val="28"/>
          <w:lang w:val="uk-UA"/>
        </w:rPr>
        <w:t>навчально-наукового інституту</w:t>
      </w:r>
      <w:r w:rsidRPr="00A21FBE">
        <w:rPr>
          <w:rFonts w:asciiTheme="majorHAnsi" w:hAnsiTheme="majorHAnsi"/>
          <w:i/>
          <w:szCs w:val="28"/>
          <w:lang w:val="uk-UA"/>
        </w:rPr>
        <w:t xml:space="preserve"> </w:t>
      </w:r>
      <w:r w:rsidR="0036519F" w:rsidRPr="0036519F">
        <w:rPr>
          <w:rFonts w:asciiTheme="majorHAnsi" w:hAnsiTheme="majorHAnsi"/>
          <w:i/>
          <w:szCs w:val="28"/>
          <w:lang w:val="uk-UA"/>
        </w:rPr>
        <w:t>механіко-машинобудівного інституту</w:t>
      </w:r>
      <w:r w:rsidRPr="0036519F">
        <w:rPr>
          <w:rFonts w:asciiTheme="majorHAnsi" w:hAnsiTheme="majorHAnsi"/>
          <w:i/>
          <w:szCs w:val="28"/>
          <w:lang w:val="uk-UA"/>
        </w:rPr>
        <w:br/>
      </w:r>
      <w:r w:rsidRPr="00A21FBE">
        <w:rPr>
          <w:rFonts w:asciiTheme="majorHAnsi" w:hAnsiTheme="majorHAnsi"/>
          <w:i/>
          <w:szCs w:val="28"/>
          <w:lang w:val="uk-UA"/>
        </w:rPr>
        <w:t xml:space="preserve">(протокол № </w:t>
      </w:r>
      <w:r w:rsidR="0036519F" w:rsidRPr="0036519F">
        <w:rPr>
          <w:rFonts w:asciiTheme="majorHAnsi" w:hAnsiTheme="majorHAnsi"/>
          <w:i/>
          <w:szCs w:val="28"/>
          <w:lang w:val="uk-UA"/>
        </w:rPr>
        <w:t>№9/2 від 25.04.2023 р.</w:t>
      </w:r>
      <w:r w:rsidRPr="00A21FBE">
        <w:rPr>
          <w:rFonts w:asciiTheme="majorHAnsi" w:hAnsiTheme="majorHAnsi"/>
          <w:i/>
          <w:szCs w:val="28"/>
          <w:lang w:val="uk-UA"/>
        </w:rPr>
        <w:t>)</w:t>
      </w:r>
    </w:p>
    <w:p w14:paraId="51F88225" w14:textId="77777777" w:rsidR="00C52101" w:rsidRPr="0036519F" w:rsidRDefault="00C52101" w:rsidP="0035526F">
      <w:pPr>
        <w:spacing w:after="0" w:line="240" w:lineRule="auto"/>
        <w:ind w:right="-2"/>
        <w:rPr>
          <w:rFonts w:asciiTheme="majorHAnsi" w:hAnsiTheme="majorHAnsi"/>
          <w:i/>
          <w:szCs w:val="28"/>
          <w:lang w:val="uk-UA"/>
        </w:rPr>
      </w:pPr>
    </w:p>
    <w:p w14:paraId="0E674EC1" w14:textId="77777777" w:rsidR="00AD62AB" w:rsidRDefault="00AD62AB" w:rsidP="0035526F">
      <w:pPr>
        <w:spacing w:after="0" w:line="240" w:lineRule="auto"/>
        <w:ind w:right="-2"/>
        <w:rPr>
          <w:rFonts w:asciiTheme="majorHAnsi" w:hAnsiTheme="majorHAnsi"/>
          <w:sz w:val="28"/>
          <w:szCs w:val="28"/>
          <w:lang w:val="uk-UA"/>
        </w:rPr>
      </w:pPr>
    </w:p>
    <w:p w14:paraId="2C4505ED" w14:textId="77777777" w:rsidR="00AD62AB" w:rsidRPr="00A21FBE" w:rsidRDefault="00AD62AB" w:rsidP="0035526F">
      <w:pPr>
        <w:spacing w:after="0" w:line="240" w:lineRule="auto"/>
        <w:ind w:right="-2"/>
        <w:rPr>
          <w:rFonts w:asciiTheme="majorHAnsi" w:hAnsiTheme="majorHAnsi"/>
          <w:sz w:val="28"/>
          <w:szCs w:val="28"/>
          <w:lang w:val="uk-UA"/>
        </w:rPr>
      </w:pPr>
    </w:p>
    <w:p w14:paraId="555DF694" w14:textId="169E7C17" w:rsidR="00F66324" w:rsidRPr="00F66324" w:rsidRDefault="00297070" w:rsidP="00F66324">
      <w:pPr>
        <w:spacing w:after="0" w:line="240" w:lineRule="auto"/>
        <w:ind w:left="440" w:right="358" w:firstLine="566"/>
        <w:jc w:val="both"/>
        <w:rPr>
          <w:sz w:val="24"/>
          <w:szCs w:val="24"/>
          <w:lang w:val="uk-UA"/>
        </w:rPr>
      </w:pPr>
      <w:r>
        <w:rPr>
          <w:sz w:val="24"/>
          <w:szCs w:val="24"/>
          <w:lang w:val="uk-UA"/>
        </w:rPr>
        <w:t xml:space="preserve">Навчальний посібник </w:t>
      </w:r>
      <w:r w:rsidR="00F66324" w:rsidRPr="00F66324">
        <w:rPr>
          <w:sz w:val="24"/>
          <w:szCs w:val="24"/>
          <w:lang w:val="uk-UA"/>
        </w:rPr>
        <w:t>містить стандартизовану та рекомендовану термінологію та визначення основних понять в галузі оцінки відповідності та керування якістю, сертифікації та випробувань, встановлених державними стандартами України, стандартами міжнародної організації з стандартизації (</w:t>
      </w:r>
      <w:r w:rsidR="00F66324" w:rsidRPr="00F66324">
        <w:rPr>
          <w:sz w:val="24"/>
          <w:szCs w:val="24"/>
        </w:rPr>
        <w:t>ISO</w:t>
      </w:r>
      <w:r w:rsidR="00F66324" w:rsidRPr="00F66324">
        <w:rPr>
          <w:sz w:val="24"/>
          <w:szCs w:val="24"/>
          <w:lang w:val="uk-UA"/>
        </w:rPr>
        <w:t>), Міжнародної електротехнічної комісії</w:t>
      </w:r>
      <w:r w:rsidR="00F66324" w:rsidRPr="00F66324">
        <w:rPr>
          <w:spacing w:val="1"/>
          <w:sz w:val="24"/>
          <w:szCs w:val="24"/>
          <w:lang w:val="uk-UA"/>
        </w:rPr>
        <w:t xml:space="preserve"> </w:t>
      </w:r>
      <w:r w:rsidR="00F66324" w:rsidRPr="00F66324">
        <w:rPr>
          <w:sz w:val="24"/>
          <w:szCs w:val="24"/>
          <w:lang w:val="uk-UA"/>
        </w:rPr>
        <w:t>(МЕК).</w:t>
      </w:r>
    </w:p>
    <w:p w14:paraId="034016F2" w14:textId="3316882F" w:rsidR="00297070" w:rsidRPr="00297070" w:rsidRDefault="00297070" w:rsidP="00297070">
      <w:pPr>
        <w:spacing w:after="0" w:line="240" w:lineRule="auto"/>
        <w:ind w:left="440" w:right="358" w:firstLine="566"/>
        <w:jc w:val="both"/>
        <w:rPr>
          <w:sz w:val="24"/>
          <w:szCs w:val="24"/>
          <w:lang w:val="uk-UA"/>
        </w:rPr>
      </w:pPr>
      <w:r>
        <w:rPr>
          <w:sz w:val="24"/>
          <w:szCs w:val="24"/>
          <w:lang w:val="uk-UA"/>
        </w:rPr>
        <w:t xml:space="preserve">Навчальний посібник призначений для здобувачів </w:t>
      </w:r>
      <w:r w:rsidRPr="00297070">
        <w:rPr>
          <w:sz w:val="24"/>
          <w:szCs w:val="24"/>
          <w:lang w:val="uk-UA"/>
        </w:rPr>
        <w:t xml:space="preserve">ступеня магістра  за освітніми програмами </w:t>
      </w:r>
      <w:r w:rsidR="00AD62AB">
        <w:rPr>
          <w:sz w:val="24"/>
          <w:szCs w:val="24"/>
          <w:lang w:val="uk-UA"/>
        </w:rPr>
        <w:t>за технічними спеціальностями.</w:t>
      </w:r>
    </w:p>
    <w:p w14:paraId="10C97185" w14:textId="5E5AC114" w:rsidR="00F66324" w:rsidRPr="00F66324" w:rsidRDefault="00297070" w:rsidP="00F66324">
      <w:pPr>
        <w:spacing w:after="0" w:line="240" w:lineRule="auto"/>
        <w:ind w:left="440" w:right="358" w:firstLine="566"/>
        <w:jc w:val="both"/>
        <w:rPr>
          <w:sz w:val="24"/>
          <w:szCs w:val="24"/>
          <w:lang w:val="uk-UA"/>
        </w:rPr>
      </w:pPr>
      <w:r>
        <w:rPr>
          <w:sz w:val="24"/>
          <w:szCs w:val="24"/>
          <w:lang w:val="uk-UA"/>
        </w:rPr>
        <w:t>Може бути корисним д</w:t>
      </w:r>
      <w:r w:rsidR="00F66324" w:rsidRPr="00F66324">
        <w:rPr>
          <w:sz w:val="24"/>
          <w:szCs w:val="24"/>
          <w:lang w:val="uk-UA"/>
        </w:rPr>
        <w:t xml:space="preserve">ля </w:t>
      </w:r>
      <w:r>
        <w:rPr>
          <w:sz w:val="24"/>
          <w:szCs w:val="24"/>
          <w:lang w:val="uk-UA"/>
        </w:rPr>
        <w:t xml:space="preserve">здобувачів </w:t>
      </w:r>
      <w:r w:rsidR="00F66324" w:rsidRPr="00F66324">
        <w:rPr>
          <w:sz w:val="24"/>
          <w:szCs w:val="24"/>
          <w:lang w:val="uk-UA"/>
        </w:rPr>
        <w:t>та аспірантів технічних і економічних спеціальностей</w:t>
      </w:r>
      <w:r>
        <w:rPr>
          <w:sz w:val="24"/>
          <w:szCs w:val="24"/>
          <w:lang w:val="uk-UA"/>
        </w:rPr>
        <w:t xml:space="preserve">, зокрема, фахівцям </w:t>
      </w:r>
      <w:r w:rsidR="00F66324" w:rsidRPr="00F66324">
        <w:rPr>
          <w:sz w:val="24"/>
          <w:szCs w:val="24"/>
          <w:lang w:val="uk-UA"/>
        </w:rPr>
        <w:t xml:space="preserve">в галузі проектування, постановки на серійне виробництво продукції, оцінки її відповідності, сертифікації, випробувань та </w:t>
      </w:r>
      <w:r>
        <w:rPr>
          <w:sz w:val="24"/>
          <w:szCs w:val="24"/>
          <w:lang w:val="uk-UA"/>
        </w:rPr>
        <w:t>фахівцям з систем управління</w:t>
      </w:r>
      <w:r w:rsidR="00F66324" w:rsidRPr="00F66324">
        <w:rPr>
          <w:spacing w:val="1"/>
          <w:sz w:val="24"/>
          <w:szCs w:val="24"/>
          <w:lang w:val="uk-UA"/>
        </w:rPr>
        <w:t xml:space="preserve"> </w:t>
      </w:r>
      <w:r w:rsidR="00F66324" w:rsidRPr="00F66324">
        <w:rPr>
          <w:sz w:val="24"/>
          <w:szCs w:val="24"/>
          <w:lang w:val="uk-UA"/>
        </w:rPr>
        <w:t>якістю.</w:t>
      </w:r>
    </w:p>
    <w:p w14:paraId="45A5A6D9" w14:textId="2E74E410" w:rsidR="005D1AF8" w:rsidRPr="00F66324" w:rsidRDefault="005D1AF8" w:rsidP="00F66324">
      <w:pPr>
        <w:spacing w:after="0" w:line="240" w:lineRule="auto"/>
        <w:ind w:firstLine="567"/>
        <w:jc w:val="both"/>
        <w:rPr>
          <w:rFonts w:asciiTheme="majorHAnsi" w:hAnsiTheme="majorHAnsi"/>
          <w:sz w:val="24"/>
          <w:szCs w:val="24"/>
          <w:lang w:val="uk-UA"/>
        </w:rPr>
      </w:pPr>
    </w:p>
    <w:p w14:paraId="7EFEB1C3" w14:textId="77777777" w:rsidR="00B014B0" w:rsidRPr="00A21FBE" w:rsidRDefault="00B014B0" w:rsidP="0035526F">
      <w:pPr>
        <w:spacing w:after="0" w:line="240" w:lineRule="auto"/>
        <w:ind w:right="-2"/>
        <w:rPr>
          <w:rFonts w:asciiTheme="majorHAnsi" w:hAnsiTheme="majorHAnsi"/>
          <w:sz w:val="28"/>
          <w:szCs w:val="28"/>
          <w:lang w:val="uk-UA"/>
        </w:rPr>
      </w:pPr>
    </w:p>
    <w:p w14:paraId="0BF68B5E" w14:textId="77777777" w:rsidR="00314238" w:rsidRDefault="00314238" w:rsidP="00314238">
      <w:pPr>
        <w:spacing w:after="0" w:line="240" w:lineRule="auto"/>
        <w:ind w:right="-2"/>
        <w:rPr>
          <w:rFonts w:asciiTheme="majorHAnsi" w:hAnsiTheme="majorHAnsi"/>
          <w:sz w:val="28"/>
          <w:szCs w:val="28"/>
          <w:lang w:val="uk-UA"/>
        </w:rPr>
      </w:pPr>
    </w:p>
    <w:p w14:paraId="0C4D3CA4" w14:textId="77777777" w:rsidR="00F145CD" w:rsidRPr="00A21FBE" w:rsidRDefault="00F145CD" w:rsidP="00314238">
      <w:pPr>
        <w:spacing w:after="0" w:line="240" w:lineRule="auto"/>
        <w:ind w:right="-2"/>
        <w:rPr>
          <w:rFonts w:asciiTheme="majorHAnsi" w:hAnsiTheme="majorHAnsi"/>
          <w:sz w:val="28"/>
          <w:szCs w:val="28"/>
          <w:lang w:val="uk-UA"/>
        </w:rPr>
      </w:pPr>
    </w:p>
    <w:p w14:paraId="78890728" w14:textId="77777777" w:rsidR="00314238" w:rsidRDefault="00314238" w:rsidP="0035526F">
      <w:pPr>
        <w:spacing w:after="0" w:line="240" w:lineRule="auto"/>
        <w:ind w:left="284" w:right="-2"/>
        <w:jc w:val="center"/>
        <w:rPr>
          <w:rFonts w:asciiTheme="majorHAnsi" w:hAnsiTheme="majorHAnsi"/>
          <w:sz w:val="20"/>
          <w:lang w:val="uk-UA"/>
        </w:rPr>
      </w:pPr>
    </w:p>
    <w:p w14:paraId="3C091DDE" w14:textId="77777777" w:rsidR="00AD62AB" w:rsidRDefault="00AD62AB" w:rsidP="0035526F">
      <w:pPr>
        <w:spacing w:after="0" w:line="240" w:lineRule="auto"/>
        <w:ind w:left="284" w:right="-2"/>
        <w:jc w:val="center"/>
        <w:rPr>
          <w:rFonts w:asciiTheme="majorHAnsi" w:hAnsiTheme="majorHAnsi"/>
          <w:sz w:val="20"/>
          <w:lang w:val="uk-UA"/>
        </w:rPr>
      </w:pPr>
    </w:p>
    <w:p w14:paraId="6F011755" w14:textId="77777777" w:rsidR="00AD62AB" w:rsidRDefault="00AD62AB" w:rsidP="0035526F">
      <w:pPr>
        <w:spacing w:after="0" w:line="240" w:lineRule="auto"/>
        <w:ind w:left="284" w:right="-2"/>
        <w:jc w:val="center"/>
        <w:rPr>
          <w:rFonts w:asciiTheme="majorHAnsi" w:hAnsiTheme="majorHAnsi"/>
          <w:sz w:val="20"/>
          <w:lang w:val="uk-UA"/>
        </w:rPr>
      </w:pPr>
    </w:p>
    <w:p w14:paraId="0B56A430" w14:textId="77777777" w:rsidR="0036519F" w:rsidRDefault="0036519F" w:rsidP="0035526F">
      <w:pPr>
        <w:spacing w:after="0" w:line="240" w:lineRule="auto"/>
        <w:ind w:left="284" w:right="-2"/>
        <w:jc w:val="center"/>
        <w:rPr>
          <w:rFonts w:asciiTheme="majorHAnsi" w:hAnsiTheme="majorHAnsi"/>
          <w:sz w:val="20"/>
          <w:lang w:val="uk-UA"/>
        </w:rPr>
      </w:pPr>
    </w:p>
    <w:p w14:paraId="15E57B9D" w14:textId="77777777" w:rsidR="0036519F" w:rsidRDefault="0036519F" w:rsidP="0035526F">
      <w:pPr>
        <w:spacing w:after="0" w:line="240" w:lineRule="auto"/>
        <w:ind w:left="284" w:right="-2"/>
        <w:jc w:val="center"/>
        <w:rPr>
          <w:rFonts w:asciiTheme="majorHAnsi" w:hAnsiTheme="majorHAnsi"/>
          <w:sz w:val="20"/>
          <w:lang w:val="uk-UA"/>
        </w:rPr>
      </w:pPr>
    </w:p>
    <w:p w14:paraId="1FC3F607" w14:textId="77777777" w:rsidR="0036519F" w:rsidRDefault="0036519F" w:rsidP="0035526F">
      <w:pPr>
        <w:spacing w:after="0" w:line="240" w:lineRule="auto"/>
        <w:ind w:left="284" w:right="-2"/>
        <w:jc w:val="center"/>
        <w:rPr>
          <w:rFonts w:asciiTheme="majorHAnsi" w:hAnsiTheme="majorHAnsi"/>
          <w:sz w:val="20"/>
          <w:lang w:val="uk-UA"/>
        </w:rPr>
      </w:pPr>
    </w:p>
    <w:p w14:paraId="3BC222AA" w14:textId="77777777" w:rsidR="0036519F" w:rsidRDefault="0036519F" w:rsidP="0035526F">
      <w:pPr>
        <w:spacing w:after="0" w:line="240" w:lineRule="auto"/>
        <w:ind w:left="284" w:right="-2"/>
        <w:jc w:val="center"/>
        <w:rPr>
          <w:rFonts w:asciiTheme="majorHAnsi" w:hAnsiTheme="majorHAnsi"/>
          <w:sz w:val="20"/>
          <w:lang w:val="uk-UA"/>
        </w:rPr>
      </w:pPr>
    </w:p>
    <w:p w14:paraId="21B8AF79" w14:textId="77777777" w:rsidR="0036519F" w:rsidRDefault="0036519F" w:rsidP="0035526F">
      <w:pPr>
        <w:spacing w:after="0" w:line="240" w:lineRule="auto"/>
        <w:ind w:left="284" w:right="-2"/>
        <w:jc w:val="center"/>
        <w:rPr>
          <w:rFonts w:asciiTheme="majorHAnsi" w:hAnsiTheme="majorHAnsi"/>
          <w:sz w:val="20"/>
          <w:lang w:val="uk-UA"/>
        </w:rPr>
      </w:pPr>
    </w:p>
    <w:p w14:paraId="17E9079A" w14:textId="77777777" w:rsidR="00AD62AB" w:rsidRDefault="00AD62AB" w:rsidP="0035526F">
      <w:pPr>
        <w:spacing w:after="0" w:line="240" w:lineRule="auto"/>
        <w:ind w:left="284" w:right="-2"/>
        <w:jc w:val="center"/>
        <w:rPr>
          <w:rFonts w:asciiTheme="majorHAnsi" w:hAnsiTheme="majorHAnsi"/>
          <w:sz w:val="20"/>
          <w:lang w:val="uk-UA"/>
        </w:rPr>
      </w:pPr>
    </w:p>
    <w:p w14:paraId="61D54BD3" w14:textId="77777777" w:rsidR="00AD62AB" w:rsidRDefault="00AD62AB" w:rsidP="0035526F">
      <w:pPr>
        <w:spacing w:after="0" w:line="240" w:lineRule="auto"/>
        <w:ind w:left="284" w:right="-2"/>
        <w:jc w:val="center"/>
        <w:rPr>
          <w:rFonts w:asciiTheme="majorHAnsi" w:hAnsiTheme="majorHAnsi"/>
          <w:sz w:val="20"/>
          <w:lang w:val="uk-UA"/>
        </w:rPr>
      </w:pPr>
    </w:p>
    <w:p w14:paraId="4ECAD649" w14:textId="77777777" w:rsidR="00AD62AB" w:rsidRDefault="00AD62AB" w:rsidP="0035526F">
      <w:pPr>
        <w:spacing w:after="0" w:line="240" w:lineRule="auto"/>
        <w:ind w:left="284" w:right="-2"/>
        <w:jc w:val="center"/>
        <w:rPr>
          <w:rFonts w:asciiTheme="majorHAnsi" w:hAnsiTheme="majorHAnsi"/>
          <w:sz w:val="20"/>
          <w:lang w:val="uk-UA"/>
        </w:rPr>
      </w:pPr>
    </w:p>
    <w:p w14:paraId="30491475" w14:textId="77777777" w:rsidR="00AD62AB" w:rsidRDefault="00AD62AB" w:rsidP="0035526F">
      <w:pPr>
        <w:spacing w:after="0" w:line="240" w:lineRule="auto"/>
        <w:ind w:left="284" w:right="-2"/>
        <w:jc w:val="center"/>
        <w:rPr>
          <w:rFonts w:asciiTheme="majorHAnsi" w:hAnsiTheme="majorHAnsi"/>
          <w:sz w:val="20"/>
          <w:lang w:val="uk-UA"/>
        </w:rPr>
      </w:pPr>
    </w:p>
    <w:p w14:paraId="7EA29C4D" w14:textId="77777777" w:rsidR="00AD62AB" w:rsidRPr="00A21FBE" w:rsidRDefault="00AD62AB" w:rsidP="0035526F">
      <w:pPr>
        <w:spacing w:after="0" w:line="240" w:lineRule="auto"/>
        <w:ind w:left="284" w:right="-2"/>
        <w:jc w:val="center"/>
        <w:rPr>
          <w:rFonts w:asciiTheme="majorHAnsi" w:hAnsiTheme="majorHAnsi"/>
          <w:sz w:val="28"/>
          <w:szCs w:val="26"/>
          <w:lang w:val="uk-UA"/>
        </w:rPr>
      </w:pPr>
    </w:p>
    <w:p w14:paraId="3BE485D6" w14:textId="77777777" w:rsidR="002613FE" w:rsidRPr="00A21FBE" w:rsidRDefault="00B014B0" w:rsidP="0035526F">
      <w:pPr>
        <w:spacing w:after="0" w:line="240" w:lineRule="auto"/>
        <w:ind w:left="284" w:right="-2"/>
        <w:jc w:val="right"/>
        <w:rPr>
          <w:rFonts w:asciiTheme="majorHAnsi" w:hAnsiTheme="majorHAnsi"/>
          <w:sz w:val="24"/>
          <w:szCs w:val="26"/>
          <w:lang w:val="uk-UA"/>
        </w:rPr>
      </w:pPr>
      <w:r w:rsidRPr="00A21FBE">
        <w:rPr>
          <w:rFonts w:asciiTheme="majorHAnsi" w:hAnsiTheme="majorHAnsi"/>
          <w:sz w:val="24"/>
          <w:szCs w:val="26"/>
          <w:lang w:val="uk-UA"/>
        </w:rPr>
        <w:sym w:font="Symbol" w:char="F0E3"/>
      </w:r>
      <w:r w:rsidRPr="00A21FBE">
        <w:rPr>
          <w:rFonts w:asciiTheme="majorHAnsi" w:hAnsiTheme="majorHAnsi"/>
          <w:sz w:val="24"/>
          <w:szCs w:val="26"/>
          <w:lang w:val="uk-UA"/>
        </w:rPr>
        <w:t xml:space="preserve"> КПІ ім. Ігоря Сікорського, 20</w:t>
      </w:r>
      <w:r w:rsidR="00E84D58" w:rsidRPr="00A21FBE">
        <w:rPr>
          <w:rFonts w:asciiTheme="majorHAnsi" w:hAnsiTheme="majorHAnsi"/>
          <w:sz w:val="24"/>
          <w:szCs w:val="26"/>
          <w:lang w:val="uk-UA"/>
        </w:rPr>
        <w:t>23</w:t>
      </w:r>
    </w:p>
    <w:p w14:paraId="48EF49C5" w14:textId="77777777" w:rsidR="00D547B1" w:rsidRPr="00A21FBE" w:rsidRDefault="00D547B1" w:rsidP="004E4467">
      <w:pPr>
        <w:spacing w:after="0" w:line="240" w:lineRule="auto"/>
        <w:ind w:left="284" w:right="-2"/>
        <w:jc w:val="center"/>
        <w:rPr>
          <w:rFonts w:asciiTheme="majorHAnsi" w:hAnsiTheme="majorHAnsi"/>
          <w:sz w:val="24"/>
          <w:szCs w:val="26"/>
          <w:lang w:val="uk-UA"/>
        </w:rPr>
        <w:sectPr w:rsidR="00D547B1" w:rsidRPr="00A21FBE" w:rsidSect="002E203C">
          <w:pgSz w:w="11906" w:h="16838"/>
          <w:pgMar w:top="1134" w:right="851" w:bottom="1134" w:left="1418" w:header="709" w:footer="709" w:gutter="0"/>
          <w:pgNumType w:start="2"/>
          <w:cols w:space="708"/>
          <w:docGrid w:linePitch="360"/>
        </w:sectPr>
      </w:pPr>
    </w:p>
    <w:p w14:paraId="1EEDDB0B" w14:textId="77777777" w:rsidR="004E4467" w:rsidRPr="004B3D60" w:rsidRDefault="004E4467" w:rsidP="007D4E23">
      <w:pPr>
        <w:spacing w:after="720"/>
        <w:jc w:val="center"/>
        <w:rPr>
          <w:rFonts w:ascii="Cambria" w:hAnsi="Cambria"/>
          <w:b/>
          <w:sz w:val="28"/>
          <w:szCs w:val="28"/>
        </w:rPr>
      </w:pPr>
      <w:r>
        <w:rPr>
          <w:rFonts w:ascii="Cambria" w:hAnsi="Cambria"/>
          <w:b/>
          <w:sz w:val="28"/>
          <w:szCs w:val="28"/>
          <w:lang w:val="uk-UA"/>
        </w:rPr>
        <w:lastRenderedPageBreak/>
        <w:t>ЗМІСТ</w:t>
      </w:r>
    </w:p>
    <w:p w14:paraId="509CE2F4" w14:textId="77777777" w:rsidR="00871491" w:rsidRPr="00152FAA" w:rsidRDefault="00077E20" w:rsidP="00871491">
      <w:pPr>
        <w:pStyle w:val="13"/>
        <w:spacing w:before="0" w:after="0"/>
        <w:rPr>
          <w:u w:val="single"/>
        </w:rPr>
      </w:pPr>
      <w:r w:rsidRPr="00152FAA">
        <w:rPr>
          <w:rFonts w:ascii="Cambria" w:hAnsi="Cambria"/>
          <w:u w:val="single"/>
          <w:lang w:val="en-US"/>
        </w:rPr>
        <w:fldChar w:fldCharType="begin"/>
      </w:r>
      <w:r w:rsidRPr="00152FAA">
        <w:rPr>
          <w:rFonts w:ascii="Cambria" w:hAnsi="Cambria"/>
          <w:u w:val="single"/>
        </w:rPr>
        <w:instrText xml:space="preserve"> </w:instrText>
      </w:r>
      <w:r w:rsidRPr="00152FAA">
        <w:rPr>
          <w:rFonts w:ascii="Cambria" w:hAnsi="Cambria"/>
          <w:u w:val="single"/>
          <w:lang w:val="en-US"/>
        </w:rPr>
        <w:instrText>TOC</w:instrText>
      </w:r>
      <w:r w:rsidRPr="00152FAA">
        <w:rPr>
          <w:rFonts w:ascii="Cambria" w:hAnsi="Cambria"/>
          <w:u w:val="single"/>
        </w:rPr>
        <w:instrText xml:space="preserve"> \</w:instrText>
      </w:r>
      <w:r w:rsidRPr="00152FAA">
        <w:rPr>
          <w:rFonts w:ascii="Cambria" w:hAnsi="Cambria"/>
          <w:u w:val="single"/>
          <w:lang w:val="en-US"/>
        </w:rPr>
        <w:instrText>o</w:instrText>
      </w:r>
      <w:r w:rsidRPr="00152FAA">
        <w:rPr>
          <w:rFonts w:ascii="Cambria" w:hAnsi="Cambria"/>
          <w:u w:val="single"/>
        </w:rPr>
        <w:instrText xml:space="preserve"> "1-4" \</w:instrText>
      </w:r>
      <w:r w:rsidRPr="00152FAA">
        <w:rPr>
          <w:rFonts w:ascii="Cambria" w:hAnsi="Cambria"/>
          <w:u w:val="single"/>
          <w:lang w:val="en-US"/>
        </w:rPr>
        <w:instrText>u</w:instrText>
      </w:r>
      <w:r w:rsidRPr="00152FAA">
        <w:rPr>
          <w:rFonts w:ascii="Cambria" w:hAnsi="Cambria"/>
          <w:u w:val="single"/>
        </w:rPr>
        <w:instrText xml:space="preserve"> </w:instrText>
      </w:r>
      <w:r w:rsidRPr="00152FAA">
        <w:rPr>
          <w:rFonts w:ascii="Cambria" w:hAnsi="Cambria"/>
          <w:u w:val="single"/>
          <w:lang w:val="en-US"/>
        </w:rPr>
        <w:fldChar w:fldCharType="separate"/>
      </w:r>
      <w:r w:rsidR="00871491" w:rsidRPr="00152FAA">
        <w:rPr>
          <w:u w:val="single"/>
        </w:rPr>
        <w:t>ВСТУП</w:t>
      </w:r>
      <w:r w:rsidR="00871491" w:rsidRPr="00152FAA">
        <w:rPr>
          <w:u w:val="single"/>
        </w:rPr>
        <w:tab/>
      </w:r>
      <w:r w:rsidR="00871491" w:rsidRPr="00152FAA">
        <w:rPr>
          <w:u w:val="single"/>
        </w:rPr>
        <w:fldChar w:fldCharType="begin"/>
      </w:r>
      <w:r w:rsidR="00871491" w:rsidRPr="00152FAA">
        <w:rPr>
          <w:u w:val="single"/>
        </w:rPr>
        <w:instrText xml:space="preserve"> PAGEREF _Toc132629618 \h </w:instrText>
      </w:r>
      <w:r w:rsidR="00871491" w:rsidRPr="00152FAA">
        <w:rPr>
          <w:u w:val="single"/>
        </w:rPr>
      </w:r>
      <w:r w:rsidR="00871491" w:rsidRPr="00152FAA">
        <w:rPr>
          <w:u w:val="single"/>
        </w:rPr>
        <w:fldChar w:fldCharType="separate"/>
      </w:r>
      <w:r w:rsidR="00871491" w:rsidRPr="00152FAA">
        <w:rPr>
          <w:u w:val="single"/>
        </w:rPr>
        <w:t>5</w:t>
      </w:r>
      <w:r w:rsidR="00871491" w:rsidRPr="00152FAA">
        <w:rPr>
          <w:u w:val="single"/>
        </w:rPr>
        <w:fldChar w:fldCharType="end"/>
      </w:r>
    </w:p>
    <w:p w14:paraId="2DBB8D8C" w14:textId="215C4E2A" w:rsidR="00871491" w:rsidRPr="00152FAA" w:rsidRDefault="00871491" w:rsidP="00871491">
      <w:pPr>
        <w:pStyle w:val="13"/>
        <w:spacing w:before="0" w:after="0"/>
        <w:rPr>
          <w:u w:val="single"/>
        </w:rPr>
      </w:pPr>
      <w:r w:rsidRPr="00152FAA">
        <w:rPr>
          <w:u w:val="single"/>
        </w:rPr>
        <w:t>А</w:t>
      </w:r>
      <w:r w:rsidRPr="00152FAA">
        <w:rPr>
          <w:u w:val="single"/>
        </w:rPr>
        <w:tab/>
      </w:r>
      <w:r w:rsidRPr="00152FAA">
        <w:rPr>
          <w:u w:val="single"/>
        </w:rPr>
        <w:tab/>
      </w:r>
      <w:r w:rsidRPr="00152FAA">
        <w:rPr>
          <w:u w:val="single"/>
        </w:rPr>
        <w:fldChar w:fldCharType="begin"/>
      </w:r>
      <w:r w:rsidRPr="00152FAA">
        <w:rPr>
          <w:u w:val="single"/>
        </w:rPr>
        <w:instrText xml:space="preserve"> PAGEREF _Toc132629619 \h </w:instrText>
      </w:r>
      <w:r w:rsidRPr="00152FAA">
        <w:rPr>
          <w:u w:val="single"/>
        </w:rPr>
      </w:r>
      <w:r w:rsidRPr="00152FAA">
        <w:rPr>
          <w:u w:val="single"/>
        </w:rPr>
        <w:fldChar w:fldCharType="separate"/>
      </w:r>
      <w:r w:rsidRPr="00152FAA">
        <w:rPr>
          <w:u w:val="single"/>
        </w:rPr>
        <w:t>6</w:t>
      </w:r>
      <w:r w:rsidRPr="00152FAA">
        <w:rPr>
          <w:u w:val="single"/>
        </w:rPr>
        <w:fldChar w:fldCharType="end"/>
      </w:r>
    </w:p>
    <w:p w14:paraId="5F9EBFC3" w14:textId="6D2F70AE" w:rsidR="00871491" w:rsidRPr="00152FAA" w:rsidRDefault="00871491" w:rsidP="00871491">
      <w:pPr>
        <w:pStyle w:val="13"/>
        <w:spacing w:before="0" w:after="0"/>
        <w:rPr>
          <w:u w:val="single"/>
        </w:rPr>
      </w:pPr>
      <w:r w:rsidRPr="00152FAA">
        <w:rPr>
          <w:u w:val="single"/>
        </w:rPr>
        <w:t>Б</w:t>
      </w:r>
      <w:r w:rsidRPr="00152FAA">
        <w:rPr>
          <w:u w:val="single"/>
        </w:rPr>
        <w:tab/>
      </w:r>
      <w:r w:rsidRPr="00152FAA">
        <w:rPr>
          <w:u w:val="single"/>
        </w:rPr>
        <w:tab/>
      </w:r>
      <w:r w:rsidRPr="00152FAA">
        <w:rPr>
          <w:u w:val="single"/>
        </w:rPr>
        <w:fldChar w:fldCharType="begin"/>
      </w:r>
      <w:r w:rsidRPr="00152FAA">
        <w:rPr>
          <w:u w:val="single"/>
        </w:rPr>
        <w:instrText xml:space="preserve"> PAGEREF _Toc132629623 \h </w:instrText>
      </w:r>
      <w:r w:rsidRPr="00152FAA">
        <w:rPr>
          <w:u w:val="single"/>
        </w:rPr>
      </w:r>
      <w:r w:rsidRPr="00152FAA">
        <w:rPr>
          <w:u w:val="single"/>
        </w:rPr>
        <w:fldChar w:fldCharType="separate"/>
      </w:r>
      <w:r w:rsidRPr="00152FAA">
        <w:rPr>
          <w:u w:val="single"/>
        </w:rPr>
        <w:t>15</w:t>
      </w:r>
      <w:r w:rsidRPr="00152FAA">
        <w:rPr>
          <w:u w:val="single"/>
        </w:rPr>
        <w:fldChar w:fldCharType="end"/>
      </w:r>
    </w:p>
    <w:p w14:paraId="682F8E8E" w14:textId="5002B1BB" w:rsidR="00871491" w:rsidRPr="00152FAA" w:rsidRDefault="00871491" w:rsidP="00871491">
      <w:pPr>
        <w:pStyle w:val="13"/>
        <w:spacing w:before="0" w:after="0"/>
        <w:rPr>
          <w:u w:val="single"/>
        </w:rPr>
      </w:pPr>
      <w:r w:rsidRPr="00152FAA">
        <w:rPr>
          <w:u w:val="single"/>
        </w:rPr>
        <w:t>В</w:t>
      </w:r>
      <w:r w:rsidRPr="00152FAA">
        <w:rPr>
          <w:u w:val="single"/>
        </w:rPr>
        <w:tab/>
      </w:r>
      <w:r w:rsidRPr="00152FAA">
        <w:rPr>
          <w:u w:val="single"/>
        </w:rPr>
        <w:tab/>
      </w:r>
      <w:r w:rsidRPr="00152FAA">
        <w:rPr>
          <w:u w:val="single"/>
        </w:rPr>
        <w:fldChar w:fldCharType="begin"/>
      </w:r>
      <w:r w:rsidRPr="00152FAA">
        <w:rPr>
          <w:u w:val="single"/>
        </w:rPr>
        <w:instrText xml:space="preserve"> PAGEREF _Toc132629624 \h </w:instrText>
      </w:r>
      <w:r w:rsidRPr="00152FAA">
        <w:rPr>
          <w:u w:val="single"/>
        </w:rPr>
      </w:r>
      <w:r w:rsidRPr="00152FAA">
        <w:rPr>
          <w:u w:val="single"/>
        </w:rPr>
        <w:fldChar w:fldCharType="separate"/>
      </w:r>
      <w:r w:rsidRPr="00152FAA">
        <w:rPr>
          <w:u w:val="single"/>
        </w:rPr>
        <w:t>19</w:t>
      </w:r>
      <w:r w:rsidRPr="00152FAA">
        <w:rPr>
          <w:u w:val="single"/>
        </w:rPr>
        <w:fldChar w:fldCharType="end"/>
      </w:r>
    </w:p>
    <w:p w14:paraId="037CBAF3" w14:textId="126929C7" w:rsidR="00871491" w:rsidRPr="00152FAA" w:rsidRDefault="00871491" w:rsidP="00871491">
      <w:pPr>
        <w:pStyle w:val="13"/>
        <w:spacing w:before="0" w:after="0"/>
        <w:rPr>
          <w:u w:val="single"/>
        </w:rPr>
      </w:pPr>
      <w:r w:rsidRPr="00152FAA">
        <w:rPr>
          <w:u w:val="single"/>
        </w:rPr>
        <w:t>Г</w:t>
      </w:r>
      <w:r w:rsidRPr="00152FAA">
        <w:rPr>
          <w:u w:val="single"/>
        </w:rPr>
        <w:tab/>
      </w:r>
      <w:r w:rsidRPr="00152FAA">
        <w:rPr>
          <w:u w:val="single"/>
        </w:rPr>
        <w:tab/>
      </w:r>
      <w:r w:rsidRPr="00152FAA">
        <w:rPr>
          <w:u w:val="single"/>
        </w:rPr>
        <w:fldChar w:fldCharType="begin"/>
      </w:r>
      <w:r w:rsidRPr="00152FAA">
        <w:rPr>
          <w:u w:val="single"/>
        </w:rPr>
        <w:instrText xml:space="preserve"> PAGEREF _Toc132629625 \h </w:instrText>
      </w:r>
      <w:r w:rsidRPr="00152FAA">
        <w:rPr>
          <w:u w:val="single"/>
        </w:rPr>
      </w:r>
      <w:r w:rsidRPr="00152FAA">
        <w:rPr>
          <w:u w:val="single"/>
        </w:rPr>
        <w:fldChar w:fldCharType="separate"/>
      </w:r>
      <w:r w:rsidRPr="00152FAA">
        <w:rPr>
          <w:u w:val="single"/>
        </w:rPr>
        <w:t>47</w:t>
      </w:r>
      <w:r w:rsidRPr="00152FAA">
        <w:rPr>
          <w:u w:val="single"/>
        </w:rPr>
        <w:fldChar w:fldCharType="end"/>
      </w:r>
    </w:p>
    <w:p w14:paraId="631CBC30" w14:textId="67747EC6" w:rsidR="00871491" w:rsidRPr="00152FAA" w:rsidRDefault="00871491" w:rsidP="00871491">
      <w:pPr>
        <w:pStyle w:val="13"/>
        <w:spacing w:before="0" w:after="0"/>
        <w:rPr>
          <w:u w:val="single"/>
        </w:rPr>
      </w:pPr>
      <w:r w:rsidRPr="00152FAA">
        <w:rPr>
          <w:u w:val="single"/>
        </w:rPr>
        <w:t>Д</w:t>
      </w:r>
      <w:r w:rsidRPr="00152FAA">
        <w:rPr>
          <w:u w:val="single"/>
        </w:rPr>
        <w:tab/>
      </w:r>
      <w:r w:rsidRPr="00152FAA">
        <w:rPr>
          <w:u w:val="single"/>
        </w:rPr>
        <w:tab/>
      </w:r>
      <w:r w:rsidRPr="00152FAA">
        <w:rPr>
          <w:u w:val="single"/>
        </w:rPr>
        <w:fldChar w:fldCharType="begin"/>
      </w:r>
      <w:r w:rsidRPr="00152FAA">
        <w:rPr>
          <w:u w:val="single"/>
        </w:rPr>
        <w:instrText xml:space="preserve"> PAGEREF _Toc132629626 \h </w:instrText>
      </w:r>
      <w:r w:rsidRPr="00152FAA">
        <w:rPr>
          <w:u w:val="single"/>
        </w:rPr>
      </w:r>
      <w:r w:rsidRPr="00152FAA">
        <w:rPr>
          <w:u w:val="single"/>
        </w:rPr>
        <w:fldChar w:fldCharType="separate"/>
      </w:r>
      <w:r w:rsidRPr="00152FAA">
        <w:rPr>
          <w:u w:val="single"/>
        </w:rPr>
        <w:t>53</w:t>
      </w:r>
      <w:r w:rsidRPr="00152FAA">
        <w:rPr>
          <w:u w:val="single"/>
        </w:rPr>
        <w:fldChar w:fldCharType="end"/>
      </w:r>
    </w:p>
    <w:p w14:paraId="606C7B51" w14:textId="7B3056B4" w:rsidR="00871491" w:rsidRPr="00152FAA" w:rsidRDefault="00871491" w:rsidP="00871491">
      <w:pPr>
        <w:pStyle w:val="13"/>
        <w:spacing w:before="0" w:after="0"/>
        <w:rPr>
          <w:u w:val="single"/>
        </w:rPr>
      </w:pPr>
      <w:r w:rsidRPr="00152FAA">
        <w:rPr>
          <w:u w:val="single"/>
        </w:rPr>
        <w:t>Е</w:t>
      </w:r>
      <w:r w:rsidRPr="00152FAA">
        <w:rPr>
          <w:u w:val="single"/>
        </w:rPr>
        <w:tab/>
      </w:r>
      <w:r w:rsidRPr="00152FAA">
        <w:rPr>
          <w:u w:val="single"/>
        </w:rPr>
        <w:tab/>
      </w:r>
      <w:r w:rsidRPr="00152FAA">
        <w:rPr>
          <w:u w:val="single"/>
        </w:rPr>
        <w:fldChar w:fldCharType="begin"/>
      </w:r>
      <w:r w:rsidRPr="00152FAA">
        <w:rPr>
          <w:u w:val="single"/>
        </w:rPr>
        <w:instrText xml:space="preserve"> PAGEREF _Toc132629627 \h </w:instrText>
      </w:r>
      <w:r w:rsidRPr="00152FAA">
        <w:rPr>
          <w:u w:val="single"/>
        </w:rPr>
      </w:r>
      <w:r w:rsidRPr="00152FAA">
        <w:rPr>
          <w:u w:val="single"/>
        </w:rPr>
        <w:fldChar w:fldCharType="separate"/>
      </w:r>
      <w:r w:rsidRPr="00152FAA">
        <w:rPr>
          <w:u w:val="single"/>
        </w:rPr>
        <w:t>67</w:t>
      </w:r>
      <w:r w:rsidRPr="00152FAA">
        <w:rPr>
          <w:u w:val="single"/>
        </w:rPr>
        <w:fldChar w:fldCharType="end"/>
      </w:r>
    </w:p>
    <w:p w14:paraId="3CC3B242" w14:textId="087B435C" w:rsidR="00871491" w:rsidRPr="00152FAA" w:rsidRDefault="00871491" w:rsidP="00871491">
      <w:pPr>
        <w:pStyle w:val="13"/>
        <w:spacing w:before="0" w:after="0"/>
        <w:rPr>
          <w:u w:val="single"/>
        </w:rPr>
      </w:pPr>
      <w:r w:rsidRPr="00152FAA">
        <w:rPr>
          <w:u w:val="single"/>
        </w:rPr>
        <w:t>Є</w:t>
      </w:r>
      <w:r w:rsidRPr="00152FAA">
        <w:rPr>
          <w:u w:val="single"/>
        </w:rPr>
        <w:tab/>
      </w:r>
      <w:r w:rsidRPr="00152FAA">
        <w:rPr>
          <w:u w:val="single"/>
        </w:rPr>
        <w:tab/>
      </w:r>
      <w:r w:rsidRPr="00152FAA">
        <w:rPr>
          <w:u w:val="single"/>
        </w:rPr>
        <w:fldChar w:fldCharType="begin"/>
      </w:r>
      <w:r w:rsidRPr="00152FAA">
        <w:rPr>
          <w:u w:val="single"/>
        </w:rPr>
        <w:instrText xml:space="preserve"> PAGEREF _Toc132629628 \h </w:instrText>
      </w:r>
      <w:r w:rsidRPr="00152FAA">
        <w:rPr>
          <w:u w:val="single"/>
        </w:rPr>
      </w:r>
      <w:r w:rsidRPr="00152FAA">
        <w:rPr>
          <w:u w:val="single"/>
        </w:rPr>
        <w:fldChar w:fldCharType="separate"/>
      </w:r>
      <w:r w:rsidRPr="00152FAA">
        <w:rPr>
          <w:u w:val="single"/>
        </w:rPr>
        <w:t>73</w:t>
      </w:r>
      <w:r w:rsidRPr="00152FAA">
        <w:rPr>
          <w:u w:val="single"/>
        </w:rPr>
        <w:fldChar w:fldCharType="end"/>
      </w:r>
    </w:p>
    <w:p w14:paraId="3A9A7408" w14:textId="77777777" w:rsidR="00871491" w:rsidRPr="00152FAA" w:rsidRDefault="00871491" w:rsidP="00871491">
      <w:pPr>
        <w:pStyle w:val="13"/>
        <w:spacing w:before="0" w:after="0"/>
        <w:rPr>
          <w:u w:val="single"/>
        </w:rPr>
      </w:pPr>
      <w:r w:rsidRPr="00152FAA">
        <w:rPr>
          <w:u w:val="single"/>
        </w:rPr>
        <w:t>Ж</w:t>
      </w:r>
      <w:r w:rsidRPr="00152FAA">
        <w:rPr>
          <w:u w:val="single"/>
        </w:rPr>
        <w:tab/>
      </w:r>
      <w:r w:rsidRPr="00152FAA">
        <w:rPr>
          <w:u w:val="single"/>
        </w:rPr>
        <w:fldChar w:fldCharType="begin"/>
      </w:r>
      <w:r w:rsidRPr="00152FAA">
        <w:rPr>
          <w:u w:val="single"/>
        </w:rPr>
        <w:instrText xml:space="preserve"> PAGEREF _Toc132629629 \h </w:instrText>
      </w:r>
      <w:r w:rsidRPr="00152FAA">
        <w:rPr>
          <w:u w:val="single"/>
        </w:rPr>
      </w:r>
      <w:r w:rsidRPr="00152FAA">
        <w:rPr>
          <w:u w:val="single"/>
        </w:rPr>
        <w:fldChar w:fldCharType="separate"/>
      </w:r>
      <w:r w:rsidRPr="00152FAA">
        <w:rPr>
          <w:u w:val="single"/>
        </w:rPr>
        <w:t>74</w:t>
      </w:r>
      <w:r w:rsidRPr="00152FAA">
        <w:rPr>
          <w:u w:val="single"/>
        </w:rPr>
        <w:fldChar w:fldCharType="end"/>
      </w:r>
    </w:p>
    <w:p w14:paraId="52621984" w14:textId="7BD3DF95" w:rsidR="00871491" w:rsidRPr="00152FAA" w:rsidRDefault="00871491" w:rsidP="00871491">
      <w:pPr>
        <w:pStyle w:val="13"/>
        <w:spacing w:before="0" w:after="0"/>
        <w:rPr>
          <w:u w:val="single"/>
        </w:rPr>
      </w:pPr>
      <w:r w:rsidRPr="00152FAA">
        <w:rPr>
          <w:u w:val="single"/>
        </w:rPr>
        <w:t>З</w:t>
      </w:r>
      <w:r w:rsidRPr="00152FAA">
        <w:rPr>
          <w:u w:val="single"/>
        </w:rPr>
        <w:tab/>
      </w:r>
      <w:r w:rsidRPr="00152FAA">
        <w:rPr>
          <w:u w:val="single"/>
        </w:rPr>
        <w:tab/>
      </w:r>
      <w:r w:rsidRPr="00152FAA">
        <w:rPr>
          <w:u w:val="single"/>
        </w:rPr>
        <w:fldChar w:fldCharType="begin"/>
      </w:r>
      <w:r w:rsidRPr="00152FAA">
        <w:rPr>
          <w:u w:val="single"/>
        </w:rPr>
        <w:instrText xml:space="preserve"> PAGEREF _Toc132629630 \h </w:instrText>
      </w:r>
      <w:r w:rsidRPr="00152FAA">
        <w:rPr>
          <w:u w:val="single"/>
        </w:rPr>
      </w:r>
      <w:r w:rsidRPr="00152FAA">
        <w:rPr>
          <w:u w:val="single"/>
        </w:rPr>
        <w:fldChar w:fldCharType="separate"/>
      </w:r>
      <w:r w:rsidRPr="00152FAA">
        <w:rPr>
          <w:u w:val="single"/>
        </w:rPr>
        <w:t>75</w:t>
      </w:r>
      <w:r w:rsidRPr="00152FAA">
        <w:rPr>
          <w:u w:val="single"/>
        </w:rPr>
        <w:fldChar w:fldCharType="end"/>
      </w:r>
    </w:p>
    <w:p w14:paraId="13269BBC" w14:textId="0A355C0E" w:rsidR="00871491" w:rsidRPr="00152FAA" w:rsidRDefault="00871491" w:rsidP="00871491">
      <w:pPr>
        <w:pStyle w:val="13"/>
        <w:spacing w:before="0" w:after="0"/>
        <w:rPr>
          <w:u w:val="single"/>
        </w:rPr>
      </w:pPr>
      <w:r w:rsidRPr="00152FAA">
        <w:rPr>
          <w:u w:val="single"/>
        </w:rPr>
        <w:t>І</w:t>
      </w:r>
      <w:r w:rsidRPr="00152FAA">
        <w:rPr>
          <w:u w:val="single"/>
        </w:rPr>
        <w:tab/>
      </w:r>
      <w:r w:rsidRPr="00152FAA">
        <w:rPr>
          <w:u w:val="single"/>
        </w:rPr>
        <w:tab/>
      </w:r>
      <w:r w:rsidRPr="00152FAA">
        <w:rPr>
          <w:u w:val="single"/>
        </w:rPr>
        <w:fldChar w:fldCharType="begin"/>
      </w:r>
      <w:r w:rsidRPr="00152FAA">
        <w:rPr>
          <w:u w:val="single"/>
        </w:rPr>
        <w:instrText xml:space="preserve"> PAGEREF _Toc132629632 \h </w:instrText>
      </w:r>
      <w:r w:rsidRPr="00152FAA">
        <w:rPr>
          <w:u w:val="single"/>
        </w:rPr>
      </w:r>
      <w:r w:rsidRPr="00152FAA">
        <w:rPr>
          <w:u w:val="single"/>
        </w:rPr>
        <w:fldChar w:fldCharType="separate"/>
      </w:r>
      <w:r w:rsidRPr="00152FAA">
        <w:rPr>
          <w:u w:val="single"/>
        </w:rPr>
        <w:t>90</w:t>
      </w:r>
      <w:r w:rsidRPr="00152FAA">
        <w:rPr>
          <w:u w:val="single"/>
        </w:rPr>
        <w:fldChar w:fldCharType="end"/>
      </w:r>
    </w:p>
    <w:p w14:paraId="330C54D5" w14:textId="2FF4AE77" w:rsidR="00871491" w:rsidRPr="00152FAA" w:rsidRDefault="00871491" w:rsidP="00871491">
      <w:pPr>
        <w:pStyle w:val="13"/>
        <w:spacing w:before="0" w:after="0"/>
        <w:rPr>
          <w:u w:val="single"/>
        </w:rPr>
      </w:pPr>
      <w:r w:rsidRPr="00152FAA">
        <w:rPr>
          <w:u w:val="single"/>
        </w:rPr>
        <w:t>К</w:t>
      </w:r>
      <w:r w:rsidRPr="00152FAA">
        <w:rPr>
          <w:u w:val="single"/>
        </w:rPr>
        <w:tab/>
      </w:r>
      <w:r w:rsidRPr="00152FAA">
        <w:rPr>
          <w:u w:val="single"/>
        </w:rPr>
        <w:tab/>
      </w:r>
      <w:r w:rsidRPr="00152FAA">
        <w:rPr>
          <w:u w:val="single"/>
        </w:rPr>
        <w:fldChar w:fldCharType="begin"/>
      </w:r>
      <w:r w:rsidRPr="00152FAA">
        <w:rPr>
          <w:u w:val="single"/>
        </w:rPr>
        <w:instrText xml:space="preserve"> PAGEREF _Toc132629635 \h </w:instrText>
      </w:r>
      <w:r w:rsidRPr="00152FAA">
        <w:rPr>
          <w:u w:val="single"/>
        </w:rPr>
      </w:r>
      <w:r w:rsidRPr="00152FAA">
        <w:rPr>
          <w:u w:val="single"/>
        </w:rPr>
        <w:fldChar w:fldCharType="separate"/>
      </w:r>
      <w:r w:rsidRPr="00152FAA">
        <w:rPr>
          <w:u w:val="single"/>
        </w:rPr>
        <w:t>97</w:t>
      </w:r>
      <w:r w:rsidRPr="00152FAA">
        <w:rPr>
          <w:u w:val="single"/>
        </w:rPr>
        <w:fldChar w:fldCharType="end"/>
      </w:r>
    </w:p>
    <w:p w14:paraId="7B1F4B03" w14:textId="58D5E8D1" w:rsidR="00871491" w:rsidRPr="00152FAA" w:rsidRDefault="00871491" w:rsidP="00871491">
      <w:pPr>
        <w:pStyle w:val="13"/>
        <w:spacing w:before="0" w:after="0"/>
        <w:rPr>
          <w:u w:val="single"/>
        </w:rPr>
      </w:pPr>
      <w:r w:rsidRPr="00152FAA">
        <w:rPr>
          <w:u w:val="single"/>
        </w:rPr>
        <w:t>Л</w:t>
      </w:r>
      <w:r w:rsidRPr="00152FAA">
        <w:rPr>
          <w:u w:val="single"/>
        </w:rPr>
        <w:tab/>
      </w:r>
      <w:r w:rsidRPr="00152FAA">
        <w:rPr>
          <w:u w:val="single"/>
        </w:rPr>
        <w:tab/>
      </w:r>
      <w:r w:rsidRPr="00152FAA">
        <w:rPr>
          <w:u w:val="single"/>
        </w:rPr>
        <w:fldChar w:fldCharType="begin"/>
      </w:r>
      <w:r w:rsidRPr="00152FAA">
        <w:rPr>
          <w:u w:val="single"/>
        </w:rPr>
        <w:instrText xml:space="preserve"> PAGEREF _Toc132629636 \h </w:instrText>
      </w:r>
      <w:r w:rsidRPr="00152FAA">
        <w:rPr>
          <w:u w:val="single"/>
        </w:rPr>
      </w:r>
      <w:r w:rsidRPr="00152FAA">
        <w:rPr>
          <w:u w:val="single"/>
        </w:rPr>
        <w:fldChar w:fldCharType="separate"/>
      </w:r>
      <w:r w:rsidRPr="00152FAA">
        <w:rPr>
          <w:u w:val="single"/>
        </w:rPr>
        <w:t>117</w:t>
      </w:r>
      <w:r w:rsidRPr="00152FAA">
        <w:rPr>
          <w:u w:val="single"/>
        </w:rPr>
        <w:fldChar w:fldCharType="end"/>
      </w:r>
    </w:p>
    <w:p w14:paraId="7A8DB7E9" w14:textId="77777777" w:rsidR="00871491" w:rsidRPr="00152FAA" w:rsidRDefault="00871491" w:rsidP="00871491">
      <w:pPr>
        <w:pStyle w:val="13"/>
        <w:spacing w:before="0" w:after="0"/>
        <w:rPr>
          <w:u w:val="single"/>
        </w:rPr>
      </w:pPr>
      <w:r w:rsidRPr="00152FAA">
        <w:rPr>
          <w:u w:val="single"/>
        </w:rPr>
        <w:t>М</w:t>
      </w:r>
      <w:r w:rsidRPr="00152FAA">
        <w:rPr>
          <w:u w:val="single"/>
        </w:rPr>
        <w:tab/>
      </w:r>
      <w:r w:rsidRPr="00152FAA">
        <w:rPr>
          <w:u w:val="single"/>
        </w:rPr>
        <w:fldChar w:fldCharType="begin"/>
      </w:r>
      <w:r w:rsidRPr="00152FAA">
        <w:rPr>
          <w:u w:val="single"/>
        </w:rPr>
        <w:instrText xml:space="preserve"> PAGEREF _Toc132629637 \h </w:instrText>
      </w:r>
      <w:r w:rsidRPr="00152FAA">
        <w:rPr>
          <w:u w:val="single"/>
        </w:rPr>
      </w:r>
      <w:r w:rsidRPr="00152FAA">
        <w:rPr>
          <w:u w:val="single"/>
        </w:rPr>
        <w:fldChar w:fldCharType="separate"/>
      </w:r>
      <w:r w:rsidRPr="00152FAA">
        <w:rPr>
          <w:u w:val="single"/>
        </w:rPr>
        <w:t>120</w:t>
      </w:r>
      <w:r w:rsidRPr="00152FAA">
        <w:rPr>
          <w:u w:val="single"/>
        </w:rPr>
        <w:fldChar w:fldCharType="end"/>
      </w:r>
    </w:p>
    <w:p w14:paraId="7752AE60" w14:textId="4C12608A" w:rsidR="00871491" w:rsidRPr="00152FAA" w:rsidRDefault="00871491" w:rsidP="00871491">
      <w:pPr>
        <w:pStyle w:val="13"/>
        <w:spacing w:before="0" w:after="0"/>
        <w:rPr>
          <w:u w:val="single"/>
        </w:rPr>
      </w:pPr>
      <w:r w:rsidRPr="00152FAA">
        <w:rPr>
          <w:u w:val="single"/>
        </w:rPr>
        <w:t>Н</w:t>
      </w:r>
      <w:r w:rsidRPr="00152FAA">
        <w:rPr>
          <w:u w:val="single"/>
        </w:rPr>
        <w:tab/>
      </w:r>
      <w:r w:rsidRPr="00152FAA">
        <w:rPr>
          <w:u w:val="single"/>
        </w:rPr>
        <w:tab/>
      </w:r>
      <w:r w:rsidRPr="00152FAA">
        <w:rPr>
          <w:u w:val="single"/>
        </w:rPr>
        <w:fldChar w:fldCharType="begin"/>
      </w:r>
      <w:r w:rsidRPr="00152FAA">
        <w:rPr>
          <w:u w:val="single"/>
        </w:rPr>
        <w:instrText xml:space="preserve"> PAGEREF _Toc132629639 \h </w:instrText>
      </w:r>
      <w:r w:rsidRPr="00152FAA">
        <w:rPr>
          <w:u w:val="single"/>
        </w:rPr>
      </w:r>
      <w:r w:rsidRPr="00152FAA">
        <w:rPr>
          <w:u w:val="single"/>
        </w:rPr>
        <w:fldChar w:fldCharType="separate"/>
      </w:r>
      <w:r w:rsidRPr="00152FAA">
        <w:rPr>
          <w:u w:val="single"/>
        </w:rPr>
        <w:t>133</w:t>
      </w:r>
      <w:r w:rsidRPr="00152FAA">
        <w:rPr>
          <w:u w:val="single"/>
        </w:rPr>
        <w:fldChar w:fldCharType="end"/>
      </w:r>
    </w:p>
    <w:p w14:paraId="39F881ED" w14:textId="780E6F16" w:rsidR="00871491" w:rsidRPr="00152FAA" w:rsidRDefault="00871491" w:rsidP="00871491">
      <w:pPr>
        <w:pStyle w:val="13"/>
        <w:spacing w:before="0" w:after="0"/>
        <w:rPr>
          <w:u w:val="single"/>
        </w:rPr>
      </w:pPr>
      <w:r w:rsidRPr="00152FAA">
        <w:rPr>
          <w:u w:val="single"/>
        </w:rPr>
        <w:t>О</w:t>
      </w:r>
      <w:r w:rsidRPr="00152FAA">
        <w:rPr>
          <w:u w:val="single"/>
        </w:rPr>
        <w:tab/>
      </w:r>
      <w:r w:rsidRPr="00152FAA">
        <w:rPr>
          <w:u w:val="single"/>
        </w:rPr>
        <w:tab/>
      </w:r>
      <w:r w:rsidRPr="00152FAA">
        <w:rPr>
          <w:u w:val="single"/>
        </w:rPr>
        <w:fldChar w:fldCharType="begin"/>
      </w:r>
      <w:r w:rsidRPr="00152FAA">
        <w:rPr>
          <w:u w:val="single"/>
        </w:rPr>
        <w:instrText xml:space="preserve"> PAGEREF _Toc132629640 \h </w:instrText>
      </w:r>
      <w:r w:rsidRPr="00152FAA">
        <w:rPr>
          <w:u w:val="single"/>
        </w:rPr>
      </w:r>
      <w:r w:rsidRPr="00152FAA">
        <w:rPr>
          <w:u w:val="single"/>
        </w:rPr>
        <w:fldChar w:fldCharType="separate"/>
      </w:r>
      <w:r w:rsidRPr="00152FAA">
        <w:rPr>
          <w:u w:val="single"/>
        </w:rPr>
        <w:t>151</w:t>
      </w:r>
      <w:r w:rsidRPr="00152FAA">
        <w:rPr>
          <w:u w:val="single"/>
        </w:rPr>
        <w:fldChar w:fldCharType="end"/>
      </w:r>
    </w:p>
    <w:p w14:paraId="61FC711A" w14:textId="17CF5012" w:rsidR="00871491" w:rsidRPr="00152FAA" w:rsidRDefault="00871491" w:rsidP="00871491">
      <w:pPr>
        <w:pStyle w:val="13"/>
        <w:spacing w:before="0" w:after="0"/>
        <w:rPr>
          <w:u w:val="single"/>
        </w:rPr>
      </w:pPr>
      <w:r w:rsidRPr="00152FAA">
        <w:rPr>
          <w:u w:val="single"/>
        </w:rPr>
        <w:t>П</w:t>
      </w:r>
      <w:r w:rsidRPr="00152FAA">
        <w:rPr>
          <w:u w:val="single"/>
        </w:rPr>
        <w:tab/>
      </w:r>
      <w:r w:rsidRPr="00152FAA">
        <w:rPr>
          <w:u w:val="single"/>
        </w:rPr>
        <w:tab/>
      </w:r>
      <w:r w:rsidRPr="00152FAA">
        <w:rPr>
          <w:u w:val="single"/>
        </w:rPr>
        <w:fldChar w:fldCharType="begin"/>
      </w:r>
      <w:r w:rsidRPr="00152FAA">
        <w:rPr>
          <w:u w:val="single"/>
        </w:rPr>
        <w:instrText xml:space="preserve"> PAGEREF _Toc132629642 \h </w:instrText>
      </w:r>
      <w:r w:rsidRPr="00152FAA">
        <w:rPr>
          <w:u w:val="single"/>
        </w:rPr>
      </w:r>
      <w:r w:rsidRPr="00152FAA">
        <w:rPr>
          <w:u w:val="single"/>
        </w:rPr>
        <w:fldChar w:fldCharType="separate"/>
      </w:r>
      <w:r w:rsidRPr="00152FAA">
        <w:rPr>
          <w:u w:val="single"/>
        </w:rPr>
        <w:t>170</w:t>
      </w:r>
      <w:r w:rsidRPr="00152FAA">
        <w:rPr>
          <w:u w:val="single"/>
        </w:rPr>
        <w:fldChar w:fldCharType="end"/>
      </w:r>
    </w:p>
    <w:p w14:paraId="0CD4FF6A" w14:textId="2782B5EE" w:rsidR="00871491" w:rsidRPr="00152FAA" w:rsidRDefault="00871491" w:rsidP="00871491">
      <w:pPr>
        <w:pStyle w:val="13"/>
        <w:spacing w:before="0" w:after="0"/>
        <w:rPr>
          <w:u w:val="single"/>
        </w:rPr>
      </w:pPr>
      <w:r w:rsidRPr="00152FAA">
        <w:rPr>
          <w:u w:val="single"/>
        </w:rPr>
        <w:t>Р</w:t>
      </w:r>
      <w:r w:rsidRPr="00152FAA">
        <w:rPr>
          <w:u w:val="single"/>
        </w:rPr>
        <w:tab/>
      </w:r>
      <w:r w:rsidRPr="00152FAA">
        <w:rPr>
          <w:u w:val="single"/>
        </w:rPr>
        <w:tab/>
      </w:r>
      <w:r w:rsidRPr="00152FAA">
        <w:rPr>
          <w:u w:val="single"/>
        </w:rPr>
        <w:fldChar w:fldCharType="begin"/>
      </w:r>
      <w:r w:rsidRPr="00152FAA">
        <w:rPr>
          <w:u w:val="single"/>
        </w:rPr>
        <w:instrText xml:space="preserve"> PAGEREF _Toc132629644 \h </w:instrText>
      </w:r>
      <w:r w:rsidRPr="00152FAA">
        <w:rPr>
          <w:u w:val="single"/>
        </w:rPr>
      </w:r>
      <w:r w:rsidRPr="00152FAA">
        <w:rPr>
          <w:u w:val="single"/>
        </w:rPr>
        <w:fldChar w:fldCharType="separate"/>
      </w:r>
      <w:r w:rsidRPr="00152FAA">
        <w:rPr>
          <w:u w:val="single"/>
        </w:rPr>
        <w:t>211</w:t>
      </w:r>
      <w:r w:rsidRPr="00152FAA">
        <w:rPr>
          <w:u w:val="single"/>
        </w:rPr>
        <w:fldChar w:fldCharType="end"/>
      </w:r>
    </w:p>
    <w:p w14:paraId="6257492B" w14:textId="5C8A36D6" w:rsidR="00871491" w:rsidRPr="00152FAA" w:rsidRDefault="00871491" w:rsidP="00871491">
      <w:pPr>
        <w:pStyle w:val="13"/>
        <w:spacing w:before="0" w:after="0"/>
        <w:rPr>
          <w:u w:val="single"/>
        </w:rPr>
      </w:pPr>
      <w:r w:rsidRPr="00152FAA">
        <w:rPr>
          <w:u w:val="single"/>
        </w:rPr>
        <w:t>С</w:t>
      </w:r>
      <w:r w:rsidRPr="00152FAA">
        <w:rPr>
          <w:u w:val="single"/>
        </w:rPr>
        <w:tab/>
      </w:r>
      <w:r w:rsidRPr="00152FAA">
        <w:rPr>
          <w:u w:val="single"/>
        </w:rPr>
        <w:tab/>
      </w:r>
      <w:r w:rsidRPr="00152FAA">
        <w:rPr>
          <w:u w:val="single"/>
        </w:rPr>
        <w:fldChar w:fldCharType="begin"/>
      </w:r>
      <w:r w:rsidRPr="00152FAA">
        <w:rPr>
          <w:u w:val="single"/>
        </w:rPr>
        <w:instrText xml:space="preserve"> PAGEREF _Toc132629645 \h </w:instrText>
      </w:r>
      <w:r w:rsidRPr="00152FAA">
        <w:rPr>
          <w:u w:val="single"/>
        </w:rPr>
      </w:r>
      <w:r w:rsidRPr="00152FAA">
        <w:rPr>
          <w:u w:val="single"/>
        </w:rPr>
        <w:fldChar w:fldCharType="separate"/>
      </w:r>
      <w:r w:rsidRPr="00152FAA">
        <w:rPr>
          <w:u w:val="single"/>
        </w:rPr>
        <w:t>224</w:t>
      </w:r>
      <w:r w:rsidRPr="00152FAA">
        <w:rPr>
          <w:u w:val="single"/>
        </w:rPr>
        <w:fldChar w:fldCharType="end"/>
      </w:r>
    </w:p>
    <w:p w14:paraId="69155A16" w14:textId="68F346F8" w:rsidR="00871491" w:rsidRPr="00152FAA" w:rsidRDefault="00871491" w:rsidP="00871491">
      <w:pPr>
        <w:pStyle w:val="13"/>
        <w:spacing w:before="0" w:after="0"/>
        <w:rPr>
          <w:u w:val="single"/>
        </w:rPr>
      </w:pPr>
      <w:r w:rsidRPr="00152FAA">
        <w:rPr>
          <w:u w:val="single"/>
        </w:rPr>
        <w:t>Т</w:t>
      </w:r>
      <w:r w:rsidRPr="00152FAA">
        <w:rPr>
          <w:u w:val="single"/>
        </w:rPr>
        <w:tab/>
      </w:r>
      <w:r w:rsidRPr="00152FAA">
        <w:rPr>
          <w:u w:val="single"/>
        </w:rPr>
        <w:tab/>
      </w:r>
      <w:r w:rsidRPr="00152FAA">
        <w:rPr>
          <w:u w:val="single"/>
        </w:rPr>
        <w:fldChar w:fldCharType="begin"/>
      </w:r>
      <w:r w:rsidRPr="00152FAA">
        <w:rPr>
          <w:u w:val="single"/>
        </w:rPr>
        <w:instrText xml:space="preserve"> PAGEREF _Toc132629651 \h </w:instrText>
      </w:r>
      <w:r w:rsidRPr="00152FAA">
        <w:rPr>
          <w:u w:val="single"/>
        </w:rPr>
      </w:r>
      <w:r w:rsidRPr="00152FAA">
        <w:rPr>
          <w:u w:val="single"/>
        </w:rPr>
        <w:fldChar w:fldCharType="separate"/>
      </w:r>
      <w:r w:rsidRPr="00152FAA">
        <w:rPr>
          <w:u w:val="single"/>
        </w:rPr>
        <w:t>249</w:t>
      </w:r>
      <w:r w:rsidRPr="00152FAA">
        <w:rPr>
          <w:u w:val="single"/>
        </w:rPr>
        <w:fldChar w:fldCharType="end"/>
      </w:r>
    </w:p>
    <w:p w14:paraId="732DEF5B" w14:textId="57F67F58" w:rsidR="00871491" w:rsidRPr="00152FAA" w:rsidRDefault="00871491" w:rsidP="00871491">
      <w:pPr>
        <w:pStyle w:val="13"/>
        <w:spacing w:before="0" w:after="0"/>
        <w:rPr>
          <w:u w:val="single"/>
        </w:rPr>
      </w:pPr>
      <w:r w:rsidRPr="00152FAA">
        <w:rPr>
          <w:u w:val="single"/>
        </w:rPr>
        <w:t>У</w:t>
      </w:r>
      <w:r w:rsidRPr="00152FAA">
        <w:rPr>
          <w:u w:val="single"/>
        </w:rPr>
        <w:tab/>
      </w:r>
      <w:r w:rsidRPr="00152FAA">
        <w:rPr>
          <w:u w:val="single"/>
        </w:rPr>
        <w:tab/>
      </w:r>
      <w:r w:rsidRPr="00152FAA">
        <w:rPr>
          <w:u w:val="single"/>
        </w:rPr>
        <w:fldChar w:fldCharType="begin"/>
      </w:r>
      <w:r w:rsidRPr="00152FAA">
        <w:rPr>
          <w:u w:val="single"/>
        </w:rPr>
        <w:instrText xml:space="preserve"> PAGEREF _Toc132629652 \h </w:instrText>
      </w:r>
      <w:r w:rsidRPr="00152FAA">
        <w:rPr>
          <w:u w:val="single"/>
        </w:rPr>
      </w:r>
      <w:r w:rsidRPr="00152FAA">
        <w:rPr>
          <w:u w:val="single"/>
        </w:rPr>
        <w:fldChar w:fldCharType="separate"/>
      </w:r>
      <w:r w:rsidRPr="00152FAA">
        <w:rPr>
          <w:u w:val="single"/>
        </w:rPr>
        <w:t>263</w:t>
      </w:r>
      <w:r w:rsidRPr="00152FAA">
        <w:rPr>
          <w:u w:val="single"/>
        </w:rPr>
        <w:fldChar w:fldCharType="end"/>
      </w:r>
    </w:p>
    <w:p w14:paraId="44446F71" w14:textId="77777777" w:rsidR="00871491" w:rsidRPr="00152FAA" w:rsidRDefault="00871491" w:rsidP="00871491">
      <w:pPr>
        <w:pStyle w:val="13"/>
        <w:spacing w:before="0" w:after="0"/>
        <w:rPr>
          <w:u w:val="single"/>
        </w:rPr>
      </w:pPr>
      <w:r w:rsidRPr="00152FAA">
        <w:rPr>
          <w:u w:val="single"/>
        </w:rPr>
        <w:t>Ф</w:t>
      </w:r>
      <w:r w:rsidRPr="00152FAA">
        <w:rPr>
          <w:u w:val="single"/>
        </w:rPr>
        <w:tab/>
      </w:r>
      <w:r w:rsidRPr="00152FAA">
        <w:rPr>
          <w:u w:val="single"/>
        </w:rPr>
        <w:fldChar w:fldCharType="begin"/>
      </w:r>
      <w:r w:rsidRPr="00152FAA">
        <w:rPr>
          <w:u w:val="single"/>
        </w:rPr>
        <w:instrText xml:space="preserve"> PAGEREF _Toc132629653 \h </w:instrText>
      </w:r>
      <w:r w:rsidRPr="00152FAA">
        <w:rPr>
          <w:u w:val="single"/>
        </w:rPr>
      </w:r>
      <w:r w:rsidRPr="00152FAA">
        <w:rPr>
          <w:u w:val="single"/>
        </w:rPr>
        <w:fldChar w:fldCharType="separate"/>
      </w:r>
      <w:r w:rsidRPr="00152FAA">
        <w:rPr>
          <w:u w:val="single"/>
        </w:rPr>
        <w:t>270</w:t>
      </w:r>
      <w:r w:rsidRPr="00152FAA">
        <w:rPr>
          <w:u w:val="single"/>
        </w:rPr>
        <w:fldChar w:fldCharType="end"/>
      </w:r>
    </w:p>
    <w:p w14:paraId="107425C9" w14:textId="26803859" w:rsidR="00871491" w:rsidRPr="00152FAA" w:rsidRDefault="00871491" w:rsidP="00871491">
      <w:pPr>
        <w:pStyle w:val="13"/>
        <w:spacing w:before="0" w:after="0"/>
        <w:rPr>
          <w:u w:val="single"/>
        </w:rPr>
      </w:pPr>
      <w:r w:rsidRPr="00152FAA">
        <w:rPr>
          <w:u w:val="single"/>
        </w:rPr>
        <w:t>Х</w:t>
      </w:r>
      <w:r w:rsidRPr="00152FAA">
        <w:rPr>
          <w:u w:val="single"/>
        </w:rPr>
        <w:tab/>
      </w:r>
      <w:r w:rsidRPr="00152FAA">
        <w:rPr>
          <w:u w:val="single"/>
        </w:rPr>
        <w:tab/>
      </w:r>
      <w:r w:rsidRPr="00152FAA">
        <w:rPr>
          <w:u w:val="single"/>
        </w:rPr>
        <w:fldChar w:fldCharType="begin"/>
      </w:r>
      <w:r w:rsidRPr="00152FAA">
        <w:rPr>
          <w:u w:val="single"/>
        </w:rPr>
        <w:instrText xml:space="preserve"> PAGEREF _Toc132629654 \h </w:instrText>
      </w:r>
      <w:r w:rsidRPr="00152FAA">
        <w:rPr>
          <w:u w:val="single"/>
        </w:rPr>
      </w:r>
      <w:r w:rsidRPr="00152FAA">
        <w:rPr>
          <w:u w:val="single"/>
        </w:rPr>
        <w:fldChar w:fldCharType="separate"/>
      </w:r>
      <w:r w:rsidRPr="00152FAA">
        <w:rPr>
          <w:u w:val="single"/>
        </w:rPr>
        <w:t>274</w:t>
      </w:r>
      <w:r w:rsidRPr="00152FAA">
        <w:rPr>
          <w:u w:val="single"/>
        </w:rPr>
        <w:fldChar w:fldCharType="end"/>
      </w:r>
    </w:p>
    <w:p w14:paraId="52DA3A6E" w14:textId="1FFE7EF5" w:rsidR="00871491" w:rsidRPr="00152FAA" w:rsidRDefault="00871491" w:rsidP="00871491">
      <w:pPr>
        <w:pStyle w:val="13"/>
        <w:spacing w:before="0" w:after="0"/>
        <w:rPr>
          <w:u w:val="single"/>
        </w:rPr>
      </w:pPr>
      <w:r w:rsidRPr="00152FAA">
        <w:rPr>
          <w:u w:val="single"/>
        </w:rPr>
        <w:t>Ц</w:t>
      </w:r>
      <w:r w:rsidRPr="00152FAA">
        <w:rPr>
          <w:u w:val="single"/>
        </w:rPr>
        <w:tab/>
      </w:r>
      <w:r w:rsidRPr="00152FAA">
        <w:rPr>
          <w:u w:val="single"/>
        </w:rPr>
        <w:tab/>
      </w:r>
      <w:r w:rsidRPr="00152FAA">
        <w:rPr>
          <w:u w:val="single"/>
        </w:rPr>
        <w:fldChar w:fldCharType="begin"/>
      </w:r>
      <w:r w:rsidRPr="00152FAA">
        <w:rPr>
          <w:u w:val="single"/>
        </w:rPr>
        <w:instrText xml:space="preserve"> PAGEREF _Toc132629655 \h </w:instrText>
      </w:r>
      <w:r w:rsidRPr="00152FAA">
        <w:rPr>
          <w:u w:val="single"/>
        </w:rPr>
      </w:r>
      <w:r w:rsidRPr="00152FAA">
        <w:rPr>
          <w:u w:val="single"/>
        </w:rPr>
        <w:fldChar w:fldCharType="separate"/>
      </w:r>
      <w:r w:rsidRPr="00152FAA">
        <w:rPr>
          <w:u w:val="single"/>
        </w:rPr>
        <w:t>275</w:t>
      </w:r>
      <w:r w:rsidRPr="00152FAA">
        <w:rPr>
          <w:u w:val="single"/>
        </w:rPr>
        <w:fldChar w:fldCharType="end"/>
      </w:r>
    </w:p>
    <w:p w14:paraId="19006076" w14:textId="0721BB86" w:rsidR="00871491" w:rsidRPr="00152FAA" w:rsidRDefault="00871491" w:rsidP="00871491">
      <w:pPr>
        <w:pStyle w:val="13"/>
        <w:spacing w:before="0" w:after="0"/>
        <w:rPr>
          <w:u w:val="single"/>
        </w:rPr>
      </w:pPr>
      <w:r w:rsidRPr="00152FAA">
        <w:rPr>
          <w:u w:val="single"/>
        </w:rPr>
        <w:t>Ч</w:t>
      </w:r>
      <w:r w:rsidRPr="00152FAA">
        <w:rPr>
          <w:u w:val="single"/>
        </w:rPr>
        <w:tab/>
      </w:r>
      <w:r w:rsidRPr="00152FAA">
        <w:rPr>
          <w:u w:val="single"/>
        </w:rPr>
        <w:tab/>
      </w:r>
      <w:r w:rsidRPr="00152FAA">
        <w:rPr>
          <w:u w:val="single"/>
        </w:rPr>
        <w:fldChar w:fldCharType="begin"/>
      </w:r>
      <w:r w:rsidRPr="00152FAA">
        <w:rPr>
          <w:u w:val="single"/>
        </w:rPr>
        <w:instrText xml:space="preserve"> PAGEREF _Toc132629656 \h </w:instrText>
      </w:r>
      <w:r w:rsidRPr="00152FAA">
        <w:rPr>
          <w:u w:val="single"/>
        </w:rPr>
      </w:r>
      <w:r w:rsidRPr="00152FAA">
        <w:rPr>
          <w:u w:val="single"/>
        </w:rPr>
        <w:fldChar w:fldCharType="separate"/>
      </w:r>
      <w:r w:rsidRPr="00152FAA">
        <w:rPr>
          <w:u w:val="single"/>
        </w:rPr>
        <w:t>278</w:t>
      </w:r>
      <w:r w:rsidRPr="00152FAA">
        <w:rPr>
          <w:u w:val="single"/>
        </w:rPr>
        <w:fldChar w:fldCharType="end"/>
      </w:r>
    </w:p>
    <w:p w14:paraId="3E8141D2" w14:textId="77777777" w:rsidR="00871491" w:rsidRPr="00152FAA" w:rsidRDefault="00871491" w:rsidP="00871491">
      <w:pPr>
        <w:pStyle w:val="13"/>
        <w:spacing w:before="0" w:after="0"/>
        <w:rPr>
          <w:u w:val="single"/>
        </w:rPr>
      </w:pPr>
      <w:r w:rsidRPr="00152FAA">
        <w:rPr>
          <w:u w:val="single"/>
        </w:rPr>
        <w:t>Ш</w:t>
      </w:r>
      <w:r w:rsidRPr="00152FAA">
        <w:rPr>
          <w:u w:val="single"/>
        </w:rPr>
        <w:tab/>
      </w:r>
      <w:r w:rsidRPr="00152FAA">
        <w:rPr>
          <w:u w:val="single"/>
        </w:rPr>
        <w:fldChar w:fldCharType="begin"/>
      </w:r>
      <w:r w:rsidRPr="00152FAA">
        <w:rPr>
          <w:u w:val="single"/>
        </w:rPr>
        <w:instrText xml:space="preserve"> PAGEREF _Toc132629657 \h </w:instrText>
      </w:r>
      <w:r w:rsidRPr="00152FAA">
        <w:rPr>
          <w:u w:val="single"/>
        </w:rPr>
      </w:r>
      <w:r w:rsidRPr="00152FAA">
        <w:rPr>
          <w:u w:val="single"/>
        </w:rPr>
        <w:fldChar w:fldCharType="separate"/>
      </w:r>
      <w:r w:rsidRPr="00152FAA">
        <w:rPr>
          <w:u w:val="single"/>
        </w:rPr>
        <w:t>282</w:t>
      </w:r>
      <w:r w:rsidRPr="00152FAA">
        <w:rPr>
          <w:u w:val="single"/>
        </w:rPr>
        <w:fldChar w:fldCharType="end"/>
      </w:r>
    </w:p>
    <w:p w14:paraId="7FC6DC8B" w14:textId="77777777" w:rsidR="00871491" w:rsidRPr="00152FAA" w:rsidRDefault="00871491" w:rsidP="00871491">
      <w:pPr>
        <w:pStyle w:val="13"/>
        <w:spacing w:before="0" w:after="0"/>
        <w:rPr>
          <w:u w:val="single"/>
        </w:rPr>
      </w:pPr>
      <w:r w:rsidRPr="00152FAA">
        <w:rPr>
          <w:u w:val="single"/>
        </w:rPr>
        <w:t>Щ</w:t>
      </w:r>
      <w:r w:rsidRPr="00152FAA">
        <w:rPr>
          <w:u w:val="single"/>
        </w:rPr>
        <w:tab/>
      </w:r>
      <w:r w:rsidRPr="00152FAA">
        <w:rPr>
          <w:u w:val="single"/>
        </w:rPr>
        <w:fldChar w:fldCharType="begin"/>
      </w:r>
      <w:r w:rsidRPr="00152FAA">
        <w:rPr>
          <w:u w:val="single"/>
        </w:rPr>
        <w:instrText xml:space="preserve"> PAGEREF _Toc132629658 \h </w:instrText>
      </w:r>
      <w:r w:rsidRPr="00152FAA">
        <w:rPr>
          <w:u w:val="single"/>
        </w:rPr>
      </w:r>
      <w:r w:rsidRPr="00152FAA">
        <w:rPr>
          <w:u w:val="single"/>
        </w:rPr>
        <w:fldChar w:fldCharType="separate"/>
      </w:r>
      <w:r w:rsidRPr="00152FAA">
        <w:rPr>
          <w:u w:val="single"/>
        </w:rPr>
        <w:t>285</w:t>
      </w:r>
      <w:r w:rsidRPr="00152FAA">
        <w:rPr>
          <w:u w:val="single"/>
        </w:rPr>
        <w:fldChar w:fldCharType="end"/>
      </w:r>
    </w:p>
    <w:p w14:paraId="0B07B6BD" w14:textId="77777777" w:rsidR="00871491" w:rsidRPr="00152FAA" w:rsidRDefault="00871491" w:rsidP="00871491">
      <w:pPr>
        <w:pStyle w:val="13"/>
        <w:spacing w:before="0" w:after="0"/>
        <w:rPr>
          <w:u w:val="single"/>
        </w:rPr>
      </w:pPr>
      <w:r w:rsidRPr="00152FAA">
        <w:rPr>
          <w:u w:val="single"/>
        </w:rPr>
        <w:t>Ю</w:t>
      </w:r>
      <w:r w:rsidRPr="00152FAA">
        <w:rPr>
          <w:u w:val="single"/>
        </w:rPr>
        <w:tab/>
      </w:r>
      <w:r w:rsidRPr="00152FAA">
        <w:rPr>
          <w:u w:val="single"/>
        </w:rPr>
        <w:fldChar w:fldCharType="begin"/>
      </w:r>
      <w:r w:rsidRPr="00152FAA">
        <w:rPr>
          <w:u w:val="single"/>
        </w:rPr>
        <w:instrText xml:space="preserve"> PAGEREF _Toc132629659 \h </w:instrText>
      </w:r>
      <w:r w:rsidRPr="00152FAA">
        <w:rPr>
          <w:u w:val="single"/>
        </w:rPr>
      </w:r>
      <w:r w:rsidRPr="00152FAA">
        <w:rPr>
          <w:u w:val="single"/>
        </w:rPr>
        <w:fldChar w:fldCharType="separate"/>
      </w:r>
      <w:r w:rsidRPr="00152FAA">
        <w:rPr>
          <w:u w:val="single"/>
        </w:rPr>
        <w:t>285</w:t>
      </w:r>
      <w:r w:rsidRPr="00152FAA">
        <w:rPr>
          <w:u w:val="single"/>
        </w:rPr>
        <w:fldChar w:fldCharType="end"/>
      </w:r>
    </w:p>
    <w:p w14:paraId="41FA160D" w14:textId="794FFFE8" w:rsidR="00871491" w:rsidRPr="00152FAA" w:rsidRDefault="00871491" w:rsidP="00871491">
      <w:pPr>
        <w:pStyle w:val="13"/>
        <w:spacing w:before="0" w:after="0"/>
        <w:rPr>
          <w:u w:val="single"/>
        </w:rPr>
      </w:pPr>
      <w:r w:rsidRPr="00152FAA">
        <w:rPr>
          <w:u w:val="single"/>
        </w:rPr>
        <w:t>Я</w:t>
      </w:r>
      <w:r w:rsidRPr="00152FAA">
        <w:rPr>
          <w:u w:val="single"/>
        </w:rPr>
        <w:tab/>
      </w:r>
      <w:r w:rsidRPr="00152FAA">
        <w:rPr>
          <w:u w:val="single"/>
        </w:rPr>
        <w:tab/>
      </w:r>
      <w:r w:rsidRPr="00152FAA">
        <w:rPr>
          <w:u w:val="single"/>
        </w:rPr>
        <w:fldChar w:fldCharType="begin"/>
      </w:r>
      <w:r w:rsidRPr="00152FAA">
        <w:rPr>
          <w:u w:val="single"/>
        </w:rPr>
        <w:instrText xml:space="preserve"> PAGEREF _Toc132629660 \h </w:instrText>
      </w:r>
      <w:r w:rsidRPr="00152FAA">
        <w:rPr>
          <w:u w:val="single"/>
        </w:rPr>
      </w:r>
      <w:r w:rsidRPr="00152FAA">
        <w:rPr>
          <w:u w:val="single"/>
        </w:rPr>
        <w:fldChar w:fldCharType="separate"/>
      </w:r>
      <w:r w:rsidRPr="00152FAA">
        <w:rPr>
          <w:u w:val="single"/>
        </w:rPr>
        <w:t>285</w:t>
      </w:r>
      <w:r w:rsidRPr="00152FAA">
        <w:rPr>
          <w:u w:val="single"/>
        </w:rPr>
        <w:fldChar w:fldCharType="end"/>
      </w:r>
    </w:p>
    <w:p w14:paraId="322CBCB3" w14:textId="77777777" w:rsidR="00871491" w:rsidRPr="00152FAA" w:rsidRDefault="00871491" w:rsidP="00871491">
      <w:pPr>
        <w:pStyle w:val="23"/>
        <w:spacing w:before="0"/>
        <w:ind w:hanging="993"/>
        <w:rPr>
          <w:rFonts w:eastAsiaTheme="minorEastAsia" w:cstheme="minorBidi"/>
          <w:b w:val="0"/>
          <w:bCs w:val="0"/>
          <w:noProof/>
          <w:sz w:val="22"/>
          <w:szCs w:val="22"/>
          <w:u w:val="single"/>
          <w:lang w:eastAsia="ru-RU"/>
        </w:rPr>
      </w:pPr>
      <w:r w:rsidRPr="00152FAA">
        <w:rPr>
          <w:rFonts w:asciiTheme="majorHAnsi" w:hAnsiTheme="majorHAnsi" w:cs="Times New Roman"/>
          <w:caps/>
          <w:noProof/>
          <w:sz w:val="28"/>
          <w:szCs w:val="28"/>
          <w:u w:val="single"/>
          <w:lang w:eastAsia="ru-RU"/>
        </w:rPr>
        <w:t>ДЖЕРЕЛА ІНФОРМАЦІЇ</w:t>
      </w:r>
      <w:r w:rsidRPr="00152FAA">
        <w:rPr>
          <w:rFonts w:asciiTheme="majorHAnsi" w:hAnsiTheme="majorHAnsi" w:cs="Times New Roman"/>
          <w:caps/>
          <w:noProof/>
          <w:sz w:val="28"/>
          <w:szCs w:val="28"/>
          <w:u w:val="single"/>
          <w:lang w:eastAsia="ru-RU"/>
        </w:rPr>
        <w:tab/>
      </w:r>
      <w:r w:rsidRPr="00152FAA">
        <w:rPr>
          <w:rFonts w:asciiTheme="majorHAnsi" w:hAnsiTheme="majorHAnsi" w:cs="Times New Roman"/>
          <w:caps/>
          <w:noProof/>
          <w:sz w:val="28"/>
          <w:szCs w:val="28"/>
          <w:u w:val="single"/>
          <w:lang w:eastAsia="ru-RU"/>
        </w:rPr>
        <w:fldChar w:fldCharType="begin"/>
      </w:r>
      <w:r w:rsidRPr="00152FAA">
        <w:rPr>
          <w:rFonts w:asciiTheme="majorHAnsi" w:hAnsiTheme="majorHAnsi" w:cs="Times New Roman"/>
          <w:caps/>
          <w:noProof/>
          <w:sz w:val="28"/>
          <w:szCs w:val="28"/>
          <w:u w:val="single"/>
          <w:lang w:eastAsia="ru-RU"/>
        </w:rPr>
        <w:instrText xml:space="preserve"> PAGEREF _Toc132629661 \h </w:instrText>
      </w:r>
      <w:r w:rsidRPr="00152FAA">
        <w:rPr>
          <w:rFonts w:asciiTheme="majorHAnsi" w:hAnsiTheme="majorHAnsi" w:cs="Times New Roman"/>
          <w:caps/>
          <w:noProof/>
          <w:sz w:val="28"/>
          <w:szCs w:val="28"/>
          <w:u w:val="single"/>
          <w:lang w:eastAsia="ru-RU"/>
        </w:rPr>
      </w:r>
      <w:r w:rsidRPr="00152FAA">
        <w:rPr>
          <w:rFonts w:asciiTheme="majorHAnsi" w:hAnsiTheme="majorHAnsi" w:cs="Times New Roman"/>
          <w:caps/>
          <w:noProof/>
          <w:sz w:val="28"/>
          <w:szCs w:val="28"/>
          <w:u w:val="single"/>
          <w:lang w:eastAsia="ru-RU"/>
        </w:rPr>
        <w:fldChar w:fldCharType="separate"/>
      </w:r>
      <w:r w:rsidRPr="00152FAA">
        <w:rPr>
          <w:rFonts w:asciiTheme="majorHAnsi" w:hAnsiTheme="majorHAnsi" w:cs="Times New Roman"/>
          <w:caps/>
          <w:noProof/>
          <w:sz w:val="28"/>
          <w:szCs w:val="28"/>
          <w:u w:val="single"/>
          <w:lang w:eastAsia="ru-RU"/>
        </w:rPr>
        <w:t>286</w:t>
      </w:r>
      <w:r w:rsidRPr="00152FAA">
        <w:rPr>
          <w:rFonts w:asciiTheme="majorHAnsi" w:hAnsiTheme="majorHAnsi" w:cs="Times New Roman"/>
          <w:caps/>
          <w:noProof/>
          <w:sz w:val="28"/>
          <w:szCs w:val="28"/>
          <w:u w:val="single"/>
          <w:lang w:eastAsia="ru-RU"/>
        </w:rPr>
        <w:fldChar w:fldCharType="end"/>
      </w:r>
    </w:p>
    <w:p w14:paraId="39955C80" w14:textId="3423BFB3" w:rsidR="000977F7" w:rsidRPr="00077E20" w:rsidRDefault="00077E20" w:rsidP="00871491">
      <w:pPr>
        <w:spacing w:after="0"/>
        <w:jc w:val="center"/>
        <w:rPr>
          <w:rFonts w:ascii="Cambria" w:hAnsi="Cambria"/>
          <w:b/>
          <w:sz w:val="28"/>
          <w:szCs w:val="28"/>
        </w:rPr>
      </w:pPr>
      <w:r w:rsidRPr="00152FAA">
        <w:rPr>
          <w:rFonts w:ascii="Cambria" w:hAnsi="Cambria"/>
          <w:b/>
          <w:sz w:val="28"/>
          <w:szCs w:val="28"/>
          <w:u w:val="single"/>
          <w:lang w:val="en-US"/>
        </w:rPr>
        <w:fldChar w:fldCharType="end"/>
      </w:r>
    </w:p>
    <w:p w14:paraId="320A7218" w14:textId="77777777" w:rsidR="00056B99" w:rsidRPr="00A21FBE" w:rsidRDefault="00056B99" w:rsidP="008104ED">
      <w:pPr>
        <w:spacing w:after="0" w:line="240" w:lineRule="auto"/>
        <w:ind w:right="-2" w:firstLine="567"/>
        <w:jc w:val="center"/>
        <w:rPr>
          <w:rFonts w:asciiTheme="majorHAnsi" w:hAnsiTheme="majorHAnsi"/>
          <w:b/>
          <w:sz w:val="28"/>
          <w:szCs w:val="28"/>
          <w:lang w:val="uk-UA"/>
        </w:rPr>
        <w:sectPr w:rsidR="00056B99" w:rsidRPr="00A21FBE" w:rsidSect="00152FAA">
          <w:pgSz w:w="11906" w:h="16838"/>
          <w:pgMar w:top="1134" w:right="2408" w:bottom="1247" w:left="2268" w:header="709" w:footer="709" w:gutter="0"/>
          <w:cols w:space="708"/>
          <w:docGrid w:linePitch="360"/>
        </w:sectPr>
      </w:pPr>
    </w:p>
    <w:p w14:paraId="55C7C328" w14:textId="77777777" w:rsidR="00D06391" w:rsidRPr="00A21FBE" w:rsidRDefault="008104ED" w:rsidP="00E02D59">
      <w:pPr>
        <w:pStyle w:val="1"/>
        <w:rPr>
          <w:b w:val="0"/>
          <w:lang w:val="uk-UA"/>
        </w:rPr>
      </w:pPr>
      <w:bookmarkStart w:id="1" w:name="_Toc132457594"/>
      <w:bookmarkStart w:id="2" w:name="_Toc132629618"/>
      <w:r w:rsidRPr="00A21FBE">
        <w:rPr>
          <w:lang w:val="uk-UA"/>
        </w:rPr>
        <w:lastRenderedPageBreak/>
        <w:t>ВСТУП</w:t>
      </w:r>
      <w:bookmarkEnd w:id="1"/>
      <w:bookmarkEnd w:id="2"/>
    </w:p>
    <w:p w14:paraId="6B96B776" w14:textId="77777777" w:rsidR="00517800" w:rsidRPr="00A21FBE" w:rsidRDefault="00517800" w:rsidP="007B595C">
      <w:pPr>
        <w:spacing w:after="0"/>
        <w:ind w:right="-2" w:firstLine="567"/>
        <w:jc w:val="center"/>
        <w:rPr>
          <w:rFonts w:asciiTheme="majorHAnsi" w:hAnsiTheme="majorHAnsi"/>
          <w:b/>
          <w:sz w:val="28"/>
          <w:szCs w:val="28"/>
          <w:lang w:val="uk-UA"/>
        </w:rPr>
      </w:pPr>
    </w:p>
    <w:p w14:paraId="39A35E5F" w14:textId="2340C1F4" w:rsidR="00FB7522" w:rsidRPr="00FB7522" w:rsidRDefault="00FB7522" w:rsidP="00FB7522">
      <w:pPr>
        <w:spacing w:after="0" w:line="240" w:lineRule="auto"/>
        <w:ind w:right="56" w:firstLine="438"/>
        <w:jc w:val="both"/>
        <w:rPr>
          <w:rFonts w:asciiTheme="majorHAnsi" w:hAnsiTheme="majorHAnsi"/>
          <w:sz w:val="28"/>
          <w:szCs w:val="28"/>
          <w:lang w:val="uk-UA"/>
        </w:rPr>
      </w:pPr>
      <w:r w:rsidRPr="00FB7522">
        <w:rPr>
          <w:rFonts w:asciiTheme="majorHAnsi" w:hAnsiTheme="majorHAnsi"/>
          <w:sz w:val="28"/>
          <w:szCs w:val="28"/>
          <w:lang w:val="uk-UA"/>
        </w:rPr>
        <w:t xml:space="preserve">Розвиток ринкових відносин на Україні та пов’язаний з ним розвиток в сферах промисловості та наданні послуг ставить перед суб’єктами господарської діяльності завдання щодо підвищення якості та конкурентоспроможності вітчизняної продукції (товарів, робіт, послуг), забезпечення захисту інтересів споживачів, сприяння входженню України в європейський та світовий економічний простір. Цей </w:t>
      </w:r>
      <w:r w:rsidRPr="00AD62AB">
        <w:rPr>
          <w:rFonts w:asciiTheme="majorHAnsi" w:hAnsiTheme="majorHAnsi"/>
          <w:sz w:val="28"/>
          <w:szCs w:val="28"/>
          <w:lang w:val="uk-UA"/>
        </w:rPr>
        <w:t>посібник</w:t>
      </w:r>
      <w:r w:rsidRPr="00FB7522">
        <w:rPr>
          <w:rFonts w:asciiTheme="majorHAnsi" w:hAnsiTheme="majorHAnsi"/>
          <w:sz w:val="28"/>
          <w:szCs w:val="28"/>
          <w:lang w:val="uk-UA"/>
        </w:rPr>
        <w:t xml:space="preserve"> підготовлено з метою представлення в концентрованому вигляді основних термінів в галузі поставлення продукції на виробництво, менеджменту якості, визначення відповідності та випробувань.</w:t>
      </w:r>
    </w:p>
    <w:p w14:paraId="4B683A7A" w14:textId="58E1D85E" w:rsidR="00FB7522" w:rsidRPr="001F1729" w:rsidRDefault="00AD62AB" w:rsidP="00FB7522">
      <w:pPr>
        <w:spacing w:after="0" w:line="240" w:lineRule="auto"/>
        <w:ind w:right="56" w:firstLine="438"/>
        <w:jc w:val="both"/>
        <w:rPr>
          <w:rFonts w:asciiTheme="majorHAnsi" w:hAnsiTheme="majorHAnsi"/>
          <w:sz w:val="28"/>
          <w:szCs w:val="28"/>
        </w:rPr>
      </w:pPr>
      <w:r>
        <w:rPr>
          <w:rFonts w:asciiTheme="majorHAnsi" w:hAnsiTheme="majorHAnsi"/>
          <w:sz w:val="28"/>
          <w:szCs w:val="28"/>
          <w:lang w:val="uk-UA"/>
        </w:rPr>
        <w:t>Посібник</w:t>
      </w:r>
      <w:r w:rsidR="00FB7522" w:rsidRPr="00297070">
        <w:rPr>
          <w:rFonts w:asciiTheme="majorHAnsi" w:hAnsiTheme="majorHAnsi"/>
          <w:sz w:val="28"/>
          <w:szCs w:val="28"/>
          <w:lang w:val="uk-UA"/>
        </w:rPr>
        <w:t xml:space="preserve"> містить стандартизовану та рекомендовану термінологію та визначення основних понять в галузі сертифікації, випробувань та керування якістю, встановлених державними стандартами України, стандартами міжнародної організації з стандартизації (</w:t>
      </w:r>
      <w:r w:rsidR="00FB7522" w:rsidRPr="001F1729">
        <w:rPr>
          <w:rFonts w:asciiTheme="majorHAnsi" w:hAnsiTheme="majorHAnsi"/>
          <w:sz w:val="28"/>
          <w:szCs w:val="28"/>
        </w:rPr>
        <w:t>ISO</w:t>
      </w:r>
      <w:r w:rsidR="00FB7522" w:rsidRPr="00297070">
        <w:rPr>
          <w:rFonts w:asciiTheme="majorHAnsi" w:hAnsiTheme="majorHAnsi"/>
          <w:sz w:val="28"/>
          <w:szCs w:val="28"/>
          <w:lang w:val="uk-UA"/>
        </w:rPr>
        <w:t xml:space="preserve">), Міжнародної електротехнічної комісії (МЕК). </w:t>
      </w:r>
      <w:r w:rsidR="00FB7522" w:rsidRPr="001F1729">
        <w:rPr>
          <w:rFonts w:asciiTheme="majorHAnsi" w:hAnsiTheme="majorHAnsi"/>
          <w:sz w:val="28"/>
          <w:szCs w:val="28"/>
        </w:rPr>
        <w:t>Додаток містить стандартизовані та рекомендовані терміни та визначення українською мовою і терміни-еквіваленти англійською мовою</w:t>
      </w:r>
      <w:r w:rsidR="00FB7522">
        <w:rPr>
          <w:rFonts w:asciiTheme="majorHAnsi" w:hAnsiTheme="majorHAnsi"/>
          <w:sz w:val="28"/>
          <w:szCs w:val="28"/>
        </w:rPr>
        <w:t xml:space="preserve">. </w:t>
      </w:r>
      <w:r w:rsidR="00FB7522" w:rsidRPr="001F1729">
        <w:rPr>
          <w:rFonts w:asciiTheme="majorHAnsi" w:hAnsiTheme="majorHAnsi"/>
          <w:sz w:val="28"/>
          <w:szCs w:val="28"/>
        </w:rPr>
        <w:t>Додаток вміщує 3711 словарних статей.</w:t>
      </w:r>
      <w:r w:rsidR="00FB7522">
        <w:rPr>
          <w:rFonts w:asciiTheme="majorHAnsi" w:hAnsiTheme="majorHAnsi"/>
          <w:spacing w:val="-57"/>
          <w:sz w:val="28"/>
          <w:szCs w:val="28"/>
        </w:rPr>
        <w:t xml:space="preserve">      К</w:t>
      </w:r>
      <w:r w:rsidR="00FB7522" w:rsidRPr="001F1729">
        <w:rPr>
          <w:rFonts w:asciiTheme="majorHAnsi" w:hAnsiTheme="majorHAnsi"/>
          <w:sz w:val="28"/>
          <w:szCs w:val="28"/>
        </w:rPr>
        <w:t>ожна</w:t>
      </w:r>
      <w:r w:rsidR="00FB7522" w:rsidRPr="001F1729">
        <w:rPr>
          <w:rFonts w:asciiTheme="majorHAnsi" w:hAnsiTheme="majorHAnsi"/>
          <w:spacing w:val="-2"/>
          <w:sz w:val="28"/>
          <w:szCs w:val="28"/>
        </w:rPr>
        <w:t xml:space="preserve"> </w:t>
      </w:r>
      <w:r w:rsidR="00FB7522" w:rsidRPr="001F1729">
        <w:rPr>
          <w:rFonts w:asciiTheme="majorHAnsi" w:hAnsiTheme="majorHAnsi"/>
          <w:sz w:val="28"/>
          <w:szCs w:val="28"/>
        </w:rPr>
        <w:t>словарна</w:t>
      </w:r>
      <w:r w:rsidR="00FB7522" w:rsidRPr="001F1729">
        <w:rPr>
          <w:rFonts w:asciiTheme="majorHAnsi" w:hAnsiTheme="majorHAnsi"/>
          <w:spacing w:val="-1"/>
          <w:sz w:val="28"/>
          <w:szCs w:val="28"/>
        </w:rPr>
        <w:t xml:space="preserve"> </w:t>
      </w:r>
      <w:r w:rsidR="00FB7522" w:rsidRPr="001F1729">
        <w:rPr>
          <w:rFonts w:asciiTheme="majorHAnsi" w:hAnsiTheme="majorHAnsi"/>
          <w:sz w:val="28"/>
          <w:szCs w:val="28"/>
        </w:rPr>
        <w:t>стаття</w:t>
      </w:r>
      <w:r w:rsidR="00FB7522" w:rsidRPr="001F1729">
        <w:rPr>
          <w:rFonts w:asciiTheme="majorHAnsi" w:hAnsiTheme="majorHAnsi"/>
          <w:spacing w:val="-1"/>
          <w:sz w:val="28"/>
          <w:szCs w:val="28"/>
        </w:rPr>
        <w:t xml:space="preserve"> </w:t>
      </w:r>
      <w:r w:rsidR="00FB7522" w:rsidRPr="001F1729">
        <w:rPr>
          <w:rFonts w:asciiTheme="majorHAnsi" w:hAnsiTheme="majorHAnsi"/>
          <w:sz w:val="28"/>
          <w:szCs w:val="28"/>
        </w:rPr>
        <w:t>вміщує:</w:t>
      </w:r>
      <w:r w:rsidR="00FB7522">
        <w:rPr>
          <w:rFonts w:asciiTheme="majorHAnsi" w:hAnsiTheme="majorHAnsi"/>
          <w:sz w:val="28"/>
          <w:szCs w:val="28"/>
        </w:rPr>
        <w:t xml:space="preserve"> </w:t>
      </w:r>
      <w:r w:rsidR="00FB7522" w:rsidRPr="001F1729">
        <w:rPr>
          <w:rFonts w:asciiTheme="majorHAnsi" w:hAnsiTheme="majorHAnsi"/>
          <w:sz w:val="28"/>
          <w:szCs w:val="28"/>
        </w:rPr>
        <w:t>стандартизований</w:t>
      </w:r>
      <w:r w:rsidR="00FB7522" w:rsidRPr="001F1729">
        <w:rPr>
          <w:rFonts w:asciiTheme="majorHAnsi" w:hAnsiTheme="majorHAnsi"/>
          <w:spacing w:val="-5"/>
          <w:sz w:val="28"/>
          <w:szCs w:val="28"/>
        </w:rPr>
        <w:t xml:space="preserve"> </w:t>
      </w:r>
      <w:r w:rsidR="00FB7522" w:rsidRPr="001F1729">
        <w:rPr>
          <w:rFonts w:asciiTheme="majorHAnsi" w:hAnsiTheme="majorHAnsi"/>
          <w:sz w:val="28"/>
          <w:szCs w:val="28"/>
        </w:rPr>
        <w:t>або</w:t>
      </w:r>
      <w:r w:rsidR="00FB7522" w:rsidRPr="001F1729">
        <w:rPr>
          <w:rFonts w:asciiTheme="majorHAnsi" w:hAnsiTheme="majorHAnsi"/>
          <w:spacing w:val="-4"/>
          <w:sz w:val="28"/>
          <w:szCs w:val="28"/>
        </w:rPr>
        <w:t xml:space="preserve"> </w:t>
      </w:r>
      <w:r w:rsidR="00FB7522" w:rsidRPr="001F1729">
        <w:rPr>
          <w:rFonts w:asciiTheme="majorHAnsi" w:hAnsiTheme="majorHAnsi"/>
          <w:sz w:val="28"/>
          <w:szCs w:val="28"/>
        </w:rPr>
        <w:t>рекомендований</w:t>
      </w:r>
      <w:r w:rsidR="00FB7522" w:rsidRPr="001F1729">
        <w:rPr>
          <w:rFonts w:asciiTheme="majorHAnsi" w:hAnsiTheme="majorHAnsi"/>
          <w:spacing w:val="-7"/>
          <w:sz w:val="28"/>
          <w:szCs w:val="28"/>
        </w:rPr>
        <w:t xml:space="preserve"> </w:t>
      </w:r>
      <w:r w:rsidR="00FB7522" w:rsidRPr="001F1729">
        <w:rPr>
          <w:rFonts w:asciiTheme="majorHAnsi" w:hAnsiTheme="majorHAnsi"/>
          <w:sz w:val="28"/>
          <w:szCs w:val="28"/>
        </w:rPr>
        <w:t>термін</w:t>
      </w:r>
      <w:r w:rsidR="00FB7522" w:rsidRPr="001F1729">
        <w:rPr>
          <w:rFonts w:asciiTheme="majorHAnsi" w:hAnsiTheme="majorHAnsi"/>
          <w:spacing w:val="-1"/>
          <w:sz w:val="28"/>
          <w:szCs w:val="28"/>
        </w:rPr>
        <w:t xml:space="preserve"> </w:t>
      </w:r>
      <w:r w:rsidR="00FB7522" w:rsidRPr="001F1729">
        <w:rPr>
          <w:rFonts w:asciiTheme="majorHAnsi" w:hAnsiTheme="majorHAnsi"/>
          <w:sz w:val="28"/>
          <w:szCs w:val="28"/>
        </w:rPr>
        <w:t>українською</w:t>
      </w:r>
      <w:r w:rsidR="00FB7522" w:rsidRPr="001F1729">
        <w:rPr>
          <w:rFonts w:asciiTheme="majorHAnsi" w:hAnsiTheme="majorHAnsi"/>
          <w:spacing w:val="-5"/>
          <w:sz w:val="28"/>
          <w:szCs w:val="28"/>
        </w:rPr>
        <w:t xml:space="preserve"> </w:t>
      </w:r>
      <w:r w:rsidR="00FB7522" w:rsidRPr="001F1729">
        <w:rPr>
          <w:rFonts w:asciiTheme="majorHAnsi" w:hAnsiTheme="majorHAnsi"/>
          <w:sz w:val="28"/>
          <w:szCs w:val="28"/>
        </w:rPr>
        <w:t>мовою;</w:t>
      </w:r>
      <w:r w:rsidR="00FB7522">
        <w:rPr>
          <w:rFonts w:asciiTheme="majorHAnsi" w:hAnsiTheme="majorHAnsi"/>
          <w:sz w:val="28"/>
          <w:szCs w:val="28"/>
        </w:rPr>
        <w:t xml:space="preserve"> </w:t>
      </w:r>
      <w:r w:rsidR="00FB7522" w:rsidRPr="001F1729">
        <w:rPr>
          <w:rFonts w:asciiTheme="majorHAnsi" w:hAnsiTheme="majorHAnsi"/>
          <w:sz w:val="28"/>
          <w:szCs w:val="28"/>
        </w:rPr>
        <w:t>визначення терміна, яке в деяких випадках супроводжується приміткою, прикладом</w:t>
      </w:r>
      <w:r w:rsidR="00FB7522" w:rsidRPr="001F1729">
        <w:rPr>
          <w:rFonts w:asciiTheme="majorHAnsi" w:hAnsiTheme="majorHAnsi"/>
          <w:spacing w:val="1"/>
          <w:sz w:val="28"/>
          <w:szCs w:val="28"/>
        </w:rPr>
        <w:t xml:space="preserve"> </w:t>
      </w:r>
      <w:r w:rsidR="00FB7522" w:rsidRPr="001F1729">
        <w:rPr>
          <w:rFonts w:asciiTheme="majorHAnsi" w:hAnsiTheme="majorHAnsi"/>
          <w:sz w:val="28"/>
          <w:szCs w:val="28"/>
        </w:rPr>
        <w:t>або</w:t>
      </w:r>
      <w:r w:rsidR="00FB7522" w:rsidRPr="001F1729">
        <w:rPr>
          <w:rFonts w:asciiTheme="majorHAnsi" w:hAnsiTheme="majorHAnsi"/>
          <w:spacing w:val="-1"/>
          <w:sz w:val="28"/>
          <w:szCs w:val="28"/>
        </w:rPr>
        <w:t xml:space="preserve"> </w:t>
      </w:r>
      <w:r w:rsidR="00FB7522" w:rsidRPr="001F1729">
        <w:rPr>
          <w:rFonts w:asciiTheme="majorHAnsi" w:hAnsiTheme="majorHAnsi"/>
          <w:sz w:val="28"/>
          <w:szCs w:val="28"/>
        </w:rPr>
        <w:t>коментарем.</w:t>
      </w:r>
      <w:r w:rsidR="00FB7522">
        <w:rPr>
          <w:rFonts w:asciiTheme="majorHAnsi" w:hAnsiTheme="majorHAnsi"/>
          <w:sz w:val="28"/>
          <w:szCs w:val="28"/>
        </w:rPr>
        <w:t xml:space="preserve"> </w:t>
      </w:r>
      <w:r w:rsidR="00FB7522" w:rsidRPr="001F1729">
        <w:rPr>
          <w:rFonts w:asciiTheme="majorHAnsi" w:hAnsiTheme="majorHAnsi"/>
          <w:sz w:val="28"/>
          <w:szCs w:val="28"/>
        </w:rPr>
        <w:t>Словарна</w:t>
      </w:r>
      <w:r w:rsidR="00FB7522" w:rsidRPr="001F1729">
        <w:rPr>
          <w:rFonts w:asciiTheme="majorHAnsi" w:hAnsiTheme="majorHAnsi"/>
          <w:spacing w:val="-4"/>
          <w:sz w:val="28"/>
          <w:szCs w:val="28"/>
        </w:rPr>
        <w:t xml:space="preserve"> </w:t>
      </w:r>
      <w:r w:rsidR="00FB7522" w:rsidRPr="001F1729">
        <w:rPr>
          <w:rFonts w:asciiTheme="majorHAnsi" w:hAnsiTheme="majorHAnsi"/>
          <w:sz w:val="28"/>
          <w:szCs w:val="28"/>
        </w:rPr>
        <w:t>стаття</w:t>
      </w:r>
      <w:r w:rsidR="00FB7522" w:rsidRPr="001F1729">
        <w:rPr>
          <w:rFonts w:asciiTheme="majorHAnsi" w:hAnsiTheme="majorHAnsi"/>
          <w:spacing w:val="-3"/>
          <w:sz w:val="28"/>
          <w:szCs w:val="28"/>
        </w:rPr>
        <w:t xml:space="preserve"> </w:t>
      </w:r>
      <w:r w:rsidR="00FB7522" w:rsidRPr="001F1729">
        <w:rPr>
          <w:rFonts w:asciiTheme="majorHAnsi" w:hAnsiTheme="majorHAnsi"/>
          <w:sz w:val="28"/>
          <w:szCs w:val="28"/>
        </w:rPr>
        <w:t>закінчується</w:t>
      </w:r>
      <w:r w:rsidR="00FB7522" w:rsidRPr="001F1729">
        <w:rPr>
          <w:rFonts w:asciiTheme="majorHAnsi" w:hAnsiTheme="majorHAnsi"/>
          <w:spacing w:val="-4"/>
          <w:sz w:val="28"/>
          <w:szCs w:val="28"/>
        </w:rPr>
        <w:t xml:space="preserve"> </w:t>
      </w:r>
      <w:r w:rsidR="00FB7522" w:rsidRPr="001F1729">
        <w:rPr>
          <w:rFonts w:asciiTheme="majorHAnsi" w:hAnsiTheme="majorHAnsi"/>
          <w:sz w:val="28"/>
          <w:szCs w:val="28"/>
        </w:rPr>
        <w:t>позначенням</w:t>
      </w:r>
      <w:r w:rsidR="00FB7522" w:rsidRPr="001F1729">
        <w:rPr>
          <w:rFonts w:asciiTheme="majorHAnsi" w:hAnsiTheme="majorHAnsi"/>
          <w:spacing w:val="-3"/>
          <w:sz w:val="28"/>
          <w:szCs w:val="28"/>
        </w:rPr>
        <w:t xml:space="preserve"> </w:t>
      </w:r>
      <w:r w:rsidR="00FB7522" w:rsidRPr="001F1729">
        <w:rPr>
          <w:rFonts w:asciiTheme="majorHAnsi" w:hAnsiTheme="majorHAnsi"/>
          <w:sz w:val="28"/>
          <w:szCs w:val="28"/>
        </w:rPr>
        <w:t>джерела</w:t>
      </w:r>
      <w:r w:rsidR="00FB7522" w:rsidRPr="001F1729">
        <w:rPr>
          <w:rFonts w:asciiTheme="majorHAnsi" w:hAnsiTheme="majorHAnsi"/>
          <w:spacing w:val="-4"/>
          <w:sz w:val="28"/>
          <w:szCs w:val="28"/>
        </w:rPr>
        <w:t xml:space="preserve"> </w:t>
      </w:r>
      <w:r w:rsidR="00FB7522" w:rsidRPr="001F1729">
        <w:rPr>
          <w:rFonts w:asciiTheme="majorHAnsi" w:hAnsiTheme="majorHAnsi"/>
          <w:sz w:val="28"/>
          <w:szCs w:val="28"/>
        </w:rPr>
        <w:t>інформації.</w:t>
      </w:r>
      <w:r w:rsidR="00FB7522">
        <w:rPr>
          <w:rFonts w:asciiTheme="majorHAnsi" w:hAnsiTheme="majorHAnsi"/>
          <w:sz w:val="28"/>
          <w:szCs w:val="28"/>
        </w:rPr>
        <w:t xml:space="preserve"> </w:t>
      </w:r>
      <w:r w:rsidR="00FB7522" w:rsidRPr="001F1729">
        <w:rPr>
          <w:rFonts w:asciiTheme="majorHAnsi" w:hAnsiTheme="majorHAnsi"/>
          <w:sz w:val="28"/>
          <w:szCs w:val="28"/>
        </w:rPr>
        <w:t>В тих випадках, якщо один і той же термін міститься в декількох документах, в словарній</w:t>
      </w:r>
      <w:r w:rsidR="00FB7522" w:rsidRPr="001F1729">
        <w:rPr>
          <w:rFonts w:asciiTheme="majorHAnsi" w:hAnsiTheme="majorHAnsi"/>
          <w:spacing w:val="-58"/>
          <w:sz w:val="28"/>
          <w:szCs w:val="28"/>
        </w:rPr>
        <w:t xml:space="preserve"> </w:t>
      </w:r>
      <w:r w:rsidR="00FB7522" w:rsidRPr="001F1729">
        <w:rPr>
          <w:rFonts w:asciiTheme="majorHAnsi" w:hAnsiTheme="majorHAnsi"/>
          <w:sz w:val="28"/>
          <w:szCs w:val="28"/>
        </w:rPr>
        <w:t>статті наводяться всі визначення з зазначенням джерел інформації. При повній відповідності</w:t>
      </w:r>
      <w:r w:rsidR="00FB7522" w:rsidRPr="001F1729">
        <w:rPr>
          <w:rFonts w:asciiTheme="majorHAnsi" w:hAnsiTheme="majorHAnsi"/>
          <w:spacing w:val="1"/>
          <w:sz w:val="28"/>
          <w:szCs w:val="28"/>
        </w:rPr>
        <w:t xml:space="preserve"> </w:t>
      </w:r>
      <w:r w:rsidR="00FB7522" w:rsidRPr="001F1729">
        <w:rPr>
          <w:rFonts w:asciiTheme="majorHAnsi" w:hAnsiTheme="majorHAnsi"/>
          <w:sz w:val="28"/>
          <w:szCs w:val="28"/>
        </w:rPr>
        <w:t>текст</w:t>
      </w:r>
      <w:r w:rsidR="00FB7522" w:rsidRPr="001F1729">
        <w:rPr>
          <w:rFonts w:asciiTheme="majorHAnsi" w:hAnsiTheme="majorHAnsi"/>
          <w:spacing w:val="-1"/>
          <w:sz w:val="28"/>
          <w:szCs w:val="28"/>
        </w:rPr>
        <w:t xml:space="preserve"> </w:t>
      </w:r>
      <w:r w:rsidR="00FB7522" w:rsidRPr="001F1729">
        <w:rPr>
          <w:rFonts w:asciiTheme="majorHAnsi" w:hAnsiTheme="majorHAnsi"/>
          <w:sz w:val="28"/>
          <w:szCs w:val="28"/>
        </w:rPr>
        <w:t>визначення</w:t>
      </w:r>
      <w:r w:rsidR="00FB7522" w:rsidRPr="001F1729">
        <w:rPr>
          <w:rFonts w:asciiTheme="majorHAnsi" w:hAnsiTheme="majorHAnsi"/>
          <w:spacing w:val="-1"/>
          <w:sz w:val="28"/>
          <w:szCs w:val="28"/>
        </w:rPr>
        <w:t xml:space="preserve"> </w:t>
      </w:r>
      <w:r w:rsidR="00FB7522" w:rsidRPr="001F1729">
        <w:rPr>
          <w:rFonts w:asciiTheme="majorHAnsi" w:hAnsiTheme="majorHAnsi"/>
          <w:sz w:val="28"/>
          <w:szCs w:val="28"/>
        </w:rPr>
        <w:t>дається один</w:t>
      </w:r>
      <w:r w:rsidR="00FB7522" w:rsidRPr="001F1729">
        <w:rPr>
          <w:rFonts w:asciiTheme="majorHAnsi" w:hAnsiTheme="majorHAnsi"/>
          <w:spacing w:val="-1"/>
          <w:sz w:val="28"/>
          <w:szCs w:val="28"/>
        </w:rPr>
        <w:t xml:space="preserve"> </w:t>
      </w:r>
      <w:r w:rsidR="00FB7522" w:rsidRPr="001F1729">
        <w:rPr>
          <w:rFonts w:asciiTheme="majorHAnsi" w:hAnsiTheme="majorHAnsi"/>
          <w:sz w:val="28"/>
          <w:szCs w:val="28"/>
        </w:rPr>
        <w:t>раз з</w:t>
      </w:r>
      <w:r w:rsidR="00FB7522" w:rsidRPr="001F1729">
        <w:rPr>
          <w:rFonts w:asciiTheme="majorHAnsi" w:hAnsiTheme="majorHAnsi"/>
          <w:spacing w:val="-3"/>
          <w:sz w:val="28"/>
          <w:szCs w:val="28"/>
        </w:rPr>
        <w:t xml:space="preserve"> </w:t>
      </w:r>
      <w:r w:rsidR="00FB7522" w:rsidRPr="001F1729">
        <w:rPr>
          <w:rFonts w:asciiTheme="majorHAnsi" w:hAnsiTheme="majorHAnsi"/>
          <w:sz w:val="28"/>
          <w:szCs w:val="28"/>
        </w:rPr>
        <w:t>посиланням</w:t>
      </w:r>
      <w:r w:rsidR="00FB7522" w:rsidRPr="001F1729">
        <w:rPr>
          <w:rFonts w:asciiTheme="majorHAnsi" w:hAnsiTheme="majorHAnsi"/>
          <w:spacing w:val="-2"/>
          <w:sz w:val="28"/>
          <w:szCs w:val="28"/>
        </w:rPr>
        <w:t xml:space="preserve"> </w:t>
      </w:r>
      <w:r w:rsidR="00FB7522" w:rsidRPr="001F1729">
        <w:rPr>
          <w:rFonts w:asciiTheme="majorHAnsi" w:hAnsiTheme="majorHAnsi"/>
          <w:sz w:val="28"/>
          <w:szCs w:val="28"/>
        </w:rPr>
        <w:t>на</w:t>
      </w:r>
      <w:r w:rsidR="00FB7522" w:rsidRPr="001F1729">
        <w:rPr>
          <w:rFonts w:asciiTheme="majorHAnsi" w:hAnsiTheme="majorHAnsi"/>
          <w:spacing w:val="3"/>
          <w:sz w:val="28"/>
          <w:szCs w:val="28"/>
        </w:rPr>
        <w:t xml:space="preserve"> </w:t>
      </w:r>
      <w:r w:rsidR="00FB7522" w:rsidRPr="001F1729">
        <w:rPr>
          <w:rFonts w:asciiTheme="majorHAnsi" w:hAnsiTheme="majorHAnsi"/>
          <w:sz w:val="28"/>
          <w:szCs w:val="28"/>
        </w:rPr>
        <w:t>всі</w:t>
      </w:r>
      <w:r w:rsidR="00FB7522" w:rsidRPr="001F1729">
        <w:rPr>
          <w:rFonts w:asciiTheme="majorHAnsi" w:hAnsiTheme="majorHAnsi"/>
          <w:spacing w:val="-1"/>
          <w:sz w:val="28"/>
          <w:szCs w:val="28"/>
        </w:rPr>
        <w:t xml:space="preserve"> </w:t>
      </w:r>
      <w:r w:rsidR="00FB7522" w:rsidRPr="001F1729">
        <w:rPr>
          <w:rFonts w:asciiTheme="majorHAnsi" w:hAnsiTheme="majorHAnsi"/>
          <w:sz w:val="28"/>
          <w:szCs w:val="28"/>
        </w:rPr>
        <w:t>джерела</w:t>
      </w:r>
      <w:r w:rsidR="00FB7522" w:rsidRPr="001F1729">
        <w:rPr>
          <w:rFonts w:asciiTheme="majorHAnsi" w:hAnsiTheme="majorHAnsi"/>
          <w:spacing w:val="-1"/>
          <w:sz w:val="28"/>
          <w:szCs w:val="28"/>
        </w:rPr>
        <w:t xml:space="preserve"> </w:t>
      </w:r>
      <w:r w:rsidR="00FB7522" w:rsidRPr="001F1729">
        <w:rPr>
          <w:rFonts w:asciiTheme="majorHAnsi" w:hAnsiTheme="majorHAnsi"/>
          <w:sz w:val="28"/>
          <w:szCs w:val="28"/>
        </w:rPr>
        <w:t>інформації.</w:t>
      </w:r>
    </w:p>
    <w:p w14:paraId="78983D99" w14:textId="77777777" w:rsidR="00FB7522" w:rsidRPr="0097612F" w:rsidRDefault="00FB7522" w:rsidP="00FB7522">
      <w:pPr>
        <w:spacing w:after="0" w:line="240" w:lineRule="auto"/>
        <w:ind w:right="56" w:firstLine="438"/>
        <w:jc w:val="both"/>
        <w:rPr>
          <w:rFonts w:asciiTheme="majorHAnsi" w:hAnsiTheme="majorHAnsi"/>
          <w:sz w:val="28"/>
          <w:szCs w:val="28"/>
        </w:rPr>
      </w:pPr>
      <w:r w:rsidRPr="0097612F">
        <w:rPr>
          <w:rFonts w:asciiTheme="majorHAnsi" w:hAnsiTheme="majorHAnsi"/>
          <w:sz w:val="28"/>
          <w:szCs w:val="28"/>
        </w:rPr>
        <w:t>Наведенні в словнику терміни англійською мовою (1837 термінів) мають різний статус залежно від джерела, з якого вони запозичені: стандартизовані, якщо вони встановлені стандартами ISO або MEK, і не стандартизовані – якщо вони наведені в державних стандартах України (ДСТУ) та порадниках ISO/MEK, в яких вони мають довідковий характер.</w:t>
      </w:r>
    </w:p>
    <w:p w14:paraId="03800A46" w14:textId="77777777" w:rsidR="00FB7522" w:rsidRPr="0097612F" w:rsidRDefault="00FB7522" w:rsidP="00FB7522">
      <w:pPr>
        <w:spacing w:after="0" w:line="240" w:lineRule="auto"/>
        <w:ind w:right="56" w:firstLine="438"/>
        <w:jc w:val="both"/>
        <w:rPr>
          <w:rFonts w:asciiTheme="majorHAnsi" w:hAnsiTheme="majorHAnsi"/>
          <w:sz w:val="28"/>
          <w:szCs w:val="28"/>
        </w:rPr>
      </w:pPr>
      <w:r w:rsidRPr="0097612F">
        <w:rPr>
          <w:rFonts w:asciiTheme="majorHAnsi" w:hAnsiTheme="majorHAnsi"/>
          <w:sz w:val="28"/>
          <w:szCs w:val="28"/>
        </w:rPr>
        <w:t xml:space="preserve">При створенні словника врахований досвід роботи в галузі оцінки відповідності та сертифікації продукції і систем управління якістю Органу з сертифікації метало - та деревообробного обладнання та продукції машинобудування КПІ ім. Ігоря Сікорського. </w:t>
      </w:r>
    </w:p>
    <w:p w14:paraId="24421093" w14:textId="6216E449" w:rsidR="001B2489" w:rsidRPr="00A21FBE" w:rsidRDefault="001B2489" w:rsidP="007B595C">
      <w:pPr>
        <w:spacing w:after="0"/>
        <w:ind w:firstLine="510"/>
        <w:jc w:val="both"/>
        <w:rPr>
          <w:rFonts w:asciiTheme="majorHAnsi" w:eastAsia="Times New Roman" w:hAnsiTheme="majorHAnsi"/>
          <w:kern w:val="20"/>
          <w:sz w:val="28"/>
          <w:szCs w:val="28"/>
          <w:lang w:eastAsia="ru-RU"/>
        </w:rPr>
      </w:pPr>
    </w:p>
    <w:p w14:paraId="158295F8" w14:textId="77777777" w:rsidR="000F53A6" w:rsidRPr="007B595C" w:rsidRDefault="000F53A6" w:rsidP="001E469B">
      <w:pPr>
        <w:spacing w:after="0" w:line="360" w:lineRule="auto"/>
        <w:ind w:right="-2" w:firstLine="567"/>
        <w:rPr>
          <w:rFonts w:asciiTheme="majorHAnsi" w:eastAsia="Times New Roman" w:hAnsiTheme="majorHAnsi"/>
          <w:kern w:val="20"/>
          <w:sz w:val="28"/>
          <w:szCs w:val="28"/>
          <w:lang w:eastAsia="ru-RU"/>
        </w:rPr>
        <w:sectPr w:rsidR="000F53A6" w:rsidRPr="007B595C" w:rsidSect="001E469B">
          <w:pgSz w:w="11906" w:h="16838"/>
          <w:pgMar w:top="1134" w:right="1247" w:bottom="1247" w:left="1247" w:header="709" w:footer="709" w:gutter="0"/>
          <w:cols w:space="708"/>
          <w:docGrid w:linePitch="360"/>
        </w:sectPr>
      </w:pPr>
    </w:p>
    <w:p w14:paraId="06EA9B68" w14:textId="439D5CBC" w:rsidR="00FC2E46" w:rsidRDefault="00FC2E46">
      <w:pPr>
        <w:rPr>
          <w:rFonts w:asciiTheme="majorHAnsi" w:eastAsia="Times New Roman" w:hAnsiTheme="majorHAnsi"/>
          <w:bCs/>
          <w:color w:val="000000"/>
          <w:sz w:val="28"/>
          <w:szCs w:val="28"/>
          <w:bdr w:val="none" w:sz="0" w:space="0" w:color="auto" w:frame="1"/>
          <w:lang w:val="uk-UA" w:eastAsia="ru-RU"/>
        </w:rPr>
      </w:pPr>
    </w:p>
    <w:p w14:paraId="32FBE907" w14:textId="77777777" w:rsidR="0097612F" w:rsidRPr="000977F7" w:rsidRDefault="0097612F" w:rsidP="00F74722">
      <w:pPr>
        <w:pStyle w:val="1"/>
        <w:rPr>
          <w:color w:val="auto"/>
          <w:w w:val="99"/>
          <w:sz w:val="24"/>
          <w:szCs w:val="24"/>
          <w:lang w:val="uk-UA"/>
        </w:rPr>
      </w:pPr>
      <w:bookmarkStart w:id="3" w:name="_TOC_250001"/>
      <w:bookmarkStart w:id="4" w:name="_Toc132629619"/>
      <w:bookmarkEnd w:id="3"/>
      <w:r w:rsidRPr="00F74722">
        <w:rPr>
          <w:lang w:val="uk-UA"/>
        </w:rPr>
        <w:t>А</w:t>
      </w:r>
      <w:bookmarkEnd w:id="4"/>
    </w:p>
    <w:p w14:paraId="052775CE" w14:textId="77777777" w:rsidR="0097612F" w:rsidRPr="000977F7" w:rsidRDefault="0097612F" w:rsidP="000977F7">
      <w:pPr>
        <w:pStyle w:val="1"/>
        <w:tabs>
          <w:tab w:val="left" w:pos="284"/>
        </w:tabs>
        <w:spacing w:after="120" w:line="240" w:lineRule="auto"/>
        <w:ind w:left="170"/>
        <w:mirrorIndents/>
        <w:rPr>
          <w:color w:val="auto"/>
          <w:w w:val="99"/>
          <w:sz w:val="24"/>
          <w:szCs w:val="24"/>
          <w:lang w:val="uk-UA"/>
        </w:rPr>
        <w:sectPr w:rsidR="0097612F" w:rsidRPr="000977F7" w:rsidSect="00042C62">
          <w:pgSz w:w="11910" w:h="16840"/>
          <w:pgMar w:top="800" w:right="428" w:bottom="960" w:left="1000" w:header="0" w:footer="751" w:gutter="0"/>
          <w:cols w:space="40"/>
        </w:sectPr>
      </w:pPr>
    </w:p>
    <w:p w14:paraId="55DF258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АБЕТКОВО</w:t>
      </w:r>
      <w:r w:rsidRPr="000977F7">
        <w:rPr>
          <w:color w:val="auto"/>
          <w:spacing w:val="-1"/>
          <w:sz w:val="20"/>
          <w:szCs w:val="20"/>
        </w:rPr>
        <w:t xml:space="preserve"> </w:t>
      </w:r>
      <w:r w:rsidRPr="000977F7">
        <w:rPr>
          <w:color w:val="auto"/>
          <w:sz w:val="20"/>
          <w:szCs w:val="20"/>
        </w:rPr>
        <w:t>–</w:t>
      </w:r>
      <w:r w:rsidRPr="000977F7">
        <w:rPr>
          <w:color w:val="auto"/>
          <w:spacing w:val="-2"/>
          <w:sz w:val="20"/>
          <w:szCs w:val="20"/>
        </w:rPr>
        <w:t xml:space="preserve"> </w:t>
      </w:r>
      <w:r w:rsidRPr="000977F7">
        <w:rPr>
          <w:color w:val="auto"/>
          <w:sz w:val="20"/>
          <w:szCs w:val="20"/>
        </w:rPr>
        <w:t>ЦИФРОВІ</w:t>
      </w:r>
      <w:r w:rsidRPr="000977F7">
        <w:rPr>
          <w:color w:val="auto"/>
          <w:spacing w:val="-5"/>
          <w:sz w:val="20"/>
          <w:szCs w:val="20"/>
        </w:rPr>
        <w:t xml:space="preserve"> </w:t>
      </w:r>
      <w:r w:rsidRPr="000977F7">
        <w:rPr>
          <w:color w:val="auto"/>
          <w:sz w:val="20"/>
          <w:szCs w:val="20"/>
        </w:rPr>
        <w:t>ДАНІ</w:t>
      </w:r>
      <w:r w:rsidRPr="000977F7">
        <w:rPr>
          <w:color w:val="auto"/>
          <w:spacing w:val="-2"/>
          <w:sz w:val="20"/>
          <w:szCs w:val="20"/>
        </w:rPr>
        <w:t xml:space="preserve"> </w:t>
      </w:r>
      <w:r w:rsidRPr="000977F7">
        <w:rPr>
          <w:color w:val="auto"/>
          <w:sz w:val="20"/>
          <w:szCs w:val="20"/>
        </w:rPr>
        <w:t>–</w:t>
      </w:r>
    </w:p>
    <w:p w14:paraId="6CAF364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ALPHANUMERIC</w:t>
      </w:r>
      <w:r w:rsidRPr="000977F7">
        <w:rPr>
          <w:rFonts w:asciiTheme="majorHAnsi" w:hAnsiTheme="majorHAnsi"/>
          <w:spacing w:val="-4"/>
          <w:sz w:val="20"/>
          <w:szCs w:val="20"/>
        </w:rPr>
        <w:t xml:space="preserve"> </w:t>
      </w:r>
      <w:r w:rsidRPr="000977F7">
        <w:rPr>
          <w:rFonts w:asciiTheme="majorHAnsi" w:hAnsiTheme="majorHAnsi"/>
          <w:sz w:val="20"/>
          <w:szCs w:val="20"/>
        </w:rPr>
        <w:t>DATA</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18C34A1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Дані, елементи яких вибирають із деякого набору символів (літер, цифрових знаків, можливо спеціальних</w:t>
      </w:r>
      <w:r w:rsidRPr="000977F7">
        <w:rPr>
          <w:rFonts w:asciiTheme="majorHAnsi" w:hAnsiTheme="majorHAnsi"/>
          <w:spacing w:val="1"/>
          <w:sz w:val="20"/>
          <w:szCs w:val="20"/>
        </w:rPr>
        <w:t xml:space="preserve"> </w:t>
      </w:r>
      <w:r w:rsidRPr="000977F7">
        <w:rPr>
          <w:rFonts w:asciiTheme="majorHAnsi" w:hAnsiTheme="majorHAnsi"/>
          <w:sz w:val="20"/>
          <w:szCs w:val="20"/>
        </w:rPr>
        <w:t>символів</w:t>
      </w:r>
      <w:r w:rsidRPr="000977F7">
        <w:rPr>
          <w:rFonts w:asciiTheme="majorHAnsi" w:hAnsiTheme="majorHAnsi"/>
          <w:spacing w:val="1"/>
          <w:sz w:val="20"/>
          <w:szCs w:val="20"/>
        </w:rPr>
        <w:t xml:space="preserve"> </w:t>
      </w:r>
      <w:r w:rsidRPr="000977F7">
        <w:rPr>
          <w:rFonts w:asciiTheme="majorHAnsi" w:hAnsiTheme="majorHAnsi"/>
          <w:sz w:val="20"/>
          <w:szCs w:val="20"/>
        </w:rPr>
        <w:t>та пропусків)</w:t>
      </w:r>
    </w:p>
    <w:p w14:paraId="16FF3D7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58E4B1A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АБЛЯЦІЯ</w:t>
      </w:r>
      <w:r w:rsidRPr="000977F7">
        <w:rPr>
          <w:color w:val="auto"/>
          <w:spacing w:val="-4"/>
          <w:sz w:val="20"/>
          <w:szCs w:val="20"/>
        </w:rPr>
        <w:t xml:space="preserve"> </w:t>
      </w:r>
      <w:r w:rsidRPr="000977F7">
        <w:rPr>
          <w:color w:val="auto"/>
          <w:sz w:val="20"/>
          <w:szCs w:val="20"/>
        </w:rPr>
        <w:t>–</w:t>
      </w:r>
    </w:p>
    <w:p w14:paraId="5881185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Корозійно-ерозійне</w:t>
      </w:r>
      <w:r w:rsidRPr="000977F7">
        <w:rPr>
          <w:rFonts w:asciiTheme="majorHAnsi" w:hAnsiTheme="majorHAnsi"/>
          <w:spacing w:val="8"/>
          <w:sz w:val="20"/>
          <w:szCs w:val="20"/>
        </w:rPr>
        <w:t xml:space="preserve"> </w:t>
      </w:r>
      <w:r w:rsidRPr="000977F7">
        <w:rPr>
          <w:rFonts w:asciiTheme="majorHAnsi" w:hAnsiTheme="majorHAnsi"/>
          <w:sz w:val="20"/>
          <w:szCs w:val="20"/>
        </w:rPr>
        <w:t>руйнування</w:t>
      </w:r>
      <w:r w:rsidRPr="000977F7">
        <w:rPr>
          <w:rFonts w:asciiTheme="majorHAnsi" w:hAnsiTheme="majorHAnsi"/>
          <w:spacing w:val="7"/>
          <w:sz w:val="20"/>
          <w:szCs w:val="20"/>
        </w:rPr>
        <w:t xml:space="preserve"> </w:t>
      </w:r>
      <w:r w:rsidRPr="000977F7">
        <w:rPr>
          <w:rFonts w:asciiTheme="majorHAnsi" w:hAnsiTheme="majorHAnsi"/>
          <w:sz w:val="20"/>
          <w:szCs w:val="20"/>
        </w:rPr>
        <w:t>твердого</w:t>
      </w:r>
      <w:r w:rsidRPr="000977F7">
        <w:rPr>
          <w:rFonts w:asciiTheme="majorHAnsi" w:hAnsiTheme="majorHAnsi"/>
          <w:spacing w:val="8"/>
          <w:sz w:val="20"/>
          <w:szCs w:val="20"/>
        </w:rPr>
        <w:t xml:space="preserve"> </w:t>
      </w:r>
      <w:r w:rsidRPr="000977F7">
        <w:rPr>
          <w:rFonts w:asciiTheme="majorHAnsi" w:hAnsiTheme="majorHAnsi"/>
          <w:sz w:val="20"/>
          <w:szCs w:val="20"/>
        </w:rPr>
        <w:t>тіла</w:t>
      </w:r>
      <w:r w:rsidRPr="000977F7">
        <w:rPr>
          <w:rFonts w:asciiTheme="majorHAnsi" w:hAnsiTheme="majorHAnsi"/>
          <w:spacing w:val="8"/>
          <w:sz w:val="20"/>
          <w:szCs w:val="20"/>
        </w:rPr>
        <w:t xml:space="preserve"> </w:t>
      </w:r>
      <w:r w:rsidRPr="000977F7">
        <w:rPr>
          <w:rFonts w:asciiTheme="majorHAnsi" w:hAnsiTheme="majorHAnsi"/>
          <w:sz w:val="20"/>
          <w:szCs w:val="20"/>
        </w:rPr>
        <w:t>під</w:t>
      </w:r>
      <w:r w:rsidRPr="000977F7">
        <w:rPr>
          <w:rFonts w:asciiTheme="majorHAnsi" w:hAnsiTheme="majorHAnsi"/>
          <w:spacing w:val="-47"/>
          <w:sz w:val="20"/>
          <w:szCs w:val="20"/>
        </w:rPr>
        <w:t xml:space="preserve"> </w:t>
      </w:r>
      <w:r w:rsidRPr="000977F7">
        <w:rPr>
          <w:rFonts w:asciiTheme="majorHAnsi" w:hAnsiTheme="majorHAnsi"/>
          <w:sz w:val="20"/>
          <w:szCs w:val="20"/>
        </w:rPr>
        <w:t>впливом</w:t>
      </w:r>
      <w:r w:rsidRPr="000977F7">
        <w:rPr>
          <w:rFonts w:asciiTheme="majorHAnsi" w:hAnsiTheme="majorHAnsi"/>
          <w:spacing w:val="38"/>
          <w:sz w:val="20"/>
          <w:szCs w:val="20"/>
        </w:rPr>
        <w:t xml:space="preserve"> </w:t>
      </w:r>
      <w:r w:rsidRPr="000977F7">
        <w:rPr>
          <w:rFonts w:asciiTheme="majorHAnsi" w:hAnsiTheme="majorHAnsi"/>
          <w:sz w:val="20"/>
          <w:szCs w:val="20"/>
        </w:rPr>
        <w:t>високотемпературного</w:t>
      </w:r>
      <w:r w:rsidRPr="000977F7">
        <w:rPr>
          <w:rFonts w:asciiTheme="majorHAnsi" w:hAnsiTheme="majorHAnsi"/>
          <w:spacing w:val="38"/>
          <w:sz w:val="20"/>
          <w:szCs w:val="20"/>
        </w:rPr>
        <w:t xml:space="preserve"> </w:t>
      </w:r>
      <w:r w:rsidRPr="000977F7">
        <w:rPr>
          <w:rFonts w:asciiTheme="majorHAnsi" w:hAnsiTheme="majorHAnsi"/>
          <w:sz w:val="20"/>
          <w:szCs w:val="20"/>
        </w:rPr>
        <w:t>газового</w:t>
      </w:r>
      <w:r w:rsidRPr="000977F7">
        <w:rPr>
          <w:rFonts w:asciiTheme="majorHAnsi" w:hAnsiTheme="majorHAnsi"/>
          <w:spacing w:val="39"/>
          <w:sz w:val="20"/>
          <w:szCs w:val="20"/>
        </w:rPr>
        <w:t xml:space="preserve"> </w:t>
      </w:r>
      <w:r w:rsidRPr="000977F7">
        <w:rPr>
          <w:rFonts w:asciiTheme="majorHAnsi" w:hAnsiTheme="majorHAnsi"/>
          <w:sz w:val="20"/>
          <w:szCs w:val="20"/>
        </w:rPr>
        <w:t>потоку,</w:t>
      </w:r>
      <w:r w:rsidRPr="000977F7">
        <w:rPr>
          <w:rFonts w:asciiTheme="majorHAnsi" w:hAnsiTheme="majorHAnsi"/>
          <w:spacing w:val="37"/>
          <w:sz w:val="20"/>
          <w:szCs w:val="20"/>
        </w:rPr>
        <w:t xml:space="preserve"> </w:t>
      </w:r>
      <w:r w:rsidRPr="000977F7">
        <w:rPr>
          <w:rFonts w:asciiTheme="majorHAnsi" w:hAnsiTheme="majorHAnsi"/>
          <w:sz w:val="20"/>
          <w:szCs w:val="20"/>
        </w:rPr>
        <w:t>супроводжуване винесенням частинок матеріалу</w:t>
      </w:r>
      <w:r w:rsidRPr="000977F7">
        <w:rPr>
          <w:rFonts w:asciiTheme="majorHAnsi" w:hAnsiTheme="majorHAnsi"/>
          <w:spacing w:val="1"/>
          <w:sz w:val="20"/>
          <w:szCs w:val="20"/>
        </w:rPr>
        <w:t xml:space="preserve"> </w:t>
      </w:r>
      <w:r w:rsidRPr="000977F7">
        <w:rPr>
          <w:rFonts w:asciiTheme="majorHAnsi" w:hAnsiTheme="majorHAnsi"/>
          <w:b/>
          <w:sz w:val="20"/>
          <w:szCs w:val="20"/>
        </w:rPr>
        <w:t xml:space="preserve">АБСОЛЮТНА ПОХИБКА ВИМІРЮВАННЯ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ABSOLUTE</w:t>
      </w:r>
      <w:r w:rsidRPr="000977F7">
        <w:rPr>
          <w:rFonts w:asciiTheme="majorHAnsi" w:hAnsiTheme="majorHAnsi"/>
          <w:spacing w:val="-1"/>
          <w:sz w:val="20"/>
          <w:szCs w:val="20"/>
        </w:rPr>
        <w:t xml:space="preserve"> </w:t>
      </w:r>
      <w:r w:rsidRPr="000977F7">
        <w:rPr>
          <w:rFonts w:asciiTheme="majorHAnsi" w:hAnsiTheme="majorHAnsi"/>
          <w:sz w:val="20"/>
          <w:szCs w:val="20"/>
        </w:rPr>
        <w:t>ERROR</w:t>
      </w:r>
      <w:r w:rsidRPr="000977F7">
        <w:rPr>
          <w:rFonts w:asciiTheme="majorHAnsi" w:hAnsiTheme="majorHAnsi"/>
          <w:spacing w:val="-1"/>
          <w:sz w:val="20"/>
          <w:szCs w:val="20"/>
        </w:rPr>
        <w:t xml:space="preserve"> </w:t>
      </w:r>
      <w:r w:rsidRPr="000977F7">
        <w:rPr>
          <w:rFonts w:asciiTheme="majorHAnsi" w:hAnsiTheme="majorHAnsi"/>
          <w:sz w:val="20"/>
          <w:szCs w:val="20"/>
        </w:rPr>
        <w:t>OF</w:t>
      </w:r>
      <w:r w:rsidRPr="000977F7">
        <w:rPr>
          <w:rFonts w:asciiTheme="majorHAnsi" w:hAnsiTheme="majorHAnsi"/>
          <w:spacing w:val="-1"/>
          <w:sz w:val="20"/>
          <w:szCs w:val="20"/>
        </w:rPr>
        <w:t xml:space="preserve"> </w:t>
      </w:r>
      <w:r w:rsidRPr="000977F7">
        <w:rPr>
          <w:rFonts w:asciiTheme="majorHAnsi" w:hAnsiTheme="majorHAnsi"/>
          <w:sz w:val="20"/>
          <w:szCs w:val="20"/>
        </w:rPr>
        <w:t>MEASUREMENT—</w:t>
      </w:r>
    </w:p>
    <w:p w14:paraId="6B8F509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Різниця між результатом вимірювання та умовно істинним значенням</w:t>
      </w:r>
      <w:r w:rsidRPr="000977F7">
        <w:rPr>
          <w:rFonts w:asciiTheme="majorHAnsi" w:hAnsiTheme="majorHAnsi"/>
          <w:spacing w:val="-1"/>
          <w:sz w:val="20"/>
          <w:szCs w:val="20"/>
        </w:rPr>
        <w:t xml:space="preserve"> </w:t>
      </w:r>
      <w:r w:rsidRPr="000977F7">
        <w:rPr>
          <w:rFonts w:asciiTheme="majorHAnsi" w:hAnsiTheme="majorHAnsi"/>
          <w:sz w:val="20"/>
          <w:szCs w:val="20"/>
        </w:rPr>
        <w:t>вимірюваної</w:t>
      </w:r>
      <w:r w:rsidRPr="000977F7">
        <w:rPr>
          <w:rFonts w:asciiTheme="majorHAnsi" w:hAnsiTheme="majorHAnsi"/>
          <w:spacing w:val="-2"/>
          <w:sz w:val="20"/>
          <w:szCs w:val="20"/>
        </w:rPr>
        <w:t xml:space="preserve"> </w:t>
      </w:r>
      <w:r w:rsidRPr="000977F7">
        <w:rPr>
          <w:rFonts w:asciiTheme="majorHAnsi" w:hAnsiTheme="majorHAnsi"/>
          <w:sz w:val="20"/>
          <w:szCs w:val="20"/>
        </w:rPr>
        <w:t>величини</w:t>
      </w:r>
    </w:p>
    <w:p w14:paraId="7413974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2681 - 94</w:t>
      </w:r>
    </w:p>
    <w:p w14:paraId="2E9F8AAF"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АБСОЛЮТНА</w:t>
      </w:r>
      <w:r w:rsidRPr="000977F7">
        <w:rPr>
          <w:color w:val="auto"/>
          <w:spacing w:val="-10"/>
          <w:sz w:val="20"/>
          <w:szCs w:val="20"/>
        </w:rPr>
        <w:t xml:space="preserve"> </w:t>
      </w:r>
      <w:r w:rsidRPr="000977F7">
        <w:rPr>
          <w:color w:val="auto"/>
          <w:sz w:val="20"/>
          <w:szCs w:val="20"/>
        </w:rPr>
        <w:t>ПОХИБКА</w:t>
      </w:r>
      <w:r w:rsidRPr="000977F7">
        <w:rPr>
          <w:color w:val="auto"/>
          <w:spacing w:val="-10"/>
          <w:sz w:val="20"/>
          <w:szCs w:val="20"/>
        </w:rPr>
        <w:t xml:space="preserve"> </w:t>
      </w:r>
      <w:r w:rsidRPr="000977F7">
        <w:rPr>
          <w:color w:val="auto"/>
          <w:sz w:val="20"/>
          <w:szCs w:val="20"/>
        </w:rPr>
        <w:t>ВИМІРЮВАЛЬНОГО</w:t>
      </w:r>
      <w:r w:rsidRPr="000977F7">
        <w:rPr>
          <w:color w:val="auto"/>
          <w:spacing w:val="-47"/>
          <w:sz w:val="20"/>
          <w:szCs w:val="20"/>
        </w:rPr>
        <w:t xml:space="preserve"> </w:t>
      </w:r>
      <w:r w:rsidRPr="000977F7">
        <w:rPr>
          <w:color w:val="auto"/>
          <w:sz w:val="20"/>
          <w:szCs w:val="20"/>
        </w:rPr>
        <w:t>ПЕРЕТВОРЮВАЧА</w:t>
      </w:r>
      <w:r w:rsidRPr="000977F7">
        <w:rPr>
          <w:color w:val="auto"/>
          <w:spacing w:val="-1"/>
          <w:sz w:val="20"/>
          <w:szCs w:val="20"/>
        </w:rPr>
        <w:t xml:space="preserve"> </w:t>
      </w:r>
      <w:r w:rsidRPr="000977F7">
        <w:rPr>
          <w:color w:val="auto"/>
          <w:sz w:val="20"/>
          <w:szCs w:val="20"/>
        </w:rPr>
        <w:t>ЗА</w:t>
      </w:r>
      <w:r w:rsidRPr="000977F7">
        <w:rPr>
          <w:color w:val="auto"/>
          <w:spacing w:val="-1"/>
          <w:sz w:val="20"/>
          <w:szCs w:val="20"/>
        </w:rPr>
        <w:t xml:space="preserve"> </w:t>
      </w:r>
      <w:r w:rsidRPr="000977F7">
        <w:rPr>
          <w:color w:val="auto"/>
          <w:sz w:val="20"/>
          <w:szCs w:val="20"/>
        </w:rPr>
        <w:t>ВИХОДОМ</w:t>
      </w:r>
      <w:r w:rsidRPr="000977F7">
        <w:rPr>
          <w:color w:val="auto"/>
          <w:spacing w:val="5"/>
          <w:sz w:val="20"/>
          <w:szCs w:val="20"/>
        </w:rPr>
        <w:t xml:space="preserve"> </w:t>
      </w:r>
      <w:r w:rsidRPr="000977F7">
        <w:rPr>
          <w:b w:val="0"/>
          <w:color w:val="auto"/>
          <w:sz w:val="20"/>
          <w:szCs w:val="20"/>
        </w:rPr>
        <w:t>–</w:t>
      </w:r>
    </w:p>
    <w:p w14:paraId="39983A36"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en-US"/>
        </w:rPr>
      </w:pPr>
      <w:r w:rsidRPr="002E19DF">
        <w:rPr>
          <w:rFonts w:asciiTheme="majorHAnsi" w:hAnsiTheme="majorHAnsi"/>
          <w:sz w:val="20"/>
          <w:szCs w:val="20"/>
          <w:lang w:val="en-US"/>
        </w:rPr>
        <w:t>ABSOLUT</w:t>
      </w:r>
      <w:r w:rsidRPr="002E19DF">
        <w:rPr>
          <w:rFonts w:asciiTheme="majorHAnsi" w:hAnsiTheme="majorHAnsi"/>
          <w:spacing w:val="-1"/>
          <w:sz w:val="20"/>
          <w:szCs w:val="20"/>
          <w:lang w:val="en-US"/>
        </w:rPr>
        <w:t xml:space="preserve"> </w:t>
      </w:r>
      <w:r w:rsidRPr="002E19DF">
        <w:rPr>
          <w:rFonts w:asciiTheme="majorHAnsi" w:hAnsiTheme="majorHAnsi"/>
          <w:sz w:val="20"/>
          <w:szCs w:val="20"/>
          <w:lang w:val="en-US"/>
        </w:rPr>
        <w:t>OUTPUT</w:t>
      </w:r>
      <w:r w:rsidRPr="002E19DF">
        <w:rPr>
          <w:rFonts w:asciiTheme="majorHAnsi" w:hAnsiTheme="majorHAnsi"/>
          <w:spacing w:val="-1"/>
          <w:sz w:val="20"/>
          <w:szCs w:val="20"/>
          <w:lang w:val="en-US"/>
        </w:rPr>
        <w:t xml:space="preserve"> </w:t>
      </w:r>
      <w:r w:rsidRPr="002E19DF">
        <w:rPr>
          <w:rFonts w:asciiTheme="majorHAnsi" w:hAnsiTheme="majorHAnsi"/>
          <w:sz w:val="20"/>
          <w:szCs w:val="20"/>
          <w:lang w:val="en-US"/>
        </w:rPr>
        <w:t>ERROR</w:t>
      </w:r>
      <w:r w:rsidRPr="002E19DF">
        <w:rPr>
          <w:rFonts w:asciiTheme="majorHAnsi" w:hAnsiTheme="majorHAnsi"/>
          <w:spacing w:val="-5"/>
          <w:sz w:val="20"/>
          <w:szCs w:val="20"/>
          <w:lang w:val="en-US"/>
        </w:rPr>
        <w:t xml:space="preserve"> </w:t>
      </w:r>
      <w:r w:rsidRPr="002E19DF">
        <w:rPr>
          <w:rFonts w:asciiTheme="majorHAnsi" w:hAnsiTheme="majorHAnsi"/>
          <w:sz w:val="20"/>
          <w:szCs w:val="20"/>
          <w:lang w:val="en-US"/>
        </w:rPr>
        <w:t>OF</w:t>
      </w:r>
      <w:r w:rsidRPr="002E19DF">
        <w:rPr>
          <w:rFonts w:asciiTheme="majorHAnsi" w:hAnsiTheme="majorHAnsi"/>
          <w:spacing w:val="-4"/>
          <w:sz w:val="20"/>
          <w:szCs w:val="20"/>
          <w:lang w:val="en-US"/>
        </w:rPr>
        <w:t xml:space="preserve"> </w:t>
      </w:r>
      <w:r w:rsidRPr="002E19DF">
        <w:rPr>
          <w:rFonts w:asciiTheme="majorHAnsi" w:hAnsiTheme="majorHAnsi"/>
          <w:sz w:val="20"/>
          <w:szCs w:val="20"/>
          <w:lang w:val="en-US"/>
        </w:rPr>
        <w:t>MEASURING</w:t>
      </w:r>
      <w:r w:rsidRPr="002E19DF">
        <w:rPr>
          <w:rFonts w:asciiTheme="majorHAnsi" w:hAnsiTheme="majorHAnsi"/>
          <w:spacing w:val="-47"/>
          <w:sz w:val="20"/>
          <w:szCs w:val="20"/>
          <w:lang w:val="en-US"/>
        </w:rPr>
        <w:t xml:space="preserve"> </w:t>
      </w:r>
      <w:r w:rsidRPr="002E19DF">
        <w:rPr>
          <w:rFonts w:asciiTheme="majorHAnsi" w:hAnsiTheme="majorHAnsi"/>
          <w:sz w:val="20"/>
          <w:szCs w:val="20"/>
          <w:lang w:val="en-US"/>
        </w:rPr>
        <w:t>TRANSDUCER</w:t>
      </w:r>
      <w:r w:rsidRPr="002E19DF">
        <w:rPr>
          <w:rFonts w:asciiTheme="majorHAnsi" w:hAnsiTheme="majorHAnsi"/>
          <w:spacing w:val="-2"/>
          <w:sz w:val="20"/>
          <w:szCs w:val="20"/>
          <w:lang w:val="en-US"/>
        </w:rPr>
        <w:t xml:space="preserve"> </w:t>
      </w:r>
      <w:r w:rsidRPr="002E19DF">
        <w:rPr>
          <w:rFonts w:asciiTheme="majorHAnsi" w:hAnsiTheme="majorHAnsi"/>
          <w:sz w:val="20"/>
          <w:szCs w:val="20"/>
          <w:lang w:val="en-US"/>
        </w:rPr>
        <w:t>-</w:t>
      </w:r>
    </w:p>
    <w:p w14:paraId="1FFDECE8"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Різниця</w:t>
      </w:r>
      <w:r w:rsidRPr="002E19DF">
        <w:rPr>
          <w:rFonts w:asciiTheme="majorHAnsi" w:hAnsiTheme="majorHAnsi"/>
          <w:sz w:val="20"/>
          <w:szCs w:val="20"/>
          <w:lang w:val="en-US"/>
        </w:rPr>
        <w:t xml:space="preserve"> </w:t>
      </w:r>
      <w:r w:rsidRPr="000977F7">
        <w:rPr>
          <w:rFonts w:asciiTheme="majorHAnsi" w:hAnsiTheme="majorHAnsi"/>
          <w:sz w:val="20"/>
          <w:szCs w:val="20"/>
        </w:rPr>
        <w:t>між</w:t>
      </w:r>
      <w:r w:rsidRPr="002E19DF">
        <w:rPr>
          <w:rFonts w:asciiTheme="majorHAnsi" w:hAnsiTheme="majorHAnsi"/>
          <w:sz w:val="20"/>
          <w:szCs w:val="20"/>
          <w:lang w:val="en-US"/>
        </w:rPr>
        <w:t xml:space="preserve"> </w:t>
      </w:r>
      <w:r w:rsidRPr="000977F7">
        <w:rPr>
          <w:rFonts w:asciiTheme="majorHAnsi" w:hAnsiTheme="majorHAnsi"/>
          <w:sz w:val="20"/>
          <w:szCs w:val="20"/>
        </w:rPr>
        <w:t>істинним</w:t>
      </w:r>
      <w:r w:rsidRPr="002E19DF">
        <w:rPr>
          <w:rFonts w:asciiTheme="majorHAnsi" w:hAnsiTheme="majorHAnsi"/>
          <w:sz w:val="20"/>
          <w:szCs w:val="20"/>
          <w:lang w:val="en-US"/>
        </w:rPr>
        <w:t xml:space="preserve"> </w:t>
      </w:r>
      <w:r w:rsidRPr="000977F7">
        <w:rPr>
          <w:rFonts w:asciiTheme="majorHAnsi" w:hAnsiTheme="majorHAnsi"/>
          <w:sz w:val="20"/>
          <w:szCs w:val="20"/>
        </w:rPr>
        <w:t>значенням</w:t>
      </w:r>
      <w:r w:rsidRPr="002E19DF">
        <w:rPr>
          <w:rFonts w:asciiTheme="majorHAnsi" w:hAnsiTheme="majorHAnsi"/>
          <w:sz w:val="20"/>
          <w:szCs w:val="20"/>
          <w:lang w:val="en-US"/>
        </w:rPr>
        <w:t xml:space="preserve"> </w:t>
      </w:r>
      <w:r w:rsidRPr="000977F7">
        <w:rPr>
          <w:rFonts w:asciiTheme="majorHAnsi" w:hAnsiTheme="majorHAnsi"/>
          <w:sz w:val="20"/>
          <w:szCs w:val="20"/>
        </w:rPr>
        <w:t>вихідної</w:t>
      </w:r>
      <w:r w:rsidRPr="002E19DF">
        <w:rPr>
          <w:rFonts w:asciiTheme="majorHAnsi" w:hAnsiTheme="majorHAnsi"/>
          <w:sz w:val="20"/>
          <w:szCs w:val="20"/>
          <w:lang w:val="en-US"/>
        </w:rPr>
        <w:t xml:space="preserve"> </w:t>
      </w:r>
      <w:r w:rsidRPr="000977F7">
        <w:rPr>
          <w:rFonts w:asciiTheme="majorHAnsi" w:hAnsiTheme="majorHAnsi"/>
          <w:sz w:val="20"/>
          <w:szCs w:val="20"/>
        </w:rPr>
        <w:t>величини</w:t>
      </w:r>
      <w:r w:rsidRPr="002E19DF">
        <w:rPr>
          <w:rFonts w:asciiTheme="majorHAnsi" w:hAnsiTheme="majorHAnsi"/>
          <w:spacing w:val="1"/>
          <w:sz w:val="20"/>
          <w:szCs w:val="20"/>
          <w:lang w:val="en-US"/>
        </w:rPr>
        <w:t xml:space="preserve"> </w:t>
      </w:r>
      <w:r w:rsidRPr="000977F7">
        <w:rPr>
          <w:rFonts w:asciiTheme="majorHAnsi" w:hAnsiTheme="majorHAnsi"/>
          <w:sz w:val="20"/>
          <w:szCs w:val="20"/>
        </w:rPr>
        <w:t>вимірювального</w:t>
      </w:r>
      <w:r w:rsidRPr="002E19DF">
        <w:rPr>
          <w:rFonts w:asciiTheme="majorHAnsi" w:hAnsiTheme="majorHAnsi"/>
          <w:sz w:val="20"/>
          <w:szCs w:val="20"/>
          <w:lang w:val="en-US"/>
        </w:rPr>
        <w:t xml:space="preserve"> </w:t>
      </w:r>
      <w:r w:rsidRPr="000977F7">
        <w:rPr>
          <w:rFonts w:asciiTheme="majorHAnsi" w:hAnsiTheme="majorHAnsi"/>
          <w:sz w:val="20"/>
          <w:szCs w:val="20"/>
        </w:rPr>
        <w:t>перетворювача</w:t>
      </w:r>
      <w:r w:rsidRPr="002E19DF">
        <w:rPr>
          <w:rFonts w:asciiTheme="majorHAnsi" w:hAnsiTheme="majorHAnsi"/>
          <w:sz w:val="20"/>
          <w:szCs w:val="20"/>
          <w:lang w:val="en-US"/>
        </w:rPr>
        <w:t xml:space="preserve">, </w:t>
      </w:r>
      <w:r w:rsidRPr="000977F7">
        <w:rPr>
          <w:rFonts w:asciiTheme="majorHAnsi" w:hAnsiTheme="majorHAnsi"/>
          <w:sz w:val="20"/>
          <w:szCs w:val="20"/>
        </w:rPr>
        <w:t>що</w:t>
      </w:r>
      <w:r w:rsidRPr="002E19DF">
        <w:rPr>
          <w:rFonts w:asciiTheme="majorHAnsi" w:hAnsiTheme="majorHAnsi"/>
          <w:sz w:val="20"/>
          <w:szCs w:val="20"/>
          <w:lang w:val="en-US"/>
        </w:rPr>
        <w:t xml:space="preserve"> </w:t>
      </w:r>
      <w:r w:rsidRPr="000977F7">
        <w:rPr>
          <w:rFonts w:asciiTheme="majorHAnsi" w:hAnsiTheme="majorHAnsi"/>
          <w:sz w:val="20"/>
          <w:szCs w:val="20"/>
        </w:rPr>
        <w:t>відповідає</w:t>
      </w:r>
      <w:r w:rsidRPr="002E19DF">
        <w:rPr>
          <w:rFonts w:asciiTheme="majorHAnsi" w:hAnsiTheme="majorHAnsi"/>
          <w:sz w:val="20"/>
          <w:szCs w:val="20"/>
          <w:lang w:val="en-US"/>
        </w:rPr>
        <w:t xml:space="preserve"> </w:t>
      </w:r>
      <w:r w:rsidRPr="000977F7">
        <w:rPr>
          <w:rFonts w:asciiTheme="majorHAnsi" w:hAnsiTheme="majorHAnsi"/>
          <w:sz w:val="20"/>
          <w:szCs w:val="20"/>
        </w:rPr>
        <w:t>вхідній</w:t>
      </w:r>
      <w:r w:rsidRPr="002E19DF">
        <w:rPr>
          <w:rFonts w:asciiTheme="majorHAnsi" w:hAnsiTheme="majorHAnsi"/>
          <w:sz w:val="20"/>
          <w:szCs w:val="20"/>
          <w:lang w:val="en-US"/>
        </w:rPr>
        <w:t xml:space="preserve"> </w:t>
      </w:r>
      <w:r w:rsidRPr="000977F7">
        <w:rPr>
          <w:rFonts w:asciiTheme="majorHAnsi" w:hAnsiTheme="majorHAnsi"/>
          <w:sz w:val="20"/>
          <w:szCs w:val="20"/>
        </w:rPr>
        <w:t>величині</w:t>
      </w:r>
      <w:r w:rsidRPr="002E19DF">
        <w:rPr>
          <w:rFonts w:asciiTheme="majorHAnsi" w:hAnsiTheme="majorHAnsi"/>
          <w:sz w:val="20"/>
          <w:szCs w:val="20"/>
          <w:lang w:val="en-US"/>
        </w:rPr>
        <w:t xml:space="preserve">, </w:t>
      </w:r>
      <w:r w:rsidRPr="000977F7">
        <w:rPr>
          <w:rFonts w:asciiTheme="majorHAnsi" w:hAnsiTheme="majorHAnsi"/>
          <w:sz w:val="20"/>
          <w:szCs w:val="20"/>
        </w:rPr>
        <w:t>та</w:t>
      </w:r>
      <w:r w:rsidRPr="002E19DF">
        <w:rPr>
          <w:rFonts w:asciiTheme="majorHAnsi" w:hAnsiTheme="majorHAnsi"/>
          <w:sz w:val="20"/>
          <w:szCs w:val="20"/>
          <w:lang w:val="en-US"/>
        </w:rPr>
        <w:t xml:space="preserve"> </w:t>
      </w:r>
      <w:r w:rsidRPr="000977F7">
        <w:rPr>
          <w:rFonts w:asciiTheme="majorHAnsi" w:hAnsiTheme="majorHAnsi"/>
          <w:sz w:val="20"/>
          <w:szCs w:val="20"/>
        </w:rPr>
        <w:t>значенням</w:t>
      </w:r>
      <w:r w:rsidRPr="002E19DF">
        <w:rPr>
          <w:rFonts w:asciiTheme="majorHAnsi" w:hAnsiTheme="majorHAnsi"/>
          <w:sz w:val="20"/>
          <w:szCs w:val="20"/>
          <w:lang w:val="en-US"/>
        </w:rPr>
        <w:t xml:space="preserve"> </w:t>
      </w:r>
      <w:r w:rsidRPr="000977F7">
        <w:rPr>
          <w:rFonts w:asciiTheme="majorHAnsi" w:hAnsiTheme="majorHAnsi"/>
          <w:sz w:val="20"/>
          <w:szCs w:val="20"/>
        </w:rPr>
        <w:t>вихідної</w:t>
      </w:r>
      <w:r w:rsidRPr="002E19DF">
        <w:rPr>
          <w:rFonts w:asciiTheme="majorHAnsi" w:hAnsiTheme="majorHAnsi"/>
          <w:sz w:val="20"/>
          <w:szCs w:val="20"/>
          <w:lang w:val="en-US"/>
        </w:rPr>
        <w:t xml:space="preserve"> </w:t>
      </w:r>
      <w:r w:rsidRPr="000977F7">
        <w:rPr>
          <w:rFonts w:asciiTheme="majorHAnsi" w:hAnsiTheme="majorHAnsi"/>
          <w:sz w:val="20"/>
          <w:szCs w:val="20"/>
        </w:rPr>
        <w:t>величини</w:t>
      </w:r>
      <w:r w:rsidRPr="002E19DF">
        <w:rPr>
          <w:rFonts w:asciiTheme="majorHAnsi" w:hAnsiTheme="majorHAnsi"/>
          <w:sz w:val="20"/>
          <w:szCs w:val="20"/>
          <w:lang w:val="en-US"/>
        </w:rPr>
        <w:t xml:space="preserve">, </w:t>
      </w:r>
      <w:r w:rsidRPr="000977F7">
        <w:rPr>
          <w:rFonts w:asciiTheme="majorHAnsi" w:hAnsiTheme="majorHAnsi"/>
          <w:sz w:val="20"/>
          <w:szCs w:val="20"/>
        </w:rPr>
        <w:t>одержаної</w:t>
      </w:r>
      <w:r w:rsidRPr="002E19DF">
        <w:rPr>
          <w:rFonts w:asciiTheme="majorHAnsi" w:hAnsiTheme="majorHAnsi"/>
          <w:sz w:val="20"/>
          <w:szCs w:val="20"/>
          <w:lang w:val="en-US"/>
        </w:rPr>
        <w:t xml:space="preserve"> </w:t>
      </w:r>
      <w:r w:rsidRPr="000977F7">
        <w:rPr>
          <w:rFonts w:asciiTheme="majorHAnsi" w:hAnsiTheme="majorHAnsi"/>
          <w:sz w:val="20"/>
          <w:szCs w:val="20"/>
        </w:rPr>
        <w:t>за</w:t>
      </w:r>
      <w:r w:rsidRPr="002E19DF">
        <w:rPr>
          <w:rFonts w:asciiTheme="majorHAnsi" w:hAnsiTheme="majorHAnsi"/>
          <w:sz w:val="20"/>
          <w:szCs w:val="20"/>
          <w:lang w:val="en-US"/>
        </w:rPr>
        <w:t xml:space="preserve"> </w:t>
      </w:r>
      <w:r w:rsidRPr="000977F7">
        <w:rPr>
          <w:rFonts w:asciiTheme="majorHAnsi" w:hAnsiTheme="majorHAnsi"/>
          <w:sz w:val="20"/>
          <w:szCs w:val="20"/>
        </w:rPr>
        <w:t>істинним</w:t>
      </w:r>
      <w:r w:rsidRPr="002E19DF">
        <w:rPr>
          <w:rFonts w:asciiTheme="majorHAnsi" w:hAnsiTheme="majorHAnsi"/>
          <w:sz w:val="20"/>
          <w:szCs w:val="20"/>
          <w:lang w:val="en-US"/>
        </w:rPr>
        <w:t xml:space="preserve"> </w:t>
      </w:r>
      <w:r w:rsidRPr="000977F7">
        <w:rPr>
          <w:rFonts w:asciiTheme="majorHAnsi" w:hAnsiTheme="majorHAnsi"/>
          <w:sz w:val="20"/>
          <w:szCs w:val="20"/>
        </w:rPr>
        <w:t>значенням</w:t>
      </w:r>
      <w:r w:rsidRPr="002E19DF">
        <w:rPr>
          <w:rFonts w:asciiTheme="majorHAnsi" w:hAnsiTheme="majorHAnsi"/>
          <w:sz w:val="20"/>
          <w:szCs w:val="20"/>
          <w:lang w:val="en-US"/>
        </w:rPr>
        <w:t xml:space="preserve"> </w:t>
      </w:r>
      <w:r w:rsidRPr="000977F7">
        <w:rPr>
          <w:rFonts w:asciiTheme="majorHAnsi" w:hAnsiTheme="majorHAnsi"/>
          <w:sz w:val="20"/>
          <w:szCs w:val="20"/>
        </w:rPr>
        <w:t>вхідної</w:t>
      </w:r>
      <w:r w:rsidRPr="002E19DF">
        <w:rPr>
          <w:rFonts w:asciiTheme="majorHAnsi" w:hAnsiTheme="majorHAnsi"/>
          <w:sz w:val="20"/>
          <w:szCs w:val="20"/>
          <w:lang w:val="en-US"/>
        </w:rPr>
        <w:t xml:space="preserve"> </w:t>
      </w:r>
      <w:r w:rsidRPr="000977F7">
        <w:rPr>
          <w:rFonts w:asciiTheme="majorHAnsi" w:hAnsiTheme="majorHAnsi"/>
          <w:sz w:val="20"/>
          <w:szCs w:val="20"/>
        </w:rPr>
        <w:t>величини</w:t>
      </w:r>
      <w:r w:rsidRPr="002E19DF">
        <w:rPr>
          <w:rFonts w:asciiTheme="majorHAnsi" w:hAnsiTheme="majorHAnsi"/>
          <w:sz w:val="20"/>
          <w:szCs w:val="20"/>
          <w:lang w:val="en-US"/>
        </w:rPr>
        <w:t xml:space="preserve"> </w:t>
      </w:r>
      <w:r w:rsidRPr="000977F7">
        <w:rPr>
          <w:rFonts w:asciiTheme="majorHAnsi" w:hAnsiTheme="majorHAnsi"/>
          <w:sz w:val="20"/>
          <w:szCs w:val="20"/>
        </w:rPr>
        <w:t>за</w:t>
      </w:r>
      <w:r w:rsidRPr="002E19DF">
        <w:rPr>
          <w:rFonts w:asciiTheme="majorHAnsi" w:hAnsiTheme="majorHAnsi"/>
          <w:sz w:val="20"/>
          <w:szCs w:val="20"/>
          <w:lang w:val="en-US"/>
        </w:rPr>
        <w:t xml:space="preserve"> </w:t>
      </w:r>
      <w:r w:rsidRPr="000977F7">
        <w:rPr>
          <w:rFonts w:asciiTheme="majorHAnsi" w:hAnsiTheme="majorHAnsi"/>
          <w:sz w:val="20"/>
          <w:szCs w:val="20"/>
        </w:rPr>
        <w:t>допомогою</w:t>
      </w:r>
      <w:r w:rsidRPr="002E19DF">
        <w:rPr>
          <w:rFonts w:asciiTheme="majorHAnsi" w:hAnsiTheme="majorHAnsi"/>
          <w:spacing w:val="-1"/>
          <w:sz w:val="20"/>
          <w:szCs w:val="20"/>
          <w:lang w:val="en-US"/>
        </w:rPr>
        <w:t xml:space="preserve"> </w:t>
      </w:r>
      <w:r w:rsidRPr="000977F7">
        <w:rPr>
          <w:rFonts w:asciiTheme="majorHAnsi" w:hAnsiTheme="majorHAnsi"/>
          <w:sz w:val="20"/>
          <w:szCs w:val="20"/>
        </w:rPr>
        <w:t>градуювальної</w:t>
      </w:r>
      <w:r w:rsidRPr="002E19DF">
        <w:rPr>
          <w:rFonts w:asciiTheme="majorHAnsi" w:hAnsiTheme="majorHAnsi"/>
          <w:spacing w:val="1"/>
          <w:sz w:val="20"/>
          <w:szCs w:val="20"/>
          <w:lang w:val="en-US"/>
        </w:rPr>
        <w:t xml:space="preserve"> </w:t>
      </w:r>
      <w:r w:rsidRPr="000977F7">
        <w:rPr>
          <w:rFonts w:asciiTheme="majorHAnsi" w:hAnsiTheme="majorHAnsi"/>
          <w:sz w:val="20"/>
          <w:szCs w:val="20"/>
        </w:rPr>
        <w:t>характеристики</w:t>
      </w:r>
    </w:p>
    <w:p w14:paraId="6B7638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15323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 практиці замість істинного значення використо-вують умовно істинне значення</w:t>
      </w:r>
    </w:p>
    <w:p w14:paraId="5D8B67D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2681 - 94</w:t>
      </w:r>
    </w:p>
    <w:p w14:paraId="481BFA26"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АБСОЛЮТНА</w:t>
      </w:r>
      <w:r w:rsidRPr="000977F7">
        <w:rPr>
          <w:color w:val="auto"/>
          <w:spacing w:val="-10"/>
          <w:sz w:val="20"/>
          <w:szCs w:val="20"/>
        </w:rPr>
        <w:t xml:space="preserve"> </w:t>
      </w:r>
      <w:r w:rsidRPr="000977F7">
        <w:rPr>
          <w:color w:val="auto"/>
          <w:sz w:val="20"/>
          <w:szCs w:val="20"/>
        </w:rPr>
        <w:t>ПОХИБКА</w:t>
      </w:r>
      <w:r w:rsidRPr="000977F7">
        <w:rPr>
          <w:color w:val="auto"/>
          <w:spacing w:val="-10"/>
          <w:sz w:val="20"/>
          <w:szCs w:val="20"/>
        </w:rPr>
        <w:t xml:space="preserve"> </w:t>
      </w:r>
      <w:r w:rsidRPr="000977F7">
        <w:rPr>
          <w:color w:val="auto"/>
          <w:sz w:val="20"/>
          <w:szCs w:val="20"/>
        </w:rPr>
        <w:t>ВИМІРЮВАЛЬНОГО</w:t>
      </w:r>
      <w:r w:rsidRPr="000977F7">
        <w:rPr>
          <w:color w:val="auto"/>
          <w:spacing w:val="-47"/>
          <w:sz w:val="20"/>
          <w:szCs w:val="20"/>
        </w:rPr>
        <w:t xml:space="preserve"> </w:t>
      </w:r>
      <w:r w:rsidRPr="000977F7">
        <w:rPr>
          <w:color w:val="auto"/>
          <w:sz w:val="20"/>
          <w:szCs w:val="20"/>
        </w:rPr>
        <w:t>ПЕРЕТВОРЮВАЧА</w:t>
      </w:r>
      <w:r w:rsidRPr="000977F7">
        <w:rPr>
          <w:color w:val="auto"/>
          <w:spacing w:val="-1"/>
          <w:sz w:val="20"/>
          <w:szCs w:val="20"/>
        </w:rPr>
        <w:t xml:space="preserve"> </w:t>
      </w:r>
      <w:r w:rsidRPr="000977F7">
        <w:rPr>
          <w:color w:val="auto"/>
          <w:sz w:val="20"/>
          <w:szCs w:val="20"/>
        </w:rPr>
        <w:t>ЗА</w:t>
      </w:r>
      <w:r w:rsidRPr="000977F7">
        <w:rPr>
          <w:color w:val="auto"/>
          <w:spacing w:val="-1"/>
          <w:sz w:val="20"/>
          <w:szCs w:val="20"/>
        </w:rPr>
        <w:t xml:space="preserve"> </w:t>
      </w:r>
      <w:r w:rsidRPr="000977F7">
        <w:rPr>
          <w:color w:val="auto"/>
          <w:sz w:val="20"/>
          <w:szCs w:val="20"/>
        </w:rPr>
        <w:t>ВХОДОМ</w:t>
      </w:r>
      <w:r w:rsidRPr="000977F7">
        <w:rPr>
          <w:color w:val="auto"/>
          <w:spacing w:val="4"/>
          <w:sz w:val="20"/>
          <w:szCs w:val="20"/>
        </w:rPr>
        <w:t xml:space="preserve"> </w:t>
      </w:r>
      <w:r w:rsidRPr="000977F7">
        <w:rPr>
          <w:b w:val="0"/>
          <w:color w:val="auto"/>
          <w:sz w:val="20"/>
          <w:szCs w:val="20"/>
        </w:rPr>
        <w:t>–</w:t>
      </w:r>
    </w:p>
    <w:p w14:paraId="7458697B"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en-US"/>
        </w:rPr>
      </w:pPr>
      <w:r w:rsidRPr="002E19DF">
        <w:rPr>
          <w:rFonts w:asciiTheme="majorHAnsi" w:hAnsiTheme="majorHAnsi"/>
          <w:sz w:val="20"/>
          <w:szCs w:val="20"/>
          <w:lang w:val="en-US"/>
        </w:rPr>
        <w:t>ABSOLUTE</w:t>
      </w:r>
      <w:r w:rsidRPr="002E19DF">
        <w:rPr>
          <w:rFonts w:asciiTheme="majorHAnsi" w:hAnsiTheme="majorHAnsi"/>
          <w:spacing w:val="-4"/>
          <w:sz w:val="20"/>
          <w:szCs w:val="20"/>
          <w:lang w:val="en-US"/>
        </w:rPr>
        <w:t xml:space="preserve"> </w:t>
      </w:r>
      <w:r w:rsidRPr="002E19DF">
        <w:rPr>
          <w:rFonts w:asciiTheme="majorHAnsi" w:hAnsiTheme="majorHAnsi"/>
          <w:sz w:val="20"/>
          <w:szCs w:val="20"/>
          <w:lang w:val="en-US"/>
        </w:rPr>
        <w:t>INPUT ERROR</w:t>
      </w:r>
      <w:r w:rsidRPr="002E19DF">
        <w:rPr>
          <w:rFonts w:asciiTheme="majorHAnsi" w:hAnsiTheme="majorHAnsi"/>
          <w:spacing w:val="-2"/>
          <w:sz w:val="20"/>
          <w:szCs w:val="20"/>
          <w:lang w:val="en-US"/>
        </w:rPr>
        <w:t xml:space="preserve"> </w:t>
      </w:r>
      <w:r w:rsidRPr="002E19DF">
        <w:rPr>
          <w:rFonts w:asciiTheme="majorHAnsi" w:hAnsiTheme="majorHAnsi"/>
          <w:sz w:val="20"/>
          <w:szCs w:val="20"/>
          <w:lang w:val="en-US"/>
        </w:rPr>
        <w:t>OF</w:t>
      </w:r>
      <w:r w:rsidRPr="002E19DF">
        <w:rPr>
          <w:rFonts w:asciiTheme="majorHAnsi" w:hAnsiTheme="majorHAnsi"/>
          <w:spacing w:val="-2"/>
          <w:sz w:val="20"/>
          <w:szCs w:val="20"/>
          <w:lang w:val="en-US"/>
        </w:rPr>
        <w:t xml:space="preserve"> </w:t>
      </w:r>
      <w:r w:rsidRPr="002E19DF">
        <w:rPr>
          <w:rFonts w:asciiTheme="majorHAnsi" w:hAnsiTheme="majorHAnsi"/>
          <w:sz w:val="20"/>
          <w:szCs w:val="20"/>
          <w:lang w:val="en-US"/>
        </w:rPr>
        <w:t>A</w:t>
      </w:r>
      <w:r w:rsidRPr="002E19DF">
        <w:rPr>
          <w:rFonts w:asciiTheme="majorHAnsi" w:hAnsiTheme="majorHAnsi"/>
          <w:spacing w:val="-5"/>
          <w:sz w:val="20"/>
          <w:szCs w:val="20"/>
          <w:lang w:val="en-US"/>
        </w:rPr>
        <w:t xml:space="preserve"> </w:t>
      </w:r>
      <w:r w:rsidRPr="002E19DF">
        <w:rPr>
          <w:rFonts w:asciiTheme="majorHAnsi" w:hAnsiTheme="majorHAnsi"/>
          <w:sz w:val="20"/>
          <w:szCs w:val="20"/>
          <w:lang w:val="en-US"/>
        </w:rPr>
        <w:t>MEASURING</w:t>
      </w:r>
      <w:r w:rsidRPr="002E19DF">
        <w:rPr>
          <w:rFonts w:asciiTheme="majorHAnsi" w:hAnsiTheme="majorHAnsi"/>
          <w:spacing w:val="-47"/>
          <w:sz w:val="20"/>
          <w:szCs w:val="20"/>
          <w:lang w:val="en-US"/>
        </w:rPr>
        <w:t xml:space="preserve"> </w:t>
      </w:r>
      <w:r w:rsidRPr="002E19DF">
        <w:rPr>
          <w:rFonts w:asciiTheme="majorHAnsi" w:hAnsiTheme="majorHAnsi"/>
          <w:sz w:val="20"/>
          <w:szCs w:val="20"/>
          <w:lang w:val="en-US"/>
        </w:rPr>
        <w:t>TRANSDUCER</w:t>
      </w:r>
      <w:r w:rsidRPr="002E19DF">
        <w:rPr>
          <w:rFonts w:asciiTheme="majorHAnsi" w:hAnsiTheme="majorHAnsi"/>
          <w:spacing w:val="-2"/>
          <w:sz w:val="20"/>
          <w:szCs w:val="20"/>
          <w:lang w:val="en-US"/>
        </w:rPr>
        <w:t xml:space="preserve"> </w:t>
      </w:r>
      <w:r w:rsidRPr="002E19DF">
        <w:rPr>
          <w:rFonts w:asciiTheme="majorHAnsi" w:hAnsiTheme="majorHAnsi"/>
          <w:sz w:val="20"/>
          <w:szCs w:val="20"/>
          <w:lang w:val="en-US"/>
        </w:rPr>
        <w:t>–</w:t>
      </w:r>
    </w:p>
    <w:p w14:paraId="7ED3802D"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Різниця</w:t>
      </w:r>
      <w:r w:rsidRPr="002E19DF">
        <w:rPr>
          <w:rFonts w:asciiTheme="majorHAnsi" w:hAnsiTheme="majorHAnsi"/>
          <w:sz w:val="20"/>
          <w:szCs w:val="20"/>
          <w:lang w:val="en-US"/>
        </w:rPr>
        <w:t xml:space="preserve"> </w:t>
      </w:r>
      <w:r w:rsidRPr="000977F7">
        <w:rPr>
          <w:rFonts w:asciiTheme="majorHAnsi" w:hAnsiTheme="majorHAnsi"/>
          <w:sz w:val="20"/>
          <w:szCs w:val="20"/>
        </w:rPr>
        <w:t>між</w:t>
      </w:r>
      <w:r w:rsidRPr="002E19DF">
        <w:rPr>
          <w:rFonts w:asciiTheme="majorHAnsi" w:hAnsiTheme="majorHAnsi"/>
          <w:sz w:val="20"/>
          <w:szCs w:val="20"/>
          <w:lang w:val="en-US"/>
        </w:rPr>
        <w:t xml:space="preserve"> </w:t>
      </w:r>
      <w:r w:rsidRPr="000977F7">
        <w:rPr>
          <w:rFonts w:asciiTheme="majorHAnsi" w:hAnsiTheme="majorHAnsi"/>
          <w:sz w:val="20"/>
          <w:szCs w:val="20"/>
        </w:rPr>
        <w:t>значенням</w:t>
      </w:r>
      <w:r w:rsidRPr="002E19DF">
        <w:rPr>
          <w:rFonts w:asciiTheme="majorHAnsi" w:hAnsiTheme="majorHAnsi"/>
          <w:sz w:val="20"/>
          <w:szCs w:val="20"/>
          <w:lang w:val="en-US"/>
        </w:rPr>
        <w:t xml:space="preserve"> </w:t>
      </w:r>
      <w:r w:rsidRPr="000977F7">
        <w:rPr>
          <w:rFonts w:asciiTheme="majorHAnsi" w:hAnsiTheme="majorHAnsi"/>
          <w:sz w:val="20"/>
          <w:szCs w:val="20"/>
        </w:rPr>
        <w:t>вхідної</w:t>
      </w:r>
      <w:r w:rsidRPr="002E19DF">
        <w:rPr>
          <w:rFonts w:asciiTheme="majorHAnsi" w:hAnsiTheme="majorHAnsi"/>
          <w:sz w:val="20"/>
          <w:szCs w:val="20"/>
          <w:lang w:val="en-US"/>
        </w:rPr>
        <w:t xml:space="preserve"> </w:t>
      </w:r>
      <w:r w:rsidRPr="000977F7">
        <w:rPr>
          <w:rFonts w:asciiTheme="majorHAnsi" w:hAnsiTheme="majorHAnsi"/>
          <w:sz w:val="20"/>
          <w:szCs w:val="20"/>
        </w:rPr>
        <w:t>величини</w:t>
      </w:r>
      <w:r w:rsidRPr="002E19DF">
        <w:rPr>
          <w:rFonts w:asciiTheme="majorHAnsi" w:hAnsiTheme="majorHAnsi"/>
          <w:sz w:val="20"/>
          <w:szCs w:val="20"/>
          <w:lang w:val="en-US"/>
        </w:rPr>
        <w:t xml:space="preserve"> </w:t>
      </w:r>
      <w:r w:rsidRPr="000977F7">
        <w:rPr>
          <w:rFonts w:asciiTheme="majorHAnsi" w:hAnsiTheme="majorHAnsi"/>
          <w:sz w:val="20"/>
          <w:szCs w:val="20"/>
        </w:rPr>
        <w:t>вимірювального</w:t>
      </w:r>
      <w:r w:rsidRPr="002E19DF">
        <w:rPr>
          <w:rFonts w:asciiTheme="majorHAnsi" w:hAnsiTheme="majorHAnsi"/>
          <w:spacing w:val="1"/>
          <w:sz w:val="20"/>
          <w:szCs w:val="20"/>
          <w:lang w:val="en-US"/>
        </w:rPr>
        <w:t xml:space="preserve"> </w:t>
      </w:r>
      <w:r w:rsidRPr="000977F7">
        <w:rPr>
          <w:rFonts w:asciiTheme="majorHAnsi" w:hAnsiTheme="majorHAnsi"/>
          <w:sz w:val="20"/>
          <w:szCs w:val="20"/>
        </w:rPr>
        <w:t>перетворювача</w:t>
      </w:r>
      <w:r w:rsidRPr="002E19DF">
        <w:rPr>
          <w:rFonts w:asciiTheme="majorHAnsi" w:hAnsiTheme="majorHAnsi"/>
          <w:sz w:val="20"/>
          <w:szCs w:val="20"/>
          <w:lang w:val="en-US"/>
        </w:rPr>
        <w:t>,</w:t>
      </w:r>
      <w:r w:rsidRPr="002E19DF">
        <w:rPr>
          <w:rFonts w:asciiTheme="majorHAnsi" w:hAnsiTheme="majorHAnsi"/>
          <w:spacing w:val="1"/>
          <w:sz w:val="20"/>
          <w:szCs w:val="20"/>
          <w:lang w:val="en-US"/>
        </w:rPr>
        <w:t xml:space="preserve"> </w:t>
      </w:r>
      <w:r w:rsidRPr="000977F7">
        <w:rPr>
          <w:rFonts w:asciiTheme="majorHAnsi" w:hAnsiTheme="majorHAnsi"/>
          <w:sz w:val="20"/>
          <w:szCs w:val="20"/>
        </w:rPr>
        <w:t>що</w:t>
      </w:r>
      <w:r w:rsidRPr="002E19DF">
        <w:rPr>
          <w:rFonts w:asciiTheme="majorHAnsi" w:hAnsiTheme="majorHAnsi"/>
          <w:spacing w:val="1"/>
          <w:sz w:val="20"/>
          <w:szCs w:val="20"/>
          <w:lang w:val="en-US"/>
        </w:rPr>
        <w:t xml:space="preserve"> </w:t>
      </w:r>
      <w:r w:rsidRPr="000977F7">
        <w:rPr>
          <w:rFonts w:asciiTheme="majorHAnsi" w:hAnsiTheme="majorHAnsi"/>
          <w:sz w:val="20"/>
          <w:szCs w:val="20"/>
        </w:rPr>
        <w:t>визначається</w:t>
      </w:r>
      <w:r w:rsidRPr="002E19DF">
        <w:rPr>
          <w:rFonts w:asciiTheme="majorHAnsi" w:hAnsiTheme="majorHAnsi"/>
          <w:spacing w:val="1"/>
          <w:sz w:val="20"/>
          <w:szCs w:val="20"/>
          <w:lang w:val="en-US"/>
        </w:rPr>
        <w:t xml:space="preserve"> </w:t>
      </w:r>
      <w:r w:rsidRPr="000977F7">
        <w:rPr>
          <w:rFonts w:asciiTheme="majorHAnsi" w:hAnsiTheme="majorHAnsi"/>
          <w:sz w:val="20"/>
          <w:szCs w:val="20"/>
        </w:rPr>
        <w:t>за</w:t>
      </w:r>
      <w:r w:rsidRPr="002E19DF">
        <w:rPr>
          <w:rFonts w:asciiTheme="majorHAnsi" w:hAnsiTheme="majorHAnsi"/>
          <w:spacing w:val="1"/>
          <w:sz w:val="20"/>
          <w:szCs w:val="20"/>
          <w:lang w:val="en-US"/>
        </w:rPr>
        <w:t xml:space="preserve"> </w:t>
      </w:r>
      <w:r w:rsidRPr="000977F7">
        <w:rPr>
          <w:rFonts w:asciiTheme="majorHAnsi" w:hAnsiTheme="majorHAnsi"/>
          <w:sz w:val="20"/>
          <w:szCs w:val="20"/>
        </w:rPr>
        <w:t>істинним</w:t>
      </w:r>
      <w:r w:rsidRPr="002E19DF">
        <w:rPr>
          <w:rFonts w:asciiTheme="majorHAnsi" w:hAnsiTheme="majorHAnsi"/>
          <w:spacing w:val="1"/>
          <w:sz w:val="20"/>
          <w:szCs w:val="20"/>
          <w:lang w:val="en-US"/>
        </w:rPr>
        <w:t xml:space="preserve"> </w:t>
      </w:r>
      <w:r w:rsidRPr="000977F7">
        <w:rPr>
          <w:rFonts w:asciiTheme="majorHAnsi" w:hAnsiTheme="majorHAnsi"/>
          <w:sz w:val="20"/>
          <w:szCs w:val="20"/>
        </w:rPr>
        <w:t>значенням</w:t>
      </w:r>
      <w:r w:rsidRPr="002E19DF">
        <w:rPr>
          <w:rFonts w:asciiTheme="majorHAnsi" w:hAnsiTheme="majorHAnsi"/>
          <w:sz w:val="20"/>
          <w:szCs w:val="20"/>
          <w:lang w:val="en-US"/>
        </w:rPr>
        <w:t xml:space="preserve"> </w:t>
      </w:r>
      <w:r w:rsidRPr="000977F7">
        <w:rPr>
          <w:rFonts w:asciiTheme="majorHAnsi" w:hAnsiTheme="majorHAnsi"/>
          <w:sz w:val="20"/>
          <w:szCs w:val="20"/>
        </w:rPr>
        <w:t>вихідної</w:t>
      </w:r>
      <w:r w:rsidRPr="002E19DF">
        <w:rPr>
          <w:rFonts w:asciiTheme="majorHAnsi" w:hAnsiTheme="majorHAnsi"/>
          <w:sz w:val="20"/>
          <w:szCs w:val="20"/>
          <w:lang w:val="en-US"/>
        </w:rPr>
        <w:t xml:space="preserve"> </w:t>
      </w:r>
      <w:r w:rsidRPr="000977F7">
        <w:rPr>
          <w:rFonts w:asciiTheme="majorHAnsi" w:hAnsiTheme="majorHAnsi"/>
          <w:sz w:val="20"/>
          <w:szCs w:val="20"/>
        </w:rPr>
        <w:t>величини</w:t>
      </w:r>
      <w:r w:rsidRPr="002E19DF">
        <w:rPr>
          <w:rFonts w:asciiTheme="majorHAnsi" w:hAnsiTheme="majorHAnsi"/>
          <w:sz w:val="20"/>
          <w:szCs w:val="20"/>
          <w:lang w:val="en-US"/>
        </w:rPr>
        <w:t xml:space="preserve"> </w:t>
      </w:r>
      <w:r w:rsidRPr="000977F7">
        <w:rPr>
          <w:rFonts w:asciiTheme="majorHAnsi" w:hAnsiTheme="majorHAnsi"/>
          <w:sz w:val="20"/>
          <w:szCs w:val="20"/>
        </w:rPr>
        <w:t>за</w:t>
      </w:r>
      <w:r w:rsidRPr="002E19DF">
        <w:rPr>
          <w:rFonts w:asciiTheme="majorHAnsi" w:hAnsiTheme="majorHAnsi"/>
          <w:sz w:val="20"/>
          <w:szCs w:val="20"/>
          <w:lang w:val="en-US"/>
        </w:rPr>
        <w:t xml:space="preserve"> </w:t>
      </w:r>
      <w:r w:rsidRPr="000977F7">
        <w:rPr>
          <w:rFonts w:asciiTheme="majorHAnsi" w:hAnsiTheme="majorHAnsi"/>
          <w:sz w:val="20"/>
          <w:szCs w:val="20"/>
        </w:rPr>
        <w:t>допомогою</w:t>
      </w:r>
      <w:r w:rsidRPr="002E19DF">
        <w:rPr>
          <w:rFonts w:asciiTheme="majorHAnsi" w:hAnsiTheme="majorHAnsi"/>
          <w:sz w:val="20"/>
          <w:szCs w:val="20"/>
          <w:lang w:val="en-US"/>
        </w:rPr>
        <w:t xml:space="preserve"> </w:t>
      </w:r>
      <w:r w:rsidRPr="000977F7">
        <w:rPr>
          <w:rFonts w:asciiTheme="majorHAnsi" w:hAnsiTheme="majorHAnsi"/>
          <w:sz w:val="20"/>
          <w:szCs w:val="20"/>
        </w:rPr>
        <w:t>градуювальної</w:t>
      </w:r>
      <w:r w:rsidRPr="002E19DF">
        <w:rPr>
          <w:rFonts w:asciiTheme="majorHAnsi" w:hAnsiTheme="majorHAnsi"/>
          <w:sz w:val="20"/>
          <w:szCs w:val="20"/>
          <w:lang w:val="en-US"/>
        </w:rPr>
        <w:t xml:space="preserve"> </w:t>
      </w:r>
      <w:r w:rsidRPr="000977F7">
        <w:rPr>
          <w:rFonts w:asciiTheme="majorHAnsi" w:hAnsiTheme="majorHAnsi"/>
          <w:sz w:val="20"/>
          <w:szCs w:val="20"/>
        </w:rPr>
        <w:t>характеристики</w:t>
      </w:r>
      <w:r w:rsidRPr="002E19DF">
        <w:rPr>
          <w:rFonts w:asciiTheme="majorHAnsi" w:hAnsiTheme="majorHAnsi"/>
          <w:sz w:val="20"/>
          <w:szCs w:val="20"/>
          <w:lang w:val="en-US"/>
        </w:rPr>
        <w:t xml:space="preserve"> </w:t>
      </w:r>
      <w:r w:rsidRPr="000977F7">
        <w:rPr>
          <w:rFonts w:asciiTheme="majorHAnsi" w:hAnsiTheme="majorHAnsi"/>
          <w:sz w:val="20"/>
          <w:szCs w:val="20"/>
        </w:rPr>
        <w:t>або</w:t>
      </w:r>
      <w:r w:rsidRPr="002E19DF">
        <w:rPr>
          <w:rFonts w:asciiTheme="majorHAnsi" w:hAnsiTheme="majorHAnsi"/>
          <w:sz w:val="20"/>
          <w:szCs w:val="20"/>
          <w:lang w:val="en-US"/>
        </w:rPr>
        <w:t xml:space="preserve"> </w:t>
      </w:r>
      <w:r w:rsidRPr="000977F7">
        <w:rPr>
          <w:rFonts w:asciiTheme="majorHAnsi" w:hAnsiTheme="majorHAnsi"/>
          <w:sz w:val="20"/>
          <w:szCs w:val="20"/>
        </w:rPr>
        <w:t>функції</w:t>
      </w:r>
      <w:r w:rsidRPr="002E19DF">
        <w:rPr>
          <w:rFonts w:asciiTheme="majorHAnsi" w:hAnsiTheme="majorHAnsi"/>
          <w:sz w:val="20"/>
          <w:szCs w:val="20"/>
          <w:lang w:val="en-US"/>
        </w:rPr>
        <w:t xml:space="preserve"> </w:t>
      </w:r>
      <w:r w:rsidRPr="000977F7">
        <w:rPr>
          <w:rFonts w:asciiTheme="majorHAnsi" w:hAnsiTheme="majorHAnsi"/>
          <w:sz w:val="20"/>
          <w:szCs w:val="20"/>
        </w:rPr>
        <w:t>перетворення</w:t>
      </w:r>
      <w:r w:rsidRPr="002E19DF">
        <w:rPr>
          <w:rFonts w:asciiTheme="majorHAnsi" w:hAnsiTheme="majorHAnsi"/>
          <w:sz w:val="20"/>
          <w:szCs w:val="20"/>
          <w:lang w:val="en-US"/>
        </w:rPr>
        <w:t xml:space="preserve">, </w:t>
      </w:r>
      <w:r w:rsidRPr="000977F7">
        <w:rPr>
          <w:rFonts w:asciiTheme="majorHAnsi" w:hAnsiTheme="majorHAnsi"/>
          <w:sz w:val="20"/>
          <w:szCs w:val="20"/>
        </w:rPr>
        <w:t>та</w:t>
      </w:r>
      <w:r w:rsidRPr="002E19DF">
        <w:rPr>
          <w:rFonts w:asciiTheme="majorHAnsi" w:hAnsiTheme="majorHAnsi"/>
          <w:spacing w:val="1"/>
          <w:sz w:val="20"/>
          <w:szCs w:val="20"/>
          <w:lang w:val="en-US"/>
        </w:rPr>
        <w:t xml:space="preserve"> </w:t>
      </w:r>
      <w:r w:rsidRPr="000977F7">
        <w:rPr>
          <w:rFonts w:asciiTheme="majorHAnsi" w:hAnsiTheme="majorHAnsi"/>
          <w:sz w:val="20"/>
          <w:szCs w:val="20"/>
        </w:rPr>
        <w:t>істинним</w:t>
      </w:r>
      <w:r w:rsidRPr="002E19DF">
        <w:rPr>
          <w:rFonts w:asciiTheme="majorHAnsi" w:hAnsiTheme="majorHAnsi"/>
          <w:sz w:val="20"/>
          <w:szCs w:val="20"/>
          <w:lang w:val="en-US"/>
        </w:rPr>
        <w:t xml:space="preserve"> </w:t>
      </w:r>
      <w:r w:rsidRPr="000977F7">
        <w:rPr>
          <w:rFonts w:asciiTheme="majorHAnsi" w:hAnsiTheme="majorHAnsi"/>
          <w:sz w:val="20"/>
          <w:szCs w:val="20"/>
        </w:rPr>
        <w:t>значенням</w:t>
      </w:r>
      <w:r w:rsidRPr="002E19DF">
        <w:rPr>
          <w:rFonts w:asciiTheme="majorHAnsi" w:hAnsiTheme="majorHAnsi"/>
          <w:spacing w:val="-1"/>
          <w:sz w:val="20"/>
          <w:szCs w:val="20"/>
          <w:lang w:val="en-US"/>
        </w:rPr>
        <w:t xml:space="preserve"> </w:t>
      </w:r>
      <w:r w:rsidRPr="000977F7">
        <w:rPr>
          <w:rFonts w:asciiTheme="majorHAnsi" w:hAnsiTheme="majorHAnsi"/>
          <w:sz w:val="20"/>
          <w:szCs w:val="20"/>
        </w:rPr>
        <w:t>вхідної</w:t>
      </w:r>
      <w:r w:rsidRPr="002E19DF">
        <w:rPr>
          <w:rFonts w:asciiTheme="majorHAnsi" w:hAnsiTheme="majorHAnsi"/>
          <w:spacing w:val="1"/>
          <w:sz w:val="20"/>
          <w:szCs w:val="20"/>
          <w:lang w:val="en-US"/>
        </w:rPr>
        <w:t xml:space="preserve"> </w:t>
      </w:r>
      <w:r w:rsidRPr="000977F7">
        <w:rPr>
          <w:rFonts w:asciiTheme="majorHAnsi" w:hAnsiTheme="majorHAnsi"/>
          <w:sz w:val="20"/>
          <w:szCs w:val="20"/>
        </w:rPr>
        <w:t>величини</w:t>
      </w:r>
    </w:p>
    <w:p w14:paraId="12E93F2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192877F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 практиці замість істинного значення використовують</w:t>
      </w:r>
      <w:r w:rsidRPr="000977F7">
        <w:rPr>
          <w:rFonts w:asciiTheme="majorHAnsi" w:hAnsiTheme="majorHAnsi"/>
          <w:spacing w:val="1"/>
          <w:sz w:val="20"/>
          <w:szCs w:val="20"/>
        </w:rPr>
        <w:t xml:space="preserve"> </w:t>
      </w:r>
      <w:r w:rsidRPr="000977F7">
        <w:rPr>
          <w:rFonts w:asciiTheme="majorHAnsi" w:hAnsiTheme="majorHAnsi"/>
          <w:sz w:val="20"/>
          <w:szCs w:val="20"/>
        </w:rPr>
        <w:t>умовно</w:t>
      </w:r>
      <w:r w:rsidRPr="000977F7">
        <w:rPr>
          <w:rFonts w:asciiTheme="majorHAnsi" w:hAnsiTheme="majorHAnsi"/>
          <w:spacing w:val="1"/>
          <w:sz w:val="20"/>
          <w:szCs w:val="20"/>
        </w:rPr>
        <w:t xml:space="preserve"> </w:t>
      </w:r>
      <w:r w:rsidRPr="000977F7">
        <w:rPr>
          <w:rFonts w:asciiTheme="majorHAnsi" w:hAnsiTheme="majorHAnsi"/>
          <w:sz w:val="20"/>
          <w:szCs w:val="20"/>
        </w:rPr>
        <w:t>істинне</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p>
    <w:p w14:paraId="408DF19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2681 - 94</w:t>
      </w:r>
    </w:p>
    <w:p w14:paraId="207987D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5" w:name="_Hlk101077187"/>
      <w:r w:rsidRPr="000977F7">
        <w:rPr>
          <w:color w:val="auto"/>
          <w:sz w:val="20"/>
          <w:szCs w:val="20"/>
        </w:rPr>
        <w:t>АБСОЛЮТНА ПОХИБКА ЗАСОБУ ВИМІРЮВАНЬ –</w:t>
      </w:r>
    </w:p>
    <w:p w14:paraId="715E25F7"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en-US"/>
        </w:rPr>
      </w:pPr>
      <w:r w:rsidRPr="002E19DF">
        <w:rPr>
          <w:rFonts w:asciiTheme="majorHAnsi" w:hAnsiTheme="majorHAnsi"/>
          <w:sz w:val="20"/>
          <w:szCs w:val="20"/>
          <w:lang w:val="en-US"/>
        </w:rPr>
        <w:t>ERROR</w:t>
      </w:r>
      <w:r w:rsidRPr="002E19DF">
        <w:rPr>
          <w:rFonts w:asciiTheme="majorHAnsi" w:hAnsiTheme="majorHAnsi"/>
          <w:spacing w:val="-4"/>
          <w:sz w:val="20"/>
          <w:szCs w:val="20"/>
          <w:lang w:val="en-US"/>
        </w:rPr>
        <w:t xml:space="preserve"> </w:t>
      </w:r>
      <w:r w:rsidRPr="002E19DF">
        <w:rPr>
          <w:rFonts w:asciiTheme="majorHAnsi" w:hAnsiTheme="majorHAnsi"/>
          <w:sz w:val="20"/>
          <w:szCs w:val="20"/>
          <w:lang w:val="en-US"/>
        </w:rPr>
        <w:t>OF</w:t>
      </w:r>
      <w:r w:rsidRPr="002E19DF">
        <w:rPr>
          <w:rFonts w:asciiTheme="majorHAnsi" w:hAnsiTheme="majorHAnsi"/>
          <w:spacing w:val="-3"/>
          <w:sz w:val="20"/>
          <w:szCs w:val="20"/>
          <w:lang w:val="en-US"/>
        </w:rPr>
        <w:t xml:space="preserve"> </w:t>
      </w:r>
      <w:r w:rsidRPr="002E19DF">
        <w:rPr>
          <w:rFonts w:asciiTheme="majorHAnsi" w:hAnsiTheme="majorHAnsi"/>
          <w:sz w:val="20"/>
          <w:szCs w:val="20"/>
          <w:lang w:val="en-US"/>
        </w:rPr>
        <w:t>INDICATION</w:t>
      </w:r>
      <w:r w:rsidRPr="002E19DF">
        <w:rPr>
          <w:rFonts w:asciiTheme="majorHAnsi" w:hAnsiTheme="majorHAnsi"/>
          <w:spacing w:val="-2"/>
          <w:sz w:val="20"/>
          <w:szCs w:val="20"/>
          <w:lang w:val="en-US"/>
        </w:rPr>
        <w:t xml:space="preserve"> </w:t>
      </w:r>
      <w:r w:rsidRPr="002E19DF">
        <w:rPr>
          <w:rFonts w:asciiTheme="majorHAnsi" w:hAnsiTheme="majorHAnsi"/>
          <w:sz w:val="20"/>
          <w:szCs w:val="20"/>
          <w:lang w:val="en-US"/>
        </w:rPr>
        <w:t>OF</w:t>
      </w:r>
      <w:r w:rsidRPr="002E19DF">
        <w:rPr>
          <w:rFonts w:asciiTheme="majorHAnsi" w:hAnsiTheme="majorHAnsi"/>
          <w:spacing w:val="-3"/>
          <w:sz w:val="20"/>
          <w:szCs w:val="20"/>
          <w:lang w:val="en-US"/>
        </w:rPr>
        <w:t xml:space="preserve"> </w:t>
      </w:r>
      <w:r w:rsidRPr="002E19DF">
        <w:rPr>
          <w:rFonts w:asciiTheme="majorHAnsi" w:hAnsiTheme="majorHAnsi"/>
          <w:sz w:val="20"/>
          <w:szCs w:val="20"/>
          <w:lang w:val="en-US"/>
        </w:rPr>
        <w:t>MEASURING</w:t>
      </w:r>
      <w:r w:rsidRPr="002E19DF">
        <w:rPr>
          <w:rFonts w:asciiTheme="majorHAnsi" w:hAnsiTheme="majorHAnsi"/>
          <w:spacing w:val="-47"/>
          <w:sz w:val="20"/>
          <w:szCs w:val="20"/>
          <w:lang w:val="en-US"/>
        </w:rPr>
        <w:t xml:space="preserve"> </w:t>
      </w:r>
      <w:r w:rsidRPr="002E19DF">
        <w:rPr>
          <w:rFonts w:asciiTheme="majorHAnsi" w:hAnsiTheme="majorHAnsi"/>
          <w:sz w:val="20"/>
          <w:szCs w:val="20"/>
          <w:lang w:val="en-US"/>
        </w:rPr>
        <w:t>INSTRUMENT</w:t>
      </w:r>
      <w:r w:rsidRPr="002E19DF">
        <w:rPr>
          <w:rFonts w:asciiTheme="majorHAnsi" w:hAnsiTheme="majorHAnsi"/>
          <w:spacing w:val="3"/>
          <w:sz w:val="20"/>
          <w:szCs w:val="20"/>
          <w:lang w:val="en-US"/>
        </w:rPr>
        <w:t xml:space="preserve"> </w:t>
      </w:r>
      <w:r w:rsidRPr="002E19DF">
        <w:rPr>
          <w:rFonts w:asciiTheme="majorHAnsi" w:hAnsiTheme="majorHAnsi"/>
          <w:sz w:val="20"/>
          <w:szCs w:val="20"/>
          <w:lang w:val="en-US"/>
        </w:rPr>
        <w:t>–</w:t>
      </w:r>
    </w:p>
    <w:bookmarkEnd w:id="5"/>
    <w:p w14:paraId="43E35829"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Різниця</w:t>
      </w:r>
      <w:r w:rsidRPr="002E19DF">
        <w:rPr>
          <w:rFonts w:asciiTheme="majorHAnsi" w:hAnsiTheme="majorHAnsi"/>
          <w:sz w:val="20"/>
          <w:szCs w:val="20"/>
          <w:lang w:val="en-US"/>
        </w:rPr>
        <w:t xml:space="preserve"> </w:t>
      </w:r>
      <w:r w:rsidRPr="000977F7">
        <w:rPr>
          <w:rFonts w:asciiTheme="majorHAnsi" w:hAnsiTheme="majorHAnsi"/>
          <w:sz w:val="20"/>
          <w:szCs w:val="20"/>
        </w:rPr>
        <w:t>між</w:t>
      </w:r>
      <w:r w:rsidRPr="002E19DF">
        <w:rPr>
          <w:rFonts w:asciiTheme="majorHAnsi" w:hAnsiTheme="majorHAnsi"/>
          <w:sz w:val="20"/>
          <w:szCs w:val="20"/>
          <w:lang w:val="en-US"/>
        </w:rPr>
        <w:t xml:space="preserve"> </w:t>
      </w:r>
      <w:r w:rsidRPr="000977F7">
        <w:rPr>
          <w:rFonts w:asciiTheme="majorHAnsi" w:hAnsiTheme="majorHAnsi"/>
          <w:sz w:val="20"/>
          <w:szCs w:val="20"/>
        </w:rPr>
        <w:t>показом</w:t>
      </w:r>
      <w:r w:rsidRPr="002E19DF">
        <w:rPr>
          <w:rFonts w:asciiTheme="majorHAnsi" w:hAnsiTheme="majorHAnsi"/>
          <w:sz w:val="20"/>
          <w:szCs w:val="20"/>
          <w:lang w:val="en-US"/>
        </w:rPr>
        <w:t xml:space="preserve"> </w:t>
      </w:r>
      <w:r w:rsidRPr="000977F7">
        <w:rPr>
          <w:rFonts w:asciiTheme="majorHAnsi" w:hAnsiTheme="majorHAnsi"/>
          <w:sz w:val="20"/>
          <w:szCs w:val="20"/>
        </w:rPr>
        <w:t>засобу</w:t>
      </w:r>
      <w:r w:rsidRPr="002E19DF">
        <w:rPr>
          <w:rFonts w:asciiTheme="majorHAnsi" w:hAnsiTheme="majorHAnsi"/>
          <w:sz w:val="20"/>
          <w:szCs w:val="20"/>
          <w:lang w:val="en-US"/>
        </w:rPr>
        <w:t xml:space="preserve"> </w:t>
      </w:r>
      <w:r w:rsidRPr="000977F7">
        <w:rPr>
          <w:rFonts w:asciiTheme="majorHAnsi" w:hAnsiTheme="majorHAnsi"/>
          <w:sz w:val="20"/>
          <w:szCs w:val="20"/>
        </w:rPr>
        <w:t>вимірювань</w:t>
      </w:r>
      <w:r w:rsidRPr="002E19DF">
        <w:rPr>
          <w:rFonts w:asciiTheme="majorHAnsi" w:hAnsiTheme="majorHAnsi"/>
          <w:sz w:val="20"/>
          <w:szCs w:val="20"/>
          <w:lang w:val="en-US"/>
        </w:rPr>
        <w:t xml:space="preserve"> </w:t>
      </w:r>
      <w:r w:rsidRPr="000977F7">
        <w:rPr>
          <w:rFonts w:asciiTheme="majorHAnsi" w:hAnsiTheme="majorHAnsi"/>
          <w:sz w:val="20"/>
          <w:szCs w:val="20"/>
        </w:rPr>
        <w:t>та</w:t>
      </w:r>
      <w:r w:rsidRPr="002E19DF">
        <w:rPr>
          <w:rFonts w:asciiTheme="majorHAnsi" w:hAnsiTheme="majorHAnsi"/>
          <w:sz w:val="20"/>
          <w:szCs w:val="20"/>
          <w:lang w:val="en-US"/>
        </w:rPr>
        <w:t xml:space="preserve"> </w:t>
      </w:r>
      <w:r w:rsidRPr="000977F7">
        <w:rPr>
          <w:rFonts w:asciiTheme="majorHAnsi" w:hAnsiTheme="majorHAnsi"/>
          <w:sz w:val="20"/>
          <w:szCs w:val="20"/>
        </w:rPr>
        <w:t>істинним</w:t>
      </w:r>
      <w:r w:rsidRPr="002E19DF">
        <w:rPr>
          <w:rFonts w:asciiTheme="majorHAnsi" w:hAnsiTheme="majorHAnsi"/>
          <w:spacing w:val="1"/>
          <w:sz w:val="20"/>
          <w:szCs w:val="20"/>
          <w:lang w:val="en-US"/>
        </w:rPr>
        <w:t xml:space="preserve"> </w:t>
      </w:r>
      <w:r w:rsidRPr="000977F7">
        <w:rPr>
          <w:rFonts w:asciiTheme="majorHAnsi" w:hAnsiTheme="majorHAnsi"/>
          <w:sz w:val="20"/>
          <w:szCs w:val="20"/>
        </w:rPr>
        <w:t>значенням</w:t>
      </w:r>
      <w:r w:rsidRPr="002E19DF">
        <w:rPr>
          <w:rFonts w:asciiTheme="majorHAnsi" w:hAnsiTheme="majorHAnsi"/>
          <w:sz w:val="20"/>
          <w:szCs w:val="20"/>
          <w:lang w:val="en-US"/>
        </w:rPr>
        <w:t xml:space="preserve"> </w:t>
      </w:r>
      <w:r w:rsidRPr="000977F7">
        <w:rPr>
          <w:rFonts w:asciiTheme="majorHAnsi" w:hAnsiTheme="majorHAnsi"/>
          <w:sz w:val="20"/>
          <w:szCs w:val="20"/>
        </w:rPr>
        <w:t>вимірюваної</w:t>
      </w:r>
      <w:r w:rsidRPr="002E19DF">
        <w:rPr>
          <w:rFonts w:asciiTheme="majorHAnsi" w:hAnsiTheme="majorHAnsi"/>
          <w:sz w:val="20"/>
          <w:szCs w:val="20"/>
          <w:lang w:val="en-US"/>
        </w:rPr>
        <w:t xml:space="preserve"> </w:t>
      </w:r>
      <w:r w:rsidRPr="000977F7">
        <w:rPr>
          <w:rFonts w:asciiTheme="majorHAnsi" w:hAnsiTheme="majorHAnsi"/>
          <w:sz w:val="20"/>
          <w:szCs w:val="20"/>
        </w:rPr>
        <w:t>величини</w:t>
      </w:r>
      <w:r w:rsidRPr="002E19DF">
        <w:rPr>
          <w:rFonts w:asciiTheme="majorHAnsi" w:hAnsiTheme="majorHAnsi"/>
          <w:sz w:val="20"/>
          <w:szCs w:val="20"/>
          <w:lang w:val="en-US"/>
        </w:rPr>
        <w:t xml:space="preserve"> </w:t>
      </w:r>
      <w:r w:rsidRPr="000977F7">
        <w:rPr>
          <w:rFonts w:asciiTheme="majorHAnsi" w:hAnsiTheme="majorHAnsi"/>
          <w:sz w:val="20"/>
          <w:szCs w:val="20"/>
        </w:rPr>
        <w:t>за</w:t>
      </w:r>
      <w:r w:rsidRPr="002E19DF">
        <w:rPr>
          <w:rFonts w:asciiTheme="majorHAnsi" w:hAnsiTheme="majorHAnsi"/>
          <w:sz w:val="20"/>
          <w:szCs w:val="20"/>
          <w:lang w:val="en-US"/>
        </w:rPr>
        <w:t xml:space="preserve"> </w:t>
      </w:r>
      <w:r w:rsidRPr="000977F7">
        <w:rPr>
          <w:rFonts w:asciiTheme="majorHAnsi" w:hAnsiTheme="majorHAnsi"/>
          <w:sz w:val="20"/>
          <w:szCs w:val="20"/>
        </w:rPr>
        <w:t>відсутності</w:t>
      </w:r>
      <w:r w:rsidRPr="002E19DF">
        <w:rPr>
          <w:rFonts w:asciiTheme="majorHAnsi" w:hAnsiTheme="majorHAnsi"/>
          <w:sz w:val="20"/>
          <w:szCs w:val="20"/>
          <w:lang w:val="en-US"/>
        </w:rPr>
        <w:t xml:space="preserve"> </w:t>
      </w:r>
      <w:r w:rsidRPr="000977F7">
        <w:rPr>
          <w:rFonts w:asciiTheme="majorHAnsi" w:hAnsiTheme="majorHAnsi"/>
          <w:sz w:val="20"/>
          <w:szCs w:val="20"/>
        </w:rPr>
        <w:t>методичних</w:t>
      </w:r>
      <w:r w:rsidRPr="002E19DF">
        <w:rPr>
          <w:rFonts w:asciiTheme="majorHAnsi" w:hAnsiTheme="majorHAnsi"/>
          <w:sz w:val="20"/>
          <w:szCs w:val="20"/>
          <w:lang w:val="en-US"/>
        </w:rPr>
        <w:t xml:space="preserve"> </w:t>
      </w:r>
      <w:r w:rsidRPr="000977F7">
        <w:rPr>
          <w:rFonts w:asciiTheme="majorHAnsi" w:hAnsiTheme="majorHAnsi"/>
          <w:sz w:val="20"/>
          <w:szCs w:val="20"/>
        </w:rPr>
        <w:t>похибок</w:t>
      </w:r>
      <w:r w:rsidRPr="002E19DF">
        <w:rPr>
          <w:rFonts w:asciiTheme="majorHAnsi" w:hAnsiTheme="majorHAnsi"/>
          <w:spacing w:val="1"/>
          <w:sz w:val="20"/>
          <w:szCs w:val="20"/>
          <w:lang w:val="en-US"/>
        </w:rPr>
        <w:t xml:space="preserve"> </w:t>
      </w:r>
      <w:r w:rsidRPr="000977F7">
        <w:rPr>
          <w:rFonts w:asciiTheme="majorHAnsi" w:hAnsiTheme="majorHAnsi"/>
          <w:sz w:val="20"/>
          <w:szCs w:val="20"/>
        </w:rPr>
        <w:t>і</w:t>
      </w:r>
      <w:r w:rsidRPr="002E19DF">
        <w:rPr>
          <w:rFonts w:asciiTheme="majorHAnsi" w:hAnsiTheme="majorHAnsi"/>
          <w:sz w:val="20"/>
          <w:szCs w:val="20"/>
          <w:lang w:val="en-US"/>
        </w:rPr>
        <w:t xml:space="preserve"> </w:t>
      </w:r>
      <w:r w:rsidRPr="000977F7">
        <w:rPr>
          <w:rFonts w:asciiTheme="majorHAnsi" w:hAnsiTheme="majorHAnsi"/>
          <w:sz w:val="20"/>
          <w:szCs w:val="20"/>
        </w:rPr>
        <w:t>похибок</w:t>
      </w:r>
      <w:r w:rsidRPr="002E19DF">
        <w:rPr>
          <w:rFonts w:asciiTheme="majorHAnsi" w:hAnsiTheme="majorHAnsi"/>
          <w:sz w:val="20"/>
          <w:szCs w:val="20"/>
          <w:lang w:val="en-US"/>
        </w:rPr>
        <w:t xml:space="preserve"> </w:t>
      </w:r>
      <w:r w:rsidRPr="000977F7">
        <w:rPr>
          <w:rFonts w:asciiTheme="majorHAnsi" w:hAnsiTheme="majorHAnsi"/>
          <w:sz w:val="20"/>
          <w:szCs w:val="20"/>
        </w:rPr>
        <w:t>від</w:t>
      </w:r>
      <w:r w:rsidRPr="002E19DF">
        <w:rPr>
          <w:rFonts w:asciiTheme="majorHAnsi" w:hAnsiTheme="majorHAnsi"/>
          <w:sz w:val="20"/>
          <w:szCs w:val="20"/>
          <w:lang w:val="en-US"/>
        </w:rPr>
        <w:t xml:space="preserve"> </w:t>
      </w:r>
      <w:r w:rsidRPr="000977F7">
        <w:rPr>
          <w:rFonts w:asciiTheme="majorHAnsi" w:hAnsiTheme="majorHAnsi"/>
          <w:sz w:val="20"/>
          <w:szCs w:val="20"/>
        </w:rPr>
        <w:t>взаємодії</w:t>
      </w:r>
      <w:r w:rsidRPr="002E19DF">
        <w:rPr>
          <w:rFonts w:asciiTheme="majorHAnsi" w:hAnsiTheme="majorHAnsi"/>
          <w:sz w:val="20"/>
          <w:szCs w:val="20"/>
          <w:lang w:val="en-US"/>
        </w:rPr>
        <w:t xml:space="preserve"> </w:t>
      </w:r>
      <w:r w:rsidRPr="000977F7">
        <w:rPr>
          <w:rFonts w:asciiTheme="majorHAnsi" w:hAnsiTheme="majorHAnsi"/>
          <w:sz w:val="20"/>
          <w:szCs w:val="20"/>
        </w:rPr>
        <w:t>засобу</w:t>
      </w:r>
      <w:r w:rsidRPr="002E19DF">
        <w:rPr>
          <w:rFonts w:asciiTheme="majorHAnsi" w:hAnsiTheme="majorHAnsi"/>
          <w:sz w:val="20"/>
          <w:szCs w:val="20"/>
          <w:lang w:val="en-US"/>
        </w:rPr>
        <w:t xml:space="preserve"> </w:t>
      </w:r>
      <w:r w:rsidRPr="000977F7">
        <w:rPr>
          <w:rFonts w:asciiTheme="majorHAnsi" w:hAnsiTheme="majorHAnsi"/>
          <w:sz w:val="20"/>
          <w:szCs w:val="20"/>
        </w:rPr>
        <w:t>вимірювань</w:t>
      </w:r>
      <w:r w:rsidRPr="002E19DF">
        <w:rPr>
          <w:rFonts w:asciiTheme="majorHAnsi" w:hAnsiTheme="majorHAnsi"/>
          <w:spacing w:val="-1"/>
          <w:sz w:val="20"/>
          <w:szCs w:val="20"/>
          <w:lang w:val="en-US"/>
        </w:rPr>
        <w:t xml:space="preserve"> </w:t>
      </w:r>
      <w:r w:rsidRPr="000977F7">
        <w:rPr>
          <w:rFonts w:asciiTheme="majorHAnsi" w:hAnsiTheme="majorHAnsi"/>
          <w:sz w:val="20"/>
          <w:szCs w:val="20"/>
        </w:rPr>
        <w:t>з</w:t>
      </w:r>
      <w:r w:rsidRPr="002E19DF">
        <w:rPr>
          <w:rFonts w:asciiTheme="majorHAnsi" w:hAnsiTheme="majorHAnsi"/>
          <w:sz w:val="20"/>
          <w:szCs w:val="20"/>
          <w:lang w:val="en-US"/>
        </w:rPr>
        <w:t xml:space="preserve"> </w:t>
      </w:r>
      <w:r w:rsidRPr="000977F7">
        <w:rPr>
          <w:rFonts w:asciiTheme="majorHAnsi" w:hAnsiTheme="majorHAnsi"/>
          <w:sz w:val="20"/>
          <w:szCs w:val="20"/>
        </w:rPr>
        <w:t>об</w:t>
      </w:r>
      <w:r w:rsidRPr="002E19DF">
        <w:rPr>
          <w:rFonts w:asciiTheme="majorHAnsi" w:hAnsiTheme="majorHAnsi"/>
          <w:sz w:val="20"/>
          <w:szCs w:val="20"/>
          <w:lang w:val="en-US"/>
        </w:rPr>
        <w:t>’</w:t>
      </w:r>
      <w:r w:rsidRPr="000977F7">
        <w:rPr>
          <w:rFonts w:asciiTheme="majorHAnsi" w:hAnsiTheme="majorHAnsi"/>
          <w:sz w:val="20"/>
          <w:szCs w:val="20"/>
        </w:rPr>
        <w:t>єктом</w:t>
      </w:r>
      <w:r w:rsidRPr="002E19DF">
        <w:rPr>
          <w:rFonts w:asciiTheme="majorHAnsi" w:hAnsiTheme="majorHAnsi"/>
          <w:sz w:val="20"/>
          <w:szCs w:val="20"/>
          <w:lang w:val="en-US"/>
        </w:rPr>
        <w:t xml:space="preserve"> </w:t>
      </w:r>
      <w:r w:rsidRPr="000977F7">
        <w:rPr>
          <w:rFonts w:asciiTheme="majorHAnsi" w:hAnsiTheme="majorHAnsi"/>
          <w:sz w:val="20"/>
          <w:szCs w:val="20"/>
        </w:rPr>
        <w:t>вимірювання</w:t>
      </w:r>
    </w:p>
    <w:p w14:paraId="03B9F83C"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П</w:t>
      </w:r>
      <w:r w:rsidRPr="002E19DF">
        <w:rPr>
          <w:rFonts w:asciiTheme="majorHAnsi" w:hAnsiTheme="majorHAnsi"/>
          <w:spacing w:val="-1"/>
          <w:sz w:val="20"/>
          <w:szCs w:val="20"/>
          <w:lang w:val="en-US"/>
        </w:rPr>
        <w:t xml:space="preserve"> </w:t>
      </w:r>
      <w:r w:rsidRPr="000977F7">
        <w:rPr>
          <w:rFonts w:asciiTheme="majorHAnsi" w:hAnsiTheme="majorHAnsi"/>
          <w:sz w:val="20"/>
          <w:szCs w:val="20"/>
        </w:rPr>
        <w:t>р</w:t>
      </w:r>
      <w:r w:rsidRPr="002E19DF">
        <w:rPr>
          <w:rFonts w:asciiTheme="majorHAnsi" w:hAnsiTheme="majorHAnsi"/>
          <w:sz w:val="20"/>
          <w:szCs w:val="20"/>
          <w:lang w:val="en-US"/>
        </w:rPr>
        <w:t xml:space="preserve"> </w:t>
      </w:r>
      <w:r w:rsidRPr="000977F7">
        <w:rPr>
          <w:rFonts w:asciiTheme="majorHAnsi" w:hAnsiTheme="majorHAnsi"/>
          <w:sz w:val="20"/>
          <w:szCs w:val="20"/>
        </w:rPr>
        <w:t>и</w:t>
      </w:r>
      <w:r w:rsidRPr="002E19DF">
        <w:rPr>
          <w:rFonts w:asciiTheme="majorHAnsi" w:hAnsiTheme="majorHAnsi"/>
          <w:spacing w:val="-1"/>
          <w:sz w:val="20"/>
          <w:szCs w:val="20"/>
          <w:lang w:val="en-US"/>
        </w:rPr>
        <w:t xml:space="preserve"> </w:t>
      </w:r>
      <w:r w:rsidRPr="000977F7">
        <w:rPr>
          <w:rFonts w:asciiTheme="majorHAnsi" w:hAnsiTheme="majorHAnsi"/>
          <w:sz w:val="20"/>
          <w:szCs w:val="20"/>
        </w:rPr>
        <w:t>м</w:t>
      </w:r>
      <w:r w:rsidRPr="002E19DF">
        <w:rPr>
          <w:rFonts w:asciiTheme="majorHAnsi" w:hAnsiTheme="majorHAnsi"/>
          <w:sz w:val="20"/>
          <w:szCs w:val="20"/>
          <w:lang w:val="en-US"/>
        </w:rPr>
        <w:t xml:space="preserve"> </w:t>
      </w:r>
      <w:r w:rsidRPr="000977F7">
        <w:rPr>
          <w:rFonts w:asciiTheme="majorHAnsi" w:hAnsiTheme="majorHAnsi"/>
          <w:sz w:val="20"/>
          <w:szCs w:val="20"/>
        </w:rPr>
        <w:t>і</w:t>
      </w:r>
      <w:r w:rsidRPr="002E19DF">
        <w:rPr>
          <w:rFonts w:asciiTheme="majorHAnsi" w:hAnsiTheme="majorHAnsi"/>
          <w:spacing w:val="-1"/>
          <w:sz w:val="20"/>
          <w:szCs w:val="20"/>
          <w:lang w:val="en-US"/>
        </w:rPr>
        <w:t xml:space="preserve"> </w:t>
      </w:r>
      <w:r w:rsidRPr="000977F7">
        <w:rPr>
          <w:rFonts w:asciiTheme="majorHAnsi" w:hAnsiTheme="majorHAnsi"/>
          <w:sz w:val="20"/>
          <w:szCs w:val="20"/>
        </w:rPr>
        <w:t>т</w:t>
      </w:r>
      <w:r w:rsidRPr="002E19DF">
        <w:rPr>
          <w:rFonts w:asciiTheme="majorHAnsi" w:hAnsiTheme="majorHAnsi"/>
          <w:spacing w:val="-2"/>
          <w:sz w:val="20"/>
          <w:szCs w:val="20"/>
          <w:lang w:val="en-US"/>
        </w:rPr>
        <w:t xml:space="preserve"> </w:t>
      </w:r>
      <w:r w:rsidRPr="000977F7">
        <w:rPr>
          <w:rFonts w:asciiTheme="majorHAnsi" w:hAnsiTheme="majorHAnsi"/>
          <w:sz w:val="20"/>
          <w:szCs w:val="20"/>
        </w:rPr>
        <w:t>к</w:t>
      </w:r>
      <w:r w:rsidRPr="002E19DF">
        <w:rPr>
          <w:rFonts w:asciiTheme="majorHAnsi" w:hAnsiTheme="majorHAnsi"/>
          <w:spacing w:val="-1"/>
          <w:sz w:val="20"/>
          <w:szCs w:val="20"/>
          <w:lang w:val="en-US"/>
        </w:rPr>
        <w:t xml:space="preserve"> </w:t>
      </w:r>
      <w:r w:rsidRPr="000977F7">
        <w:rPr>
          <w:rFonts w:asciiTheme="majorHAnsi" w:hAnsiTheme="majorHAnsi"/>
          <w:sz w:val="20"/>
          <w:szCs w:val="20"/>
        </w:rPr>
        <w:t>и</w:t>
      </w:r>
      <w:r w:rsidRPr="002E19DF">
        <w:rPr>
          <w:rFonts w:asciiTheme="majorHAnsi" w:hAnsiTheme="majorHAnsi"/>
          <w:sz w:val="20"/>
          <w:szCs w:val="20"/>
          <w:lang w:val="en-US"/>
        </w:rPr>
        <w:t>:</w:t>
      </w:r>
    </w:p>
    <w:p w14:paraId="1074D963"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Умови</w:t>
      </w:r>
      <w:r w:rsidRPr="002E19DF">
        <w:rPr>
          <w:rFonts w:asciiTheme="majorHAnsi" w:hAnsiTheme="majorHAnsi"/>
          <w:sz w:val="20"/>
          <w:szCs w:val="20"/>
          <w:lang w:val="en-US"/>
        </w:rPr>
        <w:t xml:space="preserve"> </w:t>
      </w:r>
      <w:r w:rsidRPr="000977F7">
        <w:rPr>
          <w:rFonts w:asciiTheme="majorHAnsi" w:hAnsiTheme="majorHAnsi"/>
          <w:sz w:val="20"/>
          <w:szCs w:val="20"/>
        </w:rPr>
        <w:t>відсутності</w:t>
      </w:r>
      <w:r w:rsidRPr="002E19DF">
        <w:rPr>
          <w:rFonts w:asciiTheme="majorHAnsi" w:hAnsiTheme="majorHAnsi"/>
          <w:sz w:val="20"/>
          <w:szCs w:val="20"/>
          <w:lang w:val="en-US"/>
        </w:rPr>
        <w:t xml:space="preserve"> </w:t>
      </w:r>
      <w:r w:rsidRPr="000977F7">
        <w:rPr>
          <w:rFonts w:asciiTheme="majorHAnsi" w:hAnsiTheme="majorHAnsi"/>
          <w:sz w:val="20"/>
          <w:szCs w:val="20"/>
        </w:rPr>
        <w:t>методичних</w:t>
      </w:r>
      <w:r w:rsidRPr="002E19DF">
        <w:rPr>
          <w:rFonts w:asciiTheme="majorHAnsi" w:hAnsiTheme="majorHAnsi"/>
          <w:sz w:val="20"/>
          <w:szCs w:val="20"/>
          <w:lang w:val="en-US"/>
        </w:rPr>
        <w:t xml:space="preserve"> </w:t>
      </w:r>
      <w:r w:rsidRPr="000977F7">
        <w:rPr>
          <w:rFonts w:asciiTheme="majorHAnsi" w:hAnsiTheme="majorHAnsi"/>
          <w:sz w:val="20"/>
          <w:szCs w:val="20"/>
        </w:rPr>
        <w:t>похибок</w:t>
      </w:r>
      <w:r w:rsidRPr="002E19DF">
        <w:rPr>
          <w:rFonts w:asciiTheme="majorHAnsi" w:hAnsiTheme="majorHAnsi"/>
          <w:sz w:val="20"/>
          <w:szCs w:val="20"/>
          <w:lang w:val="en-US"/>
        </w:rPr>
        <w:t xml:space="preserve"> </w:t>
      </w:r>
      <w:r w:rsidRPr="000977F7">
        <w:rPr>
          <w:rFonts w:asciiTheme="majorHAnsi" w:hAnsiTheme="majorHAnsi"/>
          <w:sz w:val="20"/>
          <w:szCs w:val="20"/>
        </w:rPr>
        <w:t>вимірювання</w:t>
      </w:r>
      <w:r w:rsidRPr="002E19DF">
        <w:rPr>
          <w:rFonts w:asciiTheme="majorHAnsi" w:hAnsiTheme="majorHAnsi"/>
          <w:sz w:val="20"/>
          <w:szCs w:val="20"/>
          <w:lang w:val="en-US"/>
        </w:rPr>
        <w:t xml:space="preserve"> </w:t>
      </w:r>
      <w:r w:rsidRPr="000977F7">
        <w:rPr>
          <w:rFonts w:asciiTheme="majorHAnsi" w:hAnsiTheme="majorHAnsi"/>
          <w:sz w:val="20"/>
          <w:szCs w:val="20"/>
        </w:rPr>
        <w:t>і</w:t>
      </w:r>
      <w:r w:rsidRPr="002E19DF">
        <w:rPr>
          <w:rFonts w:asciiTheme="majorHAnsi" w:hAnsiTheme="majorHAnsi"/>
          <w:sz w:val="20"/>
          <w:szCs w:val="20"/>
          <w:lang w:val="en-US"/>
        </w:rPr>
        <w:t xml:space="preserve"> </w:t>
      </w:r>
      <w:r w:rsidRPr="000977F7">
        <w:rPr>
          <w:rFonts w:asciiTheme="majorHAnsi" w:hAnsiTheme="majorHAnsi"/>
          <w:sz w:val="20"/>
          <w:szCs w:val="20"/>
        </w:rPr>
        <w:t>похибок</w:t>
      </w:r>
      <w:r w:rsidRPr="002E19DF">
        <w:rPr>
          <w:rFonts w:asciiTheme="majorHAnsi" w:hAnsiTheme="majorHAnsi"/>
          <w:sz w:val="20"/>
          <w:szCs w:val="20"/>
          <w:lang w:val="en-US"/>
        </w:rPr>
        <w:t xml:space="preserve"> </w:t>
      </w:r>
      <w:r w:rsidRPr="000977F7">
        <w:rPr>
          <w:rFonts w:asciiTheme="majorHAnsi" w:hAnsiTheme="majorHAnsi"/>
          <w:sz w:val="20"/>
          <w:szCs w:val="20"/>
        </w:rPr>
        <w:t>від</w:t>
      </w:r>
      <w:r w:rsidRPr="002E19DF">
        <w:rPr>
          <w:rFonts w:asciiTheme="majorHAnsi" w:hAnsiTheme="majorHAnsi"/>
          <w:sz w:val="20"/>
          <w:szCs w:val="20"/>
          <w:lang w:val="en-US"/>
        </w:rPr>
        <w:t xml:space="preserve"> </w:t>
      </w:r>
      <w:r w:rsidRPr="000977F7">
        <w:rPr>
          <w:rFonts w:asciiTheme="majorHAnsi" w:hAnsiTheme="majorHAnsi"/>
          <w:sz w:val="20"/>
          <w:szCs w:val="20"/>
        </w:rPr>
        <w:t>взаємодії</w:t>
      </w:r>
      <w:r w:rsidRPr="002E19DF">
        <w:rPr>
          <w:rFonts w:asciiTheme="majorHAnsi" w:hAnsiTheme="majorHAnsi"/>
          <w:sz w:val="20"/>
          <w:szCs w:val="20"/>
          <w:lang w:val="en-US"/>
        </w:rPr>
        <w:t xml:space="preserve"> </w:t>
      </w:r>
      <w:r w:rsidRPr="000977F7">
        <w:rPr>
          <w:rFonts w:asciiTheme="majorHAnsi" w:hAnsiTheme="majorHAnsi"/>
          <w:sz w:val="20"/>
          <w:szCs w:val="20"/>
        </w:rPr>
        <w:t>засобу</w:t>
      </w:r>
      <w:r w:rsidRPr="002E19DF">
        <w:rPr>
          <w:rFonts w:asciiTheme="majorHAnsi" w:hAnsiTheme="majorHAnsi"/>
          <w:sz w:val="20"/>
          <w:szCs w:val="20"/>
          <w:lang w:val="en-US"/>
        </w:rPr>
        <w:t xml:space="preserve"> </w:t>
      </w:r>
      <w:r w:rsidRPr="000977F7">
        <w:rPr>
          <w:rFonts w:asciiTheme="majorHAnsi" w:hAnsiTheme="majorHAnsi"/>
          <w:sz w:val="20"/>
          <w:szCs w:val="20"/>
        </w:rPr>
        <w:t>вимірювань</w:t>
      </w:r>
      <w:r w:rsidRPr="002E19DF">
        <w:rPr>
          <w:rFonts w:asciiTheme="majorHAnsi" w:hAnsiTheme="majorHAnsi"/>
          <w:sz w:val="20"/>
          <w:szCs w:val="20"/>
          <w:lang w:val="en-US"/>
        </w:rPr>
        <w:t xml:space="preserve"> </w:t>
      </w:r>
      <w:r w:rsidRPr="000977F7">
        <w:rPr>
          <w:rFonts w:asciiTheme="majorHAnsi" w:hAnsiTheme="majorHAnsi"/>
          <w:sz w:val="20"/>
          <w:szCs w:val="20"/>
        </w:rPr>
        <w:t>з</w:t>
      </w:r>
      <w:r w:rsidRPr="002E19DF">
        <w:rPr>
          <w:rFonts w:asciiTheme="majorHAnsi" w:hAnsiTheme="majorHAnsi"/>
          <w:sz w:val="20"/>
          <w:szCs w:val="20"/>
          <w:lang w:val="en-US"/>
        </w:rPr>
        <w:t xml:space="preserve"> </w:t>
      </w:r>
      <w:r w:rsidRPr="000977F7">
        <w:rPr>
          <w:rFonts w:asciiTheme="majorHAnsi" w:hAnsiTheme="majorHAnsi"/>
          <w:sz w:val="20"/>
          <w:szCs w:val="20"/>
        </w:rPr>
        <w:t>об</w:t>
      </w:r>
      <w:r w:rsidRPr="002E19DF">
        <w:rPr>
          <w:rFonts w:asciiTheme="majorHAnsi" w:hAnsiTheme="majorHAnsi"/>
          <w:sz w:val="20"/>
          <w:szCs w:val="20"/>
          <w:lang w:val="en-US"/>
        </w:rPr>
        <w:t>’</w:t>
      </w:r>
      <w:r w:rsidRPr="000977F7">
        <w:rPr>
          <w:rFonts w:asciiTheme="majorHAnsi" w:hAnsiTheme="majorHAnsi"/>
          <w:sz w:val="20"/>
          <w:szCs w:val="20"/>
        </w:rPr>
        <w:t>єктом</w:t>
      </w:r>
      <w:r w:rsidRPr="002E19DF">
        <w:rPr>
          <w:rFonts w:asciiTheme="majorHAnsi" w:hAnsiTheme="majorHAnsi"/>
          <w:sz w:val="20"/>
          <w:szCs w:val="20"/>
          <w:lang w:val="en-US"/>
        </w:rPr>
        <w:t xml:space="preserve"> </w:t>
      </w:r>
      <w:r w:rsidRPr="000977F7">
        <w:rPr>
          <w:rFonts w:asciiTheme="majorHAnsi" w:hAnsiTheme="majorHAnsi"/>
          <w:sz w:val="20"/>
          <w:szCs w:val="20"/>
        </w:rPr>
        <w:t>вимірювання</w:t>
      </w:r>
      <w:r w:rsidRPr="002E19DF">
        <w:rPr>
          <w:rFonts w:asciiTheme="majorHAnsi" w:hAnsiTheme="majorHAnsi"/>
          <w:sz w:val="20"/>
          <w:szCs w:val="20"/>
          <w:lang w:val="en-US"/>
        </w:rPr>
        <w:t xml:space="preserve"> </w:t>
      </w:r>
      <w:r w:rsidRPr="000977F7">
        <w:rPr>
          <w:rFonts w:asciiTheme="majorHAnsi" w:hAnsiTheme="majorHAnsi"/>
          <w:sz w:val="20"/>
          <w:szCs w:val="20"/>
        </w:rPr>
        <w:t>створюється</w:t>
      </w:r>
      <w:r w:rsidRPr="002E19DF">
        <w:rPr>
          <w:rFonts w:asciiTheme="majorHAnsi" w:hAnsiTheme="majorHAnsi"/>
          <w:sz w:val="20"/>
          <w:szCs w:val="20"/>
          <w:lang w:val="en-US"/>
        </w:rPr>
        <w:t xml:space="preserve"> </w:t>
      </w:r>
      <w:r w:rsidRPr="000977F7">
        <w:rPr>
          <w:rFonts w:asciiTheme="majorHAnsi" w:hAnsiTheme="majorHAnsi"/>
          <w:sz w:val="20"/>
          <w:szCs w:val="20"/>
        </w:rPr>
        <w:t>під</w:t>
      </w:r>
      <w:r w:rsidRPr="002E19DF">
        <w:rPr>
          <w:rFonts w:asciiTheme="majorHAnsi" w:hAnsiTheme="majorHAnsi"/>
          <w:sz w:val="20"/>
          <w:szCs w:val="20"/>
          <w:lang w:val="en-US"/>
        </w:rPr>
        <w:t xml:space="preserve"> </w:t>
      </w:r>
      <w:r w:rsidRPr="000977F7">
        <w:rPr>
          <w:rFonts w:asciiTheme="majorHAnsi" w:hAnsiTheme="majorHAnsi"/>
          <w:sz w:val="20"/>
          <w:szCs w:val="20"/>
        </w:rPr>
        <w:t>час</w:t>
      </w:r>
      <w:r w:rsidRPr="002E19DF">
        <w:rPr>
          <w:rFonts w:asciiTheme="majorHAnsi" w:hAnsiTheme="majorHAnsi"/>
          <w:sz w:val="20"/>
          <w:szCs w:val="20"/>
          <w:lang w:val="en-US"/>
        </w:rPr>
        <w:t xml:space="preserve"> </w:t>
      </w:r>
      <w:r w:rsidRPr="000977F7">
        <w:rPr>
          <w:rFonts w:asciiTheme="majorHAnsi" w:hAnsiTheme="majorHAnsi"/>
          <w:sz w:val="20"/>
          <w:szCs w:val="20"/>
        </w:rPr>
        <w:t>повірки</w:t>
      </w:r>
      <w:r w:rsidRPr="002E19DF">
        <w:rPr>
          <w:rFonts w:asciiTheme="majorHAnsi" w:hAnsiTheme="majorHAnsi"/>
          <w:sz w:val="20"/>
          <w:szCs w:val="20"/>
          <w:lang w:val="en-US"/>
        </w:rPr>
        <w:t>,</w:t>
      </w:r>
    </w:p>
    <w:p w14:paraId="6DC4584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коли значення вхідної величини знаходять за допомогою</w:t>
      </w:r>
      <w:r w:rsidRPr="000977F7">
        <w:rPr>
          <w:rFonts w:asciiTheme="majorHAnsi" w:hAnsiTheme="majorHAnsi"/>
          <w:spacing w:val="-1"/>
          <w:sz w:val="20"/>
          <w:szCs w:val="20"/>
        </w:rPr>
        <w:t xml:space="preserve"> </w:t>
      </w:r>
      <w:r w:rsidRPr="000977F7">
        <w:rPr>
          <w:rFonts w:asciiTheme="majorHAnsi" w:hAnsiTheme="majorHAnsi"/>
          <w:sz w:val="20"/>
          <w:szCs w:val="20"/>
        </w:rPr>
        <w:t>зразкового засобу</w:t>
      </w:r>
      <w:r w:rsidRPr="000977F7">
        <w:rPr>
          <w:rFonts w:asciiTheme="majorHAnsi" w:hAnsiTheme="majorHAnsi"/>
          <w:spacing w:val="-2"/>
          <w:sz w:val="20"/>
          <w:szCs w:val="20"/>
        </w:rPr>
        <w:t xml:space="preserve"> </w:t>
      </w:r>
      <w:r w:rsidRPr="000977F7">
        <w:rPr>
          <w:rFonts w:asciiTheme="majorHAnsi" w:hAnsiTheme="majorHAnsi"/>
          <w:sz w:val="20"/>
          <w:szCs w:val="20"/>
        </w:rPr>
        <w:t>вимірювання.</w:t>
      </w:r>
    </w:p>
    <w:p w14:paraId="207C3154" w14:textId="77777777" w:rsidR="0097612F" w:rsidRPr="000977F7" w:rsidRDefault="0097612F" w:rsidP="00FD39A4">
      <w:pPr>
        <w:pStyle w:val="ac"/>
        <w:widowControl w:val="0"/>
        <w:numPr>
          <w:ilvl w:val="0"/>
          <w:numId w:val="227"/>
        </w:numPr>
        <w:tabs>
          <w:tab w:val="left" w:pos="284"/>
          <w:tab w:val="left" w:pos="5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 метрологічній практиці визначають приблизне значення похибки засобу вимірювань, тобто її оцінку. Оцінка похибки засобу вимірювань є різниця між показом засобу вимірювань і умовно істинним значенням вимірюваної величини. На практиці слово оцінка може опускатися</w:t>
      </w:r>
    </w:p>
    <w:p w14:paraId="577D359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2681 - 94</w:t>
      </w:r>
    </w:p>
    <w:p w14:paraId="797CAB2D"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АБСОЛЮТНА</w:t>
      </w:r>
      <w:r w:rsidRPr="000977F7">
        <w:rPr>
          <w:color w:val="auto"/>
          <w:spacing w:val="-4"/>
          <w:sz w:val="20"/>
          <w:szCs w:val="20"/>
        </w:rPr>
        <w:t xml:space="preserve"> </w:t>
      </w:r>
      <w:r w:rsidRPr="000977F7">
        <w:rPr>
          <w:color w:val="auto"/>
          <w:sz w:val="20"/>
          <w:szCs w:val="20"/>
        </w:rPr>
        <w:t>ПОХИБКА</w:t>
      </w:r>
      <w:r w:rsidRPr="000977F7">
        <w:rPr>
          <w:color w:val="auto"/>
          <w:spacing w:val="-3"/>
          <w:sz w:val="20"/>
          <w:szCs w:val="20"/>
        </w:rPr>
        <w:t xml:space="preserve"> </w:t>
      </w:r>
      <w:r w:rsidRPr="000977F7">
        <w:rPr>
          <w:color w:val="auto"/>
          <w:sz w:val="20"/>
          <w:szCs w:val="20"/>
        </w:rPr>
        <w:t>МІРИ</w:t>
      </w:r>
      <w:r w:rsidRPr="000977F7">
        <w:rPr>
          <w:color w:val="auto"/>
          <w:spacing w:val="-1"/>
          <w:sz w:val="20"/>
          <w:szCs w:val="20"/>
        </w:rPr>
        <w:t xml:space="preserve"> </w:t>
      </w:r>
      <w:r w:rsidRPr="000977F7">
        <w:rPr>
          <w:b w:val="0"/>
          <w:color w:val="auto"/>
          <w:sz w:val="20"/>
          <w:szCs w:val="20"/>
        </w:rPr>
        <w:t>–</w:t>
      </w:r>
    </w:p>
    <w:p w14:paraId="3EBFE3B2"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en-US"/>
        </w:rPr>
      </w:pPr>
      <w:r w:rsidRPr="002E19DF">
        <w:rPr>
          <w:rFonts w:asciiTheme="majorHAnsi" w:hAnsiTheme="majorHAnsi"/>
          <w:sz w:val="20"/>
          <w:szCs w:val="20"/>
          <w:lang w:val="en-US"/>
        </w:rPr>
        <w:t>ABSOLUTE</w:t>
      </w:r>
      <w:r w:rsidRPr="002E19DF">
        <w:rPr>
          <w:rFonts w:asciiTheme="majorHAnsi" w:hAnsiTheme="majorHAnsi"/>
          <w:spacing w:val="-3"/>
          <w:sz w:val="20"/>
          <w:szCs w:val="20"/>
          <w:lang w:val="en-US"/>
        </w:rPr>
        <w:t xml:space="preserve"> </w:t>
      </w:r>
      <w:r w:rsidRPr="002E19DF">
        <w:rPr>
          <w:rFonts w:asciiTheme="majorHAnsi" w:hAnsiTheme="majorHAnsi"/>
          <w:sz w:val="20"/>
          <w:szCs w:val="20"/>
          <w:lang w:val="en-US"/>
        </w:rPr>
        <w:t>ERROR</w:t>
      </w:r>
      <w:r w:rsidRPr="002E19DF">
        <w:rPr>
          <w:rFonts w:asciiTheme="majorHAnsi" w:hAnsiTheme="majorHAnsi"/>
          <w:spacing w:val="-3"/>
          <w:sz w:val="20"/>
          <w:szCs w:val="20"/>
          <w:lang w:val="en-US"/>
        </w:rPr>
        <w:t xml:space="preserve"> </w:t>
      </w:r>
      <w:r w:rsidRPr="002E19DF">
        <w:rPr>
          <w:rFonts w:asciiTheme="majorHAnsi" w:hAnsiTheme="majorHAnsi"/>
          <w:sz w:val="20"/>
          <w:szCs w:val="20"/>
          <w:lang w:val="en-US"/>
        </w:rPr>
        <w:t>OF</w:t>
      </w:r>
      <w:r w:rsidRPr="002E19DF">
        <w:rPr>
          <w:rFonts w:asciiTheme="majorHAnsi" w:hAnsiTheme="majorHAnsi"/>
          <w:spacing w:val="-1"/>
          <w:sz w:val="20"/>
          <w:szCs w:val="20"/>
          <w:lang w:val="en-US"/>
        </w:rPr>
        <w:t xml:space="preserve"> </w:t>
      </w:r>
      <w:r w:rsidRPr="002E19DF">
        <w:rPr>
          <w:rFonts w:asciiTheme="majorHAnsi" w:hAnsiTheme="majorHAnsi"/>
          <w:sz w:val="20"/>
          <w:szCs w:val="20"/>
          <w:lang w:val="en-US"/>
        </w:rPr>
        <w:t>AN ACTUAL</w:t>
      </w:r>
      <w:r w:rsidRPr="002E19DF">
        <w:rPr>
          <w:rFonts w:asciiTheme="majorHAnsi" w:hAnsiTheme="majorHAnsi"/>
          <w:spacing w:val="-5"/>
          <w:sz w:val="20"/>
          <w:szCs w:val="20"/>
          <w:lang w:val="en-US"/>
        </w:rPr>
        <w:t xml:space="preserve"> </w:t>
      </w:r>
      <w:r w:rsidRPr="002E19DF">
        <w:rPr>
          <w:rFonts w:asciiTheme="majorHAnsi" w:hAnsiTheme="majorHAnsi"/>
          <w:sz w:val="20"/>
          <w:szCs w:val="20"/>
          <w:lang w:val="en-US"/>
        </w:rPr>
        <w:t>MEASURE</w:t>
      </w:r>
      <w:r w:rsidRPr="002E19DF">
        <w:rPr>
          <w:rFonts w:asciiTheme="majorHAnsi" w:hAnsiTheme="majorHAnsi"/>
          <w:spacing w:val="2"/>
          <w:sz w:val="20"/>
          <w:szCs w:val="20"/>
          <w:lang w:val="en-US"/>
        </w:rPr>
        <w:t xml:space="preserve"> </w:t>
      </w:r>
      <w:r w:rsidRPr="002E19DF">
        <w:rPr>
          <w:rFonts w:asciiTheme="majorHAnsi" w:hAnsiTheme="majorHAnsi"/>
          <w:sz w:val="20"/>
          <w:szCs w:val="20"/>
          <w:lang w:val="en-US"/>
        </w:rPr>
        <w:t>–</w:t>
      </w:r>
    </w:p>
    <w:p w14:paraId="628EF15D"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Різниця</w:t>
      </w:r>
      <w:r w:rsidRPr="002E19DF">
        <w:rPr>
          <w:rFonts w:asciiTheme="majorHAnsi" w:hAnsiTheme="majorHAnsi"/>
          <w:spacing w:val="25"/>
          <w:sz w:val="20"/>
          <w:szCs w:val="20"/>
          <w:lang w:val="en-US"/>
        </w:rPr>
        <w:t xml:space="preserve"> </w:t>
      </w:r>
      <w:r w:rsidRPr="000977F7">
        <w:rPr>
          <w:rFonts w:asciiTheme="majorHAnsi" w:hAnsiTheme="majorHAnsi"/>
          <w:sz w:val="20"/>
          <w:szCs w:val="20"/>
        </w:rPr>
        <w:t>між</w:t>
      </w:r>
      <w:r w:rsidRPr="002E19DF">
        <w:rPr>
          <w:rFonts w:asciiTheme="majorHAnsi" w:hAnsiTheme="majorHAnsi"/>
          <w:spacing w:val="26"/>
          <w:sz w:val="20"/>
          <w:szCs w:val="20"/>
          <w:lang w:val="en-US"/>
        </w:rPr>
        <w:t xml:space="preserve"> </w:t>
      </w:r>
      <w:r w:rsidRPr="000977F7">
        <w:rPr>
          <w:rFonts w:asciiTheme="majorHAnsi" w:hAnsiTheme="majorHAnsi"/>
          <w:sz w:val="20"/>
          <w:szCs w:val="20"/>
        </w:rPr>
        <w:t>номінальним</w:t>
      </w:r>
      <w:r w:rsidRPr="002E19DF">
        <w:rPr>
          <w:rFonts w:asciiTheme="majorHAnsi" w:hAnsiTheme="majorHAnsi"/>
          <w:spacing w:val="29"/>
          <w:sz w:val="20"/>
          <w:szCs w:val="20"/>
          <w:lang w:val="en-US"/>
        </w:rPr>
        <w:t xml:space="preserve"> </w:t>
      </w:r>
      <w:r w:rsidRPr="000977F7">
        <w:rPr>
          <w:rFonts w:asciiTheme="majorHAnsi" w:hAnsiTheme="majorHAnsi"/>
          <w:sz w:val="20"/>
          <w:szCs w:val="20"/>
        </w:rPr>
        <w:t>та</w:t>
      </w:r>
      <w:r w:rsidRPr="002E19DF">
        <w:rPr>
          <w:rFonts w:asciiTheme="majorHAnsi" w:hAnsiTheme="majorHAnsi"/>
          <w:spacing w:val="26"/>
          <w:sz w:val="20"/>
          <w:szCs w:val="20"/>
          <w:lang w:val="en-US"/>
        </w:rPr>
        <w:t xml:space="preserve"> </w:t>
      </w:r>
      <w:r w:rsidRPr="000977F7">
        <w:rPr>
          <w:rFonts w:asciiTheme="majorHAnsi" w:hAnsiTheme="majorHAnsi"/>
          <w:sz w:val="20"/>
          <w:szCs w:val="20"/>
        </w:rPr>
        <w:t>істинним</w:t>
      </w:r>
      <w:r w:rsidRPr="002E19DF">
        <w:rPr>
          <w:rFonts w:asciiTheme="majorHAnsi" w:hAnsiTheme="majorHAnsi"/>
          <w:spacing w:val="28"/>
          <w:sz w:val="20"/>
          <w:szCs w:val="20"/>
          <w:lang w:val="en-US"/>
        </w:rPr>
        <w:t xml:space="preserve"> </w:t>
      </w:r>
      <w:r w:rsidRPr="000977F7">
        <w:rPr>
          <w:rFonts w:asciiTheme="majorHAnsi" w:hAnsiTheme="majorHAnsi"/>
          <w:sz w:val="20"/>
          <w:szCs w:val="20"/>
        </w:rPr>
        <w:t>значенням</w:t>
      </w:r>
      <w:r w:rsidRPr="002E19DF">
        <w:rPr>
          <w:rFonts w:asciiTheme="majorHAnsi" w:hAnsiTheme="majorHAnsi"/>
          <w:spacing w:val="26"/>
          <w:sz w:val="20"/>
          <w:szCs w:val="20"/>
          <w:lang w:val="en-US"/>
        </w:rPr>
        <w:t xml:space="preserve"> </w:t>
      </w:r>
      <w:r w:rsidRPr="000977F7">
        <w:rPr>
          <w:rFonts w:asciiTheme="majorHAnsi" w:hAnsiTheme="majorHAnsi"/>
          <w:sz w:val="20"/>
          <w:szCs w:val="20"/>
        </w:rPr>
        <w:t>величини</w:t>
      </w:r>
      <w:r w:rsidRPr="002E19DF">
        <w:rPr>
          <w:rFonts w:asciiTheme="majorHAnsi" w:hAnsiTheme="majorHAnsi"/>
          <w:sz w:val="20"/>
          <w:szCs w:val="20"/>
          <w:lang w:val="en-US"/>
        </w:rPr>
        <w:t>,</w:t>
      </w:r>
      <w:r w:rsidRPr="002E19DF">
        <w:rPr>
          <w:rFonts w:asciiTheme="majorHAnsi" w:hAnsiTheme="majorHAnsi"/>
          <w:spacing w:val="-1"/>
          <w:sz w:val="20"/>
          <w:szCs w:val="20"/>
          <w:lang w:val="en-US"/>
        </w:rPr>
        <w:t xml:space="preserve"> </w:t>
      </w:r>
      <w:r w:rsidRPr="000977F7">
        <w:rPr>
          <w:rFonts w:asciiTheme="majorHAnsi" w:hAnsiTheme="majorHAnsi"/>
          <w:sz w:val="20"/>
          <w:szCs w:val="20"/>
        </w:rPr>
        <w:t>що</w:t>
      </w:r>
      <w:r w:rsidRPr="002E19DF">
        <w:rPr>
          <w:rFonts w:asciiTheme="majorHAnsi" w:hAnsiTheme="majorHAnsi"/>
          <w:spacing w:val="1"/>
          <w:sz w:val="20"/>
          <w:szCs w:val="20"/>
          <w:lang w:val="en-US"/>
        </w:rPr>
        <w:t xml:space="preserve"> </w:t>
      </w:r>
      <w:r w:rsidRPr="000977F7">
        <w:rPr>
          <w:rFonts w:asciiTheme="majorHAnsi" w:hAnsiTheme="majorHAnsi"/>
          <w:sz w:val="20"/>
          <w:szCs w:val="20"/>
        </w:rPr>
        <w:t>відтворюється</w:t>
      </w:r>
      <w:r w:rsidRPr="002E19DF">
        <w:rPr>
          <w:rFonts w:asciiTheme="majorHAnsi" w:hAnsiTheme="majorHAnsi"/>
          <w:spacing w:val="-2"/>
          <w:sz w:val="20"/>
          <w:szCs w:val="20"/>
          <w:lang w:val="en-US"/>
        </w:rPr>
        <w:t xml:space="preserve"> </w:t>
      </w:r>
      <w:r w:rsidRPr="000977F7">
        <w:rPr>
          <w:rFonts w:asciiTheme="majorHAnsi" w:hAnsiTheme="majorHAnsi"/>
          <w:sz w:val="20"/>
          <w:szCs w:val="20"/>
        </w:rPr>
        <w:t>мірою</w:t>
      </w:r>
    </w:p>
    <w:p w14:paraId="20CE647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8F1D1E0" w14:textId="77777777" w:rsidR="000977F7" w:rsidRDefault="0097612F" w:rsidP="000977F7">
      <w:pPr>
        <w:pStyle w:val="af6"/>
        <w:tabs>
          <w:tab w:val="left" w:pos="284"/>
        </w:tabs>
        <w:spacing w:after="0"/>
        <w:ind w:left="170"/>
        <w:mirrorIndents/>
        <w:jc w:val="both"/>
        <w:rPr>
          <w:rFonts w:asciiTheme="majorHAnsi" w:hAnsiTheme="majorHAnsi"/>
          <w:sz w:val="20"/>
          <w:szCs w:val="20"/>
        </w:rPr>
        <w:sectPr w:rsidR="000977F7" w:rsidSect="000977F7">
          <w:footerReference w:type="default" r:id="rId9"/>
          <w:type w:val="continuous"/>
          <w:pgSz w:w="11910" w:h="16840"/>
          <w:pgMar w:top="800" w:right="380" w:bottom="1180" w:left="1000" w:header="0" w:footer="993" w:gutter="0"/>
          <w:cols w:num="2" w:space="454"/>
        </w:sectPr>
      </w:pP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практ</w:t>
      </w:r>
    </w:p>
    <w:p w14:paraId="600D364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иці</w:t>
      </w:r>
      <w:r w:rsidRPr="000977F7">
        <w:rPr>
          <w:rFonts w:asciiTheme="majorHAnsi" w:hAnsiTheme="majorHAnsi"/>
          <w:spacing w:val="3"/>
          <w:sz w:val="20"/>
          <w:szCs w:val="20"/>
        </w:rPr>
        <w:t xml:space="preserve"> </w:t>
      </w:r>
      <w:r w:rsidRPr="000977F7">
        <w:rPr>
          <w:rFonts w:asciiTheme="majorHAnsi" w:hAnsiTheme="majorHAnsi"/>
          <w:sz w:val="20"/>
          <w:szCs w:val="20"/>
        </w:rPr>
        <w:t>замість</w:t>
      </w:r>
      <w:r w:rsidRPr="000977F7">
        <w:rPr>
          <w:rFonts w:asciiTheme="majorHAnsi" w:hAnsiTheme="majorHAnsi"/>
          <w:spacing w:val="3"/>
          <w:sz w:val="20"/>
          <w:szCs w:val="20"/>
        </w:rPr>
        <w:t xml:space="preserve"> </w:t>
      </w:r>
      <w:r w:rsidRPr="000977F7">
        <w:rPr>
          <w:rFonts w:asciiTheme="majorHAnsi" w:hAnsiTheme="majorHAnsi"/>
          <w:sz w:val="20"/>
          <w:szCs w:val="20"/>
        </w:rPr>
        <w:t>істинного</w:t>
      </w:r>
      <w:r w:rsidRPr="000977F7">
        <w:rPr>
          <w:rFonts w:asciiTheme="majorHAnsi" w:hAnsiTheme="majorHAnsi"/>
          <w:spacing w:val="4"/>
          <w:sz w:val="20"/>
          <w:szCs w:val="20"/>
        </w:rPr>
        <w:t xml:space="preserve"> </w:t>
      </w:r>
      <w:r w:rsidRPr="000977F7">
        <w:rPr>
          <w:rFonts w:asciiTheme="majorHAnsi" w:hAnsiTheme="majorHAnsi"/>
          <w:sz w:val="20"/>
          <w:szCs w:val="20"/>
        </w:rPr>
        <w:t>значення</w:t>
      </w:r>
      <w:r w:rsidRPr="000977F7">
        <w:rPr>
          <w:rFonts w:asciiTheme="majorHAnsi" w:hAnsiTheme="majorHAnsi"/>
          <w:spacing w:val="3"/>
          <w:sz w:val="20"/>
          <w:szCs w:val="20"/>
        </w:rPr>
        <w:t xml:space="preserve"> </w:t>
      </w:r>
      <w:r w:rsidRPr="000977F7">
        <w:rPr>
          <w:rFonts w:asciiTheme="majorHAnsi" w:hAnsiTheme="majorHAnsi"/>
          <w:sz w:val="20"/>
          <w:szCs w:val="20"/>
        </w:rPr>
        <w:t>використовують</w:t>
      </w:r>
      <w:r w:rsidRPr="000977F7">
        <w:rPr>
          <w:rFonts w:asciiTheme="majorHAnsi" w:hAnsiTheme="majorHAnsi"/>
          <w:spacing w:val="1"/>
          <w:sz w:val="20"/>
          <w:szCs w:val="20"/>
        </w:rPr>
        <w:t xml:space="preserve"> </w:t>
      </w:r>
      <w:r w:rsidRPr="000977F7">
        <w:rPr>
          <w:rFonts w:asciiTheme="majorHAnsi" w:hAnsiTheme="majorHAnsi"/>
          <w:sz w:val="20"/>
          <w:szCs w:val="20"/>
        </w:rPr>
        <w:t>умовно</w:t>
      </w:r>
      <w:r w:rsidRPr="000977F7">
        <w:rPr>
          <w:rFonts w:asciiTheme="majorHAnsi" w:hAnsiTheme="majorHAnsi"/>
          <w:spacing w:val="1"/>
          <w:sz w:val="20"/>
          <w:szCs w:val="20"/>
        </w:rPr>
        <w:t xml:space="preserve"> </w:t>
      </w:r>
      <w:r w:rsidRPr="000977F7">
        <w:rPr>
          <w:rFonts w:asciiTheme="majorHAnsi" w:hAnsiTheme="majorHAnsi"/>
          <w:sz w:val="20"/>
          <w:szCs w:val="20"/>
        </w:rPr>
        <w:t>істинне</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p>
    <w:p w14:paraId="75E7E23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2681 - 94</w:t>
      </w:r>
    </w:p>
    <w:p w14:paraId="5BDF0A9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АБСОЛЮТНИЙ</w:t>
      </w:r>
      <w:r w:rsidRPr="000977F7">
        <w:rPr>
          <w:color w:val="auto"/>
          <w:spacing w:val="-5"/>
          <w:sz w:val="20"/>
          <w:szCs w:val="20"/>
        </w:rPr>
        <w:t xml:space="preserve"> </w:t>
      </w:r>
      <w:r w:rsidRPr="000977F7">
        <w:rPr>
          <w:color w:val="auto"/>
          <w:sz w:val="20"/>
          <w:szCs w:val="20"/>
        </w:rPr>
        <w:t>МАКСИМУМ</w:t>
      </w:r>
      <w:r w:rsidRPr="000977F7">
        <w:rPr>
          <w:color w:val="auto"/>
          <w:spacing w:val="-1"/>
          <w:sz w:val="20"/>
          <w:szCs w:val="20"/>
        </w:rPr>
        <w:t xml:space="preserve"> </w:t>
      </w:r>
      <w:r w:rsidRPr="000977F7">
        <w:rPr>
          <w:color w:val="auto"/>
          <w:sz w:val="20"/>
          <w:szCs w:val="20"/>
        </w:rPr>
        <w:t>(МІНІМУМ)</w:t>
      </w:r>
      <w:r w:rsidRPr="000977F7">
        <w:rPr>
          <w:color w:val="auto"/>
          <w:spacing w:val="-6"/>
          <w:sz w:val="20"/>
          <w:szCs w:val="20"/>
        </w:rPr>
        <w:t xml:space="preserve"> </w:t>
      </w:r>
      <w:r w:rsidRPr="000977F7">
        <w:rPr>
          <w:color w:val="auto"/>
          <w:sz w:val="20"/>
          <w:szCs w:val="20"/>
        </w:rPr>
        <w:t>–</w:t>
      </w:r>
    </w:p>
    <w:p w14:paraId="16A600D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ABSOLUTE</w:t>
      </w:r>
      <w:r w:rsidRPr="000977F7">
        <w:rPr>
          <w:rFonts w:asciiTheme="majorHAnsi" w:hAnsiTheme="majorHAnsi"/>
          <w:spacing w:val="-3"/>
          <w:sz w:val="20"/>
          <w:szCs w:val="20"/>
        </w:rPr>
        <w:t xml:space="preserve"> </w:t>
      </w:r>
      <w:r w:rsidRPr="000977F7">
        <w:rPr>
          <w:rFonts w:asciiTheme="majorHAnsi" w:hAnsiTheme="majorHAnsi"/>
          <w:sz w:val="20"/>
          <w:szCs w:val="20"/>
        </w:rPr>
        <w:t>MAXIMUM</w:t>
      </w:r>
      <w:r w:rsidRPr="000977F7">
        <w:rPr>
          <w:rFonts w:asciiTheme="majorHAnsi" w:hAnsiTheme="majorHAnsi"/>
          <w:spacing w:val="-2"/>
          <w:sz w:val="20"/>
          <w:szCs w:val="20"/>
        </w:rPr>
        <w:t xml:space="preserve"> </w:t>
      </w:r>
      <w:r w:rsidRPr="000977F7">
        <w:rPr>
          <w:rFonts w:asciiTheme="majorHAnsi" w:hAnsiTheme="majorHAnsi"/>
          <w:sz w:val="20"/>
          <w:szCs w:val="20"/>
        </w:rPr>
        <w:t>(MINIMUM) –</w:t>
      </w:r>
    </w:p>
    <w:p w14:paraId="797A5A7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Найбільший</w:t>
      </w:r>
      <w:r w:rsidRPr="000977F7">
        <w:rPr>
          <w:rFonts w:asciiTheme="majorHAnsi" w:hAnsiTheme="majorHAnsi"/>
          <w:spacing w:val="40"/>
          <w:sz w:val="20"/>
          <w:szCs w:val="20"/>
        </w:rPr>
        <w:t xml:space="preserve"> </w:t>
      </w:r>
      <w:r w:rsidRPr="000977F7">
        <w:rPr>
          <w:rFonts w:asciiTheme="majorHAnsi" w:hAnsiTheme="majorHAnsi"/>
          <w:sz w:val="20"/>
          <w:szCs w:val="20"/>
        </w:rPr>
        <w:t>максимум</w:t>
      </w:r>
      <w:r w:rsidRPr="000977F7">
        <w:rPr>
          <w:rFonts w:asciiTheme="majorHAnsi" w:hAnsiTheme="majorHAnsi"/>
          <w:spacing w:val="42"/>
          <w:sz w:val="20"/>
          <w:szCs w:val="20"/>
        </w:rPr>
        <w:t xml:space="preserve"> </w:t>
      </w:r>
      <w:r w:rsidRPr="000977F7">
        <w:rPr>
          <w:rFonts w:asciiTheme="majorHAnsi" w:hAnsiTheme="majorHAnsi"/>
          <w:sz w:val="20"/>
          <w:szCs w:val="20"/>
        </w:rPr>
        <w:t>(найменший</w:t>
      </w:r>
      <w:r w:rsidRPr="000977F7">
        <w:rPr>
          <w:rFonts w:asciiTheme="majorHAnsi" w:hAnsiTheme="majorHAnsi"/>
          <w:spacing w:val="40"/>
          <w:sz w:val="20"/>
          <w:szCs w:val="20"/>
        </w:rPr>
        <w:t xml:space="preserve"> </w:t>
      </w:r>
      <w:r w:rsidRPr="000977F7">
        <w:rPr>
          <w:rFonts w:asciiTheme="majorHAnsi" w:hAnsiTheme="majorHAnsi"/>
          <w:sz w:val="20"/>
          <w:szCs w:val="20"/>
        </w:rPr>
        <w:t>мінімум)</w:t>
      </w:r>
      <w:r w:rsidRPr="000977F7">
        <w:rPr>
          <w:rFonts w:asciiTheme="majorHAnsi" w:hAnsiTheme="majorHAnsi"/>
          <w:spacing w:val="42"/>
          <w:sz w:val="20"/>
          <w:szCs w:val="20"/>
        </w:rPr>
        <w:t xml:space="preserve"> </w:t>
      </w:r>
      <w:r w:rsidRPr="000977F7">
        <w:rPr>
          <w:rFonts w:asciiTheme="majorHAnsi" w:hAnsiTheme="majorHAnsi"/>
          <w:sz w:val="20"/>
          <w:szCs w:val="20"/>
        </w:rPr>
        <w:t>навантаження</w:t>
      </w:r>
      <w:r w:rsidRPr="000977F7">
        <w:rPr>
          <w:rFonts w:asciiTheme="majorHAnsi" w:hAnsiTheme="majorHAnsi"/>
          <w:spacing w:val="-2"/>
          <w:sz w:val="20"/>
          <w:szCs w:val="20"/>
        </w:rPr>
        <w:t xml:space="preserve"> </w:t>
      </w:r>
      <w:r w:rsidRPr="000977F7">
        <w:rPr>
          <w:rFonts w:asciiTheme="majorHAnsi" w:hAnsiTheme="majorHAnsi"/>
          <w:sz w:val="20"/>
          <w:szCs w:val="20"/>
        </w:rPr>
        <w:t>за певний</w:t>
      </w:r>
      <w:r w:rsidRPr="000977F7">
        <w:rPr>
          <w:rFonts w:asciiTheme="majorHAnsi" w:hAnsiTheme="majorHAnsi"/>
          <w:spacing w:val="-1"/>
          <w:sz w:val="20"/>
          <w:szCs w:val="20"/>
        </w:rPr>
        <w:t xml:space="preserve"> </w:t>
      </w:r>
      <w:r w:rsidRPr="000977F7">
        <w:rPr>
          <w:rFonts w:asciiTheme="majorHAnsi" w:hAnsiTheme="majorHAnsi"/>
          <w:sz w:val="20"/>
          <w:szCs w:val="20"/>
        </w:rPr>
        <w:t>інтервал</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65EC9F4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2444 - 94</w:t>
      </w:r>
    </w:p>
    <w:p w14:paraId="41A84FB9"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АВАНПРОЕКТ</w:t>
      </w:r>
      <w:r w:rsidRPr="000977F7">
        <w:rPr>
          <w:color w:val="auto"/>
          <w:spacing w:val="-4"/>
          <w:sz w:val="20"/>
          <w:szCs w:val="20"/>
        </w:rPr>
        <w:t xml:space="preserve"> </w:t>
      </w:r>
      <w:r w:rsidRPr="000977F7">
        <w:rPr>
          <w:b w:val="0"/>
          <w:color w:val="auto"/>
          <w:sz w:val="20"/>
          <w:szCs w:val="20"/>
        </w:rPr>
        <w:t>–</w:t>
      </w:r>
    </w:p>
    <w:p w14:paraId="7107449F"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pacing w:val="-8"/>
          <w:sz w:val="20"/>
          <w:szCs w:val="20"/>
        </w:rPr>
        <w:t>Сукупність</w:t>
      </w:r>
      <w:r w:rsidRPr="000977F7">
        <w:rPr>
          <w:rFonts w:asciiTheme="majorHAnsi" w:hAnsiTheme="majorHAnsi"/>
          <w:spacing w:val="-2"/>
          <w:sz w:val="20"/>
          <w:szCs w:val="20"/>
        </w:rPr>
        <w:t xml:space="preserve"> </w:t>
      </w:r>
      <w:r w:rsidRPr="000977F7">
        <w:rPr>
          <w:rFonts w:asciiTheme="majorHAnsi" w:hAnsiTheme="majorHAnsi"/>
          <w:spacing w:val="-7"/>
          <w:sz w:val="20"/>
          <w:szCs w:val="20"/>
        </w:rPr>
        <w:t>робіт,</w:t>
      </w:r>
      <w:r w:rsidRPr="000977F7">
        <w:rPr>
          <w:rFonts w:asciiTheme="majorHAnsi" w:hAnsiTheme="majorHAnsi"/>
          <w:spacing w:val="-2"/>
          <w:sz w:val="20"/>
          <w:szCs w:val="20"/>
        </w:rPr>
        <w:t xml:space="preserve"> </w:t>
      </w:r>
      <w:r w:rsidRPr="000977F7">
        <w:rPr>
          <w:rFonts w:asciiTheme="majorHAnsi" w:hAnsiTheme="majorHAnsi"/>
          <w:spacing w:val="-7"/>
          <w:sz w:val="20"/>
          <w:szCs w:val="20"/>
        </w:rPr>
        <w:t>які</w:t>
      </w:r>
      <w:r w:rsidRPr="000977F7">
        <w:rPr>
          <w:rFonts w:asciiTheme="majorHAnsi" w:hAnsiTheme="majorHAnsi"/>
          <w:spacing w:val="-1"/>
          <w:sz w:val="20"/>
          <w:szCs w:val="20"/>
        </w:rPr>
        <w:t xml:space="preserve"> </w:t>
      </w:r>
      <w:r w:rsidRPr="000977F7">
        <w:rPr>
          <w:rFonts w:asciiTheme="majorHAnsi" w:hAnsiTheme="majorHAnsi"/>
          <w:spacing w:val="-7"/>
          <w:sz w:val="20"/>
          <w:szCs w:val="20"/>
        </w:rPr>
        <w:t>виконують</w:t>
      </w:r>
      <w:r w:rsidRPr="000977F7">
        <w:rPr>
          <w:rFonts w:asciiTheme="majorHAnsi" w:hAnsiTheme="majorHAnsi"/>
          <w:spacing w:val="-2"/>
          <w:sz w:val="20"/>
          <w:szCs w:val="20"/>
        </w:rPr>
        <w:t xml:space="preserve"> </w:t>
      </w:r>
      <w:r w:rsidRPr="000977F7">
        <w:rPr>
          <w:rFonts w:asciiTheme="majorHAnsi" w:hAnsiTheme="majorHAnsi"/>
          <w:spacing w:val="-7"/>
          <w:sz w:val="20"/>
          <w:szCs w:val="20"/>
        </w:rPr>
        <w:t>перед</w:t>
      </w:r>
      <w:r w:rsidRPr="000977F7">
        <w:rPr>
          <w:rFonts w:asciiTheme="majorHAnsi" w:hAnsiTheme="majorHAnsi"/>
          <w:spacing w:val="-4"/>
          <w:sz w:val="20"/>
          <w:szCs w:val="20"/>
        </w:rPr>
        <w:t xml:space="preserve"> </w:t>
      </w:r>
      <w:r w:rsidRPr="000977F7">
        <w:rPr>
          <w:rFonts w:asciiTheme="majorHAnsi" w:hAnsiTheme="majorHAnsi"/>
          <w:spacing w:val="-7"/>
          <w:sz w:val="20"/>
          <w:szCs w:val="20"/>
        </w:rPr>
        <w:t>створенням</w:t>
      </w:r>
      <w:r w:rsidRPr="000977F7">
        <w:rPr>
          <w:rFonts w:asciiTheme="majorHAnsi" w:hAnsiTheme="majorHAnsi"/>
          <w:spacing w:val="-1"/>
          <w:sz w:val="20"/>
          <w:szCs w:val="20"/>
        </w:rPr>
        <w:t xml:space="preserve"> </w:t>
      </w:r>
      <w:r w:rsidRPr="000977F7">
        <w:rPr>
          <w:rFonts w:asciiTheme="majorHAnsi" w:hAnsiTheme="majorHAnsi"/>
          <w:spacing w:val="-7"/>
          <w:sz w:val="20"/>
          <w:szCs w:val="20"/>
        </w:rPr>
        <w:t>дослід</w:t>
      </w:r>
      <w:r w:rsidRPr="000977F7">
        <w:rPr>
          <w:rFonts w:asciiTheme="majorHAnsi" w:hAnsiTheme="majorHAnsi"/>
          <w:spacing w:val="-8"/>
          <w:sz w:val="20"/>
          <w:szCs w:val="20"/>
        </w:rPr>
        <w:t xml:space="preserve">но-конструкторської </w:t>
      </w:r>
      <w:r w:rsidRPr="000977F7">
        <w:rPr>
          <w:rFonts w:asciiTheme="majorHAnsi" w:hAnsiTheme="majorHAnsi"/>
          <w:spacing w:val="-7"/>
          <w:sz w:val="20"/>
          <w:szCs w:val="20"/>
        </w:rPr>
        <w:t>роботи, з метою техніко економічно</w:t>
      </w:r>
      <w:r w:rsidRPr="000977F7">
        <w:rPr>
          <w:rFonts w:asciiTheme="majorHAnsi" w:hAnsiTheme="majorHAnsi"/>
          <w:sz w:val="20"/>
          <w:szCs w:val="20"/>
        </w:rPr>
        <w:t>го обґрунтування</w:t>
      </w:r>
      <w:r w:rsidRPr="000977F7">
        <w:rPr>
          <w:rFonts w:asciiTheme="majorHAnsi" w:hAnsiTheme="majorHAnsi"/>
          <w:spacing w:val="1"/>
          <w:sz w:val="20"/>
          <w:szCs w:val="20"/>
        </w:rPr>
        <w:t xml:space="preserve"> </w:t>
      </w:r>
      <w:r w:rsidRPr="000977F7">
        <w:rPr>
          <w:rFonts w:asciiTheme="majorHAnsi" w:hAnsiTheme="majorHAnsi"/>
          <w:sz w:val="20"/>
          <w:szCs w:val="20"/>
        </w:rPr>
        <w:t>доцільності</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47"/>
          <w:sz w:val="20"/>
          <w:szCs w:val="20"/>
        </w:rPr>
        <w:t xml:space="preserve"> </w:t>
      </w:r>
      <w:r w:rsidRPr="000977F7">
        <w:rPr>
          <w:rFonts w:asciiTheme="majorHAnsi" w:hAnsiTheme="majorHAnsi"/>
          <w:sz w:val="20"/>
          <w:szCs w:val="20"/>
        </w:rPr>
        <w:t>та шляхів її створення, виробництва та експлуатації</w:t>
      </w:r>
      <w:r w:rsidRPr="000977F7">
        <w:rPr>
          <w:rFonts w:asciiTheme="majorHAnsi" w:hAnsiTheme="majorHAnsi"/>
          <w:spacing w:val="1"/>
          <w:sz w:val="20"/>
          <w:szCs w:val="20"/>
        </w:rPr>
        <w:t xml:space="preserve"> </w:t>
      </w:r>
    </w:p>
    <w:p w14:paraId="3EE06E7D"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3278 - 95</w:t>
      </w:r>
    </w:p>
    <w:p w14:paraId="42FB8C73" w14:textId="77777777" w:rsidR="0097612F" w:rsidRPr="000977F7" w:rsidRDefault="0097612F" w:rsidP="000977F7">
      <w:pPr>
        <w:pStyle w:val="af6"/>
        <w:tabs>
          <w:tab w:val="left" w:pos="284"/>
        </w:tabs>
        <w:spacing w:after="0"/>
        <w:ind w:left="170"/>
        <w:mirrorIndents/>
        <w:jc w:val="both"/>
        <w:rPr>
          <w:rFonts w:asciiTheme="majorHAnsi" w:hAnsiTheme="majorHAnsi"/>
          <w:b/>
          <w:bCs/>
          <w:iCs/>
          <w:sz w:val="20"/>
          <w:szCs w:val="20"/>
        </w:rPr>
      </w:pPr>
      <w:bookmarkStart w:id="6" w:name="_Hlk103753085"/>
      <w:r w:rsidRPr="000977F7">
        <w:rPr>
          <w:rFonts w:asciiTheme="majorHAnsi" w:hAnsiTheme="majorHAnsi"/>
          <w:b/>
          <w:bCs/>
          <w:iCs/>
          <w:sz w:val="20"/>
          <w:szCs w:val="20"/>
        </w:rPr>
        <w:t>АВАРІЙНА ЗУПИНКА, ФУНКЦІЯ АВАРІЙНОГО ЗУПИНЕННЯ</w:t>
      </w:r>
    </w:p>
    <w:p w14:paraId="4747E5DA" w14:textId="77777777" w:rsidR="0097612F" w:rsidRPr="002E19DF" w:rsidRDefault="0097612F" w:rsidP="000977F7">
      <w:pPr>
        <w:pStyle w:val="af6"/>
        <w:tabs>
          <w:tab w:val="left" w:pos="284"/>
        </w:tabs>
        <w:spacing w:after="0"/>
        <w:ind w:left="170"/>
        <w:mirrorIndents/>
        <w:jc w:val="both"/>
        <w:rPr>
          <w:rFonts w:asciiTheme="majorHAnsi" w:hAnsiTheme="majorHAnsi"/>
          <w:iCs/>
          <w:sz w:val="20"/>
          <w:szCs w:val="20"/>
          <w:lang w:val="en-US"/>
        </w:rPr>
      </w:pPr>
      <w:bookmarkStart w:id="7" w:name="_Hlk103752807"/>
      <w:r w:rsidRPr="002E19DF">
        <w:rPr>
          <w:rFonts w:asciiTheme="majorHAnsi" w:hAnsiTheme="majorHAnsi"/>
          <w:iCs/>
          <w:sz w:val="20"/>
          <w:szCs w:val="20"/>
          <w:lang w:val="en-US"/>
        </w:rPr>
        <w:t>EMERGENCY STOP, EMERGENCY STOP FUNCTION</w:t>
      </w:r>
      <w:bookmarkEnd w:id="7"/>
    </w:p>
    <w:bookmarkEnd w:id="6"/>
    <w:p w14:paraId="2C49C060"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iCs/>
          <w:sz w:val="20"/>
          <w:szCs w:val="20"/>
        </w:rPr>
        <w:t>Ф</w:t>
      </w:r>
      <w:r w:rsidRPr="000977F7">
        <w:rPr>
          <w:rFonts w:asciiTheme="majorHAnsi" w:hAnsiTheme="majorHAnsi"/>
          <w:sz w:val="20"/>
          <w:szCs w:val="20"/>
        </w:rPr>
        <w:t>ункція</w:t>
      </w:r>
      <w:r w:rsidRPr="002E19DF">
        <w:rPr>
          <w:rFonts w:asciiTheme="majorHAnsi" w:hAnsiTheme="majorHAnsi"/>
          <w:sz w:val="20"/>
          <w:szCs w:val="20"/>
          <w:lang w:val="en-US"/>
        </w:rPr>
        <w:t xml:space="preserve">, </w:t>
      </w:r>
      <w:r w:rsidRPr="000977F7">
        <w:rPr>
          <w:rFonts w:asciiTheme="majorHAnsi" w:hAnsiTheme="majorHAnsi"/>
          <w:sz w:val="20"/>
          <w:szCs w:val="20"/>
        </w:rPr>
        <w:t>яка</w:t>
      </w:r>
      <w:r w:rsidRPr="002E19DF">
        <w:rPr>
          <w:rFonts w:asciiTheme="majorHAnsi" w:hAnsiTheme="majorHAnsi"/>
          <w:sz w:val="20"/>
          <w:szCs w:val="20"/>
          <w:lang w:val="en-US"/>
        </w:rPr>
        <w:t>:</w:t>
      </w:r>
    </w:p>
    <w:p w14:paraId="2465F7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запобігає</w:t>
      </w:r>
      <w:r w:rsidRPr="002E19DF">
        <w:rPr>
          <w:rFonts w:asciiTheme="majorHAnsi" w:hAnsiTheme="majorHAnsi"/>
          <w:sz w:val="20"/>
          <w:szCs w:val="20"/>
          <w:lang w:val="en-US"/>
        </w:rPr>
        <w:t xml:space="preserve"> </w:t>
      </w:r>
      <w:r w:rsidRPr="000977F7">
        <w:rPr>
          <w:rFonts w:asciiTheme="majorHAnsi" w:hAnsiTheme="majorHAnsi"/>
          <w:sz w:val="20"/>
          <w:szCs w:val="20"/>
        </w:rPr>
        <w:t>виникненню</w:t>
      </w:r>
      <w:r w:rsidRPr="002E19DF">
        <w:rPr>
          <w:rFonts w:asciiTheme="majorHAnsi" w:hAnsiTheme="majorHAnsi"/>
          <w:sz w:val="20"/>
          <w:szCs w:val="20"/>
          <w:lang w:val="en-US"/>
        </w:rPr>
        <w:t xml:space="preserve"> </w:t>
      </w:r>
      <w:r w:rsidRPr="000977F7">
        <w:rPr>
          <w:rFonts w:asciiTheme="majorHAnsi" w:hAnsiTheme="majorHAnsi"/>
          <w:sz w:val="20"/>
          <w:szCs w:val="20"/>
        </w:rPr>
        <w:t>небезпеки</w:t>
      </w:r>
      <w:r w:rsidRPr="002E19DF">
        <w:rPr>
          <w:rFonts w:asciiTheme="majorHAnsi" w:hAnsiTheme="majorHAnsi"/>
          <w:sz w:val="20"/>
          <w:szCs w:val="20"/>
          <w:lang w:val="en-US"/>
        </w:rPr>
        <w:t xml:space="preserve"> </w:t>
      </w:r>
      <w:r w:rsidRPr="000977F7">
        <w:rPr>
          <w:rFonts w:asciiTheme="majorHAnsi" w:hAnsiTheme="majorHAnsi"/>
          <w:sz w:val="20"/>
          <w:szCs w:val="20"/>
        </w:rPr>
        <w:t>або</w:t>
      </w:r>
      <w:r w:rsidRPr="002E19DF">
        <w:rPr>
          <w:rFonts w:asciiTheme="majorHAnsi" w:hAnsiTheme="majorHAnsi"/>
          <w:sz w:val="20"/>
          <w:szCs w:val="20"/>
          <w:lang w:val="en-US"/>
        </w:rPr>
        <w:t xml:space="preserve"> </w:t>
      </w:r>
      <w:r w:rsidRPr="000977F7">
        <w:rPr>
          <w:rFonts w:asciiTheme="majorHAnsi" w:hAnsiTheme="majorHAnsi"/>
          <w:sz w:val="20"/>
          <w:szCs w:val="20"/>
        </w:rPr>
        <w:t>зменшує</w:t>
      </w:r>
      <w:r w:rsidRPr="002E19DF">
        <w:rPr>
          <w:rFonts w:asciiTheme="majorHAnsi" w:hAnsiTheme="majorHAnsi"/>
          <w:sz w:val="20"/>
          <w:szCs w:val="20"/>
          <w:lang w:val="en-US"/>
        </w:rPr>
        <w:t xml:space="preserve"> </w:t>
      </w:r>
      <w:r w:rsidRPr="000977F7">
        <w:rPr>
          <w:rFonts w:asciiTheme="majorHAnsi" w:hAnsiTheme="majorHAnsi"/>
          <w:sz w:val="20"/>
          <w:szCs w:val="20"/>
        </w:rPr>
        <w:t>наявну</w:t>
      </w:r>
      <w:r w:rsidRPr="002E19DF">
        <w:rPr>
          <w:rFonts w:asciiTheme="majorHAnsi" w:hAnsiTheme="majorHAnsi"/>
          <w:sz w:val="20"/>
          <w:szCs w:val="20"/>
          <w:lang w:val="en-US"/>
        </w:rPr>
        <w:t xml:space="preserve"> </w:t>
      </w:r>
      <w:r w:rsidRPr="000977F7">
        <w:rPr>
          <w:rFonts w:asciiTheme="majorHAnsi" w:hAnsiTheme="majorHAnsi"/>
          <w:sz w:val="20"/>
          <w:szCs w:val="20"/>
        </w:rPr>
        <w:t>небезпеку</w:t>
      </w:r>
      <w:r w:rsidRPr="002E19DF">
        <w:rPr>
          <w:rFonts w:asciiTheme="majorHAnsi" w:hAnsiTheme="majorHAnsi"/>
          <w:sz w:val="20"/>
          <w:szCs w:val="20"/>
          <w:lang w:val="en-US"/>
        </w:rPr>
        <w:t xml:space="preserve"> </w:t>
      </w:r>
      <w:r w:rsidRPr="000977F7">
        <w:rPr>
          <w:rFonts w:asciiTheme="majorHAnsi" w:hAnsiTheme="majorHAnsi"/>
          <w:sz w:val="20"/>
          <w:szCs w:val="20"/>
        </w:rPr>
        <w:t>для</w:t>
      </w:r>
      <w:r w:rsidRPr="002E19DF">
        <w:rPr>
          <w:rFonts w:asciiTheme="majorHAnsi" w:hAnsiTheme="majorHAnsi"/>
          <w:sz w:val="20"/>
          <w:szCs w:val="20"/>
          <w:lang w:val="en-US"/>
        </w:rPr>
        <w:t xml:space="preserve"> </w:t>
      </w:r>
      <w:r w:rsidRPr="000977F7">
        <w:rPr>
          <w:rFonts w:asciiTheme="majorHAnsi" w:hAnsiTheme="majorHAnsi"/>
          <w:sz w:val="20"/>
          <w:szCs w:val="20"/>
        </w:rPr>
        <w:t>людей</w:t>
      </w:r>
      <w:r w:rsidRPr="002E19DF">
        <w:rPr>
          <w:rFonts w:asciiTheme="majorHAnsi" w:hAnsiTheme="majorHAnsi"/>
          <w:sz w:val="20"/>
          <w:szCs w:val="20"/>
          <w:lang w:val="en-US"/>
        </w:rPr>
        <w:t xml:space="preserve">, </w:t>
      </w:r>
      <w:r w:rsidRPr="000977F7">
        <w:rPr>
          <w:rFonts w:asciiTheme="majorHAnsi" w:hAnsiTheme="majorHAnsi"/>
          <w:sz w:val="20"/>
          <w:szCs w:val="20"/>
        </w:rPr>
        <w:t>небезпеку</w:t>
      </w:r>
      <w:r w:rsidRPr="002E19DF">
        <w:rPr>
          <w:rFonts w:asciiTheme="majorHAnsi" w:hAnsiTheme="majorHAnsi"/>
          <w:sz w:val="20"/>
          <w:szCs w:val="20"/>
          <w:lang w:val="en-US"/>
        </w:rPr>
        <w:t xml:space="preserve"> </w:t>
      </w:r>
      <w:r w:rsidRPr="000977F7">
        <w:rPr>
          <w:rFonts w:asciiTheme="majorHAnsi" w:hAnsiTheme="majorHAnsi"/>
          <w:sz w:val="20"/>
          <w:szCs w:val="20"/>
        </w:rPr>
        <w:t>пошкодження</w:t>
      </w:r>
      <w:r w:rsidRPr="002E19DF">
        <w:rPr>
          <w:rFonts w:asciiTheme="majorHAnsi" w:hAnsiTheme="majorHAnsi"/>
          <w:sz w:val="20"/>
          <w:szCs w:val="20"/>
          <w:lang w:val="en-US"/>
        </w:rPr>
        <w:t xml:space="preserve"> </w:t>
      </w:r>
      <w:r w:rsidRPr="000977F7">
        <w:rPr>
          <w:rFonts w:asciiTheme="majorHAnsi" w:hAnsiTheme="majorHAnsi"/>
          <w:sz w:val="20"/>
          <w:szCs w:val="20"/>
        </w:rPr>
        <w:t>машини</w:t>
      </w:r>
      <w:r w:rsidRPr="002E19DF">
        <w:rPr>
          <w:rFonts w:asciiTheme="majorHAnsi" w:hAnsiTheme="majorHAnsi"/>
          <w:sz w:val="20"/>
          <w:szCs w:val="20"/>
          <w:lang w:val="en-US"/>
        </w:rPr>
        <w:t xml:space="preserve"> </w:t>
      </w:r>
      <w:r w:rsidRPr="000977F7">
        <w:rPr>
          <w:rFonts w:asciiTheme="majorHAnsi" w:hAnsiTheme="majorHAnsi"/>
          <w:sz w:val="20"/>
          <w:szCs w:val="20"/>
        </w:rPr>
        <w:t>або</w:t>
      </w:r>
      <w:r w:rsidRPr="002E19DF">
        <w:rPr>
          <w:rFonts w:asciiTheme="majorHAnsi" w:hAnsiTheme="majorHAnsi"/>
          <w:sz w:val="20"/>
          <w:szCs w:val="20"/>
          <w:lang w:val="en-US"/>
        </w:rPr>
        <w:t xml:space="preserve"> </w:t>
      </w:r>
      <w:r w:rsidRPr="000977F7">
        <w:rPr>
          <w:rFonts w:asciiTheme="majorHAnsi" w:hAnsiTheme="majorHAnsi"/>
          <w:sz w:val="20"/>
          <w:szCs w:val="20"/>
        </w:rPr>
        <w:t>перешкоду</w:t>
      </w:r>
      <w:r w:rsidRPr="002E19DF">
        <w:rPr>
          <w:rFonts w:asciiTheme="majorHAnsi" w:hAnsiTheme="majorHAnsi"/>
          <w:sz w:val="20"/>
          <w:szCs w:val="20"/>
          <w:lang w:val="en-US"/>
        </w:rPr>
        <w:t xml:space="preserve"> </w:t>
      </w:r>
      <w:r w:rsidRPr="000977F7">
        <w:rPr>
          <w:rFonts w:asciiTheme="majorHAnsi" w:hAnsiTheme="majorHAnsi"/>
          <w:sz w:val="20"/>
          <w:szCs w:val="20"/>
        </w:rPr>
        <w:t>для</w:t>
      </w:r>
      <w:r w:rsidRPr="002E19DF">
        <w:rPr>
          <w:rFonts w:asciiTheme="majorHAnsi" w:hAnsiTheme="majorHAnsi"/>
          <w:sz w:val="20"/>
          <w:szCs w:val="20"/>
          <w:lang w:val="en-US"/>
        </w:rPr>
        <w:t xml:space="preserve"> </w:t>
      </w:r>
      <w:r w:rsidRPr="000977F7">
        <w:rPr>
          <w:rFonts w:asciiTheme="majorHAnsi" w:hAnsiTheme="majorHAnsi"/>
          <w:sz w:val="20"/>
          <w:szCs w:val="20"/>
        </w:rPr>
        <w:t>продовження</w:t>
      </w:r>
      <w:r w:rsidRPr="002E19DF">
        <w:rPr>
          <w:rFonts w:asciiTheme="majorHAnsi" w:hAnsiTheme="majorHAnsi"/>
          <w:sz w:val="20"/>
          <w:szCs w:val="20"/>
          <w:lang w:val="en-US"/>
        </w:rPr>
        <w:t xml:space="preserve"> </w:t>
      </w:r>
      <w:r w:rsidRPr="000977F7">
        <w:rPr>
          <w:rFonts w:asciiTheme="majorHAnsi" w:hAnsiTheme="majorHAnsi"/>
          <w:sz w:val="20"/>
          <w:szCs w:val="20"/>
        </w:rPr>
        <w:t>робочого</w:t>
      </w:r>
      <w:r w:rsidRPr="002E19DF">
        <w:rPr>
          <w:rFonts w:asciiTheme="majorHAnsi" w:hAnsiTheme="majorHAnsi"/>
          <w:sz w:val="20"/>
          <w:szCs w:val="20"/>
          <w:lang w:val="en-US"/>
        </w:rPr>
        <w:t xml:space="preserve"> </w:t>
      </w:r>
      <w:r w:rsidRPr="000977F7">
        <w:rPr>
          <w:rFonts w:asciiTheme="majorHAnsi" w:hAnsiTheme="majorHAnsi"/>
          <w:sz w:val="20"/>
          <w:szCs w:val="20"/>
        </w:rPr>
        <w:t>процесу</w:t>
      </w:r>
      <w:r w:rsidRPr="002E19DF">
        <w:rPr>
          <w:rFonts w:asciiTheme="majorHAnsi" w:hAnsiTheme="majorHAnsi"/>
          <w:sz w:val="20"/>
          <w:szCs w:val="20"/>
          <w:lang w:val="en-US"/>
        </w:rPr>
        <w:t xml:space="preserve">; </w:t>
      </w:r>
      <w:r w:rsidRPr="000977F7">
        <w:rPr>
          <w:rFonts w:asciiTheme="majorHAnsi" w:hAnsiTheme="majorHAnsi"/>
          <w:sz w:val="20"/>
          <w:szCs w:val="20"/>
        </w:rPr>
        <w:t>та</w:t>
      </w:r>
      <w:r w:rsidRPr="002E19DF">
        <w:rPr>
          <w:rFonts w:asciiTheme="majorHAnsi" w:hAnsiTheme="majorHAnsi"/>
          <w:sz w:val="20"/>
          <w:szCs w:val="20"/>
          <w:lang w:val="en-US"/>
        </w:rPr>
        <w:t xml:space="preserve"> </w:t>
      </w:r>
      <w:r w:rsidRPr="000977F7">
        <w:rPr>
          <w:rFonts w:asciiTheme="majorHAnsi" w:hAnsiTheme="majorHAnsi"/>
          <w:sz w:val="20"/>
          <w:szCs w:val="20"/>
        </w:rPr>
        <w:t>має</w:t>
      </w:r>
      <w:r w:rsidRPr="002E19DF">
        <w:rPr>
          <w:rFonts w:asciiTheme="majorHAnsi" w:hAnsiTheme="majorHAnsi"/>
          <w:sz w:val="20"/>
          <w:szCs w:val="20"/>
          <w:lang w:val="en-US"/>
        </w:rPr>
        <w:t xml:space="preserve"> </w:t>
      </w:r>
      <w:r w:rsidRPr="000977F7">
        <w:rPr>
          <w:rFonts w:asciiTheme="majorHAnsi" w:hAnsiTheme="majorHAnsi"/>
          <w:sz w:val="20"/>
          <w:szCs w:val="20"/>
        </w:rPr>
        <w:t>вмикатися</w:t>
      </w:r>
      <w:r w:rsidRPr="002E19DF">
        <w:rPr>
          <w:rFonts w:asciiTheme="majorHAnsi" w:hAnsiTheme="majorHAnsi"/>
          <w:sz w:val="20"/>
          <w:szCs w:val="20"/>
          <w:lang w:val="en-US"/>
        </w:rPr>
        <w:t xml:space="preserve"> </w:t>
      </w:r>
      <w:r w:rsidRPr="000977F7">
        <w:rPr>
          <w:rFonts w:asciiTheme="majorHAnsi" w:hAnsiTheme="majorHAnsi"/>
          <w:sz w:val="20"/>
          <w:szCs w:val="20"/>
        </w:rPr>
        <w:t>єдиним</w:t>
      </w:r>
      <w:r w:rsidRPr="002E19DF">
        <w:rPr>
          <w:rFonts w:asciiTheme="majorHAnsi" w:hAnsiTheme="majorHAnsi"/>
          <w:sz w:val="20"/>
          <w:szCs w:val="20"/>
          <w:lang w:val="en-US"/>
        </w:rPr>
        <w:t xml:space="preserve"> </w:t>
      </w:r>
      <w:r w:rsidRPr="000977F7">
        <w:rPr>
          <w:rFonts w:asciiTheme="majorHAnsi" w:hAnsiTheme="majorHAnsi"/>
          <w:sz w:val="20"/>
          <w:szCs w:val="20"/>
        </w:rPr>
        <w:t>рухом</w:t>
      </w:r>
      <w:r w:rsidRPr="002E19DF">
        <w:rPr>
          <w:rFonts w:asciiTheme="majorHAnsi" w:hAnsiTheme="majorHAnsi"/>
          <w:sz w:val="20"/>
          <w:szCs w:val="20"/>
          <w:lang w:val="en-US"/>
        </w:rPr>
        <w:t xml:space="preserve"> </w:t>
      </w:r>
      <w:r w:rsidRPr="000977F7">
        <w:rPr>
          <w:rFonts w:asciiTheme="majorHAnsi" w:hAnsiTheme="majorHAnsi"/>
          <w:sz w:val="20"/>
          <w:szCs w:val="20"/>
        </w:rPr>
        <w:t>людини</w:t>
      </w:r>
      <w:r w:rsidRPr="002E19DF">
        <w:rPr>
          <w:rFonts w:asciiTheme="majorHAnsi" w:hAnsiTheme="majorHAnsi"/>
          <w:sz w:val="20"/>
          <w:szCs w:val="20"/>
          <w:lang w:val="en-US"/>
        </w:rPr>
        <w:t xml:space="preserve">. </w:t>
      </w:r>
      <w:r w:rsidRPr="000977F7">
        <w:rPr>
          <w:rFonts w:asciiTheme="majorHAnsi" w:hAnsiTheme="majorHAnsi"/>
          <w:sz w:val="20"/>
          <w:szCs w:val="20"/>
        </w:rPr>
        <w:t>Примітка</w:t>
      </w:r>
      <w:r w:rsidRPr="002E19DF">
        <w:rPr>
          <w:rFonts w:asciiTheme="majorHAnsi" w:hAnsiTheme="majorHAnsi"/>
          <w:sz w:val="20"/>
          <w:szCs w:val="20"/>
          <w:lang w:val="en-US"/>
        </w:rPr>
        <w:t xml:space="preserve">. </w:t>
      </w:r>
      <w:r w:rsidRPr="000977F7">
        <w:rPr>
          <w:rFonts w:asciiTheme="majorHAnsi" w:hAnsiTheme="majorHAnsi"/>
          <w:sz w:val="20"/>
          <w:szCs w:val="20"/>
        </w:rPr>
        <w:t xml:space="preserve">В ISО 13850 наведено докладні вимоги </w:t>
      </w:r>
    </w:p>
    <w:p w14:paraId="76C533D9"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06630DC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АВАРІЙНА</w:t>
      </w:r>
      <w:r w:rsidRPr="000977F7">
        <w:rPr>
          <w:color w:val="auto"/>
          <w:spacing w:val="-4"/>
          <w:sz w:val="20"/>
          <w:szCs w:val="20"/>
        </w:rPr>
        <w:t xml:space="preserve"> </w:t>
      </w:r>
      <w:r w:rsidRPr="000977F7">
        <w:rPr>
          <w:color w:val="auto"/>
          <w:sz w:val="20"/>
          <w:szCs w:val="20"/>
        </w:rPr>
        <w:t>СИТУАЦІЯ</w:t>
      </w:r>
      <w:r w:rsidRPr="000977F7">
        <w:rPr>
          <w:color w:val="auto"/>
          <w:spacing w:val="-2"/>
          <w:sz w:val="20"/>
          <w:szCs w:val="20"/>
        </w:rPr>
        <w:t xml:space="preserve"> </w:t>
      </w:r>
      <w:r w:rsidRPr="000977F7">
        <w:rPr>
          <w:color w:val="auto"/>
          <w:sz w:val="20"/>
          <w:szCs w:val="20"/>
        </w:rPr>
        <w:t>–</w:t>
      </w:r>
    </w:p>
    <w:p w14:paraId="2113A41E"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EMERGENCY</w:t>
      </w:r>
      <w:r w:rsidRPr="002E19DF">
        <w:rPr>
          <w:rFonts w:asciiTheme="majorHAnsi" w:hAnsiTheme="majorHAnsi"/>
          <w:spacing w:val="-2"/>
          <w:sz w:val="20"/>
          <w:szCs w:val="20"/>
          <w:lang w:val="uk-UA"/>
        </w:rPr>
        <w:t xml:space="preserve"> </w:t>
      </w:r>
      <w:r w:rsidRPr="000977F7">
        <w:rPr>
          <w:rFonts w:asciiTheme="majorHAnsi" w:hAnsiTheme="majorHAnsi"/>
          <w:sz w:val="20"/>
          <w:szCs w:val="20"/>
        </w:rPr>
        <w:t>SITUATION</w:t>
      </w:r>
      <w:r w:rsidRPr="002E19DF">
        <w:rPr>
          <w:rFonts w:asciiTheme="majorHAnsi" w:hAnsiTheme="majorHAnsi"/>
          <w:spacing w:val="2"/>
          <w:sz w:val="20"/>
          <w:szCs w:val="20"/>
          <w:lang w:val="uk-UA"/>
        </w:rPr>
        <w:t xml:space="preserve"> </w:t>
      </w:r>
      <w:r w:rsidRPr="002E19DF">
        <w:rPr>
          <w:rFonts w:asciiTheme="majorHAnsi" w:hAnsiTheme="majorHAnsi"/>
          <w:sz w:val="20"/>
          <w:szCs w:val="20"/>
          <w:lang w:val="uk-UA"/>
        </w:rPr>
        <w:t>–</w:t>
      </w:r>
    </w:p>
    <w:p w14:paraId="098BE82C"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uk-UA"/>
        </w:rPr>
      </w:pPr>
      <w:r w:rsidRPr="002E19DF">
        <w:rPr>
          <w:rFonts w:asciiTheme="majorHAnsi" w:hAnsiTheme="majorHAnsi"/>
          <w:sz w:val="20"/>
          <w:szCs w:val="20"/>
          <w:lang w:val="uk-UA"/>
        </w:rPr>
        <w:t>Небезпечна ситуація, якій необхідно одразу запобігти чи перешкодити.</w:t>
      </w:r>
    </w:p>
    <w:p w14:paraId="575688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Аварійна ситуація може виникнути:</w:t>
      </w:r>
    </w:p>
    <w:p w14:paraId="2DB4BAF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 час нормальної роботи машини (наприклад, унаслідок втручання людини або зовнішніх впливів);</w:t>
      </w:r>
    </w:p>
    <w:p w14:paraId="097466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унаслідок неправильного функціонування чи збою будь-якої частини машини </w:t>
      </w:r>
    </w:p>
    <w:p w14:paraId="519D4E7D"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1AD8FA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 потенційно небезпечного об'єкта, що характеризується порушенням меж та (або) умов безпечної експлуатації, але не перейшов в аварію, при якому всі</w:t>
      </w:r>
      <w:r w:rsidRPr="000977F7">
        <w:rPr>
          <w:rFonts w:asciiTheme="majorHAnsi" w:hAnsiTheme="majorHAnsi"/>
          <w:spacing w:val="1"/>
          <w:sz w:val="20"/>
          <w:szCs w:val="20"/>
        </w:rPr>
        <w:t xml:space="preserve"> </w:t>
      </w:r>
      <w:r w:rsidRPr="000977F7">
        <w:rPr>
          <w:rFonts w:asciiTheme="majorHAnsi" w:hAnsiTheme="majorHAnsi"/>
          <w:sz w:val="20"/>
          <w:szCs w:val="20"/>
        </w:rPr>
        <w:t>несприятливі впливи джерел небезпеки на персонал,</w:t>
      </w:r>
      <w:r w:rsidRPr="000977F7">
        <w:rPr>
          <w:rFonts w:asciiTheme="majorHAnsi" w:hAnsiTheme="majorHAnsi"/>
          <w:spacing w:val="1"/>
          <w:sz w:val="20"/>
          <w:szCs w:val="20"/>
        </w:rPr>
        <w:t xml:space="preserve"> </w:t>
      </w:r>
      <w:r w:rsidRPr="000977F7">
        <w:rPr>
          <w:rFonts w:asciiTheme="majorHAnsi" w:hAnsiTheme="majorHAnsi"/>
          <w:sz w:val="20"/>
          <w:szCs w:val="20"/>
        </w:rPr>
        <w:t>населення та навколишнє середовище утримуються у</w:t>
      </w:r>
      <w:r w:rsidRPr="000977F7">
        <w:rPr>
          <w:rFonts w:asciiTheme="majorHAnsi" w:hAnsiTheme="majorHAnsi"/>
          <w:spacing w:val="1"/>
          <w:sz w:val="20"/>
          <w:szCs w:val="20"/>
        </w:rPr>
        <w:t xml:space="preserve"> </w:t>
      </w:r>
      <w:r w:rsidRPr="000977F7">
        <w:rPr>
          <w:rFonts w:asciiTheme="majorHAnsi" w:hAnsiTheme="majorHAnsi"/>
          <w:sz w:val="20"/>
          <w:szCs w:val="20"/>
        </w:rPr>
        <w:t>прийнятних межах за допомогою відповідних технічних</w:t>
      </w:r>
      <w:r w:rsidRPr="000977F7">
        <w:rPr>
          <w:rFonts w:asciiTheme="majorHAnsi" w:hAnsiTheme="majorHAnsi"/>
          <w:spacing w:val="-2"/>
          <w:sz w:val="20"/>
          <w:szCs w:val="20"/>
        </w:rPr>
        <w:t xml:space="preserve"> </w:t>
      </w:r>
      <w:r w:rsidRPr="000977F7">
        <w:rPr>
          <w:rFonts w:asciiTheme="majorHAnsi" w:hAnsiTheme="majorHAnsi"/>
          <w:sz w:val="20"/>
          <w:szCs w:val="20"/>
        </w:rPr>
        <w:t>засобів, передбачених</w:t>
      </w:r>
      <w:r w:rsidRPr="000977F7">
        <w:rPr>
          <w:rFonts w:asciiTheme="majorHAnsi" w:hAnsiTheme="majorHAnsi"/>
          <w:spacing w:val="-1"/>
          <w:sz w:val="20"/>
          <w:szCs w:val="20"/>
        </w:rPr>
        <w:t xml:space="preserve"> </w:t>
      </w:r>
      <w:r w:rsidRPr="000977F7">
        <w:rPr>
          <w:rFonts w:asciiTheme="majorHAnsi" w:hAnsiTheme="majorHAnsi"/>
          <w:sz w:val="20"/>
          <w:szCs w:val="20"/>
        </w:rPr>
        <w:t>проектом</w:t>
      </w:r>
    </w:p>
    <w:p w14:paraId="1115ED49" w14:textId="77777777" w:rsidR="0097612F" w:rsidRPr="002E19DF"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2E19DF">
        <w:rPr>
          <w:rFonts w:asciiTheme="majorHAnsi" w:hAnsiTheme="majorHAnsi"/>
          <w:i/>
          <w:spacing w:val="-2"/>
          <w:sz w:val="20"/>
          <w:szCs w:val="20"/>
          <w:lang w:val="en-US"/>
        </w:rPr>
        <w:t xml:space="preserve"> </w:t>
      </w:r>
      <w:r w:rsidRPr="002E19DF">
        <w:rPr>
          <w:rFonts w:asciiTheme="majorHAnsi" w:hAnsiTheme="majorHAnsi"/>
          <w:i/>
          <w:sz w:val="20"/>
          <w:szCs w:val="20"/>
          <w:lang w:val="en-US"/>
        </w:rPr>
        <w:t>2156</w:t>
      </w:r>
      <w:r w:rsidRPr="002E19DF">
        <w:rPr>
          <w:rFonts w:asciiTheme="majorHAnsi" w:hAnsiTheme="majorHAnsi"/>
          <w:i/>
          <w:spacing w:val="-1"/>
          <w:sz w:val="20"/>
          <w:szCs w:val="20"/>
          <w:lang w:val="en-US"/>
        </w:rPr>
        <w:t xml:space="preserve"> </w:t>
      </w:r>
      <w:r w:rsidRPr="002E19DF">
        <w:rPr>
          <w:rFonts w:asciiTheme="majorHAnsi" w:hAnsiTheme="majorHAnsi"/>
          <w:i/>
          <w:sz w:val="20"/>
          <w:szCs w:val="20"/>
          <w:lang w:val="en-US"/>
        </w:rPr>
        <w:t>–</w:t>
      </w:r>
      <w:r w:rsidRPr="002E19DF">
        <w:rPr>
          <w:rFonts w:asciiTheme="majorHAnsi" w:hAnsiTheme="majorHAnsi"/>
          <w:i/>
          <w:spacing w:val="-1"/>
          <w:sz w:val="20"/>
          <w:szCs w:val="20"/>
          <w:lang w:val="en-US"/>
        </w:rPr>
        <w:t xml:space="preserve"> </w:t>
      </w:r>
      <w:r w:rsidRPr="002E19DF">
        <w:rPr>
          <w:rFonts w:asciiTheme="majorHAnsi" w:hAnsiTheme="majorHAnsi"/>
          <w:i/>
          <w:sz w:val="20"/>
          <w:szCs w:val="20"/>
          <w:lang w:val="en-US"/>
        </w:rPr>
        <w:t>93</w:t>
      </w:r>
    </w:p>
    <w:p w14:paraId="113CB79B" w14:textId="77777777" w:rsidR="0097612F" w:rsidRPr="002E19DF" w:rsidRDefault="0097612F" w:rsidP="000977F7">
      <w:pPr>
        <w:tabs>
          <w:tab w:val="left" w:pos="284"/>
        </w:tabs>
        <w:spacing w:after="0" w:line="240" w:lineRule="auto"/>
        <w:ind w:left="170"/>
        <w:mirrorIndents/>
        <w:jc w:val="both"/>
        <w:rPr>
          <w:rFonts w:asciiTheme="majorHAnsi" w:hAnsiTheme="majorHAnsi"/>
          <w:b/>
          <w:bCs/>
          <w:iCs/>
          <w:sz w:val="20"/>
          <w:szCs w:val="20"/>
          <w:lang w:val="en-US"/>
        </w:rPr>
      </w:pPr>
      <w:bookmarkStart w:id="8" w:name="_Hlk103752051"/>
      <w:r w:rsidRPr="000977F7">
        <w:rPr>
          <w:rFonts w:asciiTheme="majorHAnsi" w:hAnsiTheme="majorHAnsi"/>
          <w:b/>
          <w:bCs/>
          <w:iCs/>
          <w:sz w:val="20"/>
          <w:szCs w:val="20"/>
        </w:rPr>
        <w:t>АВАРІЙНИЙ</w:t>
      </w:r>
      <w:r w:rsidRPr="002E19DF">
        <w:rPr>
          <w:rFonts w:asciiTheme="majorHAnsi" w:hAnsiTheme="majorHAnsi"/>
          <w:b/>
          <w:bCs/>
          <w:iCs/>
          <w:sz w:val="20"/>
          <w:szCs w:val="20"/>
          <w:lang w:val="en-US"/>
        </w:rPr>
        <w:t xml:space="preserve"> </w:t>
      </w:r>
      <w:r w:rsidRPr="000977F7">
        <w:rPr>
          <w:rFonts w:asciiTheme="majorHAnsi" w:hAnsiTheme="majorHAnsi"/>
          <w:b/>
          <w:bCs/>
          <w:iCs/>
          <w:sz w:val="20"/>
          <w:szCs w:val="20"/>
        </w:rPr>
        <w:t>ЗАХІД</w:t>
      </w:r>
      <w:r w:rsidRPr="002E19DF">
        <w:rPr>
          <w:rFonts w:asciiTheme="majorHAnsi" w:hAnsiTheme="majorHAnsi"/>
          <w:b/>
          <w:bCs/>
          <w:iCs/>
          <w:sz w:val="20"/>
          <w:szCs w:val="20"/>
          <w:lang w:val="en-US"/>
        </w:rPr>
        <w:t xml:space="preserve"> –</w:t>
      </w:r>
    </w:p>
    <w:p w14:paraId="615C5D9E" w14:textId="77777777" w:rsidR="0097612F" w:rsidRPr="002E19DF" w:rsidRDefault="0097612F" w:rsidP="000977F7">
      <w:pPr>
        <w:tabs>
          <w:tab w:val="left" w:pos="284"/>
        </w:tabs>
        <w:spacing w:after="0" w:line="240" w:lineRule="auto"/>
        <w:ind w:left="170"/>
        <w:mirrorIndents/>
        <w:jc w:val="both"/>
        <w:rPr>
          <w:rFonts w:asciiTheme="majorHAnsi" w:hAnsiTheme="majorHAnsi"/>
          <w:iCs/>
          <w:sz w:val="20"/>
          <w:szCs w:val="20"/>
          <w:lang w:val="en-US"/>
        </w:rPr>
      </w:pPr>
      <w:r w:rsidRPr="002E19DF">
        <w:rPr>
          <w:rFonts w:asciiTheme="majorHAnsi" w:hAnsiTheme="majorHAnsi"/>
          <w:iCs/>
          <w:sz w:val="20"/>
          <w:szCs w:val="20"/>
          <w:lang w:val="en-US"/>
        </w:rPr>
        <w:t>EMERGENCY OPERATION –</w:t>
      </w:r>
    </w:p>
    <w:bookmarkEnd w:id="8"/>
    <w:p w14:paraId="2F806BF6" w14:textId="77777777" w:rsidR="0097612F" w:rsidRPr="002E19DF"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sz w:val="20"/>
          <w:szCs w:val="20"/>
        </w:rPr>
        <w:lastRenderedPageBreak/>
        <w:t>Усі</w:t>
      </w:r>
      <w:r w:rsidRPr="002E19DF">
        <w:rPr>
          <w:rFonts w:asciiTheme="majorHAnsi" w:hAnsiTheme="majorHAnsi"/>
          <w:sz w:val="20"/>
          <w:szCs w:val="20"/>
          <w:lang w:val="en-US"/>
        </w:rPr>
        <w:t xml:space="preserve"> </w:t>
      </w:r>
      <w:r w:rsidRPr="000977F7">
        <w:rPr>
          <w:rFonts w:asciiTheme="majorHAnsi" w:hAnsiTheme="majorHAnsi"/>
          <w:sz w:val="20"/>
          <w:szCs w:val="20"/>
        </w:rPr>
        <w:t>дії</w:t>
      </w:r>
      <w:r w:rsidRPr="002E19DF">
        <w:rPr>
          <w:rFonts w:asciiTheme="majorHAnsi" w:hAnsiTheme="majorHAnsi"/>
          <w:sz w:val="20"/>
          <w:szCs w:val="20"/>
          <w:lang w:val="en-US"/>
        </w:rPr>
        <w:t xml:space="preserve"> </w:t>
      </w:r>
      <w:r w:rsidRPr="000977F7">
        <w:rPr>
          <w:rFonts w:asciiTheme="majorHAnsi" w:hAnsiTheme="majorHAnsi"/>
          <w:sz w:val="20"/>
          <w:szCs w:val="20"/>
        </w:rPr>
        <w:t>та</w:t>
      </w:r>
      <w:r w:rsidRPr="002E19DF">
        <w:rPr>
          <w:rFonts w:asciiTheme="majorHAnsi" w:hAnsiTheme="majorHAnsi"/>
          <w:sz w:val="20"/>
          <w:szCs w:val="20"/>
          <w:lang w:val="en-US"/>
        </w:rPr>
        <w:t xml:space="preserve"> </w:t>
      </w:r>
      <w:r w:rsidRPr="000977F7">
        <w:rPr>
          <w:rFonts w:asciiTheme="majorHAnsi" w:hAnsiTheme="majorHAnsi"/>
          <w:sz w:val="20"/>
          <w:szCs w:val="20"/>
        </w:rPr>
        <w:t>функції</w:t>
      </w:r>
      <w:r w:rsidRPr="002E19DF">
        <w:rPr>
          <w:rFonts w:asciiTheme="majorHAnsi" w:hAnsiTheme="majorHAnsi"/>
          <w:sz w:val="20"/>
          <w:szCs w:val="20"/>
          <w:lang w:val="en-US"/>
        </w:rPr>
        <w:t xml:space="preserve">, </w:t>
      </w:r>
      <w:r w:rsidRPr="000977F7">
        <w:rPr>
          <w:rFonts w:asciiTheme="majorHAnsi" w:hAnsiTheme="majorHAnsi"/>
          <w:sz w:val="20"/>
          <w:szCs w:val="20"/>
        </w:rPr>
        <w:t>спрямовані</w:t>
      </w:r>
      <w:r w:rsidRPr="002E19DF">
        <w:rPr>
          <w:rFonts w:asciiTheme="majorHAnsi" w:hAnsiTheme="majorHAnsi"/>
          <w:sz w:val="20"/>
          <w:szCs w:val="20"/>
          <w:lang w:val="en-US"/>
        </w:rPr>
        <w:t xml:space="preserve"> </w:t>
      </w:r>
      <w:r w:rsidRPr="000977F7">
        <w:rPr>
          <w:rFonts w:asciiTheme="majorHAnsi" w:hAnsiTheme="majorHAnsi"/>
          <w:sz w:val="20"/>
          <w:szCs w:val="20"/>
        </w:rPr>
        <w:t>на</w:t>
      </w:r>
      <w:r w:rsidRPr="002E19DF">
        <w:rPr>
          <w:rFonts w:asciiTheme="majorHAnsi" w:hAnsiTheme="majorHAnsi"/>
          <w:sz w:val="20"/>
          <w:szCs w:val="20"/>
          <w:lang w:val="en-US"/>
        </w:rPr>
        <w:t xml:space="preserve"> </w:t>
      </w:r>
      <w:r w:rsidRPr="000977F7">
        <w:rPr>
          <w:rFonts w:asciiTheme="majorHAnsi" w:hAnsiTheme="majorHAnsi"/>
          <w:sz w:val="20"/>
          <w:szCs w:val="20"/>
        </w:rPr>
        <w:t>ліквідацію</w:t>
      </w:r>
      <w:r w:rsidRPr="002E19DF">
        <w:rPr>
          <w:rFonts w:asciiTheme="majorHAnsi" w:hAnsiTheme="majorHAnsi"/>
          <w:sz w:val="20"/>
          <w:szCs w:val="20"/>
          <w:lang w:val="en-US"/>
        </w:rPr>
        <w:t xml:space="preserve"> </w:t>
      </w:r>
      <w:r w:rsidRPr="000977F7">
        <w:rPr>
          <w:rFonts w:asciiTheme="majorHAnsi" w:hAnsiTheme="majorHAnsi"/>
          <w:sz w:val="20"/>
          <w:szCs w:val="20"/>
        </w:rPr>
        <w:t>аварійної</w:t>
      </w:r>
      <w:r w:rsidRPr="002E19DF">
        <w:rPr>
          <w:rFonts w:asciiTheme="majorHAnsi" w:hAnsiTheme="majorHAnsi"/>
          <w:sz w:val="20"/>
          <w:szCs w:val="20"/>
          <w:lang w:val="en-US"/>
        </w:rPr>
        <w:t xml:space="preserve"> </w:t>
      </w:r>
      <w:r w:rsidRPr="000977F7">
        <w:rPr>
          <w:rFonts w:asciiTheme="majorHAnsi" w:hAnsiTheme="majorHAnsi"/>
          <w:sz w:val="20"/>
          <w:szCs w:val="20"/>
        </w:rPr>
        <w:t>ситуації</w:t>
      </w:r>
      <w:r w:rsidRPr="002E19DF">
        <w:rPr>
          <w:rFonts w:asciiTheme="majorHAnsi" w:hAnsiTheme="majorHAnsi"/>
          <w:sz w:val="20"/>
          <w:szCs w:val="20"/>
          <w:lang w:val="en-US"/>
        </w:rPr>
        <w:t xml:space="preserve"> </w:t>
      </w:r>
      <w:r w:rsidRPr="000977F7">
        <w:rPr>
          <w:rFonts w:asciiTheme="majorHAnsi" w:hAnsiTheme="majorHAnsi"/>
          <w:sz w:val="20"/>
          <w:szCs w:val="20"/>
        </w:rPr>
        <w:t>або</w:t>
      </w:r>
      <w:r w:rsidRPr="002E19DF">
        <w:rPr>
          <w:rFonts w:asciiTheme="majorHAnsi" w:hAnsiTheme="majorHAnsi"/>
          <w:sz w:val="20"/>
          <w:szCs w:val="20"/>
          <w:lang w:val="en-US"/>
        </w:rPr>
        <w:t xml:space="preserve"> </w:t>
      </w:r>
      <w:r w:rsidRPr="000977F7">
        <w:rPr>
          <w:rFonts w:asciiTheme="majorHAnsi" w:hAnsiTheme="majorHAnsi"/>
          <w:sz w:val="20"/>
          <w:szCs w:val="20"/>
        </w:rPr>
        <w:t>запобігання</w:t>
      </w:r>
      <w:r w:rsidRPr="002E19DF">
        <w:rPr>
          <w:rFonts w:asciiTheme="majorHAnsi" w:hAnsiTheme="majorHAnsi"/>
          <w:sz w:val="20"/>
          <w:szCs w:val="20"/>
          <w:lang w:val="en-US"/>
        </w:rPr>
        <w:t xml:space="preserve"> </w:t>
      </w:r>
      <w:r w:rsidRPr="000977F7">
        <w:rPr>
          <w:rFonts w:asciiTheme="majorHAnsi" w:hAnsiTheme="majorHAnsi"/>
          <w:sz w:val="20"/>
          <w:szCs w:val="20"/>
        </w:rPr>
        <w:t>їй</w:t>
      </w:r>
      <w:r w:rsidRPr="002E19DF">
        <w:rPr>
          <w:rFonts w:asciiTheme="majorHAnsi" w:hAnsiTheme="majorHAnsi"/>
          <w:sz w:val="20"/>
          <w:szCs w:val="20"/>
          <w:lang w:val="en-US"/>
        </w:rPr>
        <w:t xml:space="preserve"> </w:t>
      </w:r>
    </w:p>
    <w:p w14:paraId="6CBA95FB"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4D18A15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АВАРІЙНИЙ</w:t>
      </w:r>
      <w:r w:rsidRPr="000977F7">
        <w:rPr>
          <w:color w:val="auto"/>
          <w:spacing w:val="-3"/>
          <w:sz w:val="20"/>
          <w:szCs w:val="20"/>
        </w:rPr>
        <w:t xml:space="preserve"> </w:t>
      </w:r>
      <w:r w:rsidRPr="000977F7">
        <w:rPr>
          <w:color w:val="auto"/>
          <w:sz w:val="20"/>
          <w:szCs w:val="20"/>
        </w:rPr>
        <w:t>ЗАХИСТ</w:t>
      </w:r>
      <w:r w:rsidRPr="000977F7">
        <w:rPr>
          <w:color w:val="auto"/>
          <w:spacing w:val="-2"/>
          <w:sz w:val="20"/>
          <w:szCs w:val="20"/>
        </w:rPr>
        <w:t xml:space="preserve"> </w:t>
      </w:r>
      <w:r w:rsidRPr="000977F7">
        <w:rPr>
          <w:color w:val="auto"/>
          <w:sz w:val="20"/>
          <w:szCs w:val="20"/>
        </w:rPr>
        <w:t>–</w:t>
      </w:r>
    </w:p>
    <w:p w14:paraId="44F15FE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EMERGENCY</w:t>
      </w:r>
      <w:r w:rsidRPr="000977F7">
        <w:rPr>
          <w:rFonts w:asciiTheme="majorHAnsi" w:hAnsiTheme="majorHAnsi"/>
          <w:spacing w:val="-3"/>
          <w:sz w:val="20"/>
          <w:szCs w:val="20"/>
        </w:rPr>
        <w:t xml:space="preserve"> </w:t>
      </w:r>
      <w:r w:rsidRPr="000977F7">
        <w:rPr>
          <w:rFonts w:asciiTheme="majorHAnsi" w:hAnsiTheme="majorHAnsi"/>
          <w:sz w:val="20"/>
          <w:szCs w:val="20"/>
        </w:rPr>
        <w:t>PROTECTION –</w:t>
      </w:r>
    </w:p>
    <w:p w14:paraId="7AF881E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Передбачена в технічному проекті підприємства система (пристрій, елемент), призначена для забезпечення</w:t>
      </w:r>
      <w:r w:rsidRPr="000977F7">
        <w:rPr>
          <w:rFonts w:asciiTheme="majorHAnsi" w:hAnsiTheme="majorHAnsi"/>
          <w:spacing w:val="-2"/>
          <w:sz w:val="20"/>
          <w:szCs w:val="20"/>
        </w:rPr>
        <w:t xml:space="preserve"> </w:t>
      </w:r>
      <w:r w:rsidRPr="000977F7">
        <w:rPr>
          <w:rFonts w:asciiTheme="majorHAnsi" w:hAnsiTheme="majorHAnsi"/>
          <w:sz w:val="20"/>
          <w:szCs w:val="20"/>
        </w:rPr>
        <w:t>безпеки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аварійному</w:t>
      </w:r>
      <w:r w:rsidRPr="000977F7">
        <w:rPr>
          <w:rFonts w:asciiTheme="majorHAnsi" w:hAnsiTheme="majorHAnsi"/>
          <w:spacing w:val="-4"/>
          <w:sz w:val="20"/>
          <w:szCs w:val="20"/>
        </w:rPr>
        <w:t xml:space="preserve"> </w:t>
      </w:r>
      <w:r w:rsidRPr="000977F7">
        <w:rPr>
          <w:rFonts w:asciiTheme="majorHAnsi" w:hAnsiTheme="majorHAnsi"/>
          <w:sz w:val="20"/>
          <w:szCs w:val="20"/>
        </w:rPr>
        <w:t>режимі</w:t>
      </w:r>
    </w:p>
    <w:p w14:paraId="2A9C26C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438777A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АВАРІЙНИЙ</w:t>
      </w:r>
      <w:r w:rsidRPr="000977F7">
        <w:rPr>
          <w:color w:val="auto"/>
          <w:spacing w:val="-5"/>
          <w:sz w:val="20"/>
          <w:szCs w:val="20"/>
        </w:rPr>
        <w:t xml:space="preserve"> </w:t>
      </w:r>
      <w:r w:rsidRPr="000977F7">
        <w:rPr>
          <w:color w:val="auto"/>
          <w:sz w:val="20"/>
          <w:szCs w:val="20"/>
        </w:rPr>
        <w:t>ПАРАМЕТР -</w:t>
      </w:r>
    </w:p>
    <w:p w14:paraId="3F053A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Параметр виробу, який використовується для прогнозування</w:t>
      </w:r>
      <w:r w:rsidRPr="000977F7">
        <w:rPr>
          <w:rFonts w:asciiTheme="majorHAnsi" w:hAnsiTheme="majorHAnsi"/>
          <w:spacing w:val="-3"/>
          <w:sz w:val="20"/>
          <w:szCs w:val="20"/>
        </w:rPr>
        <w:t xml:space="preserve"> </w:t>
      </w:r>
      <w:r w:rsidRPr="000977F7">
        <w:rPr>
          <w:rFonts w:asciiTheme="majorHAnsi" w:hAnsiTheme="majorHAnsi"/>
          <w:sz w:val="20"/>
          <w:szCs w:val="20"/>
        </w:rPr>
        <w:t>можливості</w:t>
      </w:r>
      <w:r w:rsidRPr="000977F7">
        <w:rPr>
          <w:rFonts w:asciiTheme="majorHAnsi" w:hAnsiTheme="majorHAnsi"/>
          <w:spacing w:val="-3"/>
          <w:sz w:val="20"/>
          <w:szCs w:val="20"/>
        </w:rPr>
        <w:t xml:space="preserve"> </w:t>
      </w:r>
      <w:r w:rsidRPr="000977F7">
        <w:rPr>
          <w:rFonts w:asciiTheme="majorHAnsi" w:hAnsiTheme="majorHAnsi"/>
          <w:sz w:val="20"/>
          <w:szCs w:val="20"/>
        </w:rPr>
        <w:t>виникнення</w:t>
      </w:r>
      <w:r w:rsidRPr="000977F7">
        <w:rPr>
          <w:rFonts w:asciiTheme="majorHAnsi" w:hAnsiTheme="majorHAnsi"/>
          <w:spacing w:val="-3"/>
          <w:sz w:val="20"/>
          <w:szCs w:val="20"/>
        </w:rPr>
        <w:t xml:space="preserve"> </w:t>
      </w:r>
      <w:r w:rsidRPr="000977F7">
        <w:rPr>
          <w:rFonts w:asciiTheme="majorHAnsi" w:hAnsiTheme="majorHAnsi"/>
          <w:sz w:val="20"/>
          <w:szCs w:val="20"/>
        </w:rPr>
        <w:t>аварійної</w:t>
      </w:r>
      <w:r w:rsidRPr="000977F7">
        <w:rPr>
          <w:rFonts w:asciiTheme="majorHAnsi" w:hAnsiTheme="majorHAnsi"/>
          <w:spacing w:val="-3"/>
          <w:sz w:val="20"/>
          <w:szCs w:val="20"/>
        </w:rPr>
        <w:t xml:space="preserve"> </w:t>
      </w:r>
      <w:r w:rsidRPr="000977F7">
        <w:rPr>
          <w:rFonts w:asciiTheme="majorHAnsi" w:hAnsiTheme="majorHAnsi"/>
          <w:sz w:val="20"/>
          <w:szCs w:val="20"/>
        </w:rPr>
        <w:t>ситуації</w:t>
      </w:r>
    </w:p>
    <w:p w14:paraId="469680C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АВАРІЙНИЙ РЕЖИМ – </w:t>
      </w:r>
    </w:p>
    <w:p w14:paraId="16D752B9"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en-US"/>
        </w:rPr>
      </w:pPr>
      <w:r w:rsidRPr="002E19DF">
        <w:rPr>
          <w:rFonts w:asciiTheme="majorHAnsi" w:hAnsiTheme="majorHAnsi"/>
          <w:sz w:val="20"/>
          <w:szCs w:val="20"/>
          <w:lang w:val="en-US"/>
        </w:rPr>
        <w:t>OFF-NORMAL</w:t>
      </w:r>
      <w:r w:rsidRPr="002E19DF">
        <w:rPr>
          <w:rFonts w:asciiTheme="majorHAnsi" w:hAnsiTheme="majorHAnsi"/>
          <w:spacing w:val="-4"/>
          <w:sz w:val="20"/>
          <w:szCs w:val="20"/>
          <w:lang w:val="en-US"/>
        </w:rPr>
        <w:t xml:space="preserve"> </w:t>
      </w:r>
      <w:r w:rsidRPr="002E19DF">
        <w:rPr>
          <w:rFonts w:asciiTheme="majorHAnsi" w:hAnsiTheme="majorHAnsi"/>
          <w:sz w:val="20"/>
          <w:szCs w:val="20"/>
          <w:lang w:val="en-US"/>
        </w:rPr>
        <w:t>MODE</w:t>
      </w:r>
      <w:r w:rsidRPr="002E19DF">
        <w:rPr>
          <w:rFonts w:asciiTheme="majorHAnsi" w:hAnsiTheme="majorHAnsi"/>
          <w:spacing w:val="1"/>
          <w:sz w:val="20"/>
          <w:szCs w:val="20"/>
          <w:lang w:val="en-US"/>
        </w:rPr>
        <w:t xml:space="preserve"> -</w:t>
      </w:r>
    </w:p>
    <w:p w14:paraId="5D8D436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Режим функціонування підприємства (об'єкта) в разі</w:t>
      </w:r>
      <w:r w:rsidRPr="000977F7">
        <w:rPr>
          <w:rFonts w:asciiTheme="majorHAnsi" w:hAnsiTheme="majorHAnsi"/>
          <w:spacing w:val="1"/>
          <w:sz w:val="20"/>
          <w:szCs w:val="20"/>
        </w:rPr>
        <w:t xml:space="preserve"> </w:t>
      </w:r>
      <w:r w:rsidRPr="000977F7">
        <w:rPr>
          <w:rFonts w:asciiTheme="majorHAnsi" w:hAnsiTheme="majorHAnsi"/>
          <w:sz w:val="20"/>
          <w:szCs w:val="20"/>
        </w:rPr>
        <w:t>виникнення</w:t>
      </w:r>
      <w:r w:rsidRPr="000977F7">
        <w:rPr>
          <w:rFonts w:asciiTheme="majorHAnsi" w:hAnsiTheme="majorHAnsi"/>
          <w:spacing w:val="-2"/>
          <w:sz w:val="20"/>
          <w:szCs w:val="20"/>
        </w:rPr>
        <w:t xml:space="preserve"> </w:t>
      </w:r>
      <w:r w:rsidRPr="000977F7">
        <w:rPr>
          <w:rFonts w:asciiTheme="majorHAnsi" w:hAnsiTheme="majorHAnsi"/>
          <w:sz w:val="20"/>
          <w:szCs w:val="20"/>
        </w:rPr>
        <w:t>аварії</w:t>
      </w:r>
    </w:p>
    <w:p w14:paraId="0F60534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2156 –</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7D6700A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АВАРІЙНІ</w:t>
      </w:r>
      <w:r w:rsidRPr="000977F7">
        <w:rPr>
          <w:color w:val="auto"/>
          <w:spacing w:val="-6"/>
          <w:sz w:val="20"/>
          <w:szCs w:val="20"/>
        </w:rPr>
        <w:t xml:space="preserve"> </w:t>
      </w:r>
      <w:r w:rsidRPr="000977F7">
        <w:rPr>
          <w:color w:val="auto"/>
          <w:sz w:val="20"/>
          <w:szCs w:val="20"/>
        </w:rPr>
        <w:t>ЗНАЧЕННЯ</w:t>
      </w:r>
      <w:r w:rsidRPr="000977F7">
        <w:rPr>
          <w:color w:val="auto"/>
          <w:spacing w:val="-5"/>
          <w:sz w:val="20"/>
          <w:szCs w:val="20"/>
        </w:rPr>
        <w:t xml:space="preserve"> </w:t>
      </w:r>
      <w:r w:rsidRPr="000977F7">
        <w:rPr>
          <w:color w:val="auto"/>
          <w:sz w:val="20"/>
          <w:szCs w:val="20"/>
        </w:rPr>
        <w:t>ПАРАМЕТРА -</w:t>
      </w:r>
    </w:p>
    <w:p w14:paraId="7392477C"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Значення параметра виробу, яке окремо або в сукупності</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значеннями</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параметрів</w:t>
      </w:r>
      <w:r w:rsidRPr="000977F7">
        <w:rPr>
          <w:rFonts w:asciiTheme="majorHAnsi" w:hAnsiTheme="majorHAnsi"/>
          <w:spacing w:val="1"/>
          <w:sz w:val="20"/>
          <w:szCs w:val="20"/>
        </w:rPr>
        <w:t xml:space="preserve"> </w:t>
      </w:r>
      <w:r w:rsidRPr="000977F7">
        <w:rPr>
          <w:rFonts w:asciiTheme="majorHAnsi" w:hAnsiTheme="majorHAnsi"/>
          <w:sz w:val="20"/>
          <w:szCs w:val="20"/>
        </w:rPr>
        <w:t>свідчить</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47"/>
          <w:sz w:val="20"/>
          <w:szCs w:val="20"/>
        </w:rPr>
        <w:t xml:space="preserve"> </w:t>
      </w:r>
      <w:r w:rsidRPr="000977F7">
        <w:rPr>
          <w:rFonts w:asciiTheme="majorHAnsi" w:hAnsiTheme="majorHAnsi"/>
          <w:sz w:val="20"/>
          <w:szCs w:val="20"/>
        </w:rPr>
        <w:t>можливість виникнення аварійної ситуації</w:t>
      </w:r>
    </w:p>
    <w:p w14:paraId="4DCD6173"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w w:val="95"/>
          <w:sz w:val="20"/>
          <w:szCs w:val="20"/>
        </w:rPr>
        <w:t>АВАРІЯ</w:t>
      </w:r>
      <w:r w:rsidRPr="000977F7">
        <w:rPr>
          <w:rFonts w:asciiTheme="majorHAnsi" w:hAnsiTheme="majorHAnsi"/>
          <w:b/>
          <w:bCs/>
          <w:spacing w:val="20"/>
          <w:w w:val="95"/>
          <w:sz w:val="20"/>
          <w:szCs w:val="20"/>
        </w:rPr>
        <w:t xml:space="preserve"> </w:t>
      </w:r>
      <w:r w:rsidRPr="000977F7">
        <w:rPr>
          <w:rFonts w:asciiTheme="majorHAnsi" w:hAnsiTheme="majorHAnsi"/>
          <w:b/>
          <w:bCs/>
          <w:w w:val="95"/>
          <w:sz w:val="20"/>
          <w:szCs w:val="20"/>
        </w:rPr>
        <w:t>НА</w:t>
      </w:r>
      <w:r w:rsidRPr="000977F7">
        <w:rPr>
          <w:rFonts w:asciiTheme="majorHAnsi" w:hAnsiTheme="majorHAnsi"/>
          <w:b/>
          <w:bCs/>
          <w:spacing w:val="21"/>
          <w:w w:val="95"/>
          <w:sz w:val="20"/>
          <w:szCs w:val="20"/>
        </w:rPr>
        <w:t xml:space="preserve"> </w:t>
      </w:r>
      <w:r w:rsidRPr="000977F7">
        <w:rPr>
          <w:rFonts w:asciiTheme="majorHAnsi" w:hAnsiTheme="majorHAnsi"/>
          <w:b/>
          <w:bCs/>
          <w:w w:val="95"/>
          <w:sz w:val="20"/>
          <w:szCs w:val="20"/>
        </w:rPr>
        <w:t>ПРОМИСЛОВОМУ</w:t>
      </w:r>
      <w:r w:rsidRPr="000977F7">
        <w:rPr>
          <w:rFonts w:asciiTheme="majorHAnsi" w:hAnsiTheme="majorHAnsi"/>
          <w:b/>
          <w:bCs/>
          <w:spacing w:val="18"/>
          <w:w w:val="95"/>
          <w:sz w:val="20"/>
          <w:szCs w:val="20"/>
        </w:rPr>
        <w:t xml:space="preserve"> </w:t>
      </w:r>
      <w:r w:rsidRPr="000977F7">
        <w:rPr>
          <w:rFonts w:asciiTheme="majorHAnsi" w:hAnsiTheme="majorHAnsi"/>
          <w:b/>
          <w:bCs/>
          <w:w w:val="95"/>
          <w:sz w:val="20"/>
          <w:szCs w:val="20"/>
        </w:rPr>
        <w:t>ПІДПРИЄМСТВІ</w:t>
      </w:r>
      <w:r w:rsidRPr="000977F7">
        <w:rPr>
          <w:rFonts w:asciiTheme="majorHAnsi" w:hAnsiTheme="majorHAnsi"/>
          <w:b/>
          <w:bCs/>
          <w:spacing w:val="16"/>
          <w:w w:val="95"/>
          <w:sz w:val="20"/>
          <w:szCs w:val="20"/>
        </w:rPr>
        <w:t xml:space="preserve"> </w:t>
      </w:r>
      <w:r w:rsidRPr="000977F7">
        <w:rPr>
          <w:rFonts w:asciiTheme="majorHAnsi" w:hAnsiTheme="majorHAnsi"/>
          <w:b/>
          <w:bCs/>
          <w:w w:val="95"/>
          <w:sz w:val="20"/>
          <w:szCs w:val="20"/>
        </w:rPr>
        <w:t>–</w:t>
      </w:r>
    </w:p>
    <w:p w14:paraId="5B2046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Порушення експлуатації підприємства, під час якого</w:t>
      </w:r>
      <w:r w:rsidRPr="000977F7">
        <w:rPr>
          <w:rFonts w:asciiTheme="majorHAnsi" w:hAnsiTheme="majorHAnsi"/>
          <w:spacing w:val="1"/>
          <w:sz w:val="20"/>
          <w:szCs w:val="20"/>
        </w:rPr>
        <w:t xml:space="preserve"> </w:t>
      </w:r>
      <w:r w:rsidRPr="000977F7">
        <w:rPr>
          <w:rFonts w:asciiTheme="majorHAnsi" w:hAnsiTheme="majorHAnsi"/>
          <w:sz w:val="20"/>
          <w:szCs w:val="20"/>
        </w:rPr>
        <w:t>виникає перевищення нормованих меж впливу на персонал підприємства, населення та навколишнє середовище.</w:t>
      </w:r>
      <w:r w:rsidRPr="000977F7">
        <w:rPr>
          <w:rFonts w:asciiTheme="majorHAnsi" w:hAnsiTheme="majorHAnsi"/>
          <w:spacing w:val="1"/>
          <w:sz w:val="20"/>
          <w:szCs w:val="20"/>
        </w:rPr>
        <w:t xml:space="preserve"> </w:t>
      </w:r>
      <w:r w:rsidRPr="000977F7">
        <w:rPr>
          <w:rFonts w:asciiTheme="majorHAnsi" w:hAnsiTheme="majorHAnsi"/>
          <w:sz w:val="20"/>
          <w:szCs w:val="20"/>
        </w:rPr>
        <w:t>Аварія</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характеризується</w:t>
      </w:r>
      <w:r w:rsidRPr="000977F7">
        <w:rPr>
          <w:rFonts w:asciiTheme="majorHAnsi" w:hAnsiTheme="majorHAnsi"/>
          <w:spacing w:val="1"/>
          <w:sz w:val="20"/>
          <w:szCs w:val="20"/>
        </w:rPr>
        <w:t xml:space="preserve"> </w:t>
      </w:r>
      <w:r w:rsidRPr="000977F7">
        <w:rPr>
          <w:rFonts w:asciiTheme="majorHAnsi" w:hAnsiTheme="majorHAnsi"/>
          <w:sz w:val="20"/>
          <w:szCs w:val="20"/>
        </w:rPr>
        <w:t>вихідною</w:t>
      </w:r>
      <w:r w:rsidRPr="000977F7">
        <w:rPr>
          <w:rFonts w:asciiTheme="majorHAnsi" w:hAnsiTheme="majorHAnsi"/>
          <w:spacing w:val="1"/>
          <w:sz w:val="20"/>
          <w:szCs w:val="20"/>
        </w:rPr>
        <w:t xml:space="preserve"> </w:t>
      </w:r>
      <w:r w:rsidRPr="000977F7">
        <w:rPr>
          <w:rFonts w:asciiTheme="majorHAnsi" w:hAnsiTheme="majorHAnsi"/>
          <w:sz w:val="20"/>
          <w:szCs w:val="20"/>
        </w:rPr>
        <w:t>подією,</w:t>
      </w:r>
      <w:r w:rsidRPr="000977F7">
        <w:rPr>
          <w:rFonts w:asciiTheme="majorHAnsi" w:hAnsiTheme="majorHAnsi"/>
          <w:spacing w:val="1"/>
          <w:sz w:val="20"/>
          <w:szCs w:val="20"/>
        </w:rPr>
        <w:t xml:space="preserve"> </w:t>
      </w:r>
      <w:r w:rsidRPr="000977F7">
        <w:rPr>
          <w:rFonts w:asciiTheme="majorHAnsi" w:hAnsiTheme="majorHAnsi"/>
          <w:sz w:val="20"/>
          <w:szCs w:val="20"/>
        </w:rPr>
        <w:t>шляхами протікання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наслідками</w:t>
      </w:r>
    </w:p>
    <w:p w14:paraId="004DDD4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r w:rsidRPr="000977F7">
        <w:rPr>
          <w:rFonts w:asciiTheme="majorHAnsi" w:hAnsiTheme="majorHAnsi"/>
          <w:i/>
          <w:spacing w:val="1"/>
          <w:sz w:val="20"/>
          <w:szCs w:val="20"/>
        </w:rPr>
        <w:t xml:space="preserve"> </w:t>
      </w:r>
      <w:r w:rsidRPr="000977F7">
        <w:rPr>
          <w:rFonts w:asciiTheme="majorHAnsi" w:hAnsiTheme="majorHAnsi"/>
          <w:b/>
          <w:sz w:val="20"/>
          <w:szCs w:val="20"/>
        </w:rPr>
        <w:t>АВТОКОЛИВАННЯ –</w:t>
      </w:r>
      <w:r w:rsidRPr="000977F7">
        <w:rPr>
          <w:rFonts w:asciiTheme="majorHAnsi" w:hAnsiTheme="majorHAnsi"/>
          <w:b/>
          <w:spacing w:val="-47"/>
          <w:sz w:val="20"/>
          <w:szCs w:val="20"/>
        </w:rPr>
        <w:t xml:space="preserve"> </w:t>
      </w:r>
      <w:r w:rsidRPr="000977F7">
        <w:rPr>
          <w:rFonts w:asciiTheme="majorHAnsi" w:hAnsiTheme="majorHAnsi"/>
          <w:sz w:val="20"/>
          <w:szCs w:val="20"/>
        </w:rPr>
        <w:t>AUTOOSILLATIONS</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462D89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Незгасаючий коливальний процес із постійними значеннями параметрів, який з’являється в системі керування</w:t>
      </w:r>
      <w:r w:rsidRPr="000977F7">
        <w:rPr>
          <w:rFonts w:asciiTheme="majorHAnsi" w:hAnsiTheme="majorHAnsi"/>
          <w:spacing w:val="-2"/>
          <w:sz w:val="20"/>
          <w:szCs w:val="20"/>
        </w:rPr>
        <w:t xml:space="preserve"> </w:t>
      </w:r>
      <w:r w:rsidRPr="000977F7">
        <w:rPr>
          <w:rFonts w:asciiTheme="majorHAnsi" w:hAnsiTheme="majorHAnsi"/>
          <w:sz w:val="20"/>
          <w:szCs w:val="20"/>
        </w:rPr>
        <w:t>без зовнішніх</w:t>
      </w:r>
      <w:r w:rsidRPr="000977F7">
        <w:rPr>
          <w:rFonts w:asciiTheme="majorHAnsi" w:hAnsiTheme="majorHAnsi"/>
          <w:spacing w:val="-1"/>
          <w:sz w:val="20"/>
          <w:szCs w:val="20"/>
        </w:rPr>
        <w:t xml:space="preserve"> </w:t>
      </w:r>
      <w:r w:rsidRPr="000977F7">
        <w:rPr>
          <w:rFonts w:asciiTheme="majorHAnsi" w:hAnsiTheme="majorHAnsi"/>
          <w:sz w:val="20"/>
          <w:szCs w:val="20"/>
        </w:rPr>
        <w:t>діянь</w:t>
      </w:r>
    </w:p>
    <w:p w14:paraId="5C13690E"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2"/>
          <w:sz w:val="20"/>
          <w:szCs w:val="20"/>
        </w:rPr>
        <w:t xml:space="preserve"> </w:t>
      </w:r>
      <w:r w:rsidRPr="000977F7">
        <w:rPr>
          <w:rFonts w:asciiTheme="majorHAnsi" w:hAnsiTheme="majorHAnsi"/>
          <w:i/>
          <w:iCs/>
          <w:sz w:val="20"/>
          <w:szCs w:val="20"/>
        </w:rPr>
        <w:t>3956 - 2000</w:t>
      </w:r>
    </w:p>
    <w:p w14:paraId="6FB22483" w14:textId="77777777" w:rsidR="0097612F" w:rsidRPr="000977F7" w:rsidRDefault="0097612F" w:rsidP="000977F7">
      <w:pPr>
        <w:pStyle w:val="7"/>
        <w:tabs>
          <w:tab w:val="left" w:pos="284"/>
          <w:tab w:val="left" w:pos="2848"/>
          <w:tab w:val="left" w:pos="5022"/>
        </w:tabs>
        <w:spacing w:before="0" w:line="240" w:lineRule="auto"/>
        <w:ind w:left="170"/>
        <w:mirrorIndents/>
        <w:jc w:val="both"/>
        <w:rPr>
          <w:b w:val="0"/>
          <w:color w:val="auto"/>
          <w:sz w:val="20"/>
          <w:szCs w:val="20"/>
        </w:rPr>
      </w:pPr>
      <w:r w:rsidRPr="000977F7">
        <w:rPr>
          <w:color w:val="auto"/>
          <w:sz w:val="20"/>
          <w:szCs w:val="20"/>
        </w:rPr>
        <w:t xml:space="preserve">АВТОМАТИЗАЦІЯ ВИРОБНИЦТВА </w:t>
      </w:r>
      <w:r w:rsidRPr="000977F7">
        <w:rPr>
          <w:b w:val="0"/>
          <w:color w:val="auto"/>
          <w:sz w:val="20"/>
          <w:szCs w:val="20"/>
        </w:rPr>
        <w:t>–</w:t>
      </w:r>
    </w:p>
    <w:p w14:paraId="202F9B0C"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Застосування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засобів</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дають</w:t>
      </w:r>
      <w:r w:rsidRPr="000977F7">
        <w:rPr>
          <w:rFonts w:asciiTheme="majorHAnsi" w:hAnsiTheme="majorHAnsi"/>
          <w:spacing w:val="1"/>
          <w:sz w:val="20"/>
          <w:szCs w:val="20"/>
        </w:rPr>
        <w:t xml:space="preserve"> </w:t>
      </w:r>
      <w:r w:rsidRPr="000977F7">
        <w:rPr>
          <w:rFonts w:asciiTheme="majorHAnsi" w:hAnsiTheme="majorHAnsi"/>
          <w:sz w:val="20"/>
          <w:szCs w:val="20"/>
        </w:rPr>
        <w:t>змогу</w:t>
      </w:r>
      <w:r w:rsidRPr="000977F7">
        <w:rPr>
          <w:rFonts w:asciiTheme="majorHAnsi" w:hAnsiTheme="majorHAnsi"/>
          <w:spacing w:val="-47"/>
          <w:sz w:val="20"/>
          <w:szCs w:val="20"/>
        </w:rPr>
        <w:t xml:space="preserve"> </w:t>
      </w:r>
      <w:r w:rsidRPr="000977F7">
        <w:rPr>
          <w:rFonts w:asciiTheme="majorHAnsi" w:hAnsiTheme="majorHAnsi"/>
          <w:sz w:val="20"/>
          <w:szCs w:val="20"/>
        </w:rPr>
        <w:t>здійснювати всі чи переважну частину операцій виробничого процесу без участі людини, за якою залишаються</w:t>
      </w:r>
      <w:r w:rsidRPr="000977F7">
        <w:rPr>
          <w:rFonts w:asciiTheme="majorHAnsi" w:hAnsiTheme="majorHAnsi"/>
          <w:spacing w:val="1"/>
          <w:sz w:val="20"/>
          <w:szCs w:val="20"/>
        </w:rPr>
        <w:t xml:space="preserve"> </w:t>
      </w:r>
      <w:r w:rsidRPr="000977F7">
        <w:rPr>
          <w:rFonts w:asciiTheme="majorHAnsi" w:hAnsiTheme="majorHAnsi"/>
          <w:sz w:val="20"/>
          <w:szCs w:val="20"/>
        </w:rPr>
        <w:t>функції</w:t>
      </w:r>
      <w:r w:rsidRPr="000977F7">
        <w:rPr>
          <w:rFonts w:asciiTheme="majorHAnsi" w:hAnsiTheme="majorHAnsi"/>
          <w:spacing w:val="1"/>
          <w:sz w:val="20"/>
          <w:szCs w:val="20"/>
        </w:rPr>
        <w:t xml:space="preserve"> </w:t>
      </w:r>
      <w:r w:rsidRPr="000977F7">
        <w:rPr>
          <w:rFonts w:asciiTheme="majorHAnsi" w:hAnsiTheme="majorHAnsi"/>
          <w:sz w:val="20"/>
          <w:szCs w:val="20"/>
        </w:rPr>
        <w:t>налагодження,</w:t>
      </w:r>
      <w:r w:rsidRPr="000977F7">
        <w:rPr>
          <w:rFonts w:asciiTheme="majorHAnsi" w:hAnsiTheme="majorHAnsi"/>
          <w:spacing w:val="1"/>
          <w:sz w:val="20"/>
          <w:szCs w:val="20"/>
        </w:rPr>
        <w:t xml:space="preserve"> </w:t>
      </w:r>
      <w:r w:rsidRPr="000977F7">
        <w:rPr>
          <w:rFonts w:asciiTheme="majorHAnsi" w:hAnsiTheme="majorHAnsi"/>
          <w:sz w:val="20"/>
          <w:szCs w:val="20"/>
        </w:rPr>
        <w:t>нагляду</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p>
    <w:p w14:paraId="5D5BCCBC"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2960 - 94</w:t>
      </w:r>
    </w:p>
    <w:p w14:paraId="25CA3D09"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АВТОМАТИЗАЦІЯ</w:t>
      </w:r>
      <w:r w:rsidRPr="000977F7">
        <w:rPr>
          <w:color w:val="auto"/>
          <w:spacing w:val="-5"/>
          <w:sz w:val="20"/>
          <w:szCs w:val="20"/>
        </w:rPr>
        <w:t xml:space="preserve"> </w:t>
      </w:r>
      <w:r w:rsidRPr="000977F7">
        <w:rPr>
          <w:color w:val="auto"/>
          <w:sz w:val="20"/>
          <w:szCs w:val="20"/>
        </w:rPr>
        <w:t>КЕРУВАННЯ</w:t>
      </w:r>
      <w:r w:rsidRPr="000977F7">
        <w:rPr>
          <w:color w:val="auto"/>
          <w:spacing w:val="-1"/>
          <w:sz w:val="20"/>
          <w:szCs w:val="20"/>
        </w:rPr>
        <w:t xml:space="preserve"> </w:t>
      </w:r>
      <w:r w:rsidRPr="000977F7">
        <w:rPr>
          <w:b w:val="0"/>
          <w:color w:val="auto"/>
          <w:sz w:val="20"/>
          <w:szCs w:val="20"/>
        </w:rPr>
        <w:t>–</w:t>
      </w:r>
    </w:p>
    <w:p w14:paraId="5A945BF5"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Застосування</w:t>
      </w:r>
      <w:r w:rsidRPr="000977F7">
        <w:rPr>
          <w:rFonts w:asciiTheme="majorHAnsi" w:hAnsiTheme="majorHAnsi"/>
          <w:spacing w:val="44"/>
          <w:sz w:val="20"/>
          <w:szCs w:val="20"/>
        </w:rPr>
        <w:t xml:space="preserve"> </w:t>
      </w:r>
      <w:r w:rsidRPr="000977F7">
        <w:rPr>
          <w:rFonts w:asciiTheme="majorHAnsi" w:hAnsiTheme="majorHAnsi"/>
          <w:sz w:val="20"/>
          <w:szCs w:val="20"/>
        </w:rPr>
        <w:t>автоматичних</w:t>
      </w:r>
      <w:r w:rsidRPr="000977F7">
        <w:rPr>
          <w:rFonts w:asciiTheme="majorHAnsi" w:hAnsiTheme="majorHAnsi"/>
          <w:spacing w:val="43"/>
          <w:sz w:val="20"/>
          <w:szCs w:val="20"/>
        </w:rPr>
        <w:t xml:space="preserve"> </w:t>
      </w:r>
      <w:r w:rsidRPr="000977F7">
        <w:rPr>
          <w:rFonts w:asciiTheme="majorHAnsi" w:hAnsiTheme="majorHAnsi"/>
          <w:sz w:val="20"/>
          <w:szCs w:val="20"/>
        </w:rPr>
        <w:t>пристроїв</w:t>
      </w:r>
      <w:r w:rsidRPr="000977F7">
        <w:rPr>
          <w:rFonts w:asciiTheme="majorHAnsi" w:hAnsiTheme="majorHAnsi"/>
          <w:spacing w:val="44"/>
          <w:sz w:val="20"/>
          <w:szCs w:val="20"/>
        </w:rPr>
        <w:t xml:space="preserve"> </w:t>
      </w:r>
      <w:r w:rsidRPr="000977F7">
        <w:rPr>
          <w:rFonts w:asciiTheme="majorHAnsi" w:hAnsiTheme="majorHAnsi"/>
          <w:sz w:val="20"/>
          <w:szCs w:val="20"/>
        </w:rPr>
        <w:t>і</w:t>
      </w:r>
      <w:r w:rsidRPr="000977F7">
        <w:rPr>
          <w:rFonts w:asciiTheme="majorHAnsi" w:hAnsiTheme="majorHAnsi"/>
          <w:spacing w:val="44"/>
          <w:sz w:val="20"/>
          <w:szCs w:val="20"/>
        </w:rPr>
        <w:t xml:space="preserve"> </w:t>
      </w:r>
      <w:r w:rsidRPr="000977F7">
        <w:rPr>
          <w:rFonts w:asciiTheme="majorHAnsi" w:hAnsiTheme="majorHAnsi"/>
          <w:sz w:val="20"/>
          <w:szCs w:val="20"/>
        </w:rPr>
        <w:t>технічних</w:t>
      </w:r>
      <w:r w:rsidRPr="000977F7">
        <w:rPr>
          <w:rFonts w:asciiTheme="majorHAnsi" w:hAnsiTheme="majorHAnsi"/>
          <w:spacing w:val="-47"/>
          <w:sz w:val="20"/>
          <w:szCs w:val="20"/>
        </w:rPr>
        <w:t xml:space="preserve"> </w:t>
      </w:r>
      <w:r w:rsidRPr="000977F7">
        <w:rPr>
          <w:rFonts w:asciiTheme="majorHAnsi" w:hAnsiTheme="majorHAnsi"/>
          <w:sz w:val="20"/>
          <w:szCs w:val="20"/>
        </w:rPr>
        <w:t>засобів,</w:t>
      </w:r>
      <w:r w:rsidRPr="000977F7">
        <w:rPr>
          <w:rFonts w:asciiTheme="majorHAnsi" w:hAnsiTheme="majorHAnsi"/>
          <w:spacing w:val="21"/>
          <w:sz w:val="20"/>
          <w:szCs w:val="20"/>
        </w:rPr>
        <w:t xml:space="preserve"> </w:t>
      </w:r>
      <w:r w:rsidRPr="000977F7">
        <w:rPr>
          <w:rFonts w:asciiTheme="majorHAnsi" w:hAnsiTheme="majorHAnsi"/>
          <w:sz w:val="20"/>
          <w:szCs w:val="20"/>
        </w:rPr>
        <w:t>обчислювальної</w:t>
      </w:r>
      <w:r w:rsidRPr="000977F7">
        <w:rPr>
          <w:rFonts w:asciiTheme="majorHAnsi" w:hAnsiTheme="majorHAnsi"/>
          <w:spacing w:val="21"/>
          <w:sz w:val="20"/>
          <w:szCs w:val="20"/>
        </w:rPr>
        <w:t xml:space="preserve"> </w:t>
      </w:r>
      <w:r w:rsidRPr="000977F7">
        <w:rPr>
          <w:rFonts w:asciiTheme="majorHAnsi" w:hAnsiTheme="majorHAnsi"/>
          <w:sz w:val="20"/>
          <w:szCs w:val="20"/>
        </w:rPr>
        <w:t>та</w:t>
      </w:r>
      <w:r w:rsidRPr="000977F7">
        <w:rPr>
          <w:rFonts w:asciiTheme="majorHAnsi" w:hAnsiTheme="majorHAnsi"/>
          <w:spacing w:val="26"/>
          <w:sz w:val="20"/>
          <w:szCs w:val="20"/>
        </w:rPr>
        <w:t xml:space="preserve"> </w:t>
      </w:r>
      <w:r w:rsidRPr="000977F7">
        <w:rPr>
          <w:rFonts w:asciiTheme="majorHAnsi" w:hAnsiTheme="majorHAnsi"/>
          <w:sz w:val="20"/>
          <w:szCs w:val="20"/>
        </w:rPr>
        <w:t>організаційної</w:t>
      </w:r>
      <w:r w:rsidRPr="000977F7">
        <w:rPr>
          <w:rFonts w:asciiTheme="majorHAnsi" w:hAnsiTheme="majorHAnsi"/>
          <w:spacing w:val="23"/>
          <w:sz w:val="20"/>
          <w:szCs w:val="20"/>
        </w:rPr>
        <w:t xml:space="preserve"> </w:t>
      </w:r>
      <w:r w:rsidRPr="000977F7">
        <w:rPr>
          <w:rFonts w:asciiTheme="majorHAnsi" w:hAnsiTheme="majorHAnsi"/>
          <w:sz w:val="20"/>
          <w:szCs w:val="20"/>
        </w:rPr>
        <w:t>техніки</w:t>
      </w:r>
      <w:r w:rsidRPr="000977F7">
        <w:rPr>
          <w:rFonts w:asciiTheme="majorHAnsi" w:hAnsiTheme="majorHAnsi"/>
          <w:spacing w:val="22"/>
          <w:sz w:val="20"/>
          <w:szCs w:val="20"/>
        </w:rPr>
        <w:t xml:space="preserve"> </w:t>
      </w:r>
      <w:r w:rsidRPr="000977F7">
        <w:rPr>
          <w:rFonts w:asciiTheme="majorHAnsi" w:hAnsiTheme="majorHAnsi"/>
          <w:sz w:val="20"/>
          <w:szCs w:val="20"/>
        </w:rPr>
        <w:t>на</w:t>
      </w:r>
      <w:r w:rsidRPr="000977F7">
        <w:rPr>
          <w:rFonts w:asciiTheme="majorHAnsi" w:hAnsiTheme="majorHAnsi"/>
          <w:spacing w:val="-47"/>
          <w:sz w:val="20"/>
          <w:szCs w:val="20"/>
        </w:rPr>
        <w:t xml:space="preserve"> </w:t>
      </w:r>
      <w:r w:rsidRPr="000977F7">
        <w:rPr>
          <w:rFonts w:asciiTheme="majorHAnsi" w:hAnsiTheme="majorHAnsi"/>
          <w:sz w:val="20"/>
          <w:szCs w:val="20"/>
        </w:rPr>
        <w:t>базі</w:t>
      </w:r>
      <w:r w:rsidRPr="000977F7">
        <w:rPr>
          <w:rFonts w:asciiTheme="majorHAnsi" w:hAnsiTheme="majorHAnsi"/>
          <w:spacing w:val="13"/>
          <w:sz w:val="20"/>
          <w:szCs w:val="20"/>
        </w:rPr>
        <w:t xml:space="preserve"> </w:t>
      </w:r>
      <w:r w:rsidRPr="000977F7">
        <w:rPr>
          <w:rFonts w:asciiTheme="majorHAnsi" w:hAnsiTheme="majorHAnsi"/>
          <w:sz w:val="20"/>
          <w:szCs w:val="20"/>
        </w:rPr>
        <w:t>широкого</w:t>
      </w:r>
      <w:r w:rsidRPr="000977F7">
        <w:rPr>
          <w:rFonts w:asciiTheme="majorHAnsi" w:hAnsiTheme="majorHAnsi"/>
          <w:spacing w:val="14"/>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2"/>
          <w:sz w:val="20"/>
          <w:szCs w:val="20"/>
        </w:rPr>
        <w:t xml:space="preserve"> </w:t>
      </w:r>
      <w:r w:rsidRPr="000977F7">
        <w:rPr>
          <w:rFonts w:asciiTheme="majorHAnsi" w:hAnsiTheme="majorHAnsi"/>
          <w:sz w:val="20"/>
          <w:szCs w:val="20"/>
        </w:rPr>
        <w:t>математичних</w:t>
      </w:r>
      <w:r w:rsidRPr="000977F7">
        <w:rPr>
          <w:rFonts w:asciiTheme="majorHAnsi" w:hAnsiTheme="majorHAnsi"/>
          <w:spacing w:val="12"/>
          <w:sz w:val="20"/>
          <w:szCs w:val="20"/>
        </w:rPr>
        <w:t xml:space="preserve"> </w:t>
      </w:r>
      <w:r w:rsidRPr="000977F7">
        <w:rPr>
          <w:rFonts w:asciiTheme="majorHAnsi" w:hAnsiTheme="majorHAnsi"/>
          <w:sz w:val="20"/>
          <w:szCs w:val="20"/>
        </w:rPr>
        <w:t>методів</w:t>
      </w:r>
      <w:r w:rsidRPr="000977F7">
        <w:rPr>
          <w:rFonts w:asciiTheme="majorHAnsi" w:hAnsiTheme="majorHAnsi"/>
          <w:spacing w:val="-47"/>
          <w:sz w:val="20"/>
          <w:szCs w:val="20"/>
        </w:rPr>
        <w:t xml:space="preserve"> </w:t>
      </w:r>
      <w:r w:rsidRPr="000977F7">
        <w:rPr>
          <w:rFonts w:asciiTheme="majorHAnsi" w:hAnsiTheme="majorHAnsi"/>
          <w:sz w:val="20"/>
          <w:szCs w:val="20"/>
        </w:rPr>
        <w:t>під час вирішення завдань керування виробництвом</w:t>
      </w:r>
      <w:r w:rsidRPr="000977F7">
        <w:rPr>
          <w:rFonts w:asciiTheme="majorHAnsi" w:hAnsiTheme="majorHAnsi"/>
          <w:spacing w:val="1"/>
          <w:sz w:val="20"/>
          <w:szCs w:val="20"/>
        </w:rPr>
        <w:t xml:space="preserve"> </w:t>
      </w:r>
    </w:p>
    <w:p w14:paraId="0898B01B"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2960 - 94</w:t>
      </w:r>
    </w:p>
    <w:p w14:paraId="64A8B71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АВТОМАТИЗОВАНА</w:t>
      </w:r>
      <w:r w:rsidRPr="000977F7">
        <w:rPr>
          <w:color w:val="auto"/>
          <w:spacing w:val="-5"/>
          <w:sz w:val="20"/>
          <w:szCs w:val="20"/>
        </w:rPr>
        <w:t xml:space="preserve"> </w:t>
      </w:r>
      <w:r w:rsidRPr="000977F7">
        <w:rPr>
          <w:color w:val="auto"/>
          <w:sz w:val="20"/>
          <w:szCs w:val="20"/>
        </w:rPr>
        <w:t>СИСТЕМА</w:t>
      </w:r>
      <w:r w:rsidRPr="000977F7">
        <w:rPr>
          <w:color w:val="auto"/>
          <w:spacing w:val="-4"/>
          <w:sz w:val="20"/>
          <w:szCs w:val="20"/>
        </w:rPr>
        <w:t xml:space="preserve"> </w:t>
      </w:r>
      <w:r w:rsidRPr="000977F7">
        <w:rPr>
          <w:color w:val="auto"/>
          <w:sz w:val="20"/>
          <w:szCs w:val="20"/>
        </w:rPr>
        <w:t>(АС) –</w:t>
      </w:r>
    </w:p>
    <w:p w14:paraId="378447BE" w14:textId="77777777" w:rsidR="0097612F" w:rsidRPr="000977F7" w:rsidRDefault="0097612F" w:rsidP="000977F7">
      <w:pPr>
        <w:pStyle w:val="af6"/>
        <w:tabs>
          <w:tab w:val="left" w:pos="284"/>
        </w:tabs>
        <w:spacing w:after="0"/>
        <w:ind w:left="170"/>
        <w:mirrorIndents/>
        <w:jc w:val="both"/>
        <w:rPr>
          <w:rFonts w:asciiTheme="majorHAnsi" w:hAnsiTheme="majorHAnsi"/>
          <w:spacing w:val="-3"/>
          <w:sz w:val="20"/>
          <w:szCs w:val="20"/>
        </w:rPr>
      </w:pPr>
      <w:r w:rsidRPr="000977F7">
        <w:rPr>
          <w:rFonts w:asciiTheme="majorHAnsi" w:hAnsiTheme="majorHAnsi"/>
          <w:spacing w:val="-3"/>
          <w:sz w:val="20"/>
          <w:szCs w:val="20"/>
        </w:rPr>
        <w:t>Організаційно-технічна</w:t>
      </w:r>
      <w:r w:rsidRPr="000977F7">
        <w:rPr>
          <w:rFonts w:asciiTheme="majorHAnsi" w:hAnsiTheme="majorHAnsi"/>
          <w:spacing w:val="-7"/>
          <w:sz w:val="20"/>
          <w:szCs w:val="20"/>
        </w:rPr>
        <w:t xml:space="preserve"> </w:t>
      </w:r>
      <w:r w:rsidRPr="000977F7">
        <w:rPr>
          <w:rFonts w:asciiTheme="majorHAnsi" w:hAnsiTheme="majorHAnsi"/>
          <w:spacing w:val="-2"/>
          <w:sz w:val="20"/>
          <w:szCs w:val="20"/>
        </w:rPr>
        <w:t>система,</w:t>
      </w:r>
      <w:r w:rsidRPr="000977F7">
        <w:rPr>
          <w:rFonts w:asciiTheme="majorHAnsi" w:hAnsiTheme="majorHAnsi"/>
          <w:spacing w:val="-6"/>
          <w:sz w:val="20"/>
          <w:szCs w:val="20"/>
        </w:rPr>
        <w:t xml:space="preserve"> </w:t>
      </w:r>
      <w:r w:rsidRPr="000977F7">
        <w:rPr>
          <w:rFonts w:asciiTheme="majorHAnsi" w:hAnsiTheme="majorHAnsi"/>
          <w:spacing w:val="-2"/>
          <w:sz w:val="20"/>
          <w:szCs w:val="20"/>
        </w:rPr>
        <w:t>що</w:t>
      </w:r>
      <w:r w:rsidRPr="000977F7">
        <w:rPr>
          <w:rFonts w:asciiTheme="majorHAnsi" w:hAnsiTheme="majorHAnsi"/>
          <w:spacing w:val="-6"/>
          <w:sz w:val="20"/>
          <w:szCs w:val="20"/>
        </w:rPr>
        <w:t xml:space="preserve"> </w:t>
      </w:r>
      <w:r w:rsidRPr="000977F7">
        <w:rPr>
          <w:rFonts w:asciiTheme="majorHAnsi" w:hAnsiTheme="majorHAnsi"/>
          <w:spacing w:val="-2"/>
          <w:sz w:val="20"/>
          <w:szCs w:val="20"/>
        </w:rPr>
        <w:t>складається</w:t>
      </w:r>
      <w:r w:rsidRPr="000977F7">
        <w:rPr>
          <w:rFonts w:asciiTheme="majorHAnsi" w:hAnsiTheme="majorHAnsi"/>
          <w:spacing w:val="-7"/>
          <w:sz w:val="20"/>
          <w:szCs w:val="20"/>
        </w:rPr>
        <w:t xml:space="preserve"> </w:t>
      </w:r>
      <w:r w:rsidRPr="000977F7">
        <w:rPr>
          <w:rFonts w:asciiTheme="majorHAnsi" w:hAnsiTheme="majorHAnsi"/>
          <w:spacing w:val="-2"/>
          <w:sz w:val="20"/>
          <w:szCs w:val="20"/>
        </w:rPr>
        <w:t>із</w:t>
      </w:r>
      <w:r w:rsidRPr="000977F7">
        <w:rPr>
          <w:rFonts w:asciiTheme="majorHAnsi" w:hAnsiTheme="majorHAnsi"/>
          <w:spacing w:val="-6"/>
          <w:sz w:val="20"/>
          <w:szCs w:val="20"/>
        </w:rPr>
        <w:t xml:space="preserve"> </w:t>
      </w:r>
      <w:r w:rsidRPr="000977F7">
        <w:rPr>
          <w:rFonts w:asciiTheme="majorHAnsi" w:hAnsiTheme="majorHAnsi"/>
          <w:spacing w:val="-2"/>
          <w:sz w:val="20"/>
          <w:szCs w:val="20"/>
        </w:rPr>
        <w:t>засо</w:t>
      </w:r>
      <w:r w:rsidRPr="000977F7">
        <w:rPr>
          <w:rFonts w:asciiTheme="majorHAnsi" w:hAnsiTheme="majorHAnsi"/>
          <w:spacing w:val="-47"/>
          <w:sz w:val="20"/>
          <w:szCs w:val="20"/>
        </w:rPr>
        <w:t xml:space="preserve"> </w:t>
      </w:r>
      <w:r w:rsidRPr="000977F7">
        <w:rPr>
          <w:rFonts w:asciiTheme="majorHAnsi" w:hAnsiTheme="majorHAnsi"/>
          <w:spacing w:val="-3"/>
          <w:sz w:val="20"/>
          <w:szCs w:val="20"/>
        </w:rPr>
        <w:t>бів</w:t>
      </w:r>
      <w:r w:rsidRPr="000977F7">
        <w:rPr>
          <w:rFonts w:asciiTheme="majorHAnsi" w:hAnsiTheme="majorHAnsi"/>
          <w:spacing w:val="-8"/>
          <w:sz w:val="20"/>
          <w:szCs w:val="20"/>
        </w:rPr>
        <w:t xml:space="preserve"> </w:t>
      </w:r>
      <w:r w:rsidRPr="000977F7">
        <w:rPr>
          <w:rFonts w:asciiTheme="majorHAnsi" w:hAnsiTheme="majorHAnsi"/>
          <w:spacing w:val="-3"/>
          <w:sz w:val="20"/>
          <w:szCs w:val="20"/>
        </w:rPr>
        <w:t>автоматизації</w:t>
      </w:r>
      <w:r w:rsidRPr="000977F7">
        <w:rPr>
          <w:rFonts w:asciiTheme="majorHAnsi" w:hAnsiTheme="majorHAnsi"/>
          <w:spacing w:val="-8"/>
          <w:sz w:val="20"/>
          <w:szCs w:val="20"/>
        </w:rPr>
        <w:t xml:space="preserve"> </w:t>
      </w:r>
      <w:r w:rsidRPr="000977F7">
        <w:rPr>
          <w:rFonts w:asciiTheme="majorHAnsi" w:hAnsiTheme="majorHAnsi"/>
          <w:spacing w:val="-3"/>
          <w:sz w:val="20"/>
          <w:szCs w:val="20"/>
        </w:rPr>
        <w:t>певного</w:t>
      </w:r>
      <w:r w:rsidRPr="000977F7">
        <w:rPr>
          <w:rFonts w:asciiTheme="majorHAnsi" w:hAnsiTheme="majorHAnsi"/>
          <w:spacing w:val="-5"/>
          <w:sz w:val="20"/>
          <w:szCs w:val="20"/>
        </w:rPr>
        <w:t xml:space="preserve"> </w:t>
      </w:r>
      <w:r w:rsidRPr="000977F7">
        <w:rPr>
          <w:rFonts w:asciiTheme="majorHAnsi" w:hAnsiTheme="majorHAnsi"/>
          <w:spacing w:val="-3"/>
          <w:sz w:val="20"/>
          <w:szCs w:val="20"/>
        </w:rPr>
        <w:t>виду</w:t>
      </w:r>
      <w:r w:rsidRPr="000977F7">
        <w:rPr>
          <w:rFonts w:asciiTheme="majorHAnsi" w:hAnsiTheme="majorHAnsi"/>
          <w:spacing w:val="-9"/>
          <w:sz w:val="20"/>
          <w:szCs w:val="20"/>
        </w:rPr>
        <w:t xml:space="preserve"> </w:t>
      </w:r>
      <w:r w:rsidRPr="000977F7">
        <w:rPr>
          <w:rFonts w:asciiTheme="majorHAnsi" w:hAnsiTheme="majorHAnsi"/>
          <w:spacing w:val="-3"/>
          <w:sz w:val="20"/>
          <w:szCs w:val="20"/>
        </w:rPr>
        <w:t>чи</w:t>
      </w:r>
      <w:r w:rsidRPr="000977F7">
        <w:rPr>
          <w:rFonts w:asciiTheme="majorHAnsi" w:hAnsiTheme="majorHAnsi"/>
          <w:spacing w:val="-8"/>
          <w:sz w:val="20"/>
          <w:szCs w:val="20"/>
        </w:rPr>
        <w:t xml:space="preserve"> </w:t>
      </w:r>
      <w:r w:rsidRPr="000977F7">
        <w:rPr>
          <w:rFonts w:asciiTheme="majorHAnsi" w:hAnsiTheme="majorHAnsi"/>
          <w:spacing w:val="-3"/>
          <w:sz w:val="20"/>
          <w:szCs w:val="20"/>
        </w:rPr>
        <w:t>кількох</w:t>
      </w:r>
      <w:r w:rsidRPr="000977F7">
        <w:rPr>
          <w:rFonts w:asciiTheme="majorHAnsi" w:hAnsiTheme="majorHAnsi"/>
          <w:spacing w:val="-6"/>
          <w:sz w:val="20"/>
          <w:szCs w:val="20"/>
        </w:rPr>
        <w:t xml:space="preserve"> </w:t>
      </w:r>
      <w:r w:rsidRPr="000977F7">
        <w:rPr>
          <w:rFonts w:asciiTheme="majorHAnsi" w:hAnsiTheme="majorHAnsi"/>
          <w:spacing w:val="-3"/>
          <w:sz w:val="20"/>
          <w:szCs w:val="20"/>
        </w:rPr>
        <w:t>видів</w:t>
      </w:r>
      <w:r w:rsidRPr="000977F7">
        <w:rPr>
          <w:rFonts w:asciiTheme="majorHAnsi" w:hAnsiTheme="majorHAnsi"/>
          <w:spacing w:val="-8"/>
          <w:sz w:val="20"/>
          <w:szCs w:val="20"/>
        </w:rPr>
        <w:t xml:space="preserve"> </w:t>
      </w:r>
      <w:r w:rsidRPr="000977F7">
        <w:rPr>
          <w:rFonts w:asciiTheme="majorHAnsi" w:hAnsiTheme="majorHAnsi"/>
          <w:spacing w:val="-3"/>
          <w:sz w:val="20"/>
          <w:szCs w:val="20"/>
        </w:rPr>
        <w:t>діяльно</w:t>
      </w:r>
      <w:r w:rsidRPr="000977F7">
        <w:rPr>
          <w:rFonts w:asciiTheme="majorHAnsi" w:hAnsiTheme="majorHAnsi"/>
          <w:spacing w:val="-47"/>
          <w:sz w:val="20"/>
          <w:szCs w:val="20"/>
        </w:rPr>
        <w:t xml:space="preserve"> </w:t>
      </w:r>
      <w:r w:rsidRPr="000977F7">
        <w:rPr>
          <w:rFonts w:asciiTheme="majorHAnsi" w:hAnsiTheme="majorHAnsi"/>
          <w:spacing w:val="-4"/>
          <w:sz w:val="20"/>
          <w:szCs w:val="20"/>
        </w:rPr>
        <w:t>сті людей та персоналу, що здійснює цю діяльність</w:t>
      </w:r>
      <w:r w:rsidRPr="000977F7">
        <w:rPr>
          <w:rFonts w:asciiTheme="majorHAnsi" w:hAnsiTheme="majorHAnsi"/>
          <w:spacing w:val="-3"/>
          <w:sz w:val="20"/>
          <w:szCs w:val="20"/>
        </w:rPr>
        <w:t xml:space="preserve"> </w:t>
      </w:r>
    </w:p>
    <w:p w14:paraId="68C116D1"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2226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 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295451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АВТОМАТИЗОВАНА</w:t>
      </w:r>
      <w:r w:rsidRPr="000977F7">
        <w:rPr>
          <w:color w:val="auto"/>
          <w:spacing w:val="-11"/>
          <w:sz w:val="20"/>
          <w:szCs w:val="20"/>
        </w:rPr>
        <w:t xml:space="preserve"> </w:t>
      </w:r>
      <w:r w:rsidRPr="000977F7">
        <w:rPr>
          <w:color w:val="auto"/>
          <w:sz w:val="20"/>
          <w:szCs w:val="20"/>
        </w:rPr>
        <w:t>СИСТЕМА</w:t>
      </w:r>
      <w:r w:rsidRPr="000977F7">
        <w:rPr>
          <w:color w:val="auto"/>
          <w:spacing w:val="-47"/>
          <w:sz w:val="20"/>
          <w:szCs w:val="20"/>
        </w:rPr>
        <w:t xml:space="preserve"> </w:t>
      </w:r>
      <w:r w:rsidRPr="000977F7">
        <w:rPr>
          <w:color w:val="auto"/>
          <w:sz w:val="20"/>
          <w:szCs w:val="20"/>
        </w:rPr>
        <w:t>КЕРУВАННЯ</w:t>
      </w:r>
      <w:r w:rsidRPr="000977F7">
        <w:rPr>
          <w:color w:val="auto"/>
          <w:spacing w:val="-1"/>
          <w:sz w:val="20"/>
          <w:szCs w:val="20"/>
        </w:rPr>
        <w:t xml:space="preserve"> </w:t>
      </w:r>
      <w:r w:rsidRPr="000977F7">
        <w:rPr>
          <w:color w:val="auto"/>
          <w:sz w:val="20"/>
          <w:szCs w:val="20"/>
        </w:rPr>
        <w:t>(АСК)</w:t>
      </w:r>
      <w:r w:rsidRPr="000977F7">
        <w:rPr>
          <w:color w:val="auto"/>
          <w:spacing w:val="1"/>
          <w:sz w:val="20"/>
          <w:szCs w:val="20"/>
        </w:rPr>
        <w:t xml:space="preserve"> </w:t>
      </w:r>
      <w:r w:rsidRPr="000977F7">
        <w:rPr>
          <w:color w:val="auto"/>
          <w:sz w:val="20"/>
          <w:szCs w:val="20"/>
        </w:rPr>
        <w:t>–</w:t>
      </w:r>
    </w:p>
    <w:p w14:paraId="438946A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Автоматизована система, призначена</w:t>
      </w:r>
      <w:r w:rsidRPr="000977F7">
        <w:rPr>
          <w:rFonts w:asciiTheme="majorHAnsi" w:hAnsiTheme="majorHAnsi"/>
          <w:spacing w:val="1"/>
          <w:sz w:val="20"/>
          <w:szCs w:val="20"/>
        </w:rPr>
        <w:t xml:space="preserve"> </w:t>
      </w:r>
      <w:r w:rsidRPr="000977F7">
        <w:rPr>
          <w:rFonts w:asciiTheme="majorHAnsi" w:hAnsiTheme="majorHAnsi"/>
          <w:sz w:val="20"/>
          <w:szCs w:val="20"/>
        </w:rPr>
        <w:t>для автоматизації</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r w:rsidRPr="000977F7">
        <w:rPr>
          <w:rFonts w:asciiTheme="majorHAnsi" w:hAnsiTheme="majorHAnsi"/>
          <w:spacing w:val="1"/>
          <w:sz w:val="20"/>
          <w:szCs w:val="20"/>
        </w:rPr>
        <w:t xml:space="preserve"> </w:t>
      </w:r>
      <w:r w:rsidRPr="000977F7">
        <w:rPr>
          <w:rFonts w:asciiTheme="majorHAnsi" w:hAnsiTheme="majorHAnsi"/>
          <w:sz w:val="20"/>
          <w:szCs w:val="20"/>
        </w:rPr>
        <w:t>збирання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пересилання</w:t>
      </w:r>
      <w:r w:rsidRPr="000977F7">
        <w:rPr>
          <w:rFonts w:asciiTheme="majorHAnsi" w:hAnsiTheme="majorHAnsi"/>
          <w:spacing w:val="50"/>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1"/>
          <w:sz w:val="20"/>
          <w:szCs w:val="20"/>
        </w:rPr>
        <w:t xml:space="preserve"> </w:t>
      </w:r>
      <w:r w:rsidRPr="000977F7">
        <w:rPr>
          <w:rFonts w:asciiTheme="majorHAnsi" w:hAnsiTheme="majorHAnsi"/>
          <w:sz w:val="20"/>
          <w:szCs w:val="20"/>
        </w:rPr>
        <w:t>про об’єкт керування, її перероблення та видачі керівних</w:t>
      </w:r>
      <w:r w:rsidRPr="000977F7">
        <w:rPr>
          <w:rFonts w:asciiTheme="majorHAnsi" w:hAnsiTheme="majorHAnsi"/>
          <w:spacing w:val="-2"/>
          <w:sz w:val="20"/>
          <w:szCs w:val="20"/>
        </w:rPr>
        <w:t xml:space="preserve"> </w:t>
      </w:r>
      <w:r w:rsidRPr="000977F7">
        <w:rPr>
          <w:rFonts w:asciiTheme="majorHAnsi" w:hAnsiTheme="majorHAnsi"/>
          <w:sz w:val="20"/>
          <w:szCs w:val="20"/>
        </w:rPr>
        <w:t>дій</w:t>
      </w:r>
      <w:r w:rsidRPr="000977F7">
        <w:rPr>
          <w:rFonts w:asciiTheme="majorHAnsi" w:hAnsiTheme="majorHAnsi"/>
          <w:spacing w:val="1"/>
          <w:sz w:val="20"/>
          <w:szCs w:val="20"/>
        </w:rPr>
        <w:t xml:space="preserve"> </w:t>
      </w:r>
      <w:r w:rsidRPr="000977F7">
        <w:rPr>
          <w:rFonts w:asciiTheme="majorHAnsi" w:hAnsiTheme="majorHAnsi"/>
          <w:sz w:val="20"/>
          <w:szCs w:val="20"/>
        </w:rPr>
        <w:t>на об’єкт</w:t>
      </w:r>
      <w:r w:rsidRPr="000977F7">
        <w:rPr>
          <w:rFonts w:asciiTheme="majorHAnsi" w:hAnsiTheme="majorHAnsi"/>
          <w:spacing w:val="-2"/>
          <w:sz w:val="20"/>
          <w:szCs w:val="20"/>
        </w:rPr>
        <w:t xml:space="preserve"> </w:t>
      </w:r>
      <w:r w:rsidRPr="000977F7">
        <w:rPr>
          <w:rFonts w:asciiTheme="majorHAnsi" w:hAnsiTheme="majorHAnsi"/>
          <w:sz w:val="20"/>
          <w:szCs w:val="20"/>
        </w:rPr>
        <w:t>керування</w:t>
      </w:r>
    </w:p>
    <w:p w14:paraId="046905D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2226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 ;</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2960 - 94</w:t>
      </w:r>
    </w:p>
    <w:p w14:paraId="4C128670"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АВТОМАТИЗОВАНА</w:t>
      </w:r>
      <w:r w:rsidRPr="000977F7">
        <w:rPr>
          <w:color w:val="auto"/>
          <w:spacing w:val="-10"/>
          <w:sz w:val="20"/>
          <w:szCs w:val="20"/>
        </w:rPr>
        <w:t xml:space="preserve"> </w:t>
      </w:r>
      <w:r w:rsidRPr="000977F7">
        <w:rPr>
          <w:color w:val="auto"/>
          <w:sz w:val="20"/>
          <w:szCs w:val="20"/>
        </w:rPr>
        <w:t>СИСТЕМА</w:t>
      </w:r>
      <w:r w:rsidRPr="000977F7">
        <w:rPr>
          <w:color w:val="auto"/>
          <w:spacing w:val="-9"/>
          <w:sz w:val="20"/>
          <w:szCs w:val="20"/>
        </w:rPr>
        <w:t xml:space="preserve"> </w:t>
      </w:r>
      <w:r w:rsidRPr="000977F7">
        <w:rPr>
          <w:color w:val="auto"/>
          <w:sz w:val="20"/>
          <w:szCs w:val="20"/>
        </w:rPr>
        <w:t>КЕРУВАННЯ</w:t>
      </w:r>
      <w:r w:rsidRPr="000977F7">
        <w:rPr>
          <w:color w:val="auto"/>
          <w:spacing w:val="-47"/>
          <w:sz w:val="20"/>
          <w:szCs w:val="20"/>
        </w:rPr>
        <w:t xml:space="preserve"> </w:t>
      </w:r>
      <w:r w:rsidRPr="000977F7">
        <w:rPr>
          <w:color w:val="auto"/>
          <w:sz w:val="20"/>
          <w:szCs w:val="20"/>
        </w:rPr>
        <w:t>ПІДПРИЄМСТВОМ</w:t>
      </w:r>
      <w:r w:rsidRPr="000977F7">
        <w:rPr>
          <w:color w:val="auto"/>
          <w:spacing w:val="3"/>
          <w:sz w:val="20"/>
          <w:szCs w:val="20"/>
        </w:rPr>
        <w:t xml:space="preserve"> </w:t>
      </w:r>
      <w:r w:rsidRPr="000977F7">
        <w:rPr>
          <w:color w:val="auto"/>
          <w:sz w:val="20"/>
          <w:szCs w:val="20"/>
        </w:rPr>
        <w:t>(АСКП)</w:t>
      </w:r>
      <w:r w:rsidRPr="000977F7">
        <w:rPr>
          <w:color w:val="auto"/>
          <w:spacing w:val="3"/>
          <w:sz w:val="20"/>
          <w:szCs w:val="20"/>
        </w:rPr>
        <w:t xml:space="preserve"> </w:t>
      </w:r>
      <w:r w:rsidRPr="000977F7">
        <w:rPr>
          <w:b w:val="0"/>
          <w:color w:val="auto"/>
          <w:sz w:val="20"/>
          <w:szCs w:val="20"/>
        </w:rPr>
        <w:t>–</w:t>
      </w:r>
    </w:p>
    <w:p w14:paraId="7DBC556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Інтегрована автоматизована система, призначена для</w:t>
      </w:r>
      <w:r w:rsidRPr="000977F7">
        <w:rPr>
          <w:rFonts w:asciiTheme="majorHAnsi" w:hAnsiTheme="majorHAnsi"/>
          <w:spacing w:val="1"/>
          <w:sz w:val="20"/>
          <w:szCs w:val="20"/>
        </w:rPr>
        <w:t xml:space="preserve"> </w:t>
      </w:r>
      <w:r w:rsidRPr="000977F7">
        <w:rPr>
          <w:rFonts w:asciiTheme="majorHAnsi" w:hAnsiTheme="majorHAnsi"/>
          <w:sz w:val="20"/>
          <w:szCs w:val="20"/>
        </w:rPr>
        <w:t>ефективного</w:t>
      </w:r>
      <w:r w:rsidRPr="000977F7">
        <w:rPr>
          <w:rFonts w:asciiTheme="majorHAnsi" w:hAnsiTheme="majorHAnsi"/>
          <w:spacing w:val="1"/>
          <w:sz w:val="20"/>
          <w:szCs w:val="20"/>
        </w:rPr>
        <w:t xml:space="preserve"> </w:t>
      </w:r>
      <w:r w:rsidRPr="000977F7">
        <w:rPr>
          <w:rFonts w:asciiTheme="majorHAnsi" w:hAnsiTheme="majorHAnsi"/>
          <w:sz w:val="20"/>
          <w:szCs w:val="20"/>
        </w:rPr>
        <w:t>керування виробничо-господарчою діяльністю</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w:t>
      </w:r>
    </w:p>
    <w:p w14:paraId="3D24F44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2226 - 94;</w:t>
      </w:r>
      <w:r w:rsidRPr="000977F7">
        <w:rPr>
          <w:rFonts w:asciiTheme="majorHAnsi" w:hAnsiTheme="majorHAnsi"/>
          <w:i/>
          <w:spacing w:val="49"/>
          <w:sz w:val="20"/>
          <w:szCs w:val="20"/>
        </w:rPr>
        <w:t xml:space="preserve"> </w:t>
      </w:r>
      <w:r w:rsidRPr="000977F7">
        <w:rPr>
          <w:rFonts w:asciiTheme="majorHAnsi" w:hAnsiTheme="majorHAnsi"/>
          <w:i/>
          <w:sz w:val="20"/>
          <w:szCs w:val="20"/>
        </w:rPr>
        <w:t>ДСТУ2960 - 94</w:t>
      </w:r>
    </w:p>
    <w:p w14:paraId="4DBD54D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АВТОМАТИЗОВАНИЙ</w:t>
      </w:r>
      <w:r w:rsidRPr="000977F7">
        <w:rPr>
          <w:color w:val="auto"/>
          <w:spacing w:val="-9"/>
          <w:sz w:val="20"/>
          <w:szCs w:val="20"/>
        </w:rPr>
        <w:t xml:space="preserve"> </w:t>
      </w:r>
      <w:r w:rsidRPr="000977F7">
        <w:rPr>
          <w:color w:val="auto"/>
          <w:sz w:val="20"/>
          <w:szCs w:val="20"/>
        </w:rPr>
        <w:t>ЗАСІБ</w:t>
      </w:r>
      <w:r w:rsidRPr="000977F7">
        <w:rPr>
          <w:color w:val="auto"/>
          <w:spacing w:val="-7"/>
          <w:sz w:val="20"/>
          <w:szCs w:val="20"/>
        </w:rPr>
        <w:t xml:space="preserve"> </w:t>
      </w:r>
      <w:r w:rsidRPr="000977F7">
        <w:rPr>
          <w:color w:val="auto"/>
          <w:sz w:val="20"/>
          <w:szCs w:val="20"/>
        </w:rPr>
        <w:t>ТЕХНІЧНОГО</w:t>
      </w:r>
    </w:p>
    <w:p w14:paraId="736C8349"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ДІАГНОСТУВАННЯ (КОНТРОЛЮ ТЕХНІЧНО</w:t>
      </w:r>
      <w:r w:rsidRPr="000977F7">
        <w:rPr>
          <w:rFonts w:asciiTheme="majorHAnsi" w:hAnsiTheme="majorHAnsi"/>
          <w:b/>
          <w:spacing w:val="-47"/>
          <w:sz w:val="20"/>
          <w:szCs w:val="20"/>
        </w:rPr>
        <w:t xml:space="preserve"> </w:t>
      </w:r>
      <w:r w:rsidRPr="000977F7">
        <w:rPr>
          <w:rFonts w:asciiTheme="majorHAnsi" w:hAnsiTheme="majorHAnsi"/>
          <w:b/>
          <w:sz w:val="20"/>
          <w:szCs w:val="20"/>
        </w:rPr>
        <w:t>ГО СТАНУ)</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24F576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COMPUTER</w:t>
      </w:r>
      <w:r w:rsidRPr="000977F7">
        <w:rPr>
          <w:rFonts w:asciiTheme="majorHAnsi" w:hAnsiTheme="majorHAnsi"/>
          <w:spacing w:val="-3"/>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AIDED</w:t>
      </w:r>
      <w:r w:rsidRPr="000977F7">
        <w:rPr>
          <w:rFonts w:asciiTheme="majorHAnsi" w:hAnsiTheme="majorHAnsi"/>
          <w:spacing w:val="-3"/>
          <w:sz w:val="20"/>
          <w:szCs w:val="20"/>
        </w:rPr>
        <w:t xml:space="preserve"> </w:t>
      </w:r>
      <w:r w:rsidRPr="000977F7">
        <w:rPr>
          <w:rFonts w:asciiTheme="majorHAnsi" w:hAnsiTheme="majorHAnsi"/>
          <w:sz w:val="20"/>
          <w:szCs w:val="20"/>
        </w:rPr>
        <w:t>TEST</w:t>
      </w:r>
      <w:r w:rsidRPr="000977F7">
        <w:rPr>
          <w:rFonts w:asciiTheme="majorHAnsi" w:hAnsiTheme="majorHAnsi"/>
          <w:spacing w:val="-2"/>
          <w:sz w:val="20"/>
          <w:szCs w:val="20"/>
        </w:rPr>
        <w:t xml:space="preserve"> </w:t>
      </w:r>
      <w:r w:rsidRPr="000977F7">
        <w:rPr>
          <w:rFonts w:asciiTheme="majorHAnsi" w:hAnsiTheme="majorHAnsi"/>
          <w:sz w:val="20"/>
          <w:szCs w:val="20"/>
        </w:rPr>
        <w:t>EQUIPMENT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77DAF32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Засіб</w:t>
      </w:r>
      <w:r w:rsidRPr="000977F7">
        <w:rPr>
          <w:rFonts w:asciiTheme="majorHAnsi" w:hAnsiTheme="majorHAnsi"/>
          <w:spacing w:val="1"/>
          <w:sz w:val="20"/>
          <w:szCs w:val="20"/>
        </w:rPr>
        <w:t xml:space="preserve"> </w:t>
      </w:r>
      <w:r w:rsidRPr="000977F7">
        <w:rPr>
          <w:rFonts w:asciiTheme="majorHAnsi" w:hAnsiTheme="majorHAnsi"/>
          <w:sz w:val="20"/>
          <w:szCs w:val="20"/>
        </w:rPr>
        <w:t>діагностування</w:t>
      </w:r>
      <w:r w:rsidRPr="000977F7">
        <w:rPr>
          <w:rFonts w:asciiTheme="majorHAnsi" w:hAnsiTheme="majorHAnsi"/>
          <w:spacing w:val="1"/>
          <w:sz w:val="20"/>
          <w:szCs w:val="20"/>
        </w:rPr>
        <w:t xml:space="preserve"> </w:t>
      </w:r>
      <w:r w:rsidRPr="000977F7">
        <w:rPr>
          <w:rFonts w:asciiTheme="majorHAnsi" w:hAnsiTheme="majorHAnsi"/>
          <w:sz w:val="20"/>
          <w:szCs w:val="20"/>
        </w:rPr>
        <w:t>(контролю), що</w:t>
      </w:r>
      <w:r w:rsidRPr="000977F7">
        <w:rPr>
          <w:rFonts w:asciiTheme="majorHAnsi" w:hAnsiTheme="majorHAnsi"/>
          <w:spacing w:val="1"/>
          <w:sz w:val="20"/>
          <w:szCs w:val="20"/>
        </w:rPr>
        <w:t xml:space="preserve"> </w:t>
      </w:r>
      <w:r w:rsidRPr="000977F7">
        <w:rPr>
          <w:rFonts w:asciiTheme="majorHAnsi" w:hAnsiTheme="majorHAnsi"/>
          <w:sz w:val="20"/>
          <w:szCs w:val="20"/>
        </w:rPr>
        <w:t>функціонує</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частковою</w:t>
      </w:r>
      <w:r w:rsidRPr="000977F7">
        <w:rPr>
          <w:rFonts w:asciiTheme="majorHAnsi" w:hAnsiTheme="majorHAnsi"/>
          <w:spacing w:val="1"/>
          <w:sz w:val="20"/>
          <w:szCs w:val="20"/>
        </w:rPr>
        <w:t xml:space="preserve"> </w:t>
      </w:r>
      <w:r w:rsidRPr="000977F7">
        <w:rPr>
          <w:rFonts w:asciiTheme="majorHAnsi" w:hAnsiTheme="majorHAnsi"/>
          <w:sz w:val="20"/>
          <w:szCs w:val="20"/>
        </w:rPr>
        <w:t>участю оператора</w:t>
      </w:r>
    </w:p>
    <w:p w14:paraId="25B016B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2389 - 94</w:t>
      </w:r>
    </w:p>
    <w:p w14:paraId="6F64064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АВТОМАТИЗОВАНИЙ</w:t>
      </w:r>
      <w:r w:rsidRPr="000977F7">
        <w:rPr>
          <w:color w:val="auto"/>
          <w:spacing w:val="-8"/>
          <w:sz w:val="20"/>
          <w:szCs w:val="20"/>
        </w:rPr>
        <w:t xml:space="preserve"> </w:t>
      </w:r>
      <w:r w:rsidRPr="000977F7">
        <w:rPr>
          <w:color w:val="auto"/>
          <w:sz w:val="20"/>
          <w:szCs w:val="20"/>
        </w:rPr>
        <w:t>КОНТРОЛЬ-</w:t>
      </w:r>
    </w:p>
    <w:p w14:paraId="6B51BA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4"/>
          <w:sz w:val="20"/>
          <w:szCs w:val="20"/>
        </w:rPr>
        <w:t>Контроль,</w:t>
      </w:r>
      <w:r w:rsidRPr="000977F7">
        <w:rPr>
          <w:rFonts w:asciiTheme="majorHAnsi" w:hAnsiTheme="majorHAnsi"/>
          <w:spacing w:val="-7"/>
          <w:sz w:val="20"/>
          <w:szCs w:val="20"/>
        </w:rPr>
        <w:t xml:space="preserve"> </w:t>
      </w:r>
      <w:r w:rsidRPr="000977F7">
        <w:rPr>
          <w:rFonts w:asciiTheme="majorHAnsi" w:hAnsiTheme="majorHAnsi"/>
          <w:spacing w:val="-4"/>
          <w:sz w:val="20"/>
          <w:szCs w:val="20"/>
        </w:rPr>
        <w:t>що</w:t>
      </w:r>
      <w:r w:rsidRPr="000977F7">
        <w:rPr>
          <w:rFonts w:asciiTheme="majorHAnsi" w:hAnsiTheme="majorHAnsi"/>
          <w:spacing w:val="-8"/>
          <w:sz w:val="20"/>
          <w:szCs w:val="20"/>
        </w:rPr>
        <w:t xml:space="preserve"> </w:t>
      </w:r>
      <w:r w:rsidRPr="000977F7">
        <w:rPr>
          <w:rFonts w:asciiTheme="majorHAnsi" w:hAnsiTheme="majorHAnsi"/>
          <w:spacing w:val="-4"/>
          <w:sz w:val="20"/>
          <w:szCs w:val="20"/>
        </w:rPr>
        <w:t>здійснюється</w:t>
      </w:r>
      <w:r w:rsidRPr="000977F7">
        <w:rPr>
          <w:rFonts w:asciiTheme="majorHAnsi" w:hAnsiTheme="majorHAnsi"/>
          <w:spacing w:val="-8"/>
          <w:sz w:val="20"/>
          <w:szCs w:val="20"/>
        </w:rPr>
        <w:t xml:space="preserve"> </w:t>
      </w:r>
      <w:r w:rsidRPr="000977F7">
        <w:rPr>
          <w:rFonts w:asciiTheme="majorHAnsi" w:hAnsiTheme="majorHAnsi"/>
          <w:spacing w:val="-4"/>
          <w:sz w:val="20"/>
          <w:szCs w:val="20"/>
        </w:rPr>
        <w:t>з</w:t>
      </w:r>
      <w:r w:rsidRPr="000977F7">
        <w:rPr>
          <w:rFonts w:asciiTheme="majorHAnsi" w:hAnsiTheme="majorHAnsi"/>
          <w:spacing w:val="-6"/>
          <w:sz w:val="20"/>
          <w:szCs w:val="20"/>
        </w:rPr>
        <w:t xml:space="preserve"> </w:t>
      </w:r>
      <w:r w:rsidRPr="000977F7">
        <w:rPr>
          <w:rFonts w:asciiTheme="majorHAnsi" w:hAnsiTheme="majorHAnsi"/>
          <w:spacing w:val="-4"/>
          <w:sz w:val="20"/>
          <w:szCs w:val="20"/>
        </w:rPr>
        <w:t>частковою</w:t>
      </w:r>
      <w:r w:rsidRPr="000977F7">
        <w:rPr>
          <w:rFonts w:asciiTheme="majorHAnsi" w:hAnsiTheme="majorHAnsi"/>
          <w:spacing w:val="-7"/>
          <w:sz w:val="20"/>
          <w:szCs w:val="20"/>
        </w:rPr>
        <w:t xml:space="preserve"> </w:t>
      </w:r>
      <w:r w:rsidRPr="000977F7">
        <w:rPr>
          <w:rFonts w:asciiTheme="majorHAnsi" w:hAnsiTheme="majorHAnsi"/>
          <w:spacing w:val="-4"/>
          <w:sz w:val="20"/>
          <w:szCs w:val="20"/>
        </w:rPr>
        <w:t>участю</w:t>
      </w:r>
      <w:r w:rsidRPr="000977F7">
        <w:rPr>
          <w:rFonts w:asciiTheme="majorHAnsi" w:hAnsiTheme="majorHAnsi"/>
          <w:spacing w:val="-6"/>
          <w:sz w:val="20"/>
          <w:szCs w:val="20"/>
        </w:rPr>
        <w:t xml:space="preserve"> </w:t>
      </w:r>
      <w:r w:rsidRPr="000977F7">
        <w:rPr>
          <w:rFonts w:asciiTheme="majorHAnsi" w:hAnsiTheme="majorHAnsi"/>
          <w:spacing w:val="-4"/>
          <w:sz w:val="20"/>
          <w:szCs w:val="20"/>
        </w:rPr>
        <w:t>людини</w:t>
      </w:r>
    </w:p>
    <w:p w14:paraId="396E3DF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АВТОМАТИЧНА</w:t>
      </w:r>
      <w:r w:rsidRPr="000977F7">
        <w:rPr>
          <w:color w:val="auto"/>
          <w:spacing w:val="-5"/>
          <w:sz w:val="20"/>
          <w:szCs w:val="20"/>
        </w:rPr>
        <w:t xml:space="preserve"> </w:t>
      </w:r>
      <w:r w:rsidRPr="000977F7">
        <w:rPr>
          <w:color w:val="auto"/>
          <w:sz w:val="20"/>
          <w:szCs w:val="20"/>
        </w:rPr>
        <w:t>СИСТЕМА</w:t>
      </w:r>
      <w:r w:rsidRPr="000977F7">
        <w:rPr>
          <w:color w:val="auto"/>
          <w:spacing w:val="-5"/>
          <w:sz w:val="20"/>
          <w:szCs w:val="20"/>
        </w:rPr>
        <w:t xml:space="preserve"> </w:t>
      </w:r>
      <w:r w:rsidRPr="000977F7">
        <w:rPr>
          <w:color w:val="auto"/>
          <w:sz w:val="20"/>
          <w:szCs w:val="20"/>
        </w:rPr>
        <w:t>КОНТРОЛЮ –</w:t>
      </w:r>
    </w:p>
    <w:p w14:paraId="554AF92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AUTOMATIC</w:t>
      </w:r>
      <w:r w:rsidRPr="000977F7">
        <w:rPr>
          <w:rFonts w:asciiTheme="majorHAnsi" w:hAnsiTheme="majorHAnsi"/>
          <w:spacing w:val="-3"/>
          <w:sz w:val="20"/>
          <w:szCs w:val="20"/>
        </w:rPr>
        <w:t xml:space="preserve"> </w:t>
      </w:r>
      <w:r w:rsidRPr="000977F7">
        <w:rPr>
          <w:rFonts w:asciiTheme="majorHAnsi" w:hAnsiTheme="majorHAnsi"/>
          <w:sz w:val="20"/>
          <w:szCs w:val="20"/>
        </w:rPr>
        <w:t>CONTROL</w:t>
      </w:r>
      <w:r w:rsidRPr="000977F7">
        <w:rPr>
          <w:rFonts w:asciiTheme="majorHAnsi" w:hAnsiTheme="majorHAnsi"/>
          <w:spacing w:val="-1"/>
          <w:sz w:val="20"/>
          <w:szCs w:val="20"/>
        </w:rPr>
        <w:t xml:space="preserve"> </w:t>
      </w:r>
      <w:r w:rsidRPr="000977F7">
        <w:rPr>
          <w:rFonts w:asciiTheme="majorHAnsi" w:hAnsiTheme="majorHAnsi"/>
          <w:sz w:val="20"/>
          <w:szCs w:val="20"/>
        </w:rPr>
        <w:t>SYSTEM</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84431C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контролю, що забезпечує проведення контролю</w:t>
      </w:r>
      <w:r w:rsidRPr="000977F7">
        <w:rPr>
          <w:rFonts w:asciiTheme="majorHAnsi" w:hAnsiTheme="majorHAnsi"/>
          <w:spacing w:val="-1"/>
          <w:sz w:val="20"/>
          <w:szCs w:val="20"/>
        </w:rPr>
        <w:t xml:space="preserve"> </w:t>
      </w:r>
      <w:r w:rsidRPr="000977F7">
        <w:rPr>
          <w:rFonts w:asciiTheme="majorHAnsi" w:hAnsiTheme="majorHAnsi"/>
          <w:sz w:val="20"/>
          <w:szCs w:val="20"/>
        </w:rPr>
        <w:t>без</w:t>
      </w:r>
      <w:r w:rsidRPr="000977F7">
        <w:rPr>
          <w:rFonts w:asciiTheme="majorHAnsi" w:hAnsiTheme="majorHAnsi"/>
          <w:spacing w:val="2"/>
          <w:sz w:val="20"/>
          <w:szCs w:val="20"/>
        </w:rPr>
        <w:t xml:space="preserve"> </w:t>
      </w:r>
      <w:r w:rsidRPr="000977F7">
        <w:rPr>
          <w:rFonts w:asciiTheme="majorHAnsi" w:hAnsiTheme="majorHAnsi"/>
          <w:sz w:val="20"/>
          <w:szCs w:val="20"/>
        </w:rPr>
        <w:t>участі</w:t>
      </w:r>
      <w:r w:rsidRPr="000977F7">
        <w:rPr>
          <w:rFonts w:asciiTheme="majorHAnsi" w:hAnsiTheme="majorHAnsi"/>
          <w:spacing w:val="2"/>
          <w:sz w:val="20"/>
          <w:szCs w:val="20"/>
        </w:rPr>
        <w:t xml:space="preserve"> </w:t>
      </w:r>
      <w:r w:rsidRPr="000977F7">
        <w:rPr>
          <w:rFonts w:asciiTheme="majorHAnsi" w:hAnsiTheme="majorHAnsi"/>
          <w:sz w:val="20"/>
          <w:szCs w:val="20"/>
        </w:rPr>
        <w:t>людини</w:t>
      </w:r>
    </w:p>
    <w:p w14:paraId="2B3610A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542AD34E"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sz w:val="20"/>
          <w:szCs w:val="20"/>
        </w:rPr>
        <w:t>АВТОМАТИЗОВАНА</w:t>
      </w:r>
      <w:r w:rsidRPr="000977F7">
        <w:rPr>
          <w:rFonts w:asciiTheme="majorHAnsi" w:hAnsiTheme="majorHAnsi"/>
          <w:b/>
          <w:bCs/>
          <w:spacing w:val="-8"/>
          <w:sz w:val="20"/>
          <w:szCs w:val="20"/>
        </w:rPr>
        <w:t xml:space="preserve"> </w:t>
      </w:r>
      <w:r w:rsidRPr="000977F7">
        <w:rPr>
          <w:rFonts w:asciiTheme="majorHAnsi" w:hAnsiTheme="majorHAnsi"/>
          <w:b/>
          <w:bCs/>
          <w:sz w:val="20"/>
          <w:szCs w:val="20"/>
        </w:rPr>
        <w:t>СИСТЕМА</w:t>
      </w:r>
      <w:r w:rsidRPr="000977F7">
        <w:rPr>
          <w:rFonts w:asciiTheme="majorHAnsi" w:hAnsiTheme="majorHAnsi"/>
          <w:b/>
          <w:bCs/>
          <w:spacing w:val="-7"/>
          <w:sz w:val="20"/>
          <w:szCs w:val="20"/>
        </w:rPr>
        <w:t xml:space="preserve"> </w:t>
      </w:r>
      <w:r w:rsidRPr="000977F7">
        <w:rPr>
          <w:rFonts w:asciiTheme="majorHAnsi" w:hAnsiTheme="majorHAnsi"/>
          <w:b/>
          <w:bCs/>
          <w:sz w:val="20"/>
          <w:szCs w:val="20"/>
        </w:rPr>
        <w:t>КОНТРОЛЮ</w:t>
      </w:r>
      <w:r w:rsidRPr="000977F7">
        <w:rPr>
          <w:rFonts w:asciiTheme="majorHAnsi" w:hAnsiTheme="majorHAnsi"/>
          <w:b/>
          <w:bCs/>
          <w:spacing w:val="-5"/>
          <w:sz w:val="20"/>
          <w:szCs w:val="20"/>
        </w:rPr>
        <w:t xml:space="preserve"> </w:t>
      </w:r>
      <w:r w:rsidRPr="000977F7">
        <w:rPr>
          <w:rFonts w:asciiTheme="majorHAnsi" w:hAnsiTheme="majorHAnsi"/>
          <w:b/>
          <w:bCs/>
          <w:sz w:val="20"/>
          <w:szCs w:val="20"/>
        </w:rPr>
        <w:t>–</w:t>
      </w:r>
    </w:p>
    <w:p w14:paraId="09F926F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AUTOMATED</w:t>
      </w:r>
      <w:r w:rsidRPr="000977F7">
        <w:rPr>
          <w:rFonts w:asciiTheme="majorHAnsi" w:hAnsiTheme="majorHAnsi"/>
          <w:spacing w:val="-2"/>
          <w:sz w:val="20"/>
          <w:szCs w:val="20"/>
        </w:rPr>
        <w:t xml:space="preserve"> </w:t>
      </w:r>
      <w:r w:rsidRPr="000977F7">
        <w:rPr>
          <w:rFonts w:asciiTheme="majorHAnsi" w:hAnsiTheme="majorHAnsi"/>
          <w:sz w:val="20"/>
          <w:szCs w:val="20"/>
        </w:rPr>
        <w:t>CONTROL</w:t>
      </w:r>
      <w:r w:rsidRPr="000977F7">
        <w:rPr>
          <w:rFonts w:asciiTheme="majorHAnsi" w:hAnsiTheme="majorHAnsi"/>
          <w:spacing w:val="-4"/>
          <w:sz w:val="20"/>
          <w:szCs w:val="20"/>
        </w:rPr>
        <w:t xml:space="preserve"> </w:t>
      </w:r>
      <w:r w:rsidRPr="000977F7">
        <w:rPr>
          <w:rFonts w:asciiTheme="majorHAnsi" w:hAnsiTheme="majorHAnsi"/>
          <w:sz w:val="20"/>
          <w:szCs w:val="20"/>
        </w:rPr>
        <w:t>SYSTEM -</w:t>
      </w:r>
    </w:p>
    <w:p w14:paraId="36596E9C"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Система контролю, що забезпечує проведення контролю</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частковою</w:t>
      </w:r>
      <w:r w:rsidRPr="000977F7">
        <w:rPr>
          <w:rFonts w:asciiTheme="majorHAnsi" w:hAnsiTheme="majorHAnsi"/>
          <w:spacing w:val="1"/>
          <w:sz w:val="20"/>
          <w:szCs w:val="20"/>
        </w:rPr>
        <w:t xml:space="preserve"> </w:t>
      </w:r>
      <w:r w:rsidRPr="000977F7">
        <w:rPr>
          <w:rFonts w:asciiTheme="majorHAnsi" w:hAnsiTheme="majorHAnsi"/>
          <w:sz w:val="20"/>
          <w:szCs w:val="20"/>
        </w:rPr>
        <w:t>безпосередньою</w:t>
      </w:r>
      <w:r w:rsidRPr="000977F7">
        <w:rPr>
          <w:rFonts w:asciiTheme="majorHAnsi" w:hAnsiTheme="majorHAnsi"/>
          <w:spacing w:val="1"/>
          <w:sz w:val="20"/>
          <w:szCs w:val="20"/>
        </w:rPr>
        <w:t xml:space="preserve"> </w:t>
      </w:r>
      <w:r w:rsidRPr="000977F7">
        <w:rPr>
          <w:rFonts w:asciiTheme="majorHAnsi" w:hAnsiTheme="majorHAnsi"/>
          <w:sz w:val="20"/>
          <w:szCs w:val="20"/>
        </w:rPr>
        <w:t>участю</w:t>
      </w:r>
      <w:r w:rsidRPr="000977F7">
        <w:rPr>
          <w:rFonts w:asciiTheme="majorHAnsi" w:hAnsiTheme="majorHAnsi"/>
          <w:spacing w:val="1"/>
          <w:sz w:val="20"/>
          <w:szCs w:val="20"/>
        </w:rPr>
        <w:t xml:space="preserve"> </w:t>
      </w:r>
      <w:r w:rsidRPr="000977F7">
        <w:rPr>
          <w:rFonts w:asciiTheme="majorHAnsi" w:hAnsiTheme="majorHAnsi"/>
          <w:sz w:val="20"/>
          <w:szCs w:val="20"/>
        </w:rPr>
        <w:t>людини</w:t>
      </w:r>
      <w:r w:rsidRPr="000977F7">
        <w:rPr>
          <w:rFonts w:asciiTheme="majorHAnsi" w:hAnsiTheme="majorHAnsi"/>
          <w:spacing w:val="1"/>
          <w:sz w:val="20"/>
          <w:szCs w:val="20"/>
        </w:rPr>
        <w:t xml:space="preserve"> </w:t>
      </w:r>
    </w:p>
    <w:p w14:paraId="1FF52114"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1"/>
          <w:sz w:val="20"/>
          <w:szCs w:val="20"/>
        </w:rPr>
        <w:t xml:space="preserve"> </w:t>
      </w:r>
      <w:r w:rsidRPr="000977F7">
        <w:rPr>
          <w:rFonts w:asciiTheme="majorHAnsi" w:hAnsiTheme="majorHAnsi"/>
          <w:i/>
          <w:iCs/>
          <w:sz w:val="20"/>
          <w:szCs w:val="20"/>
        </w:rPr>
        <w:t>3021 - 95</w:t>
      </w:r>
    </w:p>
    <w:p w14:paraId="1A02BDE8"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 xml:space="preserve">АВТОМАТИЧНА СИСТЕМА ТЕХНІЧНОГО </w:t>
      </w:r>
    </w:p>
    <w:p w14:paraId="763C2540" w14:textId="77777777" w:rsidR="0097612F" w:rsidRPr="000977F7" w:rsidRDefault="0097612F" w:rsidP="000977F7">
      <w:pPr>
        <w:pStyle w:val="af6"/>
        <w:tabs>
          <w:tab w:val="left" w:pos="284"/>
        </w:tabs>
        <w:spacing w:after="0"/>
        <w:ind w:left="170"/>
        <w:mirrorIndents/>
        <w:jc w:val="both"/>
        <w:rPr>
          <w:rFonts w:asciiTheme="majorHAnsi" w:hAnsiTheme="majorHAnsi"/>
          <w:b/>
          <w:i/>
          <w:sz w:val="20"/>
          <w:szCs w:val="20"/>
        </w:rPr>
      </w:pPr>
      <w:r w:rsidRPr="000977F7">
        <w:rPr>
          <w:rFonts w:asciiTheme="majorHAnsi" w:hAnsiTheme="majorHAnsi"/>
          <w:b/>
          <w:bCs/>
          <w:sz w:val="20"/>
          <w:szCs w:val="20"/>
        </w:rPr>
        <w:t>ДІАГНОСТУВАННЯ</w:t>
      </w:r>
      <w:r w:rsidRPr="000977F7">
        <w:rPr>
          <w:rFonts w:asciiTheme="majorHAnsi" w:hAnsiTheme="majorHAnsi"/>
          <w:sz w:val="20"/>
          <w:szCs w:val="20"/>
        </w:rPr>
        <w:t xml:space="preserve"> </w:t>
      </w:r>
      <w:r w:rsidRPr="000977F7">
        <w:rPr>
          <w:rFonts w:asciiTheme="majorHAnsi" w:hAnsiTheme="majorHAnsi"/>
          <w:i/>
          <w:sz w:val="20"/>
          <w:szCs w:val="20"/>
        </w:rPr>
        <w:t>–</w:t>
      </w:r>
    </w:p>
    <w:p w14:paraId="7C6DFC6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AUTOMATIC</w:t>
      </w:r>
      <w:r w:rsidRPr="000977F7">
        <w:rPr>
          <w:rFonts w:asciiTheme="majorHAnsi" w:hAnsiTheme="majorHAnsi"/>
          <w:spacing w:val="-4"/>
          <w:sz w:val="20"/>
          <w:szCs w:val="20"/>
        </w:rPr>
        <w:t xml:space="preserve"> </w:t>
      </w:r>
      <w:r w:rsidRPr="000977F7">
        <w:rPr>
          <w:rFonts w:asciiTheme="majorHAnsi" w:hAnsiTheme="majorHAnsi"/>
          <w:sz w:val="20"/>
          <w:szCs w:val="20"/>
        </w:rPr>
        <w:t>TEST SYSTEM –</w:t>
      </w:r>
    </w:p>
    <w:p w14:paraId="227850C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діагностування,</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забезпечує</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47"/>
          <w:sz w:val="20"/>
          <w:szCs w:val="20"/>
        </w:rPr>
        <w:t xml:space="preserve"> </w:t>
      </w:r>
      <w:r w:rsidRPr="000977F7">
        <w:rPr>
          <w:rFonts w:asciiTheme="majorHAnsi" w:hAnsiTheme="majorHAnsi"/>
          <w:sz w:val="20"/>
          <w:szCs w:val="20"/>
        </w:rPr>
        <w:t>діагностування</w:t>
      </w:r>
      <w:r w:rsidRPr="000977F7">
        <w:rPr>
          <w:rFonts w:asciiTheme="majorHAnsi" w:hAnsiTheme="majorHAnsi"/>
          <w:spacing w:val="-2"/>
          <w:sz w:val="20"/>
          <w:szCs w:val="20"/>
        </w:rPr>
        <w:t xml:space="preserve"> </w:t>
      </w:r>
      <w:r w:rsidRPr="000977F7">
        <w:rPr>
          <w:rFonts w:asciiTheme="majorHAnsi" w:hAnsiTheme="majorHAnsi"/>
          <w:sz w:val="20"/>
          <w:szCs w:val="20"/>
        </w:rPr>
        <w:t>без</w:t>
      </w:r>
      <w:r w:rsidRPr="000977F7">
        <w:rPr>
          <w:rFonts w:asciiTheme="majorHAnsi" w:hAnsiTheme="majorHAnsi"/>
          <w:spacing w:val="3"/>
          <w:sz w:val="20"/>
          <w:szCs w:val="20"/>
        </w:rPr>
        <w:t xml:space="preserve"> </w:t>
      </w:r>
      <w:r w:rsidRPr="000977F7">
        <w:rPr>
          <w:rFonts w:asciiTheme="majorHAnsi" w:hAnsiTheme="majorHAnsi"/>
          <w:sz w:val="20"/>
          <w:szCs w:val="20"/>
        </w:rPr>
        <w:t>участі</w:t>
      </w:r>
      <w:r w:rsidRPr="000977F7">
        <w:rPr>
          <w:rFonts w:asciiTheme="majorHAnsi" w:hAnsiTheme="majorHAnsi"/>
          <w:spacing w:val="-2"/>
          <w:sz w:val="20"/>
          <w:szCs w:val="20"/>
        </w:rPr>
        <w:t xml:space="preserve"> </w:t>
      </w:r>
      <w:r w:rsidRPr="000977F7">
        <w:rPr>
          <w:rFonts w:asciiTheme="majorHAnsi" w:hAnsiTheme="majorHAnsi"/>
          <w:sz w:val="20"/>
          <w:szCs w:val="20"/>
        </w:rPr>
        <w:t>оператора</w:t>
      </w:r>
    </w:p>
    <w:p w14:paraId="7CBFFB5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2389 - 94</w:t>
      </w:r>
    </w:p>
    <w:p w14:paraId="6C1B48DF"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6"/>
          <w:w w:val="95"/>
          <w:sz w:val="20"/>
          <w:szCs w:val="20"/>
        </w:rPr>
      </w:pPr>
      <w:r w:rsidRPr="000977F7">
        <w:rPr>
          <w:rFonts w:asciiTheme="majorHAnsi" w:hAnsiTheme="majorHAnsi"/>
          <w:b/>
          <w:w w:val="95"/>
          <w:sz w:val="20"/>
          <w:szCs w:val="20"/>
        </w:rPr>
        <w:t>АВТОМАТИЧНИЙ</w:t>
      </w:r>
      <w:r w:rsidRPr="000977F7">
        <w:rPr>
          <w:rFonts w:asciiTheme="majorHAnsi" w:hAnsiTheme="majorHAnsi"/>
          <w:b/>
          <w:spacing w:val="10"/>
          <w:w w:val="95"/>
          <w:sz w:val="20"/>
          <w:szCs w:val="20"/>
        </w:rPr>
        <w:t xml:space="preserve"> </w:t>
      </w:r>
      <w:r w:rsidRPr="000977F7">
        <w:rPr>
          <w:rFonts w:asciiTheme="majorHAnsi" w:hAnsiTheme="majorHAnsi"/>
          <w:b/>
          <w:w w:val="95"/>
          <w:sz w:val="20"/>
          <w:szCs w:val="20"/>
        </w:rPr>
        <w:t>ЗАСІБ</w:t>
      </w:r>
      <w:r w:rsidRPr="000977F7">
        <w:rPr>
          <w:rFonts w:asciiTheme="majorHAnsi" w:hAnsiTheme="majorHAnsi"/>
          <w:b/>
          <w:spacing w:val="8"/>
          <w:w w:val="95"/>
          <w:sz w:val="20"/>
          <w:szCs w:val="20"/>
        </w:rPr>
        <w:t xml:space="preserve"> </w:t>
      </w:r>
      <w:r w:rsidRPr="000977F7">
        <w:rPr>
          <w:rFonts w:asciiTheme="majorHAnsi" w:hAnsiTheme="majorHAnsi"/>
          <w:b/>
          <w:w w:val="95"/>
          <w:sz w:val="20"/>
          <w:szCs w:val="20"/>
        </w:rPr>
        <w:t>ТЕХНІЧНОГО</w:t>
      </w:r>
      <w:r w:rsidRPr="000977F7">
        <w:rPr>
          <w:rFonts w:asciiTheme="majorHAnsi" w:hAnsiTheme="majorHAnsi"/>
          <w:b/>
          <w:spacing w:val="6"/>
          <w:w w:val="95"/>
          <w:sz w:val="20"/>
          <w:szCs w:val="20"/>
        </w:rPr>
        <w:t xml:space="preserve"> </w:t>
      </w:r>
    </w:p>
    <w:p w14:paraId="6DC77970"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5"/>
          <w:w w:val="95"/>
          <w:sz w:val="20"/>
          <w:szCs w:val="20"/>
        </w:rPr>
      </w:pPr>
      <w:r w:rsidRPr="000977F7">
        <w:rPr>
          <w:rFonts w:asciiTheme="majorHAnsi" w:hAnsiTheme="majorHAnsi"/>
          <w:b/>
          <w:w w:val="95"/>
          <w:sz w:val="20"/>
          <w:szCs w:val="20"/>
        </w:rPr>
        <w:t>ДІАГНОСТУВАННЯ</w:t>
      </w:r>
      <w:r w:rsidRPr="000977F7">
        <w:rPr>
          <w:rFonts w:asciiTheme="majorHAnsi" w:hAnsiTheme="majorHAnsi"/>
          <w:b/>
          <w:spacing w:val="15"/>
          <w:w w:val="95"/>
          <w:sz w:val="20"/>
          <w:szCs w:val="20"/>
        </w:rPr>
        <w:t xml:space="preserve"> </w:t>
      </w:r>
      <w:r w:rsidRPr="000977F7">
        <w:rPr>
          <w:rFonts w:asciiTheme="majorHAnsi" w:hAnsiTheme="majorHAnsi"/>
          <w:b/>
          <w:w w:val="95"/>
          <w:sz w:val="20"/>
          <w:szCs w:val="20"/>
        </w:rPr>
        <w:t>(КОНТРОЛЮ</w:t>
      </w:r>
      <w:r w:rsidRPr="000977F7">
        <w:rPr>
          <w:rFonts w:asciiTheme="majorHAnsi" w:hAnsiTheme="majorHAnsi"/>
          <w:b/>
          <w:spacing w:val="18"/>
          <w:w w:val="95"/>
          <w:sz w:val="20"/>
          <w:szCs w:val="20"/>
        </w:rPr>
        <w:t xml:space="preserve"> </w:t>
      </w:r>
      <w:r w:rsidRPr="000977F7">
        <w:rPr>
          <w:rFonts w:asciiTheme="majorHAnsi" w:hAnsiTheme="majorHAnsi"/>
          <w:b/>
          <w:w w:val="95"/>
          <w:sz w:val="20"/>
          <w:szCs w:val="20"/>
        </w:rPr>
        <w:t>ТЕХНІЧНОГО</w:t>
      </w:r>
      <w:r w:rsidRPr="000977F7">
        <w:rPr>
          <w:rFonts w:asciiTheme="majorHAnsi" w:hAnsiTheme="majorHAnsi"/>
          <w:b/>
          <w:spacing w:val="15"/>
          <w:w w:val="95"/>
          <w:sz w:val="20"/>
          <w:szCs w:val="20"/>
        </w:rPr>
        <w:t xml:space="preserve"> </w:t>
      </w:r>
      <w:r w:rsidRPr="000977F7">
        <w:rPr>
          <w:rFonts w:asciiTheme="majorHAnsi" w:hAnsiTheme="majorHAnsi"/>
          <w:b/>
          <w:w w:val="95"/>
          <w:sz w:val="20"/>
          <w:szCs w:val="20"/>
        </w:rPr>
        <w:t>СТАНУ)</w:t>
      </w:r>
      <w:r w:rsidRPr="000977F7">
        <w:rPr>
          <w:rFonts w:asciiTheme="majorHAnsi" w:hAnsiTheme="majorHAnsi"/>
          <w:b/>
          <w:spacing w:val="18"/>
          <w:w w:val="95"/>
          <w:sz w:val="20"/>
          <w:szCs w:val="20"/>
        </w:rPr>
        <w:t xml:space="preserve"> </w:t>
      </w:r>
      <w:r w:rsidRPr="000977F7">
        <w:rPr>
          <w:rFonts w:asciiTheme="majorHAnsi" w:hAnsiTheme="majorHAnsi"/>
          <w:w w:val="95"/>
          <w:sz w:val="20"/>
          <w:szCs w:val="20"/>
        </w:rPr>
        <w:t>–</w:t>
      </w:r>
      <w:r w:rsidRPr="000977F7">
        <w:rPr>
          <w:rFonts w:asciiTheme="majorHAnsi" w:hAnsiTheme="majorHAnsi"/>
          <w:spacing w:val="-45"/>
          <w:w w:val="95"/>
          <w:sz w:val="20"/>
          <w:szCs w:val="20"/>
        </w:rPr>
        <w:t xml:space="preserve"> </w:t>
      </w:r>
    </w:p>
    <w:p w14:paraId="188AA33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AUTOMATIC</w:t>
      </w:r>
      <w:r w:rsidRPr="000977F7">
        <w:rPr>
          <w:rFonts w:asciiTheme="majorHAnsi" w:hAnsiTheme="majorHAnsi"/>
          <w:spacing w:val="-2"/>
          <w:sz w:val="20"/>
          <w:szCs w:val="20"/>
        </w:rPr>
        <w:t xml:space="preserve"> </w:t>
      </w:r>
      <w:r w:rsidRPr="000977F7">
        <w:rPr>
          <w:rFonts w:asciiTheme="majorHAnsi" w:hAnsiTheme="majorHAnsi"/>
          <w:sz w:val="20"/>
          <w:szCs w:val="20"/>
        </w:rPr>
        <w:t>TEST</w:t>
      </w:r>
      <w:r w:rsidRPr="000977F7">
        <w:rPr>
          <w:rFonts w:asciiTheme="majorHAnsi" w:hAnsiTheme="majorHAnsi"/>
          <w:spacing w:val="3"/>
          <w:sz w:val="20"/>
          <w:szCs w:val="20"/>
        </w:rPr>
        <w:t xml:space="preserve"> </w:t>
      </w:r>
      <w:r w:rsidRPr="000977F7">
        <w:rPr>
          <w:rFonts w:asciiTheme="majorHAnsi" w:hAnsiTheme="majorHAnsi"/>
          <w:sz w:val="20"/>
          <w:szCs w:val="20"/>
        </w:rPr>
        <w:t>EQUIPMENT</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19A4539E" w14:textId="77777777" w:rsidR="0097612F" w:rsidRPr="000977F7" w:rsidRDefault="0097612F" w:rsidP="000977F7">
      <w:pPr>
        <w:pStyle w:val="af6"/>
        <w:tabs>
          <w:tab w:val="left" w:pos="284"/>
          <w:tab w:val="left" w:pos="4129"/>
        </w:tabs>
        <w:spacing w:after="0"/>
        <w:ind w:left="170"/>
        <w:mirrorIndents/>
        <w:jc w:val="both"/>
        <w:rPr>
          <w:rFonts w:asciiTheme="majorHAnsi" w:hAnsiTheme="majorHAnsi"/>
          <w:sz w:val="20"/>
          <w:szCs w:val="20"/>
        </w:rPr>
      </w:pPr>
      <w:r w:rsidRPr="000977F7">
        <w:rPr>
          <w:rFonts w:asciiTheme="majorHAnsi" w:hAnsiTheme="majorHAnsi"/>
          <w:sz w:val="20"/>
          <w:szCs w:val="20"/>
        </w:rPr>
        <w:t>Засіб діагностування (контролю), що функціонує без</w:t>
      </w:r>
      <w:r w:rsidRPr="000977F7">
        <w:rPr>
          <w:rFonts w:asciiTheme="majorHAnsi" w:hAnsiTheme="majorHAnsi"/>
          <w:spacing w:val="1"/>
          <w:sz w:val="20"/>
          <w:szCs w:val="20"/>
        </w:rPr>
        <w:t xml:space="preserve"> </w:t>
      </w:r>
      <w:r w:rsidRPr="000977F7">
        <w:rPr>
          <w:rFonts w:asciiTheme="majorHAnsi" w:hAnsiTheme="majorHAnsi"/>
          <w:sz w:val="20"/>
          <w:szCs w:val="20"/>
        </w:rPr>
        <w:t xml:space="preserve">участі </w:t>
      </w:r>
      <w:r w:rsidRPr="000977F7">
        <w:rPr>
          <w:rFonts w:asciiTheme="majorHAnsi" w:hAnsiTheme="majorHAnsi"/>
          <w:spacing w:val="-1"/>
          <w:sz w:val="20"/>
          <w:szCs w:val="20"/>
        </w:rPr>
        <w:t>оператора</w:t>
      </w:r>
    </w:p>
    <w:p w14:paraId="502897A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2389 - 94</w:t>
      </w:r>
    </w:p>
    <w:p w14:paraId="404FF2C2"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 xml:space="preserve">АВТОР – </w:t>
      </w:r>
    </w:p>
    <w:p w14:paraId="5620E2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Людина, творчою працею якої створено промисловий зразок</w:t>
      </w:r>
    </w:p>
    <w:p w14:paraId="46A4FDC2"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Ст. 1 закону України "Про охорону прав на прмислові зразки"</w:t>
      </w:r>
    </w:p>
    <w:p w14:paraId="42A7DF6E"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АВТОРСЬКИЙ НАГЛЯД У ВИРОБНИЦТВІ</w:t>
      </w:r>
      <w:r w:rsidRPr="000977F7">
        <w:rPr>
          <w:color w:val="auto"/>
          <w:spacing w:val="-47"/>
          <w:sz w:val="20"/>
          <w:szCs w:val="20"/>
        </w:rPr>
        <w:t xml:space="preserve"> </w:t>
      </w:r>
      <w:r w:rsidRPr="000977F7">
        <w:rPr>
          <w:color w:val="auto"/>
          <w:sz w:val="20"/>
          <w:szCs w:val="20"/>
        </w:rPr>
        <w:t>(ЕКСПЛУАТАЦІЇ)</w:t>
      </w:r>
      <w:r w:rsidRPr="000977F7">
        <w:rPr>
          <w:color w:val="auto"/>
          <w:spacing w:val="-1"/>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b w:val="0"/>
          <w:color w:val="auto"/>
          <w:sz w:val="20"/>
          <w:szCs w:val="20"/>
        </w:rPr>
        <w:t>–</w:t>
      </w:r>
    </w:p>
    <w:p w14:paraId="3D3364A4" w14:textId="77777777" w:rsidR="0097612F" w:rsidRPr="002E19DF" w:rsidRDefault="0097612F" w:rsidP="000977F7">
      <w:pPr>
        <w:pStyle w:val="af6"/>
        <w:tabs>
          <w:tab w:val="left" w:pos="284"/>
        </w:tabs>
        <w:spacing w:after="0"/>
        <w:ind w:left="170"/>
        <w:mirrorIndents/>
        <w:jc w:val="both"/>
        <w:rPr>
          <w:rFonts w:asciiTheme="majorHAnsi" w:hAnsiTheme="majorHAnsi"/>
          <w:spacing w:val="1"/>
          <w:sz w:val="20"/>
          <w:szCs w:val="20"/>
          <w:lang w:val="uk-UA"/>
        </w:rPr>
      </w:pPr>
      <w:r w:rsidRPr="002E19DF">
        <w:rPr>
          <w:rFonts w:asciiTheme="majorHAnsi" w:hAnsiTheme="majorHAnsi"/>
          <w:sz w:val="20"/>
          <w:szCs w:val="20"/>
          <w:lang w:val="uk-UA"/>
        </w:rPr>
        <w:t>Сукупність заходів, які здійснює розробник</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у конкретних умовах виробництва (експлуатації) розробленої</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ним</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продукції</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чи</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технологічного</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процесу</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з</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метою</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забезпечення відповідності їх установленим вимогам</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та своєчасному усуненню виявлених недоліків продукції та (або) технологічного процесу</w:t>
      </w:r>
      <w:r w:rsidRPr="002E19DF">
        <w:rPr>
          <w:rFonts w:asciiTheme="majorHAnsi" w:hAnsiTheme="majorHAnsi"/>
          <w:spacing w:val="1"/>
          <w:sz w:val="20"/>
          <w:szCs w:val="20"/>
          <w:lang w:val="uk-UA"/>
        </w:rPr>
        <w:t xml:space="preserve"> </w:t>
      </w:r>
    </w:p>
    <w:p w14:paraId="77A8ADB5" w14:textId="77777777" w:rsidR="0097612F" w:rsidRPr="002E19DF" w:rsidRDefault="0097612F" w:rsidP="000977F7">
      <w:pPr>
        <w:pStyle w:val="af6"/>
        <w:tabs>
          <w:tab w:val="left" w:pos="284"/>
        </w:tabs>
        <w:spacing w:after="0"/>
        <w:ind w:left="170"/>
        <w:mirrorIndents/>
        <w:jc w:val="both"/>
        <w:rPr>
          <w:rFonts w:asciiTheme="majorHAnsi" w:hAnsiTheme="majorHAnsi"/>
          <w:i/>
          <w:sz w:val="20"/>
          <w:szCs w:val="20"/>
          <w:lang w:val="uk-UA"/>
        </w:rPr>
      </w:pPr>
      <w:r w:rsidRPr="002E19DF">
        <w:rPr>
          <w:rFonts w:asciiTheme="majorHAnsi" w:hAnsiTheme="majorHAnsi"/>
          <w:i/>
          <w:sz w:val="20"/>
          <w:szCs w:val="20"/>
          <w:lang w:val="uk-UA"/>
        </w:rPr>
        <w:t>ДСТУ 3278 - 95</w:t>
      </w:r>
    </w:p>
    <w:p w14:paraId="1D1CF98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АГРЕГАТ</w:t>
      </w:r>
      <w:r w:rsidRPr="000977F7">
        <w:rPr>
          <w:color w:val="auto"/>
          <w:spacing w:val="-4"/>
          <w:sz w:val="20"/>
          <w:szCs w:val="20"/>
        </w:rPr>
        <w:t xml:space="preserve"> </w:t>
      </w:r>
      <w:r w:rsidRPr="000977F7">
        <w:rPr>
          <w:color w:val="auto"/>
          <w:sz w:val="20"/>
          <w:szCs w:val="20"/>
        </w:rPr>
        <w:t>–</w:t>
      </w:r>
    </w:p>
    <w:p w14:paraId="7B9E9FB6"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AGGREGATE</w:t>
      </w:r>
      <w:r w:rsidRPr="002E19DF">
        <w:rPr>
          <w:rFonts w:asciiTheme="majorHAnsi" w:hAnsiTheme="majorHAnsi"/>
          <w:spacing w:val="-2"/>
          <w:sz w:val="20"/>
          <w:szCs w:val="20"/>
          <w:lang w:val="uk-UA"/>
        </w:rPr>
        <w:t xml:space="preserve"> </w:t>
      </w:r>
      <w:r w:rsidRPr="002E19DF">
        <w:rPr>
          <w:rFonts w:asciiTheme="majorHAnsi" w:hAnsiTheme="majorHAnsi"/>
          <w:sz w:val="20"/>
          <w:szCs w:val="20"/>
          <w:lang w:val="uk-UA"/>
        </w:rPr>
        <w:t>–</w:t>
      </w:r>
    </w:p>
    <w:p w14:paraId="0F62153D"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uk-UA"/>
        </w:rPr>
      </w:pPr>
      <w:r w:rsidRPr="002E19DF">
        <w:rPr>
          <w:rFonts w:asciiTheme="majorHAnsi" w:hAnsiTheme="majorHAnsi"/>
          <w:sz w:val="20"/>
          <w:szCs w:val="20"/>
          <w:lang w:val="uk-UA"/>
        </w:rPr>
        <w:t>Об’єднана виробником інтегрована та функціональна конструкція, що складається з кілька одиниць обладнання, що працює під тиском</w:t>
      </w:r>
    </w:p>
    <w:p w14:paraId="40D56C0C"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обладнання, що працює під тиском</w:t>
      </w:r>
    </w:p>
    <w:p w14:paraId="569EEC9D"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lastRenderedPageBreak/>
        <w:t>Механічне з’єднання декількох машин чи пристроїв,</w:t>
      </w:r>
      <w:r w:rsidRPr="000977F7">
        <w:rPr>
          <w:rFonts w:asciiTheme="majorHAnsi" w:hAnsiTheme="majorHAnsi"/>
          <w:spacing w:val="1"/>
          <w:sz w:val="20"/>
          <w:szCs w:val="20"/>
        </w:rPr>
        <w:t xml:space="preserve"> </w:t>
      </w:r>
      <w:r w:rsidRPr="000977F7">
        <w:rPr>
          <w:rFonts w:asciiTheme="majorHAnsi" w:hAnsiTheme="majorHAnsi"/>
          <w:sz w:val="20"/>
          <w:szCs w:val="20"/>
        </w:rPr>
        <w:t>які працюють в комплексі, або складальна одиниця,</w:t>
      </w:r>
      <w:r w:rsidRPr="000977F7">
        <w:rPr>
          <w:rFonts w:asciiTheme="majorHAnsi" w:hAnsiTheme="majorHAnsi"/>
          <w:spacing w:val="1"/>
          <w:sz w:val="20"/>
          <w:szCs w:val="20"/>
        </w:rPr>
        <w:t xml:space="preserve"> </w:t>
      </w:r>
      <w:r w:rsidRPr="000977F7">
        <w:rPr>
          <w:rFonts w:asciiTheme="majorHAnsi" w:hAnsiTheme="majorHAnsi"/>
          <w:sz w:val="20"/>
          <w:szCs w:val="20"/>
        </w:rPr>
        <w:t>яка має повну взаємозамінність, можливість окремого</w:t>
      </w:r>
      <w:r w:rsidRPr="000977F7">
        <w:rPr>
          <w:rFonts w:asciiTheme="majorHAnsi" w:hAnsiTheme="majorHAnsi"/>
          <w:spacing w:val="1"/>
          <w:sz w:val="20"/>
          <w:szCs w:val="20"/>
        </w:rPr>
        <w:t xml:space="preserve"> </w:t>
      </w:r>
      <w:r w:rsidRPr="000977F7">
        <w:rPr>
          <w:rFonts w:asciiTheme="majorHAnsi" w:hAnsiTheme="majorHAnsi"/>
          <w:sz w:val="20"/>
          <w:szCs w:val="20"/>
        </w:rPr>
        <w:t>складання та здатність виконувати призначені функції</w:t>
      </w:r>
      <w:r w:rsidRPr="000977F7">
        <w:rPr>
          <w:rFonts w:asciiTheme="majorHAnsi" w:hAnsiTheme="majorHAnsi"/>
          <w:spacing w:val="-47"/>
          <w:sz w:val="20"/>
          <w:szCs w:val="20"/>
        </w:rPr>
        <w:t xml:space="preserve"> </w:t>
      </w:r>
    </w:p>
    <w:p w14:paraId="29E81E39"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АГРЕГАТУВАННЯ</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48DC4CB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DEVELOPMENT OF</w:t>
      </w:r>
      <w:r w:rsidRPr="000977F7">
        <w:rPr>
          <w:rFonts w:asciiTheme="majorHAnsi" w:hAnsiTheme="majorHAnsi"/>
          <w:spacing w:val="-3"/>
          <w:sz w:val="20"/>
          <w:szCs w:val="20"/>
        </w:rPr>
        <w:t xml:space="preserve"> </w:t>
      </w:r>
      <w:r w:rsidRPr="000977F7">
        <w:rPr>
          <w:rFonts w:asciiTheme="majorHAnsi" w:hAnsiTheme="majorHAnsi"/>
          <w:sz w:val="20"/>
          <w:szCs w:val="20"/>
        </w:rPr>
        <w:t>AGGREGATES –</w:t>
      </w:r>
    </w:p>
    <w:p w14:paraId="46780AC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25"/>
          <w:sz w:val="20"/>
          <w:szCs w:val="20"/>
        </w:rPr>
        <w:t xml:space="preserve"> </w:t>
      </w:r>
      <w:r w:rsidRPr="000977F7">
        <w:rPr>
          <w:rFonts w:asciiTheme="majorHAnsi" w:hAnsiTheme="majorHAnsi"/>
          <w:sz w:val="20"/>
          <w:szCs w:val="20"/>
        </w:rPr>
        <w:t>конструювання</w:t>
      </w:r>
      <w:r w:rsidRPr="000977F7">
        <w:rPr>
          <w:rFonts w:asciiTheme="majorHAnsi" w:hAnsiTheme="majorHAnsi"/>
          <w:spacing w:val="27"/>
          <w:sz w:val="20"/>
          <w:szCs w:val="20"/>
        </w:rPr>
        <w:t xml:space="preserve"> </w:t>
      </w:r>
      <w:r w:rsidRPr="000977F7">
        <w:rPr>
          <w:rFonts w:asciiTheme="majorHAnsi" w:hAnsiTheme="majorHAnsi"/>
          <w:sz w:val="20"/>
          <w:szCs w:val="20"/>
        </w:rPr>
        <w:t>машин</w:t>
      </w:r>
      <w:r w:rsidRPr="000977F7">
        <w:rPr>
          <w:rFonts w:asciiTheme="majorHAnsi" w:hAnsiTheme="majorHAnsi"/>
          <w:spacing w:val="27"/>
          <w:sz w:val="20"/>
          <w:szCs w:val="20"/>
        </w:rPr>
        <w:t xml:space="preserve"> </w:t>
      </w:r>
      <w:r w:rsidRPr="000977F7">
        <w:rPr>
          <w:rFonts w:asciiTheme="majorHAnsi" w:hAnsiTheme="majorHAnsi"/>
          <w:sz w:val="20"/>
          <w:szCs w:val="20"/>
        </w:rPr>
        <w:t>та</w:t>
      </w:r>
      <w:r w:rsidRPr="000977F7">
        <w:rPr>
          <w:rFonts w:asciiTheme="majorHAnsi" w:hAnsiTheme="majorHAnsi"/>
          <w:spacing w:val="27"/>
          <w:sz w:val="20"/>
          <w:szCs w:val="20"/>
        </w:rPr>
        <w:t xml:space="preserve"> </w:t>
      </w:r>
      <w:r w:rsidRPr="000977F7">
        <w:rPr>
          <w:rFonts w:asciiTheme="majorHAnsi" w:hAnsiTheme="majorHAnsi"/>
          <w:sz w:val="20"/>
          <w:szCs w:val="20"/>
        </w:rPr>
        <w:t>обладнання</w:t>
      </w:r>
      <w:r w:rsidRPr="000977F7">
        <w:rPr>
          <w:rFonts w:asciiTheme="majorHAnsi" w:hAnsiTheme="majorHAnsi"/>
          <w:spacing w:val="25"/>
          <w:sz w:val="20"/>
          <w:szCs w:val="20"/>
        </w:rPr>
        <w:t xml:space="preserve"> </w:t>
      </w:r>
      <w:r w:rsidRPr="000977F7">
        <w:rPr>
          <w:rFonts w:asciiTheme="majorHAnsi" w:hAnsiTheme="majorHAnsi"/>
          <w:sz w:val="20"/>
          <w:szCs w:val="20"/>
        </w:rPr>
        <w:t>із</w:t>
      </w:r>
      <w:r w:rsidRPr="000977F7">
        <w:rPr>
          <w:rFonts w:asciiTheme="majorHAnsi" w:hAnsiTheme="majorHAnsi"/>
          <w:spacing w:val="28"/>
          <w:sz w:val="20"/>
          <w:szCs w:val="20"/>
        </w:rPr>
        <w:t xml:space="preserve"> </w:t>
      </w:r>
      <w:r w:rsidRPr="000977F7">
        <w:rPr>
          <w:rFonts w:asciiTheme="majorHAnsi" w:hAnsiTheme="majorHAnsi"/>
          <w:sz w:val="20"/>
          <w:szCs w:val="20"/>
        </w:rPr>
        <w:t>стандартних і уніфікованих деталей та вузлів</w:t>
      </w:r>
      <w:r w:rsidRPr="000977F7">
        <w:rPr>
          <w:rFonts w:asciiTheme="majorHAnsi" w:hAnsiTheme="majorHAnsi"/>
          <w:spacing w:val="1"/>
          <w:sz w:val="20"/>
          <w:szCs w:val="20"/>
        </w:rPr>
        <w:t xml:space="preserve"> </w:t>
      </w:r>
      <w:r w:rsidRPr="000977F7">
        <w:rPr>
          <w:rFonts w:asciiTheme="majorHAnsi" w:hAnsiTheme="majorHAnsi"/>
          <w:b/>
          <w:sz w:val="20"/>
          <w:szCs w:val="20"/>
        </w:rPr>
        <w:t>АДВОЛАРНЕ</w:t>
      </w:r>
      <w:r w:rsidRPr="000977F7">
        <w:rPr>
          <w:rFonts w:asciiTheme="majorHAnsi" w:hAnsiTheme="majorHAnsi"/>
          <w:b/>
          <w:spacing w:val="-2"/>
          <w:sz w:val="20"/>
          <w:szCs w:val="20"/>
        </w:rPr>
        <w:t xml:space="preserve"> </w:t>
      </w:r>
      <w:r w:rsidRPr="000977F7">
        <w:rPr>
          <w:rFonts w:asciiTheme="majorHAnsi" w:hAnsiTheme="majorHAnsi"/>
          <w:b/>
          <w:sz w:val="20"/>
          <w:szCs w:val="20"/>
        </w:rPr>
        <w:t>МИТО</w:t>
      </w:r>
      <w:r w:rsidRPr="000977F7">
        <w:rPr>
          <w:rFonts w:asciiTheme="majorHAnsi" w:hAnsiTheme="majorHAnsi"/>
          <w:b/>
          <w:spacing w:val="3"/>
          <w:sz w:val="20"/>
          <w:szCs w:val="20"/>
        </w:rPr>
        <w:t xml:space="preserve"> </w:t>
      </w:r>
      <w:r w:rsidRPr="000977F7">
        <w:rPr>
          <w:rFonts w:asciiTheme="majorHAnsi" w:hAnsiTheme="majorHAnsi"/>
          <w:sz w:val="20"/>
          <w:szCs w:val="20"/>
        </w:rPr>
        <w:t>–</w:t>
      </w:r>
    </w:p>
    <w:p w14:paraId="06426F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6"/>
          <w:sz w:val="20"/>
          <w:szCs w:val="20"/>
        </w:rPr>
        <w:t>Податок,</w:t>
      </w:r>
      <w:r w:rsidRPr="000977F7">
        <w:rPr>
          <w:rFonts w:asciiTheme="majorHAnsi" w:hAnsiTheme="majorHAnsi"/>
          <w:spacing w:val="-11"/>
          <w:sz w:val="20"/>
          <w:szCs w:val="20"/>
        </w:rPr>
        <w:t xml:space="preserve"> </w:t>
      </w:r>
      <w:r w:rsidRPr="000977F7">
        <w:rPr>
          <w:rFonts w:asciiTheme="majorHAnsi" w:hAnsiTheme="majorHAnsi"/>
          <w:spacing w:val="-6"/>
          <w:sz w:val="20"/>
          <w:szCs w:val="20"/>
        </w:rPr>
        <w:t>який</w:t>
      </w:r>
      <w:r w:rsidRPr="000977F7">
        <w:rPr>
          <w:rFonts w:asciiTheme="majorHAnsi" w:hAnsiTheme="majorHAnsi"/>
          <w:spacing w:val="-13"/>
          <w:sz w:val="20"/>
          <w:szCs w:val="20"/>
        </w:rPr>
        <w:t xml:space="preserve"> </w:t>
      </w:r>
      <w:r w:rsidRPr="000977F7">
        <w:rPr>
          <w:rFonts w:asciiTheme="majorHAnsi" w:hAnsiTheme="majorHAnsi"/>
          <w:spacing w:val="-6"/>
          <w:sz w:val="20"/>
          <w:szCs w:val="20"/>
        </w:rPr>
        <w:t>є</w:t>
      </w:r>
      <w:r w:rsidRPr="000977F7">
        <w:rPr>
          <w:rFonts w:asciiTheme="majorHAnsi" w:hAnsiTheme="majorHAnsi"/>
          <w:spacing w:val="-13"/>
          <w:sz w:val="20"/>
          <w:szCs w:val="20"/>
        </w:rPr>
        <w:t xml:space="preserve"> </w:t>
      </w:r>
      <w:r w:rsidRPr="000977F7">
        <w:rPr>
          <w:rFonts w:asciiTheme="majorHAnsi" w:hAnsiTheme="majorHAnsi"/>
          <w:spacing w:val="-6"/>
          <w:sz w:val="20"/>
          <w:szCs w:val="20"/>
        </w:rPr>
        <w:t>фіксованим</w:t>
      </w:r>
      <w:r w:rsidRPr="000977F7">
        <w:rPr>
          <w:rFonts w:asciiTheme="majorHAnsi" w:hAnsiTheme="majorHAnsi"/>
          <w:spacing w:val="-11"/>
          <w:sz w:val="20"/>
          <w:szCs w:val="20"/>
        </w:rPr>
        <w:t xml:space="preserve"> </w:t>
      </w:r>
      <w:r w:rsidRPr="000977F7">
        <w:rPr>
          <w:rFonts w:asciiTheme="majorHAnsi" w:hAnsiTheme="majorHAnsi"/>
          <w:spacing w:val="-5"/>
          <w:sz w:val="20"/>
          <w:szCs w:val="20"/>
        </w:rPr>
        <w:t>відсотком</w:t>
      </w:r>
      <w:r w:rsidRPr="000977F7">
        <w:rPr>
          <w:rFonts w:asciiTheme="majorHAnsi" w:hAnsiTheme="majorHAnsi"/>
          <w:spacing w:val="-11"/>
          <w:sz w:val="20"/>
          <w:szCs w:val="20"/>
        </w:rPr>
        <w:t xml:space="preserve"> </w:t>
      </w:r>
      <w:r w:rsidRPr="000977F7">
        <w:rPr>
          <w:rFonts w:asciiTheme="majorHAnsi" w:hAnsiTheme="majorHAnsi"/>
          <w:spacing w:val="-5"/>
          <w:sz w:val="20"/>
          <w:szCs w:val="20"/>
        </w:rPr>
        <w:t>від</w:t>
      </w:r>
      <w:r w:rsidRPr="000977F7">
        <w:rPr>
          <w:rFonts w:asciiTheme="majorHAnsi" w:hAnsiTheme="majorHAnsi"/>
          <w:spacing w:val="-13"/>
          <w:sz w:val="20"/>
          <w:szCs w:val="20"/>
        </w:rPr>
        <w:t xml:space="preserve"> </w:t>
      </w:r>
      <w:r w:rsidRPr="000977F7">
        <w:rPr>
          <w:rFonts w:asciiTheme="majorHAnsi" w:hAnsiTheme="majorHAnsi"/>
          <w:spacing w:val="-5"/>
          <w:sz w:val="20"/>
          <w:szCs w:val="20"/>
        </w:rPr>
        <w:t>вартості</w:t>
      </w:r>
      <w:r w:rsidRPr="000977F7">
        <w:rPr>
          <w:rFonts w:asciiTheme="majorHAnsi" w:hAnsiTheme="majorHAnsi"/>
          <w:spacing w:val="-12"/>
          <w:sz w:val="20"/>
          <w:szCs w:val="20"/>
        </w:rPr>
        <w:t xml:space="preserve"> </w:t>
      </w:r>
      <w:r w:rsidRPr="000977F7">
        <w:rPr>
          <w:rFonts w:asciiTheme="majorHAnsi" w:hAnsiTheme="majorHAnsi"/>
          <w:spacing w:val="-5"/>
          <w:sz w:val="20"/>
          <w:szCs w:val="20"/>
        </w:rPr>
        <w:t>товару</w:t>
      </w:r>
    </w:p>
    <w:p w14:paraId="3DC1263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3293 - 95</w:t>
      </w:r>
    </w:p>
    <w:p w14:paraId="35E3E4B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АДЕКВАТНІСТЬ</w:t>
      </w:r>
      <w:r w:rsidRPr="000977F7">
        <w:rPr>
          <w:color w:val="auto"/>
          <w:spacing w:val="-5"/>
          <w:sz w:val="20"/>
          <w:szCs w:val="20"/>
        </w:rPr>
        <w:t xml:space="preserve"> </w:t>
      </w:r>
      <w:r w:rsidRPr="000977F7">
        <w:rPr>
          <w:color w:val="auto"/>
          <w:sz w:val="20"/>
          <w:szCs w:val="20"/>
        </w:rPr>
        <w:t>МАТЕМАТИЧНОЇ</w:t>
      </w:r>
      <w:r w:rsidRPr="000977F7">
        <w:rPr>
          <w:color w:val="auto"/>
          <w:spacing w:val="-5"/>
          <w:sz w:val="20"/>
          <w:szCs w:val="20"/>
        </w:rPr>
        <w:t xml:space="preserve"> </w:t>
      </w:r>
      <w:r w:rsidRPr="000977F7">
        <w:rPr>
          <w:color w:val="auto"/>
          <w:sz w:val="20"/>
          <w:szCs w:val="20"/>
        </w:rPr>
        <w:t>МОДЕЛІ</w:t>
      </w:r>
      <w:r w:rsidRPr="000977F7">
        <w:rPr>
          <w:color w:val="auto"/>
          <w:spacing w:val="-2"/>
          <w:sz w:val="20"/>
          <w:szCs w:val="20"/>
        </w:rPr>
        <w:t xml:space="preserve"> </w:t>
      </w:r>
      <w:r w:rsidRPr="000977F7">
        <w:rPr>
          <w:color w:val="auto"/>
          <w:sz w:val="20"/>
          <w:szCs w:val="20"/>
        </w:rPr>
        <w:t>–</w:t>
      </w:r>
    </w:p>
    <w:p w14:paraId="02C95C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Відповідність математичної моделі експеримен-тальним даним згідно з вибраним критерієм</w:t>
      </w:r>
    </w:p>
    <w:p w14:paraId="01FDD467" w14:textId="77777777" w:rsidR="0097612F" w:rsidRPr="000977F7" w:rsidRDefault="0097612F" w:rsidP="000977F7">
      <w:pPr>
        <w:pStyle w:val="7"/>
        <w:tabs>
          <w:tab w:val="left" w:pos="284"/>
        </w:tabs>
        <w:spacing w:before="0" w:line="240" w:lineRule="auto"/>
        <w:ind w:left="170"/>
        <w:mirrorIndents/>
        <w:jc w:val="both"/>
        <w:rPr>
          <w:i/>
          <w:color w:val="auto"/>
          <w:sz w:val="20"/>
          <w:szCs w:val="20"/>
        </w:rPr>
      </w:pPr>
      <w:r w:rsidRPr="000977F7">
        <w:rPr>
          <w:color w:val="auto"/>
          <w:sz w:val="20"/>
          <w:szCs w:val="20"/>
        </w:rPr>
        <w:t>АДИТИВНА ПОХИБКА ЗАСОБУ ВИМІРЮВАЛЬНОЇ</w:t>
      </w:r>
      <w:r w:rsidRPr="000977F7">
        <w:rPr>
          <w:color w:val="auto"/>
          <w:spacing w:val="-2"/>
          <w:sz w:val="20"/>
          <w:szCs w:val="20"/>
        </w:rPr>
        <w:t xml:space="preserve"> </w:t>
      </w:r>
      <w:r w:rsidRPr="000977F7">
        <w:rPr>
          <w:color w:val="auto"/>
          <w:sz w:val="20"/>
          <w:szCs w:val="20"/>
        </w:rPr>
        <w:t>ТЕХНІКИ</w:t>
      </w:r>
      <w:r w:rsidRPr="000977F7">
        <w:rPr>
          <w:color w:val="auto"/>
          <w:spacing w:val="1"/>
          <w:sz w:val="20"/>
          <w:szCs w:val="20"/>
        </w:rPr>
        <w:t xml:space="preserve"> </w:t>
      </w:r>
      <w:r w:rsidRPr="000977F7">
        <w:rPr>
          <w:i/>
          <w:color w:val="auto"/>
          <w:sz w:val="20"/>
          <w:szCs w:val="20"/>
        </w:rPr>
        <w:t>–</w:t>
      </w:r>
    </w:p>
    <w:p w14:paraId="01CA15AB"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Складова</w:t>
      </w:r>
      <w:r w:rsidRPr="000977F7">
        <w:rPr>
          <w:rFonts w:asciiTheme="majorHAnsi" w:hAnsiTheme="majorHAnsi"/>
          <w:spacing w:val="-6"/>
          <w:sz w:val="20"/>
          <w:szCs w:val="20"/>
        </w:rPr>
        <w:t xml:space="preserve"> </w:t>
      </w:r>
      <w:r w:rsidRPr="000977F7">
        <w:rPr>
          <w:rFonts w:asciiTheme="majorHAnsi" w:hAnsiTheme="majorHAnsi"/>
          <w:sz w:val="20"/>
          <w:szCs w:val="20"/>
        </w:rPr>
        <w:t>абсолютної</w:t>
      </w:r>
      <w:r w:rsidRPr="000977F7">
        <w:rPr>
          <w:rFonts w:asciiTheme="majorHAnsi" w:hAnsiTheme="majorHAnsi"/>
          <w:spacing w:val="-6"/>
          <w:sz w:val="20"/>
          <w:szCs w:val="20"/>
        </w:rPr>
        <w:t xml:space="preserve"> </w:t>
      </w:r>
      <w:r w:rsidRPr="000977F7">
        <w:rPr>
          <w:rFonts w:asciiTheme="majorHAnsi" w:hAnsiTheme="majorHAnsi"/>
          <w:sz w:val="20"/>
          <w:szCs w:val="20"/>
        </w:rPr>
        <w:t>похибки</w:t>
      </w:r>
      <w:r w:rsidRPr="000977F7">
        <w:rPr>
          <w:rFonts w:asciiTheme="majorHAnsi" w:hAnsiTheme="majorHAnsi"/>
          <w:spacing w:val="-6"/>
          <w:sz w:val="20"/>
          <w:szCs w:val="20"/>
        </w:rPr>
        <w:t xml:space="preserve"> </w:t>
      </w:r>
      <w:r w:rsidRPr="000977F7">
        <w:rPr>
          <w:rFonts w:asciiTheme="majorHAnsi" w:hAnsiTheme="majorHAnsi"/>
          <w:sz w:val="20"/>
          <w:szCs w:val="20"/>
        </w:rPr>
        <w:t>засобу</w:t>
      </w:r>
      <w:r w:rsidRPr="000977F7">
        <w:rPr>
          <w:rFonts w:asciiTheme="majorHAnsi" w:hAnsiTheme="majorHAnsi"/>
          <w:spacing w:val="-5"/>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47"/>
          <w:sz w:val="20"/>
          <w:szCs w:val="20"/>
        </w:rPr>
        <w:t xml:space="preserve"> </w:t>
      </w:r>
      <w:r w:rsidRPr="000977F7">
        <w:rPr>
          <w:rFonts w:asciiTheme="majorHAnsi" w:hAnsiTheme="majorHAnsi"/>
          <w:sz w:val="20"/>
          <w:szCs w:val="20"/>
        </w:rPr>
        <w:t>техніки, яка не залежить від вимірюваної величини</w:t>
      </w:r>
      <w:r w:rsidRPr="000977F7">
        <w:rPr>
          <w:rFonts w:asciiTheme="majorHAnsi" w:hAnsiTheme="majorHAnsi"/>
          <w:spacing w:val="1"/>
          <w:sz w:val="20"/>
          <w:szCs w:val="20"/>
        </w:rPr>
        <w:t xml:space="preserve"> </w:t>
      </w:r>
    </w:p>
    <w:p w14:paraId="40ADE59B"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2681 - 94</w:t>
      </w:r>
    </w:p>
    <w:p w14:paraId="6A4E4F21" w14:textId="77777777" w:rsidR="0097612F" w:rsidRPr="000977F7" w:rsidRDefault="0097612F" w:rsidP="000977F7">
      <w:pPr>
        <w:pStyle w:val="af6"/>
        <w:tabs>
          <w:tab w:val="left" w:pos="284"/>
          <w:tab w:val="left" w:pos="2014"/>
          <w:tab w:val="left" w:pos="4074"/>
        </w:tabs>
        <w:spacing w:after="0"/>
        <w:ind w:left="170"/>
        <w:mirrorIndents/>
        <w:jc w:val="both"/>
        <w:rPr>
          <w:rFonts w:asciiTheme="majorHAnsi" w:hAnsiTheme="majorHAnsi"/>
          <w:b/>
          <w:sz w:val="20"/>
          <w:szCs w:val="20"/>
        </w:rPr>
      </w:pPr>
      <w:r w:rsidRPr="000977F7">
        <w:rPr>
          <w:rFonts w:asciiTheme="majorHAnsi" w:hAnsiTheme="majorHAnsi"/>
          <w:b/>
          <w:sz w:val="20"/>
          <w:szCs w:val="20"/>
        </w:rPr>
        <w:t xml:space="preserve">АКРЕДИТАЦІЯ МЕТРОЛОГІЧНИХ </w:t>
      </w:r>
    </w:p>
    <w:p w14:paraId="593E8439" w14:textId="77777777" w:rsidR="0097612F" w:rsidRPr="000977F7" w:rsidRDefault="0097612F" w:rsidP="000977F7">
      <w:pPr>
        <w:pStyle w:val="af6"/>
        <w:tabs>
          <w:tab w:val="left" w:pos="284"/>
          <w:tab w:val="left" w:pos="2014"/>
          <w:tab w:val="left" w:pos="4074"/>
        </w:tabs>
        <w:spacing w:after="0"/>
        <w:ind w:left="170"/>
        <w:mirrorIndents/>
        <w:jc w:val="both"/>
        <w:rPr>
          <w:rFonts w:asciiTheme="majorHAnsi" w:hAnsiTheme="majorHAnsi"/>
          <w:i/>
          <w:sz w:val="20"/>
          <w:szCs w:val="20"/>
        </w:rPr>
      </w:pPr>
      <w:r w:rsidRPr="000977F7">
        <w:rPr>
          <w:rFonts w:asciiTheme="majorHAnsi" w:hAnsiTheme="majorHAnsi"/>
          <w:b/>
          <w:sz w:val="20"/>
          <w:szCs w:val="20"/>
        </w:rPr>
        <w:t>ЛАБОРАТОРІЙ -</w:t>
      </w:r>
    </w:p>
    <w:p w14:paraId="4E635360"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Офіційне</w:t>
      </w:r>
      <w:r w:rsidRPr="000977F7">
        <w:rPr>
          <w:rFonts w:asciiTheme="majorHAnsi" w:hAnsiTheme="majorHAnsi"/>
          <w:spacing w:val="1"/>
          <w:sz w:val="20"/>
          <w:szCs w:val="20"/>
        </w:rPr>
        <w:t xml:space="preserve"> </w:t>
      </w:r>
      <w:r w:rsidRPr="000977F7">
        <w:rPr>
          <w:rFonts w:asciiTheme="majorHAnsi" w:hAnsiTheme="majorHAnsi"/>
          <w:sz w:val="20"/>
          <w:szCs w:val="20"/>
        </w:rPr>
        <w:t>визнання</w:t>
      </w:r>
      <w:r w:rsidRPr="000977F7">
        <w:rPr>
          <w:rFonts w:asciiTheme="majorHAnsi" w:hAnsiTheme="majorHAnsi"/>
          <w:spacing w:val="1"/>
          <w:sz w:val="20"/>
          <w:szCs w:val="20"/>
        </w:rPr>
        <w:t xml:space="preserve"> </w:t>
      </w:r>
      <w:r w:rsidRPr="000977F7">
        <w:rPr>
          <w:rFonts w:asciiTheme="majorHAnsi" w:hAnsiTheme="majorHAnsi"/>
          <w:sz w:val="20"/>
          <w:szCs w:val="20"/>
        </w:rPr>
        <w:t>того,</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лабораторія</w:t>
      </w:r>
      <w:r w:rsidRPr="000977F7">
        <w:rPr>
          <w:rFonts w:asciiTheme="majorHAnsi" w:hAnsiTheme="majorHAnsi"/>
          <w:spacing w:val="1"/>
          <w:sz w:val="20"/>
          <w:szCs w:val="20"/>
        </w:rPr>
        <w:t xml:space="preserve"> </w:t>
      </w:r>
      <w:r w:rsidRPr="000977F7">
        <w:rPr>
          <w:rFonts w:asciiTheme="majorHAnsi" w:hAnsiTheme="majorHAnsi"/>
          <w:sz w:val="20"/>
          <w:szCs w:val="20"/>
        </w:rPr>
        <w:t>має</w:t>
      </w:r>
      <w:r w:rsidRPr="000977F7">
        <w:rPr>
          <w:rFonts w:asciiTheme="majorHAnsi" w:hAnsiTheme="majorHAnsi"/>
          <w:spacing w:val="1"/>
          <w:sz w:val="20"/>
          <w:szCs w:val="20"/>
        </w:rPr>
        <w:t xml:space="preserve"> </w:t>
      </w:r>
      <w:r w:rsidRPr="000977F7">
        <w:rPr>
          <w:rFonts w:asciiTheme="majorHAnsi" w:hAnsiTheme="majorHAnsi"/>
          <w:sz w:val="20"/>
          <w:szCs w:val="20"/>
        </w:rPr>
        <w:t>право</w:t>
      </w:r>
      <w:r w:rsidRPr="000977F7">
        <w:rPr>
          <w:rFonts w:asciiTheme="majorHAnsi" w:hAnsiTheme="majorHAnsi"/>
          <w:spacing w:val="-47"/>
          <w:sz w:val="20"/>
          <w:szCs w:val="20"/>
        </w:rPr>
        <w:t xml:space="preserve">          </w:t>
      </w:r>
      <w:r w:rsidRPr="000977F7">
        <w:rPr>
          <w:rFonts w:asciiTheme="majorHAnsi" w:hAnsiTheme="majorHAnsi"/>
          <w:sz w:val="20"/>
          <w:szCs w:val="20"/>
        </w:rPr>
        <w:t>виконувати конкретні види</w:t>
      </w:r>
      <w:r w:rsidRPr="000977F7">
        <w:rPr>
          <w:rFonts w:asciiTheme="majorHAnsi" w:hAnsiTheme="majorHAnsi"/>
          <w:spacing w:val="50"/>
          <w:sz w:val="20"/>
          <w:szCs w:val="20"/>
        </w:rPr>
        <w:t xml:space="preserve"> </w:t>
      </w:r>
      <w:r w:rsidRPr="000977F7">
        <w:rPr>
          <w:rFonts w:asciiTheme="majorHAnsi" w:hAnsiTheme="majorHAnsi"/>
          <w:sz w:val="20"/>
          <w:szCs w:val="20"/>
        </w:rPr>
        <w:t>метрологічних робіт</w:t>
      </w:r>
      <w:r w:rsidRPr="000977F7">
        <w:rPr>
          <w:rFonts w:asciiTheme="majorHAnsi" w:hAnsiTheme="majorHAnsi"/>
          <w:spacing w:val="1"/>
          <w:sz w:val="20"/>
          <w:szCs w:val="20"/>
        </w:rPr>
        <w:t xml:space="preserve"> </w:t>
      </w:r>
    </w:p>
    <w:p w14:paraId="53826D74"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2681 - 94</w:t>
      </w:r>
    </w:p>
    <w:p w14:paraId="4DADE4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231DB85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w w:val="99"/>
          <w:sz w:val="20"/>
          <w:szCs w:val="20"/>
        </w:rPr>
        <w:t>Т</w:t>
      </w:r>
      <w:r w:rsidRPr="000977F7">
        <w:rPr>
          <w:rFonts w:asciiTheme="majorHAnsi" w:hAnsiTheme="majorHAnsi"/>
          <w:spacing w:val="-2"/>
          <w:w w:val="99"/>
          <w:sz w:val="20"/>
          <w:szCs w:val="20"/>
        </w:rPr>
        <w:t>ерм</w:t>
      </w:r>
      <w:r w:rsidRPr="000977F7">
        <w:rPr>
          <w:rFonts w:asciiTheme="majorHAnsi" w:hAnsiTheme="majorHAnsi"/>
          <w:spacing w:val="-3"/>
          <w:w w:val="99"/>
          <w:sz w:val="20"/>
          <w:szCs w:val="20"/>
        </w:rPr>
        <w:t>і</w:t>
      </w:r>
      <w:r w:rsidRPr="000977F7">
        <w:rPr>
          <w:rFonts w:asciiTheme="majorHAnsi" w:hAnsiTheme="majorHAnsi"/>
          <w:w w:val="99"/>
          <w:sz w:val="20"/>
          <w:szCs w:val="20"/>
        </w:rPr>
        <w:t>н</w:t>
      </w:r>
      <w:r w:rsidRPr="000977F7">
        <w:rPr>
          <w:rFonts w:asciiTheme="majorHAnsi" w:hAnsiTheme="majorHAnsi"/>
          <w:sz w:val="20"/>
          <w:szCs w:val="20"/>
        </w:rPr>
        <w:t xml:space="preserve"> "</w:t>
      </w:r>
      <w:r w:rsidRPr="000977F7">
        <w:rPr>
          <w:rFonts w:asciiTheme="majorHAnsi" w:hAnsiTheme="majorHAnsi"/>
          <w:w w:val="99"/>
          <w:sz w:val="20"/>
          <w:szCs w:val="20"/>
        </w:rPr>
        <w:t>а</w:t>
      </w:r>
      <w:r w:rsidRPr="000977F7">
        <w:rPr>
          <w:rFonts w:asciiTheme="majorHAnsi" w:hAnsiTheme="majorHAnsi"/>
          <w:spacing w:val="-3"/>
          <w:w w:val="99"/>
          <w:sz w:val="20"/>
          <w:szCs w:val="20"/>
        </w:rPr>
        <w:t>к</w:t>
      </w:r>
      <w:r w:rsidRPr="000977F7">
        <w:rPr>
          <w:rFonts w:asciiTheme="majorHAnsi" w:hAnsiTheme="majorHAnsi"/>
          <w:spacing w:val="-2"/>
          <w:w w:val="99"/>
          <w:sz w:val="20"/>
          <w:szCs w:val="20"/>
        </w:rPr>
        <w:t>р</w:t>
      </w:r>
      <w:r w:rsidRPr="000977F7">
        <w:rPr>
          <w:rFonts w:asciiTheme="majorHAnsi" w:hAnsiTheme="majorHAnsi"/>
          <w:w w:val="99"/>
          <w:sz w:val="20"/>
          <w:szCs w:val="20"/>
        </w:rPr>
        <w:t>е</w:t>
      </w:r>
      <w:r w:rsidRPr="000977F7">
        <w:rPr>
          <w:rFonts w:asciiTheme="majorHAnsi" w:hAnsiTheme="majorHAnsi"/>
          <w:spacing w:val="-3"/>
          <w:w w:val="99"/>
          <w:sz w:val="20"/>
          <w:szCs w:val="20"/>
        </w:rPr>
        <w:t>д</w:t>
      </w:r>
      <w:r w:rsidRPr="000977F7">
        <w:rPr>
          <w:rFonts w:asciiTheme="majorHAnsi" w:hAnsiTheme="majorHAnsi"/>
          <w:spacing w:val="-2"/>
          <w:w w:val="99"/>
          <w:sz w:val="20"/>
          <w:szCs w:val="20"/>
        </w:rPr>
        <w:t>и</w:t>
      </w:r>
      <w:r w:rsidRPr="000977F7">
        <w:rPr>
          <w:rFonts w:asciiTheme="majorHAnsi" w:hAnsiTheme="majorHAnsi"/>
          <w:spacing w:val="-3"/>
          <w:w w:val="99"/>
          <w:sz w:val="20"/>
          <w:szCs w:val="20"/>
        </w:rPr>
        <w:t>т</w:t>
      </w:r>
      <w:r w:rsidRPr="000977F7">
        <w:rPr>
          <w:rFonts w:asciiTheme="majorHAnsi" w:hAnsiTheme="majorHAnsi"/>
          <w:w w:val="99"/>
          <w:sz w:val="20"/>
          <w:szCs w:val="20"/>
        </w:rPr>
        <w:t>а</w:t>
      </w:r>
      <w:r w:rsidRPr="000977F7">
        <w:rPr>
          <w:rFonts w:asciiTheme="majorHAnsi" w:hAnsiTheme="majorHAnsi"/>
          <w:spacing w:val="-3"/>
          <w:w w:val="99"/>
          <w:sz w:val="20"/>
          <w:szCs w:val="20"/>
        </w:rPr>
        <w:t>ц</w:t>
      </w:r>
      <w:r w:rsidRPr="000977F7">
        <w:rPr>
          <w:rFonts w:asciiTheme="majorHAnsi" w:hAnsiTheme="majorHAnsi"/>
          <w:w w:val="99"/>
          <w:sz w:val="20"/>
          <w:szCs w:val="20"/>
        </w:rPr>
        <w:t>ія</w:t>
      </w:r>
      <w:r w:rsidRPr="000977F7">
        <w:rPr>
          <w:rFonts w:asciiTheme="majorHAnsi" w:hAnsiTheme="majorHAnsi"/>
          <w:sz w:val="20"/>
          <w:szCs w:val="20"/>
        </w:rPr>
        <w:t xml:space="preserve"> </w:t>
      </w:r>
      <w:r w:rsidRPr="000977F7">
        <w:rPr>
          <w:rFonts w:asciiTheme="majorHAnsi" w:hAnsiTheme="majorHAnsi"/>
          <w:spacing w:val="-1"/>
          <w:w w:val="99"/>
          <w:sz w:val="20"/>
          <w:szCs w:val="20"/>
        </w:rPr>
        <w:t>л</w:t>
      </w:r>
      <w:r w:rsidRPr="000977F7">
        <w:rPr>
          <w:rFonts w:asciiTheme="majorHAnsi" w:hAnsiTheme="majorHAnsi"/>
          <w:spacing w:val="-2"/>
          <w:w w:val="99"/>
          <w:sz w:val="20"/>
          <w:szCs w:val="20"/>
        </w:rPr>
        <w:t>а</w:t>
      </w:r>
      <w:r w:rsidRPr="000977F7">
        <w:rPr>
          <w:rFonts w:asciiTheme="majorHAnsi" w:hAnsiTheme="majorHAnsi"/>
          <w:spacing w:val="-3"/>
          <w:w w:val="99"/>
          <w:sz w:val="20"/>
          <w:szCs w:val="20"/>
        </w:rPr>
        <w:t>б</w:t>
      </w:r>
      <w:r w:rsidRPr="000977F7">
        <w:rPr>
          <w:rFonts w:asciiTheme="majorHAnsi" w:hAnsiTheme="majorHAnsi"/>
          <w:spacing w:val="-2"/>
          <w:w w:val="99"/>
          <w:sz w:val="20"/>
          <w:szCs w:val="20"/>
        </w:rPr>
        <w:t>ор</w:t>
      </w:r>
      <w:r w:rsidRPr="000977F7">
        <w:rPr>
          <w:rFonts w:asciiTheme="majorHAnsi" w:hAnsiTheme="majorHAnsi"/>
          <w:w w:val="99"/>
          <w:sz w:val="20"/>
          <w:szCs w:val="20"/>
        </w:rPr>
        <w:t>а</w:t>
      </w:r>
      <w:r w:rsidRPr="000977F7">
        <w:rPr>
          <w:rFonts w:asciiTheme="majorHAnsi" w:hAnsiTheme="majorHAnsi"/>
          <w:spacing w:val="-3"/>
          <w:w w:val="99"/>
          <w:sz w:val="20"/>
          <w:szCs w:val="20"/>
        </w:rPr>
        <w:t>т</w:t>
      </w:r>
      <w:r w:rsidRPr="000977F7">
        <w:rPr>
          <w:rFonts w:asciiTheme="majorHAnsi" w:hAnsiTheme="majorHAnsi"/>
          <w:spacing w:val="-2"/>
          <w:w w:val="99"/>
          <w:sz w:val="20"/>
          <w:szCs w:val="20"/>
        </w:rPr>
        <w:t>ор</w:t>
      </w:r>
      <w:r w:rsidRPr="000977F7">
        <w:rPr>
          <w:rFonts w:asciiTheme="majorHAnsi" w:hAnsiTheme="majorHAnsi"/>
          <w:spacing w:val="-3"/>
          <w:w w:val="99"/>
          <w:sz w:val="20"/>
          <w:szCs w:val="20"/>
        </w:rPr>
        <w:t>і</w:t>
      </w:r>
      <w:r w:rsidRPr="000977F7">
        <w:rPr>
          <w:rFonts w:asciiTheme="majorHAnsi" w:hAnsiTheme="majorHAnsi"/>
          <w:spacing w:val="-4"/>
          <w:w w:val="99"/>
          <w:sz w:val="20"/>
          <w:szCs w:val="20"/>
        </w:rPr>
        <w:t>й"</w:t>
      </w:r>
      <w:r w:rsidRPr="000977F7">
        <w:rPr>
          <w:rFonts w:asciiTheme="majorHAnsi" w:hAnsiTheme="majorHAnsi"/>
          <w:spacing w:val="-9"/>
          <w:sz w:val="20"/>
          <w:szCs w:val="20"/>
        </w:rPr>
        <w:t xml:space="preserve"> </w:t>
      </w:r>
      <w:r w:rsidRPr="000977F7">
        <w:rPr>
          <w:rFonts w:asciiTheme="majorHAnsi" w:hAnsiTheme="majorHAnsi"/>
          <w:spacing w:val="-2"/>
          <w:w w:val="99"/>
          <w:sz w:val="20"/>
          <w:szCs w:val="20"/>
        </w:rPr>
        <w:t>м</w:t>
      </w:r>
      <w:r w:rsidRPr="000977F7">
        <w:rPr>
          <w:rFonts w:asciiTheme="majorHAnsi" w:hAnsiTheme="majorHAnsi"/>
          <w:spacing w:val="1"/>
          <w:w w:val="99"/>
          <w:sz w:val="20"/>
          <w:szCs w:val="20"/>
        </w:rPr>
        <w:t>о</w:t>
      </w:r>
      <w:r w:rsidRPr="000977F7">
        <w:rPr>
          <w:rFonts w:asciiTheme="majorHAnsi" w:hAnsiTheme="majorHAnsi"/>
          <w:spacing w:val="-4"/>
          <w:w w:val="99"/>
          <w:sz w:val="20"/>
          <w:szCs w:val="20"/>
        </w:rPr>
        <w:t>ж</w:t>
      </w:r>
      <w:r w:rsidRPr="000977F7">
        <w:rPr>
          <w:rFonts w:asciiTheme="majorHAnsi" w:hAnsiTheme="majorHAnsi"/>
          <w:w w:val="99"/>
          <w:sz w:val="20"/>
          <w:szCs w:val="20"/>
        </w:rPr>
        <w:t>е</w:t>
      </w:r>
      <w:r w:rsidRPr="000977F7">
        <w:rPr>
          <w:rFonts w:asciiTheme="majorHAnsi" w:hAnsiTheme="majorHAnsi"/>
          <w:sz w:val="20"/>
          <w:szCs w:val="20"/>
        </w:rPr>
        <w:t xml:space="preserve"> о</w:t>
      </w:r>
      <w:r w:rsidRPr="000977F7">
        <w:rPr>
          <w:rFonts w:asciiTheme="majorHAnsi" w:hAnsiTheme="majorHAnsi"/>
          <w:w w:val="99"/>
          <w:sz w:val="20"/>
          <w:szCs w:val="20"/>
        </w:rPr>
        <w:t>з</w:t>
      </w:r>
      <w:r w:rsidRPr="000977F7">
        <w:rPr>
          <w:rFonts w:asciiTheme="majorHAnsi" w:hAnsiTheme="majorHAnsi"/>
          <w:spacing w:val="-3"/>
          <w:w w:val="99"/>
          <w:sz w:val="20"/>
          <w:szCs w:val="20"/>
        </w:rPr>
        <w:t>н</w:t>
      </w:r>
      <w:r w:rsidRPr="000977F7">
        <w:rPr>
          <w:rFonts w:asciiTheme="majorHAnsi" w:hAnsiTheme="majorHAnsi"/>
          <w:spacing w:val="-2"/>
          <w:w w:val="99"/>
          <w:sz w:val="20"/>
          <w:szCs w:val="20"/>
        </w:rPr>
        <w:t>ач</w:t>
      </w:r>
      <w:r w:rsidRPr="000977F7">
        <w:rPr>
          <w:rFonts w:asciiTheme="majorHAnsi" w:hAnsiTheme="majorHAnsi"/>
          <w:w w:val="99"/>
          <w:sz w:val="20"/>
          <w:szCs w:val="20"/>
        </w:rPr>
        <w:t>ати</w:t>
      </w:r>
      <w:r w:rsidRPr="000977F7">
        <w:rPr>
          <w:rFonts w:asciiTheme="majorHAnsi" w:hAnsiTheme="majorHAnsi"/>
          <w:sz w:val="20"/>
          <w:szCs w:val="20"/>
        </w:rPr>
        <w:t xml:space="preserve"> </w:t>
      </w:r>
      <w:r w:rsidRPr="000977F7">
        <w:rPr>
          <w:rFonts w:asciiTheme="majorHAnsi" w:hAnsiTheme="majorHAnsi"/>
          <w:w w:val="99"/>
          <w:sz w:val="20"/>
          <w:szCs w:val="20"/>
        </w:rPr>
        <w:t>в</w:t>
      </w:r>
      <w:r w:rsidRPr="000977F7">
        <w:rPr>
          <w:rFonts w:asciiTheme="majorHAnsi" w:hAnsiTheme="majorHAnsi"/>
          <w:spacing w:val="-1"/>
          <w:w w:val="99"/>
          <w:sz w:val="20"/>
          <w:szCs w:val="20"/>
        </w:rPr>
        <w:t>и</w:t>
      </w:r>
      <w:r w:rsidRPr="000977F7">
        <w:rPr>
          <w:rFonts w:asciiTheme="majorHAnsi" w:hAnsiTheme="majorHAnsi"/>
          <w:sz w:val="20"/>
          <w:szCs w:val="20"/>
        </w:rPr>
        <w:t>знання</w:t>
      </w:r>
      <w:r w:rsidRPr="000977F7">
        <w:rPr>
          <w:rFonts w:asciiTheme="majorHAnsi" w:hAnsiTheme="majorHAnsi"/>
          <w:spacing w:val="31"/>
          <w:sz w:val="20"/>
          <w:szCs w:val="20"/>
        </w:rPr>
        <w:t xml:space="preserve"> </w:t>
      </w:r>
      <w:r w:rsidRPr="000977F7">
        <w:rPr>
          <w:rFonts w:asciiTheme="majorHAnsi" w:hAnsiTheme="majorHAnsi"/>
          <w:sz w:val="20"/>
          <w:szCs w:val="20"/>
        </w:rPr>
        <w:t>як</w:t>
      </w:r>
      <w:r w:rsidRPr="000977F7">
        <w:rPr>
          <w:rFonts w:asciiTheme="majorHAnsi" w:hAnsiTheme="majorHAnsi"/>
          <w:spacing w:val="31"/>
          <w:sz w:val="20"/>
          <w:szCs w:val="20"/>
        </w:rPr>
        <w:t xml:space="preserve"> </w:t>
      </w:r>
      <w:r w:rsidRPr="000977F7">
        <w:rPr>
          <w:rFonts w:asciiTheme="majorHAnsi" w:hAnsiTheme="majorHAnsi"/>
          <w:sz w:val="20"/>
          <w:szCs w:val="20"/>
        </w:rPr>
        <w:t>технічної</w:t>
      </w:r>
      <w:r w:rsidRPr="000977F7">
        <w:rPr>
          <w:rFonts w:asciiTheme="majorHAnsi" w:hAnsiTheme="majorHAnsi"/>
          <w:spacing w:val="31"/>
          <w:sz w:val="20"/>
          <w:szCs w:val="20"/>
        </w:rPr>
        <w:t xml:space="preserve"> </w:t>
      </w:r>
      <w:r w:rsidRPr="000977F7">
        <w:rPr>
          <w:rFonts w:asciiTheme="majorHAnsi" w:hAnsiTheme="majorHAnsi"/>
          <w:sz w:val="20"/>
          <w:szCs w:val="20"/>
        </w:rPr>
        <w:t>компетентності</w:t>
      </w:r>
      <w:r w:rsidRPr="000977F7">
        <w:rPr>
          <w:rFonts w:asciiTheme="majorHAnsi" w:hAnsiTheme="majorHAnsi"/>
          <w:spacing w:val="33"/>
          <w:sz w:val="20"/>
          <w:szCs w:val="20"/>
        </w:rPr>
        <w:t xml:space="preserve"> </w:t>
      </w:r>
      <w:r w:rsidRPr="000977F7">
        <w:rPr>
          <w:rFonts w:asciiTheme="majorHAnsi" w:hAnsiTheme="majorHAnsi"/>
          <w:sz w:val="20"/>
          <w:szCs w:val="20"/>
        </w:rPr>
        <w:t>та</w:t>
      </w:r>
      <w:r w:rsidRPr="000977F7">
        <w:rPr>
          <w:rFonts w:asciiTheme="majorHAnsi" w:hAnsiTheme="majorHAnsi"/>
          <w:spacing w:val="32"/>
          <w:sz w:val="20"/>
          <w:szCs w:val="20"/>
        </w:rPr>
        <w:t xml:space="preserve"> </w:t>
      </w:r>
      <w:r w:rsidRPr="000977F7">
        <w:rPr>
          <w:rFonts w:asciiTheme="majorHAnsi" w:hAnsiTheme="majorHAnsi"/>
          <w:sz w:val="20"/>
          <w:szCs w:val="20"/>
        </w:rPr>
        <w:t>об’єктивності</w:t>
      </w:r>
      <w:r w:rsidRPr="000977F7">
        <w:rPr>
          <w:rFonts w:asciiTheme="majorHAnsi" w:hAnsiTheme="majorHAnsi"/>
          <w:spacing w:val="-47"/>
          <w:sz w:val="20"/>
          <w:szCs w:val="20"/>
        </w:rPr>
        <w:t xml:space="preserve"> </w:t>
      </w:r>
      <w:r w:rsidRPr="000977F7">
        <w:rPr>
          <w:rFonts w:asciiTheme="majorHAnsi" w:hAnsiTheme="majorHAnsi"/>
          <w:sz w:val="20"/>
          <w:szCs w:val="20"/>
        </w:rPr>
        <w:t>випробувальної</w:t>
      </w:r>
      <w:r w:rsidRPr="000977F7">
        <w:rPr>
          <w:rFonts w:asciiTheme="majorHAnsi" w:hAnsiTheme="majorHAnsi"/>
          <w:spacing w:val="34"/>
          <w:sz w:val="20"/>
          <w:szCs w:val="20"/>
        </w:rPr>
        <w:t xml:space="preserve"> </w:t>
      </w:r>
      <w:r w:rsidRPr="000977F7">
        <w:rPr>
          <w:rFonts w:asciiTheme="majorHAnsi" w:hAnsiTheme="majorHAnsi"/>
          <w:sz w:val="20"/>
          <w:szCs w:val="20"/>
        </w:rPr>
        <w:t>лабораторії,</w:t>
      </w:r>
      <w:r w:rsidRPr="000977F7">
        <w:rPr>
          <w:rFonts w:asciiTheme="majorHAnsi" w:hAnsiTheme="majorHAnsi"/>
          <w:spacing w:val="36"/>
          <w:sz w:val="20"/>
          <w:szCs w:val="20"/>
        </w:rPr>
        <w:t xml:space="preserve"> </w:t>
      </w:r>
      <w:r w:rsidRPr="000977F7">
        <w:rPr>
          <w:rFonts w:asciiTheme="majorHAnsi" w:hAnsiTheme="majorHAnsi"/>
          <w:sz w:val="20"/>
          <w:szCs w:val="20"/>
        </w:rPr>
        <w:t>так</w:t>
      </w:r>
      <w:r w:rsidRPr="000977F7">
        <w:rPr>
          <w:rFonts w:asciiTheme="majorHAnsi" w:hAnsiTheme="majorHAnsi"/>
          <w:spacing w:val="36"/>
          <w:sz w:val="20"/>
          <w:szCs w:val="20"/>
        </w:rPr>
        <w:t xml:space="preserve"> </w:t>
      </w:r>
      <w:r w:rsidRPr="000977F7">
        <w:rPr>
          <w:rFonts w:asciiTheme="majorHAnsi" w:hAnsiTheme="majorHAnsi"/>
          <w:sz w:val="20"/>
          <w:szCs w:val="20"/>
        </w:rPr>
        <w:t>і</w:t>
      </w:r>
      <w:r w:rsidRPr="000977F7">
        <w:rPr>
          <w:rFonts w:asciiTheme="majorHAnsi" w:hAnsiTheme="majorHAnsi"/>
          <w:spacing w:val="34"/>
          <w:sz w:val="20"/>
          <w:szCs w:val="20"/>
        </w:rPr>
        <w:t xml:space="preserve"> </w:t>
      </w:r>
      <w:r w:rsidRPr="000977F7">
        <w:rPr>
          <w:rFonts w:asciiTheme="majorHAnsi" w:hAnsiTheme="majorHAnsi"/>
          <w:sz w:val="20"/>
          <w:szCs w:val="20"/>
        </w:rPr>
        <w:t>тільки</w:t>
      </w:r>
      <w:r w:rsidRPr="000977F7">
        <w:rPr>
          <w:rFonts w:asciiTheme="majorHAnsi" w:hAnsiTheme="majorHAnsi"/>
          <w:spacing w:val="33"/>
          <w:sz w:val="20"/>
          <w:szCs w:val="20"/>
        </w:rPr>
        <w:t xml:space="preserve"> </w:t>
      </w:r>
      <w:r w:rsidRPr="000977F7">
        <w:rPr>
          <w:rFonts w:asciiTheme="majorHAnsi" w:hAnsiTheme="majorHAnsi"/>
          <w:sz w:val="20"/>
          <w:szCs w:val="20"/>
        </w:rPr>
        <w:t>її</w:t>
      </w:r>
      <w:r w:rsidRPr="000977F7">
        <w:rPr>
          <w:rFonts w:asciiTheme="majorHAnsi" w:hAnsiTheme="majorHAnsi"/>
          <w:spacing w:val="35"/>
          <w:sz w:val="20"/>
          <w:szCs w:val="20"/>
        </w:rPr>
        <w:t xml:space="preserve"> </w:t>
      </w:r>
      <w:r w:rsidRPr="000977F7">
        <w:rPr>
          <w:rFonts w:asciiTheme="majorHAnsi" w:hAnsiTheme="majorHAnsi"/>
          <w:sz w:val="20"/>
          <w:szCs w:val="20"/>
        </w:rPr>
        <w:t xml:space="preserve">технічної </w:t>
      </w:r>
      <w:r w:rsidRPr="000977F7">
        <w:rPr>
          <w:rFonts w:asciiTheme="majorHAnsi" w:hAnsiTheme="majorHAnsi"/>
          <w:spacing w:val="-47"/>
          <w:sz w:val="20"/>
          <w:szCs w:val="20"/>
        </w:rPr>
        <w:t xml:space="preserve"> </w:t>
      </w:r>
      <w:r w:rsidRPr="000977F7">
        <w:rPr>
          <w:rFonts w:asciiTheme="majorHAnsi" w:hAnsiTheme="majorHAnsi"/>
          <w:sz w:val="20"/>
          <w:szCs w:val="20"/>
        </w:rPr>
        <w:t>компетентності.</w:t>
      </w:r>
      <w:r w:rsidRPr="000977F7">
        <w:rPr>
          <w:rFonts w:asciiTheme="majorHAnsi" w:hAnsiTheme="majorHAnsi"/>
          <w:spacing w:val="32"/>
          <w:sz w:val="20"/>
          <w:szCs w:val="20"/>
        </w:rPr>
        <w:t xml:space="preserve"> </w:t>
      </w:r>
      <w:r w:rsidRPr="000977F7">
        <w:rPr>
          <w:rFonts w:asciiTheme="majorHAnsi" w:hAnsiTheme="majorHAnsi"/>
          <w:sz w:val="20"/>
          <w:szCs w:val="20"/>
        </w:rPr>
        <w:t>Акредитація</w:t>
      </w:r>
      <w:r w:rsidRPr="000977F7">
        <w:rPr>
          <w:rFonts w:asciiTheme="majorHAnsi" w:hAnsiTheme="majorHAnsi"/>
          <w:spacing w:val="30"/>
          <w:sz w:val="20"/>
          <w:szCs w:val="20"/>
        </w:rPr>
        <w:t xml:space="preserve"> </w:t>
      </w:r>
      <w:r w:rsidRPr="000977F7">
        <w:rPr>
          <w:rFonts w:asciiTheme="majorHAnsi" w:hAnsiTheme="majorHAnsi"/>
          <w:sz w:val="20"/>
          <w:szCs w:val="20"/>
        </w:rPr>
        <w:t>звичайно</w:t>
      </w:r>
      <w:r w:rsidRPr="000977F7">
        <w:rPr>
          <w:rFonts w:asciiTheme="majorHAnsi" w:hAnsiTheme="majorHAnsi"/>
          <w:spacing w:val="31"/>
          <w:sz w:val="20"/>
          <w:szCs w:val="20"/>
        </w:rPr>
        <w:t xml:space="preserve"> </w:t>
      </w:r>
      <w:r w:rsidRPr="000977F7">
        <w:rPr>
          <w:rFonts w:asciiTheme="majorHAnsi" w:hAnsiTheme="majorHAnsi"/>
          <w:sz w:val="20"/>
          <w:szCs w:val="20"/>
        </w:rPr>
        <w:t>є</w:t>
      </w:r>
      <w:r w:rsidRPr="000977F7">
        <w:rPr>
          <w:rFonts w:asciiTheme="majorHAnsi" w:hAnsiTheme="majorHAnsi"/>
          <w:spacing w:val="32"/>
          <w:sz w:val="20"/>
          <w:szCs w:val="20"/>
        </w:rPr>
        <w:t xml:space="preserve"> </w:t>
      </w:r>
      <w:r w:rsidRPr="000977F7">
        <w:rPr>
          <w:rFonts w:asciiTheme="majorHAnsi" w:hAnsiTheme="majorHAnsi"/>
          <w:sz w:val="20"/>
          <w:szCs w:val="20"/>
        </w:rPr>
        <w:t xml:space="preserve">позитивним </w:t>
      </w:r>
      <w:r w:rsidRPr="000977F7">
        <w:rPr>
          <w:rFonts w:asciiTheme="majorHAnsi" w:hAnsiTheme="majorHAnsi"/>
          <w:spacing w:val="-2"/>
          <w:sz w:val="20"/>
          <w:szCs w:val="20"/>
        </w:rPr>
        <w:t xml:space="preserve">наслідком </w:t>
      </w:r>
      <w:r w:rsidRPr="000977F7">
        <w:rPr>
          <w:rFonts w:asciiTheme="majorHAnsi" w:hAnsiTheme="majorHAnsi"/>
          <w:spacing w:val="-1"/>
          <w:sz w:val="20"/>
          <w:szCs w:val="20"/>
        </w:rPr>
        <w:t>атестації лабораторії з подальшим наглядом</w:t>
      </w:r>
    </w:p>
    <w:p w14:paraId="4635E08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АКРЕДИТОВАНА</w:t>
      </w:r>
      <w:r w:rsidRPr="000977F7">
        <w:rPr>
          <w:color w:val="auto"/>
          <w:spacing w:val="-6"/>
          <w:sz w:val="20"/>
          <w:szCs w:val="20"/>
        </w:rPr>
        <w:t xml:space="preserve"> </w:t>
      </w:r>
      <w:r w:rsidRPr="000977F7">
        <w:rPr>
          <w:color w:val="auto"/>
          <w:sz w:val="20"/>
          <w:szCs w:val="20"/>
        </w:rPr>
        <w:t>ЛАБОРАТОРІЯ</w:t>
      </w:r>
      <w:r w:rsidRPr="000977F7">
        <w:rPr>
          <w:color w:val="auto"/>
          <w:spacing w:val="-3"/>
          <w:sz w:val="20"/>
          <w:szCs w:val="20"/>
        </w:rPr>
        <w:t xml:space="preserve"> </w:t>
      </w:r>
      <w:r w:rsidRPr="000977F7">
        <w:rPr>
          <w:color w:val="auto"/>
          <w:sz w:val="20"/>
          <w:szCs w:val="20"/>
        </w:rPr>
        <w:t>–</w:t>
      </w:r>
    </w:p>
    <w:p w14:paraId="1BF3B612"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ACCREDITED</w:t>
      </w:r>
      <w:r w:rsidRPr="002E19DF">
        <w:rPr>
          <w:rFonts w:asciiTheme="majorHAnsi" w:hAnsiTheme="majorHAnsi"/>
          <w:spacing w:val="-4"/>
          <w:sz w:val="20"/>
          <w:szCs w:val="20"/>
          <w:lang w:val="uk-UA"/>
        </w:rPr>
        <w:t xml:space="preserve"> </w:t>
      </w:r>
      <w:r w:rsidRPr="000977F7">
        <w:rPr>
          <w:rFonts w:asciiTheme="majorHAnsi" w:hAnsiTheme="majorHAnsi"/>
          <w:sz w:val="20"/>
          <w:szCs w:val="20"/>
        </w:rPr>
        <w:t>LABORATORY</w:t>
      </w:r>
      <w:r w:rsidRPr="002E19DF">
        <w:rPr>
          <w:rFonts w:asciiTheme="majorHAnsi" w:hAnsiTheme="majorHAnsi"/>
          <w:sz w:val="20"/>
          <w:szCs w:val="20"/>
          <w:lang w:val="uk-UA"/>
        </w:rPr>
        <w:t xml:space="preserve"> –</w:t>
      </w:r>
    </w:p>
    <w:p w14:paraId="6F9CA342"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uk-UA"/>
        </w:rPr>
      </w:pPr>
      <w:r w:rsidRPr="002E19DF">
        <w:rPr>
          <w:rFonts w:asciiTheme="majorHAnsi" w:hAnsiTheme="majorHAnsi"/>
          <w:spacing w:val="-2"/>
          <w:sz w:val="20"/>
          <w:szCs w:val="20"/>
          <w:lang w:val="uk-UA"/>
        </w:rPr>
        <w:t>Випробувальна</w:t>
      </w:r>
      <w:r w:rsidRPr="002E19DF">
        <w:rPr>
          <w:rFonts w:asciiTheme="majorHAnsi" w:hAnsiTheme="majorHAnsi"/>
          <w:spacing w:val="-9"/>
          <w:sz w:val="20"/>
          <w:szCs w:val="20"/>
          <w:lang w:val="uk-UA"/>
        </w:rPr>
        <w:t xml:space="preserve"> </w:t>
      </w:r>
      <w:r w:rsidRPr="002E19DF">
        <w:rPr>
          <w:rFonts w:asciiTheme="majorHAnsi" w:hAnsiTheme="majorHAnsi"/>
          <w:spacing w:val="-2"/>
          <w:sz w:val="20"/>
          <w:szCs w:val="20"/>
          <w:lang w:val="uk-UA"/>
        </w:rPr>
        <w:t>лабораторія,</w:t>
      </w:r>
      <w:r w:rsidRPr="002E19DF">
        <w:rPr>
          <w:rFonts w:asciiTheme="majorHAnsi" w:hAnsiTheme="majorHAnsi"/>
          <w:spacing w:val="-9"/>
          <w:sz w:val="20"/>
          <w:szCs w:val="20"/>
          <w:lang w:val="uk-UA"/>
        </w:rPr>
        <w:t xml:space="preserve"> </w:t>
      </w:r>
      <w:r w:rsidRPr="002E19DF">
        <w:rPr>
          <w:rFonts w:asciiTheme="majorHAnsi" w:hAnsiTheme="majorHAnsi"/>
          <w:spacing w:val="-1"/>
          <w:sz w:val="20"/>
          <w:szCs w:val="20"/>
          <w:lang w:val="uk-UA"/>
        </w:rPr>
        <w:t>яка</w:t>
      </w:r>
      <w:r w:rsidRPr="002E19DF">
        <w:rPr>
          <w:rFonts w:asciiTheme="majorHAnsi" w:hAnsiTheme="majorHAnsi"/>
          <w:spacing w:val="-9"/>
          <w:sz w:val="20"/>
          <w:szCs w:val="20"/>
          <w:lang w:val="uk-UA"/>
        </w:rPr>
        <w:t xml:space="preserve"> </w:t>
      </w:r>
      <w:r w:rsidRPr="002E19DF">
        <w:rPr>
          <w:rFonts w:asciiTheme="majorHAnsi" w:hAnsiTheme="majorHAnsi"/>
          <w:spacing w:val="-1"/>
          <w:sz w:val="20"/>
          <w:szCs w:val="20"/>
          <w:lang w:val="uk-UA"/>
        </w:rPr>
        <w:t>пройшла</w:t>
      </w:r>
      <w:r w:rsidRPr="002E19DF">
        <w:rPr>
          <w:rFonts w:asciiTheme="majorHAnsi" w:hAnsiTheme="majorHAnsi"/>
          <w:spacing w:val="-11"/>
          <w:sz w:val="20"/>
          <w:szCs w:val="20"/>
          <w:lang w:val="uk-UA"/>
        </w:rPr>
        <w:t xml:space="preserve"> </w:t>
      </w:r>
      <w:r w:rsidRPr="002E19DF">
        <w:rPr>
          <w:rFonts w:asciiTheme="majorHAnsi" w:hAnsiTheme="majorHAnsi"/>
          <w:spacing w:val="-1"/>
          <w:sz w:val="20"/>
          <w:szCs w:val="20"/>
          <w:lang w:val="uk-UA"/>
        </w:rPr>
        <w:t>акредитацію</w:t>
      </w:r>
    </w:p>
    <w:p w14:paraId="6730093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3021 - 95</w:t>
      </w:r>
    </w:p>
    <w:p w14:paraId="38DDA47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АКТ</w:t>
      </w:r>
      <w:r w:rsidRPr="000977F7">
        <w:rPr>
          <w:color w:val="auto"/>
          <w:spacing w:val="-7"/>
          <w:sz w:val="20"/>
          <w:szCs w:val="20"/>
        </w:rPr>
        <w:t xml:space="preserve"> </w:t>
      </w:r>
      <w:r w:rsidRPr="000977F7">
        <w:rPr>
          <w:color w:val="auto"/>
          <w:sz w:val="20"/>
          <w:szCs w:val="20"/>
        </w:rPr>
        <w:t>АВТОРСЬКОГО</w:t>
      </w:r>
      <w:r w:rsidRPr="000977F7">
        <w:rPr>
          <w:color w:val="auto"/>
          <w:spacing w:val="-4"/>
          <w:sz w:val="20"/>
          <w:szCs w:val="20"/>
        </w:rPr>
        <w:t xml:space="preserve"> </w:t>
      </w:r>
      <w:r w:rsidRPr="000977F7">
        <w:rPr>
          <w:color w:val="auto"/>
          <w:sz w:val="20"/>
          <w:szCs w:val="20"/>
        </w:rPr>
        <w:t>НАГЛЯДУ</w:t>
      </w:r>
      <w:r w:rsidRPr="000977F7">
        <w:rPr>
          <w:color w:val="auto"/>
          <w:spacing w:val="-2"/>
          <w:sz w:val="20"/>
          <w:szCs w:val="20"/>
        </w:rPr>
        <w:t xml:space="preserve"> </w:t>
      </w:r>
      <w:r w:rsidRPr="000977F7">
        <w:rPr>
          <w:color w:val="auto"/>
          <w:sz w:val="20"/>
          <w:szCs w:val="20"/>
        </w:rPr>
        <w:t>–</w:t>
      </w:r>
    </w:p>
    <w:p w14:paraId="29FC74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про результати авторського нагляду, який</w:t>
      </w:r>
      <w:r w:rsidRPr="000977F7">
        <w:rPr>
          <w:rFonts w:asciiTheme="majorHAnsi" w:hAnsiTheme="majorHAnsi"/>
          <w:spacing w:val="1"/>
          <w:sz w:val="20"/>
          <w:szCs w:val="20"/>
        </w:rPr>
        <w:t xml:space="preserve"> </w:t>
      </w:r>
      <w:r w:rsidRPr="000977F7">
        <w:rPr>
          <w:rFonts w:asciiTheme="majorHAnsi" w:hAnsiTheme="majorHAnsi"/>
          <w:sz w:val="20"/>
          <w:szCs w:val="20"/>
        </w:rPr>
        <w:t>містить</w:t>
      </w:r>
      <w:r w:rsidRPr="000977F7">
        <w:rPr>
          <w:rFonts w:asciiTheme="majorHAnsi" w:hAnsiTheme="majorHAnsi"/>
          <w:spacing w:val="1"/>
          <w:sz w:val="20"/>
          <w:szCs w:val="20"/>
        </w:rPr>
        <w:t xml:space="preserve"> </w:t>
      </w:r>
      <w:r w:rsidRPr="000977F7">
        <w:rPr>
          <w:rFonts w:asciiTheme="majorHAnsi" w:hAnsiTheme="majorHAnsi"/>
          <w:sz w:val="20"/>
          <w:szCs w:val="20"/>
        </w:rPr>
        <w:t>дані</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виконані</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1"/>
          <w:sz w:val="20"/>
          <w:szCs w:val="20"/>
        </w:rPr>
        <w:t xml:space="preserve"> </w:t>
      </w:r>
      <w:r w:rsidRPr="000977F7">
        <w:rPr>
          <w:rFonts w:asciiTheme="majorHAnsi" w:hAnsiTheme="majorHAnsi"/>
          <w:sz w:val="20"/>
          <w:szCs w:val="20"/>
        </w:rPr>
        <w:t>перелік</w:t>
      </w:r>
      <w:r w:rsidRPr="000977F7">
        <w:rPr>
          <w:rFonts w:asciiTheme="majorHAnsi" w:hAnsiTheme="majorHAnsi"/>
          <w:spacing w:val="-47"/>
          <w:sz w:val="20"/>
          <w:szCs w:val="20"/>
        </w:rPr>
        <w:t xml:space="preserve"> </w:t>
      </w:r>
      <w:r w:rsidRPr="000977F7">
        <w:rPr>
          <w:rFonts w:asciiTheme="majorHAnsi" w:hAnsiTheme="majorHAnsi"/>
          <w:sz w:val="20"/>
          <w:szCs w:val="20"/>
        </w:rPr>
        <w:t>робіт які підлягають до виконання підприємством –</w:t>
      </w:r>
      <w:r w:rsidRPr="000977F7">
        <w:rPr>
          <w:rFonts w:asciiTheme="majorHAnsi" w:hAnsiTheme="majorHAnsi"/>
          <w:spacing w:val="1"/>
          <w:sz w:val="20"/>
          <w:szCs w:val="20"/>
        </w:rPr>
        <w:t xml:space="preserve"> </w:t>
      </w:r>
      <w:r w:rsidRPr="000977F7">
        <w:rPr>
          <w:rFonts w:asciiTheme="majorHAnsi" w:hAnsiTheme="majorHAnsi"/>
          <w:sz w:val="20"/>
          <w:szCs w:val="20"/>
        </w:rPr>
        <w:t>виготовлювачем,</w:t>
      </w:r>
      <w:r w:rsidRPr="000977F7">
        <w:rPr>
          <w:rFonts w:asciiTheme="majorHAnsi" w:hAnsiTheme="majorHAnsi"/>
          <w:spacing w:val="-1"/>
          <w:sz w:val="20"/>
          <w:szCs w:val="20"/>
        </w:rPr>
        <w:t xml:space="preserve"> </w:t>
      </w:r>
      <w:r w:rsidRPr="000977F7">
        <w:rPr>
          <w:rFonts w:asciiTheme="majorHAnsi" w:hAnsiTheme="majorHAnsi"/>
          <w:sz w:val="20"/>
          <w:szCs w:val="20"/>
        </w:rPr>
        <w:t>та їх</w:t>
      </w:r>
      <w:r w:rsidRPr="000977F7">
        <w:rPr>
          <w:rFonts w:asciiTheme="majorHAnsi" w:hAnsiTheme="majorHAnsi"/>
          <w:spacing w:val="-1"/>
          <w:sz w:val="20"/>
          <w:szCs w:val="20"/>
        </w:rPr>
        <w:t xml:space="preserve"> </w:t>
      </w:r>
      <w:r w:rsidRPr="000977F7">
        <w:rPr>
          <w:rFonts w:asciiTheme="majorHAnsi" w:hAnsiTheme="majorHAnsi"/>
          <w:sz w:val="20"/>
          <w:szCs w:val="20"/>
        </w:rPr>
        <w:t>терміни</w:t>
      </w:r>
    </w:p>
    <w:p w14:paraId="54FEECB9" w14:textId="77777777" w:rsidR="0097612F" w:rsidRPr="000977F7" w:rsidRDefault="0097612F" w:rsidP="000977F7">
      <w:pPr>
        <w:pStyle w:val="7"/>
        <w:tabs>
          <w:tab w:val="left" w:pos="284"/>
          <w:tab w:val="left" w:pos="1099"/>
          <w:tab w:val="left" w:pos="2718"/>
          <w:tab w:val="left" w:pos="4348"/>
        </w:tabs>
        <w:spacing w:before="0" w:line="240" w:lineRule="auto"/>
        <w:ind w:left="170"/>
        <w:mirrorIndents/>
        <w:jc w:val="both"/>
        <w:rPr>
          <w:color w:val="auto"/>
          <w:sz w:val="20"/>
          <w:szCs w:val="20"/>
        </w:rPr>
      </w:pPr>
      <w:r w:rsidRPr="000977F7">
        <w:rPr>
          <w:color w:val="auto"/>
          <w:sz w:val="20"/>
          <w:szCs w:val="20"/>
        </w:rPr>
        <w:t xml:space="preserve">АКТ ПРИЙМАННЯ ДОСЛІДНОГО </w:t>
      </w:r>
      <w:r w:rsidRPr="000977F7">
        <w:rPr>
          <w:color w:val="auto"/>
          <w:spacing w:val="-1"/>
          <w:sz w:val="20"/>
          <w:szCs w:val="20"/>
        </w:rPr>
        <w:t>ЗРАЗКА</w:t>
      </w:r>
      <w:r w:rsidRPr="000977F7">
        <w:rPr>
          <w:color w:val="auto"/>
          <w:spacing w:val="-47"/>
          <w:sz w:val="20"/>
          <w:szCs w:val="20"/>
        </w:rPr>
        <w:t xml:space="preserve"> </w:t>
      </w:r>
      <w:r w:rsidRPr="000977F7">
        <w:rPr>
          <w:color w:val="auto"/>
          <w:sz w:val="20"/>
          <w:szCs w:val="20"/>
        </w:rPr>
        <w:t>(ДОСЛІДНОЇ</w:t>
      </w:r>
      <w:r w:rsidRPr="000977F7">
        <w:rPr>
          <w:color w:val="auto"/>
          <w:spacing w:val="-2"/>
          <w:sz w:val="20"/>
          <w:szCs w:val="20"/>
        </w:rPr>
        <w:t xml:space="preserve"> </w:t>
      </w:r>
      <w:r w:rsidRPr="000977F7">
        <w:rPr>
          <w:color w:val="auto"/>
          <w:sz w:val="20"/>
          <w:szCs w:val="20"/>
        </w:rPr>
        <w:t>ПАРТІЇ)</w:t>
      </w:r>
      <w:r w:rsidRPr="000977F7">
        <w:rPr>
          <w:color w:val="auto"/>
          <w:spacing w:val="2"/>
          <w:sz w:val="20"/>
          <w:szCs w:val="20"/>
        </w:rPr>
        <w:t xml:space="preserve"> </w:t>
      </w:r>
      <w:r w:rsidRPr="000977F7">
        <w:rPr>
          <w:color w:val="auto"/>
          <w:sz w:val="20"/>
          <w:szCs w:val="20"/>
        </w:rPr>
        <w:t>–</w:t>
      </w:r>
    </w:p>
    <w:p w14:paraId="52CC68E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складений</w:t>
      </w:r>
      <w:r w:rsidRPr="000977F7">
        <w:rPr>
          <w:rFonts w:asciiTheme="majorHAnsi" w:hAnsiTheme="majorHAnsi"/>
          <w:spacing w:val="1"/>
          <w:sz w:val="20"/>
          <w:szCs w:val="20"/>
        </w:rPr>
        <w:t xml:space="preserve"> </w:t>
      </w:r>
      <w:r w:rsidRPr="000977F7">
        <w:rPr>
          <w:rFonts w:asciiTheme="majorHAnsi" w:hAnsiTheme="majorHAnsi"/>
          <w:sz w:val="20"/>
          <w:szCs w:val="20"/>
        </w:rPr>
        <w:t>приймальною</w:t>
      </w:r>
      <w:r w:rsidRPr="000977F7">
        <w:rPr>
          <w:rFonts w:asciiTheme="majorHAnsi" w:hAnsiTheme="majorHAnsi"/>
          <w:spacing w:val="1"/>
          <w:sz w:val="20"/>
          <w:szCs w:val="20"/>
        </w:rPr>
        <w:t xml:space="preserve"> </w:t>
      </w:r>
      <w:r w:rsidRPr="000977F7">
        <w:rPr>
          <w:rFonts w:asciiTheme="majorHAnsi" w:hAnsiTheme="majorHAnsi"/>
          <w:sz w:val="20"/>
          <w:szCs w:val="20"/>
        </w:rPr>
        <w:t>комісією,</w:t>
      </w:r>
      <w:r w:rsidRPr="000977F7">
        <w:rPr>
          <w:rFonts w:asciiTheme="majorHAnsi" w:hAnsiTheme="majorHAnsi"/>
          <w:spacing w:val="1"/>
          <w:sz w:val="20"/>
          <w:szCs w:val="20"/>
        </w:rPr>
        <w:t xml:space="preserve"> </w:t>
      </w:r>
      <w:r w:rsidRPr="000977F7">
        <w:rPr>
          <w:rFonts w:asciiTheme="majorHAnsi" w:hAnsiTheme="majorHAnsi"/>
          <w:sz w:val="20"/>
          <w:szCs w:val="20"/>
        </w:rPr>
        <w:t>містить оцінку дослідного зразка (дослідної партії) і</w:t>
      </w:r>
      <w:r w:rsidRPr="000977F7">
        <w:rPr>
          <w:rFonts w:asciiTheme="majorHAnsi" w:hAnsiTheme="majorHAnsi"/>
          <w:spacing w:val="1"/>
          <w:sz w:val="20"/>
          <w:szCs w:val="20"/>
        </w:rPr>
        <w:t xml:space="preserve"> </w:t>
      </w:r>
      <w:r w:rsidRPr="000977F7">
        <w:rPr>
          <w:rFonts w:asciiTheme="majorHAnsi" w:hAnsiTheme="majorHAnsi"/>
          <w:sz w:val="20"/>
          <w:szCs w:val="20"/>
        </w:rPr>
        <w:t>рекомендації про постановку даної продукції на виробництво і є після затвердження дозволом на поста-</w:t>
      </w:r>
    </w:p>
    <w:p w14:paraId="06E1046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новку</w:t>
      </w:r>
      <w:r w:rsidRPr="000977F7">
        <w:rPr>
          <w:rFonts w:asciiTheme="majorHAnsi" w:hAnsiTheme="majorHAnsi"/>
          <w:spacing w:val="-2"/>
          <w:sz w:val="20"/>
          <w:szCs w:val="20"/>
        </w:rPr>
        <w:t xml:space="preserve"> </w:t>
      </w:r>
      <w:r w:rsidRPr="000977F7">
        <w:rPr>
          <w:rFonts w:asciiTheme="majorHAnsi" w:hAnsiTheme="majorHAnsi"/>
          <w:sz w:val="20"/>
          <w:szCs w:val="20"/>
        </w:rPr>
        <w:t>даної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виробництво</w:t>
      </w:r>
    </w:p>
    <w:p w14:paraId="01732D94" w14:textId="77777777" w:rsidR="0097612F" w:rsidRPr="000977F7" w:rsidRDefault="0097612F" w:rsidP="000977F7">
      <w:pPr>
        <w:pStyle w:val="7"/>
        <w:tabs>
          <w:tab w:val="left" w:pos="284"/>
        </w:tabs>
        <w:spacing w:before="0" w:line="240" w:lineRule="auto"/>
        <w:ind w:left="170"/>
        <w:mirrorIndents/>
        <w:jc w:val="both"/>
        <w:rPr>
          <w:b w:val="0"/>
          <w:i/>
          <w:color w:val="auto"/>
          <w:sz w:val="20"/>
          <w:szCs w:val="20"/>
        </w:rPr>
      </w:pPr>
      <w:r w:rsidRPr="000977F7">
        <w:rPr>
          <w:color w:val="auto"/>
          <w:sz w:val="20"/>
          <w:szCs w:val="20"/>
        </w:rPr>
        <w:t>АКТИВАЦІЯ</w:t>
      </w:r>
      <w:r w:rsidRPr="000977F7">
        <w:rPr>
          <w:color w:val="auto"/>
          <w:spacing w:val="-4"/>
          <w:sz w:val="20"/>
          <w:szCs w:val="20"/>
        </w:rPr>
        <w:t xml:space="preserve"> </w:t>
      </w:r>
      <w:r w:rsidRPr="000977F7">
        <w:rPr>
          <w:b w:val="0"/>
          <w:i/>
          <w:color w:val="auto"/>
          <w:sz w:val="20"/>
          <w:szCs w:val="20"/>
        </w:rPr>
        <w:t>—</w:t>
      </w:r>
    </w:p>
    <w:p w14:paraId="3AA83C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Перехід</w:t>
      </w:r>
      <w:r w:rsidRPr="000977F7">
        <w:rPr>
          <w:rFonts w:asciiTheme="majorHAnsi" w:hAnsiTheme="majorHAnsi"/>
          <w:spacing w:val="-3"/>
          <w:sz w:val="20"/>
          <w:szCs w:val="20"/>
        </w:rPr>
        <w:t xml:space="preserve"> </w:t>
      </w:r>
      <w:r w:rsidRPr="000977F7">
        <w:rPr>
          <w:rFonts w:asciiTheme="majorHAnsi" w:hAnsiTheme="majorHAnsi"/>
          <w:sz w:val="20"/>
          <w:szCs w:val="20"/>
        </w:rPr>
        <w:t>металу</w:t>
      </w:r>
      <w:r w:rsidRPr="000977F7">
        <w:rPr>
          <w:rFonts w:asciiTheme="majorHAnsi" w:hAnsiTheme="majorHAnsi"/>
          <w:spacing w:val="-6"/>
          <w:sz w:val="20"/>
          <w:szCs w:val="20"/>
        </w:rPr>
        <w:t xml:space="preserve"> </w:t>
      </w:r>
      <w:r w:rsidRPr="000977F7">
        <w:rPr>
          <w:rFonts w:asciiTheme="majorHAnsi" w:hAnsiTheme="majorHAnsi"/>
          <w:sz w:val="20"/>
          <w:szCs w:val="20"/>
        </w:rPr>
        <w:t>з</w:t>
      </w:r>
      <w:r w:rsidRPr="000977F7">
        <w:rPr>
          <w:rFonts w:asciiTheme="majorHAnsi" w:hAnsiTheme="majorHAnsi"/>
          <w:spacing w:val="-2"/>
          <w:sz w:val="20"/>
          <w:szCs w:val="20"/>
        </w:rPr>
        <w:t xml:space="preserve"> </w:t>
      </w:r>
      <w:r w:rsidRPr="000977F7">
        <w:rPr>
          <w:rFonts w:asciiTheme="majorHAnsi" w:hAnsiTheme="majorHAnsi"/>
          <w:sz w:val="20"/>
          <w:szCs w:val="20"/>
        </w:rPr>
        <w:t>пасивного</w:t>
      </w:r>
      <w:r w:rsidRPr="000977F7">
        <w:rPr>
          <w:rFonts w:asciiTheme="majorHAnsi" w:hAnsiTheme="majorHAnsi"/>
          <w:spacing w:val="-1"/>
          <w:sz w:val="20"/>
          <w:szCs w:val="20"/>
        </w:rPr>
        <w:t xml:space="preserve"> </w:t>
      </w:r>
      <w:r w:rsidRPr="000977F7">
        <w:rPr>
          <w:rFonts w:asciiTheme="majorHAnsi" w:hAnsiTheme="majorHAnsi"/>
          <w:sz w:val="20"/>
          <w:szCs w:val="20"/>
        </w:rPr>
        <w:t>стану</w:t>
      </w:r>
      <w:r w:rsidRPr="000977F7">
        <w:rPr>
          <w:rFonts w:asciiTheme="majorHAnsi" w:hAnsiTheme="majorHAnsi"/>
          <w:spacing w:val="-3"/>
          <w:sz w:val="20"/>
          <w:szCs w:val="20"/>
        </w:rPr>
        <w:t xml:space="preserve"> </w:t>
      </w:r>
      <w:r w:rsidRPr="000977F7">
        <w:rPr>
          <w:rFonts w:asciiTheme="majorHAnsi" w:hAnsiTheme="majorHAnsi"/>
          <w:sz w:val="20"/>
          <w:szCs w:val="20"/>
        </w:rPr>
        <w:t>в</w:t>
      </w:r>
      <w:r w:rsidRPr="000977F7">
        <w:rPr>
          <w:rFonts w:asciiTheme="majorHAnsi" w:hAnsiTheme="majorHAnsi"/>
          <w:spacing w:val="-3"/>
          <w:sz w:val="20"/>
          <w:szCs w:val="20"/>
        </w:rPr>
        <w:t xml:space="preserve"> </w:t>
      </w:r>
      <w:r w:rsidRPr="000977F7">
        <w:rPr>
          <w:rFonts w:asciiTheme="majorHAnsi" w:hAnsiTheme="majorHAnsi"/>
          <w:sz w:val="20"/>
          <w:szCs w:val="20"/>
        </w:rPr>
        <w:t>активний</w:t>
      </w:r>
    </w:p>
    <w:p w14:paraId="6330E9C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6686294C" w14:textId="77777777" w:rsidR="0097612F" w:rsidRPr="000977F7" w:rsidRDefault="0097612F" w:rsidP="000977F7">
      <w:pPr>
        <w:pStyle w:val="7"/>
        <w:tabs>
          <w:tab w:val="left" w:pos="284"/>
        </w:tabs>
        <w:spacing w:before="0" w:line="240" w:lineRule="auto"/>
        <w:ind w:left="170"/>
        <w:mirrorIndents/>
        <w:jc w:val="both"/>
        <w:rPr>
          <w:b w:val="0"/>
          <w:i/>
          <w:color w:val="auto"/>
          <w:sz w:val="20"/>
          <w:szCs w:val="20"/>
        </w:rPr>
      </w:pPr>
      <w:r w:rsidRPr="000977F7">
        <w:rPr>
          <w:color w:val="auto"/>
          <w:sz w:val="20"/>
          <w:szCs w:val="20"/>
        </w:rPr>
        <w:t>АКТИВАЦІЙНА</w:t>
      </w:r>
      <w:r w:rsidRPr="000977F7">
        <w:rPr>
          <w:color w:val="auto"/>
          <w:spacing w:val="-5"/>
          <w:sz w:val="20"/>
          <w:szCs w:val="20"/>
        </w:rPr>
        <w:t xml:space="preserve"> </w:t>
      </w:r>
      <w:r w:rsidRPr="000977F7">
        <w:rPr>
          <w:color w:val="auto"/>
          <w:sz w:val="20"/>
          <w:szCs w:val="20"/>
        </w:rPr>
        <w:t>РЕЧОВИНА;</w:t>
      </w:r>
      <w:r w:rsidRPr="000977F7">
        <w:rPr>
          <w:color w:val="auto"/>
          <w:spacing w:val="-3"/>
          <w:sz w:val="20"/>
          <w:szCs w:val="20"/>
        </w:rPr>
        <w:t xml:space="preserve"> </w:t>
      </w:r>
      <w:r w:rsidRPr="000977F7">
        <w:rPr>
          <w:color w:val="auto"/>
          <w:sz w:val="20"/>
          <w:szCs w:val="20"/>
        </w:rPr>
        <w:t>АКТИВАТОР</w:t>
      </w:r>
      <w:r w:rsidRPr="000977F7">
        <w:rPr>
          <w:color w:val="auto"/>
          <w:spacing w:val="-4"/>
          <w:sz w:val="20"/>
          <w:szCs w:val="20"/>
        </w:rPr>
        <w:t xml:space="preserve"> </w:t>
      </w:r>
      <w:r w:rsidRPr="000977F7">
        <w:rPr>
          <w:b w:val="0"/>
          <w:i/>
          <w:color w:val="auto"/>
          <w:sz w:val="20"/>
          <w:szCs w:val="20"/>
        </w:rPr>
        <w:t>–</w:t>
      </w:r>
    </w:p>
    <w:p w14:paraId="43EB41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Речовина (реагент), що сприяє переходу металу з пасивного стану в активний або гальмує настання пасивації</w:t>
      </w:r>
    </w:p>
    <w:p w14:paraId="334CB12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20343A3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АКТИВНИЙ</w:t>
      </w:r>
      <w:r w:rsidRPr="000977F7">
        <w:rPr>
          <w:color w:val="auto"/>
          <w:spacing w:val="-6"/>
          <w:sz w:val="20"/>
          <w:szCs w:val="20"/>
        </w:rPr>
        <w:t xml:space="preserve"> </w:t>
      </w:r>
      <w:r w:rsidRPr="000977F7">
        <w:rPr>
          <w:color w:val="auto"/>
          <w:sz w:val="20"/>
          <w:szCs w:val="20"/>
        </w:rPr>
        <w:t>ЕКСПЕРИМЕНТ-</w:t>
      </w:r>
    </w:p>
    <w:p w14:paraId="0EAB550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Експеримент, в якому рівні факторів у кожному досліді</w:t>
      </w:r>
      <w:r w:rsidRPr="000977F7">
        <w:rPr>
          <w:rFonts w:asciiTheme="majorHAnsi" w:hAnsiTheme="majorHAnsi"/>
          <w:spacing w:val="-2"/>
          <w:sz w:val="20"/>
          <w:szCs w:val="20"/>
        </w:rPr>
        <w:t xml:space="preserve"> </w:t>
      </w:r>
      <w:r w:rsidRPr="000977F7">
        <w:rPr>
          <w:rFonts w:asciiTheme="majorHAnsi" w:hAnsiTheme="majorHAnsi"/>
          <w:sz w:val="20"/>
          <w:szCs w:val="20"/>
        </w:rPr>
        <w:t>задаються</w:t>
      </w:r>
      <w:r w:rsidRPr="000977F7">
        <w:rPr>
          <w:rFonts w:asciiTheme="majorHAnsi" w:hAnsiTheme="majorHAnsi"/>
          <w:spacing w:val="2"/>
          <w:sz w:val="20"/>
          <w:szCs w:val="20"/>
        </w:rPr>
        <w:t xml:space="preserve"> </w:t>
      </w:r>
      <w:r w:rsidRPr="000977F7">
        <w:rPr>
          <w:rFonts w:asciiTheme="majorHAnsi" w:hAnsiTheme="majorHAnsi"/>
          <w:sz w:val="20"/>
          <w:szCs w:val="20"/>
        </w:rPr>
        <w:t>дослідником</w:t>
      </w:r>
    </w:p>
    <w:p w14:paraId="5DE90A90"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bookmarkStart w:id="9" w:name="_Hlk103696094"/>
      <w:r w:rsidRPr="000977F7">
        <w:rPr>
          <w:rFonts w:asciiTheme="majorHAnsi" w:hAnsiTheme="majorHAnsi"/>
          <w:b/>
          <w:bCs/>
          <w:sz w:val="20"/>
          <w:szCs w:val="20"/>
        </w:rPr>
        <w:t>АКТИВНИЙ ОПТОЕЛЕКТРОННИЙ ЗАХИСНИЙ ПРИСТРІЙ (АОЗП) –</w:t>
      </w:r>
    </w:p>
    <w:p w14:paraId="5047122D"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en-US"/>
        </w:rPr>
      </w:pPr>
      <w:r w:rsidRPr="002E19DF">
        <w:rPr>
          <w:rFonts w:asciiTheme="majorHAnsi" w:hAnsiTheme="majorHAnsi"/>
          <w:sz w:val="20"/>
          <w:szCs w:val="20"/>
          <w:lang w:val="en-US"/>
        </w:rPr>
        <w:t>ACTIVE OPTO-_ELECTRONIC PROTECTIVE DEVICE (</w:t>
      </w:r>
      <w:r w:rsidRPr="000977F7">
        <w:rPr>
          <w:rFonts w:asciiTheme="majorHAnsi" w:hAnsiTheme="majorHAnsi"/>
          <w:sz w:val="20"/>
          <w:szCs w:val="20"/>
        </w:rPr>
        <w:t>АОР</w:t>
      </w:r>
      <w:r w:rsidRPr="002E19DF">
        <w:rPr>
          <w:rFonts w:asciiTheme="majorHAnsi" w:hAnsiTheme="majorHAnsi"/>
          <w:sz w:val="20"/>
          <w:szCs w:val="20"/>
          <w:lang w:val="en-US"/>
        </w:rPr>
        <w:t xml:space="preserve">D) </w:t>
      </w:r>
      <w:bookmarkEnd w:id="9"/>
      <w:r w:rsidRPr="002E19DF">
        <w:rPr>
          <w:rFonts w:asciiTheme="majorHAnsi" w:hAnsiTheme="majorHAnsi"/>
          <w:sz w:val="20"/>
          <w:szCs w:val="20"/>
          <w:lang w:val="en-US"/>
        </w:rPr>
        <w:t>–</w:t>
      </w:r>
    </w:p>
    <w:p w14:paraId="51911659"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Пристрій</w:t>
      </w:r>
      <w:r w:rsidRPr="002E19DF">
        <w:rPr>
          <w:rFonts w:asciiTheme="majorHAnsi" w:hAnsiTheme="majorHAnsi"/>
          <w:sz w:val="20"/>
          <w:szCs w:val="20"/>
          <w:lang w:val="en-US"/>
        </w:rPr>
        <w:t xml:space="preserve">, </w:t>
      </w:r>
      <w:r w:rsidRPr="000977F7">
        <w:rPr>
          <w:rFonts w:asciiTheme="majorHAnsi" w:hAnsiTheme="majorHAnsi"/>
          <w:sz w:val="20"/>
          <w:szCs w:val="20"/>
        </w:rPr>
        <w:t>чутлива</w:t>
      </w:r>
      <w:r w:rsidRPr="002E19DF">
        <w:rPr>
          <w:rFonts w:asciiTheme="majorHAnsi" w:hAnsiTheme="majorHAnsi"/>
          <w:sz w:val="20"/>
          <w:szCs w:val="20"/>
          <w:lang w:val="en-US"/>
        </w:rPr>
        <w:t xml:space="preserve"> </w:t>
      </w:r>
      <w:r w:rsidRPr="000977F7">
        <w:rPr>
          <w:rFonts w:asciiTheme="majorHAnsi" w:hAnsiTheme="majorHAnsi"/>
          <w:sz w:val="20"/>
          <w:szCs w:val="20"/>
        </w:rPr>
        <w:t>функція</w:t>
      </w:r>
      <w:r w:rsidRPr="002E19DF">
        <w:rPr>
          <w:rFonts w:asciiTheme="majorHAnsi" w:hAnsiTheme="majorHAnsi"/>
          <w:sz w:val="20"/>
          <w:szCs w:val="20"/>
          <w:lang w:val="en-US"/>
        </w:rPr>
        <w:t xml:space="preserve"> </w:t>
      </w:r>
      <w:r w:rsidRPr="000977F7">
        <w:rPr>
          <w:rFonts w:asciiTheme="majorHAnsi" w:hAnsiTheme="majorHAnsi"/>
          <w:sz w:val="20"/>
          <w:szCs w:val="20"/>
        </w:rPr>
        <w:t>якого</w:t>
      </w:r>
      <w:r w:rsidRPr="002E19DF">
        <w:rPr>
          <w:rFonts w:asciiTheme="majorHAnsi" w:hAnsiTheme="majorHAnsi"/>
          <w:sz w:val="20"/>
          <w:szCs w:val="20"/>
          <w:lang w:val="en-US"/>
        </w:rPr>
        <w:t xml:space="preserve"> </w:t>
      </w:r>
      <w:r w:rsidRPr="000977F7">
        <w:rPr>
          <w:rFonts w:asciiTheme="majorHAnsi" w:hAnsiTheme="majorHAnsi"/>
          <w:sz w:val="20"/>
          <w:szCs w:val="20"/>
        </w:rPr>
        <w:t>відбувається</w:t>
      </w:r>
      <w:r w:rsidRPr="002E19DF">
        <w:rPr>
          <w:rFonts w:asciiTheme="majorHAnsi" w:hAnsiTheme="majorHAnsi"/>
          <w:sz w:val="20"/>
          <w:szCs w:val="20"/>
          <w:lang w:val="en-US"/>
        </w:rPr>
        <w:t xml:space="preserve"> </w:t>
      </w:r>
      <w:r w:rsidRPr="000977F7">
        <w:rPr>
          <w:rFonts w:asciiTheme="majorHAnsi" w:hAnsiTheme="majorHAnsi"/>
          <w:sz w:val="20"/>
          <w:szCs w:val="20"/>
        </w:rPr>
        <w:t>за</w:t>
      </w:r>
      <w:r w:rsidRPr="002E19DF">
        <w:rPr>
          <w:rFonts w:asciiTheme="majorHAnsi" w:hAnsiTheme="majorHAnsi"/>
          <w:sz w:val="20"/>
          <w:szCs w:val="20"/>
          <w:lang w:val="en-US"/>
        </w:rPr>
        <w:t xml:space="preserve"> </w:t>
      </w:r>
      <w:r w:rsidRPr="000977F7">
        <w:rPr>
          <w:rFonts w:asciiTheme="majorHAnsi" w:hAnsiTheme="majorHAnsi"/>
          <w:sz w:val="20"/>
          <w:szCs w:val="20"/>
        </w:rPr>
        <w:t>допомогою</w:t>
      </w:r>
      <w:r w:rsidRPr="002E19DF">
        <w:rPr>
          <w:rFonts w:asciiTheme="majorHAnsi" w:hAnsiTheme="majorHAnsi"/>
          <w:sz w:val="20"/>
          <w:szCs w:val="20"/>
          <w:lang w:val="en-US"/>
        </w:rPr>
        <w:t xml:space="preserve"> </w:t>
      </w:r>
      <w:r w:rsidRPr="000977F7">
        <w:rPr>
          <w:rFonts w:asciiTheme="majorHAnsi" w:hAnsiTheme="majorHAnsi"/>
          <w:sz w:val="20"/>
          <w:szCs w:val="20"/>
        </w:rPr>
        <w:t>оптоелектронних</w:t>
      </w:r>
      <w:r w:rsidRPr="002E19DF">
        <w:rPr>
          <w:rFonts w:asciiTheme="majorHAnsi" w:hAnsiTheme="majorHAnsi"/>
          <w:sz w:val="20"/>
          <w:szCs w:val="20"/>
          <w:lang w:val="en-US"/>
        </w:rPr>
        <w:t xml:space="preserve"> </w:t>
      </w:r>
      <w:r w:rsidRPr="000977F7">
        <w:rPr>
          <w:rFonts w:asciiTheme="majorHAnsi" w:hAnsiTheme="majorHAnsi"/>
          <w:sz w:val="20"/>
          <w:szCs w:val="20"/>
        </w:rPr>
        <w:t>випромінювальних</w:t>
      </w:r>
      <w:r w:rsidRPr="002E19DF">
        <w:rPr>
          <w:rFonts w:asciiTheme="majorHAnsi" w:hAnsiTheme="majorHAnsi"/>
          <w:sz w:val="20"/>
          <w:szCs w:val="20"/>
          <w:lang w:val="en-US"/>
        </w:rPr>
        <w:t xml:space="preserve"> </w:t>
      </w:r>
      <w:r w:rsidRPr="000977F7">
        <w:rPr>
          <w:rFonts w:asciiTheme="majorHAnsi" w:hAnsiTheme="majorHAnsi"/>
          <w:sz w:val="20"/>
          <w:szCs w:val="20"/>
        </w:rPr>
        <w:t>і</w:t>
      </w:r>
      <w:r w:rsidRPr="002E19DF">
        <w:rPr>
          <w:rFonts w:asciiTheme="majorHAnsi" w:hAnsiTheme="majorHAnsi"/>
          <w:sz w:val="20"/>
          <w:szCs w:val="20"/>
          <w:lang w:val="en-US"/>
        </w:rPr>
        <w:t xml:space="preserve"> </w:t>
      </w:r>
      <w:r w:rsidRPr="000977F7">
        <w:rPr>
          <w:rFonts w:asciiTheme="majorHAnsi" w:hAnsiTheme="majorHAnsi"/>
          <w:sz w:val="20"/>
          <w:szCs w:val="20"/>
        </w:rPr>
        <w:t>приймальних</w:t>
      </w:r>
      <w:r w:rsidRPr="002E19DF">
        <w:rPr>
          <w:rFonts w:asciiTheme="majorHAnsi" w:hAnsiTheme="majorHAnsi"/>
          <w:sz w:val="20"/>
          <w:szCs w:val="20"/>
          <w:lang w:val="en-US"/>
        </w:rPr>
        <w:t xml:space="preserve"> </w:t>
      </w:r>
      <w:r w:rsidRPr="000977F7">
        <w:rPr>
          <w:rFonts w:asciiTheme="majorHAnsi" w:hAnsiTheme="majorHAnsi"/>
          <w:sz w:val="20"/>
          <w:szCs w:val="20"/>
        </w:rPr>
        <w:t>елементів</w:t>
      </w:r>
      <w:r w:rsidRPr="002E19DF">
        <w:rPr>
          <w:rFonts w:asciiTheme="majorHAnsi" w:hAnsiTheme="majorHAnsi"/>
          <w:sz w:val="20"/>
          <w:szCs w:val="20"/>
          <w:lang w:val="en-US"/>
        </w:rPr>
        <w:t xml:space="preserve">, </w:t>
      </w:r>
      <w:r w:rsidRPr="000977F7">
        <w:rPr>
          <w:rFonts w:asciiTheme="majorHAnsi" w:hAnsiTheme="majorHAnsi"/>
          <w:sz w:val="20"/>
          <w:szCs w:val="20"/>
        </w:rPr>
        <w:t>які</w:t>
      </w:r>
      <w:r w:rsidRPr="002E19DF">
        <w:rPr>
          <w:rFonts w:asciiTheme="majorHAnsi" w:hAnsiTheme="majorHAnsi"/>
          <w:sz w:val="20"/>
          <w:szCs w:val="20"/>
          <w:lang w:val="en-US"/>
        </w:rPr>
        <w:t xml:space="preserve"> </w:t>
      </w:r>
      <w:r w:rsidRPr="000977F7">
        <w:rPr>
          <w:rFonts w:asciiTheme="majorHAnsi" w:hAnsiTheme="majorHAnsi"/>
          <w:sz w:val="20"/>
          <w:szCs w:val="20"/>
        </w:rPr>
        <w:t>реагують</w:t>
      </w:r>
      <w:r w:rsidRPr="002E19DF">
        <w:rPr>
          <w:rFonts w:asciiTheme="majorHAnsi" w:hAnsiTheme="majorHAnsi"/>
          <w:sz w:val="20"/>
          <w:szCs w:val="20"/>
          <w:lang w:val="en-US"/>
        </w:rPr>
        <w:t xml:space="preserve"> </w:t>
      </w:r>
      <w:r w:rsidRPr="000977F7">
        <w:rPr>
          <w:rFonts w:asciiTheme="majorHAnsi" w:hAnsiTheme="majorHAnsi"/>
          <w:sz w:val="20"/>
          <w:szCs w:val="20"/>
        </w:rPr>
        <w:t>на</w:t>
      </w:r>
      <w:r w:rsidRPr="002E19DF">
        <w:rPr>
          <w:rFonts w:asciiTheme="majorHAnsi" w:hAnsiTheme="majorHAnsi"/>
          <w:sz w:val="20"/>
          <w:szCs w:val="20"/>
          <w:lang w:val="en-US"/>
        </w:rPr>
        <w:t xml:space="preserve"> </w:t>
      </w:r>
      <w:r w:rsidRPr="000977F7">
        <w:rPr>
          <w:rFonts w:asciiTheme="majorHAnsi" w:hAnsiTheme="majorHAnsi"/>
          <w:sz w:val="20"/>
          <w:szCs w:val="20"/>
        </w:rPr>
        <w:t>перетинання</w:t>
      </w:r>
      <w:r w:rsidRPr="002E19DF">
        <w:rPr>
          <w:rFonts w:asciiTheme="majorHAnsi" w:hAnsiTheme="majorHAnsi"/>
          <w:sz w:val="20"/>
          <w:szCs w:val="20"/>
          <w:lang w:val="en-US"/>
        </w:rPr>
        <w:t xml:space="preserve"> </w:t>
      </w:r>
      <w:r w:rsidRPr="000977F7">
        <w:rPr>
          <w:rFonts w:asciiTheme="majorHAnsi" w:hAnsiTheme="majorHAnsi"/>
          <w:sz w:val="20"/>
          <w:szCs w:val="20"/>
        </w:rPr>
        <w:t>оптичного</w:t>
      </w:r>
      <w:r w:rsidRPr="002E19DF">
        <w:rPr>
          <w:rFonts w:asciiTheme="majorHAnsi" w:hAnsiTheme="majorHAnsi"/>
          <w:sz w:val="20"/>
          <w:szCs w:val="20"/>
          <w:lang w:val="en-US"/>
        </w:rPr>
        <w:t xml:space="preserve"> </w:t>
      </w:r>
      <w:r w:rsidRPr="000977F7">
        <w:rPr>
          <w:rFonts w:asciiTheme="majorHAnsi" w:hAnsiTheme="majorHAnsi"/>
          <w:sz w:val="20"/>
          <w:szCs w:val="20"/>
        </w:rPr>
        <w:t>променя</w:t>
      </w:r>
      <w:r w:rsidRPr="002E19DF">
        <w:rPr>
          <w:rFonts w:asciiTheme="majorHAnsi" w:hAnsiTheme="majorHAnsi"/>
          <w:sz w:val="20"/>
          <w:szCs w:val="20"/>
          <w:lang w:val="en-US"/>
        </w:rPr>
        <w:t xml:space="preserve">, </w:t>
      </w:r>
      <w:r w:rsidRPr="000977F7">
        <w:rPr>
          <w:rFonts w:asciiTheme="majorHAnsi" w:hAnsiTheme="majorHAnsi"/>
          <w:sz w:val="20"/>
          <w:szCs w:val="20"/>
        </w:rPr>
        <w:t>утворюваного</w:t>
      </w:r>
      <w:r w:rsidRPr="002E19DF">
        <w:rPr>
          <w:rFonts w:asciiTheme="majorHAnsi" w:hAnsiTheme="majorHAnsi"/>
          <w:sz w:val="20"/>
          <w:szCs w:val="20"/>
          <w:lang w:val="en-US"/>
        </w:rPr>
        <w:t xml:space="preserve"> </w:t>
      </w:r>
      <w:r w:rsidRPr="000977F7">
        <w:rPr>
          <w:rFonts w:asciiTheme="majorHAnsi" w:hAnsiTheme="majorHAnsi"/>
          <w:sz w:val="20"/>
          <w:szCs w:val="20"/>
        </w:rPr>
        <w:t>пристроєм</w:t>
      </w:r>
      <w:r w:rsidRPr="002E19DF">
        <w:rPr>
          <w:rFonts w:asciiTheme="majorHAnsi" w:hAnsiTheme="majorHAnsi"/>
          <w:sz w:val="20"/>
          <w:szCs w:val="20"/>
          <w:lang w:val="en-US"/>
        </w:rPr>
        <w:t xml:space="preserve">, </w:t>
      </w:r>
      <w:r w:rsidRPr="000977F7">
        <w:rPr>
          <w:rFonts w:asciiTheme="majorHAnsi" w:hAnsiTheme="majorHAnsi"/>
          <w:sz w:val="20"/>
          <w:szCs w:val="20"/>
        </w:rPr>
        <w:t>непрозорим</w:t>
      </w:r>
      <w:r w:rsidRPr="002E19DF">
        <w:rPr>
          <w:rFonts w:asciiTheme="majorHAnsi" w:hAnsiTheme="majorHAnsi"/>
          <w:sz w:val="20"/>
          <w:szCs w:val="20"/>
          <w:lang w:val="en-US"/>
        </w:rPr>
        <w:t xml:space="preserve"> </w:t>
      </w:r>
      <w:r w:rsidRPr="000977F7">
        <w:rPr>
          <w:rFonts w:asciiTheme="majorHAnsi" w:hAnsiTheme="majorHAnsi"/>
          <w:sz w:val="20"/>
          <w:szCs w:val="20"/>
        </w:rPr>
        <w:t>об</w:t>
      </w:r>
      <w:r w:rsidRPr="002E19DF">
        <w:rPr>
          <w:rFonts w:asciiTheme="majorHAnsi" w:hAnsiTheme="majorHAnsi"/>
          <w:sz w:val="20"/>
          <w:szCs w:val="20"/>
          <w:lang w:val="en-US"/>
        </w:rPr>
        <w:t>’</w:t>
      </w:r>
      <w:r w:rsidRPr="000977F7">
        <w:rPr>
          <w:rFonts w:asciiTheme="majorHAnsi" w:hAnsiTheme="majorHAnsi"/>
          <w:sz w:val="20"/>
          <w:szCs w:val="20"/>
        </w:rPr>
        <w:t>єктом</w:t>
      </w:r>
      <w:r w:rsidRPr="002E19DF">
        <w:rPr>
          <w:rFonts w:asciiTheme="majorHAnsi" w:hAnsiTheme="majorHAnsi"/>
          <w:sz w:val="20"/>
          <w:szCs w:val="20"/>
          <w:lang w:val="en-US"/>
        </w:rPr>
        <w:t xml:space="preserve">, </w:t>
      </w:r>
      <w:r w:rsidRPr="000977F7">
        <w:rPr>
          <w:rFonts w:asciiTheme="majorHAnsi" w:hAnsiTheme="majorHAnsi"/>
          <w:sz w:val="20"/>
          <w:szCs w:val="20"/>
        </w:rPr>
        <w:t>розміщеним</w:t>
      </w:r>
      <w:r w:rsidRPr="002E19DF">
        <w:rPr>
          <w:rFonts w:asciiTheme="majorHAnsi" w:hAnsiTheme="majorHAnsi"/>
          <w:sz w:val="20"/>
          <w:szCs w:val="20"/>
          <w:lang w:val="en-US"/>
        </w:rPr>
        <w:t xml:space="preserve"> </w:t>
      </w:r>
      <w:r w:rsidRPr="000977F7">
        <w:rPr>
          <w:rFonts w:asciiTheme="majorHAnsi" w:hAnsiTheme="majorHAnsi"/>
          <w:sz w:val="20"/>
          <w:szCs w:val="20"/>
        </w:rPr>
        <w:t>у</w:t>
      </w:r>
      <w:r w:rsidRPr="002E19DF">
        <w:rPr>
          <w:rFonts w:asciiTheme="majorHAnsi" w:hAnsiTheme="majorHAnsi"/>
          <w:sz w:val="20"/>
          <w:szCs w:val="20"/>
          <w:lang w:val="en-US"/>
        </w:rPr>
        <w:t xml:space="preserve"> </w:t>
      </w:r>
      <w:r w:rsidRPr="000977F7">
        <w:rPr>
          <w:rFonts w:asciiTheme="majorHAnsi" w:hAnsiTheme="majorHAnsi"/>
          <w:sz w:val="20"/>
          <w:szCs w:val="20"/>
        </w:rPr>
        <w:t>зоні</w:t>
      </w:r>
      <w:r w:rsidRPr="002E19DF">
        <w:rPr>
          <w:rFonts w:asciiTheme="majorHAnsi" w:hAnsiTheme="majorHAnsi"/>
          <w:sz w:val="20"/>
          <w:szCs w:val="20"/>
          <w:lang w:val="en-US"/>
        </w:rPr>
        <w:t xml:space="preserve"> </w:t>
      </w:r>
      <w:r w:rsidRPr="000977F7">
        <w:rPr>
          <w:rFonts w:asciiTheme="majorHAnsi" w:hAnsiTheme="majorHAnsi"/>
          <w:sz w:val="20"/>
          <w:szCs w:val="20"/>
        </w:rPr>
        <w:t>детектування</w:t>
      </w:r>
    </w:p>
    <w:p w14:paraId="4613318B" w14:textId="77777777" w:rsidR="0097612F" w:rsidRPr="002E19DF" w:rsidRDefault="0097612F" w:rsidP="000977F7">
      <w:pPr>
        <w:pStyle w:val="af6"/>
        <w:tabs>
          <w:tab w:val="left" w:pos="284"/>
        </w:tabs>
        <w:spacing w:after="0"/>
        <w:ind w:left="170"/>
        <w:mirrorIndents/>
        <w:jc w:val="both"/>
        <w:rPr>
          <w:rFonts w:asciiTheme="majorHAnsi" w:hAnsiTheme="majorHAnsi"/>
          <w:i/>
          <w:iCs/>
          <w:sz w:val="20"/>
          <w:szCs w:val="20"/>
          <w:lang w:val="en-US"/>
        </w:rPr>
      </w:pPr>
      <w:r w:rsidRPr="000977F7">
        <w:rPr>
          <w:rFonts w:asciiTheme="majorHAnsi" w:hAnsiTheme="majorHAnsi"/>
          <w:i/>
          <w:iCs/>
          <w:sz w:val="20"/>
          <w:szCs w:val="20"/>
        </w:rPr>
        <w:t>ДСТУ</w:t>
      </w:r>
      <w:r w:rsidRPr="002E19DF">
        <w:rPr>
          <w:rFonts w:asciiTheme="majorHAnsi" w:hAnsiTheme="majorHAnsi"/>
          <w:i/>
          <w:iCs/>
          <w:sz w:val="20"/>
          <w:szCs w:val="20"/>
          <w:lang w:val="en-US"/>
        </w:rPr>
        <w:t xml:space="preserve"> EN ISO 12100:2016</w:t>
      </w:r>
    </w:p>
    <w:p w14:paraId="696079D6" w14:textId="77777777" w:rsidR="0097612F" w:rsidRPr="002E19DF"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АКТИВНИЙ</w:t>
      </w:r>
      <w:r w:rsidRPr="002E19DF">
        <w:rPr>
          <w:rFonts w:asciiTheme="majorHAnsi" w:hAnsiTheme="majorHAnsi"/>
          <w:b/>
          <w:sz w:val="20"/>
          <w:szCs w:val="20"/>
          <w:lang w:val="en-US"/>
        </w:rPr>
        <w:t xml:space="preserve"> </w:t>
      </w:r>
      <w:r w:rsidRPr="000977F7">
        <w:rPr>
          <w:rFonts w:asciiTheme="majorHAnsi" w:hAnsiTheme="majorHAnsi"/>
          <w:b/>
          <w:sz w:val="20"/>
          <w:szCs w:val="20"/>
        </w:rPr>
        <w:t>РЕМОНТ</w:t>
      </w:r>
      <w:r w:rsidRPr="002E19DF">
        <w:rPr>
          <w:rFonts w:asciiTheme="majorHAnsi" w:hAnsiTheme="majorHAnsi"/>
          <w:b/>
          <w:sz w:val="20"/>
          <w:szCs w:val="20"/>
          <w:lang w:val="en-US"/>
        </w:rPr>
        <w:t xml:space="preserve"> </w:t>
      </w:r>
      <w:r w:rsidRPr="002E19DF">
        <w:rPr>
          <w:rFonts w:asciiTheme="majorHAnsi" w:hAnsiTheme="majorHAnsi"/>
          <w:sz w:val="20"/>
          <w:szCs w:val="20"/>
          <w:lang w:val="en-US"/>
        </w:rPr>
        <w:t>–</w:t>
      </w:r>
      <w:r w:rsidRPr="002E19DF">
        <w:rPr>
          <w:rFonts w:asciiTheme="majorHAnsi" w:hAnsiTheme="majorHAnsi"/>
          <w:spacing w:val="-47"/>
          <w:sz w:val="20"/>
          <w:szCs w:val="20"/>
          <w:lang w:val="en-US"/>
        </w:rPr>
        <w:t xml:space="preserve"> </w:t>
      </w:r>
      <w:r w:rsidRPr="002E19DF">
        <w:rPr>
          <w:rFonts w:asciiTheme="majorHAnsi" w:hAnsiTheme="majorHAnsi"/>
          <w:sz w:val="20"/>
          <w:szCs w:val="20"/>
          <w:lang w:val="en-US"/>
        </w:rPr>
        <w:t>ACTIVE</w:t>
      </w:r>
      <w:r w:rsidRPr="002E19DF">
        <w:rPr>
          <w:rFonts w:asciiTheme="majorHAnsi" w:hAnsiTheme="majorHAnsi"/>
          <w:spacing w:val="-1"/>
          <w:sz w:val="20"/>
          <w:szCs w:val="20"/>
          <w:lang w:val="en-US"/>
        </w:rPr>
        <w:t xml:space="preserve"> </w:t>
      </w:r>
      <w:r w:rsidRPr="002E19DF">
        <w:rPr>
          <w:rFonts w:asciiTheme="majorHAnsi" w:hAnsiTheme="majorHAnsi"/>
          <w:sz w:val="20"/>
          <w:szCs w:val="20"/>
          <w:lang w:val="en-US"/>
        </w:rPr>
        <w:t>REPAIR –</w:t>
      </w:r>
    </w:p>
    <w:p w14:paraId="352EE68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непланового ремонту, яка складається з операцій,</w:t>
      </w:r>
      <w:r w:rsidRPr="000977F7">
        <w:rPr>
          <w:rFonts w:asciiTheme="majorHAnsi" w:hAnsiTheme="majorHAnsi"/>
          <w:spacing w:val="-1"/>
          <w:sz w:val="20"/>
          <w:szCs w:val="20"/>
        </w:rPr>
        <w:t xml:space="preserve"> </w:t>
      </w:r>
      <w:r w:rsidRPr="000977F7">
        <w:rPr>
          <w:rFonts w:asciiTheme="majorHAnsi" w:hAnsiTheme="majorHAnsi"/>
          <w:sz w:val="20"/>
          <w:szCs w:val="20"/>
        </w:rPr>
        <w:t>що їх</w:t>
      </w:r>
      <w:r w:rsidRPr="000977F7">
        <w:rPr>
          <w:rFonts w:asciiTheme="majorHAnsi" w:hAnsiTheme="majorHAnsi"/>
          <w:spacing w:val="-3"/>
          <w:sz w:val="20"/>
          <w:szCs w:val="20"/>
        </w:rPr>
        <w:t xml:space="preserve"> </w:t>
      </w:r>
      <w:r w:rsidRPr="000977F7">
        <w:rPr>
          <w:rFonts w:asciiTheme="majorHAnsi" w:hAnsiTheme="majorHAnsi"/>
          <w:sz w:val="20"/>
          <w:szCs w:val="20"/>
        </w:rPr>
        <w:t>виконують</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об’єкті</w:t>
      </w:r>
      <w:r w:rsidRPr="000977F7">
        <w:rPr>
          <w:rFonts w:asciiTheme="majorHAnsi" w:hAnsiTheme="majorHAnsi"/>
          <w:spacing w:val="1"/>
          <w:sz w:val="20"/>
          <w:szCs w:val="20"/>
        </w:rPr>
        <w:t xml:space="preserve"> </w:t>
      </w:r>
      <w:r w:rsidRPr="000977F7">
        <w:rPr>
          <w:rFonts w:asciiTheme="majorHAnsi" w:hAnsiTheme="majorHAnsi"/>
          <w:sz w:val="20"/>
          <w:szCs w:val="20"/>
        </w:rPr>
        <w:t>вручну</w:t>
      </w:r>
    </w:p>
    <w:p w14:paraId="634D9B9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2681 - 94</w:t>
      </w:r>
    </w:p>
    <w:p w14:paraId="3356903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АКТ</w:t>
      </w:r>
      <w:r w:rsidRPr="000977F7">
        <w:rPr>
          <w:color w:val="auto"/>
          <w:spacing w:val="-6"/>
          <w:sz w:val="20"/>
          <w:szCs w:val="20"/>
        </w:rPr>
        <w:t xml:space="preserve"> </w:t>
      </w:r>
      <w:r w:rsidRPr="000977F7">
        <w:rPr>
          <w:color w:val="auto"/>
          <w:sz w:val="20"/>
          <w:szCs w:val="20"/>
        </w:rPr>
        <w:t>ПРО</w:t>
      </w:r>
      <w:r w:rsidRPr="000977F7">
        <w:rPr>
          <w:color w:val="auto"/>
          <w:spacing w:val="-2"/>
          <w:sz w:val="20"/>
          <w:szCs w:val="20"/>
        </w:rPr>
        <w:t xml:space="preserve"> </w:t>
      </w:r>
      <w:r w:rsidRPr="000977F7">
        <w:rPr>
          <w:color w:val="auto"/>
          <w:sz w:val="20"/>
          <w:szCs w:val="20"/>
        </w:rPr>
        <w:t>СПИСАННЯ</w:t>
      </w:r>
      <w:r w:rsidRPr="000977F7">
        <w:rPr>
          <w:color w:val="auto"/>
          <w:spacing w:val="-4"/>
          <w:sz w:val="20"/>
          <w:szCs w:val="20"/>
        </w:rPr>
        <w:t xml:space="preserve"> </w:t>
      </w:r>
      <w:r w:rsidRPr="000977F7">
        <w:rPr>
          <w:color w:val="auto"/>
          <w:sz w:val="20"/>
          <w:szCs w:val="20"/>
        </w:rPr>
        <w:t>ДОКУМЕНТІВ</w:t>
      </w:r>
      <w:r w:rsidRPr="000977F7">
        <w:rPr>
          <w:color w:val="auto"/>
          <w:spacing w:val="2"/>
          <w:sz w:val="20"/>
          <w:szCs w:val="20"/>
        </w:rPr>
        <w:t xml:space="preserve"> </w:t>
      </w:r>
      <w:r w:rsidRPr="000977F7">
        <w:rPr>
          <w:color w:val="auto"/>
          <w:sz w:val="20"/>
          <w:szCs w:val="20"/>
        </w:rPr>
        <w:t>–</w:t>
      </w:r>
    </w:p>
    <w:p w14:paraId="1AE7C6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підставі</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списують</w:t>
      </w:r>
      <w:r w:rsidRPr="000977F7">
        <w:rPr>
          <w:rFonts w:asciiTheme="majorHAnsi" w:hAnsiTheme="majorHAnsi"/>
          <w:spacing w:val="1"/>
          <w:sz w:val="20"/>
          <w:szCs w:val="20"/>
        </w:rPr>
        <w:t xml:space="preserve"> </w:t>
      </w:r>
      <w:r w:rsidRPr="000977F7">
        <w:rPr>
          <w:rFonts w:asciiTheme="majorHAnsi" w:hAnsiTheme="majorHAnsi"/>
          <w:sz w:val="20"/>
          <w:szCs w:val="20"/>
        </w:rPr>
        <w:t>непридатний</w:t>
      </w:r>
      <w:r w:rsidRPr="000977F7">
        <w:rPr>
          <w:rFonts w:asciiTheme="majorHAnsi" w:hAnsiTheme="majorHAnsi"/>
          <w:spacing w:val="-47"/>
          <w:sz w:val="20"/>
          <w:szCs w:val="20"/>
        </w:rPr>
        <w:t xml:space="preserve"> </w:t>
      </w:r>
      <w:r w:rsidRPr="000977F7">
        <w:rPr>
          <w:rFonts w:asciiTheme="majorHAnsi" w:hAnsiTheme="majorHAnsi"/>
          <w:sz w:val="20"/>
          <w:szCs w:val="20"/>
        </w:rPr>
        <w:t>для використання, загублений чи вилучений з</w:t>
      </w:r>
      <w:r w:rsidRPr="000977F7">
        <w:rPr>
          <w:rFonts w:asciiTheme="majorHAnsi" w:hAnsiTheme="majorHAnsi"/>
          <w:spacing w:val="1"/>
          <w:sz w:val="20"/>
          <w:szCs w:val="20"/>
        </w:rPr>
        <w:t xml:space="preserve"> </w:t>
      </w:r>
      <w:r w:rsidRPr="000977F7">
        <w:rPr>
          <w:rFonts w:asciiTheme="majorHAnsi" w:hAnsiTheme="majorHAnsi"/>
          <w:sz w:val="20"/>
          <w:szCs w:val="20"/>
        </w:rPr>
        <w:t>обігу</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конструкторський документ</w:t>
      </w:r>
    </w:p>
    <w:p w14:paraId="48B8117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5883F08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АКЦЕПТ</w:t>
      </w:r>
      <w:r w:rsidRPr="000977F7">
        <w:rPr>
          <w:color w:val="auto"/>
          <w:spacing w:val="-4"/>
          <w:sz w:val="20"/>
          <w:szCs w:val="20"/>
        </w:rPr>
        <w:t xml:space="preserve"> </w:t>
      </w:r>
      <w:r w:rsidRPr="000977F7">
        <w:rPr>
          <w:color w:val="auto"/>
          <w:sz w:val="20"/>
          <w:szCs w:val="20"/>
        </w:rPr>
        <w:t>–</w:t>
      </w:r>
    </w:p>
    <w:p w14:paraId="58B052F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Згода на оплату грошових</w:t>
      </w:r>
      <w:r w:rsidRPr="000977F7">
        <w:rPr>
          <w:rFonts w:asciiTheme="majorHAnsi" w:hAnsiTheme="majorHAnsi"/>
          <w:spacing w:val="1"/>
          <w:sz w:val="20"/>
          <w:szCs w:val="20"/>
        </w:rPr>
        <w:t xml:space="preserve"> </w:t>
      </w:r>
      <w:r w:rsidRPr="000977F7">
        <w:rPr>
          <w:rFonts w:asciiTheme="majorHAnsi" w:hAnsiTheme="majorHAnsi"/>
          <w:sz w:val="20"/>
          <w:szCs w:val="20"/>
        </w:rPr>
        <w:t>і товарних</w:t>
      </w:r>
      <w:r w:rsidRPr="000977F7">
        <w:rPr>
          <w:rFonts w:asciiTheme="majorHAnsi" w:hAnsiTheme="majorHAnsi"/>
          <w:spacing w:val="1"/>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внутрішньому</w:t>
      </w:r>
      <w:r w:rsidRPr="000977F7">
        <w:rPr>
          <w:rFonts w:asciiTheme="majorHAnsi" w:hAnsiTheme="majorHAnsi"/>
          <w:spacing w:val="-5"/>
          <w:sz w:val="20"/>
          <w:szCs w:val="20"/>
        </w:rPr>
        <w:t xml:space="preserve"> </w:t>
      </w:r>
      <w:r w:rsidRPr="000977F7">
        <w:rPr>
          <w:rFonts w:asciiTheme="majorHAnsi" w:hAnsiTheme="majorHAnsi"/>
          <w:sz w:val="20"/>
          <w:szCs w:val="20"/>
        </w:rPr>
        <w:t>та міжнародному</w:t>
      </w:r>
      <w:r w:rsidRPr="000977F7">
        <w:rPr>
          <w:rFonts w:asciiTheme="majorHAnsi" w:hAnsiTheme="majorHAnsi"/>
          <w:spacing w:val="-4"/>
          <w:sz w:val="20"/>
          <w:szCs w:val="20"/>
        </w:rPr>
        <w:t xml:space="preserve"> </w:t>
      </w:r>
      <w:r w:rsidRPr="000977F7">
        <w:rPr>
          <w:rFonts w:asciiTheme="majorHAnsi" w:hAnsiTheme="majorHAnsi"/>
          <w:sz w:val="20"/>
          <w:szCs w:val="20"/>
        </w:rPr>
        <w:t>обороті</w:t>
      </w:r>
    </w:p>
    <w:p w14:paraId="7F6CF18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3293 - 95</w:t>
      </w:r>
    </w:p>
    <w:p w14:paraId="117BA42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АКЦЕПТОВАНИЙ</w:t>
      </w:r>
      <w:r w:rsidRPr="000977F7">
        <w:rPr>
          <w:color w:val="auto"/>
          <w:spacing w:val="-4"/>
          <w:sz w:val="20"/>
          <w:szCs w:val="20"/>
        </w:rPr>
        <w:t xml:space="preserve"> </w:t>
      </w:r>
      <w:r w:rsidRPr="000977F7">
        <w:rPr>
          <w:color w:val="auto"/>
          <w:sz w:val="20"/>
          <w:szCs w:val="20"/>
        </w:rPr>
        <w:t>ПЛАТІЖ</w:t>
      </w:r>
      <w:r w:rsidRPr="000977F7">
        <w:rPr>
          <w:color w:val="auto"/>
          <w:spacing w:val="-4"/>
          <w:sz w:val="20"/>
          <w:szCs w:val="20"/>
        </w:rPr>
        <w:t xml:space="preserve"> </w:t>
      </w:r>
      <w:r w:rsidRPr="000977F7">
        <w:rPr>
          <w:color w:val="auto"/>
          <w:sz w:val="20"/>
          <w:szCs w:val="20"/>
        </w:rPr>
        <w:t>–</w:t>
      </w:r>
    </w:p>
    <w:p w14:paraId="4F558F2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Оплата грошових, розрахункових, товарних документів чи товару, а також розрахунки за послуги у внутрішньому та міжнародному товарно-грошовому обороті</w:t>
      </w:r>
    </w:p>
    <w:p w14:paraId="20610E2E" w14:textId="77777777" w:rsidR="0097612F" w:rsidRPr="002E19DF"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2E19DF">
        <w:rPr>
          <w:rFonts w:asciiTheme="majorHAnsi" w:hAnsiTheme="majorHAnsi"/>
          <w:i/>
          <w:sz w:val="20"/>
          <w:szCs w:val="20"/>
          <w:lang w:val="en-US"/>
        </w:rPr>
        <w:t xml:space="preserve"> 3293 – 95</w:t>
      </w:r>
    </w:p>
    <w:p w14:paraId="4669B3BB" w14:textId="77777777" w:rsidR="0097612F" w:rsidRPr="002E19DF" w:rsidRDefault="0097612F" w:rsidP="000977F7">
      <w:pPr>
        <w:tabs>
          <w:tab w:val="left" w:pos="284"/>
        </w:tabs>
        <w:spacing w:after="0" w:line="240" w:lineRule="auto"/>
        <w:ind w:left="170"/>
        <w:mirrorIndents/>
        <w:jc w:val="both"/>
        <w:rPr>
          <w:rFonts w:asciiTheme="majorHAnsi" w:hAnsiTheme="majorHAnsi"/>
          <w:spacing w:val="-48"/>
          <w:sz w:val="20"/>
          <w:szCs w:val="20"/>
          <w:lang w:val="en-US"/>
        </w:rPr>
      </w:pPr>
      <w:r w:rsidRPr="000977F7">
        <w:rPr>
          <w:rFonts w:asciiTheme="majorHAnsi" w:hAnsiTheme="majorHAnsi"/>
          <w:b/>
          <w:sz w:val="20"/>
          <w:szCs w:val="20"/>
        </w:rPr>
        <w:t>АКУСТИЧНА</w:t>
      </w:r>
      <w:r w:rsidRPr="002E19DF">
        <w:rPr>
          <w:rFonts w:asciiTheme="majorHAnsi" w:hAnsiTheme="majorHAnsi"/>
          <w:b/>
          <w:sz w:val="20"/>
          <w:szCs w:val="20"/>
          <w:lang w:val="en-US"/>
        </w:rPr>
        <w:t xml:space="preserve"> </w:t>
      </w:r>
      <w:r w:rsidRPr="000977F7">
        <w:rPr>
          <w:rFonts w:asciiTheme="majorHAnsi" w:hAnsiTheme="majorHAnsi"/>
          <w:b/>
          <w:sz w:val="20"/>
          <w:szCs w:val="20"/>
        </w:rPr>
        <w:t>ЕМІСІЯ</w:t>
      </w:r>
      <w:r w:rsidRPr="002E19DF">
        <w:rPr>
          <w:rFonts w:asciiTheme="majorHAnsi" w:hAnsiTheme="majorHAnsi"/>
          <w:b/>
          <w:sz w:val="20"/>
          <w:szCs w:val="20"/>
          <w:lang w:val="en-US"/>
        </w:rPr>
        <w:t xml:space="preserve"> </w:t>
      </w:r>
      <w:r w:rsidRPr="002E19DF">
        <w:rPr>
          <w:rFonts w:asciiTheme="majorHAnsi" w:hAnsiTheme="majorHAnsi"/>
          <w:sz w:val="20"/>
          <w:szCs w:val="20"/>
          <w:lang w:val="en-US"/>
        </w:rPr>
        <w:t>–</w:t>
      </w:r>
      <w:r w:rsidRPr="002E19DF">
        <w:rPr>
          <w:rFonts w:asciiTheme="majorHAnsi" w:hAnsiTheme="majorHAnsi"/>
          <w:spacing w:val="-48"/>
          <w:sz w:val="20"/>
          <w:szCs w:val="20"/>
          <w:lang w:val="en-US"/>
        </w:rPr>
        <w:t xml:space="preserve"> </w:t>
      </w:r>
    </w:p>
    <w:p w14:paraId="6020EF8A" w14:textId="77777777" w:rsidR="0097612F" w:rsidRPr="002E19DF" w:rsidRDefault="0097612F" w:rsidP="000977F7">
      <w:pPr>
        <w:tabs>
          <w:tab w:val="left" w:pos="284"/>
        </w:tabs>
        <w:spacing w:after="0" w:line="240" w:lineRule="auto"/>
        <w:ind w:left="170"/>
        <w:mirrorIndents/>
        <w:jc w:val="both"/>
        <w:rPr>
          <w:rFonts w:asciiTheme="majorHAnsi" w:hAnsiTheme="majorHAnsi"/>
          <w:sz w:val="20"/>
          <w:szCs w:val="20"/>
          <w:lang w:val="en-US"/>
        </w:rPr>
      </w:pPr>
      <w:r w:rsidRPr="002E19DF">
        <w:rPr>
          <w:rFonts w:asciiTheme="majorHAnsi" w:hAnsiTheme="majorHAnsi"/>
          <w:sz w:val="20"/>
          <w:szCs w:val="20"/>
          <w:lang w:val="en-US"/>
        </w:rPr>
        <w:t>ACOUSTIC</w:t>
      </w:r>
      <w:r w:rsidRPr="002E19DF">
        <w:rPr>
          <w:rFonts w:asciiTheme="majorHAnsi" w:hAnsiTheme="majorHAnsi"/>
          <w:spacing w:val="-3"/>
          <w:sz w:val="20"/>
          <w:szCs w:val="20"/>
          <w:lang w:val="en-US"/>
        </w:rPr>
        <w:t xml:space="preserve"> </w:t>
      </w:r>
      <w:r w:rsidRPr="002E19DF">
        <w:rPr>
          <w:rFonts w:asciiTheme="majorHAnsi" w:hAnsiTheme="majorHAnsi"/>
          <w:sz w:val="20"/>
          <w:szCs w:val="20"/>
          <w:lang w:val="en-US"/>
        </w:rPr>
        <w:t>EMISSION –</w:t>
      </w:r>
    </w:p>
    <w:p w14:paraId="6A925C7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Випромінювання</w:t>
      </w:r>
      <w:r w:rsidRPr="000977F7">
        <w:rPr>
          <w:rFonts w:asciiTheme="majorHAnsi" w:hAnsiTheme="majorHAnsi"/>
          <w:spacing w:val="1"/>
          <w:sz w:val="20"/>
          <w:szCs w:val="20"/>
        </w:rPr>
        <w:t xml:space="preserve"> </w:t>
      </w:r>
      <w:r w:rsidRPr="000977F7">
        <w:rPr>
          <w:rFonts w:asciiTheme="majorHAnsi" w:hAnsiTheme="majorHAnsi"/>
          <w:sz w:val="20"/>
          <w:szCs w:val="20"/>
        </w:rPr>
        <w:t>об’єктом</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1"/>
          <w:sz w:val="20"/>
          <w:szCs w:val="20"/>
        </w:rPr>
        <w:t xml:space="preserve"> </w:t>
      </w:r>
      <w:r w:rsidRPr="000977F7">
        <w:rPr>
          <w:rFonts w:asciiTheme="majorHAnsi" w:hAnsiTheme="majorHAnsi"/>
          <w:sz w:val="20"/>
          <w:szCs w:val="20"/>
        </w:rPr>
        <w:t>акустичних</w:t>
      </w:r>
      <w:r w:rsidRPr="000977F7">
        <w:rPr>
          <w:rFonts w:asciiTheme="majorHAnsi" w:hAnsiTheme="majorHAnsi"/>
          <w:spacing w:val="1"/>
          <w:sz w:val="20"/>
          <w:szCs w:val="20"/>
        </w:rPr>
        <w:t xml:space="preserve"> </w:t>
      </w:r>
      <w:r w:rsidRPr="000977F7">
        <w:rPr>
          <w:rFonts w:asciiTheme="majorHAnsi" w:hAnsiTheme="majorHAnsi"/>
          <w:sz w:val="20"/>
          <w:szCs w:val="20"/>
        </w:rPr>
        <w:t>хвиль</w:t>
      </w:r>
    </w:p>
    <w:p w14:paraId="0BF2518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2374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A2F1530" w14:textId="77777777" w:rsidR="0097612F" w:rsidRPr="002E19DF"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АКУСТИЧНА</w:t>
      </w:r>
      <w:r w:rsidRPr="002E19DF">
        <w:rPr>
          <w:rFonts w:asciiTheme="majorHAnsi" w:hAnsiTheme="majorHAnsi"/>
          <w:b/>
          <w:spacing w:val="-5"/>
          <w:sz w:val="20"/>
          <w:szCs w:val="20"/>
          <w:lang w:val="en-US"/>
        </w:rPr>
        <w:t xml:space="preserve"> </w:t>
      </w:r>
      <w:r w:rsidRPr="000977F7">
        <w:rPr>
          <w:rFonts w:asciiTheme="majorHAnsi" w:hAnsiTheme="majorHAnsi"/>
          <w:b/>
          <w:sz w:val="20"/>
          <w:szCs w:val="20"/>
        </w:rPr>
        <w:t>ЕМІСІЯ</w:t>
      </w:r>
      <w:r w:rsidRPr="002E19DF">
        <w:rPr>
          <w:rFonts w:asciiTheme="majorHAnsi" w:hAnsiTheme="majorHAnsi"/>
          <w:b/>
          <w:spacing w:val="-6"/>
          <w:sz w:val="20"/>
          <w:szCs w:val="20"/>
          <w:lang w:val="en-US"/>
        </w:rPr>
        <w:t xml:space="preserve"> </w:t>
      </w:r>
      <w:r w:rsidRPr="000977F7">
        <w:rPr>
          <w:rFonts w:asciiTheme="majorHAnsi" w:hAnsiTheme="majorHAnsi"/>
          <w:b/>
          <w:sz w:val="20"/>
          <w:szCs w:val="20"/>
        </w:rPr>
        <w:t>МАТЕРІАЛУ</w:t>
      </w:r>
      <w:r w:rsidRPr="002E19DF">
        <w:rPr>
          <w:rFonts w:asciiTheme="majorHAnsi" w:hAnsiTheme="majorHAnsi"/>
          <w:b/>
          <w:spacing w:val="-4"/>
          <w:sz w:val="20"/>
          <w:szCs w:val="20"/>
          <w:lang w:val="en-US"/>
        </w:rPr>
        <w:t xml:space="preserve"> </w:t>
      </w:r>
      <w:r w:rsidRPr="002E19DF">
        <w:rPr>
          <w:rFonts w:asciiTheme="majorHAnsi" w:hAnsiTheme="majorHAnsi"/>
          <w:sz w:val="20"/>
          <w:szCs w:val="20"/>
          <w:lang w:val="en-US"/>
        </w:rPr>
        <w:t>–</w:t>
      </w:r>
      <w:r w:rsidRPr="002E19DF">
        <w:rPr>
          <w:rFonts w:asciiTheme="majorHAnsi" w:hAnsiTheme="majorHAnsi"/>
          <w:spacing w:val="-47"/>
          <w:sz w:val="20"/>
          <w:szCs w:val="20"/>
          <w:lang w:val="en-US"/>
        </w:rPr>
        <w:t xml:space="preserve"> </w:t>
      </w:r>
      <w:r w:rsidRPr="002E19DF">
        <w:rPr>
          <w:rFonts w:asciiTheme="majorHAnsi" w:hAnsiTheme="majorHAnsi"/>
          <w:sz w:val="20"/>
          <w:szCs w:val="20"/>
          <w:lang w:val="en-US"/>
        </w:rPr>
        <w:t>MATERIAL</w:t>
      </w:r>
      <w:r w:rsidRPr="002E19DF">
        <w:rPr>
          <w:rFonts w:asciiTheme="majorHAnsi" w:hAnsiTheme="majorHAnsi"/>
          <w:spacing w:val="-1"/>
          <w:sz w:val="20"/>
          <w:szCs w:val="20"/>
          <w:lang w:val="en-US"/>
        </w:rPr>
        <w:t xml:space="preserve"> </w:t>
      </w:r>
      <w:r w:rsidRPr="002E19DF">
        <w:rPr>
          <w:rFonts w:asciiTheme="majorHAnsi" w:hAnsiTheme="majorHAnsi"/>
          <w:sz w:val="20"/>
          <w:szCs w:val="20"/>
          <w:lang w:val="en-US"/>
        </w:rPr>
        <w:t>ACOUSTIC</w:t>
      </w:r>
      <w:r w:rsidRPr="002E19DF">
        <w:rPr>
          <w:rFonts w:asciiTheme="majorHAnsi" w:hAnsiTheme="majorHAnsi"/>
          <w:spacing w:val="-2"/>
          <w:sz w:val="20"/>
          <w:szCs w:val="20"/>
          <w:lang w:val="en-US"/>
        </w:rPr>
        <w:t xml:space="preserve"> </w:t>
      </w:r>
      <w:r w:rsidRPr="002E19DF">
        <w:rPr>
          <w:rFonts w:asciiTheme="majorHAnsi" w:hAnsiTheme="majorHAnsi"/>
          <w:sz w:val="20"/>
          <w:szCs w:val="20"/>
          <w:lang w:val="en-US"/>
        </w:rPr>
        <w:t>EMISSION</w:t>
      </w:r>
      <w:r w:rsidRPr="002E19DF">
        <w:rPr>
          <w:rFonts w:asciiTheme="majorHAnsi" w:hAnsiTheme="majorHAnsi"/>
          <w:spacing w:val="1"/>
          <w:sz w:val="20"/>
          <w:szCs w:val="20"/>
          <w:lang w:val="en-US"/>
        </w:rPr>
        <w:t xml:space="preserve"> </w:t>
      </w:r>
      <w:r w:rsidRPr="002E19DF">
        <w:rPr>
          <w:rFonts w:asciiTheme="majorHAnsi" w:hAnsiTheme="majorHAnsi"/>
          <w:sz w:val="20"/>
          <w:szCs w:val="20"/>
          <w:lang w:val="en-US"/>
        </w:rPr>
        <w:t>–</w:t>
      </w:r>
    </w:p>
    <w:p w14:paraId="2B4CCE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Акустична емісія, викликана динамічною локальною</w:t>
      </w:r>
      <w:r w:rsidRPr="000977F7">
        <w:rPr>
          <w:rFonts w:asciiTheme="majorHAnsi" w:hAnsiTheme="majorHAnsi"/>
          <w:spacing w:val="1"/>
          <w:sz w:val="20"/>
          <w:szCs w:val="20"/>
        </w:rPr>
        <w:t xml:space="preserve"> </w:t>
      </w:r>
      <w:r w:rsidRPr="000977F7">
        <w:rPr>
          <w:rFonts w:asciiTheme="majorHAnsi" w:hAnsiTheme="majorHAnsi"/>
          <w:sz w:val="20"/>
          <w:szCs w:val="20"/>
        </w:rPr>
        <w:t>зміною</w:t>
      </w:r>
      <w:r w:rsidRPr="000977F7">
        <w:rPr>
          <w:rFonts w:asciiTheme="majorHAnsi" w:hAnsiTheme="majorHAnsi"/>
          <w:spacing w:val="-1"/>
          <w:sz w:val="20"/>
          <w:szCs w:val="20"/>
        </w:rPr>
        <w:t xml:space="preserve"> </w:t>
      </w:r>
      <w:r w:rsidRPr="000977F7">
        <w:rPr>
          <w:rFonts w:asciiTheme="majorHAnsi" w:hAnsiTheme="majorHAnsi"/>
          <w:sz w:val="20"/>
          <w:szCs w:val="20"/>
        </w:rPr>
        <w:t>структури</w:t>
      </w:r>
      <w:r w:rsidRPr="000977F7">
        <w:rPr>
          <w:rFonts w:asciiTheme="majorHAnsi" w:hAnsiTheme="majorHAnsi"/>
          <w:spacing w:val="-1"/>
          <w:sz w:val="20"/>
          <w:szCs w:val="20"/>
        </w:rPr>
        <w:t xml:space="preserve"> </w:t>
      </w:r>
      <w:r w:rsidRPr="000977F7">
        <w:rPr>
          <w:rFonts w:asciiTheme="majorHAnsi" w:hAnsiTheme="majorHAnsi"/>
          <w:sz w:val="20"/>
          <w:szCs w:val="20"/>
        </w:rPr>
        <w:t>матеріалу</w:t>
      </w:r>
    </w:p>
    <w:p w14:paraId="3C9B965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2374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7E443A7"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8"/>
          <w:sz w:val="20"/>
          <w:szCs w:val="20"/>
        </w:rPr>
      </w:pPr>
      <w:r w:rsidRPr="000977F7">
        <w:rPr>
          <w:rFonts w:asciiTheme="majorHAnsi" w:hAnsiTheme="majorHAnsi"/>
          <w:b/>
          <w:sz w:val="20"/>
          <w:szCs w:val="20"/>
        </w:rPr>
        <w:t xml:space="preserve">АКУСТИЧНА ЕМІСІЯ ВИТОКУ </w:t>
      </w:r>
      <w:r w:rsidRPr="000977F7">
        <w:rPr>
          <w:rFonts w:asciiTheme="majorHAnsi" w:hAnsiTheme="majorHAnsi"/>
          <w:sz w:val="20"/>
          <w:szCs w:val="20"/>
        </w:rPr>
        <w:t>–</w:t>
      </w:r>
      <w:r w:rsidRPr="000977F7">
        <w:rPr>
          <w:rFonts w:asciiTheme="majorHAnsi" w:hAnsiTheme="majorHAnsi"/>
          <w:spacing w:val="-48"/>
          <w:sz w:val="20"/>
          <w:szCs w:val="20"/>
        </w:rPr>
        <w:t xml:space="preserve"> </w:t>
      </w:r>
    </w:p>
    <w:p w14:paraId="4B043DA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LEAKAGE</w:t>
      </w:r>
      <w:r w:rsidRPr="000977F7">
        <w:rPr>
          <w:rFonts w:asciiTheme="majorHAnsi" w:hAnsiTheme="majorHAnsi"/>
          <w:spacing w:val="-2"/>
          <w:sz w:val="20"/>
          <w:szCs w:val="20"/>
        </w:rPr>
        <w:t xml:space="preserve"> </w:t>
      </w:r>
      <w:r w:rsidRPr="000977F7">
        <w:rPr>
          <w:rFonts w:asciiTheme="majorHAnsi" w:hAnsiTheme="majorHAnsi"/>
          <w:sz w:val="20"/>
          <w:szCs w:val="20"/>
        </w:rPr>
        <w:t>ACOUSTIC</w:t>
      </w:r>
      <w:r w:rsidRPr="000977F7">
        <w:rPr>
          <w:rFonts w:asciiTheme="majorHAnsi" w:hAnsiTheme="majorHAnsi"/>
          <w:spacing w:val="-3"/>
          <w:sz w:val="20"/>
          <w:szCs w:val="20"/>
        </w:rPr>
        <w:t xml:space="preserve"> </w:t>
      </w:r>
      <w:r w:rsidRPr="000977F7">
        <w:rPr>
          <w:rFonts w:asciiTheme="majorHAnsi" w:hAnsiTheme="majorHAnsi"/>
          <w:sz w:val="20"/>
          <w:szCs w:val="20"/>
        </w:rPr>
        <w:t>EMISSION –</w:t>
      </w:r>
    </w:p>
    <w:p w14:paraId="7CBDFD4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Акустична</w:t>
      </w:r>
      <w:r w:rsidRPr="000977F7">
        <w:rPr>
          <w:rFonts w:asciiTheme="majorHAnsi" w:hAnsiTheme="majorHAnsi"/>
          <w:spacing w:val="1"/>
          <w:sz w:val="20"/>
          <w:szCs w:val="20"/>
        </w:rPr>
        <w:t xml:space="preserve"> </w:t>
      </w:r>
      <w:r w:rsidRPr="000977F7">
        <w:rPr>
          <w:rFonts w:asciiTheme="majorHAnsi" w:hAnsiTheme="majorHAnsi"/>
          <w:sz w:val="20"/>
          <w:szCs w:val="20"/>
        </w:rPr>
        <w:t>емісія,</w:t>
      </w:r>
      <w:r w:rsidRPr="000977F7">
        <w:rPr>
          <w:rFonts w:asciiTheme="majorHAnsi" w:hAnsiTheme="majorHAnsi"/>
          <w:spacing w:val="1"/>
          <w:sz w:val="20"/>
          <w:szCs w:val="20"/>
        </w:rPr>
        <w:t xml:space="preserve"> </w:t>
      </w:r>
      <w:r w:rsidRPr="000977F7">
        <w:rPr>
          <w:rFonts w:asciiTheme="majorHAnsi" w:hAnsiTheme="majorHAnsi"/>
          <w:sz w:val="20"/>
          <w:szCs w:val="20"/>
        </w:rPr>
        <w:t>викликана</w:t>
      </w:r>
      <w:r w:rsidRPr="000977F7">
        <w:rPr>
          <w:rFonts w:asciiTheme="majorHAnsi" w:hAnsiTheme="majorHAnsi"/>
          <w:spacing w:val="1"/>
          <w:sz w:val="20"/>
          <w:szCs w:val="20"/>
        </w:rPr>
        <w:t xml:space="preserve"> </w:t>
      </w:r>
      <w:r w:rsidRPr="000977F7">
        <w:rPr>
          <w:rFonts w:asciiTheme="majorHAnsi" w:hAnsiTheme="majorHAnsi"/>
          <w:sz w:val="20"/>
          <w:szCs w:val="20"/>
        </w:rPr>
        <w:t>гідродинамічними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(або) аеродинамічними явищами при протіканні рідини</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газу через</w:t>
      </w:r>
      <w:r w:rsidRPr="000977F7">
        <w:rPr>
          <w:rFonts w:asciiTheme="majorHAnsi" w:hAnsiTheme="majorHAnsi"/>
          <w:spacing w:val="1"/>
          <w:sz w:val="20"/>
          <w:szCs w:val="20"/>
        </w:rPr>
        <w:t xml:space="preserve"> </w:t>
      </w:r>
      <w:r w:rsidRPr="000977F7">
        <w:rPr>
          <w:rFonts w:asciiTheme="majorHAnsi" w:hAnsiTheme="majorHAnsi"/>
          <w:sz w:val="20"/>
          <w:szCs w:val="20"/>
        </w:rPr>
        <w:t>наскрізне</w:t>
      </w:r>
      <w:r w:rsidRPr="000977F7">
        <w:rPr>
          <w:rFonts w:asciiTheme="majorHAnsi" w:hAnsiTheme="majorHAnsi"/>
          <w:spacing w:val="1"/>
          <w:sz w:val="20"/>
          <w:szCs w:val="20"/>
        </w:rPr>
        <w:t xml:space="preserve"> </w:t>
      </w:r>
      <w:r w:rsidRPr="000977F7">
        <w:rPr>
          <w:rFonts w:asciiTheme="majorHAnsi" w:hAnsiTheme="majorHAnsi"/>
          <w:sz w:val="20"/>
          <w:szCs w:val="20"/>
        </w:rPr>
        <w:t>порушення</w:t>
      </w:r>
      <w:r w:rsidRPr="000977F7">
        <w:rPr>
          <w:rFonts w:asciiTheme="majorHAnsi" w:hAnsiTheme="majorHAnsi"/>
          <w:spacing w:val="1"/>
          <w:sz w:val="20"/>
          <w:szCs w:val="20"/>
        </w:rPr>
        <w:t xml:space="preserve"> </w:t>
      </w:r>
      <w:r w:rsidRPr="000977F7">
        <w:rPr>
          <w:rFonts w:asciiTheme="majorHAnsi" w:hAnsiTheme="majorHAnsi"/>
          <w:sz w:val="20"/>
          <w:szCs w:val="20"/>
        </w:rPr>
        <w:t>суцільності</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1FAB06FB" w14:textId="77777777" w:rsidR="0097612F" w:rsidRPr="002E19DF"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2E19DF">
        <w:rPr>
          <w:rFonts w:asciiTheme="majorHAnsi" w:hAnsiTheme="majorHAnsi"/>
          <w:i/>
          <w:spacing w:val="-2"/>
          <w:sz w:val="20"/>
          <w:szCs w:val="20"/>
          <w:lang w:val="en-US"/>
        </w:rPr>
        <w:t xml:space="preserve"> </w:t>
      </w:r>
      <w:r w:rsidRPr="002E19DF">
        <w:rPr>
          <w:rFonts w:asciiTheme="majorHAnsi" w:hAnsiTheme="majorHAnsi"/>
          <w:i/>
          <w:sz w:val="20"/>
          <w:szCs w:val="20"/>
          <w:lang w:val="en-US"/>
        </w:rPr>
        <w:t>2374</w:t>
      </w:r>
      <w:r w:rsidRPr="002E19DF">
        <w:rPr>
          <w:rFonts w:asciiTheme="majorHAnsi" w:hAnsiTheme="majorHAnsi"/>
          <w:i/>
          <w:spacing w:val="-1"/>
          <w:sz w:val="20"/>
          <w:szCs w:val="20"/>
          <w:lang w:val="en-US"/>
        </w:rPr>
        <w:t xml:space="preserve"> </w:t>
      </w:r>
      <w:r w:rsidRPr="002E19DF">
        <w:rPr>
          <w:rFonts w:asciiTheme="majorHAnsi" w:hAnsiTheme="majorHAnsi"/>
          <w:i/>
          <w:sz w:val="20"/>
          <w:szCs w:val="20"/>
          <w:lang w:val="en-US"/>
        </w:rPr>
        <w:t>–</w:t>
      </w:r>
      <w:r w:rsidRPr="002E19DF">
        <w:rPr>
          <w:rFonts w:asciiTheme="majorHAnsi" w:hAnsiTheme="majorHAnsi"/>
          <w:i/>
          <w:spacing w:val="-1"/>
          <w:sz w:val="20"/>
          <w:szCs w:val="20"/>
          <w:lang w:val="en-US"/>
        </w:rPr>
        <w:t xml:space="preserve"> </w:t>
      </w:r>
      <w:r w:rsidRPr="002E19DF">
        <w:rPr>
          <w:rFonts w:asciiTheme="majorHAnsi" w:hAnsiTheme="majorHAnsi"/>
          <w:i/>
          <w:sz w:val="20"/>
          <w:szCs w:val="20"/>
          <w:lang w:val="en-US"/>
        </w:rPr>
        <w:t>94</w:t>
      </w:r>
    </w:p>
    <w:p w14:paraId="7F3791D6"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АКУСТИЧНА</w:t>
      </w:r>
      <w:r w:rsidRPr="000977F7">
        <w:rPr>
          <w:color w:val="auto"/>
          <w:spacing w:val="-3"/>
          <w:sz w:val="20"/>
          <w:szCs w:val="20"/>
        </w:rPr>
        <w:t xml:space="preserve"> </w:t>
      </w:r>
      <w:r w:rsidRPr="000977F7">
        <w:rPr>
          <w:color w:val="auto"/>
          <w:sz w:val="20"/>
          <w:szCs w:val="20"/>
        </w:rPr>
        <w:t>ЕМІСІЯ</w:t>
      </w:r>
      <w:r w:rsidRPr="000977F7">
        <w:rPr>
          <w:color w:val="auto"/>
          <w:spacing w:val="-3"/>
          <w:sz w:val="20"/>
          <w:szCs w:val="20"/>
        </w:rPr>
        <w:t xml:space="preserve"> </w:t>
      </w:r>
      <w:r w:rsidRPr="000977F7">
        <w:rPr>
          <w:color w:val="auto"/>
          <w:sz w:val="20"/>
          <w:szCs w:val="20"/>
        </w:rPr>
        <w:t>ТЕРТЯ</w:t>
      </w:r>
      <w:r w:rsidRPr="000977F7">
        <w:rPr>
          <w:color w:val="auto"/>
          <w:spacing w:val="-3"/>
          <w:sz w:val="20"/>
          <w:szCs w:val="20"/>
        </w:rPr>
        <w:t xml:space="preserve"> </w:t>
      </w:r>
      <w:r w:rsidRPr="000977F7">
        <w:rPr>
          <w:b w:val="0"/>
          <w:color w:val="auto"/>
          <w:sz w:val="20"/>
          <w:szCs w:val="20"/>
        </w:rPr>
        <w:t>–</w:t>
      </w:r>
    </w:p>
    <w:p w14:paraId="11E2C9F6"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FRICTION</w:t>
      </w:r>
      <w:r w:rsidRPr="000977F7">
        <w:rPr>
          <w:b w:val="0"/>
          <w:bCs/>
          <w:color w:val="auto"/>
          <w:spacing w:val="-3"/>
          <w:sz w:val="20"/>
          <w:szCs w:val="20"/>
        </w:rPr>
        <w:t xml:space="preserve"> </w:t>
      </w:r>
      <w:r w:rsidRPr="000977F7">
        <w:rPr>
          <w:b w:val="0"/>
          <w:bCs/>
          <w:color w:val="auto"/>
          <w:sz w:val="20"/>
          <w:szCs w:val="20"/>
        </w:rPr>
        <w:t>ACOUSTIC</w:t>
      </w:r>
      <w:r w:rsidRPr="000977F7">
        <w:rPr>
          <w:b w:val="0"/>
          <w:bCs/>
          <w:color w:val="auto"/>
          <w:spacing w:val="-5"/>
          <w:sz w:val="20"/>
          <w:szCs w:val="20"/>
        </w:rPr>
        <w:t xml:space="preserve"> </w:t>
      </w:r>
      <w:r w:rsidRPr="000977F7">
        <w:rPr>
          <w:b w:val="0"/>
          <w:bCs/>
          <w:color w:val="auto"/>
          <w:sz w:val="20"/>
          <w:szCs w:val="20"/>
        </w:rPr>
        <w:t>EMISSION</w:t>
      </w:r>
      <w:r w:rsidRPr="000977F7">
        <w:rPr>
          <w:b w:val="0"/>
          <w:bCs/>
          <w:color w:val="auto"/>
          <w:spacing w:val="-2"/>
          <w:sz w:val="20"/>
          <w:szCs w:val="20"/>
        </w:rPr>
        <w:t xml:space="preserve"> </w:t>
      </w:r>
      <w:r w:rsidRPr="000977F7">
        <w:rPr>
          <w:b w:val="0"/>
          <w:bCs/>
          <w:color w:val="auto"/>
          <w:sz w:val="20"/>
          <w:szCs w:val="20"/>
        </w:rPr>
        <w:t>–</w:t>
      </w:r>
    </w:p>
    <w:p w14:paraId="446AA8B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Акустична емісія, викликана тертям поверхонь твердих</w:t>
      </w:r>
      <w:r w:rsidRPr="000977F7">
        <w:rPr>
          <w:rFonts w:asciiTheme="majorHAnsi" w:hAnsiTheme="majorHAnsi"/>
          <w:spacing w:val="-2"/>
          <w:sz w:val="20"/>
          <w:szCs w:val="20"/>
        </w:rPr>
        <w:t xml:space="preserve"> </w:t>
      </w:r>
      <w:r w:rsidRPr="000977F7">
        <w:rPr>
          <w:rFonts w:asciiTheme="majorHAnsi" w:hAnsiTheme="majorHAnsi"/>
          <w:sz w:val="20"/>
          <w:szCs w:val="20"/>
        </w:rPr>
        <w:t>тіл</w:t>
      </w:r>
    </w:p>
    <w:p w14:paraId="4AD7B08D" w14:textId="77777777" w:rsidR="0097612F" w:rsidRPr="002E19DF"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2E19DF">
        <w:rPr>
          <w:rFonts w:asciiTheme="majorHAnsi" w:hAnsiTheme="majorHAnsi"/>
          <w:i/>
          <w:spacing w:val="-2"/>
          <w:sz w:val="20"/>
          <w:szCs w:val="20"/>
          <w:lang w:val="en-US"/>
        </w:rPr>
        <w:t xml:space="preserve"> </w:t>
      </w:r>
      <w:r w:rsidRPr="002E19DF">
        <w:rPr>
          <w:rFonts w:asciiTheme="majorHAnsi" w:hAnsiTheme="majorHAnsi"/>
          <w:i/>
          <w:sz w:val="20"/>
          <w:szCs w:val="20"/>
          <w:lang w:val="en-US"/>
        </w:rPr>
        <w:t>2374</w:t>
      </w:r>
      <w:r w:rsidRPr="002E19DF">
        <w:rPr>
          <w:rFonts w:asciiTheme="majorHAnsi" w:hAnsiTheme="majorHAnsi"/>
          <w:i/>
          <w:spacing w:val="-1"/>
          <w:sz w:val="20"/>
          <w:szCs w:val="20"/>
          <w:lang w:val="en-US"/>
        </w:rPr>
        <w:t xml:space="preserve"> </w:t>
      </w:r>
      <w:r w:rsidRPr="002E19DF">
        <w:rPr>
          <w:rFonts w:asciiTheme="majorHAnsi" w:hAnsiTheme="majorHAnsi"/>
          <w:i/>
          <w:sz w:val="20"/>
          <w:szCs w:val="20"/>
          <w:lang w:val="en-US"/>
        </w:rPr>
        <w:t>–</w:t>
      </w:r>
      <w:r w:rsidRPr="002E19DF">
        <w:rPr>
          <w:rFonts w:asciiTheme="majorHAnsi" w:hAnsiTheme="majorHAnsi"/>
          <w:i/>
          <w:spacing w:val="-1"/>
          <w:sz w:val="20"/>
          <w:szCs w:val="20"/>
          <w:lang w:val="en-US"/>
        </w:rPr>
        <w:t xml:space="preserve"> </w:t>
      </w:r>
      <w:r w:rsidRPr="002E19DF">
        <w:rPr>
          <w:rFonts w:asciiTheme="majorHAnsi" w:hAnsiTheme="majorHAnsi"/>
          <w:i/>
          <w:sz w:val="20"/>
          <w:szCs w:val="20"/>
          <w:lang w:val="en-US"/>
        </w:rPr>
        <w:t>94</w:t>
      </w:r>
    </w:p>
    <w:p w14:paraId="4F9CE7EA" w14:textId="77777777" w:rsidR="0097612F" w:rsidRPr="002E19DF" w:rsidRDefault="0097612F" w:rsidP="000977F7">
      <w:pPr>
        <w:tabs>
          <w:tab w:val="left" w:pos="284"/>
        </w:tabs>
        <w:spacing w:after="0" w:line="240" w:lineRule="auto"/>
        <w:ind w:left="170"/>
        <w:mirrorIndents/>
        <w:jc w:val="both"/>
        <w:rPr>
          <w:rFonts w:asciiTheme="majorHAnsi" w:hAnsiTheme="majorHAnsi"/>
          <w:spacing w:val="-47"/>
          <w:sz w:val="20"/>
          <w:szCs w:val="20"/>
          <w:lang w:val="en-US"/>
        </w:rPr>
      </w:pPr>
      <w:r w:rsidRPr="000977F7">
        <w:rPr>
          <w:rFonts w:asciiTheme="majorHAnsi" w:hAnsiTheme="majorHAnsi"/>
          <w:b/>
          <w:sz w:val="20"/>
          <w:szCs w:val="20"/>
        </w:rPr>
        <w:t>АКУСТИЧННИЙ</w:t>
      </w:r>
      <w:r w:rsidRPr="002E19DF">
        <w:rPr>
          <w:rFonts w:asciiTheme="majorHAnsi" w:hAnsiTheme="majorHAnsi"/>
          <w:b/>
          <w:sz w:val="20"/>
          <w:szCs w:val="20"/>
          <w:lang w:val="en-US"/>
        </w:rPr>
        <w:t xml:space="preserve"> </w:t>
      </w:r>
      <w:r w:rsidRPr="000977F7">
        <w:rPr>
          <w:rFonts w:asciiTheme="majorHAnsi" w:hAnsiTheme="majorHAnsi"/>
          <w:b/>
          <w:sz w:val="20"/>
          <w:szCs w:val="20"/>
        </w:rPr>
        <w:t>СИГНАЛ</w:t>
      </w:r>
      <w:r w:rsidRPr="002E19DF">
        <w:rPr>
          <w:rFonts w:asciiTheme="majorHAnsi" w:hAnsiTheme="majorHAnsi"/>
          <w:sz w:val="20"/>
          <w:szCs w:val="20"/>
          <w:lang w:val="en-US"/>
        </w:rPr>
        <w:t>–</w:t>
      </w:r>
      <w:r w:rsidRPr="002E19DF">
        <w:rPr>
          <w:rFonts w:asciiTheme="majorHAnsi" w:hAnsiTheme="majorHAnsi"/>
          <w:spacing w:val="-47"/>
          <w:sz w:val="20"/>
          <w:szCs w:val="20"/>
          <w:lang w:val="en-US"/>
        </w:rPr>
        <w:t xml:space="preserve"> </w:t>
      </w:r>
    </w:p>
    <w:p w14:paraId="5179DBEA" w14:textId="77777777" w:rsidR="0097612F" w:rsidRPr="002E19DF" w:rsidRDefault="0097612F" w:rsidP="000977F7">
      <w:pPr>
        <w:tabs>
          <w:tab w:val="left" w:pos="284"/>
        </w:tabs>
        <w:spacing w:after="0" w:line="240" w:lineRule="auto"/>
        <w:ind w:left="170"/>
        <w:mirrorIndents/>
        <w:jc w:val="both"/>
        <w:rPr>
          <w:rFonts w:asciiTheme="majorHAnsi" w:hAnsiTheme="majorHAnsi"/>
          <w:sz w:val="20"/>
          <w:szCs w:val="20"/>
          <w:lang w:val="en-US"/>
        </w:rPr>
      </w:pPr>
      <w:r w:rsidRPr="002E19DF">
        <w:rPr>
          <w:rFonts w:asciiTheme="majorHAnsi" w:hAnsiTheme="majorHAnsi"/>
          <w:sz w:val="20"/>
          <w:szCs w:val="20"/>
          <w:lang w:val="en-US"/>
        </w:rPr>
        <w:t>ACOUSTICAL</w:t>
      </w:r>
      <w:r w:rsidRPr="002E19DF">
        <w:rPr>
          <w:rFonts w:asciiTheme="majorHAnsi" w:hAnsiTheme="majorHAnsi"/>
          <w:spacing w:val="-3"/>
          <w:sz w:val="20"/>
          <w:szCs w:val="20"/>
          <w:lang w:val="en-US"/>
        </w:rPr>
        <w:t xml:space="preserve"> </w:t>
      </w:r>
      <w:r w:rsidRPr="002E19DF">
        <w:rPr>
          <w:rFonts w:asciiTheme="majorHAnsi" w:hAnsiTheme="majorHAnsi"/>
          <w:sz w:val="20"/>
          <w:szCs w:val="20"/>
          <w:lang w:val="en-US"/>
        </w:rPr>
        <w:t>SIGNAL –</w:t>
      </w:r>
    </w:p>
    <w:p w14:paraId="4AF68D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вигляді</w:t>
      </w:r>
      <w:r w:rsidRPr="000977F7">
        <w:rPr>
          <w:rFonts w:asciiTheme="majorHAnsi" w:hAnsiTheme="majorHAnsi"/>
          <w:spacing w:val="1"/>
          <w:sz w:val="20"/>
          <w:szCs w:val="20"/>
        </w:rPr>
        <w:t xml:space="preserve"> </w:t>
      </w:r>
      <w:r w:rsidRPr="000977F7">
        <w:rPr>
          <w:rFonts w:asciiTheme="majorHAnsi" w:hAnsiTheme="majorHAnsi"/>
          <w:sz w:val="20"/>
          <w:szCs w:val="20"/>
        </w:rPr>
        <w:t>діяння</w:t>
      </w:r>
      <w:r w:rsidRPr="000977F7">
        <w:rPr>
          <w:rFonts w:asciiTheme="majorHAnsi" w:hAnsiTheme="majorHAnsi"/>
          <w:spacing w:val="1"/>
          <w:sz w:val="20"/>
          <w:szCs w:val="20"/>
        </w:rPr>
        <w:t xml:space="preserve"> </w:t>
      </w:r>
      <w:r w:rsidRPr="000977F7">
        <w:rPr>
          <w:rFonts w:asciiTheme="majorHAnsi" w:hAnsiTheme="majorHAnsi"/>
          <w:sz w:val="20"/>
          <w:szCs w:val="20"/>
        </w:rPr>
        <w:t>звуку,</w:t>
      </w:r>
      <w:r w:rsidRPr="000977F7">
        <w:rPr>
          <w:rFonts w:asciiTheme="majorHAnsi" w:hAnsiTheme="majorHAnsi"/>
          <w:spacing w:val="1"/>
          <w:sz w:val="20"/>
          <w:szCs w:val="20"/>
        </w:rPr>
        <w:t xml:space="preserve"> </w:t>
      </w:r>
      <w:r w:rsidRPr="000977F7">
        <w:rPr>
          <w:rFonts w:asciiTheme="majorHAnsi" w:hAnsiTheme="majorHAnsi"/>
          <w:sz w:val="20"/>
          <w:szCs w:val="20"/>
        </w:rPr>
        <w:t>дієвою</w:t>
      </w:r>
      <w:r w:rsidRPr="000977F7">
        <w:rPr>
          <w:rFonts w:asciiTheme="majorHAnsi" w:hAnsiTheme="majorHAnsi"/>
          <w:spacing w:val="1"/>
          <w:sz w:val="20"/>
          <w:szCs w:val="20"/>
        </w:rPr>
        <w:t xml:space="preserve"> </w:t>
      </w:r>
      <w:r w:rsidRPr="000977F7">
        <w:rPr>
          <w:rFonts w:asciiTheme="majorHAnsi" w:hAnsiTheme="majorHAnsi"/>
          <w:sz w:val="20"/>
          <w:szCs w:val="20"/>
        </w:rPr>
        <w:t>величиною</w:t>
      </w:r>
      <w:r w:rsidRPr="000977F7">
        <w:rPr>
          <w:rFonts w:asciiTheme="majorHAnsi" w:hAnsiTheme="majorHAnsi"/>
          <w:spacing w:val="1"/>
          <w:sz w:val="20"/>
          <w:szCs w:val="20"/>
        </w:rPr>
        <w:t xml:space="preserve"> </w:t>
      </w:r>
      <w:r w:rsidRPr="000977F7">
        <w:rPr>
          <w:rFonts w:asciiTheme="majorHAnsi" w:hAnsiTheme="majorHAnsi"/>
          <w:sz w:val="20"/>
          <w:szCs w:val="20"/>
        </w:rPr>
        <w:t>якого є звуковий</w:t>
      </w:r>
      <w:r w:rsidRPr="000977F7">
        <w:rPr>
          <w:rFonts w:asciiTheme="majorHAnsi" w:hAnsiTheme="majorHAnsi"/>
          <w:spacing w:val="1"/>
          <w:sz w:val="20"/>
          <w:szCs w:val="20"/>
        </w:rPr>
        <w:t xml:space="preserve"> </w:t>
      </w:r>
      <w:r w:rsidRPr="000977F7">
        <w:rPr>
          <w:rFonts w:asciiTheme="majorHAnsi" w:hAnsiTheme="majorHAnsi"/>
          <w:sz w:val="20"/>
          <w:szCs w:val="20"/>
        </w:rPr>
        <w:t>тиск</w:t>
      </w:r>
    </w:p>
    <w:p w14:paraId="6F8D2A6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15A0514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АКУСТИКО-ЕМІСІЙНА АПАРАТУРА -</w:t>
      </w:r>
      <w:r w:rsidRPr="000977F7">
        <w:rPr>
          <w:rFonts w:asciiTheme="majorHAnsi" w:hAnsiTheme="majorHAnsi"/>
          <w:spacing w:val="-48"/>
          <w:sz w:val="20"/>
          <w:szCs w:val="20"/>
        </w:rPr>
        <w:t xml:space="preserve"> A</w:t>
      </w:r>
      <w:r w:rsidRPr="000977F7">
        <w:rPr>
          <w:rFonts w:asciiTheme="majorHAnsi" w:hAnsiTheme="majorHAnsi"/>
          <w:sz w:val="20"/>
          <w:szCs w:val="20"/>
        </w:rPr>
        <w:t>COUSTIC</w:t>
      </w:r>
      <w:r w:rsidRPr="000977F7">
        <w:rPr>
          <w:rFonts w:asciiTheme="majorHAnsi" w:hAnsiTheme="majorHAnsi"/>
          <w:spacing w:val="-2"/>
          <w:sz w:val="20"/>
          <w:szCs w:val="20"/>
        </w:rPr>
        <w:t xml:space="preserve"> </w:t>
      </w:r>
      <w:r w:rsidRPr="000977F7">
        <w:rPr>
          <w:rFonts w:asciiTheme="majorHAnsi" w:hAnsiTheme="majorHAnsi"/>
          <w:sz w:val="20"/>
          <w:szCs w:val="20"/>
        </w:rPr>
        <w:t>EMISSION EQUIPMENT–</w:t>
      </w:r>
    </w:p>
    <w:p w14:paraId="425A58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Обладнання,</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забезпечує</w:t>
      </w:r>
      <w:r w:rsidRPr="000977F7">
        <w:rPr>
          <w:rFonts w:asciiTheme="majorHAnsi" w:hAnsiTheme="majorHAnsi"/>
          <w:spacing w:val="1"/>
          <w:sz w:val="20"/>
          <w:szCs w:val="20"/>
        </w:rPr>
        <w:t xml:space="preserve"> </w:t>
      </w:r>
      <w:r w:rsidRPr="000977F7">
        <w:rPr>
          <w:rFonts w:asciiTheme="majorHAnsi" w:hAnsiTheme="majorHAnsi"/>
          <w:sz w:val="20"/>
          <w:szCs w:val="20"/>
        </w:rPr>
        <w:t>приймання,</w:t>
      </w:r>
      <w:r w:rsidRPr="000977F7">
        <w:rPr>
          <w:rFonts w:asciiTheme="majorHAnsi" w:hAnsiTheme="majorHAnsi"/>
          <w:spacing w:val="1"/>
          <w:sz w:val="20"/>
          <w:szCs w:val="20"/>
        </w:rPr>
        <w:t xml:space="preserve"> </w:t>
      </w:r>
      <w:r w:rsidRPr="000977F7">
        <w:rPr>
          <w:rFonts w:asciiTheme="majorHAnsi" w:hAnsiTheme="majorHAnsi"/>
          <w:sz w:val="20"/>
          <w:szCs w:val="20"/>
        </w:rPr>
        <w:t>обробку</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реєстрацію</w:t>
      </w:r>
      <w:r w:rsidRPr="000977F7">
        <w:rPr>
          <w:rFonts w:asciiTheme="majorHAnsi" w:hAnsiTheme="majorHAnsi"/>
          <w:spacing w:val="-2"/>
          <w:sz w:val="20"/>
          <w:szCs w:val="20"/>
        </w:rPr>
        <w:t xml:space="preserve"> </w:t>
      </w:r>
      <w:r w:rsidRPr="000977F7">
        <w:rPr>
          <w:rFonts w:asciiTheme="majorHAnsi" w:hAnsiTheme="majorHAnsi"/>
          <w:sz w:val="20"/>
          <w:szCs w:val="20"/>
        </w:rPr>
        <w:t>сигналів</w:t>
      </w:r>
      <w:r w:rsidRPr="000977F7">
        <w:rPr>
          <w:rFonts w:asciiTheme="majorHAnsi" w:hAnsiTheme="majorHAnsi"/>
          <w:spacing w:val="-1"/>
          <w:sz w:val="20"/>
          <w:szCs w:val="20"/>
        </w:rPr>
        <w:t xml:space="preserve"> </w:t>
      </w:r>
      <w:r w:rsidRPr="000977F7">
        <w:rPr>
          <w:rFonts w:asciiTheme="majorHAnsi" w:hAnsiTheme="majorHAnsi"/>
          <w:sz w:val="20"/>
          <w:szCs w:val="20"/>
        </w:rPr>
        <w:t>акустичної</w:t>
      </w:r>
      <w:r w:rsidRPr="000977F7">
        <w:rPr>
          <w:rFonts w:asciiTheme="majorHAnsi" w:hAnsiTheme="majorHAnsi"/>
          <w:spacing w:val="-1"/>
          <w:sz w:val="20"/>
          <w:szCs w:val="20"/>
        </w:rPr>
        <w:t xml:space="preserve"> </w:t>
      </w:r>
      <w:r w:rsidRPr="000977F7">
        <w:rPr>
          <w:rFonts w:asciiTheme="majorHAnsi" w:hAnsiTheme="majorHAnsi"/>
          <w:sz w:val="20"/>
          <w:szCs w:val="20"/>
        </w:rPr>
        <w:t>емісії</w:t>
      </w:r>
    </w:p>
    <w:p w14:paraId="1F0E563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2374 – 94</w:t>
      </w:r>
    </w:p>
    <w:p w14:paraId="040D70D8"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lastRenderedPageBreak/>
        <w:t>АКУСТИКО-ЕМІСІЙНА</w:t>
      </w:r>
      <w:r w:rsidRPr="000977F7">
        <w:rPr>
          <w:color w:val="auto"/>
          <w:spacing w:val="-6"/>
          <w:sz w:val="20"/>
          <w:szCs w:val="20"/>
        </w:rPr>
        <w:t xml:space="preserve"> </w:t>
      </w:r>
      <w:r w:rsidRPr="000977F7">
        <w:rPr>
          <w:color w:val="auto"/>
          <w:sz w:val="20"/>
          <w:szCs w:val="20"/>
        </w:rPr>
        <w:t>СИСТЕМА</w:t>
      </w:r>
      <w:r w:rsidRPr="000977F7">
        <w:rPr>
          <w:color w:val="auto"/>
          <w:spacing w:val="-4"/>
          <w:sz w:val="20"/>
          <w:szCs w:val="20"/>
        </w:rPr>
        <w:t xml:space="preserve"> </w:t>
      </w:r>
      <w:r w:rsidRPr="000977F7">
        <w:rPr>
          <w:b w:val="0"/>
          <w:color w:val="auto"/>
          <w:sz w:val="20"/>
          <w:szCs w:val="20"/>
        </w:rPr>
        <w:t>–</w:t>
      </w:r>
    </w:p>
    <w:p w14:paraId="12AEB62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Акустико-емісійна апаратура, що поєднана із засобами</w:t>
      </w:r>
      <w:r w:rsidRPr="000977F7">
        <w:rPr>
          <w:rFonts w:asciiTheme="majorHAnsi" w:hAnsiTheme="majorHAnsi"/>
          <w:spacing w:val="1"/>
          <w:sz w:val="20"/>
          <w:szCs w:val="20"/>
        </w:rPr>
        <w:t xml:space="preserve"> </w:t>
      </w:r>
      <w:r w:rsidRPr="000977F7">
        <w:rPr>
          <w:rFonts w:asciiTheme="majorHAnsi" w:hAnsiTheme="majorHAnsi"/>
          <w:sz w:val="20"/>
          <w:szCs w:val="20"/>
        </w:rPr>
        <w:t>статистичної,</w:t>
      </w:r>
      <w:r w:rsidRPr="000977F7">
        <w:rPr>
          <w:rFonts w:asciiTheme="majorHAnsi" w:hAnsiTheme="majorHAnsi"/>
          <w:spacing w:val="1"/>
          <w:sz w:val="20"/>
          <w:szCs w:val="20"/>
        </w:rPr>
        <w:t xml:space="preserve"> </w:t>
      </w:r>
      <w:r w:rsidRPr="000977F7">
        <w:rPr>
          <w:rFonts w:asciiTheme="majorHAnsi" w:hAnsiTheme="majorHAnsi"/>
          <w:sz w:val="20"/>
          <w:szCs w:val="20"/>
        </w:rPr>
        <w:t>математичної</w:t>
      </w:r>
      <w:r w:rsidRPr="000977F7">
        <w:rPr>
          <w:rFonts w:asciiTheme="majorHAnsi" w:hAnsiTheme="majorHAnsi"/>
          <w:spacing w:val="1"/>
          <w:sz w:val="20"/>
          <w:szCs w:val="20"/>
        </w:rPr>
        <w:t xml:space="preserve"> </w:t>
      </w:r>
      <w:r w:rsidRPr="000977F7">
        <w:rPr>
          <w:rFonts w:asciiTheme="majorHAnsi" w:hAnsiTheme="majorHAnsi"/>
          <w:sz w:val="20"/>
          <w:szCs w:val="20"/>
        </w:rPr>
        <w:t>обробки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аналізу</w:t>
      </w:r>
      <w:r w:rsidRPr="000977F7">
        <w:rPr>
          <w:rFonts w:asciiTheme="majorHAnsi" w:hAnsiTheme="majorHAnsi"/>
          <w:spacing w:val="1"/>
          <w:sz w:val="20"/>
          <w:szCs w:val="20"/>
        </w:rPr>
        <w:t xml:space="preserve"> </w:t>
      </w:r>
      <w:r w:rsidRPr="000977F7">
        <w:rPr>
          <w:rFonts w:asciiTheme="majorHAnsi" w:hAnsiTheme="majorHAnsi"/>
          <w:sz w:val="20"/>
          <w:szCs w:val="20"/>
        </w:rPr>
        <w:t>параметрів акустичної емісії з використанням обчислювальної</w:t>
      </w:r>
      <w:r w:rsidRPr="000977F7">
        <w:rPr>
          <w:rFonts w:asciiTheme="majorHAnsi" w:hAnsiTheme="majorHAnsi"/>
          <w:spacing w:val="-2"/>
          <w:sz w:val="20"/>
          <w:szCs w:val="20"/>
        </w:rPr>
        <w:t xml:space="preserve"> </w:t>
      </w:r>
      <w:r w:rsidRPr="000977F7">
        <w:rPr>
          <w:rFonts w:asciiTheme="majorHAnsi" w:hAnsiTheme="majorHAnsi"/>
          <w:sz w:val="20"/>
          <w:szCs w:val="20"/>
        </w:rPr>
        <w:t>техніки</w:t>
      </w:r>
    </w:p>
    <w:p w14:paraId="538FE6E4" w14:textId="77777777" w:rsidR="0097612F" w:rsidRPr="002E19DF"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2E19DF">
        <w:rPr>
          <w:rFonts w:asciiTheme="majorHAnsi" w:hAnsiTheme="majorHAnsi"/>
          <w:i/>
          <w:spacing w:val="-2"/>
          <w:sz w:val="20"/>
          <w:szCs w:val="20"/>
          <w:lang w:val="en-US"/>
        </w:rPr>
        <w:t xml:space="preserve"> </w:t>
      </w:r>
      <w:r w:rsidRPr="002E19DF">
        <w:rPr>
          <w:rFonts w:asciiTheme="majorHAnsi" w:hAnsiTheme="majorHAnsi"/>
          <w:i/>
          <w:sz w:val="20"/>
          <w:szCs w:val="20"/>
          <w:lang w:val="en-US"/>
        </w:rPr>
        <w:t>2374</w:t>
      </w:r>
      <w:r w:rsidRPr="002E19DF">
        <w:rPr>
          <w:rFonts w:asciiTheme="majorHAnsi" w:hAnsiTheme="majorHAnsi"/>
          <w:i/>
          <w:spacing w:val="-1"/>
          <w:sz w:val="20"/>
          <w:szCs w:val="20"/>
          <w:lang w:val="en-US"/>
        </w:rPr>
        <w:t xml:space="preserve"> </w:t>
      </w:r>
      <w:r w:rsidRPr="002E19DF">
        <w:rPr>
          <w:rFonts w:asciiTheme="majorHAnsi" w:hAnsiTheme="majorHAnsi"/>
          <w:i/>
          <w:sz w:val="20"/>
          <w:szCs w:val="20"/>
          <w:lang w:val="en-US"/>
        </w:rPr>
        <w:t>–</w:t>
      </w:r>
      <w:r w:rsidRPr="002E19DF">
        <w:rPr>
          <w:rFonts w:asciiTheme="majorHAnsi" w:hAnsiTheme="majorHAnsi"/>
          <w:i/>
          <w:spacing w:val="-1"/>
          <w:sz w:val="20"/>
          <w:szCs w:val="20"/>
          <w:lang w:val="en-US"/>
        </w:rPr>
        <w:t xml:space="preserve"> </w:t>
      </w:r>
      <w:r w:rsidRPr="002E19DF">
        <w:rPr>
          <w:rFonts w:asciiTheme="majorHAnsi" w:hAnsiTheme="majorHAnsi"/>
          <w:i/>
          <w:sz w:val="20"/>
          <w:szCs w:val="20"/>
          <w:lang w:val="en-US"/>
        </w:rPr>
        <w:t>94</w:t>
      </w:r>
    </w:p>
    <w:p w14:paraId="52998D0C" w14:textId="77777777" w:rsidR="0097612F" w:rsidRPr="002E19DF" w:rsidRDefault="0097612F" w:rsidP="000977F7">
      <w:pPr>
        <w:tabs>
          <w:tab w:val="left" w:pos="284"/>
        </w:tabs>
        <w:spacing w:after="0" w:line="240" w:lineRule="auto"/>
        <w:ind w:left="170"/>
        <w:mirrorIndents/>
        <w:jc w:val="both"/>
        <w:rPr>
          <w:rFonts w:asciiTheme="majorHAnsi" w:hAnsiTheme="majorHAnsi"/>
          <w:spacing w:val="-47"/>
          <w:sz w:val="20"/>
          <w:szCs w:val="20"/>
          <w:lang w:val="en-US"/>
        </w:rPr>
      </w:pPr>
      <w:r w:rsidRPr="000977F7">
        <w:rPr>
          <w:rFonts w:asciiTheme="majorHAnsi" w:hAnsiTheme="majorHAnsi"/>
          <w:b/>
          <w:sz w:val="20"/>
          <w:szCs w:val="20"/>
        </w:rPr>
        <w:t>АКУСТИКО</w:t>
      </w:r>
      <w:r w:rsidRPr="002E19DF">
        <w:rPr>
          <w:rFonts w:asciiTheme="majorHAnsi" w:hAnsiTheme="majorHAnsi"/>
          <w:b/>
          <w:sz w:val="20"/>
          <w:szCs w:val="20"/>
          <w:lang w:val="en-US"/>
        </w:rPr>
        <w:t>-</w:t>
      </w:r>
      <w:r w:rsidRPr="000977F7">
        <w:rPr>
          <w:rFonts w:asciiTheme="majorHAnsi" w:hAnsiTheme="majorHAnsi"/>
          <w:b/>
          <w:sz w:val="20"/>
          <w:szCs w:val="20"/>
        </w:rPr>
        <w:t>ЕМІСІЙНИЙ</w:t>
      </w:r>
      <w:r w:rsidRPr="002E19DF">
        <w:rPr>
          <w:rFonts w:asciiTheme="majorHAnsi" w:hAnsiTheme="majorHAnsi"/>
          <w:b/>
          <w:sz w:val="20"/>
          <w:szCs w:val="20"/>
          <w:lang w:val="en-US"/>
        </w:rPr>
        <w:t xml:space="preserve"> </w:t>
      </w:r>
      <w:r w:rsidRPr="000977F7">
        <w:rPr>
          <w:rFonts w:asciiTheme="majorHAnsi" w:hAnsiTheme="majorHAnsi"/>
          <w:b/>
          <w:sz w:val="20"/>
          <w:szCs w:val="20"/>
        </w:rPr>
        <w:t>МЕТОД</w:t>
      </w:r>
      <w:r w:rsidRPr="002E19DF">
        <w:rPr>
          <w:rFonts w:asciiTheme="majorHAnsi" w:hAnsiTheme="majorHAnsi"/>
          <w:b/>
          <w:sz w:val="20"/>
          <w:szCs w:val="20"/>
          <w:lang w:val="en-US"/>
        </w:rPr>
        <w:t xml:space="preserve"> </w:t>
      </w:r>
      <w:r w:rsidRPr="002E19DF">
        <w:rPr>
          <w:rFonts w:asciiTheme="majorHAnsi" w:hAnsiTheme="majorHAnsi"/>
          <w:sz w:val="20"/>
          <w:szCs w:val="20"/>
          <w:lang w:val="en-US"/>
        </w:rPr>
        <w:t>–</w:t>
      </w:r>
      <w:r w:rsidRPr="002E19DF">
        <w:rPr>
          <w:rFonts w:asciiTheme="majorHAnsi" w:hAnsiTheme="majorHAnsi"/>
          <w:spacing w:val="-47"/>
          <w:sz w:val="20"/>
          <w:szCs w:val="20"/>
          <w:lang w:val="en-US"/>
        </w:rPr>
        <w:t xml:space="preserve"> </w:t>
      </w:r>
    </w:p>
    <w:p w14:paraId="67C4E57E" w14:textId="77777777" w:rsidR="0097612F" w:rsidRPr="002E19DF" w:rsidRDefault="0097612F" w:rsidP="000977F7">
      <w:pPr>
        <w:tabs>
          <w:tab w:val="left" w:pos="284"/>
        </w:tabs>
        <w:spacing w:after="0" w:line="240" w:lineRule="auto"/>
        <w:ind w:left="170"/>
        <w:mirrorIndents/>
        <w:jc w:val="both"/>
        <w:rPr>
          <w:rFonts w:asciiTheme="majorHAnsi" w:hAnsiTheme="majorHAnsi"/>
          <w:sz w:val="20"/>
          <w:szCs w:val="20"/>
          <w:lang w:val="en-US"/>
        </w:rPr>
      </w:pPr>
      <w:r w:rsidRPr="002E19DF">
        <w:rPr>
          <w:rFonts w:asciiTheme="majorHAnsi" w:hAnsiTheme="majorHAnsi"/>
          <w:sz w:val="20"/>
          <w:szCs w:val="20"/>
          <w:lang w:val="en-US"/>
        </w:rPr>
        <w:t>ACOUSTIC</w:t>
      </w:r>
      <w:r w:rsidRPr="002E19DF">
        <w:rPr>
          <w:rFonts w:asciiTheme="majorHAnsi" w:hAnsiTheme="majorHAnsi"/>
          <w:spacing w:val="-2"/>
          <w:sz w:val="20"/>
          <w:szCs w:val="20"/>
          <w:lang w:val="en-US"/>
        </w:rPr>
        <w:t xml:space="preserve"> </w:t>
      </w:r>
      <w:r w:rsidRPr="002E19DF">
        <w:rPr>
          <w:rFonts w:asciiTheme="majorHAnsi" w:hAnsiTheme="majorHAnsi"/>
          <w:sz w:val="20"/>
          <w:szCs w:val="20"/>
          <w:lang w:val="en-US"/>
        </w:rPr>
        <w:t>EMISSION METHOD –</w:t>
      </w:r>
    </w:p>
    <w:p w14:paraId="07A4EE57"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Метод</w:t>
      </w:r>
      <w:r w:rsidRPr="000977F7">
        <w:rPr>
          <w:rFonts w:asciiTheme="majorHAnsi" w:hAnsiTheme="majorHAnsi"/>
          <w:spacing w:val="41"/>
          <w:sz w:val="20"/>
          <w:szCs w:val="20"/>
        </w:rPr>
        <w:t xml:space="preserve"> </w:t>
      </w:r>
      <w:r w:rsidRPr="000977F7">
        <w:rPr>
          <w:rFonts w:asciiTheme="majorHAnsi" w:hAnsiTheme="majorHAnsi"/>
          <w:sz w:val="20"/>
          <w:szCs w:val="20"/>
        </w:rPr>
        <w:t>контролю</w:t>
      </w:r>
      <w:r w:rsidRPr="000977F7">
        <w:rPr>
          <w:rFonts w:asciiTheme="majorHAnsi" w:hAnsiTheme="majorHAnsi"/>
          <w:spacing w:val="41"/>
          <w:sz w:val="20"/>
          <w:szCs w:val="20"/>
        </w:rPr>
        <w:t xml:space="preserve"> </w:t>
      </w:r>
      <w:r w:rsidRPr="000977F7">
        <w:rPr>
          <w:rFonts w:asciiTheme="majorHAnsi" w:hAnsiTheme="majorHAnsi"/>
          <w:sz w:val="20"/>
          <w:szCs w:val="20"/>
        </w:rPr>
        <w:t>та</w:t>
      </w:r>
      <w:r w:rsidRPr="000977F7">
        <w:rPr>
          <w:rFonts w:asciiTheme="majorHAnsi" w:hAnsiTheme="majorHAnsi"/>
          <w:spacing w:val="42"/>
          <w:sz w:val="20"/>
          <w:szCs w:val="20"/>
        </w:rPr>
        <w:t xml:space="preserve"> </w:t>
      </w:r>
      <w:r w:rsidRPr="000977F7">
        <w:rPr>
          <w:rFonts w:asciiTheme="majorHAnsi" w:hAnsiTheme="majorHAnsi"/>
          <w:sz w:val="20"/>
          <w:szCs w:val="20"/>
        </w:rPr>
        <w:t>діагностики,</w:t>
      </w:r>
      <w:r w:rsidRPr="000977F7">
        <w:rPr>
          <w:rFonts w:asciiTheme="majorHAnsi" w:hAnsiTheme="majorHAnsi"/>
          <w:spacing w:val="42"/>
          <w:sz w:val="20"/>
          <w:szCs w:val="20"/>
        </w:rPr>
        <w:t xml:space="preserve"> </w:t>
      </w:r>
      <w:r w:rsidRPr="000977F7">
        <w:rPr>
          <w:rFonts w:asciiTheme="majorHAnsi" w:hAnsiTheme="majorHAnsi"/>
          <w:sz w:val="20"/>
          <w:szCs w:val="20"/>
        </w:rPr>
        <w:t>що</w:t>
      </w:r>
      <w:r w:rsidRPr="000977F7">
        <w:rPr>
          <w:rFonts w:asciiTheme="majorHAnsi" w:hAnsiTheme="majorHAnsi"/>
          <w:spacing w:val="43"/>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43"/>
          <w:sz w:val="20"/>
          <w:szCs w:val="20"/>
        </w:rPr>
        <w:t xml:space="preserve"> </w:t>
      </w:r>
      <w:r w:rsidRPr="000977F7">
        <w:rPr>
          <w:rFonts w:asciiTheme="majorHAnsi" w:hAnsiTheme="majorHAnsi"/>
          <w:sz w:val="20"/>
          <w:szCs w:val="20"/>
        </w:rPr>
        <w:t>на</w:t>
      </w:r>
      <w:r w:rsidRPr="000977F7">
        <w:rPr>
          <w:rFonts w:asciiTheme="majorHAnsi" w:hAnsiTheme="majorHAnsi"/>
          <w:spacing w:val="-47"/>
          <w:sz w:val="20"/>
          <w:szCs w:val="20"/>
        </w:rPr>
        <w:t xml:space="preserve">         </w:t>
      </w:r>
      <w:r w:rsidRPr="000977F7">
        <w:rPr>
          <w:rFonts w:asciiTheme="majorHAnsi" w:hAnsiTheme="majorHAnsi"/>
          <w:sz w:val="20"/>
          <w:szCs w:val="20"/>
        </w:rPr>
        <w:t>аналізі параметрів пружних хвиль акустичної емісії</w:t>
      </w:r>
      <w:r w:rsidRPr="000977F7">
        <w:rPr>
          <w:rFonts w:asciiTheme="majorHAnsi" w:hAnsiTheme="majorHAnsi"/>
          <w:spacing w:val="1"/>
          <w:sz w:val="20"/>
          <w:szCs w:val="20"/>
        </w:rPr>
        <w:t xml:space="preserve"> </w:t>
      </w:r>
    </w:p>
    <w:p w14:paraId="5D5831BB"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2374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B78C0A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АЛГОРИТМ</w:t>
      </w:r>
      <w:r w:rsidRPr="000977F7">
        <w:rPr>
          <w:color w:val="auto"/>
          <w:spacing w:val="-4"/>
          <w:sz w:val="20"/>
          <w:szCs w:val="20"/>
        </w:rPr>
        <w:t xml:space="preserve"> </w:t>
      </w:r>
      <w:r w:rsidRPr="000977F7">
        <w:rPr>
          <w:color w:val="auto"/>
          <w:sz w:val="20"/>
          <w:szCs w:val="20"/>
        </w:rPr>
        <w:t>–</w:t>
      </w:r>
    </w:p>
    <w:p w14:paraId="0282B75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ALGORITHM –</w:t>
      </w:r>
    </w:p>
    <w:p w14:paraId="6BBFFF5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Скінченний набір приписів, який визначає розв’язок</w:t>
      </w:r>
      <w:r w:rsidRPr="000977F7">
        <w:rPr>
          <w:rFonts w:asciiTheme="majorHAnsi" w:hAnsiTheme="majorHAnsi"/>
          <w:spacing w:val="1"/>
          <w:sz w:val="20"/>
          <w:szCs w:val="20"/>
        </w:rPr>
        <w:t xml:space="preserve"> </w:t>
      </w:r>
      <w:r w:rsidRPr="000977F7">
        <w:rPr>
          <w:rFonts w:asciiTheme="majorHAnsi" w:hAnsiTheme="majorHAnsi"/>
          <w:sz w:val="20"/>
          <w:szCs w:val="20"/>
        </w:rPr>
        <w:t>задачі</w:t>
      </w:r>
      <w:r w:rsidRPr="000977F7">
        <w:rPr>
          <w:rFonts w:asciiTheme="majorHAnsi" w:hAnsiTheme="majorHAnsi"/>
          <w:spacing w:val="-1"/>
          <w:sz w:val="20"/>
          <w:szCs w:val="20"/>
        </w:rPr>
        <w:t xml:space="preserve"> </w:t>
      </w:r>
      <w:r w:rsidRPr="000977F7">
        <w:rPr>
          <w:rFonts w:asciiTheme="majorHAnsi" w:hAnsiTheme="majorHAnsi"/>
          <w:sz w:val="20"/>
          <w:szCs w:val="20"/>
        </w:rPr>
        <w:t>шляхом скінченної</w:t>
      </w:r>
      <w:r w:rsidRPr="000977F7">
        <w:rPr>
          <w:rFonts w:asciiTheme="majorHAnsi" w:hAnsiTheme="majorHAnsi"/>
          <w:spacing w:val="-2"/>
          <w:sz w:val="20"/>
          <w:szCs w:val="20"/>
        </w:rPr>
        <w:t xml:space="preserve"> </w:t>
      </w:r>
      <w:r w:rsidRPr="000977F7">
        <w:rPr>
          <w:rFonts w:asciiTheme="majorHAnsi" w:hAnsiTheme="majorHAnsi"/>
          <w:sz w:val="20"/>
          <w:szCs w:val="20"/>
        </w:rPr>
        <w:t>кількості</w:t>
      </w:r>
      <w:r w:rsidRPr="000977F7">
        <w:rPr>
          <w:rFonts w:asciiTheme="majorHAnsi" w:hAnsiTheme="majorHAnsi"/>
          <w:spacing w:val="-2"/>
          <w:sz w:val="20"/>
          <w:szCs w:val="20"/>
        </w:rPr>
        <w:t xml:space="preserve"> </w:t>
      </w:r>
      <w:r w:rsidRPr="000977F7">
        <w:rPr>
          <w:rFonts w:asciiTheme="majorHAnsi" w:hAnsiTheme="majorHAnsi"/>
          <w:sz w:val="20"/>
          <w:szCs w:val="20"/>
        </w:rPr>
        <w:t>операцій</w:t>
      </w:r>
    </w:p>
    <w:p w14:paraId="3FB4513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039C0E2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10" w:name="_Hlk100843635"/>
      <w:r w:rsidRPr="000977F7">
        <w:rPr>
          <w:color w:val="auto"/>
          <w:sz w:val="20"/>
          <w:szCs w:val="20"/>
        </w:rPr>
        <w:t>АЛГОРИТМ</w:t>
      </w:r>
      <w:r w:rsidRPr="000977F7">
        <w:rPr>
          <w:color w:val="auto"/>
          <w:spacing w:val="-2"/>
          <w:sz w:val="20"/>
          <w:szCs w:val="20"/>
        </w:rPr>
        <w:t xml:space="preserve"> </w:t>
      </w:r>
      <w:r w:rsidRPr="000977F7">
        <w:rPr>
          <w:color w:val="auto"/>
          <w:sz w:val="20"/>
          <w:szCs w:val="20"/>
        </w:rPr>
        <w:t>КЕРУВАННЯ</w:t>
      </w:r>
      <w:r w:rsidRPr="000977F7">
        <w:rPr>
          <w:color w:val="auto"/>
          <w:spacing w:val="-3"/>
          <w:sz w:val="20"/>
          <w:szCs w:val="20"/>
        </w:rPr>
        <w:t xml:space="preserve"> </w:t>
      </w:r>
      <w:r w:rsidRPr="000977F7">
        <w:rPr>
          <w:color w:val="auto"/>
          <w:sz w:val="20"/>
          <w:szCs w:val="20"/>
        </w:rPr>
        <w:t>–</w:t>
      </w:r>
    </w:p>
    <w:p w14:paraId="14D70AD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CONTROL</w:t>
      </w:r>
      <w:r w:rsidRPr="000977F7">
        <w:rPr>
          <w:rFonts w:asciiTheme="majorHAnsi" w:hAnsiTheme="majorHAnsi"/>
          <w:spacing w:val="-2"/>
          <w:sz w:val="20"/>
          <w:szCs w:val="20"/>
        </w:rPr>
        <w:t xml:space="preserve"> </w:t>
      </w:r>
      <w:r w:rsidRPr="000977F7">
        <w:rPr>
          <w:rFonts w:asciiTheme="majorHAnsi" w:hAnsiTheme="majorHAnsi"/>
          <w:sz w:val="20"/>
          <w:szCs w:val="20"/>
        </w:rPr>
        <w:t>ALGORITHM –</w:t>
      </w:r>
    </w:p>
    <w:bookmarkEnd w:id="10"/>
    <w:p w14:paraId="18C6ACF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Алгоритм,</w:t>
      </w:r>
      <w:r w:rsidRPr="000977F7">
        <w:rPr>
          <w:rFonts w:asciiTheme="majorHAnsi" w:hAnsiTheme="majorHAnsi"/>
          <w:spacing w:val="-4"/>
          <w:sz w:val="20"/>
          <w:szCs w:val="20"/>
        </w:rPr>
        <w:t xml:space="preserve"> </w:t>
      </w:r>
      <w:r w:rsidRPr="000977F7">
        <w:rPr>
          <w:rFonts w:asciiTheme="majorHAnsi" w:hAnsiTheme="majorHAnsi"/>
          <w:sz w:val="20"/>
          <w:szCs w:val="20"/>
        </w:rPr>
        <w:t>який</w:t>
      </w:r>
      <w:r w:rsidRPr="000977F7">
        <w:rPr>
          <w:rFonts w:asciiTheme="majorHAnsi" w:hAnsiTheme="majorHAnsi"/>
          <w:spacing w:val="-4"/>
          <w:sz w:val="20"/>
          <w:szCs w:val="20"/>
        </w:rPr>
        <w:t xml:space="preserve"> </w:t>
      </w:r>
      <w:r w:rsidRPr="000977F7">
        <w:rPr>
          <w:rFonts w:asciiTheme="majorHAnsi" w:hAnsiTheme="majorHAnsi"/>
          <w:sz w:val="20"/>
          <w:szCs w:val="20"/>
        </w:rPr>
        <w:t>реалізує</w:t>
      </w:r>
      <w:r w:rsidRPr="000977F7">
        <w:rPr>
          <w:rFonts w:asciiTheme="majorHAnsi" w:hAnsiTheme="majorHAnsi"/>
          <w:spacing w:val="-3"/>
          <w:sz w:val="20"/>
          <w:szCs w:val="20"/>
        </w:rPr>
        <w:t xml:space="preserve"> </w:t>
      </w:r>
      <w:r w:rsidRPr="000977F7">
        <w:rPr>
          <w:rFonts w:asciiTheme="majorHAnsi" w:hAnsiTheme="majorHAnsi"/>
          <w:sz w:val="20"/>
          <w:szCs w:val="20"/>
        </w:rPr>
        <w:t>закон</w:t>
      </w:r>
      <w:r w:rsidRPr="000977F7">
        <w:rPr>
          <w:rFonts w:asciiTheme="majorHAnsi" w:hAnsiTheme="majorHAnsi"/>
          <w:spacing w:val="-4"/>
          <w:sz w:val="20"/>
          <w:szCs w:val="20"/>
        </w:rPr>
        <w:t xml:space="preserve"> </w:t>
      </w:r>
      <w:r w:rsidRPr="000977F7">
        <w:rPr>
          <w:rFonts w:asciiTheme="majorHAnsi" w:hAnsiTheme="majorHAnsi"/>
          <w:sz w:val="20"/>
          <w:szCs w:val="20"/>
        </w:rPr>
        <w:t>керування</w:t>
      </w:r>
    </w:p>
    <w:p w14:paraId="18E5A28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3C98A3A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АЛГОРИТМ</w:t>
      </w:r>
      <w:r w:rsidRPr="000977F7">
        <w:rPr>
          <w:color w:val="auto"/>
          <w:spacing w:val="-2"/>
          <w:sz w:val="20"/>
          <w:szCs w:val="20"/>
        </w:rPr>
        <w:t xml:space="preserve"> </w:t>
      </w:r>
      <w:r w:rsidRPr="000977F7">
        <w:rPr>
          <w:color w:val="auto"/>
          <w:sz w:val="20"/>
          <w:szCs w:val="20"/>
        </w:rPr>
        <w:t>КОНТРОЛЮ</w:t>
      </w:r>
      <w:r w:rsidRPr="000977F7">
        <w:rPr>
          <w:color w:val="auto"/>
          <w:spacing w:val="-4"/>
          <w:sz w:val="20"/>
          <w:szCs w:val="20"/>
        </w:rPr>
        <w:t xml:space="preserve"> </w:t>
      </w:r>
      <w:r w:rsidRPr="000977F7">
        <w:rPr>
          <w:color w:val="auto"/>
          <w:sz w:val="20"/>
          <w:szCs w:val="20"/>
        </w:rPr>
        <w:t>–</w:t>
      </w:r>
    </w:p>
    <w:p w14:paraId="46CB279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настанов, що визначають послідовність дій виконавців і засобів контролю, необхідних і достатніх для виконання контролю</w:t>
      </w:r>
    </w:p>
    <w:p w14:paraId="7ABBAC1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АЛГОРИТМ</w:t>
      </w:r>
      <w:r w:rsidRPr="000977F7">
        <w:rPr>
          <w:color w:val="auto"/>
          <w:spacing w:val="-2"/>
          <w:sz w:val="20"/>
          <w:szCs w:val="20"/>
        </w:rPr>
        <w:t xml:space="preserve"> </w:t>
      </w:r>
      <w:r w:rsidRPr="000977F7">
        <w:rPr>
          <w:color w:val="auto"/>
          <w:sz w:val="20"/>
          <w:szCs w:val="20"/>
        </w:rPr>
        <w:t>ПЕРЕВІРКИ</w:t>
      </w:r>
      <w:r w:rsidRPr="000977F7">
        <w:rPr>
          <w:color w:val="auto"/>
          <w:spacing w:val="-6"/>
          <w:sz w:val="20"/>
          <w:szCs w:val="20"/>
        </w:rPr>
        <w:t xml:space="preserve"> </w:t>
      </w:r>
      <w:r w:rsidRPr="000977F7">
        <w:rPr>
          <w:color w:val="auto"/>
          <w:sz w:val="20"/>
          <w:szCs w:val="20"/>
        </w:rPr>
        <w:t>РЕЗУЛЬТАТУ</w:t>
      </w:r>
      <w:r w:rsidRPr="000977F7">
        <w:rPr>
          <w:color w:val="auto"/>
          <w:spacing w:val="-2"/>
          <w:sz w:val="20"/>
          <w:szCs w:val="20"/>
        </w:rPr>
        <w:t xml:space="preserve"> </w:t>
      </w:r>
      <w:r w:rsidRPr="000977F7">
        <w:rPr>
          <w:color w:val="auto"/>
          <w:sz w:val="20"/>
          <w:szCs w:val="20"/>
        </w:rPr>
        <w:t>–</w:t>
      </w:r>
    </w:p>
    <w:p w14:paraId="0CC5EA7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настанов, що забезпечують перевірку правильності результату контролю параметра з метою отримання кінцевого результату</w:t>
      </w:r>
    </w:p>
    <w:p w14:paraId="1FBF9CB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3"/>
          <w:sz w:val="20"/>
          <w:szCs w:val="20"/>
        </w:rPr>
        <w:t>АЛГОРИТМ</w:t>
      </w:r>
      <w:r w:rsidRPr="000977F7">
        <w:rPr>
          <w:color w:val="auto"/>
          <w:spacing w:val="-9"/>
          <w:sz w:val="20"/>
          <w:szCs w:val="20"/>
        </w:rPr>
        <w:t xml:space="preserve"> </w:t>
      </w:r>
      <w:r w:rsidRPr="000977F7">
        <w:rPr>
          <w:color w:val="auto"/>
          <w:spacing w:val="-2"/>
          <w:sz w:val="20"/>
          <w:szCs w:val="20"/>
        </w:rPr>
        <w:t>ТЕХНІЧНОГО</w:t>
      </w:r>
      <w:r w:rsidRPr="000977F7">
        <w:rPr>
          <w:color w:val="auto"/>
          <w:spacing w:val="-10"/>
          <w:sz w:val="20"/>
          <w:szCs w:val="20"/>
        </w:rPr>
        <w:t xml:space="preserve"> </w:t>
      </w:r>
      <w:r w:rsidRPr="000977F7">
        <w:rPr>
          <w:color w:val="auto"/>
          <w:spacing w:val="-2"/>
          <w:sz w:val="20"/>
          <w:szCs w:val="20"/>
        </w:rPr>
        <w:t>ДІАГНОСТУВАННЯ</w:t>
      </w:r>
      <w:r w:rsidRPr="000977F7">
        <w:rPr>
          <w:color w:val="auto"/>
          <w:spacing w:val="-10"/>
          <w:sz w:val="20"/>
          <w:szCs w:val="20"/>
        </w:rPr>
        <w:t xml:space="preserve"> </w:t>
      </w:r>
      <w:r w:rsidRPr="000977F7">
        <w:rPr>
          <w:color w:val="auto"/>
          <w:spacing w:val="-2"/>
          <w:sz w:val="20"/>
          <w:szCs w:val="20"/>
        </w:rPr>
        <w:t>–</w:t>
      </w:r>
    </w:p>
    <w:p w14:paraId="14ECAE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ALGORYTHM OF TECHNICAL DIAGNOSIS -</w:t>
      </w:r>
    </w:p>
    <w:p w14:paraId="56E2613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приписів, що визначають послідовність дій в процесі діагностування</w:t>
      </w:r>
    </w:p>
    <w:p w14:paraId="45B9552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7204738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АЛЬТЕРНАТ</w:t>
      </w:r>
      <w:r w:rsidRPr="000977F7">
        <w:rPr>
          <w:color w:val="auto"/>
          <w:spacing w:val="-9"/>
          <w:sz w:val="20"/>
          <w:szCs w:val="20"/>
        </w:rPr>
        <w:t xml:space="preserve"> </w:t>
      </w:r>
      <w:r w:rsidRPr="000977F7">
        <w:rPr>
          <w:color w:val="auto"/>
          <w:sz w:val="20"/>
          <w:szCs w:val="20"/>
        </w:rPr>
        <w:t>–</w:t>
      </w:r>
    </w:p>
    <w:p w14:paraId="2FD13BB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Порядок, який регулює черговість підписання тексту</w:t>
      </w:r>
      <w:r w:rsidRPr="000977F7">
        <w:rPr>
          <w:rFonts w:asciiTheme="majorHAnsi" w:hAnsiTheme="majorHAnsi"/>
          <w:spacing w:val="1"/>
          <w:sz w:val="20"/>
          <w:szCs w:val="20"/>
        </w:rPr>
        <w:t xml:space="preserve"> </w:t>
      </w:r>
      <w:r w:rsidRPr="000977F7">
        <w:rPr>
          <w:rFonts w:asciiTheme="majorHAnsi" w:hAnsiTheme="majorHAnsi"/>
          <w:sz w:val="20"/>
          <w:szCs w:val="20"/>
        </w:rPr>
        <w:t>договору</w:t>
      </w:r>
      <w:r w:rsidRPr="000977F7">
        <w:rPr>
          <w:rFonts w:asciiTheme="majorHAnsi" w:hAnsiTheme="majorHAnsi"/>
          <w:spacing w:val="-2"/>
          <w:sz w:val="20"/>
          <w:szCs w:val="20"/>
        </w:rPr>
        <w:t xml:space="preserve"> </w:t>
      </w:r>
      <w:r w:rsidRPr="000977F7">
        <w:rPr>
          <w:rFonts w:asciiTheme="majorHAnsi" w:hAnsiTheme="majorHAnsi"/>
          <w:sz w:val="20"/>
          <w:szCs w:val="20"/>
        </w:rPr>
        <w:t>його</w:t>
      </w:r>
      <w:r w:rsidRPr="000977F7">
        <w:rPr>
          <w:rFonts w:asciiTheme="majorHAnsi" w:hAnsiTheme="majorHAnsi"/>
          <w:spacing w:val="3"/>
          <w:sz w:val="20"/>
          <w:szCs w:val="20"/>
        </w:rPr>
        <w:t xml:space="preserve"> </w:t>
      </w:r>
      <w:r w:rsidRPr="000977F7">
        <w:rPr>
          <w:rFonts w:asciiTheme="majorHAnsi" w:hAnsiTheme="majorHAnsi"/>
          <w:sz w:val="20"/>
          <w:szCs w:val="20"/>
        </w:rPr>
        <w:t>учасниками</w:t>
      </w:r>
    </w:p>
    <w:p w14:paraId="08ECB985"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C95D537"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АЛЬТЕРНАТИВНА ВИМОГА –</w:t>
      </w:r>
      <w:r w:rsidRPr="000977F7">
        <w:rPr>
          <w:rFonts w:asciiTheme="majorHAnsi" w:hAnsiTheme="majorHAnsi"/>
          <w:b/>
          <w:spacing w:val="-47"/>
          <w:sz w:val="20"/>
          <w:szCs w:val="20"/>
        </w:rPr>
        <w:t xml:space="preserve"> </w:t>
      </w:r>
    </w:p>
    <w:p w14:paraId="1B219E2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OPTIONAL</w:t>
      </w:r>
      <w:r w:rsidRPr="000977F7">
        <w:rPr>
          <w:rFonts w:asciiTheme="majorHAnsi" w:hAnsiTheme="majorHAnsi"/>
          <w:spacing w:val="-2"/>
          <w:sz w:val="20"/>
          <w:szCs w:val="20"/>
        </w:rPr>
        <w:t xml:space="preserve"> </w:t>
      </w:r>
      <w:r w:rsidRPr="000977F7">
        <w:rPr>
          <w:rFonts w:asciiTheme="majorHAnsi" w:hAnsiTheme="majorHAnsi"/>
          <w:sz w:val="20"/>
          <w:szCs w:val="20"/>
        </w:rPr>
        <w:t>REQUIREMENT</w:t>
      </w:r>
      <w:r w:rsidRPr="000977F7">
        <w:rPr>
          <w:rFonts w:asciiTheme="majorHAnsi" w:hAnsiTheme="majorHAnsi"/>
          <w:spacing w:val="2"/>
          <w:sz w:val="20"/>
          <w:szCs w:val="20"/>
        </w:rPr>
        <w:t xml:space="preserve"> </w:t>
      </w:r>
    </w:p>
    <w:p w14:paraId="73BC61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Вимога нормативного</w:t>
      </w:r>
      <w:r w:rsidRPr="000977F7">
        <w:rPr>
          <w:rFonts w:asciiTheme="majorHAnsi" w:hAnsiTheme="majorHAnsi"/>
          <w:spacing w:val="1"/>
          <w:sz w:val="20"/>
          <w:szCs w:val="20"/>
        </w:rPr>
        <w:t xml:space="preserve"> </w:t>
      </w:r>
      <w:r w:rsidRPr="000977F7">
        <w:rPr>
          <w:rFonts w:asciiTheme="majorHAnsi" w:hAnsiTheme="majorHAnsi"/>
          <w:sz w:val="20"/>
          <w:szCs w:val="20"/>
        </w:rPr>
        <w:t>документа,</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повинна</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виконана в межах вибору, що допускається цим документом</w:t>
      </w:r>
    </w:p>
    <w:p w14:paraId="1CFA512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A09169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Альтернативна</w:t>
      </w:r>
      <w:r w:rsidRPr="000977F7">
        <w:rPr>
          <w:rFonts w:asciiTheme="majorHAnsi" w:hAnsiTheme="majorHAnsi"/>
          <w:spacing w:val="-3"/>
          <w:sz w:val="20"/>
          <w:szCs w:val="20"/>
        </w:rPr>
        <w:t xml:space="preserve"> </w:t>
      </w:r>
      <w:r w:rsidRPr="000977F7">
        <w:rPr>
          <w:rFonts w:asciiTheme="majorHAnsi" w:hAnsiTheme="majorHAnsi"/>
          <w:sz w:val="20"/>
          <w:szCs w:val="20"/>
        </w:rPr>
        <w:t>вимога</w:t>
      </w:r>
      <w:r w:rsidRPr="000977F7">
        <w:rPr>
          <w:rFonts w:asciiTheme="majorHAnsi" w:hAnsiTheme="majorHAnsi"/>
          <w:spacing w:val="-4"/>
          <w:sz w:val="20"/>
          <w:szCs w:val="20"/>
        </w:rPr>
        <w:t xml:space="preserve"> </w:t>
      </w:r>
      <w:r w:rsidRPr="000977F7">
        <w:rPr>
          <w:rFonts w:asciiTheme="majorHAnsi" w:hAnsiTheme="majorHAnsi"/>
          <w:sz w:val="20"/>
          <w:szCs w:val="20"/>
        </w:rPr>
        <w:t>може</w:t>
      </w:r>
      <w:r w:rsidRPr="000977F7">
        <w:rPr>
          <w:rFonts w:asciiTheme="majorHAnsi" w:hAnsiTheme="majorHAnsi"/>
          <w:spacing w:val="-3"/>
          <w:sz w:val="20"/>
          <w:szCs w:val="20"/>
        </w:rPr>
        <w:t xml:space="preserve"> </w:t>
      </w:r>
      <w:r w:rsidRPr="000977F7">
        <w:rPr>
          <w:rFonts w:asciiTheme="majorHAnsi" w:hAnsiTheme="majorHAnsi"/>
          <w:sz w:val="20"/>
          <w:szCs w:val="20"/>
        </w:rPr>
        <w:t>бути:</w:t>
      </w:r>
    </w:p>
    <w:p w14:paraId="59B3B61B" w14:textId="77777777" w:rsidR="0097612F" w:rsidRPr="000977F7" w:rsidRDefault="0097612F" w:rsidP="00FD39A4">
      <w:pPr>
        <w:pStyle w:val="ac"/>
        <w:widowControl w:val="0"/>
        <w:numPr>
          <w:ilvl w:val="0"/>
          <w:numId w:val="226"/>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Одною</w:t>
      </w:r>
      <w:r w:rsidRPr="000977F7">
        <w:rPr>
          <w:rFonts w:asciiTheme="majorHAnsi" w:hAnsiTheme="majorHAnsi"/>
          <w:spacing w:val="-3"/>
          <w:sz w:val="20"/>
          <w:szCs w:val="20"/>
        </w:rPr>
        <w:t xml:space="preserve"> </w:t>
      </w:r>
      <w:r w:rsidRPr="000977F7">
        <w:rPr>
          <w:rFonts w:asciiTheme="majorHAnsi" w:hAnsiTheme="majorHAnsi"/>
          <w:sz w:val="20"/>
          <w:szCs w:val="20"/>
        </w:rPr>
        <w:t>із</w:t>
      </w:r>
      <w:r w:rsidRPr="000977F7">
        <w:rPr>
          <w:rFonts w:asciiTheme="majorHAnsi" w:hAnsiTheme="majorHAnsi"/>
          <w:spacing w:val="-2"/>
          <w:sz w:val="20"/>
          <w:szCs w:val="20"/>
        </w:rPr>
        <w:t xml:space="preserve"> </w:t>
      </w:r>
      <w:r w:rsidRPr="000977F7">
        <w:rPr>
          <w:rFonts w:asciiTheme="majorHAnsi" w:hAnsiTheme="majorHAnsi"/>
          <w:sz w:val="20"/>
          <w:szCs w:val="20"/>
        </w:rPr>
        <w:t>двох</w:t>
      </w:r>
      <w:r w:rsidRPr="000977F7">
        <w:rPr>
          <w:rFonts w:asciiTheme="majorHAnsi" w:hAnsiTheme="majorHAnsi"/>
          <w:spacing w:val="-4"/>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декількох</w:t>
      </w:r>
      <w:r w:rsidRPr="000977F7">
        <w:rPr>
          <w:rFonts w:asciiTheme="majorHAnsi" w:hAnsiTheme="majorHAnsi"/>
          <w:spacing w:val="-2"/>
          <w:sz w:val="20"/>
          <w:szCs w:val="20"/>
        </w:rPr>
        <w:t xml:space="preserve"> </w:t>
      </w:r>
      <w:r w:rsidRPr="000977F7">
        <w:rPr>
          <w:rFonts w:asciiTheme="majorHAnsi" w:hAnsiTheme="majorHAnsi"/>
          <w:sz w:val="20"/>
          <w:szCs w:val="20"/>
        </w:rPr>
        <w:t>можливих</w:t>
      </w:r>
      <w:r w:rsidRPr="000977F7">
        <w:rPr>
          <w:rFonts w:asciiTheme="majorHAnsi" w:hAnsiTheme="majorHAnsi"/>
          <w:spacing w:val="-3"/>
          <w:sz w:val="20"/>
          <w:szCs w:val="20"/>
        </w:rPr>
        <w:t xml:space="preserve"> </w:t>
      </w:r>
      <w:r w:rsidRPr="000977F7">
        <w:rPr>
          <w:rFonts w:asciiTheme="majorHAnsi" w:hAnsiTheme="majorHAnsi"/>
          <w:sz w:val="20"/>
          <w:szCs w:val="20"/>
        </w:rPr>
        <w:t>вимог</w:t>
      </w:r>
    </w:p>
    <w:p w14:paraId="5E5E0632" w14:textId="77777777" w:rsidR="0097612F" w:rsidRPr="000977F7" w:rsidRDefault="0097612F" w:rsidP="00FD39A4">
      <w:pPr>
        <w:pStyle w:val="ac"/>
        <w:widowControl w:val="0"/>
        <w:numPr>
          <w:ilvl w:val="0"/>
          <w:numId w:val="226"/>
        </w:numPr>
        <w:tabs>
          <w:tab w:val="left" w:pos="28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Додатковою вимогою, яка повинна бути виконана</w:t>
      </w:r>
      <w:r w:rsidRPr="000977F7">
        <w:rPr>
          <w:rFonts w:asciiTheme="majorHAnsi" w:hAnsiTheme="majorHAnsi"/>
          <w:spacing w:val="-47"/>
          <w:sz w:val="20"/>
          <w:szCs w:val="20"/>
        </w:rPr>
        <w:t xml:space="preserve"> </w:t>
      </w:r>
      <w:r w:rsidRPr="000977F7">
        <w:rPr>
          <w:rFonts w:asciiTheme="majorHAnsi" w:hAnsiTheme="majorHAnsi"/>
          <w:sz w:val="20"/>
          <w:szCs w:val="20"/>
        </w:rPr>
        <w:t>тільки</w:t>
      </w:r>
      <w:r w:rsidRPr="000977F7">
        <w:rPr>
          <w:rFonts w:asciiTheme="majorHAnsi" w:hAnsiTheme="majorHAnsi"/>
          <w:spacing w:val="1"/>
          <w:sz w:val="20"/>
          <w:szCs w:val="20"/>
        </w:rPr>
        <w:t xml:space="preserve"> </w:t>
      </w:r>
      <w:r w:rsidRPr="000977F7">
        <w:rPr>
          <w:rFonts w:asciiTheme="majorHAnsi" w:hAnsiTheme="majorHAnsi"/>
          <w:sz w:val="20"/>
          <w:szCs w:val="20"/>
        </w:rPr>
        <w:t>у випадку можливості</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протилежному</w:t>
      </w:r>
      <w:r w:rsidRPr="000977F7">
        <w:rPr>
          <w:rFonts w:asciiTheme="majorHAnsi" w:hAnsiTheme="majorHAnsi"/>
          <w:spacing w:val="-6"/>
          <w:sz w:val="20"/>
          <w:szCs w:val="20"/>
        </w:rPr>
        <w:t xml:space="preserve"> </w:t>
      </w:r>
      <w:r w:rsidRPr="000977F7">
        <w:rPr>
          <w:rFonts w:asciiTheme="majorHAnsi" w:hAnsiTheme="majorHAnsi"/>
          <w:sz w:val="20"/>
          <w:szCs w:val="20"/>
        </w:rPr>
        <w:t>випадку</w:t>
      </w:r>
      <w:r w:rsidRPr="000977F7">
        <w:rPr>
          <w:rFonts w:asciiTheme="majorHAnsi" w:hAnsiTheme="majorHAnsi"/>
          <w:spacing w:val="-4"/>
          <w:sz w:val="20"/>
          <w:szCs w:val="20"/>
        </w:rPr>
        <w:t xml:space="preserve"> </w:t>
      </w:r>
      <w:r w:rsidRPr="000977F7">
        <w:rPr>
          <w:rFonts w:asciiTheme="majorHAnsi" w:hAnsiTheme="majorHAnsi"/>
          <w:sz w:val="20"/>
          <w:szCs w:val="20"/>
        </w:rPr>
        <w:t>її</w:t>
      </w:r>
      <w:r w:rsidRPr="000977F7">
        <w:rPr>
          <w:rFonts w:asciiTheme="majorHAnsi" w:hAnsiTheme="majorHAnsi"/>
          <w:spacing w:val="-3"/>
          <w:sz w:val="20"/>
          <w:szCs w:val="20"/>
        </w:rPr>
        <w:t xml:space="preserve"> </w:t>
      </w:r>
      <w:r w:rsidRPr="000977F7">
        <w:rPr>
          <w:rFonts w:asciiTheme="majorHAnsi" w:hAnsiTheme="majorHAnsi"/>
          <w:sz w:val="20"/>
          <w:szCs w:val="20"/>
        </w:rPr>
        <w:t>можна</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2"/>
          <w:sz w:val="20"/>
          <w:szCs w:val="20"/>
        </w:rPr>
        <w:t xml:space="preserve"> </w:t>
      </w:r>
      <w:r w:rsidRPr="000977F7">
        <w:rPr>
          <w:rFonts w:asciiTheme="majorHAnsi" w:hAnsiTheme="majorHAnsi"/>
          <w:sz w:val="20"/>
          <w:szCs w:val="20"/>
        </w:rPr>
        <w:t>враховувати</w:t>
      </w:r>
    </w:p>
    <w:p w14:paraId="5820849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АМПЛІТУДНА (ЧАСТОТНА) МОДУЛЯЦІЯ </w:t>
      </w:r>
    </w:p>
    <w:p w14:paraId="728B087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w:t>
      </w:r>
      <w:r w:rsidRPr="000977F7">
        <w:rPr>
          <w:color w:val="auto"/>
          <w:spacing w:val="-48"/>
          <w:sz w:val="20"/>
          <w:szCs w:val="20"/>
        </w:rPr>
        <w:t xml:space="preserve"> </w:t>
      </w:r>
      <w:r w:rsidRPr="000977F7">
        <w:rPr>
          <w:color w:val="auto"/>
          <w:sz w:val="20"/>
          <w:szCs w:val="20"/>
        </w:rPr>
        <w:t>ПРУГИ</w:t>
      </w:r>
      <w:r w:rsidRPr="000977F7">
        <w:rPr>
          <w:color w:val="auto"/>
          <w:spacing w:val="1"/>
          <w:sz w:val="20"/>
          <w:szCs w:val="20"/>
        </w:rPr>
        <w:t xml:space="preserve"> </w:t>
      </w:r>
      <w:r w:rsidRPr="000977F7">
        <w:rPr>
          <w:color w:val="auto"/>
          <w:sz w:val="20"/>
          <w:szCs w:val="20"/>
        </w:rPr>
        <w:t>–</w:t>
      </w:r>
    </w:p>
    <w:p w14:paraId="5AD1A4BC"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uk-UA"/>
        </w:rPr>
      </w:pPr>
      <w:r w:rsidRPr="002E19DF">
        <w:rPr>
          <w:rFonts w:asciiTheme="majorHAnsi" w:hAnsiTheme="majorHAnsi"/>
          <w:sz w:val="20"/>
          <w:szCs w:val="20"/>
          <w:lang w:val="uk-UA"/>
        </w:rPr>
        <w:t>Процес</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періодичної</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чи</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випадкової</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зміни</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амплітуди</w:t>
      </w:r>
      <w:r w:rsidRPr="002E19DF">
        <w:rPr>
          <w:rFonts w:asciiTheme="majorHAnsi" w:hAnsiTheme="majorHAnsi"/>
          <w:spacing w:val="-47"/>
          <w:sz w:val="20"/>
          <w:szCs w:val="20"/>
          <w:lang w:val="uk-UA"/>
        </w:rPr>
        <w:t xml:space="preserve"> </w:t>
      </w:r>
      <w:r w:rsidRPr="002E19DF">
        <w:rPr>
          <w:rFonts w:asciiTheme="majorHAnsi" w:hAnsiTheme="majorHAnsi"/>
          <w:sz w:val="20"/>
          <w:szCs w:val="20"/>
          <w:lang w:val="uk-UA"/>
        </w:rPr>
        <w:t>(частоти) напруги відносно її середнього рівня в усталеному режимі роботи джерела, перетворювача електричної</w:t>
      </w:r>
      <w:r w:rsidRPr="002E19DF">
        <w:rPr>
          <w:rFonts w:asciiTheme="majorHAnsi" w:hAnsiTheme="majorHAnsi"/>
          <w:spacing w:val="-3"/>
          <w:sz w:val="20"/>
          <w:szCs w:val="20"/>
          <w:lang w:val="uk-UA"/>
        </w:rPr>
        <w:t xml:space="preserve"> </w:t>
      </w:r>
      <w:r w:rsidRPr="002E19DF">
        <w:rPr>
          <w:rFonts w:asciiTheme="majorHAnsi" w:hAnsiTheme="majorHAnsi"/>
          <w:sz w:val="20"/>
          <w:szCs w:val="20"/>
          <w:lang w:val="uk-UA"/>
        </w:rPr>
        <w:t>енергії</w:t>
      </w:r>
      <w:r w:rsidRPr="002E19DF">
        <w:rPr>
          <w:rFonts w:asciiTheme="majorHAnsi" w:hAnsiTheme="majorHAnsi"/>
          <w:spacing w:val="-2"/>
          <w:sz w:val="20"/>
          <w:szCs w:val="20"/>
          <w:lang w:val="uk-UA"/>
        </w:rPr>
        <w:t xml:space="preserve"> </w:t>
      </w:r>
      <w:r w:rsidRPr="002E19DF">
        <w:rPr>
          <w:rFonts w:asciiTheme="majorHAnsi" w:hAnsiTheme="majorHAnsi"/>
          <w:sz w:val="20"/>
          <w:szCs w:val="20"/>
          <w:lang w:val="uk-UA"/>
        </w:rPr>
        <w:t>чи</w:t>
      </w:r>
      <w:r w:rsidRPr="002E19DF">
        <w:rPr>
          <w:rFonts w:asciiTheme="majorHAnsi" w:hAnsiTheme="majorHAnsi"/>
          <w:spacing w:val="-2"/>
          <w:sz w:val="20"/>
          <w:szCs w:val="20"/>
          <w:lang w:val="uk-UA"/>
        </w:rPr>
        <w:t xml:space="preserve"> </w:t>
      </w:r>
      <w:r w:rsidRPr="002E19DF">
        <w:rPr>
          <w:rFonts w:asciiTheme="majorHAnsi" w:hAnsiTheme="majorHAnsi"/>
          <w:sz w:val="20"/>
          <w:szCs w:val="20"/>
          <w:lang w:val="uk-UA"/>
        </w:rPr>
        <w:t>електропостачальної</w:t>
      </w:r>
      <w:r w:rsidRPr="002E19DF">
        <w:rPr>
          <w:rFonts w:asciiTheme="majorHAnsi" w:hAnsiTheme="majorHAnsi"/>
          <w:spacing w:val="-2"/>
          <w:sz w:val="20"/>
          <w:szCs w:val="20"/>
          <w:lang w:val="uk-UA"/>
        </w:rPr>
        <w:t xml:space="preserve"> </w:t>
      </w:r>
      <w:r w:rsidRPr="002E19DF">
        <w:rPr>
          <w:rFonts w:asciiTheme="majorHAnsi" w:hAnsiTheme="majorHAnsi"/>
          <w:sz w:val="20"/>
          <w:szCs w:val="20"/>
          <w:lang w:val="uk-UA"/>
        </w:rPr>
        <w:t>системи</w:t>
      </w:r>
    </w:p>
    <w:p w14:paraId="37A9ADEB" w14:textId="77777777" w:rsidR="0097612F" w:rsidRPr="002E19DF"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2E19DF">
        <w:rPr>
          <w:rFonts w:asciiTheme="majorHAnsi" w:hAnsiTheme="majorHAnsi"/>
          <w:i/>
          <w:spacing w:val="-2"/>
          <w:sz w:val="20"/>
          <w:szCs w:val="20"/>
          <w:lang w:val="en-US"/>
        </w:rPr>
        <w:t xml:space="preserve"> </w:t>
      </w:r>
      <w:r w:rsidRPr="002E19DF">
        <w:rPr>
          <w:rFonts w:asciiTheme="majorHAnsi" w:hAnsiTheme="majorHAnsi"/>
          <w:i/>
          <w:sz w:val="20"/>
          <w:szCs w:val="20"/>
          <w:lang w:val="en-US"/>
        </w:rPr>
        <w:t>3466 -</w:t>
      </w:r>
      <w:r w:rsidRPr="002E19DF">
        <w:rPr>
          <w:rFonts w:asciiTheme="majorHAnsi" w:hAnsiTheme="majorHAnsi"/>
          <w:i/>
          <w:spacing w:val="-1"/>
          <w:sz w:val="20"/>
          <w:szCs w:val="20"/>
          <w:lang w:val="en-US"/>
        </w:rPr>
        <w:t xml:space="preserve"> </w:t>
      </w:r>
      <w:r w:rsidRPr="002E19DF">
        <w:rPr>
          <w:rFonts w:asciiTheme="majorHAnsi" w:hAnsiTheme="majorHAnsi"/>
          <w:i/>
          <w:sz w:val="20"/>
          <w:szCs w:val="20"/>
          <w:lang w:val="en-US"/>
        </w:rPr>
        <w:t>96</w:t>
      </w:r>
    </w:p>
    <w:p w14:paraId="0381E04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АМПЛІТУДНЕ</w:t>
      </w:r>
      <w:r w:rsidRPr="000977F7">
        <w:rPr>
          <w:color w:val="auto"/>
          <w:spacing w:val="-5"/>
          <w:sz w:val="20"/>
          <w:szCs w:val="20"/>
        </w:rPr>
        <w:t xml:space="preserve"> </w:t>
      </w:r>
      <w:r w:rsidRPr="000977F7">
        <w:rPr>
          <w:color w:val="auto"/>
          <w:sz w:val="20"/>
          <w:szCs w:val="20"/>
        </w:rPr>
        <w:t>ДІЯННЯ</w:t>
      </w:r>
      <w:r w:rsidRPr="000977F7">
        <w:rPr>
          <w:color w:val="auto"/>
          <w:spacing w:val="-3"/>
          <w:sz w:val="20"/>
          <w:szCs w:val="20"/>
        </w:rPr>
        <w:t xml:space="preserve"> </w:t>
      </w:r>
      <w:r w:rsidRPr="000977F7">
        <w:rPr>
          <w:color w:val="auto"/>
          <w:sz w:val="20"/>
          <w:szCs w:val="20"/>
        </w:rPr>
        <w:t>–</w:t>
      </w:r>
    </w:p>
    <w:p w14:paraId="28849C7E"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en-US"/>
        </w:rPr>
      </w:pPr>
      <w:r w:rsidRPr="002E19DF">
        <w:rPr>
          <w:rFonts w:asciiTheme="majorHAnsi" w:hAnsiTheme="majorHAnsi"/>
          <w:sz w:val="20"/>
          <w:szCs w:val="20"/>
          <w:lang w:val="en-US"/>
        </w:rPr>
        <w:t>AMPLITUDE</w:t>
      </w:r>
      <w:r w:rsidRPr="002E19DF">
        <w:rPr>
          <w:rFonts w:asciiTheme="majorHAnsi" w:hAnsiTheme="majorHAnsi"/>
          <w:spacing w:val="-2"/>
          <w:sz w:val="20"/>
          <w:szCs w:val="20"/>
          <w:lang w:val="en-US"/>
        </w:rPr>
        <w:t xml:space="preserve"> </w:t>
      </w:r>
      <w:r w:rsidRPr="002E19DF">
        <w:rPr>
          <w:rFonts w:asciiTheme="majorHAnsi" w:hAnsiTheme="majorHAnsi"/>
          <w:sz w:val="20"/>
          <w:szCs w:val="20"/>
          <w:lang w:val="en-US"/>
        </w:rPr>
        <w:t>ACTION –</w:t>
      </w:r>
    </w:p>
    <w:p w14:paraId="02744BD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Гармонічне діяння, в якому основним параметром є</w:t>
      </w:r>
      <w:r w:rsidRPr="000977F7">
        <w:rPr>
          <w:rFonts w:asciiTheme="majorHAnsi" w:hAnsiTheme="majorHAnsi"/>
          <w:spacing w:val="-48"/>
          <w:sz w:val="20"/>
          <w:szCs w:val="20"/>
        </w:rPr>
        <w:t xml:space="preserve"> </w:t>
      </w:r>
      <w:r w:rsidRPr="000977F7">
        <w:rPr>
          <w:rFonts w:asciiTheme="majorHAnsi" w:hAnsiTheme="majorHAnsi"/>
          <w:sz w:val="20"/>
          <w:szCs w:val="20"/>
        </w:rPr>
        <w:t>амплітудне</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2"/>
          <w:sz w:val="20"/>
          <w:szCs w:val="20"/>
        </w:rPr>
        <w:t xml:space="preserve"> </w:t>
      </w:r>
      <w:r w:rsidRPr="000977F7">
        <w:rPr>
          <w:rFonts w:asciiTheme="majorHAnsi" w:hAnsiTheme="majorHAnsi"/>
          <w:sz w:val="20"/>
          <w:szCs w:val="20"/>
        </w:rPr>
        <w:t>дієвої</w:t>
      </w:r>
      <w:r w:rsidRPr="000977F7">
        <w:rPr>
          <w:rFonts w:asciiTheme="majorHAnsi" w:hAnsiTheme="majorHAnsi"/>
          <w:spacing w:val="1"/>
          <w:sz w:val="20"/>
          <w:szCs w:val="20"/>
        </w:rPr>
        <w:t xml:space="preserve"> </w:t>
      </w:r>
      <w:r w:rsidRPr="000977F7">
        <w:rPr>
          <w:rFonts w:asciiTheme="majorHAnsi" w:hAnsiTheme="majorHAnsi"/>
          <w:sz w:val="20"/>
          <w:szCs w:val="20"/>
        </w:rPr>
        <w:t>величини</w:t>
      </w:r>
    </w:p>
    <w:p w14:paraId="428D53B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42D05AB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АМПЛІТУДНО</w:t>
      </w:r>
      <w:r w:rsidRPr="000977F7">
        <w:rPr>
          <w:color w:val="auto"/>
          <w:spacing w:val="-3"/>
          <w:sz w:val="20"/>
          <w:szCs w:val="20"/>
        </w:rPr>
        <w:t xml:space="preserve"> </w:t>
      </w:r>
      <w:r w:rsidRPr="000977F7">
        <w:rPr>
          <w:color w:val="auto"/>
          <w:sz w:val="20"/>
          <w:szCs w:val="20"/>
        </w:rPr>
        <w:t>–</w:t>
      </w:r>
      <w:r w:rsidRPr="000977F7">
        <w:rPr>
          <w:color w:val="auto"/>
          <w:spacing w:val="-3"/>
          <w:sz w:val="20"/>
          <w:szCs w:val="20"/>
        </w:rPr>
        <w:t xml:space="preserve"> </w:t>
      </w:r>
      <w:r w:rsidRPr="000977F7">
        <w:rPr>
          <w:color w:val="auto"/>
          <w:sz w:val="20"/>
          <w:szCs w:val="20"/>
        </w:rPr>
        <w:t>ІМПУЛЬСНЕ</w:t>
      </w:r>
      <w:r w:rsidRPr="000977F7">
        <w:rPr>
          <w:color w:val="auto"/>
          <w:spacing w:val="-5"/>
          <w:sz w:val="20"/>
          <w:szCs w:val="20"/>
        </w:rPr>
        <w:t xml:space="preserve"> </w:t>
      </w:r>
      <w:r w:rsidRPr="000977F7">
        <w:rPr>
          <w:color w:val="auto"/>
          <w:sz w:val="20"/>
          <w:szCs w:val="20"/>
        </w:rPr>
        <w:t>ДІЯННЯ</w:t>
      </w:r>
      <w:r w:rsidRPr="000977F7">
        <w:rPr>
          <w:color w:val="auto"/>
          <w:spacing w:val="-3"/>
          <w:sz w:val="20"/>
          <w:szCs w:val="20"/>
        </w:rPr>
        <w:t xml:space="preserve"> </w:t>
      </w:r>
      <w:r w:rsidRPr="000977F7">
        <w:rPr>
          <w:color w:val="auto"/>
          <w:sz w:val="20"/>
          <w:szCs w:val="20"/>
        </w:rPr>
        <w:t>–</w:t>
      </w:r>
    </w:p>
    <w:p w14:paraId="4E34C57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IMPULSE</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AMPLITUDE</w:t>
      </w:r>
      <w:r w:rsidRPr="000977F7">
        <w:rPr>
          <w:rFonts w:asciiTheme="majorHAnsi" w:hAnsiTheme="majorHAnsi"/>
          <w:spacing w:val="-1"/>
          <w:sz w:val="20"/>
          <w:szCs w:val="20"/>
        </w:rPr>
        <w:t xml:space="preserve"> </w:t>
      </w:r>
      <w:r w:rsidRPr="000977F7">
        <w:rPr>
          <w:rFonts w:asciiTheme="majorHAnsi" w:hAnsiTheme="majorHAnsi"/>
          <w:sz w:val="20"/>
          <w:szCs w:val="20"/>
        </w:rPr>
        <w:t>ACTION –</w:t>
      </w:r>
    </w:p>
    <w:p w14:paraId="59876B4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Імпульсне діяння, основним параметром якого є амплітуда</w:t>
      </w:r>
      <w:r w:rsidRPr="000977F7">
        <w:rPr>
          <w:rFonts w:asciiTheme="majorHAnsi" w:hAnsiTheme="majorHAnsi"/>
          <w:spacing w:val="-2"/>
          <w:sz w:val="20"/>
          <w:szCs w:val="20"/>
        </w:rPr>
        <w:t xml:space="preserve"> </w:t>
      </w:r>
      <w:r w:rsidRPr="000977F7">
        <w:rPr>
          <w:rFonts w:asciiTheme="majorHAnsi" w:hAnsiTheme="majorHAnsi"/>
          <w:sz w:val="20"/>
          <w:szCs w:val="20"/>
        </w:rPr>
        <w:t>дієвої</w:t>
      </w:r>
      <w:r w:rsidRPr="000977F7">
        <w:rPr>
          <w:rFonts w:asciiTheme="majorHAnsi" w:hAnsiTheme="majorHAnsi"/>
          <w:spacing w:val="-1"/>
          <w:sz w:val="20"/>
          <w:szCs w:val="20"/>
        </w:rPr>
        <w:t xml:space="preserve"> </w:t>
      </w:r>
      <w:r w:rsidRPr="000977F7">
        <w:rPr>
          <w:rFonts w:asciiTheme="majorHAnsi" w:hAnsiTheme="majorHAnsi"/>
          <w:sz w:val="20"/>
          <w:szCs w:val="20"/>
        </w:rPr>
        <w:t>величини.</w:t>
      </w:r>
    </w:p>
    <w:p w14:paraId="3B2B337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3636B8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 амплітудою імпульсу розуміють найбільше значення, яке досягається дієвою величиною за</w:t>
      </w:r>
      <w:r w:rsidRPr="000977F7">
        <w:rPr>
          <w:rFonts w:asciiTheme="majorHAnsi" w:hAnsiTheme="majorHAnsi"/>
          <w:spacing w:val="1"/>
          <w:sz w:val="20"/>
          <w:szCs w:val="20"/>
        </w:rPr>
        <w:t xml:space="preserve"> </w:t>
      </w:r>
      <w:r w:rsidRPr="000977F7">
        <w:rPr>
          <w:rFonts w:asciiTheme="majorHAnsi" w:hAnsiTheme="majorHAnsi"/>
          <w:sz w:val="20"/>
          <w:szCs w:val="20"/>
        </w:rPr>
        <w:t>період</w:t>
      </w:r>
      <w:r w:rsidRPr="000977F7">
        <w:rPr>
          <w:rFonts w:asciiTheme="majorHAnsi" w:hAnsiTheme="majorHAnsi"/>
          <w:spacing w:val="1"/>
          <w:sz w:val="20"/>
          <w:szCs w:val="20"/>
        </w:rPr>
        <w:t xml:space="preserve"> </w:t>
      </w:r>
      <w:r w:rsidRPr="000977F7">
        <w:rPr>
          <w:rFonts w:asciiTheme="majorHAnsi" w:hAnsiTheme="majorHAnsi"/>
          <w:sz w:val="20"/>
          <w:szCs w:val="20"/>
        </w:rPr>
        <w:t>тривалості</w:t>
      </w:r>
      <w:r w:rsidRPr="000977F7">
        <w:rPr>
          <w:rFonts w:asciiTheme="majorHAnsi" w:hAnsiTheme="majorHAnsi"/>
          <w:spacing w:val="-2"/>
          <w:sz w:val="20"/>
          <w:szCs w:val="20"/>
        </w:rPr>
        <w:t xml:space="preserve"> </w:t>
      </w:r>
      <w:r w:rsidRPr="000977F7">
        <w:rPr>
          <w:rFonts w:asciiTheme="majorHAnsi" w:hAnsiTheme="majorHAnsi"/>
          <w:sz w:val="20"/>
          <w:szCs w:val="20"/>
        </w:rPr>
        <w:t>імпульсу</w:t>
      </w:r>
    </w:p>
    <w:p w14:paraId="1820CC1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3D429B7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АМПЛІТУДНО-ФАЗОВА</w:t>
      </w:r>
      <w:r w:rsidRPr="000977F7">
        <w:rPr>
          <w:color w:val="auto"/>
          <w:spacing w:val="-7"/>
          <w:sz w:val="20"/>
          <w:szCs w:val="20"/>
        </w:rPr>
        <w:t xml:space="preserve"> </w:t>
      </w:r>
      <w:r w:rsidRPr="000977F7">
        <w:rPr>
          <w:color w:val="auto"/>
          <w:sz w:val="20"/>
          <w:szCs w:val="20"/>
        </w:rPr>
        <w:t>ХАРАКТЕРИСТИКА</w:t>
      </w:r>
      <w:r w:rsidRPr="000977F7">
        <w:rPr>
          <w:color w:val="auto"/>
          <w:spacing w:val="-7"/>
          <w:sz w:val="20"/>
          <w:szCs w:val="20"/>
        </w:rPr>
        <w:t xml:space="preserve"> </w:t>
      </w:r>
      <w:r w:rsidRPr="000977F7">
        <w:rPr>
          <w:color w:val="auto"/>
          <w:sz w:val="20"/>
          <w:szCs w:val="20"/>
        </w:rPr>
        <w:t>–</w:t>
      </w:r>
    </w:p>
    <w:p w14:paraId="3F523F6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FREQUENCY</w:t>
      </w:r>
      <w:r w:rsidRPr="000977F7">
        <w:rPr>
          <w:rFonts w:asciiTheme="majorHAnsi" w:hAnsiTheme="majorHAnsi"/>
          <w:spacing w:val="-2"/>
          <w:sz w:val="20"/>
          <w:szCs w:val="20"/>
        </w:rPr>
        <w:t xml:space="preserve"> </w:t>
      </w:r>
      <w:r w:rsidRPr="000977F7">
        <w:rPr>
          <w:rFonts w:asciiTheme="majorHAnsi" w:hAnsiTheme="majorHAnsi"/>
          <w:sz w:val="20"/>
          <w:szCs w:val="20"/>
        </w:rPr>
        <w:t>RESPONSE</w:t>
      </w:r>
      <w:r w:rsidRPr="000977F7">
        <w:rPr>
          <w:rFonts w:asciiTheme="majorHAnsi" w:hAnsiTheme="majorHAnsi"/>
          <w:spacing w:val="-3"/>
          <w:sz w:val="20"/>
          <w:szCs w:val="20"/>
        </w:rPr>
        <w:t xml:space="preserve"> </w:t>
      </w:r>
      <w:r w:rsidRPr="000977F7">
        <w:rPr>
          <w:rFonts w:asciiTheme="majorHAnsi" w:hAnsiTheme="majorHAnsi"/>
          <w:sz w:val="20"/>
          <w:szCs w:val="20"/>
        </w:rPr>
        <w:t>LOCUS</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1563358"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Подання частотної передавальної функції за неперервного</w:t>
      </w:r>
      <w:r w:rsidRPr="000977F7">
        <w:rPr>
          <w:rFonts w:asciiTheme="majorHAnsi" w:hAnsiTheme="majorHAnsi"/>
          <w:spacing w:val="1"/>
          <w:sz w:val="20"/>
          <w:szCs w:val="20"/>
        </w:rPr>
        <w:t xml:space="preserve"> </w:t>
      </w:r>
      <w:r w:rsidRPr="000977F7">
        <w:rPr>
          <w:rFonts w:asciiTheme="majorHAnsi" w:hAnsiTheme="majorHAnsi"/>
          <w:sz w:val="20"/>
          <w:szCs w:val="20"/>
        </w:rPr>
        <w:t>змінювання частоти</w:t>
      </w:r>
      <w:r w:rsidRPr="000977F7">
        <w:rPr>
          <w:rFonts w:asciiTheme="majorHAnsi" w:hAnsiTheme="majorHAnsi"/>
          <w:spacing w:val="1"/>
          <w:sz w:val="20"/>
          <w:szCs w:val="20"/>
        </w:rPr>
        <w:t xml:space="preserve"> </w:t>
      </w:r>
      <w:r w:rsidRPr="000977F7">
        <w:rPr>
          <w:rFonts w:asciiTheme="majorHAnsi" w:hAnsiTheme="majorHAnsi"/>
          <w:sz w:val="20"/>
          <w:szCs w:val="20"/>
        </w:rPr>
        <w:t>в діапазоні від нуля</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безмежності у вигляді кривої на комплексній площині</w:t>
      </w:r>
      <w:r w:rsidRPr="000977F7">
        <w:rPr>
          <w:rFonts w:asciiTheme="majorHAnsi" w:hAnsiTheme="majorHAnsi"/>
          <w:spacing w:val="-47"/>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3956 - 2000</w:t>
      </w:r>
    </w:p>
    <w:p w14:paraId="72FC9F4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АМПЛІТУДНО-ЧАСТОТНА</w:t>
      </w:r>
      <w:r w:rsidRPr="000977F7">
        <w:rPr>
          <w:color w:val="auto"/>
          <w:spacing w:val="1"/>
          <w:sz w:val="20"/>
          <w:szCs w:val="20"/>
        </w:rPr>
        <w:t xml:space="preserve"> </w:t>
      </w:r>
      <w:r w:rsidRPr="000977F7">
        <w:rPr>
          <w:color w:val="auto"/>
          <w:sz w:val="20"/>
          <w:szCs w:val="20"/>
        </w:rPr>
        <w:t>ХАРАКТЕРИСТИКА</w:t>
      </w:r>
      <w:r w:rsidRPr="000977F7">
        <w:rPr>
          <w:color w:val="auto"/>
          <w:spacing w:val="-2"/>
          <w:sz w:val="20"/>
          <w:szCs w:val="20"/>
        </w:rPr>
        <w:t xml:space="preserve"> </w:t>
      </w:r>
      <w:r w:rsidRPr="000977F7">
        <w:rPr>
          <w:color w:val="auto"/>
          <w:sz w:val="20"/>
          <w:szCs w:val="20"/>
        </w:rPr>
        <w:t>(АЧХ)</w:t>
      </w:r>
      <w:r w:rsidRPr="000977F7">
        <w:rPr>
          <w:color w:val="auto"/>
          <w:spacing w:val="2"/>
          <w:sz w:val="20"/>
          <w:szCs w:val="20"/>
        </w:rPr>
        <w:t xml:space="preserve"> </w:t>
      </w:r>
      <w:r w:rsidRPr="000977F7">
        <w:rPr>
          <w:color w:val="auto"/>
          <w:sz w:val="20"/>
          <w:szCs w:val="20"/>
        </w:rPr>
        <w:t>–</w:t>
      </w:r>
    </w:p>
    <w:p w14:paraId="6076EDE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GAIN</w:t>
      </w:r>
      <w:r w:rsidRPr="000977F7">
        <w:rPr>
          <w:rFonts w:asciiTheme="majorHAnsi" w:hAnsiTheme="majorHAnsi"/>
          <w:spacing w:val="-2"/>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FREQUENCY</w:t>
      </w:r>
      <w:r w:rsidRPr="000977F7">
        <w:rPr>
          <w:rFonts w:asciiTheme="majorHAnsi" w:hAnsiTheme="majorHAnsi"/>
          <w:spacing w:val="-2"/>
          <w:sz w:val="20"/>
          <w:szCs w:val="20"/>
        </w:rPr>
        <w:t xml:space="preserve"> </w:t>
      </w:r>
      <w:r w:rsidRPr="000977F7">
        <w:rPr>
          <w:rFonts w:asciiTheme="majorHAnsi" w:hAnsiTheme="majorHAnsi"/>
          <w:sz w:val="20"/>
          <w:szCs w:val="20"/>
        </w:rPr>
        <w:t>CHARAKCTERISTIC –</w:t>
      </w:r>
    </w:p>
    <w:p w14:paraId="4D91E7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Залежність</w:t>
      </w:r>
      <w:r w:rsidRPr="000977F7">
        <w:rPr>
          <w:rFonts w:asciiTheme="majorHAnsi" w:hAnsiTheme="majorHAnsi"/>
          <w:spacing w:val="4"/>
          <w:sz w:val="20"/>
          <w:szCs w:val="20"/>
        </w:rPr>
        <w:t xml:space="preserve"> </w:t>
      </w:r>
      <w:r w:rsidRPr="000977F7">
        <w:rPr>
          <w:rFonts w:asciiTheme="majorHAnsi" w:hAnsiTheme="majorHAnsi"/>
          <w:sz w:val="20"/>
          <w:szCs w:val="20"/>
        </w:rPr>
        <w:t>модуля</w:t>
      </w:r>
      <w:r w:rsidRPr="000977F7">
        <w:rPr>
          <w:rFonts w:asciiTheme="majorHAnsi" w:hAnsiTheme="majorHAnsi"/>
          <w:spacing w:val="4"/>
          <w:sz w:val="20"/>
          <w:szCs w:val="20"/>
        </w:rPr>
        <w:t xml:space="preserve"> </w:t>
      </w:r>
      <w:r w:rsidRPr="000977F7">
        <w:rPr>
          <w:rFonts w:asciiTheme="majorHAnsi" w:hAnsiTheme="majorHAnsi"/>
          <w:sz w:val="20"/>
          <w:szCs w:val="20"/>
        </w:rPr>
        <w:t>частотної</w:t>
      </w:r>
      <w:r w:rsidRPr="000977F7">
        <w:rPr>
          <w:rFonts w:asciiTheme="majorHAnsi" w:hAnsiTheme="majorHAnsi"/>
          <w:spacing w:val="4"/>
          <w:sz w:val="20"/>
          <w:szCs w:val="20"/>
        </w:rPr>
        <w:t xml:space="preserve"> </w:t>
      </w:r>
      <w:r w:rsidRPr="000977F7">
        <w:rPr>
          <w:rFonts w:asciiTheme="majorHAnsi" w:hAnsiTheme="majorHAnsi"/>
          <w:sz w:val="20"/>
          <w:szCs w:val="20"/>
        </w:rPr>
        <w:t>передавальної</w:t>
      </w:r>
      <w:r w:rsidRPr="000977F7">
        <w:rPr>
          <w:rFonts w:asciiTheme="majorHAnsi" w:hAnsiTheme="majorHAnsi"/>
          <w:spacing w:val="4"/>
          <w:sz w:val="20"/>
          <w:szCs w:val="20"/>
        </w:rPr>
        <w:t xml:space="preserve"> </w:t>
      </w:r>
      <w:r w:rsidRPr="000977F7">
        <w:rPr>
          <w:rFonts w:asciiTheme="majorHAnsi" w:hAnsiTheme="majorHAnsi"/>
          <w:sz w:val="20"/>
          <w:szCs w:val="20"/>
        </w:rPr>
        <w:t xml:space="preserve">функції </w:t>
      </w:r>
      <w:r w:rsidRPr="000977F7">
        <w:rPr>
          <w:rFonts w:asciiTheme="majorHAnsi" w:hAnsiTheme="majorHAnsi"/>
          <w:spacing w:val="-47"/>
          <w:sz w:val="20"/>
          <w:szCs w:val="20"/>
        </w:rPr>
        <w:t xml:space="preserve"> </w:t>
      </w:r>
      <w:r w:rsidRPr="000977F7">
        <w:rPr>
          <w:rFonts w:asciiTheme="majorHAnsi" w:hAnsiTheme="majorHAnsi"/>
          <w:sz w:val="20"/>
          <w:szCs w:val="20"/>
        </w:rPr>
        <w:t>від</w:t>
      </w:r>
      <w:r w:rsidRPr="000977F7">
        <w:rPr>
          <w:rFonts w:asciiTheme="majorHAnsi" w:hAnsiTheme="majorHAnsi"/>
          <w:spacing w:val="-2"/>
          <w:sz w:val="20"/>
          <w:szCs w:val="20"/>
        </w:rPr>
        <w:t xml:space="preserve"> </w:t>
      </w:r>
      <w:r w:rsidRPr="000977F7">
        <w:rPr>
          <w:rFonts w:asciiTheme="majorHAnsi" w:hAnsiTheme="majorHAnsi"/>
          <w:sz w:val="20"/>
          <w:szCs w:val="20"/>
        </w:rPr>
        <w:t>частоти</w:t>
      </w:r>
    </w:p>
    <w:p w14:paraId="71661EA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5B298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Амплітудно-частотна</w:t>
      </w:r>
      <w:r w:rsidRPr="000977F7">
        <w:rPr>
          <w:rFonts w:asciiTheme="majorHAnsi" w:hAnsiTheme="majorHAnsi"/>
          <w:spacing w:val="42"/>
          <w:sz w:val="20"/>
          <w:szCs w:val="20"/>
        </w:rPr>
        <w:t xml:space="preserve"> </w:t>
      </w:r>
      <w:r w:rsidRPr="000977F7">
        <w:rPr>
          <w:rFonts w:asciiTheme="majorHAnsi" w:hAnsiTheme="majorHAnsi"/>
          <w:sz w:val="20"/>
          <w:szCs w:val="20"/>
        </w:rPr>
        <w:t>характеристика</w:t>
      </w:r>
      <w:r w:rsidRPr="000977F7">
        <w:rPr>
          <w:rFonts w:asciiTheme="majorHAnsi" w:hAnsiTheme="majorHAnsi"/>
          <w:spacing w:val="41"/>
          <w:sz w:val="20"/>
          <w:szCs w:val="20"/>
        </w:rPr>
        <w:t xml:space="preserve"> </w:t>
      </w:r>
      <w:r w:rsidRPr="000977F7">
        <w:rPr>
          <w:rFonts w:asciiTheme="majorHAnsi" w:hAnsiTheme="majorHAnsi"/>
          <w:sz w:val="20"/>
          <w:szCs w:val="20"/>
        </w:rPr>
        <w:t>може</w:t>
      </w:r>
      <w:r w:rsidRPr="000977F7">
        <w:rPr>
          <w:rFonts w:asciiTheme="majorHAnsi" w:hAnsiTheme="majorHAnsi"/>
          <w:spacing w:val="43"/>
          <w:sz w:val="20"/>
          <w:szCs w:val="20"/>
        </w:rPr>
        <w:t xml:space="preserve"> </w:t>
      </w:r>
      <w:r w:rsidRPr="000977F7">
        <w:rPr>
          <w:rFonts w:asciiTheme="majorHAnsi" w:hAnsiTheme="majorHAnsi"/>
          <w:sz w:val="20"/>
          <w:szCs w:val="20"/>
        </w:rPr>
        <w:t>бути</w:t>
      </w:r>
      <w:r w:rsidRPr="000977F7">
        <w:rPr>
          <w:rFonts w:asciiTheme="majorHAnsi" w:hAnsiTheme="majorHAnsi"/>
          <w:spacing w:val="41"/>
          <w:sz w:val="20"/>
          <w:szCs w:val="20"/>
        </w:rPr>
        <w:t xml:space="preserve"> </w:t>
      </w:r>
      <w:r w:rsidRPr="000977F7">
        <w:rPr>
          <w:rFonts w:asciiTheme="majorHAnsi" w:hAnsiTheme="majorHAnsi"/>
          <w:sz w:val="20"/>
          <w:szCs w:val="20"/>
        </w:rPr>
        <w:t>подана</w:t>
      </w:r>
      <w:r w:rsidRPr="000977F7">
        <w:rPr>
          <w:rFonts w:asciiTheme="majorHAnsi" w:hAnsiTheme="majorHAnsi"/>
          <w:spacing w:val="-1"/>
          <w:sz w:val="20"/>
          <w:szCs w:val="20"/>
        </w:rPr>
        <w:t xml:space="preserve"> </w:t>
      </w:r>
      <w:r w:rsidRPr="000977F7">
        <w:rPr>
          <w:rFonts w:asciiTheme="majorHAnsi" w:hAnsiTheme="majorHAnsi"/>
          <w:sz w:val="20"/>
          <w:szCs w:val="20"/>
        </w:rPr>
        <w:t>математичним виразом</w:t>
      </w:r>
      <w:r w:rsidRPr="000977F7">
        <w:rPr>
          <w:rFonts w:asciiTheme="majorHAnsi" w:hAnsiTheme="majorHAnsi"/>
          <w:spacing w:val="1"/>
          <w:sz w:val="20"/>
          <w:szCs w:val="20"/>
        </w:rPr>
        <w:t xml:space="preserve"> </w:t>
      </w:r>
      <w:r w:rsidRPr="000977F7">
        <w:rPr>
          <w:rFonts w:asciiTheme="majorHAnsi" w:hAnsiTheme="majorHAnsi"/>
          <w:sz w:val="20"/>
          <w:szCs w:val="20"/>
        </w:rPr>
        <w:t>або графіком</w:t>
      </w:r>
    </w:p>
    <w:p w14:paraId="5F9CC9DC"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3956 - 2000</w:t>
      </w:r>
      <w:r w:rsidRPr="000977F7">
        <w:rPr>
          <w:rFonts w:asciiTheme="majorHAnsi" w:hAnsiTheme="majorHAnsi"/>
          <w:i/>
          <w:spacing w:val="-47"/>
          <w:sz w:val="20"/>
          <w:szCs w:val="20"/>
        </w:rPr>
        <w:t xml:space="preserve"> </w:t>
      </w:r>
    </w:p>
    <w:p w14:paraId="1CF8F196"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АНАЛІЗ –</w:t>
      </w:r>
      <w:r w:rsidRPr="000977F7">
        <w:rPr>
          <w:rFonts w:asciiTheme="majorHAnsi" w:hAnsiTheme="majorHAnsi"/>
          <w:b/>
          <w:spacing w:val="1"/>
          <w:sz w:val="20"/>
          <w:szCs w:val="20"/>
        </w:rPr>
        <w:t xml:space="preserve"> </w:t>
      </w:r>
    </w:p>
    <w:p w14:paraId="1558DA3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REVIEW –</w:t>
      </w:r>
    </w:p>
    <w:p w14:paraId="0CB837D7" w14:textId="77777777" w:rsidR="0097612F" w:rsidRPr="000977F7" w:rsidRDefault="0097612F" w:rsidP="000977F7">
      <w:pPr>
        <w:pStyle w:val="af6"/>
        <w:tabs>
          <w:tab w:val="left" w:pos="284"/>
        </w:tabs>
        <w:spacing w:after="0"/>
        <w:ind w:left="170"/>
        <w:mirrorIndents/>
        <w:jc w:val="both"/>
        <w:rPr>
          <w:rFonts w:asciiTheme="majorHAnsi" w:hAnsiTheme="majorHAnsi"/>
          <w:spacing w:val="-48"/>
          <w:sz w:val="20"/>
          <w:szCs w:val="20"/>
        </w:rPr>
      </w:pPr>
      <w:r w:rsidRPr="000977F7">
        <w:rPr>
          <w:rFonts w:asciiTheme="majorHAnsi" w:hAnsiTheme="majorHAnsi"/>
          <w:sz w:val="20"/>
          <w:szCs w:val="20"/>
        </w:rPr>
        <w:t>Наукове</w:t>
      </w:r>
      <w:r w:rsidRPr="000977F7">
        <w:rPr>
          <w:rFonts w:asciiTheme="majorHAnsi" w:hAnsiTheme="majorHAnsi"/>
          <w:spacing w:val="-10"/>
          <w:sz w:val="20"/>
          <w:szCs w:val="20"/>
        </w:rPr>
        <w:t xml:space="preserve"> </w:t>
      </w:r>
      <w:r w:rsidRPr="000977F7">
        <w:rPr>
          <w:rFonts w:asciiTheme="majorHAnsi" w:hAnsiTheme="majorHAnsi"/>
          <w:sz w:val="20"/>
          <w:szCs w:val="20"/>
        </w:rPr>
        <w:t>дослідження</w:t>
      </w:r>
      <w:r w:rsidRPr="000977F7">
        <w:rPr>
          <w:rFonts w:asciiTheme="majorHAnsi" w:hAnsiTheme="majorHAnsi"/>
          <w:spacing w:val="-48"/>
          <w:sz w:val="20"/>
          <w:szCs w:val="20"/>
        </w:rPr>
        <w:t xml:space="preserve"> </w:t>
      </w:r>
    </w:p>
    <w:p w14:paraId="1242EE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2CB14700" w14:textId="77777777" w:rsidR="0097612F" w:rsidRPr="000977F7" w:rsidRDefault="0097612F" w:rsidP="00FD39A4">
      <w:pPr>
        <w:pStyle w:val="ac"/>
        <w:widowControl w:val="0"/>
        <w:numPr>
          <w:ilvl w:val="1"/>
          <w:numId w:val="226"/>
        </w:numPr>
        <w:tabs>
          <w:tab w:val="left" w:pos="284"/>
          <w:tab w:val="left" w:pos="8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Дилатометричний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аналіз</w:t>
      </w:r>
      <w:r w:rsidRPr="000977F7">
        <w:rPr>
          <w:rFonts w:asciiTheme="majorHAnsi" w:hAnsiTheme="majorHAnsi"/>
          <w:spacing w:val="1"/>
          <w:sz w:val="20"/>
          <w:szCs w:val="20"/>
        </w:rPr>
        <w:t xml:space="preserve"> </w:t>
      </w:r>
      <w:r w:rsidRPr="000977F7">
        <w:rPr>
          <w:rFonts w:asciiTheme="majorHAnsi" w:hAnsiTheme="majorHAnsi"/>
          <w:sz w:val="20"/>
          <w:szCs w:val="20"/>
        </w:rPr>
        <w:t>розмірів</w:t>
      </w:r>
      <w:r w:rsidRPr="000977F7">
        <w:rPr>
          <w:rFonts w:asciiTheme="majorHAnsi" w:hAnsiTheme="majorHAnsi"/>
          <w:spacing w:val="1"/>
          <w:sz w:val="20"/>
          <w:szCs w:val="20"/>
        </w:rPr>
        <w:t xml:space="preserve"> </w:t>
      </w:r>
      <w:r w:rsidRPr="000977F7">
        <w:rPr>
          <w:rFonts w:asciiTheme="majorHAnsi" w:hAnsiTheme="majorHAnsi"/>
          <w:sz w:val="20"/>
          <w:szCs w:val="20"/>
        </w:rPr>
        <w:t>зразка</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47"/>
          <w:sz w:val="20"/>
          <w:szCs w:val="20"/>
        </w:rPr>
        <w:t xml:space="preserve"> </w:t>
      </w:r>
      <w:r w:rsidRPr="000977F7">
        <w:rPr>
          <w:rFonts w:asciiTheme="majorHAnsi" w:hAnsiTheme="majorHAnsi"/>
          <w:sz w:val="20"/>
          <w:szCs w:val="20"/>
        </w:rPr>
        <w:t>змінюванні</w:t>
      </w:r>
      <w:r w:rsidRPr="000977F7">
        <w:rPr>
          <w:rFonts w:asciiTheme="majorHAnsi" w:hAnsiTheme="majorHAnsi"/>
          <w:spacing w:val="1"/>
          <w:sz w:val="20"/>
          <w:szCs w:val="20"/>
        </w:rPr>
        <w:t xml:space="preserve"> </w:t>
      </w:r>
      <w:r w:rsidRPr="000977F7">
        <w:rPr>
          <w:rFonts w:asciiTheme="majorHAnsi" w:hAnsiTheme="majorHAnsi"/>
          <w:sz w:val="20"/>
          <w:szCs w:val="20"/>
        </w:rPr>
        <w:t>температури</w:t>
      </w:r>
    </w:p>
    <w:p w14:paraId="27FD8C0A" w14:textId="77777777" w:rsidR="0097612F" w:rsidRPr="000977F7" w:rsidRDefault="0097612F" w:rsidP="00FD39A4">
      <w:pPr>
        <w:pStyle w:val="ac"/>
        <w:widowControl w:val="0"/>
        <w:numPr>
          <w:ilvl w:val="1"/>
          <w:numId w:val="226"/>
        </w:numPr>
        <w:tabs>
          <w:tab w:val="left" w:pos="284"/>
          <w:tab w:val="left" w:pos="8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Динамічний аналіз механізмів – аналіз руху ланок механізмів під впливом прикладених до них</w:t>
      </w:r>
      <w:r w:rsidRPr="000977F7">
        <w:rPr>
          <w:rFonts w:asciiTheme="majorHAnsi" w:hAnsiTheme="majorHAnsi"/>
          <w:spacing w:val="1"/>
          <w:sz w:val="20"/>
          <w:szCs w:val="20"/>
        </w:rPr>
        <w:t xml:space="preserve"> </w:t>
      </w:r>
      <w:r w:rsidRPr="000977F7">
        <w:rPr>
          <w:rFonts w:asciiTheme="majorHAnsi" w:hAnsiTheme="majorHAnsi"/>
          <w:sz w:val="20"/>
          <w:szCs w:val="20"/>
        </w:rPr>
        <w:t>сил</w:t>
      </w:r>
    </w:p>
    <w:p w14:paraId="44F22896" w14:textId="77777777" w:rsidR="0097612F" w:rsidRPr="000977F7" w:rsidRDefault="0097612F" w:rsidP="00FD39A4">
      <w:pPr>
        <w:pStyle w:val="ac"/>
        <w:widowControl w:val="0"/>
        <w:numPr>
          <w:ilvl w:val="1"/>
          <w:numId w:val="226"/>
        </w:numPr>
        <w:tabs>
          <w:tab w:val="left" w:pos="284"/>
          <w:tab w:val="left" w:pos="8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Дюрометричний</w:t>
      </w:r>
      <w:r w:rsidRPr="000977F7">
        <w:rPr>
          <w:rFonts w:asciiTheme="majorHAnsi" w:hAnsiTheme="majorHAnsi"/>
          <w:spacing w:val="-4"/>
          <w:sz w:val="20"/>
          <w:szCs w:val="20"/>
        </w:rPr>
        <w:t xml:space="preserve"> </w:t>
      </w:r>
      <w:r w:rsidRPr="000977F7">
        <w:rPr>
          <w:rFonts w:asciiTheme="majorHAnsi" w:hAnsiTheme="majorHAnsi"/>
          <w:sz w:val="20"/>
          <w:szCs w:val="20"/>
        </w:rPr>
        <w:t>–</w:t>
      </w:r>
      <w:r w:rsidRPr="000977F7">
        <w:rPr>
          <w:rFonts w:asciiTheme="majorHAnsi" w:hAnsiTheme="majorHAnsi"/>
          <w:spacing w:val="-2"/>
          <w:sz w:val="20"/>
          <w:szCs w:val="20"/>
        </w:rPr>
        <w:t xml:space="preserve"> </w:t>
      </w:r>
      <w:r w:rsidRPr="000977F7">
        <w:rPr>
          <w:rFonts w:asciiTheme="majorHAnsi" w:hAnsiTheme="majorHAnsi"/>
          <w:sz w:val="20"/>
          <w:szCs w:val="20"/>
        </w:rPr>
        <w:t>аналіз</w:t>
      </w:r>
      <w:r w:rsidRPr="000977F7">
        <w:rPr>
          <w:rFonts w:asciiTheme="majorHAnsi" w:hAnsiTheme="majorHAnsi"/>
          <w:spacing w:val="-3"/>
          <w:sz w:val="20"/>
          <w:szCs w:val="20"/>
        </w:rPr>
        <w:t xml:space="preserve"> </w:t>
      </w:r>
      <w:r w:rsidRPr="000977F7">
        <w:rPr>
          <w:rFonts w:asciiTheme="majorHAnsi" w:hAnsiTheme="majorHAnsi"/>
          <w:sz w:val="20"/>
          <w:szCs w:val="20"/>
        </w:rPr>
        <w:t>твердості</w:t>
      </w:r>
      <w:r w:rsidRPr="000977F7">
        <w:rPr>
          <w:rFonts w:asciiTheme="majorHAnsi" w:hAnsiTheme="majorHAnsi"/>
          <w:spacing w:val="-4"/>
          <w:sz w:val="20"/>
          <w:szCs w:val="20"/>
        </w:rPr>
        <w:t xml:space="preserve"> </w:t>
      </w:r>
      <w:r w:rsidRPr="000977F7">
        <w:rPr>
          <w:rFonts w:asciiTheme="majorHAnsi" w:hAnsiTheme="majorHAnsi"/>
          <w:sz w:val="20"/>
          <w:szCs w:val="20"/>
        </w:rPr>
        <w:t>сплавів</w:t>
      </w:r>
    </w:p>
    <w:p w14:paraId="190BCAE0" w14:textId="77777777" w:rsidR="0097612F" w:rsidRPr="000977F7" w:rsidRDefault="0097612F" w:rsidP="00FD39A4">
      <w:pPr>
        <w:pStyle w:val="ac"/>
        <w:widowControl w:val="0"/>
        <w:numPr>
          <w:ilvl w:val="1"/>
          <w:numId w:val="226"/>
        </w:numPr>
        <w:tabs>
          <w:tab w:val="left" w:pos="284"/>
          <w:tab w:val="left" w:pos="8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Кінематичний</w:t>
      </w:r>
      <w:r w:rsidRPr="000977F7">
        <w:rPr>
          <w:rFonts w:asciiTheme="majorHAnsi" w:hAnsiTheme="majorHAnsi"/>
          <w:spacing w:val="1"/>
          <w:sz w:val="20"/>
          <w:szCs w:val="20"/>
        </w:rPr>
        <w:t xml:space="preserve"> </w:t>
      </w:r>
      <w:r w:rsidRPr="000977F7">
        <w:rPr>
          <w:rFonts w:asciiTheme="majorHAnsi" w:hAnsiTheme="majorHAnsi"/>
          <w:sz w:val="20"/>
          <w:szCs w:val="20"/>
        </w:rPr>
        <w:t>аналіз механізмів</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аналіз</w:t>
      </w:r>
      <w:r w:rsidRPr="000977F7">
        <w:rPr>
          <w:rFonts w:asciiTheme="majorHAnsi" w:hAnsiTheme="majorHAnsi"/>
          <w:spacing w:val="1"/>
          <w:sz w:val="20"/>
          <w:szCs w:val="20"/>
        </w:rPr>
        <w:t xml:space="preserve"> </w:t>
      </w:r>
      <w:r w:rsidRPr="000977F7">
        <w:rPr>
          <w:rFonts w:asciiTheme="majorHAnsi" w:hAnsiTheme="majorHAnsi"/>
          <w:sz w:val="20"/>
          <w:szCs w:val="20"/>
        </w:rPr>
        <w:t>руху</w:t>
      </w:r>
      <w:r w:rsidRPr="000977F7">
        <w:rPr>
          <w:rFonts w:asciiTheme="majorHAnsi" w:hAnsiTheme="majorHAnsi"/>
          <w:spacing w:val="1"/>
          <w:sz w:val="20"/>
          <w:szCs w:val="20"/>
        </w:rPr>
        <w:t xml:space="preserve"> </w:t>
      </w:r>
      <w:r w:rsidRPr="000977F7">
        <w:rPr>
          <w:rFonts w:asciiTheme="majorHAnsi" w:hAnsiTheme="majorHAnsi"/>
          <w:sz w:val="20"/>
          <w:szCs w:val="20"/>
        </w:rPr>
        <w:t>ланок механізмів незалежно від прикладених до</w:t>
      </w:r>
      <w:r w:rsidRPr="000977F7">
        <w:rPr>
          <w:rFonts w:asciiTheme="majorHAnsi" w:hAnsiTheme="majorHAnsi"/>
          <w:spacing w:val="1"/>
          <w:sz w:val="20"/>
          <w:szCs w:val="20"/>
        </w:rPr>
        <w:t xml:space="preserve"> </w:t>
      </w:r>
      <w:r w:rsidRPr="000977F7">
        <w:rPr>
          <w:rFonts w:asciiTheme="majorHAnsi" w:hAnsiTheme="majorHAnsi"/>
          <w:sz w:val="20"/>
          <w:szCs w:val="20"/>
        </w:rPr>
        <w:t>них</w:t>
      </w:r>
      <w:r w:rsidRPr="000977F7">
        <w:rPr>
          <w:rFonts w:asciiTheme="majorHAnsi" w:hAnsiTheme="majorHAnsi"/>
          <w:spacing w:val="-2"/>
          <w:sz w:val="20"/>
          <w:szCs w:val="20"/>
        </w:rPr>
        <w:t xml:space="preserve"> </w:t>
      </w:r>
      <w:r w:rsidRPr="000977F7">
        <w:rPr>
          <w:rFonts w:asciiTheme="majorHAnsi" w:hAnsiTheme="majorHAnsi"/>
          <w:sz w:val="20"/>
          <w:szCs w:val="20"/>
        </w:rPr>
        <w:t>сил</w:t>
      </w:r>
    </w:p>
    <w:p w14:paraId="7472B8AE" w14:textId="77777777" w:rsidR="0097612F" w:rsidRPr="000977F7" w:rsidRDefault="0097612F" w:rsidP="00FD39A4">
      <w:pPr>
        <w:pStyle w:val="ac"/>
        <w:widowControl w:val="0"/>
        <w:numPr>
          <w:ilvl w:val="1"/>
          <w:numId w:val="226"/>
        </w:numPr>
        <w:tabs>
          <w:tab w:val="left" w:pos="284"/>
          <w:tab w:val="left" w:pos="8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Металографічний – аналіз структури металів та</w:t>
      </w:r>
      <w:r w:rsidRPr="000977F7">
        <w:rPr>
          <w:rFonts w:asciiTheme="majorHAnsi" w:hAnsiTheme="majorHAnsi"/>
          <w:spacing w:val="1"/>
          <w:sz w:val="20"/>
          <w:szCs w:val="20"/>
        </w:rPr>
        <w:t xml:space="preserve"> </w:t>
      </w:r>
      <w:r w:rsidRPr="000977F7">
        <w:rPr>
          <w:rFonts w:asciiTheme="majorHAnsi" w:hAnsiTheme="majorHAnsi"/>
          <w:sz w:val="20"/>
          <w:szCs w:val="20"/>
        </w:rPr>
        <w:t>сплавів</w:t>
      </w:r>
      <w:r w:rsidRPr="000977F7">
        <w:rPr>
          <w:rFonts w:asciiTheme="majorHAnsi" w:hAnsiTheme="majorHAnsi"/>
          <w:spacing w:val="-2"/>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мікроскопом на</w:t>
      </w:r>
      <w:r w:rsidRPr="000977F7">
        <w:rPr>
          <w:rFonts w:asciiTheme="majorHAnsi" w:hAnsiTheme="majorHAnsi"/>
          <w:spacing w:val="3"/>
          <w:sz w:val="20"/>
          <w:szCs w:val="20"/>
        </w:rPr>
        <w:t xml:space="preserve"> </w:t>
      </w:r>
      <w:r w:rsidRPr="000977F7">
        <w:rPr>
          <w:rFonts w:asciiTheme="majorHAnsi" w:hAnsiTheme="majorHAnsi"/>
          <w:sz w:val="20"/>
          <w:szCs w:val="20"/>
        </w:rPr>
        <w:t>шліфах</w:t>
      </w:r>
    </w:p>
    <w:p w14:paraId="7023EC16" w14:textId="77777777" w:rsidR="0097612F" w:rsidRPr="000977F7" w:rsidRDefault="0097612F" w:rsidP="00FD39A4">
      <w:pPr>
        <w:pStyle w:val="ac"/>
        <w:widowControl w:val="0"/>
        <w:numPr>
          <w:ilvl w:val="1"/>
          <w:numId w:val="226"/>
        </w:numPr>
        <w:tabs>
          <w:tab w:val="left" w:pos="284"/>
          <w:tab w:val="left" w:pos="8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Силовий</w:t>
      </w:r>
      <w:r w:rsidRPr="000977F7">
        <w:rPr>
          <w:rFonts w:asciiTheme="majorHAnsi" w:hAnsiTheme="majorHAnsi"/>
          <w:spacing w:val="1"/>
          <w:sz w:val="20"/>
          <w:szCs w:val="20"/>
        </w:rPr>
        <w:t xml:space="preserve"> </w:t>
      </w:r>
      <w:r w:rsidRPr="000977F7">
        <w:rPr>
          <w:rFonts w:asciiTheme="majorHAnsi" w:hAnsiTheme="majorHAnsi"/>
          <w:sz w:val="20"/>
          <w:szCs w:val="20"/>
        </w:rPr>
        <w:t>аналіз</w:t>
      </w:r>
      <w:r w:rsidRPr="000977F7">
        <w:rPr>
          <w:rFonts w:asciiTheme="majorHAnsi" w:hAnsiTheme="majorHAnsi"/>
          <w:spacing w:val="1"/>
          <w:sz w:val="20"/>
          <w:szCs w:val="20"/>
        </w:rPr>
        <w:t xml:space="preserve"> </w:t>
      </w:r>
      <w:r w:rsidRPr="000977F7">
        <w:rPr>
          <w:rFonts w:asciiTheme="majorHAnsi" w:hAnsiTheme="majorHAnsi"/>
          <w:sz w:val="20"/>
          <w:szCs w:val="20"/>
        </w:rPr>
        <w:t>механізмів</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аналіз</w:t>
      </w:r>
      <w:r w:rsidRPr="000977F7">
        <w:rPr>
          <w:rFonts w:asciiTheme="majorHAnsi" w:hAnsiTheme="majorHAnsi"/>
          <w:spacing w:val="1"/>
          <w:sz w:val="20"/>
          <w:szCs w:val="20"/>
        </w:rPr>
        <w:t xml:space="preserve"> </w:t>
      </w:r>
      <w:r w:rsidRPr="000977F7">
        <w:rPr>
          <w:rFonts w:asciiTheme="majorHAnsi" w:hAnsiTheme="majorHAnsi"/>
          <w:sz w:val="20"/>
          <w:szCs w:val="20"/>
        </w:rPr>
        <w:t>впливу</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47"/>
          <w:sz w:val="20"/>
          <w:szCs w:val="20"/>
        </w:rPr>
        <w:t xml:space="preserve"> </w:t>
      </w:r>
      <w:r w:rsidRPr="000977F7">
        <w:rPr>
          <w:rFonts w:asciiTheme="majorHAnsi" w:hAnsiTheme="majorHAnsi"/>
          <w:sz w:val="20"/>
          <w:szCs w:val="20"/>
        </w:rPr>
        <w:t>ланки</w:t>
      </w:r>
      <w:r w:rsidRPr="000977F7">
        <w:rPr>
          <w:rFonts w:asciiTheme="majorHAnsi" w:hAnsiTheme="majorHAnsi"/>
          <w:spacing w:val="-2"/>
          <w:sz w:val="20"/>
          <w:szCs w:val="20"/>
        </w:rPr>
        <w:t xml:space="preserve"> </w:t>
      </w:r>
      <w:r w:rsidRPr="000977F7">
        <w:rPr>
          <w:rFonts w:asciiTheme="majorHAnsi" w:hAnsiTheme="majorHAnsi"/>
          <w:sz w:val="20"/>
          <w:szCs w:val="20"/>
        </w:rPr>
        <w:t>механізмів</w:t>
      </w:r>
      <w:r w:rsidRPr="000977F7">
        <w:rPr>
          <w:rFonts w:asciiTheme="majorHAnsi" w:hAnsiTheme="majorHAnsi"/>
          <w:spacing w:val="1"/>
          <w:sz w:val="20"/>
          <w:szCs w:val="20"/>
        </w:rPr>
        <w:t xml:space="preserve"> </w:t>
      </w:r>
      <w:r w:rsidRPr="000977F7">
        <w:rPr>
          <w:rFonts w:asciiTheme="majorHAnsi" w:hAnsiTheme="majorHAnsi"/>
          <w:sz w:val="20"/>
          <w:szCs w:val="20"/>
        </w:rPr>
        <w:t>прикладених до</w:t>
      </w:r>
      <w:r w:rsidRPr="000977F7">
        <w:rPr>
          <w:rFonts w:asciiTheme="majorHAnsi" w:hAnsiTheme="majorHAnsi"/>
          <w:spacing w:val="-1"/>
          <w:sz w:val="20"/>
          <w:szCs w:val="20"/>
        </w:rPr>
        <w:t xml:space="preserve"> </w:t>
      </w:r>
      <w:r w:rsidRPr="000977F7">
        <w:rPr>
          <w:rFonts w:asciiTheme="majorHAnsi" w:hAnsiTheme="majorHAnsi"/>
          <w:sz w:val="20"/>
          <w:szCs w:val="20"/>
        </w:rPr>
        <w:t>них</w:t>
      </w:r>
      <w:r w:rsidRPr="000977F7">
        <w:rPr>
          <w:rFonts w:asciiTheme="majorHAnsi" w:hAnsiTheme="majorHAnsi"/>
          <w:spacing w:val="-1"/>
          <w:sz w:val="20"/>
          <w:szCs w:val="20"/>
        </w:rPr>
        <w:t xml:space="preserve"> </w:t>
      </w:r>
      <w:r w:rsidRPr="000977F7">
        <w:rPr>
          <w:rFonts w:asciiTheme="majorHAnsi" w:hAnsiTheme="majorHAnsi"/>
          <w:sz w:val="20"/>
          <w:szCs w:val="20"/>
        </w:rPr>
        <w:t>сил Структурний аналіз механізмів – аналіз механізмів</w:t>
      </w:r>
      <w:r w:rsidRPr="000977F7">
        <w:rPr>
          <w:rFonts w:asciiTheme="majorHAnsi" w:hAnsiTheme="majorHAnsi"/>
          <w:spacing w:val="27"/>
          <w:sz w:val="20"/>
          <w:szCs w:val="20"/>
        </w:rPr>
        <w:t xml:space="preserve"> </w:t>
      </w:r>
      <w:r w:rsidRPr="000977F7">
        <w:rPr>
          <w:rFonts w:asciiTheme="majorHAnsi" w:hAnsiTheme="majorHAnsi"/>
          <w:sz w:val="20"/>
          <w:szCs w:val="20"/>
        </w:rPr>
        <w:t>для</w:t>
      </w:r>
      <w:r w:rsidRPr="000977F7">
        <w:rPr>
          <w:rFonts w:asciiTheme="majorHAnsi" w:hAnsiTheme="majorHAnsi"/>
          <w:spacing w:val="27"/>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27"/>
          <w:sz w:val="20"/>
          <w:szCs w:val="20"/>
        </w:rPr>
        <w:t xml:space="preserve"> </w:t>
      </w:r>
      <w:r w:rsidRPr="000977F7">
        <w:rPr>
          <w:rFonts w:asciiTheme="majorHAnsi" w:hAnsiTheme="majorHAnsi"/>
          <w:sz w:val="20"/>
          <w:szCs w:val="20"/>
        </w:rPr>
        <w:t>кількості</w:t>
      </w:r>
      <w:r w:rsidRPr="000977F7">
        <w:rPr>
          <w:rFonts w:asciiTheme="majorHAnsi" w:hAnsiTheme="majorHAnsi"/>
          <w:spacing w:val="29"/>
          <w:sz w:val="20"/>
          <w:szCs w:val="20"/>
        </w:rPr>
        <w:t xml:space="preserve"> </w:t>
      </w:r>
      <w:r w:rsidRPr="000977F7">
        <w:rPr>
          <w:rFonts w:asciiTheme="majorHAnsi" w:hAnsiTheme="majorHAnsi"/>
          <w:sz w:val="20"/>
          <w:szCs w:val="20"/>
        </w:rPr>
        <w:t>та</w:t>
      </w:r>
      <w:r w:rsidRPr="000977F7">
        <w:rPr>
          <w:rFonts w:asciiTheme="majorHAnsi" w:hAnsiTheme="majorHAnsi"/>
          <w:spacing w:val="28"/>
          <w:sz w:val="20"/>
          <w:szCs w:val="20"/>
        </w:rPr>
        <w:t xml:space="preserve"> </w:t>
      </w:r>
      <w:r w:rsidRPr="000977F7">
        <w:rPr>
          <w:rFonts w:asciiTheme="majorHAnsi" w:hAnsiTheme="majorHAnsi"/>
          <w:sz w:val="20"/>
          <w:szCs w:val="20"/>
        </w:rPr>
        <w:t>розмірів</w:t>
      </w:r>
      <w:r w:rsidRPr="000977F7">
        <w:rPr>
          <w:rFonts w:asciiTheme="majorHAnsi" w:hAnsiTheme="majorHAnsi"/>
          <w:spacing w:val="27"/>
          <w:sz w:val="20"/>
          <w:szCs w:val="20"/>
        </w:rPr>
        <w:t xml:space="preserve"> </w:t>
      </w:r>
      <w:r w:rsidRPr="000977F7">
        <w:rPr>
          <w:rFonts w:asciiTheme="majorHAnsi" w:hAnsiTheme="majorHAnsi"/>
          <w:sz w:val="20"/>
          <w:szCs w:val="20"/>
        </w:rPr>
        <w:t>ланок,</w:t>
      </w:r>
      <w:r w:rsidRPr="000977F7">
        <w:rPr>
          <w:rFonts w:asciiTheme="majorHAnsi" w:hAnsiTheme="majorHAnsi"/>
          <w:spacing w:val="-47"/>
          <w:sz w:val="20"/>
          <w:szCs w:val="20"/>
        </w:rPr>
        <w:t xml:space="preserve"> </w:t>
      </w:r>
      <w:r w:rsidRPr="000977F7">
        <w:rPr>
          <w:rFonts w:asciiTheme="majorHAnsi" w:hAnsiTheme="majorHAnsi"/>
          <w:sz w:val="20"/>
          <w:szCs w:val="20"/>
        </w:rPr>
        <w:t>їх</w:t>
      </w:r>
      <w:r w:rsidRPr="000977F7">
        <w:rPr>
          <w:rFonts w:asciiTheme="majorHAnsi" w:hAnsiTheme="majorHAnsi"/>
          <w:spacing w:val="-4"/>
          <w:sz w:val="20"/>
          <w:szCs w:val="20"/>
        </w:rPr>
        <w:t xml:space="preserve"> </w:t>
      </w:r>
      <w:r w:rsidRPr="000977F7">
        <w:rPr>
          <w:rFonts w:asciiTheme="majorHAnsi" w:hAnsiTheme="majorHAnsi"/>
          <w:sz w:val="20"/>
          <w:szCs w:val="20"/>
        </w:rPr>
        <w:t>взаємного розташування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з’єднування</w:t>
      </w:r>
    </w:p>
    <w:p w14:paraId="2D24F20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АНАЛІЗ</w:t>
      </w:r>
      <w:r w:rsidRPr="000977F7">
        <w:rPr>
          <w:color w:val="auto"/>
          <w:spacing w:val="-5"/>
          <w:sz w:val="20"/>
          <w:szCs w:val="20"/>
        </w:rPr>
        <w:t xml:space="preserve"> </w:t>
      </w:r>
      <w:r w:rsidRPr="000977F7">
        <w:rPr>
          <w:color w:val="auto"/>
          <w:sz w:val="20"/>
          <w:szCs w:val="20"/>
        </w:rPr>
        <w:t>ГРАФА</w:t>
      </w:r>
      <w:r w:rsidRPr="000977F7">
        <w:rPr>
          <w:color w:val="auto"/>
          <w:spacing w:val="-5"/>
          <w:sz w:val="20"/>
          <w:szCs w:val="20"/>
        </w:rPr>
        <w:t xml:space="preserve"> </w:t>
      </w:r>
      <w:r w:rsidRPr="000977F7">
        <w:rPr>
          <w:color w:val="auto"/>
          <w:sz w:val="20"/>
          <w:szCs w:val="20"/>
        </w:rPr>
        <w:t>НЕСПРАВНОСТЕЙ</w:t>
      </w:r>
      <w:r w:rsidRPr="000977F7">
        <w:rPr>
          <w:color w:val="auto"/>
          <w:spacing w:val="-1"/>
          <w:sz w:val="20"/>
          <w:szCs w:val="20"/>
        </w:rPr>
        <w:t xml:space="preserve"> </w:t>
      </w:r>
      <w:r w:rsidRPr="000977F7">
        <w:rPr>
          <w:color w:val="auto"/>
          <w:sz w:val="20"/>
          <w:szCs w:val="20"/>
        </w:rPr>
        <w:t>–</w:t>
      </w:r>
    </w:p>
    <w:p w14:paraId="7D655E3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FAULT</w:t>
      </w:r>
      <w:r w:rsidRPr="000977F7">
        <w:rPr>
          <w:rFonts w:asciiTheme="majorHAnsi" w:hAnsiTheme="majorHAnsi"/>
          <w:spacing w:val="-2"/>
          <w:sz w:val="20"/>
          <w:szCs w:val="20"/>
        </w:rPr>
        <w:t xml:space="preserve"> </w:t>
      </w:r>
      <w:r w:rsidRPr="000977F7">
        <w:rPr>
          <w:rFonts w:asciiTheme="majorHAnsi" w:hAnsiTheme="majorHAnsi"/>
          <w:sz w:val="20"/>
          <w:szCs w:val="20"/>
        </w:rPr>
        <w:t>TREE</w:t>
      </w:r>
      <w:r w:rsidRPr="000977F7">
        <w:rPr>
          <w:rFonts w:asciiTheme="majorHAnsi" w:hAnsiTheme="majorHAnsi"/>
          <w:spacing w:val="-2"/>
          <w:sz w:val="20"/>
          <w:szCs w:val="20"/>
        </w:rPr>
        <w:t xml:space="preserve"> </w:t>
      </w:r>
      <w:r w:rsidRPr="000977F7">
        <w:rPr>
          <w:rFonts w:asciiTheme="majorHAnsi" w:hAnsiTheme="majorHAnsi"/>
          <w:sz w:val="20"/>
          <w:szCs w:val="20"/>
        </w:rPr>
        <w:t>ANALYSIS –</w:t>
      </w:r>
    </w:p>
    <w:p w14:paraId="34DB56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Аналіз видів несправностей складових частин об’єкта</w:t>
      </w:r>
      <w:r w:rsidRPr="000977F7">
        <w:rPr>
          <w:rFonts w:asciiTheme="majorHAnsi" w:hAnsiTheme="majorHAnsi"/>
          <w:spacing w:val="1"/>
          <w:sz w:val="20"/>
          <w:szCs w:val="20"/>
        </w:rPr>
        <w:t xml:space="preserve"> </w:t>
      </w:r>
      <w:r w:rsidRPr="000977F7">
        <w:rPr>
          <w:rFonts w:asciiTheme="majorHAnsi" w:hAnsiTheme="majorHAnsi"/>
          <w:sz w:val="20"/>
          <w:szCs w:val="20"/>
        </w:rPr>
        <w:t>або зовнішніх подій чи їх комбінацій, які спричиняють установлений вид несправності об’єкта, представлений у</w:t>
      </w:r>
      <w:r w:rsidRPr="000977F7">
        <w:rPr>
          <w:rFonts w:asciiTheme="majorHAnsi" w:hAnsiTheme="majorHAnsi"/>
          <w:spacing w:val="-4"/>
          <w:sz w:val="20"/>
          <w:szCs w:val="20"/>
        </w:rPr>
        <w:t xml:space="preserve"> </w:t>
      </w:r>
      <w:r w:rsidRPr="000977F7">
        <w:rPr>
          <w:rFonts w:asciiTheme="majorHAnsi" w:hAnsiTheme="majorHAnsi"/>
          <w:sz w:val="20"/>
          <w:szCs w:val="20"/>
        </w:rPr>
        <w:t>формі</w:t>
      </w:r>
      <w:r w:rsidRPr="000977F7">
        <w:rPr>
          <w:rFonts w:asciiTheme="majorHAnsi" w:hAnsiTheme="majorHAnsi"/>
          <w:spacing w:val="-2"/>
          <w:sz w:val="20"/>
          <w:szCs w:val="20"/>
        </w:rPr>
        <w:t xml:space="preserve"> </w:t>
      </w:r>
      <w:r w:rsidRPr="000977F7">
        <w:rPr>
          <w:rFonts w:asciiTheme="majorHAnsi" w:hAnsiTheme="majorHAnsi"/>
          <w:sz w:val="20"/>
          <w:szCs w:val="20"/>
        </w:rPr>
        <w:t>деревоподібної</w:t>
      </w:r>
      <w:r w:rsidRPr="000977F7">
        <w:rPr>
          <w:rFonts w:asciiTheme="majorHAnsi" w:hAnsiTheme="majorHAnsi"/>
          <w:spacing w:val="-1"/>
          <w:sz w:val="20"/>
          <w:szCs w:val="20"/>
        </w:rPr>
        <w:t xml:space="preserve"> </w:t>
      </w:r>
      <w:r w:rsidRPr="000977F7">
        <w:rPr>
          <w:rFonts w:asciiTheme="majorHAnsi" w:hAnsiTheme="majorHAnsi"/>
          <w:sz w:val="20"/>
          <w:szCs w:val="20"/>
        </w:rPr>
        <w:t>структури</w:t>
      </w:r>
    </w:p>
    <w:p w14:paraId="5D8D229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2860 - 94</w:t>
      </w:r>
    </w:p>
    <w:p w14:paraId="0A75283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АНАЛІЗ</w:t>
      </w:r>
      <w:r w:rsidRPr="000977F7">
        <w:rPr>
          <w:color w:val="auto"/>
          <w:spacing w:val="-4"/>
          <w:sz w:val="20"/>
          <w:szCs w:val="20"/>
        </w:rPr>
        <w:t xml:space="preserve"> </w:t>
      </w:r>
      <w:r w:rsidRPr="000977F7">
        <w:rPr>
          <w:color w:val="auto"/>
          <w:sz w:val="20"/>
          <w:szCs w:val="20"/>
        </w:rPr>
        <w:t>З</w:t>
      </w:r>
      <w:r w:rsidRPr="000977F7">
        <w:rPr>
          <w:color w:val="auto"/>
          <w:spacing w:val="-3"/>
          <w:sz w:val="20"/>
          <w:szCs w:val="20"/>
        </w:rPr>
        <w:t xml:space="preserve"> </w:t>
      </w:r>
      <w:r w:rsidRPr="000977F7">
        <w:rPr>
          <w:color w:val="auto"/>
          <w:sz w:val="20"/>
          <w:szCs w:val="20"/>
        </w:rPr>
        <w:t>БОКУ</w:t>
      </w:r>
      <w:r w:rsidRPr="000977F7">
        <w:rPr>
          <w:color w:val="auto"/>
          <w:spacing w:val="-3"/>
          <w:sz w:val="20"/>
          <w:szCs w:val="20"/>
        </w:rPr>
        <w:t xml:space="preserve"> </w:t>
      </w:r>
      <w:r w:rsidRPr="000977F7">
        <w:rPr>
          <w:color w:val="auto"/>
          <w:sz w:val="20"/>
          <w:szCs w:val="20"/>
        </w:rPr>
        <w:t>КЕРІВНИЦТВА</w:t>
      </w:r>
      <w:r w:rsidRPr="000977F7">
        <w:rPr>
          <w:color w:val="auto"/>
          <w:spacing w:val="-1"/>
          <w:sz w:val="20"/>
          <w:szCs w:val="20"/>
        </w:rPr>
        <w:t xml:space="preserve"> </w:t>
      </w:r>
      <w:r w:rsidRPr="000977F7">
        <w:rPr>
          <w:color w:val="auto"/>
          <w:sz w:val="20"/>
          <w:szCs w:val="20"/>
        </w:rPr>
        <w:t>–</w:t>
      </w:r>
    </w:p>
    <w:p w14:paraId="4B959223"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MANAGEMENT</w:t>
      </w:r>
      <w:r w:rsidRPr="002E19DF">
        <w:rPr>
          <w:rFonts w:asciiTheme="majorHAnsi" w:hAnsiTheme="majorHAnsi"/>
          <w:sz w:val="20"/>
          <w:szCs w:val="20"/>
          <w:lang w:val="uk-UA"/>
        </w:rPr>
        <w:t xml:space="preserve"> </w:t>
      </w:r>
      <w:r w:rsidRPr="000977F7">
        <w:rPr>
          <w:rFonts w:asciiTheme="majorHAnsi" w:hAnsiTheme="majorHAnsi"/>
          <w:sz w:val="20"/>
          <w:szCs w:val="20"/>
        </w:rPr>
        <w:t>REVIEW</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w:t>
      </w:r>
    </w:p>
    <w:p w14:paraId="44142AB9"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uk-UA"/>
        </w:rPr>
      </w:pPr>
      <w:r w:rsidRPr="002E19DF">
        <w:rPr>
          <w:rFonts w:asciiTheme="majorHAnsi" w:hAnsiTheme="majorHAnsi"/>
          <w:sz w:val="20"/>
          <w:szCs w:val="20"/>
          <w:lang w:val="uk-UA"/>
        </w:rPr>
        <w:t>Офіційне</w:t>
      </w:r>
      <w:r w:rsidRPr="002E19DF">
        <w:rPr>
          <w:rFonts w:asciiTheme="majorHAnsi" w:hAnsiTheme="majorHAnsi"/>
          <w:spacing w:val="6"/>
          <w:sz w:val="20"/>
          <w:szCs w:val="20"/>
          <w:lang w:val="uk-UA"/>
        </w:rPr>
        <w:t xml:space="preserve"> </w:t>
      </w:r>
      <w:r w:rsidRPr="002E19DF">
        <w:rPr>
          <w:rFonts w:asciiTheme="majorHAnsi" w:hAnsiTheme="majorHAnsi"/>
          <w:sz w:val="20"/>
          <w:szCs w:val="20"/>
          <w:lang w:val="uk-UA"/>
        </w:rPr>
        <w:t>оцінювання</w:t>
      </w:r>
      <w:r w:rsidRPr="002E19DF">
        <w:rPr>
          <w:rFonts w:asciiTheme="majorHAnsi" w:hAnsiTheme="majorHAnsi"/>
          <w:spacing w:val="6"/>
          <w:sz w:val="20"/>
          <w:szCs w:val="20"/>
          <w:lang w:val="uk-UA"/>
        </w:rPr>
        <w:t xml:space="preserve"> </w:t>
      </w:r>
      <w:r w:rsidRPr="002E19DF">
        <w:rPr>
          <w:rFonts w:asciiTheme="majorHAnsi" w:hAnsiTheme="majorHAnsi"/>
          <w:sz w:val="20"/>
          <w:szCs w:val="20"/>
          <w:lang w:val="uk-UA"/>
        </w:rPr>
        <w:t>вищим</w:t>
      </w:r>
      <w:r w:rsidRPr="002E19DF">
        <w:rPr>
          <w:rFonts w:asciiTheme="majorHAnsi" w:hAnsiTheme="majorHAnsi"/>
          <w:spacing w:val="7"/>
          <w:sz w:val="20"/>
          <w:szCs w:val="20"/>
          <w:lang w:val="uk-UA"/>
        </w:rPr>
        <w:t xml:space="preserve"> </w:t>
      </w:r>
      <w:r w:rsidRPr="002E19DF">
        <w:rPr>
          <w:rFonts w:asciiTheme="majorHAnsi" w:hAnsiTheme="majorHAnsi"/>
          <w:sz w:val="20"/>
          <w:szCs w:val="20"/>
          <w:lang w:val="uk-UA"/>
        </w:rPr>
        <w:t>керівництвом</w:t>
      </w:r>
      <w:r w:rsidRPr="002E19DF">
        <w:rPr>
          <w:rFonts w:asciiTheme="majorHAnsi" w:hAnsiTheme="majorHAnsi"/>
          <w:spacing w:val="7"/>
          <w:sz w:val="20"/>
          <w:szCs w:val="20"/>
          <w:lang w:val="uk-UA"/>
        </w:rPr>
        <w:t xml:space="preserve"> </w:t>
      </w:r>
      <w:r w:rsidRPr="002E19DF">
        <w:rPr>
          <w:rFonts w:asciiTheme="majorHAnsi" w:hAnsiTheme="majorHAnsi"/>
          <w:sz w:val="20"/>
          <w:szCs w:val="20"/>
          <w:lang w:val="uk-UA"/>
        </w:rPr>
        <w:t>стану</w:t>
      </w:r>
      <w:r w:rsidRPr="002E19DF">
        <w:rPr>
          <w:rFonts w:asciiTheme="majorHAnsi" w:hAnsiTheme="majorHAnsi"/>
          <w:spacing w:val="5"/>
          <w:sz w:val="20"/>
          <w:szCs w:val="20"/>
          <w:lang w:val="uk-UA"/>
        </w:rPr>
        <w:t xml:space="preserve"> </w:t>
      </w:r>
      <w:r w:rsidRPr="002E19DF">
        <w:rPr>
          <w:rFonts w:asciiTheme="majorHAnsi" w:hAnsiTheme="majorHAnsi"/>
          <w:sz w:val="20"/>
          <w:szCs w:val="20"/>
          <w:lang w:val="uk-UA"/>
        </w:rPr>
        <w:t>системи</w:t>
      </w:r>
      <w:r w:rsidRPr="002E19DF">
        <w:rPr>
          <w:rFonts w:asciiTheme="majorHAnsi" w:hAnsiTheme="majorHAnsi"/>
          <w:spacing w:val="-2"/>
          <w:sz w:val="20"/>
          <w:szCs w:val="20"/>
          <w:lang w:val="uk-UA"/>
        </w:rPr>
        <w:t xml:space="preserve"> </w:t>
      </w:r>
      <w:r w:rsidRPr="002E19DF">
        <w:rPr>
          <w:rFonts w:asciiTheme="majorHAnsi" w:hAnsiTheme="majorHAnsi"/>
          <w:sz w:val="20"/>
          <w:szCs w:val="20"/>
          <w:lang w:val="uk-UA"/>
        </w:rPr>
        <w:t>якості</w:t>
      </w:r>
      <w:r w:rsidRPr="002E19DF">
        <w:rPr>
          <w:rFonts w:asciiTheme="majorHAnsi" w:hAnsiTheme="majorHAnsi"/>
          <w:spacing w:val="-2"/>
          <w:sz w:val="20"/>
          <w:szCs w:val="20"/>
          <w:lang w:val="uk-UA"/>
        </w:rPr>
        <w:t xml:space="preserve"> </w:t>
      </w:r>
      <w:r w:rsidRPr="002E19DF">
        <w:rPr>
          <w:rFonts w:asciiTheme="majorHAnsi" w:hAnsiTheme="majorHAnsi"/>
          <w:sz w:val="20"/>
          <w:szCs w:val="20"/>
          <w:lang w:val="uk-UA"/>
        </w:rPr>
        <w:t>і</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її</w:t>
      </w:r>
      <w:r w:rsidRPr="002E19DF">
        <w:rPr>
          <w:rFonts w:asciiTheme="majorHAnsi" w:hAnsiTheme="majorHAnsi"/>
          <w:spacing w:val="-2"/>
          <w:sz w:val="20"/>
          <w:szCs w:val="20"/>
          <w:lang w:val="uk-UA"/>
        </w:rPr>
        <w:t xml:space="preserve"> </w:t>
      </w:r>
      <w:r w:rsidRPr="002E19DF">
        <w:rPr>
          <w:rFonts w:asciiTheme="majorHAnsi" w:hAnsiTheme="majorHAnsi"/>
          <w:sz w:val="20"/>
          <w:szCs w:val="20"/>
          <w:lang w:val="uk-UA"/>
        </w:rPr>
        <w:t>відповідності політиці</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у</w:t>
      </w:r>
      <w:r w:rsidRPr="002E19DF">
        <w:rPr>
          <w:rFonts w:asciiTheme="majorHAnsi" w:hAnsiTheme="majorHAnsi"/>
          <w:spacing w:val="-5"/>
          <w:sz w:val="20"/>
          <w:szCs w:val="20"/>
          <w:lang w:val="uk-UA"/>
        </w:rPr>
        <w:t xml:space="preserve"> </w:t>
      </w:r>
      <w:r w:rsidRPr="002E19DF">
        <w:rPr>
          <w:rFonts w:asciiTheme="majorHAnsi" w:hAnsiTheme="majorHAnsi"/>
          <w:sz w:val="20"/>
          <w:szCs w:val="20"/>
          <w:lang w:val="uk-UA"/>
        </w:rPr>
        <w:t>сфері</w:t>
      </w:r>
      <w:r w:rsidRPr="002E19DF">
        <w:rPr>
          <w:rFonts w:asciiTheme="majorHAnsi" w:hAnsiTheme="majorHAnsi"/>
          <w:spacing w:val="-2"/>
          <w:sz w:val="20"/>
          <w:szCs w:val="20"/>
          <w:lang w:val="uk-UA"/>
        </w:rPr>
        <w:t xml:space="preserve"> </w:t>
      </w:r>
      <w:r w:rsidRPr="002E19DF">
        <w:rPr>
          <w:rFonts w:asciiTheme="majorHAnsi" w:hAnsiTheme="majorHAnsi"/>
          <w:sz w:val="20"/>
          <w:szCs w:val="20"/>
          <w:lang w:val="uk-UA"/>
        </w:rPr>
        <w:t>якості</w:t>
      </w:r>
    </w:p>
    <w:p w14:paraId="54B7C52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9139A73" w14:textId="77777777" w:rsidR="0097612F" w:rsidRPr="000977F7" w:rsidRDefault="0097612F" w:rsidP="00FD39A4">
      <w:pPr>
        <w:pStyle w:val="ac"/>
        <w:widowControl w:val="0"/>
        <w:numPr>
          <w:ilvl w:val="0"/>
          <w:numId w:val="225"/>
        </w:numPr>
        <w:tabs>
          <w:tab w:val="left" w:pos="284"/>
          <w:tab w:val="left" w:pos="53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Аналіз</w:t>
      </w:r>
      <w:r w:rsidRPr="000977F7">
        <w:rPr>
          <w:rFonts w:asciiTheme="majorHAnsi" w:hAnsiTheme="majorHAnsi"/>
          <w:spacing w:val="17"/>
          <w:sz w:val="20"/>
          <w:szCs w:val="20"/>
        </w:rPr>
        <w:t xml:space="preserve"> </w:t>
      </w:r>
      <w:r w:rsidRPr="000977F7">
        <w:rPr>
          <w:rFonts w:asciiTheme="majorHAnsi" w:hAnsiTheme="majorHAnsi"/>
          <w:sz w:val="20"/>
          <w:szCs w:val="20"/>
        </w:rPr>
        <w:t>з</w:t>
      </w:r>
      <w:r w:rsidRPr="000977F7">
        <w:rPr>
          <w:rFonts w:asciiTheme="majorHAnsi" w:hAnsiTheme="majorHAnsi"/>
          <w:spacing w:val="15"/>
          <w:sz w:val="20"/>
          <w:szCs w:val="20"/>
        </w:rPr>
        <w:t xml:space="preserve"> </w:t>
      </w:r>
      <w:r w:rsidRPr="000977F7">
        <w:rPr>
          <w:rFonts w:asciiTheme="majorHAnsi" w:hAnsiTheme="majorHAnsi"/>
          <w:sz w:val="20"/>
          <w:szCs w:val="20"/>
        </w:rPr>
        <w:t>боку</w:t>
      </w:r>
      <w:r w:rsidRPr="000977F7">
        <w:rPr>
          <w:rFonts w:asciiTheme="majorHAnsi" w:hAnsiTheme="majorHAnsi"/>
          <w:spacing w:val="16"/>
          <w:sz w:val="20"/>
          <w:szCs w:val="20"/>
        </w:rPr>
        <w:t xml:space="preserve"> </w:t>
      </w:r>
      <w:r w:rsidRPr="000977F7">
        <w:rPr>
          <w:rFonts w:asciiTheme="majorHAnsi" w:hAnsiTheme="majorHAnsi"/>
          <w:sz w:val="20"/>
          <w:szCs w:val="20"/>
        </w:rPr>
        <w:t>керівництва</w:t>
      </w:r>
      <w:r w:rsidRPr="000977F7">
        <w:rPr>
          <w:rFonts w:asciiTheme="majorHAnsi" w:hAnsiTheme="majorHAnsi"/>
          <w:spacing w:val="15"/>
          <w:sz w:val="20"/>
          <w:szCs w:val="20"/>
        </w:rPr>
        <w:t xml:space="preserve"> </w:t>
      </w:r>
      <w:r w:rsidRPr="000977F7">
        <w:rPr>
          <w:rFonts w:asciiTheme="majorHAnsi" w:hAnsiTheme="majorHAnsi"/>
          <w:sz w:val="20"/>
          <w:szCs w:val="20"/>
        </w:rPr>
        <w:t>може</w:t>
      </w:r>
      <w:r w:rsidRPr="000977F7">
        <w:rPr>
          <w:rFonts w:asciiTheme="majorHAnsi" w:hAnsiTheme="majorHAnsi"/>
          <w:spacing w:val="16"/>
          <w:sz w:val="20"/>
          <w:szCs w:val="20"/>
        </w:rPr>
        <w:t xml:space="preserve"> </w:t>
      </w:r>
      <w:r w:rsidRPr="000977F7">
        <w:rPr>
          <w:rFonts w:asciiTheme="majorHAnsi" w:hAnsiTheme="majorHAnsi"/>
          <w:sz w:val="20"/>
          <w:szCs w:val="20"/>
        </w:rPr>
        <w:t>містити</w:t>
      </w:r>
      <w:r w:rsidRPr="000977F7">
        <w:rPr>
          <w:rFonts w:asciiTheme="majorHAnsi" w:hAnsiTheme="majorHAnsi"/>
          <w:spacing w:val="16"/>
          <w:sz w:val="20"/>
          <w:szCs w:val="20"/>
        </w:rPr>
        <w:t xml:space="preserve"> </w:t>
      </w:r>
      <w:r w:rsidRPr="000977F7">
        <w:rPr>
          <w:rFonts w:asciiTheme="majorHAnsi" w:hAnsiTheme="majorHAnsi"/>
          <w:sz w:val="20"/>
          <w:szCs w:val="20"/>
        </w:rPr>
        <w:t>аналіз</w:t>
      </w:r>
      <w:r w:rsidRPr="000977F7">
        <w:rPr>
          <w:rFonts w:asciiTheme="majorHAnsi" w:hAnsiTheme="majorHAnsi"/>
          <w:spacing w:val="17"/>
          <w:sz w:val="20"/>
          <w:szCs w:val="20"/>
        </w:rPr>
        <w:t xml:space="preserve"> </w:t>
      </w:r>
      <w:r w:rsidRPr="000977F7">
        <w:rPr>
          <w:rFonts w:asciiTheme="majorHAnsi" w:hAnsiTheme="majorHAnsi"/>
          <w:sz w:val="20"/>
          <w:szCs w:val="20"/>
        </w:rPr>
        <w:t>політики у</w:t>
      </w:r>
      <w:r w:rsidRPr="000977F7">
        <w:rPr>
          <w:rFonts w:asciiTheme="majorHAnsi" w:hAnsiTheme="majorHAnsi"/>
          <w:spacing w:val="-4"/>
          <w:sz w:val="20"/>
          <w:szCs w:val="20"/>
        </w:rPr>
        <w:t xml:space="preserve"> </w:t>
      </w:r>
      <w:r w:rsidRPr="000977F7">
        <w:rPr>
          <w:rFonts w:asciiTheme="majorHAnsi" w:hAnsiTheme="majorHAnsi"/>
          <w:sz w:val="20"/>
          <w:szCs w:val="20"/>
        </w:rPr>
        <w:t>сфері</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p>
    <w:p w14:paraId="7018FE79" w14:textId="77777777" w:rsidR="0097612F" w:rsidRPr="000977F7" w:rsidRDefault="0097612F" w:rsidP="00FD39A4">
      <w:pPr>
        <w:pStyle w:val="ac"/>
        <w:widowControl w:val="0"/>
        <w:numPr>
          <w:ilvl w:val="0"/>
          <w:numId w:val="225"/>
        </w:numPr>
        <w:tabs>
          <w:tab w:val="left" w:pos="284"/>
          <w:tab w:val="left" w:pos="56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Результати перевірки якості</w:t>
      </w:r>
      <w:r w:rsidRPr="000977F7">
        <w:rPr>
          <w:rFonts w:asciiTheme="majorHAnsi" w:hAnsiTheme="majorHAnsi"/>
          <w:spacing w:val="1"/>
          <w:sz w:val="20"/>
          <w:szCs w:val="20"/>
        </w:rPr>
        <w:t xml:space="preserve"> </w:t>
      </w:r>
      <w:r w:rsidRPr="000977F7">
        <w:rPr>
          <w:rFonts w:asciiTheme="majorHAnsi" w:hAnsiTheme="majorHAnsi"/>
          <w:sz w:val="20"/>
          <w:szCs w:val="20"/>
        </w:rPr>
        <w:t>(аудиту) є</w:t>
      </w:r>
      <w:r w:rsidRPr="000977F7">
        <w:rPr>
          <w:rFonts w:asciiTheme="majorHAnsi" w:hAnsiTheme="majorHAnsi"/>
          <w:spacing w:val="1"/>
          <w:sz w:val="20"/>
          <w:szCs w:val="20"/>
        </w:rPr>
        <w:t xml:space="preserve"> </w:t>
      </w:r>
      <w:r w:rsidRPr="000977F7">
        <w:rPr>
          <w:rFonts w:asciiTheme="majorHAnsi" w:hAnsiTheme="majorHAnsi"/>
          <w:sz w:val="20"/>
          <w:szCs w:val="20"/>
        </w:rPr>
        <w:t>одними з</w:t>
      </w:r>
      <w:r w:rsidRPr="000977F7">
        <w:rPr>
          <w:rFonts w:asciiTheme="majorHAnsi" w:hAnsiTheme="majorHAnsi"/>
          <w:spacing w:val="1"/>
          <w:sz w:val="20"/>
          <w:szCs w:val="20"/>
        </w:rPr>
        <w:t xml:space="preserve"> </w:t>
      </w:r>
      <w:r w:rsidRPr="000977F7">
        <w:rPr>
          <w:rFonts w:asciiTheme="majorHAnsi" w:hAnsiTheme="majorHAnsi"/>
          <w:sz w:val="20"/>
          <w:szCs w:val="20"/>
        </w:rPr>
        <w:t xml:space="preserve">можливих вхідних даних для аналізу з боку </w:t>
      </w:r>
      <w:r w:rsidRPr="000977F7">
        <w:rPr>
          <w:rFonts w:asciiTheme="majorHAnsi" w:hAnsiTheme="majorHAnsi"/>
          <w:sz w:val="20"/>
          <w:szCs w:val="20"/>
        </w:rPr>
        <w:lastRenderedPageBreak/>
        <w:t>керівництва</w:t>
      </w:r>
    </w:p>
    <w:p w14:paraId="09E759DA" w14:textId="77777777" w:rsidR="0097612F" w:rsidRPr="000977F7" w:rsidRDefault="0097612F" w:rsidP="00FD39A4">
      <w:pPr>
        <w:pStyle w:val="ac"/>
        <w:widowControl w:val="0"/>
        <w:numPr>
          <w:ilvl w:val="0"/>
          <w:numId w:val="225"/>
        </w:numPr>
        <w:tabs>
          <w:tab w:val="left" w:pos="284"/>
          <w:tab w:val="left" w:pos="56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Термін "вище керівництво" стосується керівників</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систему</w:t>
      </w:r>
      <w:r w:rsidRPr="000977F7">
        <w:rPr>
          <w:rFonts w:asciiTheme="majorHAnsi" w:hAnsiTheme="majorHAnsi"/>
          <w:spacing w:val="-4"/>
          <w:sz w:val="20"/>
          <w:szCs w:val="20"/>
        </w:rPr>
        <w:t xml:space="preserve"> </w:t>
      </w:r>
      <w:r w:rsidRPr="000977F7">
        <w:rPr>
          <w:rFonts w:asciiTheme="majorHAnsi" w:hAnsiTheme="majorHAnsi"/>
          <w:sz w:val="20"/>
          <w:szCs w:val="20"/>
        </w:rPr>
        <w:t>якості</w:t>
      </w:r>
      <w:r w:rsidRPr="000977F7">
        <w:rPr>
          <w:rFonts w:asciiTheme="majorHAnsi" w:hAnsiTheme="majorHAnsi"/>
          <w:spacing w:val="-2"/>
          <w:sz w:val="20"/>
          <w:szCs w:val="20"/>
        </w:rPr>
        <w:t xml:space="preserve"> </w:t>
      </w:r>
      <w:r w:rsidRPr="000977F7">
        <w:rPr>
          <w:rFonts w:asciiTheme="majorHAnsi" w:hAnsiTheme="majorHAnsi"/>
          <w:sz w:val="20"/>
          <w:szCs w:val="20"/>
        </w:rPr>
        <w:t>якої</w:t>
      </w:r>
      <w:r w:rsidRPr="000977F7">
        <w:rPr>
          <w:rFonts w:asciiTheme="majorHAnsi" w:hAnsiTheme="majorHAnsi"/>
          <w:spacing w:val="-2"/>
          <w:sz w:val="20"/>
          <w:szCs w:val="20"/>
        </w:rPr>
        <w:t xml:space="preserve"> </w:t>
      </w:r>
      <w:r w:rsidRPr="000977F7">
        <w:rPr>
          <w:rFonts w:asciiTheme="majorHAnsi" w:hAnsiTheme="majorHAnsi"/>
          <w:sz w:val="20"/>
          <w:szCs w:val="20"/>
        </w:rPr>
        <w:t>аналізують</w:t>
      </w:r>
    </w:p>
    <w:p w14:paraId="0B6EB74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АНАЛІЗ</w:t>
      </w:r>
      <w:r w:rsidRPr="000977F7">
        <w:rPr>
          <w:color w:val="auto"/>
          <w:spacing w:val="-5"/>
          <w:sz w:val="20"/>
          <w:szCs w:val="20"/>
        </w:rPr>
        <w:t xml:space="preserve"> </w:t>
      </w:r>
      <w:r w:rsidRPr="000977F7">
        <w:rPr>
          <w:color w:val="auto"/>
          <w:sz w:val="20"/>
          <w:szCs w:val="20"/>
        </w:rPr>
        <w:t>КОНТРАКТУ</w:t>
      </w:r>
      <w:r w:rsidRPr="000977F7">
        <w:rPr>
          <w:color w:val="auto"/>
          <w:spacing w:val="-3"/>
          <w:sz w:val="20"/>
          <w:szCs w:val="20"/>
        </w:rPr>
        <w:t xml:space="preserve"> </w:t>
      </w:r>
      <w:r w:rsidRPr="000977F7">
        <w:rPr>
          <w:color w:val="auto"/>
          <w:sz w:val="20"/>
          <w:szCs w:val="20"/>
        </w:rPr>
        <w:t>–</w:t>
      </w:r>
    </w:p>
    <w:p w14:paraId="317998F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CONTRACT</w:t>
      </w:r>
      <w:r w:rsidRPr="000977F7">
        <w:rPr>
          <w:rFonts w:asciiTheme="majorHAnsi" w:hAnsiTheme="majorHAnsi"/>
          <w:spacing w:val="-1"/>
          <w:sz w:val="20"/>
          <w:szCs w:val="20"/>
        </w:rPr>
        <w:t xml:space="preserve"> </w:t>
      </w:r>
      <w:r w:rsidRPr="000977F7">
        <w:rPr>
          <w:rFonts w:asciiTheme="majorHAnsi" w:hAnsiTheme="majorHAnsi"/>
          <w:sz w:val="20"/>
          <w:szCs w:val="20"/>
        </w:rPr>
        <w:t>REVIEW –</w:t>
      </w:r>
    </w:p>
    <w:p w14:paraId="20ED75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Систематична</w:t>
      </w:r>
      <w:r w:rsidRPr="000977F7">
        <w:rPr>
          <w:rFonts w:asciiTheme="majorHAnsi" w:hAnsiTheme="majorHAnsi"/>
          <w:spacing w:val="1"/>
          <w:sz w:val="20"/>
          <w:szCs w:val="20"/>
        </w:rPr>
        <w:t xml:space="preserve"> </w:t>
      </w:r>
      <w:r w:rsidRPr="000977F7">
        <w:rPr>
          <w:rFonts w:asciiTheme="majorHAnsi" w:hAnsiTheme="majorHAnsi"/>
          <w:sz w:val="20"/>
          <w:szCs w:val="20"/>
        </w:rPr>
        <w:t>діяльність,</w:t>
      </w:r>
      <w:r w:rsidRPr="000977F7">
        <w:rPr>
          <w:rFonts w:asciiTheme="majorHAnsi" w:hAnsiTheme="majorHAnsi"/>
          <w:spacing w:val="1"/>
          <w:sz w:val="20"/>
          <w:szCs w:val="20"/>
        </w:rPr>
        <w:t xml:space="preserve"> </w:t>
      </w:r>
      <w:r w:rsidRPr="000977F7">
        <w:rPr>
          <w:rFonts w:asciiTheme="majorHAnsi" w:hAnsiTheme="majorHAnsi"/>
          <w:sz w:val="20"/>
          <w:szCs w:val="20"/>
        </w:rPr>
        <w:t>здійснювана</w:t>
      </w:r>
      <w:r w:rsidRPr="000977F7">
        <w:rPr>
          <w:rFonts w:asciiTheme="majorHAnsi" w:hAnsiTheme="majorHAnsi"/>
          <w:spacing w:val="1"/>
          <w:sz w:val="20"/>
          <w:szCs w:val="20"/>
        </w:rPr>
        <w:t xml:space="preserve"> </w:t>
      </w:r>
      <w:r w:rsidRPr="000977F7">
        <w:rPr>
          <w:rFonts w:asciiTheme="majorHAnsi" w:hAnsiTheme="majorHAnsi"/>
          <w:sz w:val="20"/>
          <w:szCs w:val="20"/>
        </w:rPr>
        <w:t>постачальником</w:t>
      </w:r>
      <w:r w:rsidRPr="000977F7">
        <w:rPr>
          <w:rFonts w:asciiTheme="majorHAnsi" w:hAnsiTheme="majorHAnsi"/>
          <w:spacing w:val="17"/>
          <w:sz w:val="20"/>
          <w:szCs w:val="20"/>
        </w:rPr>
        <w:t xml:space="preserve"> </w:t>
      </w:r>
      <w:r w:rsidRPr="000977F7">
        <w:rPr>
          <w:rFonts w:asciiTheme="majorHAnsi" w:hAnsiTheme="majorHAnsi"/>
          <w:sz w:val="20"/>
          <w:szCs w:val="20"/>
        </w:rPr>
        <w:t>перед</w:t>
      </w:r>
      <w:r w:rsidRPr="000977F7">
        <w:rPr>
          <w:rFonts w:asciiTheme="majorHAnsi" w:hAnsiTheme="majorHAnsi"/>
          <w:spacing w:val="17"/>
          <w:sz w:val="20"/>
          <w:szCs w:val="20"/>
        </w:rPr>
        <w:t xml:space="preserve"> </w:t>
      </w:r>
      <w:r w:rsidRPr="000977F7">
        <w:rPr>
          <w:rFonts w:asciiTheme="majorHAnsi" w:hAnsiTheme="majorHAnsi"/>
          <w:sz w:val="20"/>
          <w:szCs w:val="20"/>
        </w:rPr>
        <w:t>підписанням</w:t>
      </w:r>
      <w:r w:rsidRPr="000977F7">
        <w:rPr>
          <w:rFonts w:asciiTheme="majorHAnsi" w:hAnsiTheme="majorHAnsi"/>
          <w:spacing w:val="17"/>
          <w:sz w:val="20"/>
          <w:szCs w:val="20"/>
        </w:rPr>
        <w:t xml:space="preserve"> </w:t>
      </w:r>
      <w:r w:rsidRPr="000977F7">
        <w:rPr>
          <w:rFonts w:asciiTheme="majorHAnsi" w:hAnsiTheme="majorHAnsi"/>
          <w:sz w:val="20"/>
          <w:szCs w:val="20"/>
        </w:rPr>
        <w:t>контракту,</w:t>
      </w:r>
      <w:r w:rsidRPr="000977F7">
        <w:rPr>
          <w:rFonts w:asciiTheme="majorHAnsi" w:hAnsiTheme="majorHAnsi"/>
          <w:spacing w:val="18"/>
          <w:sz w:val="20"/>
          <w:szCs w:val="20"/>
        </w:rPr>
        <w:t xml:space="preserve"> </w:t>
      </w:r>
      <w:r w:rsidRPr="000977F7">
        <w:rPr>
          <w:rFonts w:asciiTheme="majorHAnsi" w:hAnsiTheme="majorHAnsi"/>
          <w:sz w:val="20"/>
          <w:szCs w:val="20"/>
        </w:rPr>
        <w:t>щоб</w:t>
      </w:r>
      <w:r w:rsidRPr="000977F7">
        <w:rPr>
          <w:rFonts w:asciiTheme="majorHAnsi" w:hAnsiTheme="majorHAnsi"/>
          <w:spacing w:val="18"/>
          <w:sz w:val="20"/>
          <w:szCs w:val="20"/>
        </w:rPr>
        <w:t xml:space="preserve"> </w:t>
      </w:r>
      <w:r w:rsidRPr="000977F7">
        <w:rPr>
          <w:rFonts w:asciiTheme="majorHAnsi" w:hAnsiTheme="majorHAnsi"/>
          <w:sz w:val="20"/>
          <w:szCs w:val="20"/>
        </w:rPr>
        <w:t>переконатися</w:t>
      </w:r>
      <w:r w:rsidRPr="000977F7">
        <w:rPr>
          <w:rFonts w:asciiTheme="majorHAnsi" w:hAnsiTheme="majorHAnsi"/>
          <w:spacing w:val="-47"/>
          <w:sz w:val="20"/>
          <w:szCs w:val="20"/>
        </w:rPr>
        <w:t xml:space="preserve"> </w:t>
      </w:r>
      <w:r w:rsidRPr="000977F7">
        <w:rPr>
          <w:rFonts w:asciiTheme="majorHAnsi" w:hAnsiTheme="majorHAnsi"/>
          <w:sz w:val="20"/>
          <w:szCs w:val="20"/>
        </w:rPr>
        <w:t>у тому, що вимоги до якості</w:t>
      </w:r>
      <w:r w:rsidRPr="000977F7">
        <w:rPr>
          <w:rFonts w:asciiTheme="majorHAnsi" w:hAnsiTheme="majorHAnsi"/>
          <w:spacing w:val="1"/>
          <w:sz w:val="20"/>
          <w:szCs w:val="20"/>
        </w:rPr>
        <w:t xml:space="preserve"> </w:t>
      </w:r>
      <w:r w:rsidRPr="000977F7">
        <w:rPr>
          <w:rFonts w:asciiTheme="majorHAnsi" w:hAnsiTheme="majorHAnsi"/>
          <w:sz w:val="20"/>
          <w:szCs w:val="20"/>
        </w:rPr>
        <w:t>достеменно визначені,</w:t>
      </w:r>
      <w:r w:rsidRPr="000977F7">
        <w:rPr>
          <w:rFonts w:asciiTheme="majorHAnsi" w:hAnsiTheme="majorHAnsi"/>
          <w:spacing w:val="1"/>
          <w:sz w:val="20"/>
          <w:szCs w:val="20"/>
        </w:rPr>
        <w:t xml:space="preserve"> </w:t>
      </w:r>
      <w:r w:rsidRPr="000977F7">
        <w:rPr>
          <w:rFonts w:asciiTheme="majorHAnsi" w:hAnsiTheme="majorHAnsi"/>
          <w:sz w:val="20"/>
          <w:szCs w:val="20"/>
        </w:rPr>
        <w:t>позбавлені двозначності, документально оформлені і</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2"/>
          <w:sz w:val="20"/>
          <w:szCs w:val="20"/>
        </w:rPr>
        <w:t xml:space="preserve"> </w:t>
      </w:r>
      <w:r w:rsidRPr="000977F7">
        <w:rPr>
          <w:rFonts w:asciiTheme="majorHAnsi" w:hAnsiTheme="majorHAnsi"/>
          <w:sz w:val="20"/>
          <w:szCs w:val="20"/>
        </w:rPr>
        <w:t>виконані</w:t>
      </w:r>
      <w:r w:rsidRPr="000977F7">
        <w:rPr>
          <w:rFonts w:asciiTheme="majorHAnsi" w:hAnsiTheme="majorHAnsi"/>
          <w:spacing w:val="2"/>
          <w:sz w:val="20"/>
          <w:szCs w:val="20"/>
        </w:rPr>
        <w:t xml:space="preserve"> </w:t>
      </w:r>
      <w:r w:rsidRPr="000977F7">
        <w:rPr>
          <w:rFonts w:asciiTheme="majorHAnsi" w:hAnsiTheme="majorHAnsi"/>
          <w:sz w:val="20"/>
          <w:szCs w:val="20"/>
        </w:rPr>
        <w:t>постачальником</w:t>
      </w:r>
    </w:p>
    <w:p w14:paraId="50C827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29A793D5" w14:textId="77777777" w:rsidR="0097612F" w:rsidRPr="000977F7" w:rsidRDefault="0097612F" w:rsidP="00FD39A4">
      <w:pPr>
        <w:pStyle w:val="ac"/>
        <w:widowControl w:val="0"/>
        <w:numPr>
          <w:ilvl w:val="0"/>
          <w:numId w:val="224"/>
        </w:numPr>
        <w:tabs>
          <w:tab w:val="left" w:pos="284"/>
          <w:tab w:val="left" w:pos="67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 xml:space="preserve">Аналіз контракту є обов’язком постачальника, але </w:t>
      </w:r>
      <w:r w:rsidRPr="000977F7">
        <w:rPr>
          <w:rFonts w:asciiTheme="majorHAnsi" w:hAnsiTheme="majorHAnsi"/>
          <w:spacing w:val="-47"/>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проводитися</w:t>
      </w:r>
      <w:r w:rsidRPr="000977F7">
        <w:rPr>
          <w:rFonts w:asciiTheme="majorHAnsi" w:hAnsiTheme="majorHAnsi"/>
          <w:spacing w:val="-2"/>
          <w:sz w:val="20"/>
          <w:szCs w:val="20"/>
        </w:rPr>
        <w:t xml:space="preserve"> </w:t>
      </w:r>
      <w:r w:rsidRPr="000977F7">
        <w:rPr>
          <w:rFonts w:asciiTheme="majorHAnsi" w:hAnsiTheme="majorHAnsi"/>
          <w:sz w:val="20"/>
          <w:szCs w:val="20"/>
        </w:rPr>
        <w:t>разом із споживачем</w:t>
      </w:r>
    </w:p>
    <w:p w14:paraId="1CDF26C0" w14:textId="77777777" w:rsidR="0097612F" w:rsidRPr="000977F7" w:rsidRDefault="0097612F" w:rsidP="00FD39A4">
      <w:pPr>
        <w:pStyle w:val="ac"/>
        <w:widowControl w:val="0"/>
        <w:numPr>
          <w:ilvl w:val="0"/>
          <w:numId w:val="224"/>
        </w:numPr>
        <w:tabs>
          <w:tab w:val="left" w:pos="284"/>
          <w:tab w:val="left" w:pos="67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Аналіз контракту в разі потреби можна повторювати на різних</w:t>
      </w:r>
      <w:r w:rsidRPr="000977F7">
        <w:rPr>
          <w:rFonts w:asciiTheme="majorHAnsi" w:hAnsiTheme="majorHAnsi"/>
          <w:spacing w:val="-1"/>
          <w:sz w:val="20"/>
          <w:szCs w:val="20"/>
        </w:rPr>
        <w:t xml:space="preserve"> </w:t>
      </w:r>
      <w:r w:rsidRPr="000977F7">
        <w:rPr>
          <w:rFonts w:asciiTheme="majorHAnsi" w:hAnsiTheme="majorHAnsi"/>
          <w:sz w:val="20"/>
          <w:szCs w:val="20"/>
        </w:rPr>
        <w:t>стадіях</w:t>
      </w:r>
    </w:p>
    <w:p w14:paraId="37DE5B75"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DEPENDABILITY</w:t>
      </w:r>
      <w:r w:rsidRPr="000977F7">
        <w:rPr>
          <w:rFonts w:asciiTheme="majorHAnsi" w:hAnsiTheme="majorHAnsi"/>
          <w:spacing w:val="-3"/>
          <w:sz w:val="20"/>
          <w:szCs w:val="20"/>
        </w:rPr>
        <w:t xml:space="preserve"> </w:t>
      </w:r>
      <w:r w:rsidRPr="000977F7">
        <w:rPr>
          <w:rFonts w:asciiTheme="majorHAnsi" w:hAnsiTheme="majorHAnsi"/>
          <w:sz w:val="20"/>
          <w:szCs w:val="20"/>
        </w:rPr>
        <w:t>ANALYSIS</w:t>
      </w:r>
      <w:r w:rsidRPr="000977F7">
        <w:rPr>
          <w:rFonts w:asciiTheme="majorHAnsi" w:hAnsiTheme="majorHAnsi"/>
          <w:spacing w:val="-1"/>
          <w:sz w:val="20"/>
          <w:szCs w:val="20"/>
        </w:rPr>
        <w:t xml:space="preserve"> </w:t>
      </w:r>
      <w:r w:rsidRPr="000977F7">
        <w:rPr>
          <w:rFonts w:asciiTheme="majorHAnsi" w:hAnsiTheme="majorHAnsi"/>
          <w:i/>
          <w:sz w:val="20"/>
          <w:szCs w:val="20"/>
        </w:rPr>
        <w:t>–</w:t>
      </w:r>
    </w:p>
    <w:p w14:paraId="68676A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Систематизоване</w:t>
      </w:r>
      <w:r w:rsidRPr="000977F7">
        <w:rPr>
          <w:rFonts w:asciiTheme="majorHAnsi" w:hAnsiTheme="majorHAnsi"/>
          <w:spacing w:val="1"/>
          <w:sz w:val="20"/>
          <w:szCs w:val="20"/>
        </w:rPr>
        <w:t xml:space="preserve"> </w:t>
      </w:r>
      <w:r w:rsidRPr="000977F7">
        <w:rPr>
          <w:rFonts w:asciiTheme="majorHAnsi" w:hAnsiTheme="majorHAnsi"/>
          <w:sz w:val="20"/>
          <w:szCs w:val="20"/>
        </w:rPr>
        <w:t>дослідження</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метою</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впливу на надійність об’єкта особливостей конструкції,</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технологічних</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умов</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spacing w:val="-47"/>
          <w:sz w:val="20"/>
          <w:szCs w:val="20"/>
        </w:rPr>
        <w:t xml:space="preserve"> </w:t>
      </w:r>
      <w:r w:rsidRPr="000977F7">
        <w:rPr>
          <w:rFonts w:asciiTheme="majorHAnsi" w:hAnsiTheme="majorHAnsi"/>
          <w:sz w:val="20"/>
          <w:szCs w:val="20"/>
        </w:rPr>
        <w:t>також визначення досягнутого рівня надійності при</w:t>
      </w:r>
      <w:r w:rsidRPr="000977F7">
        <w:rPr>
          <w:rFonts w:asciiTheme="majorHAnsi" w:hAnsiTheme="majorHAnsi"/>
          <w:spacing w:val="1"/>
          <w:sz w:val="20"/>
          <w:szCs w:val="20"/>
        </w:rPr>
        <w:t xml:space="preserve"> </w:t>
      </w:r>
      <w:r w:rsidRPr="000977F7">
        <w:rPr>
          <w:rFonts w:asciiTheme="majorHAnsi" w:hAnsiTheme="majorHAnsi"/>
          <w:sz w:val="20"/>
          <w:szCs w:val="20"/>
        </w:rPr>
        <w:t>виконанні запланованих заходів щодо забезпечення і</w:t>
      </w:r>
      <w:r w:rsidRPr="000977F7">
        <w:rPr>
          <w:rFonts w:asciiTheme="majorHAnsi" w:hAnsiTheme="majorHAnsi"/>
          <w:spacing w:val="1"/>
          <w:sz w:val="20"/>
          <w:szCs w:val="20"/>
        </w:rPr>
        <w:t xml:space="preserve"> </w:t>
      </w:r>
      <w:r w:rsidRPr="000977F7">
        <w:rPr>
          <w:rFonts w:asciiTheme="majorHAnsi" w:hAnsiTheme="majorHAnsi"/>
          <w:sz w:val="20"/>
          <w:szCs w:val="20"/>
        </w:rPr>
        <w:t>підвищення</w:t>
      </w:r>
      <w:r w:rsidRPr="000977F7">
        <w:rPr>
          <w:rFonts w:asciiTheme="majorHAnsi" w:hAnsiTheme="majorHAnsi"/>
          <w:spacing w:val="1"/>
          <w:sz w:val="20"/>
          <w:szCs w:val="20"/>
        </w:rPr>
        <w:t xml:space="preserve"> </w:t>
      </w:r>
      <w:r w:rsidRPr="000977F7">
        <w:rPr>
          <w:rFonts w:asciiTheme="majorHAnsi" w:hAnsiTheme="majorHAnsi"/>
          <w:sz w:val="20"/>
          <w:szCs w:val="20"/>
        </w:rPr>
        <w:t>надійності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оцінка</w:t>
      </w:r>
      <w:r w:rsidRPr="000977F7">
        <w:rPr>
          <w:rFonts w:asciiTheme="majorHAnsi" w:hAnsiTheme="majorHAnsi"/>
          <w:spacing w:val="1"/>
          <w:sz w:val="20"/>
          <w:szCs w:val="20"/>
        </w:rPr>
        <w:t xml:space="preserve"> </w:t>
      </w:r>
      <w:r w:rsidRPr="000977F7">
        <w:rPr>
          <w:rFonts w:asciiTheme="majorHAnsi" w:hAnsiTheme="majorHAnsi"/>
          <w:sz w:val="20"/>
          <w:szCs w:val="20"/>
        </w:rPr>
        <w:t>ефективності</w:t>
      </w:r>
      <w:r w:rsidRPr="000977F7">
        <w:rPr>
          <w:rFonts w:asciiTheme="majorHAnsi" w:hAnsiTheme="majorHAnsi"/>
          <w:spacing w:val="1"/>
          <w:sz w:val="20"/>
          <w:szCs w:val="20"/>
        </w:rPr>
        <w:t xml:space="preserve"> </w:t>
      </w:r>
      <w:r w:rsidRPr="000977F7">
        <w:rPr>
          <w:rFonts w:asciiTheme="majorHAnsi" w:hAnsiTheme="majorHAnsi"/>
          <w:sz w:val="20"/>
          <w:szCs w:val="20"/>
        </w:rPr>
        <w:t>цих</w:t>
      </w:r>
      <w:r w:rsidRPr="000977F7">
        <w:rPr>
          <w:rFonts w:asciiTheme="majorHAnsi" w:hAnsiTheme="majorHAnsi"/>
          <w:spacing w:val="1"/>
          <w:sz w:val="20"/>
          <w:szCs w:val="20"/>
        </w:rPr>
        <w:t xml:space="preserve"> </w:t>
      </w:r>
      <w:r w:rsidRPr="000977F7">
        <w:rPr>
          <w:rFonts w:asciiTheme="majorHAnsi" w:hAnsiTheme="majorHAnsi"/>
          <w:sz w:val="20"/>
          <w:szCs w:val="20"/>
        </w:rPr>
        <w:t>заходів</w:t>
      </w:r>
    </w:p>
    <w:p w14:paraId="6279F9E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C74867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АНАЛІЗ НЕВІДПОВІДНОСТІ І ПОВОДЖЕННЯ З НЕЮ –</w:t>
      </w:r>
    </w:p>
    <w:p w14:paraId="1D57F0AE" w14:textId="77777777" w:rsidR="0097612F" w:rsidRPr="002E19DF" w:rsidRDefault="0097612F" w:rsidP="000977F7">
      <w:pPr>
        <w:pStyle w:val="af6"/>
        <w:tabs>
          <w:tab w:val="left" w:pos="284"/>
        </w:tabs>
        <w:spacing w:after="0"/>
        <w:ind w:left="170"/>
        <w:mirrorIndents/>
        <w:jc w:val="both"/>
        <w:rPr>
          <w:rFonts w:asciiTheme="majorHAnsi" w:hAnsiTheme="majorHAnsi"/>
          <w:sz w:val="20"/>
          <w:szCs w:val="20"/>
          <w:lang w:val="uk-UA"/>
        </w:rPr>
      </w:pPr>
      <w:r w:rsidRPr="002E19DF">
        <w:rPr>
          <w:rFonts w:asciiTheme="majorHAnsi" w:hAnsiTheme="majorHAnsi"/>
          <w:sz w:val="20"/>
          <w:szCs w:val="20"/>
          <w:lang w:val="uk-UA"/>
        </w:rPr>
        <w:t>Організація</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повинна</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аналізувати</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невідповідності</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і</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визначати дії,</w:t>
      </w:r>
      <w:r w:rsidRPr="002E19DF">
        <w:rPr>
          <w:rFonts w:asciiTheme="majorHAnsi" w:hAnsiTheme="majorHAnsi"/>
          <w:spacing w:val="-1"/>
          <w:sz w:val="20"/>
          <w:szCs w:val="20"/>
          <w:lang w:val="uk-UA"/>
        </w:rPr>
        <w:t xml:space="preserve"> </w:t>
      </w:r>
      <w:r w:rsidRPr="002E19DF">
        <w:rPr>
          <w:rFonts w:asciiTheme="majorHAnsi" w:hAnsiTheme="majorHAnsi"/>
          <w:sz w:val="20"/>
          <w:szCs w:val="20"/>
          <w:lang w:val="uk-UA"/>
        </w:rPr>
        <w:t>які необхідно застосовувати.</w:t>
      </w:r>
    </w:p>
    <w:p w14:paraId="51B90E8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Невідповідні продукція і (або) послуги повинні бути:</w:t>
      </w:r>
    </w:p>
    <w:p w14:paraId="436EA6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виправлені або відрегульовані так, щоб відповідати</w:t>
      </w:r>
      <w:r w:rsidRPr="000977F7">
        <w:rPr>
          <w:rFonts w:asciiTheme="majorHAnsi" w:hAnsiTheme="majorHAnsi"/>
          <w:spacing w:val="1"/>
          <w:sz w:val="20"/>
          <w:szCs w:val="20"/>
        </w:rPr>
        <w:t xml:space="preserve"> </w:t>
      </w:r>
      <w:r w:rsidRPr="000977F7">
        <w:rPr>
          <w:rFonts w:asciiTheme="majorHAnsi" w:hAnsiTheme="majorHAnsi"/>
          <w:sz w:val="20"/>
          <w:szCs w:val="20"/>
        </w:rPr>
        <w:t>вимогам;</w:t>
      </w:r>
    </w:p>
    <w:p w14:paraId="06F5B6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 прийняті з відступленням, з виправленням або без</w:t>
      </w:r>
      <w:r w:rsidRPr="000977F7">
        <w:rPr>
          <w:rFonts w:asciiTheme="majorHAnsi" w:hAnsiTheme="majorHAnsi"/>
          <w:spacing w:val="1"/>
          <w:sz w:val="20"/>
          <w:szCs w:val="20"/>
        </w:rPr>
        <w:t xml:space="preserve"> </w:t>
      </w:r>
      <w:r w:rsidRPr="000977F7">
        <w:rPr>
          <w:rFonts w:asciiTheme="majorHAnsi" w:hAnsiTheme="majorHAnsi"/>
          <w:sz w:val="20"/>
          <w:szCs w:val="20"/>
        </w:rPr>
        <w:t>нього;</w:t>
      </w:r>
    </w:p>
    <w:p w14:paraId="1B5F2D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 переспрямовані</w:t>
      </w:r>
      <w:r w:rsidRPr="000977F7">
        <w:rPr>
          <w:rFonts w:asciiTheme="majorHAnsi" w:hAnsiTheme="majorHAnsi"/>
          <w:spacing w:val="1"/>
          <w:sz w:val="20"/>
          <w:szCs w:val="20"/>
        </w:rPr>
        <w:t xml:space="preserve"> </w:t>
      </w:r>
      <w:r w:rsidRPr="000977F7">
        <w:rPr>
          <w:rFonts w:asciiTheme="majorHAnsi" w:hAnsiTheme="majorHAnsi"/>
          <w:sz w:val="20"/>
          <w:szCs w:val="20"/>
        </w:rPr>
        <w:t>для іншого</w:t>
      </w:r>
      <w:r w:rsidRPr="000977F7">
        <w:rPr>
          <w:rFonts w:asciiTheme="majorHAnsi" w:hAnsiTheme="majorHAnsi"/>
          <w:spacing w:val="1"/>
          <w:sz w:val="20"/>
          <w:szCs w:val="20"/>
        </w:rPr>
        <w:t xml:space="preserve"> </w:t>
      </w:r>
      <w:r w:rsidRPr="000977F7">
        <w:rPr>
          <w:rFonts w:asciiTheme="majorHAnsi" w:hAnsiTheme="majorHAnsi"/>
          <w:sz w:val="20"/>
          <w:szCs w:val="20"/>
        </w:rPr>
        <w:t>правильного</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p>
    <w:p w14:paraId="2D620BB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w:t>
      </w:r>
      <w:r w:rsidRPr="000977F7">
        <w:rPr>
          <w:rFonts w:asciiTheme="majorHAnsi" w:hAnsiTheme="majorHAnsi"/>
          <w:spacing w:val="-4"/>
          <w:sz w:val="20"/>
          <w:szCs w:val="20"/>
        </w:rPr>
        <w:t xml:space="preserve"> </w:t>
      </w:r>
      <w:r w:rsidRPr="000977F7">
        <w:rPr>
          <w:rFonts w:asciiTheme="majorHAnsi" w:hAnsiTheme="majorHAnsi"/>
          <w:sz w:val="20"/>
          <w:szCs w:val="20"/>
        </w:rPr>
        <w:t>відхиленні</w:t>
      </w:r>
      <w:r w:rsidRPr="000977F7">
        <w:rPr>
          <w:rFonts w:asciiTheme="majorHAnsi" w:hAnsiTheme="majorHAnsi"/>
          <w:spacing w:val="-4"/>
          <w:sz w:val="20"/>
          <w:szCs w:val="20"/>
        </w:rPr>
        <w:t xml:space="preserve"> </w:t>
      </w:r>
      <w:r w:rsidRPr="000977F7">
        <w:rPr>
          <w:rFonts w:asciiTheme="majorHAnsi" w:hAnsiTheme="majorHAnsi"/>
          <w:sz w:val="20"/>
          <w:szCs w:val="20"/>
        </w:rPr>
        <w:t>як</w:t>
      </w:r>
      <w:r w:rsidRPr="000977F7">
        <w:rPr>
          <w:rFonts w:asciiTheme="majorHAnsi" w:hAnsiTheme="majorHAnsi"/>
          <w:spacing w:val="-5"/>
          <w:sz w:val="20"/>
          <w:szCs w:val="20"/>
        </w:rPr>
        <w:t xml:space="preserve"> </w:t>
      </w:r>
      <w:r w:rsidRPr="000977F7">
        <w:rPr>
          <w:rFonts w:asciiTheme="majorHAnsi" w:hAnsiTheme="majorHAnsi"/>
          <w:sz w:val="20"/>
          <w:szCs w:val="20"/>
        </w:rPr>
        <w:t>непридатні.</w:t>
      </w:r>
    </w:p>
    <w:p w14:paraId="2568B23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Повинні бути визначенні відповідальність та пов-новаження</w:t>
      </w:r>
      <w:r w:rsidRPr="000977F7">
        <w:rPr>
          <w:rFonts w:asciiTheme="majorHAnsi" w:hAnsiTheme="majorHAnsi"/>
          <w:spacing w:val="1"/>
          <w:sz w:val="20"/>
          <w:szCs w:val="20"/>
        </w:rPr>
        <w:t xml:space="preserve"> </w:t>
      </w:r>
      <w:r w:rsidRPr="000977F7">
        <w:rPr>
          <w:rFonts w:asciiTheme="majorHAnsi" w:hAnsiTheme="majorHAnsi"/>
          <w:sz w:val="20"/>
          <w:szCs w:val="20"/>
        </w:rPr>
        <w:t>для аналізу невідповідностей</w:t>
      </w:r>
      <w:r w:rsidRPr="000977F7">
        <w:rPr>
          <w:rFonts w:asciiTheme="majorHAnsi" w:hAnsiTheme="majorHAnsi"/>
          <w:spacing w:val="1"/>
          <w:sz w:val="20"/>
          <w:szCs w:val="20"/>
        </w:rPr>
        <w:t xml:space="preserve"> </w:t>
      </w:r>
      <w:r w:rsidRPr="000977F7">
        <w:rPr>
          <w:rFonts w:asciiTheme="majorHAnsi" w:hAnsiTheme="majorHAnsi"/>
          <w:sz w:val="20"/>
          <w:szCs w:val="20"/>
        </w:rPr>
        <w:t>та прийняття</w:t>
      </w:r>
      <w:r w:rsidRPr="000977F7">
        <w:rPr>
          <w:rFonts w:asciiTheme="majorHAnsi" w:hAnsiTheme="majorHAnsi"/>
          <w:spacing w:val="1"/>
          <w:sz w:val="20"/>
          <w:szCs w:val="20"/>
        </w:rPr>
        <w:t xml:space="preserve"> </w:t>
      </w:r>
      <w:r w:rsidRPr="000977F7">
        <w:rPr>
          <w:rFonts w:asciiTheme="majorHAnsi" w:hAnsiTheme="majorHAnsi"/>
          <w:sz w:val="20"/>
          <w:szCs w:val="20"/>
        </w:rPr>
        <w:t>рішень</w:t>
      </w:r>
      <w:r w:rsidRPr="000977F7">
        <w:rPr>
          <w:rFonts w:asciiTheme="majorHAnsi" w:hAnsiTheme="majorHAnsi"/>
          <w:spacing w:val="-2"/>
          <w:sz w:val="20"/>
          <w:szCs w:val="20"/>
        </w:rPr>
        <w:t xml:space="preserve"> </w:t>
      </w:r>
      <w:r w:rsidRPr="000977F7">
        <w:rPr>
          <w:rFonts w:asciiTheme="majorHAnsi" w:hAnsiTheme="majorHAnsi"/>
          <w:sz w:val="20"/>
          <w:szCs w:val="20"/>
        </w:rPr>
        <w:t>щодо них.</w:t>
      </w:r>
    </w:p>
    <w:p w14:paraId="3C88D0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Коли це вимагається контрактом, про запропоноване</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 або ремонт невідповідної продукції, або</w:t>
      </w:r>
      <w:r w:rsidRPr="000977F7">
        <w:rPr>
          <w:rFonts w:asciiTheme="majorHAnsi" w:hAnsiTheme="majorHAnsi"/>
          <w:spacing w:val="1"/>
          <w:sz w:val="20"/>
          <w:szCs w:val="20"/>
        </w:rPr>
        <w:t xml:space="preserve"> </w:t>
      </w:r>
      <w:r w:rsidRPr="000977F7">
        <w:rPr>
          <w:rFonts w:asciiTheme="majorHAnsi" w:hAnsiTheme="majorHAnsi"/>
          <w:sz w:val="20"/>
          <w:szCs w:val="20"/>
        </w:rPr>
        <w:t>надання</w:t>
      </w:r>
      <w:r w:rsidRPr="000977F7">
        <w:rPr>
          <w:rFonts w:asciiTheme="majorHAnsi" w:hAnsiTheme="majorHAnsi"/>
          <w:spacing w:val="26"/>
          <w:sz w:val="20"/>
          <w:szCs w:val="20"/>
        </w:rPr>
        <w:t xml:space="preserve"> </w:t>
      </w:r>
      <w:r w:rsidRPr="000977F7">
        <w:rPr>
          <w:rFonts w:asciiTheme="majorHAnsi" w:hAnsiTheme="majorHAnsi"/>
          <w:sz w:val="20"/>
          <w:szCs w:val="20"/>
        </w:rPr>
        <w:t>невідповідної</w:t>
      </w:r>
      <w:r w:rsidRPr="000977F7">
        <w:rPr>
          <w:rFonts w:asciiTheme="majorHAnsi" w:hAnsiTheme="majorHAnsi"/>
          <w:spacing w:val="26"/>
          <w:sz w:val="20"/>
          <w:szCs w:val="20"/>
        </w:rPr>
        <w:t xml:space="preserve"> </w:t>
      </w:r>
      <w:r w:rsidRPr="000977F7">
        <w:rPr>
          <w:rFonts w:asciiTheme="majorHAnsi" w:hAnsiTheme="majorHAnsi"/>
          <w:sz w:val="20"/>
          <w:szCs w:val="20"/>
        </w:rPr>
        <w:t>або</w:t>
      </w:r>
      <w:r w:rsidRPr="000977F7">
        <w:rPr>
          <w:rFonts w:asciiTheme="majorHAnsi" w:hAnsiTheme="majorHAnsi"/>
          <w:spacing w:val="30"/>
          <w:sz w:val="20"/>
          <w:szCs w:val="20"/>
        </w:rPr>
        <w:t xml:space="preserve"> </w:t>
      </w:r>
      <w:r w:rsidRPr="000977F7">
        <w:rPr>
          <w:rFonts w:asciiTheme="majorHAnsi" w:hAnsiTheme="majorHAnsi"/>
          <w:sz w:val="20"/>
          <w:szCs w:val="20"/>
        </w:rPr>
        <w:t>модифікованої</w:t>
      </w:r>
      <w:r w:rsidRPr="000977F7">
        <w:rPr>
          <w:rFonts w:asciiTheme="majorHAnsi" w:hAnsiTheme="majorHAnsi"/>
          <w:spacing w:val="26"/>
          <w:sz w:val="20"/>
          <w:szCs w:val="20"/>
        </w:rPr>
        <w:t xml:space="preserve"> </w:t>
      </w:r>
      <w:r w:rsidRPr="000977F7">
        <w:rPr>
          <w:rFonts w:asciiTheme="majorHAnsi" w:hAnsiTheme="majorHAnsi"/>
          <w:sz w:val="20"/>
          <w:szCs w:val="20"/>
        </w:rPr>
        <w:t>послуги,</w:t>
      </w:r>
    </w:p>
    <w:p w14:paraId="67B5876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повинно</w:t>
      </w:r>
      <w:r w:rsidRPr="000977F7">
        <w:rPr>
          <w:rFonts w:asciiTheme="majorHAnsi" w:hAnsiTheme="majorHAnsi"/>
          <w:spacing w:val="14"/>
          <w:sz w:val="20"/>
          <w:szCs w:val="20"/>
        </w:rPr>
        <w:t xml:space="preserve"> </w:t>
      </w:r>
      <w:r w:rsidRPr="000977F7">
        <w:rPr>
          <w:rFonts w:asciiTheme="majorHAnsi" w:hAnsiTheme="majorHAnsi"/>
          <w:sz w:val="20"/>
          <w:szCs w:val="20"/>
        </w:rPr>
        <w:t>бути</w:t>
      </w:r>
      <w:r w:rsidRPr="000977F7">
        <w:rPr>
          <w:rFonts w:asciiTheme="majorHAnsi" w:hAnsiTheme="majorHAnsi"/>
          <w:spacing w:val="13"/>
          <w:sz w:val="20"/>
          <w:szCs w:val="20"/>
        </w:rPr>
        <w:t xml:space="preserve"> </w:t>
      </w:r>
      <w:r w:rsidRPr="000977F7">
        <w:rPr>
          <w:rFonts w:asciiTheme="majorHAnsi" w:hAnsiTheme="majorHAnsi"/>
          <w:sz w:val="20"/>
          <w:szCs w:val="20"/>
        </w:rPr>
        <w:t>здійснене</w:t>
      </w:r>
      <w:r w:rsidRPr="000977F7">
        <w:rPr>
          <w:rFonts w:asciiTheme="majorHAnsi" w:hAnsiTheme="majorHAnsi"/>
          <w:spacing w:val="14"/>
          <w:sz w:val="20"/>
          <w:szCs w:val="20"/>
        </w:rPr>
        <w:t xml:space="preserve"> </w:t>
      </w:r>
      <w:r w:rsidRPr="000977F7">
        <w:rPr>
          <w:rFonts w:asciiTheme="majorHAnsi" w:hAnsiTheme="majorHAnsi"/>
          <w:sz w:val="20"/>
          <w:szCs w:val="20"/>
        </w:rPr>
        <w:t>повідомлення</w:t>
      </w:r>
      <w:r w:rsidRPr="000977F7">
        <w:rPr>
          <w:rFonts w:asciiTheme="majorHAnsi" w:hAnsiTheme="majorHAnsi"/>
          <w:spacing w:val="11"/>
          <w:sz w:val="20"/>
          <w:szCs w:val="20"/>
        </w:rPr>
        <w:t xml:space="preserve"> </w:t>
      </w:r>
      <w:r w:rsidRPr="000977F7">
        <w:rPr>
          <w:rFonts w:asciiTheme="majorHAnsi" w:hAnsiTheme="majorHAnsi"/>
          <w:sz w:val="20"/>
          <w:szCs w:val="20"/>
        </w:rPr>
        <w:t>споживачу</w:t>
      </w:r>
      <w:r w:rsidRPr="000977F7">
        <w:rPr>
          <w:rFonts w:asciiTheme="majorHAnsi" w:hAnsiTheme="majorHAnsi"/>
          <w:spacing w:val="10"/>
          <w:sz w:val="20"/>
          <w:szCs w:val="20"/>
        </w:rPr>
        <w:t xml:space="preserve"> </w:t>
      </w:r>
      <w:r w:rsidRPr="000977F7">
        <w:rPr>
          <w:rFonts w:asciiTheme="majorHAnsi" w:hAnsiTheme="majorHAnsi"/>
          <w:sz w:val="20"/>
          <w:szCs w:val="20"/>
        </w:rPr>
        <w:t>для</w:t>
      </w:r>
      <w:r w:rsidRPr="000977F7">
        <w:rPr>
          <w:rFonts w:asciiTheme="majorHAnsi" w:hAnsiTheme="majorHAnsi"/>
          <w:spacing w:val="-47"/>
          <w:sz w:val="20"/>
          <w:szCs w:val="20"/>
        </w:rPr>
        <w:t xml:space="preserve"> </w:t>
      </w:r>
      <w:r w:rsidRPr="000977F7">
        <w:rPr>
          <w:rFonts w:asciiTheme="majorHAnsi" w:hAnsiTheme="majorHAnsi"/>
          <w:sz w:val="20"/>
          <w:szCs w:val="20"/>
        </w:rPr>
        <w:t>поступки.</w:t>
      </w:r>
      <w:r w:rsidRPr="000977F7">
        <w:rPr>
          <w:rFonts w:asciiTheme="majorHAnsi" w:hAnsiTheme="majorHAnsi"/>
          <w:spacing w:val="24"/>
          <w:sz w:val="20"/>
          <w:szCs w:val="20"/>
        </w:rPr>
        <w:t xml:space="preserve"> </w:t>
      </w:r>
      <w:r w:rsidRPr="000977F7">
        <w:rPr>
          <w:rFonts w:asciiTheme="majorHAnsi" w:hAnsiTheme="majorHAnsi"/>
          <w:sz w:val="20"/>
          <w:szCs w:val="20"/>
        </w:rPr>
        <w:t>Повинні</w:t>
      </w:r>
      <w:r w:rsidRPr="000977F7">
        <w:rPr>
          <w:rFonts w:asciiTheme="majorHAnsi" w:hAnsiTheme="majorHAnsi"/>
          <w:spacing w:val="23"/>
          <w:sz w:val="20"/>
          <w:szCs w:val="20"/>
        </w:rPr>
        <w:t xml:space="preserve"> </w:t>
      </w:r>
      <w:r w:rsidRPr="000977F7">
        <w:rPr>
          <w:rFonts w:asciiTheme="majorHAnsi" w:hAnsiTheme="majorHAnsi"/>
          <w:sz w:val="20"/>
          <w:szCs w:val="20"/>
        </w:rPr>
        <w:t>бути</w:t>
      </w:r>
      <w:r w:rsidRPr="000977F7">
        <w:rPr>
          <w:rFonts w:asciiTheme="majorHAnsi" w:hAnsiTheme="majorHAnsi"/>
          <w:spacing w:val="23"/>
          <w:sz w:val="20"/>
          <w:szCs w:val="20"/>
        </w:rPr>
        <w:t xml:space="preserve"> </w:t>
      </w:r>
      <w:r w:rsidRPr="000977F7">
        <w:rPr>
          <w:rFonts w:asciiTheme="majorHAnsi" w:hAnsiTheme="majorHAnsi"/>
          <w:sz w:val="20"/>
          <w:szCs w:val="20"/>
        </w:rPr>
        <w:t>записані</w:t>
      </w:r>
      <w:r w:rsidRPr="000977F7">
        <w:rPr>
          <w:rFonts w:asciiTheme="majorHAnsi" w:hAnsiTheme="majorHAnsi"/>
          <w:spacing w:val="23"/>
          <w:sz w:val="20"/>
          <w:szCs w:val="20"/>
        </w:rPr>
        <w:t xml:space="preserve"> </w:t>
      </w:r>
      <w:r w:rsidRPr="000977F7">
        <w:rPr>
          <w:rFonts w:asciiTheme="majorHAnsi" w:hAnsiTheme="majorHAnsi"/>
          <w:sz w:val="20"/>
          <w:szCs w:val="20"/>
        </w:rPr>
        <w:t>описи</w:t>
      </w:r>
      <w:r w:rsidRPr="000977F7">
        <w:rPr>
          <w:rFonts w:asciiTheme="majorHAnsi" w:hAnsiTheme="majorHAnsi"/>
          <w:spacing w:val="25"/>
          <w:sz w:val="20"/>
          <w:szCs w:val="20"/>
        </w:rPr>
        <w:t xml:space="preserve"> </w:t>
      </w:r>
      <w:r w:rsidRPr="000977F7">
        <w:rPr>
          <w:rFonts w:asciiTheme="majorHAnsi" w:hAnsiTheme="majorHAnsi"/>
          <w:sz w:val="20"/>
          <w:szCs w:val="20"/>
        </w:rPr>
        <w:t>будь-яких</w:t>
      </w:r>
      <w:r w:rsidRPr="000977F7">
        <w:rPr>
          <w:rFonts w:asciiTheme="majorHAnsi" w:hAnsiTheme="majorHAnsi"/>
          <w:spacing w:val="-47"/>
          <w:sz w:val="20"/>
          <w:szCs w:val="20"/>
        </w:rPr>
        <w:t xml:space="preserve"> </w:t>
      </w:r>
      <w:r w:rsidRPr="000977F7">
        <w:rPr>
          <w:rFonts w:asciiTheme="majorHAnsi" w:hAnsiTheme="majorHAnsi"/>
          <w:sz w:val="20"/>
          <w:szCs w:val="20"/>
        </w:rPr>
        <w:t>таких</w:t>
      </w:r>
      <w:r w:rsidRPr="000977F7">
        <w:rPr>
          <w:rFonts w:asciiTheme="majorHAnsi" w:hAnsiTheme="majorHAnsi"/>
          <w:spacing w:val="3"/>
          <w:sz w:val="20"/>
          <w:szCs w:val="20"/>
        </w:rPr>
        <w:t xml:space="preserve"> </w:t>
      </w:r>
      <w:r w:rsidRPr="000977F7">
        <w:rPr>
          <w:rFonts w:asciiTheme="majorHAnsi" w:hAnsiTheme="majorHAnsi"/>
          <w:sz w:val="20"/>
          <w:szCs w:val="20"/>
        </w:rPr>
        <w:t>виправлень</w:t>
      </w:r>
      <w:r w:rsidRPr="000977F7">
        <w:rPr>
          <w:rFonts w:asciiTheme="majorHAnsi" w:hAnsiTheme="majorHAnsi"/>
          <w:spacing w:val="6"/>
          <w:sz w:val="20"/>
          <w:szCs w:val="20"/>
        </w:rPr>
        <w:t xml:space="preserve"> </w:t>
      </w:r>
      <w:r w:rsidRPr="000977F7">
        <w:rPr>
          <w:rFonts w:asciiTheme="majorHAnsi" w:hAnsiTheme="majorHAnsi"/>
          <w:sz w:val="20"/>
          <w:szCs w:val="20"/>
        </w:rPr>
        <w:t>або</w:t>
      </w:r>
      <w:r w:rsidRPr="000977F7">
        <w:rPr>
          <w:rFonts w:asciiTheme="majorHAnsi" w:hAnsiTheme="majorHAnsi"/>
          <w:spacing w:val="6"/>
          <w:sz w:val="20"/>
          <w:szCs w:val="20"/>
        </w:rPr>
        <w:t xml:space="preserve"> </w:t>
      </w:r>
      <w:r w:rsidRPr="000977F7">
        <w:rPr>
          <w:rFonts w:asciiTheme="majorHAnsi" w:hAnsiTheme="majorHAnsi"/>
          <w:sz w:val="20"/>
          <w:szCs w:val="20"/>
        </w:rPr>
        <w:t>регулювань,</w:t>
      </w:r>
      <w:r w:rsidRPr="000977F7">
        <w:rPr>
          <w:rFonts w:asciiTheme="majorHAnsi" w:hAnsiTheme="majorHAnsi"/>
          <w:spacing w:val="6"/>
          <w:sz w:val="20"/>
          <w:szCs w:val="20"/>
        </w:rPr>
        <w:t xml:space="preserve"> </w:t>
      </w:r>
      <w:r w:rsidRPr="000977F7">
        <w:rPr>
          <w:rFonts w:asciiTheme="majorHAnsi" w:hAnsiTheme="majorHAnsi"/>
          <w:sz w:val="20"/>
          <w:szCs w:val="20"/>
        </w:rPr>
        <w:t>прийнятої</w:t>
      </w:r>
      <w:r w:rsidRPr="000977F7">
        <w:rPr>
          <w:rFonts w:asciiTheme="majorHAnsi" w:hAnsiTheme="majorHAnsi"/>
          <w:spacing w:val="5"/>
          <w:sz w:val="20"/>
          <w:szCs w:val="20"/>
        </w:rPr>
        <w:t xml:space="preserve"> </w:t>
      </w:r>
      <w:r w:rsidRPr="000977F7">
        <w:rPr>
          <w:rFonts w:asciiTheme="majorHAnsi" w:hAnsiTheme="majorHAnsi"/>
          <w:sz w:val="20"/>
          <w:szCs w:val="20"/>
        </w:rPr>
        <w:t>невідповідності, ремонту продукції або модифікації послуги.</w:t>
      </w:r>
      <w:r w:rsidRPr="000977F7">
        <w:rPr>
          <w:rFonts w:asciiTheme="majorHAnsi" w:hAnsiTheme="majorHAnsi"/>
          <w:spacing w:val="1"/>
          <w:sz w:val="20"/>
          <w:szCs w:val="20"/>
        </w:rPr>
        <w:t xml:space="preserve"> </w:t>
      </w:r>
      <w:r w:rsidRPr="000977F7">
        <w:rPr>
          <w:rFonts w:asciiTheme="majorHAnsi" w:hAnsiTheme="majorHAnsi"/>
          <w:sz w:val="20"/>
          <w:szCs w:val="20"/>
        </w:rPr>
        <w:t>Коли</w:t>
      </w:r>
      <w:r w:rsidRPr="000977F7">
        <w:rPr>
          <w:rFonts w:asciiTheme="majorHAnsi" w:hAnsiTheme="majorHAnsi"/>
          <w:spacing w:val="16"/>
          <w:sz w:val="20"/>
          <w:szCs w:val="20"/>
        </w:rPr>
        <w:t xml:space="preserve"> </w:t>
      </w:r>
      <w:r w:rsidRPr="000977F7">
        <w:rPr>
          <w:rFonts w:asciiTheme="majorHAnsi" w:hAnsiTheme="majorHAnsi"/>
          <w:sz w:val="20"/>
          <w:szCs w:val="20"/>
        </w:rPr>
        <w:t>необхідно</w:t>
      </w:r>
      <w:r w:rsidRPr="000977F7">
        <w:rPr>
          <w:rFonts w:asciiTheme="majorHAnsi" w:hAnsiTheme="majorHAnsi"/>
          <w:spacing w:val="17"/>
          <w:sz w:val="20"/>
          <w:szCs w:val="20"/>
        </w:rPr>
        <w:t xml:space="preserve"> </w:t>
      </w:r>
      <w:r w:rsidRPr="000977F7">
        <w:rPr>
          <w:rFonts w:asciiTheme="majorHAnsi" w:hAnsiTheme="majorHAnsi"/>
          <w:sz w:val="20"/>
          <w:szCs w:val="20"/>
        </w:rPr>
        <w:t>ремонтувати</w:t>
      </w:r>
      <w:r w:rsidRPr="000977F7">
        <w:rPr>
          <w:rFonts w:asciiTheme="majorHAnsi" w:hAnsiTheme="majorHAnsi"/>
          <w:spacing w:val="15"/>
          <w:sz w:val="20"/>
          <w:szCs w:val="20"/>
        </w:rPr>
        <w:t xml:space="preserve"> </w:t>
      </w:r>
      <w:r w:rsidRPr="000977F7">
        <w:rPr>
          <w:rFonts w:asciiTheme="majorHAnsi" w:hAnsiTheme="majorHAnsi"/>
          <w:sz w:val="20"/>
          <w:szCs w:val="20"/>
        </w:rPr>
        <w:t>або</w:t>
      </w:r>
      <w:r w:rsidRPr="000977F7">
        <w:rPr>
          <w:rFonts w:asciiTheme="majorHAnsi" w:hAnsiTheme="majorHAnsi"/>
          <w:spacing w:val="18"/>
          <w:sz w:val="20"/>
          <w:szCs w:val="20"/>
        </w:rPr>
        <w:t xml:space="preserve"> </w:t>
      </w:r>
      <w:r w:rsidRPr="000977F7">
        <w:rPr>
          <w:rFonts w:asciiTheme="majorHAnsi" w:hAnsiTheme="majorHAnsi"/>
          <w:sz w:val="20"/>
          <w:szCs w:val="20"/>
        </w:rPr>
        <w:t>переробляти</w:t>
      </w:r>
      <w:r w:rsidRPr="000977F7">
        <w:rPr>
          <w:rFonts w:asciiTheme="majorHAnsi" w:hAnsiTheme="majorHAnsi"/>
          <w:spacing w:val="17"/>
          <w:sz w:val="20"/>
          <w:szCs w:val="20"/>
        </w:rPr>
        <w:t xml:space="preserve"> </w:t>
      </w:r>
      <w:r w:rsidRPr="000977F7">
        <w:rPr>
          <w:rFonts w:asciiTheme="majorHAnsi" w:hAnsiTheme="majorHAnsi"/>
          <w:sz w:val="20"/>
          <w:szCs w:val="20"/>
        </w:rPr>
        <w:t>продукцію</w:t>
      </w:r>
      <w:r w:rsidRPr="000977F7">
        <w:rPr>
          <w:rFonts w:asciiTheme="majorHAnsi" w:hAnsiTheme="majorHAnsi"/>
          <w:spacing w:val="4"/>
          <w:sz w:val="20"/>
          <w:szCs w:val="20"/>
        </w:rPr>
        <w:t xml:space="preserve"> </w:t>
      </w:r>
      <w:r w:rsidRPr="000977F7">
        <w:rPr>
          <w:rFonts w:asciiTheme="majorHAnsi" w:hAnsiTheme="majorHAnsi"/>
          <w:sz w:val="20"/>
          <w:szCs w:val="20"/>
        </w:rPr>
        <w:t>і</w:t>
      </w:r>
      <w:r w:rsidRPr="000977F7">
        <w:rPr>
          <w:rFonts w:asciiTheme="majorHAnsi" w:hAnsiTheme="majorHAnsi"/>
          <w:spacing w:val="5"/>
          <w:sz w:val="20"/>
          <w:szCs w:val="20"/>
        </w:rPr>
        <w:t xml:space="preserve"> </w:t>
      </w:r>
      <w:r w:rsidRPr="000977F7">
        <w:rPr>
          <w:rFonts w:asciiTheme="majorHAnsi" w:hAnsiTheme="majorHAnsi"/>
          <w:sz w:val="20"/>
          <w:szCs w:val="20"/>
        </w:rPr>
        <w:t>(або)</w:t>
      </w:r>
      <w:r w:rsidRPr="000977F7">
        <w:rPr>
          <w:rFonts w:asciiTheme="majorHAnsi" w:hAnsiTheme="majorHAnsi"/>
          <w:spacing w:val="4"/>
          <w:sz w:val="20"/>
          <w:szCs w:val="20"/>
        </w:rPr>
        <w:t xml:space="preserve"> </w:t>
      </w:r>
      <w:r w:rsidRPr="000977F7">
        <w:rPr>
          <w:rFonts w:asciiTheme="majorHAnsi" w:hAnsiTheme="majorHAnsi"/>
          <w:sz w:val="20"/>
          <w:szCs w:val="20"/>
        </w:rPr>
        <w:t>послугу,</w:t>
      </w:r>
      <w:r w:rsidRPr="000977F7">
        <w:rPr>
          <w:rFonts w:asciiTheme="majorHAnsi" w:hAnsiTheme="majorHAnsi"/>
          <w:spacing w:val="10"/>
          <w:sz w:val="20"/>
          <w:szCs w:val="20"/>
        </w:rPr>
        <w:t xml:space="preserve"> </w:t>
      </w:r>
      <w:r w:rsidRPr="000977F7">
        <w:rPr>
          <w:rFonts w:asciiTheme="majorHAnsi" w:hAnsiTheme="majorHAnsi"/>
          <w:sz w:val="20"/>
          <w:szCs w:val="20"/>
        </w:rPr>
        <w:t>повинні</w:t>
      </w:r>
      <w:r w:rsidRPr="000977F7">
        <w:rPr>
          <w:rFonts w:asciiTheme="majorHAnsi" w:hAnsiTheme="majorHAnsi"/>
          <w:spacing w:val="4"/>
          <w:sz w:val="20"/>
          <w:szCs w:val="20"/>
        </w:rPr>
        <w:t xml:space="preserve"> </w:t>
      </w:r>
      <w:r w:rsidRPr="000977F7">
        <w:rPr>
          <w:rFonts w:asciiTheme="majorHAnsi" w:hAnsiTheme="majorHAnsi"/>
          <w:sz w:val="20"/>
          <w:szCs w:val="20"/>
        </w:rPr>
        <w:t>бути</w:t>
      </w:r>
      <w:r w:rsidRPr="000977F7">
        <w:rPr>
          <w:rFonts w:asciiTheme="majorHAnsi" w:hAnsiTheme="majorHAnsi"/>
          <w:spacing w:val="4"/>
          <w:sz w:val="20"/>
          <w:szCs w:val="20"/>
        </w:rPr>
        <w:t xml:space="preserve"> </w:t>
      </w:r>
      <w:r w:rsidRPr="000977F7">
        <w:rPr>
          <w:rFonts w:asciiTheme="majorHAnsi" w:hAnsiTheme="majorHAnsi"/>
          <w:sz w:val="20"/>
          <w:szCs w:val="20"/>
        </w:rPr>
        <w:t>визначенні</w:t>
      </w:r>
      <w:r w:rsidRPr="000977F7">
        <w:rPr>
          <w:rFonts w:asciiTheme="majorHAnsi" w:hAnsiTheme="majorHAnsi"/>
          <w:spacing w:val="4"/>
          <w:sz w:val="20"/>
          <w:szCs w:val="20"/>
        </w:rPr>
        <w:t xml:space="preserve"> </w:t>
      </w:r>
      <w:r w:rsidRPr="000977F7">
        <w:rPr>
          <w:rFonts w:asciiTheme="majorHAnsi" w:hAnsiTheme="majorHAnsi"/>
          <w:sz w:val="20"/>
          <w:szCs w:val="20"/>
        </w:rPr>
        <w:t>впроваджені</w:t>
      </w:r>
      <w:r w:rsidRPr="000977F7">
        <w:rPr>
          <w:rFonts w:asciiTheme="majorHAnsi" w:hAnsiTheme="majorHAnsi"/>
          <w:spacing w:val="-2"/>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перевірки.</w:t>
      </w:r>
    </w:p>
    <w:p w14:paraId="3A17DCD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АМПЛІТУДНИЙ</w:t>
      </w:r>
      <w:r w:rsidRPr="000977F7">
        <w:rPr>
          <w:color w:val="auto"/>
          <w:spacing w:val="-4"/>
          <w:sz w:val="20"/>
          <w:szCs w:val="20"/>
        </w:rPr>
        <w:t xml:space="preserve"> </w:t>
      </w:r>
      <w:r w:rsidRPr="000977F7">
        <w:rPr>
          <w:color w:val="auto"/>
          <w:sz w:val="20"/>
          <w:szCs w:val="20"/>
        </w:rPr>
        <w:t>СИГНАЛ</w:t>
      </w:r>
      <w:r w:rsidRPr="000977F7">
        <w:rPr>
          <w:color w:val="auto"/>
          <w:spacing w:val="-1"/>
          <w:sz w:val="20"/>
          <w:szCs w:val="20"/>
        </w:rPr>
        <w:t xml:space="preserve"> </w:t>
      </w:r>
      <w:r w:rsidRPr="000977F7">
        <w:rPr>
          <w:color w:val="auto"/>
          <w:sz w:val="20"/>
          <w:szCs w:val="20"/>
        </w:rPr>
        <w:t>–</w:t>
      </w:r>
    </w:p>
    <w:p w14:paraId="407F47C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AMPLITUDE</w:t>
      </w:r>
      <w:r w:rsidRPr="000977F7">
        <w:rPr>
          <w:rFonts w:asciiTheme="majorHAnsi" w:hAnsiTheme="majorHAnsi"/>
          <w:spacing w:val="-1"/>
          <w:sz w:val="20"/>
          <w:szCs w:val="20"/>
        </w:rPr>
        <w:t xml:space="preserve"> </w:t>
      </w:r>
      <w:r w:rsidRPr="000977F7">
        <w:rPr>
          <w:rFonts w:asciiTheme="majorHAnsi" w:hAnsiTheme="majorHAnsi"/>
          <w:sz w:val="20"/>
          <w:szCs w:val="20"/>
        </w:rPr>
        <w:t>SIGNAL</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6DF218F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Гармонічний або імпульсний сигнал, інформативною</w:t>
      </w:r>
      <w:r w:rsidRPr="000977F7">
        <w:rPr>
          <w:rFonts w:asciiTheme="majorHAnsi" w:hAnsiTheme="majorHAnsi"/>
          <w:spacing w:val="1"/>
          <w:sz w:val="20"/>
          <w:szCs w:val="20"/>
        </w:rPr>
        <w:t xml:space="preserve"> </w:t>
      </w:r>
      <w:r w:rsidRPr="000977F7">
        <w:rPr>
          <w:rFonts w:asciiTheme="majorHAnsi" w:hAnsiTheme="majorHAnsi"/>
          <w:sz w:val="20"/>
          <w:szCs w:val="20"/>
        </w:rPr>
        <w:t>ознакою або параметром якого є амплітуда дієвої величини</w:t>
      </w:r>
    </w:p>
    <w:p w14:paraId="7BB50DA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6BDAA48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АНАЛІЗ</w:t>
      </w:r>
      <w:r w:rsidRPr="000977F7">
        <w:rPr>
          <w:color w:val="auto"/>
          <w:spacing w:val="-6"/>
          <w:sz w:val="20"/>
          <w:szCs w:val="20"/>
        </w:rPr>
        <w:t xml:space="preserve"> </w:t>
      </w:r>
      <w:r w:rsidRPr="000977F7">
        <w:rPr>
          <w:color w:val="auto"/>
          <w:sz w:val="20"/>
          <w:szCs w:val="20"/>
        </w:rPr>
        <w:t>НЕСПРАВНОСТЕЙ</w:t>
      </w:r>
      <w:r w:rsidRPr="000977F7">
        <w:rPr>
          <w:color w:val="auto"/>
          <w:spacing w:val="-2"/>
          <w:sz w:val="20"/>
          <w:szCs w:val="20"/>
        </w:rPr>
        <w:t xml:space="preserve"> </w:t>
      </w:r>
      <w:r w:rsidRPr="000977F7">
        <w:rPr>
          <w:color w:val="auto"/>
          <w:sz w:val="20"/>
          <w:szCs w:val="20"/>
        </w:rPr>
        <w:t>–</w:t>
      </w:r>
    </w:p>
    <w:p w14:paraId="3DE795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FAULT</w:t>
      </w:r>
      <w:r w:rsidRPr="000977F7">
        <w:rPr>
          <w:rFonts w:asciiTheme="majorHAnsi" w:hAnsiTheme="majorHAnsi"/>
          <w:spacing w:val="-3"/>
          <w:sz w:val="20"/>
          <w:szCs w:val="20"/>
        </w:rPr>
        <w:t xml:space="preserve"> </w:t>
      </w:r>
      <w:r w:rsidRPr="000977F7">
        <w:rPr>
          <w:rFonts w:asciiTheme="majorHAnsi" w:hAnsiTheme="majorHAnsi"/>
          <w:sz w:val="20"/>
          <w:szCs w:val="20"/>
        </w:rPr>
        <w:t>ANALYSIS -</w:t>
      </w:r>
    </w:p>
    <w:p w14:paraId="784E20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Логічне та систематичне дослідження об’єкта для ідентифікації та аналізу ймовірностей виникнення, причин та наслідків потенційних несправностей</w:t>
      </w:r>
    </w:p>
    <w:p w14:paraId="6836A78F"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2860 - 94</w:t>
      </w:r>
    </w:p>
    <w:p w14:paraId="13C7012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АНАЛІЗ</w:t>
      </w:r>
      <w:r w:rsidRPr="000977F7">
        <w:rPr>
          <w:rFonts w:asciiTheme="majorHAnsi" w:hAnsiTheme="majorHAnsi"/>
          <w:b/>
          <w:spacing w:val="-6"/>
          <w:sz w:val="20"/>
          <w:szCs w:val="20"/>
        </w:rPr>
        <w:t xml:space="preserve"> </w:t>
      </w:r>
      <w:r w:rsidRPr="000977F7">
        <w:rPr>
          <w:rFonts w:asciiTheme="majorHAnsi" w:hAnsiTheme="majorHAnsi"/>
          <w:b/>
          <w:sz w:val="20"/>
          <w:szCs w:val="20"/>
        </w:rPr>
        <w:t>ПРОЕКТУ</w:t>
      </w:r>
      <w:r w:rsidRPr="000977F7">
        <w:rPr>
          <w:rFonts w:asciiTheme="majorHAnsi" w:hAnsiTheme="majorHAnsi"/>
          <w:b/>
          <w:spacing w:val="-5"/>
          <w:sz w:val="20"/>
          <w:szCs w:val="20"/>
        </w:rPr>
        <w:t xml:space="preserve"> </w:t>
      </w:r>
      <w:r w:rsidRPr="000977F7">
        <w:rPr>
          <w:rFonts w:asciiTheme="majorHAnsi" w:hAnsiTheme="majorHAnsi"/>
          <w:sz w:val="20"/>
          <w:szCs w:val="20"/>
        </w:rPr>
        <w:t>DESIGN</w:t>
      </w:r>
      <w:r w:rsidRPr="000977F7">
        <w:rPr>
          <w:rFonts w:asciiTheme="majorHAnsi" w:hAnsiTheme="majorHAnsi"/>
          <w:spacing w:val="-2"/>
          <w:sz w:val="20"/>
          <w:szCs w:val="20"/>
        </w:rPr>
        <w:t xml:space="preserve"> </w:t>
      </w:r>
      <w:r w:rsidRPr="000977F7">
        <w:rPr>
          <w:rFonts w:asciiTheme="majorHAnsi" w:hAnsiTheme="majorHAnsi"/>
          <w:sz w:val="20"/>
          <w:szCs w:val="20"/>
        </w:rPr>
        <w:t>REVIEW</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484E8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Обов’язкове, документоване, всебічне та систематичне оцінювання проекту на його відповідність початковим вимогам і можливостям їх задоволення, виявлення</w:t>
      </w:r>
      <w:r w:rsidRPr="000977F7">
        <w:rPr>
          <w:rFonts w:asciiTheme="majorHAnsi" w:hAnsiTheme="majorHAnsi"/>
          <w:spacing w:val="1"/>
          <w:sz w:val="20"/>
          <w:szCs w:val="20"/>
        </w:rPr>
        <w:t xml:space="preserve"> </w:t>
      </w:r>
      <w:r w:rsidRPr="000977F7">
        <w:rPr>
          <w:rFonts w:asciiTheme="majorHAnsi" w:hAnsiTheme="majorHAnsi"/>
          <w:sz w:val="20"/>
          <w:szCs w:val="20"/>
        </w:rPr>
        <w:t>проблем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способів</w:t>
      </w:r>
      <w:r w:rsidRPr="000977F7">
        <w:rPr>
          <w:rFonts w:asciiTheme="majorHAnsi" w:hAnsiTheme="majorHAnsi"/>
          <w:spacing w:val="-1"/>
          <w:sz w:val="20"/>
          <w:szCs w:val="20"/>
        </w:rPr>
        <w:t xml:space="preserve"> </w:t>
      </w:r>
      <w:r w:rsidRPr="000977F7">
        <w:rPr>
          <w:rFonts w:asciiTheme="majorHAnsi" w:hAnsiTheme="majorHAnsi"/>
          <w:sz w:val="20"/>
          <w:szCs w:val="20"/>
        </w:rPr>
        <w:t>розв’язання</w:t>
      </w:r>
    </w:p>
    <w:p w14:paraId="09CDBA7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477F07A" w14:textId="77777777" w:rsidR="0097612F" w:rsidRPr="000977F7" w:rsidRDefault="0097612F" w:rsidP="00FD39A4">
      <w:pPr>
        <w:pStyle w:val="ac"/>
        <w:widowControl w:val="0"/>
        <w:numPr>
          <w:ilvl w:val="1"/>
          <w:numId w:val="224"/>
        </w:numPr>
        <w:tabs>
          <w:tab w:val="left" w:pos="284"/>
          <w:tab w:val="left" w:pos="67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Аналіз проекту може виконуватись на будь-якому</w:t>
      </w:r>
      <w:r w:rsidRPr="000977F7">
        <w:rPr>
          <w:rFonts w:asciiTheme="majorHAnsi" w:hAnsiTheme="majorHAnsi"/>
          <w:spacing w:val="1"/>
          <w:sz w:val="20"/>
          <w:szCs w:val="20"/>
        </w:rPr>
        <w:t xml:space="preserve"> </w:t>
      </w:r>
      <w:r w:rsidRPr="000977F7">
        <w:rPr>
          <w:rFonts w:asciiTheme="majorHAnsi" w:hAnsiTheme="majorHAnsi"/>
          <w:sz w:val="20"/>
          <w:szCs w:val="20"/>
        </w:rPr>
        <w:t>етапі</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проектування</w:t>
      </w:r>
    </w:p>
    <w:p w14:paraId="78515275" w14:textId="77777777" w:rsidR="0097612F" w:rsidRPr="000977F7" w:rsidRDefault="0097612F" w:rsidP="00FD39A4">
      <w:pPr>
        <w:pStyle w:val="ac"/>
        <w:widowControl w:val="0"/>
        <w:numPr>
          <w:ilvl w:val="1"/>
          <w:numId w:val="224"/>
        </w:numPr>
        <w:tabs>
          <w:tab w:val="left" w:pos="284"/>
          <w:tab w:val="left" w:pos="65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Аналіз проекту сам по собі не є достатньою гарантією</w:t>
      </w:r>
      <w:r w:rsidRPr="000977F7">
        <w:rPr>
          <w:rFonts w:asciiTheme="majorHAnsi" w:hAnsiTheme="majorHAnsi"/>
          <w:spacing w:val="-1"/>
          <w:sz w:val="20"/>
          <w:szCs w:val="20"/>
        </w:rPr>
        <w:t xml:space="preserve"> </w:t>
      </w:r>
      <w:r w:rsidRPr="000977F7">
        <w:rPr>
          <w:rFonts w:asciiTheme="majorHAnsi" w:hAnsiTheme="majorHAnsi"/>
          <w:sz w:val="20"/>
          <w:szCs w:val="20"/>
        </w:rPr>
        <w:t>правильного виконання</w:t>
      </w:r>
      <w:r w:rsidRPr="000977F7">
        <w:rPr>
          <w:rFonts w:asciiTheme="majorHAnsi" w:hAnsiTheme="majorHAnsi"/>
          <w:spacing w:val="2"/>
          <w:sz w:val="20"/>
          <w:szCs w:val="20"/>
        </w:rPr>
        <w:t xml:space="preserve"> </w:t>
      </w:r>
      <w:r w:rsidRPr="000977F7">
        <w:rPr>
          <w:rFonts w:asciiTheme="majorHAnsi" w:hAnsiTheme="majorHAnsi"/>
          <w:sz w:val="20"/>
          <w:szCs w:val="20"/>
        </w:rPr>
        <w:t>проекту</w:t>
      </w:r>
    </w:p>
    <w:p w14:paraId="62D5400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A06FBC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АНАЛІЗ</w:t>
      </w:r>
      <w:r w:rsidRPr="000977F7">
        <w:rPr>
          <w:color w:val="auto"/>
          <w:spacing w:val="-8"/>
          <w:sz w:val="20"/>
          <w:szCs w:val="20"/>
        </w:rPr>
        <w:t xml:space="preserve"> </w:t>
      </w:r>
      <w:r w:rsidRPr="000977F7">
        <w:rPr>
          <w:color w:val="auto"/>
          <w:sz w:val="20"/>
          <w:szCs w:val="20"/>
        </w:rPr>
        <w:t>ПРОЕКТУ</w:t>
      </w:r>
      <w:r w:rsidRPr="000977F7">
        <w:rPr>
          <w:color w:val="auto"/>
          <w:spacing w:val="-7"/>
          <w:sz w:val="20"/>
          <w:szCs w:val="20"/>
        </w:rPr>
        <w:t xml:space="preserve"> </w:t>
      </w:r>
      <w:r w:rsidRPr="000977F7">
        <w:rPr>
          <w:color w:val="auto"/>
          <w:sz w:val="20"/>
          <w:szCs w:val="20"/>
        </w:rPr>
        <w:t>ПРОГРАМНОГО</w:t>
      </w:r>
      <w:r w:rsidRPr="000977F7">
        <w:rPr>
          <w:color w:val="auto"/>
          <w:spacing w:val="-47"/>
          <w:sz w:val="20"/>
          <w:szCs w:val="20"/>
        </w:rPr>
        <w:t xml:space="preserve"> </w:t>
      </w:r>
      <w:r w:rsidRPr="000977F7">
        <w:rPr>
          <w:color w:val="auto"/>
          <w:sz w:val="20"/>
          <w:szCs w:val="20"/>
        </w:rPr>
        <w:t>ЗАСОБУ –</w:t>
      </w:r>
    </w:p>
    <w:p w14:paraId="68F5DEF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SOFTWARE</w:t>
      </w:r>
      <w:r w:rsidRPr="004D2D14">
        <w:rPr>
          <w:rFonts w:asciiTheme="majorHAnsi" w:hAnsiTheme="majorHAnsi"/>
          <w:spacing w:val="-2"/>
          <w:sz w:val="20"/>
          <w:szCs w:val="20"/>
          <w:lang w:val="uk-UA"/>
        </w:rPr>
        <w:t xml:space="preserve"> </w:t>
      </w:r>
      <w:r w:rsidRPr="000977F7">
        <w:rPr>
          <w:rFonts w:asciiTheme="majorHAnsi" w:hAnsiTheme="majorHAnsi"/>
          <w:sz w:val="20"/>
          <w:szCs w:val="20"/>
        </w:rPr>
        <w:t>DESIGN</w:t>
      </w:r>
      <w:r w:rsidRPr="004D2D14">
        <w:rPr>
          <w:rFonts w:asciiTheme="majorHAnsi" w:hAnsiTheme="majorHAnsi"/>
          <w:spacing w:val="-1"/>
          <w:sz w:val="20"/>
          <w:szCs w:val="20"/>
          <w:lang w:val="uk-UA"/>
        </w:rPr>
        <w:t xml:space="preserve"> </w:t>
      </w:r>
      <w:r w:rsidRPr="000977F7">
        <w:rPr>
          <w:rFonts w:asciiTheme="majorHAnsi" w:hAnsiTheme="majorHAnsi"/>
          <w:sz w:val="20"/>
          <w:szCs w:val="20"/>
        </w:rPr>
        <w:t>FEVIEW</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3B77126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Формальна, документована, всебічна та систематична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перевірка проекту програмного засобу для оцінки його відповідності встановленим вимогам та можливості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їх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задоволення,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виявлення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проблем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способів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їх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розв’язання</w:t>
      </w:r>
    </w:p>
    <w:p w14:paraId="620ACCF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2844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94</w:t>
      </w:r>
    </w:p>
    <w:p w14:paraId="53670D9B" w14:textId="77777777" w:rsidR="0097612F" w:rsidRPr="004D2D14" w:rsidRDefault="0097612F" w:rsidP="000977F7">
      <w:pPr>
        <w:tabs>
          <w:tab w:val="left" w:pos="284"/>
        </w:tabs>
        <w:spacing w:after="0" w:line="240" w:lineRule="auto"/>
        <w:ind w:left="170"/>
        <w:mirrorIndents/>
        <w:jc w:val="both"/>
        <w:rPr>
          <w:rFonts w:asciiTheme="majorHAnsi" w:hAnsiTheme="majorHAnsi"/>
          <w:b/>
          <w:bCs/>
          <w:iCs/>
          <w:sz w:val="20"/>
          <w:szCs w:val="20"/>
          <w:lang w:val="en-US"/>
        </w:rPr>
      </w:pPr>
      <w:r w:rsidRPr="000977F7">
        <w:rPr>
          <w:rFonts w:asciiTheme="majorHAnsi" w:hAnsiTheme="majorHAnsi"/>
          <w:b/>
          <w:bCs/>
          <w:iCs/>
          <w:sz w:val="20"/>
          <w:szCs w:val="20"/>
        </w:rPr>
        <w:t>АНАЛІЗ</w:t>
      </w:r>
      <w:r w:rsidRPr="004D2D14">
        <w:rPr>
          <w:rFonts w:asciiTheme="majorHAnsi" w:hAnsiTheme="majorHAnsi"/>
          <w:b/>
          <w:bCs/>
          <w:iCs/>
          <w:sz w:val="20"/>
          <w:szCs w:val="20"/>
          <w:lang w:val="en-US"/>
        </w:rPr>
        <w:t xml:space="preserve"> </w:t>
      </w:r>
      <w:r w:rsidRPr="000977F7">
        <w:rPr>
          <w:rFonts w:asciiTheme="majorHAnsi" w:hAnsiTheme="majorHAnsi"/>
          <w:b/>
          <w:bCs/>
          <w:iCs/>
          <w:sz w:val="20"/>
          <w:szCs w:val="20"/>
        </w:rPr>
        <w:t>РИЗИКУ</w:t>
      </w:r>
      <w:r w:rsidRPr="004D2D14">
        <w:rPr>
          <w:rFonts w:asciiTheme="majorHAnsi" w:hAnsiTheme="majorHAnsi"/>
          <w:b/>
          <w:bCs/>
          <w:iCs/>
          <w:sz w:val="20"/>
          <w:szCs w:val="20"/>
          <w:lang w:val="en-US"/>
        </w:rPr>
        <w:t xml:space="preserve"> –</w:t>
      </w:r>
    </w:p>
    <w:p w14:paraId="3381CB47" w14:textId="77777777" w:rsidR="0097612F" w:rsidRPr="004D2D14" w:rsidRDefault="0097612F" w:rsidP="000977F7">
      <w:pPr>
        <w:tabs>
          <w:tab w:val="left" w:pos="284"/>
        </w:tabs>
        <w:spacing w:after="0" w:line="240" w:lineRule="auto"/>
        <w:ind w:left="170"/>
        <w:mirrorIndents/>
        <w:jc w:val="both"/>
        <w:rPr>
          <w:rFonts w:asciiTheme="majorHAnsi" w:hAnsiTheme="majorHAnsi"/>
          <w:iCs/>
          <w:sz w:val="20"/>
          <w:szCs w:val="20"/>
          <w:lang w:val="en-US"/>
        </w:rPr>
      </w:pPr>
      <w:r w:rsidRPr="004D2D14">
        <w:rPr>
          <w:rFonts w:asciiTheme="majorHAnsi" w:hAnsiTheme="majorHAnsi"/>
          <w:iCs/>
          <w:sz w:val="20"/>
          <w:szCs w:val="20"/>
          <w:lang w:val="en-US"/>
        </w:rPr>
        <w:t>RISK ANALYSIS -</w:t>
      </w:r>
    </w:p>
    <w:p w14:paraId="15601FB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Комбінація визначення граничних можливостей машини, ідентифікації небезпек та попереднього оцінювання ризику </w:t>
      </w:r>
    </w:p>
    <w:p w14:paraId="23AD5672"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4BDA1846"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iCs/>
          <w:sz w:val="20"/>
          <w:szCs w:val="20"/>
        </w:rPr>
        <w:t>Процес, що складається з трьох взаємозв'язаних компонентів: оцінка ризику, управління ризиком та повідомлення про ризик</w:t>
      </w:r>
    </w:p>
    <w:p w14:paraId="08E20C8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 закону України "Про забезпечення санітарного та епідемічного благополуччя населення"</w:t>
      </w:r>
    </w:p>
    <w:p w14:paraId="63064086"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АНАЛІЗ РИЗИКІВ –</w:t>
      </w:r>
      <w:r w:rsidRPr="000977F7">
        <w:rPr>
          <w:rFonts w:asciiTheme="majorHAnsi" w:hAnsiTheme="majorHAnsi"/>
          <w:b/>
          <w:spacing w:val="1"/>
          <w:sz w:val="20"/>
          <w:szCs w:val="20"/>
        </w:rPr>
        <w:t xml:space="preserve"> </w:t>
      </w:r>
    </w:p>
    <w:p w14:paraId="01E62D19"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sz w:val="20"/>
          <w:szCs w:val="20"/>
        </w:rPr>
        <w:t>RISK</w:t>
      </w:r>
      <w:r w:rsidRPr="000977F7">
        <w:rPr>
          <w:rFonts w:asciiTheme="majorHAnsi" w:hAnsiTheme="majorHAnsi"/>
          <w:spacing w:val="-9"/>
          <w:sz w:val="20"/>
          <w:szCs w:val="20"/>
        </w:rPr>
        <w:t xml:space="preserve"> </w:t>
      </w:r>
      <w:r w:rsidRPr="000977F7">
        <w:rPr>
          <w:rFonts w:asciiTheme="majorHAnsi" w:hAnsiTheme="majorHAnsi"/>
          <w:sz w:val="20"/>
          <w:szCs w:val="20"/>
        </w:rPr>
        <w:t>EVALUATION</w:t>
      </w:r>
      <w:r w:rsidRPr="000977F7">
        <w:rPr>
          <w:rFonts w:asciiTheme="majorHAnsi" w:hAnsiTheme="majorHAnsi"/>
          <w:spacing w:val="-6"/>
          <w:sz w:val="20"/>
          <w:szCs w:val="20"/>
        </w:rPr>
        <w:t xml:space="preserve"> </w:t>
      </w:r>
      <w:r w:rsidRPr="000977F7">
        <w:rPr>
          <w:rFonts w:asciiTheme="majorHAnsi" w:hAnsiTheme="majorHAnsi"/>
          <w:b/>
          <w:sz w:val="20"/>
          <w:szCs w:val="20"/>
        </w:rPr>
        <w:t>–</w:t>
      </w:r>
    </w:p>
    <w:p w14:paraId="765CD87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Використання доступної інформації для ідентифікації</w:t>
      </w:r>
      <w:r w:rsidRPr="000977F7">
        <w:rPr>
          <w:rFonts w:asciiTheme="majorHAnsi" w:hAnsiTheme="majorHAnsi"/>
          <w:spacing w:val="1"/>
          <w:sz w:val="20"/>
          <w:szCs w:val="20"/>
        </w:rPr>
        <w:t xml:space="preserve"> </w:t>
      </w:r>
      <w:r w:rsidRPr="000977F7">
        <w:rPr>
          <w:rFonts w:asciiTheme="majorHAnsi" w:hAnsiTheme="majorHAnsi"/>
          <w:sz w:val="20"/>
          <w:szCs w:val="20"/>
        </w:rPr>
        <w:t>потенційних небезпек, що ініціюються промисловим</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підприємством, та визначення відповідних їм ризиків</w:t>
      </w:r>
      <w:r w:rsidRPr="000977F7">
        <w:rPr>
          <w:rFonts w:asciiTheme="majorHAnsi" w:hAnsiTheme="majorHAnsi"/>
          <w:spacing w:val="1"/>
          <w:sz w:val="20"/>
          <w:szCs w:val="20"/>
        </w:rPr>
        <w:t xml:space="preserve"> </w:t>
      </w:r>
      <w:r w:rsidRPr="000977F7">
        <w:rPr>
          <w:rFonts w:asciiTheme="majorHAnsi" w:hAnsiTheme="majorHAnsi"/>
          <w:sz w:val="20"/>
          <w:szCs w:val="20"/>
        </w:rPr>
        <w:t>(показників безпеки працівників, населення регіону та</w:t>
      </w:r>
      <w:r w:rsidRPr="000977F7">
        <w:rPr>
          <w:rFonts w:asciiTheme="majorHAnsi" w:hAnsiTheme="majorHAnsi"/>
          <w:spacing w:val="-47"/>
          <w:sz w:val="20"/>
          <w:szCs w:val="20"/>
        </w:rPr>
        <w:t xml:space="preserve"> </w:t>
      </w:r>
      <w:r w:rsidRPr="000977F7">
        <w:rPr>
          <w:rFonts w:asciiTheme="majorHAnsi" w:hAnsiTheme="majorHAnsi"/>
          <w:sz w:val="20"/>
          <w:szCs w:val="20"/>
        </w:rPr>
        <w:t>екологічних</w:t>
      </w:r>
      <w:r w:rsidRPr="000977F7">
        <w:rPr>
          <w:rFonts w:asciiTheme="majorHAnsi" w:hAnsiTheme="majorHAnsi"/>
          <w:spacing w:val="-2"/>
          <w:sz w:val="20"/>
          <w:szCs w:val="20"/>
        </w:rPr>
        <w:t xml:space="preserve"> </w:t>
      </w:r>
      <w:r w:rsidRPr="000977F7">
        <w:rPr>
          <w:rFonts w:asciiTheme="majorHAnsi" w:hAnsiTheme="majorHAnsi"/>
          <w:sz w:val="20"/>
          <w:szCs w:val="20"/>
        </w:rPr>
        <w:t>показників)</w:t>
      </w:r>
    </w:p>
    <w:p w14:paraId="62E8686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8F92F6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 загальному вигляді аналіз ризиків включає етапи</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5"/>
          <w:sz w:val="20"/>
          <w:szCs w:val="20"/>
        </w:rPr>
        <w:t xml:space="preserve"> </w:t>
      </w:r>
      <w:r w:rsidRPr="000977F7">
        <w:rPr>
          <w:rFonts w:asciiTheme="majorHAnsi" w:hAnsiTheme="majorHAnsi"/>
          <w:sz w:val="20"/>
          <w:szCs w:val="20"/>
        </w:rPr>
        <w:t>області</w:t>
      </w:r>
      <w:r w:rsidRPr="000977F7">
        <w:rPr>
          <w:rFonts w:asciiTheme="majorHAnsi" w:hAnsiTheme="majorHAnsi"/>
          <w:spacing w:val="-5"/>
          <w:sz w:val="20"/>
          <w:szCs w:val="20"/>
        </w:rPr>
        <w:t xml:space="preserve"> </w:t>
      </w:r>
      <w:r w:rsidRPr="000977F7">
        <w:rPr>
          <w:rFonts w:asciiTheme="majorHAnsi" w:hAnsiTheme="majorHAnsi"/>
          <w:sz w:val="20"/>
          <w:szCs w:val="20"/>
        </w:rPr>
        <w:t>аналізу,</w:t>
      </w:r>
      <w:r w:rsidRPr="000977F7">
        <w:rPr>
          <w:rFonts w:asciiTheme="majorHAnsi" w:hAnsiTheme="majorHAnsi"/>
          <w:spacing w:val="-4"/>
          <w:sz w:val="20"/>
          <w:szCs w:val="20"/>
        </w:rPr>
        <w:t xml:space="preserve"> </w:t>
      </w:r>
      <w:r w:rsidRPr="000977F7">
        <w:rPr>
          <w:rFonts w:asciiTheme="majorHAnsi" w:hAnsiTheme="majorHAnsi"/>
          <w:sz w:val="20"/>
          <w:szCs w:val="20"/>
        </w:rPr>
        <w:t>ідентифікацію</w:t>
      </w:r>
      <w:r w:rsidRPr="000977F7">
        <w:rPr>
          <w:rFonts w:asciiTheme="majorHAnsi" w:hAnsiTheme="majorHAnsi"/>
          <w:spacing w:val="-5"/>
          <w:sz w:val="20"/>
          <w:szCs w:val="20"/>
        </w:rPr>
        <w:t xml:space="preserve"> </w:t>
      </w:r>
      <w:r w:rsidRPr="000977F7">
        <w:rPr>
          <w:rFonts w:asciiTheme="majorHAnsi" w:hAnsiTheme="majorHAnsi"/>
          <w:sz w:val="20"/>
          <w:szCs w:val="20"/>
        </w:rPr>
        <w:t>небезпек</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2"/>
          <w:sz w:val="20"/>
          <w:szCs w:val="20"/>
        </w:rPr>
        <w:t xml:space="preserve"> </w:t>
      </w:r>
      <w:r w:rsidRPr="000977F7">
        <w:rPr>
          <w:rFonts w:asciiTheme="majorHAnsi" w:hAnsiTheme="majorHAnsi"/>
          <w:sz w:val="20"/>
          <w:szCs w:val="20"/>
        </w:rPr>
        <w:t>ризиків</w:t>
      </w:r>
    </w:p>
    <w:p w14:paraId="5A9D286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5A25213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АНАЛІЗ ХАРАКТЕРУ, НАСЛІДКІВ ТА </w:t>
      </w:r>
    </w:p>
    <w:p w14:paraId="5D78DEC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КРИТИ</w:t>
      </w:r>
      <w:r w:rsidRPr="000977F7">
        <w:rPr>
          <w:color w:val="auto"/>
          <w:spacing w:val="-48"/>
          <w:sz w:val="20"/>
          <w:szCs w:val="20"/>
        </w:rPr>
        <w:t xml:space="preserve"> </w:t>
      </w:r>
      <w:r w:rsidRPr="000977F7">
        <w:rPr>
          <w:color w:val="auto"/>
          <w:sz w:val="20"/>
          <w:szCs w:val="20"/>
        </w:rPr>
        <w:t>ЧНОСТІ</w:t>
      </w:r>
      <w:r w:rsidRPr="000977F7">
        <w:rPr>
          <w:color w:val="auto"/>
          <w:spacing w:val="-2"/>
          <w:sz w:val="20"/>
          <w:szCs w:val="20"/>
        </w:rPr>
        <w:t xml:space="preserve"> </w:t>
      </w:r>
      <w:r w:rsidRPr="000977F7">
        <w:rPr>
          <w:color w:val="auto"/>
          <w:sz w:val="20"/>
          <w:szCs w:val="20"/>
        </w:rPr>
        <w:t>ВІДМОВ</w:t>
      </w:r>
      <w:r w:rsidRPr="000977F7">
        <w:rPr>
          <w:color w:val="auto"/>
          <w:spacing w:val="2"/>
          <w:sz w:val="20"/>
          <w:szCs w:val="20"/>
        </w:rPr>
        <w:t xml:space="preserve"> </w:t>
      </w:r>
      <w:r w:rsidRPr="000977F7">
        <w:rPr>
          <w:color w:val="auto"/>
          <w:sz w:val="20"/>
          <w:szCs w:val="20"/>
        </w:rPr>
        <w:t>-</w:t>
      </w:r>
    </w:p>
    <w:p w14:paraId="0106516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FAILURE</w:t>
      </w:r>
      <w:r w:rsidRPr="004D2D14">
        <w:rPr>
          <w:rFonts w:asciiTheme="majorHAnsi" w:hAnsiTheme="majorHAnsi"/>
          <w:spacing w:val="38"/>
          <w:sz w:val="20"/>
          <w:szCs w:val="20"/>
          <w:lang w:val="en-US"/>
        </w:rPr>
        <w:t xml:space="preserve"> </w:t>
      </w:r>
      <w:r w:rsidRPr="004D2D14">
        <w:rPr>
          <w:rFonts w:asciiTheme="majorHAnsi" w:hAnsiTheme="majorHAnsi"/>
          <w:sz w:val="20"/>
          <w:szCs w:val="20"/>
          <w:lang w:val="en-US"/>
        </w:rPr>
        <w:t>MODES,</w:t>
      </w:r>
      <w:r w:rsidRPr="004D2D14">
        <w:rPr>
          <w:rFonts w:asciiTheme="majorHAnsi" w:hAnsiTheme="majorHAnsi"/>
          <w:spacing w:val="38"/>
          <w:sz w:val="20"/>
          <w:szCs w:val="20"/>
          <w:lang w:val="en-US"/>
        </w:rPr>
        <w:t xml:space="preserve"> </w:t>
      </w:r>
      <w:r w:rsidRPr="004D2D14">
        <w:rPr>
          <w:rFonts w:asciiTheme="majorHAnsi" w:hAnsiTheme="majorHAnsi"/>
          <w:sz w:val="20"/>
          <w:szCs w:val="20"/>
          <w:lang w:val="en-US"/>
        </w:rPr>
        <w:t>EFFECTS</w:t>
      </w:r>
      <w:r w:rsidRPr="004D2D14">
        <w:rPr>
          <w:rFonts w:asciiTheme="majorHAnsi" w:hAnsiTheme="majorHAnsi"/>
          <w:spacing w:val="38"/>
          <w:sz w:val="20"/>
          <w:szCs w:val="20"/>
          <w:lang w:val="en-US"/>
        </w:rPr>
        <w:t xml:space="preserve"> </w:t>
      </w:r>
      <w:r w:rsidRPr="004D2D14">
        <w:rPr>
          <w:rFonts w:asciiTheme="majorHAnsi" w:hAnsiTheme="majorHAnsi"/>
          <w:sz w:val="20"/>
          <w:szCs w:val="20"/>
          <w:lang w:val="en-US"/>
        </w:rPr>
        <w:t>AND</w:t>
      </w:r>
      <w:r w:rsidRPr="004D2D14">
        <w:rPr>
          <w:rFonts w:asciiTheme="majorHAnsi" w:hAnsiTheme="majorHAnsi"/>
          <w:spacing w:val="38"/>
          <w:sz w:val="20"/>
          <w:szCs w:val="20"/>
          <w:lang w:val="en-US"/>
        </w:rPr>
        <w:t xml:space="preserve"> </w:t>
      </w:r>
      <w:r w:rsidRPr="004D2D14">
        <w:rPr>
          <w:rFonts w:asciiTheme="majorHAnsi" w:hAnsiTheme="majorHAnsi"/>
          <w:sz w:val="20"/>
          <w:szCs w:val="20"/>
          <w:lang w:val="en-US"/>
        </w:rPr>
        <w:t>CRITICALITY</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ANALYSIS -</w:t>
      </w:r>
    </w:p>
    <w:p w14:paraId="6A6EAF17"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spacing w:val="-3"/>
          <w:sz w:val="20"/>
          <w:szCs w:val="20"/>
        </w:rPr>
        <w:t>Аналіз</w:t>
      </w:r>
      <w:r w:rsidRPr="004D2D14">
        <w:rPr>
          <w:rFonts w:asciiTheme="majorHAnsi" w:hAnsiTheme="majorHAnsi"/>
          <w:spacing w:val="-6"/>
          <w:sz w:val="20"/>
          <w:szCs w:val="20"/>
          <w:lang w:val="en-US"/>
        </w:rPr>
        <w:t xml:space="preserve"> </w:t>
      </w:r>
      <w:r w:rsidRPr="000977F7">
        <w:rPr>
          <w:rFonts w:asciiTheme="majorHAnsi" w:hAnsiTheme="majorHAnsi"/>
          <w:spacing w:val="-3"/>
          <w:sz w:val="20"/>
          <w:szCs w:val="20"/>
        </w:rPr>
        <w:t>характеру</w:t>
      </w:r>
      <w:r w:rsidRPr="004D2D14">
        <w:rPr>
          <w:rFonts w:asciiTheme="majorHAnsi" w:hAnsiTheme="majorHAnsi"/>
          <w:spacing w:val="-9"/>
          <w:sz w:val="20"/>
          <w:szCs w:val="20"/>
          <w:lang w:val="en-US"/>
        </w:rPr>
        <w:t xml:space="preserve"> </w:t>
      </w:r>
      <w:r w:rsidRPr="000977F7">
        <w:rPr>
          <w:rFonts w:asciiTheme="majorHAnsi" w:hAnsiTheme="majorHAnsi"/>
          <w:spacing w:val="-3"/>
          <w:sz w:val="20"/>
          <w:szCs w:val="20"/>
        </w:rPr>
        <w:t>та</w:t>
      </w:r>
      <w:r w:rsidRPr="004D2D14">
        <w:rPr>
          <w:rFonts w:asciiTheme="majorHAnsi" w:hAnsiTheme="majorHAnsi"/>
          <w:spacing w:val="-8"/>
          <w:sz w:val="20"/>
          <w:szCs w:val="20"/>
          <w:lang w:val="en-US"/>
        </w:rPr>
        <w:t xml:space="preserve"> </w:t>
      </w:r>
      <w:r w:rsidRPr="000977F7">
        <w:rPr>
          <w:rFonts w:asciiTheme="majorHAnsi" w:hAnsiTheme="majorHAnsi"/>
          <w:spacing w:val="-3"/>
          <w:sz w:val="20"/>
          <w:szCs w:val="20"/>
        </w:rPr>
        <w:t>наслідків</w:t>
      </w:r>
      <w:r w:rsidRPr="004D2D14">
        <w:rPr>
          <w:rFonts w:asciiTheme="majorHAnsi" w:hAnsiTheme="majorHAnsi"/>
          <w:spacing w:val="-9"/>
          <w:sz w:val="20"/>
          <w:szCs w:val="20"/>
          <w:lang w:val="en-US"/>
        </w:rPr>
        <w:t xml:space="preserve"> </w:t>
      </w:r>
      <w:r w:rsidRPr="000977F7">
        <w:rPr>
          <w:rFonts w:asciiTheme="majorHAnsi" w:hAnsiTheme="majorHAnsi"/>
          <w:spacing w:val="-2"/>
          <w:sz w:val="20"/>
          <w:szCs w:val="20"/>
        </w:rPr>
        <w:t>відмов</w:t>
      </w:r>
      <w:r w:rsidRPr="004D2D14">
        <w:rPr>
          <w:rFonts w:asciiTheme="majorHAnsi" w:hAnsiTheme="majorHAnsi"/>
          <w:spacing w:val="-9"/>
          <w:sz w:val="20"/>
          <w:szCs w:val="20"/>
          <w:lang w:val="en-US"/>
        </w:rPr>
        <w:t xml:space="preserve"> </w:t>
      </w:r>
      <w:r w:rsidRPr="000977F7">
        <w:rPr>
          <w:rFonts w:asciiTheme="majorHAnsi" w:hAnsiTheme="majorHAnsi"/>
          <w:spacing w:val="-2"/>
          <w:sz w:val="20"/>
          <w:szCs w:val="20"/>
        </w:rPr>
        <w:t>з</w:t>
      </w:r>
      <w:r w:rsidRPr="004D2D14">
        <w:rPr>
          <w:rFonts w:asciiTheme="majorHAnsi" w:hAnsiTheme="majorHAnsi"/>
          <w:spacing w:val="-8"/>
          <w:sz w:val="20"/>
          <w:szCs w:val="20"/>
          <w:lang w:val="en-US"/>
        </w:rPr>
        <w:t xml:space="preserve"> </w:t>
      </w:r>
      <w:r w:rsidRPr="000977F7">
        <w:rPr>
          <w:rFonts w:asciiTheme="majorHAnsi" w:hAnsiTheme="majorHAnsi"/>
          <w:spacing w:val="-2"/>
          <w:sz w:val="20"/>
          <w:szCs w:val="20"/>
        </w:rPr>
        <w:t>урахуванням</w:t>
      </w:r>
      <w:r w:rsidRPr="004D2D14">
        <w:rPr>
          <w:rFonts w:asciiTheme="majorHAnsi" w:hAnsiTheme="majorHAnsi"/>
          <w:spacing w:val="-7"/>
          <w:sz w:val="20"/>
          <w:szCs w:val="20"/>
          <w:lang w:val="en-US"/>
        </w:rPr>
        <w:t xml:space="preserve"> </w:t>
      </w:r>
      <w:r w:rsidRPr="000977F7">
        <w:rPr>
          <w:rFonts w:asciiTheme="majorHAnsi" w:hAnsiTheme="majorHAnsi"/>
          <w:spacing w:val="-2"/>
          <w:sz w:val="20"/>
          <w:szCs w:val="20"/>
        </w:rPr>
        <w:t>імо</w:t>
      </w:r>
      <w:r w:rsidRPr="000977F7">
        <w:rPr>
          <w:rFonts w:asciiTheme="majorHAnsi" w:hAnsiTheme="majorHAnsi"/>
          <w:spacing w:val="-4"/>
          <w:sz w:val="20"/>
          <w:szCs w:val="20"/>
        </w:rPr>
        <w:t>вірності</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їх</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виникнення</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та</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рівня</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вагомості</w:t>
      </w:r>
      <w:r w:rsidRPr="004D2D14">
        <w:rPr>
          <w:rFonts w:asciiTheme="majorHAnsi" w:hAnsiTheme="majorHAnsi"/>
          <w:spacing w:val="-4"/>
          <w:sz w:val="20"/>
          <w:szCs w:val="20"/>
          <w:lang w:val="en-US"/>
        </w:rPr>
        <w:t xml:space="preserve"> </w:t>
      </w:r>
      <w:r w:rsidRPr="000977F7">
        <w:rPr>
          <w:rFonts w:asciiTheme="majorHAnsi" w:hAnsiTheme="majorHAnsi"/>
          <w:spacing w:val="-3"/>
          <w:sz w:val="20"/>
          <w:szCs w:val="20"/>
        </w:rPr>
        <w:t>їх</w:t>
      </w:r>
      <w:r w:rsidRPr="004D2D14">
        <w:rPr>
          <w:rFonts w:asciiTheme="majorHAnsi" w:hAnsiTheme="majorHAnsi"/>
          <w:spacing w:val="-3"/>
          <w:sz w:val="20"/>
          <w:szCs w:val="20"/>
          <w:lang w:val="en-US"/>
        </w:rPr>
        <w:t xml:space="preserve"> </w:t>
      </w:r>
      <w:r w:rsidRPr="000977F7">
        <w:rPr>
          <w:rFonts w:asciiTheme="majorHAnsi" w:hAnsiTheme="majorHAnsi"/>
          <w:spacing w:val="-3"/>
          <w:sz w:val="20"/>
          <w:szCs w:val="20"/>
        </w:rPr>
        <w:t>наслідків</w:t>
      </w:r>
      <w:r w:rsidRPr="004D2D14">
        <w:rPr>
          <w:rFonts w:asciiTheme="majorHAnsi" w:hAnsiTheme="majorHAnsi"/>
          <w:spacing w:val="-2"/>
          <w:sz w:val="20"/>
          <w:szCs w:val="20"/>
          <w:lang w:val="en-US"/>
        </w:rPr>
        <w:t xml:space="preserve"> </w:t>
      </w:r>
      <w:r w:rsidRPr="000977F7">
        <w:rPr>
          <w:rFonts w:asciiTheme="majorHAnsi" w:hAnsiTheme="majorHAnsi"/>
          <w:b/>
          <w:sz w:val="20"/>
          <w:szCs w:val="20"/>
        </w:rPr>
        <w:t>АНАЛІЗ</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ХАРАКТЕРУ</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ТА</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НАСЛІДКІВ</w:t>
      </w:r>
    </w:p>
    <w:p w14:paraId="3340062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ВІДМОВИ –</w:t>
      </w:r>
    </w:p>
    <w:p w14:paraId="3A391B0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FAILURE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MODE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AND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EFFECTS</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ANALYSIS -</w:t>
      </w:r>
    </w:p>
    <w:p w14:paraId="3BCF987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Якісний</w:t>
      </w:r>
      <w:r w:rsidRPr="004D2D14">
        <w:rPr>
          <w:rFonts w:asciiTheme="majorHAnsi" w:hAnsiTheme="majorHAnsi"/>
          <w:sz w:val="20"/>
          <w:szCs w:val="20"/>
          <w:lang w:val="en-US"/>
        </w:rPr>
        <w:t xml:space="preserve"> </w:t>
      </w:r>
      <w:r w:rsidRPr="000977F7">
        <w:rPr>
          <w:rFonts w:asciiTheme="majorHAnsi" w:hAnsiTheme="majorHAnsi"/>
          <w:sz w:val="20"/>
          <w:szCs w:val="20"/>
        </w:rPr>
        <w:t>метод</w:t>
      </w:r>
      <w:r w:rsidRPr="004D2D14">
        <w:rPr>
          <w:rFonts w:asciiTheme="majorHAnsi" w:hAnsiTheme="majorHAnsi"/>
          <w:sz w:val="20"/>
          <w:szCs w:val="20"/>
          <w:lang w:val="en-US"/>
        </w:rPr>
        <w:t xml:space="preserve"> </w:t>
      </w:r>
      <w:r w:rsidRPr="000977F7">
        <w:rPr>
          <w:rFonts w:asciiTheme="majorHAnsi" w:hAnsiTheme="majorHAnsi"/>
          <w:sz w:val="20"/>
          <w:szCs w:val="20"/>
        </w:rPr>
        <w:t>аналізу</w:t>
      </w:r>
      <w:r w:rsidRPr="004D2D14">
        <w:rPr>
          <w:rFonts w:asciiTheme="majorHAnsi" w:hAnsiTheme="majorHAnsi"/>
          <w:sz w:val="20"/>
          <w:szCs w:val="20"/>
          <w:lang w:val="en-US"/>
        </w:rPr>
        <w:t xml:space="preserve"> </w:t>
      </w:r>
      <w:r w:rsidRPr="000977F7">
        <w:rPr>
          <w:rFonts w:asciiTheme="majorHAnsi" w:hAnsiTheme="majorHAnsi"/>
          <w:sz w:val="20"/>
          <w:szCs w:val="20"/>
        </w:rPr>
        <w:t>надійності</w:t>
      </w:r>
      <w:r w:rsidRPr="004D2D14">
        <w:rPr>
          <w:rFonts w:asciiTheme="majorHAnsi" w:hAnsiTheme="majorHAnsi"/>
          <w:sz w:val="20"/>
          <w:szCs w:val="20"/>
          <w:lang w:val="en-US"/>
        </w:rPr>
        <w:t xml:space="preserve"> </w:t>
      </w:r>
      <w:r w:rsidRPr="000977F7">
        <w:rPr>
          <w:rFonts w:asciiTheme="majorHAnsi" w:hAnsiTheme="majorHAnsi"/>
          <w:sz w:val="20"/>
          <w:szCs w:val="20"/>
        </w:rPr>
        <w:t>системи</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передбачає</w:t>
      </w:r>
      <w:r w:rsidRPr="004D2D14">
        <w:rPr>
          <w:rFonts w:asciiTheme="majorHAnsi" w:hAnsiTheme="majorHAnsi"/>
          <w:sz w:val="20"/>
          <w:szCs w:val="20"/>
          <w:lang w:val="en-US"/>
        </w:rPr>
        <w:t xml:space="preserve"> </w:t>
      </w:r>
      <w:r w:rsidRPr="000977F7">
        <w:rPr>
          <w:rFonts w:asciiTheme="majorHAnsi" w:hAnsiTheme="majorHAnsi"/>
          <w:sz w:val="20"/>
          <w:szCs w:val="20"/>
        </w:rPr>
        <w:t>вивчення</w:t>
      </w:r>
      <w:r w:rsidRPr="004D2D14">
        <w:rPr>
          <w:rFonts w:asciiTheme="majorHAnsi" w:hAnsiTheme="majorHAnsi"/>
          <w:sz w:val="20"/>
          <w:szCs w:val="20"/>
          <w:lang w:val="en-US"/>
        </w:rPr>
        <w:t xml:space="preserve"> </w:t>
      </w:r>
      <w:r w:rsidRPr="000977F7">
        <w:rPr>
          <w:rFonts w:asciiTheme="majorHAnsi" w:hAnsiTheme="majorHAnsi"/>
          <w:sz w:val="20"/>
          <w:szCs w:val="20"/>
        </w:rPr>
        <w:t>видів</w:t>
      </w:r>
      <w:r w:rsidRPr="004D2D14">
        <w:rPr>
          <w:rFonts w:asciiTheme="majorHAnsi" w:hAnsiTheme="majorHAnsi"/>
          <w:sz w:val="20"/>
          <w:szCs w:val="20"/>
          <w:lang w:val="en-US"/>
        </w:rPr>
        <w:t xml:space="preserve"> </w:t>
      </w:r>
      <w:r w:rsidRPr="000977F7">
        <w:rPr>
          <w:rFonts w:asciiTheme="majorHAnsi" w:hAnsiTheme="majorHAnsi"/>
          <w:sz w:val="20"/>
          <w:szCs w:val="20"/>
        </w:rPr>
        <w:t>відмов</w:t>
      </w:r>
      <w:r w:rsidRPr="004D2D14">
        <w:rPr>
          <w:rFonts w:asciiTheme="majorHAnsi" w:hAnsiTheme="majorHAnsi"/>
          <w:sz w:val="20"/>
          <w:szCs w:val="20"/>
          <w:lang w:val="en-US"/>
        </w:rPr>
        <w:t xml:space="preserve">, </w:t>
      </w:r>
      <w:r w:rsidRPr="000977F7">
        <w:rPr>
          <w:rFonts w:asciiTheme="majorHAnsi" w:hAnsiTheme="majorHAnsi"/>
          <w:sz w:val="20"/>
          <w:szCs w:val="20"/>
        </w:rPr>
        <w:t>які</w:t>
      </w:r>
      <w:r w:rsidRPr="004D2D14">
        <w:rPr>
          <w:rFonts w:asciiTheme="majorHAnsi" w:hAnsiTheme="majorHAnsi"/>
          <w:sz w:val="20"/>
          <w:szCs w:val="20"/>
          <w:lang w:val="en-US"/>
        </w:rPr>
        <w:t xml:space="preserve"> </w:t>
      </w:r>
      <w:r w:rsidRPr="000977F7">
        <w:rPr>
          <w:rFonts w:asciiTheme="majorHAnsi" w:hAnsiTheme="majorHAnsi"/>
          <w:sz w:val="20"/>
          <w:szCs w:val="20"/>
        </w:rPr>
        <w:t>можуть</w:t>
      </w:r>
      <w:r w:rsidRPr="004D2D14">
        <w:rPr>
          <w:rFonts w:asciiTheme="majorHAnsi" w:hAnsiTheme="majorHAnsi"/>
          <w:sz w:val="20"/>
          <w:szCs w:val="20"/>
          <w:lang w:val="en-US"/>
        </w:rPr>
        <w:t xml:space="preserve"> </w:t>
      </w:r>
      <w:r w:rsidRPr="000977F7">
        <w:rPr>
          <w:rFonts w:asciiTheme="majorHAnsi" w:hAnsiTheme="majorHAnsi"/>
          <w:sz w:val="20"/>
          <w:szCs w:val="20"/>
        </w:rPr>
        <w:t>зустрічатися</w:t>
      </w:r>
      <w:r w:rsidRPr="004D2D14">
        <w:rPr>
          <w:rFonts w:asciiTheme="majorHAnsi" w:hAnsiTheme="majorHAnsi"/>
          <w:spacing w:val="1"/>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будь</w:t>
      </w:r>
      <w:r w:rsidRPr="004D2D14">
        <w:rPr>
          <w:rFonts w:asciiTheme="majorHAnsi" w:hAnsiTheme="majorHAnsi"/>
          <w:sz w:val="20"/>
          <w:szCs w:val="20"/>
          <w:lang w:val="en-US"/>
        </w:rPr>
        <w:t>-</w:t>
      </w:r>
      <w:r w:rsidRPr="000977F7">
        <w:rPr>
          <w:rFonts w:asciiTheme="majorHAnsi" w:hAnsiTheme="majorHAnsi"/>
          <w:sz w:val="20"/>
          <w:szCs w:val="20"/>
        </w:rPr>
        <w:t>якому</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єкті</w:t>
      </w:r>
      <w:r w:rsidRPr="004D2D14">
        <w:rPr>
          <w:rFonts w:asciiTheme="majorHAnsi" w:hAnsiTheme="majorHAnsi"/>
          <w:sz w:val="20"/>
          <w:szCs w:val="20"/>
          <w:lang w:val="en-US"/>
        </w:rPr>
        <w:t xml:space="preserve"> </w:t>
      </w:r>
      <w:r w:rsidRPr="000977F7">
        <w:rPr>
          <w:rFonts w:asciiTheme="majorHAnsi" w:hAnsiTheme="majorHAnsi"/>
          <w:sz w:val="20"/>
          <w:szCs w:val="20"/>
        </w:rPr>
        <w:t>системи</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визначення</w:t>
      </w:r>
      <w:r w:rsidRPr="004D2D14">
        <w:rPr>
          <w:rFonts w:asciiTheme="majorHAnsi" w:hAnsiTheme="majorHAnsi"/>
          <w:sz w:val="20"/>
          <w:szCs w:val="20"/>
          <w:lang w:val="en-US"/>
        </w:rPr>
        <w:t xml:space="preserve"> </w:t>
      </w:r>
      <w:r w:rsidRPr="000977F7">
        <w:rPr>
          <w:rFonts w:asciiTheme="majorHAnsi" w:hAnsiTheme="majorHAnsi"/>
          <w:sz w:val="20"/>
          <w:szCs w:val="20"/>
        </w:rPr>
        <w:t>наслідків</w:t>
      </w:r>
      <w:r w:rsidRPr="004D2D14">
        <w:rPr>
          <w:rFonts w:asciiTheme="majorHAnsi" w:hAnsiTheme="majorHAnsi"/>
          <w:spacing w:val="-47"/>
          <w:sz w:val="20"/>
          <w:szCs w:val="20"/>
          <w:lang w:val="en-US"/>
        </w:rPr>
        <w:t xml:space="preserve"> </w:t>
      </w:r>
      <w:r w:rsidRPr="000977F7">
        <w:rPr>
          <w:rFonts w:asciiTheme="majorHAnsi" w:hAnsiTheme="majorHAnsi"/>
          <w:sz w:val="20"/>
          <w:szCs w:val="20"/>
        </w:rPr>
        <w:t>впливу</w:t>
      </w:r>
      <w:r w:rsidRPr="004D2D14">
        <w:rPr>
          <w:rFonts w:asciiTheme="majorHAnsi" w:hAnsiTheme="majorHAnsi"/>
          <w:sz w:val="20"/>
          <w:szCs w:val="20"/>
          <w:lang w:val="en-US"/>
        </w:rPr>
        <w:t xml:space="preserve"> </w:t>
      </w:r>
      <w:r w:rsidRPr="000977F7">
        <w:rPr>
          <w:rFonts w:asciiTheme="majorHAnsi" w:hAnsiTheme="majorHAnsi"/>
          <w:sz w:val="20"/>
          <w:szCs w:val="20"/>
        </w:rPr>
        <w:t>відмов</w:t>
      </w:r>
      <w:r w:rsidRPr="004D2D14">
        <w:rPr>
          <w:rFonts w:asciiTheme="majorHAnsi" w:hAnsiTheme="majorHAnsi"/>
          <w:sz w:val="20"/>
          <w:szCs w:val="20"/>
          <w:lang w:val="en-US"/>
        </w:rPr>
        <w:t xml:space="preserve"> </w:t>
      </w:r>
      <w:r w:rsidRPr="000977F7">
        <w:rPr>
          <w:rFonts w:asciiTheme="majorHAnsi" w:hAnsiTheme="majorHAnsi"/>
          <w:sz w:val="20"/>
          <w:szCs w:val="20"/>
        </w:rPr>
        <w:t>кожного</w:t>
      </w:r>
      <w:r w:rsidRPr="004D2D14">
        <w:rPr>
          <w:rFonts w:asciiTheme="majorHAnsi" w:hAnsiTheme="majorHAnsi"/>
          <w:sz w:val="20"/>
          <w:szCs w:val="20"/>
          <w:lang w:val="en-US"/>
        </w:rPr>
        <w:t xml:space="preserve"> </w:t>
      </w:r>
      <w:r w:rsidRPr="000977F7">
        <w:rPr>
          <w:rFonts w:asciiTheme="majorHAnsi" w:hAnsiTheme="majorHAnsi"/>
          <w:sz w:val="20"/>
          <w:szCs w:val="20"/>
        </w:rPr>
        <w:t>виду</w:t>
      </w:r>
      <w:r w:rsidRPr="004D2D14">
        <w:rPr>
          <w:rFonts w:asciiTheme="majorHAnsi" w:hAnsiTheme="majorHAnsi"/>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інші</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єкти</w:t>
      </w:r>
      <w:r w:rsidRPr="004D2D14">
        <w:rPr>
          <w:rFonts w:asciiTheme="majorHAnsi" w:hAnsiTheme="majorHAnsi"/>
          <w:sz w:val="20"/>
          <w:szCs w:val="20"/>
          <w:lang w:val="en-US"/>
        </w:rPr>
        <w:t xml:space="preserve"> </w:t>
      </w:r>
      <w:r w:rsidRPr="000977F7">
        <w:rPr>
          <w:rFonts w:asciiTheme="majorHAnsi" w:hAnsiTheme="majorHAnsi"/>
          <w:sz w:val="20"/>
          <w:szCs w:val="20"/>
        </w:rPr>
        <w:t>системи</w:t>
      </w:r>
      <w:r w:rsidRPr="004D2D14">
        <w:rPr>
          <w:rFonts w:asciiTheme="majorHAnsi" w:hAnsiTheme="majorHAnsi"/>
          <w:spacing w:val="1"/>
          <w:sz w:val="20"/>
          <w:szCs w:val="20"/>
          <w:lang w:val="en-US"/>
        </w:rPr>
        <w:t xml:space="preserve"> </w:t>
      </w:r>
      <w:r w:rsidRPr="000977F7">
        <w:rPr>
          <w:rFonts w:asciiTheme="majorHAnsi" w:hAnsiTheme="majorHAnsi"/>
          <w:sz w:val="20"/>
          <w:szCs w:val="20"/>
        </w:rPr>
        <w:t>та</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її</w:t>
      </w:r>
      <w:r w:rsidRPr="004D2D14">
        <w:rPr>
          <w:rFonts w:asciiTheme="majorHAnsi" w:hAnsiTheme="majorHAnsi"/>
          <w:spacing w:val="-2"/>
          <w:sz w:val="20"/>
          <w:szCs w:val="20"/>
          <w:lang w:val="en-US"/>
        </w:rPr>
        <w:t xml:space="preserve"> </w:t>
      </w:r>
      <w:r w:rsidRPr="000977F7">
        <w:rPr>
          <w:rFonts w:asciiTheme="majorHAnsi" w:hAnsiTheme="majorHAnsi"/>
          <w:sz w:val="20"/>
          <w:szCs w:val="20"/>
        </w:rPr>
        <w:t>експлуатаційні</w:t>
      </w:r>
      <w:r w:rsidRPr="004D2D14">
        <w:rPr>
          <w:rFonts w:asciiTheme="majorHAnsi" w:hAnsiTheme="majorHAnsi"/>
          <w:spacing w:val="-1"/>
          <w:sz w:val="20"/>
          <w:szCs w:val="20"/>
          <w:lang w:val="en-US"/>
        </w:rPr>
        <w:t xml:space="preserve"> </w:t>
      </w:r>
      <w:r w:rsidRPr="000977F7">
        <w:rPr>
          <w:rFonts w:asciiTheme="majorHAnsi" w:hAnsiTheme="majorHAnsi"/>
          <w:sz w:val="20"/>
          <w:szCs w:val="20"/>
        </w:rPr>
        <w:t>функції</w:t>
      </w:r>
    </w:p>
    <w:p w14:paraId="2619DA4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АНАЛІЗ</w:t>
      </w:r>
      <w:r w:rsidRPr="000977F7">
        <w:rPr>
          <w:color w:val="auto"/>
          <w:spacing w:val="-5"/>
          <w:sz w:val="20"/>
          <w:szCs w:val="20"/>
        </w:rPr>
        <w:t xml:space="preserve"> </w:t>
      </w:r>
      <w:r w:rsidRPr="000977F7">
        <w:rPr>
          <w:color w:val="auto"/>
          <w:sz w:val="20"/>
          <w:szCs w:val="20"/>
        </w:rPr>
        <w:t>ЯКОСТІ</w:t>
      </w:r>
      <w:r w:rsidRPr="000977F7">
        <w:rPr>
          <w:color w:val="auto"/>
          <w:spacing w:val="-3"/>
          <w:sz w:val="20"/>
          <w:szCs w:val="20"/>
        </w:rPr>
        <w:t xml:space="preserve"> </w:t>
      </w:r>
      <w:r w:rsidRPr="000977F7">
        <w:rPr>
          <w:color w:val="auto"/>
          <w:sz w:val="20"/>
          <w:szCs w:val="20"/>
        </w:rPr>
        <w:t>ЕЛЕКТРИЧНОЇ</w:t>
      </w:r>
      <w:r w:rsidRPr="000977F7">
        <w:rPr>
          <w:color w:val="auto"/>
          <w:spacing w:val="-6"/>
          <w:sz w:val="20"/>
          <w:szCs w:val="20"/>
        </w:rPr>
        <w:t xml:space="preserve"> </w:t>
      </w:r>
      <w:r w:rsidRPr="000977F7">
        <w:rPr>
          <w:color w:val="auto"/>
          <w:sz w:val="20"/>
          <w:szCs w:val="20"/>
        </w:rPr>
        <w:t>ЕНЕРГІЇ</w:t>
      </w:r>
      <w:r w:rsidRPr="000977F7">
        <w:rPr>
          <w:color w:val="auto"/>
          <w:spacing w:val="-1"/>
          <w:sz w:val="20"/>
          <w:szCs w:val="20"/>
        </w:rPr>
        <w:t xml:space="preserve"> </w:t>
      </w:r>
      <w:r w:rsidRPr="000977F7">
        <w:rPr>
          <w:color w:val="auto"/>
          <w:sz w:val="20"/>
          <w:szCs w:val="20"/>
        </w:rPr>
        <w:t>-</w:t>
      </w:r>
    </w:p>
    <w:p w14:paraId="48D80B6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Встановлення причин невідповідності якості елек-</w:t>
      </w:r>
    </w:p>
    <w:p w14:paraId="233AED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тричної</w:t>
      </w:r>
      <w:r w:rsidRPr="000977F7">
        <w:rPr>
          <w:rFonts w:asciiTheme="majorHAnsi" w:hAnsiTheme="majorHAnsi"/>
          <w:spacing w:val="-2"/>
          <w:sz w:val="20"/>
          <w:szCs w:val="20"/>
        </w:rPr>
        <w:t xml:space="preserve"> </w:t>
      </w:r>
      <w:r w:rsidRPr="000977F7">
        <w:rPr>
          <w:rFonts w:asciiTheme="majorHAnsi" w:hAnsiTheme="majorHAnsi"/>
          <w:sz w:val="20"/>
          <w:szCs w:val="20"/>
        </w:rPr>
        <w:t>енергії</w:t>
      </w:r>
      <w:r w:rsidRPr="000977F7">
        <w:rPr>
          <w:rFonts w:asciiTheme="majorHAnsi" w:hAnsiTheme="majorHAnsi"/>
          <w:spacing w:val="-2"/>
          <w:sz w:val="20"/>
          <w:szCs w:val="20"/>
        </w:rPr>
        <w:t xml:space="preserve"> </w:t>
      </w:r>
      <w:r w:rsidRPr="000977F7">
        <w:rPr>
          <w:rFonts w:asciiTheme="majorHAnsi" w:hAnsiTheme="majorHAnsi"/>
          <w:sz w:val="20"/>
          <w:szCs w:val="20"/>
        </w:rPr>
        <w:t>встановленим</w:t>
      </w:r>
      <w:r w:rsidRPr="000977F7">
        <w:rPr>
          <w:rFonts w:asciiTheme="majorHAnsi" w:hAnsiTheme="majorHAnsi"/>
          <w:spacing w:val="1"/>
          <w:sz w:val="20"/>
          <w:szCs w:val="20"/>
        </w:rPr>
        <w:t xml:space="preserve"> </w:t>
      </w:r>
      <w:r w:rsidRPr="000977F7">
        <w:rPr>
          <w:rFonts w:asciiTheme="majorHAnsi" w:hAnsiTheme="majorHAnsi"/>
          <w:sz w:val="20"/>
          <w:szCs w:val="20"/>
        </w:rPr>
        <w:t xml:space="preserve">значенням </w:t>
      </w:r>
    </w:p>
    <w:p w14:paraId="26A6C1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
          <w:caps/>
          <w:sz w:val="20"/>
          <w:szCs w:val="20"/>
        </w:rPr>
        <w:lastRenderedPageBreak/>
        <w:t>Аналізування</w:t>
      </w:r>
      <w:r w:rsidRPr="000977F7">
        <w:rPr>
          <w:rFonts w:asciiTheme="majorHAnsi" w:hAnsiTheme="majorHAnsi"/>
          <w:sz w:val="20"/>
          <w:szCs w:val="20"/>
        </w:rPr>
        <w:t xml:space="preserve"> –</w:t>
      </w:r>
    </w:p>
    <w:p w14:paraId="664C0227"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REVIEW -</w:t>
      </w:r>
    </w:p>
    <w:p w14:paraId="0CFB72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Визначання придатності, адекватності чи результативності поставлених цілей.</w:t>
      </w:r>
    </w:p>
    <w:p w14:paraId="2576AE5F"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ISO 9000:2015</w:t>
      </w:r>
    </w:p>
    <w:p w14:paraId="550C4C46"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sz w:val="20"/>
          <w:szCs w:val="20"/>
        </w:rPr>
        <w:t>АНАЛІЗУВАННЯ</w:t>
      </w:r>
      <w:r w:rsidRPr="000977F7">
        <w:rPr>
          <w:rFonts w:asciiTheme="majorHAnsi" w:hAnsiTheme="majorHAnsi"/>
          <w:b/>
          <w:bCs/>
          <w:spacing w:val="33"/>
          <w:sz w:val="20"/>
          <w:szCs w:val="20"/>
        </w:rPr>
        <w:t xml:space="preserve"> </w:t>
      </w:r>
      <w:r w:rsidRPr="000977F7">
        <w:rPr>
          <w:rFonts w:asciiTheme="majorHAnsi" w:hAnsiTheme="majorHAnsi"/>
          <w:b/>
          <w:bCs/>
          <w:sz w:val="20"/>
          <w:szCs w:val="20"/>
        </w:rPr>
        <w:t>ВИМОГ</w:t>
      </w:r>
      <w:r w:rsidRPr="000977F7">
        <w:rPr>
          <w:rFonts w:asciiTheme="majorHAnsi" w:hAnsiTheme="majorHAnsi"/>
          <w:b/>
          <w:bCs/>
          <w:spacing w:val="33"/>
          <w:sz w:val="20"/>
          <w:szCs w:val="20"/>
        </w:rPr>
        <w:t xml:space="preserve"> </w:t>
      </w:r>
      <w:r w:rsidRPr="000977F7">
        <w:rPr>
          <w:rFonts w:asciiTheme="majorHAnsi" w:hAnsiTheme="majorHAnsi"/>
          <w:b/>
          <w:bCs/>
          <w:sz w:val="20"/>
          <w:szCs w:val="20"/>
        </w:rPr>
        <w:t>ЩОДО</w:t>
      </w:r>
      <w:r w:rsidRPr="000977F7">
        <w:rPr>
          <w:rFonts w:asciiTheme="majorHAnsi" w:hAnsiTheme="majorHAnsi"/>
          <w:b/>
          <w:bCs/>
          <w:spacing w:val="33"/>
          <w:sz w:val="20"/>
          <w:szCs w:val="20"/>
        </w:rPr>
        <w:t xml:space="preserve"> </w:t>
      </w:r>
      <w:r w:rsidRPr="000977F7">
        <w:rPr>
          <w:rFonts w:asciiTheme="majorHAnsi" w:hAnsiTheme="majorHAnsi"/>
          <w:b/>
          <w:bCs/>
          <w:sz w:val="20"/>
          <w:szCs w:val="20"/>
        </w:rPr>
        <w:t>ПРОДУКЦІЇ</w:t>
      </w:r>
      <w:r w:rsidRPr="000977F7">
        <w:rPr>
          <w:rFonts w:asciiTheme="majorHAnsi" w:hAnsiTheme="majorHAnsi"/>
          <w:b/>
          <w:bCs/>
          <w:spacing w:val="-47"/>
          <w:sz w:val="20"/>
          <w:szCs w:val="20"/>
        </w:rPr>
        <w:t xml:space="preserve"> </w:t>
      </w:r>
      <w:r w:rsidRPr="000977F7">
        <w:rPr>
          <w:rFonts w:asciiTheme="majorHAnsi" w:hAnsiTheme="majorHAnsi"/>
          <w:b/>
          <w:bCs/>
          <w:sz w:val="20"/>
          <w:szCs w:val="20"/>
        </w:rPr>
        <w:t>ТА</w:t>
      </w:r>
      <w:r w:rsidRPr="000977F7">
        <w:rPr>
          <w:rFonts w:asciiTheme="majorHAnsi" w:hAnsiTheme="majorHAnsi"/>
          <w:b/>
          <w:bCs/>
          <w:spacing w:val="-1"/>
          <w:sz w:val="20"/>
          <w:szCs w:val="20"/>
        </w:rPr>
        <w:t xml:space="preserve"> </w:t>
      </w:r>
      <w:r w:rsidRPr="000977F7">
        <w:rPr>
          <w:rFonts w:asciiTheme="majorHAnsi" w:hAnsiTheme="majorHAnsi"/>
          <w:b/>
          <w:bCs/>
          <w:sz w:val="20"/>
          <w:szCs w:val="20"/>
        </w:rPr>
        <w:t>ПОСЛУГ</w:t>
      </w:r>
      <w:r w:rsidRPr="000977F7">
        <w:rPr>
          <w:rFonts w:asciiTheme="majorHAnsi" w:hAnsiTheme="majorHAnsi"/>
          <w:b/>
          <w:bCs/>
          <w:spacing w:val="1"/>
          <w:sz w:val="20"/>
          <w:szCs w:val="20"/>
        </w:rPr>
        <w:t xml:space="preserve"> </w:t>
      </w:r>
      <w:r w:rsidRPr="000977F7">
        <w:rPr>
          <w:rFonts w:asciiTheme="majorHAnsi" w:hAnsiTheme="majorHAnsi"/>
          <w:b/>
          <w:bCs/>
          <w:sz w:val="20"/>
          <w:szCs w:val="20"/>
        </w:rPr>
        <w:t>–</w:t>
      </w:r>
    </w:p>
    <w:p w14:paraId="53D70A7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забезпечувати впевненість у тому, що вона здатна задовольняти вимоги до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 послуг, пропонованих замовникам. Перед тим як</w:t>
      </w:r>
      <w:r w:rsidRPr="000977F7">
        <w:rPr>
          <w:rFonts w:asciiTheme="majorHAnsi" w:hAnsiTheme="majorHAnsi"/>
          <w:spacing w:val="1"/>
          <w:sz w:val="20"/>
          <w:szCs w:val="20"/>
        </w:rPr>
        <w:t xml:space="preserve"> </w:t>
      </w:r>
      <w:r w:rsidRPr="000977F7">
        <w:rPr>
          <w:rFonts w:asciiTheme="majorHAnsi" w:hAnsiTheme="majorHAnsi"/>
          <w:sz w:val="20"/>
          <w:szCs w:val="20"/>
        </w:rPr>
        <w:t>брати зобов’язання щодо надання продукції та послуги</w:t>
      </w:r>
      <w:r w:rsidRPr="000977F7">
        <w:rPr>
          <w:rFonts w:asciiTheme="majorHAnsi" w:hAnsiTheme="majorHAnsi"/>
          <w:spacing w:val="-4"/>
          <w:sz w:val="20"/>
          <w:szCs w:val="20"/>
        </w:rPr>
        <w:t xml:space="preserve"> </w:t>
      </w:r>
      <w:r w:rsidRPr="000977F7">
        <w:rPr>
          <w:rFonts w:asciiTheme="majorHAnsi" w:hAnsiTheme="majorHAnsi"/>
          <w:sz w:val="20"/>
          <w:szCs w:val="20"/>
        </w:rPr>
        <w:t>замовнику,</w:t>
      </w:r>
      <w:r w:rsidRPr="000977F7">
        <w:rPr>
          <w:rFonts w:asciiTheme="majorHAnsi" w:hAnsiTheme="majorHAnsi"/>
          <w:spacing w:val="-2"/>
          <w:sz w:val="20"/>
          <w:szCs w:val="20"/>
        </w:rPr>
        <w:t xml:space="preserve"> </w:t>
      </w:r>
      <w:r w:rsidRPr="000977F7">
        <w:rPr>
          <w:rFonts w:asciiTheme="majorHAnsi" w:hAnsiTheme="majorHAnsi"/>
          <w:sz w:val="20"/>
          <w:szCs w:val="20"/>
        </w:rPr>
        <w:t>організація</w:t>
      </w:r>
      <w:r w:rsidRPr="000977F7">
        <w:rPr>
          <w:rFonts w:asciiTheme="majorHAnsi" w:hAnsiTheme="majorHAnsi"/>
          <w:spacing w:val="-4"/>
          <w:sz w:val="20"/>
          <w:szCs w:val="20"/>
        </w:rPr>
        <w:t xml:space="preserve"> </w:t>
      </w:r>
      <w:r w:rsidRPr="000977F7">
        <w:rPr>
          <w:rFonts w:asciiTheme="majorHAnsi" w:hAnsiTheme="majorHAnsi"/>
          <w:sz w:val="20"/>
          <w:szCs w:val="20"/>
        </w:rPr>
        <w:t>повинна</w:t>
      </w:r>
      <w:r w:rsidRPr="000977F7">
        <w:rPr>
          <w:rFonts w:asciiTheme="majorHAnsi" w:hAnsiTheme="majorHAnsi"/>
          <w:spacing w:val="1"/>
          <w:sz w:val="20"/>
          <w:szCs w:val="20"/>
        </w:rPr>
        <w:t xml:space="preserve"> </w:t>
      </w:r>
      <w:r w:rsidRPr="000977F7">
        <w:rPr>
          <w:rFonts w:asciiTheme="majorHAnsi" w:hAnsiTheme="majorHAnsi"/>
          <w:sz w:val="20"/>
          <w:szCs w:val="20"/>
        </w:rPr>
        <w:t>проаналізувати:</w:t>
      </w:r>
    </w:p>
    <w:p w14:paraId="7BBA87A5" w14:textId="77777777" w:rsidR="0097612F" w:rsidRPr="000977F7" w:rsidRDefault="0097612F" w:rsidP="00FD39A4">
      <w:pPr>
        <w:pStyle w:val="ac"/>
        <w:widowControl w:val="0"/>
        <w:numPr>
          <w:ilvl w:val="0"/>
          <w:numId w:val="223"/>
        </w:numPr>
        <w:tabs>
          <w:tab w:val="left" w:pos="284"/>
          <w:tab w:val="left" w:pos="56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вимоги, установлені замовником, зокрема вимоги</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постачання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дій</w:t>
      </w:r>
      <w:r w:rsidRPr="000977F7">
        <w:rPr>
          <w:rFonts w:asciiTheme="majorHAnsi" w:hAnsiTheme="majorHAnsi"/>
          <w:spacing w:val="1"/>
          <w:sz w:val="20"/>
          <w:szCs w:val="20"/>
        </w:rPr>
        <w:t xml:space="preserve"> </w:t>
      </w:r>
      <w:r w:rsidRPr="000977F7">
        <w:rPr>
          <w:rFonts w:asciiTheme="majorHAnsi" w:hAnsiTheme="majorHAnsi"/>
          <w:sz w:val="20"/>
          <w:szCs w:val="20"/>
        </w:rPr>
        <w:t>після</w:t>
      </w:r>
      <w:r w:rsidRPr="000977F7">
        <w:rPr>
          <w:rFonts w:asciiTheme="majorHAnsi" w:hAnsiTheme="majorHAnsi"/>
          <w:spacing w:val="-1"/>
          <w:sz w:val="20"/>
          <w:szCs w:val="20"/>
        </w:rPr>
        <w:t xml:space="preserve"> </w:t>
      </w:r>
      <w:r w:rsidRPr="000977F7">
        <w:rPr>
          <w:rFonts w:asciiTheme="majorHAnsi" w:hAnsiTheme="majorHAnsi"/>
          <w:sz w:val="20"/>
          <w:szCs w:val="20"/>
        </w:rPr>
        <w:t>постачання;</w:t>
      </w:r>
    </w:p>
    <w:p w14:paraId="3DF2B928" w14:textId="77777777" w:rsidR="0097612F" w:rsidRPr="000977F7" w:rsidRDefault="0097612F" w:rsidP="00FD39A4">
      <w:pPr>
        <w:pStyle w:val="ac"/>
        <w:widowControl w:val="0"/>
        <w:numPr>
          <w:ilvl w:val="0"/>
          <w:numId w:val="223"/>
        </w:numPr>
        <w:tabs>
          <w:tab w:val="left" w:pos="284"/>
          <w:tab w:val="left" w:pos="54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вимоги, не встановлені замовником, але які потрібні для встановленого чи передбаченого 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якщо про</w:t>
      </w:r>
      <w:r w:rsidRPr="000977F7">
        <w:rPr>
          <w:rFonts w:asciiTheme="majorHAnsi" w:hAnsiTheme="majorHAnsi"/>
          <w:spacing w:val="1"/>
          <w:sz w:val="20"/>
          <w:szCs w:val="20"/>
        </w:rPr>
        <w:t xml:space="preserve"> </w:t>
      </w:r>
      <w:r w:rsidRPr="000977F7">
        <w:rPr>
          <w:rFonts w:asciiTheme="majorHAnsi" w:hAnsiTheme="majorHAnsi"/>
          <w:sz w:val="20"/>
          <w:szCs w:val="20"/>
        </w:rPr>
        <w:t>таке</w:t>
      </w:r>
      <w:r w:rsidRPr="000977F7">
        <w:rPr>
          <w:rFonts w:asciiTheme="majorHAnsi" w:hAnsiTheme="majorHAnsi"/>
          <w:spacing w:val="-1"/>
          <w:sz w:val="20"/>
          <w:szCs w:val="20"/>
        </w:rPr>
        <w:t xml:space="preserve"> </w:t>
      </w:r>
      <w:r w:rsidRPr="000977F7">
        <w:rPr>
          <w:rFonts w:asciiTheme="majorHAnsi" w:hAnsiTheme="majorHAnsi"/>
          <w:sz w:val="20"/>
          <w:szCs w:val="20"/>
        </w:rPr>
        <w:t>відомо;</w:t>
      </w:r>
    </w:p>
    <w:p w14:paraId="23B602E2" w14:textId="77777777" w:rsidR="0097612F" w:rsidRPr="000977F7" w:rsidRDefault="0097612F" w:rsidP="00FD39A4">
      <w:pPr>
        <w:pStyle w:val="ac"/>
        <w:widowControl w:val="0"/>
        <w:numPr>
          <w:ilvl w:val="0"/>
          <w:numId w:val="223"/>
        </w:numPr>
        <w:tabs>
          <w:tab w:val="left" w:pos="284"/>
          <w:tab w:val="left" w:pos="52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вимоги,</w:t>
      </w:r>
      <w:r w:rsidRPr="000977F7">
        <w:rPr>
          <w:rFonts w:asciiTheme="majorHAnsi" w:hAnsiTheme="majorHAnsi"/>
          <w:spacing w:val="-4"/>
          <w:sz w:val="20"/>
          <w:szCs w:val="20"/>
        </w:rPr>
        <w:t xml:space="preserve"> </w:t>
      </w:r>
      <w:r w:rsidRPr="000977F7">
        <w:rPr>
          <w:rFonts w:asciiTheme="majorHAnsi" w:hAnsiTheme="majorHAnsi"/>
          <w:sz w:val="20"/>
          <w:szCs w:val="20"/>
        </w:rPr>
        <w:t>установлені</w:t>
      </w:r>
      <w:r w:rsidRPr="000977F7">
        <w:rPr>
          <w:rFonts w:asciiTheme="majorHAnsi" w:hAnsiTheme="majorHAnsi"/>
          <w:spacing w:val="-7"/>
          <w:sz w:val="20"/>
          <w:szCs w:val="20"/>
        </w:rPr>
        <w:t xml:space="preserve"> </w:t>
      </w:r>
      <w:r w:rsidRPr="000977F7">
        <w:rPr>
          <w:rFonts w:asciiTheme="majorHAnsi" w:hAnsiTheme="majorHAnsi"/>
          <w:sz w:val="20"/>
          <w:szCs w:val="20"/>
        </w:rPr>
        <w:t>організацією;</w:t>
      </w:r>
    </w:p>
    <w:p w14:paraId="1899594B" w14:textId="77777777" w:rsidR="0097612F" w:rsidRPr="000977F7" w:rsidRDefault="0097612F" w:rsidP="00FD39A4">
      <w:pPr>
        <w:pStyle w:val="ac"/>
        <w:widowControl w:val="0"/>
        <w:numPr>
          <w:ilvl w:val="0"/>
          <w:numId w:val="223"/>
        </w:numPr>
        <w:tabs>
          <w:tab w:val="left" w:pos="284"/>
          <w:tab w:val="left" w:pos="56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законодавчі та регламентувальні вимоги, застосовані</w:t>
      </w:r>
      <w:r w:rsidRPr="000977F7">
        <w:rPr>
          <w:rFonts w:asciiTheme="majorHAnsi" w:hAnsiTheme="majorHAnsi"/>
          <w:spacing w:val="-2"/>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 послуг;</w:t>
      </w:r>
    </w:p>
    <w:p w14:paraId="4E0346C5" w14:textId="77777777" w:rsidR="0097612F" w:rsidRPr="000977F7" w:rsidRDefault="0097612F" w:rsidP="00FD39A4">
      <w:pPr>
        <w:pStyle w:val="ac"/>
        <w:widowControl w:val="0"/>
        <w:numPr>
          <w:ilvl w:val="0"/>
          <w:numId w:val="223"/>
        </w:numPr>
        <w:tabs>
          <w:tab w:val="left" w:pos="284"/>
          <w:tab w:val="left" w:pos="53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розбіжності між вимогами контрактів та замовлень,</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раніше сформульовані.</w:t>
      </w:r>
    </w:p>
    <w:p w14:paraId="6EBEDA1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повинна</w:t>
      </w:r>
      <w:r w:rsidRPr="000977F7">
        <w:rPr>
          <w:rFonts w:asciiTheme="majorHAnsi" w:hAnsiTheme="majorHAnsi"/>
          <w:spacing w:val="1"/>
          <w:sz w:val="20"/>
          <w:szCs w:val="20"/>
        </w:rPr>
        <w:t xml:space="preserve"> </w:t>
      </w:r>
      <w:r w:rsidRPr="000977F7">
        <w:rPr>
          <w:rFonts w:asciiTheme="majorHAnsi" w:hAnsiTheme="majorHAnsi"/>
          <w:sz w:val="20"/>
          <w:szCs w:val="20"/>
        </w:rPr>
        <w:t>забезпечити</w:t>
      </w:r>
      <w:r w:rsidRPr="000977F7">
        <w:rPr>
          <w:rFonts w:asciiTheme="majorHAnsi" w:hAnsiTheme="majorHAnsi"/>
          <w:spacing w:val="1"/>
          <w:sz w:val="20"/>
          <w:szCs w:val="20"/>
        </w:rPr>
        <w:t xml:space="preserve"> </w:t>
      </w:r>
      <w:r w:rsidRPr="000977F7">
        <w:rPr>
          <w:rFonts w:asciiTheme="majorHAnsi" w:hAnsiTheme="majorHAnsi"/>
          <w:sz w:val="20"/>
          <w:szCs w:val="20"/>
        </w:rPr>
        <w:t>розв’язання</w:t>
      </w:r>
      <w:r w:rsidRPr="000977F7">
        <w:rPr>
          <w:rFonts w:asciiTheme="majorHAnsi" w:hAnsiTheme="majorHAnsi"/>
          <w:spacing w:val="1"/>
          <w:sz w:val="20"/>
          <w:szCs w:val="20"/>
        </w:rPr>
        <w:t xml:space="preserve"> </w:t>
      </w:r>
      <w:r w:rsidRPr="000977F7">
        <w:rPr>
          <w:rFonts w:asciiTheme="majorHAnsi" w:hAnsiTheme="majorHAnsi"/>
          <w:sz w:val="20"/>
          <w:szCs w:val="20"/>
        </w:rPr>
        <w:t>проблем розбіжностей між вимогами контракту чи замовлення</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раніше</w:t>
      </w:r>
      <w:r w:rsidRPr="000977F7">
        <w:rPr>
          <w:rFonts w:asciiTheme="majorHAnsi" w:hAnsiTheme="majorHAnsi"/>
          <w:spacing w:val="-1"/>
          <w:sz w:val="20"/>
          <w:szCs w:val="20"/>
        </w:rPr>
        <w:t xml:space="preserve"> </w:t>
      </w:r>
      <w:r w:rsidRPr="000977F7">
        <w:rPr>
          <w:rFonts w:asciiTheme="majorHAnsi" w:hAnsiTheme="majorHAnsi"/>
          <w:sz w:val="20"/>
          <w:szCs w:val="20"/>
        </w:rPr>
        <w:t>визначеними</w:t>
      </w:r>
      <w:r w:rsidRPr="000977F7">
        <w:rPr>
          <w:rFonts w:asciiTheme="majorHAnsi" w:hAnsiTheme="majorHAnsi"/>
          <w:spacing w:val="-1"/>
          <w:sz w:val="20"/>
          <w:szCs w:val="20"/>
        </w:rPr>
        <w:t xml:space="preserve"> </w:t>
      </w:r>
      <w:r w:rsidRPr="000977F7">
        <w:rPr>
          <w:rFonts w:asciiTheme="majorHAnsi" w:hAnsiTheme="majorHAnsi"/>
          <w:sz w:val="20"/>
          <w:szCs w:val="20"/>
        </w:rPr>
        <w:t>вимогами.</w:t>
      </w:r>
    </w:p>
    <w:p w14:paraId="2AC0AA9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підтвердити вимоги замовника</w:t>
      </w:r>
      <w:r w:rsidRPr="000977F7">
        <w:rPr>
          <w:rFonts w:asciiTheme="majorHAnsi" w:hAnsiTheme="majorHAnsi"/>
          <w:spacing w:val="1"/>
          <w:sz w:val="20"/>
          <w:szCs w:val="20"/>
        </w:rPr>
        <w:t xml:space="preserve"> </w:t>
      </w:r>
      <w:r w:rsidRPr="000977F7">
        <w:rPr>
          <w:rFonts w:asciiTheme="majorHAnsi" w:hAnsiTheme="majorHAnsi"/>
          <w:sz w:val="20"/>
          <w:szCs w:val="20"/>
        </w:rPr>
        <w:t>перед їх прийняттям.</w:t>
      </w:r>
    </w:p>
    <w:p w14:paraId="3C5D83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 р и м і т к а: У деяких ситуаціях, як от продажі</w:t>
      </w:r>
      <w:r w:rsidRPr="000977F7">
        <w:rPr>
          <w:rFonts w:asciiTheme="majorHAnsi" w:hAnsiTheme="majorHAnsi"/>
          <w:spacing w:val="1"/>
          <w:sz w:val="20"/>
          <w:szCs w:val="20"/>
        </w:rPr>
        <w:t xml:space="preserve"> </w:t>
      </w:r>
      <w:r w:rsidRPr="000977F7">
        <w:rPr>
          <w:rFonts w:asciiTheme="majorHAnsi" w:hAnsiTheme="majorHAnsi"/>
          <w:sz w:val="20"/>
          <w:szCs w:val="20"/>
        </w:rPr>
        <w:t>через інтернет-магазини, офіційне аналізування кожного замовника нездійсненне. Замість цього критичне</w:t>
      </w:r>
      <w:r w:rsidRPr="000977F7">
        <w:rPr>
          <w:rFonts w:asciiTheme="majorHAnsi" w:hAnsiTheme="majorHAnsi"/>
          <w:spacing w:val="1"/>
          <w:sz w:val="20"/>
          <w:szCs w:val="20"/>
        </w:rPr>
        <w:t xml:space="preserve"> </w:t>
      </w:r>
      <w:r w:rsidRPr="000977F7">
        <w:rPr>
          <w:rFonts w:asciiTheme="majorHAnsi" w:hAnsiTheme="majorHAnsi"/>
          <w:sz w:val="20"/>
          <w:szCs w:val="20"/>
        </w:rPr>
        <w:t>аналізування може бути поширено на відповідну інформацію про продукцію, наприклад, подану у каталогах.</w:t>
      </w:r>
    </w:p>
    <w:p w14:paraId="6A7C50C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зберігати задокументовану інформацію,</w:t>
      </w:r>
      <w:r w:rsidRPr="000977F7">
        <w:rPr>
          <w:rFonts w:asciiTheme="majorHAnsi" w:hAnsiTheme="majorHAnsi"/>
          <w:spacing w:val="-1"/>
          <w:sz w:val="20"/>
          <w:szCs w:val="20"/>
        </w:rPr>
        <w:t xml:space="preserve"> </w:t>
      </w:r>
      <w:r w:rsidRPr="000977F7">
        <w:rPr>
          <w:rFonts w:asciiTheme="majorHAnsi" w:hAnsiTheme="majorHAnsi"/>
          <w:sz w:val="20"/>
          <w:szCs w:val="20"/>
        </w:rPr>
        <w:t>залежно</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обставин:</w:t>
      </w:r>
    </w:p>
    <w:p w14:paraId="3E336FD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3"/>
          <w:sz w:val="20"/>
          <w:szCs w:val="20"/>
        </w:rPr>
        <w:t xml:space="preserve"> </w:t>
      </w:r>
      <w:r w:rsidRPr="000977F7">
        <w:rPr>
          <w:rFonts w:asciiTheme="majorHAnsi" w:hAnsiTheme="majorHAnsi"/>
          <w:sz w:val="20"/>
          <w:szCs w:val="20"/>
        </w:rPr>
        <w:t>про</w:t>
      </w:r>
      <w:r w:rsidRPr="000977F7">
        <w:rPr>
          <w:rFonts w:asciiTheme="majorHAnsi" w:hAnsiTheme="majorHAnsi"/>
          <w:spacing w:val="-3"/>
          <w:sz w:val="20"/>
          <w:szCs w:val="20"/>
        </w:rPr>
        <w:t xml:space="preserve"> </w:t>
      </w:r>
      <w:r w:rsidRPr="000977F7">
        <w:rPr>
          <w:rFonts w:asciiTheme="majorHAnsi" w:hAnsiTheme="majorHAnsi"/>
          <w:sz w:val="20"/>
          <w:szCs w:val="20"/>
        </w:rPr>
        <w:t>результати</w:t>
      </w:r>
      <w:r w:rsidRPr="000977F7">
        <w:rPr>
          <w:rFonts w:asciiTheme="majorHAnsi" w:hAnsiTheme="majorHAnsi"/>
          <w:spacing w:val="-4"/>
          <w:sz w:val="20"/>
          <w:szCs w:val="20"/>
        </w:rPr>
        <w:t xml:space="preserve"> </w:t>
      </w:r>
      <w:r w:rsidRPr="000977F7">
        <w:rPr>
          <w:rFonts w:asciiTheme="majorHAnsi" w:hAnsiTheme="majorHAnsi"/>
          <w:sz w:val="20"/>
          <w:szCs w:val="20"/>
        </w:rPr>
        <w:t>аналізування;</w:t>
      </w:r>
    </w:p>
    <w:p w14:paraId="5656F9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w:t>
      </w:r>
      <w:r w:rsidRPr="000977F7">
        <w:rPr>
          <w:rFonts w:asciiTheme="majorHAnsi" w:hAnsiTheme="majorHAnsi"/>
          <w:spacing w:val="-4"/>
          <w:sz w:val="20"/>
          <w:szCs w:val="20"/>
        </w:rPr>
        <w:t xml:space="preserve"> </w:t>
      </w:r>
      <w:r w:rsidRPr="000977F7">
        <w:rPr>
          <w:rFonts w:asciiTheme="majorHAnsi" w:hAnsiTheme="majorHAnsi"/>
          <w:sz w:val="20"/>
          <w:szCs w:val="20"/>
        </w:rPr>
        <w:t>про</w:t>
      </w:r>
      <w:r w:rsidRPr="000977F7">
        <w:rPr>
          <w:rFonts w:asciiTheme="majorHAnsi" w:hAnsiTheme="majorHAnsi"/>
          <w:spacing w:val="-2"/>
          <w:sz w:val="20"/>
          <w:szCs w:val="20"/>
        </w:rPr>
        <w:t xml:space="preserve"> </w:t>
      </w:r>
      <w:r w:rsidRPr="000977F7">
        <w:rPr>
          <w:rFonts w:asciiTheme="majorHAnsi" w:hAnsiTheme="majorHAnsi"/>
          <w:sz w:val="20"/>
          <w:szCs w:val="20"/>
        </w:rPr>
        <w:t>будь-які</w:t>
      </w:r>
      <w:r w:rsidRPr="000977F7">
        <w:rPr>
          <w:rFonts w:asciiTheme="majorHAnsi" w:hAnsiTheme="majorHAnsi"/>
          <w:spacing w:val="-2"/>
          <w:sz w:val="20"/>
          <w:szCs w:val="20"/>
        </w:rPr>
        <w:t xml:space="preserve"> </w:t>
      </w:r>
      <w:r w:rsidRPr="000977F7">
        <w:rPr>
          <w:rFonts w:asciiTheme="majorHAnsi" w:hAnsiTheme="majorHAnsi"/>
          <w:sz w:val="20"/>
          <w:szCs w:val="20"/>
        </w:rPr>
        <w:t>нові</w:t>
      </w:r>
      <w:r w:rsidRPr="000977F7">
        <w:rPr>
          <w:rFonts w:asciiTheme="majorHAnsi" w:hAnsiTheme="majorHAnsi"/>
          <w:spacing w:val="-4"/>
          <w:sz w:val="20"/>
          <w:szCs w:val="20"/>
        </w:rPr>
        <w:t xml:space="preserve"> </w:t>
      </w:r>
      <w:r w:rsidRPr="000977F7">
        <w:rPr>
          <w:rFonts w:asciiTheme="majorHAnsi" w:hAnsiTheme="majorHAnsi"/>
          <w:sz w:val="20"/>
          <w:szCs w:val="20"/>
        </w:rPr>
        <w:t>вимоги</w:t>
      </w:r>
      <w:r w:rsidRPr="000977F7">
        <w:rPr>
          <w:rFonts w:asciiTheme="majorHAnsi" w:hAnsiTheme="majorHAnsi"/>
          <w:spacing w:val="-2"/>
          <w:sz w:val="20"/>
          <w:szCs w:val="20"/>
        </w:rPr>
        <w:t xml:space="preserve"> </w:t>
      </w:r>
      <w:r w:rsidRPr="000977F7">
        <w:rPr>
          <w:rFonts w:asciiTheme="majorHAnsi" w:hAnsiTheme="majorHAnsi"/>
          <w:sz w:val="20"/>
          <w:szCs w:val="20"/>
        </w:rPr>
        <w:t>до</w:t>
      </w:r>
      <w:r w:rsidRPr="000977F7">
        <w:rPr>
          <w:rFonts w:asciiTheme="majorHAnsi" w:hAnsiTheme="majorHAnsi"/>
          <w:spacing w:val="-3"/>
          <w:sz w:val="20"/>
          <w:szCs w:val="20"/>
        </w:rPr>
        <w:t xml:space="preserve"> </w:t>
      </w:r>
      <w:r w:rsidRPr="000977F7">
        <w:rPr>
          <w:rFonts w:asciiTheme="majorHAnsi" w:hAnsiTheme="majorHAnsi"/>
          <w:sz w:val="20"/>
          <w:szCs w:val="20"/>
        </w:rPr>
        <w:t>продукції</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послуг.</w:t>
      </w:r>
    </w:p>
    <w:p w14:paraId="61B548D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02B989DA"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АНАЛІЗУВАННЯ</w:t>
      </w:r>
      <w:r w:rsidRPr="000977F7">
        <w:rPr>
          <w:color w:val="auto"/>
          <w:spacing w:val="-6"/>
          <w:sz w:val="20"/>
          <w:szCs w:val="20"/>
        </w:rPr>
        <w:t xml:space="preserve"> </w:t>
      </w:r>
      <w:r w:rsidRPr="000977F7">
        <w:rPr>
          <w:color w:val="auto"/>
          <w:sz w:val="20"/>
          <w:szCs w:val="20"/>
        </w:rPr>
        <w:t>СИСТЕМИ</w:t>
      </w:r>
      <w:r w:rsidRPr="000977F7">
        <w:rPr>
          <w:color w:val="auto"/>
          <w:spacing w:val="-4"/>
          <w:sz w:val="20"/>
          <w:szCs w:val="20"/>
        </w:rPr>
        <w:t xml:space="preserve"> </w:t>
      </w:r>
      <w:r w:rsidRPr="000977F7">
        <w:rPr>
          <w:color w:val="auto"/>
          <w:sz w:val="20"/>
          <w:szCs w:val="20"/>
        </w:rPr>
        <w:t>УПРАВЛІННЯ</w:t>
      </w:r>
      <w:r w:rsidRPr="000977F7">
        <w:rPr>
          <w:color w:val="auto"/>
          <w:spacing w:val="-1"/>
          <w:sz w:val="20"/>
          <w:szCs w:val="20"/>
        </w:rPr>
        <w:t xml:space="preserve"> </w:t>
      </w:r>
      <w:r w:rsidRPr="000977F7">
        <w:rPr>
          <w:b w:val="0"/>
          <w:color w:val="auto"/>
          <w:sz w:val="20"/>
          <w:szCs w:val="20"/>
        </w:rPr>
        <w:t>–</w:t>
      </w:r>
    </w:p>
    <w:p w14:paraId="22EA26D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Найвище керівництво повинне із запланованою періодичністю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аналізувати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запроваджену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організації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систему управління якістю, щоб забезпечувати її постійну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придатність,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адекватність,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результативність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узгодженість</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із</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стратегічним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напрямом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організації.</w:t>
      </w:r>
    </w:p>
    <w:p w14:paraId="0BE009BB"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Вхідні дані аналізування системи управління</w:t>
      </w:r>
    </w:p>
    <w:p w14:paraId="2CE2015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Аналізування системи управління потрібно планувати</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провадити</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3"/>
          <w:sz w:val="20"/>
          <w:szCs w:val="20"/>
        </w:rPr>
        <w:t xml:space="preserve"> </w:t>
      </w:r>
      <w:r w:rsidRPr="000977F7">
        <w:rPr>
          <w:rFonts w:asciiTheme="majorHAnsi" w:hAnsiTheme="majorHAnsi"/>
          <w:sz w:val="20"/>
          <w:szCs w:val="20"/>
        </w:rPr>
        <w:t>урахуванням</w:t>
      </w:r>
    </w:p>
    <w:p w14:paraId="7559EEC5" w14:textId="77777777" w:rsidR="0097612F" w:rsidRPr="000977F7" w:rsidRDefault="0097612F" w:rsidP="00FD39A4">
      <w:pPr>
        <w:pStyle w:val="ac"/>
        <w:widowControl w:val="0"/>
        <w:numPr>
          <w:ilvl w:val="0"/>
          <w:numId w:val="222"/>
        </w:numPr>
        <w:tabs>
          <w:tab w:val="left" w:pos="284"/>
          <w:tab w:val="left" w:pos="53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статусу</w:t>
      </w:r>
      <w:r w:rsidRPr="000977F7">
        <w:rPr>
          <w:rFonts w:asciiTheme="majorHAnsi" w:hAnsiTheme="majorHAnsi"/>
          <w:spacing w:val="5"/>
          <w:sz w:val="20"/>
          <w:szCs w:val="20"/>
        </w:rPr>
        <w:t xml:space="preserve"> </w:t>
      </w:r>
      <w:r w:rsidRPr="000977F7">
        <w:rPr>
          <w:rFonts w:asciiTheme="majorHAnsi" w:hAnsiTheme="majorHAnsi"/>
          <w:sz w:val="20"/>
          <w:szCs w:val="20"/>
        </w:rPr>
        <w:t>дій</w:t>
      </w:r>
      <w:r w:rsidRPr="000977F7">
        <w:rPr>
          <w:rFonts w:asciiTheme="majorHAnsi" w:hAnsiTheme="majorHAnsi"/>
          <w:spacing w:val="3"/>
          <w:sz w:val="20"/>
          <w:szCs w:val="20"/>
        </w:rPr>
        <w:t xml:space="preserve"> </w:t>
      </w:r>
      <w:r w:rsidRPr="000977F7">
        <w:rPr>
          <w:rFonts w:asciiTheme="majorHAnsi" w:hAnsiTheme="majorHAnsi"/>
          <w:sz w:val="20"/>
          <w:szCs w:val="20"/>
        </w:rPr>
        <w:t>за</w:t>
      </w:r>
      <w:r w:rsidRPr="000977F7">
        <w:rPr>
          <w:rFonts w:asciiTheme="majorHAnsi" w:hAnsiTheme="majorHAnsi"/>
          <w:spacing w:val="4"/>
          <w:sz w:val="20"/>
          <w:szCs w:val="20"/>
        </w:rPr>
        <w:t xml:space="preserve"> </w:t>
      </w:r>
      <w:r w:rsidRPr="000977F7">
        <w:rPr>
          <w:rFonts w:asciiTheme="majorHAnsi" w:hAnsiTheme="majorHAnsi"/>
          <w:sz w:val="20"/>
          <w:szCs w:val="20"/>
        </w:rPr>
        <w:t>результатами</w:t>
      </w:r>
      <w:r w:rsidRPr="000977F7">
        <w:rPr>
          <w:rFonts w:asciiTheme="majorHAnsi" w:hAnsiTheme="majorHAnsi"/>
          <w:spacing w:val="3"/>
          <w:sz w:val="20"/>
          <w:szCs w:val="20"/>
        </w:rPr>
        <w:t xml:space="preserve"> </w:t>
      </w:r>
      <w:r w:rsidRPr="000977F7">
        <w:rPr>
          <w:rFonts w:asciiTheme="majorHAnsi" w:hAnsiTheme="majorHAnsi"/>
          <w:sz w:val="20"/>
          <w:szCs w:val="20"/>
        </w:rPr>
        <w:t>попередніх</w:t>
      </w:r>
      <w:r w:rsidRPr="000977F7">
        <w:rPr>
          <w:rFonts w:asciiTheme="majorHAnsi" w:hAnsiTheme="majorHAnsi"/>
          <w:spacing w:val="3"/>
          <w:sz w:val="20"/>
          <w:szCs w:val="20"/>
        </w:rPr>
        <w:t xml:space="preserve"> </w:t>
      </w:r>
      <w:r w:rsidRPr="000977F7">
        <w:rPr>
          <w:rFonts w:asciiTheme="majorHAnsi" w:hAnsiTheme="majorHAnsi"/>
          <w:sz w:val="20"/>
          <w:szCs w:val="20"/>
        </w:rPr>
        <w:t xml:space="preserve">аналізувань </w:t>
      </w:r>
      <w:r w:rsidRPr="000977F7">
        <w:rPr>
          <w:rFonts w:asciiTheme="majorHAnsi" w:hAnsiTheme="majorHAnsi"/>
          <w:spacing w:val="-47"/>
          <w:sz w:val="20"/>
          <w:szCs w:val="20"/>
        </w:rPr>
        <w:t xml:space="preserve"> </w:t>
      </w:r>
      <w:r w:rsidRPr="000977F7">
        <w:rPr>
          <w:rFonts w:asciiTheme="majorHAnsi" w:hAnsiTheme="majorHAnsi"/>
          <w:sz w:val="20"/>
          <w:szCs w:val="20"/>
        </w:rPr>
        <w:t>системи управління;</w:t>
      </w:r>
    </w:p>
    <w:p w14:paraId="1629F40E" w14:textId="77777777" w:rsidR="0097612F" w:rsidRPr="000977F7" w:rsidRDefault="0097612F" w:rsidP="00FD39A4">
      <w:pPr>
        <w:pStyle w:val="ac"/>
        <w:widowControl w:val="0"/>
        <w:numPr>
          <w:ilvl w:val="0"/>
          <w:numId w:val="222"/>
        </w:numPr>
        <w:tabs>
          <w:tab w:val="left" w:pos="284"/>
          <w:tab w:val="left" w:pos="55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змін</w:t>
      </w:r>
      <w:r w:rsidRPr="000977F7">
        <w:rPr>
          <w:rFonts w:asciiTheme="majorHAnsi" w:hAnsiTheme="majorHAnsi"/>
          <w:spacing w:val="19"/>
          <w:sz w:val="20"/>
          <w:szCs w:val="20"/>
        </w:rPr>
        <w:t xml:space="preserve"> </w:t>
      </w:r>
      <w:r w:rsidRPr="000977F7">
        <w:rPr>
          <w:rFonts w:asciiTheme="majorHAnsi" w:hAnsiTheme="majorHAnsi"/>
          <w:sz w:val="20"/>
          <w:szCs w:val="20"/>
        </w:rPr>
        <w:t>у</w:t>
      </w:r>
      <w:r w:rsidRPr="000977F7">
        <w:rPr>
          <w:rFonts w:asciiTheme="majorHAnsi" w:hAnsiTheme="majorHAnsi"/>
          <w:spacing w:val="16"/>
          <w:sz w:val="20"/>
          <w:szCs w:val="20"/>
        </w:rPr>
        <w:t xml:space="preserve"> </w:t>
      </w:r>
      <w:r w:rsidRPr="000977F7">
        <w:rPr>
          <w:rFonts w:asciiTheme="majorHAnsi" w:hAnsiTheme="majorHAnsi"/>
          <w:sz w:val="20"/>
          <w:szCs w:val="20"/>
        </w:rPr>
        <w:t>зовнішніх</w:t>
      </w:r>
      <w:r w:rsidRPr="000977F7">
        <w:rPr>
          <w:rFonts w:asciiTheme="majorHAnsi" w:hAnsiTheme="majorHAnsi"/>
          <w:spacing w:val="18"/>
          <w:sz w:val="20"/>
          <w:szCs w:val="20"/>
        </w:rPr>
        <w:t xml:space="preserve"> </w:t>
      </w:r>
      <w:r w:rsidRPr="000977F7">
        <w:rPr>
          <w:rFonts w:asciiTheme="majorHAnsi" w:hAnsiTheme="majorHAnsi"/>
          <w:sz w:val="20"/>
          <w:szCs w:val="20"/>
        </w:rPr>
        <w:t>і</w:t>
      </w:r>
      <w:r w:rsidRPr="000977F7">
        <w:rPr>
          <w:rFonts w:asciiTheme="majorHAnsi" w:hAnsiTheme="majorHAnsi"/>
          <w:spacing w:val="22"/>
          <w:sz w:val="20"/>
          <w:szCs w:val="20"/>
        </w:rPr>
        <w:t xml:space="preserve"> </w:t>
      </w:r>
      <w:r w:rsidRPr="000977F7">
        <w:rPr>
          <w:rFonts w:asciiTheme="majorHAnsi" w:hAnsiTheme="majorHAnsi"/>
          <w:sz w:val="20"/>
          <w:szCs w:val="20"/>
        </w:rPr>
        <w:t>внутрішніх</w:t>
      </w:r>
      <w:r w:rsidRPr="000977F7">
        <w:rPr>
          <w:rFonts w:asciiTheme="majorHAnsi" w:hAnsiTheme="majorHAnsi"/>
          <w:spacing w:val="17"/>
          <w:sz w:val="20"/>
          <w:szCs w:val="20"/>
        </w:rPr>
        <w:t xml:space="preserve"> </w:t>
      </w:r>
      <w:r w:rsidRPr="000977F7">
        <w:rPr>
          <w:rFonts w:asciiTheme="majorHAnsi" w:hAnsiTheme="majorHAnsi"/>
          <w:sz w:val="20"/>
          <w:szCs w:val="20"/>
        </w:rPr>
        <w:t>чинниках,</w:t>
      </w:r>
      <w:r w:rsidRPr="000977F7">
        <w:rPr>
          <w:rFonts w:asciiTheme="majorHAnsi" w:hAnsiTheme="majorHAnsi"/>
          <w:spacing w:val="20"/>
          <w:sz w:val="20"/>
          <w:szCs w:val="20"/>
        </w:rPr>
        <w:t xml:space="preserve"> </w:t>
      </w:r>
      <w:r w:rsidRPr="000977F7">
        <w:rPr>
          <w:rFonts w:asciiTheme="majorHAnsi" w:hAnsiTheme="majorHAnsi"/>
          <w:sz w:val="20"/>
          <w:szCs w:val="20"/>
        </w:rPr>
        <w:t>доречних</w:t>
      </w:r>
      <w:r w:rsidRPr="000977F7">
        <w:rPr>
          <w:rFonts w:asciiTheme="majorHAnsi" w:hAnsiTheme="majorHAnsi"/>
          <w:spacing w:val="-47"/>
          <w:sz w:val="20"/>
          <w:szCs w:val="20"/>
        </w:rPr>
        <w:t xml:space="preserve">  </w:t>
      </w:r>
      <w:r w:rsidRPr="000977F7">
        <w:rPr>
          <w:rFonts w:asciiTheme="majorHAnsi" w:hAnsiTheme="majorHAnsi"/>
          <w:sz w:val="20"/>
          <w:szCs w:val="20"/>
        </w:rPr>
        <w:t>для</w:t>
      </w:r>
      <w:r w:rsidRPr="000977F7">
        <w:rPr>
          <w:rFonts w:asciiTheme="majorHAnsi" w:hAnsiTheme="majorHAnsi"/>
          <w:spacing w:val="49"/>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якістю;</w:t>
      </w:r>
    </w:p>
    <w:p w14:paraId="6284738F" w14:textId="77777777" w:rsidR="0097612F" w:rsidRPr="000977F7" w:rsidRDefault="0097612F" w:rsidP="00FD39A4">
      <w:pPr>
        <w:pStyle w:val="ac"/>
        <w:widowControl w:val="0"/>
        <w:numPr>
          <w:ilvl w:val="0"/>
          <w:numId w:val="222"/>
        </w:numPr>
        <w:tabs>
          <w:tab w:val="left" w:pos="284"/>
          <w:tab w:val="left" w:pos="54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інформації</w:t>
      </w:r>
      <w:r w:rsidRPr="000977F7">
        <w:rPr>
          <w:rFonts w:asciiTheme="majorHAnsi" w:hAnsiTheme="majorHAnsi"/>
          <w:spacing w:val="17"/>
          <w:sz w:val="20"/>
          <w:szCs w:val="20"/>
        </w:rPr>
        <w:t xml:space="preserve"> </w:t>
      </w:r>
      <w:r w:rsidRPr="000977F7">
        <w:rPr>
          <w:rFonts w:asciiTheme="majorHAnsi" w:hAnsiTheme="majorHAnsi"/>
          <w:sz w:val="20"/>
          <w:szCs w:val="20"/>
        </w:rPr>
        <w:t>про</w:t>
      </w:r>
      <w:r w:rsidRPr="000977F7">
        <w:rPr>
          <w:rFonts w:asciiTheme="majorHAnsi" w:hAnsiTheme="majorHAnsi"/>
          <w:spacing w:val="17"/>
          <w:sz w:val="20"/>
          <w:szCs w:val="20"/>
        </w:rPr>
        <w:t xml:space="preserve"> </w:t>
      </w:r>
      <w:r w:rsidRPr="000977F7">
        <w:rPr>
          <w:rFonts w:asciiTheme="majorHAnsi" w:hAnsiTheme="majorHAnsi"/>
          <w:sz w:val="20"/>
          <w:szCs w:val="20"/>
        </w:rPr>
        <w:t>дієвість</w:t>
      </w:r>
      <w:r w:rsidRPr="000977F7">
        <w:rPr>
          <w:rFonts w:asciiTheme="majorHAnsi" w:hAnsiTheme="majorHAnsi"/>
          <w:spacing w:val="17"/>
          <w:sz w:val="20"/>
          <w:szCs w:val="20"/>
        </w:rPr>
        <w:t xml:space="preserve"> </w:t>
      </w:r>
      <w:r w:rsidRPr="000977F7">
        <w:rPr>
          <w:rFonts w:asciiTheme="majorHAnsi" w:hAnsiTheme="majorHAnsi"/>
          <w:sz w:val="20"/>
          <w:szCs w:val="20"/>
        </w:rPr>
        <w:t>і</w:t>
      </w:r>
      <w:r w:rsidRPr="000977F7">
        <w:rPr>
          <w:rFonts w:asciiTheme="majorHAnsi" w:hAnsiTheme="majorHAnsi"/>
          <w:spacing w:val="17"/>
          <w:sz w:val="20"/>
          <w:szCs w:val="20"/>
        </w:rPr>
        <w:t xml:space="preserve"> </w:t>
      </w:r>
      <w:r w:rsidRPr="000977F7">
        <w:rPr>
          <w:rFonts w:asciiTheme="majorHAnsi" w:hAnsiTheme="majorHAnsi"/>
          <w:sz w:val="20"/>
          <w:szCs w:val="20"/>
        </w:rPr>
        <w:t>результативність</w:t>
      </w:r>
      <w:r w:rsidRPr="000977F7">
        <w:rPr>
          <w:rFonts w:asciiTheme="majorHAnsi" w:hAnsiTheme="majorHAnsi"/>
          <w:spacing w:val="17"/>
          <w:sz w:val="20"/>
          <w:szCs w:val="20"/>
        </w:rPr>
        <w:t xml:space="preserve"> </w:t>
      </w:r>
      <w:r w:rsidRPr="000977F7">
        <w:rPr>
          <w:rFonts w:asciiTheme="majorHAnsi" w:hAnsiTheme="majorHAnsi"/>
          <w:sz w:val="20"/>
          <w:szCs w:val="20"/>
        </w:rPr>
        <w:t>системи</w:t>
      </w:r>
      <w:r w:rsidRPr="000977F7">
        <w:rPr>
          <w:rFonts w:asciiTheme="majorHAnsi" w:hAnsiTheme="majorHAnsi"/>
          <w:spacing w:val="-47"/>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3"/>
          <w:sz w:val="20"/>
          <w:szCs w:val="20"/>
        </w:rPr>
        <w:t xml:space="preserve"> </w:t>
      </w:r>
      <w:r w:rsidRPr="000977F7">
        <w:rPr>
          <w:rFonts w:asciiTheme="majorHAnsi" w:hAnsiTheme="majorHAnsi"/>
          <w:sz w:val="20"/>
          <w:szCs w:val="20"/>
        </w:rPr>
        <w:t>якістю,</w:t>
      </w:r>
      <w:r w:rsidRPr="000977F7">
        <w:rPr>
          <w:rFonts w:asciiTheme="majorHAnsi" w:hAnsiTheme="majorHAnsi"/>
          <w:spacing w:val="-2"/>
          <w:sz w:val="20"/>
          <w:szCs w:val="20"/>
        </w:rPr>
        <w:t xml:space="preserve"> </w:t>
      </w:r>
      <w:r w:rsidRPr="000977F7">
        <w:rPr>
          <w:rFonts w:asciiTheme="majorHAnsi" w:hAnsiTheme="majorHAnsi"/>
          <w:sz w:val="20"/>
          <w:szCs w:val="20"/>
        </w:rPr>
        <w:t>охоплюючи</w:t>
      </w:r>
      <w:r w:rsidRPr="000977F7">
        <w:rPr>
          <w:rFonts w:asciiTheme="majorHAnsi" w:hAnsiTheme="majorHAnsi"/>
          <w:spacing w:val="-3"/>
          <w:sz w:val="20"/>
          <w:szCs w:val="20"/>
        </w:rPr>
        <w:t xml:space="preserve"> </w:t>
      </w:r>
      <w:r w:rsidRPr="000977F7">
        <w:rPr>
          <w:rFonts w:asciiTheme="majorHAnsi" w:hAnsiTheme="majorHAnsi"/>
          <w:sz w:val="20"/>
          <w:szCs w:val="20"/>
        </w:rPr>
        <w:t>тенденції</w:t>
      </w:r>
      <w:r w:rsidRPr="000977F7">
        <w:rPr>
          <w:rFonts w:asciiTheme="majorHAnsi" w:hAnsiTheme="majorHAnsi"/>
          <w:spacing w:val="-3"/>
          <w:sz w:val="20"/>
          <w:szCs w:val="20"/>
        </w:rPr>
        <w:t xml:space="preserve"> </w:t>
      </w:r>
      <w:r w:rsidRPr="000977F7">
        <w:rPr>
          <w:rFonts w:asciiTheme="majorHAnsi" w:hAnsiTheme="majorHAnsi"/>
          <w:sz w:val="20"/>
          <w:szCs w:val="20"/>
        </w:rPr>
        <w:t>стосовно:</w:t>
      </w:r>
    </w:p>
    <w:p w14:paraId="0E5210D1" w14:textId="77777777" w:rsidR="0097612F" w:rsidRPr="000977F7" w:rsidRDefault="0097612F" w:rsidP="00FD39A4">
      <w:pPr>
        <w:pStyle w:val="ac"/>
        <w:widowControl w:val="0"/>
        <w:numPr>
          <w:ilvl w:val="1"/>
          <w:numId w:val="222"/>
        </w:numPr>
        <w:tabs>
          <w:tab w:val="left" w:pos="284"/>
          <w:tab w:val="left" w:pos="7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задоволеності</w:t>
      </w:r>
      <w:r w:rsidRPr="000977F7">
        <w:rPr>
          <w:rFonts w:asciiTheme="majorHAnsi" w:hAnsiTheme="majorHAnsi"/>
          <w:spacing w:val="16"/>
          <w:sz w:val="20"/>
          <w:szCs w:val="20"/>
        </w:rPr>
        <w:t xml:space="preserve"> </w:t>
      </w:r>
      <w:r w:rsidRPr="000977F7">
        <w:rPr>
          <w:rFonts w:asciiTheme="majorHAnsi" w:hAnsiTheme="majorHAnsi"/>
          <w:sz w:val="20"/>
          <w:szCs w:val="20"/>
        </w:rPr>
        <w:t>замовника</w:t>
      </w:r>
      <w:r w:rsidRPr="000977F7">
        <w:rPr>
          <w:rFonts w:asciiTheme="majorHAnsi" w:hAnsiTheme="majorHAnsi"/>
          <w:spacing w:val="17"/>
          <w:sz w:val="20"/>
          <w:szCs w:val="20"/>
        </w:rPr>
        <w:t xml:space="preserve"> </w:t>
      </w:r>
      <w:r w:rsidRPr="000977F7">
        <w:rPr>
          <w:rFonts w:asciiTheme="majorHAnsi" w:hAnsiTheme="majorHAnsi"/>
          <w:sz w:val="20"/>
          <w:szCs w:val="20"/>
        </w:rPr>
        <w:t>та</w:t>
      </w:r>
      <w:r w:rsidRPr="000977F7">
        <w:rPr>
          <w:rFonts w:asciiTheme="majorHAnsi" w:hAnsiTheme="majorHAnsi"/>
          <w:spacing w:val="15"/>
          <w:sz w:val="20"/>
          <w:szCs w:val="20"/>
        </w:rPr>
        <w:t xml:space="preserve"> </w:t>
      </w:r>
      <w:r w:rsidRPr="000977F7">
        <w:rPr>
          <w:rFonts w:asciiTheme="majorHAnsi" w:hAnsiTheme="majorHAnsi"/>
          <w:sz w:val="20"/>
          <w:szCs w:val="20"/>
        </w:rPr>
        <w:t>відгуків</w:t>
      </w:r>
      <w:r w:rsidRPr="000977F7">
        <w:rPr>
          <w:rFonts w:asciiTheme="majorHAnsi" w:hAnsiTheme="majorHAnsi"/>
          <w:spacing w:val="14"/>
          <w:sz w:val="20"/>
          <w:szCs w:val="20"/>
        </w:rPr>
        <w:t xml:space="preserve"> </w:t>
      </w:r>
      <w:r w:rsidRPr="000977F7">
        <w:rPr>
          <w:rFonts w:asciiTheme="majorHAnsi" w:hAnsiTheme="majorHAnsi"/>
          <w:sz w:val="20"/>
          <w:szCs w:val="20"/>
        </w:rPr>
        <w:t>від</w:t>
      </w:r>
      <w:r w:rsidRPr="000977F7">
        <w:rPr>
          <w:rFonts w:asciiTheme="majorHAnsi" w:hAnsiTheme="majorHAnsi"/>
          <w:spacing w:val="15"/>
          <w:sz w:val="20"/>
          <w:szCs w:val="20"/>
        </w:rPr>
        <w:t xml:space="preserve"> </w:t>
      </w:r>
      <w:r w:rsidRPr="000977F7">
        <w:rPr>
          <w:rFonts w:asciiTheme="majorHAnsi" w:hAnsiTheme="majorHAnsi"/>
          <w:sz w:val="20"/>
          <w:szCs w:val="20"/>
        </w:rPr>
        <w:t>відпові</w:t>
      </w:r>
      <w:r w:rsidRPr="000977F7">
        <w:rPr>
          <w:rFonts w:asciiTheme="majorHAnsi" w:hAnsiTheme="majorHAnsi"/>
          <w:spacing w:val="-47"/>
          <w:sz w:val="20"/>
          <w:szCs w:val="20"/>
        </w:rPr>
        <w:t xml:space="preserve"> </w:t>
      </w:r>
      <w:r w:rsidRPr="000977F7">
        <w:rPr>
          <w:rFonts w:asciiTheme="majorHAnsi" w:hAnsiTheme="majorHAnsi"/>
          <w:sz w:val="20"/>
          <w:szCs w:val="20"/>
        </w:rPr>
        <w:t>дних</w:t>
      </w:r>
      <w:r w:rsidRPr="000977F7">
        <w:rPr>
          <w:rFonts w:asciiTheme="majorHAnsi" w:hAnsiTheme="majorHAnsi"/>
          <w:spacing w:val="-2"/>
          <w:sz w:val="20"/>
          <w:szCs w:val="20"/>
        </w:rPr>
        <w:t xml:space="preserve"> </w:t>
      </w:r>
      <w:r w:rsidRPr="000977F7">
        <w:rPr>
          <w:rFonts w:asciiTheme="majorHAnsi" w:hAnsiTheme="majorHAnsi"/>
          <w:sz w:val="20"/>
          <w:szCs w:val="20"/>
        </w:rPr>
        <w:t>зацікавлених</w:t>
      </w:r>
      <w:r w:rsidRPr="000977F7">
        <w:rPr>
          <w:rFonts w:asciiTheme="majorHAnsi" w:hAnsiTheme="majorHAnsi"/>
          <w:spacing w:val="-1"/>
          <w:sz w:val="20"/>
          <w:szCs w:val="20"/>
        </w:rPr>
        <w:t xml:space="preserve"> </w:t>
      </w:r>
      <w:r w:rsidRPr="000977F7">
        <w:rPr>
          <w:rFonts w:asciiTheme="majorHAnsi" w:hAnsiTheme="majorHAnsi"/>
          <w:sz w:val="20"/>
          <w:szCs w:val="20"/>
        </w:rPr>
        <w:t>сторін;</w:t>
      </w:r>
    </w:p>
    <w:p w14:paraId="7D5BC98F" w14:textId="77777777" w:rsidR="0097612F" w:rsidRPr="000977F7" w:rsidRDefault="0097612F" w:rsidP="00FD39A4">
      <w:pPr>
        <w:pStyle w:val="ac"/>
        <w:widowControl w:val="0"/>
        <w:numPr>
          <w:ilvl w:val="1"/>
          <w:numId w:val="222"/>
        </w:numPr>
        <w:tabs>
          <w:tab w:val="left" w:pos="284"/>
          <w:tab w:val="left" w:pos="7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ступеня</w:t>
      </w:r>
      <w:r w:rsidRPr="000977F7">
        <w:rPr>
          <w:rFonts w:asciiTheme="majorHAnsi" w:hAnsiTheme="majorHAnsi"/>
          <w:spacing w:val="-4"/>
          <w:sz w:val="20"/>
          <w:szCs w:val="20"/>
        </w:rPr>
        <w:t xml:space="preserve"> </w:t>
      </w:r>
      <w:r w:rsidRPr="000977F7">
        <w:rPr>
          <w:rFonts w:asciiTheme="majorHAnsi" w:hAnsiTheme="majorHAnsi"/>
          <w:sz w:val="20"/>
          <w:szCs w:val="20"/>
        </w:rPr>
        <w:t>досягнення</w:t>
      </w:r>
      <w:r w:rsidRPr="000977F7">
        <w:rPr>
          <w:rFonts w:asciiTheme="majorHAnsi" w:hAnsiTheme="majorHAnsi"/>
          <w:spacing w:val="-1"/>
          <w:sz w:val="20"/>
          <w:szCs w:val="20"/>
        </w:rPr>
        <w:t xml:space="preserve"> </w:t>
      </w:r>
      <w:r w:rsidRPr="000977F7">
        <w:rPr>
          <w:rFonts w:asciiTheme="majorHAnsi" w:hAnsiTheme="majorHAnsi"/>
          <w:sz w:val="20"/>
          <w:szCs w:val="20"/>
        </w:rPr>
        <w:t>цілей</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7"/>
          <w:sz w:val="20"/>
          <w:szCs w:val="20"/>
        </w:rPr>
        <w:t xml:space="preserve"> </w:t>
      </w:r>
      <w:r w:rsidRPr="000977F7">
        <w:rPr>
          <w:rFonts w:asciiTheme="majorHAnsi" w:hAnsiTheme="majorHAnsi"/>
          <w:sz w:val="20"/>
          <w:szCs w:val="20"/>
        </w:rPr>
        <w:t>сфері</w:t>
      </w:r>
      <w:r w:rsidRPr="000977F7">
        <w:rPr>
          <w:rFonts w:asciiTheme="majorHAnsi" w:hAnsiTheme="majorHAnsi"/>
          <w:spacing w:val="-4"/>
          <w:sz w:val="20"/>
          <w:szCs w:val="20"/>
        </w:rPr>
        <w:t xml:space="preserve"> </w:t>
      </w:r>
      <w:r w:rsidRPr="000977F7">
        <w:rPr>
          <w:rFonts w:asciiTheme="majorHAnsi" w:hAnsiTheme="majorHAnsi"/>
          <w:sz w:val="20"/>
          <w:szCs w:val="20"/>
        </w:rPr>
        <w:t>якості;</w:t>
      </w:r>
    </w:p>
    <w:p w14:paraId="45507686" w14:textId="77777777" w:rsidR="0097612F" w:rsidRPr="000977F7" w:rsidRDefault="0097612F" w:rsidP="00FD39A4">
      <w:pPr>
        <w:pStyle w:val="af6"/>
        <w:widowControl w:val="0"/>
        <w:numPr>
          <w:ilvl w:val="1"/>
          <w:numId w:val="222"/>
        </w:numPr>
        <w:tabs>
          <w:tab w:val="left" w:pos="284"/>
          <w:tab w:val="left" w:pos="780"/>
        </w:tabs>
        <w:autoSpaceDE w:val="0"/>
        <w:autoSpaceDN w:val="0"/>
        <w:spacing w:after="0"/>
        <w:ind w:left="170" w:firstLine="0"/>
        <w:mirrorIndents/>
        <w:jc w:val="both"/>
        <w:rPr>
          <w:rFonts w:asciiTheme="majorHAnsi" w:hAnsiTheme="majorHAnsi"/>
          <w:sz w:val="20"/>
          <w:szCs w:val="20"/>
        </w:rPr>
      </w:pPr>
      <w:r w:rsidRPr="000977F7">
        <w:rPr>
          <w:rFonts w:asciiTheme="majorHAnsi" w:hAnsiTheme="majorHAnsi"/>
          <w:sz w:val="20"/>
          <w:szCs w:val="20"/>
        </w:rPr>
        <w:t>дієвості</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4"/>
          <w:sz w:val="20"/>
          <w:szCs w:val="20"/>
        </w:rPr>
        <w:t xml:space="preserve"> </w:t>
      </w:r>
      <w:r w:rsidRPr="000977F7">
        <w:rPr>
          <w:rFonts w:asciiTheme="majorHAnsi" w:hAnsiTheme="majorHAnsi"/>
          <w:sz w:val="20"/>
          <w:szCs w:val="20"/>
        </w:rPr>
        <w:t>продукції</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послуг;</w:t>
      </w:r>
    </w:p>
    <w:p w14:paraId="3ADFCB05" w14:textId="77777777" w:rsidR="0097612F" w:rsidRPr="000977F7" w:rsidRDefault="0097612F" w:rsidP="00FD39A4">
      <w:pPr>
        <w:pStyle w:val="ac"/>
        <w:widowControl w:val="0"/>
        <w:numPr>
          <w:ilvl w:val="1"/>
          <w:numId w:val="222"/>
        </w:numPr>
        <w:tabs>
          <w:tab w:val="left" w:pos="284"/>
          <w:tab w:val="left" w:pos="7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невідповідностей</w:t>
      </w:r>
      <w:r w:rsidRPr="000977F7">
        <w:rPr>
          <w:rFonts w:asciiTheme="majorHAnsi" w:hAnsiTheme="majorHAnsi"/>
          <w:spacing w:val="-5"/>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коригувальних</w:t>
      </w:r>
      <w:r w:rsidRPr="000977F7">
        <w:rPr>
          <w:rFonts w:asciiTheme="majorHAnsi" w:hAnsiTheme="majorHAnsi"/>
          <w:spacing w:val="-4"/>
          <w:sz w:val="20"/>
          <w:szCs w:val="20"/>
        </w:rPr>
        <w:t xml:space="preserve"> </w:t>
      </w:r>
      <w:r w:rsidRPr="000977F7">
        <w:rPr>
          <w:rFonts w:asciiTheme="majorHAnsi" w:hAnsiTheme="majorHAnsi"/>
          <w:sz w:val="20"/>
          <w:szCs w:val="20"/>
        </w:rPr>
        <w:t>дій;</w:t>
      </w:r>
    </w:p>
    <w:p w14:paraId="367C5E93" w14:textId="77777777" w:rsidR="0097612F" w:rsidRPr="000977F7" w:rsidRDefault="0097612F" w:rsidP="00FD39A4">
      <w:pPr>
        <w:pStyle w:val="ac"/>
        <w:widowControl w:val="0"/>
        <w:numPr>
          <w:ilvl w:val="1"/>
          <w:numId w:val="222"/>
        </w:numPr>
        <w:tabs>
          <w:tab w:val="left" w:pos="284"/>
          <w:tab w:val="left" w:pos="7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результатів</w:t>
      </w:r>
      <w:r w:rsidRPr="000977F7">
        <w:rPr>
          <w:rFonts w:asciiTheme="majorHAnsi" w:hAnsiTheme="majorHAnsi"/>
          <w:spacing w:val="-5"/>
          <w:sz w:val="20"/>
          <w:szCs w:val="20"/>
        </w:rPr>
        <w:t xml:space="preserve"> </w:t>
      </w:r>
      <w:r w:rsidRPr="000977F7">
        <w:rPr>
          <w:rFonts w:asciiTheme="majorHAnsi" w:hAnsiTheme="majorHAnsi"/>
          <w:sz w:val="20"/>
          <w:szCs w:val="20"/>
        </w:rPr>
        <w:t>моніторингу</w:t>
      </w:r>
      <w:r w:rsidRPr="000977F7">
        <w:rPr>
          <w:rFonts w:asciiTheme="majorHAnsi" w:hAnsiTheme="majorHAnsi"/>
          <w:spacing w:val="-5"/>
          <w:sz w:val="20"/>
          <w:szCs w:val="20"/>
        </w:rPr>
        <w:t xml:space="preserve"> </w:t>
      </w:r>
      <w:r w:rsidRPr="000977F7">
        <w:rPr>
          <w:rFonts w:asciiTheme="majorHAnsi" w:hAnsiTheme="majorHAnsi"/>
          <w:sz w:val="20"/>
          <w:szCs w:val="20"/>
        </w:rPr>
        <w:t>та</w:t>
      </w:r>
      <w:r w:rsidRPr="000977F7">
        <w:rPr>
          <w:rFonts w:asciiTheme="majorHAnsi" w:hAnsiTheme="majorHAnsi"/>
          <w:spacing w:val="-4"/>
          <w:sz w:val="20"/>
          <w:szCs w:val="20"/>
        </w:rPr>
        <w:t xml:space="preserve"> </w:t>
      </w:r>
      <w:r w:rsidRPr="000977F7">
        <w:rPr>
          <w:rFonts w:asciiTheme="majorHAnsi" w:hAnsiTheme="majorHAnsi"/>
          <w:sz w:val="20"/>
          <w:szCs w:val="20"/>
        </w:rPr>
        <w:t>вимірювання;</w:t>
      </w:r>
    </w:p>
    <w:p w14:paraId="5C450C7C" w14:textId="77777777" w:rsidR="0097612F" w:rsidRPr="000977F7" w:rsidRDefault="0097612F" w:rsidP="00FD39A4">
      <w:pPr>
        <w:pStyle w:val="ac"/>
        <w:widowControl w:val="0"/>
        <w:numPr>
          <w:ilvl w:val="1"/>
          <w:numId w:val="222"/>
        </w:numPr>
        <w:tabs>
          <w:tab w:val="left" w:pos="284"/>
          <w:tab w:val="left" w:pos="7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результатів</w:t>
      </w:r>
      <w:r w:rsidRPr="000977F7">
        <w:rPr>
          <w:rFonts w:asciiTheme="majorHAnsi" w:hAnsiTheme="majorHAnsi"/>
          <w:spacing w:val="-6"/>
          <w:sz w:val="20"/>
          <w:szCs w:val="20"/>
        </w:rPr>
        <w:t xml:space="preserve"> </w:t>
      </w:r>
      <w:r w:rsidRPr="000977F7">
        <w:rPr>
          <w:rFonts w:asciiTheme="majorHAnsi" w:hAnsiTheme="majorHAnsi"/>
          <w:sz w:val="20"/>
          <w:szCs w:val="20"/>
        </w:rPr>
        <w:t>аудитів;</w:t>
      </w:r>
    </w:p>
    <w:p w14:paraId="5FFCDE24" w14:textId="77777777" w:rsidR="0097612F" w:rsidRPr="000977F7" w:rsidRDefault="0097612F" w:rsidP="00FD39A4">
      <w:pPr>
        <w:pStyle w:val="ac"/>
        <w:widowControl w:val="0"/>
        <w:numPr>
          <w:ilvl w:val="1"/>
          <w:numId w:val="222"/>
        </w:numPr>
        <w:tabs>
          <w:tab w:val="left" w:pos="284"/>
          <w:tab w:val="left" w:pos="7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дієвості</w:t>
      </w:r>
      <w:r w:rsidRPr="000977F7">
        <w:rPr>
          <w:rFonts w:asciiTheme="majorHAnsi" w:hAnsiTheme="majorHAnsi"/>
          <w:spacing w:val="-7"/>
          <w:sz w:val="20"/>
          <w:szCs w:val="20"/>
        </w:rPr>
        <w:t xml:space="preserve"> </w:t>
      </w:r>
      <w:r w:rsidRPr="000977F7">
        <w:rPr>
          <w:rFonts w:asciiTheme="majorHAnsi" w:hAnsiTheme="majorHAnsi"/>
          <w:sz w:val="20"/>
          <w:szCs w:val="20"/>
        </w:rPr>
        <w:t>зовнішніх</w:t>
      </w:r>
      <w:r w:rsidRPr="000977F7">
        <w:rPr>
          <w:rFonts w:asciiTheme="majorHAnsi" w:hAnsiTheme="majorHAnsi"/>
          <w:spacing w:val="-4"/>
          <w:sz w:val="20"/>
          <w:szCs w:val="20"/>
        </w:rPr>
        <w:t xml:space="preserve"> </w:t>
      </w:r>
      <w:r w:rsidRPr="000977F7">
        <w:rPr>
          <w:rFonts w:asciiTheme="majorHAnsi" w:hAnsiTheme="majorHAnsi"/>
          <w:sz w:val="20"/>
          <w:szCs w:val="20"/>
        </w:rPr>
        <w:t>постачальників;</w:t>
      </w:r>
    </w:p>
    <w:p w14:paraId="02E2F6E7" w14:textId="77777777" w:rsidR="0097612F" w:rsidRPr="000977F7" w:rsidRDefault="0097612F" w:rsidP="00FD39A4">
      <w:pPr>
        <w:pStyle w:val="ac"/>
        <w:widowControl w:val="0"/>
        <w:numPr>
          <w:ilvl w:val="0"/>
          <w:numId w:val="222"/>
        </w:numPr>
        <w:tabs>
          <w:tab w:val="left" w:pos="284"/>
          <w:tab w:val="left" w:pos="56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достатності</w:t>
      </w:r>
      <w:r w:rsidRPr="000977F7">
        <w:rPr>
          <w:rFonts w:asciiTheme="majorHAnsi" w:hAnsiTheme="majorHAnsi"/>
          <w:spacing w:val="-4"/>
          <w:sz w:val="20"/>
          <w:szCs w:val="20"/>
        </w:rPr>
        <w:t xml:space="preserve"> </w:t>
      </w:r>
      <w:r w:rsidRPr="000977F7">
        <w:rPr>
          <w:rFonts w:asciiTheme="majorHAnsi" w:hAnsiTheme="majorHAnsi"/>
          <w:sz w:val="20"/>
          <w:szCs w:val="20"/>
        </w:rPr>
        <w:t>ресурсів;</w:t>
      </w:r>
    </w:p>
    <w:p w14:paraId="5826BE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w:t>
      </w:r>
      <w:r w:rsidRPr="000977F7">
        <w:rPr>
          <w:rFonts w:asciiTheme="majorHAnsi" w:hAnsiTheme="majorHAnsi"/>
          <w:spacing w:val="5"/>
          <w:sz w:val="20"/>
          <w:szCs w:val="20"/>
        </w:rPr>
        <w:t xml:space="preserve"> </w:t>
      </w:r>
      <w:r w:rsidRPr="000977F7">
        <w:rPr>
          <w:rFonts w:asciiTheme="majorHAnsi" w:hAnsiTheme="majorHAnsi"/>
          <w:sz w:val="20"/>
          <w:szCs w:val="20"/>
        </w:rPr>
        <w:t>результативності</w:t>
      </w:r>
      <w:r w:rsidRPr="000977F7">
        <w:rPr>
          <w:rFonts w:asciiTheme="majorHAnsi" w:hAnsiTheme="majorHAnsi"/>
          <w:spacing w:val="4"/>
          <w:sz w:val="20"/>
          <w:szCs w:val="20"/>
        </w:rPr>
        <w:t xml:space="preserve"> </w:t>
      </w:r>
      <w:r w:rsidRPr="000977F7">
        <w:rPr>
          <w:rFonts w:asciiTheme="majorHAnsi" w:hAnsiTheme="majorHAnsi"/>
          <w:sz w:val="20"/>
          <w:szCs w:val="20"/>
        </w:rPr>
        <w:t>дій,</w:t>
      </w:r>
      <w:r w:rsidRPr="000977F7">
        <w:rPr>
          <w:rFonts w:asciiTheme="majorHAnsi" w:hAnsiTheme="majorHAnsi"/>
          <w:spacing w:val="7"/>
          <w:sz w:val="20"/>
          <w:szCs w:val="20"/>
        </w:rPr>
        <w:t xml:space="preserve"> </w:t>
      </w:r>
      <w:r w:rsidRPr="000977F7">
        <w:rPr>
          <w:rFonts w:asciiTheme="majorHAnsi" w:hAnsiTheme="majorHAnsi"/>
          <w:sz w:val="20"/>
          <w:szCs w:val="20"/>
        </w:rPr>
        <w:t>виконаних</w:t>
      </w:r>
      <w:r w:rsidRPr="000977F7">
        <w:rPr>
          <w:rFonts w:asciiTheme="majorHAnsi" w:hAnsiTheme="majorHAnsi"/>
          <w:spacing w:val="5"/>
          <w:sz w:val="20"/>
          <w:szCs w:val="20"/>
        </w:rPr>
        <w:t xml:space="preserve"> </w:t>
      </w:r>
      <w:r w:rsidRPr="000977F7">
        <w:rPr>
          <w:rFonts w:asciiTheme="majorHAnsi" w:hAnsiTheme="majorHAnsi"/>
          <w:sz w:val="20"/>
          <w:szCs w:val="20"/>
        </w:rPr>
        <w:t>щодо</w:t>
      </w:r>
      <w:r w:rsidRPr="000977F7">
        <w:rPr>
          <w:rFonts w:asciiTheme="majorHAnsi" w:hAnsiTheme="majorHAnsi"/>
          <w:spacing w:val="5"/>
          <w:sz w:val="20"/>
          <w:szCs w:val="20"/>
        </w:rPr>
        <w:t xml:space="preserve"> </w:t>
      </w:r>
      <w:r w:rsidRPr="000977F7">
        <w:rPr>
          <w:rFonts w:asciiTheme="majorHAnsi" w:hAnsiTheme="majorHAnsi"/>
          <w:sz w:val="20"/>
          <w:szCs w:val="20"/>
        </w:rPr>
        <w:t>ризиків</w:t>
      </w:r>
      <w:r w:rsidRPr="000977F7">
        <w:rPr>
          <w:rFonts w:asciiTheme="majorHAnsi" w:hAnsiTheme="majorHAnsi"/>
          <w:spacing w:val="4"/>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можливостей;</w:t>
      </w:r>
    </w:p>
    <w:p w14:paraId="61540E2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w:t>
      </w:r>
      <w:r w:rsidRPr="000977F7">
        <w:rPr>
          <w:rFonts w:asciiTheme="majorHAnsi" w:hAnsiTheme="majorHAnsi"/>
          <w:spacing w:val="-3"/>
          <w:sz w:val="20"/>
          <w:szCs w:val="20"/>
        </w:rPr>
        <w:t xml:space="preserve"> </w:t>
      </w:r>
      <w:r w:rsidRPr="000977F7">
        <w:rPr>
          <w:rFonts w:asciiTheme="majorHAnsi" w:hAnsiTheme="majorHAnsi"/>
          <w:sz w:val="20"/>
          <w:szCs w:val="20"/>
        </w:rPr>
        <w:t>можливостей</w:t>
      </w:r>
      <w:r w:rsidRPr="000977F7">
        <w:rPr>
          <w:rFonts w:asciiTheme="majorHAnsi" w:hAnsiTheme="majorHAnsi"/>
          <w:spacing w:val="-4"/>
          <w:sz w:val="20"/>
          <w:szCs w:val="20"/>
        </w:rPr>
        <w:t xml:space="preserve"> </w:t>
      </w:r>
      <w:r w:rsidRPr="000977F7">
        <w:rPr>
          <w:rFonts w:asciiTheme="majorHAnsi" w:hAnsiTheme="majorHAnsi"/>
          <w:sz w:val="20"/>
          <w:szCs w:val="20"/>
        </w:rPr>
        <w:t>для</w:t>
      </w:r>
      <w:r w:rsidRPr="000977F7">
        <w:rPr>
          <w:rFonts w:asciiTheme="majorHAnsi" w:hAnsiTheme="majorHAnsi"/>
          <w:spacing w:val="-3"/>
          <w:sz w:val="20"/>
          <w:szCs w:val="20"/>
        </w:rPr>
        <w:t xml:space="preserve"> </w:t>
      </w:r>
      <w:r w:rsidRPr="000977F7">
        <w:rPr>
          <w:rFonts w:asciiTheme="majorHAnsi" w:hAnsiTheme="majorHAnsi"/>
          <w:sz w:val="20"/>
          <w:szCs w:val="20"/>
        </w:rPr>
        <w:t>поліпшення.</w:t>
      </w:r>
    </w:p>
    <w:p w14:paraId="70AF93DB"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Вихідні дані аналізування системи управління</w:t>
      </w:r>
    </w:p>
    <w:p w14:paraId="1AC820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Потрібно,</w:t>
      </w:r>
      <w:r w:rsidRPr="000977F7">
        <w:rPr>
          <w:rFonts w:asciiTheme="majorHAnsi" w:hAnsiTheme="majorHAnsi"/>
          <w:spacing w:val="1"/>
          <w:sz w:val="20"/>
          <w:szCs w:val="20"/>
        </w:rPr>
        <w:t xml:space="preserve"> </w:t>
      </w:r>
      <w:r w:rsidRPr="000977F7">
        <w:rPr>
          <w:rFonts w:asciiTheme="majorHAnsi" w:hAnsiTheme="majorHAnsi"/>
          <w:sz w:val="20"/>
          <w:szCs w:val="20"/>
        </w:rPr>
        <w:t>щоб</w:t>
      </w:r>
      <w:r w:rsidRPr="000977F7">
        <w:rPr>
          <w:rFonts w:asciiTheme="majorHAnsi" w:hAnsiTheme="majorHAnsi"/>
          <w:spacing w:val="1"/>
          <w:sz w:val="20"/>
          <w:szCs w:val="20"/>
        </w:rPr>
        <w:t xml:space="preserve"> </w:t>
      </w:r>
      <w:r w:rsidRPr="000977F7">
        <w:rPr>
          <w:rFonts w:asciiTheme="majorHAnsi" w:hAnsiTheme="majorHAnsi"/>
          <w:sz w:val="20"/>
          <w:szCs w:val="20"/>
        </w:rPr>
        <w:t>вихідні</w:t>
      </w:r>
      <w:r w:rsidRPr="000977F7">
        <w:rPr>
          <w:rFonts w:asciiTheme="majorHAnsi" w:hAnsiTheme="majorHAnsi"/>
          <w:spacing w:val="1"/>
          <w:sz w:val="20"/>
          <w:szCs w:val="20"/>
        </w:rPr>
        <w:t xml:space="preserve"> </w:t>
      </w:r>
      <w:r w:rsidRPr="000977F7">
        <w:rPr>
          <w:rFonts w:asciiTheme="majorHAnsi" w:hAnsiTheme="majorHAnsi"/>
          <w:sz w:val="20"/>
          <w:szCs w:val="20"/>
        </w:rPr>
        <w:t>дані</w:t>
      </w:r>
      <w:r w:rsidRPr="000977F7">
        <w:rPr>
          <w:rFonts w:asciiTheme="majorHAnsi" w:hAnsiTheme="majorHAnsi"/>
          <w:spacing w:val="1"/>
          <w:sz w:val="20"/>
          <w:szCs w:val="20"/>
        </w:rPr>
        <w:t xml:space="preserve"> </w:t>
      </w:r>
      <w:r w:rsidRPr="000977F7">
        <w:rPr>
          <w:rFonts w:asciiTheme="majorHAnsi" w:hAnsiTheme="majorHAnsi"/>
          <w:sz w:val="20"/>
          <w:szCs w:val="20"/>
        </w:rPr>
        <w:t>аналізування</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у</w:t>
      </w:r>
      <w:r w:rsidRPr="000977F7">
        <w:rPr>
          <w:rFonts w:asciiTheme="majorHAnsi" w:hAnsiTheme="majorHAnsi"/>
          <w:sz w:val="20"/>
          <w:szCs w:val="20"/>
        </w:rPr>
        <w:t>правління</w:t>
      </w:r>
      <w:r w:rsidRPr="000977F7">
        <w:rPr>
          <w:rFonts w:asciiTheme="majorHAnsi" w:hAnsiTheme="majorHAnsi"/>
          <w:spacing w:val="-2"/>
          <w:sz w:val="20"/>
          <w:szCs w:val="20"/>
        </w:rPr>
        <w:t xml:space="preserve"> </w:t>
      </w:r>
      <w:r w:rsidRPr="000977F7">
        <w:rPr>
          <w:rFonts w:asciiTheme="majorHAnsi" w:hAnsiTheme="majorHAnsi"/>
          <w:sz w:val="20"/>
          <w:szCs w:val="20"/>
        </w:rPr>
        <w:t>охоплювали</w:t>
      </w:r>
      <w:r w:rsidRPr="000977F7">
        <w:rPr>
          <w:rFonts w:asciiTheme="majorHAnsi" w:hAnsiTheme="majorHAnsi"/>
          <w:spacing w:val="-2"/>
          <w:sz w:val="20"/>
          <w:szCs w:val="20"/>
        </w:rPr>
        <w:t xml:space="preserve"> </w:t>
      </w:r>
      <w:r w:rsidRPr="000977F7">
        <w:rPr>
          <w:rFonts w:asciiTheme="majorHAnsi" w:hAnsiTheme="majorHAnsi"/>
          <w:sz w:val="20"/>
          <w:szCs w:val="20"/>
        </w:rPr>
        <w:t>рішення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дії</w:t>
      </w:r>
      <w:r w:rsidRPr="000977F7">
        <w:rPr>
          <w:rFonts w:asciiTheme="majorHAnsi" w:hAnsiTheme="majorHAnsi"/>
          <w:spacing w:val="-2"/>
          <w:sz w:val="20"/>
          <w:szCs w:val="20"/>
        </w:rPr>
        <w:t xml:space="preserve"> </w:t>
      </w:r>
      <w:r w:rsidRPr="000977F7">
        <w:rPr>
          <w:rFonts w:asciiTheme="majorHAnsi" w:hAnsiTheme="majorHAnsi"/>
          <w:sz w:val="20"/>
          <w:szCs w:val="20"/>
        </w:rPr>
        <w:t>стосовно:</w:t>
      </w:r>
    </w:p>
    <w:p w14:paraId="0A902C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2"/>
          <w:sz w:val="20"/>
          <w:szCs w:val="20"/>
        </w:rPr>
        <w:t xml:space="preserve"> </w:t>
      </w:r>
      <w:r w:rsidRPr="000977F7">
        <w:rPr>
          <w:rFonts w:asciiTheme="majorHAnsi" w:hAnsiTheme="majorHAnsi"/>
          <w:sz w:val="20"/>
          <w:szCs w:val="20"/>
        </w:rPr>
        <w:t>можливостей</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3"/>
          <w:sz w:val="20"/>
          <w:szCs w:val="20"/>
        </w:rPr>
        <w:t xml:space="preserve"> </w:t>
      </w:r>
      <w:r w:rsidRPr="000977F7">
        <w:rPr>
          <w:rFonts w:asciiTheme="majorHAnsi" w:hAnsiTheme="majorHAnsi"/>
          <w:sz w:val="20"/>
          <w:szCs w:val="20"/>
        </w:rPr>
        <w:t>поліпшення;</w:t>
      </w:r>
    </w:p>
    <w:p w14:paraId="580F664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 будь-якої потреби у змінах до системи 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якістю;</w:t>
      </w:r>
    </w:p>
    <w:p w14:paraId="61D2B14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w:t>
      </w:r>
      <w:r w:rsidRPr="000977F7">
        <w:rPr>
          <w:rFonts w:asciiTheme="majorHAnsi" w:hAnsiTheme="majorHAnsi"/>
          <w:spacing w:val="-2"/>
          <w:sz w:val="20"/>
          <w:szCs w:val="20"/>
        </w:rPr>
        <w:t xml:space="preserve"> </w:t>
      </w:r>
      <w:r w:rsidRPr="000977F7">
        <w:rPr>
          <w:rFonts w:asciiTheme="majorHAnsi" w:hAnsiTheme="majorHAnsi"/>
          <w:sz w:val="20"/>
          <w:szCs w:val="20"/>
        </w:rPr>
        <w:t>потреб у</w:t>
      </w:r>
      <w:r w:rsidRPr="000977F7">
        <w:rPr>
          <w:rFonts w:asciiTheme="majorHAnsi" w:hAnsiTheme="majorHAnsi"/>
          <w:spacing w:val="-5"/>
          <w:sz w:val="20"/>
          <w:szCs w:val="20"/>
        </w:rPr>
        <w:t xml:space="preserve"> </w:t>
      </w:r>
      <w:r w:rsidRPr="000977F7">
        <w:rPr>
          <w:rFonts w:asciiTheme="majorHAnsi" w:hAnsiTheme="majorHAnsi"/>
          <w:sz w:val="20"/>
          <w:szCs w:val="20"/>
        </w:rPr>
        <w:t>ресурсах;</w:t>
      </w:r>
    </w:p>
    <w:p w14:paraId="6AE850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зберігати задокументовану інформацію як доказ результатів аналізувань системи</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p>
    <w:p w14:paraId="6D6073A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284296FB"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АНАЛІЗУВАННЯ</w:t>
      </w:r>
      <w:r w:rsidRPr="000977F7">
        <w:rPr>
          <w:color w:val="auto"/>
          <w:spacing w:val="-6"/>
          <w:sz w:val="20"/>
          <w:szCs w:val="20"/>
        </w:rPr>
        <w:t xml:space="preserve"> </w:t>
      </w:r>
      <w:r w:rsidRPr="000977F7">
        <w:rPr>
          <w:color w:val="auto"/>
          <w:sz w:val="20"/>
          <w:szCs w:val="20"/>
        </w:rPr>
        <w:t>ТА</w:t>
      </w:r>
      <w:r w:rsidRPr="000977F7">
        <w:rPr>
          <w:color w:val="auto"/>
          <w:spacing w:val="-5"/>
          <w:sz w:val="20"/>
          <w:szCs w:val="20"/>
        </w:rPr>
        <w:t xml:space="preserve"> </w:t>
      </w:r>
      <w:r w:rsidRPr="000977F7">
        <w:rPr>
          <w:color w:val="auto"/>
          <w:sz w:val="20"/>
          <w:szCs w:val="20"/>
        </w:rPr>
        <w:t>ОЦІНЮВАННЯ</w:t>
      </w:r>
      <w:r w:rsidRPr="000977F7">
        <w:rPr>
          <w:color w:val="auto"/>
          <w:spacing w:val="-1"/>
          <w:sz w:val="20"/>
          <w:szCs w:val="20"/>
        </w:rPr>
        <w:t xml:space="preserve"> </w:t>
      </w:r>
      <w:r w:rsidRPr="000977F7">
        <w:rPr>
          <w:b w:val="0"/>
          <w:color w:val="auto"/>
          <w:sz w:val="20"/>
          <w:szCs w:val="20"/>
        </w:rPr>
        <w:t>–</w:t>
      </w:r>
    </w:p>
    <w:p w14:paraId="1DA6DAA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Організація повинна аналізувати та оцінювати відповідні дані та інформацію, отримані під час моніторингу</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та вимірювання.</w:t>
      </w:r>
    </w:p>
    <w:p w14:paraId="251EE6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Результати</w:t>
      </w:r>
      <w:r w:rsidRPr="000977F7">
        <w:rPr>
          <w:rFonts w:asciiTheme="majorHAnsi" w:hAnsiTheme="majorHAnsi"/>
          <w:spacing w:val="1"/>
          <w:sz w:val="20"/>
          <w:szCs w:val="20"/>
        </w:rPr>
        <w:t xml:space="preserve"> </w:t>
      </w:r>
      <w:r w:rsidRPr="000977F7">
        <w:rPr>
          <w:rFonts w:asciiTheme="majorHAnsi" w:hAnsiTheme="majorHAnsi"/>
          <w:sz w:val="20"/>
          <w:szCs w:val="20"/>
        </w:rPr>
        <w:t>аналізування</w:t>
      </w:r>
      <w:r w:rsidRPr="000977F7">
        <w:rPr>
          <w:rFonts w:asciiTheme="majorHAnsi" w:hAnsiTheme="majorHAnsi"/>
          <w:spacing w:val="1"/>
          <w:sz w:val="20"/>
          <w:szCs w:val="20"/>
        </w:rPr>
        <w:t xml:space="preserve"> </w:t>
      </w:r>
      <w:r w:rsidRPr="000977F7">
        <w:rPr>
          <w:rFonts w:asciiTheme="majorHAnsi" w:hAnsiTheme="majorHAnsi"/>
          <w:sz w:val="20"/>
          <w:szCs w:val="20"/>
        </w:rPr>
        <w:t>потрібно</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використовувати</w:t>
      </w:r>
      <w:r w:rsidRPr="000977F7">
        <w:rPr>
          <w:rFonts w:asciiTheme="majorHAnsi" w:hAnsiTheme="majorHAnsi"/>
          <w:spacing w:val="-47"/>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оцінювання:</w:t>
      </w:r>
    </w:p>
    <w:p w14:paraId="2D78C313" w14:textId="77777777" w:rsidR="0097612F" w:rsidRPr="000977F7" w:rsidRDefault="0097612F" w:rsidP="00FD39A4">
      <w:pPr>
        <w:pStyle w:val="ac"/>
        <w:widowControl w:val="0"/>
        <w:numPr>
          <w:ilvl w:val="0"/>
          <w:numId w:val="221"/>
        </w:numPr>
        <w:tabs>
          <w:tab w:val="left" w:pos="284"/>
          <w:tab w:val="left" w:pos="6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відповідності</w:t>
      </w:r>
      <w:r w:rsidRPr="000977F7">
        <w:rPr>
          <w:rFonts w:asciiTheme="majorHAnsi" w:hAnsiTheme="majorHAnsi"/>
          <w:spacing w:val="-3"/>
          <w:sz w:val="20"/>
          <w:szCs w:val="20"/>
        </w:rPr>
        <w:t xml:space="preserve"> </w:t>
      </w:r>
      <w:r w:rsidRPr="000977F7">
        <w:rPr>
          <w:rFonts w:asciiTheme="majorHAnsi" w:hAnsiTheme="majorHAnsi"/>
          <w:sz w:val="20"/>
          <w:szCs w:val="20"/>
        </w:rPr>
        <w:t>продукції</w:t>
      </w:r>
      <w:r w:rsidRPr="000977F7">
        <w:rPr>
          <w:rFonts w:asciiTheme="majorHAnsi" w:hAnsiTheme="majorHAnsi"/>
          <w:spacing w:val="-6"/>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послуг;</w:t>
      </w:r>
    </w:p>
    <w:p w14:paraId="0CE06D59" w14:textId="77777777" w:rsidR="0097612F" w:rsidRPr="000977F7" w:rsidRDefault="0097612F" w:rsidP="00FD39A4">
      <w:pPr>
        <w:pStyle w:val="ac"/>
        <w:widowControl w:val="0"/>
        <w:numPr>
          <w:ilvl w:val="0"/>
          <w:numId w:val="221"/>
        </w:numPr>
        <w:tabs>
          <w:tab w:val="left" w:pos="284"/>
          <w:tab w:val="left" w:pos="65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ступеня</w:t>
      </w:r>
      <w:r w:rsidRPr="000977F7">
        <w:rPr>
          <w:rFonts w:asciiTheme="majorHAnsi" w:hAnsiTheme="majorHAnsi"/>
          <w:spacing w:val="42"/>
          <w:sz w:val="20"/>
          <w:szCs w:val="20"/>
        </w:rPr>
        <w:t xml:space="preserve"> </w:t>
      </w:r>
      <w:r w:rsidRPr="000977F7">
        <w:rPr>
          <w:rFonts w:asciiTheme="majorHAnsi" w:hAnsiTheme="majorHAnsi"/>
          <w:sz w:val="20"/>
          <w:szCs w:val="20"/>
        </w:rPr>
        <w:t>задоволеності</w:t>
      </w:r>
      <w:r w:rsidRPr="000977F7">
        <w:rPr>
          <w:rFonts w:asciiTheme="majorHAnsi" w:hAnsiTheme="majorHAnsi"/>
          <w:spacing w:val="-5"/>
          <w:sz w:val="20"/>
          <w:szCs w:val="20"/>
        </w:rPr>
        <w:t xml:space="preserve"> </w:t>
      </w:r>
      <w:r w:rsidRPr="000977F7">
        <w:rPr>
          <w:rFonts w:asciiTheme="majorHAnsi" w:hAnsiTheme="majorHAnsi"/>
          <w:sz w:val="20"/>
          <w:szCs w:val="20"/>
        </w:rPr>
        <w:t>замовника;</w:t>
      </w:r>
    </w:p>
    <w:p w14:paraId="18CFA0B6" w14:textId="77777777" w:rsidR="0097612F" w:rsidRPr="000977F7" w:rsidRDefault="0097612F" w:rsidP="00FD39A4">
      <w:pPr>
        <w:pStyle w:val="ac"/>
        <w:widowControl w:val="0"/>
        <w:numPr>
          <w:ilvl w:val="0"/>
          <w:numId w:val="221"/>
        </w:numPr>
        <w:tabs>
          <w:tab w:val="left" w:pos="284"/>
          <w:tab w:val="left" w:pos="71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дієвості</w:t>
      </w:r>
      <w:r w:rsidRPr="000977F7">
        <w:rPr>
          <w:rFonts w:asciiTheme="majorHAnsi" w:hAnsiTheme="majorHAnsi"/>
          <w:spacing w:val="8"/>
          <w:sz w:val="20"/>
          <w:szCs w:val="20"/>
        </w:rPr>
        <w:t xml:space="preserve"> </w:t>
      </w:r>
      <w:r w:rsidRPr="000977F7">
        <w:rPr>
          <w:rFonts w:asciiTheme="majorHAnsi" w:hAnsiTheme="majorHAnsi"/>
          <w:sz w:val="20"/>
          <w:szCs w:val="20"/>
        </w:rPr>
        <w:t>та</w:t>
      </w:r>
      <w:r w:rsidRPr="000977F7">
        <w:rPr>
          <w:rFonts w:asciiTheme="majorHAnsi" w:hAnsiTheme="majorHAnsi"/>
          <w:spacing w:val="9"/>
          <w:sz w:val="20"/>
          <w:szCs w:val="20"/>
        </w:rPr>
        <w:t xml:space="preserve"> </w:t>
      </w:r>
      <w:r w:rsidRPr="000977F7">
        <w:rPr>
          <w:rFonts w:asciiTheme="majorHAnsi" w:hAnsiTheme="majorHAnsi"/>
          <w:sz w:val="20"/>
          <w:szCs w:val="20"/>
        </w:rPr>
        <w:t>результативності</w:t>
      </w:r>
      <w:r w:rsidRPr="000977F7">
        <w:rPr>
          <w:rFonts w:asciiTheme="majorHAnsi" w:hAnsiTheme="majorHAnsi"/>
          <w:spacing w:val="8"/>
          <w:sz w:val="20"/>
          <w:szCs w:val="20"/>
        </w:rPr>
        <w:t xml:space="preserve"> </w:t>
      </w:r>
      <w:r w:rsidRPr="000977F7">
        <w:rPr>
          <w:rFonts w:asciiTheme="majorHAnsi" w:hAnsiTheme="majorHAnsi"/>
          <w:sz w:val="20"/>
          <w:szCs w:val="20"/>
        </w:rPr>
        <w:t>системи</w:t>
      </w:r>
      <w:r w:rsidRPr="000977F7">
        <w:rPr>
          <w:rFonts w:asciiTheme="majorHAnsi" w:hAnsiTheme="majorHAnsi"/>
          <w:spacing w:val="10"/>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47"/>
          <w:sz w:val="20"/>
          <w:szCs w:val="20"/>
        </w:rPr>
        <w:t xml:space="preserve"> </w:t>
      </w:r>
      <w:r w:rsidRPr="000977F7">
        <w:rPr>
          <w:rFonts w:asciiTheme="majorHAnsi" w:hAnsiTheme="majorHAnsi"/>
          <w:sz w:val="20"/>
          <w:szCs w:val="20"/>
        </w:rPr>
        <w:t>якістю;</w:t>
      </w:r>
    </w:p>
    <w:p w14:paraId="7055347D" w14:textId="77777777" w:rsidR="0097612F" w:rsidRPr="000977F7" w:rsidRDefault="0097612F" w:rsidP="00FD39A4">
      <w:pPr>
        <w:pStyle w:val="ac"/>
        <w:widowControl w:val="0"/>
        <w:numPr>
          <w:ilvl w:val="0"/>
          <w:numId w:val="221"/>
        </w:numPr>
        <w:tabs>
          <w:tab w:val="left" w:pos="284"/>
          <w:tab w:val="left" w:pos="65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результативності</w:t>
      </w:r>
      <w:r w:rsidRPr="000977F7">
        <w:rPr>
          <w:rFonts w:asciiTheme="majorHAnsi" w:hAnsiTheme="majorHAnsi"/>
          <w:spacing w:val="-8"/>
          <w:sz w:val="20"/>
          <w:szCs w:val="20"/>
        </w:rPr>
        <w:t xml:space="preserve"> </w:t>
      </w:r>
      <w:r w:rsidRPr="000977F7">
        <w:rPr>
          <w:rFonts w:asciiTheme="majorHAnsi" w:hAnsiTheme="majorHAnsi"/>
          <w:sz w:val="20"/>
          <w:szCs w:val="20"/>
        </w:rPr>
        <w:t>планування;</w:t>
      </w:r>
    </w:p>
    <w:p w14:paraId="0FCB9F77" w14:textId="77777777" w:rsidR="0097612F" w:rsidRPr="000977F7" w:rsidRDefault="0097612F" w:rsidP="00FD39A4">
      <w:pPr>
        <w:pStyle w:val="ac"/>
        <w:widowControl w:val="0"/>
        <w:numPr>
          <w:ilvl w:val="0"/>
          <w:numId w:val="221"/>
        </w:numPr>
        <w:tabs>
          <w:tab w:val="left" w:pos="284"/>
          <w:tab w:val="left" w:pos="71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результативності</w:t>
      </w:r>
      <w:r w:rsidRPr="000977F7">
        <w:rPr>
          <w:rFonts w:asciiTheme="majorHAnsi" w:hAnsiTheme="majorHAnsi"/>
          <w:spacing w:val="10"/>
          <w:sz w:val="20"/>
          <w:szCs w:val="20"/>
        </w:rPr>
        <w:t xml:space="preserve"> </w:t>
      </w:r>
      <w:r w:rsidRPr="000977F7">
        <w:rPr>
          <w:rFonts w:asciiTheme="majorHAnsi" w:hAnsiTheme="majorHAnsi"/>
          <w:sz w:val="20"/>
          <w:szCs w:val="20"/>
        </w:rPr>
        <w:t>дій,</w:t>
      </w:r>
      <w:r w:rsidRPr="000977F7">
        <w:rPr>
          <w:rFonts w:asciiTheme="majorHAnsi" w:hAnsiTheme="majorHAnsi"/>
          <w:spacing w:val="11"/>
          <w:sz w:val="20"/>
          <w:szCs w:val="20"/>
        </w:rPr>
        <w:t xml:space="preserve"> </w:t>
      </w:r>
      <w:r w:rsidRPr="000977F7">
        <w:rPr>
          <w:rFonts w:asciiTheme="majorHAnsi" w:hAnsiTheme="majorHAnsi"/>
          <w:sz w:val="20"/>
          <w:szCs w:val="20"/>
        </w:rPr>
        <w:t>виконаних</w:t>
      </w:r>
      <w:r w:rsidRPr="000977F7">
        <w:rPr>
          <w:rFonts w:asciiTheme="majorHAnsi" w:hAnsiTheme="majorHAnsi"/>
          <w:spacing w:val="9"/>
          <w:sz w:val="20"/>
          <w:szCs w:val="20"/>
        </w:rPr>
        <w:t xml:space="preserve"> </w:t>
      </w:r>
      <w:r w:rsidRPr="000977F7">
        <w:rPr>
          <w:rFonts w:asciiTheme="majorHAnsi" w:hAnsiTheme="majorHAnsi"/>
          <w:sz w:val="20"/>
          <w:szCs w:val="20"/>
        </w:rPr>
        <w:t>щодо</w:t>
      </w:r>
      <w:r w:rsidRPr="000977F7">
        <w:rPr>
          <w:rFonts w:asciiTheme="majorHAnsi" w:hAnsiTheme="majorHAnsi"/>
          <w:spacing w:val="11"/>
          <w:sz w:val="20"/>
          <w:szCs w:val="20"/>
        </w:rPr>
        <w:t xml:space="preserve"> </w:t>
      </w:r>
      <w:r w:rsidRPr="000977F7">
        <w:rPr>
          <w:rFonts w:asciiTheme="majorHAnsi" w:hAnsiTheme="majorHAnsi"/>
          <w:sz w:val="20"/>
          <w:szCs w:val="20"/>
        </w:rPr>
        <w:t>ризиків</w:t>
      </w:r>
      <w:r w:rsidRPr="000977F7">
        <w:rPr>
          <w:rFonts w:asciiTheme="majorHAnsi" w:hAnsiTheme="majorHAnsi"/>
          <w:spacing w:val="10"/>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можливостей;</w:t>
      </w:r>
    </w:p>
    <w:p w14:paraId="11B15C0B" w14:textId="77777777" w:rsidR="0097612F" w:rsidRPr="000977F7" w:rsidRDefault="0097612F" w:rsidP="00FD39A4">
      <w:pPr>
        <w:pStyle w:val="ac"/>
        <w:widowControl w:val="0"/>
        <w:numPr>
          <w:ilvl w:val="0"/>
          <w:numId w:val="221"/>
        </w:numPr>
        <w:tabs>
          <w:tab w:val="left" w:pos="284"/>
          <w:tab w:val="left" w:pos="62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дієвості</w:t>
      </w:r>
      <w:r w:rsidRPr="000977F7">
        <w:rPr>
          <w:rFonts w:asciiTheme="majorHAnsi" w:hAnsiTheme="majorHAnsi"/>
          <w:spacing w:val="-6"/>
          <w:sz w:val="20"/>
          <w:szCs w:val="20"/>
        </w:rPr>
        <w:t xml:space="preserve"> </w:t>
      </w:r>
      <w:r w:rsidRPr="000977F7">
        <w:rPr>
          <w:rFonts w:asciiTheme="majorHAnsi" w:hAnsiTheme="majorHAnsi"/>
          <w:sz w:val="20"/>
          <w:szCs w:val="20"/>
        </w:rPr>
        <w:t>зовнішніх</w:t>
      </w:r>
      <w:r w:rsidRPr="000977F7">
        <w:rPr>
          <w:rFonts w:asciiTheme="majorHAnsi" w:hAnsiTheme="majorHAnsi"/>
          <w:spacing w:val="-4"/>
          <w:sz w:val="20"/>
          <w:szCs w:val="20"/>
        </w:rPr>
        <w:t xml:space="preserve"> </w:t>
      </w:r>
      <w:r w:rsidRPr="000977F7">
        <w:rPr>
          <w:rFonts w:asciiTheme="majorHAnsi" w:hAnsiTheme="majorHAnsi"/>
          <w:sz w:val="20"/>
          <w:szCs w:val="20"/>
        </w:rPr>
        <w:t>постачальників;</w:t>
      </w:r>
    </w:p>
    <w:p w14:paraId="5C24D43B" w14:textId="77777777" w:rsidR="0097612F" w:rsidRPr="000977F7" w:rsidRDefault="0097612F" w:rsidP="00FD39A4">
      <w:pPr>
        <w:pStyle w:val="ac"/>
        <w:widowControl w:val="0"/>
        <w:numPr>
          <w:ilvl w:val="0"/>
          <w:numId w:val="221"/>
        </w:numPr>
        <w:tabs>
          <w:tab w:val="left" w:pos="284"/>
          <w:tab w:val="left" w:pos="65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потреби</w:t>
      </w:r>
      <w:r w:rsidRPr="000977F7">
        <w:rPr>
          <w:rFonts w:asciiTheme="majorHAnsi" w:hAnsiTheme="majorHAnsi"/>
          <w:spacing w:val="5"/>
          <w:sz w:val="20"/>
          <w:szCs w:val="20"/>
        </w:rPr>
        <w:t xml:space="preserve"> </w:t>
      </w:r>
      <w:r w:rsidRPr="000977F7">
        <w:rPr>
          <w:rFonts w:asciiTheme="majorHAnsi" w:hAnsiTheme="majorHAnsi"/>
          <w:sz w:val="20"/>
          <w:szCs w:val="20"/>
        </w:rPr>
        <w:t>в</w:t>
      </w:r>
      <w:r w:rsidRPr="000977F7">
        <w:rPr>
          <w:rFonts w:asciiTheme="majorHAnsi" w:hAnsiTheme="majorHAnsi"/>
          <w:spacing w:val="6"/>
          <w:sz w:val="20"/>
          <w:szCs w:val="20"/>
        </w:rPr>
        <w:t xml:space="preserve"> </w:t>
      </w:r>
      <w:r w:rsidRPr="000977F7">
        <w:rPr>
          <w:rFonts w:asciiTheme="majorHAnsi" w:hAnsiTheme="majorHAnsi"/>
          <w:sz w:val="20"/>
          <w:szCs w:val="20"/>
        </w:rPr>
        <w:t>поліпшенні</w:t>
      </w:r>
      <w:r w:rsidRPr="000977F7">
        <w:rPr>
          <w:rFonts w:asciiTheme="majorHAnsi" w:hAnsiTheme="majorHAnsi"/>
          <w:spacing w:val="6"/>
          <w:sz w:val="20"/>
          <w:szCs w:val="20"/>
        </w:rPr>
        <w:t xml:space="preserve"> </w:t>
      </w:r>
      <w:r w:rsidRPr="000977F7">
        <w:rPr>
          <w:rFonts w:asciiTheme="majorHAnsi" w:hAnsiTheme="majorHAnsi"/>
          <w:sz w:val="20"/>
          <w:szCs w:val="20"/>
        </w:rPr>
        <w:t>системи</w:t>
      </w:r>
      <w:r w:rsidRPr="000977F7">
        <w:rPr>
          <w:rFonts w:asciiTheme="majorHAnsi" w:hAnsiTheme="majorHAnsi"/>
          <w:spacing w:val="8"/>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6"/>
          <w:sz w:val="20"/>
          <w:szCs w:val="20"/>
        </w:rPr>
        <w:t xml:space="preserve"> </w:t>
      </w:r>
      <w:r w:rsidRPr="000977F7">
        <w:rPr>
          <w:rFonts w:asciiTheme="majorHAnsi" w:hAnsiTheme="majorHAnsi"/>
          <w:sz w:val="20"/>
          <w:szCs w:val="20"/>
        </w:rPr>
        <w:t>якістю.</w:t>
      </w:r>
      <w:r w:rsidRPr="000977F7">
        <w:rPr>
          <w:rFonts w:asciiTheme="majorHAnsi" w:hAnsiTheme="majorHAnsi"/>
          <w:spacing w:val="1"/>
          <w:sz w:val="20"/>
          <w:szCs w:val="20"/>
        </w:rPr>
        <w:t xml:space="preserve"> </w:t>
      </w:r>
    </w:p>
    <w:p w14:paraId="0BEECB28" w14:textId="77777777" w:rsidR="0097612F" w:rsidRPr="000977F7" w:rsidRDefault="0097612F" w:rsidP="000977F7">
      <w:pPr>
        <w:tabs>
          <w:tab w:val="left" w:pos="284"/>
          <w:tab w:val="left" w:pos="656"/>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29"/>
          <w:sz w:val="20"/>
          <w:szCs w:val="20"/>
        </w:rPr>
        <w:t xml:space="preserve"> </w:t>
      </w:r>
      <w:r w:rsidRPr="000977F7">
        <w:rPr>
          <w:rFonts w:asciiTheme="majorHAnsi" w:hAnsiTheme="majorHAnsi"/>
          <w:sz w:val="20"/>
          <w:szCs w:val="20"/>
        </w:rPr>
        <w:t>р</w:t>
      </w:r>
      <w:r w:rsidRPr="000977F7">
        <w:rPr>
          <w:rFonts w:asciiTheme="majorHAnsi" w:hAnsiTheme="majorHAnsi"/>
          <w:spacing w:val="31"/>
          <w:sz w:val="20"/>
          <w:szCs w:val="20"/>
        </w:rPr>
        <w:t xml:space="preserve"> </w:t>
      </w:r>
      <w:r w:rsidRPr="000977F7">
        <w:rPr>
          <w:rFonts w:asciiTheme="majorHAnsi" w:hAnsiTheme="majorHAnsi"/>
          <w:sz w:val="20"/>
          <w:szCs w:val="20"/>
        </w:rPr>
        <w:t>и</w:t>
      </w:r>
      <w:r w:rsidRPr="000977F7">
        <w:rPr>
          <w:rFonts w:asciiTheme="majorHAnsi" w:hAnsiTheme="majorHAnsi"/>
          <w:spacing w:val="28"/>
          <w:sz w:val="20"/>
          <w:szCs w:val="20"/>
        </w:rPr>
        <w:t xml:space="preserve"> </w:t>
      </w:r>
      <w:r w:rsidRPr="000977F7">
        <w:rPr>
          <w:rFonts w:asciiTheme="majorHAnsi" w:hAnsiTheme="majorHAnsi"/>
          <w:sz w:val="20"/>
          <w:szCs w:val="20"/>
        </w:rPr>
        <w:t>м</w:t>
      </w:r>
      <w:r w:rsidRPr="000977F7">
        <w:rPr>
          <w:rFonts w:asciiTheme="majorHAnsi" w:hAnsiTheme="majorHAnsi"/>
          <w:spacing w:val="31"/>
          <w:sz w:val="20"/>
          <w:szCs w:val="20"/>
        </w:rPr>
        <w:t xml:space="preserve"> </w:t>
      </w:r>
      <w:r w:rsidRPr="000977F7">
        <w:rPr>
          <w:rFonts w:asciiTheme="majorHAnsi" w:hAnsiTheme="majorHAnsi"/>
          <w:sz w:val="20"/>
          <w:szCs w:val="20"/>
        </w:rPr>
        <w:t>і</w:t>
      </w:r>
      <w:r w:rsidRPr="000977F7">
        <w:rPr>
          <w:rFonts w:asciiTheme="majorHAnsi" w:hAnsiTheme="majorHAnsi"/>
          <w:spacing w:val="30"/>
          <w:sz w:val="20"/>
          <w:szCs w:val="20"/>
        </w:rPr>
        <w:t xml:space="preserve"> </w:t>
      </w:r>
      <w:r w:rsidRPr="000977F7">
        <w:rPr>
          <w:rFonts w:asciiTheme="majorHAnsi" w:hAnsiTheme="majorHAnsi"/>
          <w:sz w:val="20"/>
          <w:szCs w:val="20"/>
        </w:rPr>
        <w:t>т</w:t>
      </w:r>
      <w:r w:rsidRPr="000977F7">
        <w:rPr>
          <w:rFonts w:asciiTheme="majorHAnsi" w:hAnsiTheme="majorHAnsi"/>
          <w:spacing w:val="28"/>
          <w:sz w:val="20"/>
          <w:szCs w:val="20"/>
        </w:rPr>
        <w:t xml:space="preserve"> </w:t>
      </w:r>
      <w:r w:rsidRPr="000977F7">
        <w:rPr>
          <w:rFonts w:asciiTheme="majorHAnsi" w:hAnsiTheme="majorHAnsi"/>
          <w:sz w:val="20"/>
          <w:szCs w:val="20"/>
        </w:rPr>
        <w:t>к</w:t>
      </w:r>
      <w:r w:rsidRPr="000977F7">
        <w:rPr>
          <w:rFonts w:asciiTheme="majorHAnsi" w:hAnsiTheme="majorHAnsi"/>
          <w:spacing w:val="31"/>
          <w:sz w:val="20"/>
          <w:szCs w:val="20"/>
        </w:rPr>
        <w:t xml:space="preserve"> </w:t>
      </w:r>
      <w:r w:rsidRPr="000977F7">
        <w:rPr>
          <w:rFonts w:asciiTheme="majorHAnsi" w:hAnsiTheme="majorHAnsi"/>
          <w:sz w:val="20"/>
          <w:szCs w:val="20"/>
        </w:rPr>
        <w:t>а:</w:t>
      </w:r>
      <w:r w:rsidRPr="000977F7">
        <w:rPr>
          <w:rFonts w:asciiTheme="majorHAnsi" w:hAnsiTheme="majorHAnsi"/>
          <w:spacing w:val="30"/>
          <w:sz w:val="20"/>
          <w:szCs w:val="20"/>
        </w:rPr>
        <w:t xml:space="preserve"> </w:t>
      </w:r>
      <w:r w:rsidRPr="000977F7">
        <w:rPr>
          <w:rFonts w:asciiTheme="majorHAnsi" w:hAnsiTheme="majorHAnsi"/>
          <w:sz w:val="20"/>
          <w:szCs w:val="20"/>
        </w:rPr>
        <w:t>Методи</w:t>
      </w:r>
      <w:r w:rsidRPr="000977F7">
        <w:rPr>
          <w:rFonts w:asciiTheme="majorHAnsi" w:hAnsiTheme="majorHAnsi"/>
          <w:spacing w:val="28"/>
          <w:sz w:val="20"/>
          <w:szCs w:val="20"/>
        </w:rPr>
        <w:t xml:space="preserve"> </w:t>
      </w:r>
      <w:r w:rsidRPr="000977F7">
        <w:rPr>
          <w:rFonts w:asciiTheme="majorHAnsi" w:hAnsiTheme="majorHAnsi"/>
          <w:sz w:val="20"/>
          <w:szCs w:val="20"/>
        </w:rPr>
        <w:t>аналізування</w:t>
      </w:r>
      <w:r w:rsidRPr="000977F7">
        <w:rPr>
          <w:rFonts w:asciiTheme="majorHAnsi" w:hAnsiTheme="majorHAnsi"/>
          <w:spacing w:val="29"/>
          <w:sz w:val="20"/>
          <w:szCs w:val="20"/>
        </w:rPr>
        <w:t xml:space="preserve"> </w:t>
      </w:r>
      <w:r w:rsidRPr="000977F7">
        <w:rPr>
          <w:rFonts w:asciiTheme="majorHAnsi" w:hAnsiTheme="majorHAnsi"/>
          <w:sz w:val="20"/>
          <w:szCs w:val="20"/>
        </w:rPr>
        <w:t>даних</w:t>
      </w:r>
      <w:r w:rsidRPr="000977F7">
        <w:rPr>
          <w:rFonts w:asciiTheme="majorHAnsi" w:hAnsiTheme="majorHAnsi"/>
          <w:spacing w:val="29"/>
          <w:sz w:val="20"/>
          <w:szCs w:val="20"/>
        </w:rPr>
        <w:t xml:space="preserve"> </w:t>
      </w:r>
      <w:r w:rsidRPr="000977F7">
        <w:rPr>
          <w:rFonts w:asciiTheme="majorHAnsi" w:hAnsiTheme="majorHAnsi"/>
          <w:sz w:val="20"/>
          <w:szCs w:val="20"/>
        </w:rPr>
        <w:t>можуть</w:t>
      </w:r>
      <w:r w:rsidRPr="000977F7">
        <w:rPr>
          <w:rFonts w:asciiTheme="majorHAnsi" w:hAnsiTheme="majorHAnsi"/>
          <w:spacing w:val="-47"/>
          <w:sz w:val="20"/>
          <w:szCs w:val="20"/>
        </w:rPr>
        <w:t xml:space="preserve"> </w:t>
      </w:r>
      <w:r w:rsidRPr="000977F7">
        <w:rPr>
          <w:rFonts w:asciiTheme="majorHAnsi" w:hAnsiTheme="majorHAnsi"/>
          <w:sz w:val="20"/>
          <w:szCs w:val="20"/>
        </w:rPr>
        <w:t>охоплювати</w:t>
      </w:r>
      <w:r w:rsidRPr="000977F7">
        <w:rPr>
          <w:rFonts w:asciiTheme="majorHAnsi" w:hAnsiTheme="majorHAnsi"/>
          <w:spacing w:val="-2"/>
          <w:sz w:val="20"/>
          <w:szCs w:val="20"/>
        </w:rPr>
        <w:t xml:space="preserve"> </w:t>
      </w:r>
      <w:r w:rsidRPr="000977F7">
        <w:rPr>
          <w:rFonts w:asciiTheme="majorHAnsi" w:hAnsiTheme="majorHAnsi"/>
          <w:sz w:val="20"/>
          <w:szCs w:val="20"/>
        </w:rPr>
        <w:t>статистичні</w:t>
      </w:r>
      <w:r w:rsidRPr="000977F7">
        <w:rPr>
          <w:rFonts w:asciiTheme="majorHAnsi" w:hAnsiTheme="majorHAnsi"/>
          <w:spacing w:val="-1"/>
          <w:sz w:val="20"/>
          <w:szCs w:val="20"/>
        </w:rPr>
        <w:t xml:space="preserve"> </w:t>
      </w:r>
      <w:r w:rsidRPr="000977F7">
        <w:rPr>
          <w:rFonts w:asciiTheme="majorHAnsi" w:hAnsiTheme="majorHAnsi"/>
          <w:sz w:val="20"/>
          <w:szCs w:val="20"/>
        </w:rPr>
        <w:t>методи.</w:t>
      </w:r>
    </w:p>
    <w:p w14:paraId="62F46A5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 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55A056E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АНТИДЕМПІНГОВЕ</w:t>
      </w:r>
      <w:r w:rsidRPr="000977F7">
        <w:rPr>
          <w:color w:val="auto"/>
          <w:spacing w:val="-6"/>
          <w:sz w:val="20"/>
          <w:szCs w:val="20"/>
        </w:rPr>
        <w:t xml:space="preserve"> </w:t>
      </w:r>
      <w:r w:rsidRPr="000977F7">
        <w:rPr>
          <w:color w:val="auto"/>
          <w:sz w:val="20"/>
          <w:szCs w:val="20"/>
        </w:rPr>
        <w:t>МИТО</w:t>
      </w:r>
      <w:r w:rsidRPr="000977F7">
        <w:rPr>
          <w:color w:val="auto"/>
          <w:spacing w:val="-1"/>
          <w:sz w:val="20"/>
          <w:szCs w:val="20"/>
        </w:rPr>
        <w:t xml:space="preserve"> </w:t>
      </w:r>
      <w:r w:rsidRPr="000977F7">
        <w:rPr>
          <w:color w:val="auto"/>
          <w:sz w:val="20"/>
          <w:szCs w:val="20"/>
        </w:rPr>
        <w:t>–</w:t>
      </w:r>
    </w:p>
    <w:p w14:paraId="0332F12E"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Додаткове імпортне мито, яким обкладаються товари,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 експортуються за нижчими ніж середні ціни світо</w:t>
      </w:r>
      <w:r w:rsidRPr="004D2D14">
        <w:rPr>
          <w:rFonts w:asciiTheme="majorHAnsi" w:hAnsiTheme="majorHAnsi"/>
          <w:spacing w:val="-1"/>
          <w:sz w:val="20"/>
          <w:szCs w:val="20"/>
          <w:lang w:val="uk-UA"/>
        </w:rPr>
        <w:t>вого</w:t>
      </w:r>
      <w:r w:rsidRPr="004D2D14">
        <w:rPr>
          <w:rFonts w:asciiTheme="majorHAnsi" w:hAnsiTheme="majorHAnsi"/>
          <w:spacing w:val="-10"/>
          <w:sz w:val="20"/>
          <w:szCs w:val="20"/>
          <w:lang w:val="uk-UA"/>
        </w:rPr>
        <w:t xml:space="preserve"> </w:t>
      </w:r>
      <w:r w:rsidRPr="004D2D14">
        <w:rPr>
          <w:rFonts w:asciiTheme="majorHAnsi" w:hAnsiTheme="majorHAnsi"/>
          <w:spacing w:val="-1"/>
          <w:sz w:val="20"/>
          <w:szCs w:val="20"/>
          <w:lang w:val="uk-UA"/>
        </w:rPr>
        <w:t>ринку</w:t>
      </w:r>
      <w:r w:rsidRPr="004D2D14">
        <w:rPr>
          <w:rFonts w:asciiTheme="majorHAnsi" w:hAnsiTheme="majorHAnsi"/>
          <w:spacing w:val="-12"/>
          <w:sz w:val="20"/>
          <w:szCs w:val="20"/>
          <w:lang w:val="uk-UA"/>
        </w:rPr>
        <w:t xml:space="preserve"> </w:t>
      </w:r>
      <w:r w:rsidRPr="004D2D14">
        <w:rPr>
          <w:rFonts w:asciiTheme="majorHAnsi" w:hAnsiTheme="majorHAnsi"/>
          <w:spacing w:val="-1"/>
          <w:sz w:val="20"/>
          <w:szCs w:val="20"/>
          <w:lang w:val="uk-UA"/>
        </w:rPr>
        <w:t>або</w:t>
      </w:r>
      <w:r w:rsidRPr="004D2D14">
        <w:rPr>
          <w:rFonts w:asciiTheme="majorHAnsi" w:hAnsiTheme="majorHAnsi"/>
          <w:spacing w:val="-7"/>
          <w:sz w:val="20"/>
          <w:szCs w:val="20"/>
          <w:lang w:val="uk-UA"/>
        </w:rPr>
        <w:t xml:space="preserve"> </w:t>
      </w:r>
      <w:r w:rsidRPr="004D2D14">
        <w:rPr>
          <w:rFonts w:asciiTheme="majorHAnsi" w:hAnsiTheme="majorHAnsi"/>
          <w:spacing w:val="-1"/>
          <w:sz w:val="20"/>
          <w:szCs w:val="20"/>
          <w:lang w:val="uk-UA"/>
        </w:rPr>
        <w:t>ніж</w:t>
      </w:r>
      <w:r w:rsidRPr="004D2D14">
        <w:rPr>
          <w:rFonts w:asciiTheme="majorHAnsi" w:hAnsiTheme="majorHAnsi"/>
          <w:spacing w:val="-11"/>
          <w:sz w:val="20"/>
          <w:szCs w:val="20"/>
          <w:lang w:val="uk-UA"/>
        </w:rPr>
        <w:t xml:space="preserve"> </w:t>
      </w:r>
      <w:r w:rsidRPr="004D2D14">
        <w:rPr>
          <w:rFonts w:asciiTheme="majorHAnsi" w:hAnsiTheme="majorHAnsi"/>
          <w:spacing w:val="-1"/>
          <w:sz w:val="20"/>
          <w:szCs w:val="20"/>
          <w:lang w:val="uk-UA"/>
        </w:rPr>
        <w:t>внутрішні</w:t>
      </w:r>
      <w:r w:rsidRPr="004D2D14">
        <w:rPr>
          <w:rFonts w:asciiTheme="majorHAnsi" w:hAnsiTheme="majorHAnsi"/>
          <w:spacing w:val="-10"/>
          <w:sz w:val="20"/>
          <w:szCs w:val="20"/>
          <w:lang w:val="uk-UA"/>
        </w:rPr>
        <w:t xml:space="preserve"> </w:t>
      </w:r>
      <w:r w:rsidRPr="004D2D14">
        <w:rPr>
          <w:rFonts w:asciiTheme="majorHAnsi" w:hAnsiTheme="majorHAnsi"/>
          <w:spacing w:val="-1"/>
          <w:sz w:val="20"/>
          <w:szCs w:val="20"/>
          <w:lang w:val="uk-UA"/>
        </w:rPr>
        <w:t>ціни</w:t>
      </w:r>
      <w:r w:rsidRPr="004D2D14">
        <w:rPr>
          <w:rFonts w:asciiTheme="majorHAnsi" w:hAnsiTheme="majorHAnsi"/>
          <w:spacing w:val="-10"/>
          <w:sz w:val="20"/>
          <w:szCs w:val="20"/>
          <w:lang w:val="uk-UA"/>
        </w:rPr>
        <w:t xml:space="preserve"> </w:t>
      </w:r>
      <w:r w:rsidRPr="004D2D14">
        <w:rPr>
          <w:rFonts w:asciiTheme="majorHAnsi" w:hAnsiTheme="majorHAnsi"/>
          <w:spacing w:val="-1"/>
          <w:sz w:val="20"/>
          <w:szCs w:val="20"/>
          <w:lang w:val="uk-UA"/>
        </w:rPr>
        <w:t>країни,</w:t>
      </w:r>
      <w:r w:rsidRPr="004D2D14">
        <w:rPr>
          <w:rFonts w:asciiTheme="majorHAnsi" w:hAnsiTheme="majorHAnsi"/>
          <w:spacing w:val="-8"/>
          <w:sz w:val="20"/>
          <w:szCs w:val="20"/>
          <w:lang w:val="uk-UA"/>
        </w:rPr>
        <w:t xml:space="preserve"> </w:t>
      </w:r>
      <w:r w:rsidRPr="004D2D14">
        <w:rPr>
          <w:rFonts w:asciiTheme="majorHAnsi" w:hAnsiTheme="majorHAnsi"/>
          <w:spacing w:val="-1"/>
          <w:sz w:val="20"/>
          <w:szCs w:val="20"/>
          <w:lang w:val="uk-UA"/>
        </w:rPr>
        <w:t>що</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імпортує</w:t>
      </w:r>
      <w:r w:rsidRPr="004D2D14">
        <w:rPr>
          <w:rFonts w:asciiTheme="majorHAnsi" w:hAnsiTheme="majorHAnsi"/>
          <w:spacing w:val="1"/>
          <w:sz w:val="20"/>
          <w:szCs w:val="20"/>
          <w:lang w:val="uk-UA"/>
        </w:rPr>
        <w:t xml:space="preserve"> </w:t>
      </w:r>
    </w:p>
    <w:p w14:paraId="545B1E98"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6B17F7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АПЕЛЯЦІЙНА ПАЛАТА –</w:t>
      </w:r>
    </w:p>
    <w:p w14:paraId="2274E030"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Колегіальний орган НОІВ для розгляду заперечень проти рішень НОІВ щодо набуття прав на об’єкти інтелектуальної власності, заяв про визнання прав на об’єкти інтелектуальної власності недійсними повністю або частково, заяв про визнання торговельної марки добре відомою в Україні та розгляду інших питань, що належать до його компетенції відповідно до цього Закону, інших законів та нормативно-правових актів України</w:t>
      </w:r>
    </w:p>
    <w:p w14:paraId="78C95BFD"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охорону прав на промислові зразки"</w:t>
      </w:r>
    </w:p>
    <w:p w14:paraId="5FDAEED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АПЕЛЯЦІЯ</w:t>
      </w:r>
      <w:r w:rsidRPr="000977F7">
        <w:rPr>
          <w:color w:val="auto"/>
          <w:spacing w:val="-4"/>
          <w:sz w:val="20"/>
          <w:szCs w:val="20"/>
        </w:rPr>
        <w:t xml:space="preserve"> </w:t>
      </w:r>
      <w:r w:rsidRPr="000977F7">
        <w:rPr>
          <w:color w:val="auto"/>
          <w:sz w:val="20"/>
          <w:szCs w:val="20"/>
        </w:rPr>
        <w:t>-</w:t>
      </w:r>
    </w:p>
    <w:p w14:paraId="6D09D11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APPEAL</w:t>
      </w:r>
      <w:r w:rsidRPr="004D2D14">
        <w:rPr>
          <w:rFonts w:asciiTheme="majorHAnsi" w:hAnsiTheme="majorHAnsi"/>
          <w:sz w:val="20"/>
          <w:szCs w:val="20"/>
          <w:lang w:val="uk-UA"/>
        </w:rPr>
        <w:t>-</w:t>
      </w:r>
    </w:p>
    <w:p w14:paraId="2CA6A25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Вимога подавача об’єкта оцінювання відповідності до</w:t>
      </w:r>
      <w:r w:rsidRPr="004D2D14">
        <w:rPr>
          <w:rFonts w:asciiTheme="majorHAnsi" w:hAnsiTheme="majorHAnsi"/>
          <w:spacing w:val="-48"/>
          <w:sz w:val="20"/>
          <w:szCs w:val="20"/>
          <w:lang w:val="uk-UA"/>
        </w:rPr>
        <w:t xml:space="preserve"> </w:t>
      </w:r>
      <w:r w:rsidRPr="004D2D14">
        <w:rPr>
          <w:rFonts w:asciiTheme="majorHAnsi" w:hAnsiTheme="majorHAnsi"/>
          <w:sz w:val="20"/>
          <w:szCs w:val="20"/>
          <w:lang w:val="uk-UA"/>
        </w:rPr>
        <w:t>органу оцінювання відповідності чи органу акредитації переглянути рішення, ухвалене цим органом щодо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об’єкта</w:t>
      </w:r>
    </w:p>
    <w:p w14:paraId="0FAFA952"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3"/>
          <w:sz w:val="20"/>
          <w:szCs w:val="20"/>
          <w:lang w:val="uk-UA"/>
        </w:rPr>
        <w:t xml:space="preserve"> </w:t>
      </w:r>
      <w:r w:rsidRPr="000977F7">
        <w:rPr>
          <w:rFonts w:asciiTheme="majorHAnsi" w:hAnsiTheme="majorHAnsi"/>
          <w:i/>
          <w:sz w:val="20"/>
          <w:szCs w:val="20"/>
        </w:rPr>
        <w:t>ISO</w:t>
      </w:r>
      <w:r w:rsidRPr="004D2D14">
        <w:rPr>
          <w:rFonts w:asciiTheme="majorHAnsi" w:hAnsiTheme="majorHAnsi"/>
          <w:i/>
          <w:sz w:val="20"/>
          <w:szCs w:val="20"/>
          <w:lang w:val="uk-UA"/>
        </w:rPr>
        <w:t>/</w:t>
      </w:r>
      <w:r w:rsidRPr="000977F7">
        <w:rPr>
          <w:rFonts w:asciiTheme="majorHAnsi" w:hAnsiTheme="majorHAnsi"/>
          <w:i/>
          <w:sz w:val="20"/>
          <w:szCs w:val="20"/>
        </w:rPr>
        <w:t>IEC</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17000:2007</w:t>
      </w:r>
    </w:p>
    <w:p w14:paraId="60FF78F7"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4D2D14">
        <w:rPr>
          <w:rFonts w:asciiTheme="majorHAnsi" w:hAnsiTheme="majorHAnsi"/>
          <w:sz w:val="20"/>
          <w:szCs w:val="20"/>
          <w:lang w:val="uk-UA"/>
        </w:rPr>
        <w:lastRenderedPageBreak/>
        <w:t xml:space="preserve">Вимога постачальника об’єкта інспектування до органу з інспектування переглянути рішення, ухвалене цим органом щодо об’єкта. </w:t>
      </w:r>
    </w:p>
    <w:p w14:paraId="43D0953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EN ISO/IEC 17020:2019</w:t>
      </w:r>
    </w:p>
    <w:p w14:paraId="33F83D23"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АПАРАТУРА –</w:t>
      </w:r>
    </w:p>
    <w:p w14:paraId="554E34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Будь-який конструктивно завершений прилад чи поєднання приладів, надані на ринку як єдина функціональна одиниця, що призначені для споживача (користувача) і можуть створювати електромагнітні завади або на функціонування яких можуть вплинути такі завади.</w:t>
      </w:r>
    </w:p>
    <w:p w14:paraId="343BCD0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Для цілей цього Технічного регламенту апаратурою також вважаються:</w:t>
      </w:r>
    </w:p>
    <w:p w14:paraId="75350E9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компоненти чи складальні вузли, які призначені для вмонтування в апаратуру споживачем (користувачем) та можуть створювати електромагнітні завади або на функціонування яких можуть вплинути такі завади;</w:t>
      </w:r>
    </w:p>
    <w:p w14:paraId="0F7E4F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мобільні установки поєднання апаратури, а у деяких випадках також інших пристроїв, що призначені для переміщення та експлуатації в різних місцях</w:t>
      </w:r>
    </w:p>
    <w:p w14:paraId="7BC3E4AE"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з електромагнітної сумісності обладнання</w:t>
      </w:r>
    </w:p>
    <w:p w14:paraId="2528EDE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АПЕЛЯЦІЙНА КОМІСІЯ –</w:t>
      </w:r>
    </w:p>
    <w:p w14:paraId="2E3CB414"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Колегіальний орган НОІВ, основною метою діяльності якого є розгляд скарг кандидатів у представники у справах інтелектуальної власності (патентні повірені) на рішення атестаційної комісії та розгляд скарг на дії представників у справах інтелектуальної власності (патентних повірених);</w:t>
      </w:r>
    </w:p>
    <w:p w14:paraId="69D53D54"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Ст. 1 закону "Про охорону прав на промислові зразки"</w:t>
      </w:r>
    </w:p>
    <w:p w14:paraId="349EA61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АППАРАТУРА</w:t>
      </w:r>
      <w:r w:rsidRPr="000977F7">
        <w:rPr>
          <w:color w:val="auto"/>
          <w:spacing w:val="1"/>
          <w:sz w:val="20"/>
          <w:szCs w:val="20"/>
        </w:rPr>
        <w:t xml:space="preserve"> </w:t>
      </w:r>
      <w:r w:rsidRPr="000977F7">
        <w:rPr>
          <w:color w:val="auto"/>
          <w:sz w:val="20"/>
          <w:szCs w:val="20"/>
        </w:rPr>
        <w:t xml:space="preserve">ТЕХНІЧНОГО </w:t>
      </w:r>
    </w:p>
    <w:p w14:paraId="4556B3B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ДІАГНОСТУ</w:t>
      </w:r>
      <w:r w:rsidRPr="000977F7">
        <w:rPr>
          <w:color w:val="auto"/>
          <w:spacing w:val="-47"/>
          <w:sz w:val="20"/>
          <w:szCs w:val="20"/>
        </w:rPr>
        <w:t xml:space="preserve"> </w:t>
      </w:r>
      <w:r w:rsidRPr="000977F7">
        <w:rPr>
          <w:color w:val="auto"/>
          <w:sz w:val="20"/>
          <w:szCs w:val="20"/>
        </w:rPr>
        <w:t>ВАННЯ –</w:t>
      </w:r>
    </w:p>
    <w:p w14:paraId="2A3A75B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APPARATUS</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TECHNICAL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DIAGNOSIS</w:t>
      </w:r>
    </w:p>
    <w:p w14:paraId="1FC394DA"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2389</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2D3223B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АПРІОРНЕ</w:t>
      </w:r>
      <w:r w:rsidRPr="000977F7">
        <w:rPr>
          <w:color w:val="auto"/>
          <w:spacing w:val="-6"/>
          <w:sz w:val="20"/>
          <w:szCs w:val="20"/>
        </w:rPr>
        <w:t xml:space="preserve"> </w:t>
      </w:r>
      <w:r w:rsidRPr="000977F7">
        <w:rPr>
          <w:color w:val="auto"/>
          <w:sz w:val="20"/>
          <w:szCs w:val="20"/>
        </w:rPr>
        <w:t>РАНЖУВАННЯ</w:t>
      </w:r>
      <w:r w:rsidRPr="000977F7">
        <w:rPr>
          <w:color w:val="auto"/>
          <w:spacing w:val="-5"/>
          <w:sz w:val="20"/>
          <w:szCs w:val="20"/>
        </w:rPr>
        <w:t xml:space="preserve"> </w:t>
      </w:r>
      <w:r w:rsidRPr="000977F7">
        <w:rPr>
          <w:color w:val="auto"/>
          <w:sz w:val="20"/>
          <w:szCs w:val="20"/>
        </w:rPr>
        <w:t>ФАКТОРІВ -</w:t>
      </w:r>
    </w:p>
    <w:p w14:paraId="77913058"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Метод вибору найбільш важливих факторів, що базується на експертній оцінці</w:t>
      </w:r>
    </w:p>
    <w:p w14:paraId="17F88C6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АРБІТРАЖ</w:t>
      </w:r>
      <w:r w:rsidRPr="000977F7">
        <w:rPr>
          <w:color w:val="auto"/>
          <w:spacing w:val="-7"/>
          <w:sz w:val="20"/>
          <w:szCs w:val="20"/>
        </w:rPr>
        <w:t xml:space="preserve"> </w:t>
      </w:r>
      <w:r w:rsidRPr="000977F7">
        <w:rPr>
          <w:color w:val="auto"/>
          <w:sz w:val="20"/>
          <w:szCs w:val="20"/>
        </w:rPr>
        <w:t>–</w:t>
      </w:r>
    </w:p>
    <w:p w14:paraId="352EABE0"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 xml:space="preserve">Один із засобів розв’язання будь-якої суперечки, пов’язаної з виконанням контракту, в цьому разі сто рони звертаються до третейських суддів-арбітрів </w:t>
      </w:r>
    </w:p>
    <w:p w14:paraId="5A847828"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3293 - 95</w:t>
      </w:r>
    </w:p>
    <w:p w14:paraId="270270D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АРХІВНА</w:t>
      </w:r>
      <w:r w:rsidRPr="000977F7">
        <w:rPr>
          <w:color w:val="auto"/>
          <w:spacing w:val="-6"/>
          <w:sz w:val="20"/>
          <w:szCs w:val="20"/>
        </w:rPr>
        <w:t xml:space="preserve"> </w:t>
      </w:r>
      <w:r w:rsidRPr="000977F7">
        <w:rPr>
          <w:color w:val="auto"/>
          <w:sz w:val="20"/>
          <w:szCs w:val="20"/>
        </w:rPr>
        <w:t>КОПІЯ</w:t>
      </w:r>
      <w:r w:rsidRPr="000977F7">
        <w:rPr>
          <w:color w:val="auto"/>
          <w:spacing w:val="-5"/>
          <w:sz w:val="20"/>
          <w:szCs w:val="20"/>
        </w:rPr>
        <w:t xml:space="preserve"> </w:t>
      </w:r>
      <w:r w:rsidRPr="000977F7">
        <w:rPr>
          <w:color w:val="auto"/>
          <w:sz w:val="20"/>
          <w:szCs w:val="20"/>
        </w:rPr>
        <w:t>–</w:t>
      </w:r>
    </w:p>
    <w:p w14:paraId="23AEFD69"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Копія конструкторського документа, яка визначає конструкцію виробу в період його затвердження, передавання правдника підприємству-виробнику чи в інший період розроблення і виготовлення виробу, коли змін не вносять</w:t>
      </w:r>
    </w:p>
    <w:p w14:paraId="0B3C65D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3321 - 2003</w:t>
      </w:r>
    </w:p>
    <w:p w14:paraId="271A86AD" w14:textId="77777777" w:rsidR="0097612F" w:rsidRPr="000977F7" w:rsidRDefault="0097612F" w:rsidP="000977F7">
      <w:pPr>
        <w:tabs>
          <w:tab w:val="left" w:pos="284"/>
          <w:tab w:val="left" w:pos="1830"/>
          <w:tab w:val="left" w:pos="3342"/>
        </w:tabs>
        <w:spacing w:after="0" w:line="240" w:lineRule="auto"/>
        <w:ind w:left="170"/>
        <w:mirrorIndents/>
        <w:jc w:val="both"/>
        <w:rPr>
          <w:rFonts w:asciiTheme="majorHAnsi" w:hAnsiTheme="majorHAnsi"/>
          <w:b/>
          <w:spacing w:val="15"/>
          <w:sz w:val="20"/>
          <w:szCs w:val="20"/>
        </w:rPr>
      </w:pPr>
      <w:r w:rsidRPr="000977F7">
        <w:rPr>
          <w:rFonts w:asciiTheme="majorHAnsi" w:hAnsiTheme="majorHAnsi"/>
          <w:b/>
          <w:sz w:val="20"/>
          <w:szCs w:val="20"/>
        </w:rPr>
        <w:t>АСИМПТОТИЧНА</w:t>
      </w:r>
      <w:r w:rsidRPr="000977F7">
        <w:rPr>
          <w:rFonts w:asciiTheme="majorHAnsi" w:hAnsiTheme="majorHAnsi"/>
          <w:b/>
          <w:spacing w:val="15"/>
          <w:sz w:val="20"/>
          <w:szCs w:val="20"/>
        </w:rPr>
        <w:t xml:space="preserve"> </w:t>
      </w:r>
      <w:r w:rsidRPr="000977F7">
        <w:rPr>
          <w:rFonts w:asciiTheme="majorHAnsi" w:hAnsiTheme="majorHAnsi"/>
          <w:b/>
          <w:sz w:val="20"/>
          <w:szCs w:val="20"/>
        </w:rPr>
        <w:t>ЛОГАРИФМІЧНА</w:t>
      </w:r>
      <w:r w:rsidRPr="000977F7">
        <w:rPr>
          <w:rFonts w:asciiTheme="majorHAnsi" w:hAnsiTheme="majorHAnsi"/>
          <w:b/>
          <w:spacing w:val="15"/>
          <w:sz w:val="20"/>
          <w:szCs w:val="20"/>
        </w:rPr>
        <w:t xml:space="preserve"> </w:t>
      </w:r>
    </w:p>
    <w:p w14:paraId="3FAD5179" w14:textId="77777777" w:rsidR="0097612F" w:rsidRPr="000977F7" w:rsidRDefault="0097612F" w:rsidP="000977F7">
      <w:pPr>
        <w:tabs>
          <w:tab w:val="left" w:pos="284"/>
          <w:tab w:val="left" w:pos="1830"/>
          <w:tab w:val="left" w:pos="3342"/>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АМПЛІТУДНО-ЧАСТОТНА</w:t>
      </w:r>
      <w:r w:rsidRPr="000977F7">
        <w:rPr>
          <w:rFonts w:asciiTheme="majorHAnsi" w:hAnsiTheme="majorHAnsi"/>
          <w:b/>
          <w:spacing w:val="-2"/>
          <w:sz w:val="20"/>
          <w:szCs w:val="20"/>
        </w:rPr>
        <w:t xml:space="preserve"> </w:t>
      </w:r>
      <w:r w:rsidRPr="000977F7">
        <w:rPr>
          <w:rFonts w:asciiTheme="majorHAnsi" w:hAnsiTheme="majorHAnsi"/>
          <w:b/>
          <w:sz w:val="20"/>
          <w:szCs w:val="20"/>
        </w:rPr>
        <w:t>ХАРАКТЕРИСТИКА</w:t>
      </w:r>
      <w:r w:rsidRPr="000977F7">
        <w:rPr>
          <w:rFonts w:asciiTheme="majorHAnsi" w:hAnsiTheme="majorHAnsi"/>
          <w:b/>
          <w:spacing w:val="2"/>
          <w:sz w:val="20"/>
          <w:szCs w:val="20"/>
        </w:rPr>
        <w:t xml:space="preserve"> </w:t>
      </w:r>
      <w:r w:rsidRPr="000977F7">
        <w:rPr>
          <w:rFonts w:asciiTheme="majorHAnsi" w:hAnsiTheme="majorHAnsi"/>
          <w:b/>
          <w:sz w:val="20"/>
          <w:szCs w:val="20"/>
        </w:rPr>
        <w:t>–</w:t>
      </w:r>
      <w:r w:rsidRPr="000977F7">
        <w:rPr>
          <w:rFonts w:asciiTheme="majorHAnsi" w:hAnsiTheme="majorHAnsi"/>
          <w:b/>
          <w:spacing w:val="1"/>
          <w:sz w:val="20"/>
          <w:szCs w:val="20"/>
        </w:rPr>
        <w:t xml:space="preserve"> </w:t>
      </w:r>
    </w:p>
    <w:p w14:paraId="771B5264" w14:textId="77777777" w:rsidR="0097612F" w:rsidRPr="004D2D14" w:rsidRDefault="0097612F" w:rsidP="000977F7">
      <w:pPr>
        <w:tabs>
          <w:tab w:val="left" w:pos="284"/>
          <w:tab w:val="left" w:pos="1830"/>
          <w:tab w:val="left" w:pos="3342"/>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 xml:space="preserve">ASIMPTOTIC LOGARITHM </w:t>
      </w:r>
    </w:p>
    <w:p w14:paraId="6E34B272" w14:textId="77777777" w:rsidR="0097612F" w:rsidRPr="004D2D14" w:rsidRDefault="0097612F" w:rsidP="000977F7">
      <w:pPr>
        <w:tabs>
          <w:tab w:val="left" w:pos="284"/>
          <w:tab w:val="left" w:pos="1830"/>
          <w:tab w:val="left" w:pos="3342"/>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AMPLI</w:t>
      </w:r>
      <w:r w:rsidRPr="000977F7">
        <w:rPr>
          <w:rFonts w:asciiTheme="majorHAnsi" w:hAnsiTheme="majorHAnsi"/>
          <w:sz w:val="20"/>
          <w:szCs w:val="20"/>
        </w:rPr>
        <w:t>Т</w:t>
      </w:r>
      <w:r w:rsidRPr="004D2D14">
        <w:rPr>
          <w:rFonts w:asciiTheme="majorHAnsi" w:hAnsiTheme="majorHAnsi"/>
          <w:sz w:val="20"/>
          <w:szCs w:val="20"/>
          <w:lang w:val="en-US"/>
        </w:rPr>
        <w:t>UDE-FRE</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QUENCY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CHARACTERISTIC</w:t>
      </w:r>
      <w:r w:rsidRPr="004D2D14">
        <w:rPr>
          <w:rFonts w:asciiTheme="majorHAnsi" w:hAnsiTheme="majorHAnsi"/>
          <w:spacing w:val="1"/>
          <w:sz w:val="20"/>
          <w:szCs w:val="20"/>
          <w:lang w:val="en-US"/>
        </w:rPr>
        <w:t xml:space="preserve"> </w:t>
      </w:r>
    </w:p>
    <w:p w14:paraId="76AEC3CF"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en-US"/>
        </w:rPr>
      </w:pPr>
      <w:r w:rsidRPr="000977F7">
        <w:rPr>
          <w:rFonts w:asciiTheme="majorHAnsi" w:hAnsiTheme="majorHAnsi"/>
          <w:spacing w:val="-7"/>
          <w:sz w:val="20"/>
          <w:szCs w:val="20"/>
        </w:rPr>
        <w:t>Апроксимація</w:t>
      </w:r>
      <w:r w:rsidRPr="004D2D14">
        <w:rPr>
          <w:rFonts w:asciiTheme="majorHAnsi" w:hAnsiTheme="majorHAnsi"/>
          <w:spacing w:val="1"/>
          <w:sz w:val="20"/>
          <w:szCs w:val="20"/>
          <w:lang w:val="en-US"/>
        </w:rPr>
        <w:t xml:space="preserve"> </w:t>
      </w:r>
      <w:r w:rsidRPr="000977F7">
        <w:rPr>
          <w:rFonts w:asciiTheme="majorHAnsi" w:hAnsiTheme="majorHAnsi"/>
          <w:spacing w:val="-7"/>
          <w:sz w:val="20"/>
          <w:szCs w:val="20"/>
        </w:rPr>
        <w:t>логарифмічної</w:t>
      </w:r>
      <w:r w:rsidRPr="004D2D14">
        <w:rPr>
          <w:rFonts w:asciiTheme="majorHAnsi" w:hAnsiTheme="majorHAnsi"/>
          <w:spacing w:val="-2"/>
          <w:sz w:val="20"/>
          <w:szCs w:val="20"/>
          <w:lang w:val="en-US"/>
        </w:rPr>
        <w:t xml:space="preserve"> </w:t>
      </w:r>
      <w:r w:rsidRPr="000977F7">
        <w:rPr>
          <w:rFonts w:asciiTheme="majorHAnsi" w:hAnsiTheme="majorHAnsi"/>
          <w:spacing w:val="-7"/>
          <w:sz w:val="20"/>
          <w:szCs w:val="20"/>
        </w:rPr>
        <w:t>амплітудно</w:t>
      </w:r>
      <w:r w:rsidRPr="004D2D14">
        <w:rPr>
          <w:rFonts w:asciiTheme="majorHAnsi" w:hAnsiTheme="majorHAnsi"/>
          <w:spacing w:val="-7"/>
          <w:sz w:val="20"/>
          <w:szCs w:val="20"/>
          <w:lang w:val="en-US"/>
        </w:rPr>
        <w:t>-</w:t>
      </w:r>
      <w:r w:rsidRPr="000977F7">
        <w:rPr>
          <w:rFonts w:asciiTheme="majorHAnsi" w:hAnsiTheme="majorHAnsi"/>
          <w:spacing w:val="-7"/>
          <w:sz w:val="20"/>
          <w:szCs w:val="20"/>
        </w:rPr>
        <w:t>частотної</w:t>
      </w:r>
      <w:r w:rsidRPr="004D2D14">
        <w:rPr>
          <w:rFonts w:asciiTheme="majorHAnsi" w:hAnsiTheme="majorHAnsi"/>
          <w:spacing w:val="2"/>
          <w:sz w:val="20"/>
          <w:szCs w:val="20"/>
          <w:lang w:val="en-US"/>
        </w:rPr>
        <w:t xml:space="preserve"> </w:t>
      </w:r>
      <w:r w:rsidRPr="000977F7">
        <w:rPr>
          <w:rFonts w:asciiTheme="majorHAnsi" w:hAnsiTheme="majorHAnsi"/>
          <w:spacing w:val="-6"/>
          <w:sz w:val="20"/>
          <w:szCs w:val="20"/>
        </w:rPr>
        <w:t>харак</w:t>
      </w:r>
      <w:r w:rsidRPr="004D2D14">
        <w:rPr>
          <w:rFonts w:asciiTheme="majorHAnsi" w:hAnsiTheme="majorHAnsi"/>
          <w:spacing w:val="-47"/>
          <w:sz w:val="20"/>
          <w:szCs w:val="20"/>
          <w:lang w:val="en-US"/>
        </w:rPr>
        <w:t xml:space="preserve"> </w:t>
      </w:r>
      <w:r w:rsidRPr="000977F7">
        <w:rPr>
          <w:rFonts w:asciiTheme="majorHAnsi" w:hAnsiTheme="majorHAnsi"/>
          <w:spacing w:val="-7"/>
          <w:sz w:val="20"/>
          <w:szCs w:val="20"/>
        </w:rPr>
        <w:t>теристики</w:t>
      </w:r>
      <w:r w:rsidRPr="004D2D14">
        <w:rPr>
          <w:rFonts w:asciiTheme="majorHAnsi" w:hAnsiTheme="majorHAnsi"/>
          <w:spacing w:val="-5"/>
          <w:sz w:val="20"/>
          <w:szCs w:val="20"/>
          <w:lang w:val="en-US"/>
        </w:rPr>
        <w:t xml:space="preserve"> </w:t>
      </w:r>
      <w:r w:rsidRPr="000977F7">
        <w:rPr>
          <w:rFonts w:asciiTheme="majorHAnsi" w:hAnsiTheme="majorHAnsi"/>
          <w:spacing w:val="-7"/>
          <w:sz w:val="20"/>
          <w:szCs w:val="20"/>
        </w:rPr>
        <w:t>ламаними</w:t>
      </w:r>
      <w:r w:rsidRPr="004D2D14">
        <w:rPr>
          <w:rFonts w:asciiTheme="majorHAnsi" w:hAnsiTheme="majorHAnsi"/>
          <w:spacing w:val="-4"/>
          <w:sz w:val="20"/>
          <w:szCs w:val="20"/>
          <w:lang w:val="en-US"/>
        </w:rPr>
        <w:t xml:space="preserve"> </w:t>
      </w:r>
      <w:r w:rsidRPr="000977F7">
        <w:rPr>
          <w:rFonts w:asciiTheme="majorHAnsi" w:hAnsiTheme="majorHAnsi"/>
          <w:spacing w:val="-7"/>
          <w:sz w:val="20"/>
          <w:szCs w:val="20"/>
        </w:rPr>
        <w:t>лініями</w:t>
      </w:r>
      <w:r w:rsidRPr="004D2D14">
        <w:rPr>
          <w:rFonts w:asciiTheme="majorHAnsi" w:hAnsiTheme="majorHAnsi"/>
          <w:spacing w:val="-7"/>
          <w:sz w:val="20"/>
          <w:szCs w:val="20"/>
          <w:lang w:val="en-US"/>
        </w:rPr>
        <w:t>,</w:t>
      </w:r>
      <w:r w:rsidRPr="004D2D14">
        <w:rPr>
          <w:rFonts w:asciiTheme="majorHAnsi" w:hAnsiTheme="majorHAnsi"/>
          <w:spacing w:val="-6"/>
          <w:sz w:val="20"/>
          <w:szCs w:val="20"/>
          <w:lang w:val="en-US"/>
        </w:rPr>
        <w:t xml:space="preserve"> </w:t>
      </w:r>
      <w:r w:rsidRPr="000977F7">
        <w:rPr>
          <w:rFonts w:asciiTheme="majorHAnsi" w:hAnsiTheme="majorHAnsi"/>
          <w:spacing w:val="-7"/>
          <w:sz w:val="20"/>
          <w:szCs w:val="20"/>
        </w:rPr>
        <w:t>які</w:t>
      </w:r>
      <w:r w:rsidRPr="004D2D14">
        <w:rPr>
          <w:rFonts w:asciiTheme="majorHAnsi" w:hAnsiTheme="majorHAnsi"/>
          <w:spacing w:val="-3"/>
          <w:sz w:val="20"/>
          <w:szCs w:val="20"/>
          <w:lang w:val="en-US"/>
        </w:rPr>
        <w:t xml:space="preserve"> </w:t>
      </w:r>
      <w:r w:rsidRPr="000977F7">
        <w:rPr>
          <w:rFonts w:asciiTheme="majorHAnsi" w:hAnsiTheme="majorHAnsi"/>
          <w:spacing w:val="-7"/>
          <w:sz w:val="20"/>
          <w:szCs w:val="20"/>
        </w:rPr>
        <w:t>складаються</w:t>
      </w:r>
      <w:r w:rsidRPr="004D2D14">
        <w:rPr>
          <w:rFonts w:asciiTheme="majorHAnsi" w:hAnsiTheme="majorHAnsi"/>
          <w:spacing w:val="-5"/>
          <w:sz w:val="20"/>
          <w:szCs w:val="20"/>
          <w:lang w:val="en-US"/>
        </w:rPr>
        <w:t xml:space="preserve"> </w:t>
      </w:r>
      <w:r w:rsidRPr="000977F7">
        <w:rPr>
          <w:rFonts w:asciiTheme="majorHAnsi" w:hAnsiTheme="majorHAnsi"/>
          <w:spacing w:val="-7"/>
          <w:sz w:val="20"/>
          <w:szCs w:val="20"/>
        </w:rPr>
        <w:t>з</w:t>
      </w:r>
      <w:r w:rsidRPr="004D2D14">
        <w:rPr>
          <w:rFonts w:asciiTheme="majorHAnsi" w:hAnsiTheme="majorHAnsi"/>
          <w:spacing w:val="-3"/>
          <w:sz w:val="20"/>
          <w:szCs w:val="20"/>
          <w:lang w:val="en-US"/>
        </w:rPr>
        <w:t xml:space="preserve"> </w:t>
      </w:r>
      <w:r w:rsidRPr="000977F7">
        <w:rPr>
          <w:rFonts w:asciiTheme="majorHAnsi" w:hAnsiTheme="majorHAnsi"/>
          <w:spacing w:val="-6"/>
          <w:sz w:val="20"/>
          <w:szCs w:val="20"/>
        </w:rPr>
        <w:t>горизонта</w:t>
      </w:r>
      <w:r w:rsidRPr="004D2D14">
        <w:rPr>
          <w:rFonts w:asciiTheme="majorHAnsi" w:hAnsiTheme="majorHAnsi"/>
          <w:spacing w:val="-47"/>
          <w:sz w:val="20"/>
          <w:szCs w:val="20"/>
          <w:lang w:val="en-US"/>
        </w:rPr>
        <w:t xml:space="preserve"> </w:t>
      </w:r>
      <w:r w:rsidRPr="000977F7">
        <w:rPr>
          <w:rFonts w:asciiTheme="majorHAnsi" w:hAnsiTheme="majorHAnsi"/>
          <w:sz w:val="20"/>
          <w:szCs w:val="20"/>
        </w:rPr>
        <w:t>льних</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нахилених</w:t>
      </w:r>
      <w:r w:rsidRPr="004D2D14">
        <w:rPr>
          <w:rFonts w:asciiTheme="majorHAnsi" w:hAnsiTheme="majorHAnsi"/>
          <w:sz w:val="20"/>
          <w:szCs w:val="20"/>
          <w:lang w:val="en-US"/>
        </w:rPr>
        <w:t xml:space="preserve"> </w:t>
      </w:r>
      <w:r w:rsidRPr="000977F7">
        <w:rPr>
          <w:rFonts w:asciiTheme="majorHAnsi" w:hAnsiTheme="majorHAnsi"/>
          <w:sz w:val="20"/>
          <w:szCs w:val="20"/>
        </w:rPr>
        <w:t>ділянок</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фіксованим</w:t>
      </w:r>
      <w:r w:rsidRPr="004D2D14">
        <w:rPr>
          <w:rFonts w:asciiTheme="majorHAnsi" w:hAnsiTheme="majorHAnsi"/>
          <w:sz w:val="20"/>
          <w:szCs w:val="20"/>
          <w:lang w:val="en-US"/>
        </w:rPr>
        <w:t xml:space="preserve"> </w:t>
      </w:r>
      <w:r w:rsidRPr="000977F7">
        <w:rPr>
          <w:rFonts w:asciiTheme="majorHAnsi" w:hAnsiTheme="majorHAnsi"/>
          <w:sz w:val="20"/>
          <w:szCs w:val="20"/>
        </w:rPr>
        <w:t>нахилом</w:t>
      </w:r>
      <w:r w:rsidRPr="004D2D14">
        <w:rPr>
          <w:rFonts w:asciiTheme="majorHAnsi" w:hAnsiTheme="majorHAnsi"/>
          <w:spacing w:val="1"/>
          <w:sz w:val="20"/>
          <w:szCs w:val="20"/>
          <w:lang w:val="en-US"/>
        </w:rPr>
        <w:t xml:space="preserve"> </w:t>
      </w:r>
    </w:p>
    <w:p w14:paraId="299ADAE8" w14:textId="77777777" w:rsidR="0097612F" w:rsidRPr="000977F7" w:rsidRDefault="0097612F" w:rsidP="000977F7">
      <w:pPr>
        <w:pStyle w:val="af6"/>
        <w:tabs>
          <w:tab w:val="left" w:pos="284"/>
        </w:tabs>
        <w:spacing w:after="0"/>
        <w:ind w:left="170"/>
        <w:mirrorIndents/>
        <w:jc w:val="both"/>
        <w:rPr>
          <w:rFonts w:asciiTheme="majorHAnsi" w:hAnsiTheme="majorHAnsi"/>
          <w:i/>
          <w:iCs/>
          <w:spacing w:val="1"/>
          <w:sz w:val="20"/>
          <w:szCs w:val="20"/>
        </w:rPr>
      </w:pPr>
      <w:r w:rsidRPr="000977F7">
        <w:rPr>
          <w:rFonts w:asciiTheme="majorHAnsi" w:hAnsiTheme="majorHAnsi"/>
          <w:i/>
          <w:iCs/>
          <w:sz w:val="20"/>
          <w:szCs w:val="20"/>
        </w:rPr>
        <w:t>ДСТУ</w:t>
      </w:r>
      <w:r w:rsidRPr="000977F7">
        <w:rPr>
          <w:rFonts w:asciiTheme="majorHAnsi" w:hAnsiTheme="majorHAnsi"/>
          <w:i/>
          <w:iCs/>
          <w:spacing w:val="-1"/>
          <w:sz w:val="20"/>
          <w:szCs w:val="20"/>
        </w:rPr>
        <w:t xml:space="preserve"> </w:t>
      </w:r>
      <w:r w:rsidRPr="000977F7">
        <w:rPr>
          <w:rFonts w:asciiTheme="majorHAnsi" w:hAnsiTheme="majorHAnsi"/>
          <w:i/>
          <w:iCs/>
          <w:sz w:val="20"/>
          <w:szCs w:val="20"/>
        </w:rPr>
        <w:t>3956 - 2000</w:t>
      </w:r>
    </w:p>
    <w:p w14:paraId="34CCAFC1" w14:textId="77777777" w:rsidR="0097612F" w:rsidRPr="000977F7" w:rsidRDefault="0097612F" w:rsidP="000977F7">
      <w:pPr>
        <w:pStyle w:val="af6"/>
        <w:tabs>
          <w:tab w:val="left" w:pos="284"/>
        </w:tabs>
        <w:spacing w:after="0"/>
        <w:ind w:left="170"/>
        <w:mirrorIndents/>
        <w:jc w:val="both"/>
        <w:rPr>
          <w:rFonts w:asciiTheme="majorHAnsi" w:hAnsiTheme="majorHAnsi"/>
          <w:b/>
          <w:bCs/>
          <w:spacing w:val="1"/>
          <w:sz w:val="20"/>
          <w:szCs w:val="20"/>
        </w:rPr>
      </w:pPr>
      <w:r w:rsidRPr="000977F7">
        <w:rPr>
          <w:rFonts w:asciiTheme="majorHAnsi" w:hAnsiTheme="majorHAnsi"/>
          <w:b/>
          <w:bCs/>
          <w:spacing w:val="1"/>
          <w:sz w:val="20"/>
          <w:szCs w:val="20"/>
        </w:rPr>
        <w:t>АСИНХРОННИЙ ЕЛЕКТРОДВИГУН З КОРОТКОЗАМКНУТИМ РОТОРОМ</w:t>
      </w:r>
    </w:p>
    <w:p w14:paraId="2B7F3EC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Електродвигун без ковзаючих контактів, перемикача напрямку струму, струмозбиральних кілець або джерела живлення постійного струму </w:t>
      </w:r>
    </w:p>
    <w:p w14:paraId="4B992772"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щодо вимог до екодизайну для електродвигунів</w:t>
      </w:r>
    </w:p>
    <w:p w14:paraId="4D8B2C9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АСОРТИМЕНТ</w:t>
      </w:r>
      <w:r w:rsidRPr="000977F7">
        <w:rPr>
          <w:color w:val="auto"/>
          <w:spacing w:val="-3"/>
          <w:sz w:val="20"/>
          <w:szCs w:val="20"/>
        </w:rPr>
        <w:t xml:space="preserve"> </w:t>
      </w:r>
      <w:r w:rsidRPr="000977F7">
        <w:rPr>
          <w:color w:val="auto"/>
          <w:sz w:val="20"/>
          <w:szCs w:val="20"/>
        </w:rPr>
        <w:t>–</w:t>
      </w:r>
    </w:p>
    <w:p w14:paraId="6F3B419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8"/>
          <w:sz w:val="20"/>
          <w:szCs w:val="20"/>
        </w:rPr>
        <w:t>Структура</w:t>
      </w:r>
      <w:r w:rsidRPr="000977F7">
        <w:rPr>
          <w:rFonts w:asciiTheme="majorHAnsi" w:hAnsiTheme="majorHAnsi"/>
          <w:spacing w:val="-14"/>
          <w:sz w:val="20"/>
          <w:szCs w:val="20"/>
        </w:rPr>
        <w:t xml:space="preserve"> </w:t>
      </w:r>
      <w:r w:rsidRPr="000977F7">
        <w:rPr>
          <w:rFonts w:asciiTheme="majorHAnsi" w:hAnsiTheme="majorHAnsi"/>
          <w:spacing w:val="-8"/>
          <w:sz w:val="20"/>
          <w:szCs w:val="20"/>
        </w:rPr>
        <w:t>різновидів</w:t>
      </w:r>
      <w:r w:rsidRPr="000977F7">
        <w:rPr>
          <w:rFonts w:asciiTheme="majorHAnsi" w:hAnsiTheme="majorHAnsi"/>
          <w:spacing w:val="-15"/>
          <w:sz w:val="20"/>
          <w:szCs w:val="20"/>
        </w:rPr>
        <w:t xml:space="preserve"> </w:t>
      </w:r>
      <w:r w:rsidRPr="000977F7">
        <w:rPr>
          <w:rFonts w:asciiTheme="majorHAnsi" w:hAnsiTheme="majorHAnsi"/>
          <w:spacing w:val="-8"/>
          <w:sz w:val="20"/>
          <w:szCs w:val="20"/>
        </w:rPr>
        <w:t>продукції,</w:t>
      </w:r>
      <w:r w:rsidRPr="000977F7">
        <w:rPr>
          <w:rFonts w:asciiTheme="majorHAnsi" w:hAnsiTheme="majorHAnsi"/>
          <w:spacing w:val="-14"/>
          <w:sz w:val="20"/>
          <w:szCs w:val="20"/>
        </w:rPr>
        <w:t xml:space="preserve"> </w:t>
      </w:r>
      <w:r w:rsidRPr="000977F7">
        <w:rPr>
          <w:rFonts w:asciiTheme="majorHAnsi" w:hAnsiTheme="majorHAnsi"/>
          <w:spacing w:val="-7"/>
          <w:sz w:val="20"/>
          <w:szCs w:val="20"/>
        </w:rPr>
        <w:t>призначеної</w:t>
      </w:r>
      <w:r w:rsidRPr="000977F7">
        <w:rPr>
          <w:rFonts w:asciiTheme="majorHAnsi" w:hAnsiTheme="majorHAnsi"/>
          <w:spacing w:val="-17"/>
          <w:sz w:val="20"/>
          <w:szCs w:val="20"/>
        </w:rPr>
        <w:t xml:space="preserve"> </w:t>
      </w:r>
      <w:r w:rsidRPr="000977F7">
        <w:rPr>
          <w:rFonts w:asciiTheme="majorHAnsi" w:hAnsiTheme="majorHAnsi"/>
          <w:spacing w:val="-7"/>
          <w:sz w:val="20"/>
          <w:szCs w:val="20"/>
        </w:rPr>
        <w:t>для</w:t>
      </w:r>
      <w:r w:rsidRPr="000977F7">
        <w:rPr>
          <w:rFonts w:asciiTheme="majorHAnsi" w:hAnsiTheme="majorHAnsi"/>
          <w:spacing w:val="-15"/>
          <w:sz w:val="20"/>
          <w:szCs w:val="20"/>
        </w:rPr>
        <w:t xml:space="preserve"> </w:t>
      </w:r>
      <w:r w:rsidRPr="000977F7">
        <w:rPr>
          <w:rFonts w:asciiTheme="majorHAnsi" w:hAnsiTheme="majorHAnsi"/>
          <w:spacing w:val="-7"/>
          <w:sz w:val="20"/>
          <w:szCs w:val="20"/>
        </w:rPr>
        <w:t>реалізації</w:t>
      </w:r>
    </w:p>
    <w:p w14:paraId="4F507E1F"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3294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5E0348B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АСОРТИМЕНТ</w:t>
      </w:r>
      <w:r w:rsidRPr="000977F7">
        <w:rPr>
          <w:color w:val="auto"/>
          <w:spacing w:val="-5"/>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3F08C1E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ASSORTIMENT 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PRODUCTION –</w:t>
      </w:r>
    </w:p>
    <w:p w14:paraId="4E03DB0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Склад</w:t>
      </w:r>
      <w:r w:rsidRPr="004D2D14">
        <w:rPr>
          <w:rFonts w:asciiTheme="majorHAnsi" w:hAnsiTheme="majorHAnsi"/>
          <w:spacing w:val="14"/>
          <w:sz w:val="20"/>
          <w:szCs w:val="20"/>
          <w:lang w:val="en-US"/>
        </w:rPr>
        <w:t xml:space="preserve"> </w:t>
      </w:r>
      <w:r w:rsidRPr="000977F7">
        <w:rPr>
          <w:rFonts w:asciiTheme="majorHAnsi" w:hAnsiTheme="majorHAnsi"/>
          <w:sz w:val="20"/>
          <w:szCs w:val="20"/>
        </w:rPr>
        <w:t>і</w:t>
      </w:r>
      <w:r w:rsidRPr="004D2D14">
        <w:rPr>
          <w:rFonts w:asciiTheme="majorHAnsi" w:hAnsiTheme="majorHAnsi"/>
          <w:spacing w:val="17"/>
          <w:sz w:val="20"/>
          <w:szCs w:val="20"/>
          <w:lang w:val="en-US"/>
        </w:rPr>
        <w:t xml:space="preserve"> </w:t>
      </w:r>
      <w:r w:rsidRPr="000977F7">
        <w:rPr>
          <w:rFonts w:asciiTheme="majorHAnsi" w:hAnsiTheme="majorHAnsi"/>
          <w:sz w:val="20"/>
          <w:szCs w:val="20"/>
        </w:rPr>
        <w:t>співвідношення</w:t>
      </w:r>
      <w:r w:rsidRPr="004D2D14">
        <w:rPr>
          <w:rFonts w:asciiTheme="majorHAnsi" w:hAnsiTheme="majorHAnsi"/>
          <w:spacing w:val="15"/>
          <w:sz w:val="20"/>
          <w:szCs w:val="20"/>
          <w:lang w:val="en-US"/>
        </w:rPr>
        <w:t xml:space="preserve"> </w:t>
      </w:r>
      <w:r w:rsidRPr="000977F7">
        <w:rPr>
          <w:rFonts w:asciiTheme="majorHAnsi" w:hAnsiTheme="majorHAnsi"/>
          <w:sz w:val="20"/>
          <w:szCs w:val="20"/>
        </w:rPr>
        <w:t>видів</w:t>
      </w:r>
      <w:r w:rsidRPr="004D2D14">
        <w:rPr>
          <w:rFonts w:asciiTheme="majorHAnsi" w:hAnsiTheme="majorHAnsi"/>
          <w:spacing w:val="15"/>
          <w:sz w:val="20"/>
          <w:szCs w:val="20"/>
          <w:lang w:val="en-US"/>
        </w:rPr>
        <w:t xml:space="preserve"> </w:t>
      </w:r>
      <w:r w:rsidRPr="000977F7">
        <w:rPr>
          <w:rFonts w:asciiTheme="majorHAnsi" w:hAnsiTheme="majorHAnsi"/>
          <w:sz w:val="20"/>
          <w:szCs w:val="20"/>
        </w:rPr>
        <w:t>виробів</w:t>
      </w:r>
      <w:r w:rsidRPr="004D2D14">
        <w:rPr>
          <w:rFonts w:asciiTheme="majorHAnsi" w:hAnsiTheme="majorHAnsi"/>
          <w:spacing w:val="17"/>
          <w:sz w:val="20"/>
          <w:szCs w:val="20"/>
          <w:lang w:val="en-US"/>
        </w:rPr>
        <w:t xml:space="preserve"> </w:t>
      </w:r>
      <w:r w:rsidRPr="000977F7">
        <w:rPr>
          <w:rFonts w:asciiTheme="majorHAnsi" w:hAnsiTheme="majorHAnsi"/>
          <w:sz w:val="20"/>
          <w:szCs w:val="20"/>
        </w:rPr>
        <w:t>у</w:t>
      </w:r>
      <w:r w:rsidRPr="004D2D14">
        <w:rPr>
          <w:rFonts w:asciiTheme="majorHAnsi" w:hAnsiTheme="majorHAnsi"/>
          <w:spacing w:val="14"/>
          <w:sz w:val="20"/>
          <w:szCs w:val="20"/>
          <w:lang w:val="en-US"/>
        </w:rPr>
        <w:t xml:space="preserve"> </w:t>
      </w:r>
      <w:r w:rsidRPr="000977F7">
        <w:rPr>
          <w:rFonts w:asciiTheme="majorHAnsi" w:hAnsiTheme="majorHAnsi"/>
          <w:sz w:val="20"/>
          <w:szCs w:val="20"/>
        </w:rPr>
        <w:t>випуску</w:t>
      </w:r>
      <w:r w:rsidRPr="004D2D14">
        <w:rPr>
          <w:rFonts w:asciiTheme="majorHAnsi" w:hAnsiTheme="majorHAnsi"/>
          <w:spacing w:val="14"/>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pacing w:val="49"/>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якійсь</w:t>
      </w:r>
      <w:r w:rsidRPr="004D2D14">
        <w:rPr>
          <w:rFonts w:asciiTheme="majorHAnsi" w:hAnsiTheme="majorHAnsi"/>
          <w:spacing w:val="-1"/>
          <w:sz w:val="20"/>
          <w:szCs w:val="20"/>
          <w:lang w:val="en-US"/>
        </w:rPr>
        <w:t xml:space="preserve"> </w:t>
      </w:r>
      <w:r w:rsidRPr="000977F7">
        <w:rPr>
          <w:rFonts w:asciiTheme="majorHAnsi" w:hAnsiTheme="majorHAnsi"/>
          <w:sz w:val="20"/>
          <w:szCs w:val="20"/>
        </w:rPr>
        <w:t>групі</w:t>
      </w:r>
      <w:r w:rsidRPr="004D2D14">
        <w:rPr>
          <w:rFonts w:asciiTheme="majorHAnsi" w:hAnsiTheme="majorHAnsi"/>
          <w:spacing w:val="-1"/>
          <w:sz w:val="20"/>
          <w:szCs w:val="20"/>
          <w:lang w:val="en-US"/>
        </w:rPr>
        <w:t xml:space="preserve"> </w:t>
      </w:r>
      <w:r w:rsidRPr="000977F7">
        <w:rPr>
          <w:rFonts w:asciiTheme="majorHAnsi" w:hAnsiTheme="majorHAnsi"/>
          <w:sz w:val="20"/>
          <w:szCs w:val="20"/>
        </w:rPr>
        <w:t>товарів</w:t>
      </w:r>
    </w:p>
    <w:p w14:paraId="04F6EED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103590A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Асортимент</w:t>
      </w:r>
      <w:r w:rsidRPr="000977F7">
        <w:rPr>
          <w:rFonts w:asciiTheme="majorHAnsi" w:hAnsiTheme="majorHAnsi"/>
          <w:spacing w:val="24"/>
          <w:sz w:val="20"/>
          <w:szCs w:val="20"/>
        </w:rPr>
        <w:t xml:space="preserve"> </w:t>
      </w:r>
      <w:r w:rsidRPr="000977F7">
        <w:rPr>
          <w:rFonts w:asciiTheme="majorHAnsi" w:hAnsiTheme="majorHAnsi"/>
          <w:sz w:val="20"/>
          <w:szCs w:val="20"/>
        </w:rPr>
        <w:t>продукції</w:t>
      </w:r>
      <w:r w:rsidRPr="000977F7">
        <w:rPr>
          <w:rFonts w:asciiTheme="majorHAnsi" w:hAnsiTheme="majorHAnsi"/>
          <w:spacing w:val="25"/>
          <w:sz w:val="20"/>
          <w:szCs w:val="20"/>
        </w:rPr>
        <w:t xml:space="preserve"> </w:t>
      </w:r>
      <w:r w:rsidRPr="000977F7">
        <w:rPr>
          <w:rFonts w:asciiTheme="majorHAnsi" w:hAnsiTheme="majorHAnsi"/>
          <w:sz w:val="20"/>
          <w:szCs w:val="20"/>
        </w:rPr>
        <w:t>характеризує</w:t>
      </w:r>
      <w:r w:rsidRPr="000977F7">
        <w:rPr>
          <w:rFonts w:asciiTheme="majorHAnsi" w:hAnsiTheme="majorHAnsi"/>
          <w:spacing w:val="23"/>
          <w:sz w:val="20"/>
          <w:szCs w:val="20"/>
        </w:rPr>
        <w:t xml:space="preserve"> </w:t>
      </w:r>
      <w:r w:rsidRPr="000977F7">
        <w:rPr>
          <w:rFonts w:asciiTheme="majorHAnsi" w:hAnsiTheme="majorHAnsi"/>
          <w:sz w:val="20"/>
          <w:szCs w:val="20"/>
        </w:rPr>
        <w:t>як</w:t>
      </w:r>
      <w:r w:rsidRPr="000977F7">
        <w:rPr>
          <w:rFonts w:asciiTheme="majorHAnsi" w:hAnsiTheme="majorHAnsi"/>
          <w:spacing w:val="24"/>
          <w:sz w:val="20"/>
          <w:szCs w:val="20"/>
        </w:rPr>
        <w:t xml:space="preserve"> </w:t>
      </w:r>
      <w:r w:rsidRPr="000977F7">
        <w:rPr>
          <w:rFonts w:asciiTheme="majorHAnsi" w:hAnsiTheme="majorHAnsi"/>
          <w:sz w:val="20"/>
          <w:szCs w:val="20"/>
        </w:rPr>
        <w:t>її</w:t>
      </w:r>
      <w:r w:rsidRPr="000977F7">
        <w:rPr>
          <w:rFonts w:asciiTheme="majorHAnsi" w:hAnsiTheme="majorHAnsi"/>
          <w:spacing w:val="23"/>
          <w:sz w:val="20"/>
          <w:szCs w:val="20"/>
        </w:rPr>
        <w:t xml:space="preserve"> </w:t>
      </w:r>
      <w:r w:rsidRPr="000977F7">
        <w:rPr>
          <w:rFonts w:asciiTheme="majorHAnsi" w:hAnsiTheme="majorHAnsi"/>
          <w:sz w:val="20"/>
          <w:szCs w:val="20"/>
        </w:rPr>
        <w:t>склад,</w:t>
      </w:r>
      <w:r w:rsidRPr="000977F7">
        <w:rPr>
          <w:rFonts w:asciiTheme="majorHAnsi" w:hAnsiTheme="majorHAnsi"/>
          <w:spacing w:val="25"/>
          <w:sz w:val="20"/>
          <w:szCs w:val="20"/>
        </w:rPr>
        <w:t xml:space="preserve"> </w:t>
      </w:r>
      <w:r w:rsidRPr="000977F7">
        <w:rPr>
          <w:rFonts w:asciiTheme="majorHAnsi" w:hAnsiTheme="majorHAnsi"/>
          <w:sz w:val="20"/>
          <w:szCs w:val="20"/>
        </w:rPr>
        <w:t>так</w:t>
      </w:r>
      <w:r w:rsidRPr="000977F7">
        <w:rPr>
          <w:rFonts w:asciiTheme="majorHAnsi" w:hAnsiTheme="majorHAnsi"/>
          <w:spacing w:val="29"/>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сортність</w:t>
      </w:r>
    </w:p>
    <w:p w14:paraId="71FA919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3278 – 95</w:t>
      </w:r>
    </w:p>
    <w:p w14:paraId="34AFEF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 і співвідношення окремих видів виробів у ви</w:t>
      </w:r>
      <w:r w:rsidRPr="000977F7">
        <w:rPr>
          <w:rFonts w:asciiTheme="majorHAnsi" w:hAnsiTheme="majorHAnsi"/>
          <w:spacing w:val="1"/>
          <w:sz w:val="20"/>
          <w:szCs w:val="20"/>
        </w:rPr>
        <w:t xml:space="preserve"> </w:t>
      </w:r>
      <w:r w:rsidRPr="000977F7">
        <w:rPr>
          <w:rFonts w:asciiTheme="majorHAnsi" w:hAnsiTheme="majorHAnsi"/>
          <w:sz w:val="20"/>
          <w:szCs w:val="20"/>
        </w:rPr>
        <w:t>пуску продукції підприємства, галузі або групі товарів</w:t>
      </w:r>
    </w:p>
    <w:p w14:paraId="5C784AEC"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DDF1FF2" w14:textId="77777777" w:rsidR="0097612F" w:rsidRPr="000977F7" w:rsidRDefault="0097612F" w:rsidP="000977F7">
      <w:pPr>
        <w:pStyle w:val="7"/>
        <w:tabs>
          <w:tab w:val="left" w:pos="284"/>
        </w:tabs>
        <w:spacing w:before="0" w:line="240" w:lineRule="auto"/>
        <w:ind w:left="170"/>
        <w:mirrorIndents/>
        <w:jc w:val="both"/>
        <w:rPr>
          <w:bCs/>
          <w:color w:val="auto"/>
          <w:spacing w:val="-6"/>
          <w:sz w:val="20"/>
          <w:szCs w:val="20"/>
        </w:rPr>
      </w:pPr>
      <w:r w:rsidRPr="000977F7">
        <w:rPr>
          <w:color w:val="auto"/>
          <w:spacing w:val="-6"/>
          <w:sz w:val="20"/>
          <w:szCs w:val="20"/>
        </w:rPr>
        <w:t xml:space="preserve">АСОЦІАТИВНЕ ОПИТУВАННЯ </w:t>
      </w:r>
      <w:r w:rsidRPr="000977F7">
        <w:rPr>
          <w:bCs/>
          <w:color w:val="auto"/>
          <w:spacing w:val="-6"/>
          <w:sz w:val="20"/>
          <w:szCs w:val="20"/>
        </w:rPr>
        <w:t>СПОЖИВАЧА –</w:t>
      </w:r>
    </w:p>
    <w:p w14:paraId="43D9431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опитування, за допомогою якого виявляється, з</w:t>
      </w:r>
      <w:r w:rsidRPr="000977F7">
        <w:rPr>
          <w:rFonts w:asciiTheme="majorHAnsi" w:hAnsiTheme="majorHAnsi"/>
          <w:spacing w:val="-47"/>
          <w:sz w:val="20"/>
          <w:szCs w:val="20"/>
        </w:rPr>
        <w:t xml:space="preserve"> </w:t>
      </w:r>
      <w:r w:rsidRPr="000977F7">
        <w:rPr>
          <w:rFonts w:asciiTheme="majorHAnsi" w:hAnsiTheme="majorHAnsi"/>
          <w:sz w:val="20"/>
          <w:szCs w:val="20"/>
        </w:rPr>
        <w:t>якими корисними якостями чи умовами споживання</w:t>
      </w:r>
      <w:r w:rsidRPr="000977F7">
        <w:rPr>
          <w:rFonts w:asciiTheme="majorHAnsi" w:hAnsiTheme="majorHAnsi"/>
          <w:spacing w:val="1"/>
          <w:sz w:val="20"/>
          <w:szCs w:val="20"/>
        </w:rPr>
        <w:t xml:space="preserve"> </w:t>
      </w:r>
      <w:r w:rsidRPr="000977F7">
        <w:rPr>
          <w:rFonts w:asciiTheme="majorHAnsi" w:hAnsiTheme="majorHAnsi"/>
          <w:sz w:val="20"/>
          <w:szCs w:val="20"/>
        </w:rPr>
        <w:t>споживач асоціює ту чи іншу продукцію відомого на</w:t>
      </w:r>
      <w:r w:rsidRPr="000977F7">
        <w:rPr>
          <w:rFonts w:asciiTheme="majorHAnsi" w:hAnsiTheme="majorHAnsi"/>
          <w:spacing w:val="1"/>
          <w:sz w:val="20"/>
          <w:szCs w:val="20"/>
        </w:rPr>
        <w:t xml:space="preserve"> </w:t>
      </w:r>
      <w:r w:rsidRPr="000977F7">
        <w:rPr>
          <w:rFonts w:asciiTheme="majorHAnsi" w:hAnsiTheme="majorHAnsi"/>
          <w:sz w:val="20"/>
          <w:szCs w:val="20"/>
        </w:rPr>
        <w:t>ринку</w:t>
      </w:r>
      <w:r w:rsidRPr="000977F7">
        <w:rPr>
          <w:rFonts w:asciiTheme="majorHAnsi" w:hAnsiTheme="majorHAnsi"/>
          <w:spacing w:val="-2"/>
          <w:sz w:val="20"/>
          <w:szCs w:val="20"/>
        </w:rPr>
        <w:t xml:space="preserve"> </w:t>
      </w:r>
      <w:r w:rsidRPr="000977F7">
        <w:rPr>
          <w:rFonts w:asciiTheme="majorHAnsi" w:hAnsiTheme="majorHAnsi"/>
          <w:sz w:val="20"/>
          <w:szCs w:val="20"/>
        </w:rPr>
        <w:t>конкурента.</w:t>
      </w:r>
    </w:p>
    <w:p w14:paraId="00EF5101"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3294 – 95</w:t>
      </w:r>
    </w:p>
    <w:p w14:paraId="780334B4"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sz w:val="20"/>
          <w:szCs w:val="20"/>
        </w:rPr>
        <w:t>АСОЦІАЦІЯ -</w:t>
      </w:r>
    </w:p>
    <w:p w14:paraId="2E09D71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ASSOCIATION -</w:t>
      </w:r>
    </w:p>
    <w:p w14:paraId="4A8CD8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3"/>
          <w:sz w:val="20"/>
          <w:szCs w:val="20"/>
        </w:rPr>
        <w:t xml:space="preserve"> </w:t>
      </w:r>
      <w:r w:rsidRPr="000977F7">
        <w:rPr>
          <w:rFonts w:asciiTheme="majorHAnsi" w:hAnsiTheme="majorHAnsi"/>
          <w:sz w:val="20"/>
          <w:szCs w:val="20"/>
        </w:rPr>
        <w:t>членами</w:t>
      </w:r>
      <w:r w:rsidRPr="000977F7">
        <w:rPr>
          <w:rFonts w:asciiTheme="majorHAnsi" w:hAnsiTheme="majorHAnsi"/>
          <w:spacing w:val="-3"/>
          <w:sz w:val="20"/>
          <w:szCs w:val="20"/>
        </w:rPr>
        <w:t xml:space="preserve"> </w:t>
      </w:r>
      <w:r w:rsidRPr="000977F7">
        <w:rPr>
          <w:rFonts w:asciiTheme="majorHAnsi" w:hAnsiTheme="majorHAnsi"/>
          <w:sz w:val="20"/>
          <w:szCs w:val="20"/>
        </w:rPr>
        <w:t>якої</w:t>
      </w:r>
      <w:r w:rsidRPr="000977F7">
        <w:rPr>
          <w:rFonts w:asciiTheme="majorHAnsi" w:hAnsiTheme="majorHAnsi"/>
          <w:spacing w:val="-4"/>
          <w:sz w:val="20"/>
          <w:szCs w:val="20"/>
        </w:rPr>
        <w:t xml:space="preserve"> є</w:t>
      </w:r>
      <w:r w:rsidRPr="000977F7">
        <w:rPr>
          <w:rFonts w:asciiTheme="majorHAnsi" w:hAnsiTheme="majorHAnsi"/>
          <w:spacing w:val="-2"/>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3"/>
          <w:sz w:val="20"/>
          <w:szCs w:val="20"/>
        </w:rPr>
        <w:t xml:space="preserve"> </w:t>
      </w:r>
      <w:r w:rsidRPr="000977F7">
        <w:rPr>
          <w:rFonts w:asciiTheme="majorHAnsi" w:hAnsiTheme="majorHAnsi"/>
          <w:sz w:val="20"/>
          <w:szCs w:val="20"/>
        </w:rPr>
        <w:t>чи</w:t>
      </w:r>
      <w:r w:rsidRPr="000977F7">
        <w:rPr>
          <w:rFonts w:asciiTheme="majorHAnsi" w:hAnsiTheme="majorHAnsi"/>
          <w:spacing w:val="-4"/>
          <w:sz w:val="20"/>
          <w:szCs w:val="20"/>
        </w:rPr>
        <w:t xml:space="preserve"> </w:t>
      </w:r>
      <w:r w:rsidRPr="000977F7">
        <w:rPr>
          <w:rFonts w:asciiTheme="majorHAnsi" w:hAnsiTheme="majorHAnsi"/>
          <w:sz w:val="20"/>
          <w:szCs w:val="20"/>
        </w:rPr>
        <w:t>особи</w:t>
      </w:r>
    </w:p>
    <w:p w14:paraId="186170D1"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ISO</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9000:2015</w:t>
      </w:r>
    </w:p>
    <w:p w14:paraId="6D31C11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АСПЕКТ</w:t>
      </w:r>
      <w:r w:rsidRPr="000977F7">
        <w:rPr>
          <w:color w:val="auto"/>
          <w:spacing w:val="-5"/>
          <w:sz w:val="20"/>
          <w:szCs w:val="20"/>
        </w:rPr>
        <w:t xml:space="preserve"> </w:t>
      </w:r>
      <w:r w:rsidRPr="000977F7">
        <w:rPr>
          <w:color w:val="auto"/>
          <w:sz w:val="20"/>
          <w:szCs w:val="20"/>
        </w:rPr>
        <w:t>СТАНДАРТИЗАЦІЇ</w:t>
      </w:r>
      <w:r w:rsidRPr="000977F7">
        <w:rPr>
          <w:color w:val="auto"/>
          <w:spacing w:val="-3"/>
          <w:sz w:val="20"/>
          <w:szCs w:val="20"/>
        </w:rPr>
        <w:t xml:space="preserve"> </w:t>
      </w:r>
      <w:r w:rsidRPr="000977F7">
        <w:rPr>
          <w:color w:val="auto"/>
          <w:sz w:val="20"/>
          <w:szCs w:val="20"/>
        </w:rPr>
        <w:t>-</w:t>
      </w:r>
    </w:p>
    <w:p w14:paraId="28C96DE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ASPECT OF</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STANDARDIZATION –</w:t>
      </w:r>
    </w:p>
    <w:p w14:paraId="528A8CD6" w14:textId="77777777" w:rsidR="0097612F" w:rsidRPr="000977F7" w:rsidRDefault="0097612F" w:rsidP="000977F7">
      <w:pPr>
        <w:pStyle w:val="af6"/>
        <w:tabs>
          <w:tab w:val="left" w:pos="284"/>
        </w:tabs>
        <w:spacing w:after="0"/>
        <w:ind w:left="170"/>
        <w:mirrorIndents/>
        <w:jc w:val="both"/>
        <w:rPr>
          <w:rFonts w:asciiTheme="majorHAnsi" w:hAnsiTheme="majorHAnsi"/>
          <w:spacing w:val="-48"/>
          <w:sz w:val="20"/>
          <w:szCs w:val="20"/>
        </w:rPr>
      </w:pPr>
      <w:r w:rsidRPr="000977F7">
        <w:rPr>
          <w:rFonts w:asciiTheme="majorHAnsi" w:hAnsiTheme="majorHAnsi"/>
          <w:sz w:val="20"/>
          <w:szCs w:val="20"/>
        </w:rPr>
        <w:t>Вид вимог до об’єкту стандартизації</w:t>
      </w:r>
      <w:r w:rsidRPr="000977F7">
        <w:rPr>
          <w:rFonts w:asciiTheme="majorHAnsi" w:hAnsiTheme="majorHAnsi"/>
          <w:spacing w:val="-48"/>
          <w:sz w:val="20"/>
          <w:szCs w:val="20"/>
        </w:rPr>
        <w:t xml:space="preserve"> </w:t>
      </w:r>
    </w:p>
    <w:p w14:paraId="2849DDF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4D5EA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 основних аспектів стандартизації належать: класифікація,</w:t>
      </w:r>
      <w:r w:rsidRPr="000977F7">
        <w:rPr>
          <w:rFonts w:asciiTheme="majorHAnsi" w:hAnsiTheme="majorHAnsi"/>
          <w:spacing w:val="-8"/>
          <w:sz w:val="20"/>
          <w:szCs w:val="20"/>
        </w:rPr>
        <w:t xml:space="preserve"> </w:t>
      </w:r>
      <w:r w:rsidRPr="000977F7">
        <w:rPr>
          <w:rFonts w:asciiTheme="majorHAnsi" w:hAnsiTheme="majorHAnsi"/>
          <w:sz w:val="20"/>
          <w:szCs w:val="20"/>
        </w:rPr>
        <w:t>терміни</w:t>
      </w:r>
      <w:r w:rsidRPr="000977F7">
        <w:rPr>
          <w:rFonts w:asciiTheme="majorHAnsi" w:hAnsiTheme="majorHAnsi"/>
          <w:spacing w:val="-8"/>
          <w:sz w:val="20"/>
          <w:szCs w:val="20"/>
        </w:rPr>
        <w:t xml:space="preserve"> </w:t>
      </w:r>
      <w:r w:rsidRPr="000977F7">
        <w:rPr>
          <w:rFonts w:asciiTheme="majorHAnsi" w:hAnsiTheme="majorHAnsi"/>
          <w:sz w:val="20"/>
          <w:szCs w:val="20"/>
        </w:rPr>
        <w:t>та</w:t>
      </w:r>
      <w:r w:rsidRPr="000977F7">
        <w:rPr>
          <w:rFonts w:asciiTheme="majorHAnsi" w:hAnsiTheme="majorHAnsi"/>
          <w:spacing w:val="-7"/>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8"/>
          <w:sz w:val="20"/>
          <w:szCs w:val="20"/>
        </w:rPr>
        <w:t xml:space="preserve"> </w:t>
      </w:r>
      <w:r w:rsidRPr="000977F7">
        <w:rPr>
          <w:rFonts w:asciiTheme="majorHAnsi" w:hAnsiTheme="majorHAnsi"/>
          <w:sz w:val="20"/>
          <w:szCs w:val="20"/>
        </w:rPr>
        <w:t>позначення,</w:t>
      </w:r>
      <w:r w:rsidRPr="000977F7">
        <w:rPr>
          <w:rFonts w:asciiTheme="majorHAnsi" w:hAnsiTheme="majorHAnsi"/>
          <w:spacing w:val="-7"/>
          <w:sz w:val="20"/>
          <w:szCs w:val="20"/>
        </w:rPr>
        <w:t xml:space="preserve"> </w:t>
      </w:r>
      <w:r w:rsidRPr="000977F7">
        <w:rPr>
          <w:rFonts w:asciiTheme="majorHAnsi" w:hAnsiTheme="majorHAnsi"/>
          <w:sz w:val="20"/>
          <w:szCs w:val="20"/>
        </w:rPr>
        <w:t>типи,</w:t>
      </w:r>
      <w:r w:rsidRPr="000977F7">
        <w:rPr>
          <w:rFonts w:asciiTheme="majorHAnsi" w:hAnsiTheme="majorHAnsi"/>
          <w:spacing w:val="-7"/>
          <w:sz w:val="20"/>
          <w:szCs w:val="20"/>
        </w:rPr>
        <w:t xml:space="preserve"> </w:t>
      </w:r>
      <w:r w:rsidRPr="000977F7">
        <w:rPr>
          <w:rFonts w:asciiTheme="majorHAnsi" w:hAnsiTheme="majorHAnsi"/>
          <w:sz w:val="20"/>
          <w:szCs w:val="20"/>
        </w:rPr>
        <w:t>марки, сортамент, параметри, розміри, технічні вимоги,</w:t>
      </w:r>
      <w:r w:rsidRPr="000977F7">
        <w:rPr>
          <w:rFonts w:asciiTheme="majorHAnsi" w:hAnsiTheme="majorHAnsi"/>
          <w:spacing w:val="1"/>
          <w:sz w:val="20"/>
          <w:szCs w:val="20"/>
        </w:rPr>
        <w:t xml:space="preserve"> </w:t>
      </w:r>
      <w:r w:rsidRPr="000977F7">
        <w:rPr>
          <w:rFonts w:asciiTheme="majorHAnsi" w:hAnsiTheme="majorHAnsi"/>
          <w:sz w:val="20"/>
          <w:szCs w:val="20"/>
        </w:rPr>
        <w:t>правила</w:t>
      </w:r>
      <w:r w:rsidRPr="000977F7">
        <w:rPr>
          <w:rFonts w:asciiTheme="majorHAnsi" w:hAnsiTheme="majorHAnsi"/>
          <w:spacing w:val="-2"/>
          <w:sz w:val="20"/>
          <w:szCs w:val="20"/>
        </w:rPr>
        <w:t xml:space="preserve"> </w:t>
      </w:r>
      <w:r w:rsidRPr="000977F7">
        <w:rPr>
          <w:rFonts w:asciiTheme="majorHAnsi" w:hAnsiTheme="majorHAnsi"/>
          <w:sz w:val="20"/>
          <w:szCs w:val="20"/>
        </w:rPr>
        <w:t>приймання,</w:t>
      </w:r>
      <w:r w:rsidRPr="000977F7">
        <w:rPr>
          <w:rFonts w:asciiTheme="majorHAnsi" w:hAnsiTheme="majorHAnsi"/>
          <w:spacing w:val="-3"/>
          <w:sz w:val="20"/>
          <w:szCs w:val="20"/>
        </w:rPr>
        <w:t xml:space="preserve"> </w:t>
      </w:r>
      <w:r w:rsidRPr="000977F7">
        <w:rPr>
          <w:rFonts w:asciiTheme="majorHAnsi" w:hAnsiTheme="majorHAnsi"/>
          <w:sz w:val="20"/>
          <w:szCs w:val="20"/>
        </w:rPr>
        <w:t>методи</w:t>
      </w:r>
      <w:r w:rsidRPr="000977F7">
        <w:rPr>
          <w:rFonts w:asciiTheme="majorHAnsi" w:hAnsiTheme="majorHAnsi"/>
          <w:spacing w:val="-5"/>
          <w:sz w:val="20"/>
          <w:szCs w:val="20"/>
        </w:rPr>
        <w:t xml:space="preserve"> </w:t>
      </w:r>
      <w:r w:rsidRPr="000977F7">
        <w:rPr>
          <w:rFonts w:asciiTheme="majorHAnsi" w:hAnsiTheme="majorHAnsi"/>
          <w:sz w:val="20"/>
          <w:szCs w:val="20"/>
        </w:rPr>
        <w:t>відбору</w:t>
      </w:r>
      <w:r w:rsidRPr="000977F7">
        <w:rPr>
          <w:rFonts w:asciiTheme="majorHAnsi" w:hAnsiTheme="majorHAnsi"/>
          <w:spacing w:val="-5"/>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підготовки</w:t>
      </w:r>
      <w:r w:rsidRPr="000977F7">
        <w:rPr>
          <w:rFonts w:asciiTheme="majorHAnsi" w:hAnsiTheme="majorHAnsi"/>
          <w:spacing w:val="-3"/>
          <w:sz w:val="20"/>
          <w:szCs w:val="20"/>
        </w:rPr>
        <w:t xml:space="preserve"> </w:t>
      </w:r>
      <w:r w:rsidRPr="000977F7">
        <w:rPr>
          <w:rFonts w:asciiTheme="majorHAnsi" w:hAnsiTheme="majorHAnsi"/>
          <w:sz w:val="20"/>
          <w:szCs w:val="20"/>
        </w:rPr>
        <w:t>зразків, методи контролю (випробувань, аналізу, вимірювань, визначення), методи та засоби перевірок, марку</w:t>
      </w:r>
      <w:r w:rsidRPr="000977F7">
        <w:rPr>
          <w:rFonts w:asciiTheme="majorHAnsi" w:hAnsiTheme="majorHAnsi"/>
          <w:spacing w:val="-1"/>
          <w:sz w:val="20"/>
          <w:szCs w:val="20"/>
        </w:rPr>
        <w:t>вання,</w:t>
      </w:r>
      <w:r w:rsidRPr="000977F7">
        <w:rPr>
          <w:rFonts w:asciiTheme="majorHAnsi" w:hAnsiTheme="majorHAnsi"/>
          <w:spacing w:val="-11"/>
          <w:sz w:val="20"/>
          <w:szCs w:val="20"/>
        </w:rPr>
        <w:t xml:space="preserve"> </w:t>
      </w:r>
      <w:r w:rsidRPr="000977F7">
        <w:rPr>
          <w:rFonts w:asciiTheme="majorHAnsi" w:hAnsiTheme="majorHAnsi"/>
          <w:spacing w:val="-1"/>
          <w:sz w:val="20"/>
          <w:szCs w:val="20"/>
        </w:rPr>
        <w:t>пакування,</w:t>
      </w:r>
      <w:r w:rsidRPr="000977F7">
        <w:rPr>
          <w:rFonts w:asciiTheme="majorHAnsi" w:hAnsiTheme="majorHAnsi"/>
          <w:spacing w:val="-10"/>
          <w:sz w:val="20"/>
          <w:szCs w:val="20"/>
        </w:rPr>
        <w:t xml:space="preserve"> </w:t>
      </w:r>
      <w:r w:rsidRPr="000977F7">
        <w:rPr>
          <w:rFonts w:asciiTheme="majorHAnsi" w:hAnsiTheme="majorHAnsi"/>
          <w:spacing w:val="-1"/>
          <w:sz w:val="20"/>
          <w:szCs w:val="20"/>
        </w:rPr>
        <w:t>транспортування,</w:t>
      </w:r>
      <w:r w:rsidRPr="000977F7">
        <w:rPr>
          <w:rFonts w:asciiTheme="majorHAnsi" w:hAnsiTheme="majorHAnsi"/>
          <w:spacing w:val="-11"/>
          <w:sz w:val="20"/>
          <w:szCs w:val="20"/>
        </w:rPr>
        <w:t xml:space="preserve"> </w:t>
      </w:r>
      <w:r w:rsidRPr="000977F7">
        <w:rPr>
          <w:rFonts w:asciiTheme="majorHAnsi" w:hAnsiTheme="majorHAnsi"/>
          <w:sz w:val="20"/>
          <w:szCs w:val="20"/>
        </w:rPr>
        <w:t>зберігання</w:t>
      </w:r>
      <w:r w:rsidRPr="000977F7">
        <w:rPr>
          <w:rFonts w:asciiTheme="majorHAnsi" w:hAnsiTheme="majorHAnsi"/>
          <w:spacing w:val="-9"/>
          <w:sz w:val="20"/>
          <w:szCs w:val="20"/>
        </w:rPr>
        <w:t xml:space="preserve"> </w:t>
      </w:r>
      <w:r w:rsidRPr="000977F7">
        <w:rPr>
          <w:rFonts w:asciiTheme="majorHAnsi" w:hAnsiTheme="majorHAnsi"/>
          <w:sz w:val="20"/>
          <w:szCs w:val="20"/>
        </w:rPr>
        <w:t>та</w:t>
      </w:r>
      <w:r w:rsidRPr="000977F7">
        <w:rPr>
          <w:rFonts w:asciiTheme="majorHAnsi" w:hAnsiTheme="majorHAnsi"/>
          <w:spacing w:val="-10"/>
          <w:sz w:val="20"/>
          <w:szCs w:val="20"/>
        </w:rPr>
        <w:t xml:space="preserve"> </w:t>
      </w:r>
      <w:r w:rsidRPr="000977F7">
        <w:rPr>
          <w:rFonts w:asciiTheme="majorHAnsi" w:hAnsiTheme="majorHAnsi"/>
          <w:sz w:val="20"/>
          <w:szCs w:val="20"/>
        </w:rPr>
        <w:t>ін.</w:t>
      </w:r>
    </w:p>
    <w:p w14:paraId="0D83EF2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АТЕСТАТ</w:t>
      </w:r>
      <w:r w:rsidRPr="000977F7">
        <w:rPr>
          <w:color w:val="auto"/>
          <w:spacing w:val="-5"/>
          <w:sz w:val="20"/>
          <w:szCs w:val="20"/>
        </w:rPr>
        <w:t xml:space="preserve"> </w:t>
      </w:r>
      <w:r w:rsidRPr="000977F7">
        <w:rPr>
          <w:color w:val="auto"/>
          <w:sz w:val="20"/>
          <w:szCs w:val="20"/>
        </w:rPr>
        <w:t>АКРЕДИТАЦІЇ</w:t>
      </w:r>
      <w:r w:rsidRPr="000977F7">
        <w:rPr>
          <w:color w:val="auto"/>
          <w:spacing w:val="-1"/>
          <w:sz w:val="20"/>
          <w:szCs w:val="20"/>
        </w:rPr>
        <w:t xml:space="preserve"> </w:t>
      </w:r>
      <w:r w:rsidRPr="000977F7">
        <w:rPr>
          <w:color w:val="auto"/>
          <w:sz w:val="20"/>
          <w:szCs w:val="20"/>
        </w:rPr>
        <w:t>–</w:t>
      </w:r>
    </w:p>
    <w:p w14:paraId="197B3624" w14:textId="77777777" w:rsidR="0097612F" w:rsidRPr="000977F7" w:rsidRDefault="0097612F" w:rsidP="000977F7">
      <w:pPr>
        <w:pStyle w:val="af6"/>
        <w:tabs>
          <w:tab w:val="left" w:pos="284"/>
        </w:tabs>
        <w:spacing w:after="0"/>
        <w:ind w:left="170"/>
        <w:mirrorIndents/>
        <w:jc w:val="both"/>
        <w:rPr>
          <w:rFonts w:asciiTheme="majorHAnsi" w:hAnsiTheme="majorHAnsi"/>
          <w:spacing w:val="1"/>
          <w:w w:val="95"/>
          <w:sz w:val="20"/>
          <w:szCs w:val="20"/>
        </w:rPr>
      </w:pPr>
      <w:r w:rsidRPr="000977F7">
        <w:rPr>
          <w:rFonts w:asciiTheme="majorHAnsi" w:hAnsiTheme="majorHAnsi"/>
          <w:spacing w:val="-1"/>
          <w:sz w:val="20"/>
          <w:szCs w:val="20"/>
        </w:rPr>
        <w:t>Документ,</w:t>
      </w:r>
      <w:r w:rsidRPr="000977F7">
        <w:rPr>
          <w:rFonts w:asciiTheme="majorHAnsi" w:hAnsiTheme="majorHAnsi"/>
          <w:spacing w:val="-9"/>
          <w:sz w:val="20"/>
          <w:szCs w:val="20"/>
        </w:rPr>
        <w:t xml:space="preserve"> </w:t>
      </w:r>
      <w:r w:rsidRPr="000977F7">
        <w:rPr>
          <w:rFonts w:asciiTheme="majorHAnsi" w:hAnsiTheme="majorHAnsi"/>
          <w:spacing w:val="-1"/>
          <w:sz w:val="20"/>
          <w:szCs w:val="20"/>
        </w:rPr>
        <w:t>виданий</w:t>
      </w:r>
      <w:r w:rsidRPr="000977F7">
        <w:rPr>
          <w:rFonts w:asciiTheme="majorHAnsi" w:hAnsiTheme="majorHAnsi"/>
          <w:spacing w:val="-11"/>
          <w:sz w:val="20"/>
          <w:szCs w:val="20"/>
        </w:rPr>
        <w:t xml:space="preserve"> </w:t>
      </w:r>
      <w:r w:rsidRPr="000977F7">
        <w:rPr>
          <w:rFonts w:asciiTheme="majorHAnsi" w:hAnsiTheme="majorHAnsi"/>
          <w:spacing w:val="-1"/>
          <w:sz w:val="20"/>
          <w:szCs w:val="20"/>
        </w:rPr>
        <w:t>згідно</w:t>
      </w:r>
      <w:r w:rsidRPr="000977F7">
        <w:rPr>
          <w:rFonts w:asciiTheme="majorHAnsi" w:hAnsiTheme="majorHAnsi"/>
          <w:spacing w:val="-9"/>
          <w:sz w:val="20"/>
          <w:szCs w:val="20"/>
        </w:rPr>
        <w:t xml:space="preserve"> </w:t>
      </w:r>
      <w:r w:rsidRPr="000977F7">
        <w:rPr>
          <w:rFonts w:asciiTheme="majorHAnsi" w:hAnsiTheme="majorHAnsi"/>
          <w:spacing w:val="-1"/>
          <w:sz w:val="20"/>
          <w:szCs w:val="20"/>
        </w:rPr>
        <w:t>з</w:t>
      </w:r>
      <w:r w:rsidRPr="000977F7">
        <w:rPr>
          <w:rFonts w:asciiTheme="majorHAnsi" w:hAnsiTheme="majorHAnsi"/>
          <w:spacing w:val="-8"/>
          <w:sz w:val="20"/>
          <w:szCs w:val="20"/>
        </w:rPr>
        <w:t xml:space="preserve"> </w:t>
      </w:r>
      <w:r w:rsidRPr="000977F7">
        <w:rPr>
          <w:rFonts w:asciiTheme="majorHAnsi" w:hAnsiTheme="majorHAnsi"/>
          <w:spacing w:val="-1"/>
          <w:sz w:val="20"/>
          <w:szCs w:val="20"/>
        </w:rPr>
        <w:t>правилами</w:t>
      </w:r>
      <w:r w:rsidRPr="000977F7">
        <w:rPr>
          <w:rFonts w:asciiTheme="majorHAnsi" w:hAnsiTheme="majorHAnsi"/>
          <w:spacing w:val="-11"/>
          <w:sz w:val="20"/>
          <w:szCs w:val="20"/>
        </w:rPr>
        <w:t xml:space="preserve"> </w:t>
      </w:r>
      <w:r w:rsidRPr="000977F7">
        <w:rPr>
          <w:rFonts w:asciiTheme="majorHAnsi" w:hAnsiTheme="majorHAnsi"/>
          <w:spacing w:val="-1"/>
          <w:sz w:val="20"/>
          <w:szCs w:val="20"/>
        </w:rPr>
        <w:t>системи</w:t>
      </w:r>
      <w:r w:rsidRPr="000977F7">
        <w:rPr>
          <w:rFonts w:asciiTheme="majorHAnsi" w:hAnsiTheme="majorHAnsi"/>
          <w:spacing w:val="-11"/>
          <w:sz w:val="20"/>
          <w:szCs w:val="20"/>
        </w:rPr>
        <w:t xml:space="preserve"> </w:t>
      </w:r>
      <w:r w:rsidRPr="000977F7">
        <w:rPr>
          <w:rFonts w:asciiTheme="majorHAnsi" w:hAnsiTheme="majorHAnsi"/>
          <w:spacing w:val="-1"/>
          <w:sz w:val="20"/>
          <w:szCs w:val="20"/>
        </w:rPr>
        <w:t>акреди</w:t>
      </w:r>
      <w:r w:rsidRPr="000977F7">
        <w:rPr>
          <w:rFonts w:asciiTheme="majorHAnsi" w:hAnsiTheme="majorHAnsi"/>
          <w:sz w:val="20"/>
          <w:szCs w:val="20"/>
        </w:rPr>
        <w:t>тації,</w:t>
      </w:r>
      <w:r w:rsidRPr="000977F7">
        <w:rPr>
          <w:rFonts w:asciiTheme="majorHAnsi" w:hAnsiTheme="majorHAnsi"/>
          <w:spacing w:val="-6"/>
          <w:sz w:val="20"/>
          <w:szCs w:val="20"/>
        </w:rPr>
        <w:t xml:space="preserve"> </w:t>
      </w:r>
      <w:r w:rsidRPr="000977F7">
        <w:rPr>
          <w:rFonts w:asciiTheme="majorHAnsi" w:hAnsiTheme="majorHAnsi"/>
          <w:sz w:val="20"/>
          <w:szCs w:val="20"/>
        </w:rPr>
        <w:t>який</w:t>
      </w:r>
      <w:r w:rsidRPr="000977F7">
        <w:rPr>
          <w:rFonts w:asciiTheme="majorHAnsi" w:hAnsiTheme="majorHAnsi"/>
          <w:spacing w:val="-6"/>
          <w:sz w:val="20"/>
          <w:szCs w:val="20"/>
        </w:rPr>
        <w:t xml:space="preserve"> </w:t>
      </w:r>
      <w:r w:rsidRPr="000977F7">
        <w:rPr>
          <w:rFonts w:asciiTheme="majorHAnsi" w:hAnsiTheme="majorHAnsi"/>
          <w:sz w:val="20"/>
          <w:szCs w:val="20"/>
        </w:rPr>
        <w:t>посвідчує,</w:t>
      </w:r>
      <w:r w:rsidRPr="000977F7">
        <w:rPr>
          <w:rFonts w:asciiTheme="majorHAnsi" w:hAnsiTheme="majorHAnsi"/>
          <w:spacing w:val="-6"/>
          <w:sz w:val="20"/>
          <w:szCs w:val="20"/>
        </w:rPr>
        <w:t xml:space="preserve"> </w:t>
      </w:r>
      <w:r w:rsidRPr="000977F7">
        <w:rPr>
          <w:rFonts w:asciiTheme="majorHAnsi" w:hAnsiTheme="majorHAnsi"/>
          <w:sz w:val="20"/>
          <w:szCs w:val="20"/>
        </w:rPr>
        <w:t>що</w:t>
      </w:r>
      <w:r w:rsidRPr="000977F7">
        <w:rPr>
          <w:rFonts w:asciiTheme="majorHAnsi" w:hAnsiTheme="majorHAnsi"/>
          <w:spacing w:val="-5"/>
          <w:sz w:val="20"/>
          <w:szCs w:val="20"/>
        </w:rPr>
        <w:t xml:space="preserve"> </w:t>
      </w:r>
      <w:r w:rsidRPr="000977F7">
        <w:rPr>
          <w:rFonts w:asciiTheme="majorHAnsi" w:hAnsiTheme="majorHAnsi"/>
          <w:sz w:val="20"/>
          <w:szCs w:val="20"/>
        </w:rPr>
        <w:t>даний</w:t>
      </w:r>
      <w:r w:rsidRPr="000977F7">
        <w:rPr>
          <w:rFonts w:asciiTheme="majorHAnsi" w:hAnsiTheme="majorHAnsi"/>
          <w:spacing w:val="-8"/>
          <w:sz w:val="20"/>
          <w:szCs w:val="20"/>
        </w:rPr>
        <w:t xml:space="preserve"> </w:t>
      </w:r>
      <w:r w:rsidRPr="000977F7">
        <w:rPr>
          <w:rFonts w:asciiTheme="majorHAnsi" w:hAnsiTheme="majorHAnsi"/>
          <w:sz w:val="20"/>
          <w:szCs w:val="20"/>
        </w:rPr>
        <w:t>орган</w:t>
      </w:r>
      <w:r w:rsidRPr="000977F7">
        <w:rPr>
          <w:rFonts w:asciiTheme="majorHAnsi" w:hAnsiTheme="majorHAnsi"/>
          <w:spacing w:val="-7"/>
          <w:sz w:val="20"/>
          <w:szCs w:val="20"/>
        </w:rPr>
        <w:t xml:space="preserve"> </w:t>
      </w:r>
      <w:r w:rsidRPr="000977F7">
        <w:rPr>
          <w:rFonts w:asciiTheme="majorHAnsi" w:hAnsiTheme="majorHAnsi"/>
          <w:sz w:val="20"/>
          <w:szCs w:val="20"/>
        </w:rPr>
        <w:t>з</w:t>
      </w:r>
      <w:r w:rsidRPr="000977F7">
        <w:rPr>
          <w:rFonts w:asciiTheme="majorHAnsi" w:hAnsiTheme="majorHAnsi"/>
          <w:spacing w:val="-7"/>
          <w:sz w:val="20"/>
          <w:szCs w:val="20"/>
        </w:rPr>
        <w:t xml:space="preserve"> </w:t>
      </w:r>
      <w:r w:rsidRPr="000977F7">
        <w:rPr>
          <w:rFonts w:asciiTheme="majorHAnsi" w:hAnsiTheme="majorHAnsi"/>
          <w:sz w:val="20"/>
          <w:szCs w:val="20"/>
        </w:rPr>
        <w:t>сертифікації</w:t>
      </w:r>
      <w:r w:rsidRPr="000977F7">
        <w:rPr>
          <w:rFonts w:asciiTheme="majorHAnsi" w:hAnsiTheme="majorHAnsi"/>
          <w:spacing w:val="-6"/>
          <w:sz w:val="20"/>
          <w:szCs w:val="20"/>
        </w:rPr>
        <w:t xml:space="preserve"> </w:t>
      </w:r>
      <w:r w:rsidRPr="000977F7">
        <w:rPr>
          <w:rFonts w:asciiTheme="majorHAnsi" w:hAnsiTheme="majorHAnsi"/>
          <w:sz w:val="20"/>
          <w:szCs w:val="20"/>
        </w:rPr>
        <w:t>чи</w:t>
      </w:r>
      <w:r w:rsidRPr="000977F7">
        <w:rPr>
          <w:rFonts w:asciiTheme="majorHAnsi" w:hAnsiTheme="majorHAnsi"/>
          <w:spacing w:val="-47"/>
          <w:sz w:val="20"/>
          <w:szCs w:val="20"/>
        </w:rPr>
        <w:t xml:space="preserve"> </w:t>
      </w:r>
      <w:r w:rsidRPr="000977F7">
        <w:rPr>
          <w:rFonts w:asciiTheme="majorHAnsi" w:hAnsiTheme="majorHAnsi"/>
          <w:spacing w:val="-3"/>
          <w:sz w:val="20"/>
          <w:szCs w:val="20"/>
        </w:rPr>
        <w:t>випробувальна</w:t>
      </w:r>
      <w:r w:rsidRPr="000977F7">
        <w:rPr>
          <w:rFonts w:asciiTheme="majorHAnsi" w:hAnsiTheme="majorHAnsi"/>
          <w:spacing w:val="-9"/>
          <w:sz w:val="20"/>
          <w:szCs w:val="20"/>
        </w:rPr>
        <w:t xml:space="preserve"> </w:t>
      </w:r>
      <w:r w:rsidRPr="000977F7">
        <w:rPr>
          <w:rFonts w:asciiTheme="majorHAnsi" w:hAnsiTheme="majorHAnsi"/>
          <w:spacing w:val="-2"/>
          <w:sz w:val="20"/>
          <w:szCs w:val="20"/>
        </w:rPr>
        <w:t>лабораторія</w:t>
      </w:r>
      <w:r w:rsidRPr="000977F7">
        <w:rPr>
          <w:rFonts w:asciiTheme="majorHAnsi" w:hAnsiTheme="majorHAnsi"/>
          <w:spacing w:val="-8"/>
          <w:sz w:val="20"/>
          <w:szCs w:val="20"/>
        </w:rPr>
        <w:t xml:space="preserve"> </w:t>
      </w:r>
      <w:r w:rsidRPr="000977F7">
        <w:rPr>
          <w:rFonts w:asciiTheme="majorHAnsi" w:hAnsiTheme="majorHAnsi"/>
          <w:spacing w:val="-2"/>
          <w:sz w:val="20"/>
          <w:szCs w:val="20"/>
        </w:rPr>
        <w:t>є</w:t>
      </w:r>
      <w:r w:rsidRPr="000977F7">
        <w:rPr>
          <w:rFonts w:asciiTheme="majorHAnsi" w:hAnsiTheme="majorHAnsi"/>
          <w:spacing w:val="-8"/>
          <w:sz w:val="20"/>
          <w:szCs w:val="20"/>
        </w:rPr>
        <w:t xml:space="preserve"> </w:t>
      </w:r>
      <w:r w:rsidRPr="000977F7">
        <w:rPr>
          <w:rFonts w:asciiTheme="majorHAnsi" w:hAnsiTheme="majorHAnsi"/>
          <w:spacing w:val="-2"/>
          <w:sz w:val="20"/>
          <w:szCs w:val="20"/>
        </w:rPr>
        <w:t>правочинними</w:t>
      </w:r>
      <w:r w:rsidRPr="000977F7">
        <w:rPr>
          <w:rFonts w:asciiTheme="majorHAnsi" w:hAnsiTheme="majorHAnsi"/>
          <w:spacing w:val="-10"/>
          <w:sz w:val="20"/>
          <w:szCs w:val="20"/>
        </w:rPr>
        <w:t xml:space="preserve"> </w:t>
      </w:r>
      <w:r w:rsidRPr="000977F7">
        <w:rPr>
          <w:rFonts w:asciiTheme="majorHAnsi" w:hAnsiTheme="majorHAnsi"/>
          <w:spacing w:val="-2"/>
          <w:sz w:val="20"/>
          <w:szCs w:val="20"/>
        </w:rPr>
        <w:t>виконувати</w:t>
      </w:r>
      <w:r w:rsidRPr="000977F7">
        <w:rPr>
          <w:rFonts w:asciiTheme="majorHAnsi" w:hAnsiTheme="majorHAnsi"/>
          <w:spacing w:val="-47"/>
          <w:sz w:val="20"/>
          <w:szCs w:val="20"/>
        </w:rPr>
        <w:t xml:space="preserve"> </w:t>
      </w:r>
      <w:r w:rsidRPr="000977F7">
        <w:rPr>
          <w:rFonts w:asciiTheme="majorHAnsi" w:hAnsiTheme="majorHAnsi"/>
          <w:w w:val="95"/>
          <w:sz w:val="20"/>
          <w:szCs w:val="20"/>
        </w:rPr>
        <w:t>конкретні роботи в установленій сфері діяльності</w:t>
      </w:r>
      <w:r w:rsidRPr="000977F7">
        <w:rPr>
          <w:rFonts w:asciiTheme="majorHAnsi" w:hAnsiTheme="majorHAnsi"/>
          <w:spacing w:val="1"/>
          <w:w w:val="95"/>
          <w:sz w:val="20"/>
          <w:szCs w:val="20"/>
        </w:rPr>
        <w:t xml:space="preserve"> </w:t>
      </w:r>
    </w:p>
    <w:p w14:paraId="26D8BDAD"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АТЕСТАТ</w:t>
      </w:r>
      <w:r w:rsidRPr="000977F7">
        <w:rPr>
          <w:rFonts w:asciiTheme="majorHAnsi" w:hAnsiTheme="majorHAnsi"/>
          <w:b/>
          <w:spacing w:val="-2"/>
          <w:sz w:val="20"/>
          <w:szCs w:val="20"/>
        </w:rPr>
        <w:t xml:space="preserve"> </w:t>
      </w:r>
      <w:r w:rsidRPr="000977F7">
        <w:rPr>
          <w:rFonts w:asciiTheme="majorHAnsi" w:hAnsiTheme="majorHAnsi"/>
          <w:b/>
          <w:sz w:val="20"/>
          <w:szCs w:val="20"/>
        </w:rPr>
        <w:t>ВИРОБНИЦТВА</w:t>
      </w:r>
      <w:r w:rsidRPr="000977F7">
        <w:rPr>
          <w:rFonts w:asciiTheme="majorHAnsi" w:hAnsiTheme="majorHAnsi"/>
          <w:b/>
          <w:spacing w:val="3"/>
          <w:sz w:val="20"/>
          <w:szCs w:val="20"/>
        </w:rPr>
        <w:t xml:space="preserve"> </w:t>
      </w:r>
      <w:r w:rsidRPr="000977F7">
        <w:rPr>
          <w:rFonts w:asciiTheme="majorHAnsi" w:hAnsiTheme="majorHAnsi"/>
          <w:b/>
          <w:sz w:val="20"/>
          <w:szCs w:val="20"/>
        </w:rPr>
        <w:t>–</w:t>
      </w:r>
    </w:p>
    <w:p w14:paraId="63F14AF8"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pacing w:val="-4"/>
          <w:sz w:val="20"/>
          <w:szCs w:val="20"/>
        </w:rPr>
        <w:t xml:space="preserve">Документ, </w:t>
      </w:r>
      <w:r w:rsidRPr="000977F7">
        <w:rPr>
          <w:rFonts w:asciiTheme="majorHAnsi" w:hAnsiTheme="majorHAnsi"/>
          <w:spacing w:val="-3"/>
          <w:sz w:val="20"/>
          <w:szCs w:val="20"/>
        </w:rPr>
        <w:t>виданий згідно з правилами системи сертифі</w:t>
      </w:r>
      <w:r w:rsidRPr="000977F7">
        <w:rPr>
          <w:rFonts w:asciiTheme="majorHAnsi" w:hAnsiTheme="majorHAnsi"/>
          <w:spacing w:val="-4"/>
          <w:sz w:val="20"/>
          <w:szCs w:val="20"/>
        </w:rPr>
        <w:t xml:space="preserve">кації, який посвідчує, що виробництво </w:t>
      </w:r>
      <w:r w:rsidRPr="000977F7">
        <w:rPr>
          <w:rFonts w:asciiTheme="majorHAnsi" w:hAnsiTheme="majorHAnsi"/>
          <w:spacing w:val="-3"/>
          <w:sz w:val="20"/>
          <w:szCs w:val="20"/>
        </w:rPr>
        <w:t>забезпечує протя</w:t>
      </w:r>
      <w:r w:rsidRPr="000977F7">
        <w:rPr>
          <w:rFonts w:asciiTheme="majorHAnsi" w:hAnsiTheme="majorHAnsi"/>
          <w:sz w:val="20"/>
          <w:szCs w:val="20"/>
        </w:rPr>
        <w:t>гом</w:t>
      </w:r>
      <w:r w:rsidRPr="000977F7">
        <w:rPr>
          <w:rFonts w:asciiTheme="majorHAnsi" w:hAnsiTheme="majorHAnsi"/>
          <w:spacing w:val="21"/>
          <w:sz w:val="20"/>
          <w:szCs w:val="20"/>
        </w:rPr>
        <w:t xml:space="preserve"> </w:t>
      </w:r>
      <w:r w:rsidRPr="000977F7">
        <w:rPr>
          <w:rFonts w:asciiTheme="majorHAnsi" w:hAnsiTheme="majorHAnsi"/>
          <w:sz w:val="20"/>
          <w:szCs w:val="20"/>
        </w:rPr>
        <w:t>установленого</w:t>
      </w:r>
      <w:r w:rsidRPr="000977F7">
        <w:rPr>
          <w:rFonts w:asciiTheme="majorHAnsi" w:hAnsiTheme="majorHAnsi"/>
          <w:spacing w:val="21"/>
          <w:sz w:val="20"/>
          <w:szCs w:val="20"/>
        </w:rPr>
        <w:t xml:space="preserve"> </w:t>
      </w:r>
      <w:r w:rsidRPr="000977F7">
        <w:rPr>
          <w:rFonts w:asciiTheme="majorHAnsi" w:hAnsiTheme="majorHAnsi"/>
          <w:sz w:val="20"/>
          <w:szCs w:val="20"/>
        </w:rPr>
        <w:t>проміжку</w:t>
      </w:r>
      <w:r w:rsidRPr="000977F7">
        <w:rPr>
          <w:rFonts w:asciiTheme="majorHAnsi" w:hAnsiTheme="majorHAnsi"/>
          <w:spacing w:val="20"/>
          <w:sz w:val="20"/>
          <w:szCs w:val="20"/>
        </w:rPr>
        <w:t xml:space="preserve"> </w:t>
      </w:r>
      <w:r w:rsidRPr="000977F7">
        <w:rPr>
          <w:rFonts w:asciiTheme="majorHAnsi" w:hAnsiTheme="majorHAnsi"/>
          <w:sz w:val="20"/>
          <w:szCs w:val="20"/>
        </w:rPr>
        <w:t>часу</w:t>
      </w:r>
      <w:r w:rsidRPr="000977F7">
        <w:rPr>
          <w:rFonts w:asciiTheme="majorHAnsi" w:hAnsiTheme="majorHAnsi"/>
          <w:spacing w:val="20"/>
          <w:sz w:val="20"/>
          <w:szCs w:val="20"/>
        </w:rPr>
        <w:t xml:space="preserve"> </w:t>
      </w:r>
      <w:r w:rsidRPr="000977F7">
        <w:rPr>
          <w:rFonts w:asciiTheme="majorHAnsi" w:hAnsiTheme="majorHAnsi"/>
          <w:sz w:val="20"/>
          <w:szCs w:val="20"/>
        </w:rPr>
        <w:t>стабільність</w:t>
      </w:r>
      <w:r w:rsidRPr="000977F7">
        <w:rPr>
          <w:rFonts w:asciiTheme="majorHAnsi" w:hAnsiTheme="majorHAnsi"/>
          <w:spacing w:val="20"/>
          <w:sz w:val="20"/>
          <w:szCs w:val="20"/>
        </w:rPr>
        <w:t xml:space="preserve"> </w:t>
      </w:r>
      <w:r w:rsidRPr="000977F7">
        <w:rPr>
          <w:rFonts w:asciiTheme="majorHAnsi" w:hAnsiTheme="majorHAnsi"/>
          <w:sz w:val="20"/>
          <w:szCs w:val="20"/>
        </w:rPr>
        <w:t>якості</w:t>
      </w:r>
      <w:r w:rsidRPr="000977F7">
        <w:rPr>
          <w:rFonts w:asciiTheme="majorHAnsi" w:hAnsiTheme="majorHAnsi"/>
          <w:spacing w:val="-47"/>
          <w:sz w:val="20"/>
          <w:szCs w:val="20"/>
        </w:rPr>
        <w:t xml:space="preserve"> </w:t>
      </w:r>
      <w:r w:rsidRPr="000977F7">
        <w:rPr>
          <w:rFonts w:asciiTheme="majorHAnsi" w:hAnsiTheme="majorHAnsi"/>
          <w:spacing w:val="-1"/>
          <w:sz w:val="20"/>
          <w:szCs w:val="20"/>
        </w:rPr>
        <w:t>виготовлення</w:t>
      </w:r>
      <w:r w:rsidRPr="000977F7">
        <w:rPr>
          <w:rFonts w:asciiTheme="majorHAnsi" w:hAnsiTheme="majorHAnsi"/>
          <w:spacing w:val="-10"/>
          <w:sz w:val="20"/>
          <w:szCs w:val="20"/>
        </w:rPr>
        <w:t xml:space="preserve"> </w:t>
      </w:r>
      <w:r w:rsidRPr="000977F7">
        <w:rPr>
          <w:rFonts w:asciiTheme="majorHAnsi" w:hAnsiTheme="majorHAnsi"/>
          <w:spacing w:val="-1"/>
          <w:sz w:val="20"/>
          <w:szCs w:val="20"/>
        </w:rPr>
        <w:t>певних</w:t>
      </w:r>
      <w:r w:rsidRPr="000977F7">
        <w:rPr>
          <w:rFonts w:asciiTheme="majorHAnsi" w:hAnsiTheme="majorHAnsi"/>
          <w:spacing w:val="-11"/>
          <w:sz w:val="20"/>
          <w:szCs w:val="20"/>
        </w:rPr>
        <w:t xml:space="preserve"> </w:t>
      </w:r>
      <w:r w:rsidRPr="000977F7">
        <w:rPr>
          <w:rFonts w:asciiTheme="majorHAnsi" w:hAnsiTheme="majorHAnsi"/>
          <w:spacing w:val="-1"/>
          <w:sz w:val="20"/>
          <w:szCs w:val="20"/>
        </w:rPr>
        <w:t>видів</w:t>
      </w:r>
      <w:r w:rsidRPr="000977F7">
        <w:rPr>
          <w:rFonts w:asciiTheme="majorHAnsi" w:hAnsiTheme="majorHAnsi"/>
          <w:spacing w:val="-9"/>
          <w:sz w:val="20"/>
          <w:szCs w:val="20"/>
        </w:rPr>
        <w:t xml:space="preserve"> </w:t>
      </w:r>
      <w:r w:rsidRPr="000977F7">
        <w:rPr>
          <w:rFonts w:asciiTheme="majorHAnsi" w:hAnsiTheme="majorHAnsi"/>
          <w:spacing w:val="-1"/>
          <w:sz w:val="20"/>
          <w:szCs w:val="20"/>
        </w:rPr>
        <w:t>продукції</w:t>
      </w:r>
      <w:r w:rsidRPr="000977F7">
        <w:rPr>
          <w:rFonts w:asciiTheme="majorHAnsi" w:hAnsiTheme="majorHAnsi"/>
          <w:spacing w:val="-9"/>
          <w:sz w:val="20"/>
          <w:szCs w:val="20"/>
        </w:rPr>
        <w:t xml:space="preserve"> </w:t>
      </w:r>
      <w:r w:rsidRPr="000977F7">
        <w:rPr>
          <w:rFonts w:asciiTheme="majorHAnsi" w:hAnsiTheme="majorHAnsi"/>
          <w:sz w:val="20"/>
          <w:szCs w:val="20"/>
        </w:rPr>
        <w:t>або</w:t>
      </w:r>
      <w:r w:rsidRPr="000977F7">
        <w:rPr>
          <w:rFonts w:asciiTheme="majorHAnsi" w:hAnsiTheme="majorHAnsi"/>
          <w:spacing w:val="-9"/>
          <w:sz w:val="20"/>
          <w:szCs w:val="20"/>
        </w:rPr>
        <w:t xml:space="preserve"> </w:t>
      </w:r>
      <w:r w:rsidRPr="000977F7">
        <w:rPr>
          <w:rFonts w:asciiTheme="majorHAnsi" w:hAnsiTheme="majorHAnsi"/>
          <w:sz w:val="20"/>
          <w:szCs w:val="20"/>
        </w:rPr>
        <w:t>окремих</w:t>
      </w:r>
      <w:r w:rsidRPr="000977F7">
        <w:rPr>
          <w:rFonts w:asciiTheme="majorHAnsi" w:hAnsiTheme="majorHAnsi"/>
          <w:spacing w:val="-10"/>
          <w:sz w:val="20"/>
          <w:szCs w:val="20"/>
        </w:rPr>
        <w:t xml:space="preserve"> </w:t>
      </w:r>
      <w:r w:rsidRPr="000977F7">
        <w:rPr>
          <w:rFonts w:asciiTheme="majorHAnsi" w:hAnsiTheme="majorHAnsi"/>
          <w:sz w:val="20"/>
          <w:szCs w:val="20"/>
        </w:rPr>
        <w:t>її</w:t>
      </w:r>
      <w:r w:rsidRPr="000977F7">
        <w:rPr>
          <w:rFonts w:asciiTheme="majorHAnsi" w:hAnsiTheme="majorHAnsi"/>
          <w:spacing w:val="-9"/>
          <w:sz w:val="20"/>
          <w:szCs w:val="20"/>
        </w:rPr>
        <w:t xml:space="preserve"> </w:t>
      </w:r>
      <w:r w:rsidRPr="000977F7">
        <w:rPr>
          <w:rFonts w:asciiTheme="majorHAnsi" w:hAnsiTheme="majorHAnsi"/>
          <w:sz w:val="20"/>
          <w:szCs w:val="20"/>
        </w:rPr>
        <w:t>ха</w:t>
      </w:r>
      <w:r w:rsidRPr="000977F7">
        <w:rPr>
          <w:rFonts w:asciiTheme="majorHAnsi" w:hAnsiTheme="majorHAnsi"/>
          <w:spacing w:val="-4"/>
          <w:sz w:val="20"/>
          <w:szCs w:val="20"/>
        </w:rPr>
        <w:t>рактеристик, підтверджуваних під час сертифікації</w:t>
      </w:r>
      <w:r w:rsidRPr="000977F7">
        <w:rPr>
          <w:rFonts w:asciiTheme="majorHAnsi" w:hAnsiTheme="majorHAnsi"/>
          <w:spacing w:val="-3"/>
          <w:sz w:val="20"/>
          <w:szCs w:val="20"/>
        </w:rPr>
        <w:t xml:space="preserve"> </w:t>
      </w:r>
      <w:r w:rsidRPr="000977F7">
        <w:rPr>
          <w:rFonts w:asciiTheme="majorHAnsi" w:hAnsiTheme="majorHAnsi"/>
          <w:b/>
          <w:sz w:val="20"/>
          <w:szCs w:val="20"/>
        </w:rPr>
        <w:t xml:space="preserve">АТЕСТАТ ПРО АКРЕДИТАЦІЮ </w:t>
      </w:r>
    </w:p>
    <w:p w14:paraId="3AD603FB"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0977F7">
        <w:rPr>
          <w:rFonts w:asciiTheme="majorHAnsi" w:hAnsiTheme="majorHAnsi"/>
          <w:b/>
          <w:sz w:val="20"/>
          <w:szCs w:val="20"/>
        </w:rPr>
        <w:t>ВИПРОБУВАЛЬНОЇ</w:t>
      </w:r>
      <w:r w:rsidRPr="004D2D14">
        <w:rPr>
          <w:rFonts w:asciiTheme="majorHAnsi" w:hAnsiTheme="majorHAnsi"/>
          <w:b/>
          <w:spacing w:val="-2"/>
          <w:sz w:val="20"/>
          <w:szCs w:val="20"/>
          <w:lang w:val="en-US"/>
        </w:rPr>
        <w:t xml:space="preserve"> </w:t>
      </w:r>
      <w:r w:rsidRPr="000977F7">
        <w:rPr>
          <w:rFonts w:asciiTheme="majorHAnsi" w:hAnsiTheme="majorHAnsi"/>
          <w:b/>
          <w:sz w:val="20"/>
          <w:szCs w:val="20"/>
        </w:rPr>
        <w:t>ЛАБОРАТОРІЇ</w:t>
      </w:r>
      <w:r w:rsidRPr="004D2D14">
        <w:rPr>
          <w:rFonts w:asciiTheme="majorHAnsi" w:hAnsiTheme="majorHAnsi"/>
          <w:b/>
          <w:spacing w:val="-2"/>
          <w:sz w:val="20"/>
          <w:szCs w:val="20"/>
          <w:lang w:val="en-US"/>
        </w:rPr>
        <w:t xml:space="preserve"> </w:t>
      </w:r>
      <w:r w:rsidRPr="004D2D14">
        <w:rPr>
          <w:rFonts w:asciiTheme="majorHAnsi" w:hAnsiTheme="majorHAnsi"/>
          <w:b/>
          <w:sz w:val="20"/>
          <w:szCs w:val="20"/>
          <w:lang w:val="en-US"/>
        </w:rPr>
        <w:t>(</w:t>
      </w:r>
      <w:r w:rsidRPr="000977F7">
        <w:rPr>
          <w:rFonts w:asciiTheme="majorHAnsi" w:hAnsiTheme="majorHAnsi"/>
          <w:b/>
          <w:sz w:val="20"/>
          <w:szCs w:val="20"/>
        </w:rPr>
        <w:t>ЦЕНТРУ</w:t>
      </w:r>
      <w:r w:rsidRPr="004D2D14">
        <w:rPr>
          <w:rFonts w:asciiTheme="majorHAnsi" w:hAnsiTheme="majorHAnsi"/>
          <w:b/>
          <w:sz w:val="20"/>
          <w:szCs w:val="20"/>
          <w:lang w:val="en-US"/>
        </w:rPr>
        <w:t>)</w:t>
      </w:r>
      <w:r w:rsidRPr="004D2D14">
        <w:rPr>
          <w:rFonts w:asciiTheme="majorHAnsi" w:hAnsiTheme="majorHAnsi"/>
          <w:b/>
          <w:spacing w:val="4"/>
          <w:sz w:val="20"/>
          <w:szCs w:val="20"/>
          <w:lang w:val="en-US"/>
        </w:rPr>
        <w:t xml:space="preserve"> </w:t>
      </w:r>
      <w:r w:rsidRPr="004D2D14">
        <w:rPr>
          <w:rFonts w:asciiTheme="majorHAnsi" w:hAnsiTheme="majorHAnsi"/>
          <w:b/>
          <w:sz w:val="20"/>
          <w:szCs w:val="20"/>
          <w:lang w:val="en-US"/>
        </w:rPr>
        <w:t>–</w:t>
      </w:r>
    </w:p>
    <w:p w14:paraId="3F637FA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CERTIFICATE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TESTING</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LABORATORY</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(CENTER)</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672466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виданий уповноваженим державним органом згідно з установленими правилами про акредитацію</w:t>
      </w:r>
      <w:r w:rsidRPr="000977F7">
        <w:rPr>
          <w:rFonts w:asciiTheme="majorHAnsi" w:hAnsiTheme="majorHAnsi"/>
          <w:spacing w:val="-2"/>
          <w:sz w:val="20"/>
          <w:szCs w:val="20"/>
        </w:rPr>
        <w:t xml:space="preserve"> </w:t>
      </w:r>
      <w:r w:rsidRPr="000977F7">
        <w:rPr>
          <w:rFonts w:asciiTheme="majorHAnsi" w:hAnsiTheme="majorHAnsi"/>
          <w:sz w:val="20"/>
          <w:szCs w:val="20"/>
        </w:rPr>
        <w:t>випробувальної</w:t>
      </w:r>
      <w:r w:rsidRPr="000977F7">
        <w:rPr>
          <w:rFonts w:asciiTheme="majorHAnsi" w:hAnsiTheme="majorHAnsi"/>
          <w:spacing w:val="1"/>
          <w:sz w:val="20"/>
          <w:szCs w:val="20"/>
        </w:rPr>
        <w:t xml:space="preserve"> </w:t>
      </w:r>
      <w:r w:rsidRPr="000977F7">
        <w:rPr>
          <w:rFonts w:asciiTheme="majorHAnsi" w:hAnsiTheme="majorHAnsi"/>
          <w:sz w:val="20"/>
          <w:szCs w:val="20"/>
        </w:rPr>
        <w:t>лабораторії</w:t>
      </w:r>
      <w:r w:rsidRPr="000977F7">
        <w:rPr>
          <w:rFonts w:asciiTheme="majorHAnsi" w:hAnsiTheme="majorHAnsi"/>
          <w:spacing w:val="-1"/>
          <w:sz w:val="20"/>
          <w:szCs w:val="20"/>
        </w:rPr>
        <w:t xml:space="preserve"> </w:t>
      </w:r>
      <w:r w:rsidRPr="000977F7">
        <w:rPr>
          <w:rFonts w:asciiTheme="majorHAnsi" w:hAnsiTheme="majorHAnsi"/>
          <w:sz w:val="20"/>
          <w:szCs w:val="20"/>
        </w:rPr>
        <w:t>(центру)</w:t>
      </w:r>
    </w:p>
    <w:p w14:paraId="7A841293"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lastRenderedPageBreak/>
        <w:t>ДСТУ 3021 - 95</w:t>
      </w:r>
      <w:r w:rsidRPr="000977F7">
        <w:rPr>
          <w:rFonts w:asciiTheme="majorHAnsi" w:hAnsiTheme="majorHAnsi"/>
          <w:i/>
          <w:spacing w:val="1"/>
          <w:sz w:val="20"/>
          <w:szCs w:val="20"/>
        </w:rPr>
        <w:t xml:space="preserve"> </w:t>
      </w:r>
    </w:p>
    <w:p w14:paraId="37C98AC9"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АТЕСТАЦІЙНА КОМІСІЯ –</w:t>
      </w:r>
    </w:p>
    <w:p w14:paraId="49DE24C0" w14:textId="77777777" w:rsidR="0097612F" w:rsidRPr="000977F7" w:rsidRDefault="0097612F" w:rsidP="000977F7">
      <w:pPr>
        <w:pStyle w:val="af6"/>
        <w:tabs>
          <w:tab w:val="left" w:pos="284"/>
        </w:tabs>
        <w:spacing w:after="0"/>
        <w:ind w:left="170"/>
        <w:mirrorIndents/>
        <w:jc w:val="both"/>
        <w:rPr>
          <w:rFonts w:asciiTheme="majorHAnsi" w:hAnsiTheme="majorHAnsi"/>
          <w:bCs/>
          <w:sz w:val="20"/>
          <w:szCs w:val="20"/>
        </w:rPr>
      </w:pPr>
      <w:r w:rsidRPr="000977F7">
        <w:rPr>
          <w:rFonts w:asciiTheme="majorHAnsi" w:hAnsiTheme="majorHAnsi"/>
          <w:bCs/>
          <w:sz w:val="20"/>
          <w:szCs w:val="20"/>
        </w:rPr>
        <w:t>Колегіальний орган НОІВ, основною метою діяльності якого є проведення атестації осіб, які висловили намір набути право на зайняття діяльністю представника у справах інтелектуальної власності (патентного повіреного)</w:t>
      </w:r>
    </w:p>
    <w:p w14:paraId="6A34AA85" w14:textId="77777777" w:rsidR="0097612F" w:rsidRPr="000977F7" w:rsidRDefault="0097612F" w:rsidP="000977F7">
      <w:pPr>
        <w:pStyle w:val="af6"/>
        <w:tabs>
          <w:tab w:val="left" w:pos="284"/>
        </w:tabs>
        <w:spacing w:after="0"/>
        <w:ind w:left="170"/>
        <w:mirrorIndents/>
        <w:jc w:val="both"/>
        <w:rPr>
          <w:rFonts w:asciiTheme="majorHAnsi" w:hAnsiTheme="majorHAnsi"/>
          <w:bCs/>
          <w:i/>
          <w:iCs/>
          <w:sz w:val="20"/>
          <w:szCs w:val="20"/>
        </w:rPr>
      </w:pPr>
      <w:r w:rsidRPr="000977F7">
        <w:rPr>
          <w:rFonts w:asciiTheme="majorHAnsi" w:hAnsiTheme="majorHAnsi"/>
          <w:bCs/>
          <w:i/>
          <w:iCs/>
          <w:sz w:val="20"/>
          <w:szCs w:val="20"/>
        </w:rPr>
        <w:t>Ст. 1 закону України "Про охорону прав на промислові зразки"</w:t>
      </w:r>
    </w:p>
    <w:p w14:paraId="017EA92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АТЕСТАЦІЙНИЙ ОРГАН –</w:t>
      </w:r>
      <w:r w:rsidRPr="000977F7">
        <w:rPr>
          <w:rFonts w:asciiTheme="majorHAnsi" w:hAnsiTheme="majorHAnsi"/>
          <w:b/>
          <w:spacing w:val="-48"/>
          <w:sz w:val="20"/>
          <w:szCs w:val="20"/>
        </w:rPr>
        <w:t xml:space="preserve"> </w:t>
      </w:r>
      <w:r w:rsidRPr="000977F7">
        <w:rPr>
          <w:rFonts w:asciiTheme="majorHAnsi" w:hAnsiTheme="majorHAnsi"/>
          <w:sz w:val="20"/>
          <w:szCs w:val="20"/>
        </w:rPr>
        <w:t>CERTIFICATING</w:t>
      </w:r>
      <w:r w:rsidRPr="000977F7">
        <w:rPr>
          <w:rFonts w:asciiTheme="majorHAnsi" w:hAnsiTheme="majorHAnsi"/>
          <w:spacing w:val="-1"/>
          <w:sz w:val="20"/>
          <w:szCs w:val="20"/>
        </w:rPr>
        <w:t xml:space="preserve"> </w:t>
      </w:r>
      <w:r w:rsidRPr="000977F7">
        <w:rPr>
          <w:rFonts w:asciiTheme="majorHAnsi" w:hAnsiTheme="majorHAnsi"/>
          <w:sz w:val="20"/>
          <w:szCs w:val="20"/>
        </w:rPr>
        <w:t>BODY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32CFCA9" w14:textId="77777777" w:rsidR="0097612F" w:rsidRPr="000977F7" w:rsidRDefault="0097612F" w:rsidP="000977F7">
      <w:pPr>
        <w:pStyle w:val="af6"/>
        <w:tabs>
          <w:tab w:val="left" w:pos="284"/>
        </w:tabs>
        <w:spacing w:after="0"/>
        <w:ind w:left="170"/>
        <w:mirrorIndents/>
        <w:jc w:val="both"/>
        <w:rPr>
          <w:rFonts w:asciiTheme="majorHAnsi" w:hAnsiTheme="majorHAnsi"/>
          <w:spacing w:val="-8"/>
          <w:sz w:val="20"/>
          <w:szCs w:val="20"/>
        </w:rPr>
      </w:pPr>
      <w:r w:rsidRPr="000977F7">
        <w:rPr>
          <w:rFonts w:asciiTheme="majorHAnsi" w:hAnsiTheme="majorHAnsi"/>
          <w:spacing w:val="-5"/>
          <w:w w:val="95"/>
          <w:sz w:val="20"/>
          <w:szCs w:val="20"/>
        </w:rPr>
        <w:t>Орган,</w:t>
      </w:r>
      <w:r w:rsidRPr="000977F7">
        <w:rPr>
          <w:rFonts w:asciiTheme="majorHAnsi" w:hAnsiTheme="majorHAnsi"/>
          <w:spacing w:val="-8"/>
          <w:w w:val="95"/>
          <w:sz w:val="20"/>
          <w:szCs w:val="20"/>
        </w:rPr>
        <w:t xml:space="preserve"> </w:t>
      </w:r>
      <w:r w:rsidRPr="000977F7">
        <w:rPr>
          <w:rFonts w:asciiTheme="majorHAnsi" w:hAnsiTheme="majorHAnsi"/>
          <w:spacing w:val="-5"/>
          <w:w w:val="95"/>
          <w:sz w:val="20"/>
          <w:szCs w:val="20"/>
        </w:rPr>
        <w:t>який</w:t>
      </w:r>
      <w:r w:rsidRPr="000977F7">
        <w:rPr>
          <w:rFonts w:asciiTheme="majorHAnsi" w:hAnsiTheme="majorHAnsi"/>
          <w:spacing w:val="-10"/>
          <w:w w:val="95"/>
          <w:sz w:val="20"/>
          <w:szCs w:val="20"/>
        </w:rPr>
        <w:t xml:space="preserve"> </w:t>
      </w:r>
      <w:r w:rsidRPr="000977F7">
        <w:rPr>
          <w:rFonts w:asciiTheme="majorHAnsi" w:hAnsiTheme="majorHAnsi"/>
          <w:spacing w:val="-5"/>
          <w:w w:val="95"/>
          <w:sz w:val="20"/>
          <w:szCs w:val="20"/>
        </w:rPr>
        <w:t>здійснює</w:t>
      </w:r>
      <w:r w:rsidRPr="000977F7">
        <w:rPr>
          <w:rFonts w:asciiTheme="majorHAnsi" w:hAnsiTheme="majorHAnsi"/>
          <w:spacing w:val="-8"/>
          <w:w w:val="95"/>
          <w:sz w:val="20"/>
          <w:szCs w:val="20"/>
        </w:rPr>
        <w:t xml:space="preserve"> </w:t>
      </w:r>
      <w:r w:rsidRPr="000977F7">
        <w:rPr>
          <w:rFonts w:asciiTheme="majorHAnsi" w:hAnsiTheme="majorHAnsi"/>
          <w:spacing w:val="-4"/>
          <w:w w:val="95"/>
          <w:sz w:val="20"/>
          <w:szCs w:val="20"/>
        </w:rPr>
        <w:t>оцінку</w:t>
      </w:r>
      <w:r w:rsidRPr="000977F7">
        <w:rPr>
          <w:rFonts w:asciiTheme="majorHAnsi" w:hAnsiTheme="majorHAnsi"/>
          <w:spacing w:val="-10"/>
          <w:w w:val="95"/>
          <w:sz w:val="20"/>
          <w:szCs w:val="20"/>
        </w:rPr>
        <w:t xml:space="preserve"> </w:t>
      </w:r>
      <w:r w:rsidRPr="000977F7">
        <w:rPr>
          <w:rFonts w:asciiTheme="majorHAnsi" w:hAnsiTheme="majorHAnsi"/>
          <w:spacing w:val="-4"/>
          <w:w w:val="95"/>
          <w:sz w:val="20"/>
          <w:szCs w:val="20"/>
        </w:rPr>
        <w:t>та</w:t>
      </w:r>
      <w:r w:rsidRPr="000977F7">
        <w:rPr>
          <w:rFonts w:asciiTheme="majorHAnsi" w:hAnsiTheme="majorHAnsi"/>
          <w:spacing w:val="-9"/>
          <w:w w:val="95"/>
          <w:sz w:val="20"/>
          <w:szCs w:val="20"/>
        </w:rPr>
        <w:t xml:space="preserve"> </w:t>
      </w:r>
      <w:r w:rsidRPr="000977F7">
        <w:rPr>
          <w:rFonts w:asciiTheme="majorHAnsi" w:hAnsiTheme="majorHAnsi"/>
          <w:spacing w:val="-4"/>
          <w:w w:val="95"/>
          <w:sz w:val="20"/>
          <w:szCs w:val="20"/>
        </w:rPr>
        <w:t>реєструє</w:t>
      </w:r>
      <w:r w:rsidRPr="000977F7">
        <w:rPr>
          <w:rFonts w:asciiTheme="majorHAnsi" w:hAnsiTheme="majorHAnsi"/>
          <w:spacing w:val="-8"/>
          <w:w w:val="95"/>
          <w:sz w:val="20"/>
          <w:szCs w:val="20"/>
        </w:rPr>
        <w:t xml:space="preserve"> </w:t>
      </w:r>
      <w:r w:rsidRPr="000977F7">
        <w:rPr>
          <w:rFonts w:asciiTheme="majorHAnsi" w:hAnsiTheme="majorHAnsi"/>
          <w:spacing w:val="-4"/>
          <w:w w:val="95"/>
          <w:sz w:val="20"/>
          <w:szCs w:val="20"/>
        </w:rPr>
        <w:t>системи</w:t>
      </w:r>
      <w:r w:rsidRPr="000977F7">
        <w:rPr>
          <w:rFonts w:asciiTheme="majorHAnsi" w:hAnsiTheme="majorHAnsi"/>
          <w:spacing w:val="-10"/>
          <w:w w:val="95"/>
          <w:sz w:val="20"/>
          <w:szCs w:val="20"/>
        </w:rPr>
        <w:t xml:space="preserve"> </w:t>
      </w:r>
      <w:r w:rsidRPr="000977F7">
        <w:rPr>
          <w:rFonts w:asciiTheme="majorHAnsi" w:hAnsiTheme="majorHAnsi"/>
          <w:spacing w:val="-4"/>
          <w:w w:val="95"/>
          <w:sz w:val="20"/>
          <w:szCs w:val="20"/>
        </w:rPr>
        <w:t>якості</w:t>
      </w:r>
      <w:r w:rsidRPr="000977F7">
        <w:rPr>
          <w:rFonts w:asciiTheme="majorHAnsi" w:hAnsiTheme="majorHAnsi"/>
          <w:spacing w:val="-9"/>
          <w:w w:val="95"/>
          <w:sz w:val="20"/>
          <w:szCs w:val="20"/>
        </w:rPr>
        <w:t xml:space="preserve"> </w:t>
      </w:r>
      <w:r w:rsidRPr="000977F7">
        <w:rPr>
          <w:rFonts w:asciiTheme="majorHAnsi" w:hAnsiTheme="majorHAnsi"/>
          <w:spacing w:val="-4"/>
          <w:w w:val="95"/>
          <w:sz w:val="20"/>
          <w:szCs w:val="20"/>
        </w:rPr>
        <w:t>пос</w:t>
      </w:r>
      <w:r w:rsidRPr="000977F7">
        <w:rPr>
          <w:rFonts w:asciiTheme="majorHAnsi" w:hAnsiTheme="majorHAnsi"/>
          <w:spacing w:val="-10"/>
          <w:sz w:val="20"/>
          <w:szCs w:val="20"/>
        </w:rPr>
        <w:t xml:space="preserve">тачальників </w:t>
      </w:r>
      <w:r w:rsidRPr="000977F7">
        <w:rPr>
          <w:rFonts w:asciiTheme="majorHAnsi" w:hAnsiTheme="majorHAnsi"/>
          <w:spacing w:val="-9"/>
          <w:sz w:val="20"/>
          <w:szCs w:val="20"/>
        </w:rPr>
        <w:t>на відповідність стандартам на системи якості</w:t>
      </w:r>
      <w:r w:rsidRPr="000977F7">
        <w:rPr>
          <w:rFonts w:asciiTheme="majorHAnsi" w:hAnsiTheme="majorHAnsi"/>
          <w:spacing w:val="-8"/>
          <w:sz w:val="20"/>
          <w:szCs w:val="20"/>
        </w:rPr>
        <w:t xml:space="preserve"> </w:t>
      </w:r>
    </w:p>
    <w:p w14:paraId="1FE5CD05"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3021 - 95</w:t>
      </w:r>
    </w:p>
    <w:p w14:paraId="4DF6EDF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АТЕСТАЦІЙНІ</w:t>
      </w:r>
      <w:r w:rsidRPr="000977F7">
        <w:rPr>
          <w:color w:val="auto"/>
          <w:spacing w:val="-6"/>
          <w:sz w:val="20"/>
          <w:szCs w:val="20"/>
        </w:rPr>
        <w:t xml:space="preserve"> </w:t>
      </w:r>
      <w:r w:rsidRPr="000977F7">
        <w:rPr>
          <w:color w:val="auto"/>
          <w:sz w:val="20"/>
          <w:szCs w:val="20"/>
        </w:rPr>
        <w:t>ВИПРОБУВАННЯ</w:t>
      </w:r>
      <w:r w:rsidRPr="000977F7">
        <w:rPr>
          <w:color w:val="auto"/>
          <w:spacing w:val="-2"/>
          <w:sz w:val="20"/>
          <w:szCs w:val="20"/>
        </w:rPr>
        <w:t xml:space="preserve"> </w:t>
      </w:r>
      <w:r w:rsidRPr="000977F7">
        <w:rPr>
          <w:color w:val="auto"/>
          <w:sz w:val="20"/>
          <w:szCs w:val="20"/>
        </w:rPr>
        <w:t>–</w:t>
      </w:r>
    </w:p>
    <w:p w14:paraId="1513081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EVALUATION</w:t>
      </w:r>
      <w:r w:rsidRPr="000977F7">
        <w:rPr>
          <w:rFonts w:asciiTheme="majorHAnsi" w:hAnsiTheme="majorHAnsi"/>
          <w:spacing w:val="-3"/>
          <w:sz w:val="20"/>
          <w:szCs w:val="20"/>
        </w:rPr>
        <w:t xml:space="preserve"> </w:t>
      </w:r>
      <w:r w:rsidRPr="000977F7">
        <w:rPr>
          <w:rFonts w:asciiTheme="majorHAnsi" w:hAnsiTheme="majorHAnsi"/>
          <w:sz w:val="20"/>
          <w:szCs w:val="20"/>
        </w:rPr>
        <w:t>TEST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16298C5C"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sz w:val="20"/>
          <w:szCs w:val="20"/>
        </w:rPr>
        <w:t>Випробування,</w:t>
      </w:r>
      <w:r w:rsidRPr="000977F7">
        <w:rPr>
          <w:rFonts w:asciiTheme="majorHAnsi" w:hAnsiTheme="majorHAnsi"/>
          <w:spacing w:val="35"/>
          <w:sz w:val="20"/>
          <w:szCs w:val="20"/>
        </w:rPr>
        <w:t xml:space="preserve"> </w:t>
      </w:r>
      <w:r w:rsidRPr="000977F7">
        <w:rPr>
          <w:rFonts w:asciiTheme="majorHAnsi" w:hAnsiTheme="majorHAnsi"/>
          <w:sz w:val="20"/>
          <w:szCs w:val="20"/>
        </w:rPr>
        <w:t>що</w:t>
      </w:r>
      <w:r w:rsidRPr="000977F7">
        <w:rPr>
          <w:rFonts w:asciiTheme="majorHAnsi" w:hAnsiTheme="majorHAnsi"/>
          <w:spacing w:val="36"/>
          <w:sz w:val="20"/>
          <w:szCs w:val="20"/>
        </w:rPr>
        <w:t xml:space="preserve"> </w:t>
      </w:r>
      <w:r w:rsidRPr="000977F7">
        <w:rPr>
          <w:rFonts w:asciiTheme="majorHAnsi" w:hAnsiTheme="majorHAnsi"/>
          <w:sz w:val="20"/>
          <w:szCs w:val="20"/>
        </w:rPr>
        <w:t>проводяться</w:t>
      </w:r>
      <w:r w:rsidRPr="000977F7">
        <w:rPr>
          <w:rFonts w:asciiTheme="majorHAnsi" w:hAnsiTheme="majorHAnsi"/>
          <w:spacing w:val="34"/>
          <w:sz w:val="20"/>
          <w:szCs w:val="20"/>
        </w:rPr>
        <w:t xml:space="preserve"> </w:t>
      </w:r>
      <w:r w:rsidRPr="000977F7">
        <w:rPr>
          <w:rFonts w:asciiTheme="majorHAnsi" w:hAnsiTheme="majorHAnsi"/>
          <w:sz w:val="20"/>
          <w:szCs w:val="20"/>
        </w:rPr>
        <w:t>для</w:t>
      </w:r>
      <w:r w:rsidRPr="000977F7">
        <w:rPr>
          <w:rFonts w:asciiTheme="majorHAnsi" w:hAnsiTheme="majorHAnsi"/>
          <w:spacing w:val="34"/>
          <w:sz w:val="20"/>
          <w:szCs w:val="20"/>
        </w:rPr>
        <w:t xml:space="preserve"> </w:t>
      </w:r>
      <w:r w:rsidRPr="000977F7">
        <w:rPr>
          <w:rFonts w:asciiTheme="majorHAnsi" w:hAnsiTheme="majorHAnsi"/>
          <w:sz w:val="20"/>
          <w:szCs w:val="20"/>
        </w:rPr>
        <w:t>оцінки</w:t>
      </w:r>
      <w:r w:rsidRPr="000977F7">
        <w:rPr>
          <w:rFonts w:asciiTheme="majorHAnsi" w:hAnsiTheme="majorHAnsi"/>
          <w:spacing w:val="36"/>
          <w:sz w:val="20"/>
          <w:szCs w:val="20"/>
        </w:rPr>
        <w:t xml:space="preserve"> </w:t>
      </w:r>
      <w:r w:rsidRPr="000977F7">
        <w:rPr>
          <w:rFonts w:asciiTheme="majorHAnsi" w:hAnsiTheme="majorHAnsi"/>
          <w:sz w:val="20"/>
          <w:szCs w:val="20"/>
        </w:rPr>
        <w:t>якості</w:t>
      </w:r>
      <w:r w:rsidRPr="000977F7">
        <w:rPr>
          <w:rFonts w:asciiTheme="majorHAnsi" w:hAnsiTheme="majorHAnsi"/>
          <w:spacing w:val="-47"/>
          <w:sz w:val="20"/>
          <w:szCs w:val="20"/>
        </w:rPr>
        <w:t xml:space="preserve"> </w:t>
      </w:r>
      <w:r w:rsidRPr="000977F7">
        <w:rPr>
          <w:rFonts w:asciiTheme="majorHAnsi" w:hAnsiTheme="majorHAnsi"/>
          <w:sz w:val="20"/>
          <w:szCs w:val="20"/>
        </w:rPr>
        <w:t>продукції під час її атестації за категоріями якості</w:t>
      </w:r>
      <w:r w:rsidRPr="000977F7">
        <w:rPr>
          <w:rFonts w:asciiTheme="majorHAnsi" w:hAnsiTheme="majorHAnsi"/>
          <w:spacing w:val="1"/>
          <w:sz w:val="20"/>
          <w:szCs w:val="20"/>
        </w:rPr>
        <w:t xml:space="preserve"> </w:t>
      </w:r>
    </w:p>
    <w:p w14:paraId="52FA558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3021 - 95</w:t>
      </w:r>
    </w:p>
    <w:p w14:paraId="68AFE70B" w14:textId="77777777" w:rsidR="0097612F" w:rsidRPr="000977F7" w:rsidRDefault="0097612F" w:rsidP="000977F7">
      <w:pPr>
        <w:pStyle w:val="7"/>
        <w:tabs>
          <w:tab w:val="left" w:pos="284"/>
        </w:tabs>
        <w:spacing w:before="0" w:line="240" w:lineRule="auto"/>
        <w:ind w:left="170"/>
        <w:mirrorIndents/>
        <w:jc w:val="both"/>
        <w:rPr>
          <w:color w:val="auto"/>
          <w:spacing w:val="-9"/>
          <w:sz w:val="20"/>
          <w:szCs w:val="20"/>
        </w:rPr>
      </w:pPr>
      <w:bookmarkStart w:id="11" w:name="_Hlk101339483"/>
      <w:r w:rsidRPr="000977F7">
        <w:rPr>
          <w:color w:val="auto"/>
          <w:sz w:val="20"/>
          <w:szCs w:val="20"/>
        </w:rPr>
        <w:t>АТЕСТАЦІЯ</w:t>
      </w:r>
      <w:r w:rsidRPr="000977F7">
        <w:rPr>
          <w:color w:val="auto"/>
          <w:spacing w:val="-9"/>
          <w:sz w:val="20"/>
          <w:szCs w:val="20"/>
        </w:rPr>
        <w:t xml:space="preserve"> </w:t>
      </w:r>
      <w:r w:rsidRPr="000977F7">
        <w:rPr>
          <w:color w:val="auto"/>
          <w:sz w:val="20"/>
          <w:szCs w:val="20"/>
        </w:rPr>
        <w:t>ВИПРОБУВАЛЬНИХ</w:t>
      </w:r>
      <w:r w:rsidRPr="000977F7">
        <w:rPr>
          <w:color w:val="auto"/>
          <w:spacing w:val="-9"/>
          <w:sz w:val="20"/>
          <w:szCs w:val="20"/>
        </w:rPr>
        <w:t xml:space="preserve"> </w:t>
      </w:r>
    </w:p>
    <w:p w14:paraId="3F3F8A6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ОРГАНІЗА</w:t>
      </w:r>
      <w:r w:rsidRPr="000977F7">
        <w:rPr>
          <w:color w:val="auto"/>
          <w:spacing w:val="-47"/>
          <w:sz w:val="20"/>
          <w:szCs w:val="20"/>
        </w:rPr>
        <w:t xml:space="preserve"> </w:t>
      </w:r>
      <w:r w:rsidRPr="000977F7">
        <w:rPr>
          <w:color w:val="auto"/>
          <w:sz w:val="20"/>
          <w:szCs w:val="20"/>
        </w:rPr>
        <w:t>ЦІЙ ТА ПІДРОЗДІЛІВ</w:t>
      </w:r>
      <w:r w:rsidRPr="000977F7">
        <w:rPr>
          <w:color w:val="auto"/>
          <w:spacing w:val="2"/>
          <w:sz w:val="20"/>
          <w:szCs w:val="20"/>
        </w:rPr>
        <w:t xml:space="preserve"> </w:t>
      </w:r>
      <w:r w:rsidRPr="000977F7">
        <w:rPr>
          <w:color w:val="auto"/>
          <w:sz w:val="20"/>
          <w:szCs w:val="20"/>
        </w:rPr>
        <w:t>–</w:t>
      </w:r>
    </w:p>
    <w:p w14:paraId="03AC8EF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CERTIFICATION</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TESTING</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ORGANIZATIONS</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AND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DIVISIONS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bookmarkEnd w:id="11"/>
    <w:p w14:paraId="0DF590D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Посвідчення</w:t>
      </w:r>
      <w:r w:rsidRPr="004D2D14">
        <w:rPr>
          <w:rFonts w:asciiTheme="majorHAnsi" w:hAnsiTheme="majorHAnsi"/>
          <w:sz w:val="20"/>
          <w:szCs w:val="20"/>
          <w:lang w:val="en-US"/>
        </w:rPr>
        <w:t xml:space="preserve"> </w:t>
      </w:r>
      <w:r w:rsidRPr="000977F7">
        <w:rPr>
          <w:rFonts w:asciiTheme="majorHAnsi" w:hAnsiTheme="majorHAnsi"/>
          <w:sz w:val="20"/>
          <w:szCs w:val="20"/>
        </w:rPr>
        <w:t>компетентності</w:t>
      </w:r>
      <w:r w:rsidRPr="004D2D14">
        <w:rPr>
          <w:rFonts w:asciiTheme="majorHAnsi" w:hAnsiTheme="majorHAnsi"/>
          <w:sz w:val="20"/>
          <w:szCs w:val="20"/>
          <w:lang w:val="en-US"/>
        </w:rPr>
        <w:t xml:space="preserve"> </w:t>
      </w:r>
      <w:r w:rsidRPr="000977F7">
        <w:rPr>
          <w:rFonts w:asciiTheme="majorHAnsi" w:hAnsiTheme="majorHAnsi"/>
          <w:sz w:val="20"/>
          <w:szCs w:val="20"/>
        </w:rPr>
        <w:t>випробувальних</w:t>
      </w:r>
      <w:r w:rsidRPr="004D2D14">
        <w:rPr>
          <w:rFonts w:asciiTheme="majorHAnsi" w:hAnsiTheme="majorHAnsi"/>
          <w:sz w:val="20"/>
          <w:szCs w:val="20"/>
          <w:lang w:val="en-US"/>
        </w:rPr>
        <w:t xml:space="preserve"> </w:t>
      </w:r>
      <w:r w:rsidRPr="000977F7">
        <w:rPr>
          <w:rFonts w:asciiTheme="majorHAnsi" w:hAnsiTheme="majorHAnsi"/>
          <w:sz w:val="20"/>
          <w:szCs w:val="20"/>
        </w:rPr>
        <w:t>організацій</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їх</w:t>
      </w:r>
      <w:r w:rsidRPr="004D2D14">
        <w:rPr>
          <w:rFonts w:asciiTheme="majorHAnsi" w:hAnsiTheme="majorHAnsi"/>
          <w:sz w:val="20"/>
          <w:szCs w:val="20"/>
          <w:lang w:val="en-US"/>
        </w:rPr>
        <w:t xml:space="preserve"> </w:t>
      </w:r>
      <w:r w:rsidRPr="000977F7">
        <w:rPr>
          <w:rFonts w:asciiTheme="majorHAnsi" w:hAnsiTheme="majorHAnsi"/>
          <w:sz w:val="20"/>
          <w:szCs w:val="20"/>
        </w:rPr>
        <w:t>оснащеності</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забезпечують</w:t>
      </w:r>
      <w:r w:rsidRPr="004D2D14">
        <w:rPr>
          <w:rFonts w:asciiTheme="majorHAnsi" w:hAnsiTheme="majorHAnsi"/>
          <w:sz w:val="20"/>
          <w:szCs w:val="20"/>
          <w:lang w:val="en-US"/>
        </w:rPr>
        <w:t xml:space="preserve"> </w:t>
      </w:r>
      <w:r w:rsidRPr="000977F7">
        <w:rPr>
          <w:rFonts w:asciiTheme="majorHAnsi" w:hAnsiTheme="majorHAnsi"/>
          <w:sz w:val="20"/>
          <w:szCs w:val="20"/>
        </w:rPr>
        <w:t>проведення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належному</w:t>
      </w:r>
      <w:r w:rsidRPr="004D2D14">
        <w:rPr>
          <w:rFonts w:asciiTheme="majorHAnsi" w:hAnsiTheme="majorHAnsi"/>
          <w:spacing w:val="1"/>
          <w:sz w:val="20"/>
          <w:szCs w:val="20"/>
          <w:lang w:val="en-US"/>
        </w:rPr>
        <w:t xml:space="preserve"> </w:t>
      </w:r>
      <w:r w:rsidRPr="000977F7">
        <w:rPr>
          <w:rFonts w:asciiTheme="majorHAnsi" w:hAnsiTheme="majorHAnsi"/>
          <w:sz w:val="20"/>
          <w:szCs w:val="20"/>
        </w:rPr>
        <w:t>технічному</w:t>
      </w:r>
      <w:r w:rsidRPr="004D2D14">
        <w:rPr>
          <w:rFonts w:asciiTheme="majorHAnsi" w:hAnsiTheme="majorHAnsi"/>
          <w:spacing w:val="1"/>
          <w:sz w:val="20"/>
          <w:szCs w:val="20"/>
          <w:lang w:val="en-US"/>
        </w:rPr>
        <w:t xml:space="preserve"> </w:t>
      </w:r>
      <w:r w:rsidRPr="000977F7">
        <w:rPr>
          <w:rFonts w:asciiTheme="majorHAnsi" w:hAnsiTheme="majorHAnsi"/>
          <w:sz w:val="20"/>
          <w:szCs w:val="20"/>
        </w:rPr>
        <w:t>рівні</w:t>
      </w:r>
      <w:r w:rsidRPr="004D2D14">
        <w:rPr>
          <w:rFonts w:asciiTheme="majorHAnsi" w:hAnsiTheme="majorHAnsi"/>
          <w:spacing w:val="1"/>
          <w:sz w:val="20"/>
          <w:szCs w:val="20"/>
          <w:lang w:val="en-US"/>
        </w:rPr>
        <w:t xml:space="preserve"> </w:t>
      </w:r>
      <w:r w:rsidRPr="000977F7">
        <w:rPr>
          <w:rFonts w:asciiTheme="majorHAnsi" w:hAnsiTheme="majorHAnsi"/>
          <w:sz w:val="20"/>
          <w:szCs w:val="20"/>
        </w:rPr>
        <w:t>всіх</w:t>
      </w:r>
      <w:r w:rsidRPr="004D2D14">
        <w:rPr>
          <w:rFonts w:asciiTheme="majorHAnsi" w:hAnsiTheme="majorHAnsi"/>
          <w:spacing w:val="1"/>
          <w:sz w:val="20"/>
          <w:szCs w:val="20"/>
          <w:lang w:val="en-US"/>
        </w:rPr>
        <w:t xml:space="preserve"> </w:t>
      </w:r>
      <w:r w:rsidRPr="000977F7">
        <w:rPr>
          <w:rFonts w:asciiTheme="majorHAnsi" w:hAnsiTheme="majorHAnsi"/>
          <w:sz w:val="20"/>
          <w:szCs w:val="20"/>
        </w:rPr>
        <w:t>передбачених</w:t>
      </w:r>
      <w:r w:rsidRPr="004D2D14">
        <w:rPr>
          <w:rFonts w:asciiTheme="majorHAnsi" w:hAnsiTheme="majorHAnsi"/>
          <w:spacing w:val="1"/>
          <w:sz w:val="20"/>
          <w:szCs w:val="20"/>
          <w:lang w:val="en-US"/>
        </w:rPr>
        <w:t xml:space="preserve"> </w:t>
      </w:r>
      <w:r w:rsidRPr="000977F7">
        <w:rPr>
          <w:rFonts w:asciiTheme="majorHAnsi" w:hAnsiTheme="majorHAnsi"/>
          <w:sz w:val="20"/>
          <w:szCs w:val="20"/>
        </w:rPr>
        <w:t>нормативними</w:t>
      </w:r>
      <w:r w:rsidRPr="004D2D14">
        <w:rPr>
          <w:rFonts w:asciiTheme="majorHAnsi" w:hAnsiTheme="majorHAnsi"/>
          <w:sz w:val="20"/>
          <w:szCs w:val="20"/>
          <w:lang w:val="en-US"/>
        </w:rPr>
        <w:t xml:space="preserve"> </w:t>
      </w:r>
      <w:r w:rsidRPr="000977F7">
        <w:rPr>
          <w:rFonts w:asciiTheme="majorHAnsi" w:hAnsiTheme="majorHAnsi"/>
          <w:sz w:val="20"/>
          <w:szCs w:val="20"/>
        </w:rPr>
        <w:t>документами</w:t>
      </w:r>
      <w:r w:rsidRPr="004D2D14">
        <w:rPr>
          <w:rFonts w:asciiTheme="majorHAnsi" w:hAnsiTheme="majorHAnsi"/>
          <w:sz w:val="20"/>
          <w:szCs w:val="20"/>
          <w:lang w:val="en-US"/>
        </w:rPr>
        <w:t xml:space="preserve"> </w:t>
      </w:r>
      <w:r w:rsidRPr="000977F7">
        <w:rPr>
          <w:rFonts w:asciiTheme="majorHAnsi" w:hAnsiTheme="majorHAnsi"/>
          <w:sz w:val="20"/>
          <w:szCs w:val="20"/>
        </w:rPr>
        <w:t>випробувань</w:t>
      </w:r>
      <w:r w:rsidRPr="004D2D14">
        <w:rPr>
          <w:rFonts w:asciiTheme="majorHAnsi" w:hAnsiTheme="majorHAnsi"/>
          <w:sz w:val="20"/>
          <w:szCs w:val="20"/>
          <w:lang w:val="en-US"/>
        </w:rPr>
        <w:t xml:space="preserve"> </w:t>
      </w:r>
      <w:r w:rsidRPr="000977F7">
        <w:rPr>
          <w:rFonts w:asciiTheme="majorHAnsi" w:hAnsiTheme="majorHAnsi"/>
          <w:sz w:val="20"/>
          <w:szCs w:val="20"/>
        </w:rPr>
        <w:t>закріплених</w:t>
      </w:r>
      <w:r w:rsidRPr="004D2D14">
        <w:rPr>
          <w:rFonts w:asciiTheme="majorHAnsi" w:hAnsiTheme="majorHAnsi"/>
          <w:spacing w:val="-47"/>
          <w:sz w:val="20"/>
          <w:szCs w:val="20"/>
          <w:lang w:val="en-US"/>
        </w:rPr>
        <w:t xml:space="preserve"> </w:t>
      </w:r>
      <w:r w:rsidRPr="000977F7">
        <w:rPr>
          <w:rFonts w:asciiTheme="majorHAnsi" w:hAnsiTheme="majorHAnsi"/>
          <w:sz w:val="20"/>
          <w:szCs w:val="20"/>
        </w:rPr>
        <w:t>видів</w:t>
      </w:r>
      <w:r w:rsidRPr="004D2D14">
        <w:rPr>
          <w:rFonts w:asciiTheme="majorHAnsi" w:hAnsiTheme="majorHAnsi"/>
          <w:spacing w:val="-2"/>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pacing w:val="-2"/>
          <w:sz w:val="20"/>
          <w:szCs w:val="20"/>
          <w:lang w:val="en-US"/>
        </w:rPr>
        <w:t xml:space="preserve"> </w:t>
      </w:r>
      <w:r w:rsidRPr="000977F7">
        <w:rPr>
          <w:rFonts w:asciiTheme="majorHAnsi" w:hAnsiTheme="majorHAnsi"/>
          <w:sz w:val="20"/>
          <w:szCs w:val="20"/>
        </w:rPr>
        <w:t>та</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r w:rsidRPr="000977F7">
        <w:rPr>
          <w:rFonts w:asciiTheme="majorHAnsi" w:hAnsiTheme="majorHAnsi"/>
          <w:sz w:val="20"/>
          <w:szCs w:val="20"/>
        </w:rPr>
        <w:t>чи</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видів</w:t>
      </w:r>
      <w:r w:rsidRPr="004D2D14">
        <w:rPr>
          <w:rFonts w:asciiTheme="majorHAnsi" w:hAnsiTheme="majorHAnsi"/>
          <w:sz w:val="20"/>
          <w:szCs w:val="20"/>
          <w:lang w:val="en-US"/>
        </w:rPr>
        <w:t xml:space="preserve"> </w:t>
      </w:r>
      <w:r w:rsidRPr="000977F7">
        <w:rPr>
          <w:rFonts w:asciiTheme="majorHAnsi" w:hAnsiTheme="majorHAnsi"/>
          <w:sz w:val="20"/>
          <w:szCs w:val="20"/>
        </w:rPr>
        <w:t>випробувань</w:t>
      </w:r>
    </w:p>
    <w:p w14:paraId="20C3672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3021 - 95</w:t>
      </w:r>
    </w:p>
    <w:p w14:paraId="0358CFC3" w14:textId="77777777" w:rsidR="0097612F" w:rsidRPr="000977F7" w:rsidRDefault="0097612F" w:rsidP="000977F7">
      <w:pPr>
        <w:pStyle w:val="7"/>
        <w:tabs>
          <w:tab w:val="left" w:pos="284"/>
        </w:tabs>
        <w:spacing w:before="0" w:line="240" w:lineRule="auto"/>
        <w:ind w:left="170"/>
        <w:mirrorIndents/>
        <w:jc w:val="both"/>
        <w:rPr>
          <w:color w:val="auto"/>
          <w:spacing w:val="-8"/>
          <w:sz w:val="20"/>
          <w:szCs w:val="20"/>
        </w:rPr>
      </w:pPr>
      <w:r w:rsidRPr="000977F7">
        <w:rPr>
          <w:color w:val="auto"/>
          <w:sz w:val="20"/>
          <w:szCs w:val="20"/>
        </w:rPr>
        <w:t>АТЕСТАЦІЯ</w:t>
      </w:r>
      <w:r w:rsidRPr="000977F7">
        <w:rPr>
          <w:color w:val="auto"/>
          <w:spacing w:val="-10"/>
          <w:sz w:val="20"/>
          <w:szCs w:val="20"/>
        </w:rPr>
        <w:t xml:space="preserve"> </w:t>
      </w:r>
      <w:r w:rsidRPr="000977F7">
        <w:rPr>
          <w:color w:val="auto"/>
          <w:sz w:val="20"/>
          <w:szCs w:val="20"/>
        </w:rPr>
        <w:t>ВИПРОБУВАЛЬНОГО</w:t>
      </w:r>
      <w:r w:rsidRPr="000977F7">
        <w:rPr>
          <w:color w:val="auto"/>
          <w:spacing w:val="-8"/>
          <w:sz w:val="20"/>
          <w:szCs w:val="20"/>
        </w:rPr>
        <w:t xml:space="preserve"> </w:t>
      </w:r>
    </w:p>
    <w:p w14:paraId="01270CB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ОБЛАД</w:t>
      </w:r>
      <w:r w:rsidRPr="000977F7">
        <w:rPr>
          <w:color w:val="auto"/>
          <w:spacing w:val="-47"/>
          <w:sz w:val="20"/>
          <w:szCs w:val="20"/>
        </w:rPr>
        <w:t xml:space="preserve"> </w:t>
      </w:r>
      <w:r w:rsidRPr="000977F7">
        <w:rPr>
          <w:color w:val="auto"/>
          <w:sz w:val="20"/>
          <w:szCs w:val="20"/>
        </w:rPr>
        <w:t>НАННЯ –</w:t>
      </w:r>
    </w:p>
    <w:p w14:paraId="5220582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CERTIFICATION</w:t>
      </w:r>
      <w:r w:rsidRPr="004D2D14">
        <w:rPr>
          <w:rFonts w:asciiTheme="majorHAnsi" w:hAnsiTheme="majorHAnsi"/>
          <w:spacing w:val="-3"/>
          <w:sz w:val="20"/>
          <w:szCs w:val="20"/>
          <w:lang w:val="uk-UA"/>
        </w:rPr>
        <w:t xml:space="preserve"> </w:t>
      </w:r>
      <w:r w:rsidRPr="000977F7">
        <w:rPr>
          <w:rFonts w:asciiTheme="majorHAnsi" w:hAnsiTheme="majorHAnsi"/>
          <w:sz w:val="20"/>
          <w:szCs w:val="20"/>
        </w:rPr>
        <w:t>OF</w:t>
      </w:r>
      <w:r w:rsidRPr="004D2D14">
        <w:rPr>
          <w:rFonts w:asciiTheme="majorHAnsi" w:hAnsiTheme="majorHAnsi"/>
          <w:spacing w:val="-3"/>
          <w:sz w:val="20"/>
          <w:szCs w:val="20"/>
          <w:lang w:val="uk-UA"/>
        </w:rPr>
        <w:t xml:space="preserve"> </w:t>
      </w:r>
      <w:r w:rsidRPr="000977F7">
        <w:rPr>
          <w:rFonts w:asciiTheme="majorHAnsi" w:hAnsiTheme="majorHAnsi"/>
          <w:sz w:val="20"/>
          <w:szCs w:val="20"/>
        </w:rPr>
        <w:t>TEST</w:t>
      </w:r>
      <w:r w:rsidRPr="004D2D14">
        <w:rPr>
          <w:rFonts w:asciiTheme="majorHAnsi" w:hAnsiTheme="majorHAnsi"/>
          <w:spacing w:val="-1"/>
          <w:sz w:val="20"/>
          <w:szCs w:val="20"/>
          <w:lang w:val="uk-UA"/>
        </w:rPr>
        <w:t xml:space="preserve"> </w:t>
      </w:r>
      <w:r w:rsidRPr="000977F7">
        <w:rPr>
          <w:rFonts w:asciiTheme="majorHAnsi" w:hAnsiTheme="majorHAnsi"/>
          <w:sz w:val="20"/>
          <w:szCs w:val="20"/>
        </w:rPr>
        <w:t>EQUIPMENT</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p>
    <w:p w14:paraId="3DE35B9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Визначення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нормованих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точністних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характеристик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випробувального обладнання, їх відповідності вимогам нормативних документів та встановлення придатності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цього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обладнання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до експлуатації</w:t>
      </w:r>
    </w:p>
    <w:p w14:paraId="563D795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3021 - 95</w:t>
      </w:r>
    </w:p>
    <w:p w14:paraId="0F659F88"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en-US"/>
        </w:rPr>
      </w:pPr>
      <w:r w:rsidRPr="000977F7">
        <w:rPr>
          <w:rFonts w:asciiTheme="majorHAnsi" w:hAnsiTheme="majorHAnsi"/>
          <w:b/>
          <w:sz w:val="20"/>
          <w:szCs w:val="20"/>
        </w:rPr>
        <w:t>АТЕСТАЦІЯ</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ЛАБОРАТОРІЇ</w:t>
      </w:r>
      <w:r w:rsidRPr="004D2D14">
        <w:rPr>
          <w:rFonts w:asciiTheme="majorHAnsi" w:hAnsiTheme="majorHAnsi"/>
          <w:b/>
          <w:sz w:val="20"/>
          <w:szCs w:val="20"/>
          <w:lang w:val="en-US"/>
        </w:rPr>
        <w:t xml:space="preserve"> –</w:t>
      </w:r>
      <w:r w:rsidRPr="004D2D14">
        <w:rPr>
          <w:rFonts w:asciiTheme="majorHAnsi" w:hAnsiTheme="majorHAnsi"/>
          <w:b/>
          <w:spacing w:val="-47"/>
          <w:sz w:val="20"/>
          <w:szCs w:val="20"/>
          <w:lang w:val="en-US"/>
        </w:rPr>
        <w:t xml:space="preserve"> </w:t>
      </w:r>
    </w:p>
    <w:p w14:paraId="48A5E778"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LABORATORY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ASSESSMENT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1FADAFE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Перевірка випробувальної лабораторії для визначення</w:t>
      </w:r>
      <w:r w:rsidRPr="000977F7">
        <w:rPr>
          <w:rFonts w:asciiTheme="majorHAnsi" w:hAnsiTheme="majorHAnsi"/>
          <w:spacing w:val="-47"/>
          <w:sz w:val="20"/>
          <w:szCs w:val="20"/>
        </w:rPr>
        <w:t xml:space="preserve"> </w:t>
      </w:r>
      <w:r w:rsidRPr="000977F7">
        <w:rPr>
          <w:rFonts w:asciiTheme="majorHAnsi" w:hAnsiTheme="majorHAnsi"/>
          <w:sz w:val="20"/>
          <w:szCs w:val="20"/>
        </w:rPr>
        <w:t>її відповідності встановленим критеріям акредитації</w:t>
      </w:r>
      <w:r w:rsidRPr="000977F7">
        <w:rPr>
          <w:rFonts w:asciiTheme="majorHAnsi" w:hAnsiTheme="majorHAnsi"/>
          <w:spacing w:val="1"/>
          <w:sz w:val="20"/>
          <w:szCs w:val="20"/>
        </w:rPr>
        <w:t xml:space="preserve"> </w:t>
      </w:r>
      <w:r w:rsidRPr="000977F7">
        <w:rPr>
          <w:rFonts w:asciiTheme="majorHAnsi" w:hAnsiTheme="majorHAnsi"/>
          <w:sz w:val="20"/>
          <w:szCs w:val="20"/>
        </w:rPr>
        <w:t>лабораторії</w:t>
      </w:r>
    </w:p>
    <w:p w14:paraId="6540F093"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3021 - 95</w:t>
      </w:r>
    </w:p>
    <w:p w14:paraId="075A2D3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АТЕСТАЦІЯ</w:t>
      </w:r>
      <w:r w:rsidRPr="000977F7">
        <w:rPr>
          <w:color w:val="auto"/>
          <w:spacing w:val="-5"/>
          <w:sz w:val="20"/>
          <w:szCs w:val="20"/>
        </w:rPr>
        <w:t xml:space="preserve"> </w:t>
      </w:r>
      <w:r w:rsidRPr="000977F7">
        <w:rPr>
          <w:color w:val="auto"/>
          <w:sz w:val="20"/>
          <w:szCs w:val="20"/>
        </w:rPr>
        <w:t>МЕТОДИКИ</w:t>
      </w:r>
      <w:r w:rsidRPr="000977F7">
        <w:rPr>
          <w:color w:val="auto"/>
          <w:spacing w:val="-3"/>
          <w:sz w:val="20"/>
          <w:szCs w:val="20"/>
        </w:rPr>
        <w:t xml:space="preserve"> </w:t>
      </w:r>
      <w:r w:rsidRPr="000977F7">
        <w:rPr>
          <w:color w:val="auto"/>
          <w:sz w:val="20"/>
          <w:szCs w:val="20"/>
        </w:rPr>
        <w:t>ВИПРОБУВАНЬ –</w:t>
      </w:r>
    </w:p>
    <w:p w14:paraId="298478F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APPROVAL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PROCEDURE-</w:t>
      </w:r>
    </w:p>
    <w:p w14:paraId="5A2125C5"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en-US"/>
        </w:rPr>
      </w:pPr>
      <w:r w:rsidRPr="000977F7">
        <w:rPr>
          <w:rFonts w:asciiTheme="majorHAnsi" w:hAnsiTheme="majorHAnsi"/>
          <w:sz w:val="20"/>
          <w:szCs w:val="20"/>
        </w:rPr>
        <w:t>Визначення</w:t>
      </w:r>
      <w:r w:rsidRPr="004D2D14">
        <w:rPr>
          <w:rFonts w:asciiTheme="majorHAnsi" w:hAnsiTheme="majorHAnsi"/>
          <w:sz w:val="20"/>
          <w:szCs w:val="20"/>
          <w:lang w:val="en-US"/>
        </w:rPr>
        <w:t xml:space="preserve"> </w:t>
      </w:r>
      <w:r w:rsidRPr="000977F7">
        <w:rPr>
          <w:rFonts w:asciiTheme="majorHAnsi" w:hAnsiTheme="majorHAnsi"/>
          <w:sz w:val="20"/>
          <w:szCs w:val="20"/>
        </w:rPr>
        <w:t>забезпечуваних</w:t>
      </w:r>
      <w:r w:rsidRPr="004D2D14">
        <w:rPr>
          <w:rFonts w:asciiTheme="majorHAnsi" w:hAnsiTheme="majorHAnsi"/>
          <w:spacing w:val="1"/>
          <w:sz w:val="20"/>
          <w:szCs w:val="20"/>
          <w:lang w:val="en-US"/>
        </w:rPr>
        <w:t xml:space="preserve"> </w:t>
      </w:r>
      <w:r w:rsidRPr="000977F7">
        <w:rPr>
          <w:rFonts w:asciiTheme="majorHAnsi" w:hAnsiTheme="majorHAnsi"/>
          <w:sz w:val="20"/>
          <w:szCs w:val="20"/>
        </w:rPr>
        <w:t>методикою</w:t>
      </w:r>
      <w:r w:rsidRPr="004D2D14">
        <w:rPr>
          <w:rFonts w:asciiTheme="majorHAnsi" w:hAnsiTheme="majorHAnsi"/>
          <w:spacing w:val="1"/>
          <w:sz w:val="20"/>
          <w:szCs w:val="20"/>
          <w:lang w:val="en-US"/>
        </w:rPr>
        <w:t xml:space="preserve"> </w:t>
      </w:r>
      <w:r w:rsidRPr="000977F7">
        <w:rPr>
          <w:rFonts w:asciiTheme="majorHAnsi" w:hAnsiTheme="majorHAnsi"/>
          <w:sz w:val="20"/>
          <w:szCs w:val="20"/>
        </w:rPr>
        <w:t>значень</w:t>
      </w:r>
      <w:r w:rsidRPr="004D2D14">
        <w:rPr>
          <w:rFonts w:asciiTheme="majorHAnsi" w:hAnsiTheme="majorHAnsi"/>
          <w:spacing w:val="1"/>
          <w:sz w:val="20"/>
          <w:szCs w:val="20"/>
          <w:lang w:val="en-US"/>
        </w:rPr>
        <w:t xml:space="preserve"> </w:t>
      </w:r>
      <w:r w:rsidRPr="000977F7">
        <w:rPr>
          <w:rFonts w:asciiTheme="majorHAnsi" w:hAnsiTheme="majorHAnsi"/>
          <w:sz w:val="20"/>
          <w:szCs w:val="20"/>
        </w:rPr>
        <w:t>точністних</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показників</w:t>
      </w:r>
      <w:r w:rsidRPr="004D2D14">
        <w:rPr>
          <w:rFonts w:asciiTheme="majorHAnsi" w:hAnsiTheme="majorHAnsi"/>
          <w:spacing w:val="26"/>
          <w:sz w:val="20"/>
          <w:szCs w:val="20"/>
          <w:lang w:val="en-US"/>
        </w:rPr>
        <w:t xml:space="preserve"> </w:t>
      </w:r>
      <w:r w:rsidRPr="000977F7">
        <w:rPr>
          <w:rFonts w:asciiTheme="majorHAnsi" w:hAnsiTheme="majorHAnsi"/>
          <w:sz w:val="20"/>
          <w:szCs w:val="20"/>
        </w:rPr>
        <w:t>і</w:t>
      </w:r>
      <w:r w:rsidRPr="004D2D14">
        <w:rPr>
          <w:rFonts w:asciiTheme="majorHAnsi" w:hAnsiTheme="majorHAnsi"/>
          <w:spacing w:val="27"/>
          <w:sz w:val="20"/>
          <w:szCs w:val="20"/>
          <w:lang w:val="en-US"/>
        </w:rPr>
        <w:t xml:space="preserve"> </w:t>
      </w:r>
      <w:r w:rsidRPr="004D2D14">
        <w:rPr>
          <w:rFonts w:asciiTheme="majorHAnsi" w:hAnsiTheme="majorHAnsi"/>
          <w:sz w:val="20"/>
          <w:szCs w:val="20"/>
          <w:lang w:val="en-US"/>
        </w:rPr>
        <w:t>(</w:t>
      </w:r>
      <w:r w:rsidRPr="000977F7">
        <w:rPr>
          <w:rFonts w:asciiTheme="majorHAnsi" w:hAnsiTheme="majorHAnsi"/>
          <w:sz w:val="20"/>
          <w:szCs w:val="20"/>
        </w:rPr>
        <w:t>чи</w:t>
      </w:r>
      <w:r w:rsidRPr="004D2D14">
        <w:rPr>
          <w:rFonts w:asciiTheme="majorHAnsi" w:hAnsiTheme="majorHAnsi"/>
          <w:sz w:val="20"/>
          <w:szCs w:val="20"/>
          <w:lang w:val="en-US"/>
        </w:rPr>
        <w:t>)</w:t>
      </w:r>
      <w:r w:rsidRPr="004D2D14">
        <w:rPr>
          <w:rFonts w:asciiTheme="majorHAnsi" w:hAnsiTheme="majorHAnsi"/>
          <w:spacing w:val="28"/>
          <w:sz w:val="20"/>
          <w:szCs w:val="20"/>
          <w:lang w:val="en-US"/>
        </w:rPr>
        <w:t xml:space="preserve"> </w:t>
      </w:r>
      <w:r w:rsidRPr="000977F7">
        <w:rPr>
          <w:rFonts w:asciiTheme="majorHAnsi" w:hAnsiTheme="majorHAnsi"/>
          <w:sz w:val="20"/>
          <w:szCs w:val="20"/>
        </w:rPr>
        <w:t>відтворюваності</w:t>
      </w:r>
      <w:r w:rsidRPr="004D2D14">
        <w:rPr>
          <w:rFonts w:asciiTheme="majorHAnsi" w:hAnsiTheme="majorHAnsi"/>
          <w:spacing w:val="26"/>
          <w:sz w:val="20"/>
          <w:szCs w:val="20"/>
          <w:lang w:val="en-US"/>
        </w:rPr>
        <w:t xml:space="preserve"> </w:t>
      </w:r>
      <w:r w:rsidRPr="000977F7">
        <w:rPr>
          <w:rFonts w:asciiTheme="majorHAnsi" w:hAnsiTheme="majorHAnsi"/>
          <w:sz w:val="20"/>
          <w:szCs w:val="20"/>
        </w:rPr>
        <w:t>результатів</w:t>
      </w:r>
      <w:r w:rsidRPr="004D2D14">
        <w:rPr>
          <w:rFonts w:asciiTheme="majorHAnsi" w:hAnsiTheme="majorHAnsi"/>
          <w:spacing w:val="-47"/>
          <w:sz w:val="20"/>
          <w:szCs w:val="20"/>
          <w:lang w:val="en-US"/>
        </w:rPr>
        <w:t xml:space="preserve"> </w:t>
      </w:r>
      <w:r w:rsidRPr="000977F7">
        <w:rPr>
          <w:rFonts w:asciiTheme="majorHAnsi" w:hAnsiTheme="majorHAnsi"/>
          <w:sz w:val="20"/>
          <w:szCs w:val="20"/>
        </w:rPr>
        <w:t>випробувань</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їх</w:t>
      </w:r>
      <w:r w:rsidRPr="004D2D14">
        <w:rPr>
          <w:rFonts w:asciiTheme="majorHAnsi" w:hAnsiTheme="majorHAnsi"/>
          <w:sz w:val="20"/>
          <w:szCs w:val="20"/>
          <w:lang w:val="en-US"/>
        </w:rPr>
        <w:t xml:space="preserve"> </w:t>
      </w:r>
      <w:r w:rsidRPr="000977F7">
        <w:rPr>
          <w:rFonts w:asciiTheme="majorHAnsi" w:hAnsiTheme="majorHAnsi"/>
          <w:sz w:val="20"/>
          <w:szCs w:val="20"/>
        </w:rPr>
        <w:t>відповідності</w:t>
      </w:r>
      <w:r w:rsidRPr="004D2D14">
        <w:rPr>
          <w:rFonts w:asciiTheme="majorHAnsi" w:hAnsiTheme="majorHAnsi"/>
          <w:sz w:val="20"/>
          <w:szCs w:val="20"/>
          <w:lang w:val="en-US"/>
        </w:rPr>
        <w:t xml:space="preserve"> </w:t>
      </w:r>
      <w:r w:rsidRPr="000977F7">
        <w:rPr>
          <w:rFonts w:asciiTheme="majorHAnsi" w:hAnsiTheme="majorHAnsi"/>
          <w:sz w:val="20"/>
          <w:szCs w:val="20"/>
        </w:rPr>
        <w:t>заданим</w:t>
      </w:r>
      <w:r w:rsidRPr="004D2D14">
        <w:rPr>
          <w:rFonts w:asciiTheme="majorHAnsi" w:hAnsiTheme="majorHAnsi"/>
          <w:sz w:val="20"/>
          <w:szCs w:val="20"/>
          <w:lang w:val="en-US"/>
        </w:rPr>
        <w:t xml:space="preserve"> </w:t>
      </w:r>
      <w:r w:rsidRPr="000977F7">
        <w:rPr>
          <w:rFonts w:asciiTheme="majorHAnsi" w:hAnsiTheme="majorHAnsi"/>
          <w:sz w:val="20"/>
          <w:szCs w:val="20"/>
        </w:rPr>
        <w:t>вимогам</w:t>
      </w:r>
      <w:r w:rsidRPr="004D2D14">
        <w:rPr>
          <w:rFonts w:asciiTheme="majorHAnsi" w:hAnsiTheme="majorHAnsi"/>
          <w:spacing w:val="1"/>
          <w:sz w:val="20"/>
          <w:szCs w:val="20"/>
          <w:lang w:val="en-US"/>
        </w:rPr>
        <w:t xml:space="preserve"> </w:t>
      </w:r>
    </w:p>
    <w:p w14:paraId="44B2DD71"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3021 - 95</w:t>
      </w:r>
    </w:p>
    <w:p w14:paraId="1CE620F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АТЕСТАЦІЯ</w:t>
      </w:r>
      <w:r w:rsidRPr="000977F7">
        <w:rPr>
          <w:color w:val="auto"/>
          <w:spacing w:val="-5"/>
          <w:sz w:val="20"/>
          <w:szCs w:val="20"/>
        </w:rPr>
        <w:t xml:space="preserve"> </w:t>
      </w:r>
      <w:r w:rsidRPr="000977F7">
        <w:rPr>
          <w:color w:val="auto"/>
          <w:sz w:val="20"/>
          <w:szCs w:val="20"/>
        </w:rPr>
        <w:t>ПРОГРАМНОГО</w:t>
      </w:r>
      <w:r w:rsidRPr="000977F7">
        <w:rPr>
          <w:color w:val="auto"/>
          <w:spacing w:val="-3"/>
          <w:sz w:val="20"/>
          <w:szCs w:val="20"/>
        </w:rPr>
        <w:t xml:space="preserve"> </w:t>
      </w:r>
      <w:r w:rsidRPr="000977F7">
        <w:rPr>
          <w:color w:val="auto"/>
          <w:sz w:val="20"/>
          <w:szCs w:val="20"/>
        </w:rPr>
        <w:t>ЗАСОБУ</w:t>
      </w:r>
      <w:r w:rsidRPr="000977F7">
        <w:rPr>
          <w:color w:val="auto"/>
          <w:spacing w:val="-3"/>
          <w:sz w:val="20"/>
          <w:szCs w:val="20"/>
        </w:rPr>
        <w:t xml:space="preserve"> </w:t>
      </w:r>
      <w:r w:rsidRPr="000977F7">
        <w:rPr>
          <w:color w:val="auto"/>
          <w:sz w:val="20"/>
          <w:szCs w:val="20"/>
        </w:rPr>
        <w:t>–</w:t>
      </w:r>
    </w:p>
    <w:p w14:paraId="438AEF8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ATTESTATION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41310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Установлення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w:t>
      </w:r>
      <w:r w:rsidRPr="000977F7">
        <w:rPr>
          <w:rFonts w:asciiTheme="majorHAnsi" w:hAnsiTheme="majorHAnsi"/>
          <w:spacing w:val="1"/>
          <w:sz w:val="20"/>
          <w:szCs w:val="20"/>
        </w:rPr>
        <w:t xml:space="preserve"> </w:t>
      </w:r>
      <w:r w:rsidRPr="000977F7">
        <w:rPr>
          <w:rFonts w:asciiTheme="majorHAnsi" w:hAnsiTheme="majorHAnsi"/>
          <w:sz w:val="20"/>
          <w:szCs w:val="20"/>
        </w:rPr>
        <w:t>програм</w:t>
      </w:r>
      <w:r w:rsidRPr="000977F7">
        <w:rPr>
          <w:rFonts w:asciiTheme="majorHAnsi" w:hAnsiTheme="majorHAnsi"/>
          <w:spacing w:val="-47"/>
          <w:sz w:val="20"/>
          <w:szCs w:val="20"/>
        </w:rPr>
        <w:t xml:space="preserve"> </w:t>
      </w:r>
      <w:r w:rsidRPr="000977F7">
        <w:rPr>
          <w:rFonts w:asciiTheme="majorHAnsi" w:hAnsiTheme="majorHAnsi"/>
          <w:sz w:val="20"/>
          <w:szCs w:val="20"/>
        </w:rPr>
        <w:t>ного засобу вимогам технічного завдання або документа, що</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замінює</w:t>
      </w:r>
    </w:p>
    <w:p w14:paraId="2A7CADD0"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2844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C24BF03"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АТМОСФЕРНА КОРОЗІЯ –</w:t>
      </w:r>
    </w:p>
    <w:p w14:paraId="78C07D4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ATMOSPHERIC</w:t>
      </w:r>
      <w:r w:rsidRPr="000977F7">
        <w:rPr>
          <w:rFonts w:asciiTheme="majorHAnsi" w:hAnsiTheme="majorHAnsi"/>
          <w:spacing w:val="-7"/>
          <w:sz w:val="20"/>
          <w:szCs w:val="20"/>
        </w:rPr>
        <w:t xml:space="preserve"> C</w:t>
      </w:r>
      <w:r w:rsidRPr="000977F7">
        <w:rPr>
          <w:rFonts w:asciiTheme="majorHAnsi" w:hAnsiTheme="majorHAnsi"/>
          <w:sz w:val="20"/>
          <w:szCs w:val="20"/>
        </w:rPr>
        <w:t>ORROSION</w:t>
      </w:r>
      <w:r w:rsidRPr="000977F7">
        <w:rPr>
          <w:rFonts w:asciiTheme="majorHAnsi" w:hAnsiTheme="majorHAnsi"/>
          <w:spacing w:val="-8"/>
          <w:sz w:val="20"/>
          <w:szCs w:val="20"/>
        </w:rPr>
        <w:t xml:space="preserve"> </w:t>
      </w:r>
      <w:r w:rsidRPr="000977F7">
        <w:rPr>
          <w:rFonts w:asciiTheme="majorHAnsi" w:hAnsiTheme="majorHAnsi"/>
          <w:sz w:val="20"/>
          <w:szCs w:val="20"/>
        </w:rPr>
        <w:t>–</w:t>
      </w:r>
    </w:p>
    <w:p w14:paraId="0B92E69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Корозія</w:t>
      </w:r>
      <w:r w:rsidRPr="000977F7">
        <w:rPr>
          <w:rFonts w:asciiTheme="majorHAnsi" w:hAnsiTheme="majorHAnsi"/>
          <w:spacing w:val="-5"/>
          <w:sz w:val="20"/>
          <w:szCs w:val="20"/>
        </w:rPr>
        <w:t xml:space="preserve"> </w:t>
      </w:r>
      <w:r w:rsidRPr="000977F7">
        <w:rPr>
          <w:rFonts w:asciiTheme="majorHAnsi" w:hAnsiTheme="majorHAnsi"/>
          <w:sz w:val="20"/>
          <w:szCs w:val="20"/>
        </w:rPr>
        <w:t>металу,</w:t>
      </w:r>
      <w:r w:rsidRPr="000977F7">
        <w:rPr>
          <w:rFonts w:asciiTheme="majorHAnsi" w:hAnsiTheme="majorHAnsi"/>
          <w:spacing w:val="-4"/>
          <w:sz w:val="20"/>
          <w:szCs w:val="20"/>
        </w:rPr>
        <w:t xml:space="preserve"> </w:t>
      </w:r>
      <w:r w:rsidRPr="000977F7">
        <w:rPr>
          <w:rFonts w:asciiTheme="majorHAnsi" w:hAnsiTheme="majorHAnsi"/>
          <w:sz w:val="20"/>
          <w:szCs w:val="20"/>
        </w:rPr>
        <w:t>зумовлена</w:t>
      </w:r>
      <w:r w:rsidRPr="000977F7">
        <w:rPr>
          <w:rFonts w:asciiTheme="majorHAnsi" w:hAnsiTheme="majorHAnsi"/>
          <w:spacing w:val="-4"/>
          <w:sz w:val="20"/>
          <w:szCs w:val="20"/>
        </w:rPr>
        <w:t xml:space="preserve"> </w:t>
      </w:r>
      <w:r w:rsidRPr="000977F7">
        <w:rPr>
          <w:rFonts w:asciiTheme="majorHAnsi" w:hAnsiTheme="majorHAnsi"/>
          <w:sz w:val="20"/>
          <w:szCs w:val="20"/>
        </w:rPr>
        <w:t>атмосферним</w:t>
      </w:r>
      <w:r w:rsidRPr="000977F7">
        <w:rPr>
          <w:rFonts w:asciiTheme="majorHAnsi" w:hAnsiTheme="majorHAnsi"/>
          <w:spacing w:val="-3"/>
          <w:sz w:val="20"/>
          <w:szCs w:val="20"/>
        </w:rPr>
        <w:t xml:space="preserve"> </w:t>
      </w:r>
      <w:r w:rsidRPr="000977F7">
        <w:rPr>
          <w:rFonts w:asciiTheme="majorHAnsi" w:hAnsiTheme="majorHAnsi"/>
          <w:sz w:val="20"/>
          <w:szCs w:val="20"/>
        </w:rPr>
        <w:t>повітрям</w:t>
      </w:r>
    </w:p>
    <w:p w14:paraId="1DA3C6C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3830 – 98</w:t>
      </w:r>
    </w:p>
    <w:p w14:paraId="2F0E91EC"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АУДИТ –</w:t>
      </w:r>
      <w:r w:rsidRPr="000977F7">
        <w:rPr>
          <w:rFonts w:asciiTheme="majorHAnsi" w:hAnsiTheme="majorHAnsi"/>
          <w:b/>
          <w:spacing w:val="1"/>
          <w:sz w:val="20"/>
          <w:szCs w:val="20"/>
        </w:rPr>
        <w:t xml:space="preserve"> </w:t>
      </w:r>
    </w:p>
    <w:p w14:paraId="5D00D05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АUDIT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03458FF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Систематичний, незалежний і задокументований процес отримання об’єктивних доказів</w:t>
      </w:r>
      <w:r w:rsidRPr="000977F7">
        <w:rPr>
          <w:rFonts w:asciiTheme="majorHAnsi" w:hAnsiTheme="majorHAnsi"/>
          <w:spacing w:val="-57"/>
          <w:sz w:val="20"/>
          <w:szCs w:val="20"/>
        </w:rPr>
        <w:t xml:space="preserve"> </w:t>
      </w:r>
      <w:r w:rsidRPr="000977F7">
        <w:rPr>
          <w:rFonts w:asciiTheme="majorHAnsi" w:hAnsiTheme="majorHAnsi"/>
          <w:sz w:val="20"/>
          <w:szCs w:val="20"/>
        </w:rPr>
        <w:t>та їх об’єктивного оцінювання, щоб визначити</w:t>
      </w:r>
      <w:r w:rsidRPr="000977F7">
        <w:rPr>
          <w:rFonts w:asciiTheme="majorHAnsi" w:hAnsiTheme="majorHAnsi"/>
          <w:spacing w:val="-2"/>
          <w:sz w:val="20"/>
          <w:szCs w:val="20"/>
        </w:rPr>
        <w:t xml:space="preserve"> </w:t>
      </w:r>
      <w:r w:rsidRPr="000977F7">
        <w:rPr>
          <w:rFonts w:asciiTheme="majorHAnsi" w:hAnsiTheme="majorHAnsi"/>
          <w:sz w:val="20"/>
          <w:szCs w:val="20"/>
        </w:rPr>
        <w:t>ступінь</w:t>
      </w:r>
      <w:r w:rsidRPr="000977F7">
        <w:rPr>
          <w:rFonts w:asciiTheme="majorHAnsi" w:hAnsiTheme="majorHAnsi"/>
          <w:spacing w:val="-1"/>
          <w:sz w:val="20"/>
          <w:szCs w:val="20"/>
        </w:rPr>
        <w:t xml:space="preserve"> </w:t>
      </w:r>
      <w:r w:rsidRPr="000977F7">
        <w:rPr>
          <w:rFonts w:asciiTheme="majorHAnsi" w:hAnsiTheme="majorHAnsi"/>
          <w:sz w:val="20"/>
          <w:szCs w:val="20"/>
        </w:rPr>
        <w:t>дотримання</w:t>
      </w:r>
      <w:r w:rsidRPr="000977F7">
        <w:rPr>
          <w:rFonts w:asciiTheme="majorHAnsi" w:hAnsiTheme="majorHAnsi"/>
          <w:spacing w:val="-4"/>
          <w:sz w:val="20"/>
          <w:szCs w:val="20"/>
        </w:rPr>
        <w:t xml:space="preserve"> </w:t>
      </w:r>
      <w:r w:rsidRPr="000977F7">
        <w:rPr>
          <w:rFonts w:asciiTheme="majorHAnsi" w:hAnsiTheme="majorHAnsi"/>
          <w:sz w:val="20"/>
          <w:szCs w:val="20"/>
        </w:rPr>
        <w:t>критеріїв</w:t>
      </w:r>
      <w:r w:rsidRPr="000977F7">
        <w:rPr>
          <w:rFonts w:asciiTheme="majorHAnsi" w:hAnsiTheme="majorHAnsi"/>
          <w:spacing w:val="-2"/>
          <w:sz w:val="20"/>
          <w:szCs w:val="20"/>
        </w:rPr>
        <w:t xml:space="preserve"> </w:t>
      </w:r>
      <w:r w:rsidRPr="000977F7">
        <w:rPr>
          <w:rFonts w:asciiTheme="majorHAnsi" w:hAnsiTheme="majorHAnsi"/>
          <w:sz w:val="20"/>
          <w:szCs w:val="20"/>
        </w:rPr>
        <w:t>аудиту.</w:t>
      </w:r>
    </w:p>
    <w:p w14:paraId="1EB1DCD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Примітка 1. Основоположні елементи аудиту</w:t>
      </w:r>
      <w:r w:rsidRPr="000977F7">
        <w:rPr>
          <w:rFonts w:asciiTheme="majorHAnsi" w:hAnsiTheme="majorHAnsi"/>
          <w:spacing w:val="-57"/>
          <w:sz w:val="20"/>
          <w:szCs w:val="20"/>
        </w:rPr>
        <w:t xml:space="preserve"> </w:t>
      </w:r>
      <w:r w:rsidRPr="000977F7">
        <w:rPr>
          <w:rFonts w:asciiTheme="majorHAnsi" w:hAnsiTheme="majorHAnsi"/>
          <w:sz w:val="20"/>
          <w:szCs w:val="20"/>
        </w:rPr>
        <w:t>охоплюють визначання відповідності об’єкта</w:t>
      </w:r>
      <w:r w:rsidRPr="000977F7">
        <w:rPr>
          <w:rFonts w:asciiTheme="majorHAnsi" w:hAnsiTheme="majorHAnsi"/>
          <w:spacing w:val="-57"/>
          <w:sz w:val="20"/>
          <w:szCs w:val="20"/>
        </w:rPr>
        <w:t xml:space="preserve"> </w:t>
      </w:r>
      <w:r w:rsidRPr="000977F7">
        <w:rPr>
          <w:rFonts w:asciiTheme="majorHAnsi" w:hAnsiTheme="majorHAnsi"/>
          <w:sz w:val="20"/>
          <w:szCs w:val="20"/>
        </w:rPr>
        <w:t>відповідно до методики, що його провадить</w:t>
      </w:r>
      <w:r w:rsidRPr="000977F7">
        <w:rPr>
          <w:rFonts w:asciiTheme="majorHAnsi" w:hAnsiTheme="majorHAnsi"/>
          <w:spacing w:val="1"/>
          <w:sz w:val="20"/>
          <w:szCs w:val="20"/>
        </w:rPr>
        <w:t xml:space="preserve"> </w:t>
      </w:r>
      <w:r w:rsidRPr="000977F7">
        <w:rPr>
          <w:rFonts w:asciiTheme="majorHAnsi" w:hAnsiTheme="majorHAnsi"/>
          <w:sz w:val="20"/>
          <w:szCs w:val="20"/>
        </w:rPr>
        <w:t>персонал, який не відповідає за об’єкт, який</w:t>
      </w:r>
      <w:r w:rsidRPr="000977F7">
        <w:rPr>
          <w:rFonts w:asciiTheme="majorHAnsi" w:hAnsiTheme="majorHAnsi"/>
          <w:spacing w:val="1"/>
          <w:sz w:val="20"/>
          <w:szCs w:val="20"/>
        </w:rPr>
        <w:t xml:space="preserve"> </w:t>
      </w:r>
      <w:r w:rsidRPr="000977F7">
        <w:rPr>
          <w:rFonts w:asciiTheme="majorHAnsi" w:hAnsiTheme="majorHAnsi"/>
          <w:sz w:val="20"/>
          <w:szCs w:val="20"/>
        </w:rPr>
        <w:t>піддають</w:t>
      </w:r>
      <w:r w:rsidRPr="000977F7">
        <w:rPr>
          <w:rFonts w:asciiTheme="majorHAnsi" w:hAnsiTheme="majorHAnsi"/>
          <w:spacing w:val="-1"/>
          <w:sz w:val="20"/>
          <w:szCs w:val="20"/>
        </w:rPr>
        <w:t xml:space="preserve"> </w:t>
      </w:r>
      <w:r w:rsidRPr="000977F7">
        <w:rPr>
          <w:rFonts w:asciiTheme="majorHAnsi" w:hAnsiTheme="majorHAnsi"/>
          <w:sz w:val="20"/>
          <w:szCs w:val="20"/>
        </w:rPr>
        <w:t>аудиту.</w:t>
      </w:r>
    </w:p>
    <w:p w14:paraId="2870F3BA" w14:textId="77777777" w:rsidR="0097612F" w:rsidRPr="000977F7" w:rsidRDefault="0097612F" w:rsidP="000977F7">
      <w:pPr>
        <w:pStyle w:val="4"/>
        <w:tabs>
          <w:tab w:val="left" w:pos="284"/>
        </w:tabs>
        <w:spacing w:line="240" w:lineRule="auto"/>
        <w:ind w:left="170"/>
        <w:mirrorIndents/>
        <w:jc w:val="both"/>
        <w:rPr>
          <w:color w:val="auto"/>
          <w:sz w:val="20"/>
          <w:szCs w:val="20"/>
        </w:rPr>
      </w:pPr>
      <w:bookmarkStart w:id="12" w:name="_Toc132629620"/>
      <w:r w:rsidRPr="000977F7">
        <w:rPr>
          <w:color w:val="auto"/>
          <w:sz w:val="20"/>
          <w:szCs w:val="20"/>
        </w:rPr>
        <w:t>Примітка 2. Аудит може бути внутрішнім</w:t>
      </w:r>
      <w:r w:rsidRPr="000977F7">
        <w:rPr>
          <w:color w:val="auto"/>
          <w:spacing w:val="1"/>
          <w:sz w:val="20"/>
          <w:szCs w:val="20"/>
        </w:rPr>
        <w:t xml:space="preserve"> </w:t>
      </w:r>
      <w:r w:rsidRPr="000977F7">
        <w:rPr>
          <w:color w:val="auto"/>
          <w:sz w:val="20"/>
          <w:szCs w:val="20"/>
        </w:rPr>
        <w:t>аудитом (аудит першою стороною) чи зовнішнім аудитом (аудит другою чи третьою</w:t>
      </w:r>
      <w:r w:rsidRPr="000977F7">
        <w:rPr>
          <w:color w:val="auto"/>
          <w:spacing w:val="-57"/>
          <w:sz w:val="20"/>
          <w:szCs w:val="20"/>
        </w:rPr>
        <w:t xml:space="preserve"> </w:t>
      </w:r>
      <w:r w:rsidRPr="000977F7">
        <w:rPr>
          <w:color w:val="auto"/>
          <w:sz w:val="20"/>
          <w:szCs w:val="20"/>
        </w:rPr>
        <w:t>стороною), а також може бути скомбінованим</w:t>
      </w:r>
      <w:r w:rsidRPr="000977F7">
        <w:rPr>
          <w:color w:val="auto"/>
          <w:spacing w:val="-2"/>
          <w:sz w:val="20"/>
          <w:szCs w:val="20"/>
        </w:rPr>
        <w:t xml:space="preserve"> </w:t>
      </w:r>
      <w:r w:rsidRPr="000977F7">
        <w:rPr>
          <w:color w:val="auto"/>
          <w:sz w:val="20"/>
          <w:szCs w:val="20"/>
        </w:rPr>
        <w:t>аудитом</w:t>
      </w:r>
      <w:r w:rsidRPr="000977F7">
        <w:rPr>
          <w:color w:val="auto"/>
          <w:spacing w:val="-2"/>
          <w:sz w:val="20"/>
          <w:szCs w:val="20"/>
        </w:rPr>
        <w:t xml:space="preserve"> </w:t>
      </w:r>
      <w:r w:rsidRPr="000977F7">
        <w:rPr>
          <w:color w:val="auto"/>
          <w:sz w:val="20"/>
          <w:szCs w:val="20"/>
        </w:rPr>
        <w:t>або спільним</w:t>
      </w:r>
      <w:r w:rsidRPr="000977F7">
        <w:rPr>
          <w:color w:val="auto"/>
          <w:spacing w:val="-2"/>
          <w:sz w:val="20"/>
          <w:szCs w:val="20"/>
        </w:rPr>
        <w:t xml:space="preserve"> </w:t>
      </w:r>
      <w:r w:rsidRPr="000977F7">
        <w:rPr>
          <w:color w:val="auto"/>
          <w:sz w:val="20"/>
          <w:szCs w:val="20"/>
        </w:rPr>
        <w:t>аудитом.</w:t>
      </w:r>
      <w:bookmarkEnd w:id="12"/>
    </w:p>
    <w:p w14:paraId="1043011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Примітка 3. Внутрішні аудити, що їх іноді</w:t>
      </w:r>
      <w:r w:rsidRPr="000977F7">
        <w:rPr>
          <w:rFonts w:asciiTheme="majorHAnsi" w:hAnsiTheme="majorHAnsi"/>
          <w:spacing w:val="1"/>
          <w:sz w:val="20"/>
          <w:szCs w:val="20"/>
        </w:rPr>
        <w:t xml:space="preserve"> </w:t>
      </w:r>
      <w:r w:rsidRPr="000977F7">
        <w:rPr>
          <w:rFonts w:asciiTheme="majorHAnsi" w:hAnsiTheme="majorHAnsi"/>
          <w:sz w:val="20"/>
          <w:szCs w:val="20"/>
        </w:rPr>
        <w:t>називають "аудити першою стороною", провадить сама організація чи за її дорученням</w:t>
      </w:r>
      <w:r w:rsidRPr="000977F7">
        <w:rPr>
          <w:rFonts w:asciiTheme="majorHAnsi" w:hAnsiTheme="majorHAnsi"/>
          <w:spacing w:val="1"/>
          <w:sz w:val="20"/>
          <w:szCs w:val="20"/>
        </w:rPr>
        <w:t xml:space="preserve"> </w:t>
      </w:r>
      <w:r w:rsidRPr="000977F7">
        <w:rPr>
          <w:rFonts w:asciiTheme="majorHAnsi" w:hAnsiTheme="majorHAnsi"/>
          <w:sz w:val="20"/>
          <w:szCs w:val="20"/>
        </w:rPr>
        <w:t>певна особа для аналізування стосовно</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 та для інших внутрішніх цілей, і</w:t>
      </w:r>
      <w:r w:rsidRPr="000977F7">
        <w:rPr>
          <w:rFonts w:asciiTheme="majorHAnsi" w:hAnsiTheme="majorHAnsi"/>
          <w:spacing w:val="-57"/>
          <w:sz w:val="20"/>
          <w:szCs w:val="20"/>
        </w:rPr>
        <w:t xml:space="preserve"> </w:t>
      </w:r>
      <w:r w:rsidRPr="000977F7">
        <w:rPr>
          <w:rFonts w:asciiTheme="majorHAnsi" w:hAnsiTheme="majorHAnsi"/>
          <w:sz w:val="20"/>
          <w:szCs w:val="20"/>
        </w:rPr>
        <w:t>вони можуть слугувати організації основою</w:t>
      </w:r>
      <w:r w:rsidRPr="000977F7">
        <w:rPr>
          <w:rFonts w:asciiTheme="majorHAnsi" w:hAnsiTheme="majorHAnsi"/>
          <w:spacing w:val="1"/>
          <w:sz w:val="20"/>
          <w:szCs w:val="20"/>
        </w:rPr>
        <w:t xml:space="preserve"> </w:t>
      </w:r>
      <w:r w:rsidRPr="000977F7">
        <w:rPr>
          <w:rFonts w:asciiTheme="majorHAnsi" w:hAnsiTheme="majorHAnsi"/>
          <w:sz w:val="20"/>
          <w:szCs w:val="20"/>
        </w:rPr>
        <w:t>для декларування відповідності. Незалежність аудитора може бути доведено тим, що</w:t>
      </w:r>
      <w:r w:rsidRPr="000977F7">
        <w:rPr>
          <w:rFonts w:asciiTheme="majorHAnsi" w:hAnsiTheme="majorHAnsi"/>
          <w:spacing w:val="-57"/>
          <w:sz w:val="20"/>
          <w:szCs w:val="20"/>
        </w:rPr>
        <w:t xml:space="preserve">  </w:t>
      </w:r>
      <w:r w:rsidRPr="000977F7">
        <w:rPr>
          <w:rFonts w:asciiTheme="majorHAnsi" w:hAnsiTheme="majorHAnsi"/>
          <w:sz w:val="20"/>
          <w:szCs w:val="20"/>
        </w:rPr>
        <w:t>він не відповідає за діяльність, аудит якої</w:t>
      </w:r>
      <w:r w:rsidRPr="000977F7">
        <w:rPr>
          <w:rFonts w:asciiTheme="majorHAnsi" w:hAnsiTheme="majorHAnsi"/>
          <w:spacing w:val="1"/>
          <w:sz w:val="20"/>
          <w:szCs w:val="20"/>
        </w:rPr>
        <w:t xml:space="preserve"> </w:t>
      </w:r>
      <w:r w:rsidRPr="000977F7">
        <w:rPr>
          <w:rFonts w:asciiTheme="majorHAnsi" w:hAnsiTheme="majorHAnsi"/>
          <w:sz w:val="20"/>
          <w:szCs w:val="20"/>
        </w:rPr>
        <w:t>провадять.</w:t>
      </w:r>
    </w:p>
    <w:p w14:paraId="758D6CA6" w14:textId="77777777" w:rsidR="0097612F" w:rsidRPr="000977F7" w:rsidRDefault="0097612F" w:rsidP="000977F7">
      <w:pPr>
        <w:pStyle w:val="4"/>
        <w:tabs>
          <w:tab w:val="left" w:pos="284"/>
        </w:tabs>
        <w:spacing w:line="240" w:lineRule="auto"/>
        <w:ind w:left="170"/>
        <w:mirrorIndents/>
        <w:jc w:val="both"/>
        <w:rPr>
          <w:color w:val="auto"/>
          <w:spacing w:val="-57"/>
          <w:sz w:val="20"/>
          <w:szCs w:val="20"/>
        </w:rPr>
      </w:pPr>
      <w:bookmarkStart w:id="13" w:name="_Toc132629621"/>
      <w:r w:rsidRPr="000977F7">
        <w:rPr>
          <w:color w:val="auto"/>
          <w:sz w:val="20"/>
          <w:szCs w:val="20"/>
        </w:rPr>
        <w:t>Примітка 4. До зовнішніх аудитів належать</w:t>
      </w:r>
      <w:r w:rsidRPr="000977F7">
        <w:rPr>
          <w:color w:val="auto"/>
          <w:spacing w:val="1"/>
          <w:sz w:val="20"/>
          <w:szCs w:val="20"/>
        </w:rPr>
        <w:t xml:space="preserve"> </w:t>
      </w:r>
      <w:r w:rsidRPr="000977F7">
        <w:rPr>
          <w:color w:val="auto"/>
          <w:sz w:val="20"/>
          <w:szCs w:val="20"/>
        </w:rPr>
        <w:t>ті,</w:t>
      </w:r>
      <w:r w:rsidRPr="000977F7">
        <w:rPr>
          <w:color w:val="auto"/>
          <w:spacing w:val="-4"/>
          <w:sz w:val="20"/>
          <w:szCs w:val="20"/>
        </w:rPr>
        <w:t xml:space="preserve"> </w:t>
      </w:r>
      <w:r w:rsidRPr="000977F7">
        <w:rPr>
          <w:color w:val="auto"/>
          <w:sz w:val="20"/>
          <w:szCs w:val="20"/>
        </w:rPr>
        <w:t>що</w:t>
      </w:r>
      <w:r w:rsidRPr="000977F7">
        <w:rPr>
          <w:color w:val="auto"/>
          <w:spacing w:val="-4"/>
          <w:sz w:val="20"/>
          <w:szCs w:val="20"/>
        </w:rPr>
        <w:t xml:space="preserve"> </w:t>
      </w:r>
      <w:r w:rsidRPr="000977F7">
        <w:rPr>
          <w:color w:val="auto"/>
          <w:sz w:val="20"/>
          <w:szCs w:val="20"/>
        </w:rPr>
        <w:t>їх</w:t>
      </w:r>
      <w:r w:rsidRPr="000977F7">
        <w:rPr>
          <w:color w:val="auto"/>
          <w:spacing w:val="-2"/>
          <w:sz w:val="20"/>
          <w:szCs w:val="20"/>
        </w:rPr>
        <w:t xml:space="preserve"> </w:t>
      </w:r>
      <w:r w:rsidRPr="000977F7">
        <w:rPr>
          <w:color w:val="auto"/>
          <w:sz w:val="20"/>
          <w:szCs w:val="20"/>
        </w:rPr>
        <w:t>зазвичай</w:t>
      </w:r>
      <w:r w:rsidRPr="000977F7">
        <w:rPr>
          <w:color w:val="auto"/>
          <w:spacing w:val="-4"/>
          <w:sz w:val="20"/>
          <w:szCs w:val="20"/>
        </w:rPr>
        <w:t xml:space="preserve"> </w:t>
      </w:r>
      <w:r w:rsidRPr="000977F7">
        <w:rPr>
          <w:color w:val="auto"/>
          <w:sz w:val="20"/>
          <w:szCs w:val="20"/>
        </w:rPr>
        <w:t>називають</w:t>
      </w:r>
      <w:r w:rsidRPr="000977F7">
        <w:rPr>
          <w:color w:val="auto"/>
          <w:spacing w:val="-4"/>
          <w:sz w:val="20"/>
          <w:szCs w:val="20"/>
        </w:rPr>
        <w:t xml:space="preserve"> </w:t>
      </w:r>
      <w:r w:rsidRPr="000977F7">
        <w:rPr>
          <w:color w:val="auto"/>
          <w:sz w:val="20"/>
          <w:szCs w:val="20"/>
        </w:rPr>
        <w:t>"аудити</w:t>
      </w:r>
      <w:r w:rsidRPr="000977F7">
        <w:rPr>
          <w:color w:val="auto"/>
          <w:spacing w:val="-4"/>
          <w:sz w:val="20"/>
          <w:szCs w:val="20"/>
        </w:rPr>
        <w:t xml:space="preserve"> </w:t>
      </w:r>
      <w:r w:rsidRPr="000977F7">
        <w:rPr>
          <w:color w:val="auto"/>
          <w:sz w:val="20"/>
          <w:szCs w:val="20"/>
        </w:rPr>
        <w:t>другою</w:t>
      </w:r>
      <w:bookmarkEnd w:id="13"/>
      <w:r w:rsidRPr="000977F7">
        <w:rPr>
          <w:color w:val="auto"/>
          <w:spacing w:val="-57"/>
          <w:sz w:val="20"/>
          <w:szCs w:val="20"/>
        </w:rPr>
        <w:t xml:space="preserve">        </w:t>
      </w:r>
    </w:p>
    <w:p w14:paraId="4D8E1D55" w14:textId="77777777" w:rsidR="0097612F" w:rsidRPr="000977F7" w:rsidRDefault="0097612F" w:rsidP="000977F7">
      <w:pPr>
        <w:pStyle w:val="4"/>
        <w:tabs>
          <w:tab w:val="left" w:pos="284"/>
        </w:tabs>
        <w:spacing w:line="240" w:lineRule="auto"/>
        <w:ind w:left="170"/>
        <w:mirrorIndents/>
        <w:jc w:val="both"/>
        <w:rPr>
          <w:color w:val="auto"/>
          <w:sz w:val="20"/>
          <w:szCs w:val="20"/>
        </w:rPr>
      </w:pPr>
      <w:bookmarkStart w:id="14" w:name="_Toc132629622"/>
      <w:r w:rsidRPr="000977F7">
        <w:rPr>
          <w:color w:val="auto"/>
          <w:sz w:val="20"/>
          <w:szCs w:val="20"/>
        </w:rPr>
        <w:t>стороною"</w:t>
      </w:r>
      <w:r w:rsidRPr="000977F7">
        <w:rPr>
          <w:color w:val="auto"/>
          <w:spacing w:val="-4"/>
          <w:sz w:val="20"/>
          <w:szCs w:val="20"/>
        </w:rPr>
        <w:t xml:space="preserve"> </w:t>
      </w:r>
      <w:r w:rsidRPr="000977F7">
        <w:rPr>
          <w:color w:val="auto"/>
          <w:sz w:val="20"/>
          <w:szCs w:val="20"/>
        </w:rPr>
        <w:t>та</w:t>
      </w:r>
      <w:r w:rsidRPr="000977F7">
        <w:rPr>
          <w:color w:val="auto"/>
          <w:spacing w:val="-1"/>
          <w:sz w:val="20"/>
          <w:szCs w:val="20"/>
        </w:rPr>
        <w:t xml:space="preserve"> </w:t>
      </w:r>
      <w:r w:rsidRPr="000977F7">
        <w:rPr>
          <w:color w:val="auto"/>
          <w:sz w:val="20"/>
          <w:szCs w:val="20"/>
        </w:rPr>
        <w:t>"аудити</w:t>
      </w:r>
      <w:r w:rsidRPr="000977F7">
        <w:rPr>
          <w:color w:val="auto"/>
          <w:spacing w:val="-1"/>
          <w:sz w:val="20"/>
          <w:szCs w:val="20"/>
        </w:rPr>
        <w:t xml:space="preserve"> </w:t>
      </w:r>
      <w:r w:rsidRPr="000977F7">
        <w:rPr>
          <w:color w:val="auto"/>
          <w:sz w:val="20"/>
          <w:szCs w:val="20"/>
        </w:rPr>
        <w:t>третьою</w:t>
      </w:r>
      <w:r w:rsidRPr="000977F7">
        <w:rPr>
          <w:color w:val="auto"/>
          <w:spacing w:val="-1"/>
          <w:sz w:val="20"/>
          <w:szCs w:val="20"/>
        </w:rPr>
        <w:t xml:space="preserve"> </w:t>
      </w:r>
      <w:r w:rsidRPr="000977F7">
        <w:rPr>
          <w:color w:val="auto"/>
          <w:sz w:val="20"/>
          <w:szCs w:val="20"/>
        </w:rPr>
        <w:t>стороною".</w:t>
      </w:r>
      <w:bookmarkEnd w:id="14"/>
    </w:p>
    <w:p w14:paraId="600817A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Аудити другою стороною провадять сторони, що мають певний інтерес до діяльності</w:t>
      </w:r>
    </w:p>
    <w:p w14:paraId="317F357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організації, наприклад, замовники або інші особи за їхнім дорученням. Аудити третьою стороною провадять зовнішні незалежні аудиторські організації, наприклад, ті, які здійснюють сертифікацію/реєстрацію 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чи державні органи</w:t>
      </w:r>
    </w:p>
    <w:p w14:paraId="7833A026"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pacing w:val="-1"/>
          <w:sz w:val="20"/>
          <w:szCs w:val="20"/>
        </w:rPr>
        <w:t>ДСТУ</w:t>
      </w:r>
      <w:r w:rsidRPr="000977F7">
        <w:rPr>
          <w:rFonts w:asciiTheme="majorHAnsi" w:hAnsiTheme="majorHAnsi"/>
          <w:i/>
          <w:spacing w:val="-11"/>
          <w:sz w:val="20"/>
          <w:szCs w:val="20"/>
        </w:rPr>
        <w:t xml:space="preserve"> </w:t>
      </w:r>
      <w:r w:rsidRPr="000977F7">
        <w:rPr>
          <w:rFonts w:asciiTheme="majorHAnsi" w:hAnsiTheme="majorHAnsi"/>
          <w:i/>
          <w:spacing w:val="-1"/>
          <w:sz w:val="20"/>
          <w:szCs w:val="20"/>
        </w:rPr>
        <w:t>ISO</w:t>
      </w:r>
      <w:r w:rsidRPr="000977F7">
        <w:rPr>
          <w:rFonts w:asciiTheme="majorHAnsi" w:hAnsiTheme="majorHAnsi"/>
          <w:i/>
          <w:spacing w:val="-10"/>
          <w:sz w:val="20"/>
          <w:szCs w:val="20"/>
        </w:rPr>
        <w:t xml:space="preserve"> </w:t>
      </w:r>
      <w:r w:rsidRPr="000977F7">
        <w:rPr>
          <w:rFonts w:asciiTheme="majorHAnsi" w:hAnsiTheme="majorHAnsi"/>
          <w:i/>
          <w:spacing w:val="-1"/>
          <w:sz w:val="20"/>
          <w:szCs w:val="20"/>
        </w:rPr>
        <w:t>9000:2015</w:t>
      </w:r>
    </w:p>
    <w:p w14:paraId="6F93C44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Систематичний, незалежний і задокументований процес отримування даних, констатування фактів чи іншої відповідної інформації та їх об’єктивного оцінювання, щоб установити ступінь виконання встановлених вимог.</w:t>
      </w:r>
    </w:p>
    <w:p w14:paraId="12DE601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ISO/IEC 17000:2007</w:t>
      </w:r>
    </w:p>
    <w:p w14:paraId="7818388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 р и м і т к а.</w:t>
      </w:r>
    </w:p>
    <w:p w14:paraId="543D7067" w14:textId="77777777" w:rsidR="0097612F" w:rsidRPr="000977F7" w:rsidRDefault="0097612F" w:rsidP="00FD39A4">
      <w:pPr>
        <w:widowControl w:val="0"/>
        <w:numPr>
          <w:ilvl w:val="0"/>
          <w:numId w:val="220"/>
        </w:numPr>
        <w:tabs>
          <w:tab w:val="left" w:pos="284"/>
        </w:tabs>
        <w:autoSpaceDE w:val="0"/>
        <w:autoSpaceDN w:val="0"/>
        <w:spacing w:after="0" w:line="240" w:lineRule="auto"/>
        <w:ind w:left="170" w:firstLine="0"/>
        <w:mirrorIndents/>
        <w:jc w:val="both"/>
        <w:rPr>
          <w:rFonts w:asciiTheme="majorHAnsi" w:hAnsiTheme="majorHAnsi"/>
          <w:sz w:val="20"/>
          <w:szCs w:val="20"/>
        </w:rPr>
      </w:pPr>
      <w:r w:rsidRPr="000977F7">
        <w:rPr>
          <w:rFonts w:asciiTheme="majorHAnsi" w:hAnsiTheme="majorHAnsi"/>
          <w:sz w:val="20"/>
          <w:szCs w:val="20"/>
        </w:rPr>
        <w:t>Вимоги можуть виключати визначення, чи ефективно функціонував предмет аудиту, а також чи узгоджується це із запланованими показниками.</w:t>
      </w:r>
    </w:p>
    <w:p w14:paraId="540E05D8" w14:textId="77777777" w:rsidR="0097612F" w:rsidRPr="000977F7" w:rsidRDefault="0097612F" w:rsidP="00FD39A4">
      <w:pPr>
        <w:widowControl w:val="0"/>
        <w:numPr>
          <w:ilvl w:val="0"/>
          <w:numId w:val="220"/>
        </w:numPr>
        <w:tabs>
          <w:tab w:val="left" w:pos="284"/>
        </w:tabs>
        <w:autoSpaceDE w:val="0"/>
        <w:autoSpaceDN w:val="0"/>
        <w:spacing w:after="0" w:line="240" w:lineRule="auto"/>
        <w:ind w:left="170" w:firstLine="0"/>
        <w:mirrorIndents/>
        <w:jc w:val="both"/>
        <w:rPr>
          <w:rFonts w:asciiTheme="majorHAnsi" w:hAnsiTheme="majorHAnsi"/>
          <w:sz w:val="20"/>
          <w:szCs w:val="20"/>
        </w:rPr>
      </w:pPr>
      <w:r w:rsidRPr="000977F7">
        <w:rPr>
          <w:rFonts w:asciiTheme="majorHAnsi" w:hAnsiTheme="majorHAnsi"/>
          <w:sz w:val="20"/>
          <w:szCs w:val="20"/>
        </w:rPr>
        <w:t>Інформація збирається на протязі аудиту.</w:t>
      </w:r>
    </w:p>
    <w:p w14:paraId="390314EC" w14:textId="77777777" w:rsidR="0097612F" w:rsidRPr="000977F7" w:rsidRDefault="0097612F" w:rsidP="00FD39A4">
      <w:pPr>
        <w:widowControl w:val="0"/>
        <w:numPr>
          <w:ilvl w:val="0"/>
          <w:numId w:val="220"/>
        </w:numPr>
        <w:tabs>
          <w:tab w:val="left" w:pos="284"/>
        </w:tabs>
        <w:autoSpaceDE w:val="0"/>
        <w:autoSpaceDN w:val="0"/>
        <w:spacing w:after="0" w:line="240" w:lineRule="auto"/>
        <w:ind w:left="170" w:firstLine="0"/>
        <w:mirrorIndents/>
        <w:jc w:val="both"/>
        <w:rPr>
          <w:rFonts w:asciiTheme="majorHAnsi" w:hAnsiTheme="majorHAnsi"/>
          <w:sz w:val="20"/>
          <w:szCs w:val="20"/>
        </w:rPr>
      </w:pPr>
      <w:r w:rsidRPr="000977F7">
        <w:rPr>
          <w:rFonts w:asciiTheme="majorHAnsi" w:hAnsiTheme="majorHAnsi"/>
          <w:sz w:val="20"/>
          <w:szCs w:val="20"/>
        </w:rPr>
        <w:t>Верифікована інформація стає об’єктивним доказом.</w:t>
      </w:r>
    </w:p>
    <w:p w14:paraId="46467953" w14:textId="77777777" w:rsidR="0097612F" w:rsidRPr="000977F7" w:rsidRDefault="0097612F" w:rsidP="00FD39A4">
      <w:pPr>
        <w:widowControl w:val="0"/>
        <w:numPr>
          <w:ilvl w:val="0"/>
          <w:numId w:val="220"/>
        </w:numPr>
        <w:tabs>
          <w:tab w:val="left" w:pos="284"/>
        </w:tabs>
        <w:autoSpaceDE w:val="0"/>
        <w:autoSpaceDN w:val="0"/>
        <w:spacing w:after="0" w:line="240" w:lineRule="auto"/>
        <w:ind w:left="170" w:firstLine="0"/>
        <w:mirrorIndents/>
        <w:jc w:val="both"/>
        <w:rPr>
          <w:rFonts w:asciiTheme="majorHAnsi" w:hAnsiTheme="majorHAnsi"/>
          <w:sz w:val="20"/>
          <w:szCs w:val="20"/>
        </w:rPr>
      </w:pPr>
      <w:r w:rsidRPr="000977F7">
        <w:rPr>
          <w:rFonts w:asciiTheme="majorHAnsi" w:hAnsiTheme="majorHAnsi"/>
          <w:sz w:val="20"/>
          <w:szCs w:val="20"/>
        </w:rPr>
        <w:t>Об’єктивний доказ, який визначається суттєвим, стає спостереженням аудиту.</w:t>
      </w:r>
    </w:p>
    <w:p w14:paraId="18A94BF5" w14:textId="77777777" w:rsidR="0097612F" w:rsidRPr="000977F7" w:rsidRDefault="0097612F" w:rsidP="00FD39A4">
      <w:pPr>
        <w:widowControl w:val="0"/>
        <w:numPr>
          <w:ilvl w:val="0"/>
          <w:numId w:val="220"/>
        </w:numPr>
        <w:tabs>
          <w:tab w:val="left" w:pos="284"/>
        </w:tabs>
        <w:autoSpaceDE w:val="0"/>
        <w:autoSpaceDN w:val="0"/>
        <w:spacing w:after="0" w:line="240" w:lineRule="auto"/>
        <w:ind w:left="170" w:firstLine="0"/>
        <w:mirrorIndents/>
        <w:jc w:val="both"/>
        <w:rPr>
          <w:rFonts w:asciiTheme="majorHAnsi" w:hAnsiTheme="majorHAnsi"/>
          <w:sz w:val="20"/>
          <w:szCs w:val="20"/>
        </w:rPr>
      </w:pPr>
      <w:r w:rsidRPr="000977F7">
        <w:rPr>
          <w:rFonts w:asciiTheme="majorHAnsi" w:hAnsiTheme="majorHAnsi"/>
          <w:sz w:val="20"/>
          <w:szCs w:val="20"/>
        </w:rPr>
        <w:t>Звіти про аудит містять спостереження аудиту і будь-які висновки, які можуть бути отримані із спостережень.</w:t>
      </w:r>
    </w:p>
    <w:p w14:paraId="31D3B193" w14:textId="77777777" w:rsidR="0097612F" w:rsidRPr="000977F7" w:rsidRDefault="0097612F" w:rsidP="00FD39A4">
      <w:pPr>
        <w:widowControl w:val="0"/>
        <w:numPr>
          <w:ilvl w:val="0"/>
          <w:numId w:val="220"/>
        </w:numPr>
        <w:tabs>
          <w:tab w:val="left" w:pos="284"/>
        </w:tabs>
        <w:autoSpaceDE w:val="0"/>
        <w:autoSpaceDN w:val="0"/>
        <w:spacing w:after="0" w:line="240" w:lineRule="auto"/>
        <w:ind w:left="170" w:firstLine="0"/>
        <w:mirrorIndents/>
        <w:jc w:val="both"/>
        <w:rPr>
          <w:rFonts w:asciiTheme="majorHAnsi" w:hAnsiTheme="majorHAnsi"/>
          <w:sz w:val="20"/>
          <w:szCs w:val="20"/>
        </w:rPr>
      </w:pPr>
      <w:r w:rsidRPr="000977F7">
        <w:rPr>
          <w:rFonts w:asciiTheme="majorHAnsi" w:hAnsiTheme="majorHAnsi"/>
          <w:sz w:val="20"/>
          <w:szCs w:val="20"/>
        </w:rPr>
        <w:t>Звіти про аудити використовуються як вхідні дані для аналізів.</w:t>
      </w:r>
    </w:p>
    <w:p w14:paraId="21501764" w14:textId="77777777" w:rsidR="0097612F" w:rsidRPr="000977F7" w:rsidRDefault="0097612F" w:rsidP="00FD39A4">
      <w:pPr>
        <w:widowControl w:val="0"/>
        <w:numPr>
          <w:ilvl w:val="0"/>
          <w:numId w:val="220"/>
        </w:numPr>
        <w:tabs>
          <w:tab w:val="left" w:pos="284"/>
        </w:tabs>
        <w:autoSpaceDE w:val="0"/>
        <w:autoSpaceDN w:val="0"/>
        <w:spacing w:after="0" w:line="240" w:lineRule="auto"/>
        <w:ind w:left="170" w:firstLine="0"/>
        <w:mirrorIndents/>
        <w:jc w:val="both"/>
        <w:rPr>
          <w:rFonts w:asciiTheme="majorHAnsi" w:hAnsiTheme="majorHAnsi"/>
          <w:sz w:val="20"/>
          <w:szCs w:val="20"/>
        </w:rPr>
      </w:pPr>
      <w:r w:rsidRPr="000977F7">
        <w:rPr>
          <w:rFonts w:asciiTheme="majorHAnsi" w:hAnsiTheme="majorHAnsi"/>
          <w:sz w:val="20"/>
          <w:szCs w:val="20"/>
        </w:rPr>
        <w:t>Аудит може виконуватися групою аудиту, яка може складатися із аудиторів, технічних експертів, спостережників і супроводжуючих, або із одного аудитора, який володіє необхідною компетенцією для завершення аудиту.</w:t>
      </w:r>
    </w:p>
    <w:p w14:paraId="189E19A4"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sz w:val="20"/>
          <w:szCs w:val="20"/>
        </w:rPr>
        <w:t>АУДИТОВАНИЙ –</w:t>
      </w:r>
    </w:p>
    <w:p w14:paraId="044A78E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AUDITEE –</w:t>
      </w:r>
    </w:p>
    <w:p w14:paraId="380D04F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lastRenderedPageBreak/>
        <w:t>Особа або організація, яка піддається аудиту</w:t>
      </w:r>
    </w:p>
    <w:p w14:paraId="668469C5"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sz w:val="20"/>
          <w:szCs w:val="20"/>
        </w:rPr>
        <w:t>АУДИТОР –</w:t>
      </w:r>
    </w:p>
    <w:p w14:paraId="00DA95F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AUDITOR –</w:t>
      </w:r>
    </w:p>
    <w:p w14:paraId="5CB6FD3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Особа, яка здійснює аудит</w:t>
      </w:r>
    </w:p>
    <w:p w14:paraId="731C14F2"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ДСТУ EN ISO/IEC 17021-1:2015</w:t>
      </w:r>
    </w:p>
    <w:p w14:paraId="175C6C8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Особа, яка провадить аудит.</w:t>
      </w:r>
    </w:p>
    <w:p w14:paraId="4FBCE83D"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ДСТУ ISO 9000:2015</w:t>
      </w:r>
    </w:p>
    <w:p w14:paraId="1D263A8A"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sz w:val="20"/>
          <w:szCs w:val="20"/>
        </w:rPr>
        <w:t>АУДИТОР З АТЕСТАЦІЇ ЛАБОРАТОРІЙ –</w:t>
      </w:r>
    </w:p>
    <w:p w14:paraId="5EA0737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Особа, яка здійснює всі або деякі функції, що стосуються атестації лабораторій</w:t>
      </w:r>
    </w:p>
    <w:p w14:paraId="4C7A399A"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АУТСОРСІНГ -</w:t>
      </w:r>
    </w:p>
    <w:p w14:paraId="0800AA9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OUTSOURS –</w:t>
      </w:r>
    </w:p>
    <w:p w14:paraId="1C9CBD3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Передавання виконання сторонньому виконавцю. Укладання угоди, за якою частину функції чи процесу організації виконуватиме стороння організація.</w:t>
      </w:r>
    </w:p>
    <w:p w14:paraId="4414C65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Примітка 1. Стороння організація є поза сферою застосування системи управління, тоді як функцію чи процес, передані сторонньому виконавцю охоплено сферою застосування.</w:t>
      </w:r>
    </w:p>
    <w:p w14:paraId="6C09069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sectPr w:rsidR="0097612F" w:rsidRPr="000977F7" w:rsidSect="000977F7">
          <w:type w:val="continuous"/>
          <w:pgSz w:w="11910" w:h="16840"/>
          <w:pgMar w:top="800" w:right="380" w:bottom="1180" w:left="1000" w:header="0" w:footer="993" w:gutter="0"/>
          <w:cols w:num="2" w:space="454"/>
        </w:sectPr>
      </w:pPr>
      <w:r w:rsidRPr="000977F7">
        <w:rPr>
          <w:rFonts w:asciiTheme="majorHAnsi" w:hAnsiTheme="majorHAnsi"/>
          <w:i/>
          <w:sz w:val="20"/>
          <w:szCs w:val="20"/>
        </w:rPr>
        <w:t>ДСТУ ISO 9000:2015</w:t>
      </w:r>
    </w:p>
    <w:p w14:paraId="314F922C" w14:textId="77777777" w:rsidR="0097612F" w:rsidRPr="00F74722" w:rsidRDefault="0097612F" w:rsidP="00F74722">
      <w:pPr>
        <w:pStyle w:val="1"/>
        <w:rPr>
          <w:lang w:val="uk-UA"/>
        </w:rPr>
      </w:pPr>
      <w:bookmarkStart w:id="15" w:name="_Toc132629623"/>
      <w:r w:rsidRPr="00F74722">
        <w:rPr>
          <w:lang w:val="uk-UA"/>
        </w:rPr>
        <w:lastRenderedPageBreak/>
        <w:t>Б</w:t>
      </w:r>
      <w:bookmarkEnd w:id="15"/>
    </w:p>
    <w:p w14:paraId="54A7736E" w14:textId="77777777" w:rsidR="0097612F" w:rsidRPr="00F74722" w:rsidRDefault="0097612F" w:rsidP="00F74722">
      <w:pPr>
        <w:pStyle w:val="1"/>
        <w:rPr>
          <w:lang w:val="uk-UA"/>
        </w:rPr>
        <w:sectPr w:rsidR="0097612F" w:rsidRPr="00F74722" w:rsidSect="000977F7">
          <w:pgSz w:w="11910" w:h="16840"/>
          <w:pgMar w:top="800" w:right="428" w:bottom="960" w:left="1000" w:header="0" w:footer="751" w:gutter="0"/>
          <w:cols w:num="2" w:space="454"/>
        </w:sectPr>
      </w:pPr>
    </w:p>
    <w:p w14:paraId="37042DCF" w14:textId="77777777" w:rsidR="0097612F" w:rsidRPr="000977F7" w:rsidRDefault="0097612F" w:rsidP="000977F7">
      <w:pPr>
        <w:pStyle w:val="1"/>
        <w:tabs>
          <w:tab w:val="left" w:pos="284"/>
        </w:tabs>
        <w:spacing w:line="240" w:lineRule="auto"/>
        <w:ind w:left="170"/>
        <w:mirrorIndents/>
        <w:jc w:val="both"/>
        <w:rPr>
          <w:color w:val="auto"/>
          <w:w w:val="99"/>
          <w:sz w:val="20"/>
          <w:szCs w:val="20"/>
        </w:rPr>
      </w:pPr>
    </w:p>
    <w:p w14:paraId="365E38C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БАГАТОВИМІРНИЙ</w:t>
      </w:r>
      <w:r w:rsidRPr="000977F7">
        <w:rPr>
          <w:color w:val="auto"/>
          <w:spacing w:val="-8"/>
          <w:sz w:val="20"/>
          <w:szCs w:val="20"/>
        </w:rPr>
        <w:t xml:space="preserve"> </w:t>
      </w:r>
      <w:r w:rsidRPr="000977F7">
        <w:rPr>
          <w:color w:val="auto"/>
          <w:sz w:val="20"/>
          <w:szCs w:val="20"/>
        </w:rPr>
        <w:t>ОБ’ЄКТ</w:t>
      </w:r>
      <w:r w:rsidRPr="000977F7">
        <w:rPr>
          <w:color w:val="auto"/>
          <w:spacing w:val="-7"/>
          <w:sz w:val="20"/>
          <w:szCs w:val="20"/>
        </w:rPr>
        <w:t xml:space="preserve"> </w:t>
      </w:r>
      <w:r w:rsidRPr="000977F7">
        <w:rPr>
          <w:color w:val="auto"/>
          <w:sz w:val="20"/>
          <w:szCs w:val="20"/>
        </w:rPr>
        <w:t>КЕРУВАННЯ</w:t>
      </w:r>
    </w:p>
    <w:p w14:paraId="57B56803"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uk-UA"/>
        </w:rPr>
      </w:pPr>
      <w:r w:rsidRPr="000977F7">
        <w:rPr>
          <w:rFonts w:asciiTheme="majorHAnsi" w:hAnsiTheme="majorHAnsi"/>
          <w:sz w:val="20"/>
          <w:szCs w:val="20"/>
        </w:rPr>
        <w:t>MULTI</w:t>
      </w:r>
      <w:r w:rsidRPr="004D2D14">
        <w:rPr>
          <w:rFonts w:asciiTheme="majorHAnsi" w:hAnsiTheme="majorHAnsi"/>
          <w:sz w:val="20"/>
          <w:szCs w:val="20"/>
          <w:lang w:val="uk-UA"/>
        </w:rPr>
        <w:t>-</w:t>
      </w:r>
      <w:r w:rsidRPr="000977F7">
        <w:rPr>
          <w:rFonts w:asciiTheme="majorHAnsi" w:hAnsiTheme="majorHAnsi"/>
          <w:sz w:val="20"/>
          <w:szCs w:val="20"/>
        </w:rPr>
        <w:t>DIMENTIONAL</w:t>
      </w:r>
      <w:r w:rsidRPr="004D2D14">
        <w:rPr>
          <w:rFonts w:asciiTheme="majorHAnsi" w:hAnsiTheme="majorHAnsi"/>
          <w:spacing w:val="-4"/>
          <w:sz w:val="20"/>
          <w:szCs w:val="20"/>
          <w:lang w:val="uk-UA"/>
        </w:rPr>
        <w:t xml:space="preserve"> </w:t>
      </w:r>
      <w:r w:rsidRPr="000977F7">
        <w:rPr>
          <w:rFonts w:asciiTheme="majorHAnsi" w:hAnsiTheme="majorHAnsi"/>
          <w:sz w:val="20"/>
          <w:szCs w:val="20"/>
        </w:rPr>
        <w:t>CONTROLLED</w:t>
      </w:r>
      <w:r w:rsidRPr="004D2D14">
        <w:rPr>
          <w:rFonts w:asciiTheme="majorHAnsi" w:hAnsiTheme="majorHAnsi"/>
          <w:spacing w:val="-3"/>
          <w:sz w:val="20"/>
          <w:szCs w:val="20"/>
          <w:lang w:val="uk-UA"/>
        </w:rPr>
        <w:t xml:space="preserve"> </w:t>
      </w:r>
      <w:r w:rsidRPr="000977F7">
        <w:rPr>
          <w:rFonts w:asciiTheme="majorHAnsi" w:hAnsiTheme="majorHAnsi"/>
          <w:sz w:val="20"/>
          <w:szCs w:val="20"/>
        </w:rPr>
        <w:t>OBJECT</w:t>
      </w:r>
      <w:r w:rsidRPr="004D2D14">
        <w:rPr>
          <w:rFonts w:asciiTheme="majorHAnsi" w:hAnsiTheme="majorHAnsi"/>
          <w:spacing w:val="1"/>
          <w:sz w:val="20"/>
          <w:szCs w:val="20"/>
          <w:lang w:val="uk-UA"/>
        </w:rPr>
        <w:t xml:space="preserve"> </w:t>
      </w:r>
      <w:r w:rsidRPr="004D2D14">
        <w:rPr>
          <w:rFonts w:asciiTheme="majorHAnsi" w:hAnsiTheme="majorHAnsi"/>
          <w:b/>
          <w:sz w:val="20"/>
          <w:szCs w:val="20"/>
          <w:lang w:val="uk-UA"/>
        </w:rPr>
        <w:t>–</w:t>
      </w:r>
    </w:p>
    <w:p w14:paraId="656411A1"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uk-UA"/>
        </w:rPr>
      </w:pPr>
      <w:r w:rsidRPr="004D2D14">
        <w:rPr>
          <w:rFonts w:asciiTheme="majorHAnsi" w:hAnsiTheme="majorHAnsi"/>
          <w:sz w:val="20"/>
          <w:szCs w:val="20"/>
          <w:lang w:val="uk-UA"/>
        </w:rPr>
        <w:t>Об’єкт</w:t>
      </w:r>
      <w:r w:rsidRPr="004D2D14">
        <w:rPr>
          <w:rFonts w:asciiTheme="majorHAnsi" w:hAnsiTheme="majorHAnsi"/>
          <w:spacing w:val="25"/>
          <w:sz w:val="20"/>
          <w:szCs w:val="20"/>
          <w:lang w:val="uk-UA"/>
        </w:rPr>
        <w:t xml:space="preserve"> </w:t>
      </w:r>
      <w:r w:rsidRPr="004D2D14">
        <w:rPr>
          <w:rFonts w:asciiTheme="majorHAnsi" w:hAnsiTheme="majorHAnsi"/>
          <w:sz w:val="20"/>
          <w:szCs w:val="20"/>
          <w:lang w:val="uk-UA"/>
        </w:rPr>
        <w:t>керування,</w:t>
      </w:r>
      <w:r w:rsidRPr="004D2D14">
        <w:rPr>
          <w:rFonts w:asciiTheme="majorHAnsi" w:hAnsiTheme="majorHAnsi"/>
          <w:spacing w:val="25"/>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26"/>
          <w:sz w:val="20"/>
          <w:szCs w:val="20"/>
          <w:lang w:val="uk-UA"/>
        </w:rPr>
        <w:t xml:space="preserve"> </w:t>
      </w:r>
      <w:r w:rsidRPr="004D2D14">
        <w:rPr>
          <w:rFonts w:asciiTheme="majorHAnsi" w:hAnsiTheme="majorHAnsi"/>
          <w:sz w:val="20"/>
          <w:szCs w:val="20"/>
          <w:lang w:val="uk-UA"/>
        </w:rPr>
        <w:t>має</w:t>
      </w:r>
      <w:r w:rsidRPr="004D2D14">
        <w:rPr>
          <w:rFonts w:asciiTheme="majorHAnsi" w:hAnsiTheme="majorHAnsi"/>
          <w:spacing w:val="25"/>
          <w:sz w:val="20"/>
          <w:szCs w:val="20"/>
          <w:lang w:val="uk-UA"/>
        </w:rPr>
        <w:t xml:space="preserve"> </w:t>
      </w:r>
      <w:r w:rsidRPr="004D2D14">
        <w:rPr>
          <w:rFonts w:asciiTheme="majorHAnsi" w:hAnsiTheme="majorHAnsi"/>
          <w:sz w:val="20"/>
          <w:szCs w:val="20"/>
          <w:lang w:val="uk-UA"/>
        </w:rPr>
        <w:t>більше</w:t>
      </w:r>
      <w:r w:rsidRPr="004D2D14">
        <w:rPr>
          <w:rFonts w:asciiTheme="majorHAnsi" w:hAnsiTheme="majorHAnsi"/>
          <w:spacing w:val="25"/>
          <w:sz w:val="20"/>
          <w:szCs w:val="20"/>
          <w:lang w:val="uk-UA"/>
        </w:rPr>
        <w:t xml:space="preserve"> </w:t>
      </w:r>
      <w:r w:rsidRPr="004D2D14">
        <w:rPr>
          <w:rFonts w:asciiTheme="majorHAnsi" w:hAnsiTheme="majorHAnsi"/>
          <w:sz w:val="20"/>
          <w:szCs w:val="20"/>
          <w:lang w:val="uk-UA"/>
        </w:rPr>
        <w:t>одного</w:t>
      </w:r>
      <w:r w:rsidRPr="004D2D14">
        <w:rPr>
          <w:rFonts w:asciiTheme="majorHAnsi" w:hAnsiTheme="majorHAnsi"/>
          <w:spacing w:val="26"/>
          <w:sz w:val="20"/>
          <w:szCs w:val="20"/>
          <w:lang w:val="uk-UA"/>
        </w:rPr>
        <w:t xml:space="preserve"> </w:t>
      </w:r>
      <w:r w:rsidRPr="004D2D14">
        <w:rPr>
          <w:rFonts w:asciiTheme="majorHAnsi" w:hAnsiTheme="majorHAnsi"/>
          <w:sz w:val="20"/>
          <w:szCs w:val="20"/>
          <w:lang w:val="uk-UA"/>
        </w:rPr>
        <w:t>керованого</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параметра та (або) більше одного керівного діяння</w:t>
      </w:r>
      <w:r w:rsidRPr="004D2D14">
        <w:rPr>
          <w:rFonts w:asciiTheme="majorHAnsi" w:hAnsiTheme="majorHAnsi"/>
          <w:spacing w:val="1"/>
          <w:sz w:val="20"/>
          <w:szCs w:val="20"/>
          <w:lang w:val="uk-UA"/>
        </w:rPr>
        <w:t xml:space="preserve"> </w:t>
      </w: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3956</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2000</w:t>
      </w:r>
    </w:p>
    <w:p w14:paraId="4B0545D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БАГАТОЗВ’ЯЗАНИЙ</w:t>
      </w:r>
      <w:r w:rsidRPr="000977F7">
        <w:rPr>
          <w:color w:val="auto"/>
          <w:spacing w:val="-5"/>
          <w:sz w:val="20"/>
          <w:szCs w:val="20"/>
        </w:rPr>
        <w:t xml:space="preserve"> </w:t>
      </w:r>
      <w:r w:rsidRPr="000977F7">
        <w:rPr>
          <w:color w:val="auto"/>
          <w:sz w:val="20"/>
          <w:szCs w:val="20"/>
        </w:rPr>
        <w:t>ОБ’ЄКТ</w:t>
      </w:r>
      <w:r w:rsidRPr="000977F7">
        <w:rPr>
          <w:color w:val="auto"/>
          <w:spacing w:val="-6"/>
          <w:sz w:val="20"/>
          <w:szCs w:val="20"/>
        </w:rPr>
        <w:t xml:space="preserve"> </w:t>
      </w:r>
      <w:r w:rsidRPr="000977F7">
        <w:rPr>
          <w:color w:val="auto"/>
          <w:sz w:val="20"/>
          <w:szCs w:val="20"/>
        </w:rPr>
        <w:t>КЕРУВАННЯ</w:t>
      </w:r>
      <w:r w:rsidRPr="000977F7">
        <w:rPr>
          <w:color w:val="auto"/>
          <w:spacing w:val="-4"/>
          <w:sz w:val="20"/>
          <w:szCs w:val="20"/>
        </w:rPr>
        <w:t xml:space="preserve"> </w:t>
      </w:r>
      <w:r w:rsidRPr="000977F7">
        <w:rPr>
          <w:color w:val="auto"/>
          <w:sz w:val="20"/>
          <w:szCs w:val="20"/>
        </w:rPr>
        <w:t>–</w:t>
      </w:r>
    </w:p>
    <w:p w14:paraId="24547E8E"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uk-UA"/>
        </w:rPr>
      </w:pPr>
      <w:r w:rsidRPr="000977F7">
        <w:rPr>
          <w:rFonts w:asciiTheme="majorHAnsi" w:hAnsiTheme="majorHAnsi"/>
          <w:sz w:val="20"/>
          <w:szCs w:val="20"/>
        </w:rPr>
        <w:t>MULTI</w:t>
      </w:r>
      <w:r w:rsidRPr="004D2D14">
        <w:rPr>
          <w:rFonts w:asciiTheme="majorHAnsi" w:hAnsiTheme="majorHAnsi"/>
          <w:sz w:val="20"/>
          <w:szCs w:val="20"/>
          <w:lang w:val="uk-UA"/>
        </w:rPr>
        <w:t>-</w:t>
      </w:r>
      <w:r w:rsidRPr="000977F7">
        <w:rPr>
          <w:rFonts w:asciiTheme="majorHAnsi" w:hAnsiTheme="majorHAnsi"/>
          <w:sz w:val="20"/>
          <w:szCs w:val="20"/>
        </w:rPr>
        <w:t>LOOP</w:t>
      </w:r>
      <w:r w:rsidRPr="004D2D14">
        <w:rPr>
          <w:rFonts w:asciiTheme="majorHAnsi" w:hAnsiTheme="majorHAnsi"/>
          <w:spacing w:val="-1"/>
          <w:sz w:val="20"/>
          <w:szCs w:val="20"/>
          <w:lang w:val="uk-UA"/>
        </w:rPr>
        <w:t xml:space="preserve"> </w:t>
      </w:r>
      <w:r w:rsidRPr="000977F7">
        <w:rPr>
          <w:rFonts w:asciiTheme="majorHAnsi" w:hAnsiTheme="majorHAnsi"/>
          <w:sz w:val="20"/>
          <w:szCs w:val="20"/>
        </w:rPr>
        <w:t>CONTROLLED</w:t>
      </w:r>
      <w:r w:rsidRPr="004D2D14">
        <w:rPr>
          <w:rFonts w:asciiTheme="majorHAnsi" w:hAnsiTheme="majorHAnsi"/>
          <w:sz w:val="20"/>
          <w:szCs w:val="20"/>
          <w:lang w:val="uk-UA"/>
        </w:rPr>
        <w:t xml:space="preserve"> </w:t>
      </w:r>
      <w:r w:rsidRPr="004D2D14">
        <w:rPr>
          <w:rFonts w:asciiTheme="majorHAnsi" w:hAnsiTheme="majorHAnsi"/>
          <w:b/>
          <w:sz w:val="20"/>
          <w:szCs w:val="20"/>
          <w:lang w:val="uk-UA"/>
        </w:rPr>
        <w:t>–.</w:t>
      </w:r>
    </w:p>
    <w:p w14:paraId="5887CB5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Багатовимірний об’єкт керування, в якому принаймні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один</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керований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параметр</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залежить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більше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ніж</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одного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керівного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діяння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кілька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керованих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параметрів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залежать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одного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й того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ж керівного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діяння</w:t>
      </w:r>
    </w:p>
    <w:p w14:paraId="6C9022C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70929D7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БАГАТОЕЛЕКТРОДНИЙ</w:t>
      </w:r>
      <w:r w:rsidRPr="000977F7">
        <w:rPr>
          <w:color w:val="auto"/>
          <w:spacing w:val="-3"/>
          <w:sz w:val="20"/>
          <w:szCs w:val="20"/>
        </w:rPr>
        <w:t xml:space="preserve"> </w:t>
      </w:r>
      <w:r w:rsidRPr="000977F7">
        <w:rPr>
          <w:color w:val="auto"/>
          <w:sz w:val="20"/>
          <w:szCs w:val="20"/>
        </w:rPr>
        <w:t>ЕЛЕМЕНТ</w:t>
      </w:r>
      <w:r w:rsidRPr="000977F7">
        <w:rPr>
          <w:color w:val="auto"/>
          <w:spacing w:val="-6"/>
          <w:sz w:val="20"/>
          <w:szCs w:val="20"/>
        </w:rPr>
        <w:t xml:space="preserve"> </w:t>
      </w:r>
      <w:r w:rsidRPr="000977F7">
        <w:rPr>
          <w:color w:val="auto"/>
          <w:sz w:val="20"/>
          <w:szCs w:val="20"/>
        </w:rPr>
        <w:t>–</w:t>
      </w:r>
    </w:p>
    <w:p w14:paraId="43AF6CD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Корозійний</w:t>
      </w:r>
      <w:r w:rsidRPr="000977F7">
        <w:rPr>
          <w:rFonts w:asciiTheme="majorHAnsi" w:hAnsiTheme="majorHAnsi"/>
          <w:spacing w:val="-4"/>
          <w:sz w:val="20"/>
          <w:szCs w:val="20"/>
        </w:rPr>
        <w:t xml:space="preserve"> </w:t>
      </w:r>
      <w:r w:rsidRPr="000977F7">
        <w:rPr>
          <w:rFonts w:asciiTheme="majorHAnsi" w:hAnsiTheme="majorHAnsi"/>
          <w:sz w:val="20"/>
          <w:szCs w:val="20"/>
        </w:rPr>
        <w:t>елемент,</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має</w:t>
      </w:r>
      <w:r w:rsidRPr="000977F7">
        <w:rPr>
          <w:rFonts w:asciiTheme="majorHAnsi" w:hAnsiTheme="majorHAnsi"/>
          <w:spacing w:val="-2"/>
          <w:sz w:val="20"/>
          <w:szCs w:val="20"/>
        </w:rPr>
        <w:t xml:space="preserve"> </w:t>
      </w:r>
      <w:r w:rsidRPr="000977F7">
        <w:rPr>
          <w:rFonts w:asciiTheme="majorHAnsi" w:hAnsiTheme="majorHAnsi"/>
          <w:sz w:val="20"/>
          <w:szCs w:val="20"/>
        </w:rPr>
        <w:t>більше</w:t>
      </w:r>
      <w:r w:rsidRPr="000977F7">
        <w:rPr>
          <w:rFonts w:asciiTheme="majorHAnsi" w:hAnsiTheme="majorHAnsi"/>
          <w:spacing w:val="-2"/>
          <w:sz w:val="20"/>
          <w:szCs w:val="20"/>
        </w:rPr>
        <w:t xml:space="preserve"> </w:t>
      </w:r>
      <w:r w:rsidRPr="000977F7">
        <w:rPr>
          <w:rFonts w:asciiTheme="majorHAnsi" w:hAnsiTheme="majorHAnsi"/>
          <w:sz w:val="20"/>
          <w:szCs w:val="20"/>
        </w:rPr>
        <w:t>двох</w:t>
      </w:r>
      <w:r w:rsidRPr="000977F7">
        <w:rPr>
          <w:rFonts w:asciiTheme="majorHAnsi" w:hAnsiTheme="majorHAnsi"/>
          <w:spacing w:val="-4"/>
          <w:sz w:val="20"/>
          <w:szCs w:val="20"/>
        </w:rPr>
        <w:t xml:space="preserve"> </w:t>
      </w:r>
      <w:r w:rsidRPr="000977F7">
        <w:rPr>
          <w:rFonts w:asciiTheme="majorHAnsi" w:hAnsiTheme="majorHAnsi"/>
          <w:sz w:val="20"/>
          <w:szCs w:val="20"/>
        </w:rPr>
        <w:t>електродів</w:t>
      </w:r>
    </w:p>
    <w:p w14:paraId="3BEF5E2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68FAF2A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БАГАТОМІРНЕ</w:t>
      </w:r>
      <w:r w:rsidRPr="000977F7">
        <w:rPr>
          <w:color w:val="auto"/>
          <w:spacing w:val="-5"/>
          <w:sz w:val="20"/>
          <w:szCs w:val="20"/>
        </w:rPr>
        <w:t xml:space="preserve"> </w:t>
      </w:r>
      <w:r w:rsidRPr="000977F7">
        <w:rPr>
          <w:color w:val="auto"/>
          <w:sz w:val="20"/>
          <w:szCs w:val="20"/>
        </w:rPr>
        <w:t>ШКАЛУВАННЯ</w:t>
      </w:r>
      <w:r w:rsidRPr="000977F7">
        <w:rPr>
          <w:color w:val="auto"/>
          <w:spacing w:val="-2"/>
          <w:sz w:val="20"/>
          <w:szCs w:val="20"/>
        </w:rPr>
        <w:t xml:space="preserve"> </w:t>
      </w:r>
      <w:r w:rsidRPr="000977F7">
        <w:rPr>
          <w:color w:val="auto"/>
          <w:sz w:val="20"/>
          <w:szCs w:val="20"/>
        </w:rPr>
        <w:t>–</w:t>
      </w:r>
    </w:p>
    <w:p w14:paraId="7E3BC24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8"/>
          <w:sz w:val="20"/>
          <w:szCs w:val="20"/>
        </w:rPr>
        <w:t xml:space="preserve"> </w:t>
      </w:r>
      <w:r w:rsidRPr="000977F7">
        <w:rPr>
          <w:rFonts w:asciiTheme="majorHAnsi" w:hAnsiTheme="majorHAnsi"/>
          <w:sz w:val="20"/>
          <w:szCs w:val="20"/>
        </w:rPr>
        <w:t>опитування,</w:t>
      </w:r>
      <w:r w:rsidRPr="000977F7">
        <w:rPr>
          <w:rFonts w:asciiTheme="majorHAnsi" w:hAnsiTheme="majorHAnsi"/>
          <w:spacing w:val="11"/>
          <w:sz w:val="20"/>
          <w:szCs w:val="20"/>
        </w:rPr>
        <w:t xml:space="preserve"> </w:t>
      </w:r>
      <w:r w:rsidRPr="000977F7">
        <w:rPr>
          <w:rFonts w:asciiTheme="majorHAnsi" w:hAnsiTheme="majorHAnsi"/>
          <w:sz w:val="20"/>
          <w:szCs w:val="20"/>
        </w:rPr>
        <w:t>який</w:t>
      </w:r>
      <w:r w:rsidRPr="000977F7">
        <w:rPr>
          <w:rFonts w:asciiTheme="majorHAnsi" w:hAnsiTheme="majorHAnsi"/>
          <w:spacing w:val="8"/>
          <w:sz w:val="20"/>
          <w:szCs w:val="20"/>
        </w:rPr>
        <w:t xml:space="preserve"> </w:t>
      </w:r>
      <w:r w:rsidRPr="000977F7">
        <w:rPr>
          <w:rFonts w:asciiTheme="majorHAnsi" w:hAnsiTheme="majorHAnsi"/>
          <w:sz w:val="20"/>
          <w:szCs w:val="20"/>
        </w:rPr>
        <w:t>фіксує</w:t>
      </w:r>
      <w:r w:rsidRPr="000977F7">
        <w:rPr>
          <w:rFonts w:asciiTheme="majorHAnsi" w:hAnsiTheme="majorHAnsi"/>
          <w:spacing w:val="9"/>
          <w:sz w:val="20"/>
          <w:szCs w:val="20"/>
        </w:rPr>
        <w:t xml:space="preserve"> </w:t>
      </w:r>
      <w:r w:rsidRPr="000977F7">
        <w:rPr>
          <w:rFonts w:asciiTheme="majorHAnsi" w:hAnsiTheme="majorHAnsi"/>
          <w:sz w:val="20"/>
          <w:szCs w:val="20"/>
        </w:rPr>
        <w:t>відношення</w:t>
      </w:r>
      <w:r w:rsidRPr="000977F7">
        <w:rPr>
          <w:rFonts w:asciiTheme="majorHAnsi" w:hAnsiTheme="majorHAnsi"/>
          <w:spacing w:val="8"/>
          <w:sz w:val="20"/>
          <w:szCs w:val="20"/>
        </w:rPr>
        <w:t xml:space="preserve"> </w:t>
      </w:r>
      <w:r w:rsidRPr="000977F7">
        <w:rPr>
          <w:rFonts w:asciiTheme="majorHAnsi" w:hAnsiTheme="majorHAnsi"/>
          <w:sz w:val="20"/>
          <w:szCs w:val="20"/>
        </w:rPr>
        <w:t>опитуваних</w:t>
      </w:r>
      <w:r w:rsidRPr="000977F7">
        <w:rPr>
          <w:rFonts w:asciiTheme="majorHAnsi" w:hAnsiTheme="majorHAnsi"/>
          <w:spacing w:val="-2"/>
          <w:sz w:val="20"/>
          <w:szCs w:val="20"/>
        </w:rPr>
        <w:t xml:space="preserve"> </w:t>
      </w:r>
      <w:r w:rsidRPr="000977F7">
        <w:rPr>
          <w:rFonts w:asciiTheme="majorHAnsi" w:hAnsiTheme="majorHAnsi"/>
          <w:sz w:val="20"/>
          <w:szCs w:val="20"/>
        </w:rPr>
        <w:t>осіб</w:t>
      </w:r>
      <w:r w:rsidRPr="000977F7">
        <w:rPr>
          <w:rFonts w:asciiTheme="majorHAnsi" w:hAnsiTheme="majorHAnsi"/>
          <w:spacing w:val="-2"/>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багатьох характеристик</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55987D20" w14:textId="77777777" w:rsidR="0097612F" w:rsidRPr="004D2D14" w:rsidRDefault="0097612F" w:rsidP="000977F7">
      <w:pPr>
        <w:tabs>
          <w:tab w:val="left" w:pos="284"/>
        </w:tabs>
        <w:spacing w:after="0" w:line="240" w:lineRule="auto"/>
        <w:ind w:left="170"/>
        <w:mirrorIndents/>
        <w:jc w:val="both"/>
        <w:rPr>
          <w:rFonts w:asciiTheme="majorHAnsi" w:hAnsiTheme="majorHAnsi"/>
          <w:b/>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3294</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49"/>
          <w:sz w:val="20"/>
          <w:szCs w:val="20"/>
          <w:lang w:val="en-US"/>
        </w:rPr>
        <w:t xml:space="preserve"> </w:t>
      </w:r>
      <w:r w:rsidRPr="004D2D14">
        <w:rPr>
          <w:rFonts w:asciiTheme="majorHAnsi" w:hAnsiTheme="majorHAnsi"/>
          <w:i/>
          <w:sz w:val="20"/>
          <w:szCs w:val="20"/>
          <w:lang w:val="en-US"/>
        </w:rPr>
        <w:t>95</w:t>
      </w:r>
      <w:r w:rsidRPr="004D2D14">
        <w:rPr>
          <w:rFonts w:asciiTheme="majorHAnsi" w:hAnsiTheme="majorHAnsi"/>
          <w:i/>
          <w:spacing w:val="1"/>
          <w:sz w:val="20"/>
          <w:szCs w:val="20"/>
          <w:lang w:val="en-US"/>
        </w:rPr>
        <w:t xml:space="preserve"> </w:t>
      </w:r>
      <w:r w:rsidRPr="000977F7">
        <w:rPr>
          <w:rFonts w:asciiTheme="majorHAnsi" w:hAnsiTheme="majorHAnsi"/>
          <w:b/>
          <w:sz w:val="20"/>
          <w:szCs w:val="20"/>
        </w:rPr>
        <w:t>БАГАТОПАРАМЕТРИЧНЕ</w:t>
      </w:r>
      <w:r w:rsidRPr="004D2D14">
        <w:rPr>
          <w:rFonts w:asciiTheme="majorHAnsi" w:hAnsiTheme="majorHAnsi"/>
          <w:b/>
          <w:sz w:val="20"/>
          <w:szCs w:val="20"/>
          <w:lang w:val="en-US"/>
        </w:rPr>
        <w:t xml:space="preserve"> </w:t>
      </w:r>
      <w:r w:rsidRPr="000977F7">
        <w:rPr>
          <w:rFonts w:asciiTheme="majorHAnsi" w:hAnsiTheme="majorHAnsi"/>
          <w:b/>
          <w:sz w:val="20"/>
          <w:szCs w:val="20"/>
        </w:rPr>
        <w:t>ДІЯННЯ</w:t>
      </w:r>
      <w:r w:rsidRPr="004D2D14">
        <w:rPr>
          <w:rFonts w:asciiTheme="majorHAnsi" w:hAnsiTheme="majorHAnsi"/>
          <w:b/>
          <w:sz w:val="20"/>
          <w:szCs w:val="20"/>
          <w:lang w:val="en-US"/>
        </w:rPr>
        <w:t xml:space="preserve"> –</w:t>
      </w:r>
      <w:r w:rsidRPr="004D2D14">
        <w:rPr>
          <w:rFonts w:asciiTheme="majorHAnsi" w:hAnsiTheme="majorHAnsi"/>
          <w:b/>
          <w:spacing w:val="-48"/>
          <w:sz w:val="20"/>
          <w:szCs w:val="20"/>
          <w:lang w:val="en-US"/>
        </w:rPr>
        <w:t xml:space="preserve"> </w:t>
      </w:r>
      <w:r w:rsidRPr="004D2D14">
        <w:rPr>
          <w:rFonts w:asciiTheme="majorHAnsi" w:hAnsiTheme="majorHAnsi"/>
          <w:sz w:val="20"/>
          <w:szCs w:val="20"/>
          <w:lang w:val="en-US"/>
        </w:rPr>
        <w:t>MANY-PARAMETRICAL ACTION</w:t>
      </w:r>
      <w:r w:rsidRPr="004D2D14">
        <w:rPr>
          <w:rFonts w:asciiTheme="majorHAnsi" w:hAnsiTheme="majorHAnsi"/>
          <w:spacing w:val="2"/>
          <w:sz w:val="20"/>
          <w:szCs w:val="20"/>
          <w:lang w:val="en-US"/>
        </w:rPr>
        <w:t xml:space="preserve"> </w:t>
      </w:r>
      <w:r w:rsidRPr="004D2D14">
        <w:rPr>
          <w:rFonts w:asciiTheme="majorHAnsi" w:hAnsiTheme="majorHAnsi"/>
          <w:b/>
          <w:i/>
          <w:sz w:val="20"/>
          <w:szCs w:val="20"/>
          <w:lang w:val="en-US"/>
        </w:rPr>
        <w:t>–</w:t>
      </w:r>
    </w:p>
    <w:p w14:paraId="560506F8" w14:textId="77777777" w:rsidR="0097612F" w:rsidRPr="004D2D14" w:rsidRDefault="0097612F" w:rsidP="000977F7">
      <w:pPr>
        <w:tabs>
          <w:tab w:val="left" w:pos="284"/>
        </w:tabs>
        <w:spacing w:after="0" w:line="240" w:lineRule="auto"/>
        <w:ind w:left="170"/>
        <w:mirrorIndents/>
        <w:jc w:val="both"/>
        <w:rPr>
          <w:rFonts w:asciiTheme="majorHAnsi" w:hAnsiTheme="majorHAnsi"/>
          <w:b/>
          <w:i/>
          <w:sz w:val="20"/>
          <w:szCs w:val="20"/>
          <w:lang w:val="en-US"/>
        </w:rPr>
      </w:pPr>
      <w:r w:rsidRPr="000977F7">
        <w:rPr>
          <w:rFonts w:asciiTheme="majorHAnsi" w:hAnsiTheme="majorHAnsi"/>
          <w:sz w:val="20"/>
          <w:szCs w:val="20"/>
        </w:rPr>
        <w:t>Діяння</w:t>
      </w:r>
      <w:r w:rsidRPr="004D2D14">
        <w:rPr>
          <w:rFonts w:asciiTheme="majorHAnsi" w:hAnsiTheme="majorHAnsi"/>
          <w:sz w:val="20"/>
          <w:szCs w:val="20"/>
          <w:lang w:val="en-US"/>
        </w:rPr>
        <w:t>,</w:t>
      </w:r>
      <w:r w:rsidRPr="004D2D14">
        <w:rPr>
          <w:rFonts w:asciiTheme="majorHAnsi" w:hAnsiTheme="majorHAnsi"/>
          <w:spacing w:val="-4"/>
          <w:sz w:val="20"/>
          <w:szCs w:val="20"/>
          <w:lang w:val="en-US"/>
        </w:rPr>
        <w:t xml:space="preserve"> </w:t>
      </w:r>
      <w:r w:rsidRPr="000977F7">
        <w:rPr>
          <w:rFonts w:asciiTheme="majorHAnsi" w:hAnsiTheme="majorHAnsi"/>
          <w:sz w:val="20"/>
          <w:szCs w:val="20"/>
        </w:rPr>
        <w:t>що</w:t>
      </w:r>
      <w:r w:rsidRPr="004D2D14">
        <w:rPr>
          <w:rFonts w:asciiTheme="majorHAnsi" w:hAnsiTheme="majorHAnsi"/>
          <w:spacing w:val="-2"/>
          <w:sz w:val="20"/>
          <w:szCs w:val="20"/>
          <w:lang w:val="en-US"/>
        </w:rPr>
        <w:t xml:space="preserve"> </w:t>
      </w:r>
      <w:r w:rsidRPr="000977F7">
        <w:rPr>
          <w:rFonts w:asciiTheme="majorHAnsi" w:hAnsiTheme="majorHAnsi"/>
          <w:sz w:val="20"/>
          <w:szCs w:val="20"/>
        </w:rPr>
        <w:t>має</w:t>
      </w:r>
      <w:r w:rsidRPr="004D2D14">
        <w:rPr>
          <w:rFonts w:asciiTheme="majorHAnsi" w:hAnsiTheme="majorHAnsi"/>
          <w:spacing w:val="-2"/>
          <w:sz w:val="20"/>
          <w:szCs w:val="20"/>
          <w:lang w:val="en-US"/>
        </w:rPr>
        <w:t xml:space="preserve"> </w:t>
      </w:r>
      <w:r w:rsidRPr="000977F7">
        <w:rPr>
          <w:rFonts w:asciiTheme="majorHAnsi" w:hAnsiTheme="majorHAnsi"/>
          <w:sz w:val="20"/>
          <w:szCs w:val="20"/>
        </w:rPr>
        <w:t>декілька</w:t>
      </w:r>
      <w:r w:rsidRPr="004D2D14">
        <w:rPr>
          <w:rFonts w:asciiTheme="majorHAnsi" w:hAnsiTheme="majorHAnsi"/>
          <w:spacing w:val="-3"/>
          <w:sz w:val="20"/>
          <w:szCs w:val="20"/>
          <w:lang w:val="en-US"/>
        </w:rPr>
        <w:t xml:space="preserve"> </w:t>
      </w:r>
      <w:r w:rsidRPr="000977F7">
        <w:rPr>
          <w:rFonts w:asciiTheme="majorHAnsi" w:hAnsiTheme="majorHAnsi"/>
          <w:sz w:val="20"/>
          <w:szCs w:val="20"/>
        </w:rPr>
        <w:t>основних</w:t>
      </w:r>
      <w:r w:rsidRPr="004D2D14">
        <w:rPr>
          <w:rFonts w:asciiTheme="majorHAnsi" w:hAnsiTheme="majorHAnsi"/>
          <w:spacing w:val="-4"/>
          <w:sz w:val="20"/>
          <w:szCs w:val="20"/>
          <w:lang w:val="en-US"/>
        </w:rPr>
        <w:t xml:space="preserve"> </w:t>
      </w:r>
      <w:r w:rsidRPr="000977F7">
        <w:rPr>
          <w:rFonts w:asciiTheme="majorHAnsi" w:hAnsiTheme="majorHAnsi"/>
          <w:sz w:val="20"/>
          <w:szCs w:val="20"/>
        </w:rPr>
        <w:t>параметрів</w:t>
      </w:r>
      <w:r w:rsidRPr="004D2D14">
        <w:rPr>
          <w:rFonts w:asciiTheme="majorHAnsi" w:hAnsiTheme="majorHAnsi"/>
          <w:spacing w:val="-47"/>
          <w:sz w:val="20"/>
          <w:szCs w:val="20"/>
          <w:lang w:val="en-US"/>
        </w:rPr>
        <w:t xml:space="preserve"> </w:t>
      </w: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3956</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49"/>
          <w:sz w:val="20"/>
          <w:szCs w:val="20"/>
          <w:lang w:val="en-US"/>
        </w:rPr>
        <w:t xml:space="preserve"> </w:t>
      </w:r>
      <w:r w:rsidRPr="004D2D14">
        <w:rPr>
          <w:rFonts w:asciiTheme="majorHAnsi" w:hAnsiTheme="majorHAnsi"/>
          <w:i/>
          <w:sz w:val="20"/>
          <w:szCs w:val="20"/>
          <w:lang w:val="en-US"/>
        </w:rPr>
        <w:t>2000</w:t>
      </w:r>
      <w:r w:rsidRPr="004D2D14">
        <w:rPr>
          <w:rFonts w:asciiTheme="majorHAnsi" w:hAnsiTheme="majorHAnsi"/>
          <w:i/>
          <w:spacing w:val="1"/>
          <w:sz w:val="20"/>
          <w:szCs w:val="20"/>
          <w:lang w:val="en-US"/>
        </w:rPr>
        <w:t xml:space="preserve"> </w:t>
      </w:r>
      <w:r w:rsidRPr="000977F7">
        <w:rPr>
          <w:rFonts w:asciiTheme="majorHAnsi" w:hAnsiTheme="majorHAnsi"/>
          <w:b/>
          <w:sz w:val="20"/>
          <w:szCs w:val="20"/>
        </w:rPr>
        <w:t>БАГАТОПАРАМЕТРИЧНИЙ</w:t>
      </w:r>
      <w:r w:rsidRPr="004D2D14">
        <w:rPr>
          <w:rFonts w:asciiTheme="majorHAnsi" w:hAnsiTheme="majorHAnsi"/>
          <w:b/>
          <w:sz w:val="20"/>
          <w:szCs w:val="20"/>
          <w:lang w:val="en-US"/>
        </w:rPr>
        <w:t xml:space="preserve"> </w:t>
      </w:r>
      <w:r w:rsidRPr="000977F7">
        <w:rPr>
          <w:rFonts w:asciiTheme="majorHAnsi" w:hAnsiTheme="majorHAnsi"/>
          <w:b/>
          <w:sz w:val="20"/>
          <w:szCs w:val="20"/>
        </w:rPr>
        <w:t>СИГНАЛ</w:t>
      </w:r>
      <w:r w:rsidRPr="004D2D14">
        <w:rPr>
          <w:rFonts w:asciiTheme="majorHAnsi" w:hAnsiTheme="majorHAnsi"/>
          <w:b/>
          <w:sz w:val="20"/>
          <w:szCs w:val="20"/>
          <w:lang w:val="en-US"/>
        </w:rPr>
        <w:t xml:space="preserve"> –</w:t>
      </w:r>
      <w:r w:rsidRPr="004D2D14">
        <w:rPr>
          <w:rFonts w:asciiTheme="majorHAnsi" w:hAnsiTheme="majorHAnsi"/>
          <w:b/>
          <w:spacing w:val="1"/>
          <w:sz w:val="20"/>
          <w:szCs w:val="20"/>
          <w:lang w:val="en-US"/>
        </w:rPr>
        <w:t xml:space="preserve"> </w:t>
      </w:r>
      <w:r w:rsidRPr="004D2D14">
        <w:rPr>
          <w:rFonts w:asciiTheme="majorHAnsi" w:hAnsiTheme="majorHAnsi"/>
          <w:sz w:val="20"/>
          <w:szCs w:val="20"/>
          <w:lang w:val="en-US"/>
        </w:rPr>
        <w:t>MANY-PARAMETRIC</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 xml:space="preserve">SIGNAL </w:t>
      </w:r>
      <w:r w:rsidRPr="004D2D14">
        <w:rPr>
          <w:rFonts w:asciiTheme="majorHAnsi" w:hAnsiTheme="majorHAnsi"/>
          <w:b/>
          <w:i/>
          <w:sz w:val="20"/>
          <w:szCs w:val="20"/>
          <w:lang w:val="en-US"/>
        </w:rPr>
        <w:t>–</w:t>
      </w:r>
    </w:p>
    <w:p w14:paraId="19E949D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Сигнал</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має</w:t>
      </w:r>
      <w:r w:rsidRPr="004D2D14">
        <w:rPr>
          <w:rFonts w:asciiTheme="majorHAnsi" w:hAnsiTheme="majorHAnsi"/>
          <w:sz w:val="20"/>
          <w:szCs w:val="20"/>
          <w:lang w:val="en-US"/>
        </w:rPr>
        <w:t xml:space="preserve"> </w:t>
      </w:r>
      <w:r w:rsidRPr="000977F7">
        <w:rPr>
          <w:rFonts w:asciiTheme="majorHAnsi" w:hAnsiTheme="majorHAnsi"/>
          <w:sz w:val="20"/>
          <w:szCs w:val="20"/>
        </w:rPr>
        <w:t>дві</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більше</w:t>
      </w:r>
      <w:r w:rsidRPr="004D2D14">
        <w:rPr>
          <w:rFonts w:asciiTheme="majorHAnsi" w:hAnsiTheme="majorHAnsi"/>
          <w:sz w:val="20"/>
          <w:szCs w:val="20"/>
          <w:lang w:val="en-US"/>
        </w:rPr>
        <w:t xml:space="preserve"> </w:t>
      </w:r>
      <w:r w:rsidRPr="000977F7">
        <w:rPr>
          <w:rFonts w:asciiTheme="majorHAnsi" w:hAnsiTheme="majorHAnsi"/>
          <w:sz w:val="20"/>
          <w:szCs w:val="20"/>
        </w:rPr>
        <w:t>взаємо</w:t>
      </w:r>
      <w:r w:rsidRPr="004D2D14">
        <w:rPr>
          <w:rFonts w:asciiTheme="majorHAnsi" w:hAnsiTheme="majorHAnsi"/>
          <w:sz w:val="20"/>
          <w:szCs w:val="20"/>
          <w:lang w:val="en-US"/>
        </w:rPr>
        <w:t xml:space="preserve"> </w:t>
      </w:r>
      <w:r w:rsidRPr="000977F7">
        <w:rPr>
          <w:rFonts w:asciiTheme="majorHAnsi" w:hAnsiTheme="majorHAnsi"/>
          <w:sz w:val="20"/>
          <w:szCs w:val="20"/>
        </w:rPr>
        <w:t>сумісних</w:t>
      </w:r>
      <w:r w:rsidRPr="004D2D14">
        <w:rPr>
          <w:rFonts w:asciiTheme="majorHAnsi" w:hAnsiTheme="majorHAnsi"/>
          <w:sz w:val="20"/>
          <w:szCs w:val="20"/>
          <w:lang w:val="en-US"/>
        </w:rPr>
        <w:t xml:space="preserve"> </w:t>
      </w:r>
      <w:r w:rsidRPr="000977F7">
        <w:rPr>
          <w:rFonts w:asciiTheme="majorHAnsi" w:hAnsiTheme="majorHAnsi"/>
          <w:sz w:val="20"/>
          <w:szCs w:val="20"/>
        </w:rPr>
        <w:t>інформативних</w:t>
      </w:r>
      <w:r w:rsidRPr="004D2D14">
        <w:rPr>
          <w:rFonts w:asciiTheme="majorHAnsi" w:hAnsiTheme="majorHAnsi"/>
          <w:spacing w:val="-2"/>
          <w:sz w:val="20"/>
          <w:szCs w:val="20"/>
          <w:lang w:val="en-US"/>
        </w:rPr>
        <w:t xml:space="preserve"> </w:t>
      </w:r>
      <w:r w:rsidRPr="000977F7">
        <w:rPr>
          <w:rFonts w:asciiTheme="majorHAnsi" w:hAnsiTheme="majorHAnsi"/>
          <w:sz w:val="20"/>
          <w:szCs w:val="20"/>
        </w:rPr>
        <w:t>ознак</w:t>
      </w:r>
      <w:r w:rsidRPr="004D2D14">
        <w:rPr>
          <w:rFonts w:asciiTheme="majorHAnsi" w:hAnsiTheme="majorHAnsi"/>
          <w:spacing w:val="1"/>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параметрів</w:t>
      </w:r>
    </w:p>
    <w:p w14:paraId="25C2663E"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3956</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49"/>
          <w:sz w:val="20"/>
          <w:szCs w:val="20"/>
          <w:lang w:val="en-US"/>
        </w:rPr>
        <w:t xml:space="preserve"> </w:t>
      </w:r>
      <w:r w:rsidRPr="004D2D14">
        <w:rPr>
          <w:rFonts w:asciiTheme="majorHAnsi" w:hAnsiTheme="majorHAnsi"/>
          <w:i/>
          <w:sz w:val="20"/>
          <w:szCs w:val="20"/>
          <w:lang w:val="en-US"/>
        </w:rPr>
        <w:t>2000</w:t>
      </w:r>
      <w:r w:rsidRPr="004D2D14">
        <w:rPr>
          <w:rFonts w:asciiTheme="majorHAnsi" w:hAnsiTheme="majorHAnsi"/>
          <w:i/>
          <w:spacing w:val="1"/>
          <w:sz w:val="20"/>
          <w:szCs w:val="20"/>
          <w:lang w:val="en-US"/>
        </w:rPr>
        <w:t xml:space="preserve"> </w:t>
      </w:r>
      <w:r w:rsidRPr="000977F7">
        <w:rPr>
          <w:rFonts w:asciiTheme="majorHAnsi" w:hAnsiTheme="majorHAnsi"/>
          <w:b/>
          <w:sz w:val="20"/>
          <w:szCs w:val="20"/>
        </w:rPr>
        <w:t>БАГАТОСТОРОННЯ</w:t>
      </w:r>
      <w:r w:rsidRPr="004D2D14">
        <w:rPr>
          <w:rFonts w:asciiTheme="majorHAnsi" w:hAnsiTheme="majorHAnsi"/>
          <w:b/>
          <w:sz w:val="20"/>
          <w:szCs w:val="20"/>
          <w:lang w:val="en-US"/>
        </w:rPr>
        <w:t xml:space="preserve"> </w:t>
      </w:r>
      <w:r w:rsidRPr="000977F7">
        <w:rPr>
          <w:rFonts w:asciiTheme="majorHAnsi" w:hAnsiTheme="majorHAnsi"/>
          <w:b/>
          <w:sz w:val="20"/>
          <w:szCs w:val="20"/>
        </w:rPr>
        <w:t>УГОДА</w:t>
      </w:r>
      <w:r w:rsidRPr="004D2D14">
        <w:rPr>
          <w:rFonts w:asciiTheme="majorHAnsi" w:hAnsiTheme="majorHAnsi"/>
          <w:b/>
          <w:sz w:val="20"/>
          <w:szCs w:val="20"/>
          <w:lang w:val="en-US"/>
        </w:rPr>
        <w:t xml:space="preserve"> –</w:t>
      </w:r>
      <w:r w:rsidRPr="004D2D14">
        <w:rPr>
          <w:rFonts w:asciiTheme="majorHAnsi" w:hAnsiTheme="majorHAnsi"/>
          <w:b/>
          <w:spacing w:val="1"/>
          <w:sz w:val="20"/>
          <w:szCs w:val="20"/>
          <w:lang w:val="en-US"/>
        </w:rPr>
        <w:t xml:space="preserve"> </w:t>
      </w:r>
      <w:r w:rsidRPr="004D2D14">
        <w:rPr>
          <w:rFonts w:asciiTheme="majorHAnsi" w:hAnsiTheme="majorHAnsi"/>
          <w:sz w:val="20"/>
          <w:szCs w:val="20"/>
          <w:lang w:val="en-US"/>
        </w:rPr>
        <w:t>MULTILATERAL</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ARRANGEMENT</w:t>
      </w:r>
      <w:r w:rsidRPr="004D2D14">
        <w:rPr>
          <w:rFonts w:asciiTheme="majorHAnsi" w:hAnsiTheme="majorHAnsi"/>
          <w:spacing w:val="2"/>
          <w:sz w:val="20"/>
          <w:szCs w:val="20"/>
          <w:lang w:val="en-US"/>
        </w:rPr>
        <w:t xml:space="preserve"> </w:t>
      </w:r>
      <w:r w:rsidRPr="004D2D14">
        <w:rPr>
          <w:rFonts w:asciiTheme="majorHAnsi" w:hAnsiTheme="majorHAnsi"/>
          <w:b/>
          <w:sz w:val="20"/>
          <w:szCs w:val="20"/>
          <w:lang w:val="en-US"/>
        </w:rPr>
        <w:t>–</w:t>
      </w:r>
    </w:p>
    <w:p w14:paraId="2DD927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Угода, за якої понад дві сторони визнають чи схвалюють</w:t>
      </w:r>
      <w:r w:rsidRPr="000977F7">
        <w:rPr>
          <w:rFonts w:asciiTheme="majorHAnsi" w:hAnsiTheme="majorHAnsi"/>
          <w:spacing w:val="1"/>
          <w:sz w:val="20"/>
          <w:szCs w:val="20"/>
        </w:rPr>
        <w:t xml:space="preserve"> </w:t>
      </w:r>
      <w:r w:rsidRPr="000977F7">
        <w:rPr>
          <w:rFonts w:asciiTheme="majorHAnsi" w:hAnsiTheme="majorHAnsi"/>
          <w:sz w:val="20"/>
          <w:szCs w:val="20"/>
        </w:rPr>
        <w:t>результати</w:t>
      </w:r>
      <w:r w:rsidRPr="000977F7">
        <w:rPr>
          <w:rFonts w:asciiTheme="majorHAnsi" w:hAnsiTheme="majorHAnsi"/>
          <w:spacing w:val="1"/>
          <w:sz w:val="20"/>
          <w:szCs w:val="20"/>
        </w:rPr>
        <w:t xml:space="preserve"> </w:t>
      </w:r>
      <w:r w:rsidRPr="000977F7">
        <w:rPr>
          <w:rFonts w:asciiTheme="majorHAnsi" w:hAnsiTheme="majorHAnsi"/>
          <w:sz w:val="20"/>
          <w:szCs w:val="20"/>
        </w:rPr>
        <w:t>оцінювання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сторін</w:t>
      </w:r>
    </w:p>
    <w:p w14:paraId="7ED2DDF2" w14:textId="77777777" w:rsidR="0097612F" w:rsidRPr="000977F7" w:rsidRDefault="0097612F" w:rsidP="000977F7">
      <w:pPr>
        <w:tabs>
          <w:tab w:val="left" w:pos="284"/>
        </w:tabs>
        <w:spacing w:after="0" w:line="240" w:lineRule="auto"/>
        <w:ind w:left="170"/>
        <w:mirrorIndents/>
        <w:jc w:val="both"/>
        <w:rPr>
          <w:rFonts w:asciiTheme="majorHAnsi" w:hAnsiTheme="majorHAnsi"/>
          <w:bCs/>
          <w:i/>
          <w:iCs/>
          <w:sz w:val="20"/>
          <w:szCs w:val="20"/>
        </w:rPr>
      </w:pPr>
      <w:r w:rsidRPr="000977F7">
        <w:rPr>
          <w:rFonts w:asciiTheme="majorHAnsi" w:hAnsiTheme="majorHAnsi"/>
          <w:bCs/>
          <w:i/>
          <w:iCs/>
          <w:spacing w:val="-1"/>
          <w:sz w:val="20"/>
          <w:szCs w:val="20"/>
        </w:rPr>
        <w:t>ДСТУ</w:t>
      </w:r>
      <w:r w:rsidRPr="000977F7">
        <w:rPr>
          <w:rFonts w:asciiTheme="majorHAnsi" w:hAnsiTheme="majorHAnsi"/>
          <w:bCs/>
          <w:i/>
          <w:iCs/>
          <w:spacing w:val="-6"/>
          <w:sz w:val="20"/>
          <w:szCs w:val="20"/>
        </w:rPr>
        <w:t xml:space="preserve"> </w:t>
      </w:r>
      <w:r w:rsidRPr="000977F7">
        <w:rPr>
          <w:rFonts w:asciiTheme="majorHAnsi" w:hAnsiTheme="majorHAnsi"/>
          <w:bCs/>
          <w:i/>
          <w:iCs/>
          <w:spacing w:val="-1"/>
          <w:sz w:val="20"/>
          <w:szCs w:val="20"/>
        </w:rPr>
        <w:t>ISO/IEC</w:t>
      </w:r>
      <w:r w:rsidRPr="000977F7">
        <w:rPr>
          <w:rFonts w:asciiTheme="majorHAnsi" w:hAnsiTheme="majorHAnsi"/>
          <w:bCs/>
          <w:i/>
          <w:iCs/>
          <w:spacing w:val="-10"/>
          <w:sz w:val="20"/>
          <w:szCs w:val="20"/>
        </w:rPr>
        <w:t xml:space="preserve"> </w:t>
      </w:r>
      <w:r w:rsidRPr="000977F7">
        <w:rPr>
          <w:rFonts w:asciiTheme="majorHAnsi" w:hAnsiTheme="majorHAnsi"/>
          <w:bCs/>
          <w:i/>
          <w:iCs/>
          <w:spacing w:val="-1"/>
          <w:sz w:val="20"/>
          <w:szCs w:val="20"/>
        </w:rPr>
        <w:t>17000:2007</w:t>
      </w:r>
    </w:p>
    <w:p w14:paraId="7A999A86" w14:textId="77777777" w:rsidR="0097612F" w:rsidRPr="000977F7" w:rsidRDefault="0097612F" w:rsidP="000977F7">
      <w:pPr>
        <w:pStyle w:val="7"/>
        <w:tabs>
          <w:tab w:val="left" w:pos="284"/>
          <w:tab w:val="left" w:pos="3206"/>
          <w:tab w:val="left" w:pos="4120"/>
        </w:tabs>
        <w:spacing w:before="0" w:line="240" w:lineRule="auto"/>
        <w:ind w:left="170"/>
        <w:mirrorIndents/>
        <w:jc w:val="both"/>
        <w:rPr>
          <w:b w:val="0"/>
          <w:color w:val="auto"/>
          <w:sz w:val="20"/>
          <w:szCs w:val="20"/>
        </w:rPr>
      </w:pPr>
      <w:r w:rsidRPr="000977F7">
        <w:rPr>
          <w:color w:val="auto"/>
          <w:sz w:val="20"/>
          <w:szCs w:val="20"/>
        </w:rPr>
        <w:t xml:space="preserve">БАГАТОСТУПІНЧАСТИЙ ВІДБІР </w:t>
      </w:r>
      <w:r w:rsidRPr="000977F7">
        <w:rPr>
          <w:color w:val="auto"/>
          <w:spacing w:val="-1"/>
          <w:sz w:val="20"/>
          <w:szCs w:val="20"/>
        </w:rPr>
        <w:t>ВИБОРОК</w:t>
      </w:r>
      <w:r w:rsidRPr="000977F7">
        <w:rPr>
          <w:color w:val="auto"/>
          <w:spacing w:val="-47"/>
          <w:sz w:val="20"/>
          <w:szCs w:val="20"/>
        </w:rPr>
        <w:t xml:space="preserve"> </w:t>
      </w:r>
      <w:r w:rsidRPr="000977F7">
        <w:rPr>
          <w:color w:val="auto"/>
          <w:sz w:val="20"/>
          <w:szCs w:val="20"/>
        </w:rPr>
        <w:t>(ПРОБ</w:t>
      </w:r>
      <w:r w:rsidRPr="000977F7">
        <w:rPr>
          <w:b w:val="0"/>
          <w:color w:val="auto"/>
          <w:sz w:val="20"/>
          <w:szCs w:val="20"/>
        </w:rPr>
        <w:t>) –</w:t>
      </w:r>
    </w:p>
    <w:p w14:paraId="71CA129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MULTISTAGE</w:t>
      </w:r>
      <w:r w:rsidRPr="004D2D14">
        <w:rPr>
          <w:rFonts w:asciiTheme="majorHAnsi" w:hAnsiTheme="majorHAnsi"/>
          <w:spacing w:val="-4"/>
          <w:sz w:val="20"/>
          <w:szCs w:val="20"/>
          <w:lang w:val="uk-UA"/>
        </w:rPr>
        <w:t xml:space="preserve"> </w:t>
      </w:r>
      <w:r w:rsidRPr="000977F7">
        <w:rPr>
          <w:rFonts w:asciiTheme="majorHAnsi" w:hAnsiTheme="majorHAnsi"/>
          <w:sz w:val="20"/>
          <w:szCs w:val="20"/>
        </w:rPr>
        <w:t>SAMPLING</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703749A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Відбір, при якому вибірка (проба) формується ступінчасто, і одиниці продукції в кожному ступені вибирають</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випадковим чином із одиниць або її частин, відібраних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попередньому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ступені</w:t>
      </w:r>
    </w:p>
    <w:p w14:paraId="1412353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БАГАТОСТУПЕНЕВЕ</w:t>
      </w:r>
      <w:r w:rsidRPr="000977F7">
        <w:rPr>
          <w:color w:val="auto"/>
          <w:spacing w:val="40"/>
          <w:sz w:val="20"/>
          <w:szCs w:val="20"/>
        </w:rPr>
        <w:t xml:space="preserve"> </w:t>
      </w:r>
      <w:r w:rsidRPr="000977F7">
        <w:rPr>
          <w:color w:val="auto"/>
          <w:sz w:val="20"/>
          <w:szCs w:val="20"/>
        </w:rPr>
        <w:t>НАВАНТАЖУВАННЯ</w:t>
      </w:r>
      <w:r w:rsidRPr="000977F7">
        <w:rPr>
          <w:color w:val="auto"/>
          <w:spacing w:val="-3"/>
          <w:sz w:val="20"/>
          <w:szCs w:val="20"/>
        </w:rPr>
        <w:t xml:space="preserve"> </w:t>
      </w:r>
      <w:r w:rsidRPr="000977F7">
        <w:rPr>
          <w:color w:val="auto"/>
          <w:sz w:val="20"/>
          <w:szCs w:val="20"/>
        </w:rPr>
        <w:t>–</w:t>
      </w:r>
    </w:p>
    <w:p w14:paraId="1990177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MULTILEVEL</w:t>
      </w:r>
      <w:r w:rsidRPr="004D2D14">
        <w:rPr>
          <w:rFonts w:asciiTheme="majorHAnsi" w:hAnsiTheme="majorHAnsi"/>
          <w:spacing w:val="-5"/>
          <w:sz w:val="20"/>
          <w:szCs w:val="20"/>
          <w:lang w:val="uk-UA"/>
        </w:rPr>
        <w:t xml:space="preserve"> </w:t>
      </w:r>
      <w:r w:rsidRPr="000977F7">
        <w:rPr>
          <w:rFonts w:asciiTheme="majorHAnsi" w:hAnsiTheme="majorHAnsi"/>
          <w:sz w:val="20"/>
          <w:szCs w:val="20"/>
        </w:rPr>
        <w:t>LOADING</w:t>
      </w:r>
      <w:r w:rsidRPr="004D2D14">
        <w:rPr>
          <w:rFonts w:asciiTheme="majorHAnsi" w:hAnsiTheme="majorHAnsi"/>
          <w:sz w:val="20"/>
          <w:szCs w:val="20"/>
          <w:lang w:val="uk-UA"/>
        </w:rPr>
        <w:t xml:space="preserve"> –</w:t>
      </w:r>
    </w:p>
    <w:p w14:paraId="47E1B2B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Блокове навантажування, за яким здійснюється перехід із ступеня на ступінь навантажування і на базі випробувань реалізується не менше одного блоку навантажування</w:t>
      </w:r>
    </w:p>
    <w:p w14:paraId="3892A31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C87D6E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БАГАТОСТУПІНЧАСТИЙ ПЛАН </w:t>
      </w:r>
    </w:p>
    <w:p w14:paraId="324BB661"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ВИБІРКОВО</w:t>
      </w:r>
      <w:r w:rsidRPr="000977F7">
        <w:rPr>
          <w:color w:val="auto"/>
          <w:spacing w:val="-47"/>
          <w:sz w:val="20"/>
          <w:szCs w:val="20"/>
        </w:rPr>
        <w:t xml:space="preserve"> </w:t>
      </w:r>
      <w:r w:rsidRPr="000977F7">
        <w:rPr>
          <w:color w:val="auto"/>
          <w:sz w:val="20"/>
          <w:szCs w:val="20"/>
        </w:rPr>
        <w:t xml:space="preserve">ГО КОНТРОЛЮ </w:t>
      </w:r>
      <w:r w:rsidRPr="000977F7">
        <w:rPr>
          <w:b w:val="0"/>
          <w:color w:val="auto"/>
          <w:sz w:val="20"/>
          <w:szCs w:val="20"/>
        </w:rPr>
        <w:t>–</w:t>
      </w:r>
    </w:p>
    <w:p w14:paraId="1DA0811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MULTIPLE</w:t>
      </w:r>
      <w:r w:rsidRPr="004D2D14">
        <w:rPr>
          <w:rFonts w:asciiTheme="majorHAnsi" w:hAnsiTheme="majorHAnsi"/>
          <w:spacing w:val="-4"/>
          <w:sz w:val="20"/>
          <w:szCs w:val="20"/>
          <w:lang w:val="uk-UA"/>
        </w:rPr>
        <w:t xml:space="preserve"> </w:t>
      </w:r>
      <w:r w:rsidRPr="000977F7">
        <w:rPr>
          <w:rFonts w:asciiTheme="majorHAnsi" w:hAnsiTheme="majorHAnsi"/>
          <w:sz w:val="20"/>
          <w:szCs w:val="20"/>
        </w:rPr>
        <w:t>SAMPLING</w:t>
      </w:r>
      <w:r w:rsidRPr="004D2D14">
        <w:rPr>
          <w:rFonts w:asciiTheme="majorHAnsi" w:hAnsiTheme="majorHAnsi"/>
          <w:spacing w:val="-3"/>
          <w:sz w:val="20"/>
          <w:szCs w:val="20"/>
          <w:lang w:val="uk-UA"/>
        </w:rPr>
        <w:t xml:space="preserve"> </w:t>
      </w:r>
      <w:r w:rsidRPr="000977F7">
        <w:rPr>
          <w:rFonts w:asciiTheme="majorHAnsi" w:hAnsiTheme="majorHAnsi"/>
          <w:sz w:val="20"/>
          <w:szCs w:val="20"/>
        </w:rPr>
        <w:t>PLAN</w:t>
      </w:r>
      <w:r w:rsidRPr="004D2D14">
        <w:rPr>
          <w:rFonts w:asciiTheme="majorHAnsi" w:hAnsiTheme="majorHAnsi"/>
          <w:sz w:val="20"/>
          <w:szCs w:val="20"/>
          <w:lang w:val="uk-UA"/>
        </w:rPr>
        <w:t xml:space="preserve"> –</w:t>
      </w:r>
    </w:p>
    <w:p w14:paraId="3184ADF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План</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вибіркового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контролю,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характеризується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тим, що рішення стосовно приймання партії продукції</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приймають за результатами контролю декількох вибірок, максимальну кількість яких встановлено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заздалегідь, причому необхідність відбору наступної вибірки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залежить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результатів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контролю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попередніх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вибірок</w:t>
      </w:r>
    </w:p>
    <w:p w14:paraId="4A11A994"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3514 - 97</w:t>
      </w:r>
    </w:p>
    <w:p w14:paraId="22A360FE" w14:textId="77777777" w:rsidR="0097612F" w:rsidRPr="004D2D14" w:rsidRDefault="0097612F" w:rsidP="000977F7">
      <w:pPr>
        <w:tabs>
          <w:tab w:val="left" w:pos="284"/>
        </w:tabs>
        <w:spacing w:after="0" w:line="240" w:lineRule="auto"/>
        <w:ind w:left="170"/>
        <w:mirrorIndents/>
        <w:jc w:val="both"/>
        <w:rPr>
          <w:rFonts w:asciiTheme="majorHAnsi" w:hAnsiTheme="majorHAnsi"/>
          <w:b/>
          <w:bCs/>
          <w:sz w:val="20"/>
          <w:szCs w:val="20"/>
          <w:lang w:val="uk-UA"/>
        </w:rPr>
      </w:pPr>
      <w:r w:rsidRPr="004D2D14">
        <w:rPr>
          <w:rFonts w:asciiTheme="majorHAnsi" w:hAnsiTheme="majorHAnsi"/>
          <w:b/>
          <w:bCs/>
          <w:sz w:val="20"/>
          <w:szCs w:val="20"/>
          <w:lang w:val="uk-UA"/>
        </w:rPr>
        <w:t>БАГАТОЦИКЛОВА</w:t>
      </w:r>
      <w:r w:rsidRPr="004D2D14">
        <w:rPr>
          <w:rFonts w:asciiTheme="majorHAnsi" w:hAnsiTheme="majorHAnsi"/>
          <w:b/>
          <w:bCs/>
          <w:spacing w:val="-5"/>
          <w:sz w:val="20"/>
          <w:szCs w:val="20"/>
          <w:lang w:val="uk-UA"/>
        </w:rPr>
        <w:t xml:space="preserve"> </w:t>
      </w:r>
      <w:r w:rsidRPr="004D2D14">
        <w:rPr>
          <w:rFonts w:asciiTheme="majorHAnsi" w:hAnsiTheme="majorHAnsi"/>
          <w:b/>
          <w:bCs/>
          <w:sz w:val="20"/>
          <w:szCs w:val="20"/>
          <w:lang w:val="uk-UA"/>
        </w:rPr>
        <w:t>ВТОМА</w:t>
      </w:r>
      <w:r w:rsidRPr="004D2D14">
        <w:rPr>
          <w:rFonts w:asciiTheme="majorHAnsi" w:hAnsiTheme="majorHAnsi"/>
          <w:b/>
          <w:bCs/>
          <w:spacing w:val="-5"/>
          <w:sz w:val="20"/>
          <w:szCs w:val="20"/>
          <w:lang w:val="uk-UA"/>
        </w:rPr>
        <w:t xml:space="preserve"> </w:t>
      </w:r>
      <w:r w:rsidRPr="004D2D14">
        <w:rPr>
          <w:rFonts w:asciiTheme="majorHAnsi" w:hAnsiTheme="majorHAnsi"/>
          <w:b/>
          <w:bCs/>
          <w:sz w:val="20"/>
          <w:szCs w:val="20"/>
          <w:lang w:val="uk-UA"/>
        </w:rPr>
        <w:t>–</w:t>
      </w:r>
    </w:p>
    <w:p w14:paraId="70CCBC0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HIGH</w:t>
      </w:r>
      <w:r w:rsidRPr="004D2D14">
        <w:rPr>
          <w:rFonts w:asciiTheme="majorHAnsi" w:hAnsiTheme="majorHAnsi"/>
          <w:sz w:val="20"/>
          <w:szCs w:val="20"/>
          <w:lang w:val="uk-UA"/>
        </w:rPr>
        <w:t>-</w:t>
      </w:r>
      <w:r w:rsidRPr="000977F7">
        <w:rPr>
          <w:rFonts w:asciiTheme="majorHAnsi" w:hAnsiTheme="majorHAnsi"/>
          <w:sz w:val="20"/>
          <w:szCs w:val="20"/>
        </w:rPr>
        <w:t>CYCLE</w:t>
      </w:r>
      <w:r w:rsidRPr="004D2D14">
        <w:rPr>
          <w:rFonts w:asciiTheme="majorHAnsi" w:hAnsiTheme="majorHAnsi"/>
          <w:spacing w:val="-3"/>
          <w:sz w:val="20"/>
          <w:szCs w:val="20"/>
          <w:lang w:val="uk-UA"/>
        </w:rPr>
        <w:t xml:space="preserve"> </w:t>
      </w:r>
      <w:r w:rsidRPr="000977F7">
        <w:rPr>
          <w:rFonts w:asciiTheme="majorHAnsi" w:hAnsiTheme="majorHAnsi"/>
          <w:sz w:val="20"/>
          <w:szCs w:val="20"/>
        </w:rPr>
        <w:t>FATIGUE</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7956248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Втома</w:t>
      </w:r>
      <w:r w:rsidRPr="000977F7">
        <w:rPr>
          <w:rFonts w:asciiTheme="majorHAnsi" w:hAnsiTheme="majorHAnsi"/>
          <w:spacing w:val="1"/>
          <w:sz w:val="20"/>
          <w:szCs w:val="20"/>
        </w:rPr>
        <w:t xml:space="preserve"> </w:t>
      </w:r>
      <w:r w:rsidRPr="000977F7">
        <w:rPr>
          <w:rFonts w:asciiTheme="majorHAnsi" w:hAnsiTheme="majorHAnsi"/>
          <w:sz w:val="20"/>
          <w:szCs w:val="20"/>
        </w:rPr>
        <w:t>матеріалу,</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якої</w:t>
      </w:r>
      <w:r w:rsidRPr="000977F7">
        <w:rPr>
          <w:rFonts w:asciiTheme="majorHAnsi" w:hAnsiTheme="majorHAnsi"/>
          <w:spacing w:val="1"/>
          <w:sz w:val="20"/>
          <w:szCs w:val="20"/>
        </w:rPr>
        <w:t xml:space="preserve"> </w:t>
      </w:r>
      <w:r w:rsidRPr="000977F7">
        <w:rPr>
          <w:rFonts w:asciiTheme="majorHAnsi" w:hAnsiTheme="majorHAnsi"/>
          <w:sz w:val="20"/>
          <w:szCs w:val="20"/>
        </w:rPr>
        <w:t>втомне</w:t>
      </w:r>
      <w:r w:rsidRPr="000977F7">
        <w:rPr>
          <w:rFonts w:asciiTheme="majorHAnsi" w:hAnsiTheme="majorHAnsi"/>
          <w:spacing w:val="1"/>
          <w:sz w:val="20"/>
          <w:szCs w:val="20"/>
        </w:rPr>
        <w:t xml:space="preserve"> </w:t>
      </w:r>
      <w:r w:rsidRPr="000977F7">
        <w:rPr>
          <w:rFonts w:asciiTheme="majorHAnsi" w:hAnsiTheme="majorHAnsi"/>
          <w:sz w:val="20"/>
          <w:szCs w:val="20"/>
        </w:rPr>
        <w:t>пошкоджування</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руйнування відбувається без виявленого накопичення</w:t>
      </w:r>
      <w:r w:rsidRPr="000977F7">
        <w:rPr>
          <w:rFonts w:asciiTheme="majorHAnsi" w:hAnsiTheme="majorHAnsi"/>
          <w:spacing w:val="1"/>
          <w:sz w:val="20"/>
          <w:szCs w:val="20"/>
        </w:rPr>
        <w:t xml:space="preserve"> </w:t>
      </w:r>
      <w:r w:rsidRPr="000977F7">
        <w:rPr>
          <w:rFonts w:asciiTheme="majorHAnsi" w:hAnsiTheme="majorHAnsi"/>
          <w:sz w:val="20"/>
          <w:szCs w:val="20"/>
        </w:rPr>
        <w:t>деформацій</w:t>
      </w:r>
    </w:p>
    <w:p w14:paraId="78C3E35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DF5AFD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БАЗА</w:t>
      </w:r>
      <w:r w:rsidRPr="000977F7">
        <w:rPr>
          <w:color w:val="auto"/>
          <w:spacing w:val="-3"/>
          <w:sz w:val="20"/>
          <w:szCs w:val="20"/>
        </w:rPr>
        <w:t xml:space="preserve"> </w:t>
      </w:r>
      <w:r w:rsidRPr="000977F7">
        <w:rPr>
          <w:color w:val="auto"/>
          <w:sz w:val="20"/>
          <w:szCs w:val="20"/>
        </w:rPr>
        <w:t>–</w:t>
      </w:r>
    </w:p>
    <w:p w14:paraId="256885B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BASE</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35DF25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Поверхня або сполучення поверхонь, лінія (вісь), точка, які належать заготовці або виробу і використовуються</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базування</w:t>
      </w:r>
    </w:p>
    <w:p w14:paraId="4CB2A0D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 :</w:t>
      </w:r>
    </w:p>
    <w:p w14:paraId="7BD2649F" w14:textId="77777777" w:rsidR="0097612F" w:rsidRPr="000977F7" w:rsidRDefault="0097612F" w:rsidP="00FD39A4">
      <w:pPr>
        <w:pStyle w:val="ac"/>
        <w:widowControl w:val="0"/>
        <w:numPr>
          <w:ilvl w:val="0"/>
          <w:numId w:val="219"/>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Допоміжна</w:t>
      </w:r>
      <w:r w:rsidRPr="000977F7">
        <w:rPr>
          <w:rFonts w:asciiTheme="majorHAnsi" w:hAnsiTheme="majorHAnsi"/>
          <w:spacing w:val="1"/>
          <w:sz w:val="20"/>
          <w:szCs w:val="20"/>
        </w:rPr>
        <w:t xml:space="preserve"> </w:t>
      </w:r>
      <w:r w:rsidRPr="000977F7">
        <w:rPr>
          <w:rFonts w:asciiTheme="majorHAnsi" w:hAnsiTheme="majorHAnsi"/>
          <w:sz w:val="20"/>
          <w:szCs w:val="20"/>
        </w:rPr>
        <w:t>установча</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установча</w:t>
      </w:r>
      <w:r w:rsidRPr="000977F7">
        <w:rPr>
          <w:rFonts w:asciiTheme="majorHAnsi" w:hAnsiTheme="majorHAnsi"/>
          <w:spacing w:val="1"/>
          <w:sz w:val="20"/>
          <w:szCs w:val="20"/>
        </w:rPr>
        <w:t xml:space="preserve"> </w:t>
      </w:r>
      <w:r w:rsidRPr="000977F7">
        <w:rPr>
          <w:rFonts w:asciiTheme="majorHAnsi" w:hAnsiTheme="majorHAnsi"/>
          <w:sz w:val="20"/>
          <w:szCs w:val="20"/>
        </w:rPr>
        <w:t>база,</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сполучається з поверхнею деталі, що працює сумісно</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даною</w:t>
      </w:r>
      <w:r w:rsidRPr="000977F7">
        <w:rPr>
          <w:rFonts w:asciiTheme="majorHAnsi" w:hAnsiTheme="majorHAnsi"/>
          <w:spacing w:val="-2"/>
          <w:sz w:val="20"/>
          <w:szCs w:val="20"/>
        </w:rPr>
        <w:t xml:space="preserve"> </w:t>
      </w:r>
      <w:r w:rsidRPr="000977F7">
        <w:rPr>
          <w:rFonts w:asciiTheme="majorHAnsi" w:hAnsiTheme="majorHAnsi"/>
          <w:sz w:val="20"/>
          <w:szCs w:val="20"/>
        </w:rPr>
        <w:t>заготовкою</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складеній</w:t>
      </w:r>
      <w:r w:rsidRPr="000977F7">
        <w:rPr>
          <w:rFonts w:asciiTheme="majorHAnsi" w:hAnsiTheme="majorHAnsi"/>
          <w:spacing w:val="-3"/>
          <w:sz w:val="20"/>
          <w:szCs w:val="20"/>
        </w:rPr>
        <w:t xml:space="preserve"> </w:t>
      </w:r>
      <w:r w:rsidRPr="000977F7">
        <w:rPr>
          <w:rFonts w:asciiTheme="majorHAnsi" w:hAnsiTheme="majorHAnsi"/>
          <w:sz w:val="20"/>
          <w:szCs w:val="20"/>
        </w:rPr>
        <w:t>машині</w:t>
      </w:r>
    </w:p>
    <w:p w14:paraId="516B3141" w14:textId="77777777" w:rsidR="0097612F" w:rsidRPr="000977F7" w:rsidRDefault="0097612F" w:rsidP="00FD39A4">
      <w:pPr>
        <w:pStyle w:val="ac"/>
        <w:widowControl w:val="0"/>
        <w:numPr>
          <w:ilvl w:val="0"/>
          <w:numId w:val="219"/>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Вимірювальна – база для визначення відносного</w:t>
      </w:r>
      <w:r w:rsidRPr="000977F7">
        <w:rPr>
          <w:rFonts w:asciiTheme="majorHAnsi" w:hAnsiTheme="majorHAnsi"/>
          <w:spacing w:val="1"/>
          <w:sz w:val="20"/>
          <w:szCs w:val="20"/>
        </w:rPr>
        <w:t xml:space="preserve"> </w:t>
      </w:r>
      <w:r w:rsidRPr="000977F7">
        <w:rPr>
          <w:rFonts w:asciiTheme="majorHAnsi" w:hAnsiTheme="majorHAnsi"/>
          <w:sz w:val="20"/>
          <w:szCs w:val="20"/>
        </w:rPr>
        <w:t>положення заготовки або виробу та засобів вимірювальної</w:t>
      </w:r>
      <w:r w:rsidRPr="000977F7">
        <w:rPr>
          <w:rFonts w:asciiTheme="majorHAnsi" w:hAnsiTheme="majorHAnsi"/>
          <w:spacing w:val="-2"/>
          <w:sz w:val="20"/>
          <w:szCs w:val="20"/>
        </w:rPr>
        <w:t xml:space="preserve"> </w:t>
      </w:r>
      <w:r w:rsidRPr="000977F7">
        <w:rPr>
          <w:rFonts w:asciiTheme="majorHAnsi" w:hAnsiTheme="majorHAnsi"/>
          <w:sz w:val="20"/>
          <w:szCs w:val="20"/>
        </w:rPr>
        <w:t>механіки</w:t>
      </w:r>
    </w:p>
    <w:p w14:paraId="184D7072" w14:textId="77777777" w:rsidR="0097612F" w:rsidRPr="000977F7" w:rsidRDefault="0097612F" w:rsidP="00FD39A4">
      <w:pPr>
        <w:pStyle w:val="ac"/>
        <w:widowControl w:val="0"/>
        <w:numPr>
          <w:ilvl w:val="0"/>
          <w:numId w:val="219"/>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Конструкторська – база для визначення положення</w:t>
      </w:r>
      <w:r w:rsidRPr="000977F7">
        <w:rPr>
          <w:rFonts w:asciiTheme="majorHAnsi" w:hAnsiTheme="majorHAnsi"/>
          <w:spacing w:val="-2"/>
          <w:sz w:val="20"/>
          <w:szCs w:val="20"/>
        </w:rPr>
        <w:t xml:space="preserve"> </w:t>
      </w:r>
      <w:r w:rsidRPr="000977F7">
        <w:rPr>
          <w:rFonts w:asciiTheme="majorHAnsi" w:hAnsiTheme="majorHAnsi"/>
          <w:sz w:val="20"/>
          <w:szCs w:val="20"/>
        </w:rPr>
        <w:t>деталі</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складальної</w:t>
      </w:r>
      <w:r w:rsidRPr="000977F7">
        <w:rPr>
          <w:rFonts w:asciiTheme="majorHAnsi" w:hAnsiTheme="majorHAnsi"/>
          <w:spacing w:val="-1"/>
          <w:sz w:val="20"/>
          <w:szCs w:val="20"/>
        </w:rPr>
        <w:t xml:space="preserve"> </w:t>
      </w:r>
      <w:r w:rsidRPr="000977F7">
        <w:rPr>
          <w:rFonts w:asciiTheme="majorHAnsi" w:hAnsiTheme="majorHAnsi"/>
          <w:sz w:val="20"/>
          <w:szCs w:val="20"/>
        </w:rPr>
        <w:t>одиниці</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5"/>
          <w:sz w:val="20"/>
          <w:szCs w:val="20"/>
        </w:rPr>
        <w:t xml:space="preserve"> </w:t>
      </w:r>
      <w:r w:rsidRPr="000977F7">
        <w:rPr>
          <w:rFonts w:asciiTheme="majorHAnsi" w:hAnsiTheme="majorHAnsi"/>
          <w:sz w:val="20"/>
          <w:szCs w:val="20"/>
        </w:rPr>
        <w:t>виробі</w:t>
      </w:r>
    </w:p>
    <w:p w14:paraId="6DDF731E" w14:textId="77777777" w:rsidR="0097612F" w:rsidRPr="000977F7" w:rsidRDefault="0097612F" w:rsidP="00FD39A4">
      <w:pPr>
        <w:pStyle w:val="ac"/>
        <w:widowControl w:val="0"/>
        <w:numPr>
          <w:ilvl w:val="0"/>
          <w:numId w:val="219"/>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Основна установча – установча база, яка сполучається з поверхнею деталі, що працює сумісно з</w:t>
      </w:r>
      <w:r w:rsidRPr="000977F7">
        <w:rPr>
          <w:rFonts w:asciiTheme="majorHAnsi" w:hAnsiTheme="majorHAnsi"/>
          <w:spacing w:val="1"/>
          <w:sz w:val="20"/>
          <w:szCs w:val="20"/>
        </w:rPr>
        <w:t xml:space="preserve"> </w:t>
      </w:r>
      <w:r w:rsidRPr="000977F7">
        <w:rPr>
          <w:rFonts w:asciiTheme="majorHAnsi" w:hAnsiTheme="majorHAnsi"/>
          <w:sz w:val="20"/>
          <w:szCs w:val="20"/>
        </w:rPr>
        <w:t>даною заготовкою в складеній машині, або впливає</w:t>
      </w:r>
      <w:r w:rsidRPr="000977F7">
        <w:rPr>
          <w:rFonts w:asciiTheme="majorHAnsi" w:hAnsiTheme="majorHAnsi"/>
          <w:spacing w:val="-1"/>
          <w:sz w:val="20"/>
          <w:szCs w:val="20"/>
        </w:rPr>
        <w:t xml:space="preserve"> </w:t>
      </w:r>
      <w:r w:rsidRPr="000977F7">
        <w:rPr>
          <w:rFonts w:asciiTheme="majorHAnsi" w:hAnsiTheme="majorHAnsi"/>
          <w:sz w:val="20"/>
          <w:szCs w:val="20"/>
        </w:rPr>
        <w:t>на її</w:t>
      </w:r>
      <w:r w:rsidRPr="000977F7">
        <w:rPr>
          <w:rFonts w:asciiTheme="majorHAnsi" w:hAnsiTheme="majorHAnsi"/>
          <w:spacing w:val="-1"/>
          <w:sz w:val="20"/>
          <w:szCs w:val="20"/>
        </w:rPr>
        <w:t xml:space="preserve"> </w:t>
      </w:r>
      <w:r w:rsidRPr="000977F7">
        <w:rPr>
          <w:rFonts w:asciiTheme="majorHAnsi" w:hAnsiTheme="majorHAnsi"/>
          <w:sz w:val="20"/>
          <w:szCs w:val="20"/>
        </w:rPr>
        <w:t>роботу</w:t>
      </w:r>
      <w:r w:rsidRPr="000977F7">
        <w:rPr>
          <w:rFonts w:asciiTheme="majorHAnsi" w:hAnsiTheme="majorHAnsi"/>
          <w:spacing w:val="-4"/>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машині</w:t>
      </w:r>
    </w:p>
    <w:p w14:paraId="30503E76" w14:textId="77777777" w:rsidR="0097612F" w:rsidRPr="000977F7" w:rsidRDefault="0097612F" w:rsidP="00FD39A4">
      <w:pPr>
        <w:pStyle w:val="ac"/>
        <w:widowControl w:val="0"/>
        <w:numPr>
          <w:ilvl w:val="0"/>
          <w:numId w:val="219"/>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база</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 положення</w:t>
      </w:r>
      <w:r w:rsidRPr="000977F7">
        <w:rPr>
          <w:rFonts w:asciiTheme="majorHAnsi" w:hAnsiTheme="majorHAnsi"/>
          <w:spacing w:val="1"/>
          <w:sz w:val="20"/>
          <w:szCs w:val="20"/>
        </w:rPr>
        <w:t xml:space="preserve"> </w:t>
      </w:r>
      <w:r w:rsidRPr="000977F7">
        <w:rPr>
          <w:rFonts w:asciiTheme="majorHAnsi" w:hAnsiTheme="majorHAnsi"/>
          <w:sz w:val="20"/>
          <w:szCs w:val="20"/>
        </w:rPr>
        <w:t>заготовки або виробу в процесі виготовлення або</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p>
    <w:p w14:paraId="1178F263" w14:textId="77777777" w:rsidR="0097612F" w:rsidRPr="000977F7" w:rsidRDefault="0097612F" w:rsidP="00FD39A4">
      <w:pPr>
        <w:pStyle w:val="ac"/>
        <w:widowControl w:val="0"/>
        <w:numPr>
          <w:ilvl w:val="0"/>
          <w:numId w:val="219"/>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Установча</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база</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установки</w:t>
      </w:r>
      <w:r w:rsidRPr="000977F7">
        <w:rPr>
          <w:rFonts w:asciiTheme="majorHAnsi" w:hAnsiTheme="majorHAnsi"/>
          <w:spacing w:val="1"/>
          <w:sz w:val="20"/>
          <w:szCs w:val="20"/>
        </w:rPr>
        <w:t xml:space="preserve"> </w:t>
      </w:r>
      <w:r w:rsidRPr="000977F7">
        <w:rPr>
          <w:rFonts w:asciiTheme="majorHAnsi" w:hAnsiTheme="majorHAnsi"/>
          <w:sz w:val="20"/>
          <w:szCs w:val="20"/>
        </w:rPr>
        <w:t>заготовки</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оброблюванні в потрібному положенні відносно</w:t>
      </w:r>
      <w:r w:rsidRPr="000977F7">
        <w:rPr>
          <w:rFonts w:asciiTheme="majorHAnsi" w:hAnsiTheme="majorHAnsi"/>
          <w:spacing w:val="1"/>
          <w:sz w:val="20"/>
          <w:szCs w:val="20"/>
        </w:rPr>
        <w:t xml:space="preserve"> </w:t>
      </w:r>
      <w:r w:rsidRPr="000977F7">
        <w:rPr>
          <w:rFonts w:asciiTheme="majorHAnsi" w:hAnsiTheme="majorHAnsi"/>
          <w:sz w:val="20"/>
          <w:szCs w:val="20"/>
        </w:rPr>
        <w:t>верстата</w:t>
      </w:r>
      <w:r w:rsidRPr="000977F7">
        <w:rPr>
          <w:rFonts w:asciiTheme="majorHAnsi" w:hAnsiTheme="majorHAnsi"/>
          <w:spacing w:val="-2"/>
          <w:sz w:val="20"/>
          <w:szCs w:val="20"/>
        </w:rPr>
        <w:t xml:space="preserve"> </w:t>
      </w:r>
      <w:r w:rsidRPr="000977F7">
        <w:rPr>
          <w:rFonts w:asciiTheme="majorHAnsi" w:hAnsiTheme="majorHAnsi"/>
          <w:sz w:val="20"/>
          <w:szCs w:val="20"/>
        </w:rPr>
        <w:t>(або пристрою)</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інструмента</w:t>
      </w:r>
    </w:p>
    <w:p w14:paraId="67F7784F" w14:textId="77777777" w:rsidR="0097612F" w:rsidRPr="000977F7" w:rsidRDefault="0097612F" w:rsidP="00FD39A4">
      <w:pPr>
        <w:pStyle w:val="ac"/>
        <w:widowControl w:val="0"/>
        <w:numPr>
          <w:ilvl w:val="0"/>
          <w:numId w:val="219"/>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Чорнова – установча база у вигляді необробленої</w:t>
      </w:r>
      <w:r w:rsidRPr="000977F7">
        <w:rPr>
          <w:rFonts w:asciiTheme="majorHAnsi" w:hAnsiTheme="majorHAnsi"/>
          <w:spacing w:val="1"/>
          <w:sz w:val="20"/>
          <w:szCs w:val="20"/>
        </w:rPr>
        <w:t xml:space="preserve"> </w:t>
      </w:r>
      <w:r w:rsidRPr="000977F7">
        <w:rPr>
          <w:rFonts w:asciiTheme="majorHAnsi" w:hAnsiTheme="majorHAnsi"/>
          <w:sz w:val="20"/>
          <w:szCs w:val="20"/>
        </w:rPr>
        <w:t>поверхні</w:t>
      </w:r>
    </w:p>
    <w:p w14:paraId="1BCF5F5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БАЗА</w:t>
      </w:r>
      <w:r w:rsidRPr="000977F7">
        <w:rPr>
          <w:color w:val="auto"/>
          <w:spacing w:val="-6"/>
          <w:sz w:val="20"/>
          <w:szCs w:val="20"/>
        </w:rPr>
        <w:t xml:space="preserve"> </w:t>
      </w:r>
      <w:r w:rsidRPr="000977F7">
        <w:rPr>
          <w:color w:val="auto"/>
          <w:sz w:val="20"/>
          <w:szCs w:val="20"/>
        </w:rPr>
        <w:t>ВИПРОБУВАНЬ</w:t>
      </w:r>
      <w:r w:rsidRPr="000977F7">
        <w:rPr>
          <w:color w:val="auto"/>
          <w:spacing w:val="-3"/>
          <w:sz w:val="20"/>
          <w:szCs w:val="20"/>
        </w:rPr>
        <w:t xml:space="preserve"> </w:t>
      </w:r>
      <w:r w:rsidRPr="000977F7">
        <w:rPr>
          <w:color w:val="auto"/>
          <w:sz w:val="20"/>
          <w:szCs w:val="20"/>
        </w:rPr>
        <w:t>–</w:t>
      </w:r>
    </w:p>
    <w:p w14:paraId="7D88807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NUMBER</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CYCLES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8B621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Найбільша тривалість випробувань на втому, тривалу</w:t>
      </w:r>
      <w:r w:rsidRPr="000977F7">
        <w:rPr>
          <w:rFonts w:asciiTheme="majorHAnsi" w:hAnsiTheme="majorHAnsi"/>
          <w:spacing w:val="1"/>
          <w:sz w:val="20"/>
          <w:szCs w:val="20"/>
        </w:rPr>
        <w:t xml:space="preserve"> </w:t>
      </w:r>
      <w:r w:rsidRPr="000977F7">
        <w:rPr>
          <w:rFonts w:asciiTheme="majorHAnsi" w:hAnsiTheme="majorHAnsi"/>
          <w:sz w:val="20"/>
          <w:szCs w:val="20"/>
        </w:rPr>
        <w:t>міцність, повзучість чи релаксацію напружень, задана</w:t>
      </w:r>
      <w:r w:rsidRPr="000977F7">
        <w:rPr>
          <w:rFonts w:asciiTheme="majorHAnsi" w:hAnsiTheme="majorHAnsi"/>
          <w:spacing w:val="1"/>
          <w:sz w:val="20"/>
          <w:szCs w:val="20"/>
        </w:rPr>
        <w:t xml:space="preserve"> </w:t>
      </w:r>
      <w:r w:rsidRPr="000977F7">
        <w:rPr>
          <w:rFonts w:asciiTheme="majorHAnsi" w:hAnsiTheme="majorHAnsi"/>
          <w:sz w:val="20"/>
          <w:szCs w:val="20"/>
        </w:rPr>
        <w:t>попередньо</w:t>
      </w:r>
    </w:p>
    <w:p w14:paraId="7E42B40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2824 – 94</w:t>
      </w:r>
    </w:p>
    <w:p w14:paraId="6000AD7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BASE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150C322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Попередньо</w:t>
      </w:r>
      <w:r w:rsidRPr="000977F7">
        <w:rPr>
          <w:rFonts w:asciiTheme="majorHAnsi" w:hAnsiTheme="majorHAnsi"/>
          <w:spacing w:val="-5"/>
          <w:sz w:val="20"/>
          <w:szCs w:val="20"/>
        </w:rPr>
        <w:t xml:space="preserve"> </w:t>
      </w:r>
      <w:r w:rsidRPr="000977F7">
        <w:rPr>
          <w:rFonts w:asciiTheme="majorHAnsi" w:hAnsiTheme="majorHAnsi"/>
          <w:sz w:val="20"/>
          <w:szCs w:val="20"/>
        </w:rPr>
        <w:t>задана</w:t>
      </w:r>
      <w:r w:rsidRPr="000977F7">
        <w:rPr>
          <w:rFonts w:asciiTheme="majorHAnsi" w:hAnsiTheme="majorHAnsi"/>
          <w:spacing w:val="-6"/>
          <w:sz w:val="20"/>
          <w:szCs w:val="20"/>
        </w:rPr>
        <w:t xml:space="preserve"> </w:t>
      </w:r>
      <w:r w:rsidRPr="000977F7">
        <w:rPr>
          <w:rFonts w:asciiTheme="majorHAnsi" w:hAnsiTheme="majorHAnsi"/>
          <w:sz w:val="20"/>
          <w:szCs w:val="20"/>
        </w:rPr>
        <w:t>найбільша</w:t>
      </w:r>
      <w:r w:rsidRPr="000977F7">
        <w:rPr>
          <w:rFonts w:asciiTheme="majorHAnsi" w:hAnsiTheme="majorHAnsi"/>
          <w:spacing w:val="-5"/>
          <w:sz w:val="20"/>
          <w:szCs w:val="20"/>
        </w:rPr>
        <w:t xml:space="preserve"> </w:t>
      </w:r>
      <w:r w:rsidRPr="000977F7">
        <w:rPr>
          <w:rFonts w:asciiTheme="majorHAnsi" w:hAnsiTheme="majorHAnsi"/>
          <w:sz w:val="20"/>
          <w:szCs w:val="20"/>
        </w:rPr>
        <w:t>тривалість</w:t>
      </w:r>
      <w:r w:rsidRPr="000977F7">
        <w:rPr>
          <w:rFonts w:asciiTheme="majorHAnsi" w:hAnsiTheme="majorHAnsi"/>
          <w:spacing w:val="-7"/>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47"/>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втому</w:t>
      </w:r>
      <w:r w:rsidRPr="000977F7">
        <w:rPr>
          <w:rFonts w:asciiTheme="majorHAnsi" w:hAnsiTheme="majorHAnsi"/>
          <w:spacing w:val="-4"/>
          <w:sz w:val="20"/>
          <w:szCs w:val="20"/>
        </w:rPr>
        <w:t xml:space="preserve"> </w:t>
      </w:r>
      <w:r w:rsidRPr="000977F7">
        <w:rPr>
          <w:rFonts w:asciiTheme="majorHAnsi" w:hAnsiTheme="majorHAnsi"/>
          <w:sz w:val="20"/>
          <w:szCs w:val="20"/>
        </w:rPr>
        <w:t>об'єкта (зразка)</w:t>
      </w:r>
    </w:p>
    <w:p w14:paraId="0FED06A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324A0D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БАЗИС</w:t>
      </w:r>
      <w:r w:rsidRPr="000977F7">
        <w:rPr>
          <w:color w:val="auto"/>
          <w:spacing w:val="-3"/>
          <w:sz w:val="20"/>
          <w:szCs w:val="20"/>
        </w:rPr>
        <w:t xml:space="preserve"> </w:t>
      </w:r>
      <w:r w:rsidRPr="000977F7">
        <w:rPr>
          <w:color w:val="auto"/>
          <w:sz w:val="20"/>
          <w:szCs w:val="20"/>
        </w:rPr>
        <w:t>–</w:t>
      </w:r>
    </w:p>
    <w:p w14:paraId="7F3A203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Різниця між ціною товару, проданого з умовою постачання в певний термін, і ціною того самого товару,</w:t>
      </w:r>
      <w:r w:rsidRPr="000977F7">
        <w:rPr>
          <w:rFonts w:asciiTheme="majorHAnsi" w:hAnsiTheme="majorHAnsi"/>
          <w:spacing w:val="1"/>
          <w:sz w:val="20"/>
          <w:szCs w:val="20"/>
        </w:rPr>
        <w:t xml:space="preserve"> </w:t>
      </w:r>
      <w:r w:rsidRPr="000977F7">
        <w:rPr>
          <w:rFonts w:asciiTheme="majorHAnsi" w:hAnsiTheme="majorHAnsi"/>
          <w:sz w:val="20"/>
          <w:szCs w:val="20"/>
        </w:rPr>
        <w:t>проданого за готівку з умовою термінового постачання</w:t>
      </w:r>
    </w:p>
    <w:p w14:paraId="73F35B03"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3293</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59F76B5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БАЗИС</w:t>
      </w:r>
      <w:r w:rsidRPr="000977F7">
        <w:rPr>
          <w:color w:val="auto"/>
          <w:spacing w:val="-5"/>
          <w:sz w:val="20"/>
          <w:szCs w:val="20"/>
        </w:rPr>
        <w:t xml:space="preserve"> </w:t>
      </w:r>
      <w:r w:rsidRPr="000977F7">
        <w:rPr>
          <w:color w:val="auto"/>
          <w:sz w:val="20"/>
          <w:szCs w:val="20"/>
        </w:rPr>
        <w:t>КОНФІГУРАЦІЇ</w:t>
      </w:r>
      <w:r w:rsidRPr="000977F7">
        <w:rPr>
          <w:color w:val="auto"/>
          <w:spacing w:val="-2"/>
          <w:sz w:val="20"/>
          <w:szCs w:val="20"/>
        </w:rPr>
        <w:t xml:space="preserve"> </w:t>
      </w:r>
      <w:r w:rsidRPr="000977F7">
        <w:rPr>
          <w:color w:val="auto"/>
          <w:sz w:val="20"/>
          <w:szCs w:val="20"/>
        </w:rPr>
        <w:t>–</w:t>
      </w:r>
    </w:p>
    <w:p w14:paraId="03DEB09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CONFIGURATION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BASELINE -</w:t>
      </w:r>
    </w:p>
    <w:p w14:paraId="1128861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Затверджена</w:t>
      </w:r>
      <w:r w:rsidRPr="004D2D14">
        <w:rPr>
          <w:rFonts w:asciiTheme="majorHAnsi" w:hAnsiTheme="majorHAnsi"/>
          <w:spacing w:val="29"/>
          <w:sz w:val="20"/>
          <w:szCs w:val="20"/>
          <w:lang w:val="en-US"/>
        </w:rPr>
        <w:t xml:space="preserve"> </w:t>
      </w:r>
      <w:r w:rsidRPr="000977F7">
        <w:rPr>
          <w:rFonts w:asciiTheme="majorHAnsi" w:hAnsiTheme="majorHAnsi"/>
          <w:sz w:val="20"/>
          <w:szCs w:val="20"/>
        </w:rPr>
        <w:t>інформація</w:t>
      </w:r>
      <w:r w:rsidRPr="004D2D14">
        <w:rPr>
          <w:rFonts w:asciiTheme="majorHAnsi" w:hAnsiTheme="majorHAnsi"/>
          <w:spacing w:val="29"/>
          <w:sz w:val="20"/>
          <w:szCs w:val="20"/>
          <w:lang w:val="en-US"/>
        </w:rPr>
        <w:t xml:space="preserve"> </w:t>
      </w:r>
      <w:r w:rsidRPr="000977F7">
        <w:rPr>
          <w:rFonts w:asciiTheme="majorHAnsi" w:hAnsiTheme="majorHAnsi"/>
          <w:sz w:val="20"/>
          <w:szCs w:val="20"/>
        </w:rPr>
        <w:t>про</w:t>
      </w:r>
      <w:r w:rsidRPr="004D2D14">
        <w:rPr>
          <w:rFonts w:asciiTheme="majorHAnsi" w:hAnsiTheme="majorHAnsi"/>
          <w:spacing w:val="30"/>
          <w:sz w:val="20"/>
          <w:szCs w:val="20"/>
          <w:lang w:val="en-US"/>
        </w:rPr>
        <w:t xml:space="preserve"> </w:t>
      </w:r>
      <w:r w:rsidRPr="000977F7">
        <w:rPr>
          <w:rFonts w:asciiTheme="majorHAnsi" w:hAnsiTheme="majorHAnsi"/>
          <w:sz w:val="20"/>
          <w:szCs w:val="20"/>
        </w:rPr>
        <w:t>конфігурацію</w:t>
      </w:r>
      <w:r w:rsidRPr="004D2D14">
        <w:rPr>
          <w:rFonts w:asciiTheme="majorHAnsi" w:hAnsiTheme="majorHAnsi"/>
          <w:spacing w:val="32"/>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w:t>
      </w:r>
      <w:r w:rsidRPr="004D2D14">
        <w:rPr>
          <w:rFonts w:asciiTheme="majorHAnsi" w:hAnsiTheme="majorHAnsi"/>
          <w:spacing w:val="30"/>
          <w:sz w:val="20"/>
          <w:szCs w:val="20"/>
          <w:lang w:val="en-US"/>
        </w:rPr>
        <w:t xml:space="preserve"> </w:t>
      </w:r>
      <w:r w:rsidRPr="000977F7">
        <w:rPr>
          <w:rFonts w:asciiTheme="majorHAnsi" w:hAnsiTheme="majorHAnsi"/>
          <w:sz w:val="20"/>
          <w:szCs w:val="20"/>
        </w:rPr>
        <w:t>у</w:t>
      </w:r>
      <w:r w:rsidRPr="004D2D14">
        <w:rPr>
          <w:rFonts w:asciiTheme="majorHAnsi" w:hAnsiTheme="majorHAnsi"/>
          <w:spacing w:val="-47"/>
          <w:sz w:val="20"/>
          <w:szCs w:val="20"/>
          <w:lang w:val="en-US"/>
        </w:rPr>
        <w:t xml:space="preserve"> </w:t>
      </w:r>
      <w:r w:rsidRPr="000977F7">
        <w:rPr>
          <w:rFonts w:asciiTheme="majorHAnsi" w:hAnsiTheme="majorHAnsi"/>
          <w:sz w:val="20"/>
          <w:szCs w:val="20"/>
        </w:rPr>
        <w:t>якій</w:t>
      </w:r>
      <w:r w:rsidRPr="004D2D14">
        <w:rPr>
          <w:rFonts w:asciiTheme="majorHAnsi" w:hAnsiTheme="majorHAnsi"/>
          <w:spacing w:val="35"/>
          <w:sz w:val="20"/>
          <w:szCs w:val="20"/>
          <w:lang w:val="en-US"/>
        </w:rPr>
        <w:t xml:space="preserve"> </w:t>
      </w:r>
      <w:r w:rsidRPr="000977F7">
        <w:rPr>
          <w:rFonts w:asciiTheme="majorHAnsi" w:hAnsiTheme="majorHAnsi"/>
          <w:sz w:val="20"/>
          <w:szCs w:val="20"/>
        </w:rPr>
        <w:t>установлено</w:t>
      </w:r>
      <w:r w:rsidRPr="004D2D14">
        <w:rPr>
          <w:rFonts w:asciiTheme="majorHAnsi" w:hAnsiTheme="majorHAnsi"/>
          <w:spacing w:val="38"/>
          <w:sz w:val="20"/>
          <w:szCs w:val="20"/>
          <w:lang w:val="en-US"/>
        </w:rPr>
        <w:t xml:space="preserve"> </w:t>
      </w:r>
      <w:r w:rsidRPr="000977F7">
        <w:rPr>
          <w:rFonts w:asciiTheme="majorHAnsi" w:hAnsiTheme="majorHAnsi"/>
          <w:sz w:val="20"/>
          <w:szCs w:val="20"/>
        </w:rPr>
        <w:t>характеристики</w:t>
      </w:r>
      <w:r w:rsidRPr="004D2D14">
        <w:rPr>
          <w:rFonts w:asciiTheme="majorHAnsi" w:hAnsiTheme="majorHAnsi"/>
          <w:spacing w:val="35"/>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pacing w:val="34"/>
          <w:sz w:val="20"/>
          <w:szCs w:val="20"/>
          <w:lang w:val="en-US"/>
        </w:rPr>
        <w:t xml:space="preserve"> </w:t>
      </w:r>
      <w:r w:rsidRPr="000977F7">
        <w:rPr>
          <w:rFonts w:asciiTheme="majorHAnsi" w:hAnsiTheme="majorHAnsi"/>
          <w:sz w:val="20"/>
          <w:szCs w:val="20"/>
        </w:rPr>
        <w:t>чи</w:t>
      </w:r>
      <w:r w:rsidRPr="004D2D14">
        <w:rPr>
          <w:rFonts w:asciiTheme="majorHAnsi" w:hAnsiTheme="majorHAnsi"/>
          <w:spacing w:val="36"/>
          <w:sz w:val="20"/>
          <w:szCs w:val="20"/>
          <w:lang w:val="en-US"/>
        </w:rPr>
        <w:t xml:space="preserve"> </w:t>
      </w:r>
      <w:r w:rsidRPr="000977F7">
        <w:rPr>
          <w:rFonts w:asciiTheme="majorHAnsi" w:hAnsiTheme="majorHAnsi"/>
          <w:sz w:val="20"/>
          <w:szCs w:val="20"/>
        </w:rPr>
        <w:t>послуги</w:t>
      </w:r>
      <w:r w:rsidRPr="004D2D14">
        <w:rPr>
          <w:rFonts w:asciiTheme="majorHAnsi" w:hAnsiTheme="majorHAnsi"/>
          <w:spacing w:val="-47"/>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певний</w:t>
      </w:r>
      <w:r w:rsidRPr="004D2D14">
        <w:rPr>
          <w:rFonts w:asciiTheme="majorHAnsi" w:hAnsiTheme="majorHAnsi"/>
          <w:sz w:val="20"/>
          <w:szCs w:val="20"/>
          <w:lang w:val="en-US"/>
        </w:rPr>
        <w:t xml:space="preserve"> </w:t>
      </w:r>
      <w:r w:rsidRPr="000977F7">
        <w:rPr>
          <w:rFonts w:asciiTheme="majorHAnsi" w:hAnsiTheme="majorHAnsi"/>
          <w:sz w:val="20"/>
          <w:szCs w:val="20"/>
        </w:rPr>
        <w:t>момент</w:t>
      </w:r>
      <w:r w:rsidRPr="004D2D14">
        <w:rPr>
          <w:rFonts w:asciiTheme="majorHAnsi" w:hAnsiTheme="majorHAnsi"/>
          <w:sz w:val="20"/>
          <w:szCs w:val="20"/>
          <w:lang w:val="en-US"/>
        </w:rPr>
        <w:t xml:space="preserve"> </w:t>
      </w:r>
      <w:r w:rsidRPr="000977F7">
        <w:rPr>
          <w:rFonts w:asciiTheme="majorHAnsi" w:hAnsiTheme="majorHAnsi"/>
          <w:sz w:val="20"/>
          <w:szCs w:val="20"/>
        </w:rPr>
        <w:t>часу</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яка</w:t>
      </w:r>
      <w:r w:rsidRPr="004D2D14">
        <w:rPr>
          <w:rFonts w:asciiTheme="majorHAnsi" w:hAnsiTheme="majorHAnsi"/>
          <w:sz w:val="20"/>
          <w:szCs w:val="20"/>
          <w:lang w:val="en-US"/>
        </w:rPr>
        <w:t xml:space="preserve"> </w:t>
      </w:r>
      <w:r w:rsidRPr="000977F7">
        <w:rPr>
          <w:rFonts w:asciiTheme="majorHAnsi" w:hAnsiTheme="majorHAnsi"/>
          <w:sz w:val="20"/>
          <w:szCs w:val="20"/>
        </w:rPr>
        <w:t>слугує</w:t>
      </w:r>
      <w:r w:rsidRPr="004D2D14">
        <w:rPr>
          <w:rFonts w:asciiTheme="majorHAnsi" w:hAnsiTheme="majorHAnsi"/>
          <w:sz w:val="20"/>
          <w:szCs w:val="20"/>
          <w:lang w:val="en-US"/>
        </w:rPr>
        <w:t xml:space="preserve"> </w:t>
      </w:r>
      <w:r w:rsidRPr="000977F7">
        <w:rPr>
          <w:rFonts w:asciiTheme="majorHAnsi" w:hAnsiTheme="majorHAnsi"/>
          <w:sz w:val="20"/>
          <w:szCs w:val="20"/>
        </w:rPr>
        <w:t>орієнтиром</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видів</w:t>
      </w:r>
      <w:r w:rsidRPr="004D2D14">
        <w:rPr>
          <w:rFonts w:asciiTheme="majorHAnsi" w:hAnsiTheme="majorHAnsi"/>
          <w:spacing w:val="7"/>
          <w:sz w:val="20"/>
          <w:szCs w:val="20"/>
          <w:lang w:val="en-US"/>
        </w:rPr>
        <w:t xml:space="preserve"> </w:t>
      </w:r>
      <w:r w:rsidRPr="000977F7">
        <w:rPr>
          <w:rFonts w:asciiTheme="majorHAnsi" w:hAnsiTheme="majorHAnsi"/>
          <w:sz w:val="20"/>
          <w:szCs w:val="20"/>
        </w:rPr>
        <w:t>робіт</w:t>
      </w:r>
      <w:r w:rsidRPr="004D2D14">
        <w:rPr>
          <w:rFonts w:asciiTheme="majorHAnsi" w:hAnsiTheme="majorHAnsi"/>
          <w:sz w:val="20"/>
          <w:szCs w:val="20"/>
          <w:lang w:val="en-US"/>
        </w:rPr>
        <w:t>,</w:t>
      </w:r>
      <w:r w:rsidRPr="004D2D14">
        <w:rPr>
          <w:rFonts w:asciiTheme="majorHAnsi" w:hAnsiTheme="majorHAnsi"/>
          <w:spacing w:val="8"/>
          <w:sz w:val="20"/>
          <w:szCs w:val="20"/>
          <w:lang w:val="en-US"/>
        </w:rPr>
        <w:t xml:space="preserve"> </w:t>
      </w:r>
      <w:r w:rsidRPr="000977F7">
        <w:rPr>
          <w:rFonts w:asciiTheme="majorHAnsi" w:hAnsiTheme="majorHAnsi"/>
          <w:sz w:val="20"/>
          <w:szCs w:val="20"/>
        </w:rPr>
        <w:t>що</w:t>
      </w:r>
      <w:r w:rsidRPr="004D2D14">
        <w:rPr>
          <w:rFonts w:asciiTheme="majorHAnsi" w:hAnsiTheme="majorHAnsi"/>
          <w:spacing w:val="9"/>
          <w:sz w:val="20"/>
          <w:szCs w:val="20"/>
          <w:lang w:val="en-US"/>
        </w:rPr>
        <w:t xml:space="preserve"> </w:t>
      </w:r>
      <w:r w:rsidRPr="000977F7">
        <w:rPr>
          <w:rFonts w:asciiTheme="majorHAnsi" w:hAnsiTheme="majorHAnsi"/>
          <w:sz w:val="20"/>
          <w:szCs w:val="20"/>
        </w:rPr>
        <w:t>їх</w:t>
      </w:r>
      <w:r w:rsidRPr="004D2D14">
        <w:rPr>
          <w:rFonts w:asciiTheme="majorHAnsi" w:hAnsiTheme="majorHAnsi"/>
          <w:spacing w:val="6"/>
          <w:sz w:val="20"/>
          <w:szCs w:val="20"/>
          <w:lang w:val="en-US"/>
        </w:rPr>
        <w:t xml:space="preserve"> </w:t>
      </w:r>
      <w:r w:rsidRPr="000977F7">
        <w:rPr>
          <w:rFonts w:asciiTheme="majorHAnsi" w:hAnsiTheme="majorHAnsi"/>
          <w:sz w:val="20"/>
          <w:szCs w:val="20"/>
        </w:rPr>
        <w:t>здійснюють</w:t>
      </w:r>
      <w:r w:rsidRPr="004D2D14">
        <w:rPr>
          <w:rFonts w:asciiTheme="majorHAnsi" w:hAnsiTheme="majorHAnsi"/>
          <w:spacing w:val="8"/>
          <w:sz w:val="20"/>
          <w:szCs w:val="20"/>
          <w:lang w:val="en-US"/>
        </w:rPr>
        <w:t xml:space="preserve"> </w:t>
      </w:r>
      <w:r w:rsidRPr="000977F7">
        <w:rPr>
          <w:rFonts w:asciiTheme="majorHAnsi" w:hAnsiTheme="majorHAnsi"/>
          <w:sz w:val="20"/>
          <w:szCs w:val="20"/>
        </w:rPr>
        <w:t>протягом</w:t>
      </w:r>
      <w:r w:rsidRPr="004D2D14">
        <w:rPr>
          <w:rFonts w:asciiTheme="majorHAnsi" w:hAnsiTheme="majorHAnsi"/>
          <w:spacing w:val="12"/>
          <w:sz w:val="20"/>
          <w:szCs w:val="20"/>
          <w:lang w:val="en-US"/>
        </w:rPr>
        <w:t xml:space="preserve"> </w:t>
      </w:r>
      <w:r w:rsidRPr="000977F7">
        <w:rPr>
          <w:rFonts w:asciiTheme="majorHAnsi" w:hAnsiTheme="majorHAnsi"/>
          <w:sz w:val="20"/>
          <w:szCs w:val="20"/>
        </w:rPr>
        <w:t>усього</w:t>
      </w:r>
      <w:r w:rsidRPr="004D2D14">
        <w:rPr>
          <w:rFonts w:asciiTheme="majorHAnsi" w:hAnsiTheme="majorHAnsi"/>
          <w:spacing w:val="8"/>
          <w:sz w:val="20"/>
          <w:szCs w:val="20"/>
          <w:lang w:val="en-US"/>
        </w:rPr>
        <w:t xml:space="preserve"> </w:t>
      </w:r>
      <w:r w:rsidRPr="000977F7">
        <w:rPr>
          <w:rFonts w:asciiTheme="majorHAnsi" w:hAnsiTheme="majorHAnsi"/>
          <w:sz w:val="20"/>
          <w:szCs w:val="20"/>
        </w:rPr>
        <w:t>життєвого</w:t>
      </w:r>
      <w:r w:rsidRPr="004D2D14">
        <w:rPr>
          <w:rFonts w:asciiTheme="majorHAnsi" w:hAnsiTheme="majorHAnsi"/>
          <w:sz w:val="20"/>
          <w:szCs w:val="20"/>
          <w:lang w:val="en-US"/>
        </w:rPr>
        <w:t xml:space="preserve"> </w:t>
      </w:r>
      <w:r w:rsidRPr="000977F7">
        <w:rPr>
          <w:rFonts w:asciiTheme="majorHAnsi" w:hAnsiTheme="majorHAnsi"/>
          <w:sz w:val="20"/>
          <w:szCs w:val="20"/>
        </w:rPr>
        <w:t>циклу</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pacing w:val="-1"/>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послуги</w:t>
      </w:r>
      <w:r w:rsidRPr="004D2D14">
        <w:rPr>
          <w:rFonts w:asciiTheme="majorHAnsi" w:hAnsiTheme="majorHAnsi"/>
          <w:sz w:val="20"/>
          <w:szCs w:val="20"/>
          <w:lang w:val="en-US"/>
        </w:rPr>
        <w:t>.</w:t>
      </w:r>
    </w:p>
    <w:p w14:paraId="5AACEAE8" w14:textId="77777777" w:rsidR="0097612F" w:rsidRPr="004D2D14" w:rsidRDefault="0097612F" w:rsidP="000977F7">
      <w:pPr>
        <w:pStyle w:val="af6"/>
        <w:tabs>
          <w:tab w:val="left" w:pos="284"/>
        </w:tabs>
        <w:spacing w:after="0"/>
        <w:ind w:left="170"/>
        <w:mirrorIndents/>
        <w:jc w:val="both"/>
        <w:rPr>
          <w:rFonts w:asciiTheme="majorHAnsi" w:hAnsiTheme="majorHAnsi"/>
          <w:i/>
          <w:iCs/>
          <w:sz w:val="20"/>
          <w:szCs w:val="20"/>
          <w:lang w:val="en-US"/>
        </w:rPr>
      </w:pPr>
      <w:r w:rsidRPr="000977F7">
        <w:rPr>
          <w:rFonts w:asciiTheme="majorHAnsi" w:hAnsiTheme="majorHAnsi"/>
          <w:i/>
          <w:iCs/>
          <w:sz w:val="20"/>
          <w:szCs w:val="20"/>
        </w:rPr>
        <w:t>ДСТУ</w:t>
      </w:r>
      <w:r w:rsidRPr="004D2D14">
        <w:rPr>
          <w:rFonts w:asciiTheme="majorHAnsi" w:hAnsiTheme="majorHAnsi"/>
          <w:i/>
          <w:iCs/>
          <w:spacing w:val="-1"/>
          <w:sz w:val="20"/>
          <w:szCs w:val="20"/>
          <w:lang w:val="en-US"/>
        </w:rPr>
        <w:t xml:space="preserve"> </w:t>
      </w:r>
      <w:r w:rsidRPr="004D2D14">
        <w:rPr>
          <w:rFonts w:asciiTheme="majorHAnsi" w:hAnsiTheme="majorHAnsi"/>
          <w:i/>
          <w:iCs/>
          <w:sz w:val="20"/>
          <w:szCs w:val="20"/>
          <w:lang w:val="en-US"/>
        </w:rPr>
        <w:t>ISO</w:t>
      </w:r>
      <w:r w:rsidRPr="004D2D14">
        <w:rPr>
          <w:rFonts w:asciiTheme="majorHAnsi" w:hAnsiTheme="majorHAnsi"/>
          <w:i/>
          <w:iCs/>
          <w:spacing w:val="-2"/>
          <w:sz w:val="20"/>
          <w:szCs w:val="20"/>
          <w:lang w:val="en-US"/>
        </w:rPr>
        <w:t xml:space="preserve"> </w:t>
      </w:r>
      <w:r w:rsidRPr="004D2D14">
        <w:rPr>
          <w:rFonts w:asciiTheme="majorHAnsi" w:hAnsiTheme="majorHAnsi"/>
          <w:i/>
          <w:iCs/>
          <w:sz w:val="20"/>
          <w:szCs w:val="20"/>
          <w:lang w:val="en-US"/>
        </w:rPr>
        <w:t>9000:2015</w:t>
      </w:r>
    </w:p>
    <w:p w14:paraId="36BCBC38" w14:textId="77777777" w:rsidR="0097612F" w:rsidRPr="000977F7" w:rsidRDefault="0097612F" w:rsidP="000977F7">
      <w:pPr>
        <w:pStyle w:val="7"/>
        <w:tabs>
          <w:tab w:val="left" w:pos="284"/>
          <w:tab w:val="left" w:pos="1575"/>
          <w:tab w:val="left" w:pos="3875"/>
        </w:tabs>
        <w:spacing w:before="0" w:line="240" w:lineRule="auto"/>
        <w:ind w:left="170"/>
        <w:mirrorIndents/>
        <w:jc w:val="both"/>
        <w:rPr>
          <w:color w:val="auto"/>
          <w:sz w:val="20"/>
          <w:szCs w:val="20"/>
        </w:rPr>
      </w:pPr>
      <w:r w:rsidRPr="000977F7">
        <w:rPr>
          <w:color w:val="auto"/>
          <w:sz w:val="20"/>
          <w:szCs w:val="20"/>
        </w:rPr>
        <w:t xml:space="preserve">БАЗОВИЙ ВИПРОБУВАЛЬНИЙ </w:t>
      </w:r>
      <w:r w:rsidRPr="000977F7">
        <w:rPr>
          <w:color w:val="auto"/>
          <w:spacing w:val="-1"/>
          <w:sz w:val="20"/>
          <w:szCs w:val="20"/>
        </w:rPr>
        <w:t>ПІДРОЗДІЛ</w:t>
      </w:r>
      <w:r w:rsidRPr="000977F7">
        <w:rPr>
          <w:color w:val="auto"/>
          <w:spacing w:val="-47"/>
          <w:sz w:val="20"/>
          <w:szCs w:val="20"/>
        </w:rPr>
        <w:t xml:space="preserve"> </w:t>
      </w:r>
      <w:r w:rsidRPr="000977F7">
        <w:rPr>
          <w:color w:val="auto"/>
          <w:sz w:val="20"/>
          <w:szCs w:val="20"/>
        </w:rPr>
        <w:t>ГОЛОВНОЇ</w:t>
      </w:r>
      <w:r w:rsidRPr="000977F7">
        <w:rPr>
          <w:color w:val="auto"/>
          <w:spacing w:val="-2"/>
          <w:sz w:val="20"/>
          <w:szCs w:val="20"/>
        </w:rPr>
        <w:t xml:space="preserve"> </w:t>
      </w:r>
      <w:r w:rsidRPr="000977F7">
        <w:rPr>
          <w:color w:val="auto"/>
          <w:sz w:val="20"/>
          <w:szCs w:val="20"/>
        </w:rPr>
        <w:t>ОРГАНІЗАЦІЇ</w:t>
      </w:r>
      <w:r w:rsidRPr="000977F7">
        <w:rPr>
          <w:color w:val="auto"/>
          <w:spacing w:val="2"/>
          <w:sz w:val="20"/>
          <w:szCs w:val="20"/>
        </w:rPr>
        <w:t xml:space="preserve"> </w:t>
      </w:r>
      <w:r w:rsidRPr="000977F7">
        <w:rPr>
          <w:color w:val="auto"/>
          <w:sz w:val="20"/>
          <w:szCs w:val="20"/>
        </w:rPr>
        <w:t>-</w:t>
      </w:r>
    </w:p>
    <w:p w14:paraId="018D867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BASE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TESTING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DIVISION</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HEAD</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ORGANIZATION –</w:t>
      </w:r>
    </w:p>
    <w:p w14:paraId="2D6B453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Підрозділ, призначений в установленому</w:t>
      </w:r>
      <w:r w:rsidRPr="000977F7">
        <w:rPr>
          <w:rFonts w:asciiTheme="majorHAnsi" w:hAnsiTheme="majorHAnsi"/>
          <w:spacing w:val="1"/>
          <w:sz w:val="20"/>
          <w:szCs w:val="20"/>
        </w:rPr>
        <w:t xml:space="preserve"> </w:t>
      </w:r>
      <w:r w:rsidRPr="000977F7">
        <w:rPr>
          <w:rFonts w:asciiTheme="majorHAnsi" w:hAnsiTheme="majorHAnsi"/>
          <w:sz w:val="20"/>
          <w:szCs w:val="20"/>
        </w:rPr>
        <w:t>порядку для</w:t>
      </w:r>
      <w:r w:rsidRPr="000977F7">
        <w:rPr>
          <w:rFonts w:asciiTheme="majorHAnsi" w:hAnsiTheme="majorHAnsi"/>
          <w:spacing w:val="-47"/>
          <w:sz w:val="20"/>
          <w:szCs w:val="20"/>
        </w:rPr>
        <w:t xml:space="preserve"> </w:t>
      </w:r>
      <w:r w:rsidRPr="000977F7">
        <w:rPr>
          <w:rFonts w:asciiTheme="majorHAnsi" w:hAnsiTheme="majorHAnsi"/>
          <w:sz w:val="20"/>
          <w:szCs w:val="20"/>
        </w:rPr>
        <w:t xml:space="preserve">проведення випробувань визначених видів </w:t>
      </w:r>
      <w:r w:rsidRPr="000977F7">
        <w:rPr>
          <w:rFonts w:asciiTheme="majorHAnsi" w:hAnsiTheme="majorHAnsi"/>
          <w:sz w:val="20"/>
          <w:szCs w:val="20"/>
        </w:rPr>
        <w:lastRenderedPageBreak/>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чи видів випробувань з числа закріплених за головною</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організацією</w:t>
      </w:r>
      <w:r w:rsidRPr="000977F7">
        <w:rPr>
          <w:rFonts w:asciiTheme="majorHAnsi" w:hAnsiTheme="majorHAnsi"/>
          <w:spacing w:val="1"/>
          <w:sz w:val="20"/>
          <w:szCs w:val="20"/>
        </w:rPr>
        <w:t xml:space="preserve"> </w:t>
      </w:r>
      <w:r w:rsidRPr="000977F7">
        <w:rPr>
          <w:rFonts w:asciiTheme="majorHAnsi" w:hAnsiTheme="majorHAnsi"/>
          <w:sz w:val="20"/>
          <w:szCs w:val="20"/>
        </w:rPr>
        <w:t>державних</w:t>
      </w:r>
      <w:r w:rsidRPr="000977F7">
        <w:rPr>
          <w:rFonts w:asciiTheme="majorHAnsi" w:hAnsiTheme="majorHAnsi"/>
          <w:spacing w:val="-2"/>
          <w:sz w:val="20"/>
          <w:szCs w:val="20"/>
        </w:rPr>
        <w:t xml:space="preserve"> </w:t>
      </w:r>
      <w:r w:rsidRPr="000977F7">
        <w:rPr>
          <w:rFonts w:asciiTheme="majorHAnsi" w:hAnsiTheme="majorHAnsi"/>
          <w:sz w:val="20"/>
          <w:szCs w:val="20"/>
        </w:rPr>
        <w:t>випробувань</w:t>
      </w:r>
    </w:p>
    <w:p w14:paraId="074B103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3021 - 95</w:t>
      </w:r>
    </w:p>
    <w:p w14:paraId="65BB07E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БАЗОВИЙ</w:t>
      </w:r>
      <w:r w:rsidRPr="000977F7">
        <w:rPr>
          <w:color w:val="auto"/>
          <w:spacing w:val="-2"/>
          <w:sz w:val="20"/>
          <w:szCs w:val="20"/>
        </w:rPr>
        <w:t xml:space="preserve"> </w:t>
      </w:r>
      <w:r w:rsidRPr="000977F7">
        <w:rPr>
          <w:color w:val="auto"/>
          <w:sz w:val="20"/>
          <w:szCs w:val="20"/>
        </w:rPr>
        <w:t>ВИРІБ</w:t>
      </w:r>
      <w:r w:rsidRPr="000977F7">
        <w:rPr>
          <w:color w:val="auto"/>
          <w:spacing w:val="-1"/>
          <w:sz w:val="20"/>
          <w:szCs w:val="20"/>
        </w:rPr>
        <w:t xml:space="preserve"> </w:t>
      </w:r>
      <w:r w:rsidRPr="000977F7">
        <w:rPr>
          <w:color w:val="auto"/>
          <w:sz w:val="20"/>
          <w:szCs w:val="20"/>
        </w:rPr>
        <w:t>–</w:t>
      </w:r>
    </w:p>
    <w:p w14:paraId="532A33C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 умовно прийнятий за основу для розроблення</w:t>
      </w:r>
      <w:r w:rsidRPr="000977F7">
        <w:rPr>
          <w:rFonts w:asciiTheme="majorHAnsi" w:hAnsiTheme="majorHAnsi"/>
          <w:spacing w:val="1"/>
          <w:sz w:val="20"/>
          <w:szCs w:val="20"/>
        </w:rPr>
        <w:t xml:space="preserve"> </w:t>
      </w:r>
      <w:r w:rsidRPr="000977F7">
        <w:rPr>
          <w:rFonts w:asciiTheme="majorHAnsi" w:hAnsiTheme="majorHAnsi"/>
          <w:sz w:val="20"/>
          <w:szCs w:val="20"/>
        </w:rPr>
        <w:t>типу</w:t>
      </w:r>
      <w:r w:rsidRPr="000977F7">
        <w:rPr>
          <w:rFonts w:asciiTheme="majorHAnsi" w:hAnsiTheme="majorHAnsi"/>
          <w:spacing w:val="-5"/>
          <w:sz w:val="20"/>
          <w:szCs w:val="20"/>
        </w:rPr>
        <w:t xml:space="preserve"> </w:t>
      </w:r>
      <w:r w:rsidRPr="000977F7">
        <w:rPr>
          <w:rFonts w:asciiTheme="majorHAnsi" w:hAnsiTheme="majorHAnsi"/>
          <w:sz w:val="20"/>
          <w:szCs w:val="20"/>
        </w:rPr>
        <w:t>виробів</w:t>
      </w:r>
    </w:p>
    <w:p w14:paraId="1510D37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18CB62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БАЗОВИЙ КОНСТРУКТОРСЬКИЙ </w:t>
      </w:r>
    </w:p>
    <w:p w14:paraId="4E35963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ДОКУ</w:t>
      </w:r>
      <w:r w:rsidRPr="000977F7">
        <w:rPr>
          <w:color w:val="auto"/>
          <w:spacing w:val="-48"/>
          <w:sz w:val="20"/>
          <w:szCs w:val="20"/>
        </w:rPr>
        <w:t xml:space="preserve"> </w:t>
      </w:r>
      <w:r w:rsidRPr="000977F7">
        <w:rPr>
          <w:color w:val="auto"/>
          <w:sz w:val="20"/>
          <w:szCs w:val="20"/>
        </w:rPr>
        <w:t>МЕНТ</w:t>
      </w:r>
      <w:r w:rsidRPr="000977F7">
        <w:rPr>
          <w:color w:val="auto"/>
          <w:spacing w:val="-2"/>
          <w:sz w:val="20"/>
          <w:szCs w:val="20"/>
        </w:rPr>
        <w:t xml:space="preserve"> </w:t>
      </w:r>
      <w:r w:rsidRPr="000977F7">
        <w:rPr>
          <w:color w:val="auto"/>
          <w:sz w:val="20"/>
          <w:szCs w:val="20"/>
        </w:rPr>
        <w:t>–</w:t>
      </w:r>
    </w:p>
    <w:p w14:paraId="78CFB8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Конструкторський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містить</w:t>
      </w:r>
      <w:r w:rsidRPr="000977F7">
        <w:rPr>
          <w:rFonts w:asciiTheme="majorHAnsi" w:hAnsiTheme="majorHAnsi"/>
          <w:spacing w:val="1"/>
          <w:sz w:val="20"/>
          <w:szCs w:val="20"/>
        </w:rPr>
        <w:t xml:space="preserve"> </w:t>
      </w:r>
      <w:r w:rsidRPr="000977F7">
        <w:rPr>
          <w:rFonts w:asciiTheme="majorHAnsi" w:hAnsiTheme="majorHAnsi"/>
          <w:sz w:val="20"/>
          <w:szCs w:val="20"/>
        </w:rPr>
        <w:t>сталі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змінні</w:t>
      </w:r>
      <w:r w:rsidRPr="000977F7">
        <w:rPr>
          <w:rFonts w:asciiTheme="majorHAnsi" w:hAnsiTheme="majorHAnsi"/>
          <w:spacing w:val="-2"/>
          <w:sz w:val="20"/>
          <w:szCs w:val="20"/>
        </w:rPr>
        <w:t xml:space="preserve"> </w:t>
      </w:r>
      <w:r w:rsidRPr="000977F7">
        <w:rPr>
          <w:rFonts w:asciiTheme="majorHAnsi" w:hAnsiTheme="majorHAnsi"/>
          <w:sz w:val="20"/>
          <w:szCs w:val="20"/>
        </w:rPr>
        <w:t>дані</w:t>
      </w:r>
      <w:r w:rsidRPr="000977F7">
        <w:rPr>
          <w:rFonts w:asciiTheme="majorHAnsi" w:hAnsiTheme="majorHAnsi"/>
          <w:spacing w:val="-2"/>
          <w:sz w:val="20"/>
          <w:szCs w:val="20"/>
        </w:rPr>
        <w:t xml:space="preserve"> </w:t>
      </w:r>
      <w:r w:rsidRPr="000977F7">
        <w:rPr>
          <w:rFonts w:asciiTheme="majorHAnsi" w:hAnsiTheme="majorHAnsi"/>
          <w:sz w:val="20"/>
          <w:szCs w:val="20"/>
        </w:rPr>
        <w:t>виконань</w:t>
      </w:r>
      <w:r w:rsidRPr="000977F7">
        <w:rPr>
          <w:rFonts w:asciiTheme="majorHAnsi" w:hAnsiTheme="majorHAnsi"/>
          <w:spacing w:val="1"/>
          <w:sz w:val="20"/>
          <w:szCs w:val="20"/>
        </w:rPr>
        <w:t xml:space="preserve"> </w:t>
      </w:r>
      <w:r w:rsidRPr="000977F7">
        <w:rPr>
          <w:rFonts w:asciiTheme="majorHAnsi" w:hAnsiTheme="majorHAnsi"/>
          <w:sz w:val="20"/>
          <w:szCs w:val="20"/>
        </w:rPr>
        <w:t>двох</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більше</w:t>
      </w:r>
      <w:r w:rsidRPr="000977F7">
        <w:rPr>
          <w:rFonts w:asciiTheme="majorHAnsi" w:hAnsiTheme="majorHAnsi"/>
          <w:spacing w:val="2"/>
          <w:sz w:val="20"/>
          <w:szCs w:val="20"/>
        </w:rPr>
        <w:t xml:space="preserve"> </w:t>
      </w:r>
      <w:r w:rsidRPr="000977F7">
        <w:rPr>
          <w:rFonts w:asciiTheme="majorHAnsi" w:hAnsiTheme="majorHAnsi"/>
          <w:sz w:val="20"/>
          <w:szCs w:val="20"/>
        </w:rPr>
        <w:t>виробів</w:t>
      </w:r>
    </w:p>
    <w:p w14:paraId="53DF693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3321 - 2003</w:t>
      </w:r>
    </w:p>
    <w:p w14:paraId="3CD5841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БАЗОВИЙ</w:t>
      </w:r>
      <w:r w:rsidRPr="000977F7">
        <w:rPr>
          <w:color w:val="auto"/>
          <w:spacing w:val="1"/>
          <w:sz w:val="20"/>
          <w:szCs w:val="20"/>
        </w:rPr>
        <w:t xml:space="preserve"> </w:t>
      </w:r>
      <w:r w:rsidRPr="000977F7">
        <w:rPr>
          <w:color w:val="auto"/>
          <w:sz w:val="20"/>
          <w:szCs w:val="20"/>
        </w:rPr>
        <w:t xml:space="preserve">МЕТОД ВИКОНАННЯ </w:t>
      </w:r>
    </w:p>
    <w:p w14:paraId="6639E11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КОНСТРУК</w:t>
      </w:r>
      <w:r w:rsidRPr="000977F7">
        <w:rPr>
          <w:color w:val="auto"/>
          <w:spacing w:val="-47"/>
          <w:sz w:val="20"/>
          <w:szCs w:val="20"/>
        </w:rPr>
        <w:t xml:space="preserve"> </w:t>
      </w:r>
      <w:r w:rsidRPr="000977F7">
        <w:rPr>
          <w:color w:val="auto"/>
          <w:sz w:val="20"/>
          <w:szCs w:val="20"/>
        </w:rPr>
        <w:t>ТОРСЬКИХ</w:t>
      </w:r>
      <w:r w:rsidRPr="000977F7">
        <w:rPr>
          <w:color w:val="auto"/>
          <w:spacing w:val="-1"/>
          <w:sz w:val="20"/>
          <w:szCs w:val="20"/>
        </w:rPr>
        <w:t xml:space="preserve"> </w:t>
      </w:r>
      <w:r w:rsidRPr="000977F7">
        <w:rPr>
          <w:color w:val="auto"/>
          <w:sz w:val="20"/>
          <w:szCs w:val="20"/>
        </w:rPr>
        <w:t>ДОКУМЕНТІВ</w:t>
      </w:r>
      <w:r w:rsidRPr="000977F7">
        <w:rPr>
          <w:color w:val="auto"/>
          <w:spacing w:val="3"/>
          <w:sz w:val="20"/>
          <w:szCs w:val="20"/>
        </w:rPr>
        <w:t xml:space="preserve"> </w:t>
      </w:r>
      <w:r w:rsidRPr="000977F7">
        <w:rPr>
          <w:color w:val="auto"/>
          <w:sz w:val="20"/>
          <w:szCs w:val="20"/>
        </w:rPr>
        <w:t>–</w:t>
      </w:r>
    </w:p>
    <w:p w14:paraId="557C1A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виконання комплекту конструкторських документів на виріб, за якого дані про всі виконання виробу містяться в одному основному базовому конструкторському</w:t>
      </w:r>
      <w:r w:rsidRPr="000977F7">
        <w:rPr>
          <w:rFonts w:asciiTheme="majorHAnsi" w:hAnsiTheme="majorHAnsi"/>
          <w:spacing w:val="-2"/>
          <w:sz w:val="20"/>
          <w:szCs w:val="20"/>
        </w:rPr>
        <w:t xml:space="preserve"> </w:t>
      </w:r>
      <w:r w:rsidRPr="000977F7">
        <w:rPr>
          <w:rFonts w:asciiTheme="majorHAnsi" w:hAnsiTheme="majorHAnsi"/>
          <w:sz w:val="20"/>
          <w:szCs w:val="20"/>
        </w:rPr>
        <w:t>документі</w:t>
      </w:r>
    </w:p>
    <w:p w14:paraId="1504F16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4"/>
          <w:sz w:val="20"/>
          <w:szCs w:val="20"/>
        </w:rPr>
        <w:t xml:space="preserve"> </w:t>
      </w:r>
      <w:r w:rsidRPr="000977F7">
        <w:rPr>
          <w:rFonts w:asciiTheme="majorHAnsi" w:hAnsiTheme="majorHAnsi"/>
          <w:i/>
          <w:sz w:val="20"/>
          <w:szCs w:val="20"/>
        </w:rPr>
        <w:t>3321 - 2003</w:t>
      </w:r>
    </w:p>
    <w:p w14:paraId="79AD2FE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БАЗУВАННЯ</w:t>
      </w:r>
      <w:r w:rsidRPr="000977F7">
        <w:rPr>
          <w:color w:val="auto"/>
          <w:spacing w:val="-7"/>
          <w:sz w:val="20"/>
          <w:szCs w:val="20"/>
        </w:rPr>
        <w:t xml:space="preserve"> </w:t>
      </w:r>
      <w:r w:rsidRPr="000977F7">
        <w:rPr>
          <w:color w:val="auto"/>
          <w:sz w:val="20"/>
          <w:szCs w:val="20"/>
        </w:rPr>
        <w:t>–</w:t>
      </w:r>
    </w:p>
    <w:p w14:paraId="041412C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Надання заготовці або виробу потрібного положення</w:t>
      </w:r>
      <w:r w:rsidRPr="000977F7">
        <w:rPr>
          <w:rFonts w:asciiTheme="majorHAnsi" w:hAnsiTheme="majorHAnsi"/>
          <w:spacing w:val="1"/>
          <w:sz w:val="20"/>
          <w:szCs w:val="20"/>
        </w:rPr>
        <w:t xml:space="preserve"> </w:t>
      </w:r>
      <w:r w:rsidRPr="000977F7">
        <w:rPr>
          <w:rFonts w:asciiTheme="majorHAnsi" w:hAnsiTheme="majorHAnsi"/>
          <w:sz w:val="20"/>
          <w:szCs w:val="20"/>
        </w:rPr>
        <w:t>відносно вибраної</w:t>
      </w:r>
      <w:r w:rsidRPr="000977F7">
        <w:rPr>
          <w:rFonts w:asciiTheme="majorHAnsi" w:hAnsiTheme="majorHAnsi"/>
          <w:spacing w:val="-2"/>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координат</w:t>
      </w:r>
    </w:p>
    <w:p w14:paraId="11203B9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БАНК</w:t>
      </w:r>
      <w:r w:rsidRPr="000977F7">
        <w:rPr>
          <w:color w:val="auto"/>
          <w:spacing w:val="-3"/>
          <w:sz w:val="20"/>
          <w:szCs w:val="20"/>
        </w:rPr>
        <w:t xml:space="preserve"> </w:t>
      </w:r>
      <w:r w:rsidRPr="000977F7">
        <w:rPr>
          <w:color w:val="auto"/>
          <w:sz w:val="20"/>
          <w:szCs w:val="20"/>
        </w:rPr>
        <w:t>–</w:t>
      </w:r>
      <w:r w:rsidRPr="000977F7">
        <w:rPr>
          <w:color w:val="auto"/>
          <w:spacing w:val="-1"/>
          <w:sz w:val="20"/>
          <w:szCs w:val="20"/>
        </w:rPr>
        <w:t xml:space="preserve"> </w:t>
      </w:r>
      <w:r w:rsidRPr="000977F7">
        <w:rPr>
          <w:color w:val="auto"/>
          <w:sz w:val="20"/>
          <w:szCs w:val="20"/>
        </w:rPr>
        <w:t>ГАРАНТ</w:t>
      </w:r>
      <w:r w:rsidRPr="000977F7">
        <w:rPr>
          <w:color w:val="auto"/>
          <w:spacing w:val="-2"/>
          <w:sz w:val="20"/>
          <w:szCs w:val="20"/>
        </w:rPr>
        <w:t xml:space="preserve"> </w:t>
      </w:r>
      <w:r w:rsidRPr="000977F7">
        <w:rPr>
          <w:color w:val="auto"/>
          <w:sz w:val="20"/>
          <w:szCs w:val="20"/>
        </w:rPr>
        <w:t>–</w:t>
      </w:r>
    </w:p>
    <w:p w14:paraId="1C9A387E"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Банк,</w:t>
      </w:r>
      <w:r w:rsidRPr="000977F7">
        <w:rPr>
          <w:rFonts w:asciiTheme="majorHAnsi" w:hAnsiTheme="majorHAnsi"/>
          <w:spacing w:val="7"/>
          <w:sz w:val="20"/>
          <w:szCs w:val="20"/>
        </w:rPr>
        <w:t xml:space="preserve"> </w:t>
      </w:r>
      <w:r w:rsidRPr="000977F7">
        <w:rPr>
          <w:rFonts w:asciiTheme="majorHAnsi" w:hAnsiTheme="majorHAnsi"/>
          <w:sz w:val="20"/>
          <w:szCs w:val="20"/>
        </w:rPr>
        <w:t>який</w:t>
      </w:r>
      <w:r w:rsidRPr="000977F7">
        <w:rPr>
          <w:rFonts w:asciiTheme="majorHAnsi" w:hAnsiTheme="majorHAnsi"/>
          <w:spacing w:val="5"/>
          <w:sz w:val="20"/>
          <w:szCs w:val="20"/>
        </w:rPr>
        <w:t xml:space="preserve"> </w:t>
      </w:r>
      <w:r w:rsidRPr="000977F7">
        <w:rPr>
          <w:rFonts w:asciiTheme="majorHAnsi" w:hAnsiTheme="majorHAnsi"/>
          <w:sz w:val="20"/>
          <w:szCs w:val="20"/>
        </w:rPr>
        <w:t>поручився</w:t>
      </w:r>
      <w:r w:rsidRPr="000977F7">
        <w:rPr>
          <w:rFonts w:asciiTheme="majorHAnsi" w:hAnsiTheme="majorHAnsi"/>
          <w:spacing w:val="6"/>
          <w:sz w:val="20"/>
          <w:szCs w:val="20"/>
        </w:rPr>
        <w:t xml:space="preserve"> </w:t>
      </w:r>
      <w:r w:rsidRPr="000977F7">
        <w:rPr>
          <w:rFonts w:asciiTheme="majorHAnsi" w:hAnsiTheme="majorHAnsi"/>
          <w:sz w:val="20"/>
          <w:szCs w:val="20"/>
        </w:rPr>
        <w:t>за</w:t>
      </w:r>
      <w:r w:rsidRPr="000977F7">
        <w:rPr>
          <w:rFonts w:asciiTheme="majorHAnsi" w:hAnsiTheme="majorHAnsi"/>
          <w:spacing w:val="7"/>
          <w:sz w:val="20"/>
          <w:szCs w:val="20"/>
        </w:rPr>
        <w:t xml:space="preserve"> </w:t>
      </w:r>
      <w:r w:rsidRPr="000977F7">
        <w:rPr>
          <w:rFonts w:asciiTheme="majorHAnsi" w:hAnsiTheme="majorHAnsi"/>
          <w:sz w:val="20"/>
          <w:szCs w:val="20"/>
        </w:rPr>
        <w:t>свого</w:t>
      </w:r>
      <w:r w:rsidRPr="000977F7">
        <w:rPr>
          <w:rFonts w:asciiTheme="majorHAnsi" w:hAnsiTheme="majorHAnsi"/>
          <w:spacing w:val="7"/>
          <w:sz w:val="20"/>
          <w:szCs w:val="20"/>
        </w:rPr>
        <w:t xml:space="preserve"> </w:t>
      </w:r>
      <w:r w:rsidRPr="000977F7">
        <w:rPr>
          <w:rFonts w:asciiTheme="majorHAnsi" w:hAnsiTheme="majorHAnsi"/>
          <w:sz w:val="20"/>
          <w:szCs w:val="20"/>
        </w:rPr>
        <w:t>клієнта</w:t>
      </w:r>
      <w:r w:rsidRPr="000977F7">
        <w:rPr>
          <w:rFonts w:asciiTheme="majorHAnsi" w:hAnsiTheme="majorHAnsi"/>
          <w:spacing w:val="7"/>
          <w:sz w:val="20"/>
          <w:szCs w:val="20"/>
        </w:rPr>
        <w:t xml:space="preserve"> </w:t>
      </w:r>
      <w:r w:rsidRPr="000977F7">
        <w:rPr>
          <w:rFonts w:asciiTheme="majorHAnsi" w:hAnsiTheme="majorHAnsi"/>
          <w:sz w:val="20"/>
          <w:szCs w:val="20"/>
        </w:rPr>
        <w:t>і</w:t>
      </w:r>
      <w:r w:rsidRPr="000977F7">
        <w:rPr>
          <w:rFonts w:asciiTheme="majorHAnsi" w:hAnsiTheme="majorHAnsi"/>
          <w:spacing w:val="6"/>
          <w:sz w:val="20"/>
          <w:szCs w:val="20"/>
        </w:rPr>
        <w:t xml:space="preserve"> </w:t>
      </w:r>
      <w:r w:rsidRPr="000977F7">
        <w:rPr>
          <w:rFonts w:asciiTheme="majorHAnsi" w:hAnsiTheme="majorHAnsi"/>
          <w:sz w:val="20"/>
          <w:szCs w:val="20"/>
        </w:rPr>
        <w:t>видає</w:t>
      </w:r>
      <w:r w:rsidRPr="000977F7">
        <w:rPr>
          <w:rFonts w:asciiTheme="majorHAnsi" w:hAnsiTheme="majorHAnsi"/>
          <w:spacing w:val="7"/>
          <w:sz w:val="20"/>
          <w:szCs w:val="20"/>
        </w:rPr>
        <w:t xml:space="preserve"> </w:t>
      </w:r>
      <w:r w:rsidRPr="000977F7">
        <w:rPr>
          <w:rFonts w:asciiTheme="majorHAnsi" w:hAnsiTheme="majorHAnsi"/>
          <w:sz w:val="20"/>
          <w:szCs w:val="20"/>
        </w:rPr>
        <w:t>гарантії</w:t>
      </w:r>
      <w:r w:rsidRPr="000977F7">
        <w:rPr>
          <w:rFonts w:asciiTheme="majorHAnsi" w:hAnsiTheme="majorHAnsi"/>
          <w:spacing w:val="-47"/>
          <w:sz w:val="20"/>
          <w:szCs w:val="20"/>
        </w:rPr>
        <w:t xml:space="preserve"> </w:t>
      </w:r>
      <w:r w:rsidRPr="000977F7">
        <w:rPr>
          <w:rFonts w:asciiTheme="majorHAnsi" w:hAnsiTheme="majorHAnsi"/>
          <w:sz w:val="20"/>
          <w:szCs w:val="20"/>
        </w:rPr>
        <w:t>за дорученням і за рахунок банків-кореспондентів</w:t>
      </w:r>
      <w:r w:rsidRPr="000977F7">
        <w:rPr>
          <w:rFonts w:asciiTheme="majorHAnsi" w:hAnsiTheme="majorHAns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375F53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БАНК</w:t>
      </w:r>
      <w:r w:rsidRPr="000977F7">
        <w:rPr>
          <w:color w:val="auto"/>
          <w:spacing w:val="-3"/>
          <w:sz w:val="20"/>
          <w:szCs w:val="20"/>
        </w:rPr>
        <w:t xml:space="preserve"> </w:t>
      </w:r>
      <w:r w:rsidRPr="000977F7">
        <w:rPr>
          <w:color w:val="auto"/>
          <w:sz w:val="20"/>
          <w:szCs w:val="20"/>
        </w:rPr>
        <w:t>–</w:t>
      </w:r>
      <w:r w:rsidRPr="000977F7">
        <w:rPr>
          <w:color w:val="auto"/>
          <w:spacing w:val="-3"/>
          <w:sz w:val="20"/>
          <w:szCs w:val="20"/>
        </w:rPr>
        <w:t xml:space="preserve"> </w:t>
      </w:r>
      <w:r w:rsidRPr="000977F7">
        <w:rPr>
          <w:color w:val="auto"/>
          <w:sz w:val="20"/>
          <w:szCs w:val="20"/>
        </w:rPr>
        <w:t>КОРЕСПОНДЕНТ</w:t>
      </w:r>
      <w:r w:rsidRPr="000977F7">
        <w:rPr>
          <w:color w:val="auto"/>
          <w:spacing w:val="-2"/>
          <w:sz w:val="20"/>
          <w:szCs w:val="20"/>
        </w:rPr>
        <w:t xml:space="preserve"> </w:t>
      </w:r>
      <w:r w:rsidRPr="000977F7">
        <w:rPr>
          <w:color w:val="auto"/>
          <w:sz w:val="20"/>
          <w:szCs w:val="20"/>
        </w:rPr>
        <w:t>–</w:t>
      </w:r>
    </w:p>
    <w:p w14:paraId="3F4C3437" w14:textId="77777777" w:rsidR="0097612F" w:rsidRPr="000977F7" w:rsidRDefault="0097612F" w:rsidP="000977F7">
      <w:pPr>
        <w:pStyle w:val="af6"/>
        <w:tabs>
          <w:tab w:val="left" w:pos="284"/>
        </w:tabs>
        <w:spacing w:after="0"/>
        <w:ind w:left="170"/>
        <w:mirrorIndents/>
        <w:jc w:val="both"/>
        <w:rPr>
          <w:rFonts w:asciiTheme="majorHAnsi" w:hAnsiTheme="majorHAnsi"/>
          <w:spacing w:val="-4"/>
          <w:sz w:val="20"/>
          <w:szCs w:val="20"/>
        </w:rPr>
      </w:pPr>
      <w:r w:rsidRPr="000977F7">
        <w:rPr>
          <w:rFonts w:asciiTheme="majorHAnsi" w:hAnsiTheme="majorHAnsi"/>
          <w:spacing w:val="-6"/>
          <w:sz w:val="20"/>
          <w:szCs w:val="20"/>
        </w:rPr>
        <w:t>Банк,</w:t>
      </w:r>
      <w:r w:rsidRPr="000977F7">
        <w:rPr>
          <w:rFonts w:asciiTheme="majorHAnsi" w:hAnsiTheme="majorHAnsi"/>
          <w:spacing w:val="-4"/>
          <w:sz w:val="20"/>
          <w:szCs w:val="20"/>
        </w:rPr>
        <w:t xml:space="preserve"> </w:t>
      </w:r>
      <w:r w:rsidRPr="000977F7">
        <w:rPr>
          <w:rFonts w:asciiTheme="majorHAnsi" w:hAnsiTheme="majorHAnsi"/>
          <w:spacing w:val="-6"/>
          <w:sz w:val="20"/>
          <w:szCs w:val="20"/>
        </w:rPr>
        <w:t>який</w:t>
      </w:r>
      <w:r w:rsidRPr="000977F7">
        <w:rPr>
          <w:rFonts w:asciiTheme="majorHAnsi" w:hAnsiTheme="majorHAnsi"/>
          <w:spacing w:val="-5"/>
          <w:sz w:val="20"/>
          <w:szCs w:val="20"/>
        </w:rPr>
        <w:t xml:space="preserve"> </w:t>
      </w:r>
      <w:r w:rsidRPr="000977F7">
        <w:rPr>
          <w:rFonts w:asciiTheme="majorHAnsi" w:hAnsiTheme="majorHAnsi"/>
          <w:spacing w:val="-6"/>
          <w:sz w:val="20"/>
          <w:szCs w:val="20"/>
        </w:rPr>
        <w:t>виконує</w:t>
      </w:r>
      <w:r w:rsidRPr="000977F7">
        <w:rPr>
          <w:rFonts w:asciiTheme="majorHAnsi" w:hAnsiTheme="majorHAnsi"/>
          <w:spacing w:val="-3"/>
          <w:sz w:val="20"/>
          <w:szCs w:val="20"/>
        </w:rPr>
        <w:t xml:space="preserve"> </w:t>
      </w:r>
      <w:r w:rsidRPr="000977F7">
        <w:rPr>
          <w:rFonts w:asciiTheme="majorHAnsi" w:hAnsiTheme="majorHAnsi"/>
          <w:spacing w:val="-6"/>
          <w:sz w:val="20"/>
          <w:szCs w:val="20"/>
        </w:rPr>
        <w:t>на</w:t>
      </w:r>
      <w:r w:rsidRPr="000977F7">
        <w:rPr>
          <w:rFonts w:asciiTheme="majorHAnsi" w:hAnsiTheme="majorHAnsi"/>
          <w:spacing w:val="-4"/>
          <w:sz w:val="20"/>
          <w:szCs w:val="20"/>
        </w:rPr>
        <w:t xml:space="preserve"> </w:t>
      </w:r>
      <w:r w:rsidRPr="000977F7">
        <w:rPr>
          <w:rFonts w:asciiTheme="majorHAnsi" w:hAnsiTheme="majorHAnsi"/>
          <w:spacing w:val="-6"/>
          <w:sz w:val="20"/>
          <w:szCs w:val="20"/>
        </w:rPr>
        <w:t>основі</w:t>
      </w:r>
      <w:r w:rsidRPr="000977F7">
        <w:rPr>
          <w:rFonts w:asciiTheme="majorHAnsi" w:hAnsiTheme="majorHAnsi"/>
          <w:spacing w:val="-4"/>
          <w:sz w:val="20"/>
          <w:szCs w:val="20"/>
        </w:rPr>
        <w:t xml:space="preserve"> </w:t>
      </w:r>
      <w:r w:rsidRPr="000977F7">
        <w:rPr>
          <w:rFonts w:asciiTheme="majorHAnsi" w:hAnsiTheme="majorHAnsi"/>
          <w:spacing w:val="-6"/>
          <w:sz w:val="20"/>
          <w:szCs w:val="20"/>
        </w:rPr>
        <w:t>кореспондентського</w:t>
      </w:r>
      <w:r w:rsidRPr="000977F7">
        <w:rPr>
          <w:rFonts w:asciiTheme="majorHAnsi" w:hAnsiTheme="majorHAnsi"/>
          <w:spacing w:val="-3"/>
          <w:sz w:val="20"/>
          <w:szCs w:val="20"/>
        </w:rPr>
        <w:t xml:space="preserve"> </w:t>
      </w:r>
      <w:r w:rsidRPr="000977F7">
        <w:rPr>
          <w:rFonts w:asciiTheme="majorHAnsi" w:hAnsiTheme="majorHAnsi"/>
          <w:spacing w:val="-5"/>
          <w:sz w:val="20"/>
          <w:szCs w:val="20"/>
        </w:rPr>
        <w:t>догово</w:t>
      </w:r>
      <w:r w:rsidRPr="000977F7">
        <w:rPr>
          <w:rFonts w:asciiTheme="majorHAnsi" w:hAnsiTheme="majorHAnsi"/>
          <w:spacing w:val="-6"/>
          <w:sz w:val="20"/>
          <w:szCs w:val="20"/>
        </w:rPr>
        <w:t xml:space="preserve">ру доручення </w:t>
      </w:r>
      <w:r w:rsidRPr="000977F7">
        <w:rPr>
          <w:rFonts w:asciiTheme="majorHAnsi" w:hAnsiTheme="majorHAnsi"/>
          <w:spacing w:val="-5"/>
          <w:sz w:val="20"/>
          <w:szCs w:val="20"/>
        </w:rPr>
        <w:t>іншого банку за платежами і розрахунками</w:t>
      </w:r>
      <w:r w:rsidRPr="000977F7">
        <w:rPr>
          <w:rFonts w:asciiTheme="majorHAnsi" w:hAnsiTheme="majorHAnsi"/>
          <w:spacing w:val="-4"/>
          <w:sz w:val="20"/>
          <w:szCs w:val="20"/>
        </w:rPr>
        <w:t xml:space="preserve"> </w:t>
      </w:r>
    </w:p>
    <w:p w14:paraId="697BEC88"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22E135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БАРТЕРНА</w:t>
      </w:r>
      <w:r w:rsidRPr="000977F7">
        <w:rPr>
          <w:color w:val="auto"/>
          <w:spacing w:val="-3"/>
          <w:sz w:val="20"/>
          <w:szCs w:val="20"/>
        </w:rPr>
        <w:t xml:space="preserve"> </w:t>
      </w:r>
      <w:r w:rsidRPr="000977F7">
        <w:rPr>
          <w:color w:val="auto"/>
          <w:sz w:val="20"/>
          <w:szCs w:val="20"/>
        </w:rPr>
        <w:t>УГОДА</w:t>
      </w:r>
      <w:r w:rsidRPr="000977F7">
        <w:rPr>
          <w:color w:val="auto"/>
          <w:spacing w:val="-2"/>
          <w:sz w:val="20"/>
          <w:szCs w:val="20"/>
        </w:rPr>
        <w:t xml:space="preserve"> </w:t>
      </w:r>
      <w:r w:rsidRPr="000977F7">
        <w:rPr>
          <w:color w:val="auto"/>
          <w:sz w:val="20"/>
          <w:szCs w:val="20"/>
        </w:rPr>
        <w:t>–</w:t>
      </w:r>
    </w:p>
    <w:p w14:paraId="4CA8ED1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Безвалютний,</w:t>
      </w:r>
      <w:r w:rsidRPr="000977F7">
        <w:rPr>
          <w:rFonts w:asciiTheme="majorHAnsi" w:hAnsiTheme="majorHAnsi"/>
          <w:spacing w:val="1"/>
          <w:sz w:val="20"/>
          <w:szCs w:val="20"/>
        </w:rPr>
        <w:t xml:space="preserve"> </w:t>
      </w:r>
      <w:r w:rsidRPr="000977F7">
        <w:rPr>
          <w:rFonts w:asciiTheme="majorHAnsi" w:hAnsiTheme="majorHAnsi"/>
          <w:sz w:val="20"/>
          <w:szCs w:val="20"/>
        </w:rPr>
        <w:t>але</w:t>
      </w:r>
      <w:r w:rsidRPr="000977F7">
        <w:rPr>
          <w:rFonts w:asciiTheme="majorHAnsi" w:hAnsiTheme="majorHAnsi"/>
          <w:spacing w:val="1"/>
          <w:sz w:val="20"/>
          <w:szCs w:val="20"/>
        </w:rPr>
        <w:t xml:space="preserve"> </w:t>
      </w:r>
      <w:r w:rsidRPr="000977F7">
        <w:rPr>
          <w:rFonts w:asciiTheme="majorHAnsi" w:hAnsiTheme="majorHAnsi"/>
          <w:sz w:val="20"/>
          <w:szCs w:val="20"/>
        </w:rPr>
        <w:t>оцінений</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збалансований</w:t>
      </w:r>
      <w:r w:rsidRPr="000977F7">
        <w:rPr>
          <w:rFonts w:asciiTheme="majorHAnsi" w:hAnsiTheme="majorHAnsi"/>
          <w:spacing w:val="1"/>
          <w:sz w:val="20"/>
          <w:szCs w:val="20"/>
        </w:rPr>
        <w:t xml:space="preserve"> </w:t>
      </w:r>
      <w:r w:rsidRPr="000977F7">
        <w:rPr>
          <w:rFonts w:asciiTheme="majorHAnsi" w:hAnsiTheme="majorHAnsi"/>
          <w:sz w:val="20"/>
          <w:szCs w:val="20"/>
        </w:rPr>
        <w:t>обмін</w:t>
      </w:r>
      <w:r w:rsidRPr="000977F7">
        <w:rPr>
          <w:rFonts w:asciiTheme="majorHAnsi" w:hAnsiTheme="majorHAnsi"/>
          <w:spacing w:val="-47"/>
          <w:sz w:val="20"/>
          <w:szCs w:val="20"/>
        </w:rPr>
        <w:t xml:space="preserve"> </w:t>
      </w:r>
      <w:r w:rsidRPr="000977F7">
        <w:rPr>
          <w:rFonts w:asciiTheme="majorHAnsi" w:hAnsiTheme="majorHAnsi"/>
          <w:sz w:val="20"/>
          <w:szCs w:val="20"/>
        </w:rPr>
        <w:t>товарами,</w:t>
      </w:r>
      <w:r w:rsidRPr="000977F7">
        <w:rPr>
          <w:rFonts w:asciiTheme="majorHAnsi" w:hAnsiTheme="majorHAnsi"/>
          <w:spacing w:val="-1"/>
          <w:sz w:val="20"/>
          <w:szCs w:val="20"/>
        </w:rPr>
        <w:t xml:space="preserve"> </w:t>
      </w:r>
      <w:r w:rsidRPr="000977F7">
        <w:rPr>
          <w:rFonts w:asciiTheme="majorHAnsi" w:hAnsiTheme="majorHAnsi"/>
          <w:sz w:val="20"/>
          <w:szCs w:val="20"/>
        </w:rPr>
        <w:t>що оформлюється</w:t>
      </w:r>
      <w:r w:rsidRPr="000977F7">
        <w:rPr>
          <w:rFonts w:asciiTheme="majorHAnsi" w:hAnsiTheme="majorHAnsi"/>
          <w:spacing w:val="-2"/>
          <w:sz w:val="20"/>
          <w:szCs w:val="20"/>
        </w:rPr>
        <w:t xml:space="preserve"> </w:t>
      </w:r>
      <w:r w:rsidRPr="000977F7">
        <w:rPr>
          <w:rFonts w:asciiTheme="majorHAnsi" w:hAnsiTheme="majorHAnsi"/>
          <w:sz w:val="20"/>
          <w:szCs w:val="20"/>
        </w:rPr>
        <w:t>одним договором</w:t>
      </w:r>
    </w:p>
    <w:p w14:paraId="079B4D5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BF2C3D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БАЛАНС</w:t>
      </w:r>
      <w:r w:rsidRPr="000977F7">
        <w:rPr>
          <w:color w:val="auto"/>
          <w:spacing w:val="-6"/>
          <w:sz w:val="20"/>
          <w:szCs w:val="20"/>
        </w:rPr>
        <w:t xml:space="preserve"> </w:t>
      </w:r>
      <w:r w:rsidRPr="000977F7">
        <w:rPr>
          <w:color w:val="auto"/>
          <w:sz w:val="20"/>
          <w:szCs w:val="20"/>
        </w:rPr>
        <w:t>МІЖНАРОДНИХ</w:t>
      </w:r>
      <w:r w:rsidRPr="000977F7">
        <w:rPr>
          <w:color w:val="auto"/>
          <w:spacing w:val="-5"/>
          <w:sz w:val="20"/>
          <w:szCs w:val="20"/>
        </w:rPr>
        <w:t xml:space="preserve"> </w:t>
      </w:r>
      <w:r w:rsidRPr="000977F7">
        <w:rPr>
          <w:color w:val="auto"/>
          <w:sz w:val="20"/>
          <w:szCs w:val="20"/>
        </w:rPr>
        <w:t>РОЗРАХУНКІВ –</w:t>
      </w:r>
    </w:p>
    <w:p w14:paraId="5B50FD8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Співвідношення грошових вимог та зобов’язань, надходжень і платежів однієї країни по відношенню до</w:t>
      </w:r>
      <w:r w:rsidRPr="000977F7">
        <w:rPr>
          <w:rFonts w:asciiTheme="majorHAnsi" w:hAnsiTheme="majorHAnsi"/>
          <w:spacing w:val="1"/>
          <w:sz w:val="20"/>
          <w:szCs w:val="20"/>
        </w:rPr>
        <w:t xml:space="preserve"> </w:t>
      </w:r>
      <w:r w:rsidRPr="000977F7">
        <w:rPr>
          <w:rFonts w:asciiTheme="majorHAnsi" w:hAnsiTheme="majorHAnsi"/>
          <w:sz w:val="20"/>
          <w:szCs w:val="20"/>
        </w:rPr>
        <w:t>інших країн</w:t>
      </w:r>
    </w:p>
    <w:p w14:paraId="4D1A206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E59970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БАЛАНС</w:t>
      </w:r>
      <w:r w:rsidRPr="000977F7">
        <w:rPr>
          <w:color w:val="auto"/>
          <w:spacing w:val="18"/>
          <w:sz w:val="20"/>
          <w:szCs w:val="20"/>
        </w:rPr>
        <w:t xml:space="preserve"> </w:t>
      </w:r>
      <w:r w:rsidRPr="000977F7">
        <w:rPr>
          <w:color w:val="auto"/>
          <w:sz w:val="20"/>
          <w:szCs w:val="20"/>
        </w:rPr>
        <w:t>МІЖНАРОДНОЇ</w:t>
      </w:r>
      <w:r w:rsidRPr="000977F7">
        <w:rPr>
          <w:color w:val="auto"/>
          <w:spacing w:val="17"/>
          <w:sz w:val="20"/>
          <w:szCs w:val="20"/>
        </w:rPr>
        <w:t xml:space="preserve"> </w:t>
      </w:r>
      <w:r w:rsidRPr="000977F7">
        <w:rPr>
          <w:color w:val="auto"/>
          <w:sz w:val="20"/>
          <w:szCs w:val="20"/>
        </w:rPr>
        <w:t>ЗАБОРГОВАНОСТІ</w:t>
      </w:r>
      <w:r w:rsidRPr="000977F7">
        <w:rPr>
          <w:color w:val="auto"/>
          <w:spacing w:val="-47"/>
          <w:sz w:val="20"/>
          <w:szCs w:val="20"/>
        </w:rPr>
        <w:t xml:space="preserve"> </w:t>
      </w:r>
      <w:r w:rsidRPr="000977F7">
        <w:rPr>
          <w:color w:val="auto"/>
          <w:sz w:val="20"/>
          <w:szCs w:val="20"/>
        </w:rPr>
        <w:t>ТА</w:t>
      </w:r>
      <w:r w:rsidRPr="000977F7">
        <w:rPr>
          <w:color w:val="auto"/>
          <w:spacing w:val="-1"/>
          <w:sz w:val="20"/>
          <w:szCs w:val="20"/>
        </w:rPr>
        <w:t xml:space="preserve"> </w:t>
      </w:r>
      <w:r w:rsidRPr="000977F7">
        <w:rPr>
          <w:color w:val="auto"/>
          <w:sz w:val="20"/>
          <w:szCs w:val="20"/>
        </w:rPr>
        <w:t>ВИМОГ;</w:t>
      </w:r>
      <w:r w:rsidRPr="000977F7">
        <w:rPr>
          <w:color w:val="auto"/>
          <w:spacing w:val="2"/>
          <w:sz w:val="20"/>
          <w:szCs w:val="20"/>
        </w:rPr>
        <w:t xml:space="preserve"> </w:t>
      </w:r>
      <w:r w:rsidRPr="000977F7">
        <w:rPr>
          <w:color w:val="auto"/>
          <w:sz w:val="20"/>
          <w:szCs w:val="20"/>
        </w:rPr>
        <w:t>БМЗВ</w:t>
      </w:r>
      <w:r w:rsidRPr="000977F7">
        <w:rPr>
          <w:color w:val="auto"/>
          <w:spacing w:val="2"/>
          <w:sz w:val="20"/>
          <w:szCs w:val="20"/>
        </w:rPr>
        <w:t xml:space="preserve"> </w:t>
      </w:r>
      <w:r w:rsidRPr="000977F7">
        <w:rPr>
          <w:color w:val="auto"/>
          <w:sz w:val="20"/>
          <w:szCs w:val="20"/>
        </w:rPr>
        <w:t>–</w:t>
      </w:r>
    </w:p>
    <w:p w14:paraId="4E05088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Різновид балансів міжнародних розрахунків, що відображає обсяг грошових вимог та зобов’язань держави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його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взаємовідношень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іншими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державами,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який</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склався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 певну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дату</w:t>
      </w:r>
    </w:p>
    <w:p w14:paraId="3224A9B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38F8B53" w14:textId="77777777" w:rsidR="0097612F" w:rsidRPr="000977F7" w:rsidRDefault="0097612F" w:rsidP="000977F7">
      <w:pPr>
        <w:pStyle w:val="7"/>
        <w:tabs>
          <w:tab w:val="left" w:pos="284"/>
        </w:tabs>
        <w:spacing w:before="0" w:line="240" w:lineRule="auto"/>
        <w:ind w:left="170"/>
        <w:mirrorIndents/>
        <w:jc w:val="both"/>
        <w:rPr>
          <w:color w:val="auto"/>
          <w:spacing w:val="22"/>
          <w:sz w:val="20"/>
          <w:szCs w:val="20"/>
        </w:rPr>
      </w:pPr>
      <w:r w:rsidRPr="000977F7">
        <w:rPr>
          <w:color w:val="auto"/>
          <w:sz w:val="20"/>
          <w:szCs w:val="20"/>
        </w:rPr>
        <w:t>БАЛАНС</w:t>
      </w:r>
      <w:r w:rsidRPr="000977F7">
        <w:rPr>
          <w:color w:val="auto"/>
          <w:spacing w:val="22"/>
          <w:sz w:val="20"/>
          <w:szCs w:val="20"/>
        </w:rPr>
        <w:t xml:space="preserve"> </w:t>
      </w:r>
      <w:r w:rsidRPr="000977F7">
        <w:rPr>
          <w:color w:val="auto"/>
          <w:sz w:val="20"/>
          <w:szCs w:val="20"/>
        </w:rPr>
        <w:t>ПРИБУТКІВ</w:t>
      </w:r>
      <w:r w:rsidRPr="000977F7">
        <w:rPr>
          <w:color w:val="auto"/>
          <w:spacing w:val="24"/>
          <w:sz w:val="20"/>
          <w:szCs w:val="20"/>
        </w:rPr>
        <w:t xml:space="preserve"> </w:t>
      </w:r>
      <w:r w:rsidRPr="000977F7">
        <w:rPr>
          <w:color w:val="auto"/>
          <w:sz w:val="20"/>
          <w:szCs w:val="20"/>
        </w:rPr>
        <w:t>ТА</w:t>
      </w:r>
      <w:r w:rsidRPr="000977F7">
        <w:rPr>
          <w:color w:val="auto"/>
          <w:spacing w:val="22"/>
          <w:sz w:val="20"/>
          <w:szCs w:val="20"/>
        </w:rPr>
        <w:t xml:space="preserve"> </w:t>
      </w:r>
      <w:r w:rsidRPr="000977F7">
        <w:rPr>
          <w:color w:val="auto"/>
          <w:sz w:val="20"/>
          <w:szCs w:val="20"/>
        </w:rPr>
        <w:t>ВИТРАТ</w:t>
      </w:r>
      <w:r w:rsidRPr="000977F7">
        <w:rPr>
          <w:color w:val="auto"/>
          <w:spacing w:val="22"/>
          <w:sz w:val="20"/>
          <w:szCs w:val="20"/>
        </w:rPr>
        <w:t xml:space="preserve"> </w:t>
      </w:r>
    </w:p>
    <w:p w14:paraId="74E0D1A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w:t>
      </w:r>
      <w:r w:rsidRPr="000977F7">
        <w:rPr>
          <w:color w:val="auto"/>
          <w:spacing w:val="22"/>
          <w:sz w:val="20"/>
          <w:szCs w:val="20"/>
        </w:rPr>
        <w:t xml:space="preserve"> </w:t>
      </w:r>
      <w:r w:rsidRPr="000977F7">
        <w:rPr>
          <w:color w:val="auto"/>
          <w:sz w:val="20"/>
          <w:szCs w:val="20"/>
        </w:rPr>
        <w:t>ЗОВНІШ</w:t>
      </w:r>
      <w:r w:rsidRPr="000977F7">
        <w:rPr>
          <w:color w:val="auto"/>
          <w:spacing w:val="-47"/>
          <w:sz w:val="20"/>
          <w:szCs w:val="20"/>
        </w:rPr>
        <w:t xml:space="preserve"> </w:t>
      </w:r>
      <w:r w:rsidRPr="000977F7">
        <w:rPr>
          <w:color w:val="auto"/>
          <w:sz w:val="20"/>
          <w:szCs w:val="20"/>
        </w:rPr>
        <w:t>НІЙ ТОРГІВЛІ</w:t>
      </w:r>
      <w:r w:rsidRPr="000977F7">
        <w:rPr>
          <w:color w:val="auto"/>
          <w:spacing w:val="-1"/>
          <w:sz w:val="20"/>
          <w:szCs w:val="20"/>
        </w:rPr>
        <w:t xml:space="preserve"> </w:t>
      </w:r>
      <w:r w:rsidRPr="000977F7">
        <w:rPr>
          <w:color w:val="auto"/>
          <w:sz w:val="20"/>
          <w:szCs w:val="20"/>
        </w:rPr>
        <w:t>)</w:t>
      </w:r>
      <w:r w:rsidRPr="000977F7">
        <w:rPr>
          <w:color w:val="auto"/>
          <w:spacing w:val="2"/>
          <w:sz w:val="20"/>
          <w:szCs w:val="20"/>
        </w:rPr>
        <w:t xml:space="preserve"> </w:t>
      </w:r>
      <w:r w:rsidRPr="000977F7">
        <w:rPr>
          <w:color w:val="auto"/>
          <w:sz w:val="20"/>
          <w:szCs w:val="20"/>
        </w:rPr>
        <w:t>–</w:t>
      </w:r>
    </w:p>
    <w:p w14:paraId="6FD8FA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показників, що характеризує результати комерційної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фінансово</w:t>
      </w:r>
      <w:r w:rsidRPr="000977F7">
        <w:rPr>
          <w:rFonts w:asciiTheme="majorHAnsi" w:hAnsiTheme="majorHAnsi"/>
          <w:spacing w:val="1"/>
          <w:sz w:val="20"/>
          <w:szCs w:val="20"/>
        </w:rPr>
        <w:t xml:space="preserve"> </w:t>
      </w:r>
      <w:r w:rsidRPr="000977F7">
        <w:rPr>
          <w:rFonts w:asciiTheme="majorHAnsi" w:hAnsiTheme="majorHAnsi"/>
          <w:sz w:val="20"/>
          <w:szCs w:val="20"/>
        </w:rPr>
        <w:t>господарської</w:t>
      </w:r>
      <w:r w:rsidRPr="000977F7">
        <w:rPr>
          <w:rFonts w:asciiTheme="majorHAnsi" w:hAnsiTheme="majorHAnsi"/>
          <w:spacing w:val="1"/>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1"/>
          <w:sz w:val="20"/>
          <w:szCs w:val="20"/>
        </w:rPr>
        <w:t xml:space="preserve"> </w:t>
      </w:r>
      <w:r w:rsidRPr="000977F7">
        <w:rPr>
          <w:rFonts w:asciiTheme="majorHAnsi" w:hAnsiTheme="majorHAnsi"/>
          <w:sz w:val="20"/>
          <w:szCs w:val="20"/>
        </w:rPr>
        <w:t>Зовнішньоторговельних</w:t>
      </w:r>
      <w:r w:rsidRPr="000977F7">
        <w:rPr>
          <w:rFonts w:asciiTheme="majorHAnsi" w:hAnsiTheme="majorHAnsi"/>
          <w:spacing w:val="-2"/>
          <w:sz w:val="20"/>
          <w:szCs w:val="20"/>
        </w:rPr>
        <w:t xml:space="preserve"> </w:t>
      </w:r>
      <w:r w:rsidRPr="000977F7">
        <w:rPr>
          <w:rFonts w:asciiTheme="majorHAnsi" w:hAnsiTheme="majorHAnsi"/>
          <w:sz w:val="20"/>
          <w:szCs w:val="20"/>
        </w:rPr>
        <w:t>організацій</w:t>
      </w:r>
    </w:p>
    <w:p w14:paraId="721FDDC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B8BAFE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БАЛАНС</w:t>
      </w:r>
      <w:r w:rsidRPr="000977F7">
        <w:rPr>
          <w:color w:val="auto"/>
          <w:spacing w:val="-4"/>
          <w:sz w:val="20"/>
          <w:szCs w:val="20"/>
        </w:rPr>
        <w:t xml:space="preserve"> </w:t>
      </w:r>
      <w:r w:rsidRPr="000977F7">
        <w:rPr>
          <w:color w:val="auto"/>
          <w:sz w:val="20"/>
          <w:szCs w:val="20"/>
        </w:rPr>
        <w:t>РУХУ</w:t>
      </w:r>
      <w:r w:rsidRPr="000977F7">
        <w:rPr>
          <w:color w:val="auto"/>
          <w:spacing w:val="-4"/>
          <w:sz w:val="20"/>
          <w:szCs w:val="20"/>
        </w:rPr>
        <w:t xml:space="preserve"> </w:t>
      </w:r>
      <w:r w:rsidRPr="000977F7">
        <w:rPr>
          <w:color w:val="auto"/>
          <w:sz w:val="20"/>
          <w:szCs w:val="20"/>
        </w:rPr>
        <w:t>КАПІТАЛІВ</w:t>
      </w:r>
      <w:r w:rsidRPr="000977F7">
        <w:rPr>
          <w:color w:val="auto"/>
          <w:spacing w:val="-3"/>
          <w:sz w:val="20"/>
          <w:szCs w:val="20"/>
        </w:rPr>
        <w:t xml:space="preserve"> </w:t>
      </w:r>
      <w:r w:rsidRPr="000977F7">
        <w:rPr>
          <w:color w:val="auto"/>
          <w:sz w:val="20"/>
          <w:szCs w:val="20"/>
        </w:rPr>
        <w:t>ТА</w:t>
      </w:r>
      <w:r w:rsidRPr="000977F7">
        <w:rPr>
          <w:color w:val="auto"/>
          <w:spacing w:val="-3"/>
          <w:sz w:val="20"/>
          <w:szCs w:val="20"/>
        </w:rPr>
        <w:t xml:space="preserve"> </w:t>
      </w:r>
      <w:r w:rsidRPr="000977F7">
        <w:rPr>
          <w:color w:val="auto"/>
          <w:sz w:val="20"/>
          <w:szCs w:val="20"/>
        </w:rPr>
        <w:t>КРЕДИТУ</w:t>
      </w:r>
      <w:r w:rsidRPr="000977F7">
        <w:rPr>
          <w:color w:val="auto"/>
          <w:spacing w:val="-1"/>
          <w:sz w:val="20"/>
          <w:szCs w:val="20"/>
        </w:rPr>
        <w:t xml:space="preserve"> </w:t>
      </w:r>
      <w:r w:rsidRPr="000977F7">
        <w:rPr>
          <w:color w:val="auto"/>
          <w:sz w:val="20"/>
          <w:szCs w:val="20"/>
        </w:rPr>
        <w:t>–</w:t>
      </w:r>
    </w:p>
    <w:p w14:paraId="48E7E29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Різновид балансів міжнародних розрахунків, що відображає співвідношення ввезення та вивезення капіталів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кредитів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 певний</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період</w:t>
      </w:r>
    </w:p>
    <w:p w14:paraId="02ECCB7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3293 - 95</w:t>
      </w:r>
    </w:p>
    <w:p w14:paraId="514683C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БАЛАНС</w:t>
      </w:r>
      <w:r w:rsidRPr="000977F7">
        <w:rPr>
          <w:color w:val="auto"/>
          <w:spacing w:val="-3"/>
          <w:sz w:val="20"/>
          <w:szCs w:val="20"/>
        </w:rPr>
        <w:t xml:space="preserve"> </w:t>
      </w:r>
      <w:r w:rsidRPr="000977F7">
        <w:rPr>
          <w:color w:val="auto"/>
          <w:sz w:val="20"/>
          <w:szCs w:val="20"/>
        </w:rPr>
        <w:t>ЧАСУ</w:t>
      </w:r>
      <w:r w:rsidRPr="000977F7">
        <w:rPr>
          <w:color w:val="auto"/>
          <w:spacing w:val="46"/>
          <w:sz w:val="20"/>
          <w:szCs w:val="20"/>
        </w:rPr>
        <w:t xml:space="preserve"> </w:t>
      </w:r>
      <w:r w:rsidRPr="000977F7">
        <w:rPr>
          <w:color w:val="auto"/>
          <w:sz w:val="20"/>
          <w:szCs w:val="20"/>
        </w:rPr>
        <w:t>РОБОТИ</w:t>
      </w:r>
      <w:r w:rsidRPr="000977F7">
        <w:rPr>
          <w:color w:val="auto"/>
          <w:spacing w:val="45"/>
          <w:sz w:val="20"/>
          <w:szCs w:val="20"/>
        </w:rPr>
        <w:t xml:space="preserve"> </w:t>
      </w:r>
      <w:r w:rsidRPr="000977F7">
        <w:rPr>
          <w:color w:val="auto"/>
          <w:sz w:val="20"/>
          <w:szCs w:val="20"/>
        </w:rPr>
        <w:t>УСТАТКУВАННЯ</w:t>
      </w:r>
      <w:r w:rsidRPr="000977F7">
        <w:rPr>
          <w:color w:val="auto"/>
          <w:spacing w:val="1"/>
          <w:sz w:val="20"/>
          <w:szCs w:val="20"/>
        </w:rPr>
        <w:t xml:space="preserve"> </w:t>
      </w:r>
      <w:r w:rsidRPr="000977F7">
        <w:rPr>
          <w:color w:val="auto"/>
          <w:sz w:val="20"/>
          <w:szCs w:val="20"/>
        </w:rPr>
        <w:t>–</w:t>
      </w:r>
    </w:p>
    <w:p w14:paraId="193B14B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показників, що дозволяє порівнювати запланований</w:t>
      </w:r>
      <w:r w:rsidRPr="000977F7">
        <w:rPr>
          <w:rFonts w:asciiTheme="majorHAnsi" w:hAnsiTheme="majorHAnsi"/>
          <w:spacing w:val="-3"/>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фактичний</w:t>
      </w:r>
      <w:r w:rsidRPr="000977F7">
        <w:rPr>
          <w:rFonts w:asciiTheme="majorHAnsi" w:hAnsiTheme="majorHAnsi"/>
          <w:spacing w:val="-2"/>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роботи устаткування</w:t>
      </w:r>
    </w:p>
    <w:p w14:paraId="0A964E4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2960 - 94</w:t>
      </w:r>
    </w:p>
    <w:p w14:paraId="4346C50D"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sz w:val="20"/>
          <w:szCs w:val="20"/>
        </w:rPr>
        <w:t>БАЛАНСУВАННЯ</w:t>
      </w:r>
      <w:r w:rsidRPr="000977F7">
        <w:rPr>
          <w:rFonts w:asciiTheme="majorHAnsi" w:hAnsiTheme="majorHAnsi"/>
          <w:b/>
          <w:bCs/>
          <w:spacing w:val="-12"/>
          <w:sz w:val="20"/>
          <w:szCs w:val="20"/>
        </w:rPr>
        <w:t xml:space="preserve"> </w:t>
      </w:r>
      <w:r w:rsidRPr="000977F7">
        <w:rPr>
          <w:rFonts w:asciiTheme="majorHAnsi" w:hAnsiTheme="majorHAnsi"/>
          <w:b/>
          <w:bCs/>
          <w:sz w:val="20"/>
          <w:szCs w:val="20"/>
        </w:rPr>
        <w:t>–</w:t>
      </w:r>
    </w:p>
    <w:p w14:paraId="0D025ED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Зрівноважування (усунення дебалансу) частин машини, що обертаються:</w:t>
      </w:r>
    </w:p>
    <w:p w14:paraId="2EFD0C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динамічне – з розміщенням противаг в двох паралельних площинах, перпендикулярних вісі обертання;</w:t>
      </w:r>
    </w:p>
    <w:p w14:paraId="3CE05B14" w14:textId="77777777" w:rsidR="0097612F" w:rsidRPr="000977F7" w:rsidRDefault="0097612F" w:rsidP="00FD39A4">
      <w:pPr>
        <w:pStyle w:val="ac"/>
        <w:widowControl w:val="0"/>
        <w:numPr>
          <w:ilvl w:val="0"/>
          <w:numId w:val="218"/>
        </w:numPr>
        <w:tabs>
          <w:tab w:val="left" w:pos="284"/>
          <w:tab w:val="left" w:pos="45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статичне</w:t>
      </w:r>
      <w:r w:rsidRPr="000977F7">
        <w:rPr>
          <w:rFonts w:asciiTheme="majorHAnsi" w:hAnsiTheme="majorHAnsi"/>
          <w:spacing w:val="23"/>
          <w:sz w:val="20"/>
          <w:szCs w:val="20"/>
        </w:rPr>
        <w:t xml:space="preserve"> </w:t>
      </w:r>
      <w:r w:rsidRPr="000977F7">
        <w:rPr>
          <w:rFonts w:asciiTheme="majorHAnsi" w:hAnsiTheme="majorHAnsi"/>
          <w:sz w:val="20"/>
          <w:szCs w:val="20"/>
        </w:rPr>
        <w:t>–</w:t>
      </w:r>
      <w:r w:rsidRPr="000977F7">
        <w:rPr>
          <w:rFonts w:asciiTheme="majorHAnsi" w:hAnsiTheme="majorHAnsi"/>
          <w:spacing w:val="25"/>
          <w:sz w:val="20"/>
          <w:szCs w:val="20"/>
        </w:rPr>
        <w:t xml:space="preserve"> </w:t>
      </w:r>
      <w:r w:rsidRPr="000977F7">
        <w:rPr>
          <w:rFonts w:asciiTheme="majorHAnsi" w:hAnsiTheme="majorHAnsi"/>
          <w:sz w:val="20"/>
          <w:szCs w:val="20"/>
        </w:rPr>
        <w:t>однією</w:t>
      </w:r>
      <w:r w:rsidRPr="000977F7">
        <w:rPr>
          <w:rFonts w:asciiTheme="majorHAnsi" w:hAnsiTheme="majorHAnsi"/>
          <w:spacing w:val="23"/>
          <w:sz w:val="20"/>
          <w:szCs w:val="20"/>
        </w:rPr>
        <w:t xml:space="preserve"> </w:t>
      </w:r>
      <w:r w:rsidRPr="000977F7">
        <w:rPr>
          <w:rFonts w:asciiTheme="majorHAnsi" w:hAnsiTheme="majorHAnsi"/>
          <w:sz w:val="20"/>
          <w:szCs w:val="20"/>
        </w:rPr>
        <w:t>противагою</w:t>
      </w:r>
      <w:r w:rsidRPr="000977F7">
        <w:rPr>
          <w:rFonts w:asciiTheme="majorHAnsi" w:hAnsiTheme="majorHAnsi"/>
          <w:spacing w:val="23"/>
          <w:sz w:val="20"/>
          <w:szCs w:val="20"/>
        </w:rPr>
        <w:t xml:space="preserve"> </w:t>
      </w:r>
      <w:r w:rsidRPr="000977F7">
        <w:rPr>
          <w:rFonts w:asciiTheme="majorHAnsi" w:hAnsiTheme="majorHAnsi"/>
          <w:sz w:val="20"/>
          <w:szCs w:val="20"/>
        </w:rPr>
        <w:t>в</w:t>
      </w:r>
      <w:r w:rsidRPr="000977F7">
        <w:rPr>
          <w:rFonts w:asciiTheme="majorHAnsi" w:hAnsiTheme="majorHAnsi"/>
          <w:spacing w:val="22"/>
          <w:sz w:val="20"/>
          <w:szCs w:val="20"/>
        </w:rPr>
        <w:t xml:space="preserve"> </w:t>
      </w:r>
      <w:r w:rsidRPr="000977F7">
        <w:rPr>
          <w:rFonts w:asciiTheme="majorHAnsi" w:hAnsiTheme="majorHAnsi"/>
          <w:sz w:val="20"/>
          <w:szCs w:val="20"/>
        </w:rPr>
        <w:t>довільно</w:t>
      </w:r>
      <w:r w:rsidRPr="000977F7">
        <w:rPr>
          <w:rFonts w:asciiTheme="majorHAnsi" w:hAnsiTheme="majorHAnsi"/>
          <w:spacing w:val="24"/>
          <w:sz w:val="20"/>
          <w:szCs w:val="20"/>
        </w:rPr>
        <w:t xml:space="preserve"> </w:t>
      </w:r>
      <w:r w:rsidRPr="000977F7">
        <w:rPr>
          <w:rFonts w:asciiTheme="majorHAnsi" w:hAnsiTheme="majorHAnsi"/>
          <w:sz w:val="20"/>
          <w:szCs w:val="20"/>
        </w:rPr>
        <w:t xml:space="preserve">вибраній </w:t>
      </w:r>
      <w:r w:rsidRPr="000977F7">
        <w:rPr>
          <w:rFonts w:asciiTheme="majorHAnsi" w:hAnsiTheme="majorHAnsi"/>
          <w:spacing w:val="-47"/>
          <w:sz w:val="20"/>
          <w:szCs w:val="20"/>
        </w:rPr>
        <w:t xml:space="preserve"> </w:t>
      </w:r>
      <w:r w:rsidRPr="000977F7">
        <w:rPr>
          <w:rFonts w:asciiTheme="majorHAnsi" w:hAnsiTheme="majorHAnsi"/>
          <w:sz w:val="20"/>
          <w:szCs w:val="20"/>
        </w:rPr>
        <w:t>площині</w:t>
      </w:r>
    </w:p>
    <w:p w14:paraId="0612E2D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БАЛКА</w:t>
      </w:r>
      <w:r w:rsidRPr="000977F7">
        <w:rPr>
          <w:color w:val="auto"/>
          <w:spacing w:val="-3"/>
          <w:sz w:val="20"/>
          <w:szCs w:val="20"/>
        </w:rPr>
        <w:t xml:space="preserve"> </w:t>
      </w:r>
      <w:r w:rsidRPr="000977F7">
        <w:rPr>
          <w:color w:val="auto"/>
          <w:sz w:val="20"/>
          <w:szCs w:val="20"/>
        </w:rPr>
        <w:t>–</w:t>
      </w:r>
    </w:p>
    <w:p w14:paraId="1D95EE8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BEAM</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1BECC4B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Стрижень,</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2"/>
          <w:sz w:val="20"/>
          <w:szCs w:val="20"/>
        </w:rPr>
        <w:t xml:space="preserve"> </w:t>
      </w:r>
      <w:r w:rsidRPr="000977F7">
        <w:rPr>
          <w:rFonts w:asciiTheme="majorHAnsi" w:hAnsiTheme="majorHAnsi"/>
          <w:sz w:val="20"/>
          <w:szCs w:val="20"/>
        </w:rPr>
        <w:t>зазнає</w:t>
      </w:r>
      <w:r w:rsidRPr="000977F7">
        <w:rPr>
          <w:rFonts w:asciiTheme="majorHAnsi" w:hAnsiTheme="majorHAnsi"/>
          <w:spacing w:val="-2"/>
          <w:sz w:val="20"/>
          <w:szCs w:val="20"/>
        </w:rPr>
        <w:t xml:space="preserve"> </w:t>
      </w:r>
      <w:r w:rsidRPr="000977F7">
        <w:rPr>
          <w:rFonts w:asciiTheme="majorHAnsi" w:hAnsiTheme="majorHAnsi"/>
          <w:sz w:val="20"/>
          <w:szCs w:val="20"/>
        </w:rPr>
        <w:t>здебільшого</w:t>
      </w:r>
      <w:r w:rsidRPr="000977F7">
        <w:rPr>
          <w:rFonts w:asciiTheme="majorHAnsi" w:hAnsiTheme="majorHAnsi"/>
          <w:spacing w:val="-2"/>
          <w:sz w:val="20"/>
          <w:szCs w:val="20"/>
        </w:rPr>
        <w:t xml:space="preserve"> </w:t>
      </w:r>
      <w:r w:rsidRPr="000977F7">
        <w:rPr>
          <w:rFonts w:asciiTheme="majorHAnsi" w:hAnsiTheme="majorHAnsi"/>
          <w:sz w:val="20"/>
          <w:szCs w:val="20"/>
        </w:rPr>
        <w:t>згину</w:t>
      </w:r>
    </w:p>
    <w:p w14:paraId="6543EDEF"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2825</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7A0BC5E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БАЧЕННЯ</w:t>
      </w:r>
      <w:r w:rsidRPr="000977F7">
        <w:rPr>
          <w:color w:val="auto"/>
          <w:spacing w:val="-5"/>
          <w:sz w:val="20"/>
          <w:szCs w:val="20"/>
        </w:rPr>
        <w:t xml:space="preserve"> </w:t>
      </w:r>
      <w:r w:rsidRPr="000977F7">
        <w:rPr>
          <w:color w:val="auto"/>
          <w:sz w:val="20"/>
          <w:szCs w:val="20"/>
        </w:rPr>
        <w:t>ОРГАНІЗАЦІЇ</w:t>
      </w:r>
      <w:r w:rsidRPr="000977F7">
        <w:rPr>
          <w:color w:val="auto"/>
          <w:spacing w:val="1"/>
          <w:sz w:val="20"/>
          <w:szCs w:val="20"/>
        </w:rPr>
        <w:t xml:space="preserve"> </w:t>
      </w:r>
      <w:r w:rsidRPr="000977F7">
        <w:rPr>
          <w:color w:val="auto"/>
          <w:sz w:val="20"/>
          <w:szCs w:val="20"/>
        </w:rPr>
        <w:t>–</w:t>
      </w:r>
    </w:p>
    <w:p w14:paraId="30B45E8D"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4D2D14">
        <w:rPr>
          <w:rFonts w:asciiTheme="majorHAnsi" w:hAnsiTheme="majorHAnsi"/>
          <w:sz w:val="20"/>
          <w:szCs w:val="20"/>
          <w:lang w:val="en-US"/>
        </w:rPr>
        <w:t>VISION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ORGANIZATION</w:t>
      </w:r>
      <w:r w:rsidRPr="004D2D14">
        <w:rPr>
          <w:rFonts w:asciiTheme="majorHAnsi" w:hAnsiTheme="majorHAnsi"/>
          <w:spacing w:val="1"/>
          <w:sz w:val="20"/>
          <w:szCs w:val="20"/>
          <w:lang w:val="en-US"/>
        </w:rPr>
        <w:t xml:space="preserve"> </w:t>
      </w:r>
      <w:r w:rsidRPr="004D2D14">
        <w:rPr>
          <w:rFonts w:asciiTheme="majorHAnsi" w:hAnsiTheme="majorHAnsi"/>
          <w:b/>
          <w:sz w:val="20"/>
          <w:szCs w:val="20"/>
          <w:lang w:val="en-US"/>
        </w:rPr>
        <w:t>–</w:t>
      </w:r>
    </w:p>
    <w:p w14:paraId="129C181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Прагнення</w:t>
      </w:r>
      <w:r w:rsidRPr="000977F7">
        <w:rPr>
          <w:rFonts w:asciiTheme="majorHAnsi" w:hAnsiTheme="majorHAnsi"/>
          <w:spacing w:val="-5"/>
          <w:sz w:val="20"/>
          <w:szCs w:val="20"/>
        </w:rPr>
        <w:t xml:space="preserve"> </w:t>
      </w:r>
      <w:r w:rsidRPr="000977F7">
        <w:rPr>
          <w:rFonts w:asciiTheme="majorHAnsi" w:hAnsiTheme="majorHAnsi"/>
          <w:sz w:val="20"/>
          <w:szCs w:val="20"/>
        </w:rPr>
        <w:t>того,</w:t>
      </w:r>
      <w:r w:rsidRPr="000977F7">
        <w:rPr>
          <w:rFonts w:asciiTheme="majorHAnsi" w:hAnsiTheme="majorHAnsi"/>
          <w:spacing w:val="-3"/>
          <w:sz w:val="20"/>
          <w:szCs w:val="20"/>
        </w:rPr>
        <w:t xml:space="preserve"> </w:t>
      </w:r>
      <w:r w:rsidRPr="000977F7">
        <w:rPr>
          <w:rFonts w:asciiTheme="majorHAnsi" w:hAnsiTheme="majorHAnsi"/>
          <w:sz w:val="20"/>
          <w:szCs w:val="20"/>
        </w:rPr>
        <w:t>чим</w:t>
      </w:r>
      <w:r w:rsidRPr="000977F7">
        <w:rPr>
          <w:rFonts w:asciiTheme="majorHAnsi" w:hAnsiTheme="majorHAnsi"/>
          <w:spacing w:val="-2"/>
          <w:sz w:val="20"/>
          <w:szCs w:val="20"/>
        </w:rPr>
        <w:t xml:space="preserve"> </w:t>
      </w:r>
      <w:r w:rsidRPr="000977F7">
        <w:rPr>
          <w:rFonts w:asciiTheme="majorHAnsi" w:hAnsiTheme="majorHAnsi"/>
          <w:sz w:val="20"/>
          <w:szCs w:val="20"/>
        </w:rPr>
        <w:t>організація</w:t>
      </w:r>
      <w:r w:rsidRPr="000977F7">
        <w:rPr>
          <w:rFonts w:asciiTheme="majorHAnsi" w:hAnsiTheme="majorHAnsi"/>
          <w:spacing w:val="-2"/>
          <w:sz w:val="20"/>
          <w:szCs w:val="20"/>
        </w:rPr>
        <w:t xml:space="preserve"> </w:t>
      </w:r>
      <w:r w:rsidRPr="000977F7">
        <w:rPr>
          <w:rFonts w:asciiTheme="majorHAnsi" w:hAnsiTheme="majorHAnsi"/>
          <w:sz w:val="20"/>
          <w:szCs w:val="20"/>
        </w:rPr>
        <w:t>хоче</w:t>
      </w:r>
      <w:r w:rsidRPr="000977F7">
        <w:rPr>
          <w:rFonts w:asciiTheme="majorHAnsi" w:hAnsiTheme="majorHAnsi"/>
          <w:spacing w:val="-3"/>
          <w:sz w:val="20"/>
          <w:szCs w:val="20"/>
        </w:rPr>
        <w:t xml:space="preserve"> </w:t>
      </w:r>
      <w:r w:rsidRPr="000977F7">
        <w:rPr>
          <w:rFonts w:asciiTheme="majorHAnsi" w:hAnsiTheme="majorHAnsi"/>
          <w:sz w:val="20"/>
          <w:szCs w:val="20"/>
        </w:rPr>
        <w:t>стати,</w:t>
      </w:r>
      <w:r w:rsidRPr="000977F7">
        <w:rPr>
          <w:rFonts w:asciiTheme="majorHAnsi" w:hAnsiTheme="majorHAnsi"/>
          <w:spacing w:val="-3"/>
          <w:sz w:val="20"/>
          <w:szCs w:val="20"/>
        </w:rPr>
        <w:t xml:space="preserve"> </w:t>
      </w:r>
      <w:r w:rsidRPr="000977F7">
        <w:rPr>
          <w:rFonts w:asciiTheme="majorHAnsi" w:hAnsiTheme="majorHAnsi"/>
          <w:sz w:val="20"/>
          <w:szCs w:val="20"/>
        </w:rPr>
        <w:t>як</w:t>
      </w:r>
      <w:r w:rsidRPr="000977F7">
        <w:rPr>
          <w:rFonts w:asciiTheme="majorHAnsi" w:hAnsiTheme="majorHAnsi"/>
          <w:spacing w:val="-5"/>
          <w:sz w:val="20"/>
          <w:szCs w:val="20"/>
        </w:rPr>
        <w:t xml:space="preserve"> </w:t>
      </w:r>
      <w:r w:rsidRPr="000977F7">
        <w:rPr>
          <w:rFonts w:asciiTheme="majorHAnsi" w:hAnsiTheme="majorHAnsi"/>
          <w:sz w:val="20"/>
          <w:szCs w:val="20"/>
        </w:rPr>
        <w:t>це</w:t>
      </w:r>
      <w:r w:rsidRPr="000977F7">
        <w:rPr>
          <w:rFonts w:asciiTheme="majorHAnsi" w:hAnsiTheme="majorHAnsi"/>
          <w:spacing w:val="-47"/>
          <w:sz w:val="20"/>
          <w:szCs w:val="20"/>
        </w:rPr>
        <w:t xml:space="preserve"> </w:t>
      </w:r>
      <w:r w:rsidRPr="000977F7">
        <w:rPr>
          <w:rFonts w:asciiTheme="majorHAnsi" w:hAnsiTheme="majorHAnsi"/>
          <w:sz w:val="20"/>
          <w:szCs w:val="20"/>
        </w:rPr>
        <w:t>сформулювало найвище</w:t>
      </w:r>
      <w:r w:rsidRPr="000977F7">
        <w:rPr>
          <w:rFonts w:asciiTheme="majorHAnsi" w:hAnsiTheme="majorHAnsi"/>
          <w:spacing w:val="2"/>
          <w:sz w:val="20"/>
          <w:szCs w:val="20"/>
        </w:rPr>
        <w:t xml:space="preserve"> </w:t>
      </w:r>
      <w:r w:rsidRPr="000977F7">
        <w:rPr>
          <w:rFonts w:asciiTheme="majorHAnsi" w:hAnsiTheme="majorHAnsi"/>
          <w:sz w:val="20"/>
          <w:szCs w:val="20"/>
        </w:rPr>
        <w:t>керівництво</w:t>
      </w:r>
    </w:p>
    <w:p w14:paraId="09544402"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ISO 9000:2015</w:t>
      </w:r>
    </w:p>
    <w:p w14:paraId="00C1AF90"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БЕЗАВАРІЙНІСТЬ –</w:t>
      </w:r>
      <w:r w:rsidRPr="000977F7">
        <w:rPr>
          <w:rFonts w:asciiTheme="majorHAnsi" w:hAnsiTheme="majorHAnsi"/>
          <w:b/>
          <w:spacing w:val="-47"/>
          <w:sz w:val="20"/>
          <w:szCs w:val="20"/>
        </w:rPr>
        <w:t xml:space="preserve"> </w:t>
      </w:r>
    </w:p>
    <w:p w14:paraId="2178C89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FAIL</w:t>
      </w:r>
      <w:r w:rsidRPr="000977F7">
        <w:rPr>
          <w:rFonts w:asciiTheme="majorHAnsi" w:hAnsiTheme="majorHAnsi"/>
          <w:spacing w:val="-3"/>
          <w:sz w:val="20"/>
          <w:szCs w:val="20"/>
        </w:rPr>
        <w:t xml:space="preserve"> </w:t>
      </w:r>
      <w:r w:rsidRPr="000977F7">
        <w:rPr>
          <w:rFonts w:asciiTheme="majorHAnsi" w:hAnsiTheme="majorHAnsi"/>
          <w:sz w:val="20"/>
          <w:szCs w:val="20"/>
        </w:rPr>
        <w:t>SAFE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1B3C8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w:t>
      </w:r>
      <w:r w:rsidRPr="000977F7">
        <w:rPr>
          <w:rFonts w:asciiTheme="majorHAnsi" w:hAnsiTheme="majorHAnsi"/>
          <w:spacing w:val="15"/>
          <w:sz w:val="20"/>
          <w:szCs w:val="20"/>
        </w:rPr>
        <w:t xml:space="preserve"> </w:t>
      </w:r>
      <w:r w:rsidRPr="000977F7">
        <w:rPr>
          <w:rFonts w:asciiTheme="majorHAnsi" w:hAnsiTheme="majorHAnsi"/>
          <w:sz w:val="20"/>
          <w:szCs w:val="20"/>
        </w:rPr>
        <w:t>конструкції</w:t>
      </w:r>
      <w:r w:rsidRPr="000977F7">
        <w:rPr>
          <w:rFonts w:asciiTheme="majorHAnsi" w:hAnsiTheme="majorHAnsi"/>
          <w:spacing w:val="14"/>
          <w:sz w:val="20"/>
          <w:szCs w:val="20"/>
        </w:rPr>
        <w:t xml:space="preserve"> </w:t>
      </w:r>
      <w:r w:rsidRPr="000977F7">
        <w:rPr>
          <w:rFonts w:asciiTheme="majorHAnsi" w:hAnsiTheme="majorHAnsi"/>
          <w:sz w:val="20"/>
          <w:szCs w:val="20"/>
        </w:rPr>
        <w:t>виробу</w:t>
      </w:r>
      <w:r w:rsidRPr="000977F7">
        <w:rPr>
          <w:rFonts w:asciiTheme="majorHAnsi" w:hAnsiTheme="majorHAnsi"/>
          <w:spacing w:val="11"/>
          <w:sz w:val="20"/>
          <w:szCs w:val="20"/>
        </w:rPr>
        <w:t xml:space="preserve"> </w:t>
      </w:r>
      <w:r w:rsidRPr="000977F7">
        <w:rPr>
          <w:rFonts w:asciiTheme="majorHAnsi" w:hAnsiTheme="majorHAnsi"/>
          <w:sz w:val="20"/>
          <w:szCs w:val="20"/>
        </w:rPr>
        <w:t>не</w:t>
      </w:r>
      <w:r w:rsidRPr="000977F7">
        <w:rPr>
          <w:rFonts w:asciiTheme="majorHAnsi" w:hAnsiTheme="majorHAnsi"/>
          <w:spacing w:val="15"/>
          <w:sz w:val="20"/>
          <w:szCs w:val="20"/>
        </w:rPr>
        <w:t xml:space="preserve"> </w:t>
      </w:r>
      <w:r w:rsidRPr="000977F7">
        <w:rPr>
          <w:rFonts w:asciiTheme="majorHAnsi" w:hAnsiTheme="majorHAnsi"/>
          <w:sz w:val="20"/>
          <w:szCs w:val="20"/>
        </w:rPr>
        <w:t>допускати</w:t>
      </w:r>
      <w:r w:rsidRPr="000977F7">
        <w:rPr>
          <w:rFonts w:asciiTheme="majorHAnsi" w:hAnsiTheme="majorHAnsi"/>
          <w:spacing w:val="14"/>
          <w:sz w:val="20"/>
          <w:szCs w:val="20"/>
        </w:rPr>
        <w:t xml:space="preserve"> </w:t>
      </w:r>
      <w:r w:rsidRPr="000977F7">
        <w:rPr>
          <w:rFonts w:asciiTheme="majorHAnsi" w:hAnsiTheme="majorHAnsi"/>
          <w:sz w:val="20"/>
          <w:szCs w:val="20"/>
        </w:rPr>
        <w:t>переходу</w:t>
      </w:r>
      <w:r w:rsidRPr="000977F7">
        <w:rPr>
          <w:rFonts w:asciiTheme="majorHAnsi" w:hAnsiTheme="majorHAnsi"/>
          <w:spacing w:val="-5"/>
          <w:sz w:val="20"/>
          <w:szCs w:val="20"/>
        </w:rPr>
        <w:t xml:space="preserve"> </w:t>
      </w:r>
      <w:r w:rsidRPr="000977F7">
        <w:rPr>
          <w:rFonts w:asciiTheme="majorHAnsi" w:hAnsiTheme="majorHAnsi"/>
          <w:sz w:val="20"/>
          <w:szCs w:val="20"/>
        </w:rPr>
        <w:t>відмов</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критичні</w:t>
      </w:r>
    </w:p>
    <w:p w14:paraId="591EFF8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БЕЗВАЛЮТНИЙ</w:t>
      </w:r>
      <w:r w:rsidRPr="000977F7">
        <w:rPr>
          <w:color w:val="auto"/>
          <w:spacing w:val="-3"/>
          <w:sz w:val="20"/>
          <w:szCs w:val="20"/>
        </w:rPr>
        <w:t xml:space="preserve"> </w:t>
      </w:r>
      <w:r w:rsidRPr="000977F7">
        <w:rPr>
          <w:color w:val="auto"/>
          <w:sz w:val="20"/>
          <w:szCs w:val="20"/>
        </w:rPr>
        <w:t>ОБМІН</w:t>
      </w:r>
      <w:r w:rsidRPr="000977F7">
        <w:rPr>
          <w:color w:val="auto"/>
          <w:spacing w:val="-3"/>
          <w:sz w:val="20"/>
          <w:szCs w:val="20"/>
        </w:rPr>
        <w:t xml:space="preserve"> </w:t>
      </w:r>
      <w:r w:rsidRPr="000977F7">
        <w:rPr>
          <w:color w:val="auto"/>
          <w:sz w:val="20"/>
          <w:szCs w:val="20"/>
        </w:rPr>
        <w:t>–</w:t>
      </w:r>
    </w:p>
    <w:p w14:paraId="153E6C6D" w14:textId="77777777" w:rsidR="0097612F" w:rsidRPr="000977F7" w:rsidRDefault="0097612F" w:rsidP="000977F7">
      <w:pPr>
        <w:pStyle w:val="af6"/>
        <w:tabs>
          <w:tab w:val="left" w:pos="284"/>
        </w:tabs>
        <w:spacing w:after="0"/>
        <w:ind w:left="170"/>
        <w:mirrorIndents/>
        <w:jc w:val="both"/>
        <w:rPr>
          <w:rFonts w:asciiTheme="majorHAnsi" w:hAnsiTheme="majorHAnsi"/>
          <w:spacing w:val="1"/>
          <w:w w:val="95"/>
          <w:sz w:val="20"/>
          <w:szCs w:val="20"/>
        </w:rPr>
      </w:pPr>
      <w:r w:rsidRPr="000977F7">
        <w:rPr>
          <w:rFonts w:asciiTheme="majorHAnsi" w:hAnsiTheme="majorHAnsi"/>
          <w:spacing w:val="-4"/>
          <w:sz w:val="20"/>
          <w:szCs w:val="20"/>
        </w:rPr>
        <w:t>Міжнародний</w:t>
      </w:r>
      <w:r w:rsidRPr="000977F7">
        <w:rPr>
          <w:rFonts w:asciiTheme="majorHAnsi" w:hAnsiTheme="majorHAnsi"/>
          <w:spacing w:val="1"/>
          <w:sz w:val="20"/>
          <w:szCs w:val="20"/>
        </w:rPr>
        <w:t xml:space="preserve"> </w:t>
      </w:r>
      <w:r w:rsidRPr="000977F7">
        <w:rPr>
          <w:rFonts w:asciiTheme="majorHAnsi" w:hAnsiTheme="majorHAnsi"/>
          <w:spacing w:val="-3"/>
          <w:sz w:val="20"/>
          <w:szCs w:val="20"/>
        </w:rPr>
        <w:t>обмін</w:t>
      </w:r>
      <w:r w:rsidRPr="000977F7">
        <w:rPr>
          <w:rFonts w:asciiTheme="majorHAnsi" w:hAnsiTheme="majorHAnsi"/>
          <w:spacing w:val="2"/>
          <w:sz w:val="20"/>
          <w:szCs w:val="20"/>
        </w:rPr>
        <w:t xml:space="preserve"> </w:t>
      </w:r>
      <w:r w:rsidRPr="000977F7">
        <w:rPr>
          <w:rFonts w:asciiTheme="majorHAnsi" w:hAnsiTheme="majorHAnsi"/>
          <w:spacing w:val="-3"/>
          <w:sz w:val="20"/>
          <w:szCs w:val="20"/>
        </w:rPr>
        <w:t>товарами,</w:t>
      </w:r>
      <w:r w:rsidRPr="000977F7">
        <w:rPr>
          <w:rFonts w:asciiTheme="majorHAnsi" w:hAnsiTheme="majorHAnsi"/>
          <w:spacing w:val="4"/>
          <w:sz w:val="20"/>
          <w:szCs w:val="20"/>
        </w:rPr>
        <w:t xml:space="preserve"> </w:t>
      </w:r>
      <w:r w:rsidRPr="000977F7">
        <w:rPr>
          <w:rFonts w:asciiTheme="majorHAnsi" w:hAnsiTheme="majorHAnsi"/>
          <w:spacing w:val="-3"/>
          <w:sz w:val="20"/>
          <w:szCs w:val="20"/>
        </w:rPr>
        <w:t>послугами,</w:t>
      </w:r>
      <w:r w:rsidRPr="000977F7">
        <w:rPr>
          <w:rFonts w:asciiTheme="majorHAnsi" w:hAnsiTheme="majorHAnsi"/>
          <w:spacing w:val="2"/>
          <w:sz w:val="20"/>
          <w:szCs w:val="20"/>
        </w:rPr>
        <w:t xml:space="preserve"> </w:t>
      </w:r>
      <w:r w:rsidRPr="000977F7">
        <w:rPr>
          <w:rFonts w:asciiTheme="majorHAnsi" w:hAnsiTheme="majorHAnsi"/>
          <w:spacing w:val="-3"/>
          <w:sz w:val="20"/>
          <w:szCs w:val="20"/>
        </w:rPr>
        <w:t>результатами</w:t>
      </w:r>
      <w:r w:rsidRPr="000977F7">
        <w:rPr>
          <w:rFonts w:asciiTheme="majorHAnsi" w:hAnsiTheme="majorHAnsi"/>
          <w:spacing w:val="-47"/>
          <w:sz w:val="20"/>
          <w:szCs w:val="20"/>
        </w:rPr>
        <w:t xml:space="preserve"> </w:t>
      </w:r>
      <w:r w:rsidRPr="000977F7">
        <w:rPr>
          <w:rFonts w:asciiTheme="majorHAnsi" w:hAnsiTheme="majorHAnsi"/>
          <w:spacing w:val="-5"/>
          <w:sz w:val="20"/>
          <w:szCs w:val="20"/>
        </w:rPr>
        <w:t xml:space="preserve">наукової, культурної </w:t>
      </w:r>
      <w:r w:rsidRPr="000977F7">
        <w:rPr>
          <w:rFonts w:asciiTheme="majorHAnsi" w:hAnsiTheme="majorHAnsi"/>
          <w:spacing w:val="-4"/>
          <w:sz w:val="20"/>
          <w:szCs w:val="20"/>
        </w:rPr>
        <w:t>діяльності без витрачення іноземної</w:t>
      </w:r>
      <w:r w:rsidRPr="000977F7">
        <w:rPr>
          <w:rFonts w:asciiTheme="majorHAnsi" w:hAnsiTheme="majorHAnsi"/>
          <w:spacing w:val="-47"/>
          <w:sz w:val="20"/>
          <w:szCs w:val="20"/>
        </w:rPr>
        <w:t xml:space="preserve"> </w:t>
      </w:r>
      <w:r w:rsidRPr="000977F7">
        <w:rPr>
          <w:rFonts w:asciiTheme="majorHAnsi" w:hAnsiTheme="majorHAnsi"/>
          <w:spacing w:val="-1"/>
          <w:w w:val="95"/>
          <w:sz w:val="20"/>
          <w:szCs w:val="20"/>
        </w:rPr>
        <w:t xml:space="preserve">валюти та національних </w:t>
      </w:r>
      <w:r w:rsidRPr="000977F7">
        <w:rPr>
          <w:rFonts w:asciiTheme="majorHAnsi" w:hAnsiTheme="majorHAnsi"/>
          <w:w w:val="95"/>
          <w:sz w:val="20"/>
          <w:szCs w:val="20"/>
        </w:rPr>
        <w:t>валют країн – учасниць обміну</w:t>
      </w:r>
      <w:r w:rsidRPr="000977F7">
        <w:rPr>
          <w:rFonts w:asciiTheme="majorHAnsi" w:hAnsiTheme="majorHAnsi"/>
          <w:spacing w:val="1"/>
          <w:w w:val="95"/>
          <w:sz w:val="20"/>
          <w:szCs w:val="20"/>
        </w:rPr>
        <w:t xml:space="preserve"> </w:t>
      </w:r>
    </w:p>
    <w:p w14:paraId="16D24334"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3293</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1B68DECF"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1"/>
          <w:sz w:val="20"/>
          <w:szCs w:val="20"/>
          <w:lang w:val="en-US"/>
        </w:rPr>
      </w:pPr>
      <w:r w:rsidRPr="000977F7">
        <w:rPr>
          <w:rFonts w:asciiTheme="majorHAnsi" w:hAnsiTheme="majorHAnsi"/>
          <w:b/>
          <w:sz w:val="20"/>
          <w:szCs w:val="20"/>
        </w:rPr>
        <w:t>БЕЗВІДМОВНІСТЬ</w:t>
      </w:r>
      <w:r w:rsidRPr="004D2D14">
        <w:rPr>
          <w:rFonts w:asciiTheme="majorHAnsi" w:hAnsiTheme="majorHAnsi"/>
          <w:b/>
          <w:sz w:val="20"/>
          <w:szCs w:val="20"/>
          <w:lang w:val="en-US"/>
        </w:rPr>
        <w:t xml:space="preserve"> –</w:t>
      </w:r>
      <w:r w:rsidRPr="004D2D14">
        <w:rPr>
          <w:rFonts w:asciiTheme="majorHAnsi" w:hAnsiTheme="majorHAnsi"/>
          <w:b/>
          <w:spacing w:val="1"/>
          <w:sz w:val="20"/>
          <w:szCs w:val="20"/>
          <w:lang w:val="en-US"/>
        </w:rPr>
        <w:t xml:space="preserve"> </w:t>
      </w:r>
    </w:p>
    <w:p w14:paraId="21387887" w14:textId="77777777" w:rsidR="0097612F" w:rsidRPr="004D2D14" w:rsidRDefault="0097612F" w:rsidP="000977F7">
      <w:pPr>
        <w:tabs>
          <w:tab w:val="left" w:pos="284"/>
        </w:tabs>
        <w:spacing w:after="0" w:line="240" w:lineRule="auto"/>
        <w:ind w:left="170"/>
        <w:mirrorIndents/>
        <w:jc w:val="both"/>
        <w:rPr>
          <w:rFonts w:asciiTheme="majorHAnsi" w:hAnsiTheme="majorHAnsi"/>
          <w:spacing w:val="-6"/>
          <w:sz w:val="20"/>
          <w:szCs w:val="20"/>
          <w:lang w:val="en-US"/>
        </w:rPr>
      </w:pPr>
      <w:r w:rsidRPr="004D2D14">
        <w:rPr>
          <w:rFonts w:asciiTheme="majorHAnsi" w:hAnsiTheme="majorHAnsi"/>
          <w:spacing w:val="-6"/>
          <w:sz w:val="20"/>
          <w:szCs w:val="20"/>
          <w:lang w:val="en-US"/>
        </w:rPr>
        <w:t>RELIABILITY (PERFORMANCE); DEPENDABILITY –</w:t>
      </w:r>
    </w:p>
    <w:p w14:paraId="0E7497E8" w14:textId="77777777" w:rsidR="0097612F" w:rsidRPr="000977F7" w:rsidRDefault="0097612F" w:rsidP="000977F7">
      <w:pPr>
        <w:pStyle w:val="af6"/>
        <w:tabs>
          <w:tab w:val="left" w:pos="284"/>
        </w:tabs>
        <w:spacing w:after="0"/>
        <w:ind w:left="170"/>
        <w:mirrorIndents/>
        <w:jc w:val="both"/>
        <w:rPr>
          <w:rFonts w:asciiTheme="majorHAnsi" w:hAnsiTheme="majorHAnsi"/>
          <w:spacing w:val="-4"/>
          <w:sz w:val="20"/>
          <w:szCs w:val="20"/>
        </w:rPr>
      </w:pPr>
      <w:r w:rsidRPr="000977F7">
        <w:rPr>
          <w:rFonts w:asciiTheme="majorHAnsi" w:hAnsiTheme="majorHAnsi"/>
          <w:spacing w:val="-1"/>
          <w:w w:val="95"/>
          <w:sz w:val="20"/>
          <w:szCs w:val="20"/>
        </w:rPr>
        <w:t>Властивість</w:t>
      </w:r>
      <w:r w:rsidRPr="000977F7">
        <w:rPr>
          <w:rFonts w:asciiTheme="majorHAnsi" w:hAnsiTheme="majorHAnsi"/>
          <w:spacing w:val="-8"/>
          <w:w w:val="95"/>
          <w:sz w:val="20"/>
          <w:szCs w:val="20"/>
        </w:rPr>
        <w:t xml:space="preserve"> </w:t>
      </w:r>
      <w:r w:rsidRPr="000977F7">
        <w:rPr>
          <w:rFonts w:asciiTheme="majorHAnsi" w:hAnsiTheme="majorHAnsi"/>
          <w:spacing w:val="-1"/>
          <w:w w:val="95"/>
          <w:sz w:val="20"/>
          <w:szCs w:val="20"/>
        </w:rPr>
        <w:t>об’єкта</w:t>
      </w:r>
      <w:r w:rsidRPr="000977F7">
        <w:rPr>
          <w:rFonts w:asciiTheme="majorHAnsi" w:hAnsiTheme="majorHAnsi"/>
          <w:spacing w:val="-5"/>
          <w:w w:val="95"/>
          <w:sz w:val="20"/>
          <w:szCs w:val="20"/>
        </w:rPr>
        <w:t xml:space="preserve"> </w:t>
      </w:r>
      <w:r w:rsidRPr="000977F7">
        <w:rPr>
          <w:rFonts w:asciiTheme="majorHAnsi" w:hAnsiTheme="majorHAnsi"/>
          <w:spacing w:val="-1"/>
          <w:w w:val="95"/>
          <w:sz w:val="20"/>
          <w:szCs w:val="20"/>
        </w:rPr>
        <w:t>виконувати</w:t>
      </w:r>
      <w:r w:rsidRPr="000977F7">
        <w:rPr>
          <w:rFonts w:asciiTheme="majorHAnsi" w:hAnsiTheme="majorHAnsi"/>
          <w:spacing w:val="-6"/>
          <w:w w:val="95"/>
          <w:sz w:val="20"/>
          <w:szCs w:val="20"/>
        </w:rPr>
        <w:t xml:space="preserve"> </w:t>
      </w:r>
      <w:r w:rsidRPr="000977F7">
        <w:rPr>
          <w:rFonts w:asciiTheme="majorHAnsi" w:hAnsiTheme="majorHAnsi"/>
          <w:spacing w:val="-1"/>
          <w:w w:val="95"/>
          <w:sz w:val="20"/>
          <w:szCs w:val="20"/>
        </w:rPr>
        <w:t>потрібні</w:t>
      </w:r>
      <w:r w:rsidRPr="000977F7">
        <w:rPr>
          <w:rFonts w:asciiTheme="majorHAnsi" w:hAnsiTheme="majorHAnsi"/>
          <w:spacing w:val="-8"/>
          <w:w w:val="95"/>
          <w:sz w:val="20"/>
          <w:szCs w:val="20"/>
        </w:rPr>
        <w:t xml:space="preserve"> </w:t>
      </w:r>
      <w:r w:rsidRPr="000977F7">
        <w:rPr>
          <w:rFonts w:asciiTheme="majorHAnsi" w:hAnsiTheme="majorHAnsi"/>
          <w:spacing w:val="-1"/>
          <w:w w:val="95"/>
          <w:sz w:val="20"/>
          <w:szCs w:val="20"/>
        </w:rPr>
        <w:t>функції</w:t>
      </w:r>
      <w:r w:rsidRPr="000977F7">
        <w:rPr>
          <w:rFonts w:asciiTheme="majorHAnsi" w:hAnsiTheme="majorHAnsi"/>
          <w:spacing w:val="-9"/>
          <w:w w:val="95"/>
          <w:sz w:val="20"/>
          <w:szCs w:val="20"/>
        </w:rPr>
        <w:t xml:space="preserve"> </w:t>
      </w:r>
      <w:r w:rsidRPr="000977F7">
        <w:rPr>
          <w:rFonts w:asciiTheme="majorHAnsi" w:hAnsiTheme="majorHAnsi"/>
          <w:w w:val="95"/>
          <w:sz w:val="20"/>
          <w:szCs w:val="20"/>
        </w:rPr>
        <w:t>в</w:t>
      </w:r>
      <w:r w:rsidRPr="000977F7">
        <w:rPr>
          <w:rFonts w:asciiTheme="majorHAnsi" w:hAnsiTheme="majorHAnsi"/>
          <w:spacing w:val="-6"/>
          <w:w w:val="95"/>
          <w:sz w:val="20"/>
          <w:szCs w:val="20"/>
        </w:rPr>
        <w:t xml:space="preserve"> </w:t>
      </w:r>
      <w:r w:rsidRPr="000977F7">
        <w:rPr>
          <w:rFonts w:asciiTheme="majorHAnsi" w:hAnsiTheme="majorHAnsi"/>
          <w:w w:val="95"/>
          <w:sz w:val="20"/>
          <w:szCs w:val="20"/>
        </w:rPr>
        <w:t>певних</w:t>
      </w:r>
      <w:r w:rsidRPr="000977F7">
        <w:rPr>
          <w:rFonts w:asciiTheme="majorHAnsi" w:hAnsiTheme="majorHAnsi"/>
          <w:spacing w:val="-44"/>
          <w:w w:val="95"/>
          <w:sz w:val="20"/>
          <w:szCs w:val="20"/>
        </w:rPr>
        <w:t xml:space="preserve"> </w:t>
      </w:r>
      <w:r w:rsidRPr="000977F7">
        <w:rPr>
          <w:rFonts w:asciiTheme="majorHAnsi" w:hAnsiTheme="majorHAnsi"/>
          <w:spacing w:val="-6"/>
          <w:sz w:val="20"/>
          <w:szCs w:val="20"/>
        </w:rPr>
        <w:t xml:space="preserve">умовах протягом заданого інтервалу </w:t>
      </w:r>
      <w:r w:rsidRPr="000977F7">
        <w:rPr>
          <w:rFonts w:asciiTheme="majorHAnsi" w:hAnsiTheme="majorHAnsi"/>
          <w:spacing w:val="-5"/>
          <w:sz w:val="20"/>
          <w:szCs w:val="20"/>
        </w:rPr>
        <w:t>часу чи наробітку</w:t>
      </w:r>
      <w:r w:rsidRPr="000977F7">
        <w:rPr>
          <w:rFonts w:asciiTheme="majorHAnsi" w:hAnsiTheme="majorHAnsi"/>
          <w:spacing w:val="-4"/>
          <w:sz w:val="20"/>
          <w:szCs w:val="20"/>
        </w:rPr>
        <w:t xml:space="preserve"> </w:t>
      </w:r>
    </w:p>
    <w:p w14:paraId="29F44FFC"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CAD52F0"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Властивість об’єкта безперервно виконувати потрібні</w:t>
      </w:r>
      <w:r w:rsidRPr="000977F7">
        <w:rPr>
          <w:rFonts w:asciiTheme="majorHAnsi" w:hAnsiTheme="majorHAnsi"/>
          <w:spacing w:val="1"/>
          <w:sz w:val="20"/>
          <w:szCs w:val="20"/>
        </w:rPr>
        <w:t xml:space="preserve"> </w:t>
      </w:r>
      <w:r w:rsidRPr="000977F7">
        <w:rPr>
          <w:rFonts w:asciiTheme="majorHAnsi" w:hAnsiTheme="majorHAnsi"/>
          <w:spacing w:val="-2"/>
          <w:sz w:val="20"/>
          <w:szCs w:val="20"/>
        </w:rPr>
        <w:t xml:space="preserve">функції протягом </w:t>
      </w:r>
      <w:r w:rsidRPr="000977F7">
        <w:rPr>
          <w:rFonts w:asciiTheme="majorHAnsi" w:hAnsiTheme="majorHAnsi"/>
          <w:spacing w:val="-1"/>
          <w:sz w:val="20"/>
          <w:szCs w:val="20"/>
        </w:rPr>
        <w:t>заданого інтервалу часу чи наробітку</w:t>
      </w:r>
      <w:r w:rsidRPr="000977F7">
        <w:rPr>
          <w:rFonts w:asciiTheme="majorHAnsi" w:hAnsiTheme="majorHAnsi"/>
          <w:spacing w:val="-47"/>
          <w:sz w:val="20"/>
          <w:szCs w:val="20"/>
        </w:rPr>
        <w:t xml:space="preserve"> </w:t>
      </w:r>
    </w:p>
    <w:p w14:paraId="4053733D"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2634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C78D1E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БЕЗІНЕРЦІЙНИЙ</w:t>
      </w:r>
      <w:r w:rsidRPr="000977F7">
        <w:rPr>
          <w:color w:val="auto"/>
          <w:spacing w:val="-4"/>
          <w:sz w:val="20"/>
          <w:szCs w:val="20"/>
        </w:rPr>
        <w:t xml:space="preserve"> </w:t>
      </w:r>
      <w:r w:rsidRPr="000977F7">
        <w:rPr>
          <w:color w:val="auto"/>
          <w:sz w:val="20"/>
          <w:szCs w:val="20"/>
        </w:rPr>
        <w:t>ОБ’ЄКТ</w:t>
      </w:r>
      <w:r w:rsidRPr="000977F7">
        <w:rPr>
          <w:color w:val="auto"/>
          <w:spacing w:val="-4"/>
          <w:sz w:val="20"/>
          <w:szCs w:val="20"/>
        </w:rPr>
        <w:t xml:space="preserve"> </w:t>
      </w:r>
      <w:r w:rsidRPr="000977F7">
        <w:rPr>
          <w:color w:val="auto"/>
          <w:sz w:val="20"/>
          <w:szCs w:val="20"/>
        </w:rPr>
        <w:t>–</w:t>
      </w:r>
    </w:p>
    <w:p w14:paraId="2218CC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INERTIALESS</w:t>
      </w:r>
      <w:r w:rsidRPr="000977F7">
        <w:rPr>
          <w:rFonts w:asciiTheme="majorHAnsi" w:hAnsiTheme="majorHAnsi"/>
          <w:spacing w:val="-4"/>
          <w:sz w:val="20"/>
          <w:szCs w:val="20"/>
        </w:rPr>
        <w:t xml:space="preserve"> </w:t>
      </w:r>
      <w:r w:rsidRPr="000977F7">
        <w:rPr>
          <w:rFonts w:asciiTheme="majorHAnsi" w:hAnsiTheme="majorHAnsi"/>
          <w:sz w:val="20"/>
          <w:szCs w:val="20"/>
        </w:rPr>
        <w:t>OBJECT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C675F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 у математичній моделі якого значення залежних змінних величин у кожний момент часу визначаються тільки значеннями незалежних змінних величин у</w:t>
      </w:r>
      <w:r w:rsidRPr="000977F7">
        <w:rPr>
          <w:rFonts w:asciiTheme="majorHAnsi" w:hAnsiTheme="majorHAnsi"/>
          <w:spacing w:val="-1"/>
          <w:sz w:val="20"/>
          <w:szCs w:val="20"/>
        </w:rPr>
        <w:t xml:space="preserve"> </w:t>
      </w:r>
      <w:r w:rsidRPr="000977F7">
        <w:rPr>
          <w:rFonts w:asciiTheme="majorHAnsi" w:hAnsiTheme="majorHAnsi"/>
          <w:sz w:val="20"/>
          <w:szCs w:val="20"/>
        </w:rPr>
        <w:t>цей</w:t>
      </w:r>
      <w:r w:rsidRPr="000977F7">
        <w:rPr>
          <w:rFonts w:asciiTheme="majorHAnsi" w:hAnsiTheme="majorHAnsi"/>
          <w:spacing w:val="-1"/>
          <w:sz w:val="20"/>
          <w:szCs w:val="20"/>
        </w:rPr>
        <w:t xml:space="preserve"> </w:t>
      </w:r>
      <w:r w:rsidRPr="000977F7">
        <w:rPr>
          <w:rFonts w:asciiTheme="majorHAnsi" w:hAnsiTheme="majorHAnsi"/>
          <w:sz w:val="20"/>
          <w:szCs w:val="20"/>
        </w:rPr>
        <w:t>самий</w:t>
      </w:r>
      <w:r w:rsidRPr="000977F7">
        <w:rPr>
          <w:rFonts w:asciiTheme="majorHAnsi" w:hAnsiTheme="majorHAnsi"/>
          <w:spacing w:val="-1"/>
          <w:sz w:val="20"/>
          <w:szCs w:val="20"/>
        </w:rPr>
        <w:t xml:space="preserve"> </w:t>
      </w:r>
      <w:r w:rsidRPr="000977F7">
        <w:rPr>
          <w:rFonts w:asciiTheme="majorHAnsi" w:hAnsiTheme="majorHAnsi"/>
          <w:sz w:val="20"/>
          <w:szCs w:val="20"/>
        </w:rPr>
        <w:t>момент</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14B6F77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 :</w:t>
      </w:r>
    </w:p>
    <w:p w14:paraId="4A40D72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Математична модель безінерційного об’єкта з дискретною множиною станів може бути зображена у вигляді</w:t>
      </w:r>
      <w:r w:rsidRPr="000977F7">
        <w:rPr>
          <w:rFonts w:asciiTheme="majorHAnsi" w:hAnsiTheme="majorHAnsi"/>
          <w:spacing w:val="1"/>
          <w:sz w:val="20"/>
          <w:szCs w:val="20"/>
        </w:rPr>
        <w:t xml:space="preserve"> </w:t>
      </w:r>
      <w:r w:rsidRPr="000977F7">
        <w:rPr>
          <w:rFonts w:asciiTheme="majorHAnsi" w:hAnsiTheme="majorHAnsi"/>
          <w:sz w:val="20"/>
          <w:szCs w:val="20"/>
        </w:rPr>
        <w:t>комбінаційної</w:t>
      </w:r>
      <w:r w:rsidRPr="000977F7">
        <w:rPr>
          <w:rFonts w:asciiTheme="majorHAnsi" w:hAnsiTheme="majorHAnsi"/>
          <w:spacing w:val="1"/>
          <w:sz w:val="20"/>
          <w:szCs w:val="20"/>
        </w:rPr>
        <w:t xml:space="preserve"> </w:t>
      </w:r>
      <w:r w:rsidRPr="000977F7">
        <w:rPr>
          <w:rFonts w:asciiTheme="majorHAnsi" w:hAnsiTheme="majorHAnsi"/>
          <w:sz w:val="20"/>
          <w:szCs w:val="20"/>
        </w:rPr>
        <w:t>схеми</w:t>
      </w:r>
      <w:r w:rsidRPr="000977F7">
        <w:rPr>
          <w:rFonts w:asciiTheme="majorHAnsi" w:hAnsiTheme="majorHAnsi"/>
          <w:spacing w:val="1"/>
          <w:sz w:val="20"/>
          <w:szCs w:val="20"/>
        </w:rPr>
        <w:t xml:space="preserve"> </w:t>
      </w:r>
      <w:r w:rsidRPr="000977F7">
        <w:rPr>
          <w:rFonts w:asciiTheme="majorHAnsi" w:hAnsiTheme="majorHAnsi"/>
          <w:sz w:val="20"/>
          <w:szCs w:val="20"/>
        </w:rPr>
        <w:t>(дискретного</w:t>
      </w:r>
      <w:r w:rsidRPr="000977F7">
        <w:rPr>
          <w:rFonts w:asciiTheme="majorHAnsi" w:hAnsiTheme="majorHAnsi"/>
          <w:spacing w:val="1"/>
          <w:sz w:val="20"/>
          <w:szCs w:val="20"/>
        </w:rPr>
        <w:t xml:space="preserve"> </w:t>
      </w:r>
      <w:r w:rsidRPr="000977F7">
        <w:rPr>
          <w:rFonts w:asciiTheme="majorHAnsi" w:hAnsiTheme="majorHAnsi"/>
          <w:sz w:val="20"/>
          <w:szCs w:val="20"/>
        </w:rPr>
        <w:t>автомата</w:t>
      </w:r>
      <w:r w:rsidRPr="000977F7">
        <w:rPr>
          <w:rFonts w:asciiTheme="majorHAnsi" w:hAnsiTheme="majorHAnsi"/>
          <w:spacing w:val="1"/>
          <w:sz w:val="20"/>
          <w:szCs w:val="20"/>
        </w:rPr>
        <w:t xml:space="preserve"> </w:t>
      </w:r>
      <w:r w:rsidRPr="000977F7">
        <w:rPr>
          <w:rFonts w:asciiTheme="majorHAnsi" w:hAnsiTheme="majorHAnsi"/>
          <w:sz w:val="20"/>
          <w:szCs w:val="20"/>
        </w:rPr>
        <w:t>без</w:t>
      </w:r>
      <w:r w:rsidRPr="000977F7">
        <w:rPr>
          <w:rFonts w:asciiTheme="majorHAnsi" w:hAnsiTheme="majorHAnsi"/>
          <w:spacing w:val="1"/>
          <w:sz w:val="20"/>
          <w:szCs w:val="20"/>
        </w:rPr>
        <w:t xml:space="preserve"> </w:t>
      </w:r>
      <w:r w:rsidRPr="000977F7">
        <w:rPr>
          <w:rFonts w:asciiTheme="majorHAnsi" w:hAnsiTheme="majorHAnsi"/>
          <w:sz w:val="20"/>
          <w:szCs w:val="20"/>
        </w:rPr>
        <w:t>пам’яті), безінерційного об’єкта з неперервною множиною</w:t>
      </w:r>
      <w:r w:rsidRPr="000977F7">
        <w:rPr>
          <w:rFonts w:asciiTheme="majorHAnsi" w:hAnsiTheme="majorHAnsi"/>
          <w:spacing w:val="-1"/>
          <w:sz w:val="20"/>
          <w:szCs w:val="20"/>
        </w:rPr>
        <w:t xml:space="preserve"> </w:t>
      </w:r>
      <w:r w:rsidRPr="000977F7">
        <w:rPr>
          <w:rFonts w:asciiTheme="majorHAnsi" w:hAnsiTheme="majorHAnsi"/>
          <w:sz w:val="20"/>
          <w:szCs w:val="20"/>
        </w:rPr>
        <w:t>станів</w:t>
      </w:r>
      <w:r w:rsidRPr="000977F7">
        <w:rPr>
          <w:rFonts w:asciiTheme="majorHAnsi" w:hAnsiTheme="majorHAnsi"/>
          <w:spacing w:val="-1"/>
          <w:sz w:val="20"/>
          <w:szCs w:val="20"/>
        </w:rPr>
        <w:t xml:space="preserve"> </w:t>
      </w:r>
      <w:r w:rsidRPr="000977F7">
        <w:rPr>
          <w:rFonts w:asciiTheme="majorHAnsi" w:hAnsiTheme="majorHAnsi"/>
          <w:sz w:val="20"/>
          <w:szCs w:val="20"/>
        </w:rPr>
        <w:t>– алгебраїчними</w:t>
      </w:r>
      <w:r w:rsidRPr="000977F7">
        <w:rPr>
          <w:rFonts w:asciiTheme="majorHAnsi" w:hAnsiTheme="majorHAnsi"/>
          <w:spacing w:val="-1"/>
          <w:sz w:val="20"/>
          <w:szCs w:val="20"/>
        </w:rPr>
        <w:t xml:space="preserve"> </w:t>
      </w:r>
      <w:r w:rsidRPr="000977F7">
        <w:rPr>
          <w:rFonts w:asciiTheme="majorHAnsi" w:hAnsiTheme="majorHAnsi"/>
          <w:sz w:val="20"/>
          <w:szCs w:val="20"/>
        </w:rPr>
        <w:t>рівняннями</w:t>
      </w:r>
    </w:p>
    <w:p w14:paraId="348B49E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5E9F5FD0"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БЕЗПЕКА</w:t>
      </w:r>
      <w:r w:rsidRPr="000977F7">
        <w:rPr>
          <w:color w:val="auto"/>
          <w:spacing w:val="-4"/>
          <w:sz w:val="20"/>
          <w:szCs w:val="20"/>
        </w:rPr>
        <w:t xml:space="preserve"> </w:t>
      </w:r>
      <w:r w:rsidRPr="000977F7">
        <w:rPr>
          <w:b w:val="0"/>
          <w:color w:val="auto"/>
          <w:sz w:val="20"/>
          <w:szCs w:val="20"/>
        </w:rPr>
        <w:t>–</w:t>
      </w:r>
    </w:p>
    <w:p w14:paraId="232B852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 об’єкта забезпечувати відсутність ризику</w:t>
      </w:r>
      <w:r w:rsidRPr="000977F7">
        <w:rPr>
          <w:rFonts w:asciiTheme="majorHAnsi" w:hAnsiTheme="majorHAnsi"/>
          <w:spacing w:val="1"/>
          <w:sz w:val="20"/>
          <w:szCs w:val="20"/>
        </w:rPr>
        <w:t xml:space="preserve"> </w:t>
      </w:r>
      <w:r w:rsidRPr="000977F7">
        <w:rPr>
          <w:rFonts w:asciiTheme="majorHAnsi" w:hAnsiTheme="majorHAnsi"/>
          <w:sz w:val="20"/>
          <w:szCs w:val="20"/>
        </w:rPr>
        <w:t>нанесення шкоди здоров’ю людей, майну та навколишньому</w:t>
      </w:r>
      <w:r w:rsidRPr="000977F7">
        <w:rPr>
          <w:rFonts w:asciiTheme="majorHAnsi" w:hAnsiTheme="majorHAnsi"/>
          <w:spacing w:val="-5"/>
          <w:sz w:val="20"/>
          <w:szCs w:val="20"/>
        </w:rPr>
        <w:t xml:space="preserve"> </w:t>
      </w:r>
      <w:r w:rsidRPr="000977F7">
        <w:rPr>
          <w:rFonts w:asciiTheme="majorHAnsi" w:hAnsiTheme="majorHAnsi"/>
          <w:sz w:val="20"/>
          <w:szCs w:val="20"/>
        </w:rPr>
        <w:t>середовищу</w:t>
      </w:r>
    </w:p>
    <w:p w14:paraId="57A10EA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 94</w:t>
      </w:r>
    </w:p>
    <w:p w14:paraId="58BBE77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БЕЗПЕКА (НАСЕЛЕННЯ, МАТЕРІАЛЬНИХ</w:t>
      </w:r>
      <w:r w:rsidRPr="000977F7">
        <w:rPr>
          <w:color w:val="auto"/>
          <w:spacing w:val="1"/>
          <w:sz w:val="20"/>
          <w:szCs w:val="20"/>
        </w:rPr>
        <w:t xml:space="preserve"> </w:t>
      </w:r>
      <w:r w:rsidRPr="000977F7">
        <w:rPr>
          <w:color w:val="auto"/>
          <w:sz w:val="20"/>
          <w:szCs w:val="20"/>
        </w:rPr>
        <w:t>ОБ'ЄКТІВ, НАВКОЛИШНЬОГО СЕРЕДОВИЩА) –</w:t>
      </w:r>
    </w:p>
    <w:p w14:paraId="3BAAE4E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SECURITY</w:t>
      </w:r>
      <w:r w:rsidRPr="004D2D14">
        <w:rPr>
          <w:rFonts w:asciiTheme="majorHAnsi" w:hAnsiTheme="majorHAnsi"/>
          <w:sz w:val="20"/>
          <w:szCs w:val="20"/>
          <w:lang w:val="uk-UA"/>
        </w:rPr>
        <w:t xml:space="preserve"> –</w:t>
      </w:r>
    </w:p>
    <w:p w14:paraId="261BEEE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Відсутність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неприпустимого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ризику,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пов'язаного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можливістю</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завдавання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будь-якої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шкоди</w:t>
      </w:r>
    </w:p>
    <w:p w14:paraId="18A9A363"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2156</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 93</w:t>
      </w:r>
      <w:r w:rsidRPr="004D2D14">
        <w:rPr>
          <w:rFonts w:asciiTheme="majorHAnsi" w:hAnsiTheme="majorHAnsi"/>
          <w:i/>
          <w:spacing w:val="1"/>
          <w:sz w:val="20"/>
          <w:szCs w:val="20"/>
          <w:lang w:val="uk-UA"/>
        </w:rPr>
        <w:t xml:space="preserve"> </w:t>
      </w:r>
    </w:p>
    <w:p w14:paraId="3EEDC3AA" w14:textId="77777777" w:rsidR="0097612F" w:rsidRPr="004D2D14" w:rsidRDefault="0097612F" w:rsidP="000977F7">
      <w:pPr>
        <w:pStyle w:val="af6"/>
        <w:tabs>
          <w:tab w:val="left" w:pos="284"/>
        </w:tabs>
        <w:spacing w:after="0"/>
        <w:ind w:left="170"/>
        <w:mirrorIndents/>
        <w:jc w:val="both"/>
        <w:rPr>
          <w:rFonts w:asciiTheme="majorHAnsi" w:hAnsiTheme="majorHAnsi"/>
          <w:b/>
          <w:bCs/>
          <w:sz w:val="20"/>
          <w:szCs w:val="20"/>
          <w:lang w:val="uk-UA"/>
        </w:rPr>
      </w:pPr>
      <w:r w:rsidRPr="004D2D14">
        <w:rPr>
          <w:rFonts w:asciiTheme="majorHAnsi" w:hAnsiTheme="majorHAnsi"/>
          <w:b/>
          <w:bCs/>
          <w:sz w:val="20"/>
          <w:szCs w:val="20"/>
          <w:lang w:val="uk-UA"/>
        </w:rPr>
        <w:t>БЕЗПЕКА ПРОДУКЦІЇ –</w:t>
      </w:r>
    </w:p>
    <w:p w14:paraId="42781B2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lastRenderedPageBreak/>
        <w:t>Відсутність будь-якого ризику для життя, здоров'я, майна споживача і навколишнього природного середовища при звичайних умовах використання, зберігання, транспортування, виготовлення і утилізації продукції</w:t>
      </w:r>
    </w:p>
    <w:p w14:paraId="14B6DBE6"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Ст. 1 закону України "Про захист прав споживачів"</w:t>
      </w:r>
    </w:p>
    <w:p w14:paraId="461EBE8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БЕЗПЕРЕРВНЕ ДІЯННЯ –</w:t>
      </w:r>
      <w:r w:rsidRPr="000977F7">
        <w:rPr>
          <w:rFonts w:asciiTheme="majorHAnsi" w:hAnsiTheme="majorHAnsi"/>
          <w:b/>
          <w:spacing w:val="-47"/>
          <w:sz w:val="20"/>
          <w:szCs w:val="20"/>
        </w:rPr>
        <w:t xml:space="preserve"> </w:t>
      </w:r>
      <w:r w:rsidRPr="000977F7">
        <w:rPr>
          <w:rFonts w:asciiTheme="majorHAnsi" w:hAnsiTheme="majorHAnsi"/>
          <w:sz w:val="20"/>
          <w:szCs w:val="20"/>
        </w:rPr>
        <w:t>CONTINUING</w:t>
      </w:r>
      <w:r w:rsidRPr="000977F7">
        <w:rPr>
          <w:rFonts w:asciiTheme="majorHAnsi" w:hAnsiTheme="majorHAnsi"/>
          <w:spacing w:val="-1"/>
          <w:sz w:val="20"/>
          <w:szCs w:val="20"/>
        </w:rPr>
        <w:t xml:space="preserve"> </w:t>
      </w:r>
      <w:r w:rsidRPr="000977F7">
        <w:rPr>
          <w:rFonts w:asciiTheme="majorHAnsi" w:hAnsiTheme="majorHAnsi"/>
          <w:sz w:val="20"/>
          <w:szCs w:val="20"/>
        </w:rPr>
        <w:t>EFFECT</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24800E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Діяння речовини на організм без перерви в часі</w:t>
      </w:r>
    </w:p>
    <w:p w14:paraId="5FC5569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3038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097E9E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БЕЗПЕРЕРВНИЙ</w:t>
      </w:r>
      <w:r w:rsidRPr="000977F7">
        <w:rPr>
          <w:color w:val="auto"/>
          <w:spacing w:val="-4"/>
          <w:sz w:val="20"/>
          <w:szCs w:val="20"/>
        </w:rPr>
        <w:t xml:space="preserve"> </w:t>
      </w:r>
      <w:r w:rsidRPr="000977F7">
        <w:rPr>
          <w:color w:val="auto"/>
          <w:sz w:val="20"/>
          <w:szCs w:val="20"/>
        </w:rPr>
        <w:t>КОНТРОЛЬ</w:t>
      </w:r>
      <w:r w:rsidRPr="000977F7">
        <w:rPr>
          <w:color w:val="auto"/>
          <w:spacing w:val="-1"/>
          <w:sz w:val="20"/>
          <w:szCs w:val="20"/>
        </w:rPr>
        <w:t xml:space="preserve"> </w:t>
      </w:r>
      <w:r w:rsidRPr="000977F7">
        <w:rPr>
          <w:color w:val="auto"/>
          <w:sz w:val="20"/>
          <w:szCs w:val="20"/>
        </w:rPr>
        <w:t>–</w:t>
      </w:r>
    </w:p>
    <w:p w14:paraId="4EF5E1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CONTINUOUS</w:t>
      </w:r>
      <w:r w:rsidRPr="000977F7">
        <w:rPr>
          <w:rFonts w:asciiTheme="majorHAnsi" w:hAnsiTheme="majorHAnsi"/>
          <w:spacing w:val="-3"/>
          <w:sz w:val="20"/>
          <w:szCs w:val="20"/>
        </w:rPr>
        <w:t xml:space="preserve"> </w:t>
      </w:r>
      <w:r w:rsidRPr="000977F7">
        <w:rPr>
          <w:rFonts w:asciiTheme="majorHAnsi" w:hAnsiTheme="majorHAnsi"/>
          <w:sz w:val="20"/>
          <w:szCs w:val="20"/>
        </w:rPr>
        <w:t>INSPECTION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9D3BC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 за якого надходження інформації про контрольовані</w:t>
      </w:r>
      <w:r w:rsidRPr="000977F7">
        <w:rPr>
          <w:rFonts w:asciiTheme="majorHAnsi" w:hAnsiTheme="majorHAnsi"/>
          <w:spacing w:val="-3"/>
          <w:sz w:val="20"/>
          <w:szCs w:val="20"/>
        </w:rPr>
        <w:t xml:space="preserve"> </w:t>
      </w:r>
      <w:r w:rsidRPr="000977F7">
        <w:rPr>
          <w:rFonts w:asciiTheme="majorHAnsi" w:hAnsiTheme="majorHAnsi"/>
          <w:sz w:val="20"/>
          <w:szCs w:val="20"/>
        </w:rPr>
        <w:t>параметри</w:t>
      </w:r>
      <w:r w:rsidRPr="000977F7">
        <w:rPr>
          <w:rFonts w:asciiTheme="majorHAnsi" w:hAnsiTheme="majorHAnsi"/>
          <w:spacing w:val="-2"/>
          <w:sz w:val="20"/>
          <w:szCs w:val="20"/>
        </w:rPr>
        <w:t xml:space="preserve"> </w:t>
      </w:r>
      <w:r w:rsidRPr="000977F7">
        <w:rPr>
          <w:rFonts w:asciiTheme="majorHAnsi" w:hAnsiTheme="majorHAnsi"/>
          <w:sz w:val="20"/>
          <w:szCs w:val="20"/>
        </w:rPr>
        <w:t>відбувається</w:t>
      </w:r>
      <w:r w:rsidRPr="000977F7">
        <w:rPr>
          <w:rFonts w:asciiTheme="majorHAnsi" w:hAnsiTheme="majorHAnsi"/>
          <w:spacing w:val="-2"/>
          <w:sz w:val="20"/>
          <w:szCs w:val="20"/>
        </w:rPr>
        <w:t xml:space="preserve"> </w:t>
      </w:r>
      <w:r w:rsidRPr="000977F7">
        <w:rPr>
          <w:rFonts w:asciiTheme="majorHAnsi" w:hAnsiTheme="majorHAnsi"/>
          <w:sz w:val="20"/>
          <w:szCs w:val="20"/>
        </w:rPr>
        <w:t>безперервно</w:t>
      </w:r>
    </w:p>
    <w:p w14:paraId="5AFEBC4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3021 - 95;</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2389 - 94;</w:t>
      </w:r>
    </w:p>
    <w:p w14:paraId="798A6F7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БЕЗПЕРЕРВНИЙ</w:t>
      </w:r>
      <w:r w:rsidRPr="000977F7">
        <w:rPr>
          <w:color w:val="auto"/>
          <w:spacing w:val="-6"/>
          <w:sz w:val="20"/>
          <w:szCs w:val="20"/>
        </w:rPr>
        <w:t xml:space="preserve"> </w:t>
      </w:r>
      <w:r w:rsidRPr="000977F7">
        <w:rPr>
          <w:color w:val="auto"/>
          <w:sz w:val="20"/>
          <w:szCs w:val="20"/>
        </w:rPr>
        <w:t>КОНТРОЛЬ</w:t>
      </w:r>
      <w:r w:rsidRPr="000977F7">
        <w:rPr>
          <w:color w:val="auto"/>
          <w:spacing w:val="37"/>
          <w:sz w:val="20"/>
          <w:szCs w:val="20"/>
        </w:rPr>
        <w:t xml:space="preserve"> </w:t>
      </w:r>
      <w:r w:rsidRPr="000977F7">
        <w:rPr>
          <w:color w:val="auto"/>
          <w:sz w:val="20"/>
          <w:szCs w:val="20"/>
        </w:rPr>
        <w:t>ЯКОСТІ</w:t>
      </w:r>
      <w:r w:rsidRPr="000977F7">
        <w:rPr>
          <w:color w:val="auto"/>
          <w:spacing w:val="-47"/>
          <w:sz w:val="20"/>
          <w:szCs w:val="20"/>
        </w:rPr>
        <w:t xml:space="preserve"> </w:t>
      </w:r>
      <w:r w:rsidRPr="000977F7">
        <w:rPr>
          <w:color w:val="auto"/>
          <w:sz w:val="20"/>
          <w:szCs w:val="20"/>
        </w:rPr>
        <w:t>ЕЛЕКТРИЧНОЇ ЕНЕРГІЇ</w:t>
      </w:r>
      <w:r w:rsidRPr="000977F7">
        <w:rPr>
          <w:color w:val="auto"/>
          <w:spacing w:val="3"/>
          <w:sz w:val="20"/>
          <w:szCs w:val="20"/>
        </w:rPr>
        <w:t xml:space="preserve"> </w:t>
      </w:r>
      <w:r w:rsidRPr="000977F7">
        <w:rPr>
          <w:color w:val="auto"/>
          <w:sz w:val="20"/>
          <w:szCs w:val="20"/>
        </w:rPr>
        <w:t>–</w:t>
      </w:r>
    </w:p>
    <w:p w14:paraId="4EE25F5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Контроль якості електричної енергії, при якому надходження інформації щодо контрольованих показників від засобів вимірювань та оцінка їх відбуваються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безперервно</w:t>
      </w:r>
    </w:p>
    <w:p w14:paraId="5D6FD72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3466</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 96</w:t>
      </w:r>
    </w:p>
    <w:p w14:paraId="269EEC5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БЕЗПЕРЕРВНІСТЬ</w:t>
      </w:r>
      <w:r w:rsidRPr="000977F7">
        <w:rPr>
          <w:color w:val="auto"/>
          <w:spacing w:val="-5"/>
          <w:sz w:val="20"/>
          <w:szCs w:val="20"/>
        </w:rPr>
        <w:t xml:space="preserve"> </w:t>
      </w:r>
      <w:r w:rsidRPr="000977F7">
        <w:rPr>
          <w:color w:val="auto"/>
          <w:sz w:val="20"/>
          <w:szCs w:val="20"/>
        </w:rPr>
        <w:t>ВИРОБНИЦТВА</w:t>
      </w:r>
      <w:r w:rsidRPr="000977F7">
        <w:rPr>
          <w:color w:val="auto"/>
          <w:spacing w:val="-3"/>
          <w:sz w:val="20"/>
          <w:szCs w:val="20"/>
        </w:rPr>
        <w:t xml:space="preserve"> </w:t>
      </w:r>
      <w:r w:rsidRPr="000977F7">
        <w:rPr>
          <w:color w:val="auto"/>
          <w:sz w:val="20"/>
          <w:szCs w:val="20"/>
        </w:rPr>
        <w:t>–</w:t>
      </w:r>
    </w:p>
    <w:p w14:paraId="39DE476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 xml:space="preserve">Принцип організації виробництва, згідно з яким </w:t>
      </w:r>
    </w:p>
    <w:p w14:paraId="1F6748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предмети праці рухаються від операції до операції без</w:t>
      </w:r>
      <w:r w:rsidRPr="000977F7">
        <w:rPr>
          <w:rFonts w:asciiTheme="majorHAnsi" w:hAnsiTheme="majorHAnsi"/>
          <w:spacing w:val="1"/>
          <w:sz w:val="20"/>
          <w:szCs w:val="20"/>
        </w:rPr>
        <w:t xml:space="preserve"> </w:t>
      </w:r>
      <w:r w:rsidRPr="000977F7">
        <w:rPr>
          <w:rFonts w:asciiTheme="majorHAnsi" w:hAnsiTheme="majorHAnsi"/>
          <w:sz w:val="20"/>
          <w:szCs w:val="20"/>
        </w:rPr>
        <w:t>затримок у</w:t>
      </w:r>
      <w:r w:rsidRPr="000977F7">
        <w:rPr>
          <w:rFonts w:asciiTheme="majorHAnsi" w:hAnsiTheme="majorHAnsi"/>
          <w:spacing w:val="-4"/>
          <w:sz w:val="20"/>
          <w:szCs w:val="20"/>
        </w:rPr>
        <w:t xml:space="preserve"> </w:t>
      </w:r>
      <w:r w:rsidRPr="000977F7">
        <w:rPr>
          <w:rFonts w:asciiTheme="majorHAnsi" w:hAnsiTheme="majorHAnsi"/>
          <w:sz w:val="20"/>
          <w:szCs w:val="20"/>
        </w:rPr>
        <w:t>часі</w:t>
      </w:r>
    </w:p>
    <w:p w14:paraId="5847463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2960 - 94</w:t>
      </w:r>
    </w:p>
    <w:p w14:paraId="415ECF6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БЕЗПЕЧНІ УМОВИ ДЛЯ ЛЮДИНИ –</w:t>
      </w:r>
    </w:p>
    <w:p w14:paraId="6D48820E"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Стан середовища життєдіяльності, при якому відсутня небезпека шкідливого впливу його факторів на людину</w:t>
      </w:r>
    </w:p>
    <w:p w14:paraId="11B23DC9"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забезпечення санітарного та епідемічного благополуччя населення"</w:t>
      </w:r>
    </w:p>
    <w:p w14:paraId="7DF914A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БЕЗПЕЧНІСТЬ</w:t>
      </w:r>
      <w:r w:rsidRPr="000977F7">
        <w:rPr>
          <w:color w:val="auto"/>
          <w:spacing w:val="-4"/>
          <w:sz w:val="20"/>
          <w:szCs w:val="20"/>
        </w:rPr>
        <w:t xml:space="preserve"> </w:t>
      </w:r>
      <w:r w:rsidRPr="000977F7">
        <w:rPr>
          <w:color w:val="auto"/>
          <w:sz w:val="20"/>
          <w:szCs w:val="20"/>
        </w:rPr>
        <w:t>ПРОДУКЦІЇ</w:t>
      </w:r>
      <w:r w:rsidRPr="000977F7">
        <w:rPr>
          <w:color w:val="auto"/>
          <w:spacing w:val="-3"/>
          <w:sz w:val="20"/>
          <w:szCs w:val="20"/>
        </w:rPr>
        <w:t xml:space="preserve"> </w:t>
      </w:r>
      <w:r w:rsidRPr="000977F7">
        <w:rPr>
          <w:color w:val="auto"/>
          <w:sz w:val="20"/>
          <w:szCs w:val="20"/>
        </w:rPr>
        <w:t>–</w:t>
      </w:r>
    </w:p>
    <w:p w14:paraId="579ADD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w:t>
      </w:r>
      <w:r w:rsidRPr="000977F7">
        <w:rPr>
          <w:rFonts w:asciiTheme="majorHAnsi" w:hAnsiTheme="majorHAnsi"/>
          <w:spacing w:val="1"/>
          <w:sz w:val="20"/>
          <w:szCs w:val="20"/>
        </w:rPr>
        <w:t xml:space="preserve"> </w:t>
      </w:r>
      <w:r w:rsidRPr="000977F7">
        <w:rPr>
          <w:rFonts w:asciiTheme="majorHAnsi" w:hAnsiTheme="majorHAnsi"/>
          <w:sz w:val="20"/>
          <w:szCs w:val="20"/>
        </w:rPr>
        <w:t>конкретної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полягає</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здатності</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використаною</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призначенням</w:t>
      </w:r>
      <w:r w:rsidRPr="000977F7">
        <w:rPr>
          <w:rFonts w:asciiTheme="majorHAnsi" w:hAnsiTheme="majorHAnsi"/>
          <w:spacing w:val="1"/>
          <w:sz w:val="20"/>
          <w:szCs w:val="20"/>
        </w:rPr>
        <w:t xml:space="preserve"> </w:t>
      </w:r>
      <w:r w:rsidRPr="000977F7">
        <w:rPr>
          <w:rFonts w:asciiTheme="majorHAnsi" w:hAnsiTheme="majorHAnsi"/>
          <w:sz w:val="20"/>
          <w:szCs w:val="20"/>
        </w:rPr>
        <w:t>без</w:t>
      </w:r>
      <w:r w:rsidRPr="000977F7">
        <w:rPr>
          <w:rFonts w:asciiTheme="majorHAnsi" w:hAnsiTheme="majorHAnsi"/>
          <w:spacing w:val="1"/>
          <w:sz w:val="20"/>
          <w:szCs w:val="20"/>
        </w:rPr>
        <w:t xml:space="preserve"> </w:t>
      </w:r>
      <w:r w:rsidRPr="000977F7">
        <w:rPr>
          <w:rFonts w:asciiTheme="majorHAnsi" w:hAnsiTheme="majorHAnsi"/>
          <w:sz w:val="20"/>
          <w:szCs w:val="20"/>
        </w:rPr>
        <w:t>завдавання</w:t>
      </w:r>
      <w:r w:rsidRPr="000977F7">
        <w:rPr>
          <w:rFonts w:asciiTheme="majorHAnsi" w:hAnsiTheme="majorHAnsi"/>
          <w:spacing w:val="-2"/>
          <w:sz w:val="20"/>
          <w:szCs w:val="20"/>
        </w:rPr>
        <w:t xml:space="preserve"> </w:t>
      </w:r>
      <w:r w:rsidRPr="000977F7">
        <w:rPr>
          <w:rFonts w:asciiTheme="majorHAnsi" w:hAnsiTheme="majorHAnsi"/>
          <w:sz w:val="20"/>
          <w:szCs w:val="20"/>
        </w:rPr>
        <w:t>будь-якої</w:t>
      </w:r>
      <w:r w:rsidRPr="000977F7">
        <w:rPr>
          <w:rFonts w:asciiTheme="majorHAnsi" w:hAnsiTheme="majorHAnsi"/>
          <w:spacing w:val="-1"/>
          <w:sz w:val="20"/>
          <w:szCs w:val="20"/>
        </w:rPr>
        <w:t xml:space="preserve"> </w:t>
      </w:r>
      <w:r w:rsidRPr="000977F7">
        <w:rPr>
          <w:rFonts w:asciiTheme="majorHAnsi" w:hAnsiTheme="majorHAnsi"/>
          <w:sz w:val="20"/>
          <w:szCs w:val="20"/>
        </w:rPr>
        <w:t>можливої</w:t>
      </w:r>
      <w:r w:rsidRPr="000977F7">
        <w:rPr>
          <w:rFonts w:asciiTheme="majorHAnsi" w:hAnsiTheme="majorHAnsi"/>
          <w:spacing w:val="-2"/>
          <w:sz w:val="20"/>
          <w:szCs w:val="20"/>
        </w:rPr>
        <w:t xml:space="preserve"> </w:t>
      </w:r>
      <w:r w:rsidRPr="000977F7">
        <w:rPr>
          <w:rFonts w:asciiTheme="majorHAnsi" w:hAnsiTheme="majorHAnsi"/>
          <w:sz w:val="20"/>
          <w:szCs w:val="20"/>
        </w:rPr>
        <w:t>шкоди</w:t>
      </w:r>
    </w:p>
    <w:p w14:paraId="6B2AC20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626160F3" w14:textId="77777777" w:rsidR="0097612F" w:rsidRPr="000977F7" w:rsidRDefault="0097612F" w:rsidP="00FD39A4">
      <w:pPr>
        <w:pStyle w:val="ac"/>
        <w:widowControl w:val="0"/>
        <w:numPr>
          <w:ilvl w:val="1"/>
          <w:numId w:val="219"/>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Безпечність</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звичайно</w:t>
      </w:r>
      <w:r w:rsidRPr="000977F7">
        <w:rPr>
          <w:rFonts w:asciiTheme="majorHAnsi" w:hAnsiTheme="majorHAnsi"/>
          <w:spacing w:val="1"/>
          <w:sz w:val="20"/>
          <w:szCs w:val="20"/>
        </w:rPr>
        <w:t xml:space="preserve"> </w:t>
      </w:r>
      <w:r w:rsidRPr="000977F7">
        <w:rPr>
          <w:rFonts w:asciiTheme="majorHAnsi" w:hAnsiTheme="majorHAnsi"/>
          <w:sz w:val="20"/>
          <w:szCs w:val="20"/>
        </w:rPr>
        <w:t>розглядають</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47"/>
          <w:sz w:val="20"/>
          <w:szCs w:val="20"/>
        </w:rPr>
        <w:t xml:space="preserve"> </w:t>
      </w:r>
      <w:r w:rsidRPr="000977F7">
        <w:rPr>
          <w:rFonts w:asciiTheme="majorHAnsi" w:hAnsiTheme="majorHAnsi"/>
          <w:sz w:val="20"/>
          <w:szCs w:val="20"/>
        </w:rPr>
        <w:t>оптимальний баланс низки чинників, включаючи</w:t>
      </w:r>
      <w:r w:rsidRPr="000977F7">
        <w:rPr>
          <w:rFonts w:asciiTheme="majorHAnsi" w:hAnsiTheme="majorHAnsi"/>
          <w:spacing w:val="1"/>
          <w:sz w:val="20"/>
          <w:szCs w:val="20"/>
        </w:rPr>
        <w:t xml:space="preserve"> </w:t>
      </w:r>
      <w:r w:rsidRPr="000977F7">
        <w:rPr>
          <w:rFonts w:asciiTheme="majorHAnsi" w:hAnsiTheme="majorHAnsi"/>
          <w:sz w:val="20"/>
          <w:szCs w:val="20"/>
        </w:rPr>
        <w:t>такий нетехнічний чинник як поведінка людини,</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5"/>
          <w:sz w:val="20"/>
          <w:szCs w:val="20"/>
        </w:rPr>
        <w:t xml:space="preserve"> </w:t>
      </w:r>
      <w:r w:rsidRPr="000977F7">
        <w:rPr>
          <w:rFonts w:asciiTheme="majorHAnsi" w:hAnsiTheme="majorHAnsi"/>
          <w:sz w:val="20"/>
          <w:szCs w:val="20"/>
        </w:rPr>
        <w:t>дає</w:t>
      </w:r>
      <w:r w:rsidRPr="000977F7">
        <w:rPr>
          <w:rFonts w:asciiTheme="majorHAnsi" w:hAnsiTheme="majorHAnsi"/>
          <w:spacing w:val="16"/>
          <w:sz w:val="20"/>
          <w:szCs w:val="20"/>
        </w:rPr>
        <w:t xml:space="preserve"> </w:t>
      </w:r>
      <w:r w:rsidRPr="000977F7">
        <w:rPr>
          <w:rFonts w:asciiTheme="majorHAnsi" w:hAnsiTheme="majorHAnsi"/>
          <w:sz w:val="20"/>
          <w:szCs w:val="20"/>
        </w:rPr>
        <w:t>змогу</w:t>
      </w:r>
      <w:r w:rsidRPr="000977F7">
        <w:rPr>
          <w:rFonts w:asciiTheme="majorHAnsi" w:hAnsiTheme="majorHAnsi"/>
          <w:spacing w:val="12"/>
          <w:sz w:val="20"/>
          <w:szCs w:val="20"/>
        </w:rPr>
        <w:t xml:space="preserve"> </w:t>
      </w:r>
      <w:r w:rsidRPr="000977F7">
        <w:rPr>
          <w:rFonts w:asciiTheme="majorHAnsi" w:hAnsiTheme="majorHAnsi"/>
          <w:sz w:val="20"/>
          <w:szCs w:val="20"/>
        </w:rPr>
        <w:t>звести</w:t>
      </w:r>
      <w:r w:rsidRPr="000977F7">
        <w:rPr>
          <w:rFonts w:asciiTheme="majorHAnsi" w:hAnsiTheme="majorHAnsi"/>
          <w:spacing w:val="17"/>
          <w:sz w:val="20"/>
          <w:szCs w:val="20"/>
        </w:rPr>
        <w:t xml:space="preserve"> </w:t>
      </w:r>
      <w:r w:rsidRPr="000977F7">
        <w:rPr>
          <w:rFonts w:asciiTheme="majorHAnsi" w:hAnsiTheme="majorHAnsi"/>
          <w:sz w:val="20"/>
          <w:szCs w:val="20"/>
        </w:rPr>
        <w:t>усувний</w:t>
      </w:r>
      <w:r w:rsidRPr="000977F7">
        <w:rPr>
          <w:rFonts w:asciiTheme="majorHAnsi" w:hAnsiTheme="majorHAnsi"/>
          <w:spacing w:val="16"/>
          <w:sz w:val="20"/>
          <w:szCs w:val="20"/>
        </w:rPr>
        <w:t xml:space="preserve"> </w:t>
      </w:r>
      <w:r w:rsidRPr="000977F7">
        <w:rPr>
          <w:rFonts w:asciiTheme="majorHAnsi" w:hAnsiTheme="majorHAnsi"/>
          <w:sz w:val="20"/>
          <w:szCs w:val="20"/>
        </w:rPr>
        <w:t>ризик,</w:t>
      </w:r>
      <w:r w:rsidRPr="000977F7">
        <w:rPr>
          <w:rFonts w:asciiTheme="majorHAnsi" w:hAnsiTheme="majorHAnsi"/>
          <w:spacing w:val="16"/>
          <w:sz w:val="20"/>
          <w:szCs w:val="20"/>
        </w:rPr>
        <w:t xml:space="preserve"> </w:t>
      </w:r>
      <w:r w:rsidRPr="000977F7">
        <w:rPr>
          <w:rFonts w:asciiTheme="majorHAnsi" w:hAnsiTheme="majorHAnsi"/>
          <w:sz w:val="20"/>
          <w:szCs w:val="20"/>
        </w:rPr>
        <w:t>пов’язаний</w:t>
      </w:r>
      <w:r w:rsidRPr="000977F7">
        <w:rPr>
          <w:rFonts w:asciiTheme="majorHAnsi" w:hAnsiTheme="majorHAnsi"/>
          <w:spacing w:val="-48"/>
          <w:sz w:val="20"/>
          <w:szCs w:val="20"/>
        </w:rPr>
        <w:t xml:space="preserve"> </w:t>
      </w:r>
      <w:r w:rsidRPr="000977F7">
        <w:rPr>
          <w:rFonts w:asciiTheme="majorHAnsi" w:hAnsiTheme="majorHAnsi"/>
          <w:sz w:val="20"/>
          <w:szCs w:val="20"/>
        </w:rPr>
        <w:t>з можливістю завдавання шкоди здоров’ю людей</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збереження</w:t>
      </w:r>
      <w:r w:rsidRPr="000977F7">
        <w:rPr>
          <w:rFonts w:asciiTheme="majorHAnsi" w:hAnsiTheme="majorHAnsi"/>
          <w:spacing w:val="-2"/>
          <w:sz w:val="20"/>
          <w:szCs w:val="20"/>
        </w:rPr>
        <w:t xml:space="preserve"> </w:t>
      </w:r>
      <w:r w:rsidRPr="000977F7">
        <w:rPr>
          <w:rFonts w:asciiTheme="majorHAnsi" w:hAnsiTheme="majorHAnsi"/>
          <w:sz w:val="20"/>
          <w:szCs w:val="20"/>
        </w:rPr>
        <w:t>майна, до</w:t>
      </w:r>
      <w:r w:rsidRPr="000977F7">
        <w:rPr>
          <w:rFonts w:asciiTheme="majorHAnsi" w:hAnsiTheme="majorHAnsi"/>
          <w:spacing w:val="-1"/>
          <w:sz w:val="20"/>
          <w:szCs w:val="20"/>
        </w:rPr>
        <w:t xml:space="preserve"> </w:t>
      </w:r>
      <w:r w:rsidRPr="000977F7">
        <w:rPr>
          <w:rFonts w:asciiTheme="majorHAnsi" w:hAnsiTheme="majorHAnsi"/>
          <w:sz w:val="20"/>
          <w:szCs w:val="20"/>
        </w:rPr>
        <w:t>прийнятного рівня</w:t>
      </w:r>
    </w:p>
    <w:p w14:paraId="4CD13A4B" w14:textId="77777777" w:rsidR="0097612F" w:rsidRPr="000977F7" w:rsidRDefault="0097612F" w:rsidP="00FD39A4">
      <w:pPr>
        <w:pStyle w:val="ac"/>
        <w:widowControl w:val="0"/>
        <w:numPr>
          <w:ilvl w:val="1"/>
          <w:numId w:val="219"/>
        </w:numPr>
        <w:tabs>
          <w:tab w:val="left" w:pos="284"/>
          <w:tab w:val="left" w:pos="78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Безпечність продукції залежно від виду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поєднує такі властивості, як електробезпеку, вибухобезпеку,</w:t>
      </w:r>
      <w:r w:rsidRPr="000977F7">
        <w:rPr>
          <w:rFonts w:asciiTheme="majorHAnsi" w:hAnsiTheme="majorHAnsi"/>
          <w:spacing w:val="1"/>
          <w:sz w:val="20"/>
          <w:szCs w:val="20"/>
        </w:rPr>
        <w:t xml:space="preserve"> </w:t>
      </w:r>
      <w:r w:rsidRPr="000977F7">
        <w:rPr>
          <w:rFonts w:asciiTheme="majorHAnsi" w:hAnsiTheme="majorHAnsi"/>
          <w:sz w:val="20"/>
          <w:szCs w:val="20"/>
        </w:rPr>
        <w:t>радіаційну</w:t>
      </w:r>
      <w:r w:rsidRPr="000977F7">
        <w:rPr>
          <w:rFonts w:asciiTheme="majorHAnsi" w:hAnsiTheme="majorHAnsi"/>
          <w:spacing w:val="1"/>
          <w:sz w:val="20"/>
          <w:szCs w:val="20"/>
        </w:rPr>
        <w:t xml:space="preserve"> </w:t>
      </w:r>
      <w:r w:rsidRPr="000977F7">
        <w:rPr>
          <w:rFonts w:asciiTheme="majorHAnsi" w:hAnsiTheme="majorHAnsi"/>
          <w:sz w:val="20"/>
          <w:szCs w:val="20"/>
        </w:rPr>
        <w:t>безпеку,</w:t>
      </w:r>
      <w:r w:rsidRPr="000977F7">
        <w:rPr>
          <w:rFonts w:asciiTheme="majorHAnsi" w:hAnsiTheme="majorHAnsi"/>
          <w:spacing w:val="1"/>
          <w:sz w:val="20"/>
          <w:szCs w:val="20"/>
        </w:rPr>
        <w:t xml:space="preserve"> </w:t>
      </w:r>
      <w:r w:rsidRPr="000977F7">
        <w:rPr>
          <w:rFonts w:asciiTheme="majorHAnsi" w:hAnsiTheme="majorHAnsi"/>
          <w:sz w:val="20"/>
          <w:szCs w:val="20"/>
        </w:rPr>
        <w:t>безпеку</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впливу</w:t>
      </w:r>
      <w:r w:rsidRPr="000977F7">
        <w:rPr>
          <w:rFonts w:asciiTheme="majorHAnsi" w:hAnsiTheme="majorHAnsi"/>
          <w:spacing w:val="1"/>
          <w:sz w:val="20"/>
          <w:szCs w:val="20"/>
        </w:rPr>
        <w:t xml:space="preserve"> </w:t>
      </w:r>
      <w:r w:rsidRPr="000977F7">
        <w:rPr>
          <w:rFonts w:asciiTheme="majorHAnsi" w:hAnsiTheme="majorHAnsi"/>
          <w:sz w:val="20"/>
          <w:szCs w:val="20"/>
        </w:rPr>
        <w:t>хімічних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забруднювальних</w:t>
      </w:r>
      <w:r w:rsidRPr="000977F7">
        <w:rPr>
          <w:rFonts w:asciiTheme="majorHAnsi" w:hAnsiTheme="majorHAnsi"/>
          <w:spacing w:val="1"/>
          <w:sz w:val="20"/>
          <w:szCs w:val="20"/>
        </w:rPr>
        <w:t xml:space="preserve"> </w:t>
      </w:r>
      <w:r w:rsidRPr="000977F7">
        <w:rPr>
          <w:rFonts w:asciiTheme="majorHAnsi" w:hAnsiTheme="majorHAnsi"/>
          <w:sz w:val="20"/>
          <w:szCs w:val="20"/>
        </w:rPr>
        <w:t>речовин,</w:t>
      </w:r>
      <w:r w:rsidRPr="000977F7">
        <w:rPr>
          <w:rFonts w:asciiTheme="majorHAnsi" w:hAnsiTheme="majorHAnsi"/>
          <w:spacing w:val="1"/>
          <w:sz w:val="20"/>
          <w:szCs w:val="20"/>
        </w:rPr>
        <w:t xml:space="preserve"> </w:t>
      </w:r>
      <w:r w:rsidRPr="000977F7">
        <w:rPr>
          <w:rFonts w:asciiTheme="majorHAnsi" w:hAnsiTheme="majorHAnsi"/>
          <w:sz w:val="20"/>
          <w:szCs w:val="20"/>
        </w:rPr>
        <w:t>безпеку від помилкових дій обслуговуючого персоналу, безпеку за рівнем шуму та вібрації технічних</w:t>
      </w:r>
      <w:r w:rsidRPr="000977F7">
        <w:rPr>
          <w:rFonts w:asciiTheme="majorHAnsi" w:hAnsiTheme="majorHAnsi"/>
          <w:spacing w:val="-2"/>
          <w:sz w:val="20"/>
          <w:szCs w:val="20"/>
        </w:rPr>
        <w:t xml:space="preserve"> </w:t>
      </w:r>
      <w:r w:rsidRPr="000977F7">
        <w:rPr>
          <w:rFonts w:asciiTheme="majorHAnsi" w:hAnsiTheme="majorHAnsi"/>
          <w:sz w:val="20"/>
          <w:szCs w:val="20"/>
        </w:rPr>
        <w:t>засобів</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11B63E4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3278 - 95</w:t>
      </w:r>
    </w:p>
    <w:p w14:paraId="17807E1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БЕЗПЕЧНІСТЬ ПРОМИСЛОВОГО </w:t>
      </w:r>
    </w:p>
    <w:p w14:paraId="37711C3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ПІДПРИ</w:t>
      </w:r>
      <w:r w:rsidRPr="000977F7">
        <w:rPr>
          <w:color w:val="auto"/>
          <w:spacing w:val="-47"/>
          <w:sz w:val="20"/>
          <w:szCs w:val="20"/>
        </w:rPr>
        <w:t xml:space="preserve"> </w:t>
      </w:r>
      <w:r w:rsidRPr="000977F7">
        <w:rPr>
          <w:color w:val="auto"/>
          <w:sz w:val="20"/>
          <w:szCs w:val="20"/>
        </w:rPr>
        <w:t>ЄМСТВА</w:t>
      </w:r>
      <w:r w:rsidRPr="000977F7">
        <w:rPr>
          <w:color w:val="auto"/>
          <w:spacing w:val="-1"/>
          <w:sz w:val="20"/>
          <w:szCs w:val="20"/>
        </w:rPr>
        <w:t xml:space="preserve"> </w:t>
      </w:r>
      <w:r w:rsidRPr="000977F7">
        <w:rPr>
          <w:color w:val="auto"/>
          <w:sz w:val="20"/>
          <w:szCs w:val="20"/>
        </w:rPr>
        <w:t>–</w:t>
      </w:r>
    </w:p>
    <w:p w14:paraId="0953E26B"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uk-UA"/>
        </w:rPr>
      </w:pPr>
      <w:r w:rsidRPr="000977F7">
        <w:rPr>
          <w:rFonts w:asciiTheme="majorHAnsi" w:hAnsiTheme="majorHAnsi"/>
          <w:sz w:val="20"/>
          <w:szCs w:val="20"/>
        </w:rPr>
        <w:t>INDUSTRIAL</w:t>
      </w:r>
      <w:r w:rsidRPr="004D2D14">
        <w:rPr>
          <w:rFonts w:asciiTheme="majorHAnsi" w:hAnsiTheme="majorHAnsi"/>
          <w:spacing w:val="-4"/>
          <w:sz w:val="20"/>
          <w:szCs w:val="20"/>
          <w:lang w:val="uk-UA"/>
        </w:rPr>
        <w:t xml:space="preserve"> </w:t>
      </w:r>
      <w:r w:rsidRPr="000977F7">
        <w:rPr>
          <w:rFonts w:asciiTheme="majorHAnsi" w:hAnsiTheme="majorHAnsi"/>
          <w:sz w:val="20"/>
          <w:szCs w:val="20"/>
        </w:rPr>
        <w:t>ENTERPRISE</w:t>
      </w:r>
      <w:r w:rsidRPr="004D2D14">
        <w:rPr>
          <w:rFonts w:asciiTheme="majorHAnsi" w:hAnsiTheme="majorHAnsi"/>
          <w:spacing w:val="-2"/>
          <w:sz w:val="20"/>
          <w:szCs w:val="20"/>
          <w:lang w:val="uk-UA"/>
        </w:rPr>
        <w:t xml:space="preserve"> </w:t>
      </w:r>
      <w:r w:rsidRPr="000977F7">
        <w:rPr>
          <w:rFonts w:asciiTheme="majorHAnsi" w:hAnsiTheme="majorHAnsi"/>
          <w:sz w:val="20"/>
          <w:szCs w:val="20"/>
        </w:rPr>
        <w:t>SAFETY</w:t>
      </w:r>
      <w:r w:rsidRPr="004D2D14">
        <w:rPr>
          <w:rFonts w:asciiTheme="majorHAnsi" w:hAnsiTheme="majorHAnsi"/>
          <w:sz w:val="20"/>
          <w:szCs w:val="20"/>
          <w:lang w:val="uk-UA"/>
        </w:rPr>
        <w:t xml:space="preserve"> </w:t>
      </w:r>
      <w:r w:rsidRPr="004D2D14">
        <w:rPr>
          <w:rFonts w:asciiTheme="majorHAnsi" w:hAnsiTheme="majorHAnsi"/>
          <w:b/>
          <w:sz w:val="20"/>
          <w:szCs w:val="20"/>
          <w:lang w:val="uk-UA"/>
        </w:rPr>
        <w:t>–</w:t>
      </w:r>
    </w:p>
    <w:p w14:paraId="7221C91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Властивість підприємства (об'єкта) за нормальної експлуатації та в разі аварії обмежувати вплив джерел</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небезпеки на персонал, населення та навколишнє середовище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встановленими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межами</w:t>
      </w:r>
    </w:p>
    <w:p w14:paraId="152C1CE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585D572E" w14:textId="77777777" w:rsidR="0097612F" w:rsidRPr="000977F7" w:rsidRDefault="0097612F" w:rsidP="00FD39A4">
      <w:pPr>
        <w:pStyle w:val="ac"/>
        <w:widowControl w:val="0"/>
        <w:numPr>
          <w:ilvl w:val="0"/>
          <w:numId w:val="217"/>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Рівень безпечності вважається прийнятним, якщо</w:t>
      </w:r>
      <w:r w:rsidRPr="000977F7">
        <w:rPr>
          <w:rFonts w:asciiTheme="majorHAnsi" w:hAnsiTheme="majorHAnsi"/>
          <w:spacing w:val="1"/>
          <w:sz w:val="20"/>
          <w:szCs w:val="20"/>
        </w:rPr>
        <w:t xml:space="preserve"> </w:t>
      </w:r>
      <w:r w:rsidRPr="000977F7">
        <w:rPr>
          <w:rFonts w:asciiTheme="majorHAnsi" w:hAnsiTheme="majorHAnsi"/>
          <w:sz w:val="20"/>
          <w:szCs w:val="20"/>
        </w:rPr>
        <w:t>забезпечено додержання вимог державних нормативних</w:t>
      </w:r>
      <w:r w:rsidRPr="000977F7">
        <w:rPr>
          <w:rFonts w:asciiTheme="majorHAnsi" w:hAnsiTheme="majorHAnsi"/>
          <w:spacing w:val="-2"/>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1"/>
          <w:sz w:val="20"/>
          <w:szCs w:val="20"/>
        </w:rPr>
        <w:t xml:space="preserve"> </w:t>
      </w:r>
      <w:r w:rsidRPr="000977F7">
        <w:rPr>
          <w:rFonts w:asciiTheme="majorHAnsi" w:hAnsiTheme="majorHAnsi"/>
          <w:sz w:val="20"/>
          <w:szCs w:val="20"/>
        </w:rPr>
        <w:t>з безпеки</w:t>
      </w:r>
    </w:p>
    <w:p w14:paraId="0FE65F53" w14:textId="77777777" w:rsidR="0097612F" w:rsidRPr="000977F7" w:rsidRDefault="0097612F" w:rsidP="00FD39A4">
      <w:pPr>
        <w:pStyle w:val="ac"/>
        <w:widowControl w:val="0"/>
        <w:numPr>
          <w:ilvl w:val="0"/>
          <w:numId w:val="217"/>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галузі</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безпечність</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r w:rsidRPr="000977F7">
        <w:rPr>
          <w:rFonts w:asciiTheme="majorHAnsi" w:hAnsiTheme="majorHAnsi"/>
          <w:spacing w:val="1"/>
          <w:sz w:val="20"/>
          <w:szCs w:val="20"/>
        </w:rPr>
        <w:t xml:space="preserve"> </w:t>
      </w:r>
      <w:r w:rsidRPr="000977F7">
        <w:rPr>
          <w:rFonts w:asciiTheme="majorHAnsi" w:hAnsiTheme="majorHAnsi"/>
          <w:sz w:val="20"/>
          <w:szCs w:val="20"/>
        </w:rPr>
        <w:t>звичайно</w:t>
      </w:r>
      <w:r w:rsidRPr="000977F7">
        <w:rPr>
          <w:rFonts w:asciiTheme="majorHAnsi" w:hAnsiTheme="majorHAnsi"/>
          <w:spacing w:val="1"/>
          <w:sz w:val="20"/>
          <w:szCs w:val="20"/>
        </w:rPr>
        <w:t xml:space="preserve"> </w:t>
      </w:r>
      <w:r w:rsidRPr="000977F7">
        <w:rPr>
          <w:rFonts w:asciiTheme="majorHAnsi" w:hAnsiTheme="majorHAnsi"/>
          <w:sz w:val="20"/>
          <w:szCs w:val="20"/>
        </w:rPr>
        <w:t>розглядають</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метою</w:t>
      </w:r>
      <w:r w:rsidRPr="000977F7">
        <w:rPr>
          <w:rFonts w:asciiTheme="majorHAnsi" w:hAnsiTheme="majorHAnsi"/>
          <w:spacing w:val="-47"/>
          <w:sz w:val="20"/>
          <w:szCs w:val="20"/>
        </w:rPr>
        <w:t xml:space="preserve"> </w:t>
      </w:r>
      <w:r w:rsidRPr="000977F7">
        <w:rPr>
          <w:rFonts w:asciiTheme="majorHAnsi" w:hAnsiTheme="majorHAnsi"/>
          <w:sz w:val="20"/>
          <w:szCs w:val="20"/>
        </w:rPr>
        <w:t>досягнення оптимального балансу ряду факторів,</w:t>
      </w:r>
      <w:r w:rsidRPr="000977F7">
        <w:rPr>
          <w:rFonts w:asciiTheme="majorHAnsi" w:hAnsiTheme="majorHAnsi"/>
          <w:spacing w:val="1"/>
          <w:sz w:val="20"/>
          <w:szCs w:val="20"/>
        </w:rPr>
        <w:t xml:space="preserve"> </w:t>
      </w:r>
      <w:r w:rsidRPr="000977F7">
        <w:rPr>
          <w:rFonts w:asciiTheme="majorHAnsi" w:hAnsiTheme="majorHAnsi"/>
          <w:sz w:val="20"/>
          <w:szCs w:val="20"/>
        </w:rPr>
        <w:t>що включає в себе такі нетехнічні фактори, як поведінка людини, і дозволяє звести до прийнятного</w:t>
      </w:r>
      <w:r w:rsidRPr="000977F7">
        <w:rPr>
          <w:rFonts w:asciiTheme="majorHAnsi" w:hAnsiTheme="majorHAnsi"/>
          <w:spacing w:val="1"/>
          <w:sz w:val="20"/>
          <w:szCs w:val="20"/>
        </w:rPr>
        <w:t xml:space="preserve"> </w:t>
      </w:r>
      <w:r w:rsidRPr="000977F7">
        <w:rPr>
          <w:rFonts w:asciiTheme="majorHAnsi" w:hAnsiTheme="majorHAnsi"/>
          <w:sz w:val="20"/>
          <w:szCs w:val="20"/>
        </w:rPr>
        <w:t>рівня ризик, пов'язаний з можливістю завдавання</w:t>
      </w:r>
      <w:r w:rsidRPr="000977F7">
        <w:rPr>
          <w:rFonts w:asciiTheme="majorHAnsi" w:hAnsiTheme="majorHAnsi"/>
          <w:spacing w:val="1"/>
          <w:sz w:val="20"/>
          <w:szCs w:val="20"/>
        </w:rPr>
        <w:t xml:space="preserve"> </w:t>
      </w:r>
      <w:r w:rsidRPr="000977F7">
        <w:rPr>
          <w:rFonts w:asciiTheme="majorHAnsi" w:hAnsiTheme="majorHAnsi"/>
          <w:sz w:val="20"/>
          <w:szCs w:val="20"/>
        </w:rPr>
        <w:t>шкоди</w:t>
      </w:r>
      <w:r w:rsidRPr="000977F7">
        <w:rPr>
          <w:rFonts w:asciiTheme="majorHAnsi" w:hAnsiTheme="majorHAnsi"/>
          <w:spacing w:val="-3"/>
          <w:sz w:val="20"/>
          <w:szCs w:val="20"/>
        </w:rPr>
        <w:t xml:space="preserve"> </w:t>
      </w:r>
      <w:r w:rsidRPr="000977F7">
        <w:rPr>
          <w:rFonts w:asciiTheme="majorHAnsi" w:hAnsiTheme="majorHAnsi"/>
          <w:sz w:val="20"/>
          <w:szCs w:val="20"/>
        </w:rPr>
        <w:t>здоров'ю</w:t>
      </w:r>
      <w:r w:rsidRPr="000977F7">
        <w:rPr>
          <w:rFonts w:asciiTheme="majorHAnsi" w:hAnsiTheme="majorHAnsi"/>
          <w:spacing w:val="1"/>
          <w:sz w:val="20"/>
          <w:szCs w:val="20"/>
        </w:rPr>
        <w:t xml:space="preserve"> </w:t>
      </w:r>
      <w:r w:rsidRPr="000977F7">
        <w:rPr>
          <w:rFonts w:asciiTheme="majorHAnsi" w:hAnsiTheme="majorHAnsi"/>
          <w:sz w:val="20"/>
          <w:szCs w:val="20"/>
        </w:rPr>
        <w:t>людей</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зберіганню</w:t>
      </w:r>
      <w:r w:rsidRPr="000977F7">
        <w:rPr>
          <w:rFonts w:asciiTheme="majorHAnsi" w:hAnsiTheme="majorHAnsi"/>
          <w:spacing w:val="-1"/>
          <w:sz w:val="20"/>
          <w:szCs w:val="20"/>
        </w:rPr>
        <w:t xml:space="preserve"> </w:t>
      </w:r>
      <w:r w:rsidRPr="000977F7">
        <w:rPr>
          <w:rFonts w:asciiTheme="majorHAnsi" w:hAnsiTheme="majorHAnsi"/>
          <w:sz w:val="20"/>
          <w:szCs w:val="20"/>
        </w:rPr>
        <w:t>майна</w:t>
      </w:r>
    </w:p>
    <w:p w14:paraId="13E39DF0" w14:textId="77777777" w:rsidR="0097612F" w:rsidRPr="000977F7" w:rsidRDefault="0097612F" w:rsidP="000977F7">
      <w:pPr>
        <w:tabs>
          <w:tab w:val="left" w:pos="284"/>
          <w:tab w:val="left" w:pos="5103"/>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1E2ECF2A" w14:textId="77777777" w:rsidR="0097612F" w:rsidRPr="000977F7" w:rsidRDefault="0097612F" w:rsidP="000977F7">
      <w:pPr>
        <w:pStyle w:val="7"/>
        <w:tabs>
          <w:tab w:val="left" w:pos="284"/>
          <w:tab w:val="left" w:pos="4820"/>
        </w:tabs>
        <w:spacing w:before="0" w:line="240" w:lineRule="auto"/>
        <w:ind w:left="170"/>
        <w:mirrorIndents/>
        <w:jc w:val="both"/>
        <w:rPr>
          <w:color w:val="auto"/>
          <w:sz w:val="20"/>
          <w:szCs w:val="20"/>
        </w:rPr>
      </w:pPr>
      <w:r w:rsidRPr="000977F7">
        <w:rPr>
          <w:color w:val="auto"/>
          <w:sz w:val="20"/>
          <w:szCs w:val="20"/>
        </w:rPr>
        <w:t>БЕЗРОЗМІРНІСНА</w:t>
      </w:r>
      <w:r w:rsidRPr="000977F7">
        <w:rPr>
          <w:color w:val="auto"/>
          <w:spacing w:val="-4"/>
          <w:sz w:val="20"/>
          <w:szCs w:val="20"/>
        </w:rPr>
        <w:t xml:space="preserve"> </w:t>
      </w:r>
      <w:r w:rsidRPr="000977F7">
        <w:rPr>
          <w:color w:val="auto"/>
          <w:sz w:val="20"/>
          <w:szCs w:val="20"/>
        </w:rPr>
        <w:t>ФІЗИЧНА</w:t>
      </w:r>
      <w:r w:rsidRPr="000977F7">
        <w:rPr>
          <w:color w:val="auto"/>
          <w:spacing w:val="-3"/>
          <w:sz w:val="20"/>
          <w:szCs w:val="20"/>
        </w:rPr>
        <w:t xml:space="preserve"> </w:t>
      </w:r>
      <w:r w:rsidRPr="000977F7">
        <w:rPr>
          <w:color w:val="auto"/>
          <w:sz w:val="20"/>
          <w:szCs w:val="20"/>
        </w:rPr>
        <w:t>ВЕЛИЧИНА</w:t>
      </w:r>
      <w:r w:rsidRPr="000977F7">
        <w:rPr>
          <w:color w:val="auto"/>
          <w:spacing w:val="-1"/>
          <w:sz w:val="20"/>
          <w:szCs w:val="20"/>
        </w:rPr>
        <w:t xml:space="preserve"> </w:t>
      </w:r>
      <w:r w:rsidRPr="000977F7">
        <w:rPr>
          <w:color w:val="auto"/>
          <w:sz w:val="20"/>
          <w:szCs w:val="20"/>
        </w:rPr>
        <w:t>–</w:t>
      </w:r>
    </w:p>
    <w:p w14:paraId="04CE42F9"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sz w:val="20"/>
          <w:szCs w:val="20"/>
        </w:rPr>
      </w:pPr>
      <w:r w:rsidRPr="000977F7">
        <w:rPr>
          <w:rFonts w:asciiTheme="majorHAnsi" w:hAnsiTheme="majorHAnsi"/>
          <w:sz w:val="20"/>
          <w:szCs w:val="20"/>
        </w:rPr>
        <w:t>DIMENSIONLESS</w:t>
      </w:r>
      <w:r w:rsidRPr="000977F7">
        <w:rPr>
          <w:rFonts w:asciiTheme="majorHAnsi" w:hAnsiTheme="majorHAnsi"/>
          <w:spacing w:val="-3"/>
          <w:sz w:val="20"/>
          <w:szCs w:val="20"/>
        </w:rPr>
        <w:t xml:space="preserve"> </w:t>
      </w:r>
      <w:r w:rsidRPr="000977F7">
        <w:rPr>
          <w:rFonts w:asciiTheme="majorHAnsi" w:hAnsiTheme="majorHAnsi"/>
          <w:sz w:val="20"/>
          <w:szCs w:val="20"/>
        </w:rPr>
        <w:t>QUANTITY</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77EBED38"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sz w:val="20"/>
          <w:szCs w:val="20"/>
        </w:rPr>
      </w:pPr>
      <w:r w:rsidRPr="000977F7">
        <w:rPr>
          <w:rFonts w:asciiTheme="majorHAnsi" w:hAnsiTheme="majorHAnsi"/>
          <w:sz w:val="20"/>
          <w:szCs w:val="20"/>
        </w:rPr>
        <w:t>Величина,</w:t>
      </w:r>
      <w:r w:rsidRPr="000977F7">
        <w:rPr>
          <w:rFonts w:asciiTheme="majorHAnsi" w:hAnsiTheme="majorHAnsi"/>
          <w:spacing w:val="7"/>
          <w:sz w:val="20"/>
          <w:szCs w:val="20"/>
        </w:rPr>
        <w:t xml:space="preserve"> </w:t>
      </w:r>
      <w:r w:rsidRPr="000977F7">
        <w:rPr>
          <w:rFonts w:asciiTheme="majorHAnsi" w:hAnsiTheme="majorHAnsi"/>
          <w:sz w:val="20"/>
          <w:szCs w:val="20"/>
        </w:rPr>
        <w:t>в</w:t>
      </w:r>
      <w:r w:rsidRPr="000977F7">
        <w:rPr>
          <w:rFonts w:asciiTheme="majorHAnsi" w:hAnsiTheme="majorHAnsi"/>
          <w:spacing w:val="6"/>
          <w:sz w:val="20"/>
          <w:szCs w:val="20"/>
        </w:rPr>
        <w:t xml:space="preserve"> </w:t>
      </w:r>
      <w:r w:rsidRPr="000977F7">
        <w:rPr>
          <w:rFonts w:asciiTheme="majorHAnsi" w:hAnsiTheme="majorHAnsi"/>
          <w:sz w:val="20"/>
          <w:szCs w:val="20"/>
        </w:rPr>
        <w:t>розмірності</w:t>
      </w:r>
      <w:r w:rsidRPr="000977F7">
        <w:rPr>
          <w:rFonts w:asciiTheme="majorHAnsi" w:hAnsiTheme="majorHAnsi"/>
          <w:spacing w:val="6"/>
          <w:sz w:val="20"/>
          <w:szCs w:val="20"/>
        </w:rPr>
        <w:t xml:space="preserve"> </w:t>
      </w:r>
      <w:r w:rsidRPr="000977F7">
        <w:rPr>
          <w:rFonts w:asciiTheme="majorHAnsi" w:hAnsiTheme="majorHAnsi"/>
          <w:sz w:val="20"/>
          <w:szCs w:val="20"/>
        </w:rPr>
        <w:t>якої</w:t>
      </w:r>
      <w:r w:rsidRPr="000977F7">
        <w:rPr>
          <w:rFonts w:asciiTheme="majorHAnsi" w:hAnsiTheme="majorHAnsi"/>
          <w:spacing w:val="7"/>
          <w:sz w:val="20"/>
          <w:szCs w:val="20"/>
        </w:rPr>
        <w:t xml:space="preserve"> </w:t>
      </w:r>
      <w:r w:rsidRPr="000977F7">
        <w:rPr>
          <w:rFonts w:asciiTheme="majorHAnsi" w:hAnsiTheme="majorHAnsi"/>
          <w:sz w:val="20"/>
          <w:szCs w:val="20"/>
        </w:rPr>
        <w:t>всі</w:t>
      </w:r>
      <w:r w:rsidRPr="000977F7">
        <w:rPr>
          <w:rFonts w:asciiTheme="majorHAnsi" w:hAnsiTheme="majorHAnsi"/>
          <w:spacing w:val="6"/>
          <w:sz w:val="20"/>
          <w:szCs w:val="20"/>
        </w:rPr>
        <w:t xml:space="preserve"> </w:t>
      </w:r>
      <w:r w:rsidRPr="000977F7">
        <w:rPr>
          <w:rFonts w:asciiTheme="majorHAnsi" w:hAnsiTheme="majorHAnsi"/>
          <w:sz w:val="20"/>
          <w:szCs w:val="20"/>
        </w:rPr>
        <w:t>степені</w:t>
      </w:r>
      <w:r w:rsidRPr="000977F7">
        <w:rPr>
          <w:rFonts w:asciiTheme="majorHAnsi" w:hAnsiTheme="majorHAnsi"/>
          <w:spacing w:val="6"/>
          <w:sz w:val="20"/>
          <w:szCs w:val="20"/>
        </w:rPr>
        <w:t xml:space="preserve"> </w:t>
      </w:r>
      <w:r w:rsidRPr="000977F7">
        <w:rPr>
          <w:rFonts w:asciiTheme="majorHAnsi" w:hAnsiTheme="majorHAnsi"/>
          <w:sz w:val="20"/>
          <w:szCs w:val="20"/>
        </w:rPr>
        <w:t>розмірностей</w:t>
      </w:r>
      <w:r w:rsidRPr="000977F7">
        <w:rPr>
          <w:rFonts w:asciiTheme="majorHAnsi" w:hAnsiTheme="majorHAnsi"/>
          <w:spacing w:val="-47"/>
          <w:sz w:val="20"/>
          <w:szCs w:val="20"/>
        </w:rPr>
        <w:t xml:space="preserve"> </w:t>
      </w:r>
      <w:r w:rsidRPr="000977F7">
        <w:rPr>
          <w:rFonts w:asciiTheme="majorHAnsi" w:hAnsiTheme="majorHAnsi"/>
          <w:sz w:val="20"/>
          <w:szCs w:val="20"/>
        </w:rPr>
        <w:t>основних</w:t>
      </w:r>
      <w:r w:rsidRPr="000977F7">
        <w:rPr>
          <w:rFonts w:asciiTheme="majorHAnsi" w:hAnsiTheme="majorHAnsi"/>
          <w:spacing w:val="-2"/>
          <w:sz w:val="20"/>
          <w:szCs w:val="20"/>
        </w:rPr>
        <w:t xml:space="preserve"> </w:t>
      </w:r>
      <w:r w:rsidRPr="000977F7">
        <w:rPr>
          <w:rFonts w:asciiTheme="majorHAnsi" w:hAnsiTheme="majorHAnsi"/>
          <w:sz w:val="20"/>
          <w:szCs w:val="20"/>
        </w:rPr>
        <w:t>величин</w:t>
      </w:r>
      <w:r w:rsidRPr="000977F7">
        <w:rPr>
          <w:rFonts w:asciiTheme="majorHAnsi" w:hAnsiTheme="majorHAnsi"/>
          <w:spacing w:val="-1"/>
          <w:sz w:val="20"/>
          <w:szCs w:val="20"/>
        </w:rPr>
        <w:t xml:space="preserve"> </w:t>
      </w:r>
      <w:r w:rsidRPr="000977F7">
        <w:rPr>
          <w:rFonts w:asciiTheme="majorHAnsi" w:hAnsiTheme="majorHAnsi"/>
          <w:sz w:val="20"/>
          <w:szCs w:val="20"/>
        </w:rPr>
        <w:t>дорівнюють нулю</w:t>
      </w:r>
    </w:p>
    <w:p w14:paraId="30F88856"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л</w:t>
      </w:r>
      <w:r w:rsidRPr="000977F7">
        <w:rPr>
          <w:rFonts w:asciiTheme="majorHAnsi" w:hAnsiTheme="majorHAnsi"/>
          <w:spacing w:val="-2"/>
          <w:sz w:val="20"/>
          <w:szCs w:val="20"/>
        </w:rPr>
        <w:t xml:space="preserve"> </w:t>
      </w:r>
      <w:r w:rsidRPr="000977F7">
        <w:rPr>
          <w:rFonts w:asciiTheme="majorHAnsi" w:hAnsiTheme="majorHAnsi"/>
          <w:sz w:val="20"/>
          <w:szCs w:val="20"/>
        </w:rPr>
        <w:t>а д:</w:t>
      </w:r>
    </w:p>
    <w:p w14:paraId="499322FC"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sz w:val="20"/>
          <w:szCs w:val="20"/>
        </w:rPr>
      </w:pPr>
      <w:r w:rsidRPr="000977F7">
        <w:rPr>
          <w:rFonts w:asciiTheme="majorHAnsi" w:hAnsiTheme="majorHAnsi"/>
          <w:sz w:val="20"/>
          <w:szCs w:val="20"/>
        </w:rPr>
        <w:t>Відносна</w:t>
      </w:r>
      <w:r w:rsidRPr="000977F7">
        <w:rPr>
          <w:rFonts w:asciiTheme="majorHAnsi" w:hAnsiTheme="majorHAnsi"/>
          <w:spacing w:val="25"/>
          <w:sz w:val="20"/>
          <w:szCs w:val="20"/>
        </w:rPr>
        <w:t xml:space="preserve"> </w:t>
      </w:r>
      <w:r w:rsidRPr="000977F7">
        <w:rPr>
          <w:rFonts w:asciiTheme="majorHAnsi" w:hAnsiTheme="majorHAnsi"/>
          <w:sz w:val="20"/>
          <w:szCs w:val="20"/>
        </w:rPr>
        <w:t>фізична</w:t>
      </w:r>
      <w:r w:rsidRPr="000977F7">
        <w:rPr>
          <w:rFonts w:asciiTheme="majorHAnsi" w:hAnsiTheme="majorHAnsi"/>
          <w:spacing w:val="25"/>
          <w:sz w:val="20"/>
          <w:szCs w:val="20"/>
        </w:rPr>
        <w:t xml:space="preserve"> </w:t>
      </w:r>
      <w:r w:rsidRPr="000977F7">
        <w:rPr>
          <w:rFonts w:asciiTheme="majorHAnsi" w:hAnsiTheme="majorHAnsi"/>
          <w:sz w:val="20"/>
          <w:szCs w:val="20"/>
        </w:rPr>
        <w:t>величина</w:t>
      </w:r>
      <w:r w:rsidRPr="000977F7">
        <w:rPr>
          <w:rFonts w:asciiTheme="majorHAnsi" w:hAnsiTheme="majorHAnsi"/>
          <w:spacing w:val="29"/>
          <w:sz w:val="20"/>
          <w:szCs w:val="20"/>
        </w:rPr>
        <w:t xml:space="preserve"> </w:t>
      </w:r>
      <w:r w:rsidRPr="000977F7">
        <w:rPr>
          <w:rFonts w:asciiTheme="majorHAnsi" w:hAnsiTheme="majorHAnsi"/>
          <w:sz w:val="20"/>
          <w:szCs w:val="20"/>
        </w:rPr>
        <w:t>–</w:t>
      </w:r>
      <w:r w:rsidRPr="000977F7">
        <w:rPr>
          <w:rFonts w:asciiTheme="majorHAnsi" w:hAnsiTheme="majorHAnsi"/>
          <w:spacing w:val="26"/>
          <w:sz w:val="20"/>
          <w:szCs w:val="20"/>
        </w:rPr>
        <w:t xml:space="preserve"> </w:t>
      </w:r>
      <w:r w:rsidRPr="000977F7">
        <w:rPr>
          <w:rFonts w:asciiTheme="majorHAnsi" w:hAnsiTheme="majorHAnsi"/>
          <w:sz w:val="20"/>
          <w:szCs w:val="20"/>
        </w:rPr>
        <w:t>безрозмірнісна</w:t>
      </w:r>
      <w:r w:rsidRPr="000977F7">
        <w:rPr>
          <w:rFonts w:asciiTheme="majorHAnsi" w:hAnsiTheme="majorHAnsi"/>
          <w:spacing w:val="25"/>
          <w:sz w:val="20"/>
          <w:szCs w:val="20"/>
        </w:rPr>
        <w:t xml:space="preserve"> </w:t>
      </w:r>
      <w:r w:rsidRPr="000977F7">
        <w:rPr>
          <w:rFonts w:asciiTheme="majorHAnsi" w:hAnsiTheme="majorHAnsi"/>
          <w:sz w:val="20"/>
          <w:szCs w:val="20"/>
        </w:rPr>
        <w:t>величина,</w:t>
      </w:r>
      <w:r w:rsidRPr="000977F7">
        <w:rPr>
          <w:rFonts w:asciiTheme="majorHAnsi" w:hAnsiTheme="majorHAnsi"/>
          <w:spacing w:val="-1"/>
          <w:sz w:val="20"/>
          <w:szCs w:val="20"/>
        </w:rPr>
        <w:t xml:space="preserve"> </w:t>
      </w:r>
      <w:r w:rsidRPr="000977F7">
        <w:rPr>
          <w:rFonts w:asciiTheme="majorHAnsi" w:hAnsiTheme="majorHAnsi"/>
          <w:sz w:val="20"/>
          <w:szCs w:val="20"/>
        </w:rPr>
        <w:t>що є</w:t>
      </w:r>
      <w:r w:rsidRPr="000977F7">
        <w:rPr>
          <w:rFonts w:asciiTheme="majorHAnsi" w:hAnsiTheme="majorHAnsi"/>
          <w:spacing w:val="-2"/>
          <w:sz w:val="20"/>
          <w:szCs w:val="20"/>
        </w:rPr>
        <w:t xml:space="preserve"> </w:t>
      </w:r>
      <w:r w:rsidRPr="000977F7">
        <w:rPr>
          <w:rFonts w:asciiTheme="majorHAnsi" w:hAnsiTheme="majorHAnsi"/>
          <w:sz w:val="20"/>
          <w:szCs w:val="20"/>
        </w:rPr>
        <w:t>відношенням</w:t>
      </w:r>
      <w:r w:rsidRPr="000977F7">
        <w:rPr>
          <w:rFonts w:asciiTheme="majorHAnsi" w:hAnsiTheme="majorHAnsi"/>
          <w:spacing w:val="-1"/>
          <w:sz w:val="20"/>
          <w:szCs w:val="20"/>
        </w:rPr>
        <w:t xml:space="preserve"> </w:t>
      </w:r>
      <w:r w:rsidRPr="000977F7">
        <w:rPr>
          <w:rFonts w:asciiTheme="majorHAnsi" w:hAnsiTheme="majorHAnsi"/>
          <w:sz w:val="20"/>
          <w:szCs w:val="20"/>
        </w:rPr>
        <w:t>двох однорідних</w:t>
      </w:r>
      <w:r w:rsidRPr="000977F7">
        <w:rPr>
          <w:rFonts w:asciiTheme="majorHAnsi" w:hAnsiTheme="majorHAnsi"/>
          <w:spacing w:val="-1"/>
          <w:sz w:val="20"/>
          <w:szCs w:val="20"/>
        </w:rPr>
        <w:t xml:space="preserve"> </w:t>
      </w:r>
      <w:r w:rsidRPr="000977F7">
        <w:rPr>
          <w:rFonts w:asciiTheme="majorHAnsi" w:hAnsiTheme="majorHAnsi"/>
          <w:sz w:val="20"/>
          <w:szCs w:val="20"/>
        </w:rPr>
        <w:t>величин</w:t>
      </w:r>
    </w:p>
    <w:p w14:paraId="2CB1EBEC"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40B4966C" w14:textId="77777777" w:rsidR="0097612F" w:rsidRPr="000977F7" w:rsidRDefault="0097612F" w:rsidP="000977F7">
      <w:pPr>
        <w:pStyle w:val="7"/>
        <w:tabs>
          <w:tab w:val="left" w:pos="284"/>
          <w:tab w:val="left" w:pos="4820"/>
        </w:tabs>
        <w:spacing w:before="0" w:line="240" w:lineRule="auto"/>
        <w:ind w:left="170"/>
        <w:mirrorIndents/>
        <w:jc w:val="both"/>
        <w:rPr>
          <w:color w:val="auto"/>
          <w:sz w:val="20"/>
          <w:szCs w:val="20"/>
        </w:rPr>
      </w:pPr>
      <w:r w:rsidRPr="000977F7">
        <w:rPr>
          <w:color w:val="auto"/>
          <w:sz w:val="20"/>
          <w:szCs w:val="20"/>
        </w:rPr>
        <w:t xml:space="preserve">БЕЗСТУПІНЧАСТЕ ДІЯННЯ – </w:t>
      </w:r>
    </w:p>
    <w:p w14:paraId="6AFB9755" w14:textId="77777777" w:rsidR="0097612F" w:rsidRPr="000977F7" w:rsidRDefault="0097612F" w:rsidP="000977F7">
      <w:pPr>
        <w:pStyle w:val="7"/>
        <w:tabs>
          <w:tab w:val="left" w:pos="284"/>
          <w:tab w:val="left" w:pos="4820"/>
        </w:tabs>
        <w:spacing w:before="0" w:line="240" w:lineRule="auto"/>
        <w:ind w:left="170"/>
        <w:mirrorIndents/>
        <w:jc w:val="both"/>
        <w:rPr>
          <w:b w:val="0"/>
          <w:bCs/>
          <w:color w:val="auto"/>
          <w:sz w:val="20"/>
          <w:szCs w:val="20"/>
        </w:rPr>
      </w:pPr>
      <w:r w:rsidRPr="000977F7">
        <w:rPr>
          <w:b w:val="0"/>
          <w:bCs/>
          <w:color w:val="auto"/>
          <w:sz w:val="20"/>
          <w:szCs w:val="20"/>
        </w:rPr>
        <w:t>STEPLESS ACTION –</w:t>
      </w:r>
    </w:p>
    <w:p w14:paraId="50E97983"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i/>
          <w:sz w:val="20"/>
          <w:szCs w:val="20"/>
        </w:rPr>
      </w:pPr>
      <w:r w:rsidRPr="000977F7">
        <w:rPr>
          <w:rFonts w:asciiTheme="majorHAnsi" w:hAnsiTheme="majorHAnsi"/>
          <w:sz w:val="20"/>
          <w:szCs w:val="20"/>
        </w:rPr>
        <w:t>Діяння,</w:t>
      </w:r>
      <w:r w:rsidRPr="000977F7">
        <w:rPr>
          <w:rFonts w:asciiTheme="majorHAnsi" w:hAnsiTheme="majorHAnsi"/>
          <w:spacing w:val="45"/>
          <w:sz w:val="20"/>
          <w:szCs w:val="20"/>
        </w:rPr>
        <w:t xml:space="preserve"> </w:t>
      </w:r>
      <w:r w:rsidRPr="000977F7">
        <w:rPr>
          <w:rFonts w:asciiTheme="majorHAnsi" w:hAnsiTheme="majorHAnsi"/>
          <w:sz w:val="20"/>
          <w:szCs w:val="20"/>
        </w:rPr>
        <w:t>основний</w:t>
      </w:r>
      <w:r w:rsidRPr="000977F7">
        <w:rPr>
          <w:rFonts w:asciiTheme="majorHAnsi" w:hAnsiTheme="majorHAnsi"/>
          <w:spacing w:val="44"/>
          <w:sz w:val="20"/>
          <w:szCs w:val="20"/>
        </w:rPr>
        <w:t xml:space="preserve"> </w:t>
      </w:r>
      <w:r w:rsidRPr="000977F7">
        <w:rPr>
          <w:rFonts w:asciiTheme="majorHAnsi" w:hAnsiTheme="majorHAnsi"/>
          <w:sz w:val="20"/>
          <w:szCs w:val="20"/>
        </w:rPr>
        <w:t>параметр</w:t>
      </w:r>
      <w:r w:rsidRPr="000977F7">
        <w:rPr>
          <w:rFonts w:asciiTheme="majorHAnsi" w:hAnsiTheme="majorHAnsi"/>
          <w:spacing w:val="46"/>
          <w:sz w:val="20"/>
          <w:szCs w:val="20"/>
        </w:rPr>
        <w:t xml:space="preserve"> </w:t>
      </w:r>
      <w:r w:rsidRPr="000977F7">
        <w:rPr>
          <w:rFonts w:asciiTheme="majorHAnsi" w:hAnsiTheme="majorHAnsi"/>
          <w:sz w:val="20"/>
          <w:szCs w:val="20"/>
        </w:rPr>
        <w:t>якого</w:t>
      </w:r>
      <w:r w:rsidRPr="000977F7">
        <w:rPr>
          <w:rFonts w:asciiTheme="majorHAnsi" w:hAnsiTheme="majorHAnsi"/>
          <w:spacing w:val="46"/>
          <w:sz w:val="20"/>
          <w:szCs w:val="20"/>
        </w:rPr>
        <w:t xml:space="preserve"> </w:t>
      </w:r>
      <w:r w:rsidRPr="000977F7">
        <w:rPr>
          <w:rFonts w:asciiTheme="majorHAnsi" w:hAnsiTheme="majorHAnsi"/>
          <w:sz w:val="20"/>
          <w:szCs w:val="20"/>
        </w:rPr>
        <w:t>може</w:t>
      </w:r>
      <w:r w:rsidRPr="000977F7">
        <w:rPr>
          <w:rFonts w:asciiTheme="majorHAnsi" w:hAnsiTheme="majorHAnsi"/>
          <w:spacing w:val="46"/>
          <w:sz w:val="20"/>
          <w:szCs w:val="20"/>
        </w:rPr>
        <w:t xml:space="preserve"> </w:t>
      </w:r>
      <w:r w:rsidRPr="000977F7">
        <w:rPr>
          <w:rFonts w:asciiTheme="majorHAnsi" w:hAnsiTheme="majorHAnsi"/>
          <w:sz w:val="20"/>
          <w:szCs w:val="20"/>
        </w:rPr>
        <w:t>набувати</w:t>
      </w:r>
      <w:r w:rsidRPr="000977F7">
        <w:rPr>
          <w:rFonts w:asciiTheme="majorHAnsi" w:hAnsiTheme="majorHAnsi"/>
          <w:spacing w:val="-47"/>
          <w:sz w:val="20"/>
          <w:szCs w:val="20"/>
        </w:rPr>
        <w:t xml:space="preserve"> </w:t>
      </w:r>
      <w:r w:rsidRPr="000977F7">
        <w:rPr>
          <w:rFonts w:asciiTheme="majorHAnsi" w:hAnsiTheme="majorHAnsi"/>
          <w:sz w:val="20"/>
          <w:szCs w:val="20"/>
        </w:rPr>
        <w:t>будь-яких значень у діапазоні можливих значень</w:t>
      </w:r>
      <w:r w:rsidRPr="000977F7">
        <w:rPr>
          <w:rFonts w:asciiTheme="majorHAnsi" w:hAnsiTheme="majorHAns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2000</w:t>
      </w:r>
    </w:p>
    <w:p w14:paraId="27E76424" w14:textId="77777777" w:rsidR="0097612F" w:rsidRPr="000977F7" w:rsidRDefault="0097612F" w:rsidP="000977F7">
      <w:pPr>
        <w:pStyle w:val="7"/>
        <w:tabs>
          <w:tab w:val="left" w:pos="284"/>
          <w:tab w:val="left" w:pos="4820"/>
        </w:tabs>
        <w:spacing w:before="0" w:line="240" w:lineRule="auto"/>
        <w:ind w:left="170"/>
        <w:mirrorIndents/>
        <w:jc w:val="both"/>
        <w:rPr>
          <w:b w:val="0"/>
          <w:color w:val="auto"/>
          <w:sz w:val="20"/>
          <w:szCs w:val="20"/>
        </w:rPr>
      </w:pPr>
      <w:r w:rsidRPr="000977F7">
        <w:rPr>
          <w:color w:val="auto"/>
          <w:sz w:val="20"/>
          <w:szCs w:val="20"/>
        </w:rPr>
        <w:t>БЕЗУМОВНИЙ</w:t>
      </w:r>
      <w:r w:rsidRPr="000977F7">
        <w:rPr>
          <w:color w:val="auto"/>
          <w:spacing w:val="-5"/>
          <w:sz w:val="20"/>
          <w:szCs w:val="20"/>
        </w:rPr>
        <w:t xml:space="preserve"> </w:t>
      </w:r>
      <w:r w:rsidRPr="000977F7">
        <w:rPr>
          <w:color w:val="auto"/>
          <w:sz w:val="20"/>
          <w:szCs w:val="20"/>
        </w:rPr>
        <w:t>АЛГОРИТМ</w:t>
      </w:r>
      <w:r w:rsidRPr="000977F7">
        <w:rPr>
          <w:color w:val="auto"/>
          <w:spacing w:val="-3"/>
          <w:sz w:val="20"/>
          <w:szCs w:val="20"/>
        </w:rPr>
        <w:t xml:space="preserve"> </w:t>
      </w:r>
      <w:r w:rsidRPr="000977F7">
        <w:rPr>
          <w:color w:val="auto"/>
          <w:sz w:val="20"/>
          <w:szCs w:val="20"/>
        </w:rPr>
        <w:t>КОНТРОЛЮ</w:t>
      </w:r>
      <w:r w:rsidRPr="000977F7">
        <w:rPr>
          <w:color w:val="auto"/>
          <w:spacing w:val="-3"/>
          <w:sz w:val="20"/>
          <w:szCs w:val="20"/>
        </w:rPr>
        <w:t xml:space="preserve"> </w:t>
      </w:r>
      <w:r w:rsidRPr="000977F7">
        <w:rPr>
          <w:b w:val="0"/>
          <w:color w:val="auto"/>
          <w:sz w:val="20"/>
          <w:szCs w:val="20"/>
        </w:rPr>
        <w:t>–</w:t>
      </w:r>
    </w:p>
    <w:p w14:paraId="72F992D7"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i/>
          <w:sz w:val="20"/>
          <w:szCs w:val="20"/>
        </w:rPr>
      </w:pPr>
      <w:r w:rsidRPr="000977F7">
        <w:rPr>
          <w:rFonts w:asciiTheme="majorHAnsi" w:hAnsiTheme="majorHAnsi"/>
          <w:spacing w:val="-1"/>
          <w:sz w:val="20"/>
          <w:szCs w:val="20"/>
        </w:rPr>
        <w:t>Алгоритм</w:t>
      </w:r>
      <w:r w:rsidRPr="000977F7">
        <w:rPr>
          <w:rFonts w:asciiTheme="majorHAnsi" w:hAnsiTheme="majorHAnsi"/>
          <w:spacing w:val="-7"/>
          <w:sz w:val="20"/>
          <w:szCs w:val="20"/>
        </w:rPr>
        <w:t xml:space="preserve"> </w:t>
      </w:r>
      <w:r w:rsidRPr="000977F7">
        <w:rPr>
          <w:rFonts w:asciiTheme="majorHAnsi" w:hAnsiTheme="majorHAnsi"/>
          <w:spacing w:val="-1"/>
          <w:sz w:val="20"/>
          <w:szCs w:val="20"/>
        </w:rPr>
        <w:t>контролю</w:t>
      </w:r>
      <w:r w:rsidRPr="000977F7">
        <w:rPr>
          <w:rFonts w:asciiTheme="majorHAnsi" w:hAnsiTheme="majorHAnsi"/>
          <w:spacing w:val="-7"/>
          <w:sz w:val="20"/>
          <w:szCs w:val="20"/>
        </w:rPr>
        <w:t xml:space="preserve"> </w:t>
      </w:r>
      <w:r w:rsidRPr="000977F7">
        <w:rPr>
          <w:rFonts w:asciiTheme="majorHAnsi" w:hAnsiTheme="majorHAnsi"/>
          <w:spacing w:val="-1"/>
          <w:sz w:val="20"/>
          <w:szCs w:val="20"/>
        </w:rPr>
        <w:t>параметрів,</w:t>
      </w:r>
      <w:r w:rsidRPr="000977F7">
        <w:rPr>
          <w:rFonts w:asciiTheme="majorHAnsi" w:hAnsiTheme="majorHAnsi"/>
          <w:spacing w:val="-6"/>
          <w:sz w:val="20"/>
          <w:szCs w:val="20"/>
        </w:rPr>
        <w:t xml:space="preserve"> </w:t>
      </w:r>
      <w:r w:rsidRPr="000977F7">
        <w:rPr>
          <w:rFonts w:asciiTheme="majorHAnsi" w:hAnsiTheme="majorHAnsi"/>
          <w:spacing w:val="-1"/>
          <w:sz w:val="20"/>
          <w:szCs w:val="20"/>
        </w:rPr>
        <w:t>в</w:t>
      </w:r>
      <w:r w:rsidRPr="000977F7">
        <w:rPr>
          <w:rFonts w:asciiTheme="majorHAnsi" w:hAnsiTheme="majorHAnsi"/>
          <w:spacing w:val="-7"/>
          <w:sz w:val="20"/>
          <w:szCs w:val="20"/>
        </w:rPr>
        <w:t xml:space="preserve"> </w:t>
      </w:r>
      <w:r w:rsidRPr="000977F7">
        <w:rPr>
          <w:rFonts w:asciiTheme="majorHAnsi" w:hAnsiTheme="majorHAnsi"/>
          <w:sz w:val="20"/>
          <w:szCs w:val="20"/>
        </w:rPr>
        <w:t>якому</w:t>
      </w:r>
      <w:r w:rsidRPr="000977F7">
        <w:rPr>
          <w:rFonts w:asciiTheme="majorHAnsi" w:hAnsiTheme="majorHAnsi"/>
          <w:spacing w:val="-9"/>
          <w:sz w:val="20"/>
          <w:szCs w:val="20"/>
        </w:rPr>
        <w:t xml:space="preserve"> </w:t>
      </w:r>
      <w:r w:rsidRPr="000977F7">
        <w:rPr>
          <w:rFonts w:asciiTheme="majorHAnsi" w:hAnsiTheme="majorHAnsi"/>
          <w:sz w:val="20"/>
          <w:szCs w:val="20"/>
        </w:rPr>
        <w:t>зміст</w:t>
      </w:r>
      <w:r w:rsidRPr="000977F7">
        <w:rPr>
          <w:rFonts w:asciiTheme="majorHAnsi" w:hAnsiTheme="majorHAnsi"/>
          <w:spacing w:val="-9"/>
          <w:sz w:val="20"/>
          <w:szCs w:val="20"/>
        </w:rPr>
        <w:t xml:space="preserve"> </w:t>
      </w:r>
      <w:r w:rsidRPr="000977F7">
        <w:rPr>
          <w:rFonts w:asciiTheme="majorHAnsi" w:hAnsiTheme="majorHAnsi"/>
          <w:sz w:val="20"/>
          <w:szCs w:val="20"/>
        </w:rPr>
        <w:t xml:space="preserve">чергової </w:t>
      </w:r>
      <w:r w:rsidRPr="000977F7">
        <w:rPr>
          <w:rFonts w:asciiTheme="majorHAnsi" w:hAnsiTheme="majorHAnsi"/>
          <w:spacing w:val="-47"/>
          <w:sz w:val="20"/>
          <w:szCs w:val="20"/>
        </w:rPr>
        <w:t xml:space="preserve"> </w:t>
      </w:r>
      <w:r w:rsidRPr="000977F7">
        <w:rPr>
          <w:rFonts w:asciiTheme="majorHAnsi" w:hAnsiTheme="majorHAnsi"/>
          <w:w w:val="95"/>
          <w:sz w:val="20"/>
          <w:szCs w:val="20"/>
        </w:rPr>
        <w:t>дії не залежить від результату виконання попередніх дій</w:t>
      </w:r>
      <w:r w:rsidRPr="000977F7">
        <w:rPr>
          <w:rFonts w:asciiTheme="majorHAnsi" w:hAnsiTheme="majorHAnsi"/>
          <w:spacing w:val="1"/>
          <w:w w:val="95"/>
          <w:sz w:val="20"/>
          <w:szCs w:val="20"/>
        </w:rPr>
        <w:t xml:space="preserve"> </w:t>
      </w:r>
    </w:p>
    <w:p w14:paraId="6B83332C" w14:textId="77777777" w:rsidR="0097612F" w:rsidRPr="000977F7" w:rsidRDefault="0097612F" w:rsidP="000977F7">
      <w:pPr>
        <w:pStyle w:val="7"/>
        <w:tabs>
          <w:tab w:val="left" w:pos="284"/>
          <w:tab w:val="left" w:pos="4820"/>
        </w:tabs>
        <w:spacing w:before="0" w:line="240" w:lineRule="auto"/>
        <w:ind w:left="170"/>
        <w:mirrorIndents/>
        <w:jc w:val="both"/>
        <w:rPr>
          <w:color w:val="auto"/>
          <w:sz w:val="20"/>
          <w:szCs w:val="20"/>
        </w:rPr>
      </w:pPr>
      <w:r w:rsidRPr="000977F7">
        <w:rPr>
          <w:color w:val="auto"/>
          <w:sz w:val="20"/>
          <w:szCs w:val="20"/>
        </w:rPr>
        <w:t>БИТТЯ</w:t>
      </w:r>
      <w:r w:rsidRPr="000977F7">
        <w:rPr>
          <w:color w:val="auto"/>
          <w:spacing w:val="-3"/>
          <w:sz w:val="20"/>
          <w:szCs w:val="20"/>
        </w:rPr>
        <w:t xml:space="preserve"> </w:t>
      </w:r>
      <w:r w:rsidRPr="000977F7">
        <w:rPr>
          <w:color w:val="auto"/>
          <w:sz w:val="20"/>
          <w:szCs w:val="20"/>
        </w:rPr>
        <w:t>–</w:t>
      </w:r>
    </w:p>
    <w:p w14:paraId="234EFC92"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sz w:val="20"/>
          <w:szCs w:val="20"/>
        </w:rPr>
      </w:pPr>
      <w:r w:rsidRPr="000977F7">
        <w:rPr>
          <w:rFonts w:asciiTheme="majorHAnsi" w:hAnsiTheme="majorHAnsi"/>
          <w:sz w:val="20"/>
          <w:szCs w:val="20"/>
        </w:rPr>
        <w:t>Відхилення від заданого взаємного розташування поверхонь деталей типу тіл обертання при їх обертанні</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коливанні:</w:t>
      </w:r>
    </w:p>
    <w:p w14:paraId="283C41EF" w14:textId="77777777" w:rsidR="0097612F" w:rsidRPr="000977F7" w:rsidRDefault="0097612F" w:rsidP="00FD39A4">
      <w:pPr>
        <w:pStyle w:val="ac"/>
        <w:widowControl w:val="0"/>
        <w:numPr>
          <w:ilvl w:val="0"/>
          <w:numId w:val="218"/>
        </w:numPr>
        <w:tabs>
          <w:tab w:val="left" w:pos="284"/>
          <w:tab w:val="left" w:pos="678"/>
          <w:tab w:val="left" w:pos="482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інструмента – вісі обертання інструмента від базової</w:t>
      </w:r>
      <w:r w:rsidRPr="000977F7">
        <w:rPr>
          <w:rFonts w:asciiTheme="majorHAnsi" w:hAnsiTheme="majorHAnsi"/>
          <w:spacing w:val="-2"/>
          <w:sz w:val="20"/>
          <w:szCs w:val="20"/>
        </w:rPr>
        <w:t xml:space="preserve"> </w:t>
      </w:r>
      <w:r w:rsidRPr="000977F7">
        <w:rPr>
          <w:rFonts w:asciiTheme="majorHAnsi" w:hAnsiTheme="majorHAnsi"/>
          <w:sz w:val="20"/>
          <w:szCs w:val="20"/>
        </w:rPr>
        <w:t>вісі;</w:t>
      </w:r>
    </w:p>
    <w:p w14:paraId="2ABA3FF2" w14:textId="77777777" w:rsidR="0097612F" w:rsidRPr="000977F7" w:rsidRDefault="0097612F" w:rsidP="00FD39A4">
      <w:pPr>
        <w:pStyle w:val="ac"/>
        <w:widowControl w:val="0"/>
        <w:numPr>
          <w:ilvl w:val="0"/>
          <w:numId w:val="218"/>
        </w:numPr>
        <w:tabs>
          <w:tab w:val="left" w:pos="284"/>
          <w:tab w:val="left" w:pos="678"/>
          <w:tab w:val="left" w:pos="482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радіальне</w:t>
      </w:r>
      <w:r w:rsidRPr="000977F7">
        <w:rPr>
          <w:rFonts w:asciiTheme="majorHAnsi" w:hAnsiTheme="majorHAnsi"/>
          <w:spacing w:val="-3"/>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вісі</w:t>
      </w:r>
      <w:r w:rsidRPr="000977F7">
        <w:rPr>
          <w:rFonts w:asciiTheme="majorHAnsi" w:hAnsiTheme="majorHAnsi"/>
          <w:spacing w:val="-3"/>
          <w:sz w:val="20"/>
          <w:szCs w:val="20"/>
        </w:rPr>
        <w:t xml:space="preserve"> </w:t>
      </w:r>
      <w:r w:rsidRPr="000977F7">
        <w:rPr>
          <w:rFonts w:asciiTheme="majorHAnsi" w:hAnsiTheme="majorHAnsi"/>
          <w:sz w:val="20"/>
          <w:szCs w:val="20"/>
        </w:rPr>
        <w:t>обертання</w:t>
      </w:r>
      <w:r w:rsidRPr="000977F7">
        <w:rPr>
          <w:rFonts w:asciiTheme="majorHAnsi" w:hAnsiTheme="majorHAnsi"/>
          <w:spacing w:val="-3"/>
          <w:sz w:val="20"/>
          <w:szCs w:val="20"/>
        </w:rPr>
        <w:t xml:space="preserve"> </w:t>
      </w:r>
      <w:r w:rsidRPr="000977F7">
        <w:rPr>
          <w:rFonts w:asciiTheme="majorHAnsi" w:hAnsiTheme="majorHAnsi"/>
          <w:sz w:val="20"/>
          <w:szCs w:val="20"/>
        </w:rPr>
        <w:t>деталі</w:t>
      </w:r>
      <w:r w:rsidRPr="000977F7">
        <w:rPr>
          <w:rFonts w:asciiTheme="majorHAnsi" w:hAnsiTheme="majorHAnsi"/>
          <w:spacing w:val="-3"/>
          <w:sz w:val="20"/>
          <w:szCs w:val="20"/>
        </w:rPr>
        <w:t xml:space="preserve"> </w:t>
      </w:r>
      <w:r w:rsidRPr="000977F7">
        <w:rPr>
          <w:rFonts w:asciiTheme="majorHAnsi" w:hAnsiTheme="majorHAnsi"/>
          <w:sz w:val="20"/>
          <w:szCs w:val="20"/>
        </w:rPr>
        <w:t>від</w:t>
      </w:r>
      <w:r w:rsidRPr="000977F7">
        <w:rPr>
          <w:rFonts w:asciiTheme="majorHAnsi" w:hAnsiTheme="majorHAnsi"/>
          <w:spacing w:val="-3"/>
          <w:sz w:val="20"/>
          <w:szCs w:val="20"/>
        </w:rPr>
        <w:t xml:space="preserve"> </w:t>
      </w:r>
      <w:r w:rsidRPr="000977F7">
        <w:rPr>
          <w:rFonts w:asciiTheme="majorHAnsi" w:hAnsiTheme="majorHAnsi"/>
          <w:sz w:val="20"/>
          <w:szCs w:val="20"/>
        </w:rPr>
        <w:t>базової</w:t>
      </w:r>
      <w:r w:rsidRPr="000977F7">
        <w:rPr>
          <w:rFonts w:asciiTheme="majorHAnsi" w:hAnsiTheme="majorHAnsi"/>
          <w:spacing w:val="-4"/>
          <w:sz w:val="20"/>
          <w:szCs w:val="20"/>
        </w:rPr>
        <w:t xml:space="preserve"> </w:t>
      </w:r>
      <w:r w:rsidRPr="000977F7">
        <w:rPr>
          <w:rFonts w:asciiTheme="majorHAnsi" w:hAnsiTheme="majorHAnsi"/>
          <w:sz w:val="20"/>
          <w:szCs w:val="20"/>
        </w:rPr>
        <w:t>вісі;</w:t>
      </w:r>
    </w:p>
    <w:p w14:paraId="463403C0" w14:textId="77777777" w:rsidR="0097612F" w:rsidRPr="000977F7" w:rsidRDefault="0097612F" w:rsidP="00FD39A4">
      <w:pPr>
        <w:pStyle w:val="ac"/>
        <w:widowControl w:val="0"/>
        <w:numPr>
          <w:ilvl w:val="0"/>
          <w:numId w:val="218"/>
        </w:numPr>
        <w:tabs>
          <w:tab w:val="left" w:pos="284"/>
          <w:tab w:val="left" w:pos="678"/>
          <w:tab w:val="left" w:pos="482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торцьове – торцьової площини деталі від площини,</w:t>
      </w:r>
      <w:r w:rsidRPr="000977F7">
        <w:rPr>
          <w:rFonts w:asciiTheme="majorHAnsi" w:hAnsiTheme="majorHAnsi"/>
          <w:spacing w:val="1"/>
          <w:sz w:val="20"/>
          <w:szCs w:val="20"/>
        </w:rPr>
        <w:t xml:space="preserve"> </w:t>
      </w:r>
      <w:r w:rsidRPr="000977F7">
        <w:rPr>
          <w:rFonts w:asciiTheme="majorHAnsi" w:hAnsiTheme="majorHAnsi"/>
          <w:sz w:val="20"/>
          <w:szCs w:val="20"/>
        </w:rPr>
        <w:t>перпендикулярної</w:t>
      </w:r>
      <w:r w:rsidRPr="000977F7">
        <w:rPr>
          <w:rFonts w:asciiTheme="majorHAnsi" w:hAnsiTheme="majorHAnsi"/>
          <w:spacing w:val="-2"/>
          <w:sz w:val="20"/>
          <w:szCs w:val="20"/>
        </w:rPr>
        <w:t xml:space="preserve"> </w:t>
      </w:r>
      <w:r w:rsidRPr="000977F7">
        <w:rPr>
          <w:rFonts w:asciiTheme="majorHAnsi" w:hAnsiTheme="majorHAnsi"/>
          <w:sz w:val="20"/>
          <w:szCs w:val="20"/>
        </w:rPr>
        <w:t>до базової</w:t>
      </w:r>
      <w:r w:rsidRPr="000977F7">
        <w:rPr>
          <w:rFonts w:asciiTheme="majorHAnsi" w:hAnsiTheme="majorHAnsi"/>
          <w:spacing w:val="-1"/>
          <w:sz w:val="20"/>
          <w:szCs w:val="20"/>
        </w:rPr>
        <w:t xml:space="preserve"> </w:t>
      </w:r>
      <w:r w:rsidRPr="000977F7">
        <w:rPr>
          <w:rFonts w:asciiTheme="majorHAnsi" w:hAnsiTheme="majorHAnsi"/>
          <w:sz w:val="20"/>
          <w:szCs w:val="20"/>
        </w:rPr>
        <w:t>вісі;</w:t>
      </w:r>
    </w:p>
    <w:p w14:paraId="5480B89C" w14:textId="77777777" w:rsidR="0097612F" w:rsidRPr="000977F7" w:rsidRDefault="0097612F" w:rsidP="00FD39A4">
      <w:pPr>
        <w:pStyle w:val="ac"/>
        <w:widowControl w:val="0"/>
        <w:numPr>
          <w:ilvl w:val="0"/>
          <w:numId w:val="218"/>
        </w:numPr>
        <w:tabs>
          <w:tab w:val="left" w:pos="284"/>
          <w:tab w:val="left" w:pos="678"/>
          <w:tab w:val="left" w:pos="482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pacing w:val="-4"/>
          <w:sz w:val="20"/>
          <w:szCs w:val="20"/>
        </w:rPr>
        <w:t>шпинделя</w:t>
      </w:r>
      <w:r w:rsidRPr="000977F7">
        <w:rPr>
          <w:rFonts w:asciiTheme="majorHAnsi" w:hAnsiTheme="majorHAnsi"/>
          <w:spacing w:val="-10"/>
          <w:sz w:val="20"/>
          <w:szCs w:val="20"/>
        </w:rPr>
        <w:t xml:space="preserve"> </w:t>
      </w:r>
      <w:r w:rsidRPr="000977F7">
        <w:rPr>
          <w:rFonts w:asciiTheme="majorHAnsi" w:hAnsiTheme="majorHAnsi"/>
          <w:spacing w:val="-4"/>
          <w:sz w:val="20"/>
          <w:szCs w:val="20"/>
        </w:rPr>
        <w:t>–</w:t>
      </w:r>
      <w:r w:rsidRPr="000977F7">
        <w:rPr>
          <w:rFonts w:asciiTheme="majorHAnsi" w:hAnsiTheme="majorHAnsi"/>
          <w:spacing w:val="-6"/>
          <w:sz w:val="20"/>
          <w:szCs w:val="20"/>
        </w:rPr>
        <w:t xml:space="preserve"> </w:t>
      </w:r>
      <w:r w:rsidRPr="000977F7">
        <w:rPr>
          <w:rFonts w:asciiTheme="majorHAnsi" w:hAnsiTheme="majorHAnsi"/>
          <w:spacing w:val="-4"/>
          <w:sz w:val="20"/>
          <w:szCs w:val="20"/>
        </w:rPr>
        <w:t>вісі</w:t>
      </w:r>
      <w:r w:rsidRPr="000977F7">
        <w:rPr>
          <w:rFonts w:asciiTheme="majorHAnsi" w:hAnsiTheme="majorHAnsi"/>
          <w:spacing w:val="-10"/>
          <w:sz w:val="20"/>
          <w:szCs w:val="20"/>
        </w:rPr>
        <w:t xml:space="preserve"> </w:t>
      </w:r>
      <w:r w:rsidRPr="000977F7">
        <w:rPr>
          <w:rFonts w:asciiTheme="majorHAnsi" w:hAnsiTheme="majorHAnsi"/>
          <w:spacing w:val="-4"/>
          <w:sz w:val="20"/>
          <w:szCs w:val="20"/>
        </w:rPr>
        <w:t>обертання</w:t>
      </w:r>
      <w:r w:rsidRPr="000977F7">
        <w:rPr>
          <w:rFonts w:asciiTheme="majorHAnsi" w:hAnsiTheme="majorHAnsi"/>
          <w:spacing w:val="-8"/>
          <w:sz w:val="20"/>
          <w:szCs w:val="20"/>
        </w:rPr>
        <w:t xml:space="preserve"> </w:t>
      </w:r>
      <w:r w:rsidRPr="000977F7">
        <w:rPr>
          <w:rFonts w:asciiTheme="majorHAnsi" w:hAnsiTheme="majorHAnsi"/>
          <w:spacing w:val="-4"/>
          <w:sz w:val="20"/>
          <w:szCs w:val="20"/>
        </w:rPr>
        <w:t>шпинделя</w:t>
      </w:r>
      <w:r w:rsidRPr="000977F7">
        <w:rPr>
          <w:rFonts w:asciiTheme="majorHAnsi" w:hAnsiTheme="majorHAnsi"/>
          <w:spacing w:val="-8"/>
          <w:sz w:val="20"/>
          <w:szCs w:val="20"/>
        </w:rPr>
        <w:t xml:space="preserve"> </w:t>
      </w:r>
      <w:r w:rsidRPr="000977F7">
        <w:rPr>
          <w:rFonts w:asciiTheme="majorHAnsi" w:hAnsiTheme="majorHAnsi"/>
          <w:spacing w:val="-3"/>
          <w:sz w:val="20"/>
          <w:szCs w:val="20"/>
        </w:rPr>
        <w:t>від</w:t>
      </w:r>
      <w:r w:rsidRPr="000977F7">
        <w:rPr>
          <w:rFonts w:asciiTheme="majorHAnsi" w:hAnsiTheme="majorHAnsi"/>
          <w:spacing w:val="-10"/>
          <w:sz w:val="20"/>
          <w:szCs w:val="20"/>
        </w:rPr>
        <w:t xml:space="preserve"> </w:t>
      </w:r>
      <w:r w:rsidRPr="000977F7">
        <w:rPr>
          <w:rFonts w:asciiTheme="majorHAnsi" w:hAnsiTheme="majorHAnsi"/>
          <w:spacing w:val="-3"/>
          <w:sz w:val="20"/>
          <w:szCs w:val="20"/>
        </w:rPr>
        <w:t>базової</w:t>
      </w:r>
      <w:r w:rsidRPr="000977F7">
        <w:rPr>
          <w:rFonts w:asciiTheme="majorHAnsi" w:hAnsiTheme="majorHAnsi"/>
          <w:spacing w:val="-7"/>
          <w:sz w:val="20"/>
          <w:szCs w:val="20"/>
        </w:rPr>
        <w:t xml:space="preserve"> </w:t>
      </w:r>
      <w:r w:rsidRPr="000977F7">
        <w:rPr>
          <w:rFonts w:asciiTheme="majorHAnsi" w:hAnsiTheme="majorHAnsi"/>
          <w:spacing w:val="-3"/>
          <w:sz w:val="20"/>
          <w:szCs w:val="20"/>
        </w:rPr>
        <w:t>вісі</w:t>
      </w:r>
    </w:p>
    <w:p w14:paraId="69372D09" w14:textId="77777777" w:rsidR="0097612F" w:rsidRPr="000977F7" w:rsidRDefault="0097612F" w:rsidP="000977F7">
      <w:pPr>
        <w:pStyle w:val="7"/>
        <w:tabs>
          <w:tab w:val="left" w:pos="284"/>
          <w:tab w:val="left" w:pos="4820"/>
        </w:tabs>
        <w:spacing w:before="0" w:line="240" w:lineRule="auto"/>
        <w:ind w:left="170"/>
        <w:mirrorIndents/>
        <w:jc w:val="both"/>
        <w:rPr>
          <w:color w:val="auto"/>
          <w:sz w:val="20"/>
          <w:szCs w:val="20"/>
        </w:rPr>
      </w:pPr>
      <w:r w:rsidRPr="000977F7">
        <w:rPr>
          <w:color w:val="auto"/>
          <w:sz w:val="20"/>
          <w:szCs w:val="20"/>
        </w:rPr>
        <w:t>БІЛАТЕРАЛІЗМ –</w:t>
      </w:r>
    </w:p>
    <w:p w14:paraId="04C78F7C"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sz w:val="20"/>
          <w:szCs w:val="20"/>
        </w:rPr>
      </w:pPr>
      <w:r w:rsidRPr="000977F7">
        <w:rPr>
          <w:rFonts w:asciiTheme="majorHAnsi" w:hAnsiTheme="majorHAnsi"/>
          <w:sz w:val="20"/>
          <w:szCs w:val="20"/>
        </w:rPr>
        <w:t>Співпраця</w:t>
      </w:r>
      <w:r w:rsidRPr="000977F7">
        <w:rPr>
          <w:rFonts w:asciiTheme="majorHAnsi" w:hAnsiTheme="majorHAnsi"/>
          <w:spacing w:val="-5"/>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двосторонній</w:t>
      </w:r>
      <w:r w:rsidRPr="000977F7">
        <w:rPr>
          <w:rFonts w:asciiTheme="majorHAnsi" w:hAnsiTheme="majorHAnsi"/>
          <w:spacing w:val="-3"/>
          <w:sz w:val="20"/>
          <w:szCs w:val="20"/>
        </w:rPr>
        <w:t xml:space="preserve"> </w:t>
      </w:r>
      <w:r w:rsidRPr="000977F7">
        <w:rPr>
          <w:rFonts w:asciiTheme="majorHAnsi" w:hAnsiTheme="majorHAnsi"/>
          <w:sz w:val="20"/>
          <w:szCs w:val="20"/>
        </w:rPr>
        <w:t>основі</w:t>
      </w:r>
    </w:p>
    <w:p w14:paraId="76D83A05" w14:textId="77777777" w:rsidR="0097612F" w:rsidRPr="000977F7" w:rsidRDefault="0097612F" w:rsidP="000977F7">
      <w:pPr>
        <w:tabs>
          <w:tab w:val="left" w:pos="284"/>
          <w:tab w:val="left" w:pos="4820"/>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036D7F0" w14:textId="77777777" w:rsidR="0097612F" w:rsidRPr="000977F7" w:rsidRDefault="0097612F" w:rsidP="000977F7">
      <w:pPr>
        <w:pStyle w:val="7"/>
        <w:tabs>
          <w:tab w:val="left" w:pos="284"/>
          <w:tab w:val="left" w:pos="4820"/>
        </w:tabs>
        <w:spacing w:before="0" w:line="240" w:lineRule="auto"/>
        <w:ind w:left="170"/>
        <w:mirrorIndents/>
        <w:jc w:val="both"/>
        <w:rPr>
          <w:color w:val="auto"/>
          <w:sz w:val="20"/>
          <w:szCs w:val="20"/>
        </w:rPr>
      </w:pPr>
      <w:r w:rsidRPr="000977F7">
        <w:rPr>
          <w:color w:val="auto"/>
          <w:sz w:val="20"/>
          <w:szCs w:val="20"/>
        </w:rPr>
        <w:t>БІЛЕТИРУВАННЯ</w:t>
      </w:r>
      <w:r w:rsidRPr="000977F7">
        <w:rPr>
          <w:color w:val="auto"/>
          <w:spacing w:val="-10"/>
          <w:sz w:val="20"/>
          <w:szCs w:val="20"/>
        </w:rPr>
        <w:t xml:space="preserve"> </w:t>
      </w:r>
      <w:r w:rsidRPr="000977F7">
        <w:rPr>
          <w:color w:val="auto"/>
          <w:sz w:val="20"/>
          <w:szCs w:val="20"/>
        </w:rPr>
        <w:t>–</w:t>
      </w:r>
    </w:p>
    <w:p w14:paraId="3306F16C"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b/>
          <w:sz w:val="20"/>
          <w:szCs w:val="20"/>
        </w:rPr>
      </w:pPr>
      <w:r w:rsidRPr="000977F7">
        <w:rPr>
          <w:rFonts w:asciiTheme="majorHAnsi" w:hAnsiTheme="majorHAnsi"/>
          <w:spacing w:val="-6"/>
          <w:sz w:val="20"/>
          <w:szCs w:val="20"/>
        </w:rPr>
        <w:t>Операція</w:t>
      </w:r>
      <w:r w:rsidRPr="000977F7">
        <w:rPr>
          <w:rFonts w:asciiTheme="majorHAnsi" w:hAnsiTheme="majorHAnsi"/>
          <w:spacing w:val="-7"/>
          <w:sz w:val="20"/>
          <w:szCs w:val="20"/>
        </w:rPr>
        <w:t xml:space="preserve"> </w:t>
      </w:r>
      <w:r w:rsidRPr="000977F7">
        <w:rPr>
          <w:rFonts w:asciiTheme="majorHAnsi" w:hAnsiTheme="majorHAnsi"/>
          <w:spacing w:val="-6"/>
          <w:sz w:val="20"/>
          <w:szCs w:val="20"/>
        </w:rPr>
        <w:t>обробки</w:t>
      </w:r>
      <w:r w:rsidRPr="000977F7">
        <w:rPr>
          <w:rFonts w:asciiTheme="majorHAnsi" w:hAnsiTheme="majorHAnsi"/>
          <w:spacing w:val="-4"/>
          <w:sz w:val="20"/>
          <w:szCs w:val="20"/>
        </w:rPr>
        <w:t xml:space="preserve"> </w:t>
      </w:r>
      <w:r w:rsidRPr="000977F7">
        <w:rPr>
          <w:rFonts w:asciiTheme="majorHAnsi" w:hAnsiTheme="majorHAnsi"/>
          <w:spacing w:val="-6"/>
          <w:sz w:val="20"/>
          <w:szCs w:val="20"/>
        </w:rPr>
        <w:t>металів</w:t>
      </w:r>
      <w:r w:rsidRPr="000977F7">
        <w:rPr>
          <w:rFonts w:asciiTheme="majorHAnsi" w:hAnsiTheme="majorHAnsi"/>
          <w:spacing w:val="-4"/>
          <w:sz w:val="20"/>
          <w:szCs w:val="20"/>
        </w:rPr>
        <w:t xml:space="preserve"> </w:t>
      </w:r>
      <w:r w:rsidRPr="000977F7">
        <w:rPr>
          <w:rFonts w:asciiTheme="majorHAnsi" w:hAnsiTheme="majorHAnsi"/>
          <w:spacing w:val="-5"/>
          <w:sz w:val="20"/>
          <w:szCs w:val="20"/>
        </w:rPr>
        <w:t>тиском</w:t>
      </w:r>
      <w:r w:rsidRPr="000977F7">
        <w:rPr>
          <w:rFonts w:asciiTheme="majorHAnsi" w:hAnsiTheme="majorHAnsi"/>
          <w:spacing w:val="-3"/>
          <w:sz w:val="20"/>
          <w:szCs w:val="20"/>
        </w:rPr>
        <w:t xml:space="preserve"> </w:t>
      </w:r>
      <w:r w:rsidRPr="000977F7">
        <w:rPr>
          <w:rFonts w:asciiTheme="majorHAnsi" w:hAnsiTheme="majorHAnsi"/>
          <w:spacing w:val="-5"/>
          <w:sz w:val="20"/>
          <w:szCs w:val="20"/>
        </w:rPr>
        <w:t>шляхом обтиснення</w:t>
      </w:r>
      <w:r w:rsidRPr="000977F7">
        <w:rPr>
          <w:rFonts w:asciiTheme="majorHAnsi" w:hAnsiTheme="majorHAnsi"/>
          <w:spacing w:val="-3"/>
          <w:sz w:val="20"/>
          <w:szCs w:val="20"/>
        </w:rPr>
        <w:t xml:space="preserve"> </w:t>
      </w:r>
      <w:r w:rsidRPr="000977F7">
        <w:rPr>
          <w:rFonts w:asciiTheme="majorHAnsi" w:hAnsiTheme="majorHAnsi"/>
          <w:spacing w:val="-5"/>
          <w:sz w:val="20"/>
          <w:szCs w:val="20"/>
        </w:rPr>
        <w:t>ре</w:t>
      </w:r>
      <w:r w:rsidRPr="000977F7">
        <w:rPr>
          <w:rFonts w:asciiTheme="majorHAnsi" w:hAnsiTheme="majorHAnsi"/>
          <w:spacing w:val="-2"/>
          <w:w w:val="95"/>
          <w:sz w:val="20"/>
          <w:szCs w:val="20"/>
        </w:rPr>
        <w:t>бер заготовки з метою придання їй форми тіла обертання</w:t>
      </w:r>
      <w:r w:rsidRPr="000977F7">
        <w:rPr>
          <w:rFonts w:asciiTheme="majorHAnsi" w:hAnsiTheme="majorHAnsi"/>
          <w:spacing w:val="-1"/>
          <w:w w:val="95"/>
          <w:sz w:val="20"/>
          <w:szCs w:val="20"/>
        </w:rPr>
        <w:t xml:space="preserve"> </w:t>
      </w:r>
      <w:r w:rsidRPr="000977F7">
        <w:rPr>
          <w:rFonts w:asciiTheme="majorHAnsi" w:hAnsiTheme="majorHAnsi"/>
          <w:b/>
          <w:sz w:val="20"/>
          <w:szCs w:val="20"/>
        </w:rPr>
        <w:t>БІОАКУМУЛЯЦІЯ –</w:t>
      </w:r>
    </w:p>
    <w:p w14:paraId="2C6890E8"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sz w:val="20"/>
          <w:szCs w:val="20"/>
        </w:rPr>
      </w:pPr>
      <w:r w:rsidRPr="000977F7">
        <w:rPr>
          <w:rFonts w:asciiTheme="majorHAnsi" w:hAnsiTheme="majorHAnsi"/>
          <w:sz w:val="20"/>
          <w:szCs w:val="20"/>
        </w:rPr>
        <w:t>BIOACCUMULATION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28BD17F"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sz w:val="20"/>
          <w:szCs w:val="20"/>
        </w:rPr>
      </w:pPr>
      <w:r w:rsidRPr="000977F7">
        <w:rPr>
          <w:rFonts w:asciiTheme="majorHAnsi" w:hAnsiTheme="majorHAnsi"/>
          <w:sz w:val="20"/>
          <w:szCs w:val="20"/>
        </w:rPr>
        <w:t>Збільшення концентрації речовини в організмі чи його окремих органах порівняно з концентрацією цієї</w:t>
      </w:r>
      <w:r w:rsidRPr="000977F7">
        <w:rPr>
          <w:rFonts w:asciiTheme="majorHAnsi" w:hAnsiTheme="majorHAnsi"/>
          <w:spacing w:val="1"/>
          <w:sz w:val="20"/>
          <w:szCs w:val="20"/>
        </w:rPr>
        <w:t xml:space="preserve"> </w:t>
      </w:r>
      <w:r w:rsidRPr="000977F7">
        <w:rPr>
          <w:rFonts w:asciiTheme="majorHAnsi" w:hAnsiTheme="majorHAnsi"/>
          <w:sz w:val="20"/>
          <w:szCs w:val="20"/>
        </w:rPr>
        <w:t>речовини в</w:t>
      </w:r>
      <w:r w:rsidRPr="000977F7">
        <w:rPr>
          <w:rFonts w:asciiTheme="majorHAnsi" w:hAnsiTheme="majorHAnsi"/>
          <w:spacing w:val="-2"/>
          <w:sz w:val="20"/>
          <w:szCs w:val="20"/>
        </w:rPr>
        <w:t xml:space="preserve"> </w:t>
      </w:r>
      <w:r w:rsidRPr="000977F7">
        <w:rPr>
          <w:rFonts w:asciiTheme="majorHAnsi" w:hAnsiTheme="majorHAnsi"/>
          <w:sz w:val="20"/>
          <w:szCs w:val="20"/>
        </w:rPr>
        <w:t>навколишньому</w:t>
      </w:r>
      <w:r w:rsidRPr="000977F7">
        <w:rPr>
          <w:rFonts w:asciiTheme="majorHAnsi" w:hAnsiTheme="majorHAnsi"/>
          <w:spacing w:val="-1"/>
          <w:sz w:val="20"/>
          <w:szCs w:val="20"/>
        </w:rPr>
        <w:t xml:space="preserve"> </w:t>
      </w:r>
      <w:r w:rsidRPr="000977F7">
        <w:rPr>
          <w:rFonts w:asciiTheme="majorHAnsi" w:hAnsiTheme="majorHAnsi"/>
          <w:sz w:val="20"/>
          <w:szCs w:val="20"/>
        </w:rPr>
        <w:t>середовищі</w:t>
      </w:r>
    </w:p>
    <w:p w14:paraId="08F0DE57" w14:textId="77777777" w:rsidR="0097612F" w:rsidRPr="000977F7" w:rsidRDefault="0097612F" w:rsidP="000977F7">
      <w:pPr>
        <w:tabs>
          <w:tab w:val="left" w:pos="284"/>
          <w:tab w:val="left" w:pos="4820"/>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3038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B8E63FC" w14:textId="77777777" w:rsidR="0097612F" w:rsidRPr="000977F7" w:rsidRDefault="0097612F" w:rsidP="000977F7">
      <w:pPr>
        <w:pStyle w:val="7"/>
        <w:tabs>
          <w:tab w:val="left" w:pos="284"/>
          <w:tab w:val="left" w:pos="4820"/>
        </w:tabs>
        <w:spacing w:before="0" w:line="240" w:lineRule="auto"/>
        <w:ind w:left="170"/>
        <w:mirrorIndents/>
        <w:jc w:val="both"/>
        <w:rPr>
          <w:b w:val="0"/>
          <w:i/>
          <w:color w:val="auto"/>
          <w:sz w:val="20"/>
          <w:szCs w:val="20"/>
        </w:rPr>
      </w:pPr>
      <w:r w:rsidRPr="000977F7">
        <w:rPr>
          <w:color w:val="auto"/>
          <w:sz w:val="20"/>
          <w:szCs w:val="20"/>
        </w:rPr>
        <w:t>БІОКОРОЗІЯ;</w:t>
      </w:r>
      <w:r w:rsidRPr="000977F7">
        <w:rPr>
          <w:color w:val="auto"/>
          <w:spacing w:val="-4"/>
          <w:sz w:val="20"/>
          <w:szCs w:val="20"/>
        </w:rPr>
        <w:t xml:space="preserve"> </w:t>
      </w:r>
      <w:r w:rsidRPr="000977F7">
        <w:rPr>
          <w:color w:val="auto"/>
          <w:sz w:val="20"/>
          <w:szCs w:val="20"/>
        </w:rPr>
        <w:t>МІКРОБНА</w:t>
      </w:r>
      <w:r w:rsidRPr="000977F7">
        <w:rPr>
          <w:color w:val="auto"/>
          <w:spacing w:val="-4"/>
          <w:sz w:val="20"/>
          <w:szCs w:val="20"/>
        </w:rPr>
        <w:t xml:space="preserve"> </w:t>
      </w:r>
      <w:r w:rsidRPr="000977F7">
        <w:rPr>
          <w:color w:val="auto"/>
          <w:sz w:val="20"/>
          <w:szCs w:val="20"/>
        </w:rPr>
        <w:t>КОРОЗІЯ</w:t>
      </w:r>
      <w:r w:rsidRPr="000977F7">
        <w:rPr>
          <w:color w:val="auto"/>
          <w:spacing w:val="-2"/>
          <w:sz w:val="20"/>
          <w:szCs w:val="20"/>
        </w:rPr>
        <w:t xml:space="preserve"> </w:t>
      </w:r>
      <w:r w:rsidRPr="000977F7">
        <w:rPr>
          <w:b w:val="0"/>
          <w:i/>
          <w:color w:val="auto"/>
          <w:sz w:val="20"/>
          <w:szCs w:val="20"/>
        </w:rPr>
        <w:t>–</w:t>
      </w:r>
    </w:p>
    <w:p w14:paraId="409E6CC0"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sz w:val="20"/>
          <w:szCs w:val="20"/>
        </w:rPr>
      </w:pPr>
      <w:r w:rsidRPr="000977F7">
        <w:rPr>
          <w:rFonts w:asciiTheme="majorHAnsi" w:hAnsiTheme="majorHAnsi"/>
          <w:sz w:val="20"/>
          <w:szCs w:val="20"/>
        </w:rPr>
        <w:t>MICROBIAL</w:t>
      </w:r>
      <w:r w:rsidRPr="000977F7">
        <w:rPr>
          <w:rFonts w:asciiTheme="majorHAnsi" w:hAnsiTheme="majorHAnsi"/>
          <w:spacing w:val="-4"/>
          <w:sz w:val="20"/>
          <w:szCs w:val="20"/>
        </w:rPr>
        <w:t xml:space="preserve"> </w:t>
      </w:r>
      <w:r w:rsidRPr="000977F7">
        <w:rPr>
          <w:rFonts w:asciiTheme="majorHAnsi" w:hAnsiTheme="majorHAnsi"/>
          <w:sz w:val="20"/>
          <w:szCs w:val="20"/>
        </w:rPr>
        <w:t>CORROSION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8BED00E"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sz w:val="20"/>
          <w:szCs w:val="20"/>
        </w:rPr>
      </w:pPr>
      <w:r w:rsidRPr="000977F7">
        <w:rPr>
          <w:rFonts w:asciiTheme="majorHAnsi" w:hAnsiTheme="majorHAnsi"/>
          <w:sz w:val="20"/>
          <w:szCs w:val="20"/>
        </w:rPr>
        <w:t>Корозія металу, зумовлена дією мікроорганізмів, що є</w:t>
      </w:r>
      <w:r w:rsidRPr="000977F7">
        <w:rPr>
          <w:rFonts w:asciiTheme="majorHAnsi" w:hAnsiTheme="majorHAnsi"/>
          <w:spacing w:val="-47"/>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корозійній</w:t>
      </w:r>
      <w:r w:rsidRPr="000977F7">
        <w:rPr>
          <w:rFonts w:asciiTheme="majorHAnsi" w:hAnsiTheme="majorHAnsi"/>
          <w:spacing w:val="-1"/>
          <w:sz w:val="20"/>
          <w:szCs w:val="20"/>
        </w:rPr>
        <w:t xml:space="preserve"> </w:t>
      </w:r>
      <w:r w:rsidRPr="000977F7">
        <w:rPr>
          <w:rFonts w:asciiTheme="majorHAnsi" w:hAnsiTheme="majorHAnsi"/>
          <w:sz w:val="20"/>
          <w:szCs w:val="20"/>
        </w:rPr>
        <w:t>системі</w:t>
      </w:r>
    </w:p>
    <w:p w14:paraId="6B405571" w14:textId="77777777" w:rsidR="0097612F" w:rsidRPr="000977F7" w:rsidRDefault="0097612F" w:rsidP="000977F7">
      <w:pPr>
        <w:tabs>
          <w:tab w:val="left" w:pos="284"/>
          <w:tab w:val="left" w:pos="4820"/>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1E1ABE46" w14:textId="77777777" w:rsidR="0097612F" w:rsidRPr="000977F7" w:rsidRDefault="0097612F" w:rsidP="000977F7">
      <w:pPr>
        <w:tabs>
          <w:tab w:val="left" w:pos="284"/>
          <w:tab w:val="left" w:pos="4820"/>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БІОЛОГІЧНІ ВИПРОБУВАННЯ -</w:t>
      </w:r>
    </w:p>
    <w:p w14:paraId="03023E67" w14:textId="77777777" w:rsidR="0097612F" w:rsidRPr="000977F7" w:rsidRDefault="0097612F" w:rsidP="000977F7">
      <w:pPr>
        <w:tabs>
          <w:tab w:val="left" w:pos="284"/>
          <w:tab w:val="left" w:pos="4820"/>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BIOLOGICAL</w:t>
      </w:r>
      <w:r w:rsidRPr="000977F7">
        <w:rPr>
          <w:rFonts w:asciiTheme="majorHAnsi" w:hAnsiTheme="majorHAnsi"/>
          <w:spacing w:val="-3"/>
          <w:sz w:val="20"/>
          <w:szCs w:val="20"/>
        </w:rPr>
        <w:t xml:space="preserve"> </w:t>
      </w:r>
      <w:r w:rsidRPr="000977F7">
        <w:rPr>
          <w:rFonts w:asciiTheme="majorHAnsi" w:hAnsiTheme="majorHAnsi"/>
          <w:sz w:val="20"/>
          <w:szCs w:val="20"/>
        </w:rPr>
        <w:t>TEST</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0820A706" w14:textId="77777777" w:rsidR="0097612F" w:rsidRPr="000977F7" w:rsidRDefault="0097612F" w:rsidP="000977F7">
      <w:pPr>
        <w:tabs>
          <w:tab w:val="left" w:pos="284"/>
          <w:tab w:val="left" w:pos="4820"/>
        </w:tabs>
        <w:spacing w:after="0" w:line="240" w:lineRule="auto"/>
        <w:ind w:left="170"/>
        <w:mirrorIndents/>
        <w:jc w:val="both"/>
        <w:rPr>
          <w:rFonts w:asciiTheme="majorHAnsi" w:hAnsiTheme="majorHAnsi"/>
          <w:spacing w:val="-47"/>
          <w:sz w:val="20"/>
          <w:szCs w:val="20"/>
        </w:rPr>
      </w:pPr>
      <w:r w:rsidRPr="000977F7">
        <w:rPr>
          <w:rFonts w:asciiTheme="majorHAnsi" w:hAnsiTheme="majorHAnsi"/>
          <w:sz w:val="20"/>
          <w:szCs w:val="20"/>
        </w:rPr>
        <w:t>Випробування</w:t>
      </w:r>
      <w:r w:rsidRPr="000977F7">
        <w:rPr>
          <w:rFonts w:asciiTheme="majorHAnsi" w:hAnsiTheme="majorHAnsi"/>
          <w:spacing w:val="-3"/>
          <w:sz w:val="20"/>
          <w:szCs w:val="20"/>
        </w:rPr>
        <w:t xml:space="preserve"> </w:t>
      </w:r>
      <w:r w:rsidRPr="000977F7">
        <w:rPr>
          <w:rFonts w:asciiTheme="majorHAnsi" w:hAnsiTheme="majorHAnsi"/>
          <w:sz w:val="20"/>
          <w:szCs w:val="20"/>
        </w:rPr>
        <w:t>на</w:t>
      </w:r>
      <w:r w:rsidRPr="000977F7">
        <w:rPr>
          <w:rFonts w:asciiTheme="majorHAnsi" w:hAnsiTheme="majorHAnsi"/>
          <w:spacing w:val="-4"/>
          <w:sz w:val="20"/>
          <w:szCs w:val="20"/>
        </w:rPr>
        <w:t xml:space="preserve"> </w:t>
      </w:r>
      <w:r w:rsidRPr="000977F7">
        <w:rPr>
          <w:rFonts w:asciiTheme="majorHAnsi" w:hAnsiTheme="majorHAnsi"/>
          <w:sz w:val="20"/>
          <w:szCs w:val="20"/>
        </w:rPr>
        <w:t>дію</w:t>
      </w:r>
      <w:r w:rsidRPr="000977F7">
        <w:rPr>
          <w:rFonts w:asciiTheme="majorHAnsi" w:hAnsiTheme="majorHAnsi"/>
          <w:spacing w:val="-5"/>
          <w:sz w:val="20"/>
          <w:szCs w:val="20"/>
        </w:rPr>
        <w:t xml:space="preserve"> </w:t>
      </w:r>
      <w:r w:rsidRPr="000977F7">
        <w:rPr>
          <w:rFonts w:asciiTheme="majorHAnsi" w:hAnsiTheme="majorHAnsi"/>
          <w:sz w:val="20"/>
          <w:szCs w:val="20"/>
        </w:rPr>
        <w:t>біологічних</w:t>
      </w:r>
      <w:r w:rsidRPr="000977F7">
        <w:rPr>
          <w:rFonts w:asciiTheme="majorHAnsi" w:hAnsiTheme="majorHAnsi"/>
          <w:spacing w:val="-5"/>
          <w:sz w:val="20"/>
          <w:szCs w:val="20"/>
        </w:rPr>
        <w:t xml:space="preserve"> </w:t>
      </w:r>
      <w:r w:rsidRPr="000977F7">
        <w:rPr>
          <w:rFonts w:asciiTheme="majorHAnsi" w:hAnsiTheme="majorHAnsi"/>
          <w:sz w:val="20"/>
          <w:szCs w:val="20"/>
        </w:rPr>
        <w:t>чинників</w:t>
      </w:r>
      <w:r w:rsidRPr="000977F7">
        <w:rPr>
          <w:rFonts w:asciiTheme="majorHAnsi" w:hAnsiTheme="majorHAnsi"/>
          <w:spacing w:val="-47"/>
          <w:sz w:val="20"/>
          <w:szCs w:val="20"/>
        </w:rPr>
        <w:t xml:space="preserve"> </w:t>
      </w:r>
    </w:p>
    <w:p w14:paraId="67B44E19" w14:textId="77777777" w:rsidR="0097612F" w:rsidRPr="000977F7" w:rsidRDefault="0097612F" w:rsidP="000977F7">
      <w:pPr>
        <w:tabs>
          <w:tab w:val="left" w:pos="284"/>
          <w:tab w:val="left" w:pos="4820"/>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3021 - 95</w:t>
      </w:r>
    </w:p>
    <w:p w14:paraId="0B24F968" w14:textId="77777777" w:rsidR="0097612F" w:rsidRPr="000977F7" w:rsidRDefault="0097612F" w:rsidP="000977F7">
      <w:pPr>
        <w:tabs>
          <w:tab w:val="left" w:pos="284"/>
          <w:tab w:val="left" w:pos="4820"/>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БІОТРАНСФОРМАЦІЯ</w:t>
      </w:r>
      <w:r w:rsidRPr="000977F7">
        <w:rPr>
          <w:rFonts w:asciiTheme="majorHAnsi" w:hAnsiTheme="majorHAnsi"/>
          <w:b/>
          <w:spacing w:val="2"/>
          <w:sz w:val="20"/>
          <w:szCs w:val="20"/>
        </w:rPr>
        <w:t xml:space="preserve"> </w:t>
      </w:r>
      <w:r w:rsidRPr="000977F7">
        <w:rPr>
          <w:rFonts w:asciiTheme="majorHAnsi" w:hAnsiTheme="majorHAnsi"/>
          <w:b/>
          <w:sz w:val="20"/>
          <w:szCs w:val="20"/>
        </w:rPr>
        <w:t>–</w:t>
      </w:r>
      <w:r w:rsidRPr="000977F7">
        <w:rPr>
          <w:rFonts w:asciiTheme="majorHAnsi" w:hAnsiTheme="majorHAnsi"/>
          <w:b/>
          <w:spacing w:val="1"/>
          <w:sz w:val="20"/>
          <w:szCs w:val="20"/>
        </w:rPr>
        <w:t xml:space="preserve"> </w:t>
      </w:r>
    </w:p>
    <w:p w14:paraId="2480B74A" w14:textId="77777777" w:rsidR="0097612F" w:rsidRPr="000977F7" w:rsidRDefault="0097612F" w:rsidP="000977F7">
      <w:pPr>
        <w:tabs>
          <w:tab w:val="left" w:pos="284"/>
          <w:tab w:val="left" w:pos="4820"/>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BIOTRANSFORMATION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90467AC"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2"/>
          <w:sz w:val="20"/>
          <w:szCs w:val="20"/>
        </w:rPr>
        <w:t xml:space="preserve"> </w:t>
      </w:r>
      <w:r w:rsidRPr="000977F7">
        <w:rPr>
          <w:rFonts w:asciiTheme="majorHAnsi" w:hAnsiTheme="majorHAnsi"/>
          <w:sz w:val="20"/>
          <w:szCs w:val="20"/>
        </w:rPr>
        <w:t>хімічних</w:t>
      </w:r>
      <w:r w:rsidRPr="000977F7">
        <w:rPr>
          <w:rFonts w:asciiTheme="majorHAnsi" w:hAnsiTheme="majorHAnsi"/>
          <w:spacing w:val="-4"/>
          <w:sz w:val="20"/>
          <w:szCs w:val="20"/>
        </w:rPr>
        <w:t xml:space="preserve"> </w:t>
      </w:r>
      <w:r w:rsidRPr="000977F7">
        <w:rPr>
          <w:rFonts w:asciiTheme="majorHAnsi" w:hAnsiTheme="majorHAnsi"/>
          <w:sz w:val="20"/>
          <w:szCs w:val="20"/>
        </w:rPr>
        <w:t>перетворень</w:t>
      </w:r>
      <w:r w:rsidRPr="000977F7">
        <w:rPr>
          <w:rFonts w:asciiTheme="majorHAnsi" w:hAnsiTheme="majorHAnsi"/>
          <w:spacing w:val="-3"/>
          <w:sz w:val="20"/>
          <w:szCs w:val="20"/>
        </w:rPr>
        <w:t xml:space="preserve"> </w:t>
      </w:r>
      <w:r w:rsidRPr="000977F7">
        <w:rPr>
          <w:rFonts w:asciiTheme="majorHAnsi" w:hAnsiTheme="majorHAnsi"/>
          <w:sz w:val="20"/>
          <w:szCs w:val="20"/>
        </w:rPr>
        <w:t>речовин</w:t>
      </w:r>
      <w:r w:rsidRPr="000977F7">
        <w:rPr>
          <w:rFonts w:asciiTheme="majorHAnsi" w:hAnsiTheme="majorHAnsi"/>
          <w:spacing w:val="-4"/>
          <w:sz w:val="20"/>
          <w:szCs w:val="20"/>
        </w:rPr>
        <w:t xml:space="preserve"> </w:t>
      </w:r>
      <w:r w:rsidRPr="000977F7">
        <w:rPr>
          <w:rFonts w:asciiTheme="majorHAnsi" w:hAnsiTheme="majorHAnsi"/>
          <w:sz w:val="20"/>
          <w:szCs w:val="20"/>
        </w:rPr>
        <w:t>в</w:t>
      </w:r>
      <w:r w:rsidRPr="000977F7">
        <w:rPr>
          <w:rFonts w:asciiTheme="majorHAnsi" w:hAnsiTheme="majorHAnsi"/>
          <w:spacing w:val="-4"/>
          <w:sz w:val="20"/>
          <w:szCs w:val="20"/>
        </w:rPr>
        <w:t xml:space="preserve"> </w:t>
      </w:r>
      <w:r w:rsidRPr="000977F7">
        <w:rPr>
          <w:rFonts w:asciiTheme="majorHAnsi" w:hAnsiTheme="majorHAnsi"/>
          <w:sz w:val="20"/>
          <w:szCs w:val="20"/>
        </w:rPr>
        <w:t>організмі</w:t>
      </w:r>
    </w:p>
    <w:p w14:paraId="390A30DD" w14:textId="77777777" w:rsidR="0097612F" w:rsidRPr="000977F7" w:rsidRDefault="0097612F" w:rsidP="000977F7">
      <w:pPr>
        <w:tabs>
          <w:tab w:val="left" w:pos="284"/>
          <w:tab w:val="left" w:pos="4820"/>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3038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7016008" w14:textId="77777777" w:rsidR="0097612F" w:rsidRPr="000977F7" w:rsidRDefault="0097612F" w:rsidP="000977F7">
      <w:pPr>
        <w:pStyle w:val="7"/>
        <w:tabs>
          <w:tab w:val="left" w:pos="284"/>
          <w:tab w:val="left" w:pos="4820"/>
        </w:tabs>
        <w:spacing w:before="0" w:line="240" w:lineRule="auto"/>
        <w:ind w:left="170"/>
        <w:mirrorIndents/>
        <w:jc w:val="both"/>
        <w:rPr>
          <w:color w:val="auto"/>
          <w:sz w:val="20"/>
          <w:szCs w:val="20"/>
        </w:rPr>
      </w:pPr>
      <w:r w:rsidRPr="000977F7">
        <w:rPr>
          <w:color w:val="auto"/>
          <w:sz w:val="20"/>
          <w:szCs w:val="20"/>
        </w:rPr>
        <w:t>БЛОК</w:t>
      </w:r>
      <w:r w:rsidRPr="000977F7">
        <w:rPr>
          <w:color w:val="auto"/>
          <w:spacing w:val="-5"/>
          <w:sz w:val="20"/>
          <w:szCs w:val="20"/>
        </w:rPr>
        <w:t xml:space="preserve"> </w:t>
      </w:r>
      <w:r w:rsidRPr="000977F7">
        <w:rPr>
          <w:color w:val="auto"/>
          <w:sz w:val="20"/>
          <w:szCs w:val="20"/>
        </w:rPr>
        <w:t>НАВАНТАЖУВАННЯ</w:t>
      </w:r>
      <w:r w:rsidRPr="000977F7">
        <w:rPr>
          <w:color w:val="auto"/>
          <w:spacing w:val="-1"/>
          <w:sz w:val="20"/>
          <w:szCs w:val="20"/>
        </w:rPr>
        <w:t xml:space="preserve"> </w:t>
      </w:r>
      <w:r w:rsidRPr="000977F7">
        <w:rPr>
          <w:color w:val="auto"/>
          <w:sz w:val="20"/>
          <w:szCs w:val="20"/>
        </w:rPr>
        <w:t>–</w:t>
      </w:r>
    </w:p>
    <w:p w14:paraId="6ACDF343"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sz w:val="20"/>
          <w:szCs w:val="20"/>
        </w:rPr>
      </w:pPr>
      <w:r w:rsidRPr="000977F7">
        <w:rPr>
          <w:rFonts w:asciiTheme="majorHAnsi" w:hAnsiTheme="majorHAnsi"/>
          <w:sz w:val="20"/>
          <w:szCs w:val="20"/>
        </w:rPr>
        <w:t>LOAD</w:t>
      </w:r>
      <w:r w:rsidRPr="000977F7">
        <w:rPr>
          <w:rFonts w:asciiTheme="majorHAnsi" w:hAnsiTheme="majorHAnsi"/>
          <w:spacing w:val="-2"/>
          <w:sz w:val="20"/>
          <w:szCs w:val="20"/>
        </w:rPr>
        <w:t xml:space="preserve"> </w:t>
      </w:r>
      <w:r w:rsidRPr="000977F7">
        <w:rPr>
          <w:rFonts w:asciiTheme="majorHAnsi" w:hAnsiTheme="majorHAnsi"/>
          <w:sz w:val="20"/>
          <w:szCs w:val="20"/>
        </w:rPr>
        <w:t>BLOCK</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9FA41CE"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Сполучення ступенів навантажування з різними значеннями</w:t>
      </w:r>
      <w:r w:rsidRPr="000977F7">
        <w:rPr>
          <w:rFonts w:asciiTheme="majorHAnsi" w:hAnsiTheme="majorHAnsi"/>
          <w:spacing w:val="-2"/>
          <w:sz w:val="20"/>
          <w:szCs w:val="20"/>
        </w:rPr>
        <w:t xml:space="preserve"> </w:t>
      </w:r>
      <w:r w:rsidRPr="000977F7">
        <w:rPr>
          <w:rFonts w:asciiTheme="majorHAnsi" w:hAnsiTheme="majorHAnsi"/>
          <w:sz w:val="20"/>
          <w:szCs w:val="20"/>
        </w:rPr>
        <w:t>параметрів</w:t>
      </w:r>
    </w:p>
    <w:p w14:paraId="10BB6E68" w14:textId="77777777" w:rsidR="0097612F" w:rsidRPr="000977F7" w:rsidRDefault="0097612F" w:rsidP="000977F7">
      <w:pPr>
        <w:tabs>
          <w:tab w:val="left" w:pos="284"/>
          <w:tab w:val="left" w:pos="4820"/>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18734EC" w14:textId="77777777" w:rsidR="0097612F" w:rsidRPr="000977F7" w:rsidRDefault="0097612F" w:rsidP="000977F7">
      <w:pPr>
        <w:pStyle w:val="7"/>
        <w:tabs>
          <w:tab w:val="left" w:pos="284"/>
          <w:tab w:val="left" w:pos="4820"/>
        </w:tabs>
        <w:spacing w:before="0" w:line="240" w:lineRule="auto"/>
        <w:ind w:left="170"/>
        <w:mirrorIndents/>
        <w:jc w:val="both"/>
        <w:rPr>
          <w:color w:val="auto"/>
          <w:sz w:val="20"/>
          <w:szCs w:val="20"/>
        </w:rPr>
      </w:pPr>
      <w:r w:rsidRPr="000977F7">
        <w:rPr>
          <w:color w:val="auto"/>
          <w:sz w:val="20"/>
          <w:szCs w:val="20"/>
        </w:rPr>
        <w:t>БЛОКОВЕ</w:t>
      </w:r>
      <w:r w:rsidRPr="000977F7">
        <w:rPr>
          <w:color w:val="auto"/>
          <w:spacing w:val="-5"/>
          <w:sz w:val="20"/>
          <w:szCs w:val="20"/>
        </w:rPr>
        <w:t xml:space="preserve"> </w:t>
      </w:r>
      <w:r w:rsidRPr="000977F7">
        <w:rPr>
          <w:color w:val="auto"/>
          <w:sz w:val="20"/>
          <w:szCs w:val="20"/>
        </w:rPr>
        <w:t>НАВАНТАЖУВАННЯ</w:t>
      </w:r>
      <w:r w:rsidRPr="000977F7">
        <w:rPr>
          <w:color w:val="auto"/>
          <w:spacing w:val="-4"/>
          <w:sz w:val="20"/>
          <w:szCs w:val="20"/>
        </w:rPr>
        <w:t xml:space="preserve"> </w:t>
      </w:r>
      <w:r w:rsidRPr="000977F7">
        <w:rPr>
          <w:color w:val="auto"/>
          <w:sz w:val="20"/>
          <w:szCs w:val="20"/>
        </w:rPr>
        <w:t>–</w:t>
      </w:r>
    </w:p>
    <w:p w14:paraId="3B05EA7F"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sz w:val="20"/>
          <w:szCs w:val="20"/>
        </w:rPr>
      </w:pPr>
      <w:r w:rsidRPr="000977F7">
        <w:rPr>
          <w:rFonts w:asciiTheme="majorHAnsi" w:hAnsiTheme="majorHAnsi"/>
          <w:sz w:val="20"/>
          <w:szCs w:val="20"/>
        </w:rPr>
        <w:t>BLOCK</w:t>
      </w:r>
      <w:r w:rsidRPr="000977F7">
        <w:rPr>
          <w:rFonts w:asciiTheme="majorHAnsi" w:hAnsiTheme="majorHAnsi"/>
          <w:spacing w:val="-1"/>
          <w:sz w:val="20"/>
          <w:szCs w:val="20"/>
        </w:rPr>
        <w:t xml:space="preserve"> </w:t>
      </w:r>
      <w:r w:rsidRPr="000977F7">
        <w:rPr>
          <w:rFonts w:asciiTheme="majorHAnsi" w:hAnsiTheme="majorHAnsi"/>
          <w:sz w:val="20"/>
          <w:szCs w:val="20"/>
        </w:rPr>
        <w:t>LOADING</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D01DCC8"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sz w:val="20"/>
          <w:szCs w:val="20"/>
        </w:rPr>
      </w:pPr>
      <w:r w:rsidRPr="000977F7">
        <w:rPr>
          <w:rFonts w:asciiTheme="majorHAnsi" w:hAnsiTheme="majorHAnsi"/>
          <w:sz w:val="20"/>
          <w:szCs w:val="20"/>
        </w:rPr>
        <w:t>Періодичне</w:t>
      </w:r>
      <w:r w:rsidRPr="000977F7">
        <w:rPr>
          <w:rFonts w:asciiTheme="majorHAnsi" w:hAnsiTheme="majorHAnsi"/>
          <w:spacing w:val="1"/>
          <w:sz w:val="20"/>
          <w:szCs w:val="20"/>
        </w:rPr>
        <w:t xml:space="preserve"> </w:t>
      </w:r>
      <w:r w:rsidRPr="000977F7">
        <w:rPr>
          <w:rFonts w:asciiTheme="majorHAnsi" w:hAnsiTheme="majorHAnsi"/>
          <w:sz w:val="20"/>
          <w:szCs w:val="20"/>
        </w:rPr>
        <w:t>навантажування</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повторенням</w:t>
      </w:r>
      <w:r w:rsidRPr="000977F7">
        <w:rPr>
          <w:rFonts w:asciiTheme="majorHAnsi" w:hAnsiTheme="majorHAnsi"/>
          <w:spacing w:val="1"/>
          <w:sz w:val="20"/>
          <w:szCs w:val="20"/>
        </w:rPr>
        <w:t xml:space="preserve"> </w:t>
      </w:r>
      <w:r w:rsidRPr="000977F7">
        <w:rPr>
          <w:rFonts w:asciiTheme="majorHAnsi" w:hAnsiTheme="majorHAnsi"/>
          <w:sz w:val="20"/>
          <w:szCs w:val="20"/>
        </w:rPr>
        <w:t>заданого блоку</w:t>
      </w:r>
      <w:r w:rsidRPr="000977F7">
        <w:rPr>
          <w:rFonts w:asciiTheme="majorHAnsi" w:hAnsiTheme="majorHAnsi"/>
          <w:spacing w:val="1"/>
          <w:sz w:val="20"/>
          <w:szCs w:val="20"/>
        </w:rPr>
        <w:t xml:space="preserve"> </w:t>
      </w:r>
      <w:r w:rsidRPr="000977F7">
        <w:rPr>
          <w:rFonts w:asciiTheme="majorHAnsi" w:hAnsiTheme="majorHAnsi"/>
          <w:sz w:val="20"/>
          <w:szCs w:val="20"/>
        </w:rPr>
        <w:t>навантажування</w:t>
      </w:r>
    </w:p>
    <w:p w14:paraId="7B7FD75E" w14:textId="77777777" w:rsidR="0097612F" w:rsidRPr="000977F7" w:rsidRDefault="0097612F" w:rsidP="000977F7">
      <w:pPr>
        <w:tabs>
          <w:tab w:val="left" w:pos="284"/>
          <w:tab w:val="left" w:pos="4820"/>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27634F2" w14:textId="77777777" w:rsidR="0097612F" w:rsidRPr="000977F7" w:rsidRDefault="0097612F" w:rsidP="000977F7">
      <w:pPr>
        <w:pStyle w:val="7"/>
        <w:tabs>
          <w:tab w:val="left" w:pos="284"/>
          <w:tab w:val="left" w:pos="4820"/>
        </w:tabs>
        <w:spacing w:before="0" w:line="240" w:lineRule="auto"/>
        <w:ind w:left="170"/>
        <w:mirrorIndents/>
        <w:jc w:val="both"/>
        <w:rPr>
          <w:color w:val="auto"/>
          <w:sz w:val="20"/>
          <w:szCs w:val="20"/>
        </w:rPr>
      </w:pPr>
      <w:r w:rsidRPr="000977F7">
        <w:rPr>
          <w:color w:val="auto"/>
          <w:sz w:val="20"/>
          <w:szCs w:val="20"/>
        </w:rPr>
        <w:t>БЛОК</w:t>
      </w:r>
      <w:r w:rsidRPr="000977F7">
        <w:rPr>
          <w:color w:val="auto"/>
          <w:spacing w:val="-3"/>
          <w:sz w:val="20"/>
          <w:szCs w:val="20"/>
        </w:rPr>
        <w:t xml:space="preserve"> </w:t>
      </w:r>
      <w:r w:rsidRPr="000977F7">
        <w:rPr>
          <w:color w:val="auto"/>
          <w:sz w:val="20"/>
          <w:szCs w:val="20"/>
        </w:rPr>
        <w:t>ПЛАНУ</w:t>
      </w:r>
      <w:r w:rsidRPr="000977F7">
        <w:rPr>
          <w:color w:val="auto"/>
          <w:spacing w:val="-2"/>
          <w:sz w:val="20"/>
          <w:szCs w:val="20"/>
        </w:rPr>
        <w:t xml:space="preserve"> </w:t>
      </w:r>
      <w:r w:rsidRPr="000977F7">
        <w:rPr>
          <w:color w:val="auto"/>
          <w:sz w:val="20"/>
          <w:szCs w:val="20"/>
        </w:rPr>
        <w:t>–</w:t>
      </w:r>
    </w:p>
    <w:p w14:paraId="3BDA153C"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плану, до якої належать досліди, умови проведення яких однорідні з точки зору значень одного</w:t>
      </w:r>
      <w:r w:rsidRPr="000977F7">
        <w:rPr>
          <w:rFonts w:asciiTheme="majorHAnsi" w:hAnsiTheme="majorHAnsi"/>
          <w:spacing w:val="1"/>
          <w:sz w:val="20"/>
          <w:szCs w:val="20"/>
        </w:rPr>
        <w:t xml:space="preserve"> </w:t>
      </w:r>
      <w:r w:rsidRPr="000977F7">
        <w:rPr>
          <w:rFonts w:asciiTheme="majorHAnsi" w:hAnsiTheme="majorHAnsi"/>
          <w:sz w:val="20"/>
          <w:szCs w:val="20"/>
        </w:rPr>
        <w:t>або декількох</w:t>
      </w:r>
      <w:r w:rsidRPr="000977F7">
        <w:rPr>
          <w:rFonts w:asciiTheme="majorHAnsi" w:hAnsiTheme="majorHAnsi"/>
          <w:spacing w:val="-1"/>
          <w:sz w:val="20"/>
          <w:szCs w:val="20"/>
        </w:rPr>
        <w:t xml:space="preserve"> </w:t>
      </w:r>
      <w:r w:rsidRPr="000977F7">
        <w:rPr>
          <w:rFonts w:asciiTheme="majorHAnsi" w:hAnsiTheme="majorHAnsi"/>
          <w:sz w:val="20"/>
          <w:szCs w:val="20"/>
        </w:rPr>
        <w:t>факторів,</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заважають</w:t>
      </w:r>
    </w:p>
    <w:p w14:paraId="386D793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БЛОК – СХЕМА АНАЛІЗУ БЕЗВІДМОВНОСТІ –</w:t>
      </w:r>
    </w:p>
    <w:p w14:paraId="5AD0D5DA"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RELIABILITY BLOCK DIAGRAM –</w:t>
      </w:r>
    </w:p>
    <w:p w14:paraId="18A8EAFB"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Структурна схема складного об’єкта для одного чи декількох видів його функціонування, що пояснює, яким чином несправності складових частин об’єкта, як елементів структури, чи їх поєднання спричиняють</w:t>
      </w:r>
      <w:r w:rsidRPr="000977F7">
        <w:rPr>
          <w:color w:val="auto"/>
          <w:spacing w:val="-47"/>
          <w:sz w:val="20"/>
          <w:szCs w:val="20"/>
        </w:rPr>
        <w:t xml:space="preserve"> </w:t>
      </w:r>
      <w:r w:rsidRPr="000977F7">
        <w:rPr>
          <w:b w:val="0"/>
          <w:bCs/>
          <w:color w:val="auto"/>
          <w:sz w:val="20"/>
          <w:szCs w:val="20"/>
        </w:rPr>
        <w:t>несправність</w:t>
      </w:r>
      <w:r w:rsidRPr="000977F7">
        <w:rPr>
          <w:b w:val="0"/>
          <w:bCs/>
          <w:color w:val="auto"/>
          <w:spacing w:val="-2"/>
          <w:sz w:val="20"/>
          <w:szCs w:val="20"/>
        </w:rPr>
        <w:t xml:space="preserve"> </w:t>
      </w:r>
      <w:r w:rsidRPr="000977F7">
        <w:rPr>
          <w:b w:val="0"/>
          <w:bCs/>
          <w:color w:val="auto"/>
          <w:sz w:val="20"/>
          <w:szCs w:val="20"/>
        </w:rPr>
        <w:t>об’єкта</w:t>
      </w:r>
      <w:r w:rsidRPr="000977F7">
        <w:rPr>
          <w:b w:val="0"/>
          <w:bCs/>
          <w:color w:val="auto"/>
          <w:spacing w:val="1"/>
          <w:sz w:val="20"/>
          <w:szCs w:val="20"/>
        </w:rPr>
        <w:t xml:space="preserve"> </w:t>
      </w:r>
      <w:r w:rsidRPr="000977F7">
        <w:rPr>
          <w:b w:val="0"/>
          <w:bCs/>
          <w:color w:val="auto"/>
          <w:sz w:val="20"/>
          <w:szCs w:val="20"/>
        </w:rPr>
        <w:t>в</w:t>
      </w:r>
      <w:r w:rsidRPr="000977F7">
        <w:rPr>
          <w:b w:val="0"/>
          <w:bCs/>
          <w:color w:val="auto"/>
          <w:spacing w:val="-1"/>
          <w:sz w:val="20"/>
          <w:szCs w:val="20"/>
        </w:rPr>
        <w:t xml:space="preserve"> </w:t>
      </w:r>
      <w:r w:rsidRPr="000977F7">
        <w:rPr>
          <w:b w:val="0"/>
          <w:bCs/>
          <w:color w:val="auto"/>
          <w:sz w:val="20"/>
          <w:szCs w:val="20"/>
        </w:rPr>
        <w:t>цілому</w:t>
      </w:r>
    </w:p>
    <w:p w14:paraId="234B706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2860</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20241BBA"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bookmarkStart w:id="16" w:name="_Hlk103692795"/>
      <w:r w:rsidRPr="004D2D14">
        <w:rPr>
          <w:rFonts w:asciiTheme="majorHAnsi" w:hAnsiTheme="majorHAnsi"/>
          <w:b/>
          <w:bCs/>
          <w:iCs/>
          <w:sz w:val="20"/>
          <w:szCs w:val="20"/>
          <w:lang w:val="uk-UA"/>
        </w:rPr>
        <w:t>БЛОКУВАЛЬНИЙ ПРИСТРІЙ, БЛОКУВАННЯ –</w:t>
      </w:r>
      <w:r w:rsidRPr="004D2D14">
        <w:rPr>
          <w:rFonts w:asciiTheme="majorHAnsi" w:hAnsiTheme="majorHAnsi"/>
          <w:sz w:val="20"/>
          <w:szCs w:val="20"/>
          <w:lang w:val="uk-UA"/>
        </w:rPr>
        <w:t xml:space="preserve"> </w:t>
      </w:r>
      <w:r w:rsidRPr="000977F7">
        <w:rPr>
          <w:rFonts w:asciiTheme="majorHAnsi" w:hAnsiTheme="majorHAnsi"/>
          <w:sz w:val="20"/>
          <w:szCs w:val="20"/>
        </w:rPr>
        <w:t>INTERLOCKING</w:t>
      </w:r>
      <w:r w:rsidRPr="004D2D14">
        <w:rPr>
          <w:rFonts w:asciiTheme="majorHAnsi" w:hAnsiTheme="majorHAnsi"/>
          <w:sz w:val="20"/>
          <w:szCs w:val="20"/>
          <w:lang w:val="uk-UA"/>
        </w:rPr>
        <w:t xml:space="preserve"> </w:t>
      </w:r>
      <w:r w:rsidRPr="000977F7">
        <w:rPr>
          <w:rFonts w:asciiTheme="majorHAnsi" w:hAnsiTheme="majorHAnsi"/>
          <w:sz w:val="20"/>
          <w:szCs w:val="20"/>
        </w:rPr>
        <w:t>DEVICE</w:t>
      </w:r>
      <w:r w:rsidRPr="004D2D14">
        <w:rPr>
          <w:rFonts w:asciiTheme="majorHAnsi" w:hAnsiTheme="majorHAnsi"/>
          <w:sz w:val="20"/>
          <w:szCs w:val="20"/>
          <w:lang w:val="uk-UA"/>
        </w:rPr>
        <w:t xml:space="preserve">, </w:t>
      </w:r>
      <w:r w:rsidRPr="000977F7">
        <w:rPr>
          <w:rFonts w:asciiTheme="majorHAnsi" w:hAnsiTheme="majorHAnsi"/>
          <w:sz w:val="20"/>
          <w:szCs w:val="20"/>
        </w:rPr>
        <w:t>INTERLOCK</w:t>
      </w:r>
      <w:r w:rsidRPr="004D2D14">
        <w:rPr>
          <w:rFonts w:asciiTheme="majorHAnsi" w:hAnsiTheme="majorHAnsi"/>
          <w:sz w:val="20"/>
          <w:szCs w:val="20"/>
          <w:lang w:val="uk-UA"/>
        </w:rPr>
        <w:t xml:space="preserve"> –</w:t>
      </w:r>
    </w:p>
    <w:bookmarkEnd w:id="16"/>
    <w:p w14:paraId="24486F2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Пристрій механічного, електричного або іншого типу, що запобігає здійсненню небезпечних функцій машини за певних умов (зазвичай, доки огорожу не буде зачинено) </w:t>
      </w:r>
    </w:p>
    <w:p w14:paraId="09DD4167"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0822C72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БОРУВАННЯ</w:t>
      </w:r>
      <w:r w:rsidRPr="000977F7">
        <w:rPr>
          <w:color w:val="auto"/>
          <w:spacing w:val="-2"/>
          <w:sz w:val="20"/>
          <w:szCs w:val="20"/>
        </w:rPr>
        <w:t xml:space="preserve"> </w:t>
      </w:r>
      <w:r w:rsidRPr="000977F7">
        <w:rPr>
          <w:color w:val="auto"/>
          <w:sz w:val="20"/>
          <w:szCs w:val="20"/>
        </w:rPr>
        <w:t>–</w:t>
      </w:r>
    </w:p>
    <w:p w14:paraId="393F595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Насичення поверхні металевих виробів атомами бора</w:t>
      </w:r>
      <w:r w:rsidRPr="000977F7">
        <w:rPr>
          <w:rFonts w:asciiTheme="majorHAnsi" w:hAnsiTheme="majorHAnsi"/>
          <w:spacing w:val="1"/>
          <w:sz w:val="20"/>
          <w:szCs w:val="20"/>
        </w:rPr>
        <w:t xml:space="preserve"> </w:t>
      </w:r>
      <w:r w:rsidRPr="000977F7">
        <w:rPr>
          <w:rFonts w:asciiTheme="majorHAnsi" w:hAnsiTheme="majorHAnsi"/>
          <w:sz w:val="20"/>
          <w:szCs w:val="20"/>
        </w:rPr>
        <w:t>для підвищення твердості, теплостійкості, зносостійкості</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корозійної</w:t>
      </w:r>
      <w:r w:rsidRPr="000977F7">
        <w:rPr>
          <w:rFonts w:asciiTheme="majorHAnsi" w:hAnsiTheme="majorHAnsi"/>
          <w:spacing w:val="-1"/>
          <w:sz w:val="20"/>
          <w:szCs w:val="20"/>
        </w:rPr>
        <w:t xml:space="preserve"> </w:t>
      </w:r>
      <w:r w:rsidRPr="000977F7">
        <w:rPr>
          <w:rFonts w:asciiTheme="majorHAnsi" w:hAnsiTheme="majorHAnsi"/>
          <w:sz w:val="20"/>
          <w:szCs w:val="20"/>
        </w:rPr>
        <w:t>стійкості:</w:t>
      </w:r>
    </w:p>
    <w:p w14:paraId="4E526812" w14:textId="77777777" w:rsidR="0097612F" w:rsidRPr="000977F7" w:rsidRDefault="0097612F" w:rsidP="00FD39A4">
      <w:pPr>
        <w:pStyle w:val="ac"/>
        <w:widowControl w:val="0"/>
        <w:numPr>
          <w:ilvl w:val="1"/>
          <w:numId w:val="218"/>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газове – в газовому середовищі, яке містить активні</w:t>
      </w:r>
      <w:r w:rsidRPr="000977F7">
        <w:rPr>
          <w:rFonts w:asciiTheme="majorHAnsi" w:hAnsiTheme="majorHAnsi"/>
          <w:spacing w:val="-2"/>
          <w:sz w:val="20"/>
          <w:szCs w:val="20"/>
        </w:rPr>
        <w:t xml:space="preserve"> </w:t>
      </w:r>
      <w:r w:rsidRPr="000977F7">
        <w:rPr>
          <w:rFonts w:asciiTheme="majorHAnsi" w:hAnsiTheme="majorHAnsi"/>
          <w:sz w:val="20"/>
          <w:szCs w:val="20"/>
        </w:rPr>
        <w:t>атоми</w:t>
      </w:r>
      <w:r w:rsidRPr="000977F7">
        <w:rPr>
          <w:rFonts w:asciiTheme="majorHAnsi" w:hAnsiTheme="majorHAnsi"/>
          <w:spacing w:val="1"/>
          <w:sz w:val="20"/>
          <w:szCs w:val="20"/>
        </w:rPr>
        <w:t xml:space="preserve"> </w:t>
      </w:r>
      <w:r w:rsidRPr="000977F7">
        <w:rPr>
          <w:rFonts w:asciiTheme="majorHAnsi" w:hAnsiTheme="majorHAnsi"/>
          <w:sz w:val="20"/>
          <w:szCs w:val="20"/>
        </w:rPr>
        <w:t>бора;</w:t>
      </w:r>
    </w:p>
    <w:p w14:paraId="4A6F46BE" w14:textId="77777777" w:rsidR="0097612F" w:rsidRPr="000977F7" w:rsidRDefault="0097612F" w:rsidP="00FD39A4">
      <w:pPr>
        <w:pStyle w:val="ac"/>
        <w:widowControl w:val="0"/>
        <w:numPr>
          <w:ilvl w:val="1"/>
          <w:numId w:val="218"/>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двохфазне – з утворенням на поверхні двох фаз –</w:t>
      </w:r>
      <w:r w:rsidRPr="000977F7">
        <w:rPr>
          <w:rFonts w:asciiTheme="majorHAnsi" w:hAnsiTheme="majorHAnsi"/>
          <w:spacing w:val="1"/>
          <w:sz w:val="20"/>
          <w:szCs w:val="20"/>
        </w:rPr>
        <w:t xml:space="preserve"> </w:t>
      </w:r>
      <w:r w:rsidRPr="000977F7">
        <w:rPr>
          <w:rFonts w:asciiTheme="majorHAnsi" w:hAnsiTheme="majorHAnsi"/>
          <w:sz w:val="20"/>
          <w:szCs w:val="20"/>
        </w:rPr>
        <w:t>Fe</w:t>
      </w:r>
      <w:r w:rsidRPr="000977F7">
        <w:rPr>
          <w:rFonts w:asciiTheme="majorHAnsi" w:hAnsiTheme="majorHAnsi"/>
          <w:sz w:val="20"/>
          <w:szCs w:val="20"/>
          <w:vertAlign w:val="subscript"/>
        </w:rPr>
        <w:t>2</w:t>
      </w:r>
      <w:r w:rsidRPr="000977F7">
        <w:rPr>
          <w:rFonts w:asciiTheme="majorHAnsi" w:hAnsiTheme="majorHAnsi"/>
          <w:sz w:val="20"/>
          <w:szCs w:val="20"/>
        </w:rPr>
        <w:t>B та FeB;</w:t>
      </w:r>
    </w:p>
    <w:p w14:paraId="29F9B673" w14:textId="77777777" w:rsidR="0097612F" w:rsidRPr="000977F7" w:rsidRDefault="0097612F" w:rsidP="00FD39A4">
      <w:pPr>
        <w:pStyle w:val="ac"/>
        <w:widowControl w:val="0"/>
        <w:numPr>
          <w:ilvl w:val="1"/>
          <w:numId w:val="218"/>
        </w:numPr>
        <w:tabs>
          <w:tab w:val="left" w:pos="284"/>
          <w:tab w:val="left" w:pos="800"/>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рідкісне</w:t>
      </w:r>
      <w:r w:rsidRPr="000977F7">
        <w:rPr>
          <w:rFonts w:asciiTheme="majorHAnsi" w:hAnsiTheme="majorHAnsi"/>
          <w:spacing w:val="27"/>
          <w:sz w:val="20"/>
          <w:szCs w:val="20"/>
        </w:rPr>
        <w:t xml:space="preserve"> </w:t>
      </w:r>
      <w:r w:rsidRPr="000977F7">
        <w:rPr>
          <w:rFonts w:asciiTheme="majorHAnsi" w:hAnsiTheme="majorHAnsi"/>
          <w:sz w:val="20"/>
          <w:szCs w:val="20"/>
        </w:rPr>
        <w:t>–</w:t>
      </w:r>
      <w:r w:rsidRPr="000977F7">
        <w:rPr>
          <w:rFonts w:asciiTheme="majorHAnsi" w:hAnsiTheme="majorHAnsi"/>
          <w:spacing w:val="28"/>
          <w:sz w:val="20"/>
          <w:szCs w:val="20"/>
        </w:rPr>
        <w:t xml:space="preserve"> </w:t>
      </w:r>
      <w:r w:rsidRPr="000977F7">
        <w:rPr>
          <w:rFonts w:asciiTheme="majorHAnsi" w:hAnsiTheme="majorHAnsi"/>
          <w:sz w:val="20"/>
          <w:szCs w:val="20"/>
        </w:rPr>
        <w:t>в</w:t>
      </w:r>
      <w:r w:rsidRPr="000977F7">
        <w:rPr>
          <w:rFonts w:asciiTheme="majorHAnsi" w:hAnsiTheme="majorHAnsi"/>
          <w:spacing w:val="26"/>
          <w:sz w:val="20"/>
          <w:szCs w:val="20"/>
        </w:rPr>
        <w:t xml:space="preserve"> </w:t>
      </w:r>
      <w:r w:rsidRPr="000977F7">
        <w:rPr>
          <w:rFonts w:asciiTheme="majorHAnsi" w:hAnsiTheme="majorHAnsi"/>
          <w:sz w:val="20"/>
          <w:szCs w:val="20"/>
        </w:rPr>
        <w:t>рідкому</w:t>
      </w:r>
      <w:r w:rsidRPr="000977F7">
        <w:rPr>
          <w:rFonts w:asciiTheme="majorHAnsi" w:hAnsiTheme="majorHAnsi"/>
          <w:spacing w:val="23"/>
          <w:sz w:val="20"/>
          <w:szCs w:val="20"/>
        </w:rPr>
        <w:t xml:space="preserve"> </w:t>
      </w:r>
      <w:r w:rsidRPr="000977F7">
        <w:rPr>
          <w:rFonts w:asciiTheme="majorHAnsi" w:hAnsiTheme="majorHAnsi"/>
          <w:sz w:val="20"/>
          <w:szCs w:val="20"/>
        </w:rPr>
        <w:t>середовищі,</w:t>
      </w:r>
      <w:r w:rsidRPr="000977F7">
        <w:rPr>
          <w:rFonts w:asciiTheme="majorHAnsi" w:hAnsiTheme="majorHAnsi"/>
          <w:spacing w:val="27"/>
          <w:sz w:val="20"/>
          <w:szCs w:val="20"/>
        </w:rPr>
        <w:t xml:space="preserve"> </w:t>
      </w:r>
      <w:r w:rsidRPr="000977F7">
        <w:rPr>
          <w:rFonts w:asciiTheme="majorHAnsi" w:hAnsiTheme="majorHAnsi"/>
          <w:sz w:val="20"/>
          <w:szCs w:val="20"/>
        </w:rPr>
        <w:t>яке</w:t>
      </w:r>
      <w:r w:rsidRPr="000977F7">
        <w:rPr>
          <w:rFonts w:asciiTheme="majorHAnsi" w:hAnsiTheme="majorHAnsi"/>
          <w:spacing w:val="27"/>
          <w:sz w:val="20"/>
          <w:szCs w:val="20"/>
        </w:rPr>
        <w:t xml:space="preserve"> </w:t>
      </w:r>
      <w:r w:rsidRPr="000977F7">
        <w:rPr>
          <w:rFonts w:asciiTheme="majorHAnsi" w:hAnsiTheme="majorHAnsi"/>
          <w:sz w:val="20"/>
          <w:szCs w:val="20"/>
        </w:rPr>
        <w:t>містить</w:t>
      </w:r>
      <w:r w:rsidRPr="000977F7">
        <w:rPr>
          <w:rFonts w:asciiTheme="majorHAnsi" w:hAnsiTheme="majorHAnsi"/>
          <w:spacing w:val="27"/>
          <w:sz w:val="20"/>
          <w:szCs w:val="20"/>
        </w:rPr>
        <w:t xml:space="preserve"> </w:t>
      </w:r>
      <w:r w:rsidRPr="000977F7">
        <w:rPr>
          <w:rFonts w:asciiTheme="majorHAnsi" w:hAnsiTheme="majorHAnsi"/>
          <w:sz w:val="20"/>
          <w:szCs w:val="20"/>
        </w:rPr>
        <w:t>активні</w:t>
      </w:r>
      <w:r w:rsidRPr="000977F7">
        <w:rPr>
          <w:rFonts w:asciiTheme="majorHAnsi" w:hAnsiTheme="majorHAnsi"/>
          <w:spacing w:val="-2"/>
          <w:sz w:val="20"/>
          <w:szCs w:val="20"/>
        </w:rPr>
        <w:t xml:space="preserve"> </w:t>
      </w:r>
      <w:r w:rsidRPr="000977F7">
        <w:rPr>
          <w:rFonts w:asciiTheme="majorHAnsi" w:hAnsiTheme="majorHAnsi"/>
          <w:sz w:val="20"/>
          <w:szCs w:val="20"/>
        </w:rPr>
        <w:t>атоми</w:t>
      </w:r>
      <w:r w:rsidRPr="000977F7">
        <w:rPr>
          <w:rFonts w:asciiTheme="majorHAnsi" w:hAnsiTheme="majorHAnsi"/>
          <w:spacing w:val="1"/>
          <w:sz w:val="20"/>
          <w:szCs w:val="20"/>
        </w:rPr>
        <w:t xml:space="preserve"> </w:t>
      </w:r>
      <w:r w:rsidRPr="000977F7">
        <w:rPr>
          <w:rFonts w:asciiTheme="majorHAnsi" w:hAnsiTheme="majorHAnsi"/>
          <w:sz w:val="20"/>
          <w:szCs w:val="20"/>
        </w:rPr>
        <w:t>бора;</w:t>
      </w:r>
    </w:p>
    <w:p w14:paraId="6BD921EE" w14:textId="77777777" w:rsidR="0097612F" w:rsidRPr="000977F7" w:rsidRDefault="0097612F" w:rsidP="00FD39A4">
      <w:pPr>
        <w:pStyle w:val="ac"/>
        <w:widowControl w:val="0"/>
        <w:numPr>
          <w:ilvl w:val="1"/>
          <w:numId w:val="218"/>
        </w:numPr>
        <w:tabs>
          <w:tab w:val="left" w:pos="284"/>
          <w:tab w:val="left" w:pos="800"/>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однофазне</w:t>
      </w:r>
      <w:r w:rsidRPr="000977F7">
        <w:rPr>
          <w:rFonts w:asciiTheme="majorHAnsi" w:hAnsiTheme="majorHAnsi"/>
          <w:spacing w:val="-4"/>
          <w:sz w:val="20"/>
          <w:szCs w:val="20"/>
        </w:rPr>
        <w:t xml:space="preserve"> </w:t>
      </w:r>
      <w:r w:rsidRPr="000977F7">
        <w:rPr>
          <w:rFonts w:asciiTheme="majorHAnsi" w:hAnsiTheme="majorHAnsi"/>
          <w:sz w:val="20"/>
          <w:szCs w:val="20"/>
        </w:rPr>
        <w:t>–</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утворенням</w:t>
      </w:r>
      <w:r w:rsidRPr="000977F7">
        <w:rPr>
          <w:rFonts w:asciiTheme="majorHAnsi" w:hAnsiTheme="majorHAnsi"/>
          <w:spacing w:val="-3"/>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поверхні</w:t>
      </w:r>
      <w:r w:rsidRPr="000977F7">
        <w:rPr>
          <w:rFonts w:asciiTheme="majorHAnsi" w:hAnsiTheme="majorHAnsi"/>
          <w:spacing w:val="-4"/>
          <w:sz w:val="20"/>
          <w:szCs w:val="20"/>
        </w:rPr>
        <w:t xml:space="preserve"> </w:t>
      </w:r>
      <w:r w:rsidRPr="000977F7">
        <w:rPr>
          <w:rFonts w:asciiTheme="majorHAnsi" w:hAnsiTheme="majorHAnsi"/>
          <w:sz w:val="20"/>
          <w:szCs w:val="20"/>
        </w:rPr>
        <w:t>однієї</w:t>
      </w:r>
    </w:p>
    <w:p w14:paraId="03F7A498" w14:textId="77777777" w:rsidR="0097612F" w:rsidRPr="000977F7" w:rsidRDefault="0097612F" w:rsidP="00FD39A4">
      <w:pPr>
        <w:pStyle w:val="ac"/>
        <w:widowControl w:val="0"/>
        <w:numPr>
          <w:ilvl w:val="1"/>
          <w:numId w:val="218"/>
        </w:numPr>
        <w:tabs>
          <w:tab w:val="left" w:pos="284"/>
          <w:tab w:val="left" w:pos="800"/>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фази</w:t>
      </w:r>
      <w:r w:rsidRPr="000977F7">
        <w:rPr>
          <w:rFonts w:asciiTheme="majorHAnsi" w:hAnsiTheme="majorHAnsi"/>
          <w:spacing w:val="-1"/>
          <w:sz w:val="20"/>
          <w:szCs w:val="20"/>
        </w:rPr>
        <w:t xml:space="preserve"> </w:t>
      </w:r>
      <w:r w:rsidRPr="000977F7">
        <w:rPr>
          <w:rFonts w:asciiTheme="majorHAnsi" w:hAnsiTheme="majorHAnsi"/>
          <w:sz w:val="20"/>
          <w:szCs w:val="20"/>
        </w:rPr>
        <w:t>Fe</w:t>
      </w:r>
      <w:r w:rsidRPr="000977F7">
        <w:rPr>
          <w:rFonts w:asciiTheme="majorHAnsi" w:hAnsiTheme="majorHAnsi"/>
          <w:sz w:val="20"/>
          <w:szCs w:val="20"/>
          <w:vertAlign w:val="subscript"/>
        </w:rPr>
        <w:t>2</w:t>
      </w:r>
      <w:r w:rsidRPr="000977F7">
        <w:rPr>
          <w:rFonts w:asciiTheme="majorHAnsi" w:hAnsiTheme="majorHAnsi"/>
          <w:sz w:val="20"/>
          <w:szCs w:val="20"/>
        </w:rPr>
        <w:t>B;</w:t>
      </w:r>
    </w:p>
    <w:p w14:paraId="4E721BE2" w14:textId="77777777" w:rsidR="0097612F" w:rsidRPr="000977F7" w:rsidRDefault="0097612F" w:rsidP="00FD39A4">
      <w:pPr>
        <w:pStyle w:val="ac"/>
        <w:widowControl w:val="0"/>
        <w:numPr>
          <w:ilvl w:val="1"/>
          <w:numId w:val="218"/>
        </w:numPr>
        <w:tabs>
          <w:tab w:val="left" w:pos="284"/>
          <w:tab w:val="left" w:pos="800"/>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твердо</w:t>
      </w:r>
      <w:r w:rsidRPr="000977F7">
        <w:rPr>
          <w:rFonts w:asciiTheme="majorHAnsi" w:hAnsiTheme="majorHAnsi"/>
          <w:spacing w:val="22"/>
          <w:sz w:val="20"/>
          <w:szCs w:val="20"/>
        </w:rPr>
        <w:t xml:space="preserve"> </w:t>
      </w:r>
      <w:r w:rsidRPr="000977F7">
        <w:rPr>
          <w:rFonts w:asciiTheme="majorHAnsi" w:hAnsiTheme="majorHAnsi"/>
          <w:sz w:val="20"/>
          <w:szCs w:val="20"/>
        </w:rPr>
        <w:t>фазне</w:t>
      </w:r>
      <w:r w:rsidRPr="000977F7">
        <w:rPr>
          <w:rFonts w:asciiTheme="majorHAnsi" w:hAnsiTheme="majorHAnsi"/>
          <w:spacing w:val="24"/>
          <w:sz w:val="20"/>
          <w:szCs w:val="20"/>
        </w:rPr>
        <w:t xml:space="preserve"> </w:t>
      </w:r>
      <w:r w:rsidRPr="000977F7">
        <w:rPr>
          <w:rFonts w:asciiTheme="majorHAnsi" w:hAnsiTheme="majorHAnsi"/>
          <w:sz w:val="20"/>
          <w:szCs w:val="20"/>
        </w:rPr>
        <w:t>–</w:t>
      </w:r>
      <w:r w:rsidRPr="000977F7">
        <w:rPr>
          <w:rFonts w:asciiTheme="majorHAnsi" w:hAnsiTheme="majorHAnsi"/>
          <w:spacing w:val="24"/>
          <w:sz w:val="20"/>
          <w:szCs w:val="20"/>
        </w:rPr>
        <w:t xml:space="preserve"> </w:t>
      </w:r>
      <w:r w:rsidRPr="000977F7">
        <w:rPr>
          <w:rFonts w:asciiTheme="majorHAnsi" w:hAnsiTheme="majorHAnsi"/>
          <w:sz w:val="20"/>
          <w:szCs w:val="20"/>
        </w:rPr>
        <w:t>в</w:t>
      </w:r>
      <w:r w:rsidRPr="000977F7">
        <w:rPr>
          <w:rFonts w:asciiTheme="majorHAnsi" w:hAnsiTheme="majorHAnsi"/>
          <w:spacing w:val="25"/>
          <w:sz w:val="20"/>
          <w:szCs w:val="20"/>
        </w:rPr>
        <w:t xml:space="preserve"> </w:t>
      </w:r>
      <w:r w:rsidRPr="000977F7">
        <w:rPr>
          <w:rFonts w:asciiTheme="majorHAnsi" w:hAnsiTheme="majorHAnsi"/>
          <w:sz w:val="20"/>
          <w:szCs w:val="20"/>
        </w:rPr>
        <w:t>твердому</w:t>
      </w:r>
      <w:r w:rsidRPr="000977F7">
        <w:rPr>
          <w:rFonts w:asciiTheme="majorHAnsi" w:hAnsiTheme="majorHAnsi"/>
          <w:spacing w:val="21"/>
          <w:sz w:val="20"/>
          <w:szCs w:val="20"/>
        </w:rPr>
        <w:t xml:space="preserve"> </w:t>
      </w:r>
      <w:r w:rsidRPr="000977F7">
        <w:rPr>
          <w:rFonts w:asciiTheme="majorHAnsi" w:hAnsiTheme="majorHAnsi"/>
          <w:sz w:val="20"/>
          <w:szCs w:val="20"/>
        </w:rPr>
        <w:t>порошковому</w:t>
      </w:r>
      <w:r w:rsidRPr="000977F7">
        <w:rPr>
          <w:rFonts w:asciiTheme="majorHAnsi" w:hAnsiTheme="majorHAnsi"/>
          <w:spacing w:val="19"/>
          <w:sz w:val="20"/>
          <w:szCs w:val="20"/>
        </w:rPr>
        <w:t xml:space="preserve"> </w:t>
      </w:r>
      <w:r w:rsidRPr="000977F7">
        <w:rPr>
          <w:rFonts w:asciiTheme="majorHAnsi" w:hAnsiTheme="majorHAnsi"/>
          <w:sz w:val="20"/>
          <w:szCs w:val="20"/>
        </w:rPr>
        <w:t>середовищі,</w:t>
      </w:r>
      <w:r w:rsidRPr="000977F7">
        <w:rPr>
          <w:rFonts w:asciiTheme="majorHAnsi" w:hAnsiTheme="majorHAnsi"/>
          <w:spacing w:val="-1"/>
          <w:sz w:val="20"/>
          <w:szCs w:val="20"/>
        </w:rPr>
        <w:t xml:space="preserve"> </w:t>
      </w:r>
      <w:r w:rsidRPr="000977F7">
        <w:rPr>
          <w:rFonts w:asciiTheme="majorHAnsi" w:hAnsiTheme="majorHAnsi"/>
          <w:sz w:val="20"/>
          <w:szCs w:val="20"/>
        </w:rPr>
        <w:t>яке містить</w:t>
      </w:r>
      <w:r w:rsidRPr="000977F7">
        <w:rPr>
          <w:rFonts w:asciiTheme="majorHAnsi" w:hAnsiTheme="majorHAnsi"/>
          <w:spacing w:val="-1"/>
          <w:sz w:val="20"/>
          <w:szCs w:val="20"/>
        </w:rPr>
        <w:t xml:space="preserve"> </w:t>
      </w:r>
      <w:r w:rsidRPr="000977F7">
        <w:rPr>
          <w:rFonts w:asciiTheme="majorHAnsi" w:hAnsiTheme="majorHAnsi"/>
          <w:sz w:val="20"/>
          <w:szCs w:val="20"/>
        </w:rPr>
        <w:t>активні</w:t>
      </w:r>
      <w:r w:rsidRPr="000977F7">
        <w:rPr>
          <w:rFonts w:asciiTheme="majorHAnsi" w:hAnsiTheme="majorHAnsi"/>
          <w:spacing w:val="-1"/>
          <w:sz w:val="20"/>
          <w:szCs w:val="20"/>
        </w:rPr>
        <w:t xml:space="preserve"> </w:t>
      </w:r>
      <w:r w:rsidRPr="000977F7">
        <w:rPr>
          <w:rFonts w:asciiTheme="majorHAnsi" w:hAnsiTheme="majorHAnsi"/>
          <w:sz w:val="20"/>
          <w:szCs w:val="20"/>
        </w:rPr>
        <w:t>атоми</w:t>
      </w:r>
      <w:r w:rsidRPr="000977F7">
        <w:rPr>
          <w:rFonts w:asciiTheme="majorHAnsi" w:hAnsiTheme="majorHAnsi"/>
          <w:spacing w:val="-1"/>
          <w:sz w:val="20"/>
          <w:szCs w:val="20"/>
        </w:rPr>
        <w:t xml:space="preserve"> </w:t>
      </w:r>
      <w:r w:rsidRPr="000977F7">
        <w:rPr>
          <w:rFonts w:asciiTheme="majorHAnsi" w:hAnsiTheme="majorHAnsi"/>
          <w:sz w:val="20"/>
          <w:szCs w:val="20"/>
        </w:rPr>
        <w:t>бора;</w:t>
      </w:r>
    </w:p>
    <w:p w14:paraId="0AA47D94" w14:textId="77777777" w:rsidR="0097612F" w:rsidRPr="000977F7" w:rsidRDefault="0097612F" w:rsidP="00FD39A4">
      <w:pPr>
        <w:pStyle w:val="ac"/>
        <w:widowControl w:val="0"/>
        <w:numPr>
          <w:ilvl w:val="1"/>
          <w:numId w:val="218"/>
        </w:numPr>
        <w:tabs>
          <w:tab w:val="left" w:pos="284"/>
          <w:tab w:val="left" w:pos="800"/>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електролізне</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3"/>
          <w:sz w:val="20"/>
          <w:szCs w:val="20"/>
        </w:rPr>
        <w:t xml:space="preserve"> </w:t>
      </w:r>
      <w:r w:rsidRPr="000977F7">
        <w:rPr>
          <w:rFonts w:asciiTheme="majorHAnsi" w:hAnsiTheme="majorHAnsi"/>
          <w:sz w:val="20"/>
          <w:szCs w:val="20"/>
        </w:rPr>
        <w:t>електроліті</w:t>
      </w:r>
    </w:p>
    <w:p w14:paraId="63724D63"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БОЧКУВАТІСТЬ</w:t>
      </w:r>
      <w:r w:rsidRPr="000977F7">
        <w:rPr>
          <w:color w:val="auto"/>
          <w:spacing w:val="-8"/>
          <w:sz w:val="20"/>
          <w:szCs w:val="20"/>
        </w:rPr>
        <w:t xml:space="preserve"> </w:t>
      </w:r>
      <w:r w:rsidRPr="000977F7">
        <w:rPr>
          <w:b w:val="0"/>
          <w:color w:val="auto"/>
          <w:sz w:val="20"/>
          <w:szCs w:val="20"/>
        </w:rPr>
        <w:t>–</w:t>
      </w:r>
    </w:p>
    <w:p w14:paraId="330FB8C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Відхилення форми профілю повздовжнього перетину</w:t>
      </w:r>
      <w:r w:rsidRPr="000977F7">
        <w:rPr>
          <w:rFonts w:asciiTheme="majorHAnsi" w:hAnsiTheme="majorHAnsi"/>
          <w:spacing w:val="1"/>
          <w:sz w:val="20"/>
          <w:szCs w:val="20"/>
        </w:rPr>
        <w:t xml:space="preserve"> </w:t>
      </w:r>
      <w:r w:rsidRPr="000977F7">
        <w:rPr>
          <w:rFonts w:asciiTheme="majorHAnsi" w:hAnsiTheme="majorHAnsi"/>
          <w:sz w:val="20"/>
          <w:szCs w:val="20"/>
        </w:rPr>
        <w:t>циліндра, при якому діаметри торців менші за діаметр</w:t>
      </w:r>
      <w:r w:rsidRPr="000977F7">
        <w:rPr>
          <w:rFonts w:asciiTheme="majorHAnsi" w:hAnsiTheme="majorHAnsi"/>
          <w:spacing w:val="-47"/>
          <w:sz w:val="20"/>
          <w:szCs w:val="20"/>
        </w:rPr>
        <w:t xml:space="preserve"> </w:t>
      </w:r>
      <w:r w:rsidRPr="000977F7">
        <w:rPr>
          <w:rFonts w:asciiTheme="majorHAnsi" w:hAnsiTheme="majorHAnsi"/>
          <w:sz w:val="20"/>
          <w:szCs w:val="20"/>
        </w:rPr>
        <w:t>середнього перетину</w:t>
      </w:r>
    </w:p>
    <w:p w14:paraId="7D2FFCF5"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b/>
          <w:sz w:val="20"/>
          <w:szCs w:val="20"/>
        </w:rPr>
        <w:t xml:space="preserve">БРАК </w:t>
      </w:r>
      <w:r w:rsidRPr="000977F7">
        <w:rPr>
          <w:rFonts w:asciiTheme="majorHAnsi" w:hAnsiTheme="majorHAnsi"/>
          <w:sz w:val="20"/>
          <w:szCs w:val="20"/>
        </w:rPr>
        <w:t>–</w:t>
      </w:r>
      <w:r w:rsidRPr="000977F7">
        <w:rPr>
          <w:rFonts w:asciiTheme="majorHAnsi" w:hAnsiTheme="majorHAnsi"/>
          <w:spacing w:val="1"/>
          <w:sz w:val="20"/>
          <w:szCs w:val="20"/>
        </w:rPr>
        <w:t xml:space="preserve"> </w:t>
      </w:r>
    </w:p>
    <w:p w14:paraId="3508475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REJECT</w:t>
      </w:r>
      <w:r w:rsidRPr="000977F7">
        <w:rPr>
          <w:rFonts w:asciiTheme="majorHAnsi" w:hAnsiTheme="majorHAnsi"/>
          <w:spacing w:val="-11"/>
          <w:sz w:val="20"/>
          <w:szCs w:val="20"/>
        </w:rPr>
        <w:t xml:space="preserve"> </w:t>
      </w:r>
      <w:r w:rsidRPr="000977F7">
        <w:rPr>
          <w:rFonts w:asciiTheme="majorHAnsi" w:hAnsiTheme="majorHAnsi"/>
          <w:sz w:val="20"/>
          <w:szCs w:val="20"/>
        </w:rPr>
        <w:t>–</w:t>
      </w:r>
    </w:p>
    <w:p w14:paraId="19A532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 передавання якої споживачу не допускається</w:t>
      </w:r>
      <w:r w:rsidRPr="000977F7">
        <w:rPr>
          <w:rFonts w:asciiTheme="majorHAnsi" w:hAnsiTheme="majorHAnsi"/>
          <w:spacing w:val="-2"/>
          <w:sz w:val="20"/>
          <w:szCs w:val="20"/>
        </w:rPr>
        <w:t xml:space="preserve"> </w:t>
      </w:r>
      <w:r w:rsidRPr="000977F7">
        <w:rPr>
          <w:rFonts w:asciiTheme="majorHAnsi" w:hAnsiTheme="majorHAnsi"/>
          <w:sz w:val="20"/>
          <w:szCs w:val="20"/>
        </w:rPr>
        <w:t>через</w:t>
      </w:r>
      <w:r w:rsidRPr="000977F7">
        <w:rPr>
          <w:rFonts w:asciiTheme="majorHAnsi" w:hAnsiTheme="majorHAnsi"/>
          <w:spacing w:val="2"/>
          <w:sz w:val="20"/>
          <w:szCs w:val="20"/>
        </w:rPr>
        <w:t xml:space="preserve"> </w:t>
      </w:r>
      <w:r w:rsidRPr="000977F7">
        <w:rPr>
          <w:rFonts w:asciiTheme="majorHAnsi" w:hAnsiTheme="majorHAnsi"/>
          <w:sz w:val="20"/>
          <w:szCs w:val="20"/>
        </w:rPr>
        <w:t>наявність</w:t>
      </w:r>
      <w:r w:rsidRPr="000977F7">
        <w:rPr>
          <w:rFonts w:asciiTheme="majorHAnsi" w:hAnsiTheme="majorHAnsi"/>
          <w:spacing w:val="-1"/>
          <w:sz w:val="20"/>
          <w:szCs w:val="20"/>
        </w:rPr>
        <w:t xml:space="preserve"> </w:t>
      </w:r>
      <w:r w:rsidRPr="000977F7">
        <w:rPr>
          <w:rFonts w:asciiTheme="majorHAnsi" w:hAnsiTheme="majorHAnsi"/>
          <w:sz w:val="20"/>
          <w:szCs w:val="20"/>
        </w:rPr>
        <w:t>дефектів</w:t>
      </w:r>
    </w:p>
    <w:p w14:paraId="71A0F236"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2925 - 94; ДСТУ 3278 - 95</w:t>
      </w:r>
      <w:r w:rsidRPr="000977F7">
        <w:rPr>
          <w:rFonts w:asciiTheme="majorHAnsi" w:hAnsiTheme="majorHAnsi"/>
          <w:i/>
          <w:spacing w:val="-47"/>
          <w:sz w:val="20"/>
          <w:szCs w:val="20"/>
        </w:rPr>
        <w:t xml:space="preserve"> </w:t>
      </w:r>
    </w:p>
    <w:p w14:paraId="46790292"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b/>
          <w:sz w:val="20"/>
          <w:szCs w:val="20"/>
        </w:rPr>
        <w:t xml:space="preserve">БРАКУВАЛЬНЕ ЧИСЛО </w:t>
      </w:r>
      <w:r w:rsidRPr="000977F7">
        <w:rPr>
          <w:rFonts w:asciiTheme="majorHAnsi" w:hAnsiTheme="majorHAnsi"/>
          <w:sz w:val="20"/>
          <w:szCs w:val="20"/>
        </w:rPr>
        <w:t>–</w:t>
      </w:r>
      <w:r w:rsidRPr="000977F7">
        <w:rPr>
          <w:rFonts w:asciiTheme="majorHAnsi" w:hAnsiTheme="majorHAnsi"/>
          <w:spacing w:val="1"/>
          <w:sz w:val="20"/>
          <w:szCs w:val="20"/>
        </w:rPr>
        <w:t xml:space="preserve"> </w:t>
      </w:r>
    </w:p>
    <w:p w14:paraId="2B6465B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REJECTION</w:t>
      </w:r>
      <w:r w:rsidRPr="000977F7">
        <w:rPr>
          <w:rFonts w:asciiTheme="majorHAnsi" w:hAnsiTheme="majorHAnsi"/>
          <w:spacing w:val="-1"/>
          <w:sz w:val="20"/>
          <w:szCs w:val="20"/>
        </w:rPr>
        <w:t xml:space="preserve"> </w:t>
      </w:r>
      <w:r w:rsidRPr="000977F7">
        <w:rPr>
          <w:rFonts w:asciiTheme="majorHAnsi" w:hAnsiTheme="majorHAnsi"/>
          <w:sz w:val="20"/>
          <w:szCs w:val="20"/>
        </w:rPr>
        <w:t>NUMBER</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5A0078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Продукції чи дефектів, що відносяться до ста одиниць</w:t>
      </w:r>
      <w:r w:rsidRPr="000977F7">
        <w:rPr>
          <w:rFonts w:asciiTheme="majorHAnsi" w:hAnsiTheme="majorHAnsi"/>
          <w:spacing w:val="-47"/>
          <w:sz w:val="20"/>
          <w:szCs w:val="20"/>
        </w:rPr>
        <w:t xml:space="preserve"> </w:t>
      </w:r>
      <w:r w:rsidRPr="000977F7">
        <w:rPr>
          <w:rFonts w:asciiTheme="majorHAnsi" w:hAnsiTheme="majorHAnsi"/>
          <w:sz w:val="20"/>
          <w:szCs w:val="20"/>
        </w:rPr>
        <w:t>продукції та який є критерієм для бракування партії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274DE09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1AF03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У разі статистичного приймального контролю за кількісною ознакою – граничне значення контрольованого </w:t>
      </w:r>
      <w:r w:rsidRPr="000977F7">
        <w:rPr>
          <w:rFonts w:asciiTheme="majorHAnsi" w:hAnsiTheme="majorHAnsi"/>
          <w:spacing w:val="-47"/>
          <w:sz w:val="20"/>
          <w:szCs w:val="20"/>
        </w:rPr>
        <w:t xml:space="preserve">   </w:t>
      </w:r>
      <w:r w:rsidRPr="000977F7">
        <w:rPr>
          <w:rFonts w:asciiTheme="majorHAnsi" w:hAnsiTheme="majorHAnsi"/>
          <w:sz w:val="20"/>
          <w:szCs w:val="20"/>
        </w:rPr>
        <w:t>параметра</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виборці</w:t>
      </w:r>
    </w:p>
    <w:p w14:paraId="621450D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97</w:t>
      </w:r>
    </w:p>
    <w:p w14:paraId="406E9A4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БРАКУВАЛЬНИЙ</w:t>
      </w:r>
      <w:r w:rsidRPr="000977F7">
        <w:rPr>
          <w:rFonts w:asciiTheme="majorHAnsi" w:hAnsiTheme="majorHAnsi"/>
          <w:b/>
          <w:spacing w:val="1"/>
          <w:sz w:val="20"/>
          <w:szCs w:val="20"/>
        </w:rPr>
        <w:t xml:space="preserve"> </w:t>
      </w:r>
      <w:r w:rsidRPr="000977F7">
        <w:rPr>
          <w:rFonts w:asciiTheme="majorHAnsi" w:hAnsiTheme="majorHAnsi"/>
          <w:b/>
          <w:sz w:val="20"/>
          <w:szCs w:val="20"/>
        </w:rPr>
        <w:t>РІВЕНЬ</w:t>
      </w:r>
      <w:r w:rsidRPr="000977F7">
        <w:rPr>
          <w:rFonts w:asciiTheme="majorHAnsi" w:hAnsiTheme="majorHAnsi"/>
          <w:b/>
          <w:spacing w:val="1"/>
          <w:sz w:val="20"/>
          <w:szCs w:val="20"/>
        </w:rPr>
        <w:t xml:space="preserve"> </w:t>
      </w:r>
      <w:r w:rsidRPr="000977F7">
        <w:rPr>
          <w:rFonts w:asciiTheme="majorHAnsi" w:hAnsiTheme="majorHAnsi"/>
          <w:b/>
          <w:sz w:val="20"/>
          <w:szCs w:val="20"/>
        </w:rPr>
        <w:t xml:space="preserve">ДЕФЕКТНОСТІ </w:t>
      </w:r>
      <w:r w:rsidRPr="000977F7">
        <w:rPr>
          <w:rFonts w:asciiTheme="majorHAnsi" w:hAnsiTheme="majorHAnsi"/>
          <w:sz w:val="20"/>
          <w:szCs w:val="20"/>
        </w:rPr>
        <w:t>REJECTABLE</w:t>
      </w:r>
      <w:r w:rsidRPr="000977F7">
        <w:rPr>
          <w:rFonts w:asciiTheme="majorHAnsi" w:hAnsiTheme="majorHAnsi"/>
          <w:spacing w:val="-1"/>
          <w:sz w:val="20"/>
          <w:szCs w:val="20"/>
        </w:rPr>
        <w:t xml:space="preserve"> </w:t>
      </w:r>
      <w:r w:rsidRPr="000977F7">
        <w:rPr>
          <w:rFonts w:asciiTheme="majorHAnsi" w:hAnsiTheme="majorHAnsi"/>
          <w:sz w:val="20"/>
          <w:szCs w:val="20"/>
        </w:rPr>
        <w:t>IMPERFECTION</w:t>
      </w:r>
      <w:r w:rsidRPr="000977F7">
        <w:rPr>
          <w:rFonts w:asciiTheme="majorHAnsi" w:hAnsiTheme="majorHAnsi"/>
          <w:spacing w:val="-1"/>
          <w:sz w:val="20"/>
          <w:szCs w:val="20"/>
        </w:rPr>
        <w:t xml:space="preserve"> </w:t>
      </w:r>
      <w:r w:rsidRPr="000977F7">
        <w:rPr>
          <w:rFonts w:asciiTheme="majorHAnsi" w:hAnsiTheme="majorHAnsi"/>
          <w:sz w:val="20"/>
          <w:szCs w:val="20"/>
        </w:rPr>
        <w:t>LEVEL</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E2182E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Мінімальний рівень</w:t>
      </w:r>
      <w:r w:rsidRPr="000977F7">
        <w:rPr>
          <w:rFonts w:asciiTheme="majorHAnsi" w:hAnsiTheme="majorHAnsi"/>
          <w:spacing w:val="1"/>
          <w:sz w:val="20"/>
          <w:szCs w:val="20"/>
        </w:rPr>
        <w:t xml:space="preserve"> </w:t>
      </w:r>
      <w:r w:rsidRPr="000977F7">
        <w:rPr>
          <w:rFonts w:asciiTheme="majorHAnsi" w:hAnsiTheme="majorHAnsi"/>
          <w:sz w:val="20"/>
          <w:szCs w:val="20"/>
        </w:rPr>
        <w:t>дефектності в одиничній партії</w:t>
      </w:r>
      <w:r w:rsidRPr="000977F7">
        <w:rPr>
          <w:rFonts w:asciiTheme="majorHAnsi" w:hAnsiTheme="majorHAnsi"/>
          <w:spacing w:val="1"/>
          <w:sz w:val="20"/>
          <w:szCs w:val="20"/>
        </w:rPr>
        <w:t xml:space="preserve"> </w:t>
      </w:r>
      <w:r w:rsidRPr="000977F7">
        <w:rPr>
          <w:rFonts w:asciiTheme="majorHAnsi" w:hAnsiTheme="majorHAnsi"/>
          <w:sz w:val="20"/>
          <w:szCs w:val="20"/>
        </w:rPr>
        <w:t>для цілей приймання продукції розглядається як незадовільний</w:t>
      </w:r>
    </w:p>
    <w:p w14:paraId="16A72A4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60E1B0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Для контролю послідовності партії бракувальний рівень дефектності не встановлюється</w:t>
      </w:r>
    </w:p>
    <w:p w14:paraId="06305DC0"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 xml:space="preserve">ДСТУ 3514 – 97 </w:t>
      </w:r>
    </w:p>
    <w:p w14:paraId="08893FAF" w14:textId="77777777" w:rsidR="0097612F" w:rsidRPr="000977F7" w:rsidRDefault="0097612F" w:rsidP="000977F7">
      <w:pPr>
        <w:pStyle w:val="af6"/>
        <w:tabs>
          <w:tab w:val="left" w:pos="284"/>
        </w:tabs>
        <w:spacing w:after="0"/>
        <w:ind w:left="170"/>
        <w:mirrorIndents/>
        <w:jc w:val="both"/>
        <w:rPr>
          <w:rFonts w:asciiTheme="majorHAnsi" w:hAnsiTheme="majorHAnsi"/>
          <w:b/>
          <w:spacing w:val="-47"/>
          <w:sz w:val="20"/>
          <w:szCs w:val="20"/>
        </w:rPr>
      </w:pPr>
      <w:r w:rsidRPr="000977F7">
        <w:rPr>
          <w:rFonts w:asciiTheme="majorHAnsi" w:hAnsiTheme="majorHAnsi"/>
          <w:b/>
          <w:sz w:val="20"/>
          <w:szCs w:val="20"/>
        </w:rPr>
        <w:t>БРАКУВАННЯ –</w:t>
      </w:r>
      <w:r w:rsidRPr="000977F7">
        <w:rPr>
          <w:rFonts w:asciiTheme="majorHAnsi" w:hAnsiTheme="majorHAnsi"/>
          <w:b/>
          <w:spacing w:val="-47"/>
          <w:sz w:val="20"/>
          <w:szCs w:val="20"/>
        </w:rPr>
        <w:t xml:space="preserve"> </w:t>
      </w:r>
    </w:p>
    <w:p w14:paraId="145CC1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SCRAP</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56A4E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 яку виконують з невідповідною продукцією чи</w:t>
      </w:r>
      <w:r w:rsidRPr="000977F7">
        <w:rPr>
          <w:rFonts w:asciiTheme="majorHAnsi" w:hAnsiTheme="majorHAnsi"/>
          <w:spacing w:val="1"/>
          <w:sz w:val="20"/>
          <w:szCs w:val="20"/>
        </w:rPr>
        <w:t xml:space="preserve"> </w:t>
      </w:r>
      <w:r w:rsidRPr="000977F7">
        <w:rPr>
          <w:rFonts w:asciiTheme="majorHAnsi" w:hAnsiTheme="majorHAnsi"/>
          <w:sz w:val="20"/>
          <w:szCs w:val="20"/>
        </w:rPr>
        <w:t>послугою, щоб не допустити її початкового передбачуваного використання.</w:t>
      </w:r>
    </w:p>
    <w:p w14:paraId="1A442FD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Приклади</w:t>
      </w:r>
    </w:p>
    <w:p w14:paraId="44EC1B8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Утилізація,</w:t>
      </w:r>
      <w:r w:rsidRPr="000977F7">
        <w:rPr>
          <w:rFonts w:asciiTheme="majorHAnsi" w:hAnsiTheme="majorHAnsi"/>
          <w:spacing w:val="-5"/>
          <w:sz w:val="20"/>
          <w:szCs w:val="20"/>
        </w:rPr>
        <w:t xml:space="preserve"> </w:t>
      </w:r>
      <w:r w:rsidRPr="000977F7">
        <w:rPr>
          <w:rFonts w:asciiTheme="majorHAnsi" w:hAnsiTheme="majorHAnsi"/>
          <w:sz w:val="20"/>
          <w:szCs w:val="20"/>
        </w:rPr>
        <w:t>знищення.</w:t>
      </w:r>
    </w:p>
    <w:p w14:paraId="30E7F9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У ситуації з невідповідною послугою її використанню запобігають, припиняючи надання послу</w:t>
      </w:r>
      <w:r w:rsidRPr="000977F7">
        <w:rPr>
          <w:rFonts w:asciiTheme="majorHAnsi" w:hAnsiTheme="majorHAnsi"/>
          <w:spacing w:val="-47"/>
          <w:sz w:val="20"/>
          <w:szCs w:val="20"/>
        </w:rPr>
        <w:t xml:space="preserve"> </w:t>
      </w:r>
      <w:r w:rsidRPr="000977F7">
        <w:rPr>
          <w:rFonts w:asciiTheme="majorHAnsi" w:hAnsiTheme="majorHAnsi"/>
          <w:sz w:val="20"/>
          <w:szCs w:val="20"/>
        </w:rPr>
        <w:t>ги.</w:t>
      </w:r>
    </w:p>
    <w:p w14:paraId="4E6A1AA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578D8AC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БЮДЖЕТ</w:t>
      </w:r>
      <w:r w:rsidRPr="000977F7">
        <w:rPr>
          <w:color w:val="auto"/>
          <w:spacing w:val="-4"/>
          <w:sz w:val="20"/>
          <w:szCs w:val="20"/>
        </w:rPr>
        <w:t xml:space="preserve"> </w:t>
      </w:r>
      <w:r w:rsidRPr="000977F7">
        <w:rPr>
          <w:color w:val="auto"/>
          <w:sz w:val="20"/>
          <w:szCs w:val="20"/>
        </w:rPr>
        <w:t>МАРКЕТИНГУ</w:t>
      </w:r>
      <w:r w:rsidRPr="000977F7">
        <w:rPr>
          <w:color w:val="auto"/>
          <w:spacing w:val="-1"/>
          <w:sz w:val="20"/>
          <w:szCs w:val="20"/>
        </w:rPr>
        <w:t xml:space="preserve"> </w:t>
      </w:r>
      <w:r w:rsidRPr="000977F7">
        <w:rPr>
          <w:color w:val="auto"/>
          <w:sz w:val="20"/>
          <w:szCs w:val="20"/>
        </w:rPr>
        <w:t>–</w:t>
      </w:r>
    </w:p>
    <w:p w14:paraId="6C11D5C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Витрати на дослідження ринків, забезпечення конкурентоспроможності</w:t>
      </w:r>
      <w:r w:rsidRPr="000977F7">
        <w:rPr>
          <w:rFonts w:asciiTheme="majorHAnsi" w:hAnsiTheme="majorHAnsi"/>
          <w:spacing w:val="1"/>
          <w:sz w:val="20"/>
          <w:szCs w:val="20"/>
        </w:rPr>
        <w:t xml:space="preserve"> </w:t>
      </w:r>
      <w:r w:rsidRPr="000977F7">
        <w:rPr>
          <w:rFonts w:asciiTheme="majorHAnsi" w:hAnsiTheme="majorHAnsi"/>
          <w:sz w:val="20"/>
          <w:szCs w:val="20"/>
        </w:rPr>
        <w:t>продукції, інформаційний зв’язок</w:t>
      </w:r>
      <w:r w:rsidRPr="000977F7">
        <w:rPr>
          <w:rFonts w:asciiTheme="majorHAnsi" w:hAnsiTheme="majorHAnsi"/>
          <w:spacing w:val="-47"/>
          <w:sz w:val="20"/>
          <w:szCs w:val="20"/>
        </w:rPr>
        <w:t xml:space="preserve"> </w:t>
      </w:r>
      <w:r w:rsidRPr="000977F7">
        <w:rPr>
          <w:rFonts w:asciiTheme="majorHAnsi" w:hAnsiTheme="majorHAnsi"/>
          <w:sz w:val="20"/>
          <w:szCs w:val="20"/>
        </w:rPr>
        <w:t>зі</w:t>
      </w:r>
      <w:r w:rsidRPr="000977F7">
        <w:rPr>
          <w:rFonts w:asciiTheme="majorHAnsi" w:hAnsiTheme="majorHAnsi"/>
          <w:spacing w:val="1"/>
          <w:sz w:val="20"/>
          <w:szCs w:val="20"/>
        </w:rPr>
        <w:t xml:space="preserve"> </w:t>
      </w:r>
      <w:r w:rsidRPr="000977F7">
        <w:rPr>
          <w:rFonts w:asciiTheme="majorHAnsi" w:hAnsiTheme="majorHAnsi"/>
          <w:sz w:val="20"/>
          <w:szCs w:val="20"/>
        </w:rPr>
        <w:t>споживачами,</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організацію</w:t>
      </w:r>
      <w:r w:rsidRPr="000977F7">
        <w:rPr>
          <w:rFonts w:asciiTheme="majorHAnsi" w:hAnsiTheme="majorHAnsi"/>
          <w:spacing w:val="1"/>
          <w:sz w:val="20"/>
          <w:szCs w:val="20"/>
        </w:rPr>
        <w:t xml:space="preserve"> </w:t>
      </w:r>
      <w:r w:rsidRPr="000977F7">
        <w:rPr>
          <w:rFonts w:asciiTheme="majorHAnsi" w:hAnsiTheme="majorHAnsi"/>
          <w:sz w:val="20"/>
          <w:szCs w:val="20"/>
        </w:rPr>
        <w:t>товароруху</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збутової</w:t>
      </w:r>
      <w:r w:rsidRPr="000977F7">
        <w:rPr>
          <w:rFonts w:asciiTheme="majorHAnsi" w:hAnsiTheme="majorHAnsi"/>
          <w:spacing w:val="1"/>
          <w:sz w:val="20"/>
          <w:szCs w:val="20"/>
        </w:rPr>
        <w:t xml:space="preserve"> </w:t>
      </w:r>
      <w:r w:rsidRPr="000977F7">
        <w:rPr>
          <w:rFonts w:asciiTheme="majorHAnsi" w:hAnsiTheme="majorHAnsi"/>
          <w:sz w:val="20"/>
          <w:szCs w:val="20"/>
        </w:rPr>
        <w:t>мережі</w:t>
      </w:r>
    </w:p>
    <w:p w14:paraId="0342F2D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A6AB06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БЮЛЛЕТЕНЬ</w:t>
      </w:r>
      <w:r w:rsidRPr="000977F7">
        <w:rPr>
          <w:color w:val="auto"/>
          <w:spacing w:val="1"/>
          <w:sz w:val="20"/>
          <w:szCs w:val="20"/>
        </w:rPr>
        <w:t xml:space="preserve"> </w:t>
      </w:r>
      <w:r w:rsidRPr="000977F7">
        <w:rPr>
          <w:color w:val="auto"/>
          <w:sz w:val="20"/>
          <w:szCs w:val="20"/>
        </w:rPr>
        <w:t>ЗМІН</w:t>
      </w:r>
      <w:r w:rsidRPr="000977F7">
        <w:rPr>
          <w:color w:val="auto"/>
          <w:spacing w:val="1"/>
          <w:sz w:val="20"/>
          <w:szCs w:val="20"/>
        </w:rPr>
        <w:t xml:space="preserve"> </w:t>
      </w:r>
      <w:r w:rsidRPr="000977F7">
        <w:rPr>
          <w:color w:val="auto"/>
          <w:sz w:val="20"/>
          <w:szCs w:val="20"/>
        </w:rPr>
        <w:t>(ЕКСПЛУАТАЦІЙНИХ</w:t>
      </w:r>
      <w:r w:rsidRPr="000977F7">
        <w:rPr>
          <w:color w:val="auto"/>
          <w:spacing w:val="3"/>
          <w:sz w:val="20"/>
          <w:szCs w:val="20"/>
        </w:rPr>
        <w:t xml:space="preserve"> </w:t>
      </w:r>
      <w:r w:rsidRPr="000977F7">
        <w:rPr>
          <w:color w:val="auto"/>
          <w:sz w:val="20"/>
          <w:szCs w:val="20"/>
        </w:rPr>
        <w:t>ТА</w:t>
      </w:r>
      <w:r w:rsidRPr="000977F7">
        <w:rPr>
          <w:color w:val="auto"/>
          <w:spacing w:val="-47"/>
          <w:sz w:val="20"/>
          <w:szCs w:val="20"/>
        </w:rPr>
        <w:t xml:space="preserve"> </w:t>
      </w:r>
      <w:r w:rsidRPr="000977F7">
        <w:rPr>
          <w:color w:val="auto"/>
          <w:sz w:val="20"/>
          <w:szCs w:val="20"/>
        </w:rPr>
        <w:t>ДОКУМЕНТІВ НА РЕМОНТ)</w:t>
      </w:r>
      <w:r w:rsidRPr="000977F7">
        <w:rPr>
          <w:color w:val="auto"/>
          <w:spacing w:val="2"/>
          <w:sz w:val="20"/>
          <w:szCs w:val="20"/>
        </w:rPr>
        <w:t xml:space="preserve"> </w:t>
      </w:r>
      <w:r w:rsidRPr="000977F7">
        <w:rPr>
          <w:color w:val="auto"/>
          <w:sz w:val="20"/>
          <w:szCs w:val="20"/>
        </w:rPr>
        <w:t>–</w:t>
      </w:r>
    </w:p>
    <w:p w14:paraId="29FEC6F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який містить відомості, необхідні для внесення змін у копії конструкторських документів експлуатаційних та на ремонт, а також спосіб їх внесення.</w:t>
      </w:r>
    </w:p>
    <w:p w14:paraId="2E232D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 :</w:t>
      </w:r>
    </w:p>
    <w:p w14:paraId="1685E33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Бюлетень випускає підприємство – власник правдників</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конструкторської</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документації</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підставі</w:t>
      </w:r>
      <w:r w:rsidRPr="000977F7">
        <w:rPr>
          <w:rFonts w:asciiTheme="majorHAnsi" w:hAnsiTheme="majorHAnsi"/>
          <w:spacing w:val="1"/>
          <w:sz w:val="20"/>
          <w:szCs w:val="20"/>
        </w:rPr>
        <w:t xml:space="preserve"> </w:t>
      </w:r>
      <w:r w:rsidRPr="000977F7">
        <w:rPr>
          <w:rFonts w:asciiTheme="majorHAnsi" w:hAnsiTheme="majorHAnsi"/>
          <w:sz w:val="20"/>
          <w:szCs w:val="20"/>
        </w:rPr>
        <w:t>змін,</w:t>
      </w:r>
      <w:r w:rsidRPr="000977F7">
        <w:rPr>
          <w:rFonts w:asciiTheme="majorHAnsi" w:hAnsiTheme="majorHAnsi"/>
          <w:spacing w:val="-47"/>
          <w:sz w:val="20"/>
          <w:szCs w:val="20"/>
        </w:rPr>
        <w:t xml:space="preserve">                   </w:t>
      </w:r>
      <w:r w:rsidRPr="000977F7">
        <w:rPr>
          <w:rFonts w:asciiTheme="majorHAnsi" w:hAnsiTheme="majorHAnsi"/>
          <w:sz w:val="20"/>
          <w:szCs w:val="20"/>
        </w:rPr>
        <w:t>внесених у</w:t>
      </w:r>
      <w:r w:rsidRPr="000977F7">
        <w:rPr>
          <w:rFonts w:asciiTheme="majorHAnsi" w:hAnsiTheme="majorHAnsi"/>
          <w:spacing w:val="-1"/>
          <w:sz w:val="20"/>
          <w:szCs w:val="20"/>
        </w:rPr>
        <w:t xml:space="preserve"> </w:t>
      </w:r>
      <w:r w:rsidRPr="000977F7">
        <w:rPr>
          <w:rFonts w:asciiTheme="majorHAnsi" w:hAnsiTheme="majorHAnsi"/>
          <w:sz w:val="20"/>
          <w:szCs w:val="20"/>
        </w:rPr>
        <w:t>правдники документів</w:t>
      </w:r>
    </w:p>
    <w:p w14:paraId="296B55C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sectPr w:rsidR="0097612F" w:rsidRPr="000977F7" w:rsidSect="000977F7">
          <w:footerReference w:type="default" r:id="rId10"/>
          <w:type w:val="continuous"/>
          <w:pgSz w:w="11910" w:h="16840"/>
          <w:pgMar w:top="800" w:right="428" w:bottom="960" w:left="1000" w:header="0" w:footer="751" w:gutter="0"/>
          <w:cols w:num="2" w:space="454"/>
        </w:sect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15C5A89B" w14:textId="77777777" w:rsidR="0097612F" w:rsidRPr="000977F7" w:rsidRDefault="0097612F" w:rsidP="00F74722">
      <w:pPr>
        <w:pStyle w:val="1"/>
        <w:rPr>
          <w:color w:val="auto"/>
          <w:w w:val="99"/>
          <w:sz w:val="24"/>
          <w:szCs w:val="24"/>
          <w:lang w:val="uk-UA"/>
        </w:rPr>
      </w:pPr>
      <w:bookmarkStart w:id="17" w:name="_Toc132629624"/>
      <w:r w:rsidRPr="00F74722">
        <w:rPr>
          <w:lang w:val="uk-UA"/>
        </w:rPr>
        <w:lastRenderedPageBreak/>
        <w:t>В</w:t>
      </w:r>
      <w:bookmarkEnd w:id="17"/>
    </w:p>
    <w:p w14:paraId="5AE1ED77" w14:textId="77777777" w:rsidR="0097612F" w:rsidRPr="000977F7" w:rsidRDefault="0097612F" w:rsidP="000977F7">
      <w:pPr>
        <w:pStyle w:val="1"/>
        <w:tabs>
          <w:tab w:val="left" w:pos="284"/>
        </w:tabs>
        <w:spacing w:after="120" w:line="240" w:lineRule="auto"/>
        <w:ind w:left="170"/>
        <w:mirrorIndents/>
        <w:rPr>
          <w:color w:val="auto"/>
          <w:w w:val="99"/>
          <w:sz w:val="24"/>
          <w:szCs w:val="24"/>
          <w:lang w:val="uk-UA"/>
        </w:rPr>
        <w:sectPr w:rsidR="0097612F" w:rsidRPr="000977F7" w:rsidSect="000977F7">
          <w:pgSz w:w="11910" w:h="16840"/>
          <w:pgMar w:top="800" w:right="428" w:bottom="960" w:left="1000" w:header="0" w:footer="751" w:gutter="0"/>
          <w:cols w:num="2" w:space="454"/>
        </w:sectPr>
      </w:pPr>
    </w:p>
    <w:p w14:paraId="285FE00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ВАЛІДАЦІЯ –</w:t>
      </w:r>
    </w:p>
    <w:p w14:paraId="012302D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VALIDATION –</w:t>
      </w:r>
    </w:p>
    <w:p w14:paraId="37304A0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Верифікація, в якій зазначені вимоги відповідають використанню за призначеністю. </w:t>
      </w:r>
    </w:p>
    <w:p w14:paraId="529474D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Приклад Процедура вимірювання, що зазвичай використовують для вимірювання масової концентрації азоту у воді, може бути валідована також для вимірювання масової концентрації азоту в сироватці людини. </w:t>
      </w:r>
    </w:p>
    <w:p w14:paraId="245324F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i/>
          <w:iCs/>
          <w:sz w:val="20"/>
          <w:szCs w:val="20"/>
        </w:rPr>
        <w:t>ДСТУ EN ISO/IEC 17025:2019</w:t>
      </w:r>
    </w:p>
    <w:p w14:paraId="24BCD3F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ВАЛЮТНИЙ</w:t>
      </w:r>
      <w:r w:rsidRPr="000977F7">
        <w:rPr>
          <w:color w:val="auto"/>
          <w:spacing w:val="-4"/>
          <w:sz w:val="20"/>
          <w:szCs w:val="20"/>
        </w:rPr>
        <w:t xml:space="preserve"> </w:t>
      </w:r>
      <w:r w:rsidRPr="000977F7">
        <w:rPr>
          <w:color w:val="auto"/>
          <w:sz w:val="20"/>
          <w:szCs w:val="20"/>
        </w:rPr>
        <w:t>КУРС</w:t>
      </w:r>
      <w:r w:rsidRPr="000977F7">
        <w:rPr>
          <w:color w:val="auto"/>
          <w:spacing w:val="-2"/>
          <w:sz w:val="20"/>
          <w:szCs w:val="20"/>
        </w:rPr>
        <w:t xml:space="preserve"> </w:t>
      </w:r>
      <w:r w:rsidRPr="000977F7">
        <w:rPr>
          <w:color w:val="auto"/>
          <w:sz w:val="20"/>
          <w:szCs w:val="20"/>
        </w:rPr>
        <w:t>–</w:t>
      </w:r>
    </w:p>
    <w:p w14:paraId="7B1BACB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Ціна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грошової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одиниці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конкретної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національної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ва</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люти, виражена у грошових одиницях валюти іншої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країни</w:t>
      </w:r>
    </w:p>
    <w:p w14:paraId="6FBD3B4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3293</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95</w:t>
      </w:r>
    </w:p>
    <w:p w14:paraId="4998BE9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ВАЛЮТНІ</w:t>
      </w:r>
      <w:r w:rsidRPr="000977F7">
        <w:rPr>
          <w:color w:val="auto"/>
          <w:spacing w:val="-5"/>
          <w:sz w:val="20"/>
          <w:szCs w:val="20"/>
        </w:rPr>
        <w:t xml:space="preserve"> </w:t>
      </w:r>
      <w:r w:rsidRPr="000977F7">
        <w:rPr>
          <w:color w:val="auto"/>
          <w:sz w:val="20"/>
          <w:szCs w:val="20"/>
        </w:rPr>
        <w:t>ЦІННОСТІ</w:t>
      </w:r>
      <w:r w:rsidRPr="000977F7">
        <w:rPr>
          <w:color w:val="auto"/>
          <w:spacing w:val="-4"/>
          <w:sz w:val="20"/>
          <w:szCs w:val="20"/>
        </w:rPr>
        <w:t xml:space="preserve"> </w:t>
      </w:r>
      <w:r w:rsidRPr="000977F7">
        <w:rPr>
          <w:color w:val="auto"/>
          <w:sz w:val="20"/>
          <w:szCs w:val="20"/>
        </w:rPr>
        <w:t>–</w:t>
      </w:r>
    </w:p>
    <w:p w14:paraId="03D42A3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Валюта України – грошові знаки у вигляді банкнотів,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казначейських білетів, монет та в інших формах, 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перебувають в обігу та є законним платіжним засобом</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на території України,</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а також вилучені з обігу 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такі, що вилучаються з нього, але підлягають обмінові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грошові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знаки,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перебувають 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обігу;</w:t>
      </w:r>
    </w:p>
    <w:p w14:paraId="7D64D39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іноземна валюта – іноземні грошові знаки у вигляді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банкнотів, казначейських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білетів, монет, 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перебігають в обігу та є законним платіжним засобом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території відповідної іноземної держави, а також вилучені з обігу або такі, що вилучаються з нього, але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підлягають обмінові на грошові знаки, які перебувають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обігу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2015ACC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платіжні документи та інші цінні папери (акції, облігації, купони до них, векселі (тратти), боргові розписки, акредитиви, чеки, банківські накази, депозитні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сертифікати, інші фінансові та банківські документи),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виражені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 валюті України, в іноземній валюті 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банківських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металах;</w:t>
      </w:r>
    </w:p>
    <w:p w14:paraId="7A93452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банківські метали – золото, срібло, платина, метали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платинової групи, доведені (афіновані) до найвищих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проб відповідно до світових стандартів, у зливках 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порошках, що мають сертифікат якості, а також монети,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вироблені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 дорогоцінних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металів</w:t>
      </w:r>
    </w:p>
    <w:p w14:paraId="7ED1061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w:t>
      </w:r>
      <w:r w:rsidRPr="000977F7">
        <w:rPr>
          <w:rFonts w:asciiTheme="majorHAnsi" w:hAnsiTheme="majorHAnsi"/>
          <w:i/>
          <w:spacing w:val="-2"/>
          <w:sz w:val="20"/>
          <w:szCs w:val="20"/>
        </w:rPr>
        <w:t xml:space="preserve"> </w:t>
      </w:r>
      <w:r w:rsidRPr="000977F7">
        <w:rPr>
          <w:rFonts w:asciiTheme="majorHAnsi" w:hAnsiTheme="majorHAnsi"/>
          <w:i/>
          <w:sz w:val="20"/>
          <w:szCs w:val="20"/>
        </w:rPr>
        <w:t>кодекс</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p>
    <w:p w14:paraId="33E2A1C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ВАЛЬЦЮВАННЯ</w:t>
      </w:r>
      <w:r w:rsidRPr="000977F7">
        <w:rPr>
          <w:color w:val="auto"/>
          <w:spacing w:val="-4"/>
          <w:sz w:val="20"/>
          <w:szCs w:val="20"/>
        </w:rPr>
        <w:t xml:space="preserve"> </w:t>
      </w:r>
      <w:r w:rsidRPr="000977F7">
        <w:rPr>
          <w:color w:val="auto"/>
          <w:sz w:val="20"/>
          <w:szCs w:val="20"/>
        </w:rPr>
        <w:t>–</w:t>
      </w:r>
    </w:p>
    <w:p w14:paraId="18661768"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Операція</w:t>
      </w:r>
      <w:r w:rsidRPr="000977F7">
        <w:rPr>
          <w:rFonts w:asciiTheme="majorHAnsi" w:hAnsiTheme="majorHAnsi"/>
          <w:spacing w:val="11"/>
          <w:sz w:val="20"/>
          <w:szCs w:val="20"/>
        </w:rPr>
        <w:t xml:space="preserve"> </w:t>
      </w:r>
      <w:r w:rsidRPr="000977F7">
        <w:rPr>
          <w:rFonts w:asciiTheme="majorHAnsi" w:hAnsiTheme="majorHAnsi"/>
          <w:sz w:val="20"/>
          <w:szCs w:val="20"/>
        </w:rPr>
        <w:t>обробки</w:t>
      </w:r>
      <w:r w:rsidRPr="000977F7">
        <w:rPr>
          <w:rFonts w:asciiTheme="majorHAnsi" w:hAnsiTheme="majorHAnsi"/>
          <w:spacing w:val="11"/>
          <w:sz w:val="20"/>
          <w:szCs w:val="20"/>
        </w:rPr>
        <w:t xml:space="preserve"> </w:t>
      </w:r>
      <w:r w:rsidRPr="000977F7">
        <w:rPr>
          <w:rFonts w:asciiTheme="majorHAnsi" w:hAnsiTheme="majorHAnsi"/>
          <w:sz w:val="20"/>
          <w:szCs w:val="20"/>
        </w:rPr>
        <w:t>тиском,</w:t>
      </w:r>
      <w:r w:rsidRPr="000977F7">
        <w:rPr>
          <w:rFonts w:asciiTheme="majorHAnsi" w:hAnsiTheme="majorHAnsi"/>
          <w:spacing w:val="11"/>
          <w:sz w:val="20"/>
          <w:szCs w:val="20"/>
        </w:rPr>
        <w:t xml:space="preserve"> </w:t>
      </w:r>
      <w:r w:rsidRPr="000977F7">
        <w:rPr>
          <w:rFonts w:asciiTheme="majorHAnsi" w:hAnsiTheme="majorHAnsi"/>
          <w:sz w:val="20"/>
          <w:szCs w:val="20"/>
        </w:rPr>
        <w:t>яка</w:t>
      </w:r>
      <w:r w:rsidRPr="000977F7">
        <w:rPr>
          <w:rFonts w:asciiTheme="majorHAnsi" w:hAnsiTheme="majorHAnsi"/>
          <w:spacing w:val="13"/>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11"/>
          <w:sz w:val="20"/>
          <w:szCs w:val="20"/>
        </w:rPr>
        <w:t xml:space="preserve"> </w:t>
      </w:r>
      <w:r w:rsidRPr="000977F7">
        <w:rPr>
          <w:rFonts w:asciiTheme="majorHAnsi" w:hAnsiTheme="majorHAnsi"/>
          <w:sz w:val="20"/>
          <w:szCs w:val="20"/>
        </w:rPr>
        <w:t>обтисненням</w:t>
      </w:r>
      <w:r w:rsidRPr="000977F7">
        <w:rPr>
          <w:rFonts w:asciiTheme="majorHAnsi" w:hAnsiTheme="majorHAnsi"/>
          <w:spacing w:val="5"/>
          <w:sz w:val="20"/>
          <w:szCs w:val="20"/>
        </w:rPr>
        <w:t xml:space="preserve"> </w:t>
      </w:r>
      <w:r w:rsidRPr="000977F7">
        <w:rPr>
          <w:rFonts w:asciiTheme="majorHAnsi" w:hAnsiTheme="majorHAnsi"/>
          <w:sz w:val="20"/>
          <w:szCs w:val="20"/>
        </w:rPr>
        <w:t>заготовки</w:t>
      </w:r>
      <w:r w:rsidRPr="000977F7">
        <w:rPr>
          <w:rFonts w:asciiTheme="majorHAnsi" w:hAnsiTheme="majorHAnsi"/>
          <w:spacing w:val="4"/>
          <w:sz w:val="20"/>
          <w:szCs w:val="20"/>
        </w:rPr>
        <w:t xml:space="preserve"> </w:t>
      </w:r>
      <w:r w:rsidRPr="000977F7">
        <w:rPr>
          <w:rFonts w:asciiTheme="majorHAnsi" w:hAnsiTheme="majorHAnsi"/>
          <w:sz w:val="20"/>
          <w:szCs w:val="20"/>
        </w:rPr>
        <w:t>в</w:t>
      </w:r>
      <w:r w:rsidRPr="000977F7">
        <w:rPr>
          <w:rFonts w:asciiTheme="majorHAnsi" w:hAnsiTheme="majorHAnsi"/>
          <w:spacing w:val="5"/>
          <w:sz w:val="20"/>
          <w:szCs w:val="20"/>
        </w:rPr>
        <w:t xml:space="preserve"> </w:t>
      </w:r>
      <w:r w:rsidRPr="000977F7">
        <w:rPr>
          <w:rFonts w:asciiTheme="majorHAnsi" w:hAnsiTheme="majorHAnsi"/>
          <w:sz w:val="20"/>
          <w:szCs w:val="20"/>
        </w:rPr>
        <w:t>кувальних</w:t>
      </w:r>
      <w:r w:rsidRPr="000977F7">
        <w:rPr>
          <w:rFonts w:asciiTheme="majorHAnsi" w:hAnsiTheme="majorHAnsi"/>
          <w:spacing w:val="4"/>
          <w:sz w:val="20"/>
          <w:szCs w:val="20"/>
        </w:rPr>
        <w:t xml:space="preserve"> </w:t>
      </w:r>
      <w:r w:rsidRPr="000977F7">
        <w:rPr>
          <w:rFonts w:asciiTheme="majorHAnsi" w:hAnsiTheme="majorHAnsi"/>
          <w:sz w:val="20"/>
          <w:szCs w:val="20"/>
        </w:rPr>
        <w:t>вальцях</w:t>
      </w:r>
      <w:r w:rsidRPr="000977F7">
        <w:rPr>
          <w:rFonts w:asciiTheme="majorHAnsi" w:hAnsiTheme="majorHAnsi"/>
          <w:spacing w:val="4"/>
          <w:sz w:val="20"/>
          <w:szCs w:val="20"/>
        </w:rPr>
        <w:t xml:space="preserve"> </w:t>
      </w:r>
      <w:r w:rsidRPr="000977F7">
        <w:rPr>
          <w:rFonts w:asciiTheme="majorHAnsi" w:hAnsiTheme="majorHAnsi"/>
          <w:sz w:val="20"/>
          <w:szCs w:val="20"/>
        </w:rPr>
        <w:t>для</w:t>
      </w:r>
      <w:r w:rsidRPr="000977F7">
        <w:rPr>
          <w:rFonts w:asciiTheme="majorHAnsi" w:hAnsiTheme="majorHAnsi"/>
          <w:spacing w:val="5"/>
          <w:sz w:val="20"/>
          <w:szCs w:val="20"/>
        </w:rPr>
        <w:t xml:space="preserve"> </w:t>
      </w:r>
      <w:r w:rsidRPr="000977F7">
        <w:rPr>
          <w:rFonts w:asciiTheme="majorHAnsi" w:hAnsiTheme="majorHAnsi"/>
          <w:sz w:val="20"/>
          <w:szCs w:val="20"/>
        </w:rPr>
        <w:t>отримання</w:t>
      </w:r>
      <w:r w:rsidRPr="000977F7">
        <w:rPr>
          <w:rFonts w:asciiTheme="majorHAnsi" w:hAnsiTheme="majorHAnsi"/>
          <w:spacing w:val="-47"/>
          <w:sz w:val="20"/>
          <w:szCs w:val="20"/>
        </w:rPr>
        <w:t xml:space="preserve">        </w:t>
      </w:r>
      <w:r w:rsidRPr="000977F7">
        <w:rPr>
          <w:rFonts w:asciiTheme="majorHAnsi" w:hAnsiTheme="majorHAnsi"/>
          <w:sz w:val="20"/>
          <w:szCs w:val="20"/>
        </w:rPr>
        <w:t>періодичного</w:t>
      </w:r>
      <w:r w:rsidRPr="000977F7">
        <w:rPr>
          <w:rFonts w:asciiTheme="majorHAnsi" w:hAnsiTheme="majorHAnsi"/>
          <w:spacing w:val="32"/>
          <w:sz w:val="20"/>
          <w:szCs w:val="20"/>
        </w:rPr>
        <w:t xml:space="preserve"> </w:t>
      </w:r>
      <w:r w:rsidRPr="000977F7">
        <w:rPr>
          <w:rFonts w:asciiTheme="majorHAnsi" w:hAnsiTheme="majorHAnsi"/>
          <w:sz w:val="20"/>
          <w:szCs w:val="20"/>
        </w:rPr>
        <w:t>прокату,</w:t>
      </w:r>
      <w:r w:rsidRPr="000977F7">
        <w:rPr>
          <w:rFonts w:asciiTheme="majorHAnsi" w:hAnsiTheme="majorHAnsi"/>
          <w:spacing w:val="32"/>
          <w:sz w:val="20"/>
          <w:szCs w:val="20"/>
        </w:rPr>
        <w:t xml:space="preserve"> </w:t>
      </w:r>
      <w:r w:rsidRPr="000977F7">
        <w:rPr>
          <w:rFonts w:asciiTheme="majorHAnsi" w:hAnsiTheme="majorHAnsi"/>
          <w:sz w:val="20"/>
          <w:szCs w:val="20"/>
        </w:rPr>
        <w:t>виробів</w:t>
      </w:r>
      <w:r w:rsidRPr="000977F7">
        <w:rPr>
          <w:rFonts w:asciiTheme="majorHAnsi" w:hAnsiTheme="majorHAnsi"/>
          <w:spacing w:val="32"/>
          <w:sz w:val="20"/>
          <w:szCs w:val="20"/>
        </w:rPr>
        <w:t xml:space="preserve"> </w:t>
      </w:r>
      <w:r w:rsidRPr="000977F7">
        <w:rPr>
          <w:rFonts w:asciiTheme="majorHAnsi" w:hAnsiTheme="majorHAnsi"/>
          <w:sz w:val="20"/>
          <w:szCs w:val="20"/>
        </w:rPr>
        <w:t>з</w:t>
      </w:r>
      <w:r w:rsidRPr="000977F7">
        <w:rPr>
          <w:rFonts w:asciiTheme="majorHAnsi" w:hAnsiTheme="majorHAnsi"/>
          <w:spacing w:val="32"/>
          <w:sz w:val="20"/>
          <w:szCs w:val="20"/>
        </w:rPr>
        <w:t xml:space="preserve"> </w:t>
      </w:r>
      <w:r w:rsidRPr="000977F7">
        <w:rPr>
          <w:rFonts w:asciiTheme="majorHAnsi" w:hAnsiTheme="majorHAnsi"/>
          <w:sz w:val="20"/>
          <w:szCs w:val="20"/>
        </w:rPr>
        <w:t>поступово</w:t>
      </w:r>
      <w:r w:rsidRPr="000977F7">
        <w:rPr>
          <w:rFonts w:asciiTheme="majorHAnsi" w:hAnsiTheme="majorHAnsi"/>
          <w:spacing w:val="32"/>
          <w:sz w:val="20"/>
          <w:szCs w:val="20"/>
        </w:rPr>
        <w:t xml:space="preserve"> </w:t>
      </w:r>
      <w:r w:rsidRPr="000977F7">
        <w:rPr>
          <w:rFonts w:asciiTheme="majorHAnsi" w:hAnsiTheme="majorHAnsi"/>
          <w:sz w:val="20"/>
          <w:szCs w:val="20"/>
        </w:rPr>
        <w:t>змінюваним перетином і точних заготовок для штампування</w:t>
      </w:r>
      <w:r w:rsidRPr="000977F7">
        <w:rPr>
          <w:rFonts w:asciiTheme="majorHAnsi" w:hAnsiTheme="majorHAnsi"/>
          <w:spacing w:val="1"/>
          <w:sz w:val="20"/>
          <w:szCs w:val="20"/>
        </w:rPr>
        <w:t xml:space="preserve"> </w:t>
      </w:r>
    </w:p>
    <w:p w14:paraId="1F9CB3C5"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ВАНТАЖООБІГ</w:t>
      </w:r>
      <w:r w:rsidRPr="000977F7">
        <w:rPr>
          <w:rFonts w:asciiTheme="majorHAnsi" w:hAnsiTheme="majorHAnsi"/>
          <w:b/>
          <w:spacing w:val="-1"/>
          <w:sz w:val="20"/>
          <w:szCs w:val="20"/>
        </w:rPr>
        <w:t xml:space="preserve"> </w:t>
      </w:r>
      <w:r w:rsidRPr="000977F7">
        <w:rPr>
          <w:rFonts w:asciiTheme="majorHAnsi" w:hAnsiTheme="majorHAnsi"/>
          <w:b/>
          <w:sz w:val="20"/>
          <w:szCs w:val="20"/>
        </w:rPr>
        <w:t>ПІДПРИЄМСТВА –</w:t>
      </w:r>
    </w:p>
    <w:p w14:paraId="59A94EE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Основний</w:t>
      </w:r>
      <w:r w:rsidRPr="000977F7">
        <w:rPr>
          <w:rFonts w:asciiTheme="majorHAnsi" w:hAnsiTheme="majorHAnsi"/>
          <w:spacing w:val="1"/>
          <w:sz w:val="20"/>
          <w:szCs w:val="20"/>
        </w:rPr>
        <w:t xml:space="preserve"> </w:t>
      </w:r>
      <w:r w:rsidRPr="000977F7">
        <w:rPr>
          <w:rFonts w:asciiTheme="majorHAnsi" w:hAnsiTheme="majorHAnsi"/>
          <w:sz w:val="20"/>
          <w:szCs w:val="20"/>
        </w:rPr>
        <w:t>умовно</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натуральний</w:t>
      </w:r>
      <w:r w:rsidRPr="000977F7">
        <w:rPr>
          <w:rFonts w:asciiTheme="majorHAnsi" w:hAnsiTheme="majorHAnsi"/>
          <w:spacing w:val="1"/>
          <w:sz w:val="20"/>
          <w:szCs w:val="20"/>
        </w:rPr>
        <w:t xml:space="preserve"> </w:t>
      </w:r>
      <w:r w:rsidRPr="000977F7">
        <w:rPr>
          <w:rFonts w:asciiTheme="majorHAnsi" w:hAnsiTheme="majorHAnsi"/>
          <w:sz w:val="20"/>
          <w:szCs w:val="20"/>
        </w:rPr>
        <w:t>показник</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r w:rsidRPr="000977F7">
        <w:rPr>
          <w:rFonts w:asciiTheme="majorHAnsi" w:hAnsiTheme="majorHAnsi"/>
          <w:spacing w:val="1"/>
          <w:sz w:val="20"/>
          <w:szCs w:val="20"/>
        </w:rPr>
        <w:t xml:space="preserve"> </w:t>
      </w:r>
      <w:r w:rsidRPr="000977F7">
        <w:rPr>
          <w:rFonts w:asciiTheme="majorHAnsi" w:hAnsiTheme="majorHAnsi"/>
          <w:sz w:val="20"/>
          <w:szCs w:val="20"/>
        </w:rPr>
        <w:t>транспорту, що визначається як сума</w:t>
      </w:r>
      <w:r w:rsidRPr="000977F7">
        <w:rPr>
          <w:rFonts w:asciiTheme="majorHAnsi" w:hAnsiTheme="majorHAnsi"/>
          <w:spacing w:val="1"/>
          <w:sz w:val="20"/>
          <w:szCs w:val="20"/>
        </w:rPr>
        <w:t xml:space="preserve"> </w:t>
      </w:r>
      <w:r w:rsidRPr="000977F7">
        <w:rPr>
          <w:rFonts w:asciiTheme="majorHAnsi" w:hAnsiTheme="majorHAnsi"/>
          <w:sz w:val="20"/>
          <w:szCs w:val="20"/>
        </w:rPr>
        <w:t>добутків</w:t>
      </w:r>
      <w:r w:rsidRPr="000977F7">
        <w:rPr>
          <w:rFonts w:asciiTheme="majorHAnsi" w:hAnsiTheme="majorHAnsi"/>
          <w:spacing w:val="1"/>
          <w:sz w:val="20"/>
          <w:szCs w:val="20"/>
        </w:rPr>
        <w:t xml:space="preserve"> </w:t>
      </w:r>
      <w:r w:rsidRPr="000977F7">
        <w:rPr>
          <w:rFonts w:asciiTheme="majorHAnsi" w:hAnsiTheme="majorHAnsi"/>
          <w:sz w:val="20"/>
          <w:szCs w:val="20"/>
        </w:rPr>
        <w:t>ваги</w:t>
      </w:r>
      <w:r w:rsidRPr="000977F7">
        <w:rPr>
          <w:rFonts w:asciiTheme="majorHAnsi" w:hAnsiTheme="majorHAnsi"/>
          <w:spacing w:val="1"/>
          <w:sz w:val="20"/>
          <w:szCs w:val="20"/>
        </w:rPr>
        <w:t xml:space="preserve"> </w:t>
      </w:r>
      <w:r w:rsidRPr="000977F7">
        <w:rPr>
          <w:rFonts w:asciiTheme="majorHAnsi" w:hAnsiTheme="majorHAnsi"/>
          <w:sz w:val="20"/>
          <w:szCs w:val="20"/>
        </w:rPr>
        <w:t>вантажів</w:t>
      </w:r>
      <w:r w:rsidRPr="000977F7">
        <w:rPr>
          <w:rFonts w:asciiTheme="majorHAnsi" w:hAnsiTheme="majorHAnsi"/>
          <w:spacing w:val="30"/>
          <w:sz w:val="20"/>
          <w:szCs w:val="20"/>
        </w:rPr>
        <w:t xml:space="preserve"> </w:t>
      </w:r>
      <w:r w:rsidRPr="000977F7">
        <w:rPr>
          <w:rFonts w:asciiTheme="majorHAnsi" w:hAnsiTheme="majorHAnsi"/>
          <w:sz w:val="20"/>
          <w:szCs w:val="20"/>
        </w:rPr>
        <w:t>на</w:t>
      </w:r>
      <w:r w:rsidRPr="000977F7">
        <w:rPr>
          <w:rFonts w:asciiTheme="majorHAnsi" w:hAnsiTheme="majorHAnsi"/>
          <w:spacing w:val="30"/>
          <w:sz w:val="20"/>
          <w:szCs w:val="20"/>
        </w:rPr>
        <w:t xml:space="preserve"> </w:t>
      </w:r>
      <w:r w:rsidRPr="000977F7">
        <w:rPr>
          <w:rFonts w:asciiTheme="majorHAnsi" w:hAnsiTheme="majorHAnsi"/>
          <w:sz w:val="20"/>
          <w:szCs w:val="20"/>
        </w:rPr>
        <w:t>відстань</w:t>
      </w:r>
      <w:r w:rsidRPr="000977F7">
        <w:rPr>
          <w:rFonts w:asciiTheme="majorHAnsi" w:hAnsiTheme="majorHAnsi"/>
          <w:spacing w:val="30"/>
          <w:sz w:val="20"/>
          <w:szCs w:val="20"/>
        </w:rPr>
        <w:t xml:space="preserve"> </w:t>
      </w:r>
      <w:r w:rsidRPr="000977F7">
        <w:rPr>
          <w:rFonts w:asciiTheme="majorHAnsi" w:hAnsiTheme="majorHAnsi"/>
          <w:sz w:val="20"/>
          <w:szCs w:val="20"/>
        </w:rPr>
        <w:t>їх</w:t>
      </w:r>
      <w:r w:rsidRPr="000977F7">
        <w:rPr>
          <w:rFonts w:asciiTheme="majorHAnsi" w:hAnsiTheme="majorHAnsi"/>
          <w:spacing w:val="31"/>
          <w:sz w:val="20"/>
          <w:szCs w:val="20"/>
        </w:rPr>
        <w:t xml:space="preserve"> </w:t>
      </w:r>
      <w:r w:rsidRPr="000977F7">
        <w:rPr>
          <w:rFonts w:asciiTheme="majorHAnsi" w:hAnsiTheme="majorHAnsi"/>
          <w:sz w:val="20"/>
          <w:szCs w:val="20"/>
        </w:rPr>
        <w:t>перевезення</w:t>
      </w:r>
      <w:r w:rsidRPr="000977F7">
        <w:rPr>
          <w:rFonts w:asciiTheme="majorHAnsi" w:hAnsiTheme="majorHAnsi"/>
          <w:spacing w:val="29"/>
          <w:sz w:val="20"/>
          <w:szCs w:val="20"/>
        </w:rPr>
        <w:t xml:space="preserve"> </w:t>
      </w:r>
      <w:r w:rsidRPr="000977F7">
        <w:rPr>
          <w:rFonts w:asciiTheme="majorHAnsi" w:hAnsiTheme="majorHAnsi"/>
          <w:sz w:val="20"/>
          <w:szCs w:val="20"/>
        </w:rPr>
        <w:t>на</w:t>
      </w:r>
      <w:r w:rsidRPr="000977F7">
        <w:rPr>
          <w:rFonts w:asciiTheme="majorHAnsi" w:hAnsiTheme="majorHAnsi"/>
          <w:spacing w:val="32"/>
          <w:sz w:val="20"/>
          <w:szCs w:val="20"/>
        </w:rPr>
        <w:t xml:space="preserve"> </w:t>
      </w:r>
      <w:r w:rsidRPr="000977F7">
        <w:rPr>
          <w:rFonts w:asciiTheme="majorHAnsi" w:hAnsiTheme="majorHAnsi"/>
          <w:sz w:val="20"/>
          <w:szCs w:val="20"/>
        </w:rPr>
        <w:t>підприємстві</w:t>
      </w:r>
      <w:r w:rsidRPr="000977F7">
        <w:rPr>
          <w:rFonts w:asciiTheme="majorHAnsi" w:hAnsiTheme="majorHAnsi"/>
          <w:spacing w:val="-48"/>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розрахунковий</w:t>
      </w:r>
      <w:r w:rsidRPr="000977F7">
        <w:rPr>
          <w:rFonts w:asciiTheme="majorHAnsi" w:hAnsiTheme="majorHAnsi"/>
          <w:spacing w:val="1"/>
          <w:sz w:val="20"/>
          <w:szCs w:val="20"/>
        </w:rPr>
        <w:t xml:space="preserve"> </w:t>
      </w:r>
      <w:r w:rsidRPr="000977F7">
        <w:rPr>
          <w:rFonts w:asciiTheme="majorHAnsi" w:hAnsiTheme="majorHAnsi"/>
          <w:sz w:val="20"/>
          <w:szCs w:val="20"/>
        </w:rPr>
        <w:t>період</w:t>
      </w:r>
    </w:p>
    <w:p w14:paraId="4F43DE1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9AADAD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ВАРІАЦІЯ ВИХІДНОЇ ВЕЛИЧИНИ </w:t>
      </w:r>
    </w:p>
    <w:p w14:paraId="2A9B1BF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ВИМІРЮ</w:t>
      </w:r>
      <w:r w:rsidRPr="000977F7">
        <w:rPr>
          <w:color w:val="auto"/>
          <w:spacing w:val="-47"/>
          <w:sz w:val="20"/>
          <w:szCs w:val="20"/>
        </w:rPr>
        <w:t xml:space="preserve"> </w:t>
      </w:r>
      <w:r w:rsidRPr="000977F7">
        <w:rPr>
          <w:color w:val="auto"/>
          <w:sz w:val="20"/>
          <w:szCs w:val="20"/>
        </w:rPr>
        <w:t>ВАЛЬНОГО ПЕРЕТВОРЮВАЧА–</w:t>
      </w:r>
    </w:p>
    <w:p w14:paraId="1B8C97E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Різниця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між</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двома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значеннями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вихідної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величини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вимірювального перетворювача, що відповідають одному й тому ж значенню вхідної величини, досягнутому</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внаслідок</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її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збільшення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зменшення</w:t>
      </w:r>
    </w:p>
    <w:p w14:paraId="7BABD26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9B3ABB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ВАРІАЦІЯ</w:t>
      </w:r>
      <w:r w:rsidRPr="000977F7">
        <w:rPr>
          <w:color w:val="auto"/>
          <w:spacing w:val="-5"/>
          <w:sz w:val="20"/>
          <w:szCs w:val="20"/>
        </w:rPr>
        <w:t xml:space="preserve"> </w:t>
      </w:r>
      <w:r w:rsidRPr="000977F7">
        <w:rPr>
          <w:color w:val="auto"/>
          <w:sz w:val="20"/>
          <w:szCs w:val="20"/>
        </w:rPr>
        <w:t>ПОКАЗУ</w:t>
      </w:r>
      <w:r w:rsidRPr="000977F7">
        <w:rPr>
          <w:color w:val="auto"/>
          <w:spacing w:val="-4"/>
          <w:sz w:val="20"/>
          <w:szCs w:val="20"/>
        </w:rPr>
        <w:t xml:space="preserve"> </w:t>
      </w:r>
      <w:r w:rsidRPr="000977F7">
        <w:rPr>
          <w:color w:val="auto"/>
          <w:sz w:val="20"/>
          <w:szCs w:val="20"/>
        </w:rPr>
        <w:t>ЗАСОБУ</w:t>
      </w:r>
      <w:r w:rsidRPr="000977F7">
        <w:rPr>
          <w:color w:val="auto"/>
          <w:spacing w:val="-4"/>
          <w:sz w:val="20"/>
          <w:szCs w:val="20"/>
        </w:rPr>
        <w:t xml:space="preserve"> </w:t>
      </w:r>
      <w:r w:rsidRPr="000977F7">
        <w:rPr>
          <w:color w:val="auto"/>
          <w:sz w:val="20"/>
          <w:szCs w:val="20"/>
        </w:rPr>
        <w:t>ВИМІРЮВАНЬ</w:t>
      </w:r>
      <w:r w:rsidRPr="000977F7">
        <w:rPr>
          <w:color w:val="auto"/>
          <w:spacing w:val="-1"/>
          <w:sz w:val="20"/>
          <w:szCs w:val="20"/>
        </w:rPr>
        <w:t xml:space="preserve"> </w:t>
      </w:r>
      <w:r w:rsidRPr="000977F7">
        <w:rPr>
          <w:color w:val="auto"/>
          <w:sz w:val="20"/>
          <w:szCs w:val="20"/>
        </w:rPr>
        <w:t>–</w:t>
      </w:r>
    </w:p>
    <w:p w14:paraId="4CCE329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HYSTERESIS</w:t>
      </w:r>
    </w:p>
    <w:p w14:paraId="1D769DEC"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Різниця між двома показами засобу вимірювань, коли</w:t>
      </w:r>
      <w:r w:rsidRPr="000977F7">
        <w:rPr>
          <w:rFonts w:asciiTheme="majorHAnsi" w:hAnsiTheme="majorHAnsi"/>
          <w:spacing w:val="1"/>
          <w:sz w:val="20"/>
          <w:szCs w:val="20"/>
        </w:rPr>
        <w:t xml:space="preserve"> </w:t>
      </w:r>
    </w:p>
    <w:p w14:paraId="6A9537E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одне й те ж значення вимірюваної величини досягається</w:t>
      </w:r>
      <w:r w:rsidRPr="000977F7">
        <w:rPr>
          <w:rFonts w:asciiTheme="majorHAnsi" w:hAnsiTheme="majorHAnsi"/>
          <w:spacing w:val="-2"/>
          <w:sz w:val="20"/>
          <w:szCs w:val="20"/>
        </w:rPr>
        <w:t xml:space="preserve"> </w:t>
      </w:r>
      <w:r w:rsidRPr="000977F7">
        <w:rPr>
          <w:rFonts w:asciiTheme="majorHAnsi" w:hAnsiTheme="majorHAnsi"/>
          <w:sz w:val="20"/>
          <w:szCs w:val="20"/>
        </w:rPr>
        <w:t>внаслідок</w:t>
      </w:r>
      <w:r w:rsidRPr="000977F7">
        <w:rPr>
          <w:rFonts w:asciiTheme="majorHAnsi" w:hAnsiTheme="majorHAnsi"/>
          <w:spacing w:val="-2"/>
          <w:sz w:val="20"/>
          <w:szCs w:val="20"/>
        </w:rPr>
        <w:t xml:space="preserve"> </w:t>
      </w:r>
      <w:r w:rsidRPr="000977F7">
        <w:rPr>
          <w:rFonts w:asciiTheme="majorHAnsi" w:hAnsiTheme="majorHAnsi"/>
          <w:sz w:val="20"/>
          <w:szCs w:val="20"/>
        </w:rPr>
        <w:t>її</w:t>
      </w:r>
      <w:r w:rsidRPr="000977F7">
        <w:rPr>
          <w:rFonts w:asciiTheme="majorHAnsi" w:hAnsiTheme="majorHAnsi"/>
          <w:spacing w:val="-2"/>
          <w:sz w:val="20"/>
          <w:szCs w:val="20"/>
        </w:rPr>
        <w:t xml:space="preserve"> </w:t>
      </w:r>
      <w:r w:rsidRPr="000977F7">
        <w:rPr>
          <w:rFonts w:asciiTheme="majorHAnsi" w:hAnsiTheme="majorHAnsi"/>
          <w:sz w:val="20"/>
          <w:szCs w:val="20"/>
        </w:rPr>
        <w:t>збільшення</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зменшення</w:t>
      </w:r>
    </w:p>
    <w:p w14:paraId="798DA81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4A75CBF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ВБУДОВАНИЙ</w:t>
      </w:r>
      <w:r w:rsidRPr="000977F7">
        <w:rPr>
          <w:color w:val="auto"/>
          <w:spacing w:val="-9"/>
          <w:sz w:val="20"/>
          <w:szCs w:val="20"/>
        </w:rPr>
        <w:t xml:space="preserve"> </w:t>
      </w:r>
      <w:r w:rsidRPr="000977F7">
        <w:rPr>
          <w:color w:val="auto"/>
          <w:sz w:val="20"/>
          <w:szCs w:val="20"/>
        </w:rPr>
        <w:t>(ВМОНТОВАНИЙ)</w:t>
      </w:r>
      <w:r w:rsidRPr="000977F7">
        <w:rPr>
          <w:color w:val="auto"/>
          <w:spacing w:val="-10"/>
          <w:sz w:val="20"/>
          <w:szCs w:val="20"/>
        </w:rPr>
        <w:t xml:space="preserve"> </w:t>
      </w:r>
      <w:r w:rsidRPr="000977F7">
        <w:rPr>
          <w:color w:val="auto"/>
          <w:sz w:val="20"/>
          <w:szCs w:val="20"/>
        </w:rPr>
        <w:t>ЗАСІБ</w:t>
      </w:r>
      <w:r w:rsidRPr="000977F7">
        <w:rPr>
          <w:color w:val="auto"/>
          <w:spacing w:val="-47"/>
          <w:sz w:val="20"/>
          <w:szCs w:val="20"/>
        </w:rPr>
        <w:t xml:space="preserve"> </w:t>
      </w:r>
      <w:r w:rsidRPr="000977F7">
        <w:rPr>
          <w:color w:val="auto"/>
          <w:sz w:val="20"/>
          <w:szCs w:val="20"/>
        </w:rPr>
        <w:t>КОНТРОЛЮ</w:t>
      </w:r>
      <w:r w:rsidRPr="000977F7">
        <w:rPr>
          <w:color w:val="auto"/>
          <w:spacing w:val="-1"/>
          <w:sz w:val="20"/>
          <w:szCs w:val="20"/>
        </w:rPr>
        <w:t xml:space="preserve"> </w:t>
      </w:r>
      <w:r w:rsidRPr="000977F7">
        <w:rPr>
          <w:color w:val="auto"/>
          <w:sz w:val="20"/>
          <w:szCs w:val="20"/>
        </w:rPr>
        <w:t>–</w:t>
      </w:r>
    </w:p>
    <w:p w14:paraId="241EFF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Засіб контролю технічного стану, який є складовою</w:t>
      </w:r>
      <w:r w:rsidRPr="000977F7">
        <w:rPr>
          <w:rFonts w:asciiTheme="majorHAnsi" w:hAnsiTheme="majorHAnsi"/>
          <w:spacing w:val="1"/>
          <w:sz w:val="20"/>
          <w:szCs w:val="20"/>
        </w:rPr>
        <w:t xml:space="preserve"> </w:t>
      </w:r>
      <w:r w:rsidRPr="000977F7">
        <w:rPr>
          <w:rFonts w:asciiTheme="majorHAnsi" w:hAnsiTheme="majorHAnsi"/>
          <w:sz w:val="20"/>
          <w:szCs w:val="20"/>
        </w:rPr>
        <w:t>частиною</w:t>
      </w:r>
      <w:r w:rsidRPr="000977F7">
        <w:rPr>
          <w:rFonts w:asciiTheme="majorHAnsi" w:hAnsiTheme="majorHAnsi"/>
          <w:spacing w:val="-1"/>
          <w:sz w:val="20"/>
          <w:szCs w:val="20"/>
        </w:rPr>
        <w:t xml:space="preserve"> </w:t>
      </w:r>
      <w:r w:rsidRPr="000977F7">
        <w:rPr>
          <w:rFonts w:asciiTheme="majorHAnsi" w:hAnsiTheme="majorHAnsi"/>
          <w:sz w:val="20"/>
          <w:szCs w:val="20"/>
        </w:rPr>
        <w:t>виробу, що контролюється</w:t>
      </w:r>
    </w:p>
    <w:p w14:paraId="542A74C7"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ВБУДОВАНИЙ (ВМОНТОВАНИЙ) ЗАСІБ ТЕХНІЧНОГО ДІАГНОСТУВАННЯ</w:t>
      </w:r>
      <w:r w:rsidRPr="000977F7">
        <w:rPr>
          <w:rFonts w:asciiTheme="majorHAnsi" w:hAnsiTheme="majorHAnsi"/>
          <w:b/>
          <w:bCs/>
          <w:spacing w:val="3"/>
          <w:sz w:val="20"/>
          <w:szCs w:val="20"/>
        </w:rPr>
        <w:t xml:space="preserve"> </w:t>
      </w:r>
      <w:r w:rsidRPr="000977F7">
        <w:rPr>
          <w:rFonts w:asciiTheme="majorHAnsi" w:hAnsiTheme="majorHAnsi"/>
          <w:b/>
          <w:bCs/>
          <w:sz w:val="20"/>
          <w:szCs w:val="20"/>
        </w:rPr>
        <w:t>–</w:t>
      </w:r>
    </w:p>
    <w:p w14:paraId="7BCEC9D6"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4D2D14">
        <w:rPr>
          <w:rFonts w:asciiTheme="majorHAnsi" w:hAnsiTheme="majorHAnsi"/>
          <w:sz w:val="20"/>
          <w:szCs w:val="20"/>
          <w:lang w:val="en-US"/>
        </w:rPr>
        <w:t>BUILT-IN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DIAGNOSTIC</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DEVICE;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EXTRA</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 xml:space="preserve">HARDWARE </w:t>
      </w:r>
      <w:r w:rsidRPr="004D2D14">
        <w:rPr>
          <w:rFonts w:asciiTheme="majorHAnsi" w:hAnsiTheme="majorHAnsi"/>
          <w:b/>
          <w:sz w:val="20"/>
          <w:szCs w:val="20"/>
          <w:lang w:val="en-US"/>
        </w:rPr>
        <w:t>–</w:t>
      </w:r>
    </w:p>
    <w:p w14:paraId="472204E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Засіб діагностування, виконаний в спільній конструкції</w:t>
      </w:r>
      <w:r w:rsidRPr="000977F7">
        <w:rPr>
          <w:rFonts w:asciiTheme="majorHAnsi" w:hAnsiTheme="majorHAnsi"/>
          <w:spacing w:val="-2"/>
          <w:sz w:val="20"/>
          <w:szCs w:val="20"/>
        </w:rPr>
        <w:t xml:space="preserve"> </w:t>
      </w:r>
      <w:r w:rsidRPr="000977F7">
        <w:rPr>
          <w:rFonts w:asciiTheme="majorHAnsi" w:hAnsiTheme="majorHAnsi"/>
          <w:sz w:val="20"/>
          <w:szCs w:val="20"/>
        </w:rPr>
        <w:t>з об’єктом</w:t>
      </w:r>
      <w:r w:rsidRPr="000977F7">
        <w:rPr>
          <w:rFonts w:asciiTheme="majorHAnsi" w:hAnsiTheme="majorHAnsi"/>
          <w:spacing w:val="1"/>
          <w:sz w:val="20"/>
          <w:szCs w:val="20"/>
        </w:rPr>
        <w:t xml:space="preserve"> </w:t>
      </w:r>
      <w:r w:rsidRPr="000977F7">
        <w:rPr>
          <w:rFonts w:asciiTheme="majorHAnsi" w:hAnsiTheme="majorHAnsi"/>
          <w:sz w:val="20"/>
          <w:szCs w:val="20"/>
        </w:rPr>
        <w:t>діагностування</w:t>
      </w:r>
    </w:p>
    <w:p w14:paraId="7F2252E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18" w:name="_Hlk103223265"/>
      <w:r w:rsidRPr="000977F7">
        <w:rPr>
          <w:color w:val="auto"/>
          <w:sz w:val="20"/>
          <w:szCs w:val="20"/>
        </w:rPr>
        <w:t>ВВЕДЕННЯ</w:t>
      </w:r>
      <w:r w:rsidRPr="000977F7">
        <w:rPr>
          <w:color w:val="auto"/>
          <w:spacing w:val="-4"/>
          <w:sz w:val="20"/>
          <w:szCs w:val="20"/>
        </w:rPr>
        <w:t xml:space="preserve"> </w:t>
      </w:r>
      <w:r w:rsidRPr="000977F7">
        <w:rPr>
          <w:color w:val="auto"/>
          <w:sz w:val="20"/>
          <w:szCs w:val="20"/>
        </w:rPr>
        <w:t>В</w:t>
      </w:r>
      <w:r w:rsidRPr="000977F7">
        <w:rPr>
          <w:color w:val="auto"/>
          <w:spacing w:val="-2"/>
          <w:sz w:val="20"/>
          <w:szCs w:val="20"/>
        </w:rPr>
        <w:t xml:space="preserve"> </w:t>
      </w:r>
      <w:r w:rsidRPr="000977F7">
        <w:rPr>
          <w:color w:val="auto"/>
          <w:sz w:val="20"/>
          <w:szCs w:val="20"/>
        </w:rPr>
        <w:t>ЕКСПЛУАТАЦІЮ</w:t>
      </w:r>
      <w:bookmarkEnd w:id="18"/>
      <w:r w:rsidRPr="000977F7">
        <w:rPr>
          <w:color w:val="auto"/>
          <w:spacing w:val="-4"/>
          <w:sz w:val="20"/>
          <w:szCs w:val="20"/>
        </w:rPr>
        <w:t xml:space="preserve"> </w:t>
      </w:r>
      <w:r w:rsidRPr="000977F7">
        <w:rPr>
          <w:color w:val="auto"/>
          <w:sz w:val="20"/>
          <w:szCs w:val="20"/>
        </w:rPr>
        <w:t>–</w:t>
      </w:r>
    </w:p>
    <w:p w14:paraId="62D34AF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sz w:val="20"/>
          <w:szCs w:val="20"/>
          <w:lang w:eastAsia="ru-RU"/>
        </w:rPr>
        <w:t>Використання продукції за її призначенням споживачем (користувачем) в Україні в перший раз</w:t>
      </w:r>
    </w:p>
    <w:p w14:paraId="5EF0116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bookmarkStart w:id="19" w:name="_Hlk103156660"/>
      <w:r w:rsidRPr="000977F7">
        <w:rPr>
          <w:rFonts w:asciiTheme="majorHAnsi" w:hAnsiTheme="majorHAnsi"/>
          <w:i/>
          <w:sz w:val="20"/>
          <w:szCs w:val="20"/>
        </w:rPr>
        <w:t>Ст.1 закону України "Про технічні регламенти та оцінку відповідності"</w:t>
      </w:r>
    </w:p>
    <w:p w14:paraId="3AD8087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Технічний регламент обладнання, що працює під тиском</w:t>
      </w:r>
    </w:p>
    <w:p w14:paraId="0CCA711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b/>
          <w:bCs/>
          <w:sz w:val="20"/>
          <w:szCs w:val="20"/>
        </w:rPr>
        <w:t>ВВЕДЕННЯ</w:t>
      </w:r>
      <w:r w:rsidRPr="000977F7">
        <w:rPr>
          <w:rFonts w:asciiTheme="majorHAnsi" w:hAnsiTheme="majorHAnsi"/>
          <w:b/>
          <w:bCs/>
          <w:spacing w:val="-4"/>
          <w:sz w:val="20"/>
          <w:szCs w:val="20"/>
        </w:rPr>
        <w:t xml:space="preserve"> </w:t>
      </w:r>
      <w:r w:rsidRPr="000977F7">
        <w:rPr>
          <w:rFonts w:asciiTheme="majorHAnsi" w:hAnsiTheme="majorHAnsi"/>
          <w:b/>
          <w:bCs/>
          <w:sz w:val="20"/>
          <w:szCs w:val="20"/>
        </w:rPr>
        <w:t>В</w:t>
      </w:r>
      <w:r w:rsidRPr="000977F7">
        <w:rPr>
          <w:rFonts w:asciiTheme="majorHAnsi" w:hAnsiTheme="majorHAnsi"/>
          <w:b/>
          <w:bCs/>
          <w:spacing w:val="-2"/>
          <w:sz w:val="20"/>
          <w:szCs w:val="20"/>
        </w:rPr>
        <w:t xml:space="preserve"> </w:t>
      </w:r>
      <w:r w:rsidRPr="000977F7">
        <w:rPr>
          <w:rFonts w:asciiTheme="majorHAnsi" w:hAnsiTheme="majorHAnsi"/>
          <w:b/>
          <w:bCs/>
          <w:sz w:val="20"/>
          <w:szCs w:val="20"/>
        </w:rPr>
        <w:t>ЕКСПЛУАТАЦІЮ</w:t>
      </w:r>
      <w:r w:rsidRPr="000977F7">
        <w:rPr>
          <w:rFonts w:asciiTheme="majorHAnsi" w:hAnsiTheme="majorHAnsi"/>
          <w:b/>
          <w:bCs/>
          <w:sz w:val="20"/>
          <w:szCs w:val="20"/>
          <w:lang w:eastAsia="ru-RU"/>
        </w:rPr>
        <w:t xml:space="preserve"> МАШИНИ -</w:t>
      </w:r>
      <w:r w:rsidRPr="000977F7">
        <w:rPr>
          <w:rFonts w:asciiTheme="majorHAnsi" w:hAnsiTheme="majorHAnsi"/>
          <w:sz w:val="20"/>
          <w:szCs w:val="20"/>
          <w:lang w:eastAsia="ru-RU"/>
        </w:rPr>
        <w:t>Перше використання за призначенням машини, на яку поширюється дія цього Технічного регламенту, в Україні</w:t>
      </w:r>
    </w:p>
    <w:p w14:paraId="4D6226DF"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lang w:eastAsia="ru-RU"/>
        </w:rPr>
      </w:pPr>
      <w:bookmarkStart w:id="20" w:name="_Hlk103223848"/>
      <w:r w:rsidRPr="000977F7">
        <w:rPr>
          <w:rFonts w:asciiTheme="majorHAnsi" w:hAnsiTheme="majorHAnsi"/>
          <w:i/>
          <w:iCs/>
          <w:sz w:val="20"/>
          <w:szCs w:val="20"/>
          <w:lang w:eastAsia="ru-RU"/>
        </w:rPr>
        <w:t>Технічний регламент безпеки машин</w:t>
      </w:r>
    </w:p>
    <w:bookmarkEnd w:id="19"/>
    <w:bookmarkEnd w:id="20"/>
    <w:p w14:paraId="497A21D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ВВЕДЕННЯ В ОБІГ –</w:t>
      </w:r>
    </w:p>
    <w:p w14:paraId="6D70ED00"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Надання продукції на ринку України в перший раз</w:t>
      </w:r>
    </w:p>
    <w:p w14:paraId="2041062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bookmarkStart w:id="21" w:name="_Hlk103158114"/>
      <w:r w:rsidRPr="000977F7">
        <w:rPr>
          <w:rFonts w:asciiTheme="majorHAnsi" w:hAnsiTheme="majorHAnsi"/>
          <w:i/>
          <w:sz w:val="20"/>
          <w:szCs w:val="20"/>
        </w:rPr>
        <w:t>Ст. 1 закону України "Про технічні регламенти та оцінку відповідності"</w:t>
      </w:r>
    </w:p>
    <w:p w14:paraId="799692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Перше надання на ринку України машини або незавершеної машини з метою розповсюдження або використання за плату чи безоплатно</w:t>
      </w:r>
    </w:p>
    <w:p w14:paraId="207E8A59"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безпеки машин</w:t>
      </w:r>
    </w:p>
    <w:p w14:paraId="318E30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Надання компонента безпеки для ліфтів на ринку України в перший раз або платне чи безоплатне постачання ліфта для використання на ринку України в процесі провадження господарської діяльності</w:t>
      </w:r>
    </w:p>
    <w:p w14:paraId="36D46EA1"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ліфтів і компонентів безпеки для ліфтів</w:t>
      </w:r>
    </w:p>
    <w:p w14:paraId="0EA4EF4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Надання електрообладнання на ринку України в перший раз Надання компонента безпеки для ліфтів на ринку</w:t>
      </w:r>
    </w:p>
    <w:p w14:paraId="687C59FF"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низьковольтного електричного обладнання</w:t>
      </w:r>
      <w:bookmarkStart w:id="22" w:name="_Hlk103156562"/>
      <w:bookmarkEnd w:id="21"/>
    </w:p>
    <w:p w14:paraId="059578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Надання обладнання, що працює під тиском, або агрегатів на ринку України вперше</w:t>
      </w:r>
    </w:p>
    <w:p w14:paraId="52372A67"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обладнання, що працює під тиском</w:t>
      </w:r>
    </w:p>
    <w:p w14:paraId="2962881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 xml:space="preserve">ВВЕДЕННЯ В ОБІГ </w:t>
      </w:r>
      <w:bookmarkEnd w:id="22"/>
      <w:r w:rsidRPr="000977F7">
        <w:rPr>
          <w:color w:val="auto"/>
          <w:sz w:val="20"/>
          <w:szCs w:val="20"/>
        </w:rPr>
        <w:t>АБО РЕАЛІЗАЦІЯ ПРОДУКЦІЇ, ЯКА НЕ ВІДПОВІДАЄ ВИМОГАМ СТАНДАРТІВ -</w:t>
      </w:r>
    </w:p>
    <w:p w14:paraId="440C7A15"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 xml:space="preserve">Введення в обіг (випуск на ринок України, в тому числі з ремонту) або реалізація продукції (крім харчових продуктів), яка не відповідає вимогам стандартів, сертифікатів відповідності, норм, правил і зразків (еталонів) щодо безпечності, якості, комплектності та упаковки (за винятком випадків, передбачених законодавством України), </w:t>
      </w:r>
    </w:p>
    <w:p w14:paraId="2DB43E4A" w14:textId="77777777" w:rsidR="0097612F" w:rsidRPr="000977F7" w:rsidRDefault="0097612F" w:rsidP="000977F7">
      <w:pPr>
        <w:pStyle w:val="7"/>
        <w:tabs>
          <w:tab w:val="left" w:pos="284"/>
        </w:tabs>
        <w:spacing w:before="0" w:line="240" w:lineRule="auto"/>
        <w:ind w:left="170"/>
        <w:mirrorIndents/>
        <w:jc w:val="both"/>
        <w:rPr>
          <w:b w:val="0"/>
          <w:bCs/>
          <w:iCs w:val="0"/>
          <w:color w:val="auto"/>
          <w:sz w:val="20"/>
          <w:szCs w:val="20"/>
        </w:rPr>
      </w:pPr>
      <w:r w:rsidRPr="000977F7">
        <w:rPr>
          <w:b w:val="0"/>
          <w:bCs/>
          <w:color w:val="auto"/>
          <w:sz w:val="20"/>
          <w:szCs w:val="20"/>
        </w:rPr>
        <w:t>тягне за собою накладення штрафу на посадових осіб підприємств, установ, ор</w:t>
      </w:r>
      <w:r w:rsidRPr="000977F7">
        <w:rPr>
          <w:b w:val="0"/>
          <w:bCs/>
          <w:iCs w:val="0"/>
          <w:color w:val="auto"/>
          <w:sz w:val="20"/>
          <w:szCs w:val="20"/>
        </w:rPr>
        <w:t>ганізацій незалежно від форми</w:t>
      </w:r>
      <w:r w:rsidRPr="000977F7">
        <w:rPr>
          <w:b w:val="0"/>
          <w:bCs/>
          <w:iCs w:val="0"/>
          <w:color w:val="auto"/>
          <w:spacing w:val="1"/>
          <w:sz w:val="20"/>
          <w:szCs w:val="20"/>
        </w:rPr>
        <w:t xml:space="preserve"> </w:t>
      </w:r>
      <w:r w:rsidRPr="000977F7">
        <w:rPr>
          <w:b w:val="0"/>
          <w:bCs/>
          <w:iCs w:val="0"/>
          <w:color w:val="auto"/>
          <w:sz w:val="20"/>
          <w:szCs w:val="20"/>
        </w:rPr>
        <w:t>власності,</w:t>
      </w:r>
      <w:r w:rsidRPr="000977F7">
        <w:rPr>
          <w:b w:val="0"/>
          <w:bCs/>
          <w:iCs w:val="0"/>
          <w:color w:val="auto"/>
          <w:spacing w:val="1"/>
          <w:sz w:val="20"/>
          <w:szCs w:val="20"/>
        </w:rPr>
        <w:t xml:space="preserve"> </w:t>
      </w:r>
      <w:r w:rsidRPr="000977F7">
        <w:rPr>
          <w:b w:val="0"/>
          <w:bCs/>
          <w:iCs w:val="0"/>
          <w:color w:val="auto"/>
          <w:sz w:val="20"/>
          <w:szCs w:val="20"/>
        </w:rPr>
        <w:t>громадян</w:t>
      </w:r>
      <w:r w:rsidRPr="000977F7">
        <w:rPr>
          <w:b w:val="0"/>
          <w:bCs/>
          <w:iCs w:val="0"/>
          <w:color w:val="auto"/>
          <w:spacing w:val="1"/>
          <w:sz w:val="20"/>
          <w:szCs w:val="20"/>
        </w:rPr>
        <w:t xml:space="preserve"> </w:t>
      </w:r>
      <w:r w:rsidRPr="000977F7">
        <w:rPr>
          <w:b w:val="0"/>
          <w:bCs/>
          <w:iCs w:val="0"/>
          <w:color w:val="auto"/>
          <w:sz w:val="20"/>
          <w:szCs w:val="20"/>
        </w:rPr>
        <w:t>власників</w:t>
      </w:r>
      <w:r w:rsidRPr="000977F7">
        <w:rPr>
          <w:b w:val="0"/>
          <w:bCs/>
          <w:iCs w:val="0"/>
          <w:color w:val="auto"/>
          <w:spacing w:val="1"/>
          <w:sz w:val="20"/>
          <w:szCs w:val="20"/>
        </w:rPr>
        <w:t xml:space="preserve"> </w:t>
      </w:r>
      <w:r w:rsidRPr="000977F7">
        <w:rPr>
          <w:b w:val="0"/>
          <w:bCs/>
          <w:iCs w:val="0"/>
          <w:color w:val="auto"/>
          <w:sz w:val="20"/>
          <w:szCs w:val="20"/>
        </w:rPr>
        <w:t>підприємств</w:t>
      </w:r>
      <w:r w:rsidRPr="000977F7">
        <w:rPr>
          <w:b w:val="0"/>
          <w:bCs/>
          <w:iCs w:val="0"/>
          <w:color w:val="auto"/>
          <w:spacing w:val="1"/>
          <w:sz w:val="20"/>
          <w:szCs w:val="20"/>
        </w:rPr>
        <w:t xml:space="preserve"> </w:t>
      </w:r>
      <w:r w:rsidRPr="000977F7">
        <w:rPr>
          <w:b w:val="0"/>
          <w:bCs/>
          <w:iCs w:val="0"/>
          <w:color w:val="auto"/>
          <w:sz w:val="20"/>
          <w:szCs w:val="20"/>
        </w:rPr>
        <w:t>чи</w:t>
      </w:r>
      <w:r w:rsidRPr="000977F7">
        <w:rPr>
          <w:b w:val="0"/>
          <w:bCs/>
          <w:iCs w:val="0"/>
          <w:color w:val="auto"/>
          <w:spacing w:val="-47"/>
          <w:sz w:val="20"/>
          <w:szCs w:val="20"/>
        </w:rPr>
        <w:t xml:space="preserve"> </w:t>
      </w:r>
      <w:r w:rsidRPr="000977F7">
        <w:rPr>
          <w:b w:val="0"/>
          <w:bCs/>
          <w:iCs w:val="0"/>
          <w:color w:val="auto"/>
          <w:sz w:val="20"/>
          <w:szCs w:val="20"/>
        </w:rPr>
        <w:t>уповноважених ними осіб від двадцяти до ста неоподатковуваних</w:t>
      </w:r>
      <w:r w:rsidRPr="000977F7">
        <w:rPr>
          <w:b w:val="0"/>
          <w:bCs/>
          <w:iCs w:val="0"/>
          <w:color w:val="auto"/>
          <w:spacing w:val="-2"/>
          <w:sz w:val="20"/>
          <w:szCs w:val="20"/>
        </w:rPr>
        <w:t xml:space="preserve"> </w:t>
      </w:r>
      <w:r w:rsidRPr="000977F7">
        <w:rPr>
          <w:b w:val="0"/>
          <w:bCs/>
          <w:iCs w:val="0"/>
          <w:color w:val="auto"/>
          <w:sz w:val="20"/>
          <w:szCs w:val="20"/>
        </w:rPr>
        <w:t>мінімумів</w:t>
      </w:r>
      <w:r w:rsidRPr="000977F7">
        <w:rPr>
          <w:b w:val="0"/>
          <w:bCs/>
          <w:iCs w:val="0"/>
          <w:color w:val="auto"/>
          <w:spacing w:val="1"/>
          <w:sz w:val="20"/>
          <w:szCs w:val="20"/>
        </w:rPr>
        <w:t xml:space="preserve"> </w:t>
      </w:r>
      <w:r w:rsidRPr="000977F7">
        <w:rPr>
          <w:b w:val="0"/>
          <w:bCs/>
          <w:iCs w:val="0"/>
          <w:color w:val="auto"/>
          <w:sz w:val="20"/>
          <w:szCs w:val="20"/>
        </w:rPr>
        <w:t>доходів</w:t>
      </w:r>
      <w:r w:rsidRPr="000977F7">
        <w:rPr>
          <w:b w:val="0"/>
          <w:bCs/>
          <w:iCs w:val="0"/>
          <w:color w:val="auto"/>
          <w:spacing w:val="-1"/>
          <w:sz w:val="20"/>
          <w:szCs w:val="20"/>
        </w:rPr>
        <w:t xml:space="preserve"> </w:t>
      </w:r>
      <w:r w:rsidRPr="000977F7">
        <w:rPr>
          <w:b w:val="0"/>
          <w:bCs/>
          <w:iCs w:val="0"/>
          <w:color w:val="auto"/>
          <w:sz w:val="20"/>
          <w:szCs w:val="20"/>
        </w:rPr>
        <w:t>громадян.</w:t>
      </w:r>
    </w:p>
    <w:p w14:paraId="76C65B5F" w14:textId="77777777" w:rsidR="0097612F" w:rsidRPr="000977F7" w:rsidRDefault="0097612F" w:rsidP="000977F7">
      <w:pPr>
        <w:tabs>
          <w:tab w:val="left" w:pos="284"/>
          <w:tab w:val="left" w:pos="4820"/>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167 Кодексу України про адміністративні порушення</w:t>
      </w:r>
    </w:p>
    <w:p w14:paraId="32AC3815" w14:textId="77777777" w:rsidR="0097612F" w:rsidRPr="000977F7" w:rsidRDefault="0097612F" w:rsidP="000977F7">
      <w:pPr>
        <w:pStyle w:val="7"/>
        <w:tabs>
          <w:tab w:val="left" w:pos="284"/>
          <w:tab w:val="left" w:pos="4820"/>
        </w:tabs>
        <w:spacing w:before="0" w:line="240" w:lineRule="auto"/>
        <w:ind w:left="170"/>
        <w:mirrorIndents/>
        <w:jc w:val="both"/>
        <w:rPr>
          <w:iCs w:val="0"/>
          <w:color w:val="auto"/>
          <w:sz w:val="20"/>
          <w:szCs w:val="20"/>
        </w:rPr>
      </w:pPr>
      <w:r w:rsidRPr="000977F7">
        <w:rPr>
          <w:iCs w:val="0"/>
          <w:color w:val="auto"/>
          <w:sz w:val="20"/>
          <w:szCs w:val="20"/>
        </w:rPr>
        <w:t>ВВЕДЕННЯ</w:t>
      </w:r>
      <w:r w:rsidRPr="000977F7">
        <w:rPr>
          <w:iCs w:val="0"/>
          <w:color w:val="auto"/>
          <w:spacing w:val="-3"/>
          <w:sz w:val="20"/>
          <w:szCs w:val="20"/>
        </w:rPr>
        <w:t xml:space="preserve"> </w:t>
      </w:r>
      <w:r w:rsidRPr="000977F7">
        <w:rPr>
          <w:iCs w:val="0"/>
          <w:color w:val="auto"/>
          <w:sz w:val="20"/>
          <w:szCs w:val="20"/>
        </w:rPr>
        <w:t>ПРОДУКЦІЇ</w:t>
      </w:r>
      <w:r w:rsidRPr="000977F7">
        <w:rPr>
          <w:iCs w:val="0"/>
          <w:color w:val="auto"/>
          <w:spacing w:val="-3"/>
          <w:sz w:val="20"/>
          <w:szCs w:val="20"/>
        </w:rPr>
        <w:t xml:space="preserve"> </w:t>
      </w:r>
      <w:r w:rsidRPr="000977F7">
        <w:rPr>
          <w:iCs w:val="0"/>
          <w:color w:val="auto"/>
          <w:sz w:val="20"/>
          <w:szCs w:val="20"/>
        </w:rPr>
        <w:t>В</w:t>
      </w:r>
      <w:r w:rsidRPr="000977F7">
        <w:rPr>
          <w:iCs w:val="0"/>
          <w:color w:val="auto"/>
          <w:spacing w:val="-2"/>
          <w:sz w:val="20"/>
          <w:szCs w:val="20"/>
        </w:rPr>
        <w:t xml:space="preserve"> </w:t>
      </w:r>
      <w:r w:rsidRPr="000977F7">
        <w:rPr>
          <w:iCs w:val="0"/>
          <w:color w:val="auto"/>
          <w:sz w:val="20"/>
          <w:szCs w:val="20"/>
        </w:rPr>
        <w:t>ОБІГ</w:t>
      </w:r>
      <w:r w:rsidRPr="000977F7">
        <w:rPr>
          <w:iCs w:val="0"/>
          <w:color w:val="auto"/>
          <w:spacing w:val="1"/>
          <w:sz w:val="20"/>
          <w:szCs w:val="20"/>
        </w:rPr>
        <w:t xml:space="preserve"> </w:t>
      </w:r>
      <w:r w:rsidRPr="000977F7">
        <w:rPr>
          <w:iCs w:val="0"/>
          <w:color w:val="auto"/>
          <w:sz w:val="20"/>
          <w:szCs w:val="20"/>
        </w:rPr>
        <w:t>–</w:t>
      </w:r>
    </w:p>
    <w:p w14:paraId="13F05F1D" w14:textId="77777777" w:rsidR="0097612F" w:rsidRPr="000977F7" w:rsidRDefault="0097612F" w:rsidP="000977F7">
      <w:pPr>
        <w:pStyle w:val="7"/>
        <w:tabs>
          <w:tab w:val="left" w:pos="284"/>
          <w:tab w:val="left" w:pos="4820"/>
        </w:tabs>
        <w:spacing w:before="0" w:line="240" w:lineRule="auto"/>
        <w:ind w:left="170"/>
        <w:mirrorIndents/>
        <w:jc w:val="both"/>
        <w:rPr>
          <w:b w:val="0"/>
          <w:bCs/>
          <w:iCs w:val="0"/>
          <w:color w:val="auto"/>
          <w:sz w:val="20"/>
          <w:szCs w:val="20"/>
        </w:rPr>
      </w:pPr>
      <w:r w:rsidRPr="000977F7">
        <w:rPr>
          <w:b w:val="0"/>
          <w:bCs/>
          <w:iCs w:val="0"/>
          <w:color w:val="auto"/>
          <w:sz w:val="20"/>
          <w:szCs w:val="20"/>
        </w:rPr>
        <w:t>Дії суб'єкта господарювання, спрямовані на виготовлення або ввезення на митну територію України продукції з подальшою самостійною або опосередкованою реалізацією на території України</w:t>
      </w:r>
    </w:p>
    <w:p w14:paraId="077D9B14" w14:textId="77777777" w:rsidR="0097612F" w:rsidRPr="000977F7" w:rsidRDefault="0097612F" w:rsidP="000977F7">
      <w:pPr>
        <w:pStyle w:val="7"/>
        <w:tabs>
          <w:tab w:val="left" w:pos="284"/>
          <w:tab w:val="left" w:pos="4820"/>
        </w:tabs>
        <w:spacing w:before="0" w:line="240" w:lineRule="auto"/>
        <w:ind w:left="170"/>
        <w:mirrorIndents/>
        <w:jc w:val="both"/>
        <w:rPr>
          <w:b w:val="0"/>
          <w:bCs/>
          <w:i/>
          <w:color w:val="auto"/>
          <w:sz w:val="20"/>
          <w:szCs w:val="20"/>
        </w:rPr>
      </w:pPr>
      <w:r w:rsidRPr="000977F7">
        <w:rPr>
          <w:b w:val="0"/>
          <w:bCs/>
          <w:i/>
          <w:color w:val="auto"/>
          <w:sz w:val="20"/>
          <w:szCs w:val="20"/>
        </w:rPr>
        <w:t>Ст. 1 закону</w:t>
      </w:r>
      <w:r w:rsidRPr="000977F7">
        <w:rPr>
          <w:i/>
          <w:color w:val="auto"/>
          <w:sz w:val="20"/>
          <w:szCs w:val="20"/>
        </w:rPr>
        <w:t xml:space="preserve"> </w:t>
      </w:r>
      <w:r w:rsidRPr="000977F7">
        <w:rPr>
          <w:b w:val="0"/>
          <w:bCs/>
          <w:i/>
          <w:color w:val="auto"/>
          <w:sz w:val="20"/>
          <w:szCs w:val="20"/>
        </w:rPr>
        <w:t>України "Про захист прав споживачів"</w:t>
      </w:r>
    </w:p>
    <w:p w14:paraId="78B302F0" w14:textId="77777777" w:rsidR="0097612F" w:rsidRPr="000977F7" w:rsidRDefault="0097612F" w:rsidP="000977F7">
      <w:pPr>
        <w:pStyle w:val="7"/>
        <w:tabs>
          <w:tab w:val="left" w:pos="284"/>
          <w:tab w:val="left" w:pos="4820"/>
        </w:tabs>
        <w:spacing w:before="0" w:line="240" w:lineRule="auto"/>
        <w:ind w:left="170"/>
        <w:mirrorIndents/>
        <w:jc w:val="both"/>
        <w:rPr>
          <w:b w:val="0"/>
          <w:bCs/>
          <w:color w:val="auto"/>
          <w:sz w:val="20"/>
          <w:szCs w:val="20"/>
          <w:lang w:eastAsia="ru-RU"/>
        </w:rPr>
      </w:pPr>
      <w:r w:rsidRPr="000977F7">
        <w:rPr>
          <w:b w:val="0"/>
          <w:bCs/>
          <w:color w:val="auto"/>
          <w:sz w:val="20"/>
          <w:szCs w:val="20"/>
          <w:lang w:eastAsia="ru-RU"/>
        </w:rPr>
        <w:t>Надання апаратури на ринку України перший раз</w:t>
      </w:r>
    </w:p>
    <w:p w14:paraId="0684A5A1" w14:textId="77777777" w:rsidR="0097612F" w:rsidRPr="000977F7" w:rsidRDefault="0097612F" w:rsidP="000977F7">
      <w:pPr>
        <w:pStyle w:val="7"/>
        <w:tabs>
          <w:tab w:val="left" w:pos="284"/>
          <w:tab w:val="left" w:pos="4820"/>
        </w:tabs>
        <w:spacing w:before="0" w:line="240" w:lineRule="auto"/>
        <w:ind w:left="170"/>
        <w:mirrorIndents/>
        <w:jc w:val="both"/>
        <w:rPr>
          <w:b w:val="0"/>
          <w:bCs/>
          <w:i/>
          <w:color w:val="auto"/>
          <w:sz w:val="20"/>
          <w:szCs w:val="20"/>
        </w:rPr>
      </w:pPr>
      <w:r w:rsidRPr="000977F7">
        <w:rPr>
          <w:b w:val="0"/>
          <w:bCs/>
          <w:i/>
          <w:color w:val="auto"/>
          <w:sz w:val="20"/>
          <w:szCs w:val="20"/>
        </w:rPr>
        <w:t>Технічний регламент з електромагнітної сумісності обладнання</w:t>
      </w:r>
    </w:p>
    <w:p w14:paraId="29D2CF75" w14:textId="77777777" w:rsidR="0097612F" w:rsidRPr="000977F7" w:rsidRDefault="0097612F" w:rsidP="000977F7">
      <w:pPr>
        <w:tabs>
          <w:tab w:val="left" w:pos="284"/>
          <w:tab w:val="left" w:pos="4820"/>
        </w:tabs>
        <w:spacing w:after="0" w:line="240" w:lineRule="auto"/>
        <w:ind w:left="170"/>
        <w:mirrorIndents/>
        <w:jc w:val="both"/>
        <w:rPr>
          <w:rFonts w:asciiTheme="majorHAnsi" w:hAnsiTheme="majorHAnsi"/>
          <w:b/>
          <w:iCs/>
          <w:sz w:val="20"/>
          <w:szCs w:val="20"/>
        </w:rPr>
      </w:pPr>
      <w:r w:rsidRPr="000977F7">
        <w:rPr>
          <w:rFonts w:asciiTheme="majorHAnsi" w:hAnsiTheme="majorHAnsi"/>
          <w:b/>
          <w:iCs/>
          <w:sz w:val="20"/>
          <w:szCs w:val="20"/>
        </w:rPr>
        <w:t>ВВЕЗЕННЯ</w:t>
      </w:r>
      <w:r w:rsidRPr="000977F7">
        <w:rPr>
          <w:rFonts w:asciiTheme="majorHAnsi" w:hAnsiTheme="majorHAnsi"/>
          <w:b/>
          <w:iCs/>
          <w:spacing w:val="14"/>
          <w:sz w:val="20"/>
          <w:szCs w:val="20"/>
        </w:rPr>
        <w:t xml:space="preserve"> </w:t>
      </w:r>
      <w:r w:rsidRPr="000977F7">
        <w:rPr>
          <w:rFonts w:asciiTheme="majorHAnsi" w:hAnsiTheme="majorHAnsi"/>
          <w:b/>
          <w:iCs/>
          <w:sz w:val="20"/>
          <w:szCs w:val="20"/>
        </w:rPr>
        <w:t>ТОВАРІВ</w:t>
      </w:r>
      <w:r w:rsidRPr="000977F7">
        <w:rPr>
          <w:rFonts w:asciiTheme="majorHAnsi" w:hAnsiTheme="majorHAnsi"/>
          <w:b/>
          <w:iCs/>
          <w:spacing w:val="15"/>
          <w:sz w:val="20"/>
          <w:szCs w:val="20"/>
        </w:rPr>
        <w:t xml:space="preserve"> </w:t>
      </w:r>
      <w:r w:rsidRPr="000977F7">
        <w:rPr>
          <w:rFonts w:asciiTheme="majorHAnsi" w:hAnsiTheme="majorHAnsi"/>
          <w:b/>
          <w:iCs/>
          <w:sz w:val="20"/>
          <w:szCs w:val="20"/>
        </w:rPr>
        <w:t>І</w:t>
      </w:r>
      <w:r w:rsidRPr="000977F7">
        <w:rPr>
          <w:rFonts w:asciiTheme="majorHAnsi" w:hAnsiTheme="majorHAnsi"/>
          <w:b/>
          <w:iCs/>
          <w:spacing w:val="13"/>
          <w:sz w:val="20"/>
          <w:szCs w:val="20"/>
        </w:rPr>
        <w:t xml:space="preserve"> </w:t>
      </w:r>
      <w:r w:rsidRPr="000977F7">
        <w:rPr>
          <w:rFonts w:asciiTheme="majorHAnsi" w:hAnsiTheme="majorHAnsi"/>
          <w:b/>
          <w:iCs/>
          <w:sz w:val="20"/>
          <w:szCs w:val="20"/>
        </w:rPr>
        <w:t>ТРАНСПОРТНИХ</w:t>
      </w:r>
      <w:r w:rsidRPr="000977F7">
        <w:rPr>
          <w:rFonts w:asciiTheme="majorHAnsi" w:hAnsiTheme="majorHAnsi"/>
          <w:b/>
          <w:iCs/>
          <w:spacing w:val="14"/>
          <w:sz w:val="20"/>
          <w:szCs w:val="20"/>
        </w:rPr>
        <w:t xml:space="preserve"> </w:t>
      </w:r>
      <w:r w:rsidRPr="000977F7">
        <w:rPr>
          <w:rFonts w:asciiTheme="majorHAnsi" w:hAnsiTheme="majorHAnsi"/>
          <w:b/>
          <w:iCs/>
          <w:sz w:val="20"/>
          <w:szCs w:val="20"/>
        </w:rPr>
        <w:t>ЗАСО</w:t>
      </w:r>
      <w:r w:rsidRPr="000977F7">
        <w:rPr>
          <w:rFonts w:asciiTheme="majorHAnsi" w:hAnsiTheme="majorHAnsi"/>
          <w:b/>
          <w:iCs/>
          <w:spacing w:val="-47"/>
          <w:sz w:val="20"/>
          <w:szCs w:val="20"/>
        </w:rPr>
        <w:t xml:space="preserve"> </w:t>
      </w:r>
      <w:r w:rsidRPr="000977F7">
        <w:rPr>
          <w:rFonts w:asciiTheme="majorHAnsi" w:hAnsiTheme="majorHAnsi"/>
          <w:b/>
          <w:iCs/>
          <w:sz w:val="20"/>
          <w:szCs w:val="20"/>
        </w:rPr>
        <w:t>БІВ</w:t>
      </w:r>
      <w:r w:rsidRPr="000977F7">
        <w:rPr>
          <w:rFonts w:asciiTheme="majorHAnsi" w:hAnsiTheme="majorHAnsi"/>
          <w:b/>
          <w:iCs/>
          <w:spacing w:val="24"/>
          <w:sz w:val="20"/>
          <w:szCs w:val="20"/>
        </w:rPr>
        <w:t xml:space="preserve"> </w:t>
      </w:r>
      <w:r w:rsidRPr="000977F7">
        <w:rPr>
          <w:rFonts w:asciiTheme="majorHAnsi" w:hAnsiTheme="majorHAnsi"/>
          <w:b/>
          <w:iCs/>
          <w:sz w:val="20"/>
          <w:szCs w:val="20"/>
        </w:rPr>
        <w:t>НА</w:t>
      </w:r>
      <w:r w:rsidRPr="000977F7">
        <w:rPr>
          <w:rFonts w:asciiTheme="majorHAnsi" w:hAnsiTheme="majorHAnsi"/>
          <w:b/>
          <w:iCs/>
          <w:spacing w:val="21"/>
          <w:sz w:val="20"/>
          <w:szCs w:val="20"/>
        </w:rPr>
        <w:t xml:space="preserve"> </w:t>
      </w:r>
      <w:r w:rsidRPr="000977F7">
        <w:rPr>
          <w:rFonts w:asciiTheme="majorHAnsi" w:hAnsiTheme="majorHAnsi"/>
          <w:b/>
          <w:iCs/>
          <w:sz w:val="20"/>
          <w:szCs w:val="20"/>
        </w:rPr>
        <w:t>МИТНУ</w:t>
      </w:r>
      <w:r w:rsidRPr="000977F7">
        <w:rPr>
          <w:rFonts w:asciiTheme="majorHAnsi" w:hAnsiTheme="majorHAnsi"/>
          <w:b/>
          <w:iCs/>
          <w:spacing w:val="23"/>
          <w:sz w:val="20"/>
          <w:szCs w:val="20"/>
        </w:rPr>
        <w:t xml:space="preserve"> </w:t>
      </w:r>
      <w:r w:rsidRPr="000977F7">
        <w:rPr>
          <w:rFonts w:asciiTheme="majorHAnsi" w:hAnsiTheme="majorHAnsi"/>
          <w:b/>
          <w:iCs/>
          <w:sz w:val="20"/>
          <w:szCs w:val="20"/>
        </w:rPr>
        <w:t>ТЕРИТОРІЮ</w:t>
      </w:r>
      <w:r w:rsidRPr="000977F7">
        <w:rPr>
          <w:rFonts w:asciiTheme="majorHAnsi" w:hAnsiTheme="majorHAnsi"/>
          <w:b/>
          <w:iCs/>
          <w:spacing w:val="22"/>
          <w:sz w:val="20"/>
          <w:szCs w:val="20"/>
        </w:rPr>
        <w:t xml:space="preserve"> </w:t>
      </w:r>
      <w:r w:rsidRPr="000977F7">
        <w:rPr>
          <w:rFonts w:asciiTheme="majorHAnsi" w:hAnsiTheme="majorHAnsi"/>
          <w:b/>
          <w:iCs/>
          <w:sz w:val="20"/>
          <w:szCs w:val="20"/>
        </w:rPr>
        <w:t>УКРАЇНИ,</w:t>
      </w:r>
      <w:r w:rsidRPr="000977F7">
        <w:rPr>
          <w:rFonts w:asciiTheme="majorHAnsi" w:hAnsiTheme="majorHAnsi"/>
          <w:b/>
          <w:iCs/>
          <w:spacing w:val="24"/>
          <w:sz w:val="20"/>
          <w:szCs w:val="20"/>
        </w:rPr>
        <w:t xml:space="preserve"> </w:t>
      </w:r>
      <w:r w:rsidRPr="000977F7">
        <w:rPr>
          <w:rFonts w:asciiTheme="majorHAnsi" w:hAnsiTheme="majorHAnsi"/>
          <w:b/>
          <w:iCs/>
          <w:sz w:val="20"/>
          <w:szCs w:val="20"/>
        </w:rPr>
        <w:t>ВИВЕЗЕННЯ</w:t>
      </w:r>
      <w:r w:rsidRPr="000977F7">
        <w:rPr>
          <w:rFonts w:asciiTheme="majorHAnsi" w:hAnsiTheme="majorHAnsi"/>
          <w:b/>
          <w:iCs/>
          <w:spacing w:val="42"/>
          <w:sz w:val="20"/>
          <w:szCs w:val="20"/>
        </w:rPr>
        <w:t xml:space="preserve"> </w:t>
      </w:r>
      <w:r w:rsidRPr="000977F7">
        <w:rPr>
          <w:rFonts w:asciiTheme="majorHAnsi" w:hAnsiTheme="majorHAnsi"/>
          <w:b/>
          <w:iCs/>
          <w:sz w:val="20"/>
          <w:szCs w:val="20"/>
        </w:rPr>
        <w:t>ТОВАРІВ</w:t>
      </w:r>
      <w:r w:rsidRPr="000977F7">
        <w:rPr>
          <w:rFonts w:asciiTheme="majorHAnsi" w:hAnsiTheme="majorHAnsi"/>
          <w:b/>
          <w:iCs/>
          <w:spacing w:val="44"/>
          <w:sz w:val="20"/>
          <w:szCs w:val="20"/>
        </w:rPr>
        <w:t xml:space="preserve"> </w:t>
      </w:r>
      <w:r w:rsidRPr="000977F7">
        <w:rPr>
          <w:rFonts w:asciiTheme="majorHAnsi" w:hAnsiTheme="majorHAnsi"/>
          <w:b/>
          <w:iCs/>
          <w:sz w:val="20"/>
          <w:szCs w:val="20"/>
        </w:rPr>
        <w:t>І</w:t>
      </w:r>
      <w:r w:rsidRPr="000977F7">
        <w:rPr>
          <w:rFonts w:asciiTheme="majorHAnsi" w:hAnsiTheme="majorHAnsi"/>
          <w:b/>
          <w:iCs/>
          <w:spacing w:val="41"/>
          <w:sz w:val="20"/>
          <w:szCs w:val="20"/>
        </w:rPr>
        <w:t xml:space="preserve"> </w:t>
      </w:r>
      <w:r w:rsidRPr="000977F7">
        <w:rPr>
          <w:rFonts w:asciiTheme="majorHAnsi" w:hAnsiTheme="majorHAnsi"/>
          <w:b/>
          <w:iCs/>
          <w:sz w:val="20"/>
          <w:szCs w:val="20"/>
        </w:rPr>
        <w:t>ТРАНСПОРТНИХ</w:t>
      </w:r>
      <w:r w:rsidRPr="000977F7">
        <w:rPr>
          <w:rFonts w:asciiTheme="majorHAnsi" w:hAnsiTheme="majorHAnsi"/>
          <w:b/>
          <w:iCs/>
          <w:spacing w:val="43"/>
          <w:sz w:val="20"/>
          <w:szCs w:val="20"/>
        </w:rPr>
        <w:t xml:space="preserve"> </w:t>
      </w:r>
      <w:r w:rsidRPr="000977F7">
        <w:rPr>
          <w:rFonts w:asciiTheme="majorHAnsi" w:hAnsiTheme="majorHAnsi"/>
          <w:b/>
          <w:iCs/>
          <w:sz w:val="20"/>
          <w:szCs w:val="20"/>
        </w:rPr>
        <w:t>ЗАСОБІВ</w:t>
      </w:r>
      <w:r w:rsidRPr="000977F7">
        <w:rPr>
          <w:rFonts w:asciiTheme="majorHAnsi" w:hAnsiTheme="majorHAnsi"/>
          <w:b/>
          <w:iCs/>
          <w:spacing w:val="-47"/>
          <w:sz w:val="20"/>
          <w:szCs w:val="20"/>
        </w:rPr>
        <w:t xml:space="preserve"> </w:t>
      </w:r>
      <w:r w:rsidRPr="000977F7">
        <w:rPr>
          <w:rFonts w:asciiTheme="majorHAnsi" w:hAnsiTheme="majorHAnsi"/>
          <w:b/>
          <w:iCs/>
          <w:sz w:val="20"/>
          <w:szCs w:val="20"/>
        </w:rPr>
        <w:t>ЗА</w:t>
      </w:r>
      <w:r w:rsidRPr="000977F7">
        <w:rPr>
          <w:rFonts w:asciiTheme="majorHAnsi" w:hAnsiTheme="majorHAnsi"/>
          <w:b/>
          <w:iCs/>
          <w:spacing w:val="-2"/>
          <w:sz w:val="20"/>
          <w:szCs w:val="20"/>
        </w:rPr>
        <w:t xml:space="preserve"> </w:t>
      </w:r>
      <w:r w:rsidRPr="000977F7">
        <w:rPr>
          <w:rFonts w:asciiTheme="majorHAnsi" w:hAnsiTheme="majorHAnsi"/>
          <w:b/>
          <w:iCs/>
          <w:sz w:val="20"/>
          <w:szCs w:val="20"/>
        </w:rPr>
        <w:t>МЕЖІ</w:t>
      </w:r>
      <w:r w:rsidRPr="000977F7">
        <w:rPr>
          <w:rFonts w:asciiTheme="majorHAnsi" w:hAnsiTheme="majorHAnsi"/>
          <w:b/>
          <w:iCs/>
          <w:spacing w:val="-2"/>
          <w:sz w:val="20"/>
          <w:szCs w:val="20"/>
        </w:rPr>
        <w:t xml:space="preserve"> </w:t>
      </w:r>
      <w:r w:rsidRPr="000977F7">
        <w:rPr>
          <w:rFonts w:asciiTheme="majorHAnsi" w:hAnsiTheme="majorHAnsi"/>
          <w:b/>
          <w:iCs/>
          <w:sz w:val="20"/>
          <w:szCs w:val="20"/>
        </w:rPr>
        <w:t>МИТНОЇ</w:t>
      </w:r>
      <w:r w:rsidRPr="000977F7">
        <w:rPr>
          <w:rFonts w:asciiTheme="majorHAnsi" w:hAnsiTheme="majorHAnsi"/>
          <w:b/>
          <w:iCs/>
          <w:spacing w:val="-2"/>
          <w:sz w:val="20"/>
          <w:szCs w:val="20"/>
        </w:rPr>
        <w:t xml:space="preserve"> </w:t>
      </w:r>
      <w:r w:rsidRPr="000977F7">
        <w:rPr>
          <w:rFonts w:asciiTheme="majorHAnsi" w:hAnsiTheme="majorHAnsi"/>
          <w:b/>
          <w:iCs/>
          <w:sz w:val="20"/>
          <w:szCs w:val="20"/>
        </w:rPr>
        <w:t>ТЕРИТОРІЇ</w:t>
      </w:r>
      <w:r w:rsidRPr="000977F7">
        <w:rPr>
          <w:rFonts w:asciiTheme="majorHAnsi" w:hAnsiTheme="majorHAnsi"/>
          <w:b/>
          <w:iCs/>
          <w:spacing w:val="-2"/>
          <w:sz w:val="20"/>
          <w:szCs w:val="20"/>
        </w:rPr>
        <w:t xml:space="preserve"> </w:t>
      </w:r>
      <w:r w:rsidRPr="000977F7">
        <w:rPr>
          <w:rFonts w:asciiTheme="majorHAnsi" w:hAnsiTheme="majorHAnsi"/>
          <w:b/>
          <w:iCs/>
          <w:sz w:val="20"/>
          <w:szCs w:val="20"/>
        </w:rPr>
        <w:t>УКРАЇНИ</w:t>
      </w:r>
      <w:r w:rsidRPr="000977F7">
        <w:rPr>
          <w:rFonts w:asciiTheme="majorHAnsi" w:hAnsiTheme="majorHAnsi"/>
          <w:b/>
          <w:iCs/>
          <w:spacing w:val="3"/>
          <w:sz w:val="20"/>
          <w:szCs w:val="20"/>
        </w:rPr>
        <w:t xml:space="preserve"> </w:t>
      </w:r>
      <w:r w:rsidRPr="000977F7">
        <w:rPr>
          <w:rFonts w:asciiTheme="majorHAnsi" w:hAnsiTheme="majorHAnsi"/>
          <w:b/>
          <w:iCs/>
          <w:sz w:val="20"/>
          <w:szCs w:val="20"/>
        </w:rPr>
        <w:t>–</w:t>
      </w:r>
    </w:p>
    <w:p w14:paraId="176D774D"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iCs/>
          <w:sz w:val="20"/>
          <w:szCs w:val="20"/>
        </w:rPr>
      </w:pPr>
      <w:r w:rsidRPr="000977F7">
        <w:rPr>
          <w:rFonts w:asciiTheme="majorHAnsi" w:hAnsiTheme="majorHAnsi"/>
          <w:iCs/>
          <w:sz w:val="20"/>
          <w:szCs w:val="20"/>
        </w:rPr>
        <w:t>Сукупність дій, пов’язаних із переміщенням товарів і</w:t>
      </w:r>
      <w:r w:rsidRPr="000977F7">
        <w:rPr>
          <w:rFonts w:asciiTheme="majorHAnsi" w:hAnsiTheme="majorHAnsi"/>
          <w:iCs/>
          <w:spacing w:val="1"/>
          <w:sz w:val="20"/>
          <w:szCs w:val="20"/>
        </w:rPr>
        <w:t xml:space="preserve"> </w:t>
      </w:r>
      <w:r w:rsidRPr="000977F7">
        <w:rPr>
          <w:rFonts w:asciiTheme="majorHAnsi" w:hAnsiTheme="majorHAnsi"/>
          <w:iCs/>
          <w:sz w:val="20"/>
          <w:szCs w:val="20"/>
        </w:rPr>
        <w:t>транспортних засобів через митний кордон України у</w:t>
      </w:r>
      <w:r w:rsidRPr="000977F7">
        <w:rPr>
          <w:rFonts w:asciiTheme="majorHAnsi" w:hAnsiTheme="majorHAnsi"/>
          <w:iCs/>
          <w:spacing w:val="1"/>
          <w:sz w:val="20"/>
          <w:szCs w:val="20"/>
        </w:rPr>
        <w:t xml:space="preserve"> </w:t>
      </w:r>
      <w:r w:rsidRPr="000977F7">
        <w:rPr>
          <w:rFonts w:asciiTheme="majorHAnsi" w:hAnsiTheme="majorHAnsi"/>
          <w:iCs/>
          <w:sz w:val="20"/>
          <w:szCs w:val="20"/>
        </w:rPr>
        <w:t>відповідному</w:t>
      </w:r>
      <w:r w:rsidRPr="000977F7">
        <w:rPr>
          <w:rFonts w:asciiTheme="majorHAnsi" w:hAnsiTheme="majorHAnsi"/>
          <w:iCs/>
          <w:spacing w:val="-5"/>
          <w:sz w:val="20"/>
          <w:szCs w:val="20"/>
        </w:rPr>
        <w:t xml:space="preserve"> </w:t>
      </w:r>
      <w:r w:rsidRPr="000977F7">
        <w:rPr>
          <w:rFonts w:asciiTheme="majorHAnsi" w:hAnsiTheme="majorHAnsi"/>
          <w:iCs/>
          <w:sz w:val="20"/>
          <w:szCs w:val="20"/>
        </w:rPr>
        <w:t>напрямку</w:t>
      </w:r>
    </w:p>
    <w:p w14:paraId="5D867680" w14:textId="77777777" w:rsidR="0097612F" w:rsidRPr="000977F7" w:rsidRDefault="0097612F" w:rsidP="000977F7">
      <w:pPr>
        <w:tabs>
          <w:tab w:val="left" w:pos="284"/>
          <w:tab w:val="left" w:pos="4820"/>
        </w:tabs>
        <w:spacing w:after="0" w:line="240" w:lineRule="auto"/>
        <w:ind w:left="170"/>
        <w:mirrorIndents/>
        <w:jc w:val="both"/>
        <w:rPr>
          <w:rFonts w:asciiTheme="majorHAnsi" w:hAnsiTheme="majorHAnsi"/>
          <w:i/>
          <w:sz w:val="20"/>
          <w:szCs w:val="20"/>
        </w:rPr>
      </w:pPr>
      <w:bookmarkStart w:id="23" w:name="_Hlk103144171"/>
      <w:r w:rsidRPr="000977F7">
        <w:rPr>
          <w:rFonts w:asciiTheme="majorHAnsi" w:hAnsiTheme="majorHAnsi"/>
          <w:i/>
          <w:sz w:val="20"/>
          <w:szCs w:val="20"/>
        </w:rPr>
        <w:t>Митний</w:t>
      </w:r>
      <w:r w:rsidRPr="000977F7">
        <w:rPr>
          <w:rFonts w:asciiTheme="majorHAnsi" w:hAnsiTheme="majorHAnsi"/>
          <w:i/>
          <w:spacing w:val="-2"/>
          <w:sz w:val="20"/>
          <w:szCs w:val="20"/>
        </w:rPr>
        <w:t xml:space="preserve"> </w:t>
      </w:r>
      <w:r w:rsidRPr="000977F7">
        <w:rPr>
          <w:rFonts w:asciiTheme="majorHAnsi" w:hAnsiTheme="majorHAnsi"/>
          <w:i/>
          <w:sz w:val="20"/>
          <w:szCs w:val="20"/>
        </w:rPr>
        <w:t>кодекс</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p>
    <w:bookmarkEnd w:id="23"/>
    <w:p w14:paraId="0A7CE8D1" w14:textId="77777777" w:rsidR="0097612F" w:rsidRPr="000977F7" w:rsidRDefault="0097612F" w:rsidP="000977F7">
      <w:pPr>
        <w:pStyle w:val="7"/>
        <w:tabs>
          <w:tab w:val="left" w:pos="284"/>
          <w:tab w:val="left" w:pos="4820"/>
        </w:tabs>
        <w:spacing w:before="0" w:line="240" w:lineRule="auto"/>
        <w:ind w:left="170"/>
        <w:mirrorIndents/>
        <w:jc w:val="both"/>
        <w:rPr>
          <w:b w:val="0"/>
          <w:iCs w:val="0"/>
          <w:color w:val="auto"/>
          <w:sz w:val="20"/>
          <w:szCs w:val="20"/>
        </w:rPr>
      </w:pPr>
      <w:r w:rsidRPr="000977F7">
        <w:rPr>
          <w:iCs w:val="0"/>
          <w:color w:val="auto"/>
          <w:sz w:val="20"/>
          <w:szCs w:val="20"/>
        </w:rPr>
        <w:t>ВВІЗНЕ</w:t>
      </w:r>
      <w:r w:rsidRPr="000977F7">
        <w:rPr>
          <w:iCs w:val="0"/>
          <w:color w:val="auto"/>
          <w:spacing w:val="-3"/>
          <w:sz w:val="20"/>
          <w:szCs w:val="20"/>
        </w:rPr>
        <w:t xml:space="preserve"> </w:t>
      </w:r>
      <w:r w:rsidRPr="000977F7">
        <w:rPr>
          <w:iCs w:val="0"/>
          <w:color w:val="auto"/>
          <w:sz w:val="20"/>
          <w:szCs w:val="20"/>
        </w:rPr>
        <w:t>МИТО</w:t>
      </w:r>
      <w:r w:rsidRPr="000977F7">
        <w:rPr>
          <w:iCs w:val="0"/>
          <w:color w:val="auto"/>
          <w:spacing w:val="1"/>
          <w:sz w:val="20"/>
          <w:szCs w:val="20"/>
        </w:rPr>
        <w:t xml:space="preserve"> </w:t>
      </w:r>
      <w:r w:rsidRPr="000977F7">
        <w:rPr>
          <w:b w:val="0"/>
          <w:iCs w:val="0"/>
          <w:color w:val="auto"/>
          <w:sz w:val="20"/>
          <w:szCs w:val="20"/>
        </w:rPr>
        <w:t>–</w:t>
      </w:r>
    </w:p>
    <w:p w14:paraId="74FC4502"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iCs/>
          <w:sz w:val="20"/>
          <w:szCs w:val="20"/>
        </w:rPr>
      </w:pPr>
      <w:r w:rsidRPr="000977F7">
        <w:rPr>
          <w:rFonts w:asciiTheme="majorHAnsi" w:hAnsiTheme="majorHAnsi"/>
          <w:iCs/>
          <w:sz w:val="20"/>
          <w:szCs w:val="20"/>
        </w:rPr>
        <w:t>Податок,</w:t>
      </w:r>
      <w:r w:rsidRPr="000977F7">
        <w:rPr>
          <w:rFonts w:asciiTheme="majorHAnsi" w:hAnsiTheme="majorHAnsi"/>
          <w:iCs/>
          <w:spacing w:val="1"/>
          <w:sz w:val="20"/>
          <w:szCs w:val="20"/>
        </w:rPr>
        <w:t xml:space="preserve"> </w:t>
      </w:r>
      <w:r w:rsidRPr="000977F7">
        <w:rPr>
          <w:rFonts w:asciiTheme="majorHAnsi" w:hAnsiTheme="majorHAnsi"/>
          <w:iCs/>
          <w:sz w:val="20"/>
          <w:szCs w:val="20"/>
        </w:rPr>
        <w:t>стягуваний</w:t>
      </w:r>
      <w:r w:rsidRPr="000977F7">
        <w:rPr>
          <w:rFonts w:asciiTheme="majorHAnsi" w:hAnsiTheme="majorHAnsi"/>
          <w:iCs/>
          <w:spacing w:val="1"/>
          <w:sz w:val="20"/>
          <w:szCs w:val="20"/>
        </w:rPr>
        <w:t xml:space="preserve"> </w:t>
      </w:r>
      <w:r w:rsidRPr="000977F7">
        <w:rPr>
          <w:rFonts w:asciiTheme="majorHAnsi" w:hAnsiTheme="majorHAnsi"/>
          <w:iCs/>
          <w:sz w:val="20"/>
          <w:szCs w:val="20"/>
        </w:rPr>
        <w:t>митними</w:t>
      </w:r>
      <w:r w:rsidRPr="000977F7">
        <w:rPr>
          <w:rFonts w:asciiTheme="majorHAnsi" w:hAnsiTheme="majorHAnsi"/>
          <w:iCs/>
          <w:spacing w:val="1"/>
          <w:sz w:val="20"/>
          <w:szCs w:val="20"/>
        </w:rPr>
        <w:t xml:space="preserve"> </w:t>
      </w:r>
      <w:r w:rsidRPr="000977F7">
        <w:rPr>
          <w:rFonts w:asciiTheme="majorHAnsi" w:hAnsiTheme="majorHAnsi"/>
          <w:iCs/>
          <w:sz w:val="20"/>
          <w:szCs w:val="20"/>
        </w:rPr>
        <w:t>органами</w:t>
      </w:r>
      <w:r w:rsidRPr="000977F7">
        <w:rPr>
          <w:rFonts w:asciiTheme="majorHAnsi" w:hAnsiTheme="majorHAnsi"/>
          <w:iCs/>
          <w:spacing w:val="1"/>
          <w:sz w:val="20"/>
          <w:szCs w:val="20"/>
        </w:rPr>
        <w:t xml:space="preserve"> </w:t>
      </w:r>
      <w:r w:rsidRPr="000977F7">
        <w:rPr>
          <w:rFonts w:asciiTheme="majorHAnsi" w:hAnsiTheme="majorHAnsi"/>
          <w:iCs/>
          <w:sz w:val="20"/>
          <w:szCs w:val="20"/>
        </w:rPr>
        <w:t>з</w:t>
      </w:r>
      <w:r w:rsidRPr="000977F7">
        <w:rPr>
          <w:rFonts w:asciiTheme="majorHAnsi" w:hAnsiTheme="majorHAnsi"/>
          <w:iCs/>
          <w:spacing w:val="1"/>
          <w:sz w:val="20"/>
          <w:szCs w:val="20"/>
        </w:rPr>
        <w:t xml:space="preserve"> </w:t>
      </w:r>
      <w:r w:rsidRPr="000977F7">
        <w:rPr>
          <w:rFonts w:asciiTheme="majorHAnsi" w:hAnsiTheme="majorHAnsi"/>
          <w:iCs/>
          <w:sz w:val="20"/>
          <w:szCs w:val="20"/>
        </w:rPr>
        <w:t>товарів</w:t>
      </w:r>
      <w:r w:rsidRPr="000977F7">
        <w:rPr>
          <w:rFonts w:asciiTheme="majorHAnsi" w:hAnsiTheme="majorHAnsi"/>
          <w:iCs/>
          <w:spacing w:val="1"/>
          <w:sz w:val="20"/>
          <w:szCs w:val="20"/>
        </w:rPr>
        <w:t xml:space="preserve"> </w:t>
      </w:r>
      <w:r w:rsidRPr="000977F7">
        <w:rPr>
          <w:rFonts w:asciiTheme="majorHAnsi" w:hAnsiTheme="majorHAnsi"/>
          <w:iCs/>
          <w:sz w:val="20"/>
          <w:szCs w:val="20"/>
        </w:rPr>
        <w:t>іноземного</w:t>
      </w:r>
      <w:r w:rsidRPr="000977F7">
        <w:rPr>
          <w:rFonts w:asciiTheme="majorHAnsi" w:hAnsiTheme="majorHAnsi"/>
          <w:iCs/>
          <w:spacing w:val="1"/>
          <w:sz w:val="20"/>
          <w:szCs w:val="20"/>
        </w:rPr>
        <w:t xml:space="preserve"> </w:t>
      </w:r>
      <w:r w:rsidRPr="000977F7">
        <w:rPr>
          <w:rFonts w:asciiTheme="majorHAnsi" w:hAnsiTheme="majorHAnsi"/>
          <w:iCs/>
          <w:sz w:val="20"/>
          <w:szCs w:val="20"/>
        </w:rPr>
        <w:t>походження</w:t>
      </w:r>
      <w:r w:rsidRPr="000977F7">
        <w:rPr>
          <w:rFonts w:asciiTheme="majorHAnsi" w:hAnsiTheme="majorHAnsi"/>
          <w:iCs/>
          <w:spacing w:val="1"/>
          <w:sz w:val="20"/>
          <w:szCs w:val="20"/>
        </w:rPr>
        <w:t xml:space="preserve"> </w:t>
      </w:r>
      <w:r w:rsidRPr="000977F7">
        <w:rPr>
          <w:rFonts w:asciiTheme="majorHAnsi" w:hAnsiTheme="majorHAnsi"/>
          <w:iCs/>
          <w:sz w:val="20"/>
          <w:szCs w:val="20"/>
        </w:rPr>
        <w:t>під</w:t>
      </w:r>
      <w:r w:rsidRPr="000977F7">
        <w:rPr>
          <w:rFonts w:asciiTheme="majorHAnsi" w:hAnsiTheme="majorHAnsi"/>
          <w:iCs/>
          <w:spacing w:val="1"/>
          <w:sz w:val="20"/>
          <w:szCs w:val="20"/>
        </w:rPr>
        <w:t xml:space="preserve"> </w:t>
      </w:r>
      <w:r w:rsidRPr="000977F7">
        <w:rPr>
          <w:rFonts w:asciiTheme="majorHAnsi" w:hAnsiTheme="majorHAnsi"/>
          <w:iCs/>
          <w:sz w:val="20"/>
          <w:szCs w:val="20"/>
        </w:rPr>
        <w:t>час</w:t>
      </w:r>
      <w:r w:rsidRPr="000977F7">
        <w:rPr>
          <w:rFonts w:asciiTheme="majorHAnsi" w:hAnsiTheme="majorHAnsi"/>
          <w:iCs/>
          <w:spacing w:val="1"/>
          <w:sz w:val="20"/>
          <w:szCs w:val="20"/>
        </w:rPr>
        <w:t xml:space="preserve"> </w:t>
      </w:r>
      <w:r w:rsidRPr="000977F7">
        <w:rPr>
          <w:rFonts w:asciiTheme="majorHAnsi" w:hAnsiTheme="majorHAnsi"/>
          <w:iCs/>
          <w:sz w:val="20"/>
          <w:szCs w:val="20"/>
        </w:rPr>
        <w:t>перетинання</w:t>
      </w:r>
      <w:r w:rsidRPr="000977F7">
        <w:rPr>
          <w:rFonts w:asciiTheme="majorHAnsi" w:hAnsiTheme="majorHAnsi"/>
          <w:iCs/>
          <w:spacing w:val="1"/>
          <w:sz w:val="20"/>
          <w:szCs w:val="20"/>
        </w:rPr>
        <w:t xml:space="preserve"> </w:t>
      </w:r>
      <w:r w:rsidRPr="000977F7">
        <w:rPr>
          <w:rFonts w:asciiTheme="majorHAnsi" w:hAnsiTheme="majorHAnsi"/>
          <w:iCs/>
          <w:sz w:val="20"/>
          <w:szCs w:val="20"/>
        </w:rPr>
        <w:t>ними</w:t>
      </w:r>
      <w:r w:rsidRPr="000977F7">
        <w:rPr>
          <w:rFonts w:asciiTheme="majorHAnsi" w:hAnsiTheme="majorHAnsi"/>
          <w:iCs/>
          <w:spacing w:val="-47"/>
          <w:sz w:val="20"/>
          <w:szCs w:val="20"/>
        </w:rPr>
        <w:t xml:space="preserve"> </w:t>
      </w:r>
      <w:r w:rsidRPr="000977F7">
        <w:rPr>
          <w:rFonts w:asciiTheme="majorHAnsi" w:hAnsiTheme="majorHAnsi"/>
          <w:iCs/>
          <w:sz w:val="20"/>
          <w:szCs w:val="20"/>
        </w:rPr>
        <w:t>кордону</w:t>
      </w:r>
      <w:r w:rsidRPr="000977F7">
        <w:rPr>
          <w:rFonts w:asciiTheme="majorHAnsi" w:hAnsiTheme="majorHAnsi"/>
          <w:iCs/>
          <w:spacing w:val="-4"/>
          <w:sz w:val="20"/>
          <w:szCs w:val="20"/>
        </w:rPr>
        <w:t xml:space="preserve"> </w:t>
      </w:r>
      <w:r w:rsidRPr="000977F7">
        <w:rPr>
          <w:rFonts w:asciiTheme="majorHAnsi" w:hAnsiTheme="majorHAnsi"/>
          <w:iCs/>
          <w:sz w:val="20"/>
          <w:szCs w:val="20"/>
        </w:rPr>
        <w:t>країни</w:t>
      </w:r>
    </w:p>
    <w:p w14:paraId="0CF04894" w14:textId="77777777" w:rsidR="0097612F" w:rsidRPr="000977F7" w:rsidRDefault="0097612F" w:rsidP="000977F7">
      <w:pPr>
        <w:tabs>
          <w:tab w:val="left" w:pos="284"/>
          <w:tab w:val="left" w:pos="4820"/>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91D0A23" w14:textId="77777777" w:rsidR="0097612F" w:rsidRPr="000977F7" w:rsidRDefault="0097612F" w:rsidP="000977F7">
      <w:pPr>
        <w:pStyle w:val="7"/>
        <w:tabs>
          <w:tab w:val="left" w:pos="284"/>
          <w:tab w:val="left" w:pos="4820"/>
        </w:tabs>
        <w:spacing w:before="0" w:line="240" w:lineRule="auto"/>
        <w:ind w:left="170"/>
        <w:mirrorIndents/>
        <w:jc w:val="both"/>
        <w:rPr>
          <w:iCs w:val="0"/>
          <w:color w:val="auto"/>
          <w:sz w:val="20"/>
          <w:szCs w:val="20"/>
        </w:rPr>
      </w:pPr>
      <w:r w:rsidRPr="000977F7">
        <w:rPr>
          <w:iCs w:val="0"/>
          <w:color w:val="auto"/>
          <w:sz w:val="20"/>
          <w:szCs w:val="20"/>
        </w:rPr>
        <w:t>ВЕДЕННЯ</w:t>
      </w:r>
      <w:r w:rsidRPr="000977F7">
        <w:rPr>
          <w:iCs w:val="0"/>
          <w:color w:val="auto"/>
          <w:spacing w:val="-4"/>
          <w:sz w:val="20"/>
          <w:szCs w:val="20"/>
        </w:rPr>
        <w:t xml:space="preserve"> </w:t>
      </w:r>
      <w:r w:rsidRPr="000977F7">
        <w:rPr>
          <w:iCs w:val="0"/>
          <w:color w:val="auto"/>
          <w:sz w:val="20"/>
          <w:szCs w:val="20"/>
        </w:rPr>
        <w:t>ПЕРЕГОВОРІВ</w:t>
      </w:r>
      <w:r w:rsidRPr="000977F7">
        <w:rPr>
          <w:iCs w:val="0"/>
          <w:color w:val="auto"/>
          <w:spacing w:val="1"/>
          <w:sz w:val="20"/>
          <w:szCs w:val="20"/>
        </w:rPr>
        <w:t xml:space="preserve"> </w:t>
      </w:r>
      <w:r w:rsidRPr="000977F7">
        <w:rPr>
          <w:iCs w:val="0"/>
          <w:color w:val="auto"/>
          <w:sz w:val="20"/>
          <w:szCs w:val="20"/>
        </w:rPr>
        <w:t>–</w:t>
      </w:r>
    </w:p>
    <w:p w14:paraId="6A1ADFA4"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iCs/>
          <w:sz w:val="20"/>
          <w:szCs w:val="20"/>
        </w:rPr>
      </w:pPr>
      <w:r w:rsidRPr="000977F7">
        <w:rPr>
          <w:rFonts w:asciiTheme="majorHAnsi" w:hAnsiTheme="majorHAnsi"/>
          <w:iCs/>
          <w:sz w:val="20"/>
          <w:szCs w:val="20"/>
        </w:rPr>
        <w:t>Включає нараду</w:t>
      </w:r>
      <w:r w:rsidRPr="000977F7">
        <w:rPr>
          <w:rFonts w:asciiTheme="majorHAnsi" w:hAnsiTheme="majorHAnsi"/>
          <w:iCs/>
          <w:spacing w:val="1"/>
          <w:sz w:val="20"/>
          <w:szCs w:val="20"/>
        </w:rPr>
        <w:t xml:space="preserve"> </w:t>
      </w:r>
      <w:r w:rsidRPr="000977F7">
        <w:rPr>
          <w:rFonts w:asciiTheme="majorHAnsi" w:hAnsiTheme="majorHAnsi"/>
          <w:iCs/>
          <w:sz w:val="20"/>
          <w:szCs w:val="20"/>
        </w:rPr>
        <w:t>з іншими особами за ієрархією, для</w:t>
      </w:r>
      <w:r w:rsidRPr="000977F7">
        <w:rPr>
          <w:rFonts w:asciiTheme="majorHAnsi" w:hAnsiTheme="majorHAnsi"/>
          <w:iCs/>
          <w:spacing w:val="1"/>
          <w:sz w:val="20"/>
          <w:szCs w:val="20"/>
        </w:rPr>
        <w:t xml:space="preserve"> </w:t>
      </w:r>
      <w:r w:rsidRPr="000977F7">
        <w:rPr>
          <w:rFonts w:asciiTheme="majorHAnsi" w:hAnsiTheme="majorHAnsi"/>
          <w:iCs/>
          <w:sz w:val="20"/>
          <w:szCs w:val="20"/>
        </w:rPr>
        <w:t>того</w:t>
      </w:r>
      <w:r w:rsidRPr="000977F7">
        <w:rPr>
          <w:rFonts w:asciiTheme="majorHAnsi" w:hAnsiTheme="majorHAnsi"/>
          <w:iCs/>
          <w:spacing w:val="1"/>
          <w:sz w:val="20"/>
          <w:szCs w:val="20"/>
        </w:rPr>
        <w:t xml:space="preserve"> </w:t>
      </w:r>
      <w:r w:rsidRPr="000977F7">
        <w:rPr>
          <w:rFonts w:asciiTheme="majorHAnsi" w:hAnsiTheme="majorHAnsi"/>
          <w:iCs/>
          <w:sz w:val="20"/>
          <w:szCs w:val="20"/>
        </w:rPr>
        <w:t>щоб</w:t>
      </w:r>
      <w:r w:rsidRPr="000977F7">
        <w:rPr>
          <w:rFonts w:asciiTheme="majorHAnsi" w:hAnsiTheme="majorHAnsi"/>
          <w:iCs/>
          <w:spacing w:val="1"/>
          <w:sz w:val="20"/>
          <w:szCs w:val="20"/>
        </w:rPr>
        <w:t xml:space="preserve"> </w:t>
      </w:r>
      <w:r w:rsidRPr="000977F7">
        <w:rPr>
          <w:rFonts w:asciiTheme="majorHAnsi" w:hAnsiTheme="majorHAnsi"/>
          <w:iCs/>
          <w:sz w:val="20"/>
          <w:szCs w:val="20"/>
        </w:rPr>
        <w:t>обговорити</w:t>
      </w:r>
      <w:r w:rsidRPr="000977F7">
        <w:rPr>
          <w:rFonts w:asciiTheme="majorHAnsi" w:hAnsiTheme="majorHAnsi"/>
          <w:iCs/>
          <w:spacing w:val="1"/>
          <w:sz w:val="20"/>
          <w:szCs w:val="20"/>
        </w:rPr>
        <w:t xml:space="preserve"> </w:t>
      </w:r>
      <w:r w:rsidRPr="000977F7">
        <w:rPr>
          <w:rFonts w:asciiTheme="majorHAnsi" w:hAnsiTheme="majorHAnsi"/>
          <w:iCs/>
          <w:sz w:val="20"/>
          <w:szCs w:val="20"/>
        </w:rPr>
        <w:t>строки</w:t>
      </w:r>
      <w:r w:rsidRPr="000977F7">
        <w:rPr>
          <w:rFonts w:asciiTheme="majorHAnsi" w:hAnsiTheme="majorHAnsi"/>
          <w:iCs/>
          <w:spacing w:val="1"/>
          <w:sz w:val="20"/>
          <w:szCs w:val="20"/>
        </w:rPr>
        <w:t xml:space="preserve"> </w:t>
      </w:r>
      <w:r w:rsidRPr="000977F7">
        <w:rPr>
          <w:rFonts w:asciiTheme="majorHAnsi" w:hAnsiTheme="majorHAnsi"/>
          <w:iCs/>
          <w:sz w:val="20"/>
          <w:szCs w:val="20"/>
        </w:rPr>
        <w:t>чи</w:t>
      </w:r>
      <w:r w:rsidRPr="000977F7">
        <w:rPr>
          <w:rFonts w:asciiTheme="majorHAnsi" w:hAnsiTheme="majorHAnsi"/>
          <w:iCs/>
          <w:spacing w:val="1"/>
          <w:sz w:val="20"/>
          <w:szCs w:val="20"/>
        </w:rPr>
        <w:t xml:space="preserve"> </w:t>
      </w:r>
      <w:r w:rsidRPr="000977F7">
        <w:rPr>
          <w:rFonts w:asciiTheme="majorHAnsi" w:hAnsiTheme="majorHAnsi"/>
          <w:iCs/>
          <w:sz w:val="20"/>
          <w:szCs w:val="20"/>
        </w:rPr>
        <w:t>дійти</w:t>
      </w:r>
      <w:r w:rsidRPr="000977F7">
        <w:rPr>
          <w:rFonts w:asciiTheme="majorHAnsi" w:hAnsiTheme="majorHAnsi"/>
          <w:iCs/>
          <w:spacing w:val="1"/>
          <w:sz w:val="20"/>
          <w:szCs w:val="20"/>
        </w:rPr>
        <w:t xml:space="preserve"> </w:t>
      </w:r>
      <w:r w:rsidRPr="000977F7">
        <w:rPr>
          <w:rFonts w:asciiTheme="majorHAnsi" w:hAnsiTheme="majorHAnsi"/>
          <w:iCs/>
          <w:sz w:val="20"/>
          <w:szCs w:val="20"/>
        </w:rPr>
        <w:t>згоди.</w:t>
      </w:r>
      <w:r w:rsidRPr="000977F7">
        <w:rPr>
          <w:rFonts w:asciiTheme="majorHAnsi" w:hAnsiTheme="majorHAnsi"/>
          <w:iCs/>
          <w:spacing w:val="1"/>
          <w:sz w:val="20"/>
          <w:szCs w:val="20"/>
        </w:rPr>
        <w:t xml:space="preserve"> </w:t>
      </w:r>
      <w:r w:rsidRPr="000977F7">
        <w:rPr>
          <w:rFonts w:asciiTheme="majorHAnsi" w:hAnsiTheme="majorHAnsi"/>
          <w:iCs/>
          <w:sz w:val="20"/>
          <w:szCs w:val="20"/>
        </w:rPr>
        <w:t>Згоди</w:t>
      </w:r>
      <w:r w:rsidRPr="000977F7">
        <w:rPr>
          <w:rFonts w:asciiTheme="majorHAnsi" w:hAnsiTheme="majorHAnsi"/>
          <w:iCs/>
          <w:spacing w:val="-47"/>
          <w:sz w:val="20"/>
          <w:szCs w:val="20"/>
        </w:rPr>
        <w:t xml:space="preserve"> </w:t>
      </w:r>
      <w:r w:rsidRPr="000977F7">
        <w:rPr>
          <w:rFonts w:asciiTheme="majorHAnsi" w:hAnsiTheme="majorHAnsi"/>
          <w:iCs/>
          <w:sz w:val="20"/>
          <w:szCs w:val="20"/>
        </w:rPr>
        <w:t>можна</w:t>
      </w:r>
      <w:r w:rsidRPr="000977F7">
        <w:rPr>
          <w:rFonts w:asciiTheme="majorHAnsi" w:hAnsiTheme="majorHAnsi"/>
          <w:iCs/>
          <w:spacing w:val="26"/>
          <w:sz w:val="20"/>
          <w:szCs w:val="20"/>
        </w:rPr>
        <w:t xml:space="preserve"> </w:t>
      </w:r>
      <w:r w:rsidRPr="000977F7">
        <w:rPr>
          <w:rFonts w:asciiTheme="majorHAnsi" w:hAnsiTheme="majorHAnsi"/>
          <w:iCs/>
          <w:sz w:val="20"/>
          <w:szCs w:val="20"/>
        </w:rPr>
        <w:t>дійти</w:t>
      </w:r>
      <w:r w:rsidRPr="000977F7">
        <w:rPr>
          <w:rFonts w:asciiTheme="majorHAnsi" w:hAnsiTheme="majorHAnsi"/>
          <w:iCs/>
          <w:spacing w:val="25"/>
          <w:sz w:val="20"/>
          <w:szCs w:val="20"/>
        </w:rPr>
        <w:t xml:space="preserve"> </w:t>
      </w:r>
      <w:r w:rsidRPr="000977F7">
        <w:rPr>
          <w:rFonts w:asciiTheme="majorHAnsi" w:hAnsiTheme="majorHAnsi"/>
          <w:iCs/>
          <w:sz w:val="20"/>
          <w:szCs w:val="20"/>
        </w:rPr>
        <w:t>безпосередньо</w:t>
      </w:r>
      <w:r w:rsidRPr="000977F7">
        <w:rPr>
          <w:rFonts w:asciiTheme="majorHAnsi" w:hAnsiTheme="majorHAnsi"/>
          <w:iCs/>
          <w:spacing w:val="27"/>
          <w:sz w:val="20"/>
          <w:szCs w:val="20"/>
        </w:rPr>
        <w:t xml:space="preserve"> </w:t>
      </w:r>
      <w:r w:rsidRPr="000977F7">
        <w:rPr>
          <w:rFonts w:asciiTheme="majorHAnsi" w:hAnsiTheme="majorHAnsi"/>
          <w:iCs/>
          <w:sz w:val="20"/>
          <w:szCs w:val="20"/>
        </w:rPr>
        <w:t>або</w:t>
      </w:r>
      <w:r w:rsidRPr="000977F7">
        <w:rPr>
          <w:rFonts w:asciiTheme="majorHAnsi" w:hAnsiTheme="majorHAnsi"/>
          <w:iCs/>
          <w:spacing w:val="26"/>
          <w:sz w:val="20"/>
          <w:szCs w:val="20"/>
        </w:rPr>
        <w:t xml:space="preserve"> </w:t>
      </w:r>
      <w:r w:rsidRPr="000977F7">
        <w:rPr>
          <w:rFonts w:asciiTheme="majorHAnsi" w:hAnsiTheme="majorHAnsi"/>
          <w:iCs/>
          <w:sz w:val="20"/>
          <w:szCs w:val="20"/>
        </w:rPr>
        <w:t>за</w:t>
      </w:r>
      <w:r w:rsidRPr="000977F7">
        <w:rPr>
          <w:rFonts w:asciiTheme="majorHAnsi" w:hAnsiTheme="majorHAnsi"/>
          <w:iCs/>
          <w:spacing w:val="26"/>
          <w:sz w:val="20"/>
          <w:szCs w:val="20"/>
        </w:rPr>
        <w:t xml:space="preserve"> </w:t>
      </w:r>
      <w:r w:rsidRPr="000977F7">
        <w:rPr>
          <w:rFonts w:asciiTheme="majorHAnsi" w:hAnsiTheme="majorHAnsi"/>
          <w:iCs/>
          <w:sz w:val="20"/>
          <w:szCs w:val="20"/>
        </w:rPr>
        <w:t>допомогою</w:t>
      </w:r>
      <w:r w:rsidRPr="000977F7">
        <w:rPr>
          <w:rFonts w:asciiTheme="majorHAnsi" w:hAnsiTheme="majorHAnsi"/>
          <w:iCs/>
          <w:spacing w:val="26"/>
          <w:sz w:val="20"/>
          <w:szCs w:val="20"/>
        </w:rPr>
        <w:t xml:space="preserve"> </w:t>
      </w:r>
      <w:r w:rsidRPr="000977F7">
        <w:rPr>
          <w:rFonts w:asciiTheme="majorHAnsi" w:hAnsiTheme="majorHAnsi"/>
          <w:iCs/>
          <w:sz w:val="20"/>
          <w:szCs w:val="20"/>
        </w:rPr>
        <w:t xml:space="preserve">третіх </w:t>
      </w:r>
      <w:r w:rsidRPr="000977F7">
        <w:rPr>
          <w:rFonts w:asciiTheme="majorHAnsi" w:hAnsiTheme="majorHAnsi"/>
          <w:iCs/>
          <w:spacing w:val="-47"/>
          <w:sz w:val="20"/>
          <w:szCs w:val="20"/>
        </w:rPr>
        <w:t xml:space="preserve"> </w:t>
      </w:r>
      <w:r w:rsidRPr="000977F7">
        <w:rPr>
          <w:rFonts w:asciiTheme="majorHAnsi" w:hAnsiTheme="majorHAnsi"/>
          <w:iCs/>
          <w:sz w:val="20"/>
          <w:szCs w:val="20"/>
        </w:rPr>
        <w:t>осіб:</w:t>
      </w:r>
      <w:r w:rsidRPr="000977F7">
        <w:rPr>
          <w:rFonts w:asciiTheme="majorHAnsi" w:hAnsiTheme="majorHAnsi"/>
          <w:iCs/>
          <w:spacing w:val="2"/>
          <w:sz w:val="20"/>
          <w:szCs w:val="20"/>
        </w:rPr>
        <w:t xml:space="preserve"> </w:t>
      </w:r>
      <w:r w:rsidRPr="000977F7">
        <w:rPr>
          <w:rFonts w:asciiTheme="majorHAnsi" w:hAnsiTheme="majorHAnsi"/>
          <w:iCs/>
          <w:sz w:val="20"/>
          <w:szCs w:val="20"/>
        </w:rPr>
        <w:t>посередництво</w:t>
      </w:r>
      <w:r w:rsidRPr="000977F7">
        <w:rPr>
          <w:rFonts w:asciiTheme="majorHAnsi" w:hAnsiTheme="majorHAnsi"/>
          <w:iCs/>
          <w:spacing w:val="3"/>
          <w:sz w:val="20"/>
          <w:szCs w:val="20"/>
        </w:rPr>
        <w:t xml:space="preserve"> </w:t>
      </w:r>
      <w:r w:rsidRPr="000977F7">
        <w:rPr>
          <w:rFonts w:asciiTheme="majorHAnsi" w:hAnsiTheme="majorHAnsi"/>
          <w:iCs/>
          <w:sz w:val="20"/>
          <w:szCs w:val="20"/>
        </w:rPr>
        <w:t>й арбітраж є</w:t>
      </w:r>
      <w:r w:rsidRPr="000977F7">
        <w:rPr>
          <w:rFonts w:asciiTheme="majorHAnsi" w:hAnsiTheme="majorHAnsi"/>
          <w:iCs/>
          <w:spacing w:val="2"/>
          <w:sz w:val="20"/>
          <w:szCs w:val="20"/>
        </w:rPr>
        <w:t xml:space="preserve"> </w:t>
      </w:r>
      <w:r w:rsidRPr="000977F7">
        <w:rPr>
          <w:rFonts w:asciiTheme="majorHAnsi" w:hAnsiTheme="majorHAnsi"/>
          <w:iCs/>
          <w:sz w:val="20"/>
          <w:szCs w:val="20"/>
        </w:rPr>
        <w:t>двома</w:t>
      </w:r>
      <w:r w:rsidRPr="000977F7">
        <w:rPr>
          <w:rFonts w:asciiTheme="majorHAnsi" w:hAnsiTheme="majorHAnsi"/>
          <w:iCs/>
          <w:spacing w:val="1"/>
          <w:sz w:val="20"/>
          <w:szCs w:val="20"/>
        </w:rPr>
        <w:t xml:space="preserve"> </w:t>
      </w:r>
      <w:r w:rsidRPr="000977F7">
        <w:rPr>
          <w:rFonts w:asciiTheme="majorHAnsi" w:hAnsiTheme="majorHAnsi"/>
          <w:iCs/>
          <w:sz w:val="20"/>
          <w:szCs w:val="20"/>
        </w:rPr>
        <w:t>типами</w:t>
      </w:r>
      <w:r w:rsidRPr="000977F7">
        <w:rPr>
          <w:rFonts w:asciiTheme="majorHAnsi" w:hAnsiTheme="majorHAnsi"/>
          <w:iCs/>
          <w:spacing w:val="1"/>
          <w:sz w:val="20"/>
          <w:szCs w:val="20"/>
        </w:rPr>
        <w:t xml:space="preserve"> </w:t>
      </w:r>
      <w:r w:rsidRPr="000977F7">
        <w:rPr>
          <w:rFonts w:asciiTheme="majorHAnsi" w:hAnsiTheme="majorHAnsi"/>
          <w:iCs/>
          <w:sz w:val="20"/>
          <w:szCs w:val="20"/>
        </w:rPr>
        <w:t>таких</w:t>
      </w:r>
      <w:r w:rsidRPr="000977F7">
        <w:rPr>
          <w:rFonts w:asciiTheme="majorHAnsi" w:hAnsiTheme="majorHAnsi"/>
          <w:iCs/>
          <w:spacing w:val="-47"/>
          <w:sz w:val="20"/>
          <w:szCs w:val="20"/>
        </w:rPr>
        <w:t xml:space="preserve">           </w:t>
      </w:r>
      <w:r w:rsidRPr="000977F7">
        <w:rPr>
          <w:rFonts w:asciiTheme="majorHAnsi" w:hAnsiTheme="majorHAnsi"/>
          <w:iCs/>
          <w:sz w:val="20"/>
          <w:szCs w:val="20"/>
        </w:rPr>
        <w:t>переговорів.</w:t>
      </w:r>
    </w:p>
    <w:p w14:paraId="24028B65"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iCs/>
          <w:sz w:val="20"/>
          <w:szCs w:val="20"/>
        </w:rPr>
      </w:pPr>
      <w:r w:rsidRPr="000977F7">
        <w:rPr>
          <w:rFonts w:asciiTheme="majorHAnsi" w:hAnsiTheme="majorHAnsi"/>
          <w:iCs/>
          <w:sz w:val="20"/>
          <w:szCs w:val="20"/>
        </w:rPr>
        <w:t>Переговори проводять з безлічі питань, безліч разів і</w:t>
      </w:r>
      <w:r w:rsidRPr="000977F7">
        <w:rPr>
          <w:rFonts w:asciiTheme="majorHAnsi" w:hAnsiTheme="majorHAnsi"/>
          <w:iCs/>
          <w:spacing w:val="1"/>
          <w:sz w:val="20"/>
          <w:szCs w:val="20"/>
        </w:rPr>
        <w:t xml:space="preserve"> </w:t>
      </w:r>
      <w:r w:rsidRPr="000977F7">
        <w:rPr>
          <w:rFonts w:asciiTheme="majorHAnsi" w:hAnsiTheme="majorHAnsi"/>
          <w:iCs/>
          <w:sz w:val="20"/>
          <w:szCs w:val="20"/>
        </w:rPr>
        <w:t>на багатьох рівнях проекту. Під час виконання типового проекту персонал проекту може вести переговори</w:t>
      </w:r>
      <w:r w:rsidRPr="000977F7">
        <w:rPr>
          <w:rFonts w:asciiTheme="majorHAnsi" w:hAnsiTheme="majorHAnsi"/>
          <w:iCs/>
          <w:spacing w:val="-2"/>
          <w:sz w:val="20"/>
          <w:szCs w:val="20"/>
        </w:rPr>
        <w:t xml:space="preserve"> </w:t>
      </w:r>
      <w:r w:rsidRPr="000977F7">
        <w:rPr>
          <w:rFonts w:asciiTheme="majorHAnsi" w:hAnsiTheme="majorHAnsi"/>
          <w:iCs/>
          <w:sz w:val="20"/>
          <w:szCs w:val="20"/>
        </w:rPr>
        <w:t>з таких</w:t>
      </w:r>
      <w:r w:rsidRPr="000977F7">
        <w:rPr>
          <w:rFonts w:asciiTheme="majorHAnsi" w:hAnsiTheme="majorHAnsi"/>
          <w:iCs/>
          <w:spacing w:val="-1"/>
          <w:sz w:val="20"/>
          <w:szCs w:val="20"/>
        </w:rPr>
        <w:t xml:space="preserve"> </w:t>
      </w:r>
      <w:r w:rsidRPr="000977F7">
        <w:rPr>
          <w:rFonts w:asciiTheme="majorHAnsi" w:hAnsiTheme="majorHAnsi"/>
          <w:iCs/>
          <w:sz w:val="20"/>
          <w:szCs w:val="20"/>
        </w:rPr>
        <w:t>питань:</w:t>
      </w:r>
    </w:p>
    <w:p w14:paraId="10AA5BFD" w14:textId="77777777" w:rsidR="0097612F" w:rsidRPr="000977F7" w:rsidRDefault="0097612F" w:rsidP="00FD39A4">
      <w:pPr>
        <w:pStyle w:val="ac"/>
        <w:widowControl w:val="0"/>
        <w:numPr>
          <w:ilvl w:val="0"/>
          <w:numId w:val="218"/>
        </w:numPr>
        <w:tabs>
          <w:tab w:val="left" w:pos="284"/>
          <w:tab w:val="left" w:pos="677"/>
          <w:tab w:val="left" w:pos="482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задачі, пов’язані зі змістом, вартістю і календарним планом</w:t>
      </w:r>
      <w:r w:rsidRPr="000977F7">
        <w:rPr>
          <w:rFonts w:asciiTheme="majorHAnsi" w:hAnsiTheme="majorHAnsi"/>
          <w:spacing w:val="1"/>
          <w:sz w:val="20"/>
          <w:szCs w:val="20"/>
        </w:rPr>
        <w:t xml:space="preserve"> </w:t>
      </w:r>
      <w:r w:rsidRPr="000977F7">
        <w:rPr>
          <w:rFonts w:asciiTheme="majorHAnsi" w:hAnsiTheme="majorHAnsi"/>
          <w:sz w:val="20"/>
          <w:szCs w:val="20"/>
        </w:rPr>
        <w:t>проекту;</w:t>
      </w:r>
    </w:p>
    <w:p w14:paraId="7297B886" w14:textId="77777777" w:rsidR="0097612F" w:rsidRPr="000977F7" w:rsidRDefault="0097612F" w:rsidP="00FD39A4">
      <w:pPr>
        <w:pStyle w:val="ac"/>
        <w:widowControl w:val="0"/>
        <w:numPr>
          <w:ilvl w:val="1"/>
          <w:numId w:val="218"/>
        </w:numPr>
        <w:tabs>
          <w:tab w:val="left" w:pos="284"/>
          <w:tab w:val="left" w:pos="800"/>
          <w:tab w:val="left" w:pos="801"/>
          <w:tab w:val="left" w:pos="482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внесення</w:t>
      </w:r>
      <w:r w:rsidRPr="000977F7">
        <w:rPr>
          <w:rFonts w:asciiTheme="majorHAnsi" w:hAnsiTheme="majorHAnsi"/>
          <w:spacing w:val="22"/>
          <w:sz w:val="20"/>
          <w:szCs w:val="20"/>
        </w:rPr>
        <w:t xml:space="preserve"> </w:t>
      </w:r>
      <w:r w:rsidRPr="000977F7">
        <w:rPr>
          <w:rFonts w:asciiTheme="majorHAnsi" w:hAnsiTheme="majorHAnsi"/>
          <w:sz w:val="20"/>
          <w:szCs w:val="20"/>
        </w:rPr>
        <w:t>змін</w:t>
      </w:r>
      <w:r w:rsidRPr="000977F7">
        <w:rPr>
          <w:rFonts w:asciiTheme="majorHAnsi" w:hAnsiTheme="majorHAnsi"/>
          <w:spacing w:val="24"/>
          <w:sz w:val="20"/>
          <w:szCs w:val="20"/>
        </w:rPr>
        <w:t xml:space="preserve"> </w:t>
      </w:r>
      <w:r w:rsidRPr="000977F7">
        <w:rPr>
          <w:rFonts w:asciiTheme="majorHAnsi" w:hAnsiTheme="majorHAnsi"/>
          <w:sz w:val="20"/>
          <w:szCs w:val="20"/>
        </w:rPr>
        <w:t>у</w:t>
      </w:r>
      <w:r w:rsidRPr="000977F7">
        <w:rPr>
          <w:rFonts w:asciiTheme="majorHAnsi" w:hAnsiTheme="majorHAnsi"/>
          <w:spacing w:val="19"/>
          <w:sz w:val="20"/>
          <w:szCs w:val="20"/>
        </w:rPr>
        <w:t xml:space="preserve"> </w:t>
      </w:r>
      <w:r w:rsidRPr="000977F7">
        <w:rPr>
          <w:rFonts w:asciiTheme="majorHAnsi" w:hAnsiTheme="majorHAnsi"/>
          <w:sz w:val="20"/>
          <w:szCs w:val="20"/>
        </w:rPr>
        <w:t>зміст,</w:t>
      </w:r>
      <w:r w:rsidRPr="000977F7">
        <w:rPr>
          <w:rFonts w:asciiTheme="majorHAnsi" w:hAnsiTheme="majorHAnsi"/>
          <w:spacing w:val="23"/>
          <w:sz w:val="20"/>
          <w:szCs w:val="20"/>
        </w:rPr>
        <w:t xml:space="preserve"> </w:t>
      </w:r>
      <w:r w:rsidRPr="000977F7">
        <w:rPr>
          <w:rFonts w:asciiTheme="majorHAnsi" w:hAnsiTheme="majorHAnsi"/>
          <w:sz w:val="20"/>
          <w:szCs w:val="20"/>
        </w:rPr>
        <w:t>вартість</w:t>
      </w:r>
      <w:r w:rsidRPr="000977F7">
        <w:rPr>
          <w:rFonts w:asciiTheme="majorHAnsi" w:hAnsiTheme="majorHAnsi"/>
          <w:spacing w:val="22"/>
          <w:sz w:val="20"/>
          <w:szCs w:val="20"/>
        </w:rPr>
        <w:t xml:space="preserve"> </w:t>
      </w:r>
      <w:r w:rsidRPr="000977F7">
        <w:rPr>
          <w:rFonts w:asciiTheme="majorHAnsi" w:hAnsiTheme="majorHAnsi"/>
          <w:sz w:val="20"/>
          <w:szCs w:val="20"/>
        </w:rPr>
        <w:t>і</w:t>
      </w:r>
      <w:r w:rsidRPr="000977F7">
        <w:rPr>
          <w:rFonts w:asciiTheme="majorHAnsi" w:hAnsiTheme="majorHAnsi"/>
          <w:spacing w:val="22"/>
          <w:sz w:val="20"/>
          <w:szCs w:val="20"/>
        </w:rPr>
        <w:t xml:space="preserve"> </w:t>
      </w:r>
      <w:r w:rsidRPr="000977F7">
        <w:rPr>
          <w:rFonts w:asciiTheme="majorHAnsi" w:hAnsiTheme="majorHAnsi"/>
          <w:sz w:val="20"/>
          <w:szCs w:val="20"/>
        </w:rPr>
        <w:t>календарний</w:t>
      </w:r>
      <w:r w:rsidRPr="000977F7">
        <w:rPr>
          <w:rFonts w:asciiTheme="majorHAnsi" w:hAnsiTheme="majorHAnsi"/>
          <w:spacing w:val="-47"/>
          <w:sz w:val="20"/>
          <w:szCs w:val="20"/>
        </w:rPr>
        <w:t xml:space="preserve"> </w:t>
      </w:r>
      <w:r w:rsidRPr="000977F7">
        <w:rPr>
          <w:rFonts w:asciiTheme="majorHAnsi" w:hAnsiTheme="majorHAnsi"/>
          <w:sz w:val="20"/>
          <w:szCs w:val="20"/>
        </w:rPr>
        <w:t>план</w:t>
      </w:r>
      <w:r w:rsidRPr="000977F7">
        <w:rPr>
          <w:rFonts w:asciiTheme="majorHAnsi" w:hAnsiTheme="majorHAnsi"/>
          <w:spacing w:val="-2"/>
          <w:sz w:val="20"/>
          <w:szCs w:val="20"/>
        </w:rPr>
        <w:t xml:space="preserve"> </w:t>
      </w:r>
      <w:r w:rsidRPr="000977F7">
        <w:rPr>
          <w:rFonts w:asciiTheme="majorHAnsi" w:hAnsiTheme="majorHAnsi"/>
          <w:sz w:val="20"/>
          <w:szCs w:val="20"/>
        </w:rPr>
        <w:t>проекту;</w:t>
      </w:r>
    </w:p>
    <w:p w14:paraId="418ECEB0" w14:textId="77777777" w:rsidR="0097612F" w:rsidRPr="000977F7" w:rsidRDefault="0097612F" w:rsidP="00FD39A4">
      <w:pPr>
        <w:pStyle w:val="ac"/>
        <w:widowControl w:val="0"/>
        <w:numPr>
          <w:ilvl w:val="1"/>
          <w:numId w:val="218"/>
        </w:numPr>
        <w:tabs>
          <w:tab w:val="left" w:pos="284"/>
          <w:tab w:val="left" w:pos="800"/>
          <w:tab w:val="left" w:pos="801"/>
          <w:tab w:val="left" w:pos="482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призначення;</w:t>
      </w:r>
    </w:p>
    <w:p w14:paraId="1E9BFFE5" w14:textId="77777777" w:rsidR="0097612F" w:rsidRPr="000977F7" w:rsidRDefault="0097612F" w:rsidP="00FD39A4">
      <w:pPr>
        <w:pStyle w:val="ac"/>
        <w:widowControl w:val="0"/>
        <w:numPr>
          <w:ilvl w:val="1"/>
          <w:numId w:val="218"/>
        </w:numPr>
        <w:tabs>
          <w:tab w:val="left" w:pos="284"/>
          <w:tab w:val="left" w:pos="800"/>
          <w:tab w:val="left" w:pos="801"/>
          <w:tab w:val="left" w:pos="482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ресурси.</w:t>
      </w:r>
      <w:r w:rsidRPr="000977F7">
        <w:rPr>
          <w:rFonts w:asciiTheme="majorHAnsi" w:hAnsiTheme="majorHAnsi"/>
          <w:spacing w:val="1"/>
          <w:sz w:val="20"/>
          <w:szCs w:val="20"/>
        </w:rPr>
        <w:t xml:space="preserve"> </w:t>
      </w:r>
      <w:r w:rsidRPr="000977F7">
        <w:rPr>
          <w:rFonts w:asciiTheme="majorHAnsi" w:hAnsiTheme="majorHAnsi"/>
          <w:i/>
          <w:sz w:val="20"/>
          <w:szCs w:val="20"/>
        </w:rPr>
        <w:t>[Кер.]</w:t>
      </w:r>
      <w:r w:rsidRPr="000977F7">
        <w:rPr>
          <w:rFonts w:asciiTheme="majorHAnsi" w:hAnsiTheme="majorHAnsi"/>
          <w:i/>
          <w:spacing w:val="1"/>
          <w:sz w:val="20"/>
          <w:szCs w:val="20"/>
        </w:rPr>
        <w:t xml:space="preserve"> </w:t>
      </w:r>
    </w:p>
    <w:p w14:paraId="61B4B261" w14:textId="77777777" w:rsidR="0097612F" w:rsidRPr="000977F7" w:rsidRDefault="0097612F" w:rsidP="000977F7">
      <w:pPr>
        <w:pStyle w:val="7"/>
        <w:tabs>
          <w:tab w:val="left" w:pos="284"/>
          <w:tab w:val="left" w:pos="4820"/>
        </w:tabs>
        <w:spacing w:before="0" w:line="240" w:lineRule="auto"/>
        <w:ind w:left="170"/>
        <w:mirrorIndents/>
        <w:jc w:val="both"/>
        <w:rPr>
          <w:iCs w:val="0"/>
          <w:color w:val="auto"/>
          <w:sz w:val="20"/>
          <w:szCs w:val="20"/>
        </w:rPr>
      </w:pPr>
      <w:bookmarkStart w:id="24" w:name="_Hlk103753990"/>
      <w:r w:rsidRPr="000977F7">
        <w:rPr>
          <w:iCs w:val="0"/>
          <w:color w:val="auto"/>
          <w:sz w:val="20"/>
          <w:szCs w:val="20"/>
        </w:rPr>
        <w:t>ВЕЛИЧИНА ЕМІСІЇ –</w:t>
      </w:r>
    </w:p>
    <w:p w14:paraId="6C2C2A4C" w14:textId="77777777" w:rsidR="0097612F" w:rsidRPr="000977F7" w:rsidRDefault="0097612F" w:rsidP="000977F7">
      <w:pPr>
        <w:pStyle w:val="ac"/>
        <w:tabs>
          <w:tab w:val="left" w:pos="284"/>
          <w:tab w:val="left" w:pos="800"/>
          <w:tab w:val="left" w:pos="801"/>
          <w:tab w:val="left" w:pos="4820"/>
        </w:tabs>
        <w:spacing w:after="0" w:line="240" w:lineRule="auto"/>
        <w:ind w:left="170"/>
        <w:mirrorIndents/>
        <w:jc w:val="both"/>
        <w:rPr>
          <w:rFonts w:asciiTheme="majorHAnsi" w:hAnsiTheme="majorHAnsi"/>
          <w:i/>
          <w:spacing w:val="1"/>
          <w:sz w:val="20"/>
          <w:szCs w:val="20"/>
        </w:rPr>
      </w:pPr>
      <w:r w:rsidRPr="000977F7">
        <w:rPr>
          <w:rFonts w:asciiTheme="majorHAnsi" w:hAnsiTheme="majorHAnsi"/>
          <w:iCs/>
          <w:spacing w:val="1"/>
          <w:sz w:val="20"/>
          <w:szCs w:val="20"/>
        </w:rPr>
        <w:t>EMISSION VALUE</w:t>
      </w:r>
      <w:r w:rsidRPr="000977F7">
        <w:rPr>
          <w:rFonts w:asciiTheme="majorHAnsi" w:hAnsiTheme="majorHAnsi"/>
          <w:i/>
          <w:spacing w:val="1"/>
          <w:sz w:val="20"/>
          <w:szCs w:val="20"/>
        </w:rPr>
        <w:t xml:space="preserve"> </w:t>
      </w:r>
    </w:p>
    <w:bookmarkEnd w:id="24"/>
    <w:p w14:paraId="755F977F" w14:textId="77777777" w:rsidR="0097612F" w:rsidRPr="000977F7" w:rsidRDefault="0097612F" w:rsidP="000977F7">
      <w:pPr>
        <w:pStyle w:val="ac"/>
        <w:tabs>
          <w:tab w:val="left" w:pos="284"/>
          <w:tab w:val="left" w:pos="800"/>
          <w:tab w:val="left" w:pos="801"/>
          <w:tab w:val="left" w:pos="4820"/>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Числове значення, яке характеризує емісію, утворювану машиною (наприклад, шум, вібрацію, небезпечні речовини, випромінювання).</w:t>
      </w:r>
    </w:p>
    <w:p w14:paraId="6F43E6EF" w14:textId="77777777" w:rsidR="0097612F" w:rsidRPr="000977F7" w:rsidRDefault="0097612F" w:rsidP="000977F7">
      <w:pPr>
        <w:pStyle w:val="ac"/>
        <w:tabs>
          <w:tab w:val="left" w:pos="284"/>
          <w:tab w:val="left" w:pos="800"/>
          <w:tab w:val="left" w:pos="801"/>
          <w:tab w:val="left" w:pos="4820"/>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Примітка 1. Величини емісії є частиною інформації щодо властивостей машини та їх використовують як основу оцінювання ризику. </w:t>
      </w:r>
    </w:p>
    <w:p w14:paraId="1AFF4C26" w14:textId="77777777" w:rsidR="0097612F" w:rsidRPr="000977F7" w:rsidRDefault="0097612F" w:rsidP="000977F7">
      <w:pPr>
        <w:pStyle w:val="ac"/>
        <w:tabs>
          <w:tab w:val="left" w:pos="284"/>
          <w:tab w:val="left" w:pos="800"/>
          <w:tab w:val="left" w:pos="801"/>
          <w:tab w:val="left" w:pos="4820"/>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Примітка 2. Термін «величина емісії» не треба плутати з «величиною наражання», яка є числовою характеристикою наражання людей унаслідок емісії під час використання машини. Величину наражання можна визначити за допомогою величин емісії.</w:t>
      </w:r>
    </w:p>
    <w:p w14:paraId="4F1901E1" w14:textId="77777777" w:rsidR="0097612F" w:rsidRPr="000977F7" w:rsidRDefault="0097612F" w:rsidP="000977F7">
      <w:pPr>
        <w:pStyle w:val="ac"/>
        <w:tabs>
          <w:tab w:val="left" w:pos="284"/>
          <w:tab w:val="left" w:pos="800"/>
          <w:tab w:val="left" w:pos="801"/>
          <w:tab w:val="left" w:pos="4820"/>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Примітка 3. Величини емісії зазвичай вимірюють, а пов’язану з цим невизначеність встановлюють стандартними методами, наприклад порівняння схожих машин </w:t>
      </w:r>
    </w:p>
    <w:p w14:paraId="0D69F7CC" w14:textId="77777777" w:rsidR="0097612F" w:rsidRPr="004D2D14" w:rsidRDefault="0097612F" w:rsidP="000977F7">
      <w:pPr>
        <w:pStyle w:val="af6"/>
        <w:tabs>
          <w:tab w:val="left" w:pos="284"/>
          <w:tab w:val="left" w:pos="4820"/>
        </w:tabs>
        <w:spacing w:after="0"/>
        <w:ind w:left="170"/>
        <w:mirrorIndents/>
        <w:jc w:val="both"/>
        <w:rPr>
          <w:rFonts w:asciiTheme="majorHAnsi" w:hAnsiTheme="majorHAnsi"/>
          <w:i/>
          <w:iCs/>
          <w:sz w:val="20"/>
          <w:szCs w:val="20"/>
          <w:lang w:val="en-US"/>
        </w:rPr>
      </w:pPr>
      <w:r w:rsidRPr="000977F7">
        <w:rPr>
          <w:rFonts w:asciiTheme="majorHAnsi" w:hAnsiTheme="majorHAnsi"/>
          <w:i/>
          <w:iCs/>
          <w:sz w:val="20"/>
          <w:szCs w:val="20"/>
        </w:rPr>
        <w:t>ДСТУ</w:t>
      </w:r>
      <w:r w:rsidRPr="004D2D14">
        <w:rPr>
          <w:rFonts w:asciiTheme="majorHAnsi" w:hAnsiTheme="majorHAnsi"/>
          <w:i/>
          <w:iCs/>
          <w:sz w:val="20"/>
          <w:szCs w:val="20"/>
          <w:lang w:val="en-US"/>
        </w:rPr>
        <w:t xml:space="preserve"> EN ISO 12100:2016</w:t>
      </w:r>
    </w:p>
    <w:p w14:paraId="35540588" w14:textId="77777777" w:rsidR="0097612F" w:rsidRPr="004D2D14" w:rsidRDefault="0097612F" w:rsidP="000977F7">
      <w:pPr>
        <w:pStyle w:val="ac"/>
        <w:tabs>
          <w:tab w:val="left" w:pos="284"/>
          <w:tab w:val="left" w:pos="800"/>
          <w:tab w:val="left" w:pos="801"/>
          <w:tab w:val="left" w:pos="4820"/>
        </w:tabs>
        <w:spacing w:after="0" w:line="240" w:lineRule="auto"/>
        <w:ind w:left="170"/>
        <w:mirrorIndents/>
        <w:jc w:val="both"/>
        <w:rPr>
          <w:rFonts w:asciiTheme="majorHAnsi" w:hAnsiTheme="majorHAnsi"/>
          <w:sz w:val="20"/>
          <w:szCs w:val="20"/>
          <w:lang w:val="en-US"/>
        </w:rPr>
      </w:pPr>
      <w:r w:rsidRPr="000977F7">
        <w:rPr>
          <w:rFonts w:asciiTheme="majorHAnsi" w:hAnsiTheme="majorHAnsi"/>
          <w:b/>
          <w:spacing w:val="-1"/>
          <w:sz w:val="20"/>
          <w:szCs w:val="20"/>
        </w:rPr>
        <w:t>ВЕРИФІКАЦІЯ</w:t>
      </w:r>
      <w:r w:rsidRPr="004D2D14">
        <w:rPr>
          <w:rFonts w:asciiTheme="majorHAnsi" w:hAnsiTheme="majorHAnsi"/>
          <w:b/>
          <w:spacing w:val="-1"/>
          <w:sz w:val="20"/>
          <w:szCs w:val="20"/>
          <w:lang w:val="en-US"/>
        </w:rPr>
        <w:t xml:space="preserve"> </w:t>
      </w:r>
      <w:r w:rsidRPr="004D2D14">
        <w:rPr>
          <w:rFonts w:asciiTheme="majorHAnsi" w:hAnsiTheme="majorHAnsi"/>
          <w:b/>
          <w:sz w:val="20"/>
          <w:szCs w:val="20"/>
          <w:lang w:val="en-US"/>
        </w:rPr>
        <w:t>–</w:t>
      </w:r>
      <w:r w:rsidRPr="004D2D14">
        <w:rPr>
          <w:rFonts w:asciiTheme="majorHAnsi" w:hAnsiTheme="majorHAnsi"/>
          <w:b/>
          <w:spacing w:val="-47"/>
          <w:sz w:val="20"/>
          <w:szCs w:val="20"/>
          <w:lang w:val="en-US"/>
        </w:rPr>
        <w:t xml:space="preserve"> </w:t>
      </w:r>
      <w:r w:rsidRPr="004D2D14">
        <w:rPr>
          <w:rFonts w:asciiTheme="majorHAnsi" w:hAnsiTheme="majorHAnsi"/>
          <w:sz w:val="20"/>
          <w:szCs w:val="20"/>
          <w:lang w:val="en-US"/>
        </w:rPr>
        <w:t>VERIFICATION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736503A0"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sz w:val="20"/>
          <w:szCs w:val="20"/>
        </w:rPr>
      </w:pPr>
      <w:r w:rsidRPr="000977F7">
        <w:rPr>
          <w:rFonts w:asciiTheme="majorHAnsi" w:hAnsiTheme="majorHAnsi"/>
          <w:sz w:val="20"/>
          <w:szCs w:val="20"/>
        </w:rPr>
        <w:t>Надання об’єктивних доказів того, що цей зразок відповідає певним вимогам.</w:t>
      </w:r>
    </w:p>
    <w:p w14:paraId="05490D6F"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sz w:val="20"/>
          <w:szCs w:val="20"/>
        </w:rPr>
      </w:pPr>
      <w:r w:rsidRPr="000977F7">
        <w:rPr>
          <w:rFonts w:asciiTheme="majorHAnsi" w:hAnsiTheme="majorHAnsi"/>
          <w:sz w:val="20"/>
          <w:szCs w:val="20"/>
        </w:rPr>
        <w:t>Приклад 1 Підтвердження того, що цей референтний матеріал є, як було заявлено, однорідним для відповідного значення величини та процедури вимірювання до вимірювальної частини масою 10 мг.</w:t>
      </w:r>
    </w:p>
    <w:p w14:paraId="5E951B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Приклад 2 Підтвердження того, що вимірювальна система відповідає експлуатаційним характеристикам чи законодавчим вимогам. </w:t>
      </w:r>
    </w:p>
    <w:p w14:paraId="195F896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Приклад 3 Підтвердження того, що може бути досягнута цільова невизначеність вимірювання. </w:t>
      </w:r>
    </w:p>
    <w:p w14:paraId="0126519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Примітка 1. Коли це доречно, слід ураховувати невизначеність вимірювання. </w:t>
      </w:r>
    </w:p>
    <w:p w14:paraId="3614D14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Примітка 2. Об’єктом може бути, наприклад, процес, методика вимірювання, матеріал, сполука чи вимірювальна система. </w:t>
      </w:r>
    </w:p>
    <w:p w14:paraId="57ADF0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Примітка 3. Установленими вимогами можуть бути, наприклад, вимоги щодо відповідності специфікації виробника. </w:t>
      </w:r>
    </w:p>
    <w:p w14:paraId="46DD3F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Примітка 4. Верифікація в законодавчо регульованій метрології, згідно з визначенням у VIML, та в оцінюванні відповідності в цілому, стосується перевірки вимірювальної системи, за результатами якої її маркують та/або видають сертифікат (свідоцтво) про верифікацію. </w:t>
      </w:r>
    </w:p>
    <w:p w14:paraId="30E4F1A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Примітка 5. Верифікацію не потрібно плутати з калібруванням. Не кожна верифікація є валідацією. </w:t>
      </w:r>
    </w:p>
    <w:p w14:paraId="5A17D2F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Примітка 6. У хімії верифікація ідентичності певного об’єкта або дії потребує опису структури чи властивостей цього об’єкта або дії. </w:t>
      </w:r>
    </w:p>
    <w:p w14:paraId="5F04F6CA" w14:textId="77777777" w:rsidR="0097612F" w:rsidRPr="000977F7" w:rsidRDefault="0097612F" w:rsidP="000977F7">
      <w:pPr>
        <w:pStyle w:val="ac"/>
        <w:tabs>
          <w:tab w:val="left" w:pos="284"/>
          <w:tab w:val="left" w:pos="800"/>
          <w:tab w:val="left" w:pos="801"/>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ДСТУ EN ISO/IEC 17025:2019</w:t>
      </w:r>
    </w:p>
    <w:p w14:paraId="5C7C91E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ВЕРИФІКАЦІЯ</w:t>
      </w:r>
      <w:r w:rsidRPr="000977F7">
        <w:rPr>
          <w:color w:val="auto"/>
          <w:spacing w:val="-5"/>
          <w:sz w:val="20"/>
          <w:szCs w:val="20"/>
        </w:rPr>
        <w:t xml:space="preserve"> </w:t>
      </w:r>
      <w:r w:rsidRPr="000977F7">
        <w:rPr>
          <w:color w:val="auto"/>
          <w:sz w:val="20"/>
          <w:szCs w:val="20"/>
        </w:rPr>
        <w:t>ПРОГРАМНОГО</w:t>
      </w:r>
      <w:r w:rsidRPr="000977F7">
        <w:rPr>
          <w:color w:val="auto"/>
          <w:spacing w:val="-4"/>
          <w:sz w:val="20"/>
          <w:szCs w:val="20"/>
        </w:rPr>
        <w:t xml:space="preserve"> </w:t>
      </w:r>
      <w:r w:rsidRPr="000977F7">
        <w:rPr>
          <w:color w:val="auto"/>
          <w:sz w:val="20"/>
          <w:szCs w:val="20"/>
        </w:rPr>
        <w:t>ЗАСОБУ</w:t>
      </w:r>
      <w:r w:rsidRPr="000977F7">
        <w:rPr>
          <w:color w:val="auto"/>
          <w:spacing w:val="-2"/>
          <w:sz w:val="20"/>
          <w:szCs w:val="20"/>
        </w:rPr>
        <w:t xml:space="preserve"> </w:t>
      </w:r>
      <w:r w:rsidRPr="000977F7">
        <w:rPr>
          <w:color w:val="auto"/>
          <w:sz w:val="20"/>
          <w:szCs w:val="20"/>
        </w:rPr>
        <w:t>–</w:t>
      </w:r>
    </w:p>
    <w:p w14:paraId="31F621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VERIFICATION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A771D7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 перевірки узгодженості результатів на етапах</w:t>
      </w:r>
      <w:r w:rsidRPr="000977F7">
        <w:rPr>
          <w:rFonts w:asciiTheme="majorHAnsi" w:hAnsiTheme="majorHAnsi"/>
          <w:spacing w:val="-48"/>
          <w:sz w:val="20"/>
          <w:szCs w:val="20"/>
        </w:rPr>
        <w:t xml:space="preserve"> </w:t>
      </w:r>
      <w:r w:rsidRPr="000977F7">
        <w:rPr>
          <w:rFonts w:asciiTheme="majorHAnsi" w:hAnsiTheme="majorHAnsi"/>
          <w:sz w:val="20"/>
          <w:szCs w:val="20"/>
        </w:rPr>
        <w:t>життєвого циклу програмних засобів і вимог, встановлених</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попередніх</w:t>
      </w:r>
      <w:r w:rsidRPr="000977F7">
        <w:rPr>
          <w:rFonts w:asciiTheme="majorHAnsi" w:hAnsiTheme="majorHAnsi"/>
          <w:spacing w:val="-2"/>
          <w:sz w:val="20"/>
          <w:szCs w:val="20"/>
        </w:rPr>
        <w:t xml:space="preserve"> </w:t>
      </w:r>
      <w:r w:rsidRPr="000977F7">
        <w:rPr>
          <w:rFonts w:asciiTheme="majorHAnsi" w:hAnsiTheme="majorHAnsi"/>
          <w:sz w:val="20"/>
          <w:szCs w:val="20"/>
        </w:rPr>
        <w:t>етапах</w:t>
      </w:r>
    </w:p>
    <w:p w14:paraId="56B1ADA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960AB13" w14:textId="77777777" w:rsidR="0097612F" w:rsidRPr="000977F7" w:rsidRDefault="0097612F" w:rsidP="000977F7">
      <w:pPr>
        <w:pStyle w:val="7"/>
        <w:tabs>
          <w:tab w:val="left" w:pos="284"/>
        </w:tabs>
        <w:spacing w:before="0" w:line="240" w:lineRule="auto"/>
        <w:ind w:left="170"/>
        <w:mirrorIndents/>
        <w:jc w:val="both"/>
        <w:rPr>
          <w:color w:val="auto"/>
          <w:spacing w:val="24"/>
          <w:sz w:val="20"/>
          <w:szCs w:val="20"/>
        </w:rPr>
      </w:pPr>
      <w:r w:rsidRPr="000977F7">
        <w:rPr>
          <w:color w:val="auto"/>
          <w:sz w:val="20"/>
          <w:szCs w:val="20"/>
        </w:rPr>
        <w:t>ВЕРИФІКАЦІЯ</w:t>
      </w:r>
      <w:r w:rsidRPr="000977F7">
        <w:rPr>
          <w:color w:val="auto"/>
          <w:spacing w:val="23"/>
          <w:sz w:val="20"/>
          <w:szCs w:val="20"/>
        </w:rPr>
        <w:t xml:space="preserve"> </w:t>
      </w:r>
      <w:r w:rsidRPr="000977F7">
        <w:rPr>
          <w:color w:val="auto"/>
          <w:sz w:val="20"/>
          <w:szCs w:val="20"/>
        </w:rPr>
        <w:t>СЕРТИФІКАТІВ</w:t>
      </w:r>
      <w:r w:rsidRPr="000977F7">
        <w:rPr>
          <w:color w:val="auto"/>
          <w:spacing w:val="24"/>
          <w:sz w:val="20"/>
          <w:szCs w:val="20"/>
        </w:rPr>
        <w:t xml:space="preserve"> </w:t>
      </w:r>
      <w:r w:rsidRPr="000977F7">
        <w:rPr>
          <w:color w:val="auto"/>
          <w:sz w:val="20"/>
          <w:szCs w:val="20"/>
        </w:rPr>
        <w:t>ПРО</w:t>
      </w:r>
      <w:r w:rsidRPr="000977F7">
        <w:rPr>
          <w:color w:val="auto"/>
          <w:spacing w:val="24"/>
          <w:sz w:val="20"/>
          <w:szCs w:val="20"/>
        </w:rPr>
        <w:t xml:space="preserve"> </w:t>
      </w:r>
    </w:p>
    <w:p w14:paraId="0C8FE0F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ПОХОДЖЕННЯ</w:t>
      </w:r>
      <w:r w:rsidRPr="000977F7">
        <w:rPr>
          <w:color w:val="auto"/>
          <w:spacing w:val="1"/>
          <w:sz w:val="20"/>
          <w:szCs w:val="20"/>
        </w:rPr>
        <w:t xml:space="preserve"> </w:t>
      </w:r>
      <w:r w:rsidRPr="000977F7">
        <w:rPr>
          <w:color w:val="auto"/>
          <w:sz w:val="20"/>
          <w:szCs w:val="20"/>
        </w:rPr>
        <w:t>ТОВАРІВ</w:t>
      </w:r>
      <w:r w:rsidRPr="000977F7">
        <w:rPr>
          <w:color w:val="auto"/>
          <w:spacing w:val="1"/>
          <w:sz w:val="20"/>
          <w:szCs w:val="20"/>
        </w:rPr>
        <w:t xml:space="preserve"> </w:t>
      </w:r>
      <w:r w:rsidRPr="000977F7">
        <w:rPr>
          <w:color w:val="auto"/>
          <w:sz w:val="20"/>
          <w:szCs w:val="20"/>
        </w:rPr>
        <w:t>З</w:t>
      </w:r>
      <w:r w:rsidRPr="000977F7">
        <w:rPr>
          <w:color w:val="auto"/>
          <w:spacing w:val="-1"/>
          <w:sz w:val="20"/>
          <w:szCs w:val="20"/>
        </w:rPr>
        <w:t xml:space="preserve"> </w:t>
      </w:r>
      <w:r w:rsidRPr="000977F7">
        <w:rPr>
          <w:color w:val="auto"/>
          <w:sz w:val="20"/>
          <w:szCs w:val="20"/>
        </w:rPr>
        <w:t>УКРАЇНИ</w:t>
      </w:r>
      <w:r w:rsidRPr="000977F7">
        <w:rPr>
          <w:color w:val="auto"/>
          <w:spacing w:val="3"/>
          <w:sz w:val="20"/>
          <w:szCs w:val="20"/>
        </w:rPr>
        <w:t xml:space="preserve"> </w:t>
      </w:r>
      <w:r w:rsidRPr="000977F7">
        <w:rPr>
          <w:color w:val="auto"/>
          <w:sz w:val="20"/>
          <w:szCs w:val="20"/>
        </w:rPr>
        <w:t>–</w:t>
      </w:r>
    </w:p>
    <w:p w14:paraId="06B5BD9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Верифікація сертифікатів про походження товарів з</w:t>
      </w:r>
      <w:r w:rsidRPr="000977F7">
        <w:rPr>
          <w:rFonts w:asciiTheme="majorHAnsi" w:hAnsiTheme="majorHAnsi"/>
          <w:spacing w:val="1"/>
          <w:sz w:val="20"/>
          <w:szCs w:val="20"/>
        </w:rPr>
        <w:t xml:space="preserve"> </w:t>
      </w:r>
      <w:r w:rsidRPr="000977F7">
        <w:rPr>
          <w:rFonts w:asciiTheme="majorHAnsi" w:hAnsiTheme="majorHAnsi"/>
          <w:sz w:val="20"/>
          <w:szCs w:val="20"/>
        </w:rPr>
        <w:t>України здійснюється митними органами у порядку,</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2"/>
          <w:sz w:val="20"/>
          <w:szCs w:val="20"/>
        </w:rPr>
        <w:t xml:space="preserve"> </w:t>
      </w:r>
      <w:r w:rsidRPr="000977F7">
        <w:rPr>
          <w:rFonts w:asciiTheme="majorHAnsi" w:hAnsiTheme="majorHAnsi"/>
          <w:sz w:val="20"/>
          <w:szCs w:val="20"/>
        </w:rPr>
        <w:t>встановлюється Кабінетом</w:t>
      </w:r>
      <w:r w:rsidRPr="000977F7">
        <w:rPr>
          <w:rFonts w:asciiTheme="majorHAnsi" w:hAnsiTheme="majorHAnsi"/>
          <w:spacing w:val="-1"/>
          <w:sz w:val="20"/>
          <w:szCs w:val="20"/>
        </w:rPr>
        <w:t xml:space="preserve"> </w:t>
      </w:r>
      <w:r w:rsidRPr="000977F7">
        <w:rPr>
          <w:rFonts w:asciiTheme="majorHAnsi" w:hAnsiTheme="majorHAnsi"/>
          <w:sz w:val="20"/>
          <w:szCs w:val="20"/>
        </w:rPr>
        <w:t>Міністрів</w:t>
      </w:r>
      <w:r w:rsidRPr="000977F7">
        <w:rPr>
          <w:rFonts w:asciiTheme="majorHAnsi" w:hAnsiTheme="majorHAnsi"/>
          <w:spacing w:val="-3"/>
          <w:sz w:val="20"/>
          <w:szCs w:val="20"/>
        </w:rPr>
        <w:t xml:space="preserve"> </w:t>
      </w:r>
      <w:r w:rsidRPr="000977F7">
        <w:rPr>
          <w:rFonts w:asciiTheme="majorHAnsi" w:hAnsiTheme="majorHAnsi"/>
          <w:sz w:val="20"/>
          <w:szCs w:val="20"/>
        </w:rPr>
        <w:t>України.</w:t>
      </w:r>
    </w:p>
    <w:p w14:paraId="053738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Органи,</w:t>
      </w:r>
      <w:r w:rsidRPr="000977F7">
        <w:rPr>
          <w:rFonts w:asciiTheme="majorHAnsi" w:hAnsiTheme="majorHAnsi"/>
          <w:spacing w:val="1"/>
          <w:sz w:val="20"/>
          <w:szCs w:val="20"/>
        </w:rPr>
        <w:t xml:space="preserve"> </w:t>
      </w:r>
      <w:r w:rsidRPr="000977F7">
        <w:rPr>
          <w:rFonts w:asciiTheme="majorHAnsi" w:hAnsiTheme="majorHAnsi"/>
          <w:sz w:val="20"/>
          <w:szCs w:val="20"/>
        </w:rPr>
        <w:t>уповноважені</w:t>
      </w:r>
      <w:r w:rsidRPr="000977F7">
        <w:rPr>
          <w:rFonts w:asciiTheme="majorHAnsi" w:hAnsiTheme="majorHAnsi"/>
          <w:spacing w:val="1"/>
          <w:sz w:val="20"/>
          <w:szCs w:val="20"/>
        </w:rPr>
        <w:t xml:space="preserve"> </w:t>
      </w:r>
      <w:r w:rsidRPr="000977F7">
        <w:rPr>
          <w:rFonts w:asciiTheme="majorHAnsi" w:hAnsiTheme="majorHAnsi"/>
          <w:sz w:val="20"/>
          <w:szCs w:val="20"/>
        </w:rPr>
        <w:t>видавати</w:t>
      </w:r>
      <w:r w:rsidRPr="000977F7">
        <w:rPr>
          <w:rFonts w:asciiTheme="majorHAnsi" w:hAnsiTheme="majorHAnsi"/>
          <w:spacing w:val="1"/>
          <w:sz w:val="20"/>
          <w:szCs w:val="20"/>
        </w:rPr>
        <w:t xml:space="preserve"> </w:t>
      </w:r>
      <w:r w:rsidRPr="000977F7">
        <w:rPr>
          <w:rFonts w:asciiTheme="majorHAnsi" w:hAnsiTheme="majorHAnsi"/>
          <w:sz w:val="20"/>
          <w:szCs w:val="20"/>
        </w:rPr>
        <w:t>сертифікати</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походження товарів з України, зобов’язані за запитом</w:t>
      </w:r>
      <w:r w:rsidRPr="000977F7">
        <w:rPr>
          <w:rFonts w:asciiTheme="majorHAnsi" w:hAnsiTheme="majorHAnsi"/>
          <w:spacing w:val="1"/>
          <w:sz w:val="20"/>
          <w:szCs w:val="20"/>
        </w:rPr>
        <w:t xml:space="preserve"> </w:t>
      </w:r>
      <w:r w:rsidRPr="000977F7">
        <w:rPr>
          <w:rFonts w:asciiTheme="majorHAnsi" w:hAnsiTheme="majorHAnsi"/>
          <w:sz w:val="20"/>
          <w:szCs w:val="20"/>
        </w:rPr>
        <w:t>митних</w:t>
      </w:r>
      <w:r w:rsidRPr="000977F7">
        <w:rPr>
          <w:rFonts w:asciiTheme="majorHAnsi" w:hAnsiTheme="majorHAnsi"/>
          <w:spacing w:val="1"/>
          <w:sz w:val="20"/>
          <w:szCs w:val="20"/>
        </w:rPr>
        <w:t xml:space="preserve"> </w:t>
      </w:r>
      <w:r w:rsidRPr="000977F7">
        <w:rPr>
          <w:rFonts w:asciiTheme="majorHAnsi" w:hAnsiTheme="majorHAnsi"/>
          <w:sz w:val="20"/>
          <w:szCs w:val="20"/>
        </w:rPr>
        <w:t>органів</w:t>
      </w:r>
      <w:r w:rsidRPr="000977F7">
        <w:rPr>
          <w:rFonts w:asciiTheme="majorHAnsi" w:hAnsiTheme="majorHAnsi"/>
          <w:spacing w:val="1"/>
          <w:sz w:val="20"/>
          <w:szCs w:val="20"/>
        </w:rPr>
        <w:t xml:space="preserve"> </w:t>
      </w:r>
      <w:r w:rsidRPr="000977F7">
        <w:rPr>
          <w:rFonts w:asciiTheme="majorHAnsi" w:hAnsiTheme="majorHAnsi"/>
          <w:sz w:val="20"/>
          <w:szCs w:val="20"/>
        </w:rPr>
        <w:t>надавати</w:t>
      </w:r>
      <w:r w:rsidRPr="000977F7">
        <w:rPr>
          <w:rFonts w:asciiTheme="majorHAnsi" w:hAnsiTheme="majorHAnsi"/>
          <w:spacing w:val="1"/>
          <w:sz w:val="20"/>
          <w:szCs w:val="20"/>
        </w:rPr>
        <w:t xml:space="preserve"> </w:t>
      </w:r>
      <w:r w:rsidRPr="000977F7">
        <w:rPr>
          <w:rFonts w:asciiTheme="majorHAnsi" w:hAnsiTheme="majorHAnsi"/>
          <w:sz w:val="20"/>
          <w:szCs w:val="20"/>
        </w:rPr>
        <w:t>їм</w:t>
      </w:r>
      <w:r w:rsidRPr="000977F7">
        <w:rPr>
          <w:rFonts w:asciiTheme="majorHAnsi" w:hAnsiTheme="majorHAnsi"/>
          <w:spacing w:val="1"/>
          <w:sz w:val="20"/>
          <w:szCs w:val="20"/>
        </w:rPr>
        <w:t xml:space="preserve"> </w:t>
      </w:r>
      <w:r w:rsidRPr="000977F7">
        <w:rPr>
          <w:rFonts w:asciiTheme="majorHAnsi" w:hAnsiTheme="majorHAnsi"/>
          <w:sz w:val="20"/>
          <w:szCs w:val="20"/>
        </w:rPr>
        <w:t>необхідну</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інформацію,</w:t>
      </w:r>
      <w:r w:rsidRPr="000977F7">
        <w:rPr>
          <w:rFonts w:asciiTheme="majorHAnsi" w:hAnsiTheme="majorHAnsi"/>
          <w:spacing w:val="-47"/>
          <w:sz w:val="20"/>
          <w:szCs w:val="20"/>
        </w:rPr>
        <w:t xml:space="preserve"> </w:t>
      </w:r>
      <w:r w:rsidRPr="000977F7">
        <w:rPr>
          <w:rFonts w:asciiTheme="majorHAnsi" w:hAnsiTheme="majorHAnsi"/>
          <w:sz w:val="20"/>
          <w:szCs w:val="20"/>
        </w:rPr>
        <w:t>пов’язану з видачею таких сертифікатів і необхідну</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здійснення</w:t>
      </w:r>
      <w:r w:rsidRPr="000977F7">
        <w:rPr>
          <w:rFonts w:asciiTheme="majorHAnsi" w:hAnsiTheme="majorHAnsi"/>
          <w:spacing w:val="1"/>
          <w:sz w:val="20"/>
          <w:szCs w:val="20"/>
        </w:rPr>
        <w:t xml:space="preserve"> </w:t>
      </w:r>
      <w:r w:rsidRPr="000977F7">
        <w:rPr>
          <w:rFonts w:asciiTheme="majorHAnsi" w:hAnsiTheme="majorHAnsi"/>
          <w:sz w:val="20"/>
          <w:szCs w:val="20"/>
        </w:rPr>
        <w:t>верифікації</w:t>
      </w:r>
      <w:r w:rsidRPr="000977F7">
        <w:rPr>
          <w:rFonts w:asciiTheme="majorHAnsi" w:hAnsiTheme="majorHAnsi"/>
          <w:spacing w:val="1"/>
          <w:sz w:val="20"/>
          <w:szCs w:val="20"/>
        </w:rPr>
        <w:t xml:space="preserve"> </w:t>
      </w:r>
      <w:r w:rsidRPr="000977F7">
        <w:rPr>
          <w:rFonts w:asciiTheme="majorHAnsi" w:hAnsiTheme="majorHAnsi"/>
          <w:sz w:val="20"/>
          <w:szCs w:val="20"/>
        </w:rPr>
        <w:t>сертифікатів</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походження</w:t>
      </w:r>
      <w:r w:rsidRPr="000977F7">
        <w:rPr>
          <w:rFonts w:asciiTheme="majorHAnsi" w:hAnsiTheme="majorHAnsi"/>
          <w:spacing w:val="-2"/>
          <w:sz w:val="20"/>
          <w:szCs w:val="20"/>
        </w:rPr>
        <w:t xml:space="preserve"> </w:t>
      </w:r>
      <w:r w:rsidRPr="000977F7">
        <w:rPr>
          <w:rFonts w:asciiTheme="majorHAnsi" w:hAnsiTheme="majorHAnsi"/>
          <w:sz w:val="20"/>
          <w:szCs w:val="20"/>
        </w:rPr>
        <w:t>товарів</w:t>
      </w:r>
      <w:r w:rsidRPr="000977F7">
        <w:rPr>
          <w:rFonts w:asciiTheme="majorHAnsi" w:hAnsiTheme="majorHAnsi"/>
          <w:spacing w:val="-1"/>
          <w:sz w:val="20"/>
          <w:szCs w:val="20"/>
        </w:rPr>
        <w:t xml:space="preserve"> </w:t>
      </w:r>
      <w:r w:rsidRPr="000977F7">
        <w:rPr>
          <w:rFonts w:asciiTheme="majorHAnsi" w:hAnsiTheme="majorHAnsi"/>
          <w:sz w:val="20"/>
          <w:szCs w:val="20"/>
        </w:rPr>
        <w:t>з України</w:t>
      </w:r>
    </w:p>
    <w:p w14:paraId="3283314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w:t>
      </w:r>
      <w:r w:rsidRPr="000977F7">
        <w:rPr>
          <w:rFonts w:asciiTheme="majorHAnsi" w:hAnsiTheme="majorHAnsi"/>
          <w:i/>
          <w:spacing w:val="-2"/>
          <w:sz w:val="20"/>
          <w:szCs w:val="20"/>
        </w:rPr>
        <w:t xml:space="preserve"> </w:t>
      </w:r>
      <w:r w:rsidRPr="000977F7">
        <w:rPr>
          <w:rFonts w:asciiTheme="majorHAnsi" w:hAnsiTheme="majorHAnsi"/>
          <w:i/>
          <w:sz w:val="20"/>
          <w:szCs w:val="20"/>
        </w:rPr>
        <w:t>кодекс</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p>
    <w:p w14:paraId="6E05652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ВЕРТИКАЛЬНА МАРКЕТИНГОВА</w:t>
      </w:r>
      <w:r w:rsidRPr="000977F7">
        <w:rPr>
          <w:color w:val="auto"/>
          <w:spacing w:val="-48"/>
          <w:sz w:val="20"/>
          <w:szCs w:val="20"/>
        </w:rPr>
        <w:t xml:space="preserve"> </w:t>
      </w:r>
      <w:r w:rsidRPr="000977F7">
        <w:rPr>
          <w:color w:val="auto"/>
          <w:sz w:val="20"/>
          <w:szCs w:val="20"/>
        </w:rPr>
        <w:t>СИСТЕМА</w:t>
      </w:r>
      <w:r w:rsidRPr="000977F7">
        <w:rPr>
          <w:color w:val="auto"/>
          <w:spacing w:val="-1"/>
          <w:sz w:val="20"/>
          <w:szCs w:val="20"/>
        </w:rPr>
        <w:t xml:space="preserve"> </w:t>
      </w:r>
    </w:p>
    <w:p w14:paraId="600566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товароруху,</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якої</w:t>
      </w:r>
      <w:r w:rsidRPr="000977F7">
        <w:rPr>
          <w:rFonts w:asciiTheme="majorHAnsi" w:hAnsiTheme="majorHAnsi"/>
          <w:spacing w:val="1"/>
          <w:sz w:val="20"/>
          <w:szCs w:val="20"/>
        </w:rPr>
        <w:t xml:space="preserve"> </w:t>
      </w:r>
      <w:r w:rsidRPr="000977F7">
        <w:rPr>
          <w:rFonts w:asciiTheme="majorHAnsi" w:hAnsiTheme="majorHAnsi"/>
          <w:sz w:val="20"/>
          <w:szCs w:val="20"/>
        </w:rPr>
        <w:t>виробник,</w:t>
      </w:r>
      <w:r w:rsidRPr="000977F7">
        <w:rPr>
          <w:rFonts w:asciiTheme="majorHAnsi" w:hAnsiTheme="majorHAnsi"/>
          <w:spacing w:val="1"/>
          <w:sz w:val="20"/>
          <w:szCs w:val="20"/>
        </w:rPr>
        <w:t xml:space="preserve"> </w:t>
      </w:r>
      <w:r w:rsidRPr="000977F7">
        <w:rPr>
          <w:rFonts w:asciiTheme="majorHAnsi" w:hAnsiTheme="majorHAnsi"/>
          <w:sz w:val="20"/>
          <w:szCs w:val="20"/>
        </w:rPr>
        <w:t>оптовий</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роздрібний продавці становлять єдиний комплекс під</w:t>
      </w:r>
      <w:r w:rsidRPr="000977F7">
        <w:rPr>
          <w:rFonts w:asciiTheme="majorHAnsi" w:hAnsiTheme="majorHAnsi"/>
          <w:spacing w:val="1"/>
          <w:sz w:val="20"/>
          <w:szCs w:val="20"/>
        </w:rPr>
        <w:t xml:space="preserve"> </w:t>
      </w:r>
      <w:r w:rsidRPr="000977F7">
        <w:rPr>
          <w:rFonts w:asciiTheme="majorHAnsi" w:hAnsiTheme="majorHAnsi"/>
          <w:sz w:val="20"/>
          <w:szCs w:val="20"/>
        </w:rPr>
        <w:t>егідою</w:t>
      </w:r>
      <w:r w:rsidRPr="000977F7">
        <w:rPr>
          <w:rFonts w:asciiTheme="majorHAnsi" w:hAnsiTheme="majorHAnsi"/>
          <w:spacing w:val="-1"/>
          <w:sz w:val="20"/>
          <w:szCs w:val="20"/>
        </w:rPr>
        <w:t xml:space="preserve"> </w:t>
      </w:r>
      <w:r w:rsidRPr="000977F7">
        <w:rPr>
          <w:rFonts w:asciiTheme="majorHAnsi" w:hAnsiTheme="majorHAnsi"/>
          <w:sz w:val="20"/>
          <w:szCs w:val="20"/>
        </w:rPr>
        <w:t>одного</w:t>
      </w:r>
      <w:r w:rsidRPr="000977F7">
        <w:rPr>
          <w:rFonts w:asciiTheme="majorHAnsi" w:hAnsiTheme="majorHAnsi"/>
          <w:spacing w:val="1"/>
          <w:sz w:val="20"/>
          <w:szCs w:val="20"/>
        </w:rPr>
        <w:t xml:space="preserve"> </w:t>
      </w:r>
      <w:r w:rsidRPr="000977F7">
        <w:rPr>
          <w:rFonts w:asciiTheme="majorHAnsi" w:hAnsiTheme="majorHAnsi"/>
          <w:sz w:val="20"/>
          <w:szCs w:val="20"/>
        </w:rPr>
        <w:t>з партнерів</w:t>
      </w:r>
    </w:p>
    <w:p w14:paraId="4A3FC90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C10839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ВЕРТИКАЛЬНА</w:t>
      </w:r>
      <w:r w:rsidRPr="000977F7">
        <w:rPr>
          <w:color w:val="auto"/>
          <w:spacing w:val="-4"/>
          <w:sz w:val="20"/>
          <w:szCs w:val="20"/>
        </w:rPr>
        <w:t xml:space="preserve"> </w:t>
      </w:r>
      <w:r w:rsidRPr="000977F7">
        <w:rPr>
          <w:color w:val="auto"/>
          <w:sz w:val="20"/>
          <w:szCs w:val="20"/>
        </w:rPr>
        <w:t>РЕВІЗІЯ</w:t>
      </w:r>
      <w:r w:rsidRPr="000977F7">
        <w:rPr>
          <w:color w:val="auto"/>
          <w:spacing w:val="-1"/>
          <w:sz w:val="20"/>
          <w:szCs w:val="20"/>
        </w:rPr>
        <w:t xml:space="preserve"> </w:t>
      </w:r>
      <w:r w:rsidRPr="000977F7">
        <w:rPr>
          <w:color w:val="auto"/>
          <w:sz w:val="20"/>
          <w:szCs w:val="20"/>
        </w:rPr>
        <w:t>–</w:t>
      </w:r>
    </w:p>
    <w:p w14:paraId="7093F9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Перевірка функціонування однієї з сторін маркетингової</w:t>
      </w:r>
      <w:r w:rsidRPr="000977F7">
        <w:rPr>
          <w:rFonts w:asciiTheme="majorHAnsi" w:hAnsiTheme="majorHAnsi"/>
          <w:spacing w:val="-2"/>
          <w:sz w:val="20"/>
          <w:szCs w:val="20"/>
        </w:rPr>
        <w:t xml:space="preserve"> </w:t>
      </w:r>
      <w:r w:rsidRPr="000977F7">
        <w:rPr>
          <w:rFonts w:asciiTheme="majorHAnsi" w:hAnsiTheme="majorHAnsi"/>
          <w:sz w:val="20"/>
          <w:szCs w:val="20"/>
        </w:rPr>
        <w:t>організації</w:t>
      </w:r>
    </w:p>
    <w:p w14:paraId="77DBCEC1"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3294 – 95</w:t>
      </w:r>
    </w:p>
    <w:p w14:paraId="4697B055" w14:textId="77777777" w:rsidR="0097612F" w:rsidRPr="000977F7" w:rsidRDefault="0097612F" w:rsidP="000977F7">
      <w:pPr>
        <w:pStyle w:val="7"/>
        <w:tabs>
          <w:tab w:val="left" w:pos="284"/>
        </w:tabs>
        <w:spacing w:before="0" w:line="240" w:lineRule="auto"/>
        <w:ind w:left="170"/>
        <w:mirrorIndents/>
        <w:jc w:val="both"/>
        <w:rPr>
          <w:color w:val="auto"/>
          <w:spacing w:val="14"/>
          <w:sz w:val="20"/>
          <w:szCs w:val="20"/>
        </w:rPr>
      </w:pPr>
      <w:r w:rsidRPr="000977F7">
        <w:rPr>
          <w:color w:val="auto"/>
          <w:sz w:val="20"/>
          <w:szCs w:val="20"/>
        </w:rPr>
        <w:t>ВЕРХНЄ</w:t>
      </w:r>
      <w:r w:rsidRPr="000977F7">
        <w:rPr>
          <w:color w:val="auto"/>
          <w:spacing w:val="12"/>
          <w:sz w:val="20"/>
          <w:szCs w:val="20"/>
        </w:rPr>
        <w:t xml:space="preserve"> </w:t>
      </w:r>
      <w:r w:rsidRPr="000977F7">
        <w:rPr>
          <w:color w:val="auto"/>
          <w:sz w:val="20"/>
          <w:szCs w:val="20"/>
        </w:rPr>
        <w:t>(НИЖНЄ)</w:t>
      </w:r>
      <w:r w:rsidRPr="000977F7">
        <w:rPr>
          <w:color w:val="auto"/>
          <w:spacing w:val="16"/>
          <w:sz w:val="20"/>
          <w:szCs w:val="20"/>
        </w:rPr>
        <w:t xml:space="preserve"> </w:t>
      </w:r>
      <w:r w:rsidRPr="000977F7">
        <w:rPr>
          <w:color w:val="auto"/>
          <w:sz w:val="20"/>
          <w:szCs w:val="20"/>
        </w:rPr>
        <w:t>ГРАНИЧНЕ</w:t>
      </w:r>
      <w:r w:rsidRPr="000977F7">
        <w:rPr>
          <w:color w:val="auto"/>
          <w:spacing w:val="13"/>
          <w:sz w:val="20"/>
          <w:szCs w:val="20"/>
        </w:rPr>
        <w:t xml:space="preserve"> </w:t>
      </w:r>
      <w:r w:rsidRPr="000977F7">
        <w:rPr>
          <w:color w:val="auto"/>
          <w:sz w:val="20"/>
          <w:szCs w:val="20"/>
        </w:rPr>
        <w:t>ЗНАЧЕННЯ</w:t>
      </w:r>
      <w:r w:rsidRPr="000977F7">
        <w:rPr>
          <w:color w:val="auto"/>
          <w:spacing w:val="14"/>
          <w:sz w:val="20"/>
          <w:szCs w:val="20"/>
        </w:rPr>
        <w:t xml:space="preserve"> </w:t>
      </w:r>
    </w:p>
    <w:p w14:paraId="44548E3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ПА</w:t>
      </w:r>
      <w:r w:rsidRPr="000977F7">
        <w:rPr>
          <w:color w:val="auto"/>
          <w:spacing w:val="-47"/>
          <w:sz w:val="20"/>
          <w:szCs w:val="20"/>
        </w:rPr>
        <w:t xml:space="preserve"> </w:t>
      </w:r>
      <w:r w:rsidRPr="000977F7">
        <w:rPr>
          <w:color w:val="auto"/>
          <w:sz w:val="20"/>
          <w:szCs w:val="20"/>
        </w:rPr>
        <w:t>РАМЕТРА –</w:t>
      </w:r>
    </w:p>
    <w:p w14:paraId="7AE08594"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4D2D14">
        <w:rPr>
          <w:rFonts w:asciiTheme="majorHAnsi" w:hAnsiTheme="majorHAnsi"/>
          <w:sz w:val="20"/>
          <w:szCs w:val="20"/>
          <w:lang w:val="en-US"/>
        </w:rPr>
        <w:t>UPPER</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(LOWER)</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LIMIT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VALUE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PARAMETER</w:t>
      </w:r>
      <w:r w:rsidRPr="004D2D14">
        <w:rPr>
          <w:rFonts w:asciiTheme="majorHAnsi" w:hAnsiTheme="majorHAnsi"/>
          <w:spacing w:val="3"/>
          <w:sz w:val="20"/>
          <w:szCs w:val="20"/>
          <w:lang w:val="en-US"/>
        </w:rPr>
        <w:t xml:space="preserve"> </w:t>
      </w:r>
    </w:p>
    <w:p w14:paraId="1271886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Значення</w:t>
      </w:r>
      <w:r w:rsidRPr="004D2D14">
        <w:rPr>
          <w:rFonts w:asciiTheme="majorHAnsi" w:hAnsiTheme="majorHAnsi"/>
          <w:sz w:val="20"/>
          <w:szCs w:val="20"/>
          <w:lang w:val="en-US"/>
        </w:rPr>
        <w:t xml:space="preserve"> </w:t>
      </w:r>
      <w:r w:rsidRPr="000977F7">
        <w:rPr>
          <w:rFonts w:asciiTheme="majorHAnsi" w:hAnsiTheme="majorHAnsi"/>
          <w:sz w:val="20"/>
          <w:szCs w:val="20"/>
        </w:rPr>
        <w:t>параметра</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відповідає</w:t>
      </w:r>
      <w:r w:rsidRPr="004D2D14">
        <w:rPr>
          <w:rFonts w:asciiTheme="majorHAnsi" w:hAnsiTheme="majorHAnsi"/>
          <w:sz w:val="20"/>
          <w:szCs w:val="20"/>
          <w:lang w:val="en-US"/>
        </w:rPr>
        <w:t xml:space="preserve"> </w:t>
      </w:r>
      <w:r w:rsidRPr="000977F7">
        <w:rPr>
          <w:rFonts w:asciiTheme="majorHAnsi" w:hAnsiTheme="majorHAnsi"/>
          <w:sz w:val="20"/>
          <w:szCs w:val="20"/>
        </w:rPr>
        <w:t>верхній</w:t>
      </w:r>
      <w:r w:rsidRPr="004D2D14">
        <w:rPr>
          <w:rFonts w:asciiTheme="majorHAnsi" w:hAnsiTheme="majorHAnsi"/>
          <w:sz w:val="20"/>
          <w:szCs w:val="20"/>
          <w:lang w:val="en-US"/>
        </w:rPr>
        <w:t xml:space="preserve"> (</w:t>
      </w:r>
      <w:r w:rsidRPr="000977F7">
        <w:rPr>
          <w:rFonts w:asciiTheme="majorHAnsi" w:hAnsiTheme="majorHAnsi"/>
          <w:sz w:val="20"/>
          <w:szCs w:val="20"/>
        </w:rPr>
        <w:t>нижній</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межі</w:t>
      </w:r>
      <w:r w:rsidRPr="004D2D14">
        <w:rPr>
          <w:rFonts w:asciiTheme="majorHAnsi" w:hAnsiTheme="majorHAnsi"/>
          <w:spacing w:val="-2"/>
          <w:sz w:val="20"/>
          <w:szCs w:val="20"/>
          <w:lang w:val="en-US"/>
        </w:rPr>
        <w:t xml:space="preserve"> </w:t>
      </w:r>
      <w:r w:rsidRPr="000977F7">
        <w:rPr>
          <w:rFonts w:asciiTheme="majorHAnsi" w:hAnsiTheme="majorHAnsi"/>
          <w:sz w:val="20"/>
          <w:szCs w:val="20"/>
        </w:rPr>
        <w:t>діапазону</w:t>
      </w:r>
      <w:r w:rsidRPr="004D2D14">
        <w:rPr>
          <w:rFonts w:asciiTheme="majorHAnsi" w:hAnsiTheme="majorHAnsi"/>
          <w:spacing w:val="-5"/>
          <w:sz w:val="20"/>
          <w:szCs w:val="20"/>
          <w:lang w:val="en-US"/>
        </w:rPr>
        <w:t xml:space="preserve"> </w:t>
      </w:r>
      <w:r w:rsidRPr="000977F7">
        <w:rPr>
          <w:rFonts w:asciiTheme="majorHAnsi" w:hAnsiTheme="majorHAnsi"/>
          <w:sz w:val="20"/>
          <w:szCs w:val="20"/>
        </w:rPr>
        <w:t>змінювання</w:t>
      </w:r>
      <w:r w:rsidRPr="004D2D14">
        <w:rPr>
          <w:rFonts w:asciiTheme="majorHAnsi" w:hAnsiTheme="majorHAnsi"/>
          <w:spacing w:val="2"/>
          <w:sz w:val="20"/>
          <w:szCs w:val="20"/>
          <w:lang w:val="en-US"/>
        </w:rPr>
        <w:t xml:space="preserve"> </w:t>
      </w:r>
      <w:r w:rsidRPr="000977F7">
        <w:rPr>
          <w:rFonts w:asciiTheme="majorHAnsi" w:hAnsiTheme="majorHAnsi"/>
          <w:sz w:val="20"/>
          <w:szCs w:val="20"/>
        </w:rPr>
        <w:t>цього</w:t>
      </w:r>
      <w:r w:rsidRPr="004D2D14">
        <w:rPr>
          <w:rFonts w:asciiTheme="majorHAnsi" w:hAnsiTheme="majorHAnsi"/>
          <w:spacing w:val="3"/>
          <w:sz w:val="20"/>
          <w:szCs w:val="20"/>
          <w:lang w:val="en-US"/>
        </w:rPr>
        <w:t xml:space="preserve"> </w:t>
      </w:r>
      <w:r w:rsidRPr="000977F7">
        <w:rPr>
          <w:rFonts w:asciiTheme="majorHAnsi" w:hAnsiTheme="majorHAnsi"/>
          <w:sz w:val="20"/>
          <w:szCs w:val="20"/>
        </w:rPr>
        <w:t>параметра</w:t>
      </w:r>
    </w:p>
    <w:p w14:paraId="288AF18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3956-2000</w:t>
      </w:r>
    </w:p>
    <w:p w14:paraId="756153A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ВЕРХНІЙ</w:t>
      </w:r>
      <w:r w:rsidRPr="000977F7">
        <w:rPr>
          <w:color w:val="auto"/>
          <w:spacing w:val="-2"/>
          <w:sz w:val="20"/>
          <w:szCs w:val="20"/>
        </w:rPr>
        <w:t xml:space="preserve"> </w:t>
      </w:r>
      <w:r w:rsidRPr="000977F7">
        <w:rPr>
          <w:color w:val="auto"/>
          <w:sz w:val="20"/>
          <w:szCs w:val="20"/>
        </w:rPr>
        <w:t>ДОПУСК</w:t>
      </w:r>
      <w:r w:rsidRPr="000977F7">
        <w:rPr>
          <w:color w:val="auto"/>
          <w:spacing w:val="-3"/>
          <w:sz w:val="20"/>
          <w:szCs w:val="20"/>
        </w:rPr>
        <w:t xml:space="preserve"> </w:t>
      </w:r>
      <w:r w:rsidRPr="000977F7">
        <w:rPr>
          <w:color w:val="auto"/>
          <w:sz w:val="20"/>
          <w:szCs w:val="20"/>
        </w:rPr>
        <w:t>ПАРАМЕТРА</w:t>
      </w:r>
      <w:r w:rsidRPr="000977F7">
        <w:rPr>
          <w:color w:val="auto"/>
          <w:spacing w:val="48"/>
          <w:sz w:val="20"/>
          <w:szCs w:val="20"/>
        </w:rPr>
        <w:t xml:space="preserve"> </w:t>
      </w:r>
      <w:r w:rsidRPr="000977F7">
        <w:rPr>
          <w:color w:val="auto"/>
          <w:sz w:val="20"/>
          <w:szCs w:val="20"/>
        </w:rPr>
        <w:t>–</w:t>
      </w:r>
    </w:p>
    <w:p w14:paraId="31D459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Алгебраїчна різниця між верхнім гранично допустимим та</w:t>
      </w:r>
      <w:r w:rsidRPr="000977F7">
        <w:rPr>
          <w:rFonts w:asciiTheme="majorHAnsi" w:hAnsiTheme="majorHAnsi"/>
          <w:spacing w:val="-1"/>
          <w:sz w:val="20"/>
          <w:szCs w:val="20"/>
        </w:rPr>
        <w:t xml:space="preserve"> </w:t>
      </w:r>
      <w:r w:rsidRPr="000977F7">
        <w:rPr>
          <w:rFonts w:asciiTheme="majorHAnsi" w:hAnsiTheme="majorHAnsi"/>
          <w:sz w:val="20"/>
          <w:szCs w:val="20"/>
        </w:rPr>
        <w:t>номінальним значеннями параметра</w:t>
      </w:r>
    </w:p>
    <w:p w14:paraId="3A890FF0"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ВЗАЄМНІСТЬ –</w:t>
      </w:r>
    </w:p>
    <w:p w14:paraId="3735460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RECIPROCITI-</w:t>
      </w:r>
    </w:p>
    <w:p w14:paraId="11CD2EB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Взаємовідносини між двома сторонами, за яких обидві сторони мають рівні права та обов'язки відносно</w:t>
      </w:r>
      <w:r w:rsidRPr="000977F7">
        <w:rPr>
          <w:rFonts w:asciiTheme="majorHAnsi" w:hAnsiTheme="majorHAnsi"/>
          <w:spacing w:val="1"/>
          <w:sz w:val="20"/>
          <w:szCs w:val="20"/>
        </w:rPr>
        <w:t xml:space="preserve"> </w:t>
      </w:r>
      <w:r w:rsidRPr="000977F7">
        <w:rPr>
          <w:rFonts w:asciiTheme="majorHAnsi" w:hAnsiTheme="majorHAnsi"/>
          <w:sz w:val="20"/>
          <w:szCs w:val="20"/>
        </w:rPr>
        <w:t>один до одного.</w:t>
      </w:r>
    </w:p>
    <w:p w14:paraId="07864C6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 1.</w:t>
      </w:r>
    </w:p>
    <w:p w14:paraId="462E7D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Взаємність може існувати в межах багатосторонньої</w:t>
      </w:r>
      <w:r w:rsidRPr="000977F7">
        <w:rPr>
          <w:rFonts w:asciiTheme="majorHAnsi" w:hAnsiTheme="majorHAnsi"/>
          <w:spacing w:val="1"/>
          <w:sz w:val="20"/>
          <w:szCs w:val="20"/>
        </w:rPr>
        <w:t xml:space="preserve"> </w:t>
      </w:r>
      <w:r w:rsidRPr="000977F7">
        <w:rPr>
          <w:rFonts w:asciiTheme="majorHAnsi" w:hAnsiTheme="majorHAnsi"/>
          <w:sz w:val="20"/>
          <w:szCs w:val="20"/>
        </w:rPr>
        <w:t>угоди, що складає ряд двосторонніх взаємних відносин.</w:t>
      </w:r>
    </w:p>
    <w:p w14:paraId="00866061"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П</w:t>
      </w:r>
      <w:r w:rsidRPr="000977F7">
        <w:rPr>
          <w:rFonts w:asciiTheme="majorHAnsi" w:hAnsiTheme="majorHAnsi"/>
          <w:spacing w:val="46"/>
          <w:sz w:val="20"/>
          <w:szCs w:val="20"/>
        </w:rPr>
        <w:t xml:space="preserve"> </w:t>
      </w:r>
      <w:r w:rsidRPr="000977F7">
        <w:rPr>
          <w:rFonts w:asciiTheme="majorHAnsi" w:hAnsiTheme="majorHAnsi"/>
          <w:sz w:val="20"/>
          <w:szCs w:val="20"/>
        </w:rPr>
        <w:t>р</w:t>
      </w:r>
      <w:r w:rsidRPr="000977F7">
        <w:rPr>
          <w:rFonts w:asciiTheme="majorHAnsi" w:hAnsiTheme="majorHAnsi"/>
          <w:spacing w:val="48"/>
          <w:sz w:val="20"/>
          <w:szCs w:val="20"/>
        </w:rPr>
        <w:t xml:space="preserve"> </w:t>
      </w:r>
      <w:r w:rsidRPr="000977F7">
        <w:rPr>
          <w:rFonts w:asciiTheme="majorHAnsi" w:hAnsiTheme="majorHAnsi"/>
          <w:sz w:val="20"/>
          <w:szCs w:val="20"/>
        </w:rPr>
        <w:t>и</w:t>
      </w:r>
      <w:r w:rsidRPr="000977F7">
        <w:rPr>
          <w:rFonts w:asciiTheme="majorHAnsi" w:hAnsiTheme="majorHAnsi"/>
          <w:spacing w:val="46"/>
          <w:sz w:val="20"/>
          <w:szCs w:val="20"/>
        </w:rPr>
        <w:t xml:space="preserve"> </w:t>
      </w:r>
      <w:r w:rsidRPr="000977F7">
        <w:rPr>
          <w:rFonts w:asciiTheme="majorHAnsi" w:hAnsiTheme="majorHAnsi"/>
          <w:sz w:val="20"/>
          <w:szCs w:val="20"/>
        </w:rPr>
        <w:t>м</w:t>
      </w:r>
      <w:r w:rsidRPr="000977F7">
        <w:rPr>
          <w:rFonts w:asciiTheme="majorHAnsi" w:hAnsiTheme="majorHAnsi"/>
          <w:spacing w:val="47"/>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т</w:t>
      </w:r>
      <w:r w:rsidRPr="000977F7">
        <w:rPr>
          <w:rFonts w:asciiTheme="majorHAnsi" w:hAnsiTheme="majorHAnsi"/>
          <w:spacing w:val="49"/>
          <w:sz w:val="20"/>
          <w:szCs w:val="20"/>
        </w:rPr>
        <w:t xml:space="preserve"> </w:t>
      </w:r>
      <w:r w:rsidRPr="000977F7">
        <w:rPr>
          <w:rFonts w:asciiTheme="majorHAnsi" w:hAnsiTheme="majorHAnsi"/>
          <w:sz w:val="20"/>
          <w:szCs w:val="20"/>
        </w:rPr>
        <w:t>к</w:t>
      </w:r>
      <w:r w:rsidRPr="000977F7">
        <w:rPr>
          <w:rFonts w:asciiTheme="majorHAnsi" w:hAnsiTheme="majorHAnsi"/>
          <w:spacing w:val="46"/>
          <w:sz w:val="20"/>
          <w:szCs w:val="20"/>
        </w:rPr>
        <w:t xml:space="preserve"> </w:t>
      </w:r>
      <w:r w:rsidRPr="000977F7">
        <w:rPr>
          <w:rFonts w:asciiTheme="majorHAnsi" w:hAnsiTheme="majorHAnsi"/>
          <w:sz w:val="20"/>
          <w:szCs w:val="20"/>
        </w:rPr>
        <w:t>а</w:t>
      </w:r>
      <w:r w:rsidRPr="000977F7">
        <w:rPr>
          <w:rFonts w:asciiTheme="majorHAnsi" w:hAnsiTheme="majorHAnsi"/>
          <w:spacing w:val="46"/>
          <w:sz w:val="20"/>
          <w:szCs w:val="20"/>
        </w:rPr>
        <w:t xml:space="preserve"> </w:t>
      </w:r>
      <w:r w:rsidRPr="000977F7">
        <w:rPr>
          <w:rFonts w:asciiTheme="majorHAnsi" w:hAnsiTheme="majorHAnsi"/>
          <w:sz w:val="20"/>
          <w:szCs w:val="20"/>
        </w:rPr>
        <w:t>2.</w:t>
      </w:r>
      <w:r w:rsidRPr="000977F7">
        <w:rPr>
          <w:rFonts w:asciiTheme="majorHAnsi" w:hAnsiTheme="majorHAnsi"/>
          <w:spacing w:val="47"/>
          <w:sz w:val="20"/>
          <w:szCs w:val="20"/>
        </w:rPr>
        <w:t xml:space="preserve"> </w:t>
      </w:r>
      <w:r w:rsidRPr="000977F7">
        <w:rPr>
          <w:rFonts w:asciiTheme="majorHAnsi" w:hAnsiTheme="majorHAnsi"/>
          <w:sz w:val="20"/>
          <w:szCs w:val="20"/>
        </w:rPr>
        <w:t>Незважаючи</w:t>
      </w:r>
      <w:r w:rsidRPr="000977F7">
        <w:rPr>
          <w:rFonts w:asciiTheme="majorHAnsi" w:hAnsiTheme="majorHAnsi"/>
          <w:spacing w:val="46"/>
          <w:sz w:val="20"/>
          <w:szCs w:val="20"/>
        </w:rPr>
        <w:t xml:space="preserve"> </w:t>
      </w:r>
      <w:r w:rsidRPr="000977F7">
        <w:rPr>
          <w:rFonts w:asciiTheme="majorHAnsi" w:hAnsiTheme="majorHAnsi"/>
          <w:sz w:val="20"/>
          <w:szCs w:val="20"/>
        </w:rPr>
        <w:t>на</w:t>
      </w:r>
      <w:r w:rsidRPr="000977F7">
        <w:rPr>
          <w:rFonts w:asciiTheme="majorHAnsi" w:hAnsiTheme="majorHAnsi"/>
          <w:spacing w:val="47"/>
          <w:sz w:val="20"/>
          <w:szCs w:val="20"/>
        </w:rPr>
        <w:t xml:space="preserve"> </w:t>
      </w:r>
      <w:r w:rsidRPr="000977F7">
        <w:rPr>
          <w:rFonts w:asciiTheme="majorHAnsi" w:hAnsiTheme="majorHAnsi"/>
          <w:sz w:val="20"/>
          <w:szCs w:val="20"/>
        </w:rPr>
        <w:t>рівні</w:t>
      </w:r>
      <w:r w:rsidRPr="000977F7">
        <w:rPr>
          <w:rFonts w:asciiTheme="majorHAnsi" w:hAnsiTheme="majorHAnsi"/>
          <w:spacing w:val="48"/>
          <w:sz w:val="20"/>
          <w:szCs w:val="20"/>
        </w:rPr>
        <w:t xml:space="preserve"> </w:t>
      </w:r>
      <w:r w:rsidRPr="000977F7">
        <w:rPr>
          <w:rFonts w:asciiTheme="majorHAnsi" w:hAnsiTheme="majorHAnsi"/>
          <w:sz w:val="20"/>
          <w:szCs w:val="20"/>
        </w:rPr>
        <w:t>права</w:t>
      </w:r>
      <w:r w:rsidRPr="000977F7">
        <w:rPr>
          <w:rFonts w:asciiTheme="majorHAnsi" w:hAnsiTheme="majorHAnsi"/>
          <w:spacing w:val="47"/>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обов'язки,</w:t>
      </w:r>
      <w:r w:rsidRPr="000977F7">
        <w:rPr>
          <w:rFonts w:asciiTheme="majorHAnsi" w:hAnsiTheme="majorHAnsi"/>
          <w:spacing w:val="24"/>
          <w:sz w:val="20"/>
          <w:szCs w:val="20"/>
        </w:rPr>
        <w:t xml:space="preserve"> </w:t>
      </w:r>
      <w:r w:rsidRPr="000977F7">
        <w:rPr>
          <w:rFonts w:asciiTheme="majorHAnsi" w:hAnsiTheme="majorHAnsi"/>
          <w:sz w:val="20"/>
          <w:szCs w:val="20"/>
        </w:rPr>
        <w:t>їхні</w:t>
      </w:r>
      <w:r w:rsidRPr="000977F7">
        <w:rPr>
          <w:rFonts w:asciiTheme="majorHAnsi" w:hAnsiTheme="majorHAnsi"/>
          <w:spacing w:val="26"/>
          <w:sz w:val="20"/>
          <w:szCs w:val="20"/>
        </w:rPr>
        <w:t xml:space="preserve"> </w:t>
      </w:r>
      <w:r w:rsidRPr="000977F7">
        <w:rPr>
          <w:rFonts w:asciiTheme="majorHAnsi" w:hAnsiTheme="majorHAnsi"/>
          <w:sz w:val="20"/>
          <w:szCs w:val="20"/>
        </w:rPr>
        <w:t>стосунки</w:t>
      </w:r>
      <w:r w:rsidRPr="000977F7">
        <w:rPr>
          <w:rFonts w:asciiTheme="majorHAnsi" w:hAnsiTheme="majorHAnsi"/>
          <w:spacing w:val="25"/>
          <w:sz w:val="20"/>
          <w:szCs w:val="20"/>
        </w:rPr>
        <w:t xml:space="preserve"> </w:t>
      </w:r>
      <w:r w:rsidRPr="000977F7">
        <w:rPr>
          <w:rFonts w:asciiTheme="majorHAnsi" w:hAnsiTheme="majorHAnsi"/>
          <w:sz w:val="20"/>
          <w:szCs w:val="20"/>
        </w:rPr>
        <w:t>можуть</w:t>
      </w:r>
      <w:r w:rsidRPr="000977F7">
        <w:rPr>
          <w:rFonts w:asciiTheme="majorHAnsi" w:hAnsiTheme="majorHAnsi"/>
          <w:spacing w:val="26"/>
          <w:sz w:val="20"/>
          <w:szCs w:val="20"/>
        </w:rPr>
        <w:t xml:space="preserve"> </w:t>
      </w:r>
      <w:r w:rsidRPr="000977F7">
        <w:rPr>
          <w:rFonts w:asciiTheme="majorHAnsi" w:hAnsiTheme="majorHAnsi"/>
          <w:sz w:val="20"/>
          <w:szCs w:val="20"/>
        </w:rPr>
        <w:t>відрізнятися,</w:t>
      </w:r>
      <w:r w:rsidRPr="000977F7">
        <w:rPr>
          <w:rFonts w:asciiTheme="majorHAnsi" w:hAnsiTheme="majorHAnsi"/>
          <w:spacing w:val="26"/>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може призвести до нерівних відносин між сторонами</w:t>
      </w:r>
      <w:r w:rsidRPr="000977F7">
        <w:rPr>
          <w:rFonts w:asciiTheme="majorHAnsi" w:hAnsiTheme="majorHAnsi"/>
          <w:spacing w:val="1"/>
          <w:sz w:val="20"/>
          <w:szCs w:val="20"/>
        </w:rPr>
        <w:t xml:space="preserve"> </w:t>
      </w:r>
    </w:p>
    <w:p w14:paraId="3E2C21F6" w14:textId="77777777" w:rsidR="0097612F" w:rsidRPr="004D2D14" w:rsidRDefault="0097612F" w:rsidP="000977F7">
      <w:pPr>
        <w:pStyle w:val="af6"/>
        <w:tabs>
          <w:tab w:val="left" w:pos="284"/>
        </w:tabs>
        <w:spacing w:after="0"/>
        <w:ind w:left="170"/>
        <w:mirrorIndents/>
        <w:jc w:val="both"/>
        <w:rPr>
          <w:rFonts w:asciiTheme="majorHAnsi" w:hAnsiTheme="majorHAnsi"/>
          <w:i/>
          <w:iCs/>
          <w:sz w:val="20"/>
          <w:szCs w:val="20"/>
          <w:lang w:val="en-US"/>
        </w:rPr>
      </w:pPr>
      <w:r w:rsidRPr="000977F7">
        <w:rPr>
          <w:rFonts w:asciiTheme="majorHAnsi" w:hAnsiTheme="majorHAnsi"/>
          <w:i/>
          <w:iCs/>
          <w:sz w:val="20"/>
          <w:szCs w:val="20"/>
        </w:rPr>
        <w:t>ДСТУ</w:t>
      </w:r>
      <w:r w:rsidRPr="004D2D14">
        <w:rPr>
          <w:rFonts w:asciiTheme="majorHAnsi" w:hAnsiTheme="majorHAnsi"/>
          <w:i/>
          <w:iCs/>
          <w:sz w:val="20"/>
          <w:szCs w:val="20"/>
          <w:lang w:val="en-US"/>
        </w:rPr>
        <w:t xml:space="preserve"> ISO/IEC</w:t>
      </w:r>
      <w:r w:rsidRPr="004D2D14">
        <w:rPr>
          <w:rFonts w:asciiTheme="majorHAnsi" w:hAnsiTheme="majorHAnsi"/>
          <w:i/>
          <w:iCs/>
          <w:spacing w:val="-1"/>
          <w:sz w:val="20"/>
          <w:szCs w:val="20"/>
          <w:lang w:val="en-US"/>
        </w:rPr>
        <w:t xml:space="preserve"> </w:t>
      </w:r>
      <w:r w:rsidRPr="004D2D14">
        <w:rPr>
          <w:rFonts w:asciiTheme="majorHAnsi" w:hAnsiTheme="majorHAnsi"/>
          <w:i/>
          <w:iCs/>
          <w:sz w:val="20"/>
          <w:szCs w:val="20"/>
          <w:lang w:val="en-US"/>
        </w:rPr>
        <w:t>17000:2007</w:t>
      </w:r>
    </w:p>
    <w:p w14:paraId="3E1FA11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ВЗАЄМОДІЯ</w:t>
      </w:r>
      <w:r w:rsidRPr="000977F7">
        <w:rPr>
          <w:color w:val="auto"/>
          <w:spacing w:val="-1"/>
          <w:sz w:val="20"/>
          <w:szCs w:val="20"/>
        </w:rPr>
        <w:t xml:space="preserve"> </w:t>
      </w:r>
      <w:r w:rsidRPr="000977F7">
        <w:rPr>
          <w:color w:val="auto"/>
          <w:sz w:val="20"/>
          <w:szCs w:val="20"/>
        </w:rPr>
        <w:t>-</w:t>
      </w:r>
    </w:p>
    <w:p w14:paraId="5E74335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INTERACTION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2AE37D9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Цілеспрямоване взаємне діяння деяких об’єктів або</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p>
    <w:p w14:paraId="74558E3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3956-2000</w:t>
      </w:r>
    </w:p>
    <w:p w14:paraId="113D28E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ВЗАЄМОЗАМІННІСТЬ</w:t>
      </w:r>
      <w:r w:rsidRPr="000977F7">
        <w:rPr>
          <w:color w:val="auto"/>
          <w:spacing w:val="-2"/>
          <w:sz w:val="20"/>
          <w:szCs w:val="20"/>
        </w:rPr>
        <w:t xml:space="preserve"> </w:t>
      </w:r>
      <w:r w:rsidRPr="000977F7">
        <w:rPr>
          <w:color w:val="auto"/>
          <w:sz w:val="20"/>
          <w:szCs w:val="20"/>
        </w:rPr>
        <w:t>–</w:t>
      </w:r>
    </w:p>
    <w:p w14:paraId="7256C875"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z w:val="20"/>
          <w:szCs w:val="20"/>
        </w:rPr>
        <w:t>INTERCHANGEABILITY</w:t>
      </w:r>
      <w:r w:rsidRPr="000977F7">
        <w:rPr>
          <w:rFonts w:asciiTheme="majorHAnsi" w:hAnsiTheme="majorHAnsi"/>
          <w:spacing w:val="-1"/>
          <w:sz w:val="20"/>
          <w:szCs w:val="20"/>
        </w:rPr>
        <w:t xml:space="preserve"> </w:t>
      </w:r>
      <w:r w:rsidRPr="000977F7">
        <w:rPr>
          <w:rFonts w:asciiTheme="majorHAnsi" w:hAnsiTheme="majorHAnsi"/>
          <w:b/>
          <w:sz w:val="20"/>
          <w:szCs w:val="20"/>
        </w:rPr>
        <w:t>–</w:t>
      </w:r>
    </w:p>
    <w:p w14:paraId="0655269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Придатність одного виробу, процесу або послуги для</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замість</w:t>
      </w:r>
      <w:r w:rsidRPr="000977F7">
        <w:rPr>
          <w:rFonts w:asciiTheme="majorHAnsi" w:hAnsiTheme="majorHAnsi"/>
          <w:spacing w:val="1"/>
          <w:sz w:val="20"/>
          <w:szCs w:val="20"/>
        </w:rPr>
        <w:t xml:space="preserve"> </w:t>
      </w:r>
      <w:r w:rsidRPr="000977F7">
        <w:rPr>
          <w:rFonts w:asciiTheme="majorHAnsi" w:hAnsiTheme="majorHAnsi"/>
          <w:sz w:val="20"/>
          <w:szCs w:val="20"/>
        </w:rPr>
        <w:t>іншого</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послуги</w:t>
      </w:r>
      <w:r w:rsidRPr="000977F7">
        <w:rPr>
          <w:rFonts w:asciiTheme="majorHAnsi" w:hAnsiTheme="majorHAnsi"/>
          <w:spacing w:val="-3"/>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метою</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одних</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3"/>
          <w:sz w:val="20"/>
          <w:szCs w:val="20"/>
        </w:rPr>
        <w:t xml:space="preserve"> </w:t>
      </w:r>
      <w:r w:rsidRPr="000977F7">
        <w:rPr>
          <w:rFonts w:asciiTheme="majorHAnsi" w:hAnsiTheme="majorHAnsi"/>
          <w:sz w:val="20"/>
          <w:szCs w:val="20"/>
        </w:rPr>
        <w:t>тих же</w:t>
      </w:r>
      <w:r w:rsidRPr="000977F7">
        <w:rPr>
          <w:rFonts w:asciiTheme="majorHAnsi" w:hAnsiTheme="majorHAnsi"/>
          <w:spacing w:val="-1"/>
          <w:sz w:val="20"/>
          <w:szCs w:val="20"/>
        </w:rPr>
        <w:t xml:space="preserve"> </w:t>
      </w:r>
      <w:r w:rsidRPr="000977F7">
        <w:rPr>
          <w:rFonts w:asciiTheme="majorHAnsi" w:hAnsiTheme="majorHAnsi"/>
          <w:sz w:val="20"/>
          <w:szCs w:val="20"/>
        </w:rPr>
        <w:t>вимог</w:t>
      </w:r>
    </w:p>
    <w:p w14:paraId="0BB652E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C9694BF" w14:textId="77777777" w:rsidR="0097612F" w:rsidRPr="000977F7" w:rsidRDefault="0097612F" w:rsidP="000977F7">
      <w:pPr>
        <w:pStyle w:val="af6"/>
        <w:tabs>
          <w:tab w:val="left" w:pos="284"/>
        </w:tabs>
        <w:spacing w:after="0"/>
        <w:ind w:left="170"/>
        <w:mirrorIndents/>
        <w:jc w:val="both"/>
        <w:rPr>
          <w:rFonts w:asciiTheme="majorHAnsi" w:hAnsiTheme="majorHAnsi"/>
          <w:spacing w:val="-1"/>
          <w:w w:val="121"/>
          <w:sz w:val="20"/>
          <w:szCs w:val="20"/>
        </w:rPr>
      </w:pPr>
      <w:r w:rsidRPr="000977F7">
        <w:rPr>
          <w:rFonts w:asciiTheme="majorHAnsi" w:hAnsiTheme="majorHAnsi"/>
          <w:sz w:val="20"/>
          <w:szCs w:val="20"/>
        </w:rPr>
        <w:t>Функціональний</w:t>
      </w:r>
      <w:r w:rsidRPr="000977F7">
        <w:rPr>
          <w:rFonts w:asciiTheme="majorHAnsi" w:hAnsiTheme="majorHAnsi"/>
          <w:spacing w:val="39"/>
          <w:sz w:val="20"/>
          <w:szCs w:val="20"/>
        </w:rPr>
        <w:t xml:space="preserve"> </w:t>
      </w:r>
      <w:r w:rsidRPr="000977F7">
        <w:rPr>
          <w:rFonts w:asciiTheme="majorHAnsi" w:hAnsiTheme="majorHAnsi"/>
          <w:sz w:val="20"/>
          <w:szCs w:val="20"/>
        </w:rPr>
        <w:t>аспект</w:t>
      </w:r>
      <w:r w:rsidRPr="000977F7">
        <w:rPr>
          <w:rFonts w:asciiTheme="majorHAnsi" w:hAnsiTheme="majorHAnsi"/>
          <w:spacing w:val="39"/>
          <w:sz w:val="20"/>
          <w:szCs w:val="20"/>
        </w:rPr>
        <w:t xml:space="preserve"> </w:t>
      </w:r>
      <w:r w:rsidRPr="000977F7">
        <w:rPr>
          <w:rFonts w:asciiTheme="majorHAnsi" w:hAnsiTheme="majorHAnsi"/>
          <w:sz w:val="20"/>
          <w:szCs w:val="20"/>
        </w:rPr>
        <w:t>взаємозамінності</w:t>
      </w:r>
      <w:r w:rsidRPr="000977F7">
        <w:rPr>
          <w:rFonts w:asciiTheme="majorHAnsi" w:hAnsiTheme="majorHAnsi"/>
          <w:spacing w:val="41"/>
          <w:sz w:val="20"/>
          <w:szCs w:val="20"/>
        </w:rPr>
        <w:t xml:space="preserve"> </w:t>
      </w:r>
      <w:r w:rsidRPr="000977F7">
        <w:rPr>
          <w:rFonts w:asciiTheme="majorHAnsi" w:hAnsiTheme="majorHAnsi"/>
          <w:sz w:val="20"/>
          <w:szCs w:val="20"/>
        </w:rPr>
        <w:t>носить</w:t>
      </w:r>
      <w:r w:rsidRPr="000977F7">
        <w:rPr>
          <w:rFonts w:asciiTheme="majorHAnsi" w:hAnsiTheme="majorHAnsi"/>
          <w:spacing w:val="40"/>
          <w:sz w:val="20"/>
          <w:szCs w:val="20"/>
        </w:rPr>
        <w:t xml:space="preserve"> </w:t>
      </w:r>
      <w:r w:rsidRPr="000977F7">
        <w:rPr>
          <w:rFonts w:asciiTheme="majorHAnsi" w:hAnsiTheme="majorHAnsi"/>
          <w:sz w:val="20"/>
          <w:szCs w:val="20"/>
        </w:rPr>
        <w:t>на</w:t>
      </w:r>
      <w:r w:rsidRPr="000977F7">
        <w:rPr>
          <w:rFonts w:asciiTheme="majorHAnsi" w:hAnsiTheme="majorHAnsi"/>
          <w:spacing w:val="-47"/>
          <w:sz w:val="20"/>
          <w:szCs w:val="20"/>
        </w:rPr>
        <w:t xml:space="preserve"> </w:t>
      </w:r>
      <w:r w:rsidRPr="000977F7">
        <w:rPr>
          <w:rFonts w:asciiTheme="majorHAnsi" w:hAnsiTheme="majorHAnsi"/>
          <w:w w:val="99"/>
          <w:sz w:val="20"/>
          <w:szCs w:val="20"/>
        </w:rPr>
        <w:t>з</w:t>
      </w:r>
      <w:r w:rsidRPr="000977F7">
        <w:rPr>
          <w:rFonts w:asciiTheme="majorHAnsi" w:hAnsiTheme="majorHAnsi"/>
          <w:spacing w:val="2"/>
          <w:w w:val="99"/>
          <w:sz w:val="20"/>
          <w:szCs w:val="20"/>
        </w:rPr>
        <w:t>в</w:t>
      </w:r>
      <w:r w:rsidRPr="000977F7">
        <w:rPr>
          <w:rFonts w:asciiTheme="majorHAnsi" w:hAnsiTheme="majorHAnsi"/>
          <w:w w:val="99"/>
          <w:sz w:val="20"/>
          <w:szCs w:val="20"/>
        </w:rPr>
        <w:t>у</w:t>
      </w:r>
      <w:r w:rsidRPr="000977F7">
        <w:rPr>
          <w:rFonts w:asciiTheme="majorHAnsi" w:hAnsiTheme="majorHAnsi"/>
          <w:sz w:val="20"/>
          <w:szCs w:val="20"/>
        </w:rPr>
        <w:t xml:space="preserve"> "</w:t>
      </w:r>
      <w:r w:rsidRPr="000977F7">
        <w:rPr>
          <w:rFonts w:asciiTheme="majorHAnsi" w:hAnsiTheme="majorHAnsi"/>
          <w:spacing w:val="2"/>
          <w:w w:val="99"/>
          <w:sz w:val="20"/>
          <w:szCs w:val="20"/>
        </w:rPr>
        <w:t>ф</w:t>
      </w:r>
      <w:r w:rsidRPr="000977F7">
        <w:rPr>
          <w:rFonts w:asciiTheme="majorHAnsi" w:hAnsiTheme="majorHAnsi"/>
          <w:spacing w:val="-2"/>
          <w:w w:val="99"/>
          <w:sz w:val="20"/>
          <w:szCs w:val="20"/>
        </w:rPr>
        <w:t>у</w:t>
      </w:r>
      <w:r w:rsidRPr="000977F7">
        <w:rPr>
          <w:rFonts w:asciiTheme="majorHAnsi" w:hAnsiTheme="majorHAnsi"/>
          <w:spacing w:val="1"/>
          <w:w w:val="99"/>
          <w:sz w:val="20"/>
          <w:szCs w:val="20"/>
        </w:rPr>
        <w:t>н</w:t>
      </w:r>
      <w:r w:rsidRPr="000977F7">
        <w:rPr>
          <w:rFonts w:asciiTheme="majorHAnsi" w:hAnsiTheme="majorHAnsi"/>
          <w:spacing w:val="-1"/>
          <w:w w:val="99"/>
          <w:sz w:val="20"/>
          <w:szCs w:val="20"/>
        </w:rPr>
        <w:t>к</w:t>
      </w:r>
      <w:r w:rsidRPr="000977F7">
        <w:rPr>
          <w:rFonts w:asciiTheme="majorHAnsi" w:hAnsiTheme="majorHAnsi"/>
          <w:spacing w:val="1"/>
          <w:w w:val="99"/>
          <w:sz w:val="20"/>
          <w:szCs w:val="20"/>
        </w:rPr>
        <w:t>ц</w:t>
      </w:r>
      <w:r w:rsidRPr="000977F7">
        <w:rPr>
          <w:rFonts w:asciiTheme="majorHAnsi" w:hAnsiTheme="majorHAnsi"/>
          <w:w w:val="99"/>
          <w:sz w:val="20"/>
          <w:szCs w:val="20"/>
        </w:rPr>
        <w:t>іо</w:t>
      </w:r>
      <w:r w:rsidRPr="000977F7">
        <w:rPr>
          <w:rFonts w:asciiTheme="majorHAnsi" w:hAnsiTheme="majorHAnsi"/>
          <w:spacing w:val="-2"/>
          <w:w w:val="99"/>
          <w:sz w:val="20"/>
          <w:szCs w:val="20"/>
        </w:rPr>
        <w:t>н</w:t>
      </w:r>
      <w:r w:rsidRPr="000977F7">
        <w:rPr>
          <w:rFonts w:asciiTheme="majorHAnsi" w:hAnsiTheme="majorHAnsi"/>
          <w:w w:val="99"/>
          <w:sz w:val="20"/>
          <w:szCs w:val="20"/>
        </w:rPr>
        <w:t>а</w:t>
      </w:r>
      <w:r w:rsidRPr="000977F7">
        <w:rPr>
          <w:rFonts w:asciiTheme="majorHAnsi" w:hAnsiTheme="majorHAnsi"/>
          <w:spacing w:val="-1"/>
          <w:w w:val="99"/>
          <w:sz w:val="20"/>
          <w:szCs w:val="20"/>
        </w:rPr>
        <w:t>л</w:t>
      </w:r>
      <w:r w:rsidRPr="000977F7">
        <w:rPr>
          <w:rFonts w:asciiTheme="majorHAnsi" w:hAnsiTheme="majorHAnsi"/>
          <w:spacing w:val="2"/>
          <w:w w:val="99"/>
          <w:sz w:val="20"/>
          <w:szCs w:val="20"/>
        </w:rPr>
        <w:t>ь</w:t>
      </w:r>
      <w:r w:rsidRPr="000977F7">
        <w:rPr>
          <w:rFonts w:asciiTheme="majorHAnsi" w:hAnsiTheme="majorHAnsi"/>
          <w:spacing w:val="-2"/>
          <w:w w:val="99"/>
          <w:sz w:val="20"/>
          <w:szCs w:val="20"/>
        </w:rPr>
        <w:t>н</w:t>
      </w:r>
      <w:r w:rsidRPr="000977F7">
        <w:rPr>
          <w:rFonts w:asciiTheme="majorHAnsi" w:hAnsiTheme="majorHAnsi"/>
          <w:w w:val="99"/>
          <w:sz w:val="20"/>
          <w:szCs w:val="20"/>
        </w:rPr>
        <w:t>а</w:t>
      </w:r>
      <w:r w:rsidRPr="000977F7">
        <w:rPr>
          <w:rFonts w:asciiTheme="majorHAnsi" w:hAnsiTheme="majorHAnsi"/>
          <w:sz w:val="20"/>
          <w:szCs w:val="20"/>
        </w:rPr>
        <w:t xml:space="preserve"> </w:t>
      </w:r>
      <w:r w:rsidRPr="000977F7">
        <w:rPr>
          <w:rFonts w:asciiTheme="majorHAnsi" w:hAnsiTheme="majorHAnsi"/>
          <w:spacing w:val="10"/>
          <w:sz w:val="20"/>
          <w:szCs w:val="20"/>
        </w:rPr>
        <w:t xml:space="preserve"> </w:t>
      </w:r>
      <w:r w:rsidRPr="000977F7">
        <w:rPr>
          <w:rFonts w:asciiTheme="majorHAnsi" w:hAnsiTheme="majorHAnsi"/>
          <w:spacing w:val="-1"/>
          <w:w w:val="99"/>
          <w:sz w:val="20"/>
          <w:szCs w:val="20"/>
        </w:rPr>
        <w:t>вза</w:t>
      </w:r>
      <w:r w:rsidRPr="000977F7">
        <w:rPr>
          <w:rFonts w:asciiTheme="majorHAnsi" w:hAnsiTheme="majorHAnsi"/>
          <w:spacing w:val="1"/>
          <w:w w:val="99"/>
          <w:sz w:val="20"/>
          <w:szCs w:val="20"/>
        </w:rPr>
        <w:t>ємо</w:t>
      </w:r>
      <w:r w:rsidRPr="000977F7">
        <w:rPr>
          <w:rFonts w:asciiTheme="majorHAnsi" w:hAnsiTheme="majorHAnsi"/>
          <w:w w:val="99"/>
          <w:sz w:val="20"/>
          <w:szCs w:val="20"/>
        </w:rPr>
        <w:t>за</w:t>
      </w:r>
      <w:r w:rsidRPr="000977F7">
        <w:rPr>
          <w:rFonts w:asciiTheme="majorHAnsi" w:hAnsiTheme="majorHAnsi"/>
          <w:spacing w:val="1"/>
          <w:w w:val="99"/>
          <w:sz w:val="20"/>
          <w:szCs w:val="20"/>
        </w:rPr>
        <w:t>м</w:t>
      </w:r>
      <w:r w:rsidRPr="000977F7">
        <w:rPr>
          <w:rFonts w:asciiTheme="majorHAnsi" w:hAnsiTheme="majorHAnsi"/>
          <w:w w:val="99"/>
          <w:sz w:val="20"/>
          <w:szCs w:val="20"/>
        </w:rPr>
        <w:t>і</w:t>
      </w:r>
      <w:r w:rsidRPr="000977F7">
        <w:rPr>
          <w:rFonts w:asciiTheme="majorHAnsi" w:hAnsiTheme="majorHAnsi"/>
          <w:spacing w:val="-2"/>
          <w:w w:val="99"/>
          <w:sz w:val="20"/>
          <w:szCs w:val="20"/>
        </w:rPr>
        <w:t>нн</w:t>
      </w:r>
      <w:r w:rsidRPr="000977F7">
        <w:rPr>
          <w:rFonts w:asciiTheme="majorHAnsi" w:hAnsiTheme="majorHAnsi"/>
          <w:w w:val="99"/>
          <w:sz w:val="20"/>
          <w:szCs w:val="20"/>
        </w:rPr>
        <w:t>і</w:t>
      </w:r>
      <w:r w:rsidRPr="000977F7">
        <w:rPr>
          <w:rFonts w:asciiTheme="majorHAnsi" w:hAnsiTheme="majorHAnsi"/>
          <w:spacing w:val="2"/>
          <w:w w:val="99"/>
          <w:sz w:val="20"/>
          <w:szCs w:val="20"/>
        </w:rPr>
        <w:t>с</w:t>
      </w:r>
      <w:r w:rsidRPr="000977F7">
        <w:rPr>
          <w:rFonts w:asciiTheme="majorHAnsi" w:hAnsiTheme="majorHAnsi"/>
          <w:spacing w:val="-1"/>
          <w:w w:val="99"/>
          <w:sz w:val="20"/>
          <w:szCs w:val="20"/>
        </w:rPr>
        <w:t>т</w:t>
      </w:r>
      <w:r w:rsidRPr="000977F7">
        <w:rPr>
          <w:rFonts w:asciiTheme="majorHAnsi" w:hAnsiTheme="majorHAnsi"/>
          <w:spacing w:val="-1"/>
          <w:w w:val="121"/>
          <w:sz w:val="20"/>
          <w:szCs w:val="20"/>
        </w:rPr>
        <w:t xml:space="preserve">ь", </w:t>
      </w:r>
      <w:r w:rsidRPr="000977F7">
        <w:rPr>
          <w:rFonts w:asciiTheme="majorHAnsi" w:hAnsiTheme="majorHAnsi"/>
          <w:w w:val="99"/>
          <w:sz w:val="20"/>
          <w:szCs w:val="20"/>
        </w:rPr>
        <w:t>а</w:t>
      </w:r>
      <w:r w:rsidRPr="000977F7">
        <w:rPr>
          <w:rFonts w:asciiTheme="majorHAnsi" w:hAnsiTheme="majorHAnsi"/>
          <w:sz w:val="20"/>
          <w:szCs w:val="20"/>
        </w:rPr>
        <w:t xml:space="preserve"> </w:t>
      </w:r>
      <w:r w:rsidRPr="000977F7">
        <w:rPr>
          <w:rFonts w:asciiTheme="majorHAnsi" w:hAnsiTheme="majorHAnsi"/>
          <w:spacing w:val="1"/>
          <w:w w:val="99"/>
          <w:sz w:val="20"/>
          <w:szCs w:val="20"/>
        </w:rPr>
        <w:t>ро</w:t>
      </w:r>
      <w:r w:rsidRPr="000977F7">
        <w:rPr>
          <w:rFonts w:asciiTheme="majorHAnsi" w:hAnsiTheme="majorHAnsi"/>
          <w:w w:val="99"/>
          <w:sz w:val="20"/>
          <w:szCs w:val="20"/>
        </w:rPr>
        <w:t>з</w:t>
      </w:r>
      <w:r w:rsidRPr="000977F7">
        <w:rPr>
          <w:rFonts w:asciiTheme="majorHAnsi" w:hAnsiTheme="majorHAnsi"/>
          <w:spacing w:val="1"/>
          <w:w w:val="99"/>
          <w:sz w:val="20"/>
          <w:szCs w:val="20"/>
        </w:rPr>
        <w:t>м</w:t>
      </w:r>
      <w:r w:rsidRPr="000977F7">
        <w:rPr>
          <w:rFonts w:asciiTheme="majorHAnsi" w:hAnsiTheme="majorHAnsi"/>
          <w:w w:val="99"/>
          <w:sz w:val="20"/>
          <w:szCs w:val="20"/>
        </w:rPr>
        <w:t>ір</w:t>
      </w:r>
      <w:r w:rsidRPr="000977F7">
        <w:rPr>
          <w:rFonts w:asciiTheme="majorHAnsi" w:hAnsiTheme="majorHAnsi"/>
          <w:spacing w:val="-2"/>
          <w:w w:val="99"/>
          <w:sz w:val="20"/>
          <w:szCs w:val="20"/>
        </w:rPr>
        <w:t>ни</w:t>
      </w:r>
      <w:r w:rsidRPr="000977F7">
        <w:rPr>
          <w:rFonts w:asciiTheme="majorHAnsi" w:hAnsiTheme="majorHAnsi"/>
          <w:w w:val="99"/>
          <w:sz w:val="20"/>
          <w:szCs w:val="20"/>
        </w:rPr>
        <w:t>й ас</w:t>
      </w:r>
      <w:r w:rsidRPr="000977F7">
        <w:rPr>
          <w:rFonts w:asciiTheme="majorHAnsi" w:hAnsiTheme="majorHAnsi"/>
          <w:spacing w:val="-2"/>
          <w:w w:val="99"/>
          <w:sz w:val="20"/>
          <w:szCs w:val="20"/>
        </w:rPr>
        <w:t>п</w:t>
      </w:r>
      <w:r w:rsidRPr="000977F7">
        <w:rPr>
          <w:rFonts w:asciiTheme="majorHAnsi" w:hAnsiTheme="majorHAnsi"/>
          <w:w w:val="99"/>
          <w:sz w:val="20"/>
          <w:szCs w:val="20"/>
        </w:rPr>
        <w:t>ект</w:t>
      </w:r>
      <w:r w:rsidRPr="000977F7">
        <w:rPr>
          <w:rFonts w:asciiTheme="majorHAnsi" w:hAnsiTheme="majorHAnsi"/>
          <w:spacing w:val="-1"/>
          <w:sz w:val="20"/>
          <w:szCs w:val="20"/>
        </w:rPr>
        <w:t xml:space="preserve"> </w:t>
      </w:r>
      <w:r w:rsidRPr="000977F7">
        <w:rPr>
          <w:rFonts w:asciiTheme="majorHAnsi" w:hAnsiTheme="majorHAnsi"/>
          <w:w w:val="99"/>
          <w:sz w:val="20"/>
          <w:szCs w:val="20"/>
        </w:rPr>
        <w:t>–</w:t>
      </w:r>
      <w:r w:rsidRPr="000977F7">
        <w:rPr>
          <w:rFonts w:asciiTheme="majorHAnsi" w:hAnsiTheme="majorHAnsi"/>
          <w:spacing w:val="4"/>
          <w:sz w:val="20"/>
          <w:szCs w:val="20"/>
        </w:rPr>
        <w:t xml:space="preserve"> "</w:t>
      </w:r>
      <w:r w:rsidRPr="000977F7">
        <w:rPr>
          <w:rFonts w:asciiTheme="majorHAnsi" w:hAnsiTheme="majorHAnsi"/>
          <w:spacing w:val="1"/>
          <w:w w:val="99"/>
          <w:sz w:val="20"/>
          <w:szCs w:val="20"/>
        </w:rPr>
        <w:t>ро</w:t>
      </w:r>
      <w:r w:rsidRPr="000977F7">
        <w:rPr>
          <w:rFonts w:asciiTheme="majorHAnsi" w:hAnsiTheme="majorHAnsi"/>
          <w:w w:val="99"/>
          <w:sz w:val="20"/>
          <w:szCs w:val="20"/>
        </w:rPr>
        <w:t>з</w:t>
      </w:r>
      <w:r w:rsidRPr="000977F7">
        <w:rPr>
          <w:rFonts w:asciiTheme="majorHAnsi" w:hAnsiTheme="majorHAnsi"/>
          <w:spacing w:val="1"/>
          <w:w w:val="99"/>
          <w:sz w:val="20"/>
          <w:szCs w:val="20"/>
        </w:rPr>
        <w:t>м</w:t>
      </w:r>
      <w:r w:rsidRPr="000977F7">
        <w:rPr>
          <w:rFonts w:asciiTheme="majorHAnsi" w:hAnsiTheme="majorHAnsi"/>
          <w:w w:val="99"/>
          <w:sz w:val="20"/>
          <w:szCs w:val="20"/>
        </w:rPr>
        <w:t>ір</w:t>
      </w:r>
      <w:r w:rsidRPr="000977F7">
        <w:rPr>
          <w:rFonts w:asciiTheme="majorHAnsi" w:hAnsiTheme="majorHAnsi"/>
          <w:spacing w:val="-2"/>
          <w:w w:val="99"/>
          <w:sz w:val="20"/>
          <w:szCs w:val="20"/>
        </w:rPr>
        <w:t>н</w:t>
      </w:r>
      <w:r w:rsidRPr="000977F7">
        <w:rPr>
          <w:rFonts w:asciiTheme="majorHAnsi" w:hAnsiTheme="majorHAnsi"/>
          <w:w w:val="99"/>
          <w:sz w:val="20"/>
          <w:szCs w:val="20"/>
        </w:rPr>
        <w:t>а</w:t>
      </w:r>
      <w:r w:rsidRPr="000977F7">
        <w:rPr>
          <w:rFonts w:asciiTheme="majorHAnsi" w:hAnsiTheme="majorHAnsi"/>
          <w:sz w:val="20"/>
          <w:szCs w:val="20"/>
        </w:rPr>
        <w:t xml:space="preserve"> </w:t>
      </w:r>
      <w:r w:rsidRPr="000977F7">
        <w:rPr>
          <w:rFonts w:asciiTheme="majorHAnsi" w:hAnsiTheme="majorHAnsi"/>
          <w:w w:val="99"/>
          <w:sz w:val="20"/>
          <w:szCs w:val="20"/>
        </w:rPr>
        <w:t>(</w:t>
      </w:r>
      <w:r w:rsidRPr="000977F7">
        <w:rPr>
          <w:rFonts w:asciiTheme="majorHAnsi" w:hAnsiTheme="majorHAnsi"/>
          <w:spacing w:val="-1"/>
          <w:w w:val="99"/>
          <w:sz w:val="20"/>
          <w:szCs w:val="20"/>
        </w:rPr>
        <w:t>ге</w:t>
      </w:r>
      <w:r w:rsidRPr="000977F7">
        <w:rPr>
          <w:rFonts w:asciiTheme="majorHAnsi" w:hAnsiTheme="majorHAnsi"/>
          <w:spacing w:val="1"/>
          <w:w w:val="99"/>
          <w:sz w:val="20"/>
          <w:szCs w:val="20"/>
        </w:rPr>
        <w:t>ом</w:t>
      </w:r>
      <w:r w:rsidRPr="000977F7">
        <w:rPr>
          <w:rFonts w:asciiTheme="majorHAnsi" w:hAnsiTheme="majorHAnsi"/>
          <w:w w:val="99"/>
          <w:sz w:val="20"/>
          <w:szCs w:val="20"/>
        </w:rPr>
        <w:t>етр</w:t>
      </w:r>
      <w:r w:rsidRPr="000977F7">
        <w:rPr>
          <w:rFonts w:asciiTheme="majorHAnsi" w:hAnsiTheme="majorHAnsi"/>
          <w:spacing w:val="-2"/>
          <w:w w:val="99"/>
          <w:sz w:val="20"/>
          <w:szCs w:val="20"/>
        </w:rPr>
        <w:t>и</w:t>
      </w:r>
      <w:r w:rsidRPr="000977F7">
        <w:rPr>
          <w:rFonts w:asciiTheme="majorHAnsi" w:hAnsiTheme="majorHAnsi"/>
          <w:w w:val="99"/>
          <w:sz w:val="20"/>
          <w:szCs w:val="20"/>
        </w:rPr>
        <w:t>ч</w:t>
      </w:r>
      <w:r w:rsidRPr="000977F7">
        <w:rPr>
          <w:rFonts w:asciiTheme="majorHAnsi" w:hAnsiTheme="majorHAnsi"/>
          <w:spacing w:val="-2"/>
          <w:w w:val="99"/>
          <w:sz w:val="20"/>
          <w:szCs w:val="20"/>
        </w:rPr>
        <w:t>н</w:t>
      </w:r>
      <w:r w:rsidRPr="000977F7">
        <w:rPr>
          <w:rFonts w:asciiTheme="majorHAnsi" w:hAnsiTheme="majorHAnsi"/>
          <w:w w:val="99"/>
          <w:sz w:val="20"/>
          <w:szCs w:val="20"/>
        </w:rPr>
        <w:t>а)</w:t>
      </w:r>
      <w:r w:rsidRPr="000977F7">
        <w:rPr>
          <w:rFonts w:asciiTheme="majorHAnsi" w:hAnsiTheme="majorHAnsi"/>
          <w:spacing w:val="1"/>
          <w:sz w:val="20"/>
          <w:szCs w:val="20"/>
        </w:rPr>
        <w:t xml:space="preserve"> </w:t>
      </w:r>
      <w:r w:rsidRPr="000977F7">
        <w:rPr>
          <w:rFonts w:asciiTheme="majorHAnsi" w:hAnsiTheme="majorHAnsi"/>
          <w:spacing w:val="-1"/>
          <w:w w:val="99"/>
          <w:sz w:val="20"/>
          <w:szCs w:val="20"/>
        </w:rPr>
        <w:t>вза</w:t>
      </w:r>
      <w:r w:rsidRPr="000977F7">
        <w:rPr>
          <w:rFonts w:asciiTheme="majorHAnsi" w:hAnsiTheme="majorHAnsi"/>
          <w:spacing w:val="1"/>
          <w:w w:val="99"/>
          <w:sz w:val="20"/>
          <w:szCs w:val="20"/>
        </w:rPr>
        <w:t>ємо</w:t>
      </w:r>
      <w:r w:rsidRPr="000977F7">
        <w:rPr>
          <w:rFonts w:asciiTheme="majorHAnsi" w:hAnsiTheme="majorHAnsi"/>
          <w:w w:val="99"/>
          <w:sz w:val="20"/>
          <w:szCs w:val="20"/>
        </w:rPr>
        <w:t>за</w:t>
      </w:r>
      <w:r w:rsidRPr="000977F7">
        <w:rPr>
          <w:rFonts w:asciiTheme="majorHAnsi" w:hAnsiTheme="majorHAnsi"/>
          <w:spacing w:val="1"/>
          <w:w w:val="99"/>
          <w:sz w:val="20"/>
          <w:szCs w:val="20"/>
        </w:rPr>
        <w:t>м</w:t>
      </w:r>
      <w:r w:rsidRPr="000977F7">
        <w:rPr>
          <w:rFonts w:asciiTheme="majorHAnsi" w:hAnsiTheme="majorHAnsi"/>
          <w:w w:val="99"/>
          <w:sz w:val="20"/>
          <w:szCs w:val="20"/>
        </w:rPr>
        <w:t>і</w:t>
      </w:r>
      <w:r w:rsidRPr="000977F7">
        <w:rPr>
          <w:rFonts w:asciiTheme="majorHAnsi" w:hAnsiTheme="majorHAnsi"/>
          <w:spacing w:val="-2"/>
          <w:w w:val="99"/>
          <w:sz w:val="20"/>
          <w:szCs w:val="20"/>
        </w:rPr>
        <w:t>нн</w:t>
      </w:r>
      <w:r w:rsidRPr="000977F7">
        <w:rPr>
          <w:rFonts w:asciiTheme="majorHAnsi" w:hAnsiTheme="majorHAnsi"/>
          <w:w w:val="99"/>
          <w:sz w:val="20"/>
          <w:szCs w:val="20"/>
        </w:rPr>
        <w:t>і</w:t>
      </w:r>
      <w:r w:rsidRPr="000977F7">
        <w:rPr>
          <w:rFonts w:asciiTheme="majorHAnsi" w:hAnsiTheme="majorHAnsi"/>
          <w:spacing w:val="2"/>
          <w:w w:val="99"/>
          <w:sz w:val="20"/>
          <w:szCs w:val="20"/>
        </w:rPr>
        <w:t>с</w:t>
      </w:r>
      <w:r w:rsidRPr="000977F7">
        <w:rPr>
          <w:rFonts w:asciiTheme="majorHAnsi" w:hAnsiTheme="majorHAnsi"/>
          <w:spacing w:val="-1"/>
          <w:w w:val="99"/>
          <w:sz w:val="20"/>
          <w:szCs w:val="20"/>
        </w:rPr>
        <w:t>т</w:t>
      </w:r>
      <w:r w:rsidRPr="000977F7">
        <w:rPr>
          <w:rFonts w:asciiTheme="majorHAnsi" w:hAnsiTheme="majorHAnsi"/>
          <w:spacing w:val="-1"/>
          <w:w w:val="121"/>
          <w:sz w:val="20"/>
          <w:szCs w:val="20"/>
        </w:rPr>
        <w:t>ь"</w:t>
      </w:r>
    </w:p>
    <w:p w14:paraId="67D54BC2"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ISO/IEC</w:t>
      </w:r>
      <w:r w:rsidRPr="000977F7">
        <w:rPr>
          <w:rFonts w:asciiTheme="majorHAnsi" w:hAnsiTheme="majorHAnsi"/>
          <w:i/>
          <w:spacing w:val="-1"/>
          <w:sz w:val="20"/>
          <w:szCs w:val="20"/>
        </w:rPr>
        <w:t xml:space="preserve"> </w:t>
      </w:r>
      <w:r w:rsidRPr="000977F7">
        <w:rPr>
          <w:rFonts w:asciiTheme="majorHAnsi" w:hAnsiTheme="majorHAnsi"/>
          <w:i/>
          <w:sz w:val="20"/>
          <w:szCs w:val="20"/>
        </w:rPr>
        <w:t>17000:2007</w:t>
      </w:r>
    </w:p>
    <w:p w14:paraId="7CC852B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b w:val="0"/>
          <w:iCs w:val="0"/>
          <w:color w:val="auto"/>
          <w:sz w:val="20"/>
          <w:szCs w:val="20"/>
        </w:rPr>
        <w:t>В</w:t>
      </w:r>
      <w:r w:rsidRPr="000977F7">
        <w:rPr>
          <w:color w:val="auto"/>
          <w:sz w:val="20"/>
          <w:szCs w:val="20"/>
        </w:rPr>
        <w:t>ЗАЄМОЗАМІННІСТЬ</w:t>
      </w:r>
      <w:r w:rsidRPr="000977F7">
        <w:rPr>
          <w:color w:val="auto"/>
          <w:spacing w:val="-4"/>
          <w:sz w:val="20"/>
          <w:szCs w:val="20"/>
        </w:rPr>
        <w:t xml:space="preserve"> </w:t>
      </w:r>
      <w:r w:rsidRPr="000977F7">
        <w:rPr>
          <w:color w:val="auto"/>
          <w:sz w:val="20"/>
          <w:szCs w:val="20"/>
        </w:rPr>
        <w:t>ПРОДУКЦІЇ</w:t>
      </w:r>
      <w:r w:rsidRPr="000977F7">
        <w:rPr>
          <w:color w:val="auto"/>
          <w:spacing w:val="17"/>
          <w:sz w:val="20"/>
          <w:szCs w:val="20"/>
        </w:rPr>
        <w:t xml:space="preserve"> </w:t>
      </w:r>
      <w:r w:rsidRPr="000977F7">
        <w:rPr>
          <w:color w:val="auto"/>
          <w:sz w:val="20"/>
          <w:szCs w:val="20"/>
        </w:rPr>
        <w:t>–</w:t>
      </w:r>
    </w:p>
    <w:p w14:paraId="2C1A901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INTERCHANGEABILITY</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1215EEF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Властивість однієї продукції бути заміненою на іншу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виконання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таких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самих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вимог</w:t>
      </w:r>
    </w:p>
    <w:p w14:paraId="6E7D26D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3278</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5247C6E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ВЗАЄМОПОГОДЖЕНІ</w:t>
      </w:r>
      <w:r w:rsidRPr="000977F7">
        <w:rPr>
          <w:color w:val="auto"/>
          <w:spacing w:val="-6"/>
          <w:sz w:val="20"/>
          <w:szCs w:val="20"/>
        </w:rPr>
        <w:t xml:space="preserve"> </w:t>
      </w:r>
      <w:r w:rsidRPr="000977F7">
        <w:rPr>
          <w:color w:val="auto"/>
          <w:sz w:val="20"/>
          <w:szCs w:val="20"/>
        </w:rPr>
        <w:t>СТАНДАРТИ-</w:t>
      </w:r>
    </w:p>
    <w:p w14:paraId="26A703D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INTERCONNECTED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STANDARDS-</w:t>
      </w:r>
    </w:p>
    <w:p w14:paraId="704BC44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Два або декілька стандартів, які встановлюють сукупність</w:t>
      </w:r>
      <w:r w:rsidRPr="000977F7">
        <w:rPr>
          <w:rFonts w:asciiTheme="majorHAnsi" w:hAnsiTheme="majorHAnsi"/>
          <w:spacing w:val="-2"/>
          <w:sz w:val="20"/>
          <w:szCs w:val="20"/>
        </w:rPr>
        <w:t xml:space="preserve"> </w:t>
      </w:r>
      <w:r w:rsidRPr="000977F7">
        <w:rPr>
          <w:rFonts w:asciiTheme="majorHAnsi" w:hAnsiTheme="majorHAnsi"/>
          <w:sz w:val="20"/>
          <w:szCs w:val="20"/>
        </w:rPr>
        <w:t>взаємозв’язаних</w:t>
      </w:r>
      <w:r w:rsidRPr="000977F7">
        <w:rPr>
          <w:rFonts w:asciiTheme="majorHAnsi" w:hAnsiTheme="majorHAnsi"/>
          <w:spacing w:val="-1"/>
          <w:sz w:val="20"/>
          <w:szCs w:val="20"/>
        </w:rPr>
        <w:t xml:space="preserve"> </w:t>
      </w:r>
      <w:r w:rsidRPr="000977F7">
        <w:rPr>
          <w:rFonts w:asciiTheme="majorHAnsi" w:hAnsiTheme="majorHAnsi"/>
          <w:sz w:val="20"/>
          <w:szCs w:val="20"/>
        </w:rPr>
        <w:t>вимог</w:t>
      </w:r>
    </w:p>
    <w:p w14:paraId="25B5717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ВИБІР</w:t>
      </w:r>
      <w:r w:rsidRPr="000977F7">
        <w:rPr>
          <w:color w:val="auto"/>
          <w:spacing w:val="-7"/>
          <w:sz w:val="20"/>
          <w:szCs w:val="20"/>
        </w:rPr>
        <w:t xml:space="preserve"> </w:t>
      </w:r>
      <w:r w:rsidRPr="000977F7">
        <w:rPr>
          <w:color w:val="auto"/>
          <w:sz w:val="20"/>
          <w:szCs w:val="20"/>
        </w:rPr>
        <w:t>МАРКЕТИНГОВИХ</w:t>
      </w:r>
      <w:r w:rsidRPr="000977F7">
        <w:rPr>
          <w:color w:val="auto"/>
          <w:spacing w:val="-4"/>
          <w:sz w:val="20"/>
          <w:szCs w:val="20"/>
        </w:rPr>
        <w:t xml:space="preserve"> </w:t>
      </w:r>
      <w:r w:rsidRPr="000977F7">
        <w:rPr>
          <w:color w:val="auto"/>
          <w:sz w:val="20"/>
          <w:szCs w:val="20"/>
        </w:rPr>
        <w:t>ЗАСОБІВ</w:t>
      </w:r>
      <w:r w:rsidRPr="000977F7">
        <w:rPr>
          <w:color w:val="auto"/>
          <w:spacing w:val="-1"/>
          <w:sz w:val="20"/>
          <w:szCs w:val="20"/>
        </w:rPr>
        <w:t xml:space="preserve"> </w:t>
      </w:r>
      <w:r w:rsidRPr="000977F7">
        <w:rPr>
          <w:color w:val="auto"/>
          <w:sz w:val="20"/>
          <w:szCs w:val="20"/>
        </w:rPr>
        <w:t>–</w:t>
      </w:r>
    </w:p>
    <w:p w14:paraId="3CCFD44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Вибір чинників, які впливають на поведінку споживачів</w:t>
      </w:r>
      <w:r w:rsidRPr="000977F7">
        <w:rPr>
          <w:rFonts w:asciiTheme="majorHAnsi" w:hAnsiTheme="majorHAnsi"/>
          <w:spacing w:val="-2"/>
          <w:sz w:val="20"/>
          <w:szCs w:val="20"/>
        </w:rPr>
        <w:t xml:space="preserve"> </w:t>
      </w:r>
      <w:r w:rsidRPr="000977F7">
        <w:rPr>
          <w:rFonts w:asciiTheme="majorHAnsi" w:hAnsiTheme="majorHAnsi"/>
          <w:sz w:val="20"/>
          <w:szCs w:val="20"/>
        </w:rPr>
        <w:t>конкретного</w:t>
      </w:r>
      <w:r w:rsidRPr="000977F7">
        <w:rPr>
          <w:rFonts w:asciiTheme="majorHAnsi" w:hAnsiTheme="majorHAnsi"/>
          <w:spacing w:val="1"/>
          <w:sz w:val="20"/>
          <w:szCs w:val="20"/>
        </w:rPr>
        <w:t xml:space="preserve"> </w:t>
      </w:r>
      <w:r w:rsidRPr="000977F7">
        <w:rPr>
          <w:rFonts w:asciiTheme="majorHAnsi" w:hAnsiTheme="majorHAnsi"/>
          <w:sz w:val="20"/>
          <w:szCs w:val="20"/>
        </w:rPr>
        <w:t>сегмента ринку</w:t>
      </w:r>
    </w:p>
    <w:p w14:paraId="0C106C8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D20801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ВИБІР</w:t>
      </w:r>
      <w:r w:rsidRPr="000977F7">
        <w:rPr>
          <w:color w:val="auto"/>
          <w:spacing w:val="-5"/>
          <w:sz w:val="20"/>
          <w:szCs w:val="20"/>
        </w:rPr>
        <w:t xml:space="preserve"> </w:t>
      </w:r>
      <w:r w:rsidRPr="000977F7">
        <w:rPr>
          <w:color w:val="auto"/>
          <w:sz w:val="20"/>
          <w:szCs w:val="20"/>
        </w:rPr>
        <w:t>ЦІЛЬОВИХ</w:t>
      </w:r>
      <w:r w:rsidRPr="000977F7">
        <w:rPr>
          <w:color w:val="auto"/>
          <w:spacing w:val="-4"/>
          <w:sz w:val="20"/>
          <w:szCs w:val="20"/>
        </w:rPr>
        <w:t xml:space="preserve"> </w:t>
      </w:r>
      <w:r w:rsidRPr="000977F7">
        <w:rPr>
          <w:color w:val="auto"/>
          <w:sz w:val="20"/>
          <w:szCs w:val="20"/>
        </w:rPr>
        <w:t>СЕГМЕНТІВ</w:t>
      </w:r>
      <w:r w:rsidRPr="000977F7">
        <w:rPr>
          <w:color w:val="auto"/>
          <w:spacing w:val="-3"/>
          <w:sz w:val="20"/>
          <w:szCs w:val="20"/>
        </w:rPr>
        <w:t xml:space="preserve"> </w:t>
      </w:r>
      <w:r w:rsidRPr="000977F7">
        <w:rPr>
          <w:color w:val="auto"/>
          <w:sz w:val="20"/>
          <w:szCs w:val="20"/>
        </w:rPr>
        <w:t>РИНКУ</w:t>
      </w:r>
      <w:r w:rsidRPr="000977F7">
        <w:rPr>
          <w:color w:val="auto"/>
          <w:spacing w:val="-2"/>
          <w:sz w:val="20"/>
          <w:szCs w:val="20"/>
        </w:rPr>
        <w:t xml:space="preserve"> </w:t>
      </w:r>
      <w:r w:rsidRPr="000977F7">
        <w:rPr>
          <w:color w:val="auto"/>
          <w:sz w:val="20"/>
          <w:szCs w:val="20"/>
        </w:rPr>
        <w:t>–</w:t>
      </w:r>
    </w:p>
    <w:p w14:paraId="12DEAE4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Оцінювання і виділення із сукупності, яка розглядається, одного чи кількох сегментів ринку для виходу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із своєю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продукцією</w:t>
      </w:r>
    </w:p>
    <w:p w14:paraId="03D17F71"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 3294 – 95</w:t>
      </w:r>
    </w:p>
    <w:p w14:paraId="1712BFC3"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4D2D14">
        <w:rPr>
          <w:rFonts w:asciiTheme="majorHAnsi" w:hAnsiTheme="majorHAnsi"/>
          <w:i/>
          <w:spacing w:val="-47"/>
          <w:sz w:val="20"/>
          <w:szCs w:val="20"/>
          <w:lang w:val="uk-UA"/>
        </w:rPr>
        <w:t xml:space="preserve"> </w:t>
      </w:r>
      <w:r w:rsidRPr="004D2D14">
        <w:rPr>
          <w:rFonts w:asciiTheme="majorHAnsi" w:hAnsiTheme="majorHAnsi"/>
          <w:b/>
          <w:sz w:val="20"/>
          <w:szCs w:val="20"/>
          <w:lang w:val="uk-UA"/>
        </w:rPr>
        <w:t xml:space="preserve">ВИБІРКА </w:t>
      </w:r>
      <w:r w:rsidRPr="004D2D14">
        <w:rPr>
          <w:rFonts w:asciiTheme="majorHAnsi" w:hAnsiTheme="majorHAnsi"/>
          <w:sz w:val="20"/>
          <w:szCs w:val="20"/>
          <w:lang w:val="uk-UA"/>
        </w:rPr>
        <w:t>–</w:t>
      </w:r>
      <w:r w:rsidRPr="004D2D14">
        <w:rPr>
          <w:rFonts w:asciiTheme="majorHAnsi" w:hAnsiTheme="majorHAnsi"/>
          <w:spacing w:val="1"/>
          <w:sz w:val="20"/>
          <w:szCs w:val="20"/>
          <w:lang w:val="uk-UA"/>
        </w:rPr>
        <w:t xml:space="preserve"> </w:t>
      </w:r>
      <w:r w:rsidRPr="000977F7">
        <w:rPr>
          <w:rFonts w:asciiTheme="majorHAnsi" w:hAnsiTheme="majorHAnsi"/>
          <w:sz w:val="20"/>
          <w:szCs w:val="20"/>
        </w:rPr>
        <w:t>SAMPLE</w:t>
      </w:r>
      <w:r w:rsidRPr="004D2D14">
        <w:rPr>
          <w:rFonts w:asciiTheme="majorHAnsi" w:hAnsiTheme="majorHAnsi"/>
          <w:sz w:val="20"/>
          <w:szCs w:val="20"/>
          <w:lang w:val="uk-UA"/>
        </w:rPr>
        <w:t xml:space="preserve"> –</w:t>
      </w:r>
    </w:p>
    <w:p w14:paraId="455347A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Одиниці продукції (спостережувані значення), відібрані з контрольованої партії чи потоку продукції для контролю і прийняття рішення про відповідність встановленим вимогам</w:t>
      </w:r>
    </w:p>
    <w:p w14:paraId="26F1754A" w14:textId="77777777" w:rsidR="0097612F" w:rsidRPr="004D2D14" w:rsidRDefault="0097612F" w:rsidP="000977F7">
      <w:pPr>
        <w:pStyle w:val="af6"/>
        <w:tabs>
          <w:tab w:val="left" w:pos="284"/>
        </w:tabs>
        <w:spacing w:after="0"/>
        <w:ind w:left="170"/>
        <w:mirrorIndents/>
        <w:jc w:val="both"/>
        <w:rPr>
          <w:rFonts w:asciiTheme="majorHAnsi" w:hAnsiTheme="majorHAnsi"/>
          <w:i/>
          <w:iCs/>
          <w:spacing w:val="1"/>
          <w:sz w:val="20"/>
          <w:szCs w:val="20"/>
          <w:lang w:val="en-US"/>
        </w:rPr>
      </w:pPr>
      <w:r w:rsidRPr="000977F7">
        <w:rPr>
          <w:rFonts w:asciiTheme="majorHAnsi" w:hAnsiTheme="majorHAnsi"/>
          <w:i/>
          <w:iCs/>
          <w:sz w:val="20"/>
          <w:szCs w:val="20"/>
        </w:rPr>
        <w:t>ДСТУ</w:t>
      </w:r>
      <w:r w:rsidRPr="004D2D14">
        <w:rPr>
          <w:rFonts w:asciiTheme="majorHAnsi" w:hAnsiTheme="majorHAnsi"/>
          <w:i/>
          <w:iCs/>
          <w:sz w:val="20"/>
          <w:szCs w:val="20"/>
          <w:lang w:val="en-US"/>
        </w:rPr>
        <w:t xml:space="preserve"> 3514 – 97</w:t>
      </w:r>
      <w:r w:rsidRPr="004D2D14">
        <w:rPr>
          <w:rFonts w:asciiTheme="majorHAnsi" w:hAnsiTheme="majorHAnsi"/>
          <w:i/>
          <w:iCs/>
          <w:spacing w:val="1"/>
          <w:sz w:val="20"/>
          <w:szCs w:val="20"/>
          <w:lang w:val="en-US"/>
        </w:rPr>
        <w:t xml:space="preserve"> </w:t>
      </w:r>
    </w:p>
    <w:p w14:paraId="182D6FA0" w14:textId="77777777" w:rsidR="0097612F" w:rsidRPr="004D2D14" w:rsidRDefault="0097612F" w:rsidP="000977F7">
      <w:pPr>
        <w:pStyle w:val="af6"/>
        <w:tabs>
          <w:tab w:val="left" w:pos="284"/>
        </w:tabs>
        <w:spacing w:after="0"/>
        <w:ind w:left="170"/>
        <w:mirrorIndents/>
        <w:jc w:val="both"/>
        <w:rPr>
          <w:rFonts w:asciiTheme="majorHAnsi" w:hAnsiTheme="majorHAnsi"/>
          <w:b/>
          <w:spacing w:val="1"/>
          <w:sz w:val="20"/>
          <w:szCs w:val="20"/>
          <w:lang w:val="en-US"/>
        </w:rPr>
      </w:pPr>
      <w:r w:rsidRPr="000977F7">
        <w:rPr>
          <w:rFonts w:asciiTheme="majorHAnsi" w:hAnsiTheme="majorHAnsi"/>
          <w:b/>
          <w:sz w:val="20"/>
          <w:szCs w:val="20"/>
        </w:rPr>
        <w:t>ВИБІРКОВА</w:t>
      </w:r>
      <w:r w:rsidRPr="004D2D14">
        <w:rPr>
          <w:rFonts w:asciiTheme="majorHAnsi" w:hAnsiTheme="majorHAnsi"/>
          <w:b/>
          <w:sz w:val="20"/>
          <w:szCs w:val="20"/>
          <w:lang w:val="en-US"/>
        </w:rPr>
        <w:t xml:space="preserve"> </w:t>
      </w:r>
      <w:r w:rsidRPr="000977F7">
        <w:rPr>
          <w:rFonts w:asciiTheme="majorHAnsi" w:hAnsiTheme="majorHAnsi"/>
          <w:b/>
          <w:sz w:val="20"/>
          <w:szCs w:val="20"/>
        </w:rPr>
        <w:t>КОРОЗІЯ</w:t>
      </w:r>
      <w:r w:rsidRPr="004D2D14">
        <w:rPr>
          <w:rFonts w:asciiTheme="majorHAnsi" w:hAnsiTheme="majorHAnsi"/>
          <w:b/>
          <w:sz w:val="20"/>
          <w:szCs w:val="20"/>
          <w:lang w:val="en-US"/>
        </w:rPr>
        <w:t xml:space="preserve"> –</w:t>
      </w:r>
      <w:r w:rsidRPr="004D2D14">
        <w:rPr>
          <w:rFonts w:asciiTheme="majorHAnsi" w:hAnsiTheme="majorHAnsi"/>
          <w:b/>
          <w:spacing w:val="1"/>
          <w:sz w:val="20"/>
          <w:szCs w:val="20"/>
          <w:lang w:val="en-US"/>
        </w:rPr>
        <w:t xml:space="preserve"> </w:t>
      </w:r>
    </w:p>
    <w:p w14:paraId="22201B8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SELECTIVE</w:t>
      </w:r>
      <w:r w:rsidRPr="004D2D14">
        <w:rPr>
          <w:rFonts w:asciiTheme="majorHAnsi" w:hAnsiTheme="majorHAnsi"/>
          <w:spacing w:val="-9"/>
          <w:sz w:val="20"/>
          <w:szCs w:val="20"/>
          <w:lang w:val="en-US"/>
        </w:rPr>
        <w:t xml:space="preserve"> </w:t>
      </w:r>
      <w:r w:rsidRPr="004D2D14">
        <w:rPr>
          <w:rFonts w:asciiTheme="majorHAnsi" w:hAnsiTheme="majorHAnsi"/>
          <w:sz w:val="20"/>
          <w:szCs w:val="20"/>
          <w:lang w:val="en-US"/>
        </w:rPr>
        <w:t>CORROSION</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w:t>
      </w:r>
    </w:p>
    <w:p w14:paraId="44CBD73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Корозія сплаву, що руйнує один із структурних </w:t>
      </w:r>
    </w:p>
    <w:p w14:paraId="5B0B368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складників</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один</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компонентів</w:t>
      </w:r>
    </w:p>
    <w:p w14:paraId="5838076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7880C7E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ВИБІРКОВА ПОВІРКА ЗАСОБІВ </w:t>
      </w:r>
    </w:p>
    <w:p w14:paraId="7F816E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ВИМІРЮВАЛЬНОЇ</w:t>
      </w:r>
      <w:r w:rsidRPr="000977F7">
        <w:rPr>
          <w:color w:val="auto"/>
          <w:spacing w:val="-2"/>
          <w:sz w:val="20"/>
          <w:szCs w:val="20"/>
        </w:rPr>
        <w:t xml:space="preserve"> </w:t>
      </w:r>
      <w:r w:rsidRPr="000977F7">
        <w:rPr>
          <w:color w:val="auto"/>
          <w:sz w:val="20"/>
          <w:szCs w:val="20"/>
        </w:rPr>
        <w:t>ТЕХНІКИ</w:t>
      </w:r>
      <w:r w:rsidRPr="000977F7">
        <w:rPr>
          <w:color w:val="auto"/>
          <w:spacing w:val="1"/>
          <w:sz w:val="20"/>
          <w:szCs w:val="20"/>
        </w:rPr>
        <w:t xml:space="preserve"> </w:t>
      </w:r>
      <w:r w:rsidRPr="000977F7">
        <w:rPr>
          <w:color w:val="auto"/>
          <w:sz w:val="20"/>
          <w:szCs w:val="20"/>
        </w:rPr>
        <w:t>–</w:t>
      </w:r>
    </w:p>
    <w:p w14:paraId="238BAED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VERIFICATION</w:t>
      </w:r>
      <w:r w:rsidRPr="004D2D14">
        <w:rPr>
          <w:rFonts w:asciiTheme="majorHAnsi" w:hAnsiTheme="majorHAnsi"/>
          <w:spacing w:val="-3"/>
          <w:sz w:val="20"/>
          <w:szCs w:val="20"/>
          <w:lang w:val="uk-UA"/>
        </w:rPr>
        <w:t xml:space="preserve"> </w:t>
      </w:r>
      <w:r w:rsidRPr="000977F7">
        <w:rPr>
          <w:rFonts w:asciiTheme="majorHAnsi" w:hAnsiTheme="majorHAnsi"/>
          <w:sz w:val="20"/>
          <w:szCs w:val="20"/>
        </w:rPr>
        <w:t>BY</w:t>
      </w:r>
      <w:r w:rsidRPr="004D2D14">
        <w:rPr>
          <w:rFonts w:asciiTheme="majorHAnsi" w:hAnsiTheme="majorHAnsi"/>
          <w:spacing w:val="-2"/>
          <w:sz w:val="20"/>
          <w:szCs w:val="20"/>
          <w:lang w:val="uk-UA"/>
        </w:rPr>
        <w:t xml:space="preserve"> </w:t>
      </w:r>
      <w:r w:rsidRPr="000977F7">
        <w:rPr>
          <w:rFonts w:asciiTheme="majorHAnsi" w:hAnsiTheme="majorHAnsi"/>
          <w:sz w:val="20"/>
          <w:szCs w:val="20"/>
        </w:rPr>
        <w:t>SAMPLING</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40BE1F6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Повірка групи засобів вимірювальної техніки, що вибрані з партії встановленим чином, за результатами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визначається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придатність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всієї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партії</w:t>
      </w:r>
    </w:p>
    <w:p w14:paraId="58C6A07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2681 - 94</w:t>
      </w:r>
    </w:p>
    <w:p w14:paraId="570688A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ВИБІРКОВИЙ</w:t>
      </w:r>
      <w:r w:rsidRPr="000977F7">
        <w:rPr>
          <w:color w:val="auto"/>
          <w:spacing w:val="-4"/>
          <w:sz w:val="20"/>
          <w:szCs w:val="20"/>
        </w:rPr>
        <w:t xml:space="preserve"> </w:t>
      </w:r>
      <w:r w:rsidRPr="000977F7">
        <w:rPr>
          <w:color w:val="auto"/>
          <w:sz w:val="20"/>
          <w:szCs w:val="20"/>
        </w:rPr>
        <w:t>КОНТРОЛЬ</w:t>
      </w:r>
      <w:r w:rsidRPr="000977F7">
        <w:rPr>
          <w:color w:val="auto"/>
          <w:spacing w:val="-2"/>
          <w:sz w:val="20"/>
          <w:szCs w:val="20"/>
        </w:rPr>
        <w:t xml:space="preserve"> </w:t>
      </w:r>
      <w:r w:rsidRPr="000977F7">
        <w:rPr>
          <w:color w:val="auto"/>
          <w:sz w:val="20"/>
          <w:szCs w:val="20"/>
        </w:rPr>
        <w:t>–</w:t>
      </w:r>
    </w:p>
    <w:p w14:paraId="30B4B0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SAMPLING</w:t>
      </w:r>
      <w:r w:rsidRPr="000977F7">
        <w:rPr>
          <w:rFonts w:asciiTheme="majorHAnsi" w:hAnsiTheme="majorHAnsi"/>
          <w:spacing w:val="-3"/>
          <w:sz w:val="20"/>
          <w:szCs w:val="20"/>
        </w:rPr>
        <w:t xml:space="preserve"> </w:t>
      </w:r>
      <w:r w:rsidRPr="000977F7">
        <w:rPr>
          <w:rFonts w:asciiTheme="majorHAnsi" w:hAnsiTheme="majorHAnsi"/>
          <w:sz w:val="20"/>
          <w:szCs w:val="20"/>
        </w:rPr>
        <w:t>INSPECTION –</w:t>
      </w:r>
    </w:p>
    <w:p w14:paraId="1EEE9AC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 за якого рішення про контрольовану сукупність чи процес приймають за результатами перевірки</w:t>
      </w:r>
      <w:r w:rsidRPr="000977F7">
        <w:rPr>
          <w:rFonts w:asciiTheme="majorHAnsi" w:hAnsiTheme="majorHAnsi"/>
          <w:spacing w:val="-2"/>
          <w:sz w:val="20"/>
          <w:szCs w:val="20"/>
        </w:rPr>
        <w:t xml:space="preserve"> </w:t>
      </w:r>
      <w:r w:rsidRPr="000977F7">
        <w:rPr>
          <w:rFonts w:asciiTheme="majorHAnsi" w:hAnsiTheme="majorHAnsi"/>
          <w:sz w:val="20"/>
          <w:szCs w:val="20"/>
        </w:rPr>
        <w:t>однієї</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декількох</w:t>
      </w:r>
      <w:r w:rsidRPr="000977F7">
        <w:rPr>
          <w:rFonts w:asciiTheme="majorHAnsi" w:hAnsiTheme="majorHAnsi"/>
          <w:spacing w:val="1"/>
          <w:sz w:val="20"/>
          <w:szCs w:val="20"/>
        </w:rPr>
        <w:t xml:space="preserve"> </w:t>
      </w:r>
      <w:r w:rsidRPr="000977F7">
        <w:rPr>
          <w:rFonts w:asciiTheme="majorHAnsi" w:hAnsiTheme="majorHAnsi"/>
          <w:sz w:val="20"/>
          <w:szCs w:val="20"/>
        </w:rPr>
        <w:t>вибірок</w:t>
      </w:r>
    </w:p>
    <w:p w14:paraId="42B4D85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 97;</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3"/>
          <w:sz w:val="20"/>
          <w:szCs w:val="20"/>
        </w:rPr>
        <w:t xml:space="preserve"> </w:t>
      </w:r>
      <w:r w:rsidRPr="000977F7">
        <w:rPr>
          <w:rFonts w:asciiTheme="majorHAnsi" w:hAnsiTheme="majorHAnsi"/>
          <w:i/>
          <w:sz w:val="20"/>
          <w:szCs w:val="20"/>
        </w:rPr>
        <w:t>– 95</w:t>
      </w:r>
    </w:p>
    <w:p w14:paraId="2EDCCB8A" w14:textId="77777777" w:rsidR="0097612F" w:rsidRPr="000977F7" w:rsidRDefault="0097612F" w:rsidP="000977F7">
      <w:pPr>
        <w:pStyle w:val="7"/>
        <w:tabs>
          <w:tab w:val="left" w:pos="284"/>
        </w:tabs>
        <w:spacing w:before="0" w:line="240" w:lineRule="auto"/>
        <w:ind w:left="170"/>
        <w:mirrorIndents/>
        <w:jc w:val="both"/>
        <w:rPr>
          <w:color w:val="auto"/>
          <w:spacing w:val="9"/>
          <w:sz w:val="20"/>
          <w:szCs w:val="20"/>
        </w:rPr>
      </w:pPr>
      <w:r w:rsidRPr="000977F7">
        <w:rPr>
          <w:color w:val="auto"/>
          <w:sz w:val="20"/>
          <w:szCs w:val="20"/>
        </w:rPr>
        <w:t>ВИБІРКОВИЙ</w:t>
      </w:r>
      <w:r w:rsidRPr="000977F7">
        <w:rPr>
          <w:color w:val="auto"/>
          <w:spacing w:val="6"/>
          <w:sz w:val="20"/>
          <w:szCs w:val="20"/>
        </w:rPr>
        <w:t xml:space="preserve"> </w:t>
      </w:r>
      <w:r w:rsidRPr="000977F7">
        <w:rPr>
          <w:color w:val="auto"/>
          <w:sz w:val="20"/>
          <w:szCs w:val="20"/>
        </w:rPr>
        <w:t>КОНТРОЛЬ</w:t>
      </w:r>
      <w:r w:rsidRPr="000977F7">
        <w:rPr>
          <w:color w:val="auto"/>
          <w:spacing w:val="6"/>
          <w:sz w:val="20"/>
          <w:szCs w:val="20"/>
        </w:rPr>
        <w:t xml:space="preserve"> </w:t>
      </w:r>
      <w:r w:rsidRPr="000977F7">
        <w:rPr>
          <w:color w:val="auto"/>
          <w:sz w:val="20"/>
          <w:szCs w:val="20"/>
        </w:rPr>
        <w:t>З</w:t>
      </w:r>
      <w:r w:rsidRPr="000977F7">
        <w:rPr>
          <w:color w:val="auto"/>
          <w:spacing w:val="9"/>
          <w:sz w:val="20"/>
          <w:szCs w:val="20"/>
        </w:rPr>
        <w:t xml:space="preserve"> </w:t>
      </w:r>
    </w:p>
    <w:p w14:paraId="6779349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РОЗБРАКУВАН</w:t>
      </w:r>
      <w:r w:rsidRPr="000977F7">
        <w:rPr>
          <w:color w:val="auto"/>
          <w:spacing w:val="-47"/>
          <w:sz w:val="20"/>
          <w:szCs w:val="20"/>
        </w:rPr>
        <w:t xml:space="preserve"> </w:t>
      </w:r>
      <w:r w:rsidRPr="000977F7">
        <w:rPr>
          <w:color w:val="auto"/>
          <w:sz w:val="20"/>
          <w:szCs w:val="20"/>
        </w:rPr>
        <w:t>НЯМ</w:t>
      </w:r>
      <w:r w:rsidRPr="000977F7">
        <w:rPr>
          <w:color w:val="auto"/>
          <w:spacing w:val="1"/>
          <w:sz w:val="20"/>
          <w:szCs w:val="20"/>
        </w:rPr>
        <w:t xml:space="preserve"> </w:t>
      </w:r>
      <w:r w:rsidRPr="000977F7">
        <w:rPr>
          <w:color w:val="auto"/>
          <w:sz w:val="20"/>
          <w:szCs w:val="20"/>
        </w:rPr>
        <w:t>–</w:t>
      </w:r>
    </w:p>
    <w:p w14:paraId="2FE44FD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RECTIFYING</w:t>
      </w:r>
      <w:r w:rsidRPr="004D2D14">
        <w:rPr>
          <w:rFonts w:asciiTheme="majorHAnsi" w:hAnsiTheme="majorHAnsi"/>
          <w:spacing w:val="-3"/>
          <w:sz w:val="20"/>
          <w:szCs w:val="20"/>
          <w:lang w:val="uk-UA"/>
        </w:rPr>
        <w:t xml:space="preserve"> </w:t>
      </w:r>
      <w:r w:rsidRPr="000977F7">
        <w:rPr>
          <w:rFonts w:asciiTheme="majorHAnsi" w:hAnsiTheme="majorHAnsi"/>
          <w:sz w:val="20"/>
          <w:szCs w:val="20"/>
        </w:rPr>
        <w:t>SAMPLING</w:t>
      </w:r>
      <w:r w:rsidRPr="004D2D14">
        <w:rPr>
          <w:rFonts w:asciiTheme="majorHAnsi" w:hAnsiTheme="majorHAnsi"/>
          <w:spacing w:val="-2"/>
          <w:sz w:val="20"/>
          <w:szCs w:val="20"/>
          <w:lang w:val="uk-UA"/>
        </w:rPr>
        <w:t xml:space="preserve"> </w:t>
      </w:r>
      <w:r w:rsidRPr="000977F7">
        <w:rPr>
          <w:rFonts w:asciiTheme="majorHAnsi" w:hAnsiTheme="majorHAnsi"/>
          <w:sz w:val="20"/>
          <w:szCs w:val="20"/>
        </w:rPr>
        <w:t>INSTECT</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64D6C42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Статистичний приймальний контроль, за результатами якого партію, що не прийнята, або потік продукції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піддають суцільному контролю для подальшого відокремлення дефектних одиниць продукції від придатної</w:t>
      </w:r>
    </w:p>
    <w:p w14:paraId="1E3064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1975194"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z w:val="20"/>
          <w:szCs w:val="20"/>
        </w:rPr>
        <w:t>Якщо</w:t>
      </w:r>
      <w:r w:rsidRPr="000977F7">
        <w:rPr>
          <w:rFonts w:asciiTheme="majorHAnsi" w:hAnsiTheme="majorHAnsi"/>
          <w:spacing w:val="32"/>
          <w:sz w:val="20"/>
          <w:szCs w:val="20"/>
        </w:rPr>
        <w:t xml:space="preserve"> </w:t>
      </w:r>
      <w:r w:rsidRPr="000977F7">
        <w:rPr>
          <w:rFonts w:asciiTheme="majorHAnsi" w:hAnsiTheme="majorHAnsi"/>
          <w:sz w:val="20"/>
          <w:szCs w:val="20"/>
        </w:rPr>
        <w:t>в</w:t>
      </w:r>
      <w:r w:rsidRPr="000977F7">
        <w:rPr>
          <w:rFonts w:asciiTheme="majorHAnsi" w:hAnsiTheme="majorHAnsi"/>
          <w:spacing w:val="30"/>
          <w:sz w:val="20"/>
          <w:szCs w:val="20"/>
        </w:rPr>
        <w:t xml:space="preserve"> </w:t>
      </w:r>
      <w:r w:rsidRPr="000977F7">
        <w:rPr>
          <w:rFonts w:asciiTheme="majorHAnsi" w:hAnsiTheme="majorHAnsi"/>
          <w:sz w:val="20"/>
          <w:szCs w:val="20"/>
        </w:rPr>
        <w:t>забракованих</w:t>
      </w:r>
      <w:r w:rsidRPr="000977F7">
        <w:rPr>
          <w:rFonts w:asciiTheme="majorHAnsi" w:hAnsiTheme="majorHAnsi"/>
          <w:spacing w:val="32"/>
          <w:sz w:val="20"/>
          <w:szCs w:val="20"/>
        </w:rPr>
        <w:t xml:space="preserve"> </w:t>
      </w:r>
      <w:r w:rsidRPr="000977F7">
        <w:rPr>
          <w:rFonts w:asciiTheme="majorHAnsi" w:hAnsiTheme="majorHAnsi"/>
          <w:sz w:val="20"/>
          <w:szCs w:val="20"/>
        </w:rPr>
        <w:t>партіях</w:t>
      </w:r>
      <w:r w:rsidRPr="000977F7">
        <w:rPr>
          <w:rFonts w:asciiTheme="majorHAnsi" w:hAnsiTheme="majorHAnsi"/>
          <w:spacing w:val="30"/>
          <w:sz w:val="20"/>
          <w:szCs w:val="20"/>
        </w:rPr>
        <w:t xml:space="preserve"> </w:t>
      </w:r>
      <w:r w:rsidRPr="000977F7">
        <w:rPr>
          <w:rFonts w:asciiTheme="majorHAnsi" w:hAnsiTheme="majorHAnsi"/>
          <w:sz w:val="20"/>
          <w:szCs w:val="20"/>
        </w:rPr>
        <w:t>дефектні</w:t>
      </w:r>
      <w:r w:rsidRPr="000977F7">
        <w:rPr>
          <w:rFonts w:asciiTheme="majorHAnsi" w:hAnsiTheme="majorHAnsi"/>
          <w:spacing w:val="30"/>
          <w:sz w:val="20"/>
          <w:szCs w:val="20"/>
        </w:rPr>
        <w:t xml:space="preserve"> </w:t>
      </w:r>
      <w:r w:rsidRPr="000977F7">
        <w:rPr>
          <w:rFonts w:asciiTheme="majorHAnsi" w:hAnsiTheme="majorHAnsi"/>
          <w:sz w:val="20"/>
          <w:szCs w:val="20"/>
        </w:rPr>
        <w:t>одиниці</w:t>
      </w:r>
      <w:r w:rsidRPr="000977F7">
        <w:rPr>
          <w:rFonts w:asciiTheme="majorHAnsi" w:hAnsiTheme="majorHAnsi"/>
          <w:spacing w:val="33"/>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замінюють</w:t>
      </w:r>
      <w:r w:rsidRPr="000977F7">
        <w:rPr>
          <w:rFonts w:asciiTheme="majorHAnsi" w:hAnsiTheme="majorHAnsi"/>
          <w:spacing w:val="1"/>
          <w:sz w:val="20"/>
          <w:szCs w:val="20"/>
        </w:rPr>
        <w:t xml:space="preserve"> </w:t>
      </w:r>
      <w:r w:rsidRPr="000977F7">
        <w:rPr>
          <w:rFonts w:asciiTheme="majorHAnsi" w:hAnsiTheme="majorHAnsi"/>
          <w:sz w:val="20"/>
          <w:szCs w:val="20"/>
        </w:rPr>
        <w:t>придатними,</w:t>
      </w:r>
      <w:r w:rsidRPr="000977F7">
        <w:rPr>
          <w:rFonts w:asciiTheme="majorHAnsi" w:hAnsiTheme="majorHAnsi"/>
          <w:spacing w:val="1"/>
          <w:sz w:val="20"/>
          <w:szCs w:val="20"/>
        </w:rPr>
        <w:t xml:space="preserve"> </w:t>
      </w:r>
      <w:r w:rsidRPr="000977F7">
        <w:rPr>
          <w:rFonts w:asciiTheme="majorHAnsi" w:hAnsiTheme="majorHAnsi"/>
          <w:sz w:val="20"/>
          <w:szCs w:val="20"/>
        </w:rPr>
        <w:t>то</w:t>
      </w:r>
      <w:r w:rsidRPr="000977F7">
        <w:rPr>
          <w:rFonts w:asciiTheme="majorHAnsi" w:hAnsiTheme="majorHAnsi"/>
          <w:spacing w:val="1"/>
          <w:sz w:val="20"/>
          <w:szCs w:val="20"/>
        </w:rPr>
        <w:t xml:space="preserve"> </w:t>
      </w:r>
      <w:r w:rsidRPr="000977F7">
        <w:rPr>
          <w:rFonts w:asciiTheme="majorHAnsi" w:hAnsiTheme="majorHAnsi"/>
          <w:sz w:val="20"/>
          <w:szCs w:val="20"/>
        </w:rPr>
        <w:t>можна</w:t>
      </w:r>
      <w:r w:rsidRPr="000977F7">
        <w:rPr>
          <w:rFonts w:asciiTheme="majorHAnsi" w:hAnsiTheme="majorHAnsi"/>
          <w:spacing w:val="1"/>
          <w:sz w:val="20"/>
          <w:szCs w:val="20"/>
        </w:rPr>
        <w:t xml:space="preserve"> </w:t>
      </w:r>
      <w:r w:rsidRPr="000977F7">
        <w:rPr>
          <w:rFonts w:asciiTheme="majorHAnsi" w:hAnsiTheme="majorHAnsi"/>
          <w:sz w:val="20"/>
          <w:szCs w:val="20"/>
        </w:rPr>
        <w:t>визначити</w:t>
      </w:r>
      <w:r w:rsidRPr="000977F7">
        <w:rPr>
          <w:rFonts w:asciiTheme="majorHAnsi" w:hAnsiTheme="majorHAnsi"/>
          <w:spacing w:val="-47"/>
          <w:sz w:val="20"/>
          <w:szCs w:val="20"/>
        </w:rPr>
        <w:t xml:space="preserve"> </w:t>
      </w:r>
      <w:r w:rsidRPr="000977F7">
        <w:rPr>
          <w:rFonts w:asciiTheme="majorHAnsi" w:hAnsiTheme="majorHAnsi"/>
          <w:sz w:val="20"/>
          <w:szCs w:val="20"/>
        </w:rPr>
        <w:t>середній вихідний рівень дефектності</w:t>
      </w:r>
      <w:r w:rsidRPr="000977F7">
        <w:rPr>
          <w:rFonts w:asciiTheme="majorHAnsi" w:hAnsiTheme="majorHAnsi"/>
          <w:spacing w:val="1"/>
          <w:sz w:val="20"/>
          <w:szCs w:val="20"/>
        </w:rPr>
        <w:t xml:space="preserve"> </w:t>
      </w:r>
      <w:r w:rsidRPr="000977F7">
        <w:rPr>
          <w:rFonts w:asciiTheme="majorHAnsi" w:hAnsiTheme="majorHAnsi"/>
          <w:b/>
          <w:sz w:val="20"/>
          <w:szCs w:val="20"/>
        </w:rPr>
        <w:t>ВИБУХОНЕБЕЗПЕЧНЕ</w:t>
      </w:r>
      <w:r w:rsidRPr="000977F7">
        <w:rPr>
          <w:rFonts w:asciiTheme="majorHAnsi" w:hAnsiTheme="majorHAnsi"/>
          <w:b/>
          <w:spacing w:val="-2"/>
          <w:sz w:val="20"/>
          <w:szCs w:val="20"/>
        </w:rPr>
        <w:t xml:space="preserve"> </w:t>
      </w:r>
      <w:r w:rsidRPr="000977F7">
        <w:rPr>
          <w:rFonts w:asciiTheme="majorHAnsi" w:hAnsiTheme="majorHAnsi"/>
          <w:b/>
          <w:sz w:val="20"/>
          <w:szCs w:val="20"/>
        </w:rPr>
        <w:t>ДЖЕРЕЛО</w:t>
      </w:r>
    </w:p>
    <w:p w14:paraId="65217D7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50D660B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ВИБУХОНЕБЕЗПЕЧНЕ ПРОМИСЛОВЕ </w:t>
      </w:r>
    </w:p>
    <w:p w14:paraId="4B4958A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ПІДП</w:t>
      </w:r>
      <w:r w:rsidRPr="000977F7">
        <w:rPr>
          <w:color w:val="auto"/>
          <w:spacing w:val="-47"/>
          <w:sz w:val="20"/>
          <w:szCs w:val="20"/>
        </w:rPr>
        <w:t xml:space="preserve"> </w:t>
      </w:r>
      <w:r w:rsidRPr="000977F7">
        <w:rPr>
          <w:color w:val="auto"/>
          <w:sz w:val="20"/>
          <w:szCs w:val="20"/>
        </w:rPr>
        <w:t>РИЄМСТВО</w:t>
      </w:r>
    </w:p>
    <w:p w14:paraId="57DB928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1D9223C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ВИГЛАДЖУВАННЯ-</w:t>
      </w:r>
    </w:p>
    <w:p w14:paraId="0A7393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Обробка</w:t>
      </w:r>
      <w:r w:rsidRPr="000977F7">
        <w:rPr>
          <w:rFonts w:asciiTheme="majorHAnsi" w:hAnsiTheme="majorHAnsi"/>
          <w:spacing w:val="1"/>
          <w:sz w:val="20"/>
          <w:szCs w:val="20"/>
        </w:rPr>
        <w:t xml:space="preserve"> </w:t>
      </w:r>
      <w:r w:rsidRPr="000977F7">
        <w:rPr>
          <w:rFonts w:asciiTheme="majorHAnsi" w:hAnsiTheme="majorHAnsi"/>
          <w:sz w:val="20"/>
          <w:szCs w:val="20"/>
        </w:rPr>
        <w:t>поверхневим</w:t>
      </w:r>
      <w:r w:rsidRPr="000977F7">
        <w:rPr>
          <w:rFonts w:asciiTheme="majorHAnsi" w:hAnsiTheme="majorHAnsi"/>
          <w:spacing w:val="1"/>
          <w:sz w:val="20"/>
          <w:szCs w:val="20"/>
        </w:rPr>
        <w:t xml:space="preserve"> </w:t>
      </w:r>
      <w:r w:rsidRPr="000977F7">
        <w:rPr>
          <w:rFonts w:asciiTheme="majorHAnsi" w:hAnsiTheme="majorHAnsi"/>
          <w:sz w:val="20"/>
          <w:szCs w:val="20"/>
        </w:rPr>
        <w:t>пластичним</w:t>
      </w:r>
      <w:r w:rsidRPr="000977F7">
        <w:rPr>
          <w:rFonts w:asciiTheme="majorHAnsi" w:hAnsiTheme="majorHAnsi"/>
          <w:spacing w:val="1"/>
          <w:sz w:val="20"/>
          <w:szCs w:val="20"/>
        </w:rPr>
        <w:t xml:space="preserve"> </w:t>
      </w:r>
      <w:r w:rsidRPr="000977F7">
        <w:rPr>
          <w:rFonts w:asciiTheme="majorHAnsi" w:hAnsiTheme="majorHAnsi"/>
          <w:sz w:val="20"/>
          <w:szCs w:val="20"/>
        </w:rPr>
        <w:t>деформуванням</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ковзанні</w:t>
      </w:r>
      <w:r w:rsidRPr="000977F7">
        <w:rPr>
          <w:rFonts w:asciiTheme="majorHAnsi" w:hAnsiTheme="majorHAnsi"/>
          <w:spacing w:val="1"/>
          <w:sz w:val="20"/>
          <w:szCs w:val="20"/>
        </w:rPr>
        <w:t xml:space="preserve"> </w:t>
      </w:r>
      <w:r w:rsidRPr="000977F7">
        <w:rPr>
          <w:rFonts w:asciiTheme="majorHAnsi" w:hAnsiTheme="majorHAnsi"/>
          <w:sz w:val="20"/>
          <w:szCs w:val="20"/>
        </w:rPr>
        <w:t>інструмента</w:t>
      </w:r>
      <w:r w:rsidRPr="000977F7">
        <w:rPr>
          <w:rFonts w:asciiTheme="majorHAnsi" w:hAnsiTheme="majorHAnsi"/>
          <w:spacing w:val="1"/>
          <w:sz w:val="20"/>
          <w:szCs w:val="20"/>
        </w:rPr>
        <w:t xml:space="preserve"> </w:t>
      </w:r>
      <w:r w:rsidRPr="000977F7">
        <w:rPr>
          <w:rFonts w:asciiTheme="majorHAnsi" w:hAnsiTheme="majorHAnsi"/>
          <w:sz w:val="20"/>
          <w:szCs w:val="20"/>
        </w:rPr>
        <w:t>по</w:t>
      </w:r>
      <w:r w:rsidRPr="000977F7">
        <w:rPr>
          <w:rFonts w:asciiTheme="majorHAnsi" w:hAnsiTheme="majorHAnsi"/>
          <w:spacing w:val="1"/>
          <w:sz w:val="20"/>
          <w:szCs w:val="20"/>
        </w:rPr>
        <w:t xml:space="preserve"> </w:t>
      </w:r>
      <w:r w:rsidRPr="000977F7">
        <w:rPr>
          <w:rFonts w:asciiTheme="majorHAnsi" w:hAnsiTheme="majorHAnsi"/>
          <w:sz w:val="20"/>
          <w:szCs w:val="20"/>
        </w:rPr>
        <w:t>локальним</w:t>
      </w:r>
      <w:r w:rsidRPr="000977F7">
        <w:rPr>
          <w:rFonts w:asciiTheme="majorHAnsi" w:hAnsiTheme="majorHAnsi"/>
          <w:spacing w:val="1"/>
          <w:sz w:val="20"/>
          <w:szCs w:val="20"/>
        </w:rPr>
        <w:t xml:space="preserve"> </w:t>
      </w:r>
      <w:r w:rsidRPr="000977F7">
        <w:rPr>
          <w:rFonts w:asciiTheme="majorHAnsi" w:hAnsiTheme="majorHAnsi"/>
          <w:sz w:val="20"/>
          <w:szCs w:val="20"/>
        </w:rPr>
        <w:t>поверхням</w:t>
      </w:r>
      <w:r w:rsidRPr="000977F7">
        <w:rPr>
          <w:rFonts w:asciiTheme="majorHAnsi" w:hAnsiTheme="majorHAnsi"/>
          <w:spacing w:val="1"/>
          <w:sz w:val="20"/>
          <w:szCs w:val="20"/>
        </w:rPr>
        <w:t xml:space="preserve"> </w:t>
      </w:r>
      <w:r w:rsidRPr="000977F7">
        <w:rPr>
          <w:rFonts w:asciiTheme="majorHAnsi" w:hAnsiTheme="majorHAnsi"/>
          <w:sz w:val="20"/>
          <w:szCs w:val="20"/>
        </w:rPr>
        <w:t>контактуючим з ним поверхонь деформованого матеріалу</w:t>
      </w:r>
    </w:p>
    <w:p w14:paraId="0EECED9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ВИГОТОВЛЮВАЧ</w:t>
      </w:r>
      <w:r w:rsidRPr="000977F7">
        <w:rPr>
          <w:color w:val="auto"/>
          <w:spacing w:val="-3"/>
          <w:sz w:val="20"/>
          <w:szCs w:val="20"/>
        </w:rPr>
        <w:t xml:space="preserve"> </w:t>
      </w:r>
      <w:r w:rsidRPr="000977F7">
        <w:rPr>
          <w:color w:val="auto"/>
          <w:sz w:val="20"/>
          <w:szCs w:val="20"/>
        </w:rPr>
        <w:t>–</w:t>
      </w:r>
    </w:p>
    <w:p w14:paraId="3264480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MANUFACTURER</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C2CCE0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Сторона,</w:t>
      </w:r>
      <w:r w:rsidRPr="000977F7">
        <w:rPr>
          <w:rFonts w:asciiTheme="majorHAnsi" w:hAnsiTheme="majorHAnsi"/>
          <w:spacing w:val="40"/>
          <w:sz w:val="20"/>
          <w:szCs w:val="20"/>
        </w:rPr>
        <w:t xml:space="preserve"> </w:t>
      </w:r>
      <w:r w:rsidRPr="000977F7">
        <w:rPr>
          <w:rFonts w:asciiTheme="majorHAnsi" w:hAnsiTheme="majorHAnsi"/>
          <w:sz w:val="20"/>
          <w:szCs w:val="20"/>
        </w:rPr>
        <w:t>відповідальна</w:t>
      </w:r>
      <w:r w:rsidRPr="000977F7">
        <w:rPr>
          <w:rFonts w:asciiTheme="majorHAnsi" w:hAnsiTheme="majorHAnsi"/>
          <w:spacing w:val="40"/>
          <w:sz w:val="20"/>
          <w:szCs w:val="20"/>
        </w:rPr>
        <w:t xml:space="preserve"> </w:t>
      </w:r>
      <w:r w:rsidRPr="000977F7">
        <w:rPr>
          <w:rFonts w:asciiTheme="majorHAnsi" w:hAnsiTheme="majorHAnsi"/>
          <w:sz w:val="20"/>
          <w:szCs w:val="20"/>
        </w:rPr>
        <w:t>за</w:t>
      </w:r>
      <w:r w:rsidRPr="000977F7">
        <w:rPr>
          <w:rFonts w:asciiTheme="majorHAnsi" w:hAnsiTheme="majorHAnsi"/>
          <w:spacing w:val="43"/>
          <w:sz w:val="20"/>
          <w:szCs w:val="20"/>
        </w:rPr>
        <w:t xml:space="preserve"> </w:t>
      </w:r>
      <w:r w:rsidRPr="000977F7">
        <w:rPr>
          <w:rFonts w:asciiTheme="majorHAnsi" w:hAnsiTheme="majorHAnsi"/>
          <w:sz w:val="20"/>
          <w:szCs w:val="20"/>
        </w:rPr>
        <w:t>виготовлення</w:t>
      </w:r>
      <w:r w:rsidRPr="000977F7">
        <w:rPr>
          <w:rFonts w:asciiTheme="majorHAnsi" w:hAnsiTheme="majorHAnsi"/>
          <w:spacing w:val="39"/>
          <w:sz w:val="20"/>
          <w:szCs w:val="20"/>
        </w:rPr>
        <w:t xml:space="preserve"> </w:t>
      </w:r>
      <w:r w:rsidRPr="000977F7">
        <w:rPr>
          <w:rFonts w:asciiTheme="majorHAnsi" w:hAnsiTheme="majorHAnsi"/>
          <w:sz w:val="20"/>
          <w:szCs w:val="20"/>
        </w:rPr>
        <w:t>і</w:t>
      </w:r>
      <w:r w:rsidRPr="000977F7">
        <w:rPr>
          <w:rFonts w:asciiTheme="majorHAnsi" w:hAnsiTheme="majorHAnsi"/>
          <w:spacing w:val="40"/>
          <w:sz w:val="20"/>
          <w:szCs w:val="20"/>
        </w:rPr>
        <w:t xml:space="preserve"> </w:t>
      </w:r>
      <w:r w:rsidRPr="000977F7">
        <w:rPr>
          <w:rFonts w:asciiTheme="majorHAnsi" w:hAnsiTheme="majorHAnsi"/>
          <w:sz w:val="20"/>
          <w:szCs w:val="20"/>
        </w:rPr>
        <w:t>здатна</w:t>
      </w:r>
      <w:r w:rsidRPr="000977F7">
        <w:rPr>
          <w:rFonts w:asciiTheme="majorHAnsi" w:hAnsiTheme="majorHAnsi"/>
          <w:spacing w:val="40"/>
          <w:sz w:val="20"/>
          <w:szCs w:val="20"/>
        </w:rPr>
        <w:t xml:space="preserve"> </w:t>
      </w:r>
      <w:r w:rsidRPr="000977F7">
        <w:rPr>
          <w:rFonts w:asciiTheme="majorHAnsi" w:hAnsiTheme="majorHAnsi"/>
          <w:sz w:val="20"/>
          <w:szCs w:val="20"/>
        </w:rPr>
        <w:t>забезпечити</w:t>
      </w:r>
      <w:r w:rsidRPr="000977F7">
        <w:rPr>
          <w:rFonts w:asciiTheme="majorHAnsi" w:hAnsiTheme="majorHAnsi"/>
          <w:spacing w:val="16"/>
          <w:sz w:val="20"/>
          <w:szCs w:val="20"/>
        </w:rPr>
        <w:t xml:space="preserve"> </w:t>
      </w:r>
      <w:r w:rsidRPr="000977F7">
        <w:rPr>
          <w:rFonts w:asciiTheme="majorHAnsi" w:hAnsiTheme="majorHAnsi"/>
          <w:sz w:val="20"/>
          <w:szCs w:val="20"/>
        </w:rPr>
        <w:t>якість</w:t>
      </w:r>
      <w:r w:rsidRPr="000977F7">
        <w:rPr>
          <w:rFonts w:asciiTheme="majorHAnsi" w:hAnsiTheme="majorHAnsi"/>
          <w:spacing w:val="19"/>
          <w:sz w:val="20"/>
          <w:szCs w:val="20"/>
        </w:rPr>
        <w:t xml:space="preserve"> </w:t>
      </w:r>
      <w:r w:rsidRPr="000977F7">
        <w:rPr>
          <w:rFonts w:asciiTheme="majorHAnsi" w:hAnsiTheme="majorHAnsi"/>
          <w:sz w:val="20"/>
          <w:szCs w:val="20"/>
        </w:rPr>
        <w:t>виробів</w:t>
      </w:r>
      <w:r w:rsidRPr="000977F7">
        <w:rPr>
          <w:rFonts w:asciiTheme="majorHAnsi" w:hAnsiTheme="majorHAnsi"/>
          <w:spacing w:val="20"/>
          <w:sz w:val="20"/>
          <w:szCs w:val="20"/>
        </w:rPr>
        <w:t xml:space="preserve"> </w:t>
      </w:r>
      <w:r w:rsidRPr="000977F7">
        <w:rPr>
          <w:rFonts w:asciiTheme="majorHAnsi" w:hAnsiTheme="majorHAnsi"/>
          <w:sz w:val="20"/>
          <w:szCs w:val="20"/>
        </w:rPr>
        <w:t>настільки,</w:t>
      </w:r>
      <w:r w:rsidRPr="000977F7">
        <w:rPr>
          <w:rFonts w:asciiTheme="majorHAnsi" w:hAnsiTheme="majorHAnsi"/>
          <w:spacing w:val="18"/>
          <w:sz w:val="20"/>
          <w:szCs w:val="20"/>
        </w:rPr>
        <w:t xml:space="preserve"> </w:t>
      </w:r>
      <w:r w:rsidRPr="000977F7">
        <w:rPr>
          <w:rFonts w:asciiTheme="majorHAnsi" w:hAnsiTheme="majorHAnsi"/>
          <w:sz w:val="20"/>
          <w:szCs w:val="20"/>
        </w:rPr>
        <w:t>наскільки</w:t>
      </w:r>
      <w:r w:rsidRPr="000977F7">
        <w:rPr>
          <w:rFonts w:asciiTheme="majorHAnsi" w:hAnsiTheme="majorHAnsi"/>
          <w:spacing w:val="17"/>
          <w:sz w:val="20"/>
          <w:szCs w:val="20"/>
        </w:rPr>
        <w:t xml:space="preserve"> </w:t>
      </w:r>
      <w:r w:rsidRPr="000977F7">
        <w:rPr>
          <w:rFonts w:asciiTheme="majorHAnsi" w:hAnsiTheme="majorHAnsi"/>
          <w:sz w:val="20"/>
          <w:szCs w:val="20"/>
        </w:rPr>
        <w:t>це</w:t>
      </w:r>
      <w:r w:rsidRPr="000977F7">
        <w:rPr>
          <w:rFonts w:asciiTheme="majorHAnsi" w:hAnsiTheme="majorHAnsi"/>
          <w:spacing w:val="19"/>
          <w:sz w:val="20"/>
          <w:szCs w:val="20"/>
        </w:rPr>
        <w:t xml:space="preserve"> </w:t>
      </w:r>
      <w:r w:rsidRPr="000977F7">
        <w:rPr>
          <w:rFonts w:asciiTheme="majorHAnsi" w:hAnsiTheme="majorHAnsi"/>
          <w:sz w:val="20"/>
          <w:szCs w:val="20"/>
        </w:rPr>
        <w:t>відповідає</w:t>
      </w:r>
      <w:r w:rsidRPr="000977F7">
        <w:rPr>
          <w:rFonts w:asciiTheme="majorHAnsi" w:hAnsiTheme="majorHAnsi"/>
          <w:spacing w:val="1"/>
          <w:sz w:val="20"/>
          <w:szCs w:val="20"/>
        </w:rPr>
        <w:t xml:space="preserve"> </w:t>
      </w:r>
      <w:r w:rsidRPr="000977F7">
        <w:rPr>
          <w:rFonts w:asciiTheme="majorHAnsi" w:hAnsiTheme="majorHAnsi"/>
          <w:sz w:val="20"/>
          <w:szCs w:val="20"/>
        </w:rPr>
        <w:t>всім</w:t>
      </w:r>
      <w:r w:rsidRPr="000977F7">
        <w:rPr>
          <w:rFonts w:asciiTheme="majorHAnsi" w:hAnsiTheme="majorHAnsi"/>
          <w:spacing w:val="1"/>
          <w:sz w:val="20"/>
          <w:szCs w:val="20"/>
        </w:rPr>
        <w:t xml:space="preserve"> </w:t>
      </w:r>
      <w:r w:rsidRPr="000977F7">
        <w:rPr>
          <w:rFonts w:asciiTheme="majorHAnsi" w:hAnsiTheme="majorHAnsi"/>
          <w:sz w:val="20"/>
          <w:szCs w:val="20"/>
        </w:rPr>
        <w:t>вимогам</w:t>
      </w:r>
      <w:r w:rsidRPr="000977F7">
        <w:rPr>
          <w:rFonts w:asciiTheme="majorHAnsi" w:hAnsiTheme="majorHAnsi"/>
          <w:spacing w:val="1"/>
          <w:sz w:val="20"/>
          <w:szCs w:val="20"/>
        </w:rPr>
        <w:t xml:space="preserve"> </w:t>
      </w:r>
      <w:r w:rsidRPr="000977F7">
        <w:rPr>
          <w:rFonts w:asciiTheme="majorHAnsi" w:hAnsiTheme="majorHAnsi"/>
          <w:sz w:val="20"/>
          <w:szCs w:val="20"/>
        </w:rPr>
        <w:t>стандарту</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стандартів).</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47"/>
          <w:sz w:val="20"/>
          <w:szCs w:val="20"/>
        </w:rPr>
        <w:t xml:space="preserve">         </w:t>
      </w:r>
      <w:r w:rsidRPr="000977F7">
        <w:rPr>
          <w:rFonts w:asciiTheme="majorHAnsi" w:hAnsiTheme="majorHAnsi"/>
          <w:sz w:val="20"/>
          <w:szCs w:val="20"/>
        </w:rPr>
        <w:t>більш</w:t>
      </w:r>
      <w:r w:rsidRPr="000977F7">
        <w:rPr>
          <w:rFonts w:asciiTheme="majorHAnsi" w:hAnsiTheme="majorHAnsi"/>
          <w:spacing w:val="1"/>
          <w:sz w:val="20"/>
          <w:szCs w:val="20"/>
        </w:rPr>
        <w:t xml:space="preserve"> </w:t>
      </w:r>
      <w:r w:rsidRPr="000977F7">
        <w:rPr>
          <w:rFonts w:asciiTheme="majorHAnsi" w:hAnsiTheme="majorHAnsi"/>
          <w:sz w:val="20"/>
          <w:szCs w:val="20"/>
        </w:rPr>
        <w:t>широкому</w:t>
      </w:r>
      <w:r w:rsidRPr="000977F7">
        <w:rPr>
          <w:rFonts w:asciiTheme="majorHAnsi" w:hAnsiTheme="majorHAnsi"/>
          <w:spacing w:val="-2"/>
          <w:sz w:val="20"/>
          <w:szCs w:val="20"/>
        </w:rPr>
        <w:t xml:space="preserve"> </w:t>
      </w:r>
      <w:r w:rsidRPr="000977F7">
        <w:rPr>
          <w:rFonts w:asciiTheme="majorHAnsi" w:hAnsiTheme="majorHAnsi"/>
          <w:sz w:val="20"/>
          <w:szCs w:val="20"/>
        </w:rPr>
        <w:t>розумінні</w:t>
      </w:r>
      <w:r w:rsidRPr="000977F7">
        <w:rPr>
          <w:rFonts w:asciiTheme="majorHAnsi" w:hAnsiTheme="majorHAnsi"/>
          <w:spacing w:val="4"/>
          <w:sz w:val="20"/>
          <w:szCs w:val="20"/>
        </w:rPr>
        <w:t xml:space="preserve"> </w:t>
      </w:r>
      <w:r w:rsidRPr="000977F7">
        <w:rPr>
          <w:rFonts w:asciiTheme="majorHAnsi" w:hAnsiTheme="majorHAnsi"/>
          <w:sz w:val="20"/>
          <w:szCs w:val="20"/>
        </w:rPr>
        <w:t>це</w:t>
      </w:r>
      <w:r w:rsidRPr="000977F7">
        <w:rPr>
          <w:rFonts w:asciiTheme="majorHAnsi" w:hAnsiTheme="majorHAnsi"/>
          <w:spacing w:val="2"/>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4"/>
          <w:sz w:val="20"/>
          <w:szCs w:val="20"/>
        </w:rPr>
        <w:t xml:space="preserve"> </w:t>
      </w:r>
      <w:r w:rsidRPr="000977F7">
        <w:rPr>
          <w:rFonts w:asciiTheme="majorHAnsi" w:hAnsiTheme="majorHAnsi"/>
          <w:sz w:val="20"/>
          <w:szCs w:val="20"/>
        </w:rPr>
        <w:t>також</w:t>
      </w:r>
      <w:r w:rsidRPr="000977F7">
        <w:rPr>
          <w:rFonts w:asciiTheme="majorHAnsi" w:hAnsiTheme="majorHAnsi"/>
          <w:spacing w:val="-47"/>
          <w:sz w:val="20"/>
          <w:szCs w:val="20"/>
        </w:rPr>
        <w:t xml:space="preserve"> </w:t>
      </w:r>
      <w:r w:rsidRPr="000977F7">
        <w:rPr>
          <w:rFonts w:asciiTheme="majorHAnsi" w:hAnsiTheme="majorHAnsi"/>
          <w:sz w:val="20"/>
          <w:szCs w:val="20"/>
        </w:rPr>
        <w:t>стосуватися</w:t>
      </w:r>
      <w:r w:rsidRPr="000977F7">
        <w:rPr>
          <w:rFonts w:asciiTheme="majorHAnsi" w:hAnsiTheme="majorHAnsi"/>
          <w:spacing w:val="5"/>
          <w:sz w:val="20"/>
          <w:szCs w:val="20"/>
        </w:rPr>
        <w:t xml:space="preserve"> </w:t>
      </w:r>
      <w:r w:rsidRPr="000977F7">
        <w:rPr>
          <w:rFonts w:asciiTheme="majorHAnsi" w:hAnsiTheme="majorHAnsi"/>
          <w:sz w:val="20"/>
          <w:szCs w:val="20"/>
        </w:rPr>
        <w:t>осіб,</w:t>
      </w:r>
      <w:r w:rsidRPr="000977F7">
        <w:rPr>
          <w:rFonts w:asciiTheme="majorHAnsi" w:hAnsiTheme="majorHAnsi"/>
          <w:spacing w:val="6"/>
          <w:sz w:val="20"/>
          <w:szCs w:val="20"/>
        </w:rPr>
        <w:t xml:space="preserve"> </w:t>
      </w:r>
      <w:r w:rsidRPr="000977F7">
        <w:rPr>
          <w:rFonts w:asciiTheme="majorHAnsi" w:hAnsiTheme="majorHAnsi"/>
          <w:sz w:val="20"/>
          <w:szCs w:val="20"/>
        </w:rPr>
        <w:t>що</w:t>
      </w:r>
      <w:r w:rsidRPr="000977F7">
        <w:rPr>
          <w:rFonts w:asciiTheme="majorHAnsi" w:hAnsiTheme="majorHAnsi"/>
          <w:spacing w:val="6"/>
          <w:sz w:val="20"/>
          <w:szCs w:val="20"/>
        </w:rPr>
        <w:t xml:space="preserve"> </w:t>
      </w:r>
      <w:r w:rsidRPr="000977F7">
        <w:rPr>
          <w:rFonts w:asciiTheme="majorHAnsi" w:hAnsiTheme="majorHAnsi"/>
          <w:sz w:val="20"/>
          <w:szCs w:val="20"/>
        </w:rPr>
        <w:t>зайняті</w:t>
      </w:r>
      <w:r w:rsidRPr="000977F7">
        <w:rPr>
          <w:rFonts w:asciiTheme="majorHAnsi" w:hAnsiTheme="majorHAnsi"/>
          <w:spacing w:val="5"/>
          <w:sz w:val="20"/>
          <w:szCs w:val="20"/>
        </w:rPr>
        <w:t xml:space="preserve"> </w:t>
      </w:r>
      <w:r w:rsidRPr="000977F7">
        <w:rPr>
          <w:rFonts w:asciiTheme="majorHAnsi" w:hAnsiTheme="majorHAnsi"/>
          <w:sz w:val="20"/>
          <w:szCs w:val="20"/>
        </w:rPr>
        <w:t>в</w:t>
      </w:r>
      <w:r w:rsidRPr="000977F7">
        <w:rPr>
          <w:rFonts w:asciiTheme="majorHAnsi" w:hAnsiTheme="majorHAnsi"/>
          <w:spacing w:val="5"/>
          <w:sz w:val="20"/>
          <w:szCs w:val="20"/>
        </w:rPr>
        <w:t xml:space="preserve"> </w:t>
      </w:r>
      <w:r w:rsidRPr="000977F7">
        <w:rPr>
          <w:rFonts w:asciiTheme="majorHAnsi" w:hAnsiTheme="majorHAnsi"/>
          <w:sz w:val="20"/>
          <w:szCs w:val="20"/>
        </w:rPr>
        <w:t>сфері</w:t>
      </w:r>
      <w:r w:rsidRPr="000977F7">
        <w:rPr>
          <w:rFonts w:asciiTheme="majorHAnsi" w:hAnsiTheme="majorHAnsi"/>
          <w:spacing w:val="5"/>
          <w:sz w:val="20"/>
          <w:szCs w:val="20"/>
        </w:rPr>
        <w:t xml:space="preserve"> </w:t>
      </w:r>
      <w:r w:rsidRPr="000977F7">
        <w:rPr>
          <w:rFonts w:asciiTheme="majorHAnsi" w:hAnsiTheme="majorHAnsi"/>
          <w:sz w:val="20"/>
          <w:szCs w:val="20"/>
        </w:rPr>
        <w:t>розподілення,</w:t>
      </w:r>
      <w:r w:rsidRPr="000977F7">
        <w:rPr>
          <w:rFonts w:asciiTheme="majorHAnsi" w:hAnsiTheme="majorHAnsi"/>
          <w:spacing w:val="-47"/>
          <w:sz w:val="20"/>
          <w:szCs w:val="20"/>
        </w:rPr>
        <w:t xml:space="preserve"> </w:t>
      </w:r>
      <w:r w:rsidRPr="000977F7">
        <w:rPr>
          <w:rFonts w:asciiTheme="majorHAnsi" w:hAnsiTheme="majorHAnsi"/>
          <w:sz w:val="20"/>
          <w:szCs w:val="20"/>
        </w:rPr>
        <w:t>імпортерів,</w:t>
      </w:r>
      <w:r w:rsidRPr="000977F7">
        <w:rPr>
          <w:rFonts w:asciiTheme="majorHAnsi" w:hAnsiTheme="majorHAnsi"/>
          <w:spacing w:val="3"/>
          <w:sz w:val="20"/>
          <w:szCs w:val="20"/>
        </w:rPr>
        <w:t xml:space="preserve"> </w:t>
      </w:r>
      <w:r w:rsidRPr="000977F7">
        <w:rPr>
          <w:rFonts w:asciiTheme="majorHAnsi" w:hAnsiTheme="majorHAnsi"/>
          <w:sz w:val="20"/>
          <w:szCs w:val="20"/>
        </w:rPr>
        <w:t>монтажників</w:t>
      </w:r>
      <w:r w:rsidRPr="000977F7">
        <w:rPr>
          <w:rFonts w:asciiTheme="majorHAnsi" w:hAnsiTheme="majorHAnsi"/>
          <w:spacing w:val="5"/>
          <w:sz w:val="20"/>
          <w:szCs w:val="20"/>
        </w:rPr>
        <w:t xml:space="preserve"> </w:t>
      </w:r>
      <w:r w:rsidRPr="000977F7">
        <w:rPr>
          <w:rFonts w:asciiTheme="majorHAnsi" w:hAnsiTheme="majorHAnsi"/>
          <w:sz w:val="20"/>
          <w:szCs w:val="20"/>
        </w:rPr>
        <w:t>та</w:t>
      </w:r>
      <w:r w:rsidRPr="000977F7">
        <w:rPr>
          <w:rFonts w:asciiTheme="majorHAnsi" w:hAnsiTheme="majorHAnsi"/>
          <w:spacing w:val="6"/>
          <w:sz w:val="20"/>
          <w:szCs w:val="20"/>
        </w:rPr>
        <w:t xml:space="preserve"> </w:t>
      </w:r>
      <w:r w:rsidRPr="000977F7">
        <w:rPr>
          <w:rFonts w:asciiTheme="majorHAnsi" w:hAnsiTheme="majorHAnsi"/>
          <w:sz w:val="20"/>
          <w:szCs w:val="20"/>
        </w:rPr>
        <w:t>інших</w:t>
      </w:r>
      <w:r w:rsidRPr="000977F7">
        <w:rPr>
          <w:rFonts w:asciiTheme="majorHAnsi" w:hAnsiTheme="majorHAnsi"/>
          <w:spacing w:val="4"/>
          <w:sz w:val="20"/>
          <w:szCs w:val="20"/>
        </w:rPr>
        <w:t xml:space="preserve"> </w:t>
      </w:r>
      <w:r w:rsidRPr="000977F7">
        <w:rPr>
          <w:rFonts w:asciiTheme="majorHAnsi" w:hAnsiTheme="majorHAnsi"/>
          <w:sz w:val="20"/>
          <w:szCs w:val="20"/>
        </w:rPr>
        <w:t>при</w:t>
      </w:r>
      <w:r w:rsidRPr="000977F7">
        <w:rPr>
          <w:rFonts w:asciiTheme="majorHAnsi" w:hAnsiTheme="majorHAnsi"/>
          <w:spacing w:val="5"/>
          <w:sz w:val="20"/>
          <w:szCs w:val="20"/>
        </w:rPr>
        <w:t xml:space="preserve"> </w:t>
      </w:r>
      <w:r w:rsidRPr="000977F7">
        <w:rPr>
          <w:rFonts w:asciiTheme="majorHAnsi" w:hAnsiTheme="majorHAnsi"/>
          <w:sz w:val="20"/>
          <w:szCs w:val="20"/>
        </w:rPr>
        <w:t>умові,</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4"/>
          <w:sz w:val="20"/>
          <w:szCs w:val="20"/>
        </w:rPr>
        <w:t xml:space="preserve"> </w:t>
      </w:r>
      <w:r w:rsidRPr="000977F7">
        <w:rPr>
          <w:rFonts w:asciiTheme="majorHAnsi" w:hAnsiTheme="majorHAnsi"/>
          <w:sz w:val="20"/>
          <w:szCs w:val="20"/>
        </w:rPr>
        <w:t>вони</w:t>
      </w:r>
      <w:r w:rsidRPr="000977F7">
        <w:rPr>
          <w:rFonts w:asciiTheme="majorHAnsi" w:hAnsiTheme="majorHAnsi"/>
          <w:spacing w:val="-47"/>
          <w:sz w:val="20"/>
          <w:szCs w:val="20"/>
        </w:rPr>
        <w:t xml:space="preserve"> </w:t>
      </w:r>
      <w:r w:rsidRPr="000977F7">
        <w:rPr>
          <w:rFonts w:asciiTheme="majorHAnsi" w:hAnsiTheme="majorHAnsi"/>
          <w:sz w:val="20"/>
          <w:szCs w:val="20"/>
        </w:rPr>
        <w:t>задовольняють вимогам до виготовлювача</w:t>
      </w:r>
      <w:r w:rsidRPr="000977F7">
        <w:rPr>
          <w:rFonts w:asciiTheme="majorHAnsi" w:hAnsiTheme="majorHAnsi"/>
          <w:spacing w:val="1"/>
          <w:sz w:val="20"/>
          <w:szCs w:val="20"/>
        </w:rPr>
        <w:t xml:space="preserve"> </w:t>
      </w:r>
      <w:r w:rsidRPr="000977F7">
        <w:rPr>
          <w:rFonts w:asciiTheme="majorHAnsi" w:hAnsiTheme="majorHAnsi"/>
          <w:b/>
          <w:sz w:val="20"/>
          <w:szCs w:val="20"/>
        </w:rPr>
        <w:t>ВИГОТОВЛЮВАЧ</w:t>
      </w:r>
      <w:r w:rsidRPr="000977F7">
        <w:rPr>
          <w:rFonts w:asciiTheme="majorHAnsi" w:hAnsiTheme="majorHAnsi"/>
          <w:b/>
          <w:spacing w:val="1"/>
          <w:sz w:val="20"/>
          <w:szCs w:val="20"/>
        </w:rPr>
        <w:t xml:space="preserve"> </w:t>
      </w:r>
      <w:r w:rsidRPr="000977F7">
        <w:rPr>
          <w:rFonts w:asciiTheme="majorHAnsi" w:hAnsiTheme="majorHAnsi"/>
          <w:b/>
          <w:sz w:val="20"/>
          <w:szCs w:val="20"/>
        </w:rPr>
        <w:t>ВИРОБУ,</w:t>
      </w:r>
      <w:r w:rsidRPr="000977F7">
        <w:rPr>
          <w:rFonts w:asciiTheme="majorHAnsi" w:hAnsiTheme="majorHAnsi"/>
          <w:b/>
          <w:spacing w:val="1"/>
          <w:sz w:val="20"/>
          <w:szCs w:val="20"/>
        </w:rPr>
        <w:t xml:space="preserve"> </w:t>
      </w:r>
      <w:r w:rsidRPr="000977F7">
        <w:rPr>
          <w:rFonts w:asciiTheme="majorHAnsi" w:hAnsiTheme="majorHAnsi"/>
          <w:b/>
          <w:sz w:val="20"/>
          <w:szCs w:val="20"/>
        </w:rPr>
        <w:t>НЕБЕЗПЕЧНОГО</w:t>
      </w:r>
      <w:r w:rsidRPr="000977F7">
        <w:rPr>
          <w:rFonts w:asciiTheme="majorHAnsi" w:hAnsiTheme="majorHAnsi"/>
          <w:b/>
          <w:spacing w:val="-47"/>
          <w:sz w:val="20"/>
          <w:szCs w:val="20"/>
        </w:rPr>
        <w:t xml:space="preserve"> </w:t>
      </w:r>
      <w:r w:rsidRPr="000977F7">
        <w:rPr>
          <w:rFonts w:asciiTheme="majorHAnsi" w:hAnsiTheme="majorHAnsi"/>
          <w:b/>
          <w:sz w:val="20"/>
          <w:szCs w:val="20"/>
        </w:rPr>
        <w:t>ПІД</w:t>
      </w:r>
      <w:r w:rsidRPr="000977F7">
        <w:rPr>
          <w:rFonts w:asciiTheme="majorHAnsi" w:hAnsiTheme="majorHAnsi"/>
          <w:b/>
          <w:spacing w:val="-2"/>
          <w:sz w:val="20"/>
          <w:szCs w:val="20"/>
        </w:rPr>
        <w:t xml:space="preserve"> </w:t>
      </w:r>
      <w:r w:rsidRPr="000977F7">
        <w:rPr>
          <w:rFonts w:asciiTheme="majorHAnsi" w:hAnsiTheme="majorHAnsi"/>
          <w:b/>
          <w:sz w:val="20"/>
          <w:szCs w:val="20"/>
        </w:rPr>
        <w:t>ЧАС ЕКСПЛУАТАЦІЇ</w:t>
      </w:r>
      <w:r w:rsidRPr="000977F7">
        <w:rPr>
          <w:rFonts w:asciiTheme="majorHAnsi" w:hAnsiTheme="majorHAnsi"/>
          <w:b/>
          <w:spacing w:val="1"/>
          <w:sz w:val="20"/>
          <w:szCs w:val="20"/>
        </w:rPr>
        <w:t xml:space="preserve"> </w:t>
      </w:r>
      <w:r w:rsidRPr="000977F7">
        <w:rPr>
          <w:rFonts w:asciiTheme="majorHAnsi" w:hAnsiTheme="majorHAnsi"/>
          <w:sz w:val="20"/>
          <w:szCs w:val="20"/>
        </w:rPr>
        <w:t>–</w:t>
      </w:r>
    </w:p>
    <w:p w14:paraId="6DE98C7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lastRenderedPageBreak/>
        <w:t>PRODUCER</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SUBSEQUENTLY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HAZARDOUS</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PRODUCT;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POSHP</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33BE462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Будь</w:t>
      </w:r>
      <w:r w:rsidRPr="004D2D14">
        <w:rPr>
          <w:rFonts w:asciiTheme="majorHAnsi" w:hAnsiTheme="majorHAnsi"/>
          <w:sz w:val="20"/>
          <w:szCs w:val="20"/>
          <w:lang w:val="en-US"/>
        </w:rPr>
        <w:t>-</w:t>
      </w:r>
      <w:r w:rsidRPr="000977F7">
        <w:rPr>
          <w:rFonts w:asciiTheme="majorHAnsi" w:hAnsiTheme="majorHAnsi"/>
          <w:sz w:val="20"/>
          <w:szCs w:val="20"/>
        </w:rPr>
        <w:t>яка</w:t>
      </w:r>
      <w:r w:rsidRPr="004D2D14">
        <w:rPr>
          <w:rFonts w:asciiTheme="majorHAnsi" w:hAnsiTheme="majorHAnsi"/>
          <w:sz w:val="20"/>
          <w:szCs w:val="20"/>
          <w:lang w:val="en-US"/>
        </w:rPr>
        <w:t xml:space="preserve"> </w:t>
      </w:r>
      <w:r w:rsidRPr="000977F7">
        <w:rPr>
          <w:rFonts w:asciiTheme="majorHAnsi" w:hAnsiTheme="majorHAnsi"/>
          <w:sz w:val="20"/>
          <w:szCs w:val="20"/>
        </w:rPr>
        <w:t>особа</w:t>
      </w:r>
      <w:r w:rsidRPr="004D2D14">
        <w:rPr>
          <w:rFonts w:asciiTheme="majorHAnsi" w:hAnsiTheme="majorHAnsi"/>
          <w:sz w:val="20"/>
          <w:szCs w:val="20"/>
          <w:lang w:val="en-US"/>
        </w:rPr>
        <w:t xml:space="preserve">, </w:t>
      </w:r>
      <w:r w:rsidRPr="000977F7">
        <w:rPr>
          <w:rFonts w:asciiTheme="majorHAnsi" w:hAnsiTheme="majorHAnsi"/>
          <w:sz w:val="20"/>
          <w:szCs w:val="20"/>
        </w:rPr>
        <w:t>організація</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корпоративна</w:t>
      </w:r>
      <w:r w:rsidRPr="004D2D14">
        <w:rPr>
          <w:rFonts w:asciiTheme="majorHAnsi" w:hAnsiTheme="majorHAnsi"/>
          <w:sz w:val="20"/>
          <w:szCs w:val="20"/>
          <w:lang w:val="en-US"/>
        </w:rPr>
        <w:t xml:space="preserve"> </w:t>
      </w:r>
      <w:r w:rsidRPr="000977F7">
        <w:rPr>
          <w:rFonts w:asciiTheme="majorHAnsi" w:hAnsiTheme="majorHAnsi"/>
          <w:sz w:val="20"/>
          <w:szCs w:val="20"/>
        </w:rPr>
        <w:t>організація</w:t>
      </w:r>
      <w:r w:rsidRPr="004D2D14">
        <w:rPr>
          <w:rFonts w:asciiTheme="majorHAnsi" w:hAnsiTheme="majorHAnsi"/>
          <w:sz w:val="20"/>
          <w:szCs w:val="20"/>
          <w:lang w:val="en-US"/>
        </w:rPr>
        <w:t xml:space="preserve">, </w:t>
      </w:r>
      <w:r w:rsidRPr="000977F7">
        <w:rPr>
          <w:rFonts w:asciiTheme="majorHAnsi" w:hAnsiTheme="majorHAnsi"/>
          <w:sz w:val="20"/>
          <w:szCs w:val="20"/>
        </w:rPr>
        <w:t>які</w:t>
      </w:r>
      <w:r w:rsidRPr="004D2D14">
        <w:rPr>
          <w:rFonts w:asciiTheme="majorHAnsi" w:hAnsiTheme="majorHAnsi"/>
          <w:sz w:val="20"/>
          <w:szCs w:val="20"/>
          <w:lang w:val="en-US"/>
        </w:rPr>
        <w:t xml:space="preserve"> </w:t>
      </w:r>
      <w:r w:rsidRPr="000977F7">
        <w:rPr>
          <w:rFonts w:asciiTheme="majorHAnsi" w:hAnsiTheme="majorHAnsi"/>
          <w:sz w:val="20"/>
          <w:szCs w:val="20"/>
        </w:rPr>
        <w:t>не</w:t>
      </w:r>
      <w:r w:rsidRPr="004D2D14">
        <w:rPr>
          <w:rFonts w:asciiTheme="majorHAnsi" w:hAnsiTheme="majorHAnsi"/>
          <w:sz w:val="20"/>
          <w:szCs w:val="20"/>
          <w:lang w:val="en-US"/>
        </w:rPr>
        <w:t xml:space="preserve"> </w:t>
      </w:r>
      <w:r w:rsidRPr="000977F7">
        <w:rPr>
          <w:rFonts w:asciiTheme="majorHAnsi" w:hAnsiTheme="majorHAnsi"/>
          <w:sz w:val="20"/>
          <w:szCs w:val="20"/>
        </w:rPr>
        <w:t>виконали</w:t>
      </w:r>
      <w:r w:rsidRPr="004D2D14">
        <w:rPr>
          <w:rFonts w:asciiTheme="majorHAnsi" w:hAnsiTheme="majorHAnsi"/>
          <w:sz w:val="20"/>
          <w:szCs w:val="20"/>
          <w:lang w:val="en-US"/>
        </w:rPr>
        <w:t xml:space="preserve"> </w:t>
      </w:r>
      <w:r w:rsidRPr="000977F7">
        <w:rPr>
          <w:rFonts w:asciiTheme="majorHAnsi" w:hAnsiTheme="majorHAnsi"/>
          <w:sz w:val="20"/>
          <w:szCs w:val="20"/>
        </w:rPr>
        <w:t>всі</w:t>
      </w:r>
      <w:r w:rsidRPr="004D2D14">
        <w:rPr>
          <w:rFonts w:asciiTheme="majorHAnsi" w:hAnsiTheme="majorHAnsi"/>
          <w:sz w:val="20"/>
          <w:szCs w:val="20"/>
          <w:lang w:val="en-US"/>
        </w:rPr>
        <w:t xml:space="preserve"> </w:t>
      </w:r>
      <w:r w:rsidRPr="000977F7">
        <w:rPr>
          <w:rFonts w:asciiTheme="majorHAnsi" w:hAnsiTheme="majorHAnsi"/>
          <w:sz w:val="20"/>
          <w:szCs w:val="20"/>
        </w:rPr>
        <w:t>вимоги</w:t>
      </w:r>
      <w:r w:rsidRPr="004D2D14">
        <w:rPr>
          <w:rFonts w:asciiTheme="majorHAnsi" w:hAnsiTheme="majorHAnsi"/>
          <w:sz w:val="20"/>
          <w:szCs w:val="20"/>
          <w:lang w:val="en-US"/>
        </w:rPr>
        <w:t xml:space="preserve"> </w:t>
      </w:r>
      <w:r w:rsidRPr="000977F7">
        <w:rPr>
          <w:rFonts w:asciiTheme="majorHAnsi" w:hAnsiTheme="majorHAnsi"/>
          <w:sz w:val="20"/>
          <w:szCs w:val="20"/>
        </w:rPr>
        <w:t>органу</w:t>
      </w:r>
      <w:r w:rsidRPr="004D2D14">
        <w:rPr>
          <w:rFonts w:asciiTheme="majorHAnsi" w:hAnsiTheme="majorHAnsi"/>
          <w:sz w:val="20"/>
          <w:szCs w:val="20"/>
          <w:lang w:val="en-US"/>
        </w:rPr>
        <w:t xml:space="preserve"> </w:t>
      </w:r>
      <w:r w:rsidRPr="000977F7">
        <w:rPr>
          <w:rFonts w:asciiTheme="majorHAnsi" w:hAnsiTheme="majorHAnsi"/>
          <w:sz w:val="20"/>
          <w:szCs w:val="20"/>
        </w:rPr>
        <w:t>із</w:t>
      </w:r>
      <w:r w:rsidRPr="004D2D14">
        <w:rPr>
          <w:rFonts w:asciiTheme="majorHAnsi" w:hAnsiTheme="majorHAnsi"/>
          <w:sz w:val="20"/>
          <w:szCs w:val="20"/>
          <w:lang w:val="en-US"/>
        </w:rPr>
        <w:t xml:space="preserve"> </w:t>
      </w:r>
      <w:r w:rsidRPr="000977F7">
        <w:rPr>
          <w:rFonts w:asciiTheme="majorHAnsi" w:hAnsiTheme="majorHAnsi"/>
          <w:sz w:val="20"/>
          <w:szCs w:val="20"/>
        </w:rPr>
        <w:t>сертифікації</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привласнили</w:t>
      </w:r>
      <w:r w:rsidRPr="004D2D14">
        <w:rPr>
          <w:rFonts w:asciiTheme="majorHAnsi" w:hAnsiTheme="majorHAnsi"/>
          <w:sz w:val="20"/>
          <w:szCs w:val="20"/>
          <w:lang w:val="en-US"/>
        </w:rPr>
        <w:t xml:space="preserve"> </w:t>
      </w:r>
      <w:r w:rsidRPr="000977F7">
        <w:rPr>
          <w:rFonts w:asciiTheme="majorHAnsi" w:hAnsiTheme="majorHAnsi"/>
          <w:sz w:val="20"/>
          <w:szCs w:val="20"/>
        </w:rPr>
        <w:t>знак</w:t>
      </w:r>
      <w:r w:rsidRPr="004D2D14">
        <w:rPr>
          <w:rFonts w:asciiTheme="majorHAnsi" w:hAnsiTheme="majorHAnsi"/>
          <w:sz w:val="20"/>
          <w:szCs w:val="20"/>
          <w:lang w:val="en-US"/>
        </w:rPr>
        <w:t xml:space="preserve"> </w:t>
      </w:r>
      <w:r w:rsidRPr="000977F7">
        <w:rPr>
          <w:rFonts w:asciiTheme="majorHAnsi" w:hAnsiTheme="majorHAnsi"/>
          <w:sz w:val="20"/>
          <w:szCs w:val="20"/>
        </w:rPr>
        <w:t>відповідності</w:t>
      </w:r>
      <w:r w:rsidRPr="004D2D14">
        <w:rPr>
          <w:rFonts w:asciiTheme="majorHAnsi" w:hAnsiTheme="majorHAnsi"/>
          <w:sz w:val="20"/>
          <w:szCs w:val="20"/>
          <w:lang w:val="en-US"/>
        </w:rPr>
        <w:t xml:space="preserve"> </w:t>
      </w:r>
      <w:r w:rsidRPr="000977F7">
        <w:rPr>
          <w:rFonts w:asciiTheme="majorHAnsi" w:hAnsiTheme="majorHAnsi"/>
          <w:sz w:val="20"/>
          <w:szCs w:val="20"/>
        </w:rPr>
        <w:t>цього</w:t>
      </w:r>
      <w:r w:rsidRPr="004D2D14">
        <w:rPr>
          <w:rFonts w:asciiTheme="majorHAnsi" w:hAnsiTheme="majorHAnsi"/>
          <w:sz w:val="20"/>
          <w:szCs w:val="20"/>
          <w:lang w:val="en-US"/>
        </w:rPr>
        <w:t xml:space="preserve"> </w:t>
      </w:r>
      <w:r w:rsidRPr="000977F7">
        <w:rPr>
          <w:rFonts w:asciiTheme="majorHAnsi" w:hAnsiTheme="majorHAnsi"/>
          <w:sz w:val="20"/>
          <w:szCs w:val="20"/>
        </w:rPr>
        <w:t>органа</w:t>
      </w:r>
      <w:r w:rsidRPr="004D2D14">
        <w:rPr>
          <w:rFonts w:asciiTheme="majorHAnsi" w:hAnsiTheme="majorHAnsi"/>
          <w:spacing w:val="1"/>
          <w:sz w:val="20"/>
          <w:szCs w:val="20"/>
          <w:lang w:val="en-US"/>
        </w:rPr>
        <w:t xml:space="preserve"> </w:t>
      </w:r>
      <w:r w:rsidRPr="000977F7">
        <w:rPr>
          <w:rFonts w:asciiTheme="majorHAnsi" w:hAnsiTheme="majorHAnsi"/>
          <w:sz w:val="20"/>
          <w:szCs w:val="20"/>
        </w:rPr>
        <w:t>для</w:t>
      </w:r>
      <w:r w:rsidRPr="004D2D14">
        <w:rPr>
          <w:rFonts w:asciiTheme="majorHAnsi" w:hAnsiTheme="majorHAnsi"/>
          <w:spacing w:val="1"/>
          <w:sz w:val="20"/>
          <w:szCs w:val="20"/>
          <w:lang w:val="en-US"/>
        </w:rPr>
        <w:t xml:space="preserve"> </w:t>
      </w:r>
      <w:r w:rsidRPr="000977F7">
        <w:rPr>
          <w:rFonts w:asciiTheme="majorHAnsi" w:hAnsiTheme="majorHAnsi"/>
          <w:sz w:val="20"/>
          <w:szCs w:val="20"/>
        </w:rPr>
        <w:t>своєї</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яка</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виявилося</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є</w:t>
      </w:r>
      <w:r w:rsidRPr="004D2D14">
        <w:rPr>
          <w:rFonts w:asciiTheme="majorHAnsi" w:hAnsiTheme="majorHAnsi"/>
          <w:spacing w:val="50"/>
          <w:sz w:val="20"/>
          <w:szCs w:val="20"/>
          <w:lang w:val="en-US"/>
        </w:rPr>
        <w:t xml:space="preserve"> </w:t>
      </w:r>
      <w:r w:rsidRPr="000977F7">
        <w:rPr>
          <w:rFonts w:asciiTheme="majorHAnsi" w:hAnsiTheme="majorHAnsi"/>
          <w:sz w:val="20"/>
          <w:szCs w:val="20"/>
        </w:rPr>
        <w:t>небезпечною</w:t>
      </w:r>
    </w:p>
    <w:p w14:paraId="25957A4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ВИД</w:t>
      </w:r>
      <w:r w:rsidRPr="000977F7">
        <w:rPr>
          <w:color w:val="auto"/>
          <w:spacing w:val="-5"/>
          <w:sz w:val="20"/>
          <w:szCs w:val="20"/>
        </w:rPr>
        <w:t xml:space="preserve"> </w:t>
      </w:r>
      <w:r w:rsidRPr="000977F7">
        <w:rPr>
          <w:color w:val="auto"/>
          <w:sz w:val="20"/>
          <w:szCs w:val="20"/>
        </w:rPr>
        <w:t>ІНТЕРФЕЙСУ-</w:t>
      </w:r>
    </w:p>
    <w:p w14:paraId="72805C7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KIND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INTERFACE –</w:t>
      </w:r>
    </w:p>
    <w:p w14:paraId="416832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Встановлена нормативним документом назва та (або)</w:t>
      </w:r>
      <w:r w:rsidRPr="000977F7">
        <w:rPr>
          <w:rFonts w:asciiTheme="majorHAnsi" w:hAnsiTheme="majorHAnsi"/>
          <w:spacing w:val="1"/>
          <w:sz w:val="20"/>
          <w:szCs w:val="20"/>
        </w:rPr>
        <w:t xml:space="preserve"> </w:t>
      </w:r>
      <w:r w:rsidRPr="000977F7">
        <w:rPr>
          <w:rFonts w:asciiTheme="majorHAnsi" w:hAnsiTheme="majorHAnsi"/>
          <w:sz w:val="20"/>
          <w:szCs w:val="20"/>
        </w:rPr>
        <w:t>умовне</w:t>
      </w:r>
      <w:r w:rsidRPr="000977F7">
        <w:rPr>
          <w:rFonts w:asciiTheme="majorHAnsi" w:hAnsiTheme="majorHAnsi"/>
          <w:spacing w:val="8"/>
          <w:sz w:val="20"/>
          <w:szCs w:val="20"/>
        </w:rPr>
        <w:t xml:space="preserve"> </w:t>
      </w:r>
      <w:r w:rsidRPr="000977F7">
        <w:rPr>
          <w:rFonts w:asciiTheme="majorHAnsi" w:hAnsiTheme="majorHAnsi"/>
          <w:sz w:val="20"/>
          <w:szCs w:val="20"/>
        </w:rPr>
        <w:t>позначення</w:t>
      </w:r>
      <w:r w:rsidRPr="000977F7">
        <w:rPr>
          <w:rFonts w:asciiTheme="majorHAnsi" w:hAnsiTheme="majorHAnsi"/>
          <w:spacing w:val="8"/>
          <w:sz w:val="20"/>
          <w:szCs w:val="20"/>
        </w:rPr>
        <w:t xml:space="preserve"> </w:t>
      </w:r>
      <w:r w:rsidRPr="000977F7">
        <w:rPr>
          <w:rFonts w:asciiTheme="majorHAnsi" w:hAnsiTheme="majorHAnsi"/>
          <w:sz w:val="20"/>
          <w:szCs w:val="20"/>
        </w:rPr>
        <w:t>інформаційного</w:t>
      </w:r>
      <w:r w:rsidRPr="000977F7">
        <w:rPr>
          <w:rFonts w:asciiTheme="majorHAnsi" w:hAnsiTheme="majorHAnsi"/>
          <w:spacing w:val="8"/>
          <w:sz w:val="20"/>
          <w:szCs w:val="20"/>
        </w:rPr>
        <w:t xml:space="preserve"> </w:t>
      </w:r>
      <w:r w:rsidRPr="000977F7">
        <w:rPr>
          <w:rFonts w:asciiTheme="majorHAnsi" w:hAnsiTheme="majorHAnsi"/>
          <w:sz w:val="20"/>
          <w:szCs w:val="20"/>
        </w:rPr>
        <w:t>інтерфейсу</w:t>
      </w:r>
    </w:p>
    <w:p w14:paraId="555E6B32"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4"/>
          <w:sz w:val="20"/>
          <w:szCs w:val="20"/>
        </w:rPr>
        <w:t xml:space="preserve"> </w:t>
      </w:r>
      <w:r w:rsidRPr="000977F7">
        <w:rPr>
          <w:rFonts w:asciiTheme="majorHAnsi" w:hAnsiTheme="majorHAnsi"/>
          <w:i/>
          <w:sz w:val="20"/>
          <w:szCs w:val="20"/>
        </w:rPr>
        <w:t>3956 - 2000</w:t>
      </w:r>
    </w:p>
    <w:p w14:paraId="224331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ВИДАВЛЮВАННЯ</w:t>
      </w:r>
      <w:r w:rsidRPr="000977F7">
        <w:rPr>
          <w:color w:val="auto"/>
          <w:spacing w:val="-3"/>
          <w:sz w:val="20"/>
          <w:szCs w:val="20"/>
        </w:rPr>
        <w:t xml:space="preserve"> </w:t>
      </w:r>
      <w:r w:rsidRPr="000977F7">
        <w:rPr>
          <w:color w:val="auto"/>
          <w:sz w:val="20"/>
          <w:szCs w:val="20"/>
        </w:rPr>
        <w:t>–</w:t>
      </w:r>
    </w:p>
    <w:p w14:paraId="06E15BB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Операція обробки металів тиском для утворення заготовки шляхом пластичної течії метала в порожнині</w:t>
      </w:r>
      <w:r w:rsidRPr="000977F7">
        <w:rPr>
          <w:rFonts w:asciiTheme="majorHAnsi" w:hAnsiTheme="majorHAnsi"/>
          <w:spacing w:val="1"/>
          <w:sz w:val="20"/>
          <w:szCs w:val="20"/>
        </w:rPr>
        <w:t xml:space="preserve"> </w:t>
      </w:r>
      <w:r w:rsidRPr="000977F7">
        <w:rPr>
          <w:rFonts w:asciiTheme="majorHAnsi" w:hAnsiTheme="majorHAnsi"/>
          <w:sz w:val="20"/>
          <w:szCs w:val="20"/>
        </w:rPr>
        <w:t>штампа:</w:t>
      </w:r>
    </w:p>
    <w:p w14:paraId="0E87C2FD" w14:textId="77777777" w:rsidR="0097612F" w:rsidRPr="000977F7" w:rsidRDefault="0097612F" w:rsidP="00FD39A4">
      <w:pPr>
        <w:pStyle w:val="ac"/>
        <w:widowControl w:val="0"/>
        <w:numPr>
          <w:ilvl w:val="0"/>
          <w:numId w:val="218"/>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бокове – з течією метала, яка не співпадає з направленням</w:t>
      </w:r>
      <w:r w:rsidRPr="000977F7">
        <w:rPr>
          <w:rFonts w:asciiTheme="majorHAnsi" w:hAnsiTheme="majorHAnsi"/>
          <w:spacing w:val="-1"/>
          <w:sz w:val="20"/>
          <w:szCs w:val="20"/>
        </w:rPr>
        <w:t xml:space="preserve"> </w:t>
      </w:r>
      <w:r w:rsidRPr="000977F7">
        <w:rPr>
          <w:rFonts w:asciiTheme="majorHAnsi" w:hAnsiTheme="majorHAnsi"/>
          <w:sz w:val="20"/>
          <w:szCs w:val="20"/>
        </w:rPr>
        <w:t>руху</w:t>
      </w:r>
      <w:r w:rsidRPr="000977F7">
        <w:rPr>
          <w:rFonts w:asciiTheme="majorHAnsi" w:hAnsiTheme="majorHAnsi"/>
          <w:spacing w:val="-1"/>
          <w:sz w:val="20"/>
          <w:szCs w:val="20"/>
        </w:rPr>
        <w:t xml:space="preserve"> </w:t>
      </w:r>
      <w:r w:rsidRPr="000977F7">
        <w:rPr>
          <w:rFonts w:asciiTheme="majorHAnsi" w:hAnsiTheme="majorHAnsi"/>
          <w:sz w:val="20"/>
          <w:szCs w:val="20"/>
        </w:rPr>
        <w:t>пуансона;</w:t>
      </w:r>
    </w:p>
    <w:p w14:paraId="0950190A" w14:textId="77777777" w:rsidR="0097612F" w:rsidRPr="000977F7" w:rsidRDefault="0097612F" w:rsidP="00FD39A4">
      <w:pPr>
        <w:pStyle w:val="ac"/>
        <w:widowControl w:val="0"/>
        <w:numPr>
          <w:ilvl w:val="0"/>
          <w:numId w:val="218"/>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гаряче</w:t>
      </w:r>
      <w:r w:rsidRPr="000977F7">
        <w:rPr>
          <w:rFonts w:asciiTheme="majorHAnsi" w:hAnsiTheme="majorHAnsi"/>
          <w:spacing w:val="1"/>
          <w:sz w:val="20"/>
          <w:szCs w:val="20"/>
        </w:rPr>
        <w:t xml:space="preserve"> </w:t>
      </w:r>
      <w:r w:rsidRPr="000977F7">
        <w:rPr>
          <w:rFonts w:asciiTheme="majorHAnsi" w:hAnsiTheme="majorHAnsi"/>
          <w:sz w:val="20"/>
          <w:szCs w:val="20"/>
        </w:rPr>
        <w:t>гідродинамічне</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нагрітої</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кувальної</w:t>
      </w:r>
      <w:r w:rsidRPr="000977F7">
        <w:rPr>
          <w:rFonts w:asciiTheme="majorHAnsi" w:hAnsiTheme="majorHAnsi"/>
          <w:spacing w:val="1"/>
          <w:sz w:val="20"/>
          <w:szCs w:val="20"/>
        </w:rPr>
        <w:t xml:space="preserve"> </w:t>
      </w:r>
      <w:r w:rsidRPr="000977F7">
        <w:rPr>
          <w:rFonts w:asciiTheme="majorHAnsi" w:hAnsiTheme="majorHAnsi"/>
          <w:sz w:val="20"/>
          <w:szCs w:val="20"/>
        </w:rPr>
        <w:t>температури</w:t>
      </w:r>
      <w:r w:rsidRPr="000977F7">
        <w:rPr>
          <w:rFonts w:asciiTheme="majorHAnsi" w:hAnsiTheme="majorHAnsi"/>
          <w:spacing w:val="1"/>
          <w:sz w:val="20"/>
          <w:szCs w:val="20"/>
        </w:rPr>
        <w:t xml:space="preserve"> </w:t>
      </w:r>
      <w:r w:rsidRPr="000977F7">
        <w:rPr>
          <w:rFonts w:asciiTheme="majorHAnsi" w:hAnsiTheme="majorHAnsi"/>
          <w:sz w:val="20"/>
          <w:szCs w:val="20"/>
        </w:rPr>
        <w:t>заготовки</w:t>
      </w:r>
      <w:r w:rsidRPr="000977F7">
        <w:rPr>
          <w:rFonts w:asciiTheme="majorHAnsi" w:hAnsiTheme="majorHAnsi"/>
          <w:spacing w:val="1"/>
          <w:sz w:val="20"/>
          <w:szCs w:val="20"/>
        </w:rPr>
        <w:t xml:space="preserve"> </w:t>
      </w:r>
      <w:r w:rsidRPr="000977F7">
        <w:rPr>
          <w:rFonts w:asciiTheme="majorHAnsi" w:hAnsiTheme="majorHAnsi"/>
          <w:sz w:val="20"/>
          <w:szCs w:val="20"/>
        </w:rPr>
        <w:t>через</w:t>
      </w:r>
      <w:r w:rsidRPr="000977F7">
        <w:rPr>
          <w:rFonts w:asciiTheme="majorHAnsi" w:hAnsiTheme="majorHAnsi"/>
          <w:spacing w:val="1"/>
          <w:sz w:val="20"/>
          <w:szCs w:val="20"/>
        </w:rPr>
        <w:t xml:space="preserve"> </w:t>
      </w:r>
      <w:r w:rsidRPr="000977F7">
        <w:rPr>
          <w:rFonts w:asciiTheme="majorHAnsi" w:hAnsiTheme="majorHAnsi"/>
          <w:sz w:val="20"/>
          <w:szCs w:val="20"/>
        </w:rPr>
        <w:t>матрицю,</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має</w:t>
      </w:r>
      <w:r w:rsidRPr="000977F7">
        <w:rPr>
          <w:rFonts w:asciiTheme="majorHAnsi" w:hAnsiTheme="majorHAnsi"/>
          <w:spacing w:val="1"/>
          <w:sz w:val="20"/>
          <w:szCs w:val="20"/>
        </w:rPr>
        <w:t xml:space="preserve"> </w:t>
      </w:r>
      <w:r w:rsidRPr="000977F7">
        <w:rPr>
          <w:rFonts w:asciiTheme="majorHAnsi" w:hAnsiTheme="majorHAnsi"/>
          <w:sz w:val="20"/>
          <w:szCs w:val="20"/>
        </w:rPr>
        <w:t>профіль</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p>
    <w:p w14:paraId="60DD3FCA" w14:textId="77777777" w:rsidR="0097612F" w:rsidRPr="000977F7" w:rsidRDefault="0097612F" w:rsidP="00FD39A4">
      <w:pPr>
        <w:pStyle w:val="ac"/>
        <w:widowControl w:val="0"/>
        <w:numPr>
          <w:ilvl w:val="0"/>
          <w:numId w:val="218"/>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комбіноване – з течією метала за декількома напрямами</w:t>
      </w:r>
      <w:r w:rsidRPr="000977F7">
        <w:rPr>
          <w:rFonts w:asciiTheme="majorHAnsi" w:hAnsiTheme="majorHAnsi"/>
          <w:spacing w:val="-2"/>
          <w:sz w:val="20"/>
          <w:szCs w:val="20"/>
        </w:rPr>
        <w:t xml:space="preserve"> </w:t>
      </w:r>
      <w:r w:rsidRPr="000977F7">
        <w:rPr>
          <w:rFonts w:asciiTheme="majorHAnsi" w:hAnsiTheme="majorHAnsi"/>
          <w:sz w:val="20"/>
          <w:szCs w:val="20"/>
        </w:rPr>
        <w:t>відносно</w:t>
      </w:r>
      <w:r w:rsidRPr="000977F7">
        <w:rPr>
          <w:rFonts w:asciiTheme="majorHAnsi" w:hAnsiTheme="majorHAnsi"/>
          <w:spacing w:val="1"/>
          <w:sz w:val="20"/>
          <w:szCs w:val="20"/>
        </w:rPr>
        <w:t xml:space="preserve"> </w:t>
      </w:r>
      <w:r w:rsidRPr="000977F7">
        <w:rPr>
          <w:rFonts w:asciiTheme="majorHAnsi" w:hAnsiTheme="majorHAnsi"/>
          <w:sz w:val="20"/>
          <w:szCs w:val="20"/>
        </w:rPr>
        <w:t>руху</w:t>
      </w:r>
      <w:r w:rsidRPr="000977F7">
        <w:rPr>
          <w:rFonts w:asciiTheme="majorHAnsi" w:hAnsiTheme="majorHAnsi"/>
          <w:spacing w:val="-2"/>
          <w:sz w:val="20"/>
          <w:szCs w:val="20"/>
        </w:rPr>
        <w:t xml:space="preserve"> </w:t>
      </w:r>
      <w:r w:rsidRPr="000977F7">
        <w:rPr>
          <w:rFonts w:asciiTheme="majorHAnsi" w:hAnsiTheme="majorHAnsi"/>
          <w:sz w:val="20"/>
          <w:szCs w:val="20"/>
        </w:rPr>
        <w:t>пуансона;</w:t>
      </w:r>
    </w:p>
    <w:p w14:paraId="22E51A33" w14:textId="77777777" w:rsidR="0097612F" w:rsidRPr="000977F7" w:rsidRDefault="0097612F" w:rsidP="00FD39A4">
      <w:pPr>
        <w:pStyle w:val="ac"/>
        <w:widowControl w:val="0"/>
        <w:numPr>
          <w:ilvl w:val="0"/>
          <w:numId w:val="218"/>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зворотнє – з течією метала, протилежною напрямку</w:t>
      </w:r>
    </w:p>
    <w:p w14:paraId="4A2AECFF" w14:textId="77777777" w:rsidR="0097612F" w:rsidRPr="000977F7" w:rsidRDefault="0097612F" w:rsidP="000977F7">
      <w:pPr>
        <w:pStyle w:val="ac"/>
        <w:tabs>
          <w:tab w:val="left" w:pos="284"/>
          <w:tab w:val="left" w:pos="677"/>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руху</w:t>
      </w:r>
      <w:r w:rsidRPr="000977F7">
        <w:rPr>
          <w:rFonts w:asciiTheme="majorHAnsi" w:hAnsiTheme="majorHAnsi"/>
          <w:spacing w:val="-1"/>
          <w:sz w:val="20"/>
          <w:szCs w:val="20"/>
        </w:rPr>
        <w:t xml:space="preserve"> </w:t>
      </w:r>
      <w:r w:rsidRPr="000977F7">
        <w:rPr>
          <w:rFonts w:asciiTheme="majorHAnsi" w:hAnsiTheme="majorHAnsi"/>
          <w:sz w:val="20"/>
          <w:szCs w:val="20"/>
        </w:rPr>
        <w:t>пуансона;</w:t>
      </w:r>
    </w:p>
    <w:p w14:paraId="6BD2BDA3" w14:textId="77777777" w:rsidR="0097612F" w:rsidRPr="000977F7" w:rsidRDefault="0097612F" w:rsidP="00FD39A4">
      <w:pPr>
        <w:pStyle w:val="ac"/>
        <w:widowControl w:val="0"/>
        <w:numPr>
          <w:ilvl w:val="0"/>
          <w:numId w:val="218"/>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пряме – з течією метала, яка співпадає з направленням</w:t>
      </w:r>
      <w:r w:rsidRPr="000977F7">
        <w:rPr>
          <w:rFonts w:asciiTheme="majorHAnsi" w:hAnsiTheme="majorHAnsi"/>
          <w:spacing w:val="-1"/>
          <w:sz w:val="20"/>
          <w:szCs w:val="20"/>
        </w:rPr>
        <w:t xml:space="preserve"> </w:t>
      </w:r>
      <w:r w:rsidRPr="000977F7">
        <w:rPr>
          <w:rFonts w:asciiTheme="majorHAnsi" w:hAnsiTheme="majorHAnsi"/>
          <w:sz w:val="20"/>
          <w:szCs w:val="20"/>
        </w:rPr>
        <w:t>руху</w:t>
      </w:r>
      <w:r w:rsidRPr="000977F7">
        <w:rPr>
          <w:rFonts w:asciiTheme="majorHAnsi" w:hAnsiTheme="majorHAnsi"/>
          <w:spacing w:val="-1"/>
          <w:sz w:val="20"/>
          <w:szCs w:val="20"/>
        </w:rPr>
        <w:t xml:space="preserve"> </w:t>
      </w:r>
      <w:r w:rsidRPr="000977F7">
        <w:rPr>
          <w:rFonts w:asciiTheme="majorHAnsi" w:hAnsiTheme="majorHAnsi"/>
          <w:sz w:val="20"/>
          <w:szCs w:val="20"/>
        </w:rPr>
        <w:t>пуансона</w:t>
      </w:r>
    </w:p>
    <w:p w14:paraId="0EC20F9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ВИДАНИЙ СТАНДАРТ </w:t>
      </w:r>
      <w:r w:rsidRPr="000977F7">
        <w:rPr>
          <w:rFonts w:asciiTheme="majorHAnsi" w:hAnsiTheme="majorHAnsi"/>
          <w:sz w:val="20"/>
          <w:szCs w:val="20"/>
        </w:rPr>
        <w:t>–</w:t>
      </w:r>
      <w:r w:rsidRPr="000977F7">
        <w:rPr>
          <w:rFonts w:asciiTheme="majorHAnsi" w:hAnsiTheme="majorHAnsi"/>
          <w:spacing w:val="-47"/>
          <w:sz w:val="20"/>
          <w:szCs w:val="20"/>
        </w:rPr>
        <w:t xml:space="preserve"> </w:t>
      </w:r>
      <w:r w:rsidRPr="000977F7">
        <w:rPr>
          <w:rFonts w:asciiTheme="majorHAnsi" w:hAnsiTheme="majorHAnsi"/>
          <w:sz w:val="20"/>
          <w:szCs w:val="20"/>
        </w:rPr>
        <w:t>ISSUED</w:t>
      </w:r>
      <w:r w:rsidRPr="000977F7">
        <w:rPr>
          <w:rFonts w:asciiTheme="majorHAnsi" w:hAnsiTheme="majorHAnsi"/>
          <w:spacing w:val="-1"/>
          <w:sz w:val="20"/>
          <w:szCs w:val="20"/>
        </w:rPr>
        <w:t xml:space="preserve"> </w:t>
      </w:r>
      <w:r w:rsidRPr="000977F7">
        <w:rPr>
          <w:rFonts w:asciiTheme="majorHAnsi" w:hAnsiTheme="majorHAnsi"/>
          <w:sz w:val="20"/>
          <w:szCs w:val="20"/>
        </w:rPr>
        <w:t>STANDARD –</w:t>
      </w:r>
    </w:p>
    <w:p w14:paraId="45DD445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відтворений типографським способом, достовірність тексту якого гарантується органом, що відповідає</w:t>
      </w:r>
      <w:r w:rsidRPr="000977F7">
        <w:rPr>
          <w:rFonts w:asciiTheme="majorHAnsi" w:hAnsiTheme="majorHAnsi"/>
          <w:spacing w:val="-1"/>
          <w:sz w:val="20"/>
          <w:szCs w:val="20"/>
        </w:rPr>
        <w:t xml:space="preserve"> </w:t>
      </w:r>
      <w:r w:rsidRPr="000977F7">
        <w:rPr>
          <w:rFonts w:asciiTheme="majorHAnsi" w:hAnsiTheme="majorHAnsi"/>
          <w:sz w:val="20"/>
          <w:szCs w:val="20"/>
        </w:rPr>
        <w:t>за відтворення</w:t>
      </w:r>
    </w:p>
    <w:p w14:paraId="549281D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ВИД</w:t>
      </w:r>
      <w:r w:rsidRPr="000977F7">
        <w:rPr>
          <w:color w:val="auto"/>
          <w:spacing w:val="-4"/>
          <w:sz w:val="20"/>
          <w:szCs w:val="20"/>
        </w:rPr>
        <w:t xml:space="preserve"> </w:t>
      </w:r>
      <w:r w:rsidRPr="000977F7">
        <w:rPr>
          <w:color w:val="auto"/>
          <w:sz w:val="20"/>
          <w:szCs w:val="20"/>
        </w:rPr>
        <w:t>ВИПРОБУВАНЬ –</w:t>
      </w:r>
    </w:p>
    <w:p w14:paraId="138BC13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MODE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3811A7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Класифікаційне угруповання випробувань за певними</w:t>
      </w:r>
      <w:r w:rsidRPr="000977F7">
        <w:rPr>
          <w:rFonts w:asciiTheme="majorHAnsi" w:hAnsiTheme="majorHAnsi"/>
          <w:spacing w:val="1"/>
          <w:sz w:val="20"/>
          <w:szCs w:val="20"/>
        </w:rPr>
        <w:t xml:space="preserve"> </w:t>
      </w:r>
      <w:r w:rsidRPr="000977F7">
        <w:rPr>
          <w:rFonts w:asciiTheme="majorHAnsi" w:hAnsiTheme="majorHAnsi"/>
          <w:sz w:val="20"/>
          <w:szCs w:val="20"/>
        </w:rPr>
        <w:t>ознаками</w:t>
      </w:r>
    </w:p>
    <w:p w14:paraId="3AE1819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2824</w:t>
      </w:r>
      <w:r w:rsidRPr="000977F7">
        <w:rPr>
          <w:rFonts w:asciiTheme="majorHAnsi" w:hAnsiTheme="majorHAnsi"/>
          <w:i/>
          <w:spacing w:val="-1"/>
          <w:sz w:val="20"/>
          <w:szCs w:val="20"/>
        </w:rPr>
        <w:t xml:space="preserve"> </w:t>
      </w:r>
      <w:r w:rsidRPr="000977F7">
        <w:rPr>
          <w:rFonts w:asciiTheme="majorHAnsi" w:hAnsiTheme="majorHAnsi"/>
          <w:i/>
          <w:sz w:val="20"/>
          <w:szCs w:val="20"/>
        </w:rPr>
        <w:t>– 94</w:t>
      </w:r>
    </w:p>
    <w:p w14:paraId="7834DAB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ВИД</w:t>
      </w:r>
      <w:r w:rsidRPr="000977F7">
        <w:rPr>
          <w:color w:val="auto"/>
          <w:spacing w:val="-4"/>
          <w:sz w:val="20"/>
          <w:szCs w:val="20"/>
        </w:rPr>
        <w:t xml:space="preserve"> </w:t>
      </w:r>
      <w:r w:rsidRPr="000977F7">
        <w:rPr>
          <w:color w:val="auto"/>
          <w:sz w:val="20"/>
          <w:szCs w:val="20"/>
        </w:rPr>
        <w:t>ВИРОБНИЦТВА –</w:t>
      </w:r>
    </w:p>
    <w:p w14:paraId="1EB771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bookmarkStart w:id="25" w:name="_Hlk105143825"/>
      <w:r w:rsidRPr="000977F7">
        <w:rPr>
          <w:rFonts w:asciiTheme="majorHAnsi" w:hAnsiTheme="majorHAnsi"/>
          <w:sz w:val="20"/>
          <w:szCs w:val="20"/>
        </w:rPr>
        <w:t>Класифікаційна</w:t>
      </w:r>
      <w:r w:rsidRPr="000977F7">
        <w:rPr>
          <w:rFonts w:asciiTheme="majorHAnsi" w:hAnsiTheme="majorHAnsi"/>
          <w:spacing w:val="1"/>
          <w:sz w:val="20"/>
          <w:szCs w:val="20"/>
        </w:rPr>
        <w:t xml:space="preserve"> </w:t>
      </w:r>
      <w:r w:rsidRPr="000977F7">
        <w:rPr>
          <w:rFonts w:asciiTheme="majorHAnsi" w:hAnsiTheme="majorHAnsi"/>
          <w:sz w:val="20"/>
          <w:szCs w:val="20"/>
        </w:rPr>
        <w:t>категорія</w:t>
      </w:r>
      <w:r w:rsidRPr="000977F7">
        <w:rPr>
          <w:rFonts w:asciiTheme="majorHAnsi" w:hAnsiTheme="majorHAnsi"/>
          <w:spacing w:val="1"/>
          <w:sz w:val="20"/>
          <w:szCs w:val="20"/>
        </w:rPr>
        <w:t xml:space="preserve"> </w:t>
      </w:r>
      <w:bookmarkEnd w:id="25"/>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вирізняється за ознакою застосовуваного методу виготовлення</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7E78E02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E3C2F9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ВИД</w:t>
      </w:r>
      <w:r w:rsidRPr="000977F7">
        <w:rPr>
          <w:color w:val="auto"/>
          <w:spacing w:val="-3"/>
          <w:sz w:val="20"/>
          <w:szCs w:val="20"/>
        </w:rPr>
        <w:t xml:space="preserve"> </w:t>
      </w:r>
      <w:r w:rsidRPr="000977F7">
        <w:rPr>
          <w:color w:val="auto"/>
          <w:sz w:val="20"/>
          <w:szCs w:val="20"/>
        </w:rPr>
        <w:t>ВІДМОВИ</w:t>
      </w:r>
      <w:r w:rsidRPr="000977F7">
        <w:rPr>
          <w:color w:val="auto"/>
          <w:spacing w:val="-2"/>
          <w:sz w:val="20"/>
          <w:szCs w:val="20"/>
        </w:rPr>
        <w:t xml:space="preserve"> </w:t>
      </w:r>
      <w:r w:rsidRPr="000977F7">
        <w:rPr>
          <w:color w:val="auto"/>
          <w:sz w:val="20"/>
          <w:szCs w:val="20"/>
        </w:rPr>
        <w:t>–</w:t>
      </w:r>
    </w:p>
    <w:p w14:paraId="65FB157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FAILURE</w:t>
      </w:r>
      <w:r w:rsidRPr="000977F7">
        <w:rPr>
          <w:rFonts w:asciiTheme="majorHAnsi" w:hAnsiTheme="majorHAnsi"/>
          <w:spacing w:val="-5"/>
          <w:sz w:val="20"/>
          <w:szCs w:val="20"/>
        </w:rPr>
        <w:t xml:space="preserve"> </w:t>
      </w:r>
      <w:r w:rsidRPr="000977F7">
        <w:rPr>
          <w:rFonts w:asciiTheme="majorHAnsi" w:hAnsiTheme="majorHAnsi"/>
          <w:sz w:val="20"/>
          <w:szCs w:val="20"/>
        </w:rPr>
        <w:t>MODE</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6C734D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Форма прояву відмови </w:t>
      </w:r>
    </w:p>
    <w:p w14:paraId="1E60996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7AE9298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Видами</w:t>
      </w:r>
      <w:r w:rsidRPr="000977F7">
        <w:rPr>
          <w:rFonts w:asciiTheme="majorHAnsi" w:hAnsiTheme="majorHAnsi"/>
          <w:spacing w:val="32"/>
          <w:sz w:val="20"/>
          <w:szCs w:val="20"/>
        </w:rPr>
        <w:t xml:space="preserve"> </w:t>
      </w:r>
      <w:r w:rsidRPr="000977F7">
        <w:rPr>
          <w:rFonts w:asciiTheme="majorHAnsi" w:hAnsiTheme="majorHAnsi"/>
          <w:sz w:val="20"/>
          <w:szCs w:val="20"/>
        </w:rPr>
        <w:t>відмови</w:t>
      </w:r>
      <w:r w:rsidRPr="000977F7">
        <w:rPr>
          <w:rFonts w:asciiTheme="majorHAnsi" w:hAnsiTheme="majorHAnsi"/>
          <w:spacing w:val="14"/>
          <w:sz w:val="20"/>
          <w:szCs w:val="20"/>
        </w:rPr>
        <w:t xml:space="preserve"> </w:t>
      </w:r>
      <w:r w:rsidRPr="000977F7">
        <w:rPr>
          <w:rFonts w:asciiTheme="majorHAnsi" w:hAnsiTheme="majorHAnsi"/>
          <w:sz w:val="20"/>
          <w:szCs w:val="20"/>
        </w:rPr>
        <w:t>є,</w:t>
      </w:r>
      <w:r w:rsidRPr="000977F7">
        <w:rPr>
          <w:rFonts w:asciiTheme="majorHAnsi" w:hAnsiTheme="majorHAnsi"/>
          <w:spacing w:val="16"/>
          <w:sz w:val="20"/>
          <w:szCs w:val="20"/>
        </w:rPr>
        <w:t xml:space="preserve"> </w:t>
      </w:r>
      <w:r w:rsidRPr="000977F7">
        <w:rPr>
          <w:rFonts w:asciiTheme="majorHAnsi" w:hAnsiTheme="majorHAnsi"/>
          <w:sz w:val="20"/>
          <w:szCs w:val="20"/>
        </w:rPr>
        <w:t>наприклад,</w:t>
      </w:r>
      <w:r w:rsidRPr="000977F7">
        <w:rPr>
          <w:rFonts w:asciiTheme="majorHAnsi" w:hAnsiTheme="majorHAnsi"/>
          <w:spacing w:val="16"/>
          <w:sz w:val="20"/>
          <w:szCs w:val="20"/>
        </w:rPr>
        <w:t xml:space="preserve"> </w:t>
      </w:r>
      <w:r w:rsidRPr="000977F7">
        <w:rPr>
          <w:rFonts w:asciiTheme="majorHAnsi" w:hAnsiTheme="majorHAnsi"/>
          <w:sz w:val="20"/>
          <w:szCs w:val="20"/>
        </w:rPr>
        <w:t>обрив</w:t>
      </w:r>
      <w:r w:rsidRPr="000977F7">
        <w:rPr>
          <w:rFonts w:asciiTheme="majorHAnsi" w:hAnsiTheme="majorHAnsi"/>
          <w:spacing w:val="15"/>
          <w:sz w:val="20"/>
          <w:szCs w:val="20"/>
        </w:rPr>
        <w:t xml:space="preserve"> </w:t>
      </w:r>
      <w:r w:rsidRPr="000977F7">
        <w:rPr>
          <w:rFonts w:asciiTheme="majorHAnsi" w:hAnsiTheme="majorHAnsi"/>
          <w:sz w:val="20"/>
          <w:szCs w:val="20"/>
        </w:rPr>
        <w:t>чи</w:t>
      </w:r>
      <w:r w:rsidRPr="000977F7">
        <w:rPr>
          <w:rFonts w:asciiTheme="majorHAnsi" w:hAnsiTheme="majorHAnsi"/>
          <w:spacing w:val="15"/>
          <w:sz w:val="20"/>
          <w:szCs w:val="20"/>
        </w:rPr>
        <w:t xml:space="preserve"> </w:t>
      </w:r>
      <w:r w:rsidRPr="000977F7">
        <w:rPr>
          <w:rFonts w:asciiTheme="majorHAnsi" w:hAnsiTheme="majorHAnsi"/>
          <w:sz w:val="20"/>
          <w:szCs w:val="20"/>
        </w:rPr>
        <w:t>закорочення кола, зміна</w:t>
      </w:r>
      <w:r w:rsidRPr="000977F7">
        <w:rPr>
          <w:rFonts w:asciiTheme="majorHAnsi" w:hAnsiTheme="majorHAnsi"/>
          <w:spacing w:val="-1"/>
          <w:sz w:val="20"/>
          <w:szCs w:val="20"/>
        </w:rPr>
        <w:t xml:space="preserve"> </w:t>
      </w:r>
      <w:r w:rsidRPr="000977F7">
        <w:rPr>
          <w:rFonts w:asciiTheme="majorHAnsi" w:hAnsiTheme="majorHAnsi"/>
          <w:sz w:val="20"/>
          <w:szCs w:val="20"/>
        </w:rPr>
        <w:t>коефіцієнта</w:t>
      </w:r>
      <w:r w:rsidRPr="000977F7">
        <w:rPr>
          <w:rFonts w:asciiTheme="majorHAnsi" w:hAnsiTheme="majorHAnsi"/>
          <w:spacing w:val="2"/>
          <w:sz w:val="20"/>
          <w:szCs w:val="20"/>
        </w:rPr>
        <w:t xml:space="preserve"> </w:t>
      </w:r>
      <w:r w:rsidRPr="000977F7">
        <w:rPr>
          <w:rFonts w:asciiTheme="majorHAnsi" w:hAnsiTheme="majorHAnsi"/>
          <w:sz w:val="20"/>
          <w:szCs w:val="20"/>
        </w:rPr>
        <w:t>підсилення</w:t>
      </w:r>
      <w:r w:rsidRPr="000977F7">
        <w:rPr>
          <w:rFonts w:asciiTheme="majorHAnsi" w:hAnsiTheme="majorHAnsi"/>
          <w:spacing w:val="-2"/>
          <w:sz w:val="20"/>
          <w:szCs w:val="20"/>
        </w:rPr>
        <w:t xml:space="preserve"> </w:t>
      </w:r>
      <w:r w:rsidRPr="000977F7">
        <w:rPr>
          <w:rFonts w:asciiTheme="majorHAnsi" w:hAnsiTheme="majorHAnsi"/>
          <w:sz w:val="20"/>
          <w:szCs w:val="20"/>
        </w:rPr>
        <w:t>тощо</w:t>
      </w:r>
    </w:p>
    <w:p w14:paraId="5DEB139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1E5B189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ВИД</w:t>
      </w:r>
      <w:r w:rsidRPr="000977F7">
        <w:rPr>
          <w:color w:val="auto"/>
          <w:spacing w:val="-2"/>
          <w:sz w:val="20"/>
          <w:szCs w:val="20"/>
        </w:rPr>
        <w:t xml:space="preserve"> </w:t>
      </w:r>
      <w:r w:rsidRPr="000977F7">
        <w:rPr>
          <w:color w:val="auto"/>
          <w:sz w:val="20"/>
          <w:szCs w:val="20"/>
        </w:rPr>
        <w:t>ДІЯННЯ</w:t>
      </w:r>
      <w:r w:rsidRPr="000977F7">
        <w:rPr>
          <w:color w:val="auto"/>
          <w:spacing w:val="-2"/>
          <w:sz w:val="20"/>
          <w:szCs w:val="20"/>
        </w:rPr>
        <w:t xml:space="preserve"> </w:t>
      </w:r>
      <w:r w:rsidRPr="000977F7">
        <w:rPr>
          <w:color w:val="auto"/>
          <w:sz w:val="20"/>
          <w:szCs w:val="20"/>
        </w:rPr>
        <w:t>–</w:t>
      </w:r>
    </w:p>
    <w:p w14:paraId="27CA398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KIND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 ACTION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140EF65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Якісна</w:t>
      </w:r>
      <w:r w:rsidRPr="000977F7">
        <w:rPr>
          <w:rFonts w:asciiTheme="majorHAnsi" w:hAnsiTheme="majorHAnsi"/>
          <w:spacing w:val="37"/>
          <w:sz w:val="20"/>
          <w:szCs w:val="20"/>
        </w:rPr>
        <w:t xml:space="preserve"> </w:t>
      </w:r>
      <w:r w:rsidRPr="000977F7">
        <w:rPr>
          <w:rFonts w:asciiTheme="majorHAnsi" w:hAnsiTheme="majorHAnsi"/>
          <w:sz w:val="20"/>
          <w:szCs w:val="20"/>
        </w:rPr>
        <w:t>визначеність</w:t>
      </w:r>
      <w:r w:rsidRPr="000977F7">
        <w:rPr>
          <w:rFonts w:asciiTheme="majorHAnsi" w:hAnsiTheme="majorHAnsi"/>
          <w:spacing w:val="38"/>
          <w:sz w:val="20"/>
          <w:szCs w:val="20"/>
        </w:rPr>
        <w:t xml:space="preserve"> </w:t>
      </w:r>
      <w:r w:rsidRPr="000977F7">
        <w:rPr>
          <w:rFonts w:asciiTheme="majorHAnsi" w:hAnsiTheme="majorHAnsi"/>
          <w:sz w:val="20"/>
          <w:szCs w:val="20"/>
        </w:rPr>
        <w:t>діяння,</w:t>
      </w:r>
      <w:r w:rsidRPr="000977F7">
        <w:rPr>
          <w:rFonts w:asciiTheme="majorHAnsi" w:hAnsiTheme="majorHAnsi"/>
          <w:spacing w:val="40"/>
          <w:sz w:val="20"/>
          <w:szCs w:val="20"/>
        </w:rPr>
        <w:t xml:space="preserve"> </w:t>
      </w:r>
      <w:r w:rsidRPr="000977F7">
        <w:rPr>
          <w:rFonts w:asciiTheme="majorHAnsi" w:hAnsiTheme="majorHAnsi"/>
          <w:sz w:val="20"/>
          <w:szCs w:val="20"/>
        </w:rPr>
        <w:t>що</w:t>
      </w:r>
      <w:r w:rsidRPr="000977F7">
        <w:rPr>
          <w:rFonts w:asciiTheme="majorHAnsi" w:hAnsiTheme="majorHAnsi"/>
          <w:spacing w:val="39"/>
          <w:sz w:val="20"/>
          <w:szCs w:val="20"/>
        </w:rPr>
        <w:t xml:space="preserve"> </w:t>
      </w:r>
      <w:r w:rsidRPr="000977F7">
        <w:rPr>
          <w:rFonts w:asciiTheme="majorHAnsi" w:hAnsiTheme="majorHAnsi"/>
          <w:sz w:val="20"/>
          <w:szCs w:val="20"/>
        </w:rPr>
        <w:t>відрізняється</w:t>
      </w:r>
      <w:r w:rsidRPr="000977F7">
        <w:rPr>
          <w:rFonts w:asciiTheme="majorHAnsi" w:hAnsiTheme="majorHAnsi"/>
          <w:spacing w:val="39"/>
          <w:sz w:val="20"/>
          <w:szCs w:val="20"/>
        </w:rPr>
        <w:t xml:space="preserve"> </w:t>
      </w:r>
      <w:r w:rsidRPr="000977F7">
        <w:rPr>
          <w:rFonts w:asciiTheme="majorHAnsi" w:hAnsiTheme="majorHAnsi"/>
          <w:sz w:val="20"/>
          <w:szCs w:val="20"/>
        </w:rPr>
        <w:t>специфікою</w:t>
      </w:r>
      <w:r w:rsidRPr="000977F7">
        <w:rPr>
          <w:rFonts w:asciiTheme="majorHAnsi" w:hAnsiTheme="majorHAnsi"/>
          <w:spacing w:val="-2"/>
          <w:sz w:val="20"/>
          <w:szCs w:val="20"/>
        </w:rPr>
        <w:t xml:space="preserve"> </w:t>
      </w:r>
      <w:r w:rsidRPr="000977F7">
        <w:rPr>
          <w:rFonts w:asciiTheme="majorHAnsi" w:hAnsiTheme="majorHAnsi"/>
          <w:sz w:val="20"/>
          <w:szCs w:val="20"/>
        </w:rPr>
        <w:t>фізичних</w:t>
      </w:r>
      <w:r w:rsidRPr="000977F7">
        <w:rPr>
          <w:rFonts w:asciiTheme="majorHAnsi" w:hAnsiTheme="majorHAnsi"/>
          <w:spacing w:val="-3"/>
          <w:sz w:val="20"/>
          <w:szCs w:val="20"/>
        </w:rPr>
        <w:t xml:space="preserve"> </w:t>
      </w:r>
      <w:r w:rsidRPr="000977F7">
        <w:rPr>
          <w:rFonts w:asciiTheme="majorHAnsi" w:hAnsiTheme="majorHAnsi"/>
          <w:sz w:val="20"/>
          <w:szCs w:val="20"/>
        </w:rPr>
        <w:t>величин,</w:t>
      </w:r>
      <w:r w:rsidRPr="000977F7">
        <w:rPr>
          <w:rFonts w:asciiTheme="majorHAnsi" w:hAnsiTheme="majorHAnsi"/>
          <w:spacing w:val="-2"/>
          <w:sz w:val="20"/>
          <w:szCs w:val="20"/>
        </w:rPr>
        <w:t xml:space="preserve"> </w:t>
      </w:r>
      <w:r w:rsidRPr="000977F7">
        <w:rPr>
          <w:rFonts w:asciiTheme="majorHAnsi" w:hAnsiTheme="majorHAnsi"/>
          <w:sz w:val="20"/>
          <w:szCs w:val="20"/>
        </w:rPr>
        <w:t>які</w:t>
      </w:r>
      <w:r w:rsidRPr="000977F7">
        <w:rPr>
          <w:rFonts w:asciiTheme="majorHAnsi" w:hAnsiTheme="majorHAnsi"/>
          <w:spacing w:val="-3"/>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характеризують</w:t>
      </w:r>
    </w:p>
    <w:p w14:paraId="1D0D6E2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74896E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Різними</w:t>
      </w:r>
      <w:r w:rsidRPr="000977F7">
        <w:rPr>
          <w:rFonts w:asciiTheme="majorHAnsi" w:hAnsiTheme="majorHAnsi"/>
          <w:spacing w:val="8"/>
          <w:sz w:val="20"/>
          <w:szCs w:val="20"/>
        </w:rPr>
        <w:t xml:space="preserve"> </w:t>
      </w:r>
      <w:r w:rsidRPr="000977F7">
        <w:rPr>
          <w:rFonts w:asciiTheme="majorHAnsi" w:hAnsiTheme="majorHAnsi"/>
          <w:sz w:val="20"/>
          <w:szCs w:val="20"/>
        </w:rPr>
        <w:t>видами</w:t>
      </w:r>
      <w:r w:rsidRPr="000977F7">
        <w:rPr>
          <w:rFonts w:asciiTheme="majorHAnsi" w:hAnsiTheme="majorHAnsi"/>
          <w:spacing w:val="8"/>
          <w:sz w:val="20"/>
          <w:szCs w:val="20"/>
        </w:rPr>
        <w:t xml:space="preserve"> </w:t>
      </w:r>
      <w:r w:rsidRPr="000977F7">
        <w:rPr>
          <w:rFonts w:asciiTheme="majorHAnsi" w:hAnsiTheme="majorHAnsi"/>
          <w:sz w:val="20"/>
          <w:szCs w:val="20"/>
        </w:rPr>
        <w:t>діянь</w:t>
      </w:r>
      <w:r w:rsidRPr="000977F7">
        <w:rPr>
          <w:rFonts w:asciiTheme="majorHAnsi" w:hAnsiTheme="majorHAnsi"/>
          <w:spacing w:val="9"/>
          <w:sz w:val="20"/>
          <w:szCs w:val="20"/>
        </w:rPr>
        <w:t xml:space="preserve"> </w:t>
      </w:r>
      <w:r w:rsidRPr="000977F7">
        <w:rPr>
          <w:rFonts w:asciiTheme="majorHAnsi" w:hAnsiTheme="majorHAnsi"/>
          <w:sz w:val="20"/>
          <w:szCs w:val="20"/>
        </w:rPr>
        <w:t>є,</w:t>
      </w:r>
      <w:r w:rsidRPr="000977F7">
        <w:rPr>
          <w:rFonts w:asciiTheme="majorHAnsi" w:hAnsiTheme="majorHAnsi"/>
          <w:spacing w:val="9"/>
          <w:sz w:val="20"/>
          <w:szCs w:val="20"/>
        </w:rPr>
        <w:t xml:space="preserve"> </w:t>
      </w:r>
      <w:r w:rsidRPr="000977F7">
        <w:rPr>
          <w:rFonts w:asciiTheme="majorHAnsi" w:hAnsiTheme="majorHAnsi"/>
          <w:sz w:val="20"/>
          <w:szCs w:val="20"/>
        </w:rPr>
        <w:t>наприклад,</w:t>
      </w:r>
      <w:r w:rsidRPr="000977F7">
        <w:rPr>
          <w:rFonts w:asciiTheme="majorHAnsi" w:hAnsiTheme="majorHAnsi"/>
          <w:spacing w:val="9"/>
          <w:sz w:val="20"/>
          <w:szCs w:val="20"/>
        </w:rPr>
        <w:t xml:space="preserve"> </w:t>
      </w:r>
      <w:r w:rsidRPr="000977F7">
        <w:rPr>
          <w:rFonts w:asciiTheme="majorHAnsi" w:hAnsiTheme="majorHAnsi"/>
          <w:sz w:val="20"/>
          <w:szCs w:val="20"/>
        </w:rPr>
        <w:t>механічне,</w:t>
      </w:r>
      <w:r w:rsidRPr="000977F7">
        <w:rPr>
          <w:rFonts w:asciiTheme="majorHAnsi" w:hAnsiTheme="majorHAnsi"/>
          <w:spacing w:val="9"/>
          <w:sz w:val="20"/>
          <w:szCs w:val="20"/>
        </w:rPr>
        <w:t xml:space="preserve"> </w:t>
      </w:r>
      <w:r w:rsidRPr="000977F7">
        <w:rPr>
          <w:rFonts w:asciiTheme="majorHAnsi" w:hAnsiTheme="majorHAnsi"/>
          <w:sz w:val="20"/>
          <w:szCs w:val="20"/>
        </w:rPr>
        <w:t>тепло</w:t>
      </w:r>
      <w:r w:rsidRPr="000977F7">
        <w:rPr>
          <w:rFonts w:asciiTheme="majorHAnsi" w:hAnsiTheme="majorHAnsi"/>
          <w:spacing w:val="-47"/>
          <w:sz w:val="20"/>
          <w:szCs w:val="20"/>
        </w:rPr>
        <w:t xml:space="preserve"> </w:t>
      </w:r>
      <w:r w:rsidRPr="000977F7">
        <w:rPr>
          <w:rFonts w:asciiTheme="majorHAnsi" w:hAnsiTheme="majorHAnsi"/>
          <w:sz w:val="20"/>
          <w:szCs w:val="20"/>
        </w:rPr>
        <w:t>ве,</w:t>
      </w:r>
      <w:r w:rsidRPr="000977F7">
        <w:rPr>
          <w:rFonts w:asciiTheme="majorHAnsi" w:hAnsiTheme="majorHAnsi"/>
          <w:spacing w:val="-1"/>
          <w:sz w:val="20"/>
          <w:szCs w:val="20"/>
        </w:rPr>
        <w:t xml:space="preserve"> </w:t>
      </w:r>
      <w:r w:rsidRPr="000977F7">
        <w:rPr>
          <w:rFonts w:asciiTheme="majorHAnsi" w:hAnsiTheme="majorHAnsi"/>
          <w:sz w:val="20"/>
          <w:szCs w:val="20"/>
        </w:rPr>
        <w:t>електричне,</w:t>
      </w:r>
      <w:r w:rsidRPr="000977F7">
        <w:rPr>
          <w:rFonts w:asciiTheme="majorHAnsi" w:hAnsiTheme="majorHAnsi"/>
          <w:spacing w:val="1"/>
          <w:sz w:val="20"/>
          <w:szCs w:val="20"/>
        </w:rPr>
        <w:t xml:space="preserve"> </w:t>
      </w:r>
      <w:r w:rsidRPr="000977F7">
        <w:rPr>
          <w:rFonts w:asciiTheme="majorHAnsi" w:hAnsiTheme="majorHAnsi"/>
          <w:sz w:val="20"/>
          <w:szCs w:val="20"/>
        </w:rPr>
        <w:t>акустичне</w:t>
      </w:r>
      <w:r w:rsidRPr="000977F7">
        <w:rPr>
          <w:rFonts w:asciiTheme="majorHAnsi" w:hAnsiTheme="majorHAnsi"/>
          <w:spacing w:val="-1"/>
          <w:sz w:val="20"/>
          <w:szCs w:val="20"/>
        </w:rPr>
        <w:t xml:space="preserve"> </w:t>
      </w:r>
      <w:r w:rsidRPr="000977F7">
        <w:rPr>
          <w:rFonts w:asciiTheme="majorHAnsi" w:hAnsiTheme="majorHAnsi"/>
          <w:sz w:val="20"/>
          <w:szCs w:val="20"/>
        </w:rPr>
        <w:t>діяння</w:t>
      </w:r>
    </w:p>
    <w:p w14:paraId="26D10A1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3956 - 2000</w:t>
      </w:r>
    </w:p>
    <w:p w14:paraId="3C7D9BE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ВИД</w:t>
      </w:r>
      <w:r w:rsidRPr="000977F7">
        <w:rPr>
          <w:color w:val="auto"/>
          <w:spacing w:val="-4"/>
          <w:sz w:val="20"/>
          <w:szCs w:val="20"/>
        </w:rPr>
        <w:t xml:space="preserve"> </w:t>
      </w:r>
      <w:r w:rsidRPr="000977F7">
        <w:rPr>
          <w:color w:val="auto"/>
          <w:sz w:val="20"/>
          <w:szCs w:val="20"/>
        </w:rPr>
        <w:t>КОНТРОЛЮ</w:t>
      </w:r>
      <w:r w:rsidRPr="000977F7">
        <w:rPr>
          <w:color w:val="auto"/>
          <w:spacing w:val="-3"/>
          <w:sz w:val="20"/>
          <w:szCs w:val="20"/>
        </w:rPr>
        <w:t xml:space="preserve"> </w:t>
      </w:r>
      <w:r w:rsidRPr="000977F7">
        <w:rPr>
          <w:color w:val="auto"/>
          <w:sz w:val="20"/>
          <w:szCs w:val="20"/>
        </w:rPr>
        <w:t>–</w:t>
      </w:r>
    </w:p>
    <w:p w14:paraId="39D1DA0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MODE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INSPECTION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42A74A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Класифікаційне угруповання контролю за визначеною </w:t>
      </w:r>
      <w:r w:rsidRPr="000977F7">
        <w:rPr>
          <w:rFonts w:asciiTheme="majorHAnsi" w:hAnsiTheme="majorHAnsi"/>
          <w:spacing w:val="-47"/>
          <w:sz w:val="20"/>
          <w:szCs w:val="20"/>
        </w:rPr>
        <w:t xml:space="preserve"> </w:t>
      </w:r>
      <w:r w:rsidRPr="000977F7">
        <w:rPr>
          <w:rFonts w:asciiTheme="majorHAnsi" w:hAnsiTheme="majorHAnsi"/>
          <w:sz w:val="20"/>
          <w:szCs w:val="20"/>
        </w:rPr>
        <w:t>ознакою</w:t>
      </w:r>
    </w:p>
    <w:p w14:paraId="26E9289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3021 – 95</w:t>
      </w:r>
    </w:p>
    <w:p w14:paraId="59C6FCD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i/>
          <w:color w:val="auto"/>
          <w:spacing w:val="-47"/>
          <w:sz w:val="20"/>
          <w:szCs w:val="20"/>
        </w:rPr>
        <w:t xml:space="preserve"> </w:t>
      </w:r>
      <w:r w:rsidRPr="000977F7">
        <w:rPr>
          <w:color w:val="auto"/>
          <w:sz w:val="20"/>
          <w:szCs w:val="20"/>
        </w:rPr>
        <w:t xml:space="preserve">ВИД НАВАНТАЖУВАННЯ – </w:t>
      </w:r>
    </w:p>
    <w:p w14:paraId="41DF026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b w:val="0"/>
          <w:bCs/>
          <w:color w:val="auto"/>
          <w:sz w:val="20"/>
          <w:szCs w:val="20"/>
        </w:rPr>
        <w:t>MODE OF LOADING</w:t>
      </w:r>
      <w:r w:rsidRPr="000977F7">
        <w:rPr>
          <w:color w:val="auto"/>
          <w:sz w:val="20"/>
          <w:szCs w:val="20"/>
        </w:rPr>
        <w:t xml:space="preserve"> –</w:t>
      </w:r>
    </w:p>
    <w:p w14:paraId="236CD12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Класифікаційне угрупування способів навантажування, що утворюють в об’єкті заданий напружено – деформований</w:t>
      </w:r>
      <w:r w:rsidRPr="000977F7">
        <w:rPr>
          <w:rFonts w:asciiTheme="majorHAnsi" w:hAnsiTheme="majorHAnsi"/>
          <w:spacing w:val="-2"/>
          <w:sz w:val="20"/>
          <w:szCs w:val="20"/>
        </w:rPr>
        <w:t xml:space="preserve"> </w:t>
      </w:r>
      <w:r w:rsidRPr="000977F7">
        <w:rPr>
          <w:rFonts w:asciiTheme="majorHAnsi" w:hAnsiTheme="majorHAnsi"/>
          <w:sz w:val="20"/>
          <w:szCs w:val="20"/>
        </w:rPr>
        <w:t>стан</w:t>
      </w:r>
    </w:p>
    <w:p w14:paraId="20A0E94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 :</w:t>
      </w:r>
    </w:p>
    <w:p w14:paraId="5821813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видів</w:t>
      </w:r>
      <w:r w:rsidRPr="000977F7">
        <w:rPr>
          <w:rFonts w:asciiTheme="majorHAnsi" w:hAnsiTheme="majorHAnsi"/>
          <w:spacing w:val="1"/>
          <w:sz w:val="20"/>
          <w:szCs w:val="20"/>
        </w:rPr>
        <w:t xml:space="preserve"> </w:t>
      </w:r>
      <w:r w:rsidRPr="000977F7">
        <w:rPr>
          <w:rFonts w:asciiTheme="majorHAnsi" w:hAnsiTheme="majorHAnsi"/>
          <w:sz w:val="20"/>
          <w:szCs w:val="20"/>
        </w:rPr>
        <w:t>навантажування</w:t>
      </w:r>
      <w:r w:rsidRPr="000977F7">
        <w:rPr>
          <w:rFonts w:asciiTheme="majorHAnsi" w:hAnsiTheme="majorHAnsi"/>
          <w:spacing w:val="1"/>
          <w:sz w:val="20"/>
          <w:szCs w:val="20"/>
        </w:rPr>
        <w:t xml:space="preserve"> </w:t>
      </w:r>
      <w:r w:rsidRPr="000977F7">
        <w:rPr>
          <w:rFonts w:asciiTheme="majorHAnsi" w:hAnsiTheme="majorHAnsi"/>
          <w:sz w:val="20"/>
          <w:szCs w:val="20"/>
        </w:rPr>
        <w:t>належать</w:t>
      </w:r>
      <w:r w:rsidRPr="000977F7">
        <w:rPr>
          <w:rFonts w:asciiTheme="majorHAnsi" w:hAnsiTheme="majorHAnsi"/>
          <w:spacing w:val="1"/>
          <w:sz w:val="20"/>
          <w:szCs w:val="20"/>
        </w:rPr>
        <w:t xml:space="preserve"> </w:t>
      </w:r>
      <w:r w:rsidRPr="000977F7">
        <w:rPr>
          <w:rFonts w:asciiTheme="majorHAnsi" w:hAnsiTheme="majorHAnsi"/>
          <w:sz w:val="20"/>
          <w:szCs w:val="20"/>
        </w:rPr>
        <w:t>розтягування,</w:t>
      </w:r>
      <w:r w:rsidRPr="000977F7">
        <w:rPr>
          <w:rFonts w:asciiTheme="majorHAnsi" w:hAnsiTheme="majorHAnsi"/>
          <w:spacing w:val="-47"/>
          <w:sz w:val="20"/>
          <w:szCs w:val="20"/>
        </w:rPr>
        <w:t xml:space="preserve"> </w:t>
      </w:r>
      <w:r w:rsidRPr="000977F7">
        <w:rPr>
          <w:rFonts w:asciiTheme="majorHAnsi" w:hAnsiTheme="majorHAnsi"/>
          <w:sz w:val="20"/>
          <w:szCs w:val="20"/>
        </w:rPr>
        <w:t>стискання, згинання, крутіння, зсування та їхні комбінації, що можуть реалізовуватись за умови статичного, динамічного, циклічного та інших навантажувань.</w:t>
      </w:r>
    </w:p>
    <w:p w14:paraId="1867C918"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2824 – 94</w:t>
      </w:r>
    </w:p>
    <w:p w14:paraId="609A5F9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ВИД</w:t>
      </w:r>
      <w:r w:rsidRPr="000977F7">
        <w:rPr>
          <w:color w:val="auto"/>
          <w:spacing w:val="-4"/>
          <w:sz w:val="20"/>
          <w:szCs w:val="20"/>
        </w:rPr>
        <w:t xml:space="preserve"> </w:t>
      </w:r>
      <w:r w:rsidRPr="000977F7">
        <w:rPr>
          <w:color w:val="auto"/>
          <w:sz w:val="20"/>
          <w:szCs w:val="20"/>
        </w:rPr>
        <w:t>НЕСПРАВНОСТІ</w:t>
      </w:r>
      <w:r w:rsidRPr="000977F7">
        <w:rPr>
          <w:color w:val="auto"/>
          <w:spacing w:val="-3"/>
          <w:sz w:val="20"/>
          <w:szCs w:val="20"/>
        </w:rPr>
        <w:t xml:space="preserve"> </w:t>
      </w:r>
      <w:r w:rsidRPr="000977F7">
        <w:rPr>
          <w:color w:val="auto"/>
          <w:sz w:val="20"/>
          <w:szCs w:val="20"/>
        </w:rPr>
        <w:t>–</w:t>
      </w:r>
    </w:p>
    <w:p w14:paraId="1D51A4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FAULT MODE –</w:t>
      </w:r>
    </w:p>
    <w:p w14:paraId="600DA22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Один з можливих станів несправного об’єкта для деякої</w:t>
      </w:r>
      <w:r w:rsidRPr="000977F7">
        <w:rPr>
          <w:rFonts w:asciiTheme="majorHAnsi" w:hAnsiTheme="majorHAnsi"/>
          <w:spacing w:val="-2"/>
          <w:sz w:val="20"/>
          <w:szCs w:val="20"/>
        </w:rPr>
        <w:t xml:space="preserve"> </w:t>
      </w:r>
      <w:r w:rsidRPr="000977F7">
        <w:rPr>
          <w:rFonts w:asciiTheme="majorHAnsi" w:hAnsiTheme="majorHAnsi"/>
          <w:sz w:val="20"/>
          <w:szCs w:val="20"/>
        </w:rPr>
        <w:t>заданої</w:t>
      </w:r>
      <w:r w:rsidRPr="000977F7">
        <w:rPr>
          <w:rFonts w:asciiTheme="majorHAnsi" w:hAnsiTheme="majorHAnsi"/>
          <w:spacing w:val="-1"/>
          <w:sz w:val="20"/>
          <w:szCs w:val="20"/>
        </w:rPr>
        <w:t xml:space="preserve"> </w:t>
      </w:r>
      <w:r w:rsidRPr="000977F7">
        <w:rPr>
          <w:rFonts w:asciiTheme="majorHAnsi" w:hAnsiTheme="majorHAnsi"/>
          <w:sz w:val="20"/>
          <w:szCs w:val="20"/>
        </w:rPr>
        <w:t>функції</w:t>
      </w:r>
    </w:p>
    <w:p w14:paraId="0612088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CDD3D5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ВИД</w:t>
      </w:r>
      <w:r w:rsidRPr="000977F7">
        <w:rPr>
          <w:color w:val="auto"/>
          <w:spacing w:val="-3"/>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4E8806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Класифікаційна категорія, що об’єднує</w:t>
      </w:r>
      <w:r w:rsidRPr="000977F7">
        <w:rPr>
          <w:rFonts w:asciiTheme="majorHAnsi" w:hAnsiTheme="majorHAnsi"/>
          <w:spacing w:val="1"/>
          <w:sz w:val="20"/>
          <w:szCs w:val="20"/>
        </w:rPr>
        <w:t xml:space="preserve"> </w:t>
      </w:r>
      <w:r w:rsidRPr="000977F7">
        <w:rPr>
          <w:rFonts w:asciiTheme="majorHAnsi" w:hAnsiTheme="majorHAnsi"/>
          <w:sz w:val="20"/>
          <w:szCs w:val="20"/>
        </w:rPr>
        <w:t>продукцію з</w:t>
      </w:r>
      <w:r w:rsidRPr="000977F7">
        <w:rPr>
          <w:rFonts w:asciiTheme="majorHAnsi" w:hAnsiTheme="majorHAnsi"/>
          <w:spacing w:val="1"/>
          <w:sz w:val="20"/>
          <w:szCs w:val="20"/>
        </w:rPr>
        <w:t xml:space="preserve"> </w:t>
      </w:r>
      <w:r w:rsidRPr="000977F7">
        <w:rPr>
          <w:rFonts w:asciiTheme="majorHAnsi" w:hAnsiTheme="majorHAnsi"/>
          <w:sz w:val="20"/>
          <w:szCs w:val="20"/>
        </w:rPr>
        <w:t>однаковою</w:t>
      </w:r>
      <w:r w:rsidRPr="000977F7">
        <w:rPr>
          <w:rFonts w:asciiTheme="majorHAnsi" w:hAnsiTheme="majorHAnsi"/>
          <w:spacing w:val="1"/>
          <w:sz w:val="20"/>
          <w:szCs w:val="20"/>
        </w:rPr>
        <w:t xml:space="preserve"> </w:t>
      </w:r>
      <w:r w:rsidRPr="000977F7">
        <w:rPr>
          <w:rFonts w:asciiTheme="majorHAnsi" w:hAnsiTheme="majorHAnsi"/>
          <w:sz w:val="20"/>
          <w:szCs w:val="20"/>
        </w:rPr>
        <w:t>назвою за</w:t>
      </w:r>
      <w:r w:rsidRPr="000977F7">
        <w:rPr>
          <w:rFonts w:asciiTheme="majorHAnsi" w:hAnsiTheme="majorHAnsi"/>
          <w:spacing w:val="-1"/>
          <w:sz w:val="20"/>
          <w:szCs w:val="20"/>
        </w:rPr>
        <w:t xml:space="preserve"> </w:t>
      </w:r>
      <w:r w:rsidRPr="000977F7">
        <w:rPr>
          <w:rFonts w:asciiTheme="majorHAnsi" w:hAnsiTheme="majorHAnsi"/>
          <w:sz w:val="20"/>
          <w:szCs w:val="20"/>
        </w:rPr>
        <w:t>однією з</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ознак</w:t>
      </w:r>
    </w:p>
    <w:p w14:paraId="5367B3E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4C6EB57C" w14:textId="77777777" w:rsidR="0097612F" w:rsidRPr="000977F7" w:rsidRDefault="0097612F" w:rsidP="00FD39A4">
      <w:pPr>
        <w:pStyle w:val="ac"/>
        <w:widowControl w:val="0"/>
        <w:numPr>
          <w:ilvl w:val="0"/>
          <w:numId w:val="216"/>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Залежно</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цільових</w:t>
      </w:r>
      <w:r w:rsidRPr="000977F7">
        <w:rPr>
          <w:rFonts w:asciiTheme="majorHAnsi" w:hAnsiTheme="majorHAnsi"/>
          <w:spacing w:val="1"/>
          <w:sz w:val="20"/>
          <w:szCs w:val="20"/>
        </w:rPr>
        <w:t xml:space="preserve"> </w:t>
      </w:r>
      <w:r w:rsidRPr="000977F7">
        <w:rPr>
          <w:rFonts w:asciiTheme="majorHAnsi" w:hAnsiTheme="majorHAnsi"/>
          <w:sz w:val="20"/>
          <w:szCs w:val="20"/>
        </w:rPr>
        <w:t>(функціональних)</w:t>
      </w:r>
      <w:r w:rsidRPr="000977F7">
        <w:rPr>
          <w:rFonts w:asciiTheme="majorHAnsi" w:hAnsiTheme="majorHAnsi"/>
          <w:spacing w:val="1"/>
          <w:sz w:val="20"/>
          <w:szCs w:val="20"/>
        </w:rPr>
        <w:t xml:space="preserve"> </w:t>
      </w:r>
      <w:r w:rsidRPr="000977F7">
        <w:rPr>
          <w:rFonts w:asciiTheme="majorHAnsi" w:hAnsiTheme="majorHAnsi"/>
          <w:sz w:val="20"/>
          <w:szCs w:val="20"/>
        </w:rPr>
        <w:t>ознак</w:t>
      </w:r>
      <w:r w:rsidRPr="000977F7">
        <w:rPr>
          <w:rFonts w:asciiTheme="majorHAnsi" w:hAnsiTheme="majorHAnsi"/>
          <w:spacing w:val="1"/>
          <w:sz w:val="20"/>
          <w:szCs w:val="20"/>
        </w:rPr>
        <w:t xml:space="preserve"> </w:t>
      </w:r>
      <w:r w:rsidRPr="000977F7">
        <w:rPr>
          <w:rFonts w:asciiTheme="majorHAnsi" w:hAnsiTheme="majorHAnsi"/>
          <w:sz w:val="20"/>
          <w:szCs w:val="20"/>
        </w:rPr>
        <w:t>створюють</w:t>
      </w:r>
      <w:r w:rsidRPr="000977F7">
        <w:rPr>
          <w:rFonts w:asciiTheme="majorHAnsi" w:hAnsiTheme="majorHAnsi"/>
          <w:spacing w:val="-2"/>
          <w:sz w:val="20"/>
          <w:szCs w:val="20"/>
        </w:rPr>
        <w:t xml:space="preserve"> </w:t>
      </w:r>
      <w:r w:rsidRPr="000977F7">
        <w:rPr>
          <w:rFonts w:asciiTheme="majorHAnsi" w:hAnsiTheme="majorHAnsi"/>
          <w:sz w:val="20"/>
          <w:szCs w:val="20"/>
        </w:rPr>
        <w:t>видові</w:t>
      </w:r>
      <w:r w:rsidRPr="000977F7">
        <w:rPr>
          <w:rFonts w:asciiTheme="majorHAnsi" w:hAnsiTheme="majorHAnsi"/>
          <w:spacing w:val="-1"/>
          <w:sz w:val="20"/>
          <w:szCs w:val="20"/>
        </w:rPr>
        <w:t xml:space="preserve"> </w:t>
      </w:r>
      <w:r w:rsidRPr="000977F7">
        <w:rPr>
          <w:rFonts w:asciiTheme="majorHAnsi" w:hAnsiTheme="majorHAnsi"/>
          <w:sz w:val="20"/>
          <w:szCs w:val="20"/>
        </w:rPr>
        <w:t>поняття, н</w:t>
      </w:r>
      <w:r w:rsidRPr="000977F7">
        <w:rPr>
          <w:rFonts w:asciiTheme="majorHAnsi" w:hAnsiTheme="majorHAnsi"/>
          <w:spacing w:val="-2"/>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п</w:t>
      </w:r>
      <w:r w:rsidRPr="000977F7">
        <w:rPr>
          <w:rFonts w:asciiTheme="majorHAnsi" w:hAnsiTheme="majorHAnsi"/>
          <w:spacing w:val="-2"/>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л</w:t>
      </w:r>
      <w:r w:rsidRPr="000977F7">
        <w:rPr>
          <w:rFonts w:asciiTheme="majorHAnsi" w:hAnsiTheme="majorHAnsi"/>
          <w:spacing w:val="-2"/>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д :</w:t>
      </w:r>
      <w:r w:rsidRPr="000977F7">
        <w:rPr>
          <w:rFonts w:asciiTheme="majorHAnsi" w:hAnsiTheme="majorHAnsi"/>
          <w:spacing w:val="48"/>
          <w:sz w:val="20"/>
          <w:szCs w:val="20"/>
        </w:rPr>
        <w:t xml:space="preserve"> </w:t>
      </w:r>
    </w:p>
    <w:p w14:paraId="4E3531D5" w14:textId="77777777" w:rsidR="0097612F" w:rsidRPr="000977F7" w:rsidRDefault="0097612F" w:rsidP="000977F7">
      <w:pPr>
        <w:pStyle w:val="ac"/>
        <w:tabs>
          <w:tab w:val="left" w:pos="284"/>
          <w:tab w:val="left" w:pos="801"/>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"ве</w:t>
      </w:r>
      <w:r w:rsidRPr="000977F7">
        <w:rPr>
          <w:rFonts w:asciiTheme="majorHAnsi" w:hAnsiTheme="majorHAnsi"/>
          <w:spacing w:val="-48"/>
          <w:sz w:val="20"/>
          <w:szCs w:val="20"/>
        </w:rPr>
        <w:t xml:space="preserve"> </w:t>
      </w:r>
      <w:r w:rsidRPr="000977F7">
        <w:rPr>
          <w:rFonts w:asciiTheme="majorHAnsi" w:hAnsiTheme="majorHAnsi"/>
          <w:spacing w:val="1"/>
          <w:w w:val="99"/>
          <w:sz w:val="20"/>
          <w:szCs w:val="20"/>
        </w:rPr>
        <w:t>р</w:t>
      </w:r>
      <w:r w:rsidRPr="000977F7">
        <w:rPr>
          <w:rFonts w:asciiTheme="majorHAnsi" w:hAnsiTheme="majorHAnsi"/>
          <w:w w:val="99"/>
          <w:sz w:val="20"/>
          <w:szCs w:val="20"/>
        </w:rPr>
        <w:t>стат</w:t>
      </w:r>
      <w:r w:rsidRPr="000977F7">
        <w:rPr>
          <w:rFonts w:asciiTheme="majorHAnsi" w:hAnsiTheme="majorHAnsi"/>
          <w:spacing w:val="-2"/>
          <w:w w:val="99"/>
          <w:sz w:val="20"/>
          <w:szCs w:val="20"/>
        </w:rPr>
        <w:t>и"</w:t>
      </w:r>
      <w:r w:rsidRPr="000977F7">
        <w:rPr>
          <w:rFonts w:asciiTheme="majorHAnsi" w:hAnsiTheme="majorHAnsi"/>
          <w:w w:val="130"/>
          <w:sz w:val="20"/>
          <w:szCs w:val="20"/>
        </w:rPr>
        <w:t>,</w:t>
      </w:r>
      <w:r w:rsidRPr="000977F7">
        <w:rPr>
          <w:rFonts w:asciiTheme="majorHAnsi" w:hAnsiTheme="majorHAnsi"/>
          <w:spacing w:val="1"/>
          <w:sz w:val="20"/>
          <w:szCs w:val="20"/>
        </w:rPr>
        <w:t xml:space="preserve"> "</w:t>
      </w:r>
      <w:r w:rsidRPr="000977F7">
        <w:rPr>
          <w:rFonts w:asciiTheme="majorHAnsi" w:hAnsiTheme="majorHAnsi"/>
          <w:spacing w:val="2"/>
          <w:w w:val="99"/>
          <w:sz w:val="20"/>
          <w:szCs w:val="20"/>
        </w:rPr>
        <w:t>а</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т</w:t>
      </w:r>
      <w:r w:rsidRPr="000977F7">
        <w:rPr>
          <w:rFonts w:asciiTheme="majorHAnsi" w:hAnsiTheme="majorHAnsi"/>
          <w:spacing w:val="1"/>
          <w:w w:val="99"/>
          <w:sz w:val="20"/>
          <w:szCs w:val="20"/>
        </w:rPr>
        <w:t>омо</w:t>
      </w:r>
      <w:r w:rsidRPr="000977F7">
        <w:rPr>
          <w:rFonts w:asciiTheme="majorHAnsi" w:hAnsiTheme="majorHAnsi"/>
          <w:w w:val="99"/>
          <w:sz w:val="20"/>
          <w:szCs w:val="20"/>
        </w:rPr>
        <w:t>б</w:t>
      </w:r>
      <w:r w:rsidRPr="000977F7">
        <w:rPr>
          <w:rFonts w:asciiTheme="majorHAnsi" w:hAnsiTheme="majorHAnsi"/>
          <w:spacing w:val="-1"/>
          <w:w w:val="99"/>
          <w:sz w:val="20"/>
          <w:szCs w:val="20"/>
        </w:rPr>
        <w:t>і</w:t>
      </w:r>
      <w:r w:rsidRPr="000977F7">
        <w:rPr>
          <w:rFonts w:asciiTheme="majorHAnsi" w:hAnsiTheme="majorHAnsi"/>
          <w:spacing w:val="1"/>
          <w:w w:val="99"/>
          <w:sz w:val="20"/>
          <w:szCs w:val="20"/>
        </w:rPr>
        <w:t>л</w:t>
      </w:r>
      <w:r w:rsidRPr="000977F7">
        <w:rPr>
          <w:rFonts w:asciiTheme="majorHAnsi" w:hAnsiTheme="majorHAnsi"/>
          <w:w w:val="119"/>
          <w:sz w:val="20"/>
          <w:szCs w:val="20"/>
        </w:rPr>
        <w:t>і",</w:t>
      </w:r>
      <w:r w:rsidRPr="000977F7">
        <w:rPr>
          <w:rFonts w:asciiTheme="majorHAnsi" w:hAnsiTheme="majorHAnsi"/>
          <w:sz w:val="20"/>
          <w:szCs w:val="20"/>
        </w:rPr>
        <w:t xml:space="preserve"> "</w:t>
      </w:r>
      <w:r w:rsidRPr="000977F7">
        <w:rPr>
          <w:rFonts w:asciiTheme="majorHAnsi" w:hAnsiTheme="majorHAnsi"/>
          <w:w w:val="69"/>
          <w:sz w:val="20"/>
          <w:szCs w:val="20"/>
        </w:rPr>
        <w:t>в</w:t>
      </w:r>
      <w:r w:rsidRPr="000977F7">
        <w:rPr>
          <w:rFonts w:asciiTheme="majorHAnsi" w:hAnsiTheme="majorHAnsi"/>
          <w:spacing w:val="2"/>
          <w:w w:val="69"/>
          <w:sz w:val="20"/>
          <w:szCs w:val="20"/>
        </w:rPr>
        <w:t>з</w:t>
      </w:r>
      <w:r w:rsidRPr="000977F7">
        <w:rPr>
          <w:rFonts w:asciiTheme="majorHAnsi" w:hAnsiTheme="majorHAnsi"/>
          <w:spacing w:val="-2"/>
          <w:w w:val="99"/>
          <w:sz w:val="20"/>
          <w:szCs w:val="20"/>
        </w:rPr>
        <w:t>у</w:t>
      </w:r>
      <w:r w:rsidRPr="000977F7">
        <w:rPr>
          <w:rFonts w:asciiTheme="majorHAnsi" w:hAnsiTheme="majorHAnsi"/>
          <w:spacing w:val="-1"/>
          <w:w w:val="99"/>
          <w:sz w:val="20"/>
          <w:szCs w:val="20"/>
        </w:rPr>
        <w:t>тт</w:t>
      </w:r>
      <w:r w:rsidRPr="000977F7">
        <w:rPr>
          <w:rFonts w:asciiTheme="majorHAnsi" w:hAnsiTheme="majorHAnsi"/>
          <w:w w:val="121"/>
          <w:sz w:val="20"/>
          <w:szCs w:val="20"/>
        </w:rPr>
        <w:t>я", "</w:t>
      </w:r>
      <w:r w:rsidRPr="000977F7">
        <w:rPr>
          <w:rFonts w:asciiTheme="majorHAnsi" w:hAnsiTheme="majorHAnsi"/>
          <w:spacing w:val="1"/>
          <w:w w:val="99"/>
          <w:sz w:val="20"/>
          <w:szCs w:val="20"/>
        </w:rPr>
        <w:t>т</w:t>
      </w:r>
      <w:r w:rsidRPr="000977F7">
        <w:rPr>
          <w:rFonts w:asciiTheme="majorHAnsi" w:hAnsiTheme="majorHAnsi"/>
          <w:spacing w:val="-1"/>
          <w:w w:val="99"/>
          <w:sz w:val="20"/>
          <w:szCs w:val="20"/>
        </w:rPr>
        <w:t>к</w:t>
      </w:r>
      <w:r w:rsidRPr="000977F7">
        <w:rPr>
          <w:rFonts w:asciiTheme="majorHAnsi" w:hAnsiTheme="majorHAnsi"/>
          <w:w w:val="99"/>
          <w:sz w:val="20"/>
          <w:szCs w:val="20"/>
        </w:rPr>
        <w:t>а</w:t>
      </w:r>
      <w:r w:rsidRPr="000977F7">
        <w:rPr>
          <w:rFonts w:asciiTheme="majorHAnsi" w:hAnsiTheme="majorHAnsi"/>
          <w:spacing w:val="1"/>
          <w:w w:val="99"/>
          <w:sz w:val="20"/>
          <w:szCs w:val="20"/>
        </w:rPr>
        <w:t>н</w:t>
      </w:r>
      <w:r w:rsidRPr="000977F7">
        <w:rPr>
          <w:rFonts w:asciiTheme="majorHAnsi" w:hAnsiTheme="majorHAnsi"/>
          <w:spacing w:val="-2"/>
          <w:w w:val="99"/>
          <w:sz w:val="20"/>
          <w:szCs w:val="20"/>
        </w:rPr>
        <w:t>и</w:t>
      </w:r>
      <w:r w:rsidRPr="000977F7">
        <w:rPr>
          <w:rFonts w:asciiTheme="majorHAnsi" w:hAnsiTheme="majorHAnsi"/>
          <w:spacing w:val="1"/>
          <w:w w:val="99"/>
          <w:sz w:val="20"/>
          <w:szCs w:val="20"/>
        </w:rPr>
        <w:t>н</w:t>
      </w:r>
      <w:r w:rsidRPr="000977F7">
        <w:rPr>
          <w:rFonts w:asciiTheme="majorHAnsi" w:hAnsiTheme="majorHAnsi"/>
          <w:spacing w:val="-2"/>
          <w:w w:val="99"/>
          <w:sz w:val="20"/>
          <w:szCs w:val="20"/>
        </w:rPr>
        <w:t>и"</w:t>
      </w:r>
    </w:p>
    <w:p w14:paraId="69C5A5C6" w14:textId="77777777" w:rsidR="0097612F" w:rsidRPr="000977F7" w:rsidRDefault="0097612F" w:rsidP="00FD39A4">
      <w:pPr>
        <w:pStyle w:val="ac"/>
        <w:widowControl w:val="0"/>
        <w:numPr>
          <w:ilvl w:val="0"/>
          <w:numId w:val="216"/>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Залежно від виду виробництва створюють видові</w:t>
      </w:r>
      <w:r w:rsidRPr="000977F7">
        <w:rPr>
          <w:rFonts w:asciiTheme="majorHAnsi" w:hAnsiTheme="majorHAnsi"/>
          <w:spacing w:val="1"/>
          <w:sz w:val="20"/>
          <w:szCs w:val="20"/>
        </w:rPr>
        <w:t xml:space="preserve"> </w:t>
      </w:r>
      <w:r w:rsidRPr="000977F7">
        <w:rPr>
          <w:rFonts w:asciiTheme="majorHAnsi" w:hAnsiTheme="majorHAnsi"/>
          <w:spacing w:val="-2"/>
          <w:w w:val="99"/>
          <w:sz w:val="20"/>
          <w:szCs w:val="20"/>
        </w:rPr>
        <w:t>п</w:t>
      </w:r>
      <w:r w:rsidRPr="000977F7">
        <w:rPr>
          <w:rFonts w:asciiTheme="majorHAnsi" w:hAnsiTheme="majorHAnsi"/>
          <w:spacing w:val="1"/>
          <w:w w:val="99"/>
          <w:sz w:val="20"/>
          <w:szCs w:val="20"/>
        </w:rPr>
        <w:t>о</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я</w:t>
      </w:r>
      <w:r w:rsidRPr="000977F7">
        <w:rPr>
          <w:rFonts w:asciiTheme="majorHAnsi" w:hAnsiTheme="majorHAnsi"/>
          <w:spacing w:val="-1"/>
          <w:w w:val="99"/>
          <w:sz w:val="20"/>
          <w:szCs w:val="20"/>
        </w:rPr>
        <w:t>тт</w:t>
      </w:r>
      <w:r w:rsidRPr="000977F7">
        <w:rPr>
          <w:rFonts w:asciiTheme="majorHAnsi" w:hAnsiTheme="majorHAnsi"/>
          <w:w w:val="99"/>
          <w:sz w:val="20"/>
          <w:szCs w:val="20"/>
        </w:rPr>
        <w:t>я,</w:t>
      </w:r>
      <w:r w:rsidRPr="000977F7">
        <w:rPr>
          <w:rFonts w:asciiTheme="majorHAnsi" w:hAnsiTheme="majorHAnsi"/>
          <w:spacing w:val="12"/>
          <w:sz w:val="20"/>
          <w:szCs w:val="20"/>
        </w:rPr>
        <w:t xml:space="preserve"> </w:t>
      </w:r>
      <w:r w:rsidRPr="000977F7">
        <w:rPr>
          <w:rFonts w:asciiTheme="majorHAnsi" w:hAnsiTheme="majorHAnsi"/>
          <w:spacing w:val="-2"/>
          <w:w w:val="99"/>
          <w:sz w:val="20"/>
          <w:szCs w:val="20"/>
        </w:rPr>
        <w:t>н</w:t>
      </w:r>
      <w:r w:rsidRPr="000977F7">
        <w:rPr>
          <w:rFonts w:asciiTheme="majorHAnsi" w:hAnsiTheme="majorHAnsi"/>
          <w:spacing w:val="2"/>
          <w:w w:val="99"/>
          <w:sz w:val="20"/>
          <w:szCs w:val="20"/>
        </w:rPr>
        <w:t>а</w:t>
      </w:r>
      <w:r w:rsidRPr="000977F7">
        <w:rPr>
          <w:rFonts w:asciiTheme="majorHAnsi" w:hAnsiTheme="majorHAnsi"/>
          <w:spacing w:val="-2"/>
          <w:w w:val="99"/>
          <w:sz w:val="20"/>
          <w:szCs w:val="20"/>
        </w:rPr>
        <w:t>п</w:t>
      </w:r>
      <w:r w:rsidRPr="000977F7">
        <w:rPr>
          <w:rFonts w:asciiTheme="majorHAnsi" w:hAnsiTheme="majorHAnsi"/>
          <w:spacing w:val="1"/>
          <w:w w:val="99"/>
          <w:sz w:val="20"/>
          <w:szCs w:val="20"/>
        </w:rPr>
        <w:t>ри</w:t>
      </w:r>
      <w:r w:rsidRPr="000977F7">
        <w:rPr>
          <w:rFonts w:asciiTheme="majorHAnsi" w:hAnsiTheme="majorHAnsi"/>
          <w:spacing w:val="-1"/>
          <w:w w:val="99"/>
          <w:sz w:val="20"/>
          <w:szCs w:val="20"/>
        </w:rPr>
        <w:t>кл</w:t>
      </w:r>
      <w:r w:rsidRPr="000977F7">
        <w:rPr>
          <w:rFonts w:asciiTheme="majorHAnsi" w:hAnsiTheme="majorHAnsi"/>
          <w:spacing w:val="2"/>
          <w:w w:val="99"/>
          <w:sz w:val="20"/>
          <w:szCs w:val="20"/>
        </w:rPr>
        <w:t>а</w:t>
      </w:r>
      <w:r w:rsidRPr="000977F7">
        <w:rPr>
          <w:rFonts w:asciiTheme="majorHAnsi" w:hAnsiTheme="majorHAnsi"/>
          <w:w w:val="99"/>
          <w:sz w:val="20"/>
          <w:szCs w:val="20"/>
        </w:rPr>
        <w:t>д:</w:t>
      </w:r>
      <w:r w:rsidRPr="000977F7">
        <w:rPr>
          <w:rFonts w:asciiTheme="majorHAnsi" w:hAnsiTheme="majorHAnsi"/>
          <w:spacing w:val="13"/>
          <w:sz w:val="20"/>
          <w:szCs w:val="20"/>
        </w:rPr>
        <w:t xml:space="preserve"> "</w:t>
      </w:r>
      <w:r w:rsidRPr="000977F7">
        <w:rPr>
          <w:rFonts w:asciiTheme="majorHAnsi" w:hAnsiTheme="majorHAnsi"/>
          <w:spacing w:val="-2"/>
          <w:w w:val="99"/>
          <w:sz w:val="20"/>
          <w:szCs w:val="20"/>
        </w:rPr>
        <w:t>п</w:t>
      </w:r>
      <w:r w:rsidRPr="000977F7">
        <w:rPr>
          <w:rFonts w:asciiTheme="majorHAnsi" w:hAnsiTheme="majorHAnsi"/>
          <w:spacing w:val="1"/>
          <w:w w:val="99"/>
          <w:sz w:val="20"/>
          <w:szCs w:val="20"/>
        </w:rPr>
        <w:t>роду</w:t>
      </w:r>
      <w:r w:rsidRPr="000977F7">
        <w:rPr>
          <w:rFonts w:asciiTheme="majorHAnsi" w:hAnsiTheme="majorHAnsi"/>
          <w:spacing w:val="-1"/>
          <w:w w:val="99"/>
          <w:sz w:val="20"/>
          <w:szCs w:val="20"/>
        </w:rPr>
        <w:t>к</w:t>
      </w:r>
      <w:r w:rsidRPr="000977F7">
        <w:rPr>
          <w:rFonts w:asciiTheme="majorHAnsi" w:hAnsiTheme="majorHAnsi"/>
          <w:spacing w:val="-2"/>
          <w:w w:val="99"/>
          <w:sz w:val="20"/>
          <w:szCs w:val="20"/>
        </w:rPr>
        <w:t>ц</w:t>
      </w:r>
      <w:r w:rsidRPr="000977F7">
        <w:rPr>
          <w:rFonts w:asciiTheme="majorHAnsi" w:hAnsiTheme="majorHAnsi"/>
          <w:spacing w:val="2"/>
          <w:w w:val="99"/>
          <w:sz w:val="20"/>
          <w:szCs w:val="20"/>
        </w:rPr>
        <w:t>і</w:t>
      </w:r>
      <w:r w:rsidRPr="000977F7">
        <w:rPr>
          <w:rFonts w:asciiTheme="majorHAnsi" w:hAnsiTheme="majorHAnsi"/>
          <w:w w:val="99"/>
          <w:sz w:val="20"/>
          <w:szCs w:val="20"/>
        </w:rPr>
        <w:t>я</w:t>
      </w:r>
      <w:r w:rsidRPr="000977F7">
        <w:rPr>
          <w:rFonts w:asciiTheme="majorHAnsi" w:hAnsiTheme="majorHAnsi"/>
          <w:spacing w:val="11"/>
          <w:sz w:val="20"/>
          <w:szCs w:val="20"/>
        </w:rPr>
        <w:t xml:space="preserve"> </w:t>
      </w:r>
      <w:r w:rsidRPr="000977F7">
        <w:rPr>
          <w:rFonts w:asciiTheme="majorHAnsi" w:hAnsiTheme="majorHAnsi"/>
          <w:spacing w:val="-1"/>
          <w:w w:val="99"/>
          <w:sz w:val="20"/>
          <w:szCs w:val="20"/>
        </w:rPr>
        <w:t>л</w:t>
      </w:r>
      <w:r w:rsidRPr="000977F7">
        <w:rPr>
          <w:rFonts w:asciiTheme="majorHAnsi" w:hAnsiTheme="majorHAnsi"/>
          <w:spacing w:val="1"/>
          <w:w w:val="99"/>
          <w:sz w:val="20"/>
          <w:szCs w:val="20"/>
        </w:rPr>
        <w:t>и</w:t>
      </w:r>
      <w:r w:rsidRPr="000977F7">
        <w:rPr>
          <w:rFonts w:asciiTheme="majorHAnsi" w:hAnsiTheme="majorHAnsi"/>
          <w:spacing w:val="-1"/>
          <w:w w:val="99"/>
          <w:sz w:val="20"/>
          <w:szCs w:val="20"/>
        </w:rPr>
        <w:t>ва</w:t>
      </w:r>
      <w:r w:rsidRPr="000977F7">
        <w:rPr>
          <w:rFonts w:asciiTheme="majorHAnsi" w:hAnsiTheme="majorHAnsi"/>
          <w:w w:val="99"/>
          <w:sz w:val="20"/>
          <w:szCs w:val="20"/>
        </w:rPr>
        <w:t>р</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о</w:t>
      </w:r>
      <w:r w:rsidRPr="000977F7">
        <w:rPr>
          <w:rFonts w:asciiTheme="majorHAnsi" w:hAnsiTheme="majorHAnsi"/>
          <w:spacing w:val="-1"/>
          <w:w w:val="99"/>
          <w:sz w:val="20"/>
          <w:szCs w:val="20"/>
        </w:rPr>
        <w:t>г</w:t>
      </w:r>
      <w:r w:rsidRPr="000977F7">
        <w:rPr>
          <w:rFonts w:asciiTheme="majorHAnsi" w:hAnsiTheme="majorHAnsi"/>
          <w:w w:val="99"/>
          <w:sz w:val="20"/>
          <w:szCs w:val="20"/>
        </w:rPr>
        <w:t>о</w:t>
      </w:r>
      <w:r w:rsidRPr="000977F7">
        <w:rPr>
          <w:rFonts w:asciiTheme="majorHAnsi" w:hAnsiTheme="majorHAnsi"/>
          <w:spacing w:val="13"/>
          <w:sz w:val="20"/>
          <w:szCs w:val="20"/>
        </w:rPr>
        <w:t xml:space="preserve"> </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и</w:t>
      </w:r>
      <w:r w:rsidRPr="000977F7">
        <w:rPr>
          <w:rFonts w:asciiTheme="majorHAnsi" w:hAnsiTheme="majorHAnsi"/>
          <w:spacing w:val="1"/>
          <w:w w:val="99"/>
          <w:sz w:val="20"/>
          <w:szCs w:val="20"/>
        </w:rPr>
        <w:t>р</w:t>
      </w:r>
      <w:r w:rsidRPr="000977F7">
        <w:rPr>
          <w:rFonts w:asciiTheme="majorHAnsi" w:hAnsiTheme="majorHAnsi"/>
          <w:spacing w:val="5"/>
          <w:w w:val="99"/>
          <w:sz w:val="20"/>
          <w:szCs w:val="20"/>
        </w:rPr>
        <w:t>о</w:t>
      </w:r>
      <w:r w:rsidRPr="000977F7">
        <w:rPr>
          <w:rFonts w:asciiTheme="majorHAnsi" w:hAnsiTheme="majorHAnsi"/>
          <w:spacing w:val="1"/>
          <w:w w:val="99"/>
          <w:sz w:val="20"/>
          <w:szCs w:val="20"/>
        </w:rPr>
        <w:t>б</w:t>
      </w:r>
      <w:r w:rsidRPr="000977F7">
        <w:rPr>
          <w:rFonts w:asciiTheme="majorHAnsi" w:hAnsiTheme="majorHAnsi"/>
          <w:spacing w:val="-1"/>
          <w:sz w:val="20"/>
          <w:szCs w:val="20"/>
        </w:rPr>
        <w:t>ництва", "продукція</w:t>
      </w:r>
      <w:r w:rsidRPr="000977F7">
        <w:rPr>
          <w:rFonts w:asciiTheme="majorHAnsi" w:hAnsiTheme="majorHAnsi"/>
          <w:spacing w:val="-8"/>
          <w:sz w:val="20"/>
          <w:szCs w:val="20"/>
        </w:rPr>
        <w:t xml:space="preserve"> </w:t>
      </w:r>
      <w:r w:rsidRPr="000977F7">
        <w:rPr>
          <w:rFonts w:asciiTheme="majorHAnsi" w:hAnsiTheme="majorHAnsi"/>
          <w:spacing w:val="-1"/>
          <w:sz w:val="20"/>
          <w:szCs w:val="20"/>
        </w:rPr>
        <w:t>зварювального</w:t>
      </w:r>
      <w:r w:rsidRPr="000977F7">
        <w:rPr>
          <w:rFonts w:asciiTheme="majorHAnsi" w:hAnsiTheme="majorHAnsi"/>
          <w:spacing w:val="-8"/>
          <w:sz w:val="20"/>
          <w:szCs w:val="20"/>
        </w:rPr>
        <w:t xml:space="preserve"> </w:t>
      </w:r>
      <w:r w:rsidRPr="000977F7">
        <w:rPr>
          <w:rFonts w:asciiTheme="majorHAnsi" w:hAnsiTheme="majorHAnsi"/>
          <w:spacing w:val="-1"/>
          <w:sz w:val="20"/>
          <w:szCs w:val="20"/>
        </w:rPr>
        <w:t>виробництва"</w:t>
      </w:r>
    </w:p>
    <w:p w14:paraId="5E757E43" w14:textId="77777777" w:rsidR="0097612F" w:rsidRPr="000977F7" w:rsidRDefault="0097612F" w:rsidP="00FD39A4">
      <w:pPr>
        <w:pStyle w:val="ac"/>
        <w:widowControl w:val="0"/>
        <w:numPr>
          <w:ilvl w:val="0"/>
          <w:numId w:val="216"/>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Залежно від типу виробництва створюють видові</w:t>
      </w:r>
      <w:r w:rsidRPr="000977F7">
        <w:rPr>
          <w:rFonts w:asciiTheme="majorHAnsi" w:hAnsiTheme="majorHAnsi"/>
          <w:spacing w:val="1"/>
          <w:sz w:val="20"/>
          <w:szCs w:val="20"/>
        </w:rPr>
        <w:t xml:space="preserve"> </w:t>
      </w:r>
      <w:r w:rsidRPr="000977F7">
        <w:rPr>
          <w:rFonts w:asciiTheme="majorHAnsi" w:hAnsiTheme="majorHAnsi"/>
          <w:sz w:val="20"/>
          <w:szCs w:val="20"/>
        </w:rPr>
        <w:t>поняття, наприклад: "продукція одиничного ви</w:t>
      </w:r>
      <w:r w:rsidRPr="000977F7">
        <w:rPr>
          <w:rFonts w:asciiTheme="majorHAnsi" w:hAnsiTheme="majorHAnsi"/>
          <w:spacing w:val="1"/>
          <w:w w:val="99"/>
          <w:sz w:val="20"/>
          <w:szCs w:val="20"/>
        </w:rPr>
        <w:t>ро</w:t>
      </w:r>
      <w:r w:rsidRPr="000977F7">
        <w:rPr>
          <w:rFonts w:asciiTheme="majorHAnsi" w:hAnsiTheme="majorHAnsi"/>
          <w:w w:val="99"/>
          <w:sz w:val="20"/>
          <w:szCs w:val="20"/>
        </w:rPr>
        <w:t>б</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и</w:t>
      </w:r>
      <w:r w:rsidRPr="000977F7">
        <w:rPr>
          <w:rFonts w:asciiTheme="majorHAnsi" w:hAnsiTheme="majorHAnsi"/>
          <w:spacing w:val="-2"/>
          <w:w w:val="99"/>
          <w:sz w:val="20"/>
          <w:szCs w:val="20"/>
        </w:rPr>
        <w:t>ц</w:t>
      </w:r>
      <w:r w:rsidRPr="000977F7">
        <w:rPr>
          <w:rFonts w:asciiTheme="majorHAnsi" w:hAnsiTheme="majorHAnsi"/>
          <w:spacing w:val="-1"/>
          <w:w w:val="99"/>
          <w:sz w:val="20"/>
          <w:szCs w:val="20"/>
        </w:rPr>
        <w:t>т</w:t>
      </w:r>
      <w:r w:rsidRPr="000977F7">
        <w:rPr>
          <w:rFonts w:asciiTheme="majorHAnsi" w:hAnsiTheme="majorHAnsi"/>
          <w:spacing w:val="-1"/>
          <w:w w:val="110"/>
          <w:sz w:val="20"/>
          <w:szCs w:val="20"/>
        </w:rPr>
        <w:t>ва", "</w:t>
      </w:r>
      <w:r w:rsidRPr="000977F7">
        <w:rPr>
          <w:rFonts w:asciiTheme="majorHAnsi" w:hAnsiTheme="majorHAnsi"/>
          <w:spacing w:val="-2"/>
          <w:w w:val="99"/>
          <w:sz w:val="20"/>
          <w:szCs w:val="20"/>
        </w:rPr>
        <w:t>п</w:t>
      </w:r>
      <w:r w:rsidRPr="000977F7">
        <w:rPr>
          <w:rFonts w:asciiTheme="majorHAnsi" w:hAnsiTheme="majorHAnsi"/>
          <w:spacing w:val="1"/>
          <w:w w:val="99"/>
          <w:sz w:val="20"/>
          <w:szCs w:val="20"/>
        </w:rPr>
        <w:t>род</w:t>
      </w:r>
      <w:r w:rsidRPr="000977F7">
        <w:rPr>
          <w:rFonts w:asciiTheme="majorHAnsi" w:hAnsiTheme="majorHAnsi"/>
          <w:spacing w:val="-2"/>
          <w:w w:val="99"/>
          <w:sz w:val="20"/>
          <w:szCs w:val="20"/>
        </w:rPr>
        <w:t>у</w:t>
      </w:r>
      <w:r w:rsidRPr="000977F7">
        <w:rPr>
          <w:rFonts w:asciiTheme="majorHAnsi" w:hAnsiTheme="majorHAnsi"/>
          <w:spacing w:val="1"/>
          <w:w w:val="99"/>
          <w:sz w:val="20"/>
          <w:szCs w:val="20"/>
        </w:rPr>
        <w:t>к</w:t>
      </w:r>
      <w:r w:rsidRPr="000977F7">
        <w:rPr>
          <w:rFonts w:asciiTheme="majorHAnsi" w:hAnsiTheme="majorHAnsi"/>
          <w:spacing w:val="-2"/>
          <w:w w:val="99"/>
          <w:sz w:val="20"/>
          <w:szCs w:val="20"/>
        </w:rPr>
        <w:t>ц</w:t>
      </w:r>
      <w:r w:rsidRPr="000977F7">
        <w:rPr>
          <w:rFonts w:asciiTheme="majorHAnsi" w:hAnsiTheme="majorHAnsi"/>
          <w:w w:val="99"/>
          <w:sz w:val="20"/>
          <w:szCs w:val="20"/>
        </w:rPr>
        <w:t>ія</w:t>
      </w:r>
      <w:r w:rsidRPr="000977F7">
        <w:rPr>
          <w:rFonts w:asciiTheme="majorHAnsi" w:hAnsiTheme="majorHAnsi"/>
          <w:spacing w:val="18"/>
          <w:sz w:val="20"/>
          <w:szCs w:val="20"/>
        </w:rPr>
        <w:t xml:space="preserve"> </w:t>
      </w:r>
      <w:r w:rsidRPr="000977F7">
        <w:rPr>
          <w:rFonts w:asciiTheme="majorHAnsi" w:hAnsiTheme="majorHAnsi"/>
          <w:w w:val="99"/>
          <w:sz w:val="20"/>
          <w:szCs w:val="20"/>
        </w:rPr>
        <w:t>се</w:t>
      </w:r>
      <w:r w:rsidRPr="000977F7">
        <w:rPr>
          <w:rFonts w:asciiTheme="majorHAnsi" w:hAnsiTheme="majorHAnsi"/>
          <w:spacing w:val="1"/>
          <w:w w:val="99"/>
          <w:sz w:val="20"/>
          <w:szCs w:val="20"/>
        </w:rPr>
        <w:t>р</w:t>
      </w:r>
      <w:r w:rsidRPr="000977F7">
        <w:rPr>
          <w:rFonts w:asciiTheme="majorHAnsi" w:hAnsiTheme="majorHAnsi"/>
          <w:spacing w:val="2"/>
          <w:w w:val="99"/>
          <w:sz w:val="20"/>
          <w:szCs w:val="20"/>
        </w:rPr>
        <w:t>і</w:t>
      </w:r>
      <w:r w:rsidRPr="000977F7">
        <w:rPr>
          <w:rFonts w:asciiTheme="majorHAnsi" w:hAnsiTheme="majorHAnsi"/>
          <w:spacing w:val="-2"/>
          <w:w w:val="99"/>
          <w:sz w:val="20"/>
          <w:szCs w:val="20"/>
        </w:rPr>
        <w:t>йн</w:t>
      </w:r>
      <w:r w:rsidRPr="000977F7">
        <w:rPr>
          <w:rFonts w:asciiTheme="majorHAnsi" w:hAnsiTheme="majorHAnsi"/>
          <w:spacing w:val="1"/>
          <w:w w:val="99"/>
          <w:sz w:val="20"/>
          <w:szCs w:val="20"/>
        </w:rPr>
        <w:t>о</w:t>
      </w:r>
      <w:r w:rsidRPr="000977F7">
        <w:rPr>
          <w:rFonts w:asciiTheme="majorHAnsi" w:hAnsiTheme="majorHAnsi"/>
          <w:spacing w:val="-1"/>
          <w:w w:val="99"/>
          <w:sz w:val="20"/>
          <w:szCs w:val="20"/>
        </w:rPr>
        <w:t>г</w:t>
      </w:r>
      <w:r w:rsidRPr="000977F7">
        <w:rPr>
          <w:rFonts w:asciiTheme="majorHAnsi" w:hAnsiTheme="majorHAnsi"/>
          <w:w w:val="99"/>
          <w:sz w:val="20"/>
          <w:szCs w:val="20"/>
        </w:rPr>
        <w:t>о</w:t>
      </w:r>
      <w:r w:rsidRPr="000977F7">
        <w:rPr>
          <w:rFonts w:asciiTheme="majorHAnsi" w:hAnsiTheme="majorHAnsi"/>
          <w:spacing w:val="20"/>
          <w:sz w:val="20"/>
          <w:szCs w:val="20"/>
        </w:rPr>
        <w:t xml:space="preserve"> </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и</w:t>
      </w:r>
      <w:r w:rsidRPr="000977F7">
        <w:rPr>
          <w:rFonts w:asciiTheme="majorHAnsi" w:hAnsiTheme="majorHAnsi"/>
          <w:spacing w:val="1"/>
          <w:w w:val="99"/>
          <w:sz w:val="20"/>
          <w:szCs w:val="20"/>
        </w:rPr>
        <w:t>роб</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и</w:t>
      </w:r>
      <w:r w:rsidRPr="000977F7">
        <w:rPr>
          <w:rFonts w:asciiTheme="majorHAnsi" w:hAnsiTheme="majorHAnsi"/>
          <w:spacing w:val="-2"/>
          <w:w w:val="99"/>
          <w:sz w:val="20"/>
          <w:szCs w:val="20"/>
        </w:rPr>
        <w:t>ц</w:t>
      </w:r>
      <w:r w:rsidRPr="000977F7">
        <w:rPr>
          <w:rFonts w:asciiTheme="majorHAnsi" w:hAnsiTheme="majorHAnsi"/>
          <w:spacing w:val="1"/>
          <w:w w:val="99"/>
          <w:sz w:val="20"/>
          <w:szCs w:val="20"/>
        </w:rPr>
        <w:t>т</w:t>
      </w:r>
      <w:r w:rsidRPr="000977F7">
        <w:rPr>
          <w:rFonts w:asciiTheme="majorHAnsi" w:hAnsiTheme="majorHAnsi"/>
          <w:spacing w:val="-1"/>
          <w:w w:val="99"/>
          <w:sz w:val="20"/>
          <w:szCs w:val="20"/>
        </w:rPr>
        <w:t>в</w:t>
      </w:r>
      <w:r w:rsidRPr="000977F7">
        <w:rPr>
          <w:rFonts w:asciiTheme="majorHAnsi" w:hAnsiTheme="majorHAnsi"/>
          <w:w w:val="99"/>
          <w:sz w:val="20"/>
          <w:szCs w:val="20"/>
        </w:rPr>
        <w:t>а", "</w:t>
      </w:r>
      <w:r w:rsidRPr="000977F7">
        <w:rPr>
          <w:rFonts w:asciiTheme="majorHAnsi" w:hAnsiTheme="majorHAnsi"/>
          <w:w w:val="95"/>
          <w:sz w:val="20"/>
          <w:szCs w:val="20"/>
        </w:rPr>
        <w:t>продукція</w:t>
      </w:r>
      <w:r w:rsidRPr="000977F7">
        <w:rPr>
          <w:rFonts w:asciiTheme="majorHAnsi" w:hAnsiTheme="majorHAnsi"/>
          <w:spacing w:val="18"/>
          <w:w w:val="95"/>
          <w:sz w:val="20"/>
          <w:szCs w:val="20"/>
        </w:rPr>
        <w:t xml:space="preserve"> </w:t>
      </w:r>
      <w:r w:rsidRPr="000977F7">
        <w:rPr>
          <w:rFonts w:asciiTheme="majorHAnsi" w:hAnsiTheme="majorHAnsi"/>
          <w:w w:val="95"/>
          <w:sz w:val="20"/>
          <w:szCs w:val="20"/>
        </w:rPr>
        <w:t>основного</w:t>
      </w:r>
      <w:r w:rsidRPr="000977F7">
        <w:rPr>
          <w:rFonts w:asciiTheme="majorHAnsi" w:hAnsiTheme="majorHAnsi"/>
          <w:spacing w:val="21"/>
          <w:w w:val="95"/>
          <w:sz w:val="20"/>
          <w:szCs w:val="20"/>
        </w:rPr>
        <w:t xml:space="preserve"> </w:t>
      </w:r>
      <w:r w:rsidRPr="000977F7">
        <w:rPr>
          <w:rFonts w:asciiTheme="majorHAnsi" w:hAnsiTheme="majorHAnsi"/>
          <w:w w:val="95"/>
          <w:sz w:val="20"/>
          <w:szCs w:val="20"/>
        </w:rPr>
        <w:t>виробництва"</w:t>
      </w:r>
    </w:p>
    <w:p w14:paraId="5C79A84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95</w:t>
      </w:r>
    </w:p>
    <w:p w14:paraId="423A9B9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ВИД</w:t>
      </w:r>
      <w:r w:rsidRPr="000977F7">
        <w:rPr>
          <w:color w:val="auto"/>
          <w:spacing w:val="-6"/>
          <w:sz w:val="20"/>
          <w:szCs w:val="20"/>
        </w:rPr>
        <w:t xml:space="preserve"> </w:t>
      </w:r>
      <w:r w:rsidRPr="000977F7">
        <w:rPr>
          <w:color w:val="auto"/>
          <w:sz w:val="20"/>
          <w:szCs w:val="20"/>
        </w:rPr>
        <w:t>РОБОТИ</w:t>
      </w:r>
      <w:r w:rsidRPr="000977F7">
        <w:rPr>
          <w:color w:val="auto"/>
          <w:spacing w:val="-4"/>
          <w:sz w:val="20"/>
          <w:szCs w:val="20"/>
        </w:rPr>
        <w:t xml:space="preserve"> </w:t>
      </w:r>
      <w:r w:rsidRPr="000977F7">
        <w:rPr>
          <w:color w:val="auto"/>
          <w:sz w:val="20"/>
          <w:szCs w:val="20"/>
        </w:rPr>
        <w:t>НА</w:t>
      </w:r>
      <w:r w:rsidRPr="000977F7">
        <w:rPr>
          <w:color w:val="auto"/>
          <w:spacing w:val="-5"/>
          <w:sz w:val="20"/>
          <w:szCs w:val="20"/>
        </w:rPr>
        <w:t xml:space="preserve"> </w:t>
      </w:r>
      <w:r w:rsidRPr="000977F7">
        <w:rPr>
          <w:color w:val="auto"/>
          <w:sz w:val="20"/>
          <w:szCs w:val="20"/>
        </w:rPr>
        <w:t>СТАДІЇ</w:t>
      </w:r>
      <w:r w:rsidRPr="000977F7">
        <w:rPr>
          <w:color w:val="auto"/>
          <w:spacing w:val="-4"/>
          <w:sz w:val="20"/>
          <w:szCs w:val="20"/>
        </w:rPr>
        <w:t xml:space="preserve"> </w:t>
      </w:r>
      <w:r w:rsidRPr="000977F7">
        <w:rPr>
          <w:color w:val="auto"/>
          <w:sz w:val="20"/>
          <w:szCs w:val="20"/>
        </w:rPr>
        <w:t>ЖИТТЄВОГО</w:t>
      </w:r>
      <w:r w:rsidRPr="000977F7">
        <w:rPr>
          <w:color w:val="auto"/>
          <w:spacing w:val="-4"/>
          <w:sz w:val="20"/>
          <w:szCs w:val="20"/>
        </w:rPr>
        <w:t xml:space="preserve"> </w:t>
      </w:r>
      <w:r w:rsidRPr="000977F7">
        <w:rPr>
          <w:color w:val="auto"/>
          <w:sz w:val="20"/>
          <w:szCs w:val="20"/>
        </w:rPr>
        <w:t>ЦИКЛУ</w:t>
      </w:r>
      <w:r w:rsidRPr="000977F7">
        <w:rPr>
          <w:color w:val="auto"/>
          <w:spacing w:val="-47"/>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5D70C9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стадії життєвого циклу продукції, яка є самостійним об’єктом планування та фінансування, у процесі якої проводять роботи, що належать до даної ста</w:t>
      </w:r>
      <w:r w:rsidRPr="000977F7">
        <w:rPr>
          <w:rFonts w:asciiTheme="majorHAnsi" w:hAnsiTheme="majorHAnsi"/>
          <w:spacing w:val="-47"/>
          <w:sz w:val="20"/>
          <w:szCs w:val="20"/>
        </w:rPr>
        <w:t xml:space="preserve"> </w:t>
      </w:r>
      <w:r w:rsidRPr="000977F7">
        <w:rPr>
          <w:rFonts w:asciiTheme="majorHAnsi" w:hAnsiTheme="majorHAnsi"/>
          <w:sz w:val="20"/>
          <w:szCs w:val="20"/>
        </w:rPr>
        <w:t>дії</w:t>
      </w:r>
    </w:p>
    <w:p w14:paraId="4AF7A96E"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3278</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95</w:t>
      </w:r>
      <w:r w:rsidRPr="004D2D14">
        <w:rPr>
          <w:rFonts w:asciiTheme="majorHAnsi" w:hAnsiTheme="majorHAnsi"/>
          <w:i/>
          <w:spacing w:val="1"/>
          <w:sz w:val="20"/>
          <w:szCs w:val="20"/>
          <w:lang w:val="en-US"/>
        </w:rPr>
        <w:t xml:space="preserve"> </w:t>
      </w:r>
    </w:p>
    <w:p w14:paraId="1A2BB808"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ВИД</w:t>
      </w:r>
      <w:r w:rsidRPr="004D2D14">
        <w:rPr>
          <w:rFonts w:asciiTheme="majorHAnsi" w:hAnsiTheme="majorHAnsi"/>
          <w:b/>
          <w:sz w:val="20"/>
          <w:szCs w:val="20"/>
          <w:lang w:val="en-US"/>
        </w:rPr>
        <w:t xml:space="preserve"> </w:t>
      </w:r>
      <w:r w:rsidRPr="000977F7">
        <w:rPr>
          <w:rFonts w:asciiTheme="majorHAnsi" w:hAnsiTheme="majorHAnsi"/>
          <w:b/>
          <w:sz w:val="20"/>
          <w:szCs w:val="20"/>
        </w:rPr>
        <w:t>СИГНАЛУ</w:t>
      </w:r>
      <w:r w:rsidRPr="004D2D14">
        <w:rPr>
          <w:rFonts w:asciiTheme="majorHAnsi" w:hAnsiTheme="majorHAnsi"/>
          <w:sz w:val="20"/>
          <w:szCs w:val="20"/>
          <w:lang w:val="en-US"/>
        </w:rPr>
        <w:t>KIND</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SIGNAL</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w:t>
      </w:r>
    </w:p>
    <w:p w14:paraId="1A3FC0E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Якісна</w:t>
      </w:r>
      <w:r w:rsidRPr="000977F7">
        <w:rPr>
          <w:rFonts w:asciiTheme="majorHAnsi" w:hAnsiTheme="majorHAnsi"/>
          <w:spacing w:val="-4"/>
          <w:sz w:val="20"/>
          <w:szCs w:val="20"/>
        </w:rPr>
        <w:t xml:space="preserve"> </w:t>
      </w:r>
      <w:r w:rsidRPr="000977F7">
        <w:rPr>
          <w:rFonts w:asciiTheme="majorHAnsi" w:hAnsiTheme="majorHAnsi"/>
          <w:sz w:val="20"/>
          <w:szCs w:val="20"/>
        </w:rPr>
        <w:t>визначеність</w:t>
      </w:r>
      <w:r w:rsidRPr="000977F7">
        <w:rPr>
          <w:rFonts w:asciiTheme="majorHAnsi" w:hAnsiTheme="majorHAnsi"/>
          <w:spacing w:val="-5"/>
          <w:sz w:val="20"/>
          <w:szCs w:val="20"/>
        </w:rPr>
        <w:t xml:space="preserve"> </w:t>
      </w:r>
      <w:r w:rsidRPr="000977F7">
        <w:rPr>
          <w:rFonts w:asciiTheme="majorHAnsi" w:hAnsiTheme="majorHAnsi"/>
          <w:sz w:val="20"/>
          <w:szCs w:val="20"/>
        </w:rPr>
        <w:t>сигналу,</w:t>
      </w:r>
      <w:r w:rsidRPr="000977F7">
        <w:rPr>
          <w:rFonts w:asciiTheme="majorHAnsi" w:hAnsiTheme="majorHAnsi"/>
          <w:spacing w:val="-3"/>
          <w:sz w:val="20"/>
          <w:szCs w:val="20"/>
        </w:rPr>
        <w:t xml:space="preserve"> </w:t>
      </w:r>
      <w:r w:rsidRPr="000977F7">
        <w:rPr>
          <w:rFonts w:asciiTheme="majorHAnsi" w:hAnsiTheme="majorHAnsi"/>
          <w:sz w:val="20"/>
          <w:szCs w:val="20"/>
        </w:rPr>
        <w:t>зумовлена</w:t>
      </w:r>
      <w:r w:rsidRPr="000977F7">
        <w:rPr>
          <w:rFonts w:asciiTheme="majorHAnsi" w:hAnsiTheme="majorHAnsi"/>
          <w:spacing w:val="-4"/>
          <w:sz w:val="20"/>
          <w:szCs w:val="20"/>
        </w:rPr>
        <w:t xml:space="preserve"> </w:t>
      </w:r>
      <w:r w:rsidRPr="000977F7">
        <w:rPr>
          <w:rFonts w:asciiTheme="majorHAnsi" w:hAnsiTheme="majorHAnsi"/>
          <w:sz w:val="20"/>
          <w:szCs w:val="20"/>
        </w:rPr>
        <w:t>видом</w:t>
      </w:r>
      <w:r w:rsidRPr="000977F7">
        <w:rPr>
          <w:rFonts w:asciiTheme="majorHAnsi" w:hAnsiTheme="majorHAnsi"/>
          <w:spacing w:val="-2"/>
          <w:sz w:val="20"/>
          <w:szCs w:val="20"/>
        </w:rPr>
        <w:t xml:space="preserve"> </w:t>
      </w:r>
      <w:r w:rsidRPr="000977F7">
        <w:rPr>
          <w:rFonts w:asciiTheme="majorHAnsi" w:hAnsiTheme="majorHAnsi"/>
          <w:sz w:val="20"/>
          <w:szCs w:val="20"/>
        </w:rPr>
        <w:t>діяння</w:t>
      </w:r>
    </w:p>
    <w:p w14:paraId="1AD942E1"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ДОСТ</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3956 - 2000</w:t>
      </w:r>
    </w:p>
    <w:p w14:paraId="1BE7721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ВИД</w:t>
      </w:r>
      <w:r w:rsidRPr="000977F7">
        <w:rPr>
          <w:color w:val="auto"/>
          <w:spacing w:val="-6"/>
          <w:sz w:val="20"/>
          <w:szCs w:val="20"/>
        </w:rPr>
        <w:t xml:space="preserve"> </w:t>
      </w:r>
      <w:r w:rsidRPr="000977F7">
        <w:rPr>
          <w:color w:val="auto"/>
          <w:sz w:val="20"/>
          <w:szCs w:val="20"/>
        </w:rPr>
        <w:t>ТЕХНІЧНОГО</w:t>
      </w:r>
      <w:r w:rsidRPr="000977F7">
        <w:rPr>
          <w:color w:val="auto"/>
          <w:spacing w:val="-4"/>
          <w:sz w:val="20"/>
          <w:szCs w:val="20"/>
        </w:rPr>
        <w:t xml:space="preserve"> </w:t>
      </w:r>
      <w:r w:rsidRPr="000977F7">
        <w:rPr>
          <w:color w:val="auto"/>
          <w:sz w:val="20"/>
          <w:szCs w:val="20"/>
        </w:rPr>
        <w:t>ОБСЛУГОВУВАННЯ -</w:t>
      </w:r>
    </w:p>
    <w:p w14:paraId="19112A6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LEVEL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MAINTENANCE-</w:t>
      </w:r>
    </w:p>
    <w:p w14:paraId="4294C54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Обсяг операцій технічного обслуговування, що виконується</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визначеному</w:t>
      </w:r>
      <w:r w:rsidRPr="000977F7">
        <w:rPr>
          <w:rFonts w:asciiTheme="majorHAnsi" w:hAnsiTheme="majorHAnsi"/>
          <w:spacing w:val="-5"/>
          <w:sz w:val="20"/>
          <w:szCs w:val="20"/>
        </w:rPr>
        <w:t xml:space="preserve"> </w:t>
      </w:r>
      <w:r w:rsidRPr="000977F7">
        <w:rPr>
          <w:rFonts w:asciiTheme="majorHAnsi" w:hAnsiTheme="majorHAnsi"/>
          <w:sz w:val="20"/>
          <w:szCs w:val="20"/>
        </w:rPr>
        <w:t>рівні</w:t>
      </w:r>
      <w:r w:rsidRPr="000977F7">
        <w:rPr>
          <w:rFonts w:asciiTheme="majorHAnsi" w:hAnsiTheme="majorHAnsi"/>
          <w:spacing w:val="-2"/>
          <w:sz w:val="20"/>
          <w:szCs w:val="20"/>
        </w:rPr>
        <w:t xml:space="preserve"> </w:t>
      </w:r>
      <w:r w:rsidRPr="000977F7">
        <w:rPr>
          <w:rFonts w:asciiTheme="majorHAnsi" w:hAnsiTheme="majorHAnsi"/>
          <w:sz w:val="20"/>
          <w:szCs w:val="20"/>
        </w:rPr>
        <w:t>деталізації</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p>
    <w:p w14:paraId="6060108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067C51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Критеріями</w:t>
      </w:r>
      <w:r w:rsidRPr="000977F7">
        <w:rPr>
          <w:rFonts w:asciiTheme="majorHAnsi" w:hAnsiTheme="majorHAnsi"/>
          <w:spacing w:val="1"/>
          <w:sz w:val="20"/>
          <w:szCs w:val="20"/>
        </w:rPr>
        <w:t xml:space="preserve"> </w:t>
      </w:r>
      <w:r w:rsidRPr="000977F7">
        <w:rPr>
          <w:rFonts w:asciiTheme="majorHAnsi" w:hAnsiTheme="majorHAnsi"/>
          <w:sz w:val="20"/>
          <w:szCs w:val="20"/>
        </w:rPr>
        <w:t>прийняття</w:t>
      </w:r>
      <w:r w:rsidRPr="000977F7">
        <w:rPr>
          <w:rFonts w:asciiTheme="majorHAnsi" w:hAnsiTheme="majorHAnsi"/>
          <w:spacing w:val="1"/>
          <w:sz w:val="20"/>
          <w:szCs w:val="20"/>
        </w:rPr>
        <w:t xml:space="preserve"> </w:t>
      </w:r>
      <w:r w:rsidRPr="000977F7">
        <w:rPr>
          <w:rFonts w:asciiTheme="majorHAnsi" w:hAnsiTheme="majorHAnsi"/>
          <w:sz w:val="20"/>
          <w:szCs w:val="20"/>
        </w:rPr>
        <w:t>рішення</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вид</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складність</w:t>
      </w:r>
      <w:r w:rsidRPr="000977F7">
        <w:rPr>
          <w:rFonts w:asciiTheme="majorHAnsi" w:hAnsiTheme="majorHAnsi"/>
          <w:spacing w:val="1"/>
          <w:sz w:val="20"/>
          <w:szCs w:val="20"/>
        </w:rPr>
        <w:t xml:space="preserve"> </w:t>
      </w:r>
      <w:r w:rsidRPr="000977F7">
        <w:rPr>
          <w:rFonts w:asciiTheme="majorHAnsi" w:hAnsiTheme="majorHAnsi"/>
          <w:sz w:val="20"/>
          <w:szCs w:val="20"/>
        </w:rPr>
        <w:t>конструкції</w:t>
      </w:r>
      <w:r w:rsidRPr="000977F7">
        <w:rPr>
          <w:rFonts w:asciiTheme="majorHAnsi" w:hAnsiTheme="majorHAnsi"/>
          <w:spacing w:val="1"/>
          <w:sz w:val="20"/>
          <w:szCs w:val="20"/>
        </w:rPr>
        <w:t xml:space="preserve"> </w:t>
      </w:r>
      <w:r w:rsidRPr="000977F7">
        <w:rPr>
          <w:rFonts w:asciiTheme="majorHAnsi" w:hAnsiTheme="majorHAnsi"/>
          <w:sz w:val="20"/>
          <w:szCs w:val="20"/>
        </w:rPr>
        <w:t>об’єктів,</w:t>
      </w:r>
      <w:r w:rsidRPr="000977F7">
        <w:rPr>
          <w:rFonts w:asciiTheme="majorHAnsi" w:hAnsiTheme="majorHAnsi"/>
          <w:spacing w:val="1"/>
          <w:sz w:val="20"/>
          <w:szCs w:val="20"/>
        </w:rPr>
        <w:t xml:space="preserve"> </w:t>
      </w:r>
      <w:r w:rsidRPr="000977F7">
        <w:rPr>
          <w:rFonts w:asciiTheme="majorHAnsi" w:hAnsiTheme="majorHAnsi"/>
          <w:sz w:val="20"/>
          <w:szCs w:val="20"/>
        </w:rPr>
        <w:t>доступність</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частин</w:t>
      </w:r>
      <w:r w:rsidRPr="000977F7">
        <w:rPr>
          <w:rFonts w:asciiTheme="majorHAnsi" w:hAnsiTheme="majorHAnsi"/>
          <w:spacing w:val="1"/>
          <w:sz w:val="20"/>
          <w:szCs w:val="20"/>
        </w:rPr>
        <w:t xml:space="preserve"> </w:t>
      </w:r>
      <w:r w:rsidRPr="000977F7">
        <w:rPr>
          <w:rFonts w:asciiTheme="majorHAnsi" w:hAnsiTheme="majorHAnsi"/>
          <w:sz w:val="20"/>
          <w:szCs w:val="20"/>
        </w:rPr>
        <w:t>об’єкту,</w:t>
      </w:r>
      <w:r w:rsidRPr="000977F7">
        <w:rPr>
          <w:rFonts w:asciiTheme="majorHAnsi" w:hAnsiTheme="majorHAnsi"/>
          <w:spacing w:val="1"/>
          <w:sz w:val="20"/>
          <w:szCs w:val="20"/>
        </w:rPr>
        <w:t xml:space="preserve"> </w:t>
      </w:r>
      <w:r w:rsidRPr="000977F7">
        <w:rPr>
          <w:rFonts w:asciiTheme="majorHAnsi" w:hAnsiTheme="majorHAnsi"/>
          <w:sz w:val="20"/>
          <w:szCs w:val="20"/>
        </w:rPr>
        <w:t>рівень</w:t>
      </w:r>
      <w:r w:rsidRPr="000977F7">
        <w:rPr>
          <w:rFonts w:asciiTheme="majorHAnsi" w:hAnsiTheme="majorHAnsi"/>
          <w:spacing w:val="1"/>
          <w:sz w:val="20"/>
          <w:szCs w:val="20"/>
        </w:rPr>
        <w:t xml:space="preserve"> </w:t>
      </w:r>
      <w:r w:rsidRPr="000977F7">
        <w:rPr>
          <w:rFonts w:asciiTheme="majorHAnsi" w:hAnsiTheme="majorHAnsi"/>
          <w:sz w:val="20"/>
          <w:szCs w:val="20"/>
        </w:rPr>
        <w:t>кваліфікації</w:t>
      </w:r>
      <w:r w:rsidRPr="000977F7">
        <w:rPr>
          <w:rFonts w:asciiTheme="majorHAnsi" w:hAnsiTheme="majorHAnsi"/>
          <w:spacing w:val="1"/>
          <w:sz w:val="20"/>
          <w:szCs w:val="20"/>
        </w:rPr>
        <w:t xml:space="preserve"> </w:t>
      </w:r>
      <w:r w:rsidRPr="000977F7">
        <w:rPr>
          <w:rFonts w:asciiTheme="majorHAnsi" w:hAnsiTheme="majorHAnsi"/>
          <w:sz w:val="20"/>
          <w:szCs w:val="20"/>
        </w:rPr>
        <w:t>обслуговуючого</w:t>
      </w:r>
      <w:r w:rsidRPr="000977F7">
        <w:rPr>
          <w:rFonts w:asciiTheme="majorHAnsi" w:hAnsiTheme="majorHAnsi"/>
          <w:spacing w:val="1"/>
          <w:sz w:val="20"/>
          <w:szCs w:val="20"/>
        </w:rPr>
        <w:t xml:space="preserve"> </w:t>
      </w:r>
      <w:r w:rsidRPr="000977F7">
        <w:rPr>
          <w:rFonts w:asciiTheme="majorHAnsi" w:hAnsiTheme="majorHAnsi"/>
          <w:sz w:val="20"/>
          <w:szCs w:val="20"/>
        </w:rPr>
        <w:t>персоналу,</w:t>
      </w:r>
      <w:r w:rsidRPr="000977F7">
        <w:rPr>
          <w:rFonts w:asciiTheme="majorHAnsi" w:hAnsiTheme="majorHAnsi"/>
          <w:spacing w:val="1"/>
          <w:sz w:val="20"/>
          <w:szCs w:val="20"/>
        </w:rPr>
        <w:t xml:space="preserve"> </w:t>
      </w:r>
      <w:r w:rsidRPr="000977F7">
        <w:rPr>
          <w:rFonts w:asciiTheme="majorHAnsi" w:hAnsiTheme="majorHAnsi"/>
          <w:sz w:val="20"/>
          <w:szCs w:val="20"/>
        </w:rPr>
        <w:t>наявність</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випробувального</w:t>
      </w:r>
      <w:r w:rsidRPr="000977F7">
        <w:rPr>
          <w:rFonts w:asciiTheme="majorHAnsi" w:hAnsiTheme="majorHAnsi"/>
          <w:spacing w:val="-1"/>
          <w:sz w:val="20"/>
          <w:szCs w:val="20"/>
        </w:rPr>
        <w:t xml:space="preserve"> </w:t>
      </w:r>
      <w:r w:rsidRPr="000977F7">
        <w:rPr>
          <w:rFonts w:asciiTheme="majorHAnsi" w:hAnsiTheme="majorHAnsi"/>
          <w:sz w:val="20"/>
          <w:szCs w:val="20"/>
        </w:rPr>
        <w:t>обладнання,</w:t>
      </w:r>
      <w:r w:rsidRPr="000977F7">
        <w:rPr>
          <w:rFonts w:asciiTheme="majorHAnsi" w:hAnsiTheme="majorHAnsi"/>
          <w:spacing w:val="-1"/>
          <w:sz w:val="20"/>
          <w:szCs w:val="20"/>
        </w:rPr>
        <w:t xml:space="preserve"> </w:t>
      </w:r>
      <w:r w:rsidRPr="000977F7">
        <w:rPr>
          <w:rFonts w:asciiTheme="majorHAnsi" w:hAnsiTheme="majorHAnsi"/>
          <w:sz w:val="20"/>
          <w:szCs w:val="20"/>
        </w:rPr>
        <w:t>міркування</w:t>
      </w:r>
      <w:r w:rsidRPr="000977F7">
        <w:rPr>
          <w:rFonts w:asciiTheme="majorHAnsi" w:hAnsiTheme="majorHAnsi"/>
          <w:spacing w:val="-2"/>
          <w:sz w:val="20"/>
          <w:szCs w:val="20"/>
        </w:rPr>
        <w:t xml:space="preserve"> </w:t>
      </w:r>
      <w:r w:rsidRPr="000977F7">
        <w:rPr>
          <w:rFonts w:asciiTheme="majorHAnsi" w:hAnsiTheme="majorHAnsi"/>
          <w:sz w:val="20"/>
          <w:szCs w:val="20"/>
        </w:rPr>
        <w:t>щодо</w:t>
      </w:r>
      <w:r w:rsidRPr="000977F7">
        <w:rPr>
          <w:rFonts w:asciiTheme="majorHAnsi" w:hAnsiTheme="majorHAnsi"/>
          <w:spacing w:val="-2"/>
          <w:sz w:val="20"/>
          <w:szCs w:val="20"/>
        </w:rPr>
        <w:t xml:space="preserve"> </w:t>
      </w:r>
      <w:r w:rsidRPr="000977F7">
        <w:rPr>
          <w:rFonts w:asciiTheme="majorHAnsi" w:hAnsiTheme="majorHAnsi"/>
          <w:sz w:val="20"/>
          <w:szCs w:val="20"/>
        </w:rPr>
        <w:t>безпеки</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ін.</w:t>
      </w:r>
    </w:p>
    <w:p w14:paraId="080000D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ВИД</w:t>
      </w:r>
      <w:r w:rsidRPr="000977F7">
        <w:rPr>
          <w:color w:val="auto"/>
          <w:spacing w:val="-4"/>
          <w:sz w:val="20"/>
          <w:szCs w:val="20"/>
        </w:rPr>
        <w:t xml:space="preserve"> </w:t>
      </w:r>
      <w:r w:rsidRPr="000977F7">
        <w:rPr>
          <w:color w:val="auto"/>
          <w:sz w:val="20"/>
          <w:szCs w:val="20"/>
        </w:rPr>
        <w:t>ТЕХНІЧНОГО</w:t>
      </w:r>
      <w:r w:rsidRPr="000977F7">
        <w:rPr>
          <w:color w:val="auto"/>
          <w:spacing w:val="-2"/>
          <w:sz w:val="20"/>
          <w:szCs w:val="20"/>
        </w:rPr>
        <w:t xml:space="preserve"> </w:t>
      </w:r>
      <w:r w:rsidRPr="000977F7">
        <w:rPr>
          <w:color w:val="auto"/>
          <w:sz w:val="20"/>
          <w:szCs w:val="20"/>
        </w:rPr>
        <w:t>СТАНУ –</w:t>
      </w:r>
    </w:p>
    <w:p w14:paraId="032CB53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DEGREE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PRODUCT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AVAILABILITY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652FA2B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Категорія</w:t>
      </w:r>
      <w:r w:rsidRPr="004D2D14">
        <w:rPr>
          <w:rFonts w:asciiTheme="majorHAnsi" w:hAnsiTheme="majorHAnsi"/>
          <w:sz w:val="20"/>
          <w:szCs w:val="20"/>
          <w:lang w:val="en-US"/>
        </w:rPr>
        <w:t xml:space="preserve"> </w:t>
      </w:r>
      <w:r w:rsidRPr="000977F7">
        <w:rPr>
          <w:rFonts w:asciiTheme="majorHAnsi" w:hAnsiTheme="majorHAnsi"/>
          <w:sz w:val="20"/>
          <w:szCs w:val="20"/>
        </w:rPr>
        <w:t>технічного</w:t>
      </w:r>
      <w:r w:rsidRPr="004D2D14">
        <w:rPr>
          <w:rFonts w:asciiTheme="majorHAnsi" w:hAnsiTheme="majorHAnsi"/>
          <w:sz w:val="20"/>
          <w:szCs w:val="20"/>
          <w:lang w:val="en-US"/>
        </w:rPr>
        <w:t xml:space="preserve"> </w:t>
      </w:r>
      <w:r w:rsidRPr="000977F7">
        <w:rPr>
          <w:rFonts w:asciiTheme="majorHAnsi" w:hAnsiTheme="majorHAnsi"/>
          <w:sz w:val="20"/>
          <w:szCs w:val="20"/>
        </w:rPr>
        <w:t>стану</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характеризується</w:t>
      </w:r>
      <w:r w:rsidRPr="004D2D14">
        <w:rPr>
          <w:rFonts w:asciiTheme="majorHAnsi" w:hAnsiTheme="majorHAnsi"/>
          <w:sz w:val="20"/>
          <w:szCs w:val="20"/>
          <w:lang w:val="en-US"/>
        </w:rPr>
        <w:t xml:space="preserve"> </w:t>
      </w:r>
      <w:r w:rsidRPr="000977F7">
        <w:rPr>
          <w:rFonts w:asciiTheme="majorHAnsi" w:hAnsiTheme="majorHAnsi"/>
          <w:sz w:val="20"/>
          <w:szCs w:val="20"/>
        </w:rPr>
        <w:t>відповідністю</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pacing w:val="1"/>
          <w:sz w:val="20"/>
          <w:szCs w:val="20"/>
          <w:lang w:val="en-US"/>
        </w:rPr>
        <w:t xml:space="preserve"> </w:t>
      </w:r>
      <w:r w:rsidRPr="000977F7">
        <w:rPr>
          <w:rFonts w:asciiTheme="majorHAnsi" w:hAnsiTheme="majorHAnsi"/>
          <w:sz w:val="20"/>
          <w:szCs w:val="20"/>
        </w:rPr>
        <w:t>не</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відповідністю</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якості</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визначеним</w:t>
      </w:r>
      <w:r w:rsidRPr="004D2D14">
        <w:rPr>
          <w:rFonts w:asciiTheme="majorHAnsi" w:hAnsiTheme="majorHAnsi"/>
          <w:sz w:val="20"/>
          <w:szCs w:val="20"/>
          <w:lang w:val="en-US"/>
        </w:rPr>
        <w:t xml:space="preserve"> </w:t>
      </w:r>
      <w:r w:rsidRPr="000977F7">
        <w:rPr>
          <w:rFonts w:asciiTheme="majorHAnsi" w:hAnsiTheme="majorHAnsi"/>
          <w:sz w:val="20"/>
          <w:szCs w:val="20"/>
        </w:rPr>
        <w:t>технічним</w:t>
      </w:r>
      <w:r w:rsidRPr="004D2D14">
        <w:rPr>
          <w:rFonts w:asciiTheme="majorHAnsi" w:hAnsiTheme="majorHAnsi"/>
          <w:sz w:val="20"/>
          <w:szCs w:val="20"/>
          <w:lang w:val="en-US"/>
        </w:rPr>
        <w:t xml:space="preserve"> </w:t>
      </w:r>
      <w:r w:rsidRPr="000977F7">
        <w:rPr>
          <w:rFonts w:asciiTheme="majorHAnsi" w:hAnsiTheme="majorHAnsi"/>
          <w:sz w:val="20"/>
          <w:szCs w:val="20"/>
        </w:rPr>
        <w:t>вимогам</w:t>
      </w:r>
      <w:r w:rsidRPr="004D2D14">
        <w:rPr>
          <w:rFonts w:asciiTheme="majorHAnsi" w:hAnsiTheme="majorHAnsi"/>
          <w:sz w:val="20"/>
          <w:szCs w:val="20"/>
          <w:lang w:val="en-US"/>
        </w:rPr>
        <w:t xml:space="preserve">, </w:t>
      </w:r>
      <w:r w:rsidRPr="000977F7">
        <w:rPr>
          <w:rFonts w:asciiTheme="majorHAnsi" w:hAnsiTheme="majorHAnsi"/>
          <w:sz w:val="20"/>
          <w:szCs w:val="20"/>
        </w:rPr>
        <w:t>які</w:t>
      </w:r>
      <w:r w:rsidRPr="004D2D14">
        <w:rPr>
          <w:rFonts w:asciiTheme="majorHAnsi" w:hAnsiTheme="majorHAnsi"/>
          <w:sz w:val="20"/>
          <w:szCs w:val="20"/>
          <w:lang w:val="en-US"/>
        </w:rPr>
        <w:t xml:space="preserve"> </w:t>
      </w:r>
      <w:r w:rsidRPr="000977F7">
        <w:rPr>
          <w:rFonts w:asciiTheme="majorHAnsi" w:hAnsiTheme="majorHAnsi"/>
          <w:sz w:val="20"/>
          <w:szCs w:val="20"/>
        </w:rPr>
        <w:t>встановлені</w:t>
      </w:r>
      <w:r w:rsidRPr="004D2D14">
        <w:rPr>
          <w:rFonts w:asciiTheme="majorHAnsi" w:hAnsiTheme="majorHAnsi"/>
          <w:sz w:val="20"/>
          <w:szCs w:val="20"/>
          <w:lang w:val="en-US"/>
        </w:rPr>
        <w:t xml:space="preserve"> </w:t>
      </w:r>
      <w:r w:rsidRPr="000977F7">
        <w:rPr>
          <w:rFonts w:asciiTheme="majorHAnsi" w:hAnsiTheme="majorHAnsi"/>
          <w:sz w:val="20"/>
          <w:szCs w:val="20"/>
        </w:rPr>
        <w:t>технічною</w:t>
      </w:r>
      <w:r w:rsidRPr="004D2D14">
        <w:rPr>
          <w:rFonts w:asciiTheme="majorHAnsi" w:hAnsiTheme="majorHAnsi"/>
          <w:spacing w:val="-1"/>
          <w:sz w:val="20"/>
          <w:szCs w:val="20"/>
          <w:lang w:val="en-US"/>
        </w:rPr>
        <w:t xml:space="preserve"> </w:t>
      </w:r>
      <w:r w:rsidRPr="000977F7">
        <w:rPr>
          <w:rFonts w:asciiTheme="majorHAnsi" w:hAnsiTheme="majorHAnsi"/>
          <w:sz w:val="20"/>
          <w:szCs w:val="20"/>
        </w:rPr>
        <w:t>документацією</w:t>
      </w:r>
      <w:r w:rsidRPr="004D2D14">
        <w:rPr>
          <w:rFonts w:asciiTheme="majorHAnsi" w:hAnsiTheme="majorHAnsi"/>
          <w:spacing w:val="1"/>
          <w:sz w:val="20"/>
          <w:szCs w:val="20"/>
          <w:lang w:val="en-US"/>
        </w:rPr>
        <w:t xml:space="preserve"> </w:t>
      </w:r>
      <w:r w:rsidRPr="000977F7">
        <w:rPr>
          <w:rFonts w:asciiTheme="majorHAnsi" w:hAnsiTheme="majorHAnsi"/>
          <w:sz w:val="20"/>
          <w:szCs w:val="20"/>
        </w:rPr>
        <w:t>цього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r w:rsidRPr="004D2D14">
        <w:rPr>
          <w:rFonts w:asciiTheme="majorHAnsi" w:hAnsiTheme="majorHAnsi"/>
          <w:sz w:val="20"/>
          <w:szCs w:val="20"/>
          <w:lang w:val="en-US"/>
        </w:rPr>
        <w:t>.</w:t>
      </w:r>
    </w:p>
    <w:p w14:paraId="6F81393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4B7DE14E" w14:textId="77777777" w:rsidR="0097612F" w:rsidRPr="000977F7" w:rsidRDefault="0097612F" w:rsidP="00FD39A4">
      <w:pPr>
        <w:pStyle w:val="ac"/>
        <w:widowControl w:val="0"/>
        <w:numPr>
          <w:ilvl w:val="0"/>
          <w:numId w:val="215"/>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 xml:space="preserve">Розрізняють види технічного стану: </w:t>
      </w:r>
      <w:r w:rsidRPr="000977F7">
        <w:rPr>
          <w:rFonts w:asciiTheme="majorHAnsi" w:hAnsiTheme="majorHAnsi"/>
          <w:sz w:val="20"/>
          <w:szCs w:val="20"/>
        </w:rPr>
        <w:lastRenderedPageBreak/>
        <w:t>неушкодженість,</w:t>
      </w:r>
      <w:r w:rsidRPr="000977F7">
        <w:rPr>
          <w:rFonts w:asciiTheme="majorHAnsi" w:hAnsiTheme="majorHAnsi"/>
          <w:spacing w:val="1"/>
          <w:sz w:val="20"/>
          <w:szCs w:val="20"/>
        </w:rPr>
        <w:t xml:space="preserve"> </w:t>
      </w:r>
      <w:r w:rsidRPr="000977F7">
        <w:rPr>
          <w:rFonts w:asciiTheme="majorHAnsi" w:hAnsiTheme="majorHAnsi"/>
          <w:sz w:val="20"/>
          <w:szCs w:val="20"/>
        </w:rPr>
        <w:t>ушкодженність,</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працездатність</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непрацездатність, правильне функціонування, неправильне</w:t>
      </w:r>
      <w:r w:rsidRPr="000977F7">
        <w:rPr>
          <w:rFonts w:asciiTheme="majorHAnsi" w:hAnsiTheme="majorHAnsi"/>
          <w:spacing w:val="-47"/>
          <w:sz w:val="20"/>
          <w:szCs w:val="20"/>
        </w:rPr>
        <w:t xml:space="preserve"> </w:t>
      </w:r>
      <w:r w:rsidRPr="000977F7">
        <w:rPr>
          <w:rFonts w:asciiTheme="majorHAnsi" w:hAnsiTheme="majorHAnsi"/>
          <w:sz w:val="20"/>
          <w:szCs w:val="20"/>
        </w:rPr>
        <w:t>функціонування</w:t>
      </w:r>
    </w:p>
    <w:p w14:paraId="373948D3" w14:textId="77777777" w:rsidR="0097612F" w:rsidRPr="000977F7" w:rsidRDefault="0097612F" w:rsidP="00FD39A4">
      <w:pPr>
        <w:pStyle w:val="ac"/>
        <w:widowControl w:val="0"/>
        <w:numPr>
          <w:ilvl w:val="0"/>
          <w:numId w:val="215"/>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Під функціонуванням об’єкту слід розуміти 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об’єктом</w:t>
      </w:r>
      <w:r w:rsidRPr="000977F7">
        <w:rPr>
          <w:rFonts w:asciiTheme="majorHAnsi" w:hAnsiTheme="majorHAnsi"/>
          <w:spacing w:val="1"/>
          <w:sz w:val="20"/>
          <w:szCs w:val="20"/>
        </w:rPr>
        <w:t xml:space="preserve"> </w:t>
      </w:r>
      <w:r w:rsidRPr="000977F7">
        <w:rPr>
          <w:rFonts w:asciiTheme="majorHAnsi" w:hAnsiTheme="majorHAnsi"/>
          <w:sz w:val="20"/>
          <w:szCs w:val="20"/>
        </w:rPr>
        <w:t>визначеного</w:t>
      </w:r>
      <w:r w:rsidRPr="000977F7">
        <w:rPr>
          <w:rFonts w:asciiTheme="majorHAnsi" w:hAnsiTheme="majorHAnsi"/>
          <w:spacing w:val="1"/>
          <w:sz w:val="20"/>
          <w:szCs w:val="20"/>
        </w:rPr>
        <w:t xml:space="preserve"> </w:t>
      </w:r>
      <w:r w:rsidRPr="000977F7">
        <w:rPr>
          <w:rFonts w:asciiTheme="majorHAnsi" w:hAnsiTheme="majorHAnsi"/>
          <w:sz w:val="20"/>
          <w:szCs w:val="20"/>
        </w:rPr>
        <w:t>алгоритму</w:t>
      </w:r>
      <w:r w:rsidRPr="000977F7">
        <w:rPr>
          <w:rFonts w:asciiTheme="majorHAnsi" w:hAnsiTheme="majorHAnsi"/>
          <w:spacing w:val="1"/>
          <w:sz w:val="20"/>
          <w:szCs w:val="20"/>
        </w:rPr>
        <w:t xml:space="preserve"> </w:t>
      </w:r>
      <w:r w:rsidRPr="000977F7">
        <w:rPr>
          <w:rFonts w:asciiTheme="majorHAnsi" w:hAnsiTheme="majorHAnsi"/>
          <w:sz w:val="20"/>
          <w:szCs w:val="20"/>
        </w:rPr>
        <w:t>функціонування</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застосуванні</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призначенням</w:t>
      </w:r>
    </w:p>
    <w:p w14:paraId="2BAB982D" w14:textId="77777777" w:rsidR="0097612F" w:rsidRPr="000977F7" w:rsidRDefault="0097612F" w:rsidP="000977F7">
      <w:pPr>
        <w:pStyle w:val="ac"/>
        <w:tabs>
          <w:tab w:val="left" w:pos="284"/>
          <w:tab w:val="left" w:pos="801"/>
        </w:tabs>
        <w:spacing w:after="0" w:line="240" w:lineRule="auto"/>
        <w:ind w:left="170"/>
        <w:mirrorIndents/>
        <w:jc w:val="both"/>
        <w:rPr>
          <w:rFonts w:asciiTheme="majorHAnsi" w:hAnsiTheme="majorHAnsi"/>
          <w:sz w:val="20"/>
          <w:szCs w:val="20"/>
        </w:rPr>
      </w:pPr>
      <w:r w:rsidRPr="000977F7">
        <w:rPr>
          <w:rFonts w:asciiTheme="majorHAnsi" w:hAnsiTheme="majorHAnsi"/>
          <w:b/>
          <w:bCs/>
          <w:sz w:val="20"/>
          <w:szCs w:val="20"/>
        </w:rPr>
        <w:t>ВИДИ</w:t>
      </w:r>
      <w:r w:rsidRPr="000977F7">
        <w:rPr>
          <w:rFonts w:asciiTheme="majorHAnsi" w:hAnsiTheme="majorHAnsi"/>
          <w:b/>
          <w:bCs/>
          <w:spacing w:val="-3"/>
          <w:sz w:val="20"/>
          <w:szCs w:val="20"/>
        </w:rPr>
        <w:t xml:space="preserve"> </w:t>
      </w:r>
      <w:r w:rsidRPr="000977F7">
        <w:rPr>
          <w:rFonts w:asciiTheme="majorHAnsi" w:hAnsiTheme="majorHAnsi"/>
          <w:b/>
          <w:bCs/>
          <w:sz w:val="20"/>
          <w:szCs w:val="20"/>
        </w:rPr>
        <w:t>СТАНДАРТІВ</w:t>
      </w:r>
      <w:r w:rsidRPr="000977F7">
        <w:rPr>
          <w:rFonts w:asciiTheme="majorHAnsi" w:hAnsiTheme="majorHAnsi"/>
          <w:b/>
          <w:bCs/>
          <w:spacing w:val="-1"/>
          <w:sz w:val="20"/>
          <w:szCs w:val="20"/>
        </w:rPr>
        <w:t xml:space="preserve"> </w:t>
      </w:r>
      <w:r w:rsidRPr="000977F7">
        <w:rPr>
          <w:rFonts w:asciiTheme="majorHAnsi" w:hAnsiTheme="majorHAnsi"/>
          <w:b/>
          <w:bCs/>
          <w:sz w:val="20"/>
          <w:szCs w:val="20"/>
        </w:rPr>
        <w:t>–</w:t>
      </w:r>
    </w:p>
    <w:p w14:paraId="70F9C1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Відповідно до специфіки об'єкта стандартизації, складу та змісту вимог, встановлених до нього, для різних</w:t>
      </w:r>
      <w:r w:rsidRPr="000977F7">
        <w:rPr>
          <w:rFonts w:asciiTheme="majorHAnsi" w:hAnsiTheme="majorHAnsi"/>
          <w:spacing w:val="1"/>
          <w:sz w:val="20"/>
          <w:szCs w:val="20"/>
        </w:rPr>
        <w:t xml:space="preserve"> </w:t>
      </w:r>
      <w:r w:rsidRPr="000977F7">
        <w:rPr>
          <w:rFonts w:asciiTheme="majorHAnsi" w:hAnsiTheme="majorHAnsi"/>
          <w:sz w:val="20"/>
          <w:szCs w:val="20"/>
        </w:rPr>
        <w:t>категорій</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нормативних</w:t>
      </w:r>
      <w:r w:rsidRPr="000977F7">
        <w:rPr>
          <w:rFonts w:asciiTheme="majorHAnsi" w:hAnsiTheme="majorHAnsi"/>
          <w:spacing w:val="1"/>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розробляють</w:t>
      </w:r>
      <w:r w:rsidRPr="000977F7">
        <w:rPr>
          <w:rFonts w:asciiTheme="majorHAnsi" w:hAnsiTheme="majorHAnsi"/>
          <w:spacing w:val="-1"/>
          <w:sz w:val="20"/>
          <w:szCs w:val="20"/>
        </w:rPr>
        <w:t xml:space="preserve"> </w:t>
      </w:r>
      <w:r w:rsidRPr="000977F7">
        <w:rPr>
          <w:rFonts w:asciiTheme="majorHAnsi" w:hAnsiTheme="majorHAnsi"/>
          <w:sz w:val="20"/>
          <w:szCs w:val="20"/>
        </w:rPr>
        <w:t>стандарти</w:t>
      </w:r>
      <w:r w:rsidRPr="000977F7">
        <w:rPr>
          <w:rFonts w:asciiTheme="majorHAnsi" w:hAnsiTheme="majorHAnsi"/>
          <w:spacing w:val="-1"/>
          <w:sz w:val="20"/>
          <w:szCs w:val="20"/>
        </w:rPr>
        <w:t xml:space="preserve"> </w:t>
      </w:r>
      <w:r w:rsidRPr="000977F7">
        <w:rPr>
          <w:rFonts w:asciiTheme="majorHAnsi" w:hAnsiTheme="majorHAnsi"/>
          <w:sz w:val="20"/>
          <w:szCs w:val="20"/>
        </w:rPr>
        <w:t>таких</w:t>
      </w:r>
      <w:r w:rsidRPr="000977F7">
        <w:rPr>
          <w:rFonts w:asciiTheme="majorHAnsi" w:hAnsiTheme="majorHAnsi"/>
          <w:spacing w:val="-1"/>
          <w:sz w:val="20"/>
          <w:szCs w:val="20"/>
        </w:rPr>
        <w:t xml:space="preserve"> </w:t>
      </w:r>
      <w:r w:rsidRPr="000977F7">
        <w:rPr>
          <w:rFonts w:asciiTheme="majorHAnsi" w:hAnsiTheme="majorHAnsi"/>
          <w:sz w:val="20"/>
          <w:szCs w:val="20"/>
        </w:rPr>
        <w:t>видів:</w:t>
      </w:r>
    </w:p>
    <w:p w14:paraId="388CABF1" w14:textId="77777777" w:rsidR="0097612F" w:rsidRPr="000977F7" w:rsidRDefault="0097612F" w:rsidP="00FD39A4">
      <w:pPr>
        <w:pStyle w:val="ac"/>
        <w:widowControl w:val="0"/>
        <w:numPr>
          <w:ilvl w:val="0"/>
          <w:numId w:val="218"/>
        </w:numPr>
        <w:tabs>
          <w:tab w:val="left" w:pos="284"/>
          <w:tab w:val="left" w:pos="43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основоположні;</w:t>
      </w:r>
    </w:p>
    <w:p w14:paraId="07AD07B5" w14:textId="77777777" w:rsidR="0097612F" w:rsidRPr="000977F7" w:rsidRDefault="0097612F" w:rsidP="00FD39A4">
      <w:pPr>
        <w:pStyle w:val="ac"/>
        <w:widowControl w:val="0"/>
        <w:numPr>
          <w:ilvl w:val="0"/>
          <w:numId w:val="218"/>
        </w:numPr>
        <w:tabs>
          <w:tab w:val="left" w:pos="284"/>
          <w:tab w:val="left" w:pos="43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продукцію,</w:t>
      </w:r>
      <w:r w:rsidRPr="000977F7">
        <w:rPr>
          <w:rFonts w:asciiTheme="majorHAnsi" w:hAnsiTheme="majorHAnsi"/>
          <w:spacing w:val="-4"/>
          <w:sz w:val="20"/>
          <w:szCs w:val="20"/>
        </w:rPr>
        <w:t xml:space="preserve"> </w:t>
      </w:r>
      <w:r w:rsidRPr="000977F7">
        <w:rPr>
          <w:rFonts w:asciiTheme="majorHAnsi" w:hAnsiTheme="majorHAnsi"/>
          <w:sz w:val="20"/>
          <w:szCs w:val="20"/>
        </w:rPr>
        <w:t>послуги;</w:t>
      </w:r>
    </w:p>
    <w:p w14:paraId="140D655A" w14:textId="77777777" w:rsidR="0097612F" w:rsidRPr="000977F7" w:rsidRDefault="0097612F" w:rsidP="00FD39A4">
      <w:pPr>
        <w:pStyle w:val="ac"/>
        <w:widowControl w:val="0"/>
        <w:numPr>
          <w:ilvl w:val="0"/>
          <w:numId w:val="218"/>
        </w:numPr>
        <w:tabs>
          <w:tab w:val="left" w:pos="284"/>
          <w:tab w:val="left" w:pos="43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процеси;</w:t>
      </w:r>
    </w:p>
    <w:p w14:paraId="60F5E2D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4"/>
          <w:sz w:val="20"/>
          <w:szCs w:val="20"/>
        </w:rPr>
        <w:t>методів</w:t>
      </w:r>
      <w:r w:rsidRPr="000977F7">
        <w:rPr>
          <w:rFonts w:asciiTheme="majorHAnsi" w:hAnsiTheme="majorHAnsi"/>
          <w:spacing w:val="-7"/>
          <w:sz w:val="20"/>
          <w:szCs w:val="20"/>
        </w:rPr>
        <w:t xml:space="preserve"> </w:t>
      </w:r>
      <w:r w:rsidRPr="000977F7">
        <w:rPr>
          <w:rFonts w:asciiTheme="majorHAnsi" w:hAnsiTheme="majorHAnsi"/>
          <w:spacing w:val="-4"/>
          <w:sz w:val="20"/>
          <w:szCs w:val="20"/>
        </w:rPr>
        <w:t>контролю</w:t>
      </w:r>
      <w:r w:rsidRPr="000977F7">
        <w:rPr>
          <w:rFonts w:asciiTheme="majorHAnsi" w:hAnsiTheme="majorHAnsi"/>
          <w:spacing w:val="-9"/>
          <w:sz w:val="20"/>
          <w:szCs w:val="20"/>
        </w:rPr>
        <w:t xml:space="preserve"> </w:t>
      </w:r>
      <w:r w:rsidRPr="000977F7">
        <w:rPr>
          <w:rFonts w:asciiTheme="majorHAnsi" w:hAnsiTheme="majorHAnsi"/>
          <w:spacing w:val="-4"/>
          <w:sz w:val="20"/>
          <w:szCs w:val="20"/>
        </w:rPr>
        <w:t>(випробувань,</w:t>
      </w:r>
      <w:r w:rsidRPr="000977F7">
        <w:rPr>
          <w:rFonts w:asciiTheme="majorHAnsi" w:hAnsiTheme="majorHAnsi"/>
          <w:spacing w:val="-6"/>
          <w:sz w:val="20"/>
          <w:szCs w:val="20"/>
        </w:rPr>
        <w:t xml:space="preserve"> </w:t>
      </w:r>
      <w:r w:rsidRPr="000977F7">
        <w:rPr>
          <w:rFonts w:asciiTheme="majorHAnsi" w:hAnsiTheme="majorHAnsi"/>
          <w:spacing w:val="-4"/>
          <w:sz w:val="20"/>
          <w:szCs w:val="20"/>
        </w:rPr>
        <w:t>вимірювань,</w:t>
      </w:r>
      <w:r w:rsidRPr="000977F7">
        <w:rPr>
          <w:rFonts w:asciiTheme="majorHAnsi" w:hAnsiTheme="majorHAnsi"/>
          <w:spacing w:val="-8"/>
          <w:sz w:val="20"/>
          <w:szCs w:val="20"/>
        </w:rPr>
        <w:t xml:space="preserve"> </w:t>
      </w:r>
      <w:r w:rsidRPr="000977F7">
        <w:rPr>
          <w:rFonts w:asciiTheme="majorHAnsi" w:hAnsiTheme="majorHAnsi"/>
          <w:spacing w:val="-4"/>
          <w:sz w:val="20"/>
          <w:szCs w:val="20"/>
        </w:rPr>
        <w:t>аналізу)</w:t>
      </w:r>
    </w:p>
    <w:p w14:paraId="540B63C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ВИДИ</w:t>
      </w:r>
      <w:r w:rsidRPr="000977F7">
        <w:rPr>
          <w:color w:val="auto"/>
          <w:spacing w:val="-2"/>
          <w:sz w:val="20"/>
          <w:szCs w:val="20"/>
        </w:rPr>
        <w:t xml:space="preserve"> </w:t>
      </w:r>
      <w:r w:rsidRPr="000977F7">
        <w:rPr>
          <w:color w:val="auto"/>
          <w:sz w:val="20"/>
          <w:szCs w:val="20"/>
        </w:rPr>
        <w:t>ШКІДЛИВИХ</w:t>
      </w:r>
      <w:r w:rsidRPr="000977F7">
        <w:rPr>
          <w:color w:val="auto"/>
          <w:spacing w:val="-2"/>
          <w:sz w:val="20"/>
          <w:szCs w:val="20"/>
        </w:rPr>
        <w:t xml:space="preserve"> </w:t>
      </w:r>
      <w:r w:rsidRPr="000977F7">
        <w:rPr>
          <w:color w:val="auto"/>
          <w:sz w:val="20"/>
          <w:szCs w:val="20"/>
        </w:rPr>
        <w:t>ВПЛИВІВ</w:t>
      </w:r>
      <w:r w:rsidRPr="000977F7">
        <w:rPr>
          <w:color w:val="auto"/>
          <w:spacing w:val="-1"/>
          <w:sz w:val="20"/>
          <w:szCs w:val="20"/>
        </w:rPr>
        <w:t xml:space="preserve"> </w:t>
      </w:r>
      <w:r w:rsidRPr="000977F7">
        <w:rPr>
          <w:color w:val="auto"/>
          <w:sz w:val="20"/>
          <w:szCs w:val="20"/>
        </w:rPr>
        <w:t>–</w:t>
      </w:r>
    </w:p>
    <w:p w14:paraId="5400EE04"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Негативні</w:t>
      </w:r>
      <w:r w:rsidRPr="000977F7">
        <w:rPr>
          <w:rFonts w:asciiTheme="majorHAnsi" w:hAnsiTheme="majorHAnsi"/>
          <w:spacing w:val="17"/>
          <w:sz w:val="20"/>
          <w:szCs w:val="20"/>
        </w:rPr>
        <w:t xml:space="preserve"> </w:t>
      </w:r>
      <w:r w:rsidRPr="000977F7">
        <w:rPr>
          <w:rFonts w:asciiTheme="majorHAnsi" w:hAnsiTheme="majorHAnsi"/>
          <w:sz w:val="20"/>
          <w:szCs w:val="20"/>
        </w:rPr>
        <w:t>зміни</w:t>
      </w:r>
      <w:r w:rsidRPr="000977F7">
        <w:rPr>
          <w:rFonts w:asciiTheme="majorHAnsi" w:hAnsiTheme="majorHAnsi"/>
          <w:spacing w:val="16"/>
          <w:sz w:val="20"/>
          <w:szCs w:val="20"/>
        </w:rPr>
        <w:t xml:space="preserve"> </w:t>
      </w:r>
      <w:r w:rsidRPr="000977F7">
        <w:rPr>
          <w:rFonts w:asciiTheme="majorHAnsi" w:hAnsiTheme="majorHAnsi"/>
          <w:sz w:val="20"/>
          <w:szCs w:val="20"/>
        </w:rPr>
        <w:t>стану</w:t>
      </w:r>
      <w:r w:rsidRPr="000977F7">
        <w:rPr>
          <w:rFonts w:asciiTheme="majorHAnsi" w:hAnsiTheme="majorHAnsi"/>
          <w:spacing w:val="16"/>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18"/>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47"/>
          <w:sz w:val="20"/>
          <w:szCs w:val="20"/>
        </w:rPr>
        <w:t xml:space="preserve"> </w:t>
      </w:r>
      <w:r w:rsidRPr="000977F7">
        <w:rPr>
          <w:rFonts w:asciiTheme="majorHAnsi" w:hAnsiTheme="majorHAnsi"/>
          <w:sz w:val="20"/>
          <w:szCs w:val="20"/>
        </w:rPr>
        <w:t>що відрізняються за характером перетворюючої сили</w:t>
      </w:r>
      <w:r w:rsidRPr="000977F7">
        <w:rPr>
          <w:rFonts w:asciiTheme="majorHAnsi" w:hAnsiTheme="majorHAnsi"/>
          <w:spacing w:val="1"/>
          <w:sz w:val="20"/>
          <w:szCs w:val="20"/>
        </w:rPr>
        <w:t xml:space="preserve"> </w:t>
      </w:r>
    </w:p>
    <w:p w14:paraId="42B7E5EC"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2156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23FC59B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ВИЗНАННЯ РЕЗУЛЬТАТІВ ОЦІНЮВАННЯ </w:t>
      </w:r>
    </w:p>
    <w:p w14:paraId="230B7AA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ВІДПОВІДНОСТІ-</w:t>
      </w:r>
    </w:p>
    <w:p w14:paraId="0A6E48F2" w14:textId="77777777" w:rsidR="0097612F" w:rsidRPr="004D2D14" w:rsidRDefault="0097612F" w:rsidP="000977F7">
      <w:pPr>
        <w:tabs>
          <w:tab w:val="left" w:pos="284"/>
          <w:tab w:val="left" w:pos="3247"/>
          <w:tab w:val="left" w:pos="3739"/>
        </w:tabs>
        <w:spacing w:after="0" w:line="240" w:lineRule="auto"/>
        <w:ind w:left="170"/>
        <w:mirrorIndents/>
        <w:jc w:val="both"/>
        <w:rPr>
          <w:rFonts w:asciiTheme="majorHAnsi" w:hAnsiTheme="majorHAnsi"/>
          <w:iCs/>
          <w:sz w:val="20"/>
          <w:szCs w:val="20"/>
          <w:lang w:val="en-US"/>
        </w:rPr>
      </w:pPr>
      <w:r w:rsidRPr="004D2D14">
        <w:rPr>
          <w:rFonts w:asciiTheme="majorHAnsi" w:hAnsiTheme="majorHAnsi"/>
          <w:iCs/>
          <w:sz w:val="20"/>
          <w:szCs w:val="20"/>
          <w:lang w:val="en-US"/>
        </w:rPr>
        <w:t xml:space="preserve">RECOGNITION;RECOGNITION OF </w:t>
      </w:r>
      <w:r w:rsidRPr="004D2D14">
        <w:rPr>
          <w:rFonts w:asciiTheme="majorHAnsi" w:hAnsiTheme="majorHAnsi"/>
          <w:iCs/>
          <w:spacing w:val="-1"/>
          <w:sz w:val="20"/>
          <w:szCs w:val="20"/>
          <w:lang w:val="en-US"/>
        </w:rPr>
        <w:t>CONFORMITY</w:t>
      </w:r>
      <w:r w:rsidRPr="004D2D14">
        <w:rPr>
          <w:rFonts w:asciiTheme="majorHAnsi" w:hAnsiTheme="majorHAnsi"/>
          <w:iCs/>
          <w:spacing w:val="-47"/>
          <w:sz w:val="20"/>
          <w:szCs w:val="20"/>
          <w:lang w:val="en-US"/>
        </w:rPr>
        <w:t xml:space="preserve"> </w:t>
      </w:r>
      <w:r w:rsidRPr="004D2D14">
        <w:rPr>
          <w:rFonts w:asciiTheme="majorHAnsi" w:hAnsiTheme="majorHAnsi"/>
          <w:iCs/>
          <w:sz w:val="20"/>
          <w:szCs w:val="20"/>
          <w:lang w:val="en-US"/>
        </w:rPr>
        <w:t>ASSESSMENT</w:t>
      </w:r>
      <w:r w:rsidRPr="004D2D14">
        <w:rPr>
          <w:rFonts w:asciiTheme="majorHAnsi" w:hAnsiTheme="majorHAnsi"/>
          <w:iCs/>
          <w:spacing w:val="-1"/>
          <w:sz w:val="20"/>
          <w:szCs w:val="20"/>
          <w:lang w:val="en-US"/>
        </w:rPr>
        <w:t xml:space="preserve"> </w:t>
      </w:r>
      <w:r w:rsidRPr="004D2D14">
        <w:rPr>
          <w:rFonts w:asciiTheme="majorHAnsi" w:hAnsiTheme="majorHAnsi"/>
          <w:iCs/>
          <w:sz w:val="20"/>
          <w:szCs w:val="20"/>
          <w:lang w:val="en-US"/>
        </w:rPr>
        <w:t>RESULTS</w:t>
      </w:r>
      <w:r w:rsidRPr="004D2D14">
        <w:rPr>
          <w:rFonts w:asciiTheme="majorHAnsi" w:hAnsiTheme="majorHAnsi"/>
          <w:iCs/>
          <w:spacing w:val="2"/>
          <w:sz w:val="20"/>
          <w:szCs w:val="20"/>
          <w:lang w:val="en-US"/>
        </w:rPr>
        <w:t xml:space="preserve"> </w:t>
      </w:r>
      <w:r w:rsidRPr="004D2D14">
        <w:rPr>
          <w:rFonts w:asciiTheme="majorHAnsi" w:hAnsiTheme="majorHAnsi"/>
          <w:iCs/>
          <w:sz w:val="20"/>
          <w:szCs w:val="20"/>
          <w:lang w:val="en-US"/>
        </w:rPr>
        <w:t>–</w:t>
      </w:r>
    </w:p>
    <w:p w14:paraId="43F11653"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Підтвердження правомірності результату оцінювання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 проведеного іншою особою чи органом</w:t>
      </w:r>
      <w:r w:rsidRPr="000977F7">
        <w:rPr>
          <w:rFonts w:asciiTheme="majorHAnsi" w:hAnsiTheme="majorHAnsi"/>
          <w:spacing w:val="-47"/>
          <w:sz w:val="20"/>
          <w:szCs w:val="20"/>
        </w:rPr>
        <w:t xml:space="preserve"> </w:t>
      </w:r>
    </w:p>
    <w:p w14:paraId="12F240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i/>
          <w:iCs/>
          <w:sz w:val="20"/>
          <w:szCs w:val="20"/>
        </w:rPr>
        <w:t>ДСТУISO/IEC</w:t>
      </w:r>
      <w:r w:rsidRPr="000977F7">
        <w:rPr>
          <w:rFonts w:asciiTheme="majorHAnsi" w:hAnsiTheme="majorHAnsi"/>
          <w:i/>
          <w:iCs/>
          <w:spacing w:val="-32"/>
          <w:sz w:val="20"/>
          <w:szCs w:val="20"/>
        </w:rPr>
        <w:t xml:space="preserve"> </w:t>
      </w:r>
      <w:r w:rsidRPr="000977F7">
        <w:rPr>
          <w:rFonts w:asciiTheme="majorHAnsi" w:hAnsiTheme="majorHAnsi"/>
          <w:i/>
          <w:iCs/>
          <w:sz w:val="20"/>
          <w:szCs w:val="20"/>
        </w:rPr>
        <w:t>17000:2007</w:t>
      </w:r>
    </w:p>
    <w:p w14:paraId="72A6F99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ВИЗНАНЕ</w:t>
      </w:r>
      <w:r w:rsidRPr="000977F7">
        <w:rPr>
          <w:color w:val="auto"/>
          <w:spacing w:val="-4"/>
          <w:sz w:val="20"/>
          <w:szCs w:val="20"/>
        </w:rPr>
        <w:t xml:space="preserve"> </w:t>
      </w:r>
      <w:r w:rsidRPr="000977F7">
        <w:rPr>
          <w:color w:val="auto"/>
          <w:sz w:val="20"/>
          <w:szCs w:val="20"/>
        </w:rPr>
        <w:t>ТЕХНІЧНЕ</w:t>
      </w:r>
      <w:r w:rsidRPr="000977F7">
        <w:rPr>
          <w:color w:val="auto"/>
          <w:spacing w:val="-4"/>
          <w:sz w:val="20"/>
          <w:szCs w:val="20"/>
        </w:rPr>
        <w:t xml:space="preserve"> </w:t>
      </w:r>
      <w:r w:rsidRPr="000977F7">
        <w:rPr>
          <w:color w:val="auto"/>
          <w:sz w:val="20"/>
          <w:szCs w:val="20"/>
        </w:rPr>
        <w:t>ПРАВИЛО -</w:t>
      </w:r>
    </w:p>
    <w:p w14:paraId="0AC3100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ACKNOWLEDGED</w:t>
      </w:r>
      <w:r w:rsidRPr="004D2D14">
        <w:rPr>
          <w:rFonts w:asciiTheme="majorHAnsi" w:hAnsiTheme="majorHAnsi"/>
          <w:spacing w:val="-1"/>
          <w:sz w:val="20"/>
          <w:szCs w:val="20"/>
          <w:lang w:val="uk-UA"/>
        </w:rPr>
        <w:t xml:space="preserve"> </w:t>
      </w:r>
      <w:r w:rsidRPr="000977F7">
        <w:rPr>
          <w:rFonts w:asciiTheme="majorHAnsi" w:hAnsiTheme="majorHAnsi"/>
          <w:sz w:val="20"/>
          <w:szCs w:val="20"/>
        </w:rPr>
        <w:t>RULE</w:t>
      </w:r>
      <w:r w:rsidRPr="004D2D14">
        <w:rPr>
          <w:rFonts w:asciiTheme="majorHAnsi" w:hAnsiTheme="majorHAnsi"/>
          <w:spacing w:val="1"/>
          <w:sz w:val="20"/>
          <w:szCs w:val="20"/>
          <w:lang w:val="uk-UA"/>
        </w:rPr>
        <w:t xml:space="preserve"> </w:t>
      </w:r>
      <w:r w:rsidRPr="000977F7">
        <w:rPr>
          <w:rFonts w:asciiTheme="majorHAnsi" w:hAnsiTheme="majorHAnsi"/>
          <w:sz w:val="20"/>
          <w:szCs w:val="20"/>
        </w:rPr>
        <w:t>OF</w:t>
      </w:r>
      <w:r w:rsidRPr="004D2D14">
        <w:rPr>
          <w:rFonts w:asciiTheme="majorHAnsi" w:hAnsiTheme="majorHAnsi"/>
          <w:spacing w:val="-3"/>
          <w:sz w:val="20"/>
          <w:szCs w:val="20"/>
          <w:lang w:val="uk-UA"/>
        </w:rPr>
        <w:t xml:space="preserve"> </w:t>
      </w:r>
      <w:r w:rsidRPr="000977F7">
        <w:rPr>
          <w:rFonts w:asciiTheme="majorHAnsi" w:hAnsiTheme="majorHAnsi"/>
          <w:sz w:val="20"/>
          <w:szCs w:val="20"/>
        </w:rPr>
        <w:t>TECHNOLOGY</w:t>
      </w:r>
      <w:r w:rsidRPr="004D2D14">
        <w:rPr>
          <w:rFonts w:asciiTheme="majorHAnsi" w:hAnsiTheme="majorHAnsi"/>
          <w:sz w:val="20"/>
          <w:szCs w:val="20"/>
          <w:lang w:val="uk-UA"/>
        </w:rPr>
        <w:t>-</w:t>
      </w:r>
    </w:p>
    <w:p w14:paraId="784A5FC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pacing w:val="-1"/>
          <w:sz w:val="20"/>
          <w:szCs w:val="20"/>
          <w:lang w:val="uk-UA"/>
        </w:rPr>
        <w:t>Технічне</w:t>
      </w:r>
      <w:r w:rsidRPr="004D2D14">
        <w:rPr>
          <w:rFonts w:asciiTheme="majorHAnsi" w:hAnsiTheme="majorHAnsi"/>
          <w:spacing w:val="15"/>
          <w:sz w:val="20"/>
          <w:szCs w:val="20"/>
          <w:lang w:val="uk-UA"/>
        </w:rPr>
        <w:t xml:space="preserve"> </w:t>
      </w:r>
      <w:r w:rsidRPr="004D2D14">
        <w:rPr>
          <w:rFonts w:asciiTheme="majorHAnsi" w:hAnsiTheme="majorHAnsi"/>
          <w:spacing w:val="-1"/>
          <w:sz w:val="20"/>
          <w:szCs w:val="20"/>
          <w:lang w:val="uk-UA"/>
        </w:rPr>
        <w:t>положення,</w:t>
      </w:r>
      <w:r w:rsidRPr="004D2D14">
        <w:rPr>
          <w:rFonts w:asciiTheme="majorHAnsi" w:hAnsiTheme="majorHAnsi"/>
          <w:spacing w:val="14"/>
          <w:sz w:val="20"/>
          <w:szCs w:val="20"/>
          <w:lang w:val="uk-UA"/>
        </w:rPr>
        <w:t xml:space="preserve"> </w:t>
      </w:r>
      <w:r w:rsidRPr="004D2D14">
        <w:rPr>
          <w:rFonts w:asciiTheme="majorHAnsi" w:hAnsiTheme="majorHAnsi"/>
          <w:spacing w:val="-1"/>
          <w:sz w:val="20"/>
          <w:szCs w:val="20"/>
          <w:lang w:val="uk-UA"/>
        </w:rPr>
        <w:t>визнане</w:t>
      </w:r>
      <w:r w:rsidRPr="004D2D14">
        <w:rPr>
          <w:rFonts w:asciiTheme="majorHAnsi" w:hAnsiTheme="majorHAnsi"/>
          <w:spacing w:val="14"/>
          <w:sz w:val="20"/>
          <w:szCs w:val="20"/>
          <w:lang w:val="uk-UA"/>
        </w:rPr>
        <w:t xml:space="preserve"> </w:t>
      </w:r>
      <w:r w:rsidRPr="004D2D14">
        <w:rPr>
          <w:rFonts w:asciiTheme="majorHAnsi" w:hAnsiTheme="majorHAnsi"/>
          <w:spacing w:val="-1"/>
          <w:sz w:val="20"/>
          <w:szCs w:val="20"/>
          <w:lang w:val="uk-UA"/>
        </w:rPr>
        <w:t>більшістю</w:t>
      </w:r>
      <w:r w:rsidRPr="004D2D14">
        <w:rPr>
          <w:rFonts w:asciiTheme="majorHAnsi" w:hAnsiTheme="majorHAnsi"/>
          <w:spacing w:val="16"/>
          <w:sz w:val="20"/>
          <w:szCs w:val="20"/>
          <w:lang w:val="uk-UA"/>
        </w:rPr>
        <w:t xml:space="preserve"> </w:t>
      </w:r>
      <w:r w:rsidRPr="004D2D14">
        <w:rPr>
          <w:rFonts w:asciiTheme="majorHAnsi" w:hAnsiTheme="majorHAnsi"/>
          <w:spacing w:val="-1"/>
          <w:sz w:val="20"/>
          <w:szCs w:val="20"/>
          <w:lang w:val="uk-UA"/>
        </w:rPr>
        <w:t>повноважних</w:t>
      </w:r>
      <w:r w:rsidRPr="004D2D14">
        <w:rPr>
          <w:rFonts w:asciiTheme="majorHAnsi" w:hAnsiTheme="majorHAnsi"/>
          <w:spacing w:val="-47"/>
          <w:sz w:val="20"/>
          <w:szCs w:val="20"/>
          <w:lang w:val="uk-UA"/>
        </w:rPr>
        <w:t xml:space="preserve"> </w:t>
      </w:r>
      <w:r w:rsidRPr="004D2D14">
        <w:rPr>
          <w:rFonts w:asciiTheme="majorHAnsi" w:hAnsiTheme="majorHAnsi"/>
          <w:spacing w:val="-4"/>
          <w:sz w:val="20"/>
          <w:szCs w:val="20"/>
          <w:lang w:val="uk-UA"/>
        </w:rPr>
        <w:t>експертів таким, що відображає рівень розвитку техніки</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П</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w:t>
      </w:r>
    </w:p>
    <w:p w14:paraId="5848B4C6" w14:textId="77777777" w:rsidR="0097612F" w:rsidRPr="000977F7" w:rsidRDefault="0097612F" w:rsidP="000977F7">
      <w:pPr>
        <w:pStyle w:val="af6"/>
        <w:tabs>
          <w:tab w:val="left" w:pos="284"/>
        </w:tabs>
        <w:spacing w:after="0"/>
        <w:ind w:left="170"/>
        <w:mirrorIndents/>
        <w:jc w:val="both"/>
        <w:rPr>
          <w:rFonts w:asciiTheme="majorHAnsi" w:hAnsiTheme="majorHAnsi"/>
          <w:spacing w:val="-2"/>
          <w:sz w:val="20"/>
          <w:szCs w:val="20"/>
        </w:rPr>
      </w:pPr>
      <w:r w:rsidRPr="000977F7">
        <w:rPr>
          <w:rFonts w:asciiTheme="majorHAnsi" w:hAnsiTheme="majorHAnsi"/>
          <w:spacing w:val="-2"/>
          <w:sz w:val="20"/>
          <w:szCs w:val="20"/>
        </w:rPr>
        <w:t>Нормативний</w:t>
      </w:r>
      <w:r w:rsidRPr="000977F7">
        <w:rPr>
          <w:rFonts w:asciiTheme="majorHAnsi" w:hAnsiTheme="majorHAnsi"/>
          <w:spacing w:val="-8"/>
          <w:sz w:val="20"/>
          <w:szCs w:val="20"/>
        </w:rPr>
        <w:t xml:space="preserve"> </w:t>
      </w:r>
      <w:r w:rsidRPr="000977F7">
        <w:rPr>
          <w:rFonts w:asciiTheme="majorHAnsi" w:hAnsiTheme="majorHAnsi"/>
          <w:spacing w:val="-2"/>
          <w:sz w:val="20"/>
          <w:szCs w:val="20"/>
        </w:rPr>
        <w:t>документ,</w:t>
      </w:r>
      <w:r w:rsidRPr="000977F7">
        <w:rPr>
          <w:rFonts w:asciiTheme="majorHAnsi" w:hAnsiTheme="majorHAnsi"/>
          <w:spacing w:val="-8"/>
          <w:sz w:val="20"/>
          <w:szCs w:val="20"/>
        </w:rPr>
        <w:t xml:space="preserve"> </w:t>
      </w:r>
      <w:r w:rsidRPr="000977F7">
        <w:rPr>
          <w:rFonts w:asciiTheme="majorHAnsi" w:hAnsiTheme="majorHAnsi"/>
          <w:spacing w:val="-2"/>
          <w:sz w:val="20"/>
          <w:szCs w:val="20"/>
        </w:rPr>
        <w:t>на</w:t>
      </w:r>
      <w:r w:rsidRPr="000977F7">
        <w:rPr>
          <w:rFonts w:asciiTheme="majorHAnsi" w:hAnsiTheme="majorHAnsi"/>
          <w:spacing w:val="-7"/>
          <w:sz w:val="20"/>
          <w:szCs w:val="20"/>
        </w:rPr>
        <w:t xml:space="preserve"> </w:t>
      </w:r>
      <w:r w:rsidRPr="000977F7">
        <w:rPr>
          <w:rFonts w:asciiTheme="majorHAnsi" w:hAnsiTheme="majorHAnsi"/>
          <w:spacing w:val="-2"/>
          <w:sz w:val="20"/>
          <w:szCs w:val="20"/>
        </w:rPr>
        <w:t>технічний</w:t>
      </w:r>
      <w:r w:rsidRPr="000977F7">
        <w:rPr>
          <w:rFonts w:asciiTheme="majorHAnsi" w:hAnsiTheme="majorHAnsi"/>
          <w:spacing w:val="-10"/>
          <w:sz w:val="20"/>
          <w:szCs w:val="20"/>
        </w:rPr>
        <w:t xml:space="preserve"> </w:t>
      </w:r>
      <w:r w:rsidRPr="000977F7">
        <w:rPr>
          <w:rFonts w:asciiTheme="majorHAnsi" w:hAnsiTheme="majorHAnsi"/>
          <w:spacing w:val="-2"/>
          <w:sz w:val="20"/>
          <w:szCs w:val="20"/>
        </w:rPr>
        <w:t>об’єкт,</w:t>
      </w:r>
      <w:r w:rsidRPr="000977F7">
        <w:rPr>
          <w:rFonts w:asciiTheme="majorHAnsi" w:hAnsiTheme="majorHAnsi"/>
          <w:spacing w:val="-7"/>
          <w:sz w:val="20"/>
          <w:szCs w:val="20"/>
        </w:rPr>
        <w:t xml:space="preserve"> </w:t>
      </w:r>
      <w:r w:rsidRPr="000977F7">
        <w:rPr>
          <w:rFonts w:asciiTheme="majorHAnsi" w:hAnsiTheme="majorHAnsi"/>
          <w:spacing w:val="-2"/>
          <w:sz w:val="20"/>
          <w:szCs w:val="20"/>
        </w:rPr>
        <w:t>якщо</w:t>
      </w:r>
      <w:r w:rsidRPr="000977F7">
        <w:rPr>
          <w:rFonts w:asciiTheme="majorHAnsi" w:hAnsiTheme="majorHAnsi"/>
          <w:spacing w:val="-6"/>
          <w:sz w:val="20"/>
          <w:szCs w:val="20"/>
        </w:rPr>
        <w:t xml:space="preserve"> </w:t>
      </w:r>
      <w:r w:rsidRPr="000977F7">
        <w:rPr>
          <w:rFonts w:asciiTheme="majorHAnsi" w:hAnsiTheme="majorHAnsi"/>
          <w:spacing w:val="-1"/>
          <w:sz w:val="20"/>
          <w:szCs w:val="20"/>
        </w:rPr>
        <w:t>його</w:t>
      </w:r>
      <w:r w:rsidRPr="000977F7">
        <w:rPr>
          <w:rFonts w:asciiTheme="majorHAnsi" w:hAnsiTheme="majorHAnsi"/>
          <w:spacing w:val="-47"/>
          <w:sz w:val="20"/>
          <w:szCs w:val="20"/>
        </w:rPr>
        <w:t xml:space="preserve"> </w:t>
      </w:r>
      <w:r w:rsidRPr="000977F7">
        <w:rPr>
          <w:rFonts w:asciiTheme="majorHAnsi" w:hAnsiTheme="majorHAnsi"/>
          <w:spacing w:val="-2"/>
          <w:sz w:val="20"/>
          <w:szCs w:val="20"/>
        </w:rPr>
        <w:t>розроблено</w:t>
      </w:r>
      <w:r w:rsidRPr="000977F7">
        <w:rPr>
          <w:rFonts w:asciiTheme="majorHAnsi" w:hAnsiTheme="majorHAnsi"/>
          <w:spacing w:val="-5"/>
          <w:sz w:val="20"/>
          <w:szCs w:val="20"/>
        </w:rPr>
        <w:t xml:space="preserve"> </w:t>
      </w:r>
      <w:r w:rsidRPr="000977F7">
        <w:rPr>
          <w:rFonts w:asciiTheme="majorHAnsi" w:hAnsiTheme="majorHAnsi"/>
          <w:spacing w:val="-2"/>
          <w:sz w:val="20"/>
          <w:szCs w:val="20"/>
        </w:rPr>
        <w:t>спільно</w:t>
      </w:r>
      <w:r w:rsidRPr="000977F7">
        <w:rPr>
          <w:rFonts w:asciiTheme="majorHAnsi" w:hAnsiTheme="majorHAnsi"/>
          <w:spacing w:val="-7"/>
          <w:sz w:val="20"/>
          <w:szCs w:val="20"/>
        </w:rPr>
        <w:t xml:space="preserve"> </w:t>
      </w:r>
      <w:r w:rsidRPr="000977F7">
        <w:rPr>
          <w:rFonts w:asciiTheme="majorHAnsi" w:hAnsiTheme="majorHAnsi"/>
          <w:spacing w:val="-1"/>
          <w:sz w:val="20"/>
          <w:szCs w:val="20"/>
        </w:rPr>
        <w:t>зацікавленими</w:t>
      </w:r>
      <w:r w:rsidRPr="000977F7">
        <w:rPr>
          <w:rFonts w:asciiTheme="majorHAnsi" w:hAnsiTheme="majorHAnsi"/>
          <w:spacing w:val="-7"/>
          <w:sz w:val="20"/>
          <w:szCs w:val="20"/>
        </w:rPr>
        <w:t xml:space="preserve"> </w:t>
      </w:r>
      <w:r w:rsidRPr="000977F7">
        <w:rPr>
          <w:rFonts w:asciiTheme="majorHAnsi" w:hAnsiTheme="majorHAnsi"/>
          <w:spacing w:val="-1"/>
          <w:sz w:val="20"/>
          <w:szCs w:val="20"/>
        </w:rPr>
        <w:t>сторонами</w:t>
      </w:r>
      <w:r w:rsidRPr="000977F7">
        <w:rPr>
          <w:rFonts w:asciiTheme="majorHAnsi" w:hAnsiTheme="majorHAnsi"/>
          <w:spacing w:val="-8"/>
          <w:sz w:val="20"/>
          <w:szCs w:val="20"/>
        </w:rPr>
        <w:t xml:space="preserve"> </w:t>
      </w:r>
      <w:r w:rsidRPr="000977F7">
        <w:rPr>
          <w:rFonts w:asciiTheme="majorHAnsi" w:hAnsiTheme="majorHAnsi"/>
          <w:spacing w:val="-1"/>
          <w:sz w:val="20"/>
          <w:szCs w:val="20"/>
        </w:rPr>
        <w:t>на</w:t>
      </w:r>
      <w:r w:rsidRPr="000977F7">
        <w:rPr>
          <w:rFonts w:asciiTheme="majorHAnsi" w:hAnsiTheme="majorHAnsi"/>
          <w:spacing w:val="-8"/>
          <w:sz w:val="20"/>
          <w:szCs w:val="20"/>
        </w:rPr>
        <w:t xml:space="preserve"> </w:t>
      </w:r>
      <w:r w:rsidRPr="000977F7">
        <w:rPr>
          <w:rFonts w:asciiTheme="majorHAnsi" w:hAnsiTheme="majorHAnsi"/>
          <w:spacing w:val="-1"/>
          <w:sz w:val="20"/>
          <w:szCs w:val="20"/>
        </w:rPr>
        <w:t>основі</w:t>
      </w:r>
      <w:r w:rsidRPr="000977F7">
        <w:rPr>
          <w:rFonts w:asciiTheme="majorHAnsi" w:hAnsiTheme="majorHAnsi"/>
          <w:spacing w:val="-47"/>
          <w:sz w:val="20"/>
          <w:szCs w:val="20"/>
        </w:rPr>
        <w:t xml:space="preserve"> </w:t>
      </w:r>
      <w:r w:rsidRPr="000977F7">
        <w:rPr>
          <w:rFonts w:asciiTheme="majorHAnsi" w:hAnsiTheme="majorHAnsi"/>
          <w:spacing w:val="-2"/>
          <w:sz w:val="20"/>
          <w:szCs w:val="20"/>
        </w:rPr>
        <w:t>консультацій</w:t>
      </w:r>
      <w:r w:rsidRPr="000977F7">
        <w:rPr>
          <w:rFonts w:asciiTheme="majorHAnsi" w:hAnsiTheme="majorHAnsi"/>
          <w:spacing w:val="-11"/>
          <w:sz w:val="20"/>
          <w:szCs w:val="20"/>
        </w:rPr>
        <w:t xml:space="preserve"> </w:t>
      </w:r>
      <w:r w:rsidRPr="000977F7">
        <w:rPr>
          <w:rFonts w:asciiTheme="majorHAnsi" w:hAnsiTheme="majorHAnsi"/>
          <w:spacing w:val="-2"/>
          <w:sz w:val="20"/>
          <w:szCs w:val="20"/>
        </w:rPr>
        <w:t>і</w:t>
      </w:r>
      <w:r w:rsidRPr="000977F7">
        <w:rPr>
          <w:rFonts w:asciiTheme="majorHAnsi" w:hAnsiTheme="majorHAnsi"/>
          <w:spacing w:val="-9"/>
          <w:sz w:val="20"/>
          <w:szCs w:val="20"/>
        </w:rPr>
        <w:t xml:space="preserve"> </w:t>
      </w:r>
      <w:r w:rsidRPr="000977F7">
        <w:rPr>
          <w:rFonts w:asciiTheme="majorHAnsi" w:hAnsiTheme="majorHAnsi"/>
          <w:spacing w:val="-2"/>
          <w:sz w:val="20"/>
          <w:szCs w:val="20"/>
        </w:rPr>
        <w:t>консенсусу,</w:t>
      </w:r>
      <w:r w:rsidRPr="000977F7">
        <w:rPr>
          <w:rFonts w:asciiTheme="majorHAnsi" w:hAnsiTheme="majorHAnsi"/>
          <w:spacing w:val="-8"/>
          <w:sz w:val="20"/>
          <w:szCs w:val="20"/>
        </w:rPr>
        <w:t xml:space="preserve"> </w:t>
      </w:r>
      <w:r w:rsidRPr="000977F7">
        <w:rPr>
          <w:rFonts w:asciiTheme="majorHAnsi" w:hAnsiTheme="majorHAnsi"/>
          <w:spacing w:val="-1"/>
          <w:sz w:val="20"/>
          <w:szCs w:val="20"/>
        </w:rPr>
        <w:t>вважається</w:t>
      </w:r>
      <w:r w:rsidRPr="000977F7">
        <w:rPr>
          <w:rFonts w:asciiTheme="majorHAnsi" w:hAnsiTheme="majorHAnsi"/>
          <w:spacing w:val="-10"/>
          <w:sz w:val="20"/>
          <w:szCs w:val="20"/>
        </w:rPr>
        <w:t xml:space="preserve"> </w:t>
      </w:r>
      <w:r w:rsidRPr="000977F7">
        <w:rPr>
          <w:rFonts w:asciiTheme="majorHAnsi" w:hAnsiTheme="majorHAnsi"/>
          <w:spacing w:val="-1"/>
          <w:sz w:val="20"/>
          <w:szCs w:val="20"/>
        </w:rPr>
        <w:t>чинним</w:t>
      </w:r>
      <w:r w:rsidRPr="000977F7">
        <w:rPr>
          <w:rFonts w:asciiTheme="majorHAnsi" w:hAnsiTheme="majorHAnsi"/>
          <w:spacing w:val="-9"/>
          <w:sz w:val="20"/>
          <w:szCs w:val="20"/>
        </w:rPr>
        <w:t xml:space="preserve"> </w:t>
      </w:r>
      <w:r w:rsidRPr="000977F7">
        <w:rPr>
          <w:rFonts w:asciiTheme="majorHAnsi" w:hAnsiTheme="majorHAnsi"/>
          <w:spacing w:val="-1"/>
          <w:sz w:val="20"/>
          <w:szCs w:val="20"/>
        </w:rPr>
        <w:t>з</w:t>
      </w:r>
      <w:r w:rsidRPr="000977F7">
        <w:rPr>
          <w:rFonts w:asciiTheme="majorHAnsi" w:hAnsiTheme="majorHAnsi"/>
          <w:spacing w:val="-11"/>
          <w:sz w:val="20"/>
          <w:szCs w:val="20"/>
        </w:rPr>
        <w:t xml:space="preserve"> </w:t>
      </w:r>
      <w:r w:rsidRPr="000977F7">
        <w:rPr>
          <w:rFonts w:asciiTheme="majorHAnsi" w:hAnsiTheme="majorHAnsi"/>
          <w:spacing w:val="-1"/>
          <w:sz w:val="20"/>
          <w:szCs w:val="20"/>
        </w:rPr>
        <w:t>момен</w:t>
      </w:r>
      <w:r w:rsidRPr="000977F7">
        <w:rPr>
          <w:rFonts w:asciiTheme="majorHAnsi" w:hAnsiTheme="majorHAnsi"/>
          <w:spacing w:val="-4"/>
          <w:sz w:val="20"/>
          <w:szCs w:val="20"/>
        </w:rPr>
        <w:t xml:space="preserve">ту його затвердження як визнане </w:t>
      </w:r>
      <w:r w:rsidRPr="000977F7">
        <w:rPr>
          <w:rFonts w:asciiTheme="majorHAnsi" w:hAnsiTheme="majorHAnsi"/>
          <w:spacing w:val="-3"/>
          <w:sz w:val="20"/>
          <w:szCs w:val="20"/>
        </w:rPr>
        <w:t>технічне правило</w:t>
      </w:r>
      <w:r w:rsidRPr="000977F7">
        <w:rPr>
          <w:rFonts w:asciiTheme="majorHAnsi" w:hAnsiTheme="majorHAnsi"/>
          <w:spacing w:val="-2"/>
          <w:sz w:val="20"/>
          <w:szCs w:val="20"/>
        </w:rPr>
        <w:t xml:space="preserve"> </w:t>
      </w:r>
    </w:p>
    <w:p w14:paraId="784BF05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i/>
          <w:iCs/>
          <w:sz w:val="20"/>
          <w:szCs w:val="20"/>
        </w:rPr>
        <w:t>ДСТУISO/IEC</w:t>
      </w:r>
      <w:r w:rsidRPr="000977F7">
        <w:rPr>
          <w:rFonts w:asciiTheme="majorHAnsi" w:hAnsiTheme="majorHAnsi"/>
          <w:i/>
          <w:iCs/>
          <w:spacing w:val="-32"/>
          <w:sz w:val="20"/>
          <w:szCs w:val="20"/>
        </w:rPr>
        <w:t xml:space="preserve"> </w:t>
      </w:r>
      <w:r w:rsidRPr="000977F7">
        <w:rPr>
          <w:rFonts w:asciiTheme="majorHAnsi" w:hAnsiTheme="majorHAnsi"/>
          <w:i/>
          <w:iCs/>
          <w:sz w:val="20"/>
          <w:szCs w:val="20"/>
        </w:rPr>
        <w:t>17000:2007</w:t>
      </w:r>
    </w:p>
    <w:p w14:paraId="1450F0D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ВИЗНАННЯ</w:t>
      </w:r>
      <w:r w:rsidRPr="000977F7">
        <w:rPr>
          <w:color w:val="auto"/>
          <w:spacing w:val="9"/>
          <w:sz w:val="20"/>
          <w:szCs w:val="20"/>
        </w:rPr>
        <w:t xml:space="preserve"> </w:t>
      </w:r>
      <w:r w:rsidRPr="000977F7">
        <w:rPr>
          <w:color w:val="auto"/>
          <w:sz w:val="20"/>
          <w:szCs w:val="20"/>
        </w:rPr>
        <w:t>НЕДІЙСНИМИ</w:t>
      </w:r>
      <w:r w:rsidRPr="000977F7">
        <w:rPr>
          <w:color w:val="auto"/>
          <w:spacing w:val="10"/>
          <w:sz w:val="20"/>
          <w:szCs w:val="20"/>
        </w:rPr>
        <w:t xml:space="preserve"> </w:t>
      </w:r>
      <w:r w:rsidRPr="000977F7">
        <w:rPr>
          <w:color w:val="auto"/>
          <w:sz w:val="20"/>
          <w:szCs w:val="20"/>
        </w:rPr>
        <w:t>УМОВ</w:t>
      </w:r>
      <w:r w:rsidRPr="000977F7">
        <w:rPr>
          <w:color w:val="auto"/>
          <w:spacing w:val="10"/>
          <w:sz w:val="20"/>
          <w:szCs w:val="20"/>
        </w:rPr>
        <w:t xml:space="preserve"> </w:t>
      </w:r>
      <w:r w:rsidRPr="000977F7">
        <w:rPr>
          <w:color w:val="auto"/>
          <w:sz w:val="20"/>
          <w:szCs w:val="20"/>
        </w:rPr>
        <w:t xml:space="preserve">ДОГОВОРІВ, </w:t>
      </w:r>
      <w:r w:rsidRPr="000977F7">
        <w:rPr>
          <w:color w:val="auto"/>
          <w:spacing w:val="-47"/>
          <w:sz w:val="20"/>
          <w:szCs w:val="20"/>
        </w:rPr>
        <w:t xml:space="preserve"> </w:t>
      </w:r>
      <w:r w:rsidRPr="000977F7">
        <w:rPr>
          <w:color w:val="auto"/>
          <w:sz w:val="20"/>
          <w:szCs w:val="20"/>
        </w:rPr>
        <w:t>ЩО</w:t>
      </w:r>
      <w:r w:rsidRPr="000977F7">
        <w:rPr>
          <w:color w:val="auto"/>
          <w:spacing w:val="-2"/>
          <w:sz w:val="20"/>
          <w:szCs w:val="20"/>
        </w:rPr>
        <w:t xml:space="preserve"> </w:t>
      </w:r>
      <w:r w:rsidRPr="000977F7">
        <w:rPr>
          <w:color w:val="auto"/>
          <w:sz w:val="20"/>
          <w:szCs w:val="20"/>
        </w:rPr>
        <w:t>ОБМЕЖУЮТЬ</w:t>
      </w:r>
      <w:r w:rsidRPr="000977F7">
        <w:rPr>
          <w:color w:val="auto"/>
          <w:spacing w:val="-1"/>
          <w:sz w:val="20"/>
          <w:szCs w:val="20"/>
        </w:rPr>
        <w:t xml:space="preserve"> </w:t>
      </w:r>
      <w:r w:rsidRPr="000977F7">
        <w:rPr>
          <w:color w:val="auto"/>
          <w:sz w:val="20"/>
          <w:szCs w:val="20"/>
        </w:rPr>
        <w:t>ПРАВА</w:t>
      </w:r>
      <w:r w:rsidRPr="000977F7">
        <w:rPr>
          <w:color w:val="auto"/>
          <w:spacing w:val="-2"/>
          <w:sz w:val="20"/>
          <w:szCs w:val="20"/>
        </w:rPr>
        <w:t xml:space="preserve"> </w:t>
      </w:r>
      <w:r w:rsidRPr="000977F7">
        <w:rPr>
          <w:color w:val="auto"/>
          <w:sz w:val="20"/>
          <w:szCs w:val="20"/>
        </w:rPr>
        <w:t>СПОЖИВАЧА</w:t>
      </w:r>
      <w:r w:rsidRPr="000977F7">
        <w:rPr>
          <w:color w:val="auto"/>
          <w:spacing w:val="2"/>
          <w:sz w:val="20"/>
          <w:szCs w:val="20"/>
        </w:rPr>
        <w:t xml:space="preserve"> </w:t>
      </w:r>
      <w:r w:rsidRPr="000977F7">
        <w:rPr>
          <w:color w:val="auto"/>
          <w:sz w:val="20"/>
          <w:szCs w:val="20"/>
        </w:rPr>
        <w:t>–</w:t>
      </w:r>
    </w:p>
    <w:p w14:paraId="0034F015" w14:textId="77777777" w:rsidR="0097612F" w:rsidRPr="000977F7" w:rsidRDefault="0097612F" w:rsidP="00FD39A4">
      <w:pPr>
        <w:pStyle w:val="ac"/>
        <w:widowControl w:val="0"/>
        <w:numPr>
          <w:ilvl w:val="0"/>
          <w:numId w:val="214"/>
        </w:numPr>
        <w:tabs>
          <w:tab w:val="left" w:pos="284"/>
          <w:tab w:val="left" w:pos="61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Продавець</w:t>
      </w:r>
      <w:r w:rsidRPr="000977F7">
        <w:rPr>
          <w:rFonts w:asciiTheme="majorHAnsi" w:hAnsiTheme="majorHAnsi"/>
          <w:spacing w:val="1"/>
          <w:sz w:val="20"/>
          <w:szCs w:val="20"/>
        </w:rPr>
        <w:t xml:space="preserve"> </w:t>
      </w:r>
      <w:r w:rsidRPr="000977F7">
        <w:rPr>
          <w:rFonts w:asciiTheme="majorHAnsi" w:hAnsiTheme="majorHAnsi"/>
          <w:sz w:val="20"/>
          <w:szCs w:val="20"/>
        </w:rPr>
        <w:t>(виконавець,</w:t>
      </w:r>
      <w:r w:rsidRPr="000977F7">
        <w:rPr>
          <w:rFonts w:asciiTheme="majorHAnsi" w:hAnsiTheme="majorHAnsi"/>
          <w:spacing w:val="1"/>
          <w:sz w:val="20"/>
          <w:szCs w:val="20"/>
        </w:rPr>
        <w:t xml:space="preserve"> </w:t>
      </w:r>
      <w:r w:rsidRPr="000977F7">
        <w:rPr>
          <w:rFonts w:asciiTheme="majorHAnsi" w:hAnsiTheme="majorHAnsi"/>
          <w:sz w:val="20"/>
          <w:szCs w:val="20"/>
        </w:rPr>
        <w:t>виробник)</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повинен</w:t>
      </w:r>
      <w:r w:rsidRPr="000977F7">
        <w:rPr>
          <w:rFonts w:asciiTheme="majorHAnsi" w:hAnsiTheme="majorHAnsi"/>
          <w:spacing w:val="1"/>
          <w:sz w:val="20"/>
          <w:szCs w:val="20"/>
        </w:rPr>
        <w:t xml:space="preserve"> </w:t>
      </w:r>
      <w:r w:rsidRPr="000977F7">
        <w:rPr>
          <w:rFonts w:asciiTheme="majorHAnsi" w:hAnsiTheme="majorHAnsi"/>
          <w:sz w:val="20"/>
          <w:szCs w:val="20"/>
        </w:rPr>
        <w:t>включати у договори із споживачем умови, які є несправедливими.</w:t>
      </w:r>
    </w:p>
    <w:p w14:paraId="09EB0609" w14:textId="77777777" w:rsidR="0097612F" w:rsidRPr="000977F7" w:rsidRDefault="0097612F" w:rsidP="00FD39A4">
      <w:pPr>
        <w:pStyle w:val="ac"/>
        <w:widowControl w:val="0"/>
        <w:numPr>
          <w:ilvl w:val="0"/>
          <w:numId w:val="214"/>
        </w:numPr>
        <w:tabs>
          <w:tab w:val="left" w:pos="284"/>
          <w:tab w:val="left" w:pos="60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Умови договору є несправедливими, якщо всупереч</w:t>
      </w:r>
      <w:r w:rsidRPr="000977F7">
        <w:rPr>
          <w:rFonts w:asciiTheme="majorHAnsi" w:hAnsiTheme="majorHAnsi"/>
          <w:spacing w:val="6"/>
          <w:sz w:val="20"/>
          <w:szCs w:val="20"/>
        </w:rPr>
        <w:t xml:space="preserve"> </w:t>
      </w:r>
      <w:r w:rsidRPr="000977F7">
        <w:rPr>
          <w:rFonts w:asciiTheme="majorHAnsi" w:hAnsiTheme="majorHAnsi"/>
          <w:sz w:val="20"/>
          <w:szCs w:val="20"/>
        </w:rPr>
        <w:t>принципу</w:t>
      </w:r>
      <w:r w:rsidRPr="000977F7">
        <w:rPr>
          <w:rFonts w:asciiTheme="majorHAnsi" w:hAnsiTheme="majorHAnsi"/>
          <w:spacing w:val="6"/>
          <w:sz w:val="20"/>
          <w:szCs w:val="20"/>
        </w:rPr>
        <w:t xml:space="preserve"> </w:t>
      </w:r>
      <w:r w:rsidRPr="000977F7">
        <w:rPr>
          <w:rFonts w:asciiTheme="majorHAnsi" w:hAnsiTheme="majorHAnsi"/>
          <w:sz w:val="20"/>
          <w:szCs w:val="20"/>
        </w:rPr>
        <w:t>добросовісності</w:t>
      </w:r>
      <w:r w:rsidRPr="000977F7">
        <w:rPr>
          <w:rFonts w:asciiTheme="majorHAnsi" w:hAnsiTheme="majorHAnsi"/>
          <w:spacing w:val="7"/>
          <w:sz w:val="20"/>
          <w:szCs w:val="20"/>
        </w:rPr>
        <w:t xml:space="preserve"> </w:t>
      </w:r>
      <w:r w:rsidRPr="000977F7">
        <w:rPr>
          <w:rFonts w:asciiTheme="majorHAnsi" w:hAnsiTheme="majorHAnsi"/>
          <w:sz w:val="20"/>
          <w:szCs w:val="20"/>
        </w:rPr>
        <w:t>його</w:t>
      </w:r>
      <w:r w:rsidRPr="000977F7">
        <w:rPr>
          <w:rFonts w:asciiTheme="majorHAnsi" w:hAnsiTheme="majorHAnsi"/>
          <w:spacing w:val="6"/>
          <w:sz w:val="20"/>
          <w:szCs w:val="20"/>
        </w:rPr>
        <w:t xml:space="preserve"> </w:t>
      </w:r>
      <w:r w:rsidRPr="000977F7">
        <w:rPr>
          <w:rFonts w:asciiTheme="majorHAnsi" w:hAnsiTheme="majorHAnsi"/>
          <w:sz w:val="20"/>
          <w:szCs w:val="20"/>
        </w:rPr>
        <w:t>наслідком</w:t>
      </w:r>
      <w:r w:rsidRPr="000977F7">
        <w:rPr>
          <w:rFonts w:asciiTheme="majorHAnsi" w:hAnsiTheme="majorHAnsi"/>
          <w:spacing w:val="6"/>
          <w:sz w:val="20"/>
          <w:szCs w:val="20"/>
        </w:rPr>
        <w:t xml:space="preserve"> </w:t>
      </w:r>
      <w:r w:rsidRPr="000977F7">
        <w:rPr>
          <w:rFonts w:asciiTheme="majorHAnsi" w:hAnsiTheme="majorHAnsi"/>
          <w:sz w:val="20"/>
          <w:szCs w:val="20"/>
        </w:rPr>
        <w:t>є</w:t>
      </w:r>
      <w:r w:rsidRPr="000977F7">
        <w:rPr>
          <w:rFonts w:asciiTheme="majorHAnsi" w:hAnsiTheme="majorHAnsi"/>
          <w:spacing w:val="6"/>
          <w:sz w:val="20"/>
          <w:szCs w:val="20"/>
        </w:rPr>
        <w:t xml:space="preserve"> </w:t>
      </w:r>
      <w:r w:rsidRPr="000977F7">
        <w:rPr>
          <w:rFonts w:asciiTheme="majorHAnsi" w:hAnsiTheme="majorHAnsi"/>
          <w:sz w:val="20"/>
          <w:szCs w:val="20"/>
        </w:rPr>
        <w:t>істотний дисбаланс договірних прав та обов'язків на шкоду</w:t>
      </w:r>
      <w:r w:rsidRPr="000977F7">
        <w:rPr>
          <w:rFonts w:asciiTheme="majorHAnsi" w:hAnsiTheme="majorHAnsi"/>
          <w:spacing w:val="-47"/>
          <w:sz w:val="20"/>
          <w:szCs w:val="20"/>
        </w:rPr>
        <w:t xml:space="preserve">        </w:t>
      </w:r>
      <w:r w:rsidRPr="000977F7">
        <w:rPr>
          <w:rFonts w:asciiTheme="majorHAnsi" w:hAnsiTheme="majorHAnsi"/>
          <w:sz w:val="20"/>
          <w:szCs w:val="20"/>
        </w:rPr>
        <w:t>споживача.</w:t>
      </w:r>
    </w:p>
    <w:p w14:paraId="185347C9" w14:textId="77777777" w:rsidR="0097612F" w:rsidRPr="000977F7" w:rsidRDefault="0097612F" w:rsidP="00FD39A4">
      <w:pPr>
        <w:pStyle w:val="ac"/>
        <w:widowControl w:val="0"/>
        <w:numPr>
          <w:ilvl w:val="0"/>
          <w:numId w:val="214"/>
        </w:numPr>
        <w:tabs>
          <w:tab w:val="left" w:pos="284"/>
          <w:tab w:val="left" w:pos="6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Несправедливими</w:t>
      </w:r>
      <w:r w:rsidRPr="000977F7">
        <w:rPr>
          <w:rFonts w:asciiTheme="majorHAnsi" w:hAnsiTheme="majorHAnsi"/>
          <w:spacing w:val="-5"/>
          <w:sz w:val="20"/>
          <w:szCs w:val="20"/>
        </w:rPr>
        <w:t xml:space="preserve"> </w:t>
      </w:r>
      <w:r w:rsidRPr="000977F7">
        <w:rPr>
          <w:rFonts w:asciiTheme="majorHAnsi" w:hAnsiTheme="majorHAnsi"/>
          <w:sz w:val="20"/>
          <w:szCs w:val="20"/>
        </w:rPr>
        <w:t>є,</w:t>
      </w:r>
      <w:r w:rsidRPr="000977F7">
        <w:rPr>
          <w:rFonts w:asciiTheme="majorHAnsi" w:hAnsiTheme="majorHAnsi"/>
          <w:spacing w:val="-3"/>
          <w:sz w:val="20"/>
          <w:szCs w:val="20"/>
        </w:rPr>
        <w:t xml:space="preserve"> </w:t>
      </w:r>
      <w:r w:rsidRPr="000977F7">
        <w:rPr>
          <w:rFonts w:asciiTheme="majorHAnsi" w:hAnsiTheme="majorHAnsi"/>
          <w:sz w:val="20"/>
          <w:szCs w:val="20"/>
        </w:rPr>
        <w:t>зокрема,</w:t>
      </w:r>
      <w:r w:rsidRPr="000977F7">
        <w:rPr>
          <w:rFonts w:asciiTheme="majorHAnsi" w:hAnsiTheme="majorHAnsi"/>
          <w:spacing w:val="-3"/>
          <w:sz w:val="20"/>
          <w:szCs w:val="20"/>
        </w:rPr>
        <w:t xml:space="preserve"> </w:t>
      </w:r>
      <w:r w:rsidRPr="000977F7">
        <w:rPr>
          <w:rFonts w:asciiTheme="majorHAnsi" w:hAnsiTheme="majorHAnsi"/>
          <w:sz w:val="20"/>
          <w:szCs w:val="20"/>
        </w:rPr>
        <w:t>умови</w:t>
      </w:r>
      <w:r w:rsidRPr="000977F7">
        <w:rPr>
          <w:rFonts w:asciiTheme="majorHAnsi" w:hAnsiTheme="majorHAnsi"/>
          <w:spacing w:val="-2"/>
          <w:sz w:val="20"/>
          <w:szCs w:val="20"/>
        </w:rPr>
        <w:t xml:space="preserve"> </w:t>
      </w:r>
      <w:r w:rsidRPr="000977F7">
        <w:rPr>
          <w:rFonts w:asciiTheme="majorHAnsi" w:hAnsiTheme="majorHAnsi"/>
          <w:sz w:val="20"/>
          <w:szCs w:val="20"/>
        </w:rPr>
        <w:t>договору</w:t>
      </w:r>
      <w:r w:rsidRPr="000977F7">
        <w:rPr>
          <w:rFonts w:asciiTheme="majorHAnsi" w:hAnsiTheme="majorHAnsi"/>
          <w:spacing w:val="-7"/>
          <w:sz w:val="20"/>
          <w:szCs w:val="20"/>
        </w:rPr>
        <w:t xml:space="preserve"> </w:t>
      </w:r>
      <w:r w:rsidRPr="000977F7">
        <w:rPr>
          <w:rFonts w:asciiTheme="majorHAnsi" w:hAnsiTheme="majorHAnsi"/>
          <w:sz w:val="20"/>
          <w:szCs w:val="20"/>
        </w:rPr>
        <w:t>про:</w:t>
      </w:r>
    </w:p>
    <w:p w14:paraId="4DF5BAEF" w14:textId="77777777" w:rsidR="0097612F" w:rsidRPr="000977F7" w:rsidRDefault="0097612F" w:rsidP="00FD39A4">
      <w:pPr>
        <w:pStyle w:val="ac"/>
        <w:widowControl w:val="0"/>
        <w:numPr>
          <w:ilvl w:val="0"/>
          <w:numId w:val="213"/>
        </w:numPr>
        <w:tabs>
          <w:tab w:val="left" w:pos="284"/>
          <w:tab w:val="left" w:pos="72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звільнення або обмеження юридичної відповідальності продавця (виконавця, виробника) у разі смерті</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ушкодження</w:t>
      </w:r>
      <w:r w:rsidRPr="000977F7">
        <w:rPr>
          <w:rFonts w:asciiTheme="majorHAnsi" w:hAnsiTheme="majorHAnsi"/>
          <w:spacing w:val="1"/>
          <w:sz w:val="20"/>
          <w:szCs w:val="20"/>
        </w:rPr>
        <w:t xml:space="preserve"> </w:t>
      </w:r>
      <w:r w:rsidRPr="000977F7">
        <w:rPr>
          <w:rFonts w:asciiTheme="majorHAnsi" w:hAnsiTheme="majorHAnsi"/>
          <w:sz w:val="20"/>
          <w:szCs w:val="20"/>
        </w:rPr>
        <w:t>здоров'я</w:t>
      </w:r>
      <w:r w:rsidRPr="000977F7">
        <w:rPr>
          <w:rFonts w:asciiTheme="majorHAnsi" w:hAnsiTheme="majorHAnsi"/>
          <w:spacing w:val="1"/>
          <w:sz w:val="20"/>
          <w:szCs w:val="20"/>
        </w:rPr>
        <w:t xml:space="preserve"> </w:t>
      </w:r>
      <w:r w:rsidRPr="000977F7">
        <w:rPr>
          <w:rFonts w:asciiTheme="majorHAnsi" w:hAnsiTheme="majorHAnsi"/>
          <w:sz w:val="20"/>
          <w:szCs w:val="20"/>
        </w:rPr>
        <w:t>споживача,</w:t>
      </w:r>
      <w:r w:rsidRPr="000977F7">
        <w:rPr>
          <w:rFonts w:asciiTheme="majorHAnsi" w:hAnsiTheme="majorHAnsi"/>
          <w:spacing w:val="1"/>
          <w:sz w:val="20"/>
          <w:szCs w:val="20"/>
        </w:rPr>
        <w:t xml:space="preserve"> </w:t>
      </w:r>
      <w:r w:rsidRPr="000977F7">
        <w:rPr>
          <w:rFonts w:asciiTheme="majorHAnsi" w:hAnsiTheme="majorHAnsi"/>
          <w:sz w:val="20"/>
          <w:szCs w:val="20"/>
        </w:rPr>
        <w:t>спричинених</w:t>
      </w:r>
      <w:r w:rsidRPr="000977F7">
        <w:rPr>
          <w:rFonts w:asciiTheme="majorHAnsi" w:hAnsiTheme="majorHAnsi"/>
          <w:spacing w:val="1"/>
          <w:sz w:val="20"/>
          <w:szCs w:val="20"/>
        </w:rPr>
        <w:t xml:space="preserve"> </w:t>
      </w:r>
      <w:r w:rsidRPr="000977F7">
        <w:rPr>
          <w:rFonts w:asciiTheme="majorHAnsi" w:hAnsiTheme="majorHAnsi"/>
          <w:sz w:val="20"/>
          <w:szCs w:val="20"/>
        </w:rPr>
        <w:t>діями чи бездіяльністю продавця (виконавця, виробника);</w:t>
      </w:r>
    </w:p>
    <w:p w14:paraId="67113402" w14:textId="77777777" w:rsidR="0097612F" w:rsidRPr="000977F7" w:rsidRDefault="0097612F" w:rsidP="00FD39A4">
      <w:pPr>
        <w:pStyle w:val="ac"/>
        <w:widowControl w:val="0"/>
        <w:numPr>
          <w:ilvl w:val="0"/>
          <w:numId w:val="213"/>
        </w:numPr>
        <w:tabs>
          <w:tab w:val="left" w:pos="284"/>
          <w:tab w:val="left" w:pos="71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виключення або обмеження прав споживача стосовно продавця (виконавця, виробника) або третьої особи у разі повного або часткового невиконання чи неналежного виконання продавцем (виконавцем, виробником) договірних зобов'язань, включаючи умови про</w:t>
      </w:r>
      <w:r w:rsidRPr="000977F7">
        <w:rPr>
          <w:rFonts w:asciiTheme="majorHAnsi" w:hAnsiTheme="majorHAnsi"/>
          <w:spacing w:val="-47"/>
          <w:sz w:val="20"/>
          <w:szCs w:val="20"/>
        </w:rPr>
        <w:t xml:space="preserve"> </w:t>
      </w:r>
      <w:r w:rsidRPr="000977F7">
        <w:rPr>
          <w:rFonts w:asciiTheme="majorHAnsi" w:hAnsiTheme="majorHAnsi"/>
          <w:sz w:val="20"/>
          <w:szCs w:val="20"/>
        </w:rPr>
        <w:t>взаємозалік, зобов'язання споживача з оплати та його</w:t>
      </w:r>
      <w:r w:rsidRPr="000977F7">
        <w:rPr>
          <w:rFonts w:asciiTheme="majorHAnsi" w:hAnsiTheme="majorHAnsi"/>
          <w:spacing w:val="1"/>
          <w:sz w:val="20"/>
          <w:szCs w:val="20"/>
        </w:rPr>
        <w:t xml:space="preserve"> </w:t>
      </w:r>
      <w:r w:rsidRPr="000977F7">
        <w:rPr>
          <w:rFonts w:asciiTheme="majorHAnsi" w:hAnsiTheme="majorHAnsi"/>
          <w:sz w:val="20"/>
          <w:szCs w:val="20"/>
        </w:rPr>
        <w:t>вимог</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разі</w:t>
      </w:r>
      <w:r w:rsidRPr="000977F7">
        <w:rPr>
          <w:rFonts w:asciiTheme="majorHAnsi" w:hAnsiTheme="majorHAnsi"/>
          <w:spacing w:val="1"/>
          <w:sz w:val="20"/>
          <w:szCs w:val="20"/>
        </w:rPr>
        <w:t xml:space="preserve"> </w:t>
      </w:r>
      <w:r w:rsidRPr="000977F7">
        <w:rPr>
          <w:rFonts w:asciiTheme="majorHAnsi" w:hAnsiTheme="majorHAnsi"/>
          <w:sz w:val="20"/>
          <w:szCs w:val="20"/>
        </w:rPr>
        <w:t>порушення</w:t>
      </w:r>
      <w:r w:rsidRPr="000977F7">
        <w:rPr>
          <w:rFonts w:asciiTheme="majorHAnsi" w:hAnsiTheme="majorHAnsi"/>
          <w:spacing w:val="1"/>
          <w:sz w:val="20"/>
          <w:szCs w:val="20"/>
        </w:rPr>
        <w:t xml:space="preserve"> </w:t>
      </w:r>
      <w:r w:rsidRPr="000977F7">
        <w:rPr>
          <w:rFonts w:asciiTheme="majorHAnsi" w:hAnsiTheme="majorHAnsi"/>
          <w:sz w:val="20"/>
          <w:szCs w:val="20"/>
        </w:rPr>
        <w:t>договору</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боку</w:t>
      </w:r>
      <w:r w:rsidRPr="000977F7">
        <w:rPr>
          <w:rFonts w:asciiTheme="majorHAnsi" w:hAnsiTheme="majorHAnsi"/>
          <w:spacing w:val="1"/>
          <w:sz w:val="20"/>
          <w:szCs w:val="20"/>
        </w:rPr>
        <w:t xml:space="preserve"> </w:t>
      </w:r>
      <w:r w:rsidRPr="000977F7">
        <w:rPr>
          <w:rFonts w:asciiTheme="majorHAnsi" w:hAnsiTheme="majorHAnsi"/>
          <w:sz w:val="20"/>
          <w:szCs w:val="20"/>
        </w:rPr>
        <w:t>продавця</w:t>
      </w:r>
      <w:r w:rsidRPr="000977F7">
        <w:rPr>
          <w:rFonts w:asciiTheme="majorHAnsi" w:hAnsiTheme="majorHAnsi"/>
          <w:spacing w:val="-47"/>
          <w:sz w:val="20"/>
          <w:szCs w:val="20"/>
        </w:rPr>
        <w:t xml:space="preserve"> </w:t>
      </w:r>
      <w:r w:rsidRPr="000977F7">
        <w:rPr>
          <w:rFonts w:asciiTheme="majorHAnsi" w:hAnsiTheme="majorHAnsi"/>
          <w:sz w:val="20"/>
          <w:szCs w:val="20"/>
        </w:rPr>
        <w:t>(виконавця,</w:t>
      </w:r>
      <w:r w:rsidRPr="000977F7">
        <w:rPr>
          <w:rFonts w:asciiTheme="majorHAnsi" w:hAnsiTheme="majorHAnsi"/>
          <w:spacing w:val="-1"/>
          <w:sz w:val="20"/>
          <w:szCs w:val="20"/>
        </w:rPr>
        <w:t xml:space="preserve"> </w:t>
      </w:r>
      <w:r w:rsidRPr="000977F7">
        <w:rPr>
          <w:rFonts w:asciiTheme="majorHAnsi" w:hAnsiTheme="majorHAnsi"/>
          <w:sz w:val="20"/>
          <w:szCs w:val="20"/>
        </w:rPr>
        <w:t>виробника);</w:t>
      </w:r>
    </w:p>
    <w:p w14:paraId="1A051655" w14:textId="77777777" w:rsidR="0097612F" w:rsidRPr="000977F7" w:rsidRDefault="0097612F" w:rsidP="00FD39A4">
      <w:pPr>
        <w:pStyle w:val="ac"/>
        <w:widowControl w:val="0"/>
        <w:numPr>
          <w:ilvl w:val="0"/>
          <w:numId w:val="213"/>
        </w:numPr>
        <w:tabs>
          <w:tab w:val="left" w:pos="284"/>
          <w:tab w:val="left" w:pos="72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встановлення жорстких обов'язків споживача, тоді</w:t>
      </w:r>
      <w:r w:rsidRPr="000977F7">
        <w:rPr>
          <w:rFonts w:asciiTheme="majorHAnsi" w:hAnsiTheme="majorHAnsi"/>
          <w:spacing w:val="1"/>
          <w:sz w:val="20"/>
          <w:szCs w:val="20"/>
        </w:rPr>
        <w:t xml:space="preserve"> </w:t>
      </w:r>
      <w:r w:rsidRPr="000977F7">
        <w:rPr>
          <w:rFonts w:asciiTheme="majorHAnsi" w:hAnsiTheme="majorHAnsi"/>
          <w:sz w:val="20"/>
          <w:szCs w:val="20"/>
        </w:rPr>
        <w:t>як надання послуги обумовлене лише власним розсудом виконавця;</w:t>
      </w:r>
    </w:p>
    <w:p w14:paraId="50367A0B" w14:textId="77777777" w:rsidR="0097612F" w:rsidRPr="000977F7" w:rsidRDefault="0097612F" w:rsidP="00FD39A4">
      <w:pPr>
        <w:pStyle w:val="ac"/>
        <w:widowControl w:val="0"/>
        <w:numPr>
          <w:ilvl w:val="0"/>
          <w:numId w:val="213"/>
        </w:numPr>
        <w:tabs>
          <w:tab w:val="left" w:pos="284"/>
          <w:tab w:val="left" w:pos="71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надання можливості продавцю (виконавцю, виробнику) не повертати кошти на оплату, здійснену споживачем, у разі відмови споживача укласти або виконати договір, без встановлення права споживача</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одержання відповідної компенсації від продавця (виконавця, виробника) у зв'язку з розірванням або невиконанням</w:t>
      </w:r>
      <w:r w:rsidRPr="000977F7">
        <w:rPr>
          <w:rFonts w:asciiTheme="majorHAnsi" w:hAnsiTheme="majorHAnsi"/>
          <w:spacing w:val="-1"/>
          <w:sz w:val="20"/>
          <w:szCs w:val="20"/>
        </w:rPr>
        <w:t xml:space="preserve"> </w:t>
      </w:r>
      <w:r w:rsidRPr="000977F7">
        <w:rPr>
          <w:rFonts w:asciiTheme="majorHAnsi" w:hAnsiTheme="majorHAnsi"/>
          <w:sz w:val="20"/>
          <w:szCs w:val="20"/>
        </w:rPr>
        <w:t>ним</w:t>
      </w:r>
      <w:r w:rsidRPr="000977F7">
        <w:rPr>
          <w:rFonts w:asciiTheme="majorHAnsi" w:hAnsiTheme="majorHAnsi"/>
          <w:spacing w:val="1"/>
          <w:sz w:val="20"/>
          <w:szCs w:val="20"/>
        </w:rPr>
        <w:t xml:space="preserve"> </w:t>
      </w:r>
      <w:r w:rsidRPr="000977F7">
        <w:rPr>
          <w:rFonts w:asciiTheme="majorHAnsi" w:hAnsiTheme="majorHAnsi"/>
          <w:sz w:val="20"/>
          <w:szCs w:val="20"/>
        </w:rPr>
        <w:t>договору;</w:t>
      </w:r>
    </w:p>
    <w:p w14:paraId="54F4D68E" w14:textId="77777777" w:rsidR="0097612F" w:rsidRPr="000977F7" w:rsidRDefault="0097612F" w:rsidP="00FD39A4">
      <w:pPr>
        <w:pStyle w:val="ac"/>
        <w:widowControl w:val="0"/>
        <w:numPr>
          <w:ilvl w:val="0"/>
          <w:numId w:val="213"/>
        </w:numPr>
        <w:tabs>
          <w:tab w:val="left" w:pos="284"/>
          <w:tab w:val="left" w:pos="78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встановлення</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сплати</w:t>
      </w:r>
      <w:r w:rsidRPr="000977F7">
        <w:rPr>
          <w:rFonts w:asciiTheme="majorHAnsi" w:hAnsiTheme="majorHAnsi"/>
          <w:spacing w:val="1"/>
          <w:sz w:val="20"/>
          <w:szCs w:val="20"/>
        </w:rPr>
        <w:t xml:space="preserve"> </w:t>
      </w:r>
      <w:r w:rsidRPr="000977F7">
        <w:rPr>
          <w:rFonts w:asciiTheme="majorHAnsi" w:hAnsiTheme="majorHAnsi"/>
          <w:sz w:val="20"/>
          <w:szCs w:val="20"/>
        </w:rPr>
        <w:t>споживачем</w:t>
      </w:r>
      <w:r w:rsidRPr="000977F7">
        <w:rPr>
          <w:rFonts w:asciiTheme="majorHAnsi" w:hAnsiTheme="majorHAnsi"/>
          <w:spacing w:val="1"/>
          <w:sz w:val="20"/>
          <w:szCs w:val="20"/>
        </w:rPr>
        <w:t xml:space="preserve"> </w:t>
      </w:r>
      <w:r w:rsidRPr="000977F7">
        <w:rPr>
          <w:rFonts w:asciiTheme="majorHAnsi" w:hAnsiTheme="majorHAnsi"/>
          <w:sz w:val="20"/>
          <w:szCs w:val="20"/>
        </w:rPr>
        <w:t>непропорційно великої суми компенсації (понад п'ятдесят відсотків вартості продукції) у разі невиконання</w:t>
      </w:r>
      <w:r w:rsidRPr="000977F7">
        <w:rPr>
          <w:rFonts w:asciiTheme="majorHAnsi" w:hAnsiTheme="majorHAnsi"/>
          <w:spacing w:val="-47"/>
          <w:sz w:val="20"/>
          <w:szCs w:val="20"/>
        </w:rPr>
        <w:t xml:space="preserve"> </w:t>
      </w:r>
      <w:r w:rsidRPr="000977F7">
        <w:rPr>
          <w:rFonts w:asciiTheme="majorHAnsi" w:hAnsiTheme="majorHAnsi"/>
          <w:sz w:val="20"/>
          <w:szCs w:val="20"/>
        </w:rPr>
        <w:t>ним зобов'язань за договором;</w:t>
      </w:r>
    </w:p>
    <w:p w14:paraId="4FD7E844" w14:textId="77777777" w:rsidR="0097612F" w:rsidRPr="000977F7" w:rsidRDefault="0097612F" w:rsidP="00FD39A4">
      <w:pPr>
        <w:pStyle w:val="ac"/>
        <w:widowControl w:val="0"/>
        <w:numPr>
          <w:ilvl w:val="0"/>
          <w:numId w:val="213"/>
        </w:numPr>
        <w:tabs>
          <w:tab w:val="left" w:pos="284"/>
          <w:tab w:val="left" w:pos="73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надання продавцю (виконавцю, виробнику) права</w:t>
      </w:r>
      <w:r w:rsidRPr="000977F7">
        <w:rPr>
          <w:rFonts w:asciiTheme="majorHAnsi" w:hAnsiTheme="majorHAnsi"/>
          <w:spacing w:val="1"/>
          <w:sz w:val="20"/>
          <w:szCs w:val="20"/>
        </w:rPr>
        <w:t xml:space="preserve"> </w:t>
      </w:r>
      <w:r w:rsidRPr="000977F7">
        <w:rPr>
          <w:rFonts w:asciiTheme="majorHAnsi" w:hAnsiTheme="majorHAnsi"/>
          <w:sz w:val="20"/>
          <w:szCs w:val="20"/>
        </w:rPr>
        <w:t>розірвати договір із споживачем на власний розсуд,</w:t>
      </w:r>
      <w:r w:rsidRPr="000977F7">
        <w:rPr>
          <w:rFonts w:asciiTheme="majorHAnsi" w:hAnsiTheme="majorHAnsi"/>
          <w:spacing w:val="1"/>
          <w:sz w:val="20"/>
          <w:szCs w:val="20"/>
        </w:rPr>
        <w:t xml:space="preserve"> </w:t>
      </w:r>
      <w:r w:rsidRPr="000977F7">
        <w:rPr>
          <w:rFonts w:asciiTheme="majorHAnsi" w:hAnsiTheme="majorHAnsi"/>
          <w:sz w:val="20"/>
          <w:szCs w:val="20"/>
        </w:rPr>
        <w:t>якщо споживачеві</w:t>
      </w:r>
      <w:r w:rsidRPr="000977F7">
        <w:rPr>
          <w:rFonts w:asciiTheme="majorHAnsi" w:hAnsiTheme="majorHAnsi"/>
          <w:spacing w:val="-1"/>
          <w:sz w:val="20"/>
          <w:szCs w:val="20"/>
        </w:rPr>
        <w:t xml:space="preserve"> </w:t>
      </w:r>
      <w:r w:rsidRPr="000977F7">
        <w:rPr>
          <w:rFonts w:asciiTheme="majorHAnsi" w:hAnsiTheme="majorHAnsi"/>
          <w:sz w:val="20"/>
          <w:szCs w:val="20"/>
        </w:rPr>
        <w:t>таке</w:t>
      </w:r>
      <w:r w:rsidRPr="000977F7">
        <w:rPr>
          <w:rFonts w:asciiTheme="majorHAnsi" w:hAnsiTheme="majorHAnsi"/>
          <w:spacing w:val="1"/>
          <w:sz w:val="20"/>
          <w:szCs w:val="20"/>
        </w:rPr>
        <w:t xml:space="preserve"> </w:t>
      </w:r>
      <w:r w:rsidRPr="000977F7">
        <w:rPr>
          <w:rFonts w:asciiTheme="majorHAnsi" w:hAnsiTheme="majorHAnsi"/>
          <w:sz w:val="20"/>
          <w:szCs w:val="20"/>
        </w:rPr>
        <w:t>право не</w:t>
      </w:r>
      <w:r w:rsidRPr="000977F7">
        <w:rPr>
          <w:rFonts w:asciiTheme="majorHAnsi" w:hAnsiTheme="majorHAnsi"/>
          <w:spacing w:val="-1"/>
          <w:sz w:val="20"/>
          <w:szCs w:val="20"/>
        </w:rPr>
        <w:t xml:space="preserve"> </w:t>
      </w:r>
      <w:r w:rsidRPr="000977F7">
        <w:rPr>
          <w:rFonts w:asciiTheme="majorHAnsi" w:hAnsiTheme="majorHAnsi"/>
          <w:sz w:val="20"/>
          <w:szCs w:val="20"/>
        </w:rPr>
        <w:t>надається;</w:t>
      </w:r>
    </w:p>
    <w:p w14:paraId="28F65B03" w14:textId="77777777" w:rsidR="0097612F" w:rsidRPr="000977F7" w:rsidRDefault="0097612F" w:rsidP="00FD39A4">
      <w:pPr>
        <w:pStyle w:val="ac"/>
        <w:widowControl w:val="0"/>
        <w:numPr>
          <w:ilvl w:val="0"/>
          <w:numId w:val="213"/>
        </w:numPr>
        <w:tabs>
          <w:tab w:val="left" w:pos="284"/>
          <w:tab w:val="left" w:pos="73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надання продавцю (виконавцю, виробнику) права</w:t>
      </w:r>
      <w:r w:rsidRPr="000977F7">
        <w:rPr>
          <w:rFonts w:asciiTheme="majorHAnsi" w:hAnsiTheme="majorHAnsi"/>
          <w:spacing w:val="1"/>
          <w:sz w:val="20"/>
          <w:szCs w:val="20"/>
        </w:rPr>
        <w:t xml:space="preserve"> </w:t>
      </w:r>
      <w:r w:rsidRPr="000977F7">
        <w:rPr>
          <w:rFonts w:asciiTheme="majorHAnsi" w:hAnsiTheme="majorHAnsi"/>
          <w:sz w:val="20"/>
          <w:szCs w:val="20"/>
        </w:rPr>
        <w:t>не повертати кошти на оплату ненаданої продукції у</w:t>
      </w:r>
      <w:r w:rsidRPr="000977F7">
        <w:rPr>
          <w:rFonts w:asciiTheme="majorHAnsi" w:hAnsiTheme="majorHAnsi"/>
          <w:spacing w:val="1"/>
          <w:sz w:val="20"/>
          <w:szCs w:val="20"/>
        </w:rPr>
        <w:t xml:space="preserve"> </w:t>
      </w:r>
      <w:r w:rsidRPr="000977F7">
        <w:rPr>
          <w:rFonts w:asciiTheme="majorHAnsi" w:hAnsiTheme="majorHAnsi"/>
          <w:sz w:val="20"/>
          <w:szCs w:val="20"/>
        </w:rPr>
        <w:t>разі розірвання договору з ініціативи продавця (виконавця,</w:t>
      </w:r>
      <w:r w:rsidRPr="000977F7">
        <w:rPr>
          <w:rFonts w:asciiTheme="majorHAnsi" w:hAnsiTheme="majorHAnsi"/>
          <w:spacing w:val="-1"/>
          <w:sz w:val="20"/>
          <w:szCs w:val="20"/>
        </w:rPr>
        <w:t xml:space="preserve"> </w:t>
      </w:r>
      <w:r w:rsidRPr="000977F7">
        <w:rPr>
          <w:rFonts w:asciiTheme="majorHAnsi" w:hAnsiTheme="majorHAnsi"/>
          <w:sz w:val="20"/>
          <w:szCs w:val="20"/>
        </w:rPr>
        <w:t>виробника);</w:t>
      </w:r>
    </w:p>
    <w:p w14:paraId="0E0E418F" w14:textId="77777777" w:rsidR="0097612F" w:rsidRPr="000977F7" w:rsidRDefault="0097612F" w:rsidP="00FD39A4">
      <w:pPr>
        <w:pStyle w:val="ac"/>
        <w:widowControl w:val="0"/>
        <w:numPr>
          <w:ilvl w:val="0"/>
          <w:numId w:val="213"/>
        </w:numPr>
        <w:tabs>
          <w:tab w:val="left" w:pos="284"/>
          <w:tab w:val="left" w:pos="73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надання продавцю (виконавцю, виробнику) права</w:t>
      </w:r>
      <w:r w:rsidRPr="000977F7">
        <w:rPr>
          <w:rFonts w:asciiTheme="majorHAnsi" w:hAnsiTheme="majorHAnsi"/>
          <w:spacing w:val="1"/>
          <w:sz w:val="20"/>
          <w:szCs w:val="20"/>
        </w:rPr>
        <w:t xml:space="preserve"> </w:t>
      </w:r>
      <w:r w:rsidRPr="000977F7">
        <w:rPr>
          <w:rFonts w:asciiTheme="majorHAnsi" w:hAnsiTheme="majorHAnsi"/>
          <w:sz w:val="20"/>
          <w:szCs w:val="20"/>
        </w:rPr>
        <w:t>розірвати договір, укладений на невизначений строк із</w:t>
      </w:r>
      <w:r w:rsidRPr="000977F7">
        <w:rPr>
          <w:rFonts w:asciiTheme="majorHAnsi" w:hAnsiTheme="majorHAnsi"/>
          <w:spacing w:val="-47"/>
          <w:sz w:val="20"/>
          <w:szCs w:val="20"/>
        </w:rPr>
        <w:t xml:space="preserve"> </w:t>
      </w:r>
      <w:r w:rsidRPr="000977F7">
        <w:rPr>
          <w:rFonts w:asciiTheme="majorHAnsi" w:hAnsiTheme="majorHAnsi"/>
          <w:sz w:val="20"/>
          <w:szCs w:val="20"/>
        </w:rPr>
        <w:t>споживачем без повідомлення його про це, крім випадків,</w:t>
      </w:r>
      <w:r w:rsidRPr="000977F7">
        <w:rPr>
          <w:rFonts w:asciiTheme="majorHAnsi" w:hAnsiTheme="majorHAnsi"/>
          <w:spacing w:val="1"/>
          <w:sz w:val="20"/>
          <w:szCs w:val="20"/>
        </w:rPr>
        <w:t xml:space="preserve"> </w:t>
      </w:r>
      <w:r w:rsidRPr="000977F7">
        <w:rPr>
          <w:rFonts w:asciiTheme="majorHAnsi" w:hAnsiTheme="majorHAnsi"/>
          <w:sz w:val="20"/>
          <w:szCs w:val="20"/>
        </w:rPr>
        <w:t>установлених</w:t>
      </w:r>
      <w:r w:rsidRPr="000977F7">
        <w:rPr>
          <w:rFonts w:asciiTheme="majorHAnsi" w:hAnsiTheme="majorHAnsi"/>
          <w:spacing w:val="-1"/>
          <w:sz w:val="20"/>
          <w:szCs w:val="20"/>
        </w:rPr>
        <w:t xml:space="preserve"> </w:t>
      </w:r>
      <w:r w:rsidRPr="000977F7">
        <w:rPr>
          <w:rFonts w:asciiTheme="majorHAnsi" w:hAnsiTheme="majorHAnsi"/>
          <w:sz w:val="20"/>
          <w:szCs w:val="20"/>
        </w:rPr>
        <w:t>законом;</w:t>
      </w:r>
    </w:p>
    <w:p w14:paraId="53F5B8A8" w14:textId="77777777" w:rsidR="0097612F" w:rsidRPr="000977F7" w:rsidRDefault="0097612F" w:rsidP="00FD39A4">
      <w:pPr>
        <w:pStyle w:val="ac"/>
        <w:widowControl w:val="0"/>
        <w:numPr>
          <w:ilvl w:val="0"/>
          <w:numId w:val="213"/>
        </w:numPr>
        <w:tabs>
          <w:tab w:val="left" w:pos="284"/>
          <w:tab w:val="left" w:pos="78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установлення</w:t>
      </w:r>
      <w:r w:rsidRPr="000977F7">
        <w:rPr>
          <w:rFonts w:asciiTheme="majorHAnsi" w:hAnsiTheme="majorHAnsi"/>
          <w:spacing w:val="1"/>
          <w:sz w:val="20"/>
          <w:szCs w:val="20"/>
        </w:rPr>
        <w:t xml:space="preserve"> </w:t>
      </w:r>
      <w:r w:rsidRPr="000977F7">
        <w:rPr>
          <w:rFonts w:asciiTheme="majorHAnsi" w:hAnsiTheme="majorHAnsi"/>
          <w:sz w:val="20"/>
          <w:szCs w:val="20"/>
        </w:rPr>
        <w:t>невиправдано</w:t>
      </w:r>
      <w:r w:rsidRPr="000977F7">
        <w:rPr>
          <w:rFonts w:asciiTheme="majorHAnsi" w:hAnsiTheme="majorHAnsi"/>
          <w:spacing w:val="1"/>
          <w:sz w:val="20"/>
          <w:szCs w:val="20"/>
        </w:rPr>
        <w:t xml:space="preserve"> </w:t>
      </w:r>
      <w:r w:rsidRPr="000977F7">
        <w:rPr>
          <w:rFonts w:asciiTheme="majorHAnsi" w:hAnsiTheme="majorHAnsi"/>
          <w:sz w:val="20"/>
          <w:szCs w:val="20"/>
        </w:rPr>
        <w:t>малого</w:t>
      </w:r>
      <w:r w:rsidRPr="000977F7">
        <w:rPr>
          <w:rFonts w:asciiTheme="majorHAnsi" w:hAnsiTheme="majorHAnsi"/>
          <w:spacing w:val="1"/>
          <w:sz w:val="20"/>
          <w:szCs w:val="20"/>
        </w:rPr>
        <w:t xml:space="preserve"> </w:t>
      </w:r>
      <w:r w:rsidRPr="000977F7">
        <w:rPr>
          <w:rFonts w:asciiTheme="majorHAnsi" w:hAnsiTheme="majorHAnsi"/>
          <w:sz w:val="20"/>
          <w:szCs w:val="20"/>
        </w:rPr>
        <w:t>строку</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надання споживачем згоди на продовження дії договору, укладеного на визначений строк, з автоматичним продовженням такого договору, якщо споживач</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висловить</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відповідного</w:t>
      </w:r>
      <w:r w:rsidRPr="000977F7">
        <w:rPr>
          <w:rFonts w:asciiTheme="majorHAnsi" w:hAnsiTheme="majorHAnsi"/>
          <w:spacing w:val="1"/>
          <w:sz w:val="20"/>
          <w:szCs w:val="20"/>
        </w:rPr>
        <w:t xml:space="preserve"> </w:t>
      </w:r>
      <w:r w:rsidRPr="000977F7">
        <w:rPr>
          <w:rFonts w:asciiTheme="majorHAnsi" w:hAnsiTheme="majorHAnsi"/>
          <w:sz w:val="20"/>
          <w:szCs w:val="20"/>
        </w:rPr>
        <w:t>наміру;</w:t>
      </w:r>
    </w:p>
    <w:p w14:paraId="14B9D73B" w14:textId="77777777" w:rsidR="0097612F" w:rsidRPr="000977F7" w:rsidRDefault="0097612F" w:rsidP="00FD39A4">
      <w:pPr>
        <w:pStyle w:val="ac"/>
        <w:widowControl w:val="0"/>
        <w:numPr>
          <w:ilvl w:val="0"/>
          <w:numId w:val="213"/>
        </w:numPr>
        <w:tabs>
          <w:tab w:val="left" w:pos="284"/>
          <w:tab w:val="left" w:pos="81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установлення обов'язкових для споживача умов, з</w:t>
      </w:r>
      <w:r w:rsidRPr="000977F7">
        <w:rPr>
          <w:rFonts w:asciiTheme="majorHAnsi" w:hAnsiTheme="majorHAnsi"/>
          <w:spacing w:val="-47"/>
          <w:sz w:val="20"/>
          <w:szCs w:val="20"/>
        </w:rPr>
        <w:t xml:space="preserve"> </w:t>
      </w:r>
      <w:r w:rsidRPr="000977F7">
        <w:rPr>
          <w:rFonts w:asciiTheme="majorHAnsi" w:hAnsiTheme="majorHAnsi"/>
          <w:sz w:val="20"/>
          <w:szCs w:val="20"/>
        </w:rPr>
        <w:t>якими він не мав реальної можливості ознайомитися</w:t>
      </w:r>
      <w:r w:rsidRPr="000977F7">
        <w:rPr>
          <w:rFonts w:asciiTheme="majorHAnsi" w:hAnsiTheme="majorHAnsi"/>
          <w:spacing w:val="1"/>
          <w:sz w:val="20"/>
          <w:szCs w:val="20"/>
        </w:rPr>
        <w:t xml:space="preserve"> </w:t>
      </w:r>
      <w:r w:rsidRPr="000977F7">
        <w:rPr>
          <w:rFonts w:asciiTheme="majorHAnsi" w:hAnsiTheme="majorHAnsi"/>
          <w:sz w:val="20"/>
          <w:szCs w:val="20"/>
        </w:rPr>
        <w:t>перед</w:t>
      </w:r>
      <w:r w:rsidRPr="000977F7">
        <w:rPr>
          <w:rFonts w:asciiTheme="majorHAnsi" w:hAnsiTheme="majorHAnsi"/>
          <w:spacing w:val="1"/>
          <w:sz w:val="20"/>
          <w:szCs w:val="20"/>
        </w:rPr>
        <w:t xml:space="preserve"> </w:t>
      </w:r>
      <w:r w:rsidRPr="000977F7">
        <w:rPr>
          <w:rFonts w:asciiTheme="majorHAnsi" w:hAnsiTheme="majorHAnsi"/>
          <w:sz w:val="20"/>
          <w:szCs w:val="20"/>
        </w:rPr>
        <w:t>укладенням договору;</w:t>
      </w:r>
    </w:p>
    <w:p w14:paraId="3882AFE0" w14:textId="77777777" w:rsidR="0097612F" w:rsidRPr="000977F7" w:rsidRDefault="0097612F" w:rsidP="00FD39A4">
      <w:pPr>
        <w:pStyle w:val="ac"/>
        <w:widowControl w:val="0"/>
        <w:numPr>
          <w:ilvl w:val="0"/>
          <w:numId w:val="213"/>
        </w:numPr>
        <w:tabs>
          <w:tab w:val="left" w:pos="284"/>
          <w:tab w:val="left" w:pos="81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надання продавцю (виконавцю, виробнику) права</w:t>
      </w:r>
      <w:r w:rsidRPr="000977F7">
        <w:rPr>
          <w:rFonts w:asciiTheme="majorHAnsi" w:hAnsiTheme="majorHAnsi"/>
          <w:spacing w:val="-47"/>
          <w:sz w:val="20"/>
          <w:szCs w:val="20"/>
        </w:rPr>
        <w:t xml:space="preserve"> </w:t>
      </w:r>
      <w:r w:rsidRPr="000977F7">
        <w:rPr>
          <w:rFonts w:asciiTheme="majorHAnsi" w:hAnsiTheme="majorHAnsi"/>
          <w:sz w:val="20"/>
          <w:szCs w:val="20"/>
        </w:rPr>
        <w:t>в односторонньому порядку змінювати умови договору</w:t>
      </w:r>
      <w:r w:rsidRPr="000977F7">
        <w:rPr>
          <w:rFonts w:asciiTheme="majorHAnsi" w:hAnsiTheme="majorHAnsi"/>
          <w:spacing w:val="12"/>
          <w:sz w:val="20"/>
          <w:szCs w:val="20"/>
        </w:rPr>
        <w:t xml:space="preserve"> </w:t>
      </w:r>
      <w:r w:rsidRPr="000977F7">
        <w:rPr>
          <w:rFonts w:asciiTheme="majorHAnsi" w:hAnsiTheme="majorHAnsi"/>
          <w:sz w:val="20"/>
          <w:szCs w:val="20"/>
        </w:rPr>
        <w:t>на</w:t>
      </w:r>
      <w:r w:rsidRPr="000977F7">
        <w:rPr>
          <w:rFonts w:asciiTheme="majorHAnsi" w:hAnsiTheme="majorHAnsi"/>
          <w:spacing w:val="14"/>
          <w:sz w:val="20"/>
          <w:szCs w:val="20"/>
        </w:rPr>
        <w:t xml:space="preserve"> </w:t>
      </w:r>
      <w:r w:rsidRPr="000977F7">
        <w:rPr>
          <w:rFonts w:asciiTheme="majorHAnsi" w:hAnsiTheme="majorHAnsi"/>
          <w:sz w:val="20"/>
          <w:szCs w:val="20"/>
        </w:rPr>
        <w:t>власний</w:t>
      </w:r>
      <w:r w:rsidRPr="000977F7">
        <w:rPr>
          <w:rFonts w:asciiTheme="majorHAnsi" w:hAnsiTheme="majorHAnsi"/>
          <w:spacing w:val="12"/>
          <w:sz w:val="20"/>
          <w:szCs w:val="20"/>
        </w:rPr>
        <w:t xml:space="preserve"> </w:t>
      </w:r>
      <w:r w:rsidRPr="000977F7">
        <w:rPr>
          <w:rFonts w:asciiTheme="majorHAnsi" w:hAnsiTheme="majorHAnsi"/>
          <w:sz w:val="20"/>
          <w:szCs w:val="20"/>
        </w:rPr>
        <w:t>розсуд</w:t>
      </w:r>
      <w:r w:rsidRPr="000977F7">
        <w:rPr>
          <w:rFonts w:asciiTheme="majorHAnsi" w:hAnsiTheme="majorHAnsi"/>
          <w:spacing w:val="13"/>
          <w:sz w:val="20"/>
          <w:szCs w:val="20"/>
        </w:rPr>
        <w:t xml:space="preserve"> </w:t>
      </w:r>
      <w:r w:rsidRPr="000977F7">
        <w:rPr>
          <w:rFonts w:asciiTheme="majorHAnsi" w:hAnsiTheme="majorHAnsi"/>
          <w:sz w:val="20"/>
          <w:szCs w:val="20"/>
        </w:rPr>
        <w:t>або</w:t>
      </w:r>
      <w:r w:rsidRPr="000977F7">
        <w:rPr>
          <w:rFonts w:asciiTheme="majorHAnsi" w:hAnsiTheme="majorHAnsi"/>
          <w:spacing w:val="15"/>
          <w:sz w:val="20"/>
          <w:szCs w:val="20"/>
        </w:rPr>
        <w:t xml:space="preserve"> </w:t>
      </w:r>
      <w:r w:rsidRPr="000977F7">
        <w:rPr>
          <w:rFonts w:asciiTheme="majorHAnsi" w:hAnsiTheme="majorHAnsi"/>
          <w:sz w:val="20"/>
          <w:szCs w:val="20"/>
        </w:rPr>
        <w:t>на</w:t>
      </w:r>
      <w:r w:rsidRPr="000977F7">
        <w:rPr>
          <w:rFonts w:asciiTheme="majorHAnsi" w:hAnsiTheme="majorHAnsi"/>
          <w:spacing w:val="14"/>
          <w:sz w:val="20"/>
          <w:szCs w:val="20"/>
        </w:rPr>
        <w:t xml:space="preserve"> </w:t>
      </w:r>
      <w:r w:rsidRPr="000977F7">
        <w:rPr>
          <w:rFonts w:asciiTheme="majorHAnsi" w:hAnsiTheme="majorHAnsi"/>
          <w:sz w:val="20"/>
          <w:szCs w:val="20"/>
        </w:rPr>
        <w:t>підставах,</w:t>
      </w:r>
      <w:r w:rsidRPr="000977F7">
        <w:rPr>
          <w:rFonts w:asciiTheme="majorHAnsi" w:hAnsiTheme="majorHAnsi"/>
          <w:spacing w:val="14"/>
          <w:sz w:val="20"/>
          <w:szCs w:val="20"/>
        </w:rPr>
        <w:t xml:space="preserve"> </w:t>
      </w:r>
      <w:r w:rsidRPr="000977F7">
        <w:rPr>
          <w:rFonts w:asciiTheme="majorHAnsi" w:hAnsiTheme="majorHAnsi"/>
          <w:sz w:val="20"/>
          <w:szCs w:val="20"/>
        </w:rPr>
        <w:t>не</w:t>
      </w:r>
      <w:r w:rsidRPr="000977F7">
        <w:rPr>
          <w:rFonts w:asciiTheme="majorHAnsi" w:hAnsiTheme="majorHAnsi"/>
          <w:spacing w:val="14"/>
          <w:sz w:val="20"/>
          <w:szCs w:val="20"/>
        </w:rPr>
        <w:t xml:space="preserve"> </w:t>
      </w:r>
      <w:r w:rsidRPr="000977F7">
        <w:rPr>
          <w:rFonts w:asciiTheme="majorHAnsi" w:hAnsiTheme="majorHAnsi"/>
          <w:sz w:val="20"/>
          <w:szCs w:val="20"/>
        </w:rPr>
        <w:t>зазначених</w:t>
      </w:r>
      <w:r w:rsidRPr="000977F7">
        <w:rPr>
          <w:rFonts w:asciiTheme="majorHAnsi" w:hAnsiTheme="majorHAnsi"/>
          <w:spacing w:val="-48"/>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договорі;</w:t>
      </w:r>
    </w:p>
    <w:p w14:paraId="08A1FC1F" w14:textId="77777777" w:rsidR="0097612F" w:rsidRPr="000977F7" w:rsidRDefault="0097612F" w:rsidP="00FD39A4">
      <w:pPr>
        <w:pStyle w:val="ac"/>
        <w:widowControl w:val="0"/>
        <w:numPr>
          <w:ilvl w:val="0"/>
          <w:numId w:val="213"/>
        </w:numPr>
        <w:tabs>
          <w:tab w:val="left" w:pos="284"/>
          <w:tab w:val="left" w:pos="81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надання продавцю (виконавцю, виробнику) права</w:t>
      </w:r>
      <w:r w:rsidRPr="000977F7">
        <w:rPr>
          <w:rFonts w:asciiTheme="majorHAnsi" w:hAnsiTheme="majorHAnsi"/>
          <w:spacing w:val="-47"/>
          <w:sz w:val="20"/>
          <w:szCs w:val="20"/>
        </w:rPr>
        <w:t xml:space="preserve"> </w:t>
      </w:r>
      <w:r w:rsidRPr="000977F7">
        <w:rPr>
          <w:rFonts w:asciiTheme="majorHAnsi" w:hAnsiTheme="majorHAnsi"/>
          <w:sz w:val="20"/>
          <w:szCs w:val="20"/>
        </w:rPr>
        <w:t>в односторонньому порядку змінювати характеристики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предметом договору;</w:t>
      </w:r>
    </w:p>
    <w:p w14:paraId="4951D946" w14:textId="77777777" w:rsidR="0097612F" w:rsidRPr="000977F7" w:rsidRDefault="0097612F" w:rsidP="00FD39A4">
      <w:pPr>
        <w:pStyle w:val="ac"/>
        <w:widowControl w:val="0"/>
        <w:numPr>
          <w:ilvl w:val="0"/>
          <w:numId w:val="213"/>
        </w:numPr>
        <w:tabs>
          <w:tab w:val="left" w:pos="284"/>
          <w:tab w:val="left" w:pos="82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визначення ціни товару на момент його поставки</w:t>
      </w:r>
      <w:r w:rsidRPr="000977F7">
        <w:rPr>
          <w:rFonts w:asciiTheme="majorHAnsi" w:hAnsiTheme="majorHAnsi"/>
          <w:spacing w:val="1"/>
          <w:sz w:val="20"/>
          <w:szCs w:val="20"/>
        </w:rPr>
        <w:t xml:space="preserve"> </w:t>
      </w:r>
      <w:r w:rsidRPr="000977F7">
        <w:rPr>
          <w:rFonts w:asciiTheme="majorHAnsi" w:hAnsiTheme="majorHAnsi"/>
          <w:sz w:val="20"/>
          <w:szCs w:val="20"/>
        </w:rPr>
        <w:t>споживачеві або надання продавцю (виконавцю, виробнику)</w:t>
      </w:r>
      <w:r w:rsidRPr="000977F7">
        <w:rPr>
          <w:rFonts w:asciiTheme="majorHAnsi" w:hAnsiTheme="majorHAnsi"/>
          <w:spacing w:val="1"/>
          <w:sz w:val="20"/>
          <w:szCs w:val="20"/>
        </w:rPr>
        <w:t xml:space="preserve"> </w:t>
      </w:r>
      <w:r w:rsidRPr="000977F7">
        <w:rPr>
          <w:rFonts w:asciiTheme="majorHAnsi" w:hAnsiTheme="majorHAnsi"/>
          <w:sz w:val="20"/>
          <w:szCs w:val="20"/>
        </w:rPr>
        <w:t>можливості</w:t>
      </w:r>
      <w:r w:rsidRPr="000977F7">
        <w:rPr>
          <w:rFonts w:asciiTheme="majorHAnsi" w:hAnsiTheme="majorHAnsi"/>
          <w:spacing w:val="1"/>
          <w:sz w:val="20"/>
          <w:szCs w:val="20"/>
        </w:rPr>
        <w:t xml:space="preserve"> </w:t>
      </w:r>
      <w:r w:rsidRPr="000977F7">
        <w:rPr>
          <w:rFonts w:asciiTheme="majorHAnsi" w:hAnsiTheme="majorHAnsi"/>
          <w:sz w:val="20"/>
          <w:szCs w:val="20"/>
        </w:rPr>
        <w:t>збільшувати</w:t>
      </w:r>
      <w:r w:rsidRPr="000977F7">
        <w:rPr>
          <w:rFonts w:asciiTheme="majorHAnsi" w:hAnsiTheme="majorHAnsi"/>
          <w:spacing w:val="1"/>
          <w:sz w:val="20"/>
          <w:szCs w:val="20"/>
        </w:rPr>
        <w:t xml:space="preserve"> </w:t>
      </w:r>
      <w:r w:rsidRPr="000977F7">
        <w:rPr>
          <w:rFonts w:asciiTheme="majorHAnsi" w:hAnsiTheme="majorHAnsi"/>
          <w:sz w:val="20"/>
          <w:szCs w:val="20"/>
        </w:rPr>
        <w:t>ціну</w:t>
      </w:r>
      <w:r w:rsidRPr="000977F7">
        <w:rPr>
          <w:rFonts w:asciiTheme="majorHAnsi" w:hAnsiTheme="majorHAnsi"/>
          <w:spacing w:val="1"/>
          <w:sz w:val="20"/>
          <w:szCs w:val="20"/>
        </w:rPr>
        <w:t xml:space="preserve"> </w:t>
      </w:r>
      <w:r w:rsidRPr="000977F7">
        <w:rPr>
          <w:rFonts w:asciiTheme="majorHAnsi" w:hAnsiTheme="majorHAnsi"/>
          <w:sz w:val="20"/>
          <w:szCs w:val="20"/>
        </w:rPr>
        <w:t>без</w:t>
      </w:r>
      <w:r w:rsidRPr="000977F7">
        <w:rPr>
          <w:rFonts w:asciiTheme="majorHAnsi" w:hAnsiTheme="majorHAnsi"/>
          <w:spacing w:val="1"/>
          <w:sz w:val="20"/>
          <w:szCs w:val="20"/>
        </w:rPr>
        <w:t xml:space="preserve"> </w:t>
      </w:r>
      <w:r w:rsidRPr="000977F7">
        <w:rPr>
          <w:rFonts w:asciiTheme="majorHAnsi" w:hAnsiTheme="majorHAnsi"/>
          <w:sz w:val="20"/>
          <w:szCs w:val="20"/>
        </w:rPr>
        <w:t>надання</w:t>
      </w:r>
      <w:r w:rsidRPr="000977F7">
        <w:rPr>
          <w:rFonts w:asciiTheme="majorHAnsi" w:hAnsiTheme="majorHAnsi"/>
          <w:spacing w:val="-47"/>
          <w:sz w:val="20"/>
          <w:szCs w:val="20"/>
        </w:rPr>
        <w:t xml:space="preserve"> </w:t>
      </w:r>
      <w:r w:rsidRPr="000977F7">
        <w:rPr>
          <w:rFonts w:asciiTheme="majorHAnsi" w:hAnsiTheme="majorHAnsi"/>
          <w:sz w:val="20"/>
          <w:szCs w:val="20"/>
        </w:rPr>
        <w:t>споживачеві права розірвати договір у разі збільшення ціни порівняно з тією, що була погоджена на момент укладення</w:t>
      </w:r>
      <w:r w:rsidRPr="000977F7">
        <w:rPr>
          <w:rFonts w:asciiTheme="majorHAnsi" w:hAnsiTheme="majorHAnsi"/>
          <w:spacing w:val="-1"/>
          <w:sz w:val="20"/>
          <w:szCs w:val="20"/>
        </w:rPr>
        <w:t xml:space="preserve"> </w:t>
      </w:r>
      <w:r w:rsidRPr="000977F7">
        <w:rPr>
          <w:rFonts w:asciiTheme="majorHAnsi" w:hAnsiTheme="majorHAnsi"/>
          <w:sz w:val="20"/>
          <w:szCs w:val="20"/>
        </w:rPr>
        <w:t>договору; надання продавцю (виконавцю, виробнику) права</w:t>
      </w:r>
      <w:r w:rsidRPr="000977F7">
        <w:rPr>
          <w:rFonts w:asciiTheme="majorHAnsi" w:hAnsiTheme="majorHAnsi"/>
          <w:spacing w:val="-47"/>
          <w:sz w:val="20"/>
          <w:szCs w:val="20"/>
        </w:rPr>
        <w:t xml:space="preserve"> </w:t>
      </w:r>
      <w:r w:rsidRPr="000977F7">
        <w:rPr>
          <w:rFonts w:asciiTheme="majorHAnsi" w:hAnsiTheme="majorHAnsi"/>
          <w:sz w:val="20"/>
          <w:szCs w:val="20"/>
        </w:rPr>
        <w:t>визначати</w:t>
      </w:r>
      <w:r w:rsidRPr="000977F7">
        <w:rPr>
          <w:rFonts w:asciiTheme="majorHAnsi" w:hAnsiTheme="majorHAnsi"/>
          <w:spacing w:val="1"/>
          <w:sz w:val="20"/>
          <w:szCs w:val="20"/>
        </w:rPr>
        <w:t xml:space="preserve"> </w:t>
      </w:r>
      <w:r w:rsidRPr="000977F7">
        <w:rPr>
          <w:rFonts w:asciiTheme="majorHAnsi" w:hAnsiTheme="majorHAnsi"/>
          <w:sz w:val="20"/>
          <w:szCs w:val="20"/>
        </w:rPr>
        <w:t>відповідність</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умовам</w:t>
      </w:r>
      <w:r w:rsidRPr="000977F7">
        <w:rPr>
          <w:rFonts w:asciiTheme="majorHAnsi" w:hAnsiTheme="majorHAnsi"/>
          <w:spacing w:val="1"/>
          <w:sz w:val="20"/>
          <w:szCs w:val="20"/>
        </w:rPr>
        <w:t xml:space="preserve"> </w:t>
      </w:r>
      <w:r w:rsidRPr="000977F7">
        <w:rPr>
          <w:rFonts w:asciiTheme="majorHAnsi" w:hAnsiTheme="majorHAnsi"/>
          <w:sz w:val="20"/>
          <w:szCs w:val="20"/>
        </w:rPr>
        <w:t>договору</w:t>
      </w:r>
      <w:r w:rsidRPr="000977F7">
        <w:rPr>
          <w:rFonts w:asciiTheme="majorHAnsi" w:hAnsiTheme="majorHAnsi"/>
          <w:spacing w:val="-47"/>
          <w:sz w:val="20"/>
          <w:szCs w:val="20"/>
        </w:rPr>
        <w:t xml:space="preserve"> </w:t>
      </w:r>
      <w:r w:rsidRPr="000977F7">
        <w:rPr>
          <w:rFonts w:asciiTheme="majorHAnsi" w:hAnsiTheme="majorHAnsi"/>
          <w:sz w:val="20"/>
          <w:szCs w:val="20"/>
        </w:rPr>
        <w:t>або надання йому виключного права щодо тлумачення</w:t>
      </w:r>
      <w:r w:rsidRPr="000977F7">
        <w:rPr>
          <w:rFonts w:asciiTheme="majorHAnsi" w:hAnsiTheme="majorHAnsi"/>
          <w:spacing w:val="-2"/>
          <w:sz w:val="20"/>
          <w:szCs w:val="20"/>
        </w:rPr>
        <w:t xml:space="preserve"> </w:t>
      </w:r>
      <w:r w:rsidRPr="000977F7">
        <w:rPr>
          <w:rFonts w:asciiTheme="majorHAnsi" w:hAnsiTheme="majorHAnsi"/>
          <w:sz w:val="20"/>
          <w:szCs w:val="20"/>
        </w:rPr>
        <w:t>договору;</w:t>
      </w:r>
    </w:p>
    <w:p w14:paraId="64092C1E" w14:textId="77777777" w:rsidR="0097612F" w:rsidRPr="000977F7" w:rsidRDefault="0097612F" w:rsidP="00FD39A4">
      <w:pPr>
        <w:pStyle w:val="ac"/>
        <w:widowControl w:val="0"/>
        <w:numPr>
          <w:ilvl w:val="0"/>
          <w:numId w:val="213"/>
        </w:numPr>
        <w:tabs>
          <w:tab w:val="left" w:pos="284"/>
          <w:tab w:val="left" w:pos="72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обмеження відповідальності продавця (виконавця, виробника) стосовно зобов'язань, прийнятих його</w:t>
      </w:r>
      <w:r w:rsidRPr="000977F7">
        <w:rPr>
          <w:rFonts w:asciiTheme="majorHAnsi" w:hAnsiTheme="majorHAnsi"/>
          <w:spacing w:val="1"/>
          <w:sz w:val="20"/>
          <w:szCs w:val="20"/>
        </w:rPr>
        <w:t xml:space="preserve"> </w:t>
      </w:r>
      <w:r w:rsidRPr="000977F7">
        <w:rPr>
          <w:rFonts w:asciiTheme="majorHAnsi" w:hAnsiTheme="majorHAnsi"/>
          <w:sz w:val="20"/>
          <w:szCs w:val="20"/>
        </w:rPr>
        <w:t>агентами, або обумовлення прийняття ним таких зобов'язань додержанням</w:t>
      </w:r>
      <w:r w:rsidRPr="000977F7">
        <w:rPr>
          <w:rFonts w:asciiTheme="majorHAnsi" w:hAnsiTheme="majorHAnsi"/>
          <w:spacing w:val="-1"/>
          <w:sz w:val="20"/>
          <w:szCs w:val="20"/>
        </w:rPr>
        <w:t xml:space="preserve"> </w:t>
      </w:r>
      <w:r w:rsidRPr="000977F7">
        <w:rPr>
          <w:rFonts w:asciiTheme="majorHAnsi" w:hAnsiTheme="majorHAnsi"/>
          <w:sz w:val="20"/>
          <w:szCs w:val="20"/>
        </w:rPr>
        <w:t>зайвих</w:t>
      </w:r>
      <w:r w:rsidRPr="000977F7">
        <w:rPr>
          <w:rFonts w:asciiTheme="majorHAnsi" w:hAnsiTheme="majorHAnsi"/>
          <w:spacing w:val="-2"/>
          <w:sz w:val="20"/>
          <w:szCs w:val="20"/>
        </w:rPr>
        <w:t xml:space="preserve"> </w:t>
      </w:r>
      <w:r w:rsidRPr="000977F7">
        <w:rPr>
          <w:rFonts w:asciiTheme="majorHAnsi" w:hAnsiTheme="majorHAnsi"/>
          <w:sz w:val="20"/>
          <w:szCs w:val="20"/>
        </w:rPr>
        <w:t>формальностей;</w:t>
      </w:r>
    </w:p>
    <w:p w14:paraId="4EEE64FF" w14:textId="77777777" w:rsidR="0097612F" w:rsidRPr="000977F7" w:rsidRDefault="0097612F" w:rsidP="00FD39A4">
      <w:pPr>
        <w:pStyle w:val="ac"/>
        <w:widowControl w:val="0"/>
        <w:numPr>
          <w:ilvl w:val="0"/>
          <w:numId w:val="213"/>
        </w:numPr>
        <w:tabs>
          <w:tab w:val="left" w:pos="284"/>
          <w:tab w:val="left" w:pos="73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встановлення обов'язку споживача виконати всі</w:t>
      </w:r>
      <w:r w:rsidRPr="000977F7">
        <w:rPr>
          <w:rFonts w:asciiTheme="majorHAnsi" w:hAnsiTheme="majorHAnsi"/>
          <w:spacing w:val="1"/>
          <w:sz w:val="20"/>
          <w:szCs w:val="20"/>
        </w:rPr>
        <w:t xml:space="preserve"> </w:t>
      </w:r>
      <w:r w:rsidRPr="000977F7">
        <w:rPr>
          <w:rFonts w:asciiTheme="majorHAnsi" w:hAnsiTheme="majorHAnsi"/>
          <w:sz w:val="20"/>
          <w:szCs w:val="20"/>
        </w:rPr>
        <w:t>зобов'язання, навіть якщо продавець (виконавець, виробник)</w:t>
      </w:r>
      <w:r w:rsidRPr="000977F7">
        <w:rPr>
          <w:rFonts w:asciiTheme="majorHAnsi" w:hAnsiTheme="majorHAnsi"/>
          <w:spacing w:val="2"/>
          <w:sz w:val="20"/>
          <w:szCs w:val="20"/>
        </w:rPr>
        <w:t xml:space="preserve"> </w:t>
      </w:r>
      <w:r w:rsidRPr="000977F7">
        <w:rPr>
          <w:rFonts w:asciiTheme="majorHAnsi" w:hAnsiTheme="majorHAnsi"/>
          <w:sz w:val="20"/>
          <w:szCs w:val="20"/>
        </w:rPr>
        <w:t>не виконає</w:t>
      </w:r>
      <w:r w:rsidRPr="000977F7">
        <w:rPr>
          <w:rFonts w:asciiTheme="majorHAnsi" w:hAnsiTheme="majorHAnsi"/>
          <w:spacing w:val="1"/>
          <w:sz w:val="20"/>
          <w:szCs w:val="20"/>
        </w:rPr>
        <w:t xml:space="preserve"> </w:t>
      </w:r>
      <w:r w:rsidRPr="000977F7">
        <w:rPr>
          <w:rFonts w:asciiTheme="majorHAnsi" w:hAnsiTheme="majorHAnsi"/>
          <w:sz w:val="20"/>
          <w:szCs w:val="20"/>
        </w:rPr>
        <w:t>своїх;</w:t>
      </w:r>
    </w:p>
    <w:p w14:paraId="2AA56C45" w14:textId="77777777" w:rsidR="0097612F" w:rsidRPr="000977F7" w:rsidRDefault="0097612F" w:rsidP="00FD39A4">
      <w:pPr>
        <w:pStyle w:val="ac"/>
        <w:widowControl w:val="0"/>
        <w:numPr>
          <w:ilvl w:val="0"/>
          <w:numId w:val="213"/>
        </w:numPr>
        <w:tabs>
          <w:tab w:val="left" w:pos="284"/>
          <w:tab w:val="left" w:pos="69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надання продавцю (виконавцю, виробнику) права</w:t>
      </w:r>
      <w:r w:rsidRPr="000977F7">
        <w:rPr>
          <w:rFonts w:asciiTheme="majorHAnsi" w:hAnsiTheme="majorHAnsi"/>
          <w:spacing w:val="-47"/>
          <w:sz w:val="20"/>
          <w:szCs w:val="20"/>
        </w:rPr>
        <w:t xml:space="preserve"> </w:t>
      </w:r>
      <w:r w:rsidRPr="000977F7">
        <w:rPr>
          <w:rFonts w:asciiTheme="majorHAnsi" w:hAnsiTheme="majorHAnsi"/>
          <w:sz w:val="20"/>
          <w:szCs w:val="20"/>
        </w:rPr>
        <w:t xml:space="preserve">передавати свої права та обов'язки за договором третій особі, якщо це може стати </w:t>
      </w:r>
      <w:r w:rsidRPr="000977F7">
        <w:rPr>
          <w:rFonts w:asciiTheme="majorHAnsi" w:hAnsiTheme="majorHAnsi"/>
          <w:sz w:val="20"/>
          <w:szCs w:val="20"/>
        </w:rPr>
        <w:lastRenderedPageBreak/>
        <w:t>наслідком зменшення</w:t>
      </w:r>
      <w:r w:rsidRPr="000977F7">
        <w:rPr>
          <w:rFonts w:asciiTheme="majorHAnsi" w:hAnsiTheme="majorHAnsi"/>
          <w:spacing w:val="1"/>
          <w:sz w:val="20"/>
          <w:szCs w:val="20"/>
        </w:rPr>
        <w:t xml:space="preserve"> </w:t>
      </w:r>
      <w:r w:rsidRPr="000977F7">
        <w:rPr>
          <w:rFonts w:asciiTheme="majorHAnsi" w:hAnsiTheme="majorHAnsi"/>
          <w:sz w:val="20"/>
          <w:szCs w:val="20"/>
        </w:rPr>
        <w:t>гарантій, що виникають за договором для споживача,</w:t>
      </w:r>
      <w:r w:rsidRPr="000977F7">
        <w:rPr>
          <w:rFonts w:asciiTheme="majorHAnsi" w:hAnsiTheme="majorHAnsi"/>
          <w:spacing w:val="1"/>
          <w:sz w:val="20"/>
          <w:szCs w:val="20"/>
        </w:rPr>
        <w:t xml:space="preserve"> </w:t>
      </w:r>
      <w:r w:rsidRPr="000977F7">
        <w:rPr>
          <w:rFonts w:asciiTheme="majorHAnsi" w:hAnsiTheme="majorHAnsi"/>
          <w:sz w:val="20"/>
          <w:szCs w:val="20"/>
        </w:rPr>
        <w:t>без</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згоди.</w:t>
      </w:r>
    </w:p>
    <w:p w14:paraId="2737608B" w14:textId="77777777" w:rsidR="0097612F" w:rsidRPr="000977F7" w:rsidRDefault="0097612F" w:rsidP="00FD39A4">
      <w:pPr>
        <w:pStyle w:val="ac"/>
        <w:widowControl w:val="0"/>
        <w:numPr>
          <w:ilvl w:val="0"/>
          <w:numId w:val="214"/>
        </w:numPr>
        <w:tabs>
          <w:tab w:val="left" w:pos="284"/>
          <w:tab w:val="left" w:pos="59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Перелік несправедливих умов у договорах із споживачами</w:t>
      </w:r>
      <w:r w:rsidRPr="000977F7">
        <w:rPr>
          <w:rFonts w:asciiTheme="majorHAnsi" w:hAnsiTheme="majorHAnsi"/>
          <w:spacing w:val="-2"/>
          <w:sz w:val="20"/>
          <w:szCs w:val="20"/>
        </w:rPr>
        <w:t xml:space="preserve"> </w:t>
      </w:r>
      <w:r w:rsidRPr="000977F7">
        <w:rPr>
          <w:rFonts w:asciiTheme="majorHAnsi" w:hAnsiTheme="majorHAnsi"/>
          <w:sz w:val="20"/>
          <w:szCs w:val="20"/>
        </w:rPr>
        <w:t>не є вичерпним.</w:t>
      </w:r>
    </w:p>
    <w:p w14:paraId="127F87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Положення пункту 8 частини третьої цієї статті не</w:t>
      </w:r>
      <w:r w:rsidRPr="000977F7">
        <w:rPr>
          <w:rFonts w:asciiTheme="majorHAnsi" w:hAnsiTheme="majorHAnsi"/>
          <w:spacing w:val="1"/>
          <w:sz w:val="20"/>
          <w:szCs w:val="20"/>
        </w:rPr>
        <w:t xml:space="preserve"> </w:t>
      </w:r>
      <w:r w:rsidRPr="000977F7">
        <w:rPr>
          <w:rFonts w:asciiTheme="majorHAnsi" w:hAnsiTheme="majorHAnsi"/>
          <w:sz w:val="20"/>
          <w:szCs w:val="20"/>
        </w:rPr>
        <w:t>застосовується до умови договорів про надання споживчого</w:t>
      </w:r>
      <w:r w:rsidRPr="000977F7">
        <w:rPr>
          <w:rFonts w:asciiTheme="majorHAnsi" w:hAnsiTheme="majorHAnsi"/>
          <w:spacing w:val="1"/>
          <w:sz w:val="20"/>
          <w:szCs w:val="20"/>
        </w:rPr>
        <w:t xml:space="preserve"> </w:t>
      </w:r>
      <w:r w:rsidRPr="000977F7">
        <w:rPr>
          <w:rFonts w:asciiTheme="majorHAnsi" w:hAnsiTheme="majorHAnsi"/>
          <w:sz w:val="20"/>
          <w:szCs w:val="20"/>
        </w:rPr>
        <w:t>кредиту,</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якої кредитодавець</w:t>
      </w:r>
      <w:r w:rsidRPr="000977F7">
        <w:rPr>
          <w:rFonts w:asciiTheme="majorHAnsi" w:hAnsiTheme="majorHAnsi"/>
          <w:spacing w:val="1"/>
          <w:sz w:val="20"/>
          <w:szCs w:val="20"/>
        </w:rPr>
        <w:t xml:space="preserve"> </w:t>
      </w:r>
      <w:r w:rsidRPr="000977F7">
        <w:rPr>
          <w:rFonts w:asciiTheme="majorHAnsi" w:hAnsiTheme="majorHAnsi"/>
          <w:sz w:val="20"/>
          <w:szCs w:val="20"/>
        </w:rPr>
        <w:t>встановлює</w:t>
      </w:r>
      <w:r w:rsidRPr="000977F7">
        <w:rPr>
          <w:rFonts w:asciiTheme="majorHAnsi" w:hAnsiTheme="majorHAnsi"/>
          <w:spacing w:val="1"/>
          <w:sz w:val="20"/>
          <w:szCs w:val="20"/>
        </w:rPr>
        <w:t xml:space="preserve"> </w:t>
      </w:r>
      <w:r w:rsidRPr="000977F7">
        <w:rPr>
          <w:rFonts w:asciiTheme="majorHAnsi" w:hAnsiTheme="majorHAnsi"/>
          <w:sz w:val="20"/>
          <w:szCs w:val="20"/>
        </w:rPr>
        <w:t>право</w:t>
      </w:r>
      <w:r w:rsidRPr="000977F7">
        <w:rPr>
          <w:rFonts w:asciiTheme="majorHAnsi" w:hAnsiTheme="majorHAnsi"/>
          <w:spacing w:val="1"/>
          <w:sz w:val="20"/>
          <w:szCs w:val="20"/>
        </w:rPr>
        <w:t xml:space="preserve"> </w:t>
      </w:r>
      <w:r w:rsidRPr="000977F7">
        <w:rPr>
          <w:rFonts w:asciiTheme="majorHAnsi" w:hAnsiTheme="majorHAnsi"/>
          <w:sz w:val="20"/>
          <w:szCs w:val="20"/>
        </w:rPr>
        <w:t>розірвати</w:t>
      </w:r>
      <w:r w:rsidRPr="000977F7">
        <w:rPr>
          <w:rFonts w:asciiTheme="majorHAnsi" w:hAnsiTheme="majorHAnsi"/>
          <w:spacing w:val="1"/>
          <w:sz w:val="20"/>
          <w:szCs w:val="20"/>
        </w:rPr>
        <w:t xml:space="preserve"> </w:t>
      </w:r>
      <w:r w:rsidRPr="000977F7">
        <w:rPr>
          <w:rFonts w:asciiTheme="majorHAnsi" w:hAnsiTheme="majorHAnsi"/>
          <w:sz w:val="20"/>
          <w:szCs w:val="20"/>
        </w:rPr>
        <w:t>договір</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односторонньому порядку за наявності підстав, визначених законодавством, та за умови негайного повідомлення кожної</w:t>
      </w:r>
      <w:r w:rsidRPr="000977F7">
        <w:rPr>
          <w:rFonts w:asciiTheme="majorHAnsi" w:hAnsiTheme="majorHAnsi"/>
          <w:spacing w:val="-2"/>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сторін про</w:t>
      </w:r>
      <w:r w:rsidRPr="000977F7">
        <w:rPr>
          <w:rFonts w:asciiTheme="majorHAnsi" w:hAnsiTheme="majorHAnsi"/>
          <w:spacing w:val="1"/>
          <w:sz w:val="20"/>
          <w:szCs w:val="20"/>
        </w:rPr>
        <w:t xml:space="preserve"> </w:t>
      </w:r>
      <w:r w:rsidRPr="000977F7">
        <w:rPr>
          <w:rFonts w:asciiTheme="majorHAnsi" w:hAnsiTheme="majorHAnsi"/>
          <w:sz w:val="20"/>
          <w:szCs w:val="20"/>
        </w:rPr>
        <w:t>розірвання</w:t>
      </w:r>
      <w:r w:rsidRPr="000977F7">
        <w:rPr>
          <w:rFonts w:asciiTheme="majorHAnsi" w:hAnsiTheme="majorHAnsi"/>
          <w:spacing w:val="-2"/>
          <w:sz w:val="20"/>
          <w:szCs w:val="20"/>
        </w:rPr>
        <w:t xml:space="preserve"> </w:t>
      </w:r>
      <w:r w:rsidRPr="000977F7">
        <w:rPr>
          <w:rFonts w:asciiTheme="majorHAnsi" w:hAnsiTheme="majorHAnsi"/>
          <w:sz w:val="20"/>
          <w:szCs w:val="20"/>
        </w:rPr>
        <w:t>договору.</w:t>
      </w:r>
    </w:p>
    <w:p w14:paraId="417617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Положення пункту 11 частини третьої цієї статті не</w:t>
      </w:r>
      <w:r w:rsidRPr="000977F7">
        <w:rPr>
          <w:rFonts w:asciiTheme="majorHAnsi" w:hAnsiTheme="majorHAnsi"/>
          <w:spacing w:val="1"/>
          <w:sz w:val="20"/>
          <w:szCs w:val="20"/>
        </w:rPr>
        <w:t xml:space="preserve"> </w:t>
      </w:r>
      <w:r w:rsidRPr="000977F7">
        <w:rPr>
          <w:rFonts w:asciiTheme="majorHAnsi" w:hAnsiTheme="majorHAnsi"/>
          <w:sz w:val="20"/>
          <w:szCs w:val="20"/>
        </w:rPr>
        <w:t>застосовується до договорів, укладених на невизначений строк, за умови встановлення в таких договорах</w:t>
      </w:r>
      <w:r w:rsidRPr="000977F7">
        <w:rPr>
          <w:rFonts w:asciiTheme="majorHAnsi" w:hAnsiTheme="majorHAnsi"/>
          <w:spacing w:val="1"/>
          <w:sz w:val="20"/>
          <w:szCs w:val="20"/>
        </w:rPr>
        <w:t xml:space="preserve"> </w:t>
      </w:r>
      <w:r w:rsidRPr="000977F7">
        <w:rPr>
          <w:rFonts w:asciiTheme="majorHAnsi" w:hAnsiTheme="majorHAnsi"/>
          <w:sz w:val="20"/>
          <w:szCs w:val="20"/>
        </w:rPr>
        <w:t>обов'язковості</w:t>
      </w:r>
      <w:r w:rsidRPr="000977F7">
        <w:rPr>
          <w:rFonts w:asciiTheme="majorHAnsi" w:hAnsiTheme="majorHAnsi"/>
          <w:spacing w:val="1"/>
          <w:sz w:val="20"/>
          <w:szCs w:val="20"/>
        </w:rPr>
        <w:t xml:space="preserve"> </w:t>
      </w:r>
      <w:r w:rsidRPr="000977F7">
        <w:rPr>
          <w:rFonts w:asciiTheme="majorHAnsi" w:hAnsiTheme="majorHAnsi"/>
          <w:sz w:val="20"/>
          <w:szCs w:val="20"/>
        </w:rPr>
        <w:t>повідомлення</w:t>
      </w:r>
      <w:r w:rsidRPr="000977F7">
        <w:rPr>
          <w:rFonts w:asciiTheme="majorHAnsi" w:hAnsiTheme="majorHAnsi"/>
          <w:spacing w:val="1"/>
          <w:sz w:val="20"/>
          <w:szCs w:val="20"/>
        </w:rPr>
        <w:t xml:space="preserve"> </w:t>
      </w:r>
      <w:r w:rsidRPr="000977F7">
        <w:rPr>
          <w:rFonts w:asciiTheme="majorHAnsi" w:hAnsiTheme="majorHAnsi"/>
          <w:sz w:val="20"/>
          <w:szCs w:val="20"/>
        </w:rPr>
        <w:t>заздалегідь</w:t>
      </w:r>
      <w:r w:rsidRPr="000977F7">
        <w:rPr>
          <w:rFonts w:asciiTheme="majorHAnsi" w:hAnsiTheme="majorHAnsi"/>
          <w:spacing w:val="1"/>
          <w:sz w:val="20"/>
          <w:szCs w:val="20"/>
        </w:rPr>
        <w:t xml:space="preserve"> </w:t>
      </w:r>
      <w:r w:rsidRPr="000977F7">
        <w:rPr>
          <w:rFonts w:asciiTheme="majorHAnsi" w:hAnsiTheme="majorHAnsi"/>
          <w:sz w:val="20"/>
          <w:szCs w:val="20"/>
        </w:rPr>
        <w:t>споживача</w:t>
      </w:r>
      <w:r w:rsidRPr="000977F7">
        <w:rPr>
          <w:rFonts w:asciiTheme="majorHAnsi" w:hAnsiTheme="majorHAnsi"/>
          <w:spacing w:val="1"/>
          <w:sz w:val="20"/>
          <w:szCs w:val="20"/>
        </w:rPr>
        <w:t xml:space="preserve"> </w:t>
      </w:r>
      <w:r w:rsidRPr="000977F7">
        <w:rPr>
          <w:rFonts w:asciiTheme="majorHAnsi" w:hAnsiTheme="majorHAnsi"/>
          <w:sz w:val="20"/>
          <w:szCs w:val="20"/>
        </w:rPr>
        <w:t>про намір змінити умови договору і надання йому у</w:t>
      </w:r>
      <w:r w:rsidRPr="000977F7">
        <w:rPr>
          <w:rFonts w:asciiTheme="majorHAnsi" w:hAnsiTheme="majorHAnsi"/>
          <w:spacing w:val="1"/>
          <w:sz w:val="20"/>
          <w:szCs w:val="20"/>
        </w:rPr>
        <w:t xml:space="preserve"> </w:t>
      </w:r>
      <w:r w:rsidRPr="000977F7">
        <w:rPr>
          <w:rFonts w:asciiTheme="majorHAnsi" w:hAnsiTheme="majorHAnsi"/>
          <w:sz w:val="20"/>
          <w:szCs w:val="20"/>
        </w:rPr>
        <w:t>зв'язку</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цим</w:t>
      </w:r>
      <w:r w:rsidRPr="000977F7">
        <w:rPr>
          <w:rFonts w:asciiTheme="majorHAnsi" w:hAnsiTheme="majorHAnsi"/>
          <w:spacing w:val="2"/>
          <w:sz w:val="20"/>
          <w:szCs w:val="20"/>
        </w:rPr>
        <w:t xml:space="preserve"> </w:t>
      </w:r>
      <w:r w:rsidRPr="000977F7">
        <w:rPr>
          <w:rFonts w:asciiTheme="majorHAnsi" w:hAnsiTheme="majorHAnsi"/>
          <w:sz w:val="20"/>
          <w:szCs w:val="20"/>
        </w:rPr>
        <w:t>права</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розірвання</w:t>
      </w:r>
      <w:r w:rsidRPr="000977F7">
        <w:rPr>
          <w:rFonts w:asciiTheme="majorHAnsi" w:hAnsiTheme="majorHAnsi"/>
          <w:spacing w:val="-2"/>
          <w:sz w:val="20"/>
          <w:szCs w:val="20"/>
        </w:rPr>
        <w:t xml:space="preserve"> </w:t>
      </w:r>
      <w:r w:rsidRPr="000977F7">
        <w:rPr>
          <w:rFonts w:asciiTheme="majorHAnsi" w:hAnsiTheme="majorHAnsi"/>
          <w:sz w:val="20"/>
          <w:szCs w:val="20"/>
        </w:rPr>
        <w:t>договору.</w:t>
      </w:r>
    </w:p>
    <w:p w14:paraId="6A5FEAA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Положення пункту 13 частини третьої цієї статті не</w:t>
      </w:r>
      <w:r w:rsidRPr="000977F7">
        <w:rPr>
          <w:rFonts w:asciiTheme="majorHAnsi" w:hAnsiTheme="majorHAnsi"/>
          <w:spacing w:val="1"/>
          <w:sz w:val="20"/>
          <w:szCs w:val="20"/>
        </w:rPr>
        <w:t xml:space="preserve"> </w:t>
      </w:r>
      <w:r w:rsidRPr="000977F7">
        <w:rPr>
          <w:rFonts w:asciiTheme="majorHAnsi" w:hAnsiTheme="majorHAnsi"/>
          <w:sz w:val="20"/>
          <w:szCs w:val="20"/>
        </w:rPr>
        <w:t>застосовується до положень про індексацію ціни, що</w:t>
      </w:r>
      <w:r w:rsidRPr="000977F7">
        <w:rPr>
          <w:rFonts w:asciiTheme="majorHAnsi" w:hAnsiTheme="majorHAnsi"/>
          <w:spacing w:val="1"/>
          <w:sz w:val="20"/>
          <w:szCs w:val="20"/>
        </w:rPr>
        <w:t xml:space="preserve"> </w:t>
      </w:r>
      <w:r w:rsidRPr="000977F7">
        <w:rPr>
          <w:rFonts w:asciiTheme="majorHAnsi" w:hAnsiTheme="majorHAnsi"/>
          <w:sz w:val="20"/>
          <w:szCs w:val="20"/>
        </w:rPr>
        <w:t>відповідають</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законодавству,</w:t>
      </w:r>
      <w:r w:rsidRPr="000977F7">
        <w:rPr>
          <w:rFonts w:asciiTheme="majorHAnsi" w:hAnsiTheme="majorHAnsi"/>
          <w:spacing w:val="1"/>
          <w:sz w:val="20"/>
          <w:szCs w:val="20"/>
        </w:rPr>
        <w:t xml:space="preserve"> </w:t>
      </w:r>
      <w:r w:rsidRPr="000977F7">
        <w:rPr>
          <w:rFonts w:asciiTheme="majorHAnsi" w:hAnsiTheme="majorHAnsi"/>
          <w:sz w:val="20"/>
          <w:szCs w:val="20"/>
        </w:rPr>
        <w:t>якщо</w:t>
      </w:r>
      <w:r w:rsidRPr="000977F7">
        <w:rPr>
          <w:rFonts w:asciiTheme="majorHAnsi" w:hAnsiTheme="majorHAnsi"/>
          <w:spacing w:val="1"/>
          <w:sz w:val="20"/>
          <w:szCs w:val="20"/>
        </w:rPr>
        <w:t xml:space="preserve"> </w:t>
      </w:r>
      <w:r w:rsidRPr="000977F7">
        <w:rPr>
          <w:rFonts w:asciiTheme="majorHAnsi" w:hAnsiTheme="majorHAnsi"/>
          <w:sz w:val="20"/>
          <w:szCs w:val="20"/>
        </w:rPr>
        <w:t>умови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розрахунку ціни чітко і недвозначно визначено у договорі.</w:t>
      </w:r>
    </w:p>
    <w:p w14:paraId="7CBAC03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Положення пунктів 8, 11 та 13 частини третьої цієї</w:t>
      </w:r>
      <w:r w:rsidRPr="000977F7">
        <w:rPr>
          <w:rFonts w:asciiTheme="majorHAnsi" w:hAnsiTheme="majorHAnsi"/>
          <w:spacing w:val="1"/>
          <w:sz w:val="20"/>
          <w:szCs w:val="20"/>
        </w:rPr>
        <w:t xml:space="preserve"> </w:t>
      </w:r>
      <w:r w:rsidRPr="000977F7">
        <w:rPr>
          <w:rFonts w:asciiTheme="majorHAnsi" w:hAnsiTheme="majorHAnsi"/>
          <w:sz w:val="20"/>
          <w:szCs w:val="20"/>
        </w:rPr>
        <w:t>статті</w:t>
      </w:r>
      <w:r w:rsidRPr="000977F7">
        <w:rPr>
          <w:rFonts w:asciiTheme="majorHAnsi" w:hAnsiTheme="majorHAnsi"/>
          <w:spacing w:val="1"/>
          <w:sz w:val="20"/>
          <w:szCs w:val="20"/>
        </w:rPr>
        <w:t xml:space="preserve"> </w:t>
      </w:r>
      <w:r w:rsidRPr="000977F7">
        <w:rPr>
          <w:rFonts w:asciiTheme="majorHAnsi" w:hAnsiTheme="majorHAnsi"/>
          <w:sz w:val="20"/>
          <w:szCs w:val="20"/>
        </w:rPr>
        <w:t>не застосовуються</w:t>
      </w:r>
      <w:r w:rsidRPr="000977F7">
        <w:rPr>
          <w:rFonts w:asciiTheme="majorHAnsi" w:hAnsiTheme="majorHAnsi"/>
          <w:spacing w:val="1"/>
          <w:sz w:val="20"/>
          <w:szCs w:val="20"/>
        </w:rPr>
        <w:t xml:space="preserve"> </w:t>
      </w:r>
      <w:r w:rsidRPr="000977F7">
        <w:rPr>
          <w:rFonts w:asciiTheme="majorHAnsi" w:hAnsiTheme="majorHAnsi"/>
          <w:sz w:val="20"/>
          <w:szCs w:val="20"/>
        </w:rPr>
        <w:t>до:</w:t>
      </w:r>
    </w:p>
    <w:p w14:paraId="236D083A" w14:textId="77777777" w:rsidR="0097612F" w:rsidRPr="000977F7" w:rsidRDefault="0097612F" w:rsidP="00FD39A4">
      <w:pPr>
        <w:pStyle w:val="ac"/>
        <w:widowControl w:val="0"/>
        <w:numPr>
          <w:ilvl w:val="0"/>
          <w:numId w:val="212"/>
        </w:numPr>
        <w:tabs>
          <w:tab w:val="left" w:pos="284"/>
          <w:tab w:val="left" w:pos="58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операцій із цінними паперами, фінансовими послугами та іншими товарами або послугами, ціна яких</w:t>
      </w:r>
      <w:r w:rsidRPr="000977F7">
        <w:rPr>
          <w:rFonts w:asciiTheme="majorHAnsi" w:hAnsiTheme="majorHAnsi"/>
          <w:spacing w:val="1"/>
          <w:sz w:val="20"/>
          <w:szCs w:val="20"/>
        </w:rPr>
        <w:t xml:space="preserve"> </w:t>
      </w:r>
      <w:r w:rsidRPr="000977F7">
        <w:rPr>
          <w:rFonts w:asciiTheme="majorHAnsi" w:hAnsiTheme="majorHAnsi"/>
          <w:sz w:val="20"/>
          <w:szCs w:val="20"/>
        </w:rPr>
        <w:t>залежить від зміни котирування або індексів на біржах</w:t>
      </w:r>
      <w:r w:rsidRPr="000977F7">
        <w:rPr>
          <w:rFonts w:asciiTheme="majorHAnsi" w:hAnsiTheme="majorHAnsi"/>
          <w:spacing w:val="1"/>
          <w:sz w:val="20"/>
          <w:szCs w:val="20"/>
        </w:rPr>
        <w:t xml:space="preserve"> </w:t>
      </w:r>
      <w:r w:rsidRPr="000977F7">
        <w:rPr>
          <w:rFonts w:asciiTheme="majorHAnsi" w:hAnsiTheme="majorHAnsi"/>
          <w:sz w:val="20"/>
          <w:szCs w:val="20"/>
        </w:rPr>
        <w:t>чи ставок на фінансових ринках, які не контролюються</w:t>
      </w:r>
      <w:r w:rsidRPr="000977F7">
        <w:rPr>
          <w:rFonts w:asciiTheme="majorHAnsi" w:hAnsiTheme="majorHAnsi"/>
          <w:spacing w:val="-2"/>
          <w:sz w:val="20"/>
          <w:szCs w:val="20"/>
        </w:rPr>
        <w:t xml:space="preserve"> </w:t>
      </w:r>
      <w:r w:rsidRPr="000977F7">
        <w:rPr>
          <w:rFonts w:asciiTheme="majorHAnsi" w:hAnsiTheme="majorHAnsi"/>
          <w:sz w:val="20"/>
          <w:szCs w:val="20"/>
        </w:rPr>
        <w:t>продавцем;</w:t>
      </w:r>
    </w:p>
    <w:p w14:paraId="28E1517E" w14:textId="77777777" w:rsidR="0097612F" w:rsidRPr="000977F7" w:rsidRDefault="0097612F" w:rsidP="00FD39A4">
      <w:pPr>
        <w:pStyle w:val="ac"/>
        <w:widowControl w:val="0"/>
        <w:numPr>
          <w:ilvl w:val="0"/>
          <w:numId w:val="212"/>
        </w:numPr>
        <w:tabs>
          <w:tab w:val="left" w:pos="284"/>
          <w:tab w:val="left" w:pos="62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договорів про купівлю/продаж іноземної валюти,</w:t>
      </w:r>
      <w:r w:rsidRPr="000977F7">
        <w:rPr>
          <w:rFonts w:asciiTheme="majorHAnsi" w:hAnsiTheme="majorHAnsi"/>
          <w:spacing w:val="1"/>
          <w:sz w:val="20"/>
          <w:szCs w:val="20"/>
        </w:rPr>
        <w:t xml:space="preserve"> </w:t>
      </w:r>
      <w:r w:rsidRPr="000977F7">
        <w:rPr>
          <w:rFonts w:asciiTheme="majorHAnsi" w:hAnsiTheme="majorHAnsi"/>
          <w:sz w:val="20"/>
          <w:szCs w:val="20"/>
        </w:rPr>
        <w:t>дорожніх чеків або про міжнародні грошові перекази,</w:t>
      </w:r>
      <w:r w:rsidRPr="000977F7">
        <w:rPr>
          <w:rFonts w:asciiTheme="majorHAnsi" w:hAnsiTheme="majorHAnsi"/>
          <w:spacing w:val="1"/>
          <w:sz w:val="20"/>
          <w:szCs w:val="20"/>
        </w:rPr>
        <w:t xml:space="preserve"> </w:t>
      </w:r>
      <w:r w:rsidRPr="000977F7">
        <w:rPr>
          <w:rFonts w:asciiTheme="majorHAnsi" w:hAnsiTheme="majorHAnsi"/>
          <w:sz w:val="20"/>
          <w:szCs w:val="20"/>
        </w:rPr>
        <w:t>номіновані</w:t>
      </w:r>
      <w:r w:rsidRPr="000977F7">
        <w:rPr>
          <w:rFonts w:asciiTheme="majorHAnsi" w:hAnsiTheme="majorHAnsi"/>
          <w:spacing w:val="-2"/>
          <w:sz w:val="20"/>
          <w:szCs w:val="20"/>
        </w:rPr>
        <w:t xml:space="preserve"> </w:t>
      </w:r>
      <w:r w:rsidRPr="000977F7">
        <w:rPr>
          <w:rFonts w:asciiTheme="majorHAnsi" w:hAnsiTheme="majorHAnsi"/>
          <w:sz w:val="20"/>
          <w:szCs w:val="20"/>
        </w:rPr>
        <w:t>в іноземній</w:t>
      </w:r>
      <w:r w:rsidRPr="000977F7">
        <w:rPr>
          <w:rFonts w:asciiTheme="majorHAnsi" w:hAnsiTheme="majorHAnsi"/>
          <w:spacing w:val="-1"/>
          <w:sz w:val="20"/>
          <w:szCs w:val="20"/>
        </w:rPr>
        <w:t xml:space="preserve"> </w:t>
      </w:r>
      <w:r w:rsidRPr="000977F7">
        <w:rPr>
          <w:rFonts w:asciiTheme="majorHAnsi" w:hAnsiTheme="majorHAnsi"/>
          <w:sz w:val="20"/>
          <w:szCs w:val="20"/>
        </w:rPr>
        <w:t>валюті.</w:t>
      </w:r>
    </w:p>
    <w:p w14:paraId="67001FFE" w14:textId="77777777" w:rsidR="0097612F" w:rsidRPr="000977F7" w:rsidRDefault="0097612F" w:rsidP="00FD39A4">
      <w:pPr>
        <w:pStyle w:val="ac"/>
        <w:widowControl w:val="0"/>
        <w:numPr>
          <w:ilvl w:val="0"/>
          <w:numId w:val="214"/>
        </w:numPr>
        <w:tabs>
          <w:tab w:val="left" w:pos="284"/>
          <w:tab w:val="left" w:pos="61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Якщо положення договору визнано несправедливим, включаючи ціну договору, таке положення 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2"/>
          <w:sz w:val="20"/>
          <w:szCs w:val="20"/>
        </w:rPr>
        <w:t xml:space="preserve"> </w:t>
      </w:r>
      <w:r w:rsidRPr="000977F7">
        <w:rPr>
          <w:rFonts w:asciiTheme="majorHAnsi" w:hAnsiTheme="majorHAnsi"/>
          <w:sz w:val="20"/>
          <w:szCs w:val="20"/>
        </w:rPr>
        <w:t>змінено або</w:t>
      </w:r>
      <w:r w:rsidRPr="000977F7">
        <w:rPr>
          <w:rFonts w:asciiTheme="majorHAnsi" w:hAnsiTheme="majorHAnsi"/>
          <w:spacing w:val="1"/>
          <w:sz w:val="20"/>
          <w:szCs w:val="20"/>
        </w:rPr>
        <w:t xml:space="preserve"> </w:t>
      </w:r>
      <w:r w:rsidRPr="000977F7">
        <w:rPr>
          <w:rFonts w:asciiTheme="majorHAnsi" w:hAnsiTheme="majorHAnsi"/>
          <w:sz w:val="20"/>
          <w:szCs w:val="20"/>
        </w:rPr>
        <w:t>визнано недійсним.</w:t>
      </w:r>
    </w:p>
    <w:p w14:paraId="0AD84F95" w14:textId="77777777" w:rsidR="0097612F" w:rsidRPr="000977F7" w:rsidRDefault="0097612F" w:rsidP="00FD39A4">
      <w:pPr>
        <w:pStyle w:val="ac"/>
        <w:widowControl w:val="0"/>
        <w:numPr>
          <w:ilvl w:val="0"/>
          <w:numId w:val="214"/>
        </w:numPr>
        <w:tabs>
          <w:tab w:val="left" w:pos="284"/>
          <w:tab w:val="left" w:pos="61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 разі, коли зміна положення або визнання його</w:t>
      </w:r>
      <w:r w:rsidRPr="000977F7">
        <w:rPr>
          <w:rFonts w:asciiTheme="majorHAnsi" w:hAnsiTheme="majorHAnsi"/>
          <w:spacing w:val="1"/>
          <w:sz w:val="20"/>
          <w:szCs w:val="20"/>
        </w:rPr>
        <w:t xml:space="preserve"> </w:t>
      </w:r>
      <w:r w:rsidRPr="000977F7">
        <w:rPr>
          <w:rFonts w:asciiTheme="majorHAnsi" w:hAnsiTheme="majorHAnsi"/>
          <w:sz w:val="20"/>
          <w:szCs w:val="20"/>
        </w:rPr>
        <w:t>недійсним зумовлює зміну інших положень договору,</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вимогу</w:t>
      </w:r>
      <w:r w:rsidRPr="000977F7">
        <w:rPr>
          <w:rFonts w:asciiTheme="majorHAnsi" w:hAnsiTheme="majorHAnsi"/>
          <w:spacing w:val="-4"/>
          <w:sz w:val="20"/>
          <w:szCs w:val="20"/>
        </w:rPr>
        <w:t xml:space="preserve"> </w:t>
      </w:r>
      <w:r w:rsidRPr="000977F7">
        <w:rPr>
          <w:rFonts w:asciiTheme="majorHAnsi" w:hAnsiTheme="majorHAnsi"/>
          <w:sz w:val="20"/>
          <w:szCs w:val="20"/>
        </w:rPr>
        <w:t>споживача:</w:t>
      </w:r>
    </w:p>
    <w:p w14:paraId="2771C7B8" w14:textId="77777777" w:rsidR="0097612F" w:rsidRPr="000977F7" w:rsidRDefault="0097612F" w:rsidP="00FD39A4">
      <w:pPr>
        <w:pStyle w:val="ac"/>
        <w:widowControl w:val="0"/>
        <w:numPr>
          <w:ilvl w:val="0"/>
          <w:numId w:val="211"/>
        </w:numPr>
        <w:tabs>
          <w:tab w:val="left" w:pos="284"/>
          <w:tab w:val="left" w:pos="58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такі</w:t>
      </w:r>
      <w:r w:rsidRPr="000977F7">
        <w:rPr>
          <w:rFonts w:asciiTheme="majorHAnsi" w:hAnsiTheme="majorHAnsi"/>
          <w:spacing w:val="-4"/>
          <w:sz w:val="20"/>
          <w:szCs w:val="20"/>
        </w:rPr>
        <w:t xml:space="preserve"> </w:t>
      </w:r>
      <w:r w:rsidRPr="000977F7">
        <w:rPr>
          <w:rFonts w:asciiTheme="majorHAnsi" w:hAnsiTheme="majorHAnsi"/>
          <w:sz w:val="20"/>
          <w:szCs w:val="20"/>
        </w:rPr>
        <w:t>положення</w:t>
      </w:r>
      <w:r w:rsidRPr="000977F7">
        <w:rPr>
          <w:rFonts w:asciiTheme="majorHAnsi" w:hAnsiTheme="majorHAnsi"/>
          <w:spacing w:val="-4"/>
          <w:sz w:val="20"/>
          <w:szCs w:val="20"/>
        </w:rPr>
        <w:t xml:space="preserve"> </w:t>
      </w:r>
      <w:r w:rsidRPr="000977F7">
        <w:rPr>
          <w:rFonts w:asciiTheme="majorHAnsi" w:hAnsiTheme="majorHAnsi"/>
          <w:sz w:val="20"/>
          <w:szCs w:val="20"/>
        </w:rPr>
        <w:t>також</w:t>
      </w:r>
      <w:r w:rsidRPr="000977F7">
        <w:rPr>
          <w:rFonts w:asciiTheme="majorHAnsi" w:hAnsiTheme="majorHAnsi"/>
          <w:spacing w:val="-3"/>
          <w:sz w:val="20"/>
          <w:szCs w:val="20"/>
        </w:rPr>
        <w:t xml:space="preserve"> </w:t>
      </w:r>
      <w:r w:rsidRPr="000977F7">
        <w:rPr>
          <w:rFonts w:asciiTheme="majorHAnsi" w:hAnsiTheme="majorHAnsi"/>
          <w:sz w:val="20"/>
          <w:szCs w:val="20"/>
        </w:rPr>
        <w:t>підлягають</w:t>
      </w:r>
      <w:r w:rsidRPr="000977F7">
        <w:rPr>
          <w:rFonts w:asciiTheme="majorHAnsi" w:hAnsiTheme="majorHAnsi"/>
          <w:spacing w:val="-4"/>
          <w:sz w:val="20"/>
          <w:szCs w:val="20"/>
        </w:rPr>
        <w:t xml:space="preserve"> </w:t>
      </w:r>
      <w:r w:rsidRPr="000977F7">
        <w:rPr>
          <w:rFonts w:asciiTheme="majorHAnsi" w:hAnsiTheme="majorHAnsi"/>
          <w:sz w:val="20"/>
          <w:szCs w:val="20"/>
        </w:rPr>
        <w:t>зміні;</w:t>
      </w:r>
      <w:r w:rsidRPr="000977F7">
        <w:rPr>
          <w:rFonts w:asciiTheme="majorHAnsi" w:hAnsiTheme="majorHAnsi"/>
          <w:spacing w:val="-3"/>
          <w:sz w:val="20"/>
          <w:szCs w:val="20"/>
        </w:rPr>
        <w:t xml:space="preserve"> </w:t>
      </w:r>
      <w:r w:rsidRPr="000977F7">
        <w:rPr>
          <w:rFonts w:asciiTheme="majorHAnsi" w:hAnsiTheme="majorHAnsi"/>
          <w:sz w:val="20"/>
          <w:szCs w:val="20"/>
        </w:rPr>
        <w:t>або</w:t>
      </w:r>
    </w:p>
    <w:p w14:paraId="5307A759" w14:textId="77777777" w:rsidR="0097612F" w:rsidRPr="000977F7" w:rsidRDefault="0097612F" w:rsidP="00FD39A4">
      <w:pPr>
        <w:pStyle w:val="ac"/>
        <w:widowControl w:val="0"/>
        <w:numPr>
          <w:ilvl w:val="0"/>
          <w:numId w:val="211"/>
        </w:numPr>
        <w:tabs>
          <w:tab w:val="left" w:pos="284"/>
          <w:tab w:val="left" w:pos="58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договір</w:t>
      </w:r>
      <w:r w:rsidRPr="000977F7">
        <w:rPr>
          <w:rFonts w:asciiTheme="majorHAnsi" w:hAnsiTheme="majorHAnsi"/>
          <w:spacing w:val="-3"/>
          <w:sz w:val="20"/>
          <w:szCs w:val="20"/>
        </w:rPr>
        <w:t xml:space="preserve"> </w:t>
      </w:r>
      <w:r w:rsidRPr="000977F7">
        <w:rPr>
          <w:rFonts w:asciiTheme="majorHAnsi" w:hAnsiTheme="majorHAnsi"/>
          <w:sz w:val="20"/>
          <w:szCs w:val="20"/>
        </w:rPr>
        <w:t>може</w:t>
      </w:r>
      <w:r w:rsidRPr="000977F7">
        <w:rPr>
          <w:rFonts w:asciiTheme="majorHAnsi" w:hAnsiTheme="majorHAnsi"/>
          <w:spacing w:val="-4"/>
          <w:sz w:val="20"/>
          <w:szCs w:val="20"/>
        </w:rPr>
        <w:t xml:space="preserve"> </w:t>
      </w:r>
      <w:r w:rsidRPr="000977F7">
        <w:rPr>
          <w:rFonts w:asciiTheme="majorHAnsi" w:hAnsiTheme="majorHAnsi"/>
          <w:sz w:val="20"/>
          <w:szCs w:val="20"/>
        </w:rPr>
        <w:t>бути</w:t>
      </w:r>
      <w:r w:rsidRPr="000977F7">
        <w:rPr>
          <w:rFonts w:asciiTheme="majorHAnsi" w:hAnsiTheme="majorHAnsi"/>
          <w:spacing w:val="-5"/>
          <w:sz w:val="20"/>
          <w:szCs w:val="20"/>
        </w:rPr>
        <w:t xml:space="preserve"> </w:t>
      </w:r>
      <w:r w:rsidRPr="000977F7">
        <w:rPr>
          <w:rFonts w:asciiTheme="majorHAnsi" w:hAnsiTheme="majorHAnsi"/>
          <w:sz w:val="20"/>
          <w:szCs w:val="20"/>
        </w:rPr>
        <w:t>визнаним</w:t>
      </w:r>
      <w:r w:rsidRPr="000977F7">
        <w:rPr>
          <w:rFonts w:asciiTheme="majorHAnsi" w:hAnsiTheme="majorHAnsi"/>
          <w:spacing w:val="-3"/>
          <w:sz w:val="20"/>
          <w:szCs w:val="20"/>
        </w:rPr>
        <w:t xml:space="preserve"> </w:t>
      </w:r>
      <w:r w:rsidRPr="000977F7">
        <w:rPr>
          <w:rFonts w:asciiTheme="majorHAnsi" w:hAnsiTheme="majorHAnsi"/>
          <w:sz w:val="20"/>
          <w:szCs w:val="20"/>
        </w:rPr>
        <w:t>недійсним</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8"/>
          <w:sz w:val="20"/>
          <w:szCs w:val="20"/>
        </w:rPr>
        <w:t xml:space="preserve"> </w:t>
      </w:r>
      <w:r w:rsidRPr="000977F7">
        <w:rPr>
          <w:rFonts w:asciiTheme="majorHAnsi" w:hAnsiTheme="majorHAnsi"/>
          <w:sz w:val="20"/>
          <w:szCs w:val="20"/>
        </w:rPr>
        <w:t>цілому.</w:t>
      </w:r>
    </w:p>
    <w:p w14:paraId="67ABE270" w14:textId="77777777" w:rsidR="0097612F" w:rsidRPr="000977F7" w:rsidRDefault="0097612F" w:rsidP="00FD39A4">
      <w:pPr>
        <w:pStyle w:val="ac"/>
        <w:widowControl w:val="0"/>
        <w:numPr>
          <w:ilvl w:val="0"/>
          <w:numId w:val="214"/>
        </w:numPr>
        <w:tabs>
          <w:tab w:val="left" w:pos="284"/>
          <w:tab w:val="left" w:pos="5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Положення, що було визнане недійсним, вважається таким з моменту укладення договору. Якщо до положення вносяться зміни, такі зміни вважаються чинними</w:t>
      </w:r>
      <w:r w:rsidRPr="000977F7">
        <w:rPr>
          <w:rFonts w:asciiTheme="majorHAnsi" w:hAnsiTheme="majorHAnsi"/>
          <w:spacing w:val="-2"/>
          <w:sz w:val="20"/>
          <w:szCs w:val="20"/>
        </w:rPr>
        <w:t xml:space="preserve"> </w:t>
      </w:r>
      <w:r w:rsidRPr="000977F7">
        <w:rPr>
          <w:rFonts w:asciiTheme="majorHAnsi" w:hAnsiTheme="majorHAnsi"/>
          <w:sz w:val="20"/>
          <w:szCs w:val="20"/>
        </w:rPr>
        <w:t>з моменту</w:t>
      </w:r>
      <w:r w:rsidRPr="000977F7">
        <w:rPr>
          <w:rFonts w:asciiTheme="majorHAnsi" w:hAnsiTheme="majorHAnsi"/>
          <w:spacing w:val="-4"/>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внесення.</w:t>
      </w:r>
    </w:p>
    <w:p w14:paraId="481ACC1D" w14:textId="77777777" w:rsidR="0097612F" w:rsidRPr="000977F7" w:rsidRDefault="0097612F" w:rsidP="00FD39A4">
      <w:pPr>
        <w:pStyle w:val="ac"/>
        <w:widowControl w:val="0"/>
        <w:numPr>
          <w:ilvl w:val="0"/>
          <w:numId w:val="214"/>
        </w:numPr>
        <w:tabs>
          <w:tab w:val="left" w:pos="284"/>
          <w:tab w:val="left" w:pos="58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Нечіткі або двозначні положення договорів із споживачами</w:t>
      </w:r>
      <w:r w:rsidRPr="000977F7">
        <w:rPr>
          <w:rFonts w:asciiTheme="majorHAnsi" w:hAnsiTheme="majorHAnsi"/>
          <w:spacing w:val="-2"/>
          <w:sz w:val="20"/>
          <w:szCs w:val="20"/>
        </w:rPr>
        <w:t xml:space="preserve"> </w:t>
      </w:r>
      <w:r w:rsidRPr="000977F7">
        <w:rPr>
          <w:rFonts w:asciiTheme="majorHAnsi" w:hAnsiTheme="majorHAnsi"/>
          <w:sz w:val="20"/>
          <w:szCs w:val="20"/>
        </w:rPr>
        <w:t>тлумачаться</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користь</w:t>
      </w:r>
      <w:r w:rsidRPr="000977F7">
        <w:rPr>
          <w:rFonts w:asciiTheme="majorHAnsi" w:hAnsiTheme="majorHAnsi"/>
          <w:spacing w:val="-1"/>
          <w:sz w:val="20"/>
          <w:szCs w:val="20"/>
        </w:rPr>
        <w:t xml:space="preserve"> </w:t>
      </w:r>
      <w:r w:rsidRPr="000977F7">
        <w:rPr>
          <w:rFonts w:asciiTheme="majorHAnsi" w:hAnsiTheme="majorHAnsi"/>
          <w:sz w:val="20"/>
          <w:szCs w:val="20"/>
        </w:rPr>
        <w:t>споживача.</w:t>
      </w:r>
    </w:p>
    <w:p w14:paraId="47153DD1" w14:textId="77777777" w:rsidR="0097612F" w:rsidRPr="000977F7" w:rsidRDefault="0097612F" w:rsidP="00FD39A4">
      <w:pPr>
        <w:pStyle w:val="ac"/>
        <w:widowControl w:val="0"/>
        <w:numPr>
          <w:ilvl w:val="0"/>
          <w:numId w:val="214"/>
        </w:numPr>
        <w:tabs>
          <w:tab w:val="left" w:pos="284"/>
          <w:tab w:val="left" w:pos="5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Якщо в результаті застосування умов договору, що</w:t>
      </w:r>
      <w:r w:rsidRPr="000977F7">
        <w:rPr>
          <w:rFonts w:asciiTheme="majorHAnsi" w:hAnsiTheme="majorHAnsi"/>
          <w:spacing w:val="-47"/>
          <w:sz w:val="20"/>
          <w:szCs w:val="20"/>
        </w:rPr>
        <w:t xml:space="preserve"> </w:t>
      </w:r>
      <w:r w:rsidRPr="000977F7">
        <w:rPr>
          <w:rFonts w:asciiTheme="majorHAnsi" w:hAnsiTheme="majorHAnsi"/>
          <w:sz w:val="20"/>
          <w:szCs w:val="20"/>
        </w:rPr>
        <w:t>обмежують</w:t>
      </w:r>
      <w:r w:rsidRPr="000977F7">
        <w:rPr>
          <w:rFonts w:asciiTheme="majorHAnsi" w:hAnsiTheme="majorHAnsi"/>
          <w:spacing w:val="29"/>
          <w:sz w:val="20"/>
          <w:szCs w:val="20"/>
        </w:rPr>
        <w:t xml:space="preserve"> </w:t>
      </w:r>
      <w:r w:rsidRPr="000977F7">
        <w:rPr>
          <w:rFonts w:asciiTheme="majorHAnsi" w:hAnsiTheme="majorHAnsi"/>
          <w:sz w:val="20"/>
          <w:szCs w:val="20"/>
        </w:rPr>
        <w:t>права</w:t>
      </w:r>
      <w:r w:rsidRPr="000977F7">
        <w:rPr>
          <w:rFonts w:asciiTheme="majorHAnsi" w:hAnsiTheme="majorHAnsi"/>
          <w:spacing w:val="27"/>
          <w:sz w:val="20"/>
          <w:szCs w:val="20"/>
        </w:rPr>
        <w:t xml:space="preserve"> </w:t>
      </w:r>
      <w:r w:rsidRPr="000977F7">
        <w:rPr>
          <w:rFonts w:asciiTheme="majorHAnsi" w:hAnsiTheme="majorHAnsi"/>
          <w:sz w:val="20"/>
          <w:szCs w:val="20"/>
        </w:rPr>
        <w:t>споживача,</w:t>
      </w:r>
      <w:r w:rsidRPr="000977F7">
        <w:rPr>
          <w:rFonts w:asciiTheme="majorHAnsi" w:hAnsiTheme="majorHAnsi"/>
          <w:spacing w:val="27"/>
          <w:sz w:val="20"/>
          <w:szCs w:val="20"/>
        </w:rPr>
        <w:t xml:space="preserve"> </w:t>
      </w:r>
      <w:r w:rsidRPr="000977F7">
        <w:rPr>
          <w:rFonts w:asciiTheme="majorHAnsi" w:hAnsiTheme="majorHAnsi"/>
          <w:sz w:val="20"/>
          <w:szCs w:val="20"/>
        </w:rPr>
        <w:t>споживачеві</w:t>
      </w:r>
      <w:r w:rsidRPr="000977F7">
        <w:rPr>
          <w:rFonts w:asciiTheme="majorHAnsi" w:hAnsiTheme="majorHAnsi"/>
          <w:spacing w:val="28"/>
          <w:sz w:val="20"/>
          <w:szCs w:val="20"/>
        </w:rPr>
        <w:t xml:space="preserve"> </w:t>
      </w:r>
      <w:r w:rsidRPr="000977F7">
        <w:rPr>
          <w:rFonts w:asciiTheme="majorHAnsi" w:hAnsiTheme="majorHAnsi"/>
          <w:sz w:val="20"/>
          <w:szCs w:val="20"/>
        </w:rPr>
        <w:t>завдано збитків, вони повинні відшкодовуватися винною особою</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повному</w:t>
      </w:r>
      <w:r w:rsidRPr="000977F7">
        <w:rPr>
          <w:rFonts w:asciiTheme="majorHAnsi" w:hAnsiTheme="majorHAnsi"/>
          <w:spacing w:val="-4"/>
          <w:sz w:val="20"/>
          <w:szCs w:val="20"/>
        </w:rPr>
        <w:t xml:space="preserve"> </w:t>
      </w:r>
      <w:r w:rsidRPr="000977F7">
        <w:rPr>
          <w:rFonts w:asciiTheme="majorHAnsi" w:hAnsiTheme="majorHAnsi"/>
          <w:sz w:val="20"/>
          <w:szCs w:val="20"/>
        </w:rPr>
        <w:t>обсязі.</w:t>
      </w:r>
    </w:p>
    <w:p w14:paraId="14F147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Споживач має право на відшкодування збитків, завданих йому виробником (виконавцем, продавцем), у</w:t>
      </w:r>
      <w:r w:rsidRPr="000977F7">
        <w:rPr>
          <w:rFonts w:asciiTheme="majorHAnsi" w:hAnsiTheme="majorHAnsi"/>
          <w:spacing w:val="1"/>
          <w:sz w:val="20"/>
          <w:szCs w:val="20"/>
        </w:rPr>
        <w:t xml:space="preserve"> </w:t>
      </w:r>
      <w:r w:rsidRPr="000977F7">
        <w:rPr>
          <w:rFonts w:asciiTheme="majorHAnsi" w:hAnsiTheme="majorHAnsi"/>
          <w:sz w:val="20"/>
          <w:szCs w:val="20"/>
        </w:rPr>
        <w:t>зв'язку з використанням останнім переваг свого становища</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3"/>
          <w:sz w:val="20"/>
          <w:szCs w:val="20"/>
        </w:rPr>
        <w:t xml:space="preserve"> </w:t>
      </w:r>
      <w:r w:rsidRPr="000977F7">
        <w:rPr>
          <w:rFonts w:asciiTheme="majorHAnsi" w:hAnsiTheme="majorHAnsi"/>
          <w:sz w:val="20"/>
          <w:szCs w:val="20"/>
        </w:rPr>
        <w:t>виробничій</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3"/>
          <w:sz w:val="20"/>
          <w:szCs w:val="20"/>
        </w:rPr>
        <w:t xml:space="preserve"> </w:t>
      </w:r>
      <w:r w:rsidRPr="000977F7">
        <w:rPr>
          <w:rFonts w:asciiTheme="majorHAnsi" w:hAnsiTheme="majorHAnsi"/>
          <w:sz w:val="20"/>
          <w:szCs w:val="20"/>
        </w:rPr>
        <w:t>торговельній</w:t>
      </w:r>
      <w:r w:rsidRPr="000977F7">
        <w:rPr>
          <w:rFonts w:asciiTheme="majorHAnsi" w:hAnsiTheme="majorHAnsi"/>
          <w:spacing w:val="-2"/>
          <w:sz w:val="20"/>
          <w:szCs w:val="20"/>
        </w:rPr>
        <w:t xml:space="preserve"> </w:t>
      </w:r>
      <w:r w:rsidRPr="000977F7">
        <w:rPr>
          <w:rFonts w:asciiTheme="majorHAnsi" w:hAnsiTheme="majorHAnsi"/>
          <w:sz w:val="20"/>
          <w:szCs w:val="20"/>
        </w:rPr>
        <w:t>діяльності.</w:t>
      </w:r>
    </w:p>
    <w:p w14:paraId="07428C6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18 закону України "Про захист прав споживачів"</w:t>
      </w:r>
    </w:p>
    <w:p w14:paraId="1F1186A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ВИЗНАЧАЛЬНИЙ</w:t>
      </w:r>
      <w:r w:rsidRPr="000977F7">
        <w:rPr>
          <w:color w:val="auto"/>
          <w:spacing w:val="-4"/>
          <w:sz w:val="20"/>
          <w:szCs w:val="20"/>
        </w:rPr>
        <w:t xml:space="preserve"> </w:t>
      </w:r>
      <w:r w:rsidRPr="000977F7">
        <w:rPr>
          <w:color w:val="auto"/>
          <w:sz w:val="20"/>
          <w:szCs w:val="20"/>
        </w:rPr>
        <w:t>ПАРАМЕТР</w:t>
      </w:r>
      <w:r w:rsidRPr="000977F7">
        <w:rPr>
          <w:color w:val="auto"/>
          <w:spacing w:val="-2"/>
          <w:sz w:val="20"/>
          <w:szCs w:val="20"/>
        </w:rPr>
        <w:t xml:space="preserve"> </w:t>
      </w:r>
      <w:r w:rsidRPr="000977F7">
        <w:rPr>
          <w:color w:val="auto"/>
          <w:sz w:val="20"/>
          <w:szCs w:val="20"/>
        </w:rPr>
        <w:t>–</w:t>
      </w:r>
    </w:p>
    <w:p w14:paraId="7E67FE85"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Параметр виробу, який використовується при контролі для визначення виду технічного стану цього виробу</w:t>
      </w:r>
      <w:r w:rsidRPr="000977F7">
        <w:rPr>
          <w:rFonts w:asciiTheme="majorHAnsi" w:hAnsiTheme="majorHAnsi"/>
          <w:spacing w:val="-47"/>
          <w:sz w:val="20"/>
          <w:szCs w:val="20"/>
        </w:rPr>
        <w:t xml:space="preserve"> </w:t>
      </w:r>
    </w:p>
    <w:p w14:paraId="769C418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ВИЗНАЧАЛЬНИЙ ПОКАЗНИК ЯКОСТІ </w:t>
      </w:r>
    </w:p>
    <w:p w14:paraId="638BCD8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0559D3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Показник якості продукції, за яким приймаються рішення</w:t>
      </w:r>
      <w:r w:rsidRPr="000977F7">
        <w:rPr>
          <w:rFonts w:asciiTheme="majorHAnsi" w:hAnsiTheme="majorHAnsi"/>
          <w:spacing w:val="-2"/>
          <w:sz w:val="20"/>
          <w:szCs w:val="20"/>
        </w:rPr>
        <w:t xml:space="preserve"> </w:t>
      </w:r>
      <w:r w:rsidRPr="000977F7">
        <w:rPr>
          <w:rFonts w:asciiTheme="majorHAnsi" w:hAnsiTheme="majorHAnsi"/>
          <w:sz w:val="20"/>
          <w:szCs w:val="20"/>
        </w:rPr>
        <w:t>щодо оцінювання</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p>
    <w:p w14:paraId="6208F73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ВИЗНАЧАЛЬНІ</w:t>
      </w:r>
      <w:r w:rsidRPr="000977F7">
        <w:rPr>
          <w:color w:val="auto"/>
          <w:spacing w:val="-7"/>
          <w:sz w:val="20"/>
          <w:szCs w:val="20"/>
        </w:rPr>
        <w:t xml:space="preserve"> </w:t>
      </w:r>
      <w:r w:rsidRPr="000977F7">
        <w:rPr>
          <w:color w:val="auto"/>
          <w:sz w:val="20"/>
          <w:szCs w:val="20"/>
        </w:rPr>
        <w:t>ВИПРОБУВАННЯ -</w:t>
      </w:r>
    </w:p>
    <w:p w14:paraId="0D01CE9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DETERMINATIVE</w:t>
      </w:r>
      <w:r w:rsidRPr="000977F7">
        <w:rPr>
          <w:rFonts w:asciiTheme="majorHAnsi" w:hAnsiTheme="majorHAnsi"/>
          <w:spacing w:val="-4"/>
          <w:sz w:val="20"/>
          <w:szCs w:val="20"/>
        </w:rPr>
        <w:t xml:space="preserve"> </w:t>
      </w:r>
      <w:r w:rsidRPr="000977F7">
        <w:rPr>
          <w:rFonts w:asciiTheme="majorHAnsi" w:hAnsiTheme="majorHAnsi"/>
          <w:sz w:val="20"/>
          <w:szCs w:val="20"/>
        </w:rPr>
        <w:t>TEST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195EE1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які проводяться для визначення значень</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заданими</w:t>
      </w:r>
      <w:r w:rsidRPr="000977F7">
        <w:rPr>
          <w:rFonts w:asciiTheme="majorHAnsi" w:hAnsiTheme="majorHAnsi"/>
          <w:spacing w:val="1"/>
          <w:sz w:val="20"/>
          <w:szCs w:val="20"/>
        </w:rPr>
        <w:t xml:space="preserve"> </w:t>
      </w:r>
      <w:r w:rsidRPr="000977F7">
        <w:rPr>
          <w:rFonts w:asciiTheme="majorHAnsi" w:hAnsiTheme="majorHAnsi"/>
          <w:sz w:val="20"/>
          <w:szCs w:val="20"/>
        </w:rPr>
        <w:t>значеннями</w:t>
      </w:r>
      <w:r w:rsidRPr="000977F7">
        <w:rPr>
          <w:rFonts w:asciiTheme="majorHAnsi" w:hAnsiTheme="majorHAnsi"/>
          <w:spacing w:val="-47"/>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2"/>
          <w:sz w:val="20"/>
          <w:szCs w:val="20"/>
        </w:rPr>
        <w:t xml:space="preserve"> </w:t>
      </w:r>
      <w:r w:rsidRPr="000977F7">
        <w:rPr>
          <w:rFonts w:asciiTheme="majorHAnsi" w:hAnsiTheme="majorHAnsi"/>
          <w:sz w:val="20"/>
          <w:szCs w:val="20"/>
        </w:rPr>
        <w:t>точності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(чи) імовірності</w:t>
      </w:r>
    </w:p>
    <w:p w14:paraId="67FAEE6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2098130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ВИЗНАЧАЛЬНІ ВИПРОБУВАННЯ НА </w:t>
      </w:r>
    </w:p>
    <w:p w14:paraId="051DA1F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НАДІЙ</w:t>
      </w:r>
      <w:r w:rsidRPr="000977F7">
        <w:rPr>
          <w:color w:val="auto"/>
          <w:spacing w:val="-47"/>
          <w:sz w:val="20"/>
          <w:szCs w:val="20"/>
        </w:rPr>
        <w:t xml:space="preserve"> </w:t>
      </w:r>
      <w:r w:rsidRPr="000977F7">
        <w:rPr>
          <w:color w:val="auto"/>
          <w:sz w:val="20"/>
          <w:szCs w:val="20"/>
        </w:rPr>
        <w:t>НІСТЬ</w:t>
      </w:r>
      <w:r w:rsidRPr="000977F7">
        <w:rPr>
          <w:color w:val="auto"/>
          <w:spacing w:val="-1"/>
          <w:sz w:val="20"/>
          <w:szCs w:val="20"/>
        </w:rPr>
        <w:t xml:space="preserve"> </w:t>
      </w:r>
      <w:r w:rsidRPr="000977F7">
        <w:rPr>
          <w:color w:val="auto"/>
          <w:sz w:val="20"/>
          <w:szCs w:val="20"/>
        </w:rPr>
        <w:t>–</w:t>
      </w:r>
    </w:p>
    <w:p w14:paraId="5CDB7F0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RELIABILITY</w:t>
      </w:r>
      <w:r w:rsidRPr="000977F7">
        <w:rPr>
          <w:rFonts w:asciiTheme="majorHAnsi" w:hAnsiTheme="majorHAnsi"/>
          <w:spacing w:val="-3"/>
          <w:sz w:val="20"/>
          <w:szCs w:val="20"/>
        </w:rPr>
        <w:t xml:space="preserve"> </w:t>
      </w:r>
      <w:r w:rsidRPr="000977F7">
        <w:rPr>
          <w:rFonts w:asciiTheme="majorHAnsi" w:hAnsiTheme="majorHAnsi"/>
          <w:sz w:val="20"/>
          <w:szCs w:val="20"/>
        </w:rPr>
        <w:t>DETERMINATION</w:t>
      </w:r>
      <w:r w:rsidRPr="000977F7">
        <w:rPr>
          <w:rFonts w:asciiTheme="majorHAnsi" w:hAnsiTheme="majorHAnsi"/>
          <w:spacing w:val="-3"/>
          <w:sz w:val="20"/>
          <w:szCs w:val="20"/>
        </w:rPr>
        <w:t xml:space="preserve"> </w:t>
      </w:r>
      <w:r w:rsidRPr="000977F7">
        <w:rPr>
          <w:rFonts w:asciiTheme="majorHAnsi" w:hAnsiTheme="majorHAnsi"/>
          <w:sz w:val="20"/>
          <w:szCs w:val="20"/>
        </w:rPr>
        <w:t>TEST</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6BA645B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Експеримент,</w:t>
      </w:r>
      <w:r w:rsidRPr="000977F7">
        <w:rPr>
          <w:rFonts w:asciiTheme="majorHAnsi" w:hAnsiTheme="majorHAnsi"/>
          <w:spacing w:val="13"/>
          <w:sz w:val="20"/>
          <w:szCs w:val="20"/>
        </w:rPr>
        <w:t xml:space="preserve"> </w:t>
      </w:r>
      <w:r w:rsidRPr="000977F7">
        <w:rPr>
          <w:rFonts w:asciiTheme="majorHAnsi" w:hAnsiTheme="majorHAnsi"/>
          <w:sz w:val="20"/>
          <w:szCs w:val="20"/>
        </w:rPr>
        <w:t>що</w:t>
      </w:r>
      <w:r w:rsidRPr="000977F7">
        <w:rPr>
          <w:rFonts w:asciiTheme="majorHAnsi" w:hAnsiTheme="majorHAnsi"/>
          <w:spacing w:val="15"/>
          <w:sz w:val="20"/>
          <w:szCs w:val="20"/>
        </w:rPr>
        <w:t xml:space="preserve"> </w:t>
      </w:r>
      <w:r w:rsidRPr="000977F7">
        <w:rPr>
          <w:rFonts w:asciiTheme="majorHAnsi" w:hAnsiTheme="majorHAnsi"/>
          <w:sz w:val="20"/>
          <w:szCs w:val="20"/>
        </w:rPr>
        <w:t>проводиться</w:t>
      </w:r>
      <w:r w:rsidRPr="000977F7">
        <w:rPr>
          <w:rFonts w:asciiTheme="majorHAnsi" w:hAnsiTheme="majorHAnsi"/>
          <w:spacing w:val="12"/>
          <w:sz w:val="20"/>
          <w:szCs w:val="20"/>
        </w:rPr>
        <w:t xml:space="preserve"> </w:t>
      </w:r>
      <w:r w:rsidRPr="000977F7">
        <w:rPr>
          <w:rFonts w:asciiTheme="majorHAnsi" w:hAnsiTheme="majorHAnsi"/>
          <w:sz w:val="20"/>
          <w:szCs w:val="20"/>
        </w:rPr>
        <w:t>для</w:t>
      </w:r>
      <w:r w:rsidRPr="000977F7">
        <w:rPr>
          <w:rFonts w:asciiTheme="majorHAnsi" w:hAnsiTheme="majorHAnsi"/>
          <w:spacing w:val="14"/>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12"/>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показника надійності</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p>
    <w:p w14:paraId="64CDE44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9BAA3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Допускається</w:t>
      </w:r>
      <w:r w:rsidRPr="000977F7">
        <w:rPr>
          <w:rFonts w:asciiTheme="majorHAnsi" w:hAnsiTheme="majorHAnsi"/>
          <w:spacing w:val="10"/>
          <w:sz w:val="20"/>
          <w:szCs w:val="20"/>
        </w:rPr>
        <w:t xml:space="preserve"> </w:t>
      </w:r>
      <w:r w:rsidRPr="000977F7">
        <w:rPr>
          <w:rFonts w:asciiTheme="majorHAnsi" w:hAnsiTheme="majorHAnsi"/>
          <w:sz w:val="20"/>
          <w:szCs w:val="20"/>
        </w:rPr>
        <w:t>також</w:t>
      </w:r>
      <w:r w:rsidRPr="000977F7">
        <w:rPr>
          <w:rFonts w:asciiTheme="majorHAnsi" w:hAnsiTheme="majorHAnsi"/>
          <w:spacing w:val="10"/>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9"/>
          <w:sz w:val="20"/>
          <w:szCs w:val="20"/>
        </w:rPr>
        <w:t xml:space="preserve"> </w:t>
      </w:r>
      <w:r w:rsidRPr="000977F7">
        <w:rPr>
          <w:rFonts w:asciiTheme="majorHAnsi" w:hAnsiTheme="majorHAnsi"/>
          <w:sz w:val="20"/>
          <w:szCs w:val="20"/>
        </w:rPr>
        <w:t>показника</w:t>
      </w:r>
      <w:r w:rsidRPr="000977F7">
        <w:rPr>
          <w:rFonts w:asciiTheme="majorHAnsi" w:hAnsiTheme="majorHAnsi"/>
          <w:spacing w:val="12"/>
          <w:sz w:val="20"/>
          <w:szCs w:val="20"/>
        </w:rPr>
        <w:t xml:space="preserve"> </w:t>
      </w:r>
      <w:r w:rsidRPr="000977F7">
        <w:rPr>
          <w:rFonts w:asciiTheme="majorHAnsi" w:hAnsiTheme="majorHAnsi"/>
          <w:sz w:val="20"/>
          <w:szCs w:val="20"/>
        </w:rPr>
        <w:t>надійності</w:t>
      </w:r>
      <w:r w:rsidRPr="000977F7">
        <w:rPr>
          <w:rFonts w:asciiTheme="majorHAnsi" w:hAnsiTheme="majorHAnsi"/>
          <w:spacing w:val="-47"/>
          <w:sz w:val="20"/>
          <w:szCs w:val="20"/>
        </w:rPr>
        <w:t xml:space="preserve"> </w:t>
      </w:r>
      <w:r w:rsidRPr="000977F7">
        <w:rPr>
          <w:rFonts w:asciiTheme="majorHAnsi" w:hAnsiTheme="majorHAnsi"/>
          <w:sz w:val="20"/>
          <w:szCs w:val="20"/>
        </w:rPr>
        <w:t>аналізом наявних</w:t>
      </w:r>
      <w:r w:rsidRPr="000977F7">
        <w:rPr>
          <w:rFonts w:asciiTheme="majorHAnsi" w:hAnsiTheme="majorHAnsi"/>
          <w:spacing w:val="-1"/>
          <w:sz w:val="20"/>
          <w:szCs w:val="20"/>
        </w:rPr>
        <w:t xml:space="preserve"> </w:t>
      </w:r>
      <w:r w:rsidRPr="000977F7">
        <w:rPr>
          <w:rFonts w:asciiTheme="majorHAnsi" w:hAnsiTheme="majorHAnsi"/>
          <w:sz w:val="20"/>
          <w:szCs w:val="20"/>
        </w:rPr>
        <w:t>даних</w:t>
      </w:r>
    </w:p>
    <w:p w14:paraId="1813B29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6B74D9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DETERMINATION</w:t>
      </w:r>
      <w:r w:rsidRPr="000977F7">
        <w:rPr>
          <w:rFonts w:asciiTheme="majorHAnsi" w:hAnsiTheme="majorHAnsi"/>
          <w:spacing w:val="-3"/>
          <w:sz w:val="20"/>
          <w:szCs w:val="20"/>
        </w:rPr>
        <w:t xml:space="preserve"> </w:t>
      </w:r>
      <w:r w:rsidRPr="000977F7">
        <w:rPr>
          <w:rFonts w:asciiTheme="majorHAnsi" w:hAnsiTheme="majorHAnsi"/>
          <w:sz w:val="20"/>
          <w:szCs w:val="20"/>
        </w:rPr>
        <w:t>DEPENDABILITY</w:t>
      </w:r>
      <w:r w:rsidRPr="000977F7">
        <w:rPr>
          <w:rFonts w:asciiTheme="majorHAnsi" w:hAnsiTheme="majorHAnsi"/>
          <w:spacing w:val="-5"/>
          <w:sz w:val="20"/>
          <w:szCs w:val="20"/>
        </w:rPr>
        <w:t xml:space="preserve"> </w:t>
      </w:r>
      <w:r w:rsidRPr="000977F7">
        <w:rPr>
          <w:rFonts w:asciiTheme="majorHAnsi" w:hAnsiTheme="majorHAnsi"/>
          <w:sz w:val="20"/>
          <w:szCs w:val="20"/>
        </w:rPr>
        <w:t>TEST</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01290BBA" w14:textId="77777777" w:rsidR="0097612F" w:rsidRPr="000977F7" w:rsidRDefault="0097612F" w:rsidP="000977F7">
      <w:pPr>
        <w:pStyle w:val="af6"/>
        <w:tabs>
          <w:tab w:val="left" w:pos="284"/>
          <w:tab w:val="left" w:pos="4820"/>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28"/>
          <w:sz w:val="20"/>
          <w:szCs w:val="20"/>
        </w:rPr>
        <w:t xml:space="preserve"> </w:t>
      </w:r>
      <w:r w:rsidRPr="000977F7">
        <w:rPr>
          <w:rFonts w:asciiTheme="majorHAnsi" w:hAnsiTheme="majorHAnsi"/>
          <w:sz w:val="20"/>
          <w:szCs w:val="20"/>
        </w:rPr>
        <w:t>для</w:t>
      </w:r>
      <w:r w:rsidRPr="000977F7">
        <w:rPr>
          <w:rFonts w:asciiTheme="majorHAnsi" w:hAnsiTheme="majorHAnsi"/>
          <w:spacing w:val="29"/>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29"/>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31"/>
          <w:sz w:val="20"/>
          <w:szCs w:val="20"/>
        </w:rPr>
        <w:t xml:space="preserve"> </w:t>
      </w:r>
      <w:r w:rsidRPr="000977F7">
        <w:rPr>
          <w:rFonts w:asciiTheme="majorHAnsi" w:hAnsiTheme="majorHAnsi"/>
          <w:sz w:val="20"/>
          <w:szCs w:val="20"/>
        </w:rPr>
        <w:t>надійності</w:t>
      </w:r>
      <w:r w:rsidRPr="000977F7">
        <w:rPr>
          <w:rFonts w:asciiTheme="majorHAnsi" w:hAnsiTheme="majorHAnsi"/>
          <w:spacing w:val="-47"/>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заданою точністю</w:t>
      </w:r>
      <w:r w:rsidRPr="000977F7">
        <w:rPr>
          <w:rFonts w:asciiTheme="majorHAnsi" w:hAnsiTheme="majorHAnsi"/>
          <w:spacing w:val="-1"/>
          <w:sz w:val="20"/>
          <w:szCs w:val="20"/>
        </w:rPr>
        <w:t xml:space="preserve"> </w:t>
      </w:r>
      <w:r w:rsidRPr="000977F7">
        <w:rPr>
          <w:rFonts w:asciiTheme="majorHAnsi" w:hAnsiTheme="majorHAnsi"/>
          <w:sz w:val="20"/>
          <w:szCs w:val="20"/>
        </w:rPr>
        <w:t>та вірогідністю</w:t>
      </w:r>
    </w:p>
    <w:p w14:paraId="1EB39EF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6BE511C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ВИЗНАЧЕНА</w:t>
      </w:r>
      <w:r w:rsidRPr="000977F7">
        <w:rPr>
          <w:color w:val="auto"/>
          <w:spacing w:val="-3"/>
          <w:sz w:val="20"/>
          <w:szCs w:val="20"/>
        </w:rPr>
        <w:t xml:space="preserve"> </w:t>
      </w:r>
      <w:r w:rsidRPr="000977F7">
        <w:rPr>
          <w:color w:val="auto"/>
          <w:sz w:val="20"/>
          <w:szCs w:val="20"/>
        </w:rPr>
        <w:t>ВИМОГА</w:t>
      </w:r>
      <w:r w:rsidRPr="000977F7">
        <w:rPr>
          <w:color w:val="auto"/>
          <w:spacing w:val="-1"/>
          <w:sz w:val="20"/>
          <w:szCs w:val="20"/>
        </w:rPr>
        <w:t xml:space="preserve"> </w:t>
      </w:r>
      <w:r w:rsidRPr="000977F7">
        <w:rPr>
          <w:color w:val="auto"/>
          <w:sz w:val="20"/>
          <w:szCs w:val="20"/>
        </w:rPr>
        <w:t>–</w:t>
      </w:r>
    </w:p>
    <w:p w14:paraId="4DE844F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SPECIFIED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REQUIREMENT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62AB94F8" w14:textId="77777777" w:rsidR="0097612F" w:rsidRPr="000977F7" w:rsidRDefault="0097612F" w:rsidP="000977F7">
      <w:pPr>
        <w:pStyle w:val="af6"/>
        <w:tabs>
          <w:tab w:val="left" w:pos="284"/>
          <w:tab w:val="left" w:pos="2057"/>
          <w:tab w:val="left" w:pos="3318"/>
          <w:tab w:val="left" w:pos="4177"/>
        </w:tabs>
        <w:spacing w:after="0"/>
        <w:ind w:left="170"/>
        <w:mirrorIndents/>
        <w:jc w:val="both"/>
        <w:rPr>
          <w:rFonts w:asciiTheme="majorHAnsi" w:hAnsiTheme="majorHAnsi"/>
          <w:sz w:val="20"/>
          <w:szCs w:val="20"/>
        </w:rPr>
      </w:pPr>
      <w:r w:rsidRPr="000977F7">
        <w:rPr>
          <w:rFonts w:asciiTheme="majorHAnsi" w:hAnsiTheme="majorHAnsi"/>
          <w:sz w:val="20"/>
          <w:szCs w:val="20"/>
        </w:rPr>
        <w:t>Встановлені потреби або очікування</w:t>
      </w:r>
    </w:p>
    <w:p w14:paraId="6B7EDF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ВИЗНАЧАННЯ</w:t>
      </w:r>
      <w:r w:rsidRPr="000977F7">
        <w:rPr>
          <w:color w:val="auto"/>
          <w:spacing w:val="-2"/>
          <w:sz w:val="20"/>
          <w:szCs w:val="20"/>
        </w:rPr>
        <w:t xml:space="preserve"> </w:t>
      </w:r>
      <w:r w:rsidRPr="000977F7">
        <w:rPr>
          <w:color w:val="auto"/>
          <w:sz w:val="20"/>
          <w:szCs w:val="20"/>
        </w:rPr>
        <w:t>–</w:t>
      </w:r>
    </w:p>
    <w:p w14:paraId="7D63A3F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DETERMINATION</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7296C18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Дія</w:t>
      </w:r>
      <w:r w:rsidRPr="004D2D14">
        <w:rPr>
          <w:rFonts w:asciiTheme="majorHAnsi" w:hAnsiTheme="majorHAnsi"/>
          <w:spacing w:val="24"/>
          <w:sz w:val="20"/>
          <w:szCs w:val="20"/>
          <w:lang w:val="uk-UA"/>
        </w:rPr>
        <w:t xml:space="preserve"> </w:t>
      </w:r>
      <w:r w:rsidRPr="004D2D14">
        <w:rPr>
          <w:rFonts w:asciiTheme="majorHAnsi" w:hAnsiTheme="majorHAnsi"/>
          <w:sz w:val="20"/>
          <w:szCs w:val="20"/>
          <w:lang w:val="uk-UA"/>
        </w:rPr>
        <w:t>щодо</w:t>
      </w:r>
      <w:r w:rsidRPr="004D2D14">
        <w:rPr>
          <w:rFonts w:asciiTheme="majorHAnsi" w:hAnsiTheme="majorHAnsi"/>
          <w:spacing w:val="26"/>
          <w:sz w:val="20"/>
          <w:szCs w:val="20"/>
          <w:lang w:val="uk-UA"/>
        </w:rPr>
        <w:t xml:space="preserve"> </w:t>
      </w:r>
      <w:r w:rsidRPr="004D2D14">
        <w:rPr>
          <w:rFonts w:asciiTheme="majorHAnsi" w:hAnsiTheme="majorHAnsi"/>
          <w:sz w:val="20"/>
          <w:szCs w:val="20"/>
          <w:lang w:val="uk-UA"/>
        </w:rPr>
        <w:t>знаходження</w:t>
      </w:r>
      <w:r w:rsidRPr="004D2D14">
        <w:rPr>
          <w:rFonts w:asciiTheme="majorHAnsi" w:hAnsiTheme="majorHAnsi"/>
          <w:spacing w:val="24"/>
          <w:sz w:val="20"/>
          <w:szCs w:val="20"/>
          <w:lang w:val="uk-UA"/>
        </w:rPr>
        <w:t xml:space="preserve"> </w:t>
      </w:r>
      <w:r w:rsidRPr="004D2D14">
        <w:rPr>
          <w:rFonts w:asciiTheme="majorHAnsi" w:hAnsiTheme="majorHAnsi"/>
          <w:sz w:val="20"/>
          <w:szCs w:val="20"/>
          <w:lang w:val="uk-UA"/>
        </w:rPr>
        <w:t>однієї</w:t>
      </w:r>
      <w:r w:rsidRPr="004D2D14">
        <w:rPr>
          <w:rFonts w:asciiTheme="majorHAnsi" w:hAnsiTheme="majorHAnsi"/>
          <w:spacing w:val="25"/>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23"/>
          <w:sz w:val="20"/>
          <w:szCs w:val="20"/>
          <w:lang w:val="uk-UA"/>
        </w:rPr>
        <w:t xml:space="preserve"> </w:t>
      </w:r>
      <w:r w:rsidRPr="004D2D14">
        <w:rPr>
          <w:rFonts w:asciiTheme="majorHAnsi" w:hAnsiTheme="majorHAnsi"/>
          <w:sz w:val="20"/>
          <w:szCs w:val="20"/>
          <w:lang w:val="uk-UA"/>
        </w:rPr>
        <w:t>кількох</w:t>
      </w:r>
      <w:r w:rsidRPr="004D2D14">
        <w:rPr>
          <w:rFonts w:asciiTheme="majorHAnsi" w:hAnsiTheme="majorHAnsi"/>
          <w:spacing w:val="26"/>
          <w:sz w:val="20"/>
          <w:szCs w:val="20"/>
          <w:lang w:val="uk-UA"/>
        </w:rPr>
        <w:t xml:space="preserve"> </w:t>
      </w:r>
      <w:r w:rsidRPr="004D2D14">
        <w:rPr>
          <w:rFonts w:asciiTheme="majorHAnsi" w:hAnsiTheme="majorHAnsi"/>
          <w:sz w:val="20"/>
          <w:szCs w:val="20"/>
          <w:lang w:val="uk-UA"/>
        </w:rPr>
        <w:t>характеристик</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їхніх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характеристичних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значень</w:t>
      </w:r>
    </w:p>
    <w:p w14:paraId="1C8A4C4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009E091B"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ВИЗНАЧЕННЯ ВИМОГ ЩОДО ПРОДУКЦІЇ ТА</w:t>
      </w:r>
      <w:r w:rsidRPr="000977F7">
        <w:rPr>
          <w:color w:val="auto"/>
          <w:spacing w:val="1"/>
          <w:sz w:val="20"/>
          <w:szCs w:val="20"/>
        </w:rPr>
        <w:t xml:space="preserve"> </w:t>
      </w:r>
      <w:r w:rsidRPr="000977F7">
        <w:rPr>
          <w:color w:val="auto"/>
          <w:sz w:val="20"/>
          <w:szCs w:val="20"/>
        </w:rPr>
        <w:t xml:space="preserve">ПОСЛУГ </w:t>
      </w:r>
      <w:r w:rsidRPr="000977F7">
        <w:rPr>
          <w:b w:val="0"/>
          <w:color w:val="auto"/>
          <w:sz w:val="20"/>
          <w:szCs w:val="20"/>
        </w:rPr>
        <w:t>–</w:t>
      </w:r>
    </w:p>
    <w:p w14:paraId="49D010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Визначаючи вимоги до продукції та послуг, пропонованих</w:t>
      </w:r>
      <w:r w:rsidRPr="000977F7">
        <w:rPr>
          <w:rFonts w:asciiTheme="majorHAnsi" w:hAnsiTheme="majorHAnsi"/>
          <w:spacing w:val="1"/>
          <w:sz w:val="20"/>
          <w:szCs w:val="20"/>
        </w:rPr>
        <w:t xml:space="preserve"> </w:t>
      </w:r>
      <w:r w:rsidRPr="000977F7">
        <w:rPr>
          <w:rFonts w:asciiTheme="majorHAnsi" w:hAnsiTheme="majorHAnsi"/>
          <w:sz w:val="20"/>
          <w:szCs w:val="20"/>
        </w:rPr>
        <w:t>замовникам,</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повинна</w:t>
      </w:r>
      <w:r w:rsidRPr="000977F7">
        <w:rPr>
          <w:rFonts w:asciiTheme="majorHAnsi" w:hAnsiTheme="majorHAnsi"/>
          <w:spacing w:val="1"/>
          <w:sz w:val="20"/>
          <w:szCs w:val="20"/>
        </w:rPr>
        <w:t xml:space="preserve"> </w:t>
      </w:r>
      <w:r w:rsidRPr="000977F7">
        <w:rPr>
          <w:rFonts w:asciiTheme="majorHAnsi" w:hAnsiTheme="majorHAnsi"/>
          <w:sz w:val="20"/>
          <w:szCs w:val="20"/>
        </w:rPr>
        <w:t>забезпечити</w:t>
      </w:r>
      <w:r w:rsidRPr="000977F7">
        <w:rPr>
          <w:rFonts w:asciiTheme="majorHAnsi" w:hAnsiTheme="majorHAnsi"/>
          <w:spacing w:val="-47"/>
          <w:sz w:val="20"/>
          <w:szCs w:val="20"/>
        </w:rPr>
        <w:t xml:space="preserve"> </w:t>
      </w:r>
      <w:r w:rsidRPr="000977F7">
        <w:rPr>
          <w:rFonts w:asciiTheme="majorHAnsi" w:hAnsiTheme="majorHAnsi"/>
          <w:sz w:val="20"/>
          <w:szCs w:val="20"/>
        </w:rPr>
        <w:t>щоб:</w:t>
      </w:r>
    </w:p>
    <w:p w14:paraId="4E0A41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r w:rsidRPr="000977F7">
        <w:rPr>
          <w:rFonts w:asciiTheme="majorHAnsi" w:hAnsiTheme="majorHAnsi"/>
          <w:spacing w:val="1"/>
          <w:sz w:val="20"/>
          <w:szCs w:val="20"/>
        </w:rPr>
        <w:t xml:space="preserve"> </w:t>
      </w:r>
      <w:r w:rsidRPr="000977F7">
        <w:rPr>
          <w:rFonts w:asciiTheme="majorHAnsi" w:hAnsiTheme="majorHAnsi"/>
          <w:sz w:val="20"/>
          <w:szCs w:val="20"/>
        </w:rPr>
        <w:t>було</w:t>
      </w:r>
      <w:r w:rsidRPr="000977F7">
        <w:rPr>
          <w:rFonts w:asciiTheme="majorHAnsi" w:hAnsiTheme="majorHAnsi"/>
          <w:spacing w:val="1"/>
          <w:sz w:val="20"/>
          <w:szCs w:val="20"/>
        </w:rPr>
        <w:t xml:space="preserve"> </w:t>
      </w:r>
      <w:r w:rsidRPr="000977F7">
        <w:rPr>
          <w:rFonts w:asciiTheme="majorHAnsi" w:hAnsiTheme="majorHAnsi"/>
          <w:sz w:val="20"/>
          <w:szCs w:val="20"/>
        </w:rPr>
        <w:t>визначено,</w:t>
      </w:r>
      <w:r w:rsidRPr="000977F7">
        <w:rPr>
          <w:rFonts w:asciiTheme="majorHAnsi" w:hAnsiTheme="majorHAnsi"/>
          <w:spacing w:val="1"/>
          <w:sz w:val="20"/>
          <w:szCs w:val="20"/>
        </w:rPr>
        <w:t xml:space="preserve"> </w:t>
      </w:r>
      <w:r w:rsidRPr="000977F7">
        <w:rPr>
          <w:rFonts w:asciiTheme="majorHAnsi" w:hAnsiTheme="majorHAnsi"/>
          <w:sz w:val="20"/>
          <w:szCs w:val="20"/>
        </w:rPr>
        <w:t>охоплюючи</w:t>
      </w:r>
    </w:p>
    <w:p w14:paraId="7A849F4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1) будь-які застосовні законодавчі та регламентувальні</w:t>
      </w:r>
      <w:r w:rsidRPr="000977F7">
        <w:rPr>
          <w:rFonts w:asciiTheme="majorHAnsi" w:hAnsiTheme="majorHAnsi"/>
          <w:spacing w:val="-2"/>
          <w:sz w:val="20"/>
          <w:szCs w:val="20"/>
        </w:rPr>
        <w:t xml:space="preserve"> </w:t>
      </w:r>
      <w:r w:rsidRPr="000977F7">
        <w:rPr>
          <w:rFonts w:asciiTheme="majorHAnsi" w:hAnsiTheme="majorHAnsi"/>
          <w:sz w:val="20"/>
          <w:szCs w:val="20"/>
        </w:rPr>
        <w:t>вимоги;</w:t>
      </w:r>
    </w:p>
    <w:p w14:paraId="4CDEF57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2)</w:t>
      </w:r>
      <w:r w:rsidRPr="000977F7">
        <w:rPr>
          <w:rFonts w:asciiTheme="majorHAnsi" w:hAnsiTheme="majorHAnsi"/>
          <w:spacing w:val="-5"/>
          <w:sz w:val="20"/>
          <w:szCs w:val="20"/>
        </w:rPr>
        <w:t xml:space="preserve"> </w:t>
      </w:r>
      <w:r w:rsidRPr="000977F7">
        <w:rPr>
          <w:rFonts w:asciiTheme="majorHAnsi" w:hAnsiTheme="majorHAnsi"/>
          <w:sz w:val="20"/>
          <w:szCs w:val="20"/>
        </w:rPr>
        <w:t>вимоги,</w:t>
      </w:r>
      <w:r w:rsidRPr="000977F7">
        <w:rPr>
          <w:rFonts w:asciiTheme="majorHAnsi" w:hAnsiTheme="majorHAnsi"/>
          <w:spacing w:val="-4"/>
          <w:sz w:val="20"/>
          <w:szCs w:val="20"/>
        </w:rPr>
        <w:t xml:space="preserve"> </w:t>
      </w:r>
      <w:r w:rsidRPr="000977F7">
        <w:rPr>
          <w:rFonts w:asciiTheme="majorHAnsi" w:hAnsiTheme="majorHAnsi"/>
          <w:sz w:val="20"/>
          <w:szCs w:val="20"/>
        </w:rPr>
        <w:t>які</w:t>
      </w:r>
      <w:r w:rsidRPr="000977F7">
        <w:rPr>
          <w:rFonts w:asciiTheme="majorHAnsi" w:hAnsiTheme="majorHAnsi"/>
          <w:spacing w:val="-5"/>
          <w:sz w:val="20"/>
          <w:szCs w:val="20"/>
        </w:rPr>
        <w:t xml:space="preserve"> </w:t>
      </w:r>
      <w:r w:rsidRPr="000977F7">
        <w:rPr>
          <w:rFonts w:asciiTheme="majorHAnsi" w:hAnsiTheme="majorHAnsi"/>
          <w:sz w:val="20"/>
          <w:szCs w:val="20"/>
        </w:rPr>
        <w:t>організація</w:t>
      </w:r>
      <w:r w:rsidRPr="000977F7">
        <w:rPr>
          <w:rFonts w:asciiTheme="majorHAnsi" w:hAnsiTheme="majorHAnsi"/>
          <w:spacing w:val="-6"/>
          <w:sz w:val="20"/>
          <w:szCs w:val="20"/>
        </w:rPr>
        <w:t xml:space="preserve"> </w:t>
      </w:r>
      <w:r w:rsidRPr="000977F7">
        <w:rPr>
          <w:rFonts w:asciiTheme="majorHAnsi" w:hAnsiTheme="majorHAnsi"/>
          <w:sz w:val="20"/>
          <w:szCs w:val="20"/>
        </w:rPr>
        <w:t>вважає</w:t>
      </w:r>
      <w:r w:rsidRPr="000977F7">
        <w:rPr>
          <w:rFonts w:asciiTheme="majorHAnsi" w:hAnsiTheme="majorHAnsi"/>
          <w:spacing w:val="-3"/>
          <w:sz w:val="20"/>
          <w:szCs w:val="20"/>
        </w:rPr>
        <w:t xml:space="preserve"> </w:t>
      </w:r>
      <w:r w:rsidRPr="000977F7">
        <w:rPr>
          <w:rFonts w:asciiTheme="majorHAnsi" w:hAnsiTheme="majorHAnsi"/>
          <w:sz w:val="20"/>
          <w:szCs w:val="20"/>
        </w:rPr>
        <w:t>необхідними;</w:t>
      </w:r>
    </w:p>
    <w:p w14:paraId="207C3A3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 організація могла задовольняти рекламації стосовно продукції</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вона</w:t>
      </w:r>
      <w:r w:rsidRPr="000977F7">
        <w:rPr>
          <w:rFonts w:asciiTheme="majorHAnsi" w:hAnsiTheme="majorHAnsi"/>
          <w:spacing w:val="-1"/>
          <w:sz w:val="20"/>
          <w:szCs w:val="20"/>
        </w:rPr>
        <w:t xml:space="preserve"> </w:t>
      </w:r>
      <w:r w:rsidRPr="000977F7">
        <w:rPr>
          <w:rFonts w:asciiTheme="majorHAnsi" w:hAnsiTheme="majorHAnsi"/>
          <w:sz w:val="20"/>
          <w:szCs w:val="20"/>
        </w:rPr>
        <w:t>пропонує.</w:t>
      </w:r>
    </w:p>
    <w:p w14:paraId="58D305B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ISO</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9001:2015</w:t>
      </w:r>
    </w:p>
    <w:p w14:paraId="328FD36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ВИЗНАЧЕННЯ</w:t>
      </w:r>
      <w:r w:rsidRPr="000977F7">
        <w:rPr>
          <w:color w:val="auto"/>
          <w:spacing w:val="-6"/>
          <w:sz w:val="20"/>
          <w:szCs w:val="20"/>
        </w:rPr>
        <w:t xml:space="preserve"> </w:t>
      </w:r>
      <w:r w:rsidRPr="000977F7">
        <w:rPr>
          <w:color w:val="auto"/>
          <w:sz w:val="20"/>
          <w:szCs w:val="20"/>
        </w:rPr>
        <w:t>НАДІЙНОСТІ</w:t>
      </w:r>
      <w:r w:rsidRPr="000977F7">
        <w:rPr>
          <w:color w:val="auto"/>
          <w:spacing w:val="-3"/>
          <w:sz w:val="20"/>
          <w:szCs w:val="20"/>
        </w:rPr>
        <w:t xml:space="preserve"> </w:t>
      </w:r>
      <w:r w:rsidRPr="000977F7">
        <w:rPr>
          <w:color w:val="auto"/>
          <w:sz w:val="20"/>
          <w:szCs w:val="20"/>
        </w:rPr>
        <w:t>–</w:t>
      </w:r>
    </w:p>
    <w:p w14:paraId="52AD71D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DEPENDAIBILITY</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ASSESSMENT</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62F59F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Визначення</w:t>
      </w:r>
      <w:r w:rsidRPr="000977F7">
        <w:rPr>
          <w:rFonts w:asciiTheme="majorHAnsi" w:hAnsiTheme="majorHAnsi"/>
          <w:spacing w:val="13"/>
          <w:sz w:val="20"/>
          <w:szCs w:val="20"/>
        </w:rPr>
        <w:t xml:space="preserve"> </w:t>
      </w:r>
      <w:r w:rsidRPr="000977F7">
        <w:rPr>
          <w:rFonts w:asciiTheme="majorHAnsi" w:hAnsiTheme="majorHAnsi"/>
          <w:sz w:val="20"/>
          <w:szCs w:val="20"/>
        </w:rPr>
        <w:t>кількісних</w:t>
      </w:r>
      <w:r w:rsidRPr="000977F7">
        <w:rPr>
          <w:rFonts w:asciiTheme="majorHAnsi" w:hAnsiTheme="majorHAnsi"/>
          <w:spacing w:val="14"/>
          <w:sz w:val="20"/>
          <w:szCs w:val="20"/>
        </w:rPr>
        <w:t xml:space="preserve"> </w:t>
      </w:r>
      <w:r w:rsidRPr="000977F7">
        <w:rPr>
          <w:rFonts w:asciiTheme="majorHAnsi" w:hAnsiTheme="majorHAnsi"/>
          <w:sz w:val="20"/>
          <w:szCs w:val="20"/>
        </w:rPr>
        <w:t>значень</w:t>
      </w:r>
      <w:r w:rsidRPr="000977F7">
        <w:rPr>
          <w:rFonts w:asciiTheme="majorHAnsi" w:hAnsiTheme="majorHAnsi"/>
          <w:spacing w:val="14"/>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14"/>
          <w:sz w:val="20"/>
          <w:szCs w:val="20"/>
        </w:rPr>
        <w:t xml:space="preserve"> </w:t>
      </w:r>
      <w:r w:rsidRPr="000977F7">
        <w:rPr>
          <w:rFonts w:asciiTheme="majorHAnsi" w:hAnsiTheme="majorHAnsi"/>
          <w:sz w:val="20"/>
          <w:szCs w:val="20"/>
        </w:rPr>
        <w:t>надійності</w:t>
      </w:r>
      <w:r w:rsidRPr="000977F7">
        <w:rPr>
          <w:rFonts w:asciiTheme="majorHAnsi" w:hAnsiTheme="majorHAnsi"/>
          <w:spacing w:val="-47"/>
          <w:sz w:val="20"/>
          <w:szCs w:val="20"/>
        </w:rPr>
        <w:t xml:space="preserve"> </w:t>
      </w:r>
      <w:r w:rsidRPr="000977F7">
        <w:rPr>
          <w:rFonts w:asciiTheme="majorHAnsi" w:hAnsiTheme="majorHAnsi"/>
          <w:sz w:val="20"/>
          <w:szCs w:val="20"/>
        </w:rPr>
        <w:t>об’єкта</w:t>
      </w:r>
    </w:p>
    <w:p w14:paraId="04011D26"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2860 - 94</w:t>
      </w:r>
    </w:p>
    <w:p w14:paraId="39C7F6D3"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 xml:space="preserve">ВИЗНАЧЕННЯ НАДІЙНОСТІ МЕТОДОМ </w:t>
      </w:r>
    </w:p>
    <w:p w14:paraId="4754C31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СТАТИСТИЧНОГО МОДЕЛЮВАННЯ</w:t>
      </w:r>
      <w:r w:rsidRPr="000977F7">
        <w:rPr>
          <w:rFonts w:asciiTheme="majorHAnsi" w:hAnsiTheme="majorHAnsi"/>
          <w:b/>
          <w:spacing w:val="2"/>
          <w:sz w:val="20"/>
          <w:szCs w:val="20"/>
        </w:rPr>
        <w:t xml:space="preserve"> </w:t>
      </w:r>
      <w:r w:rsidRPr="000977F7">
        <w:rPr>
          <w:rFonts w:asciiTheme="majorHAnsi" w:hAnsiTheme="majorHAnsi"/>
          <w:b/>
          <w:sz w:val="20"/>
          <w:szCs w:val="20"/>
        </w:rPr>
        <w:t>–</w:t>
      </w:r>
      <w:r w:rsidRPr="000977F7">
        <w:rPr>
          <w:rFonts w:asciiTheme="majorHAnsi" w:hAnsiTheme="majorHAnsi"/>
          <w:b/>
          <w:spacing w:val="1"/>
          <w:sz w:val="20"/>
          <w:szCs w:val="20"/>
        </w:rPr>
        <w:t xml:space="preserve"> </w:t>
      </w:r>
      <w:r w:rsidRPr="000977F7">
        <w:rPr>
          <w:rFonts w:asciiTheme="majorHAnsi" w:hAnsiTheme="majorHAnsi"/>
          <w:sz w:val="20"/>
          <w:szCs w:val="20"/>
        </w:rPr>
        <w:t>STATISTICAL MODELING DEPENDABILITY</w:t>
      </w:r>
      <w:r w:rsidRPr="000977F7">
        <w:rPr>
          <w:rFonts w:asciiTheme="majorHAnsi" w:hAnsiTheme="majorHAnsi"/>
          <w:spacing w:val="1"/>
          <w:sz w:val="20"/>
          <w:szCs w:val="20"/>
        </w:rPr>
        <w:t xml:space="preserve"> </w:t>
      </w:r>
      <w:r w:rsidRPr="000977F7">
        <w:rPr>
          <w:rFonts w:asciiTheme="majorHAnsi" w:hAnsiTheme="majorHAnsi"/>
          <w:sz w:val="20"/>
          <w:szCs w:val="20"/>
        </w:rPr>
        <w:t>ASSESSMENT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19CCF2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Спосіб</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числових</w:t>
      </w:r>
      <w:r w:rsidRPr="000977F7">
        <w:rPr>
          <w:rFonts w:asciiTheme="majorHAnsi" w:hAnsiTheme="majorHAnsi"/>
          <w:spacing w:val="1"/>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1"/>
          <w:sz w:val="20"/>
          <w:szCs w:val="20"/>
        </w:rPr>
        <w:t xml:space="preserve"> </w:t>
      </w:r>
      <w:r w:rsidRPr="000977F7">
        <w:rPr>
          <w:rFonts w:asciiTheme="majorHAnsi" w:hAnsiTheme="majorHAnsi"/>
          <w:sz w:val="20"/>
          <w:szCs w:val="20"/>
        </w:rPr>
        <w:t>надійності</w:t>
      </w:r>
      <w:r w:rsidRPr="000977F7">
        <w:rPr>
          <w:rFonts w:asciiTheme="majorHAnsi" w:hAnsiTheme="majorHAnsi"/>
          <w:spacing w:val="1"/>
          <w:sz w:val="20"/>
          <w:szCs w:val="20"/>
        </w:rPr>
        <w:t xml:space="preserve"> </w:t>
      </w:r>
      <w:r w:rsidRPr="000977F7">
        <w:rPr>
          <w:rFonts w:asciiTheme="majorHAnsi" w:hAnsiTheme="majorHAnsi"/>
          <w:sz w:val="20"/>
          <w:szCs w:val="20"/>
        </w:rPr>
        <w:t>об’єкта, який проектують на ЕОМ, шляхом моделювання процесів функціонування об’єкта,</w:t>
      </w:r>
      <w:r w:rsidRPr="000977F7">
        <w:rPr>
          <w:rFonts w:asciiTheme="majorHAnsi" w:hAnsiTheme="majorHAnsi"/>
          <w:spacing w:val="1"/>
          <w:sz w:val="20"/>
          <w:szCs w:val="20"/>
        </w:rPr>
        <w:t xml:space="preserve"> </w:t>
      </w:r>
      <w:r w:rsidRPr="000977F7">
        <w:rPr>
          <w:rFonts w:asciiTheme="majorHAnsi" w:hAnsiTheme="majorHAnsi"/>
          <w:sz w:val="20"/>
          <w:szCs w:val="20"/>
        </w:rPr>
        <w:t>виникнення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усунення</w:t>
      </w:r>
      <w:r w:rsidRPr="000977F7">
        <w:rPr>
          <w:rFonts w:asciiTheme="majorHAnsi" w:hAnsiTheme="majorHAnsi"/>
          <w:spacing w:val="-1"/>
          <w:sz w:val="20"/>
          <w:szCs w:val="20"/>
        </w:rPr>
        <w:t xml:space="preserve"> </w:t>
      </w:r>
      <w:r w:rsidRPr="000977F7">
        <w:rPr>
          <w:rFonts w:asciiTheme="majorHAnsi" w:hAnsiTheme="majorHAnsi"/>
          <w:sz w:val="20"/>
          <w:szCs w:val="20"/>
        </w:rPr>
        <w:t>відмов</w:t>
      </w:r>
    </w:p>
    <w:p w14:paraId="6690DA1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2860 - 94</w:t>
      </w:r>
    </w:p>
    <w:p w14:paraId="5E0CB78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ВИЗНАЧЕННЯ НЕСПРАВНОСТІ; </w:t>
      </w:r>
    </w:p>
    <w:p w14:paraId="28EA38F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ДІАГНОСТУ</w:t>
      </w:r>
      <w:r w:rsidRPr="000977F7">
        <w:rPr>
          <w:color w:val="auto"/>
          <w:spacing w:val="-47"/>
          <w:sz w:val="20"/>
          <w:szCs w:val="20"/>
        </w:rPr>
        <w:t xml:space="preserve"> </w:t>
      </w:r>
      <w:r w:rsidRPr="000977F7">
        <w:rPr>
          <w:color w:val="auto"/>
          <w:sz w:val="20"/>
          <w:szCs w:val="20"/>
        </w:rPr>
        <w:t>ВАННЯ –</w:t>
      </w:r>
    </w:p>
    <w:p w14:paraId="3C995EE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FAULT</w:t>
      </w:r>
      <w:r w:rsidRPr="004D2D14">
        <w:rPr>
          <w:rFonts w:asciiTheme="majorHAnsi" w:hAnsiTheme="majorHAnsi"/>
          <w:sz w:val="20"/>
          <w:szCs w:val="20"/>
          <w:lang w:val="uk-UA"/>
        </w:rPr>
        <w:t xml:space="preserve"> </w:t>
      </w:r>
      <w:r w:rsidRPr="000977F7">
        <w:rPr>
          <w:rFonts w:asciiTheme="majorHAnsi" w:hAnsiTheme="majorHAnsi"/>
          <w:sz w:val="20"/>
          <w:szCs w:val="20"/>
        </w:rPr>
        <w:t>DIAGNOSIS</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62D9F28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Операції, які виконують для встановлення наявності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несправності, місця несправності та визначення причин</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її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виникнення</w:t>
      </w:r>
    </w:p>
    <w:p w14:paraId="5E3AB4A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lastRenderedPageBreak/>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D317C08"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ВИЗНАЧЕННЯ</w:t>
      </w:r>
      <w:r w:rsidRPr="000977F7">
        <w:rPr>
          <w:color w:val="auto"/>
          <w:spacing w:val="1"/>
          <w:sz w:val="20"/>
          <w:szCs w:val="20"/>
        </w:rPr>
        <w:t xml:space="preserve"> </w:t>
      </w:r>
      <w:r w:rsidRPr="000977F7">
        <w:rPr>
          <w:color w:val="auto"/>
          <w:sz w:val="20"/>
          <w:szCs w:val="20"/>
        </w:rPr>
        <w:t>СФЕРИ</w:t>
      </w:r>
      <w:r w:rsidRPr="000977F7">
        <w:rPr>
          <w:color w:val="auto"/>
          <w:spacing w:val="1"/>
          <w:sz w:val="20"/>
          <w:szCs w:val="20"/>
        </w:rPr>
        <w:t xml:space="preserve"> </w:t>
      </w:r>
      <w:r w:rsidRPr="000977F7">
        <w:rPr>
          <w:color w:val="auto"/>
          <w:sz w:val="20"/>
          <w:szCs w:val="20"/>
        </w:rPr>
        <w:t>ЗАСТОСУВАННЯ</w:t>
      </w:r>
      <w:r w:rsidRPr="000977F7">
        <w:rPr>
          <w:color w:val="auto"/>
          <w:spacing w:val="1"/>
          <w:sz w:val="20"/>
          <w:szCs w:val="20"/>
        </w:rPr>
        <w:t xml:space="preserve"> </w:t>
      </w:r>
    </w:p>
    <w:p w14:paraId="3E70011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СИСТЕМИ УПРАВЛІННЯ ЯКІСТЮ –</w:t>
      </w:r>
    </w:p>
    <w:p w14:paraId="69E5D1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визначити межі та застосовність</w:t>
      </w:r>
      <w:r w:rsidRPr="000977F7">
        <w:rPr>
          <w:rFonts w:asciiTheme="majorHAnsi" w:hAnsiTheme="majorHAnsi"/>
          <w:spacing w:val="1"/>
          <w:sz w:val="20"/>
          <w:szCs w:val="20"/>
        </w:rPr>
        <w:t xml:space="preserve"> </w:t>
      </w:r>
      <w:r w:rsidRPr="000977F7">
        <w:rPr>
          <w:rFonts w:asciiTheme="majorHAnsi" w:hAnsiTheme="majorHAnsi"/>
          <w:sz w:val="20"/>
          <w:szCs w:val="20"/>
        </w:rPr>
        <w:t>системи управління якістю, щоб установити її сферу</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p>
    <w:p w14:paraId="30B3486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Визначаючи цю сферу застосування, організація повинна</w:t>
      </w:r>
      <w:r w:rsidRPr="000977F7">
        <w:rPr>
          <w:rFonts w:asciiTheme="majorHAnsi" w:hAnsiTheme="majorHAnsi"/>
          <w:spacing w:val="-1"/>
          <w:sz w:val="20"/>
          <w:szCs w:val="20"/>
        </w:rPr>
        <w:t xml:space="preserve"> </w:t>
      </w:r>
      <w:r w:rsidRPr="000977F7">
        <w:rPr>
          <w:rFonts w:asciiTheme="majorHAnsi" w:hAnsiTheme="majorHAnsi"/>
          <w:sz w:val="20"/>
          <w:szCs w:val="20"/>
        </w:rPr>
        <w:t>розглянути</w:t>
      </w:r>
    </w:p>
    <w:p w14:paraId="68ECEF4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зовнішні та внутрішні чинники, як вони визначені в</w:t>
      </w:r>
      <w:r w:rsidRPr="000977F7">
        <w:rPr>
          <w:rFonts w:asciiTheme="majorHAnsi" w:hAnsiTheme="majorHAnsi"/>
          <w:spacing w:val="-47"/>
          <w:sz w:val="20"/>
          <w:szCs w:val="20"/>
        </w:rPr>
        <w:t xml:space="preserve"> </w:t>
      </w:r>
      <w:r w:rsidRPr="000977F7">
        <w:rPr>
          <w:rFonts w:asciiTheme="majorHAnsi" w:hAnsiTheme="majorHAnsi"/>
          <w:sz w:val="20"/>
          <w:szCs w:val="20"/>
        </w:rPr>
        <w:t>РОЗУМІННІ</w:t>
      </w:r>
      <w:r w:rsidRPr="000977F7">
        <w:rPr>
          <w:rFonts w:asciiTheme="majorHAnsi" w:hAnsiTheme="majorHAnsi"/>
          <w:spacing w:val="-2"/>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3"/>
          <w:sz w:val="20"/>
          <w:szCs w:val="20"/>
        </w:rPr>
        <w:t xml:space="preserve"> </w:t>
      </w:r>
      <w:r w:rsidRPr="000977F7">
        <w:rPr>
          <w:rFonts w:asciiTheme="majorHAnsi" w:hAnsiTheme="majorHAnsi"/>
          <w:sz w:val="20"/>
          <w:szCs w:val="20"/>
        </w:rPr>
        <w:t>ТА</w:t>
      </w:r>
      <w:r w:rsidRPr="000977F7">
        <w:rPr>
          <w:rFonts w:asciiTheme="majorHAnsi" w:hAnsiTheme="majorHAnsi"/>
          <w:spacing w:val="-6"/>
          <w:sz w:val="20"/>
          <w:szCs w:val="20"/>
        </w:rPr>
        <w:t xml:space="preserve"> </w:t>
      </w:r>
      <w:r w:rsidRPr="000977F7">
        <w:rPr>
          <w:rFonts w:asciiTheme="majorHAnsi" w:hAnsiTheme="majorHAnsi"/>
          <w:sz w:val="20"/>
          <w:szCs w:val="20"/>
        </w:rPr>
        <w:t>ЇЇ</w:t>
      </w:r>
      <w:r w:rsidRPr="000977F7">
        <w:rPr>
          <w:rFonts w:asciiTheme="majorHAnsi" w:hAnsiTheme="majorHAnsi"/>
          <w:spacing w:val="-3"/>
          <w:sz w:val="20"/>
          <w:szCs w:val="20"/>
        </w:rPr>
        <w:t xml:space="preserve"> </w:t>
      </w:r>
      <w:r w:rsidRPr="000977F7">
        <w:rPr>
          <w:rFonts w:asciiTheme="majorHAnsi" w:hAnsiTheme="majorHAnsi"/>
          <w:sz w:val="20"/>
          <w:szCs w:val="20"/>
        </w:rPr>
        <w:t>СЕРЕДОВИЩА;</w:t>
      </w:r>
    </w:p>
    <w:p w14:paraId="64A383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 вимоги відповідних зацікавлених сторін, як вони</w:t>
      </w:r>
      <w:r w:rsidRPr="000977F7">
        <w:rPr>
          <w:rFonts w:asciiTheme="majorHAnsi" w:hAnsiTheme="majorHAnsi"/>
          <w:spacing w:val="1"/>
          <w:sz w:val="20"/>
          <w:szCs w:val="20"/>
        </w:rPr>
        <w:t xml:space="preserve"> </w:t>
      </w:r>
      <w:r w:rsidRPr="000977F7">
        <w:rPr>
          <w:rFonts w:asciiTheme="majorHAnsi" w:hAnsiTheme="majorHAnsi"/>
          <w:sz w:val="20"/>
          <w:szCs w:val="20"/>
        </w:rPr>
        <w:t>визначені</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РОЗУМІННІ</w:t>
      </w:r>
      <w:r w:rsidRPr="000977F7">
        <w:rPr>
          <w:rFonts w:asciiTheme="majorHAnsi" w:hAnsiTheme="majorHAnsi"/>
          <w:spacing w:val="1"/>
          <w:sz w:val="20"/>
          <w:szCs w:val="20"/>
        </w:rPr>
        <w:t xml:space="preserve"> </w:t>
      </w:r>
      <w:r w:rsidRPr="000977F7">
        <w:rPr>
          <w:rFonts w:asciiTheme="majorHAnsi" w:hAnsiTheme="majorHAnsi"/>
          <w:sz w:val="20"/>
          <w:szCs w:val="20"/>
        </w:rPr>
        <w:t>ПОТРЕБ</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ОЧІКУВАНЬ</w:t>
      </w:r>
      <w:r w:rsidRPr="000977F7">
        <w:rPr>
          <w:rFonts w:asciiTheme="majorHAnsi" w:hAnsiTheme="majorHAnsi"/>
          <w:spacing w:val="1"/>
          <w:sz w:val="20"/>
          <w:szCs w:val="20"/>
        </w:rPr>
        <w:t xml:space="preserve"> </w:t>
      </w:r>
      <w:r w:rsidRPr="000977F7">
        <w:rPr>
          <w:rFonts w:asciiTheme="majorHAnsi" w:hAnsiTheme="majorHAnsi"/>
          <w:sz w:val="20"/>
          <w:szCs w:val="20"/>
        </w:rPr>
        <w:t>ЗАЦІКАВЛЕНИХ</w:t>
      </w:r>
      <w:r w:rsidRPr="000977F7">
        <w:rPr>
          <w:rFonts w:asciiTheme="majorHAnsi" w:hAnsiTheme="majorHAnsi"/>
          <w:spacing w:val="2"/>
          <w:sz w:val="20"/>
          <w:szCs w:val="20"/>
        </w:rPr>
        <w:t xml:space="preserve"> </w:t>
      </w:r>
      <w:r w:rsidRPr="000977F7">
        <w:rPr>
          <w:rFonts w:asciiTheme="majorHAnsi" w:hAnsiTheme="majorHAnsi"/>
          <w:sz w:val="20"/>
          <w:szCs w:val="20"/>
        </w:rPr>
        <w:t>СТОРІН;</w:t>
      </w:r>
    </w:p>
    <w:p w14:paraId="6FE68B6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w:t>
      </w:r>
      <w:r w:rsidRPr="000977F7">
        <w:rPr>
          <w:rFonts w:asciiTheme="majorHAnsi" w:hAnsiTheme="majorHAnsi"/>
          <w:spacing w:val="-3"/>
          <w:sz w:val="20"/>
          <w:szCs w:val="20"/>
        </w:rPr>
        <w:t xml:space="preserve"> </w:t>
      </w:r>
      <w:r w:rsidRPr="000977F7">
        <w:rPr>
          <w:rFonts w:asciiTheme="majorHAnsi" w:hAnsiTheme="majorHAnsi"/>
          <w:sz w:val="20"/>
          <w:szCs w:val="20"/>
        </w:rPr>
        <w:t>продукції</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послуги</w:t>
      </w:r>
      <w:r w:rsidRPr="000977F7">
        <w:rPr>
          <w:rFonts w:asciiTheme="majorHAnsi" w:hAnsiTheme="majorHAnsi"/>
          <w:spacing w:val="-4"/>
          <w:sz w:val="20"/>
          <w:szCs w:val="20"/>
        </w:rPr>
        <w:t xml:space="preserve"> </w:t>
      </w:r>
      <w:r w:rsidRPr="000977F7">
        <w:rPr>
          <w:rFonts w:asciiTheme="majorHAnsi" w:hAnsiTheme="majorHAnsi"/>
          <w:sz w:val="20"/>
          <w:szCs w:val="20"/>
        </w:rPr>
        <w:t>організації.</w:t>
      </w:r>
    </w:p>
    <w:p w14:paraId="7A7E721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застосовувати всі вимоги цього</w:t>
      </w:r>
      <w:r w:rsidRPr="000977F7">
        <w:rPr>
          <w:rFonts w:asciiTheme="majorHAnsi" w:hAnsiTheme="majorHAnsi"/>
          <w:spacing w:val="1"/>
          <w:sz w:val="20"/>
          <w:szCs w:val="20"/>
        </w:rPr>
        <w:t xml:space="preserve"> </w:t>
      </w:r>
      <w:r w:rsidRPr="000977F7">
        <w:rPr>
          <w:rFonts w:asciiTheme="majorHAnsi" w:hAnsiTheme="majorHAnsi"/>
          <w:sz w:val="20"/>
          <w:szCs w:val="20"/>
        </w:rPr>
        <w:t>стандарту, якщо вони є застосовними в межах визначеної сфери застосування її системи управління якістю.</w:t>
      </w:r>
    </w:p>
    <w:p w14:paraId="5FEBB2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Потрібно,</w:t>
      </w:r>
      <w:r w:rsidRPr="000977F7">
        <w:rPr>
          <w:rFonts w:asciiTheme="majorHAnsi" w:hAnsiTheme="majorHAnsi"/>
          <w:spacing w:val="42"/>
          <w:sz w:val="20"/>
          <w:szCs w:val="20"/>
        </w:rPr>
        <w:t xml:space="preserve"> </w:t>
      </w:r>
      <w:r w:rsidRPr="000977F7">
        <w:rPr>
          <w:rFonts w:asciiTheme="majorHAnsi" w:hAnsiTheme="majorHAnsi"/>
          <w:sz w:val="20"/>
          <w:szCs w:val="20"/>
        </w:rPr>
        <w:t>щоб</w:t>
      </w:r>
      <w:r w:rsidRPr="000977F7">
        <w:rPr>
          <w:rFonts w:asciiTheme="majorHAnsi" w:hAnsiTheme="majorHAnsi"/>
          <w:spacing w:val="42"/>
          <w:sz w:val="20"/>
          <w:szCs w:val="20"/>
        </w:rPr>
        <w:t xml:space="preserve"> </w:t>
      </w:r>
      <w:r w:rsidRPr="000977F7">
        <w:rPr>
          <w:rFonts w:asciiTheme="majorHAnsi" w:hAnsiTheme="majorHAnsi"/>
          <w:sz w:val="20"/>
          <w:szCs w:val="20"/>
        </w:rPr>
        <w:t>інформація</w:t>
      </w:r>
      <w:r w:rsidRPr="000977F7">
        <w:rPr>
          <w:rFonts w:asciiTheme="majorHAnsi" w:hAnsiTheme="majorHAnsi"/>
          <w:spacing w:val="44"/>
          <w:sz w:val="20"/>
          <w:szCs w:val="20"/>
        </w:rPr>
        <w:t xml:space="preserve"> </w:t>
      </w:r>
      <w:r w:rsidRPr="000977F7">
        <w:rPr>
          <w:rFonts w:asciiTheme="majorHAnsi" w:hAnsiTheme="majorHAnsi"/>
          <w:sz w:val="20"/>
          <w:szCs w:val="20"/>
        </w:rPr>
        <w:t>про</w:t>
      </w:r>
      <w:r w:rsidRPr="000977F7">
        <w:rPr>
          <w:rFonts w:asciiTheme="majorHAnsi" w:hAnsiTheme="majorHAnsi"/>
          <w:spacing w:val="42"/>
          <w:sz w:val="20"/>
          <w:szCs w:val="20"/>
        </w:rPr>
        <w:t xml:space="preserve"> </w:t>
      </w:r>
      <w:r w:rsidRPr="000977F7">
        <w:rPr>
          <w:rFonts w:asciiTheme="majorHAnsi" w:hAnsiTheme="majorHAnsi"/>
          <w:sz w:val="20"/>
          <w:szCs w:val="20"/>
        </w:rPr>
        <w:t>сферу</w:t>
      </w:r>
      <w:r w:rsidRPr="000977F7">
        <w:rPr>
          <w:rFonts w:asciiTheme="majorHAnsi" w:hAnsiTheme="majorHAnsi"/>
          <w:spacing w:val="39"/>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47"/>
          <w:sz w:val="20"/>
          <w:szCs w:val="20"/>
        </w:rPr>
        <w:t xml:space="preserve"> </w:t>
      </w:r>
      <w:r w:rsidRPr="000977F7">
        <w:rPr>
          <w:rFonts w:asciiTheme="majorHAnsi" w:hAnsiTheme="majorHAnsi"/>
          <w:sz w:val="20"/>
          <w:szCs w:val="20"/>
        </w:rPr>
        <w:t>системи</w:t>
      </w:r>
      <w:r w:rsidRPr="000977F7">
        <w:rPr>
          <w:rFonts w:asciiTheme="majorHAnsi" w:hAnsiTheme="majorHAnsi"/>
          <w:spacing w:val="17"/>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6"/>
          <w:sz w:val="20"/>
          <w:szCs w:val="20"/>
        </w:rPr>
        <w:t xml:space="preserve"> </w:t>
      </w:r>
      <w:r w:rsidRPr="000977F7">
        <w:rPr>
          <w:rFonts w:asciiTheme="majorHAnsi" w:hAnsiTheme="majorHAnsi"/>
          <w:sz w:val="20"/>
          <w:szCs w:val="20"/>
        </w:rPr>
        <w:t>якістю</w:t>
      </w:r>
      <w:r w:rsidRPr="000977F7">
        <w:rPr>
          <w:rFonts w:asciiTheme="majorHAnsi" w:hAnsiTheme="majorHAnsi"/>
          <w:spacing w:val="19"/>
          <w:sz w:val="20"/>
          <w:szCs w:val="20"/>
        </w:rPr>
        <w:t xml:space="preserve"> </w:t>
      </w:r>
      <w:r w:rsidRPr="000977F7">
        <w:rPr>
          <w:rFonts w:asciiTheme="majorHAnsi" w:hAnsiTheme="majorHAnsi"/>
          <w:sz w:val="20"/>
          <w:szCs w:val="20"/>
        </w:rPr>
        <w:t>в</w:t>
      </w:r>
      <w:r w:rsidRPr="000977F7">
        <w:rPr>
          <w:rFonts w:asciiTheme="majorHAnsi" w:hAnsiTheme="majorHAnsi"/>
          <w:spacing w:val="14"/>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6"/>
          <w:sz w:val="20"/>
          <w:szCs w:val="20"/>
        </w:rPr>
        <w:t xml:space="preserve"> </w:t>
      </w:r>
      <w:r w:rsidRPr="000977F7">
        <w:rPr>
          <w:rFonts w:asciiTheme="majorHAnsi" w:hAnsiTheme="majorHAnsi"/>
          <w:sz w:val="20"/>
          <w:szCs w:val="20"/>
        </w:rPr>
        <w:t>була</w:t>
      </w:r>
      <w:r w:rsidRPr="000977F7">
        <w:rPr>
          <w:rFonts w:asciiTheme="majorHAnsi" w:hAnsiTheme="majorHAnsi"/>
          <w:spacing w:val="17"/>
          <w:sz w:val="20"/>
          <w:szCs w:val="20"/>
        </w:rPr>
        <w:t xml:space="preserve"> </w:t>
      </w:r>
      <w:r w:rsidRPr="000977F7">
        <w:rPr>
          <w:rFonts w:asciiTheme="majorHAnsi" w:hAnsiTheme="majorHAnsi"/>
          <w:sz w:val="20"/>
          <w:szCs w:val="20"/>
        </w:rPr>
        <w:t>доступною</w:t>
      </w:r>
      <w:r w:rsidRPr="000977F7">
        <w:rPr>
          <w:rFonts w:asciiTheme="majorHAnsi" w:hAnsiTheme="majorHAnsi"/>
          <w:spacing w:val="7"/>
          <w:sz w:val="20"/>
          <w:szCs w:val="20"/>
        </w:rPr>
        <w:t xml:space="preserve"> </w:t>
      </w:r>
      <w:r w:rsidRPr="000977F7">
        <w:rPr>
          <w:rFonts w:asciiTheme="majorHAnsi" w:hAnsiTheme="majorHAnsi"/>
          <w:sz w:val="20"/>
          <w:szCs w:val="20"/>
        </w:rPr>
        <w:t>та</w:t>
      </w:r>
      <w:r w:rsidRPr="000977F7">
        <w:rPr>
          <w:rFonts w:asciiTheme="majorHAnsi" w:hAnsiTheme="majorHAnsi"/>
          <w:spacing w:val="11"/>
          <w:sz w:val="20"/>
          <w:szCs w:val="20"/>
        </w:rPr>
        <w:t xml:space="preserve"> </w:t>
      </w:r>
      <w:r w:rsidRPr="000977F7">
        <w:rPr>
          <w:rFonts w:asciiTheme="majorHAnsi" w:hAnsiTheme="majorHAnsi"/>
          <w:sz w:val="20"/>
          <w:szCs w:val="20"/>
        </w:rPr>
        <w:t>була</w:t>
      </w:r>
      <w:r w:rsidRPr="000977F7">
        <w:rPr>
          <w:rFonts w:asciiTheme="majorHAnsi" w:hAnsiTheme="majorHAnsi"/>
          <w:spacing w:val="11"/>
          <w:sz w:val="20"/>
          <w:szCs w:val="20"/>
        </w:rPr>
        <w:t xml:space="preserve"> </w:t>
      </w:r>
      <w:r w:rsidRPr="000977F7">
        <w:rPr>
          <w:rFonts w:asciiTheme="majorHAnsi" w:hAnsiTheme="majorHAnsi"/>
          <w:sz w:val="20"/>
          <w:szCs w:val="20"/>
        </w:rPr>
        <w:t>підтримувана</w:t>
      </w:r>
      <w:r w:rsidRPr="000977F7">
        <w:rPr>
          <w:rFonts w:asciiTheme="majorHAnsi" w:hAnsiTheme="majorHAnsi"/>
          <w:spacing w:val="10"/>
          <w:sz w:val="20"/>
          <w:szCs w:val="20"/>
        </w:rPr>
        <w:t xml:space="preserve"> </w:t>
      </w:r>
      <w:r w:rsidRPr="000977F7">
        <w:rPr>
          <w:rFonts w:asciiTheme="majorHAnsi" w:hAnsiTheme="majorHAnsi"/>
          <w:sz w:val="20"/>
          <w:szCs w:val="20"/>
        </w:rPr>
        <w:t>в</w:t>
      </w:r>
      <w:r w:rsidRPr="000977F7">
        <w:rPr>
          <w:rFonts w:asciiTheme="majorHAnsi" w:hAnsiTheme="majorHAnsi"/>
          <w:spacing w:val="10"/>
          <w:sz w:val="20"/>
          <w:szCs w:val="20"/>
        </w:rPr>
        <w:t xml:space="preserve"> </w:t>
      </w:r>
      <w:r w:rsidRPr="000977F7">
        <w:rPr>
          <w:rFonts w:asciiTheme="majorHAnsi" w:hAnsiTheme="majorHAnsi"/>
          <w:sz w:val="20"/>
          <w:szCs w:val="20"/>
        </w:rPr>
        <w:t>належному</w:t>
      </w:r>
      <w:r w:rsidRPr="000977F7">
        <w:rPr>
          <w:rFonts w:asciiTheme="majorHAnsi" w:hAnsiTheme="majorHAnsi"/>
          <w:spacing w:val="5"/>
          <w:sz w:val="20"/>
          <w:szCs w:val="20"/>
        </w:rPr>
        <w:t xml:space="preserve"> </w:t>
      </w:r>
      <w:r w:rsidRPr="000977F7">
        <w:rPr>
          <w:rFonts w:asciiTheme="majorHAnsi" w:hAnsiTheme="majorHAnsi"/>
          <w:sz w:val="20"/>
          <w:szCs w:val="20"/>
        </w:rPr>
        <w:t>стані</w:t>
      </w:r>
      <w:r w:rsidRPr="000977F7">
        <w:rPr>
          <w:rFonts w:asciiTheme="majorHAnsi" w:hAnsiTheme="majorHAnsi"/>
          <w:spacing w:val="8"/>
          <w:sz w:val="20"/>
          <w:szCs w:val="20"/>
        </w:rPr>
        <w:t xml:space="preserve"> </w:t>
      </w:r>
      <w:r w:rsidRPr="000977F7">
        <w:rPr>
          <w:rFonts w:asciiTheme="majorHAnsi" w:hAnsiTheme="majorHAnsi"/>
          <w:sz w:val="20"/>
          <w:szCs w:val="20"/>
        </w:rPr>
        <w:t>як</w:t>
      </w:r>
      <w:r w:rsidRPr="000977F7">
        <w:rPr>
          <w:rFonts w:asciiTheme="majorHAnsi" w:hAnsiTheme="majorHAnsi"/>
          <w:spacing w:val="7"/>
          <w:sz w:val="20"/>
          <w:szCs w:val="20"/>
        </w:rPr>
        <w:t xml:space="preserve"> </w:t>
      </w:r>
      <w:r w:rsidRPr="000977F7">
        <w:rPr>
          <w:rFonts w:asciiTheme="majorHAnsi" w:hAnsiTheme="majorHAnsi"/>
          <w:sz w:val="20"/>
          <w:szCs w:val="20"/>
        </w:rPr>
        <w:t>задокументована</w:t>
      </w:r>
      <w:r w:rsidRPr="000977F7">
        <w:rPr>
          <w:rFonts w:asciiTheme="majorHAnsi" w:hAnsiTheme="majorHAnsi"/>
          <w:spacing w:val="14"/>
          <w:sz w:val="20"/>
          <w:szCs w:val="20"/>
        </w:rPr>
        <w:t xml:space="preserve"> </w:t>
      </w:r>
      <w:r w:rsidRPr="000977F7">
        <w:rPr>
          <w:rFonts w:asciiTheme="majorHAnsi" w:hAnsiTheme="majorHAnsi"/>
          <w:sz w:val="20"/>
          <w:szCs w:val="20"/>
        </w:rPr>
        <w:t>інформація.</w:t>
      </w:r>
      <w:r w:rsidRPr="000977F7">
        <w:rPr>
          <w:rFonts w:asciiTheme="majorHAnsi" w:hAnsiTheme="majorHAnsi"/>
          <w:spacing w:val="14"/>
          <w:sz w:val="20"/>
          <w:szCs w:val="20"/>
        </w:rPr>
        <w:t xml:space="preserve"> </w:t>
      </w:r>
      <w:r w:rsidRPr="000977F7">
        <w:rPr>
          <w:rFonts w:asciiTheme="majorHAnsi" w:hAnsiTheme="majorHAnsi"/>
          <w:sz w:val="20"/>
          <w:szCs w:val="20"/>
        </w:rPr>
        <w:t>У</w:t>
      </w:r>
      <w:r w:rsidRPr="000977F7">
        <w:rPr>
          <w:rFonts w:asciiTheme="majorHAnsi" w:hAnsiTheme="majorHAnsi"/>
          <w:spacing w:val="16"/>
          <w:sz w:val="20"/>
          <w:szCs w:val="20"/>
        </w:rPr>
        <w:t xml:space="preserve"> </w:t>
      </w:r>
      <w:r w:rsidRPr="000977F7">
        <w:rPr>
          <w:rFonts w:asciiTheme="majorHAnsi" w:hAnsiTheme="majorHAnsi"/>
          <w:sz w:val="20"/>
          <w:szCs w:val="20"/>
        </w:rPr>
        <w:t>сфері</w:t>
      </w:r>
      <w:r w:rsidRPr="000977F7">
        <w:rPr>
          <w:rFonts w:asciiTheme="majorHAnsi" w:hAnsiTheme="majorHAnsi"/>
          <w:spacing w:val="13"/>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13"/>
          <w:sz w:val="20"/>
          <w:szCs w:val="20"/>
        </w:rPr>
        <w:t xml:space="preserve"> </w:t>
      </w:r>
      <w:r w:rsidRPr="000977F7">
        <w:rPr>
          <w:rFonts w:asciiTheme="majorHAnsi" w:hAnsiTheme="majorHAnsi"/>
          <w:sz w:val="20"/>
          <w:szCs w:val="20"/>
        </w:rPr>
        <w:t>потрібно</w:t>
      </w:r>
      <w:r w:rsidRPr="000977F7">
        <w:rPr>
          <w:rFonts w:asciiTheme="majorHAnsi" w:hAnsiTheme="majorHAnsi"/>
          <w:spacing w:val="1"/>
          <w:sz w:val="20"/>
          <w:szCs w:val="20"/>
        </w:rPr>
        <w:t xml:space="preserve"> </w:t>
      </w:r>
      <w:r w:rsidRPr="000977F7">
        <w:rPr>
          <w:rFonts w:asciiTheme="majorHAnsi" w:hAnsiTheme="majorHAnsi"/>
          <w:sz w:val="20"/>
          <w:szCs w:val="20"/>
        </w:rPr>
        <w:t>викласти</w:t>
      </w:r>
      <w:r w:rsidRPr="000977F7">
        <w:rPr>
          <w:rFonts w:asciiTheme="majorHAnsi" w:hAnsiTheme="majorHAnsi"/>
          <w:spacing w:val="1"/>
          <w:sz w:val="20"/>
          <w:szCs w:val="20"/>
        </w:rPr>
        <w:t xml:space="preserve"> </w:t>
      </w:r>
      <w:r w:rsidRPr="000977F7">
        <w:rPr>
          <w:rFonts w:asciiTheme="majorHAnsi" w:hAnsiTheme="majorHAnsi"/>
          <w:sz w:val="20"/>
          <w:szCs w:val="20"/>
        </w:rPr>
        <w:t>охоплені</w:t>
      </w:r>
      <w:r w:rsidRPr="000977F7">
        <w:rPr>
          <w:rFonts w:asciiTheme="majorHAnsi" w:hAnsiTheme="majorHAnsi"/>
          <w:spacing w:val="1"/>
          <w:sz w:val="20"/>
          <w:szCs w:val="20"/>
        </w:rPr>
        <w:t xml:space="preserve"> </w:t>
      </w:r>
      <w:r w:rsidRPr="000977F7">
        <w:rPr>
          <w:rFonts w:asciiTheme="majorHAnsi" w:hAnsiTheme="majorHAnsi"/>
          <w:sz w:val="20"/>
          <w:szCs w:val="20"/>
        </w:rPr>
        <w:t>види</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spacing w:val="-47"/>
          <w:sz w:val="20"/>
          <w:szCs w:val="20"/>
        </w:rPr>
        <w:t xml:space="preserve"> </w:t>
      </w:r>
      <w:r w:rsidRPr="000977F7">
        <w:rPr>
          <w:rFonts w:asciiTheme="majorHAnsi" w:hAnsiTheme="majorHAnsi"/>
          <w:sz w:val="20"/>
          <w:szCs w:val="20"/>
        </w:rPr>
        <w:t>також</w:t>
      </w:r>
      <w:r w:rsidRPr="000977F7">
        <w:rPr>
          <w:rFonts w:asciiTheme="majorHAnsi" w:hAnsiTheme="majorHAnsi"/>
          <w:spacing w:val="34"/>
          <w:sz w:val="20"/>
          <w:szCs w:val="20"/>
        </w:rPr>
        <w:t xml:space="preserve"> </w:t>
      </w:r>
      <w:r w:rsidRPr="000977F7">
        <w:rPr>
          <w:rFonts w:asciiTheme="majorHAnsi" w:hAnsiTheme="majorHAnsi"/>
          <w:sz w:val="20"/>
          <w:szCs w:val="20"/>
        </w:rPr>
        <w:t>подати</w:t>
      </w:r>
      <w:r w:rsidRPr="000977F7">
        <w:rPr>
          <w:rFonts w:asciiTheme="majorHAnsi" w:hAnsiTheme="majorHAnsi"/>
          <w:spacing w:val="32"/>
          <w:sz w:val="20"/>
          <w:szCs w:val="20"/>
        </w:rPr>
        <w:t xml:space="preserve"> </w:t>
      </w:r>
      <w:r w:rsidRPr="000977F7">
        <w:rPr>
          <w:rFonts w:asciiTheme="majorHAnsi" w:hAnsiTheme="majorHAnsi"/>
          <w:sz w:val="20"/>
          <w:szCs w:val="20"/>
        </w:rPr>
        <w:t>обґрунтування</w:t>
      </w:r>
      <w:r w:rsidRPr="000977F7">
        <w:rPr>
          <w:rFonts w:asciiTheme="majorHAnsi" w:hAnsiTheme="majorHAnsi"/>
          <w:spacing w:val="32"/>
          <w:sz w:val="20"/>
          <w:szCs w:val="20"/>
        </w:rPr>
        <w:t xml:space="preserve"> </w:t>
      </w:r>
      <w:r w:rsidRPr="000977F7">
        <w:rPr>
          <w:rFonts w:asciiTheme="majorHAnsi" w:hAnsiTheme="majorHAnsi"/>
          <w:sz w:val="20"/>
          <w:szCs w:val="20"/>
        </w:rPr>
        <w:t>щодо</w:t>
      </w:r>
      <w:r w:rsidRPr="000977F7">
        <w:rPr>
          <w:rFonts w:asciiTheme="majorHAnsi" w:hAnsiTheme="majorHAnsi"/>
          <w:spacing w:val="33"/>
          <w:sz w:val="20"/>
          <w:szCs w:val="20"/>
        </w:rPr>
        <w:t xml:space="preserve"> </w:t>
      </w:r>
      <w:r w:rsidRPr="000977F7">
        <w:rPr>
          <w:rFonts w:asciiTheme="majorHAnsi" w:hAnsiTheme="majorHAnsi"/>
          <w:sz w:val="20"/>
          <w:szCs w:val="20"/>
        </w:rPr>
        <w:t>будь-якої</w:t>
      </w:r>
      <w:r w:rsidRPr="000977F7">
        <w:rPr>
          <w:rFonts w:asciiTheme="majorHAnsi" w:hAnsiTheme="majorHAnsi"/>
          <w:spacing w:val="33"/>
          <w:sz w:val="20"/>
          <w:szCs w:val="20"/>
        </w:rPr>
        <w:t xml:space="preserve"> </w:t>
      </w:r>
      <w:r w:rsidRPr="000977F7">
        <w:rPr>
          <w:rFonts w:asciiTheme="majorHAnsi" w:hAnsiTheme="majorHAnsi"/>
          <w:sz w:val="20"/>
          <w:szCs w:val="20"/>
        </w:rPr>
        <w:t>вимоги</w:t>
      </w:r>
      <w:r w:rsidRPr="000977F7">
        <w:rPr>
          <w:rFonts w:asciiTheme="majorHAnsi" w:hAnsiTheme="majorHAnsi"/>
          <w:spacing w:val="-47"/>
          <w:sz w:val="20"/>
          <w:szCs w:val="20"/>
        </w:rPr>
        <w:t xml:space="preserve"> </w:t>
      </w:r>
      <w:r w:rsidRPr="000977F7">
        <w:rPr>
          <w:rFonts w:asciiTheme="majorHAnsi" w:hAnsiTheme="majorHAnsi"/>
          <w:sz w:val="20"/>
          <w:szCs w:val="20"/>
        </w:rPr>
        <w:t>цього стандарту, яку організація визначає недоречною</w:t>
      </w:r>
      <w:r w:rsidRPr="000977F7">
        <w:rPr>
          <w:rFonts w:asciiTheme="majorHAnsi" w:hAnsiTheme="majorHAnsi"/>
          <w:spacing w:val="-47"/>
          <w:sz w:val="20"/>
          <w:szCs w:val="20"/>
        </w:rPr>
        <w:t xml:space="preserve"> </w:t>
      </w:r>
      <w:r w:rsidRPr="000977F7">
        <w:rPr>
          <w:rFonts w:asciiTheme="majorHAnsi" w:hAnsiTheme="majorHAnsi"/>
          <w:sz w:val="20"/>
          <w:szCs w:val="20"/>
        </w:rPr>
        <w:t>до сфери застосування її системи управління якістю.</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відповідність</w:t>
      </w:r>
      <w:r w:rsidRPr="000977F7">
        <w:rPr>
          <w:rFonts w:asciiTheme="majorHAnsi" w:hAnsiTheme="majorHAnsi"/>
          <w:spacing w:val="1"/>
          <w:sz w:val="20"/>
          <w:szCs w:val="20"/>
        </w:rPr>
        <w:t xml:space="preserve"> </w:t>
      </w:r>
      <w:r w:rsidRPr="000977F7">
        <w:rPr>
          <w:rFonts w:asciiTheme="majorHAnsi" w:hAnsiTheme="majorHAnsi"/>
          <w:sz w:val="20"/>
          <w:szCs w:val="20"/>
        </w:rPr>
        <w:t>цьому стандарту</w:t>
      </w:r>
      <w:r w:rsidRPr="000977F7">
        <w:rPr>
          <w:rFonts w:asciiTheme="majorHAnsi" w:hAnsiTheme="majorHAnsi"/>
          <w:spacing w:val="1"/>
          <w:sz w:val="20"/>
          <w:szCs w:val="20"/>
        </w:rPr>
        <w:t xml:space="preserve"> </w:t>
      </w:r>
      <w:r w:rsidRPr="000977F7">
        <w:rPr>
          <w:rFonts w:asciiTheme="majorHAnsi" w:hAnsiTheme="majorHAnsi"/>
          <w:sz w:val="20"/>
          <w:szCs w:val="20"/>
        </w:rPr>
        <w:t>можна</w:t>
      </w:r>
      <w:r w:rsidRPr="000977F7">
        <w:rPr>
          <w:rFonts w:asciiTheme="majorHAnsi" w:hAnsiTheme="majorHAnsi"/>
          <w:spacing w:val="1"/>
          <w:sz w:val="20"/>
          <w:szCs w:val="20"/>
        </w:rPr>
        <w:t xml:space="preserve"> </w:t>
      </w:r>
      <w:r w:rsidRPr="000977F7">
        <w:rPr>
          <w:rFonts w:asciiTheme="majorHAnsi" w:hAnsiTheme="majorHAnsi"/>
          <w:sz w:val="20"/>
          <w:szCs w:val="20"/>
        </w:rPr>
        <w:t>заявляти</w:t>
      </w:r>
      <w:r w:rsidRPr="000977F7">
        <w:rPr>
          <w:rFonts w:asciiTheme="majorHAnsi" w:hAnsiTheme="majorHAnsi"/>
          <w:spacing w:val="1"/>
          <w:sz w:val="20"/>
          <w:szCs w:val="20"/>
        </w:rPr>
        <w:t xml:space="preserve"> </w:t>
      </w:r>
      <w:r w:rsidRPr="000977F7">
        <w:rPr>
          <w:rFonts w:asciiTheme="majorHAnsi" w:hAnsiTheme="majorHAnsi"/>
          <w:sz w:val="20"/>
          <w:szCs w:val="20"/>
        </w:rPr>
        <w:t>тільки</w:t>
      </w:r>
      <w:r w:rsidRPr="000977F7">
        <w:rPr>
          <w:rFonts w:asciiTheme="majorHAnsi" w:hAnsiTheme="majorHAnsi"/>
          <w:spacing w:val="5"/>
          <w:sz w:val="20"/>
          <w:szCs w:val="20"/>
        </w:rPr>
        <w:t xml:space="preserve"> </w:t>
      </w:r>
      <w:r w:rsidRPr="000977F7">
        <w:rPr>
          <w:rFonts w:asciiTheme="majorHAnsi" w:hAnsiTheme="majorHAnsi"/>
          <w:sz w:val="20"/>
          <w:szCs w:val="20"/>
        </w:rPr>
        <w:t>в</w:t>
      </w:r>
      <w:r w:rsidRPr="000977F7">
        <w:rPr>
          <w:rFonts w:asciiTheme="majorHAnsi" w:hAnsiTheme="majorHAnsi"/>
          <w:spacing w:val="7"/>
          <w:sz w:val="20"/>
          <w:szCs w:val="20"/>
        </w:rPr>
        <w:t xml:space="preserve"> </w:t>
      </w:r>
      <w:r w:rsidRPr="000977F7">
        <w:rPr>
          <w:rFonts w:asciiTheme="majorHAnsi" w:hAnsiTheme="majorHAnsi"/>
          <w:sz w:val="20"/>
          <w:szCs w:val="20"/>
        </w:rPr>
        <w:t>разі,</w:t>
      </w:r>
      <w:r w:rsidRPr="000977F7">
        <w:rPr>
          <w:rFonts w:asciiTheme="majorHAnsi" w:hAnsiTheme="majorHAnsi"/>
          <w:spacing w:val="5"/>
          <w:sz w:val="20"/>
          <w:szCs w:val="20"/>
        </w:rPr>
        <w:t xml:space="preserve"> </w:t>
      </w:r>
      <w:r w:rsidRPr="000977F7">
        <w:rPr>
          <w:rFonts w:asciiTheme="majorHAnsi" w:hAnsiTheme="majorHAnsi"/>
          <w:sz w:val="20"/>
          <w:szCs w:val="20"/>
        </w:rPr>
        <w:t>якщо</w:t>
      </w:r>
      <w:r w:rsidRPr="000977F7">
        <w:rPr>
          <w:rFonts w:asciiTheme="majorHAnsi" w:hAnsiTheme="majorHAnsi"/>
          <w:spacing w:val="5"/>
          <w:sz w:val="20"/>
          <w:szCs w:val="20"/>
        </w:rPr>
        <w:t xml:space="preserve"> </w:t>
      </w:r>
      <w:r w:rsidRPr="000977F7">
        <w:rPr>
          <w:rFonts w:asciiTheme="majorHAnsi" w:hAnsiTheme="majorHAnsi"/>
          <w:sz w:val="20"/>
          <w:szCs w:val="20"/>
        </w:rPr>
        <w:t>вимоги,</w:t>
      </w:r>
      <w:r w:rsidRPr="000977F7">
        <w:rPr>
          <w:rFonts w:asciiTheme="majorHAnsi" w:hAnsiTheme="majorHAnsi"/>
          <w:spacing w:val="8"/>
          <w:sz w:val="20"/>
          <w:szCs w:val="20"/>
        </w:rPr>
        <w:t xml:space="preserve"> </w:t>
      </w:r>
      <w:r w:rsidRPr="000977F7">
        <w:rPr>
          <w:rFonts w:asciiTheme="majorHAnsi" w:hAnsiTheme="majorHAnsi"/>
          <w:sz w:val="20"/>
          <w:szCs w:val="20"/>
        </w:rPr>
        <w:t>визначені</w:t>
      </w:r>
      <w:r w:rsidRPr="000977F7">
        <w:rPr>
          <w:rFonts w:asciiTheme="majorHAnsi" w:hAnsiTheme="majorHAnsi"/>
          <w:spacing w:val="7"/>
          <w:sz w:val="20"/>
          <w:szCs w:val="20"/>
        </w:rPr>
        <w:t xml:space="preserve"> </w:t>
      </w:r>
      <w:r w:rsidRPr="000977F7">
        <w:rPr>
          <w:rFonts w:asciiTheme="majorHAnsi" w:hAnsiTheme="majorHAnsi"/>
          <w:sz w:val="20"/>
          <w:szCs w:val="20"/>
        </w:rPr>
        <w:t>як</w:t>
      </w:r>
      <w:r w:rsidRPr="000977F7">
        <w:rPr>
          <w:rFonts w:asciiTheme="majorHAnsi" w:hAnsiTheme="majorHAnsi"/>
          <w:spacing w:val="6"/>
          <w:sz w:val="20"/>
          <w:szCs w:val="20"/>
        </w:rPr>
        <w:t xml:space="preserve"> </w:t>
      </w:r>
      <w:r w:rsidRPr="000977F7">
        <w:rPr>
          <w:rFonts w:asciiTheme="majorHAnsi" w:hAnsiTheme="majorHAnsi"/>
          <w:sz w:val="20"/>
          <w:szCs w:val="20"/>
        </w:rPr>
        <w:t>незастосовні,</w:t>
      </w:r>
      <w:r w:rsidRPr="000977F7">
        <w:rPr>
          <w:rFonts w:asciiTheme="majorHAnsi" w:hAnsiTheme="majorHAnsi"/>
          <w:spacing w:val="-47"/>
          <w:sz w:val="20"/>
          <w:szCs w:val="20"/>
        </w:rPr>
        <w:t xml:space="preserve"> </w:t>
      </w:r>
      <w:r w:rsidRPr="000977F7">
        <w:rPr>
          <w:rFonts w:asciiTheme="majorHAnsi" w:hAnsiTheme="majorHAnsi"/>
          <w:sz w:val="20"/>
          <w:szCs w:val="20"/>
        </w:rPr>
        <w:t>не</w:t>
      </w:r>
      <w:r w:rsidRPr="000977F7">
        <w:rPr>
          <w:rFonts w:asciiTheme="majorHAnsi" w:hAnsiTheme="majorHAnsi"/>
          <w:spacing w:val="6"/>
          <w:sz w:val="20"/>
          <w:szCs w:val="20"/>
        </w:rPr>
        <w:t xml:space="preserve"> </w:t>
      </w:r>
      <w:r w:rsidRPr="000977F7">
        <w:rPr>
          <w:rFonts w:asciiTheme="majorHAnsi" w:hAnsiTheme="majorHAnsi"/>
          <w:sz w:val="20"/>
          <w:szCs w:val="20"/>
        </w:rPr>
        <w:t>впливають</w:t>
      </w:r>
      <w:r w:rsidRPr="000977F7">
        <w:rPr>
          <w:rFonts w:asciiTheme="majorHAnsi" w:hAnsiTheme="majorHAnsi"/>
          <w:spacing w:val="9"/>
          <w:sz w:val="20"/>
          <w:szCs w:val="20"/>
        </w:rPr>
        <w:t xml:space="preserve"> </w:t>
      </w:r>
      <w:r w:rsidRPr="000977F7">
        <w:rPr>
          <w:rFonts w:asciiTheme="majorHAnsi" w:hAnsiTheme="majorHAnsi"/>
          <w:sz w:val="20"/>
          <w:szCs w:val="20"/>
        </w:rPr>
        <w:t>на</w:t>
      </w:r>
      <w:r w:rsidRPr="000977F7">
        <w:rPr>
          <w:rFonts w:asciiTheme="majorHAnsi" w:hAnsiTheme="majorHAnsi"/>
          <w:spacing w:val="7"/>
          <w:sz w:val="20"/>
          <w:szCs w:val="20"/>
        </w:rPr>
        <w:t xml:space="preserve"> </w:t>
      </w:r>
      <w:r w:rsidRPr="000977F7">
        <w:rPr>
          <w:rFonts w:asciiTheme="majorHAnsi" w:hAnsiTheme="majorHAnsi"/>
          <w:sz w:val="20"/>
          <w:szCs w:val="20"/>
        </w:rPr>
        <w:t>здатність</w:t>
      </w:r>
      <w:r w:rsidRPr="000977F7">
        <w:rPr>
          <w:rFonts w:asciiTheme="majorHAnsi" w:hAnsiTheme="majorHAnsi"/>
          <w:spacing w:val="6"/>
          <w:sz w:val="20"/>
          <w:szCs w:val="20"/>
        </w:rPr>
        <w:t xml:space="preserve"> </w:t>
      </w:r>
      <w:r w:rsidRPr="000977F7">
        <w:rPr>
          <w:rFonts w:asciiTheme="majorHAnsi" w:hAnsiTheme="majorHAnsi"/>
          <w:sz w:val="20"/>
          <w:szCs w:val="20"/>
        </w:rPr>
        <w:t>чи</w:t>
      </w:r>
      <w:r w:rsidRPr="000977F7">
        <w:rPr>
          <w:rFonts w:asciiTheme="majorHAnsi" w:hAnsiTheme="majorHAnsi"/>
          <w:spacing w:val="5"/>
          <w:sz w:val="20"/>
          <w:szCs w:val="20"/>
        </w:rPr>
        <w:t xml:space="preserve"> </w:t>
      </w:r>
      <w:r w:rsidRPr="000977F7">
        <w:rPr>
          <w:rFonts w:asciiTheme="majorHAnsi" w:hAnsiTheme="majorHAnsi"/>
          <w:sz w:val="20"/>
          <w:szCs w:val="20"/>
        </w:rPr>
        <w:t>відповідальність</w:t>
      </w:r>
      <w:r w:rsidRPr="000977F7">
        <w:rPr>
          <w:rFonts w:asciiTheme="majorHAnsi" w:hAnsiTheme="majorHAnsi"/>
          <w:spacing w:val="6"/>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32"/>
          <w:sz w:val="20"/>
          <w:szCs w:val="20"/>
        </w:rPr>
        <w:t xml:space="preserve"> </w:t>
      </w:r>
      <w:r w:rsidRPr="000977F7">
        <w:rPr>
          <w:rFonts w:asciiTheme="majorHAnsi" w:hAnsiTheme="majorHAnsi"/>
          <w:sz w:val="20"/>
          <w:szCs w:val="20"/>
        </w:rPr>
        <w:t>стосовно</w:t>
      </w:r>
      <w:r w:rsidRPr="000977F7">
        <w:rPr>
          <w:rFonts w:asciiTheme="majorHAnsi" w:hAnsiTheme="majorHAnsi"/>
          <w:spacing w:val="34"/>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36"/>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35"/>
          <w:sz w:val="20"/>
          <w:szCs w:val="20"/>
        </w:rPr>
        <w:t xml:space="preserve"> </w:t>
      </w:r>
      <w:r w:rsidRPr="000977F7">
        <w:rPr>
          <w:rFonts w:asciiTheme="majorHAnsi" w:hAnsiTheme="majorHAnsi"/>
          <w:sz w:val="20"/>
          <w:szCs w:val="20"/>
        </w:rPr>
        <w:t>своїх</w:t>
      </w:r>
      <w:r w:rsidRPr="000977F7">
        <w:rPr>
          <w:rFonts w:asciiTheme="majorHAnsi" w:hAnsiTheme="majorHAnsi"/>
          <w:spacing w:val="34"/>
          <w:sz w:val="20"/>
          <w:szCs w:val="20"/>
        </w:rPr>
        <w:t xml:space="preserve"> </w:t>
      </w:r>
      <w:r w:rsidRPr="000977F7">
        <w:rPr>
          <w:rFonts w:asciiTheme="majorHAnsi" w:hAnsiTheme="majorHAnsi"/>
          <w:sz w:val="20"/>
          <w:szCs w:val="20"/>
        </w:rPr>
        <w:t>продукції</w:t>
      </w:r>
      <w:r w:rsidRPr="000977F7">
        <w:rPr>
          <w:rFonts w:asciiTheme="majorHAnsi" w:hAnsiTheme="majorHAnsi"/>
          <w:spacing w:val="10"/>
          <w:sz w:val="20"/>
          <w:szCs w:val="20"/>
        </w:rPr>
        <w:t xml:space="preserve"> </w:t>
      </w:r>
      <w:r w:rsidRPr="000977F7">
        <w:rPr>
          <w:rFonts w:asciiTheme="majorHAnsi" w:hAnsiTheme="majorHAnsi"/>
          <w:sz w:val="20"/>
          <w:szCs w:val="20"/>
        </w:rPr>
        <w:t>та</w:t>
      </w:r>
      <w:r w:rsidRPr="000977F7">
        <w:rPr>
          <w:rFonts w:asciiTheme="majorHAnsi" w:hAnsiTheme="majorHAnsi"/>
          <w:spacing w:val="12"/>
          <w:sz w:val="20"/>
          <w:szCs w:val="20"/>
        </w:rPr>
        <w:t xml:space="preserve"> </w:t>
      </w:r>
      <w:r w:rsidRPr="000977F7">
        <w:rPr>
          <w:rFonts w:asciiTheme="majorHAnsi" w:hAnsiTheme="majorHAnsi"/>
          <w:sz w:val="20"/>
          <w:szCs w:val="20"/>
        </w:rPr>
        <w:t>послуг</w:t>
      </w:r>
      <w:r w:rsidRPr="000977F7">
        <w:rPr>
          <w:rFonts w:asciiTheme="majorHAnsi" w:hAnsiTheme="majorHAnsi"/>
          <w:spacing w:val="11"/>
          <w:sz w:val="20"/>
          <w:szCs w:val="20"/>
        </w:rPr>
        <w:t xml:space="preserve"> </w:t>
      </w:r>
      <w:r w:rsidRPr="000977F7">
        <w:rPr>
          <w:rFonts w:asciiTheme="majorHAnsi" w:hAnsiTheme="majorHAnsi"/>
          <w:sz w:val="20"/>
          <w:szCs w:val="20"/>
        </w:rPr>
        <w:t>і</w:t>
      </w:r>
      <w:r w:rsidRPr="000977F7">
        <w:rPr>
          <w:rFonts w:asciiTheme="majorHAnsi" w:hAnsiTheme="majorHAnsi"/>
          <w:spacing w:val="10"/>
          <w:sz w:val="20"/>
          <w:szCs w:val="20"/>
        </w:rPr>
        <w:t xml:space="preserve"> </w:t>
      </w:r>
      <w:r w:rsidRPr="000977F7">
        <w:rPr>
          <w:rFonts w:asciiTheme="majorHAnsi" w:hAnsiTheme="majorHAnsi"/>
          <w:sz w:val="20"/>
          <w:szCs w:val="20"/>
        </w:rPr>
        <w:t>підвищення</w:t>
      </w:r>
      <w:r w:rsidRPr="000977F7">
        <w:rPr>
          <w:rFonts w:asciiTheme="majorHAnsi" w:hAnsiTheme="majorHAnsi"/>
          <w:spacing w:val="8"/>
          <w:sz w:val="20"/>
          <w:szCs w:val="20"/>
        </w:rPr>
        <w:t xml:space="preserve"> </w:t>
      </w:r>
      <w:r w:rsidRPr="000977F7">
        <w:rPr>
          <w:rFonts w:asciiTheme="majorHAnsi" w:hAnsiTheme="majorHAnsi"/>
          <w:sz w:val="20"/>
          <w:szCs w:val="20"/>
        </w:rPr>
        <w:t>задоволеності</w:t>
      </w:r>
      <w:r w:rsidRPr="000977F7">
        <w:rPr>
          <w:rFonts w:asciiTheme="majorHAnsi" w:hAnsiTheme="majorHAnsi"/>
          <w:spacing w:val="10"/>
          <w:sz w:val="20"/>
          <w:szCs w:val="20"/>
        </w:rPr>
        <w:t xml:space="preserve"> </w:t>
      </w:r>
      <w:r w:rsidRPr="000977F7">
        <w:rPr>
          <w:rFonts w:asciiTheme="majorHAnsi" w:hAnsiTheme="majorHAnsi"/>
          <w:sz w:val="20"/>
          <w:szCs w:val="20"/>
        </w:rPr>
        <w:t>замовника.</w:t>
      </w:r>
    </w:p>
    <w:p w14:paraId="7029B46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0AF9B57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ВИКОНАВЕЦЬ –</w:t>
      </w:r>
    </w:p>
    <w:p w14:paraId="28B39A55"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Суб'єкт господарювання, який виконує роботи або надає послуги</w:t>
      </w:r>
    </w:p>
    <w:p w14:paraId="0D346B46"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захист прав споживачів"</w:t>
      </w:r>
    </w:p>
    <w:p w14:paraId="2F041F5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ВИКОНАВЕЦЬ</w:t>
      </w:r>
      <w:r w:rsidRPr="000977F7">
        <w:rPr>
          <w:color w:val="auto"/>
          <w:spacing w:val="-8"/>
          <w:sz w:val="20"/>
          <w:szCs w:val="20"/>
        </w:rPr>
        <w:t xml:space="preserve"> </w:t>
      </w:r>
      <w:r w:rsidRPr="000977F7">
        <w:rPr>
          <w:color w:val="auto"/>
          <w:sz w:val="20"/>
          <w:szCs w:val="20"/>
        </w:rPr>
        <w:t>У</w:t>
      </w:r>
      <w:r w:rsidRPr="000977F7">
        <w:rPr>
          <w:color w:val="auto"/>
          <w:spacing w:val="-8"/>
          <w:sz w:val="20"/>
          <w:szCs w:val="20"/>
        </w:rPr>
        <w:t xml:space="preserve"> </w:t>
      </w:r>
      <w:r w:rsidRPr="000977F7">
        <w:rPr>
          <w:color w:val="auto"/>
          <w:sz w:val="20"/>
          <w:szCs w:val="20"/>
        </w:rPr>
        <w:t>ТЕХНОЛОГІЧНІЙ</w:t>
      </w:r>
      <w:r w:rsidRPr="000977F7">
        <w:rPr>
          <w:color w:val="auto"/>
          <w:spacing w:val="-47"/>
          <w:sz w:val="20"/>
          <w:szCs w:val="20"/>
        </w:rPr>
        <w:t xml:space="preserve"> </w:t>
      </w:r>
      <w:r w:rsidRPr="000977F7">
        <w:rPr>
          <w:color w:val="auto"/>
          <w:sz w:val="20"/>
          <w:szCs w:val="20"/>
        </w:rPr>
        <w:t>СИСТЕМІ</w:t>
      </w:r>
      <w:r w:rsidRPr="000977F7">
        <w:rPr>
          <w:color w:val="auto"/>
          <w:spacing w:val="-1"/>
          <w:sz w:val="20"/>
          <w:szCs w:val="20"/>
        </w:rPr>
        <w:t xml:space="preserve"> </w:t>
      </w:r>
      <w:r w:rsidRPr="000977F7">
        <w:rPr>
          <w:color w:val="auto"/>
          <w:sz w:val="20"/>
          <w:szCs w:val="20"/>
        </w:rPr>
        <w:t>–</w:t>
      </w:r>
    </w:p>
    <w:p w14:paraId="4C332E5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UTILIZATION FACTOR OF TECHNOLOGICAL</w:t>
      </w:r>
      <w:r w:rsidRPr="004D2D14">
        <w:rPr>
          <w:rFonts w:asciiTheme="majorHAnsi" w:hAnsiTheme="majorHAnsi"/>
          <w:spacing w:val="-48"/>
          <w:sz w:val="20"/>
          <w:szCs w:val="20"/>
          <w:lang w:val="en-US"/>
        </w:rPr>
        <w:t xml:space="preserve"> </w:t>
      </w:r>
      <w:r w:rsidRPr="004D2D14">
        <w:rPr>
          <w:rFonts w:asciiTheme="majorHAnsi" w:hAnsiTheme="majorHAnsi"/>
          <w:sz w:val="20"/>
          <w:szCs w:val="20"/>
          <w:lang w:val="en-US"/>
        </w:rPr>
        <w:t>SYSTEM –</w:t>
      </w:r>
    </w:p>
    <w:p w14:paraId="6284878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Людина</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виконує</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технологічній</w:t>
      </w:r>
      <w:r w:rsidRPr="004D2D14">
        <w:rPr>
          <w:rFonts w:asciiTheme="majorHAnsi" w:hAnsiTheme="majorHAnsi"/>
          <w:sz w:val="20"/>
          <w:szCs w:val="20"/>
          <w:lang w:val="en-US"/>
        </w:rPr>
        <w:t xml:space="preserve"> </w:t>
      </w:r>
      <w:r w:rsidRPr="000977F7">
        <w:rPr>
          <w:rFonts w:asciiTheme="majorHAnsi" w:hAnsiTheme="majorHAnsi"/>
          <w:sz w:val="20"/>
          <w:szCs w:val="20"/>
        </w:rPr>
        <w:t>системі</w:t>
      </w:r>
      <w:r w:rsidRPr="004D2D14">
        <w:rPr>
          <w:rFonts w:asciiTheme="majorHAnsi" w:hAnsiTheme="majorHAnsi"/>
          <w:sz w:val="20"/>
          <w:szCs w:val="20"/>
          <w:lang w:val="en-US"/>
        </w:rPr>
        <w:t xml:space="preserve"> </w:t>
      </w:r>
      <w:r w:rsidRPr="000977F7">
        <w:rPr>
          <w:rFonts w:asciiTheme="majorHAnsi" w:hAnsiTheme="majorHAnsi"/>
          <w:sz w:val="20"/>
          <w:szCs w:val="20"/>
        </w:rPr>
        <w:t>трудову</w:t>
      </w:r>
      <w:r w:rsidRPr="004D2D14">
        <w:rPr>
          <w:rFonts w:asciiTheme="majorHAnsi" w:hAnsiTheme="majorHAnsi"/>
          <w:spacing w:val="1"/>
          <w:sz w:val="20"/>
          <w:szCs w:val="20"/>
          <w:lang w:val="en-US"/>
        </w:rPr>
        <w:t xml:space="preserve"> </w:t>
      </w:r>
      <w:r w:rsidRPr="000977F7">
        <w:rPr>
          <w:rFonts w:asciiTheme="majorHAnsi" w:hAnsiTheme="majorHAnsi"/>
          <w:sz w:val="20"/>
          <w:szCs w:val="20"/>
        </w:rPr>
        <w:t>діяльність</w:t>
      </w:r>
      <w:r w:rsidRPr="004D2D14">
        <w:rPr>
          <w:rFonts w:asciiTheme="majorHAnsi" w:hAnsiTheme="majorHAnsi"/>
          <w:spacing w:val="1"/>
          <w:sz w:val="20"/>
          <w:szCs w:val="20"/>
          <w:lang w:val="en-US"/>
        </w:rPr>
        <w:t xml:space="preserve"> </w:t>
      </w:r>
      <w:r w:rsidRPr="000977F7">
        <w:rPr>
          <w:rFonts w:asciiTheme="majorHAnsi" w:hAnsiTheme="majorHAnsi"/>
          <w:sz w:val="20"/>
          <w:szCs w:val="20"/>
        </w:rPr>
        <w:t>щодо</w:t>
      </w:r>
      <w:r w:rsidRPr="004D2D14">
        <w:rPr>
          <w:rFonts w:asciiTheme="majorHAnsi" w:hAnsiTheme="majorHAnsi"/>
          <w:spacing w:val="1"/>
          <w:sz w:val="20"/>
          <w:szCs w:val="20"/>
          <w:lang w:val="en-US"/>
        </w:rPr>
        <w:t xml:space="preserve"> </w:t>
      </w:r>
      <w:r w:rsidRPr="000977F7">
        <w:rPr>
          <w:rFonts w:asciiTheme="majorHAnsi" w:hAnsiTheme="majorHAnsi"/>
          <w:sz w:val="20"/>
          <w:szCs w:val="20"/>
        </w:rPr>
        <w:t>безпосередньої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зміни</w:t>
      </w:r>
      <w:r w:rsidRPr="004D2D14">
        <w:rPr>
          <w:rFonts w:asciiTheme="majorHAnsi" w:hAnsiTheme="majorHAnsi"/>
          <w:spacing w:val="1"/>
          <w:sz w:val="20"/>
          <w:szCs w:val="20"/>
          <w:lang w:val="en-US"/>
        </w:rPr>
        <w:t xml:space="preserve"> </w:t>
      </w:r>
      <w:r w:rsidRPr="000977F7">
        <w:rPr>
          <w:rFonts w:asciiTheme="majorHAnsi" w:hAnsiTheme="majorHAnsi"/>
          <w:sz w:val="20"/>
          <w:szCs w:val="20"/>
        </w:rPr>
        <w:t>і</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r w:rsidRPr="000977F7">
        <w:rPr>
          <w:rFonts w:asciiTheme="majorHAnsi" w:hAnsiTheme="majorHAnsi"/>
          <w:sz w:val="20"/>
          <w:szCs w:val="20"/>
        </w:rPr>
        <w:t>чи</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визначення</w:t>
      </w:r>
      <w:r w:rsidRPr="004D2D14">
        <w:rPr>
          <w:rFonts w:asciiTheme="majorHAnsi" w:hAnsiTheme="majorHAnsi"/>
          <w:sz w:val="20"/>
          <w:szCs w:val="20"/>
          <w:lang w:val="en-US"/>
        </w:rPr>
        <w:t xml:space="preserve"> </w:t>
      </w:r>
      <w:r w:rsidRPr="000977F7">
        <w:rPr>
          <w:rFonts w:asciiTheme="majorHAnsi" w:hAnsiTheme="majorHAnsi"/>
          <w:sz w:val="20"/>
          <w:szCs w:val="20"/>
        </w:rPr>
        <w:t>стану</w:t>
      </w:r>
      <w:r w:rsidRPr="004D2D14">
        <w:rPr>
          <w:rFonts w:asciiTheme="majorHAnsi" w:hAnsiTheme="majorHAnsi"/>
          <w:sz w:val="20"/>
          <w:szCs w:val="20"/>
          <w:lang w:val="en-US"/>
        </w:rPr>
        <w:t xml:space="preserve"> </w:t>
      </w:r>
      <w:r w:rsidRPr="000977F7">
        <w:rPr>
          <w:rFonts w:asciiTheme="majorHAnsi" w:hAnsiTheme="majorHAnsi"/>
          <w:sz w:val="20"/>
          <w:szCs w:val="20"/>
        </w:rPr>
        <w:t>предметів</w:t>
      </w:r>
      <w:r w:rsidRPr="004D2D14">
        <w:rPr>
          <w:rFonts w:asciiTheme="majorHAnsi" w:hAnsiTheme="majorHAnsi"/>
          <w:sz w:val="20"/>
          <w:szCs w:val="20"/>
          <w:lang w:val="en-US"/>
        </w:rPr>
        <w:t xml:space="preserve"> </w:t>
      </w:r>
      <w:r w:rsidRPr="000977F7">
        <w:rPr>
          <w:rFonts w:asciiTheme="majorHAnsi" w:hAnsiTheme="majorHAnsi"/>
          <w:sz w:val="20"/>
          <w:szCs w:val="20"/>
        </w:rPr>
        <w:t>виробництва</w:t>
      </w:r>
      <w:r w:rsidRPr="004D2D14">
        <w:rPr>
          <w:rFonts w:asciiTheme="majorHAnsi" w:hAnsiTheme="majorHAnsi"/>
          <w:sz w:val="20"/>
          <w:szCs w:val="20"/>
          <w:lang w:val="en-US"/>
        </w:rPr>
        <w:t xml:space="preserve">, </w:t>
      </w:r>
      <w:r w:rsidRPr="000977F7">
        <w:rPr>
          <w:rFonts w:asciiTheme="majorHAnsi" w:hAnsiTheme="majorHAnsi"/>
          <w:sz w:val="20"/>
          <w:szCs w:val="20"/>
        </w:rPr>
        <w:t>технічного</w:t>
      </w:r>
      <w:r w:rsidRPr="004D2D14">
        <w:rPr>
          <w:rFonts w:asciiTheme="majorHAnsi" w:hAnsiTheme="majorHAnsi"/>
          <w:sz w:val="20"/>
          <w:szCs w:val="20"/>
          <w:lang w:val="en-US"/>
        </w:rPr>
        <w:t xml:space="preserve"> </w:t>
      </w:r>
      <w:r w:rsidRPr="000977F7">
        <w:rPr>
          <w:rFonts w:asciiTheme="majorHAnsi" w:hAnsiTheme="majorHAnsi"/>
          <w:sz w:val="20"/>
          <w:szCs w:val="20"/>
        </w:rPr>
        <w:t>обслуговування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чи</w:t>
      </w:r>
      <w:r w:rsidRPr="004D2D14">
        <w:rPr>
          <w:rFonts w:asciiTheme="majorHAnsi" w:hAnsiTheme="majorHAnsi"/>
          <w:spacing w:val="1"/>
          <w:sz w:val="20"/>
          <w:szCs w:val="20"/>
          <w:lang w:val="en-US"/>
        </w:rPr>
        <w:t xml:space="preserve"> </w:t>
      </w:r>
      <w:r w:rsidRPr="000977F7">
        <w:rPr>
          <w:rFonts w:asciiTheme="majorHAnsi" w:hAnsiTheme="majorHAnsi"/>
          <w:sz w:val="20"/>
          <w:szCs w:val="20"/>
        </w:rPr>
        <w:t>ремонту</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засобів</w:t>
      </w:r>
      <w:r w:rsidRPr="004D2D14">
        <w:rPr>
          <w:rFonts w:asciiTheme="majorHAnsi" w:hAnsiTheme="majorHAnsi"/>
          <w:spacing w:val="1"/>
          <w:sz w:val="20"/>
          <w:szCs w:val="20"/>
          <w:lang w:val="en-US"/>
        </w:rPr>
        <w:t xml:space="preserve"> </w:t>
      </w:r>
      <w:r w:rsidRPr="000977F7">
        <w:rPr>
          <w:rFonts w:asciiTheme="majorHAnsi" w:hAnsiTheme="majorHAnsi"/>
          <w:sz w:val="20"/>
          <w:szCs w:val="20"/>
        </w:rPr>
        <w:t>технологічного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оснащення</w:t>
      </w:r>
    </w:p>
    <w:p w14:paraId="114F54E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2470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B78F11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ВИКОНАВЕЦЬ НАУКОВО-ДОСЛІДНОЇ </w:t>
      </w:r>
    </w:p>
    <w:p w14:paraId="59C6E58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РОБОТИ –</w:t>
      </w:r>
    </w:p>
    <w:p w14:paraId="3E5FB5B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Фізична або юридична особа, яка виконує науково – дослідну роботу</w:t>
      </w:r>
    </w:p>
    <w:p w14:paraId="78CB3998"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3278 – 95</w:t>
      </w:r>
    </w:p>
    <w:p w14:paraId="276D6FA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ВИКОНАВЧИЙ ОРГАН З ПИТАНЬ </w:t>
      </w:r>
    </w:p>
    <w:p w14:paraId="2C6262F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РЕГЛАМЕНТАЦІЇ</w:t>
      </w:r>
      <w:r w:rsidRPr="000977F7">
        <w:rPr>
          <w:color w:val="auto"/>
          <w:spacing w:val="-2"/>
          <w:sz w:val="20"/>
          <w:szCs w:val="20"/>
        </w:rPr>
        <w:t xml:space="preserve"> </w:t>
      </w:r>
      <w:r w:rsidRPr="000977F7">
        <w:rPr>
          <w:color w:val="auto"/>
          <w:sz w:val="20"/>
          <w:szCs w:val="20"/>
        </w:rPr>
        <w:t>–</w:t>
      </w:r>
    </w:p>
    <w:p w14:paraId="557B882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Е</w:t>
      </w:r>
      <w:r w:rsidRPr="000977F7">
        <w:rPr>
          <w:rFonts w:asciiTheme="majorHAnsi" w:hAnsiTheme="majorHAnsi"/>
          <w:sz w:val="20"/>
          <w:szCs w:val="20"/>
        </w:rPr>
        <w:t>NFORCEMENT</w:t>
      </w:r>
      <w:r w:rsidRPr="004D2D14">
        <w:rPr>
          <w:rFonts w:asciiTheme="majorHAnsi" w:hAnsiTheme="majorHAnsi"/>
          <w:spacing w:val="-2"/>
          <w:sz w:val="20"/>
          <w:szCs w:val="20"/>
          <w:lang w:val="uk-UA"/>
        </w:rPr>
        <w:t xml:space="preserve"> </w:t>
      </w:r>
      <w:r w:rsidRPr="000977F7">
        <w:rPr>
          <w:rFonts w:asciiTheme="majorHAnsi" w:hAnsiTheme="majorHAnsi"/>
          <w:sz w:val="20"/>
          <w:szCs w:val="20"/>
        </w:rPr>
        <w:t>AUTHORITY</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7F22312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Орган</w:t>
      </w:r>
      <w:r w:rsidRPr="004D2D14">
        <w:rPr>
          <w:rFonts w:asciiTheme="majorHAnsi" w:hAnsiTheme="majorHAnsi"/>
          <w:spacing w:val="35"/>
          <w:sz w:val="20"/>
          <w:szCs w:val="20"/>
          <w:lang w:val="uk-UA"/>
        </w:rPr>
        <w:t xml:space="preserve"> </w:t>
      </w:r>
      <w:r w:rsidRPr="004D2D14">
        <w:rPr>
          <w:rFonts w:asciiTheme="majorHAnsi" w:hAnsiTheme="majorHAnsi"/>
          <w:sz w:val="20"/>
          <w:szCs w:val="20"/>
          <w:lang w:val="uk-UA"/>
        </w:rPr>
        <w:t>влади,</w:t>
      </w:r>
      <w:r w:rsidRPr="004D2D14">
        <w:rPr>
          <w:rFonts w:asciiTheme="majorHAnsi" w:hAnsiTheme="majorHAnsi"/>
          <w:spacing w:val="37"/>
          <w:sz w:val="20"/>
          <w:szCs w:val="20"/>
          <w:lang w:val="uk-UA"/>
        </w:rPr>
        <w:t xml:space="preserve"> </w:t>
      </w:r>
      <w:r w:rsidRPr="004D2D14">
        <w:rPr>
          <w:rFonts w:asciiTheme="majorHAnsi" w:hAnsiTheme="majorHAnsi"/>
          <w:sz w:val="20"/>
          <w:szCs w:val="20"/>
          <w:lang w:val="uk-UA"/>
        </w:rPr>
        <w:t>відповідальний</w:t>
      </w:r>
      <w:r w:rsidRPr="004D2D14">
        <w:rPr>
          <w:rFonts w:asciiTheme="majorHAnsi" w:hAnsiTheme="majorHAnsi"/>
          <w:spacing w:val="34"/>
          <w:sz w:val="20"/>
          <w:szCs w:val="20"/>
          <w:lang w:val="uk-UA"/>
        </w:rPr>
        <w:t xml:space="preserve"> </w:t>
      </w:r>
      <w:r w:rsidRPr="004D2D14">
        <w:rPr>
          <w:rFonts w:asciiTheme="majorHAnsi" w:hAnsiTheme="majorHAnsi"/>
          <w:sz w:val="20"/>
          <w:szCs w:val="20"/>
          <w:lang w:val="uk-UA"/>
        </w:rPr>
        <w:t>за</w:t>
      </w:r>
      <w:r w:rsidRPr="004D2D14">
        <w:rPr>
          <w:rFonts w:asciiTheme="majorHAnsi" w:hAnsiTheme="majorHAnsi"/>
          <w:spacing w:val="37"/>
          <w:sz w:val="20"/>
          <w:szCs w:val="20"/>
          <w:lang w:val="uk-UA"/>
        </w:rPr>
        <w:t xml:space="preserve"> </w:t>
      </w:r>
      <w:r w:rsidRPr="004D2D14">
        <w:rPr>
          <w:rFonts w:asciiTheme="majorHAnsi" w:hAnsiTheme="majorHAnsi"/>
          <w:sz w:val="20"/>
          <w:szCs w:val="20"/>
          <w:lang w:val="uk-UA"/>
        </w:rPr>
        <w:t>забезпечення</w:t>
      </w:r>
      <w:r w:rsidRPr="004D2D14">
        <w:rPr>
          <w:rFonts w:asciiTheme="majorHAnsi" w:hAnsiTheme="majorHAnsi"/>
          <w:spacing w:val="37"/>
          <w:sz w:val="20"/>
          <w:szCs w:val="20"/>
          <w:lang w:val="uk-UA"/>
        </w:rPr>
        <w:t xml:space="preserve"> </w:t>
      </w:r>
      <w:r w:rsidRPr="004D2D14">
        <w:rPr>
          <w:rFonts w:asciiTheme="majorHAnsi" w:hAnsiTheme="majorHAnsi"/>
          <w:sz w:val="20"/>
          <w:szCs w:val="20"/>
          <w:lang w:val="uk-UA"/>
        </w:rPr>
        <w:t>дотримання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регламентів</w:t>
      </w:r>
    </w:p>
    <w:p w14:paraId="5DC3A2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537DE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Виконавчий</w:t>
      </w:r>
      <w:r w:rsidRPr="000977F7">
        <w:rPr>
          <w:rFonts w:asciiTheme="majorHAnsi" w:hAnsiTheme="majorHAnsi"/>
          <w:spacing w:val="11"/>
          <w:sz w:val="20"/>
          <w:szCs w:val="20"/>
        </w:rPr>
        <w:t xml:space="preserve"> </w:t>
      </w:r>
      <w:r w:rsidRPr="000977F7">
        <w:rPr>
          <w:rFonts w:asciiTheme="majorHAnsi" w:hAnsiTheme="majorHAnsi"/>
          <w:sz w:val="20"/>
          <w:szCs w:val="20"/>
        </w:rPr>
        <w:t>орган</w:t>
      </w:r>
      <w:r w:rsidRPr="000977F7">
        <w:rPr>
          <w:rFonts w:asciiTheme="majorHAnsi" w:hAnsiTheme="majorHAnsi"/>
          <w:spacing w:val="13"/>
          <w:sz w:val="20"/>
          <w:szCs w:val="20"/>
        </w:rPr>
        <w:t xml:space="preserve"> </w:t>
      </w:r>
      <w:r w:rsidRPr="000977F7">
        <w:rPr>
          <w:rFonts w:asciiTheme="majorHAnsi" w:hAnsiTheme="majorHAnsi"/>
          <w:sz w:val="20"/>
          <w:szCs w:val="20"/>
        </w:rPr>
        <w:t>з</w:t>
      </w:r>
      <w:r w:rsidRPr="000977F7">
        <w:rPr>
          <w:rFonts w:asciiTheme="majorHAnsi" w:hAnsiTheme="majorHAnsi"/>
          <w:spacing w:val="14"/>
          <w:sz w:val="20"/>
          <w:szCs w:val="20"/>
        </w:rPr>
        <w:t xml:space="preserve"> </w:t>
      </w:r>
      <w:r w:rsidRPr="000977F7">
        <w:rPr>
          <w:rFonts w:asciiTheme="majorHAnsi" w:hAnsiTheme="majorHAnsi"/>
          <w:sz w:val="20"/>
          <w:szCs w:val="20"/>
        </w:rPr>
        <w:t>питань</w:t>
      </w:r>
      <w:r w:rsidRPr="000977F7">
        <w:rPr>
          <w:rFonts w:asciiTheme="majorHAnsi" w:hAnsiTheme="majorHAnsi"/>
          <w:spacing w:val="16"/>
          <w:sz w:val="20"/>
          <w:szCs w:val="20"/>
        </w:rPr>
        <w:t xml:space="preserve"> </w:t>
      </w:r>
      <w:r w:rsidRPr="000977F7">
        <w:rPr>
          <w:rFonts w:asciiTheme="majorHAnsi" w:hAnsiTheme="majorHAnsi"/>
          <w:sz w:val="20"/>
          <w:szCs w:val="20"/>
        </w:rPr>
        <w:t>регламентації</w:t>
      </w:r>
      <w:r w:rsidRPr="000977F7">
        <w:rPr>
          <w:rFonts w:asciiTheme="majorHAnsi" w:hAnsiTheme="majorHAnsi"/>
          <w:spacing w:val="13"/>
          <w:sz w:val="20"/>
          <w:szCs w:val="20"/>
        </w:rPr>
        <w:t xml:space="preserve"> </w:t>
      </w:r>
      <w:r w:rsidRPr="000977F7">
        <w:rPr>
          <w:rFonts w:asciiTheme="majorHAnsi" w:hAnsiTheme="majorHAnsi"/>
          <w:sz w:val="20"/>
          <w:szCs w:val="20"/>
        </w:rPr>
        <w:t>може</w:t>
      </w:r>
      <w:r w:rsidRPr="000977F7">
        <w:rPr>
          <w:rFonts w:asciiTheme="majorHAnsi" w:hAnsiTheme="majorHAnsi"/>
          <w:spacing w:val="13"/>
          <w:sz w:val="20"/>
          <w:szCs w:val="20"/>
        </w:rPr>
        <w:t xml:space="preserve"> </w:t>
      </w:r>
      <w:r w:rsidRPr="000977F7">
        <w:rPr>
          <w:rFonts w:asciiTheme="majorHAnsi" w:hAnsiTheme="majorHAnsi"/>
          <w:sz w:val="20"/>
          <w:szCs w:val="20"/>
        </w:rPr>
        <w:t>виконувати</w:t>
      </w:r>
      <w:r w:rsidRPr="000977F7">
        <w:rPr>
          <w:rFonts w:asciiTheme="majorHAnsi" w:hAnsiTheme="majorHAnsi"/>
          <w:spacing w:val="-2"/>
          <w:sz w:val="20"/>
          <w:szCs w:val="20"/>
        </w:rPr>
        <w:t xml:space="preserve"> </w:t>
      </w:r>
      <w:r w:rsidRPr="000977F7">
        <w:rPr>
          <w:rFonts w:asciiTheme="majorHAnsi" w:hAnsiTheme="majorHAnsi"/>
          <w:sz w:val="20"/>
          <w:szCs w:val="20"/>
        </w:rPr>
        <w:t>функції</w:t>
      </w:r>
      <w:r w:rsidRPr="000977F7">
        <w:rPr>
          <w:rFonts w:asciiTheme="majorHAnsi" w:hAnsiTheme="majorHAnsi"/>
          <w:spacing w:val="-1"/>
          <w:sz w:val="20"/>
          <w:szCs w:val="20"/>
        </w:rPr>
        <w:t xml:space="preserve"> </w:t>
      </w:r>
      <w:r w:rsidRPr="000977F7">
        <w:rPr>
          <w:rFonts w:asciiTheme="majorHAnsi" w:hAnsiTheme="majorHAnsi"/>
          <w:sz w:val="20"/>
          <w:szCs w:val="20"/>
        </w:rPr>
        <w:t>органу</w:t>
      </w:r>
      <w:r w:rsidRPr="000977F7">
        <w:rPr>
          <w:rFonts w:asciiTheme="majorHAnsi" w:hAnsiTheme="majorHAnsi"/>
          <w:spacing w:val="-1"/>
          <w:sz w:val="20"/>
          <w:szCs w:val="20"/>
        </w:rPr>
        <w:t xml:space="preserve"> </w:t>
      </w:r>
      <w:r w:rsidRPr="000977F7">
        <w:rPr>
          <w:rFonts w:asciiTheme="majorHAnsi" w:hAnsiTheme="majorHAnsi"/>
          <w:sz w:val="20"/>
          <w:szCs w:val="20"/>
        </w:rPr>
        <w:t>регламенту</w:t>
      </w:r>
    </w:p>
    <w:p w14:paraId="3B5C572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6089754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ВИКОНАННЯ</w:t>
      </w:r>
      <w:r w:rsidRPr="000977F7">
        <w:rPr>
          <w:color w:val="auto"/>
          <w:spacing w:val="-4"/>
          <w:sz w:val="20"/>
          <w:szCs w:val="20"/>
        </w:rPr>
        <w:t xml:space="preserve"> </w:t>
      </w:r>
      <w:r w:rsidRPr="000977F7">
        <w:rPr>
          <w:color w:val="auto"/>
          <w:sz w:val="20"/>
          <w:szCs w:val="20"/>
        </w:rPr>
        <w:t>ВИРОБУ</w:t>
      </w:r>
      <w:r w:rsidRPr="000977F7">
        <w:rPr>
          <w:color w:val="auto"/>
          <w:spacing w:val="-1"/>
          <w:sz w:val="20"/>
          <w:szCs w:val="20"/>
        </w:rPr>
        <w:t xml:space="preserve"> </w:t>
      </w:r>
      <w:r w:rsidRPr="000977F7">
        <w:rPr>
          <w:color w:val="auto"/>
          <w:sz w:val="20"/>
          <w:szCs w:val="20"/>
        </w:rPr>
        <w:t>–</w:t>
      </w:r>
    </w:p>
    <w:p w14:paraId="1464D80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Конструкція одного виробу, інформація про яку міститься в одному груповому чи базовому основному</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конструкторському</w:t>
      </w:r>
      <w:r w:rsidRPr="000977F7">
        <w:rPr>
          <w:rFonts w:asciiTheme="majorHAnsi" w:hAnsiTheme="majorHAnsi"/>
          <w:spacing w:val="-2"/>
          <w:sz w:val="20"/>
          <w:szCs w:val="20"/>
        </w:rPr>
        <w:t xml:space="preserve"> </w:t>
      </w:r>
      <w:r w:rsidRPr="000977F7">
        <w:rPr>
          <w:rFonts w:asciiTheme="majorHAnsi" w:hAnsiTheme="majorHAnsi"/>
          <w:sz w:val="20"/>
          <w:szCs w:val="20"/>
        </w:rPr>
        <w:t>документі</w:t>
      </w:r>
    </w:p>
    <w:p w14:paraId="7BC1011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36550E61"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ВИКОНАННЯ</w:t>
      </w:r>
      <w:r w:rsidRPr="000977F7">
        <w:rPr>
          <w:color w:val="auto"/>
          <w:spacing w:val="1"/>
          <w:sz w:val="20"/>
          <w:szCs w:val="20"/>
        </w:rPr>
        <w:t xml:space="preserve"> </w:t>
      </w:r>
      <w:r w:rsidRPr="000977F7">
        <w:rPr>
          <w:color w:val="auto"/>
          <w:sz w:val="20"/>
          <w:szCs w:val="20"/>
        </w:rPr>
        <w:t>РОБІТ,</w:t>
      </w:r>
      <w:r w:rsidRPr="000977F7">
        <w:rPr>
          <w:color w:val="auto"/>
          <w:spacing w:val="1"/>
          <w:sz w:val="20"/>
          <w:szCs w:val="20"/>
        </w:rPr>
        <w:t xml:space="preserve"> </w:t>
      </w:r>
      <w:r w:rsidRPr="000977F7">
        <w:rPr>
          <w:color w:val="auto"/>
          <w:sz w:val="20"/>
          <w:szCs w:val="20"/>
        </w:rPr>
        <w:t>НАДАННЯ</w:t>
      </w:r>
      <w:r w:rsidRPr="000977F7">
        <w:rPr>
          <w:color w:val="auto"/>
          <w:spacing w:val="1"/>
          <w:sz w:val="20"/>
          <w:szCs w:val="20"/>
        </w:rPr>
        <w:t xml:space="preserve"> </w:t>
      </w:r>
      <w:r w:rsidRPr="000977F7">
        <w:rPr>
          <w:color w:val="auto"/>
          <w:sz w:val="20"/>
          <w:szCs w:val="20"/>
        </w:rPr>
        <w:t>ПОСЛУГ</w:t>
      </w:r>
      <w:r w:rsidRPr="000977F7">
        <w:rPr>
          <w:color w:val="auto"/>
          <w:spacing w:val="1"/>
          <w:sz w:val="20"/>
          <w:szCs w:val="20"/>
        </w:rPr>
        <w:t xml:space="preserve"> </w:t>
      </w:r>
      <w:r w:rsidRPr="000977F7">
        <w:rPr>
          <w:color w:val="auto"/>
          <w:sz w:val="20"/>
          <w:szCs w:val="20"/>
        </w:rPr>
        <w:t>ГРОМАДЯНАМ-СПОЖИВАЧАМ,</w:t>
      </w:r>
      <w:r w:rsidRPr="000977F7">
        <w:rPr>
          <w:color w:val="auto"/>
          <w:spacing w:val="1"/>
          <w:sz w:val="20"/>
          <w:szCs w:val="20"/>
        </w:rPr>
        <w:t xml:space="preserve"> </w:t>
      </w:r>
      <w:r w:rsidRPr="000977F7">
        <w:rPr>
          <w:color w:val="auto"/>
          <w:sz w:val="20"/>
          <w:szCs w:val="20"/>
        </w:rPr>
        <w:t>ЩО</w:t>
      </w:r>
      <w:r w:rsidRPr="000977F7">
        <w:rPr>
          <w:color w:val="auto"/>
          <w:spacing w:val="1"/>
          <w:sz w:val="20"/>
          <w:szCs w:val="20"/>
        </w:rPr>
        <w:t xml:space="preserve"> </w:t>
      </w:r>
      <w:r w:rsidRPr="000977F7">
        <w:rPr>
          <w:color w:val="auto"/>
          <w:sz w:val="20"/>
          <w:szCs w:val="20"/>
        </w:rPr>
        <w:t>НЕ</w:t>
      </w:r>
      <w:r w:rsidRPr="000977F7">
        <w:rPr>
          <w:color w:val="auto"/>
          <w:spacing w:val="1"/>
          <w:sz w:val="20"/>
          <w:szCs w:val="20"/>
        </w:rPr>
        <w:t xml:space="preserve"> </w:t>
      </w:r>
    </w:p>
    <w:p w14:paraId="78156C7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ВІДПОВІДАЮТЬ ВИМОГАМ СТАНДАРТІВ, НОРМ І </w:t>
      </w:r>
      <w:r w:rsidRPr="000977F7">
        <w:rPr>
          <w:color w:val="auto"/>
          <w:spacing w:val="-47"/>
          <w:sz w:val="20"/>
          <w:szCs w:val="20"/>
        </w:rPr>
        <w:t xml:space="preserve"> </w:t>
      </w:r>
      <w:r w:rsidRPr="000977F7">
        <w:rPr>
          <w:color w:val="auto"/>
          <w:sz w:val="20"/>
          <w:szCs w:val="20"/>
        </w:rPr>
        <w:t>ПРАВИЛ -</w:t>
      </w:r>
    </w:p>
    <w:p w14:paraId="68EFDBA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Виконання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робіт,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надання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послуг</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громадянам -  споживачам, що не відповідають вимогам стандартів,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норм 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правил,</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тягне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собою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накладення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штрафу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посадових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осіб - громадян, які займаються підприємницькою діяльністю, від одного до вісімнадцяти неоподатковуваних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мінімумів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доходів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громадян.</w:t>
      </w:r>
    </w:p>
    <w:p w14:paraId="54CAE41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168-1 Кодексу України про адміністративні порушення</w:t>
      </w:r>
    </w:p>
    <w:p w14:paraId="069D56AC"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r w:rsidRPr="000977F7">
        <w:rPr>
          <w:rFonts w:asciiTheme="majorHAnsi" w:hAnsiTheme="majorHAnsi"/>
          <w:b/>
          <w:bCs/>
          <w:iCs/>
          <w:sz w:val="20"/>
          <w:szCs w:val="20"/>
        </w:rPr>
        <w:t>ВИЛУЧЕННЯ З ОБІГУ</w:t>
      </w:r>
    </w:p>
    <w:p w14:paraId="5D12B1D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Cs/>
          <w:sz w:val="20"/>
          <w:szCs w:val="20"/>
        </w:rPr>
        <w:t>Б</w:t>
      </w:r>
      <w:r w:rsidRPr="000977F7">
        <w:rPr>
          <w:rFonts w:asciiTheme="majorHAnsi" w:hAnsiTheme="majorHAnsi"/>
          <w:sz w:val="20"/>
          <w:szCs w:val="20"/>
          <w:shd w:val="clear" w:color="auto" w:fill="FFFFFF"/>
        </w:rPr>
        <w:t>удь-який захід, спрямований на запобігання наданню на ринку продукції, що знаходиться в ланцюгу постачання продукції;</w:t>
      </w:r>
    </w:p>
    <w:p w14:paraId="313C74A5"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Ст. 1 закону України "Про загальну безпечність нехарчової продукції"</w:t>
      </w:r>
    </w:p>
    <w:p w14:paraId="7753AFFC"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sz w:val="20"/>
          <w:szCs w:val="20"/>
        </w:rPr>
        <w:t xml:space="preserve">Будь-який захід, спрямований на запобігання наданню на ринку України компонента безпеки для ліфтів, що перебуває в ланцюгу постачання такого компонента </w:t>
      </w:r>
      <w:r w:rsidRPr="000977F7">
        <w:rPr>
          <w:rFonts w:asciiTheme="majorHAnsi" w:hAnsiTheme="majorHAnsi"/>
          <w:iCs/>
          <w:sz w:val="20"/>
          <w:szCs w:val="20"/>
        </w:rPr>
        <w:t>безпеки для ліфтів</w:t>
      </w:r>
    </w:p>
    <w:p w14:paraId="609352C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Технічний регламент ліфтів і компонентів безпеки для ліфтів</w:t>
      </w:r>
    </w:p>
    <w:p w14:paraId="0EDB7C6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shd w:val="clear" w:color="auto" w:fill="FFFFFF"/>
        </w:rPr>
      </w:pPr>
      <w:r w:rsidRPr="000977F7">
        <w:rPr>
          <w:rFonts w:asciiTheme="majorHAnsi" w:hAnsiTheme="majorHAnsi"/>
          <w:iCs/>
          <w:sz w:val="20"/>
          <w:szCs w:val="20"/>
        </w:rPr>
        <w:t>Будь-який захід, спрямований на запобігання</w:t>
      </w:r>
      <w:r w:rsidRPr="000977F7">
        <w:rPr>
          <w:rFonts w:asciiTheme="majorHAnsi" w:hAnsiTheme="majorHAnsi"/>
          <w:sz w:val="20"/>
          <w:szCs w:val="20"/>
          <w:shd w:val="clear" w:color="auto" w:fill="FFFFFF"/>
        </w:rPr>
        <w:t xml:space="preserve"> наданню на ринку апаратури, що перебуває в ланцюгу постачання продукції;</w:t>
      </w:r>
    </w:p>
    <w:p w14:paraId="15413D2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iCs/>
          <w:sz w:val="20"/>
          <w:szCs w:val="20"/>
          <w:shd w:val="clear" w:color="auto" w:fill="FFFFFF"/>
        </w:rPr>
        <w:t xml:space="preserve">Технічний регламент з електромагнітної </w:t>
      </w:r>
      <w:r w:rsidRPr="000977F7">
        <w:rPr>
          <w:rFonts w:asciiTheme="majorHAnsi" w:hAnsiTheme="majorHAnsi"/>
          <w:sz w:val="20"/>
          <w:szCs w:val="20"/>
        </w:rPr>
        <w:t>сумісності обладнання</w:t>
      </w:r>
    </w:p>
    <w:p w14:paraId="02D4266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Будь-який захід, спрямований на запобігання наданню на ринку електрообладнання, що перебуває в ланцюгу постачання продукції</w:t>
      </w:r>
    </w:p>
    <w:p w14:paraId="1FD16B4D"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низьковольтного електричного обладнання</w:t>
      </w:r>
    </w:p>
    <w:p w14:paraId="400E1974"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sz w:val="20"/>
          <w:szCs w:val="20"/>
          <w:lang w:eastAsia="ru-RU"/>
        </w:rPr>
        <w:t xml:space="preserve">Захід щодо запобігання наданню на ринку обладнання, що працює під тиском, або агрегатів, що </w:t>
      </w:r>
      <w:r w:rsidRPr="000977F7">
        <w:rPr>
          <w:rFonts w:asciiTheme="majorHAnsi" w:hAnsiTheme="majorHAnsi"/>
          <w:iCs/>
          <w:sz w:val="20"/>
          <w:szCs w:val="20"/>
        </w:rPr>
        <w:t>перебувають в ланцюгу постачання такого обладнання</w:t>
      </w:r>
    </w:p>
    <w:p w14:paraId="77F3559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Технічний регламент обладнання, що працює під тиском</w:t>
      </w:r>
    </w:p>
    <w:p w14:paraId="4D28B6D6"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ВИМІРЕНЕ</w:t>
      </w:r>
      <w:r w:rsidRPr="000977F7">
        <w:rPr>
          <w:color w:val="auto"/>
          <w:spacing w:val="-5"/>
          <w:sz w:val="20"/>
          <w:szCs w:val="20"/>
        </w:rPr>
        <w:t xml:space="preserve"> </w:t>
      </w:r>
      <w:r w:rsidRPr="000977F7">
        <w:rPr>
          <w:color w:val="auto"/>
          <w:sz w:val="20"/>
          <w:szCs w:val="20"/>
        </w:rPr>
        <w:t>ВІДХИЛЕННЯ</w:t>
      </w:r>
      <w:r w:rsidRPr="000977F7">
        <w:rPr>
          <w:color w:val="auto"/>
          <w:spacing w:val="-4"/>
          <w:sz w:val="20"/>
          <w:szCs w:val="20"/>
        </w:rPr>
        <w:t xml:space="preserve"> </w:t>
      </w:r>
      <w:r w:rsidRPr="000977F7">
        <w:rPr>
          <w:color w:val="auto"/>
          <w:sz w:val="20"/>
          <w:szCs w:val="20"/>
        </w:rPr>
        <w:t>ПАРАМЕТРА</w:t>
      </w:r>
      <w:r w:rsidRPr="000977F7">
        <w:rPr>
          <w:b w:val="0"/>
          <w:color w:val="auto"/>
          <w:sz w:val="20"/>
          <w:szCs w:val="20"/>
        </w:rPr>
        <w:t>-</w:t>
      </w:r>
    </w:p>
    <w:p w14:paraId="2DFB16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Алгебраїчна різниця між виміряним та номінальним</w:t>
      </w:r>
      <w:r w:rsidRPr="000977F7">
        <w:rPr>
          <w:rFonts w:asciiTheme="majorHAnsi" w:hAnsiTheme="majorHAnsi"/>
          <w:spacing w:val="1"/>
          <w:sz w:val="20"/>
          <w:szCs w:val="20"/>
        </w:rPr>
        <w:t xml:space="preserve"> </w:t>
      </w:r>
      <w:r w:rsidRPr="000977F7">
        <w:rPr>
          <w:rFonts w:asciiTheme="majorHAnsi" w:hAnsiTheme="majorHAnsi"/>
          <w:sz w:val="20"/>
          <w:szCs w:val="20"/>
        </w:rPr>
        <w:t>значенням</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p>
    <w:p w14:paraId="148E5514"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ВИМІРЕНЕ</w:t>
      </w:r>
      <w:r w:rsidRPr="000977F7">
        <w:rPr>
          <w:color w:val="auto"/>
          <w:spacing w:val="-5"/>
          <w:sz w:val="20"/>
          <w:szCs w:val="20"/>
        </w:rPr>
        <w:t xml:space="preserve"> </w:t>
      </w:r>
      <w:r w:rsidRPr="000977F7">
        <w:rPr>
          <w:color w:val="auto"/>
          <w:sz w:val="20"/>
          <w:szCs w:val="20"/>
        </w:rPr>
        <w:t>ЗНАЧЕННЯ</w:t>
      </w:r>
      <w:r w:rsidRPr="000977F7">
        <w:rPr>
          <w:color w:val="auto"/>
          <w:spacing w:val="-3"/>
          <w:sz w:val="20"/>
          <w:szCs w:val="20"/>
        </w:rPr>
        <w:t xml:space="preserve"> </w:t>
      </w:r>
      <w:r w:rsidRPr="000977F7">
        <w:rPr>
          <w:color w:val="auto"/>
          <w:sz w:val="20"/>
          <w:szCs w:val="20"/>
        </w:rPr>
        <w:t>ПАРАМЕТРА</w:t>
      </w:r>
      <w:r w:rsidRPr="000977F7">
        <w:rPr>
          <w:color w:val="auto"/>
          <w:spacing w:val="-1"/>
          <w:sz w:val="20"/>
          <w:szCs w:val="20"/>
        </w:rPr>
        <w:t xml:space="preserve"> </w:t>
      </w:r>
      <w:r w:rsidRPr="000977F7">
        <w:rPr>
          <w:b w:val="0"/>
          <w:color w:val="auto"/>
          <w:sz w:val="20"/>
          <w:szCs w:val="20"/>
        </w:rPr>
        <w:t>–</w:t>
      </w:r>
    </w:p>
    <w:p w14:paraId="3362917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визначається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результаті</w:t>
      </w:r>
      <w:r w:rsidRPr="000977F7">
        <w:rPr>
          <w:rFonts w:asciiTheme="majorHAnsi" w:hAnsiTheme="majorHAnsi"/>
          <w:spacing w:val="1"/>
          <w:sz w:val="20"/>
          <w:szCs w:val="20"/>
        </w:rPr>
        <w:t xml:space="preserve"> </w:t>
      </w:r>
      <w:r w:rsidRPr="000977F7">
        <w:rPr>
          <w:rFonts w:asciiTheme="majorHAnsi" w:hAnsiTheme="majorHAnsi"/>
          <w:sz w:val="20"/>
          <w:szCs w:val="20"/>
        </w:rPr>
        <w:t>його вимірювання визначеним засобом вимірювальної</w:t>
      </w:r>
      <w:r w:rsidRPr="000977F7">
        <w:rPr>
          <w:rFonts w:asciiTheme="majorHAnsi" w:hAnsiTheme="majorHAnsi"/>
          <w:spacing w:val="-2"/>
          <w:sz w:val="20"/>
          <w:szCs w:val="20"/>
        </w:rPr>
        <w:t xml:space="preserve"> </w:t>
      </w:r>
      <w:r w:rsidRPr="000977F7">
        <w:rPr>
          <w:rFonts w:asciiTheme="majorHAnsi" w:hAnsiTheme="majorHAnsi"/>
          <w:sz w:val="20"/>
          <w:szCs w:val="20"/>
        </w:rPr>
        <w:t>техніки</w:t>
      </w:r>
    </w:p>
    <w:p w14:paraId="67747593" w14:textId="77777777" w:rsidR="0097612F" w:rsidRPr="000977F7" w:rsidRDefault="0097612F" w:rsidP="000977F7">
      <w:pPr>
        <w:pStyle w:val="7"/>
        <w:tabs>
          <w:tab w:val="left" w:pos="284"/>
        </w:tabs>
        <w:spacing w:before="0" w:line="240" w:lineRule="auto"/>
        <w:ind w:left="170"/>
        <w:mirrorIndents/>
        <w:jc w:val="both"/>
        <w:rPr>
          <w:color w:val="auto"/>
          <w:spacing w:val="-47"/>
          <w:sz w:val="20"/>
          <w:szCs w:val="20"/>
        </w:rPr>
      </w:pPr>
      <w:r w:rsidRPr="000977F7">
        <w:rPr>
          <w:color w:val="auto"/>
          <w:sz w:val="20"/>
          <w:szCs w:val="20"/>
        </w:rPr>
        <w:t>ВИМІРЮВАЛЬНА ІНФОРМАЦІЙНА</w:t>
      </w:r>
      <w:r w:rsidRPr="000977F7">
        <w:rPr>
          <w:color w:val="auto"/>
          <w:spacing w:val="-47"/>
          <w:sz w:val="20"/>
          <w:szCs w:val="20"/>
        </w:rPr>
        <w:t xml:space="preserve">  </w:t>
      </w:r>
    </w:p>
    <w:p w14:paraId="79CF6A5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СИСТЕМА</w:t>
      </w:r>
      <w:r w:rsidRPr="000977F7">
        <w:rPr>
          <w:color w:val="auto"/>
          <w:spacing w:val="-1"/>
          <w:sz w:val="20"/>
          <w:szCs w:val="20"/>
        </w:rPr>
        <w:t xml:space="preserve"> </w:t>
      </w:r>
      <w:r w:rsidRPr="000977F7">
        <w:rPr>
          <w:color w:val="auto"/>
          <w:sz w:val="20"/>
          <w:szCs w:val="20"/>
        </w:rPr>
        <w:t>–</w:t>
      </w:r>
    </w:p>
    <w:p w14:paraId="252F283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28"/>
          <w:sz w:val="20"/>
          <w:szCs w:val="20"/>
        </w:rPr>
        <w:t xml:space="preserve"> </w:t>
      </w:r>
      <w:r w:rsidRPr="000977F7">
        <w:rPr>
          <w:rFonts w:asciiTheme="majorHAnsi" w:hAnsiTheme="majorHAnsi"/>
          <w:sz w:val="20"/>
          <w:szCs w:val="20"/>
        </w:rPr>
        <w:t>засобів</w:t>
      </w:r>
      <w:r w:rsidRPr="000977F7">
        <w:rPr>
          <w:rFonts w:asciiTheme="majorHAnsi" w:hAnsiTheme="majorHAnsi"/>
          <w:spacing w:val="27"/>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28"/>
          <w:sz w:val="20"/>
          <w:szCs w:val="20"/>
        </w:rPr>
        <w:t xml:space="preserve"> </w:t>
      </w:r>
      <w:r w:rsidRPr="000977F7">
        <w:rPr>
          <w:rFonts w:asciiTheme="majorHAnsi" w:hAnsiTheme="majorHAnsi"/>
          <w:sz w:val="20"/>
          <w:szCs w:val="20"/>
        </w:rPr>
        <w:t>техніки,</w:t>
      </w:r>
      <w:r w:rsidRPr="000977F7">
        <w:rPr>
          <w:rFonts w:asciiTheme="majorHAnsi" w:hAnsiTheme="majorHAnsi"/>
          <w:spacing w:val="28"/>
          <w:sz w:val="20"/>
          <w:szCs w:val="20"/>
        </w:rPr>
        <w:t xml:space="preserve"> </w:t>
      </w:r>
      <w:r w:rsidRPr="000977F7">
        <w:rPr>
          <w:rFonts w:asciiTheme="majorHAnsi" w:hAnsiTheme="majorHAnsi"/>
          <w:sz w:val="20"/>
          <w:szCs w:val="20"/>
        </w:rPr>
        <w:t>засобів</w:t>
      </w:r>
      <w:r w:rsidRPr="000977F7">
        <w:rPr>
          <w:rFonts w:asciiTheme="majorHAnsi" w:hAnsiTheme="majorHAnsi"/>
          <w:spacing w:val="-47"/>
          <w:sz w:val="20"/>
          <w:szCs w:val="20"/>
        </w:rPr>
        <w:t xml:space="preserve"> </w:t>
      </w:r>
      <w:r w:rsidRPr="000977F7">
        <w:rPr>
          <w:rFonts w:asciiTheme="majorHAnsi" w:hAnsiTheme="majorHAnsi"/>
          <w:sz w:val="20"/>
          <w:szCs w:val="20"/>
        </w:rPr>
        <w:t>контролю,</w:t>
      </w:r>
      <w:r w:rsidRPr="000977F7">
        <w:rPr>
          <w:rFonts w:asciiTheme="majorHAnsi" w:hAnsiTheme="majorHAnsi"/>
          <w:spacing w:val="2"/>
          <w:sz w:val="20"/>
          <w:szCs w:val="20"/>
        </w:rPr>
        <w:t xml:space="preserve"> </w:t>
      </w:r>
      <w:r w:rsidRPr="000977F7">
        <w:rPr>
          <w:rFonts w:asciiTheme="majorHAnsi" w:hAnsiTheme="majorHAnsi"/>
          <w:sz w:val="20"/>
          <w:szCs w:val="20"/>
        </w:rPr>
        <w:t>діагностування</w:t>
      </w:r>
      <w:r w:rsidRPr="000977F7">
        <w:rPr>
          <w:rFonts w:asciiTheme="majorHAnsi" w:hAnsiTheme="majorHAnsi"/>
          <w:spacing w:val="1"/>
          <w:sz w:val="20"/>
          <w:szCs w:val="20"/>
        </w:rPr>
        <w:t xml:space="preserve"> </w:t>
      </w:r>
      <w:r w:rsidRPr="000977F7">
        <w:rPr>
          <w:rFonts w:asciiTheme="majorHAnsi" w:hAnsiTheme="majorHAnsi"/>
          <w:sz w:val="20"/>
          <w:szCs w:val="20"/>
        </w:rPr>
        <w:t>та інших</w:t>
      </w:r>
      <w:r w:rsidRPr="000977F7">
        <w:rPr>
          <w:rFonts w:asciiTheme="majorHAnsi" w:hAnsiTheme="majorHAnsi"/>
          <w:spacing w:val="1"/>
          <w:sz w:val="20"/>
          <w:szCs w:val="20"/>
        </w:rPr>
        <w:t xml:space="preserve"> </w:t>
      </w:r>
      <w:r w:rsidRPr="000977F7">
        <w:rPr>
          <w:rFonts w:asciiTheme="majorHAnsi" w:hAnsiTheme="majorHAnsi"/>
          <w:sz w:val="20"/>
          <w:szCs w:val="20"/>
        </w:rPr>
        <w:t>технічних</w:t>
      </w:r>
      <w:r w:rsidRPr="000977F7">
        <w:rPr>
          <w:rFonts w:asciiTheme="majorHAnsi" w:hAnsiTheme="majorHAnsi"/>
          <w:spacing w:val="-1"/>
          <w:sz w:val="20"/>
          <w:szCs w:val="20"/>
        </w:rPr>
        <w:t xml:space="preserve"> </w:t>
      </w:r>
      <w:r w:rsidRPr="000977F7">
        <w:rPr>
          <w:rFonts w:asciiTheme="majorHAnsi" w:hAnsiTheme="majorHAnsi"/>
          <w:sz w:val="20"/>
          <w:szCs w:val="20"/>
        </w:rPr>
        <w:t>засобів,</w:t>
      </w:r>
      <w:r w:rsidRPr="000977F7">
        <w:rPr>
          <w:rFonts w:asciiTheme="majorHAnsi" w:hAnsiTheme="majorHAnsi"/>
          <w:spacing w:val="-47"/>
          <w:sz w:val="20"/>
          <w:szCs w:val="20"/>
        </w:rPr>
        <w:t xml:space="preserve"> </w:t>
      </w:r>
      <w:r w:rsidRPr="000977F7">
        <w:rPr>
          <w:rFonts w:asciiTheme="majorHAnsi" w:hAnsiTheme="majorHAnsi"/>
          <w:sz w:val="20"/>
          <w:szCs w:val="20"/>
        </w:rPr>
        <w:t>об’єднаних для створення сигналів вимірювальної та</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2"/>
          <w:sz w:val="20"/>
          <w:szCs w:val="20"/>
        </w:rPr>
        <w:t xml:space="preserve"> </w:t>
      </w:r>
      <w:r w:rsidRPr="000977F7">
        <w:rPr>
          <w:rFonts w:asciiTheme="majorHAnsi" w:hAnsiTheme="majorHAnsi"/>
          <w:sz w:val="20"/>
          <w:szCs w:val="20"/>
        </w:rPr>
        <w:t>видів</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інформації</w:t>
      </w:r>
    </w:p>
    <w:p w14:paraId="1D2721E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014C2C7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ВИМІРЮВАЛЬНА</w:t>
      </w:r>
      <w:r w:rsidRPr="000977F7">
        <w:rPr>
          <w:color w:val="auto"/>
          <w:spacing w:val="-4"/>
          <w:sz w:val="20"/>
          <w:szCs w:val="20"/>
        </w:rPr>
        <w:t xml:space="preserve"> </w:t>
      </w:r>
      <w:r w:rsidRPr="000977F7">
        <w:rPr>
          <w:color w:val="auto"/>
          <w:sz w:val="20"/>
          <w:szCs w:val="20"/>
        </w:rPr>
        <w:t>ІНФОРМАЦІЯ</w:t>
      </w:r>
      <w:r w:rsidRPr="000977F7">
        <w:rPr>
          <w:color w:val="auto"/>
          <w:spacing w:val="-1"/>
          <w:sz w:val="20"/>
          <w:szCs w:val="20"/>
        </w:rPr>
        <w:t xml:space="preserve"> </w:t>
      </w:r>
      <w:r w:rsidRPr="000977F7">
        <w:rPr>
          <w:color w:val="auto"/>
          <w:sz w:val="20"/>
          <w:szCs w:val="20"/>
        </w:rPr>
        <w:t>–</w:t>
      </w:r>
    </w:p>
    <w:p w14:paraId="625224F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MEASUREMENT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INFORMATION –</w:t>
      </w:r>
    </w:p>
    <w:p w14:paraId="04604AB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Інформація про вимірювані величини та залежності</w:t>
      </w:r>
      <w:r w:rsidRPr="000977F7">
        <w:rPr>
          <w:rFonts w:asciiTheme="majorHAnsi" w:hAnsiTheme="majorHAnsi"/>
          <w:spacing w:val="1"/>
          <w:sz w:val="20"/>
          <w:szCs w:val="20"/>
        </w:rPr>
        <w:t xml:space="preserve"> </w:t>
      </w:r>
      <w:r w:rsidRPr="000977F7">
        <w:rPr>
          <w:rFonts w:asciiTheme="majorHAnsi" w:hAnsiTheme="majorHAnsi"/>
          <w:sz w:val="20"/>
          <w:szCs w:val="20"/>
        </w:rPr>
        <w:t>між</w:t>
      </w:r>
      <w:r w:rsidRPr="000977F7">
        <w:rPr>
          <w:rFonts w:asciiTheme="majorHAnsi" w:hAnsiTheme="majorHAnsi"/>
          <w:spacing w:val="-2"/>
          <w:sz w:val="20"/>
          <w:szCs w:val="20"/>
        </w:rPr>
        <w:t xml:space="preserve"> </w:t>
      </w:r>
      <w:r w:rsidRPr="000977F7">
        <w:rPr>
          <w:rFonts w:asciiTheme="majorHAnsi" w:hAnsiTheme="majorHAnsi"/>
          <w:sz w:val="20"/>
          <w:szCs w:val="20"/>
        </w:rPr>
        <w:t>ними у</w:t>
      </w:r>
      <w:r w:rsidRPr="000977F7">
        <w:rPr>
          <w:rFonts w:asciiTheme="majorHAnsi" w:hAnsiTheme="majorHAnsi"/>
          <w:spacing w:val="-1"/>
          <w:sz w:val="20"/>
          <w:szCs w:val="20"/>
        </w:rPr>
        <w:t xml:space="preserve"> </w:t>
      </w:r>
      <w:r w:rsidRPr="000977F7">
        <w:rPr>
          <w:rFonts w:asciiTheme="majorHAnsi" w:hAnsiTheme="majorHAnsi"/>
          <w:sz w:val="20"/>
          <w:szCs w:val="20"/>
        </w:rPr>
        <w:t>вигляді</w:t>
      </w:r>
      <w:r w:rsidRPr="000977F7">
        <w:rPr>
          <w:rFonts w:asciiTheme="majorHAnsi" w:hAnsiTheme="majorHAnsi"/>
          <w:spacing w:val="-2"/>
          <w:sz w:val="20"/>
          <w:szCs w:val="20"/>
        </w:rPr>
        <w:t xml:space="preserve"> </w:t>
      </w:r>
      <w:r w:rsidRPr="000977F7">
        <w:rPr>
          <w:rFonts w:asciiTheme="majorHAnsi" w:hAnsiTheme="majorHAnsi"/>
          <w:sz w:val="20"/>
          <w:szCs w:val="20"/>
        </w:rPr>
        <w:t>сукупності</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2"/>
          <w:sz w:val="20"/>
          <w:szCs w:val="20"/>
        </w:rPr>
        <w:t xml:space="preserve"> </w:t>
      </w:r>
      <w:r w:rsidRPr="000977F7">
        <w:rPr>
          <w:rFonts w:asciiTheme="majorHAnsi" w:hAnsiTheme="majorHAnsi"/>
          <w:sz w:val="20"/>
          <w:szCs w:val="20"/>
        </w:rPr>
        <w:t>значень</w:t>
      </w:r>
    </w:p>
    <w:p w14:paraId="7D1ECB2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165A43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ВИМІРЮВАЛЬНА</w:t>
      </w:r>
      <w:r w:rsidRPr="000977F7">
        <w:rPr>
          <w:color w:val="auto"/>
          <w:spacing w:val="-5"/>
          <w:sz w:val="20"/>
          <w:szCs w:val="20"/>
        </w:rPr>
        <w:t xml:space="preserve"> </w:t>
      </w:r>
      <w:r w:rsidRPr="000977F7">
        <w:rPr>
          <w:color w:val="auto"/>
          <w:sz w:val="20"/>
          <w:szCs w:val="20"/>
        </w:rPr>
        <w:t>ОПЕРАЦІЯ</w:t>
      </w:r>
      <w:r w:rsidRPr="000977F7">
        <w:rPr>
          <w:color w:val="auto"/>
          <w:spacing w:val="-3"/>
          <w:sz w:val="20"/>
          <w:szCs w:val="20"/>
        </w:rPr>
        <w:t xml:space="preserve"> </w:t>
      </w:r>
      <w:r w:rsidRPr="000977F7">
        <w:rPr>
          <w:color w:val="auto"/>
          <w:sz w:val="20"/>
          <w:szCs w:val="20"/>
        </w:rPr>
        <w:t>–</w:t>
      </w:r>
    </w:p>
    <w:p w14:paraId="5359993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Операція</w:t>
      </w:r>
      <w:r w:rsidRPr="000977F7">
        <w:rPr>
          <w:rFonts w:asciiTheme="majorHAnsi" w:hAnsiTheme="majorHAnsi"/>
          <w:spacing w:val="30"/>
          <w:sz w:val="20"/>
          <w:szCs w:val="20"/>
        </w:rPr>
        <w:t xml:space="preserve"> </w:t>
      </w:r>
      <w:r w:rsidRPr="000977F7">
        <w:rPr>
          <w:rFonts w:asciiTheme="majorHAnsi" w:hAnsiTheme="majorHAnsi"/>
          <w:sz w:val="20"/>
          <w:szCs w:val="20"/>
        </w:rPr>
        <w:t>з</w:t>
      </w:r>
      <w:r w:rsidRPr="000977F7">
        <w:rPr>
          <w:rFonts w:asciiTheme="majorHAnsi" w:hAnsiTheme="majorHAnsi"/>
          <w:spacing w:val="31"/>
          <w:sz w:val="20"/>
          <w:szCs w:val="20"/>
        </w:rPr>
        <w:t xml:space="preserve"> </w:t>
      </w:r>
      <w:r w:rsidRPr="000977F7">
        <w:rPr>
          <w:rFonts w:asciiTheme="majorHAnsi" w:hAnsiTheme="majorHAnsi"/>
          <w:sz w:val="20"/>
          <w:szCs w:val="20"/>
        </w:rPr>
        <w:t>фізичними</w:t>
      </w:r>
      <w:r w:rsidRPr="000977F7">
        <w:rPr>
          <w:rFonts w:asciiTheme="majorHAnsi" w:hAnsiTheme="majorHAnsi"/>
          <w:spacing w:val="30"/>
          <w:sz w:val="20"/>
          <w:szCs w:val="20"/>
        </w:rPr>
        <w:t xml:space="preserve"> </w:t>
      </w:r>
      <w:r w:rsidRPr="000977F7">
        <w:rPr>
          <w:rFonts w:asciiTheme="majorHAnsi" w:hAnsiTheme="majorHAnsi"/>
          <w:sz w:val="20"/>
          <w:szCs w:val="20"/>
        </w:rPr>
        <w:t>величинами</w:t>
      </w:r>
      <w:r w:rsidRPr="000977F7">
        <w:rPr>
          <w:rFonts w:asciiTheme="majorHAnsi" w:hAnsiTheme="majorHAnsi"/>
          <w:spacing w:val="29"/>
          <w:sz w:val="20"/>
          <w:szCs w:val="20"/>
        </w:rPr>
        <w:t xml:space="preserve"> </w:t>
      </w:r>
      <w:r w:rsidRPr="000977F7">
        <w:rPr>
          <w:rFonts w:asciiTheme="majorHAnsi" w:hAnsiTheme="majorHAnsi"/>
          <w:sz w:val="20"/>
          <w:szCs w:val="20"/>
        </w:rPr>
        <w:t>чи</w:t>
      </w:r>
      <w:r w:rsidRPr="000977F7">
        <w:rPr>
          <w:rFonts w:asciiTheme="majorHAnsi" w:hAnsiTheme="majorHAnsi"/>
          <w:spacing w:val="30"/>
          <w:sz w:val="20"/>
          <w:szCs w:val="20"/>
        </w:rPr>
        <w:t xml:space="preserve"> </w:t>
      </w:r>
      <w:r w:rsidRPr="000977F7">
        <w:rPr>
          <w:rFonts w:asciiTheme="majorHAnsi" w:hAnsiTheme="majorHAnsi"/>
          <w:sz w:val="20"/>
          <w:szCs w:val="20"/>
        </w:rPr>
        <w:t>їх</w:t>
      </w:r>
      <w:r w:rsidRPr="000977F7">
        <w:rPr>
          <w:rFonts w:asciiTheme="majorHAnsi" w:hAnsiTheme="majorHAnsi"/>
          <w:spacing w:val="29"/>
          <w:sz w:val="20"/>
          <w:szCs w:val="20"/>
        </w:rPr>
        <w:t xml:space="preserve"> </w:t>
      </w:r>
      <w:r w:rsidRPr="000977F7">
        <w:rPr>
          <w:rFonts w:asciiTheme="majorHAnsi" w:hAnsiTheme="majorHAnsi"/>
          <w:sz w:val="20"/>
          <w:szCs w:val="20"/>
        </w:rPr>
        <w:t>значеннями</w:t>
      </w:r>
      <w:r w:rsidRPr="000977F7">
        <w:rPr>
          <w:rFonts w:asciiTheme="majorHAnsi" w:hAnsiTheme="majorHAnsi"/>
          <w:spacing w:val="-47"/>
          <w:sz w:val="20"/>
          <w:szCs w:val="20"/>
        </w:rPr>
        <w:t xml:space="preserve">  </w:t>
      </w:r>
      <w:r w:rsidRPr="000977F7">
        <w:rPr>
          <w:rFonts w:asciiTheme="majorHAnsi" w:hAnsiTheme="majorHAnsi"/>
          <w:sz w:val="20"/>
          <w:szCs w:val="20"/>
        </w:rPr>
        <w:t>під</w:t>
      </w:r>
      <w:r w:rsidRPr="000977F7">
        <w:rPr>
          <w:rFonts w:asciiTheme="majorHAnsi" w:hAnsiTheme="majorHAnsi"/>
          <w:spacing w:val="-2"/>
          <w:sz w:val="20"/>
          <w:szCs w:val="20"/>
        </w:rPr>
        <w:t xml:space="preserve"> </w:t>
      </w:r>
      <w:r w:rsidRPr="000977F7">
        <w:rPr>
          <w:rFonts w:asciiTheme="majorHAnsi" w:hAnsiTheme="majorHAnsi"/>
          <w:sz w:val="20"/>
          <w:szCs w:val="20"/>
        </w:rPr>
        <w:t>час вимірювань</w:t>
      </w:r>
    </w:p>
    <w:p w14:paraId="2F588909"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p>
    <w:p w14:paraId="728DE9DF"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ВИМІРЮВАЛЬНА СИСТЕМА –</w:t>
      </w:r>
      <w:r w:rsidRPr="000977F7">
        <w:rPr>
          <w:rFonts w:asciiTheme="majorHAnsi" w:hAnsiTheme="majorHAnsi"/>
          <w:b/>
          <w:spacing w:val="-47"/>
          <w:sz w:val="20"/>
          <w:szCs w:val="20"/>
        </w:rPr>
        <w:t xml:space="preserve"> </w:t>
      </w:r>
    </w:p>
    <w:p w14:paraId="4951F46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MEASURING</w:t>
      </w:r>
      <w:r w:rsidRPr="000977F7">
        <w:rPr>
          <w:rFonts w:asciiTheme="majorHAnsi" w:hAnsiTheme="majorHAnsi"/>
          <w:spacing w:val="1"/>
          <w:sz w:val="20"/>
          <w:szCs w:val="20"/>
        </w:rPr>
        <w:t xml:space="preserve"> </w:t>
      </w:r>
      <w:r w:rsidRPr="000977F7">
        <w:rPr>
          <w:rFonts w:asciiTheme="majorHAnsi" w:hAnsiTheme="majorHAnsi"/>
          <w:sz w:val="20"/>
          <w:szCs w:val="20"/>
        </w:rPr>
        <w:t>SYSTEM</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81A6F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вимірювальних</w:t>
      </w:r>
      <w:r w:rsidRPr="000977F7">
        <w:rPr>
          <w:rFonts w:asciiTheme="majorHAnsi" w:hAnsiTheme="majorHAnsi"/>
          <w:spacing w:val="1"/>
          <w:sz w:val="20"/>
          <w:szCs w:val="20"/>
        </w:rPr>
        <w:t xml:space="preserve"> </w:t>
      </w:r>
      <w:r w:rsidRPr="000977F7">
        <w:rPr>
          <w:rFonts w:asciiTheme="majorHAnsi" w:hAnsiTheme="majorHAnsi"/>
          <w:sz w:val="20"/>
          <w:szCs w:val="20"/>
        </w:rPr>
        <w:t>каналів,</w:t>
      </w:r>
      <w:r w:rsidRPr="000977F7">
        <w:rPr>
          <w:rFonts w:asciiTheme="majorHAnsi" w:hAnsiTheme="majorHAnsi"/>
          <w:spacing w:val="1"/>
          <w:sz w:val="20"/>
          <w:szCs w:val="20"/>
        </w:rPr>
        <w:t xml:space="preserve"> </w:t>
      </w:r>
      <w:r w:rsidRPr="000977F7">
        <w:rPr>
          <w:rFonts w:asciiTheme="majorHAnsi" w:hAnsiTheme="majorHAnsi"/>
          <w:sz w:val="20"/>
          <w:szCs w:val="20"/>
        </w:rPr>
        <w:t>вимірювальних</w:t>
      </w:r>
      <w:r w:rsidRPr="000977F7">
        <w:rPr>
          <w:rFonts w:asciiTheme="majorHAnsi" w:hAnsiTheme="majorHAnsi"/>
          <w:spacing w:val="1"/>
          <w:sz w:val="20"/>
          <w:szCs w:val="20"/>
        </w:rPr>
        <w:t xml:space="preserve"> </w:t>
      </w:r>
      <w:r w:rsidRPr="000977F7">
        <w:rPr>
          <w:rFonts w:asciiTheme="majorHAnsi" w:hAnsiTheme="majorHAnsi"/>
          <w:sz w:val="20"/>
          <w:szCs w:val="20"/>
        </w:rPr>
        <w:t>пристроїв та інших технічних засобів, об’єднаних для</w:t>
      </w:r>
      <w:r w:rsidRPr="000977F7">
        <w:rPr>
          <w:rFonts w:asciiTheme="majorHAnsi" w:hAnsiTheme="majorHAnsi"/>
          <w:spacing w:val="1"/>
          <w:sz w:val="20"/>
          <w:szCs w:val="20"/>
        </w:rPr>
        <w:t xml:space="preserve"> </w:t>
      </w:r>
      <w:r w:rsidRPr="000977F7">
        <w:rPr>
          <w:rFonts w:asciiTheme="majorHAnsi" w:hAnsiTheme="majorHAnsi"/>
          <w:sz w:val="20"/>
          <w:szCs w:val="20"/>
        </w:rPr>
        <w:t>створення</w:t>
      </w:r>
      <w:r w:rsidRPr="000977F7">
        <w:rPr>
          <w:rFonts w:asciiTheme="majorHAnsi" w:hAnsiTheme="majorHAnsi"/>
          <w:spacing w:val="1"/>
          <w:sz w:val="20"/>
          <w:szCs w:val="20"/>
        </w:rPr>
        <w:t xml:space="preserve"> </w:t>
      </w:r>
      <w:r w:rsidRPr="000977F7">
        <w:rPr>
          <w:rFonts w:asciiTheme="majorHAnsi" w:hAnsiTheme="majorHAnsi"/>
          <w:sz w:val="20"/>
          <w:szCs w:val="20"/>
        </w:rPr>
        <w:t>сигналів</w:t>
      </w:r>
      <w:r w:rsidRPr="000977F7">
        <w:rPr>
          <w:rFonts w:asciiTheme="majorHAnsi" w:hAnsiTheme="majorHAnsi"/>
          <w:spacing w:val="1"/>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декілька</w:t>
      </w:r>
      <w:r w:rsidRPr="000977F7">
        <w:rPr>
          <w:rFonts w:asciiTheme="majorHAnsi" w:hAnsiTheme="majorHAnsi"/>
          <w:spacing w:val="-2"/>
          <w:sz w:val="20"/>
          <w:szCs w:val="20"/>
        </w:rPr>
        <w:t xml:space="preserve"> </w:t>
      </w:r>
      <w:r w:rsidRPr="000977F7">
        <w:rPr>
          <w:rFonts w:asciiTheme="majorHAnsi" w:hAnsiTheme="majorHAnsi"/>
          <w:sz w:val="20"/>
          <w:szCs w:val="20"/>
        </w:rPr>
        <w:t>вимірюваних</w:t>
      </w:r>
      <w:r w:rsidRPr="000977F7">
        <w:rPr>
          <w:rFonts w:asciiTheme="majorHAnsi" w:hAnsiTheme="majorHAnsi"/>
          <w:spacing w:val="-2"/>
          <w:sz w:val="20"/>
          <w:szCs w:val="20"/>
        </w:rPr>
        <w:t xml:space="preserve"> </w:t>
      </w:r>
      <w:r w:rsidRPr="000977F7">
        <w:rPr>
          <w:rFonts w:asciiTheme="majorHAnsi" w:hAnsiTheme="majorHAnsi"/>
          <w:sz w:val="20"/>
          <w:szCs w:val="20"/>
        </w:rPr>
        <w:t>фізичних</w:t>
      </w:r>
      <w:r w:rsidRPr="000977F7">
        <w:rPr>
          <w:rFonts w:asciiTheme="majorHAnsi" w:hAnsiTheme="majorHAnsi"/>
          <w:spacing w:val="-1"/>
          <w:sz w:val="20"/>
          <w:szCs w:val="20"/>
        </w:rPr>
        <w:t xml:space="preserve"> </w:t>
      </w:r>
      <w:r w:rsidRPr="000977F7">
        <w:rPr>
          <w:rFonts w:asciiTheme="majorHAnsi" w:hAnsiTheme="majorHAnsi"/>
          <w:sz w:val="20"/>
          <w:szCs w:val="20"/>
        </w:rPr>
        <w:t>величин</w:t>
      </w:r>
    </w:p>
    <w:p w14:paraId="59396D9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0B2F497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ВИМІРЮВАЛЬНЕ ПЕРЕТВОРЕННЯ ФІЗИЧНОЇ</w:t>
      </w:r>
      <w:r w:rsidRPr="000977F7">
        <w:rPr>
          <w:color w:val="auto"/>
          <w:spacing w:val="1"/>
          <w:sz w:val="20"/>
          <w:szCs w:val="20"/>
        </w:rPr>
        <w:t xml:space="preserve"> </w:t>
      </w:r>
      <w:r w:rsidRPr="000977F7">
        <w:rPr>
          <w:color w:val="auto"/>
          <w:sz w:val="20"/>
          <w:szCs w:val="20"/>
        </w:rPr>
        <w:t>ВЕЛИЧИНИ</w:t>
      </w:r>
      <w:r w:rsidRPr="000977F7">
        <w:rPr>
          <w:color w:val="auto"/>
          <w:spacing w:val="1"/>
          <w:sz w:val="20"/>
          <w:szCs w:val="20"/>
        </w:rPr>
        <w:t xml:space="preserve"> </w:t>
      </w:r>
      <w:r w:rsidRPr="000977F7">
        <w:rPr>
          <w:color w:val="auto"/>
          <w:sz w:val="20"/>
          <w:szCs w:val="20"/>
        </w:rPr>
        <w:t>–</w:t>
      </w:r>
    </w:p>
    <w:p w14:paraId="30218EB4"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Вимірювальна операція, під час якої вхідна фізична</w:t>
      </w:r>
      <w:r w:rsidRPr="000977F7">
        <w:rPr>
          <w:b w:val="0"/>
          <w:bCs/>
          <w:color w:val="auto"/>
          <w:spacing w:val="1"/>
          <w:sz w:val="20"/>
          <w:szCs w:val="20"/>
        </w:rPr>
        <w:t xml:space="preserve"> </w:t>
      </w:r>
      <w:r w:rsidRPr="000977F7">
        <w:rPr>
          <w:b w:val="0"/>
          <w:bCs/>
          <w:color w:val="auto"/>
          <w:sz w:val="20"/>
          <w:szCs w:val="20"/>
        </w:rPr>
        <w:t>величина перетворюється у вихідну, функційно з нею</w:t>
      </w:r>
      <w:r w:rsidRPr="000977F7">
        <w:rPr>
          <w:b w:val="0"/>
          <w:bCs/>
          <w:color w:val="auto"/>
          <w:spacing w:val="1"/>
          <w:sz w:val="20"/>
          <w:szCs w:val="20"/>
        </w:rPr>
        <w:t xml:space="preserve"> </w:t>
      </w:r>
      <w:r w:rsidRPr="000977F7">
        <w:rPr>
          <w:b w:val="0"/>
          <w:bCs/>
          <w:color w:val="auto"/>
          <w:sz w:val="20"/>
          <w:szCs w:val="20"/>
        </w:rPr>
        <w:t>пов’язану</w:t>
      </w:r>
    </w:p>
    <w:p w14:paraId="126C65A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6383D450" w14:textId="77777777" w:rsidR="0097612F" w:rsidRPr="000977F7" w:rsidRDefault="0097612F" w:rsidP="00FD39A4">
      <w:pPr>
        <w:pStyle w:val="ac"/>
        <w:widowControl w:val="0"/>
        <w:numPr>
          <w:ilvl w:val="0"/>
          <w:numId w:val="21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Принципом</w:t>
      </w:r>
      <w:r w:rsidRPr="000977F7">
        <w:rPr>
          <w:rFonts w:asciiTheme="majorHAnsi" w:hAnsiTheme="majorHAnsi"/>
          <w:spacing w:val="1"/>
          <w:sz w:val="20"/>
          <w:szCs w:val="20"/>
        </w:rPr>
        <w:t xml:space="preserve"> </w:t>
      </w:r>
      <w:r w:rsidRPr="000977F7">
        <w:rPr>
          <w:rFonts w:asciiTheme="majorHAnsi" w:hAnsiTheme="majorHAnsi"/>
          <w:sz w:val="20"/>
          <w:szCs w:val="20"/>
        </w:rPr>
        <w:t>вимірювального</w:t>
      </w:r>
      <w:r w:rsidRPr="000977F7">
        <w:rPr>
          <w:rFonts w:asciiTheme="majorHAnsi" w:hAnsiTheme="majorHAnsi"/>
          <w:spacing w:val="1"/>
          <w:sz w:val="20"/>
          <w:szCs w:val="20"/>
        </w:rPr>
        <w:t xml:space="preserve"> </w:t>
      </w:r>
      <w:r w:rsidRPr="000977F7">
        <w:rPr>
          <w:rFonts w:asciiTheme="majorHAnsi" w:hAnsiTheme="majorHAnsi"/>
          <w:sz w:val="20"/>
          <w:szCs w:val="20"/>
        </w:rPr>
        <w:t>перетворення</w:t>
      </w:r>
      <w:r w:rsidRPr="000977F7">
        <w:rPr>
          <w:rFonts w:asciiTheme="majorHAnsi" w:hAnsiTheme="majorHAnsi"/>
          <w:spacing w:val="1"/>
          <w:sz w:val="20"/>
          <w:szCs w:val="20"/>
        </w:rPr>
        <w:t xml:space="preserve"> </w:t>
      </w:r>
      <w:r w:rsidRPr="000977F7">
        <w:rPr>
          <w:rFonts w:asciiTheme="majorHAnsi" w:hAnsiTheme="majorHAnsi"/>
          <w:sz w:val="20"/>
          <w:szCs w:val="20"/>
        </w:rPr>
        <w:t>називають</w:t>
      </w:r>
      <w:r w:rsidRPr="000977F7">
        <w:rPr>
          <w:rFonts w:asciiTheme="majorHAnsi" w:hAnsiTheme="majorHAnsi"/>
          <w:spacing w:val="-2"/>
          <w:sz w:val="20"/>
          <w:szCs w:val="20"/>
        </w:rPr>
        <w:t xml:space="preserve"> </w:t>
      </w:r>
      <w:r w:rsidRPr="000977F7">
        <w:rPr>
          <w:rFonts w:asciiTheme="majorHAnsi" w:hAnsiTheme="majorHAnsi"/>
          <w:sz w:val="20"/>
          <w:szCs w:val="20"/>
        </w:rPr>
        <w:t>фізичний</w:t>
      </w:r>
      <w:r w:rsidRPr="000977F7">
        <w:rPr>
          <w:rFonts w:asciiTheme="majorHAnsi" w:hAnsiTheme="majorHAnsi"/>
          <w:spacing w:val="-3"/>
          <w:sz w:val="20"/>
          <w:szCs w:val="20"/>
        </w:rPr>
        <w:t xml:space="preserve"> </w:t>
      </w:r>
      <w:r w:rsidRPr="000977F7">
        <w:rPr>
          <w:rFonts w:asciiTheme="majorHAnsi" w:hAnsiTheme="majorHAnsi"/>
          <w:sz w:val="20"/>
          <w:szCs w:val="20"/>
        </w:rPr>
        <w:t>ефект,</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якому</w:t>
      </w:r>
      <w:r w:rsidRPr="000977F7">
        <w:rPr>
          <w:rFonts w:asciiTheme="majorHAnsi" w:hAnsiTheme="majorHAnsi"/>
          <w:spacing w:val="-6"/>
          <w:sz w:val="20"/>
          <w:szCs w:val="20"/>
        </w:rPr>
        <w:t xml:space="preserve"> </w:t>
      </w:r>
      <w:r w:rsidRPr="000977F7">
        <w:rPr>
          <w:rFonts w:asciiTheme="majorHAnsi" w:hAnsiTheme="majorHAnsi"/>
          <w:sz w:val="20"/>
          <w:szCs w:val="20"/>
        </w:rPr>
        <w:t>воно</w:t>
      </w:r>
      <w:r w:rsidRPr="000977F7">
        <w:rPr>
          <w:rFonts w:asciiTheme="majorHAnsi" w:hAnsiTheme="majorHAnsi"/>
          <w:spacing w:val="-1"/>
          <w:sz w:val="20"/>
          <w:szCs w:val="20"/>
        </w:rPr>
        <w:t xml:space="preserve"> </w:t>
      </w:r>
      <w:r w:rsidRPr="000977F7">
        <w:rPr>
          <w:rFonts w:asciiTheme="majorHAnsi" w:hAnsiTheme="majorHAnsi"/>
          <w:sz w:val="20"/>
          <w:szCs w:val="20"/>
        </w:rPr>
        <w:t>засновано</w:t>
      </w:r>
    </w:p>
    <w:p w14:paraId="5374E072" w14:textId="77777777" w:rsidR="0097612F" w:rsidRPr="000977F7" w:rsidRDefault="0097612F" w:rsidP="00FD39A4">
      <w:pPr>
        <w:pStyle w:val="ac"/>
        <w:widowControl w:val="0"/>
        <w:numPr>
          <w:ilvl w:val="0"/>
          <w:numId w:val="210"/>
        </w:numPr>
        <w:tabs>
          <w:tab w:val="left" w:pos="284"/>
          <w:tab w:val="left" w:pos="66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Вимірювальні перетворення поділяються на перетворення зі зміною роду величини та без зміни</w:t>
      </w:r>
      <w:r w:rsidRPr="000977F7">
        <w:rPr>
          <w:rFonts w:asciiTheme="majorHAnsi" w:hAnsiTheme="majorHAnsi"/>
          <w:spacing w:val="1"/>
          <w:sz w:val="20"/>
          <w:szCs w:val="20"/>
        </w:rPr>
        <w:t xml:space="preserve"> </w:t>
      </w:r>
      <w:r w:rsidRPr="000977F7">
        <w:rPr>
          <w:rFonts w:asciiTheme="majorHAnsi" w:hAnsiTheme="majorHAnsi"/>
          <w:sz w:val="20"/>
          <w:szCs w:val="20"/>
        </w:rPr>
        <w:t>роду величини,</w:t>
      </w:r>
      <w:r w:rsidRPr="000977F7">
        <w:rPr>
          <w:rFonts w:asciiTheme="majorHAnsi" w:hAnsiTheme="majorHAnsi"/>
          <w:spacing w:val="1"/>
          <w:sz w:val="20"/>
          <w:szCs w:val="20"/>
        </w:rPr>
        <w:t xml:space="preserve"> </w:t>
      </w:r>
      <w:r w:rsidRPr="000977F7">
        <w:rPr>
          <w:rFonts w:asciiTheme="majorHAnsi" w:hAnsiTheme="majorHAnsi"/>
          <w:sz w:val="20"/>
          <w:szCs w:val="20"/>
        </w:rPr>
        <w:t>які в свою</w:t>
      </w:r>
      <w:r w:rsidRPr="000977F7">
        <w:rPr>
          <w:rFonts w:asciiTheme="majorHAnsi" w:hAnsiTheme="majorHAnsi"/>
          <w:spacing w:val="1"/>
          <w:sz w:val="20"/>
          <w:szCs w:val="20"/>
        </w:rPr>
        <w:t xml:space="preserve"> </w:t>
      </w:r>
      <w:r w:rsidRPr="000977F7">
        <w:rPr>
          <w:rFonts w:asciiTheme="majorHAnsi" w:hAnsiTheme="majorHAnsi"/>
          <w:sz w:val="20"/>
          <w:szCs w:val="20"/>
        </w:rPr>
        <w:t>чергу також поділяються</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лінійні</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нелінійні</w:t>
      </w:r>
    </w:p>
    <w:p w14:paraId="45D3580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2681 - 94</w:t>
      </w:r>
    </w:p>
    <w:p w14:paraId="57E49327"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r w:rsidRPr="000977F7">
        <w:rPr>
          <w:rFonts w:asciiTheme="majorHAnsi" w:hAnsiTheme="majorHAnsi"/>
          <w:b/>
          <w:bCs/>
          <w:iCs/>
          <w:sz w:val="20"/>
          <w:szCs w:val="20"/>
        </w:rPr>
        <w:t xml:space="preserve">ВИМІРЮВАЛЬНЕ УСТАТКОВАННЯ – </w:t>
      </w:r>
    </w:p>
    <w:p w14:paraId="76EE291D"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MEASURING EQUIPMENT -</w:t>
      </w:r>
    </w:p>
    <w:p w14:paraId="29AC379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Вимірювальний</w:t>
      </w:r>
      <w:r w:rsidRPr="000977F7">
        <w:rPr>
          <w:rFonts w:asciiTheme="majorHAnsi" w:hAnsiTheme="majorHAnsi"/>
          <w:spacing w:val="-7"/>
          <w:sz w:val="20"/>
          <w:szCs w:val="20"/>
        </w:rPr>
        <w:t xml:space="preserve"> </w:t>
      </w:r>
      <w:r w:rsidRPr="000977F7">
        <w:rPr>
          <w:rFonts w:asciiTheme="majorHAnsi" w:hAnsiTheme="majorHAnsi"/>
          <w:sz w:val="20"/>
          <w:szCs w:val="20"/>
        </w:rPr>
        <w:t>прилад,</w:t>
      </w:r>
      <w:r w:rsidRPr="000977F7">
        <w:rPr>
          <w:rFonts w:asciiTheme="majorHAnsi" w:hAnsiTheme="majorHAnsi"/>
          <w:spacing w:val="-2"/>
          <w:sz w:val="20"/>
          <w:szCs w:val="20"/>
        </w:rPr>
        <w:t xml:space="preserve"> </w:t>
      </w:r>
      <w:r w:rsidRPr="000977F7">
        <w:rPr>
          <w:rFonts w:asciiTheme="majorHAnsi" w:hAnsiTheme="majorHAnsi"/>
          <w:sz w:val="20"/>
          <w:szCs w:val="20"/>
        </w:rPr>
        <w:t>програмний</w:t>
      </w:r>
      <w:r w:rsidRPr="000977F7">
        <w:rPr>
          <w:rFonts w:asciiTheme="majorHAnsi" w:hAnsiTheme="majorHAnsi"/>
          <w:spacing w:val="-6"/>
          <w:sz w:val="20"/>
          <w:szCs w:val="20"/>
        </w:rPr>
        <w:t xml:space="preserve"> </w:t>
      </w:r>
      <w:r w:rsidRPr="000977F7">
        <w:rPr>
          <w:rFonts w:asciiTheme="majorHAnsi" w:hAnsiTheme="majorHAnsi"/>
          <w:sz w:val="20"/>
          <w:szCs w:val="20"/>
        </w:rPr>
        <w:t>засіб,</w:t>
      </w:r>
      <w:r w:rsidRPr="000977F7">
        <w:rPr>
          <w:rFonts w:asciiTheme="majorHAnsi" w:hAnsiTheme="majorHAnsi"/>
          <w:spacing w:val="-6"/>
          <w:sz w:val="20"/>
          <w:szCs w:val="20"/>
        </w:rPr>
        <w:t xml:space="preserve"> </w:t>
      </w:r>
      <w:r w:rsidRPr="000977F7">
        <w:rPr>
          <w:rFonts w:asciiTheme="majorHAnsi" w:hAnsiTheme="majorHAnsi"/>
          <w:sz w:val="20"/>
          <w:szCs w:val="20"/>
        </w:rPr>
        <w:t>еталон,</w:t>
      </w:r>
      <w:r w:rsidRPr="000977F7">
        <w:rPr>
          <w:rFonts w:asciiTheme="majorHAnsi" w:hAnsiTheme="majorHAnsi"/>
          <w:spacing w:val="-47"/>
          <w:sz w:val="20"/>
          <w:szCs w:val="20"/>
        </w:rPr>
        <w:t xml:space="preserve"> </w:t>
      </w:r>
      <w:r w:rsidRPr="000977F7">
        <w:rPr>
          <w:rFonts w:asciiTheme="majorHAnsi" w:hAnsiTheme="majorHAnsi"/>
          <w:sz w:val="20"/>
          <w:szCs w:val="20"/>
        </w:rPr>
        <w:t>стандартний зразок</w:t>
      </w:r>
      <w:r w:rsidRPr="000977F7">
        <w:rPr>
          <w:rFonts w:asciiTheme="majorHAnsi" w:hAnsiTheme="majorHAnsi"/>
          <w:spacing w:val="-2"/>
          <w:sz w:val="20"/>
          <w:szCs w:val="20"/>
        </w:rPr>
        <w:t xml:space="preserve"> </w:t>
      </w:r>
      <w:r w:rsidRPr="000977F7">
        <w:rPr>
          <w:rFonts w:asciiTheme="majorHAnsi" w:hAnsiTheme="majorHAnsi"/>
          <w:sz w:val="20"/>
          <w:szCs w:val="20"/>
        </w:rPr>
        <w:t>або допоміжні</w:t>
      </w:r>
      <w:r w:rsidRPr="000977F7">
        <w:rPr>
          <w:rFonts w:asciiTheme="majorHAnsi" w:hAnsiTheme="majorHAnsi"/>
          <w:spacing w:val="1"/>
          <w:sz w:val="20"/>
          <w:szCs w:val="20"/>
        </w:rPr>
        <w:t xml:space="preserve"> </w:t>
      </w:r>
      <w:r w:rsidRPr="000977F7">
        <w:rPr>
          <w:rFonts w:asciiTheme="majorHAnsi" w:hAnsiTheme="majorHAnsi"/>
          <w:sz w:val="20"/>
          <w:szCs w:val="20"/>
        </w:rPr>
        <w:t>прилади чи їх комбінація, потрібні для виконання процесу вимірювання</w:t>
      </w:r>
    </w:p>
    <w:p w14:paraId="4EDD9803"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ISO 9000:2015</w:t>
      </w:r>
    </w:p>
    <w:p w14:paraId="261D841B"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en-US"/>
        </w:rPr>
      </w:pPr>
      <w:bookmarkStart w:id="26" w:name="_Hlk101078952"/>
      <w:r w:rsidRPr="000977F7">
        <w:rPr>
          <w:rFonts w:asciiTheme="majorHAnsi" w:hAnsiTheme="majorHAnsi"/>
          <w:b/>
          <w:sz w:val="20"/>
          <w:szCs w:val="20"/>
        </w:rPr>
        <w:t>ВИМІРЮВАЛЬНИЙ</w:t>
      </w:r>
      <w:r w:rsidRPr="004D2D14">
        <w:rPr>
          <w:rFonts w:asciiTheme="majorHAnsi" w:hAnsiTheme="majorHAnsi"/>
          <w:b/>
          <w:sz w:val="20"/>
          <w:szCs w:val="20"/>
          <w:lang w:val="en-US"/>
        </w:rPr>
        <w:t xml:space="preserve"> </w:t>
      </w:r>
      <w:r w:rsidRPr="000977F7">
        <w:rPr>
          <w:rFonts w:asciiTheme="majorHAnsi" w:hAnsiTheme="majorHAnsi"/>
          <w:b/>
          <w:sz w:val="20"/>
          <w:szCs w:val="20"/>
        </w:rPr>
        <w:t>КАНАЛ</w:t>
      </w:r>
      <w:r w:rsidRPr="004D2D14">
        <w:rPr>
          <w:rFonts w:asciiTheme="majorHAnsi" w:hAnsiTheme="majorHAnsi"/>
          <w:b/>
          <w:sz w:val="20"/>
          <w:szCs w:val="20"/>
          <w:lang w:val="en-US"/>
        </w:rPr>
        <w:t xml:space="preserve"> –</w:t>
      </w:r>
      <w:r w:rsidRPr="004D2D14">
        <w:rPr>
          <w:rFonts w:asciiTheme="majorHAnsi" w:hAnsiTheme="majorHAnsi"/>
          <w:b/>
          <w:spacing w:val="-47"/>
          <w:sz w:val="20"/>
          <w:szCs w:val="20"/>
          <w:lang w:val="en-US"/>
        </w:rPr>
        <w:t xml:space="preserve"> </w:t>
      </w:r>
    </w:p>
    <w:p w14:paraId="5561D18E"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MEASURING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CHANNEL</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bookmarkEnd w:id="26"/>
    </w:p>
    <w:p w14:paraId="24B114F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Сукупність</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засобів</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вимірювальної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техніки</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засобів</w:t>
      </w:r>
      <w:r w:rsidRPr="004D2D14">
        <w:rPr>
          <w:rFonts w:asciiTheme="majorHAnsi" w:hAnsiTheme="majorHAnsi"/>
          <w:spacing w:val="1"/>
          <w:sz w:val="20"/>
          <w:szCs w:val="20"/>
          <w:lang w:val="en-US"/>
        </w:rPr>
        <w:t xml:space="preserve"> </w:t>
      </w:r>
      <w:r w:rsidRPr="000977F7">
        <w:rPr>
          <w:rFonts w:asciiTheme="majorHAnsi" w:hAnsiTheme="majorHAnsi"/>
          <w:sz w:val="20"/>
          <w:szCs w:val="20"/>
        </w:rPr>
        <w:t>зв</w:t>
      </w:r>
      <w:r w:rsidRPr="004D2D14">
        <w:rPr>
          <w:rFonts w:asciiTheme="majorHAnsi" w:hAnsiTheme="majorHAnsi"/>
          <w:sz w:val="20"/>
          <w:szCs w:val="20"/>
          <w:lang w:val="en-US"/>
        </w:rPr>
        <w:t>’</w:t>
      </w:r>
      <w:r w:rsidRPr="000977F7">
        <w:rPr>
          <w:rFonts w:asciiTheme="majorHAnsi" w:hAnsiTheme="majorHAnsi"/>
          <w:sz w:val="20"/>
          <w:szCs w:val="20"/>
        </w:rPr>
        <w:t>язку</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інших</w:t>
      </w:r>
      <w:r w:rsidRPr="004D2D14">
        <w:rPr>
          <w:rFonts w:asciiTheme="majorHAnsi" w:hAnsiTheme="majorHAnsi"/>
          <w:sz w:val="20"/>
          <w:szCs w:val="20"/>
          <w:lang w:val="en-US"/>
        </w:rPr>
        <w:t xml:space="preserve"> </w:t>
      </w:r>
      <w:r w:rsidRPr="000977F7">
        <w:rPr>
          <w:rFonts w:asciiTheme="majorHAnsi" w:hAnsiTheme="majorHAnsi"/>
          <w:sz w:val="20"/>
          <w:szCs w:val="20"/>
        </w:rPr>
        <w:t>технічних</w:t>
      </w:r>
      <w:r w:rsidRPr="004D2D14">
        <w:rPr>
          <w:rFonts w:asciiTheme="majorHAnsi" w:hAnsiTheme="majorHAnsi"/>
          <w:sz w:val="20"/>
          <w:szCs w:val="20"/>
          <w:lang w:val="en-US"/>
        </w:rPr>
        <w:t xml:space="preserve"> </w:t>
      </w:r>
      <w:r w:rsidRPr="000977F7">
        <w:rPr>
          <w:rFonts w:asciiTheme="majorHAnsi" w:hAnsiTheme="majorHAnsi"/>
          <w:sz w:val="20"/>
          <w:szCs w:val="20"/>
        </w:rPr>
        <w:t>засобів</w:t>
      </w:r>
      <w:r w:rsidRPr="004D2D14">
        <w:rPr>
          <w:rFonts w:asciiTheme="majorHAnsi" w:hAnsiTheme="majorHAnsi"/>
          <w:sz w:val="20"/>
          <w:szCs w:val="20"/>
          <w:lang w:val="en-US"/>
        </w:rPr>
        <w:t xml:space="preserve">, </w:t>
      </w:r>
      <w:r w:rsidRPr="000977F7">
        <w:rPr>
          <w:rFonts w:asciiTheme="majorHAnsi" w:hAnsiTheme="majorHAnsi"/>
          <w:sz w:val="20"/>
          <w:szCs w:val="20"/>
        </w:rPr>
        <w:t>призначена</w:t>
      </w:r>
      <w:r w:rsidRPr="004D2D14">
        <w:rPr>
          <w:rFonts w:asciiTheme="majorHAnsi" w:hAnsiTheme="majorHAnsi"/>
          <w:spacing w:val="1"/>
          <w:sz w:val="20"/>
          <w:szCs w:val="20"/>
          <w:lang w:val="en-US"/>
        </w:rPr>
        <w:t xml:space="preserve"> </w:t>
      </w:r>
      <w:r w:rsidRPr="000977F7">
        <w:rPr>
          <w:rFonts w:asciiTheme="majorHAnsi" w:hAnsiTheme="majorHAnsi"/>
          <w:sz w:val="20"/>
          <w:szCs w:val="20"/>
        </w:rPr>
        <w:t>для</w:t>
      </w:r>
      <w:r w:rsidRPr="004D2D14">
        <w:rPr>
          <w:rFonts w:asciiTheme="majorHAnsi" w:hAnsiTheme="majorHAnsi"/>
          <w:spacing w:val="1"/>
          <w:sz w:val="20"/>
          <w:szCs w:val="20"/>
          <w:lang w:val="en-US"/>
        </w:rPr>
        <w:t xml:space="preserve"> </w:t>
      </w:r>
      <w:r w:rsidRPr="000977F7">
        <w:rPr>
          <w:rFonts w:asciiTheme="majorHAnsi" w:hAnsiTheme="majorHAnsi"/>
          <w:sz w:val="20"/>
          <w:szCs w:val="20"/>
        </w:rPr>
        <w:t>створення</w:t>
      </w:r>
      <w:r w:rsidRPr="004D2D14">
        <w:rPr>
          <w:rFonts w:asciiTheme="majorHAnsi" w:hAnsiTheme="majorHAnsi"/>
          <w:sz w:val="20"/>
          <w:szCs w:val="20"/>
          <w:lang w:val="en-US"/>
        </w:rPr>
        <w:t xml:space="preserve"> </w:t>
      </w:r>
      <w:r w:rsidRPr="000977F7">
        <w:rPr>
          <w:rFonts w:asciiTheme="majorHAnsi" w:hAnsiTheme="majorHAnsi"/>
          <w:sz w:val="20"/>
          <w:szCs w:val="20"/>
        </w:rPr>
        <w:t>сигналу</w:t>
      </w:r>
      <w:r w:rsidRPr="004D2D14">
        <w:rPr>
          <w:rFonts w:asciiTheme="majorHAnsi" w:hAnsiTheme="majorHAnsi"/>
          <w:sz w:val="20"/>
          <w:szCs w:val="20"/>
          <w:lang w:val="en-US"/>
        </w:rPr>
        <w:t xml:space="preserve"> </w:t>
      </w:r>
      <w:r w:rsidRPr="000977F7">
        <w:rPr>
          <w:rFonts w:asciiTheme="majorHAnsi" w:hAnsiTheme="majorHAnsi"/>
          <w:sz w:val="20"/>
          <w:szCs w:val="20"/>
        </w:rPr>
        <w:t>вимірювальної</w:t>
      </w:r>
      <w:r w:rsidRPr="004D2D14">
        <w:rPr>
          <w:rFonts w:asciiTheme="majorHAnsi" w:hAnsiTheme="majorHAnsi"/>
          <w:sz w:val="20"/>
          <w:szCs w:val="20"/>
          <w:lang w:val="en-US"/>
        </w:rPr>
        <w:t xml:space="preserve"> </w:t>
      </w:r>
      <w:r w:rsidRPr="000977F7">
        <w:rPr>
          <w:rFonts w:asciiTheme="majorHAnsi" w:hAnsiTheme="majorHAnsi"/>
          <w:sz w:val="20"/>
          <w:szCs w:val="20"/>
        </w:rPr>
        <w:t>інформації</w:t>
      </w:r>
      <w:r w:rsidRPr="004D2D14">
        <w:rPr>
          <w:rFonts w:asciiTheme="majorHAnsi" w:hAnsiTheme="majorHAnsi"/>
          <w:sz w:val="20"/>
          <w:szCs w:val="20"/>
          <w:lang w:val="en-US"/>
        </w:rPr>
        <w:t xml:space="preserve"> </w:t>
      </w:r>
      <w:r w:rsidRPr="000977F7">
        <w:rPr>
          <w:rFonts w:asciiTheme="majorHAnsi" w:hAnsiTheme="majorHAnsi"/>
          <w:sz w:val="20"/>
          <w:szCs w:val="20"/>
        </w:rPr>
        <w:t>про</w:t>
      </w:r>
      <w:r w:rsidRPr="004D2D14">
        <w:rPr>
          <w:rFonts w:asciiTheme="majorHAnsi" w:hAnsiTheme="majorHAnsi"/>
          <w:sz w:val="20"/>
          <w:szCs w:val="20"/>
          <w:lang w:val="en-US"/>
        </w:rPr>
        <w:t xml:space="preserve"> </w:t>
      </w:r>
      <w:r w:rsidRPr="000977F7">
        <w:rPr>
          <w:rFonts w:asciiTheme="majorHAnsi" w:hAnsiTheme="majorHAnsi"/>
          <w:sz w:val="20"/>
          <w:szCs w:val="20"/>
        </w:rPr>
        <w:t>одну</w:t>
      </w:r>
      <w:r w:rsidRPr="004D2D14">
        <w:rPr>
          <w:rFonts w:asciiTheme="majorHAnsi" w:hAnsiTheme="majorHAnsi"/>
          <w:spacing w:val="-5"/>
          <w:sz w:val="20"/>
          <w:szCs w:val="20"/>
          <w:lang w:val="en-US"/>
        </w:rPr>
        <w:t xml:space="preserve"> </w:t>
      </w:r>
      <w:r w:rsidRPr="000977F7">
        <w:rPr>
          <w:rFonts w:asciiTheme="majorHAnsi" w:hAnsiTheme="majorHAnsi"/>
          <w:sz w:val="20"/>
          <w:szCs w:val="20"/>
        </w:rPr>
        <w:t>вимірювану</w:t>
      </w:r>
      <w:r w:rsidRPr="004D2D14">
        <w:rPr>
          <w:rFonts w:asciiTheme="majorHAnsi" w:hAnsiTheme="majorHAnsi"/>
          <w:spacing w:val="-4"/>
          <w:sz w:val="20"/>
          <w:szCs w:val="20"/>
          <w:lang w:val="en-US"/>
        </w:rPr>
        <w:t xml:space="preserve"> </w:t>
      </w:r>
      <w:r w:rsidRPr="000977F7">
        <w:rPr>
          <w:rFonts w:asciiTheme="majorHAnsi" w:hAnsiTheme="majorHAnsi"/>
          <w:sz w:val="20"/>
          <w:szCs w:val="20"/>
        </w:rPr>
        <w:t>фізичну</w:t>
      </w:r>
      <w:r w:rsidRPr="004D2D14">
        <w:rPr>
          <w:rFonts w:asciiTheme="majorHAnsi" w:hAnsiTheme="majorHAnsi"/>
          <w:spacing w:val="-4"/>
          <w:sz w:val="20"/>
          <w:szCs w:val="20"/>
          <w:lang w:val="en-US"/>
        </w:rPr>
        <w:t xml:space="preserve"> </w:t>
      </w:r>
      <w:r w:rsidRPr="000977F7">
        <w:rPr>
          <w:rFonts w:asciiTheme="majorHAnsi" w:hAnsiTheme="majorHAnsi"/>
          <w:sz w:val="20"/>
          <w:szCs w:val="20"/>
        </w:rPr>
        <w:t>величину</w:t>
      </w:r>
    </w:p>
    <w:p w14:paraId="387D520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3AC055F2"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ВИМІРЮВАЛЬНИЙ</w:t>
      </w:r>
      <w:r w:rsidRPr="004D2D14">
        <w:rPr>
          <w:rFonts w:asciiTheme="majorHAnsi" w:hAnsiTheme="majorHAnsi"/>
          <w:b/>
          <w:sz w:val="20"/>
          <w:szCs w:val="20"/>
          <w:lang w:val="en-US"/>
        </w:rPr>
        <w:t xml:space="preserve"> </w:t>
      </w:r>
      <w:r w:rsidRPr="000977F7">
        <w:rPr>
          <w:rFonts w:asciiTheme="majorHAnsi" w:hAnsiTheme="majorHAnsi"/>
          <w:b/>
          <w:sz w:val="20"/>
          <w:szCs w:val="20"/>
        </w:rPr>
        <w:t>КОНТРОЛЬ</w:t>
      </w:r>
      <w:r w:rsidRPr="004D2D14">
        <w:rPr>
          <w:rFonts w:asciiTheme="majorHAnsi" w:hAnsiTheme="majorHAnsi"/>
          <w:sz w:val="20"/>
          <w:szCs w:val="20"/>
          <w:lang w:val="en-US"/>
        </w:rPr>
        <w:t>-</w:t>
      </w:r>
    </w:p>
    <w:p w14:paraId="7FADED5E"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CONTROL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BY MEASUREMENT-</w:t>
      </w:r>
    </w:p>
    <w:p w14:paraId="4E7821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w:t>
      </w:r>
      <w:r w:rsidRPr="000977F7">
        <w:rPr>
          <w:rFonts w:asciiTheme="majorHAnsi" w:hAnsiTheme="majorHAnsi"/>
          <w:spacing w:val="46"/>
          <w:sz w:val="20"/>
          <w:szCs w:val="20"/>
        </w:rPr>
        <w:t xml:space="preserve"> </w:t>
      </w:r>
      <w:r w:rsidRPr="000977F7">
        <w:rPr>
          <w:rFonts w:asciiTheme="majorHAnsi" w:hAnsiTheme="majorHAnsi"/>
          <w:sz w:val="20"/>
          <w:szCs w:val="20"/>
        </w:rPr>
        <w:t>що</w:t>
      </w:r>
      <w:r w:rsidRPr="000977F7">
        <w:rPr>
          <w:rFonts w:asciiTheme="majorHAnsi" w:hAnsiTheme="majorHAnsi"/>
          <w:spacing w:val="44"/>
          <w:sz w:val="20"/>
          <w:szCs w:val="20"/>
        </w:rPr>
        <w:t xml:space="preserve"> </w:t>
      </w:r>
      <w:r w:rsidRPr="000977F7">
        <w:rPr>
          <w:rFonts w:asciiTheme="majorHAnsi" w:hAnsiTheme="majorHAnsi"/>
          <w:sz w:val="20"/>
          <w:szCs w:val="20"/>
        </w:rPr>
        <w:t>проводиться</w:t>
      </w:r>
      <w:r w:rsidRPr="000977F7">
        <w:rPr>
          <w:rFonts w:asciiTheme="majorHAnsi" w:hAnsiTheme="majorHAnsi"/>
          <w:spacing w:val="46"/>
          <w:sz w:val="20"/>
          <w:szCs w:val="20"/>
        </w:rPr>
        <w:t xml:space="preserve"> </w:t>
      </w:r>
      <w:r w:rsidRPr="000977F7">
        <w:rPr>
          <w:rFonts w:asciiTheme="majorHAnsi" w:hAnsiTheme="majorHAnsi"/>
          <w:sz w:val="20"/>
          <w:szCs w:val="20"/>
        </w:rPr>
        <w:t>з</w:t>
      </w:r>
      <w:r w:rsidRPr="000977F7">
        <w:rPr>
          <w:rFonts w:asciiTheme="majorHAnsi" w:hAnsiTheme="majorHAnsi"/>
          <w:spacing w:val="43"/>
          <w:sz w:val="20"/>
          <w:szCs w:val="20"/>
        </w:rPr>
        <w:t xml:space="preserve"> </w:t>
      </w:r>
      <w:r w:rsidRPr="000977F7">
        <w:rPr>
          <w:rFonts w:asciiTheme="majorHAnsi" w:hAnsiTheme="majorHAnsi"/>
          <w:sz w:val="20"/>
          <w:szCs w:val="20"/>
        </w:rPr>
        <w:t>використанням</w:t>
      </w:r>
      <w:r w:rsidRPr="000977F7">
        <w:rPr>
          <w:rFonts w:asciiTheme="majorHAnsi" w:hAnsiTheme="majorHAnsi"/>
          <w:spacing w:val="44"/>
          <w:sz w:val="20"/>
          <w:szCs w:val="20"/>
        </w:rPr>
        <w:t xml:space="preserve"> </w:t>
      </w:r>
      <w:r w:rsidRPr="000977F7">
        <w:rPr>
          <w:rFonts w:asciiTheme="majorHAnsi" w:hAnsiTheme="majorHAnsi"/>
          <w:sz w:val="20"/>
          <w:szCs w:val="20"/>
        </w:rPr>
        <w:t>засобів</w:t>
      </w:r>
      <w:r w:rsidRPr="000977F7">
        <w:rPr>
          <w:rFonts w:asciiTheme="majorHAnsi" w:hAnsiTheme="majorHAnsi"/>
          <w:spacing w:val="-47"/>
          <w:sz w:val="20"/>
          <w:szCs w:val="20"/>
        </w:rPr>
        <w:t xml:space="preserve"> </w:t>
      </w:r>
      <w:r w:rsidRPr="000977F7">
        <w:rPr>
          <w:rFonts w:asciiTheme="majorHAnsi" w:hAnsiTheme="majorHAnsi"/>
          <w:sz w:val="20"/>
          <w:szCs w:val="20"/>
        </w:rPr>
        <w:t>вимірювання</w:t>
      </w:r>
    </w:p>
    <w:p w14:paraId="71B518E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4B8A0E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 який установлює факт перебування дійсного значення параметра відносно його гранично допустимих значень шляхом вимірювання значення параметра</w:t>
      </w:r>
    </w:p>
    <w:p w14:paraId="0A4A979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 94</w:t>
      </w:r>
    </w:p>
    <w:p w14:paraId="6AA64788"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ВИМІРЮВАЛЬНИЙ МЕТОД ВИЗНАЧЕННЯ</w:t>
      </w:r>
      <w:r w:rsidRPr="000977F7">
        <w:rPr>
          <w:color w:val="auto"/>
          <w:spacing w:val="-47"/>
          <w:sz w:val="20"/>
          <w:szCs w:val="20"/>
        </w:rPr>
        <w:t xml:space="preserve">        </w:t>
      </w:r>
      <w:r w:rsidRPr="000977F7">
        <w:rPr>
          <w:color w:val="auto"/>
          <w:sz w:val="20"/>
          <w:szCs w:val="20"/>
        </w:rPr>
        <w:t>ПОКАЗНИКІВ</w:t>
      </w:r>
      <w:r w:rsidRPr="000977F7">
        <w:rPr>
          <w:color w:val="auto"/>
          <w:spacing w:val="-1"/>
          <w:sz w:val="20"/>
          <w:szCs w:val="20"/>
        </w:rPr>
        <w:t xml:space="preserve"> </w:t>
      </w:r>
      <w:r w:rsidRPr="000977F7">
        <w:rPr>
          <w:color w:val="auto"/>
          <w:sz w:val="20"/>
          <w:szCs w:val="20"/>
        </w:rPr>
        <w:t>ЯКОСТІ</w:t>
      </w:r>
      <w:r w:rsidRPr="000977F7">
        <w:rPr>
          <w:color w:val="auto"/>
          <w:spacing w:val="-3"/>
          <w:sz w:val="20"/>
          <w:szCs w:val="20"/>
        </w:rPr>
        <w:t xml:space="preserve"> </w:t>
      </w:r>
      <w:r w:rsidRPr="000977F7">
        <w:rPr>
          <w:color w:val="auto"/>
          <w:sz w:val="20"/>
          <w:szCs w:val="20"/>
        </w:rPr>
        <w:t xml:space="preserve">ПРОГРАМНИХ </w:t>
      </w:r>
      <w:r w:rsidRPr="000977F7">
        <w:rPr>
          <w:bCs/>
          <w:color w:val="auto"/>
          <w:sz w:val="20"/>
          <w:szCs w:val="20"/>
        </w:rPr>
        <w:t>ЗАСОБІВ</w:t>
      </w:r>
      <w:r w:rsidRPr="000977F7">
        <w:rPr>
          <w:bCs/>
          <w:color w:val="auto"/>
          <w:spacing w:val="-3"/>
          <w:sz w:val="20"/>
          <w:szCs w:val="20"/>
        </w:rPr>
        <w:t xml:space="preserve"> </w:t>
      </w:r>
      <w:r w:rsidRPr="000977F7">
        <w:rPr>
          <w:b w:val="0"/>
          <w:color w:val="auto"/>
          <w:sz w:val="20"/>
          <w:szCs w:val="20"/>
        </w:rPr>
        <w:t>–</w:t>
      </w:r>
    </w:p>
    <w:p w14:paraId="081317C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визначення значень показників якості програмного</w:t>
      </w:r>
      <w:r w:rsidRPr="000977F7">
        <w:rPr>
          <w:rFonts w:asciiTheme="majorHAnsi" w:hAnsiTheme="majorHAnsi"/>
          <w:spacing w:val="1"/>
          <w:sz w:val="20"/>
          <w:szCs w:val="20"/>
        </w:rPr>
        <w:t xml:space="preserve"> </w:t>
      </w:r>
      <w:r w:rsidRPr="000977F7">
        <w:rPr>
          <w:rFonts w:asciiTheme="majorHAnsi" w:hAnsiTheme="majorHAnsi"/>
          <w:sz w:val="20"/>
          <w:szCs w:val="20"/>
        </w:rPr>
        <w:t>засобу,</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використанням</w:t>
      </w:r>
      <w:r w:rsidRPr="000977F7">
        <w:rPr>
          <w:rFonts w:asciiTheme="majorHAnsi" w:hAnsiTheme="majorHAnsi"/>
          <w:spacing w:val="1"/>
          <w:sz w:val="20"/>
          <w:szCs w:val="20"/>
        </w:rPr>
        <w:t xml:space="preserve"> </w:t>
      </w:r>
      <w:r w:rsidRPr="000977F7">
        <w:rPr>
          <w:rFonts w:asciiTheme="majorHAnsi" w:hAnsiTheme="majorHAnsi"/>
          <w:sz w:val="20"/>
          <w:szCs w:val="20"/>
        </w:rPr>
        <w:t>технічних</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програмних</w:t>
      </w:r>
      <w:r w:rsidRPr="000977F7">
        <w:rPr>
          <w:rFonts w:asciiTheme="majorHAnsi" w:hAnsiTheme="majorHAnsi"/>
          <w:spacing w:val="-2"/>
          <w:sz w:val="20"/>
          <w:szCs w:val="20"/>
        </w:rPr>
        <w:t xml:space="preserve"> </w:t>
      </w:r>
      <w:r w:rsidRPr="000977F7">
        <w:rPr>
          <w:rFonts w:asciiTheme="majorHAnsi" w:hAnsiTheme="majorHAnsi"/>
          <w:sz w:val="20"/>
          <w:szCs w:val="20"/>
        </w:rPr>
        <w:t>засобів</w:t>
      </w:r>
      <w:r w:rsidRPr="000977F7">
        <w:rPr>
          <w:rFonts w:asciiTheme="majorHAnsi" w:hAnsiTheme="majorHAnsi"/>
          <w:spacing w:val="-2"/>
          <w:sz w:val="20"/>
          <w:szCs w:val="20"/>
        </w:rPr>
        <w:t xml:space="preserve"> </w:t>
      </w:r>
      <w:r w:rsidRPr="000977F7">
        <w:rPr>
          <w:rFonts w:asciiTheme="majorHAnsi" w:hAnsiTheme="majorHAnsi"/>
          <w:sz w:val="20"/>
          <w:szCs w:val="20"/>
        </w:rPr>
        <w:t>вимірювань</w:t>
      </w:r>
    </w:p>
    <w:p w14:paraId="5F84124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8BEC1C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ВИМІРЮВАЛЬНИЙ МЕТОД ВИЗНАЧЕННЯ </w:t>
      </w:r>
      <w:r w:rsidRPr="000977F7">
        <w:rPr>
          <w:color w:val="auto"/>
          <w:spacing w:val="-47"/>
          <w:sz w:val="20"/>
          <w:szCs w:val="20"/>
        </w:rPr>
        <w:t xml:space="preserve"> </w:t>
      </w:r>
      <w:r w:rsidRPr="000977F7">
        <w:rPr>
          <w:color w:val="auto"/>
          <w:sz w:val="20"/>
          <w:szCs w:val="20"/>
        </w:rPr>
        <w:t>ПОКАЗНИКІВ</w:t>
      </w:r>
      <w:r w:rsidRPr="000977F7">
        <w:rPr>
          <w:color w:val="auto"/>
          <w:spacing w:val="-1"/>
          <w:sz w:val="20"/>
          <w:szCs w:val="20"/>
        </w:rPr>
        <w:t xml:space="preserve"> </w:t>
      </w:r>
      <w:r w:rsidRPr="000977F7">
        <w:rPr>
          <w:color w:val="auto"/>
          <w:sz w:val="20"/>
          <w:szCs w:val="20"/>
        </w:rPr>
        <w:t>ЯКОСТІ</w:t>
      </w:r>
      <w:r w:rsidRPr="000977F7">
        <w:rPr>
          <w:color w:val="auto"/>
          <w:spacing w:val="-2"/>
          <w:sz w:val="20"/>
          <w:szCs w:val="20"/>
        </w:rPr>
        <w:t xml:space="preserve"> </w:t>
      </w:r>
      <w:r w:rsidRPr="000977F7">
        <w:rPr>
          <w:color w:val="auto"/>
          <w:sz w:val="20"/>
          <w:szCs w:val="20"/>
        </w:rPr>
        <w:t>ПРОДУКЦІЇ -</w:t>
      </w:r>
    </w:p>
    <w:p w14:paraId="791BE24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Метод визначення значень показників якості продукції, що здійснюється із застосуванням засобів вимірю</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вальної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техніки</w:t>
      </w:r>
    </w:p>
    <w:p w14:paraId="3DC49D7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ВИМІРЮВАЛЬНИЙ</w:t>
      </w:r>
      <w:r w:rsidRPr="000977F7">
        <w:rPr>
          <w:color w:val="auto"/>
          <w:spacing w:val="-6"/>
          <w:sz w:val="20"/>
          <w:szCs w:val="20"/>
        </w:rPr>
        <w:t xml:space="preserve"> </w:t>
      </w:r>
      <w:r w:rsidRPr="000977F7">
        <w:rPr>
          <w:color w:val="auto"/>
          <w:sz w:val="20"/>
          <w:szCs w:val="20"/>
        </w:rPr>
        <w:t>ПЕРЕТВОРЮВАЧ</w:t>
      </w:r>
      <w:r w:rsidRPr="000977F7">
        <w:rPr>
          <w:color w:val="auto"/>
          <w:spacing w:val="-2"/>
          <w:sz w:val="20"/>
          <w:szCs w:val="20"/>
        </w:rPr>
        <w:t xml:space="preserve"> </w:t>
      </w:r>
      <w:r w:rsidRPr="000977F7">
        <w:rPr>
          <w:color w:val="auto"/>
          <w:sz w:val="20"/>
          <w:szCs w:val="20"/>
        </w:rPr>
        <w:t>–</w:t>
      </w:r>
    </w:p>
    <w:p w14:paraId="3ADA298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MEASURING</w:t>
      </w:r>
      <w:r w:rsidRPr="004D2D14">
        <w:rPr>
          <w:rFonts w:asciiTheme="majorHAnsi" w:hAnsiTheme="majorHAnsi"/>
          <w:spacing w:val="-2"/>
          <w:sz w:val="20"/>
          <w:szCs w:val="20"/>
          <w:lang w:val="uk-UA"/>
        </w:rPr>
        <w:t xml:space="preserve"> </w:t>
      </w:r>
      <w:r w:rsidRPr="000977F7">
        <w:rPr>
          <w:rFonts w:asciiTheme="majorHAnsi" w:hAnsiTheme="majorHAnsi"/>
          <w:sz w:val="20"/>
          <w:szCs w:val="20"/>
        </w:rPr>
        <w:t>TRANSDUCER</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5E77586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Вимірювальний</w:t>
      </w:r>
      <w:r w:rsidRPr="004D2D14">
        <w:rPr>
          <w:rFonts w:asciiTheme="majorHAnsi" w:hAnsiTheme="majorHAnsi"/>
          <w:spacing w:val="29"/>
          <w:sz w:val="20"/>
          <w:szCs w:val="20"/>
          <w:lang w:val="uk-UA"/>
        </w:rPr>
        <w:t xml:space="preserve"> </w:t>
      </w:r>
      <w:r w:rsidRPr="004D2D14">
        <w:rPr>
          <w:rFonts w:asciiTheme="majorHAnsi" w:hAnsiTheme="majorHAnsi"/>
          <w:sz w:val="20"/>
          <w:szCs w:val="20"/>
          <w:lang w:val="uk-UA"/>
        </w:rPr>
        <w:t>пристрій,</w:t>
      </w:r>
      <w:r w:rsidRPr="004D2D14">
        <w:rPr>
          <w:rFonts w:asciiTheme="majorHAnsi" w:hAnsiTheme="majorHAnsi"/>
          <w:spacing w:val="34"/>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32"/>
          <w:sz w:val="20"/>
          <w:szCs w:val="20"/>
          <w:lang w:val="uk-UA"/>
        </w:rPr>
        <w:t xml:space="preserve"> </w:t>
      </w:r>
      <w:r w:rsidRPr="004D2D14">
        <w:rPr>
          <w:rFonts w:asciiTheme="majorHAnsi" w:hAnsiTheme="majorHAnsi"/>
          <w:sz w:val="20"/>
          <w:szCs w:val="20"/>
          <w:lang w:val="uk-UA"/>
        </w:rPr>
        <w:t>реалізує</w:t>
      </w:r>
      <w:r w:rsidRPr="004D2D14">
        <w:rPr>
          <w:rFonts w:asciiTheme="majorHAnsi" w:hAnsiTheme="majorHAnsi"/>
          <w:spacing w:val="32"/>
          <w:sz w:val="20"/>
          <w:szCs w:val="20"/>
          <w:lang w:val="uk-UA"/>
        </w:rPr>
        <w:t xml:space="preserve"> </w:t>
      </w:r>
      <w:r w:rsidRPr="004D2D14">
        <w:rPr>
          <w:rFonts w:asciiTheme="majorHAnsi" w:hAnsiTheme="majorHAnsi"/>
          <w:sz w:val="20"/>
          <w:szCs w:val="20"/>
          <w:lang w:val="uk-UA"/>
        </w:rPr>
        <w:t>вимірювальне</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перетворення</w:t>
      </w:r>
    </w:p>
    <w:p w14:paraId="23879B7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246436F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ВИМІРЮВАЛЬНИЙ</w:t>
      </w:r>
      <w:r w:rsidRPr="000977F7">
        <w:rPr>
          <w:color w:val="auto"/>
          <w:spacing w:val="-5"/>
          <w:sz w:val="20"/>
          <w:szCs w:val="20"/>
        </w:rPr>
        <w:t xml:space="preserve"> </w:t>
      </w:r>
      <w:r w:rsidRPr="000977F7">
        <w:rPr>
          <w:color w:val="auto"/>
          <w:sz w:val="20"/>
          <w:szCs w:val="20"/>
        </w:rPr>
        <w:t>ПРИЛАД</w:t>
      </w:r>
      <w:r w:rsidRPr="000977F7">
        <w:rPr>
          <w:color w:val="auto"/>
          <w:spacing w:val="-2"/>
          <w:sz w:val="20"/>
          <w:szCs w:val="20"/>
        </w:rPr>
        <w:t xml:space="preserve"> </w:t>
      </w:r>
      <w:r w:rsidRPr="000977F7">
        <w:rPr>
          <w:color w:val="auto"/>
          <w:sz w:val="20"/>
          <w:szCs w:val="20"/>
        </w:rPr>
        <w:t>–</w:t>
      </w:r>
    </w:p>
    <w:p w14:paraId="339C880E"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4D2D14">
        <w:rPr>
          <w:rFonts w:asciiTheme="majorHAnsi" w:hAnsiTheme="majorHAnsi"/>
          <w:sz w:val="20"/>
          <w:szCs w:val="20"/>
          <w:lang w:val="en-US"/>
        </w:rPr>
        <w:t>INDICATING</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MEASURING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INSTRUMENT</w:t>
      </w:r>
      <w:r w:rsidRPr="004D2D14">
        <w:rPr>
          <w:rFonts w:asciiTheme="majorHAnsi" w:hAnsiTheme="majorHAnsi"/>
          <w:spacing w:val="2"/>
          <w:sz w:val="20"/>
          <w:szCs w:val="20"/>
          <w:lang w:val="en-US"/>
        </w:rPr>
        <w:t xml:space="preserve"> </w:t>
      </w:r>
      <w:r w:rsidRPr="004D2D14">
        <w:rPr>
          <w:rFonts w:asciiTheme="majorHAnsi" w:hAnsiTheme="majorHAnsi"/>
          <w:b/>
          <w:sz w:val="20"/>
          <w:szCs w:val="20"/>
          <w:lang w:val="en-US"/>
        </w:rPr>
        <w:t>–</w:t>
      </w:r>
    </w:p>
    <w:p w14:paraId="171C46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Засіб</w:t>
      </w:r>
      <w:r w:rsidRPr="000977F7">
        <w:rPr>
          <w:rFonts w:asciiTheme="majorHAnsi" w:hAnsiTheme="majorHAnsi"/>
          <w:spacing w:val="10"/>
          <w:sz w:val="20"/>
          <w:szCs w:val="20"/>
        </w:rPr>
        <w:t xml:space="preserve"> </w:t>
      </w:r>
      <w:r w:rsidRPr="000977F7">
        <w:rPr>
          <w:rFonts w:asciiTheme="majorHAnsi" w:hAnsiTheme="majorHAnsi"/>
          <w:sz w:val="20"/>
          <w:szCs w:val="20"/>
        </w:rPr>
        <w:t>вимірювань,</w:t>
      </w:r>
      <w:r w:rsidRPr="000977F7">
        <w:rPr>
          <w:rFonts w:asciiTheme="majorHAnsi" w:hAnsiTheme="majorHAnsi"/>
          <w:spacing w:val="11"/>
          <w:sz w:val="20"/>
          <w:szCs w:val="20"/>
        </w:rPr>
        <w:t xml:space="preserve"> </w:t>
      </w:r>
      <w:r w:rsidRPr="000977F7">
        <w:rPr>
          <w:rFonts w:asciiTheme="majorHAnsi" w:hAnsiTheme="majorHAnsi"/>
          <w:sz w:val="20"/>
          <w:szCs w:val="20"/>
        </w:rPr>
        <w:t>в</w:t>
      </w:r>
      <w:r w:rsidRPr="000977F7">
        <w:rPr>
          <w:rFonts w:asciiTheme="majorHAnsi" w:hAnsiTheme="majorHAnsi"/>
          <w:spacing w:val="10"/>
          <w:sz w:val="20"/>
          <w:szCs w:val="20"/>
        </w:rPr>
        <w:t xml:space="preserve"> </w:t>
      </w:r>
      <w:r w:rsidRPr="000977F7">
        <w:rPr>
          <w:rFonts w:asciiTheme="majorHAnsi" w:hAnsiTheme="majorHAnsi"/>
          <w:sz w:val="20"/>
          <w:szCs w:val="20"/>
        </w:rPr>
        <w:t>якому</w:t>
      </w:r>
      <w:r w:rsidRPr="000977F7">
        <w:rPr>
          <w:rFonts w:asciiTheme="majorHAnsi" w:hAnsiTheme="majorHAnsi"/>
          <w:spacing w:val="9"/>
          <w:sz w:val="20"/>
          <w:szCs w:val="20"/>
        </w:rPr>
        <w:t xml:space="preserve"> </w:t>
      </w:r>
      <w:r w:rsidRPr="000977F7">
        <w:rPr>
          <w:rFonts w:asciiTheme="majorHAnsi" w:hAnsiTheme="majorHAnsi"/>
          <w:sz w:val="20"/>
          <w:szCs w:val="20"/>
        </w:rPr>
        <w:t>створюється</w:t>
      </w:r>
      <w:r w:rsidRPr="000977F7">
        <w:rPr>
          <w:rFonts w:asciiTheme="majorHAnsi" w:hAnsiTheme="majorHAnsi"/>
          <w:spacing w:val="10"/>
          <w:sz w:val="20"/>
          <w:szCs w:val="20"/>
        </w:rPr>
        <w:t xml:space="preserve"> </w:t>
      </w:r>
      <w:r w:rsidRPr="000977F7">
        <w:rPr>
          <w:rFonts w:asciiTheme="majorHAnsi" w:hAnsiTheme="majorHAnsi"/>
          <w:sz w:val="20"/>
          <w:szCs w:val="20"/>
        </w:rPr>
        <w:t>візуальний</w:t>
      </w:r>
      <w:r w:rsidRPr="000977F7">
        <w:rPr>
          <w:rFonts w:asciiTheme="majorHAnsi" w:hAnsiTheme="majorHAnsi"/>
          <w:spacing w:val="-47"/>
          <w:sz w:val="20"/>
          <w:szCs w:val="20"/>
        </w:rPr>
        <w:t xml:space="preserve"> </w:t>
      </w:r>
      <w:r w:rsidRPr="000977F7">
        <w:rPr>
          <w:rFonts w:asciiTheme="majorHAnsi" w:hAnsiTheme="majorHAnsi"/>
          <w:sz w:val="20"/>
          <w:szCs w:val="20"/>
        </w:rPr>
        <w:t>сигнал</w:t>
      </w:r>
      <w:r w:rsidRPr="000977F7">
        <w:rPr>
          <w:rFonts w:asciiTheme="majorHAnsi" w:hAnsiTheme="majorHAnsi"/>
          <w:spacing w:val="-2"/>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інформації</w:t>
      </w:r>
    </w:p>
    <w:p w14:paraId="32B70BDA" w14:textId="77777777" w:rsidR="000977F7" w:rsidRPr="004D2D14"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p>
    <w:p w14:paraId="334E8276"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bCs/>
          <w:sz w:val="20"/>
          <w:szCs w:val="20"/>
        </w:rPr>
        <w:t>ВИМІРЮВАЛЬНИЙ ПРИСТРІЙ</w:t>
      </w:r>
      <w:r w:rsidRPr="000977F7">
        <w:rPr>
          <w:rFonts w:asciiTheme="majorHAnsi" w:hAnsiTheme="majorHAnsi"/>
          <w:b/>
          <w:sz w:val="20"/>
          <w:szCs w:val="20"/>
        </w:rPr>
        <w:t xml:space="preserve"> –</w:t>
      </w:r>
      <w:r w:rsidRPr="000977F7">
        <w:rPr>
          <w:rFonts w:asciiTheme="majorHAnsi" w:hAnsiTheme="majorHAnsi"/>
          <w:b/>
          <w:spacing w:val="-47"/>
          <w:sz w:val="20"/>
          <w:szCs w:val="20"/>
        </w:rPr>
        <w:t xml:space="preserve"> </w:t>
      </w:r>
    </w:p>
    <w:p w14:paraId="65EFC1A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MEASURING</w:t>
      </w:r>
      <w:r w:rsidRPr="000977F7">
        <w:rPr>
          <w:rFonts w:asciiTheme="majorHAnsi" w:hAnsiTheme="majorHAnsi"/>
          <w:spacing w:val="-1"/>
          <w:sz w:val="20"/>
          <w:szCs w:val="20"/>
        </w:rPr>
        <w:t xml:space="preserve"> </w:t>
      </w:r>
      <w:r w:rsidRPr="000977F7">
        <w:rPr>
          <w:rFonts w:asciiTheme="majorHAnsi" w:hAnsiTheme="majorHAnsi"/>
          <w:sz w:val="20"/>
          <w:szCs w:val="20"/>
        </w:rPr>
        <w:t>DEVICE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9E52D3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Засіб</w:t>
      </w:r>
      <w:r w:rsidRPr="000977F7">
        <w:rPr>
          <w:rFonts w:asciiTheme="majorHAnsi" w:hAnsiTheme="majorHAnsi"/>
          <w:spacing w:val="1"/>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1"/>
          <w:sz w:val="20"/>
          <w:szCs w:val="20"/>
        </w:rPr>
        <w:t xml:space="preserve"> </w:t>
      </w:r>
      <w:r w:rsidRPr="000977F7">
        <w:rPr>
          <w:rFonts w:asciiTheme="majorHAnsi" w:hAnsiTheme="majorHAnsi"/>
          <w:sz w:val="20"/>
          <w:szCs w:val="20"/>
        </w:rPr>
        <w:t>техніки,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якому</w:t>
      </w:r>
      <w:r w:rsidRPr="000977F7">
        <w:rPr>
          <w:rFonts w:asciiTheme="majorHAnsi" w:hAnsiTheme="majorHAnsi"/>
          <w:spacing w:val="1"/>
          <w:sz w:val="20"/>
          <w:szCs w:val="20"/>
        </w:rPr>
        <w:t xml:space="preserve"> </w:t>
      </w:r>
      <w:r w:rsidRPr="000977F7">
        <w:rPr>
          <w:rFonts w:asciiTheme="majorHAnsi" w:hAnsiTheme="majorHAnsi"/>
          <w:sz w:val="20"/>
          <w:szCs w:val="20"/>
        </w:rPr>
        <w:t>виконується</w:t>
      </w:r>
      <w:r w:rsidRPr="000977F7">
        <w:rPr>
          <w:rFonts w:asciiTheme="majorHAnsi" w:hAnsiTheme="majorHAnsi"/>
          <w:spacing w:val="1"/>
          <w:sz w:val="20"/>
          <w:szCs w:val="20"/>
        </w:rPr>
        <w:t xml:space="preserve"> </w:t>
      </w:r>
      <w:r w:rsidRPr="000977F7">
        <w:rPr>
          <w:rFonts w:asciiTheme="majorHAnsi" w:hAnsiTheme="majorHAnsi"/>
          <w:sz w:val="20"/>
          <w:szCs w:val="20"/>
        </w:rPr>
        <w:t>лише одна зі складових частин процедури вимірювань</w:t>
      </w:r>
      <w:r w:rsidRPr="000977F7">
        <w:rPr>
          <w:rFonts w:asciiTheme="majorHAnsi" w:hAnsiTheme="majorHAnsi"/>
          <w:spacing w:val="-47"/>
          <w:sz w:val="20"/>
          <w:szCs w:val="20"/>
        </w:rPr>
        <w:t xml:space="preserve">         </w:t>
      </w:r>
      <w:r w:rsidRPr="000977F7">
        <w:rPr>
          <w:rFonts w:asciiTheme="majorHAnsi" w:hAnsiTheme="majorHAnsi"/>
          <w:sz w:val="20"/>
          <w:szCs w:val="20"/>
        </w:rPr>
        <w:t>(вимірювальна</w:t>
      </w:r>
      <w:r w:rsidRPr="000977F7">
        <w:rPr>
          <w:rFonts w:asciiTheme="majorHAnsi" w:hAnsiTheme="majorHAnsi"/>
          <w:spacing w:val="-1"/>
          <w:sz w:val="20"/>
          <w:szCs w:val="20"/>
        </w:rPr>
        <w:t xml:space="preserve"> </w:t>
      </w:r>
      <w:r w:rsidRPr="000977F7">
        <w:rPr>
          <w:rFonts w:asciiTheme="majorHAnsi" w:hAnsiTheme="majorHAnsi"/>
          <w:sz w:val="20"/>
          <w:szCs w:val="20"/>
        </w:rPr>
        <w:t>операція)</w:t>
      </w:r>
    </w:p>
    <w:p w14:paraId="280543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CFC0E4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Вимірювальні пристрої: міра, компаратор, вимірювальний</w:t>
      </w:r>
      <w:r w:rsidRPr="000977F7">
        <w:rPr>
          <w:rFonts w:asciiTheme="majorHAnsi" w:hAnsiTheme="majorHAnsi"/>
          <w:spacing w:val="1"/>
          <w:sz w:val="20"/>
          <w:szCs w:val="20"/>
        </w:rPr>
        <w:t xml:space="preserve"> </w:t>
      </w:r>
      <w:r w:rsidRPr="000977F7">
        <w:rPr>
          <w:rFonts w:asciiTheme="majorHAnsi" w:hAnsiTheme="majorHAnsi"/>
          <w:sz w:val="20"/>
          <w:szCs w:val="20"/>
        </w:rPr>
        <w:t>перетворювач,</w:t>
      </w:r>
      <w:r w:rsidRPr="000977F7">
        <w:rPr>
          <w:rFonts w:asciiTheme="majorHAnsi" w:hAnsiTheme="majorHAnsi"/>
          <w:spacing w:val="1"/>
          <w:sz w:val="20"/>
          <w:szCs w:val="20"/>
        </w:rPr>
        <w:t xml:space="preserve"> </w:t>
      </w:r>
      <w:r w:rsidRPr="000977F7">
        <w:rPr>
          <w:rFonts w:asciiTheme="majorHAnsi" w:hAnsiTheme="majorHAnsi"/>
          <w:sz w:val="20"/>
          <w:szCs w:val="20"/>
        </w:rPr>
        <w:t>масштабний</w:t>
      </w:r>
      <w:r w:rsidRPr="000977F7">
        <w:rPr>
          <w:rFonts w:asciiTheme="majorHAnsi" w:hAnsiTheme="majorHAnsi"/>
          <w:spacing w:val="1"/>
          <w:sz w:val="20"/>
          <w:szCs w:val="20"/>
        </w:rPr>
        <w:t xml:space="preserve"> </w:t>
      </w:r>
      <w:r w:rsidRPr="000977F7">
        <w:rPr>
          <w:rFonts w:asciiTheme="majorHAnsi" w:hAnsiTheme="majorHAnsi"/>
          <w:sz w:val="20"/>
          <w:szCs w:val="20"/>
        </w:rPr>
        <w:t>перетворювач</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обчислювальний</w:t>
      </w:r>
      <w:r w:rsidRPr="000977F7">
        <w:rPr>
          <w:rFonts w:asciiTheme="majorHAnsi" w:hAnsiTheme="majorHAnsi"/>
          <w:spacing w:val="-2"/>
          <w:sz w:val="20"/>
          <w:szCs w:val="20"/>
        </w:rPr>
        <w:t xml:space="preserve"> </w:t>
      </w:r>
      <w:r w:rsidRPr="000977F7">
        <w:rPr>
          <w:rFonts w:asciiTheme="majorHAnsi" w:hAnsiTheme="majorHAnsi"/>
          <w:sz w:val="20"/>
          <w:szCs w:val="20"/>
        </w:rPr>
        <w:t>компонент</w:t>
      </w:r>
    </w:p>
    <w:p w14:paraId="1CBD504E" w14:textId="77777777" w:rsidR="0097612F" w:rsidRPr="000977F7" w:rsidRDefault="0097612F" w:rsidP="000977F7">
      <w:pPr>
        <w:pStyle w:val="7"/>
        <w:tabs>
          <w:tab w:val="left" w:pos="284"/>
        </w:tabs>
        <w:spacing w:before="0" w:line="240" w:lineRule="auto"/>
        <w:ind w:left="170"/>
        <w:mirrorIndents/>
        <w:jc w:val="both"/>
        <w:rPr>
          <w:b w:val="0"/>
          <w:bCs/>
          <w:i/>
          <w:color w:val="auto"/>
          <w:spacing w:val="1"/>
          <w:sz w:val="20"/>
          <w:szCs w:val="20"/>
        </w:rPr>
      </w:pPr>
      <w:r w:rsidRPr="000977F7">
        <w:rPr>
          <w:b w:val="0"/>
          <w:bCs/>
          <w:i/>
          <w:color w:val="auto"/>
          <w:sz w:val="20"/>
          <w:szCs w:val="20"/>
        </w:rPr>
        <w:t>ДСТУ 2681 - 94</w:t>
      </w:r>
      <w:r w:rsidRPr="000977F7">
        <w:rPr>
          <w:b w:val="0"/>
          <w:bCs/>
          <w:i/>
          <w:color w:val="auto"/>
          <w:spacing w:val="1"/>
          <w:sz w:val="20"/>
          <w:szCs w:val="20"/>
        </w:rPr>
        <w:t xml:space="preserve"> </w:t>
      </w:r>
      <w:bookmarkStart w:id="27" w:name="_Hlk101086715"/>
    </w:p>
    <w:p w14:paraId="25BE79F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ВИМІРЮВАЛЬНИЙ СИГНАЛ – </w:t>
      </w:r>
    </w:p>
    <w:p w14:paraId="175979A2"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MEASUREMENT SIGNAL –</w:t>
      </w:r>
    </w:p>
    <w:bookmarkEnd w:id="27"/>
    <w:p w14:paraId="5E9BF6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 один чи декілька параметрів якого є інформативні</w:t>
      </w:r>
    </w:p>
    <w:p w14:paraId="2041AF4B" w14:textId="77777777" w:rsidR="0097612F" w:rsidRPr="000977F7" w:rsidRDefault="0097612F" w:rsidP="000977F7">
      <w:pPr>
        <w:pStyle w:val="7"/>
        <w:tabs>
          <w:tab w:val="left" w:pos="284"/>
        </w:tabs>
        <w:spacing w:before="0" w:line="240" w:lineRule="auto"/>
        <w:ind w:left="170"/>
        <w:mirrorIndents/>
        <w:jc w:val="both"/>
        <w:rPr>
          <w:b w:val="0"/>
          <w:bCs/>
          <w:i/>
          <w:color w:val="auto"/>
          <w:spacing w:val="1"/>
          <w:sz w:val="20"/>
          <w:szCs w:val="20"/>
        </w:rPr>
      </w:pPr>
      <w:r w:rsidRPr="000977F7">
        <w:rPr>
          <w:b w:val="0"/>
          <w:bCs/>
          <w:i/>
          <w:color w:val="auto"/>
          <w:sz w:val="20"/>
          <w:szCs w:val="20"/>
        </w:rPr>
        <w:t>ДСТУ</w:t>
      </w:r>
      <w:r w:rsidRPr="000977F7">
        <w:rPr>
          <w:b w:val="0"/>
          <w:bCs/>
          <w:i/>
          <w:color w:val="auto"/>
          <w:spacing w:val="6"/>
          <w:sz w:val="20"/>
          <w:szCs w:val="20"/>
        </w:rPr>
        <w:t xml:space="preserve"> </w:t>
      </w:r>
      <w:r w:rsidRPr="000977F7">
        <w:rPr>
          <w:b w:val="0"/>
          <w:bCs/>
          <w:i/>
          <w:color w:val="auto"/>
          <w:sz w:val="20"/>
          <w:szCs w:val="20"/>
        </w:rPr>
        <w:t>2681</w:t>
      </w:r>
      <w:r w:rsidRPr="000977F7">
        <w:rPr>
          <w:b w:val="0"/>
          <w:bCs/>
          <w:i/>
          <w:color w:val="auto"/>
          <w:spacing w:val="8"/>
          <w:sz w:val="20"/>
          <w:szCs w:val="20"/>
        </w:rPr>
        <w:t xml:space="preserve"> </w:t>
      </w:r>
      <w:r w:rsidRPr="000977F7">
        <w:rPr>
          <w:b w:val="0"/>
          <w:bCs/>
          <w:i/>
          <w:color w:val="auto"/>
          <w:sz w:val="20"/>
          <w:szCs w:val="20"/>
        </w:rPr>
        <w:t>–</w:t>
      </w:r>
      <w:r w:rsidRPr="000977F7">
        <w:rPr>
          <w:b w:val="0"/>
          <w:bCs/>
          <w:i/>
          <w:color w:val="auto"/>
          <w:spacing w:val="7"/>
          <w:sz w:val="20"/>
          <w:szCs w:val="20"/>
        </w:rPr>
        <w:t xml:space="preserve"> </w:t>
      </w:r>
      <w:r w:rsidRPr="000977F7">
        <w:rPr>
          <w:b w:val="0"/>
          <w:bCs/>
          <w:i/>
          <w:color w:val="auto"/>
          <w:sz w:val="20"/>
          <w:szCs w:val="20"/>
        </w:rPr>
        <w:t>94</w:t>
      </w:r>
      <w:r w:rsidRPr="000977F7">
        <w:rPr>
          <w:b w:val="0"/>
          <w:bCs/>
          <w:i/>
          <w:color w:val="auto"/>
          <w:spacing w:val="1"/>
          <w:sz w:val="20"/>
          <w:szCs w:val="20"/>
        </w:rPr>
        <w:t xml:space="preserve"> </w:t>
      </w:r>
      <w:bookmarkStart w:id="28" w:name="_Hlk101086842"/>
    </w:p>
    <w:p w14:paraId="12EE87C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ВИМІРЮВАНА ВЕЛИЧИНА – </w:t>
      </w:r>
    </w:p>
    <w:p w14:paraId="63DB5AE5"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MEASURAND –</w:t>
      </w:r>
    </w:p>
    <w:bookmarkEnd w:id="28"/>
    <w:p w14:paraId="713AE4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Фізична величина чи параметри її залежності, що підлягають</w:t>
      </w:r>
      <w:r w:rsidRPr="000977F7">
        <w:rPr>
          <w:rFonts w:asciiTheme="majorHAnsi" w:hAnsiTheme="majorHAnsi"/>
          <w:spacing w:val="-1"/>
          <w:sz w:val="20"/>
          <w:szCs w:val="20"/>
        </w:rPr>
        <w:t xml:space="preserve"> </w:t>
      </w:r>
      <w:r w:rsidRPr="000977F7">
        <w:rPr>
          <w:rFonts w:asciiTheme="majorHAnsi" w:hAnsiTheme="majorHAnsi"/>
          <w:sz w:val="20"/>
          <w:szCs w:val="20"/>
        </w:rPr>
        <w:t>вимірюванню</w:t>
      </w:r>
    </w:p>
    <w:p w14:paraId="7B524129" w14:textId="77777777" w:rsidR="0097612F" w:rsidRPr="000977F7" w:rsidRDefault="0097612F" w:rsidP="000977F7">
      <w:pPr>
        <w:pStyle w:val="7"/>
        <w:tabs>
          <w:tab w:val="left" w:pos="284"/>
        </w:tabs>
        <w:spacing w:before="0" w:line="240" w:lineRule="auto"/>
        <w:ind w:left="170"/>
        <w:mirrorIndents/>
        <w:jc w:val="both"/>
        <w:rPr>
          <w:b w:val="0"/>
          <w:bCs/>
          <w:i/>
          <w:color w:val="auto"/>
          <w:spacing w:val="1"/>
          <w:sz w:val="20"/>
          <w:szCs w:val="20"/>
        </w:rPr>
      </w:pPr>
      <w:r w:rsidRPr="000977F7">
        <w:rPr>
          <w:b w:val="0"/>
          <w:bCs/>
          <w:i/>
          <w:color w:val="auto"/>
          <w:sz w:val="20"/>
          <w:szCs w:val="20"/>
        </w:rPr>
        <w:t>ДСТУ</w:t>
      </w:r>
      <w:r w:rsidRPr="000977F7">
        <w:rPr>
          <w:b w:val="0"/>
          <w:bCs/>
          <w:i/>
          <w:color w:val="auto"/>
          <w:spacing w:val="-1"/>
          <w:sz w:val="20"/>
          <w:szCs w:val="20"/>
        </w:rPr>
        <w:t xml:space="preserve"> </w:t>
      </w:r>
      <w:r w:rsidRPr="000977F7">
        <w:rPr>
          <w:b w:val="0"/>
          <w:bCs/>
          <w:i/>
          <w:color w:val="auto"/>
          <w:sz w:val="20"/>
          <w:szCs w:val="20"/>
        </w:rPr>
        <w:t>2681</w:t>
      </w:r>
      <w:r w:rsidRPr="000977F7">
        <w:rPr>
          <w:b w:val="0"/>
          <w:bCs/>
          <w:i/>
          <w:color w:val="auto"/>
          <w:spacing w:val="1"/>
          <w:sz w:val="20"/>
          <w:szCs w:val="20"/>
        </w:rPr>
        <w:t xml:space="preserve"> </w:t>
      </w:r>
      <w:r w:rsidRPr="000977F7">
        <w:rPr>
          <w:b w:val="0"/>
          <w:bCs/>
          <w:i/>
          <w:color w:val="auto"/>
          <w:sz w:val="20"/>
          <w:szCs w:val="20"/>
        </w:rPr>
        <w:t>– 94</w:t>
      </w:r>
      <w:r w:rsidRPr="000977F7">
        <w:rPr>
          <w:b w:val="0"/>
          <w:bCs/>
          <w:i/>
          <w:color w:val="auto"/>
          <w:spacing w:val="1"/>
          <w:sz w:val="20"/>
          <w:szCs w:val="20"/>
        </w:rPr>
        <w:t xml:space="preserve"> </w:t>
      </w:r>
    </w:p>
    <w:p w14:paraId="1D9AB5D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ВИМІРЮВАННЯ – </w:t>
      </w:r>
    </w:p>
    <w:p w14:paraId="533DA00A"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MEASUREMENT –</w:t>
      </w:r>
    </w:p>
    <w:p w14:paraId="7E31714D"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Процес</w:t>
      </w:r>
      <w:r w:rsidRPr="000977F7">
        <w:rPr>
          <w:b w:val="0"/>
          <w:bCs/>
          <w:color w:val="auto"/>
          <w:spacing w:val="-5"/>
          <w:sz w:val="20"/>
          <w:szCs w:val="20"/>
        </w:rPr>
        <w:t xml:space="preserve"> </w:t>
      </w:r>
      <w:r w:rsidRPr="000977F7">
        <w:rPr>
          <w:b w:val="0"/>
          <w:bCs/>
          <w:color w:val="auto"/>
          <w:sz w:val="20"/>
          <w:szCs w:val="20"/>
        </w:rPr>
        <w:t>визначання</w:t>
      </w:r>
      <w:r w:rsidRPr="000977F7">
        <w:rPr>
          <w:b w:val="0"/>
          <w:bCs/>
          <w:color w:val="auto"/>
          <w:spacing w:val="-6"/>
          <w:sz w:val="20"/>
          <w:szCs w:val="20"/>
        </w:rPr>
        <w:t xml:space="preserve"> </w:t>
      </w:r>
      <w:r w:rsidRPr="000977F7">
        <w:rPr>
          <w:b w:val="0"/>
          <w:bCs/>
          <w:color w:val="auto"/>
          <w:sz w:val="20"/>
          <w:szCs w:val="20"/>
        </w:rPr>
        <w:t>величини.</w:t>
      </w:r>
    </w:p>
    <w:p w14:paraId="49D496B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Згідно з ISO 3534-2 величину визначають,</w:t>
      </w:r>
      <w:r w:rsidRPr="000977F7">
        <w:rPr>
          <w:rFonts w:asciiTheme="majorHAnsi" w:hAnsiTheme="majorHAnsi"/>
          <w:spacing w:val="-47"/>
          <w:sz w:val="20"/>
          <w:szCs w:val="20"/>
        </w:rPr>
        <w:t xml:space="preserve"> </w:t>
      </w:r>
      <w:r w:rsidRPr="000977F7">
        <w:rPr>
          <w:rFonts w:asciiTheme="majorHAnsi" w:hAnsiTheme="majorHAnsi"/>
          <w:sz w:val="20"/>
          <w:szCs w:val="20"/>
        </w:rPr>
        <w:t>зазвичай,</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кількість.</w:t>
      </w:r>
    </w:p>
    <w:p w14:paraId="7BA72BD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574ADCB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Відображення вимірювальних величин їх значеннями</w:t>
      </w:r>
      <w:r w:rsidRPr="000977F7">
        <w:rPr>
          <w:rFonts w:asciiTheme="majorHAnsi" w:hAnsiTheme="majorHAnsi"/>
          <w:spacing w:val="1"/>
          <w:sz w:val="20"/>
          <w:szCs w:val="20"/>
        </w:rPr>
        <w:t xml:space="preserve"> </w:t>
      </w:r>
      <w:r w:rsidRPr="000977F7">
        <w:rPr>
          <w:rFonts w:asciiTheme="majorHAnsi" w:hAnsiTheme="majorHAnsi"/>
          <w:sz w:val="20"/>
          <w:szCs w:val="20"/>
        </w:rPr>
        <w:t>шляхом</w:t>
      </w:r>
      <w:r w:rsidRPr="000977F7">
        <w:rPr>
          <w:rFonts w:asciiTheme="majorHAnsi" w:hAnsiTheme="majorHAnsi"/>
          <w:spacing w:val="1"/>
          <w:sz w:val="20"/>
          <w:szCs w:val="20"/>
        </w:rPr>
        <w:t xml:space="preserve"> </w:t>
      </w:r>
      <w:r w:rsidRPr="000977F7">
        <w:rPr>
          <w:rFonts w:asciiTheme="majorHAnsi" w:hAnsiTheme="majorHAnsi"/>
          <w:sz w:val="20"/>
          <w:szCs w:val="20"/>
        </w:rPr>
        <w:t>експерименту</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обчислень</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допомогою</w:t>
      </w:r>
      <w:r w:rsidRPr="000977F7">
        <w:rPr>
          <w:rFonts w:asciiTheme="majorHAnsi" w:hAnsiTheme="majorHAnsi"/>
          <w:spacing w:val="1"/>
          <w:sz w:val="20"/>
          <w:szCs w:val="20"/>
        </w:rPr>
        <w:t xml:space="preserve"> </w:t>
      </w:r>
      <w:r w:rsidRPr="000977F7">
        <w:rPr>
          <w:rFonts w:asciiTheme="majorHAnsi" w:hAnsiTheme="majorHAnsi"/>
          <w:sz w:val="20"/>
          <w:szCs w:val="20"/>
        </w:rPr>
        <w:t>спеціальних</w:t>
      </w:r>
      <w:r w:rsidRPr="000977F7">
        <w:rPr>
          <w:rFonts w:asciiTheme="majorHAnsi" w:hAnsiTheme="majorHAnsi"/>
          <w:spacing w:val="-2"/>
          <w:sz w:val="20"/>
          <w:szCs w:val="20"/>
        </w:rPr>
        <w:t xml:space="preserve"> </w:t>
      </w:r>
      <w:r w:rsidRPr="000977F7">
        <w:rPr>
          <w:rFonts w:asciiTheme="majorHAnsi" w:hAnsiTheme="majorHAnsi"/>
          <w:sz w:val="20"/>
          <w:szCs w:val="20"/>
        </w:rPr>
        <w:t>технічних</w:t>
      </w:r>
      <w:r w:rsidRPr="000977F7">
        <w:rPr>
          <w:rFonts w:asciiTheme="majorHAnsi" w:hAnsiTheme="majorHAnsi"/>
          <w:spacing w:val="-1"/>
          <w:sz w:val="20"/>
          <w:szCs w:val="20"/>
        </w:rPr>
        <w:t xml:space="preserve"> </w:t>
      </w:r>
      <w:r w:rsidRPr="000977F7">
        <w:rPr>
          <w:rFonts w:asciiTheme="majorHAnsi" w:hAnsiTheme="majorHAnsi"/>
          <w:sz w:val="20"/>
          <w:szCs w:val="20"/>
        </w:rPr>
        <w:t>засобів</w:t>
      </w:r>
    </w:p>
    <w:p w14:paraId="6E02E02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2681 –</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3"/>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7F5E196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ВИМОГА</w:t>
      </w:r>
      <w:r w:rsidRPr="000977F7">
        <w:rPr>
          <w:color w:val="auto"/>
          <w:spacing w:val="-1"/>
          <w:sz w:val="20"/>
          <w:szCs w:val="20"/>
        </w:rPr>
        <w:t xml:space="preserve"> </w:t>
      </w:r>
      <w:r w:rsidRPr="000977F7">
        <w:rPr>
          <w:color w:val="auto"/>
          <w:sz w:val="20"/>
          <w:szCs w:val="20"/>
        </w:rPr>
        <w:t>–</w:t>
      </w:r>
    </w:p>
    <w:p w14:paraId="58023B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REQUIREMENT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8BADD6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Сформульовані потреба чи очікування, загальнозрозумілі</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обов’язкові.</w:t>
      </w:r>
    </w:p>
    <w:p w14:paraId="63CDDD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«Загальнозрозумілі» означає, що є звичайною чи загальноприйнятою практикою для організації та</w:t>
      </w:r>
      <w:r w:rsidRPr="000977F7">
        <w:rPr>
          <w:rFonts w:asciiTheme="majorHAnsi" w:hAnsiTheme="majorHAnsi"/>
          <w:spacing w:val="-47"/>
          <w:sz w:val="20"/>
          <w:szCs w:val="20"/>
        </w:rPr>
        <w:t xml:space="preserve"> </w:t>
      </w:r>
      <w:r w:rsidRPr="000977F7">
        <w:rPr>
          <w:rFonts w:asciiTheme="majorHAnsi" w:hAnsiTheme="majorHAnsi"/>
          <w:sz w:val="20"/>
          <w:szCs w:val="20"/>
        </w:rPr>
        <w:t>зацікавлених сторін уважати потребу чи очікування, про</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2"/>
          <w:sz w:val="20"/>
          <w:szCs w:val="20"/>
        </w:rPr>
        <w:t xml:space="preserve"> </w:t>
      </w:r>
      <w:r w:rsidRPr="000977F7">
        <w:rPr>
          <w:rFonts w:asciiTheme="majorHAnsi" w:hAnsiTheme="majorHAnsi"/>
          <w:sz w:val="20"/>
          <w:szCs w:val="20"/>
        </w:rPr>
        <w:t>йдеться, самі</w:t>
      </w:r>
      <w:r w:rsidRPr="000977F7">
        <w:rPr>
          <w:rFonts w:asciiTheme="majorHAnsi" w:hAnsiTheme="majorHAnsi"/>
          <w:spacing w:val="-2"/>
          <w:sz w:val="20"/>
          <w:szCs w:val="20"/>
        </w:rPr>
        <w:t xml:space="preserve"> </w:t>
      </w:r>
      <w:r w:rsidRPr="000977F7">
        <w:rPr>
          <w:rFonts w:asciiTheme="majorHAnsi" w:hAnsiTheme="majorHAnsi"/>
          <w:sz w:val="20"/>
          <w:szCs w:val="20"/>
        </w:rPr>
        <w:t>собою зрозумілими.</w:t>
      </w:r>
    </w:p>
    <w:p w14:paraId="6BB2242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2. Установлена вимога — це вимога, сформульована,</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6"/>
          <w:sz w:val="20"/>
          <w:szCs w:val="20"/>
        </w:rPr>
        <w:t xml:space="preserve"> </w:t>
      </w:r>
      <w:r w:rsidRPr="000977F7">
        <w:rPr>
          <w:rFonts w:asciiTheme="majorHAnsi" w:hAnsiTheme="majorHAnsi"/>
          <w:sz w:val="20"/>
          <w:szCs w:val="20"/>
        </w:rPr>
        <w:t>задокументованій</w:t>
      </w:r>
      <w:r w:rsidRPr="000977F7">
        <w:rPr>
          <w:rFonts w:asciiTheme="majorHAnsi" w:hAnsiTheme="majorHAnsi"/>
          <w:spacing w:val="-2"/>
          <w:sz w:val="20"/>
          <w:szCs w:val="20"/>
        </w:rPr>
        <w:t xml:space="preserve"> </w:t>
      </w:r>
      <w:r w:rsidRPr="000977F7">
        <w:rPr>
          <w:rFonts w:asciiTheme="majorHAnsi" w:hAnsiTheme="majorHAnsi"/>
          <w:sz w:val="20"/>
          <w:szCs w:val="20"/>
        </w:rPr>
        <w:t>інформації.</w:t>
      </w:r>
    </w:p>
    <w:p w14:paraId="2C21F78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3. Для позначення конкретного типу вимоги</w:t>
      </w:r>
      <w:r w:rsidRPr="000977F7">
        <w:rPr>
          <w:rFonts w:asciiTheme="majorHAnsi" w:hAnsiTheme="majorHAnsi"/>
          <w:spacing w:val="1"/>
          <w:sz w:val="20"/>
          <w:szCs w:val="20"/>
        </w:rPr>
        <w:t xml:space="preserve"> </w:t>
      </w:r>
      <w:r w:rsidRPr="000977F7">
        <w:rPr>
          <w:rFonts w:asciiTheme="majorHAnsi" w:hAnsiTheme="majorHAnsi"/>
          <w:sz w:val="20"/>
          <w:szCs w:val="20"/>
        </w:rPr>
        <w:t>можна вживати означальні слова, наприклад, вимога до</w:t>
      </w:r>
      <w:r w:rsidRPr="000977F7">
        <w:rPr>
          <w:rFonts w:asciiTheme="majorHAnsi" w:hAnsiTheme="majorHAnsi"/>
          <w:spacing w:val="1"/>
          <w:sz w:val="20"/>
          <w:szCs w:val="20"/>
        </w:rPr>
        <w:t xml:space="preserve"> </w:t>
      </w:r>
      <w:r w:rsidRPr="000977F7">
        <w:rPr>
          <w:rFonts w:asciiTheme="majorHAnsi" w:hAnsiTheme="majorHAnsi"/>
          <w:sz w:val="20"/>
          <w:szCs w:val="20"/>
        </w:rPr>
        <w:t>продукції, вимога щодо управління якістю, вимога замовника, вимога щодо якості.</w:t>
      </w:r>
    </w:p>
    <w:p w14:paraId="2E2216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1"/>
          <w:sz w:val="20"/>
          <w:szCs w:val="20"/>
        </w:rPr>
        <w:t xml:space="preserve"> </w:t>
      </w:r>
      <w:r w:rsidRPr="000977F7">
        <w:rPr>
          <w:rFonts w:asciiTheme="majorHAnsi" w:hAnsiTheme="majorHAnsi"/>
          <w:sz w:val="20"/>
          <w:szCs w:val="20"/>
        </w:rPr>
        <w:t>4.</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ставити</w:t>
      </w:r>
      <w:r w:rsidRPr="000977F7">
        <w:rPr>
          <w:rFonts w:asciiTheme="majorHAnsi" w:hAnsiTheme="majorHAnsi"/>
          <w:spacing w:val="1"/>
          <w:sz w:val="20"/>
          <w:szCs w:val="20"/>
        </w:rPr>
        <w:t xml:space="preserve"> </w:t>
      </w:r>
      <w:r w:rsidRPr="000977F7">
        <w:rPr>
          <w:rFonts w:asciiTheme="majorHAnsi" w:hAnsiTheme="majorHAnsi"/>
          <w:sz w:val="20"/>
          <w:szCs w:val="20"/>
        </w:rPr>
        <w:t>різні</w:t>
      </w:r>
      <w:r w:rsidRPr="000977F7">
        <w:rPr>
          <w:rFonts w:asciiTheme="majorHAnsi" w:hAnsiTheme="majorHAnsi"/>
          <w:spacing w:val="1"/>
          <w:sz w:val="20"/>
          <w:szCs w:val="20"/>
        </w:rPr>
        <w:t xml:space="preserve"> </w:t>
      </w:r>
      <w:r w:rsidRPr="000977F7">
        <w:rPr>
          <w:rFonts w:asciiTheme="majorHAnsi" w:hAnsiTheme="majorHAnsi"/>
          <w:sz w:val="20"/>
          <w:szCs w:val="20"/>
        </w:rPr>
        <w:t>зацікавлені</w:t>
      </w:r>
      <w:r w:rsidRPr="000977F7">
        <w:rPr>
          <w:rFonts w:asciiTheme="majorHAnsi" w:hAnsiTheme="majorHAnsi"/>
          <w:spacing w:val="-47"/>
          <w:sz w:val="20"/>
          <w:szCs w:val="20"/>
        </w:rPr>
        <w:t xml:space="preserve"> </w:t>
      </w:r>
      <w:r w:rsidRPr="000977F7">
        <w:rPr>
          <w:rFonts w:asciiTheme="majorHAnsi" w:hAnsiTheme="majorHAnsi"/>
          <w:sz w:val="20"/>
          <w:szCs w:val="20"/>
        </w:rPr>
        <w:t>сторони</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сама організація.</w:t>
      </w:r>
    </w:p>
    <w:p w14:paraId="6CD5E8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5. Для досягнення високого рівня задоволеності замовника може бути потрібним задовольнити очікування замовника, навіть якщо воно не є сформульованим,</w:t>
      </w:r>
      <w:r w:rsidRPr="000977F7">
        <w:rPr>
          <w:rFonts w:asciiTheme="majorHAnsi" w:hAnsiTheme="majorHAnsi"/>
          <w:spacing w:val="-1"/>
          <w:sz w:val="20"/>
          <w:szCs w:val="20"/>
        </w:rPr>
        <w:t xml:space="preserve"> </w:t>
      </w:r>
      <w:r w:rsidRPr="000977F7">
        <w:rPr>
          <w:rFonts w:asciiTheme="majorHAnsi" w:hAnsiTheme="majorHAnsi"/>
          <w:sz w:val="20"/>
          <w:szCs w:val="20"/>
        </w:rPr>
        <w:t>загальнозрозумілим чи обов’язковим.</w:t>
      </w:r>
    </w:p>
    <w:p w14:paraId="6538BFAA"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lastRenderedPageBreak/>
        <w:t>ДСТУ ISO 9000:2015</w:t>
      </w:r>
      <w:r w:rsidRPr="000977F7">
        <w:rPr>
          <w:rFonts w:asciiTheme="majorHAnsi" w:hAnsiTheme="majorHAnsi"/>
          <w:i/>
          <w:spacing w:val="1"/>
          <w:sz w:val="20"/>
          <w:szCs w:val="20"/>
        </w:rPr>
        <w:t xml:space="preserve"> </w:t>
      </w:r>
    </w:p>
    <w:p w14:paraId="4D1DDB5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ВИМОГА ДО ПРОДУКЦІЇ </w:t>
      </w:r>
    </w:p>
    <w:p w14:paraId="0D735DE3"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Вимога, що безпосередньо пов'язана з продукцією та визначена в стандартах або в інших нормативних документах, що визначені схемою сертифікації</w:t>
      </w:r>
    </w:p>
    <w:p w14:paraId="1DE58E6E"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ПРИМІТКА Вимоги до продукції можуть бути визначені в нормативних документах, таких як регламенти, стандарти або технічні специфікації</w:t>
      </w:r>
    </w:p>
    <w:p w14:paraId="0A95D7F3" w14:textId="77777777" w:rsidR="0097612F" w:rsidRPr="000977F7" w:rsidRDefault="0097612F" w:rsidP="000977F7">
      <w:pPr>
        <w:pStyle w:val="7"/>
        <w:tabs>
          <w:tab w:val="left" w:pos="284"/>
        </w:tabs>
        <w:spacing w:before="0" w:line="240" w:lineRule="auto"/>
        <w:ind w:left="170"/>
        <w:mirrorIndents/>
        <w:jc w:val="both"/>
        <w:rPr>
          <w:i/>
          <w:iCs w:val="0"/>
          <w:color w:val="auto"/>
          <w:sz w:val="20"/>
          <w:szCs w:val="20"/>
        </w:rPr>
      </w:pPr>
      <w:r w:rsidRPr="000977F7">
        <w:rPr>
          <w:b w:val="0"/>
          <w:bCs/>
          <w:i/>
          <w:iCs w:val="0"/>
          <w:color w:val="auto"/>
          <w:sz w:val="20"/>
          <w:szCs w:val="20"/>
        </w:rPr>
        <w:t>ДСТУ EN ISO/IEC 17065:2019</w:t>
      </w:r>
    </w:p>
    <w:p w14:paraId="318A2B6B" w14:textId="77777777" w:rsidR="0097612F" w:rsidRPr="004D2D14" w:rsidRDefault="0097612F" w:rsidP="000977F7">
      <w:pPr>
        <w:tabs>
          <w:tab w:val="left" w:pos="284"/>
        </w:tabs>
        <w:spacing w:after="0" w:line="240" w:lineRule="auto"/>
        <w:ind w:left="170"/>
        <w:mirrorIndents/>
        <w:jc w:val="both"/>
        <w:rPr>
          <w:rFonts w:asciiTheme="majorHAnsi" w:hAnsiTheme="majorHAnsi"/>
          <w:b/>
          <w:bCs/>
          <w:iCs/>
          <w:spacing w:val="1"/>
          <w:sz w:val="20"/>
          <w:szCs w:val="20"/>
          <w:lang w:val="uk-UA"/>
        </w:rPr>
      </w:pPr>
      <w:r w:rsidRPr="004D2D14">
        <w:rPr>
          <w:rFonts w:asciiTheme="majorHAnsi" w:hAnsiTheme="majorHAnsi"/>
          <w:b/>
          <w:bCs/>
          <w:iCs/>
          <w:spacing w:val="1"/>
          <w:sz w:val="20"/>
          <w:szCs w:val="20"/>
          <w:lang w:val="uk-UA"/>
        </w:rPr>
        <w:t>ВИМОГА СЕРТИФІКАЦІЇ –</w:t>
      </w:r>
    </w:p>
    <w:p w14:paraId="1CB06CCF"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4D2D14">
        <w:rPr>
          <w:rFonts w:asciiTheme="majorHAnsi" w:hAnsiTheme="majorHAnsi"/>
          <w:iCs/>
          <w:spacing w:val="1"/>
          <w:sz w:val="20"/>
          <w:szCs w:val="20"/>
          <w:lang w:val="uk-UA"/>
        </w:rPr>
        <w:t>В</w:t>
      </w:r>
      <w:r w:rsidRPr="004D2D14">
        <w:rPr>
          <w:rFonts w:asciiTheme="majorHAnsi" w:hAnsiTheme="majorHAnsi"/>
          <w:sz w:val="20"/>
          <w:szCs w:val="20"/>
          <w:lang w:val="uk-UA"/>
        </w:rPr>
        <w:t xml:space="preserve">изначена вимога, зокрема, вимоги до продукції, які виконує </w:t>
      </w:r>
      <w:r w:rsidRPr="004D2D14">
        <w:rPr>
          <w:rFonts w:asciiTheme="majorHAnsi" w:hAnsiTheme="majorHAnsi"/>
          <w:bCs/>
          <w:sz w:val="20"/>
          <w:szCs w:val="20"/>
          <w:lang w:val="uk-UA"/>
        </w:rPr>
        <w:t>клієнт</w:t>
      </w:r>
      <w:r w:rsidRPr="004D2D14">
        <w:rPr>
          <w:rFonts w:asciiTheme="majorHAnsi" w:hAnsiTheme="majorHAnsi"/>
          <w:sz w:val="20"/>
          <w:szCs w:val="20"/>
          <w:lang w:val="uk-UA"/>
        </w:rPr>
        <w:t xml:space="preserve"> як умову отримування або підтримування сертифікації</w:t>
      </w:r>
    </w:p>
    <w:p w14:paraId="374AF8DF"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4D2D14">
        <w:rPr>
          <w:rFonts w:asciiTheme="majorHAnsi" w:hAnsiTheme="majorHAnsi"/>
          <w:sz w:val="20"/>
          <w:szCs w:val="20"/>
          <w:lang w:val="uk-UA"/>
        </w:rPr>
        <w:t xml:space="preserve">ПРИМІТКА Вимоги сертифікації включають вимоги, покладені на клієнта органом сертифікації [зазвичай через сертифікаційну угоду (див. 4.1.2)] для того, щоб відповідати цьому міжнародному стандарту, і можуть також включати вимоги, покладені на клієнта схемою сертифікації. </w:t>
      </w:r>
      <w:r w:rsidRPr="000977F7">
        <w:rPr>
          <w:rFonts w:asciiTheme="majorHAnsi" w:hAnsiTheme="majorHAnsi"/>
          <w:sz w:val="20"/>
          <w:szCs w:val="20"/>
        </w:rPr>
        <w:t>“Вимоги сертифікації”, які використовуються в цьому міжнародному стандарті, не включають вимоги, покладені на орган сертифікації схемою сертифікації.</w:t>
      </w:r>
    </w:p>
    <w:p w14:paraId="523A5B47"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ПРИКЛАДИ. Наступні вимоги є вимогами сертифікації, які не є вимогами до продукції:</w:t>
      </w:r>
    </w:p>
    <w:p w14:paraId="23CC8B96"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складання сертифікаційної угоди;</w:t>
      </w:r>
    </w:p>
    <w:p w14:paraId="7913B655"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оплата платежів;</w:t>
      </w:r>
    </w:p>
    <w:p w14:paraId="0446C79B"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забезпечення інформацією щодо змін у сертифікованій продукції;</w:t>
      </w:r>
    </w:p>
    <w:p w14:paraId="2A642801"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забезпечення доступу до сертифікованої продукції для діяльності з наглядання.</w:t>
      </w:r>
    </w:p>
    <w:p w14:paraId="5F5F65A9"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lang w:eastAsia="ru-RU"/>
        </w:rPr>
        <w:t>ДСТУ EN ISO/IEC 17065:2019</w:t>
      </w:r>
    </w:p>
    <w:p w14:paraId="69CBE02E"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ВИМОГА З ЯКОСТІ –</w:t>
      </w:r>
      <w:r w:rsidRPr="000977F7">
        <w:rPr>
          <w:rFonts w:asciiTheme="majorHAnsi" w:hAnsiTheme="majorHAnsi"/>
          <w:b/>
          <w:spacing w:val="1"/>
          <w:sz w:val="20"/>
          <w:szCs w:val="20"/>
        </w:rPr>
        <w:t xml:space="preserve"> </w:t>
      </w:r>
    </w:p>
    <w:p w14:paraId="4D64321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QUALITY</w:t>
      </w:r>
      <w:r w:rsidRPr="000977F7">
        <w:rPr>
          <w:rFonts w:asciiTheme="majorHAnsi" w:hAnsiTheme="majorHAnsi"/>
          <w:spacing w:val="-9"/>
          <w:sz w:val="20"/>
          <w:szCs w:val="20"/>
        </w:rPr>
        <w:t xml:space="preserve"> </w:t>
      </w:r>
      <w:r w:rsidRPr="000977F7">
        <w:rPr>
          <w:rFonts w:asciiTheme="majorHAnsi" w:hAnsiTheme="majorHAnsi"/>
          <w:sz w:val="20"/>
          <w:szCs w:val="20"/>
        </w:rPr>
        <w:t>REQUIREMENT</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17E3172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Вимога, яка відноситься до сукупності притаманних</w:t>
      </w:r>
      <w:r w:rsidRPr="000977F7">
        <w:rPr>
          <w:rFonts w:asciiTheme="majorHAnsi" w:hAnsiTheme="majorHAnsi"/>
          <w:spacing w:val="1"/>
          <w:sz w:val="20"/>
          <w:szCs w:val="20"/>
        </w:rPr>
        <w:t xml:space="preserve"> </w:t>
      </w:r>
      <w:r w:rsidRPr="000977F7">
        <w:rPr>
          <w:rFonts w:asciiTheme="majorHAnsi" w:hAnsiTheme="majorHAnsi"/>
          <w:sz w:val="20"/>
          <w:szCs w:val="20"/>
        </w:rPr>
        <w:t>об’єкту</w:t>
      </w:r>
      <w:r w:rsidRPr="000977F7">
        <w:rPr>
          <w:rFonts w:asciiTheme="majorHAnsi" w:hAnsiTheme="majorHAnsi"/>
          <w:spacing w:val="-2"/>
          <w:sz w:val="20"/>
          <w:szCs w:val="20"/>
        </w:rPr>
        <w:t xml:space="preserve"> </w:t>
      </w:r>
      <w:r w:rsidRPr="000977F7">
        <w:rPr>
          <w:rFonts w:asciiTheme="majorHAnsi" w:hAnsiTheme="majorHAnsi"/>
          <w:sz w:val="20"/>
          <w:szCs w:val="20"/>
        </w:rPr>
        <w:t>характеристик</w:t>
      </w:r>
      <w:r w:rsidRPr="000977F7">
        <w:rPr>
          <w:rFonts w:asciiTheme="majorHAnsi" w:hAnsiTheme="majorHAnsi"/>
          <w:spacing w:val="-2"/>
          <w:sz w:val="20"/>
          <w:szCs w:val="20"/>
        </w:rPr>
        <w:t xml:space="preserve"> </w:t>
      </w:r>
      <w:r w:rsidRPr="000977F7">
        <w:rPr>
          <w:rFonts w:asciiTheme="majorHAnsi" w:hAnsiTheme="majorHAnsi"/>
          <w:sz w:val="20"/>
          <w:szCs w:val="20"/>
        </w:rPr>
        <w:t>та до</w:t>
      </w:r>
      <w:r w:rsidRPr="000977F7">
        <w:rPr>
          <w:rFonts w:asciiTheme="majorHAnsi" w:hAnsiTheme="majorHAnsi"/>
          <w:spacing w:val="2"/>
          <w:sz w:val="20"/>
          <w:szCs w:val="20"/>
        </w:rPr>
        <w:t xml:space="preserve"> </w:t>
      </w:r>
      <w:r w:rsidRPr="000977F7">
        <w:rPr>
          <w:rFonts w:asciiTheme="majorHAnsi" w:hAnsiTheme="majorHAnsi"/>
          <w:sz w:val="20"/>
          <w:szCs w:val="20"/>
        </w:rPr>
        <w:t>їх</w:t>
      </w:r>
      <w:r w:rsidRPr="000977F7">
        <w:rPr>
          <w:rFonts w:asciiTheme="majorHAnsi" w:hAnsiTheme="majorHAnsi"/>
          <w:spacing w:val="-3"/>
          <w:sz w:val="20"/>
          <w:szCs w:val="20"/>
        </w:rPr>
        <w:t xml:space="preserve"> </w:t>
      </w:r>
      <w:r w:rsidRPr="000977F7">
        <w:rPr>
          <w:rFonts w:asciiTheme="majorHAnsi" w:hAnsiTheme="majorHAnsi"/>
          <w:sz w:val="20"/>
          <w:szCs w:val="20"/>
        </w:rPr>
        <w:t>цінностей.</w:t>
      </w:r>
    </w:p>
    <w:p w14:paraId="7DFB980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804C147" w14:textId="77777777" w:rsidR="0097612F" w:rsidRPr="000977F7" w:rsidRDefault="0097612F" w:rsidP="00FD39A4">
      <w:pPr>
        <w:pStyle w:val="ac"/>
        <w:widowControl w:val="0"/>
        <w:numPr>
          <w:ilvl w:val="1"/>
          <w:numId w:val="21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притаманних</w:t>
      </w:r>
      <w:r w:rsidRPr="000977F7">
        <w:rPr>
          <w:rFonts w:asciiTheme="majorHAnsi" w:hAnsiTheme="majorHAnsi"/>
          <w:spacing w:val="1"/>
          <w:sz w:val="20"/>
          <w:szCs w:val="20"/>
        </w:rPr>
        <w:t xml:space="preserve"> </w:t>
      </w:r>
      <w:r w:rsidRPr="000977F7">
        <w:rPr>
          <w:rFonts w:asciiTheme="majorHAnsi" w:hAnsiTheme="majorHAnsi"/>
          <w:sz w:val="20"/>
          <w:szCs w:val="20"/>
        </w:rPr>
        <w:t>об’єкту</w:t>
      </w:r>
      <w:r w:rsidRPr="000977F7">
        <w:rPr>
          <w:rFonts w:asciiTheme="majorHAnsi" w:hAnsiTheme="majorHAnsi"/>
          <w:spacing w:val="50"/>
          <w:sz w:val="20"/>
          <w:szCs w:val="20"/>
        </w:rPr>
        <w:t xml:space="preserve"> </w:t>
      </w:r>
      <w:r w:rsidRPr="000977F7">
        <w:rPr>
          <w:rFonts w:asciiTheme="majorHAnsi" w:hAnsiTheme="majorHAnsi"/>
          <w:sz w:val="20"/>
          <w:szCs w:val="20"/>
        </w:rPr>
        <w:t>характеристик</w:t>
      </w:r>
      <w:r w:rsidRPr="000977F7">
        <w:rPr>
          <w:rFonts w:asciiTheme="majorHAnsi" w:hAnsiTheme="majorHAnsi"/>
          <w:spacing w:val="1"/>
          <w:sz w:val="20"/>
          <w:szCs w:val="20"/>
        </w:rPr>
        <w:t xml:space="preserve"> </w:t>
      </w:r>
      <w:r w:rsidRPr="000977F7">
        <w:rPr>
          <w:rFonts w:asciiTheme="majorHAnsi" w:hAnsiTheme="majorHAnsi"/>
          <w:sz w:val="20"/>
          <w:szCs w:val="20"/>
        </w:rPr>
        <w:t>та їх цінностей є частиною самого об’єкта (наприклад,</w:t>
      </w:r>
      <w:r w:rsidRPr="000977F7">
        <w:rPr>
          <w:rFonts w:asciiTheme="majorHAnsi" w:hAnsiTheme="majorHAnsi"/>
          <w:spacing w:val="1"/>
          <w:sz w:val="20"/>
          <w:szCs w:val="20"/>
        </w:rPr>
        <w:t xml:space="preserve"> </w:t>
      </w:r>
      <w:r w:rsidRPr="000977F7">
        <w:rPr>
          <w:rFonts w:asciiTheme="majorHAnsi" w:hAnsiTheme="majorHAnsi"/>
          <w:sz w:val="20"/>
          <w:szCs w:val="20"/>
        </w:rPr>
        <w:t>технічні</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характеристики,</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діаметр</w:t>
      </w:r>
      <w:r w:rsidRPr="000977F7">
        <w:rPr>
          <w:rFonts w:asciiTheme="majorHAnsi" w:hAnsiTheme="majorHAnsi"/>
          <w:spacing w:val="-47"/>
          <w:sz w:val="20"/>
          <w:szCs w:val="20"/>
        </w:rPr>
        <w:t xml:space="preserve"> </w:t>
      </w:r>
      <w:r w:rsidRPr="000977F7">
        <w:rPr>
          <w:rFonts w:asciiTheme="majorHAnsi" w:hAnsiTheme="majorHAnsi"/>
          <w:sz w:val="20"/>
          <w:szCs w:val="20"/>
        </w:rPr>
        <w:t>гвинта,</w:t>
      </w:r>
      <w:r w:rsidRPr="000977F7">
        <w:rPr>
          <w:rFonts w:asciiTheme="majorHAnsi" w:hAnsiTheme="majorHAnsi"/>
          <w:spacing w:val="1"/>
          <w:sz w:val="20"/>
          <w:szCs w:val="20"/>
        </w:rPr>
        <w:t xml:space="preserve"> </w:t>
      </w:r>
      <w:r w:rsidRPr="000977F7">
        <w:rPr>
          <w:rFonts w:asciiTheme="majorHAnsi" w:hAnsiTheme="majorHAnsi"/>
          <w:sz w:val="20"/>
          <w:szCs w:val="20"/>
        </w:rPr>
        <w:t>продуктивність</w:t>
      </w:r>
      <w:r w:rsidRPr="000977F7">
        <w:rPr>
          <w:rFonts w:asciiTheme="majorHAnsi" w:hAnsiTheme="majorHAnsi"/>
          <w:spacing w:val="1"/>
          <w:sz w:val="20"/>
          <w:szCs w:val="20"/>
        </w:rPr>
        <w:t xml:space="preserve"> </w:t>
      </w:r>
      <w:r w:rsidRPr="000977F7">
        <w:rPr>
          <w:rFonts w:asciiTheme="majorHAnsi" w:hAnsiTheme="majorHAnsi"/>
          <w:sz w:val="20"/>
          <w:szCs w:val="20"/>
        </w:rPr>
        <w:t>машини,</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очікування</w:t>
      </w:r>
      <w:r w:rsidRPr="000977F7">
        <w:rPr>
          <w:rFonts w:asciiTheme="majorHAnsi" w:hAnsiTheme="majorHAnsi"/>
          <w:spacing w:val="-47"/>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моменту</w:t>
      </w:r>
      <w:r w:rsidRPr="000977F7">
        <w:rPr>
          <w:rFonts w:asciiTheme="majorHAnsi" w:hAnsiTheme="majorHAnsi"/>
          <w:spacing w:val="1"/>
          <w:sz w:val="20"/>
          <w:szCs w:val="20"/>
        </w:rPr>
        <w:t xml:space="preserve"> </w:t>
      </w:r>
      <w:r w:rsidRPr="000977F7">
        <w:rPr>
          <w:rFonts w:asciiTheme="majorHAnsi" w:hAnsiTheme="majorHAnsi"/>
          <w:sz w:val="20"/>
          <w:szCs w:val="20"/>
        </w:rPr>
        <w:t>замовлення).</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Характеристики,</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тільки</w:t>
      </w:r>
      <w:r w:rsidRPr="000977F7">
        <w:rPr>
          <w:rFonts w:asciiTheme="majorHAnsi" w:hAnsiTheme="majorHAnsi"/>
          <w:spacing w:val="1"/>
          <w:sz w:val="20"/>
          <w:szCs w:val="20"/>
        </w:rPr>
        <w:t xml:space="preserve"> </w:t>
      </w:r>
      <w:r w:rsidRPr="000977F7">
        <w:rPr>
          <w:rFonts w:asciiTheme="majorHAnsi" w:hAnsiTheme="majorHAnsi"/>
          <w:sz w:val="20"/>
          <w:szCs w:val="20"/>
        </w:rPr>
        <w:t>позначають</w:t>
      </w:r>
      <w:r w:rsidRPr="000977F7">
        <w:rPr>
          <w:rFonts w:asciiTheme="majorHAnsi" w:hAnsiTheme="majorHAnsi"/>
          <w:spacing w:val="1"/>
          <w:sz w:val="20"/>
          <w:szCs w:val="20"/>
        </w:rPr>
        <w:t xml:space="preserve"> </w:t>
      </w:r>
      <w:r w:rsidRPr="000977F7">
        <w:rPr>
          <w:rFonts w:asciiTheme="majorHAnsi" w:hAnsiTheme="majorHAnsi"/>
          <w:sz w:val="20"/>
          <w:szCs w:val="20"/>
        </w:rPr>
        <w:t>об’єкт</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вартість</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3"/>
          <w:sz w:val="20"/>
          <w:szCs w:val="20"/>
        </w:rPr>
        <w:t xml:space="preserve"> </w:t>
      </w:r>
      <w:r w:rsidRPr="000977F7">
        <w:rPr>
          <w:rFonts w:asciiTheme="majorHAnsi" w:hAnsiTheme="majorHAnsi"/>
          <w:sz w:val="20"/>
          <w:szCs w:val="20"/>
        </w:rPr>
        <w:t>не</w:t>
      </w:r>
      <w:r w:rsidRPr="000977F7">
        <w:rPr>
          <w:rFonts w:asciiTheme="majorHAnsi" w:hAnsiTheme="majorHAnsi"/>
          <w:spacing w:val="-4"/>
          <w:sz w:val="20"/>
          <w:szCs w:val="20"/>
        </w:rPr>
        <w:t xml:space="preserve"> </w:t>
      </w:r>
      <w:r w:rsidRPr="000977F7">
        <w:rPr>
          <w:rFonts w:asciiTheme="majorHAnsi" w:hAnsiTheme="majorHAnsi"/>
          <w:sz w:val="20"/>
          <w:szCs w:val="20"/>
        </w:rPr>
        <w:t>є</w:t>
      </w:r>
      <w:r w:rsidRPr="000977F7">
        <w:rPr>
          <w:rFonts w:asciiTheme="majorHAnsi" w:hAnsiTheme="majorHAnsi"/>
          <w:spacing w:val="-3"/>
          <w:sz w:val="20"/>
          <w:szCs w:val="20"/>
        </w:rPr>
        <w:t xml:space="preserve"> </w:t>
      </w:r>
      <w:r w:rsidRPr="000977F7">
        <w:rPr>
          <w:rFonts w:asciiTheme="majorHAnsi" w:hAnsiTheme="majorHAnsi"/>
          <w:sz w:val="20"/>
          <w:szCs w:val="20"/>
        </w:rPr>
        <w:t>притаманними</w:t>
      </w:r>
      <w:r w:rsidRPr="000977F7">
        <w:rPr>
          <w:rFonts w:asciiTheme="majorHAnsi" w:hAnsiTheme="majorHAnsi"/>
          <w:spacing w:val="-4"/>
          <w:sz w:val="20"/>
          <w:szCs w:val="20"/>
        </w:rPr>
        <w:t xml:space="preserve"> </w:t>
      </w:r>
      <w:r w:rsidRPr="000977F7">
        <w:rPr>
          <w:rFonts w:asciiTheme="majorHAnsi" w:hAnsiTheme="majorHAnsi"/>
          <w:sz w:val="20"/>
          <w:szCs w:val="20"/>
        </w:rPr>
        <w:t>характеристиками Якщо вимога з якості відноситься до конкретного</w:t>
      </w:r>
      <w:r w:rsidRPr="000977F7">
        <w:rPr>
          <w:rFonts w:asciiTheme="majorHAnsi" w:hAnsiTheme="majorHAnsi"/>
          <w:spacing w:val="1"/>
          <w:sz w:val="20"/>
          <w:szCs w:val="20"/>
        </w:rPr>
        <w:t xml:space="preserve"> </w:t>
      </w:r>
      <w:r w:rsidRPr="000977F7">
        <w:rPr>
          <w:rFonts w:asciiTheme="majorHAnsi" w:hAnsiTheme="majorHAnsi"/>
          <w:sz w:val="20"/>
          <w:szCs w:val="20"/>
        </w:rPr>
        <w:t>об’єкту, наприклад до процесу або продукції, то</w:t>
      </w:r>
      <w:r w:rsidRPr="000977F7">
        <w:rPr>
          <w:rFonts w:asciiTheme="majorHAnsi" w:hAnsiTheme="majorHAnsi"/>
          <w:spacing w:val="1"/>
          <w:sz w:val="20"/>
          <w:szCs w:val="20"/>
        </w:rPr>
        <w:t xml:space="preserve"> </w:t>
      </w:r>
      <w:r w:rsidRPr="000977F7">
        <w:rPr>
          <w:rFonts w:asciiTheme="majorHAnsi" w:hAnsiTheme="majorHAnsi"/>
          <w:sz w:val="20"/>
          <w:szCs w:val="20"/>
        </w:rPr>
        <w:t>визначник може знаходитися перед терміном, на</w:t>
      </w:r>
      <w:r w:rsidRPr="000977F7">
        <w:rPr>
          <w:rFonts w:asciiTheme="majorHAnsi" w:hAnsiTheme="majorHAnsi"/>
          <w:spacing w:val="-2"/>
          <w:w w:val="99"/>
          <w:sz w:val="20"/>
          <w:szCs w:val="20"/>
        </w:rPr>
        <w:t>п</w:t>
      </w:r>
      <w:r w:rsidRPr="000977F7">
        <w:rPr>
          <w:rFonts w:asciiTheme="majorHAnsi" w:hAnsiTheme="majorHAnsi"/>
          <w:spacing w:val="1"/>
          <w:w w:val="99"/>
          <w:sz w:val="20"/>
          <w:szCs w:val="20"/>
        </w:rPr>
        <w:t>р</w:t>
      </w:r>
      <w:r w:rsidRPr="000977F7">
        <w:rPr>
          <w:rFonts w:asciiTheme="majorHAnsi" w:hAnsiTheme="majorHAnsi"/>
          <w:spacing w:val="-2"/>
          <w:w w:val="99"/>
          <w:sz w:val="20"/>
          <w:szCs w:val="20"/>
        </w:rPr>
        <w:t>и</w:t>
      </w:r>
      <w:r w:rsidRPr="000977F7">
        <w:rPr>
          <w:rFonts w:asciiTheme="majorHAnsi" w:hAnsiTheme="majorHAnsi"/>
          <w:spacing w:val="1"/>
          <w:w w:val="99"/>
          <w:sz w:val="20"/>
          <w:szCs w:val="20"/>
        </w:rPr>
        <w:t>к</w:t>
      </w:r>
      <w:r w:rsidRPr="000977F7">
        <w:rPr>
          <w:rFonts w:asciiTheme="majorHAnsi" w:hAnsiTheme="majorHAnsi"/>
          <w:spacing w:val="-1"/>
          <w:w w:val="99"/>
          <w:sz w:val="20"/>
          <w:szCs w:val="20"/>
        </w:rPr>
        <w:t>л</w:t>
      </w:r>
      <w:r w:rsidRPr="000977F7">
        <w:rPr>
          <w:rFonts w:asciiTheme="majorHAnsi" w:hAnsiTheme="majorHAnsi"/>
          <w:w w:val="99"/>
          <w:sz w:val="20"/>
          <w:szCs w:val="20"/>
        </w:rPr>
        <w:t>ад</w:t>
      </w:r>
      <w:r w:rsidRPr="000977F7">
        <w:rPr>
          <w:rFonts w:asciiTheme="majorHAnsi" w:hAnsiTheme="majorHAnsi"/>
          <w:spacing w:val="23"/>
          <w:sz w:val="20"/>
          <w:szCs w:val="20"/>
        </w:rPr>
        <w:t xml:space="preserve"> "</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и</w:t>
      </w:r>
      <w:r w:rsidRPr="000977F7">
        <w:rPr>
          <w:rFonts w:asciiTheme="majorHAnsi" w:hAnsiTheme="majorHAnsi"/>
          <w:spacing w:val="1"/>
          <w:w w:val="99"/>
          <w:sz w:val="20"/>
          <w:szCs w:val="20"/>
        </w:rPr>
        <w:t>мо</w:t>
      </w:r>
      <w:r w:rsidRPr="000977F7">
        <w:rPr>
          <w:rFonts w:asciiTheme="majorHAnsi" w:hAnsiTheme="majorHAnsi"/>
          <w:spacing w:val="-1"/>
          <w:w w:val="99"/>
          <w:sz w:val="20"/>
          <w:szCs w:val="20"/>
        </w:rPr>
        <w:t>г</w:t>
      </w:r>
      <w:r w:rsidRPr="000977F7">
        <w:rPr>
          <w:rFonts w:asciiTheme="majorHAnsi" w:hAnsiTheme="majorHAnsi"/>
          <w:w w:val="99"/>
          <w:sz w:val="20"/>
          <w:szCs w:val="20"/>
        </w:rPr>
        <w:t>а</w:t>
      </w:r>
      <w:r w:rsidRPr="000977F7">
        <w:rPr>
          <w:rFonts w:asciiTheme="majorHAnsi" w:hAnsiTheme="majorHAnsi"/>
          <w:spacing w:val="19"/>
          <w:sz w:val="20"/>
          <w:szCs w:val="20"/>
        </w:rPr>
        <w:t xml:space="preserve"> </w:t>
      </w:r>
      <w:r w:rsidRPr="000977F7">
        <w:rPr>
          <w:rFonts w:asciiTheme="majorHAnsi" w:hAnsiTheme="majorHAnsi"/>
          <w:w w:val="99"/>
          <w:sz w:val="20"/>
          <w:szCs w:val="20"/>
        </w:rPr>
        <w:t>з</w:t>
      </w:r>
      <w:r w:rsidRPr="000977F7">
        <w:rPr>
          <w:rFonts w:asciiTheme="majorHAnsi" w:hAnsiTheme="majorHAnsi"/>
          <w:spacing w:val="19"/>
          <w:sz w:val="20"/>
          <w:szCs w:val="20"/>
        </w:rPr>
        <w:t xml:space="preserve"> </w:t>
      </w:r>
      <w:r w:rsidRPr="000977F7">
        <w:rPr>
          <w:rFonts w:asciiTheme="majorHAnsi" w:hAnsiTheme="majorHAnsi"/>
          <w:spacing w:val="1"/>
          <w:w w:val="99"/>
          <w:sz w:val="20"/>
          <w:szCs w:val="20"/>
        </w:rPr>
        <w:t>я</w:t>
      </w:r>
      <w:r w:rsidRPr="000977F7">
        <w:rPr>
          <w:rFonts w:asciiTheme="majorHAnsi" w:hAnsiTheme="majorHAnsi"/>
          <w:spacing w:val="-1"/>
          <w:w w:val="99"/>
          <w:sz w:val="20"/>
          <w:szCs w:val="20"/>
        </w:rPr>
        <w:t>к</w:t>
      </w:r>
      <w:r w:rsidRPr="000977F7">
        <w:rPr>
          <w:rFonts w:asciiTheme="majorHAnsi" w:hAnsiTheme="majorHAnsi"/>
          <w:spacing w:val="1"/>
          <w:w w:val="99"/>
          <w:sz w:val="20"/>
          <w:szCs w:val="20"/>
        </w:rPr>
        <w:t>о</w:t>
      </w:r>
      <w:r w:rsidRPr="000977F7">
        <w:rPr>
          <w:rFonts w:asciiTheme="majorHAnsi" w:hAnsiTheme="majorHAnsi"/>
          <w:w w:val="99"/>
          <w:sz w:val="20"/>
          <w:szCs w:val="20"/>
        </w:rPr>
        <w:t>сті</w:t>
      </w:r>
      <w:r w:rsidRPr="000977F7">
        <w:rPr>
          <w:rFonts w:asciiTheme="majorHAnsi" w:hAnsiTheme="majorHAnsi"/>
          <w:spacing w:val="21"/>
          <w:sz w:val="20"/>
          <w:szCs w:val="20"/>
        </w:rPr>
        <w:t xml:space="preserve"> </w:t>
      </w:r>
      <w:r w:rsidRPr="000977F7">
        <w:rPr>
          <w:rFonts w:asciiTheme="majorHAnsi" w:hAnsiTheme="majorHAnsi"/>
          <w:spacing w:val="1"/>
          <w:w w:val="99"/>
          <w:sz w:val="20"/>
          <w:szCs w:val="20"/>
        </w:rPr>
        <w:t>про</w:t>
      </w:r>
      <w:r w:rsidRPr="000977F7">
        <w:rPr>
          <w:rFonts w:asciiTheme="majorHAnsi" w:hAnsiTheme="majorHAnsi"/>
          <w:spacing w:val="-2"/>
          <w:w w:val="99"/>
          <w:sz w:val="20"/>
          <w:szCs w:val="20"/>
        </w:rPr>
        <w:t>ц</w:t>
      </w:r>
      <w:r w:rsidRPr="000977F7">
        <w:rPr>
          <w:rFonts w:asciiTheme="majorHAnsi" w:hAnsiTheme="majorHAnsi"/>
          <w:w w:val="99"/>
          <w:sz w:val="20"/>
          <w:szCs w:val="20"/>
        </w:rPr>
        <w:t>е</w:t>
      </w:r>
      <w:r w:rsidRPr="000977F7">
        <w:rPr>
          <w:rFonts w:asciiTheme="majorHAnsi" w:hAnsiTheme="majorHAnsi"/>
          <w:spacing w:val="3"/>
          <w:w w:val="99"/>
          <w:sz w:val="20"/>
          <w:szCs w:val="20"/>
        </w:rPr>
        <w:t>с</w:t>
      </w:r>
      <w:r w:rsidRPr="000977F7">
        <w:rPr>
          <w:rFonts w:asciiTheme="majorHAnsi" w:hAnsiTheme="majorHAnsi"/>
          <w:spacing w:val="-4"/>
          <w:w w:val="99"/>
          <w:sz w:val="20"/>
          <w:szCs w:val="20"/>
        </w:rPr>
        <w:t>у" "</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и</w:t>
      </w:r>
      <w:r w:rsidRPr="000977F7">
        <w:rPr>
          <w:rFonts w:asciiTheme="majorHAnsi" w:hAnsiTheme="majorHAnsi"/>
          <w:spacing w:val="1"/>
          <w:w w:val="99"/>
          <w:sz w:val="20"/>
          <w:szCs w:val="20"/>
        </w:rPr>
        <w:t>мо</w:t>
      </w:r>
      <w:r w:rsidRPr="000977F7">
        <w:rPr>
          <w:rFonts w:asciiTheme="majorHAnsi" w:hAnsiTheme="majorHAnsi"/>
          <w:spacing w:val="-1"/>
          <w:w w:val="99"/>
          <w:sz w:val="20"/>
          <w:szCs w:val="20"/>
        </w:rPr>
        <w:t>г</w:t>
      </w:r>
      <w:r w:rsidRPr="000977F7">
        <w:rPr>
          <w:rFonts w:asciiTheme="majorHAnsi" w:hAnsiTheme="majorHAnsi"/>
          <w:w w:val="99"/>
          <w:sz w:val="20"/>
          <w:szCs w:val="20"/>
        </w:rPr>
        <w:t>а</w:t>
      </w:r>
      <w:r w:rsidRPr="000977F7">
        <w:rPr>
          <w:rFonts w:asciiTheme="majorHAnsi" w:hAnsiTheme="majorHAnsi"/>
          <w:spacing w:val="19"/>
          <w:sz w:val="20"/>
          <w:szCs w:val="20"/>
        </w:rPr>
        <w:t xml:space="preserve"> </w:t>
      </w:r>
      <w:r w:rsidRPr="000977F7">
        <w:rPr>
          <w:rFonts w:asciiTheme="majorHAnsi" w:hAnsiTheme="majorHAnsi"/>
          <w:w w:val="99"/>
          <w:sz w:val="20"/>
          <w:szCs w:val="20"/>
        </w:rPr>
        <w:t xml:space="preserve">з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29778E3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ВИМОГА</w:t>
      </w:r>
      <w:r w:rsidRPr="000977F7">
        <w:rPr>
          <w:color w:val="auto"/>
          <w:spacing w:val="-2"/>
          <w:sz w:val="20"/>
          <w:szCs w:val="20"/>
        </w:rPr>
        <w:t xml:space="preserve"> </w:t>
      </w:r>
      <w:r w:rsidRPr="000977F7">
        <w:rPr>
          <w:color w:val="auto"/>
          <w:sz w:val="20"/>
          <w:szCs w:val="20"/>
        </w:rPr>
        <w:t>НА</w:t>
      </w:r>
      <w:r w:rsidRPr="000977F7">
        <w:rPr>
          <w:color w:val="auto"/>
          <w:spacing w:val="-4"/>
          <w:sz w:val="20"/>
          <w:szCs w:val="20"/>
        </w:rPr>
        <w:t xml:space="preserve"> </w:t>
      </w:r>
      <w:r w:rsidRPr="000977F7">
        <w:rPr>
          <w:color w:val="auto"/>
          <w:sz w:val="20"/>
          <w:szCs w:val="20"/>
        </w:rPr>
        <w:t>ВИБІР –</w:t>
      </w:r>
    </w:p>
    <w:p w14:paraId="6A96DFFD"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OPTIONAL</w:t>
      </w:r>
      <w:r w:rsidRPr="000977F7">
        <w:rPr>
          <w:b w:val="0"/>
          <w:bCs/>
          <w:color w:val="auto"/>
          <w:spacing w:val="-4"/>
          <w:sz w:val="20"/>
          <w:szCs w:val="20"/>
        </w:rPr>
        <w:t xml:space="preserve"> </w:t>
      </w:r>
      <w:r w:rsidRPr="000977F7">
        <w:rPr>
          <w:b w:val="0"/>
          <w:bCs/>
          <w:color w:val="auto"/>
          <w:sz w:val="20"/>
          <w:szCs w:val="20"/>
        </w:rPr>
        <w:t>REQUIREMENT</w:t>
      </w:r>
      <w:r w:rsidRPr="000977F7">
        <w:rPr>
          <w:b w:val="0"/>
          <w:bCs/>
          <w:color w:val="auto"/>
          <w:spacing w:val="1"/>
          <w:sz w:val="20"/>
          <w:szCs w:val="20"/>
        </w:rPr>
        <w:t xml:space="preserve"> </w:t>
      </w:r>
      <w:r w:rsidRPr="000977F7">
        <w:rPr>
          <w:b w:val="0"/>
          <w:bCs/>
          <w:color w:val="auto"/>
          <w:sz w:val="20"/>
          <w:szCs w:val="20"/>
        </w:rPr>
        <w:t>–</w:t>
      </w:r>
    </w:p>
    <w:p w14:paraId="391BE638"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Вимога</w:t>
      </w:r>
      <w:r w:rsidRPr="000977F7">
        <w:rPr>
          <w:rFonts w:asciiTheme="majorHAnsi" w:hAnsiTheme="majorHAnsi"/>
          <w:spacing w:val="2"/>
          <w:sz w:val="20"/>
          <w:szCs w:val="20"/>
        </w:rPr>
        <w:t xml:space="preserve"> </w:t>
      </w:r>
      <w:r w:rsidRPr="000977F7">
        <w:rPr>
          <w:rFonts w:asciiTheme="majorHAnsi" w:hAnsiTheme="majorHAnsi"/>
          <w:sz w:val="20"/>
          <w:szCs w:val="20"/>
        </w:rPr>
        <w:t>нормативного</w:t>
      </w:r>
      <w:r w:rsidRPr="000977F7">
        <w:rPr>
          <w:rFonts w:asciiTheme="majorHAnsi" w:hAnsiTheme="majorHAnsi"/>
          <w:spacing w:val="3"/>
          <w:sz w:val="20"/>
          <w:szCs w:val="20"/>
        </w:rPr>
        <w:t xml:space="preserve"> </w:t>
      </w:r>
      <w:r w:rsidRPr="000977F7">
        <w:rPr>
          <w:rFonts w:asciiTheme="majorHAnsi" w:hAnsiTheme="majorHAnsi"/>
          <w:sz w:val="20"/>
          <w:szCs w:val="20"/>
        </w:rPr>
        <w:t>документа,</w:t>
      </w:r>
      <w:r w:rsidRPr="000977F7">
        <w:rPr>
          <w:rFonts w:asciiTheme="majorHAnsi" w:hAnsiTheme="majorHAnsi"/>
          <w:spacing w:val="3"/>
          <w:sz w:val="20"/>
          <w:szCs w:val="20"/>
        </w:rPr>
        <w:t xml:space="preserve"> </w:t>
      </w:r>
      <w:r w:rsidRPr="000977F7">
        <w:rPr>
          <w:rFonts w:asciiTheme="majorHAnsi" w:hAnsiTheme="majorHAnsi"/>
          <w:sz w:val="20"/>
          <w:szCs w:val="20"/>
        </w:rPr>
        <w:t>якої</w:t>
      </w:r>
      <w:r w:rsidRPr="000977F7">
        <w:rPr>
          <w:rFonts w:asciiTheme="majorHAnsi" w:hAnsiTheme="majorHAnsi"/>
          <w:spacing w:val="2"/>
          <w:sz w:val="20"/>
          <w:szCs w:val="20"/>
        </w:rPr>
        <w:t xml:space="preserve"> </w:t>
      </w:r>
      <w:r w:rsidRPr="000977F7">
        <w:rPr>
          <w:rFonts w:asciiTheme="majorHAnsi" w:hAnsiTheme="majorHAnsi"/>
          <w:sz w:val="20"/>
          <w:szCs w:val="20"/>
        </w:rPr>
        <w:t>потрібно</w:t>
      </w:r>
      <w:r w:rsidRPr="000977F7">
        <w:rPr>
          <w:rFonts w:asciiTheme="majorHAnsi" w:hAnsiTheme="majorHAnsi"/>
          <w:spacing w:val="3"/>
          <w:sz w:val="20"/>
          <w:szCs w:val="20"/>
        </w:rPr>
        <w:t xml:space="preserve"> </w:t>
      </w:r>
      <w:r w:rsidRPr="000977F7">
        <w:rPr>
          <w:rFonts w:asciiTheme="majorHAnsi" w:hAnsiTheme="majorHAnsi"/>
          <w:sz w:val="20"/>
          <w:szCs w:val="20"/>
        </w:rPr>
        <w:t>до</w:t>
      </w:r>
      <w:r w:rsidRPr="000977F7">
        <w:rPr>
          <w:rFonts w:asciiTheme="majorHAnsi" w:hAnsiTheme="majorHAnsi"/>
          <w:spacing w:val="-47"/>
          <w:sz w:val="20"/>
          <w:szCs w:val="20"/>
        </w:rPr>
        <w:t xml:space="preserve"> </w:t>
      </w:r>
      <w:r w:rsidRPr="000977F7">
        <w:rPr>
          <w:rFonts w:asciiTheme="majorHAnsi" w:hAnsiTheme="majorHAnsi"/>
          <w:sz w:val="20"/>
          <w:szCs w:val="20"/>
        </w:rPr>
        <w:t>тримати в межах вибору, означених цим документом</w:t>
      </w:r>
      <w:r w:rsidRPr="000977F7">
        <w:rPr>
          <w:rFonts w:asciiTheme="majorHAnsi" w:hAnsiTheme="majorHAnsi"/>
          <w:spacing w:val="1"/>
          <w:sz w:val="20"/>
          <w:szCs w:val="20"/>
        </w:rPr>
        <w:t xml:space="preserve"> </w:t>
      </w:r>
    </w:p>
    <w:p w14:paraId="7E5BCF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32513B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Вимога</w:t>
      </w:r>
      <w:r w:rsidRPr="000977F7">
        <w:rPr>
          <w:rFonts w:asciiTheme="majorHAnsi" w:hAnsiTheme="majorHAnsi"/>
          <w:spacing w:val="-3"/>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вибір</w:t>
      </w:r>
      <w:r w:rsidRPr="000977F7">
        <w:rPr>
          <w:rFonts w:asciiTheme="majorHAnsi" w:hAnsiTheme="majorHAnsi"/>
          <w:spacing w:val="-2"/>
          <w:sz w:val="20"/>
          <w:szCs w:val="20"/>
        </w:rPr>
        <w:t xml:space="preserve"> </w:t>
      </w:r>
      <w:r w:rsidRPr="000977F7">
        <w:rPr>
          <w:rFonts w:asciiTheme="majorHAnsi" w:hAnsiTheme="majorHAnsi"/>
          <w:sz w:val="20"/>
          <w:szCs w:val="20"/>
        </w:rPr>
        <w:t>може</w:t>
      </w:r>
      <w:r w:rsidRPr="000977F7">
        <w:rPr>
          <w:rFonts w:asciiTheme="majorHAnsi" w:hAnsiTheme="majorHAnsi"/>
          <w:spacing w:val="-3"/>
          <w:sz w:val="20"/>
          <w:szCs w:val="20"/>
        </w:rPr>
        <w:t xml:space="preserve"> </w:t>
      </w:r>
      <w:r w:rsidRPr="000977F7">
        <w:rPr>
          <w:rFonts w:asciiTheme="majorHAnsi" w:hAnsiTheme="majorHAnsi"/>
          <w:sz w:val="20"/>
          <w:szCs w:val="20"/>
        </w:rPr>
        <w:t>бути:</w:t>
      </w:r>
    </w:p>
    <w:p w14:paraId="6071B2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2"/>
          <w:sz w:val="20"/>
          <w:szCs w:val="20"/>
        </w:rPr>
        <w:t xml:space="preserve"> </w:t>
      </w:r>
      <w:r w:rsidRPr="000977F7">
        <w:rPr>
          <w:rFonts w:asciiTheme="majorHAnsi" w:hAnsiTheme="majorHAnsi"/>
          <w:sz w:val="20"/>
          <w:szCs w:val="20"/>
        </w:rPr>
        <w:t>однією</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2"/>
          <w:sz w:val="20"/>
          <w:szCs w:val="20"/>
        </w:rPr>
        <w:t xml:space="preserve"> </w:t>
      </w:r>
      <w:r w:rsidRPr="000977F7">
        <w:rPr>
          <w:rFonts w:asciiTheme="majorHAnsi" w:hAnsiTheme="majorHAnsi"/>
          <w:sz w:val="20"/>
          <w:szCs w:val="20"/>
        </w:rPr>
        <w:t>двох</w:t>
      </w:r>
      <w:r w:rsidRPr="000977F7">
        <w:rPr>
          <w:rFonts w:asciiTheme="majorHAnsi" w:hAnsiTheme="majorHAnsi"/>
          <w:spacing w:val="-3"/>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декількох</w:t>
      </w:r>
      <w:r w:rsidRPr="000977F7">
        <w:rPr>
          <w:rFonts w:asciiTheme="majorHAnsi" w:hAnsiTheme="majorHAnsi"/>
          <w:spacing w:val="-3"/>
          <w:sz w:val="20"/>
          <w:szCs w:val="20"/>
        </w:rPr>
        <w:t xml:space="preserve"> </w:t>
      </w:r>
      <w:r w:rsidRPr="000977F7">
        <w:rPr>
          <w:rFonts w:asciiTheme="majorHAnsi" w:hAnsiTheme="majorHAnsi"/>
          <w:sz w:val="20"/>
          <w:szCs w:val="20"/>
        </w:rPr>
        <w:t>можливих</w:t>
      </w:r>
      <w:r w:rsidRPr="000977F7">
        <w:rPr>
          <w:rFonts w:asciiTheme="majorHAnsi" w:hAnsiTheme="majorHAnsi"/>
          <w:spacing w:val="-3"/>
          <w:sz w:val="20"/>
          <w:szCs w:val="20"/>
        </w:rPr>
        <w:t xml:space="preserve"> </w:t>
      </w:r>
      <w:r w:rsidRPr="000977F7">
        <w:rPr>
          <w:rFonts w:asciiTheme="majorHAnsi" w:hAnsiTheme="majorHAnsi"/>
          <w:sz w:val="20"/>
          <w:szCs w:val="20"/>
        </w:rPr>
        <w:t>вимог;</w:t>
      </w:r>
    </w:p>
    <w:p w14:paraId="04DD084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w:t>
      </w:r>
      <w:r w:rsidRPr="000977F7">
        <w:rPr>
          <w:rFonts w:asciiTheme="majorHAnsi" w:hAnsiTheme="majorHAnsi"/>
          <w:spacing w:val="14"/>
          <w:sz w:val="20"/>
          <w:szCs w:val="20"/>
        </w:rPr>
        <w:t xml:space="preserve"> </w:t>
      </w:r>
      <w:r w:rsidRPr="000977F7">
        <w:rPr>
          <w:rFonts w:asciiTheme="majorHAnsi" w:hAnsiTheme="majorHAnsi"/>
          <w:sz w:val="20"/>
          <w:szCs w:val="20"/>
        </w:rPr>
        <w:t>додатковою</w:t>
      </w:r>
      <w:r w:rsidRPr="000977F7">
        <w:rPr>
          <w:rFonts w:asciiTheme="majorHAnsi" w:hAnsiTheme="majorHAnsi"/>
          <w:spacing w:val="14"/>
          <w:sz w:val="20"/>
          <w:szCs w:val="20"/>
        </w:rPr>
        <w:t xml:space="preserve"> </w:t>
      </w:r>
      <w:r w:rsidRPr="000977F7">
        <w:rPr>
          <w:rFonts w:asciiTheme="majorHAnsi" w:hAnsiTheme="majorHAnsi"/>
          <w:sz w:val="20"/>
          <w:szCs w:val="20"/>
        </w:rPr>
        <w:t>вимогою,</w:t>
      </w:r>
      <w:r w:rsidRPr="000977F7">
        <w:rPr>
          <w:rFonts w:asciiTheme="majorHAnsi" w:hAnsiTheme="majorHAnsi"/>
          <w:spacing w:val="15"/>
          <w:sz w:val="20"/>
          <w:szCs w:val="20"/>
        </w:rPr>
        <w:t xml:space="preserve"> </w:t>
      </w:r>
      <w:r w:rsidRPr="000977F7">
        <w:rPr>
          <w:rFonts w:asciiTheme="majorHAnsi" w:hAnsiTheme="majorHAnsi"/>
          <w:sz w:val="20"/>
          <w:szCs w:val="20"/>
        </w:rPr>
        <w:t>якої</w:t>
      </w:r>
      <w:r w:rsidRPr="000977F7">
        <w:rPr>
          <w:rFonts w:asciiTheme="majorHAnsi" w:hAnsiTheme="majorHAnsi"/>
          <w:spacing w:val="14"/>
          <w:sz w:val="20"/>
          <w:szCs w:val="20"/>
        </w:rPr>
        <w:t xml:space="preserve"> </w:t>
      </w:r>
      <w:r w:rsidRPr="000977F7">
        <w:rPr>
          <w:rFonts w:asciiTheme="majorHAnsi" w:hAnsiTheme="majorHAnsi"/>
          <w:sz w:val="20"/>
          <w:szCs w:val="20"/>
        </w:rPr>
        <w:t>потрібно</w:t>
      </w:r>
      <w:r w:rsidRPr="000977F7">
        <w:rPr>
          <w:rFonts w:asciiTheme="majorHAnsi" w:hAnsiTheme="majorHAnsi"/>
          <w:spacing w:val="15"/>
          <w:sz w:val="20"/>
          <w:szCs w:val="20"/>
        </w:rPr>
        <w:t xml:space="preserve"> </w:t>
      </w:r>
      <w:r w:rsidRPr="000977F7">
        <w:rPr>
          <w:rFonts w:asciiTheme="majorHAnsi" w:hAnsiTheme="majorHAnsi"/>
          <w:sz w:val="20"/>
          <w:szCs w:val="20"/>
        </w:rPr>
        <w:t>дотримати</w:t>
      </w:r>
      <w:r w:rsidRPr="000977F7">
        <w:rPr>
          <w:rFonts w:asciiTheme="majorHAnsi" w:hAnsiTheme="majorHAnsi"/>
          <w:spacing w:val="13"/>
          <w:sz w:val="20"/>
          <w:szCs w:val="20"/>
        </w:rPr>
        <w:t xml:space="preserve"> </w:t>
      </w:r>
      <w:r w:rsidRPr="000977F7">
        <w:rPr>
          <w:rFonts w:asciiTheme="majorHAnsi" w:hAnsiTheme="majorHAnsi"/>
          <w:sz w:val="20"/>
          <w:szCs w:val="20"/>
        </w:rPr>
        <w:t>ли</w:t>
      </w:r>
      <w:r w:rsidRPr="000977F7">
        <w:rPr>
          <w:rFonts w:asciiTheme="majorHAnsi" w:hAnsiTheme="majorHAnsi"/>
          <w:spacing w:val="-47"/>
          <w:sz w:val="20"/>
          <w:szCs w:val="20"/>
        </w:rPr>
        <w:t xml:space="preserve"> </w:t>
      </w:r>
      <w:r w:rsidRPr="000977F7">
        <w:rPr>
          <w:rFonts w:asciiTheme="majorHAnsi" w:hAnsiTheme="majorHAnsi"/>
          <w:sz w:val="20"/>
          <w:szCs w:val="20"/>
        </w:rPr>
        <w:t>ше</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разі</w:t>
      </w:r>
      <w:r w:rsidRPr="000977F7">
        <w:rPr>
          <w:rFonts w:asciiTheme="majorHAnsi" w:hAnsiTheme="majorHAnsi"/>
          <w:spacing w:val="-1"/>
          <w:sz w:val="20"/>
          <w:szCs w:val="20"/>
        </w:rPr>
        <w:t xml:space="preserve"> </w:t>
      </w:r>
      <w:r w:rsidRPr="000977F7">
        <w:rPr>
          <w:rFonts w:asciiTheme="majorHAnsi" w:hAnsiTheme="majorHAnsi"/>
          <w:sz w:val="20"/>
          <w:szCs w:val="20"/>
        </w:rPr>
        <w:t>її прийнятності</w:t>
      </w:r>
    </w:p>
    <w:p w14:paraId="2E94235A"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i/>
          <w:iCs/>
          <w:sz w:val="20"/>
          <w:szCs w:val="20"/>
          <w:lang w:eastAsia="ru-RU"/>
        </w:rPr>
      </w:pPr>
      <w:r w:rsidRPr="000977F7">
        <w:rPr>
          <w:rFonts w:asciiTheme="majorHAnsi" w:hAnsiTheme="majorHAnsi"/>
          <w:i/>
          <w:iCs/>
          <w:sz w:val="20"/>
          <w:szCs w:val="20"/>
          <w:lang w:eastAsia="ru-RU"/>
        </w:rPr>
        <w:t xml:space="preserve">ДСТУ ISO/IEC 17000:2007 </w:t>
      </w:r>
    </w:p>
    <w:p w14:paraId="041D0213"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ВИМОГА ЩОДО ЯКОСТІ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67E5463A"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QUALITY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REQUIREMENT</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61C4092B"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sz w:val="20"/>
          <w:szCs w:val="20"/>
        </w:rPr>
        <w:t>Вимога</w:t>
      </w:r>
      <w:r w:rsidRPr="004D2D14">
        <w:rPr>
          <w:rFonts w:asciiTheme="majorHAnsi" w:hAnsiTheme="majorHAnsi"/>
          <w:sz w:val="20"/>
          <w:szCs w:val="20"/>
          <w:lang w:val="en-US"/>
        </w:rPr>
        <w:t xml:space="preserve">, </w:t>
      </w:r>
      <w:r w:rsidRPr="000977F7">
        <w:rPr>
          <w:rFonts w:asciiTheme="majorHAnsi" w:hAnsiTheme="majorHAnsi"/>
          <w:sz w:val="20"/>
          <w:szCs w:val="20"/>
        </w:rPr>
        <w:t>пов</w:t>
      </w:r>
      <w:r w:rsidRPr="004D2D14">
        <w:rPr>
          <w:rFonts w:asciiTheme="majorHAnsi" w:hAnsiTheme="majorHAnsi"/>
          <w:sz w:val="20"/>
          <w:szCs w:val="20"/>
          <w:lang w:val="en-US"/>
        </w:rPr>
        <w:t>’</w:t>
      </w:r>
      <w:r w:rsidRPr="000977F7">
        <w:rPr>
          <w:rFonts w:asciiTheme="majorHAnsi" w:hAnsiTheme="majorHAnsi"/>
          <w:sz w:val="20"/>
          <w:szCs w:val="20"/>
        </w:rPr>
        <w:t>язана</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якістю</w:t>
      </w:r>
    </w:p>
    <w:p w14:paraId="38A0984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03FDC31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ВИМОГИ БЕЗПЕКИ ДЛЯ ЗДОРОВ'Я І ЖИТТЯ ЛЮДИНИ –</w:t>
      </w:r>
    </w:p>
    <w:p w14:paraId="39321C27"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Розроблені на основі медичної науки критерії, показники, гранично допустимі межі, санітарно-епідеміологічні нормативи, правила, норми, регламенти тощо (медичні вимоги щодо безпеки для здоров'я і життя людини), розроблення, обґрунтування, контроль і нагляд за якими відноситься виключно до медичної професійної компетенції</w:t>
      </w:r>
    </w:p>
    <w:p w14:paraId="526ED2FE"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забезпечення санітарного та епідемічного благополуччя населення"</w:t>
      </w:r>
    </w:p>
    <w:p w14:paraId="00A1376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ВИМОГИ</w:t>
      </w:r>
      <w:r w:rsidRPr="000977F7">
        <w:rPr>
          <w:color w:val="auto"/>
          <w:spacing w:val="-4"/>
          <w:sz w:val="20"/>
          <w:szCs w:val="20"/>
        </w:rPr>
        <w:t xml:space="preserve"> </w:t>
      </w:r>
      <w:r w:rsidRPr="000977F7">
        <w:rPr>
          <w:color w:val="auto"/>
          <w:sz w:val="20"/>
          <w:szCs w:val="20"/>
        </w:rPr>
        <w:t>ДО</w:t>
      </w:r>
      <w:r w:rsidRPr="000977F7">
        <w:rPr>
          <w:color w:val="auto"/>
          <w:spacing w:val="-4"/>
          <w:sz w:val="20"/>
          <w:szCs w:val="20"/>
        </w:rPr>
        <w:t xml:space="preserve"> </w:t>
      </w:r>
      <w:r w:rsidRPr="000977F7">
        <w:rPr>
          <w:color w:val="auto"/>
          <w:sz w:val="20"/>
          <w:szCs w:val="20"/>
        </w:rPr>
        <w:t>ЕКОЛОГІЧНОГО</w:t>
      </w:r>
      <w:r w:rsidRPr="000977F7">
        <w:rPr>
          <w:color w:val="auto"/>
          <w:spacing w:val="-3"/>
          <w:sz w:val="20"/>
          <w:szCs w:val="20"/>
        </w:rPr>
        <w:t xml:space="preserve"> </w:t>
      </w:r>
      <w:r w:rsidRPr="000977F7">
        <w:rPr>
          <w:color w:val="auto"/>
          <w:sz w:val="20"/>
          <w:szCs w:val="20"/>
        </w:rPr>
        <w:t>АУДИТУ</w:t>
      </w:r>
      <w:r w:rsidRPr="000977F7">
        <w:rPr>
          <w:color w:val="auto"/>
          <w:spacing w:val="-3"/>
          <w:sz w:val="20"/>
          <w:szCs w:val="20"/>
        </w:rPr>
        <w:t xml:space="preserve"> </w:t>
      </w:r>
      <w:r w:rsidRPr="000977F7">
        <w:rPr>
          <w:color w:val="auto"/>
          <w:sz w:val="20"/>
          <w:szCs w:val="20"/>
        </w:rPr>
        <w:t>–</w:t>
      </w:r>
    </w:p>
    <w:p w14:paraId="43D7888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Екологічний аудит повинен бути спрямований на</w:t>
      </w:r>
      <w:r w:rsidRPr="000977F7">
        <w:rPr>
          <w:rFonts w:asciiTheme="majorHAnsi" w:hAnsiTheme="majorHAnsi"/>
          <w:spacing w:val="1"/>
          <w:sz w:val="20"/>
          <w:szCs w:val="20"/>
        </w:rPr>
        <w:t xml:space="preserve"> </w:t>
      </w:r>
      <w:r w:rsidRPr="000977F7">
        <w:rPr>
          <w:rFonts w:asciiTheme="majorHAnsi" w:hAnsiTheme="majorHAnsi"/>
          <w:sz w:val="20"/>
          <w:szCs w:val="20"/>
        </w:rPr>
        <w:t>чітко визначений і документально оформлений предмет. Сторона(и), відповідальна за цей предмет, також</w:t>
      </w:r>
      <w:r w:rsidRPr="000977F7">
        <w:rPr>
          <w:rFonts w:asciiTheme="majorHAnsi" w:hAnsiTheme="majorHAnsi"/>
          <w:spacing w:val="1"/>
          <w:sz w:val="20"/>
          <w:szCs w:val="20"/>
        </w:rPr>
        <w:t xml:space="preserve"> </w:t>
      </w:r>
      <w:r w:rsidRPr="000977F7">
        <w:rPr>
          <w:rFonts w:asciiTheme="majorHAnsi" w:hAnsiTheme="majorHAnsi"/>
          <w:sz w:val="20"/>
          <w:szCs w:val="20"/>
        </w:rPr>
        <w:t>повинна бути чітко ідентифікована, а її статус документований.</w:t>
      </w:r>
    </w:p>
    <w:p w14:paraId="3E9D13D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здійснення</w:t>
      </w:r>
      <w:r w:rsidRPr="000977F7">
        <w:rPr>
          <w:rFonts w:asciiTheme="majorHAnsi" w:hAnsiTheme="majorHAnsi"/>
          <w:spacing w:val="1"/>
          <w:sz w:val="20"/>
          <w:szCs w:val="20"/>
        </w:rPr>
        <w:t xml:space="preserve"> </w:t>
      </w:r>
      <w:r w:rsidRPr="000977F7">
        <w:rPr>
          <w:rFonts w:asciiTheme="majorHAnsi" w:hAnsiTheme="majorHAnsi"/>
          <w:sz w:val="20"/>
          <w:szCs w:val="20"/>
        </w:rPr>
        <w:t>аудиту слід</w:t>
      </w:r>
      <w:r w:rsidRPr="000977F7">
        <w:rPr>
          <w:rFonts w:asciiTheme="majorHAnsi" w:hAnsiTheme="majorHAnsi"/>
          <w:spacing w:val="1"/>
          <w:sz w:val="20"/>
          <w:szCs w:val="20"/>
        </w:rPr>
        <w:t xml:space="preserve"> </w:t>
      </w:r>
      <w:r w:rsidRPr="000977F7">
        <w:rPr>
          <w:rFonts w:asciiTheme="majorHAnsi" w:hAnsiTheme="majorHAnsi"/>
          <w:sz w:val="20"/>
          <w:szCs w:val="20"/>
        </w:rPr>
        <w:t>приступати тільки</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умови, якщо, після консультації з замовником, провідний</w:t>
      </w:r>
      <w:r w:rsidRPr="000977F7">
        <w:rPr>
          <w:rFonts w:asciiTheme="majorHAnsi" w:hAnsiTheme="majorHAnsi"/>
          <w:spacing w:val="-2"/>
          <w:sz w:val="20"/>
          <w:szCs w:val="20"/>
        </w:rPr>
        <w:t xml:space="preserve"> </w:t>
      </w:r>
      <w:r w:rsidRPr="000977F7">
        <w:rPr>
          <w:rFonts w:asciiTheme="majorHAnsi" w:hAnsiTheme="majorHAnsi"/>
          <w:sz w:val="20"/>
          <w:szCs w:val="20"/>
        </w:rPr>
        <w:t>аудитор</w:t>
      </w:r>
      <w:r w:rsidRPr="000977F7">
        <w:rPr>
          <w:rFonts w:asciiTheme="majorHAnsi" w:hAnsiTheme="majorHAnsi"/>
          <w:spacing w:val="1"/>
          <w:sz w:val="20"/>
          <w:szCs w:val="20"/>
        </w:rPr>
        <w:t xml:space="preserve"> </w:t>
      </w:r>
      <w:r w:rsidRPr="000977F7">
        <w:rPr>
          <w:rFonts w:asciiTheme="majorHAnsi" w:hAnsiTheme="majorHAnsi"/>
          <w:sz w:val="20"/>
          <w:szCs w:val="20"/>
        </w:rPr>
        <w:t>підтвердив,</w:t>
      </w:r>
      <w:r w:rsidRPr="000977F7">
        <w:rPr>
          <w:rFonts w:asciiTheme="majorHAnsi" w:hAnsiTheme="majorHAnsi"/>
          <w:spacing w:val="-1"/>
          <w:sz w:val="20"/>
          <w:szCs w:val="20"/>
        </w:rPr>
        <w:t xml:space="preserve"> </w:t>
      </w:r>
      <w:r w:rsidRPr="000977F7">
        <w:rPr>
          <w:rFonts w:asciiTheme="majorHAnsi" w:hAnsiTheme="majorHAnsi"/>
          <w:sz w:val="20"/>
          <w:szCs w:val="20"/>
        </w:rPr>
        <w:t>що:</w:t>
      </w:r>
    </w:p>
    <w:p w14:paraId="2B0EBC8E" w14:textId="77777777" w:rsidR="0097612F" w:rsidRPr="000977F7" w:rsidRDefault="0097612F" w:rsidP="00FD39A4">
      <w:pPr>
        <w:pStyle w:val="ac"/>
        <w:widowControl w:val="0"/>
        <w:numPr>
          <w:ilvl w:val="0"/>
          <w:numId w:val="209"/>
        </w:numPr>
        <w:tabs>
          <w:tab w:val="left" w:pos="284"/>
          <w:tab w:val="left" w:pos="48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є достатня і належна інформація про предмет аудиту;</w:t>
      </w:r>
    </w:p>
    <w:p w14:paraId="6F6455D2" w14:textId="77777777" w:rsidR="0097612F" w:rsidRPr="000977F7" w:rsidRDefault="0097612F" w:rsidP="00FD39A4">
      <w:pPr>
        <w:pStyle w:val="ac"/>
        <w:widowControl w:val="0"/>
        <w:numPr>
          <w:ilvl w:val="0"/>
          <w:numId w:val="209"/>
        </w:numPr>
        <w:tabs>
          <w:tab w:val="left" w:pos="284"/>
          <w:tab w:val="left" w:pos="47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є</w:t>
      </w:r>
      <w:r w:rsidRPr="000977F7">
        <w:rPr>
          <w:rFonts w:asciiTheme="majorHAnsi" w:hAnsiTheme="majorHAnsi"/>
          <w:spacing w:val="2"/>
          <w:sz w:val="20"/>
          <w:szCs w:val="20"/>
        </w:rPr>
        <w:t xml:space="preserve"> </w:t>
      </w:r>
      <w:r w:rsidRPr="000977F7">
        <w:rPr>
          <w:rFonts w:asciiTheme="majorHAnsi" w:hAnsiTheme="majorHAnsi"/>
          <w:sz w:val="20"/>
          <w:szCs w:val="20"/>
        </w:rPr>
        <w:t>адекватні</w:t>
      </w:r>
      <w:r w:rsidRPr="000977F7">
        <w:rPr>
          <w:rFonts w:asciiTheme="majorHAnsi" w:hAnsiTheme="majorHAnsi"/>
          <w:spacing w:val="2"/>
          <w:sz w:val="20"/>
          <w:szCs w:val="20"/>
        </w:rPr>
        <w:t xml:space="preserve"> </w:t>
      </w:r>
      <w:r w:rsidRPr="000977F7">
        <w:rPr>
          <w:rFonts w:asciiTheme="majorHAnsi" w:hAnsiTheme="majorHAnsi"/>
          <w:sz w:val="20"/>
          <w:szCs w:val="20"/>
        </w:rPr>
        <w:t>ресурси</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здійснення</w:t>
      </w:r>
      <w:r w:rsidRPr="000977F7">
        <w:rPr>
          <w:rFonts w:asciiTheme="majorHAnsi" w:hAnsiTheme="majorHAnsi"/>
          <w:spacing w:val="4"/>
          <w:sz w:val="20"/>
          <w:szCs w:val="20"/>
        </w:rPr>
        <w:t xml:space="preserve"> </w:t>
      </w:r>
      <w:r w:rsidRPr="000977F7">
        <w:rPr>
          <w:rFonts w:asciiTheme="majorHAnsi" w:hAnsiTheme="majorHAnsi"/>
          <w:sz w:val="20"/>
          <w:szCs w:val="20"/>
        </w:rPr>
        <w:t>процесу аудиту;</w:t>
      </w:r>
    </w:p>
    <w:p w14:paraId="773D4901" w14:textId="77777777" w:rsidR="0097612F" w:rsidRPr="000977F7" w:rsidRDefault="0097612F" w:rsidP="00FD39A4">
      <w:pPr>
        <w:pStyle w:val="ac"/>
        <w:widowControl w:val="0"/>
        <w:numPr>
          <w:ilvl w:val="0"/>
          <w:numId w:val="209"/>
        </w:numPr>
        <w:tabs>
          <w:tab w:val="left" w:pos="284"/>
          <w:tab w:val="left" w:pos="4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об'єкт</w:t>
      </w:r>
      <w:r w:rsidRPr="000977F7">
        <w:rPr>
          <w:rFonts w:asciiTheme="majorHAnsi" w:hAnsiTheme="majorHAnsi"/>
          <w:spacing w:val="-5"/>
          <w:sz w:val="20"/>
          <w:szCs w:val="20"/>
        </w:rPr>
        <w:t xml:space="preserve"> </w:t>
      </w:r>
      <w:r w:rsidRPr="000977F7">
        <w:rPr>
          <w:rFonts w:asciiTheme="majorHAnsi" w:hAnsiTheme="majorHAnsi"/>
          <w:sz w:val="20"/>
          <w:szCs w:val="20"/>
        </w:rPr>
        <w:t>аудиту</w:t>
      </w:r>
      <w:r w:rsidRPr="000977F7">
        <w:rPr>
          <w:rFonts w:asciiTheme="majorHAnsi" w:hAnsiTheme="majorHAnsi"/>
          <w:spacing w:val="-4"/>
          <w:sz w:val="20"/>
          <w:szCs w:val="20"/>
        </w:rPr>
        <w:t xml:space="preserve"> </w:t>
      </w:r>
      <w:r w:rsidRPr="000977F7">
        <w:rPr>
          <w:rFonts w:asciiTheme="majorHAnsi" w:hAnsiTheme="majorHAnsi"/>
          <w:sz w:val="20"/>
          <w:szCs w:val="20"/>
        </w:rPr>
        <w:t>готовий</w:t>
      </w:r>
      <w:r w:rsidRPr="000977F7">
        <w:rPr>
          <w:rFonts w:asciiTheme="majorHAnsi" w:hAnsiTheme="majorHAnsi"/>
          <w:spacing w:val="-4"/>
          <w:sz w:val="20"/>
          <w:szCs w:val="20"/>
        </w:rPr>
        <w:t xml:space="preserve"> </w:t>
      </w:r>
      <w:r w:rsidRPr="000977F7">
        <w:rPr>
          <w:rFonts w:asciiTheme="majorHAnsi" w:hAnsiTheme="majorHAnsi"/>
          <w:sz w:val="20"/>
          <w:szCs w:val="20"/>
        </w:rPr>
        <w:t>сприяти</w:t>
      </w:r>
      <w:r w:rsidRPr="000977F7">
        <w:rPr>
          <w:rFonts w:asciiTheme="majorHAnsi" w:hAnsiTheme="majorHAnsi"/>
          <w:spacing w:val="-2"/>
          <w:sz w:val="20"/>
          <w:szCs w:val="20"/>
        </w:rPr>
        <w:t xml:space="preserve"> </w:t>
      </w:r>
      <w:r w:rsidRPr="000977F7">
        <w:rPr>
          <w:rFonts w:asciiTheme="majorHAnsi" w:hAnsiTheme="majorHAnsi"/>
          <w:sz w:val="20"/>
          <w:szCs w:val="20"/>
        </w:rPr>
        <w:t>процесу</w:t>
      </w:r>
      <w:r w:rsidRPr="000977F7">
        <w:rPr>
          <w:rFonts w:asciiTheme="majorHAnsi" w:hAnsiTheme="majorHAnsi"/>
          <w:spacing w:val="-7"/>
          <w:sz w:val="20"/>
          <w:szCs w:val="20"/>
        </w:rPr>
        <w:t xml:space="preserve"> </w:t>
      </w:r>
      <w:r w:rsidRPr="000977F7">
        <w:rPr>
          <w:rFonts w:asciiTheme="majorHAnsi" w:hAnsiTheme="majorHAnsi"/>
          <w:sz w:val="20"/>
          <w:szCs w:val="20"/>
        </w:rPr>
        <w:t>аудиту.</w:t>
      </w:r>
    </w:p>
    <w:p w14:paraId="0526A4F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14001:2015</w:t>
      </w:r>
    </w:p>
    <w:p w14:paraId="3693B6C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ВИМОГИ ДО СИСТЕМИ УПРАВЛІННЯ </w:t>
      </w:r>
    </w:p>
    <w:p w14:paraId="5BD8C83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w:t>
      </w:r>
      <w:r w:rsidRPr="000977F7">
        <w:rPr>
          <w:color w:val="auto"/>
          <w:spacing w:val="-47"/>
          <w:sz w:val="20"/>
          <w:szCs w:val="20"/>
        </w:rPr>
        <w:t xml:space="preserve"> </w:t>
      </w:r>
      <w:r w:rsidRPr="000977F7">
        <w:rPr>
          <w:color w:val="auto"/>
          <w:sz w:val="20"/>
          <w:szCs w:val="20"/>
        </w:rPr>
        <w:t>ВКОЛИШНІМ</w:t>
      </w:r>
      <w:r w:rsidRPr="000977F7">
        <w:rPr>
          <w:color w:val="auto"/>
          <w:spacing w:val="3"/>
          <w:sz w:val="20"/>
          <w:szCs w:val="20"/>
        </w:rPr>
        <w:t xml:space="preserve"> </w:t>
      </w:r>
      <w:r w:rsidRPr="000977F7">
        <w:rPr>
          <w:color w:val="auto"/>
          <w:sz w:val="20"/>
          <w:szCs w:val="20"/>
        </w:rPr>
        <w:t>СЕРЕДОВИЩЕМ</w:t>
      </w:r>
      <w:r w:rsidRPr="000977F7">
        <w:rPr>
          <w:color w:val="auto"/>
          <w:spacing w:val="3"/>
          <w:sz w:val="20"/>
          <w:szCs w:val="20"/>
        </w:rPr>
        <w:t xml:space="preserve"> </w:t>
      </w:r>
      <w:r w:rsidRPr="000977F7">
        <w:rPr>
          <w:color w:val="auto"/>
          <w:sz w:val="20"/>
          <w:szCs w:val="20"/>
        </w:rPr>
        <w:t>–</w:t>
      </w:r>
    </w:p>
    <w:p w14:paraId="2685B57B" w14:textId="77777777" w:rsidR="0097612F" w:rsidRPr="000977F7" w:rsidRDefault="0097612F" w:rsidP="00FD39A4">
      <w:pPr>
        <w:pStyle w:val="ac"/>
        <w:widowControl w:val="0"/>
        <w:numPr>
          <w:ilvl w:val="0"/>
          <w:numId w:val="208"/>
        </w:numPr>
        <w:tabs>
          <w:tab w:val="left" w:pos="284"/>
          <w:tab w:val="left" w:pos="644"/>
        </w:tabs>
        <w:autoSpaceDE w:val="0"/>
        <w:autoSpaceDN w:val="0"/>
        <w:spacing w:after="0" w:line="240" w:lineRule="auto"/>
        <w:ind w:left="170" w:firstLine="0"/>
        <w:contextualSpacing w:val="0"/>
        <w:mirrorIndents/>
        <w:jc w:val="both"/>
        <w:rPr>
          <w:rFonts w:asciiTheme="majorHAnsi" w:hAnsiTheme="majorHAnsi"/>
          <w:b/>
          <w:sz w:val="20"/>
          <w:szCs w:val="20"/>
        </w:rPr>
      </w:pPr>
      <w:r w:rsidRPr="000977F7">
        <w:rPr>
          <w:rFonts w:asciiTheme="majorHAnsi" w:hAnsiTheme="majorHAnsi"/>
          <w:b/>
          <w:sz w:val="20"/>
          <w:szCs w:val="20"/>
        </w:rPr>
        <w:t>Загальні</w:t>
      </w:r>
      <w:r w:rsidRPr="000977F7">
        <w:rPr>
          <w:rFonts w:asciiTheme="majorHAnsi" w:hAnsiTheme="majorHAnsi"/>
          <w:b/>
          <w:spacing w:val="-4"/>
          <w:sz w:val="20"/>
          <w:szCs w:val="20"/>
        </w:rPr>
        <w:t xml:space="preserve"> </w:t>
      </w:r>
      <w:r w:rsidRPr="000977F7">
        <w:rPr>
          <w:rFonts w:asciiTheme="majorHAnsi" w:hAnsiTheme="majorHAnsi"/>
          <w:b/>
          <w:sz w:val="20"/>
          <w:szCs w:val="20"/>
        </w:rPr>
        <w:t>вимоги</w:t>
      </w:r>
    </w:p>
    <w:p w14:paraId="728FFEC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Організації слід створити систему управління навколишнім середовищем, вимоги до якої наведені в</w:t>
      </w:r>
      <w:r w:rsidRPr="000977F7">
        <w:rPr>
          <w:rFonts w:asciiTheme="majorHAnsi" w:hAnsiTheme="majorHAnsi"/>
          <w:spacing w:val="1"/>
          <w:sz w:val="20"/>
          <w:szCs w:val="20"/>
        </w:rPr>
        <w:t xml:space="preserve"> </w:t>
      </w:r>
      <w:r w:rsidRPr="000977F7">
        <w:rPr>
          <w:rFonts w:asciiTheme="majorHAnsi" w:hAnsiTheme="majorHAnsi"/>
          <w:sz w:val="20"/>
          <w:szCs w:val="20"/>
        </w:rPr>
        <w:t>цій</w:t>
      </w:r>
      <w:r w:rsidRPr="000977F7">
        <w:rPr>
          <w:rFonts w:asciiTheme="majorHAnsi" w:hAnsiTheme="majorHAnsi"/>
          <w:spacing w:val="-2"/>
          <w:sz w:val="20"/>
          <w:szCs w:val="20"/>
        </w:rPr>
        <w:t xml:space="preserve"> </w:t>
      </w:r>
      <w:r w:rsidRPr="000977F7">
        <w:rPr>
          <w:rFonts w:asciiTheme="majorHAnsi" w:hAnsiTheme="majorHAnsi"/>
          <w:sz w:val="20"/>
          <w:szCs w:val="20"/>
        </w:rPr>
        <w:t>статті</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забезпечити</w:t>
      </w:r>
      <w:r w:rsidRPr="000977F7">
        <w:rPr>
          <w:rFonts w:asciiTheme="majorHAnsi" w:hAnsiTheme="majorHAnsi"/>
          <w:spacing w:val="-2"/>
          <w:sz w:val="20"/>
          <w:szCs w:val="20"/>
        </w:rPr>
        <w:t xml:space="preserve"> </w:t>
      </w:r>
      <w:r w:rsidRPr="000977F7">
        <w:rPr>
          <w:rFonts w:asciiTheme="majorHAnsi" w:hAnsiTheme="majorHAnsi"/>
          <w:sz w:val="20"/>
          <w:szCs w:val="20"/>
        </w:rPr>
        <w:t>її</w:t>
      </w:r>
      <w:r w:rsidRPr="000977F7">
        <w:rPr>
          <w:rFonts w:asciiTheme="majorHAnsi" w:hAnsiTheme="majorHAnsi"/>
          <w:spacing w:val="2"/>
          <w:sz w:val="20"/>
          <w:szCs w:val="20"/>
        </w:rPr>
        <w:t xml:space="preserve"> </w:t>
      </w:r>
      <w:r w:rsidRPr="000977F7">
        <w:rPr>
          <w:rFonts w:asciiTheme="majorHAnsi" w:hAnsiTheme="majorHAnsi"/>
          <w:sz w:val="20"/>
          <w:szCs w:val="20"/>
        </w:rPr>
        <w:t>функціонування.</w:t>
      </w:r>
    </w:p>
    <w:p w14:paraId="192F1DD9" w14:textId="77777777" w:rsidR="0097612F" w:rsidRPr="000977F7" w:rsidRDefault="0097612F" w:rsidP="00FD39A4">
      <w:pPr>
        <w:pStyle w:val="7"/>
        <w:keepNext w:val="0"/>
        <w:keepLines w:val="0"/>
        <w:widowControl w:val="0"/>
        <w:numPr>
          <w:ilvl w:val="0"/>
          <w:numId w:val="208"/>
        </w:numPr>
        <w:tabs>
          <w:tab w:val="left" w:pos="284"/>
          <w:tab w:val="left" w:pos="644"/>
        </w:tabs>
        <w:autoSpaceDE w:val="0"/>
        <w:autoSpaceDN w:val="0"/>
        <w:spacing w:before="0" w:line="240" w:lineRule="auto"/>
        <w:ind w:left="170" w:firstLine="0"/>
        <w:mirrorIndents/>
        <w:jc w:val="both"/>
        <w:rPr>
          <w:color w:val="auto"/>
          <w:sz w:val="20"/>
          <w:szCs w:val="20"/>
        </w:rPr>
      </w:pPr>
      <w:r w:rsidRPr="000977F7">
        <w:rPr>
          <w:color w:val="auto"/>
          <w:sz w:val="20"/>
          <w:szCs w:val="20"/>
        </w:rPr>
        <w:t>Екологічна</w:t>
      </w:r>
      <w:r w:rsidRPr="000977F7">
        <w:rPr>
          <w:color w:val="auto"/>
          <w:spacing w:val="-4"/>
          <w:sz w:val="20"/>
          <w:szCs w:val="20"/>
        </w:rPr>
        <w:t xml:space="preserve"> </w:t>
      </w:r>
      <w:r w:rsidRPr="000977F7">
        <w:rPr>
          <w:color w:val="auto"/>
          <w:sz w:val="20"/>
          <w:szCs w:val="20"/>
        </w:rPr>
        <w:t>політика</w:t>
      </w:r>
    </w:p>
    <w:p w14:paraId="3F98CE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Вище керівництво повинно визначити екологічну</w:t>
      </w:r>
      <w:r w:rsidRPr="000977F7">
        <w:rPr>
          <w:rFonts w:asciiTheme="majorHAnsi" w:hAnsiTheme="majorHAnsi"/>
          <w:spacing w:val="1"/>
          <w:sz w:val="20"/>
          <w:szCs w:val="20"/>
        </w:rPr>
        <w:t xml:space="preserve"> </w:t>
      </w:r>
      <w:r w:rsidRPr="000977F7">
        <w:rPr>
          <w:rFonts w:asciiTheme="majorHAnsi" w:hAnsiTheme="majorHAnsi"/>
          <w:sz w:val="20"/>
          <w:szCs w:val="20"/>
        </w:rPr>
        <w:t>політику</w:t>
      </w:r>
      <w:r w:rsidRPr="000977F7">
        <w:rPr>
          <w:rFonts w:asciiTheme="majorHAnsi" w:hAnsiTheme="majorHAnsi"/>
          <w:spacing w:val="-5"/>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забезпечити, щоб</w:t>
      </w:r>
      <w:r w:rsidRPr="000977F7">
        <w:rPr>
          <w:rFonts w:asciiTheme="majorHAnsi" w:hAnsiTheme="majorHAnsi"/>
          <w:spacing w:val="1"/>
          <w:sz w:val="20"/>
          <w:szCs w:val="20"/>
        </w:rPr>
        <w:t xml:space="preserve"> </w:t>
      </w:r>
      <w:r w:rsidRPr="000977F7">
        <w:rPr>
          <w:rFonts w:asciiTheme="majorHAnsi" w:hAnsiTheme="majorHAnsi"/>
          <w:sz w:val="20"/>
          <w:szCs w:val="20"/>
        </w:rPr>
        <w:t>вона:</w:t>
      </w:r>
    </w:p>
    <w:p w14:paraId="64422E1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відповідала характеру, сфері та величині впливу</w:t>
      </w:r>
      <w:r w:rsidRPr="000977F7">
        <w:rPr>
          <w:rFonts w:asciiTheme="majorHAnsi" w:hAnsiTheme="majorHAnsi"/>
          <w:spacing w:val="1"/>
          <w:sz w:val="20"/>
          <w:szCs w:val="20"/>
        </w:rPr>
        <w:t xml:space="preserve"> </w:t>
      </w:r>
      <w:r w:rsidRPr="000977F7">
        <w:rPr>
          <w:rFonts w:asciiTheme="majorHAnsi" w:hAnsiTheme="majorHAnsi"/>
          <w:sz w:val="20"/>
          <w:szCs w:val="20"/>
        </w:rPr>
        <w:t>на навколишнє середовище діяльності, продукції чи</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r w:rsidRPr="000977F7">
        <w:rPr>
          <w:rFonts w:asciiTheme="majorHAnsi" w:hAnsiTheme="majorHAnsi"/>
          <w:spacing w:val="-2"/>
          <w:sz w:val="20"/>
          <w:szCs w:val="20"/>
        </w:rPr>
        <w:t xml:space="preserve"> </w:t>
      </w:r>
      <w:r w:rsidRPr="000977F7">
        <w:rPr>
          <w:rFonts w:asciiTheme="majorHAnsi" w:hAnsiTheme="majorHAnsi"/>
          <w:sz w:val="20"/>
          <w:szCs w:val="20"/>
        </w:rPr>
        <w:t>організації;</w:t>
      </w:r>
    </w:p>
    <w:p w14:paraId="59EF1B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 включала заходи щодо постійного вдосконалення</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запобігання</w:t>
      </w:r>
      <w:r w:rsidRPr="000977F7">
        <w:rPr>
          <w:rFonts w:asciiTheme="majorHAnsi" w:hAnsiTheme="majorHAnsi"/>
          <w:spacing w:val="-1"/>
          <w:sz w:val="20"/>
          <w:szCs w:val="20"/>
        </w:rPr>
        <w:t xml:space="preserve"> </w:t>
      </w:r>
      <w:r w:rsidRPr="000977F7">
        <w:rPr>
          <w:rFonts w:asciiTheme="majorHAnsi" w:hAnsiTheme="majorHAnsi"/>
          <w:sz w:val="20"/>
          <w:szCs w:val="20"/>
        </w:rPr>
        <w:t>забрудненню;</w:t>
      </w:r>
    </w:p>
    <w:p w14:paraId="44F41EA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 включала зобов'язання щодо дотримування вимог відповідного законодавства та інших вимог щодо  навколишнього середовища, які прийняла організація;</w:t>
      </w:r>
    </w:p>
    <w:p w14:paraId="644857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 передбачала наявність організаційної структури з визначення і перегляду екологічних цілей і завдань;</w:t>
      </w:r>
      <w:r w:rsidRPr="000977F7">
        <w:rPr>
          <w:rFonts w:asciiTheme="majorHAnsi" w:hAnsiTheme="majorHAnsi"/>
          <w:spacing w:val="1"/>
          <w:sz w:val="20"/>
          <w:szCs w:val="20"/>
        </w:rPr>
        <w:t xml:space="preserve"> </w:t>
      </w:r>
      <w:r w:rsidRPr="000977F7">
        <w:rPr>
          <w:rFonts w:asciiTheme="majorHAnsi" w:hAnsiTheme="majorHAnsi"/>
          <w:sz w:val="20"/>
          <w:szCs w:val="20"/>
        </w:rPr>
        <w:t>д)</w:t>
      </w:r>
      <w:r w:rsidRPr="000977F7">
        <w:rPr>
          <w:rFonts w:asciiTheme="majorHAnsi" w:hAnsiTheme="majorHAnsi"/>
          <w:spacing w:val="27"/>
          <w:sz w:val="20"/>
          <w:szCs w:val="20"/>
        </w:rPr>
        <w:t xml:space="preserve"> </w:t>
      </w:r>
      <w:r w:rsidRPr="000977F7">
        <w:rPr>
          <w:rFonts w:asciiTheme="majorHAnsi" w:hAnsiTheme="majorHAnsi"/>
          <w:sz w:val="20"/>
          <w:szCs w:val="20"/>
        </w:rPr>
        <w:t>була</w:t>
      </w:r>
      <w:r w:rsidRPr="000977F7">
        <w:rPr>
          <w:rFonts w:asciiTheme="majorHAnsi" w:hAnsiTheme="majorHAnsi"/>
          <w:spacing w:val="30"/>
          <w:sz w:val="20"/>
          <w:szCs w:val="20"/>
        </w:rPr>
        <w:t xml:space="preserve"> </w:t>
      </w:r>
      <w:r w:rsidRPr="000977F7">
        <w:rPr>
          <w:rFonts w:asciiTheme="majorHAnsi" w:hAnsiTheme="majorHAnsi"/>
          <w:sz w:val="20"/>
          <w:szCs w:val="20"/>
        </w:rPr>
        <w:t>документально</w:t>
      </w:r>
      <w:r w:rsidRPr="000977F7">
        <w:rPr>
          <w:rFonts w:asciiTheme="majorHAnsi" w:hAnsiTheme="majorHAnsi"/>
          <w:spacing w:val="28"/>
          <w:sz w:val="20"/>
          <w:szCs w:val="20"/>
        </w:rPr>
        <w:t xml:space="preserve"> </w:t>
      </w:r>
      <w:r w:rsidRPr="000977F7">
        <w:rPr>
          <w:rFonts w:asciiTheme="majorHAnsi" w:hAnsiTheme="majorHAnsi"/>
          <w:sz w:val="20"/>
          <w:szCs w:val="20"/>
        </w:rPr>
        <w:t>оформлена</w:t>
      </w:r>
      <w:r w:rsidRPr="000977F7">
        <w:rPr>
          <w:rFonts w:asciiTheme="majorHAnsi" w:hAnsiTheme="majorHAnsi"/>
          <w:spacing w:val="27"/>
          <w:sz w:val="20"/>
          <w:szCs w:val="20"/>
        </w:rPr>
        <w:t xml:space="preserve"> </w:t>
      </w:r>
      <w:r w:rsidRPr="000977F7">
        <w:rPr>
          <w:rFonts w:asciiTheme="majorHAnsi" w:hAnsiTheme="majorHAnsi"/>
          <w:sz w:val="20"/>
          <w:szCs w:val="20"/>
        </w:rPr>
        <w:t>та</w:t>
      </w:r>
      <w:r w:rsidRPr="000977F7">
        <w:rPr>
          <w:rFonts w:asciiTheme="majorHAnsi" w:hAnsiTheme="majorHAnsi"/>
          <w:spacing w:val="31"/>
          <w:sz w:val="20"/>
          <w:szCs w:val="20"/>
        </w:rPr>
        <w:t xml:space="preserve"> </w:t>
      </w:r>
      <w:r w:rsidRPr="000977F7">
        <w:rPr>
          <w:rFonts w:asciiTheme="majorHAnsi" w:hAnsiTheme="majorHAnsi"/>
          <w:sz w:val="20"/>
          <w:szCs w:val="20"/>
        </w:rPr>
        <w:t>відома</w:t>
      </w:r>
      <w:r w:rsidRPr="000977F7">
        <w:rPr>
          <w:rFonts w:asciiTheme="majorHAnsi" w:hAnsiTheme="majorHAnsi"/>
          <w:spacing w:val="27"/>
          <w:sz w:val="20"/>
          <w:szCs w:val="20"/>
        </w:rPr>
        <w:t xml:space="preserve"> </w:t>
      </w:r>
      <w:r w:rsidRPr="000977F7">
        <w:rPr>
          <w:rFonts w:asciiTheme="majorHAnsi" w:hAnsiTheme="majorHAnsi"/>
          <w:sz w:val="20"/>
          <w:szCs w:val="20"/>
        </w:rPr>
        <w:t>всім працівникам,</w:t>
      </w:r>
      <w:r w:rsidRPr="000977F7">
        <w:rPr>
          <w:rFonts w:asciiTheme="majorHAnsi" w:hAnsiTheme="majorHAnsi"/>
          <w:spacing w:val="13"/>
          <w:sz w:val="20"/>
          <w:szCs w:val="20"/>
        </w:rPr>
        <w:t xml:space="preserve"> </w:t>
      </w:r>
      <w:r w:rsidRPr="000977F7">
        <w:rPr>
          <w:rFonts w:asciiTheme="majorHAnsi" w:hAnsiTheme="majorHAnsi"/>
          <w:sz w:val="20"/>
          <w:szCs w:val="20"/>
        </w:rPr>
        <w:t>здійснювалася</w:t>
      </w:r>
      <w:r w:rsidRPr="000977F7">
        <w:rPr>
          <w:rFonts w:asciiTheme="majorHAnsi" w:hAnsiTheme="majorHAnsi"/>
          <w:spacing w:val="14"/>
          <w:sz w:val="20"/>
          <w:szCs w:val="20"/>
        </w:rPr>
        <w:t xml:space="preserve"> </w:t>
      </w:r>
      <w:r w:rsidRPr="000977F7">
        <w:rPr>
          <w:rFonts w:asciiTheme="majorHAnsi" w:hAnsiTheme="majorHAnsi"/>
          <w:sz w:val="20"/>
          <w:szCs w:val="20"/>
        </w:rPr>
        <w:t>та</w:t>
      </w:r>
      <w:r w:rsidRPr="000977F7">
        <w:rPr>
          <w:rFonts w:asciiTheme="majorHAnsi" w:hAnsiTheme="majorHAnsi"/>
          <w:spacing w:val="14"/>
          <w:sz w:val="20"/>
          <w:szCs w:val="20"/>
        </w:rPr>
        <w:t xml:space="preserve"> </w:t>
      </w:r>
      <w:r w:rsidRPr="000977F7">
        <w:rPr>
          <w:rFonts w:asciiTheme="majorHAnsi" w:hAnsiTheme="majorHAnsi"/>
          <w:sz w:val="20"/>
          <w:szCs w:val="20"/>
        </w:rPr>
        <w:t>мала</w:t>
      </w:r>
      <w:r w:rsidRPr="000977F7">
        <w:rPr>
          <w:rFonts w:asciiTheme="majorHAnsi" w:hAnsiTheme="majorHAnsi"/>
          <w:spacing w:val="13"/>
          <w:sz w:val="20"/>
          <w:szCs w:val="20"/>
        </w:rPr>
        <w:t xml:space="preserve"> </w:t>
      </w:r>
      <w:r w:rsidRPr="000977F7">
        <w:rPr>
          <w:rFonts w:asciiTheme="majorHAnsi" w:hAnsiTheme="majorHAnsi"/>
          <w:sz w:val="20"/>
          <w:szCs w:val="20"/>
        </w:rPr>
        <w:t>ресурсну</w:t>
      </w:r>
      <w:r w:rsidRPr="000977F7">
        <w:rPr>
          <w:rFonts w:asciiTheme="majorHAnsi" w:hAnsiTheme="majorHAnsi"/>
          <w:spacing w:val="11"/>
          <w:sz w:val="20"/>
          <w:szCs w:val="20"/>
        </w:rPr>
        <w:t xml:space="preserve"> </w:t>
      </w:r>
      <w:r w:rsidRPr="000977F7">
        <w:rPr>
          <w:rFonts w:asciiTheme="majorHAnsi" w:hAnsiTheme="majorHAnsi"/>
          <w:sz w:val="20"/>
          <w:szCs w:val="20"/>
        </w:rPr>
        <w:t>підтримку;</w:t>
      </w:r>
    </w:p>
    <w:p w14:paraId="4655FA4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w:t>
      </w:r>
      <w:r w:rsidRPr="000977F7">
        <w:rPr>
          <w:rFonts w:asciiTheme="majorHAnsi" w:hAnsiTheme="majorHAnsi"/>
          <w:spacing w:val="-2"/>
          <w:sz w:val="20"/>
          <w:szCs w:val="20"/>
        </w:rPr>
        <w:t xml:space="preserve"> </w:t>
      </w:r>
      <w:r w:rsidRPr="000977F7">
        <w:rPr>
          <w:rFonts w:asciiTheme="majorHAnsi" w:hAnsiTheme="majorHAnsi"/>
          <w:sz w:val="20"/>
          <w:szCs w:val="20"/>
        </w:rPr>
        <w:t>була</w:t>
      </w:r>
      <w:r w:rsidRPr="000977F7">
        <w:rPr>
          <w:rFonts w:asciiTheme="majorHAnsi" w:hAnsiTheme="majorHAnsi"/>
          <w:spacing w:val="-2"/>
          <w:sz w:val="20"/>
          <w:szCs w:val="20"/>
        </w:rPr>
        <w:t xml:space="preserve"> </w:t>
      </w:r>
      <w:r w:rsidRPr="000977F7">
        <w:rPr>
          <w:rFonts w:asciiTheme="majorHAnsi" w:hAnsiTheme="majorHAnsi"/>
          <w:sz w:val="20"/>
          <w:szCs w:val="20"/>
        </w:rPr>
        <w:t>доведена</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3"/>
          <w:sz w:val="20"/>
          <w:szCs w:val="20"/>
        </w:rPr>
        <w:t xml:space="preserve"> </w:t>
      </w:r>
      <w:r w:rsidRPr="000977F7">
        <w:rPr>
          <w:rFonts w:asciiTheme="majorHAnsi" w:hAnsiTheme="majorHAnsi"/>
          <w:sz w:val="20"/>
          <w:szCs w:val="20"/>
        </w:rPr>
        <w:t>відома</w:t>
      </w:r>
      <w:r w:rsidRPr="000977F7">
        <w:rPr>
          <w:rFonts w:asciiTheme="majorHAnsi" w:hAnsiTheme="majorHAnsi"/>
          <w:spacing w:val="-2"/>
          <w:sz w:val="20"/>
          <w:szCs w:val="20"/>
        </w:rPr>
        <w:t xml:space="preserve"> </w:t>
      </w:r>
      <w:r w:rsidRPr="000977F7">
        <w:rPr>
          <w:rFonts w:asciiTheme="majorHAnsi" w:hAnsiTheme="majorHAnsi"/>
          <w:sz w:val="20"/>
          <w:szCs w:val="20"/>
        </w:rPr>
        <w:t>громадськості.</w:t>
      </w:r>
    </w:p>
    <w:p w14:paraId="6B7034C3" w14:textId="77777777" w:rsidR="0097612F" w:rsidRPr="000977F7" w:rsidRDefault="0097612F" w:rsidP="00FD39A4">
      <w:pPr>
        <w:pStyle w:val="7"/>
        <w:keepNext w:val="0"/>
        <w:keepLines w:val="0"/>
        <w:widowControl w:val="0"/>
        <w:numPr>
          <w:ilvl w:val="0"/>
          <w:numId w:val="208"/>
        </w:numPr>
        <w:tabs>
          <w:tab w:val="left" w:pos="284"/>
          <w:tab w:val="left" w:pos="644"/>
        </w:tabs>
        <w:autoSpaceDE w:val="0"/>
        <w:autoSpaceDN w:val="0"/>
        <w:spacing w:before="0" w:line="240" w:lineRule="auto"/>
        <w:ind w:left="170" w:firstLine="0"/>
        <w:mirrorIndents/>
        <w:jc w:val="both"/>
        <w:rPr>
          <w:color w:val="auto"/>
          <w:sz w:val="20"/>
          <w:szCs w:val="20"/>
        </w:rPr>
      </w:pPr>
      <w:r w:rsidRPr="000977F7">
        <w:rPr>
          <w:color w:val="auto"/>
          <w:sz w:val="20"/>
          <w:szCs w:val="20"/>
        </w:rPr>
        <w:t>Планування</w:t>
      </w:r>
    </w:p>
    <w:p w14:paraId="4AA5000B" w14:textId="77777777" w:rsidR="0097612F" w:rsidRPr="000977F7" w:rsidRDefault="0097612F" w:rsidP="000977F7">
      <w:pPr>
        <w:tabs>
          <w:tab w:val="left" w:pos="284"/>
          <w:tab w:val="left" w:pos="798"/>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Екологічні</w:t>
      </w:r>
      <w:r w:rsidRPr="000977F7">
        <w:rPr>
          <w:rFonts w:asciiTheme="majorHAnsi" w:hAnsiTheme="majorHAnsi"/>
          <w:b/>
          <w:spacing w:val="-4"/>
          <w:sz w:val="20"/>
          <w:szCs w:val="20"/>
        </w:rPr>
        <w:t xml:space="preserve"> </w:t>
      </w:r>
      <w:r w:rsidRPr="000977F7">
        <w:rPr>
          <w:rFonts w:asciiTheme="majorHAnsi" w:hAnsiTheme="majorHAnsi"/>
          <w:b/>
          <w:sz w:val="20"/>
          <w:szCs w:val="20"/>
        </w:rPr>
        <w:t>аспекти</w:t>
      </w:r>
    </w:p>
    <w:p w14:paraId="36FF92B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Організації слід розробити і підтримувати в робочому стані методику(и) визначення екологічних аспектів своєї діяльності,</w:t>
      </w:r>
      <w:r w:rsidRPr="000977F7">
        <w:rPr>
          <w:rFonts w:asciiTheme="majorHAnsi" w:hAnsiTheme="majorHAnsi"/>
          <w:spacing w:val="1"/>
          <w:sz w:val="20"/>
          <w:szCs w:val="20"/>
        </w:rPr>
        <w:t xml:space="preserve"> </w:t>
      </w:r>
      <w:r w:rsidRPr="000977F7">
        <w:rPr>
          <w:rFonts w:asciiTheme="majorHAnsi" w:hAnsiTheme="majorHAnsi"/>
          <w:sz w:val="20"/>
          <w:szCs w:val="20"/>
        </w:rPr>
        <w:t>продукції чи послуг,</w:t>
      </w:r>
      <w:r w:rsidRPr="000977F7">
        <w:rPr>
          <w:rFonts w:asciiTheme="majorHAnsi" w:hAnsiTheme="majorHAnsi"/>
          <w:spacing w:val="1"/>
          <w:sz w:val="20"/>
          <w:szCs w:val="20"/>
        </w:rPr>
        <w:t xml:space="preserve"> </w:t>
      </w:r>
      <w:r w:rsidRPr="000977F7">
        <w:rPr>
          <w:rFonts w:asciiTheme="majorHAnsi" w:hAnsiTheme="majorHAnsi"/>
          <w:sz w:val="20"/>
          <w:szCs w:val="20"/>
        </w:rPr>
        <w:t>які вона</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контролювати</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регулювати</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метою</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встановлення тих аспектів, що мають або можуть мати значний</w:t>
      </w:r>
      <w:r w:rsidRPr="000977F7">
        <w:rPr>
          <w:rFonts w:asciiTheme="majorHAnsi" w:hAnsiTheme="majorHAnsi"/>
          <w:spacing w:val="1"/>
          <w:sz w:val="20"/>
          <w:szCs w:val="20"/>
        </w:rPr>
        <w:t xml:space="preserve"> </w:t>
      </w:r>
      <w:r w:rsidRPr="000977F7">
        <w:rPr>
          <w:rFonts w:asciiTheme="majorHAnsi" w:hAnsiTheme="majorHAnsi"/>
          <w:sz w:val="20"/>
          <w:szCs w:val="20"/>
        </w:rPr>
        <w:t>вплив</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навколишнє</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w:t>
      </w:r>
      <w:r w:rsidRPr="000977F7">
        <w:rPr>
          <w:rFonts w:asciiTheme="majorHAnsi" w:hAnsiTheme="majorHAnsi"/>
          <w:spacing w:val="50"/>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слід</w:t>
      </w:r>
      <w:r w:rsidRPr="000977F7">
        <w:rPr>
          <w:rFonts w:asciiTheme="majorHAnsi" w:hAnsiTheme="majorHAnsi"/>
          <w:spacing w:val="1"/>
          <w:sz w:val="20"/>
          <w:szCs w:val="20"/>
        </w:rPr>
        <w:t xml:space="preserve"> </w:t>
      </w:r>
      <w:r w:rsidRPr="000977F7">
        <w:rPr>
          <w:rFonts w:asciiTheme="majorHAnsi" w:hAnsiTheme="majorHAnsi"/>
          <w:sz w:val="20"/>
          <w:szCs w:val="20"/>
        </w:rPr>
        <w:t>забезпечити,</w:t>
      </w:r>
      <w:r w:rsidRPr="000977F7">
        <w:rPr>
          <w:rFonts w:asciiTheme="majorHAnsi" w:hAnsiTheme="majorHAnsi"/>
          <w:spacing w:val="1"/>
          <w:sz w:val="20"/>
          <w:szCs w:val="20"/>
        </w:rPr>
        <w:t xml:space="preserve"> </w:t>
      </w:r>
      <w:r w:rsidRPr="000977F7">
        <w:rPr>
          <w:rFonts w:asciiTheme="majorHAnsi" w:hAnsiTheme="majorHAnsi"/>
          <w:sz w:val="20"/>
          <w:szCs w:val="20"/>
        </w:rPr>
        <w:t>щоб</w:t>
      </w:r>
      <w:r w:rsidRPr="000977F7">
        <w:rPr>
          <w:rFonts w:asciiTheme="majorHAnsi" w:hAnsiTheme="majorHAnsi"/>
          <w:spacing w:val="1"/>
          <w:sz w:val="20"/>
          <w:szCs w:val="20"/>
        </w:rPr>
        <w:t xml:space="preserve"> </w:t>
      </w:r>
      <w:r w:rsidRPr="000977F7">
        <w:rPr>
          <w:rFonts w:asciiTheme="majorHAnsi" w:hAnsiTheme="majorHAnsi"/>
          <w:sz w:val="20"/>
          <w:szCs w:val="20"/>
        </w:rPr>
        <w:t>аспекти,</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мають</w:t>
      </w:r>
      <w:r w:rsidRPr="000977F7">
        <w:rPr>
          <w:rFonts w:asciiTheme="majorHAnsi" w:hAnsiTheme="majorHAnsi"/>
          <w:spacing w:val="1"/>
          <w:sz w:val="20"/>
          <w:szCs w:val="20"/>
        </w:rPr>
        <w:t xml:space="preserve"> </w:t>
      </w:r>
      <w:r w:rsidRPr="000977F7">
        <w:rPr>
          <w:rFonts w:asciiTheme="majorHAnsi" w:hAnsiTheme="majorHAnsi"/>
          <w:sz w:val="20"/>
          <w:szCs w:val="20"/>
        </w:rPr>
        <w:t>значний</w:t>
      </w:r>
      <w:r w:rsidRPr="000977F7">
        <w:rPr>
          <w:rFonts w:asciiTheme="majorHAnsi" w:hAnsiTheme="majorHAnsi"/>
          <w:spacing w:val="1"/>
          <w:sz w:val="20"/>
          <w:szCs w:val="20"/>
        </w:rPr>
        <w:t xml:space="preserve"> </w:t>
      </w:r>
      <w:r w:rsidRPr="000977F7">
        <w:rPr>
          <w:rFonts w:asciiTheme="majorHAnsi" w:hAnsiTheme="majorHAnsi"/>
          <w:sz w:val="20"/>
          <w:szCs w:val="20"/>
        </w:rPr>
        <w:t>вплив, були враховані під час визначення її екологічних цілей. Організація повинна постійно поновлювати</w:t>
      </w:r>
      <w:r w:rsidRPr="000977F7">
        <w:rPr>
          <w:rFonts w:asciiTheme="majorHAnsi" w:hAnsiTheme="majorHAnsi"/>
          <w:spacing w:val="-47"/>
          <w:sz w:val="20"/>
          <w:szCs w:val="20"/>
        </w:rPr>
        <w:t xml:space="preserve"> </w:t>
      </w:r>
      <w:r w:rsidRPr="000977F7">
        <w:rPr>
          <w:rFonts w:asciiTheme="majorHAnsi" w:hAnsiTheme="majorHAnsi"/>
          <w:sz w:val="20"/>
          <w:szCs w:val="20"/>
        </w:rPr>
        <w:t>цю</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інформацію.</w:t>
      </w:r>
    </w:p>
    <w:p w14:paraId="05AC65D4" w14:textId="77777777" w:rsidR="0097612F" w:rsidRPr="000977F7" w:rsidRDefault="0097612F" w:rsidP="00FD39A4">
      <w:pPr>
        <w:pStyle w:val="7"/>
        <w:keepNext w:val="0"/>
        <w:keepLines w:val="0"/>
        <w:widowControl w:val="0"/>
        <w:numPr>
          <w:ilvl w:val="1"/>
          <w:numId w:val="208"/>
        </w:numPr>
        <w:tabs>
          <w:tab w:val="left" w:pos="284"/>
          <w:tab w:val="left" w:pos="1161"/>
        </w:tabs>
        <w:autoSpaceDE w:val="0"/>
        <w:autoSpaceDN w:val="0"/>
        <w:spacing w:before="0" w:line="240" w:lineRule="auto"/>
        <w:ind w:left="170" w:firstLine="0"/>
        <w:mirrorIndents/>
        <w:jc w:val="both"/>
        <w:rPr>
          <w:color w:val="auto"/>
          <w:sz w:val="20"/>
          <w:szCs w:val="20"/>
        </w:rPr>
      </w:pPr>
      <w:r w:rsidRPr="000977F7">
        <w:rPr>
          <w:color w:val="auto"/>
          <w:sz w:val="20"/>
          <w:szCs w:val="20"/>
        </w:rPr>
        <w:t>Законодавчі</w:t>
      </w:r>
      <w:r w:rsidRPr="000977F7">
        <w:rPr>
          <w:color w:val="auto"/>
          <w:spacing w:val="-5"/>
          <w:sz w:val="20"/>
          <w:szCs w:val="20"/>
        </w:rPr>
        <w:t xml:space="preserve"> </w:t>
      </w:r>
      <w:r w:rsidRPr="000977F7">
        <w:rPr>
          <w:color w:val="auto"/>
          <w:sz w:val="20"/>
          <w:szCs w:val="20"/>
        </w:rPr>
        <w:t>та</w:t>
      </w:r>
      <w:r w:rsidRPr="000977F7">
        <w:rPr>
          <w:color w:val="auto"/>
          <w:spacing w:val="-2"/>
          <w:sz w:val="20"/>
          <w:szCs w:val="20"/>
        </w:rPr>
        <w:t xml:space="preserve"> </w:t>
      </w:r>
      <w:r w:rsidRPr="000977F7">
        <w:rPr>
          <w:color w:val="auto"/>
          <w:sz w:val="20"/>
          <w:szCs w:val="20"/>
        </w:rPr>
        <w:t>інші</w:t>
      </w:r>
      <w:r w:rsidRPr="000977F7">
        <w:rPr>
          <w:color w:val="auto"/>
          <w:spacing w:val="-3"/>
          <w:sz w:val="20"/>
          <w:szCs w:val="20"/>
        </w:rPr>
        <w:t xml:space="preserve"> </w:t>
      </w:r>
      <w:r w:rsidRPr="000977F7">
        <w:rPr>
          <w:color w:val="auto"/>
          <w:sz w:val="20"/>
          <w:szCs w:val="20"/>
        </w:rPr>
        <w:t>вимоги</w:t>
      </w:r>
    </w:p>
    <w:p w14:paraId="41CB265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lastRenderedPageBreak/>
        <w:t>Організація повинна розробити і підтримувати 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робочому стані методику визначення законодавчих 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інших вимог, які вона зобов'язана виконувати та які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застосовні до екологічних аспектів її діяльності, продукції чи послуг, а також забезпечити отримання необхідної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інформації.</w:t>
      </w:r>
    </w:p>
    <w:p w14:paraId="298ADDE1" w14:textId="77777777" w:rsidR="0097612F" w:rsidRPr="000977F7" w:rsidRDefault="0097612F" w:rsidP="00FD39A4">
      <w:pPr>
        <w:pStyle w:val="7"/>
        <w:keepNext w:val="0"/>
        <w:keepLines w:val="0"/>
        <w:widowControl w:val="0"/>
        <w:numPr>
          <w:ilvl w:val="1"/>
          <w:numId w:val="208"/>
        </w:numPr>
        <w:tabs>
          <w:tab w:val="left" w:pos="284"/>
          <w:tab w:val="left" w:pos="1161"/>
        </w:tabs>
        <w:autoSpaceDE w:val="0"/>
        <w:autoSpaceDN w:val="0"/>
        <w:spacing w:before="0" w:line="240" w:lineRule="auto"/>
        <w:ind w:left="170" w:firstLine="0"/>
        <w:mirrorIndents/>
        <w:jc w:val="both"/>
        <w:rPr>
          <w:color w:val="auto"/>
          <w:sz w:val="20"/>
          <w:szCs w:val="20"/>
        </w:rPr>
      </w:pPr>
      <w:r w:rsidRPr="000977F7">
        <w:rPr>
          <w:color w:val="auto"/>
          <w:sz w:val="20"/>
          <w:szCs w:val="20"/>
        </w:rPr>
        <w:t>Цілі</w:t>
      </w:r>
      <w:r w:rsidRPr="000977F7">
        <w:rPr>
          <w:color w:val="auto"/>
          <w:spacing w:val="-4"/>
          <w:sz w:val="20"/>
          <w:szCs w:val="20"/>
        </w:rPr>
        <w:t xml:space="preserve"> </w:t>
      </w:r>
      <w:r w:rsidRPr="000977F7">
        <w:rPr>
          <w:color w:val="auto"/>
          <w:sz w:val="20"/>
          <w:szCs w:val="20"/>
        </w:rPr>
        <w:t>та завдання</w:t>
      </w:r>
    </w:p>
    <w:p w14:paraId="4F6EC76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Організації слід визначити і документувати екологічні цілі і завдання на всіх її відповідних ієрархічних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функціональних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рівнях.</w:t>
      </w:r>
    </w:p>
    <w:p w14:paraId="67E4528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Під час визначення і перегляду цілей організація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повинна враховувати законодавчі та інші вимоги, свої</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суттєві екологічні аспекти, технологічні параметри 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фінансові,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функціональні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господарські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потреби,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також</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точки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зору</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зацікавлених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сторін.</w:t>
      </w:r>
    </w:p>
    <w:p w14:paraId="3D3F8B1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Цілі і завдання повинні бути узгоджені з екологічною політикою, включаючи зобов'язання щодо запобігання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забрудненню.</w:t>
      </w:r>
    </w:p>
    <w:p w14:paraId="49C6EC95" w14:textId="77777777" w:rsidR="0097612F" w:rsidRPr="000977F7" w:rsidRDefault="0097612F" w:rsidP="00FD39A4">
      <w:pPr>
        <w:pStyle w:val="7"/>
        <w:keepNext w:val="0"/>
        <w:keepLines w:val="0"/>
        <w:widowControl w:val="0"/>
        <w:numPr>
          <w:ilvl w:val="1"/>
          <w:numId w:val="208"/>
        </w:numPr>
        <w:tabs>
          <w:tab w:val="left" w:pos="284"/>
          <w:tab w:val="left" w:pos="851"/>
        </w:tabs>
        <w:autoSpaceDE w:val="0"/>
        <w:autoSpaceDN w:val="0"/>
        <w:spacing w:before="0" w:line="240" w:lineRule="auto"/>
        <w:ind w:left="170" w:firstLine="0"/>
        <w:mirrorIndents/>
        <w:jc w:val="both"/>
        <w:rPr>
          <w:color w:val="auto"/>
          <w:sz w:val="20"/>
          <w:szCs w:val="20"/>
        </w:rPr>
      </w:pPr>
      <w:r w:rsidRPr="000977F7">
        <w:rPr>
          <w:color w:val="auto"/>
          <w:sz w:val="20"/>
          <w:szCs w:val="20"/>
        </w:rPr>
        <w:t>Програма(и) управління навколишнім середовищем</w:t>
      </w:r>
    </w:p>
    <w:p w14:paraId="6F6EEF0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Організації слід розробити і підтримувати в робочому стані програму досягнення цілей і завдань, яка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повинна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містити:</w:t>
      </w:r>
    </w:p>
    <w:p w14:paraId="0DD617F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а) визначення та розподіл відповідальності за досягнення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цілей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завдань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кожному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відповідному</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ієрархічному</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функціональному</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рівні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організації;</w:t>
      </w:r>
    </w:p>
    <w:p w14:paraId="6962794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 засоби та період часу, необхідні для досягнення</w:t>
      </w:r>
      <w:r w:rsidRPr="000977F7">
        <w:rPr>
          <w:rFonts w:asciiTheme="majorHAnsi" w:hAnsiTheme="majorHAnsi"/>
          <w:spacing w:val="1"/>
          <w:sz w:val="20"/>
          <w:szCs w:val="20"/>
        </w:rPr>
        <w:t xml:space="preserve"> </w:t>
      </w:r>
      <w:r w:rsidRPr="000977F7">
        <w:rPr>
          <w:rFonts w:asciiTheme="majorHAnsi" w:hAnsiTheme="majorHAnsi"/>
          <w:sz w:val="20"/>
          <w:szCs w:val="20"/>
        </w:rPr>
        <w:t>цих</w:t>
      </w:r>
      <w:r w:rsidRPr="000977F7">
        <w:rPr>
          <w:rFonts w:asciiTheme="majorHAnsi" w:hAnsiTheme="majorHAnsi"/>
          <w:spacing w:val="-2"/>
          <w:sz w:val="20"/>
          <w:szCs w:val="20"/>
        </w:rPr>
        <w:t xml:space="preserve"> </w:t>
      </w:r>
      <w:r w:rsidRPr="000977F7">
        <w:rPr>
          <w:rFonts w:asciiTheme="majorHAnsi" w:hAnsiTheme="majorHAnsi"/>
          <w:sz w:val="20"/>
          <w:szCs w:val="20"/>
        </w:rPr>
        <w:t>цілей.</w:t>
      </w:r>
    </w:p>
    <w:p w14:paraId="01D49A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Якщо</w:t>
      </w:r>
      <w:r w:rsidRPr="000977F7">
        <w:rPr>
          <w:rFonts w:asciiTheme="majorHAnsi" w:hAnsiTheme="majorHAnsi"/>
          <w:spacing w:val="1"/>
          <w:sz w:val="20"/>
          <w:szCs w:val="20"/>
        </w:rPr>
        <w:t xml:space="preserve"> </w:t>
      </w:r>
      <w:r w:rsidRPr="000977F7">
        <w:rPr>
          <w:rFonts w:asciiTheme="majorHAnsi" w:hAnsiTheme="majorHAnsi"/>
          <w:sz w:val="20"/>
          <w:szCs w:val="20"/>
        </w:rPr>
        <w:t>якийсь</w:t>
      </w:r>
      <w:r w:rsidRPr="000977F7">
        <w:rPr>
          <w:rFonts w:asciiTheme="majorHAnsi" w:hAnsiTheme="majorHAnsi"/>
          <w:spacing w:val="1"/>
          <w:sz w:val="20"/>
          <w:szCs w:val="20"/>
        </w:rPr>
        <w:t xml:space="preserve"> </w:t>
      </w:r>
      <w:r w:rsidRPr="000977F7">
        <w:rPr>
          <w:rFonts w:asciiTheme="majorHAnsi" w:hAnsiTheme="majorHAnsi"/>
          <w:sz w:val="20"/>
          <w:szCs w:val="20"/>
        </w:rPr>
        <w:t>проект стосується</w:t>
      </w:r>
      <w:r w:rsidRPr="000977F7">
        <w:rPr>
          <w:rFonts w:asciiTheme="majorHAnsi" w:hAnsiTheme="majorHAnsi"/>
          <w:spacing w:val="1"/>
          <w:sz w:val="20"/>
          <w:szCs w:val="20"/>
        </w:rPr>
        <w:t xml:space="preserve"> </w:t>
      </w:r>
      <w:r w:rsidRPr="000977F7">
        <w:rPr>
          <w:rFonts w:asciiTheme="majorHAnsi" w:hAnsiTheme="majorHAnsi"/>
          <w:sz w:val="20"/>
          <w:szCs w:val="20"/>
        </w:rPr>
        <w:t>нових розробок,</w:t>
      </w:r>
      <w:r w:rsidRPr="000977F7">
        <w:rPr>
          <w:rFonts w:asciiTheme="majorHAnsi" w:hAnsiTheme="majorHAnsi"/>
          <w:spacing w:val="1"/>
          <w:sz w:val="20"/>
          <w:szCs w:val="20"/>
        </w:rPr>
        <w:t xml:space="preserve"> </w:t>
      </w:r>
      <w:r w:rsidRPr="000977F7">
        <w:rPr>
          <w:rFonts w:asciiTheme="majorHAnsi" w:hAnsiTheme="majorHAnsi"/>
          <w:sz w:val="20"/>
          <w:szCs w:val="20"/>
        </w:rPr>
        <w:t>нової або видозміненої діяльності, продукції чи послуг, програма повинна бути доповнена в необхідних</w:t>
      </w:r>
      <w:r w:rsidRPr="000977F7">
        <w:rPr>
          <w:rFonts w:asciiTheme="majorHAnsi" w:hAnsiTheme="majorHAnsi"/>
          <w:spacing w:val="1"/>
          <w:sz w:val="20"/>
          <w:szCs w:val="20"/>
        </w:rPr>
        <w:t xml:space="preserve"> </w:t>
      </w:r>
      <w:r w:rsidRPr="000977F7">
        <w:rPr>
          <w:rFonts w:asciiTheme="majorHAnsi" w:hAnsiTheme="majorHAnsi"/>
          <w:sz w:val="20"/>
          <w:szCs w:val="20"/>
        </w:rPr>
        <w:t>місцях,</w:t>
      </w:r>
      <w:r w:rsidRPr="000977F7">
        <w:rPr>
          <w:rFonts w:asciiTheme="majorHAnsi" w:hAnsiTheme="majorHAnsi"/>
          <w:spacing w:val="1"/>
          <w:sz w:val="20"/>
          <w:szCs w:val="20"/>
        </w:rPr>
        <w:t xml:space="preserve"> </w:t>
      </w:r>
      <w:r w:rsidRPr="000977F7">
        <w:rPr>
          <w:rFonts w:asciiTheme="majorHAnsi" w:hAnsiTheme="majorHAnsi"/>
          <w:sz w:val="20"/>
          <w:szCs w:val="20"/>
        </w:rPr>
        <w:t>щоб</w:t>
      </w:r>
      <w:r w:rsidRPr="000977F7">
        <w:rPr>
          <w:rFonts w:asciiTheme="majorHAnsi" w:hAnsiTheme="majorHAnsi"/>
          <w:spacing w:val="1"/>
          <w:sz w:val="20"/>
          <w:szCs w:val="20"/>
        </w:rPr>
        <w:t xml:space="preserve"> </w:t>
      </w:r>
      <w:r w:rsidRPr="000977F7">
        <w:rPr>
          <w:rFonts w:asciiTheme="majorHAnsi" w:hAnsiTheme="majorHAnsi"/>
          <w:sz w:val="20"/>
          <w:szCs w:val="20"/>
        </w:rPr>
        <w:t>забезпечити</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вимог</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 навколишнім середовищем у таких проектах.</w:t>
      </w:r>
    </w:p>
    <w:p w14:paraId="544A230A" w14:textId="77777777" w:rsidR="0097612F" w:rsidRPr="000977F7" w:rsidRDefault="0097612F" w:rsidP="00FD39A4">
      <w:pPr>
        <w:pStyle w:val="7"/>
        <w:keepNext w:val="0"/>
        <w:keepLines w:val="0"/>
        <w:widowControl w:val="0"/>
        <w:numPr>
          <w:ilvl w:val="0"/>
          <w:numId w:val="208"/>
        </w:numPr>
        <w:tabs>
          <w:tab w:val="left" w:pos="284"/>
          <w:tab w:val="left" w:pos="851"/>
        </w:tabs>
        <w:autoSpaceDE w:val="0"/>
        <w:autoSpaceDN w:val="0"/>
        <w:spacing w:before="0" w:line="240" w:lineRule="auto"/>
        <w:ind w:left="170" w:firstLine="0"/>
        <w:mirrorIndents/>
        <w:jc w:val="both"/>
        <w:rPr>
          <w:color w:val="auto"/>
          <w:sz w:val="20"/>
          <w:szCs w:val="20"/>
        </w:rPr>
      </w:pPr>
      <w:r w:rsidRPr="000977F7">
        <w:rPr>
          <w:color w:val="auto"/>
          <w:sz w:val="20"/>
          <w:szCs w:val="20"/>
        </w:rPr>
        <w:t>Впровадження</w:t>
      </w:r>
      <w:r w:rsidRPr="000977F7">
        <w:rPr>
          <w:color w:val="auto"/>
          <w:spacing w:val="-9"/>
          <w:sz w:val="20"/>
          <w:szCs w:val="20"/>
        </w:rPr>
        <w:t xml:space="preserve"> </w:t>
      </w:r>
      <w:r w:rsidRPr="000977F7">
        <w:rPr>
          <w:color w:val="auto"/>
          <w:sz w:val="20"/>
          <w:szCs w:val="20"/>
        </w:rPr>
        <w:t>та</w:t>
      </w:r>
      <w:r w:rsidRPr="000977F7">
        <w:rPr>
          <w:color w:val="auto"/>
          <w:spacing w:val="-9"/>
          <w:sz w:val="20"/>
          <w:szCs w:val="20"/>
        </w:rPr>
        <w:t xml:space="preserve"> </w:t>
      </w:r>
      <w:r w:rsidRPr="000977F7">
        <w:rPr>
          <w:color w:val="auto"/>
          <w:sz w:val="20"/>
          <w:szCs w:val="20"/>
        </w:rPr>
        <w:t>функціонування</w:t>
      </w:r>
    </w:p>
    <w:p w14:paraId="3B2F15A5" w14:textId="77777777" w:rsidR="0097612F" w:rsidRPr="000977F7" w:rsidRDefault="0097612F" w:rsidP="00FD39A4">
      <w:pPr>
        <w:pStyle w:val="ac"/>
        <w:widowControl w:val="0"/>
        <w:numPr>
          <w:ilvl w:val="1"/>
          <w:numId w:val="208"/>
        </w:numPr>
        <w:tabs>
          <w:tab w:val="left" w:pos="284"/>
          <w:tab w:val="left" w:pos="85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b/>
          <w:sz w:val="20"/>
          <w:szCs w:val="20"/>
        </w:rPr>
        <w:t>Організаційна структура та відповідальність</w:t>
      </w:r>
    </w:p>
    <w:p w14:paraId="185E31B6" w14:textId="77777777" w:rsidR="0097612F" w:rsidRPr="000977F7" w:rsidRDefault="0097612F" w:rsidP="000977F7">
      <w:pPr>
        <w:tabs>
          <w:tab w:val="left" w:pos="284"/>
          <w:tab w:val="left" w:pos="851"/>
        </w:tabs>
        <w:spacing w:after="0" w:line="240" w:lineRule="auto"/>
        <w:ind w:left="170"/>
        <w:mirrorIndents/>
        <w:jc w:val="both"/>
        <w:rPr>
          <w:rFonts w:asciiTheme="majorHAnsi" w:hAnsiTheme="majorHAnsi"/>
          <w:sz w:val="20"/>
          <w:szCs w:val="20"/>
        </w:rPr>
      </w:pPr>
      <w:r w:rsidRPr="000977F7">
        <w:rPr>
          <w:rFonts w:asciiTheme="majorHAnsi" w:hAnsiTheme="majorHAnsi"/>
          <w:bCs/>
          <w:spacing w:val="-47"/>
          <w:sz w:val="20"/>
          <w:szCs w:val="20"/>
        </w:rPr>
        <w:t>Ф</w:t>
      </w:r>
      <w:r w:rsidRPr="000977F7">
        <w:rPr>
          <w:rFonts w:asciiTheme="majorHAnsi" w:hAnsiTheme="majorHAnsi"/>
          <w:sz w:val="20"/>
          <w:szCs w:val="20"/>
        </w:rPr>
        <w:t>ункції, відповідальність і повноваження повинні бути визначені,</w:t>
      </w:r>
      <w:r w:rsidRPr="000977F7">
        <w:rPr>
          <w:rFonts w:asciiTheme="majorHAnsi" w:hAnsiTheme="majorHAnsi"/>
          <w:spacing w:val="29"/>
          <w:sz w:val="20"/>
          <w:szCs w:val="20"/>
        </w:rPr>
        <w:t xml:space="preserve"> </w:t>
      </w:r>
      <w:r w:rsidRPr="000977F7">
        <w:rPr>
          <w:rFonts w:asciiTheme="majorHAnsi" w:hAnsiTheme="majorHAnsi"/>
          <w:sz w:val="20"/>
          <w:szCs w:val="20"/>
        </w:rPr>
        <w:t>документально</w:t>
      </w:r>
      <w:r w:rsidRPr="000977F7">
        <w:rPr>
          <w:rFonts w:asciiTheme="majorHAnsi" w:hAnsiTheme="majorHAnsi"/>
          <w:spacing w:val="28"/>
          <w:sz w:val="20"/>
          <w:szCs w:val="20"/>
        </w:rPr>
        <w:t xml:space="preserve"> </w:t>
      </w:r>
      <w:r w:rsidRPr="000977F7">
        <w:rPr>
          <w:rFonts w:asciiTheme="majorHAnsi" w:hAnsiTheme="majorHAnsi"/>
          <w:sz w:val="20"/>
          <w:szCs w:val="20"/>
        </w:rPr>
        <w:t>оформлені</w:t>
      </w:r>
      <w:r w:rsidRPr="000977F7">
        <w:rPr>
          <w:rFonts w:asciiTheme="majorHAnsi" w:hAnsiTheme="majorHAnsi"/>
          <w:spacing w:val="27"/>
          <w:sz w:val="20"/>
          <w:szCs w:val="20"/>
        </w:rPr>
        <w:t xml:space="preserve"> </w:t>
      </w:r>
      <w:r w:rsidRPr="000977F7">
        <w:rPr>
          <w:rFonts w:asciiTheme="majorHAnsi" w:hAnsiTheme="majorHAnsi"/>
          <w:sz w:val="20"/>
          <w:szCs w:val="20"/>
        </w:rPr>
        <w:t>і</w:t>
      </w:r>
      <w:r w:rsidRPr="000977F7">
        <w:rPr>
          <w:rFonts w:asciiTheme="majorHAnsi" w:hAnsiTheme="majorHAnsi"/>
          <w:spacing w:val="27"/>
          <w:sz w:val="20"/>
          <w:szCs w:val="20"/>
        </w:rPr>
        <w:t xml:space="preserve"> </w:t>
      </w:r>
      <w:r w:rsidRPr="000977F7">
        <w:rPr>
          <w:rFonts w:asciiTheme="majorHAnsi" w:hAnsiTheme="majorHAnsi"/>
          <w:sz w:val="20"/>
          <w:szCs w:val="20"/>
        </w:rPr>
        <w:t>доведені</w:t>
      </w:r>
      <w:r w:rsidRPr="000977F7">
        <w:rPr>
          <w:rFonts w:asciiTheme="majorHAnsi" w:hAnsiTheme="majorHAnsi"/>
          <w:spacing w:val="-47"/>
          <w:sz w:val="20"/>
          <w:szCs w:val="20"/>
        </w:rPr>
        <w:t xml:space="preserve"> </w:t>
      </w:r>
      <w:r w:rsidRPr="000977F7">
        <w:rPr>
          <w:rFonts w:asciiTheme="majorHAnsi" w:hAnsiTheme="majorHAnsi"/>
          <w:sz w:val="20"/>
          <w:szCs w:val="20"/>
        </w:rPr>
        <w:t>до</w:t>
      </w:r>
      <w:r w:rsidRPr="000977F7">
        <w:rPr>
          <w:rFonts w:asciiTheme="majorHAnsi" w:hAnsiTheme="majorHAnsi"/>
          <w:spacing w:val="61"/>
          <w:sz w:val="20"/>
          <w:szCs w:val="20"/>
        </w:rPr>
        <w:t xml:space="preserve"> </w:t>
      </w:r>
      <w:r w:rsidRPr="000977F7">
        <w:rPr>
          <w:rFonts w:asciiTheme="majorHAnsi" w:hAnsiTheme="majorHAnsi"/>
          <w:sz w:val="20"/>
          <w:szCs w:val="20"/>
        </w:rPr>
        <w:t>посадових</w:t>
      </w:r>
      <w:r w:rsidRPr="000977F7">
        <w:rPr>
          <w:rFonts w:asciiTheme="majorHAnsi" w:hAnsiTheme="majorHAnsi"/>
          <w:spacing w:val="61"/>
          <w:sz w:val="20"/>
          <w:szCs w:val="20"/>
        </w:rPr>
        <w:t xml:space="preserve"> </w:t>
      </w:r>
      <w:r w:rsidRPr="000977F7">
        <w:rPr>
          <w:rFonts w:asciiTheme="majorHAnsi" w:hAnsiTheme="majorHAnsi"/>
          <w:sz w:val="20"/>
          <w:szCs w:val="20"/>
        </w:rPr>
        <w:t>осіб</w:t>
      </w:r>
      <w:r w:rsidRPr="000977F7">
        <w:rPr>
          <w:rFonts w:asciiTheme="majorHAnsi" w:hAnsiTheme="majorHAnsi"/>
          <w:spacing w:val="61"/>
          <w:sz w:val="20"/>
          <w:szCs w:val="20"/>
        </w:rPr>
        <w:t xml:space="preserve"> </w:t>
      </w:r>
      <w:r w:rsidRPr="000977F7">
        <w:rPr>
          <w:rFonts w:asciiTheme="majorHAnsi" w:hAnsiTheme="majorHAnsi"/>
          <w:sz w:val="20"/>
          <w:szCs w:val="20"/>
        </w:rPr>
        <w:t>з</w:t>
      </w:r>
      <w:r w:rsidRPr="000977F7">
        <w:rPr>
          <w:rFonts w:asciiTheme="majorHAnsi" w:hAnsiTheme="majorHAnsi"/>
          <w:spacing w:val="62"/>
          <w:sz w:val="20"/>
          <w:szCs w:val="20"/>
        </w:rPr>
        <w:t xml:space="preserve"> </w:t>
      </w:r>
      <w:r w:rsidRPr="000977F7">
        <w:rPr>
          <w:rFonts w:asciiTheme="majorHAnsi" w:hAnsiTheme="majorHAnsi"/>
          <w:sz w:val="20"/>
          <w:szCs w:val="20"/>
        </w:rPr>
        <w:t>метою</w:t>
      </w:r>
      <w:r w:rsidRPr="000977F7">
        <w:rPr>
          <w:rFonts w:asciiTheme="majorHAnsi" w:hAnsiTheme="majorHAnsi"/>
          <w:spacing w:val="61"/>
          <w:sz w:val="20"/>
          <w:szCs w:val="20"/>
        </w:rPr>
        <w:t xml:space="preserve"> </w:t>
      </w:r>
      <w:r w:rsidRPr="000977F7">
        <w:rPr>
          <w:rFonts w:asciiTheme="majorHAnsi" w:hAnsiTheme="majorHAnsi"/>
          <w:sz w:val="20"/>
          <w:szCs w:val="20"/>
        </w:rPr>
        <w:t>сприяння</w:t>
      </w:r>
      <w:r w:rsidRPr="000977F7">
        <w:rPr>
          <w:rFonts w:asciiTheme="majorHAnsi" w:hAnsiTheme="majorHAnsi"/>
          <w:spacing w:val="61"/>
          <w:sz w:val="20"/>
          <w:szCs w:val="20"/>
        </w:rPr>
        <w:t xml:space="preserve"> </w:t>
      </w:r>
      <w:r w:rsidRPr="000977F7">
        <w:rPr>
          <w:rFonts w:asciiTheme="majorHAnsi" w:hAnsiTheme="majorHAnsi"/>
          <w:sz w:val="20"/>
          <w:szCs w:val="20"/>
        </w:rPr>
        <w:t>ефективному управлінню</w:t>
      </w:r>
      <w:r w:rsidRPr="000977F7">
        <w:rPr>
          <w:rFonts w:asciiTheme="majorHAnsi" w:hAnsiTheme="majorHAnsi"/>
          <w:spacing w:val="-4"/>
          <w:sz w:val="20"/>
          <w:szCs w:val="20"/>
        </w:rPr>
        <w:t xml:space="preserve"> </w:t>
      </w:r>
      <w:r w:rsidRPr="000977F7">
        <w:rPr>
          <w:rFonts w:asciiTheme="majorHAnsi" w:hAnsiTheme="majorHAnsi"/>
          <w:sz w:val="20"/>
          <w:szCs w:val="20"/>
        </w:rPr>
        <w:t>навколишнім</w:t>
      </w:r>
      <w:r w:rsidRPr="000977F7">
        <w:rPr>
          <w:rFonts w:asciiTheme="majorHAnsi" w:hAnsiTheme="majorHAnsi"/>
          <w:spacing w:val="-5"/>
          <w:sz w:val="20"/>
          <w:szCs w:val="20"/>
        </w:rPr>
        <w:t xml:space="preserve"> </w:t>
      </w:r>
      <w:r w:rsidRPr="000977F7">
        <w:rPr>
          <w:rFonts w:asciiTheme="majorHAnsi" w:hAnsiTheme="majorHAnsi"/>
          <w:sz w:val="20"/>
          <w:szCs w:val="20"/>
        </w:rPr>
        <w:t>середовищем.</w:t>
      </w:r>
    </w:p>
    <w:p w14:paraId="70A5D3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Апарат управління повинен забезпечувати потреби</w:t>
      </w:r>
      <w:r w:rsidRPr="000977F7">
        <w:rPr>
          <w:rFonts w:asciiTheme="majorHAnsi" w:hAnsiTheme="majorHAnsi"/>
          <w:spacing w:val="-47"/>
          <w:sz w:val="20"/>
          <w:szCs w:val="20"/>
        </w:rPr>
        <w:t xml:space="preserve"> </w:t>
      </w:r>
      <w:r w:rsidRPr="000977F7">
        <w:rPr>
          <w:rFonts w:asciiTheme="majorHAnsi" w:hAnsiTheme="majorHAnsi"/>
          <w:sz w:val="20"/>
          <w:szCs w:val="20"/>
        </w:rPr>
        <w:t>в ресурсах для впровадження і функціонування системи управління навколишнім середовищем. Поняття</w:t>
      </w:r>
      <w:r w:rsidRPr="000977F7">
        <w:rPr>
          <w:rFonts w:asciiTheme="majorHAnsi" w:hAnsiTheme="majorHAnsi"/>
          <w:spacing w:val="1"/>
          <w:sz w:val="20"/>
          <w:szCs w:val="20"/>
        </w:rPr>
        <w:t xml:space="preserve"> </w:t>
      </w:r>
      <w:r w:rsidRPr="000977F7">
        <w:rPr>
          <w:rFonts w:asciiTheme="majorHAnsi" w:hAnsiTheme="majorHAnsi"/>
          <w:sz w:val="20"/>
          <w:szCs w:val="20"/>
        </w:rPr>
        <w:t>"ресурси" включає людські ресурси, тобто кваліфікований</w:t>
      </w:r>
      <w:r w:rsidRPr="000977F7">
        <w:rPr>
          <w:rFonts w:asciiTheme="majorHAnsi" w:hAnsiTheme="majorHAnsi"/>
          <w:spacing w:val="-1"/>
          <w:sz w:val="20"/>
          <w:szCs w:val="20"/>
        </w:rPr>
        <w:t xml:space="preserve"> </w:t>
      </w:r>
      <w:r w:rsidRPr="000977F7">
        <w:rPr>
          <w:rFonts w:asciiTheme="majorHAnsi" w:hAnsiTheme="majorHAnsi"/>
          <w:sz w:val="20"/>
          <w:szCs w:val="20"/>
        </w:rPr>
        <w:t>персонал,</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технології</w:t>
      </w:r>
      <w:r w:rsidRPr="000977F7">
        <w:rPr>
          <w:rFonts w:asciiTheme="majorHAnsi" w:hAnsiTheme="majorHAnsi"/>
          <w:spacing w:val="-3"/>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фінансові</w:t>
      </w:r>
      <w:r w:rsidRPr="000977F7">
        <w:rPr>
          <w:rFonts w:asciiTheme="majorHAnsi" w:hAnsiTheme="majorHAnsi"/>
          <w:spacing w:val="-3"/>
          <w:sz w:val="20"/>
          <w:szCs w:val="20"/>
        </w:rPr>
        <w:t xml:space="preserve"> </w:t>
      </w:r>
      <w:r w:rsidRPr="000977F7">
        <w:rPr>
          <w:rFonts w:asciiTheme="majorHAnsi" w:hAnsiTheme="majorHAnsi"/>
          <w:sz w:val="20"/>
          <w:szCs w:val="20"/>
        </w:rPr>
        <w:t>ресурси.</w:t>
      </w:r>
    </w:p>
    <w:p w14:paraId="24B4B06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Вище керівництво організації повинно призначити</w:t>
      </w:r>
      <w:r w:rsidRPr="000977F7">
        <w:rPr>
          <w:rFonts w:asciiTheme="majorHAnsi" w:hAnsiTheme="majorHAnsi"/>
          <w:spacing w:val="-47"/>
          <w:sz w:val="20"/>
          <w:szCs w:val="20"/>
        </w:rPr>
        <w:t xml:space="preserve"> </w:t>
      </w:r>
      <w:r w:rsidRPr="000977F7">
        <w:rPr>
          <w:rFonts w:asciiTheme="majorHAnsi" w:hAnsiTheme="majorHAnsi"/>
          <w:sz w:val="20"/>
          <w:szCs w:val="20"/>
        </w:rPr>
        <w:t>свого спеціального представника, який би, незалежно</w:t>
      </w:r>
      <w:r w:rsidRPr="000977F7">
        <w:rPr>
          <w:rFonts w:asciiTheme="majorHAnsi" w:hAnsiTheme="majorHAnsi"/>
          <w:spacing w:val="1"/>
          <w:sz w:val="20"/>
          <w:szCs w:val="20"/>
        </w:rPr>
        <w:t xml:space="preserve"> </w:t>
      </w:r>
      <w:r w:rsidRPr="000977F7">
        <w:rPr>
          <w:rFonts w:asciiTheme="majorHAnsi" w:hAnsiTheme="majorHAnsi"/>
          <w:sz w:val="20"/>
          <w:szCs w:val="20"/>
        </w:rPr>
        <w:t>від інших обов'язків, виконував визначені функції, ніс</w:t>
      </w:r>
      <w:r w:rsidRPr="000977F7">
        <w:rPr>
          <w:rFonts w:asciiTheme="majorHAnsi" w:hAnsiTheme="majorHAnsi"/>
          <w:spacing w:val="-47"/>
          <w:sz w:val="20"/>
          <w:szCs w:val="20"/>
        </w:rPr>
        <w:t xml:space="preserve"> </w:t>
      </w:r>
      <w:r w:rsidRPr="000977F7">
        <w:rPr>
          <w:rFonts w:asciiTheme="majorHAnsi" w:hAnsiTheme="majorHAnsi"/>
          <w:sz w:val="20"/>
          <w:szCs w:val="20"/>
        </w:rPr>
        <w:t>відповідальність</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мав</w:t>
      </w:r>
      <w:r w:rsidRPr="000977F7">
        <w:rPr>
          <w:rFonts w:asciiTheme="majorHAnsi" w:hAnsiTheme="majorHAnsi"/>
          <w:spacing w:val="-2"/>
          <w:sz w:val="20"/>
          <w:szCs w:val="20"/>
        </w:rPr>
        <w:t xml:space="preserve"> </w:t>
      </w:r>
      <w:r w:rsidRPr="000977F7">
        <w:rPr>
          <w:rFonts w:asciiTheme="majorHAnsi" w:hAnsiTheme="majorHAnsi"/>
          <w:sz w:val="20"/>
          <w:szCs w:val="20"/>
        </w:rPr>
        <w:t>повноваження</w:t>
      </w:r>
      <w:r w:rsidRPr="000977F7">
        <w:rPr>
          <w:rFonts w:asciiTheme="majorHAnsi" w:hAnsiTheme="majorHAnsi"/>
          <w:spacing w:val="1"/>
          <w:sz w:val="20"/>
          <w:szCs w:val="20"/>
        </w:rPr>
        <w:t xml:space="preserve"> </w:t>
      </w:r>
      <w:r w:rsidRPr="000977F7">
        <w:rPr>
          <w:rFonts w:asciiTheme="majorHAnsi" w:hAnsiTheme="majorHAnsi"/>
          <w:sz w:val="20"/>
          <w:szCs w:val="20"/>
        </w:rPr>
        <w:t>для:</w:t>
      </w:r>
    </w:p>
    <w:p w14:paraId="42DFAB3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забезпечення розроблення, впровадження і підтримання в робочому стані системи управління навколишнім середовищем відповідно до вимог цього стандарту;</w:t>
      </w:r>
    </w:p>
    <w:p w14:paraId="19B75FD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 звітування перед вищим керівництвом про функціонування</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навколишнім</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середовищем, що створювало б основу для її аналізу, оцінювання</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вдосконалення.</w:t>
      </w:r>
    </w:p>
    <w:p w14:paraId="2AE4FB00" w14:textId="77777777" w:rsidR="0097612F" w:rsidRPr="000977F7" w:rsidRDefault="0097612F" w:rsidP="00FD39A4">
      <w:pPr>
        <w:pStyle w:val="7"/>
        <w:keepNext w:val="0"/>
        <w:keepLines w:val="0"/>
        <w:widowControl w:val="0"/>
        <w:numPr>
          <w:ilvl w:val="1"/>
          <w:numId w:val="208"/>
        </w:numPr>
        <w:tabs>
          <w:tab w:val="left" w:pos="284"/>
          <w:tab w:val="left" w:pos="1161"/>
        </w:tabs>
        <w:autoSpaceDE w:val="0"/>
        <w:autoSpaceDN w:val="0"/>
        <w:spacing w:before="0" w:line="240" w:lineRule="auto"/>
        <w:ind w:left="170" w:firstLine="0"/>
        <w:mirrorIndents/>
        <w:jc w:val="both"/>
        <w:rPr>
          <w:color w:val="auto"/>
          <w:sz w:val="20"/>
          <w:szCs w:val="20"/>
        </w:rPr>
      </w:pPr>
      <w:r w:rsidRPr="000977F7">
        <w:rPr>
          <w:color w:val="auto"/>
          <w:sz w:val="20"/>
          <w:szCs w:val="20"/>
        </w:rPr>
        <w:t>Підготовка,</w:t>
      </w:r>
      <w:r w:rsidRPr="000977F7">
        <w:rPr>
          <w:color w:val="auto"/>
          <w:spacing w:val="-5"/>
          <w:sz w:val="20"/>
          <w:szCs w:val="20"/>
        </w:rPr>
        <w:t xml:space="preserve"> </w:t>
      </w:r>
      <w:r w:rsidRPr="000977F7">
        <w:rPr>
          <w:color w:val="auto"/>
          <w:sz w:val="20"/>
          <w:szCs w:val="20"/>
        </w:rPr>
        <w:t>обізнаність</w:t>
      </w:r>
      <w:r w:rsidRPr="000977F7">
        <w:rPr>
          <w:color w:val="auto"/>
          <w:spacing w:val="-4"/>
          <w:sz w:val="20"/>
          <w:szCs w:val="20"/>
        </w:rPr>
        <w:t xml:space="preserve"> </w:t>
      </w:r>
      <w:r w:rsidRPr="000977F7">
        <w:rPr>
          <w:color w:val="auto"/>
          <w:sz w:val="20"/>
          <w:szCs w:val="20"/>
        </w:rPr>
        <w:t>та</w:t>
      </w:r>
      <w:r w:rsidRPr="000977F7">
        <w:rPr>
          <w:color w:val="auto"/>
          <w:spacing w:val="-4"/>
          <w:sz w:val="20"/>
          <w:szCs w:val="20"/>
        </w:rPr>
        <w:t xml:space="preserve"> </w:t>
      </w:r>
      <w:r w:rsidRPr="000977F7">
        <w:rPr>
          <w:color w:val="auto"/>
          <w:sz w:val="20"/>
          <w:szCs w:val="20"/>
        </w:rPr>
        <w:t>компетентність</w:t>
      </w:r>
    </w:p>
    <w:p w14:paraId="2D7DE9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Організації слід встановити потреби в підготовці</w:t>
      </w:r>
      <w:r w:rsidRPr="000977F7">
        <w:rPr>
          <w:rFonts w:asciiTheme="majorHAnsi" w:hAnsiTheme="majorHAnsi"/>
          <w:spacing w:val="1"/>
          <w:sz w:val="20"/>
          <w:szCs w:val="20"/>
        </w:rPr>
        <w:t xml:space="preserve"> </w:t>
      </w:r>
      <w:r w:rsidRPr="000977F7">
        <w:rPr>
          <w:rFonts w:asciiTheme="majorHAnsi" w:hAnsiTheme="majorHAnsi"/>
          <w:sz w:val="20"/>
          <w:szCs w:val="20"/>
        </w:rPr>
        <w:t>персоналу. Вона повинна вимагати, щоб увесь персонал, чия робота може мати значний вплив на навколишнє</w:t>
      </w:r>
      <w:r w:rsidRPr="000977F7">
        <w:rPr>
          <w:rFonts w:asciiTheme="majorHAnsi" w:hAnsiTheme="majorHAnsi"/>
          <w:spacing w:val="-3"/>
          <w:sz w:val="20"/>
          <w:szCs w:val="20"/>
        </w:rPr>
        <w:t xml:space="preserve"> </w:t>
      </w:r>
      <w:r w:rsidRPr="000977F7">
        <w:rPr>
          <w:rFonts w:asciiTheme="majorHAnsi" w:hAnsiTheme="majorHAnsi"/>
          <w:sz w:val="20"/>
          <w:szCs w:val="20"/>
        </w:rPr>
        <w:t>середовище,</w:t>
      </w:r>
      <w:r w:rsidRPr="000977F7">
        <w:rPr>
          <w:rFonts w:asciiTheme="majorHAnsi" w:hAnsiTheme="majorHAnsi"/>
          <w:spacing w:val="-2"/>
          <w:sz w:val="20"/>
          <w:szCs w:val="20"/>
        </w:rPr>
        <w:t xml:space="preserve"> </w:t>
      </w:r>
      <w:r w:rsidRPr="000977F7">
        <w:rPr>
          <w:rFonts w:asciiTheme="majorHAnsi" w:hAnsiTheme="majorHAnsi"/>
          <w:sz w:val="20"/>
          <w:szCs w:val="20"/>
        </w:rPr>
        <w:t>отримав</w:t>
      </w:r>
      <w:r w:rsidRPr="000977F7">
        <w:rPr>
          <w:rFonts w:asciiTheme="majorHAnsi" w:hAnsiTheme="majorHAnsi"/>
          <w:spacing w:val="-1"/>
          <w:sz w:val="20"/>
          <w:szCs w:val="20"/>
        </w:rPr>
        <w:t xml:space="preserve"> </w:t>
      </w:r>
      <w:r w:rsidRPr="000977F7">
        <w:rPr>
          <w:rFonts w:asciiTheme="majorHAnsi" w:hAnsiTheme="majorHAnsi"/>
          <w:sz w:val="20"/>
          <w:szCs w:val="20"/>
        </w:rPr>
        <w:t>відповідну</w:t>
      </w:r>
      <w:r w:rsidRPr="000977F7">
        <w:rPr>
          <w:rFonts w:asciiTheme="majorHAnsi" w:hAnsiTheme="majorHAnsi"/>
          <w:spacing w:val="-4"/>
          <w:sz w:val="20"/>
          <w:szCs w:val="20"/>
        </w:rPr>
        <w:t xml:space="preserve"> </w:t>
      </w:r>
      <w:r w:rsidRPr="000977F7">
        <w:rPr>
          <w:rFonts w:asciiTheme="majorHAnsi" w:hAnsiTheme="majorHAnsi"/>
          <w:sz w:val="20"/>
          <w:szCs w:val="20"/>
        </w:rPr>
        <w:t>підготовку.</w:t>
      </w:r>
    </w:p>
    <w:p w14:paraId="527187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Вона повинна розробити і підтримувати в робочому стані методики ознайомлення її</w:t>
      </w:r>
      <w:r w:rsidRPr="000977F7">
        <w:rPr>
          <w:rFonts w:asciiTheme="majorHAnsi" w:hAnsiTheme="majorHAnsi"/>
          <w:spacing w:val="1"/>
          <w:sz w:val="20"/>
          <w:szCs w:val="20"/>
        </w:rPr>
        <w:t xml:space="preserve"> </w:t>
      </w:r>
      <w:r w:rsidRPr="000977F7">
        <w:rPr>
          <w:rFonts w:asciiTheme="majorHAnsi" w:hAnsiTheme="majorHAnsi"/>
          <w:sz w:val="20"/>
          <w:szCs w:val="20"/>
        </w:rPr>
        <w:t>працівників або</w:t>
      </w:r>
      <w:r w:rsidRPr="000977F7">
        <w:rPr>
          <w:rFonts w:asciiTheme="majorHAnsi" w:hAnsiTheme="majorHAnsi"/>
          <w:spacing w:val="1"/>
          <w:sz w:val="20"/>
          <w:szCs w:val="20"/>
        </w:rPr>
        <w:t xml:space="preserve"> </w:t>
      </w:r>
      <w:r w:rsidRPr="000977F7">
        <w:rPr>
          <w:rFonts w:asciiTheme="majorHAnsi" w:hAnsiTheme="majorHAnsi"/>
          <w:sz w:val="20"/>
          <w:szCs w:val="20"/>
        </w:rPr>
        <w:t>членів на всіх відповідних ієрархічних і функціональних</w:t>
      </w:r>
      <w:r w:rsidRPr="000977F7">
        <w:rPr>
          <w:rFonts w:asciiTheme="majorHAnsi" w:hAnsiTheme="majorHAnsi"/>
          <w:spacing w:val="-2"/>
          <w:sz w:val="20"/>
          <w:szCs w:val="20"/>
        </w:rPr>
        <w:t xml:space="preserve"> </w:t>
      </w:r>
      <w:r w:rsidRPr="000977F7">
        <w:rPr>
          <w:rFonts w:asciiTheme="majorHAnsi" w:hAnsiTheme="majorHAnsi"/>
          <w:sz w:val="20"/>
          <w:szCs w:val="20"/>
        </w:rPr>
        <w:t>рівнях</w:t>
      </w:r>
      <w:r w:rsidRPr="000977F7">
        <w:rPr>
          <w:rFonts w:asciiTheme="majorHAnsi" w:hAnsiTheme="majorHAnsi"/>
          <w:spacing w:val="-2"/>
          <w:sz w:val="20"/>
          <w:szCs w:val="20"/>
        </w:rPr>
        <w:t xml:space="preserve"> </w:t>
      </w:r>
      <w:r w:rsidRPr="000977F7">
        <w:rPr>
          <w:rFonts w:asciiTheme="majorHAnsi" w:hAnsiTheme="majorHAnsi"/>
          <w:sz w:val="20"/>
          <w:szCs w:val="20"/>
        </w:rPr>
        <w:t>з:</w:t>
      </w:r>
    </w:p>
    <w:p w14:paraId="6879E8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важливістю відповідності їхньої праці екологічній політиці, методикам, а також іншим вимогам системи 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навколишнім середовищем;</w:t>
      </w:r>
    </w:p>
    <w:p w14:paraId="27D91AD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 впливами їхньої праці (існуючими або потенційними) на стан навколишнього середовища, а також</w:t>
      </w:r>
      <w:r w:rsidRPr="000977F7">
        <w:rPr>
          <w:rFonts w:asciiTheme="majorHAnsi" w:hAnsiTheme="majorHAnsi"/>
          <w:spacing w:val="-47"/>
          <w:sz w:val="20"/>
          <w:szCs w:val="20"/>
        </w:rPr>
        <w:t xml:space="preserve"> </w:t>
      </w:r>
      <w:r w:rsidRPr="000977F7">
        <w:rPr>
          <w:rFonts w:asciiTheme="majorHAnsi" w:hAnsiTheme="majorHAnsi"/>
          <w:sz w:val="20"/>
          <w:szCs w:val="20"/>
        </w:rPr>
        <w:t>з</w:t>
      </w:r>
      <w:r w:rsidRPr="000977F7">
        <w:rPr>
          <w:rFonts w:asciiTheme="majorHAnsi" w:hAnsiTheme="majorHAnsi"/>
          <w:spacing w:val="-2"/>
          <w:sz w:val="20"/>
          <w:szCs w:val="20"/>
        </w:rPr>
        <w:t xml:space="preserve"> </w:t>
      </w:r>
      <w:r w:rsidRPr="000977F7">
        <w:rPr>
          <w:rFonts w:asciiTheme="majorHAnsi" w:hAnsiTheme="majorHAnsi"/>
          <w:sz w:val="20"/>
          <w:szCs w:val="20"/>
        </w:rPr>
        <w:t>вигодами</w:t>
      </w:r>
      <w:r w:rsidRPr="000977F7">
        <w:rPr>
          <w:rFonts w:asciiTheme="majorHAnsi" w:hAnsiTheme="majorHAnsi"/>
          <w:spacing w:val="-2"/>
          <w:sz w:val="20"/>
          <w:szCs w:val="20"/>
        </w:rPr>
        <w:t xml:space="preserve"> </w:t>
      </w:r>
      <w:r w:rsidRPr="000977F7">
        <w:rPr>
          <w:rFonts w:asciiTheme="majorHAnsi" w:hAnsiTheme="majorHAnsi"/>
          <w:sz w:val="20"/>
          <w:szCs w:val="20"/>
        </w:rPr>
        <w:t>від удосконалення</w:t>
      </w:r>
      <w:r w:rsidRPr="000977F7">
        <w:rPr>
          <w:rFonts w:asciiTheme="majorHAnsi" w:hAnsiTheme="majorHAnsi"/>
          <w:spacing w:val="-3"/>
          <w:sz w:val="20"/>
          <w:szCs w:val="20"/>
        </w:rPr>
        <w:t xml:space="preserve"> </w:t>
      </w:r>
      <w:r w:rsidRPr="000977F7">
        <w:rPr>
          <w:rFonts w:asciiTheme="majorHAnsi" w:hAnsiTheme="majorHAnsi"/>
          <w:sz w:val="20"/>
          <w:szCs w:val="20"/>
        </w:rPr>
        <w:t>роботи персоналу;</w:t>
      </w:r>
    </w:p>
    <w:p w14:paraId="4EE7879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 їхніми функціями, обов'язками і відповідальністю щодо досягнення відповідності екологічній політиці і методикам, а також з іншими вимогами системи</w:t>
      </w:r>
      <w:r w:rsidRPr="000977F7">
        <w:rPr>
          <w:rFonts w:asciiTheme="majorHAnsi" w:hAnsiTheme="majorHAnsi"/>
          <w:spacing w:val="-47"/>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навколишнім</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середовищем,</w:t>
      </w:r>
      <w:r w:rsidRPr="000977F7">
        <w:rPr>
          <w:rFonts w:asciiTheme="majorHAnsi" w:hAnsiTheme="majorHAnsi"/>
          <w:spacing w:val="1"/>
          <w:sz w:val="20"/>
          <w:szCs w:val="20"/>
        </w:rPr>
        <w:t xml:space="preserve"> </w:t>
      </w:r>
      <w:r w:rsidRPr="000977F7">
        <w:rPr>
          <w:rFonts w:asciiTheme="majorHAnsi" w:hAnsiTheme="majorHAnsi"/>
          <w:sz w:val="20"/>
          <w:szCs w:val="20"/>
        </w:rPr>
        <w:t>включаючи</w:t>
      </w:r>
      <w:r w:rsidRPr="000977F7">
        <w:rPr>
          <w:rFonts w:asciiTheme="majorHAnsi" w:hAnsiTheme="majorHAnsi"/>
          <w:spacing w:val="1"/>
          <w:sz w:val="20"/>
          <w:szCs w:val="20"/>
        </w:rPr>
        <w:t xml:space="preserve"> </w:t>
      </w:r>
      <w:r w:rsidRPr="000977F7">
        <w:rPr>
          <w:rFonts w:asciiTheme="majorHAnsi" w:hAnsiTheme="majorHAnsi"/>
          <w:sz w:val="20"/>
          <w:szCs w:val="20"/>
        </w:rPr>
        <w:t>вимоги щодо готовності до аварійних ситуацій та реагування</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них;</w:t>
      </w:r>
    </w:p>
    <w:p w14:paraId="234A864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w:t>
      </w:r>
      <w:r w:rsidRPr="000977F7">
        <w:rPr>
          <w:rFonts w:asciiTheme="majorHAnsi" w:hAnsiTheme="majorHAnsi"/>
          <w:spacing w:val="1"/>
          <w:sz w:val="20"/>
          <w:szCs w:val="20"/>
        </w:rPr>
        <w:t xml:space="preserve"> </w:t>
      </w:r>
      <w:r w:rsidRPr="000977F7">
        <w:rPr>
          <w:rFonts w:asciiTheme="majorHAnsi" w:hAnsiTheme="majorHAnsi"/>
          <w:sz w:val="20"/>
          <w:szCs w:val="20"/>
        </w:rPr>
        <w:t>можливими</w:t>
      </w:r>
      <w:r w:rsidRPr="000977F7">
        <w:rPr>
          <w:rFonts w:asciiTheme="majorHAnsi" w:hAnsiTheme="majorHAnsi"/>
          <w:spacing w:val="1"/>
          <w:sz w:val="20"/>
          <w:szCs w:val="20"/>
        </w:rPr>
        <w:t xml:space="preserve"> </w:t>
      </w:r>
      <w:r w:rsidRPr="000977F7">
        <w:rPr>
          <w:rFonts w:asciiTheme="majorHAnsi" w:hAnsiTheme="majorHAnsi"/>
          <w:sz w:val="20"/>
          <w:szCs w:val="20"/>
        </w:rPr>
        <w:t>наслідками</w:t>
      </w:r>
      <w:r w:rsidRPr="000977F7">
        <w:rPr>
          <w:rFonts w:asciiTheme="majorHAnsi" w:hAnsiTheme="majorHAnsi"/>
          <w:spacing w:val="1"/>
          <w:sz w:val="20"/>
          <w:szCs w:val="20"/>
        </w:rPr>
        <w:t xml:space="preserve"> </w:t>
      </w:r>
      <w:r w:rsidRPr="000977F7">
        <w:rPr>
          <w:rFonts w:asciiTheme="majorHAnsi" w:hAnsiTheme="majorHAnsi"/>
          <w:sz w:val="20"/>
          <w:szCs w:val="20"/>
        </w:rPr>
        <w:t>відхилення</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вимог</w:t>
      </w:r>
      <w:r w:rsidRPr="000977F7">
        <w:rPr>
          <w:rFonts w:asciiTheme="majorHAnsi" w:hAnsiTheme="majorHAnsi"/>
          <w:spacing w:val="1"/>
          <w:sz w:val="20"/>
          <w:szCs w:val="20"/>
        </w:rPr>
        <w:t xml:space="preserve"> </w:t>
      </w:r>
      <w:r w:rsidRPr="000977F7">
        <w:rPr>
          <w:rFonts w:asciiTheme="majorHAnsi" w:hAnsiTheme="majorHAnsi"/>
          <w:sz w:val="20"/>
          <w:szCs w:val="20"/>
        </w:rPr>
        <w:t>спеціальних</w:t>
      </w:r>
      <w:r w:rsidRPr="000977F7">
        <w:rPr>
          <w:rFonts w:asciiTheme="majorHAnsi" w:hAnsiTheme="majorHAnsi"/>
          <w:spacing w:val="-2"/>
          <w:sz w:val="20"/>
          <w:szCs w:val="20"/>
        </w:rPr>
        <w:t xml:space="preserve"> </w:t>
      </w:r>
      <w:r w:rsidRPr="000977F7">
        <w:rPr>
          <w:rFonts w:asciiTheme="majorHAnsi" w:hAnsiTheme="majorHAnsi"/>
          <w:sz w:val="20"/>
          <w:szCs w:val="20"/>
        </w:rPr>
        <w:t>робочих</w:t>
      </w:r>
      <w:r w:rsidRPr="000977F7">
        <w:rPr>
          <w:rFonts w:asciiTheme="majorHAnsi" w:hAnsiTheme="majorHAnsi"/>
          <w:spacing w:val="-1"/>
          <w:sz w:val="20"/>
          <w:szCs w:val="20"/>
        </w:rPr>
        <w:t xml:space="preserve"> </w:t>
      </w:r>
      <w:r w:rsidRPr="000977F7">
        <w:rPr>
          <w:rFonts w:asciiTheme="majorHAnsi" w:hAnsiTheme="majorHAnsi"/>
          <w:sz w:val="20"/>
          <w:szCs w:val="20"/>
        </w:rPr>
        <w:t>методик.</w:t>
      </w:r>
    </w:p>
    <w:p w14:paraId="7D0D14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Персонал, що виконує завдання, які можуть мати</w:t>
      </w:r>
      <w:r w:rsidRPr="000977F7">
        <w:rPr>
          <w:rFonts w:asciiTheme="majorHAnsi" w:hAnsiTheme="majorHAnsi"/>
          <w:spacing w:val="1"/>
          <w:sz w:val="20"/>
          <w:szCs w:val="20"/>
        </w:rPr>
        <w:t xml:space="preserve"> </w:t>
      </w:r>
      <w:r w:rsidRPr="000977F7">
        <w:rPr>
          <w:rFonts w:asciiTheme="majorHAnsi" w:hAnsiTheme="majorHAnsi"/>
          <w:sz w:val="20"/>
          <w:szCs w:val="20"/>
        </w:rPr>
        <w:t>значний вплив на навколишнє середовище, повинен</w:t>
      </w:r>
      <w:r w:rsidRPr="000977F7">
        <w:rPr>
          <w:rFonts w:asciiTheme="majorHAnsi" w:hAnsiTheme="majorHAnsi"/>
          <w:spacing w:val="1"/>
          <w:sz w:val="20"/>
          <w:szCs w:val="20"/>
        </w:rPr>
        <w:t xml:space="preserve"> </w:t>
      </w:r>
      <w:r w:rsidRPr="000977F7">
        <w:rPr>
          <w:rFonts w:asciiTheme="majorHAnsi" w:hAnsiTheme="majorHAnsi"/>
          <w:sz w:val="20"/>
          <w:szCs w:val="20"/>
        </w:rPr>
        <w:t>бути компетентним за рахунок відповідного навчання,</w:t>
      </w:r>
      <w:r w:rsidRPr="000977F7">
        <w:rPr>
          <w:rFonts w:asciiTheme="majorHAnsi" w:hAnsiTheme="majorHAnsi"/>
          <w:spacing w:val="-47"/>
          <w:sz w:val="20"/>
          <w:szCs w:val="20"/>
        </w:rPr>
        <w:t xml:space="preserve"> </w:t>
      </w:r>
      <w:r w:rsidRPr="000977F7">
        <w:rPr>
          <w:rFonts w:asciiTheme="majorHAnsi" w:hAnsiTheme="majorHAnsi"/>
          <w:sz w:val="20"/>
          <w:szCs w:val="20"/>
        </w:rPr>
        <w:t>підготовки</w:t>
      </w:r>
      <w:r w:rsidRPr="000977F7">
        <w:rPr>
          <w:rFonts w:asciiTheme="majorHAnsi" w:hAnsiTheme="majorHAnsi"/>
          <w:spacing w:val="-2"/>
          <w:sz w:val="20"/>
          <w:szCs w:val="20"/>
        </w:rPr>
        <w:t xml:space="preserve"> </w:t>
      </w:r>
      <w:r w:rsidRPr="000977F7">
        <w:rPr>
          <w:rFonts w:asciiTheme="majorHAnsi" w:hAnsiTheme="majorHAnsi"/>
          <w:sz w:val="20"/>
          <w:szCs w:val="20"/>
        </w:rPr>
        <w:t>та/або практичних</w:t>
      </w:r>
      <w:r w:rsidRPr="000977F7">
        <w:rPr>
          <w:rFonts w:asciiTheme="majorHAnsi" w:hAnsiTheme="majorHAnsi"/>
          <w:spacing w:val="-1"/>
          <w:sz w:val="20"/>
          <w:szCs w:val="20"/>
        </w:rPr>
        <w:t xml:space="preserve"> </w:t>
      </w:r>
      <w:r w:rsidRPr="000977F7">
        <w:rPr>
          <w:rFonts w:asciiTheme="majorHAnsi" w:hAnsiTheme="majorHAnsi"/>
          <w:sz w:val="20"/>
          <w:szCs w:val="20"/>
        </w:rPr>
        <w:t>занять.</w:t>
      </w:r>
    </w:p>
    <w:p w14:paraId="79D93942" w14:textId="77777777" w:rsidR="0097612F" w:rsidRPr="000977F7" w:rsidRDefault="0097612F" w:rsidP="00FD39A4">
      <w:pPr>
        <w:pStyle w:val="7"/>
        <w:keepNext w:val="0"/>
        <w:keepLines w:val="0"/>
        <w:widowControl w:val="0"/>
        <w:numPr>
          <w:ilvl w:val="1"/>
          <w:numId w:val="208"/>
        </w:numPr>
        <w:tabs>
          <w:tab w:val="left" w:pos="284"/>
          <w:tab w:val="left" w:pos="1037"/>
        </w:tabs>
        <w:autoSpaceDE w:val="0"/>
        <w:autoSpaceDN w:val="0"/>
        <w:spacing w:before="0" w:line="240" w:lineRule="auto"/>
        <w:ind w:left="170" w:firstLine="0"/>
        <w:mirrorIndents/>
        <w:jc w:val="both"/>
        <w:rPr>
          <w:color w:val="auto"/>
          <w:sz w:val="20"/>
          <w:szCs w:val="20"/>
        </w:rPr>
      </w:pPr>
      <w:r w:rsidRPr="000977F7">
        <w:rPr>
          <w:color w:val="auto"/>
          <w:sz w:val="20"/>
          <w:szCs w:val="20"/>
        </w:rPr>
        <w:t>Зв'язки</w:t>
      </w:r>
    </w:p>
    <w:p w14:paraId="1D769E6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Відповідно до екологічних аспектів і до вимог системи управління навколишнім середовищем організації слід розробити і підтримувати в робочому стані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методики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щодо:</w:t>
      </w:r>
    </w:p>
    <w:p w14:paraId="6AA8826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а) забезпечення зв'язків та координації внутрішніх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взаємодій між різними ієрархічними 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функціональними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рівнями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організації;</w:t>
      </w:r>
    </w:p>
    <w:p w14:paraId="5D9F9C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 реєстрації отриманих повідомлень та запитів від</w:t>
      </w:r>
      <w:r w:rsidRPr="000977F7">
        <w:rPr>
          <w:rFonts w:asciiTheme="majorHAnsi" w:hAnsiTheme="majorHAnsi"/>
          <w:spacing w:val="-48"/>
          <w:sz w:val="20"/>
          <w:szCs w:val="20"/>
        </w:rPr>
        <w:t xml:space="preserve"> </w:t>
      </w:r>
      <w:r w:rsidRPr="000977F7">
        <w:rPr>
          <w:rFonts w:asciiTheme="majorHAnsi" w:hAnsiTheme="majorHAnsi"/>
          <w:sz w:val="20"/>
          <w:szCs w:val="20"/>
        </w:rPr>
        <w:t>зовнішніх зацікавлених сторін та надання адекватних</w:t>
      </w:r>
      <w:r w:rsidRPr="000977F7">
        <w:rPr>
          <w:rFonts w:asciiTheme="majorHAnsi" w:hAnsiTheme="majorHAnsi"/>
          <w:spacing w:val="1"/>
          <w:sz w:val="20"/>
          <w:szCs w:val="20"/>
        </w:rPr>
        <w:t xml:space="preserve"> </w:t>
      </w:r>
      <w:r w:rsidRPr="000977F7">
        <w:rPr>
          <w:rFonts w:asciiTheme="majorHAnsi" w:hAnsiTheme="majorHAnsi"/>
          <w:sz w:val="20"/>
          <w:szCs w:val="20"/>
        </w:rPr>
        <w:t>відповідей</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них.</w:t>
      </w:r>
    </w:p>
    <w:p w14:paraId="4F38819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повинна</w:t>
      </w:r>
      <w:r w:rsidRPr="000977F7">
        <w:rPr>
          <w:rFonts w:asciiTheme="majorHAnsi" w:hAnsiTheme="majorHAnsi"/>
          <w:spacing w:val="1"/>
          <w:sz w:val="20"/>
          <w:szCs w:val="20"/>
        </w:rPr>
        <w:t xml:space="preserve"> </w:t>
      </w:r>
      <w:r w:rsidRPr="000977F7">
        <w:rPr>
          <w:rFonts w:asciiTheme="majorHAnsi" w:hAnsiTheme="majorHAnsi"/>
          <w:sz w:val="20"/>
          <w:szCs w:val="20"/>
        </w:rPr>
        <w:t>відносити</w:t>
      </w:r>
      <w:r w:rsidRPr="000977F7">
        <w:rPr>
          <w:rFonts w:asciiTheme="majorHAnsi" w:hAnsiTheme="majorHAnsi"/>
          <w:spacing w:val="1"/>
          <w:sz w:val="20"/>
          <w:szCs w:val="20"/>
        </w:rPr>
        <w:t xml:space="preserve"> </w:t>
      </w:r>
      <w:r w:rsidRPr="000977F7">
        <w:rPr>
          <w:rFonts w:asciiTheme="majorHAnsi" w:hAnsiTheme="majorHAnsi"/>
          <w:sz w:val="20"/>
          <w:szCs w:val="20"/>
        </w:rPr>
        <w:t>процеси</w:t>
      </w:r>
      <w:r w:rsidRPr="000977F7">
        <w:rPr>
          <w:rFonts w:asciiTheme="majorHAnsi" w:hAnsiTheme="majorHAnsi"/>
          <w:spacing w:val="1"/>
          <w:sz w:val="20"/>
          <w:szCs w:val="20"/>
        </w:rPr>
        <w:t xml:space="preserve"> </w:t>
      </w:r>
      <w:r w:rsidRPr="000977F7">
        <w:rPr>
          <w:rFonts w:asciiTheme="majorHAnsi" w:hAnsiTheme="majorHAnsi"/>
          <w:sz w:val="20"/>
          <w:szCs w:val="20"/>
        </w:rPr>
        <w:t>підтримання зовнішніх зв'язків до своїх суттєвих екологічних</w:t>
      </w:r>
      <w:r w:rsidRPr="000977F7">
        <w:rPr>
          <w:rFonts w:asciiTheme="majorHAnsi" w:hAnsiTheme="majorHAnsi"/>
          <w:spacing w:val="-2"/>
          <w:sz w:val="20"/>
          <w:szCs w:val="20"/>
        </w:rPr>
        <w:t xml:space="preserve"> </w:t>
      </w:r>
      <w:r w:rsidRPr="000977F7">
        <w:rPr>
          <w:rFonts w:asciiTheme="majorHAnsi" w:hAnsiTheme="majorHAnsi"/>
          <w:sz w:val="20"/>
          <w:szCs w:val="20"/>
        </w:rPr>
        <w:t>аспектів.</w:t>
      </w:r>
    </w:p>
    <w:p w14:paraId="45D01349" w14:textId="77777777" w:rsidR="0097612F" w:rsidRPr="000977F7" w:rsidRDefault="0097612F" w:rsidP="00FD39A4">
      <w:pPr>
        <w:pStyle w:val="7"/>
        <w:keepNext w:val="0"/>
        <w:keepLines w:val="0"/>
        <w:widowControl w:val="0"/>
        <w:numPr>
          <w:ilvl w:val="1"/>
          <w:numId w:val="208"/>
        </w:numPr>
        <w:tabs>
          <w:tab w:val="left" w:pos="284"/>
          <w:tab w:val="left" w:pos="1037"/>
        </w:tabs>
        <w:autoSpaceDE w:val="0"/>
        <w:autoSpaceDN w:val="0"/>
        <w:spacing w:before="0" w:line="240" w:lineRule="auto"/>
        <w:ind w:left="170" w:firstLine="0"/>
        <w:mirrorIndents/>
        <w:jc w:val="both"/>
        <w:rPr>
          <w:color w:val="auto"/>
          <w:sz w:val="20"/>
          <w:szCs w:val="20"/>
        </w:rPr>
      </w:pPr>
      <w:r w:rsidRPr="000977F7">
        <w:rPr>
          <w:color w:val="auto"/>
          <w:sz w:val="20"/>
          <w:szCs w:val="20"/>
        </w:rPr>
        <w:t>Документація</w:t>
      </w:r>
      <w:r w:rsidRPr="000977F7">
        <w:rPr>
          <w:color w:val="auto"/>
          <w:spacing w:val="1"/>
          <w:sz w:val="20"/>
          <w:szCs w:val="20"/>
        </w:rPr>
        <w:t xml:space="preserve"> </w:t>
      </w:r>
      <w:r w:rsidRPr="000977F7">
        <w:rPr>
          <w:color w:val="auto"/>
          <w:sz w:val="20"/>
          <w:szCs w:val="20"/>
        </w:rPr>
        <w:t>системи</w:t>
      </w:r>
      <w:r w:rsidRPr="000977F7">
        <w:rPr>
          <w:color w:val="auto"/>
          <w:spacing w:val="1"/>
          <w:sz w:val="20"/>
          <w:szCs w:val="20"/>
        </w:rPr>
        <w:t xml:space="preserve"> </w:t>
      </w:r>
      <w:r w:rsidRPr="000977F7">
        <w:rPr>
          <w:color w:val="auto"/>
          <w:sz w:val="20"/>
          <w:szCs w:val="20"/>
        </w:rPr>
        <w:t>управління</w:t>
      </w:r>
      <w:r w:rsidRPr="000977F7">
        <w:rPr>
          <w:color w:val="auto"/>
          <w:spacing w:val="1"/>
          <w:sz w:val="20"/>
          <w:szCs w:val="20"/>
        </w:rPr>
        <w:t xml:space="preserve"> </w:t>
      </w:r>
      <w:r w:rsidRPr="000977F7">
        <w:rPr>
          <w:color w:val="auto"/>
          <w:sz w:val="20"/>
          <w:szCs w:val="20"/>
        </w:rPr>
        <w:t>навколишнім середовищем</w:t>
      </w:r>
    </w:p>
    <w:p w14:paraId="5A80AF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Організації слід створити і підтримувати в робочому стані (на паперових, електронних чи інших носіях) необхідну документацію та інформацію, призначену</w:t>
      </w:r>
      <w:r w:rsidRPr="000977F7">
        <w:rPr>
          <w:rFonts w:asciiTheme="majorHAnsi" w:hAnsiTheme="majorHAnsi"/>
          <w:spacing w:val="-5"/>
          <w:sz w:val="20"/>
          <w:szCs w:val="20"/>
        </w:rPr>
        <w:t xml:space="preserve"> </w:t>
      </w:r>
      <w:r w:rsidRPr="000977F7">
        <w:rPr>
          <w:rFonts w:asciiTheme="majorHAnsi" w:hAnsiTheme="majorHAnsi"/>
          <w:sz w:val="20"/>
          <w:szCs w:val="20"/>
        </w:rPr>
        <w:t>для:</w:t>
      </w:r>
    </w:p>
    <w:p w14:paraId="15D62B7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регламентації найсуттєвіших елементів системи</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 навколишнім середовищем та їх взаємодій;</w:t>
      </w:r>
    </w:p>
    <w:p w14:paraId="544DF8F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 забезпечення управління відповідною документацією.</w:t>
      </w:r>
    </w:p>
    <w:p w14:paraId="4E546D20" w14:textId="77777777" w:rsidR="0097612F" w:rsidRPr="000977F7" w:rsidRDefault="0097612F" w:rsidP="00FD39A4">
      <w:pPr>
        <w:pStyle w:val="7"/>
        <w:keepNext w:val="0"/>
        <w:keepLines w:val="0"/>
        <w:widowControl w:val="0"/>
        <w:numPr>
          <w:ilvl w:val="1"/>
          <w:numId w:val="208"/>
        </w:numPr>
        <w:tabs>
          <w:tab w:val="left" w:pos="284"/>
          <w:tab w:val="left" w:pos="1037"/>
        </w:tabs>
        <w:autoSpaceDE w:val="0"/>
        <w:autoSpaceDN w:val="0"/>
        <w:spacing w:before="0" w:line="240" w:lineRule="auto"/>
        <w:ind w:left="170" w:firstLine="0"/>
        <w:mirrorIndents/>
        <w:jc w:val="both"/>
        <w:rPr>
          <w:color w:val="auto"/>
          <w:sz w:val="20"/>
          <w:szCs w:val="20"/>
        </w:rPr>
      </w:pPr>
      <w:r w:rsidRPr="000977F7">
        <w:rPr>
          <w:color w:val="auto"/>
          <w:sz w:val="20"/>
          <w:szCs w:val="20"/>
        </w:rPr>
        <w:t>Управління</w:t>
      </w:r>
      <w:r w:rsidRPr="000977F7">
        <w:rPr>
          <w:color w:val="auto"/>
          <w:spacing w:val="-6"/>
          <w:sz w:val="20"/>
          <w:szCs w:val="20"/>
        </w:rPr>
        <w:t xml:space="preserve"> </w:t>
      </w:r>
      <w:r w:rsidRPr="000977F7">
        <w:rPr>
          <w:color w:val="auto"/>
          <w:sz w:val="20"/>
          <w:szCs w:val="20"/>
        </w:rPr>
        <w:t>документацією</w:t>
      </w:r>
    </w:p>
    <w:p w14:paraId="17EB3F3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Організації слід розробити і підтримувати в робочому стані методики управління всіма документами,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які</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вимагаються</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цим стандартом,</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щоб</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забезпечити:</w:t>
      </w:r>
    </w:p>
    <w:p w14:paraId="36E4EB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5"/>
          <w:sz w:val="20"/>
          <w:szCs w:val="20"/>
        </w:rPr>
        <w:t xml:space="preserve"> </w:t>
      </w:r>
      <w:r w:rsidRPr="000977F7">
        <w:rPr>
          <w:rFonts w:asciiTheme="majorHAnsi" w:hAnsiTheme="majorHAnsi"/>
          <w:sz w:val="20"/>
          <w:szCs w:val="20"/>
        </w:rPr>
        <w:t>встановлення</w:t>
      </w:r>
      <w:r w:rsidRPr="000977F7">
        <w:rPr>
          <w:rFonts w:asciiTheme="majorHAnsi" w:hAnsiTheme="majorHAnsi"/>
          <w:spacing w:val="-6"/>
          <w:sz w:val="20"/>
          <w:szCs w:val="20"/>
        </w:rPr>
        <w:t xml:space="preserve"> </w:t>
      </w:r>
      <w:r w:rsidRPr="000977F7">
        <w:rPr>
          <w:rFonts w:asciiTheme="majorHAnsi" w:hAnsiTheme="majorHAnsi"/>
          <w:sz w:val="20"/>
          <w:szCs w:val="20"/>
        </w:rPr>
        <w:t>їхнього</w:t>
      </w:r>
      <w:r w:rsidRPr="000977F7">
        <w:rPr>
          <w:rFonts w:asciiTheme="majorHAnsi" w:hAnsiTheme="majorHAnsi"/>
          <w:spacing w:val="-4"/>
          <w:sz w:val="20"/>
          <w:szCs w:val="20"/>
        </w:rPr>
        <w:t xml:space="preserve"> </w:t>
      </w:r>
      <w:r w:rsidRPr="000977F7">
        <w:rPr>
          <w:rFonts w:asciiTheme="majorHAnsi" w:hAnsiTheme="majorHAnsi"/>
          <w:sz w:val="20"/>
          <w:szCs w:val="20"/>
        </w:rPr>
        <w:t>місцезнаходження;</w:t>
      </w:r>
    </w:p>
    <w:p w14:paraId="072F96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 їх періодичну перевірку, аналіз, перегляд (за необхідності), підтвердження їх достатності уповноваженими</w:t>
      </w:r>
      <w:r w:rsidRPr="000977F7">
        <w:rPr>
          <w:rFonts w:asciiTheme="majorHAnsi" w:hAnsiTheme="majorHAnsi"/>
          <w:spacing w:val="-2"/>
          <w:sz w:val="20"/>
          <w:szCs w:val="20"/>
        </w:rPr>
        <w:t xml:space="preserve"> </w:t>
      </w:r>
      <w:r w:rsidRPr="000977F7">
        <w:rPr>
          <w:rFonts w:asciiTheme="majorHAnsi" w:hAnsiTheme="majorHAnsi"/>
          <w:sz w:val="20"/>
          <w:szCs w:val="20"/>
        </w:rPr>
        <w:t>особами;</w:t>
      </w:r>
    </w:p>
    <w:p w14:paraId="47A28D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в) наявність чинних видань відповідних документів на всіх ділянках, де проводяться роботи, необхідні</w:t>
      </w:r>
      <w:r w:rsidRPr="000977F7">
        <w:rPr>
          <w:rFonts w:asciiTheme="majorHAnsi" w:hAnsiTheme="majorHAnsi"/>
          <w:spacing w:val="1"/>
          <w:sz w:val="20"/>
          <w:szCs w:val="20"/>
        </w:rPr>
        <w:t xml:space="preserve"> </w:t>
      </w:r>
      <w:r w:rsidRPr="000977F7">
        <w:rPr>
          <w:rFonts w:asciiTheme="majorHAnsi" w:hAnsiTheme="majorHAnsi"/>
          <w:sz w:val="20"/>
          <w:szCs w:val="20"/>
        </w:rPr>
        <w:t>для ефективного функціонування системи 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навколишнім середовищем;</w:t>
      </w:r>
    </w:p>
    <w:p w14:paraId="422C98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 оперативне скасування документів, що втратили</w:t>
      </w:r>
      <w:r w:rsidRPr="000977F7">
        <w:rPr>
          <w:rFonts w:asciiTheme="majorHAnsi" w:hAnsiTheme="majorHAnsi"/>
          <w:spacing w:val="-47"/>
          <w:sz w:val="20"/>
          <w:szCs w:val="20"/>
        </w:rPr>
        <w:t xml:space="preserve"> </w:t>
      </w:r>
      <w:r w:rsidRPr="000977F7">
        <w:rPr>
          <w:rFonts w:asciiTheme="majorHAnsi" w:hAnsiTheme="majorHAnsi"/>
          <w:sz w:val="20"/>
          <w:szCs w:val="20"/>
        </w:rPr>
        <w:t>актуальність,</w:t>
      </w:r>
      <w:r w:rsidRPr="000977F7">
        <w:rPr>
          <w:rFonts w:asciiTheme="majorHAnsi" w:hAnsiTheme="majorHAnsi"/>
          <w:spacing w:val="1"/>
          <w:sz w:val="20"/>
          <w:szCs w:val="20"/>
        </w:rPr>
        <w:t xml:space="preserve"> </w:t>
      </w:r>
      <w:r w:rsidRPr="000977F7">
        <w:rPr>
          <w:rFonts w:asciiTheme="majorHAnsi" w:hAnsiTheme="majorHAnsi"/>
          <w:sz w:val="20"/>
          <w:szCs w:val="20"/>
        </w:rPr>
        <w:t>вилучення їх з</w:t>
      </w:r>
      <w:r w:rsidRPr="000977F7">
        <w:rPr>
          <w:rFonts w:asciiTheme="majorHAnsi" w:hAnsiTheme="majorHAnsi"/>
          <w:spacing w:val="1"/>
          <w:sz w:val="20"/>
          <w:szCs w:val="20"/>
        </w:rPr>
        <w:t xml:space="preserve"> </w:t>
      </w:r>
      <w:r w:rsidRPr="000977F7">
        <w:rPr>
          <w:rFonts w:asciiTheme="majorHAnsi" w:hAnsiTheme="majorHAnsi"/>
          <w:sz w:val="20"/>
          <w:szCs w:val="20"/>
        </w:rPr>
        <w:t>усіх місць</w:t>
      </w:r>
      <w:r w:rsidRPr="000977F7">
        <w:rPr>
          <w:rFonts w:asciiTheme="majorHAnsi" w:hAnsiTheme="majorHAnsi"/>
          <w:spacing w:val="50"/>
          <w:sz w:val="20"/>
          <w:szCs w:val="20"/>
        </w:rPr>
        <w:t xml:space="preserve"> </w:t>
      </w:r>
      <w:r w:rsidRPr="000977F7">
        <w:rPr>
          <w:rFonts w:asciiTheme="majorHAnsi" w:hAnsiTheme="majorHAnsi"/>
          <w:sz w:val="20"/>
          <w:szCs w:val="20"/>
        </w:rPr>
        <w:t>тиражування</w:t>
      </w:r>
      <w:r w:rsidRPr="000977F7">
        <w:rPr>
          <w:rFonts w:asciiTheme="majorHAnsi" w:hAnsiTheme="majorHAnsi"/>
          <w:spacing w:val="-47"/>
          <w:sz w:val="20"/>
          <w:szCs w:val="20"/>
        </w:rPr>
        <w:t xml:space="preserve"> </w:t>
      </w:r>
      <w:r w:rsidRPr="000977F7">
        <w:rPr>
          <w:rFonts w:asciiTheme="majorHAnsi" w:hAnsiTheme="majorHAnsi"/>
          <w:sz w:val="20"/>
          <w:szCs w:val="20"/>
        </w:rPr>
        <w:t>та використання або запобігання іншим чином їх не</w:t>
      </w:r>
      <w:r w:rsidRPr="000977F7">
        <w:rPr>
          <w:rFonts w:asciiTheme="majorHAnsi" w:hAnsiTheme="majorHAnsi"/>
          <w:spacing w:val="1"/>
          <w:sz w:val="20"/>
          <w:szCs w:val="20"/>
        </w:rPr>
        <w:t xml:space="preserve"> </w:t>
      </w:r>
      <w:r w:rsidRPr="000977F7">
        <w:rPr>
          <w:rFonts w:asciiTheme="majorHAnsi" w:hAnsiTheme="majorHAnsi"/>
          <w:sz w:val="20"/>
          <w:szCs w:val="20"/>
        </w:rPr>
        <w:t>передбаченому</w:t>
      </w:r>
      <w:r w:rsidRPr="000977F7">
        <w:rPr>
          <w:rFonts w:asciiTheme="majorHAnsi" w:hAnsiTheme="majorHAnsi"/>
          <w:spacing w:val="-5"/>
          <w:sz w:val="20"/>
          <w:szCs w:val="20"/>
        </w:rPr>
        <w:t xml:space="preserve"> </w:t>
      </w:r>
      <w:r w:rsidRPr="000977F7">
        <w:rPr>
          <w:rFonts w:asciiTheme="majorHAnsi" w:hAnsiTheme="majorHAnsi"/>
          <w:sz w:val="20"/>
          <w:szCs w:val="20"/>
        </w:rPr>
        <w:t>використанню;</w:t>
      </w:r>
    </w:p>
    <w:p w14:paraId="43E4CA3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 належну ідентифікацію скасованих документів,</w:t>
      </w:r>
      <w:r w:rsidRPr="000977F7">
        <w:rPr>
          <w:rFonts w:asciiTheme="majorHAnsi" w:hAnsiTheme="majorHAnsi"/>
          <w:spacing w:val="1"/>
          <w:sz w:val="20"/>
          <w:szCs w:val="20"/>
        </w:rPr>
        <w:t xml:space="preserve"> </w:t>
      </w:r>
      <w:r w:rsidRPr="000977F7">
        <w:rPr>
          <w:rFonts w:asciiTheme="majorHAnsi" w:hAnsiTheme="majorHAnsi"/>
          <w:sz w:val="20"/>
          <w:szCs w:val="20"/>
        </w:rPr>
        <w:t>що зберігаються з юридичних причин та/або для інформації.</w:t>
      </w:r>
    </w:p>
    <w:p w14:paraId="3B2F53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Документація повинна легко читатися, бути датованою (з зазначенням дати перегляду), легко ідентифікуватись,</w:t>
      </w:r>
      <w:r w:rsidRPr="000977F7">
        <w:rPr>
          <w:rFonts w:asciiTheme="majorHAnsi" w:hAnsiTheme="majorHAnsi"/>
          <w:spacing w:val="1"/>
          <w:sz w:val="20"/>
          <w:szCs w:val="20"/>
        </w:rPr>
        <w:t xml:space="preserve"> </w:t>
      </w:r>
      <w:r w:rsidRPr="000977F7">
        <w:rPr>
          <w:rFonts w:asciiTheme="majorHAnsi" w:hAnsiTheme="majorHAnsi"/>
          <w:sz w:val="20"/>
          <w:szCs w:val="20"/>
        </w:rPr>
        <w:t>зберігатись</w:t>
      </w:r>
      <w:r w:rsidRPr="000977F7">
        <w:rPr>
          <w:rFonts w:asciiTheme="majorHAnsi" w:hAnsiTheme="majorHAnsi"/>
          <w:spacing w:val="1"/>
          <w:sz w:val="20"/>
          <w:szCs w:val="20"/>
        </w:rPr>
        <w:t xml:space="preserve"> </w:t>
      </w:r>
      <w:r w:rsidRPr="000977F7">
        <w:rPr>
          <w:rFonts w:asciiTheme="majorHAnsi" w:hAnsiTheme="majorHAnsi"/>
          <w:sz w:val="20"/>
          <w:szCs w:val="20"/>
        </w:rPr>
        <w:t>належним</w:t>
      </w:r>
      <w:r w:rsidRPr="000977F7">
        <w:rPr>
          <w:rFonts w:asciiTheme="majorHAnsi" w:hAnsiTheme="majorHAnsi"/>
          <w:spacing w:val="1"/>
          <w:sz w:val="20"/>
          <w:szCs w:val="20"/>
        </w:rPr>
        <w:t xml:space="preserve"> </w:t>
      </w:r>
      <w:r w:rsidRPr="000977F7">
        <w:rPr>
          <w:rFonts w:asciiTheme="majorHAnsi" w:hAnsiTheme="majorHAnsi"/>
          <w:sz w:val="20"/>
          <w:szCs w:val="20"/>
        </w:rPr>
        <w:t>чином</w:t>
      </w:r>
      <w:r w:rsidRPr="000977F7">
        <w:rPr>
          <w:rFonts w:asciiTheme="majorHAnsi" w:hAnsiTheme="majorHAnsi"/>
          <w:spacing w:val="1"/>
          <w:sz w:val="20"/>
          <w:szCs w:val="20"/>
        </w:rPr>
        <w:t xml:space="preserve"> </w:t>
      </w:r>
      <w:r w:rsidRPr="000977F7">
        <w:rPr>
          <w:rFonts w:asciiTheme="majorHAnsi" w:hAnsiTheme="majorHAnsi"/>
          <w:sz w:val="20"/>
          <w:szCs w:val="20"/>
        </w:rPr>
        <w:t>протягом</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встановленого періоду часу. Повинні бути розроблені</w:t>
      </w:r>
      <w:r w:rsidRPr="000977F7">
        <w:rPr>
          <w:rFonts w:asciiTheme="majorHAnsi" w:hAnsiTheme="majorHAnsi"/>
          <w:spacing w:val="1"/>
          <w:sz w:val="20"/>
          <w:szCs w:val="20"/>
        </w:rPr>
        <w:t xml:space="preserve"> </w:t>
      </w:r>
      <w:r w:rsidRPr="000977F7">
        <w:rPr>
          <w:rFonts w:asciiTheme="majorHAnsi" w:hAnsiTheme="majorHAnsi"/>
          <w:sz w:val="20"/>
          <w:szCs w:val="20"/>
        </w:rPr>
        <w:t>та підтримуватись в робочому стані методики, а також повинні бути визначені обов'язки персоналу стосовно розроблення та модифікації різних типів документів.</w:t>
      </w:r>
    </w:p>
    <w:p w14:paraId="219FC767" w14:textId="77777777" w:rsidR="0097612F" w:rsidRPr="000977F7" w:rsidRDefault="0097612F" w:rsidP="00FD39A4">
      <w:pPr>
        <w:pStyle w:val="7"/>
        <w:keepNext w:val="0"/>
        <w:keepLines w:val="0"/>
        <w:widowControl w:val="0"/>
        <w:numPr>
          <w:ilvl w:val="1"/>
          <w:numId w:val="208"/>
        </w:numPr>
        <w:tabs>
          <w:tab w:val="left" w:pos="284"/>
          <w:tab w:val="left" w:pos="1161"/>
        </w:tabs>
        <w:autoSpaceDE w:val="0"/>
        <w:autoSpaceDN w:val="0"/>
        <w:spacing w:before="0" w:line="240" w:lineRule="auto"/>
        <w:ind w:left="170" w:firstLine="0"/>
        <w:mirrorIndents/>
        <w:jc w:val="both"/>
        <w:rPr>
          <w:color w:val="auto"/>
          <w:sz w:val="20"/>
          <w:szCs w:val="20"/>
        </w:rPr>
      </w:pPr>
      <w:r w:rsidRPr="000977F7">
        <w:rPr>
          <w:color w:val="auto"/>
          <w:sz w:val="20"/>
          <w:szCs w:val="20"/>
        </w:rPr>
        <w:t>Управління</w:t>
      </w:r>
      <w:r w:rsidRPr="000977F7">
        <w:rPr>
          <w:color w:val="auto"/>
          <w:spacing w:val="-3"/>
          <w:sz w:val="20"/>
          <w:szCs w:val="20"/>
        </w:rPr>
        <w:t xml:space="preserve"> </w:t>
      </w:r>
      <w:r w:rsidRPr="000977F7">
        <w:rPr>
          <w:color w:val="auto"/>
          <w:sz w:val="20"/>
          <w:szCs w:val="20"/>
        </w:rPr>
        <w:t>роботами</w:t>
      </w:r>
    </w:p>
    <w:p w14:paraId="09B16F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4D2D14">
        <w:rPr>
          <w:rFonts w:asciiTheme="majorHAnsi" w:hAnsiTheme="majorHAnsi"/>
          <w:sz w:val="20"/>
          <w:szCs w:val="20"/>
          <w:lang w:val="uk-UA"/>
        </w:rPr>
        <w:t>Організації слід визначити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ті види діяльності 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 xml:space="preserve">роботи, які пов'язані з суттєвими екологічними аспектами стосовно її політики, цілей та завдань. </w:t>
      </w:r>
      <w:r w:rsidRPr="000977F7">
        <w:rPr>
          <w:rFonts w:asciiTheme="majorHAnsi" w:hAnsiTheme="majorHAnsi"/>
          <w:sz w:val="20"/>
          <w:szCs w:val="20"/>
        </w:rPr>
        <w:t>Організація повинна планувати ці роботи, включаючи необхідні ресурси, щоб забезпечити їх здійснення згідно з</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встановленими умовами</w:t>
      </w:r>
      <w:r w:rsidRPr="000977F7">
        <w:rPr>
          <w:rFonts w:asciiTheme="majorHAnsi" w:hAnsiTheme="majorHAnsi"/>
          <w:spacing w:val="-2"/>
          <w:sz w:val="20"/>
          <w:szCs w:val="20"/>
        </w:rPr>
        <w:t xml:space="preserve"> </w:t>
      </w:r>
      <w:r w:rsidRPr="000977F7">
        <w:rPr>
          <w:rFonts w:asciiTheme="majorHAnsi" w:hAnsiTheme="majorHAnsi"/>
          <w:sz w:val="20"/>
          <w:szCs w:val="20"/>
        </w:rPr>
        <w:t>за</w:t>
      </w:r>
      <w:r w:rsidRPr="000977F7">
        <w:rPr>
          <w:rFonts w:asciiTheme="majorHAnsi" w:hAnsiTheme="majorHAnsi"/>
          <w:spacing w:val="2"/>
          <w:sz w:val="20"/>
          <w:szCs w:val="20"/>
        </w:rPr>
        <w:t xml:space="preserve"> </w:t>
      </w:r>
      <w:r w:rsidRPr="000977F7">
        <w:rPr>
          <w:rFonts w:asciiTheme="majorHAnsi" w:hAnsiTheme="majorHAnsi"/>
          <w:sz w:val="20"/>
          <w:szCs w:val="20"/>
        </w:rPr>
        <w:t>допомогою:</w:t>
      </w:r>
    </w:p>
    <w:p w14:paraId="770579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розроблення і підтримання в робочому стані документально оформлених методик для ситуацій, де їх</w:t>
      </w:r>
      <w:r w:rsidRPr="000977F7">
        <w:rPr>
          <w:rFonts w:asciiTheme="majorHAnsi" w:hAnsiTheme="majorHAnsi"/>
          <w:spacing w:val="1"/>
          <w:sz w:val="20"/>
          <w:szCs w:val="20"/>
        </w:rPr>
        <w:t xml:space="preserve"> </w:t>
      </w:r>
      <w:r w:rsidRPr="000977F7">
        <w:rPr>
          <w:rFonts w:asciiTheme="majorHAnsi" w:hAnsiTheme="majorHAnsi"/>
          <w:sz w:val="20"/>
          <w:szCs w:val="20"/>
        </w:rPr>
        <w:t>відсутність могла б призвести до відхилень від екологічної</w:t>
      </w:r>
      <w:r w:rsidRPr="000977F7">
        <w:rPr>
          <w:rFonts w:asciiTheme="majorHAnsi" w:hAnsiTheme="majorHAnsi"/>
          <w:spacing w:val="-2"/>
          <w:sz w:val="20"/>
          <w:szCs w:val="20"/>
        </w:rPr>
        <w:t xml:space="preserve"> </w:t>
      </w:r>
      <w:r w:rsidRPr="000977F7">
        <w:rPr>
          <w:rFonts w:asciiTheme="majorHAnsi" w:hAnsiTheme="majorHAnsi"/>
          <w:sz w:val="20"/>
          <w:szCs w:val="20"/>
        </w:rPr>
        <w:t>політики, цілей</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завдань;</w:t>
      </w:r>
    </w:p>
    <w:p w14:paraId="281458B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w:t>
      </w:r>
      <w:r w:rsidRPr="000977F7">
        <w:rPr>
          <w:rFonts w:asciiTheme="majorHAnsi" w:hAnsiTheme="majorHAnsi"/>
          <w:spacing w:val="16"/>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16"/>
          <w:sz w:val="20"/>
          <w:szCs w:val="20"/>
        </w:rPr>
        <w:t xml:space="preserve"> </w:t>
      </w:r>
      <w:r w:rsidRPr="000977F7">
        <w:rPr>
          <w:rFonts w:asciiTheme="majorHAnsi" w:hAnsiTheme="majorHAnsi"/>
          <w:sz w:val="20"/>
          <w:szCs w:val="20"/>
        </w:rPr>
        <w:t>в</w:t>
      </w:r>
      <w:r w:rsidRPr="000977F7">
        <w:rPr>
          <w:rFonts w:asciiTheme="majorHAnsi" w:hAnsiTheme="majorHAnsi"/>
          <w:spacing w:val="15"/>
          <w:sz w:val="20"/>
          <w:szCs w:val="20"/>
        </w:rPr>
        <w:t xml:space="preserve"> </w:t>
      </w:r>
      <w:r w:rsidRPr="000977F7">
        <w:rPr>
          <w:rFonts w:asciiTheme="majorHAnsi" w:hAnsiTheme="majorHAnsi"/>
          <w:sz w:val="20"/>
          <w:szCs w:val="20"/>
        </w:rPr>
        <w:t>методиках</w:t>
      </w:r>
      <w:r w:rsidRPr="000977F7">
        <w:rPr>
          <w:rFonts w:asciiTheme="majorHAnsi" w:hAnsiTheme="majorHAnsi"/>
          <w:spacing w:val="16"/>
          <w:sz w:val="20"/>
          <w:szCs w:val="20"/>
        </w:rPr>
        <w:t xml:space="preserve"> </w:t>
      </w:r>
      <w:r w:rsidRPr="000977F7">
        <w:rPr>
          <w:rFonts w:asciiTheme="majorHAnsi" w:hAnsiTheme="majorHAnsi"/>
          <w:sz w:val="20"/>
          <w:szCs w:val="20"/>
        </w:rPr>
        <w:t>операційних</w:t>
      </w:r>
      <w:r w:rsidRPr="000977F7">
        <w:rPr>
          <w:rFonts w:asciiTheme="majorHAnsi" w:hAnsiTheme="majorHAnsi"/>
          <w:spacing w:val="15"/>
          <w:sz w:val="20"/>
          <w:szCs w:val="20"/>
        </w:rPr>
        <w:t xml:space="preserve"> </w:t>
      </w:r>
      <w:r w:rsidRPr="000977F7">
        <w:rPr>
          <w:rFonts w:asciiTheme="majorHAnsi" w:hAnsiTheme="majorHAnsi"/>
          <w:sz w:val="20"/>
          <w:szCs w:val="20"/>
        </w:rPr>
        <w:t>критеріїв;</w:t>
      </w:r>
    </w:p>
    <w:p w14:paraId="2F9BEC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 розроблення і підтримання в робочому стані методик, пов'язаних з суттєвими екологічними аспектами купованої продукції і отримуваних послуг, а також</w:t>
      </w:r>
      <w:r w:rsidRPr="000977F7">
        <w:rPr>
          <w:rFonts w:asciiTheme="majorHAnsi" w:hAnsiTheme="majorHAnsi"/>
          <w:spacing w:val="-47"/>
          <w:sz w:val="20"/>
          <w:szCs w:val="20"/>
        </w:rPr>
        <w:t xml:space="preserve"> </w:t>
      </w:r>
      <w:r w:rsidRPr="000977F7">
        <w:rPr>
          <w:rFonts w:asciiTheme="majorHAnsi" w:hAnsiTheme="majorHAnsi"/>
          <w:sz w:val="20"/>
          <w:szCs w:val="20"/>
        </w:rPr>
        <w:t>ознайомлення постачальників і підрядників з відповідними</w:t>
      </w:r>
      <w:r w:rsidRPr="000977F7">
        <w:rPr>
          <w:rFonts w:asciiTheme="majorHAnsi" w:hAnsiTheme="majorHAnsi"/>
          <w:spacing w:val="-2"/>
          <w:sz w:val="20"/>
          <w:szCs w:val="20"/>
        </w:rPr>
        <w:t xml:space="preserve"> </w:t>
      </w:r>
      <w:r w:rsidRPr="000977F7">
        <w:rPr>
          <w:rFonts w:asciiTheme="majorHAnsi" w:hAnsiTheme="majorHAnsi"/>
          <w:sz w:val="20"/>
          <w:szCs w:val="20"/>
        </w:rPr>
        <w:t>методиками</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вимогами.</w:t>
      </w:r>
    </w:p>
    <w:p w14:paraId="0BD82E2C" w14:textId="77777777" w:rsidR="0097612F" w:rsidRPr="000977F7" w:rsidRDefault="0097612F" w:rsidP="00FD39A4">
      <w:pPr>
        <w:pStyle w:val="7"/>
        <w:keepNext w:val="0"/>
        <w:keepLines w:val="0"/>
        <w:widowControl w:val="0"/>
        <w:numPr>
          <w:ilvl w:val="1"/>
          <w:numId w:val="208"/>
        </w:numPr>
        <w:tabs>
          <w:tab w:val="left" w:pos="284"/>
          <w:tab w:val="left" w:pos="1161"/>
        </w:tabs>
        <w:autoSpaceDE w:val="0"/>
        <w:autoSpaceDN w:val="0"/>
        <w:spacing w:before="0" w:line="240" w:lineRule="auto"/>
        <w:ind w:left="170" w:firstLine="0"/>
        <w:mirrorIndents/>
        <w:jc w:val="both"/>
        <w:rPr>
          <w:color w:val="auto"/>
          <w:sz w:val="20"/>
          <w:szCs w:val="20"/>
        </w:rPr>
      </w:pPr>
      <w:r w:rsidRPr="000977F7">
        <w:rPr>
          <w:color w:val="auto"/>
          <w:sz w:val="20"/>
          <w:szCs w:val="20"/>
        </w:rPr>
        <w:t>Готовність до аварійних ситуацій та реагування</w:t>
      </w:r>
      <w:r w:rsidRPr="000977F7">
        <w:rPr>
          <w:color w:val="auto"/>
          <w:spacing w:val="-1"/>
          <w:sz w:val="20"/>
          <w:szCs w:val="20"/>
        </w:rPr>
        <w:t xml:space="preserve"> </w:t>
      </w:r>
      <w:r w:rsidRPr="000977F7">
        <w:rPr>
          <w:color w:val="auto"/>
          <w:sz w:val="20"/>
          <w:szCs w:val="20"/>
        </w:rPr>
        <w:t>на</w:t>
      </w:r>
      <w:r w:rsidRPr="000977F7">
        <w:rPr>
          <w:color w:val="auto"/>
          <w:spacing w:val="1"/>
          <w:sz w:val="20"/>
          <w:szCs w:val="20"/>
        </w:rPr>
        <w:t xml:space="preserve"> </w:t>
      </w:r>
      <w:r w:rsidRPr="000977F7">
        <w:rPr>
          <w:color w:val="auto"/>
          <w:sz w:val="20"/>
          <w:szCs w:val="20"/>
        </w:rPr>
        <w:t>них</w:t>
      </w:r>
    </w:p>
    <w:p w14:paraId="7F6FFC3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Організації слід розробити і підтримувати в робочому стані методики ідентифікації можливих нещасних випадків, аварійних ситуацій та схеми реагування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на них, а також методики запобігання та зменшення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впливів на навколишнє середовище, які можуть бути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пов'язані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 цими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випадками 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ситуаціями.</w:t>
      </w:r>
    </w:p>
    <w:p w14:paraId="062BA69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Організація повинна перевіряти і переглядати, за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необхідності, свою готовність до аварійних ситуацій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встановлені</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схеми</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реагування,</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особливо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після</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того,</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як</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мали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місце</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нещасні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випадки</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аварійні</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ситуації.</w:t>
      </w:r>
    </w:p>
    <w:p w14:paraId="53A2DC2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також періодично перевіряти</w:t>
      </w:r>
      <w:r w:rsidRPr="000977F7">
        <w:rPr>
          <w:rFonts w:asciiTheme="majorHAnsi" w:hAnsiTheme="majorHAnsi"/>
          <w:spacing w:val="1"/>
          <w:sz w:val="20"/>
          <w:szCs w:val="20"/>
        </w:rPr>
        <w:t xml:space="preserve"> </w:t>
      </w:r>
      <w:r w:rsidRPr="000977F7">
        <w:rPr>
          <w:rFonts w:asciiTheme="majorHAnsi" w:hAnsiTheme="majorHAnsi"/>
          <w:sz w:val="20"/>
          <w:szCs w:val="20"/>
        </w:rPr>
        <w:t>такі методики, якщо це практично можливо і доцільно.</w:t>
      </w:r>
    </w:p>
    <w:p w14:paraId="29E584B6" w14:textId="77777777" w:rsidR="0097612F" w:rsidRPr="000977F7" w:rsidRDefault="0097612F" w:rsidP="00FD39A4">
      <w:pPr>
        <w:pStyle w:val="7"/>
        <w:keepNext w:val="0"/>
        <w:keepLines w:val="0"/>
        <w:widowControl w:val="0"/>
        <w:numPr>
          <w:ilvl w:val="0"/>
          <w:numId w:val="208"/>
        </w:numPr>
        <w:tabs>
          <w:tab w:val="left" w:pos="284"/>
          <w:tab w:val="left" w:pos="1211"/>
        </w:tabs>
        <w:autoSpaceDE w:val="0"/>
        <w:autoSpaceDN w:val="0"/>
        <w:spacing w:before="0" w:line="240" w:lineRule="auto"/>
        <w:ind w:left="170" w:firstLine="0"/>
        <w:mirrorIndents/>
        <w:jc w:val="both"/>
        <w:rPr>
          <w:color w:val="auto"/>
          <w:sz w:val="20"/>
          <w:szCs w:val="20"/>
        </w:rPr>
      </w:pPr>
      <w:r w:rsidRPr="000977F7">
        <w:rPr>
          <w:color w:val="auto"/>
          <w:sz w:val="20"/>
          <w:szCs w:val="20"/>
        </w:rPr>
        <w:t>Контроль</w:t>
      </w:r>
      <w:r w:rsidRPr="000977F7">
        <w:rPr>
          <w:color w:val="auto"/>
          <w:spacing w:val="-5"/>
          <w:sz w:val="20"/>
          <w:szCs w:val="20"/>
        </w:rPr>
        <w:t xml:space="preserve"> </w:t>
      </w:r>
      <w:r w:rsidRPr="000977F7">
        <w:rPr>
          <w:color w:val="auto"/>
          <w:sz w:val="20"/>
          <w:szCs w:val="20"/>
        </w:rPr>
        <w:t>та</w:t>
      </w:r>
      <w:r w:rsidRPr="000977F7">
        <w:rPr>
          <w:color w:val="auto"/>
          <w:spacing w:val="-4"/>
          <w:sz w:val="20"/>
          <w:szCs w:val="20"/>
        </w:rPr>
        <w:t xml:space="preserve"> </w:t>
      </w:r>
      <w:r w:rsidRPr="000977F7">
        <w:rPr>
          <w:color w:val="auto"/>
          <w:sz w:val="20"/>
          <w:szCs w:val="20"/>
        </w:rPr>
        <w:t>коригувальні</w:t>
      </w:r>
      <w:r w:rsidRPr="000977F7">
        <w:rPr>
          <w:color w:val="auto"/>
          <w:spacing w:val="-4"/>
          <w:sz w:val="20"/>
          <w:szCs w:val="20"/>
        </w:rPr>
        <w:t xml:space="preserve"> </w:t>
      </w:r>
      <w:r w:rsidRPr="000977F7">
        <w:rPr>
          <w:color w:val="auto"/>
          <w:sz w:val="20"/>
          <w:szCs w:val="20"/>
        </w:rPr>
        <w:t>дії</w:t>
      </w:r>
    </w:p>
    <w:p w14:paraId="65211634" w14:textId="77777777" w:rsidR="0097612F" w:rsidRPr="000977F7" w:rsidRDefault="0097612F" w:rsidP="00FD39A4">
      <w:pPr>
        <w:pStyle w:val="ac"/>
        <w:widowControl w:val="0"/>
        <w:numPr>
          <w:ilvl w:val="1"/>
          <w:numId w:val="208"/>
        </w:numPr>
        <w:tabs>
          <w:tab w:val="left" w:pos="284"/>
          <w:tab w:val="left" w:pos="1161"/>
        </w:tabs>
        <w:autoSpaceDE w:val="0"/>
        <w:autoSpaceDN w:val="0"/>
        <w:spacing w:after="0" w:line="240" w:lineRule="auto"/>
        <w:ind w:left="170" w:firstLine="0"/>
        <w:contextualSpacing w:val="0"/>
        <w:mirrorIndents/>
        <w:jc w:val="both"/>
        <w:rPr>
          <w:rFonts w:asciiTheme="majorHAnsi" w:hAnsiTheme="majorHAnsi"/>
          <w:b/>
          <w:sz w:val="20"/>
          <w:szCs w:val="20"/>
        </w:rPr>
      </w:pPr>
      <w:r w:rsidRPr="000977F7">
        <w:rPr>
          <w:rFonts w:asciiTheme="majorHAnsi" w:hAnsiTheme="majorHAnsi"/>
          <w:b/>
          <w:sz w:val="20"/>
          <w:szCs w:val="20"/>
        </w:rPr>
        <w:t>Моніторинг</w:t>
      </w:r>
      <w:r w:rsidRPr="000977F7">
        <w:rPr>
          <w:rFonts w:asciiTheme="majorHAnsi" w:hAnsiTheme="majorHAnsi"/>
          <w:b/>
          <w:spacing w:val="-6"/>
          <w:sz w:val="20"/>
          <w:szCs w:val="20"/>
        </w:rPr>
        <w:t xml:space="preserve"> </w:t>
      </w:r>
      <w:r w:rsidRPr="000977F7">
        <w:rPr>
          <w:rFonts w:asciiTheme="majorHAnsi" w:hAnsiTheme="majorHAnsi"/>
          <w:b/>
          <w:sz w:val="20"/>
          <w:szCs w:val="20"/>
        </w:rPr>
        <w:t>та</w:t>
      </w:r>
      <w:r w:rsidRPr="000977F7">
        <w:rPr>
          <w:rFonts w:asciiTheme="majorHAnsi" w:hAnsiTheme="majorHAnsi"/>
          <w:b/>
          <w:spacing w:val="-3"/>
          <w:sz w:val="20"/>
          <w:szCs w:val="20"/>
        </w:rPr>
        <w:t xml:space="preserve"> </w:t>
      </w:r>
      <w:r w:rsidRPr="000977F7">
        <w:rPr>
          <w:rFonts w:asciiTheme="majorHAnsi" w:hAnsiTheme="majorHAnsi"/>
          <w:b/>
          <w:sz w:val="20"/>
          <w:szCs w:val="20"/>
        </w:rPr>
        <w:t>вимірювання</w:t>
      </w:r>
    </w:p>
    <w:p w14:paraId="415DAB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Організації слід розробити і підтримувати в робочому стані документально оформлені методики регулярного моніторингу і вимірювання основних параметрів процесів і робіт, які можуть мати суттєвий вплив</w:t>
      </w:r>
      <w:r w:rsidRPr="000977F7">
        <w:rPr>
          <w:rFonts w:asciiTheme="majorHAnsi" w:hAnsiTheme="majorHAnsi"/>
          <w:spacing w:val="1"/>
          <w:sz w:val="20"/>
          <w:szCs w:val="20"/>
        </w:rPr>
        <w:t xml:space="preserve"> </w:t>
      </w:r>
      <w:r w:rsidRPr="000977F7">
        <w:rPr>
          <w:rFonts w:asciiTheme="majorHAnsi" w:hAnsiTheme="majorHAnsi"/>
          <w:sz w:val="20"/>
          <w:szCs w:val="20"/>
        </w:rPr>
        <w:t>на навколишнє середовище. Сюди повинні також входити запис отриманої інформації на електронних чи</w:t>
      </w:r>
      <w:r w:rsidRPr="000977F7">
        <w:rPr>
          <w:rFonts w:asciiTheme="majorHAnsi" w:hAnsiTheme="majorHAnsi"/>
          <w:spacing w:val="1"/>
          <w:sz w:val="20"/>
          <w:szCs w:val="20"/>
        </w:rPr>
        <w:t xml:space="preserve"> </w:t>
      </w:r>
      <w:r w:rsidRPr="000977F7">
        <w:rPr>
          <w:rFonts w:asciiTheme="majorHAnsi" w:hAnsiTheme="majorHAnsi"/>
          <w:sz w:val="20"/>
          <w:szCs w:val="20"/>
        </w:rPr>
        <w:t xml:space="preserve">інших носіях та оперативний </w:t>
      </w:r>
      <w:r w:rsidRPr="000977F7">
        <w:rPr>
          <w:rFonts w:asciiTheme="majorHAnsi" w:hAnsiTheme="majorHAnsi"/>
          <w:sz w:val="20"/>
          <w:szCs w:val="20"/>
        </w:rPr>
        <w:t>контроль, узгоджений з</w:t>
      </w:r>
      <w:r w:rsidRPr="000977F7">
        <w:rPr>
          <w:rFonts w:asciiTheme="majorHAnsi" w:hAnsiTheme="majorHAnsi"/>
          <w:spacing w:val="1"/>
          <w:sz w:val="20"/>
          <w:szCs w:val="20"/>
        </w:rPr>
        <w:t xml:space="preserve"> </w:t>
      </w:r>
      <w:r w:rsidRPr="000977F7">
        <w:rPr>
          <w:rFonts w:asciiTheme="majorHAnsi" w:hAnsiTheme="majorHAnsi"/>
          <w:sz w:val="20"/>
          <w:szCs w:val="20"/>
        </w:rPr>
        <w:t>екологічними цілями</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завданнями</w:t>
      </w:r>
      <w:r w:rsidRPr="000977F7">
        <w:rPr>
          <w:rFonts w:asciiTheme="majorHAnsi" w:hAnsiTheme="majorHAnsi"/>
          <w:spacing w:val="-2"/>
          <w:sz w:val="20"/>
          <w:szCs w:val="20"/>
        </w:rPr>
        <w:t xml:space="preserve"> </w:t>
      </w:r>
      <w:r w:rsidRPr="000977F7">
        <w:rPr>
          <w:rFonts w:asciiTheme="majorHAnsi" w:hAnsiTheme="majorHAnsi"/>
          <w:sz w:val="20"/>
          <w:szCs w:val="20"/>
        </w:rPr>
        <w:t>організації.</w:t>
      </w:r>
    </w:p>
    <w:p w14:paraId="419481F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Контрольна апаратура повинна бути відкалібрована і підтримуватись у робочому стані, а дані цих спостережень</w:t>
      </w:r>
      <w:r w:rsidRPr="000977F7">
        <w:rPr>
          <w:rFonts w:asciiTheme="majorHAnsi" w:hAnsiTheme="majorHAnsi"/>
          <w:spacing w:val="1"/>
          <w:sz w:val="20"/>
          <w:szCs w:val="20"/>
        </w:rPr>
        <w:t xml:space="preserve"> </w:t>
      </w:r>
      <w:r w:rsidRPr="000977F7">
        <w:rPr>
          <w:rFonts w:asciiTheme="majorHAnsi" w:hAnsiTheme="majorHAnsi"/>
          <w:sz w:val="20"/>
          <w:szCs w:val="20"/>
        </w:rPr>
        <w:t>повинні</w:t>
      </w:r>
      <w:r w:rsidRPr="000977F7">
        <w:rPr>
          <w:rFonts w:asciiTheme="majorHAnsi" w:hAnsiTheme="majorHAnsi"/>
          <w:spacing w:val="1"/>
          <w:sz w:val="20"/>
          <w:szCs w:val="20"/>
        </w:rPr>
        <w:t xml:space="preserve"> </w:t>
      </w:r>
      <w:r w:rsidRPr="000977F7">
        <w:rPr>
          <w:rFonts w:asciiTheme="majorHAnsi" w:hAnsiTheme="majorHAnsi"/>
          <w:sz w:val="20"/>
          <w:szCs w:val="20"/>
        </w:rPr>
        <w:t>зберігатись</w:t>
      </w:r>
      <w:r w:rsidRPr="000977F7">
        <w:rPr>
          <w:rFonts w:asciiTheme="majorHAnsi" w:hAnsiTheme="majorHAnsi"/>
          <w:spacing w:val="1"/>
          <w:sz w:val="20"/>
          <w:szCs w:val="20"/>
        </w:rPr>
        <w:t xml:space="preserve"> </w:t>
      </w:r>
      <w:r w:rsidRPr="000977F7">
        <w:rPr>
          <w:rFonts w:asciiTheme="majorHAnsi" w:hAnsiTheme="majorHAnsi"/>
          <w:sz w:val="20"/>
          <w:szCs w:val="20"/>
        </w:rPr>
        <w:t>згідно</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методиками</w:t>
      </w:r>
      <w:r w:rsidRPr="000977F7">
        <w:rPr>
          <w:rFonts w:asciiTheme="majorHAnsi" w:hAnsiTheme="majorHAnsi"/>
          <w:spacing w:val="-47"/>
          <w:sz w:val="20"/>
          <w:szCs w:val="20"/>
        </w:rPr>
        <w:t xml:space="preserve"> </w:t>
      </w:r>
      <w:r w:rsidRPr="000977F7">
        <w:rPr>
          <w:rFonts w:asciiTheme="majorHAnsi" w:hAnsiTheme="majorHAnsi"/>
          <w:sz w:val="20"/>
          <w:szCs w:val="20"/>
        </w:rPr>
        <w:t>організації.</w:t>
      </w:r>
    </w:p>
    <w:p w14:paraId="794A6D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розробити і підтримувати в</w:t>
      </w:r>
      <w:r w:rsidRPr="000977F7">
        <w:rPr>
          <w:rFonts w:asciiTheme="majorHAnsi" w:hAnsiTheme="majorHAnsi"/>
          <w:spacing w:val="1"/>
          <w:sz w:val="20"/>
          <w:szCs w:val="20"/>
        </w:rPr>
        <w:t xml:space="preserve"> </w:t>
      </w:r>
      <w:r w:rsidRPr="000977F7">
        <w:rPr>
          <w:rFonts w:asciiTheme="majorHAnsi" w:hAnsiTheme="majorHAnsi"/>
          <w:sz w:val="20"/>
          <w:szCs w:val="20"/>
        </w:rPr>
        <w:t>робочому стані</w:t>
      </w:r>
      <w:r w:rsidRPr="000977F7">
        <w:rPr>
          <w:rFonts w:asciiTheme="majorHAnsi" w:hAnsiTheme="majorHAnsi"/>
          <w:spacing w:val="1"/>
          <w:sz w:val="20"/>
          <w:szCs w:val="20"/>
        </w:rPr>
        <w:t xml:space="preserve"> </w:t>
      </w:r>
      <w:r w:rsidRPr="000977F7">
        <w:rPr>
          <w:rFonts w:asciiTheme="majorHAnsi" w:hAnsiTheme="majorHAnsi"/>
          <w:sz w:val="20"/>
          <w:szCs w:val="20"/>
        </w:rPr>
        <w:t>документально</w:t>
      </w:r>
      <w:r w:rsidRPr="000977F7">
        <w:rPr>
          <w:rFonts w:asciiTheme="majorHAnsi" w:hAnsiTheme="majorHAnsi"/>
          <w:spacing w:val="1"/>
          <w:sz w:val="20"/>
          <w:szCs w:val="20"/>
        </w:rPr>
        <w:t xml:space="preserve"> </w:t>
      </w:r>
      <w:r w:rsidRPr="000977F7">
        <w:rPr>
          <w:rFonts w:asciiTheme="majorHAnsi" w:hAnsiTheme="majorHAnsi"/>
          <w:sz w:val="20"/>
          <w:szCs w:val="20"/>
        </w:rPr>
        <w:t>оформлені</w:t>
      </w:r>
      <w:r w:rsidRPr="000977F7">
        <w:rPr>
          <w:rFonts w:asciiTheme="majorHAnsi" w:hAnsiTheme="majorHAnsi"/>
          <w:spacing w:val="1"/>
          <w:sz w:val="20"/>
          <w:szCs w:val="20"/>
        </w:rPr>
        <w:t xml:space="preserve"> </w:t>
      </w:r>
      <w:r w:rsidRPr="000977F7">
        <w:rPr>
          <w:rFonts w:asciiTheme="majorHAnsi" w:hAnsiTheme="majorHAnsi"/>
          <w:sz w:val="20"/>
          <w:szCs w:val="20"/>
        </w:rPr>
        <w:t>методики</w:t>
      </w:r>
      <w:r w:rsidRPr="000977F7">
        <w:rPr>
          <w:rFonts w:asciiTheme="majorHAnsi" w:hAnsiTheme="majorHAnsi"/>
          <w:spacing w:val="1"/>
          <w:sz w:val="20"/>
          <w:szCs w:val="20"/>
        </w:rPr>
        <w:t xml:space="preserve"> </w:t>
      </w:r>
      <w:r w:rsidRPr="000977F7">
        <w:rPr>
          <w:rFonts w:asciiTheme="majorHAnsi" w:hAnsiTheme="majorHAnsi"/>
          <w:sz w:val="20"/>
          <w:szCs w:val="20"/>
        </w:rPr>
        <w:t>періодичного</w:t>
      </w:r>
      <w:r w:rsidRPr="000977F7">
        <w:rPr>
          <w:rFonts w:asciiTheme="majorHAnsi" w:hAnsiTheme="majorHAnsi"/>
          <w:spacing w:val="1"/>
          <w:sz w:val="20"/>
          <w:szCs w:val="20"/>
        </w:rPr>
        <w:t xml:space="preserve"> </w:t>
      </w:r>
      <w:r w:rsidRPr="000977F7">
        <w:rPr>
          <w:rFonts w:asciiTheme="majorHAnsi" w:hAnsiTheme="majorHAnsi"/>
          <w:sz w:val="20"/>
          <w:szCs w:val="20"/>
        </w:rPr>
        <w:t>оцінювання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екологічних</w:t>
      </w:r>
      <w:r w:rsidRPr="000977F7">
        <w:rPr>
          <w:rFonts w:asciiTheme="majorHAnsi" w:hAnsiTheme="majorHAnsi"/>
          <w:spacing w:val="-47"/>
          <w:sz w:val="20"/>
          <w:szCs w:val="20"/>
        </w:rPr>
        <w:t xml:space="preserve"> </w:t>
      </w:r>
      <w:r w:rsidRPr="000977F7">
        <w:rPr>
          <w:rFonts w:asciiTheme="majorHAnsi" w:hAnsiTheme="majorHAnsi"/>
          <w:sz w:val="20"/>
          <w:szCs w:val="20"/>
        </w:rPr>
        <w:t>характеристик чинним законодавчим та нормативним</w:t>
      </w:r>
      <w:r w:rsidRPr="000977F7">
        <w:rPr>
          <w:rFonts w:asciiTheme="majorHAnsi" w:hAnsiTheme="majorHAnsi"/>
          <w:spacing w:val="1"/>
          <w:sz w:val="20"/>
          <w:szCs w:val="20"/>
        </w:rPr>
        <w:t xml:space="preserve"> </w:t>
      </w:r>
      <w:r w:rsidRPr="000977F7">
        <w:rPr>
          <w:rFonts w:asciiTheme="majorHAnsi" w:hAnsiTheme="majorHAnsi"/>
          <w:sz w:val="20"/>
          <w:szCs w:val="20"/>
        </w:rPr>
        <w:t>актам щодо</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2"/>
          <w:sz w:val="20"/>
          <w:szCs w:val="20"/>
        </w:rPr>
        <w:t xml:space="preserve"> </w:t>
      </w:r>
      <w:r w:rsidRPr="000977F7">
        <w:rPr>
          <w:rFonts w:asciiTheme="majorHAnsi" w:hAnsiTheme="majorHAnsi"/>
          <w:sz w:val="20"/>
          <w:szCs w:val="20"/>
        </w:rPr>
        <w:t>середовища.</w:t>
      </w:r>
    </w:p>
    <w:p w14:paraId="375669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Невідповідність, коригувальні та запобіжні</w:t>
      </w:r>
      <w:r w:rsidRPr="000977F7">
        <w:rPr>
          <w:rFonts w:asciiTheme="majorHAnsi" w:hAnsiTheme="majorHAnsi"/>
          <w:spacing w:val="-47"/>
          <w:sz w:val="20"/>
          <w:szCs w:val="20"/>
        </w:rPr>
        <w:t xml:space="preserve">    </w:t>
      </w:r>
      <w:r w:rsidRPr="000977F7">
        <w:rPr>
          <w:rFonts w:asciiTheme="majorHAnsi" w:hAnsiTheme="majorHAnsi"/>
          <w:sz w:val="20"/>
          <w:szCs w:val="20"/>
        </w:rPr>
        <w:t>дії</w:t>
      </w:r>
    </w:p>
    <w:p w14:paraId="0925321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Організації слід розробити і підтримувати в робочому стані методики визначення відповідальності та</w:t>
      </w:r>
      <w:r w:rsidRPr="000977F7">
        <w:rPr>
          <w:rFonts w:asciiTheme="majorHAnsi" w:hAnsiTheme="majorHAnsi"/>
          <w:spacing w:val="1"/>
          <w:sz w:val="20"/>
          <w:szCs w:val="20"/>
        </w:rPr>
        <w:t xml:space="preserve"> </w:t>
      </w:r>
      <w:r w:rsidRPr="000977F7">
        <w:rPr>
          <w:rFonts w:asciiTheme="majorHAnsi" w:hAnsiTheme="majorHAnsi"/>
          <w:sz w:val="20"/>
          <w:szCs w:val="20"/>
        </w:rPr>
        <w:t>повноважень</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1"/>
          <w:sz w:val="20"/>
          <w:szCs w:val="20"/>
        </w:rPr>
        <w:t xml:space="preserve"> </w:t>
      </w:r>
      <w:r w:rsidRPr="000977F7">
        <w:rPr>
          <w:rFonts w:asciiTheme="majorHAnsi" w:hAnsiTheme="majorHAnsi"/>
          <w:sz w:val="20"/>
          <w:szCs w:val="20"/>
        </w:rPr>
        <w:t>розслідування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разі</w:t>
      </w:r>
      <w:r w:rsidRPr="000977F7">
        <w:rPr>
          <w:rFonts w:asciiTheme="majorHAnsi" w:hAnsiTheme="majorHAnsi"/>
          <w:spacing w:val="1"/>
          <w:sz w:val="20"/>
          <w:szCs w:val="20"/>
        </w:rPr>
        <w:t xml:space="preserve"> </w:t>
      </w:r>
      <w:r w:rsidRPr="000977F7">
        <w:rPr>
          <w:rFonts w:asciiTheme="majorHAnsi" w:hAnsiTheme="majorHAnsi"/>
          <w:sz w:val="20"/>
          <w:szCs w:val="20"/>
        </w:rPr>
        <w:t>невідповідності, для вживання заходів щодо пом'якшення</w:t>
      </w:r>
      <w:r w:rsidRPr="000977F7">
        <w:rPr>
          <w:rFonts w:asciiTheme="majorHAnsi" w:hAnsiTheme="majorHAnsi"/>
          <w:spacing w:val="1"/>
          <w:sz w:val="20"/>
          <w:szCs w:val="20"/>
        </w:rPr>
        <w:t xml:space="preserve"> </w:t>
      </w:r>
      <w:r w:rsidRPr="000977F7">
        <w:rPr>
          <w:rFonts w:asciiTheme="majorHAnsi" w:hAnsiTheme="majorHAnsi"/>
          <w:sz w:val="20"/>
          <w:szCs w:val="20"/>
        </w:rPr>
        <w:t>наслідків</w:t>
      </w:r>
      <w:r w:rsidRPr="000977F7">
        <w:rPr>
          <w:rFonts w:asciiTheme="majorHAnsi" w:hAnsiTheme="majorHAnsi"/>
          <w:spacing w:val="1"/>
          <w:sz w:val="20"/>
          <w:szCs w:val="20"/>
        </w:rPr>
        <w:t xml:space="preserve"> </w:t>
      </w:r>
      <w:r w:rsidRPr="000977F7">
        <w:rPr>
          <w:rFonts w:asciiTheme="majorHAnsi" w:hAnsiTheme="majorHAnsi"/>
          <w:sz w:val="20"/>
          <w:szCs w:val="20"/>
        </w:rPr>
        <w:t>шкідливих</w:t>
      </w:r>
      <w:r w:rsidRPr="000977F7">
        <w:rPr>
          <w:rFonts w:asciiTheme="majorHAnsi" w:hAnsiTheme="majorHAnsi"/>
          <w:spacing w:val="1"/>
          <w:sz w:val="20"/>
          <w:szCs w:val="20"/>
        </w:rPr>
        <w:t xml:space="preserve"> </w:t>
      </w:r>
      <w:r w:rsidRPr="000977F7">
        <w:rPr>
          <w:rFonts w:asciiTheme="majorHAnsi" w:hAnsiTheme="majorHAnsi"/>
          <w:sz w:val="20"/>
          <w:szCs w:val="20"/>
        </w:rPr>
        <w:t>впливів</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навколишнє</w:t>
      </w:r>
      <w:r w:rsidRPr="000977F7">
        <w:rPr>
          <w:rFonts w:asciiTheme="majorHAnsi" w:hAnsiTheme="majorHAnsi"/>
          <w:spacing w:val="-47"/>
          <w:sz w:val="20"/>
          <w:szCs w:val="20"/>
        </w:rPr>
        <w:t xml:space="preserve"> </w:t>
      </w:r>
      <w:r w:rsidRPr="000977F7">
        <w:rPr>
          <w:rFonts w:asciiTheme="majorHAnsi" w:hAnsiTheme="majorHAnsi"/>
          <w:sz w:val="20"/>
          <w:szCs w:val="20"/>
        </w:rPr>
        <w:t>середовище, а також для підготовки і здійснення коригувальних</w:t>
      </w:r>
      <w:r w:rsidRPr="000977F7">
        <w:rPr>
          <w:rFonts w:asciiTheme="majorHAnsi" w:hAnsiTheme="majorHAnsi"/>
          <w:spacing w:val="-2"/>
          <w:sz w:val="20"/>
          <w:szCs w:val="20"/>
        </w:rPr>
        <w:t xml:space="preserve"> </w:t>
      </w:r>
      <w:r w:rsidRPr="000977F7">
        <w:rPr>
          <w:rFonts w:asciiTheme="majorHAnsi" w:hAnsiTheme="majorHAnsi"/>
          <w:sz w:val="20"/>
          <w:szCs w:val="20"/>
        </w:rPr>
        <w:t>та запобіжних дій.</w:t>
      </w:r>
    </w:p>
    <w:p w14:paraId="72FF6FA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Будь-яка коригувальна або запобіжна дія, виконана з метою усунення причин наявних чи потенційних</w:t>
      </w:r>
      <w:r w:rsidRPr="000977F7">
        <w:rPr>
          <w:rFonts w:asciiTheme="majorHAnsi" w:hAnsiTheme="majorHAnsi"/>
          <w:spacing w:val="1"/>
          <w:sz w:val="20"/>
          <w:szCs w:val="20"/>
        </w:rPr>
        <w:t xml:space="preserve"> </w:t>
      </w:r>
      <w:r w:rsidRPr="000977F7">
        <w:rPr>
          <w:rFonts w:asciiTheme="majorHAnsi" w:hAnsiTheme="majorHAnsi"/>
          <w:sz w:val="20"/>
          <w:szCs w:val="20"/>
        </w:rPr>
        <w:t>невідповідностей,</w:t>
      </w:r>
      <w:r w:rsidRPr="000977F7">
        <w:rPr>
          <w:rFonts w:asciiTheme="majorHAnsi" w:hAnsiTheme="majorHAnsi"/>
          <w:spacing w:val="1"/>
          <w:sz w:val="20"/>
          <w:szCs w:val="20"/>
        </w:rPr>
        <w:t xml:space="preserve"> </w:t>
      </w:r>
      <w:r w:rsidRPr="000977F7">
        <w:rPr>
          <w:rFonts w:asciiTheme="majorHAnsi" w:hAnsiTheme="majorHAnsi"/>
          <w:sz w:val="20"/>
          <w:szCs w:val="20"/>
        </w:rPr>
        <w:t>повинна</w:t>
      </w:r>
      <w:r w:rsidRPr="000977F7">
        <w:rPr>
          <w:rFonts w:asciiTheme="majorHAnsi" w:hAnsiTheme="majorHAnsi"/>
          <w:spacing w:val="1"/>
          <w:sz w:val="20"/>
          <w:szCs w:val="20"/>
        </w:rPr>
        <w:t xml:space="preserve"> </w:t>
      </w:r>
      <w:r w:rsidRPr="000977F7">
        <w:rPr>
          <w:rFonts w:asciiTheme="majorHAnsi" w:hAnsiTheme="majorHAnsi"/>
          <w:sz w:val="20"/>
          <w:szCs w:val="20"/>
        </w:rPr>
        <w:t>відповідати</w:t>
      </w:r>
      <w:r w:rsidRPr="000977F7">
        <w:rPr>
          <w:rFonts w:asciiTheme="majorHAnsi" w:hAnsiTheme="majorHAnsi"/>
          <w:spacing w:val="1"/>
          <w:sz w:val="20"/>
          <w:szCs w:val="20"/>
        </w:rPr>
        <w:t xml:space="preserve"> </w:t>
      </w:r>
      <w:r w:rsidRPr="000977F7">
        <w:rPr>
          <w:rFonts w:asciiTheme="majorHAnsi" w:hAnsiTheme="majorHAnsi"/>
          <w:sz w:val="20"/>
          <w:szCs w:val="20"/>
        </w:rPr>
        <w:t>важливості</w:t>
      </w:r>
      <w:r w:rsidRPr="000977F7">
        <w:rPr>
          <w:rFonts w:asciiTheme="majorHAnsi" w:hAnsiTheme="majorHAnsi"/>
          <w:spacing w:val="-47"/>
          <w:sz w:val="20"/>
          <w:szCs w:val="20"/>
        </w:rPr>
        <w:t xml:space="preserve"> </w:t>
      </w:r>
      <w:r w:rsidRPr="000977F7">
        <w:rPr>
          <w:rFonts w:asciiTheme="majorHAnsi" w:hAnsiTheme="majorHAnsi"/>
          <w:sz w:val="20"/>
          <w:szCs w:val="20"/>
        </w:rPr>
        <w:t>проблем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мірі</w:t>
      </w:r>
      <w:r w:rsidRPr="000977F7">
        <w:rPr>
          <w:rFonts w:asciiTheme="majorHAnsi" w:hAnsiTheme="majorHAnsi"/>
          <w:spacing w:val="-3"/>
          <w:sz w:val="20"/>
          <w:szCs w:val="20"/>
        </w:rPr>
        <w:t xml:space="preserve"> </w:t>
      </w:r>
      <w:r w:rsidRPr="000977F7">
        <w:rPr>
          <w:rFonts w:asciiTheme="majorHAnsi" w:hAnsiTheme="majorHAnsi"/>
          <w:sz w:val="20"/>
          <w:szCs w:val="20"/>
        </w:rPr>
        <w:t>впливу</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навколишнє</w:t>
      </w:r>
      <w:r w:rsidRPr="000977F7">
        <w:rPr>
          <w:rFonts w:asciiTheme="majorHAnsi" w:hAnsiTheme="majorHAnsi"/>
          <w:spacing w:val="-2"/>
          <w:sz w:val="20"/>
          <w:szCs w:val="20"/>
        </w:rPr>
        <w:t xml:space="preserve"> </w:t>
      </w:r>
      <w:r w:rsidRPr="000977F7">
        <w:rPr>
          <w:rFonts w:asciiTheme="majorHAnsi" w:hAnsiTheme="majorHAnsi"/>
          <w:sz w:val="20"/>
          <w:szCs w:val="20"/>
        </w:rPr>
        <w:t>середовище.</w:t>
      </w:r>
    </w:p>
    <w:p w14:paraId="4C6C191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документувати будь-які зміни</w:t>
      </w:r>
      <w:r w:rsidRPr="000977F7">
        <w:rPr>
          <w:rFonts w:asciiTheme="majorHAnsi" w:hAnsiTheme="majorHAnsi"/>
          <w:spacing w:val="-47"/>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методиках,</w:t>
      </w:r>
      <w:r w:rsidRPr="000977F7">
        <w:rPr>
          <w:rFonts w:asciiTheme="majorHAnsi" w:hAnsiTheme="majorHAnsi"/>
          <w:spacing w:val="1"/>
          <w:sz w:val="20"/>
          <w:szCs w:val="20"/>
        </w:rPr>
        <w:t xml:space="preserve"> </w:t>
      </w:r>
      <w:r w:rsidRPr="000977F7">
        <w:rPr>
          <w:rFonts w:asciiTheme="majorHAnsi" w:hAnsiTheme="majorHAnsi"/>
          <w:sz w:val="20"/>
          <w:szCs w:val="20"/>
        </w:rPr>
        <w:t>доцільність</w:t>
      </w:r>
      <w:r w:rsidRPr="000977F7">
        <w:rPr>
          <w:rFonts w:asciiTheme="majorHAnsi" w:hAnsiTheme="majorHAnsi"/>
          <w:spacing w:val="1"/>
          <w:sz w:val="20"/>
          <w:szCs w:val="20"/>
        </w:rPr>
        <w:t xml:space="preserve"> </w:t>
      </w:r>
      <w:r w:rsidRPr="000977F7">
        <w:rPr>
          <w:rFonts w:asciiTheme="majorHAnsi" w:hAnsiTheme="majorHAnsi"/>
          <w:sz w:val="20"/>
          <w:szCs w:val="20"/>
        </w:rPr>
        <w:t>яких</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встановлена</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здійснення коригувальних чи запобіжних дій, і впроваджувати відповідні</w:t>
      </w:r>
      <w:r w:rsidRPr="000977F7">
        <w:rPr>
          <w:rFonts w:asciiTheme="majorHAnsi" w:hAnsiTheme="majorHAnsi"/>
          <w:spacing w:val="-2"/>
          <w:sz w:val="20"/>
          <w:szCs w:val="20"/>
        </w:rPr>
        <w:t xml:space="preserve"> </w:t>
      </w:r>
      <w:r w:rsidRPr="000977F7">
        <w:rPr>
          <w:rFonts w:asciiTheme="majorHAnsi" w:hAnsiTheme="majorHAnsi"/>
          <w:sz w:val="20"/>
          <w:szCs w:val="20"/>
        </w:rPr>
        <w:t>процедури.</w:t>
      </w:r>
    </w:p>
    <w:p w14:paraId="6A0B47B7" w14:textId="77777777" w:rsidR="0097612F" w:rsidRPr="000977F7" w:rsidRDefault="0097612F" w:rsidP="00FD39A4">
      <w:pPr>
        <w:pStyle w:val="7"/>
        <w:keepNext w:val="0"/>
        <w:keepLines w:val="0"/>
        <w:widowControl w:val="0"/>
        <w:numPr>
          <w:ilvl w:val="1"/>
          <w:numId w:val="208"/>
        </w:numPr>
        <w:tabs>
          <w:tab w:val="left" w:pos="284"/>
          <w:tab w:val="left" w:pos="1037"/>
        </w:tabs>
        <w:autoSpaceDE w:val="0"/>
        <w:autoSpaceDN w:val="0"/>
        <w:spacing w:before="0" w:line="240" w:lineRule="auto"/>
        <w:ind w:left="170" w:firstLine="0"/>
        <w:mirrorIndents/>
        <w:jc w:val="both"/>
        <w:rPr>
          <w:color w:val="auto"/>
          <w:sz w:val="20"/>
          <w:szCs w:val="20"/>
        </w:rPr>
      </w:pPr>
      <w:r w:rsidRPr="000977F7">
        <w:rPr>
          <w:color w:val="auto"/>
          <w:sz w:val="20"/>
          <w:szCs w:val="20"/>
        </w:rPr>
        <w:t>Інформаційні</w:t>
      </w:r>
      <w:r w:rsidRPr="000977F7">
        <w:rPr>
          <w:color w:val="auto"/>
          <w:spacing w:val="-5"/>
          <w:sz w:val="20"/>
          <w:szCs w:val="20"/>
        </w:rPr>
        <w:t xml:space="preserve"> </w:t>
      </w:r>
      <w:r w:rsidRPr="000977F7">
        <w:rPr>
          <w:color w:val="auto"/>
          <w:sz w:val="20"/>
          <w:szCs w:val="20"/>
        </w:rPr>
        <w:t>документи</w:t>
      </w:r>
    </w:p>
    <w:p w14:paraId="4DCB38C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4D2D14">
        <w:rPr>
          <w:rFonts w:asciiTheme="majorHAnsi" w:hAnsiTheme="majorHAnsi"/>
          <w:sz w:val="20"/>
          <w:szCs w:val="20"/>
          <w:lang w:val="uk-UA"/>
        </w:rPr>
        <w:t>Організації слід розробити і підтримувати в робочому стані методики ідентифікації, зберігання, розповсюдження і використання інформаційних документів</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(протоколів, записів), що стосуються навколишнього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 xml:space="preserve">середовища. </w:t>
      </w:r>
      <w:r w:rsidRPr="000977F7">
        <w:rPr>
          <w:rFonts w:asciiTheme="majorHAnsi" w:hAnsiTheme="majorHAnsi"/>
          <w:sz w:val="20"/>
          <w:szCs w:val="20"/>
        </w:rPr>
        <w:t>До цих інформаційних документів належать також дані з підготовки та результатів аудитів чи</w:t>
      </w:r>
      <w:r w:rsidRPr="000977F7">
        <w:rPr>
          <w:rFonts w:asciiTheme="majorHAnsi" w:hAnsiTheme="majorHAnsi"/>
          <w:spacing w:val="-47"/>
          <w:sz w:val="20"/>
          <w:szCs w:val="20"/>
        </w:rPr>
        <w:t xml:space="preserve">               </w:t>
      </w:r>
      <w:r w:rsidRPr="000977F7">
        <w:rPr>
          <w:rFonts w:asciiTheme="majorHAnsi" w:hAnsiTheme="majorHAnsi"/>
          <w:sz w:val="20"/>
          <w:szCs w:val="20"/>
        </w:rPr>
        <w:t>інших перевірок.</w:t>
      </w:r>
    </w:p>
    <w:p w14:paraId="084F244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Інформаційні документи, що стосуються 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повинні</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чіткими,</w:t>
      </w:r>
      <w:r w:rsidRPr="000977F7">
        <w:rPr>
          <w:rFonts w:asciiTheme="majorHAnsi" w:hAnsiTheme="majorHAnsi"/>
          <w:spacing w:val="1"/>
          <w:sz w:val="20"/>
          <w:szCs w:val="20"/>
        </w:rPr>
        <w:t xml:space="preserve"> </w:t>
      </w:r>
      <w:r w:rsidRPr="000977F7">
        <w:rPr>
          <w:rFonts w:asciiTheme="majorHAnsi" w:hAnsiTheme="majorHAnsi"/>
          <w:sz w:val="20"/>
          <w:szCs w:val="20"/>
        </w:rPr>
        <w:t>давати</w:t>
      </w:r>
      <w:r w:rsidRPr="000977F7">
        <w:rPr>
          <w:rFonts w:asciiTheme="majorHAnsi" w:hAnsiTheme="majorHAnsi"/>
          <w:spacing w:val="1"/>
          <w:sz w:val="20"/>
          <w:szCs w:val="20"/>
        </w:rPr>
        <w:t xml:space="preserve"> </w:t>
      </w:r>
      <w:r w:rsidRPr="000977F7">
        <w:rPr>
          <w:rFonts w:asciiTheme="majorHAnsi" w:hAnsiTheme="majorHAnsi"/>
          <w:sz w:val="20"/>
          <w:szCs w:val="20"/>
        </w:rPr>
        <w:t>можливість</w:t>
      </w:r>
      <w:r w:rsidRPr="000977F7">
        <w:rPr>
          <w:rFonts w:asciiTheme="majorHAnsi" w:hAnsiTheme="majorHAnsi"/>
          <w:spacing w:val="1"/>
          <w:sz w:val="20"/>
          <w:szCs w:val="20"/>
        </w:rPr>
        <w:t xml:space="preserve"> </w:t>
      </w:r>
      <w:r w:rsidRPr="000977F7">
        <w:rPr>
          <w:rFonts w:asciiTheme="majorHAnsi" w:hAnsiTheme="majorHAnsi"/>
          <w:sz w:val="20"/>
          <w:szCs w:val="20"/>
        </w:rPr>
        <w:t>ідентифікувати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простежувати</w:t>
      </w:r>
      <w:r w:rsidRPr="000977F7">
        <w:rPr>
          <w:rFonts w:asciiTheme="majorHAnsi" w:hAnsiTheme="majorHAnsi"/>
          <w:spacing w:val="1"/>
          <w:sz w:val="20"/>
          <w:szCs w:val="20"/>
        </w:rPr>
        <w:t xml:space="preserve"> </w:t>
      </w:r>
      <w:r w:rsidRPr="000977F7">
        <w:rPr>
          <w:rFonts w:asciiTheme="majorHAnsi" w:hAnsiTheme="majorHAnsi"/>
          <w:sz w:val="20"/>
          <w:szCs w:val="20"/>
        </w:rPr>
        <w:t>діяльність, продукцію чи послуги, про які йдеться. Вони</w:t>
      </w:r>
      <w:r w:rsidRPr="000977F7">
        <w:rPr>
          <w:rFonts w:asciiTheme="majorHAnsi" w:hAnsiTheme="majorHAnsi"/>
          <w:spacing w:val="1"/>
          <w:sz w:val="20"/>
          <w:szCs w:val="20"/>
        </w:rPr>
        <w:t xml:space="preserve"> </w:t>
      </w:r>
      <w:r w:rsidRPr="000977F7">
        <w:rPr>
          <w:rFonts w:asciiTheme="majorHAnsi" w:hAnsiTheme="majorHAnsi"/>
          <w:sz w:val="20"/>
          <w:szCs w:val="20"/>
        </w:rPr>
        <w:t>повинні зберігатись таким чином, щоб була забезпечена їх легка відтворюваність і захищеність від пошкодження, зношеності або втрати. Термін їх зберігання</w:t>
      </w:r>
      <w:r w:rsidRPr="000977F7">
        <w:rPr>
          <w:rFonts w:asciiTheme="majorHAnsi" w:hAnsiTheme="majorHAnsi"/>
          <w:spacing w:val="-3"/>
          <w:sz w:val="20"/>
          <w:szCs w:val="20"/>
        </w:rPr>
        <w:t xml:space="preserve"> </w:t>
      </w:r>
      <w:r w:rsidRPr="000977F7">
        <w:rPr>
          <w:rFonts w:asciiTheme="majorHAnsi" w:hAnsiTheme="majorHAnsi"/>
          <w:sz w:val="20"/>
          <w:szCs w:val="20"/>
        </w:rPr>
        <w:t>повинен</w:t>
      </w:r>
      <w:r w:rsidRPr="000977F7">
        <w:rPr>
          <w:rFonts w:asciiTheme="majorHAnsi" w:hAnsiTheme="majorHAnsi"/>
          <w:spacing w:val="-2"/>
          <w:sz w:val="20"/>
          <w:szCs w:val="20"/>
        </w:rPr>
        <w:t xml:space="preserve"> </w:t>
      </w:r>
      <w:r w:rsidRPr="000977F7">
        <w:rPr>
          <w:rFonts w:asciiTheme="majorHAnsi" w:hAnsiTheme="majorHAnsi"/>
          <w:sz w:val="20"/>
          <w:szCs w:val="20"/>
        </w:rPr>
        <w:t>бути</w:t>
      </w:r>
      <w:r w:rsidRPr="000977F7">
        <w:rPr>
          <w:rFonts w:asciiTheme="majorHAnsi" w:hAnsiTheme="majorHAnsi"/>
          <w:spacing w:val="-3"/>
          <w:sz w:val="20"/>
          <w:szCs w:val="20"/>
        </w:rPr>
        <w:t xml:space="preserve"> </w:t>
      </w:r>
      <w:r w:rsidRPr="000977F7">
        <w:rPr>
          <w:rFonts w:asciiTheme="majorHAnsi" w:hAnsiTheme="majorHAnsi"/>
          <w:sz w:val="20"/>
          <w:szCs w:val="20"/>
        </w:rPr>
        <w:t>встановлений</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документований.</w:t>
      </w:r>
    </w:p>
    <w:p w14:paraId="5F30AC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Інформаційні документи повинні зберігатись відповідно до вимог системи і організації в цілому, щоб</w:t>
      </w:r>
      <w:r w:rsidRPr="000977F7">
        <w:rPr>
          <w:rFonts w:asciiTheme="majorHAnsi" w:hAnsiTheme="majorHAnsi"/>
          <w:spacing w:val="1"/>
          <w:sz w:val="20"/>
          <w:szCs w:val="20"/>
        </w:rPr>
        <w:t xml:space="preserve"> </w:t>
      </w:r>
      <w:r w:rsidRPr="000977F7">
        <w:rPr>
          <w:rFonts w:asciiTheme="majorHAnsi" w:hAnsiTheme="majorHAnsi"/>
          <w:sz w:val="20"/>
          <w:szCs w:val="20"/>
        </w:rPr>
        <w:t>мати</w:t>
      </w:r>
      <w:r w:rsidRPr="000977F7">
        <w:rPr>
          <w:rFonts w:asciiTheme="majorHAnsi" w:hAnsiTheme="majorHAnsi"/>
          <w:spacing w:val="-5"/>
          <w:sz w:val="20"/>
          <w:szCs w:val="20"/>
        </w:rPr>
        <w:t xml:space="preserve"> </w:t>
      </w:r>
      <w:r w:rsidRPr="000977F7">
        <w:rPr>
          <w:rFonts w:asciiTheme="majorHAnsi" w:hAnsiTheme="majorHAnsi"/>
          <w:sz w:val="20"/>
          <w:szCs w:val="20"/>
        </w:rPr>
        <w:t>можливість</w:t>
      </w:r>
      <w:r w:rsidRPr="000977F7">
        <w:rPr>
          <w:rFonts w:asciiTheme="majorHAnsi" w:hAnsiTheme="majorHAnsi"/>
          <w:spacing w:val="-3"/>
          <w:sz w:val="20"/>
          <w:szCs w:val="20"/>
        </w:rPr>
        <w:t xml:space="preserve"> </w:t>
      </w:r>
      <w:r w:rsidRPr="000977F7">
        <w:rPr>
          <w:rFonts w:asciiTheme="majorHAnsi" w:hAnsiTheme="majorHAnsi"/>
          <w:sz w:val="20"/>
          <w:szCs w:val="20"/>
        </w:rPr>
        <w:t>надати</w:t>
      </w:r>
      <w:r w:rsidRPr="000977F7">
        <w:rPr>
          <w:rFonts w:asciiTheme="majorHAnsi" w:hAnsiTheme="majorHAnsi"/>
          <w:spacing w:val="-5"/>
          <w:sz w:val="20"/>
          <w:szCs w:val="20"/>
        </w:rPr>
        <w:t xml:space="preserve"> </w:t>
      </w:r>
      <w:r w:rsidRPr="000977F7">
        <w:rPr>
          <w:rFonts w:asciiTheme="majorHAnsi" w:hAnsiTheme="majorHAnsi"/>
          <w:sz w:val="20"/>
          <w:szCs w:val="20"/>
        </w:rPr>
        <w:t>докази</w:t>
      </w:r>
      <w:r w:rsidRPr="000977F7">
        <w:rPr>
          <w:rFonts w:asciiTheme="majorHAnsi" w:hAnsiTheme="majorHAnsi"/>
          <w:spacing w:val="-4"/>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5"/>
          <w:sz w:val="20"/>
          <w:szCs w:val="20"/>
        </w:rPr>
        <w:t xml:space="preserve"> </w:t>
      </w:r>
      <w:r w:rsidRPr="000977F7">
        <w:rPr>
          <w:rFonts w:asciiTheme="majorHAnsi" w:hAnsiTheme="majorHAnsi"/>
          <w:sz w:val="20"/>
          <w:szCs w:val="20"/>
        </w:rPr>
        <w:t xml:space="preserve">системи </w:t>
      </w:r>
      <w:r w:rsidRPr="000977F7">
        <w:rPr>
          <w:rFonts w:asciiTheme="majorHAnsi" w:hAnsiTheme="majorHAnsi"/>
          <w:spacing w:val="-47"/>
          <w:sz w:val="20"/>
          <w:szCs w:val="20"/>
        </w:rPr>
        <w:t xml:space="preserve"> </w:t>
      </w:r>
      <w:r w:rsidRPr="000977F7">
        <w:rPr>
          <w:rFonts w:asciiTheme="majorHAnsi" w:hAnsiTheme="majorHAnsi"/>
          <w:sz w:val="20"/>
          <w:szCs w:val="20"/>
        </w:rPr>
        <w:t>вимогам цього</w:t>
      </w:r>
      <w:r w:rsidRPr="000977F7">
        <w:rPr>
          <w:rFonts w:asciiTheme="majorHAnsi" w:hAnsiTheme="majorHAnsi"/>
          <w:spacing w:val="1"/>
          <w:sz w:val="20"/>
          <w:szCs w:val="20"/>
        </w:rPr>
        <w:t xml:space="preserve"> </w:t>
      </w:r>
      <w:r w:rsidRPr="000977F7">
        <w:rPr>
          <w:rFonts w:asciiTheme="majorHAnsi" w:hAnsiTheme="majorHAnsi"/>
          <w:sz w:val="20"/>
          <w:szCs w:val="20"/>
        </w:rPr>
        <w:t>стандарту.</w:t>
      </w:r>
    </w:p>
    <w:p w14:paraId="695BBD0F" w14:textId="77777777" w:rsidR="0097612F" w:rsidRPr="000977F7" w:rsidRDefault="0097612F" w:rsidP="00FD39A4">
      <w:pPr>
        <w:pStyle w:val="7"/>
        <w:keepNext w:val="0"/>
        <w:keepLines w:val="0"/>
        <w:widowControl w:val="0"/>
        <w:numPr>
          <w:ilvl w:val="1"/>
          <w:numId w:val="208"/>
        </w:numPr>
        <w:tabs>
          <w:tab w:val="left" w:pos="284"/>
          <w:tab w:val="left" w:pos="1037"/>
        </w:tabs>
        <w:autoSpaceDE w:val="0"/>
        <w:autoSpaceDN w:val="0"/>
        <w:spacing w:before="0" w:line="240" w:lineRule="auto"/>
        <w:ind w:left="170" w:firstLine="0"/>
        <w:mirrorIndents/>
        <w:jc w:val="both"/>
        <w:rPr>
          <w:color w:val="auto"/>
          <w:sz w:val="20"/>
          <w:szCs w:val="20"/>
        </w:rPr>
      </w:pPr>
      <w:r w:rsidRPr="000977F7">
        <w:rPr>
          <w:color w:val="auto"/>
          <w:sz w:val="20"/>
          <w:szCs w:val="20"/>
        </w:rPr>
        <w:t>Аудит</w:t>
      </w:r>
      <w:r w:rsidRPr="000977F7">
        <w:rPr>
          <w:color w:val="auto"/>
          <w:spacing w:val="26"/>
          <w:sz w:val="20"/>
          <w:szCs w:val="20"/>
        </w:rPr>
        <w:t xml:space="preserve"> </w:t>
      </w:r>
      <w:r w:rsidRPr="000977F7">
        <w:rPr>
          <w:color w:val="auto"/>
          <w:sz w:val="20"/>
          <w:szCs w:val="20"/>
        </w:rPr>
        <w:t>системи</w:t>
      </w:r>
      <w:r w:rsidRPr="000977F7">
        <w:rPr>
          <w:color w:val="auto"/>
          <w:spacing w:val="22"/>
          <w:sz w:val="20"/>
          <w:szCs w:val="20"/>
        </w:rPr>
        <w:t xml:space="preserve"> </w:t>
      </w:r>
      <w:r w:rsidRPr="000977F7">
        <w:rPr>
          <w:color w:val="auto"/>
          <w:sz w:val="20"/>
          <w:szCs w:val="20"/>
        </w:rPr>
        <w:t>управління</w:t>
      </w:r>
      <w:r w:rsidRPr="000977F7">
        <w:rPr>
          <w:color w:val="auto"/>
          <w:spacing w:val="22"/>
          <w:sz w:val="20"/>
          <w:szCs w:val="20"/>
        </w:rPr>
        <w:t xml:space="preserve"> </w:t>
      </w:r>
      <w:r w:rsidRPr="000977F7">
        <w:rPr>
          <w:color w:val="auto"/>
          <w:sz w:val="20"/>
          <w:szCs w:val="20"/>
        </w:rPr>
        <w:t>навколишнім</w:t>
      </w:r>
      <w:r w:rsidRPr="000977F7">
        <w:rPr>
          <w:color w:val="auto"/>
          <w:spacing w:val="-47"/>
          <w:sz w:val="20"/>
          <w:szCs w:val="20"/>
        </w:rPr>
        <w:t xml:space="preserve">            </w:t>
      </w:r>
      <w:r w:rsidRPr="000977F7">
        <w:rPr>
          <w:color w:val="auto"/>
          <w:sz w:val="20"/>
          <w:szCs w:val="20"/>
        </w:rPr>
        <w:t>середовищем</w:t>
      </w:r>
    </w:p>
    <w:p w14:paraId="7F70CC1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Організації слід розробити і підтримувати в робочому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програму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методики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періодичного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здійснення аудитів системи управління навколишнім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середовищем щоб:</w:t>
      </w:r>
    </w:p>
    <w:p w14:paraId="2552F1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3"/>
          <w:sz w:val="20"/>
          <w:szCs w:val="20"/>
        </w:rPr>
        <w:t xml:space="preserve"> </w:t>
      </w:r>
      <w:r w:rsidRPr="000977F7">
        <w:rPr>
          <w:rFonts w:asciiTheme="majorHAnsi" w:hAnsiTheme="majorHAnsi"/>
          <w:sz w:val="20"/>
          <w:szCs w:val="20"/>
        </w:rPr>
        <w:t>визначити:</w:t>
      </w:r>
    </w:p>
    <w:p w14:paraId="7A0BEAB9" w14:textId="77777777" w:rsidR="0097612F" w:rsidRPr="000977F7" w:rsidRDefault="0097612F" w:rsidP="00FD39A4">
      <w:pPr>
        <w:pStyle w:val="ac"/>
        <w:widowControl w:val="0"/>
        <w:numPr>
          <w:ilvl w:val="0"/>
          <w:numId w:val="207"/>
        </w:numPr>
        <w:tabs>
          <w:tab w:val="left" w:pos="284"/>
          <w:tab w:val="left" w:pos="75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чи відповідає система управління навколишнім</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середовищем встановленим вимогам, включаючи вимоги</w:t>
      </w:r>
      <w:r w:rsidRPr="000977F7">
        <w:rPr>
          <w:rFonts w:asciiTheme="majorHAnsi" w:hAnsiTheme="majorHAnsi"/>
          <w:spacing w:val="-2"/>
          <w:sz w:val="20"/>
          <w:szCs w:val="20"/>
        </w:rPr>
        <w:t xml:space="preserve"> </w:t>
      </w:r>
      <w:r w:rsidRPr="000977F7">
        <w:rPr>
          <w:rFonts w:asciiTheme="majorHAnsi" w:hAnsiTheme="majorHAnsi"/>
          <w:sz w:val="20"/>
          <w:szCs w:val="20"/>
        </w:rPr>
        <w:t>цього</w:t>
      </w:r>
      <w:r w:rsidRPr="000977F7">
        <w:rPr>
          <w:rFonts w:asciiTheme="majorHAnsi" w:hAnsiTheme="majorHAnsi"/>
          <w:spacing w:val="1"/>
          <w:sz w:val="20"/>
          <w:szCs w:val="20"/>
        </w:rPr>
        <w:t xml:space="preserve"> </w:t>
      </w:r>
      <w:r w:rsidRPr="000977F7">
        <w:rPr>
          <w:rFonts w:asciiTheme="majorHAnsi" w:hAnsiTheme="majorHAnsi"/>
          <w:sz w:val="20"/>
          <w:szCs w:val="20"/>
        </w:rPr>
        <w:t>стандарту;</w:t>
      </w:r>
    </w:p>
    <w:p w14:paraId="3638C17B" w14:textId="77777777" w:rsidR="0097612F" w:rsidRPr="000977F7" w:rsidRDefault="0097612F" w:rsidP="00FD39A4">
      <w:pPr>
        <w:pStyle w:val="ac"/>
        <w:widowControl w:val="0"/>
        <w:numPr>
          <w:ilvl w:val="0"/>
          <w:numId w:val="207"/>
        </w:numPr>
        <w:tabs>
          <w:tab w:val="left" w:pos="284"/>
          <w:tab w:val="left" w:pos="73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чи була вона впроваджена належним чином і чи</w:t>
      </w:r>
      <w:r w:rsidRPr="000977F7">
        <w:rPr>
          <w:rFonts w:asciiTheme="majorHAnsi" w:hAnsiTheme="majorHAnsi"/>
          <w:spacing w:val="1"/>
          <w:sz w:val="20"/>
          <w:szCs w:val="20"/>
        </w:rPr>
        <w:t xml:space="preserve"> </w:t>
      </w:r>
      <w:r w:rsidRPr="000977F7">
        <w:rPr>
          <w:rFonts w:asciiTheme="majorHAnsi" w:hAnsiTheme="majorHAnsi"/>
          <w:sz w:val="20"/>
          <w:szCs w:val="20"/>
        </w:rPr>
        <w:t>підтримується</w:t>
      </w:r>
      <w:r w:rsidRPr="000977F7">
        <w:rPr>
          <w:rFonts w:asciiTheme="majorHAnsi" w:hAnsiTheme="majorHAnsi"/>
          <w:spacing w:val="-2"/>
          <w:sz w:val="20"/>
          <w:szCs w:val="20"/>
        </w:rPr>
        <w:t xml:space="preserve"> </w:t>
      </w:r>
      <w:r w:rsidRPr="000977F7">
        <w:rPr>
          <w:rFonts w:asciiTheme="majorHAnsi" w:hAnsiTheme="majorHAnsi"/>
          <w:sz w:val="20"/>
          <w:szCs w:val="20"/>
        </w:rPr>
        <w:t>вона в</w:t>
      </w:r>
      <w:r w:rsidRPr="000977F7">
        <w:rPr>
          <w:rFonts w:asciiTheme="majorHAnsi" w:hAnsiTheme="majorHAnsi"/>
          <w:spacing w:val="-2"/>
          <w:sz w:val="20"/>
          <w:szCs w:val="20"/>
        </w:rPr>
        <w:t xml:space="preserve"> </w:t>
      </w:r>
      <w:r w:rsidRPr="000977F7">
        <w:rPr>
          <w:rFonts w:asciiTheme="majorHAnsi" w:hAnsiTheme="majorHAnsi"/>
          <w:sz w:val="20"/>
          <w:szCs w:val="20"/>
        </w:rPr>
        <w:t>робочому</w:t>
      </w:r>
      <w:r w:rsidRPr="000977F7">
        <w:rPr>
          <w:rFonts w:asciiTheme="majorHAnsi" w:hAnsiTheme="majorHAnsi"/>
          <w:spacing w:val="-4"/>
          <w:sz w:val="20"/>
          <w:szCs w:val="20"/>
        </w:rPr>
        <w:t xml:space="preserve"> </w:t>
      </w:r>
      <w:r w:rsidRPr="000977F7">
        <w:rPr>
          <w:rFonts w:asciiTheme="majorHAnsi" w:hAnsiTheme="majorHAnsi"/>
          <w:sz w:val="20"/>
          <w:szCs w:val="20"/>
        </w:rPr>
        <w:t>стані;</w:t>
      </w:r>
    </w:p>
    <w:p w14:paraId="3A6352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б)</w:t>
      </w:r>
      <w:r w:rsidRPr="000977F7">
        <w:rPr>
          <w:rFonts w:asciiTheme="majorHAnsi" w:hAnsiTheme="majorHAnsi"/>
          <w:spacing w:val="1"/>
          <w:sz w:val="20"/>
          <w:szCs w:val="20"/>
        </w:rPr>
        <w:t xml:space="preserve"> </w:t>
      </w:r>
      <w:r w:rsidRPr="000977F7">
        <w:rPr>
          <w:rFonts w:asciiTheme="majorHAnsi" w:hAnsiTheme="majorHAnsi"/>
          <w:sz w:val="20"/>
          <w:szCs w:val="20"/>
        </w:rPr>
        <w:t>забезпечити</w:t>
      </w:r>
      <w:r w:rsidRPr="000977F7">
        <w:rPr>
          <w:rFonts w:asciiTheme="majorHAnsi" w:hAnsiTheme="majorHAnsi"/>
          <w:spacing w:val="1"/>
          <w:sz w:val="20"/>
          <w:szCs w:val="20"/>
        </w:rPr>
        <w:t xml:space="preserve"> </w:t>
      </w:r>
      <w:r w:rsidRPr="000977F7">
        <w:rPr>
          <w:rFonts w:asciiTheme="majorHAnsi" w:hAnsiTheme="majorHAnsi"/>
          <w:sz w:val="20"/>
          <w:szCs w:val="20"/>
        </w:rPr>
        <w:t>керівництво</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інформацією</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результати</w:t>
      </w:r>
      <w:r w:rsidRPr="000977F7">
        <w:rPr>
          <w:rFonts w:asciiTheme="majorHAnsi" w:hAnsiTheme="majorHAnsi"/>
          <w:spacing w:val="-1"/>
          <w:sz w:val="20"/>
          <w:szCs w:val="20"/>
        </w:rPr>
        <w:t xml:space="preserve"> </w:t>
      </w:r>
      <w:r w:rsidRPr="000977F7">
        <w:rPr>
          <w:rFonts w:asciiTheme="majorHAnsi" w:hAnsiTheme="majorHAnsi"/>
          <w:sz w:val="20"/>
          <w:szCs w:val="20"/>
        </w:rPr>
        <w:t>аудитів.</w:t>
      </w:r>
    </w:p>
    <w:p w14:paraId="0F5AB87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Програма</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здійснення</w:t>
      </w:r>
      <w:r w:rsidRPr="000977F7">
        <w:rPr>
          <w:rFonts w:asciiTheme="majorHAnsi" w:hAnsiTheme="majorHAnsi"/>
          <w:spacing w:val="1"/>
          <w:sz w:val="20"/>
          <w:szCs w:val="20"/>
        </w:rPr>
        <w:t xml:space="preserve"> </w:t>
      </w:r>
      <w:r w:rsidRPr="000977F7">
        <w:rPr>
          <w:rFonts w:asciiTheme="majorHAnsi" w:hAnsiTheme="majorHAnsi"/>
          <w:sz w:val="20"/>
          <w:szCs w:val="20"/>
        </w:rPr>
        <w:t>аудиту,</w:t>
      </w:r>
      <w:r w:rsidRPr="000977F7">
        <w:rPr>
          <w:rFonts w:asciiTheme="majorHAnsi" w:hAnsiTheme="majorHAnsi"/>
          <w:spacing w:val="-47"/>
          <w:sz w:val="20"/>
          <w:szCs w:val="20"/>
        </w:rPr>
        <w:t xml:space="preserve"> </w:t>
      </w:r>
      <w:r w:rsidRPr="000977F7">
        <w:rPr>
          <w:rFonts w:asciiTheme="majorHAnsi" w:hAnsiTheme="majorHAnsi"/>
          <w:sz w:val="20"/>
          <w:szCs w:val="20"/>
        </w:rPr>
        <w:t>включаючи</w:t>
      </w:r>
      <w:r w:rsidRPr="000977F7">
        <w:rPr>
          <w:rFonts w:asciiTheme="majorHAnsi" w:hAnsiTheme="majorHAnsi"/>
          <w:spacing w:val="-10"/>
          <w:sz w:val="20"/>
          <w:szCs w:val="20"/>
        </w:rPr>
        <w:t xml:space="preserve"> </w:t>
      </w:r>
      <w:r w:rsidRPr="000977F7">
        <w:rPr>
          <w:rFonts w:asciiTheme="majorHAnsi" w:hAnsiTheme="majorHAnsi"/>
          <w:sz w:val="20"/>
          <w:szCs w:val="20"/>
        </w:rPr>
        <w:t>будь-який</w:t>
      </w:r>
      <w:r w:rsidRPr="000977F7">
        <w:rPr>
          <w:rFonts w:asciiTheme="majorHAnsi" w:hAnsiTheme="majorHAnsi"/>
          <w:spacing w:val="-9"/>
          <w:sz w:val="20"/>
          <w:szCs w:val="20"/>
        </w:rPr>
        <w:t xml:space="preserve"> </w:t>
      </w:r>
      <w:r w:rsidRPr="000977F7">
        <w:rPr>
          <w:rFonts w:asciiTheme="majorHAnsi" w:hAnsiTheme="majorHAnsi"/>
          <w:sz w:val="20"/>
          <w:szCs w:val="20"/>
        </w:rPr>
        <w:t>конкретний</w:t>
      </w:r>
      <w:r w:rsidRPr="000977F7">
        <w:rPr>
          <w:rFonts w:asciiTheme="majorHAnsi" w:hAnsiTheme="majorHAnsi"/>
          <w:spacing w:val="-8"/>
          <w:sz w:val="20"/>
          <w:szCs w:val="20"/>
        </w:rPr>
        <w:t xml:space="preserve"> </w:t>
      </w:r>
      <w:r w:rsidRPr="000977F7">
        <w:rPr>
          <w:rFonts w:asciiTheme="majorHAnsi" w:hAnsiTheme="majorHAnsi"/>
          <w:sz w:val="20"/>
          <w:szCs w:val="20"/>
        </w:rPr>
        <w:t>план,</w:t>
      </w:r>
      <w:r w:rsidRPr="000977F7">
        <w:rPr>
          <w:rFonts w:asciiTheme="majorHAnsi" w:hAnsiTheme="majorHAnsi"/>
          <w:spacing w:val="-6"/>
          <w:sz w:val="20"/>
          <w:szCs w:val="20"/>
        </w:rPr>
        <w:t xml:space="preserve"> </w:t>
      </w:r>
      <w:r w:rsidRPr="000977F7">
        <w:rPr>
          <w:rFonts w:asciiTheme="majorHAnsi" w:hAnsiTheme="majorHAnsi"/>
          <w:sz w:val="20"/>
          <w:szCs w:val="20"/>
        </w:rPr>
        <w:t>повинна</w:t>
      </w:r>
      <w:r w:rsidRPr="000977F7">
        <w:rPr>
          <w:rFonts w:asciiTheme="majorHAnsi" w:hAnsiTheme="majorHAnsi"/>
          <w:spacing w:val="-8"/>
          <w:sz w:val="20"/>
          <w:szCs w:val="20"/>
        </w:rPr>
        <w:t xml:space="preserve"> </w:t>
      </w:r>
      <w:r w:rsidRPr="000977F7">
        <w:rPr>
          <w:rFonts w:asciiTheme="majorHAnsi" w:hAnsiTheme="majorHAnsi"/>
          <w:sz w:val="20"/>
          <w:szCs w:val="20"/>
        </w:rPr>
        <w:t>ґрунтуватись</w:t>
      </w:r>
      <w:r w:rsidRPr="000977F7">
        <w:rPr>
          <w:rFonts w:asciiTheme="majorHAnsi" w:hAnsiTheme="majorHAnsi"/>
          <w:spacing w:val="-12"/>
          <w:sz w:val="20"/>
          <w:szCs w:val="20"/>
        </w:rPr>
        <w:t xml:space="preserve"> </w:t>
      </w:r>
      <w:r w:rsidRPr="000977F7">
        <w:rPr>
          <w:rFonts w:asciiTheme="majorHAnsi" w:hAnsiTheme="majorHAnsi"/>
          <w:sz w:val="20"/>
          <w:szCs w:val="20"/>
        </w:rPr>
        <w:t>на</w:t>
      </w:r>
      <w:r w:rsidRPr="000977F7">
        <w:rPr>
          <w:rFonts w:asciiTheme="majorHAnsi" w:hAnsiTheme="majorHAnsi"/>
          <w:spacing w:val="-11"/>
          <w:sz w:val="20"/>
          <w:szCs w:val="20"/>
        </w:rPr>
        <w:t xml:space="preserve"> </w:t>
      </w:r>
      <w:r w:rsidRPr="000977F7">
        <w:rPr>
          <w:rFonts w:asciiTheme="majorHAnsi" w:hAnsiTheme="majorHAnsi"/>
          <w:sz w:val="20"/>
          <w:szCs w:val="20"/>
        </w:rPr>
        <w:t>визнанні</w:t>
      </w:r>
      <w:r w:rsidRPr="000977F7">
        <w:rPr>
          <w:rFonts w:asciiTheme="majorHAnsi" w:hAnsiTheme="majorHAnsi"/>
          <w:spacing w:val="-12"/>
          <w:sz w:val="20"/>
          <w:szCs w:val="20"/>
        </w:rPr>
        <w:t xml:space="preserve"> </w:t>
      </w:r>
      <w:r w:rsidRPr="000977F7">
        <w:rPr>
          <w:rFonts w:asciiTheme="majorHAnsi" w:hAnsiTheme="majorHAnsi"/>
          <w:sz w:val="20"/>
          <w:szCs w:val="20"/>
        </w:rPr>
        <w:t>важливості</w:t>
      </w:r>
      <w:r w:rsidRPr="000977F7">
        <w:rPr>
          <w:rFonts w:asciiTheme="majorHAnsi" w:hAnsiTheme="majorHAnsi"/>
          <w:spacing w:val="-12"/>
          <w:sz w:val="20"/>
          <w:szCs w:val="20"/>
        </w:rPr>
        <w:t xml:space="preserve"> </w:t>
      </w:r>
      <w:r w:rsidRPr="000977F7">
        <w:rPr>
          <w:rFonts w:asciiTheme="majorHAnsi" w:hAnsiTheme="majorHAnsi"/>
          <w:sz w:val="20"/>
          <w:szCs w:val="20"/>
        </w:rPr>
        <w:t>для</w:t>
      </w:r>
      <w:r w:rsidRPr="000977F7">
        <w:rPr>
          <w:rFonts w:asciiTheme="majorHAnsi" w:hAnsiTheme="majorHAnsi"/>
          <w:spacing w:val="-12"/>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2"/>
          <w:sz w:val="20"/>
          <w:szCs w:val="20"/>
        </w:rPr>
        <w:t xml:space="preserve"> </w:t>
      </w:r>
      <w:r w:rsidRPr="000977F7">
        <w:rPr>
          <w:rFonts w:asciiTheme="majorHAnsi" w:hAnsiTheme="majorHAnsi"/>
          <w:sz w:val="20"/>
          <w:szCs w:val="20"/>
        </w:rPr>
        <w:t>навколишнім середовищем діяльності, про яку йдеться, а</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5"/>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результатах</w:t>
      </w:r>
      <w:r w:rsidRPr="000977F7">
        <w:rPr>
          <w:rFonts w:asciiTheme="majorHAnsi" w:hAnsiTheme="majorHAnsi"/>
          <w:spacing w:val="-4"/>
          <w:sz w:val="20"/>
          <w:szCs w:val="20"/>
        </w:rPr>
        <w:t xml:space="preserve"> </w:t>
      </w:r>
      <w:r w:rsidRPr="000977F7">
        <w:rPr>
          <w:rFonts w:asciiTheme="majorHAnsi" w:hAnsiTheme="majorHAnsi"/>
          <w:sz w:val="20"/>
          <w:szCs w:val="20"/>
        </w:rPr>
        <w:t>попередніх</w:t>
      </w:r>
      <w:r w:rsidRPr="000977F7">
        <w:rPr>
          <w:rFonts w:asciiTheme="majorHAnsi" w:hAnsiTheme="majorHAnsi"/>
          <w:spacing w:val="-7"/>
          <w:sz w:val="20"/>
          <w:szCs w:val="20"/>
        </w:rPr>
        <w:t xml:space="preserve"> </w:t>
      </w:r>
      <w:r w:rsidRPr="000977F7">
        <w:rPr>
          <w:rFonts w:asciiTheme="majorHAnsi" w:hAnsiTheme="majorHAnsi"/>
          <w:sz w:val="20"/>
          <w:szCs w:val="20"/>
        </w:rPr>
        <w:t>аудиторських</w:t>
      </w:r>
      <w:r w:rsidRPr="000977F7">
        <w:rPr>
          <w:rFonts w:asciiTheme="majorHAnsi" w:hAnsiTheme="majorHAnsi"/>
          <w:spacing w:val="-4"/>
          <w:sz w:val="20"/>
          <w:szCs w:val="20"/>
        </w:rPr>
        <w:t xml:space="preserve"> </w:t>
      </w:r>
      <w:r w:rsidRPr="000977F7">
        <w:rPr>
          <w:rFonts w:asciiTheme="majorHAnsi" w:hAnsiTheme="majorHAnsi"/>
          <w:sz w:val="20"/>
          <w:szCs w:val="20"/>
        </w:rPr>
        <w:t>переві</w:t>
      </w:r>
      <w:r w:rsidRPr="000977F7">
        <w:rPr>
          <w:rFonts w:asciiTheme="majorHAnsi" w:hAnsiTheme="majorHAnsi"/>
          <w:spacing w:val="-48"/>
          <w:sz w:val="20"/>
          <w:szCs w:val="20"/>
        </w:rPr>
        <w:t xml:space="preserve"> </w:t>
      </w:r>
      <w:r w:rsidRPr="000977F7">
        <w:rPr>
          <w:rFonts w:asciiTheme="majorHAnsi" w:hAnsiTheme="majorHAnsi"/>
          <w:sz w:val="20"/>
          <w:szCs w:val="20"/>
        </w:rPr>
        <w:t>рок.</w:t>
      </w:r>
    </w:p>
    <w:p w14:paraId="26634D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1"/>
          <w:sz w:val="20"/>
          <w:szCs w:val="20"/>
        </w:rPr>
        <w:t xml:space="preserve"> </w:t>
      </w:r>
      <w:r w:rsidRPr="000977F7">
        <w:rPr>
          <w:rFonts w:asciiTheme="majorHAnsi" w:hAnsiTheme="majorHAnsi"/>
          <w:sz w:val="20"/>
          <w:szCs w:val="20"/>
        </w:rPr>
        <w:t>всебічності</w:t>
      </w:r>
      <w:r w:rsidRPr="000977F7">
        <w:rPr>
          <w:rFonts w:asciiTheme="majorHAnsi" w:hAnsiTheme="majorHAnsi"/>
          <w:spacing w:val="1"/>
          <w:sz w:val="20"/>
          <w:szCs w:val="20"/>
        </w:rPr>
        <w:t xml:space="preserve"> </w:t>
      </w:r>
      <w:r w:rsidRPr="000977F7">
        <w:rPr>
          <w:rFonts w:asciiTheme="majorHAnsi" w:hAnsiTheme="majorHAnsi"/>
          <w:sz w:val="20"/>
          <w:szCs w:val="20"/>
        </w:rPr>
        <w:t>аудиту</w:t>
      </w:r>
      <w:r w:rsidRPr="000977F7">
        <w:rPr>
          <w:rFonts w:asciiTheme="majorHAnsi" w:hAnsiTheme="majorHAnsi"/>
          <w:spacing w:val="1"/>
          <w:sz w:val="20"/>
          <w:szCs w:val="20"/>
        </w:rPr>
        <w:t xml:space="preserve"> </w:t>
      </w:r>
      <w:r w:rsidRPr="000977F7">
        <w:rPr>
          <w:rFonts w:asciiTheme="majorHAnsi" w:hAnsiTheme="majorHAnsi"/>
          <w:sz w:val="20"/>
          <w:szCs w:val="20"/>
        </w:rPr>
        <w:t>відповідні</w:t>
      </w:r>
      <w:r w:rsidRPr="000977F7">
        <w:rPr>
          <w:rFonts w:asciiTheme="majorHAnsi" w:hAnsiTheme="majorHAnsi"/>
          <w:spacing w:val="1"/>
          <w:sz w:val="20"/>
          <w:szCs w:val="20"/>
        </w:rPr>
        <w:t xml:space="preserve"> </w:t>
      </w:r>
      <w:r w:rsidRPr="000977F7">
        <w:rPr>
          <w:rFonts w:asciiTheme="majorHAnsi" w:hAnsiTheme="majorHAnsi"/>
          <w:sz w:val="20"/>
          <w:szCs w:val="20"/>
        </w:rPr>
        <w:t>методики повинні охоплювати мету та сферу застосування аудиту, його періодичність і методологію, вимоги до здійснення аудиту та подання результатів, а</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2"/>
          <w:sz w:val="20"/>
          <w:szCs w:val="20"/>
        </w:rPr>
        <w:t xml:space="preserve"> </w:t>
      </w:r>
      <w:r w:rsidRPr="000977F7">
        <w:rPr>
          <w:rFonts w:asciiTheme="majorHAnsi" w:hAnsiTheme="majorHAnsi"/>
          <w:sz w:val="20"/>
          <w:szCs w:val="20"/>
        </w:rPr>
        <w:t>відповідальність</w:t>
      </w:r>
      <w:r w:rsidRPr="000977F7">
        <w:rPr>
          <w:rFonts w:asciiTheme="majorHAnsi" w:hAnsiTheme="majorHAnsi"/>
          <w:spacing w:val="-1"/>
          <w:sz w:val="20"/>
          <w:szCs w:val="20"/>
        </w:rPr>
        <w:t xml:space="preserve"> </w:t>
      </w:r>
      <w:r w:rsidRPr="000977F7">
        <w:rPr>
          <w:rFonts w:asciiTheme="majorHAnsi" w:hAnsiTheme="majorHAnsi"/>
          <w:sz w:val="20"/>
          <w:szCs w:val="20"/>
        </w:rPr>
        <w:t>за їх дотримання.</w:t>
      </w:r>
    </w:p>
    <w:p w14:paraId="4A90B34F" w14:textId="77777777" w:rsidR="0097612F" w:rsidRPr="000977F7" w:rsidRDefault="0097612F" w:rsidP="00FD39A4">
      <w:pPr>
        <w:pStyle w:val="7"/>
        <w:keepNext w:val="0"/>
        <w:keepLines w:val="0"/>
        <w:widowControl w:val="0"/>
        <w:numPr>
          <w:ilvl w:val="0"/>
          <w:numId w:val="208"/>
        </w:numPr>
        <w:tabs>
          <w:tab w:val="left" w:pos="284"/>
          <w:tab w:val="left" w:pos="1087"/>
        </w:tabs>
        <w:autoSpaceDE w:val="0"/>
        <w:autoSpaceDN w:val="0"/>
        <w:spacing w:before="0" w:line="240" w:lineRule="auto"/>
        <w:ind w:left="170" w:firstLine="0"/>
        <w:mirrorIndents/>
        <w:jc w:val="both"/>
        <w:rPr>
          <w:color w:val="auto"/>
          <w:sz w:val="20"/>
          <w:szCs w:val="20"/>
        </w:rPr>
      </w:pPr>
      <w:r w:rsidRPr="000977F7">
        <w:rPr>
          <w:color w:val="auto"/>
          <w:sz w:val="20"/>
          <w:szCs w:val="20"/>
        </w:rPr>
        <w:t>Аналіз</w:t>
      </w:r>
      <w:r w:rsidRPr="000977F7">
        <w:rPr>
          <w:color w:val="auto"/>
          <w:spacing w:val="-4"/>
          <w:sz w:val="20"/>
          <w:szCs w:val="20"/>
        </w:rPr>
        <w:t xml:space="preserve"> </w:t>
      </w:r>
      <w:r w:rsidRPr="000977F7">
        <w:rPr>
          <w:color w:val="auto"/>
          <w:sz w:val="20"/>
          <w:szCs w:val="20"/>
        </w:rPr>
        <w:t>з</w:t>
      </w:r>
      <w:r w:rsidRPr="000977F7">
        <w:rPr>
          <w:color w:val="auto"/>
          <w:spacing w:val="-4"/>
          <w:sz w:val="20"/>
          <w:szCs w:val="20"/>
        </w:rPr>
        <w:t xml:space="preserve"> </w:t>
      </w:r>
      <w:r w:rsidRPr="000977F7">
        <w:rPr>
          <w:color w:val="auto"/>
          <w:sz w:val="20"/>
          <w:szCs w:val="20"/>
        </w:rPr>
        <w:t>боку</w:t>
      </w:r>
      <w:r w:rsidRPr="000977F7">
        <w:rPr>
          <w:color w:val="auto"/>
          <w:spacing w:val="-2"/>
          <w:sz w:val="20"/>
          <w:szCs w:val="20"/>
        </w:rPr>
        <w:t xml:space="preserve"> </w:t>
      </w:r>
      <w:r w:rsidRPr="000977F7">
        <w:rPr>
          <w:color w:val="auto"/>
          <w:sz w:val="20"/>
          <w:szCs w:val="20"/>
        </w:rPr>
        <w:t>керівництва</w:t>
      </w:r>
    </w:p>
    <w:p w14:paraId="2C3BBCA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Вище керівництво організації повинно з встановленою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періодичністю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проводити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аналіз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системи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управління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навколишнім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середовищем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підтвердження та гарантування того, що вона залишається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придатною, адекватною і ефективною. Процес аналізу</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боку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керівництва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повинен</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передбачати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перевірку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системи</w:t>
      </w:r>
      <w:r w:rsidRPr="004D2D14">
        <w:rPr>
          <w:rFonts w:asciiTheme="majorHAnsi" w:hAnsiTheme="majorHAnsi"/>
          <w:spacing w:val="15"/>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збирання</w:t>
      </w:r>
      <w:r w:rsidRPr="004D2D14">
        <w:rPr>
          <w:rFonts w:asciiTheme="majorHAnsi" w:hAnsiTheme="majorHAnsi"/>
          <w:spacing w:val="15"/>
          <w:sz w:val="20"/>
          <w:szCs w:val="20"/>
          <w:lang w:val="uk-UA"/>
        </w:rPr>
        <w:t xml:space="preserve"> </w:t>
      </w:r>
      <w:r w:rsidRPr="004D2D14">
        <w:rPr>
          <w:rFonts w:asciiTheme="majorHAnsi" w:hAnsiTheme="majorHAnsi"/>
          <w:sz w:val="20"/>
          <w:szCs w:val="20"/>
          <w:lang w:val="uk-UA"/>
        </w:rPr>
        <w:t>необхідної</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інформації,</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яка</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давала</w:t>
      </w:r>
      <w:r w:rsidRPr="004D2D14">
        <w:rPr>
          <w:rFonts w:asciiTheme="majorHAnsi" w:hAnsiTheme="majorHAnsi"/>
          <w:spacing w:val="-48"/>
          <w:sz w:val="20"/>
          <w:szCs w:val="20"/>
          <w:lang w:val="uk-UA"/>
        </w:rPr>
        <w:t xml:space="preserve"> </w:t>
      </w:r>
      <w:r w:rsidRPr="004D2D14">
        <w:rPr>
          <w:rFonts w:asciiTheme="majorHAnsi" w:hAnsiTheme="majorHAnsi"/>
          <w:sz w:val="20"/>
          <w:szCs w:val="20"/>
          <w:lang w:val="uk-UA"/>
        </w:rPr>
        <w:t>б можливість керівництву проводити відповідне оцінювання. Процедури аналізу та його результати повинні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бути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документовані.</w:t>
      </w:r>
    </w:p>
    <w:p w14:paraId="0AC0720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Аналіз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боку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керівництва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повинен</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охоплювати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встановлення можливої потреби в зміні політики, цілей та інших елементів системи управління навколишнім середовищем, а також результати її аудитів, обставини, що змінюються, та зобов'язання щодо постійного вдосконалення.</w:t>
      </w:r>
    </w:p>
    <w:p w14:paraId="13E2AAC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14001:2015</w:t>
      </w:r>
    </w:p>
    <w:p w14:paraId="79BEEF1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ВИМОГИ</w:t>
      </w:r>
      <w:r w:rsidRPr="000977F7">
        <w:rPr>
          <w:color w:val="auto"/>
          <w:spacing w:val="-2"/>
          <w:sz w:val="20"/>
          <w:szCs w:val="20"/>
        </w:rPr>
        <w:t xml:space="preserve"> </w:t>
      </w:r>
      <w:r w:rsidRPr="000977F7">
        <w:rPr>
          <w:color w:val="auto"/>
          <w:sz w:val="20"/>
          <w:szCs w:val="20"/>
        </w:rPr>
        <w:t>ДО</w:t>
      </w:r>
      <w:r w:rsidRPr="000977F7">
        <w:rPr>
          <w:color w:val="auto"/>
          <w:spacing w:val="-3"/>
          <w:sz w:val="20"/>
          <w:szCs w:val="20"/>
        </w:rPr>
        <w:t xml:space="preserve"> </w:t>
      </w:r>
      <w:r w:rsidRPr="000977F7">
        <w:rPr>
          <w:color w:val="auto"/>
          <w:sz w:val="20"/>
          <w:szCs w:val="20"/>
        </w:rPr>
        <w:t>ЯКОСТІ</w:t>
      </w:r>
      <w:r w:rsidRPr="000977F7">
        <w:rPr>
          <w:color w:val="auto"/>
          <w:spacing w:val="-1"/>
          <w:sz w:val="20"/>
          <w:szCs w:val="20"/>
        </w:rPr>
        <w:t xml:space="preserve"> </w:t>
      </w:r>
      <w:r w:rsidRPr="000977F7">
        <w:rPr>
          <w:color w:val="auto"/>
          <w:sz w:val="20"/>
          <w:szCs w:val="20"/>
        </w:rPr>
        <w:t>–</w:t>
      </w:r>
    </w:p>
    <w:p w14:paraId="2CE6E17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REQUIREMENTS</w:t>
      </w:r>
      <w:r w:rsidRPr="004D2D14">
        <w:rPr>
          <w:rFonts w:asciiTheme="majorHAnsi" w:hAnsiTheme="majorHAnsi"/>
          <w:spacing w:val="-3"/>
          <w:sz w:val="20"/>
          <w:szCs w:val="20"/>
          <w:lang w:val="uk-UA"/>
        </w:rPr>
        <w:t xml:space="preserve"> </w:t>
      </w:r>
      <w:r w:rsidRPr="000977F7">
        <w:rPr>
          <w:rFonts w:asciiTheme="majorHAnsi" w:hAnsiTheme="majorHAnsi"/>
          <w:sz w:val="20"/>
          <w:szCs w:val="20"/>
        </w:rPr>
        <w:t>FOR</w:t>
      </w:r>
      <w:r w:rsidRPr="004D2D14">
        <w:rPr>
          <w:rFonts w:asciiTheme="majorHAnsi" w:hAnsiTheme="majorHAnsi"/>
          <w:spacing w:val="-2"/>
          <w:sz w:val="20"/>
          <w:szCs w:val="20"/>
          <w:lang w:val="uk-UA"/>
        </w:rPr>
        <w:t xml:space="preserve"> </w:t>
      </w:r>
      <w:r w:rsidRPr="000977F7">
        <w:rPr>
          <w:rFonts w:asciiTheme="majorHAnsi" w:hAnsiTheme="majorHAnsi"/>
          <w:sz w:val="20"/>
          <w:szCs w:val="20"/>
        </w:rPr>
        <w:t>QUALITY</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3063FD7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Вираження певних потреб чи їх переведення у набір</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кількісно або якісно установлених вимог до характеристик об’єкта для того, щоб зробити можливими їх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виконання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перевірку</w:t>
      </w:r>
    </w:p>
    <w:p w14:paraId="06FFFF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5EA2A64" w14:textId="77777777" w:rsidR="0097612F" w:rsidRPr="000977F7" w:rsidRDefault="0097612F" w:rsidP="00FD39A4">
      <w:pPr>
        <w:pStyle w:val="ac"/>
        <w:widowControl w:val="0"/>
        <w:numPr>
          <w:ilvl w:val="0"/>
          <w:numId w:val="206"/>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Суттєво, щоб вимоги до якості повністю відбивали</w:t>
      </w:r>
      <w:r w:rsidRPr="000977F7">
        <w:rPr>
          <w:rFonts w:asciiTheme="majorHAnsi" w:hAnsiTheme="majorHAnsi"/>
          <w:spacing w:val="-3"/>
          <w:sz w:val="20"/>
          <w:szCs w:val="20"/>
        </w:rPr>
        <w:t xml:space="preserve"> </w:t>
      </w:r>
      <w:r w:rsidRPr="000977F7">
        <w:rPr>
          <w:rFonts w:asciiTheme="majorHAnsi" w:hAnsiTheme="majorHAnsi"/>
          <w:sz w:val="20"/>
          <w:szCs w:val="20"/>
        </w:rPr>
        <w:t>установлені</w:t>
      </w:r>
      <w:r w:rsidRPr="000977F7">
        <w:rPr>
          <w:rFonts w:asciiTheme="majorHAnsi" w:hAnsiTheme="majorHAnsi"/>
          <w:spacing w:val="-3"/>
          <w:sz w:val="20"/>
          <w:szCs w:val="20"/>
        </w:rPr>
        <w:t xml:space="preserve"> </w:t>
      </w:r>
      <w:r w:rsidRPr="000977F7">
        <w:rPr>
          <w:rFonts w:asciiTheme="majorHAnsi" w:hAnsiTheme="majorHAnsi"/>
          <w:sz w:val="20"/>
          <w:szCs w:val="20"/>
        </w:rPr>
        <w:t>і</w:t>
      </w:r>
      <w:r w:rsidRPr="000977F7">
        <w:rPr>
          <w:rFonts w:asciiTheme="majorHAnsi" w:hAnsiTheme="majorHAnsi"/>
          <w:spacing w:val="-3"/>
          <w:sz w:val="20"/>
          <w:szCs w:val="20"/>
        </w:rPr>
        <w:t xml:space="preserve"> </w:t>
      </w:r>
      <w:r w:rsidRPr="000977F7">
        <w:rPr>
          <w:rFonts w:asciiTheme="majorHAnsi" w:hAnsiTheme="majorHAnsi"/>
          <w:sz w:val="20"/>
          <w:szCs w:val="20"/>
        </w:rPr>
        <w:t>передбачені</w:t>
      </w:r>
      <w:r w:rsidRPr="000977F7">
        <w:rPr>
          <w:rFonts w:asciiTheme="majorHAnsi" w:hAnsiTheme="majorHAnsi"/>
          <w:spacing w:val="-4"/>
          <w:sz w:val="20"/>
          <w:szCs w:val="20"/>
        </w:rPr>
        <w:t xml:space="preserve"> </w:t>
      </w:r>
      <w:r w:rsidRPr="000977F7">
        <w:rPr>
          <w:rFonts w:asciiTheme="majorHAnsi" w:hAnsiTheme="majorHAnsi"/>
          <w:sz w:val="20"/>
          <w:szCs w:val="20"/>
        </w:rPr>
        <w:t>потреби</w:t>
      </w:r>
      <w:r w:rsidRPr="000977F7">
        <w:rPr>
          <w:rFonts w:asciiTheme="majorHAnsi" w:hAnsiTheme="majorHAnsi"/>
          <w:spacing w:val="-4"/>
          <w:sz w:val="20"/>
          <w:szCs w:val="20"/>
        </w:rPr>
        <w:t xml:space="preserve"> </w:t>
      </w:r>
      <w:r w:rsidRPr="000977F7">
        <w:rPr>
          <w:rFonts w:asciiTheme="majorHAnsi" w:hAnsiTheme="majorHAnsi"/>
          <w:sz w:val="20"/>
          <w:szCs w:val="20"/>
        </w:rPr>
        <w:t>споживача</w:t>
      </w:r>
    </w:p>
    <w:p w14:paraId="2368FCAC" w14:textId="77777777" w:rsidR="0097612F" w:rsidRPr="000977F7" w:rsidRDefault="0097612F" w:rsidP="00FD39A4">
      <w:pPr>
        <w:pStyle w:val="ac"/>
        <w:widowControl w:val="0"/>
        <w:numPr>
          <w:ilvl w:val="0"/>
          <w:numId w:val="206"/>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Термін "вимога" охоплює ринкові і контрактні</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1"/>
          <w:sz w:val="20"/>
          <w:szCs w:val="20"/>
        </w:rPr>
        <w:t xml:space="preserve"> </w:t>
      </w:r>
      <w:r w:rsidRPr="000977F7">
        <w:rPr>
          <w:rFonts w:asciiTheme="majorHAnsi" w:hAnsiTheme="majorHAnsi"/>
          <w:sz w:val="20"/>
          <w:szCs w:val="20"/>
        </w:rPr>
        <w:t>внутрішні</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Вони можуть бути розроблені, деталізовані й актуалізовані</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різних</w:t>
      </w:r>
      <w:r w:rsidRPr="000977F7">
        <w:rPr>
          <w:rFonts w:asciiTheme="majorHAnsi" w:hAnsiTheme="majorHAnsi"/>
          <w:spacing w:val="-2"/>
          <w:sz w:val="20"/>
          <w:szCs w:val="20"/>
        </w:rPr>
        <w:t xml:space="preserve"> </w:t>
      </w:r>
      <w:r w:rsidRPr="000977F7">
        <w:rPr>
          <w:rFonts w:asciiTheme="majorHAnsi" w:hAnsiTheme="majorHAnsi"/>
          <w:sz w:val="20"/>
          <w:szCs w:val="20"/>
        </w:rPr>
        <w:t>етапах планування</w:t>
      </w:r>
    </w:p>
    <w:p w14:paraId="0DB20AC2" w14:textId="77777777" w:rsidR="0097612F" w:rsidRPr="000977F7" w:rsidRDefault="0097612F" w:rsidP="00FD39A4">
      <w:pPr>
        <w:pStyle w:val="ac"/>
        <w:widowControl w:val="0"/>
        <w:numPr>
          <w:ilvl w:val="0"/>
          <w:numId w:val="206"/>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Задані кількісні вимоги до характеристик містять,</w:t>
      </w:r>
      <w:r w:rsidRPr="000977F7">
        <w:rPr>
          <w:rFonts w:asciiTheme="majorHAnsi" w:hAnsiTheme="majorHAnsi"/>
          <w:spacing w:val="-47"/>
          <w:sz w:val="20"/>
          <w:szCs w:val="20"/>
        </w:rPr>
        <w:t xml:space="preserve"> </w:t>
      </w:r>
      <w:r w:rsidRPr="000977F7">
        <w:rPr>
          <w:rFonts w:asciiTheme="majorHAnsi" w:hAnsiTheme="majorHAnsi"/>
          <w:sz w:val="20"/>
          <w:szCs w:val="20"/>
        </w:rPr>
        <w:t>наприклад, номінальні значення, відносні значення,</w:t>
      </w:r>
      <w:r w:rsidRPr="000977F7">
        <w:rPr>
          <w:rFonts w:asciiTheme="majorHAnsi" w:hAnsiTheme="majorHAnsi"/>
          <w:spacing w:val="-1"/>
          <w:sz w:val="20"/>
          <w:szCs w:val="20"/>
        </w:rPr>
        <w:t xml:space="preserve"> </w:t>
      </w:r>
      <w:r w:rsidRPr="000977F7">
        <w:rPr>
          <w:rFonts w:asciiTheme="majorHAnsi" w:hAnsiTheme="majorHAnsi"/>
          <w:sz w:val="20"/>
          <w:szCs w:val="20"/>
        </w:rPr>
        <w:t>граничні</w:t>
      </w:r>
      <w:r w:rsidRPr="000977F7">
        <w:rPr>
          <w:rFonts w:asciiTheme="majorHAnsi" w:hAnsiTheme="majorHAnsi"/>
          <w:spacing w:val="-2"/>
          <w:sz w:val="20"/>
          <w:szCs w:val="20"/>
        </w:rPr>
        <w:t xml:space="preserve"> </w:t>
      </w:r>
      <w:r w:rsidRPr="000977F7">
        <w:rPr>
          <w:rFonts w:asciiTheme="majorHAnsi" w:hAnsiTheme="majorHAnsi"/>
          <w:sz w:val="20"/>
          <w:szCs w:val="20"/>
        </w:rPr>
        <w:t>відхилення</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допуски</w:t>
      </w:r>
    </w:p>
    <w:p w14:paraId="025377C4" w14:textId="77777777" w:rsidR="0097612F" w:rsidRPr="000977F7" w:rsidRDefault="0097612F" w:rsidP="00FD39A4">
      <w:pPr>
        <w:pStyle w:val="ac"/>
        <w:widowControl w:val="0"/>
        <w:numPr>
          <w:ilvl w:val="0"/>
          <w:numId w:val="206"/>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Вимоги до якості мають бути передані на початковій стадії у функційних термінах і документально оформлені</w:t>
      </w:r>
    </w:p>
    <w:p w14:paraId="5726520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ВИМОГИ</w:t>
      </w:r>
      <w:r w:rsidRPr="000977F7">
        <w:rPr>
          <w:color w:val="auto"/>
          <w:spacing w:val="-4"/>
          <w:sz w:val="20"/>
          <w:szCs w:val="20"/>
        </w:rPr>
        <w:t xml:space="preserve"> </w:t>
      </w:r>
      <w:r w:rsidRPr="000977F7">
        <w:rPr>
          <w:color w:val="auto"/>
          <w:sz w:val="20"/>
          <w:szCs w:val="20"/>
        </w:rPr>
        <w:t>СУСПІЛЬСТВА</w:t>
      </w:r>
      <w:r w:rsidRPr="000977F7">
        <w:rPr>
          <w:color w:val="auto"/>
          <w:spacing w:val="-2"/>
          <w:sz w:val="20"/>
          <w:szCs w:val="20"/>
        </w:rPr>
        <w:t xml:space="preserve"> </w:t>
      </w:r>
      <w:r w:rsidRPr="000977F7">
        <w:rPr>
          <w:color w:val="auto"/>
          <w:sz w:val="20"/>
          <w:szCs w:val="20"/>
        </w:rPr>
        <w:t>–</w:t>
      </w:r>
    </w:p>
    <w:p w14:paraId="7425966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REQUIREMENTS</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SOCIETY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6107152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Зобов</w:t>
      </w:r>
      <w:r w:rsidRPr="004D2D14">
        <w:rPr>
          <w:rFonts w:asciiTheme="majorHAnsi" w:hAnsiTheme="majorHAnsi"/>
          <w:sz w:val="20"/>
          <w:szCs w:val="20"/>
          <w:lang w:val="en-US"/>
        </w:rPr>
        <w:t>’</w:t>
      </w:r>
      <w:r w:rsidRPr="000977F7">
        <w:rPr>
          <w:rFonts w:asciiTheme="majorHAnsi" w:hAnsiTheme="majorHAnsi"/>
          <w:sz w:val="20"/>
          <w:szCs w:val="20"/>
        </w:rPr>
        <w:t>язання</w:t>
      </w:r>
      <w:r w:rsidRPr="004D2D14">
        <w:rPr>
          <w:rFonts w:asciiTheme="majorHAnsi" w:hAnsiTheme="majorHAnsi"/>
          <w:sz w:val="20"/>
          <w:szCs w:val="20"/>
          <w:lang w:val="en-US"/>
        </w:rPr>
        <w:t xml:space="preserve">, </w:t>
      </w:r>
      <w:r w:rsidRPr="000977F7">
        <w:rPr>
          <w:rFonts w:asciiTheme="majorHAnsi" w:hAnsiTheme="majorHAnsi"/>
          <w:sz w:val="20"/>
          <w:szCs w:val="20"/>
        </w:rPr>
        <w:t>які</w:t>
      </w:r>
      <w:r w:rsidRPr="004D2D14">
        <w:rPr>
          <w:rFonts w:asciiTheme="majorHAnsi" w:hAnsiTheme="majorHAnsi"/>
          <w:sz w:val="20"/>
          <w:szCs w:val="20"/>
          <w:lang w:val="en-US"/>
        </w:rPr>
        <w:t xml:space="preserve"> </w:t>
      </w:r>
      <w:r w:rsidRPr="000977F7">
        <w:rPr>
          <w:rFonts w:asciiTheme="majorHAnsi" w:hAnsiTheme="majorHAnsi"/>
          <w:sz w:val="20"/>
          <w:szCs w:val="20"/>
        </w:rPr>
        <w:t>випливають</w:t>
      </w:r>
      <w:r w:rsidRPr="004D2D14">
        <w:rPr>
          <w:rFonts w:asciiTheme="majorHAnsi" w:hAnsiTheme="majorHAnsi"/>
          <w:sz w:val="20"/>
          <w:szCs w:val="20"/>
          <w:lang w:val="en-US"/>
        </w:rPr>
        <w:t xml:space="preserve"> </w:t>
      </w:r>
      <w:r w:rsidRPr="000977F7">
        <w:rPr>
          <w:rFonts w:asciiTheme="majorHAnsi" w:hAnsiTheme="majorHAnsi"/>
          <w:sz w:val="20"/>
          <w:szCs w:val="20"/>
        </w:rPr>
        <w:t>із</w:t>
      </w:r>
      <w:r w:rsidRPr="004D2D14">
        <w:rPr>
          <w:rFonts w:asciiTheme="majorHAnsi" w:hAnsiTheme="majorHAnsi"/>
          <w:sz w:val="20"/>
          <w:szCs w:val="20"/>
          <w:lang w:val="en-US"/>
        </w:rPr>
        <w:t xml:space="preserve"> </w:t>
      </w:r>
      <w:r w:rsidRPr="000977F7">
        <w:rPr>
          <w:rFonts w:asciiTheme="majorHAnsi" w:hAnsiTheme="majorHAnsi"/>
          <w:sz w:val="20"/>
          <w:szCs w:val="20"/>
        </w:rPr>
        <w:t>законів</w:t>
      </w:r>
      <w:r w:rsidRPr="004D2D14">
        <w:rPr>
          <w:rFonts w:asciiTheme="majorHAnsi" w:hAnsiTheme="majorHAnsi"/>
          <w:sz w:val="20"/>
          <w:szCs w:val="20"/>
          <w:lang w:val="en-US"/>
        </w:rPr>
        <w:t xml:space="preserve">, </w:t>
      </w:r>
      <w:r w:rsidRPr="000977F7">
        <w:rPr>
          <w:rFonts w:asciiTheme="majorHAnsi" w:hAnsiTheme="majorHAnsi"/>
          <w:sz w:val="20"/>
          <w:szCs w:val="20"/>
        </w:rPr>
        <w:t>інструкцій</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правил</w:t>
      </w:r>
      <w:r w:rsidRPr="004D2D14">
        <w:rPr>
          <w:rFonts w:asciiTheme="majorHAnsi" w:hAnsiTheme="majorHAnsi"/>
          <w:sz w:val="20"/>
          <w:szCs w:val="20"/>
          <w:lang w:val="en-US"/>
        </w:rPr>
        <w:t xml:space="preserve">, </w:t>
      </w:r>
      <w:r w:rsidRPr="000977F7">
        <w:rPr>
          <w:rFonts w:asciiTheme="majorHAnsi" w:hAnsiTheme="majorHAnsi"/>
          <w:sz w:val="20"/>
          <w:szCs w:val="20"/>
        </w:rPr>
        <w:t>кодексів</w:t>
      </w:r>
      <w:r w:rsidRPr="004D2D14">
        <w:rPr>
          <w:rFonts w:asciiTheme="majorHAnsi" w:hAnsiTheme="majorHAnsi"/>
          <w:sz w:val="20"/>
          <w:szCs w:val="20"/>
          <w:lang w:val="en-US"/>
        </w:rPr>
        <w:t xml:space="preserve">, </w:t>
      </w:r>
      <w:r w:rsidRPr="000977F7">
        <w:rPr>
          <w:rFonts w:asciiTheme="majorHAnsi" w:hAnsiTheme="majorHAnsi"/>
          <w:sz w:val="20"/>
          <w:szCs w:val="20"/>
        </w:rPr>
        <w:t>статутів</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інших</w:t>
      </w:r>
      <w:r w:rsidRPr="004D2D14">
        <w:rPr>
          <w:rFonts w:asciiTheme="majorHAnsi" w:hAnsiTheme="majorHAnsi"/>
          <w:sz w:val="20"/>
          <w:szCs w:val="20"/>
          <w:lang w:val="en-US"/>
        </w:rPr>
        <w:t xml:space="preserve"> </w:t>
      </w:r>
      <w:r w:rsidRPr="000977F7">
        <w:rPr>
          <w:rFonts w:asciiTheme="majorHAnsi" w:hAnsiTheme="majorHAnsi"/>
          <w:sz w:val="20"/>
          <w:szCs w:val="20"/>
        </w:rPr>
        <w:t>міркувань</w:t>
      </w:r>
      <w:r w:rsidRPr="004D2D14">
        <w:rPr>
          <w:rFonts w:asciiTheme="majorHAnsi" w:hAnsiTheme="majorHAnsi"/>
          <w:sz w:val="20"/>
          <w:szCs w:val="20"/>
          <w:lang w:val="en-US"/>
        </w:rPr>
        <w:t xml:space="preserve"> </w:t>
      </w:r>
      <w:r w:rsidRPr="000977F7">
        <w:rPr>
          <w:rFonts w:asciiTheme="majorHAnsi" w:hAnsiTheme="majorHAnsi"/>
          <w:sz w:val="20"/>
          <w:szCs w:val="20"/>
        </w:rPr>
        <w:t>щодо</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забезпечення</w:t>
      </w:r>
      <w:r w:rsidRPr="004D2D14">
        <w:rPr>
          <w:rFonts w:asciiTheme="majorHAnsi" w:hAnsiTheme="majorHAnsi"/>
          <w:spacing w:val="-2"/>
          <w:sz w:val="20"/>
          <w:szCs w:val="20"/>
          <w:lang w:val="en-US"/>
        </w:rPr>
        <w:t xml:space="preserve"> </w:t>
      </w:r>
      <w:r w:rsidRPr="000977F7">
        <w:rPr>
          <w:rFonts w:asciiTheme="majorHAnsi" w:hAnsiTheme="majorHAnsi"/>
          <w:sz w:val="20"/>
          <w:szCs w:val="20"/>
        </w:rPr>
        <w:t>якості</w:t>
      </w:r>
    </w:p>
    <w:p w14:paraId="67C3543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B824354" w14:textId="77777777" w:rsidR="0097612F" w:rsidRPr="000977F7" w:rsidRDefault="0097612F" w:rsidP="00FD39A4">
      <w:pPr>
        <w:pStyle w:val="ac"/>
        <w:widowControl w:val="0"/>
        <w:numPr>
          <w:ilvl w:val="0"/>
          <w:numId w:val="205"/>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w w:val="99"/>
          <w:sz w:val="20"/>
          <w:szCs w:val="20"/>
        </w:rPr>
        <w:t>І</w:t>
      </w:r>
      <w:r w:rsidRPr="000977F7">
        <w:rPr>
          <w:rFonts w:asciiTheme="majorHAnsi" w:hAnsiTheme="majorHAnsi"/>
          <w:spacing w:val="1"/>
          <w:w w:val="99"/>
          <w:sz w:val="20"/>
          <w:szCs w:val="20"/>
        </w:rPr>
        <w:t>н</w:t>
      </w:r>
      <w:r w:rsidRPr="000977F7">
        <w:rPr>
          <w:rFonts w:asciiTheme="majorHAnsi" w:hAnsiTheme="majorHAnsi"/>
          <w:w w:val="99"/>
          <w:sz w:val="20"/>
          <w:szCs w:val="20"/>
        </w:rPr>
        <w:t>ші</w:t>
      </w:r>
      <w:r w:rsidRPr="000977F7">
        <w:rPr>
          <w:rFonts w:asciiTheme="majorHAnsi" w:hAnsiTheme="majorHAnsi"/>
          <w:sz w:val="20"/>
          <w:szCs w:val="20"/>
        </w:rPr>
        <w:t xml:space="preserve"> </w:t>
      </w:r>
      <w:r w:rsidRPr="000977F7">
        <w:rPr>
          <w:rFonts w:asciiTheme="majorHAnsi" w:hAnsiTheme="majorHAnsi"/>
          <w:spacing w:val="1"/>
          <w:w w:val="99"/>
          <w:sz w:val="20"/>
          <w:szCs w:val="20"/>
        </w:rPr>
        <w:t>м</w:t>
      </w:r>
      <w:r w:rsidRPr="000977F7">
        <w:rPr>
          <w:rFonts w:asciiTheme="majorHAnsi" w:hAnsiTheme="majorHAnsi"/>
          <w:w w:val="99"/>
          <w:sz w:val="20"/>
          <w:szCs w:val="20"/>
        </w:rPr>
        <w:t>ір</w:t>
      </w:r>
      <w:r w:rsidRPr="000977F7">
        <w:rPr>
          <w:rFonts w:asciiTheme="majorHAnsi" w:hAnsiTheme="majorHAnsi"/>
          <w:spacing w:val="1"/>
          <w:w w:val="99"/>
          <w:sz w:val="20"/>
          <w:szCs w:val="20"/>
        </w:rPr>
        <w:t>к</w:t>
      </w:r>
      <w:r w:rsidRPr="000977F7">
        <w:rPr>
          <w:rFonts w:asciiTheme="majorHAnsi" w:hAnsiTheme="majorHAnsi"/>
          <w:spacing w:val="-2"/>
          <w:w w:val="99"/>
          <w:sz w:val="20"/>
          <w:szCs w:val="20"/>
        </w:rPr>
        <w:t>у</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а</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н</w:t>
      </w:r>
      <w:r w:rsidRPr="000977F7">
        <w:rPr>
          <w:rFonts w:asciiTheme="majorHAnsi" w:hAnsiTheme="majorHAnsi"/>
          <w:w w:val="121"/>
          <w:sz w:val="20"/>
          <w:szCs w:val="20"/>
        </w:rPr>
        <w:t xml:space="preserve">я </w:t>
      </w:r>
      <w:r w:rsidRPr="000977F7">
        <w:rPr>
          <w:rFonts w:asciiTheme="majorHAnsi" w:hAnsiTheme="majorHAnsi"/>
          <w:spacing w:val="1"/>
          <w:w w:val="99"/>
          <w:sz w:val="20"/>
          <w:szCs w:val="20"/>
        </w:rPr>
        <w:t>о</w:t>
      </w:r>
      <w:r w:rsidRPr="000977F7">
        <w:rPr>
          <w:rFonts w:asciiTheme="majorHAnsi" w:hAnsiTheme="majorHAnsi"/>
          <w:spacing w:val="-2"/>
          <w:w w:val="99"/>
          <w:sz w:val="20"/>
          <w:szCs w:val="20"/>
        </w:rPr>
        <w:t>х</w:t>
      </w:r>
      <w:r w:rsidRPr="000977F7">
        <w:rPr>
          <w:rFonts w:asciiTheme="majorHAnsi" w:hAnsiTheme="majorHAnsi"/>
          <w:spacing w:val="1"/>
          <w:w w:val="99"/>
          <w:sz w:val="20"/>
          <w:szCs w:val="20"/>
        </w:rPr>
        <w:t>оп</w:t>
      </w:r>
      <w:r w:rsidRPr="000977F7">
        <w:rPr>
          <w:rFonts w:asciiTheme="majorHAnsi" w:hAnsiTheme="majorHAnsi"/>
          <w:spacing w:val="-1"/>
          <w:w w:val="99"/>
          <w:sz w:val="20"/>
          <w:szCs w:val="20"/>
        </w:rPr>
        <w:t>л</w:t>
      </w:r>
      <w:r w:rsidRPr="000977F7">
        <w:rPr>
          <w:rFonts w:asciiTheme="majorHAnsi" w:hAnsiTheme="majorHAnsi"/>
          <w:spacing w:val="2"/>
          <w:w w:val="99"/>
          <w:sz w:val="20"/>
          <w:szCs w:val="20"/>
        </w:rPr>
        <w:t>ю</w:t>
      </w:r>
      <w:r w:rsidRPr="000977F7">
        <w:rPr>
          <w:rFonts w:asciiTheme="majorHAnsi" w:hAnsiTheme="majorHAnsi"/>
          <w:spacing w:val="-1"/>
          <w:w w:val="99"/>
          <w:sz w:val="20"/>
          <w:szCs w:val="20"/>
        </w:rPr>
        <w:t>ют</w:t>
      </w:r>
      <w:r w:rsidRPr="000977F7">
        <w:rPr>
          <w:rFonts w:asciiTheme="majorHAnsi" w:hAnsiTheme="majorHAnsi"/>
          <w:w w:val="99"/>
          <w:sz w:val="20"/>
          <w:szCs w:val="20"/>
        </w:rPr>
        <w:t>ь</w:t>
      </w:r>
      <w:r w:rsidRPr="000977F7">
        <w:rPr>
          <w:rFonts w:asciiTheme="majorHAnsi" w:hAnsiTheme="majorHAnsi"/>
          <w:sz w:val="20"/>
          <w:szCs w:val="20"/>
        </w:rPr>
        <w:t xml:space="preserve"> </w:t>
      </w:r>
      <w:r w:rsidRPr="000977F7">
        <w:rPr>
          <w:rFonts w:asciiTheme="majorHAnsi" w:hAnsiTheme="majorHAnsi"/>
          <w:spacing w:val="1"/>
          <w:w w:val="99"/>
          <w:sz w:val="20"/>
          <w:szCs w:val="20"/>
        </w:rPr>
        <w:t>о</w:t>
      </w:r>
      <w:r w:rsidRPr="000977F7">
        <w:rPr>
          <w:rFonts w:asciiTheme="majorHAnsi" w:hAnsiTheme="majorHAnsi"/>
          <w:spacing w:val="-2"/>
          <w:w w:val="99"/>
          <w:sz w:val="20"/>
          <w:szCs w:val="20"/>
        </w:rPr>
        <w:t>х</w:t>
      </w:r>
      <w:r w:rsidRPr="000977F7">
        <w:rPr>
          <w:rFonts w:asciiTheme="majorHAnsi" w:hAnsiTheme="majorHAnsi"/>
          <w:spacing w:val="1"/>
          <w:w w:val="99"/>
          <w:sz w:val="20"/>
          <w:szCs w:val="20"/>
        </w:rPr>
        <w:t>орон</w:t>
      </w:r>
      <w:r w:rsidRPr="000977F7">
        <w:rPr>
          <w:rFonts w:asciiTheme="majorHAnsi" w:hAnsiTheme="majorHAnsi"/>
          <w:w w:val="99"/>
          <w:sz w:val="20"/>
          <w:szCs w:val="20"/>
        </w:rPr>
        <w:t>у</w:t>
      </w:r>
      <w:r w:rsidRPr="000977F7">
        <w:rPr>
          <w:rFonts w:asciiTheme="majorHAnsi" w:hAnsiTheme="majorHAnsi"/>
          <w:sz w:val="20"/>
          <w:szCs w:val="20"/>
        </w:rPr>
        <w:t xml:space="preserve"> </w:t>
      </w:r>
      <w:r w:rsidRPr="000977F7">
        <w:rPr>
          <w:rFonts w:asciiTheme="majorHAnsi" w:hAnsiTheme="majorHAnsi"/>
          <w:spacing w:val="-2"/>
          <w:w w:val="99"/>
          <w:sz w:val="20"/>
          <w:szCs w:val="20"/>
        </w:rPr>
        <w:t>н</w:t>
      </w:r>
      <w:r w:rsidRPr="000977F7">
        <w:rPr>
          <w:rFonts w:asciiTheme="majorHAnsi" w:hAnsiTheme="majorHAnsi"/>
          <w:spacing w:val="2"/>
          <w:w w:val="99"/>
          <w:sz w:val="20"/>
          <w:szCs w:val="20"/>
        </w:rPr>
        <w:t>а</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к</w:t>
      </w:r>
      <w:r w:rsidRPr="000977F7">
        <w:rPr>
          <w:rFonts w:asciiTheme="majorHAnsi" w:hAnsiTheme="majorHAnsi"/>
          <w:spacing w:val="3"/>
          <w:w w:val="99"/>
          <w:sz w:val="20"/>
          <w:szCs w:val="20"/>
        </w:rPr>
        <w:t>ол</w:t>
      </w:r>
      <w:r w:rsidRPr="000977F7">
        <w:rPr>
          <w:rFonts w:asciiTheme="majorHAnsi" w:hAnsiTheme="majorHAnsi"/>
          <w:spacing w:val="1"/>
          <w:w w:val="99"/>
          <w:sz w:val="20"/>
          <w:szCs w:val="20"/>
        </w:rPr>
        <w:t>и</w:t>
      </w:r>
      <w:r w:rsidRPr="000977F7">
        <w:rPr>
          <w:rFonts w:asciiTheme="majorHAnsi" w:hAnsiTheme="majorHAnsi"/>
          <w:sz w:val="20"/>
          <w:szCs w:val="20"/>
        </w:rPr>
        <w:t>шнього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здоров’я,</w:t>
      </w:r>
      <w:r w:rsidRPr="000977F7">
        <w:rPr>
          <w:rFonts w:asciiTheme="majorHAnsi" w:hAnsiTheme="majorHAnsi"/>
          <w:spacing w:val="1"/>
          <w:sz w:val="20"/>
          <w:szCs w:val="20"/>
        </w:rPr>
        <w:t xml:space="preserve"> </w:t>
      </w:r>
      <w:r w:rsidRPr="000977F7">
        <w:rPr>
          <w:rFonts w:asciiTheme="majorHAnsi" w:hAnsiTheme="majorHAnsi"/>
          <w:sz w:val="20"/>
          <w:szCs w:val="20"/>
        </w:rPr>
        <w:t>безпеку,</w:t>
      </w:r>
      <w:r w:rsidRPr="000977F7">
        <w:rPr>
          <w:rFonts w:asciiTheme="majorHAnsi" w:hAnsiTheme="majorHAnsi"/>
          <w:spacing w:val="1"/>
          <w:sz w:val="20"/>
          <w:szCs w:val="20"/>
        </w:rPr>
        <w:t xml:space="preserve"> </w:t>
      </w:r>
      <w:r w:rsidRPr="000977F7">
        <w:rPr>
          <w:rFonts w:asciiTheme="majorHAnsi" w:hAnsiTheme="majorHAnsi"/>
          <w:sz w:val="20"/>
          <w:szCs w:val="20"/>
        </w:rPr>
        <w:t>надійність,</w:t>
      </w:r>
      <w:r w:rsidRPr="000977F7">
        <w:rPr>
          <w:rFonts w:asciiTheme="majorHAnsi" w:hAnsiTheme="majorHAnsi"/>
          <w:spacing w:val="-3"/>
          <w:sz w:val="20"/>
          <w:szCs w:val="20"/>
        </w:rPr>
        <w:t xml:space="preserve"> </w:t>
      </w:r>
      <w:r w:rsidRPr="000977F7">
        <w:rPr>
          <w:rFonts w:asciiTheme="majorHAnsi" w:hAnsiTheme="majorHAnsi"/>
          <w:sz w:val="20"/>
          <w:szCs w:val="20"/>
        </w:rPr>
        <w:t>заощадження</w:t>
      </w:r>
      <w:r w:rsidRPr="000977F7">
        <w:rPr>
          <w:rFonts w:asciiTheme="majorHAnsi" w:hAnsiTheme="majorHAnsi"/>
          <w:spacing w:val="-4"/>
          <w:sz w:val="20"/>
          <w:szCs w:val="20"/>
        </w:rPr>
        <w:t xml:space="preserve"> </w:t>
      </w:r>
      <w:r w:rsidRPr="000977F7">
        <w:rPr>
          <w:rFonts w:asciiTheme="majorHAnsi" w:hAnsiTheme="majorHAnsi"/>
          <w:sz w:val="20"/>
          <w:szCs w:val="20"/>
        </w:rPr>
        <w:t>енергії</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природних</w:t>
      </w:r>
      <w:r w:rsidRPr="000977F7">
        <w:rPr>
          <w:rFonts w:asciiTheme="majorHAnsi" w:hAnsiTheme="majorHAnsi"/>
          <w:spacing w:val="-4"/>
          <w:sz w:val="20"/>
          <w:szCs w:val="20"/>
        </w:rPr>
        <w:t xml:space="preserve"> </w:t>
      </w:r>
      <w:r w:rsidRPr="000977F7">
        <w:rPr>
          <w:rFonts w:asciiTheme="majorHAnsi" w:hAnsiTheme="majorHAnsi"/>
          <w:sz w:val="20"/>
          <w:szCs w:val="20"/>
        </w:rPr>
        <w:t>ресурсів</w:t>
      </w:r>
    </w:p>
    <w:p w14:paraId="5F5DD1B1" w14:textId="77777777" w:rsidR="0097612F" w:rsidRPr="000977F7" w:rsidRDefault="0097612F" w:rsidP="00FD39A4">
      <w:pPr>
        <w:pStyle w:val="ac"/>
        <w:widowControl w:val="0"/>
        <w:numPr>
          <w:ilvl w:val="0"/>
          <w:numId w:val="205"/>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Під час визначення вимог до якості мають бути</w:t>
      </w:r>
      <w:r w:rsidRPr="000977F7">
        <w:rPr>
          <w:rFonts w:asciiTheme="majorHAnsi" w:hAnsiTheme="majorHAnsi"/>
          <w:spacing w:val="1"/>
          <w:sz w:val="20"/>
          <w:szCs w:val="20"/>
        </w:rPr>
        <w:t xml:space="preserve"> </w:t>
      </w:r>
      <w:r w:rsidRPr="000977F7">
        <w:rPr>
          <w:rFonts w:asciiTheme="majorHAnsi" w:hAnsiTheme="majorHAnsi"/>
          <w:sz w:val="20"/>
          <w:szCs w:val="20"/>
        </w:rPr>
        <w:t>враховані</w:t>
      </w:r>
      <w:r w:rsidRPr="000977F7">
        <w:rPr>
          <w:rFonts w:asciiTheme="majorHAnsi" w:hAnsiTheme="majorHAnsi"/>
          <w:spacing w:val="1"/>
          <w:sz w:val="20"/>
          <w:szCs w:val="20"/>
        </w:rPr>
        <w:t xml:space="preserve"> </w:t>
      </w:r>
      <w:r w:rsidRPr="000977F7">
        <w:rPr>
          <w:rFonts w:asciiTheme="majorHAnsi" w:hAnsiTheme="majorHAnsi"/>
          <w:sz w:val="20"/>
          <w:szCs w:val="20"/>
        </w:rPr>
        <w:t>всі</w:t>
      </w:r>
      <w:r w:rsidRPr="000977F7">
        <w:rPr>
          <w:rFonts w:asciiTheme="majorHAnsi" w:hAnsiTheme="majorHAnsi"/>
          <w:spacing w:val="-2"/>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суспільства</w:t>
      </w:r>
    </w:p>
    <w:p w14:paraId="2D426DE3" w14:textId="77777777" w:rsidR="0097612F" w:rsidRPr="000977F7" w:rsidRDefault="0097612F" w:rsidP="00FD39A4">
      <w:pPr>
        <w:pStyle w:val="ac"/>
        <w:widowControl w:val="0"/>
        <w:numPr>
          <w:ilvl w:val="0"/>
          <w:numId w:val="205"/>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Вимоги суспільства складаються з</w:t>
      </w:r>
      <w:r w:rsidRPr="000977F7">
        <w:rPr>
          <w:rFonts w:asciiTheme="majorHAnsi" w:hAnsiTheme="majorHAnsi"/>
          <w:spacing w:val="1"/>
          <w:sz w:val="20"/>
          <w:szCs w:val="20"/>
        </w:rPr>
        <w:t xml:space="preserve"> </w:t>
      </w:r>
      <w:r w:rsidRPr="000977F7">
        <w:rPr>
          <w:rFonts w:asciiTheme="majorHAnsi" w:hAnsiTheme="majorHAnsi"/>
          <w:sz w:val="20"/>
          <w:szCs w:val="20"/>
        </w:rPr>
        <w:t>юридичних і</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нормативних вимог. Вони можуть змінюватися в</w:t>
      </w:r>
      <w:r w:rsidRPr="000977F7">
        <w:rPr>
          <w:rFonts w:asciiTheme="majorHAnsi" w:hAnsiTheme="majorHAnsi"/>
          <w:spacing w:val="1"/>
          <w:sz w:val="20"/>
          <w:szCs w:val="20"/>
        </w:rPr>
        <w:t xml:space="preserve"> </w:t>
      </w:r>
      <w:r w:rsidRPr="000977F7">
        <w:rPr>
          <w:rFonts w:asciiTheme="majorHAnsi" w:hAnsiTheme="majorHAnsi"/>
          <w:sz w:val="20"/>
          <w:szCs w:val="20"/>
        </w:rPr>
        <w:t>різних</w:t>
      </w:r>
      <w:r w:rsidRPr="000977F7">
        <w:rPr>
          <w:rFonts w:asciiTheme="majorHAnsi" w:hAnsiTheme="majorHAnsi"/>
          <w:spacing w:val="-3"/>
          <w:sz w:val="20"/>
          <w:szCs w:val="20"/>
        </w:rPr>
        <w:t xml:space="preserve"> </w:t>
      </w:r>
      <w:r w:rsidRPr="000977F7">
        <w:rPr>
          <w:rFonts w:asciiTheme="majorHAnsi" w:hAnsiTheme="majorHAnsi"/>
          <w:sz w:val="20"/>
          <w:szCs w:val="20"/>
        </w:rPr>
        <w:t>галузях</w:t>
      </w:r>
      <w:r w:rsidRPr="000977F7">
        <w:rPr>
          <w:rFonts w:asciiTheme="majorHAnsi" w:hAnsiTheme="majorHAnsi"/>
          <w:spacing w:val="-3"/>
          <w:sz w:val="20"/>
          <w:szCs w:val="20"/>
        </w:rPr>
        <w:t xml:space="preserve"> </w:t>
      </w:r>
      <w:r w:rsidRPr="000977F7">
        <w:rPr>
          <w:rFonts w:asciiTheme="majorHAnsi" w:hAnsiTheme="majorHAnsi"/>
          <w:sz w:val="20"/>
          <w:szCs w:val="20"/>
        </w:rPr>
        <w:t>застосування юридичних</w:t>
      </w:r>
      <w:r w:rsidRPr="000977F7">
        <w:rPr>
          <w:rFonts w:asciiTheme="majorHAnsi" w:hAnsiTheme="majorHAnsi"/>
          <w:spacing w:val="-2"/>
          <w:sz w:val="20"/>
          <w:szCs w:val="20"/>
        </w:rPr>
        <w:t xml:space="preserve"> </w:t>
      </w:r>
      <w:r w:rsidRPr="000977F7">
        <w:rPr>
          <w:rFonts w:asciiTheme="majorHAnsi" w:hAnsiTheme="majorHAnsi"/>
          <w:sz w:val="20"/>
          <w:szCs w:val="20"/>
        </w:rPr>
        <w:t>актів</w:t>
      </w:r>
    </w:p>
    <w:p w14:paraId="687E573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ВИМУШЕНА</w:t>
      </w:r>
      <w:r w:rsidRPr="000977F7">
        <w:rPr>
          <w:color w:val="auto"/>
          <w:spacing w:val="-6"/>
          <w:sz w:val="20"/>
          <w:szCs w:val="20"/>
        </w:rPr>
        <w:t xml:space="preserve"> </w:t>
      </w:r>
      <w:r w:rsidRPr="000977F7">
        <w:rPr>
          <w:color w:val="auto"/>
          <w:sz w:val="20"/>
          <w:szCs w:val="20"/>
        </w:rPr>
        <w:t>ВІДМОВА</w:t>
      </w:r>
      <w:r w:rsidRPr="000977F7">
        <w:rPr>
          <w:color w:val="auto"/>
          <w:spacing w:val="-8"/>
          <w:sz w:val="20"/>
          <w:szCs w:val="20"/>
        </w:rPr>
        <w:t xml:space="preserve"> </w:t>
      </w:r>
      <w:r w:rsidRPr="000977F7">
        <w:rPr>
          <w:color w:val="auto"/>
          <w:sz w:val="20"/>
          <w:szCs w:val="20"/>
        </w:rPr>
        <w:t>ТЕХНОЛОГІЧНОЇ</w:t>
      </w:r>
      <w:r w:rsidRPr="000977F7">
        <w:rPr>
          <w:color w:val="auto"/>
          <w:spacing w:val="-47"/>
          <w:sz w:val="20"/>
          <w:szCs w:val="20"/>
        </w:rPr>
        <w:t xml:space="preserve"> </w:t>
      </w:r>
      <w:r w:rsidRPr="000977F7">
        <w:rPr>
          <w:color w:val="auto"/>
          <w:sz w:val="20"/>
          <w:szCs w:val="20"/>
        </w:rPr>
        <w:t>СИСТЕМИ –</w:t>
      </w:r>
    </w:p>
    <w:p w14:paraId="51E5745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FORSED</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TECHNOLOGICAL</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SYSTEM –</w:t>
      </w:r>
    </w:p>
    <w:p w14:paraId="6AADC5E9"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Відмова</w:t>
      </w:r>
      <w:r w:rsidRPr="000977F7">
        <w:rPr>
          <w:rFonts w:asciiTheme="majorHAnsi" w:hAnsiTheme="majorHAnsi"/>
          <w:spacing w:val="9"/>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9"/>
          <w:sz w:val="20"/>
          <w:szCs w:val="20"/>
        </w:rPr>
        <w:t xml:space="preserve"> </w:t>
      </w:r>
      <w:r w:rsidRPr="000977F7">
        <w:rPr>
          <w:rFonts w:asciiTheme="majorHAnsi" w:hAnsiTheme="majorHAnsi"/>
          <w:sz w:val="20"/>
          <w:szCs w:val="20"/>
        </w:rPr>
        <w:t>системи,</w:t>
      </w:r>
      <w:r w:rsidRPr="000977F7">
        <w:rPr>
          <w:rFonts w:asciiTheme="majorHAnsi" w:hAnsiTheme="majorHAnsi"/>
          <w:spacing w:val="10"/>
          <w:sz w:val="20"/>
          <w:szCs w:val="20"/>
        </w:rPr>
        <w:t xml:space="preserve"> </w:t>
      </w:r>
      <w:r w:rsidRPr="000977F7">
        <w:rPr>
          <w:rFonts w:asciiTheme="majorHAnsi" w:hAnsiTheme="majorHAnsi"/>
          <w:sz w:val="20"/>
          <w:szCs w:val="20"/>
        </w:rPr>
        <w:t>внаслідок</w:t>
      </w:r>
      <w:r w:rsidRPr="000977F7">
        <w:rPr>
          <w:rFonts w:asciiTheme="majorHAnsi" w:hAnsiTheme="majorHAnsi"/>
          <w:spacing w:val="11"/>
          <w:sz w:val="20"/>
          <w:szCs w:val="20"/>
        </w:rPr>
        <w:t xml:space="preserve"> </w:t>
      </w:r>
      <w:r w:rsidRPr="000977F7">
        <w:rPr>
          <w:rFonts w:asciiTheme="majorHAnsi" w:hAnsiTheme="majorHAnsi"/>
          <w:sz w:val="20"/>
          <w:szCs w:val="20"/>
        </w:rPr>
        <w:t>порушення</w:t>
      </w:r>
      <w:r w:rsidRPr="000977F7">
        <w:rPr>
          <w:rFonts w:asciiTheme="majorHAnsi" w:hAnsiTheme="majorHAnsi"/>
          <w:spacing w:val="-47"/>
          <w:sz w:val="20"/>
          <w:szCs w:val="20"/>
        </w:rPr>
        <w:t xml:space="preserve"> </w:t>
      </w:r>
      <w:r w:rsidRPr="000977F7">
        <w:rPr>
          <w:rFonts w:asciiTheme="majorHAnsi" w:hAnsiTheme="majorHAnsi"/>
          <w:sz w:val="20"/>
          <w:szCs w:val="20"/>
        </w:rPr>
        <w:t>регламентованих для цієї системи умов виробництва</w:t>
      </w:r>
      <w:r w:rsidRPr="000977F7">
        <w:rPr>
          <w:rFonts w:asciiTheme="majorHAnsi" w:hAnsiTheme="majorHAnsi"/>
          <w:spacing w:val="1"/>
          <w:sz w:val="20"/>
          <w:szCs w:val="20"/>
        </w:rPr>
        <w:t xml:space="preserve"> </w:t>
      </w:r>
    </w:p>
    <w:p w14:paraId="278E6957"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2470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D6C057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ВИНЯТКОВЕ</w:t>
      </w:r>
      <w:r w:rsidRPr="000977F7">
        <w:rPr>
          <w:color w:val="auto"/>
          <w:spacing w:val="-8"/>
          <w:sz w:val="20"/>
          <w:szCs w:val="20"/>
        </w:rPr>
        <w:t xml:space="preserve"> </w:t>
      </w:r>
      <w:r w:rsidRPr="000977F7">
        <w:rPr>
          <w:color w:val="auto"/>
          <w:sz w:val="20"/>
          <w:szCs w:val="20"/>
        </w:rPr>
        <w:t>(ВКАЗІВНЕ)</w:t>
      </w:r>
      <w:r w:rsidRPr="000977F7">
        <w:rPr>
          <w:color w:val="auto"/>
          <w:spacing w:val="-6"/>
          <w:sz w:val="20"/>
          <w:szCs w:val="20"/>
        </w:rPr>
        <w:t xml:space="preserve"> </w:t>
      </w:r>
      <w:r w:rsidRPr="000977F7">
        <w:rPr>
          <w:color w:val="auto"/>
          <w:sz w:val="20"/>
          <w:szCs w:val="20"/>
        </w:rPr>
        <w:t>ПОСИЛАННЯ</w:t>
      </w:r>
      <w:r w:rsidRPr="000977F7">
        <w:rPr>
          <w:color w:val="auto"/>
          <w:spacing w:val="-6"/>
          <w:sz w:val="20"/>
          <w:szCs w:val="20"/>
        </w:rPr>
        <w:t xml:space="preserve"> </w:t>
      </w:r>
      <w:r w:rsidRPr="000977F7">
        <w:rPr>
          <w:color w:val="auto"/>
          <w:sz w:val="20"/>
          <w:szCs w:val="20"/>
        </w:rPr>
        <w:t>НА</w:t>
      </w:r>
      <w:r w:rsidRPr="000977F7">
        <w:rPr>
          <w:color w:val="auto"/>
          <w:spacing w:val="-47"/>
          <w:sz w:val="20"/>
          <w:szCs w:val="20"/>
        </w:rPr>
        <w:t xml:space="preserve"> </w:t>
      </w:r>
      <w:r w:rsidRPr="000977F7">
        <w:rPr>
          <w:color w:val="auto"/>
          <w:sz w:val="20"/>
          <w:szCs w:val="20"/>
        </w:rPr>
        <w:t>СТАНДАРТИ –</w:t>
      </w:r>
    </w:p>
    <w:p w14:paraId="5419D44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EXCLUSIVE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(INDICATIVE)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REFERENCE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STANDARDS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DF0CCC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Посилання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стандарти,</w:t>
      </w:r>
      <w:r w:rsidRPr="000977F7">
        <w:rPr>
          <w:rFonts w:asciiTheme="majorHAnsi" w:hAnsiTheme="majorHAnsi"/>
          <w:spacing w:val="1"/>
          <w:sz w:val="20"/>
          <w:szCs w:val="20"/>
        </w:rPr>
        <w:t xml:space="preserve"> </w:t>
      </w:r>
      <w:r w:rsidRPr="000977F7">
        <w:rPr>
          <w:rFonts w:asciiTheme="majorHAnsi" w:hAnsiTheme="majorHAnsi"/>
          <w:sz w:val="20"/>
          <w:szCs w:val="20"/>
        </w:rPr>
        <w:t>яке</w:t>
      </w:r>
      <w:r w:rsidRPr="000977F7">
        <w:rPr>
          <w:rFonts w:asciiTheme="majorHAnsi" w:hAnsiTheme="majorHAnsi"/>
          <w:spacing w:val="1"/>
          <w:sz w:val="20"/>
          <w:szCs w:val="20"/>
        </w:rPr>
        <w:t xml:space="preserve"> </w:t>
      </w:r>
      <w:r w:rsidRPr="000977F7">
        <w:rPr>
          <w:rFonts w:asciiTheme="majorHAnsi" w:hAnsiTheme="majorHAnsi"/>
          <w:sz w:val="20"/>
          <w:szCs w:val="20"/>
        </w:rPr>
        <w:t>зазначає,</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єдиним</w:t>
      </w:r>
      <w:r w:rsidRPr="000977F7">
        <w:rPr>
          <w:rFonts w:asciiTheme="majorHAnsi" w:hAnsiTheme="majorHAnsi"/>
          <w:spacing w:val="1"/>
          <w:sz w:val="20"/>
          <w:szCs w:val="20"/>
        </w:rPr>
        <w:t xml:space="preserve"> </w:t>
      </w:r>
      <w:r w:rsidRPr="000977F7">
        <w:rPr>
          <w:rFonts w:asciiTheme="majorHAnsi" w:hAnsiTheme="majorHAnsi"/>
          <w:sz w:val="20"/>
          <w:szCs w:val="20"/>
        </w:rPr>
        <w:t>способом</w:t>
      </w:r>
      <w:r w:rsidRPr="000977F7">
        <w:rPr>
          <w:rFonts w:asciiTheme="majorHAnsi" w:hAnsiTheme="majorHAnsi"/>
          <w:spacing w:val="3"/>
          <w:sz w:val="20"/>
          <w:szCs w:val="20"/>
        </w:rPr>
        <w:t xml:space="preserve"> </w:t>
      </w:r>
      <w:r w:rsidRPr="000977F7">
        <w:rPr>
          <w:rFonts w:asciiTheme="majorHAnsi" w:hAnsiTheme="majorHAnsi"/>
          <w:sz w:val="20"/>
          <w:szCs w:val="20"/>
        </w:rPr>
        <w:t>(одним</w:t>
      </w:r>
      <w:r w:rsidRPr="000977F7">
        <w:rPr>
          <w:rFonts w:asciiTheme="majorHAnsi" w:hAnsiTheme="majorHAnsi"/>
          <w:spacing w:val="5"/>
          <w:sz w:val="20"/>
          <w:szCs w:val="20"/>
        </w:rPr>
        <w:t xml:space="preserve"> </w:t>
      </w:r>
      <w:r w:rsidRPr="000977F7">
        <w:rPr>
          <w:rFonts w:asciiTheme="majorHAnsi" w:hAnsiTheme="majorHAnsi"/>
          <w:sz w:val="20"/>
          <w:szCs w:val="20"/>
        </w:rPr>
        <w:t>із</w:t>
      </w:r>
      <w:r w:rsidRPr="000977F7">
        <w:rPr>
          <w:rFonts w:asciiTheme="majorHAnsi" w:hAnsiTheme="majorHAnsi"/>
          <w:spacing w:val="3"/>
          <w:sz w:val="20"/>
          <w:szCs w:val="20"/>
        </w:rPr>
        <w:t xml:space="preserve"> </w:t>
      </w:r>
      <w:r w:rsidRPr="000977F7">
        <w:rPr>
          <w:rFonts w:asciiTheme="majorHAnsi" w:hAnsiTheme="majorHAnsi"/>
          <w:sz w:val="20"/>
          <w:szCs w:val="20"/>
        </w:rPr>
        <w:t>способів)</w:t>
      </w:r>
      <w:r w:rsidRPr="000977F7">
        <w:rPr>
          <w:rFonts w:asciiTheme="majorHAnsi" w:hAnsiTheme="majorHAnsi"/>
          <w:spacing w:val="2"/>
          <w:sz w:val="20"/>
          <w:szCs w:val="20"/>
        </w:rPr>
        <w:t xml:space="preserve"> </w:t>
      </w:r>
      <w:r w:rsidRPr="000977F7">
        <w:rPr>
          <w:rFonts w:asciiTheme="majorHAnsi" w:hAnsiTheme="majorHAnsi"/>
          <w:sz w:val="20"/>
          <w:szCs w:val="20"/>
        </w:rPr>
        <w:t>досягнення</w:t>
      </w:r>
      <w:r w:rsidRPr="000977F7">
        <w:rPr>
          <w:rFonts w:asciiTheme="majorHAnsi" w:hAnsiTheme="majorHAnsi"/>
          <w:spacing w:val="4"/>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3"/>
          <w:sz w:val="20"/>
          <w:szCs w:val="20"/>
        </w:rPr>
        <w:t xml:space="preserve"> </w:t>
      </w:r>
      <w:r w:rsidRPr="000977F7">
        <w:rPr>
          <w:rFonts w:asciiTheme="majorHAnsi" w:hAnsiTheme="majorHAnsi"/>
          <w:sz w:val="20"/>
          <w:szCs w:val="20"/>
        </w:rPr>
        <w:t>певним</w:t>
      </w:r>
      <w:r w:rsidRPr="000977F7">
        <w:rPr>
          <w:rFonts w:asciiTheme="majorHAnsi" w:hAnsiTheme="majorHAnsi"/>
          <w:spacing w:val="4"/>
          <w:sz w:val="20"/>
          <w:szCs w:val="20"/>
        </w:rPr>
        <w:t xml:space="preserve"> </w:t>
      </w:r>
      <w:r w:rsidRPr="000977F7">
        <w:rPr>
          <w:rFonts w:asciiTheme="majorHAnsi" w:hAnsiTheme="majorHAnsi"/>
          <w:sz w:val="20"/>
          <w:szCs w:val="20"/>
        </w:rPr>
        <w:t>вимогам</w:t>
      </w:r>
      <w:r w:rsidRPr="000977F7">
        <w:rPr>
          <w:rFonts w:asciiTheme="majorHAnsi" w:hAnsiTheme="majorHAnsi"/>
          <w:spacing w:val="4"/>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4"/>
          <w:sz w:val="20"/>
          <w:szCs w:val="20"/>
        </w:rPr>
        <w:t xml:space="preserve"> </w:t>
      </w:r>
      <w:r w:rsidRPr="000977F7">
        <w:rPr>
          <w:rFonts w:asciiTheme="majorHAnsi" w:hAnsiTheme="majorHAnsi"/>
          <w:sz w:val="20"/>
          <w:szCs w:val="20"/>
        </w:rPr>
        <w:t>регламенту</w:t>
      </w:r>
      <w:r w:rsidRPr="000977F7">
        <w:rPr>
          <w:rFonts w:asciiTheme="majorHAnsi" w:hAnsiTheme="majorHAnsi"/>
          <w:spacing w:val="2"/>
          <w:sz w:val="20"/>
          <w:szCs w:val="20"/>
        </w:rPr>
        <w:t xml:space="preserve"> </w:t>
      </w:r>
      <w:r w:rsidRPr="000977F7">
        <w:rPr>
          <w:rFonts w:asciiTheme="majorHAnsi" w:hAnsiTheme="majorHAnsi"/>
          <w:sz w:val="20"/>
          <w:szCs w:val="20"/>
        </w:rPr>
        <w:t>є</w:t>
      </w:r>
      <w:r w:rsidRPr="000977F7">
        <w:rPr>
          <w:rFonts w:asciiTheme="majorHAnsi" w:hAnsiTheme="majorHAnsi"/>
          <w:spacing w:val="4"/>
          <w:sz w:val="20"/>
          <w:szCs w:val="20"/>
        </w:rPr>
        <w:t xml:space="preserve"> </w:t>
      </w:r>
      <w:r w:rsidRPr="000977F7">
        <w:rPr>
          <w:rFonts w:asciiTheme="majorHAnsi" w:hAnsiTheme="majorHAnsi"/>
          <w:sz w:val="20"/>
          <w:szCs w:val="20"/>
        </w:rPr>
        <w:t>дотримання</w:t>
      </w:r>
      <w:r w:rsidRPr="000977F7">
        <w:rPr>
          <w:rFonts w:asciiTheme="majorHAnsi" w:hAnsiTheme="majorHAnsi"/>
          <w:spacing w:val="-2"/>
          <w:sz w:val="20"/>
          <w:szCs w:val="20"/>
        </w:rPr>
        <w:t xml:space="preserve"> </w:t>
      </w:r>
      <w:r w:rsidRPr="000977F7">
        <w:rPr>
          <w:rFonts w:asciiTheme="majorHAnsi" w:hAnsiTheme="majorHAnsi"/>
          <w:sz w:val="20"/>
          <w:szCs w:val="20"/>
        </w:rPr>
        <w:t>зазначеного</w:t>
      </w:r>
      <w:r w:rsidRPr="000977F7">
        <w:rPr>
          <w:rFonts w:asciiTheme="majorHAnsi" w:hAnsiTheme="majorHAnsi"/>
          <w:spacing w:val="1"/>
          <w:sz w:val="20"/>
          <w:szCs w:val="20"/>
        </w:rPr>
        <w:t xml:space="preserve"> </w:t>
      </w:r>
      <w:r w:rsidRPr="000977F7">
        <w:rPr>
          <w:rFonts w:asciiTheme="majorHAnsi" w:hAnsiTheme="majorHAnsi"/>
          <w:sz w:val="20"/>
          <w:szCs w:val="20"/>
        </w:rPr>
        <w:t>стандарту</w:t>
      </w:r>
      <w:r w:rsidRPr="000977F7">
        <w:rPr>
          <w:rFonts w:asciiTheme="majorHAnsi" w:hAnsiTheme="majorHAnsi"/>
          <w:spacing w:val="-1"/>
          <w:sz w:val="20"/>
          <w:szCs w:val="20"/>
        </w:rPr>
        <w:t xml:space="preserve"> </w:t>
      </w:r>
      <w:r w:rsidRPr="000977F7">
        <w:rPr>
          <w:rFonts w:asciiTheme="majorHAnsi" w:hAnsiTheme="majorHAnsi"/>
          <w:sz w:val="20"/>
          <w:szCs w:val="20"/>
        </w:rPr>
        <w:t>(ів)</w:t>
      </w:r>
    </w:p>
    <w:p w14:paraId="19EBEDB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B0B6B0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Довідкове</w:t>
      </w:r>
      <w:r w:rsidRPr="000977F7">
        <w:rPr>
          <w:rFonts w:asciiTheme="majorHAnsi" w:hAnsiTheme="majorHAnsi"/>
          <w:spacing w:val="30"/>
          <w:sz w:val="20"/>
          <w:szCs w:val="20"/>
        </w:rPr>
        <w:t xml:space="preserve"> </w:t>
      </w:r>
      <w:r w:rsidRPr="000977F7">
        <w:rPr>
          <w:rFonts w:asciiTheme="majorHAnsi" w:hAnsiTheme="majorHAnsi"/>
          <w:sz w:val="20"/>
          <w:szCs w:val="20"/>
        </w:rPr>
        <w:t>посилання</w:t>
      </w:r>
      <w:r w:rsidRPr="000977F7">
        <w:rPr>
          <w:rFonts w:asciiTheme="majorHAnsi" w:hAnsiTheme="majorHAnsi"/>
          <w:spacing w:val="30"/>
          <w:sz w:val="20"/>
          <w:szCs w:val="20"/>
        </w:rPr>
        <w:t xml:space="preserve"> </w:t>
      </w:r>
      <w:r w:rsidRPr="000977F7">
        <w:rPr>
          <w:rFonts w:asciiTheme="majorHAnsi" w:hAnsiTheme="majorHAnsi"/>
          <w:sz w:val="20"/>
          <w:szCs w:val="20"/>
        </w:rPr>
        <w:t>є</w:t>
      </w:r>
      <w:r w:rsidRPr="000977F7">
        <w:rPr>
          <w:rFonts w:asciiTheme="majorHAnsi" w:hAnsiTheme="majorHAnsi"/>
          <w:spacing w:val="31"/>
          <w:sz w:val="20"/>
          <w:szCs w:val="20"/>
        </w:rPr>
        <w:t xml:space="preserve"> </w:t>
      </w:r>
      <w:r w:rsidRPr="000977F7">
        <w:rPr>
          <w:rFonts w:asciiTheme="majorHAnsi" w:hAnsiTheme="majorHAnsi"/>
          <w:sz w:val="20"/>
          <w:szCs w:val="20"/>
        </w:rPr>
        <w:t>формою</w:t>
      </w:r>
      <w:r w:rsidRPr="000977F7">
        <w:rPr>
          <w:rFonts w:asciiTheme="majorHAnsi" w:hAnsiTheme="majorHAnsi"/>
          <w:spacing w:val="30"/>
          <w:sz w:val="20"/>
          <w:szCs w:val="20"/>
        </w:rPr>
        <w:t xml:space="preserve"> </w:t>
      </w:r>
      <w:r w:rsidRPr="000977F7">
        <w:rPr>
          <w:rFonts w:asciiTheme="majorHAnsi" w:hAnsiTheme="majorHAnsi"/>
          <w:sz w:val="20"/>
          <w:szCs w:val="20"/>
        </w:rPr>
        <w:t>вичерпного</w:t>
      </w:r>
      <w:r w:rsidRPr="000977F7">
        <w:rPr>
          <w:rFonts w:asciiTheme="majorHAnsi" w:hAnsiTheme="majorHAnsi"/>
          <w:spacing w:val="31"/>
          <w:sz w:val="20"/>
          <w:szCs w:val="20"/>
        </w:rPr>
        <w:t xml:space="preserve"> </w:t>
      </w:r>
      <w:r w:rsidRPr="000977F7">
        <w:rPr>
          <w:rFonts w:asciiTheme="majorHAnsi" w:hAnsiTheme="majorHAnsi"/>
          <w:sz w:val="20"/>
          <w:szCs w:val="20"/>
        </w:rPr>
        <w:t>положення</w:t>
      </w:r>
    </w:p>
    <w:p w14:paraId="50150A4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 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5238753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ВИПАДКОВА</w:t>
      </w:r>
      <w:r w:rsidRPr="000977F7">
        <w:rPr>
          <w:color w:val="auto"/>
          <w:spacing w:val="-4"/>
          <w:sz w:val="20"/>
          <w:szCs w:val="20"/>
        </w:rPr>
        <w:t xml:space="preserve"> </w:t>
      </w:r>
      <w:r w:rsidRPr="000977F7">
        <w:rPr>
          <w:color w:val="auto"/>
          <w:sz w:val="20"/>
          <w:szCs w:val="20"/>
        </w:rPr>
        <w:t>ВЕЛИЧИНА –</w:t>
      </w:r>
    </w:p>
    <w:p w14:paraId="5AF507D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Величина,</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приймати</w:t>
      </w:r>
      <w:r w:rsidRPr="000977F7">
        <w:rPr>
          <w:rFonts w:asciiTheme="majorHAnsi" w:hAnsiTheme="majorHAnsi"/>
          <w:spacing w:val="1"/>
          <w:sz w:val="20"/>
          <w:szCs w:val="20"/>
        </w:rPr>
        <w:t xml:space="preserve"> </w:t>
      </w:r>
      <w:r w:rsidRPr="000977F7">
        <w:rPr>
          <w:rFonts w:asciiTheme="majorHAnsi" w:hAnsiTheme="majorHAnsi"/>
          <w:sz w:val="20"/>
          <w:szCs w:val="20"/>
        </w:rPr>
        <w:t>будь-яке</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встановленої множини і з якою пов’язаний імовірнісний</w:t>
      </w:r>
      <w:r w:rsidRPr="000977F7">
        <w:rPr>
          <w:rFonts w:asciiTheme="majorHAnsi" w:hAnsiTheme="majorHAnsi"/>
          <w:spacing w:val="-2"/>
          <w:sz w:val="20"/>
          <w:szCs w:val="20"/>
        </w:rPr>
        <w:t xml:space="preserve"> </w:t>
      </w:r>
      <w:r w:rsidRPr="000977F7">
        <w:rPr>
          <w:rFonts w:asciiTheme="majorHAnsi" w:hAnsiTheme="majorHAnsi"/>
          <w:sz w:val="20"/>
          <w:szCs w:val="20"/>
        </w:rPr>
        <w:t>розподіл</w:t>
      </w:r>
    </w:p>
    <w:p w14:paraId="053A5C3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3514</w:t>
      </w:r>
      <w:r w:rsidRPr="000977F7">
        <w:rPr>
          <w:rFonts w:asciiTheme="majorHAnsi" w:hAnsiTheme="majorHAnsi"/>
          <w:i/>
          <w:spacing w:val="2"/>
          <w:sz w:val="20"/>
          <w:szCs w:val="20"/>
        </w:rPr>
        <w:t xml:space="preserve"> </w:t>
      </w:r>
      <w:r w:rsidRPr="000977F7">
        <w:rPr>
          <w:rFonts w:asciiTheme="majorHAnsi" w:hAnsiTheme="majorHAnsi"/>
          <w:i/>
          <w:sz w:val="20"/>
          <w:szCs w:val="20"/>
        </w:rPr>
        <w:t>– 97</w:t>
      </w:r>
    </w:p>
    <w:p w14:paraId="2AF03153"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ВИПАДКОВА ВИБІРКА –</w:t>
      </w:r>
      <w:r w:rsidRPr="000977F7">
        <w:rPr>
          <w:rFonts w:asciiTheme="majorHAnsi" w:hAnsiTheme="majorHAnsi"/>
          <w:b/>
          <w:spacing w:val="-47"/>
          <w:sz w:val="20"/>
          <w:szCs w:val="20"/>
        </w:rPr>
        <w:t xml:space="preserve"> </w:t>
      </w:r>
    </w:p>
    <w:p w14:paraId="5BA10F5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RANDOM</w:t>
      </w:r>
      <w:r w:rsidRPr="000977F7">
        <w:rPr>
          <w:rFonts w:asciiTheme="majorHAnsi" w:hAnsiTheme="majorHAnsi"/>
          <w:spacing w:val="2"/>
          <w:sz w:val="20"/>
          <w:szCs w:val="20"/>
        </w:rPr>
        <w:t xml:space="preserve"> </w:t>
      </w:r>
      <w:r w:rsidRPr="000977F7">
        <w:rPr>
          <w:rFonts w:asciiTheme="majorHAnsi" w:hAnsiTheme="majorHAnsi"/>
          <w:sz w:val="20"/>
          <w:szCs w:val="20"/>
        </w:rPr>
        <w:t>SAMPLE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CD6AD2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Вибірка, в якій для будь-яких одиниць продукції (спостережуваних значень) контрольованої партії забезпечена</w:t>
      </w:r>
      <w:r w:rsidRPr="000977F7">
        <w:rPr>
          <w:rFonts w:asciiTheme="majorHAnsi" w:hAnsiTheme="majorHAnsi"/>
          <w:spacing w:val="-1"/>
          <w:sz w:val="20"/>
          <w:szCs w:val="20"/>
        </w:rPr>
        <w:t xml:space="preserve"> </w:t>
      </w:r>
      <w:r w:rsidRPr="000977F7">
        <w:rPr>
          <w:rFonts w:asciiTheme="majorHAnsi" w:hAnsiTheme="majorHAnsi"/>
          <w:sz w:val="20"/>
          <w:szCs w:val="20"/>
        </w:rPr>
        <w:t>однакова</w:t>
      </w:r>
      <w:r w:rsidRPr="000977F7">
        <w:rPr>
          <w:rFonts w:asciiTheme="majorHAnsi" w:hAnsiTheme="majorHAnsi"/>
          <w:spacing w:val="-2"/>
          <w:sz w:val="20"/>
          <w:szCs w:val="20"/>
        </w:rPr>
        <w:t xml:space="preserve"> </w:t>
      </w:r>
      <w:r w:rsidRPr="000977F7">
        <w:rPr>
          <w:rFonts w:asciiTheme="majorHAnsi" w:hAnsiTheme="majorHAnsi"/>
          <w:sz w:val="20"/>
          <w:szCs w:val="20"/>
        </w:rPr>
        <w:t>ймовірність</w:t>
      </w:r>
      <w:r w:rsidRPr="000977F7">
        <w:rPr>
          <w:rFonts w:asciiTheme="majorHAnsi" w:hAnsiTheme="majorHAnsi"/>
          <w:spacing w:val="-1"/>
          <w:sz w:val="20"/>
          <w:szCs w:val="20"/>
        </w:rPr>
        <w:t xml:space="preserve"> </w:t>
      </w:r>
      <w:r w:rsidRPr="000977F7">
        <w:rPr>
          <w:rFonts w:asciiTheme="majorHAnsi" w:hAnsiTheme="majorHAnsi"/>
          <w:sz w:val="20"/>
          <w:szCs w:val="20"/>
        </w:rPr>
        <w:t>їхнього</w:t>
      </w:r>
      <w:r w:rsidRPr="000977F7">
        <w:rPr>
          <w:rFonts w:asciiTheme="majorHAnsi" w:hAnsiTheme="majorHAnsi"/>
          <w:spacing w:val="1"/>
          <w:sz w:val="20"/>
          <w:szCs w:val="20"/>
        </w:rPr>
        <w:t xml:space="preserve"> </w:t>
      </w:r>
      <w:r w:rsidRPr="000977F7">
        <w:rPr>
          <w:rFonts w:asciiTheme="majorHAnsi" w:hAnsiTheme="majorHAnsi"/>
          <w:sz w:val="20"/>
          <w:szCs w:val="20"/>
        </w:rPr>
        <w:t>відбору</w:t>
      </w:r>
    </w:p>
    <w:p w14:paraId="62BCEF7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3514 –97</w:t>
      </w:r>
    </w:p>
    <w:p w14:paraId="053B29E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ВИПАДКОВА</w:t>
      </w:r>
      <w:r w:rsidRPr="000977F7">
        <w:rPr>
          <w:color w:val="auto"/>
          <w:spacing w:val="-6"/>
          <w:sz w:val="20"/>
          <w:szCs w:val="20"/>
        </w:rPr>
        <w:t xml:space="preserve"> </w:t>
      </w:r>
      <w:r w:rsidRPr="000977F7">
        <w:rPr>
          <w:color w:val="auto"/>
          <w:sz w:val="20"/>
          <w:szCs w:val="20"/>
        </w:rPr>
        <w:t>НЕОДНОРІДНІСТЬ</w:t>
      </w:r>
      <w:r w:rsidRPr="000977F7">
        <w:rPr>
          <w:color w:val="auto"/>
          <w:spacing w:val="-5"/>
          <w:sz w:val="20"/>
          <w:szCs w:val="20"/>
        </w:rPr>
        <w:t xml:space="preserve"> </w:t>
      </w:r>
      <w:r w:rsidRPr="000977F7">
        <w:rPr>
          <w:color w:val="auto"/>
          <w:sz w:val="20"/>
          <w:szCs w:val="20"/>
        </w:rPr>
        <w:t>ПРОДУКЦІЇ</w:t>
      </w:r>
      <w:r w:rsidRPr="000977F7">
        <w:rPr>
          <w:color w:val="auto"/>
          <w:spacing w:val="-4"/>
          <w:sz w:val="20"/>
          <w:szCs w:val="20"/>
        </w:rPr>
        <w:t xml:space="preserve"> </w:t>
      </w:r>
      <w:r w:rsidRPr="000977F7">
        <w:rPr>
          <w:color w:val="auto"/>
          <w:sz w:val="20"/>
          <w:szCs w:val="20"/>
        </w:rPr>
        <w:t>–</w:t>
      </w:r>
    </w:p>
    <w:p w14:paraId="49C2766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RANDOM</w:t>
      </w:r>
      <w:r w:rsidRPr="000977F7">
        <w:rPr>
          <w:rFonts w:asciiTheme="majorHAnsi" w:hAnsiTheme="majorHAnsi"/>
          <w:spacing w:val="-2"/>
          <w:sz w:val="20"/>
          <w:szCs w:val="20"/>
        </w:rPr>
        <w:t xml:space="preserve"> </w:t>
      </w:r>
      <w:r w:rsidRPr="000977F7">
        <w:rPr>
          <w:rFonts w:asciiTheme="majorHAnsi" w:hAnsiTheme="majorHAnsi"/>
          <w:sz w:val="20"/>
          <w:szCs w:val="20"/>
        </w:rPr>
        <w:t>HETEROGENEITY</w:t>
      </w:r>
      <w:r w:rsidRPr="000977F7">
        <w:rPr>
          <w:rFonts w:asciiTheme="majorHAnsi" w:hAnsiTheme="majorHAnsi"/>
          <w:spacing w:val="-2"/>
          <w:sz w:val="20"/>
          <w:szCs w:val="20"/>
        </w:rPr>
        <w:t xml:space="preserve"> </w:t>
      </w:r>
      <w:r w:rsidRPr="000977F7">
        <w:rPr>
          <w:rFonts w:asciiTheme="majorHAnsi" w:hAnsiTheme="majorHAnsi"/>
          <w:sz w:val="20"/>
          <w:szCs w:val="20"/>
        </w:rPr>
        <w:t>OF</w:t>
      </w:r>
      <w:r w:rsidRPr="000977F7">
        <w:rPr>
          <w:rFonts w:asciiTheme="majorHAnsi" w:hAnsiTheme="majorHAnsi"/>
          <w:spacing w:val="-3"/>
          <w:sz w:val="20"/>
          <w:szCs w:val="20"/>
        </w:rPr>
        <w:t xml:space="preserve"> </w:t>
      </w:r>
      <w:r w:rsidRPr="000977F7">
        <w:rPr>
          <w:rFonts w:asciiTheme="majorHAnsi" w:hAnsiTheme="majorHAnsi"/>
          <w:sz w:val="20"/>
          <w:szCs w:val="20"/>
        </w:rPr>
        <w:t>PRODUCTION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4461D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Неоднорідність</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якій</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змінюваність</w:t>
      </w:r>
      <w:r w:rsidRPr="000977F7">
        <w:rPr>
          <w:rFonts w:asciiTheme="majorHAnsi" w:hAnsiTheme="majorHAnsi"/>
          <w:spacing w:val="1"/>
          <w:sz w:val="20"/>
          <w:szCs w:val="20"/>
        </w:rPr>
        <w:t xml:space="preserve"> </w:t>
      </w:r>
      <w:r w:rsidRPr="000977F7">
        <w:rPr>
          <w:rFonts w:asciiTheme="majorHAnsi" w:hAnsiTheme="majorHAnsi"/>
          <w:sz w:val="20"/>
          <w:szCs w:val="20"/>
        </w:rPr>
        <w:t>викликана</w:t>
      </w:r>
      <w:r w:rsidRPr="000977F7">
        <w:rPr>
          <w:rFonts w:asciiTheme="majorHAnsi" w:hAnsiTheme="majorHAnsi"/>
          <w:spacing w:val="-1"/>
          <w:sz w:val="20"/>
          <w:szCs w:val="20"/>
        </w:rPr>
        <w:t xml:space="preserve"> </w:t>
      </w:r>
      <w:r w:rsidRPr="000977F7">
        <w:rPr>
          <w:rFonts w:asciiTheme="majorHAnsi" w:hAnsiTheme="majorHAnsi"/>
          <w:sz w:val="20"/>
          <w:szCs w:val="20"/>
        </w:rPr>
        <w:t>випадковими</w:t>
      </w:r>
      <w:r w:rsidRPr="000977F7">
        <w:rPr>
          <w:rFonts w:asciiTheme="majorHAnsi" w:hAnsiTheme="majorHAnsi"/>
          <w:spacing w:val="-1"/>
          <w:sz w:val="20"/>
          <w:szCs w:val="20"/>
        </w:rPr>
        <w:t xml:space="preserve"> </w:t>
      </w:r>
      <w:r w:rsidRPr="000977F7">
        <w:rPr>
          <w:rFonts w:asciiTheme="majorHAnsi" w:hAnsiTheme="majorHAnsi"/>
          <w:sz w:val="20"/>
          <w:szCs w:val="20"/>
        </w:rPr>
        <w:t>факторами</w:t>
      </w:r>
    </w:p>
    <w:p w14:paraId="50EE174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ВИПАДКОВА</w:t>
      </w:r>
      <w:r w:rsidRPr="000977F7">
        <w:rPr>
          <w:color w:val="auto"/>
          <w:spacing w:val="-4"/>
          <w:sz w:val="20"/>
          <w:szCs w:val="20"/>
        </w:rPr>
        <w:t xml:space="preserve"> </w:t>
      </w:r>
      <w:r w:rsidRPr="000977F7">
        <w:rPr>
          <w:color w:val="auto"/>
          <w:sz w:val="20"/>
          <w:szCs w:val="20"/>
        </w:rPr>
        <w:t>ПОДІЯ</w:t>
      </w:r>
      <w:r w:rsidRPr="000977F7">
        <w:rPr>
          <w:color w:val="auto"/>
          <w:spacing w:val="-1"/>
          <w:sz w:val="20"/>
          <w:szCs w:val="20"/>
        </w:rPr>
        <w:t xml:space="preserve"> </w:t>
      </w:r>
      <w:r w:rsidRPr="000977F7">
        <w:rPr>
          <w:color w:val="auto"/>
          <w:sz w:val="20"/>
          <w:szCs w:val="20"/>
        </w:rPr>
        <w:t>–</w:t>
      </w:r>
    </w:p>
    <w:p w14:paraId="59008C16"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sz w:val="20"/>
          <w:szCs w:val="20"/>
        </w:rPr>
        <w:t>Подія,</w:t>
      </w:r>
      <w:r w:rsidRPr="000977F7">
        <w:rPr>
          <w:rFonts w:asciiTheme="majorHAnsi" w:hAnsiTheme="majorHAnsi"/>
          <w:spacing w:val="18"/>
          <w:sz w:val="20"/>
          <w:szCs w:val="20"/>
        </w:rPr>
        <w:t xml:space="preserve"> </w:t>
      </w:r>
      <w:r w:rsidRPr="000977F7">
        <w:rPr>
          <w:rFonts w:asciiTheme="majorHAnsi" w:hAnsiTheme="majorHAnsi"/>
          <w:sz w:val="20"/>
          <w:szCs w:val="20"/>
        </w:rPr>
        <w:t>реалізацію</w:t>
      </w:r>
      <w:r w:rsidRPr="000977F7">
        <w:rPr>
          <w:rFonts w:asciiTheme="majorHAnsi" w:hAnsiTheme="majorHAnsi"/>
          <w:spacing w:val="19"/>
          <w:sz w:val="20"/>
          <w:szCs w:val="20"/>
        </w:rPr>
        <w:t xml:space="preserve"> </w:t>
      </w:r>
      <w:r w:rsidRPr="000977F7">
        <w:rPr>
          <w:rFonts w:asciiTheme="majorHAnsi" w:hAnsiTheme="majorHAnsi"/>
          <w:sz w:val="20"/>
          <w:szCs w:val="20"/>
        </w:rPr>
        <w:t>якої</w:t>
      </w:r>
      <w:r w:rsidRPr="000977F7">
        <w:rPr>
          <w:rFonts w:asciiTheme="majorHAnsi" w:hAnsiTheme="majorHAnsi"/>
          <w:spacing w:val="18"/>
          <w:sz w:val="20"/>
          <w:szCs w:val="20"/>
        </w:rPr>
        <w:t xml:space="preserve"> </w:t>
      </w:r>
      <w:r w:rsidRPr="000977F7">
        <w:rPr>
          <w:rFonts w:asciiTheme="majorHAnsi" w:hAnsiTheme="majorHAnsi"/>
          <w:sz w:val="20"/>
          <w:szCs w:val="20"/>
        </w:rPr>
        <w:t>при</w:t>
      </w:r>
      <w:r w:rsidRPr="000977F7">
        <w:rPr>
          <w:rFonts w:asciiTheme="majorHAnsi" w:hAnsiTheme="majorHAnsi"/>
          <w:spacing w:val="17"/>
          <w:sz w:val="20"/>
          <w:szCs w:val="20"/>
        </w:rPr>
        <w:t xml:space="preserve"> </w:t>
      </w:r>
      <w:r w:rsidRPr="000977F7">
        <w:rPr>
          <w:rFonts w:asciiTheme="majorHAnsi" w:hAnsiTheme="majorHAnsi"/>
          <w:sz w:val="20"/>
          <w:szCs w:val="20"/>
        </w:rPr>
        <w:t>визначеному</w:t>
      </w:r>
      <w:r w:rsidRPr="000977F7">
        <w:rPr>
          <w:rFonts w:asciiTheme="majorHAnsi" w:hAnsiTheme="majorHAnsi"/>
          <w:spacing w:val="17"/>
          <w:sz w:val="20"/>
          <w:szCs w:val="20"/>
        </w:rPr>
        <w:t xml:space="preserve"> </w:t>
      </w:r>
      <w:r w:rsidRPr="000977F7">
        <w:rPr>
          <w:rFonts w:asciiTheme="majorHAnsi" w:hAnsiTheme="majorHAnsi"/>
          <w:sz w:val="20"/>
          <w:szCs w:val="20"/>
        </w:rPr>
        <w:t>комплексі</w:t>
      </w:r>
      <w:r w:rsidRPr="000977F7">
        <w:rPr>
          <w:rFonts w:asciiTheme="majorHAnsi" w:hAnsiTheme="majorHAnsi"/>
          <w:spacing w:val="-47"/>
          <w:sz w:val="20"/>
          <w:szCs w:val="20"/>
        </w:rPr>
        <w:t xml:space="preserve"> </w:t>
      </w:r>
      <w:r w:rsidRPr="000977F7">
        <w:rPr>
          <w:rFonts w:asciiTheme="majorHAnsi" w:hAnsiTheme="majorHAnsi"/>
          <w:sz w:val="20"/>
          <w:szCs w:val="20"/>
        </w:rPr>
        <w:t>умов</w:t>
      </w:r>
      <w:r w:rsidRPr="000977F7">
        <w:rPr>
          <w:rFonts w:asciiTheme="majorHAnsi" w:hAnsiTheme="majorHAnsi"/>
          <w:spacing w:val="1"/>
          <w:sz w:val="20"/>
          <w:szCs w:val="20"/>
        </w:rPr>
        <w:t xml:space="preserve"> </w:t>
      </w:r>
      <w:r w:rsidRPr="000977F7">
        <w:rPr>
          <w:rFonts w:asciiTheme="majorHAnsi" w:hAnsiTheme="majorHAnsi"/>
          <w:sz w:val="20"/>
          <w:szCs w:val="20"/>
        </w:rPr>
        <w:t>неможливо</w:t>
      </w:r>
      <w:r w:rsidRPr="000977F7">
        <w:rPr>
          <w:rFonts w:asciiTheme="majorHAnsi" w:hAnsiTheme="majorHAnsi"/>
          <w:spacing w:val="-1"/>
          <w:sz w:val="20"/>
          <w:szCs w:val="20"/>
        </w:rPr>
        <w:t xml:space="preserve"> </w:t>
      </w:r>
      <w:r w:rsidRPr="000977F7">
        <w:rPr>
          <w:rFonts w:asciiTheme="majorHAnsi" w:hAnsiTheme="majorHAnsi"/>
          <w:sz w:val="20"/>
          <w:szCs w:val="20"/>
        </w:rPr>
        <w:t>наперед</w:t>
      </w:r>
      <w:r w:rsidRPr="000977F7">
        <w:rPr>
          <w:rFonts w:asciiTheme="majorHAnsi" w:hAnsiTheme="majorHAnsi"/>
          <w:spacing w:val="2"/>
          <w:sz w:val="20"/>
          <w:szCs w:val="20"/>
        </w:rPr>
        <w:t xml:space="preserve"> </w:t>
      </w:r>
      <w:r w:rsidRPr="000977F7">
        <w:rPr>
          <w:rFonts w:asciiTheme="majorHAnsi" w:hAnsiTheme="majorHAnsi"/>
          <w:sz w:val="20"/>
          <w:szCs w:val="20"/>
        </w:rPr>
        <w:t>передбачити</w:t>
      </w:r>
      <w:r w:rsidRPr="000977F7">
        <w:rPr>
          <w:rFonts w:asciiTheme="majorHAnsi" w:hAnsiTheme="majorHAnsi"/>
          <w:spacing w:val="1"/>
          <w:sz w:val="20"/>
          <w:szCs w:val="20"/>
        </w:rPr>
        <w:t xml:space="preserve"> </w:t>
      </w:r>
      <w:r w:rsidRPr="000977F7">
        <w:rPr>
          <w:rFonts w:asciiTheme="majorHAnsi" w:hAnsiTheme="majorHAnsi"/>
          <w:b/>
          <w:bCs/>
          <w:sz w:val="20"/>
          <w:szCs w:val="20"/>
        </w:rPr>
        <w:t>ВИПАДКОВА</w:t>
      </w:r>
      <w:r w:rsidRPr="000977F7">
        <w:rPr>
          <w:rFonts w:asciiTheme="majorHAnsi" w:hAnsiTheme="majorHAnsi"/>
          <w:b/>
          <w:bCs/>
          <w:spacing w:val="-7"/>
          <w:sz w:val="20"/>
          <w:szCs w:val="20"/>
        </w:rPr>
        <w:t xml:space="preserve"> </w:t>
      </w:r>
      <w:r w:rsidRPr="000977F7">
        <w:rPr>
          <w:rFonts w:asciiTheme="majorHAnsi" w:hAnsiTheme="majorHAnsi"/>
          <w:b/>
          <w:bCs/>
          <w:sz w:val="20"/>
          <w:szCs w:val="20"/>
        </w:rPr>
        <w:t>ПОХИБКА</w:t>
      </w:r>
      <w:r w:rsidRPr="000977F7">
        <w:rPr>
          <w:rFonts w:asciiTheme="majorHAnsi" w:hAnsiTheme="majorHAnsi"/>
          <w:b/>
          <w:sz w:val="20"/>
          <w:szCs w:val="20"/>
        </w:rPr>
        <w:t xml:space="preserve"> ВИМІРЮВАННЯ ЗАСОБУ ВИМІРЮВАЛЬНОЇ</w:t>
      </w:r>
      <w:r w:rsidRPr="000977F7">
        <w:rPr>
          <w:rFonts w:asciiTheme="majorHAnsi" w:hAnsiTheme="majorHAnsi"/>
          <w:b/>
          <w:spacing w:val="1"/>
          <w:sz w:val="20"/>
          <w:szCs w:val="20"/>
        </w:rPr>
        <w:t xml:space="preserve"> </w:t>
      </w:r>
      <w:r w:rsidRPr="000977F7">
        <w:rPr>
          <w:rFonts w:asciiTheme="majorHAnsi" w:hAnsiTheme="majorHAnsi"/>
          <w:b/>
          <w:sz w:val="20"/>
          <w:szCs w:val="20"/>
        </w:rPr>
        <w:t>ТЕХНІКИ –</w:t>
      </w:r>
    </w:p>
    <w:p w14:paraId="050AFAC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RANDOM</w:t>
      </w:r>
      <w:r w:rsidRPr="000977F7">
        <w:rPr>
          <w:rFonts w:asciiTheme="majorHAnsi" w:hAnsiTheme="majorHAnsi"/>
          <w:spacing w:val="-1"/>
          <w:sz w:val="20"/>
          <w:szCs w:val="20"/>
        </w:rPr>
        <w:t xml:space="preserve"> </w:t>
      </w:r>
      <w:r w:rsidRPr="000977F7">
        <w:rPr>
          <w:rFonts w:asciiTheme="majorHAnsi" w:hAnsiTheme="majorHAnsi"/>
          <w:sz w:val="20"/>
          <w:szCs w:val="20"/>
        </w:rPr>
        <w:t>ERROR</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1143E6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Складова похибки, що непрогнозовано змінюється в</w:t>
      </w:r>
      <w:r w:rsidRPr="000977F7">
        <w:rPr>
          <w:rFonts w:asciiTheme="majorHAnsi" w:hAnsiTheme="majorHAnsi"/>
          <w:spacing w:val="1"/>
          <w:sz w:val="20"/>
          <w:szCs w:val="20"/>
        </w:rPr>
        <w:t xml:space="preserve"> </w:t>
      </w:r>
      <w:r w:rsidRPr="000977F7">
        <w:rPr>
          <w:rFonts w:asciiTheme="majorHAnsi" w:hAnsiTheme="majorHAnsi"/>
          <w:sz w:val="20"/>
          <w:szCs w:val="20"/>
        </w:rPr>
        <w:t>ряді</w:t>
      </w:r>
      <w:r w:rsidRPr="000977F7">
        <w:rPr>
          <w:rFonts w:asciiTheme="majorHAnsi" w:hAnsiTheme="majorHAnsi"/>
          <w:spacing w:val="-2"/>
          <w:sz w:val="20"/>
          <w:szCs w:val="20"/>
        </w:rPr>
        <w:t xml:space="preserve"> </w:t>
      </w:r>
      <w:r w:rsidRPr="000977F7">
        <w:rPr>
          <w:rFonts w:asciiTheme="majorHAnsi" w:hAnsiTheme="majorHAnsi"/>
          <w:sz w:val="20"/>
          <w:szCs w:val="20"/>
        </w:rPr>
        <w:t>вимірювань тієї</w:t>
      </w:r>
      <w:r w:rsidRPr="000977F7">
        <w:rPr>
          <w:rFonts w:asciiTheme="majorHAnsi" w:hAnsiTheme="majorHAnsi"/>
          <w:spacing w:val="-1"/>
          <w:sz w:val="20"/>
          <w:szCs w:val="20"/>
        </w:rPr>
        <w:t xml:space="preserve"> </w:t>
      </w:r>
      <w:r w:rsidRPr="000977F7">
        <w:rPr>
          <w:rFonts w:asciiTheme="majorHAnsi" w:hAnsiTheme="majorHAnsi"/>
          <w:sz w:val="20"/>
          <w:szCs w:val="20"/>
        </w:rPr>
        <w:t>ж</w:t>
      </w:r>
      <w:r w:rsidRPr="000977F7">
        <w:rPr>
          <w:rFonts w:asciiTheme="majorHAnsi" w:hAnsiTheme="majorHAnsi"/>
          <w:spacing w:val="-2"/>
          <w:sz w:val="20"/>
          <w:szCs w:val="20"/>
        </w:rPr>
        <w:t xml:space="preserve"> </w:t>
      </w:r>
      <w:r w:rsidRPr="000977F7">
        <w:rPr>
          <w:rFonts w:asciiTheme="majorHAnsi" w:hAnsiTheme="majorHAnsi"/>
          <w:sz w:val="20"/>
          <w:szCs w:val="20"/>
        </w:rPr>
        <w:t>величини</w:t>
      </w:r>
    </w:p>
    <w:p w14:paraId="74E35C6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15C39B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ВИПАДКОВА ПОХИБКА ВИРОБЛЕННЯ </w:t>
      </w:r>
    </w:p>
    <w:p w14:paraId="5A1E6C0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w:t>
      </w:r>
      <w:r w:rsidRPr="000977F7">
        <w:rPr>
          <w:color w:val="auto"/>
          <w:spacing w:val="-47"/>
          <w:sz w:val="20"/>
          <w:szCs w:val="20"/>
        </w:rPr>
        <w:t xml:space="preserve"> </w:t>
      </w:r>
      <w:r w:rsidRPr="000977F7">
        <w:rPr>
          <w:color w:val="auto"/>
          <w:sz w:val="20"/>
          <w:szCs w:val="20"/>
        </w:rPr>
        <w:t>ДУКЦІЇ</w:t>
      </w:r>
      <w:r w:rsidRPr="000977F7">
        <w:rPr>
          <w:color w:val="auto"/>
          <w:spacing w:val="-2"/>
          <w:sz w:val="20"/>
          <w:szCs w:val="20"/>
        </w:rPr>
        <w:t xml:space="preserve"> </w:t>
      </w:r>
      <w:r w:rsidRPr="000977F7">
        <w:rPr>
          <w:color w:val="auto"/>
          <w:sz w:val="20"/>
          <w:szCs w:val="20"/>
        </w:rPr>
        <w:t>–</w:t>
      </w:r>
    </w:p>
    <w:p w14:paraId="5C2441B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Складова похибки 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 яка випадково приймає за незмінних умов різні модуль та (чи)</w:t>
      </w:r>
      <w:r w:rsidRPr="000977F7">
        <w:rPr>
          <w:rFonts w:asciiTheme="majorHAnsi" w:hAnsiTheme="majorHAnsi"/>
          <w:spacing w:val="1"/>
          <w:sz w:val="20"/>
          <w:szCs w:val="20"/>
        </w:rPr>
        <w:t xml:space="preserve"> </w:t>
      </w:r>
      <w:r w:rsidRPr="000977F7">
        <w:rPr>
          <w:rFonts w:asciiTheme="majorHAnsi" w:hAnsiTheme="majorHAnsi"/>
          <w:sz w:val="20"/>
          <w:szCs w:val="20"/>
        </w:rPr>
        <w:t>знак</w:t>
      </w:r>
    </w:p>
    <w:p w14:paraId="75FA8B4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27BF308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ВИПАДКОВЕ</w:t>
      </w:r>
      <w:r w:rsidRPr="000977F7">
        <w:rPr>
          <w:color w:val="auto"/>
          <w:spacing w:val="-7"/>
          <w:sz w:val="20"/>
          <w:szCs w:val="20"/>
        </w:rPr>
        <w:t xml:space="preserve"> </w:t>
      </w:r>
      <w:r w:rsidRPr="000977F7">
        <w:rPr>
          <w:color w:val="auto"/>
          <w:sz w:val="20"/>
          <w:szCs w:val="20"/>
        </w:rPr>
        <w:t>НАВАНТАЖУВАННЯ</w:t>
      </w:r>
      <w:r w:rsidRPr="000977F7">
        <w:rPr>
          <w:color w:val="auto"/>
          <w:spacing w:val="-4"/>
          <w:sz w:val="20"/>
          <w:szCs w:val="20"/>
        </w:rPr>
        <w:t xml:space="preserve"> </w:t>
      </w:r>
      <w:r w:rsidRPr="000977F7">
        <w:rPr>
          <w:color w:val="auto"/>
          <w:sz w:val="20"/>
          <w:szCs w:val="20"/>
        </w:rPr>
        <w:t>–</w:t>
      </w:r>
    </w:p>
    <w:p w14:paraId="6CB4F11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RANDOM LOADING</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749322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Навантажування,</w:t>
      </w:r>
      <w:r w:rsidRPr="000977F7">
        <w:rPr>
          <w:rFonts w:asciiTheme="majorHAnsi" w:hAnsiTheme="majorHAnsi"/>
          <w:spacing w:val="-9"/>
          <w:sz w:val="20"/>
          <w:szCs w:val="20"/>
        </w:rPr>
        <w:t xml:space="preserve"> </w:t>
      </w:r>
      <w:r w:rsidRPr="000977F7">
        <w:rPr>
          <w:rFonts w:asciiTheme="majorHAnsi" w:hAnsiTheme="majorHAnsi"/>
          <w:sz w:val="20"/>
          <w:szCs w:val="20"/>
        </w:rPr>
        <w:t>що</w:t>
      </w:r>
      <w:r w:rsidRPr="000977F7">
        <w:rPr>
          <w:rFonts w:asciiTheme="majorHAnsi" w:hAnsiTheme="majorHAnsi"/>
          <w:spacing w:val="-8"/>
          <w:sz w:val="20"/>
          <w:szCs w:val="20"/>
        </w:rPr>
        <w:t xml:space="preserve"> </w:t>
      </w:r>
      <w:r w:rsidRPr="000977F7">
        <w:rPr>
          <w:rFonts w:asciiTheme="majorHAnsi" w:hAnsiTheme="majorHAnsi"/>
          <w:sz w:val="20"/>
          <w:szCs w:val="20"/>
        </w:rPr>
        <w:t>характеризується</w:t>
      </w:r>
      <w:r w:rsidRPr="000977F7">
        <w:rPr>
          <w:rFonts w:asciiTheme="majorHAnsi" w:hAnsiTheme="majorHAnsi"/>
          <w:spacing w:val="-6"/>
          <w:sz w:val="20"/>
          <w:szCs w:val="20"/>
        </w:rPr>
        <w:t xml:space="preserve"> </w:t>
      </w:r>
      <w:r w:rsidRPr="000977F7">
        <w:rPr>
          <w:rFonts w:asciiTheme="majorHAnsi" w:hAnsiTheme="majorHAnsi"/>
          <w:sz w:val="20"/>
          <w:szCs w:val="20"/>
        </w:rPr>
        <w:t>випадковістю</w:t>
      </w:r>
      <w:r w:rsidRPr="000977F7">
        <w:rPr>
          <w:rFonts w:asciiTheme="majorHAnsi" w:hAnsiTheme="majorHAnsi"/>
          <w:spacing w:val="-47"/>
          <w:sz w:val="20"/>
          <w:szCs w:val="20"/>
        </w:rPr>
        <w:t xml:space="preserve">                </w:t>
      </w:r>
      <w:r w:rsidRPr="000977F7">
        <w:rPr>
          <w:rFonts w:asciiTheme="majorHAnsi" w:hAnsiTheme="majorHAnsi"/>
          <w:sz w:val="20"/>
          <w:szCs w:val="20"/>
        </w:rPr>
        <w:t>дії</w:t>
      </w:r>
      <w:r w:rsidRPr="000977F7">
        <w:rPr>
          <w:rFonts w:asciiTheme="majorHAnsi" w:hAnsiTheme="majorHAnsi"/>
          <w:spacing w:val="-2"/>
          <w:sz w:val="20"/>
          <w:szCs w:val="20"/>
        </w:rPr>
        <w:t xml:space="preserve"> </w:t>
      </w:r>
      <w:r w:rsidRPr="000977F7">
        <w:rPr>
          <w:rFonts w:asciiTheme="majorHAnsi" w:hAnsiTheme="majorHAnsi"/>
          <w:sz w:val="20"/>
          <w:szCs w:val="20"/>
        </w:rPr>
        <w:t>навантаження</w:t>
      </w:r>
    </w:p>
    <w:p w14:paraId="4BAB0C1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w:t>
      </w:r>
      <w:r w:rsidRPr="000977F7">
        <w:rPr>
          <w:rFonts w:asciiTheme="majorHAnsi" w:hAnsiTheme="majorHAnsi"/>
          <w:i/>
          <w:spacing w:val="2"/>
          <w:sz w:val="20"/>
          <w:szCs w:val="20"/>
        </w:rPr>
        <w:t xml:space="preserve"> </w:t>
      </w:r>
      <w:r w:rsidRPr="000977F7">
        <w:rPr>
          <w:rFonts w:asciiTheme="majorHAnsi" w:hAnsiTheme="majorHAnsi"/>
          <w:i/>
          <w:sz w:val="20"/>
          <w:szCs w:val="20"/>
        </w:rPr>
        <w:t>94; ДСТУ 2444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BFB53F9"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ВИПАДКОВИЙ ВІДБІР ВИБОРОК (ПРОБ) –</w:t>
      </w:r>
    </w:p>
    <w:p w14:paraId="73D1693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RANDOM</w:t>
      </w:r>
      <w:r w:rsidRPr="000977F7">
        <w:rPr>
          <w:rFonts w:asciiTheme="majorHAnsi" w:hAnsiTheme="majorHAnsi"/>
          <w:spacing w:val="2"/>
          <w:sz w:val="20"/>
          <w:szCs w:val="20"/>
        </w:rPr>
        <w:t xml:space="preserve"> </w:t>
      </w:r>
      <w:r w:rsidRPr="000977F7">
        <w:rPr>
          <w:rFonts w:asciiTheme="majorHAnsi" w:hAnsiTheme="majorHAnsi"/>
          <w:sz w:val="20"/>
          <w:szCs w:val="20"/>
        </w:rPr>
        <w:t>SAMPLING</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3BD992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Відбір, при якому одиниці продукції або її частини</w:t>
      </w:r>
      <w:r w:rsidRPr="000977F7">
        <w:rPr>
          <w:rFonts w:asciiTheme="majorHAnsi" w:hAnsiTheme="majorHAnsi"/>
          <w:spacing w:val="1"/>
          <w:sz w:val="20"/>
          <w:szCs w:val="20"/>
        </w:rPr>
        <w:t xml:space="preserve"> </w:t>
      </w:r>
      <w:r w:rsidRPr="000977F7">
        <w:rPr>
          <w:rFonts w:asciiTheme="majorHAnsi" w:hAnsiTheme="majorHAnsi"/>
          <w:sz w:val="20"/>
          <w:szCs w:val="20"/>
        </w:rPr>
        <w:t>відбирають з однаковою імовірністю незалежно один</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2"/>
          <w:sz w:val="20"/>
          <w:szCs w:val="20"/>
        </w:rPr>
        <w:t xml:space="preserve"> </w:t>
      </w:r>
      <w:r w:rsidRPr="000977F7">
        <w:rPr>
          <w:rFonts w:asciiTheme="majorHAnsi" w:hAnsiTheme="majorHAnsi"/>
          <w:sz w:val="20"/>
          <w:szCs w:val="20"/>
        </w:rPr>
        <w:t>одного</w:t>
      </w:r>
    </w:p>
    <w:p w14:paraId="5BAA307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ВИПЕРЕДЖУВАЛЬНА</w:t>
      </w:r>
      <w:r w:rsidRPr="000977F7">
        <w:rPr>
          <w:color w:val="auto"/>
          <w:spacing w:val="-6"/>
          <w:sz w:val="20"/>
          <w:szCs w:val="20"/>
        </w:rPr>
        <w:t xml:space="preserve"> </w:t>
      </w:r>
      <w:r w:rsidRPr="000977F7">
        <w:rPr>
          <w:color w:val="auto"/>
          <w:sz w:val="20"/>
          <w:szCs w:val="20"/>
        </w:rPr>
        <w:t>СТАНДАРТИЗАЦІЯ</w:t>
      </w:r>
      <w:r w:rsidRPr="000977F7">
        <w:rPr>
          <w:color w:val="auto"/>
          <w:spacing w:val="-3"/>
          <w:sz w:val="20"/>
          <w:szCs w:val="20"/>
        </w:rPr>
        <w:t xml:space="preserve"> </w:t>
      </w:r>
      <w:r w:rsidRPr="000977F7">
        <w:rPr>
          <w:color w:val="auto"/>
          <w:sz w:val="20"/>
          <w:szCs w:val="20"/>
        </w:rPr>
        <w:t>–</w:t>
      </w:r>
    </w:p>
    <w:p w14:paraId="2B12D66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PROGNOSTIC</w:t>
      </w:r>
      <w:r w:rsidRPr="000977F7">
        <w:rPr>
          <w:rFonts w:asciiTheme="majorHAnsi" w:hAnsiTheme="majorHAnsi"/>
          <w:spacing w:val="-4"/>
          <w:sz w:val="20"/>
          <w:szCs w:val="20"/>
        </w:rPr>
        <w:t xml:space="preserve"> </w:t>
      </w:r>
      <w:r w:rsidRPr="000977F7">
        <w:rPr>
          <w:rFonts w:asciiTheme="majorHAnsi" w:hAnsiTheme="majorHAnsi"/>
          <w:sz w:val="20"/>
          <w:szCs w:val="20"/>
        </w:rPr>
        <w:t>STANDARDIZATION –</w:t>
      </w:r>
    </w:p>
    <w:p w14:paraId="0CB8AAC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Стандартизація,</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якій</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підставі</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розроблених</w:t>
      </w:r>
      <w:r w:rsidRPr="000977F7">
        <w:rPr>
          <w:rFonts w:asciiTheme="majorHAnsi" w:hAnsiTheme="majorHAnsi"/>
          <w:spacing w:val="1"/>
          <w:sz w:val="20"/>
          <w:szCs w:val="20"/>
        </w:rPr>
        <w:t xml:space="preserve"> </w:t>
      </w:r>
      <w:r w:rsidRPr="000977F7">
        <w:rPr>
          <w:rFonts w:asciiTheme="majorHAnsi" w:hAnsiTheme="majorHAnsi"/>
          <w:sz w:val="20"/>
          <w:szCs w:val="20"/>
        </w:rPr>
        <w:t>прогнозів встановлюють вимоги до об’єктів стандартизації, підвищені по відношенню до вже досягну</w:t>
      </w:r>
      <w:r w:rsidRPr="000977F7">
        <w:rPr>
          <w:rFonts w:asciiTheme="majorHAnsi" w:hAnsiTheme="majorHAnsi"/>
          <w:spacing w:val="1"/>
          <w:sz w:val="20"/>
          <w:szCs w:val="20"/>
        </w:rPr>
        <w:t xml:space="preserve"> </w:t>
      </w:r>
      <w:r w:rsidRPr="000977F7">
        <w:rPr>
          <w:rFonts w:asciiTheme="majorHAnsi" w:hAnsiTheme="majorHAnsi"/>
          <w:sz w:val="20"/>
          <w:szCs w:val="20"/>
        </w:rPr>
        <w:t>того на практиці рівня і</w:t>
      </w:r>
      <w:r w:rsidRPr="000977F7">
        <w:rPr>
          <w:rFonts w:asciiTheme="majorHAnsi" w:hAnsiTheme="majorHAnsi"/>
          <w:spacing w:val="1"/>
          <w:sz w:val="20"/>
          <w:szCs w:val="20"/>
        </w:rPr>
        <w:t xml:space="preserve"> </w:t>
      </w:r>
      <w:r w:rsidRPr="000977F7">
        <w:rPr>
          <w:rFonts w:asciiTheme="majorHAnsi" w:hAnsiTheme="majorHAnsi"/>
          <w:sz w:val="20"/>
          <w:szCs w:val="20"/>
        </w:rPr>
        <w:t>що підлягають до впровадження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майбутньому,</w:t>
      </w:r>
      <w:r w:rsidRPr="000977F7">
        <w:rPr>
          <w:rFonts w:asciiTheme="majorHAnsi" w:hAnsiTheme="majorHAnsi"/>
          <w:spacing w:val="1"/>
          <w:sz w:val="20"/>
          <w:szCs w:val="20"/>
        </w:rPr>
        <w:t xml:space="preserve"> </w:t>
      </w:r>
      <w:r w:rsidRPr="000977F7">
        <w:rPr>
          <w:rFonts w:asciiTheme="majorHAnsi" w:hAnsiTheme="majorHAnsi"/>
          <w:sz w:val="20"/>
          <w:szCs w:val="20"/>
        </w:rPr>
        <w:t>починаючи</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визначеного</w:t>
      </w:r>
      <w:r w:rsidRPr="000977F7">
        <w:rPr>
          <w:rFonts w:asciiTheme="majorHAnsi" w:hAnsiTheme="majorHAnsi"/>
          <w:spacing w:val="1"/>
          <w:sz w:val="20"/>
          <w:szCs w:val="20"/>
        </w:rPr>
        <w:t xml:space="preserve"> </w:t>
      </w:r>
      <w:r w:rsidRPr="000977F7">
        <w:rPr>
          <w:rFonts w:asciiTheme="majorHAnsi" w:hAnsiTheme="majorHAnsi"/>
          <w:sz w:val="20"/>
          <w:szCs w:val="20"/>
        </w:rPr>
        <w:t>терміну</w:t>
      </w:r>
    </w:p>
    <w:p w14:paraId="237B667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ВИПИНАННЯ</w:t>
      </w:r>
      <w:r w:rsidRPr="000977F7">
        <w:rPr>
          <w:color w:val="auto"/>
          <w:spacing w:val="-4"/>
          <w:sz w:val="20"/>
          <w:szCs w:val="20"/>
        </w:rPr>
        <w:t xml:space="preserve"> </w:t>
      </w:r>
      <w:r w:rsidRPr="000977F7">
        <w:rPr>
          <w:color w:val="auto"/>
          <w:sz w:val="20"/>
          <w:szCs w:val="20"/>
        </w:rPr>
        <w:t>–</w:t>
      </w:r>
    </w:p>
    <w:p w14:paraId="5016871F" w14:textId="77777777" w:rsidR="0097612F" w:rsidRPr="004D2D14" w:rsidRDefault="0097612F" w:rsidP="00FD39A4">
      <w:pPr>
        <w:pStyle w:val="ac"/>
        <w:widowControl w:val="0"/>
        <w:numPr>
          <w:ilvl w:val="0"/>
          <w:numId w:val="204"/>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lang w:val="uk-UA"/>
        </w:rPr>
      </w:pPr>
      <w:r w:rsidRPr="004D2D14">
        <w:rPr>
          <w:rFonts w:asciiTheme="majorHAnsi" w:hAnsiTheme="majorHAnsi"/>
          <w:sz w:val="20"/>
          <w:szCs w:val="20"/>
          <w:lang w:val="uk-UA"/>
        </w:rPr>
        <w:t>Місцеве збільшення розміру деталі під впливом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силових,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швидкісних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або теплових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факторів</w:t>
      </w:r>
    </w:p>
    <w:p w14:paraId="0B4A8A54" w14:textId="77777777" w:rsidR="0097612F" w:rsidRPr="000977F7" w:rsidRDefault="0097612F" w:rsidP="00FD39A4">
      <w:pPr>
        <w:pStyle w:val="ac"/>
        <w:widowControl w:val="0"/>
        <w:numPr>
          <w:ilvl w:val="0"/>
          <w:numId w:val="204"/>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Операція обробки металів тиском для утворення</w:t>
      </w:r>
      <w:r w:rsidRPr="000977F7">
        <w:rPr>
          <w:rFonts w:asciiTheme="majorHAnsi" w:hAnsiTheme="majorHAnsi"/>
          <w:spacing w:val="1"/>
          <w:sz w:val="20"/>
          <w:szCs w:val="20"/>
        </w:rPr>
        <w:t xml:space="preserve"> </w:t>
      </w:r>
      <w:r w:rsidRPr="000977F7">
        <w:rPr>
          <w:rFonts w:asciiTheme="majorHAnsi" w:hAnsiTheme="majorHAnsi"/>
          <w:sz w:val="20"/>
          <w:szCs w:val="20"/>
        </w:rPr>
        <w:t>порожнистої деталі із плоскої заготовки шляхом</w:t>
      </w:r>
      <w:r w:rsidRPr="000977F7">
        <w:rPr>
          <w:rFonts w:asciiTheme="majorHAnsi" w:hAnsiTheme="majorHAnsi"/>
          <w:spacing w:val="1"/>
          <w:sz w:val="20"/>
          <w:szCs w:val="20"/>
        </w:rPr>
        <w:t xml:space="preserve"> </w:t>
      </w:r>
      <w:r w:rsidRPr="000977F7">
        <w:rPr>
          <w:rFonts w:asciiTheme="majorHAnsi" w:hAnsiTheme="majorHAnsi"/>
          <w:sz w:val="20"/>
          <w:szCs w:val="20"/>
        </w:rPr>
        <w:t>рівномірного</w:t>
      </w:r>
      <w:r w:rsidRPr="000977F7">
        <w:rPr>
          <w:rFonts w:asciiTheme="majorHAnsi" w:hAnsiTheme="majorHAnsi"/>
          <w:spacing w:val="-1"/>
          <w:sz w:val="20"/>
          <w:szCs w:val="20"/>
        </w:rPr>
        <w:t xml:space="preserve"> </w:t>
      </w:r>
      <w:r w:rsidRPr="000977F7">
        <w:rPr>
          <w:rFonts w:asciiTheme="majorHAnsi" w:hAnsiTheme="majorHAnsi"/>
          <w:sz w:val="20"/>
          <w:szCs w:val="20"/>
        </w:rPr>
        <w:t>розподілу</w:t>
      </w:r>
      <w:r w:rsidRPr="000977F7">
        <w:rPr>
          <w:rFonts w:asciiTheme="majorHAnsi" w:hAnsiTheme="majorHAnsi"/>
          <w:spacing w:val="-2"/>
          <w:sz w:val="20"/>
          <w:szCs w:val="20"/>
        </w:rPr>
        <w:t xml:space="preserve"> </w:t>
      </w:r>
      <w:r w:rsidRPr="000977F7">
        <w:rPr>
          <w:rFonts w:asciiTheme="majorHAnsi" w:hAnsiTheme="majorHAnsi"/>
          <w:sz w:val="20"/>
          <w:szCs w:val="20"/>
        </w:rPr>
        <w:t>тиску</w:t>
      </w:r>
      <w:r w:rsidRPr="000977F7">
        <w:rPr>
          <w:rFonts w:asciiTheme="majorHAnsi" w:hAnsiTheme="majorHAnsi"/>
          <w:spacing w:val="-2"/>
          <w:sz w:val="20"/>
          <w:szCs w:val="20"/>
        </w:rPr>
        <w:t xml:space="preserve"> </w:t>
      </w:r>
      <w:r w:rsidRPr="000977F7">
        <w:rPr>
          <w:rFonts w:asciiTheme="majorHAnsi" w:hAnsiTheme="majorHAnsi"/>
          <w:sz w:val="20"/>
          <w:szCs w:val="20"/>
        </w:rPr>
        <w:t>по поверхні</w:t>
      </w:r>
    </w:p>
    <w:p w14:paraId="45A978B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ВИПРОБНА МАШИНА –</w:t>
      </w:r>
    </w:p>
    <w:p w14:paraId="11896AF7"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TESTING MASHINE –</w:t>
      </w:r>
    </w:p>
    <w:p w14:paraId="5FD92EB7"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Машина для проведення механічних випробувань</w:t>
      </w:r>
    </w:p>
    <w:p w14:paraId="29E20A08" w14:textId="77777777" w:rsidR="0097612F" w:rsidRPr="000977F7" w:rsidRDefault="0097612F" w:rsidP="000977F7">
      <w:pPr>
        <w:pStyle w:val="7"/>
        <w:tabs>
          <w:tab w:val="left" w:pos="284"/>
        </w:tabs>
        <w:spacing w:before="0" w:line="240" w:lineRule="auto"/>
        <w:ind w:left="170"/>
        <w:mirrorIndents/>
        <w:jc w:val="both"/>
        <w:rPr>
          <w:i/>
          <w:color w:val="auto"/>
          <w:spacing w:val="1"/>
          <w:sz w:val="20"/>
          <w:szCs w:val="20"/>
        </w:rPr>
      </w:pPr>
      <w:r w:rsidRPr="000977F7">
        <w:rPr>
          <w:b w:val="0"/>
          <w:bCs/>
          <w:color w:val="auto"/>
          <w:sz w:val="20"/>
          <w:szCs w:val="20"/>
        </w:rPr>
        <w:t>ДСТУ 2824 – 94</w:t>
      </w:r>
      <w:r w:rsidRPr="000977F7">
        <w:rPr>
          <w:i/>
          <w:color w:val="auto"/>
          <w:spacing w:val="1"/>
          <w:sz w:val="20"/>
          <w:szCs w:val="20"/>
        </w:rPr>
        <w:t xml:space="preserve"> </w:t>
      </w:r>
    </w:p>
    <w:p w14:paraId="5FA7AFCB" w14:textId="77777777" w:rsidR="0097612F" w:rsidRPr="000977F7" w:rsidRDefault="0097612F" w:rsidP="000977F7">
      <w:pPr>
        <w:pStyle w:val="7"/>
        <w:tabs>
          <w:tab w:val="left" w:pos="284"/>
        </w:tabs>
        <w:spacing w:before="0" w:line="240" w:lineRule="auto"/>
        <w:ind w:left="170"/>
        <w:mirrorIndents/>
        <w:jc w:val="both"/>
        <w:rPr>
          <w:bCs/>
          <w:color w:val="auto"/>
          <w:spacing w:val="-47"/>
          <w:sz w:val="20"/>
          <w:szCs w:val="20"/>
        </w:rPr>
      </w:pPr>
      <w:r w:rsidRPr="000977F7">
        <w:rPr>
          <w:bCs/>
          <w:color w:val="auto"/>
          <w:sz w:val="20"/>
          <w:szCs w:val="20"/>
        </w:rPr>
        <w:t>ВИПРОБНИЙ</w:t>
      </w:r>
      <w:r w:rsidRPr="000977F7">
        <w:rPr>
          <w:bCs/>
          <w:color w:val="auto"/>
          <w:spacing w:val="-7"/>
          <w:sz w:val="20"/>
          <w:szCs w:val="20"/>
        </w:rPr>
        <w:t xml:space="preserve"> </w:t>
      </w:r>
      <w:r w:rsidRPr="000977F7">
        <w:rPr>
          <w:bCs/>
          <w:color w:val="auto"/>
          <w:sz w:val="20"/>
          <w:szCs w:val="20"/>
        </w:rPr>
        <w:t>СТЕНД</w:t>
      </w:r>
      <w:r w:rsidRPr="000977F7">
        <w:rPr>
          <w:bCs/>
          <w:color w:val="auto"/>
          <w:spacing w:val="-4"/>
          <w:sz w:val="20"/>
          <w:szCs w:val="20"/>
        </w:rPr>
        <w:t xml:space="preserve"> </w:t>
      </w:r>
      <w:r w:rsidRPr="000977F7">
        <w:rPr>
          <w:bCs/>
          <w:color w:val="auto"/>
          <w:sz w:val="20"/>
          <w:szCs w:val="20"/>
        </w:rPr>
        <w:t>–</w:t>
      </w:r>
      <w:r w:rsidRPr="000977F7">
        <w:rPr>
          <w:bCs/>
          <w:color w:val="auto"/>
          <w:spacing w:val="-47"/>
          <w:sz w:val="20"/>
          <w:szCs w:val="20"/>
        </w:rPr>
        <w:t xml:space="preserve"> </w:t>
      </w:r>
    </w:p>
    <w:p w14:paraId="3F0FE54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TEST BENCH –</w:t>
      </w:r>
    </w:p>
    <w:p w14:paraId="5FDA8E4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Технічний пристрій для відтворення умов певних режимів</w:t>
      </w:r>
      <w:r w:rsidRPr="000977F7">
        <w:rPr>
          <w:rFonts w:asciiTheme="majorHAnsi" w:hAnsiTheme="majorHAnsi"/>
          <w:spacing w:val="-2"/>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p>
    <w:p w14:paraId="5E92402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BB498C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ВИПРОБУВАЛЬНА</w:t>
      </w:r>
      <w:r w:rsidRPr="000977F7">
        <w:rPr>
          <w:color w:val="auto"/>
          <w:spacing w:val="-7"/>
          <w:sz w:val="20"/>
          <w:szCs w:val="20"/>
        </w:rPr>
        <w:t xml:space="preserve"> </w:t>
      </w:r>
      <w:r w:rsidRPr="000977F7">
        <w:rPr>
          <w:color w:val="auto"/>
          <w:sz w:val="20"/>
          <w:szCs w:val="20"/>
        </w:rPr>
        <w:t>ЛАБОРАТОРІЯ</w:t>
      </w:r>
      <w:r w:rsidRPr="000977F7">
        <w:rPr>
          <w:color w:val="auto"/>
          <w:spacing w:val="-3"/>
          <w:sz w:val="20"/>
          <w:szCs w:val="20"/>
        </w:rPr>
        <w:t xml:space="preserve"> </w:t>
      </w:r>
      <w:r w:rsidRPr="000977F7">
        <w:rPr>
          <w:color w:val="auto"/>
          <w:sz w:val="20"/>
          <w:szCs w:val="20"/>
        </w:rPr>
        <w:t>–</w:t>
      </w:r>
    </w:p>
    <w:p w14:paraId="4A56A8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TESTING</w:t>
      </w:r>
      <w:r w:rsidRPr="000977F7">
        <w:rPr>
          <w:rFonts w:asciiTheme="majorHAnsi" w:hAnsiTheme="majorHAnsi"/>
          <w:spacing w:val="-3"/>
          <w:sz w:val="20"/>
          <w:szCs w:val="20"/>
        </w:rPr>
        <w:t xml:space="preserve"> </w:t>
      </w:r>
      <w:r w:rsidRPr="000977F7">
        <w:rPr>
          <w:rFonts w:asciiTheme="majorHAnsi" w:hAnsiTheme="majorHAnsi"/>
          <w:sz w:val="20"/>
          <w:szCs w:val="20"/>
        </w:rPr>
        <w:t>LABORATORY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98BCB0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 з оцінки відповідності, який проводить випробування</w:t>
      </w:r>
    </w:p>
    <w:p w14:paraId="02F9E90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 закон України "Про технічні регламенти та оцінку відповідності"</w:t>
      </w:r>
    </w:p>
    <w:p w14:paraId="486C63D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Лабораторія,</w:t>
      </w:r>
      <w:r w:rsidRPr="000977F7">
        <w:rPr>
          <w:rFonts w:asciiTheme="majorHAnsi" w:hAnsiTheme="majorHAnsi"/>
          <w:spacing w:val="-2"/>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проводить</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випробування</w:t>
      </w:r>
    </w:p>
    <w:p w14:paraId="013FFE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F0D0D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Термін "випробувальна лабораторія" може використовуватися у значенні юридичного чи технічного органу чи в значенні того і іншого</w:t>
      </w:r>
    </w:p>
    <w:p w14:paraId="02BA5D1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292885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ВИПРОБУВАЛЬНА</w:t>
      </w:r>
      <w:r w:rsidRPr="000977F7">
        <w:rPr>
          <w:color w:val="auto"/>
          <w:spacing w:val="-7"/>
          <w:sz w:val="20"/>
          <w:szCs w:val="20"/>
        </w:rPr>
        <w:t xml:space="preserve"> </w:t>
      </w:r>
      <w:r w:rsidRPr="000977F7">
        <w:rPr>
          <w:color w:val="auto"/>
          <w:sz w:val="20"/>
          <w:szCs w:val="20"/>
        </w:rPr>
        <w:t>ОРГАНІЗАЦІЯ</w:t>
      </w:r>
      <w:r w:rsidRPr="000977F7">
        <w:rPr>
          <w:color w:val="auto"/>
          <w:spacing w:val="-3"/>
          <w:sz w:val="20"/>
          <w:szCs w:val="20"/>
        </w:rPr>
        <w:t xml:space="preserve"> </w:t>
      </w:r>
      <w:r w:rsidRPr="000977F7">
        <w:rPr>
          <w:color w:val="auto"/>
          <w:sz w:val="20"/>
          <w:szCs w:val="20"/>
        </w:rPr>
        <w:t>–</w:t>
      </w:r>
    </w:p>
    <w:p w14:paraId="0A849A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TEST ORGANIZATION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C19BF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якій у встановленому порядку доручено</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 випробувань певних видів продукції або</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1"/>
          <w:sz w:val="20"/>
          <w:szCs w:val="20"/>
        </w:rPr>
        <w:t xml:space="preserve"> </w:t>
      </w:r>
      <w:r w:rsidRPr="000977F7">
        <w:rPr>
          <w:rFonts w:asciiTheme="majorHAnsi" w:hAnsiTheme="majorHAnsi"/>
          <w:sz w:val="20"/>
          <w:szCs w:val="20"/>
        </w:rPr>
        <w:t>певних</w:t>
      </w:r>
      <w:r w:rsidRPr="000977F7">
        <w:rPr>
          <w:rFonts w:asciiTheme="majorHAnsi" w:hAnsiTheme="majorHAnsi"/>
          <w:spacing w:val="-2"/>
          <w:sz w:val="20"/>
          <w:szCs w:val="20"/>
        </w:rPr>
        <w:t xml:space="preserve"> </w:t>
      </w:r>
      <w:r w:rsidRPr="000977F7">
        <w:rPr>
          <w:rFonts w:asciiTheme="majorHAnsi" w:hAnsiTheme="majorHAnsi"/>
          <w:sz w:val="20"/>
          <w:szCs w:val="20"/>
        </w:rPr>
        <w:t>видів</w:t>
      </w:r>
      <w:r w:rsidRPr="000977F7">
        <w:rPr>
          <w:rFonts w:asciiTheme="majorHAnsi" w:hAnsiTheme="majorHAnsi"/>
          <w:spacing w:val="-2"/>
          <w:sz w:val="20"/>
          <w:szCs w:val="20"/>
        </w:rPr>
        <w:t xml:space="preserve"> </w:t>
      </w:r>
      <w:r w:rsidRPr="000977F7">
        <w:rPr>
          <w:rFonts w:asciiTheme="majorHAnsi" w:hAnsiTheme="majorHAnsi"/>
          <w:sz w:val="20"/>
          <w:szCs w:val="20"/>
        </w:rPr>
        <w:t>випробувань</w:t>
      </w:r>
    </w:p>
    <w:p w14:paraId="22C51D7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3021 – 95</w:t>
      </w:r>
    </w:p>
    <w:p w14:paraId="7F092477"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i/>
          <w:spacing w:val="-47"/>
          <w:sz w:val="20"/>
          <w:szCs w:val="20"/>
        </w:rPr>
        <w:t xml:space="preserve"> </w:t>
      </w:r>
      <w:r w:rsidRPr="000977F7">
        <w:rPr>
          <w:rFonts w:asciiTheme="majorHAnsi" w:hAnsiTheme="majorHAnsi"/>
          <w:b/>
          <w:sz w:val="20"/>
          <w:szCs w:val="20"/>
        </w:rPr>
        <w:t>ВИПРОБУВАЛЬНЕ ДІЯННЯ –</w:t>
      </w:r>
    </w:p>
    <w:p w14:paraId="1CC8E43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TEST</w:t>
      </w:r>
      <w:r w:rsidRPr="000977F7">
        <w:rPr>
          <w:rFonts w:asciiTheme="majorHAnsi" w:hAnsiTheme="majorHAnsi"/>
          <w:spacing w:val="2"/>
          <w:sz w:val="20"/>
          <w:szCs w:val="20"/>
        </w:rPr>
        <w:t xml:space="preserve"> </w:t>
      </w:r>
      <w:r w:rsidRPr="000977F7">
        <w:rPr>
          <w:rFonts w:asciiTheme="majorHAnsi" w:hAnsiTheme="majorHAnsi"/>
          <w:sz w:val="20"/>
          <w:szCs w:val="20"/>
        </w:rPr>
        <w:t>ACTION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1E6E21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Навмисне діяння, здійснюване для експериментального 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властивостей об’єкта</w:t>
      </w:r>
    </w:p>
    <w:p w14:paraId="717DB38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7E5DFE76"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8"/>
          <w:sz w:val="20"/>
          <w:szCs w:val="20"/>
        </w:rPr>
      </w:pPr>
      <w:r w:rsidRPr="000977F7">
        <w:rPr>
          <w:rFonts w:asciiTheme="majorHAnsi" w:hAnsiTheme="majorHAnsi"/>
          <w:b/>
          <w:sz w:val="20"/>
          <w:szCs w:val="20"/>
        </w:rPr>
        <w:t xml:space="preserve">ВИПРОБУВАЛЬНЕ ОБЛАДНАННЯ </w:t>
      </w:r>
      <w:r w:rsidRPr="000977F7">
        <w:rPr>
          <w:rFonts w:asciiTheme="majorHAnsi" w:hAnsiTheme="majorHAnsi"/>
          <w:sz w:val="20"/>
          <w:szCs w:val="20"/>
        </w:rPr>
        <w:t>–</w:t>
      </w:r>
      <w:r w:rsidRPr="000977F7">
        <w:rPr>
          <w:rFonts w:asciiTheme="majorHAnsi" w:hAnsiTheme="majorHAnsi"/>
          <w:spacing w:val="-48"/>
          <w:sz w:val="20"/>
          <w:szCs w:val="20"/>
        </w:rPr>
        <w:t xml:space="preserve"> </w:t>
      </w:r>
    </w:p>
    <w:p w14:paraId="76F7F7C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EST</w:t>
      </w:r>
      <w:r w:rsidRPr="000977F7">
        <w:rPr>
          <w:rFonts w:asciiTheme="majorHAnsi" w:hAnsiTheme="majorHAnsi"/>
          <w:spacing w:val="2"/>
          <w:sz w:val="20"/>
          <w:szCs w:val="20"/>
        </w:rPr>
        <w:t xml:space="preserve"> </w:t>
      </w:r>
      <w:r w:rsidRPr="000977F7">
        <w:rPr>
          <w:rFonts w:asciiTheme="majorHAnsi" w:hAnsiTheme="majorHAnsi"/>
          <w:sz w:val="20"/>
          <w:szCs w:val="20"/>
        </w:rPr>
        <w:t>EQUIPMENT</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21E900A2"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spacing w:val="-2"/>
          <w:sz w:val="20"/>
          <w:szCs w:val="20"/>
        </w:rPr>
        <w:t>Технічний</w:t>
      </w:r>
      <w:r w:rsidRPr="000977F7">
        <w:rPr>
          <w:rFonts w:asciiTheme="majorHAnsi" w:hAnsiTheme="majorHAnsi"/>
          <w:spacing w:val="-11"/>
          <w:sz w:val="20"/>
          <w:szCs w:val="20"/>
        </w:rPr>
        <w:t xml:space="preserve"> </w:t>
      </w:r>
      <w:r w:rsidRPr="000977F7">
        <w:rPr>
          <w:rFonts w:asciiTheme="majorHAnsi" w:hAnsiTheme="majorHAnsi"/>
          <w:spacing w:val="-2"/>
          <w:sz w:val="20"/>
          <w:szCs w:val="20"/>
        </w:rPr>
        <w:t>пристрій</w:t>
      </w:r>
      <w:r w:rsidRPr="000977F7">
        <w:rPr>
          <w:rFonts w:asciiTheme="majorHAnsi" w:hAnsiTheme="majorHAnsi"/>
          <w:spacing w:val="-10"/>
          <w:sz w:val="20"/>
          <w:szCs w:val="20"/>
        </w:rPr>
        <w:t xml:space="preserve"> </w:t>
      </w:r>
      <w:r w:rsidRPr="000977F7">
        <w:rPr>
          <w:rFonts w:asciiTheme="majorHAnsi" w:hAnsiTheme="majorHAnsi"/>
          <w:spacing w:val="-2"/>
          <w:sz w:val="20"/>
          <w:szCs w:val="20"/>
        </w:rPr>
        <w:t>для</w:t>
      </w:r>
      <w:r w:rsidRPr="000977F7">
        <w:rPr>
          <w:rFonts w:asciiTheme="majorHAnsi" w:hAnsiTheme="majorHAnsi"/>
          <w:spacing w:val="-8"/>
          <w:sz w:val="20"/>
          <w:szCs w:val="20"/>
        </w:rPr>
        <w:t xml:space="preserve"> </w:t>
      </w:r>
      <w:r w:rsidRPr="000977F7">
        <w:rPr>
          <w:rFonts w:asciiTheme="majorHAnsi" w:hAnsiTheme="majorHAnsi"/>
          <w:spacing w:val="-2"/>
          <w:sz w:val="20"/>
          <w:szCs w:val="20"/>
        </w:rPr>
        <w:t>відтворення</w:t>
      </w:r>
      <w:r w:rsidRPr="000977F7">
        <w:rPr>
          <w:rFonts w:asciiTheme="majorHAnsi" w:hAnsiTheme="majorHAnsi"/>
          <w:spacing w:val="-8"/>
          <w:sz w:val="20"/>
          <w:szCs w:val="20"/>
        </w:rPr>
        <w:t xml:space="preserve"> </w:t>
      </w:r>
      <w:r w:rsidRPr="000977F7">
        <w:rPr>
          <w:rFonts w:asciiTheme="majorHAnsi" w:hAnsiTheme="majorHAnsi"/>
          <w:spacing w:val="-1"/>
          <w:sz w:val="20"/>
          <w:szCs w:val="20"/>
        </w:rPr>
        <w:t>умов</w:t>
      </w:r>
      <w:r w:rsidRPr="000977F7">
        <w:rPr>
          <w:rFonts w:asciiTheme="majorHAnsi" w:hAnsiTheme="majorHAnsi"/>
          <w:spacing w:val="-8"/>
          <w:sz w:val="20"/>
          <w:szCs w:val="20"/>
        </w:rPr>
        <w:t xml:space="preserve"> </w:t>
      </w:r>
      <w:r w:rsidRPr="000977F7">
        <w:rPr>
          <w:rFonts w:asciiTheme="majorHAnsi" w:hAnsiTheme="majorHAnsi"/>
          <w:spacing w:val="-1"/>
          <w:sz w:val="20"/>
          <w:szCs w:val="20"/>
        </w:rPr>
        <w:t>випробувань</w:t>
      </w:r>
      <w:r w:rsidRPr="000977F7">
        <w:rPr>
          <w:rFonts w:asciiTheme="majorHAnsi" w:hAnsiTheme="majorHAnsi"/>
          <w:spacing w:val="-47"/>
          <w:sz w:val="20"/>
          <w:szCs w:val="20"/>
        </w:rPr>
        <w:t xml:space="preserve"> </w:t>
      </w:r>
    </w:p>
    <w:p w14:paraId="02CA060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3021 – 95</w:t>
      </w:r>
    </w:p>
    <w:p w14:paraId="1B55A60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ВИПРОБУВАЛЬНИЙ</w:t>
      </w:r>
      <w:r w:rsidRPr="000977F7">
        <w:rPr>
          <w:rFonts w:asciiTheme="majorHAnsi" w:hAnsiTheme="majorHAnsi"/>
          <w:b/>
          <w:spacing w:val="-3"/>
          <w:sz w:val="20"/>
          <w:szCs w:val="20"/>
        </w:rPr>
        <w:t xml:space="preserve"> </w:t>
      </w:r>
      <w:r w:rsidRPr="000977F7">
        <w:rPr>
          <w:rFonts w:asciiTheme="majorHAnsi" w:hAnsiTheme="majorHAnsi"/>
          <w:b/>
          <w:sz w:val="20"/>
          <w:szCs w:val="20"/>
        </w:rPr>
        <w:t>ПІДРОЗДІЛ</w:t>
      </w:r>
      <w:r w:rsidRPr="000977F7">
        <w:rPr>
          <w:rFonts w:asciiTheme="majorHAnsi" w:hAnsiTheme="majorHAnsi"/>
          <w:b/>
          <w:spacing w:val="2"/>
          <w:sz w:val="20"/>
          <w:szCs w:val="20"/>
        </w:rPr>
        <w:t xml:space="preserve"> </w:t>
      </w:r>
      <w:r w:rsidRPr="000977F7">
        <w:rPr>
          <w:rFonts w:asciiTheme="majorHAnsi" w:hAnsiTheme="majorHAnsi"/>
          <w:sz w:val="20"/>
          <w:szCs w:val="20"/>
        </w:rPr>
        <w:t>–</w:t>
      </w:r>
    </w:p>
    <w:p w14:paraId="3FCEA3C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TESTING</w:t>
      </w:r>
      <w:r w:rsidRPr="000977F7">
        <w:rPr>
          <w:rFonts w:asciiTheme="majorHAnsi" w:hAnsiTheme="majorHAnsi"/>
          <w:spacing w:val="-2"/>
          <w:sz w:val="20"/>
          <w:szCs w:val="20"/>
        </w:rPr>
        <w:t xml:space="preserve"> </w:t>
      </w:r>
      <w:r w:rsidRPr="000977F7">
        <w:rPr>
          <w:rFonts w:asciiTheme="majorHAnsi" w:hAnsiTheme="majorHAnsi"/>
          <w:sz w:val="20"/>
          <w:szCs w:val="20"/>
        </w:rPr>
        <w:t>DIVISION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56DB5D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sz w:val="20"/>
          <w:szCs w:val="20"/>
        </w:rPr>
        <w:t>Підрозділ</w:t>
      </w:r>
      <w:r w:rsidRPr="000977F7">
        <w:rPr>
          <w:rFonts w:asciiTheme="majorHAnsi" w:hAnsiTheme="majorHAnsi"/>
          <w:spacing w:val="34"/>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38"/>
          <w:sz w:val="20"/>
          <w:szCs w:val="20"/>
        </w:rPr>
        <w:t xml:space="preserve"> </w:t>
      </w:r>
      <w:r w:rsidRPr="000977F7">
        <w:rPr>
          <w:rFonts w:asciiTheme="majorHAnsi" w:hAnsiTheme="majorHAnsi"/>
          <w:sz w:val="20"/>
          <w:szCs w:val="20"/>
        </w:rPr>
        <w:t>якому</w:t>
      </w:r>
      <w:r w:rsidRPr="000977F7">
        <w:rPr>
          <w:rFonts w:asciiTheme="majorHAnsi" w:hAnsiTheme="majorHAnsi"/>
          <w:spacing w:val="35"/>
          <w:sz w:val="20"/>
          <w:szCs w:val="20"/>
        </w:rPr>
        <w:t xml:space="preserve"> </w:t>
      </w:r>
      <w:r w:rsidRPr="000977F7">
        <w:rPr>
          <w:rFonts w:asciiTheme="majorHAnsi" w:hAnsiTheme="majorHAnsi"/>
          <w:sz w:val="20"/>
          <w:szCs w:val="20"/>
        </w:rPr>
        <w:t>керівництвом</w:t>
      </w:r>
      <w:r w:rsidRPr="000977F7">
        <w:rPr>
          <w:rFonts w:asciiTheme="majorHAnsi" w:hAnsiTheme="majorHAnsi"/>
          <w:spacing w:val="37"/>
          <w:sz w:val="20"/>
          <w:szCs w:val="20"/>
        </w:rPr>
        <w:t xml:space="preserve"> </w:t>
      </w:r>
      <w:r w:rsidRPr="000977F7">
        <w:rPr>
          <w:rFonts w:asciiTheme="majorHAnsi" w:hAnsiTheme="majorHAnsi"/>
          <w:sz w:val="20"/>
          <w:szCs w:val="20"/>
        </w:rPr>
        <w:t>останньої</w:t>
      </w:r>
      <w:r w:rsidRPr="000977F7">
        <w:rPr>
          <w:rFonts w:asciiTheme="majorHAnsi" w:hAnsiTheme="majorHAnsi"/>
          <w:spacing w:val="-47"/>
          <w:sz w:val="20"/>
          <w:szCs w:val="20"/>
        </w:rPr>
        <w:t xml:space="preserve"> </w:t>
      </w:r>
      <w:r w:rsidRPr="000977F7">
        <w:rPr>
          <w:rFonts w:asciiTheme="majorHAnsi" w:hAnsiTheme="majorHAnsi"/>
          <w:sz w:val="20"/>
          <w:szCs w:val="20"/>
        </w:rPr>
        <w:t>доручено проведення випробувань для своїх потреб</w:t>
      </w:r>
      <w:r w:rsidRPr="000977F7">
        <w:rPr>
          <w:rFonts w:asciiTheme="majorHAnsi" w:hAnsiTheme="majorHAnsi"/>
          <w:spacing w:val="1"/>
          <w:sz w:val="20"/>
          <w:szCs w:val="20"/>
        </w:rPr>
        <w:t xml:space="preserve"> </w:t>
      </w:r>
      <w:r w:rsidRPr="000977F7">
        <w:rPr>
          <w:rFonts w:asciiTheme="majorHAnsi" w:hAnsiTheme="majorHAnsi"/>
          <w:spacing w:val="1"/>
          <w:sz w:val="20"/>
          <w:szCs w:val="20"/>
        </w:rPr>
        <w:br/>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CE72F24"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ВИПРОБУВАЛЬНИЙ</w:t>
      </w:r>
      <w:r w:rsidRPr="004D2D14">
        <w:rPr>
          <w:rFonts w:asciiTheme="majorHAnsi" w:hAnsiTheme="majorHAnsi"/>
          <w:b/>
          <w:spacing w:val="-3"/>
          <w:sz w:val="20"/>
          <w:szCs w:val="20"/>
          <w:lang w:val="en-US"/>
        </w:rPr>
        <w:t xml:space="preserve"> </w:t>
      </w:r>
      <w:r w:rsidRPr="000977F7">
        <w:rPr>
          <w:rFonts w:asciiTheme="majorHAnsi" w:hAnsiTheme="majorHAnsi"/>
          <w:b/>
          <w:sz w:val="20"/>
          <w:szCs w:val="20"/>
        </w:rPr>
        <w:t>ПОЛІГОН</w:t>
      </w:r>
      <w:r w:rsidRPr="004D2D14">
        <w:rPr>
          <w:rFonts w:asciiTheme="majorHAnsi" w:hAnsiTheme="majorHAnsi"/>
          <w:b/>
          <w:spacing w:val="3"/>
          <w:sz w:val="20"/>
          <w:szCs w:val="20"/>
          <w:lang w:val="en-US"/>
        </w:rPr>
        <w:t xml:space="preserve"> </w:t>
      </w:r>
      <w:r w:rsidRPr="004D2D14">
        <w:rPr>
          <w:rFonts w:asciiTheme="majorHAnsi" w:hAnsiTheme="majorHAnsi"/>
          <w:b/>
          <w:sz w:val="20"/>
          <w:szCs w:val="20"/>
          <w:lang w:val="en-US"/>
        </w:rPr>
        <w:t>–</w:t>
      </w:r>
    </w:p>
    <w:p w14:paraId="1C0826C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TESTING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(PROVING)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GROUND –</w:t>
      </w:r>
    </w:p>
    <w:p w14:paraId="7FC3C088" w14:textId="77777777" w:rsidR="0097612F" w:rsidRPr="004D2D14" w:rsidRDefault="0097612F" w:rsidP="000977F7">
      <w:pPr>
        <w:tabs>
          <w:tab w:val="left" w:pos="284"/>
        </w:tabs>
        <w:spacing w:after="0" w:line="240" w:lineRule="auto"/>
        <w:ind w:left="170"/>
        <w:mirrorIndents/>
        <w:jc w:val="both"/>
        <w:rPr>
          <w:rFonts w:asciiTheme="majorHAnsi" w:hAnsiTheme="majorHAnsi"/>
          <w:spacing w:val="1"/>
          <w:sz w:val="20"/>
          <w:szCs w:val="20"/>
          <w:lang w:val="en-US"/>
        </w:rPr>
      </w:pPr>
      <w:r w:rsidRPr="000977F7">
        <w:rPr>
          <w:rFonts w:asciiTheme="majorHAnsi" w:hAnsiTheme="majorHAnsi"/>
          <w:sz w:val="20"/>
          <w:szCs w:val="20"/>
        </w:rPr>
        <w:t>Територія</w:t>
      </w:r>
      <w:r w:rsidRPr="004D2D14">
        <w:rPr>
          <w:rFonts w:asciiTheme="majorHAnsi" w:hAnsiTheme="majorHAnsi"/>
          <w:spacing w:val="9"/>
          <w:sz w:val="20"/>
          <w:szCs w:val="20"/>
          <w:lang w:val="en-US"/>
        </w:rPr>
        <w:t xml:space="preserve"> </w:t>
      </w:r>
      <w:r w:rsidRPr="000977F7">
        <w:rPr>
          <w:rFonts w:asciiTheme="majorHAnsi" w:hAnsiTheme="majorHAnsi"/>
          <w:sz w:val="20"/>
          <w:szCs w:val="20"/>
        </w:rPr>
        <w:t>та</w:t>
      </w:r>
      <w:r w:rsidRPr="004D2D14">
        <w:rPr>
          <w:rFonts w:asciiTheme="majorHAnsi" w:hAnsiTheme="majorHAnsi"/>
          <w:spacing w:val="11"/>
          <w:sz w:val="20"/>
          <w:szCs w:val="20"/>
          <w:lang w:val="en-US"/>
        </w:rPr>
        <w:t xml:space="preserve"> </w:t>
      </w:r>
      <w:r w:rsidRPr="000977F7">
        <w:rPr>
          <w:rFonts w:asciiTheme="majorHAnsi" w:hAnsiTheme="majorHAnsi"/>
          <w:sz w:val="20"/>
          <w:szCs w:val="20"/>
        </w:rPr>
        <w:t>випробувальні</w:t>
      </w:r>
      <w:r w:rsidRPr="004D2D14">
        <w:rPr>
          <w:rFonts w:asciiTheme="majorHAnsi" w:hAnsiTheme="majorHAnsi"/>
          <w:spacing w:val="12"/>
          <w:sz w:val="20"/>
          <w:szCs w:val="20"/>
          <w:lang w:val="en-US"/>
        </w:rPr>
        <w:t xml:space="preserve"> </w:t>
      </w:r>
      <w:r w:rsidRPr="000977F7">
        <w:rPr>
          <w:rFonts w:asciiTheme="majorHAnsi" w:hAnsiTheme="majorHAnsi"/>
          <w:sz w:val="20"/>
          <w:szCs w:val="20"/>
        </w:rPr>
        <w:t>споруди</w:t>
      </w:r>
      <w:r w:rsidRPr="004D2D14">
        <w:rPr>
          <w:rFonts w:asciiTheme="majorHAnsi" w:hAnsiTheme="majorHAnsi"/>
          <w:spacing w:val="12"/>
          <w:sz w:val="20"/>
          <w:szCs w:val="20"/>
          <w:lang w:val="en-US"/>
        </w:rPr>
        <w:t xml:space="preserve"> </w:t>
      </w:r>
      <w:r w:rsidRPr="000977F7">
        <w:rPr>
          <w:rFonts w:asciiTheme="majorHAnsi" w:hAnsiTheme="majorHAnsi"/>
          <w:sz w:val="20"/>
          <w:szCs w:val="20"/>
        </w:rPr>
        <w:t>на</w:t>
      </w:r>
      <w:r w:rsidRPr="004D2D14">
        <w:rPr>
          <w:rFonts w:asciiTheme="majorHAnsi" w:hAnsiTheme="majorHAnsi"/>
          <w:spacing w:val="13"/>
          <w:sz w:val="20"/>
          <w:szCs w:val="20"/>
          <w:lang w:val="en-US"/>
        </w:rPr>
        <w:t xml:space="preserve"> </w:t>
      </w:r>
      <w:r w:rsidRPr="000977F7">
        <w:rPr>
          <w:rFonts w:asciiTheme="majorHAnsi" w:hAnsiTheme="majorHAnsi"/>
          <w:sz w:val="20"/>
          <w:szCs w:val="20"/>
        </w:rPr>
        <w:t>ній</w:t>
      </w:r>
      <w:r w:rsidRPr="004D2D14">
        <w:rPr>
          <w:rFonts w:asciiTheme="majorHAnsi" w:hAnsiTheme="majorHAnsi"/>
          <w:sz w:val="20"/>
          <w:szCs w:val="20"/>
          <w:lang w:val="en-US"/>
        </w:rPr>
        <w:t>,</w:t>
      </w:r>
      <w:r w:rsidRPr="004D2D14">
        <w:rPr>
          <w:rFonts w:asciiTheme="majorHAnsi" w:hAnsiTheme="majorHAnsi"/>
          <w:spacing w:val="10"/>
          <w:sz w:val="20"/>
          <w:szCs w:val="20"/>
          <w:lang w:val="en-US"/>
        </w:rPr>
        <w:t xml:space="preserve"> </w:t>
      </w:r>
      <w:r w:rsidRPr="000977F7">
        <w:rPr>
          <w:rFonts w:asciiTheme="majorHAnsi" w:hAnsiTheme="majorHAnsi"/>
          <w:sz w:val="20"/>
          <w:szCs w:val="20"/>
        </w:rPr>
        <w:t>оснащені</w:t>
      </w:r>
      <w:r w:rsidRPr="004D2D14">
        <w:rPr>
          <w:rFonts w:asciiTheme="majorHAnsi" w:hAnsiTheme="majorHAnsi"/>
          <w:spacing w:val="-47"/>
          <w:sz w:val="20"/>
          <w:szCs w:val="20"/>
          <w:lang w:val="en-US"/>
        </w:rPr>
        <w:t xml:space="preserve"> </w:t>
      </w:r>
      <w:r w:rsidRPr="000977F7">
        <w:rPr>
          <w:rFonts w:asciiTheme="majorHAnsi" w:hAnsiTheme="majorHAnsi"/>
          <w:sz w:val="20"/>
          <w:szCs w:val="20"/>
        </w:rPr>
        <w:t>засобами</w:t>
      </w:r>
      <w:r w:rsidRPr="004D2D14">
        <w:rPr>
          <w:rFonts w:asciiTheme="majorHAnsi" w:hAnsiTheme="majorHAnsi"/>
          <w:spacing w:val="12"/>
          <w:sz w:val="20"/>
          <w:szCs w:val="20"/>
          <w:lang w:val="en-US"/>
        </w:rPr>
        <w:t xml:space="preserve"> </w:t>
      </w:r>
      <w:r w:rsidRPr="000977F7">
        <w:rPr>
          <w:rFonts w:asciiTheme="majorHAnsi" w:hAnsiTheme="majorHAnsi"/>
          <w:sz w:val="20"/>
          <w:szCs w:val="20"/>
        </w:rPr>
        <w:t>випробувань</w:t>
      </w:r>
      <w:r w:rsidRPr="004D2D14">
        <w:rPr>
          <w:rFonts w:asciiTheme="majorHAnsi" w:hAnsiTheme="majorHAnsi"/>
          <w:sz w:val="20"/>
          <w:szCs w:val="20"/>
          <w:lang w:val="en-US"/>
        </w:rPr>
        <w:t>,</w:t>
      </w:r>
      <w:r w:rsidRPr="004D2D14">
        <w:rPr>
          <w:rFonts w:asciiTheme="majorHAnsi" w:hAnsiTheme="majorHAnsi"/>
          <w:spacing w:val="15"/>
          <w:sz w:val="20"/>
          <w:szCs w:val="20"/>
          <w:lang w:val="en-US"/>
        </w:rPr>
        <w:t xml:space="preserve"> </w:t>
      </w:r>
      <w:r w:rsidRPr="000977F7">
        <w:rPr>
          <w:rFonts w:asciiTheme="majorHAnsi" w:hAnsiTheme="majorHAnsi"/>
          <w:sz w:val="20"/>
          <w:szCs w:val="20"/>
        </w:rPr>
        <w:t>що</w:t>
      </w:r>
      <w:r w:rsidRPr="004D2D14">
        <w:rPr>
          <w:rFonts w:asciiTheme="majorHAnsi" w:hAnsiTheme="majorHAnsi"/>
          <w:spacing w:val="15"/>
          <w:sz w:val="20"/>
          <w:szCs w:val="20"/>
          <w:lang w:val="en-US"/>
        </w:rPr>
        <w:t xml:space="preserve"> </w:t>
      </w:r>
      <w:r w:rsidRPr="000977F7">
        <w:rPr>
          <w:rFonts w:asciiTheme="majorHAnsi" w:hAnsiTheme="majorHAnsi"/>
          <w:sz w:val="20"/>
          <w:szCs w:val="20"/>
        </w:rPr>
        <w:t>забезпечують</w:t>
      </w:r>
      <w:r w:rsidRPr="004D2D14">
        <w:rPr>
          <w:rFonts w:asciiTheme="majorHAnsi" w:hAnsiTheme="majorHAnsi"/>
          <w:spacing w:val="14"/>
          <w:sz w:val="20"/>
          <w:szCs w:val="20"/>
          <w:lang w:val="en-US"/>
        </w:rPr>
        <w:t xml:space="preserve"> </w:t>
      </w:r>
      <w:r w:rsidRPr="000977F7">
        <w:rPr>
          <w:rFonts w:asciiTheme="majorHAnsi" w:hAnsiTheme="majorHAnsi"/>
          <w:sz w:val="20"/>
          <w:szCs w:val="20"/>
        </w:rPr>
        <w:t>випробування</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умовах</w:t>
      </w:r>
      <w:r w:rsidRPr="004D2D14">
        <w:rPr>
          <w:rFonts w:asciiTheme="majorHAnsi" w:hAnsiTheme="majorHAnsi"/>
          <w:sz w:val="20"/>
          <w:szCs w:val="20"/>
          <w:lang w:val="en-US"/>
        </w:rPr>
        <w:t xml:space="preserve">, </w:t>
      </w:r>
      <w:r w:rsidRPr="000977F7">
        <w:rPr>
          <w:rFonts w:asciiTheme="majorHAnsi" w:hAnsiTheme="majorHAnsi"/>
          <w:sz w:val="20"/>
          <w:szCs w:val="20"/>
        </w:rPr>
        <w:t>близьких</w:t>
      </w:r>
      <w:r w:rsidRPr="004D2D14">
        <w:rPr>
          <w:rFonts w:asciiTheme="majorHAnsi" w:hAnsiTheme="majorHAnsi"/>
          <w:sz w:val="20"/>
          <w:szCs w:val="20"/>
          <w:lang w:val="en-US"/>
        </w:rPr>
        <w:t xml:space="preserve"> </w:t>
      </w:r>
      <w:r w:rsidRPr="000977F7">
        <w:rPr>
          <w:rFonts w:asciiTheme="majorHAnsi" w:hAnsiTheme="majorHAnsi"/>
          <w:sz w:val="20"/>
          <w:szCs w:val="20"/>
        </w:rPr>
        <w:t>до</w:t>
      </w:r>
      <w:r w:rsidRPr="004D2D14">
        <w:rPr>
          <w:rFonts w:asciiTheme="majorHAnsi" w:hAnsiTheme="majorHAnsi"/>
          <w:sz w:val="20"/>
          <w:szCs w:val="20"/>
          <w:lang w:val="en-US"/>
        </w:rPr>
        <w:t xml:space="preserve"> </w:t>
      </w:r>
      <w:r w:rsidRPr="000977F7">
        <w:rPr>
          <w:rFonts w:asciiTheme="majorHAnsi" w:hAnsiTheme="majorHAnsi"/>
          <w:sz w:val="20"/>
          <w:szCs w:val="20"/>
        </w:rPr>
        <w:t>умов</w:t>
      </w:r>
      <w:r w:rsidRPr="004D2D14">
        <w:rPr>
          <w:rFonts w:asciiTheme="majorHAnsi" w:hAnsiTheme="majorHAnsi"/>
          <w:sz w:val="20"/>
          <w:szCs w:val="20"/>
          <w:lang w:val="en-US"/>
        </w:rPr>
        <w:t xml:space="preserve"> </w:t>
      </w:r>
      <w:r w:rsidRPr="000977F7">
        <w:rPr>
          <w:rFonts w:asciiTheme="majorHAnsi" w:hAnsiTheme="majorHAnsi"/>
          <w:sz w:val="20"/>
          <w:szCs w:val="20"/>
        </w:rPr>
        <w:t>експлуатації</w:t>
      </w:r>
      <w:r w:rsidRPr="004D2D14">
        <w:rPr>
          <w:rFonts w:asciiTheme="majorHAnsi" w:hAnsiTheme="majorHAnsi"/>
          <w:spacing w:val="1"/>
          <w:sz w:val="20"/>
          <w:szCs w:val="20"/>
          <w:lang w:val="en-US"/>
        </w:rPr>
        <w:t xml:space="preserve"> </w:t>
      </w:r>
    </w:p>
    <w:p w14:paraId="13BE1C5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3021</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95</w:t>
      </w:r>
    </w:p>
    <w:p w14:paraId="7F52F878"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ВИПРОБУВАЛЬНИЙ</w:t>
      </w:r>
      <w:r w:rsidRPr="004D2D14">
        <w:rPr>
          <w:rFonts w:asciiTheme="majorHAnsi" w:hAnsiTheme="majorHAnsi"/>
          <w:b/>
          <w:spacing w:val="-3"/>
          <w:sz w:val="20"/>
          <w:szCs w:val="20"/>
          <w:lang w:val="en-US"/>
        </w:rPr>
        <w:t xml:space="preserve"> </w:t>
      </w:r>
      <w:r w:rsidRPr="000977F7">
        <w:rPr>
          <w:rFonts w:asciiTheme="majorHAnsi" w:hAnsiTheme="majorHAnsi"/>
          <w:b/>
          <w:sz w:val="20"/>
          <w:szCs w:val="20"/>
        </w:rPr>
        <w:t>ЦЕНТР</w:t>
      </w:r>
      <w:r w:rsidRPr="004D2D14">
        <w:rPr>
          <w:rFonts w:asciiTheme="majorHAnsi" w:hAnsiTheme="majorHAnsi"/>
          <w:b/>
          <w:spacing w:val="4"/>
          <w:sz w:val="20"/>
          <w:szCs w:val="20"/>
          <w:lang w:val="en-US"/>
        </w:rPr>
        <w:t xml:space="preserve"> </w:t>
      </w:r>
      <w:r w:rsidRPr="004D2D14">
        <w:rPr>
          <w:rFonts w:asciiTheme="majorHAnsi" w:hAnsiTheme="majorHAnsi"/>
          <w:b/>
          <w:sz w:val="20"/>
          <w:szCs w:val="20"/>
          <w:lang w:val="en-US"/>
        </w:rPr>
        <w:t>–</w:t>
      </w:r>
    </w:p>
    <w:p w14:paraId="2D1307E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TESTING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CENTER –</w:t>
      </w:r>
    </w:p>
    <w:p w14:paraId="4E223F5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Організація</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затверджена</w:t>
      </w:r>
      <w:r w:rsidRPr="004D2D14">
        <w:rPr>
          <w:rFonts w:asciiTheme="majorHAnsi" w:hAnsiTheme="majorHAnsi"/>
          <w:spacing w:val="1"/>
          <w:sz w:val="20"/>
          <w:szCs w:val="20"/>
          <w:lang w:val="en-US"/>
        </w:rPr>
        <w:t xml:space="preserve"> </w:t>
      </w:r>
      <w:r w:rsidRPr="000977F7">
        <w:rPr>
          <w:rFonts w:asciiTheme="majorHAnsi" w:hAnsiTheme="majorHAnsi"/>
          <w:sz w:val="20"/>
          <w:szCs w:val="20"/>
        </w:rPr>
        <w:t>в</w:t>
      </w:r>
      <w:r w:rsidRPr="004D2D14">
        <w:rPr>
          <w:rFonts w:asciiTheme="majorHAnsi" w:hAnsiTheme="majorHAnsi"/>
          <w:spacing w:val="1"/>
          <w:sz w:val="20"/>
          <w:szCs w:val="20"/>
          <w:lang w:val="en-US"/>
        </w:rPr>
        <w:t xml:space="preserve"> </w:t>
      </w:r>
      <w:r w:rsidRPr="000977F7">
        <w:rPr>
          <w:rFonts w:asciiTheme="majorHAnsi" w:hAnsiTheme="majorHAnsi"/>
          <w:sz w:val="20"/>
          <w:szCs w:val="20"/>
        </w:rPr>
        <w:t>установленому</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порядку</w:t>
      </w:r>
      <w:r w:rsidRPr="004D2D14">
        <w:rPr>
          <w:rFonts w:asciiTheme="majorHAnsi" w:hAnsiTheme="majorHAnsi"/>
          <w:spacing w:val="1"/>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проведення</w:t>
      </w:r>
      <w:r w:rsidRPr="004D2D14">
        <w:rPr>
          <w:rFonts w:asciiTheme="majorHAnsi" w:hAnsiTheme="majorHAnsi"/>
          <w:sz w:val="20"/>
          <w:szCs w:val="20"/>
          <w:lang w:val="en-US"/>
        </w:rPr>
        <w:t xml:space="preserve"> </w:t>
      </w:r>
      <w:r w:rsidRPr="000977F7">
        <w:rPr>
          <w:rFonts w:asciiTheme="majorHAnsi" w:hAnsiTheme="majorHAnsi"/>
          <w:sz w:val="20"/>
          <w:szCs w:val="20"/>
        </w:rPr>
        <w:t>певних</w:t>
      </w:r>
      <w:r w:rsidRPr="004D2D14">
        <w:rPr>
          <w:rFonts w:asciiTheme="majorHAnsi" w:hAnsiTheme="majorHAnsi"/>
          <w:sz w:val="20"/>
          <w:szCs w:val="20"/>
          <w:lang w:val="en-US"/>
        </w:rPr>
        <w:t xml:space="preserve"> </w:t>
      </w:r>
      <w:r w:rsidRPr="000977F7">
        <w:rPr>
          <w:rFonts w:asciiTheme="majorHAnsi" w:hAnsiTheme="majorHAnsi"/>
          <w:sz w:val="20"/>
          <w:szCs w:val="20"/>
        </w:rPr>
        <w:t>категорій</w:t>
      </w:r>
      <w:r w:rsidRPr="004D2D14">
        <w:rPr>
          <w:rFonts w:asciiTheme="majorHAnsi" w:hAnsiTheme="majorHAnsi"/>
          <w:sz w:val="20"/>
          <w:szCs w:val="20"/>
          <w:lang w:val="en-US"/>
        </w:rPr>
        <w:t xml:space="preserve"> </w:t>
      </w:r>
      <w:r w:rsidRPr="000977F7">
        <w:rPr>
          <w:rFonts w:asciiTheme="majorHAnsi" w:hAnsiTheme="majorHAnsi"/>
          <w:sz w:val="20"/>
          <w:szCs w:val="20"/>
        </w:rPr>
        <w:t>випробувань</w:t>
      </w:r>
      <w:r w:rsidRPr="004D2D14">
        <w:rPr>
          <w:rFonts w:asciiTheme="majorHAnsi" w:hAnsiTheme="majorHAnsi"/>
          <w:sz w:val="20"/>
          <w:szCs w:val="20"/>
          <w:lang w:val="en-US"/>
        </w:rPr>
        <w:t xml:space="preserve"> </w:t>
      </w:r>
      <w:r w:rsidRPr="000977F7">
        <w:rPr>
          <w:rFonts w:asciiTheme="majorHAnsi" w:hAnsiTheme="majorHAnsi"/>
          <w:sz w:val="20"/>
          <w:szCs w:val="20"/>
        </w:rPr>
        <w:t>закріплених</w:t>
      </w:r>
      <w:r w:rsidRPr="004D2D14">
        <w:rPr>
          <w:rFonts w:asciiTheme="majorHAnsi" w:hAnsiTheme="majorHAnsi"/>
          <w:sz w:val="20"/>
          <w:szCs w:val="20"/>
          <w:lang w:val="en-US"/>
        </w:rPr>
        <w:t xml:space="preserve"> </w:t>
      </w:r>
      <w:r w:rsidRPr="000977F7">
        <w:rPr>
          <w:rFonts w:asciiTheme="majorHAnsi" w:hAnsiTheme="majorHAnsi"/>
          <w:sz w:val="20"/>
          <w:szCs w:val="20"/>
        </w:rPr>
        <w:t>видів</w:t>
      </w:r>
      <w:r w:rsidRPr="004D2D14">
        <w:rPr>
          <w:rFonts w:asciiTheme="majorHAnsi" w:hAnsiTheme="majorHAnsi"/>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 xml:space="preserve">, </w:t>
      </w:r>
      <w:r w:rsidRPr="000977F7">
        <w:rPr>
          <w:rFonts w:asciiTheme="majorHAnsi" w:hAnsiTheme="majorHAnsi"/>
          <w:sz w:val="20"/>
          <w:szCs w:val="20"/>
        </w:rPr>
        <w:t>яка</w:t>
      </w:r>
      <w:r w:rsidRPr="004D2D14">
        <w:rPr>
          <w:rFonts w:asciiTheme="majorHAnsi" w:hAnsiTheme="majorHAnsi"/>
          <w:sz w:val="20"/>
          <w:szCs w:val="20"/>
          <w:lang w:val="en-US"/>
        </w:rPr>
        <w:t xml:space="preserve"> </w:t>
      </w:r>
      <w:r w:rsidRPr="000977F7">
        <w:rPr>
          <w:rFonts w:asciiTheme="majorHAnsi" w:hAnsiTheme="majorHAnsi"/>
          <w:sz w:val="20"/>
          <w:szCs w:val="20"/>
        </w:rPr>
        <w:t>випускається</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розробляється</w:t>
      </w:r>
      <w:r w:rsidRPr="004D2D14">
        <w:rPr>
          <w:rFonts w:asciiTheme="majorHAnsi" w:hAnsiTheme="majorHAnsi"/>
          <w:sz w:val="20"/>
          <w:szCs w:val="20"/>
          <w:lang w:val="en-US"/>
        </w:rPr>
        <w:t xml:space="preserve"> </w:t>
      </w:r>
      <w:r w:rsidRPr="000977F7">
        <w:rPr>
          <w:rFonts w:asciiTheme="majorHAnsi" w:hAnsiTheme="majorHAnsi"/>
          <w:sz w:val="20"/>
          <w:szCs w:val="20"/>
        </w:rPr>
        <w:t>підприємствами</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організаціями</w:t>
      </w:r>
      <w:r w:rsidRPr="004D2D14">
        <w:rPr>
          <w:rFonts w:asciiTheme="majorHAnsi" w:hAnsiTheme="majorHAnsi"/>
          <w:sz w:val="20"/>
          <w:szCs w:val="20"/>
          <w:lang w:val="en-US"/>
        </w:rPr>
        <w:t xml:space="preserve"> </w:t>
      </w:r>
      <w:r w:rsidRPr="000977F7">
        <w:rPr>
          <w:rFonts w:asciiTheme="majorHAnsi" w:hAnsiTheme="majorHAnsi"/>
          <w:sz w:val="20"/>
          <w:szCs w:val="20"/>
        </w:rPr>
        <w:t>незалежно</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w:t>
      </w:r>
      <w:r w:rsidRPr="004D2D14">
        <w:rPr>
          <w:rFonts w:asciiTheme="majorHAnsi" w:hAnsiTheme="majorHAnsi"/>
          <w:spacing w:val="-2"/>
          <w:sz w:val="20"/>
          <w:szCs w:val="20"/>
          <w:lang w:val="en-US"/>
        </w:rPr>
        <w:t xml:space="preserve"> </w:t>
      </w:r>
      <w:r w:rsidRPr="000977F7">
        <w:rPr>
          <w:rFonts w:asciiTheme="majorHAnsi" w:hAnsiTheme="majorHAnsi"/>
          <w:sz w:val="20"/>
          <w:szCs w:val="20"/>
        </w:rPr>
        <w:t>їх</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відомчого</w:t>
      </w:r>
      <w:r w:rsidRPr="004D2D14">
        <w:rPr>
          <w:rFonts w:asciiTheme="majorHAnsi" w:hAnsiTheme="majorHAnsi"/>
          <w:sz w:val="20"/>
          <w:szCs w:val="20"/>
          <w:lang w:val="en-US"/>
        </w:rPr>
        <w:t xml:space="preserve"> </w:t>
      </w:r>
      <w:r w:rsidRPr="000977F7">
        <w:rPr>
          <w:rFonts w:asciiTheme="majorHAnsi" w:hAnsiTheme="majorHAnsi"/>
          <w:sz w:val="20"/>
          <w:szCs w:val="20"/>
        </w:rPr>
        <w:t>підпорядкування</w:t>
      </w:r>
    </w:p>
    <w:p w14:paraId="12E4EF6F"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3021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73C22E5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ВИПРОБУВАННЯ;</w:t>
      </w:r>
      <w:r w:rsidRPr="000977F7">
        <w:rPr>
          <w:color w:val="auto"/>
          <w:spacing w:val="-7"/>
          <w:sz w:val="20"/>
          <w:szCs w:val="20"/>
        </w:rPr>
        <w:t xml:space="preserve"> </w:t>
      </w:r>
      <w:r w:rsidRPr="000977F7">
        <w:rPr>
          <w:color w:val="auto"/>
          <w:sz w:val="20"/>
          <w:szCs w:val="20"/>
        </w:rPr>
        <w:t>ТЕСТУВАННЯ</w:t>
      </w:r>
      <w:r w:rsidRPr="000977F7">
        <w:rPr>
          <w:color w:val="auto"/>
          <w:spacing w:val="-2"/>
          <w:sz w:val="20"/>
          <w:szCs w:val="20"/>
        </w:rPr>
        <w:t xml:space="preserve"> </w:t>
      </w:r>
      <w:r w:rsidRPr="000977F7">
        <w:rPr>
          <w:color w:val="auto"/>
          <w:sz w:val="20"/>
          <w:szCs w:val="20"/>
        </w:rPr>
        <w:t>–</w:t>
      </w:r>
    </w:p>
    <w:p w14:paraId="7B78C89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TESTING –</w:t>
      </w:r>
    </w:p>
    <w:p w14:paraId="63B38AB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Визначення</w:t>
      </w:r>
      <w:r w:rsidRPr="004D2D14">
        <w:rPr>
          <w:rFonts w:asciiTheme="majorHAnsi" w:hAnsiTheme="majorHAnsi"/>
          <w:sz w:val="20"/>
          <w:szCs w:val="20"/>
          <w:lang w:val="en-US"/>
        </w:rPr>
        <w:t xml:space="preserve"> </w:t>
      </w:r>
      <w:r w:rsidRPr="000977F7">
        <w:rPr>
          <w:rFonts w:asciiTheme="majorHAnsi" w:hAnsiTheme="majorHAnsi"/>
          <w:sz w:val="20"/>
          <w:szCs w:val="20"/>
        </w:rPr>
        <w:t>однієї</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кількох</w:t>
      </w:r>
      <w:r w:rsidRPr="004D2D14">
        <w:rPr>
          <w:rFonts w:asciiTheme="majorHAnsi" w:hAnsiTheme="majorHAnsi"/>
          <w:sz w:val="20"/>
          <w:szCs w:val="20"/>
          <w:lang w:val="en-US"/>
        </w:rPr>
        <w:t xml:space="preserve"> </w:t>
      </w:r>
      <w:r w:rsidRPr="000977F7">
        <w:rPr>
          <w:rFonts w:asciiTheme="majorHAnsi" w:hAnsiTheme="majorHAnsi"/>
          <w:sz w:val="20"/>
          <w:szCs w:val="20"/>
        </w:rPr>
        <w:t>характеристик</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r w:rsidRPr="004D2D14">
        <w:rPr>
          <w:rFonts w:asciiTheme="majorHAnsi" w:hAnsiTheme="majorHAnsi"/>
          <w:sz w:val="20"/>
          <w:szCs w:val="20"/>
          <w:lang w:val="en-US"/>
        </w:rPr>
        <w:t xml:space="preserve"> </w:t>
      </w:r>
      <w:r w:rsidRPr="000977F7">
        <w:rPr>
          <w:rFonts w:asciiTheme="majorHAnsi" w:hAnsiTheme="majorHAnsi"/>
          <w:sz w:val="20"/>
          <w:szCs w:val="20"/>
        </w:rPr>
        <w:t>оцінки</w:t>
      </w:r>
      <w:r w:rsidRPr="004D2D14">
        <w:rPr>
          <w:rFonts w:asciiTheme="majorHAnsi" w:hAnsiTheme="majorHAnsi"/>
          <w:sz w:val="20"/>
          <w:szCs w:val="20"/>
          <w:lang w:val="en-US"/>
        </w:rPr>
        <w:t xml:space="preserve"> </w:t>
      </w:r>
      <w:r w:rsidRPr="000977F7">
        <w:rPr>
          <w:rFonts w:asciiTheme="majorHAnsi" w:hAnsiTheme="majorHAnsi"/>
          <w:sz w:val="20"/>
          <w:szCs w:val="20"/>
        </w:rPr>
        <w:t>відповідності</w:t>
      </w:r>
      <w:r w:rsidRPr="004D2D14">
        <w:rPr>
          <w:rFonts w:asciiTheme="majorHAnsi" w:hAnsiTheme="majorHAnsi"/>
          <w:sz w:val="20"/>
          <w:szCs w:val="20"/>
          <w:lang w:val="en-US"/>
        </w:rPr>
        <w:t xml:space="preserve"> </w:t>
      </w:r>
      <w:r w:rsidRPr="000977F7">
        <w:rPr>
          <w:rFonts w:asciiTheme="majorHAnsi" w:hAnsiTheme="majorHAnsi"/>
          <w:sz w:val="20"/>
          <w:szCs w:val="20"/>
        </w:rPr>
        <w:t>згідно</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процедурою</w:t>
      </w:r>
    </w:p>
    <w:p w14:paraId="79DE5EA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bookmarkStart w:id="29" w:name="_Hlk103162517"/>
      <w:r w:rsidRPr="000977F7">
        <w:rPr>
          <w:rFonts w:asciiTheme="majorHAnsi" w:hAnsiTheme="majorHAnsi"/>
          <w:i/>
          <w:sz w:val="20"/>
          <w:szCs w:val="20"/>
        </w:rPr>
        <w:t>Ст. 1 закону України "Про технічні регламенти та оцінку відповідності"</w:t>
      </w:r>
    </w:p>
    <w:bookmarkEnd w:id="29"/>
    <w:p w14:paraId="62E33A3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Визначання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вимогам</w:t>
      </w:r>
      <w:r w:rsidRPr="000977F7">
        <w:rPr>
          <w:rFonts w:asciiTheme="majorHAnsi" w:hAnsiTheme="majorHAnsi"/>
          <w:spacing w:val="1"/>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конкретного</w:t>
      </w:r>
      <w:r w:rsidRPr="000977F7">
        <w:rPr>
          <w:rFonts w:asciiTheme="majorHAnsi" w:hAnsiTheme="majorHAnsi"/>
          <w:spacing w:val="1"/>
          <w:sz w:val="20"/>
          <w:szCs w:val="20"/>
        </w:rPr>
        <w:t xml:space="preserve"> </w:t>
      </w:r>
      <w:r w:rsidRPr="000977F7">
        <w:rPr>
          <w:rFonts w:asciiTheme="majorHAnsi" w:hAnsiTheme="majorHAnsi"/>
          <w:sz w:val="20"/>
          <w:szCs w:val="20"/>
        </w:rPr>
        <w:t>передбаченого</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застосування.</w:t>
      </w:r>
    </w:p>
    <w:p w14:paraId="423E07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1"/>
          <w:sz w:val="20"/>
          <w:szCs w:val="20"/>
        </w:rPr>
        <w:t xml:space="preserve"> </w:t>
      </w:r>
      <w:r w:rsidRPr="000977F7">
        <w:rPr>
          <w:rFonts w:asciiTheme="majorHAnsi" w:hAnsiTheme="majorHAnsi"/>
          <w:sz w:val="20"/>
          <w:szCs w:val="20"/>
        </w:rPr>
        <w:t>Якщо</w:t>
      </w:r>
      <w:r w:rsidRPr="000977F7">
        <w:rPr>
          <w:rFonts w:asciiTheme="majorHAnsi" w:hAnsiTheme="majorHAnsi"/>
          <w:spacing w:val="1"/>
          <w:sz w:val="20"/>
          <w:szCs w:val="20"/>
        </w:rPr>
        <w:t xml:space="preserve"> </w:t>
      </w:r>
      <w:r w:rsidRPr="000977F7">
        <w:rPr>
          <w:rFonts w:asciiTheme="majorHAnsi" w:hAnsiTheme="majorHAnsi"/>
          <w:sz w:val="20"/>
          <w:szCs w:val="20"/>
        </w:rPr>
        <w:t>результат</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свідчить</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47"/>
          <w:sz w:val="20"/>
          <w:szCs w:val="20"/>
        </w:rPr>
        <w:t xml:space="preserve"> </w:t>
      </w:r>
      <w:r w:rsidRPr="000977F7">
        <w:rPr>
          <w:rFonts w:asciiTheme="majorHAnsi" w:hAnsiTheme="majorHAnsi"/>
          <w:sz w:val="20"/>
          <w:szCs w:val="20"/>
        </w:rPr>
        <w:t>відповідність, це може бути використано для цілей затвердження</w:t>
      </w:r>
    </w:p>
    <w:p w14:paraId="60C22FA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14AA70A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Визначання однієї чи кількох характеристик об’єкта</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4"/>
          <w:sz w:val="20"/>
          <w:szCs w:val="20"/>
        </w:rPr>
        <w:t xml:space="preserve"> </w:t>
      </w:r>
      <w:r w:rsidRPr="000977F7">
        <w:rPr>
          <w:rFonts w:asciiTheme="majorHAnsi" w:hAnsiTheme="majorHAnsi"/>
          <w:sz w:val="20"/>
          <w:szCs w:val="20"/>
        </w:rPr>
        <w:t>оцінювання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4"/>
          <w:sz w:val="20"/>
          <w:szCs w:val="20"/>
        </w:rPr>
        <w:t xml:space="preserve"> </w:t>
      </w:r>
      <w:r w:rsidRPr="000977F7">
        <w:rPr>
          <w:rFonts w:asciiTheme="majorHAnsi" w:hAnsiTheme="majorHAnsi"/>
          <w:sz w:val="20"/>
          <w:szCs w:val="20"/>
        </w:rPr>
        <w:t>згідно</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2"/>
          <w:sz w:val="20"/>
          <w:szCs w:val="20"/>
        </w:rPr>
        <w:t xml:space="preserve"> </w:t>
      </w:r>
      <w:r w:rsidRPr="000977F7">
        <w:rPr>
          <w:rFonts w:asciiTheme="majorHAnsi" w:hAnsiTheme="majorHAnsi"/>
          <w:sz w:val="20"/>
          <w:szCs w:val="20"/>
        </w:rPr>
        <w:t>процедурою.</w:t>
      </w:r>
    </w:p>
    <w:p w14:paraId="69B1B5B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 р и м і т к а. Термін "випробування" звичайно стосується</w:t>
      </w:r>
      <w:r w:rsidRPr="000977F7">
        <w:rPr>
          <w:rFonts w:asciiTheme="majorHAnsi" w:hAnsiTheme="majorHAnsi"/>
          <w:spacing w:val="-2"/>
          <w:sz w:val="20"/>
          <w:szCs w:val="20"/>
        </w:rPr>
        <w:t xml:space="preserve"> </w:t>
      </w:r>
      <w:r w:rsidRPr="000977F7">
        <w:rPr>
          <w:rFonts w:asciiTheme="majorHAnsi" w:hAnsiTheme="majorHAnsi"/>
          <w:sz w:val="20"/>
          <w:szCs w:val="20"/>
        </w:rPr>
        <w:t>матеріалів,</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процесів</w:t>
      </w:r>
    </w:p>
    <w:p w14:paraId="619482D8"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bCs/>
          <w:i/>
          <w:iCs/>
          <w:spacing w:val="-1"/>
          <w:sz w:val="20"/>
          <w:szCs w:val="20"/>
        </w:rPr>
        <w:t>ДСТУ</w:t>
      </w:r>
      <w:r w:rsidRPr="000977F7">
        <w:rPr>
          <w:rFonts w:asciiTheme="majorHAnsi" w:hAnsiTheme="majorHAnsi"/>
          <w:b/>
          <w:i/>
          <w:iCs/>
          <w:spacing w:val="-6"/>
          <w:sz w:val="20"/>
          <w:szCs w:val="20"/>
        </w:rPr>
        <w:t xml:space="preserve"> </w:t>
      </w:r>
      <w:r w:rsidRPr="000977F7">
        <w:rPr>
          <w:rFonts w:asciiTheme="majorHAnsi" w:hAnsiTheme="majorHAnsi"/>
          <w:i/>
          <w:iCs/>
          <w:spacing w:val="-1"/>
          <w:sz w:val="20"/>
          <w:szCs w:val="20"/>
        </w:rPr>
        <w:t>ISO/IEC</w:t>
      </w:r>
      <w:r w:rsidRPr="000977F7">
        <w:rPr>
          <w:rFonts w:asciiTheme="majorHAnsi" w:hAnsiTheme="majorHAnsi"/>
          <w:i/>
          <w:iCs/>
          <w:spacing w:val="-10"/>
          <w:sz w:val="20"/>
          <w:szCs w:val="20"/>
        </w:rPr>
        <w:t xml:space="preserve"> </w:t>
      </w:r>
      <w:r w:rsidRPr="000977F7">
        <w:rPr>
          <w:rFonts w:asciiTheme="majorHAnsi" w:hAnsiTheme="majorHAnsi"/>
          <w:i/>
          <w:iCs/>
          <w:spacing w:val="-1"/>
          <w:sz w:val="20"/>
          <w:szCs w:val="20"/>
        </w:rPr>
        <w:t>17000:2007</w:t>
      </w:r>
    </w:p>
    <w:p w14:paraId="196C8B1D"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Технічна операція, яка полягає</w:t>
      </w:r>
      <w:r w:rsidRPr="000977F7">
        <w:rPr>
          <w:rFonts w:asciiTheme="majorHAnsi" w:hAnsiTheme="majorHAnsi"/>
          <w:spacing w:val="1"/>
          <w:sz w:val="20"/>
          <w:szCs w:val="20"/>
        </w:rPr>
        <w:t xml:space="preserve"> </w:t>
      </w:r>
      <w:r w:rsidRPr="000977F7">
        <w:rPr>
          <w:rFonts w:asciiTheme="majorHAnsi" w:hAnsiTheme="majorHAnsi"/>
          <w:sz w:val="20"/>
          <w:szCs w:val="20"/>
        </w:rPr>
        <w:t>у встановленні однієї</w:t>
      </w:r>
      <w:r w:rsidRPr="000977F7">
        <w:rPr>
          <w:rFonts w:asciiTheme="majorHAnsi" w:hAnsiTheme="majorHAnsi"/>
          <w:spacing w:val="1"/>
          <w:sz w:val="20"/>
          <w:szCs w:val="20"/>
        </w:rPr>
        <w:t xml:space="preserve"> </w:t>
      </w:r>
      <w:r w:rsidRPr="000977F7">
        <w:rPr>
          <w:rFonts w:asciiTheme="majorHAnsi" w:hAnsiTheme="majorHAnsi"/>
          <w:sz w:val="20"/>
          <w:szCs w:val="20"/>
        </w:rPr>
        <w:t>чи декількох характеристик даної продукції, процесу</w:t>
      </w:r>
      <w:r w:rsidRPr="000977F7">
        <w:rPr>
          <w:rFonts w:asciiTheme="majorHAnsi" w:hAnsiTheme="majorHAnsi"/>
          <w:spacing w:val="1"/>
          <w:sz w:val="20"/>
          <w:szCs w:val="20"/>
        </w:rPr>
        <w:t xml:space="preserve"> </w:t>
      </w:r>
      <w:r w:rsidRPr="000977F7">
        <w:rPr>
          <w:rFonts w:asciiTheme="majorHAnsi" w:hAnsiTheme="majorHAnsi"/>
          <w:sz w:val="20"/>
          <w:szCs w:val="20"/>
        </w:rPr>
        <w:t>чи послуги у відповідності до встановленої процедури</w:t>
      </w:r>
      <w:r w:rsidRPr="000977F7">
        <w:rPr>
          <w:rFonts w:asciiTheme="majorHAnsi" w:hAnsiTheme="majorHAnsi"/>
          <w:spacing w:val="-47"/>
          <w:sz w:val="20"/>
          <w:szCs w:val="20"/>
        </w:rPr>
        <w:t xml:space="preserve"> </w:t>
      </w:r>
    </w:p>
    <w:p w14:paraId="74218790"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3278</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55A89B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Експериментальне визначення кількісних і (чи) якісних характеристик властивостей об’єкта як наслідок</w:t>
      </w:r>
      <w:r w:rsidRPr="000977F7">
        <w:rPr>
          <w:rFonts w:asciiTheme="majorHAnsi" w:hAnsiTheme="majorHAnsi"/>
          <w:spacing w:val="1"/>
          <w:sz w:val="20"/>
          <w:szCs w:val="20"/>
        </w:rPr>
        <w:t xml:space="preserve"> </w:t>
      </w:r>
      <w:r w:rsidRPr="000977F7">
        <w:rPr>
          <w:rFonts w:asciiTheme="majorHAnsi" w:hAnsiTheme="majorHAnsi"/>
          <w:sz w:val="20"/>
          <w:szCs w:val="20"/>
        </w:rPr>
        <w:t>дії на нього під час його функціонування та</w:t>
      </w:r>
      <w:r w:rsidRPr="000977F7">
        <w:rPr>
          <w:rFonts w:asciiTheme="majorHAnsi" w:hAnsiTheme="majorHAnsi"/>
          <w:spacing w:val="1"/>
          <w:sz w:val="20"/>
          <w:szCs w:val="20"/>
        </w:rPr>
        <w:t xml:space="preserve"> </w:t>
      </w:r>
      <w:r w:rsidRPr="000977F7">
        <w:rPr>
          <w:rFonts w:asciiTheme="majorHAnsi" w:hAnsiTheme="majorHAnsi"/>
          <w:sz w:val="20"/>
          <w:szCs w:val="20"/>
        </w:rPr>
        <w:t>при моделюванні</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дій на нього</w:t>
      </w:r>
    </w:p>
    <w:p w14:paraId="3D61E242"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3021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6F31E154"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ВИПРОБУВАННЯ</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БЕЗ</w:t>
      </w:r>
      <w:r w:rsidRPr="004D2D14">
        <w:rPr>
          <w:rFonts w:asciiTheme="majorHAnsi" w:hAnsiTheme="majorHAnsi"/>
          <w:b/>
          <w:sz w:val="20"/>
          <w:szCs w:val="20"/>
          <w:lang w:val="en-US"/>
        </w:rPr>
        <w:t xml:space="preserve"> </w:t>
      </w:r>
      <w:r w:rsidRPr="000977F7">
        <w:rPr>
          <w:rFonts w:asciiTheme="majorHAnsi" w:hAnsiTheme="majorHAnsi"/>
          <w:b/>
          <w:sz w:val="20"/>
          <w:szCs w:val="20"/>
        </w:rPr>
        <w:t>ВІДНОВЛЕННЯ</w:t>
      </w:r>
      <w:r w:rsidRPr="004D2D14">
        <w:rPr>
          <w:rFonts w:asciiTheme="majorHAnsi" w:hAnsiTheme="majorHAnsi"/>
          <w:b/>
          <w:sz w:val="20"/>
          <w:szCs w:val="20"/>
          <w:lang w:val="en-US"/>
        </w:rPr>
        <w:t xml:space="preserve"> –</w:t>
      </w:r>
    </w:p>
    <w:p w14:paraId="679E4E2C"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TEST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WITHOUT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REPLACEMENT-</w:t>
      </w:r>
    </w:p>
    <w:p w14:paraId="3F29D52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за яких</w:t>
      </w:r>
      <w:r w:rsidRPr="000977F7">
        <w:rPr>
          <w:rFonts w:asciiTheme="majorHAnsi" w:hAnsiTheme="majorHAnsi"/>
          <w:spacing w:val="1"/>
          <w:sz w:val="20"/>
          <w:szCs w:val="20"/>
        </w:rPr>
        <w:t xml:space="preserve"> </w:t>
      </w:r>
      <w:r w:rsidRPr="000977F7">
        <w:rPr>
          <w:rFonts w:asciiTheme="majorHAnsi" w:hAnsiTheme="majorHAnsi"/>
          <w:sz w:val="20"/>
          <w:szCs w:val="20"/>
        </w:rPr>
        <w:t>у випадку виникнення відмови</w:t>
      </w:r>
      <w:r w:rsidRPr="000977F7">
        <w:rPr>
          <w:rFonts w:asciiTheme="majorHAnsi" w:hAnsiTheme="majorHAnsi"/>
          <w:spacing w:val="-3"/>
          <w:sz w:val="20"/>
          <w:szCs w:val="20"/>
        </w:rPr>
        <w:t xml:space="preserve"> </w:t>
      </w:r>
      <w:r w:rsidRPr="000977F7">
        <w:rPr>
          <w:rFonts w:asciiTheme="majorHAnsi" w:hAnsiTheme="majorHAnsi"/>
          <w:sz w:val="20"/>
          <w:szCs w:val="20"/>
        </w:rPr>
        <w:t>працездатність</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відновлюється</w:t>
      </w:r>
    </w:p>
    <w:p w14:paraId="42E3644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88BD91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ВИПРОБУВАННЯ В УМОВАХ ЛІНІЙНОГО </w:t>
      </w:r>
    </w:p>
    <w:p w14:paraId="1813BED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w:t>
      </w:r>
      <w:r w:rsidRPr="000977F7">
        <w:rPr>
          <w:color w:val="auto"/>
          <w:spacing w:val="-47"/>
          <w:sz w:val="20"/>
          <w:szCs w:val="20"/>
        </w:rPr>
        <w:t xml:space="preserve"> </w:t>
      </w:r>
      <w:r w:rsidRPr="000977F7">
        <w:rPr>
          <w:color w:val="auto"/>
          <w:sz w:val="20"/>
          <w:szCs w:val="20"/>
        </w:rPr>
        <w:t>ПРУЖЕНОГО СТАНУ</w:t>
      </w:r>
      <w:r w:rsidRPr="000977F7">
        <w:rPr>
          <w:color w:val="auto"/>
          <w:spacing w:val="2"/>
          <w:sz w:val="20"/>
          <w:szCs w:val="20"/>
        </w:rPr>
        <w:t xml:space="preserve"> </w:t>
      </w:r>
      <w:r w:rsidRPr="000977F7">
        <w:rPr>
          <w:color w:val="auto"/>
          <w:sz w:val="20"/>
          <w:szCs w:val="20"/>
        </w:rPr>
        <w:t>–</w:t>
      </w:r>
    </w:p>
    <w:p w14:paraId="488C16A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UNIAXIAL</w:t>
      </w:r>
      <w:r w:rsidRPr="004D2D14">
        <w:rPr>
          <w:rFonts w:asciiTheme="majorHAnsi" w:hAnsiTheme="majorHAnsi"/>
          <w:spacing w:val="-1"/>
          <w:sz w:val="20"/>
          <w:szCs w:val="20"/>
          <w:lang w:val="uk-UA"/>
        </w:rPr>
        <w:t xml:space="preserve"> </w:t>
      </w:r>
      <w:r w:rsidRPr="000977F7">
        <w:rPr>
          <w:rFonts w:asciiTheme="majorHAnsi" w:hAnsiTheme="majorHAnsi"/>
          <w:sz w:val="20"/>
          <w:szCs w:val="20"/>
        </w:rPr>
        <w:t>STRESS</w:t>
      </w:r>
      <w:r w:rsidRPr="004D2D14">
        <w:rPr>
          <w:rFonts w:asciiTheme="majorHAnsi" w:hAnsiTheme="majorHAnsi"/>
          <w:spacing w:val="-2"/>
          <w:sz w:val="20"/>
          <w:szCs w:val="20"/>
          <w:lang w:val="uk-UA"/>
        </w:rPr>
        <w:t xml:space="preserve"> </w:t>
      </w:r>
      <w:r w:rsidRPr="000977F7">
        <w:rPr>
          <w:rFonts w:asciiTheme="majorHAnsi" w:hAnsiTheme="majorHAnsi"/>
          <w:sz w:val="20"/>
          <w:szCs w:val="20"/>
        </w:rPr>
        <w:t>CONDITION</w:t>
      </w:r>
      <w:r w:rsidRPr="004D2D14">
        <w:rPr>
          <w:rFonts w:asciiTheme="majorHAnsi" w:hAnsiTheme="majorHAnsi"/>
          <w:spacing w:val="-4"/>
          <w:sz w:val="20"/>
          <w:szCs w:val="20"/>
          <w:lang w:val="uk-UA"/>
        </w:rPr>
        <w:t xml:space="preserve"> </w:t>
      </w:r>
      <w:r w:rsidRPr="000977F7">
        <w:rPr>
          <w:rFonts w:asciiTheme="majorHAnsi" w:hAnsiTheme="majorHAnsi"/>
          <w:sz w:val="20"/>
          <w:szCs w:val="20"/>
        </w:rPr>
        <w:t>TEST</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414D6CB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Випробування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навантажуванням,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створює</w:t>
      </w:r>
      <w:r w:rsidRPr="004D2D14">
        <w:rPr>
          <w:rFonts w:asciiTheme="majorHAnsi" w:hAnsiTheme="majorHAnsi"/>
          <w:spacing w:val="5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об’єкті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лінійний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напружений</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стан</w:t>
      </w:r>
    </w:p>
    <w:p w14:paraId="524F975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26DEB0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ВИПРОБУВАННЯ В УМОВАХ ОБ’ЄМНОГО</w:t>
      </w:r>
      <w:r w:rsidRPr="000977F7">
        <w:rPr>
          <w:color w:val="auto"/>
          <w:spacing w:val="-48"/>
          <w:sz w:val="20"/>
          <w:szCs w:val="20"/>
        </w:rPr>
        <w:t xml:space="preserve"> </w:t>
      </w:r>
      <w:r w:rsidRPr="000977F7">
        <w:rPr>
          <w:color w:val="auto"/>
          <w:sz w:val="20"/>
          <w:szCs w:val="20"/>
        </w:rPr>
        <w:t>НАПРУЖЕНОГО СТАНУ</w:t>
      </w:r>
      <w:r w:rsidRPr="000977F7">
        <w:rPr>
          <w:color w:val="auto"/>
          <w:spacing w:val="5"/>
          <w:sz w:val="20"/>
          <w:szCs w:val="20"/>
        </w:rPr>
        <w:t xml:space="preserve"> </w:t>
      </w:r>
      <w:r w:rsidRPr="000977F7">
        <w:rPr>
          <w:color w:val="auto"/>
          <w:sz w:val="20"/>
          <w:szCs w:val="20"/>
        </w:rPr>
        <w:t>–</w:t>
      </w:r>
    </w:p>
    <w:p w14:paraId="5DDE402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THREE DIMENSIONAL STRESS CONDITION</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324F5B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навантажуванням,</w:t>
      </w:r>
      <w:r w:rsidRPr="000977F7">
        <w:rPr>
          <w:rFonts w:asciiTheme="majorHAnsi" w:hAnsiTheme="majorHAnsi"/>
          <w:spacing w:val="1"/>
          <w:sz w:val="20"/>
          <w:szCs w:val="20"/>
        </w:rPr>
        <w:t xml:space="preserve"> </w:t>
      </w:r>
      <w:r w:rsidRPr="000977F7">
        <w:rPr>
          <w:rFonts w:asciiTheme="majorHAnsi" w:hAnsiTheme="majorHAnsi"/>
          <w:sz w:val="20"/>
          <w:szCs w:val="20"/>
        </w:rPr>
        <w:t>яке</w:t>
      </w:r>
      <w:r w:rsidRPr="000977F7">
        <w:rPr>
          <w:rFonts w:asciiTheme="majorHAnsi" w:hAnsiTheme="majorHAnsi"/>
          <w:spacing w:val="1"/>
          <w:sz w:val="20"/>
          <w:szCs w:val="20"/>
        </w:rPr>
        <w:t xml:space="preserve"> </w:t>
      </w:r>
      <w:r w:rsidRPr="000977F7">
        <w:rPr>
          <w:rFonts w:asciiTheme="majorHAnsi" w:hAnsiTheme="majorHAnsi"/>
          <w:sz w:val="20"/>
          <w:szCs w:val="20"/>
        </w:rPr>
        <w:t>створює</w:t>
      </w:r>
      <w:r w:rsidRPr="000977F7">
        <w:rPr>
          <w:rFonts w:asciiTheme="majorHAnsi" w:hAnsiTheme="majorHAnsi"/>
          <w:spacing w:val="5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об’єкті</w:t>
      </w:r>
      <w:r w:rsidRPr="000977F7">
        <w:rPr>
          <w:rFonts w:asciiTheme="majorHAnsi" w:hAnsiTheme="majorHAnsi"/>
          <w:spacing w:val="-2"/>
          <w:sz w:val="20"/>
          <w:szCs w:val="20"/>
        </w:rPr>
        <w:t xml:space="preserve"> </w:t>
      </w:r>
      <w:r w:rsidRPr="000977F7">
        <w:rPr>
          <w:rFonts w:asciiTheme="majorHAnsi" w:hAnsiTheme="majorHAnsi"/>
          <w:sz w:val="20"/>
          <w:szCs w:val="20"/>
        </w:rPr>
        <w:t>об’ємний</w:t>
      </w:r>
      <w:r w:rsidRPr="000977F7">
        <w:rPr>
          <w:rFonts w:asciiTheme="majorHAnsi" w:hAnsiTheme="majorHAnsi"/>
          <w:spacing w:val="-1"/>
          <w:sz w:val="20"/>
          <w:szCs w:val="20"/>
        </w:rPr>
        <w:t xml:space="preserve"> </w:t>
      </w:r>
      <w:r w:rsidRPr="000977F7">
        <w:rPr>
          <w:rFonts w:asciiTheme="majorHAnsi" w:hAnsiTheme="majorHAnsi"/>
          <w:sz w:val="20"/>
          <w:szCs w:val="20"/>
        </w:rPr>
        <w:t>напружений</w:t>
      </w:r>
      <w:r w:rsidRPr="000977F7">
        <w:rPr>
          <w:rFonts w:asciiTheme="majorHAnsi" w:hAnsiTheme="majorHAnsi"/>
          <w:spacing w:val="-1"/>
          <w:sz w:val="20"/>
          <w:szCs w:val="20"/>
        </w:rPr>
        <w:t xml:space="preserve"> </w:t>
      </w:r>
      <w:r w:rsidRPr="000977F7">
        <w:rPr>
          <w:rFonts w:asciiTheme="majorHAnsi" w:hAnsiTheme="majorHAnsi"/>
          <w:sz w:val="20"/>
          <w:szCs w:val="20"/>
        </w:rPr>
        <w:t>стан</w:t>
      </w:r>
    </w:p>
    <w:p w14:paraId="296F6C7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2A1385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ВИПРОБУВАННЯ В УМОВАХ ПЛОСКОГО </w:t>
      </w:r>
    </w:p>
    <w:p w14:paraId="6DFA7DE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w:t>
      </w:r>
      <w:r w:rsidRPr="000977F7">
        <w:rPr>
          <w:color w:val="auto"/>
          <w:spacing w:val="-47"/>
          <w:sz w:val="20"/>
          <w:szCs w:val="20"/>
        </w:rPr>
        <w:t xml:space="preserve"> </w:t>
      </w:r>
      <w:r w:rsidRPr="000977F7">
        <w:rPr>
          <w:color w:val="auto"/>
          <w:sz w:val="20"/>
          <w:szCs w:val="20"/>
        </w:rPr>
        <w:t>ПРУЖЕНОГО СТАНУ</w:t>
      </w:r>
      <w:r w:rsidRPr="000977F7">
        <w:rPr>
          <w:color w:val="auto"/>
          <w:spacing w:val="2"/>
          <w:sz w:val="20"/>
          <w:szCs w:val="20"/>
        </w:rPr>
        <w:t xml:space="preserve"> </w:t>
      </w:r>
      <w:r w:rsidRPr="000977F7">
        <w:rPr>
          <w:color w:val="auto"/>
          <w:sz w:val="20"/>
          <w:szCs w:val="20"/>
        </w:rPr>
        <w:t>–</w:t>
      </w:r>
    </w:p>
    <w:p w14:paraId="3DBBDD4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BIAXIAL</w:t>
      </w:r>
      <w:r w:rsidRPr="004D2D14">
        <w:rPr>
          <w:rFonts w:asciiTheme="majorHAnsi" w:hAnsiTheme="majorHAnsi"/>
          <w:spacing w:val="-4"/>
          <w:sz w:val="20"/>
          <w:szCs w:val="20"/>
          <w:lang w:val="uk-UA"/>
        </w:rPr>
        <w:t xml:space="preserve"> </w:t>
      </w:r>
      <w:r w:rsidRPr="000977F7">
        <w:rPr>
          <w:rFonts w:asciiTheme="majorHAnsi" w:hAnsiTheme="majorHAnsi"/>
          <w:sz w:val="20"/>
          <w:szCs w:val="20"/>
        </w:rPr>
        <w:t>STRESS</w:t>
      </w:r>
      <w:r w:rsidRPr="004D2D14">
        <w:rPr>
          <w:rFonts w:asciiTheme="majorHAnsi" w:hAnsiTheme="majorHAnsi"/>
          <w:spacing w:val="-2"/>
          <w:sz w:val="20"/>
          <w:szCs w:val="20"/>
          <w:lang w:val="uk-UA"/>
        </w:rPr>
        <w:t xml:space="preserve"> </w:t>
      </w:r>
      <w:r w:rsidRPr="000977F7">
        <w:rPr>
          <w:rFonts w:asciiTheme="majorHAnsi" w:hAnsiTheme="majorHAnsi"/>
          <w:sz w:val="20"/>
          <w:szCs w:val="20"/>
        </w:rPr>
        <w:t>CONDITION</w:t>
      </w:r>
      <w:r w:rsidRPr="004D2D14">
        <w:rPr>
          <w:rFonts w:asciiTheme="majorHAnsi" w:hAnsiTheme="majorHAnsi"/>
          <w:spacing w:val="-2"/>
          <w:sz w:val="20"/>
          <w:szCs w:val="20"/>
          <w:lang w:val="uk-UA"/>
        </w:rPr>
        <w:t xml:space="preserve"> </w:t>
      </w:r>
      <w:r w:rsidRPr="000977F7">
        <w:rPr>
          <w:rFonts w:asciiTheme="majorHAnsi" w:hAnsiTheme="majorHAnsi"/>
          <w:sz w:val="20"/>
          <w:szCs w:val="20"/>
        </w:rPr>
        <w:t>TEST</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w:t>
      </w:r>
    </w:p>
    <w:p w14:paraId="6B24E40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Випробування навантаженням, яке створює в об’єкті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плоский</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напружений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стан</w:t>
      </w:r>
    </w:p>
    <w:p w14:paraId="014BD3D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2824</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550A415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1"/>
          <w:sz w:val="20"/>
          <w:szCs w:val="20"/>
        </w:rPr>
        <w:lastRenderedPageBreak/>
        <w:t xml:space="preserve">ВИПРОБУВАННЯ </w:t>
      </w:r>
      <w:r w:rsidRPr="000977F7">
        <w:rPr>
          <w:color w:val="auto"/>
          <w:sz w:val="20"/>
          <w:szCs w:val="20"/>
        </w:rPr>
        <w:t>ВИКОРИСТАННЯМ</w:t>
      </w:r>
      <w:r w:rsidRPr="000977F7">
        <w:rPr>
          <w:color w:val="auto"/>
          <w:spacing w:val="-47"/>
          <w:sz w:val="20"/>
          <w:szCs w:val="20"/>
        </w:rPr>
        <w:t xml:space="preserve"> </w:t>
      </w:r>
      <w:r w:rsidRPr="000977F7">
        <w:rPr>
          <w:color w:val="auto"/>
          <w:sz w:val="20"/>
          <w:szCs w:val="20"/>
        </w:rPr>
        <w:t>МОДЕЛЕЙ –</w:t>
      </w:r>
    </w:p>
    <w:p w14:paraId="057A3BF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TEST</w:t>
      </w:r>
      <w:r w:rsidRPr="004D2D14">
        <w:rPr>
          <w:rFonts w:asciiTheme="majorHAnsi" w:hAnsiTheme="majorHAnsi"/>
          <w:sz w:val="20"/>
          <w:szCs w:val="20"/>
          <w:lang w:val="uk-UA"/>
        </w:rPr>
        <w:t xml:space="preserve"> </w:t>
      </w:r>
      <w:r w:rsidRPr="000977F7">
        <w:rPr>
          <w:rFonts w:asciiTheme="majorHAnsi" w:hAnsiTheme="majorHAnsi"/>
          <w:sz w:val="20"/>
          <w:szCs w:val="20"/>
        </w:rPr>
        <w:t>WITH</w:t>
      </w:r>
      <w:r w:rsidRPr="004D2D14">
        <w:rPr>
          <w:rFonts w:asciiTheme="majorHAnsi" w:hAnsiTheme="majorHAnsi"/>
          <w:spacing w:val="-3"/>
          <w:sz w:val="20"/>
          <w:szCs w:val="20"/>
          <w:lang w:val="uk-UA"/>
        </w:rPr>
        <w:t xml:space="preserve"> </w:t>
      </w:r>
      <w:r w:rsidRPr="000977F7">
        <w:rPr>
          <w:rFonts w:asciiTheme="majorHAnsi" w:hAnsiTheme="majorHAnsi"/>
          <w:sz w:val="20"/>
          <w:szCs w:val="20"/>
        </w:rPr>
        <w:t>MODELING</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3D5C4ED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3021</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95</w:t>
      </w:r>
    </w:p>
    <w:p w14:paraId="1949B0E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ВИПРОБУВАННЯ</w:t>
      </w:r>
      <w:r w:rsidRPr="000977F7">
        <w:rPr>
          <w:color w:val="auto"/>
          <w:spacing w:val="41"/>
          <w:sz w:val="20"/>
          <w:szCs w:val="20"/>
        </w:rPr>
        <w:t xml:space="preserve"> </w:t>
      </w:r>
      <w:r w:rsidRPr="000977F7">
        <w:rPr>
          <w:color w:val="auto"/>
          <w:sz w:val="20"/>
          <w:szCs w:val="20"/>
        </w:rPr>
        <w:t>ДОСЛІДНОГО</w:t>
      </w:r>
      <w:r w:rsidRPr="000977F7">
        <w:rPr>
          <w:color w:val="auto"/>
          <w:spacing w:val="-4"/>
          <w:sz w:val="20"/>
          <w:szCs w:val="20"/>
        </w:rPr>
        <w:t xml:space="preserve"> </w:t>
      </w:r>
      <w:r w:rsidRPr="000977F7">
        <w:rPr>
          <w:color w:val="auto"/>
          <w:sz w:val="20"/>
          <w:szCs w:val="20"/>
        </w:rPr>
        <w:t>ЗРАЗКА –</w:t>
      </w:r>
    </w:p>
    <w:p w14:paraId="3B1542A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TYPE</w:t>
      </w:r>
      <w:r w:rsidRPr="004D2D14">
        <w:rPr>
          <w:rFonts w:asciiTheme="majorHAnsi" w:hAnsiTheme="majorHAnsi"/>
          <w:spacing w:val="-3"/>
          <w:sz w:val="20"/>
          <w:szCs w:val="20"/>
          <w:lang w:val="uk-UA"/>
        </w:rPr>
        <w:t xml:space="preserve"> </w:t>
      </w:r>
      <w:r w:rsidRPr="000977F7">
        <w:rPr>
          <w:rFonts w:asciiTheme="majorHAnsi" w:hAnsiTheme="majorHAnsi"/>
          <w:sz w:val="20"/>
          <w:szCs w:val="20"/>
        </w:rPr>
        <w:t>TEST</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39A9B56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чи серія випробувань, спрямованих на</w:t>
      </w:r>
      <w:r w:rsidRPr="000977F7">
        <w:rPr>
          <w:rFonts w:asciiTheme="majorHAnsi" w:hAnsiTheme="majorHAnsi"/>
          <w:spacing w:val="1"/>
          <w:sz w:val="20"/>
          <w:szCs w:val="20"/>
        </w:rPr>
        <w:t xml:space="preserve"> </w:t>
      </w:r>
      <w:r w:rsidRPr="000977F7">
        <w:rPr>
          <w:rFonts w:asciiTheme="majorHAnsi" w:hAnsiTheme="majorHAnsi"/>
          <w:sz w:val="20"/>
          <w:szCs w:val="20"/>
        </w:rPr>
        <w:t>підтвердження проекту, які проводяться з метою визначення відповідності виробу (об’єкта), виготовленого за даним проектом, вимогам, які містяться в документації на виготовлення даної продукції (вимогам до</w:t>
      </w:r>
      <w:r w:rsidRPr="000977F7">
        <w:rPr>
          <w:rFonts w:asciiTheme="majorHAnsi" w:hAnsiTheme="majorHAnsi"/>
          <w:spacing w:val="-47"/>
          <w:sz w:val="20"/>
          <w:szCs w:val="20"/>
        </w:rPr>
        <w:t xml:space="preserve"> </w:t>
      </w:r>
      <w:r w:rsidRPr="000977F7">
        <w:rPr>
          <w:rFonts w:asciiTheme="majorHAnsi" w:hAnsiTheme="majorHAnsi"/>
          <w:sz w:val="20"/>
          <w:szCs w:val="20"/>
        </w:rPr>
        <w:t>технології)</w:t>
      </w:r>
    </w:p>
    <w:p w14:paraId="3EA078D2"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8"/>
          <w:sz w:val="20"/>
          <w:szCs w:val="20"/>
        </w:rPr>
        <w:t xml:space="preserve"> </w:t>
      </w:r>
      <w:r w:rsidRPr="000977F7">
        <w:rPr>
          <w:rFonts w:asciiTheme="majorHAnsi" w:hAnsiTheme="majorHAnsi"/>
          <w:i/>
          <w:sz w:val="20"/>
          <w:szCs w:val="20"/>
        </w:rPr>
        <w:t>3021</w:t>
      </w:r>
      <w:r w:rsidRPr="000977F7">
        <w:rPr>
          <w:rFonts w:asciiTheme="majorHAnsi" w:hAnsiTheme="majorHAnsi"/>
          <w:i/>
          <w:spacing w:val="11"/>
          <w:sz w:val="20"/>
          <w:szCs w:val="20"/>
        </w:rPr>
        <w:t xml:space="preserve"> </w:t>
      </w:r>
      <w:r w:rsidRPr="000977F7">
        <w:rPr>
          <w:rFonts w:asciiTheme="majorHAnsi" w:hAnsiTheme="majorHAnsi"/>
          <w:i/>
          <w:sz w:val="20"/>
          <w:szCs w:val="20"/>
        </w:rPr>
        <w:t>–</w:t>
      </w:r>
      <w:r w:rsidRPr="000977F7">
        <w:rPr>
          <w:rFonts w:asciiTheme="majorHAnsi" w:hAnsiTheme="majorHAnsi"/>
          <w:i/>
          <w:spacing w:val="9"/>
          <w:sz w:val="20"/>
          <w:szCs w:val="20"/>
        </w:rPr>
        <w:t xml:space="preserve"> </w:t>
      </w:r>
      <w:r w:rsidRPr="000977F7">
        <w:rPr>
          <w:rFonts w:asciiTheme="majorHAnsi" w:hAnsiTheme="majorHAnsi"/>
          <w:i/>
          <w:sz w:val="20"/>
          <w:szCs w:val="20"/>
        </w:rPr>
        <w:t>95</w:t>
      </w:r>
    </w:p>
    <w:p w14:paraId="2D47F2AC"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6"/>
          <w:sz w:val="20"/>
          <w:szCs w:val="20"/>
        </w:rPr>
      </w:pPr>
      <w:r w:rsidRPr="000977F7">
        <w:rPr>
          <w:rFonts w:asciiTheme="majorHAnsi" w:hAnsiTheme="majorHAnsi"/>
          <w:b/>
          <w:spacing w:val="-6"/>
          <w:sz w:val="20"/>
          <w:szCs w:val="20"/>
        </w:rPr>
        <w:t>ВИПРОБУВАННЯ ЗА ВИСОКИХ ТЕМПЕРАТУР –</w:t>
      </w:r>
    </w:p>
    <w:p w14:paraId="3C3576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HIGH</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TEMPERATURE</w:t>
      </w:r>
      <w:r w:rsidRPr="000977F7">
        <w:rPr>
          <w:rFonts w:asciiTheme="majorHAnsi" w:hAnsiTheme="majorHAnsi"/>
          <w:spacing w:val="-2"/>
          <w:sz w:val="20"/>
          <w:szCs w:val="20"/>
        </w:rPr>
        <w:t xml:space="preserve"> </w:t>
      </w:r>
      <w:r w:rsidRPr="000977F7">
        <w:rPr>
          <w:rFonts w:asciiTheme="majorHAnsi" w:hAnsiTheme="majorHAnsi"/>
          <w:sz w:val="20"/>
          <w:szCs w:val="20"/>
        </w:rPr>
        <w:t>TEST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6A1FE55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4"/>
          <w:sz w:val="20"/>
          <w:szCs w:val="20"/>
        </w:rPr>
        <w:t xml:space="preserve"> </w:t>
      </w:r>
      <w:r w:rsidRPr="000977F7">
        <w:rPr>
          <w:rFonts w:asciiTheme="majorHAnsi" w:hAnsiTheme="majorHAnsi"/>
          <w:sz w:val="20"/>
          <w:szCs w:val="20"/>
        </w:rPr>
        <w:t>за</w:t>
      </w:r>
      <w:r w:rsidRPr="000977F7">
        <w:rPr>
          <w:rFonts w:asciiTheme="majorHAnsi" w:hAnsiTheme="majorHAnsi"/>
          <w:spacing w:val="-3"/>
          <w:sz w:val="20"/>
          <w:szCs w:val="20"/>
        </w:rPr>
        <w:t xml:space="preserve"> </w:t>
      </w:r>
      <w:r w:rsidRPr="000977F7">
        <w:rPr>
          <w:rFonts w:asciiTheme="majorHAnsi" w:hAnsiTheme="majorHAnsi"/>
          <w:sz w:val="20"/>
          <w:szCs w:val="20"/>
        </w:rPr>
        <w:t>температур</w:t>
      </w:r>
      <w:r w:rsidRPr="000977F7">
        <w:rPr>
          <w:rFonts w:asciiTheme="majorHAnsi" w:hAnsiTheme="majorHAnsi"/>
          <w:spacing w:val="-1"/>
          <w:sz w:val="20"/>
          <w:szCs w:val="20"/>
        </w:rPr>
        <w:t xml:space="preserve"> </w:t>
      </w:r>
      <w:r w:rsidRPr="000977F7">
        <w:rPr>
          <w:rFonts w:asciiTheme="majorHAnsi" w:hAnsiTheme="majorHAnsi"/>
          <w:sz w:val="20"/>
          <w:szCs w:val="20"/>
        </w:rPr>
        <w:t>понад</w:t>
      </w:r>
      <w:r w:rsidRPr="000977F7">
        <w:rPr>
          <w:rFonts w:asciiTheme="majorHAnsi" w:hAnsiTheme="majorHAnsi"/>
          <w:spacing w:val="-4"/>
          <w:sz w:val="20"/>
          <w:szCs w:val="20"/>
        </w:rPr>
        <w:t xml:space="preserve"> </w:t>
      </w:r>
      <w:r w:rsidRPr="000977F7">
        <w:rPr>
          <w:rFonts w:asciiTheme="majorHAnsi" w:hAnsiTheme="majorHAnsi"/>
          <w:sz w:val="20"/>
          <w:szCs w:val="20"/>
        </w:rPr>
        <w:t>1273</w:t>
      </w:r>
      <w:r w:rsidRPr="000977F7">
        <w:rPr>
          <w:rFonts w:asciiTheme="majorHAnsi" w:hAnsiTheme="majorHAnsi"/>
          <w:spacing w:val="-2"/>
          <w:sz w:val="20"/>
          <w:szCs w:val="20"/>
        </w:rPr>
        <w:t xml:space="preserve"> </w:t>
      </w:r>
      <w:r w:rsidRPr="000977F7">
        <w:rPr>
          <w:rFonts w:asciiTheme="majorHAnsi" w:hAnsiTheme="majorHAnsi"/>
          <w:sz w:val="20"/>
          <w:szCs w:val="20"/>
        </w:rPr>
        <w:t>К</w:t>
      </w:r>
    </w:p>
    <w:p w14:paraId="64AD4D5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2824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677DA2B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ВИПРОБУВАННЯ</w:t>
      </w:r>
      <w:r w:rsidRPr="000977F7">
        <w:rPr>
          <w:color w:val="auto"/>
          <w:spacing w:val="40"/>
          <w:sz w:val="20"/>
          <w:szCs w:val="20"/>
        </w:rPr>
        <w:t xml:space="preserve"> </w:t>
      </w:r>
      <w:r w:rsidRPr="000977F7">
        <w:rPr>
          <w:color w:val="auto"/>
          <w:sz w:val="20"/>
          <w:szCs w:val="20"/>
        </w:rPr>
        <w:t>З</w:t>
      </w:r>
      <w:r w:rsidRPr="000977F7">
        <w:rPr>
          <w:color w:val="auto"/>
          <w:spacing w:val="-3"/>
          <w:sz w:val="20"/>
          <w:szCs w:val="20"/>
        </w:rPr>
        <w:t xml:space="preserve"> </w:t>
      </w:r>
      <w:r w:rsidRPr="000977F7">
        <w:rPr>
          <w:color w:val="auto"/>
          <w:sz w:val="20"/>
          <w:szCs w:val="20"/>
        </w:rPr>
        <w:t>ВІДНОВЛЕННЯМ</w:t>
      </w:r>
      <w:r w:rsidRPr="000977F7">
        <w:rPr>
          <w:color w:val="auto"/>
          <w:spacing w:val="4"/>
          <w:sz w:val="20"/>
          <w:szCs w:val="20"/>
        </w:rPr>
        <w:t xml:space="preserve"> </w:t>
      </w:r>
      <w:r w:rsidRPr="000977F7">
        <w:rPr>
          <w:color w:val="auto"/>
          <w:sz w:val="20"/>
          <w:szCs w:val="20"/>
        </w:rPr>
        <w:t>–</w:t>
      </w:r>
    </w:p>
    <w:p w14:paraId="59D7BCE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TEST WITH</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REPLACEMENT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447647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за яких</w:t>
      </w:r>
      <w:r w:rsidRPr="000977F7">
        <w:rPr>
          <w:rFonts w:asciiTheme="majorHAnsi" w:hAnsiTheme="majorHAnsi"/>
          <w:spacing w:val="1"/>
          <w:sz w:val="20"/>
          <w:szCs w:val="20"/>
        </w:rPr>
        <w:t xml:space="preserve"> </w:t>
      </w:r>
      <w:r w:rsidRPr="000977F7">
        <w:rPr>
          <w:rFonts w:asciiTheme="majorHAnsi" w:hAnsiTheme="majorHAnsi"/>
          <w:sz w:val="20"/>
          <w:szCs w:val="20"/>
        </w:rPr>
        <w:t>у випадку виникнення відмови</w:t>
      </w:r>
      <w:r w:rsidRPr="000977F7">
        <w:rPr>
          <w:rFonts w:asciiTheme="majorHAnsi" w:hAnsiTheme="majorHAnsi"/>
          <w:spacing w:val="-3"/>
          <w:sz w:val="20"/>
          <w:szCs w:val="20"/>
        </w:rPr>
        <w:t xml:space="preserve"> </w:t>
      </w:r>
      <w:r w:rsidRPr="000977F7">
        <w:rPr>
          <w:rFonts w:asciiTheme="majorHAnsi" w:hAnsiTheme="majorHAnsi"/>
          <w:sz w:val="20"/>
          <w:szCs w:val="20"/>
        </w:rPr>
        <w:t>працездатність</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49"/>
          <w:sz w:val="20"/>
          <w:szCs w:val="20"/>
        </w:rPr>
        <w:t xml:space="preserve"> </w:t>
      </w:r>
      <w:r w:rsidRPr="000977F7">
        <w:rPr>
          <w:rFonts w:asciiTheme="majorHAnsi" w:hAnsiTheme="majorHAnsi"/>
          <w:sz w:val="20"/>
          <w:szCs w:val="20"/>
        </w:rPr>
        <w:t>відновлюється</w:t>
      </w:r>
    </w:p>
    <w:p w14:paraId="0891925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3A8302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ВИПРОБУВАННЯ</w:t>
      </w:r>
      <w:r w:rsidRPr="000977F7">
        <w:rPr>
          <w:color w:val="auto"/>
          <w:spacing w:val="-8"/>
          <w:sz w:val="20"/>
          <w:szCs w:val="20"/>
        </w:rPr>
        <w:t xml:space="preserve"> </w:t>
      </w:r>
      <w:r w:rsidRPr="000977F7">
        <w:rPr>
          <w:color w:val="auto"/>
          <w:sz w:val="20"/>
          <w:szCs w:val="20"/>
        </w:rPr>
        <w:t>ЗА</w:t>
      </w:r>
      <w:r w:rsidRPr="000977F7">
        <w:rPr>
          <w:color w:val="auto"/>
          <w:spacing w:val="-8"/>
          <w:sz w:val="20"/>
          <w:szCs w:val="20"/>
        </w:rPr>
        <w:t xml:space="preserve"> </w:t>
      </w:r>
      <w:r w:rsidRPr="000977F7">
        <w:rPr>
          <w:color w:val="auto"/>
          <w:sz w:val="20"/>
          <w:szCs w:val="20"/>
        </w:rPr>
        <w:t>ЗНИЖЕНИХ</w:t>
      </w:r>
      <w:r w:rsidRPr="000977F7">
        <w:rPr>
          <w:color w:val="auto"/>
          <w:spacing w:val="-47"/>
          <w:sz w:val="20"/>
          <w:szCs w:val="20"/>
        </w:rPr>
        <w:t xml:space="preserve"> </w:t>
      </w:r>
      <w:r w:rsidRPr="000977F7">
        <w:rPr>
          <w:color w:val="auto"/>
          <w:sz w:val="20"/>
          <w:szCs w:val="20"/>
        </w:rPr>
        <w:t>ТЕМПЕРАТУР –</w:t>
      </w:r>
    </w:p>
    <w:p w14:paraId="764B4C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LOW</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TEMPERATURE</w:t>
      </w:r>
      <w:r w:rsidRPr="000977F7">
        <w:rPr>
          <w:rFonts w:asciiTheme="majorHAnsi" w:hAnsiTheme="majorHAnsi"/>
          <w:spacing w:val="-2"/>
          <w:sz w:val="20"/>
          <w:szCs w:val="20"/>
        </w:rPr>
        <w:t xml:space="preserve"> </w:t>
      </w:r>
      <w:r w:rsidRPr="000977F7">
        <w:rPr>
          <w:rFonts w:asciiTheme="majorHAnsi" w:hAnsiTheme="majorHAnsi"/>
          <w:sz w:val="20"/>
          <w:szCs w:val="20"/>
        </w:rPr>
        <w:t>TEST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41D548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19"/>
          <w:sz w:val="20"/>
          <w:szCs w:val="20"/>
        </w:rPr>
        <w:t xml:space="preserve"> </w:t>
      </w:r>
      <w:r w:rsidRPr="000977F7">
        <w:rPr>
          <w:rFonts w:asciiTheme="majorHAnsi" w:hAnsiTheme="majorHAnsi"/>
          <w:sz w:val="20"/>
          <w:szCs w:val="20"/>
        </w:rPr>
        <w:t>за</w:t>
      </w:r>
      <w:r w:rsidRPr="000977F7">
        <w:rPr>
          <w:rFonts w:asciiTheme="majorHAnsi" w:hAnsiTheme="majorHAnsi"/>
          <w:spacing w:val="24"/>
          <w:sz w:val="20"/>
          <w:szCs w:val="20"/>
        </w:rPr>
        <w:t xml:space="preserve"> </w:t>
      </w:r>
      <w:r w:rsidRPr="000977F7">
        <w:rPr>
          <w:rFonts w:asciiTheme="majorHAnsi" w:hAnsiTheme="majorHAnsi"/>
          <w:sz w:val="20"/>
          <w:szCs w:val="20"/>
        </w:rPr>
        <w:t>температур</w:t>
      </w:r>
      <w:r w:rsidRPr="000977F7">
        <w:rPr>
          <w:rFonts w:asciiTheme="majorHAnsi" w:hAnsiTheme="majorHAnsi"/>
          <w:spacing w:val="25"/>
          <w:sz w:val="20"/>
          <w:szCs w:val="20"/>
        </w:rPr>
        <w:t xml:space="preserve"> </w:t>
      </w:r>
      <w:r w:rsidRPr="000977F7">
        <w:rPr>
          <w:rFonts w:asciiTheme="majorHAnsi" w:hAnsiTheme="majorHAnsi"/>
          <w:sz w:val="20"/>
          <w:szCs w:val="20"/>
        </w:rPr>
        <w:t>понад</w:t>
      </w:r>
      <w:r w:rsidRPr="000977F7">
        <w:rPr>
          <w:rFonts w:asciiTheme="majorHAnsi" w:hAnsiTheme="majorHAnsi"/>
          <w:spacing w:val="20"/>
          <w:sz w:val="20"/>
          <w:szCs w:val="20"/>
        </w:rPr>
        <w:t xml:space="preserve"> </w:t>
      </w:r>
      <w:r w:rsidRPr="000977F7">
        <w:rPr>
          <w:rFonts w:asciiTheme="majorHAnsi" w:hAnsiTheme="majorHAnsi"/>
          <w:sz w:val="20"/>
          <w:szCs w:val="20"/>
        </w:rPr>
        <w:t>120</w:t>
      </w:r>
      <w:r w:rsidRPr="000977F7">
        <w:rPr>
          <w:rFonts w:asciiTheme="majorHAnsi" w:hAnsiTheme="majorHAnsi"/>
          <w:spacing w:val="21"/>
          <w:sz w:val="20"/>
          <w:szCs w:val="20"/>
        </w:rPr>
        <w:t xml:space="preserve"> </w:t>
      </w:r>
      <w:r w:rsidRPr="000977F7">
        <w:rPr>
          <w:rFonts w:asciiTheme="majorHAnsi" w:hAnsiTheme="majorHAnsi"/>
          <w:sz w:val="20"/>
          <w:szCs w:val="20"/>
        </w:rPr>
        <w:t>К</w:t>
      </w:r>
      <w:r w:rsidRPr="000977F7">
        <w:rPr>
          <w:rFonts w:asciiTheme="majorHAnsi" w:hAnsiTheme="majorHAnsi"/>
          <w:spacing w:val="22"/>
          <w:sz w:val="20"/>
          <w:szCs w:val="20"/>
        </w:rPr>
        <w:t xml:space="preserve"> </w:t>
      </w:r>
      <w:r w:rsidRPr="000977F7">
        <w:rPr>
          <w:rFonts w:asciiTheme="majorHAnsi" w:hAnsiTheme="majorHAnsi"/>
          <w:sz w:val="20"/>
          <w:szCs w:val="20"/>
        </w:rPr>
        <w:t>та</w:t>
      </w:r>
      <w:r w:rsidRPr="000977F7">
        <w:rPr>
          <w:rFonts w:asciiTheme="majorHAnsi" w:hAnsiTheme="majorHAnsi"/>
          <w:spacing w:val="23"/>
          <w:sz w:val="20"/>
          <w:szCs w:val="20"/>
        </w:rPr>
        <w:t xml:space="preserve"> </w:t>
      </w:r>
      <w:r w:rsidRPr="000977F7">
        <w:rPr>
          <w:rFonts w:asciiTheme="majorHAnsi" w:hAnsiTheme="majorHAnsi"/>
          <w:sz w:val="20"/>
          <w:szCs w:val="20"/>
        </w:rPr>
        <w:t xml:space="preserve">нижчих </w:t>
      </w:r>
      <w:r w:rsidRPr="000977F7">
        <w:rPr>
          <w:rFonts w:asciiTheme="majorHAnsi" w:hAnsiTheme="majorHAnsi"/>
          <w:spacing w:val="-47"/>
          <w:sz w:val="20"/>
          <w:szCs w:val="20"/>
        </w:rPr>
        <w:t xml:space="preserve"> </w:t>
      </w:r>
      <w:r w:rsidRPr="000977F7">
        <w:rPr>
          <w:rFonts w:asciiTheme="majorHAnsi" w:hAnsiTheme="majorHAnsi"/>
          <w:sz w:val="20"/>
          <w:szCs w:val="20"/>
        </w:rPr>
        <w:t>від</w:t>
      </w:r>
      <w:r w:rsidRPr="000977F7">
        <w:rPr>
          <w:rFonts w:asciiTheme="majorHAnsi" w:hAnsiTheme="majorHAnsi"/>
          <w:spacing w:val="-2"/>
          <w:sz w:val="20"/>
          <w:szCs w:val="20"/>
        </w:rPr>
        <w:t xml:space="preserve"> </w:t>
      </w:r>
      <w:r w:rsidRPr="000977F7">
        <w:rPr>
          <w:rFonts w:asciiTheme="majorHAnsi" w:hAnsiTheme="majorHAnsi"/>
          <w:sz w:val="20"/>
          <w:szCs w:val="20"/>
        </w:rPr>
        <w:t>283</w:t>
      </w:r>
      <w:r w:rsidRPr="000977F7">
        <w:rPr>
          <w:rFonts w:asciiTheme="majorHAnsi" w:hAnsiTheme="majorHAnsi"/>
          <w:spacing w:val="1"/>
          <w:sz w:val="20"/>
          <w:szCs w:val="20"/>
        </w:rPr>
        <w:t xml:space="preserve"> </w:t>
      </w:r>
      <w:r w:rsidRPr="000977F7">
        <w:rPr>
          <w:rFonts w:asciiTheme="majorHAnsi" w:hAnsiTheme="majorHAnsi"/>
          <w:sz w:val="20"/>
          <w:szCs w:val="20"/>
        </w:rPr>
        <w:t>К</w:t>
      </w:r>
    </w:p>
    <w:p w14:paraId="2E3AC35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2824-94</w:t>
      </w:r>
    </w:p>
    <w:p w14:paraId="1F65A50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ВИПРОБУВАННЯ</w:t>
      </w:r>
      <w:r w:rsidRPr="000977F7">
        <w:rPr>
          <w:color w:val="auto"/>
          <w:spacing w:val="-8"/>
          <w:sz w:val="20"/>
          <w:szCs w:val="20"/>
        </w:rPr>
        <w:t xml:space="preserve"> </w:t>
      </w:r>
      <w:r w:rsidRPr="000977F7">
        <w:rPr>
          <w:color w:val="auto"/>
          <w:sz w:val="20"/>
          <w:szCs w:val="20"/>
        </w:rPr>
        <w:t>ЗА</w:t>
      </w:r>
      <w:r w:rsidRPr="000977F7">
        <w:rPr>
          <w:color w:val="auto"/>
          <w:spacing w:val="-7"/>
          <w:sz w:val="20"/>
          <w:szCs w:val="20"/>
        </w:rPr>
        <w:t xml:space="preserve"> </w:t>
      </w:r>
      <w:r w:rsidRPr="000977F7">
        <w:rPr>
          <w:color w:val="auto"/>
          <w:sz w:val="20"/>
          <w:szCs w:val="20"/>
        </w:rPr>
        <w:t>КІМНАТНОЇ</w:t>
      </w:r>
      <w:r w:rsidRPr="000977F7">
        <w:rPr>
          <w:color w:val="auto"/>
          <w:spacing w:val="-47"/>
          <w:sz w:val="20"/>
          <w:szCs w:val="20"/>
        </w:rPr>
        <w:t xml:space="preserve"> </w:t>
      </w:r>
      <w:r w:rsidRPr="000977F7">
        <w:rPr>
          <w:color w:val="auto"/>
          <w:sz w:val="20"/>
          <w:szCs w:val="20"/>
        </w:rPr>
        <w:t>ТЕМПЕРАТУРИ –</w:t>
      </w:r>
    </w:p>
    <w:p w14:paraId="1979842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noProof/>
          <w:sz w:val="20"/>
          <w:szCs w:val="20"/>
        </w:rPr>
        <w:drawing>
          <wp:anchor distT="0" distB="0" distL="0" distR="0" simplePos="0" relativeHeight="251676672" behindDoc="1" locked="0" layoutInCell="1" allowOverlap="1" wp14:anchorId="55D0502B" wp14:editId="33A07323">
            <wp:simplePos x="0" y="0"/>
            <wp:positionH relativeFrom="page">
              <wp:posOffset>2856610</wp:posOffset>
            </wp:positionH>
            <wp:positionV relativeFrom="paragraph">
              <wp:posOffset>293826</wp:posOffset>
            </wp:positionV>
            <wp:extent cx="155448" cy="155448"/>
            <wp:effectExtent l="0" t="0" r="0" b="0"/>
            <wp:wrapNone/>
            <wp:docPr id="16"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1" cstate="print"/>
                    <a:stretch>
                      <a:fillRect/>
                    </a:stretch>
                  </pic:blipFill>
                  <pic:spPr>
                    <a:xfrm>
                      <a:off x="0" y="0"/>
                      <a:ext cx="155448" cy="155448"/>
                    </a:xfrm>
                    <a:prstGeom prst="rect">
                      <a:avLst/>
                    </a:prstGeom>
                  </pic:spPr>
                </pic:pic>
              </a:graphicData>
            </a:graphic>
          </wp:anchor>
        </w:drawing>
      </w:r>
      <w:r w:rsidRPr="004D2D14">
        <w:rPr>
          <w:rFonts w:asciiTheme="majorHAnsi" w:hAnsiTheme="majorHAnsi"/>
          <w:sz w:val="20"/>
          <w:szCs w:val="20"/>
          <w:lang w:val="en-US"/>
        </w:rPr>
        <w:t>ROOM – TEMPERATURE TEST; AMBIENT –</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TEMPERATURE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w:t>
      </w:r>
    </w:p>
    <w:p w14:paraId="65D0320C" w14:textId="77777777" w:rsidR="0097612F" w:rsidRPr="000977F7" w:rsidRDefault="0097612F" w:rsidP="000977F7">
      <w:pPr>
        <w:pStyle w:val="af6"/>
        <w:tabs>
          <w:tab w:val="left" w:pos="284"/>
          <w:tab w:val="left" w:pos="3671"/>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4"/>
          <w:sz w:val="20"/>
          <w:szCs w:val="20"/>
        </w:rPr>
        <w:t xml:space="preserve"> </w:t>
      </w:r>
      <w:r w:rsidRPr="000977F7">
        <w:rPr>
          <w:rFonts w:asciiTheme="majorHAnsi" w:hAnsiTheme="majorHAnsi"/>
          <w:sz w:val="20"/>
          <w:szCs w:val="20"/>
        </w:rPr>
        <w:t>за</w:t>
      </w:r>
      <w:r w:rsidRPr="000977F7">
        <w:rPr>
          <w:rFonts w:asciiTheme="majorHAnsi" w:hAnsiTheme="majorHAnsi"/>
          <w:spacing w:val="-2"/>
          <w:sz w:val="20"/>
          <w:szCs w:val="20"/>
        </w:rPr>
        <w:t xml:space="preserve"> </w:t>
      </w:r>
      <w:r w:rsidRPr="000977F7">
        <w:rPr>
          <w:rFonts w:asciiTheme="majorHAnsi" w:hAnsiTheme="majorHAnsi"/>
          <w:sz w:val="20"/>
          <w:szCs w:val="20"/>
        </w:rPr>
        <w:t>температури</w:t>
      </w:r>
      <w:r w:rsidRPr="000977F7">
        <w:rPr>
          <w:rFonts w:asciiTheme="majorHAnsi" w:hAnsiTheme="majorHAnsi"/>
          <w:spacing w:val="-3"/>
          <w:sz w:val="20"/>
          <w:szCs w:val="20"/>
        </w:rPr>
        <w:t xml:space="preserve"> </w:t>
      </w:r>
      <w:r w:rsidRPr="000977F7">
        <w:rPr>
          <w:rFonts w:asciiTheme="majorHAnsi" w:hAnsiTheme="majorHAnsi"/>
          <w:sz w:val="20"/>
          <w:szCs w:val="20"/>
        </w:rPr>
        <w:t>(293</w:t>
      </w:r>
      <w:r w:rsidRPr="000977F7">
        <w:rPr>
          <w:rFonts w:asciiTheme="majorHAnsi" w:hAnsiTheme="majorHAnsi"/>
          <w:sz w:val="20"/>
          <w:szCs w:val="20"/>
        </w:rPr>
        <w:tab/>
        <w:t>10)  К</w:t>
      </w:r>
    </w:p>
    <w:p w14:paraId="7F1CDAA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0FE741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ВИПРОБУВАННЯ</w:t>
      </w:r>
      <w:r w:rsidRPr="000977F7">
        <w:rPr>
          <w:color w:val="auto"/>
          <w:spacing w:val="-9"/>
          <w:sz w:val="20"/>
          <w:szCs w:val="20"/>
        </w:rPr>
        <w:t xml:space="preserve"> </w:t>
      </w:r>
      <w:r w:rsidRPr="000977F7">
        <w:rPr>
          <w:color w:val="auto"/>
          <w:sz w:val="20"/>
          <w:szCs w:val="20"/>
        </w:rPr>
        <w:t>ЗА</w:t>
      </w:r>
      <w:r w:rsidRPr="000977F7">
        <w:rPr>
          <w:color w:val="auto"/>
          <w:spacing w:val="-9"/>
          <w:sz w:val="20"/>
          <w:szCs w:val="20"/>
        </w:rPr>
        <w:t xml:space="preserve"> </w:t>
      </w:r>
      <w:r w:rsidRPr="000977F7">
        <w:rPr>
          <w:color w:val="auto"/>
          <w:sz w:val="20"/>
          <w:szCs w:val="20"/>
        </w:rPr>
        <w:t>КРІОГЕНИХ</w:t>
      </w:r>
      <w:r w:rsidRPr="000977F7">
        <w:rPr>
          <w:color w:val="auto"/>
          <w:spacing w:val="-47"/>
          <w:sz w:val="20"/>
          <w:szCs w:val="20"/>
        </w:rPr>
        <w:t xml:space="preserve"> </w:t>
      </w:r>
      <w:r w:rsidRPr="000977F7">
        <w:rPr>
          <w:color w:val="auto"/>
          <w:sz w:val="20"/>
          <w:szCs w:val="20"/>
        </w:rPr>
        <w:t>ТЕМПЕРАТУР –</w:t>
      </w:r>
    </w:p>
    <w:p w14:paraId="0CB894C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CRYOGENIC TEMPERATURE</w:t>
      </w:r>
      <w:r w:rsidRPr="000977F7">
        <w:rPr>
          <w:rFonts w:asciiTheme="majorHAnsi" w:hAnsiTheme="majorHAnsi"/>
          <w:spacing w:val="-1"/>
          <w:sz w:val="20"/>
          <w:szCs w:val="20"/>
        </w:rPr>
        <w:t xml:space="preserve"> </w:t>
      </w:r>
      <w:r w:rsidRPr="000977F7">
        <w:rPr>
          <w:rFonts w:asciiTheme="majorHAnsi" w:hAnsiTheme="majorHAnsi"/>
          <w:sz w:val="20"/>
          <w:szCs w:val="20"/>
        </w:rPr>
        <w:t>TEST</w:t>
      </w:r>
      <w:r w:rsidRPr="000977F7">
        <w:rPr>
          <w:rFonts w:asciiTheme="majorHAnsi" w:hAnsiTheme="majorHAnsi"/>
          <w:spacing w:val="49"/>
          <w:sz w:val="20"/>
          <w:szCs w:val="20"/>
        </w:rPr>
        <w:t xml:space="preserve"> </w:t>
      </w:r>
      <w:r w:rsidRPr="000977F7">
        <w:rPr>
          <w:rFonts w:asciiTheme="majorHAnsi" w:hAnsiTheme="majorHAnsi"/>
          <w:sz w:val="20"/>
          <w:szCs w:val="20"/>
        </w:rPr>
        <w:t>-</w:t>
      </w:r>
    </w:p>
    <w:p w14:paraId="202FC0B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3"/>
          <w:sz w:val="20"/>
          <w:szCs w:val="20"/>
        </w:rPr>
        <w:t xml:space="preserve"> </w:t>
      </w:r>
      <w:r w:rsidRPr="000977F7">
        <w:rPr>
          <w:rFonts w:asciiTheme="majorHAnsi" w:hAnsiTheme="majorHAnsi"/>
          <w:sz w:val="20"/>
          <w:szCs w:val="20"/>
        </w:rPr>
        <w:t>за</w:t>
      </w:r>
      <w:r w:rsidRPr="000977F7">
        <w:rPr>
          <w:rFonts w:asciiTheme="majorHAnsi" w:hAnsiTheme="majorHAnsi"/>
          <w:spacing w:val="-2"/>
          <w:sz w:val="20"/>
          <w:szCs w:val="20"/>
        </w:rPr>
        <w:t xml:space="preserve"> </w:t>
      </w:r>
      <w:r w:rsidRPr="000977F7">
        <w:rPr>
          <w:rFonts w:asciiTheme="majorHAnsi" w:hAnsiTheme="majorHAnsi"/>
          <w:sz w:val="20"/>
          <w:szCs w:val="20"/>
        </w:rPr>
        <w:t>температур</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3"/>
          <w:sz w:val="20"/>
          <w:szCs w:val="20"/>
        </w:rPr>
        <w:t xml:space="preserve"> </w:t>
      </w:r>
      <w:r w:rsidRPr="000977F7">
        <w:rPr>
          <w:rFonts w:asciiTheme="majorHAnsi" w:hAnsiTheme="majorHAnsi"/>
          <w:sz w:val="20"/>
          <w:szCs w:val="20"/>
        </w:rPr>
        <w:t>0</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2"/>
          <w:sz w:val="20"/>
          <w:szCs w:val="20"/>
        </w:rPr>
        <w:t xml:space="preserve"> </w:t>
      </w:r>
      <w:r w:rsidRPr="000977F7">
        <w:rPr>
          <w:rFonts w:asciiTheme="majorHAnsi" w:hAnsiTheme="majorHAnsi"/>
          <w:sz w:val="20"/>
          <w:szCs w:val="20"/>
        </w:rPr>
        <w:t>120</w:t>
      </w:r>
      <w:r w:rsidRPr="000977F7">
        <w:rPr>
          <w:rFonts w:asciiTheme="majorHAnsi" w:hAnsiTheme="majorHAnsi"/>
          <w:spacing w:val="-1"/>
          <w:sz w:val="20"/>
          <w:szCs w:val="20"/>
        </w:rPr>
        <w:t xml:space="preserve"> </w:t>
      </w:r>
      <w:r w:rsidRPr="000977F7">
        <w:rPr>
          <w:rFonts w:asciiTheme="majorHAnsi" w:hAnsiTheme="majorHAnsi"/>
          <w:sz w:val="20"/>
          <w:szCs w:val="20"/>
        </w:rPr>
        <w:t>К</w:t>
      </w:r>
    </w:p>
    <w:p w14:paraId="630168C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81D5F8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ВИПРОБУВАННЯ</w:t>
      </w:r>
      <w:r w:rsidRPr="000977F7">
        <w:rPr>
          <w:color w:val="auto"/>
          <w:spacing w:val="37"/>
          <w:sz w:val="20"/>
          <w:szCs w:val="20"/>
        </w:rPr>
        <w:t xml:space="preserve"> </w:t>
      </w:r>
      <w:r w:rsidRPr="000977F7">
        <w:rPr>
          <w:color w:val="auto"/>
          <w:sz w:val="20"/>
          <w:szCs w:val="20"/>
        </w:rPr>
        <w:t>ЗА</w:t>
      </w:r>
      <w:r w:rsidRPr="000977F7">
        <w:rPr>
          <w:color w:val="auto"/>
          <w:spacing w:val="-5"/>
          <w:sz w:val="20"/>
          <w:szCs w:val="20"/>
        </w:rPr>
        <w:t xml:space="preserve"> </w:t>
      </w:r>
      <w:r w:rsidRPr="000977F7">
        <w:rPr>
          <w:color w:val="auto"/>
          <w:sz w:val="20"/>
          <w:szCs w:val="20"/>
        </w:rPr>
        <w:t>ПІДВИЩЕНИХ</w:t>
      </w:r>
      <w:r w:rsidRPr="000977F7">
        <w:rPr>
          <w:color w:val="auto"/>
          <w:spacing w:val="-47"/>
          <w:sz w:val="20"/>
          <w:szCs w:val="20"/>
        </w:rPr>
        <w:t xml:space="preserve"> </w:t>
      </w:r>
      <w:r w:rsidRPr="000977F7">
        <w:rPr>
          <w:color w:val="auto"/>
          <w:sz w:val="20"/>
          <w:szCs w:val="20"/>
        </w:rPr>
        <w:t>ТЕМПЕРАТУР –</w:t>
      </w:r>
    </w:p>
    <w:p w14:paraId="29E6919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ELEVATED</w:t>
      </w:r>
      <w:r w:rsidRPr="000977F7">
        <w:rPr>
          <w:rFonts w:asciiTheme="majorHAnsi" w:hAnsiTheme="majorHAnsi"/>
          <w:spacing w:val="-2"/>
          <w:sz w:val="20"/>
          <w:szCs w:val="20"/>
        </w:rPr>
        <w:t xml:space="preserve"> </w:t>
      </w:r>
      <w:r w:rsidRPr="000977F7">
        <w:rPr>
          <w:rFonts w:asciiTheme="majorHAnsi" w:hAnsiTheme="majorHAnsi"/>
          <w:sz w:val="20"/>
          <w:szCs w:val="20"/>
        </w:rPr>
        <w:t>–</w:t>
      </w:r>
      <w:r w:rsidRPr="000977F7">
        <w:rPr>
          <w:rFonts w:asciiTheme="majorHAnsi" w:hAnsiTheme="majorHAnsi"/>
          <w:spacing w:val="-3"/>
          <w:sz w:val="20"/>
          <w:szCs w:val="20"/>
        </w:rPr>
        <w:t xml:space="preserve"> </w:t>
      </w:r>
      <w:r w:rsidRPr="000977F7">
        <w:rPr>
          <w:rFonts w:asciiTheme="majorHAnsi" w:hAnsiTheme="majorHAnsi"/>
          <w:sz w:val="20"/>
          <w:szCs w:val="20"/>
        </w:rPr>
        <w:t>TEMPERATURE</w:t>
      </w:r>
      <w:r w:rsidRPr="000977F7">
        <w:rPr>
          <w:rFonts w:asciiTheme="majorHAnsi" w:hAnsiTheme="majorHAnsi"/>
          <w:spacing w:val="-3"/>
          <w:sz w:val="20"/>
          <w:szCs w:val="20"/>
        </w:rPr>
        <w:t xml:space="preserve"> </w:t>
      </w:r>
      <w:r w:rsidRPr="000977F7">
        <w:rPr>
          <w:rFonts w:asciiTheme="majorHAnsi" w:hAnsiTheme="majorHAnsi"/>
          <w:sz w:val="20"/>
          <w:szCs w:val="20"/>
        </w:rPr>
        <w:t>TEST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0D6C15A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25"/>
          <w:sz w:val="20"/>
          <w:szCs w:val="20"/>
        </w:rPr>
        <w:t xml:space="preserve"> </w:t>
      </w:r>
      <w:r w:rsidRPr="000977F7">
        <w:rPr>
          <w:rFonts w:asciiTheme="majorHAnsi" w:hAnsiTheme="majorHAnsi"/>
          <w:sz w:val="20"/>
          <w:szCs w:val="20"/>
        </w:rPr>
        <w:t>за</w:t>
      </w:r>
      <w:r w:rsidRPr="000977F7">
        <w:rPr>
          <w:rFonts w:asciiTheme="majorHAnsi" w:hAnsiTheme="majorHAnsi"/>
          <w:spacing w:val="27"/>
          <w:sz w:val="20"/>
          <w:szCs w:val="20"/>
        </w:rPr>
        <w:t xml:space="preserve"> </w:t>
      </w:r>
      <w:r w:rsidRPr="000977F7">
        <w:rPr>
          <w:rFonts w:asciiTheme="majorHAnsi" w:hAnsiTheme="majorHAnsi"/>
          <w:sz w:val="20"/>
          <w:szCs w:val="20"/>
        </w:rPr>
        <w:t>температур</w:t>
      </w:r>
      <w:r w:rsidRPr="000977F7">
        <w:rPr>
          <w:rFonts w:asciiTheme="majorHAnsi" w:hAnsiTheme="majorHAnsi"/>
          <w:spacing w:val="27"/>
          <w:sz w:val="20"/>
          <w:szCs w:val="20"/>
        </w:rPr>
        <w:t xml:space="preserve"> </w:t>
      </w:r>
      <w:r w:rsidRPr="000977F7">
        <w:rPr>
          <w:rFonts w:asciiTheme="majorHAnsi" w:hAnsiTheme="majorHAnsi"/>
          <w:sz w:val="20"/>
          <w:szCs w:val="20"/>
        </w:rPr>
        <w:t>понад</w:t>
      </w:r>
      <w:r w:rsidRPr="000977F7">
        <w:rPr>
          <w:rFonts w:asciiTheme="majorHAnsi" w:hAnsiTheme="majorHAnsi"/>
          <w:spacing w:val="26"/>
          <w:sz w:val="20"/>
          <w:szCs w:val="20"/>
        </w:rPr>
        <w:t xml:space="preserve"> </w:t>
      </w:r>
      <w:r w:rsidRPr="000977F7">
        <w:rPr>
          <w:rFonts w:asciiTheme="majorHAnsi" w:hAnsiTheme="majorHAnsi"/>
          <w:sz w:val="20"/>
          <w:szCs w:val="20"/>
        </w:rPr>
        <w:t>303</w:t>
      </w:r>
      <w:r w:rsidRPr="000977F7">
        <w:rPr>
          <w:rFonts w:asciiTheme="majorHAnsi" w:hAnsiTheme="majorHAnsi"/>
          <w:spacing w:val="27"/>
          <w:sz w:val="20"/>
          <w:szCs w:val="20"/>
        </w:rPr>
        <w:t xml:space="preserve"> </w:t>
      </w:r>
      <w:r w:rsidRPr="000977F7">
        <w:rPr>
          <w:rFonts w:asciiTheme="majorHAnsi" w:hAnsiTheme="majorHAnsi"/>
          <w:sz w:val="20"/>
          <w:szCs w:val="20"/>
        </w:rPr>
        <w:t>К</w:t>
      </w:r>
      <w:r w:rsidRPr="000977F7">
        <w:rPr>
          <w:rFonts w:asciiTheme="majorHAnsi" w:hAnsiTheme="majorHAnsi"/>
          <w:spacing w:val="26"/>
          <w:sz w:val="20"/>
          <w:szCs w:val="20"/>
        </w:rPr>
        <w:t xml:space="preserve"> </w:t>
      </w:r>
      <w:r w:rsidRPr="000977F7">
        <w:rPr>
          <w:rFonts w:asciiTheme="majorHAnsi" w:hAnsiTheme="majorHAnsi"/>
          <w:sz w:val="20"/>
          <w:szCs w:val="20"/>
        </w:rPr>
        <w:t>до</w:t>
      </w:r>
      <w:r w:rsidRPr="000977F7">
        <w:rPr>
          <w:rFonts w:asciiTheme="majorHAnsi" w:hAnsiTheme="majorHAnsi"/>
          <w:spacing w:val="24"/>
          <w:sz w:val="20"/>
          <w:szCs w:val="20"/>
        </w:rPr>
        <w:t xml:space="preserve"> </w:t>
      </w:r>
      <w:r w:rsidRPr="000977F7">
        <w:rPr>
          <w:rFonts w:asciiTheme="majorHAnsi" w:hAnsiTheme="majorHAnsi"/>
          <w:sz w:val="20"/>
          <w:szCs w:val="20"/>
        </w:rPr>
        <w:t>1273</w:t>
      </w:r>
      <w:r w:rsidRPr="000977F7">
        <w:rPr>
          <w:rFonts w:asciiTheme="majorHAnsi" w:hAnsiTheme="majorHAnsi"/>
          <w:spacing w:val="28"/>
          <w:sz w:val="20"/>
          <w:szCs w:val="20"/>
        </w:rPr>
        <w:t xml:space="preserve"> </w:t>
      </w:r>
      <w:r w:rsidRPr="000977F7">
        <w:rPr>
          <w:rFonts w:asciiTheme="majorHAnsi" w:hAnsiTheme="majorHAnsi"/>
          <w:sz w:val="20"/>
          <w:szCs w:val="20"/>
        </w:rPr>
        <w:t>К</w:t>
      </w:r>
      <w:r w:rsidRPr="000977F7">
        <w:rPr>
          <w:rFonts w:asciiTheme="majorHAnsi" w:hAnsiTheme="majorHAnsi"/>
          <w:spacing w:val="-47"/>
          <w:sz w:val="20"/>
          <w:szCs w:val="20"/>
        </w:rPr>
        <w:t xml:space="preserve">   </w:t>
      </w:r>
      <w:r w:rsidRPr="000977F7">
        <w:rPr>
          <w:rFonts w:asciiTheme="majorHAnsi" w:hAnsiTheme="majorHAnsi"/>
          <w:sz w:val="20"/>
          <w:szCs w:val="20"/>
        </w:rPr>
        <w:t>включно</w:t>
      </w:r>
    </w:p>
    <w:p w14:paraId="0686E88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2824-94</w:t>
      </w:r>
    </w:p>
    <w:p w14:paraId="009271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ВИПРОБУВАННЯ</w:t>
      </w:r>
      <w:r w:rsidRPr="000977F7">
        <w:rPr>
          <w:color w:val="auto"/>
          <w:spacing w:val="-7"/>
          <w:sz w:val="20"/>
          <w:szCs w:val="20"/>
        </w:rPr>
        <w:t xml:space="preserve"> </w:t>
      </w:r>
      <w:r w:rsidRPr="000977F7">
        <w:rPr>
          <w:color w:val="auto"/>
          <w:sz w:val="20"/>
          <w:szCs w:val="20"/>
        </w:rPr>
        <w:t>НА</w:t>
      </w:r>
      <w:r w:rsidRPr="000977F7">
        <w:rPr>
          <w:color w:val="auto"/>
          <w:spacing w:val="-4"/>
          <w:sz w:val="20"/>
          <w:szCs w:val="20"/>
        </w:rPr>
        <w:t xml:space="preserve"> </w:t>
      </w:r>
      <w:r w:rsidRPr="000977F7">
        <w:rPr>
          <w:color w:val="auto"/>
          <w:sz w:val="20"/>
          <w:szCs w:val="20"/>
        </w:rPr>
        <w:t>БЕЗПЕЧНІСТЬ –</w:t>
      </w:r>
    </w:p>
    <w:p w14:paraId="0D2B913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SAFETY</w:t>
      </w:r>
      <w:r w:rsidRPr="000977F7">
        <w:rPr>
          <w:rFonts w:asciiTheme="majorHAnsi" w:hAnsiTheme="majorHAnsi"/>
          <w:spacing w:val="-2"/>
          <w:sz w:val="20"/>
          <w:szCs w:val="20"/>
        </w:rPr>
        <w:t xml:space="preserve"> </w:t>
      </w:r>
      <w:r w:rsidRPr="000977F7">
        <w:rPr>
          <w:rFonts w:asciiTheme="majorHAnsi" w:hAnsiTheme="majorHAnsi"/>
          <w:sz w:val="20"/>
          <w:szCs w:val="20"/>
        </w:rPr>
        <w:t>TEST</w:t>
      </w:r>
    </w:p>
    <w:p w14:paraId="5B6E951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4"/>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C5A7BD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ВИПРОБУВАННЯ НА БЕЗПЕЧНІСТЬ </w:t>
      </w:r>
    </w:p>
    <w:p w14:paraId="764DDF96"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(ПРОДУКЦІЇ ПРОМИСЛОВОГО ПІДПРИСМСТВА)</w:t>
      </w:r>
      <w:r w:rsidRPr="000977F7">
        <w:rPr>
          <w:color w:val="auto"/>
          <w:spacing w:val="1"/>
          <w:sz w:val="20"/>
          <w:szCs w:val="20"/>
        </w:rPr>
        <w:t xml:space="preserve"> </w:t>
      </w:r>
    </w:p>
    <w:p w14:paraId="248780B2" w14:textId="77777777" w:rsidR="0097612F" w:rsidRPr="000977F7" w:rsidRDefault="0097612F" w:rsidP="000977F7">
      <w:pPr>
        <w:pStyle w:val="7"/>
        <w:tabs>
          <w:tab w:val="left" w:pos="284"/>
        </w:tabs>
        <w:spacing w:before="0" w:line="240" w:lineRule="auto"/>
        <w:ind w:left="170"/>
        <w:mirrorIndents/>
        <w:jc w:val="both"/>
        <w:rPr>
          <w:b w:val="0"/>
          <w:i/>
          <w:color w:val="auto"/>
          <w:sz w:val="20"/>
          <w:szCs w:val="20"/>
        </w:rPr>
      </w:pPr>
      <w:r w:rsidRPr="000977F7">
        <w:rPr>
          <w:b w:val="0"/>
          <w:i/>
          <w:color w:val="auto"/>
          <w:sz w:val="20"/>
          <w:szCs w:val="20"/>
        </w:rPr>
        <w:t>ДСТУ</w:t>
      </w:r>
      <w:r w:rsidRPr="000977F7">
        <w:rPr>
          <w:b w:val="0"/>
          <w:i/>
          <w:color w:val="auto"/>
          <w:spacing w:val="-1"/>
          <w:sz w:val="20"/>
          <w:szCs w:val="20"/>
        </w:rPr>
        <w:t xml:space="preserve"> </w:t>
      </w:r>
      <w:r w:rsidRPr="000977F7">
        <w:rPr>
          <w:b w:val="0"/>
          <w:i/>
          <w:color w:val="auto"/>
          <w:sz w:val="20"/>
          <w:szCs w:val="20"/>
        </w:rPr>
        <w:t>2156</w:t>
      </w:r>
      <w:r w:rsidRPr="000977F7">
        <w:rPr>
          <w:b w:val="0"/>
          <w:i/>
          <w:color w:val="auto"/>
          <w:spacing w:val="2"/>
          <w:sz w:val="20"/>
          <w:szCs w:val="20"/>
        </w:rPr>
        <w:t xml:space="preserve"> </w:t>
      </w:r>
      <w:r w:rsidRPr="000977F7">
        <w:rPr>
          <w:b w:val="0"/>
          <w:i/>
          <w:color w:val="auto"/>
          <w:sz w:val="20"/>
          <w:szCs w:val="20"/>
        </w:rPr>
        <w:t>–</w:t>
      </w:r>
      <w:r w:rsidRPr="000977F7">
        <w:rPr>
          <w:b w:val="0"/>
          <w:i/>
          <w:color w:val="auto"/>
          <w:spacing w:val="1"/>
          <w:sz w:val="20"/>
          <w:szCs w:val="20"/>
        </w:rPr>
        <w:t xml:space="preserve"> </w:t>
      </w:r>
      <w:r w:rsidRPr="000977F7">
        <w:rPr>
          <w:b w:val="0"/>
          <w:i/>
          <w:color w:val="auto"/>
          <w:sz w:val="20"/>
          <w:szCs w:val="20"/>
        </w:rPr>
        <w:t>93</w:t>
      </w:r>
    </w:p>
    <w:p w14:paraId="7D60E23C"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uk-UA"/>
        </w:rPr>
      </w:pPr>
      <w:r w:rsidRPr="004D2D14">
        <w:rPr>
          <w:rFonts w:asciiTheme="majorHAnsi" w:hAnsiTheme="majorHAnsi"/>
          <w:b/>
          <w:sz w:val="20"/>
          <w:szCs w:val="20"/>
          <w:lang w:val="uk-UA"/>
        </w:rPr>
        <w:t>ВИПРОБУВАННЯ</w:t>
      </w:r>
      <w:r w:rsidRPr="004D2D14">
        <w:rPr>
          <w:rFonts w:asciiTheme="majorHAnsi" w:hAnsiTheme="majorHAnsi"/>
          <w:b/>
          <w:spacing w:val="-8"/>
          <w:sz w:val="20"/>
          <w:szCs w:val="20"/>
          <w:lang w:val="uk-UA"/>
        </w:rPr>
        <w:t xml:space="preserve"> </w:t>
      </w:r>
      <w:r w:rsidRPr="004D2D14">
        <w:rPr>
          <w:rFonts w:asciiTheme="majorHAnsi" w:hAnsiTheme="majorHAnsi"/>
          <w:b/>
          <w:sz w:val="20"/>
          <w:szCs w:val="20"/>
          <w:lang w:val="uk-UA"/>
        </w:rPr>
        <w:t>НА</w:t>
      </w:r>
      <w:r w:rsidRPr="004D2D14">
        <w:rPr>
          <w:rFonts w:asciiTheme="majorHAnsi" w:hAnsiTheme="majorHAnsi"/>
          <w:b/>
          <w:spacing w:val="-5"/>
          <w:sz w:val="20"/>
          <w:szCs w:val="20"/>
          <w:lang w:val="uk-UA"/>
        </w:rPr>
        <w:t xml:space="preserve"> </w:t>
      </w:r>
      <w:r w:rsidRPr="004D2D14">
        <w:rPr>
          <w:rFonts w:asciiTheme="majorHAnsi" w:hAnsiTheme="majorHAnsi"/>
          <w:b/>
          <w:sz w:val="20"/>
          <w:szCs w:val="20"/>
          <w:lang w:val="uk-UA"/>
        </w:rPr>
        <w:t>БЕЗВІДМОВНІСТЬ –</w:t>
      </w:r>
    </w:p>
    <w:p w14:paraId="08D4132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Випробування, що проводять з метою періодичного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контролю якості продукції та перевірки стабільності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технологічного процесу виготовлення у режимах 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умовах, як правило, більш жорстких, ніж умови експлуатації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виробів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апаратурі</w:t>
      </w:r>
    </w:p>
    <w:p w14:paraId="4AEEB23A"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2634</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423841B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ВИПРОБУВАННЯ</w:t>
      </w:r>
      <w:r w:rsidRPr="000977F7">
        <w:rPr>
          <w:color w:val="auto"/>
          <w:spacing w:val="-7"/>
          <w:sz w:val="20"/>
          <w:szCs w:val="20"/>
        </w:rPr>
        <w:t xml:space="preserve"> </w:t>
      </w:r>
      <w:r w:rsidRPr="000977F7">
        <w:rPr>
          <w:color w:val="auto"/>
          <w:sz w:val="20"/>
          <w:szCs w:val="20"/>
        </w:rPr>
        <w:t>НА</w:t>
      </w:r>
      <w:r w:rsidRPr="000977F7">
        <w:rPr>
          <w:color w:val="auto"/>
          <w:spacing w:val="-4"/>
          <w:sz w:val="20"/>
          <w:szCs w:val="20"/>
        </w:rPr>
        <w:t xml:space="preserve"> </w:t>
      </w:r>
      <w:r w:rsidRPr="000977F7">
        <w:rPr>
          <w:color w:val="auto"/>
          <w:sz w:val="20"/>
          <w:szCs w:val="20"/>
        </w:rPr>
        <w:t>ВІДПОВІДНІСТЬ</w:t>
      </w:r>
      <w:r w:rsidRPr="000977F7">
        <w:rPr>
          <w:color w:val="auto"/>
          <w:spacing w:val="-1"/>
          <w:sz w:val="20"/>
          <w:szCs w:val="20"/>
        </w:rPr>
        <w:t xml:space="preserve"> </w:t>
      </w:r>
      <w:r w:rsidRPr="000977F7">
        <w:rPr>
          <w:color w:val="auto"/>
          <w:sz w:val="20"/>
          <w:szCs w:val="20"/>
        </w:rPr>
        <w:t>–</w:t>
      </w:r>
    </w:p>
    <w:p w14:paraId="033E2A3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CONFORMITY</w:t>
      </w:r>
      <w:r w:rsidRPr="004D2D14">
        <w:rPr>
          <w:rFonts w:asciiTheme="majorHAnsi" w:hAnsiTheme="majorHAnsi"/>
          <w:spacing w:val="-1"/>
          <w:sz w:val="20"/>
          <w:szCs w:val="20"/>
          <w:lang w:val="uk-UA"/>
        </w:rPr>
        <w:t xml:space="preserve"> </w:t>
      </w:r>
      <w:r w:rsidRPr="000977F7">
        <w:rPr>
          <w:rFonts w:asciiTheme="majorHAnsi" w:hAnsiTheme="majorHAnsi"/>
          <w:sz w:val="20"/>
          <w:szCs w:val="20"/>
        </w:rPr>
        <w:t>TESTING</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02E5D81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Оцінювання</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відповідності</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методом</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випробування</w:t>
      </w:r>
    </w:p>
    <w:p w14:paraId="46A0DED4"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1"/>
          <w:sz w:val="20"/>
          <w:szCs w:val="20"/>
          <w:lang w:val="uk-UA"/>
        </w:rPr>
      </w:pPr>
      <w:r w:rsidRPr="004D2D14">
        <w:rPr>
          <w:rFonts w:asciiTheme="majorHAnsi" w:hAnsiTheme="majorHAnsi"/>
          <w:i/>
          <w:spacing w:val="-12"/>
          <w:sz w:val="20"/>
          <w:szCs w:val="20"/>
          <w:lang w:val="uk-UA"/>
        </w:rPr>
        <w:t xml:space="preserve">ДСТУ </w:t>
      </w:r>
      <w:r w:rsidRPr="000977F7">
        <w:rPr>
          <w:rFonts w:asciiTheme="majorHAnsi" w:hAnsiTheme="majorHAnsi"/>
          <w:i/>
          <w:spacing w:val="-12"/>
          <w:sz w:val="20"/>
          <w:szCs w:val="20"/>
        </w:rPr>
        <w:t>ISO</w:t>
      </w:r>
      <w:r w:rsidRPr="004D2D14">
        <w:rPr>
          <w:rFonts w:asciiTheme="majorHAnsi" w:hAnsiTheme="majorHAnsi"/>
          <w:i/>
          <w:spacing w:val="-12"/>
          <w:sz w:val="20"/>
          <w:szCs w:val="20"/>
          <w:lang w:val="uk-UA"/>
        </w:rPr>
        <w:t>/</w:t>
      </w:r>
      <w:r w:rsidRPr="000977F7">
        <w:rPr>
          <w:rFonts w:asciiTheme="majorHAnsi" w:hAnsiTheme="majorHAnsi"/>
          <w:i/>
          <w:spacing w:val="-12"/>
          <w:sz w:val="20"/>
          <w:szCs w:val="20"/>
        </w:rPr>
        <w:t>IEC</w:t>
      </w:r>
      <w:r w:rsidRPr="004D2D14">
        <w:rPr>
          <w:rFonts w:asciiTheme="majorHAnsi" w:hAnsiTheme="majorHAnsi"/>
          <w:i/>
          <w:spacing w:val="-12"/>
          <w:sz w:val="20"/>
          <w:szCs w:val="20"/>
          <w:lang w:val="uk-UA"/>
        </w:rPr>
        <w:t xml:space="preserve"> </w:t>
      </w:r>
      <w:r w:rsidRPr="004D2D14">
        <w:rPr>
          <w:rFonts w:asciiTheme="majorHAnsi" w:hAnsiTheme="majorHAnsi"/>
          <w:i/>
          <w:spacing w:val="-11"/>
          <w:sz w:val="20"/>
          <w:szCs w:val="20"/>
          <w:lang w:val="uk-UA"/>
        </w:rPr>
        <w:t>17000:2007</w:t>
      </w:r>
    </w:p>
    <w:p w14:paraId="24913305" w14:textId="77777777" w:rsidR="0097612F" w:rsidRPr="000977F7" w:rsidRDefault="0097612F" w:rsidP="000977F7">
      <w:pPr>
        <w:tabs>
          <w:tab w:val="left" w:pos="284"/>
        </w:tabs>
        <w:spacing w:after="0" w:line="240" w:lineRule="auto"/>
        <w:ind w:left="170"/>
        <w:mirrorIndents/>
        <w:jc w:val="both"/>
        <w:rPr>
          <w:rFonts w:asciiTheme="majorHAnsi" w:hAnsiTheme="majorHAnsi"/>
          <w:b/>
          <w:i/>
          <w:spacing w:val="-47"/>
          <w:sz w:val="20"/>
          <w:szCs w:val="20"/>
        </w:rPr>
      </w:pPr>
      <w:r w:rsidRPr="000977F7">
        <w:rPr>
          <w:rFonts w:asciiTheme="majorHAnsi" w:hAnsiTheme="majorHAnsi"/>
          <w:b/>
          <w:sz w:val="20"/>
          <w:szCs w:val="20"/>
        </w:rPr>
        <w:t xml:space="preserve">ВИПРОБУВАННЯ НА ВТОМУ </w:t>
      </w:r>
      <w:r w:rsidRPr="000977F7">
        <w:rPr>
          <w:rFonts w:asciiTheme="majorHAnsi" w:hAnsiTheme="majorHAnsi"/>
          <w:b/>
          <w:i/>
          <w:sz w:val="20"/>
          <w:szCs w:val="20"/>
        </w:rPr>
        <w:t>–</w:t>
      </w:r>
      <w:r w:rsidRPr="000977F7">
        <w:rPr>
          <w:rFonts w:asciiTheme="majorHAnsi" w:hAnsiTheme="majorHAnsi"/>
          <w:b/>
          <w:i/>
          <w:spacing w:val="-47"/>
          <w:sz w:val="20"/>
          <w:szCs w:val="20"/>
        </w:rPr>
        <w:t xml:space="preserve"> </w:t>
      </w:r>
    </w:p>
    <w:p w14:paraId="715F080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FATIGUE</w:t>
      </w:r>
      <w:r w:rsidRPr="000977F7">
        <w:rPr>
          <w:rFonts w:asciiTheme="majorHAnsi" w:hAnsiTheme="majorHAnsi"/>
          <w:spacing w:val="-3"/>
          <w:sz w:val="20"/>
          <w:szCs w:val="20"/>
        </w:rPr>
        <w:t xml:space="preserve"> </w:t>
      </w:r>
      <w:r w:rsidRPr="000977F7">
        <w:rPr>
          <w:rFonts w:asciiTheme="majorHAnsi" w:hAnsiTheme="majorHAnsi"/>
          <w:sz w:val="20"/>
          <w:szCs w:val="20"/>
        </w:rPr>
        <w:t>TEST</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65C2E94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дії</w:t>
      </w:r>
      <w:r w:rsidRPr="000977F7">
        <w:rPr>
          <w:rFonts w:asciiTheme="majorHAnsi" w:hAnsiTheme="majorHAnsi"/>
          <w:spacing w:val="2"/>
          <w:sz w:val="20"/>
          <w:szCs w:val="20"/>
        </w:rPr>
        <w:t xml:space="preserve"> </w:t>
      </w:r>
      <w:r w:rsidRPr="000977F7">
        <w:rPr>
          <w:rFonts w:asciiTheme="majorHAnsi" w:hAnsiTheme="majorHAnsi"/>
          <w:sz w:val="20"/>
          <w:szCs w:val="20"/>
        </w:rPr>
        <w:t>циклічного</w:t>
      </w:r>
      <w:r w:rsidRPr="000977F7">
        <w:rPr>
          <w:rFonts w:asciiTheme="majorHAnsi" w:hAnsiTheme="majorHAnsi"/>
          <w:spacing w:val="1"/>
          <w:sz w:val="20"/>
          <w:szCs w:val="20"/>
        </w:rPr>
        <w:t xml:space="preserve"> </w:t>
      </w:r>
      <w:r w:rsidRPr="000977F7">
        <w:rPr>
          <w:rFonts w:asciiTheme="majorHAnsi" w:hAnsiTheme="majorHAnsi"/>
          <w:sz w:val="20"/>
          <w:szCs w:val="20"/>
        </w:rPr>
        <w:t>навантаження об’єкта</w:t>
      </w:r>
      <w:r w:rsidRPr="000977F7">
        <w:rPr>
          <w:rFonts w:asciiTheme="majorHAnsi" w:hAnsiTheme="majorHAnsi"/>
          <w:spacing w:val="-47"/>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w:t>
      </w:r>
      <w:r w:rsidRPr="000977F7">
        <w:rPr>
          <w:rFonts w:asciiTheme="majorHAnsi" w:hAnsiTheme="majorHAnsi"/>
          <w:spacing w:val="-2"/>
          <w:sz w:val="20"/>
          <w:szCs w:val="20"/>
        </w:rPr>
        <w:t xml:space="preserve"> </w:t>
      </w:r>
      <w:r w:rsidRPr="000977F7">
        <w:rPr>
          <w:rFonts w:asciiTheme="majorHAnsi" w:hAnsiTheme="majorHAnsi"/>
          <w:sz w:val="20"/>
          <w:szCs w:val="20"/>
        </w:rPr>
        <w:t>опору</w:t>
      </w:r>
      <w:r w:rsidRPr="000977F7">
        <w:rPr>
          <w:rFonts w:asciiTheme="majorHAnsi" w:hAnsiTheme="majorHAnsi"/>
          <w:spacing w:val="-4"/>
          <w:sz w:val="20"/>
          <w:szCs w:val="20"/>
        </w:rPr>
        <w:t xml:space="preserve"> </w:t>
      </w:r>
      <w:r w:rsidRPr="000977F7">
        <w:rPr>
          <w:rFonts w:asciiTheme="majorHAnsi" w:hAnsiTheme="majorHAnsi"/>
          <w:sz w:val="20"/>
          <w:szCs w:val="20"/>
        </w:rPr>
        <w:t>втомі</w:t>
      </w:r>
    </w:p>
    <w:p w14:paraId="017B22D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6BF3EC0A" w14:textId="77777777" w:rsidR="0097612F" w:rsidRPr="000977F7" w:rsidRDefault="0097612F" w:rsidP="00FD39A4">
      <w:pPr>
        <w:pStyle w:val="ac"/>
        <w:widowControl w:val="0"/>
        <w:numPr>
          <w:ilvl w:val="1"/>
          <w:numId w:val="204"/>
        </w:numPr>
        <w:tabs>
          <w:tab w:val="left" w:pos="284"/>
          <w:tab w:val="left" w:pos="5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5"/>
          <w:sz w:val="20"/>
          <w:szCs w:val="20"/>
        </w:rPr>
        <w:t xml:space="preserve"> </w:t>
      </w:r>
      <w:r w:rsidRPr="000977F7">
        <w:rPr>
          <w:rFonts w:asciiTheme="majorHAnsi" w:hAnsiTheme="majorHAnsi"/>
          <w:sz w:val="20"/>
          <w:szCs w:val="20"/>
        </w:rPr>
        <w:t>на</w:t>
      </w:r>
      <w:r w:rsidRPr="000977F7">
        <w:rPr>
          <w:rFonts w:asciiTheme="majorHAnsi" w:hAnsiTheme="majorHAnsi"/>
          <w:spacing w:val="-4"/>
          <w:sz w:val="20"/>
          <w:szCs w:val="20"/>
        </w:rPr>
        <w:t xml:space="preserve"> </w:t>
      </w:r>
      <w:r w:rsidRPr="000977F7">
        <w:rPr>
          <w:rFonts w:asciiTheme="majorHAnsi" w:hAnsiTheme="majorHAnsi"/>
          <w:sz w:val="20"/>
          <w:szCs w:val="20"/>
        </w:rPr>
        <w:t>втому</w:t>
      </w:r>
      <w:r w:rsidRPr="000977F7">
        <w:rPr>
          <w:rFonts w:asciiTheme="majorHAnsi" w:hAnsiTheme="majorHAnsi"/>
          <w:spacing w:val="-7"/>
          <w:sz w:val="20"/>
          <w:szCs w:val="20"/>
        </w:rPr>
        <w:t xml:space="preserve"> </w:t>
      </w:r>
      <w:r w:rsidRPr="000977F7">
        <w:rPr>
          <w:rFonts w:asciiTheme="majorHAnsi" w:hAnsiTheme="majorHAnsi"/>
          <w:sz w:val="20"/>
          <w:szCs w:val="20"/>
        </w:rPr>
        <w:t>поділяються</w:t>
      </w:r>
      <w:r w:rsidRPr="000977F7">
        <w:rPr>
          <w:rFonts w:asciiTheme="majorHAnsi" w:hAnsiTheme="majorHAnsi"/>
          <w:spacing w:val="-2"/>
          <w:sz w:val="20"/>
          <w:szCs w:val="20"/>
        </w:rPr>
        <w:t xml:space="preserve"> </w:t>
      </w:r>
      <w:r w:rsidRPr="000977F7">
        <w:rPr>
          <w:rFonts w:asciiTheme="majorHAnsi" w:hAnsiTheme="majorHAnsi"/>
          <w:sz w:val="20"/>
          <w:szCs w:val="20"/>
        </w:rPr>
        <w:t>на:</w:t>
      </w:r>
    </w:p>
    <w:p w14:paraId="07B3315A" w14:textId="77777777" w:rsidR="0097612F" w:rsidRPr="000977F7" w:rsidRDefault="0097612F" w:rsidP="00FD39A4">
      <w:pPr>
        <w:pStyle w:val="ac"/>
        <w:widowControl w:val="0"/>
        <w:numPr>
          <w:ilvl w:val="0"/>
          <w:numId w:val="203"/>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малоциклову</w:t>
      </w:r>
      <w:r w:rsidRPr="000977F7">
        <w:rPr>
          <w:rFonts w:asciiTheme="majorHAnsi" w:hAnsiTheme="majorHAnsi"/>
          <w:spacing w:val="1"/>
          <w:sz w:val="20"/>
          <w:szCs w:val="20"/>
        </w:rPr>
        <w:t xml:space="preserve"> </w:t>
      </w:r>
      <w:r w:rsidRPr="000977F7">
        <w:rPr>
          <w:rFonts w:asciiTheme="majorHAnsi" w:hAnsiTheme="majorHAnsi"/>
          <w:sz w:val="20"/>
          <w:szCs w:val="20"/>
        </w:rPr>
        <w:t>втому</w:t>
      </w:r>
      <w:r w:rsidRPr="000977F7">
        <w:rPr>
          <w:rFonts w:asciiTheme="majorHAnsi" w:hAnsiTheme="majorHAnsi"/>
          <w:spacing w:val="1"/>
          <w:sz w:val="20"/>
          <w:szCs w:val="20"/>
        </w:rPr>
        <w:t xml:space="preserve"> </w:t>
      </w:r>
      <w:r w:rsidRPr="000977F7">
        <w:rPr>
          <w:rFonts w:asciiTheme="majorHAnsi" w:hAnsiTheme="majorHAnsi"/>
          <w:sz w:val="20"/>
          <w:szCs w:val="20"/>
        </w:rPr>
        <w:t>(частота</w:t>
      </w:r>
      <w:r w:rsidRPr="000977F7">
        <w:rPr>
          <w:rFonts w:asciiTheme="majorHAnsi" w:hAnsiTheme="majorHAnsi"/>
          <w:spacing w:val="1"/>
          <w:sz w:val="20"/>
          <w:szCs w:val="20"/>
        </w:rPr>
        <w:t xml:space="preserve"> </w:t>
      </w:r>
      <w:r w:rsidRPr="000977F7">
        <w:rPr>
          <w:rFonts w:asciiTheme="majorHAnsi" w:hAnsiTheme="majorHAnsi"/>
          <w:sz w:val="20"/>
          <w:szCs w:val="20"/>
        </w:rPr>
        <w:t>навантажування – до 5 Гц; поява макротріщин або</w:t>
      </w:r>
      <w:r w:rsidRPr="000977F7">
        <w:rPr>
          <w:rFonts w:asciiTheme="majorHAnsi" w:hAnsiTheme="majorHAnsi"/>
          <w:spacing w:val="-47"/>
          <w:sz w:val="20"/>
          <w:szCs w:val="20"/>
        </w:rPr>
        <w:t xml:space="preserve"> </w:t>
      </w:r>
      <w:r w:rsidRPr="000977F7">
        <w:rPr>
          <w:rFonts w:asciiTheme="majorHAnsi" w:hAnsiTheme="majorHAnsi"/>
          <w:sz w:val="20"/>
          <w:szCs w:val="20"/>
        </w:rPr>
        <w:t>руйнування</w:t>
      </w:r>
      <w:r w:rsidRPr="000977F7">
        <w:rPr>
          <w:rFonts w:asciiTheme="majorHAnsi" w:hAnsiTheme="majorHAnsi"/>
          <w:spacing w:val="1"/>
          <w:sz w:val="20"/>
          <w:szCs w:val="20"/>
        </w:rPr>
        <w:t xml:space="preserve"> </w:t>
      </w:r>
      <w:r w:rsidRPr="000977F7">
        <w:rPr>
          <w:rFonts w:asciiTheme="majorHAnsi" w:hAnsiTheme="majorHAnsi"/>
          <w:sz w:val="20"/>
          <w:szCs w:val="20"/>
        </w:rPr>
        <w:t>відбувається,</w:t>
      </w:r>
      <w:r w:rsidRPr="000977F7">
        <w:rPr>
          <w:rFonts w:asciiTheme="majorHAnsi" w:hAnsiTheme="majorHAnsi"/>
          <w:spacing w:val="1"/>
          <w:sz w:val="20"/>
          <w:szCs w:val="20"/>
        </w:rPr>
        <w:t xml:space="preserve"> </w:t>
      </w:r>
      <w:r w:rsidRPr="000977F7">
        <w:rPr>
          <w:rFonts w:asciiTheme="majorHAnsi" w:hAnsiTheme="majorHAnsi"/>
          <w:sz w:val="20"/>
          <w:szCs w:val="20"/>
        </w:rPr>
        <w:t>коли</w:t>
      </w:r>
      <w:r w:rsidRPr="000977F7">
        <w:rPr>
          <w:rFonts w:asciiTheme="majorHAnsi" w:hAnsiTheme="majorHAnsi"/>
          <w:spacing w:val="1"/>
          <w:sz w:val="20"/>
          <w:szCs w:val="20"/>
        </w:rPr>
        <w:t xml:space="preserve"> </w:t>
      </w:r>
      <w:r w:rsidRPr="000977F7">
        <w:rPr>
          <w:rFonts w:asciiTheme="majorHAnsi" w:hAnsiTheme="majorHAnsi"/>
          <w:sz w:val="20"/>
          <w:szCs w:val="20"/>
        </w:rPr>
        <w:t>число</w:t>
      </w:r>
      <w:r w:rsidRPr="000977F7">
        <w:rPr>
          <w:rFonts w:asciiTheme="majorHAnsi" w:hAnsiTheme="majorHAnsi"/>
          <w:spacing w:val="1"/>
          <w:sz w:val="20"/>
          <w:szCs w:val="20"/>
        </w:rPr>
        <w:t xml:space="preserve"> </w:t>
      </w:r>
      <w:r w:rsidRPr="000977F7">
        <w:rPr>
          <w:rFonts w:asciiTheme="majorHAnsi" w:hAnsiTheme="majorHAnsi"/>
          <w:sz w:val="20"/>
          <w:szCs w:val="20"/>
        </w:rPr>
        <w:t>циклів</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47"/>
          <w:sz w:val="20"/>
          <w:szCs w:val="20"/>
        </w:rPr>
        <w:t xml:space="preserve"> </w:t>
      </w:r>
      <w:r w:rsidRPr="000977F7">
        <w:rPr>
          <w:rFonts w:asciiTheme="majorHAnsi" w:hAnsiTheme="majorHAnsi"/>
          <w:spacing w:val="-1"/>
          <w:sz w:val="20"/>
          <w:szCs w:val="20"/>
        </w:rPr>
        <w:t>перевищує</w:t>
      </w:r>
      <w:r w:rsidRPr="000977F7">
        <w:rPr>
          <w:rFonts w:asciiTheme="majorHAnsi" w:hAnsiTheme="majorHAnsi"/>
          <w:sz w:val="20"/>
          <w:szCs w:val="20"/>
        </w:rPr>
        <w:t xml:space="preserve"> 5</w:t>
      </w:r>
      <w:r w:rsidRPr="000977F7">
        <w:rPr>
          <w:rFonts w:asciiTheme="majorHAnsi" w:hAnsiTheme="majorHAnsi"/>
          <w:spacing w:val="1"/>
          <w:sz w:val="20"/>
          <w:szCs w:val="20"/>
        </w:rPr>
        <w:t xml:space="preserve"> </w:t>
      </w:r>
      <w:r w:rsidRPr="000977F7">
        <w:rPr>
          <w:rFonts w:asciiTheme="majorHAnsi" w:hAnsiTheme="majorHAnsi"/>
          <w:sz w:val="20"/>
          <w:szCs w:val="20"/>
        </w:rPr>
        <w:t>х</w:t>
      </w:r>
      <w:r w:rsidRPr="000977F7">
        <w:rPr>
          <w:rFonts w:asciiTheme="majorHAnsi" w:hAnsiTheme="majorHAnsi"/>
          <w:spacing w:val="-17"/>
          <w:sz w:val="20"/>
          <w:szCs w:val="20"/>
        </w:rPr>
        <w:t xml:space="preserve"> </w:t>
      </w:r>
      <w:r w:rsidRPr="000977F7">
        <w:rPr>
          <w:rFonts w:asciiTheme="majorHAnsi" w:hAnsiTheme="majorHAnsi"/>
          <w:sz w:val="20"/>
          <w:szCs w:val="20"/>
        </w:rPr>
        <w:t>10</w:t>
      </w:r>
      <w:r w:rsidRPr="000977F7">
        <w:rPr>
          <w:rFonts w:asciiTheme="majorHAnsi" w:hAnsiTheme="majorHAnsi"/>
          <w:sz w:val="20"/>
          <w:szCs w:val="20"/>
          <w:vertAlign w:val="superscript"/>
        </w:rPr>
        <w:t>4</w:t>
      </w:r>
      <w:r w:rsidRPr="000977F7">
        <w:rPr>
          <w:rFonts w:asciiTheme="majorHAnsi" w:hAnsiTheme="majorHAnsi"/>
          <w:sz w:val="20"/>
          <w:szCs w:val="20"/>
        </w:rPr>
        <w:t xml:space="preserve"> );</w:t>
      </w:r>
    </w:p>
    <w:p w14:paraId="0078F023" w14:textId="77777777" w:rsidR="0097612F" w:rsidRPr="000977F7" w:rsidRDefault="0097612F" w:rsidP="00FD39A4">
      <w:pPr>
        <w:pStyle w:val="ac"/>
        <w:widowControl w:val="0"/>
        <w:numPr>
          <w:ilvl w:val="0"/>
          <w:numId w:val="203"/>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випробування на багатоциклову втому (частотний</w:t>
      </w:r>
      <w:r w:rsidRPr="000977F7">
        <w:rPr>
          <w:rFonts w:asciiTheme="majorHAnsi" w:hAnsiTheme="majorHAnsi"/>
          <w:spacing w:val="-47"/>
          <w:sz w:val="20"/>
          <w:szCs w:val="20"/>
        </w:rPr>
        <w:t xml:space="preserve"> </w:t>
      </w:r>
      <w:r w:rsidRPr="000977F7">
        <w:rPr>
          <w:rFonts w:asciiTheme="majorHAnsi" w:hAnsiTheme="majorHAnsi"/>
          <w:sz w:val="20"/>
          <w:szCs w:val="20"/>
        </w:rPr>
        <w:t>діапазон від 5 до 300 Гц; поява макротріщин або</w:t>
      </w:r>
      <w:r w:rsidRPr="000977F7">
        <w:rPr>
          <w:rFonts w:asciiTheme="majorHAnsi" w:hAnsiTheme="majorHAnsi"/>
          <w:spacing w:val="1"/>
          <w:sz w:val="20"/>
          <w:szCs w:val="20"/>
        </w:rPr>
        <w:t xml:space="preserve"> </w:t>
      </w:r>
      <w:r w:rsidRPr="000977F7">
        <w:rPr>
          <w:rFonts w:asciiTheme="majorHAnsi" w:hAnsiTheme="majorHAnsi"/>
          <w:sz w:val="20"/>
          <w:szCs w:val="20"/>
        </w:rPr>
        <w:t>руйнування</w:t>
      </w:r>
      <w:r w:rsidRPr="000977F7">
        <w:rPr>
          <w:rFonts w:asciiTheme="majorHAnsi" w:hAnsiTheme="majorHAnsi"/>
          <w:spacing w:val="1"/>
          <w:sz w:val="20"/>
          <w:szCs w:val="20"/>
        </w:rPr>
        <w:t xml:space="preserve"> </w:t>
      </w:r>
      <w:r w:rsidRPr="000977F7">
        <w:rPr>
          <w:rFonts w:asciiTheme="majorHAnsi" w:hAnsiTheme="majorHAnsi"/>
          <w:sz w:val="20"/>
          <w:szCs w:val="20"/>
        </w:rPr>
        <w:t>відбувається,</w:t>
      </w:r>
      <w:r w:rsidRPr="000977F7">
        <w:rPr>
          <w:rFonts w:asciiTheme="majorHAnsi" w:hAnsiTheme="majorHAnsi"/>
          <w:spacing w:val="1"/>
          <w:sz w:val="20"/>
          <w:szCs w:val="20"/>
        </w:rPr>
        <w:t xml:space="preserve"> </w:t>
      </w:r>
      <w:r w:rsidRPr="000977F7">
        <w:rPr>
          <w:rFonts w:asciiTheme="majorHAnsi" w:hAnsiTheme="majorHAnsi"/>
          <w:sz w:val="20"/>
          <w:szCs w:val="20"/>
        </w:rPr>
        <w:t>коли число</w:t>
      </w:r>
      <w:r w:rsidRPr="000977F7">
        <w:rPr>
          <w:rFonts w:asciiTheme="majorHAnsi" w:hAnsiTheme="majorHAnsi"/>
          <w:spacing w:val="1"/>
          <w:sz w:val="20"/>
          <w:szCs w:val="20"/>
        </w:rPr>
        <w:t xml:space="preserve"> </w:t>
      </w:r>
      <w:r w:rsidRPr="000977F7">
        <w:rPr>
          <w:rFonts w:asciiTheme="majorHAnsi" w:hAnsiTheme="majorHAnsi"/>
          <w:sz w:val="20"/>
          <w:szCs w:val="20"/>
        </w:rPr>
        <w:t>циклів</w:t>
      </w:r>
      <w:r w:rsidRPr="000977F7">
        <w:rPr>
          <w:rFonts w:asciiTheme="majorHAnsi" w:hAnsiTheme="majorHAnsi"/>
          <w:spacing w:val="1"/>
          <w:sz w:val="20"/>
          <w:szCs w:val="20"/>
        </w:rPr>
        <w:t xml:space="preserve"> </w:t>
      </w:r>
      <w:r w:rsidRPr="000977F7">
        <w:rPr>
          <w:rFonts w:asciiTheme="majorHAnsi" w:hAnsiTheme="majorHAnsi"/>
          <w:sz w:val="20"/>
          <w:szCs w:val="20"/>
        </w:rPr>
        <w:t>бі</w:t>
      </w:r>
      <w:r w:rsidRPr="000977F7">
        <w:rPr>
          <w:rFonts w:asciiTheme="majorHAnsi" w:hAnsiTheme="majorHAnsi"/>
          <w:w w:val="95"/>
          <w:sz w:val="20"/>
          <w:szCs w:val="20"/>
        </w:rPr>
        <w:t>льше</w:t>
      </w:r>
      <w:r w:rsidRPr="000977F7">
        <w:rPr>
          <w:rFonts w:asciiTheme="majorHAnsi" w:hAnsiTheme="majorHAnsi"/>
          <w:spacing w:val="3"/>
          <w:w w:val="95"/>
          <w:sz w:val="20"/>
          <w:szCs w:val="20"/>
        </w:rPr>
        <w:t xml:space="preserve"> </w:t>
      </w:r>
      <w:r w:rsidRPr="000977F7">
        <w:rPr>
          <w:rFonts w:asciiTheme="majorHAnsi" w:hAnsiTheme="majorHAnsi"/>
          <w:w w:val="95"/>
          <w:sz w:val="20"/>
          <w:szCs w:val="20"/>
        </w:rPr>
        <w:t>ніж</w:t>
      </w:r>
      <w:r w:rsidRPr="000977F7">
        <w:rPr>
          <w:rFonts w:asciiTheme="majorHAnsi" w:hAnsiTheme="majorHAnsi"/>
          <w:spacing w:val="2"/>
          <w:w w:val="95"/>
          <w:sz w:val="20"/>
          <w:szCs w:val="20"/>
        </w:rPr>
        <w:t xml:space="preserve"> </w:t>
      </w:r>
      <w:r w:rsidRPr="000977F7">
        <w:rPr>
          <w:rFonts w:asciiTheme="majorHAnsi" w:hAnsiTheme="majorHAnsi"/>
          <w:w w:val="95"/>
          <w:sz w:val="20"/>
          <w:szCs w:val="20"/>
        </w:rPr>
        <w:t>5</w:t>
      </w:r>
      <w:r w:rsidRPr="000977F7">
        <w:rPr>
          <w:rFonts w:asciiTheme="majorHAnsi" w:hAnsiTheme="majorHAnsi"/>
          <w:spacing w:val="5"/>
          <w:w w:val="95"/>
          <w:sz w:val="20"/>
          <w:szCs w:val="20"/>
        </w:rPr>
        <w:t xml:space="preserve"> </w:t>
      </w:r>
      <w:r w:rsidRPr="000977F7">
        <w:rPr>
          <w:rFonts w:asciiTheme="majorHAnsi" w:hAnsiTheme="majorHAnsi"/>
          <w:w w:val="95"/>
          <w:sz w:val="20"/>
          <w:szCs w:val="20"/>
        </w:rPr>
        <w:t>х</w:t>
      </w:r>
      <w:r w:rsidRPr="000977F7">
        <w:rPr>
          <w:rFonts w:asciiTheme="majorHAnsi" w:hAnsiTheme="majorHAnsi"/>
          <w:spacing w:val="-14"/>
          <w:w w:val="95"/>
          <w:sz w:val="20"/>
          <w:szCs w:val="20"/>
        </w:rPr>
        <w:t xml:space="preserve"> </w:t>
      </w:r>
      <w:r w:rsidRPr="000977F7">
        <w:rPr>
          <w:rFonts w:asciiTheme="majorHAnsi" w:hAnsiTheme="majorHAnsi"/>
          <w:w w:val="95"/>
          <w:sz w:val="20"/>
          <w:szCs w:val="20"/>
        </w:rPr>
        <w:t>10</w:t>
      </w:r>
      <w:r w:rsidRPr="000977F7">
        <w:rPr>
          <w:rFonts w:asciiTheme="majorHAnsi" w:hAnsiTheme="majorHAnsi"/>
          <w:w w:val="95"/>
          <w:sz w:val="20"/>
          <w:szCs w:val="20"/>
          <w:vertAlign w:val="superscript"/>
        </w:rPr>
        <w:t>4</w:t>
      </w:r>
      <w:r w:rsidRPr="000977F7">
        <w:rPr>
          <w:rFonts w:asciiTheme="majorHAnsi" w:hAnsiTheme="majorHAnsi"/>
          <w:spacing w:val="4"/>
          <w:w w:val="95"/>
          <w:sz w:val="20"/>
          <w:szCs w:val="20"/>
        </w:rPr>
        <w:t xml:space="preserve"> </w:t>
      </w:r>
      <w:r w:rsidRPr="000977F7">
        <w:rPr>
          <w:rFonts w:asciiTheme="majorHAnsi" w:hAnsiTheme="majorHAnsi"/>
          <w:w w:val="95"/>
          <w:sz w:val="20"/>
          <w:szCs w:val="20"/>
        </w:rPr>
        <w:t>);</w:t>
      </w:r>
    </w:p>
    <w:p w14:paraId="3AA12929" w14:textId="77777777" w:rsidR="0097612F" w:rsidRPr="000977F7" w:rsidRDefault="0097612F" w:rsidP="00FD39A4">
      <w:pPr>
        <w:pStyle w:val="ac"/>
        <w:widowControl w:val="0"/>
        <w:numPr>
          <w:ilvl w:val="0"/>
          <w:numId w:val="203"/>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випробування на високочастотну втому (частотний</w:t>
      </w:r>
      <w:r w:rsidRPr="000977F7">
        <w:rPr>
          <w:rFonts w:asciiTheme="majorHAnsi" w:hAnsiTheme="majorHAnsi"/>
          <w:spacing w:val="-2"/>
          <w:sz w:val="20"/>
          <w:szCs w:val="20"/>
        </w:rPr>
        <w:t xml:space="preserve"> </w:t>
      </w:r>
      <w:r w:rsidRPr="000977F7">
        <w:rPr>
          <w:rFonts w:asciiTheme="majorHAnsi" w:hAnsiTheme="majorHAnsi"/>
          <w:sz w:val="20"/>
          <w:szCs w:val="20"/>
        </w:rPr>
        <w:t>діапазон</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300 до 1</w:t>
      </w:r>
      <w:r w:rsidRPr="000977F7">
        <w:rPr>
          <w:rFonts w:asciiTheme="majorHAnsi" w:hAnsiTheme="majorHAnsi"/>
          <w:spacing w:val="1"/>
          <w:sz w:val="20"/>
          <w:szCs w:val="20"/>
        </w:rPr>
        <w:t xml:space="preserve"> </w:t>
      </w:r>
      <w:r w:rsidRPr="000977F7">
        <w:rPr>
          <w:rFonts w:asciiTheme="majorHAnsi" w:hAnsiTheme="majorHAnsi"/>
          <w:sz w:val="20"/>
          <w:szCs w:val="20"/>
        </w:rPr>
        <w:t>х</w:t>
      </w:r>
      <w:r w:rsidRPr="000977F7">
        <w:rPr>
          <w:rFonts w:asciiTheme="majorHAnsi" w:hAnsiTheme="majorHAnsi"/>
          <w:spacing w:val="-1"/>
          <w:sz w:val="20"/>
          <w:szCs w:val="20"/>
        </w:rPr>
        <w:t xml:space="preserve"> </w:t>
      </w:r>
      <w:r w:rsidRPr="000977F7">
        <w:rPr>
          <w:rFonts w:asciiTheme="majorHAnsi" w:hAnsiTheme="majorHAnsi"/>
          <w:sz w:val="20"/>
          <w:szCs w:val="20"/>
        </w:rPr>
        <w:t>10</w:t>
      </w:r>
      <w:r w:rsidRPr="000977F7">
        <w:rPr>
          <w:rFonts w:asciiTheme="majorHAnsi" w:hAnsiTheme="majorHAnsi"/>
          <w:sz w:val="20"/>
          <w:szCs w:val="20"/>
          <w:vertAlign w:val="superscript"/>
        </w:rPr>
        <w:t>5</w:t>
      </w:r>
      <w:r w:rsidRPr="000977F7">
        <w:rPr>
          <w:rFonts w:asciiTheme="majorHAnsi" w:hAnsiTheme="majorHAnsi"/>
          <w:spacing w:val="-1"/>
          <w:sz w:val="20"/>
          <w:szCs w:val="20"/>
        </w:rPr>
        <w:t xml:space="preserve"> </w:t>
      </w:r>
      <w:r w:rsidRPr="000977F7">
        <w:rPr>
          <w:rFonts w:asciiTheme="majorHAnsi" w:hAnsiTheme="majorHAnsi"/>
          <w:sz w:val="20"/>
          <w:szCs w:val="20"/>
        </w:rPr>
        <w:t>Гц).</w:t>
      </w:r>
    </w:p>
    <w:p w14:paraId="53B4D7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Наведені значення частот та довговічності є до</w:t>
      </w:r>
      <w:r w:rsidRPr="000977F7">
        <w:rPr>
          <w:rFonts w:asciiTheme="majorHAnsi" w:hAnsiTheme="majorHAnsi"/>
          <w:spacing w:val="1"/>
          <w:sz w:val="20"/>
          <w:szCs w:val="20"/>
        </w:rPr>
        <w:t xml:space="preserve"> </w:t>
      </w:r>
      <w:r w:rsidRPr="000977F7">
        <w:rPr>
          <w:rFonts w:asciiTheme="majorHAnsi" w:hAnsiTheme="majorHAnsi"/>
          <w:sz w:val="20"/>
          <w:szCs w:val="20"/>
        </w:rPr>
        <w:t>деякої міри умовними, оскільки межа між даними</w:t>
      </w:r>
      <w:r w:rsidRPr="000977F7">
        <w:rPr>
          <w:rFonts w:asciiTheme="majorHAnsi" w:hAnsiTheme="majorHAnsi"/>
          <w:spacing w:val="-47"/>
          <w:sz w:val="20"/>
          <w:szCs w:val="20"/>
        </w:rPr>
        <w:t xml:space="preserve"> </w:t>
      </w:r>
      <w:r w:rsidRPr="000977F7">
        <w:rPr>
          <w:rFonts w:asciiTheme="majorHAnsi" w:hAnsiTheme="majorHAnsi"/>
          <w:sz w:val="20"/>
          <w:szCs w:val="20"/>
        </w:rPr>
        <w:t>видами випробувань може переміщуватись у бік</w:t>
      </w:r>
      <w:r w:rsidRPr="000977F7">
        <w:rPr>
          <w:rFonts w:asciiTheme="majorHAnsi" w:hAnsiTheme="majorHAnsi"/>
          <w:spacing w:val="1"/>
          <w:sz w:val="20"/>
          <w:szCs w:val="20"/>
        </w:rPr>
        <w:t xml:space="preserve"> </w:t>
      </w:r>
      <w:r w:rsidRPr="000977F7">
        <w:rPr>
          <w:rFonts w:asciiTheme="majorHAnsi" w:hAnsiTheme="majorHAnsi"/>
          <w:sz w:val="20"/>
          <w:szCs w:val="20"/>
        </w:rPr>
        <w:t>більших</w:t>
      </w:r>
      <w:r w:rsidRPr="000977F7">
        <w:rPr>
          <w:rFonts w:asciiTheme="majorHAnsi" w:hAnsiTheme="majorHAnsi"/>
          <w:spacing w:val="1"/>
          <w:sz w:val="20"/>
          <w:szCs w:val="20"/>
        </w:rPr>
        <w:t xml:space="preserve"> </w:t>
      </w:r>
      <w:r w:rsidRPr="000977F7">
        <w:rPr>
          <w:rFonts w:asciiTheme="majorHAnsi" w:hAnsiTheme="majorHAnsi"/>
          <w:sz w:val="20"/>
          <w:szCs w:val="20"/>
        </w:rPr>
        <w:t>довговічності</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високопластичних</w:t>
      </w:r>
      <w:r w:rsidRPr="000977F7">
        <w:rPr>
          <w:rFonts w:asciiTheme="majorHAnsi" w:hAnsiTheme="majorHAnsi"/>
          <w:spacing w:val="1"/>
          <w:sz w:val="20"/>
          <w:szCs w:val="20"/>
        </w:rPr>
        <w:t xml:space="preserve"> </w:t>
      </w:r>
      <w:r w:rsidRPr="000977F7">
        <w:rPr>
          <w:rFonts w:asciiTheme="majorHAnsi" w:hAnsiTheme="majorHAnsi"/>
          <w:sz w:val="20"/>
          <w:szCs w:val="20"/>
        </w:rPr>
        <w:t>сплавів</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бік</w:t>
      </w:r>
      <w:r w:rsidRPr="000977F7">
        <w:rPr>
          <w:rFonts w:asciiTheme="majorHAnsi" w:hAnsiTheme="majorHAnsi"/>
          <w:spacing w:val="-2"/>
          <w:sz w:val="20"/>
          <w:szCs w:val="20"/>
        </w:rPr>
        <w:t xml:space="preserve"> </w:t>
      </w:r>
      <w:r w:rsidRPr="000977F7">
        <w:rPr>
          <w:rFonts w:asciiTheme="majorHAnsi" w:hAnsiTheme="majorHAnsi"/>
          <w:sz w:val="20"/>
          <w:szCs w:val="20"/>
        </w:rPr>
        <w:t>менших</w:t>
      </w:r>
      <w:r w:rsidRPr="000977F7">
        <w:rPr>
          <w:rFonts w:asciiTheme="majorHAnsi" w:hAnsiTheme="majorHAnsi"/>
          <w:spacing w:val="-1"/>
          <w:sz w:val="20"/>
          <w:szCs w:val="20"/>
        </w:rPr>
        <w:t xml:space="preserve"> </w:t>
      </w:r>
      <w:r w:rsidRPr="000977F7">
        <w:rPr>
          <w:rFonts w:asciiTheme="majorHAnsi" w:hAnsiTheme="majorHAnsi"/>
          <w:sz w:val="20"/>
          <w:szCs w:val="20"/>
        </w:rPr>
        <w:t>– для</w:t>
      </w:r>
      <w:r w:rsidRPr="000977F7">
        <w:rPr>
          <w:rFonts w:asciiTheme="majorHAnsi" w:hAnsiTheme="majorHAnsi"/>
          <w:spacing w:val="1"/>
          <w:sz w:val="20"/>
          <w:szCs w:val="20"/>
        </w:rPr>
        <w:t xml:space="preserve"> </w:t>
      </w:r>
      <w:r w:rsidRPr="000977F7">
        <w:rPr>
          <w:rFonts w:asciiTheme="majorHAnsi" w:hAnsiTheme="majorHAnsi"/>
          <w:sz w:val="20"/>
          <w:szCs w:val="20"/>
        </w:rPr>
        <w:t>малопластичних</w:t>
      </w:r>
    </w:p>
    <w:p w14:paraId="5BBA15A4" w14:textId="77777777" w:rsidR="0097612F" w:rsidRPr="000977F7" w:rsidRDefault="0097612F" w:rsidP="00FD39A4">
      <w:pPr>
        <w:pStyle w:val="ac"/>
        <w:widowControl w:val="0"/>
        <w:numPr>
          <w:ilvl w:val="1"/>
          <w:numId w:val="204"/>
        </w:numPr>
        <w:tabs>
          <w:tab w:val="left" w:pos="284"/>
          <w:tab w:val="left" w:pos="79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Окремі</w:t>
      </w:r>
      <w:r w:rsidRPr="000977F7">
        <w:rPr>
          <w:rFonts w:asciiTheme="majorHAnsi" w:hAnsiTheme="majorHAnsi"/>
          <w:spacing w:val="-6"/>
          <w:sz w:val="20"/>
          <w:szCs w:val="20"/>
        </w:rPr>
        <w:t xml:space="preserve"> </w:t>
      </w:r>
      <w:r w:rsidRPr="000977F7">
        <w:rPr>
          <w:rFonts w:asciiTheme="majorHAnsi" w:hAnsiTheme="majorHAnsi"/>
          <w:sz w:val="20"/>
          <w:szCs w:val="20"/>
        </w:rPr>
        <w:t>види</w:t>
      </w:r>
      <w:r w:rsidRPr="000977F7">
        <w:rPr>
          <w:rFonts w:asciiTheme="majorHAnsi" w:hAnsiTheme="majorHAnsi"/>
          <w:spacing w:val="-7"/>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5"/>
          <w:sz w:val="20"/>
          <w:szCs w:val="20"/>
        </w:rPr>
        <w:t xml:space="preserve"> </w:t>
      </w:r>
      <w:r w:rsidRPr="000977F7">
        <w:rPr>
          <w:rFonts w:asciiTheme="majorHAnsi" w:hAnsiTheme="majorHAnsi"/>
          <w:sz w:val="20"/>
          <w:szCs w:val="20"/>
        </w:rPr>
        <w:t>на</w:t>
      </w:r>
      <w:r w:rsidRPr="000977F7">
        <w:rPr>
          <w:rFonts w:asciiTheme="majorHAnsi" w:hAnsiTheme="majorHAnsi"/>
          <w:spacing w:val="-5"/>
          <w:sz w:val="20"/>
          <w:szCs w:val="20"/>
        </w:rPr>
        <w:t xml:space="preserve"> </w:t>
      </w:r>
      <w:r w:rsidRPr="000977F7">
        <w:rPr>
          <w:rFonts w:asciiTheme="majorHAnsi" w:hAnsiTheme="majorHAnsi"/>
          <w:sz w:val="20"/>
          <w:szCs w:val="20"/>
        </w:rPr>
        <w:t>втому:</w:t>
      </w:r>
    </w:p>
    <w:p w14:paraId="0CDD1DA2" w14:textId="77777777" w:rsidR="0097612F" w:rsidRPr="000977F7" w:rsidRDefault="0097612F" w:rsidP="00FD39A4">
      <w:pPr>
        <w:pStyle w:val="ac"/>
        <w:widowControl w:val="0"/>
        <w:numPr>
          <w:ilvl w:val="0"/>
          <w:numId w:val="209"/>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pacing w:val="-1"/>
          <w:sz w:val="20"/>
          <w:szCs w:val="20"/>
        </w:rPr>
        <w:t xml:space="preserve">випробування на контактну втому (за </w:t>
      </w:r>
      <w:r w:rsidRPr="000977F7">
        <w:rPr>
          <w:rFonts w:asciiTheme="majorHAnsi" w:hAnsiTheme="majorHAnsi"/>
          <w:sz w:val="20"/>
          <w:szCs w:val="20"/>
        </w:rPr>
        <w:t>умови утво</w:t>
      </w:r>
      <w:r w:rsidRPr="000977F7">
        <w:rPr>
          <w:rFonts w:asciiTheme="majorHAnsi" w:hAnsiTheme="majorHAnsi"/>
          <w:spacing w:val="-5"/>
          <w:sz w:val="20"/>
          <w:szCs w:val="20"/>
        </w:rPr>
        <w:t xml:space="preserve">рення в об’єкті повторно-змінних </w:t>
      </w:r>
      <w:r w:rsidRPr="000977F7">
        <w:rPr>
          <w:rFonts w:asciiTheme="majorHAnsi" w:hAnsiTheme="majorHAnsi"/>
          <w:spacing w:val="-4"/>
          <w:sz w:val="20"/>
          <w:szCs w:val="20"/>
        </w:rPr>
        <w:t>контактних напру</w:t>
      </w:r>
      <w:r w:rsidRPr="000977F7">
        <w:rPr>
          <w:rFonts w:asciiTheme="majorHAnsi" w:hAnsiTheme="majorHAnsi"/>
          <w:spacing w:val="-6"/>
          <w:sz w:val="20"/>
          <w:szCs w:val="20"/>
        </w:rPr>
        <w:t>жень</w:t>
      </w:r>
      <w:r w:rsidRPr="000977F7">
        <w:rPr>
          <w:rFonts w:asciiTheme="majorHAnsi" w:hAnsiTheme="majorHAnsi"/>
          <w:spacing w:val="-12"/>
          <w:sz w:val="20"/>
          <w:szCs w:val="20"/>
        </w:rPr>
        <w:t xml:space="preserve"> </w:t>
      </w:r>
      <w:r w:rsidRPr="000977F7">
        <w:rPr>
          <w:rFonts w:asciiTheme="majorHAnsi" w:hAnsiTheme="majorHAnsi"/>
          <w:spacing w:val="-6"/>
          <w:sz w:val="20"/>
          <w:szCs w:val="20"/>
        </w:rPr>
        <w:t>шляхом</w:t>
      </w:r>
      <w:r w:rsidRPr="000977F7">
        <w:rPr>
          <w:rFonts w:asciiTheme="majorHAnsi" w:hAnsiTheme="majorHAnsi"/>
          <w:spacing w:val="-11"/>
          <w:sz w:val="20"/>
          <w:szCs w:val="20"/>
        </w:rPr>
        <w:t xml:space="preserve"> </w:t>
      </w:r>
      <w:r w:rsidRPr="000977F7">
        <w:rPr>
          <w:rFonts w:asciiTheme="majorHAnsi" w:hAnsiTheme="majorHAnsi"/>
          <w:spacing w:val="-6"/>
          <w:sz w:val="20"/>
          <w:szCs w:val="20"/>
        </w:rPr>
        <w:t>кочення</w:t>
      </w:r>
      <w:r w:rsidRPr="000977F7">
        <w:rPr>
          <w:rFonts w:asciiTheme="majorHAnsi" w:hAnsiTheme="majorHAnsi"/>
          <w:spacing w:val="-11"/>
          <w:sz w:val="20"/>
          <w:szCs w:val="20"/>
        </w:rPr>
        <w:t xml:space="preserve"> </w:t>
      </w:r>
      <w:r w:rsidRPr="000977F7">
        <w:rPr>
          <w:rFonts w:asciiTheme="majorHAnsi" w:hAnsiTheme="majorHAnsi"/>
          <w:spacing w:val="-6"/>
          <w:sz w:val="20"/>
          <w:szCs w:val="20"/>
        </w:rPr>
        <w:t>або</w:t>
      </w:r>
      <w:r w:rsidRPr="000977F7">
        <w:rPr>
          <w:rFonts w:asciiTheme="majorHAnsi" w:hAnsiTheme="majorHAnsi"/>
          <w:spacing w:val="-8"/>
          <w:sz w:val="20"/>
          <w:szCs w:val="20"/>
        </w:rPr>
        <w:t xml:space="preserve"> </w:t>
      </w:r>
      <w:r w:rsidRPr="000977F7">
        <w:rPr>
          <w:rFonts w:asciiTheme="majorHAnsi" w:hAnsiTheme="majorHAnsi"/>
          <w:spacing w:val="-6"/>
          <w:sz w:val="20"/>
          <w:szCs w:val="20"/>
        </w:rPr>
        <w:t>пульсивного</w:t>
      </w:r>
      <w:r w:rsidRPr="000977F7">
        <w:rPr>
          <w:rFonts w:asciiTheme="majorHAnsi" w:hAnsiTheme="majorHAnsi"/>
          <w:spacing w:val="-11"/>
          <w:sz w:val="20"/>
          <w:szCs w:val="20"/>
        </w:rPr>
        <w:t xml:space="preserve"> </w:t>
      </w:r>
      <w:r w:rsidRPr="000977F7">
        <w:rPr>
          <w:rFonts w:asciiTheme="majorHAnsi" w:hAnsiTheme="majorHAnsi"/>
          <w:spacing w:val="-5"/>
          <w:sz w:val="20"/>
          <w:szCs w:val="20"/>
        </w:rPr>
        <w:t xml:space="preserve">контакту); </w:t>
      </w:r>
      <w:r w:rsidRPr="000977F7">
        <w:rPr>
          <w:rFonts w:asciiTheme="majorHAnsi" w:hAnsiTheme="majorHAnsi"/>
          <w:sz w:val="20"/>
          <w:szCs w:val="20"/>
        </w:rPr>
        <w:t>випробування на корозійну втому (за умови одночасної дії на об’єкт повторно-змінних навантажень</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корозійних</w:t>
      </w:r>
      <w:r w:rsidRPr="000977F7">
        <w:rPr>
          <w:rFonts w:asciiTheme="majorHAnsi" w:hAnsiTheme="majorHAnsi"/>
          <w:spacing w:val="-2"/>
          <w:sz w:val="20"/>
          <w:szCs w:val="20"/>
        </w:rPr>
        <w:t xml:space="preserve"> </w:t>
      </w:r>
      <w:r w:rsidRPr="000977F7">
        <w:rPr>
          <w:rFonts w:asciiTheme="majorHAnsi" w:hAnsiTheme="majorHAnsi"/>
          <w:sz w:val="20"/>
          <w:szCs w:val="20"/>
        </w:rPr>
        <w:t>середовищ)</w:t>
      </w:r>
    </w:p>
    <w:p w14:paraId="19C6764B" w14:textId="77777777" w:rsidR="0097612F" w:rsidRPr="000977F7" w:rsidRDefault="0097612F" w:rsidP="00FD39A4">
      <w:pPr>
        <w:pStyle w:val="ac"/>
        <w:widowControl w:val="0"/>
        <w:numPr>
          <w:ilvl w:val="1"/>
          <w:numId w:val="204"/>
        </w:numPr>
        <w:tabs>
          <w:tab w:val="left" w:pos="284"/>
          <w:tab w:val="left" w:pos="66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Крім того, застосовуються випробування на втому під час</w:t>
      </w:r>
      <w:r w:rsidRPr="000977F7">
        <w:rPr>
          <w:rFonts w:asciiTheme="majorHAnsi" w:hAnsiTheme="majorHAnsi"/>
          <w:spacing w:val="-1"/>
          <w:sz w:val="20"/>
          <w:szCs w:val="20"/>
        </w:rPr>
        <w:t xml:space="preserve"> </w:t>
      </w:r>
      <w:r w:rsidRPr="000977F7">
        <w:rPr>
          <w:rFonts w:asciiTheme="majorHAnsi" w:hAnsiTheme="majorHAnsi"/>
          <w:sz w:val="20"/>
          <w:szCs w:val="20"/>
        </w:rPr>
        <w:t>термомеханічного навантажування:</w:t>
      </w:r>
    </w:p>
    <w:p w14:paraId="6DB4D5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термомеханічну</w:t>
      </w:r>
      <w:r w:rsidRPr="000977F7">
        <w:rPr>
          <w:rFonts w:asciiTheme="majorHAnsi" w:hAnsiTheme="majorHAnsi"/>
          <w:spacing w:val="50"/>
          <w:sz w:val="20"/>
          <w:szCs w:val="20"/>
        </w:rPr>
        <w:t xml:space="preserve"> </w:t>
      </w:r>
      <w:r w:rsidRPr="000977F7">
        <w:rPr>
          <w:rFonts w:asciiTheme="majorHAnsi" w:hAnsiTheme="majorHAnsi"/>
          <w:sz w:val="20"/>
          <w:szCs w:val="20"/>
        </w:rPr>
        <w:t>малоциклову</w:t>
      </w:r>
      <w:r w:rsidRPr="000977F7">
        <w:rPr>
          <w:rFonts w:asciiTheme="majorHAnsi" w:hAnsiTheme="majorHAnsi"/>
          <w:spacing w:val="1"/>
          <w:sz w:val="20"/>
          <w:szCs w:val="20"/>
        </w:rPr>
        <w:t xml:space="preserve"> </w:t>
      </w:r>
      <w:r w:rsidRPr="000977F7">
        <w:rPr>
          <w:rFonts w:asciiTheme="majorHAnsi" w:hAnsiTheme="majorHAnsi"/>
          <w:sz w:val="20"/>
          <w:szCs w:val="20"/>
        </w:rPr>
        <w:t>втому (температура об’єкта змінюється в циклі</w:t>
      </w:r>
      <w:r w:rsidRPr="000977F7">
        <w:rPr>
          <w:rFonts w:asciiTheme="majorHAnsi" w:hAnsiTheme="majorHAnsi"/>
          <w:spacing w:val="1"/>
          <w:sz w:val="20"/>
          <w:szCs w:val="20"/>
        </w:rPr>
        <w:t xml:space="preserve"> </w:t>
      </w:r>
      <w:r w:rsidRPr="000977F7">
        <w:rPr>
          <w:rFonts w:asciiTheme="majorHAnsi" w:hAnsiTheme="majorHAnsi"/>
          <w:sz w:val="20"/>
          <w:szCs w:val="20"/>
        </w:rPr>
        <w:t>незалежно від</w:t>
      </w:r>
      <w:r w:rsidRPr="000977F7">
        <w:rPr>
          <w:rFonts w:asciiTheme="majorHAnsi" w:hAnsiTheme="majorHAnsi"/>
          <w:spacing w:val="-2"/>
          <w:sz w:val="20"/>
          <w:szCs w:val="20"/>
        </w:rPr>
        <w:t xml:space="preserve"> </w:t>
      </w:r>
      <w:r w:rsidRPr="000977F7">
        <w:rPr>
          <w:rFonts w:asciiTheme="majorHAnsi" w:hAnsiTheme="majorHAnsi"/>
          <w:sz w:val="20"/>
          <w:szCs w:val="20"/>
        </w:rPr>
        <w:t>зміни</w:t>
      </w:r>
      <w:r w:rsidRPr="000977F7">
        <w:rPr>
          <w:rFonts w:asciiTheme="majorHAnsi" w:hAnsiTheme="majorHAnsi"/>
          <w:spacing w:val="-1"/>
          <w:sz w:val="20"/>
          <w:szCs w:val="20"/>
        </w:rPr>
        <w:t xml:space="preserve"> </w:t>
      </w:r>
      <w:r w:rsidRPr="000977F7">
        <w:rPr>
          <w:rFonts w:asciiTheme="majorHAnsi" w:hAnsiTheme="majorHAnsi"/>
          <w:sz w:val="20"/>
          <w:szCs w:val="20"/>
        </w:rPr>
        <w:t>навантаження);</w:t>
      </w:r>
    </w:p>
    <w:p w14:paraId="4D76B4DA" w14:textId="77777777" w:rsidR="0097612F" w:rsidRPr="000977F7" w:rsidRDefault="0097612F" w:rsidP="00FD39A4">
      <w:pPr>
        <w:pStyle w:val="ac"/>
        <w:widowControl w:val="0"/>
        <w:numPr>
          <w:ilvl w:val="0"/>
          <w:numId w:val="202"/>
        </w:numPr>
        <w:tabs>
          <w:tab w:val="left" w:pos="284"/>
          <w:tab w:val="left" w:pos="77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термовтому</w:t>
      </w:r>
      <w:r w:rsidRPr="000977F7">
        <w:rPr>
          <w:rFonts w:asciiTheme="majorHAnsi" w:hAnsiTheme="majorHAnsi"/>
          <w:spacing w:val="1"/>
          <w:sz w:val="20"/>
          <w:szCs w:val="20"/>
        </w:rPr>
        <w:t xml:space="preserve"> </w:t>
      </w:r>
      <w:r w:rsidRPr="000977F7">
        <w:rPr>
          <w:rFonts w:asciiTheme="majorHAnsi" w:hAnsiTheme="majorHAnsi"/>
          <w:sz w:val="20"/>
          <w:szCs w:val="20"/>
        </w:rPr>
        <w:t>(навантажування</w:t>
      </w:r>
      <w:r w:rsidRPr="000977F7">
        <w:rPr>
          <w:rFonts w:asciiTheme="majorHAnsi" w:hAnsiTheme="majorHAnsi"/>
          <w:spacing w:val="1"/>
          <w:sz w:val="20"/>
          <w:szCs w:val="20"/>
        </w:rPr>
        <w:t xml:space="preserve"> </w:t>
      </w:r>
      <w:r w:rsidRPr="000977F7">
        <w:rPr>
          <w:rFonts w:asciiTheme="majorHAnsi" w:hAnsiTheme="majorHAnsi"/>
          <w:spacing w:val="-1"/>
          <w:sz w:val="20"/>
          <w:szCs w:val="20"/>
        </w:rPr>
        <w:t>стисненням</w:t>
      </w:r>
      <w:r w:rsidRPr="000977F7">
        <w:rPr>
          <w:rFonts w:asciiTheme="majorHAnsi" w:hAnsiTheme="majorHAnsi"/>
          <w:spacing w:val="-8"/>
          <w:sz w:val="20"/>
          <w:szCs w:val="20"/>
        </w:rPr>
        <w:t xml:space="preserve"> </w:t>
      </w:r>
      <w:r w:rsidRPr="000977F7">
        <w:rPr>
          <w:rFonts w:asciiTheme="majorHAnsi" w:hAnsiTheme="majorHAnsi"/>
          <w:sz w:val="20"/>
          <w:szCs w:val="20"/>
        </w:rPr>
        <w:t>температурних</w:t>
      </w:r>
      <w:r w:rsidRPr="000977F7">
        <w:rPr>
          <w:rFonts w:asciiTheme="majorHAnsi" w:hAnsiTheme="majorHAnsi"/>
          <w:spacing w:val="-7"/>
          <w:sz w:val="20"/>
          <w:szCs w:val="20"/>
        </w:rPr>
        <w:t xml:space="preserve"> </w:t>
      </w:r>
      <w:r w:rsidRPr="000977F7">
        <w:rPr>
          <w:rFonts w:asciiTheme="majorHAnsi" w:hAnsiTheme="majorHAnsi"/>
          <w:sz w:val="20"/>
          <w:szCs w:val="20"/>
        </w:rPr>
        <w:t>деформацій</w:t>
      </w:r>
      <w:r w:rsidRPr="000977F7">
        <w:rPr>
          <w:rFonts w:asciiTheme="majorHAnsi" w:hAnsiTheme="majorHAnsi"/>
          <w:spacing w:val="-9"/>
          <w:sz w:val="20"/>
          <w:szCs w:val="20"/>
        </w:rPr>
        <w:t xml:space="preserve"> </w:t>
      </w:r>
      <w:r w:rsidRPr="000977F7">
        <w:rPr>
          <w:rFonts w:asciiTheme="majorHAnsi" w:hAnsiTheme="majorHAnsi"/>
          <w:sz w:val="20"/>
          <w:szCs w:val="20"/>
        </w:rPr>
        <w:t>з</w:t>
      </w:r>
      <w:r w:rsidRPr="000977F7">
        <w:rPr>
          <w:rFonts w:asciiTheme="majorHAnsi" w:hAnsiTheme="majorHAnsi"/>
          <w:spacing w:val="-8"/>
          <w:sz w:val="20"/>
          <w:szCs w:val="20"/>
        </w:rPr>
        <w:t xml:space="preserve"> </w:t>
      </w:r>
      <w:r w:rsidRPr="000977F7">
        <w:rPr>
          <w:rFonts w:asciiTheme="majorHAnsi" w:hAnsiTheme="majorHAnsi"/>
          <w:sz w:val="20"/>
          <w:szCs w:val="20"/>
        </w:rPr>
        <w:t>синхрон</w:t>
      </w:r>
      <w:r w:rsidRPr="000977F7">
        <w:rPr>
          <w:rFonts w:asciiTheme="majorHAnsi" w:hAnsiTheme="majorHAnsi"/>
          <w:spacing w:val="-1"/>
          <w:sz w:val="20"/>
          <w:szCs w:val="20"/>
        </w:rPr>
        <w:t>ною</w:t>
      </w:r>
      <w:r w:rsidRPr="000977F7">
        <w:rPr>
          <w:rFonts w:asciiTheme="majorHAnsi" w:hAnsiTheme="majorHAnsi"/>
          <w:spacing w:val="-10"/>
          <w:sz w:val="20"/>
          <w:szCs w:val="20"/>
        </w:rPr>
        <w:t xml:space="preserve"> </w:t>
      </w:r>
      <w:r w:rsidRPr="000977F7">
        <w:rPr>
          <w:rFonts w:asciiTheme="majorHAnsi" w:hAnsiTheme="majorHAnsi"/>
          <w:spacing w:val="-1"/>
          <w:sz w:val="20"/>
          <w:szCs w:val="20"/>
        </w:rPr>
        <w:t>зміною</w:t>
      </w:r>
      <w:r w:rsidRPr="000977F7">
        <w:rPr>
          <w:rFonts w:asciiTheme="majorHAnsi" w:hAnsiTheme="majorHAnsi"/>
          <w:spacing w:val="-9"/>
          <w:sz w:val="20"/>
          <w:szCs w:val="20"/>
        </w:rPr>
        <w:t xml:space="preserve"> </w:t>
      </w:r>
      <w:r w:rsidRPr="000977F7">
        <w:rPr>
          <w:rFonts w:asciiTheme="majorHAnsi" w:hAnsiTheme="majorHAnsi"/>
          <w:spacing w:val="-1"/>
          <w:sz w:val="20"/>
          <w:szCs w:val="20"/>
        </w:rPr>
        <w:t>температури</w:t>
      </w:r>
      <w:r w:rsidRPr="000977F7">
        <w:rPr>
          <w:rFonts w:asciiTheme="majorHAnsi" w:hAnsiTheme="majorHAnsi"/>
          <w:spacing w:val="-10"/>
          <w:sz w:val="20"/>
          <w:szCs w:val="20"/>
        </w:rPr>
        <w:t xml:space="preserve"> </w:t>
      </w:r>
      <w:r w:rsidRPr="000977F7">
        <w:rPr>
          <w:rFonts w:asciiTheme="majorHAnsi" w:hAnsiTheme="majorHAnsi"/>
          <w:spacing w:val="-1"/>
          <w:sz w:val="20"/>
          <w:szCs w:val="20"/>
        </w:rPr>
        <w:t>об’єкта</w:t>
      </w:r>
      <w:r w:rsidRPr="000977F7">
        <w:rPr>
          <w:rFonts w:asciiTheme="majorHAnsi" w:hAnsiTheme="majorHAnsi"/>
          <w:spacing w:val="-8"/>
          <w:sz w:val="20"/>
          <w:szCs w:val="20"/>
        </w:rPr>
        <w:t xml:space="preserve"> </w:t>
      </w:r>
      <w:r w:rsidRPr="000977F7">
        <w:rPr>
          <w:rFonts w:asciiTheme="majorHAnsi" w:hAnsiTheme="majorHAnsi"/>
          <w:spacing w:val="-1"/>
          <w:sz w:val="20"/>
          <w:szCs w:val="20"/>
        </w:rPr>
        <w:t>і</w:t>
      </w:r>
      <w:r w:rsidRPr="000977F7">
        <w:rPr>
          <w:rFonts w:asciiTheme="majorHAnsi" w:hAnsiTheme="majorHAnsi"/>
          <w:spacing w:val="-9"/>
          <w:sz w:val="20"/>
          <w:szCs w:val="20"/>
        </w:rPr>
        <w:t xml:space="preserve"> </w:t>
      </w:r>
      <w:r w:rsidRPr="000977F7">
        <w:rPr>
          <w:rFonts w:asciiTheme="majorHAnsi" w:hAnsiTheme="majorHAnsi"/>
          <w:spacing w:val="-1"/>
          <w:sz w:val="20"/>
          <w:szCs w:val="20"/>
        </w:rPr>
        <w:t>навантаження)</w:t>
      </w:r>
    </w:p>
    <w:p w14:paraId="5E04E90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D6CCFF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ВИПРОБУВАННЯ НА ДІЮ СТУПЕНЕВИХ </w:t>
      </w:r>
    </w:p>
    <w:p w14:paraId="527229F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НАВАНТАЖЕНЬ –</w:t>
      </w:r>
    </w:p>
    <w:p w14:paraId="00BFD0D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STEP</w:t>
      </w:r>
      <w:r w:rsidRPr="004D2D14">
        <w:rPr>
          <w:rFonts w:asciiTheme="majorHAnsi" w:hAnsiTheme="majorHAnsi"/>
          <w:spacing w:val="-2"/>
          <w:sz w:val="20"/>
          <w:szCs w:val="20"/>
          <w:lang w:val="uk-UA"/>
        </w:rPr>
        <w:t xml:space="preserve"> </w:t>
      </w:r>
      <w:r w:rsidRPr="000977F7">
        <w:rPr>
          <w:rFonts w:asciiTheme="majorHAnsi" w:hAnsiTheme="majorHAnsi"/>
          <w:sz w:val="20"/>
          <w:szCs w:val="20"/>
        </w:rPr>
        <w:t>STRESS</w:t>
      </w:r>
      <w:r w:rsidRPr="004D2D14">
        <w:rPr>
          <w:rFonts w:asciiTheme="majorHAnsi" w:hAnsiTheme="majorHAnsi"/>
          <w:spacing w:val="-2"/>
          <w:sz w:val="20"/>
          <w:szCs w:val="20"/>
          <w:lang w:val="uk-UA"/>
        </w:rPr>
        <w:t xml:space="preserve"> </w:t>
      </w:r>
      <w:r w:rsidRPr="000977F7">
        <w:rPr>
          <w:rFonts w:asciiTheme="majorHAnsi" w:hAnsiTheme="majorHAnsi"/>
          <w:sz w:val="20"/>
          <w:szCs w:val="20"/>
        </w:rPr>
        <w:t>TEST</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59BC0DE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Випробування, за якого одна й та ж вибірка продукції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зазнає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послідовних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навантажень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різних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рівнів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протягом періодів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часу</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однакової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тривалості.</w:t>
      </w:r>
    </w:p>
    <w:p w14:paraId="1E6EB83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189E75C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Протягом кожного періоду застосовується один заданий рівень навантаження, який збільшується з кожним періодом</w:t>
      </w:r>
    </w:p>
    <w:p w14:paraId="1219B5B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F5D774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ВИПРОБУВАННЯ</w:t>
      </w:r>
      <w:r w:rsidRPr="000977F7">
        <w:rPr>
          <w:color w:val="auto"/>
          <w:spacing w:val="-7"/>
          <w:sz w:val="20"/>
          <w:szCs w:val="20"/>
        </w:rPr>
        <w:t xml:space="preserve"> </w:t>
      </w:r>
      <w:r w:rsidRPr="000977F7">
        <w:rPr>
          <w:color w:val="auto"/>
          <w:sz w:val="20"/>
          <w:szCs w:val="20"/>
        </w:rPr>
        <w:t>НА</w:t>
      </w:r>
      <w:r w:rsidRPr="000977F7">
        <w:rPr>
          <w:color w:val="auto"/>
          <w:spacing w:val="-4"/>
          <w:sz w:val="20"/>
          <w:szCs w:val="20"/>
        </w:rPr>
        <w:t xml:space="preserve"> </w:t>
      </w:r>
      <w:r w:rsidRPr="000977F7">
        <w:rPr>
          <w:color w:val="auto"/>
          <w:sz w:val="20"/>
          <w:szCs w:val="20"/>
        </w:rPr>
        <w:t>ДОВГОВІЧНІСТЬ–</w:t>
      </w:r>
    </w:p>
    <w:p w14:paraId="3FB52540"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Випробування, що</w:t>
      </w:r>
      <w:r w:rsidRPr="000977F7">
        <w:rPr>
          <w:rFonts w:asciiTheme="majorHAnsi" w:hAnsiTheme="majorHAnsi"/>
          <w:spacing w:val="1"/>
          <w:sz w:val="20"/>
          <w:szCs w:val="20"/>
        </w:rPr>
        <w:t xml:space="preserve"> </w:t>
      </w:r>
      <w:r w:rsidRPr="000977F7">
        <w:rPr>
          <w:rFonts w:asciiTheme="majorHAnsi" w:hAnsiTheme="majorHAnsi"/>
          <w:sz w:val="20"/>
          <w:szCs w:val="20"/>
        </w:rPr>
        <w:t>проводять з метою</w:t>
      </w:r>
      <w:r w:rsidRPr="000977F7">
        <w:rPr>
          <w:rFonts w:asciiTheme="majorHAnsi" w:hAnsiTheme="majorHAnsi"/>
          <w:spacing w:val="1"/>
          <w:sz w:val="20"/>
          <w:szCs w:val="20"/>
        </w:rPr>
        <w:t xml:space="preserve"> </w:t>
      </w:r>
      <w:r w:rsidRPr="000977F7">
        <w:rPr>
          <w:rFonts w:asciiTheme="majorHAnsi" w:hAnsiTheme="majorHAnsi"/>
          <w:sz w:val="20"/>
          <w:szCs w:val="20"/>
        </w:rPr>
        <w:t>підтвердження заданого значення</w:t>
      </w:r>
      <w:r w:rsidRPr="000977F7">
        <w:rPr>
          <w:rFonts w:asciiTheme="majorHAnsi" w:hAnsiTheme="majorHAnsi"/>
          <w:spacing w:val="2"/>
          <w:sz w:val="20"/>
          <w:szCs w:val="20"/>
        </w:rPr>
        <w:t xml:space="preserve"> </w:t>
      </w:r>
      <w:r w:rsidRPr="000977F7">
        <w:rPr>
          <w:rFonts w:asciiTheme="majorHAnsi" w:hAnsiTheme="majorHAnsi"/>
          <w:sz w:val="20"/>
          <w:szCs w:val="20"/>
        </w:rPr>
        <w:t>інтенсивності</w:t>
      </w:r>
      <w:r w:rsidRPr="000977F7">
        <w:rPr>
          <w:rFonts w:asciiTheme="majorHAnsi" w:hAnsiTheme="majorHAnsi"/>
          <w:spacing w:val="2"/>
          <w:sz w:val="20"/>
          <w:szCs w:val="20"/>
        </w:rPr>
        <w:t xml:space="preserve"> </w:t>
      </w:r>
      <w:r w:rsidRPr="000977F7">
        <w:rPr>
          <w:rFonts w:asciiTheme="majorHAnsi" w:hAnsiTheme="majorHAnsi"/>
          <w:sz w:val="20"/>
          <w:szCs w:val="20"/>
        </w:rPr>
        <w:t>відмов</w:t>
      </w:r>
      <w:r w:rsidRPr="000977F7">
        <w:rPr>
          <w:rFonts w:asciiTheme="majorHAnsi" w:hAnsiTheme="majorHAnsi"/>
          <w:spacing w:val="1"/>
          <w:sz w:val="20"/>
          <w:szCs w:val="20"/>
        </w:rPr>
        <w:t xml:space="preserve"> </w:t>
      </w:r>
      <w:r w:rsidRPr="000977F7">
        <w:rPr>
          <w:rFonts w:asciiTheme="majorHAnsi" w:hAnsiTheme="majorHAnsi"/>
          <w:sz w:val="20"/>
          <w:szCs w:val="20"/>
        </w:rPr>
        <w:t>λ</w:t>
      </w:r>
      <w:r w:rsidRPr="000977F7">
        <w:rPr>
          <w:rFonts w:asciiTheme="majorHAnsi" w:hAnsiTheme="majorHAnsi"/>
          <w:spacing w:val="1"/>
          <w:sz w:val="20"/>
          <w:szCs w:val="20"/>
        </w:rPr>
        <w:t xml:space="preserve"> </w:t>
      </w:r>
      <w:r w:rsidRPr="000977F7">
        <w:rPr>
          <w:rFonts w:asciiTheme="majorHAnsi" w:hAnsiTheme="majorHAnsi"/>
          <w:sz w:val="20"/>
          <w:szCs w:val="20"/>
        </w:rPr>
        <w:t>протягом</w:t>
      </w:r>
      <w:r w:rsidRPr="000977F7">
        <w:rPr>
          <w:rFonts w:asciiTheme="majorHAnsi" w:hAnsiTheme="majorHAnsi"/>
          <w:spacing w:val="-47"/>
          <w:sz w:val="20"/>
          <w:szCs w:val="20"/>
        </w:rPr>
        <w:t xml:space="preserve"> </w:t>
      </w:r>
      <w:r w:rsidRPr="000977F7">
        <w:rPr>
          <w:rFonts w:asciiTheme="majorHAnsi" w:hAnsiTheme="majorHAnsi"/>
          <w:sz w:val="20"/>
          <w:szCs w:val="20"/>
        </w:rPr>
        <w:t>наробітку t</w:t>
      </w:r>
      <w:r w:rsidRPr="000977F7">
        <w:rPr>
          <w:rFonts w:asciiTheme="majorHAnsi" w:hAnsiTheme="majorHAnsi"/>
          <w:sz w:val="20"/>
          <w:szCs w:val="20"/>
          <w:vertAlign w:val="subscript"/>
        </w:rPr>
        <w:t>H</w:t>
      </w:r>
      <w:r w:rsidRPr="000977F7">
        <w:rPr>
          <w:rFonts w:asciiTheme="majorHAnsi" w:hAnsiTheme="majorHAnsi"/>
          <w:spacing w:val="1"/>
          <w:sz w:val="20"/>
          <w:szCs w:val="20"/>
        </w:rPr>
        <w:t xml:space="preserve"> </w:t>
      </w:r>
      <w:r w:rsidRPr="000977F7">
        <w:rPr>
          <w:rFonts w:asciiTheme="majorHAnsi" w:hAnsiTheme="majorHAnsi"/>
          <w:sz w:val="20"/>
          <w:szCs w:val="20"/>
        </w:rPr>
        <w:t>у складі кваліфікаційних випробувань</w:t>
      </w:r>
      <w:r w:rsidRPr="000977F7">
        <w:rPr>
          <w:rFonts w:asciiTheme="majorHAnsi" w:hAnsiTheme="majorHAnsi"/>
          <w:spacing w:val="1"/>
          <w:sz w:val="20"/>
          <w:szCs w:val="20"/>
        </w:rPr>
        <w:t xml:space="preserve"> </w:t>
      </w:r>
    </w:p>
    <w:p w14:paraId="2362CEE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2634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0A87F2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ВИПРОБУВАННЯ</w:t>
      </w:r>
      <w:r w:rsidRPr="000977F7">
        <w:rPr>
          <w:color w:val="auto"/>
          <w:spacing w:val="-7"/>
          <w:sz w:val="20"/>
          <w:szCs w:val="20"/>
        </w:rPr>
        <w:t xml:space="preserve"> </w:t>
      </w:r>
      <w:r w:rsidRPr="000977F7">
        <w:rPr>
          <w:color w:val="auto"/>
          <w:sz w:val="20"/>
          <w:szCs w:val="20"/>
        </w:rPr>
        <w:t>НА</w:t>
      </w:r>
      <w:r w:rsidRPr="000977F7">
        <w:rPr>
          <w:color w:val="auto"/>
          <w:spacing w:val="-4"/>
          <w:sz w:val="20"/>
          <w:szCs w:val="20"/>
        </w:rPr>
        <w:t xml:space="preserve"> </w:t>
      </w:r>
      <w:r w:rsidRPr="000977F7">
        <w:rPr>
          <w:color w:val="auto"/>
          <w:sz w:val="20"/>
          <w:szCs w:val="20"/>
        </w:rPr>
        <w:t>ЗБЕРЕЖУВАНІСТЬ –</w:t>
      </w:r>
    </w:p>
    <w:p w14:paraId="7B2227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STORAGE</w:t>
      </w:r>
      <w:r w:rsidRPr="000977F7">
        <w:rPr>
          <w:rFonts w:asciiTheme="majorHAnsi" w:hAnsiTheme="majorHAnsi"/>
          <w:spacing w:val="-1"/>
          <w:sz w:val="20"/>
          <w:szCs w:val="20"/>
        </w:rPr>
        <w:t xml:space="preserve"> </w:t>
      </w:r>
      <w:r w:rsidRPr="000977F7">
        <w:rPr>
          <w:rFonts w:asciiTheme="majorHAnsi" w:hAnsiTheme="majorHAnsi"/>
          <w:sz w:val="20"/>
          <w:szCs w:val="20"/>
        </w:rPr>
        <w:t>TEST –</w:t>
      </w:r>
    </w:p>
    <w:p w14:paraId="68626A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на надійність, що проводяться з метою</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властивостей</w:t>
      </w:r>
      <w:r w:rsidRPr="000977F7">
        <w:rPr>
          <w:rFonts w:asciiTheme="majorHAnsi" w:hAnsiTheme="majorHAnsi"/>
          <w:spacing w:val="1"/>
          <w:sz w:val="20"/>
          <w:szCs w:val="20"/>
        </w:rPr>
        <w:t xml:space="preserve"> </w:t>
      </w:r>
      <w:r w:rsidRPr="000977F7">
        <w:rPr>
          <w:rFonts w:asciiTheme="majorHAnsi" w:hAnsiTheme="majorHAnsi"/>
          <w:sz w:val="20"/>
          <w:szCs w:val="20"/>
        </w:rPr>
        <w:t>збережуваності</w:t>
      </w:r>
    </w:p>
    <w:p w14:paraId="228EC604"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3021 - 95</w:t>
      </w:r>
      <w:r w:rsidRPr="000977F7">
        <w:rPr>
          <w:rFonts w:asciiTheme="majorHAnsi" w:hAnsiTheme="majorHAnsi"/>
          <w:i/>
          <w:spacing w:val="1"/>
          <w:sz w:val="20"/>
          <w:szCs w:val="20"/>
        </w:rPr>
        <w:t xml:space="preserve"> </w:t>
      </w:r>
    </w:p>
    <w:p w14:paraId="5A4F403F"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ВИПРОБУВАННЯ НА ЗГИН –</w:t>
      </w:r>
    </w:p>
    <w:p w14:paraId="2D60A4F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BEND</w:t>
      </w:r>
      <w:r w:rsidRPr="000977F7">
        <w:rPr>
          <w:rFonts w:asciiTheme="majorHAnsi" w:hAnsiTheme="majorHAnsi"/>
          <w:spacing w:val="-1"/>
          <w:sz w:val="20"/>
          <w:szCs w:val="20"/>
        </w:rPr>
        <w:t xml:space="preserve"> </w:t>
      </w:r>
      <w:r w:rsidRPr="000977F7">
        <w:rPr>
          <w:rFonts w:asciiTheme="majorHAnsi" w:hAnsiTheme="majorHAnsi"/>
          <w:sz w:val="20"/>
          <w:szCs w:val="20"/>
        </w:rPr>
        <w:t>TEST</w:t>
      </w:r>
    </w:p>
    <w:p w14:paraId="6FA4E5FA"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2824</w:t>
      </w:r>
      <w:r w:rsidRPr="000977F7">
        <w:rPr>
          <w:rFonts w:asciiTheme="majorHAnsi" w:hAnsiTheme="majorHAnsi"/>
          <w:i/>
          <w:spacing w:val="2"/>
          <w:sz w:val="20"/>
          <w:szCs w:val="20"/>
        </w:rPr>
        <w:t xml:space="preserve"> </w:t>
      </w:r>
      <w:r w:rsidRPr="000977F7">
        <w:rPr>
          <w:rFonts w:asciiTheme="majorHAnsi" w:hAnsiTheme="majorHAnsi"/>
          <w:i/>
          <w:sz w:val="20"/>
          <w:szCs w:val="20"/>
        </w:rPr>
        <w:t>– 94</w:t>
      </w:r>
      <w:r w:rsidRPr="000977F7">
        <w:rPr>
          <w:rFonts w:asciiTheme="majorHAnsi" w:hAnsiTheme="majorHAnsi"/>
          <w:i/>
          <w:spacing w:val="1"/>
          <w:sz w:val="20"/>
          <w:szCs w:val="20"/>
        </w:rPr>
        <w:t xml:space="preserve"> </w:t>
      </w:r>
    </w:p>
    <w:p w14:paraId="241790A6"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ВИПРОБУВАННЯ НА ЗСУВ –</w:t>
      </w:r>
      <w:r w:rsidRPr="000977F7">
        <w:rPr>
          <w:rFonts w:asciiTheme="majorHAnsi" w:hAnsiTheme="majorHAnsi"/>
          <w:b/>
          <w:spacing w:val="-47"/>
          <w:sz w:val="20"/>
          <w:szCs w:val="20"/>
        </w:rPr>
        <w:t xml:space="preserve"> </w:t>
      </w:r>
    </w:p>
    <w:p w14:paraId="3714E84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SHEAR</w:t>
      </w:r>
      <w:r w:rsidRPr="000977F7">
        <w:rPr>
          <w:rFonts w:asciiTheme="majorHAnsi" w:hAnsiTheme="majorHAnsi"/>
          <w:spacing w:val="-2"/>
          <w:sz w:val="20"/>
          <w:szCs w:val="20"/>
        </w:rPr>
        <w:t xml:space="preserve"> </w:t>
      </w:r>
      <w:r w:rsidRPr="000977F7">
        <w:rPr>
          <w:rFonts w:asciiTheme="majorHAnsi" w:hAnsiTheme="majorHAnsi"/>
          <w:sz w:val="20"/>
          <w:szCs w:val="20"/>
        </w:rPr>
        <w:t>TEST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381FB99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об’єкта навантажуванням, що утворює</w:t>
      </w:r>
      <w:r w:rsidRPr="000977F7">
        <w:rPr>
          <w:rFonts w:asciiTheme="majorHAnsi" w:hAnsiTheme="majorHAnsi"/>
          <w:spacing w:val="1"/>
          <w:sz w:val="20"/>
          <w:szCs w:val="20"/>
        </w:rPr>
        <w:t xml:space="preserve"> </w:t>
      </w:r>
      <w:r w:rsidRPr="000977F7">
        <w:rPr>
          <w:rFonts w:asciiTheme="majorHAnsi" w:hAnsiTheme="majorHAnsi"/>
          <w:sz w:val="20"/>
          <w:szCs w:val="20"/>
        </w:rPr>
        <w:t>дотичні</w:t>
      </w:r>
      <w:r w:rsidRPr="000977F7">
        <w:rPr>
          <w:rFonts w:asciiTheme="majorHAnsi" w:hAnsiTheme="majorHAnsi"/>
          <w:spacing w:val="-2"/>
          <w:sz w:val="20"/>
          <w:szCs w:val="20"/>
        </w:rPr>
        <w:t xml:space="preserve"> </w:t>
      </w:r>
      <w:r w:rsidRPr="000977F7">
        <w:rPr>
          <w:rFonts w:asciiTheme="majorHAnsi" w:hAnsiTheme="majorHAnsi"/>
          <w:sz w:val="20"/>
          <w:szCs w:val="20"/>
        </w:rPr>
        <w:t>напруження</w:t>
      </w:r>
    </w:p>
    <w:p w14:paraId="341EDE5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2824 – 94</w:t>
      </w:r>
    </w:p>
    <w:p w14:paraId="1F44BAA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 xml:space="preserve">ВИПРОБУВАННЯ НА КОРОТКОЧАСНУ </w:t>
      </w:r>
    </w:p>
    <w:p w14:paraId="2ABA371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МІЦНІСТЬ</w:t>
      </w:r>
      <w:r w:rsidRPr="000977F7">
        <w:rPr>
          <w:color w:val="auto"/>
          <w:spacing w:val="-1"/>
          <w:sz w:val="20"/>
          <w:szCs w:val="20"/>
        </w:rPr>
        <w:t xml:space="preserve"> </w:t>
      </w:r>
      <w:r w:rsidRPr="000977F7">
        <w:rPr>
          <w:color w:val="auto"/>
          <w:sz w:val="20"/>
          <w:szCs w:val="20"/>
        </w:rPr>
        <w:t>–</w:t>
      </w:r>
    </w:p>
    <w:p w14:paraId="44E1638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SHORT</w:t>
      </w:r>
      <w:r w:rsidRPr="004D2D14">
        <w:rPr>
          <w:rFonts w:asciiTheme="majorHAnsi" w:hAnsiTheme="majorHAnsi"/>
          <w:sz w:val="20"/>
          <w:szCs w:val="20"/>
          <w:lang w:val="uk-UA"/>
        </w:rPr>
        <w:t>-</w:t>
      </w:r>
      <w:r w:rsidRPr="000977F7">
        <w:rPr>
          <w:rFonts w:asciiTheme="majorHAnsi" w:hAnsiTheme="majorHAnsi"/>
          <w:sz w:val="20"/>
          <w:szCs w:val="20"/>
        </w:rPr>
        <w:t>TERM</w:t>
      </w:r>
      <w:r w:rsidRPr="004D2D14">
        <w:rPr>
          <w:rFonts w:asciiTheme="majorHAnsi" w:hAnsiTheme="majorHAnsi"/>
          <w:spacing w:val="-2"/>
          <w:sz w:val="20"/>
          <w:szCs w:val="20"/>
          <w:lang w:val="uk-UA"/>
        </w:rPr>
        <w:t xml:space="preserve"> </w:t>
      </w:r>
      <w:r w:rsidRPr="000977F7">
        <w:rPr>
          <w:rFonts w:asciiTheme="majorHAnsi" w:hAnsiTheme="majorHAnsi"/>
          <w:sz w:val="20"/>
          <w:szCs w:val="20"/>
        </w:rPr>
        <w:t>STRENGTH</w:t>
      </w:r>
      <w:r w:rsidRPr="004D2D14">
        <w:rPr>
          <w:rFonts w:asciiTheme="majorHAnsi" w:hAnsiTheme="majorHAnsi"/>
          <w:spacing w:val="-3"/>
          <w:sz w:val="20"/>
          <w:szCs w:val="20"/>
          <w:lang w:val="uk-UA"/>
        </w:rPr>
        <w:t xml:space="preserve"> </w:t>
      </w:r>
      <w:r w:rsidRPr="000977F7">
        <w:rPr>
          <w:rFonts w:asciiTheme="majorHAnsi" w:hAnsiTheme="majorHAnsi"/>
          <w:sz w:val="20"/>
          <w:szCs w:val="20"/>
        </w:rPr>
        <w:t>TEST</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p>
    <w:p w14:paraId="15B4D00C" w14:textId="77777777" w:rsidR="0097612F" w:rsidRPr="000977F7" w:rsidRDefault="0097612F" w:rsidP="000977F7">
      <w:pPr>
        <w:pStyle w:val="af6"/>
        <w:tabs>
          <w:tab w:val="left" w:pos="284"/>
        </w:tabs>
        <w:spacing w:after="0"/>
        <w:ind w:left="170"/>
        <w:mirrorIndents/>
        <w:jc w:val="both"/>
        <w:rPr>
          <w:rFonts w:asciiTheme="majorHAnsi" w:hAnsiTheme="majorHAnsi"/>
          <w:spacing w:val="1"/>
          <w:w w:val="95"/>
          <w:sz w:val="20"/>
          <w:szCs w:val="20"/>
        </w:rPr>
      </w:pPr>
      <w:r w:rsidRPr="004D2D14">
        <w:rPr>
          <w:rFonts w:asciiTheme="majorHAnsi" w:hAnsiTheme="majorHAnsi"/>
          <w:sz w:val="20"/>
          <w:szCs w:val="20"/>
          <w:lang w:val="uk-UA"/>
        </w:rPr>
        <w:t>Короткочасні</w:t>
      </w:r>
      <w:r w:rsidRPr="004D2D14">
        <w:rPr>
          <w:rFonts w:asciiTheme="majorHAnsi" w:hAnsiTheme="majorHAnsi"/>
          <w:spacing w:val="14"/>
          <w:sz w:val="20"/>
          <w:szCs w:val="20"/>
          <w:lang w:val="uk-UA"/>
        </w:rPr>
        <w:t xml:space="preserve"> </w:t>
      </w:r>
      <w:r w:rsidRPr="004D2D14">
        <w:rPr>
          <w:rFonts w:asciiTheme="majorHAnsi" w:hAnsiTheme="majorHAnsi"/>
          <w:sz w:val="20"/>
          <w:szCs w:val="20"/>
          <w:lang w:val="uk-UA"/>
        </w:rPr>
        <w:t>випробування,</w:t>
      </w:r>
      <w:r w:rsidRPr="004D2D14">
        <w:rPr>
          <w:rFonts w:asciiTheme="majorHAnsi" w:hAnsiTheme="majorHAnsi"/>
          <w:spacing w:val="15"/>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проводяться</w:t>
      </w:r>
      <w:r w:rsidRPr="004D2D14">
        <w:rPr>
          <w:rFonts w:asciiTheme="majorHAnsi" w:hAnsiTheme="majorHAnsi"/>
          <w:spacing w:val="14"/>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4"/>
          <w:sz w:val="20"/>
          <w:szCs w:val="20"/>
          <w:lang w:val="uk-UA"/>
        </w:rPr>
        <w:t xml:space="preserve"> </w:t>
      </w:r>
      <w:r w:rsidRPr="004D2D14">
        <w:rPr>
          <w:rFonts w:asciiTheme="majorHAnsi" w:hAnsiTheme="majorHAnsi"/>
          <w:sz w:val="20"/>
          <w:szCs w:val="20"/>
          <w:lang w:val="uk-UA"/>
        </w:rPr>
        <w:t xml:space="preserve">метою </w:t>
      </w:r>
      <w:r w:rsidRPr="004D2D14">
        <w:rPr>
          <w:rFonts w:asciiTheme="majorHAnsi" w:hAnsiTheme="majorHAnsi"/>
          <w:spacing w:val="-47"/>
          <w:sz w:val="20"/>
          <w:szCs w:val="20"/>
          <w:lang w:val="uk-UA"/>
        </w:rPr>
        <w:t xml:space="preserve"> </w:t>
      </w:r>
      <w:r w:rsidRPr="000977F7">
        <w:rPr>
          <w:rFonts w:asciiTheme="majorHAnsi" w:hAnsiTheme="majorHAnsi"/>
          <w:w w:val="95"/>
          <w:sz w:val="20"/>
          <w:szCs w:val="20"/>
        </w:rPr>
        <w:t>визначення характеристик міцності та (чи) пластичності</w:t>
      </w:r>
      <w:r w:rsidRPr="000977F7">
        <w:rPr>
          <w:rFonts w:asciiTheme="majorHAnsi" w:hAnsiTheme="majorHAnsi"/>
          <w:spacing w:val="1"/>
          <w:w w:val="95"/>
          <w:sz w:val="20"/>
          <w:szCs w:val="20"/>
        </w:rPr>
        <w:t xml:space="preserve"> </w:t>
      </w:r>
    </w:p>
    <w:p w14:paraId="549E1C33"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2824</w:t>
      </w:r>
      <w:r w:rsidRPr="000977F7">
        <w:rPr>
          <w:rFonts w:asciiTheme="majorHAnsi" w:hAnsiTheme="majorHAnsi"/>
          <w:i/>
          <w:spacing w:val="2"/>
          <w:sz w:val="20"/>
          <w:szCs w:val="20"/>
        </w:rPr>
        <w:t xml:space="preserve"> </w:t>
      </w:r>
      <w:r w:rsidRPr="000977F7">
        <w:rPr>
          <w:rFonts w:asciiTheme="majorHAnsi" w:hAnsiTheme="majorHAnsi"/>
          <w:i/>
          <w:sz w:val="20"/>
          <w:szCs w:val="20"/>
        </w:rPr>
        <w:t>– 94</w:t>
      </w:r>
    </w:p>
    <w:p w14:paraId="50ACA11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ВИПРОБУВАННЯ</w:t>
      </w:r>
      <w:r w:rsidRPr="000977F7">
        <w:rPr>
          <w:color w:val="auto"/>
          <w:spacing w:val="-5"/>
          <w:sz w:val="20"/>
          <w:szCs w:val="20"/>
        </w:rPr>
        <w:t xml:space="preserve"> </w:t>
      </w:r>
      <w:r w:rsidRPr="000977F7">
        <w:rPr>
          <w:color w:val="auto"/>
          <w:sz w:val="20"/>
          <w:szCs w:val="20"/>
        </w:rPr>
        <w:t>НА</w:t>
      </w:r>
      <w:r w:rsidRPr="000977F7">
        <w:rPr>
          <w:color w:val="auto"/>
          <w:spacing w:val="-5"/>
          <w:sz w:val="20"/>
          <w:szCs w:val="20"/>
        </w:rPr>
        <w:t xml:space="preserve"> </w:t>
      </w:r>
      <w:r w:rsidRPr="000977F7">
        <w:rPr>
          <w:color w:val="auto"/>
          <w:sz w:val="20"/>
          <w:szCs w:val="20"/>
        </w:rPr>
        <w:t>КРУТІННЯ</w:t>
      </w:r>
      <w:r w:rsidRPr="000977F7">
        <w:rPr>
          <w:color w:val="auto"/>
          <w:spacing w:val="-2"/>
          <w:sz w:val="20"/>
          <w:szCs w:val="20"/>
        </w:rPr>
        <w:t xml:space="preserve"> </w:t>
      </w:r>
      <w:r w:rsidRPr="000977F7">
        <w:rPr>
          <w:color w:val="auto"/>
          <w:sz w:val="20"/>
          <w:szCs w:val="20"/>
        </w:rPr>
        <w:t>–</w:t>
      </w:r>
    </w:p>
    <w:p w14:paraId="09AC39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TORSION</w:t>
      </w:r>
      <w:r w:rsidRPr="000977F7">
        <w:rPr>
          <w:rFonts w:asciiTheme="majorHAnsi" w:hAnsiTheme="majorHAnsi"/>
          <w:spacing w:val="-4"/>
          <w:sz w:val="20"/>
          <w:szCs w:val="20"/>
        </w:rPr>
        <w:t xml:space="preserve"> </w:t>
      </w:r>
      <w:r w:rsidRPr="000977F7">
        <w:rPr>
          <w:rFonts w:asciiTheme="majorHAnsi" w:hAnsiTheme="majorHAnsi"/>
          <w:sz w:val="20"/>
          <w:szCs w:val="20"/>
        </w:rPr>
        <w:t>TEST</w:t>
      </w:r>
    </w:p>
    <w:p w14:paraId="2F346C3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4"/>
          <w:sz w:val="20"/>
          <w:szCs w:val="20"/>
        </w:rPr>
        <w:t xml:space="preserve"> </w:t>
      </w:r>
      <w:r w:rsidRPr="000977F7">
        <w:rPr>
          <w:rFonts w:asciiTheme="majorHAnsi" w:hAnsiTheme="majorHAnsi"/>
          <w:i/>
          <w:sz w:val="20"/>
          <w:szCs w:val="20"/>
        </w:rPr>
        <w:t>2824</w:t>
      </w:r>
      <w:r w:rsidRPr="000977F7">
        <w:rPr>
          <w:rFonts w:asciiTheme="majorHAnsi" w:hAnsiTheme="majorHAnsi"/>
          <w:i/>
          <w:spacing w:val="-2"/>
          <w:sz w:val="20"/>
          <w:szCs w:val="20"/>
        </w:rPr>
        <w:t xml:space="preserve"> </w:t>
      </w:r>
      <w:r w:rsidRPr="000977F7">
        <w:rPr>
          <w:rFonts w:asciiTheme="majorHAnsi" w:hAnsiTheme="majorHAnsi"/>
          <w:i/>
          <w:sz w:val="20"/>
          <w:szCs w:val="20"/>
        </w:rPr>
        <w:t>– 94</w:t>
      </w:r>
    </w:p>
    <w:p w14:paraId="0929264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ВИПРОБУВАННЯ</w:t>
      </w:r>
      <w:r w:rsidRPr="000977F7">
        <w:rPr>
          <w:color w:val="auto"/>
          <w:spacing w:val="-6"/>
          <w:sz w:val="20"/>
          <w:szCs w:val="20"/>
        </w:rPr>
        <w:t xml:space="preserve"> </w:t>
      </w:r>
      <w:r w:rsidRPr="000977F7">
        <w:rPr>
          <w:color w:val="auto"/>
          <w:sz w:val="20"/>
          <w:szCs w:val="20"/>
        </w:rPr>
        <w:t>НА</w:t>
      </w:r>
      <w:r w:rsidRPr="000977F7">
        <w:rPr>
          <w:color w:val="auto"/>
          <w:spacing w:val="-5"/>
          <w:sz w:val="20"/>
          <w:szCs w:val="20"/>
        </w:rPr>
        <w:t xml:space="preserve"> </w:t>
      </w:r>
      <w:r w:rsidRPr="000977F7">
        <w:rPr>
          <w:color w:val="auto"/>
          <w:sz w:val="20"/>
          <w:szCs w:val="20"/>
        </w:rPr>
        <w:t>МІЦНІСТЬ</w:t>
      </w:r>
      <w:r w:rsidRPr="000977F7">
        <w:rPr>
          <w:color w:val="auto"/>
          <w:spacing w:val="-1"/>
          <w:sz w:val="20"/>
          <w:szCs w:val="20"/>
        </w:rPr>
        <w:t xml:space="preserve"> </w:t>
      </w:r>
      <w:r w:rsidRPr="000977F7">
        <w:rPr>
          <w:color w:val="auto"/>
          <w:sz w:val="20"/>
          <w:szCs w:val="20"/>
        </w:rPr>
        <w:t>–</w:t>
      </w:r>
    </w:p>
    <w:p w14:paraId="0AAEE5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STRENGTH</w:t>
      </w:r>
      <w:r w:rsidRPr="000977F7">
        <w:rPr>
          <w:rFonts w:asciiTheme="majorHAnsi" w:hAnsiTheme="majorHAnsi"/>
          <w:spacing w:val="-2"/>
          <w:sz w:val="20"/>
          <w:szCs w:val="20"/>
        </w:rPr>
        <w:t xml:space="preserve"> </w:t>
      </w:r>
      <w:r w:rsidRPr="000977F7">
        <w:rPr>
          <w:rFonts w:asciiTheme="majorHAnsi" w:hAnsiTheme="majorHAnsi"/>
          <w:sz w:val="20"/>
          <w:szCs w:val="20"/>
        </w:rPr>
        <w:t>TEST -</w:t>
      </w:r>
    </w:p>
    <w:p w14:paraId="72AE4DA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що проводяться для визначення значень впливових чинників, які викликають вихід значень характеристик властивостей об’єкта за встановлені</w:t>
      </w:r>
      <w:r w:rsidRPr="000977F7">
        <w:rPr>
          <w:rFonts w:asciiTheme="majorHAnsi" w:hAnsiTheme="majorHAnsi"/>
          <w:spacing w:val="-2"/>
          <w:sz w:val="20"/>
          <w:szCs w:val="20"/>
        </w:rPr>
        <w:t xml:space="preserve"> </w:t>
      </w:r>
      <w:r w:rsidRPr="000977F7">
        <w:rPr>
          <w:rFonts w:asciiTheme="majorHAnsi" w:hAnsiTheme="majorHAnsi"/>
          <w:sz w:val="20"/>
          <w:szCs w:val="20"/>
        </w:rPr>
        <w:t>границі</w:t>
      </w:r>
      <w:r w:rsidRPr="000977F7">
        <w:rPr>
          <w:rFonts w:asciiTheme="majorHAnsi" w:hAnsiTheme="majorHAnsi"/>
          <w:spacing w:val="-1"/>
          <w:sz w:val="20"/>
          <w:szCs w:val="20"/>
        </w:rPr>
        <w:t xml:space="preserve"> </w:t>
      </w:r>
      <w:r w:rsidRPr="000977F7">
        <w:rPr>
          <w:rFonts w:asciiTheme="majorHAnsi" w:hAnsiTheme="majorHAnsi"/>
          <w:sz w:val="20"/>
          <w:szCs w:val="20"/>
        </w:rPr>
        <w:t>чи його</w:t>
      </w:r>
      <w:r w:rsidRPr="000977F7">
        <w:rPr>
          <w:rFonts w:asciiTheme="majorHAnsi" w:hAnsiTheme="majorHAnsi"/>
          <w:spacing w:val="1"/>
          <w:sz w:val="20"/>
          <w:szCs w:val="20"/>
        </w:rPr>
        <w:t xml:space="preserve"> </w:t>
      </w:r>
      <w:r w:rsidRPr="000977F7">
        <w:rPr>
          <w:rFonts w:asciiTheme="majorHAnsi" w:hAnsiTheme="majorHAnsi"/>
          <w:sz w:val="20"/>
          <w:szCs w:val="20"/>
        </w:rPr>
        <w:t>зруйнування</w:t>
      </w:r>
    </w:p>
    <w:p w14:paraId="23E4F84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2"/>
          <w:sz w:val="20"/>
          <w:szCs w:val="20"/>
        </w:rPr>
        <w:t xml:space="preserve"> </w:t>
      </w:r>
      <w:r w:rsidRPr="000977F7">
        <w:rPr>
          <w:rFonts w:asciiTheme="majorHAnsi" w:hAnsiTheme="majorHAnsi"/>
          <w:i/>
          <w:sz w:val="20"/>
          <w:szCs w:val="20"/>
        </w:rPr>
        <w:t>– 95</w:t>
      </w:r>
    </w:p>
    <w:p w14:paraId="221566B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ВИПРОБУВАННЯ НА НАДІЙНІСТЬ </w:t>
      </w:r>
      <w:r w:rsidRPr="000977F7">
        <w:rPr>
          <w:rFonts w:asciiTheme="majorHAnsi" w:hAnsiTheme="majorHAnsi"/>
          <w:sz w:val="20"/>
          <w:szCs w:val="20"/>
        </w:rPr>
        <w:t>–</w:t>
      </w:r>
      <w:r w:rsidRPr="000977F7">
        <w:rPr>
          <w:rFonts w:asciiTheme="majorHAnsi" w:hAnsiTheme="majorHAnsi"/>
          <w:spacing w:val="-47"/>
          <w:sz w:val="20"/>
          <w:szCs w:val="20"/>
        </w:rPr>
        <w:t xml:space="preserve"> </w:t>
      </w:r>
      <w:r w:rsidRPr="000977F7">
        <w:rPr>
          <w:rFonts w:asciiTheme="majorHAnsi" w:hAnsiTheme="majorHAnsi"/>
          <w:sz w:val="20"/>
          <w:szCs w:val="20"/>
        </w:rPr>
        <w:t>RELIABILITY</w:t>
      </w:r>
      <w:r w:rsidRPr="000977F7">
        <w:rPr>
          <w:rFonts w:asciiTheme="majorHAnsi" w:hAnsiTheme="majorHAnsi"/>
          <w:spacing w:val="-3"/>
          <w:sz w:val="20"/>
          <w:szCs w:val="20"/>
        </w:rPr>
        <w:t xml:space="preserve"> </w:t>
      </w:r>
      <w:r w:rsidRPr="000977F7">
        <w:rPr>
          <w:rFonts w:asciiTheme="majorHAnsi" w:hAnsiTheme="majorHAnsi"/>
          <w:sz w:val="20"/>
          <w:szCs w:val="20"/>
        </w:rPr>
        <w:t>TEST</w:t>
      </w:r>
      <w:r w:rsidRPr="000977F7">
        <w:rPr>
          <w:rFonts w:asciiTheme="majorHAnsi" w:hAnsiTheme="majorHAnsi"/>
          <w:spacing w:val="5"/>
          <w:sz w:val="20"/>
          <w:szCs w:val="20"/>
        </w:rPr>
        <w:t xml:space="preserve"> </w:t>
      </w:r>
    </w:p>
    <w:p w14:paraId="2A12CA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що проводяться з метою 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2"/>
          <w:sz w:val="20"/>
          <w:szCs w:val="20"/>
        </w:rPr>
        <w:t xml:space="preserve"> </w:t>
      </w:r>
      <w:r w:rsidRPr="000977F7">
        <w:rPr>
          <w:rFonts w:asciiTheme="majorHAnsi" w:hAnsiTheme="majorHAnsi"/>
          <w:sz w:val="20"/>
          <w:szCs w:val="20"/>
        </w:rPr>
        <w:t>надійності</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заданих</w:t>
      </w:r>
      <w:r w:rsidRPr="000977F7">
        <w:rPr>
          <w:rFonts w:asciiTheme="majorHAnsi" w:hAnsiTheme="majorHAnsi"/>
          <w:spacing w:val="1"/>
          <w:sz w:val="20"/>
          <w:szCs w:val="20"/>
        </w:rPr>
        <w:t xml:space="preserve"> </w:t>
      </w:r>
      <w:r w:rsidRPr="000977F7">
        <w:rPr>
          <w:rFonts w:asciiTheme="majorHAnsi" w:hAnsiTheme="majorHAnsi"/>
          <w:sz w:val="20"/>
          <w:szCs w:val="20"/>
        </w:rPr>
        <w:t>умовах</w:t>
      </w:r>
    </w:p>
    <w:p w14:paraId="2DEEB384"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r w:rsidRPr="000977F7">
        <w:rPr>
          <w:rFonts w:asciiTheme="majorHAnsi" w:hAnsiTheme="majorHAnsi"/>
          <w:i/>
          <w:spacing w:val="-1"/>
          <w:sz w:val="20"/>
          <w:szCs w:val="20"/>
        </w:rPr>
        <w:t xml:space="preserve"> </w:t>
      </w:r>
      <w:r w:rsidRPr="000977F7">
        <w:rPr>
          <w:rFonts w:asciiTheme="majorHAnsi" w:hAnsiTheme="majorHAnsi"/>
          <w:i/>
          <w:sz w:val="20"/>
          <w:szCs w:val="20"/>
        </w:rPr>
        <w:t>ДСТУ 2860</w:t>
      </w:r>
      <w:r w:rsidRPr="000977F7">
        <w:rPr>
          <w:rFonts w:asciiTheme="majorHAnsi" w:hAnsiTheme="majorHAnsi"/>
          <w:i/>
          <w:spacing w:val="1"/>
          <w:sz w:val="20"/>
          <w:szCs w:val="20"/>
        </w:rPr>
        <w:t xml:space="preserve"> </w:t>
      </w:r>
      <w:r w:rsidRPr="000977F7">
        <w:rPr>
          <w:rFonts w:asciiTheme="majorHAnsi" w:hAnsiTheme="majorHAnsi"/>
          <w:i/>
          <w:sz w:val="20"/>
          <w:szCs w:val="20"/>
        </w:rPr>
        <w:t>– 94</w:t>
      </w:r>
      <w:r w:rsidRPr="000977F7">
        <w:rPr>
          <w:rFonts w:asciiTheme="majorHAnsi" w:hAnsiTheme="majorHAnsi"/>
          <w:i/>
          <w:spacing w:val="1"/>
          <w:sz w:val="20"/>
          <w:szCs w:val="20"/>
        </w:rPr>
        <w:t xml:space="preserve"> </w:t>
      </w:r>
    </w:p>
    <w:p w14:paraId="396998D5"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6"/>
          <w:sz w:val="20"/>
          <w:szCs w:val="20"/>
        </w:rPr>
      </w:pPr>
      <w:r w:rsidRPr="000977F7">
        <w:rPr>
          <w:rFonts w:asciiTheme="majorHAnsi" w:hAnsiTheme="majorHAnsi"/>
          <w:b/>
          <w:sz w:val="20"/>
          <w:szCs w:val="20"/>
        </w:rPr>
        <w:t>ВИПРОБУВАННЯ</w:t>
      </w:r>
      <w:r w:rsidRPr="000977F7">
        <w:rPr>
          <w:rFonts w:asciiTheme="majorHAnsi" w:hAnsiTheme="majorHAnsi"/>
          <w:b/>
          <w:spacing w:val="-6"/>
          <w:sz w:val="20"/>
          <w:szCs w:val="20"/>
        </w:rPr>
        <w:t xml:space="preserve"> </w:t>
      </w:r>
      <w:r w:rsidRPr="000977F7">
        <w:rPr>
          <w:rFonts w:asciiTheme="majorHAnsi" w:hAnsiTheme="majorHAnsi"/>
          <w:b/>
          <w:sz w:val="20"/>
          <w:szCs w:val="20"/>
        </w:rPr>
        <w:t>ЗА</w:t>
      </w:r>
      <w:r w:rsidRPr="000977F7">
        <w:rPr>
          <w:rFonts w:asciiTheme="majorHAnsi" w:hAnsiTheme="majorHAnsi"/>
          <w:b/>
          <w:spacing w:val="-6"/>
          <w:sz w:val="20"/>
          <w:szCs w:val="20"/>
        </w:rPr>
        <w:t xml:space="preserve"> </w:t>
      </w:r>
      <w:r w:rsidRPr="000977F7">
        <w:rPr>
          <w:rFonts w:asciiTheme="majorHAnsi" w:hAnsiTheme="majorHAnsi"/>
          <w:b/>
          <w:sz w:val="20"/>
          <w:szCs w:val="20"/>
        </w:rPr>
        <w:t>ПІДВИЩЕНИХ</w:t>
      </w:r>
      <w:r w:rsidRPr="000977F7">
        <w:rPr>
          <w:rFonts w:asciiTheme="majorHAnsi" w:hAnsiTheme="majorHAnsi"/>
          <w:b/>
          <w:spacing w:val="-6"/>
          <w:sz w:val="20"/>
          <w:szCs w:val="20"/>
        </w:rPr>
        <w:t xml:space="preserve"> </w:t>
      </w:r>
    </w:p>
    <w:p w14:paraId="231900F7"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ТЕМПЕ</w:t>
      </w:r>
      <w:r w:rsidRPr="000977F7">
        <w:rPr>
          <w:rFonts w:asciiTheme="majorHAnsi" w:hAnsiTheme="majorHAnsi"/>
          <w:b/>
          <w:spacing w:val="-47"/>
          <w:sz w:val="20"/>
          <w:szCs w:val="20"/>
        </w:rPr>
        <w:t xml:space="preserve"> </w:t>
      </w:r>
      <w:r w:rsidRPr="000977F7">
        <w:rPr>
          <w:rFonts w:asciiTheme="majorHAnsi" w:hAnsiTheme="majorHAnsi"/>
          <w:b/>
          <w:sz w:val="20"/>
          <w:szCs w:val="20"/>
        </w:rPr>
        <w:t>РАТУР –</w:t>
      </w:r>
    </w:p>
    <w:p w14:paraId="1146D8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ELEVATED</w:t>
      </w:r>
      <w:r w:rsidRPr="000977F7">
        <w:rPr>
          <w:rFonts w:asciiTheme="majorHAnsi" w:hAnsiTheme="majorHAnsi"/>
          <w:spacing w:val="-2"/>
          <w:sz w:val="20"/>
          <w:szCs w:val="20"/>
        </w:rPr>
        <w:t xml:space="preserve"> </w:t>
      </w:r>
      <w:r w:rsidRPr="000977F7">
        <w:rPr>
          <w:rFonts w:asciiTheme="majorHAnsi" w:hAnsiTheme="majorHAnsi"/>
          <w:sz w:val="20"/>
          <w:szCs w:val="20"/>
        </w:rPr>
        <w:t>–</w:t>
      </w:r>
      <w:r w:rsidRPr="000977F7">
        <w:rPr>
          <w:rFonts w:asciiTheme="majorHAnsi" w:hAnsiTheme="majorHAnsi"/>
          <w:spacing w:val="-3"/>
          <w:sz w:val="20"/>
          <w:szCs w:val="20"/>
        </w:rPr>
        <w:t xml:space="preserve"> </w:t>
      </w:r>
      <w:r w:rsidRPr="000977F7">
        <w:rPr>
          <w:rFonts w:asciiTheme="majorHAnsi" w:hAnsiTheme="majorHAnsi"/>
          <w:sz w:val="20"/>
          <w:szCs w:val="20"/>
        </w:rPr>
        <w:t>TEMPERATURE</w:t>
      </w:r>
      <w:r w:rsidRPr="000977F7">
        <w:rPr>
          <w:rFonts w:asciiTheme="majorHAnsi" w:hAnsiTheme="majorHAnsi"/>
          <w:spacing w:val="-3"/>
          <w:sz w:val="20"/>
          <w:szCs w:val="20"/>
        </w:rPr>
        <w:t xml:space="preserve"> </w:t>
      </w:r>
      <w:r w:rsidRPr="000977F7">
        <w:rPr>
          <w:rFonts w:asciiTheme="majorHAnsi" w:hAnsiTheme="majorHAnsi"/>
          <w:sz w:val="20"/>
          <w:szCs w:val="20"/>
        </w:rPr>
        <w:t>TEST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65EE64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2"/>
          <w:w w:val="95"/>
          <w:sz w:val="20"/>
          <w:szCs w:val="20"/>
        </w:rPr>
        <w:t>Випробування</w:t>
      </w:r>
      <w:r w:rsidRPr="000977F7">
        <w:rPr>
          <w:rFonts w:asciiTheme="majorHAnsi" w:hAnsiTheme="majorHAnsi"/>
          <w:spacing w:val="-13"/>
          <w:w w:val="95"/>
          <w:sz w:val="20"/>
          <w:szCs w:val="20"/>
        </w:rPr>
        <w:t xml:space="preserve"> </w:t>
      </w:r>
      <w:r w:rsidRPr="000977F7">
        <w:rPr>
          <w:rFonts w:asciiTheme="majorHAnsi" w:hAnsiTheme="majorHAnsi"/>
          <w:spacing w:val="-2"/>
          <w:w w:val="95"/>
          <w:sz w:val="20"/>
          <w:szCs w:val="20"/>
        </w:rPr>
        <w:t>за</w:t>
      </w:r>
      <w:r w:rsidRPr="000977F7">
        <w:rPr>
          <w:rFonts w:asciiTheme="majorHAnsi" w:hAnsiTheme="majorHAnsi"/>
          <w:spacing w:val="-11"/>
          <w:w w:val="95"/>
          <w:sz w:val="20"/>
          <w:szCs w:val="20"/>
        </w:rPr>
        <w:t xml:space="preserve"> </w:t>
      </w:r>
      <w:r w:rsidRPr="000977F7">
        <w:rPr>
          <w:rFonts w:asciiTheme="majorHAnsi" w:hAnsiTheme="majorHAnsi"/>
          <w:spacing w:val="-2"/>
          <w:w w:val="95"/>
          <w:sz w:val="20"/>
          <w:szCs w:val="20"/>
        </w:rPr>
        <w:t>температур</w:t>
      </w:r>
      <w:r w:rsidRPr="000977F7">
        <w:rPr>
          <w:rFonts w:asciiTheme="majorHAnsi" w:hAnsiTheme="majorHAnsi"/>
          <w:spacing w:val="-10"/>
          <w:w w:val="95"/>
          <w:sz w:val="20"/>
          <w:szCs w:val="20"/>
        </w:rPr>
        <w:t xml:space="preserve"> </w:t>
      </w:r>
      <w:r w:rsidRPr="000977F7">
        <w:rPr>
          <w:rFonts w:asciiTheme="majorHAnsi" w:hAnsiTheme="majorHAnsi"/>
          <w:spacing w:val="-2"/>
          <w:w w:val="95"/>
          <w:sz w:val="20"/>
          <w:szCs w:val="20"/>
        </w:rPr>
        <w:t>понад</w:t>
      </w:r>
      <w:r w:rsidRPr="000977F7">
        <w:rPr>
          <w:rFonts w:asciiTheme="majorHAnsi" w:hAnsiTheme="majorHAnsi"/>
          <w:spacing w:val="-14"/>
          <w:w w:val="95"/>
          <w:sz w:val="20"/>
          <w:szCs w:val="20"/>
        </w:rPr>
        <w:t xml:space="preserve"> </w:t>
      </w:r>
      <w:r w:rsidRPr="000977F7">
        <w:rPr>
          <w:rFonts w:asciiTheme="majorHAnsi" w:hAnsiTheme="majorHAnsi"/>
          <w:spacing w:val="-2"/>
          <w:w w:val="95"/>
          <w:sz w:val="20"/>
          <w:szCs w:val="20"/>
        </w:rPr>
        <w:t>303</w:t>
      </w:r>
      <w:r w:rsidRPr="000977F7">
        <w:rPr>
          <w:rFonts w:asciiTheme="majorHAnsi" w:hAnsiTheme="majorHAnsi"/>
          <w:spacing w:val="-14"/>
          <w:w w:val="95"/>
          <w:sz w:val="20"/>
          <w:szCs w:val="20"/>
        </w:rPr>
        <w:t xml:space="preserve"> </w:t>
      </w:r>
      <w:r w:rsidRPr="000977F7">
        <w:rPr>
          <w:rFonts w:asciiTheme="majorHAnsi" w:hAnsiTheme="majorHAnsi"/>
          <w:spacing w:val="-2"/>
          <w:w w:val="95"/>
          <w:sz w:val="20"/>
          <w:szCs w:val="20"/>
        </w:rPr>
        <w:t>до</w:t>
      </w:r>
      <w:r w:rsidRPr="000977F7">
        <w:rPr>
          <w:rFonts w:asciiTheme="majorHAnsi" w:hAnsiTheme="majorHAnsi"/>
          <w:spacing w:val="-13"/>
          <w:w w:val="95"/>
          <w:sz w:val="20"/>
          <w:szCs w:val="20"/>
        </w:rPr>
        <w:t xml:space="preserve"> </w:t>
      </w:r>
      <w:r w:rsidRPr="000977F7">
        <w:rPr>
          <w:rFonts w:asciiTheme="majorHAnsi" w:hAnsiTheme="majorHAnsi"/>
          <w:spacing w:val="-2"/>
          <w:w w:val="95"/>
          <w:sz w:val="20"/>
          <w:szCs w:val="20"/>
        </w:rPr>
        <w:t>1273</w:t>
      </w:r>
      <w:r w:rsidRPr="000977F7">
        <w:rPr>
          <w:rFonts w:asciiTheme="majorHAnsi" w:hAnsiTheme="majorHAnsi"/>
          <w:spacing w:val="-13"/>
          <w:w w:val="95"/>
          <w:sz w:val="20"/>
          <w:szCs w:val="20"/>
        </w:rPr>
        <w:t xml:space="preserve"> </w:t>
      </w:r>
      <w:r w:rsidRPr="000977F7">
        <w:rPr>
          <w:rFonts w:asciiTheme="majorHAnsi" w:hAnsiTheme="majorHAnsi"/>
          <w:spacing w:val="-2"/>
          <w:w w:val="95"/>
          <w:sz w:val="20"/>
          <w:szCs w:val="20"/>
        </w:rPr>
        <w:t>К</w:t>
      </w:r>
      <w:r w:rsidRPr="000977F7">
        <w:rPr>
          <w:rFonts w:asciiTheme="majorHAnsi" w:hAnsiTheme="majorHAnsi"/>
          <w:spacing w:val="-12"/>
          <w:w w:val="95"/>
          <w:sz w:val="20"/>
          <w:szCs w:val="20"/>
        </w:rPr>
        <w:t xml:space="preserve"> </w:t>
      </w:r>
      <w:r w:rsidRPr="000977F7">
        <w:rPr>
          <w:rFonts w:asciiTheme="majorHAnsi" w:hAnsiTheme="majorHAnsi"/>
          <w:spacing w:val="-2"/>
          <w:w w:val="95"/>
          <w:sz w:val="20"/>
          <w:szCs w:val="20"/>
        </w:rPr>
        <w:t>включно</w:t>
      </w:r>
    </w:p>
    <w:p w14:paraId="058D97D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406A1D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ВИПРОБУВАННЯ</w:t>
      </w:r>
      <w:r w:rsidRPr="000977F7">
        <w:rPr>
          <w:color w:val="auto"/>
          <w:spacing w:val="-6"/>
          <w:sz w:val="20"/>
          <w:szCs w:val="20"/>
        </w:rPr>
        <w:t xml:space="preserve"> </w:t>
      </w:r>
      <w:r w:rsidRPr="000977F7">
        <w:rPr>
          <w:color w:val="auto"/>
          <w:sz w:val="20"/>
          <w:szCs w:val="20"/>
        </w:rPr>
        <w:t>НА</w:t>
      </w:r>
      <w:r w:rsidRPr="000977F7">
        <w:rPr>
          <w:color w:val="auto"/>
          <w:spacing w:val="-4"/>
          <w:sz w:val="20"/>
          <w:szCs w:val="20"/>
        </w:rPr>
        <w:t xml:space="preserve"> </w:t>
      </w:r>
      <w:r w:rsidRPr="000977F7">
        <w:rPr>
          <w:color w:val="auto"/>
          <w:sz w:val="20"/>
          <w:szCs w:val="20"/>
        </w:rPr>
        <w:t>ПОВЗУЧІСТЬ</w:t>
      </w:r>
      <w:r w:rsidRPr="000977F7">
        <w:rPr>
          <w:color w:val="auto"/>
          <w:spacing w:val="-1"/>
          <w:sz w:val="20"/>
          <w:szCs w:val="20"/>
        </w:rPr>
        <w:t xml:space="preserve"> </w:t>
      </w:r>
      <w:r w:rsidRPr="000977F7">
        <w:rPr>
          <w:color w:val="auto"/>
          <w:sz w:val="20"/>
          <w:szCs w:val="20"/>
        </w:rPr>
        <w:t>–</w:t>
      </w:r>
    </w:p>
    <w:p w14:paraId="2D7C93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CREEP</w:t>
      </w:r>
      <w:r w:rsidRPr="000977F7">
        <w:rPr>
          <w:rFonts w:asciiTheme="majorHAnsi" w:hAnsiTheme="majorHAnsi"/>
          <w:spacing w:val="-1"/>
          <w:sz w:val="20"/>
          <w:szCs w:val="20"/>
        </w:rPr>
        <w:t xml:space="preserve"> </w:t>
      </w:r>
      <w:r w:rsidRPr="000977F7">
        <w:rPr>
          <w:rFonts w:asciiTheme="majorHAnsi" w:hAnsiTheme="majorHAnsi"/>
          <w:sz w:val="20"/>
          <w:szCs w:val="20"/>
        </w:rPr>
        <w:t>TEST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1F26CA7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Тривалі випробування дією на об’єкт сталого напруження за сталої температури, що проводяться з метою</w:t>
      </w:r>
      <w:r w:rsidRPr="000977F7">
        <w:rPr>
          <w:rFonts w:asciiTheme="majorHAnsi" w:hAnsiTheme="majorHAnsi"/>
          <w:spacing w:val="-47"/>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2"/>
          <w:sz w:val="20"/>
          <w:szCs w:val="20"/>
        </w:rPr>
        <w:t xml:space="preserve"> </w:t>
      </w:r>
      <w:r w:rsidRPr="000977F7">
        <w:rPr>
          <w:rFonts w:asciiTheme="majorHAnsi" w:hAnsiTheme="majorHAnsi"/>
          <w:sz w:val="20"/>
          <w:szCs w:val="20"/>
        </w:rPr>
        <w:t>характеристик опору</w:t>
      </w:r>
      <w:r w:rsidRPr="000977F7">
        <w:rPr>
          <w:rFonts w:asciiTheme="majorHAnsi" w:hAnsiTheme="majorHAnsi"/>
          <w:spacing w:val="-4"/>
          <w:sz w:val="20"/>
          <w:szCs w:val="20"/>
        </w:rPr>
        <w:t xml:space="preserve"> </w:t>
      </w:r>
      <w:r w:rsidRPr="000977F7">
        <w:rPr>
          <w:rFonts w:asciiTheme="majorHAnsi" w:hAnsiTheme="majorHAnsi"/>
          <w:sz w:val="20"/>
          <w:szCs w:val="20"/>
        </w:rPr>
        <w:t>повзучості</w:t>
      </w:r>
    </w:p>
    <w:p w14:paraId="2E31012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906268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ВИПРОБУВАННЯ</w:t>
      </w:r>
      <w:r w:rsidRPr="000977F7">
        <w:rPr>
          <w:color w:val="auto"/>
          <w:spacing w:val="-7"/>
          <w:sz w:val="20"/>
          <w:szCs w:val="20"/>
        </w:rPr>
        <w:t xml:space="preserve"> </w:t>
      </w:r>
      <w:r w:rsidRPr="000977F7">
        <w:rPr>
          <w:color w:val="auto"/>
          <w:sz w:val="20"/>
          <w:szCs w:val="20"/>
        </w:rPr>
        <w:t>НА</w:t>
      </w:r>
      <w:r w:rsidRPr="000977F7">
        <w:rPr>
          <w:color w:val="auto"/>
          <w:spacing w:val="-4"/>
          <w:sz w:val="20"/>
          <w:szCs w:val="20"/>
        </w:rPr>
        <w:t xml:space="preserve"> </w:t>
      </w:r>
      <w:r w:rsidRPr="000977F7">
        <w:rPr>
          <w:color w:val="auto"/>
          <w:sz w:val="20"/>
          <w:szCs w:val="20"/>
        </w:rPr>
        <w:t>РЕЛАКСАЦІЮ</w:t>
      </w:r>
      <w:r w:rsidRPr="000977F7">
        <w:rPr>
          <w:color w:val="auto"/>
          <w:spacing w:val="-3"/>
          <w:sz w:val="20"/>
          <w:szCs w:val="20"/>
        </w:rPr>
        <w:t xml:space="preserve"> </w:t>
      </w:r>
      <w:r w:rsidRPr="000977F7">
        <w:rPr>
          <w:color w:val="auto"/>
          <w:sz w:val="20"/>
          <w:szCs w:val="20"/>
        </w:rPr>
        <w:t>–</w:t>
      </w:r>
    </w:p>
    <w:p w14:paraId="6C0128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STRESS</w:t>
      </w:r>
      <w:r w:rsidRPr="000977F7">
        <w:rPr>
          <w:rFonts w:asciiTheme="majorHAnsi" w:hAnsiTheme="majorHAnsi"/>
          <w:spacing w:val="-3"/>
          <w:sz w:val="20"/>
          <w:szCs w:val="20"/>
        </w:rPr>
        <w:t xml:space="preserve"> </w:t>
      </w:r>
      <w:r w:rsidRPr="000977F7">
        <w:rPr>
          <w:rFonts w:asciiTheme="majorHAnsi" w:hAnsiTheme="majorHAnsi"/>
          <w:sz w:val="20"/>
          <w:szCs w:val="20"/>
        </w:rPr>
        <w:t>RELAXATION</w:t>
      </w:r>
      <w:r w:rsidRPr="000977F7">
        <w:rPr>
          <w:rFonts w:asciiTheme="majorHAnsi" w:hAnsiTheme="majorHAnsi"/>
          <w:spacing w:val="-2"/>
          <w:sz w:val="20"/>
          <w:szCs w:val="20"/>
        </w:rPr>
        <w:t xml:space="preserve"> </w:t>
      </w:r>
      <w:r w:rsidRPr="000977F7">
        <w:rPr>
          <w:rFonts w:asciiTheme="majorHAnsi" w:hAnsiTheme="majorHAnsi"/>
          <w:sz w:val="20"/>
          <w:szCs w:val="20"/>
        </w:rPr>
        <w:t>TEST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386B11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Тривалі випробування за сталої температури навантаженого об’єкта, деформація якого залишається незмінною, що проводяться з метою визначення характеристик</w:t>
      </w:r>
      <w:r w:rsidRPr="000977F7">
        <w:rPr>
          <w:rFonts w:asciiTheme="majorHAnsi" w:hAnsiTheme="majorHAnsi"/>
          <w:spacing w:val="-2"/>
          <w:sz w:val="20"/>
          <w:szCs w:val="20"/>
        </w:rPr>
        <w:t xml:space="preserve"> </w:t>
      </w:r>
      <w:r w:rsidRPr="000977F7">
        <w:rPr>
          <w:rFonts w:asciiTheme="majorHAnsi" w:hAnsiTheme="majorHAnsi"/>
          <w:sz w:val="20"/>
          <w:szCs w:val="20"/>
        </w:rPr>
        <w:t>опору</w:t>
      </w:r>
      <w:r w:rsidRPr="000977F7">
        <w:rPr>
          <w:rFonts w:asciiTheme="majorHAnsi" w:hAnsiTheme="majorHAnsi"/>
          <w:spacing w:val="-4"/>
          <w:sz w:val="20"/>
          <w:szCs w:val="20"/>
        </w:rPr>
        <w:t xml:space="preserve"> </w:t>
      </w:r>
      <w:r w:rsidRPr="000977F7">
        <w:rPr>
          <w:rFonts w:asciiTheme="majorHAnsi" w:hAnsiTheme="majorHAnsi"/>
          <w:sz w:val="20"/>
          <w:szCs w:val="20"/>
        </w:rPr>
        <w:t>релаксації</w:t>
      </w:r>
      <w:r w:rsidRPr="000977F7">
        <w:rPr>
          <w:rFonts w:asciiTheme="majorHAnsi" w:hAnsiTheme="majorHAnsi"/>
          <w:spacing w:val="2"/>
          <w:sz w:val="20"/>
          <w:szCs w:val="20"/>
        </w:rPr>
        <w:t xml:space="preserve"> </w:t>
      </w:r>
      <w:r w:rsidRPr="000977F7">
        <w:rPr>
          <w:rFonts w:asciiTheme="majorHAnsi" w:hAnsiTheme="majorHAnsi"/>
          <w:sz w:val="20"/>
          <w:szCs w:val="20"/>
        </w:rPr>
        <w:t>напружень</w:t>
      </w:r>
    </w:p>
    <w:p w14:paraId="61457662"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p>
    <w:p w14:paraId="40DB6711"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ВИПРОБУВАННЯ</w:t>
      </w:r>
      <w:r w:rsidRPr="000977F7">
        <w:rPr>
          <w:rFonts w:asciiTheme="majorHAnsi" w:hAnsiTheme="majorHAnsi"/>
          <w:b/>
          <w:spacing w:val="-7"/>
          <w:sz w:val="20"/>
          <w:szCs w:val="20"/>
        </w:rPr>
        <w:t xml:space="preserve"> </w:t>
      </w:r>
      <w:r w:rsidRPr="000977F7">
        <w:rPr>
          <w:rFonts w:asciiTheme="majorHAnsi" w:hAnsiTheme="majorHAnsi"/>
          <w:b/>
          <w:sz w:val="20"/>
          <w:szCs w:val="20"/>
        </w:rPr>
        <w:t>НА</w:t>
      </w:r>
      <w:r w:rsidRPr="000977F7">
        <w:rPr>
          <w:rFonts w:asciiTheme="majorHAnsi" w:hAnsiTheme="majorHAnsi"/>
          <w:b/>
          <w:spacing w:val="-4"/>
          <w:sz w:val="20"/>
          <w:szCs w:val="20"/>
        </w:rPr>
        <w:t xml:space="preserve"> </w:t>
      </w:r>
      <w:r w:rsidRPr="000977F7">
        <w:rPr>
          <w:rFonts w:asciiTheme="majorHAnsi" w:hAnsiTheme="majorHAnsi"/>
          <w:b/>
          <w:sz w:val="20"/>
          <w:szCs w:val="20"/>
        </w:rPr>
        <w:t>РОЗТЯГ</w:t>
      </w:r>
      <w:r w:rsidRPr="000977F7">
        <w:rPr>
          <w:rFonts w:asciiTheme="majorHAnsi" w:hAnsiTheme="majorHAnsi"/>
          <w:b/>
          <w:spacing w:val="-2"/>
          <w:sz w:val="20"/>
          <w:szCs w:val="20"/>
        </w:rPr>
        <w:t xml:space="preserve"> </w:t>
      </w:r>
      <w:r w:rsidRPr="000977F7">
        <w:rPr>
          <w:rFonts w:asciiTheme="majorHAnsi" w:hAnsiTheme="majorHAnsi"/>
          <w:b/>
          <w:sz w:val="20"/>
          <w:szCs w:val="20"/>
        </w:rPr>
        <w:t>–</w:t>
      </w:r>
      <w:r w:rsidRPr="000977F7">
        <w:rPr>
          <w:rFonts w:asciiTheme="majorHAnsi" w:hAnsiTheme="majorHAnsi"/>
          <w:b/>
          <w:spacing w:val="-47"/>
          <w:sz w:val="20"/>
          <w:szCs w:val="20"/>
        </w:rPr>
        <w:t xml:space="preserve"> </w:t>
      </w:r>
    </w:p>
    <w:p w14:paraId="3C0DCC5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TENSION</w:t>
      </w:r>
      <w:r w:rsidRPr="000977F7">
        <w:rPr>
          <w:rFonts w:asciiTheme="majorHAnsi" w:hAnsiTheme="majorHAnsi"/>
          <w:spacing w:val="-3"/>
          <w:sz w:val="20"/>
          <w:szCs w:val="20"/>
        </w:rPr>
        <w:t xml:space="preserve"> </w:t>
      </w:r>
      <w:r w:rsidRPr="000977F7">
        <w:rPr>
          <w:rFonts w:asciiTheme="majorHAnsi" w:hAnsiTheme="majorHAnsi"/>
          <w:sz w:val="20"/>
          <w:szCs w:val="20"/>
        </w:rPr>
        <w:t>TEST</w:t>
      </w:r>
    </w:p>
    <w:p w14:paraId="78662024"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p>
    <w:p w14:paraId="00EBF7CC"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8"/>
          <w:sz w:val="20"/>
          <w:szCs w:val="20"/>
        </w:rPr>
      </w:pPr>
      <w:r w:rsidRPr="000977F7">
        <w:rPr>
          <w:rFonts w:asciiTheme="majorHAnsi" w:hAnsiTheme="majorHAnsi"/>
          <w:b/>
          <w:sz w:val="20"/>
          <w:szCs w:val="20"/>
        </w:rPr>
        <w:t>ВИПРОБУВАННЯ НА СТИСК –</w:t>
      </w:r>
      <w:r w:rsidRPr="000977F7">
        <w:rPr>
          <w:rFonts w:asciiTheme="majorHAnsi" w:hAnsiTheme="majorHAnsi"/>
          <w:b/>
          <w:spacing w:val="-48"/>
          <w:sz w:val="20"/>
          <w:szCs w:val="20"/>
        </w:rPr>
        <w:t xml:space="preserve"> </w:t>
      </w:r>
    </w:p>
    <w:p w14:paraId="778E042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COMPRESSION</w:t>
      </w:r>
      <w:r w:rsidRPr="000977F7">
        <w:rPr>
          <w:rFonts w:asciiTheme="majorHAnsi" w:hAnsiTheme="majorHAnsi"/>
          <w:spacing w:val="-1"/>
          <w:sz w:val="20"/>
          <w:szCs w:val="20"/>
        </w:rPr>
        <w:t xml:space="preserve"> </w:t>
      </w:r>
      <w:r w:rsidRPr="000977F7">
        <w:rPr>
          <w:rFonts w:asciiTheme="majorHAnsi" w:hAnsiTheme="majorHAnsi"/>
          <w:sz w:val="20"/>
          <w:szCs w:val="20"/>
        </w:rPr>
        <w:t>TEST</w:t>
      </w:r>
    </w:p>
    <w:p w14:paraId="1E4345F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5DFA6F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ВИПРОБУВАННЯ</w:t>
      </w:r>
      <w:r w:rsidRPr="000977F7">
        <w:rPr>
          <w:color w:val="auto"/>
          <w:spacing w:val="-7"/>
          <w:sz w:val="20"/>
          <w:szCs w:val="20"/>
        </w:rPr>
        <w:t xml:space="preserve"> </w:t>
      </w:r>
      <w:r w:rsidRPr="000977F7">
        <w:rPr>
          <w:color w:val="auto"/>
          <w:sz w:val="20"/>
          <w:szCs w:val="20"/>
        </w:rPr>
        <w:t>НА</w:t>
      </w:r>
      <w:r w:rsidRPr="000977F7">
        <w:rPr>
          <w:color w:val="auto"/>
          <w:spacing w:val="-4"/>
          <w:sz w:val="20"/>
          <w:szCs w:val="20"/>
        </w:rPr>
        <w:t xml:space="preserve"> </w:t>
      </w:r>
      <w:r w:rsidRPr="000977F7">
        <w:rPr>
          <w:color w:val="auto"/>
          <w:sz w:val="20"/>
          <w:szCs w:val="20"/>
        </w:rPr>
        <w:t>СТІЙКІСТЬ</w:t>
      </w:r>
      <w:r w:rsidRPr="000977F7">
        <w:rPr>
          <w:color w:val="auto"/>
          <w:spacing w:val="-2"/>
          <w:sz w:val="20"/>
          <w:szCs w:val="20"/>
        </w:rPr>
        <w:t xml:space="preserve"> </w:t>
      </w:r>
      <w:r w:rsidRPr="000977F7">
        <w:rPr>
          <w:color w:val="auto"/>
          <w:sz w:val="20"/>
          <w:szCs w:val="20"/>
        </w:rPr>
        <w:t>–</w:t>
      </w:r>
    </w:p>
    <w:p w14:paraId="4014245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STABILITY</w:t>
      </w:r>
      <w:r w:rsidRPr="000977F7">
        <w:rPr>
          <w:rFonts w:asciiTheme="majorHAnsi" w:hAnsiTheme="majorHAnsi"/>
          <w:spacing w:val="-4"/>
          <w:sz w:val="20"/>
          <w:szCs w:val="20"/>
        </w:rPr>
        <w:t xml:space="preserve"> </w:t>
      </w:r>
      <w:r w:rsidRPr="000977F7">
        <w:rPr>
          <w:rFonts w:asciiTheme="majorHAnsi" w:hAnsiTheme="majorHAnsi"/>
          <w:sz w:val="20"/>
          <w:szCs w:val="20"/>
        </w:rPr>
        <w:t>TEST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FC338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що проводяться для контролю здатності виробу виконувати свої функції та зберігати значення параметрів у межах установлених норм під час</w:t>
      </w:r>
      <w:r w:rsidRPr="000977F7">
        <w:rPr>
          <w:rFonts w:asciiTheme="majorHAnsi" w:hAnsiTheme="majorHAnsi"/>
          <w:spacing w:val="1"/>
          <w:sz w:val="20"/>
          <w:szCs w:val="20"/>
        </w:rPr>
        <w:t xml:space="preserve"> </w:t>
      </w:r>
      <w:r w:rsidRPr="000977F7">
        <w:rPr>
          <w:rFonts w:asciiTheme="majorHAnsi" w:hAnsiTheme="majorHAnsi"/>
          <w:sz w:val="20"/>
          <w:szCs w:val="20"/>
        </w:rPr>
        <w:t>дії</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нього</w:t>
      </w:r>
      <w:r w:rsidRPr="000977F7">
        <w:rPr>
          <w:rFonts w:asciiTheme="majorHAnsi" w:hAnsiTheme="majorHAnsi"/>
          <w:spacing w:val="1"/>
          <w:sz w:val="20"/>
          <w:szCs w:val="20"/>
        </w:rPr>
        <w:t xml:space="preserve"> </w:t>
      </w:r>
      <w:r w:rsidRPr="000977F7">
        <w:rPr>
          <w:rFonts w:asciiTheme="majorHAnsi" w:hAnsiTheme="majorHAnsi"/>
          <w:sz w:val="20"/>
          <w:szCs w:val="20"/>
        </w:rPr>
        <w:t>певних</w:t>
      </w:r>
      <w:r w:rsidRPr="000977F7">
        <w:rPr>
          <w:rFonts w:asciiTheme="majorHAnsi" w:hAnsiTheme="majorHAnsi"/>
          <w:spacing w:val="-2"/>
          <w:sz w:val="20"/>
          <w:szCs w:val="20"/>
        </w:rPr>
        <w:t xml:space="preserve"> </w:t>
      </w:r>
      <w:r w:rsidRPr="000977F7">
        <w:rPr>
          <w:rFonts w:asciiTheme="majorHAnsi" w:hAnsiTheme="majorHAnsi"/>
          <w:sz w:val="20"/>
          <w:szCs w:val="20"/>
        </w:rPr>
        <w:t>чинників</w:t>
      </w:r>
    </w:p>
    <w:p w14:paraId="5F49729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3021 – 95</w:t>
      </w:r>
    </w:p>
    <w:p w14:paraId="1FBE8D23"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8"/>
          <w:sz w:val="20"/>
          <w:szCs w:val="20"/>
        </w:rPr>
      </w:pPr>
      <w:r w:rsidRPr="000977F7">
        <w:rPr>
          <w:rFonts w:asciiTheme="majorHAnsi" w:hAnsiTheme="majorHAnsi"/>
          <w:b/>
          <w:sz w:val="20"/>
          <w:szCs w:val="20"/>
        </w:rPr>
        <w:t>ВИПРОБУВАННЯ НА ТВЕРДІСТЬ –</w:t>
      </w:r>
      <w:r w:rsidRPr="000977F7">
        <w:rPr>
          <w:rFonts w:asciiTheme="majorHAnsi" w:hAnsiTheme="majorHAnsi"/>
          <w:b/>
          <w:spacing w:val="-48"/>
          <w:sz w:val="20"/>
          <w:szCs w:val="20"/>
        </w:rPr>
        <w:t xml:space="preserve"> </w:t>
      </w:r>
    </w:p>
    <w:p w14:paraId="6C392F9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HARDNESS</w:t>
      </w:r>
      <w:r w:rsidRPr="000977F7">
        <w:rPr>
          <w:rFonts w:asciiTheme="majorHAnsi" w:hAnsiTheme="majorHAnsi"/>
          <w:spacing w:val="-2"/>
          <w:sz w:val="20"/>
          <w:szCs w:val="20"/>
        </w:rPr>
        <w:t xml:space="preserve"> </w:t>
      </w:r>
      <w:r w:rsidRPr="000977F7">
        <w:rPr>
          <w:rFonts w:asciiTheme="majorHAnsi" w:hAnsiTheme="majorHAnsi"/>
          <w:sz w:val="20"/>
          <w:szCs w:val="20"/>
        </w:rPr>
        <w:t>TEST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8E460D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 xml:space="preserve">Короткочасні випробування об’єкта </w:t>
      </w:r>
      <w:r w:rsidRPr="000977F7">
        <w:rPr>
          <w:rFonts w:asciiTheme="majorHAnsi" w:hAnsiTheme="majorHAnsi"/>
          <w:sz w:val="20"/>
          <w:szCs w:val="20"/>
        </w:rPr>
        <w:t>навантажуванням,</w:t>
      </w:r>
      <w:r w:rsidRPr="000977F7">
        <w:rPr>
          <w:rFonts w:asciiTheme="majorHAnsi" w:hAnsiTheme="majorHAnsi"/>
          <w:spacing w:val="-47"/>
          <w:sz w:val="20"/>
          <w:szCs w:val="20"/>
        </w:rPr>
        <w:t xml:space="preserve"> </w:t>
      </w:r>
      <w:r w:rsidRPr="000977F7">
        <w:rPr>
          <w:rFonts w:asciiTheme="majorHAnsi" w:hAnsiTheme="majorHAnsi"/>
          <w:sz w:val="20"/>
          <w:szCs w:val="20"/>
        </w:rPr>
        <w:t>що утворює місцеві контактні напруження, які проводяться</w:t>
      </w:r>
      <w:r w:rsidRPr="000977F7">
        <w:rPr>
          <w:rFonts w:asciiTheme="majorHAnsi" w:hAnsiTheme="majorHAnsi"/>
          <w:spacing w:val="-11"/>
          <w:sz w:val="20"/>
          <w:szCs w:val="20"/>
        </w:rPr>
        <w:t xml:space="preserve"> </w:t>
      </w:r>
      <w:r w:rsidRPr="000977F7">
        <w:rPr>
          <w:rFonts w:asciiTheme="majorHAnsi" w:hAnsiTheme="majorHAnsi"/>
          <w:sz w:val="20"/>
          <w:szCs w:val="20"/>
        </w:rPr>
        <w:t>з</w:t>
      </w:r>
      <w:r w:rsidRPr="000977F7">
        <w:rPr>
          <w:rFonts w:asciiTheme="majorHAnsi" w:hAnsiTheme="majorHAnsi"/>
          <w:spacing w:val="-12"/>
          <w:sz w:val="20"/>
          <w:szCs w:val="20"/>
        </w:rPr>
        <w:t xml:space="preserve"> </w:t>
      </w:r>
      <w:r w:rsidRPr="000977F7">
        <w:rPr>
          <w:rFonts w:asciiTheme="majorHAnsi" w:hAnsiTheme="majorHAnsi"/>
          <w:sz w:val="20"/>
          <w:szCs w:val="20"/>
        </w:rPr>
        <w:t>метою</w:t>
      </w:r>
      <w:r w:rsidRPr="000977F7">
        <w:rPr>
          <w:rFonts w:asciiTheme="majorHAnsi" w:hAnsiTheme="majorHAnsi"/>
          <w:spacing w:val="-10"/>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11"/>
          <w:sz w:val="20"/>
          <w:szCs w:val="20"/>
        </w:rPr>
        <w:t xml:space="preserve"> </w:t>
      </w:r>
      <w:r w:rsidRPr="000977F7">
        <w:rPr>
          <w:rFonts w:asciiTheme="majorHAnsi" w:hAnsiTheme="majorHAnsi"/>
          <w:sz w:val="20"/>
          <w:szCs w:val="20"/>
        </w:rPr>
        <w:t>характеристик</w:t>
      </w:r>
      <w:r w:rsidRPr="000977F7">
        <w:rPr>
          <w:rFonts w:asciiTheme="majorHAnsi" w:hAnsiTheme="majorHAnsi"/>
          <w:spacing w:val="-11"/>
          <w:sz w:val="20"/>
          <w:szCs w:val="20"/>
        </w:rPr>
        <w:t xml:space="preserve"> </w:t>
      </w:r>
      <w:r w:rsidRPr="000977F7">
        <w:rPr>
          <w:rFonts w:asciiTheme="majorHAnsi" w:hAnsiTheme="majorHAnsi"/>
          <w:sz w:val="20"/>
          <w:szCs w:val="20"/>
        </w:rPr>
        <w:t>твердості</w:t>
      </w:r>
    </w:p>
    <w:p w14:paraId="1C640AF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505B76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 найбільш поширених видів випробувань на твердість</w:t>
      </w:r>
      <w:r w:rsidRPr="000977F7">
        <w:rPr>
          <w:rFonts w:asciiTheme="majorHAnsi" w:hAnsiTheme="majorHAnsi"/>
          <w:spacing w:val="-1"/>
          <w:sz w:val="20"/>
          <w:szCs w:val="20"/>
        </w:rPr>
        <w:t xml:space="preserve"> </w:t>
      </w:r>
      <w:r w:rsidRPr="000977F7">
        <w:rPr>
          <w:rFonts w:asciiTheme="majorHAnsi" w:hAnsiTheme="majorHAnsi"/>
          <w:sz w:val="20"/>
          <w:szCs w:val="20"/>
        </w:rPr>
        <w:t>належать:</w:t>
      </w:r>
    </w:p>
    <w:p w14:paraId="0759555E" w14:textId="77777777" w:rsidR="0097612F" w:rsidRPr="000977F7" w:rsidRDefault="0097612F" w:rsidP="00FD39A4">
      <w:pPr>
        <w:pStyle w:val="ac"/>
        <w:widowControl w:val="0"/>
        <w:numPr>
          <w:ilvl w:val="0"/>
          <w:numId w:val="201"/>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7"/>
          <w:sz w:val="20"/>
          <w:szCs w:val="20"/>
        </w:rPr>
        <w:t xml:space="preserve"> </w:t>
      </w:r>
      <w:r w:rsidRPr="000977F7">
        <w:rPr>
          <w:rFonts w:asciiTheme="majorHAnsi" w:hAnsiTheme="majorHAnsi"/>
          <w:sz w:val="20"/>
          <w:szCs w:val="20"/>
        </w:rPr>
        <w:t>за</w:t>
      </w:r>
      <w:r w:rsidRPr="000977F7">
        <w:rPr>
          <w:rFonts w:asciiTheme="majorHAnsi" w:hAnsiTheme="majorHAnsi"/>
          <w:spacing w:val="-6"/>
          <w:sz w:val="20"/>
          <w:szCs w:val="20"/>
        </w:rPr>
        <w:t xml:space="preserve"> </w:t>
      </w:r>
      <w:r w:rsidRPr="000977F7">
        <w:rPr>
          <w:rFonts w:asciiTheme="majorHAnsi" w:hAnsiTheme="majorHAnsi"/>
          <w:sz w:val="20"/>
          <w:szCs w:val="20"/>
        </w:rPr>
        <w:t>Брінеллем</w:t>
      </w:r>
      <w:r w:rsidRPr="000977F7">
        <w:rPr>
          <w:rFonts w:asciiTheme="majorHAnsi" w:hAnsiTheme="majorHAnsi"/>
          <w:spacing w:val="-5"/>
          <w:sz w:val="20"/>
          <w:szCs w:val="20"/>
        </w:rPr>
        <w:t xml:space="preserve"> </w:t>
      </w:r>
      <w:r w:rsidRPr="000977F7">
        <w:rPr>
          <w:rFonts w:asciiTheme="majorHAnsi" w:hAnsiTheme="majorHAnsi"/>
          <w:sz w:val="20"/>
          <w:szCs w:val="20"/>
        </w:rPr>
        <w:t>(втиснення</w:t>
      </w:r>
      <w:r w:rsidRPr="000977F7">
        <w:rPr>
          <w:rFonts w:asciiTheme="majorHAnsi" w:hAnsiTheme="majorHAnsi"/>
          <w:spacing w:val="-4"/>
          <w:sz w:val="20"/>
          <w:szCs w:val="20"/>
        </w:rPr>
        <w:t xml:space="preserve"> </w:t>
      </w:r>
      <w:r w:rsidRPr="000977F7">
        <w:rPr>
          <w:rFonts w:asciiTheme="majorHAnsi" w:hAnsiTheme="majorHAnsi"/>
          <w:sz w:val="20"/>
          <w:szCs w:val="20"/>
        </w:rPr>
        <w:t>кульки);</w:t>
      </w:r>
    </w:p>
    <w:p w14:paraId="092CA90E" w14:textId="77777777" w:rsidR="0097612F" w:rsidRPr="000977F7" w:rsidRDefault="0097612F" w:rsidP="00FD39A4">
      <w:pPr>
        <w:pStyle w:val="ac"/>
        <w:widowControl w:val="0"/>
        <w:numPr>
          <w:ilvl w:val="0"/>
          <w:numId w:val="201"/>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випробування за Роквеллом чи Супер – Роквеллом (втиснення</w:t>
      </w:r>
      <w:r w:rsidRPr="000977F7">
        <w:rPr>
          <w:rFonts w:asciiTheme="majorHAnsi" w:hAnsiTheme="majorHAnsi"/>
          <w:spacing w:val="-2"/>
          <w:sz w:val="20"/>
          <w:szCs w:val="20"/>
        </w:rPr>
        <w:t xml:space="preserve"> </w:t>
      </w:r>
      <w:r w:rsidRPr="000977F7">
        <w:rPr>
          <w:rFonts w:asciiTheme="majorHAnsi" w:hAnsiTheme="majorHAnsi"/>
          <w:sz w:val="20"/>
          <w:szCs w:val="20"/>
        </w:rPr>
        <w:t>алмазного</w:t>
      </w:r>
      <w:r w:rsidRPr="000977F7">
        <w:rPr>
          <w:rFonts w:asciiTheme="majorHAnsi" w:hAnsiTheme="majorHAnsi"/>
          <w:spacing w:val="1"/>
          <w:sz w:val="20"/>
          <w:szCs w:val="20"/>
        </w:rPr>
        <w:t xml:space="preserve"> </w:t>
      </w:r>
      <w:r w:rsidRPr="000977F7">
        <w:rPr>
          <w:rFonts w:asciiTheme="majorHAnsi" w:hAnsiTheme="majorHAnsi"/>
          <w:sz w:val="20"/>
          <w:szCs w:val="20"/>
        </w:rPr>
        <w:t>конуса);</w:t>
      </w:r>
    </w:p>
    <w:p w14:paraId="115E3084" w14:textId="77777777" w:rsidR="0097612F" w:rsidRPr="000977F7" w:rsidRDefault="0097612F" w:rsidP="00FD39A4">
      <w:pPr>
        <w:pStyle w:val="ac"/>
        <w:widowControl w:val="0"/>
        <w:numPr>
          <w:ilvl w:val="0"/>
          <w:numId w:val="201"/>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випробування за Віккерсом (втиснення алмазної</w:t>
      </w:r>
      <w:r w:rsidRPr="000977F7">
        <w:rPr>
          <w:rFonts w:asciiTheme="majorHAnsi" w:hAnsiTheme="majorHAnsi"/>
          <w:spacing w:val="1"/>
          <w:sz w:val="20"/>
          <w:szCs w:val="20"/>
        </w:rPr>
        <w:t xml:space="preserve"> </w:t>
      </w:r>
      <w:r w:rsidRPr="000977F7">
        <w:rPr>
          <w:rFonts w:asciiTheme="majorHAnsi" w:hAnsiTheme="majorHAnsi"/>
          <w:sz w:val="20"/>
          <w:szCs w:val="20"/>
        </w:rPr>
        <w:t>піраміди).</w:t>
      </w:r>
    </w:p>
    <w:p w14:paraId="6577F4C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твердості,</w:t>
      </w:r>
      <w:r w:rsidRPr="000977F7">
        <w:rPr>
          <w:rFonts w:asciiTheme="majorHAnsi" w:hAnsiTheme="majorHAnsi"/>
          <w:spacing w:val="1"/>
          <w:sz w:val="20"/>
          <w:szCs w:val="20"/>
        </w:rPr>
        <w:t xml:space="preserve"> </w:t>
      </w:r>
      <w:r w:rsidRPr="000977F7">
        <w:rPr>
          <w:rFonts w:asciiTheme="majorHAnsi" w:hAnsiTheme="majorHAnsi"/>
          <w:sz w:val="20"/>
          <w:szCs w:val="20"/>
        </w:rPr>
        <w:t>отриманні</w:t>
      </w:r>
      <w:r w:rsidRPr="000977F7">
        <w:rPr>
          <w:rFonts w:asciiTheme="majorHAnsi" w:hAnsiTheme="majorHAnsi"/>
          <w:spacing w:val="1"/>
          <w:sz w:val="20"/>
          <w:szCs w:val="20"/>
        </w:rPr>
        <w:t xml:space="preserve"> </w:t>
      </w:r>
      <w:r w:rsidRPr="000977F7">
        <w:rPr>
          <w:rFonts w:asciiTheme="majorHAnsi" w:hAnsiTheme="majorHAnsi"/>
          <w:sz w:val="20"/>
          <w:szCs w:val="20"/>
        </w:rPr>
        <w:t>різними</w:t>
      </w:r>
      <w:r w:rsidRPr="000977F7">
        <w:rPr>
          <w:rFonts w:asciiTheme="majorHAnsi" w:hAnsiTheme="majorHAnsi"/>
          <w:spacing w:val="1"/>
          <w:sz w:val="20"/>
          <w:szCs w:val="20"/>
        </w:rPr>
        <w:t xml:space="preserve"> </w:t>
      </w:r>
      <w:r w:rsidRPr="000977F7">
        <w:rPr>
          <w:rFonts w:asciiTheme="majorHAnsi" w:hAnsiTheme="majorHAnsi"/>
          <w:sz w:val="20"/>
          <w:szCs w:val="20"/>
        </w:rPr>
        <w:t>методами,</w:t>
      </w:r>
      <w:r w:rsidRPr="000977F7">
        <w:rPr>
          <w:rFonts w:asciiTheme="majorHAnsi" w:hAnsiTheme="majorHAnsi"/>
          <w:spacing w:val="1"/>
          <w:sz w:val="20"/>
          <w:szCs w:val="20"/>
        </w:rPr>
        <w:t xml:space="preserve"> </w:t>
      </w:r>
      <w:r w:rsidRPr="000977F7">
        <w:rPr>
          <w:rFonts w:asciiTheme="majorHAnsi" w:hAnsiTheme="majorHAnsi"/>
          <w:sz w:val="20"/>
          <w:szCs w:val="20"/>
        </w:rPr>
        <w:t>можуть бути подані через відповідні значення твердості</w:t>
      </w:r>
      <w:r w:rsidRPr="000977F7">
        <w:rPr>
          <w:rFonts w:asciiTheme="majorHAnsi" w:hAnsiTheme="majorHAnsi"/>
          <w:spacing w:val="-2"/>
          <w:sz w:val="20"/>
          <w:szCs w:val="20"/>
        </w:rPr>
        <w:t xml:space="preserve"> </w:t>
      </w:r>
      <w:r w:rsidRPr="000977F7">
        <w:rPr>
          <w:rFonts w:asciiTheme="majorHAnsi" w:hAnsiTheme="majorHAnsi"/>
          <w:sz w:val="20"/>
          <w:szCs w:val="20"/>
        </w:rPr>
        <w:t>за Брінеллем</w:t>
      </w:r>
      <w:r w:rsidRPr="000977F7">
        <w:rPr>
          <w:rFonts w:asciiTheme="majorHAnsi" w:hAnsiTheme="majorHAnsi"/>
          <w:spacing w:val="1"/>
          <w:sz w:val="20"/>
          <w:szCs w:val="20"/>
        </w:rPr>
        <w:t xml:space="preserve"> </w:t>
      </w:r>
      <w:r w:rsidRPr="000977F7">
        <w:rPr>
          <w:rFonts w:asciiTheme="majorHAnsi" w:hAnsiTheme="majorHAnsi"/>
          <w:sz w:val="20"/>
          <w:szCs w:val="20"/>
        </w:rPr>
        <w:t>та інші</w:t>
      </w:r>
    </w:p>
    <w:p w14:paraId="45F6FC7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F405093"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b/>
          <w:sz w:val="20"/>
          <w:szCs w:val="20"/>
        </w:rPr>
        <w:t>ВИПРОБУВАННЯ НА</w:t>
      </w:r>
      <w:r w:rsidRPr="000977F7">
        <w:rPr>
          <w:rFonts w:asciiTheme="majorHAnsi" w:hAnsiTheme="majorHAnsi"/>
          <w:b/>
          <w:spacing w:val="1"/>
          <w:sz w:val="20"/>
          <w:szCs w:val="20"/>
        </w:rPr>
        <w:t xml:space="preserve"> </w:t>
      </w:r>
      <w:r w:rsidRPr="000977F7">
        <w:rPr>
          <w:rFonts w:asciiTheme="majorHAnsi" w:hAnsiTheme="majorHAnsi"/>
          <w:b/>
          <w:sz w:val="20"/>
          <w:szCs w:val="20"/>
        </w:rPr>
        <w:t>ТРАНСПОРТАБЕЛЬНІСТЬ –</w:t>
      </w:r>
      <w:r w:rsidRPr="000977F7">
        <w:rPr>
          <w:rFonts w:asciiTheme="majorHAnsi" w:hAnsiTheme="majorHAnsi"/>
          <w:b/>
          <w:spacing w:val="-48"/>
          <w:sz w:val="20"/>
          <w:szCs w:val="20"/>
        </w:rPr>
        <w:t xml:space="preserve"> </w:t>
      </w:r>
      <w:r w:rsidRPr="000977F7">
        <w:rPr>
          <w:rFonts w:asciiTheme="majorHAnsi" w:hAnsiTheme="majorHAnsi"/>
          <w:sz w:val="20"/>
          <w:szCs w:val="20"/>
        </w:rPr>
        <w:t>TRANSPORTABILITY TEST</w:t>
      </w:r>
      <w:r w:rsidRPr="000977F7">
        <w:rPr>
          <w:rFonts w:asciiTheme="majorHAnsi" w:hAnsiTheme="majorHAnsi"/>
          <w:spacing w:val="1"/>
          <w:sz w:val="20"/>
          <w:szCs w:val="20"/>
        </w:rPr>
        <w:t xml:space="preserve"> </w:t>
      </w:r>
    </w:p>
    <w:p w14:paraId="515FEE1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83DEEA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ВИПРОБУВАННЯ</w:t>
      </w:r>
      <w:r w:rsidRPr="000977F7">
        <w:rPr>
          <w:color w:val="auto"/>
          <w:spacing w:val="-9"/>
          <w:sz w:val="20"/>
          <w:szCs w:val="20"/>
        </w:rPr>
        <w:t xml:space="preserve"> </w:t>
      </w:r>
      <w:r w:rsidRPr="000977F7">
        <w:rPr>
          <w:color w:val="auto"/>
          <w:sz w:val="20"/>
          <w:szCs w:val="20"/>
        </w:rPr>
        <w:t>НА</w:t>
      </w:r>
      <w:r w:rsidRPr="000977F7">
        <w:rPr>
          <w:color w:val="auto"/>
          <w:spacing w:val="-6"/>
          <w:sz w:val="20"/>
          <w:szCs w:val="20"/>
        </w:rPr>
        <w:t xml:space="preserve"> </w:t>
      </w:r>
      <w:r w:rsidRPr="000977F7">
        <w:rPr>
          <w:color w:val="auto"/>
          <w:sz w:val="20"/>
          <w:szCs w:val="20"/>
        </w:rPr>
        <w:t xml:space="preserve">ТРІЩИНОСТІЙКІСТЬ </w:t>
      </w:r>
    </w:p>
    <w:p w14:paraId="2AF85D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FRACTURE</w:t>
      </w:r>
      <w:r w:rsidRPr="000977F7">
        <w:rPr>
          <w:rFonts w:asciiTheme="majorHAnsi" w:hAnsiTheme="majorHAnsi"/>
          <w:spacing w:val="-2"/>
          <w:sz w:val="20"/>
          <w:szCs w:val="20"/>
        </w:rPr>
        <w:t xml:space="preserve"> </w:t>
      </w:r>
      <w:r w:rsidRPr="000977F7">
        <w:rPr>
          <w:rFonts w:asciiTheme="majorHAnsi" w:hAnsiTheme="majorHAnsi"/>
          <w:sz w:val="20"/>
          <w:szCs w:val="20"/>
        </w:rPr>
        <w:t>TOUGHNESS</w:t>
      </w:r>
      <w:r w:rsidRPr="000977F7">
        <w:rPr>
          <w:rFonts w:asciiTheme="majorHAnsi" w:hAnsiTheme="majorHAnsi"/>
          <w:spacing w:val="-2"/>
          <w:sz w:val="20"/>
          <w:szCs w:val="20"/>
        </w:rPr>
        <w:t xml:space="preserve"> </w:t>
      </w:r>
      <w:r w:rsidRPr="000977F7">
        <w:rPr>
          <w:rFonts w:asciiTheme="majorHAnsi" w:hAnsiTheme="majorHAnsi"/>
          <w:sz w:val="20"/>
          <w:szCs w:val="20"/>
        </w:rPr>
        <w:t>TEST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151A39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зі</w:t>
      </w:r>
      <w:r w:rsidRPr="000977F7">
        <w:rPr>
          <w:rFonts w:asciiTheme="majorHAnsi" w:hAnsiTheme="majorHAnsi"/>
          <w:spacing w:val="1"/>
          <w:sz w:val="20"/>
          <w:szCs w:val="20"/>
        </w:rPr>
        <w:t xml:space="preserve"> </w:t>
      </w:r>
      <w:r w:rsidRPr="000977F7">
        <w:rPr>
          <w:rFonts w:asciiTheme="majorHAnsi" w:hAnsiTheme="majorHAnsi"/>
          <w:sz w:val="20"/>
          <w:szCs w:val="20"/>
        </w:rPr>
        <w:t>спеціально</w:t>
      </w:r>
      <w:r w:rsidRPr="000977F7">
        <w:rPr>
          <w:rFonts w:asciiTheme="majorHAnsi" w:hAnsiTheme="majorHAnsi"/>
          <w:spacing w:val="1"/>
          <w:sz w:val="20"/>
          <w:szCs w:val="20"/>
        </w:rPr>
        <w:t xml:space="preserve"> </w:t>
      </w:r>
      <w:r w:rsidRPr="000977F7">
        <w:rPr>
          <w:rFonts w:asciiTheme="majorHAnsi" w:hAnsiTheme="majorHAnsi"/>
          <w:sz w:val="20"/>
          <w:szCs w:val="20"/>
        </w:rPr>
        <w:t>зробленою</w:t>
      </w:r>
      <w:r w:rsidRPr="000977F7">
        <w:rPr>
          <w:rFonts w:asciiTheme="majorHAnsi" w:hAnsiTheme="majorHAnsi"/>
          <w:spacing w:val="1"/>
          <w:sz w:val="20"/>
          <w:szCs w:val="20"/>
        </w:rPr>
        <w:t xml:space="preserve"> </w:t>
      </w:r>
      <w:r w:rsidRPr="000977F7">
        <w:rPr>
          <w:rFonts w:asciiTheme="majorHAnsi" w:hAnsiTheme="majorHAnsi"/>
          <w:sz w:val="20"/>
          <w:szCs w:val="20"/>
        </w:rPr>
        <w:t>тріщиною статичним, динамічним чи повторно-змінним</w:t>
      </w:r>
      <w:r w:rsidRPr="000977F7">
        <w:rPr>
          <w:rFonts w:asciiTheme="majorHAnsi" w:hAnsiTheme="majorHAnsi"/>
          <w:spacing w:val="1"/>
          <w:sz w:val="20"/>
          <w:szCs w:val="20"/>
        </w:rPr>
        <w:t xml:space="preserve"> </w:t>
      </w:r>
      <w:r w:rsidRPr="000977F7">
        <w:rPr>
          <w:rFonts w:asciiTheme="majorHAnsi" w:hAnsiTheme="majorHAnsi"/>
          <w:sz w:val="20"/>
          <w:szCs w:val="20"/>
        </w:rPr>
        <w:t>навантажуванням, що проводяться з метою визначення</w:t>
      </w:r>
      <w:r w:rsidRPr="000977F7">
        <w:rPr>
          <w:rFonts w:asciiTheme="majorHAnsi" w:hAnsiTheme="majorHAnsi"/>
          <w:spacing w:val="-2"/>
          <w:sz w:val="20"/>
          <w:szCs w:val="20"/>
        </w:rPr>
        <w:t xml:space="preserve"> </w:t>
      </w:r>
      <w:r w:rsidRPr="000977F7">
        <w:rPr>
          <w:rFonts w:asciiTheme="majorHAnsi" w:hAnsiTheme="majorHAnsi"/>
          <w:sz w:val="20"/>
          <w:szCs w:val="20"/>
        </w:rPr>
        <w:t>характеристик</w:t>
      </w:r>
      <w:r w:rsidRPr="000977F7">
        <w:rPr>
          <w:rFonts w:asciiTheme="majorHAnsi" w:hAnsiTheme="majorHAnsi"/>
          <w:spacing w:val="-1"/>
          <w:sz w:val="20"/>
          <w:szCs w:val="20"/>
        </w:rPr>
        <w:t xml:space="preserve"> </w:t>
      </w:r>
      <w:r w:rsidRPr="000977F7">
        <w:rPr>
          <w:rFonts w:asciiTheme="majorHAnsi" w:hAnsiTheme="majorHAnsi"/>
          <w:sz w:val="20"/>
          <w:szCs w:val="20"/>
        </w:rPr>
        <w:t>тріщиностійкості</w:t>
      </w:r>
    </w:p>
    <w:p w14:paraId="2A14DE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DB4D9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3"/>
          <w:sz w:val="20"/>
          <w:szCs w:val="20"/>
        </w:rPr>
        <w:t xml:space="preserve"> </w:t>
      </w:r>
      <w:r w:rsidRPr="000977F7">
        <w:rPr>
          <w:rFonts w:asciiTheme="majorHAnsi" w:hAnsiTheme="majorHAnsi"/>
          <w:sz w:val="20"/>
          <w:szCs w:val="20"/>
        </w:rPr>
        <w:t>на</w:t>
      </w:r>
      <w:r w:rsidRPr="000977F7">
        <w:rPr>
          <w:rFonts w:asciiTheme="majorHAnsi" w:hAnsiTheme="majorHAnsi"/>
          <w:spacing w:val="-5"/>
          <w:sz w:val="20"/>
          <w:szCs w:val="20"/>
        </w:rPr>
        <w:t xml:space="preserve"> </w:t>
      </w:r>
      <w:r w:rsidRPr="000977F7">
        <w:rPr>
          <w:rFonts w:asciiTheme="majorHAnsi" w:hAnsiTheme="majorHAnsi"/>
          <w:sz w:val="20"/>
          <w:szCs w:val="20"/>
        </w:rPr>
        <w:t>тріщиностійкість</w:t>
      </w:r>
      <w:r w:rsidRPr="000977F7">
        <w:rPr>
          <w:rFonts w:asciiTheme="majorHAnsi" w:hAnsiTheme="majorHAnsi"/>
          <w:spacing w:val="-4"/>
          <w:sz w:val="20"/>
          <w:szCs w:val="20"/>
        </w:rPr>
        <w:t xml:space="preserve"> </w:t>
      </w:r>
      <w:r w:rsidRPr="000977F7">
        <w:rPr>
          <w:rFonts w:asciiTheme="majorHAnsi" w:hAnsiTheme="majorHAnsi"/>
          <w:sz w:val="20"/>
          <w:szCs w:val="20"/>
        </w:rPr>
        <w:t>поділяються</w:t>
      </w:r>
      <w:r w:rsidRPr="000977F7">
        <w:rPr>
          <w:rFonts w:asciiTheme="majorHAnsi" w:hAnsiTheme="majorHAnsi"/>
          <w:spacing w:val="-3"/>
          <w:sz w:val="20"/>
          <w:szCs w:val="20"/>
        </w:rPr>
        <w:t xml:space="preserve"> </w:t>
      </w:r>
      <w:r w:rsidRPr="000977F7">
        <w:rPr>
          <w:rFonts w:asciiTheme="majorHAnsi" w:hAnsiTheme="majorHAnsi"/>
          <w:sz w:val="20"/>
          <w:szCs w:val="20"/>
        </w:rPr>
        <w:t>на</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1E0270D1" w14:textId="77777777" w:rsidR="0097612F" w:rsidRPr="000977F7" w:rsidRDefault="0097612F" w:rsidP="00FD39A4">
      <w:pPr>
        <w:pStyle w:val="ac"/>
        <w:widowControl w:val="0"/>
        <w:numPr>
          <w:ilvl w:val="0"/>
          <w:numId w:val="201"/>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8"/>
          <w:sz w:val="20"/>
          <w:szCs w:val="20"/>
        </w:rPr>
        <w:t xml:space="preserve"> </w:t>
      </w:r>
      <w:r w:rsidRPr="000977F7">
        <w:rPr>
          <w:rFonts w:asciiTheme="majorHAnsi" w:hAnsiTheme="majorHAnsi"/>
          <w:sz w:val="20"/>
          <w:szCs w:val="20"/>
        </w:rPr>
        <w:t>на</w:t>
      </w:r>
      <w:r w:rsidRPr="000977F7">
        <w:rPr>
          <w:rFonts w:asciiTheme="majorHAnsi" w:hAnsiTheme="majorHAnsi"/>
          <w:spacing w:val="-7"/>
          <w:sz w:val="20"/>
          <w:szCs w:val="20"/>
        </w:rPr>
        <w:t xml:space="preserve"> </w:t>
      </w:r>
      <w:r w:rsidRPr="000977F7">
        <w:rPr>
          <w:rFonts w:asciiTheme="majorHAnsi" w:hAnsiTheme="majorHAnsi"/>
          <w:sz w:val="20"/>
          <w:szCs w:val="20"/>
        </w:rPr>
        <w:t>динамічну</w:t>
      </w:r>
      <w:r w:rsidRPr="000977F7">
        <w:rPr>
          <w:rFonts w:asciiTheme="majorHAnsi" w:hAnsiTheme="majorHAnsi"/>
          <w:spacing w:val="-6"/>
          <w:sz w:val="20"/>
          <w:szCs w:val="20"/>
        </w:rPr>
        <w:t xml:space="preserve"> </w:t>
      </w:r>
      <w:r w:rsidRPr="000977F7">
        <w:rPr>
          <w:rFonts w:asciiTheme="majorHAnsi" w:hAnsiTheme="majorHAnsi"/>
          <w:sz w:val="20"/>
          <w:szCs w:val="20"/>
        </w:rPr>
        <w:t>тріщиностійкість;</w:t>
      </w:r>
    </w:p>
    <w:p w14:paraId="5EAEBACB" w14:textId="77777777" w:rsidR="0097612F" w:rsidRPr="000977F7" w:rsidRDefault="0097612F" w:rsidP="00FD39A4">
      <w:pPr>
        <w:pStyle w:val="ac"/>
        <w:widowControl w:val="0"/>
        <w:numPr>
          <w:ilvl w:val="0"/>
          <w:numId w:val="202"/>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7"/>
          <w:sz w:val="20"/>
          <w:szCs w:val="20"/>
        </w:rPr>
        <w:t xml:space="preserve"> </w:t>
      </w:r>
      <w:r w:rsidRPr="000977F7">
        <w:rPr>
          <w:rFonts w:asciiTheme="majorHAnsi" w:hAnsiTheme="majorHAnsi"/>
          <w:sz w:val="20"/>
          <w:szCs w:val="20"/>
        </w:rPr>
        <w:t>на</w:t>
      </w:r>
      <w:r w:rsidRPr="000977F7">
        <w:rPr>
          <w:rFonts w:asciiTheme="majorHAnsi" w:hAnsiTheme="majorHAnsi"/>
          <w:spacing w:val="-6"/>
          <w:sz w:val="20"/>
          <w:szCs w:val="20"/>
        </w:rPr>
        <w:t xml:space="preserve"> </w:t>
      </w:r>
      <w:r w:rsidRPr="000977F7">
        <w:rPr>
          <w:rFonts w:asciiTheme="majorHAnsi" w:hAnsiTheme="majorHAnsi"/>
          <w:sz w:val="20"/>
          <w:szCs w:val="20"/>
        </w:rPr>
        <w:t>статичну</w:t>
      </w:r>
      <w:r w:rsidRPr="000977F7">
        <w:rPr>
          <w:rFonts w:asciiTheme="majorHAnsi" w:hAnsiTheme="majorHAnsi"/>
          <w:spacing w:val="-6"/>
          <w:sz w:val="20"/>
          <w:szCs w:val="20"/>
        </w:rPr>
        <w:t xml:space="preserve"> </w:t>
      </w:r>
      <w:r w:rsidRPr="000977F7">
        <w:rPr>
          <w:rFonts w:asciiTheme="majorHAnsi" w:hAnsiTheme="majorHAnsi"/>
          <w:sz w:val="20"/>
          <w:szCs w:val="20"/>
        </w:rPr>
        <w:t>тріщиностійкість; випробування</w:t>
      </w:r>
      <w:r w:rsidRPr="000977F7">
        <w:rPr>
          <w:rFonts w:asciiTheme="majorHAnsi" w:hAnsiTheme="majorHAnsi"/>
          <w:spacing w:val="-6"/>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циклічну</w:t>
      </w:r>
      <w:r w:rsidRPr="000977F7">
        <w:rPr>
          <w:rFonts w:asciiTheme="majorHAnsi" w:hAnsiTheme="majorHAnsi"/>
          <w:spacing w:val="-5"/>
          <w:sz w:val="20"/>
          <w:szCs w:val="20"/>
        </w:rPr>
        <w:t xml:space="preserve"> </w:t>
      </w:r>
      <w:r w:rsidRPr="000977F7">
        <w:rPr>
          <w:rFonts w:asciiTheme="majorHAnsi" w:hAnsiTheme="majorHAnsi"/>
          <w:sz w:val="20"/>
          <w:szCs w:val="20"/>
        </w:rPr>
        <w:t>тріщиностійкість</w:t>
      </w:r>
    </w:p>
    <w:p w14:paraId="7040F8C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794CDE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ВИПРОБУВАННЯ</w:t>
      </w:r>
      <w:r w:rsidRPr="000977F7">
        <w:rPr>
          <w:color w:val="auto"/>
          <w:spacing w:val="1"/>
          <w:sz w:val="20"/>
          <w:szCs w:val="20"/>
        </w:rPr>
        <w:t xml:space="preserve"> </w:t>
      </w:r>
      <w:r w:rsidRPr="000977F7">
        <w:rPr>
          <w:color w:val="auto"/>
          <w:sz w:val="20"/>
          <w:szCs w:val="20"/>
        </w:rPr>
        <w:t xml:space="preserve">НА ЦИКЛІЧНУ </w:t>
      </w:r>
    </w:p>
    <w:p w14:paraId="72AACD4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ПОВЗУ</w:t>
      </w:r>
      <w:r w:rsidRPr="000977F7">
        <w:rPr>
          <w:color w:val="auto"/>
          <w:spacing w:val="-47"/>
          <w:sz w:val="20"/>
          <w:szCs w:val="20"/>
        </w:rPr>
        <w:t xml:space="preserve"> </w:t>
      </w:r>
      <w:r w:rsidRPr="000977F7">
        <w:rPr>
          <w:color w:val="auto"/>
          <w:sz w:val="20"/>
          <w:szCs w:val="20"/>
        </w:rPr>
        <w:t>ЧІСТЬ</w:t>
      </w:r>
      <w:r w:rsidRPr="000977F7">
        <w:rPr>
          <w:color w:val="auto"/>
          <w:spacing w:val="-1"/>
          <w:sz w:val="20"/>
          <w:szCs w:val="20"/>
        </w:rPr>
        <w:t xml:space="preserve"> </w:t>
      </w:r>
      <w:r w:rsidRPr="000977F7">
        <w:rPr>
          <w:color w:val="auto"/>
          <w:sz w:val="20"/>
          <w:szCs w:val="20"/>
        </w:rPr>
        <w:t>–</w:t>
      </w:r>
    </w:p>
    <w:p w14:paraId="1D924B3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CYCLIC</w:t>
      </w:r>
      <w:r w:rsidRPr="004D2D14">
        <w:rPr>
          <w:rFonts w:asciiTheme="majorHAnsi" w:hAnsiTheme="majorHAnsi"/>
          <w:spacing w:val="-3"/>
          <w:sz w:val="20"/>
          <w:szCs w:val="20"/>
          <w:lang w:val="uk-UA"/>
        </w:rPr>
        <w:t xml:space="preserve"> </w:t>
      </w:r>
      <w:r w:rsidRPr="000977F7">
        <w:rPr>
          <w:rFonts w:asciiTheme="majorHAnsi" w:hAnsiTheme="majorHAnsi"/>
          <w:sz w:val="20"/>
          <w:szCs w:val="20"/>
        </w:rPr>
        <w:t>CREEP</w:t>
      </w:r>
      <w:r w:rsidRPr="004D2D14">
        <w:rPr>
          <w:rFonts w:asciiTheme="majorHAnsi" w:hAnsiTheme="majorHAnsi"/>
          <w:sz w:val="20"/>
          <w:szCs w:val="20"/>
          <w:lang w:val="uk-UA"/>
        </w:rPr>
        <w:t xml:space="preserve"> </w:t>
      </w:r>
      <w:r w:rsidRPr="000977F7">
        <w:rPr>
          <w:rFonts w:asciiTheme="majorHAnsi" w:hAnsiTheme="majorHAnsi"/>
          <w:sz w:val="20"/>
          <w:szCs w:val="20"/>
        </w:rPr>
        <w:t>TEST</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105CC48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Тривалі випробування утворенням в об’єкті повторно</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змінних напружень за сталої температури, що проводяться з метою визначення характеристик опору циклічній</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повзучості</w:t>
      </w:r>
    </w:p>
    <w:p w14:paraId="51EBCAA1"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p>
    <w:p w14:paraId="5DC951B0"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ВИПРОБУВАННЯ</w:t>
      </w:r>
      <w:r w:rsidRPr="000977F7">
        <w:rPr>
          <w:rFonts w:asciiTheme="majorHAnsi" w:hAnsiTheme="majorHAnsi"/>
          <w:b/>
          <w:spacing w:val="40"/>
          <w:sz w:val="20"/>
          <w:szCs w:val="20"/>
        </w:rPr>
        <w:t xml:space="preserve"> </w:t>
      </w:r>
      <w:r w:rsidRPr="000977F7">
        <w:rPr>
          <w:rFonts w:asciiTheme="majorHAnsi" w:hAnsiTheme="majorHAnsi"/>
          <w:b/>
          <w:sz w:val="20"/>
          <w:szCs w:val="20"/>
        </w:rPr>
        <w:t>ПАРТІЇ</w:t>
      </w:r>
      <w:r w:rsidRPr="000977F7">
        <w:rPr>
          <w:rFonts w:asciiTheme="majorHAnsi" w:hAnsiTheme="majorHAnsi"/>
          <w:b/>
          <w:spacing w:val="42"/>
          <w:sz w:val="20"/>
          <w:szCs w:val="20"/>
        </w:rPr>
        <w:t xml:space="preserve"> </w:t>
      </w:r>
      <w:r w:rsidRPr="000977F7">
        <w:rPr>
          <w:rFonts w:asciiTheme="majorHAnsi" w:hAnsiTheme="majorHAnsi"/>
          <w:b/>
          <w:sz w:val="20"/>
          <w:szCs w:val="20"/>
        </w:rPr>
        <w:t xml:space="preserve">ДЛЯ </w:t>
      </w:r>
      <w:r w:rsidRPr="000977F7">
        <w:rPr>
          <w:rFonts w:asciiTheme="majorHAnsi" w:hAnsiTheme="majorHAnsi"/>
          <w:b/>
          <w:spacing w:val="-47"/>
          <w:sz w:val="20"/>
          <w:szCs w:val="20"/>
        </w:rPr>
        <w:t xml:space="preserve"> </w:t>
      </w:r>
      <w:r w:rsidRPr="000977F7">
        <w:rPr>
          <w:rFonts w:asciiTheme="majorHAnsi" w:hAnsiTheme="majorHAnsi"/>
          <w:b/>
          <w:sz w:val="20"/>
          <w:szCs w:val="20"/>
        </w:rPr>
        <w:t>СЕРТИФІКАЦІЇ</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0F4FA68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TEST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LOT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FOR</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CERTIFICATION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7DB5525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Випробування</w:t>
      </w:r>
      <w:r w:rsidRPr="004D2D14">
        <w:rPr>
          <w:rFonts w:asciiTheme="majorHAnsi" w:hAnsiTheme="majorHAnsi"/>
          <w:sz w:val="20"/>
          <w:szCs w:val="20"/>
          <w:lang w:val="en-US"/>
        </w:rPr>
        <w:t xml:space="preserve"> </w:t>
      </w:r>
      <w:r w:rsidRPr="000977F7">
        <w:rPr>
          <w:rFonts w:asciiTheme="majorHAnsi" w:hAnsiTheme="majorHAnsi"/>
          <w:sz w:val="20"/>
          <w:szCs w:val="20"/>
        </w:rPr>
        <w:t>установленої</w:t>
      </w:r>
      <w:r w:rsidRPr="004D2D14">
        <w:rPr>
          <w:rFonts w:asciiTheme="majorHAnsi" w:hAnsiTheme="majorHAnsi"/>
          <w:sz w:val="20"/>
          <w:szCs w:val="20"/>
          <w:lang w:val="en-US"/>
        </w:rPr>
        <w:t xml:space="preserve"> </w:t>
      </w:r>
      <w:r w:rsidRPr="000977F7">
        <w:rPr>
          <w:rFonts w:asciiTheme="majorHAnsi" w:hAnsiTheme="majorHAnsi"/>
          <w:sz w:val="20"/>
          <w:szCs w:val="20"/>
        </w:rPr>
        <w:t>кількості</w:t>
      </w:r>
      <w:r w:rsidRPr="004D2D14">
        <w:rPr>
          <w:rFonts w:asciiTheme="majorHAnsi" w:hAnsiTheme="majorHAnsi"/>
          <w:sz w:val="20"/>
          <w:szCs w:val="20"/>
          <w:lang w:val="en-US"/>
        </w:rPr>
        <w:t xml:space="preserve"> </w:t>
      </w:r>
      <w:r w:rsidRPr="000977F7">
        <w:rPr>
          <w:rFonts w:asciiTheme="majorHAnsi" w:hAnsiTheme="majorHAnsi"/>
          <w:sz w:val="20"/>
          <w:szCs w:val="20"/>
        </w:rPr>
        <w:t>зразків</w:t>
      </w:r>
      <w:r w:rsidRPr="004D2D14">
        <w:rPr>
          <w:rFonts w:asciiTheme="majorHAnsi" w:hAnsiTheme="majorHAnsi"/>
          <w:sz w:val="20"/>
          <w:szCs w:val="20"/>
          <w:lang w:val="en-US"/>
        </w:rPr>
        <w:t xml:space="preserve"> </w:t>
      </w:r>
      <w:r w:rsidRPr="000977F7">
        <w:rPr>
          <w:rFonts w:asciiTheme="majorHAnsi" w:hAnsiTheme="majorHAnsi"/>
          <w:sz w:val="20"/>
          <w:szCs w:val="20"/>
        </w:rPr>
        <w:t>від</w:t>
      </w:r>
      <w:r w:rsidRPr="004D2D14">
        <w:rPr>
          <w:rFonts w:asciiTheme="majorHAnsi" w:hAnsiTheme="majorHAnsi"/>
          <w:sz w:val="20"/>
          <w:szCs w:val="20"/>
          <w:lang w:val="en-US"/>
        </w:rPr>
        <w:t xml:space="preserve"> </w:t>
      </w:r>
      <w:r w:rsidRPr="000977F7">
        <w:rPr>
          <w:rFonts w:asciiTheme="majorHAnsi" w:hAnsiTheme="majorHAnsi"/>
          <w:sz w:val="20"/>
          <w:szCs w:val="20"/>
        </w:rPr>
        <w:t>партії</w:t>
      </w:r>
      <w:r w:rsidRPr="004D2D14">
        <w:rPr>
          <w:rFonts w:asciiTheme="majorHAnsi" w:hAnsiTheme="majorHAnsi"/>
          <w:sz w:val="20"/>
          <w:szCs w:val="20"/>
          <w:lang w:val="en-US"/>
        </w:rPr>
        <w:t xml:space="preserve"> </w:t>
      </w:r>
      <w:r w:rsidRPr="000977F7">
        <w:rPr>
          <w:rFonts w:asciiTheme="majorHAnsi" w:hAnsiTheme="majorHAnsi"/>
          <w:sz w:val="20"/>
          <w:szCs w:val="20"/>
        </w:rPr>
        <w:t>конкретного</w:t>
      </w:r>
      <w:r w:rsidRPr="004D2D14">
        <w:rPr>
          <w:rFonts w:asciiTheme="majorHAnsi" w:hAnsiTheme="majorHAnsi"/>
          <w:sz w:val="20"/>
          <w:szCs w:val="20"/>
          <w:lang w:val="en-US"/>
        </w:rPr>
        <w:t xml:space="preserve"> </w:t>
      </w:r>
      <w:r w:rsidRPr="000977F7">
        <w:rPr>
          <w:rFonts w:asciiTheme="majorHAnsi" w:hAnsiTheme="majorHAnsi"/>
          <w:sz w:val="20"/>
          <w:szCs w:val="20"/>
        </w:rPr>
        <w:t>виду</w:t>
      </w:r>
      <w:r w:rsidRPr="004D2D14">
        <w:rPr>
          <w:rFonts w:asciiTheme="majorHAnsi" w:hAnsiTheme="majorHAnsi"/>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відповідність</w:t>
      </w:r>
      <w:r w:rsidRPr="004D2D14">
        <w:rPr>
          <w:rFonts w:asciiTheme="majorHAnsi" w:hAnsiTheme="majorHAnsi"/>
          <w:sz w:val="20"/>
          <w:szCs w:val="20"/>
          <w:lang w:val="en-US"/>
        </w:rPr>
        <w:t xml:space="preserve"> </w:t>
      </w:r>
      <w:r w:rsidRPr="000977F7">
        <w:rPr>
          <w:rFonts w:asciiTheme="majorHAnsi" w:hAnsiTheme="majorHAnsi"/>
          <w:sz w:val="20"/>
          <w:szCs w:val="20"/>
        </w:rPr>
        <w:t>нормативним</w:t>
      </w:r>
      <w:r w:rsidRPr="004D2D14">
        <w:rPr>
          <w:rFonts w:asciiTheme="majorHAnsi" w:hAnsiTheme="majorHAnsi"/>
          <w:spacing w:val="1"/>
          <w:sz w:val="20"/>
          <w:szCs w:val="20"/>
          <w:lang w:val="en-US"/>
        </w:rPr>
        <w:t xml:space="preserve"> </w:t>
      </w:r>
      <w:r w:rsidRPr="000977F7">
        <w:rPr>
          <w:rFonts w:asciiTheme="majorHAnsi" w:hAnsiTheme="majorHAnsi"/>
          <w:sz w:val="20"/>
          <w:szCs w:val="20"/>
        </w:rPr>
        <w:t>документам</w:t>
      </w:r>
      <w:r w:rsidRPr="004D2D14">
        <w:rPr>
          <w:rFonts w:asciiTheme="majorHAnsi" w:hAnsiTheme="majorHAnsi"/>
          <w:spacing w:val="1"/>
          <w:sz w:val="20"/>
          <w:szCs w:val="20"/>
          <w:lang w:val="en-US"/>
        </w:rPr>
        <w:t xml:space="preserve"> </w:t>
      </w:r>
      <w:r w:rsidRPr="000977F7">
        <w:rPr>
          <w:rFonts w:asciiTheme="majorHAnsi" w:hAnsiTheme="majorHAnsi"/>
          <w:sz w:val="20"/>
          <w:szCs w:val="20"/>
        </w:rPr>
        <w:t>із</w:t>
      </w:r>
      <w:r w:rsidRPr="004D2D14">
        <w:rPr>
          <w:rFonts w:asciiTheme="majorHAnsi" w:hAnsiTheme="majorHAnsi"/>
          <w:spacing w:val="1"/>
          <w:sz w:val="20"/>
          <w:szCs w:val="20"/>
          <w:lang w:val="en-US"/>
        </w:rPr>
        <w:t xml:space="preserve"> </w:t>
      </w:r>
      <w:r w:rsidRPr="000977F7">
        <w:rPr>
          <w:rFonts w:asciiTheme="majorHAnsi" w:hAnsiTheme="majorHAnsi"/>
          <w:sz w:val="20"/>
          <w:szCs w:val="20"/>
        </w:rPr>
        <w:t>сертифікації</w:t>
      </w:r>
      <w:r w:rsidRPr="004D2D14">
        <w:rPr>
          <w:rFonts w:asciiTheme="majorHAnsi" w:hAnsiTheme="majorHAnsi"/>
          <w:sz w:val="20"/>
          <w:szCs w:val="20"/>
          <w:lang w:val="en-US"/>
        </w:rPr>
        <w:t>,</w:t>
      </w:r>
      <w:r w:rsidRPr="004D2D14">
        <w:rPr>
          <w:rFonts w:asciiTheme="majorHAnsi" w:hAnsiTheme="majorHAnsi"/>
          <w:spacing w:val="50"/>
          <w:sz w:val="20"/>
          <w:szCs w:val="20"/>
          <w:lang w:val="en-US"/>
        </w:rPr>
        <w:t xml:space="preserve"> </w:t>
      </w:r>
      <w:r w:rsidRPr="000977F7">
        <w:rPr>
          <w:rFonts w:asciiTheme="majorHAnsi" w:hAnsiTheme="majorHAnsi"/>
          <w:sz w:val="20"/>
          <w:szCs w:val="20"/>
        </w:rPr>
        <w:t>на</w:t>
      </w:r>
      <w:r w:rsidRPr="004D2D14">
        <w:rPr>
          <w:rFonts w:asciiTheme="majorHAnsi" w:hAnsiTheme="majorHAnsi"/>
          <w:spacing w:val="50"/>
          <w:sz w:val="20"/>
          <w:szCs w:val="20"/>
          <w:lang w:val="en-US"/>
        </w:rPr>
        <w:t xml:space="preserve"> </w:t>
      </w:r>
      <w:r w:rsidRPr="000977F7">
        <w:rPr>
          <w:rFonts w:asciiTheme="majorHAnsi" w:hAnsiTheme="majorHAnsi"/>
          <w:sz w:val="20"/>
          <w:szCs w:val="20"/>
        </w:rPr>
        <w:t>підставі</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яких</w:t>
      </w:r>
      <w:r w:rsidRPr="004D2D14">
        <w:rPr>
          <w:rFonts w:asciiTheme="majorHAnsi" w:hAnsiTheme="majorHAnsi"/>
          <w:sz w:val="20"/>
          <w:szCs w:val="20"/>
          <w:lang w:val="en-US"/>
        </w:rPr>
        <w:t xml:space="preserve"> </w:t>
      </w:r>
      <w:r w:rsidRPr="000977F7">
        <w:rPr>
          <w:rFonts w:asciiTheme="majorHAnsi" w:hAnsiTheme="majorHAnsi"/>
          <w:sz w:val="20"/>
          <w:szCs w:val="20"/>
        </w:rPr>
        <w:t>засвідчується</w:t>
      </w:r>
      <w:r w:rsidRPr="004D2D14">
        <w:rPr>
          <w:rFonts w:asciiTheme="majorHAnsi" w:hAnsiTheme="majorHAnsi"/>
          <w:sz w:val="20"/>
          <w:szCs w:val="20"/>
          <w:lang w:val="en-US"/>
        </w:rPr>
        <w:t xml:space="preserve"> </w:t>
      </w:r>
      <w:r w:rsidRPr="000977F7">
        <w:rPr>
          <w:rFonts w:asciiTheme="majorHAnsi" w:hAnsiTheme="majorHAnsi"/>
          <w:sz w:val="20"/>
          <w:szCs w:val="20"/>
        </w:rPr>
        <w:t>відповідність</w:t>
      </w:r>
      <w:r w:rsidRPr="004D2D14">
        <w:rPr>
          <w:rFonts w:asciiTheme="majorHAnsi" w:hAnsiTheme="majorHAnsi"/>
          <w:sz w:val="20"/>
          <w:szCs w:val="20"/>
          <w:lang w:val="en-US"/>
        </w:rPr>
        <w:t xml:space="preserve"> </w:t>
      </w:r>
      <w:r w:rsidRPr="000977F7">
        <w:rPr>
          <w:rFonts w:asciiTheme="majorHAnsi" w:hAnsiTheme="majorHAnsi"/>
          <w:sz w:val="20"/>
          <w:szCs w:val="20"/>
        </w:rPr>
        <w:t>всієї</w:t>
      </w:r>
      <w:r w:rsidRPr="004D2D14">
        <w:rPr>
          <w:rFonts w:asciiTheme="majorHAnsi" w:hAnsiTheme="majorHAnsi"/>
          <w:spacing w:val="1"/>
          <w:sz w:val="20"/>
          <w:szCs w:val="20"/>
          <w:lang w:val="en-US"/>
        </w:rPr>
        <w:t xml:space="preserve"> </w:t>
      </w:r>
      <w:r w:rsidRPr="000977F7">
        <w:rPr>
          <w:rFonts w:asciiTheme="majorHAnsi" w:hAnsiTheme="majorHAnsi"/>
          <w:sz w:val="20"/>
          <w:szCs w:val="20"/>
        </w:rPr>
        <w:t>партії</w:t>
      </w:r>
      <w:r w:rsidRPr="004D2D14">
        <w:rPr>
          <w:rFonts w:asciiTheme="majorHAnsi" w:hAnsiTheme="majorHAnsi"/>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pacing w:val="-2"/>
          <w:sz w:val="20"/>
          <w:szCs w:val="20"/>
          <w:lang w:val="en-US"/>
        </w:rPr>
        <w:t xml:space="preserve"> </w:t>
      </w:r>
      <w:r w:rsidRPr="000977F7">
        <w:rPr>
          <w:rFonts w:asciiTheme="majorHAnsi" w:hAnsiTheme="majorHAnsi"/>
          <w:sz w:val="20"/>
          <w:szCs w:val="20"/>
        </w:rPr>
        <w:t>цим</w:t>
      </w:r>
      <w:r w:rsidRPr="004D2D14">
        <w:rPr>
          <w:rFonts w:asciiTheme="majorHAnsi" w:hAnsiTheme="majorHAnsi"/>
          <w:spacing w:val="1"/>
          <w:sz w:val="20"/>
          <w:szCs w:val="20"/>
          <w:lang w:val="en-US"/>
        </w:rPr>
        <w:t xml:space="preserve"> </w:t>
      </w:r>
      <w:r w:rsidRPr="000977F7">
        <w:rPr>
          <w:rFonts w:asciiTheme="majorHAnsi" w:hAnsiTheme="majorHAnsi"/>
          <w:sz w:val="20"/>
          <w:szCs w:val="20"/>
        </w:rPr>
        <w:t>нормативним</w:t>
      </w:r>
      <w:r w:rsidRPr="004D2D14">
        <w:rPr>
          <w:rFonts w:asciiTheme="majorHAnsi" w:hAnsiTheme="majorHAnsi"/>
          <w:sz w:val="20"/>
          <w:szCs w:val="20"/>
          <w:lang w:val="en-US"/>
        </w:rPr>
        <w:t xml:space="preserve"> </w:t>
      </w:r>
      <w:r w:rsidRPr="000977F7">
        <w:rPr>
          <w:rFonts w:asciiTheme="majorHAnsi" w:hAnsiTheme="majorHAnsi"/>
          <w:sz w:val="20"/>
          <w:szCs w:val="20"/>
        </w:rPr>
        <w:t>документам</w:t>
      </w:r>
    </w:p>
    <w:p w14:paraId="30252C7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D27050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ВИПРОБУВАННЯ</w:t>
      </w:r>
      <w:r w:rsidRPr="000977F7">
        <w:rPr>
          <w:color w:val="auto"/>
          <w:spacing w:val="-7"/>
          <w:sz w:val="20"/>
          <w:szCs w:val="20"/>
        </w:rPr>
        <w:t xml:space="preserve"> </w:t>
      </w:r>
      <w:r w:rsidRPr="000977F7">
        <w:rPr>
          <w:color w:val="auto"/>
          <w:sz w:val="20"/>
          <w:szCs w:val="20"/>
        </w:rPr>
        <w:t>ПРОГРАМНОГО</w:t>
      </w:r>
      <w:r w:rsidRPr="000977F7">
        <w:rPr>
          <w:color w:val="auto"/>
          <w:spacing w:val="-3"/>
          <w:sz w:val="20"/>
          <w:szCs w:val="20"/>
        </w:rPr>
        <w:t xml:space="preserve"> </w:t>
      </w:r>
      <w:r w:rsidRPr="000977F7">
        <w:rPr>
          <w:color w:val="auto"/>
          <w:sz w:val="20"/>
          <w:szCs w:val="20"/>
        </w:rPr>
        <w:t>ЗАСОБУ</w:t>
      </w:r>
      <w:r w:rsidRPr="000977F7">
        <w:rPr>
          <w:color w:val="auto"/>
          <w:spacing w:val="-3"/>
          <w:sz w:val="20"/>
          <w:szCs w:val="20"/>
        </w:rPr>
        <w:t xml:space="preserve"> </w:t>
      </w:r>
      <w:r w:rsidRPr="000977F7">
        <w:rPr>
          <w:color w:val="auto"/>
          <w:sz w:val="20"/>
          <w:szCs w:val="20"/>
        </w:rPr>
        <w:t>–</w:t>
      </w:r>
    </w:p>
    <w:p w14:paraId="7CF8C1C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SOFTWARE</w:t>
      </w:r>
      <w:r w:rsidRPr="000977F7">
        <w:rPr>
          <w:rFonts w:asciiTheme="majorHAnsi" w:hAnsiTheme="majorHAnsi"/>
          <w:spacing w:val="-2"/>
          <w:sz w:val="20"/>
          <w:szCs w:val="20"/>
        </w:rPr>
        <w:t xml:space="preserve"> </w:t>
      </w:r>
      <w:r w:rsidRPr="000977F7">
        <w:rPr>
          <w:rFonts w:asciiTheme="majorHAnsi" w:hAnsiTheme="majorHAnsi"/>
          <w:sz w:val="20"/>
          <w:szCs w:val="20"/>
        </w:rPr>
        <w:t>TEST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6E2F8A4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Технічна</w:t>
      </w:r>
      <w:r w:rsidRPr="000977F7">
        <w:rPr>
          <w:rFonts w:asciiTheme="majorHAnsi" w:hAnsiTheme="majorHAnsi"/>
          <w:spacing w:val="-5"/>
          <w:sz w:val="20"/>
          <w:szCs w:val="20"/>
        </w:rPr>
        <w:t xml:space="preserve"> </w:t>
      </w:r>
      <w:r w:rsidRPr="000977F7">
        <w:rPr>
          <w:rFonts w:asciiTheme="majorHAnsi" w:hAnsiTheme="majorHAnsi"/>
          <w:sz w:val="20"/>
          <w:szCs w:val="20"/>
        </w:rPr>
        <w:t>операція,</w:t>
      </w:r>
      <w:r w:rsidRPr="000977F7">
        <w:rPr>
          <w:rFonts w:asciiTheme="majorHAnsi" w:hAnsiTheme="majorHAnsi"/>
          <w:spacing w:val="-4"/>
          <w:sz w:val="20"/>
          <w:szCs w:val="20"/>
        </w:rPr>
        <w:t xml:space="preserve"> </w:t>
      </w:r>
      <w:r w:rsidRPr="000977F7">
        <w:rPr>
          <w:rFonts w:asciiTheme="majorHAnsi" w:hAnsiTheme="majorHAnsi"/>
          <w:sz w:val="20"/>
          <w:szCs w:val="20"/>
        </w:rPr>
        <w:t>яка</w:t>
      </w:r>
      <w:r w:rsidRPr="000977F7">
        <w:rPr>
          <w:rFonts w:asciiTheme="majorHAnsi" w:hAnsiTheme="majorHAnsi"/>
          <w:spacing w:val="-3"/>
          <w:sz w:val="20"/>
          <w:szCs w:val="20"/>
        </w:rPr>
        <w:t xml:space="preserve"> </w:t>
      </w:r>
      <w:r w:rsidRPr="000977F7">
        <w:rPr>
          <w:rFonts w:asciiTheme="majorHAnsi" w:hAnsiTheme="majorHAnsi"/>
          <w:sz w:val="20"/>
          <w:szCs w:val="20"/>
        </w:rPr>
        <w:t>являє</w:t>
      </w:r>
      <w:r w:rsidRPr="000977F7">
        <w:rPr>
          <w:rFonts w:asciiTheme="majorHAnsi" w:hAnsiTheme="majorHAnsi"/>
          <w:spacing w:val="-4"/>
          <w:sz w:val="20"/>
          <w:szCs w:val="20"/>
        </w:rPr>
        <w:t xml:space="preserve"> </w:t>
      </w:r>
      <w:r w:rsidRPr="000977F7">
        <w:rPr>
          <w:rFonts w:asciiTheme="majorHAnsi" w:hAnsiTheme="majorHAnsi"/>
          <w:sz w:val="20"/>
          <w:szCs w:val="20"/>
        </w:rPr>
        <w:t>собою</w:t>
      </w:r>
      <w:r w:rsidRPr="000977F7">
        <w:rPr>
          <w:rFonts w:asciiTheme="majorHAnsi" w:hAnsiTheme="majorHAnsi"/>
          <w:spacing w:val="-4"/>
          <w:sz w:val="20"/>
          <w:szCs w:val="20"/>
        </w:rPr>
        <w:t xml:space="preserve"> </w:t>
      </w:r>
      <w:r w:rsidRPr="000977F7">
        <w:rPr>
          <w:rFonts w:asciiTheme="majorHAnsi" w:hAnsiTheme="majorHAnsi"/>
          <w:sz w:val="20"/>
          <w:szCs w:val="20"/>
        </w:rPr>
        <w:t xml:space="preserve">експериментальне </w:t>
      </w:r>
      <w:r w:rsidRPr="000977F7">
        <w:rPr>
          <w:rFonts w:asciiTheme="majorHAnsi" w:hAnsiTheme="majorHAnsi"/>
          <w:spacing w:val="-47"/>
          <w:sz w:val="20"/>
          <w:szCs w:val="20"/>
        </w:rPr>
        <w:t xml:space="preserve"> </w:t>
      </w:r>
      <w:r w:rsidRPr="000977F7">
        <w:rPr>
          <w:rFonts w:asciiTheme="majorHAnsi" w:hAnsiTheme="majorHAnsi"/>
          <w:sz w:val="20"/>
          <w:szCs w:val="20"/>
        </w:rPr>
        <w:t>встановлення однієї чи кількох якісних і (чи) кількісних характеристик програмного засобу відповідно до</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встановленої</w:t>
      </w:r>
      <w:r w:rsidRPr="000977F7">
        <w:rPr>
          <w:rFonts w:asciiTheme="majorHAnsi" w:hAnsiTheme="majorHAnsi"/>
          <w:spacing w:val="-2"/>
          <w:sz w:val="20"/>
          <w:szCs w:val="20"/>
        </w:rPr>
        <w:t xml:space="preserve"> </w:t>
      </w:r>
      <w:r w:rsidRPr="000977F7">
        <w:rPr>
          <w:rFonts w:asciiTheme="majorHAnsi" w:hAnsiTheme="majorHAnsi"/>
          <w:sz w:val="20"/>
          <w:szCs w:val="20"/>
        </w:rPr>
        <w:t>процедури</w:t>
      </w:r>
    </w:p>
    <w:p w14:paraId="30D961B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2844</w:t>
      </w:r>
      <w:r w:rsidRPr="000977F7">
        <w:rPr>
          <w:rFonts w:asciiTheme="majorHAnsi" w:hAnsiTheme="majorHAnsi"/>
          <w:i/>
          <w:spacing w:val="2"/>
          <w:sz w:val="20"/>
          <w:szCs w:val="20"/>
        </w:rPr>
        <w:t xml:space="preserve"> </w:t>
      </w:r>
      <w:r w:rsidRPr="000977F7">
        <w:rPr>
          <w:rFonts w:asciiTheme="majorHAnsi" w:hAnsiTheme="majorHAnsi"/>
          <w:i/>
          <w:sz w:val="20"/>
          <w:szCs w:val="20"/>
        </w:rPr>
        <w:t>– 94</w:t>
      </w:r>
    </w:p>
    <w:p w14:paraId="1E85CCA6"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i/>
          <w:spacing w:val="1"/>
          <w:sz w:val="20"/>
          <w:szCs w:val="20"/>
        </w:rPr>
        <w:t xml:space="preserve"> </w:t>
      </w:r>
      <w:r w:rsidRPr="000977F7">
        <w:rPr>
          <w:rFonts w:asciiTheme="majorHAnsi" w:hAnsiTheme="majorHAnsi"/>
          <w:b/>
          <w:sz w:val="20"/>
          <w:szCs w:val="20"/>
        </w:rPr>
        <w:t xml:space="preserve">ВИПРОБУВАННЯ ТИПУ – </w:t>
      </w:r>
    </w:p>
    <w:p w14:paraId="0E08ADC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TYPE</w:t>
      </w:r>
      <w:r w:rsidRPr="000977F7">
        <w:rPr>
          <w:rFonts w:asciiTheme="majorHAnsi" w:hAnsiTheme="majorHAnsi"/>
          <w:spacing w:val="-3"/>
          <w:sz w:val="20"/>
          <w:szCs w:val="20"/>
        </w:rPr>
        <w:t xml:space="preserve"> </w:t>
      </w:r>
      <w:r w:rsidRPr="000977F7">
        <w:rPr>
          <w:rFonts w:asciiTheme="majorHAnsi" w:hAnsiTheme="majorHAnsi"/>
          <w:sz w:val="20"/>
          <w:szCs w:val="20"/>
        </w:rPr>
        <w:t>TESTING</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7DFEC0D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відповідність</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основі</w:t>
      </w:r>
      <w:r w:rsidRPr="000977F7">
        <w:rPr>
          <w:rFonts w:asciiTheme="majorHAnsi" w:hAnsiTheme="majorHAnsi"/>
          <w:spacing w:val="1"/>
          <w:sz w:val="20"/>
          <w:szCs w:val="20"/>
        </w:rPr>
        <w:t xml:space="preserve"> </w:t>
      </w:r>
      <w:r w:rsidRPr="000977F7">
        <w:rPr>
          <w:rFonts w:asciiTheme="majorHAnsi" w:hAnsiTheme="majorHAnsi"/>
          <w:sz w:val="20"/>
          <w:szCs w:val="20"/>
        </w:rPr>
        <w:t>оцінювання</w:t>
      </w:r>
      <w:r w:rsidRPr="000977F7">
        <w:rPr>
          <w:rFonts w:asciiTheme="majorHAnsi" w:hAnsiTheme="majorHAnsi"/>
          <w:spacing w:val="1"/>
          <w:sz w:val="20"/>
          <w:szCs w:val="20"/>
        </w:rPr>
        <w:t xml:space="preserve"> </w:t>
      </w:r>
      <w:r w:rsidRPr="000977F7">
        <w:rPr>
          <w:rFonts w:asciiTheme="majorHAnsi" w:hAnsiTheme="majorHAnsi"/>
          <w:sz w:val="20"/>
          <w:szCs w:val="20"/>
        </w:rPr>
        <w:t>одного чи більше зразків – представників вироблюваної</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31380DDC"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1"/>
          <w:sz w:val="20"/>
          <w:szCs w:val="20"/>
        </w:rPr>
      </w:pPr>
      <w:r w:rsidRPr="000977F7">
        <w:rPr>
          <w:rFonts w:asciiTheme="majorHAnsi" w:hAnsiTheme="majorHAnsi"/>
          <w:i/>
          <w:spacing w:val="-12"/>
          <w:sz w:val="20"/>
          <w:szCs w:val="20"/>
        </w:rPr>
        <w:t>ДСТУ 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4E78752E"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ВИПУСК</w:t>
      </w:r>
      <w:r w:rsidRPr="000977F7">
        <w:rPr>
          <w:color w:val="auto"/>
          <w:spacing w:val="-4"/>
          <w:sz w:val="20"/>
          <w:szCs w:val="20"/>
        </w:rPr>
        <w:t xml:space="preserve"> </w:t>
      </w:r>
      <w:r w:rsidRPr="000977F7">
        <w:rPr>
          <w:color w:val="auto"/>
          <w:sz w:val="20"/>
          <w:szCs w:val="20"/>
        </w:rPr>
        <w:t>ПРОДУКЦІЇ</w:t>
      </w:r>
      <w:r w:rsidRPr="000977F7">
        <w:rPr>
          <w:color w:val="auto"/>
          <w:spacing w:val="-3"/>
          <w:sz w:val="20"/>
          <w:szCs w:val="20"/>
        </w:rPr>
        <w:t xml:space="preserve"> </w:t>
      </w:r>
      <w:r w:rsidRPr="000977F7">
        <w:rPr>
          <w:color w:val="auto"/>
          <w:sz w:val="20"/>
          <w:szCs w:val="20"/>
        </w:rPr>
        <w:t xml:space="preserve">ТА ПОСЛУГ </w:t>
      </w:r>
      <w:r w:rsidRPr="000977F7">
        <w:rPr>
          <w:b w:val="0"/>
          <w:color w:val="auto"/>
          <w:sz w:val="20"/>
          <w:szCs w:val="20"/>
        </w:rPr>
        <w:t>–</w:t>
      </w:r>
    </w:p>
    <w:p w14:paraId="7E3451C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вживати запланованих заходів на</w:t>
      </w:r>
      <w:r w:rsidRPr="000977F7">
        <w:rPr>
          <w:rFonts w:asciiTheme="majorHAnsi" w:hAnsiTheme="majorHAnsi"/>
          <w:spacing w:val="-47"/>
          <w:sz w:val="20"/>
          <w:szCs w:val="20"/>
        </w:rPr>
        <w:t xml:space="preserve"> </w:t>
      </w:r>
      <w:r w:rsidRPr="000977F7">
        <w:rPr>
          <w:rFonts w:asciiTheme="majorHAnsi" w:hAnsiTheme="majorHAnsi"/>
          <w:sz w:val="20"/>
          <w:szCs w:val="20"/>
        </w:rPr>
        <w:t>відповідних стадіях для перевірення виконання вимог</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2"/>
          <w:sz w:val="20"/>
          <w:szCs w:val="20"/>
        </w:rPr>
        <w:t xml:space="preserve"> </w:t>
      </w:r>
      <w:r w:rsidRPr="000977F7">
        <w:rPr>
          <w:rFonts w:asciiTheme="majorHAnsi" w:hAnsiTheme="majorHAnsi"/>
          <w:sz w:val="20"/>
          <w:szCs w:val="20"/>
        </w:rPr>
        <w:t>та послуг.</w:t>
      </w:r>
    </w:p>
    <w:p w14:paraId="3831567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Випускати продукції й надавати послугу для замовника необхідно доти, доки заплановані заходи не буде</w:t>
      </w:r>
      <w:r w:rsidRPr="000977F7">
        <w:rPr>
          <w:rFonts w:asciiTheme="majorHAnsi" w:hAnsiTheme="majorHAnsi"/>
          <w:spacing w:val="-47"/>
          <w:sz w:val="20"/>
          <w:szCs w:val="20"/>
        </w:rPr>
        <w:t xml:space="preserve"> </w:t>
      </w:r>
      <w:r w:rsidRPr="000977F7">
        <w:rPr>
          <w:rFonts w:asciiTheme="majorHAnsi" w:hAnsiTheme="majorHAnsi"/>
          <w:sz w:val="20"/>
          <w:szCs w:val="20"/>
        </w:rPr>
        <w:t xml:space="preserve">виконано в задовільний спосіб, крім випадків, </w:t>
      </w:r>
      <w:r w:rsidRPr="000977F7">
        <w:rPr>
          <w:rFonts w:asciiTheme="majorHAnsi" w:hAnsiTheme="majorHAnsi"/>
          <w:sz w:val="20"/>
          <w:szCs w:val="20"/>
        </w:rPr>
        <w:lastRenderedPageBreak/>
        <w:t>коли це</w:t>
      </w:r>
      <w:r w:rsidRPr="000977F7">
        <w:rPr>
          <w:rFonts w:asciiTheme="majorHAnsi" w:hAnsiTheme="majorHAnsi"/>
          <w:spacing w:val="-47"/>
          <w:sz w:val="20"/>
          <w:szCs w:val="20"/>
        </w:rPr>
        <w:t xml:space="preserve"> </w:t>
      </w:r>
      <w:r w:rsidRPr="000977F7">
        <w:rPr>
          <w:rFonts w:asciiTheme="majorHAnsi" w:hAnsiTheme="majorHAnsi"/>
          <w:sz w:val="20"/>
          <w:szCs w:val="20"/>
        </w:rPr>
        <w:t>схвалила відповідна уповноважена особа і, якщо це</w:t>
      </w:r>
      <w:r w:rsidRPr="000977F7">
        <w:rPr>
          <w:rFonts w:asciiTheme="majorHAnsi" w:hAnsiTheme="majorHAnsi"/>
          <w:spacing w:val="1"/>
          <w:sz w:val="20"/>
          <w:szCs w:val="20"/>
        </w:rPr>
        <w:t xml:space="preserve"> </w:t>
      </w:r>
      <w:r w:rsidRPr="000977F7">
        <w:rPr>
          <w:rFonts w:asciiTheme="majorHAnsi" w:hAnsiTheme="majorHAnsi"/>
          <w:sz w:val="20"/>
          <w:szCs w:val="20"/>
        </w:rPr>
        <w:t>застосовано,</w:t>
      </w:r>
      <w:r w:rsidRPr="000977F7">
        <w:rPr>
          <w:rFonts w:asciiTheme="majorHAnsi" w:hAnsiTheme="majorHAnsi"/>
          <w:spacing w:val="-1"/>
          <w:sz w:val="20"/>
          <w:szCs w:val="20"/>
        </w:rPr>
        <w:t xml:space="preserve"> </w:t>
      </w:r>
      <w:r w:rsidRPr="000977F7">
        <w:rPr>
          <w:rFonts w:asciiTheme="majorHAnsi" w:hAnsiTheme="majorHAnsi"/>
          <w:sz w:val="20"/>
          <w:szCs w:val="20"/>
        </w:rPr>
        <w:t>схвалив</w:t>
      </w:r>
      <w:r w:rsidRPr="000977F7">
        <w:rPr>
          <w:rFonts w:asciiTheme="majorHAnsi" w:hAnsiTheme="majorHAnsi"/>
          <w:spacing w:val="-1"/>
          <w:sz w:val="20"/>
          <w:szCs w:val="20"/>
        </w:rPr>
        <w:t xml:space="preserve"> </w:t>
      </w:r>
      <w:r w:rsidRPr="000977F7">
        <w:rPr>
          <w:rFonts w:asciiTheme="majorHAnsi" w:hAnsiTheme="majorHAnsi"/>
          <w:sz w:val="20"/>
          <w:szCs w:val="20"/>
        </w:rPr>
        <w:t>замовник.</w:t>
      </w:r>
    </w:p>
    <w:p w14:paraId="57CF0F1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зберігати задокументовану інформацію про випуск продукції та послуг. Задокументована</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інформація</w:t>
      </w:r>
      <w:r w:rsidRPr="000977F7">
        <w:rPr>
          <w:rFonts w:asciiTheme="majorHAnsi" w:hAnsiTheme="majorHAnsi"/>
          <w:spacing w:val="-1"/>
          <w:sz w:val="20"/>
          <w:szCs w:val="20"/>
        </w:rPr>
        <w:t xml:space="preserve"> </w:t>
      </w:r>
      <w:r w:rsidRPr="000977F7">
        <w:rPr>
          <w:rFonts w:asciiTheme="majorHAnsi" w:hAnsiTheme="majorHAnsi"/>
          <w:sz w:val="20"/>
          <w:szCs w:val="20"/>
        </w:rPr>
        <w:t>має охоплювати</w:t>
      </w:r>
    </w:p>
    <w:p w14:paraId="3D82A27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2"/>
          <w:sz w:val="20"/>
          <w:szCs w:val="20"/>
        </w:rPr>
        <w:t xml:space="preserve"> </w:t>
      </w:r>
      <w:r w:rsidRPr="000977F7">
        <w:rPr>
          <w:rFonts w:asciiTheme="majorHAnsi" w:hAnsiTheme="majorHAnsi"/>
          <w:sz w:val="20"/>
          <w:szCs w:val="20"/>
        </w:rPr>
        <w:t>доказ</w:t>
      </w:r>
      <w:r w:rsidRPr="000977F7">
        <w:rPr>
          <w:rFonts w:asciiTheme="majorHAnsi" w:hAnsiTheme="majorHAnsi"/>
          <w:spacing w:val="-3"/>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4"/>
          <w:sz w:val="20"/>
          <w:szCs w:val="20"/>
        </w:rPr>
        <w:t xml:space="preserve"> </w:t>
      </w:r>
      <w:r w:rsidRPr="000977F7">
        <w:rPr>
          <w:rFonts w:asciiTheme="majorHAnsi" w:hAnsiTheme="majorHAnsi"/>
          <w:sz w:val="20"/>
          <w:szCs w:val="20"/>
        </w:rPr>
        <w:t>критеріям</w:t>
      </w:r>
      <w:r w:rsidRPr="000977F7">
        <w:rPr>
          <w:rFonts w:asciiTheme="majorHAnsi" w:hAnsiTheme="majorHAnsi"/>
          <w:spacing w:val="-2"/>
          <w:sz w:val="20"/>
          <w:szCs w:val="20"/>
        </w:rPr>
        <w:t xml:space="preserve"> </w:t>
      </w:r>
      <w:r w:rsidRPr="000977F7">
        <w:rPr>
          <w:rFonts w:asciiTheme="majorHAnsi" w:hAnsiTheme="majorHAnsi"/>
          <w:sz w:val="20"/>
          <w:szCs w:val="20"/>
        </w:rPr>
        <w:t>приймання;</w:t>
      </w:r>
    </w:p>
    <w:p w14:paraId="57A0C4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 простежуваність до особи (осіб), що санкціює(ють) випуск.</w:t>
      </w:r>
    </w:p>
    <w:p w14:paraId="4D9A290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2E2409EB"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ВИПУСК ТОВАРІВ</w:t>
      </w:r>
      <w:r w:rsidRPr="000977F7">
        <w:rPr>
          <w:rFonts w:asciiTheme="majorHAnsi" w:hAnsiTheme="majorHAnsi"/>
          <w:sz w:val="20"/>
          <w:szCs w:val="20"/>
        </w:rPr>
        <w:t xml:space="preserve"> –</w:t>
      </w:r>
    </w:p>
    <w:p w14:paraId="379D4E3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Надання </w:t>
      </w:r>
      <w:hyperlink r:id="rId12" w:tgtFrame="_blank" w:history="1">
        <w:r w:rsidRPr="000977F7">
          <w:rPr>
            <w:rFonts w:asciiTheme="majorHAnsi" w:hAnsiTheme="majorHAnsi"/>
            <w:sz w:val="20"/>
            <w:szCs w:val="20"/>
          </w:rPr>
          <w:t>митним органом</w:t>
        </w:r>
      </w:hyperlink>
      <w:r w:rsidRPr="000977F7">
        <w:rPr>
          <w:rFonts w:asciiTheme="majorHAnsi" w:hAnsiTheme="majorHAnsi"/>
          <w:sz w:val="20"/>
          <w:szCs w:val="20"/>
        </w:rPr>
        <w:t xml:space="preserve"> права на користування та/або розпорядження товарами, щодо яких здійснюється </w:t>
      </w:r>
      <w:hyperlink r:id="rId13" w:tgtFrame="_blank" w:history="1">
        <w:r w:rsidRPr="000977F7">
          <w:rPr>
            <w:rFonts w:asciiTheme="majorHAnsi" w:hAnsiTheme="majorHAnsi"/>
            <w:sz w:val="20"/>
            <w:szCs w:val="20"/>
          </w:rPr>
          <w:t>митне оформлення</w:t>
        </w:r>
      </w:hyperlink>
      <w:r w:rsidRPr="000977F7">
        <w:rPr>
          <w:rFonts w:asciiTheme="majorHAnsi" w:hAnsiTheme="majorHAnsi"/>
          <w:sz w:val="20"/>
          <w:szCs w:val="20"/>
        </w:rPr>
        <w:t>, відповідно до заявленої мети</w:t>
      </w:r>
    </w:p>
    <w:p w14:paraId="28CD952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bookmarkStart w:id="30" w:name="_Hlk103150532"/>
      <w:r w:rsidRPr="000977F7">
        <w:rPr>
          <w:rFonts w:asciiTheme="majorHAnsi" w:hAnsiTheme="majorHAnsi"/>
          <w:i/>
          <w:sz w:val="20"/>
          <w:szCs w:val="20"/>
        </w:rPr>
        <w:t>Митний</w:t>
      </w:r>
      <w:r w:rsidRPr="000977F7">
        <w:rPr>
          <w:rFonts w:asciiTheme="majorHAnsi" w:hAnsiTheme="majorHAnsi"/>
          <w:i/>
          <w:spacing w:val="-2"/>
          <w:sz w:val="20"/>
          <w:szCs w:val="20"/>
        </w:rPr>
        <w:t xml:space="preserve"> </w:t>
      </w:r>
      <w:r w:rsidRPr="000977F7">
        <w:rPr>
          <w:rFonts w:asciiTheme="majorHAnsi" w:hAnsiTheme="majorHAnsi"/>
          <w:i/>
          <w:sz w:val="20"/>
          <w:szCs w:val="20"/>
        </w:rPr>
        <w:t>кодекс</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p>
    <w:bookmarkEnd w:id="30"/>
    <w:p w14:paraId="71DED8F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ВИРІБ</w:t>
      </w:r>
      <w:r w:rsidRPr="000977F7">
        <w:rPr>
          <w:color w:val="auto"/>
          <w:spacing w:val="-1"/>
          <w:sz w:val="20"/>
          <w:szCs w:val="20"/>
        </w:rPr>
        <w:t xml:space="preserve"> </w:t>
      </w:r>
      <w:r w:rsidRPr="000977F7">
        <w:rPr>
          <w:color w:val="auto"/>
          <w:sz w:val="20"/>
          <w:szCs w:val="20"/>
        </w:rPr>
        <w:t>–</w:t>
      </w:r>
    </w:p>
    <w:p w14:paraId="0D3694F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ITEM</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1FD666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Одиниця</w:t>
      </w:r>
      <w:r w:rsidRPr="000977F7">
        <w:rPr>
          <w:rFonts w:asciiTheme="majorHAnsi" w:hAnsiTheme="majorHAnsi"/>
          <w:spacing w:val="5"/>
          <w:sz w:val="20"/>
          <w:szCs w:val="20"/>
        </w:rPr>
        <w:t xml:space="preserve"> </w:t>
      </w:r>
      <w:r w:rsidRPr="000977F7">
        <w:rPr>
          <w:rFonts w:asciiTheme="majorHAnsi" w:hAnsiTheme="majorHAnsi"/>
          <w:sz w:val="20"/>
          <w:szCs w:val="20"/>
        </w:rPr>
        <w:t>промислової</w:t>
      </w:r>
      <w:r w:rsidRPr="000977F7">
        <w:rPr>
          <w:rFonts w:asciiTheme="majorHAnsi" w:hAnsiTheme="majorHAnsi"/>
          <w:spacing w:val="4"/>
          <w:sz w:val="20"/>
          <w:szCs w:val="20"/>
        </w:rPr>
        <w:t xml:space="preserve"> </w:t>
      </w:r>
      <w:r w:rsidRPr="000977F7">
        <w:rPr>
          <w:rFonts w:asciiTheme="majorHAnsi" w:hAnsiTheme="majorHAnsi"/>
          <w:sz w:val="20"/>
          <w:szCs w:val="20"/>
        </w:rPr>
        <w:t>продукції,</w:t>
      </w:r>
      <w:r w:rsidRPr="000977F7">
        <w:rPr>
          <w:rFonts w:asciiTheme="majorHAnsi" w:hAnsiTheme="majorHAnsi"/>
          <w:spacing w:val="4"/>
          <w:sz w:val="20"/>
          <w:szCs w:val="20"/>
        </w:rPr>
        <w:t xml:space="preserve"> </w:t>
      </w:r>
      <w:r w:rsidRPr="000977F7">
        <w:rPr>
          <w:rFonts w:asciiTheme="majorHAnsi" w:hAnsiTheme="majorHAnsi"/>
          <w:sz w:val="20"/>
          <w:szCs w:val="20"/>
        </w:rPr>
        <w:t>кількість</w:t>
      </w:r>
      <w:r w:rsidRPr="000977F7">
        <w:rPr>
          <w:rFonts w:asciiTheme="majorHAnsi" w:hAnsiTheme="majorHAnsi"/>
          <w:spacing w:val="4"/>
          <w:sz w:val="20"/>
          <w:szCs w:val="20"/>
        </w:rPr>
        <w:t xml:space="preserve"> </w:t>
      </w:r>
      <w:r w:rsidRPr="000977F7">
        <w:rPr>
          <w:rFonts w:asciiTheme="majorHAnsi" w:hAnsiTheme="majorHAnsi"/>
          <w:sz w:val="20"/>
          <w:szCs w:val="20"/>
        </w:rPr>
        <w:t>якої</w:t>
      </w:r>
      <w:r w:rsidRPr="000977F7">
        <w:rPr>
          <w:rFonts w:asciiTheme="majorHAnsi" w:hAnsiTheme="majorHAnsi"/>
          <w:spacing w:val="4"/>
          <w:sz w:val="20"/>
          <w:szCs w:val="20"/>
        </w:rPr>
        <w:t xml:space="preserve"> </w:t>
      </w:r>
      <w:r w:rsidRPr="000977F7">
        <w:rPr>
          <w:rFonts w:asciiTheme="majorHAnsi" w:hAnsiTheme="majorHAnsi"/>
          <w:sz w:val="20"/>
          <w:szCs w:val="20"/>
        </w:rPr>
        <w:t>обчислюють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штуках</w:t>
      </w:r>
      <w:r w:rsidRPr="000977F7">
        <w:rPr>
          <w:rFonts w:asciiTheme="majorHAnsi" w:hAnsiTheme="majorHAnsi"/>
          <w:spacing w:val="-1"/>
          <w:sz w:val="20"/>
          <w:szCs w:val="20"/>
        </w:rPr>
        <w:t xml:space="preserve"> </w:t>
      </w:r>
      <w:r w:rsidRPr="000977F7">
        <w:rPr>
          <w:rFonts w:asciiTheme="majorHAnsi" w:hAnsiTheme="majorHAnsi"/>
          <w:sz w:val="20"/>
          <w:szCs w:val="20"/>
        </w:rPr>
        <w:t>(примірниках)</w:t>
      </w:r>
    </w:p>
    <w:p w14:paraId="714D55E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2391 –</w:t>
      </w:r>
      <w:r w:rsidRPr="000977F7">
        <w:rPr>
          <w:rFonts w:asciiTheme="majorHAnsi" w:hAnsiTheme="majorHAnsi"/>
          <w:i/>
          <w:spacing w:val="-1"/>
          <w:sz w:val="20"/>
          <w:szCs w:val="20"/>
        </w:rPr>
        <w:t xml:space="preserve"> </w:t>
      </w:r>
      <w:r w:rsidRPr="000977F7">
        <w:rPr>
          <w:rFonts w:asciiTheme="majorHAnsi" w:hAnsiTheme="majorHAnsi"/>
          <w:i/>
          <w:sz w:val="20"/>
          <w:szCs w:val="20"/>
        </w:rPr>
        <w:t>2010;</w:t>
      </w:r>
      <w:r w:rsidRPr="000977F7">
        <w:rPr>
          <w:rFonts w:asciiTheme="majorHAnsi" w:hAnsiTheme="majorHAnsi"/>
          <w:i/>
          <w:spacing w:val="-2"/>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–2003;</w:t>
      </w:r>
    </w:p>
    <w:p w14:paraId="3EE46CE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C320A4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 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6C0CF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 виробів дозволяється відносити завершені та незавершені предмети виробництва, в тому числі заготовки</w:t>
      </w:r>
    </w:p>
    <w:p w14:paraId="2DEC458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2391 –2010; ДСТУ 2974 – 95</w:t>
      </w:r>
    </w:p>
    <w:p w14:paraId="5C33A3B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ВИРІБ –</w:t>
      </w:r>
    </w:p>
    <w:p w14:paraId="441D216A"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Будь-який предмет промислового виробництва або ручної роботи, зокрема частини, призначені для збирання у складений виріб, упаковка, зовнішнє оформлення, графічні символи та типографські шрифти (елементи), крім комп’ютерних програм</w:t>
      </w:r>
    </w:p>
    <w:p w14:paraId="2C97A93D"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охорону прав на промислові зразки"</w:t>
      </w:r>
    </w:p>
    <w:p w14:paraId="514458C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 підданий ремонту і придатний для подальшої</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експлуатації у відповідності з установленими вимогами</w:t>
      </w:r>
    </w:p>
    <w:p w14:paraId="460FDA43"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i/>
          <w:spacing w:val="-47"/>
          <w:sz w:val="20"/>
          <w:szCs w:val="20"/>
        </w:rPr>
        <w:t xml:space="preserve"> </w:t>
      </w:r>
      <w:r w:rsidRPr="000977F7">
        <w:rPr>
          <w:rFonts w:asciiTheme="majorHAnsi" w:hAnsiTheme="majorHAnsi"/>
          <w:b/>
          <w:sz w:val="20"/>
          <w:szCs w:val="20"/>
        </w:rPr>
        <w:t>ВИРІШАЛЬНЕ</w:t>
      </w:r>
      <w:r w:rsidRPr="000977F7">
        <w:rPr>
          <w:rFonts w:asciiTheme="majorHAnsi" w:hAnsiTheme="majorHAnsi"/>
          <w:b/>
          <w:spacing w:val="-3"/>
          <w:sz w:val="20"/>
          <w:szCs w:val="20"/>
        </w:rPr>
        <w:t xml:space="preserve"> </w:t>
      </w:r>
      <w:r w:rsidRPr="000977F7">
        <w:rPr>
          <w:rFonts w:asciiTheme="majorHAnsi" w:hAnsiTheme="majorHAnsi"/>
          <w:b/>
          <w:sz w:val="20"/>
          <w:szCs w:val="20"/>
        </w:rPr>
        <w:t>ПРАВИЛО</w:t>
      </w:r>
      <w:r w:rsidRPr="000977F7">
        <w:rPr>
          <w:rFonts w:asciiTheme="majorHAnsi" w:hAnsiTheme="majorHAnsi"/>
          <w:b/>
          <w:spacing w:val="3"/>
          <w:sz w:val="20"/>
          <w:szCs w:val="20"/>
        </w:rPr>
        <w:t xml:space="preserve"> </w:t>
      </w:r>
      <w:r w:rsidRPr="000977F7">
        <w:rPr>
          <w:rFonts w:asciiTheme="majorHAnsi" w:hAnsiTheme="majorHAnsi"/>
          <w:b/>
          <w:sz w:val="20"/>
          <w:szCs w:val="20"/>
        </w:rPr>
        <w:t>–</w:t>
      </w:r>
    </w:p>
    <w:p w14:paraId="693506B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DECISION</w:t>
      </w:r>
      <w:r w:rsidRPr="000977F7">
        <w:rPr>
          <w:rFonts w:asciiTheme="majorHAnsi" w:hAnsiTheme="majorHAnsi"/>
          <w:spacing w:val="-1"/>
          <w:sz w:val="20"/>
          <w:szCs w:val="20"/>
        </w:rPr>
        <w:t xml:space="preserve"> </w:t>
      </w:r>
      <w:r w:rsidRPr="000977F7">
        <w:rPr>
          <w:rFonts w:asciiTheme="majorHAnsi" w:hAnsiTheme="majorHAnsi"/>
          <w:sz w:val="20"/>
          <w:szCs w:val="20"/>
        </w:rPr>
        <w:t>RULE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2508F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Вказівка,</w:t>
      </w:r>
      <w:r w:rsidRPr="000977F7">
        <w:rPr>
          <w:rFonts w:asciiTheme="majorHAnsi" w:hAnsiTheme="majorHAnsi"/>
          <w:spacing w:val="8"/>
          <w:sz w:val="20"/>
          <w:szCs w:val="20"/>
        </w:rPr>
        <w:t xml:space="preserve"> </w:t>
      </w:r>
      <w:r w:rsidRPr="000977F7">
        <w:rPr>
          <w:rFonts w:asciiTheme="majorHAnsi" w:hAnsiTheme="majorHAnsi"/>
          <w:spacing w:val="-1"/>
          <w:sz w:val="20"/>
          <w:szCs w:val="20"/>
        </w:rPr>
        <w:t>призначена</w:t>
      </w:r>
      <w:r w:rsidRPr="000977F7">
        <w:rPr>
          <w:rFonts w:asciiTheme="majorHAnsi" w:hAnsiTheme="majorHAnsi"/>
          <w:spacing w:val="6"/>
          <w:sz w:val="20"/>
          <w:szCs w:val="20"/>
        </w:rPr>
        <w:t xml:space="preserve"> </w:t>
      </w:r>
      <w:r w:rsidRPr="000977F7">
        <w:rPr>
          <w:rFonts w:asciiTheme="majorHAnsi" w:hAnsiTheme="majorHAnsi"/>
          <w:spacing w:val="-1"/>
          <w:sz w:val="20"/>
          <w:szCs w:val="20"/>
        </w:rPr>
        <w:t>для</w:t>
      </w:r>
      <w:r w:rsidRPr="000977F7">
        <w:rPr>
          <w:rFonts w:asciiTheme="majorHAnsi" w:hAnsiTheme="majorHAnsi"/>
          <w:spacing w:val="7"/>
          <w:sz w:val="20"/>
          <w:szCs w:val="20"/>
        </w:rPr>
        <w:t xml:space="preserve"> </w:t>
      </w:r>
      <w:r w:rsidRPr="000977F7">
        <w:rPr>
          <w:rFonts w:asciiTheme="majorHAnsi" w:hAnsiTheme="majorHAnsi"/>
          <w:sz w:val="20"/>
          <w:szCs w:val="20"/>
        </w:rPr>
        <w:t>прийняття</w:t>
      </w:r>
      <w:r w:rsidRPr="000977F7">
        <w:rPr>
          <w:rFonts w:asciiTheme="majorHAnsi" w:hAnsiTheme="majorHAnsi"/>
          <w:spacing w:val="5"/>
          <w:sz w:val="20"/>
          <w:szCs w:val="20"/>
        </w:rPr>
        <w:t xml:space="preserve"> </w:t>
      </w:r>
      <w:r w:rsidRPr="000977F7">
        <w:rPr>
          <w:rFonts w:asciiTheme="majorHAnsi" w:hAnsiTheme="majorHAnsi"/>
          <w:sz w:val="20"/>
          <w:szCs w:val="20"/>
        </w:rPr>
        <w:t>рішення</w:t>
      </w:r>
      <w:r w:rsidRPr="000977F7">
        <w:rPr>
          <w:rFonts w:asciiTheme="majorHAnsi" w:hAnsiTheme="majorHAnsi"/>
          <w:spacing w:val="8"/>
          <w:sz w:val="20"/>
          <w:szCs w:val="20"/>
        </w:rPr>
        <w:t xml:space="preserve"> </w:t>
      </w:r>
      <w:r w:rsidRPr="000977F7">
        <w:rPr>
          <w:rFonts w:asciiTheme="majorHAnsi" w:hAnsiTheme="majorHAnsi"/>
          <w:sz w:val="20"/>
          <w:szCs w:val="20"/>
        </w:rPr>
        <w:t xml:space="preserve">стосовно </w:t>
      </w:r>
      <w:r w:rsidRPr="000977F7">
        <w:rPr>
          <w:rFonts w:asciiTheme="majorHAnsi" w:hAnsiTheme="majorHAnsi"/>
          <w:spacing w:val="-47"/>
          <w:sz w:val="20"/>
          <w:szCs w:val="20"/>
        </w:rPr>
        <w:t xml:space="preserve"> </w:t>
      </w:r>
      <w:r w:rsidRPr="000977F7">
        <w:rPr>
          <w:rFonts w:asciiTheme="majorHAnsi" w:hAnsiTheme="majorHAnsi"/>
          <w:spacing w:val="-4"/>
          <w:sz w:val="20"/>
          <w:szCs w:val="20"/>
        </w:rPr>
        <w:t>приймання</w:t>
      </w:r>
      <w:r w:rsidRPr="000977F7">
        <w:rPr>
          <w:rFonts w:asciiTheme="majorHAnsi" w:hAnsiTheme="majorHAnsi"/>
          <w:spacing w:val="-8"/>
          <w:sz w:val="20"/>
          <w:szCs w:val="20"/>
        </w:rPr>
        <w:t xml:space="preserve"> </w:t>
      </w:r>
      <w:r w:rsidRPr="000977F7">
        <w:rPr>
          <w:rFonts w:asciiTheme="majorHAnsi" w:hAnsiTheme="majorHAnsi"/>
          <w:spacing w:val="-4"/>
          <w:sz w:val="20"/>
          <w:szCs w:val="20"/>
        </w:rPr>
        <w:t>партії</w:t>
      </w:r>
      <w:r w:rsidRPr="000977F7">
        <w:rPr>
          <w:rFonts w:asciiTheme="majorHAnsi" w:hAnsiTheme="majorHAnsi"/>
          <w:spacing w:val="-6"/>
          <w:sz w:val="20"/>
          <w:szCs w:val="20"/>
        </w:rPr>
        <w:t xml:space="preserve"> </w:t>
      </w:r>
      <w:r w:rsidRPr="000977F7">
        <w:rPr>
          <w:rFonts w:asciiTheme="majorHAnsi" w:hAnsiTheme="majorHAnsi"/>
          <w:spacing w:val="-4"/>
          <w:sz w:val="20"/>
          <w:szCs w:val="20"/>
        </w:rPr>
        <w:t>продукції</w:t>
      </w:r>
      <w:r w:rsidRPr="000977F7">
        <w:rPr>
          <w:rFonts w:asciiTheme="majorHAnsi" w:hAnsiTheme="majorHAnsi"/>
          <w:spacing w:val="-6"/>
          <w:sz w:val="20"/>
          <w:szCs w:val="20"/>
        </w:rPr>
        <w:t xml:space="preserve"> </w:t>
      </w:r>
      <w:r w:rsidRPr="000977F7">
        <w:rPr>
          <w:rFonts w:asciiTheme="majorHAnsi" w:hAnsiTheme="majorHAnsi"/>
          <w:spacing w:val="-4"/>
          <w:sz w:val="20"/>
          <w:szCs w:val="20"/>
        </w:rPr>
        <w:t>за</w:t>
      </w:r>
      <w:r w:rsidRPr="000977F7">
        <w:rPr>
          <w:rFonts w:asciiTheme="majorHAnsi" w:hAnsiTheme="majorHAnsi"/>
          <w:spacing w:val="-9"/>
          <w:sz w:val="20"/>
          <w:szCs w:val="20"/>
        </w:rPr>
        <w:t xml:space="preserve"> </w:t>
      </w:r>
      <w:r w:rsidRPr="000977F7">
        <w:rPr>
          <w:rFonts w:asciiTheme="majorHAnsi" w:hAnsiTheme="majorHAnsi"/>
          <w:spacing w:val="-4"/>
          <w:sz w:val="20"/>
          <w:szCs w:val="20"/>
        </w:rPr>
        <w:t>результатами</w:t>
      </w:r>
      <w:r w:rsidRPr="000977F7">
        <w:rPr>
          <w:rFonts w:asciiTheme="majorHAnsi" w:hAnsiTheme="majorHAnsi"/>
          <w:spacing w:val="-10"/>
          <w:sz w:val="20"/>
          <w:szCs w:val="20"/>
        </w:rPr>
        <w:t xml:space="preserve"> </w:t>
      </w:r>
      <w:r w:rsidRPr="000977F7">
        <w:rPr>
          <w:rFonts w:asciiTheme="majorHAnsi" w:hAnsiTheme="majorHAnsi"/>
          <w:spacing w:val="-4"/>
          <w:sz w:val="20"/>
          <w:szCs w:val="20"/>
        </w:rPr>
        <w:t>її</w:t>
      </w:r>
      <w:r w:rsidRPr="000977F7">
        <w:rPr>
          <w:rFonts w:asciiTheme="majorHAnsi" w:hAnsiTheme="majorHAnsi"/>
          <w:spacing w:val="-6"/>
          <w:sz w:val="20"/>
          <w:szCs w:val="20"/>
        </w:rPr>
        <w:t xml:space="preserve"> </w:t>
      </w:r>
      <w:r w:rsidRPr="000977F7">
        <w:rPr>
          <w:rFonts w:asciiTheme="majorHAnsi" w:hAnsiTheme="majorHAnsi"/>
          <w:spacing w:val="-4"/>
          <w:sz w:val="20"/>
          <w:szCs w:val="20"/>
        </w:rPr>
        <w:t>контролю</w:t>
      </w:r>
    </w:p>
    <w:p w14:paraId="578BB78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60C10B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Для прийняття рішення може бути передбачено певну </w:t>
      </w:r>
      <w:r w:rsidRPr="000977F7">
        <w:rPr>
          <w:rFonts w:asciiTheme="majorHAnsi" w:hAnsiTheme="majorHAnsi"/>
          <w:spacing w:val="-47"/>
          <w:sz w:val="20"/>
          <w:szCs w:val="20"/>
        </w:rPr>
        <w:t xml:space="preserve"> </w:t>
      </w: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вирішальних</w:t>
      </w:r>
      <w:r w:rsidRPr="000977F7">
        <w:rPr>
          <w:rFonts w:asciiTheme="majorHAnsi" w:hAnsiTheme="majorHAnsi"/>
          <w:spacing w:val="-1"/>
          <w:sz w:val="20"/>
          <w:szCs w:val="20"/>
        </w:rPr>
        <w:t xml:space="preserve"> </w:t>
      </w:r>
      <w:r w:rsidRPr="000977F7">
        <w:rPr>
          <w:rFonts w:asciiTheme="majorHAnsi" w:hAnsiTheme="majorHAnsi"/>
          <w:sz w:val="20"/>
          <w:szCs w:val="20"/>
        </w:rPr>
        <w:t>правил</w:t>
      </w:r>
    </w:p>
    <w:p w14:paraId="37EA9E3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3EC56ED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ВИРІШЕННЯ</w:t>
      </w:r>
      <w:r w:rsidRPr="000977F7">
        <w:rPr>
          <w:color w:val="auto"/>
          <w:spacing w:val="-5"/>
          <w:sz w:val="20"/>
          <w:szCs w:val="20"/>
        </w:rPr>
        <w:t xml:space="preserve"> </w:t>
      </w:r>
      <w:r w:rsidRPr="000977F7">
        <w:rPr>
          <w:color w:val="auto"/>
          <w:sz w:val="20"/>
          <w:szCs w:val="20"/>
        </w:rPr>
        <w:t>ПРОБЛЕМ –</w:t>
      </w:r>
    </w:p>
    <w:p w14:paraId="373AF2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Вирішення</w:t>
      </w:r>
      <w:r w:rsidRPr="000977F7">
        <w:rPr>
          <w:rFonts w:asciiTheme="majorHAnsi" w:hAnsiTheme="majorHAnsi"/>
          <w:spacing w:val="1"/>
          <w:sz w:val="20"/>
          <w:szCs w:val="20"/>
        </w:rPr>
        <w:t xml:space="preserve"> </w:t>
      </w:r>
      <w:r w:rsidRPr="000977F7">
        <w:rPr>
          <w:rFonts w:asciiTheme="majorHAnsi" w:hAnsiTheme="majorHAnsi"/>
          <w:sz w:val="20"/>
          <w:szCs w:val="20"/>
        </w:rPr>
        <w:t>проблем</w:t>
      </w:r>
      <w:r w:rsidRPr="000977F7">
        <w:rPr>
          <w:rFonts w:asciiTheme="majorHAnsi" w:hAnsiTheme="majorHAnsi"/>
          <w:spacing w:val="1"/>
          <w:sz w:val="20"/>
          <w:szCs w:val="20"/>
        </w:rPr>
        <w:t xml:space="preserve"> </w:t>
      </w:r>
      <w:r w:rsidRPr="000977F7">
        <w:rPr>
          <w:rFonts w:asciiTheme="majorHAnsi" w:hAnsiTheme="majorHAnsi"/>
          <w:sz w:val="20"/>
          <w:szCs w:val="20"/>
        </w:rPr>
        <w:t>складається</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проблем і</w:t>
      </w:r>
      <w:r w:rsidRPr="000977F7">
        <w:rPr>
          <w:rFonts w:asciiTheme="majorHAnsi" w:hAnsiTheme="majorHAnsi"/>
          <w:spacing w:val="-1"/>
          <w:sz w:val="20"/>
          <w:szCs w:val="20"/>
        </w:rPr>
        <w:t xml:space="preserve"> </w:t>
      </w:r>
      <w:r w:rsidRPr="000977F7">
        <w:rPr>
          <w:rFonts w:asciiTheme="majorHAnsi" w:hAnsiTheme="majorHAnsi"/>
          <w:sz w:val="20"/>
          <w:szCs w:val="20"/>
        </w:rPr>
        <w:t>прийняття</w:t>
      </w:r>
      <w:r w:rsidRPr="000977F7">
        <w:rPr>
          <w:rFonts w:asciiTheme="majorHAnsi" w:hAnsiTheme="majorHAnsi"/>
          <w:spacing w:val="-1"/>
          <w:sz w:val="20"/>
          <w:szCs w:val="20"/>
        </w:rPr>
        <w:t xml:space="preserve"> </w:t>
      </w:r>
      <w:r w:rsidRPr="000977F7">
        <w:rPr>
          <w:rFonts w:asciiTheme="majorHAnsi" w:hAnsiTheme="majorHAnsi"/>
          <w:sz w:val="20"/>
          <w:szCs w:val="20"/>
        </w:rPr>
        <w:t>рішення.</w:t>
      </w:r>
    </w:p>
    <w:p w14:paraId="6B860B0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проблем</w:t>
      </w:r>
      <w:r w:rsidRPr="000977F7">
        <w:rPr>
          <w:rFonts w:asciiTheme="majorHAnsi" w:hAnsiTheme="majorHAnsi"/>
          <w:spacing w:val="1"/>
          <w:sz w:val="20"/>
          <w:szCs w:val="20"/>
        </w:rPr>
        <w:t xml:space="preserve"> </w:t>
      </w:r>
      <w:r w:rsidRPr="000977F7">
        <w:rPr>
          <w:rFonts w:asciiTheme="majorHAnsi" w:hAnsiTheme="majorHAnsi"/>
          <w:sz w:val="20"/>
          <w:szCs w:val="20"/>
        </w:rPr>
        <w:t>вимагає</w:t>
      </w:r>
      <w:r w:rsidRPr="000977F7">
        <w:rPr>
          <w:rFonts w:asciiTheme="majorHAnsi" w:hAnsiTheme="majorHAnsi"/>
          <w:spacing w:val="1"/>
          <w:sz w:val="20"/>
          <w:szCs w:val="20"/>
        </w:rPr>
        <w:t xml:space="preserve"> </w:t>
      </w:r>
      <w:r w:rsidRPr="000977F7">
        <w:rPr>
          <w:rFonts w:asciiTheme="majorHAnsi" w:hAnsiTheme="majorHAnsi"/>
          <w:sz w:val="20"/>
          <w:szCs w:val="20"/>
        </w:rPr>
        <w:t>розрізнення</w:t>
      </w:r>
      <w:r w:rsidRPr="000977F7">
        <w:rPr>
          <w:rFonts w:asciiTheme="majorHAnsi" w:hAnsiTheme="majorHAnsi"/>
          <w:spacing w:val="1"/>
          <w:sz w:val="20"/>
          <w:szCs w:val="20"/>
        </w:rPr>
        <w:t xml:space="preserve"> </w:t>
      </w:r>
      <w:r w:rsidRPr="000977F7">
        <w:rPr>
          <w:rFonts w:asciiTheme="majorHAnsi" w:hAnsiTheme="majorHAnsi"/>
          <w:sz w:val="20"/>
          <w:szCs w:val="20"/>
        </w:rPr>
        <w:t>причин</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симптомів. Проблеми можуть бути внутрішніми (основний виконавець покинув проект) або зовнішніми</w:t>
      </w:r>
      <w:r w:rsidRPr="000977F7">
        <w:rPr>
          <w:rFonts w:asciiTheme="majorHAnsi" w:hAnsiTheme="majorHAnsi"/>
          <w:spacing w:val="1"/>
          <w:sz w:val="20"/>
          <w:szCs w:val="20"/>
        </w:rPr>
        <w:t xml:space="preserve"> </w:t>
      </w:r>
      <w:r w:rsidRPr="000977F7">
        <w:rPr>
          <w:rFonts w:asciiTheme="majorHAnsi" w:hAnsiTheme="majorHAnsi"/>
          <w:sz w:val="20"/>
          <w:szCs w:val="20"/>
        </w:rPr>
        <w:t>(затримується дозвіл, необхідний для того, щоб розпочати проект).</w:t>
      </w:r>
      <w:r w:rsidRPr="000977F7">
        <w:rPr>
          <w:rFonts w:asciiTheme="majorHAnsi" w:hAnsiTheme="majorHAnsi"/>
          <w:spacing w:val="1"/>
          <w:sz w:val="20"/>
          <w:szCs w:val="20"/>
        </w:rPr>
        <w:t xml:space="preserve"> </w:t>
      </w:r>
      <w:r w:rsidRPr="000977F7">
        <w:rPr>
          <w:rFonts w:asciiTheme="majorHAnsi" w:hAnsiTheme="majorHAnsi"/>
          <w:sz w:val="20"/>
          <w:szCs w:val="20"/>
        </w:rPr>
        <w:t>Проблеми</w:t>
      </w:r>
      <w:r w:rsidRPr="000977F7">
        <w:rPr>
          <w:rFonts w:asciiTheme="majorHAnsi" w:hAnsiTheme="majorHAnsi"/>
          <w:spacing w:val="1"/>
          <w:sz w:val="20"/>
          <w:szCs w:val="20"/>
        </w:rPr>
        <w:t xml:space="preserve"> </w:t>
      </w:r>
      <w:r w:rsidRPr="000977F7">
        <w:rPr>
          <w:rFonts w:asciiTheme="majorHAnsi" w:hAnsiTheme="majorHAnsi"/>
          <w:sz w:val="20"/>
          <w:szCs w:val="20"/>
        </w:rPr>
        <w:t>можуть бути технічними</w:t>
      </w:r>
      <w:r w:rsidRPr="000977F7">
        <w:rPr>
          <w:rFonts w:asciiTheme="majorHAnsi" w:hAnsiTheme="majorHAnsi"/>
          <w:spacing w:val="1"/>
          <w:sz w:val="20"/>
          <w:szCs w:val="20"/>
        </w:rPr>
        <w:t xml:space="preserve"> </w:t>
      </w:r>
      <w:r w:rsidRPr="000977F7">
        <w:rPr>
          <w:rFonts w:asciiTheme="majorHAnsi" w:hAnsiTheme="majorHAnsi"/>
          <w:sz w:val="20"/>
          <w:szCs w:val="20"/>
        </w:rPr>
        <w:t>(розбіг думок відносно способу проектування продукту),</w:t>
      </w:r>
      <w:r w:rsidRPr="000977F7">
        <w:rPr>
          <w:rFonts w:asciiTheme="majorHAnsi" w:hAnsiTheme="majorHAnsi"/>
          <w:spacing w:val="1"/>
          <w:sz w:val="20"/>
          <w:szCs w:val="20"/>
        </w:rPr>
        <w:t xml:space="preserve"> </w:t>
      </w:r>
      <w:r w:rsidRPr="000977F7">
        <w:rPr>
          <w:rFonts w:asciiTheme="majorHAnsi" w:hAnsiTheme="majorHAnsi"/>
          <w:sz w:val="20"/>
          <w:szCs w:val="20"/>
        </w:rPr>
        <w:t>управлінськими</w:t>
      </w:r>
      <w:r w:rsidRPr="000977F7">
        <w:rPr>
          <w:rFonts w:asciiTheme="majorHAnsi" w:hAnsiTheme="majorHAnsi"/>
          <w:spacing w:val="1"/>
          <w:sz w:val="20"/>
          <w:szCs w:val="20"/>
        </w:rPr>
        <w:t xml:space="preserve"> </w:t>
      </w:r>
      <w:r w:rsidRPr="000977F7">
        <w:rPr>
          <w:rFonts w:asciiTheme="majorHAnsi" w:hAnsiTheme="majorHAnsi"/>
          <w:sz w:val="20"/>
          <w:szCs w:val="20"/>
        </w:rPr>
        <w:t>(функціональна</w:t>
      </w:r>
      <w:r w:rsidRPr="000977F7">
        <w:rPr>
          <w:rFonts w:asciiTheme="majorHAnsi" w:hAnsiTheme="majorHAnsi"/>
          <w:spacing w:val="1"/>
          <w:sz w:val="20"/>
          <w:szCs w:val="20"/>
        </w:rPr>
        <w:t xml:space="preserve"> </w:t>
      </w:r>
      <w:r w:rsidRPr="000977F7">
        <w:rPr>
          <w:rFonts w:asciiTheme="majorHAnsi" w:hAnsiTheme="majorHAnsi"/>
          <w:sz w:val="20"/>
          <w:szCs w:val="20"/>
        </w:rPr>
        <w:t>група</w:t>
      </w:r>
      <w:r w:rsidRPr="000977F7">
        <w:rPr>
          <w:rFonts w:asciiTheme="majorHAnsi" w:hAnsiTheme="majorHAnsi"/>
          <w:spacing w:val="1"/>
          <w:sz w:val="20"/>
          <w:szCs w:val="20"/>
        </w:rPr>
        <w:t xml:space="preserve"> </w:t>
      </w:r>
      <w:r w:rsidRPr="000977F7">
        <w:rPr>
          <w:rFonts w:asciiTheme="majorHAnsi" w:hAnsiTheme="majorHAnsi"/>
          <w:sz w:val="20"/>
          <w:szCs w:val="20"/>
        </w:rPr>
        <w:t>відхилилась від плану) або міжособистісними (зіткнення особистостей</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стилів</w:t>
      </w:r>
      <w:r w:rsidRPr="000977F7">
        <w:rPr>
          <w:rFonts w:asciiTheme="majorHAnsi" w:hAnsiTheme="majorHAnsi"/>
          <w:spacing w:val="-1"/>
          <w:sz w:val="20"/>
          <w:szCs w:val="20"/>
        </w:rPr>
        <w:t xml:space="preserve"> </w:t>
      </w:r>
      <w:r w:rsidRPr="000977F7">
        <w:rPr>
          <w:rFonts w:asciiTheme="majorHAnsi" w:hAnsiTheme="majorHAnsi"/>
          <w:sz w:val="20"/>
          <w:szCs w:val="20"/>
        </w:rPr>
        <w:t>поведінки).</w:t>
      </w:r>
    </w:p>
    <w:p w14:paraId="10619D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Прийняття</w:t>
      </w:r>
      <w:r w:rsidRPr="000977F7">
        <w:rPr>
          <w:rFonts w:asciiTheme="majorHAnsi" w:hAnsiTheme="majorHAnsi"/>
          <w:spacing w:val="1"/>
          <w:sz w:val="20"/>
          <w:szCs w:val="20"/>
        </w:rPr>
        <w:t xml:space="preserve"> </w:t>
      </w:r>
      <w:r w:rsidRPr="000977F7">
        <w:rPr>
          <w:rFonts w:asciiTheme="majorHAnsi" w:hAnsiTheme="majorHAnsi"/>
          <w:sz w:val="20"/>
          <w:szCs w:val="20"/>
        </w:rPr>
        <w:t>рішень</w:t>
      </w:r>
      <w:r w:rsidRPr="000977F7">
        <w:rPr>
          <w:rFonts w:asciiTheme="majorHAnsi" w:hAnsiTheme="majorHAnsi"/>
          <w:spacing w:val="1"/>
          <w:sz w:val="20"/>
          <w:szCs w:val="20"/>
        </w:rPr>
        <w:t xml:space="preserve"> </w:t>
      </w:r>
      <w:r w:rsidRPr="000977F7">
        <w:rPr>
          <w:rFonts w:asciiTheme="majorHAnsi" w:hAnsiTheme="majorHAnsi"/>
          <w:sz w:val="20"/>
          <w:szCs w:val="20"/>
        </w:rPr>
        <w:t>включає</w:t>
      </w:r>
      <w:r w:rsidRPr="000977F7">
        <w:rPr>
          <w:rFonts w:asciiTheme="majorHAnsi" w:hAnsiTheme="majorHAnsi"/>
          <w:spacing w:val="1"/>
          <w:sz w:val="20"/>
          <w:szCs w:val="20"/>
        </w:rPr>
        <w:t xml:space="preserve"> </w:t>
      </w:r>
      <w:r w:rsidRPr="000977F7">
        <w:rPr>
          <w:rFonts w:asciiTheme="majorHAnsi" w:hAnsiTheme="majorHAnsi"/>
          <w:sz w:val="20"/>
          <w:szCs w:val="20"/>
        </w:rPr>
        <w:t>аналіз</w:t>
      </w:r>
      <w:r w:rsidRPr="000977F7">
        <w:rPr>
          <w:rFonts w:asciiTheme="majorHAnsi" w:hAnsiTheme="majorHAnsi"/>
          <w:spacing w:val="1"/>
          <w:sz w:val="20"/>
          <w:szCs w:val="20"/>
        </w:rPr>
        <w:t xml:space="preserve"> </w:t>
      </w:r>
      <w:r w:rsidRPr="000977F7">
        <w:rPr>
          <w:rFonts w:asciiTheme="majorHAnsi" w:hAnsiTheme="majorHAnsi"/>
          <w:sz w:val="20"/>
          <w:szCs w:val="20"/>
        </w:rPr>
        <w:t>проблеми</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 реальних рішень, а потім вибір між ними.</w:t>
      </w:r>
      <w:r w:rsidRPr="000977F7">
        <w:rPr>
          <w:rFonts w:asciiTheme="majorHAnsi" w:hAnsiTheme="majorHAnsi"/>
          <w:spacing w:val="1"/>
          <w:sz w:val="20"/>
          <w:szCs w:val="20"/>
        </w:rPr>
        <w:t xml:space="preserve"> </w:t>
      </w:r>
      <w:r w:rsidRPr="000977F7">
        <w:rPr>
          <w:rFonts w:asciiTheme="majorHAnsi" w:hAnsiTheme="majorHAnsi"/>
          <w:sz w:val="20"/>
          <w:szCs w:val="20"/>
        </w:rPr>
        <w:t>Рішення</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запропоновані</w:t>
      </w:r>
      <w:r w:rsidRPr="000977F7">
        <w:rPr>
          <w:rFonts w:asciiTheme="majorHAnsi" w:hAnsiTheme="majorHAnsi"/>
          <w:spacing w:val="1"/>
          <w:sz w:val="20"/>
          <w:szCs w:val="20"/>
        </w:rPr>
        <w:t xml:space="preserve"> </w:t>
      </w:r>
      <w:r w:rsidRPr="000977F7">
        <w:rPr>
          <w:rFonts w:asciiTheme="majorHAnsi" w:hAnsiTheme="majorHAnsi"/>
          <w:sz w:val="20"/>
          <w:szCs w:val="20"/>
        </w:rPr>
        <w:t>споживачем,</w:t>
      </w:r>
      <w:r w:rsidRPr="000977F7">
        <w:rPr>
          <w:rFonts w:asciiTheme="majorHAnsi" w:hAnsiTheme="majorHAnsi"/>
          <w:spacing w:val="1"/>
          <w:sz w:val="20"/>
          <w:szCs w:val="20"/>
        </w:rPr>
        <w:t xml:space="preserve"> </w:t>
      </w:r>
      <w:r w:rsidRPr="000977F7">
        <w:rPr>
          <w:rFonts w:asciiTheme="majorHAnsi" w:hAnsiTheme="majorHAnsi"/>
          <w:sz w:val="20"/>
          <w:szCs w:val="20"/>
        </w:rPr>
        <w:t xml:space="preserve">командою, функціональним менеджером. Після </w:t>
      </w:r>
      <w:r w:rsidRPr="000977F7">
        <w:rPr>
          <w:rFonts w:asciiTheme="majorHAnsi" w:hAnsiTheme="majorHAnsi"/>
          <w:sz w:val="20"/>
          <w:szCs w:val="20"/>
        </w:rPr>
        <w:t>вибору рішення необхідно реалізувати. Рішення залежать</w:t>
      </w:r>
      <w:r w:rsidRPr="000977F7">
        <w:rPr>
          <w:rFonts w:asciiTheme="majorHAnsi" w:hAnsiTheme="majorHAnsi"/>
          <w:spacing w:val="1"/>
          <w:sz w:val="20"/>
          <w:szCs w:val="20"/>
        </w:rPr>
        <w:t xml:space="preserve"> та</w:t>
      </w:r>
      <w:r w:rsidRPr="000977F7">
        <w:rPr>
          <w:rFonts w:asciiTheme="majorHAnsi" w:hAnsiTheme="majorHAnsi"/>
          <w:w w:val="99"/>
          <w:sz w:val="20"/>
          <w:szCs w:val="20"/>
        </w:rPr>
        <w:t>кож</w:t>
      </w:r>
      <w:r w:rsidRPr="000977F7">
        <w:rPr>
          <w:rFonts w:asciiTheme="majorHAnsi" w:hAnsiTheme="majorHAnsi"/>
          <w:spacing w:val="16"/>
          <w:sz w:val="20"/>
          <w:szCs w:val="20"/>
        </w:rPr>
        <w:t xml:space="preserve"> </w:t>
      </w:r>
      <w:r w:rsidRPr="000977F7">
        <w:rPr>
          <w:rFonts w:asciiTheme="majorHAnsi" w:hAnsiTheme="majorHAnsi"/>
          <w:spacing w:val="-1"/>
          <w:w w:val="99"/>
          <w:sz w:val="20"/>
          <w:szCs w:val="20"/>
        </w:rPr>
        <w:t>в</w:t>
      </w:r>
      <w:r w:rsidRPr="000977F7">
        <w:rPr>
          <w:rFonts w:asciiTheme="majorHAnsi" w:hAnsiTheme="majorHAnsi"/>
          <w:spacing w:val="1"/>
          <w:w w:val="99"/>
          <w:sz w:val="20"/>
          <w:szCs w:val="20"/>
        </w:rPr>
        <w:t>і</w:t>
      </w:r>
      <w:r w:rsidRPr="000977F7">
        <w:rPr>
          <w:rFonts w:asciiTheme="majorHAnsi" w:hAnsiTheme="majorHAnsi"/>
          <w:w w:val="99"/>
          <w:sz w:val="20"/>
          <w:szCs w:val="20"/>
        </w:rPr>
        <w:t>д</w:t>
      </w:r>
      <w:r w:rsidRPr="000977F7">
        <w:rPr>
          <w:rFonts w:asciiTheme="majorHAnsi" w:hAnsiTheme="majorHAnsi"/>
          <w:spacing w:val="16"/>
          <w:sz w:val="20"/>
          <w:szCs w:val="20"/>
        </w:rPr>
        <w:t xml:space="preserve"> </w:t>
      </w:r>
      <w:r w:rsidRPr="000977F7">
        <w:rPr>
          <w:rFonts w:asciiTheme="majorHAnsi" w:hAnsiTheme="majorHAnsi"/>
          <w:w w:val="99"/>
          <w:sz w:val="20"/>
          <w:szCs w:val="20"/>
        </w:rPr>
        <w:t>ча</w:t>
      </w:r>
      <w:r w:rsidRPr="000977F7">
        <w:rPr>
          <w:rFonts w:asciiTheme="majorHAnsi" w:hAnsiTheme="majorHAnsi"/>
          <w:spacing w:val="3"/>
          <w:w w:val="99"/>
          <w:sz w:val="20"/>
          <w:szCs w:val="20"/>
        </w:rPr>
        <w:t>с</w:t>
      </w:r>
      <w:r w:rsidRPr="000977F7">
        <w:rPr>
          <w:rFonts w:asciiTheme="majorHAnsi" w:hAnsiTheme="majorHAnsi"/>
          <w:w w:val="99"/>
          <w:sz w:val="20"/>
          <w:szCs w:val="20"/>
        </w:rPr>
        <w:t>у</w:t>
      </w:r>
      <w:r w:rsidRPr="000977F7">
        <w:rPr>
          <w:rFonts w:asciiTheme="majorHAnsi" w:hAnsiTheme="majorHAnsi"/>
          <w:spacing w:val="14"/>
          <w:sz w:val="20"/>
          <w:szCs w:val="20"/>
        </w:rPr>
        <w:t xml:space="preserve"> </w:t>
      </w:r>
      <w:r w:rsidRPr="000977F7">
        <w:rPr>
          <w:rFonts w:asciiTheme="majorHAnsi" w:hAnsiTheme="majorHAnsi"/>
          <w:w w:val="99"/>
          <w:sz w:val="20"/>
          <w:szCs w:val="20"/>
        </w:rPr>
        <w:t>–</w:t>
      </w:r>
      <w:r w:rsidRPr="000977F7">
        <w:rPr>
          <w:rFonts w:asciiTheme="majorHAnsi" w:hAnsiTheme="majorHAnsi"/>
          <w:spacing w:val="18"/>
          <w:sz w:val="20"/>
          <w:szCs w:val="20"/>
        </w:rPr>
        <w:t xml:space="preserve"> </w:t>
      </w:r>
      <w:r w:rsidRPr="000977F7">
        <w:rPr>
          <w:rFonts w:asciiTheme="majorHAnsi" w:hAnsiTheme="majorHAnsi"/>
          <w:spacing w:val="-2"/>
          <w:w w:val="99"/>
          <w:sz w:val="20"/>
          <w:szCs w:val="20"/>
        </w:rPr>
        <w:t>п</w:t>
      </w:r>
      <w:r w:rsidRPr="000977F7">
        <w:rPr>
          <w:rFonts w:asciiTheme="majorHAnsi" w:hAnsiTheme="majorHAnsi"/>
          <w:spacing w:val="1"/>
          <w:w w:val="99"/>
          <w:sz w:val="20"/>
          <w:szCs w:val="20"/>
        </w:rPr>
        <w:t>р</w:t>
      </w:r>
      <w:r w:rsidRPr="000977F7">
        <w:rPr>
          <w:rFonts w:asciiTheme="majorHAnsi" w:hAnsiTheme="majorHAnsi"/>
          <w:w w:val="99"/>
          <w:sz w:val="20"/>
          <w:szCs w:val="20"/>
        </w:rPr>
        <w:t>а</w:t>
      </w:r>
      <w:r w:rsidRPr="000977F7">
        <w:rPr>
          <w:rFonts w:asciiTheme="majorHAnsi" w:hAnsiTheme="majorHAnsi"/>
          <w:spacing w:val="2"/>
          <w:w w:val="99"/>
          <w:sz w:val="20"/>
          <w:szCs w:val="20"/>
        </w:rPr>
        <w:t>в</w:t>
      </w:r>
      <w:r w:rsidRPr="000977F7">
        <w:rPr>
          <w:rFonts w:asciiTheme="majorHAnsi" w:hAnsiTheme="majorHAnsi"/>
          <w:spacing w:val="-2"/>
          <w:w w:val="99"/>
          <w:sz w:val="20"/>
          <w:szCs w:val="20"/>
        </w:rPr>
        <w:t>и</w:t>
      </w:r>
      <w:r w:rsidRPr="000977F7">
        <w:rPr>
          <w:rFonts w:asciiTheme="majorHAnsi" w:hAnsiTheme="majorHAnsi"/>
          <w:spacing w:val="-1"/>
          <w:w w:val="99"/>
          <w:sz w:val="20"/>
          <w:szCs w:val="20"/>
        </w:rPr>
        <w:t>л</w:t>
      </w:r>
      <w:r w:rsidRPr="000977F7">
        <w:rPr>
          <w:rFonts w:asciiTheme="majorHAnsi" w:hAnsiTheme="majorHAnsi"/>
          <w:spacing w:val="2"/>
          <w:w w:val="99"/>
          <w:sz w:val="20"/>
          <w:szCs w:val="20"/>
        </w:rPr>
        <w:t>ь</w:t>
      </w:r>
      <w:r w:rsidRPr="000977F7">
        <w:rPr>
          <w:rFonts w:asciiTheme="majorHAnsi" w:hAnsiTheme="majorHAnsi"/>
          <w:spacing w:val="1"/>
          <w:w w:val="99"/>
          <w:sz w:val="20"/>
          <w:szCs w:val="20"/>
        </w:rPr>
        <w:t>н</w:t>
      </w:r>
      <w:r w:rsidRPr="000977F7">
        <w:rPr>
          <w:rFonts w:asciiTheme="majorHAnsi" w:hAnsiTheme="majorHAnsi"/>
          <w:w w:val="122"/>
          <w:sz w:val="20"/>
          <w:szCs w:val="20"/>
        </w:rPr>
        <w:t>е</w:t>
      </w:r>
      <w:r w:rsidRPr="000977F7">
        <w:rPr>
          <w:rFonts w:asciiTheme="majorHAnsi" w:hAnsiTheme="majorHAnsi"/>
          <w:spacing w:val="17"/>
          <w:sz w:val="20"/>
          <w:szCs w:val="20"/>
        </w:rPr>
        <w:t xml:space="preserve"> </w:t>
      </w:r>
      <w:r w:rsidRPr="000977F7">
        <w:rPr>
          <w:rFonts w:asciiTheme="majorHAnsi" w:hAnsiTheme="majorHAnsi"/>
          <w:spacing w:val="1"/>
          <w:w w:val="99"/>
          <w:sz w:val="20"/>
          <w:szCs w:val="20"/>
        </w:rPr>
        <w:t>р</w:t>
      </w:r>
      <w:r w:rsidRPr="000977F7">
        <w:rPr>
          <w:rFonts w:asciiTheme="majorHAnsi" w:hAnsiTheme="majorHAnsi"/>
          <w:w w:val="99"/>
          <w:sz w:val="20"/>
          <w:szCs w:val="20"/>
        </w:rPr>
        <w:t>ішен</w:t>
      </w:r>
      <w:r w:rsidRPr="000977F7">
        <w:rPr>
          <w:rFonts w:asciiTheme="majorHAnsi" w:hAnsiTheme="majorHAnsi"/>
          <w:spacing w:val="-2"/>
          <w:w w:val="99"/>
          <w:sz w:val="20"/>
          <w:szCs w:val="20"/>
        </w:rPr>
        <w:t>н</w:t>
      </w:r>
      <w:r w:rsidRPr="000977F7">
        <w:rPr>
          <w:rFonts w:asciiTheme="majorHAnsi" w:hAnsiTheme="majorHAnsi"/>
          <w:w w:val="99"/>
          <w:sz w:val="20"/>
          <w:szCs w:val="20"/>
        </w:rPr>
        <w:t>я</w:t>
      </w:r>
      <w:r w:rsidRPr="000977F7">
        <w:rPr>
          <w:rFonts w:asciiTheme="majorHAnsi" w:hAnsiTheme="majorHAnsi"/>
          <w:spacing w:val="16"/>
          <w:sz w:val="20"/>
          <w:szCs w:val="20"/>
        </w:rPr>
        <w:t xml:space="preserve"> </w:t>
      </w:r>
      <w:r w:rsidRPr="000977F7">
        <w:rPr>
          <w:rFonts w:asciiTheme="majorHAnsi" w:hAnsiTheme="majorHAnsi"/>
          <w:spacing w:val="-2"/>
          <w:w w:val="99"/>
          <w:sz w:val="20"/>
          <w:szCs w:val="20"/>
        </w:rPr>
        <w:t>н</w:t>
      </w:r>
      <w:r w:rsidRPr="000977F7">
        <w:rPr>
          <w:rFonts w:asciiTheme="majorHAnsi" w:hAnsiTheme="majorHAnsi"/>
          <w:w w:val="99"/>
          <w:sz w:val="20"/>
          <w:szCs w:val="20"/>
        </w:rPr>
        <w:t>е</w:t>
      </w:r>
      <w:r w:rsidRPr="000977F7">
        <w:rPr>
          <w:rFonts w:asciiTheme="majorHAnsi" w:hAnsiTheme="majorHAnsi"/>
          <w:spacing w:val="17"/>
          <w:sz w:val="20"/>
          <w:szCs w:val="20"/>
        </w:rPr>
        <w:t xml:space="preserve"> </w:t>
      </w:r>
      <w:r w:rsidRPr="000977F7">
        <w:rPr>
          <w:rFonts w:asciiTheme="majorHAnsi" w:hAnsiTheme="majorHAnsi"/>
          <w:spacing w:val="1"/>
          <w:w w:val="99"/>
          <w:sz w:val="20"/>
          <w:szCs w:val="20"/>
        </w:rPr>
        <w:t>о</w:t>
      </w:r>
      <w:r w:rsidRPr="000977F7">
        <w:rPr>
          <w:rFonts w:asciiTheme="majorHAnsi" w:hAnsiTheme="majorHAnsi"/>
          <w:w w:val="99"/>
          <w:sz w:val="20"/>
          <w:szCs w:val="20"/>
        </w:rPr>
        <w:t>бо</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w:t>
      </w:r>
      <w:r w:rsidRPr="000977F7">
        <w:rPr>
          <w:rFonts w:asciiTheme="majorHAnsi" w:hAnsiTheme="majorHAnsi"/>
          <w:w w:val="99"/>
          <w:sz w:val="20"/>
          <w:szCs w:val="20"/>
        </w:rPr>
        <w:t>яз</w:t>
      </w:r>
      <w:r w:rsidRPr="000977F7">
        <w:rPr>
          <w:rFonts w:asciiTheme="majorHAnsi" w:hAnsiTheme="majorHAnsi"/>
          <w:spacing w:val="-1"/>
          <w:w w:val="99"/>
          <w:sz w:val="20"/>
          <w:szCs w:val="20"/>
        </w:rPr>
        <w:t>к</w:t>
      </w:r>
      <w:r w:rsidRPr="000977F7">
        <w:rPr>
          <w:rFonts w:asciiTheme="majorHAnsi" w:hAnsiTheme="majorHAnsi"/>
          <w:spacing w:val="1"/>
          <w:w w:val="99"/>
          <w:sz w:val="20"/>
          <w:szCs w:val="20"/>
        </w:rPr>
        <w:t>о</w:t>
      </w:r>
      <w:r w:rsidRPr="000977F7">
        <w:rPr>
          <w:rFonts w:asciiTheme="majorHAnsi" w:hAnsiTheme="majorHAnsi"/>
          <w:spacing w:val="-1"/>
          <w:w w:val="99"/>
          <w:sz w:val="20"/>
          <w:szCs w:val="20"/>
        </w:rPr>
        <w:t xml:space="preserve">ве </w:t>
      </w:r>
      <w:r w:rsidRPr="000977F7">
        <w:rPr>
          <w:rFonts w:asciiTheme="majorHAnsi" w:hAnsiTheme="majorHAnsi"/>
          <w:spacing w:val="1"/>
          <w:w w:val="99"/>
          <w:sz w:val="20"/>
          <w:szCs w:val="20"/>
        </w:rPr>
        <w:t>б</w:t>
      </w:r>
      <w:r w:rsidRPr="000977F7">
        <w:rPr>
          <w:rFonts w:asciiTheme="majorHAnsi" w:hAnsiTheme="majorHAnsi"/>
          <w:spacing w:val="-4"/>
          <w:w w:val="99"/>
          <w:sz w:val="20"/>
          <w:szCs w:val="20"/>
        </w:rPr>
        <w:t>у</w:t>
      </w:r>
      <w:r w:rsidRPr="000977F7">
        <w:rPr>
          <w:rFonts w:asciiTheme="majorHAnsi" w:hAnsiTheme="majorHAnsi"/>
          <w:w w:val="99"/>
          <w:sz w:val="20"/>
          <w:szCs w:val="20"/>
        </w:rPr>
        <w:t>де</w:t>
      </w:r>
      <w:r w:rsidRPr="000977F7">
        <w:rPr>
          <w:rFonts w:asciiTheme="majorHAnsi" w:hAnsiTheme="majorHAnsi"/>
          <w:spacing w:val="2"/>
          <w:sz w:val="20"/>
          <w:szCs w:val="20"/>
        </w:rPr>
        <w:t xml:space="preserve"> </w:t>
      </w:r>
      <w:r w:rsidRPr="000977F7">
        <w:rPr>
          <w:rFonts w:asciiTheme="majorHAnsi" w:hAnsiTheme="majorHAnsi"/>
          <w:spacing w:val="-1"/>
          <w:w w:val="63"/>
          <w:sz w:val="20"/>
          <w:szCs w:val="20"/>
        </w:rPr>
        <w:t>н</w:t>
      </w:r>
      <w:r w:rsidRPr="000977F7">
        <w:rPr>
          <w:rFonts w:asciiTheme="majorHAnsi" w:hAnsiTheme="majorHAnsi"/>
          <w:spacing w:val="2"/>
          <w:w w:val="99"/>
          <w:sz w:val="20"/>
          <w:szCs w:val="20"/>
        </w:rPr>
        <w:t>а</w:t>
      </w:r>
      <w:r w:rsidRPr="000977F7">
        <w:rPr>
          <w:rFonts w:asciiTheme="majorHAnsi" w:hAnsiTheme="majorHAnsi"/>
          <w:spacing w:val="-2"/>
          <w:w w:val="99"/>
          <w:sz w:val="20"/>
          <w:szCs w:val="20"/>
        </w:rPr>
        <w:t>й</w:t>
      </w:r>
      <w:r w:rsidRPr="000977F7">
        <w:rPr>
          <w:rFonts w:asciiTheme="majorHAnsi" w:hAnsiTheme="majorHAnsi"/>
          <w:spacing w:val="-1"/>
          <w:w w:val="99"/>
          <w:sz w:val="20"/>
          <w:szCs w:val="20"/>
        </w:rPr>
        <w:t>л</w:t>
      </w:r>
      <w:r w:rsidRPr="000977F7">
        <w:rPr>
          <w:rFonts w:asciiTheme="majorHAnsi" w:hAnsiTheme="majorHAnsi"/>
          <w:spacing w:val="2"/>
          <w:w w:val="99"/>
          <w:sz w:val="20"/>
          <w:szCs w:val="20"/>
        </w:rPr>
        <w:t>і</w:t>
      </w:r>
      <w:r w:rsidRPr="000977F7">
        <w:rPr>
          <w:rFonts w:asciiTheme="majorHAnsi" w:hAnsiTheme="majorHAnsi"/>
          <w:spacing w:val="-2"/>
          <w:w w:val="99"/>
          <w:sz w:val="20"/>
          <w:szCs w:val="20"/>
        </w:rPr>
        <w:t>п</w:t>
      </w:r>
      <w:r w:rsidRPr="000977F7">
        <w:rPr>
          <w:rFonts w:asciiTheme="majorHAnsi" w:hAnsiTheme="majorHAnsi"/>
          <w:spacing w:val="2"/>
          <w:w w:val="99"/>
          <w:sz w:val="20"/>
          <w:szCs w:val="20"/>
        </w:rPr>
        <w:t>ш</w:t>
      </w:r>
      <w:r w:rsidRPr="000977F7">
        <w:rPr>
          <w:rFonts w:asciiTheme="majorHAnsi" w:hAnsiTheme="majorHAnsi"/>
          <w:spacing w:val="-2"/>
          <w:w w:val="99"/>
          <w:sz w:val="20"/>
          <w:szCs w:val="20"/>
        </w:rPr>
        <w:t>и</w:t>
      </w:r>
      <w:r w:rsidRPr="000977F7">
        <w:rPr>
          <w:rFonts w:asciiTheme="majorHAnsi" w:hAnsiTheme="majorHAnsi"/>
          <w:spacing w:val="1"/>
          <w:w w:val="99"/>
          <w:sz w:val="20"/>
          <w:szCs w:val="20"/>
        </w:rPr>
        <w:t>м</w:t>
      </w:r>
      <w:r w:rsidRPr="000977F7">
        <w:rPr>
          <w:rFonts w:asciiTheme="majorHAnsi" w:hAnsiTheme="majorHAnsi"/>
          <w:w w:val="130"/>
          <w:sz w:val="20"/>
          <w:szCs w:val="20"/>
        </w:rPr>
        <w:t>,</w:t>
      </w:r>
      <w:r w:rsidRPr="000977F7">
        <w:rPr>
          <w:rFonts w:asciiTheme="majorHAnsi" w:hAnsiTheme="majorHAnsi"/>
          <w:spacing w:val="1"/>
          <w:sz w:val="20"/>
          <w:szCs w:val="20"/>
        </w:rPr>
        <w:t xml:space="preserve"> </w:t>
      </w:r>
      <w:r w:rsidRPr="000977F7">
        <w:rPr>
          <w:rFonts w:asciiTheme="majorHAnsi" w:hAnsiTheme="majorHAnsi"/>
          <w:w w:val="99"/>
          <w:sz w:val="20"/>
          <w:szCs w:val="20"/>
        </w:rPr>
        <w:t>я</w:t>
      </w:r>
      <w:r w:rsidRPr="000977F7">
        <w:rPr>
          <w:rFonts w:asciiTheme="majorHAnsi" w:hAnsiTheme="majorHAnsi"/>
          <w:spacing w:val="-2"/>
          <w:w w:val="99"/>
          <w:sz w:val="20"/>
          <w:szCs w:val="20"/>
        </w:rPr>
        <w:t>к</w:t>
      </w:r>
      <w:r w:rsidRPr="000977F7">
        <w:rPr>
          <w:rFonts w:asciiTheme="majorHAnsi" w:hAnsiTheme="majorHAnsi"/>
          <w:w w:val="99"/>
          <w:sz w:val="20"/>
          <w:szCs w:val="20"/>
        </w:rPr>
        <w:t>що</w:t>
      </w:r>
      <w:r w:rsidRPr="000977F7">
        <w:rPr>
          <w:rFonts w:asciiTheme="majorHAnsi" w:hAnsiTheme="majorHAnsi"/>
          <w:spacing w:val="3"/>
          <w:sz w:val="20"/>
          <w:szCs w:val="20"/>
        </w:rPr>
        <w:t xml:space="preserve"> </w:t>
      </w:r>
      <w:r w:rsidRPr="000977F7">
        <w:rPr>
          <w:rFonts w:asciiTheme="majorHAnsi" w:hAnsiTheme="majorHAnsi"/>
          <w:spacing w:val="-2"/>
          <w:w w:val="99"/>
          <w:sz w:val="20"/>
          <w:szCs w:val="20"/>
        </w:rPr>
        <w:t>й</w:t>
      </w:r>
      <w:r w:rsidRPr="000977F7">
        <w:rPr>
          <w:rFonts w:asciiTheme="majorHAnsi" w:hAnsiTheme="majorHAnsi"/>
          <w:spacing w:val="1"/>
          <w:w w:val="99"/>
          <w:sz w:val="20"/>
          <w:szCs w:val="20"/>
        </w:rPr>
        <w:t>о</w:t>
      </w:r>
      <w:r w:rsidRPr="000977F7">
        <w:rPr>
          <w:rFonts w:asciiTheme="majorHAnsi" w:hAnsiTheme="majorHAnsi"/>
          <w:spacing w:val="-1"/>
          <w:w w:val="99"/>
          <w:sz w:val="20"/>
          <w:szCs w:val="20"/>
        </w:rPr>
        <w:t>г</w:t>
      </w:r>
      <w:r w:rsidRPr="000977F7">
        <w:rPr>
          <w:rFonts w:asciiTheme="majorHAnsi" w:hAnsiTheme="majorHAnsi"/>
          <w:w w:val="99"/>
          <w:sz w:val="20"/>
          <w:szCs w:val="20"/>
        </w:rPr>
        <w:t>о</w:t>
      </w:r>
      <w:r w:rsidRPr="000977F7">
        <w:rPr>
          <w:rFonts w:asciiTheme="majorHAnsi" w:hAnsiTheme="majorHAnsi"/>
          <w:spacing w:val="1"/>
          <w:sz w:val="20"/>
          <w:szCs w:val="20"/>
        </w:rPr>
        <w:t xml:space="preserve"> </w:t>
      </w:r>
      <w:r w:rsidRPr="000977F7">
        <w:rPr>
          <w:rFonts w:asciiTheme="majorHAnsi" w:hAnsiTheme="majorHAnsi"/>
          <w:spacing w:val="-2"/>
          <w:w w:val="99"/>
          <w:sz w:val="20"/>
          <w:szCs w:val="20"/>
        </w:rPr>
        <w:t>п</w:t>
      </w:r>
      <w:r w:rsidRPr="000977F7">
        <w:rPr>
          <w:rFonts w:asciiTheme="majorHAnsi" w:hAnsiTheme="majorHAnsi"/>
          <w:spacing w:val="1"/>
          <w:w w:val="99"/>
          <w:sz w:val="20"/>
          <w:szCs w:val="20"/>
        </w:rPr>
        <w:t>р</w:t>
      </w:r>
      <w:r w:rsidRPr="000977F7">
        <w:rPr>
          <w:rFonts w:asciiTheme="majorHAnsi" w:hAnsiTheme="majorHAnsi"/>
          <w:spacing w:val="-2"/>
          <w:w w:val="99"/>
          <w:sz w:val="20"/>
          <w:szCs w:val="20"/>
        </w:rPr>
        <w:t>и</w:t>
      </w:r>
      <w:r w:rsidRPr="000977F7">
        <w:rPr>
          <w:rFonts w:asciiTheme="majorHAnsi" w:hAnsiTheme="majorHAnsi"/>
          <w:spacing w:val="1"/>
          <w:w w:val="99"/>
          <w:sz w:val="20"/>
          <w:szCs w:val="20"/>
        </w:rPr>
        <w:t>й</w:t>
      </w:r>
      <w:r w:rsidRPr="000977F7">
        <w:rPr>
          <w:rFonts w:asciiTheme="majorHAnsi" w:hAnsiTheme="majorHAnsi"/>
          <w:spacing w:val="-2"/>
          <w:w w:val="99"/>
          <w:sz w:val="20"/>
          <w:szCs w:val="20"/>
        </w:rPr>
        <w:t>н</w:t>
      </w:r>
      <w:r w:rsidRPr="000977F7">
        <w:rPr>
          <w:rFonts w:asciiTheme="majorHAnsi" w:hAnsiTheme="majorHAnsi"/>
          <w:w w:val="99"/>
          <w:sz w:val="20"/>
          <w:szCs w:val="20"/>
        </w:rPr>
        <w:t>я</w:t>
      </w:r>
      <w:r w:rsidRPr="000977F7">
        <w:rPr>
          <w:rFonts w:asciiTheme="majorHAnsi" w:hAnsiTheme="majorHAnsi"/>
          <w:spacing w:val="-1"/>
          <w:w w:val="99"/>
          <w:sz w:val="20"/>
          <w:szCs w:val="20"/>
        </w:rPr>
        <w:t>т</w:t>
      </w:r>
      <w:r w:rsidRPr="000977F7">
        <w:rPr>
          <w:rFonts w:asciiTheme="majorHAnsi" w:hAnsiTheme="majorHAnsi"/>
          <w:w w:val="99"/>
          <w:sz w:val="20"/>
          <w:szCs w:val="20"/>
        </w:rPr>
        <w:t>о</w:t>
      </w:r>
      <w:r w:rsidRPr="000977F7">
        <w:rPr>
          <w:rFonts w:asciiTheme="majorHAnsi" w:hAnsiTheme="majorHAnsi"/>
          <w:spacing w:val="3"/>
          <w:sz w:val="20"/>
          <w:szCs w:val="20"/>
        </w:rPr>
        <w:t xml:space="preserve"> </w:t>
      </w:r>
      <w:r w:rsidRPr="000977F7">
        <w:rPr>
          <w:rFonts w:asciiTheme="majorHAnsi" w:hAnsiTheme="majorHAnsi"/>
          <w:spacing w:val="1"/>
          <w:w w:val="99"/>
          <w:sz w:val="20"/>
          <w:szCs w:val="20"/>
        </w:rPr>
        <w:t>д</w:t>
      </w:r>
      <w:r w:rsidRPr="000977F7">
        <w:rPr>
          <w:rFonts w:asciiTheme="majorHAnsi" w:hAnsiTheme="majorHAnsi"/>
          <w:spacing w:val="-2"/>
          <w:w w:val="99"/>
          <w:sz w:val="20"/>
          <w:szCs w:val="20"/>
        </w:rPr>
        <w:t>у</w:t>
      </w:r>
      <w:r w:rsidRPr="000977F7">
        <w:rPr>
          <w:rFonts w:asciiTheme="majorHAnsi" w:hAnsiTheme="majorHAnsi"/>
          <w:spacing w:val="-1"/>
          <w:w w:val="99"/>
          <w:sz w:val="20"/>
          <w:szCs w:val="20"/>
        </w:rPr>
        <w:t>ж</w:t>
      </w:r>
      <w:r w:rsidRPr="000977F7">
        <w:rPr>
          <w:rFonts w:asciiTheme="majorHAnsi" w:hAnsiTheme="majorHAnsi"/>
          <w:w w:val="99"/>
          <w:sz w:val="20"/>
          <w:szCs w:val="20"/>
        </w:rPr>
        <w:t>е</w:t>
      </w:r>
      <w:r w:rsidRPr="000977F7">
        <w:rPr>
          <w:rFonts w:asciiTheme="majorHAnsi" w:hAnsiTheme="majorHAnsi"/>
          <w:sz w:val="20"/>
          <w:szCs w:val="20"/>
        </w:rPr>
        <w:t xml:space="preserve"> </w:t>
      </w:r>
      <w:r w:rsidRPr="000977F7">
        <w:rPr>
          <w:rFonts w:asciiTheme="majorHAnsi" w:hAnsiTheme="majorHAnsi"/>
          <w:spacing w:val="1"/>
          <w:w w:val="99"/>
          <w:sz w:val="20"/>
          <w:szCs w:val="20"/>
        </w:rPr>
        <w:t>р</w:t>
      </w:r>
      <w:r w:rsidRPr="000977F7">
        <w:rPr>
          <w:rFonts w:asciiTheme="majorHAnsi" w:hAnsiTheme="majorHAnsi"/>
          <w:w w:val="99"/>
          <w:sz w:val="20"/>
          <w:szCs w:val="20"/>
        </w:rPr>
        <w:t>а</w:t>
      </w:r>
      <w:r w:rsidRPr="000977F7">
        <w:rPr>
          <w:rFonts w:asciiTheme="majorHAnsi" w:hAnsiTheme="majorHAnsi"/>
          <w:spacing w:val="-1"/>
          <w:w w:val="99"/>
          <w:sz w:val="20"/>
          <w:szCs w:val="20"/>
        </w:rPr>
        <w:t>н</w:t>
      </w:r>
      <w:r w:rsidRPr="000977F7">
        <w:rPr>
          <w:rFonts w:asciiTheme="majorHAnsi" w:hAnsiTheme="majorHAnsi"/>
          <w:w w:val="99"/>
          <w:sz w:val="20"/>
          <w:szCs w:val="20"/>
        </w:rPr>
        <w:t>о</w:t>
      </w:r>
      <w:r w:rsidRPr="000977F7">
        <w:rPr>
          <w:rFonts w:asciiTheme="majorHAnsi" w:hAnsiTheme="majorHAnsi"/>
          <w:spacing w:val="1"/>
          <w:sz w:val="20"/>
          <w:szCs w:val="20"/>
        </w:rPr>
        <w:t xml:space="preserve"> </w:t>
      </w:r>
      <w:r w:rsidRPr="000977F7">
        <w:rPr>
          <w:rFonts w:asciiTheme="majorHAnsi" w:hAnsiTheme="majorHAnsi"/>
          <w:w w:val="99"/>
          <w:sz w:val="20"/>
          <w:szCs w:val="20"/>
        </w:rPr>
        <w:t xml:space="preserve">або </w:t>
      </w:r>
      <w:r w:rsidRPr="000977F7">
        <w:rPr>
          <w:rFonts w:asciiTheme="majorHAnsi" w:hAnsiTheme="majorHAnsi"/>
          <w:sz w:val="20"/>
          <w:szCs w:val="20"/>
        </w:rPr>
        <w:t>дуже</w:t>
      </w:r>
      <w:r w:rsidRPr="000977F7">
        <w:rPr>
          <w:rFonts w:asciiTheme="majorHAnsi" w:hAnsiTheme="majorHAnsi"/>
          <w:spacing w:val="-1"/>
          <w:sz w:val="20"/>
          <w:szCs w:val="20"/>
        </w:rPr>
        <w:t xml:space="preserve"> </w:t>
      </w:r>
      <w:r w:rsidRPr="000977F7">
        <w:rPr>
          <w:rFonts w:asciiTheme="majorHAnsi" w:hAnsiTheme="majorHAnsi"/>
          <w:sz w:val="20"/>
          <w:szCs w:val="20"/>
        </w:rPr>
        <w:t>пізно.</w:t>
      </w:r>
    </w:p>
    <w:p w14:paraId="0BD0EF4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Кер.</w:t>
      </w:r>
      <w:r w:rsidRPr="000977F7">
        <w:rPr>
          <w:rFonts w:asciiTheme="majorHAnsi" w:hAnsiTheme="majorHAnsi"/>
          <w:i/>
          <w:spacing w:val="-3"/>
          <w:sz w:val="20"/>
          <w:szCs w:val="20"/>
        </w:rPr>
        <w:t xml:space="preserve"> </w:t>
      </w:r>
      <w:r w:rsidRPr="000977F7">
        <w:rPr>
          <w:rFonts w:asciiTheme="majorHAnsi" w:hAnsiTheme="majorHAnsi"/>
          <w:i/>
          <w:sz w:val="20"/>
          <w:szCs w:val="20"/>
        </w:rPr>
        <w:t>проектн.</w:t>
      </w:r>
      <w:r w:rsidRPr="000977F7">
        <w:rPr>
          <w:rFonts w:asciiTheme="majorHAnsi" w:hAnsiTheme="majorHAnsi"/>
          <w:i/>
          <w:spacing w:val="-2"/>
          <w:sz w:val="20"/>
          <w:szCs w:val="20"/>
        </w:rPr>
        <w:t xml:space="preserve"> </w:t>
      </w:r>
      <w:r w:rsidRPr="000977F7">
        <w:rPr>
          <w:rFonts w:asciiTheme="majorHAnsi" w:hAnsiTheme="majorHAnsi"/>
          <w:i/>
          <w:sz w:val="20"/>
          <w:szCs w:val="20"/>
        </w:rPr>
        <w:t>менедж</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ту.</w:t>
      </w:r>
    </w:p>
    <w:p w14:paraId="69784E4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ВИРІШЕННЯ СПОРІВ У ГАЛУЗІ ОХОРОНИ </w:t>
      </w:r>
    </w:p>
    <w:p w14:paraId="47610C8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НАВКОЛИШНЬОГО</w:t>
      </w:r>
      <w:r w:rsidRPr="000977F7">
        <w:rPr>
          <w:color w:val="auto"/>
          <w:spacing w:val="-6"/>
          <w:sz w:val="20"/>
          <w:szCs w:val="20"/>
        </w:rPr>
        <w:t xml:space="preserve"> </w:t>
      </w:r>
      <w:r w:rsidRPr="000977F7">
        <w:rPr>
          <w:color w:val="auto"/>
          <w:sz w:val="20"/>
          <w:szCs w:val="20"/>
        </w:rPr>
        <w:t>ПРИРОДНОГО</w:t>
      </w:r>
      <w:r w:rsidRPr="000977F7">
        <w:rPr>
          <w:color w:val="auto"/>
          <w:spacing w:val="-6"/>
          <w:sz w:val="20"/>
          <w:szCs w:val="20"/>
        </w:rPr>
        <w:t xml:space="preserve"> </w:t>
      </w:r>
      <w:r w:rsidRPr="000977F7">
        <w:rPr>
          <w:color w:val="auto"/>
          <w:sz w:val="20"/>
          <w:szCs w:val="20"/>
        </w:rPr>
        <w:t>СЕРЕДОВИЩА</w:t>
      </w:r>
      <w:r w:rsidRPr="000977F7">
        <w:rPr>
          <w:color w:val="auto"/>
          <w:spacing w:val="-6"/>
          <w:sz w:val="20"/>
          <w:szCs w:val="20"/>
        </w:rPr>
        <w:t xml:space="preserve"> </w:t>
      </w:r>
      <w:r w:rsidRPr="000977F7">
        <w:rPr>
          <w:color w:val="auto"/>
          <w:sz w:val="20"/>
          <w:szCs w:val="20"/>
        </w:rPr>
        <w:t>–</w:t>
      </w:r>
    </w:p>
    <w:p w14:paraId="712AA375"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shd w:val="clear" w:color="auto" w:fill="FFFFFF"/>
        </w:rPr>
        <w:t>Спори у галузі охорони навколишнього природного середовища вирішуються судом, місцевими радами чи органами, які утворюються ними, відповідно до їх компетенції і в порядку, встановленому законодавством України.</w:t>
      </w:r>
    </w:p>
    <w:p w14:paraId="0BCDA87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Спори підприємств,</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установ і організацій України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 галузі охорони навколишнього природного середовища з підприємствами, установами та організаціями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інших держав, розглядаються комісіями, що утворюються на паритетних засадах із представників України</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заінтересованих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держав,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третейським судом.</w:t>
      </w:r>
    </w:p>
    <w:p w14:paraId="6BC53C9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67 закону України "Про охорону навколишнього природного</w:t>
      </w:r>
      <w:r w:rsidRPr="000977F7">
        <w:rPr>
          <w:rFonts w:asciiTheme="majorHAnsi" w:hAnsiTheme="majorHAnsi"/>
          <w:i/>
          <w:spacing w:val="1"/>
          <w:sz w:val="20"/>
          <w:szCs w:val="20"/>
        </w:rPr>
        <w:t xml:space="preserve"> </w:t>
      </w:r>
      <w:r w:rsidRPr="000977F7">
        <w:rPr>
          <w:rFonts w:asciiTheme="majorHAnsi" w:hAnsiTheme="majorHAnsi"/>
          <w:i/>
          <w:sz w:val="20"/>
          <w:szCs w:val="20"/>
        </w:rPr>
        <w:t>середовища"</w:t>
      </w:r>
    </w:p>
    <w:p w14:paraId="08B258C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ВИРОБНИК</w:t>
      </w:r>
      <w:r w:rsidRPr="000977F7">
        <w:rPr>
          <w:color w:val="auto"/>
          <w:spacing w:val="-1"/>
          <w:sz w:val="20"/>
          <w:szCs w:val="20"/>
        </w:rPr>
        <w:t xml:space="preserve"> </w:t>
      </w:r>
      <w:r w:rsidRPr="000977F7">
        <w:rPr>
          <w:color w:val="auto"/>
          <w:sz w:val="20"/>
          <w:szCs w:val="20"/>
        </w:rPr>
        <w:t>–</w:t>
      </w:r>
    </w:p>
    <w:p w14:paraId="3D03AD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Будь-яка фізична чи юридична особа (резидент чи нерезидент України), яка виготовляє продукцію або доручає її розроблення чи виготовлення та реалізує цю продукцію під своїм найменуванням або торговельною маркою (знаком для товарів і послуг). Положення цього Закону щодо виробників також застосовуються до монтажників ліфтів</w:t>
      </w:r>
    </w:p>
    <w:p w14:paraId="5117284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 закону України "Про технічні регламенти та оцінку відповідності"</w:t>
      </w:r>
    </w:p>
    <w:p w14:paraId="00712DF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Фізична чи юридична особа резидент України, яка є виготовлювачем продукції, або будь-яка інша особа резидент України, яка заявляє про себе як про виготовлювача, розміщуючи на продукції відповідно до законодавства своє найменування, торговельну марку чи інше позначення, або особа резидент України, яка відновлює продукцію</w:t>
      </w:r>
    </w:p>
    <w:p w14:paraId="10FC63F3"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Ст. 1 закону України "Про загальну безпечність нехарчової продукції"</w:t>
      </w:r>
    </w:p>
    <w:p w14:paraId="3D931C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Суб'єкт господарювання, який: виробляє товар або заявляє про себе як про виробника товару чи про виготовлення такого товару на замовлення, розміщуючи на товарі та/або на упаковці чи супровідних документах, що разом з товаром передаються споживачеві, своє найменування (ім'я), торговельну марку або інший елемент, який ідентифікує такого суб'єкта господарювання; або імпортує товар</w:t>
      </w:r>
    </w:p>
    <w:p w14:paraId="4FAF805A"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Ст. 1 закону України "Про захист прав споживачів"</w:t>
      </w:r>
    </w:p>
    <w:p w14:paraId="1ADBEE9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Юридична або фізична особа, яка здійснює проектування та/або виробництво машини або незавершеної машини, на яку поширюється дія цього Технічного регламенту, та є відповідальною за відповідність машини або незавершеної машини цьому Технічному регламенту з метою введення її в обіг під власним найменуванням чи торговельною маркою (знаком для товарів і послуг) або для власного використання. У разі відсутності виробника згідно з наведеним визначенням будь-яка фізична або юридична особа, що вводить в обіг або в експлуатацію машину чи незавершену машину, на </w:t>
      </w:r>
      <w:r w:rsidRPr="000977F7">
        <w:rPr>
          <w:rFonts w:asciiTheme="majorHAnsi" w:hAnsiTheme="majorHAnsi"/>
          <w:sz w:val="20"/>
          <w:szCs w:val="20"/>
        </w:rPr>
        <w:lastRenderedPageBreak/>
        <w:t>яку поширюється дія цього Технічного регламенту, повинна вважатися виробником</w:t>
      </w:r>
    </w:p>
    <w:p w14:paraId="025CCDEF"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безпеки машин</w:t>
      </w:r>
    </w:p>
    <w:p w14:paraId="3D54EA5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Будь-яка фізична чи юридична особа (резидент чи нерезидент України), яка виготовляє компонент безпеки для ліфтів або доручає його розроблення чи виготовлення та реалізує такий компонент безпеки для ліфтів під своїм найменуванням або торговельною маркою</w:t>
      </w:r>
    </w:p>
    <w:p w14:paraId="7DAF055D"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ліфтів і компонентів безпеки для ліфтів</w:t>
      </w:r>
    </w:p>
    <w:p w14:paraId="3E6DB7F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Будь-яка фізична чи юридична особа (резидент чи нерезидент України), яка виготовляє апаратуру або доручає її розроблення чи виготовлення та реалізує цю апаратуру під своїм найменуванням або торговельною маркою (знаком для товарів і послуг)</w:t>
      </w:r>
    </w:p>
    <w:p w14:paraId="12388B2E"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з електромагнітної сумісності обладнання</w:t>
      </w:r>
    </w:p>
    <w:p w14:paraId="1E40198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Будь-яка фізична чи юридична особа (резидент чи нерезидент України), яка виготовляє електрообладнання або доручає його розроблення чи виготовлення та реалізує це обладнання під своїм найменуванням або торговельною маркою (знаком для товарів і послуг)</w:t>
      </w:r>
    </w:p>
    <w:p w14:paraId="1C1F7A1A"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низьковольтного електричного обладнання</w:t>
      </w:r>
    </w:p>
    <w:p w14:paraId="7E9C04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Фізична чи юридична особа (резидент чи нерезидент України), яка виготовляє обладнання, що працює під тиском, або агрегат або доручає його розроблення чи виготовлення та реалізує їх під своїм найменуванням або торговельною маркою (знаком для товарів і послуг)</w:t>
      </w:r>
    </w:p>
    <w:p w14:paraId="4258E5D3"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обладнання, що працює під тиском</w:t>
      </w:r>
    </w:p>
    <w:p w14:paraId="6775A16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ВИРОБНИК</w:t>
      </w:r>
      <w:r w:rsidRPr="000977F7">
        <w:rPr>
          <w:color w:val="auto"/>
          <w:spacing w:val="-2"/>
          <w:sz w:val="20"/>
          <w:szCs w:val="20"/>
        </w:rPr>
        <w:t xml:space="preserve"> </w:t>
      </w:r>
      <w:r w:rsidRPr="000977F7">
        <w:rPr>
          <w:color w:val="auto"/>
          <w:sz w:val="20"/>
          <w:szCs w:val="20"/>
        </w:rPr>
        <w:t>–</w:t>
      </w:r>
      <w:r w:rsidRPr="000977F7">
        <w:rPr>
          <w:color w:val="auto"/>
          <w:spacing w:val="-1"/>
          <w:sz w:val="20"/>
          <w:szCs w:val="20"/>
        </w:rPr>
        <w:t xml:space="preserve"> </w:t>
      </w:r>
      <w:r w:rsidRPr="000977F7">
        <w:rPr>
          <w:color w:val="auto"/>
          <w:sz w:val="20"/>
          <w:szCs w:val="20"/>
        </w:rPr>
        <w:t>ДУБЛЕР</w:t>
      </w:r>
      <w:r w:rsidRPr="000977F7">
        <w:rPr>
          <w:color w:val="auto"/>
          <w:spacing w:val="-1"/>
          <w:sz w:val="20"/>
          <w:szCs w:val="20"/>
        </w:rPr>
        <w:t xml:space="preserve"> </w:t>
      </w:r>
      <w:r w:rsidRPr="000977F7">
        <w:rPr>
          <w:color w:val="auto"/>
          <w:sz w:val="20"/>
          <w:szCs w:val="20"/>
        </w:rPr>
        <w:t>–</w:t>
      </w:r>
    </w:p>
    <w:p w14:paraId="26BDA66A"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Виробник,</w:t>
      </w:r>
      <w:r w:rsidRPr="000977F7">
        <w:rPr>
          <w:rFonts w:asciiTheme="majorHAnsi" w:hAnsiTheme="majorHAnsi"/>
          <w:spacing w:val="15"/>
          <w:sz w:val="20"/>
          <w:szCs w:val="20"/>
        </w:rPr>
        <w:t xml:space="preserve"> </w:t>
      </w:r>
      <w:r w:rsidRPr="000977F7">
        <w:rPr>
          <w:rFonts w:asciiTheme="majorHAnsi" w:hAnsiTheme="majorHAnsi"/>
          <w:sz w:val="20"/>
          <w:szCs w:val="20"/>
        </w:rPr>
        <w:t>який</w:t>
      </w:r>
      <w:r w:rsidRPr="000977F7">
        <w:rPr>
          <w:rFonts w:asciiTheme="majorHAnsi" w:hAnsiTheme="majorHAnsi"/>
          <w:spacing w:val="15"/>
          <w:sz w:val="20"/>
          <w:szCs w:val="20"/>
        </w:rPr>
        <w:t xml:space="preserve"> </w:t>
      </w:r>
      <w:r w:rsidRPr="000977F7">
        <w:rPr>
          <w:rFonts w:asciiTheme="majorHAnsi" w:hAnsiTheme="majorHAnsi"/>
          <w:sz w:val="20"/>
          <w:szCs w:val="20"/>
        </w:rPr>
        <w:t>виготовляє</w:t>
      </w:r>
      <w:r w:rsidRPr="000977F7">
        <w:rPr>
          <w:rFonts w:asciiTheme="majorHAnsi" w:hAnsiTheme="majorHAnsi"/>
          <w:spacing w:val="17"/>
          <w:sz w:val="20"/>
          <w:szCs w:val="20"/>
        </w:rPr>
        <w:t xml:space="preserve"> </w:t>
      </w:r>
      <w:r w:rsidRPr="000977F7">
        <w:rPr>
          <w:rFonts w:asciiTheme="majorHAnsi" w:hAnsiTheme="majorHAnsi"/>
          <w:sz w:val="20"/>
          <w:szCs w:val="20"/>
        </w:rPr>
        <w:t>продукцію</w:t>
      </w:r>
      <w:r w:rsidRPr="000977F7">
        <w:rPr>
          <w:rFonts w:asciiTheme="majorHAnsi" w:hAnsiTheme="majorHAnsi"/>
          <w:spacing w:val="16"/>
          <w:sz w:val="20"/>
          <w:szCs w:val="20"/>
        </w:rPr>
        <w:t xml:space="preserve"> </w:t>
      </w:r>
      <w:r w:rsidRPr="000977F7">
        <w:rPr>
          <w:rFonts w:asciiTheme="majorHAnsi" w:hAnsiTheme="majorHAnsi"/>
          <w:sz w:val="20"/>
          <w:szCs w:val="20"/>
        </w:rPr>
        <w:t>за</w:t>
      </w:r>
      <w:r w:rsidRPr="000977F7">
        <w:rPr>
          <w:rFonts w:asciiTheme="majorHAnsi" w:hAnsiTheme="majorHAnsi"/>
          <w:spacing w:val="16"/>
          <w:sz w:val="20"/>
          <w:szCs w:val="20"/>
        </w:rPr>
        <w:t xml:space="preserve"> </w:t>
      </w:r>
      <w:r w:rsidRPr="000977F7">
        <w:rPr>
          <w:rFonts w:asciiTheme="majorHAnsi" w:hAnsiTheme="majorHAnsi"/>
          <w:sz w:val="20"/>
          <w:szCs w:val="20"/>
        </w:rPr>
        <w:t>тією</w:t>
      </w:r>
      <w:r w:rsidRPr="000977F7">
        <w:rPr>
          <w:rFonts w:asciiTheme="majorHAnsi" w:hAnsiTheme="majorHAnsi"/>
          <w:spacing w:val="15"/>
          <w:sz w:val="20"/>
          <w:szCs w:val="20"/>
        </w:rPr>
        <w:t xml:space="preserve"> </w:t>
      </w:r>
      <w:r w:rsidRPr="000977F7">
        <w:rPr>
          <w:rFonts w:asciiTheme="majorHAnsi" w:hAnsiTheme="majorHAnsi"/>
          <w:sz w:val="20"/>
          <w:szCs w:val="20"/>
        </w:rPr>
        <w:t xml:space="preserve">самою </w:t>
      </w:r>
      <w:r w:rsidRPr="000977F7">
        <w:rPr>
          <w:rFonts w:asciiTheme="majorHAnsi" w:hAnsiTheme="majorHAnsi"/>
          <w:spacing w:val="-47"/>
          <w:sz w:val="20"/>
          <w:szCs w:val="20"/>
        </w:rPr>
        <w:t xml:space="preserve">    </w:t>
      </w:r>
      <w:r w:rsidRPr="000977F7">
        <w:rPr>
          <w:rFonts w:asciiTheme="majorHAnsi" w:hAnsiTheme="majorHAnsi"/>
          <w:sz w:val="20"/>
          <w:szCs w:val="20"/>
        </w:rPr>
        <w:t>технічною документацією, що й основний виробник</w:t>
      </w:r>
      <w:r w:rsidRPr="000977F7">
        <w:rPr>
          <w:rFonts w:asciiTheme="majorHAnsi" w:hAnsiTheme="majorHAnsi"/>
          <w:spacing w:val="1"/>
          <w:sz w:val="20"/>
          <w:szCs w:val="20"/>
        </w:rPr>
        <w:t xml:space="preserve"> </w:t>
      </w:r>
    </w:p>
    <w:p w14:paraId="54A5FA9C"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3278</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E8C252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ВИРОБНИК</w:t>
      </w:r>
      <w:r w:rsidRPr="000977F7">
        <w:rPr>
          <w:color w:val="auto"/>
          <w:spacing w:val="-4"/>
          <w:sz w:val="20"/>
          <w:szCs w:val="20"/>
        </w:rPr>
        <w:t xml:space="preserve"> </w:t>
      </w:r>
      <w:r w:rsidRPr="000977F7">
        <w:rPr>
          <w:color w:val="auto"/>
          <w:sz w:val="20"/>
          <w:szCs w:val="20"/>
        </w:rPr>
        <w:t>ПРОДУКЦІЇ –</w:t>
      </w:r>
    </w:p>
    <w:p w14:paraId="617A84B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MANUFACTURER–</w:t>
      </w:r>
    </w:p>
    <w:p w14:paraId="34422CD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Фізична або юридична особа, яка виготовляє і несе</w:t>
      </w:r>
      <w:r w:rsidRPr="000977F7">
        <w:rPr>
          <w:rFonts w:asciiTheme="majorHAnsi" w:hAnsiTheme="majorHAnsi"/>
          <w:spacing w:val="1"/>
          <w:sz w:val="20"/>
          <w:szCs w:val="20"/>
        </w:rPr>
        <w:t xml:space="preserve"> </w:t>
      </w:r>
      <w:r w:rsidRPr="000977F7">
        <w:rPr>
          <w:rFonts w:asciiTheme="majorHAnsi" w:hAnsiTheme="majorHAnsi"/>
          <w:sz w:val="20"/>
          <w:szCs w:val="20"/>
        </w:rPr>
        <w:t>відповідальність за виготовлення та здатна забезпечити таку якість продукції, що відповідає вимогам нормативного документа</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продукцію</w:t>
      </w:r>
    </w:p>
    <w:p w14:paraId="69BEC4B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68E6CF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 визначення у широкому розумінні може стосуватися осіб, зайнятих у сфері розподілу, імпортерів, монтажників тощо за умови, що вони відповідають вимогам,</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ставляться</w:t>
      </w:r>
      <w:r w:rsidRPr="000977F7">
        <w:rPr>
          <w:rFonts w:asciiTheme="majorHAnsi" w:hAnsiTheme="majorHAnsi"/>
          <w:spacing w:val="49"/>
          <w:sz w:val="20"/>
          <w:szCs w:val="20"/>
        </w:rPr>
        <w:t xml:space="preserve"> </w:t>
      </w:r>
      <w:r w:rsidRPr="000977F7">
        <w:rPr>
          <w:rFonts w:asciiTheme="majorHAnsi" w:hAnsiTheme="majorHAnsi"/>
          <w:sz w:val="20"/>
          <w:szCs w:val="20"/>
        </w:rPr>
        <w:t>до виробника</w:t>
      </w:r>
    </w:p>
    <w:p w14:paraId="30F60AB4"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95</w:t>
      </w:r>
    </w:p>
    <w:p w14:paraId="6A057B3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ВИРОБНИК</w:t>
      </w:r>
      <w:r w:rsidRPr="000977F7">
        <w:rPr>
          <w:color w:val="auto"/>
          <w:spacing w:val="-3"/>
          <w:sz w:val="20"/>
          <w:szCs w:val="20"/>
        </w:rPr>
        <w:t xml:space="preserve"> </w:t>
      </w:r>
      <w:r w:rsidRPr="000977F7">
        <w:rPr>
          <w:color w:val="auto"/>
          <w:sz w:val="20"/>
          <w:szCs w:val="20"/>
        </w:rPr>
        <w:t>–</w:t>
      </w:r>
      <w:r w:rsidRPr="000977F7">
        <w:rPr>
          <w:color w:val="auto"/>
          <w:spacing w:val="-2"/>
          <w:sz w:val="20"/>
          <w:szCs w:val="20"/>
        </w:rPr>
        <w:t xml:space="preserve"> </w:t>
      </w:r>
      <w:r w:rsidRPr="000977F7">
        <w:rPr>
          <w:color w:val="auto"/>
          <w:sz w:val="20"/>
          <w:szCs w:val="20"/>
        </w:rPr>
        <w:t>СУМІЖНИК</w:t>
      </w:r>
      <w:r w:rsidRPr="000977F7">
        <w:rPr>
          <w:color w:val="auto"/>
          <w:spacing w:val="-2"/>
          <w:sz w:val="20"/>
          <w:szCs w:val="20"/>
        </w:rPr>
        <w:t xml:space="preserve"> </w:t>
      </w:r>
      <w:r w:rsidRPr="000977F7">
        <w:rPr>
          <w:color w:val="auto"/>
          <w:sz w:val="20"/>
          <w:szCs w:val="20"/>
        </w:rPr>
        <w:t>–</w:t>
      </w:r>
    </w:p>
    <w:p w14:paraId="6F551FC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Виробник складової частини виробу, яку виготовляють за технічною документацією основного виробника</w:t>
      </w:r>
    </w:p>
    <w:p w14:paraId="2FB03E7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758AE0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ВИРОБНИЦТВО</w:t>
      </w:r>
      <w:r w:rsidRPr="000977F7">
        <w:rPr>
          <w:color w:val="auto"/>
          <w:spacing w:val="-5"/>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4019EE4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 організації та здійснення виготовлення продукції</w:t>
      </w:r>
    </w:p>
    <w:p w14:paraId="3DD623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5B0AC791" w14:textId="77777777" w:rsidR="0097612F" w:rsidRPr="000977F7" w:rsidRDefault="0097612F" w:rsidP="00FD39A4">
      <w:pPr>
        <w:pStyle w:val="ac"/>
        <w:widowControl w:val="0"/>
        <w:numPr>
          <w:ilvl w:val="0"/>
          <w:numId w:val="200"/>
        </w:numPr>
        <w:tabs>
          <w:tab w:val="left" w:pos="284"/>
          <w:tab w:val="left" w:pos="38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Залежно від методу виготовлення продукції створюють видові поняття, наприклад: "ливарне ви</w:t>
      </w:r>
      <w:r w:rsidRPr="000977F7">
        <w:rPr>
          <w:rFonts w:asciiTheme="majorHAnsi" w:hAnsiTheme="majorHAnsi"/>
          <w:spacing w:val="1"/>
          <w:w w:val="99"/>
          <w:sz w:val="20"/>
          <w:szCs w:val="20"/>
        </w:rPr>
        <w:t>ро</w:t>
      </w:r>
      <w:r w:rsidRPr="000977F7">
        <w:rPr>
          <w:rFonts w:asciiTheme="majorHAnsi" w:hAnsiTheme="majorHAnsi"/>
          <w:w w:val="99"/>
          <w:sz w:val="20"/>
          <w:szCs w:val="20"/>
        </w:rPr>
        <w:t>б</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и</w:t>
      </w:r>
      <w:r w:rsidRPr="000977F7">
        <w:rPr>
          <w:rFonts w:asciiTheme="majorHAnsi" w:hAnsiTheme="majorHAnsi"/>
          <w:spacing w:val="-2"/>
          <w:w w:val="99"/>
          <w:sz w:val="20"/>
          <w:szCs w:val="20"/>
        </w:rPr>
        <w:t>ц</w:t>
      </w:r>
      <w:r w:rsidRPr="000977F7">
        <w:rPr>
          <w:rFonts w:asciiTheme="majorHAnsi" w:hAnsiTheme="majorHAnsi"/>
          <w:spacing w:val="-1"/>
          <w:w w:val="99"/>
          <w:sz w:val="20"/>
          <w:szCs w:val="20"/>
        </w:rPr>
        <w:t>тв</w:t>
      </w:r>
      <w:r w:rsidRPr="000977F7">
        <w:rPr>
          <w:rFonts w:asciiTheme="majorHAnsi" w:hAnsiTheme="majorHAnsi"/>
          <w:w w:val="99"/>
          <w:sz w:val="20"/>
          <w:szCs w:val="20"/>
        </w:rPr>
        <w:t>о"</w:t>
      </w:r>
      <w:r w:rsidRPr="000977F7">
        <w:rPr>
          <w:rFonts w:asciiTheme="majorHAnsi" w:hAnsiTheme="majorHAnsi"/>
          <w:w w:val="130"/>
          <w:sz w:val="20"/>
          <w:szCs w:val="20"/>
        </w:rPr>
        <w:t>,</w:t>
      </w:r>
      <w:r w:rsidRPr="000977F7">
        <w:rPr>
          <w:rFonts w:asciiTheme="majorHAnsi" w:hAnsiTheme="majorHAnsi"/>
          <w:spacing w:val="3"/>
          <w:sz w:val="20"/>
          <w:szCs w:val="20"/>
        </w:rPr>
        <w:t xml:space="preserve"> "</w:t>
      </w:r>
      <w:r w:rsidRPr="000977F7">
        <w:rPr>
          <w:rFonts w:asciiTheme="majorHAnsi" w:hAnsiTheme="majorHAnsi"/>
          <w:w w:val="99"/>
          <w:sz w:val="20"/>
          <w:szCs w:val="20"/>
        </w:rPr>
        <w:t>зва</w:t>
      </w:r>
      <w:r w:rsidRPr="000977F7">
        <w:rPr>
          <w:rFonts w:asciiTheme="majorHAnsi" w:hAnsiTheme="majorHAnsi"/>
          <w:spacing w:val="1"/>
          <w:w w:val="99"/>
          <w:sz w:val="20"/>
          <w:szCs w:val="20"/>
        </w:rPr>
        <w:t>р</w:t>
      </w:r>
      <w:r w:rsidRPr="000977F7">
        <w:rPr>
          <w:rFonts w:asciiTheme="majorHAnsi" w:hAnsiTheme="majorHAnsi"/>
          <w:spacing w:val="-1"/>
          <w:w w:val="99"/>
          <w:sz w:val="20"/>
          <w:szCs w:val="20"/>
        </w:rPr>
        <w:t>юв</w:t>
      </w:r>
      <w:r w:rsidRPr="000977F7">
        <w:rPr>
          <w:rFonts w:asciiTheme="majorHAnsi" w:hAnsiTheme="majorHAnsi"/>
          <w:spacing w:val="2"/>
          <w:w w:val="99"/>
          <w:sz w:val="20"/>
          <w:szCs w:val="20"/>
        </w:rPr>
        <w:t>а</w:t>
      </w:r>
      <w:r w:rsidRPr="000977F7">
        <w:rPr>
          <w:rFonts w:asciiTheme="majorHAnsi" w:hAnsiTheme="majorHAnsi"/>
          <w:spacing w:val="-1"/>
          <w:w w:val="99"/>
          <w:sz w:val="20"/>
          <w:szCs w:val="20"/>
        </w:rPr>
        <w:t>льн</w:t>
      </w:r>
      <w:r w:rsidRPr="000977F7">
        <w:rPr>
          <w:rFonts w:asciiTheme="majorHAnsi" w:hAnsiTheme="majorHAnsi"/>
          <w:w w:val="99"/>
          <w:sz w:val="20"/>
          <w:szCs w:val="20"/>
        </w:rPr>
        <w:t>е</w:t>
      </w:r>
      <w:r w:rsidRPr="000977F7">
        <w:rPr>
          <w:rFonts w:asciiTheme="majorHAnsi" w:hAnsiTheme="majorHAnsi"/>
          <w:spacing w:val="3"/>
          <w:sz w:val="20"/>
          <w:szCs w:val="20"/>
        </w:rPr>
        <w:t xml:space="preserve"> </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и</w:t>
      </w:r>
      <w:r w:rsidRPr="000977F7">
        <w:rPr>
          <w:rFonts w:asciiTheme="majorHAnsi" w:hAnsiTheme="majorHAnsi"/>
          <w:spacing w:val="1"/>
          <w:w w:val="99"/>
          <w:sz w:val="20"/>
          <w:szCs w:val="20"/>
        </w:rPr>
        <w:t>ро</w:t>
      </w:r>
      <w:r w:rsidRPr="000977F7">
        <w:rPr>
          <w:rFonts w:asciiTheme="majorHAnsi" w:hAnsiTheme="majorHAnsi"/>
          <w:w w:val="99"/>
          <w:sz w:val="20"/>
          <w:szCs w:val="20"/>
        </w:rPr>
        <w:t>бн</w:t>
      </w:r>
      <w:r w:rsidRPr="000977F7">
        <w:rPr>
          <w:rFonts w:asciiTheme="majorHAnsi" w:hAnsiTheme="majorHAnsi"/>
          <w:spacing w:val="-2"/>
          <w:w w:val="99"/>
          <w:sz w:val="20"/>
          <w:szCs w:val="20"/>
        </w:rPr>
        <w:t>и</w:t>
      </w:r>
      <w:r w:rsidRPr="000977F7">
        <w:rPr>
          <w:rFonts w:asciiTheme="majorHAnsi" w:hAnsiTheme="majorHAnsi"/>
          <w:spacing w:val="4"/>
          <w:w w:val="99"/>
          <w:sz w:val="20"/>
          <w:szCs w:val="20"/>
        </w:rPr>
        <w:t>ц</w:t>
      </w:r>
      <w:r w:rsidRPr="000977F7">
        <w:rPr>
          <w:rFonts w:asciiTheme="majorHAnsi" w:hAnsiTheme="majorHAnsi"/>
          <w:spacing w:val="-1"/>
          <w:w w:val="99"/>
          <w:sz w:val="20"/>
          <w:szCs w:val="20"/>
        </w:rPr>
        <w:t>тв</w:t>
      </w:r>
      <w:r w:rsidRPr="000977F7">
        <w:rPr>
          <w:rFonts w:asciiTheme="majorHAnsi" w:hAnsiTheme="majorHAnsi"/>
          <w:w w:val="99"/>
          <w:sz w:val="20"/>
          <w:szCs w:val="20"/>
        </w:rPr>
        <w:t>о"</w:t>
      </w:r>
      <w:r w:rsidRPr="000977F7">
        <w:rPr>
          <w:rFonts w:asciiTheme="majorHAnsi" w:hAnsiTheme="majorHAnsi"/>
          <w:w w:val="130"/>
          <w:sz w:val="20"/>
          <w:szCs w:val="20"/>
        </w:rPr>
        <w:t>.</w:t>
      </w:r>
    </w:p>
    <w:p w14:paraId="4796E176" w14:textId="77777777" w:rsidR="0097612F" w:rsidRPr="000977F7" w:rsidRDefault="0097612F" w:rsidP="00FD39A4">
      <w:pPr>
        <w:pStyle w:val="ac"/>
        <w:widowControl w:val="0"/>
        <w:numPr>
          <w:ilvl w:val="0"/>
          <w:numId w:val="200"/>
        </w:numPr>
        <w:tabs>
          <w:tab w:val="left" w:pos="284"/>
          <w:tab w:val="left" w:pos="4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Залежно від обсягу випуску продукції створюють</w:t>
      </w:r>
      <w:r w:rsidRPr="000977F7">
        <w:rPr>
          <w:rFonts w:asciiTheme="majorHAnsi" w:hAnsiTheme="majorHAnsi"/>
          <w:spacing w:val="1"/>
          <w:sz w:val="20"/>
          <w:szCs w:val="20"/>
        </w:rPr>
        <w:t xml:space="preserve"> </w:t>
      </w:r>
      <w:r w:rsidRPr="000977F7">
        <w:rPr>
          <w:rFonts w:asciiTheme="majorHAnsi" w:hAnsiTheme="majorHAnsi"/>
          <w:spacing w:val="-3"/>
          <w:w w:val="99"/>
          <w:sz w:val="20"/>
          <w:szCs w:val="20"/>
        </w:rPr>
        <w:t>в</w:t>
      </w:r>
      <w:r w:rsidRPr="000977F7">
        <w:rPr>
          <w:rFonts w:asciiTheme="majorHAnsi" w:hAnsiTheme="majorHAnsi"/>
          <w:spacing w:val="-2"/>
          <w:w w:val="99"/>
          <w:sz w:val="20"/>
          <w:szCs w:val="20"/>
        </w:rPr>
        <w:t>и</w:t>
      </w:r>
      <w:r w:rsidRPr="000977F7">
        <w:rPr>
          <w:rFonts w:asciiTheme="majorHAnsi" w:hAnsiTheme="majorHAnsi"/>
          <w:spacing w:val="-3"/>
          <w:w w:val="99"/>
          <w:sz w:val="20"/>
          <w:szCs w:val="20"/>
        </w:rPr>
        <w:t>д</w:t>
      </w:r>
      <w:r w:rsidRPr="000977F7">
        <w:rPr>
          <w:rFonts w:asciiTheme="majorHAnsi" w:hAnsiTheme="majorHAnsi"/>
          <w:spacing w:val="-2"/>
          <w:w w:val="99"/>
          <w:sz w:val="20"/>
          <w:szCs w:val="20"/>
        </w:rPr>
        <w:t>о</w:t>
      </w:r>
      <w:r w:rsidRPr="000977F7">
        <w:rPr>
          <w:rFonts w:asciiTheme="majorHAnsi" w:hAnsiTheme="majorHAnsi"/>
          <w:spacing w:val="-1"/>
          <w:w w:val="99"/>
          <w:sz w:val="20"/>
          <w:szCs w:val="20"/>
        </w:rPr>
        <w:t>в</w:t>
      </w:r>
      <w:r w:rsidRPr="000977F7">
        <w:rPr>
          <w:rFonts w:asciiTheme="majorHAnsi" w:hAnsiTheme="majorHAnsi"/>
          <w:w w:val="99"/>
          <w:sz w:val="20"/>
          <w:szCs w:val="20"/>
        </w:rPr>
        <w:t>і</w:t>
      </w:r>
      <w:r w:rsidRPr="000977F7">
        <w:rPr>
          <w:rFonts w:asciiTheme="majorHAnsi" w:hAnsiTheme="majorHAnsi"/>
          <w:spacing w:val="21"/>
          <w:sz w:val="20"/>
          <w:szCs w:val="20"/>
        </w:rPr>
        <w:t xml:space="preserve"> </w:t>
      </w:r>
      <w:r w:rsidRPr="000977F7">
        <w:rPr>
          <w:rFonts w:asciiTheme="majorHAnsi" w:hAnsiTheme="majorHAnsi"/>
          <w:spacing w:val="-4"/>
          <w:w w:val="99"/>
          <w:sz w:val="20"/>
          <w:szCs w:val="20"/>
        </w:rPr>
        <w:t>п</w:t>
      </w:r>
      <w:r w:rsidRPr="000977F7">
        <w:rPr>
          <w:rFonts w:asciiTheme="majorHAnsi" w:hAnsiTheme="majorHAnsi"/>
          <w:spacing w:val="-2"/>
          <w:w w:val="99"/>
          <w:sz w:val="20"/>
          <w:szCs w:val="20"/>
        </w:rPr>
        <w:t>он</w:t>
      </w:r>
      <w:r w:rsidRPr="000977F7">
        <w:rPr>
          <w:rFonts w:asciiTheme="majorHAnsi" w:hAnsiTheme="majorHAnsi"/>
          <w:w w:val="99"/>
          <w:sz w:val="20"/>
          <w:szCs w:val="20"/>
        </w:rPr>
        <w:t>я</w:t>
      </w:r>
      <w:r w:rsidRPr="000977F7">
        <w:rPr>
          <w:rFonts w:asciiTheme="majorHAnsi" w:hAnsiTheme="majorHAnsi"/>
          <w:spacing w:val="-4"/>
          <w:w w:val="99"/>
          <w:sz w:val="20"/>
          <w:szCs w:val="20"/>
        </w:rPr>
        <w:t>т</w:t>
      </w:r>
      <w:r w:rsidRPr="000977F7">
        <w:rPr>
          <w:rFonts w:asciiTheme="majorHAnsi" w:hAnsiTheme="majorHAnsi"/>
          <w:spacing w:val="-1"/>
          <w:w w:val="99"/>
          <w:sz w:val="20"/>
          <w:szCs w:val="20"/>
        </w:rPr>
        <w:t>т</w:t>
      </w:r>
      <w:r w:rsidRPr="000977F7">
        <w:rPr>
          <w:rFonts w:asciiTheme="majorHAnsi" w:hAnsiTheme="majorHAnsi"/>
          <w:spacing w:val="-3"/>
          <w:w w:val="99"/>
          <w:sz w:val="20"/>
          <w:szCs w:val="20"/>
        </w:rPr>
        <w:t>я</w:t>
      </w:r>
      <w:r w:rsidRPr="000977F7">
        <w:rPr>
          <w:rFonts w:asciiTheme="majorHAnsi" w:hAnsiTheme="majorHAnsi"/>
          <w:w w:val="99"/>
          <w:sz w:val="20"/>
          <w:szCs w:val="20"/>
        </w:rPr>
        <w:t>,</w:t>
      </w:r>
      <w:r w:rsidRPr="000977F7">
        <w:rPr>
          <w:rFonts w:asciiTheme="majorHAnsi" w:hAnsiTheme="majorHAnsi"/>
          <w:spacing w:val="22"/>
          <w:sz w:val="20"/>
          <w:szCs w:val="20"/>
        </w:rPr>
        <w:t xml:space="preserve"> </w:t>
      </w:r>
      <w:r w:rsidRPr="000977F7">
        <w:rPr>
          <w:rFonts w:asciiTheme="majorHAnsi" w:hAnsiTheme="majorHAnsi"/>
          <w:spacing w:val="-4"/>
          <w:w w:val="99"/>
          <w:sz w:val="20"/>
          <w:szCs w:val="20"/>
        </w:rPr>
        <w:t>н</w:t>
      </w:r>
      <w:r w:rsidRPr="000977F7">
        <w:rPr>
          <w:rFonts w:asciiTheme="majorHAnsi" w:hAnsiTheme="majorHAnsi"/>
          <w:w w:val="99"/>
          <w:sz w:val="20"/>
          <w:szCs w:val="20"/>
        </w:rPr>
        <w:t>а</w:t>
      </w:r>
      <w:r w:rsidRPr="000977F7">
        <w:rPr>
          <w:rFonts w:asciiTheme="majorHAnsi" w:hAnsiTheme="majorHAnsi"/>
          <w:spacing w:val="-3"/>
          <w:w w:val="99"/>
          <w:sz w:val="20"/>
          <w:szCs w:val="20"/>
        </w:rPr>
        <w:t>п</w:t>
      </w:r>
      <w:r w:rsidRPr="000977F7">
        <w:rPr>
          <w:rFonts w:asciiTheme="majorHAnsi" w:hAnsiTheme="majorHAnsi"/>
          <w:spacing w:val="1"/>
          <w:w w:val="99"/>
          <w:sz w:val="20"/>
          <w:szCs w:val="20"/>
        </w:rPr>
        <w:t>р</w:t>
      </w:r>
      <w:r w:rsidRPr="000977F7">
        <w:rPr>
          <w:rFonts w:asciiTheme="majorHAnsi" w:hAnsiTheme="majorHAnsi"/>
          <w:spacing w:val="-4"/>
          <w:w w:val="99"/>
          <w:sz w:val="20"/>
          <w:szCs w:val="20"/>
        </w:rPr>
        <w:t>и</w:t>
      </w:r>
      <w:r w:rsidRPr="000977F7">
        <w:rPr>
          <w:rFonts w:asciiTheme="majorHAnsi" w:hAnsiTheme="majorHAnsi"/>
          <w:spacing w:val="-1"/>
          <w:w w:val="99"/>
          <w:sz w:val="20"/>
          <w:szCs w:val="20"/>
        </w:rPr>
        <w:t>к</w:t>
      </w:r>
      <w:r w:rsidRPr="000977F7">
        <w:rPr>
          <w:rFonts w:asciiTheme="majorHAnsi" w:hAnsiTheme="majorHAnsi"/>
          <w:spacing w:val="-4"/>
          <w:w w:val="99"/>
          <w:sz w:val="20"/>
          <w:szCs w:val="20"/>
        </w:rPr>
        <w:t>л</w:t>
      </w:r>
      <w:r w:rsidRPr="000977F7">
        <w:rPr>
          <w:rFonts w:asciiTheme="majorHAnsi" w:hAnsiTheme="majorHAnsi"/>
          <w:w w:val="99"/>
          <w:sz w:val="20"/>
          <w:szCs w:val="20"/>
        </w:rPr>
        <w:t>а</w:t>
      </w:r>
      <w:r w:rsidRPr="000977F7">
        <w:rPr>
          <w:rFonts w:asciiTheme="majorHAnsi" w:hAnsiTheme="majorHAnsi"/>
          <w:spacing w:val="-3"/>
          <w:w w:val="99"/>
          <w:sz w:val="20"/>
          <w:szCs w:val="20"/>
        </w:rPr>
        <w:t>д</w:t>
      </w:r>
      <w:r w:rsidRPr="000977F7">
        <w:rPr>
          <w:rFonts w:asciiTheme="majorHAnsi" w:hAnsiTheme="majorHAnsi"/>
          <w:w w:val="99"/>
          <w:sz w:val="20"/>
          <w:szCs w:val="20"/>
        </w:rPr>
        <w:t>:</w:t>
      </w:r>
      <w:r w:rsidRPr="000977F7">
        <w:rPr>
          <w:rFonts w:asciiTheme="majorHAnsi" w:hAnsiTheme="majorHAnsi"/>
          <w:spacing w:val="24"/>
          <w:sz w:val="20"/>
          <w:szCs w:val="20"/>
        </w:rPr>
        <w:t xml:space="preserve"> "</w:t>
      </w:r>
      <w:r w:rsidRPr="000977F7">
        <w:rPr>
          <w:rFonts w:asciiTheme="majorHAnsi" w:hAnsiTheme="majorHAnsi"/>
          <w:spacing w:val="1"/>
          <w:w w:val="99"/>
          <w:sz w:val="20"/>
          <w:szCs w:val="20"/>
        </w:rPr>
        <w:t>о</w:t>
      </w:r>
      <w:r w:rsidRPr="000977F7">
        <w:rPr>
          <w:rFonts w:asciiTheme="majorHAnsi" w:hAnsiTheme="majorHAnsi"/>
          <w:spacing w:val="-3"/>
          <w:w w:val="99"/>
          <w:sz w:val="20"/>
          <w:szCs w:val="20"/>
        </w:rPr>
        <w:t>д</w:t>
      </w:r>
      <w:r w:rsidRPr="000977F7">
        <w:rPr>
          <w:rFonts w:asciiTheme="majorHAnsi" w:hAnsiTheme="majorHAnsi"/>
          <w:spacing w:val="-2"/>
          <w:w w:val="99"/>
          <w:sz w:val="20"/>
          <w:szCs w:val="20"/>
        </w:rPr>
        <w:t>ин</w:t>
      </w:r>
      <w:r w:rsidRPr="000977F7">
        <w:rPr>
          <w:rFonts w:asciiTheme="majorHAnsi" w:hAnsiTheme="majorHAnsi"/>
          <w:spacing w:val="-4"/>
          <w:w w:val="99"/>
          <w:sz w:val="20"/>
          <w:szCs w:val="20"/>
        </w:rPr>
        <w:t>и</w:t>
      </w:r>
      <w:r w:rsidRPr="000977F7">
        <w:rPr>
          <w:rFonts w:asciiTheme="majorHAnsi" w:hAnsiTheme="majorHAnsi"/>
          <w:w w:val="99"/>
          <w:sz w:val="20"/>
          <w:szCs w:val="20"/>
        </w:rPr>
        <w:t>ч</w:t>
      </w:r>
      <w:r w:rsidRPr="000977F7">
        <w:rPr>
          <w:rFonts w:asciiTheme="majorHAnsi" w:hAnsiTheme="majorHAnsi"/>
          <w:spacing w:val="-4"/>
          <w:w w:val="99"/>
          <w:sz w:val="20"/>
          <w:szCs w:val="20"/>
        </w:rPr>
        <w:t>н</w:t>
      </w:r>
      <w:r w:rsidRPr="000977F7">
        <w:rPr>
          <w:rFonts w:asciiTheme="majorHAnsi" w:hAnsiTheme="majorHAnsi"/>
          <w:w w:val="99"/>
          <w:sz w:val="20"/>
          <w:szCs w:val="20"/>
        </w:rPr>
        <w:t>е</w:t>
      </w:r>
      <w:r w:rsidRPr="000977F7">
        <w:rPr>
          <w:rFonts w:asciiTheme="majorHAnsi" w:hAnsiTheme="majorHAnsi"/>
          <w:spacing w:val="22"/>
          <w:sz w:val="20"/>
          <w:szCs w:val="20"/>
        </w:rPr>
        <w:t xml:space="preserve"> </w:t>
      </w:r>
      <w:r w:rsidRPr="000977F7">
        <w:rPr>
          <w:rFonts w:asciiTheme="majorHAnsi" w:hAnsiTheme="majorHAnsi"/>
          <w:spacing w:val="-1"/>
          <w:w w:val="99"/>
          <w:sz w:val="20"/>
          <w:szCs w:val="20"/>
        </w:rPr>
        <w:t>в</w:t>
      </w:r>
      <w:r w:rsidRPr="000977F7">
        <w:rPr>
          <w:rFonts w:asciiTheme="majorHAnsi" w:hAnsiTheme="majorHAnsi"/>
          <w:spacing w:val="-4"/>
          <w:w w:val="99"/>
          <w:sz w:val="20"/>
          <w:szCs w:val="20"/>
        </w:rPr>
        <w:t>и</w:t>
      </w:r>
      <w:r w:rsidRPr="000977F7">
        <w:rPr>
          <w:rFonts w:asciiTheme="majorHAnsi" w:hAnsiTheme="majorHAnsi"/>
          <w:spacing w:val="-2"/>
          <w:w w:val="99"/>
          <w:sz w:val="20"/>
          <w:szCs w:val="20"/>
        </w:rPr>
        <w:t>ро</w:t>
      </w:r>
      <w:r w:rsidRPr="000977F7">
        <w:rPr>
          <w:rFonts w:asciiTheme="majorHAnsi" w:hAnsiTheme="majorHAnsi"/>
          <w:w w:val="99"/>
          <w:sz w:val="20"/>
          <w:szCs w:val="20"/>
        </w:rPr>
        <w:t>б</w:t>
      </w:r>
      <w:r w:rsidRPr="000977F7">
        <w:rPr>
          <w:rFonts w:asciiTheme="majorHAnsi" w:hAnsiTheme="majorHAnsi"/>
          <w:spacing w:val="-2"/>
          <w:w w:val="99"/>
          <w:sz w:val="20"/>
          <w:szCs w:val="20"/>
        </w:rPr>
        <w:t>н</w:t>
      </w:r>
      <w:r w:rsidRPr="000977F7">
        <w:rPr>
          <w:rFonts w:asciiTheme="majorHAnsi" w:hAnsiTheme="majorHAnsi"/>
          <w:spacing w:val="-4"/>
          <w:w w:val="99"/>
          <w:sz w:val="20"/>
          <w:szCs w:val="20"/>
        </w:rPr>
        <w:t>и</w:t>
      </w:r>
      <w:r w:rsidRPr="000977F7">
        <w:rPr>
          <w:rFonts w:asciiTheme="majorHAnsi" w:hAnsiTheme="majorHAnsi"/>
          <w:spacing w:val="1"/>
          <w:w w:val="99"/>
          <w:sz w:val="20"/>
          <w:szCs w:val="20"/>
        </w:rPr>
        <w:t>ц</w:t>
      </w:r>
      <w:r w:rsidRPr="000977F7">
        <w:rPr>
          <w:rFonts w:asciiTheme="majorHAnsi" w:hAnsiTheme="majorHAnsi"/>
          <w:spacing w:val="-1"/>
          <w:w w:val="99"/>
          <w:sz w:val="20"/>
          <w:szCs w:val="20"/>
        </w:rPr>
        <w:t>т</w:t>
      </w:r>
      <w:r w:rsidRPr="000977F7">
        <w:rPr>
          <w:rFonts w:asciiTheme="majorHAnsi" w:hAnsiTheme="majorHAnsi"/>
          <w:spacing w:val="-3"/>
          <w:w w:val="99"/>
          <w:sz w:val="20"/>
          <w:szCs w:val="20"/>
        </w:rPr>
        <w:t>в</w:t>
      </w:r>
      <w:r w:rsidRPr="000977F7">
        <w:rPr>
          <w:rFonts w:asciiTheme="majorHAnsi" w:hAnsiTheme="majorHAnsi"/>
          <w:spacing w:val="-2"/>
          <w:w w:val="99"/>
          <w:sz w:val="20"/>
          <w:szCs w:val="20"/>
        </w:rPr>
        <w:t>о"</w:t>
      </w:r>
      <w:r w:rsidRPr="000977F7">
        <w:rPr>
          <w:rFonts w:asciiTheme="majorHAnsi" w:hAnsiTheme="majorHAnsi"/>
          <w:w w:val="99"/>
          <w:sz w:val="20"/>
          <w:szCs w:val="20"/>
        </w:rPr>
        <w:t>,</w:t>
      </w:r>
      <w:r w:rsidRPr="000977F7">
        <w:rPr>
          <w:rFonts w:asciiTheme="majorHAnsi" w:hAnsiTheme="majorHAnsi"/>
          <w:spacing w:val="-2"/>
          <w:sz w:val="20"/>
          <w:szCs w:val="20"/>
        </w:rPr>
        <w:t xml:space="preserve"> "</w:t>
      </w:r>
      <w:r w:rsidRPr="000977F7">
        <w:rPr>
          <w:rFonts w:asciiTheme="majorHAnsi" w:hAnsiTheme="majorHAnsi"/>
          <w:spacing w:val="-2"/>
          <w:w w:val="99"/>
          <w:sz w:val="20"/>
          <w:szCs w:val="20"/>
        </w:rPr>
        <w:t>сер</w:t>
      </w:r>
      <w:r w:rsidRPr="000977F7">
        <w:rPr>
          <w:rFonts w:asciiTheme="majorHAnsi" w:hAnsiTheme="majorHAnsi"/>
          <w:w w:val="99"/>
          <w:sz w:val="20"/>
          <w:szCs w:val="20"/>
        </w:rPr>
        <w:t>і</w:t>
      </w:r>
      <w:r w:rsidRPr="000977F7">
        <w:rPr>
          <w:rFonts w:asciiTheme="majorHAnsi" w:hAnsiTheme="majorHAnsi"/>
          <w:spacing w:val="-2"/>
          <w:w w:val="99"/>
          <w:sz w:val="20"/>
          <w:szCs w:val="20"/>
        </w:rPr>
        <w:t>й</w:t>
      </w:r>
      <w:r w:rsidRPr="000977F7">
        <w:rPr>
          <w:rFonts w:asciiTheme="majorHAnsi" w:hAnsiTheme="majorHAnsi"/>
          <w:spacing w:val="-4"/>
          <w:w w:val="99"/>
          <w:sz w:val="20"/>
          <w:szCs w:val="20"/>
        </w:rPr>
        <w:t>н</w:t>
      </w:r>
      <w:r w:rsidRPr="000977F7">
        <w:rPr>
          <w:rFonts w:asciiTheme="majorHAnsi" w:hAnsiTheme="majorHAnsi"/>
          <w:w w:val="99"/>
          <w:sz w:val="20"/>
          <w:szCs w:val="20"/>
        </w:rPr>
        <w:t>е</w:t>
      </w:r>
      <w:r w:rsidRPr="000977F7">
        <w:rPr>
          <w:rFonts w:asciiTheme="majorHAnsi" w:hAnsiTheme="majorHAnsi"/>
          <w:spacing w:val="-4"/>
          <w:sz w:val="20"/>
          <w:szCs w:val="20"/>
        </w:rPr>
        <w:t xml:space="preserve"> </w:t>
      </w:r>
      <w:r w:rsidRPr="000977F7">
        <w:rPr>
          <w:rFonts w:asciiTheme="majorHAnsi" w:hAnsiTheme="majorHAnsi"/>
          <w:spacing w:val="-1"/>
          <w:w w:val="99"/>
          <w:sz w:val="20"/>
          <w:szCs w:val="20"/>
        </w:rPr>
        <w:t>в</w:t>
      </w:r>
      <w:r w:rsidRPr="000977F7">
        <w:rPr>
          <w:rFonts w:asciiTheme="majorHAnsi" w:hAnsiTheme="majorHAnsi"/>
          <w:spacing w:val="-4"/>
          <w:w w:val="99"/>
          <w:sz w:val="20"/>
          <w:szCs w:val="20"/>
        </w:rPr>
        <w:t>и</w:t>
      </w:r>
      <w:r w:rsidRPr="000977F7">
        <w:rPr>
          <w:rFonts w:asciiTheme="majorHAnsi" w:hAnsiTheme="majorHAnsi"/>
          <w:spacing w:val="-2"/>
          <w:w w:val="99"/>
          <w:sz w:val="20"/>
          <w:szCs w:val="20"/>
        </w:rPr>
        <w:t>ро</w:t>
      </w:r>
      <w:r w:rsidRPr="000977F7">
        <w:rPr>
          <w:rFonts w:asciiTheme="majorHAnsi" w:hAnsiTheme="majorHAnsi"/>
          <w:w w:val="99"/>
          <w:sz w:val="20"/>
          <w:szCs w:val="20"/>
        </w:rPr>
        <w:t>б</w:t>
      </w:r>
      <w:r w:rsidRPr="000977F7">
        <w:rPr>
          <w:rFonts w:asciiTheme="majorHAnsi" w:hAnsiTheme="majorHAnsi"/>
          <w:spacing w:val="-2"/>
          <w:w w:val="99"/>
          <w:sz w:val="20"/>
          <w:szCs w:val="20"/>
        </w:rPr>
        <w:t>ни</w:t>
      </w:r>
      <w:r w:rsidRPr="000977F7">
        <w:rPr>
          <w:rFonts w:asciiTheme="majorHAnsi" w:hAnsiTheme="majorHAnsi"/>
          <w:spacing w:val="-4"/>
          <w:w w:val="99"/>
          <w:sz w:val="20"/>
          <w:szCs w:val="20"/>
        </w:rPr>
        <w:t>ц</w:t>
      </w:r>
      <w:r w:rsidRPr="000977F7">
        <w:rPr>
          <w:rFonts w:asciiTheme="majorHAnsi" w:hAnsiTheme="majorHAnsi"/>
          <w:spacing w:val="-1"/>
          <w:w w:val="99"/>
          <w:sz w:val="20"/>
          <w:szCs w:val="20"/>
        </w:rPr>
        <w:t>т</w:t>
      </w:r>
      <w:r w:rsidRPr="000977F7">
        <w:rPr>
          <w:rFonts w:asciiTheme="majorHAnsi" w:hAnsiTheme="majorHAnsi"/>
          <w:spacing w:val="-3"/>
          <w:w w:val="99"/>
          <w:sz w:val="20"/>
          <w:szCs w:val="20"/>
        </w:rPr>
        <w:t>в</w:t>
      </w:r>
      <w:r w:rsidRPr="000977F7">
        <w:rPr>
          <w:rFonts w:asciiTheme="majorHAnsi" w:hAnsiTheme="majorHAnsi"/>
          <w:spacing w:val="-2"/>
          <w:w w:val="99"/>
          <w:sz w:val="20"/>
          <w:szCs w:val="20"/>
        </w:rPr>
        <w:t>о"</w:t>
      </w:r>
      <w:r w:rsidRPr="000977F7">
        <w:rPr>
          <w:rFonts w:asciiTheme="majorHAnsi" w:hAnsiTheme="majorHAnsi"/>
          <w:w w:val="99"/>
          <w:sz w:val="20"/>
          <w:szCs w:val="20"/>
        </w:rPr>
        <w:t>,</w:t>
      </w:r>
      <w:r w:rsidRPr="000977F7">
        <w:rPr>
          <w:rFonts w:asciiTheme="majorHAnsi" w:hAnsiTheme="majorHAnsi"/>
          <w:spacing w:val="-2"/>
          <w:sz w:val="20"/>
          <w:szCs w:val="20"/>
        </w:rPr>
        <w:t xml:space="preserve"> "</w:t>
      </w:r>
      <w:r w:rsidRPr="000977F7">
        <w:rPr>
          <w:rFonts w:asciiTheme="majorHAnsi" w:hAnsiTheme="majorHAnsi"/>
          <w:spacing w:val="-2"/>
          <w:w w:val="99"/>
          <w:sz w:val="20"/>
          <w:szCs w:val="20"/>
        </w:rPr>
        <w:t>мас</w:t>
      </w:r>
      <w:r w:rsidRPr="000977F7">
        <w:rPr>
          <w:rFonts w:asciiTheme="majorHAnsi" w:hAnsiTheme="majorHAnsi"/>
          <w:spacing w:val="1"/>
          <w:w w:val="99"/>
          <w:sz w:val="20"/>
          <w:szCs w:val="20"/>
        </w:rPr>
        <w:t>о</w:t>
      </w:r>
      <w:r w:rsidRPr="000977F7">
        <w:rPr>
          <w:rFonts w:asciiTheme="majorHAnsi" w:hAnsiTheme="majorHAnsi"/>
          <w:spacing w:val="-3"/>
          <w:w w:val="99"/>
          <w:sz w:val="20"/>
          <w:szCs w:val="20"/>
        </w:rPr>
        <w:t>в</w:t>
      </w:r>
      <w:r w:rsidRPr="000977F7">
        <w:rPr>
          <w:rFonts w:asciiTheme="majorHAnsi" w:hAnsiTheme="majorHAnsi"/>
          <w:w w:val="99"/>
          <w:sz w:val="20"/>
          <w:szCs w:val="20"/>
        </w:rPr>
        <w:t>е</w:t>
      </w:r>
      <w:r w:rsidRPr="000977F7">
        <w:rPr>
          <w:rFonts w:asciiTheme="majorHAnsi" w:hAnsiTheme="majorHAnsi"/>
          <w:spacing w:val="-4"/>
          <w:sz w:val="20"/>
          <w:szCs w:val="20"/>
        </w:rPr>
        <w:t xml:space="preserve"> </w:t>
      </w:r>
      <w:r w:rsidRPr="000977F7">
        <w:rPr>
          <w:rFonts w:asciiTheme="majorHAnsi" w:hAnsiTheme="majorHAnsi"/>
          <w:spacing w:val="-1"/>
          <w:w w:val="99"/>
          <w:sz w:val="20"/>
          <w:szCs w:val="20"/>
        </w:rPr>
        <w:t>в</w:t>
      </w:r>
      <w:r w:rsidRPr="000977F7">
        <w:rPr>
          <w:rFonts w:asciiTheme="majorHAnsi" w:hAnsiTheme="majorHAnsi"/>
          <w:spacing w:val="-4"/>
          <w:w w:val="99"/>
          <w:sz w:val="20"/>
          <w:szCs w:val="20"/>
        </w:rPr>
        <w:t>и</w:t>
      </w:r>
      <w:r w:rsidRPr="000977F7">
        <w:rPr>
          <w:rFonts w:asciiTheme="majorHAnsi" w:hAnsiTheme="majorHAnsi"/>
          <w:spacing w:val="-2"/>
          <w:w w:val="99"/>
          <w:sz w:val="20"/>
          <w:szCs w:val="20"/>
        </w:rPr>
        <w:t>ро</w:t>
      </w:r>
      <w:r w:rsidRPr="000977F7">
        <w:rPr>
          <w:rFonts w:asciiTheme="majorHAnsi" w:hAnsiTheme="majorHAnsi"/>
          <w:w w:val="99"/>
          <w:sz w:val="20"/>
          <w:szCs w:val="20"/>
        </w:rPr>
        <w:t>б</w:t>
      </w:r>
      <w:r w:rsidRPr="000977F7">
        <w:rPr>
          <w:rFonts w:asciiTheme="majorHAnsi" w:hAnsiTheme="majorHAnsi"/>
          <w:spacing w:val="-2"/>
          <w:w w:val="99"/>
          <w:sz w:val="20"/>
          <w:szCs w:val="20"/>
        </w:rPr>
        <w:t>ни</w:t>
      </w:r>
      <w:r w:rsidRPr="000977F7">
        <w:rPr>
          <w:rFonts w:asciiTheme="majorHAnsi" w:hAnsiTheme="majorHAnsi"/>
          <w:spacing w:val="-4"/>
          <w:w w:val="99"/>
          <w:sz w:val="20"/>
          <w:szCs w:val="20"/>
        </w:rPr>
        <w:t>ц</w:t>
      </w:r>
      <w:r w:rsidRPr="000977F7">
        <w:rPr>
          <w:rFonts w:asciiTheme="majorHAnsi" w:hAnsiTheme="majorHAnsi"/>
          <w:spacing w:val="-1"/>
          <w:w w:val="99"/>
          <w:sz w:val="20"/>
          <w:szCs w:val="20"/>
        </w:rPr>
        <w:t>т</w:t>
      </w:r>
      <w:r w:rsidRPr="000977F7">
        <w:rPr>
          <w:rFonts w:asciiTheme="majorHAnsi" w:hAnsiTheme="majorHAnsi"/>
          <w:spacing w:val="-3"/>
          <w:w w:val="99"/>
          <w:sz w:val="20"/>
          <w:szCs w:val="20"/>
        </w:rPr>
        <w:t>в</w:t>
      </w:r>
      <w:r w:rsidRPr="000977F7">
        <w:rPr>
          <w:rFonts w:asciiTheme="majorHAnsi" w:hAnsiTheme="majorHAnsi"/>
          <w:spacing w:val="-2"/>
          <w:w w:val="99"/>
          <w:sz w:val="20"/>
          <w:szCs w:val="20"/>
        </w:rPr>
        <w:t>о"</w:t>
      </w:r>
    </w:p>
    <w:p w14:paraId="02545944"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3278-95</w:t>
      </w:r>
    </w:p>
    <w:p w14:paraId="78F140AB" w14:textId="77777777" w:rsidR="0097612F" w:rsidRPr="004D2D14" w:rsidRDefault="0097612F" w:rsidP="000977F7">
      <w:pPr>
        <w:tabs>
          <w:tab w:val="left" w:pos="284"/>
        </w:tabs>
        <w:spacing w:after="0" w:line="240" w:lineRule="auto"/>
        <w:ind w:left="170"/>
        <w:mirrorIndents/>
        <w:jc w:val="both"/>
        <w:rPr>
          <w:rFonts w:asciiTheme="majorHAnsi" w:hAnsiTheme="majorHAnsi"/>
          <w:spacing w:val="1"/>
          <w:sz w:val="20"/>
          <w:szCs w:val="20"/>
          <w:lang w:val="en-US"/>
        </w:rPr>
      </w:pPr>
      <w:r w:rsidRPr="000977F7">
        <w:rPr>
          <w:rFonts w:asciiTheme="majorHAnsi" w:hAnsiTheme="majorHAnsi"/>
          <w:b/>
          <w:sz w:val="20"/>
          <w:szCs w:val="20"/>
        </w:rPr>
        <w:t>ВИРОБНИЧА</w:t>
      </w:r>
      <w:r w:rsidRPr="004D2D14">
        <w:rPr>
          <w:rFonts w:asciiTheme="majorHAnsi" w:hAnsiTheme="majorHAnsi"/>
          <w:b/>
          <w:sz w:val="20"/>
          <w:szCs w:val="20"/>
          <w:lang w:val="en-US"/>
        </w:rPr>
        <w:t xml:space="preserve"> </w:t>
      </w:r>
      <w:r w:rsidRPr="000977F7">
        <w:rPr>
          <w:rFonts w:asciiTheme="majorHAnsi" w:hAnsiTheme="majorHAnsi"/>
          <w:b/>
          <w:sz w:val="20"/>
          <w:szCs w:val="20"/>
        </w:rPr>
        <w:t>ВІДМОВА</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p>
    <w:p w14:paraId="5A4ADE74"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MANUFACTURING</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0544DC24" w14:textId="77777777" w:rsidR="0097612F" w:rsidRPr="000977F7" w:rsidRDefault="0097612F" w:rsidP="000977F7">
      <w:pPr>
        <w:pStyle w:val="af6"/>
        <w:tabs>
          <w:tab w:val="left" w:pos="284"/>
          <w:tab w:val="left" w:pos="1113"/>
          <w:tab w:val="left" w:pos="2329"/>
          <w:tab w:val="left" w:pos="3928"/>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Відмова, спричинена невідповідністю </w:t>
      </w:r>
      <w:r w:rsidRPr="000977F7">
        <w:rPr>
          <w:rFonts w:asciiTheme="majorHAnsi" w:hAnsiTheme="majorHAnsi"/>
          <w:spacing w:val="-2"/>
          <w:sz w:val="20"/>
          <w:szCs w:val="20"/>
        </w:rPr>
        <w:t xml:space="preserve">виготовлення </w:t>
      </w:r>
      <w:r w:rsidRPr="000977F7">
        <w:rPr>
          <w:rFonts w:asciiTheme="majorHAnsi" w:hAnsiTheme="majorHAnsi"/>
          <w:spacing w:val="-1"/>
          <w:sz w:val="20"/>
          <w:szCs w:val="20"/>
        </w:rPr>
        <w:t xml:space="preserve">об’єкта до його проекту чи до норм виробничого </w:t>
      </w:r>
      <w:r w:rsidRPr="000977F7">
        <w:rPr>
          <w:rFonts w:asciiTheme="majorHAnsi" w:hAnsiTheme="majorHAnsi"/>
          <w:sz w:val="20"/>
          <w:szCs w:val="20"/>
        </w:rPr>
        <w:t>процесу</w:t>
      </w:r>
    </w:p>
    <w:p w14:paraId="3DBDF5F1" w14:textId="77777777" w:rsidR="0097612F" w:rsidRPr="000977F7" w:rsidRDefault="0097612F" w:rsidP="000977F7">
      <w:pPr>
        <w:pStyle w:val="af6"/>
        <w:tabs>
          <w:tab w:val="left" w:pos="284"/>
          <w:tab w:val="left" w:pos="1113"/>
          <w:tab w:val="left" w:pos="2329"/>
          <w:tab w:val="left" w:pos="3928"/>
        </w:tabs>
        <w:spacing w:after="0"/>
        <w:ind w:left="170"/>
        <w:mirrorIndents/>
        <w:jc w:val="both"/>
        <w:rPr>
          <w:rFonts w:asciiTheme="majorHAnsi" w:hAnsiTheme="majorHAnsi"/>
          <w:i/>
          <w:sz w:val="20"/>
          <w:szCs w:val="20"/>
        </w:rPr>
      </w:pPr>
      <w:r w:rsidRPr="000977F7">
        <w:rPr>
          <w:rFonts w:asciiTheme="majorHAnsi" w:hAnsiTheme="majorHAnsi"/>
          <w:spacing w:val="-47"/>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B91067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ВИРОБНИЧА</w:t>
      </w:r>
      <w:r w:rsidRPr="000977F7">
        <w:rPr>
          <w:color w:val="auto"/>
          <w:spacing w:val="-4"/>
          <w:sz w:val="20"/>
          <w:szCs w:val="20"/>
        </w:rPr>
        <w:t xml:space="preserve"> </w:t>
      </w:r>
      <w:r w:rsidRPr="000977F7">
        <w:rPr>
          <w:color w:val="auto"/>
          <w:sz w:val="20"/>
          <w:szCs w:val="20"/>
        </w:rPr>
        <w:t>ДІЛЬНИЦЯ –</w:t>
      </w:r>
    </w:p>
    <w:p w14:paraId="45B24D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Структурний</w:t>
      </w:r>
      <w:r w:rsidRPr="000977F7">
        <w:rPr>
          <w:rFonts w:asciiTheme="majorHAnsi" w:hAnsiTheme="majorHAnsi"/>
          <w:spacing w:val="1"/>
          <w:sz w:val="20"/>
          <w:szCs w:val="20"/>
        </w:rPr>
        <w:t xml:space="preserve"> </w:t>
      </w:r>
      <w:r w:rsidRPr="000977F7">
        <w:rPr>
          <w:rFonts w:asciiTheme="majorHAnsi" w:hAnsiTheme="majorHAnsi"/>
          <w:sz w:val="20"/>
          <w:szCs w:val="20"/>
        </w:rPr>
        <w:t>підрозділ</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цеху,</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об’єднує групу робочих місць, організованих за предметним, технологічним або предметно-технологічним</w:t>
      </w:r>
      <w:r w:rsidRPr="000977F7">
        <w:rPr>
          <w:rFonts w:asciiTheme="majorHAnsi" w:hAnsiTheme="majorHAnsi"/>
          <w:spacing w:val="1"/>
          <w:sz w:val="20"/>
          <w:szCs w:val="20"/>
        </w:rPr>
        <w:t xml:space="preserve"> </w:t>
      </w:r>
      <w:r w:rsidRPr="000977F7">
        <w:rPr>
          <w:rFonts w:asciiTheme="majorHAnsi" w:hAnsiTheme="majorHAnsi"/>
          <w:sz w:val="20"/>
          <w:szCs w:val="20"/>
        </w:rPr>
        <w:t>принципом спеціалізації</w:t>
      </w:r>
    </w:p>
    <w:p w14:paraId="645B2AD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 – 94;</w:t>
      </w:r>
      <w:r w:rsidRPr="000977F7">
        <w:rPr>
          <w:rFonts w:asciiTheme="majorHAnsi" w:hAnsiTheme="majorHAnsi"/>
          <w:i/>
          <w:spacing w:val="-2"/>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2974</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18871BA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ВИРОБНИЧА КОНСТРУКТОРСЬКА </w:t>
      </w:r>
    </w:p>
    <w:p w14:paraId="123D7DB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ДОКУМЕ</w:t>
      </w:r>
      <w:r w:rsidRPr="000977F7">
        <w:rPr>
          <w:color w:val="auto"/>
          <w:spacing w:val="-47"/>
          <w:sz w:val="20"/>
          <w:szCs w:val="20"/>
        </w:rPr>
        <w:t xml:space="preserve"> </w:t>
      </w:r>
      <w:r w:rsidRPr="000977F7">
        <w:rPr>
          <w:color w:val="auto"/>
          <w:sz w:val="20"/>
          <w:szCs w:val="20"/>
        </w:rPr>
        <w:t>НТАЦІЯ</w:t>
      </w:r>
      <w:r w:rsidRPr="000977F7">
        <w:rPr>
          <w:color w:val="auto"/>
          <w:spacing w:val="-1"/>
          <w:sz w:val="20"/>
          <w:szCs w:val="20"/>
        </w:rPr>
        <w:t xml:space="preserve"> </w:t>
      </w:r>
      <w:r w:rsidRPr="000977F7">
        <w:rPr>
          <w:color w:val="auto"/>
          <w:sz w:val="20"/>
          <w:szCs w:val="20"/>
        </w:rPr>
        <w:t>–</w:t>
      </w:r>
    </w:p>
    <w:p w14:paraId="5C0C7BF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Робоча</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конструкторська</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документація,</w:t>
      </w:r>
      <w:r w:rsidRPr="000977F7">
        <w:rPr>
          <w:rFonts w:asciiTheme="majorHAnsi" w:hAnsiTheme="majorHAnsi"/>
          <w:spacing w:val="51"/>
          <w:sz w:val="20"/>
          <w:szCs w:val="20"/>
        </w:rPr>
        <w:t xml:space="preserve"> </w:t>
      </w:r>
      <w:r w:rsidRPr="000977F7">
        <w:rPr>
          <w:rFonts w:asciiTheme="majorHAnsi" w:hAnsiTheme="majorHAnsi"/>
          <w:sz w:val="20"/>
          <w:szCs w:val="20"/>
        </w:rPr>
        <w:t>призначена</w:t>
      </w:r>
      <w:r w:rsidRPr="000977F7">
        <w:rPr>
          <w:rFonts w:asciiTheme="majorHAnsi" w:hAnsiTheme="majorHAnsi"/>
          <w:spacing w:val="-47"/>
          <w:sz w:val="20"/>
          <w:szCs w:val="20"/>
        </w:rPr>
        <w:t xml:space="preserve"> </w:t>
      </w:r>
      <w:r w:rsidRPr="000977F7">
        <w:rPr>
          <w:rFonts w:asciiTheme="majorHAnsi" w:hAnsiTheme="majorHAnsi"/>
          <w:sz w:val="20"/>
          <w:szCs w:val="20"/>
        </w:rPr>
        <w:t>для забезпечення виготовлення, контролю, приймання</w:t>
      </w:r>
      <w:r w:rsidRPr="000977F7">
        <w:rPr>
          <w:rFonts w:asciiTheme="majorHAnsi" w:hAnsiTheme="majorHAnsi"/>
          <w:spacing w:val="-47"/>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постачання</w:t>
      </w:r>
      <w:r w:rsidRPr="000977F7">
        <w:rPr>
          <w:rFonts w:asciiTheme="majorHAnsi" w:hAnsiTheme="majorHAnsi"/>
          <w:spacing w:val="2"/>
          <w:sz w:val="20"/>
          <w:szCs w:val="20"/>
        </w:rPr>
        <w:t xml:space="preserve"> </w:t>
      </w:r>
      <w:r w:rsidRPr="000977F7">
        <w:rPr>
          <w:rFonts w:asciiTheme="majorHAnsi" w:hAnsiTheme="majorHAnsi"/>
          <w:sz w:val="20"/>
          <w:szCs w:val="20"/>
        </w:rPr>
        <w:t>виробу</w:t>
      </w:r>
    </w:p>
    <w:p w14:paraId="65FDA70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EFE672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 видів виробничої документації належать конструкторська</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документація</w:t>
      </w:r>
      <w:r w:rsidRPr="000977F7">
        <w:rPr>
          <w:rFonts w:asciiTheme="majorHAnsi" w:hAnsiTheme="majorHAnsi"/>
          <w:spacing w:val="1"/>
          <w:sz w:val="20"/>
          <w:szCs w:val="20"/>
        </w:rPr>
        <w:t xml:space="preserve"> </w:t>
      </w:r>
      <w:r w:rsidRPr="000977F7">
        <w:rPr>
          <w:rFonts w:asciiTheme="majorHAnsi" w:hAnsiTheme="majorHAnsi"/>
          <w:sz w:val="20"/>
          <w:szCs w:val="20"/>
        </w:rPr>
        <w:t>дослідного</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документація дослідного зразка та (чи) дослідної партії</w:t>
      </w:r>
      <w:r w:rsidRPr="000977F7">
        <w:rPr>
          <w:rFonts w:asciiTheme="majorHAnsi" w:hAnsiTheme="majorHAnsi"/>
          <w:spacing w:val="-2"/>
          <w:sz w:val="20"/>
          <w:szCs w:val="20"/>
        </w:rPr>
        <w:t xml:space="preserve"> </w:t>
      </w:r>
      <w:r w:rsidRPr="000977F7">
        <w:rPr>
          <w:rFonts w:asciiTheme="majorHAnsi" w:hAnsiTheme="majorHAnsi"/>
          <w:sz w:val="20"/>
          <w:szCs w:val="20"/>
        </w:rPr>
        <w:t>виробів,</w:t>
      </w:r>
      <w:r w:rsidRPr="000977F7">
        <w:rPr>
          <w:rFonts w:asciiTheme="majorHAnsi" w:hAnsiTheme="majorHAnsi"/>
          <w:spacing w:val="1"/>
          <w:sz w:val="20"/>
          <w:szCs w:val="20"/>
        </w:rPr>
        <w:t xml:space="preserve"> </w:t>
      </w:r>
      <w:r w:rsidRPr="000977F7">
        <w:rPr>
          <w:rFonts w:asciiTheme="majorHAnsi" w:hAnsiTheme="majorHAnsi"/>
          <w:sz w:val="20"/>
          <w:szCs w:val="20"/>
        </w:rPr>
        <w:t>установчої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головної</w:t>
      </w:r>
      <w:r w:rsidRPr="000977F7">
        <w:rPr>
          <w:rFonts w:asciiTheme="majorHAnsi" w:hAnsiTheme="majorHAnsi"/>
          <w:spacing w:val="-1"/>
          <w:sz w:val="20"/>
          <w:szCs w:val="20"/>
        </w:rPr>
        <w:t xml:space="preserve"> </w:t>
      </w:r>
      <w:r w:rsidRPr="000977F7">
        <w:rPr>
          <w:rFonts w:asciiTheme="majorHAnsi" w:hAnsiTheme="majorHAnsi"/>
          <w:sz w:val="20"/>
          <w:szCs w:val="20"/>
        </w:rPr>
        <w:t>серії</w:t>
      </w:r>
    </w:p>
    <w:p w14:paraId="10C81D4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681926E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ВИРОБНИЧА</w:t>
      </w:r>
      <w:r w:rsidRPr="000977F7">
        <w:rPr>
          <w:color w:val="auto"/>
          <w:spacing w:val="-6"/>
          <w:sz w:val="20"/>
          <w:szCs w:val="20"/>
        </w:rPr>
        <w:t xml:space="preserve"> </w:t>
      </w:r>
      <w:r w:rsidRPr="000977F7">
        <w:rPr>
          <w:color w:val="auto"/>
          <w:sz w:val="20"/>
          <w:szCs w:val="20"/>
        </w:rPr>
        <w:t>НЕСПРАВНІСТЬ</w:t>
      </w:r>
      <w:r w:rsidRPr="000977F7">
        <w:rPr>
          <w:color w:val="auto"/>
          <w:spacing w:val="-2"/>
          <w:sz w:val="20"/>
          <w:szCs w:val="20"/>
        </w:rPr>
        <w:t xml:space="preserve"> </w:t>
      </w:r>
      <w:r w:rsidRPr="000977F7">
        <w:rPr>
          <w:color w:val="auto"/>
          <w:sz w:val="20"/>
          <w:szCs w:val="20"/>
        </w:rPr>
        <w:t>–</w:t>
      </w:r>
    </w:p>
    <w:p w14:paraId="27F575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MANUFACTURING</w:t>
      </w:r>
      <w:r w:rsidRPr="000977F7">
        <w:rPr>
          <w:rFonts w:asciiTheme="majorHAnsi" w:hAnsiTheme="majorHAnsi"/>
          <w:spacing w:val="-3"/>
          <w:sz w:val="20"/>
          <w:szCs w:val="20"/>
        </w:rPr>
        <w:t xml:space="preserve"> </w:t>
      </w:r>
      <w:r w:rsidRPr="000977F7">
        <w:rPr>
          <w:rFonts w:asciiTheme="majorHAnsi" w:hAnsiTheme="majorHAnsi"/>
          <w:sz w:val="20"/>
          <w:szCs w:val="20"/>
        </w:rPr>
        <w:t>FAULT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0E969D7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Несправність,</w:t>
      </w:r>
      <w:r w:rsidRPr="000977F7">
        <w:rPr>
          <w:rFonts w:asciiTheme="majorHAnsi" w:hAnsiTheme="majorHAnsi"/>
          <w:spacing w:val="1"/>
          <w:sz w:val="20"/>
          <w:szCs w:val="20"/>
        </w:rPr>
        <w:t xml:space="preserve"> </w:t>
      </w:r>
      <w:r w:rsidRPr="000977F7">
        <w:rPr>
          <w:rFonts w:asciiTheme="majorHAnsi" w:hAnsiTheme="majorHAnsi"/>
          <w:sz w:val="20"/>
          <w:szCs w:val="20"/>
        </w:rPr>
        <w:t>спричинена</w:t>
      </w:r>
      <w:r w:rsidRPr="000977F7">
        <w:rPr>
          <w:rFonts w:asciiTheme="majorHAnsi" w:hAnsiTheme="majorHAnsi"/>
          <w:spacing w:val="1"/>
          <w:sz w:val="20"/>
          <w:szCs w:val="20"/>
        </w:rPr>
        <w:t xml:space="preserve"> </w:t>
      </w:r>
      <w:r w:rsidRPr="000977F7">
        <w:rPr>
          <w:rFonts w:asciiTheme="majorHAnsi" w:hAnsiTheme="majorHAnsi"/>
          <w:sz w:val="20"/>
          <w:szCs w:val="20"/>
        </w:rPr>
        <w:t>невідповідністю</w:t>
      </w:r>
      <w:r w:rsidRPr="000977F7">
        <w:rPr>
          <w:rFonts w:asciiTheme="majorHAnsi" w:hAnsiTheme="majorHAnsi"/>
          <w:spacing w:val="1"/>
          <w:sz w:val="20"/>
          <w:szCs w:val="20"/>
        </w:rPr>
        <w:t xml:space="preserve"> </w:t>
      </w:r>
      <w:r w:rsidRPr="000977F7">
        <w:rPr>
          <w:rFonts w:asciiTheme="majorHAnsi" w:hAnsiTheme="majorHAnsi"/>
          <w:sz w:val="20"/>
          <w:szCs w:val="20"/>
        </w:rPr>
        <w:t>ходу</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 проекту об’єкта чи установленим</w:t>
      </w:r>
      <w:r w:rsidRPr="000977F7">
        <w:rPr>
          <w:rFonts w:asciiTheme="majorHAnsi" w:hAnsiTheme="majorHAnsi"/>
          <w:spacing w:val="1"/>
          <w:sz w:val="20"/>
          <w:szCs w:val="20"/>
        </w:rPr>
        <w:t xml:space="preserve"> </w:t>
      </w:r>
      <w:r w:rsidRPr="000977F7">
        <w:rPr>
          <w:rFonts w:asciiTheme="majorHAnsi" w:hAnsiTheme="majorHAnsi"/>
          <w:sz w:val="20"/>
          <w:szCs w:val="20"/>
        </w:rPr>
        <w:t>виробничим процесам</w:t>
      </w:r>
    </w:p>
    <w:p w14:paraId="432328C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6E1537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ВИРОБНИЧА</w:t>
      </w:r>
      <w:r w:rsidRPr="000977F7">
        <w:rPr>
          <w:color w:val="auto"/>
          <w:spacing w:val="-4"/>
          <w:sz w:val="20"/>
          <w:szCs w:val="20"/>
        </w:rPr>
        <w:t xml:space="preserve"> </w:t>
      </w:r>
      <w:r w:rsidRPr="000977F7">
        <w:rPr>
          <w:color w:val="auto"/>
          <w:sz w:val="20"/>
          <w:szCs w:val="20"/>
        </w:rPr>
        <w:t>ОПЕРАЦІЯ</w:t>
      </w:r>
      <w:r w:rsidRPr="000977F7">
        <w:rPr>
          <w:color w:val="auto"/>
          <w:spacing w:val="-1"/>
          <w:sz w:val="20"/>
          <w:szCs w:val="20"/>
        </w:rPr>
        <w:t xml:space="preserve"> </w:t>
      </w:r>
      <w:r w:rsidRPr="000977F7">
        <w:rPr>
          <w:color w:val="auto"/>
          <w:sz w:val="20"/>
          <w:szCs w:val="20"/>
        </w:rPr>
        <w:t>–</w:t>
      </w:r>
    </w:p>
    <w:p w14:paraId="7D4C7E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1"/>
          <w:sz w:val="20"/>
          <w:szCs w:val="20"/>
        </w:rPr>
        <w:t xml:space="preserve"> </w:t>
      </w:r>
      <w:r w:rsidRPr="000977F7">
        <w:rPr>
          <w:rFonts w:asciiTheme="majorHAnsi" w:hAnsiTheme="majorHAnsi"/>
          <w:sz w:val="20"/>
          <w:szCs w:val="20"/>
        </w:rPr>
        <w:t>виробничого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чітко</w:t>
      </w:r>
      <w:r w:rsidRPr="000977F7">
        <w:rPr>
          <w:rFonts w:asciiTheme="majorHAnsi" w:hAnsiTheme="majorHAnsi"/>
          <w:spacing w:val="1"/>
          <w:sz w:val="20"/>
          <w:szCs w:val="20"/>
        </w:rPr>
        <w:t xml:space="preserve"> </w:t>
      </w:r>
      <w:r w:rsidRPr="000977F7">
        <w:rPr>
          <w:rFonts w:asciiTheme="majorHAnsi" w:hAnsiTheme="majorHAnsi"/>
          <w:sz w:val="20"/>
          <w:szCs w:val="20"/>
        </w:rPr>
        <w:t>визначеними</w:t>
      </w:r>
      <w:r w:rsidRPr="000977F7">
        <w:rPr>
          <w:rFonts w:asciiTheme="majorHAnsi" w:hAnsiTheme="majorHAnsi"/>
          <w:spacing w:val="1"/>
          <w:sz w:val="20"/>
          <w:szCs w:val="20"/>
        </w:rPr>
        <w:t xml:space="preserve"> </w:t>
      </w:r>
      <w:r w:rsidRPr="000977F7">
        <w:rPr>
          <w:rFonts w:asciiTheme="majorHAnsi" w:hAnsiTheme="majorHAnsi"/>
          <w:sz w:val="20"/>
          <w:szCs w:val="20"/>
        </w:rPr>
        <w:t>метою та результатом, яка виконується за допомогою</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відповідного устаткування певним складом виконавців</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без</w:t>
      </w:r>
      <w:r w:rsidRPr="000977F7">
        <w:rPr>
          <w:rFonts w:asciiTheme="majorHAnsi" w:hAnsiTheme="majorHAnsi"/>
          <w:spacing w:val="2"/>
          <w:sz w:val="20"/>
          <w:szCs w:val="20"/>
        </w:rPr>
        <w:t xml:space="preserve"> </w:t>
      </w:r>
      <w:r w:rsidRPr="000977F7">
        <w:rPr>
          <w:rFonts w:asciiTheme="majorHAnsi" w:hAnsiTheme="majorHAnsi"/>
          <w:sz w:val="20"/>
          <w:szCs w:val="20"/>
        </w:rPr>
        <w:t>участі</w:t>
      </w:r>
      <w:r w:rsidRPr="000977F7">
        <w:rPr>
          <w:rFonts w:asciiTheme="majorHAnsi" w:hAnsiTheme="majorHAnsi"/>
          <w:spacing w:val="1"/>
          <w:sz w:val="20"/>
          <w:szCs w:val="20"/>
        </w:rPr>
        <w:t xml:space="preserve"> </w:t>
      </w:r>
      <w:r w:rsidRPr="000977F7">
        <w:rPr>
          <w:rFonts w:asciiTheme="majorHAnsi" w:hAnsiTheme="majorHAnsi"/>
          <w:sz w:val="20"/>
          <w:szCs w:val="20"/>
        </w:rPr>
        <w:t>людини</w:t>
      </w:r>
    </w:p>
    <w:p w14:paraId="7A8CE04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098449E1" w14:textId="77777777" w:rsidR="0097612F" w:rsidRPr="000977F7" w:rsidRDefault="0097612F" w:rsidP="00FD39A4">
      <w:pPr>
        <w:pStyle w:val="ac"/>
        <w:widowControl w:val="0"/>
        <w:numPr>
          <w:ilvl w:val="0"/>
          <w:numId w:val="199"/>
        </w:numPr>
        <w:tabs>
          <w:tab w:val="left" w:pos="284"/>
          <w:tab w:val="left" w:pos="50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Виробничі операції поділяються на технологічні</w:t>
      </w:r>
      <w:r w:rsidRPr="000977F7">
        <w:rPr>
          <w:rFonts w:asciiTheme="majorHAnsi" w:hAnsiTheme="majorHAnsi"/>
          <w:spacing w:val="1"/>
          <w:sz w:val="20"/>
          <w:szCs w:val="20"/>
        </w:rPr>
        <w:t xml:space="preserve"> </w:t>
      </w:r>
      <w:r w:rsidRPr="000977F7">
        <w:rPr>
          <w:rFonts w:asciiTheme="majorHAnsi" w:hAnsiTheme="majorHAnsi"/>
          <w:sz w:val="20"/>
          <w:szCs w:val="20"/>
        </w:rPr>
        <w:t>(основні), обслуговуючі, допоміжні та підготовчі</w:t>
      </w:r>
    </w:p>
    <w:p w14:paraId="3312E0A1" w14:textId="77777777" w:rsidR="0097612F" w:rsidRPr="000977F7" w:rsidRDefault="0097612F" w:rsidP="00FD39A4">
      <w:pPr>
        <w:pStyle w:val="ac"/>
        <w:widowControl w:val="0"/>
        <w:numPr>
          <w:ilvl w:val="0"/>
          <w:numId w:val="199"/>
        </w:numPr>
        <w:tabs>
          <w:tab w:val="left" w:pos="284"/>
          <w:tab w:val="left" w:pos="50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Залежно</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способу</w:t>
      </w:r>
      <w:r w:rsidRPr="000977F7">
        <w:rPr>
          <w:rFonts w:asciiTheme="majorHAnsi" w:hAnsiTheme="majorHAnsi"/>
          <w:spacing w:val="1"/>
          <w:sz w:val="20"/>
          <w:szCs w:val="20"/>
        </w:rPr>
        <w:t xml:space="preserve"> </w:t>
      </w:r>
      <w:r w:rsidRPr="000977F7">
        <w:rPr>
          <w:rFonts w:asciiTheme="majorHAnsi" w:hAnsiTheme="majorHAnsi"/>
          <w:sz w:val="20"/>
          <w:szCs w:val="20"/>
        </w:rPr>
        <w:t>впливу</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предмет</w:t>
      </w:r>
      <w:r w:rsidRPr="000977F7">
        <w:rPr>
          <w:rFonts w:asciiTheme="majorHAnsi" w:hAnsiTheme="majorHAnsi"/>
          <w:spacing w:val="1"/>
          <w:sz w:val="20"/>
          <w:szCs w:val="20"/>
        </w:rPr>
        <w:t xml:space="preserve"> </w:t>
      </w:r>
      <w:r w:rsidRPr="000977F7">
        <w:rPr>
          <w:rFonts w:asciiTheme="majorHAnsi" w:hAnsiTheme="majorHAnsi"/>
          <w:sz w:val="20"/>
          <w:szCs w:val="20"/>
        </w:rPr>
        <w:t>праці,</w:t>
      </w:r>
      <w:r w:rsidRPr="000977F7">
        <w:rPr>
          <w:rFonts w:asciiTheme="majorHAnsi" w:hAnsiTheme="majorHAnsi"/>
          <w:spacing w:val="1"/>
          <w:sz w:val="20"/>
          <w:szCs w:val="20"/>
        </w:rPr>
        <w:t xml:space="preserve"> </w:t>
      </w:r>
      <w:r w:rsidRPr="000977F7">
        <w:rPr>
          <w:rFonts w:asciiTheme="majorHAnsi" w:hAnsiTheme="majorHAnsi"/>
          <w:sz w:val="20"/>
          <w:szCs w:val="20"/>
        </w:rPr>
        <w:t>рівня технічної оснащеності та ступеня участі виконавців виробничої операції поділяються на ручні,</w:t>
      </w:r>
      <w:r w:rsidRPr="000977F7">
        <w:rPr>
          <w:rFonts w:asciiTheme="majorHAnsi" w:hAnsiTheme="majorHAnsi"/>
          <w:spacing w:val="-1"/>
          <w:sz w:val="20"/>
          <w:szCs w:val="20"/>
        </w:rPr>
        <w:t xml:space="preserve"> </w:t>
      </w:r>
      <w:r w:rsidRPr="000977F7">
        <w:rPr>
          <w:rFonts w:asciiTheme="majorHAnsi" w:hAnsiTheme="majorHAnsi"/>
          <w:sz w:val="20"/>
          <w:szCs w:val="20"/>
        </w:rPr>
        <w:t>машинно</w:t>
      </w:r>
      <w:r w:rsidRPr="000977F7">
        <w:rPr>
          <w:rFonts w:asciiTheme="majorHAnsi" w:hAnsiTheme="majorHAnsi"/>
          <w:spacing w:val="1"/>
          <w:sz w:val="20"/>
          <w:szCs w:val="20"/>
        </w:rPr>
        <w:t xml:space="preserve"> </w:t>
      </w:r>
      <w:r w:rsidRPr="000977F7">
        <w:rPr>
          <w:rFonts w:asciiTheme="majorHAnsi" w:hAnsiTheme="majorHAnsi"/>
          <w:sz w:val="20"/>
          <w:szCs w:val="20"/>
        </w:rPr>
        <w:t>ручні,</w:t>
      </w:r>
      <w:r w:rsidRPr="000977F7">
        <w:rPr>
          <w:rFonts w:asciiTheme="majorHAnsi" w:hAnsiTheme="majorHAnsi"/>
          <w:spacing w:val="-1"/>
          <w:sz w:val="20"/>
          <w:szCs w:val="20"/>
        </w:rPr>
        <w:t xml:space="preserve"> </w:t>
      </w:r>
      <w:r w:rsidRPr="000977F7">
        <w:rPr>
          <w:rFonts w:asciiTheme="majorHAnsi" w:hAnsiTheme="majorHAnsi"/>
          <w:sz w:val="20"/>
          <w:szCs w:val="20"/>
        </w:rPr>
        <w:t>машинні,</w:t>
      </w:r>
      <w:r w:rsidRPr="000977F7">
        <w:rPr>
          <w:rFonts w:asciiTheme="majorHAnsi" w:hAnsiTheme="majorHAnsi"/>
          <w:spacing w:val="-1"/>
          <w:sz w:val="20"/>
          <w:szCs w:val="20"/>
        </w:rPr>
        <w:t xml:space="preserve"> </w:t>
      </w:r>
      <w:r w:rsidRPr="000977F7">
        <w:rPr>
          <w:rFonts w:asciiTheme="majorHAnsi" w:hAnsiTheme="majorHAnsi"/>
          <w:sz w:val="20"/>
          <w:szCs w:val="20"/>
        </w:rPr>
        <w:t>апаратурні</w:t>
      </w:r>
    </w:p>
    <w:p w14:paraId="76405A8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DDEB9C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ВИРОБНИЧА</w:t>
      </w:r>
      <w:r w:rsidRPr="000977F7">
        <w:rPr>
          <w:color w:val="auto"/>
          <w:spacing w:val="-4"/>
          <w:sz w:val="20"/>
          <w:szCs w:val="20"/>
        </w:rPr>
        <w:t xml:space="preserve"> </w:t>
      </w:r>
      <w:r w:rsidRPr="000977F7">
        <w:rPr>
          <w:color w:val="auto"/>
          <w:sz w:val="20"/>
          <w:szCs w:val="20"/>
        </w:rPr>
        <w:t>ПАРТІЯ</w:t>
      </w:r>
      <w:r w:rsidRPr="000977F7">
        <w:rPr>
          <w:color w:val="auto"/>
          <w:spacing w:val="-1"/>
          <w:sz w:val="20"/>
          <w:szCs w:val="20"/>
        </w:rPr>
        <w:t xml:space="preserve"> </w:t>
      </w:r>
      <w:r w:rsidRPr="000977F7">
        <w:rPr>
          <w:color w:val="auto"/>
          <w:sz w:val="20"/>
          <w:szCs w:val="20"/>
        </w:rPr>
        <w:t>–</w:t>
      </w:r>
    </w:p>
    <w:p w14:paraId="048ABA9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Предмети праці однієї назви й типорозміру, які обробляються протягом певного часу за одного і того ж</w:t>
      </w:r>
      <w:r w:rsidRPr="000977F7">
        <w:rPr>
          <w:rFonts w:asciiTheme="majorHAnsi" w:hAnsiTheme="majorHAnsi"/>
          <w:spacing w:val="1"/>
          <w:sz w:val="20"/>
          <w:szCs w:val="20"/>
        </w:rPr>
        <w:t xml:space="preserve"> </w:t>
      </w:r>
      <w:r w:rsidRPr="000977F7">
        <w:rPr>
          <w:rFonts w:asciiTheme="majorHAnsi" w:hAnsiTheme="majorHAnsi"/>
          <w:sz w:val="20"/>
          <w:szCs w:val="20"/>
        </w:rPr>
        <w:t>підготовчо-завершального часу</w:t>
      </w:r>
      <w:r w:rsidRPr="000977F7">
        <w:rPr>
          <w:rFonts w:asciiTheme="majorHAnsi" w:hAnsiTheme="majorHAnsi"/>
          <w:spacing w:val="-5"/>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операцію</w:t>
      </w:r>
    </w:p>
    <w:p w14:paraId="59246FB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5DEC94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ВИРОБНИЧА</w:t>
      </w:r>
      <w:r w:rsidRPr="000977F7">
        <w:rPr>
          <w:color w:val="auto"/>
          <w:spacing w:val="-5"/>
          <w:sz w:val="20"/>
          <w:szCs w:val="20"/>
        </w:rPr>
        <w:t xml:space="preserve"> </w:t>
      </w:r>
      <w:r w:rsidRPr="000977F7">
        <w:rPr>
          <w:color w:val="auto"/>
          <w:sz w:val="20"/>
          <w:szCs w:val="20"/>
        </w:rPr>
        <w:t>ПОТУЖНІСТЬ</w:t>
      </w:r>
      <w:r w:rsidRPr="000977F7">
        <w:rPr>
          <w:color w:val="auto"/>
          <w:spacing w:val="-2"/>
          <w:sz w:val="20"/>
          <w:szCs w:val="20"/>
        </w:rPr>
        <w:t xml:space="preserve"> </w:t>
      </w:r>
      <w:r w:rsidRPr="000977F7">
        <w:rPr>
          <w:color w:val="auto"/>
          <w:sz w:val="20"/>
          <w:szCs w:val="20"/>
        </w:rPr>
        <w:t>–</w:t>
      </w:r>
    </w:p>
    <w:p w14:paraId="2EDC5D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Розрахунковий максимально можливий річний обсяг</w:t>
      </w:r>
      <w:r w:rsidRPr="000977F7">
        <w:rPr>
          <w:rFonts w:asciiTheme="majorHAnsi" w:hAnsiTheme="majorHAnsi"/>
          <w:spacing w:val="1"/>
          <w:sz w:val="20"/>
          <w:szCs w:val="20"/>
        </w:rPr>
        <w:t xml:space="preserve"> </w:t>
      </w:r>
      <w:r w:rsidRPr="000977F7">
        <w:rPr>
          <w:rFonts w:asciiTheme="majorHAnsi" w:hAnsiTheme="majorHAnsi"/>
          <w:sz w:val="20"/>
          <w:szCs w:val="20"/>
        </w:rPr>
        <w:t>випуску підприємством, окремими його підрозділами,</w:t>
      </w:r>
      <w:r w:rsidRPr="000977F7">
        <w:rPr>
          <w:rFonts w:asciiTheme="majorHAnsi" w:hAnsiTheme="majorHAnsi"/>
          <w:spacing w:val="-47"/>
          <w:sz w:val="20"/>
          <w:szCs w:val="20"/>
        </w:rPr>
        <w:t xml:space="preserve"> </w:t>
      </w:r>
      <w:r w:rsidRPr="000977F7">
        <w:rPr>
          <w:rFonts w:asciiTheme="majorHAnsi" w:hAnsiTheme="majorHAnsi"/>
          <w:sz w:val="20"/>
          <w:szCs w:val="20"/>
        </w:rPr>
        <w:t>за найповнішого використання виробничих і трудових</w:t>
      </w:r>
      <w:r w:rsidRPr="000977F7">
        <w:rPr>
          <w:rFonts w:asciiTheme="majorHAnsi" w:hAnsiTheme="majorHAnsi"/>
          <w:spacing w:val="-47"/>
          <w:sz w:val="20"/>
          <w:szCs w:val="20"/>
        </w:rPr>
        <w:t xml:space="preserve"> </w:t>
      </w:r>
      <w:r w:rsidRPr="000977F7">
        <w:rPr>
          <w:rFonts w:asciiTheme="majorHAnsi" w:hAnsiTheme="majorHAnsi"/>
          <w:sz w:val="20"/>
          <w:szCs w:val="20"/>
        </w:rPr>
        <w:t>ресурсів, продукції у вигляді, придатному для зіставлення</w:t>
      </w:r>
    </w:p>
    <w:p w14:paraId="5703324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0ACCBF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ВИРОБНИЧА</w:t>
      </w:r>
      <w:r w:rsidRPr="000977F7">
        <w:rPr>
          <w:color w:val="auto"/>
          <w:spacing w:val="-5"/>
          <w:sz w:val="20"/>
          <w:szCs w:val="20"/>
        </w:rPr>
        <w:t xml:space="preserve"> </w:t>
      </w:r>
      <w:r w:rsidRPr="000977F7">
        <w:rPr>
          <w:color w:val="auto"/>
          <w:sz w:val="20"/>
          <w:szCs w:val="20"/>
        </w:rPr>
        <w:t>ПРОГРАМА</w:t>
      </w:r>
      <w:r w:rsidRPr="000977F7">
        <w:rPr>
          <w:color w:val="auto"/>
          <w:spacing w:val="-1"/>
          <w:sz w:val="20"/>
          <w:szCs w:val="20"/>
        </w:rPr>
        <w:t xml:space="preserve"> </w:t>
      </w:r>
      <w:r w:rsidRPr="000977F7">
        <w:rPr>
          <w:color w:val="auto"/>
          <w:sz w:val="20"/>
          <w:szCs w:val="20"/>
        </w:rPr>
        <w:t>–</w:t>
      </w:r>
    </w:p>
    <w:p w14:paraId="7019E4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Перелік продукції, яка виготовляється на даному підприємстві, із зазначенням обсягу випуску та </w:t>
      </w:r>
      <w:r w:rsidRPr="000977F7">
        <w:rPr>
          <w:rFonts w:asciiTheme="majorHAnsi" w:hAnsiTheme="majorHAnsi"/>
          <w:sz w:val="20"/>
          <w:szCs w:val="20"/>
        </w:rPr>
        <w:lastRenderedPageBreak/>
        <w:t>реалізації</w:t>
      </w:r>
      <w:r w:rsidRPr="000977F7">
        <w:rPr>
          <w:rFonts w:asciiTheme="majorHAnsi" w:hAnsiTheme="majorHAnsi"/>
          <w:spacing w:val="-47"/>
          <w:sz w:val="20"/>
          <w:szCs w:val="20"/>
        </w:rPr>
        <w:t xml:space="preserve"> </w:t>
      </w:r>
      <w:r w:rsidRPr="000977F7">
        <w:rPr>
          <w:rFonts w:asciiTheme="majorHAnsi" w:hAnsiTheme="majorHAnsi"/>
          <w:sz w:val="20"/>
          <w:szCs w:val="20"/>
        </w:rPr>
        <w:t>з кожного наймення</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встановленої номенклатури на</w:t>
      </w:r>
      <w:r w:rsidRPr="000977F7">
        <w:rPr>
          <w:rFonts w:asciiTheme="majorHAnsi" w:hAnsiTheme="majorHAnsi"/>
          <w:spacing w:val="1"/>
          <w:sz w:val="20"/>
          <w:szCs w:val="20"/>
        </w:rPr>
        <w:t xml:space="preserve"> </w:t>
      </w:r>
      <w:r w:rsidRPr="000977F7">
        <w:rPr>
          <w:rFonts w:asciiTheme="majorHAnsi" w:hAnsiTheme="majorHAnsi"/>
          <w:sz w:val="20"/>
          <w:szCs w:val="20"/>
        </w:rPr>
        <w:t>певний</w:t>
      </w:r>
      <w:r w:rsidRPr="000977F7">
        <w:rPr>
          <w:rFonts w:asciiTheme="majorHAnsi" w:hAnsiTheme="majorHAnsi"/>
          <w:spacing w:val="-2"/>
          <w:sz w:val="20"/>
          <w:szCs w:val="20"/>
        </w:rPr>
        <w:t xml:space="preserve"> </w:t>
      </w:r>
      <w:r w:rsidRPr="000977F7">
        <w:rPr>
          <w:rFonts w:asciiTheme="majorHAnsi" w:hAnsiTheme="majorHAnsi"/>
          <w:sz w:val="20"/>
          <w:szCs w:val="20"/>
        </w:rPr>
        <w:t>період</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2C6B620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E9D044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ВИРОБНИЧА</w:t>
      </w:r>
      <w:r w:rsidRPr="000977F7">
        <w:rPr>
          <w:color w:val="auto"/>
          <w:spacing w:val="-4"/>
          <w:sz w:val="20"/>
          <w:szCs w:val="20"/>
        </w:rPr>
        <w:t xml:space="preserve"> </w:t>
      </w:r>
      <w:r w:rsidRPr="000977F7">
        <w:rPr>
          <w:color w:val="auto"/>
          <w:sz w:val="20"/>
          <w:szCs w:val="20"/>
        </w:rPr>
        <w:t>САНІТАРІЯ</w:t>
      </w:r>
      <w:r w:rsidRPr="000977F7">
        <w:rPr>
          <w:color w:val="auto"/>
          <w:spacing w:val="-1"/>
          <w:sz w:val="20"/>
          <w:szCs w:val="20"/>
        </w:rPr>
        <w:t xml:space="preserve"> </w:t>
      </w:r>
      <w:r w:rsidRPr="000977F7">
        <w:rPr>
          <w:color w:val="auto"/>
          <w:sz w:val="20"/>
          <w:szCs w:val="20"/>
        </w:rPr>
        <w:t>–</w:t>
      </w:r>
    </w:p>
    <w:p w14:paraId="58B91DA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організаційних,</w:t>
      </w:r>
      <w:r w:rsidRPr="000977F7">
        <w:rPr>
          <w:rFonts w:asciiTheme="majorHAnsi" w:hAnsiTheme="majorHAnsi"/>
          <w:spacing w:val="1"/>
          <w:sz w:val="20"/>
          <w:szCs w:val="20"/>
        </w:rPr>
        <w:t xml:space="preserve"> </w:t>
      </w:r>
      <w:r w:rsidRPr="000977F7">
        <w:rPr>
          <w:rFonts w:asciiTheme="majorHAnsi" w:hAnsiTheme="majorHAnsi"/>
          <w:sz w:val="20"/>
          <w:szCs w:val="20"/>
        </w:rPr>
        <w:t>гігієнічних</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санітарно-технічних заходів та засобів, що запобігають чи зменшують вплив на працівників шкідливих виробничих</w:t>
      </w:r>
      <w:r w:rsidRPr="000977F7">
        <w:rPr>
          <w:rFonts w:asciiTheme="majorHAnsi" w:hAnsiTheme="majorHAnsi"/>
          <w:spacing w:val="1"/>
          <w:sz w:val="20"/>
          <w:szCs w:val="20"/>
        </w:rPr>
        <w:t xml:space="preserve"> </w:t>
      </w:r>
      <w:r w:rsidRPr="000977F7">
        <w:rPr>
          <w:rFonts w:asciiTheme="majorHAnsi" w:hAnsiTheme="majorHAnsi"/>
          <w:sz w:val="20"/>
          <w:szCs w:val="20"/>
        </w:rPr>
        <w:t>чинників</w:t>
      </w:r>
    </w:p>
    <w:p w14:paraId="50B3B36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3038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8F5B26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ВИРОБНИЧА</w:t>
      </w:r>
      <w:r w:rsidRPr="000977F7">
        <w:rPr>
          <w:color w:val="auto"/>
          <w:spacing w:val="-4"/>
          <w:sz w:val="20"/>
          <w:szCs w:val="20"/>
        </w:rPr>
        <w:t xml:space="preserve"> </w:t>
      </w:r>
      <w:r w:rsidRPr="000977F7">
        <w:rPr>
          <w:color w:val="auto"/>
          <w:sz w:val="20"/>
          <w:szCs w:val="20"/>
        </w:rPr>
        <w:t>СТРУКТУРА –</w:t>
      </w:r>
    </w:p>
    <w:p w14:paraId="24C936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виробничих підрозділів</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 із</w:t>
      </w:r>
      <w:r w:rsidRPr="000977F7">
        <w:rPr>
          <w:rFonts w:asciiTheme="majorHAnsi" w:hAnsiTheme="majorHAnsi"/>
          <w:spacing w:val="1"/>
          <w:sz w:val="20"/>
          <w:szCs w:val="20"/>
        </w:rPr>
        <w:t xml:space="preserve"> </w:t>
      </w:r>
      <w:r w:rsidRPr="000977F7">
        <w:rPr>
          <w:rFonts w:asciiTheme="majorHAnsi" w:hAnsiTheme="majorHAnsi"/>
          <w:sz w:val="20"/>
          <w:szCs w:val="20"/>
        </w:rPr>
        <w:t>зазначенням</w:t>
      </w:r>
      <w:r w:rsidRPr="000977F7">
        <w:rPr>
          <w:rFonts w:asciiTheme="majorHAnsi" w:hAnsiTheme="majorHAnsi"/>
          <w:spacing w:val="1"/>
          <w:sz w:val="20"/>
          <w:szCs w:val="20"/>
        </w:rPr>
        <w:t xml:space="preserve"> </w:t>
      </w:r>
      <w:r w:rsidRPr="000977F7">
        <w:rPr>
          <w:rFonts w:asciiTheme="majorHAnsi" w:hAnsiTheme="majorHAnsi"/>
          <w:sz w:val="20"/>
          <w:szCs w:val="20"/>
        </w:rPr>
        <w:t>їхнього</w:t>
      </w:r>
      <w:r w:rsidRPr="000977F7">
        <w:rPr>
          <w:rFonts w:asciiTheme="majorHAnsi" w:hAnsiTheme="majorHAnsi"/>
          <w:spacing w:val="1"/>
          <w:sz w:val="20"/>
          <w:szCs w:val="20"/>
        </w:rPr>
        <w:t xml:space="preserve"> </w:t>
      </w:r>
      <w:r w:rsidRPr="000977F7">
        <w:rPr>
          <w:rFonts w:asciiTheme="majorHAnsi" w:hAnsiTheme="majorHAnsi"/>
          <w:sz w:val="20"/>
          <w:szCs w:val="20"/>
        </w:rPr>
        <w:t>складу,</w:t>
      </w:r>
      <w:r w:rsidRPr="000977F7">
        <w:rPr>
          <w:rFonts w:asciiTheme="majorHAnsi" w:hAnsiTheme="majorHAnsi"/>
          <w:spacing w:val="1"/>
          <w:sz w:val="20"/>
          <w:szCs w:val="20"/>
        </w:rPr>
        <w:t xml:space="preserve"> </w:t>
      </w:r>
      <w:r w:rsidRPr="000977F7">
        <w:rPr>
          <w:rFonts w:asciiTheme="majorHAnsi" w:hAnsiTheme="majorHAnsi"/>
          <w:sz w:val="20"/>
          <w:szCs w:val="20"/>
        </w:rPr>
        <w:t>співвідношення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зв’язків</w:t>
      </w:r>
      <w:r w:rsidRPr="000977F7">
        <w:rPr>
          <w:rFonts w:asciiTheme="majorHAnsi" w:hAnsiTheme="majorHAnsi"/>
          <w:spacing w:val="-2"/>
          <w:sz w:val="20"/>
          <w:szCs w:val="20"/>
        </w:rPr>
        <w:t xml:space="preserve"> </w:t>
      </w:r>
      <w:r w:rsidRPr="000977F7">
        <w:rPr>
          <w:rFonts w:asciiTheme="majorHAnsi" w:hAnsiTheme="majorHAnsi"/>
          <w:sz w:val="20"/>
          <w:szCs w:val="20"/>
        </w:rPr>
        <w:t>між</w:t>
      </w:r>
      <w:r w:rsidRPr="000977F7">
        <w:rPr>
          <w:rFonts w:asciiTheme="majorHAnsi" w:hAnsiTheme="majorHAnsi"/>
          <w:spacing w:val="-1"/>
          <w:sz w:val="20"/>
          <w:szCs w:val="20"/>
        </w:rPr>
        <w:t xml:space="preserve"> </w:t>
      </w:r>
      <w:r w:rsidRPr="000977F7">
        <w:rPr>
          <w:rFonts w:asciiTheme="majorHAnsi" w:hAnsiTheme="majorHAnsi"/>
          <w:sz w:val="20"/>
          <w:szCs w:val="20"/>
        </w:rPr>
        <w:t>ними</w:t>
      </w:r>
    </w:p>
    <w:p w14:paraId="562EC31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AFE41A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ВИПРОБНИЧИЙ</w:t>
      </w:r>
      <w:r w:rsidRPr="000977F7">
        <w:rPr>
          <w:color w:val="auto"/>
          <w:spacing w:val="-5"/>
          <w:sz w:val="20"/>
          <w:szCs w:val="20"/>
        </w:rPr>
        <w:t xml:space="preserve"> </w:t>
      </w:r>
      <w:r w:rsidRPr="000977F7">
        <w:rPr>
          <w:color w:val="auto"/>
          <w:sz w:val="20"/>
          <w:szCs w:val="20"/>
        </w:rPr>
        <w:t>ЗАПАС –</w:t>
      </w:r>
    </w:p>
    <w:p w14:paraId="6729CC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Матеріальні</w:t>
      </w:r>
      <w:r w:rsidRPr="000977F7">
        <w:rPr>
          <w:rFonts w:asciiTheme="majorHAnsi" w:hAnsiTheme="majorHAnsi"/>
          <w:spacing w:val="1"/>
          <w:sz w:val="20"/>
          <w:szCs w:val="20"/>
        </w:rPr>
        <w:t xml:space="preserve"> </w:t>
      </w:r>
      <w:r w:rsidRPr="000977F7">
        <w:rPr>
          <w:rFonts w:asciiTheme="majorHAnsi" w:hAnsiTheme="majorHAnsi"/>
          <w:sz w:val="20"/>
          <w:szCs w:val="20"/>
        </w:rPr>
        <w:t>ресурси</w:t>
      </w:r>
      <w:r w:rsidRPr="000977F7">
        <w:rPr>
          <w:rFonts w:asciiTheme="majorHAnsi" w:hAnsiTheme="majorHAnsi"/>
          <w:spacing w:val="1"/>
          <w:sz w:val="20"/>
          <w:szCs w:val="20"/>
        </w:rPr>
        <w:t xml:space="preserve"> </w:t>
      </w:r>
      <w:r w:rsidRPr="000977F7">
        <w:rPr>
          <w:rFonts w:asciiTheme="majorHAnsi" w:hAnsiTheme="majorHAnsi"/>
          <w:sz w:val="20"/>
          <w:szCs w:val="20"/>
        </w:rPr>
        <w:t>виробничо-технічного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призначення,</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надійшли</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споживача,</w:t>
      </w:r>
      <w:r w:rsidRPr="000977F7">
        <w:rPr>
          <w:rFonts w:asciiTheme="majorHAnsi" w:hAnsiTheme="majorHAnsi"/>
          <w:spacing w:val="1"/>
          <w:sz w:val="20"/>
          <w:szCs w:val="20"/>
        </w:rPr>
        <w:t xml:space="preserve"> </w:t>
      </w:r>
      <w:r w:rsidRPr="000977F7">
        <w:rPr>
          <w:rFonts w:asciiTheme="majorHAnsi" w:hAnsiTheme="majorHAnsi"/>
          <w:sz w:val="20"/>
          <w:szCs w:val="20"/>
        </w:rPr>
        <w:t>перебувають</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47"/>
          <w:sz w:val="20"/>
          <w:szCs w:val="20"/>
        </w:rPr>
        <w:t xml:space="preserve"> </w:t>
      </w:r>
      <w:r w:rsidRPr="000977F7">
        <w:rPr>
          <w:rFonts w:asciiTheme="majorHAnsi" w:hAnsiTheme="majorHAnsi"/>
          <w:sz w:val="20"/>
          <w:szCs w:val="20"/>
        </w:rPr>
        <w:t>підприємстві,</w:t>
      </w:r>
      <w:r w:rsidRPr="000977F7">
        <w:rPr>
          <w:rFonts w:asciiTheme="majorHAnsi" w:hAnsiTheme="majorHAnsi"/>
          <w:spacing w:val="1"/>
          <w:sz w:val="20"/>
          <w:szCs w:val="20"/>
        </w:rPr>
        <w:t xml:space="preserve"> </w:t>
      </w:r>
      <w:r w:rsidRPr="000977F7">
        <w:rPr>
          <w:rFonts w:asciiTheme="majorHAnsi" w:hAnsiTheme="majorHAnsi"/>
          <w:sz w:val="20"/>
          <w:szCs w:val="20"/>
        </w:rPr>
        <w:t>але</w:t>
      </w:r>
      <w:r w:rsidRPr="000977F7">
        <w:rPr>
          <w:rFonts w:asciiTheme="majorHAnsi" w:hAnsiTheme="majorHAnsi"/>
          <w:spacing w:val="1"/>
          <w:sz w:val="20"/>
          <w:szCs w:val="20"/>
        </w:rPr>
        <w:t xml:space="preserve"> </w:t>
      </w:r>
      <w:r w:rsidRPr="000977F7">
        <w:rPr>
          <w:rFonts w:asciiTheme="majorHAnsi" w:hAnsiTheme="majorHAnsi"/>
          <w:sz w:val="20"/>
          <w:szCs w:val="20"/>
        </w:rPr>
        <w:t>тимчасово</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використовуються</w:t>
      </w:r>
      <w:r w:rsidRPr="000977F7">
        <w:rPr>
          <w:rFonts w:asciiTheme="majorHAnsi" w:hAnsiTheme="majorHAnsi"/>
          <w:spacing w:val="1"/>
          <w:sz w:val="20"/>
          <w:szCs w:val="20"/>
        </w:rPr>
        <w:t xml:space="preserve"> </w:t>
      </w:r>
      <w:r w:rsidRPr="000977F7">
        <w:rPr>
          <w:rFonts w:asciiTheme="majorHAnsi" w:hAnsiTheme="majorHAnsi"/>
          <w:sz w:val="20"/>
          <w:szCs w:val="20"/>
        </w:rPr>
        <w:t>безпосередньо</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процесі</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p>
    <w:p w14:paraId="49880E3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396F94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Виробничі запаси бувають поточні, страхові та підготовчі</w:t>
      </w:r>
    </w:p>
    <w:p w14:paraId="51E4E3D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2960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550595E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ВИРОБНИЧИЙ</w:t>
      </w:r>
      <w:r w:rsidRPr="000977F7">
        <w:rPr>
          <w:color w:val="auto"/>
          <w:spacing w:val="-2"/>
          <w:sz w:val="20"/>
          <w:szCs w:val="20"/>
        </w:rPr>
        <w:t xml:space="preserve"> </w:t>
      </w:r>
      <w:r w:rsidRPr="000977F7">
        <w:rPr>
          <w:color w:val="auto"/>
          <w:sz w:val="20"/>
          <w:szCs w:val="20"/>
        </w:rPr>
        <w:t>КОНТРОЛЬ</w:t>
      </w:r>
      <w:r w:rsidRPr="000977F7">
        <w:rPr>
          <w:color w:val="auto"/>
          <w:spacing w:val="-3"/>
          <w:sz w:val="20"/>
          <w:szCs w:val="20"/>
        </w:rPr>
        <w:t xml:space="preserve"> </w:t>
      </w:r>
      <w:r w:rsidRPr="000977F7">
        <w:rPr>
          <w:color w:val="auto"/>
          <w:sz w:val="20"/>
          <w:szCs w:val="20"/>
        </w:rPr>
        <w:t>–</w:t>
      </w:r>
    </w:p>
    <w:p w14:paraId="5254C73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MANUFACTURING</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SUPERVISION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196B4BF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w:t>
      </w:r>
      <w:r w:rsidRPr="000977F7">
        <w:rPr>
          <w:rFonts w:asciiTheme="majorHAnsi" w:hAnsiTheme="majorHAnsi"/>
          <w:spacing w:val="-5"/>
          <w:sz w:val="20"/>
          <w:szCs w:val="20"/>
        </w:rPr>
        <w:t xml:space="preserve"> </w:t>
      </w:r>
      <w:r w:rsidRPr="000977F7">
        <w:rPr>
          <w:rFonts w:asciiTheme="majorHAnsi" w:hAnsiTheme="majorHAnsi"/>
          <w:sz w:val="20"/>
          <w:szCs w:val="20"/>
        </w:rPr>
        <w:t>що</w:t>
      </w:r>
      <w:r w:rsidRPr="000977F7">
        <w:rPr>
          <w:rFonts w:asciiTheme="majorHAnsi" w:hAnsiTheme="majorHAnsi"/>
          <w:spacing w:val="-3"/>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4"/>
          <w:sz w:val="20"/>
          <w:szCs w:val="20"/>
        </w:rPr>
        <w:t xml:space="preserve"> </w:t>
      </w:r>
      <w:r w:rsidRPr="000977F7">
        <w:rPr>
          <w:rFonts w:asciiTheme="majorHAnsi" w:hAnsiTheme="majorHAnsi"/>
          <w:sz w:val="20"/>
          <w:szCs w:val="20"/>
        </w:rPr>
        <w:t>стадії</w:t>
      </w:r>
      <w:r w:rsidRPr="000977F7">
        <w:rPr>
          <w:rFonts w:asciiTheme="majorHAnsi" w:hAnsiTheme="majorHAnsi"/>
          <w:spacing w:val="-5"/>
          <w:sz w:val="20"/>
          <w:szCs w:val="20"/>
        </w:rPr>
        <w:t xml:space="preserve"> </w:t>
      </w:r>
      <w:r w:rsidRPr="000977F7">
        <w:rPr>
          <w:rFonts w:asciiTheme="majorHAnsi" w:hAnsiTheme="majorHAnsi"/>
          <w:sz w:val="20"/>
          <w:szCs w:val="20"/>
        </w:rPr>
        <w:t>виробництва</w:t>
      </w:r>
    </w:p>
    <w:p w14:paraId="444E2B6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 95</w:t>
      </w:r>
    </w:p>
    <w:p w14:paraId="05E4051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ВИРОБНИЧИЙ</w:t>
      </w:r>
      <w:r w:rsidRPr="000977F7">
        <w:rPr>
          <w:color w:val="auto"/>
          <w:spacing w:val="-6"/>
          <w:sz w:val="20"/>
          <w:szCs w:val="20"/>
        </w:rPr>
        <w:t xml:space="preserve"> </w:t>
      </w:r>
      <w:r w:rsidRPr="000977F7">
        <w:rPr>
          <w:color w:val="auto"/>
          <w:sz w:val="20"/>
          <w:szCs w:val="20"/>
        </w:rPr>
        <w:t>МІКРОКЛІМАТ</w:t>
      </w:r>
      <w:r w:rsidRPr="000977F7">
        <w:rPr>
          <w:color w:val="auto"/>
          <w:spacing w:val="-4"/>
          <w:sz w:val="20"/>
          <w:szCs w:val="20"/>
        </w:rPr>
        <w:t xml:space="preserve"> </w:t>
      </w:r>
      <w:r w:rsidRPr="000977F7">
        <w:rPr>
          <w:color w:val="auto"/>
          <w:sz w:val="20"/>
          <w:szCs w:val="20"/>
        </w:rPr>
        <w:t>–</w:t>
      </w:r>
    </w:p>
    <w:p w14:paraId="17A4AB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w:t>
      </w:r>
      <w:r w:rsidRPr="000977F7">
        <w:rPr>
          <w:rFonts w:asciiTheme="majorHAnsi" w:hAnsiTheme="majorHAnsi"/>
          <w:spacing w:val="1"/>
          <w:sz w:val="20"/>
          <w:szCs w:val="20"/>
        </w:rPr>
        <w:t xml:space="preserve"> </w:t>
      </w:r>
      <w:r w:rsidRPr="000977F7">
        <w:rPr>
          <w:rFonts w:asciiTheme="majorHAnsi" w:hAnsiTheme="majorHAnsi"/>
          <w:sz w:val="20"/>
          <w:szCs w:val="20"/>
        </w:rPr>
        <w:t>чинників</w:t>
      </w:r>
      <w:r w:rsidRPr="000977F7">
        <w:rPr>
          <w:rFonts w:asciiTheme="majorHAnsi" w:hAnsiTheme="majorHAnsi"/>
          <w:spacing w:val="1"/>
          <w:sz w:val="20"/>
          <w:szCs w:val="20"/>
        </w:rPr>
        <w:t xml:space="preserve"> </w:t>
      </w:r>
      <w:r w:rsidRPr="000977F7">
        <w:rPr>
          <w:rFonts w:asciiTheme="majorHAnsi" w:hAnsiTheme="majorHAnsi"/>
          <w:sz w:val="20"/>
          <w:szCs w:val="20"/>
        </w:rPr>
        <w:t>виробничого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впливають</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тепловий</w:t>
      </w:r>
      <w:r w:rsidRPr="000977F7">
        <w:rPr>
          <w:rFonts w:asciiTheme="majorHAnsi" w:hAnsiTheme="majorHAnsi"/>
          <w:spacing w:val="-2"/>
          <w:sz w:val="20"/>
          <w:szCs w:val="20"/>
        </w:rPr>
        <w:t xml:space="preserve"> </w:t>
      </w:r>
      <w:r w:rsidRPr="000977F7">
        <w:rPr>
          <w:rFonts w:asciiTheme="majorHAnsi" w:hAnsiTheme="majorHAnsi"/>
          <w:sz w:val="20"/>
          <w:szCs w:val="20"/>
        </w:rPr>
        <w:t>обмін</w:t>
      </w:r>
      <w:r w:rsidRPr="000977F7">
        <w:rPr>
          <w:rFonts w:asciiTheme="majorHAnsi" w:hAnsiTheme="majorHAnsi"/>
          <w:spacing w:val="-2"/>
          <w:sz w:val="20"/>
          <w:szCs w:val="20"/>
        </w:rPr>
        <w:t xml:space="preserve"> </w:t>
      </w:r>
      <w:r w:rsidRPr="000977F7">
        <w:rPr>
          <w:rFonts w:asciiTheme="majorHAnsi" w:hAnsiTheme="majorHAnsi"/>
          <w:sz w:val="20"/>
          <w:szCs w:val="20"/>
        </w:rPr>
        <w:t>працівника</w:t>
      </w:r>
    </w:p>
    <w:p w14:paraId="2361E29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3038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D3EF2F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ВИРОБНИЧИЙ</w:t>
      </w:r>
      <w:r w:rsidRPr="000977F7">
        <w:rPr>
          <w:color w:val="auto"/>
          <w:spacing w:val="-6"/>
          <w:sz w:val="20"/>
          <w:szCs w:val="20"/>
        </w:rPr>
        <w:t xml:space="preserve"> </w:t>
      </w:r>
      <w:r w:rsidRPr="000977F7">
        <w:rPr>
          <w:color w:val="auto"/>
          <w:sz w:val="20"/>
          <w:szCs w:val="20"/>
        </w:rPr>
        <w:t>ПАСПОРТ</w:t>
      </w:r>
      <w:r w:rsidRPr="000977F7">
        <w:rPr>
          <w:color w:val="auto"/>
          <w:spacing w:val="-1"/>
          <w:sz w:val="20"/>
          <w:szCs w:val="20"/>
        </w:rPr>
        <w:t xml:space="preserve"> </w:t>
      </w:r>
      <w:r w:rsidRPr="000977F7">
        <w:rPr>
          <w:color w:val="auto"/>
          <w:sz w:val="20"/>
          <w:szCs w:val="20"/>
        </w:rPr>
        <w:t>–</w:t>
      </w:r>
    </w:p>
    <w:p w14:paraId="72FB5FA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у якому зафіксовані нормативи часу здійснення певних операцій виробничого процесу та технічно можлива виробнича потужність устаткування підприємства</w:t>
      </w:r>
    </w:p>
    <w:p w14:paraId="3091111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849523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ВИРОБНИЧИЙ</w:t>
      </w:r>
      <w:r w:rsidRPr="000977F7">
        <w:rPr>
          <w:color w:val="auto"/>
          <w:spacing w:val="-5"/>
          <w:sz w:val="20"/>
          <w:szCs w:val="20"/>
        </w:rPr>
        <w:t xml:space="preserve"> </w:t>
      </w:r>
      <w:r w:rsidRPr="000977F7">
        <w:rPr>
          <w:color w:val="auto"/>
          <w:sz w:val="20"/>
          <w:szCs w:val="20"/>
        </w:rPr>
        <w:t>ПІДРОЗДІЛ</w:t>
      </w:r>
      <w:r w:rsidRPr="000977F7">
        <w:rPr>
          <w:color w:val="auto"/>
          <w:spacing w:val="-1"/>
          <w:sz w:val="20"/>
          <w:szCs w:val="20"/>
        </w:rPr>
        <w:t xml:space="preserve"> </w:t>
      </w:r>
      <w:r w:rsidRPr="000977F7">
        <w:rPr>
          <w:color w:val="auto"/>
          <w:sz w:val="20"/>
          <w:szCs w:val="20"/>
        </w:rPr>
        <w:t>–</w:t>
      </w:r>
    </w:p>
    <w:p w14:paraId="3FE4881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Структурна одиниця підприємства, яка виконує конкретну</w:t>
      </w:r>
      <w:r w:rsidRPr="000977F7">
        <w:rPr>
          <w:rFonts w:asciiTheme="majorHAnsi" w:hAnsiTheme="majorHAnsi"/>
          <w:spacing w:val="-6"/>
          <w:sz w:val="20"/>
          <w:szCs w:val="20"/>
        </w:rPr>
        <w:t xml:space="preserve"> </w:t>
      </w:r>
      <w:r w:rsidRPr="000977F7">
        <w:rPr>
          <w:rFonts w:asciiTheme="majorHAnsi" w:hAnsiTheme="majorHAnsi"/>
          <w:sz w:val="20"/>
          <w:szCs w:val="20"/>
        </w:rPr>
        <w:t>функцію</w:t>
      </w:r>
      <w:r w:rsidRPr="000977F7">
        <w:rPr>
          <w:rFonts w:asciiTheme="majorHAnsi" w:hAnsiTheme="majorHAnsi"/>
          <w:spacing w:val="-2"/>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відповідає</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неї</w:t>
      </w:r>
    </w:p>
    <w:p w14:paraId="3D4587F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F7EC02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ВИРОБНИЧИЙ</w:t>
      </w:r>
      <w:r w:rsidRPr="000977F7">
        <w:rPr>
          <w:color w:val="auto"/>
          <w:spacing w:val="-5"/>
          <w:sz w:val="20"/>
          <w:szCs w:val="20"/>
        </w:rPr>
        <w:t xml:space="preserve"> </w:t>
      </w:r>
      <w:r w:rsidRPr="000977F7">
        <w:rPr>
          <w:color w:val="auto"/>
          <w:sz w:val="20"/>
          <w:szCs w:val="20"/>
        </w:rPr>
        <w:t>ПРОЦЕС –</w:t>
      </w:r>
    </w:p>
    <w:p w14:paraId="2C9DE6A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Систематичне та цілеспрямоване змінювання в часі та</w:t>
      </w:r>
      <w:r w:rsidRPr="000977F7">
        <w:rPr>
          <w:rFonts w:asciiTheme="majorHAnsi" w:hAnsiTheme="majorHAnsi"/>
          <w:spacing w:val="-47"/>
          <w:sz w:val="20"/>
          <w:szCs w:val="20"/>
        </w:rPr>
        <w:t xml:space="preserve"> </w:t>
      </w:r>
      <w:r w:rsidRPr="000977F7">
        <w:rPr>
          <w:rFonts w:asciiTheme="majorHAnsi" w:hAnsiTheme="majorHAnsi"/>
          <w:sz w:val="20"/>
          <w:szCs w:val="20"/>
        </w:rPr>
        <w:t>просторі кількісних та якісних характеристик засобів</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робочої</w:t>
      </w:r>
      <w:r w:rsidRPr="000977F7">
        <w:rPr>
          <w:rFonts w:asciiTheme="majorHAnsi" w:hAnsiTheme="majorHAnsi"/>
          <w:spacing w:val="1"/>
          <w:sz w:val="20"/>
          <w:szCs w:val="20"/>
        </w:rPr>
        <w:t xml:space="preserve"> </w:t>
      </w:r>
      <w:r w:rsidRPr="000977F7">
        <w:rPr>
          <w:rFonts w:asciiTheme="majorHAnsi" w:hAnsiTheme="majorHAnsi"/>
          <w:sz w:val="20"/>
          <w:szCs w:val="20"/>
        </w:rPr>
        <w:t>сили</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отримання</w:t>
      </w:r>
      <w:r w:rsidRPr="000977F7">
        <w:rPr>
          <w:rFonts w:asciiTheme="majorHAnsi" w:hAnsiTheme="majorHAnsi"/>
          <w:spacing w:val="1"/>
          <w:sz w:val="20"/>
          <w:szCs w:val="20"/>
        </w:rPr>
        <w:t xml:space="preserve"> </w:t>
      </w:r>
      <w:r w:rsidRPr="000977F7">
        <w:rPr>
          <w:rFonts w:asciiTheme="majorHAnsi" w:hAnsiTheme="majorHAnsi"/>
          <w:sz w:val="20"/>
          <w:szCs w:val="20"/>
        </w:rPr>
        <w:t>готової</w:t>
      </w:r>
      <w:r w:rsidRPr="000977F7">
        <w:rPr>
          <w:rFonts w:asciiTheme="majorHAnsi" w:hAnsiTheme="majorHAnsi"/>
          <w:spacing w:val="-47"/>
          <w:sz w:val="20"/>
          <w:szCs w:val="20"/>
        </w:rPr>
        <w:t xml:space="preserve"> </w:t>
      </w:r>
      <w:r w:rsidRPr="000977F7">
        <w:rPr>
          <w:rFonts w:asciiTheme="majorHAnsi" w:hAnsiTheme="majorHAnsi"/>
          <w:sz w:val="20"/>
          <w:szCs w:val="20"/>
        </w:rPr>
        <w:t>продукції з вихідної сировини згідно із заданою програмою</w:t>
      </w:r>
    </w:p>
    <w:p w14:paraId="40A5F8F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3A4C2DD0" w14:textId="77777777" w:rsidR="0097612F" w:rsidRPr="000977F7" w:rsidRDefault="0097612F" w:rsidP="00FD39A4">
      <w:pPr>
        <w:pStyle w:val="ac"/>
        <w:widowControl w:val="0"/>
        <w:numPr>
          <w:ilvl w:val="1"/>
          <w:numId w:val="199"/>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 відношенням до випуску готової продукції та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технологічним значенням виробничі процеси поділяються на основні, допоміжні, підсобні та побічні.</w:t>
      </w:r>
    </w:p>
    <w:p w14:paraId="17864C7F" w14:textId="77777777" w:rsidR="0097612F" w:rsidRPr="000977F7" w:rsidRDefault="0097612F" w:rsidP="00FD39A4">
      <w:pPr>
        <w:pStyle w:val="ac"/>
        <w:widowControl w:val="0"/>
        <w:numPr>
          <w:ilvl w:val="1"/>
          <w:numId w:val="199"/>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характером</w:t>
      </w:r>
      <w:r w:rsidRPr="000977F7">
        <w:rPr>
          <w:rFonts w:asciiTheme="majorHAnsi" w:hAnsiTheme="majorHAnsi"/>
          <w:spacing w:val="1"/>
          <w:sz w:val="20"/>
          <w:szCs w:val="20"/>
        </w:rPr>
        <w:t xml:space="preserve"> </w:t>
      </w:r>
      <w:r w:rsidRPr="000977F7">
        <w:rPr>
          <w:rFonts w:asciiTheme="majorHAnsi" w:hAnsiTheme="majorHAnsi"/>
          <w:sz w:val="20"/>
          <w:szCs w:val="20"/>
        </w:rPr>
        <w:t>проходження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часі</w:t>
      </w:r>
      <w:r w:rsidRPr="000977F7">
        <w:rPr>
          <w:rFonts w:asciiTheme="majorHAnsi" w:hAnsiTheme="majorHAnsi"/>
          <w:spacing w:val="1"/>
          <w:sz w:val="20"/>
          <w:szCs w:val="20"/>
        </w:rPr>
        <w:t xml:space="preserve"> </w:t>
      </w:r>
      <w:r w:rsidRPr="000977F7">
        <w:rPr>
          <w:rFonts w:asciiTheme="majorHAnsi" w:hAnsiTheme="majorHAnsi"/>
          <w:sz w:val="20"/>
          <w:szCs w:val="20"/>
        </w:rPr>
        <w:t>виробничі</w:t>
      </w:r>
      <w:r w:rsidRPr="000977F7">
        <w:rPr>
          <w:rFonts w:asciiTheme="majorHAnsi" w:hAnsiTheme="majorHAnsi"/>
          <w:spacing w:val="1"/>
          <w:sz w:val="20"/>
          <w:szCs w:val="20"/>
        </w:rPr>
        <w:t xml:space="preserve"> </w:t>
      </w:r>
      <w:r w:rsidRPr="000977F7">
        <w:rPr>
          <w:rFonts w:asciiTheme="majorHAnsi" w:hAnsiTheme="majorHAnsi"/>
          <w:sz w:val="20"/>
          <w:szCs w:val="20"/>
        </w:rPr>
        <w:t>процеси</w:t>
      </w:r>
      <w:r w:rsidRPr="000977F7">
        <w:rPr>
          <w:rFonts w:asciiTheme="majorHAnsi" w:hAnsiTheme="majorHAnsi"/>
          <w:spacing w:val="-1"/>
          <w:sz w:val="20"/>
          <w:szCs w:val="20"/>
        </w:rPr>
        <w:t xml:space="preserve"> </w:t>
      </w:r>
      <w:r w:rsidRPr="000977F7">
        <w:rPr>
          <w:rFonts w:asciiTheme="majorHAnsi" w:hAnsiTheme="majorHAnsi"/>
          <w:sz w:val="20"/>
          <w:szCs w:val="20"/>
        </w:rPr>
        <w:t>поділяються</w:t>
      </w:r>
      <w:r w:rsidRPr="000977F7">
        <w:rPr>
          <w:rFonts w:asciiTheme="majorHAnsi" w:hAnsiTheme="majorHAnsi"/>
          <w:spacing w:val="-3"/>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циклічні</w:t>
      </w:r>
      <w:r w:rsidRPr="000977F7">
        <w:rPr>
          <w:rFonts w:asciiTheme="majorHAnsi" w:hAnsiTheme="majorHAnsi"/>
          <w:spacing w:val="-2"/>
          <w:sz w:val="20"/>
          <w:szCs w:val="20"/>
        </w:rPr>
        <w:t xml:space="preserve"> </w:t>
      </w:r>
      <w:r w:rsidRPr="000977F7">
        <w:rPr>
          <w:rFonts w:asciiTheme="majorHAnsi" w:hAnsiTheme="majorHAnsi"/>
          <w:sz w:val="20"/>
          <w:szCs w:val="20"/>
        </w:rPr>
        <w:t>і нециклічні</w:t>
      </w:r>
    </w:p>
    <w:p w14:paraId="16316600" w14:textId="77777777" w:rsidR="0097612F" w:rsidRPr="000977F7" w:rsidRDefault="0097612F" w:rsidP="00FD39A4">
      <w:pPr>
        <w:pStyle w:val="ac"/>
        <w:widowControl w:val="0"/>
        <w:numPr>
          <w:ilvl w:val="1"/>
          <w:numId w:val="199"/>
        </w:numPr>
        <w:tabs>
          <w:tab w:val="left" w:pos="284"/>
          <w:tab w:val="left" w:pos="64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 характером руху предмета праці в часі процеси</w:t>
      </w:r>
      <w:r w:rsidRPr="000977F7">
        <w:rPr>
          <w:rFonts w:asciiTheme="majorHAnsi" w:hAnsiTheme="majorHAnsi"/>
          <w:spacing w:val="1"/>
          <w:sz w:val="20"/>
          <w:szCs w:val="20"/>
        </w:rPr>
        <w:t xml:space="preserve"> </w:t>
      </w:r>
      <w:r w:rsidRPr="000977F7">
        <w:rPr>
          <w:rFonts w:asciiTheme="majorHAnsi" w:hAnsiTheme="majorHAnsi"/>
          <w:sz w:val="20"/>
          <w:szCs w:val="20"/>
        </w:rPr>
        <w:t>поділяються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безперервні,</w:t>
      </w:r>
      <w:r w:rsidRPr="000977F7">
        <w:rPr>
          <w:rFonts w:asciiTheme="majorHAnsi" w:hAnsiTheme="majorHAnsi"/>
          <w:spacing w:val="1"/>
          <w:sz w:val="20"/>
          <w:szCs w:val="20"/>
        </w:rPr>
        <w:t xml:space="preserve"> </w:t>
      </w:r>
      <w:r w:rsidRPr="000977F7">
        <w:rPr>
          <w:rFonts w:asciiTheme="majorHAnsi" w:hAnsiTheme="majorHAnsi"/>
          <w:sz w:val="20"/>
          <w:szCs w:val="20"/>
        </w:rPr>
        <w:t>напівбезперервні,</w:t>
      </w:r>
      <w:r w:rsidRPr="000977F7">
        <w:rPr>
          <w:rFonts w:asciiTheme="majorHAnsi" w:hAnsiTheme="majorHAnsi"/>
          <w:spacing w:val="1"/>
          <w:sz w:val="20"/>
          <w:szCs w:val="20"/>
        </w:rPr>
        <w:t xml:space="preserve"> </w:t>
      </w:r>
      <w:r w:rsidRPr="000977F7">
        <w:rPr>
          <w:rFonts w:asciiTheme="majorHAnsi" w:hAnsiTheme="majorHAnsi"/>
          <w:sz w:val="20"/>
          <w:szCs w:val="20"/>
        </w:rPr>
        <w:t>дискретні</w:t>
      </w:r>
    </w:p>
    <w:p w14:paraId="0022DAE1" w14:textId="77777777" w:rsidR="0097612F" w:rsidRPr="000977F7" w:rsidRDefault="0097612F" w:rsidP="00FD39A4">
      <w:pPr>
        <w:pStyle w:val="ac"/>
        <w:widowControl w:val="0"/>
        <w:numPr>
          <w:ilvl w:val="1"/>
          <w:numId w:val="199"/>
        </w:numPr>
        <w:tabs>
          <w:tab w:val="left" w:pos="284"/>
          <w:tab w:val="left" w:pos="67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 ступенем можливості безпосереднього спостереження за ходом виробничих процесів вони поділяються</w:t>
      </w:r>
      <w:r w:rsidRPr="000977F7">
        <w:rPr>
          <w:rFonts w:asciiTheme="majorHAnsi" w:hAnsiTheme="majorHAnsi"/>
          <w:spacing w:val="-3"/>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закриті,</w:t>
      </w:r>
      <w:r w:rsidRPr="000977F7">
        <w:rPr>
          <w:rFonts w:asciiTheme="majorHAnsi" w:hAnsiTheme="majorHAnsi"/>
          <w:spacing w:val="-1"/>
          <w:sz w:val="20"/>
          <w:szCs w:val="20"/>
        </w:rPr>
        <w:t xml:space="preserve"> </w:t>
      </w:r>
      <w:r w:rsidRPr="000977F7">
        <w:rPr>
          <w:rFonts w:asciiTheme="majorHAnsi" w:hAnsiTheme="majorHAnsi"/>
          <w:sz w:val="20"/>
          <w:szCs w:val="20"/>
        </w:rPr>
        <w:t>відкриті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напівзакриті</w:t>
      </w:r>
    </w:p>
    <w:p w14:paraId="5433AB2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D39C09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ВИРОБНИЧИЙ</w:t>
      </w:r>
      <w:r w:rsidRPr="000977F7">
        <w:rPr>
          <w:color w:val="auto"/>
          <w:spacing w:val="-5"/>
          <w:sz w:val="20"/>
          <w:szCs w:val="20"/>
        </w:rPr>
        <w:t xml:space="preserve"> </w:t>
      </w:r>
      <w:r w:rsidRPr="000977F7">
        <w:rPr>
          <w:color w:val="auto"/>
          <w:sz w:val="20"/>
          <w:szCs w:val="20"/>
        </w:rPr>
        <w:t>ЦИКЛ</w:t>
      </w:r>
      <w:r w:rsidRPr="000977F7">
        <w:rPr>
          <w:color w:val="auto"/>
          <w:spacing w:val="1"/>
          <w:sz w:val="20"/>
          <w:szCs w:val="20"/>
        </w:rPr>
        <w:t xml:space="preserve"> </w:t>
      </w:r>
      <w:r w:rsidRPr="000977F7">
        <w:rPr>
          <w:color w:val="auto"/>
          <w:sz w:val="20"/>
          <w:szCs w:val="20"/>
        </w:rPr>
        <w:t>–</w:t>
      </w:r>
    </w:p>
    <w:p w14:paraId="0B9E96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Інтервал часу, протягом якого предмет праці проходить</w:t>
      </w:r>
      <w:r w:rsidRPr="000977F7">
        <w:rPr>
          <w:rFonts w:asciiTheme="majorHAnsi" w:hAnsiTheme="majorHAnsi"/>
          <w:spacing w:val="1"/>
          <w:sz w:val="20"/>
          <w:szCs w:val="20"/>
        </w:rPr>
        <w:t xml:space="preserve"> </w:t>
      </w:r>
      <w:r w:rsidRPr="000977F7">
        <w:rPr>
          <w:rFonts w:asciiTheme="majorHAnsi" w:hAnsiTheme="majorHAnsi"/>
          <w:sz w:val="20"/>
          <w:szCs w:val="20"/>
        </w:rPr>
        <w:t>усі стадії виробничого процесу від початкової</w:t>
      </w:r>
      <w:r w:rsidRPr="000977F7">
        <w:rPr>
          <w:rFonts w:asciiTheme="majorHAnsi" w:hAnsiTheme="majorHAnsi"/>
          <w:spacing w:val="1"/>
          <w:sz w:val="20"/>
          <w:szCs w:val="20"/>
        </w:rPr>
        <w:t xml:space="preserve"> </w:t>
      </w:r>
      <w:r w:rsidRPr="000977F7">
        <w:rPr>
          <w:rFonts w:asciiTheme="majorHAnsi" w:hAnsiTheme="majorHAnsi"/>
          <w:sz w:val="20"/>
          <w:szCs w:val="20"/>
        </w:rPr>
        <w:t>операції до завершальної на</w:t>
      </w:r>
      <w:r w:rsidRPr="000977F7">
        <w:rPr>
          <w:rFonts w:asciiTheme="majorHAnsi" w:hAnsiTheme="majorHAnsi"/>
          <w:spacing w:val="50"/>
          <w:sz w:val="20"/>
          <w:szCs w:val="20"/>
        </w:rPr>
        <w:t xml:space="preserve"> </w:t>
      </w:r>
      <w:r w:rsidRPr="000977F7">
        <w:rPr>
          <w:rFonts w:asciiTheme="majorHAnsi" w:hAnsiTheme="majorHAnsi"/>
          <w:sz w:val="20"/>
          <w:szCs w:val="20"/>
        </w:rPr>
        <w:t>даному підприємстві або</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підрозділі</w:t>
      </w:r>
    </w:p>
    <w:p w14:paraId="5DF1728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 –</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2974</w:t>
      </w:r>
      <w:r w:rsidRPr="000977F7">
        <w:rPr>
          <w:rFonts w:asciiTheme="majorHAnsi" w:hAnsiTheme="majorHAnsi"/>
          <w:i/>
          <w:spacing w:val="-2"/>
          <w:sz w:val="20"/>
          <w:szCs w:val="20"/>
        </w:rPr>
        <w:t xml:space="preserve"> </w:t>
      </w:r>
      <w:r w:rsidRPr="000977F7">
        <w:rPr>
          <w:rFonts w:asciiTheme="majorHAnsi" w:hAnsiTheme="majorHAnsi"/>
          <w:i/>
          <w:sz w:val="20"/>
          <w:szCs w:val="20"/>
        </w:rPr>
        <w:t>– 95</w:t>
      </w:r>
    </w:p>
    <w:p w14:paraId="12C4AF3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ВИРОБНИЧО</w:t>
      </w:r>
      <w:r w:rsidRPr="000977F7">
        <w:rPr>
          <w:color w:val="auto"/>
          <w:spacing w:val="-4"/>
          <w:sz w:val="20"/>
          <w:szCs w:val="20"/>
        </w:rPr>
        <w:t xml:space="preserve"> </w:t>
      </w:r>
      <w:r w:rsidRPr="000977F7">
        <w:rPr>
          <w:color w:val="auto"/>
          <w:sz w:val="20"/>
          <w:szCs w:val="20"/>
        </w:rPr>
        <w:t>ЗУМОВЛЕНІ</w:t>
      </w:r>
      <w:r w:rsidRPr="000977F7">
        <w:rPr>
          <w:color w:val="auto"/>
          <w:spacing w:val="-3"/>
          <w:sz w:val="20"/>
          <w:szCs w:val="20"/>
        </w:rPr>
        <w:t xml:space="preserve"> </w:t>
      </w:r>
      <w:r w:rsidRPr="000977F7">
        <w:rPr>
          <w:color w:val="auto"/>
          <w:sz w:val="20"/>
          <w:szCs w:val="20"/>
        </w:rPr>
        <w:t>ЗАХВОРЮВАННЯ</w:t>
      </w:r>
      <w:r w:rsidRPr="000977F7">
        <w:rPr>
          <w:color w:val="auto"/>
          <w:spacing w:val="-3"/>
          <w:sz w:val="20"/>
          <w:szCs w:val="20"/>
        </w:rPr>
        <w:t xml:space="preserve"> </w:t>
      </w:r>
      <w:r w:rsidRPr="000977F7">
        <w:rPr>
          <w:color w:val="auto"/>
          <w:sz w:val="20"/>
          <w:szCs w:val="20"/>
        </w:rPr>
        <w:t>–</w:t>
      </w:r>
    </w:p>
    <w:p w14:paraId="1E83A87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Захворювання, перебіг яких ускладнюється умовами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праці, а частота їх перевищує частоту у працівників,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перебувають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поза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діянням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певних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професійних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шкідливих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чинників</w:t>
      </w:r>
    </w:p>
    <w:p w14:paraId="3BE23632"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3038 – 95</w:t>
      </w:r>
    </w:p>
    <w:p w14:paraId="7045DDA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ВИРОБНИЧО</w:t>
      </w:r>
      <w:r w:rsidRPr="000977F7">
        <w:rPr>
          <w:color w:val="auto"/>
          <w:spacing w:val="-5"/>
          <w:sz w:val="20"/>
          <w:szCs w:val="20"/>
        </w:rPr>
        <w:t xml:space="preserve"> </w:t>
      </w:r>
      <w:r w:rsidRPr="000977F7">
        <w:rPr>
          <w:color w:val="auto"/>
          <w:sz w:val="20"/>
          <w:szCs w:val="20"/>
        </w:rPr>
        <w:t>ТЕХНОЛОГІЧНИЙ</w:t>
      </w:r>
      <w:r w:rsidRPr="000977F7">
        <w:rPr>
          <w:color w:val="auto"/>
          <w:spacing w:val="-3"/>
          <w:sz w:val="20"/>
          <w:szCs w:val="20"/>
        </w:rPr>
        <w:t xml:space="preserve"> </w:t>
      </w:r>
      <w:r w:rsidRPr="000977F7">
        <w:rPr>
          <w:color w:val="auto"/>
          <w:sz w:val="20"/>
          <w:szCs w:val="20"/>
        </w:rPr>
        <w:t>ПЕРСОНАЛ</w:t>
      </w:r>
      <w:r w:rsidRPr="000977F7">
        <w:rPr>
          <w:color w:val="auto"/>
          <w:spacing w:val="-1"/>
          <w:sz w:val="20"/>
          <w:szCs w:val="20"/>
        </w:rPr>
        <w:t xml:space="preserve"> </w:t>
      </w:r>
    </w:p>
    <w:p w14:paraId="4355201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PRODUCTION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TECHNOLOGICAL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STAFF -</w:t>
      </w:r>
    </w:p>
    <w:p w14:paraId="33BC0245"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Особи,</w:t>
      </w:r>
      <w:r w:rsidRPr="000977F7">
        <w:rPr>
          <w:rFonts w:asciiTheme="majorHAnsi" w:hAnsiTheme="majorHAnsi"/>
          <w:spacing w:val="35"/>
          <w:sz w:val="20"/>
          <w:szCs w:val="20"/>
        </w:rPr>
        <w:t xml:space="preserve"> </w:t>
      </w:r>
      <w:r w:rsidRPr="000977F7">
        <w:rPr>
          <w:rFonts w:asciiTheme="majorHAnsi" w:hAnsiTheme="majorHAnsi"/>
          <w:sz w:val="20"/>
          <w:szCs w:val="20"/>
        </w:rPr>
        <w:t>які</w:t>
      </w:r>
      <w:r w:rsidRPr="000977F7">
        <w:rPr>
          <w:rFonts w:asciiTheme="majorHAnsi" w:hAnsiTheme="majorHAnsi"/>
          <w:spacing w:val="35"/>
          <w:sz w:val="20"/>
          <w:szCs w:val="20"/>
        </w:rPr>
        <w:t xml:space="preserve"> </w:t>
      </w:r>
      <w:r w:rsidRPr="000977F7">
        <w:rPr>
          <w:rFonts w:asciiTheme="majorHAnsi" w:hAnsiTheme="majorHAnsi"/>
          <w:sz w:val="20"/>
          <w:szCs w:val="20"/>
        </w:rPr>
        <w:t>ініціюють,</w:t>
      </w:r>
      <w:r w:rsidRPr="000977F7">
        <w:rPr>
          <w:rFonts w:asciiTheme="majorHAnsi" w:hAnsiTheme="majorHAnsi"/>
          <w:spacing w:val="38"/>
          <w:sz w:val="20"/>
          <w:szCs w:val="20"/>
        </w:rPr>
        <w:t xml:space="preserve"> </w:t>
      </w:r>
      <w:r w:rsidRPr="000977F7">
        <w:rPr>
          <w:rFonts w:asciiTheme="majorHAnsi" w:hAnsiTheme="majorHAnsi"/>
          <w:sz w:val="20"/>
          <w:szCs w:val="20"/>
        </w:rPr>
        <w:t>контролюють</w:t>
      </w:r>
      <w:r w:rsidRPr="000977F7">
        <w:rPr>
          <w:rFonts w:asciiTheme="majorHAnsi" w:hAnsiTheme="majorHAnsi"/>
          <w:spacing w:val="35"/>
          <w:sz w:val="20"/>
          <w:szCs w:val="20"/>
        </w:rPr>
        <w:t xml:space="preserve"> </w:t>
      </w:r>
      <w:r w:rsidRPr="000977F7">
        <w:rPr>
          <w:rFonts w:asciiTheme="majorHAnsi" w:hAnsiTheme="majorHAnsi"/>
          <w:sz w:val="20"/>
          <w:szCs w:val="20"/>
        </w:rPr>
        <w:t>та</w:t>
      </w:r>
      <w:r w:rsidRPr="000977F7">
        <w:rPr>
          <w:rFonts w:asciiTheme="majorHAnsi" w:hAnsiTheme="majorHAnsi"/>
          <w:spacing w:val="38"/>
          <w:sz w:val="20"/>
          <w:szCs w:val="20"/>
        </w:rPr>
        <w:t xml:space="preserve"> </w:t>
      </w:r>
      <w:r w:rsidRPr="000977F7">
        <w:rPr>
          <w:rFonts w:asciiTheme="majorHAnsi" w:hAnsiTheme="majorHAnsi"/>
          <w:sz w:val="20"/>
          <w:szCs w:val="20"/>
        </w:rPr>
        <w:t>керують</w:t>
      </w:r>
      <w:r w:rsidRPr="000977F7">
        <w:rPr>
          <w:rFonts w:asciiTheme="majorHAnsi" w:hAnsiTheme="majorHAnsi"/>
          <w:spacing w:val="36"/>
          <w:sz w:val="20"/>
          <w:szCs w:val="20"/>
        </w:rPr>
        <w:t xml:space="preserve"> </w:t>
      </w:r>
      <w:r w:rsidRPr="000977F7">
        <w:rPr>
          <w:rFonts w:asciiTheme="majorHAnsi" w:hAnsiTheme="majorHAnsi"/>
          <w:sz w:val="20"/>
          <w:szCs w:val="20"/>
        </w:rPr>
        <w:t>технологічним</w:t>
      </w:r>
      <w:r w:rsidRPr="000977F7">
        <w:rPr>
          <w:rFonts w:asciiTheme="majorHAnsi" w:hAnsiTheme="majorHAnsi"/>
          <w:spacing w:val="42"/>
          <w:sz w:val="20"/>
          <w:szCs w:val="20"/>
        </w:rPr>
        <w:t xml:space="preserve"> </w:t>
      </w:r>
      <w:r w:rsidRPr="000977F7">
        <w:rPr>
          <w:rFonts w:asciiTheme="majorHAnsi" w:hAnsiTheme="majorHAnsi"/>
          <w:sz w:val="20"/>
          <w:szCs w:val="20"/>
        </w:rPr>
        <w:t>процесом</w:t>
      </w:r>
      <w:r w:rsidRPr="000977F7">
        <w:rPr>
          <w:rFonts w:asciiTheme="majorHAnsi" w:hAnsiTheme="majorHAnsi"/>
          <w:spacing w:val="43"/>
          <w:sz w:val="20"/>
          <w:szCs w:val="20"/>
        </w:rPr>
        <w:t xml:space="preserve"> </w:t>
      </w:r>
      <w:r w:rsidRPr="000977F7">
        <w:rPr>
          <w:rFonts w:asciiTheme="majorHAnsi" w:hAnsiTheme="majorHAnsi"/>
          <w:sz w:val="20"/>
          <w:szCs w:val="20"/>
        </w:rPr>
        <w:t>завдяки</w:t>
      </w:r>
      <w:r w:rsidRPr="000977F7">
        <w:rPr>
          <w:rFonts w:asciiTheme="majorHAnsi" w:hAnsiTheme="majorHAnsi"/>
          <w:spacing w:val="43"/>
          <w:sz w:val="20"/>
          <w:szCs w:val="20"/>
        </w:rPr>
        <w:t xml:space="preserve"> </w:t>
      </w:r>
      <w:r w:rsidRPr="000977F7">
        <w:rPr>
          <w:rFonts w:asciiTheme="majorHAnsi" w:hAnsiTheme="majorHAnsi"/>
          <w:sz w:val="20"/>
          <w:szCs w:val="20"/>
        </w:rPr>
        <w:t>безпосередньому</w:t>
      </w:r>
      <w:r w:rsidRPr="000977F7">
        <w:rPr>
          <w:rFonts w:asciiTheme="majorHAnsi" w:hAnsiTheme="majorHAnsi"/>
          <w:spacing w:val="39"/>
          <w:sz w:val="20"/>
          <w:szCs w:val="20"/>
        </w:rPr>
        <w:t xml:space="preserve"> </w:t>
      </w:r>
      <w:r w:rsidRPr="000977F7">
        <w:rPr>
          <w:rFonts w:asciiTheme="majorHAnsi" w:hAnsiTheme="majorHAnsi"/>
          <w:sz w:val="20"/>
          <w:szCs w:val="20"/>
        </w:rPr>
        <w:t>спостеріганню та діянню на технологічне обладнання</w:t>
      </w:r>
      <w:r w:rsidRPr="000977F7">
        <w:rPr>
          <w:rFonts w:asciiTheme="majorHAnsi" w:hAnsiTheme="majorHAnsi"/>
          <w:spacing w:val="1"/>
          <w:sz w:val="20"/>
          <w:szCs w:val="20"/>
        </w:rPr>
        <w:t xml:space="preserve"> </w:t>
      </w:r>
    </w:p>
    <w:p w14:paraId="4EAFDF97"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w:t>
      </w:r>
      <w:r w:rsidRPr="000977F7">
        <w:rPr>
          <w:rFonts w:asciiTheme="majorHAnsi" w:hAnsiTheme="majorHAnsi"/>
          <w:i/>
          <w:spacing w:val="2"/>
          <w:sz w:val="20"/>
          <w:szCs w:val="20"/>
        </w:rPr>
        <w:t xml:space="preserve"> - </w:t>
      </w:r>
      <w:r w:rsidRPr="000977F7">
        <w:rPr>
          <w:rFonts w:asciiTheme="majorHAnsi" w:hAnsiTheme="majorHAnsi"/>
          <w:i/>
          <w:sz w:val="20"/>
          <w:szCs w:val="20"/>
        </w:rPr>
        <w:t>2000</w:t>
      </w:r>
    </w:p>
    <w:p w14:paraId="4C218B7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ВИРУБУВАННЯ</w:t>
      </w:r>
      <w:r w:rsidRPr="000977F7">
        <w:rPr>
          <w:color w:val="auto"/>
          <w:spacing w:val="-2"/>
          <w:sz w:val="20"/>
          <w:szCs w:val="20"/>
        </w:rPr>
        <w:t xml:space="preserve"> </w:t>
      </w:r>
      <w:r w:rsidRPr="000977F7">
        <w:rPr>
          <w:color w:val="auto"/>
          <w:sz w:val="20"/>
          <w:szCs w:val="20"/>
        </w:rPr>
        <w:t>-</w:t>
      </w:r>
    </w:p>
    <w:p w14:paraId="3DF0CF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Формозмінювальна операція обробки металів тиском</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36"/>
          <w:sz w:val="20"/>
          <w:szCs w:val="20"/>
        </w:rPr>
        <w:t xml:space="preserve"> </w:t>
      </w:r>
      <w:r w:rsidRPr="000977F7">
        <w:rPr>
          <w:rFonts w:asciiTheme="majorHAnsi" w:hAnsiTheme="majorHAnsi"/>
          <w:sz w:val="20"/>
          <w:szCs w:val="20"/>
        </w:rPr>
        <w:t>повного</w:t>
      </w:r>
      <w:r w:rsidRPr="000977F7">
        <w:rPr>
          <w:rFonts w:asciiTheme="majorHAnsi" w:hAnsiTheme="majorHAnsi"/>
          <w:spacing w:val="35"/>
          <w:sz w:val="20"/>
          <w:szCs w:val="20"/>
        </w:rPr>
        <w:t xml:space="preserve"> </w:t>
      </w:r>
      <w:r w:rsidRPr="000977F7">
        <w:rPr>
          <w:rFonts w:asciiTheme="majorHAnsi" w:hAnsiTheme="majorHAnsi"/>
          <w:sz w:val="20"/>
          <w:szCs w:val="20"/>
        </w:rPr>
        <w:t>відокремлення</w:t>
      </w:r>
      <w:r w:rsidRPr="000977F7">
        <w:rPr>
          <w:rFonts w:asciiTheme="majorHAnsi" w:hAnsiTheme="majorHAnsi"/>
          <w:spacing w:val="37"/>
          <w:sz w:val="20"/>
          <w:szCs w:val="20"/>
        </w:rPr>
        <w:t xml:space="preserve"> </w:t>
      </w:r>
      <w:r w:rsidRPr="000977F7">
        <w:rPr>
          <w:rFonts w:asciiTheme="majorHAnsi" w:hAnsiTheme="majorHAnsi"/>
          <w:sz w:val="20"/>
          <w:szCs w:val="20"/>
        </w:rPr>
        <w:t>заготовки</w:t>
      </w:r>
      <w:r w:rsidRPr="000977F7">
        <w:rPr>
          <w:rFonts w:asciiTheme="majorHAnsi" w:hAnsiTheme="majorHAnsi"/>
          <w:spacing w:val="33"/>
          <w:sz w:val="20"/>
          <w:szCs w:val="20"/>
        </w:rPr>
        <w:t xml:space="preserve"> </w:t>
      </w:r>
      <w:r w:rsidRPr="000977F7">
        <w:rPr>
          <w:rFonts w:asciiTheme="majorHAnsi" w:hAnsiTheme="majorHAnsi"/>
          <w:sz w:val="20"/>
          <w:szCs w:val="20"/>
        </w:rPr>
        <w:t>або</w:t>
      </w:r>
      <w:r w:rsidRPr="000977F7">
        <w:rPr>
          <w:rFonts w:asciiTheme="majorHAnsi" w:hAnsiTheme="majorHAnsi"/>
          <w:spacing w:val="37"/>
          <w:sz w:val="20"/>
          <w:szCs w:val="20"/>
        </w:rPr>
        <w:t xml:space="preserve"> </w:t>
      </w:r>
      <w:r w:rsidRPr="000977F7">
        <w:rPr>
          <w:rFonts w:asciiTheme="majorHAnsi" w:hAnsiTheme="majorHAnsi"/>
          <w:sz w:val="20"/>
          <w:szCs w:val="20"/>
        </w:rPr>
        <w:t>деталі</w:t>
      </w:r>
      <w:r w:rsidRPr="000977F7">
        <w:rPr>
          <w:rFonts w:asciiTheme="majorHAnsi" w:hAnsiTheme="majorHAnsi"/>
          <w:spacing w:val="35"/>
          <w:sz w:val="20"/>
          <w:szCs w:val="20"/>
        </w:rPr>
        <w:t xml:space="preserve"> </w:t>
      </w:r>
      <w:r w:rsidRPr="000977F7">
        <w:rPr>
          <w:rFonts w:asciiTheme="majorHAnsi" w:hAnsiTheme="majorHAnsi"/>
          <w:sz w:val="20"/>
          <w:szCs w:val="20"/>
        </w:rPr>
        <w:t>від</w:t>
      </w:r>
      <w:r w:rsidRPr="000977F7">
        <w:rPr>
          <w:rFonts w:asciiTheme="majorHAnsi" w:hAnsiTheme="majorHAnsi"/>
          <w:spacing w:val="-47"/>
          <w:sz w:val="20"/>
          <w:szCs w:val="20"/>
        </w:rPr>
        <w:t xml:space="preserve"> </w:t>
      </w:r>
      <w:r w:rsidRPr="000977F7">
        <w:rPr>
          <w:rFonts w:asciiTheme="majorHAnsi" w:hAnsiTheme="majorHAnsi"/>
          <w:sz w:val="20"/>
          <w:szCs w:val="20"/>
        </w:rPr>
        <w:t>листового або профільного матеріалу по замкнутому</w:t>
      </w:r>
      <w:r w:rsidRPr="000977F7">
        <w:rPr>
          <w:rFonts w:asciiTheme="majorHAnsi" w:hAnsiTheme="majorHAnsi"/>
          <w:spacing w:val="1"/>
          <w:sz w:val="20"/>
          <w:szCs w:val="20"/>
        </w:rPr>
        <w:t xml:space="preserve"> </w:t>
      </w:r>
      <w:r w:rsidRPr="000977F7">
        <w:rPr>
          <w:rFonts w:asciiTheme="majorHAnsi" w:hAnsiTheme="majorHAnsi"/>
          <w:sz w:val="20"/>
          <w:szCs w:val="20"/>
        </w:rPr>
        <w:t>контуру</w:t>
      </w:r>
    </w:p>
    <w:p w14:paraId="5A56C38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ВИСАДКА</w:t>
      </w:r>
      <w:r w:rsidRPr="000977F7">
        <w:rPr>
          <w:color w:val="auto"/>
          <w:spacing w:val="-4"/>
          <w:sz w:val="20"/>
          <w:szCs w:val="20"/>
        </w:rPr>
        <w:t xml:space="preserve"> </w:t>
      </w:r>
      <w:r w:rsidRPr="000977F7">
        <w:rPr>
          <w:color w:val="auto"/>
          <w:sz w:val="20"/>
          <w:szCs w:val="20"/>
        </w:rPr>
        <w:t>-</w:t>
      </w:r>
    </w:p>
    <w:p w14:paraId="4D97656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Формозмінювальна</w:t>
      </w:r>
      <w:r w:rsidRPr="000977F7">
        <w:rPr>
          <w:rFonts w:asciiTheme="majorHAnsi" w:hAnsiTheme="majorHAnsi"/>
          <w:spacing w:val="11"/>
          <w:sz w:val="20"/>
          <w:szCs w:val="20"/>
        </w:rPr>
        <w:t xml:space="preserve"> </w:t>
      </w:r>
      <w:r w:rsidRPr="000977F7">
        <w:rPr>
          <w:rFonts w:asciiTheme="majorHAnsi" w:hAnsiTheme="majorHAnsi"/>
          <w:sz w:val="20"/>
          <w:szCs w:val="20"/>
        </w:rPr>
        <w:t>операція</w:t>
      </w:r>
      <w:r w:rsidRPr="000977F7">
        <w:rPr>
          <w:rFonts w:asciiTheme="majorHAnsi" w:hAnsiTheme="majorHAnsi"/>
          <w:spacing w:val="10"/>
          <w:sz w:val="20"/>
          <w:szCs w:val="20"/>
        </w:rPr>
        <w:t xml:space="preserve"> </w:t>
      </w:r>
      <w:r w:rsidRPr="000977F7">
        <w:rPr>
          <w:rFonts w:asciiTheme="majorHAnsi" w:hAnsiTheme="majorHAnsi"/>
          <w:sz w:val="20"/>
          <w:szCs w:val="20"/>
        </w:rPr>
        <w:t>обробки</w:t>
      </w:r>
      <w:r w:rsidRPr="000977F7">
        <w:rPr>
          <w:rFonts w:asciiTheme="majorHAnsi" w:hAnsiTheme="majorHAnsi"/>
          <w:spacing w:val="10"/>
          <w:sz w:val="20"/>
          <w:szCs w:val="20"/>
        </w:rPr>
        <w:t xml:space="preserve"> </w:t>
      </w:r>
      <w:r w:rsidRPr="000977F7">
        <w:rPr>
          <w:rFonts w:asciiTheme="majorHAnsi" w:hAnsiTheme="majorHAnsi"/>
          <w:sz w:val="20"/>
          <w:szCs w:val="20"/>
        </w:rPr>
        <w:t>металів</w:t>
      </w:r>
      <w:r w:rsidRPr="000977F7">
        <w:rPr>
          <w:rFonts w:asciiTheme="majorHAnsi" w:hAnsiTheme="majorHAnsi"/>
          <w:spacing w:val="12"/>
          <w:sz w:val="20"/>
          <w:szCs w:val="20"/>
        </w:rPr>
        <w:t xml:space="preserve"> </w:t>
      </w:r>
      <w:r w:rsidRPr="000977F7">
        <w:rPr>
          <w:rFonts w:asciiTheme="majorHAnsi" w:hAnsiTheme="majorHAnsi"/>
          <w:sz w:val="20"/>
          <w:szCs w:val="20"/>
        </w:rPr>
        <w:t>тиском,</w:t>
      </w:r>
      <w:r w:rsidRPr="000977F7">
        <w:rPr>
          <w:rFonts w:asciiTheme="majorHAnsi" w:hAnsiTheme="majorHAnsi"/>
          <w:spacing w:val="-47"/>
          <w:sz w:val="20"/>
          <w:szCs w:val="20"/>
        </w:rPr>
        <w:t xml:space="preserve"> </w:t>
      </w:r>
      <w:r w:rsidRPr="000977F7">
        <w:rPr>
          <w:rFonts w:asciiTheme="majorHAnsi" w:hAnsiTheme="majorHAnsi"/>
          <w:sz w:val="20"/>
          <w:szCs w:val="20"/>
        </w:rPr>
        <w:t>результатом</w:t>
      </w:r>
      <w:r w:rsidRPr="000977F7">
        <w:rPr>
          <w:rFonts w:asciiTheme="majorHAnsi" w:hAnsiTheme="majorHAnsi"/>
          <w:spacing w:val="-1"/>
          <w:sz w:val="20"/>
          <w:szCs w:val="20"/>
        </w:rPr>
        <w:t xml:space="preserve"> </w:t>
      </w:r>
      <w:r w:rsidRPr="000977F7">
        <w:rPr>
          <w:rFonts w:asciiTheme="majorHAnsi" w:hAnsiTheme="majorHAnsi"/>
          <w:sz w:val="20"/>
          <w:szCs w:val="20"/>
        </w:rPr>
        <w:t>якої</w:t>
      </w:r>
      <w:r w:rsidRPr="000977F7">
        <w:rPr>
          <w:rFonts w:asciiTheme="majorHAnsi" w:hAnsiTheme="majorHAnsi"/>
          <w:spacing w:val="-2"/>
          <w:sz w:val="20"/>
          <w:szCs w:val="20"/>
        </w:rPr>
        <w:t xml:space="preserve"> </w:t>
      </w:r>
      <w:r w:rsidRPr="000977F7">
        <w:rPr>
          <w:rFonts w:asciiTheme="majorHAnsi" w:hAnsiTheme="majorHAnsi"/>
          <w:sz w:val="20"/>
          <w:szCs w:val="20"/>
        </w:rPr>
        <w:t>є осадка</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r w:rsidRPr="000977F7">
        <w:rPr>
          <w:rFonts w:asciiTheme="majorHAnsi" w:hAnsiTheme="majorHAnsi"/>
          <w:spacing w:val="-2"/>
          <w:sz w:val="20"/>
          <w:szCs w:val="20"/>
        </w:rPr>
        <w:t xml:space="preserve"> </w:t>
      </w:r>
      <w:r w:rsidRPr="000977F7">
        <w:rPr>
          <w:rFonts w:asciiTheme="majorHAnsi" w:hAnsiTheme="majorHAnsi"/>
          <w:sz w:val="20"/>
          <w:szCs w:val="20"/>
        </w:rPr>
        <w:t>заготовки:</w:t>
      </w:r>
    </w:p>
    <w:p w14:paraId="441956EA" w14:textId="77777777" w:rsidR="0097612F" w:rsidRPr="000977F7" w:rsidRDefault="0097612F" w:rsidP="00FD39A4">
      <w:pPr>
        <w:pStyle w:val="ac"/>
        <w:widowControl w:val="0"/>
        <w:numPr>
          <w:ilvl w:val="0"/>
          <w:numId w:val="198"/>
        </w:numPr>
        <w:tabs>
          <w:tab w:val="left" w:pos="284"/>
          <w:tab w:val="left" w:pos="48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гаряча</w:t>
      </w:r>
      <w:r w:rsidRPr="000977F7">
        <w:rPr>
          <w:rFonts w:asciiTheme="majorHAnsi" w:hAnsiTheme="majorHAnsi"/>
          <w:spacing w:val="-3"/>
          <w:sz w:val="20"/>
          <w:szCs w:val="20"/>
        </w:rPr>
        <w:t xml:space="preserve"> </w:t>
      </w:r>
      <w:r w:rsidRPr="000977F7">
        <w:rPr>
          <w:rFonts w:asciiTheme="majorHAnsi" w:hAnsiTheme="majorHAnsi"/>
          <w:sz w:val="20"/>
          <w:szCs w:val="20"/>
        </w:rPr>
        <w:t>з</w:t>
      </w:r>
      <w:r w:rsidRPr="000977F7">
        <w:rPr>
          <w:rFonts w:asciiTheme="majorHAnsi" w:hAnsiTheme="majorHAnsi"/>
          <w:spacing w:val="-3"/>
          <w:sz w:val="20"/>
          <w:szCs w:val="20"/>
        </w:rPr>
        <w:t xml:space="preserve"> </w:t>
      </w:r>
      <w:r w:rsidRPr="000977F7">
        <w:rPr>
          <w:rFonts w:asciiTheme="majorHAnsi" w:hAnsiTheme="majorHAnsi"/>
          <w:sz w:val="20"/>
          <w:szCs w:val="20"/>
        </w:rPr>
        <w:t>нагріванням</w:t>
      </w:r>
      <w:r w:rsidRPr="000977F7">
        <w:rPr>
          <w:rFonts w:asciiTheme="majorHAnsi" w:hAnsiTheme="majorHAnsi"/>
          <w:spacing w:val="-3"/>
          <w:sz w:val="20"/>
          <w:szCs w:val="20"/>
        </w:rPr>
        <w:t xml:space="preserve"> </w:t>
      </w:r>
      <w:r w:rsidRPr="000977F7">
        <w:rPr>
          <w:rFonts w:asciiTheme="majorHAnsi" w:hAnsiTheme="majorHAnsi"/>
          <w:sz w:val="20"/>
          <w:szCs w:val="20"/>
        </w:rPr>
        <w:t>заготовки</w:t>
      </w:r>
      <w:r w:rsidRPr="000977F7">
        <w:rPr>
          <w:rFonts w:asciiTheme="majorHAnsi" w:hAnsiTheme="majorHAnsi"/>
          <w:spacing w:val="-4"/>
          <w:sz w:val="20"/>
          <w:szCs w:val="20"/>
        </w:rPr>
        <w:t xml:space="preserve"> </w:t>
      </w:r>
      <w:r w:rsidRPr="000977F7">
        <w:rPr>
          <w:rFonts w:asciiTheme="majorHAnsi" w:hAnsiTheme="majorHAnsi"/>
          <w:sz w:val="20"/>
          <w:szCs w:val="20"/>
        </w:rPr>
        <w:t>до необхідного</w:t>
      </w:r>
      <w:r w:rsidRPr="000977F7">
        <w:rPr>
          <w:rFonts w:asciiTheme="majorHAnsi" w:hAnsiTheme="majorHAnsi"/>
          <w:spacing w:val="-47"/>
          <w:sz w:val="20"/>
          <w:szCs w:val="20"/>
        </w:rPr>
        <w:t xml:space="preserve"> </w:t>
      </w:r>
      <w:r w:rsidRPr="000977F7">
        <w:rPr>
          <w:rFonts w:asciiTheme="majorHAnsi" w:hAnsiTheme="majorHAnsi"/>
          <w:sz w:val="20"/>
          <w:szCs w:val="20"/>
        </w:rPr>
        <w:t>пластичного стану</w:t>
      </w:r>
      <w:r w:rsidRPr="000977F7">
        <w:rPr>
          <w:rFonts w:asciiTheme="majorHAnsi" w:hAnsiTheme="majorHAnsi"/>
          <w:spacing w:val="-1"/>
          <w:sz w:val="20"/>
          <w:szCs w:val="20"/>
        </w:rPr>
        <w:t xml:space="preserve"> </w:t>
      </w:r>
      <w:r w:rsidRPr="000977F7">
        <w:rPr>
          <w:rFonts w:asciiTheme="majorHAnsi" w:hAnsiTheme="majorHAnsi"/>
          <w:sz w:val="20"/>
          <w:szCs w:val="20"/>
        </w:rPr>
        <w:t>метала;</w:t>
      </w:r>
    </w:p>
    <w:p w14:paraId="1B282195" w14:textId="77777777" w:rsidR="0097612F" w:rsidRPr="000977F7" w:rsidRDefault="0097612F" w:rsidP="00FD39A4">
      <w:pPr>
        <w:pStyle w:val="ac"/>
        <w:widowControl w:val="0"/>
        <w:numPr>
          <w:ilvl w:val="0"/>
          <w:numId w:val="198"/>
        </w:numPr>
        <w:tabs>
          <w:tab w:val="left" w:pos="284"/>
          <w:tab w:val="left" w:pos="48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холодна</w:t>
      </w:r>
      <w:r w:rsidRPr="000977F7">
        <w:rPr>
          <w:rFonts w:asciiTheme="majorHAnsi" w:hAnsiTheme="majorHAnsi"/>
          <w:spacing w:val="-2"/>
          <w:sz w:val="20"/>
          <w:szCs w:val="20"/>
        </w:rPr>
        <w:t xml:space="preserve"> </w:t>
      </w:r>
      <w:r w:rsidRPr="000977F7">
        <w:rPr>
          <w:rFonts w:asciiTheme="majorHAnsi" w:hAnsiTheme="majorHAnsi"/>
          <w:sz w:val="20"/>
          <w:szCs w:val="20"/>
        </w:rPr>
        <w:t>при</w:t>
      </w:r>
      <w:r w:rsidRPr="000977F7">
        <w:rPr>
          <w:rFonts w:asciiTheme="majorHAnsi" w:hAnsiTheme="majorHAnsi"/>
          <w:spacing w:val="-4"/>
          <w:sz w:val="20"/>
          <w:szCs w:val="20"/>
        </w:rPr>
        <w:t xml:space="preserve"> </w:t>
      </w:r>
      <w:r w:rsidRPr="000977F7">
        <w:rPr>
          <w:rFonts w:asciiTheme="majorHAnsi" w:hAnsiTheme="majorHAnsi"/>
          <w:sz w:val="20"/>
          <w:szCs w:val="20"/>
        </w:rPr>
        <w:t>температурі</w:t>
      </w:r>
      <w:r w:rsidRPr="000977F7">
        <w:rPr>
          <w:rFonts w:asciiTheme="majorHAnsi" w:hAnsiTheme="majorHAnsi"/>
          <w:spacing w:val="-2"/>
          <w:sz w:val="20"/>
          <w:szCs w:val="20"/>
        </w:rPr>
        <w:t xml:space="preserve"> </w:t>
      </w:r>
      <w:r w:rsidRPr="000977F7">
        <w:rPr>
          <w:rFonts w:asciiTheme="majorHAnsi" w:hAnsiTheme="majorHAnsi"/>
          <w:sz w:val="20"/>
          <w:szCs w:val="20"/>
        </w:rPr>
        <w:t>заготовки,</w:t>
      </w:r>
      <w:r w:rsidRPr="000977F7">
        <w:rPr>
          <w:rFonts w:asciiTheme="majorHAnsi" w:hAnsiTheme="majorHAnsi"/>
          <w:spacing w:val="-4"/>
          <w:sz w:val="20"/>
          <w:szCs w:val="20"/>
        </w:rPr>
        <w:t xml:space="preserve"> </w:t>
      </w:r>
      <w:r w:rsidRPr="000977F7">
        <w:rPr>
          <w:rFonts w:asciiTheme="majorHAnsi" w:hAnsiTheme="majorHAnsi"/>
          <w:sz w:val="20"/>
          <w:szCs w:val="20"/>
        </w:rPr>
        <w:t>яка</w:t>
      </w:r>
      <w:r w:rsidRPr="000977F7">
        <w:rPr>
          <w:rFonts w:asciiTheme="majorHAnsi" w:hAnsiTheme="majorHAnsi"/>
          <w:spacing w:val="-5"/>
          <w:sz w:val="20"/>
          <w:szCs w:val="20"/>
        </w:rPr>
        <w:t xml:space="preserve"> </w:t>
      </w:r>
      <w:r w:rsidRPr="000977F7">
        <w:rPr>
          <w:rFonts w:asciiTheme="majorHAnsi" w:hAnsiTheme="majorHAnsi"/>
          <w:sz w:val="20"/>
          <w:szCs w:val="20"/>
        </w:rPr>
        <w:t>дорівнює</w:t>
      </w:r>
      <w:r w:rsidRPr="000977F7">
        <w:rPr>
          <w:rFonts w:asciiTheme="majorHAnsi" w:hAnsiTheme="majorHAnsi"/>
          <w:spacing w:val="-47"/>
          <w:sz w:val="20"/>
          <w:szCs w:val="20"/>
        </w:rPr>
        <w:t xml:space="preserve"> </w:t>
      </w:r>
      <w:r w:rsidRPr="000977F7">
        <w:rPr>
          <w:rFonts w:asciiTheme="majorHAnsi" w:hAnsiTheme="majorHAnsi"/>
          <w:sz w:val="20"/>
          <w:szCs w:val="20"/>
        </w:rPr>
        <w:t>температурі</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2"/>
          <w:sz w:val="20"/>
          <w:szCs w:val="20"/>
        </w:rPr>
        <w:t xml:space="preserve"> </w:t>
      </w:r>
      <w:r w:rsidRPr="000977F7">
        <w:rPr>
          <w:rFonts w:asciiTheme="majorHAnsi" w:hAnsiTheme="majorHAnsi"/>
          <w:sz w:val="20"/>
          <w:szCs w:val="20"/>
        </w:rPr>
        <w:t>середовища</w:t>
      </w:r>
    </w:p>
    <w:p w14:paraId="6D9D0B0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ВИСІЧКА</w:t>
      </w:r>
      <w:r w:rsidRPr="000977F7">
        <w:rPr>
          <w:color w:val="auto"/>
          <w:spacing w:val="-3"/>
          <w:sz w:val="20"/>
          <w:szCs w:val="20"/>
        </w:rPr>
        <w:t xml:space="preserve"> </w:t>
      </w:r>
      <w:r w:rsidRPr="000977F7">
        <w:rPr>
          <w:color w:val="auto"/>
          <w:sz w:val="20"/>
          <w:szCs w:val="20"/>
        </w:rPr>
        <w:t>-</w:t>
      </w:r>
    </w:p>
    <w:p w14:paraId="3CBDB4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Розділювальна операція обробки металів тиском для</w:t>
      </w:r>
      <w:r w:rsidRPr="000977F7">
        <w:rPr>
          <w:rFonts w:asciiTheme="majorHAnsi" w:hAnsiTheme="majorHAnsi"/>
          <w:spacing w:val="1"/>
          <w:sz w:val="20"/>
          <w:szCs w:val="20"/>
        </w:rPr>
        <w:t xml:space="preserve"> </w:t>
      </w:r>
      <w:r w:rsidRPr="000977F7">
        <w:rPr>
          <w:rFonts w:asciiTheme="majorHAnsi" w:hAnsiTheme="majorHAnsi"/>
          <w:sz w:val="20"/>
          <w:szCs w:val="20"/>
        </w:rPr>
        <w:t>відокремлення</w:t>
      </w:r>
      <w:r w:rsidRPr="000977F7">
        <w:rPr>
          <w:rFonts w:asciiTheme="majorHAnsi" w:hAnsiTheme="majorHAnsi"/>
          <w:spacing w:val="11"/>
          <w:sz w:val="20"/>
          <w:szCs w:val="20"/>
        </w:rPr>
        <w:t xml:space="preserve"> </w:t>
      </w:r>
      <w:r w:rsidRPr="000977F7">
        <w:rPr>
          <w:rFonts w:asciiTheme="majorHAnsi" w:hAnsiTheme="majorHAnsi"/>
          <w:sz w:val="20"/>
          <w:szCs w:val="20"/>
        </w:rPr>
        <w:t>невеликої</w:t>
      </w:r>
      <w:r w:rsidRPr="000977F7">
        <w:rPr>
          <w:rFonts w:asciiTheme="majorHAnsi" w:hAnsiTheme="majorHAnsi"/>
          <w:spacing w:val="11"/>
          <w:sz w:val="20"/>
          <w:szCs w:val="20"/>
        </w:rPr>
        <w:t xml:space="preserve"> </w:t>
      </w:r>
      <w:r w:rsidRPr="000977F7">
        <w:rPr>
          <w:rFonts w:asciiTheme="majorHAnsi" w:hAnsiTheme="majorHAnsi"/>
          <w:sz w:val="20"/>
          <w:szCs w:val="20"/>
        </w:rPr>
        <w:t>частини</w:t>
      </w:r>
      <w:r w:rsidRPr="000977F7">
        <w:rPr>
          <w:rFonts w:asciiTheme="majorHAnsi" w:hAnsiTheme="majorHAnsi"/>
          <w:spacing w:val="11"/>
          <w:sz w:val="20"/>
          <w:szCs w:val="20"/>
        </w:rPr>
        <w:t xml:space="preserve"> </w:t>
      </w:r>
      <w:r w:rsidRPr="000977F7">
        <w:rPr>
          <w:rFonts w:asciiTheme="majorHAnsi" w:hAnsiTheme="majorHAnsi"/>
          <w:sz w:val="20"/>
          <w:szCs w:val="20"/>
        </w:rPr>
        <w:t>металу</w:t>
      </w:r>
      <w:r w:rsidRPr="000977F7">
        <w:rPr>
          <w:rFonts w:asciiTheme="majorHAnsi" w:hAnsiTheme="majorHAnsi"/>
          <w:spacing w:val="10"/>
          <w:sz w:val="20"/>
          <w:szCs w:val="20"/>
        </w:rPr>
        <w:t xml:space="preserve"> </w:t>
      </w:r>
      <w:r w:rsidRPr="000977F7">
        <w:rPr>
          <w:rFonts w:asciiTheme="majorHAnsi" w:hAnsiTheme="majorHAnsi"/>
          <w:sz w:val="20"/>
          <w:szCs w:val="20"/>
        </w:rPr>
        <w:t>по</w:t>
      </w:r>
      <w:r w:rsidRPr="000977F7">
        <w:rPr>
          <w:rFonts w:asciiTheme="majorHAnsi" w:hAnsiTheme="majorHAnsi"/>
          <w:spacing w:val="12"/>
          <w:sz w:val="20"/>
          <w:szCs w:val="20"/>
        </w:rPr>
        <w:t xml:space="preserve"> </w:t>
      </w:r>
      <w:r w:rsidRPr="000977F7">
        <w:rPr>
          <w:rFonts w:asciiTheme="majorHAnsi" w:hAnsiTheme="majorHAnsi"/>
          <w:sz w:val="20"/>
          <w:szCs w:val="20"/>
        </w:rPr>
        <w:t>краю</w:t>
      </w:r>
      <w:r w:rsidRPr="000977F7">
        <w:rPr>
          <w:rFonts w:asciiTheme="majorHAnsi" w:hAnsiTheme="majorHAnsi"/>
          <w:spacing w:val="19"/>
          <w:sz w:val="20"/>
          <w:szCs w:val="20"/>
        </w:rPr>
        <w:t xml:space="preserve"> </w:t>
      </w:r>
      <w:r w:rsidRPr="000977F7">
        <w:rPr>
          <w:rFonts w:asciiTheme="majorHAnsi" w:hAnsiTheme="majorHAnsi"/>
          <w:sz w:val="20"/>
          <w:szCs w:val="20"/>
        </w:rPr>
        <w:t>листової</w:t>
      </w:r>
      <w:r w:rsidRPr="000977F7">
        <w:rPr>
          <w:rFonts w:asciiTheme="majorHAnsi" w:hAnsiTheme="majorHAnsi"/>
          <w:spacing w:val="-2"/>
          <w:sz w:val="20"/>
          <w:szCs w:val="20"/>
        </w:rPr>
        <w:t xml:space="preserve"> </w:t>
      </w:r>
      <w:r w:rsidRPr="000977F7">
        <w:rPr>
          <w:rFonts w:asciiTheme="majorHAnsi" w:hAnsiTheme="majorHAnsi"/>
          <w:sz w:val="20"/>
          <w:szCs w:val="20"/>
        </w:rPr>
        <w:t>заготовки</w:t>
      </w:r>
    </w:p>
    <w:p w14:paraId="54D02C2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ВИСНОВОК</w:t>
      </w:r>
      <w:r w:rsidRPr="000977F7">
        <w:rPr>
          <w:color w:val="auto"/>
          <w:spacing w:val="-5"/>
          <w:sz w:val="20"/>
          <w:szCs w:val="20"/>
        </w:rPr>
        <w:t xml:space="preserve"> </w:t>
      </w:r>
      <w:r w:rsidRPr="000977F7">
        <w:rPr>
          <w:color w:val="auto"/>
          <w:sz w:val="20"/>
          <w:szCs w:val="20"/>
        </w:rPr>
        <w:t>АУДИТУ</w:t>
      </w:r>
      <w:r w:rsidRPr="000977F7">
        <w:rPr>
          <w:color w:val="auto"/>
          <w:spacing w:val="-1"/>
          <w:sz w:val="20"/>
          <w:szCs w:val="20"/>
        </w:rPr>
        <w:t xml:space="preserve"> </w:t>
      </w:r>
      <w:r w:rsidRPr="000977F7">
        <w:rPr>
          <w:color w:val="auto"/>
          <w:sz w:val="20"/>
          <w:szCs w:val="20"/>
        </w:rPr>
        <w:t>–</w:t>
      </w:r>
    </w:p>
    <w:p w14:paraId="513B5C1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AUDIT</w:t>
      </w:r>
      <w:r w:rsidRPr="000977F7">
        <w:rPr>
          <w:rFonts w:asciiTheme="majorHAnsi" w:hAnsiTheme="majorHAnsi"/>
          <w:spacing w:val="-1"/>
          <w:sz w:val="20"/>
          <w:szCs w:val="20"/>
        </w:rPr>
        <w:t xml:space="preserve"> </w:t>
      </w:r>
      <w:r w:rsidRPr="000977F7">
        <w:rPr>
          <w:rFonts w:asciiTheme="majorHAnsi" w:hAnsiTheme="majorHAnsi"/>
          <w:sz w:val="20"/>
          <w:szCs w:val="20"/>
        </w:rPr>
        <w:t>CONCLUSION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6D47C7F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Підсумок</w:t>
      </w:r>
      <w:r w:rsidRPr="000977F7">
        <w:rPr>
          <w:rFonts w:asciiTheme="majorHAnsi" w:hAnsiTheme="majorHAnsi"/>
          <w:spacing w:val="41"/>
          <w:sz w:val="20"/>
          <w:szCs w:val="20"/>
        </w:rPr>
        <w:t xml:space="preserve"> </w:t>
      </w:r>
      <w:r w:rsidRPr="000977F7">
        <w:rPr>
          <w:rFonts w:asciiTheme="majorHAnsi" w:hAnsiTheme="majorHAnsi"/>
          <w:sz w:val="20"/>
          <w:szCs w:val="20"/>
        </w:rPr>
        <w:t>аудиту</w:t>
      </w:r>
      <w:r w:rsidRPr="000977F7">
        <w:rPr>
          <w:rFonts w:asciiTheme="majorHAnsi" w:hAnsiTheme="majorHAnsi"/>
          <w:spacing w:val="41"/>
          <w:sz w:val="20"/>
          <w:szCs w:val="20"/>
        </w:rPr>
        <w:t xml:space="preserve"> </w:t>
      </w:r>
      <w:r w:rsidRPr="000977F7">
        <w:rPr>
          <w:rFonts w:asciiTheme="majorHAnsi" w:hAnsiTheme="majorHAnsi"/>
          <w:sz w:val="20"/>
          <w:szCs w:val="20"/>
        </w:rPr>
        <w:t>після</w:t>
      </w:r>
      <w:r w:rsidRPr="000977F7">
        <w:rPr>
          <w:rFonts w:asciiTheme="majorHAnsi" w:hAnsiTheme="majorHAnsi"/>
          <w:spacing w:val="42"/>
          <w:sz w:val="20"/>
          <w:szCs w:val="20"/>
        </w:rPr>
        <w:t xml:space="preserve"> </w:t>
      </w:r>
      <w:r w:rsidRPr="000977F7">
        <w:rPr>
          <w:rFonts w:asciiTheme="majorHAnsi" w:hAnsiTheme="majorHAnsi"/>
          <w:sz w:val="20"/>
          <w:szCs w:val="20"/>
        </w:rPr>
        <w:t>розглядання</w:t>
      </w:r>
      <w:r w:rsidRPr="000977F7">
        <w:rPr>
          <w:rFonts w:asciiTheme="majorHAnsi" w:hAnsiTheme="majorHAnsi"/>
          <w:spacing w:val="41"/>
          <w:sz w:val="20"/>
          <w:szCs w:val="20"/>
        </w:rPr>
        <w:t xml:space="preserve"> </w:t>
      </w:r>
      <w:r w:rsidRPr="000977F7">
        <w:rPr>
          <w:rFonts w:asciiTheme="majorHAnsi" w:hAnsiTheme="majorHAnsi"/>
          <w:sz w:val="20"/>
          <w:szCs w:val="20"/>
        </w:rPr>
        <w:t>цілей</w:t>
      </w:r>
      <w:r w:rsidRPr="000977F7">
        <w:rPr>
          <w:rFonts w:asciiTheme="majorHAnsi" w:hAnsiTheme="majorHAnsi"/>
          <w:spacing w:val="42"/>
          <w:sz w:val="20"/>
          <w:szCs w:val="20"/>
        </w:rPr>
        <w:t xml:space="preserve"> </w:t>
      </w:r>
      <w:r w:rsidRPr="000977F7">
        <w:rPr>
          <w:rFonts w:asciiTheme="majorHAnsi" w:hAnsiTheme="majorHAnsi"/>
          <w:sz w:val="20"/>
          <w:szCs w:val="20"/>
        </w:rPr>
        <w:t>аудиту</w:t>
      </w:r>
      <w:r w:rsidRPr="000977F7">
        <w:rPr>
          <w:rFonts w:asciiTheme="majorHAnsi" w:hAnsiTheme="majorHAnsi"/>
          <w:spacing w:val="41"/>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всіх</w:t>
      </w:r>
      <w:r w:rsidRPr="000977F7">
        <w:rPr>
          <w:rFonts w:asciiTheme="majorHAnsi" w:hAnsiTheme="majorHAnsi"/>
          <w:spacing w:val="-3"/>
          <w:sz w:val="20"/>
          <w:szCs w:val="20"/>
        </w:rPr>
        <w:t xml:space="preserve"> </w:t>
      </w:r>
      <w:r w:rsidRPr="000977F7">
        <w:rPr>
          <w:rFonts w:asciiTheme="majorHAnsi" w:hAnsiTheme="majorHAnsi"/>
          <w:sz w:val="20"/>
          <w:szCs w:val="20"/>
        </w:rPr>
        <w:t>даних</w:t>
      </w:r>
      <w:r w:rsidRPr="000977F7">
        <w:rPr>
          <w:rFonts w:asciiTheme="majorHAnsi" w:hAnsiTheme="majorHAnsi"/>
          <w:spacing w:val="-1"/>
          <w:sz w:val="20"/>
          <w:szCs w:val="20"/>
        </w:rPr>
        <w:t xml:space="preserve"> </w:t>
      </w:r>
      <w:r w:rsidRPr="000977F7">
        <w:rPr>
          <w:rFonts w:asciiTheme="majorHAnsi" w:hAnsiTheme="majorHAnsi"/>
          <w:sz w:val="20"/>
          <w:szCs w:val="20"/>
        </w:rPr>
        <w:t>аудиту.</w:t>
      </w:r>
    </w:p>
    <w:p w14:paraId="75CF867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3565F8A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ВИСНОВОК ДЕРЖАВНОЇ САНІТАРНО – ЕПІДЕМІОЛОГІЧНОЇ ЕКСПЕРТИЗИ –</w:t>
      </w:r>
    </w:p>
    <w:p w14:paraId="24017A96"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Документ установленої форми, що засвідчує відповідність (невідповідність) об'єкта державної санітарно-епідеміологічної експертизи медичним вимогам безпеки для здоров'я і життя людини, затверджується відповідним головним державним санітарним лікарем і є обов'язковим для виконання власником об'єкта експертизи</w:t>
      </w:r>
    </w:p>
    <w:p w14:paraId="67C88463"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забезпечення санітарного та епідемічного благополуччя населення"</w:t>
      </w:r>
    </w:p>
    <w:p w14:paraId="128BB72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ВИСНОВОК</w:t>
      </w:r>
      <w:r w:rsidRPr="000977F7">
        <w:rPr>
          <w:color w:val="auto"/>
          <w:spacing w:val="10"/>
          <w:sz w:val="20"/>
          <w:szCs w:val="20"/>
        </w:rPr>
        <w:t xml:space="preserve"> </w:t>
      </w:r>
      <w:r w:rsidRPr="000977F7">
        <w:rPr>
          <w:color w:val="auto"/>
          <w:sz w:val="20"/>
          <w:szCs w:val="20"/>
        </w:rPr>
        <w:t>ЗА</w:t>
      </w:r>
      <w:r w:rsidRPr="000977F7">
        <w:rPr>
          <w:color w:val="auto"/>
          <w:spacing w:val="11"/>
          <w:sz w:val="20"/>
          <w:szCs w:val="20"/>
        </w:rPr>
        <w:t xml:space="preserve"> </w:t>
      </w:r>
      <w:r w:rsidRPr="000977F7">
        <w:rPr>
          <w:color w:val="auto"/>
          <w:sz w:val="20"/>
          <w:szCs w:val="20"/>
        </w:rPr>
        <w:t>ПРОЕКТОМ</w:t>
      </w:r>
      <w:r w:rsidRPr="000977F7">
        <w:rPr>
          <w:color w:val="auto"/>
          <w:spacing w:val="13"/>
          <w:sz w:val="20"/>
          <w:szCs w:val="20"/>
        </w:rPr>
        <w:t xml:space="preserve"> </w:t>
      </w:r>
      <w:r w:rsidRPr="000977F7">
        <w:rPr>
          <w:color w:val="auto"/>
          <w:sz w:val="20"/>
          <w:szCs w:val="20"/>
        </w:rPr>
        <w:t>ПРОГРАМИ</w:t>
      </w:r>
      <w:r w:rsidRPr="000977F7">
        <w:rPr>
          <w:color w:val="auto"/>
          <w:spacing w:val="11"/>
          <w:sz w:val="20"/>
          <w:szCs w:val="20"/>
        </w:rPr>
        <w:t xml:space="preserve"> </w:t>
      </w:r>
      <w:r w:rsidRPr="000977F7">
        <w:rPr>
          <w:color w:val="auto"/>
          <w:sz w:val="20"/>
          <w:szCs w:val="20"/>
        </w:rPr>
        <w:t>РОБІТ</w:t>
      </w:r>
      <w:r w:rsidRPr="000977F7">
        <w:rPr>
          <w:color w:val="auto"/>
          <w:spacing w:val="-47"/>
          <w:sz w:val="20"/>
          <w:szCs w:val="20"/>
        </w:rPr>
        <w:t xml:space="preserve"> </w:t>
      </w:r>
      <w:r w:rsidRPr="000977F7">
        <w:rPr>
          <w:color w:val="auto"/>
          <w:sz w:val="20"/>
          <w:szCs w:val="20"/>
        </w:rPr>
        <w:t>ІЗ</w:t>
      </w:r>
      <w:r w:rsidRPr="000977F7">
        <w:rPr>
          <w:color w:val="auto"/>
          <w:spacing w:val="-1"/>
          <w:sz w:val="20"/>
          <w:szCs w:val="20"/>
        </w:rPr>
        <w:t xml:space="preserve"> </w:t>
      </w:r>
      <w:r w:rsidRPr="000977F7">
        <w:rPr>
          <w:color w:val="auto"/>
          <w:sz w:val="20"/>
          <w:szCs w:val="20"/>
        </w:rPr>
        <w:t>СТАНДАРТИЗАЦІЇ</w:t>
      </w:r>
      <w:r w:rsidRPr="000977F7">
        <w:rPr>
          <w:color w:val="auto"/>
          <w:spacing w:val="1"/>
          <w:sz w:val="20"/>
          <w:szCs w:val="20"/>
        </w:rPr>
        <w:t xml:space="preserve"> </w:t>
      </w:r>
      <w:r w:rsidRPr="000977F7">
        <w:rPr>
          <w:color w:val="auto"/>
          <w:sz w:val="20"/>
          <w:szCs w:val="20"/>
        </w:rPr>
        <w:t>–</w:t>
      </w:r>
    </w:p>
    <w:p w14:paraId="14FD862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CONCLUSIONS</w:t>
      </w:r>
      <w:r w:rsidRPr="004D2D14">
        <w:rPr>
          <w:rFonts w:asciiTheme="majorHAnsi" w:hAnsiTheme="majorHAnsi"/>
          <w:spacing w:val="39"/>
          <w:sz w:val="20"/>
          <w:szCs w:val="20"/>
          <w:lang w:val="en-US"/>
        </w:rPr>
        <w:t xml:space="preserve"> </w:t>
      </w:r>
      <w:r w:rsidRPr="004D2D14">
        <w:rPr>
          <w:rFonts w:asciiTheme="majorHAnsi" w:hAnsiTheme="majorHAnsi"/>
          <w:sz w:val="20"/>
          <w:szCs w:val="20"/>
          <w:lang w:val="en-US"/>
        </w:rPr>
        <w:t>ON</w:t>
      </w:r>
      <w:r w:rsidRPr="004D2D14">
        <w:rPr>
          <w:rFonts w:asciiTheme="majorHAnsi" w:hAnsiTheme="majorHAnsi"/>
          <w:spacing w:val="39"/>
          <w:sz w:val="20"/>
          <w:szCs w:val="20"/>
          <w:lang w:val="en-US"/>
        </w:rPr>
        <w:t xml:space="preserve"> </w:t>
      </w:r>
      <w:r w:rsidRPr="004D2D14">
        <w:rPr>
          <w:rFonts w:asciiTheme="majorHAnsi" w:hAnsiTheme="majorHAnsi"/>
          <w:sz w:val="20"/>
          <w:szCs w:val="20"/>
          <w:lang w:val="en-US"/>
        </w:rPr>
        <w:t>THE</w:t>
      </w:r>
      <w:r w:rsidRPr="004D2D14">
        <w:rPr>
          <w:rFonts w:asciiTheme="majorHAnsi" w:hAnsiTheme="majorHAnsi"/>
          <w:spacing w:val="37"/>
          <w:sz w:val="20"/>
          <w:szCs w:val="20"/>
          <w:lang w:val="en-US"/>
        </w:rPr>
        <w:t xml:space="preserve"> </w:t>
      </w:r>
      <w:r w:rsidRPr="004D2D14">
        <w:rPr>
          <w:rFonts w:asciiTheme="majorHAnsi" w:hAnsiTheme="majorHAnsi"/>
          <w:sz w:val="20"/>
          <w:szCs w:val="20"/>
          <w:lang w:val="en-US"/>
        </w:rPr>
        <w:t>DRAFT</w:t>
      </w:r>
      <w:r w:rsidRPr="004D2D14">
        <w:rPr>
          <w:rFonts w:asciiTheme="majorHAnsi" w:hAnsiTheme="majorHAnsi"/>
          <w:spacing w:val="39"/>
          <w:sz w:val="20"/>
          <w:szCs w:val="20"/>
          <w:lang w:val="en-US"/>
        </w:rPr>
        <w:t xml:space="preserve"> </w:t>
      </w:r>
      <w:r w:rsidRPr="004D2D14">
        <w:rPr>
          <w:rFonts w:asciiTheme="majorHAnsi" w:hAnsiTheme="majorHAnsi"/>
          <w:sz w:val="20"/>
          <w:szCs w:val="20"/>
          <w:lang w:val="en-US"/>
        </w:rPr>
        <w:t>PROGRAM</w:t>
      </w:r>
      <w:r w:rsidRPr="004D2D14">
        <w:rPr>
          <w:rFonts w:asciiTheme="majorHAnsi" w:hAnsiTheme="majorHAnsi"/>
          <w:spacing w:val="39"/>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STANDARTIZATION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WORK –</w:t>
      </w:r>
    </w:p>
    <w:p w14:paraId="5D0FF76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в якому наведені результати проведеної державною організацією робіт з аналізу та оцінки проекту</w:t>
      </w:r>
      <w:r w:rsidRPr="000977F7">
        <w:rPr>
          <w:rFonts w:asciiTheme="majorHAnsi" w:hAnsiTheme="majorHAnsi"/>
          <w:spacing w:val="1"/>
          <w:sz w:val="20"/>
          <w:szCs w:val="20"/>
        </w:rPr>
        <w:t xml:space="preserve"> </w:t>
      </w:r>
      <w:r w:rsidRPr="000977F7">
        <w:rPr>
          <w:rFonts w:asciiTheme="majorHAnsi" w:hAnsiTheme="majorHAnsi"/>
          <w:sz w:val="20"/>
          <w:szCs w:val="20"/>
        </w:rPr>
        <w:t>програми</w:t>
      </w:r>
      <w:r w:rsidRPr="000977F7">
        <w:rPr>
          <w:rFonts w:asciiTheme="majorHAnsi" w:hAnsiTheme="majorHAnsi"/>
          <w:spacing w:val="-2"/>
          <w:sz w:val="20"/>
          <w:szCs w:val="20"/>
        </w:rPr>
        <w:t xml:space="preserve"> </w:t>
      </w:r>
      <w:r w:rsidRPr="000977F7">
        <w:rPr>
          <w:rFonts w:asciiTheme="majorHAnsi" w:hAnsiTheme="majorHAnsi"/>
          <w:sz w:val="20"/>
          <w:szCs w:val="20"/>
        </w:rPr>
        <w:t>робіт</w:t>
      </w:r>
    </w:p>
    <w:p w14:paraId="489332F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ВИТРАТИ,</w:t>
      </w:r>
      <w:r w:rsidRPr="000977F7">
        <w:rPr>
          <w:color w:val="auto"/>
          <w:spacing w:val="44"/>
          <w:sz w:val="20"/>
          <w:szCs w:val="20"/>
        </w:rPr>
        <w:t xml:space="preserve"> </w:t>
      </w:r>
      <w:r w:rsidRPr="000977F7">
        <w:rPr>
          <w:color w:val="auto"/>
          <w:sz w:val="20"/>
          <w:szCs w:val="20"/>
        </w:rPr>
        <w:t>ПОВ’ЯЗАНІ</w:t>
      </w:r>
      <w:r w:rsidRPr="000977F7">
        <w:rPr>
          <w:color w:val="auto"/>
          <w:spacing w:val="-4"/>
          <w:sz w:val="20"/>
          <w:szCs w:val="20"/>
        </w:rPr>
        <w:t xml:space="preserve"> </w:t>
      </w:r>
      <w:r w:rsidRPr="000977F7">
        <w:rPr>
          <w:color w:val="auto"/>
          <w:sz w:val="20"/>
          <w:szCs w:val="20"/>
        </w:rPr>
        <w:t>З</w:t>
      </w:r>
      <w:r w:rsidRPr="000977F7">
        <w:rPr>
          <w:color w:val="auto"/>
          <w:spacing w:val="-5"/>
          <w:sz w:val="20"/>
          <w:szCs w:val="20"/>
        </w:rPr>
        <w:t xml:space="preserve"> </w:t>
      </w:r>
      <w:r w:rsidRPr="000977F7">
        <w:rPr>
          <w:color w:val="auto"/>
          <w:sz w:val="20"/>
          <w:szCs w:val="20"/>
        </w:rPr>
        <w:t>ЯКІСТЮ –</w:t>
      </w:r>
    </w:p>
    <w:p w14:paraId="5215F91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QUALITY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 RELATED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COSTS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3001509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Витрати</w:t>
      </w:r>
      <w:r w:rsidRPr="004D2D14">
        <w:rPr>
          <w:rFonts w:asciiTheme="majorHAnsi" w:hAnsiTheme="majorHAnsi"/>
          <w:sz w:val="20"/>
          <w:szCs w:val="20"/>
          <w:lang w:val="en-US"/>
        </w:rPr>
        <w:t xml:space="preserve">, </w:t>
      </w:r>
      <w:r w:rsidRPr="000977F7">
        <w:rPr>
          <w:rFonts w:asciiTheme="majorHAnsi" w:hAnsiTheme="majorHAnsi"/>
          <w:sz w:val="20"/>
          <w:szCs w:val="20"/>
        </w:rPr>
        <w:t>які</w:t>
      </w:r>
      <w:r w:rsidRPr="004D2D14">
        <w:rPr>
          <w:rFonts w:asciiTheme="majorHAnsi" w:hAnsiTheme="majorHAnsi"/>
          <w:sz w:val="20"/>
          <w:szCs w:val="20"/>
          <w:lang w:val="en-US"/>
        </w:rPr>
        <w:t xml:space="preserve"> </w:t>
      </w:r>
      <w:r w:rsidRPr="000977F7">
        <w:rPr>
          <w:rFonts w:asciiTheme="majorHAnsi" w:hAnsiTheme="majorHAnsi"/>
          <w:sz w:val="20"/>
          <w:szCs w:val="20"/>
        </w:rPr>
        <w:t>виникають</w:t>
      </w:r>
      <w:r w:rsidRPr="004D2D14">
        <w:rPr>
          <w:rFonts w:asciiTheme="majorHAnsi" w:hAnsiTheme="majorHAnsi"/>
          <w:sz w:val="20"/>
          <w:szCs w:val="20"/>
          <w:lang w:val="en-US"/>
        </w:rPr>
        <w:t xml:space="preserve"> </w:t>
      </w:r>
      <w:r w:rsidRPr="000977F7">
        <w:rPr>
          <w:rFonts w:asciiTheme="majorHAnsi" w:hAnsiTheme="majorHAnsi"/>
          <w:sz w:val="20"/>
          <w:szCs w:val="20"/>
        </w:rPr>
        <w:t>під</w:t>
      </w:r>
      <w:r w:rsidRPr="004D2D14">
        <w:rPr>
          <w:rFonts w:asciiTheme="majorHAnsi" w:hAnsiTheme="majorHAnsi"/>
          <w:sz w:val="20"/>
          <w:szCs w:val="20"/>
          <w:lang w:val="en-US"/>
        </w:rPr>
        <w:t xml:space="preserve"> </w:t>
      </w:r>
      <w:r w:rsidRPr="000977F7">
        <w:rPr>
          <w:rFonts w:asciiTheme="majorHAnsi" w:hAnsiTheme="majorHAnsi"/>
          <w:sz w:val="20"/>
          <w:szCs w:val="20"/>
        </w:rPr>
        <w:t>час</w:t>
      </w:r>
      <w:r w:rsidRPr="004D2D14">
        <w:rPr>
          <w:rFonts w:asciiTheme="majorHAnsi" w:hAnsiTheme="majorHAnsi"/>
          <w:sz w:val="20"/>
          <w:szCs w:val="20"/>
          <w:lang w:val="en-US"/>
        </w:rPr>
        <w:t xml:space="preserve"> </w:t>
      </w:r>
      <w:r w:rsidRPr="000977F7">
        <w:rPr>
          <w:rFonts w:asciiTheme="majorHAnsi" w:hAnsiTheme="majorHAnsi"/>
          <w:sz w:val="20"/>
          <w:szCs w:val="20"/>
        </w:rPr>
        <w:t>забезпечення</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гарантування</w:t>
      </w:r>
      <w:r w:rsidRPr="004D2D14">
        <w:rPr>
          <w:rFonts w:asciiTheme="majorHAnsi" w:hAnsiTheme="majorHAnsi"/>
          <w:sz w:val="20"/>
          <w:szCs w:val="20"/>
          <w:lang w:val="en-US"/>
        </w:rPr>
        <w:t xml:space="preserve"> </w:t>
      </w:r>
      <w:r w:rsidRPr="000977F7">
        <w:rPr>
          <w:rFonts w:asciiTheme="majorHAnsi" w:hAnsiTheme="majorHAnsi"/>
          <w:sz w:val="20"/>
          <w:szCs w:val="20"/>
        </w:rPr>
        <w:t>задовільної</w:t>
      </w:r>
      <w:r w:rsidRPr="004D2D14">
        <w:rPr>
          <w:rFonts w:asciiTheme="majorHAnsi" w:hAnsiTheme="majorHAnsi"/>
          <w:sz w:val="20"/>
          <w:szCs w:val="20"/>
          <w:lang w:val="en-US"/>
        </w:rPr>
        <w:t xml:space="preserve"> </w:t>
      </w:r>
      <w:r w:rsidRPr="000977F7">
        <w:rPr>
          <w:rFonts w:asciiTheme="majorHAnsi" w:hAnsiTheme="majorHAnsi"/>
          <w:sz w:val="20"/>
          <w:szCs w:val="20"/>
        </w:rPr>
        <w:t>якості</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а</w:t>
      </w:r>
      <w:r w:rsidRPr="004D2D14">
        <w:rPr>
          <w:rFonts w:asciiTheme="majorHAnsi" w:hAnsiTheme="majorHAnsi"/>
          <w:spacing w:val="1"/>
          <w:sz w:val="20"/>
          <w:szCs w:val="20"/>
          <w:lang w:val="en-US"/>
        </w:rPr>
        <w:t xml:space="preserve"> </w:t>
      </w:r>
      <w:r w:rsidRPr="000977F7">
        <w:rPr>
          <w:rFonts w:asciiTheme="majorHAnsi" w:hAnsiTheme="majorHAnsi"/>
          <w:sz w:val="20"/>
          <w:szCs w:val="20"/>
        </w:rPr>
        <w:t>також</w:t>
      </w:r>
      <w:r w:rsidRPr="004D2D14">
        <w:rPr>
          <w:rFonts w:asciiTheme="majorHAnsi" w:hAnsiTheme="majorHAnsi"/>
          <w:spacing w:val="50"/>
          <w:sz w:val="20"/>
          <w:szCs w:val="20"/>
          <w:lang w:val="en-US"/>
        </w:rPr>
        <w:t xml:space="preserve"> </w:t>
      </w:r>
      <w:r w:rsidRPr="000977F7">
        <w:rPr>
          <w:rFonts w:asciiTheme="majorHAnsi" w:hAnsiTheme="majorHAnsi"/>
          <w:sz w:val="20"/>
          <w:szCs w:val="20"/>
        </w:rPr>
        <w:t>втрати</w:t>
      </w:r>
      <w:r w:rsidRPr="004D2D14">
        <w:rPr>
          <w:rFonts w:asciiTheme="majorHAnsi" w:hAnsiTheme="majorHAnsi"/>
          <w:sz w:val="20"/>
          <w:szCs w:val="20"/>
          <w:lang w:val="en-US"/>
        </w:rPr>
        <w:t xml:space="preserve"> </w:t>
      </w:r>
      <w:r w:rsidRPr="000977F7">
        <w:rPr>
          <w:rFonts w:asciiTheme="majorHAnsi" w:hAnsiTheme="majorHAnsi"/>
          <w:sz w:val="20"/>
          <w:szCs w:val="20"/>
        </w:rPr>
        <w:t>від</w:t>
      </w:r>
      <w:r w:rsidRPr="004D2D14">
        <w:rPr>
          <w:rFonts w:asciiTheme="majorHAnsi" w:hAnsiTheme="majorHAnsi"/>
          <w:sz w:val="20"/>
          <w:szCs w:val="20"/>
          <w:lang w:val="en-US"/>
        </w:rPr>
        <w:t xml:space="preserve"> </w:t>
      </w:r>
      <w:r w:rsidRPr="000977F7">
        <w:rPr>
          <w:rFonts w:asciiTheme="majorHAnsi" w:hAnsiTheme="majorHAnsi"/>
          <w:sz w:val="20"/>
          <w:szCs w:val="20"/>
        </w:rPr>
        <w:t>того</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не</w:t>
      </w:r>
      <w:r w:rsidRPr="004D2D14">
        <w:rPr>
          <w:rFonts w:asciiTheme="majorHAnsi" w:hAnsiTheme="majorHAnsi"/>
          <w:spacing w:val="-1"/>
          <w:sz w:val="20"/>
          <w:szCs w:val="20"/>
          <w:lang w:val="en-US"/>
        </w:rPr>
        <w:t xml:space="preserve"> </w:t>
      </w:r>
      <w:r w:rsidRPr="000977F7">
        <w:rPr>
          <w:rFonts w:asciiTheme="majorHAnsi" w:hAnsiTheme="majorHAnsi"/>
          <w:sz w:val="20"/>
          <w:szCs w:val="20"/>
        </w:rPr>
        <w:t>досягнено</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задовільної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якості</w:t>
      </w:r>
      <w:r w:rsidRPr="004D2D14">
        <w:rPr>
          <w:rFonts w:asciiTheme="majorHAnsi" w:hAnsiTheme="majorHAnsi"/>
          <w:sz w:val="20"/>
          <w:szCs w:val="20"/>
          <w:lang w:val="en-US"/>
        </w:rPr>
        <w:t>.</w:t>
      </w:r>
    </w:p>
    <w:p w14:paraId="3D7D0F3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01BD7578" w14:textId="77777777" w:rsidR="0097612F" w:rsidRPr="000977F7" w:rsidRDefault="0097612F" w:rsidP="00FD39A4">
      <w:pPr>
        <w:pStyle w:val="ac"/>
        <w:widowControl w:val="0"/>
        <w:numPr>
          <w:ilvl w:val="0"/>
          <w:numId w:val="197"/>
        </w:numPr>
        <w:tabs>
          <w:tab w:val="left" w:pos="284"/>
          <w:tab w:val="left" w:pos="65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Витрати, пов’язані з якістю, класифікують в організації</w:t>
      </w:r>
      <w:r w:rsidRPr="000977F7">
        <w:rPr>
          <w:rFonts w:asciiTheme="majorHAnsi" w:hAnsiTheme="majorHAnsi"/>
          <w:spacing w:val="-2"/>
          <w:sz w:val="20"/>
          <w:szCs w:val="20"/>
        </w:rPr>
        <w:t xml:space="preserve"> </w:t>
      </w:r>
      <w:r w:rsidRPr="000977F7">
        <w:rPr>
          <w:rFonts w:asciiTheme="majorHAnsi" w:hAnsiTheme="majorHAnsi"/>
          <w:sz w:val="20"/>
          <w:szCs w:val="20"/>
        </w:rPr>
        <w:t>згідно з</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власними</w:t>
      </w:r>
      <w:r w:rsidRPr="000977F7">
        <w:rPr>
          <w:rFonts w:asciiTheme="majorHAnsi" w:hAnsiTheme="majorHAnsi"/>
          <w:spacing w:val="-2"/>
          <w:sz w:val="20"/>
          <w:szCs w:val="20"/>
        </w:rPr>
        <w:t xml:space="preserve"> </w:t>
      </w:r>
      <w:r w:rsidRPr="000977F7">
        <w:rPr>
          <w:rFonts w:asciiTheme="majorHAnsi" w:hAnsiTheme="majorHAnsi"/>
          <w:sz w:val="20"/>
          <w:szCs w:val="20"/>
        </w:rPr>
        <w:t>критеріями</w:t>
      </w:r>
      <w:r w:rsidRPr="000977F7">
        <w:rPr>
          <w:rFonts w:asciiTheme="majorHAnsi" w:hAnsiTheme="majorHAnsi"/>
          <w:sz w:val="20"/>
          <w:szCs w:val="20"/>
        </w:rPr>
        <w:tab/>
        <w:t>Деякі</w:t>
      </w:r>
      <w:r w:rsidRPr="000977F7">
        <w:rPr>
          <w:rFonts w:asciiTheme="majorHAnsi" w:hAnsiTheme="majorHAnsi"/>
          <w:spacing w:val="1"/>
          <w:sz w:val="20"/>
          <w:szCs w:val="20"/>
        </w:rPr>
        <w:t xml:space="preserve"> </w:t>
      </w:r>
      <w:r w:rsidRPr="000977F7">
        <w:rPr>
          <w:rFonts w:asciiTheme="majorHAnsi" w:hAnsiTheme="majorHAnsi"/>
          <w:sz w:val="20"/>
          <w:szCs w:val="20"/>
        </w:rPr>
        <w:t>втрати</w:t>
      </w:r>
      <w:r w:rsidRPr="000977F7">
        <w:rPr>
          <w:rFonts w:asciiTheme="majorHAnsi" w:hAnsiTheme="majorHAnsi"/>
          <w:spacing w:val="1"/>
          <w:sz w:val="20"/>
          <w:szCs w:val="20"/>
        </w:rPr>
        <w:t xml:space="preserve"> </w:t>
      </w:r>
      <w:r w:rsidRPr="000977F7">
        <w:rPr>
          <w:rFonts w:asciiTheme="majorHAnsi" w:hAnsiTheme="majorHAnsi"/>
          <w:sz w:val="20"/>
          <w:szCs w:val="20"/>
        </w:rPr>
        <w:t>складно</w:t>
      </w:r>
      <w:r w:rsidRPr="000977F7">
        <w:rPr>
          <w:rFonts w:asciiTheme="majorHAnsi" w:hAnsiTheme="majorHAnsi"/>
          <w:spacing w:val="1"/>
          <w:sz w:val="20"/>
          <w:szCs w:val="20"/>
        </w:rPr>
        <w:t xml:space="preserve"> </w:t>
      </w:r>
      <w:r w:rsidRPr="000977F7">
        <w:rPr>
          <w:rFonts w:asciiTheme="majorHAnsi" w:hAnsiTheme="majorHAnsi"/>
          <w:sz w:val="20"/>
          <w:szCs w:val="20"/>
        </w:rPr>
        <w:t>визначити</w:t>
      </w:r>
      <w:r w:rsidRPr="000977F7">
        <w:rPr>
          <w:rFonts w:asciiTheme="majorHAnsi" w:hAnsiTheme="majorHAnsi"/>
          <w:spacing w:val="1"/>
          <w:sz w:val="20"/>
          <w:szCs w:val="20"/>
        </w:rPr>
        <w:t xml:space="preserve"> </w:t>
      </w:r>
      <w:r w:rsidRPr="000977F7">
        <w:rPr>
          <w:rFonts w:asciiTheme="majorHAnsi" w:hAnsiTheme="majorHAnsi"/>
          <w:sz w:val="20"/>
          <w:szCs w:val="20"/>
        </w:rPr>
        <w:t>кількісно,</w:t>
      </w:r>
      <w:r w:rsidRPr="000977F7">
        <w:rPr>
          <w:rFonts w:asciiTheme="majorHAnsi" w:hAnsiTheme="majorHAnsi"/>
          <w:spacing w:val="1"/>
          <w:sz w:val="20"/>
          <w:szCs w:val="20"/>
        </w:rPr>
        <w:t xml:space="preserve"> </w:t>
      </w:r>
      <w:r w:rsidRPr="000977F7">
        <w:rPr>
          <w:rFonts w:asciiTheme="majorHAnsi" w:hAnsiTheme="majorHAnsi"/>
          <w:sz w:val="20"/>
          <w:szCs w:val="20"/>
        </w:rPr>
        <w:t>але</w:t>
      </w:r>
      <w:r w:rsidRPr="000977F7">
        <w:rPr>
          <w:rFonts w:asciiTheme="majorHAnsi" w:hAnsiTheme="majorHAnsi"/>
          <w:spacing w:val="1"/>
          <w:sz w:val="20"/>
          <w:szCs w:val="20"/>
        </w:rPr>
        <w:t xml:space="preserve"> </w:t>
      </w:r>
      <w:r w:rsidRPr="000977F7">
        <w:rPr>
          <w:rFonts w:asciiTheme="majorHAnsi" w:hAnsiTheme="majorHAnsi"/>
          <w:sz w:val="20"/>
          <w:szCs w:val="20"/>
        </w:rPr>
        <w:t>вони</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дуже</w:t>
      </w:r>
      <w:r w:rsidRPr="000977F7">
        <w:rPr>
          <w:rFonts w:asciiTheme="majorHAnsi" w:hAnsiTheme="majorHAnsi"/>
          <w:spacing w:val="1"/>
          <w:sz w:val="20"/>
          <w:szCs w:val="20"/>
        </w:rPr>
        <w:t xml:space="preserve"> </w:t>
      </w:r>
      <w:r w:rsidRPr="000977F7">
        <w:rPr>
          <w:rFonts w:asciiTheme="majorHAnsi" w:hAnsiTheme="majorHAnsi"/>
          <w:sz w:val="20"/>
          <w:szCs w:val="20"/>
        </w:rPr>
        <w:t>суттєвими,</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такі,</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втрата</w:t>
      </w:r>
      <w:r w:rsidRPr="000977F7">
        <w:rPr>
          <w:rFonts w:asciiTheme="majorHAnsi" w:hAnsiTheme="majorHAnsi"/>
          <w:spacing w:val="2"/>
          <w:sz w:val="20"/>
          <w:szCs w:val="20"/>
        </w:rPr>
        <w:t xml:space="preserve"> </w:t>
      </w:r>
      <w:r w:rsidRPr="000977F7">
        <w:rPr>
          <w:rFonts w:asciiTheme="majorHAnsi" w:hAnsiTheme="majorHAnsi"/>
          <w:sz w:val="20"/>
          <w:szCs w:val="20"/>
        </w:rPr>
        <w:t>престижу</w:t>
      </w:r>
      <w:r w:rsidRPr="000977F7">
        <w:rPr>
          <w:rFonts w:asciiTheme="majorHAnsi" w:hAnsiTheme="majorHAnsi"/>
          <w:spacing w:val="-5"/>
          <w:sz w:val="20"/>
          <w:szCs w:val="20"/>
        </w:rPr>
        <w:t xml:space="preserve"> </w:t>
      </w:r>
      <w:r w:rsidRPr="000977F7">
        <w:rPr>
          <w:rFonts w:asciiTheme="majorHAnsi" w:hAnsiTheme="majorHAnsi"/>
          <w:sz w:val="20"/>
          <w:szCs w:val="20"/>
        </w:rPr>
        <w:t>фірми</w:t>
      </w:r>
    </w:p>
    <w:p w14:paraId="5C5030D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ВИТРИВАЛІСТЬ</w:t>
      </w:r>
      <w:r w:rsidRPr="000977F7">
        <w:rPr>
          <w:color w:val="auto"/>
          <w:spacing w:val="-4"/>
          <w:sz w:val="20"/>
          <w:szCs w:val="20"/>
        </w:rPr>
        <w:t xml:space="preserve"> </w:t>
      </w:r>
      <w:r w:rsidRPr="000977F7">
        <w:rPr>
          <w:color w:val="auto"/>
          <w:sz w:val="20"/>
          <w:szCs w:val="20"/>
        </w:rPr>
        <w:t>–</w:t>
      </w:r>
    </w:p>
    <w:p w14:paraId="0B6DB2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Здатність матеріалів і конструкцій чинити опір дії</w:t>
      </w:r>
      <w:r w:rsidRPr="000977F7">
        <w:rPr>
          <w:rFonts w:asciiTheme="majorHAnsi" w:hAnsiTheme="majorHAnsi"/>
          <w:spacing w:val="1"/>
          <w:sz w:val="20"/>
          <w:szCs w:val="20"/>
        </w:rPr>
        <w:t xml:space="preserve"> </w:t>
      </w:r>
      <w:r w:rsidRPr="000977F7">
        <w:rPr>
          <w:rFonts w:asciiTheme="majorHAnsi" w:hAnsiTheme="majorHAnsi"/>
          <w:sz w:val="20"/>
          <w:szCs w:val="20"/>
        </w:rPr>
        <w:t>циклічного</w:t>
      </w:r>
      <w:r w:rsidRPr="000977F7">
        <w:rPr>
          <w:rFonts w:asciiTheme="majorHAnsi" w:hAnsiTheme="majorHAnsi"/>
          <w:spacing w:val="-5"/>
          <w:sz w:val="20"/>
          <w:szCs w:val="20"/>
        </w:rPr>
        <w:t xml:space="preserve"> </w:t>
      </w:r>
      <w:r w:rsidRPr="000977F7">
        <w:rPr>
          <w:rFonts w:asciiTheme="majorHAnsi" w:hAnsiTheme="majorHAnsi"/>
          <w:sz w:val="20"/>
          <w:szCs w:val="20"/>
        </w:rPr>
        <w:t>навантаження</w:t>
      </w:r>
      <w:r w:rsidRPr="000977F7">
        <w:rPr>
          <w:rFonts w:asciiTheme="majorHAnsi" w:hAnsiTheme="majorHAnsi"/>
          <w:spacing w:val="-3"/>
          <w:sz w:val="20"/>
          <w:szCs w:val="20"/>
        </w:rPr>
        <w:t xml:space="preserve"> </w:t>
      </w:r>
      <w:r w:rsidRPr="000977F7">
        <w:rPr>
          <w:rFonts w:asciiTheme="majorHAnsi" w:hAnsiTheme="majorHAnsi"/>
          <w:sz w:val="20"/>
          <w:szCs w:val="20"/>
        </w:rPr>
        <w:t>до</w:t>
      </w:r>
      <w:r w:rsidRPr="000977F7">
        <w:rPr>
          <w:rFonts w:asciiTheme="majorHAnsi" w:hAnsiTheme="majorHAnsi"/>
          <w:spacing w:val="-5"/>
          <w:sz w:val="20"/>
          <w:szCs w:val="20"/>
        </w:rPr>
        <w:t xml:space="preserve"> </w:t>
      </w:r>
      <w:r w:rsidRPr="000977F7">
        <w:rPr>
          <w:rFonts w:asciiTheme="majorHAnsi" w:hAnsiTheme="majorHAnsi"/>
          <w:sz w:val="20"/>
          <w:szCs w:val="20"/>
        </w:rPr>
        <w:t>бази</w:t>
      </w:r>
      <w:r w:rsidRPr="000977F7">
        <w:rPr>
          <w:rFonts w:asciiTheme="majorHAnsi" w:hAnsiTheme="majorHAnsi"/>
          <w:spacing w:val="-6"/>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3"/>
          <w:sz w:val="20"/>
          <w:szCs w:val="20"/>
        </w:rPr>
        <w:t xml:space="preserve"> </w:t>
      </w:r>
      <w:r w:rsidRPr="000977F7">
        <w:rPr>
          <w:rFonts w:asciiTheme="majorHAnsi" w:hAnsiTheme="majorHAnsi"/>
          <w:sz w:val="20"/>
          <w:szCs w:val="20"/>
        </w:rPr>
        <w:t>без</w:t>
      </w:r>
      <w:r w:rsidRPr="000977F7">
        <w:rPr>
          <w:rFonts w:asciiTheme="majorHAnsi" w:hAnsiTheme="majorHAnsi"/>
          <w:spacing w:val="-48"/>
          <w:sz w:val="20"/>
          <w:szCs w:val="20"/>
        </w:rPr>
        <w:t xml:space="preserve"> </w:t>
      </w:r>
      <w:r w:rsidRPr="000977F7">
        <w:rPr>
          <w:rFonts w:asciiTheme="majorHAnsi" w:hAnsiTheme="majorHAnsi"/>
          <w:sz w:val="20"/>
          <w:szCs w:val="20"/>
        </w:rPr>
        <w:t>втомного руйнування</w:t>
      </w:r>
    </w:p>
    <w:p w14:paraId="0A75CEE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48FD64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ВИТЯГУВАННЯ</w:t>
      </w:r>
      <w:r w:rsidRPr="000977F7">
        <w:rPr>
          <w:color w:val="auto"/>
          <w:spacing w:val="-3"/>
          <w:sz w:val="20"/>
          <w:szCs w:val="20"/>
        </w:rPr>
        <w:t xml:space="preserve"> </w:t>
      </w:r>
      <w:r w:rsidRPr="000977F7">
        <w:rPr>
          <w:color w:val="auto"/>
          <w:sz w:val="20"/>
          <w:szCs w:val="20"/>
        </w:rPr>
        <w:t>-</w:t>
      </w:r>
    </w:p>
    <w:p w14:paraId="7D1C318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Формозмінювальна</w:t>
      </w:r>
      <w:r w:rsidRPr="000977F7">
        <w:rPr>
          <w:rFonts w:asciiTheme="majorHAnsi" w:hAnsiTheme="majorHAnsi"/>
          <w:spacing w:val="-5"/>
          <w:sz w:val="20"/>
          <w:szCs w:val="20"/>
        </w:rPr>
        <w:t xml:space="preserve"> </w:t>
      </w:r>
      <w:r w:rsidRPr="000977F7">
        <w:rPr>
          <w:rFonts w:asciiTheme="majorHAnsi" w:hAnsiTheme="majorHAnsi"/>
          <w:sz w:val="20"/>
          <w:szCs w:val="20"/>
        </w:rPr>
        <w:t>операція</w:t>
      </w:r>
      <w:r w:rsidRPr="000977F7">
        <w:rPr>
          <w:rFonts w:asciiTheme="majorHAnsi" w:hAnsiTheme="majorHAnsi"/>
          <w:spacing w:val="-5"/>
          <w:sz w:val="20"/>
          <w:szCs w:val="20"/>
        </w:rPr>
        <w:t xml:space="preserve"> </w:t>
      </w:r>
      <w:r w:rsidRPr="000977F7">
        <w:rPr>
          <w:rFonts w:asciiTheme="majorHAnsi" w:hAnsiTheme="majorHAnsi"/>
          <w:sz w:val="20"/>
          <w:szCs w:val="20"/>
        </w:rPr>
        <w:t>обробки</w:t>
      </w:r>
      <w:r w:rsidRPr="000977F7">
        <w:rPr>
          <w:rFonts w:asciiTheme="majorHAnsi" w:hAnsiTheme="majorHAnsi"/>
          <w:spacing w:val="-6"/>
          <w:sz w:val="20"/>
          <w:szCs w:val="20"/>
        </w:rPr>
        <w:t xml:space="preserve"> </w:t>
      </w:r>
      <w:r w:rsidRPr="000977F7">
        <w:rPr>
          <w:rFonts w:asciiTheme="majorHAnsi" w:hAnsiTheme="majorHAnsi"/>
          <w:sz w:val="20"/>
          <w:szCs w:val="20"/>
        </w:rPr>
        <w:t>металів</w:t>
      </w:r>
      <w:r w:rsidRPr="000977F7">
        <w:rPr>
          <w:rFonts w:asciiTheme="majorHAnsi" w:hAnsiTheme="majorHAnsi"/>
          <w:spacing w:val="-5"/>
          <w:sz w:val="20"/>
          <w:szCs w:val="20"/>
        </w:rPr>
        <w:t xml:space="preserve"> </w:t>
      </w:r>
      <w:r w:rsidRPr="000977F7">
        <w:rPr>
          <w:rFonts w:asciiTheme="majorHAnsi" w:hAnsiTheme="majorHAnsi"/>
          <w:sz w:val="20"/>
          <w:szCs w:val="20"/>
        </w:rPr>
        <w:t>тиском</w:t>
      </w:r>
      <w:r w:rsidRPr="000977F7">
        <w:rPr>
          <w:rFonts w:asciiTheme="majorHAnsi" w:hAnsiTheme="majorHAnsi"/>
          <w:spacing w:val="-48"/>
          <w:sz w:val="20"/>
          <w:szCs w:val="20"/>
        </w:rPr>
        <w:t xml:space="preserve"> </w:t>
      </w:r>
      <w:r w:rsidRPr="000977F7">
        <w:rPr>
          <w:rFonts w:asciiTheme="majorHAnsi" w:hAnsiTheme="majorHAnsi"/>
          <w:sz w:val="20"/>
          <w:szCs w:val="20"/>
        </w:rPr>
        <w:t>для утворення порожнистої деталі із пласкої заготов</w:t>
      </w:r>
      <w:r w:rsidRPr="000977F7">
        <w:rPr>
          <w:rFonts w:asciiTheme="majorHAnsi" w:hAnsiTheme="majorHAnsi"/>
          <w:spacing w:val="-47"/>
          <w:sz w:val="20"/>
          <w:szCs w:val="20"/>
        </w:rPr>
        <w:t xml:space="preserve"> </w:t>
      </w:r>
      <w:r w:rsidRPr="000977F7">
        <w:rPr>
          <w:rFonts w:asciiTheme="majorHAnsi" w:hAnsiTheme="majorHAnsi"/>
          <w:sz w:val="20"/>
          <w:szCs w:val="20"/>
        </w:rPr>
        <w:t>ки у</w:t>
      </w:r>
      <w:r w:rsidRPr="000977F7">
        <w:rPr>
          <w:rFonts w:asciiTheme="majorHAnsi" w:hAnsiTheme="majorHAnsi"/>
          <w:spacing w:val="-1"/>
          <w:sz w:val="20"/>
          <w:szCs w:val="20"/>
        </w:rPr>
        <w:t xml:space="preserve"> </w:t>
      </w:r>
      <w:r w:rsidRPr="000977F7">
        <w:rPr>
          <w:rFonts w:asciiTheme="majorHAnsi" w:hAnsiTheme="majorHAnsi"/>
          <w:sz w:val="20"/>
          <w:szCs w:val="20"/>
        </w:rPr>
        <w:t>витягувальних</w:t>
      </w:r>
      <w:r w:rsidRPr="000977F7">
        <w:rPr>
          <w:rFonts w:asciiTheme="majorHAnsi" w:hAnsiTheme="majorHAnsi"/>
          <w:spacing w:val="-1"/>
          <w:sz w:val="20"/>
          <w:szCs w:val="20"/>
        </w:rPr>
        <w:t xml:space="preserve"> </w:t>
      </w:r>
      <w:r w:rsidRPr="000977F7">
        <w:rPr>
          <w:rFonts w:asciiTheme="majorHAnsi" w:hAnsiTheme="majorHAnsi"/>
          <w:sz w:val="20"/>
          <w:szCs w:val="20"/>
        </w:rPr>
        <w:t>штампах</w:t>
      </w:r>
    </w:p>
    <w:p w14:paraId="3DA478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ВИХІД</w:t>
      </w:r>
      <w:r w:rsidRPr="000977F7">
        <w:rPr>
          <w:color w:val="auto"/>
          <w:spacing w:val="-3"/>
          <w:sz w:val="20"/>
          <w:szCs w:val="20"/>
        </w:rPr>
        <w:t xml:space="preserve"> </w:t>
      </w:r>
      <w:r w:rsidRPr="000977F7">
        <w:rPr>
          <w:color w:val="auto"/>
          <w:sz w:val="20"/>
          <w:szCs w:val="20"/>
        </w:rPr>
        <w:t>-</w:t>
      </w:r>
    </w:p>
    <w:p w14:paraId="69C221E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OUTPUT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79B8A4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Результат</w:t>
      </w:r>
      <w:r w:rsidRPr="000977F7">
        <w:rPr>
          <w:rFonts w:asciiTheme="majorHAnsi" w:hAnsiTheme="majorHAnsi"/>
          <w:spacing w:val="-6"/>
          <w:sz w:val="20"/>
          <w:szCs w:val="20"/>
        </w:rPr>
        <w:t xml:space="preserve"> </w:t>
      </w:r>
      <w:r w:rsidRPr="000977F7">
        <w:rPr>
          <w:rFonts w:asciiTheme="majorHAnsi" w:hAnsiTheme="majorHAnsi"/>
          <w:sz w:val="20"/>
          <w:szCs w:val="20"/>
        </w:rPr>
        <w:t>процесу.</w:t>
      </w:r>
    </w:p>
    <w:p w14:paraId="0514030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Чи є вихід 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продукцією чи послугою, залежить від того, які з характеристик</w:t>
      </w:r>
      <w:r w:rsidRPr="000977F7">
        <w:rPr>
          <w:rFonts w:asciiTheme="majorHAnsi" w:hAnsiTheme="majorHAnsi"/>
          <w:spacing w:val="1"/>
          <w:sz w:val="20"/>
          <w:szCs w:val="20"/>
        </w:rPr>
        <w:t xml:space="preserve"> </w:t>
      </w:r>
      <w:r w:rsidRPr="000977F7">
        <w:rPr>
          <w:rFonts w:asciiTheme="majorHAnsi" w:hAnsiTheme="majorHAnsi"/>
          <w:sz w:val="20"/>
          <w:szCs w:val="20"/>
        </w:rPr>
        <w:t>переважають, наприклад, картина для продажу в</w:t>
      </w:r>
      <w:r w:rsidRPr="000977F7">
        <w:rPr>
          <w:rFonts w:asciiTheme="majorHAnsi" w:hAnsiTheme="majorHAnsi"/>
          <w:spacing w:val="1"/>
          <w:sz w:val="20"/>
          <w:szCs w:val="20"/>
        </w:rPr>
        <w:t xml:space="preserve"> </w:t>
      </w:r>
      <w:r w:rsidRPr="000977F7">
        <w:rPr>
          <w:rFonts w:asciiTheme="majorHAnsi" w:hAnsiTheme="majorHAnsi"/>
          <w:sz w:val="20"/>
          <w:szCs w:val="20"/>
        </w:rPr>
        <w:t>галереї – це продукція, тоді як постачання картини на</w:t>
      </w:r>
      <w:r w:rsidRPr="000977F7">
        <w:rPr>
          <w:rFonts w:asciiTheme="majorHAnsi" w:hAnsiTheme="majorHAnsi"/>
          <w:spacing w:val="1"/>
          <w:sz w:val="20"/>
          <w:szCs w:val="20"/>
        </w:rPr>
        <w:t xml:space="preserve"> </w:t>
      </w:r>
      <w:r w:rsidRPr="000977F7">
        <w:rPr>
          <w:rFonts w:asciiTheme="majorHAnsi" w:hAnsiTheme="majorHAnsi"/>
          <w:sz w:val="20"/>
          <w:szCs w:val="20"/>
        </w:rPr>
        <w:t>замовлення послуга, гамбургер, куплений в магазині, це продукція, тоді як</w:t>
      </w:r>
      <w:r w:rsidRPr="000977F7">
        <w:rPr>
          <w:rFonts w:asciiTheme="majorHAnsi" w:hAnsiTheme="majorHAnsi"/>
          <w:spacing w:val="1"/>
          <w:sz w:val="20"/>
          <w:szCs w:val="20"/>
        </w:rPr>
        <w:t xml:space="preserve"> </w:t>
      </w:r>
      <w:r w:rsidRPr="000977F7">
        <w:rPr>
          <w:rFonts w:asciiTheme="majorHAnsi" w:hAnsiTheme="majorHAnsi"/>
          <w:sz w:val="20"/>
          <w:szCs w:val="20"/>
        </w:rPr>
        <w:t>отримання замовлення та</w:t>
      </w:r>
      <w:r w:rsidRPr="000977F7">
        <w:rPr>
          <w:rFonts w:asciiTheme="majorHAnsi" w:hAnsiTheme="majorHAnsi"/>
          <w:spacing w:val="1"/>
          <w:sz w:val="20"/>
          <w:szCs w:val="20"/>
        </w:rPr>
        <w:t xml:space="preserve"> </w:t>
      </w:r>
      <w:r w:rsidRPr="000977F7">
        <w:rPr>
          <w:rFonts w:asciiTheme="majorHAnsi" w:hAnsiTheme="majorHAnsi"/>
          <w:sz w:val="20"/>
          <w:szCs w:val="20"/>
        </w:rPr>
        <w:t>подавання замовленого гамбургера в ресторані – послуга</w:t>
      </w:r>
    </w:p>
    <w:p w14:paraId="6BC529D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3"/>
          <w:sz w:val="20"/>
          <w:szCs w:val="20"/>
        </w:rPr>
        <w:t xml:space="preserve"> </w:t>
      </w:r>
      <w:r w:rsidRPr="000977F7">
        <w:rPr>
          <w:rFonts w:asciiTheme="majorHAnsi" w:hAnsiTheme="majorHAnsi"/>
          <w:i/>
          <w:sz w:val="20"/>
          <w:szCs w:val="20"/>
        </w:rPr>
        <w:t>9000:2015</w:t>
      </w:r>
    </w:p>
    <w:p w14:paraId="05E1FD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об’єкта, призначена видавати діяння на інший</w:t>
      </w:r>
      <w:r w:rsidRPr="000977F7">
        <w:rPr>
          <w:rFonts w:asciiTheme="majorHAnsi" w:hAnsiTheme="majorHAnsi"/>
          <w:spacing w:val="-2"/>
          <w:sz w:val="20"/>
          <w:szCs w:val="20"/>
        </w:rPr>
        <w:t xml:space="preserve"> </w:t>
      </w:r>
      <w:r w:rsidRPr="000977F7">
        <w:rPr>
          <w:rFonts w:asciiTheme="majorHAnsi" w:hAnsiTheme="majorHAnsi"/>
          <w:sz w:val="20"/>
          <w:szCs w:val="20"/>
        </w:rPr>
        <w:t>або інші об’єкти</w:t>
      </w:r>
    </w:p>
    <w:p w14:paraId="49CA220F"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3956 -</w:t>
      </w:r>
      <w:r w:rsidRPr="000977F7">
        <w:rPr>
          <w:rFonts w:asciiTheme="majorHAnsi" w:hAnsiTheme="majorHAnsi"/>
          <w:i/>
          <w:spacing w:val="2"/>
          <w:sz w:val="20"/>
          <w:szCs w:val="20"/>
        </w:rPr>
        <w:t xml:space="preserve"> </w:t>
      </w:r>
      <w:r w:rsidRPr="000977F7">
        <w:rPr>
          <w:rFonts w:asciiTheme="majorHAnsi" w:hAnsiTheme="majorHAnsi"/>
          <w:i/>
          <w:sz w:val="20"/>
          <w:szCs w:val="20"/>
        </w:rPr>
        <w:t>2000</w:t>
      </w:r>
      <w:r w:rsidRPr="000977F7">
        <w:rPr>
          <w:rFonts w:asciiTheme="majorHAnsi" w:hAnsiTheme="majorHAnsi"/>
          <w:i/>
          <w:spacing w:val="1"/>
          <w:sz w:val="20"/>
          <w:szCs w:val="20"/>
        </w:rPr>
        <w:t xml:space="preserve"> </w:t>
      </w:r>
    </w:p>
    <w:p w14:paraId="6A8966A0"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ВИХІДНЕ ДІЯННЯ –</w:t>
      </w:r>
    </w:p>
    <w:p w14:paraId="3432E56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OUTPUT</w:t>
      </w:r>
      <w:r w:rsidRPr="000977F7">
        <w:rPr>
          <w:rFonts w:asciiTheme="majorHAnsi" w:hAnsiTheme="majorHAnsi"/>
          <w:spacing w:val="1"/>
          <w:sz w:val="20"/>
          <w:szCs w:val="20"/>
        </w:rPr>
        <w:t xml:space="preserve"> </w:t>
      </w:r>
      <w:r w:rsidRPr="000977F7">
        <w:rPr>
          <w:rFonts w:asciiTheme="majorHAnsi" w:hAnsiTheme="majorHAnsi"/>
          <w:sz w:val="20"/>
          <w:szCs w:val="20"/>
        </w:rPr>
        <w:t>ACTION -</w:t>
      </w:r>
    </w:p>
    <w:p w14:paraId="1F97CC7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Діяння,</w:t>
      </w:r>
      <w:r w:rsidRPr="000977F7">
        <w:rPr>
          <w:rFonts w:asciiTheme="majorHAnsi" w:hAnsiTheme="majorHAnsi"/>
          <w:spacing w:val="-4"/>
          <w:sz w:val="20"/>
          <w:szCs w:val="20"/>
        </w:rPr>
        <w:t xml:space="preserve"> </w:t>
      </w:r>
      <w:r w:rsidRPr="000977F7">
        <w:rPr>
          <w:rFonts w:asciiTheme="majorHAnsi" w:hAnsiTheme="majorHAnsi"/>
          <w:sz w:val="20"/>
          <w:szCs w:val="20"/>
        </w:rPr>
        <w:t>направлене</w:t>
      </w:r>
      <w:r w:rsidRPr="000977F7">
        <w:rPr>
          <w:rFonts w:asciiTheme="majorHAnsi" w:hAnsiTheme="majorHAnsi"/>
          <w:spacing w:val="-4"/>
          <w:sz w:val="20"/>
          <w:szCs w:val="20"/>
        </w:rPr>
        <w:t xml:space="preserve"> </w:t>
      </w:r>
      <w:r w:rsidRPr="000977F7">
        <w:rPr>
          <w:rFonts w:asciiTheme="majorHAnsi" w:hAnsiTheme="majorHAnsi"/>
          <w:sz w:val="20"/>
          <w:szCs w:val="20"/>
        </w:rPr>
        <w:t>з</w:t>
      </w:r>
      <w:r w:rsidRPr="000977F7">
        <w:rPr>
          <w:rFonts w:asciiTheme="majorHAnsi" w:hAnsiTheme="majorHAnsi"/>
          <w:spacing w:val="-4"/>
          <w:sz w:val="20"/>
          <w:szCs w:val="20"/>
        </w:rPr>
        <w:t xml:space="preserve"> </w:t>
      </w:r>
      <w:r w:rsidRPr="000977F7">
        <w:rPr>
          <w:rFonts w:asciiTheme="majorHAnsi" w:hAnsiTheme="majorHAnsi"/>
          <w:sz w:val="20"/>
          <w:szCs w:val="20"/>
        </w:rPr>
        <w:t>виходу</w:t>
      </w:r>
      <w:r w:rsidRPr="000977F7">
        <w:rPr>
          <w:rFonts w:asciiTheme="majorHAnsi" w:hAnsiTheme="majorHAnsi"/>
          <w:spacing w:val="-3"/>
          <w:sz w:val="20"/>
          <w:szCs w:val="20"/>
        </w:rPr>
        <w:t xml:space="preserve"> </w:t>
      </w:r>
      <w:r w:rsidRPr="000977F7">
        <w:rPr>
          <w:rFonts w:asciiTheme="majorHAnsi" w:hAnsiTheme="majorHAnsi"/>
          <w:sz w:val="20"/>
          <w:szCs w:val="20"/>
        </w:rPr>
        <w:t>об’єкта</w:t>
      </w:r>
    </w:p>
    <w:p w14:paraId="1D8B59C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 </w:t>
      </w:r>
      <w:r w:rsidRPr="000977F7">
        <w:rPr>
          <w:rFonts w:asciiTheme="majorHAnsi" w:hAnsiTheme="majorHAnsi"/>
          <w:i/>
          <w:sz w:val="20"/>
          <w:szCs w:val="20"/>
        </w:rPr>
        <w:t>2000</w:t>
      </w:r>
    </w:p>
    <w:p w14:paraId="060006C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ВИХІДНИЙ ЗРАЗКОВИЙ ЗАСІБ </w:t>
      </w:r>
    </w:p>
    <w:p w14:paraId="4A0FDD5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ВИМІРЮВА</w:t>
      </w:r>
      <w:r w:rsidRPr="000977F7">
        <w:rPr>
          <w:color w:val="auto"/>
          <w:spacing w:val="-47"/>
          <w:sz w:val="20"/>
          <w:szCs w:val="20"/>
        </w:rPr>
        <w:t xml:space="preserve"> </w:t>
      </w:r>
      <w:r w:rsidRPr="000977F7">
        <w:rPr>
          <w:color w:val="auto"/>
          <w:sz w:val="20"/>
          <w:szCs w:val="20"/>
        </w:rPr>
        <w:t>ЛЬНОЇ</w:t>
      </w:r>
      <w:r w:rsidRPr="000977F7">
        <w:rPr>
          <w:color w:val="auto"/>
          <w:spacing w:val="-2"/>
          <w:sz w:val="20"/>
          <w:szCs w:val="20"/>
        </w:rPr>
        <w:t xml:space="preserve"> </w:t>
      </w:r>
      <w:r w:rsidRPr="000977F7">
        <w:rPr>
          <w:color w:val="auto"/>
          <w:sz w:val="20"/>
          <w:szCs w:val="20"/>
        </w:rPr>
        <w:t>ТЕХНІКИ</w:t>
      </w:r>
      <w:r w:rsidRPr="000977F7">
        <w:rPr>
          <w:color w:val="auto"/>
          <w:spacing w:val="1"/>
          <w:sz w:val="20"/>
          <w:szCs w:val="20"/>
        </w:rPr>
        <w:t xml:space="preserve"> </w:t>
      </w:r>
      <w:r w:rsidRPr="000977F7">
        <w:rPr>
          <w:color w:val="auto"/>
          <w:sz w:val="20"/>
          <w:szCs w:val="20"/>
        </w:rPr>
        <w:t>–</w:t>
      </w:r>
    </w:p>
    <w:p w14:paraId="5DAA905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REFFRENCE</w:t>
      </w:r>
      <w:r w:rsidRPr="004D2D14">
        <w:rPr>
          <w:rFonts w:asciiTheme="majorHAnsi" w:hAnsiTheme="majorHAnsi"/>
          <w:spacing w:val="-1"/>
          <w:sz w:val="20"/>
          <w:szCs w:val="20"/>
          <w:lang w:val="uk-UA"/>
        </w:rPr>
        <w:t xml:space="preserve"> </w:t>
      </w:r>
      <w:r w:rsidRPr="000977F7">
        <w:rPr>
          <w:rFonts w:asciiTheme="majorHAnsi" w:hAnsiTheme="majorHAnsi"/>
          <w:sz w:val="20"/>
          <w:szCs w:val="20"/>
        </w:rPr>
        <w:t>STANDART</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73715078" w14:textId="77777777" w:rsidR="0097612F" w:rsidRPr="004D2D14" w:rsidRDefault="0097612F" w:rsidP="000977F7">
      <w:pPr>
        <w:pStyle w:val="af6"/>
        <w:tabs>
          <w:tab w:val="left" w:pos="284"/>
        </w:tabs>
        <w:spacing w:after="0"/>
        <w:ind w:left="170"/>
        <w:mirrorIndents/>
        <w:jc w:val="both"/>
        <w:rPr>
          <w:rFonts w:asciiTheme="majorHAnsi" w:hAnsiTheme="majorHAnsi"/>
          <w:spacing w:val="1"/>
          <w:w w:val="95"/>
          <w:sz w:val="20"/>
          <w:szCs w:val="20"/>
          <w:lang w:val="uk-UA"/>
        </w:rPr>
      </w:pPr>
      <w:r w:rsidRPr="004D2D14">
        <w:rPr>
          <w:rFonts w:asciiTheme="majorHAnsi" w:hAnsiTheme="majorHAnsi"/>
          <w:spacing w:val="-2"/>
          <w:sz w:val="20"/>
          <w:szCs w:val="20"/>
          <w:lang w:val="uk-UA"/>
        </w:rPr>
        <w:t>Засіб</w:t>
      </w:r>
      <w:r w:rsidRPr="004D2D14">
        <w:rPr>
          <w:rFonts w:asciiTheme="majorHAnsi" w:hAnsiTheme="majorHAnsi"/>
          <w:spacing w:val="-11"/>
          <w:sz w:val="20"/>
          <w:szCs w:val="20"/>
          <w:lang w:val="uk-UA"/>
        </w:rPr>
        <w:t xml:space="preserve"> </w:t>
      </w:r>
      <w:r w:rsidRPr="004D2D14">
        <w:rPr>
          <w:rFonts w:asciiTheme="majorHAnsi" w:hAnsiTheme="majorHAnsi"/>
          <w:spacing w:val="-2"/>
          <w:sz w:val="20"/>
          <w:szCs w:val="20"/>
          <w:lang w:val="uk-UA"/>
        </w:rPr>
        <w:t>вимірювальної</w:t>
      </w:r>
      <w:r w:rsidRPr="004D2D14">
        <w:rPr>
          <w:rFonts w:asciiTheme="majorHAnsi" w:hAnsiTheme="majorHAnsi"/>
          <w:spacing w:val="-8"/>
          <w:sz w:val="20"/>
          <w:szCs w:val="20"/>
          <w:lang w:val="uk-UA"/>
        </w:rPr>
        <w:t xml:space="preserve"> </w:t>
      </w:r>
      <w:r w:rsidRPr="004D2D14">
        <w:rPr>
          <w:rFonts w:asciiTheme="majorHAnsi" w:hAnsiTheme="majorHAnsi"/>
          <w:spacing w:val="-2"/>
          <w:sz w:val="20"/>
          <w:szCs w:val="20"/>
          <w:lang w:val="uk-UA"/>
        </w:rPr>
        <w:t>техніки</w:t>
      </w:r>
      <w:r w:rsidRPr="004D2D14">
        <w:rPr>
          <w:rFonts w:asciiTheme="majorHAnsi" w:hAnsiTheme="majorHAnsi"/>
          <w:spacing w:val="-8"/>
          <w:sz w:val="20"/>
          <w:szCs w:val="20"/>
          <w:lang w:val="uk-UA"/>
        </w:rPr>
        <w:t xml:space="preserve"> </w:t>
      </w:r>
      <w:r w:rsidRPr="004D2D14">
        <w:rPr>
          <w:rFonts w:asciiTheme="majorHAnsi" w:hAnsiTheme="majorHAnsi"/>
          <w:spacing w:val="-2"/>
          <w:sz w:val="20"/>
          <w:szCs w:val="20"/>
          <w:lang w:val="uk-UA"/>
        </w:rPr>
        <w:t>(засіб</w:t>
      </w:r>
      <w:r w:rsidRPr="004D2D14">
        <w:rPr>
          <w:rFonts w:asciiTheme="majorHAnsi" w:hAnsiTheme="majorHAnsi"/>
          <w:spacing w:val="-9"/>
          <w:sz w:val="20"/>
          <w:szCs w:val="20"/>
          <w:lang w:val="uk-UA"/>
        </w:rPr>
        <w:t xml:space="preserve"> </w:t>
      </w:r>
      <w:r w:rsidRPr="004D2D14">
        <w:rPr>
          <w:rFonts w:asciiTheme="majorHAnsi" w:hAnsiTheme="majorHAnsi"/>
          <w:spacing w:val="-2"/>
          <w:sz w:val="20"/>
          <w:szCs w:val="20"/>
          <w:lang w:val="uk-UA"/>
        </w:rPr>
        <w:t>вимірювань),</w:t>
      </w:r>
      <w:r w:rsidRPr="004D2D14">
        <w:rPr>
          <w:rFonts w:asciiTheme="majorHAnsi" w:hAnsiTheme="majorHAnsi"/>
          <w:spacing w:val="-8"/>
          <w:sz w:val="20"/>
          <w:szCs w:val="20"/>
          <w:lang w:val="uk-UA"/>
        </w:rPr>
        <w:t xml:space="preserve"> </w:t>
      </w:r>
      <w:r w:rsidRPr="004D2D14">
        <w:rPr>
          <w:rFonts w:asciiTheme="majorHAnsi" w:hAnsiTheme="majorHAnsi"/>
          <w:spacing w:val="-2"/>
          <w:sz w:val="20"/>
          <w:szCs w:val="20"/>
          <w:lang w:val="uk-UA"/>
        </w:rPr>
        <w:t>що</w:t>
      </w:r>
      <w:r w:rsidRPr="004D2D14">
        <w:rPr>
          <w:rFonts w:asciiTheme="majorHAnsi" w:hAnsiTheme="majorHAnsi"/>
          <w:spacing w:val="-9"/>
          <w:sz w:val="20"/>
          <w:szCs w:val="20"/>
          <w:lang w:val="uk-UA"/>
        </w:rPr>
        <w:t xml:space="preserve"> </w:t>
      </w:r>
      <w:r w:rsidRPr="004D2D14">
        <w:rPr>
          <w:rFonts w:asciiTheme="majorHAnsi" w:hAnsiTheme="majorHAnsi"/>
          <w:spacing w:val="-1"/>
          <w:sz w:val="20"/>
          <w:szCs w:val="20"/>
          <w:lang w:val="uk-UA"/>
        </w:rPr>
        <w:t>має</w:t>
      </w:r>
      <w:r w:rsidRPr="004D2D14">
        <w:rPr>
          <w:rFonts w:asciiTheme="majorHAnsi" w:hAnsiTheme="majorHAnsi"/>
          <w:spacing w:val="-47"/>
          <w:sz w:val="20"/>
          <w:szCs w:val="20"/>
          <w:lang w:val="uk-UA"/>
        </w:rPr>
        <w:t xml:space="preserve"> </w:t>
      </w:r>
      <w:r w:rsidRPr="004D2D14">
        <w:rPr>
          <w:rFonts w:asciiTheme="majorHAnsi" w:hAnsiTheme="majorHAnsi"/>
          <w:spacing w:val="-1"/>
          <w:sz w:val="20"/>
          <w:szCs w:val="20"/>
          <w:lang w:val="uk-UA"/>
        </w:rPr>
        <w:t>метрологічні</w:t>
      </w:r>
      <w:r w:rsidRPr="004D2D14">
        <w:rPr>
          <w:rFonts w:asciiTheme="majorHAnsi" w:hAnsiTheme="majorHAnsi"/>
          <w:spacing w:val="18"/>
          <w:sz w:val="20"/>
          <w:szCs w:val="20"/>
          <w:lang w:val="uk-UA"/>
        </w:rPr>
        <w:t xml:space="preserve"> </w:t>
      </w:r>
      <w:r w:rsidRPr="004D2D14">
        <w:rPr>
          <w:rFonts w:asciiTheme="majorHAnsi" w:hAnsiTheme="majorHAnsi"/>
          <w:spacing w:val="-1"/>
          <w:sz w:val="20"/>
          <w:szCs w:val="20"/>
          <w:lang w:val="uk-UA"/>
        </w:rPr>
        <w:t>характеристики,</w:t>
      </w:r>
      <w:r w:rsidRPr="004D2D14">
        <w:rPr>
          <w:rFonts w:asciiTheme="majorHAnsi" w:hAnsiTheme="majorHAnsi"/>
          <w:spacing w:val="17"/>
          <w:sz w:val="20"/>
          <w:szCs w:val="20"/>
          <w:lang w:val="uk-UA"/>
        </w:rPr>
        <w:t xml:space="preserve"> </w:t>
      </w:r>
      <w:r w:rsidRPr="004D2D14">
        <w:rPr>
          <w:rFonts w:asciiTheme="majorHAnsi" w:hAnsiTheme="majorHAnsi"/>
          <w:spacing w:val="-1"/>
          <w:sz w:val="20"/>
          <w:szCs w:val="20"/>
          <w:lang w:val="uk-UA"/>
        </w:rPr>
        <w:t>які</w:t>
      </w:r>
      <w:r w:rsidRPr="004D2D14">
        <w:rPr>
          <w:rFonts w:asciiTheme="majorHAnsi" w:hAnsiTheme="majorHAnsi"/>
          <w:spacing w:val="16"/>
          <w:sz w:val="20"/>
          <w:szCs w:val="20"/>
          <w:lang w:val="uk-UA"/>
        </w:rPr>
        <w:t xml:space="preserve"> </w:t>
      </w:r>
      <w:r w:rsidRPr="004D2D14">
        <w:rPr>
          <w:rFonts w:asciiTheme="majorHAnsi" w:hAnsiTheme="majorHAnsi"/>
          <w:spacing w:val="-1"/>
          <w:sz w:val="20"/>
          <w:szCs w:val="20"/>
          <w:lang w:val="uk-UA"/>
        </w:rPr>
        <w:t>відповідають</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найви</w:t>
      </w:r>
      <w:r w:rsidRPr="004D2D14">
        <w:rPr>
          <w:rFonts w:asciiTheme="majorHAnsi" w:hAnsiTheme="majorHAnsi"/>
          <w:w w:val="95"/>
          <w:sz w:val="20"/>
          <w:szCs w:val="20"/>
          <w:lang w:val="uk-UA"/>
        </w:rPr>
        <w:t>щому ступеню повірочної схеми метрологічної служби</w:t>
      </w:r>
      <w:r w:rsidRPr="004D2D14">
        <w:rPr>
          <w:rFonts w:asciiTheme="majorHAnsi" w:hAnsiTheme="majorHAnsi"/>
          <w:spacing w:val="1"/>
          <w:w w:val="95"/>
          <w:sz w:val="20"/>
          <w:szCs w:val="20"/>
          <w:lang w:val="uk-UA"/>
        </w:rPr>
        <w:t xml:space="preserve"> </w:t>
      </w:r>
    </w:p>
    <w:p w14:paraId="5D290221"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2681</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0943939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ВИХІДНИЙ</w:t>
      </w:r>
      <w:r w:rsidRPr="000977F7">
        <w:rPr>
          <w:color w:val="auto"/>
          <w:spacing w:val="-4"/>
          <w:sz w:val="20"/>
          <w:szCs w:val="20"/>
        </w:rPr>
        <w:t xml:space="preserve"> </w:t>
      </w:r>
      <w:r w:rsidRPr="000977F7">
        <w:rPr>
          <w:color w:val="auto"/>
          <w:sz w:val="20"/>
          <w:szCs w:val="20"/>
        </w:rPr>
        <w:t>РІВЕНЬ</w:t>
      </w:r>
      <w:r w:rsidRPr="000977F7">
        <w:rPr>
          <w:color w:val="auto"/>
          <w:spacing w:val="-5"/>
          <w:sz w:val="20"/>
          <w:szCs w:val="20"/>
        </w:rPr>
        <w:t xml:space="preserve"> </w:t>
      </w:r>
      <w:r w:rsidRPr="000977F7">
        <w:rPr>
          <w:color w:val="auto"/>
          <w:sz w:val="20"/>
          <w:szCs w:val="20"/>
        </w:rPr>
        <w:t>ДЕФЕКТНОСТІ</w:t>
      </w:r>
      <w:r w:rsidRPr="000977F7">
        <w:rPr>
          <w:color w:val="auto"/>
          <w:spacing w:val="-3"/>
          <w:sz w:val="20"/>
          <w:szCs w:val="20"/>
        </w:rPr>
        <w:t xml:space="preserve"> </w:t>
      </w:r>
      <w:r w:rsidRPr="000977F7">
        <w:rPr>
          <w:color w:val="auto"/>
          <w:sz w:val="20"/>
          <w:szCs w:val="20"/>
        </w:rPr>
        <w:t>–</w:t>
      </w:r>
    </w:p>
    <w:p w14:paraId="0082CFE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OUTGOING</w:t>
      </w:r>
      <w:r w:rsidRPr="004D2D14">
        <w:rPr>
          <w:rFonts w:asciiTheme="majorHAnsi" w:hAnsiTheme="majorHAnsi"/>
          <w:spacing w:val="-3"/>
          <w:sz w:val="20"/>
          <w:szCs w:val="20"/>
          <w:lang w:val="uk-UA"/>
        </w:rPr>
        <w:t xml:space="preserve"> </w:t>
      </w:r>
      <w:r w:rsidRPr="000977F7">
        <w:rPr>
          <w:rFonts w:asciiTheme="majorHAnsi" w:hAnsiTheme="majorHAnsi"/>
          <w:sz w:val="20"/>
          <w:szCs w:val="20"/>
        </w:rPr>
        <w:t>IMPERFECTION</w:t>
      </w:r>
      <w:r w:rsidRPr="004D2D14">
        <w:rPr>
          <w:rFonts w:asciiTheme="majorHAnsi" w:hAnsiTheme="majorHAnsi"/>
          <w:spacing w:val="-2"/>
          <w:sz w:val="20"/>
          <w:szCs w:val="20"/>
          <w:lang w:val="uk-UA"/>
        </w:rPr>
        <w:t xml:space="preserve"> </w:t>
      </w:r>
      <w:r w:rsidRPr="000977F7">
        <w:rPr>
          <w:rFonts w:asciiTheme="majorHAnsi" w:hAnsiTheme="majorHAnsi"/>
          <w:sz w:val="20"/>
          <w:szCs w:val="20"/>
        </w:rPr>
        <w:t>LEVEL</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356E40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Рівень дефектності у партії чи потоці продукції протягом певного проміжку</w:t>
      </w:r>
      <w:r w:rsidRPr="000977F7">
        <w:rPr>
          <w:rFonts w:asciiTheme="majorHAnsi" w:hAnsiTheme="majorHAnsi"/>
          <w:spacing w:val="-5"/>
          <w:sz w:val="20"/>
          <w:szCs w:val="20"/>
        </w:rPr>
        <w:t xml:space="preserve"> </w:t>
      </w:r>
      <w:r w:rsidRPr="000977F7">
        <w:rPr>
          <w:rFonts w:asciiTheme="majorHAnsi" w:hAnsiTheme="majorHAnsi"/>
          <w:sz w:val="20"/>
          <w:szCs w:val="20"/>
        </w:rPr>
        <w:t>часу</w:t>
      </w:r>
      <w:r w:rsidRPr="000977F7">
        <w:rPr>
          <w:rFonts w:asciiTheme="majorHAnsi" w:hAnsiTheme="majorHAnsi"/>
          <w:spacing w:val="-1"/>
          <w:sz w:val="20"/>
          <w:szCs w:val="20"/>
        </w:rPr>
        <w:t xml:space="preserve"> </w:t>
      </w:r>
      <w:r w:rsidRPr="000977F7">
        <w:rPr>
          <w:rFonts w:asciiTheme="majorHAnsi" w:hAnsiTheme="majorHAnsi"/>
          <w:sz w:val="20"/>
          <w:szCs w:val="20"/>
        </w:rPr>
        <w:t>після</w:t>
      </w:r>
      <w:r w:rsidRPr="000977F7">
        <w:rPr>
          <w:rFonts w:asciiTheme="majorHAnsi" w:hAnsiTheme="majorHAnsi"/>
          <w:spacing w:val="-2"/>
          <w:sz w:val="20"/>
          <w:szCs w:val="20"/>
        </w:rPr>
        <w:t xml:space="preserve"> </w:t>
      </w:r>
      <w:r w:rsidRPr="000977F7">
        <w:rPr>
          <w:rFonts w:asciiTheme="majorHAnsi" w:hAnsiTheme="majorHAnsi"/>
          <w:sz w:val="20"/>
          <w:szCs w:val="20"/>
        </w:rPr>
        <w:t>контролю</w:t>
      </w:r>
    </w:p>
    <w:p w14:paraId="61A21E0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3514</w:t>
      </w:r>
      <w:r w:rsidRPr="000977F7">
        <w:rPr>
          <w:rFonts w:asciiTheme="majorHAnsi" w:hAnsiTheme="majorHAnsi"/>
          <w:i/>
          <w:spacing w:val="2"/>
          <w:sz w:val="20"/>
          <w:szCs w:val="20"/>
        </w:rPr>
        <w:t xml:space="preserve"> </w:t>
      </w:r>
      <w:r w:rsidRPr="000977F7">
        <w:rPr>
          <w:rFonts w:asciiTheme="majorHAnsi" w:hAnsiTheme="majorHAnsi"/>
          <w:i/>
          <w:sz w:val="20"/>
          <w:szCs w:val="20"/>
        </w:rPr>
        <w:t>– 97</w:t>
      </w:r>
    </w:p>
    <w:p w14:paraId="2367B423"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i/>
          <w:spacing w:val="1"/>
          <w:sz w:val="20"/>
          <w:szCs w:val="20"/>
        </w:rPr>
        <w:t xml:space="preserve"> </w:t>
      </w:r>
      <w:r w:rsidRPr="000977F7">
        <w:rPr>
          <w:rFonts w:asciiTheme="majorHAnsi" w:hAnsiTheme="majorHAnsi"/>
          <w:b/>
          <w:sz w:val="20"/>
          <w:szCs w:val="20"/>
        </w:rPr>
        <w:t>ВИХІДНИЙ СИГНАЛ –</w:t>
      </w:r>
    </w:p>
    <w:p w14:paraId="5C766D4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OUTPUT</w:t>
      </w:r>
      <w:r w:rsidRPr="000977F7">
        <w:rPr>
          <w:rFonts w:asciiTheme="majorHAnsi" w:hAnsiTheme="majorHAnsi"/>
          <w:spacing w:val="2"/>
          <w:sz w:val="20"/>
          <w:szCs w:val="20"/>
        </w:rPr>
        <w:t xml:space="preserve"> </w:t>
      </w:r>
      <w:r w:rsidRPr="000977F7">
        <w:rPr>
          <w:rFonts w:asciiTheme="majorHAnsi" w:hAnsiTheme="majorHAnsi"/>
          <w:sz w:val="20"/>
          <w:szCs w:val="20"/>
        </w:rPr>
        <w:t>SIGNAL</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64ABFA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w:t>
      </w:r>
      <w:r w:rsidRPr="000977F7">
        <w:rPr>
          <w:rFonts w:asciiTheme="majorHAnsi" w:hAnsiTheme="majorHAnsi"/>
          <w:spacing w:val="-4"/>
          <w:sz w:val="20"/>
          <w:szCs w:val="20"/>
        </w:rPr>
        <w:t xml:space="preserve"> </w:t>
      </w:r>
      <w:r w:rsidRPr="000977F7">
        <w:rPr>
          <w:rFonts w:asciiTheme="majorHAnsi" w:hAnsiTheme="majorHAnsi"/>
          <w:sz w:val="20"/>
          <w:szCs w:val="20"/>
        </w:rPr>
        <w:t>який</w:t>
      </w:r>
      <w:r w:rsidRPr="000977F7">
        <w:rPr>
          <w:rFonts w:asciiTheme="majorHAnsi" w:hAnsiTheme="majorHAnsi"/>
          <w:spacing w:val="-2"/>
          <w:sz w:val="20"/>
          <w:szCs w:val="20"/>
        </w:rPr>
        <w:t xml:space="preserve"> </w:t>
      </w:r>
      <w:r w:rsidRPr="000977F7">
        <w:rPr>
          <w:rFonts w:asciiTheme="majorHAnsi" w:hAnsiTheme="majorHAnsi"/>
          <w:sz w:val="20"/>
          <w:szCs w:val="20"/>
        </w:rPr>
        <w:t>направлено</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3"/>
          <w:sz w:val="20"/>
          <w:szCs w:val="20"/>
        </w:rPr>
        <w:t xml:space="preserve"> </w:t>
      </w:r>
      <w:r w:rsidRPr="000977F7">
        <w:rPr>
          <w:rFonts w:asciiTheme="majorHAnsi" w:hAnsiTheme="majorHAnsi"/>
          <w:sz w:val="20"/>
          <w:szCs w:val="20"/>
        </w:rPr>
        <w:t>виходу</w:t>
      </w:r>
      <w:r w:rsidRPr="000977F7">
        <w:rPr>
          <w:rFonts w:asciiTheme="majorHAnsi" w:hAnsiTheme="majorHAnsi"/>
          <w:spacing w:val="-4"/>
          <w:sz w:val="20"/>
          <w:szCs w:val="20"/>
        </w:rPr>
        <w:t xml:space="preserve"> </w:t>
      </w:r>
      <w:r w:rsidRPr="000977F7">
        <w:rPr>
          <w:rFonts w:asciiTheme="majorHAnsi" w:hAnsiTheme="majorHAnsi"/>
          <w:sz w:val="20"/>
          <w:szCs w:val="20"/>
        </w:rPr>
        <w:t>об’єкта</w:t>
      </w:r>
      <w:r w:rsidRPr="000977F7">
        <w:rPr>
          <w:rFonts w:asciiTheme="majorHAnsi" w:hAnsiTheme="majorHAnsi"/>
          <w:spacing w:val="3"/>
          <w:sz w:val="20"/>
          <w:szCs w:val="20"/>
        </w:rPr>
        <w:t xml:space="preserve"> </w:t>
      </w:r>
      <w:r w:rsidRPr="000977F7">
        <w:rPr>
          <w:rFonts w:asciiTheme="majorHAnsi" w:hAnsiTheme="majorHAnsi"/>
          <w:sz w:val="20"/>
          <w:szCs w:val="20"/>
        </w:rPr>
        <w:t>джерела</w:t>
      </w:r>
    </w:p>
    <w:p w14:paraId="3CA6CCA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w:t>
      </w:r>
      <w:r w:rsidRPr="000977F7">
        <w:rPr>
          <w:rFonts w:asciiTheme="majorHAnsi" w:hAnsiTheme="majorHAnsi"/>
          <w:i/>
          <w:spacing w:val="1"/>
          <w:sz w:val="20"/>
          <w:szCs w:val="20"/>
        </w:rPr>
        <w:t xml:space="preserve"> </w:t>
      </w:r>
      <w:r w:rsidRPr="000977F7">
        <w:rPr>
          <w:rFonts w:asciiTheme="majorHAnsi" w:hAnsiTheme="majorHAnsi"/>
          <w:i/>
          <w:sz w:val="20"/>
          <w:szCs w:val="20"/>
        </w:rPr>
        <w:t>2000</w:t>
      </w:r>
    </w:p>
    <w:p w14:paraId="6606B102" w14:textId="77777777" w:rsidR="0097612F" w:rsidRPr="000977F7" w:rsidRDefault="0097612F" w:rsidP="000977F7">
      <w:pPr>
        <w:pStyle w:val="7"/>
        <w:tabs>
          <w:tab w:val="left" w:pos="284"/>
        </w:tabs>
        <w:spacing w:before="0" w:line="240" w:lineRule="auto"/>
        <w:ind w:left="170"/>
        <w:mirrorIndents/>
        <w:jc w:val="both"/>
        <w:rPr>
          <w:color w:val="auto"/>
          <w:spacing w:val="2"/>
          <w:sz w:val="20"/>
          <w:szCs w:val="20"/>
        </w:rPr>
      </w:pPr>
      <w:r w:rsidRPr="000977F7">
        <w:rPr>
          <w:color w:val="auto"/>
          <w:sz w:val="20"/>
          <w:szCs w:val="20"/>
        </w:rPr>
        <w:t>ВИХІДНІ</w:t>
      </w:r>
      <w:r w:rsidRPr="000977F7">
        <w:rPr>
          <w:color w:val="auto"/>
          <w:spacing w:val="1"/>
          <w:sz w:val="20"/>
          <w:szCs w:val="20"/>
        </w:rPr>
        <w:t xml:space="preserve"> </w:t>
      </w:r>
      <w:r w:rsidRPr="000977F7">
        <w:rPr>
          <w:color w:val="auto"/>
          <w:sz w:val="20"/>
          <w:szCs w:val="20"/>
        </w:rPr>
        <w:t>ДАНІ</w:t>
      </w:r>
      <w:r w:rsidRPr="000977F7">
        <w:rPr>
          <w:color w:val="auto"/>
          <w:spacing w:val="1"/>
          <w:sz w:val="20"/>
          <w:szCs w:val="20"/>
        </w:rPr>
        <w:t xml:space="preserve"> </w:t>
      </w:r>
      <w:r w:rsidRPr="000977F7">
        <w:rPr>
          <w:color w:val="auto"/>
          <w:sz w:val="20"/>
          <w:szCs w:val="20"/>
        </w:rPr>
        <w:t>ПРОЕКТУВАННЯ</w:t>
      </w:r>
      <w:r w:rsidRPr="000977F7">
        <w:rPr>
          <w:color w:val="auto"/>
          <w:spacing w:val="2"/>
          <w:sz w:val="20"/>
          <w:szCs w:val="20"/>
        </w:rPr>
        <w:t xml:space="preserve"> </w:t>
      </w:r>
      <w:r w:rsidRPr="000977F7">
        <w:rPr>
          <w:color w:val="auto"/>
          <w:sz w:val="20"/>
          <w:szCs w:val="20"/>
        </w:rPr>
        <w:t>ТА</w:t>
      </w:r>
      <w:r w:rsidRPr="000977F7">
        <w:rPr>
          <w:color w:val="auto"/>
          <w:spacing w:val="2"/>
          <w:sz w:val="20"/>
          <w:szCs w:val="20"/>
        </w:rPr>
        <w:t xml:space="preserve"> </w:t>
      </w:r>
    </w:p>
    <w:p w14:paraId="29C1815B"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РОЗРОБЛЕННЯ</w:t>
      </w:r>
      <w:r w:rsidRPr="000977F7">
        <w:rPr>
          <w:color w:val="auto"/>
          <w:spacing w:val="-1"/>
          <w:sz w:val="20"/>
          <w:szCs w:val="20"/>
        </w:rPr>
        <w:t xml:space="preserve"> </w:t>
      </w:r>
      <w:r w:rsidRPr="000977F7">
        <w:rPr>
          <w:b w:val="0"/>
          <w:color w:val="auto"/>
          <w:sz w:val="20"/>
          <w:szCs w:val="20"/>
        </w:rPr>
        <w:t>–</w:t>
      </w:r>
    </w:p>
    <w:p w14:paraId="7F8C3B8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забезпечувати, щоб вихідні дані</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проектування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w:t>
      </w:r>
    </w:p>
    <w:p w14:paraId="41D5729B" w14:textId="77777777" w:rsidR="0097612F" w:rsidRPr="000977F7" w:rsidRDefault="0097612F" w:rsidP="00FD39A4">
      <w:pPr>
        <w:pStyle w:val="ac"/>
        <w:widowControl w:val="0"/>
        <w:numPr>
          <w:ilvl w:val="0"/>
          <w:numId w:val="196"/>
        </w:numPr>
        <w:tabs>
          <w:tab w:val="left" w:pos="284"/>
          <w:tab w:val="left" w:pos="6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задовольняли</w:t>
      </w:r>
      <w:r w:rsidRPr="000977F7">
        <w:rPr>
          <w:rFonts w:asciiTheme="majorHAnsi" w:hAnsiTheme="majorHAnsi"/>
          <w:spacing w:val="-6"/>
          <w:sz w:val="20"/>
          <w:szCs w:val="20"/>
        </w:rPr>
        <w:t xml:space="preserve"> </w:t>
      </w:r>
      <w:r w:rsidRPr="000977F7">
        <w:rPr>
          <w:rFonts w:asciiTheme="majorHAnsi" w:hAnsiTheme="majorHAnsi"/>
          <w:sz w:val="20"/>
          <w:szCs w:val="20"/>
        </w:rPr>
        <w:t>вхідні</w:t>
      </w:r>
      <w:r w:rsidRPr="000977F7">
        <w:rPr>
          <w:rFonts w:asciiTheme="majorHAnsi" w:hAnsiTheme="majorHAnsi"/>
          <w:spacing w:val="-3"/>
          <w:sz w:val="20"/>
          <w:szCs w:val="20"/>
        </w:rPr>
        <w:t xml:space="preserve"> </w:t>
      </w:r>
      <w:r w:rsidRPr="000977F7">
        <w:rPr>
          <w:rFonts w:asciiTheme="majorHAnsi" w:hAnsiTheme="majorHAnsi"/>
          <w:sz w:val="20"/>
          <w:szCs w:val="20"/>
        </w:rPr>
        <w:t>вимоги;</w:t>
      </w:r>
    </w:p>
    <w:p w14:paraId="349A6AD1" w14:textId="77777777" w:rsidR="0097612F" w:rsidRPr="000977F7" w:rsidRDefault="0097612F" w:rsidP="00FD39A4">
      <w:pPr>
        <w:pStyle w:val="ac"/>
        <w:widowControl w:val="0"/>
        <w:numPr>
          <w:ilvl w:val="0"/>
          <w:numId w:val="196"/>
        </w:numPr>
        <w:tabs>
          <w:tab w:val="left" w:pos="284"/>
          <w:tab w:val="left" w:pos="80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були</w:t>
      </w:r>
      <w:r w:rsidRPr="000977F7">
        <w:rPr>
          <w:rFonts w:asciiTheme="majorHAnsi" w:hAnsiTheme="majorHAnsi"/>
          <w:spacing w:val="1"/>
          <w:sz w:val="20"/>
          <w:szCs w:val="20"/>
        </w:rPr>
        <w:t xml:space="preserve"> </w:t>
      </w:r>
      <w:r w:rsidRPr="000977F7">
        <w:rPr>
          <w:rFonts w:asciiTheme="majorHAnsi" w:hAnsiTheme="majorHAnsi"/>
          <w:sz w:val="20"/>
          <w:szCs w:val="20"/>
        </w:rPr>
        <w:t>адекватними</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подальших</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r w:rsidRPr="000977F7">
        <w:rPr>
          <w:rFonts w:asciiTheme="majorHAnsi" w:hAnsiTheme="majorHAnsi"/>
          <w:spacing w:val="1"/>
          <w:sz w:val="20"/>
          <w:szCs w:val="20"/>
        </w:rPr>
        <w:t xml:space="preserve"> </w:t>
      </w:r>
      <w:r w:rsidRPr="000977F7">
        <w:rPr>
          <w:rFonts w:asciiTheme="majorHAnsi" w:hAnsiTheme="majorHAnsi"/>
          <w:sz w:val="20"/>
          <w:szCs w:val="20"/>
        </w:rPr>
        <w:t>пов’язаних</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виготовленням</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наданням</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p>
    <w:p w14:paraId="2300AAD8" w14:textId="77777777" w:rsidR="0097612F" w:rsidRPr="000977F7" w:rsidRDefault="0097612F" w:rsidP="00FD39A4">
      <w:pPr>
        <w:pStyle w:val="ac"/>
        <w:widowControl w:val="0"/>
        <w:numPr>
          <w:ilvl w:val="0"/>
          <w:numId w:val="196"/>
        </w:numPr>
        <w:tabs>
          <w:tab w:val="left" w:pos="284"/>
          <w:tab w:val="left" w:pos="68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охоплювали безпосередньо чи мали посилання на</w:t>
      </w:r>
      <w:r w:rsidRPr="000977F7">
        <w:rPr>
          <w:rFonts w:asciiTheme="majorHAnsi" w:hAnsiTheme="majorHAnsi"/>
          <w:spacing w:val="1"/>
          <w:sz w:val="20"/>
          <w:szCs w:val="20"/>
        </w:rPr>
        <w:t xml:space="preserve"> </w:t>
      </w:r>
      <w:r w:rsidRPr="000977F7">
        <w:rPr>
          <w:rFonts w:asciiTheme="majorHAnsi" w:hAnsiTheme="majorHAnsi"/>
          <w:sz w:val="20"/>
          <w:szCs w:val="20"/>
        </w:rPr>
        <w:t>вимоги щодо моніторингу та вимірювання, як належить,</w:t>
      </w:r>
      <w:r w:rsidRPr="000977F7">
        <w:rPr>
          <w:rFonts w:asciiTheme="majorHAnsi" w:hAnsiTheme="majorHAnsi"/>
          <w:spacing w:val="-1"/>
          <w:sz w:val="20"/>
          <w:szCs w:val="20"/>
        </w:rPr>
        <w:t xml:space="preserve"> </w:t>
      </w:r>
      <w:r w:rsidRPr="000977F7">
        <w:rPr>
          <w:rFonts w:asciiTheme="majorHAnsi" w:hAnsiTheme="majorHAnsi"/>
          <w:sz w:val="20"/>
          <w:szCs w:val="20"/>
        </w:rPr>
        <w:t>а також критерії</w:t>
      </w:r>
      <w:r w:rsidRPr="000977F7">
        <w:rPr>
          <w:rFonts w:asciiTheme="majorHAnsi" w:hAnsiTheme="majorHAnsi"/>
          <w:spacing w:val="2"/>
          <w:sz w:val="20"/>
          <w:szCs w:val="20"/>
        </w:rPr>
        <w:t xml:space="preserve"> </w:t>
      </w:r>
      <w:r w:rsidRPr="000977F7">
        <w:rPr>
          <w:rFonts w:asciiTheme="majorHAnsi" w:hAnsiTheme="majorHAnsi"/>
          <w:sz w:val="20"/>
          <w:szCs w:val="20"/>
        </w:rPr>
        <w:t>приймання;</w:t>
      </w:r>
    </w:p>
    <w:p w14:paraId="6BA6EEEB" w14:textId="77777777" w:rsidR="0097612F" w:rsidRPr="000977F7" w:rsidRDefault="0097612F" w:rsidP="00FD39A4">
      <w:pPr>
        <w:pStyle w:val="ac"/>
        <w:widowControl w:val="0"/>
        <w:numPr>
          <w:ilvl w:val="0"/>
          <w:numId w:val="196"/>
        </w:numPr>
        <w:tabs>
          <w:tab w:val="left" w:pos="284"/>
          <w:tab w:val="left" w:pos="71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установлювати</w:t>
      </w:r>
      <w:r w:rsidRPr="000977F7">
        <w:rPr>
          <w:rFonts w:asciiTheme="majorHAnsi" w:hAnsiTheme="majorHAnsi"/>
          <w:spacing w:val="1"/>
          <w:sz w:val="20"/>
          <w:szCs w:val="20"/>
        </w:rPr>
        <w:t xml:space="preserve"> </w:t>
      </w:r>
      <w:r w:rsidRPr="000977F7">
        <w:rPr>
          <w:rFonts w:asciiTheme="majorHAnsi" w:hAnsiTheme="majorHAnsi"/>
          <w:sz w:val="20"/>
          <w:szCs w:val="20"/>
        </w:rPr>
        <w:t xml:space="preserve">характеристики продукції та </w:t>
      </w:r>
      <w:r w:rsidRPr="000977F7">
        <w:rPr>
          <w:rFonts w:asciiTheme="majorHAnsi" w:hAnsiTheme="majorHAnsi"/>
          <w:sz w:val="20"/>
          <w:szCs w:val="20"/>
        </w:rPr>
        <w:t>послуг, які є суттєвими для їхньої призначеності, а також для їхнього належного та безпечного виготовлення чи</w:t>
      </w:r>
      <w:r w:rsidRPr="000977F7">
        <w:rPr>
          <w:rFonts w:asciiTheme="majorHAnsi" w:hAnsiTheme="majorHAnsi"/>
          <w:spacing w:val="-47"/>
          <w:sz w:val="20"/>
          <w:szCs w:val="20"/>
        </w:rPr>
        <w:t xml:space="preserve"> </w:t>
      </w:r>
      <w:r w:rsidRPr="000977F7">
        <w:rPr>
          <w:rFonts w:asciiTheme="majorHAnsi" w:hAnsiTheme="majorHAnsi"/>
          <w:sz w:val="20"/>
          <w:szCs w:val="20"/>
        </w:rPr>
        <w:t>надання. Організація повинна зберігати задокументовану інформацію щодо вихідних даних проектування та розроблення.</w:t>
      </w:r>
    </w:p>
    <w:p w14:paraId="7E288E06" w14:textId="77777777" w:rsidR="0097612F" w:rsidRPr="004D2D14" w:rsidRDefault="0097612F" w:rsidP="000977F7">
      <w:pPr>
        <w:pStyle w:val="af6"/>
        <w:tabs>
          <w:tab w:val="left" w:pos="284"/>
        </w:tabs>
        <w:spacing w:after="0"/>
        <w:ind w:left="170"/>
        <w:mirrorIndents/>
        <w:jc w:val="both"/>
        <w:rPr>
          <w:rFonts w:asciiTheme="majorHAnsi" w:hAnsiTheme="majorHAnsi"/>
          <w:i/>
          <w:iCs/>
          <w:sz w:val="20"/>
          <w:szCs w:val="20"/>
          <w:lang w:val="en-US"/>
        </w:rPr>
      </w:pPr>
      <w:r w:rsidRPr="000977F7">
        <w:rPr>
          <w:rFonts w:asciiTheme="majorHAnsi" w:hAnsiTheme="majorHAnsi"/>
          <w:i/>
          <w:iCs/>
          <w:sz w:val="20"/>
          <w:szCs w:val="20"/>
        </w:rPr>
        <w:t>ДСТУ</w:t>
      </w:r>
      <w:r w:rsidRPr="004D2D14">
        <w:rPr>
          <w:rFonts w:asciiTheme="majorHAnsi" w:hAnsiTheme="majorHAnsi"/>
          <w:i/>
          <w:iCs/>
          <w:spacing w:val="-3"/>
          <w:sz w:val="20"/>
          <w:szCs w:val="20"/>
          <w:lang w:val="en-US"/>
        </w:rPr>
        <w:t xml:space="preserve"> </w:t>
      </w:r>
      <w:r w:rsidRPr="004D2D14">
        <w:rPr>
          <w:rFonts w:asciiTheme="majorHAnsi" w:hAnsiTheme="majorHAnsi"/>
          <w:i/>
          <w:iCs/>
          <w:sz w:val="20"/>
          <w:szCs w:val="20"/>
          <w:lang w:val="en-US"/>
        </w:rPr>
        <w:t>ISO</w:t>
      </w:r>
      <w:r w:rsidRPr="004D2D14">
        <w:rPr>
          <w:rFonts w:asciiTheme="majorHAnsi" w:hAnsiTheme="majorHAnsi"/>
          <w:i/>
          <w:iCs/>
          <w:spacing w:val="-3"/>
          <w:sz w:val="20"/>
          <w:szCs w:val="20"/>
          <w:lang w:val="en-US"/>
        </w:rPr>
        <w:t xml:space="preserve"> </w:t>
      </w:r>
      <w:r w:rsidRPr="004D2D14">
        <w:rPr>
          <w:rFonts w:asciiTheme="majorHAnsi" w:hAnsiTheme="majorHAnsi"/>
          <w:i/>
          <w:iCs/>
          <w:sz w:val="20"/>
          <w:szCs w:val="20"/>
          <w:lang w:val="en-US"/>
        </w:rPr>
        <w:t>9001-2015</w:t>
      </w:r>
    </w:p>
    <w:p w14:paraId="74DD88A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ВИЧЕРПНЕ</w:t>
      </w:r>
      <w:r w:rsidRPr="000977F7">
        <w:rPr>
          <w:color w:val="auto"/>
          <w:spacing w:val="-5"/>
          <w:sz w:val="20"/>
          <w:szCs w:val="20"/>
        </w:rPr>
        <w:t xml:space="preserve"> </w:t>
      </w:r>
      <w:r w:rsidRPr="000977F7">
        <w:rPr>
          <w:color w:val="auto"/>
          <w:sz w:val="20"/>
          <w:szCs w:val="20"/>
        </w:rPr>
        <w:t>ПОЛОЖЕННЯ –</w:t>
      </w:r>
    </w:p>
    <w:p w14:paraId="71D0F82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DEEMED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SATISFY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PROVISION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8CC45D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Положення, що означує один чи більше способів дотримання</w:t>
      </w:r>
      <w:r w:rsidRPr="000977F7">
        <w:rPr>
          <w:rFonts w:asciiTheme="majorHAnsi" w:hAnsiTheme="majorHAnsi"/>
          <w:spacing w:val="-2"/>
          <w:sz w:val="20"/>
          <w:szCs w:val="20"/>
        </w:rPr>
        <w:t xml:space="preserve"> </w:t>
      </w:r>
      <w:r w:rsidRPr="000977F7">
        <w:rPr>
          <w:rFonts w:asciiTheme="majorHAnsi" w:hAnsiTheme="majorHAnsi"/>
          <w:sz w:val="20"/>
          <w:szCs w:val="20"/>
        </w:rPr>
        <w:t>вимоги</w:t>
      </w:r>
      <w:r w:rsidRPr="000977F7">
        <w:rPr>
          <w:rFonts w:asciiTheme="majorHAnsi" w:hAnsiTheme="majorHAnsi"/>
          <w:spacing w:val="-2"/>
          <w:sz w:val="20"/>
          <w:szCs w:val="20"/>
        </w:rPr>
        <w:t xml:space="preserve"> </w:t>
      </w:r>
      <w:r w:rsidRPr="000977F7">
        <w:rPr>
          <w:rFonts w:asciiTheme="majorHAnsi" w:hAnsiTheme="majorHAnsi"/>
          <w:sz w:val="20"/>
          <w:szCs w:val="20"/>
        </w:rPr>
        <w:t>нормативного документа</w:t>
      </w:r>
    </w:p>
    <w:p w14:paraId="4F9FE49B" w14:textId="77777777" w:rsidR="0097612F" w:rsidRPr="000977F7" w:rsidRDefault="0097612F" w:rsidP="000977F7">
      <w:pPr>
        <w:pStyle w:val="7"/>
        <w:tabs>
          <w:tab w:val="left" w:pos="284"/>
        </w:tabs>
        <w:spacing w:before="0" w:line="240" w:lineRule="auto"/>
        <w:ind w:left="170"/>
        <w:mirrorIndents/>
        <w:jc w:val="both"/>
        <w:rPr>
          <w:b w:val="0"/>
          <w:bCs/>
          <w:i/>
          <w:color w:val="auto"/>
          <w:spacing w:val="-10"/>
          <w:sz w:val="20"/>
          <w:szCs w:val="20"/>
        </w:rPr>
      </w:pPr>
      <w:r w:rsidRPr="000977F7">
        <w:rPr>
          <w:b w:val="0"/>
          <w:bCs/>
          <w:i/>
          <w:color w:val="auto"/>
          <w:spacing w:val="-12"/>
          <w:sz w:val="20"/>
          <w:szCs w:val="20"/>
        </w:rPr>
        <w:t xml:space="preserve">ДСТУ ISO/IEC </w:t>
      </w:r>
      <w:r w:rsidRPr="000977F7">
        <w:rPr>
          <w:b w:val="0"/>
          <w:bCs/>
          <w:i/>
          <w:color w:val="auto"/>
          <w:spacing w:val="-11"/>
          <w:sz w:val="20"/>
          <w:szCs w:val="20"/>
        </w:rPr>
        <w:t>17000:2007</w:t>
      </w:r>
      <w:r w:rsidRPr="000977F7">
        <w:rPr>
          <w:b w:val="0"/>
          <w:bCs/>
          <w:i/>
          <w:color w:val="auto"/>
          <w:spacing w:val="-10"/>
          <w:sz w:val="20"/>
          <w:szCs w:val="20"/>
        </w:rPr>
        <w:t xml:space="preserve"> </w:t>
      </w:r>
    </w:p>
    <w:p w14:paraId="4411DB4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ВИЩЕ КЕРІВНИЦТВО – </w:t>
      </w:r>
    </w:p>
    <w:p w14:paraId="7C1561B8"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ТOP MANAGEMENT –</w:t>
      </w:r>
    </w:p>
    <w:p w14:paraId="5B52BB84" w14:textId="77777777" w:rsidR="0097612F" w:rsidRPr="004D2D14" w:rsidRDefault="0097612F" w:rsidP="000977F7">
      <w:pPr>
        <w:tabs>
          <w:tab w:val="left" w:pos="284"/>
        </w:tabs>
        <w:spacing w:after="0" w:line="240" w:lineRule="auto"/>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Особа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група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осіб,</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забезпечують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функціонування і контроль організації на самому вищому рівні</w:t>
      </w:r>
      <w:r w:rsidRPr="004D2D14">
        <w:rPr>
          <w:rFonts w:asciiTheme="majorHAnsi" w:hAnsiTheme="majorHAnsi"/>
          <w:spacing w:val="1"/>
          <w:sz w:val="20"/>
          <w:szCs w:val="20"/>
          <w:lang w:val="uk-UA"/>
        </w:rPr>
        <w:t xml:space="preserve"> </w:t>
      </w:r>
    </w:p>
    <w:p w14:paraId="0FF0918B"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uk-UA"/>
        </w:rPr>
      </w:pPr>
      <w:r w:rsidRPr="004D2D14">
        <w:rPr>
          <w:rFonts w:asciiTheme="majorHAnsi" w:hAnsiTheme="majorHAnsi"/>
          <w:b/>
          <w:sz w:val="20"/>
          <w:szCs w:val="20"/>
          <w:lang w:val="uk-UA"/>
        </w:rPr>
        <w:t>ВИЯВЛЕННЯ</w:t>
      </w:r>
      <w:r w:rsidRPr="004D2D14">
        <w:rPr>
          <w:rFonts w:asciiTheme="majorHAnsi" w:hAnsiTheme="majorHAnsi"/>
          <w:b/>
          <w:spacing w:val="-3"/>
          <w:sz w:val="20"/>
          <w:szCs w:val="20"/>
          <w:lang w:val="uk-UA"/>
        </w:rPr>
        <w:t xml:space="preserve"> </w:t>
      </w:r>
      <w:r w:rsidRPr="004D2D14">
        <w:rPr>
          <w:rFonts w:asciiTheme="majorHAnsi" w:hAnsiTheme="majorHAnsi"/>
          <w:b/>
          <w:sz w:val="20"/>
          <w:szCs w:val="20"/>
          <w:lang w:val="uk-UA"/>
        </w:rPr>
        <w:t>МІСЦЯ</w:t>
      </w:r>
      <w:r w:rsidRPr="004D2D14">
        <w:rPr>
          <w:rFonts w:asciiTheme="majorHAnsi" w:hAnsiTheme="majorHAnsi"/>
          <w:b/>
          <w:spacing w:val="-1"/>
          <w:sz w:val="20"/>
          <w:szCs w:val="20"/>
          <w:lang w:val="uk-UA"/>
        </w:rPr>
        <w:t xml:space="preserve"> </w:t>
      </w:r>
      <w:r w:rsidRPr="004D2D14">
        <w:rPr>
          <w:rFonts w:asciiTheme="majorHAnsi" w:hAnsiTheme="majorHAnsi"/>
          <w:b/>
          <w:sz w:val="20"/>
          <w:szCs w:val="20"/>
          <w:lang w:val="uk-UA"/>
        </w:rPr>
        <w:t>НЕСПРАВНОСТІ –</w:t>
      </w:r>
    </w:p>
    <w:p w14:paraId="1B0C4C2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FAULT</w:t>
      </w:r>
      <w:r w:rsidRPr="004D2D14">
        <w:rPr>
          <w:rFonts w:asciiTheme="majorHAnsi" w:hAnsiTheme="majorHAnsi"/>
          <w:spacing w:val="-1"/>
          <w:sz w:val="20"/>
          <w:szCs w:val="20"/>
          <w:lang w:val="uk-UA"/>
        </w:rPr>
        <w:t xml:space="preserve"> </w:t>
      </w:r>
      <w:r w:rsidRPr="000977F7">
        <w:rPr>
          <w:rFonts w:asciiTheme="majorHAnsi" w:hAnsiTheme="majorHAnsi"/>
          <w:sz w:val="20"/>
          <w:szCs w:val="20"/>
        </w:rPr>
        <w:t>LOCALIZATION</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41D13E2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Операції, які виконують для ідентифікації несправної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складової частини чи складових частин на відповідному</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рівні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розукрупнювання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об’єкта</w:t>
      </w:r>
    </w:p>
    <w:p w14:paraId="134AC99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2860</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37249B1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ВИЯВЛЕННЯ</w:t>
      </w:r>
      <w:r w:rsidRPr="000977F7">
        <w:rPr>
          <w:color w:val="auto"/>
          <w:spacing w:val="-7"/>
          <w:sz w:val="20"/>
          <w:szCs w:val="20"/>
        </w:rPr>
        <w:t xml:space="preserve"> </w:t>
      </w:r>
      <w:r w:rsidRPr="000977F7">
        <w:rPr>
          <w:color w:val="auto"/>
          <w:sz w:val="20"/>
          <w:szCs w:val="20"/>
        </w:rPr>
        <w:t>НАЯВНОСТІ</w:t>
      </w:r>
      <w:r w:rsidRPr="000977F7">
        <w:rPr>
          <w:color w:val="auto"/>
          <w:spacing w:val="-8"/>
          <w:sz w:val="20"/>
          <w:szCs w:val="20"/>
        </w:rPr>
        <w:t xml:space="preserve"> </w:t>
      </w:r>
      <w:r w:rsidRPr="000977F7">
        <w:rPr>
          <w:color w:val="auto"/>
          <w:sz w:val="20"/>
          <w:szCs w:val="20"/>
        </w:rPr>
        <w:t>НЕСПРАВНОСТІ–</w:t>
      </w:r>
    </w:p>
    <w:p w14:paraId="125FB20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FAULT</w:t>
      </w:r>
      <w:r w:rsidRPr="004D2D14">
        <w:rPr>
          <w:rFonts w:asciiTheme="majorHAnsi" w:hAnsiTheme="majorHAnsi"/>
          <w:sz w:val="20"/>
          <w:szCs w:val="20"/>
          <w:lang w:val="uk-UA"/>
        </w:rPr>
        <w:t xml:space="preserve"> </w:t>
      </w:r>
      <w:r w:rsidRPr="000977F7">
        <w:rPr>
          <w:rFonts w:asciiTheme="majorHAnsi" w:hAnsiTheme="majorHAnsi"/>
          <w:sz w:val="20"/>
          <w:szCs w:val="20"/>
        </w:rPr>
        <w:t>RECOGNITION</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7C3C9D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Подія</w:t>
      </w:r>
      <w:r w:rsidRPr="000977F7">
        <w:rPr>
          <w:rFonts w:asciiTheme="majorHAnsi" w:hAnsiTheme="majorHAnsi"/>
          <w:spacing w:val="-4"/>
          <w:sz w:val="20"/>
          <w:szCs w:val="20"/>
        </w:rPr>
        <w:t xml:space="preserve"> </w:t>
      </w:r>
      <w:r w:rsidRPr="000977F7">
        <w:rPr>
          <w:rFonts w:asciiTheme="majorHAnsi" w:hAnsiTheme="majorHAnsi"/>
          <w:sz w:val="20"/>
          <w:szCs w:val="20"/>
        </w:rPr>
        <w:t>виявлення</w:t>
      </w:r>
      <w:r w:rsidRPr="000977F7">
        <w:rPr>
          <w:rFonts w:asciiTheme="majorHAnsi" w:hAnsiTheme="majorHAnsi"/>
          <w:spacing w:val="-4"/>
          <w:sz w:val="20"/>
          <w:szCs w:val="20"/>
        </w:rPr>
        <w:t xml:space="preserve"> </w:t>
      </w:r>
      <w:r w:rsidRPr="000977F7">
        <w:rPr>
          <w:rFonts w:asciiTheme="majorHAnsi" w:hAnsiTheme="majorHAnsi"/>
          <w:sz w:val="20"/>
          <w:szCs w:val="20"/>
        </w:rPr>
        <w:t>факту</w:t>
      </w:r>
      <w:r w:rsidRPr="000977F7">
        <w:rPr>
          <w:rFonts w:asciiTheme="majorHAnsi" w:hAnsiTheme="majorHAnsi"/>
          <w:spacing w:val="-3"/>
          <w:sz w:val="20"/>
          <w:szCs w:val="20"/>
        </w:rPr>
        <w:t xml:space="preserve"> </w:t>
      </w:r>
      <w:r w:rsidRPr="000977F7">
        <w:rPr>
          <w:rFonts w:asciiTheme="majorHAnsi" w:hAnsiTheme="majorHAnsi"/>
          <w:sz w:val="20"/>
          <w:szCs w:val="20"/>
        </w:rPr>
        <w:t>наявності</w:t>
      </w:r>
      <w:r w:rsidRPr="000977F7">
        <w:rPr>
          <w:rFonts w:asciiTheme="majorHAnsi" w:hAnsiTheme="majorHAnsi"/>
          <w:spacing w:val="-4"/>
          <w:sz w:val="20"/>
          <w:szCs w:val="20"/>
        </w:rPr>
        <w:t xml:space="preserve"> </w:t>
      </w:r>
      <w:r w:rsidRPr="000977F7">
        <w:rPr>
          <w:rFonts w:asciiTheme="majorHAnsi" w:hAnsiTheme="majorHAnsi"/>
          <w:sz w:val="20"/>
          <w:szCs w:val="20"/>
        </w:rPr>
        <w:t>несправності</w:t>
      </w:r>
    </w:p>
    <w:p w14:paraId="3C77744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DB5163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ВИЯВЛЕННЯ</w:t>
      </w:r>
      <w:r w:rsidRPr="000977F7">
        <w:rPr>
          <w:color w:val="auto"/>
          <w:spacing w:val="-5"/>
          <w:sz w:val="20"/>
          <w:szCs w:val="20"/>
        </w:rPr>
        <w:t xml:space="preserve"> </w:t>
      </w:r>
      <w:r w:rsidRPr="000977F7">
        <w:rPr>
          <w:color w:val="auto"/>
          <w:sz w:val="20"/>
          <w:szCs w:val="20"/>
        </w:rPr>
        <w:t>НЕЗАДОВОЛЕНИХ</w:t>
      </w:r>
      <w:r w:rsidRPr="000977F7">
        <w:rPr>
          <w:color w:val="auto"/>
          <w:spacing w:val="-5"/>
          <w:sz w:val="20"/>
          <w:szCs w:val="20"/>
        </w:rPr>
        <w:t xml:space="preserve"> </w:t>
      </w:r>
      <w:r w:rsidRPr="000977F7">
        <w:rPr>
          <w:color w:val="auto"/>
          <w:sz w:val="20"/>
          <w:szCs w:val="20"/>
        </w:rPr>
        <w:t>ПОТРЕБ</w:t>
      </w:r>
      <w:r w:rsidRPr="000977F7">
        <w:rPr>
          <w:color w:val="auto"/>
          <w:spacing w:val="-1"/>
          <w:sz w:val="20"/>
          <w:szCs w:val="20"/>
        </w:rPr>
        <w:t xml:space="preserve"> </w:t>
      </w:r>
      <w:r w:rsidRPr="000977F7">
        <w:rPr>
          <w:color w:val="auto"/>
          <w:sz w:val="20"/>
          <w:szCs w:val="20"/>
        </w:rPr>
        <w:t>–</w:t>
      </w:r>
    </w:p>
    <w:p w14:paraId="37224C4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Заключний етап вивчення</w:t>
      </w:r>
      <w:r w:rsidRPr="000977F7">
        <w:rPr>
          <w:rFonts w:asciiTheme="majorHAnsi" w:hAnsiTheme="majorHAnsi"/>
          <w:spacing w:val="1"/>
          <w:sz w:val="20"/>
          <w:szCs w:val="20"/>
        </w:rPr>
        <w:t xml:space="preserve"> </w:t>
      </w:r>
      <w:r w:rsidRPr="000977F7">
        <w:rPr>
          <w:rFonts w:asciiTheme="majorHAnsi" w:hAnsiTheme="majorHAnsi"/>
          <w:sz w:val="20"/>
          <w:szCs w:val="20"/>
        </w:rPr>
        <w:t>попиту на ринку, який є</w:t>
      </w:r>
      <w:r w:rsidRPr="000977F7">
        <w:rPr>
          <w:rFonts w:asciiTheme="majorHAnsi" w:hAnsiTheme="majorHAnsi"/>
          <w:spacing w:val="1"/>
          <w:sz w:val="20"/>
          <w:szCs w:val="20"/>
        </w:rPr>
        <w:t xml:space="preserve"> </w:t>
      </w:r>
      <w:r w:rsidRPr="000977F7">
        <w:rPr>
          <w:rFonts w:asciiTheme="majorHAnsi" w:hAnsiTheme="majorHAnsi"/>
          <w:sz w:val="20"/>
          <w:szCs w:val="20"/>
        </w:rPr>
        <w:t>поворотним</w:t>
      </w:r>
      <w:r w:rsidRPr="000977F7">
        <w:rPr>
          <w:rFonts w:asciiTheme="majorHAnsi" w:hAnsiTheme="majorHAnsi"/>
          <w:spacing w:val="1"/>
          <w:sz w:val="20"/>
          <w:szCs w:val="20"/>
        </w:rPr>
        <w:t xml:space="preserve"> </w:t>
      </w:r>
      <w:r w:rsidRPr="000977F7">
        <w:rPr>
          <w:rFonts w:asciiTheme="majorHAnsi" w:hAnsiTheme="majorHAnsi"/>
          <w:sz w:val="20"/>
          <w:szCs w:val="20"/>
        </w:rPr>
        <w:t>пунктом</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прийняття</w:t>
      </w:r>
      <w:r w:rsidRPr="000977F7">
        <w:rPr>
          <w:rFonts w:asciiTheme="majorHAnsi" w:hAnsiTheme="majorHAnsi"/>
          <w:spacing w:val="1"/>
          <w:sz w:val="20"/>
          <w:szCs w:val="20"/>
        </w:rPr>
        <w:t xml:space="preserve"> </w:t>
      </w:r>
      <w:r w:rsidRPr="000977F7">
        <w:rPr>
          <w:rFonts w:asciiTheme="majorHAnsi" w:hAnsiTheme="majorHAnsi"/>
          <w:sz w:val="20"/>
          <w:szCs w:val="20"/>
        </w:rPr>
        <w:t>конкретного</w:t>
      </w:r>
      <w:r w:rsidRPr="000977F7">
        <w:rPr>
          <w:rFonts w:asciiTheme="majorHAnsi" w:hAnsiTheme="majorHAnsi"/>
          <w:spacing w:val="1"/>
          <w:sz w:val="20"/>
          <w:szCs w:val="20"/>
        </w:rPr>
        <w:t xml:space="preserve"> </w:t>
      </w:r>
      <w:r w:rsidRPr="000977F7">
        <w:rPr>
          <w:rFonts w:asciiTheme="majorHAnsi" w:hAnsiTheme="majorHAnsi"/>
          <w:sz w:val="20"/>
          <w:szCs w:val="20"/>
        </w:rPr>
        <w:t>рішення про те, який продукт користуватиметься попитом і</w:t>
      </w:r>
      <w:r w:rsidRPr="000977F7">
        <w:rPr>
          <w:rFonts w:asciiTheme="majorHAnsi" w:hAnsiTheme="majorHAnsi"/>
          <w:spacing w:val="-1"/>
          <w:sz w:val="20"/>
          <w:szCs w:val="20"/>
        </w:rPr>
        <w:t xml:space="preserve"> </w:t>
      </w:r>
      <w:r w:rsidRPr="000977F7">
        <w:rPr>
          <w:rFonts w:asciiTheme="majorHAnsi" w:hAnsiTheme="majorHAnsi"/>
          <w:sz w:val="20"/>
          <w:szCs w:val="20"/>
        </w:rPr>
        <w:t>в якому</w:t>
      </w:r>
      <w:r w:rsidRPr="000977F7">
        <w:rPr>
          <w:rFonts w:asciiTheme="majorHAnsi" w:hAnsiTheme="majorHAnsi"/>
          <w:spacing w:val="-4"/>
          <w:sz w:val="20"/>
          <w:szCs w:val="20"/>
        </w:rPr>
        <w:t xml:space="preserve"> </w:t>
      </w:r>
      <w:r w:rsidRPr="000977F7">
        <w:rPr>
          <w:rFonts w:asciiTheme="majorHAnsi" w:hAnsiTheme="majorHAnsi"/>
          <w:sz w:val="20"/>
          <w:szCs w:val="20"/>
        </w:rPr>
        <w:t>сегменті</w:t>
      </w:r>
      <w:r w:rsidRPr="000977F7">
        <w:rPr>
          <w:rFonts w:asciiTheme="majorHAnsi" w:hAnsiTheme="majorHAnsi"/>
          <w:spacing w:val="-1"/>
          <w:sz w:val="20"/>
          <w:szCs w:val="20"/>
        </w:rPr>
        <w:t xml:space="preserve"> </w:t>
      </w:r>
      <w:r w:rsidRPr="000977F7">
        <w:rPr>
          <w:rFonts w:asciiTheme="majorHAnsi" w:hAnsiTheme="majorHAnsi"/>
          <w:sz w:val="20"/>
          <w:szCs w:val="20"/>
        </w:rPr>
        <w:t>ринку</w:t>
      </w:r>
    </w:p>
    <w:p w14:paraId="39D5ACF1"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3294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55586F45" w14:textId="77777777" w:rsidR="0097612F" w:rsidRPr="004D2D14" w:rsidRDefault="0097612F" w:rsidP="000977F7">
      <w:pPr>
        <w:tabs>
          <w:tab w:val="left" w:pos="284"/>
        </w:tabs>
        <w:spacing w:after="0" w:line="240" w:lineRule="auto"/>
        <w:ind w:left="170"/>
        <w:mirrorIndents/>
        <w:jc w:val="both"/>
        <w:rPr>
          <w:rFonts w:asciiTheme="majorHAnsi" w:hAnsiTheme="majorHAnsi"/>
          <w:b/>
          <w:bCs/>
          <w:iCs/>
          <w:sz w:val="20"/>
          <w:szCs w:val="20"/>
          <w:lang w:val="en-US"/>
        </w:rPr>
      </w:pPr>
      <w:bookmarkStart w:id="31" w:name="_Hlk103658123"/>
      <w:r w:rsidRPr="000977F7">
        <w:rPr>
          <w:rFonts w:asciiTheme="majorHAnsi" w:hAnsiTheme="majorHAnsi"/>
          <w:b/>
          <w:bCs/>
          <w:iCs/>
          <w:sz w:val="20"/>
          <w:szCs w:val="20"/>
        </w:rPr>
        <w:t>ВИЯВЛЕННЯ</w:t>
      </w:r>
      <w:r w:rsidRPr="004D2D14">
        <w:rPr>
          <w:rFonts w:asciiTheme="majorHAnsi" w:hAnsiTheme="majorHAnsi"/>
          <w:b/>
          <w:bCs/>
          <w:iCs/>
          <w:sz w:val="20"/>
          <w:szCs w:val="20"/>
          <w:lang w:val="en-US"/>
        </w:rPr>
        <w:t xml:space="preserve"> </w:t>
      </w:r>
      <w:r w:rsidRPr="000977F7">
        <w:rPr>
          <w:rFonts w:asciiTheme="majorHAnsi" w:hAnsiTheme="majorHAnsi"/>
          <w:b/>
          <w:bCs/>
          <w:iCs/>
          <w:sz w:val="20"/>
          <w:szCs w:val="20"/>
        </w:rPr>
        <w:t>РИЗИКУ</w:t>
      </w:r>
      <w:r w:rsidRPr="004D2D14">
        <w:rPr>
          <w:rFonts w:asciiTheme="majorHAnsi" w:hAnsiTheme="majorHAnsi"/>
          <w:b/>
          <w:bCs/>
          <w:iCs/>
          <w:sz w:val="20"/>
          <w:szCs w:val="20"/>
          <w:lang w:val="en-US"/>
        </w:rPr>
        <w:t xml:space="preserve"> –</w:t>
      </w:r>
    </w:p>
    <w:p w14:paraId="3CB17C1D" w14:textId="77777777" w:rsidR="0097612F" w:rsidRPr="004D2D14" w:rsidRDefault="0097612F" w:rsidP="000977F7">
      <w:pPr>
        <w:tabs>
          <w:tab w:val="left" w:pos="284"/>
        </w:tabs>
        <w:spacing w:after="0" w:line="240" w:lineRule="auto"/>
        <w:ind w:left="170"/>
        <w:mirrorIndents/>
        <w:jc w:val="both"/>
        <w:rPr>
          <w:rFonts w:asciiTheme="majorHAnsi" w:hAnsiTheme="majorHAnsi"/>
          <w:iCs/>
          <w:sz w:val="20"/>
          <w:szCs w:val="20"/>
          <w:lang w:val="en-US"/>
        </w:rPr>
      </w:pPr>
      <w:r w:rsidRPr="004D2D14">
        <w:rPr>
          <w:rFonts w:asciiTheme="majorHAnsi" w:hAnsiTheme="majorHAnsi"/>
          <w:iCs/>
          <w:sz w:val="20"/>
          <w:szCs w:val="20"/>
          <w:lang w:val="en-US"/>
        </w:rPr>
        <w:t>RISK ESTIMATION -</w:t>
      </w:r>
    </w:p>
    <w:bookmarkEnd w:id="31"/>
    <w:p w14:paraId="7FF33A6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Визначення можливого ступеня тяжкості шкоди та ймовірності її заподіяння </w:t>
      </w:r>
    </w:p>
    <w:p w14:paraId="31146167"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75E97A1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ВИЯВЛЕННЯ</w:t>
      </w:r>
      <w:r w:rsidRPr="000977F7">
        <w:rPr>
          <w:color w:val="auto"/>
          <w:spacing w:val="-6"/>
          <w:sz w:val="20"/>
          <w:szCs w:val="20"/>
        </w:rPr>
        <w:t xml:space="preserve"> </w:t>
      </w:r>
      <w:r w:rsidRPr="000977F7">
        <w:rPr>
          <w:color w:val="auto"/>
          <w:sz w:val="20"/>
          <w:szCs w:val="20"/>
        </w:rPr>
        <w:t>СИЛЬНИХ</w:t>
      </w:r>
      <w:r w:rsidRPr="000977F7">
        <w:rPr>
          <w:color w:val="auto"/>
          <w:spacing w:val="-8"/>
          <w:sz w:val="20"/>
          <w:szCs w:val="20"/>
        </w:rPr>
        <w:t xml:space="preserve"> </w:t>
      </w:r>
      <w:r w:rsidRPr="000977F7">
        <w:rPr>
          <w:color w:val="auto"/>
          <w:sz w:val="20"/>
          <w:szCs w:val="20"/>
        </w:rPr>
        <w:t>ТА</w:t>
      </w:r>
      <w:r w:rsidRPr="000977F7">
        <w:rPr>
          <w:color w:val="auto"/>
          <w:spacing w:val="-6"/>
          <w:sz w:val="20"/>
          <w:szCs w:val="20"/>
        </w:rPr>
        <w:t xml:space="preserve"> </w:t>
      </w:r>
      <w:r w:rsidRPr="000977F7">
        <w:rPr>
          <w:color w:val="auto"/>
          <w:sz w:val="20"/>
          <w:szCs w:val="20"/>
        </w:rPr>
        <w:t>СЛАБКИХ</w:t>
      </w:r>
      <w:r w:rsidRPr="000977F7">
        <w:rPr>
          <w:color w:val="auto"/>
          <w:spacing w:val="-5"/>
          <w:sz w:val="20"/>
          <w:szCs w:val="20"/>
        </w:rPr>
        <w:t xml:space="preserve"> </w:t>
      </w:r>
      <w:r w:rsidRPr="000977F7">
        <w:rPr>
          <w:color w:val="auto"/>
          <w:sz w:val="20"/>
          <w:szCs w:val="20"/>
        </w:rPr>
        <w:t>СТОРІН</w:t>
      </w:r>
      <w:r w:rsidRPr="000977F7">
        <w:rPr>
          <w:color w:val="auto"/>
          <w:spacing w:val="-47"/>
          <w:sz w:val="20"/>
          <w:szCs w:val="20"/>
        </w:rPr>
        <w:t xml:space="preserve"> </w:t>
      </w:r>
      <w:r w:rsidRPr="000977F7">
        <w:rPr>
          <w:color w:val="auto"/>
          <w:sz w:val="20"/>
          <w:szCs w:val="20"/>
        </w:rPr>
        <w:t>ДІЯЛЬНОСТІ</w:t>
      </w:r>
      <w:r w:rsidRPr="000977F7">
        <w:rPr>
          <w:color w:val="auto"/>
          <w:spacing w:val="-2"/>
          <w:sz w:val="20"/>
          <w:szCs w:val="20"/>
        </w:rPr>
        <w:t xml:space="preserve"> </w:t>
      </w:r>
      <w:r w:rsidRPr="000977F7">
        <w:rPr>
          <w:color w:val="auto"/>
          <w:sz w:val="20"/>
          <w:szCs w:val="20"/>
        </w:rPr>
        <w:t>ОРГАНІЗАЦІЇ</w:t>
      </w:r>
      <w:r w:rsidRPr="000977F7">
        <w:rPr>
          <w:color w:val="auto"/>
          <w:spacing w:val="2"/>
          <w:sz w:val="20"/>
          <w:szCs w:val="20"/>
        </w:rPr>
        <w:t xml:space="preserve"> </w:t>
      </w:r>
      <w:r w:rsidRPr="000977F7">
        <w:rPr>
          <w:color w:val="auto"/>
          <w:sz w:val="20"/>
          <w:szCs w:val="20"/>
        </w:rPr>
        <w:t>–</w:t>
      </w:r>
    </w:p>
    <w:p w14:paraId="18FEB89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Остаточний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підсумок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маркетингових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досліджень,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внаслідок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повинні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бути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виявлені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ключові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напрямки діяльності і ресурси, що їх підтримують, використання яких може забезпечити організації перевагу</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над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конкурентами</w:t>
      </w:r>
    </w:p>
    <w:p w14:paraId="7EFCAE6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EBBAA0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ВІБРОСТАЛІСТЬ</w:t>
      </w:r>
      <w:r w:rsidRPr="000977F7">
        <w:rPr>
          <w:color w:val="auto"/>
          <w:spacing w:val="-5"/>
          <w:sz w:val="20"/>
          <w:szCs w:val="20"/>
        </w:rPr>
        <w:t xml:space="preserve"> </w:t>
      </w:r>
      <w:r w:rsidRPr="000977F7">
        <w:rPr>
          <w:color w:val="auto"/>
          <w:sz w:val="20"/>
          <w:szCs w:val="20"/>
        </w:rPr>
        <w:t>-</w:t>
      </w:r>
    </w:p>
    <w:p w14:paraId="40772E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Здатність вузлів, машин та конструкцій працювати в</w:t>
      </w:r>
      <w:r w:rsidRPr="000977F7">
        <w:rPr>
          <w:rFonts w:asciiTheme="majorHAnsi" w:hAnsiTheme="majorHAnsi"/>
          <w:spacing w:val="1"/>
          <w:sz w:val="20"/>
          <w:szCs w:val="20"/>
        </w:rPr>
        <w:t xml:space="preserve"> </w:t>
      </w:r>
      <w:r w:rsidRPr="000977F7">
        <w:rPr>
          <w:rFonts w:asciiTheme="majorHAnsi" w:hAnsiTheme="majorHAnsi"/>
          <w:sz w:val="20"/>
          <w:szCs w:val="20"/>
        </w:rPr>
        <w:t>потрібному діапазоні режимів з допустимими</w:t>
      </w:r>
      <w:r w:rsidRPr="000977F7">
        <w:rPr>
          <w:rFonts w:asciiTheme="majorHAnsi" w:hAnsiTheme="majorHAnsi"/>
          <w:spacing w:val="1"/>
          <w:sz w:val="20"/>
          <w:szCs w:val="20"/>
        </w:rPr>
        <w:t xml:space="preserve"> </w:t>
      </w:r>
      <w:r w:rsidRPr="000977F7">
        <w:rPr>
          <w:rFonts w:asciiTheme="majorHAnsi" w:hAnsiTheme="majorHAnsi"/>
          <w:sz w:val="20"/>
          <w:szCs w:val="20"/>
        </w:rPr>
        <w:t>коливаннями</w:t>
      </w:r>
    </w:p>
    <w:p w14:paraId="3751210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ВІДБИРАННЯ</w:t>
      </w:r>
      <w:r w:rsidRPr="000977F7">
        <w:rPr>
          <w:color w:val="auto"/>
          <w:spacing w:val="-4"/>
          <w:sz w:val="20"/>
          <w:szCs w:val="20"/>
        </w:rPr>
        <w:t xml:space="preserve"> </w:t>
      </w:r>
      <w:r w:rsidRPr="000977F7">
        <w:rPr>
          <w:color w:val="auto"/>
          <w:sz w:val="20"/>
          <w:szCs w:val="20"/>
        </w:rPr>
        <w:t>ЗРАЗКІВ –</w:t>
      </w:r>
    </w:p>
    <w:p w14:paraId="3E6BFF7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SAMPLING –</w:t>
      </w:r>
    </w:p>
    <w:p w14:paraId="5033C1A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Одержання представницької вибірки об’єкта для оцінювання</w:t>
      </w:r>
      <w:r w:rsidRPr="000977F7">
        <w:rPr>
          <w:rFonts w:asciiTheme="majorHAnsi" w:hAnsiTheme="majorHAnsi"/>
          <w:spacing w:val="-2"/>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2"/>
          <w:sz w:val="20"/>
          <w:szCs w:val="20"/>
        </w:rPr>
        <w:t xml:space="preserve"> </w:t>
      </w:r>
      <w:r w:rsidRPr="000977F7">
        <w:rPr>
          <w:rFonts w:asciiTheme="majorHAnsi" w:hAnsiTheme="majorHAnsi"/>
          <w:sz w:val="20"/>
          <w:szCs w:val="20"/>
        </w:rPr>
        <w:t>згідно з</w:t>
      </w:r>
      <w:r w:rsidRPr="000977F7">
        <w:rPr>
          <w:rFonts w:asciiTheme="majorHAnsi" w:hAnsiTheme="majorHAnsi"/>
          <w:spacing w:val="-1"/>
          <w:sz w:val="20"/>
          <w:szCs w:val="20"/>
        </w:rPr>
        <w:t xml:space="preserve"> </w:t>
      </w:r>
      <w:r w:rsidRPr="000977F7">
        <w:rPr>
          <w:rFonts w:asciiTheme="majorHAnsi" w:hAnsiTheme="majorHAnsi"/>
          <w:sz w:val="20"/>
          <w:szCs w:val="20"/>
        </w:rPr>
        <w:t>процедурою</w:t>
      </w:r>
    </w:p>
    <w:p w14:paraId="6C9A276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ISO/IEC</w:t>
      </w:r>
      <w:r w:rsidRPr="000977F7">
        <w:rPr>
          <w:rFonts w:asciiTheme="majorHAnsi" w:hAnsiTheme="majorHAnsi"/>
          <w:i/>
          <w:spacing w:val="-4"/>
          <w:sz w:val="20"/>
          <w:szCs w:val="20"/>
        </w:rPr>
        <w:t xml:space="preserve"> </w:t>
      </w:r>
      <w:r w:rsidRPr="000977F7">
        <w:rPr>
          <w:rFonts w:asciiTheme="majorHAnsi" w:hAnsiTheme="majorHAnsi"/>
          <w:i/>
          <w:sz w:val="20"/>
          <w:szCs w:val="20"/>
        </w:rPr>
        <w:t>17000:2007</w:t>
      </w:r>
    </w:p>
    <w:p w14:paraId="70E733B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ВІДГУК</w:t>
      </w:r>
      <w:r w:rsidRPr="000977F7">
        <w:rPr>
          <w:color w:val="auto"/>
          <w:spacing w:val="-2"/>
          <w:sz w:val="20"/>
          <w:szCs w:val="20"/>
        </w:rPr>
        <w:t xml:space="preserve"> </w:t>
      </w:r>
      <w:r w:rsidRPr="000977F7">
        <w:rPr>
          <w:color w:val="auto"/>
          <w:sz w:val="20"/>
          <w:szCs w:val="20"/>
        </w:rPr>
        <w:t>–</w:t>
      </w:r>
    </w:p>
    <w:p w14:paraId="70B72F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Спостережена</w:t>
      </w:r>
      <w:r w:rsidRPr="000977F7">
        <w:rPr>
          <w:rFonts w:asciiTheme="majorHAnsi" w:hAnsiTheme="majorHAnsi"/>
          <w:spacing w:val="1"/>
          <w:sz w:val="20"/>
          <w:szCs w:val="20"/>
        </w:rPr>
        <w:t xml:space="preserve"> </w:t>
      </w:r>
      <w:r w:rsidRPr="000977F7">
        <w:rPr>
          <w:rFonts w:asciiTheme="majorHAnsi" w:hAnsiTheme="majorHAnsi"/>
          <w:sz w:val="20"/>
          <w:szCs w:val="20"/>
        </w:rPr>
        <w:t>випадкова</w:t>
      </w:r>
      <w:r w:rsidRPr="000977F7">
        <w:rPr>
          <w:rFonts w:asciiTheme="majorHAnsi" w:hAnsiTheme="majorHAnsi"/>
          <w:spacing w:val="1"/>
          <w:sz w:val="20"/>
          <w:szCs w:val="20"/>
        </w:rPr>
        <w:t xml:space="preserve"> </w:t>
      </w:r>
      <w:r w:rsidRPr="000977F7">
        <w:rPr>
          <w:rFonts w:asciiTheme="majorHAnsi" w:hAnsiTheme="majorHAnsi"/>
          <w:sz w:val="20"/>
          <w:szCs w:val="20"/>
        </w:rPr>
        <w:t>змінна</w:t>
      </w:r>
      <w:r w:rsidRPr="000977F7">
        <w:rPr>
          <w:rFonts w:asciiTheme="majorHAnsi" w:hAnsiTheme="majorHAnsi"/>
          <w:spacing w:val="1"/>
          <w:sz w:val="20"/>
          <w:szCs w:val="20"/>
        </w:rPr>
        <w:t xml:space="preserve"> </w:t>
      </w:r>
      <w:r w:rsidRPr="000977F7">
        <w:rPr>
          <w:rFonts w:asciiTheme="majorHAnsi" w:hAnsiTheme="majorHAnsi"/>
          <w:sz w:val="20"/>
          <w:szCs w:val="20"/>
        </w:rPr>
        <w:t>величина,</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47"/>
          <w:sz w:val="20"/>
          <w:szCs w:val="20"/>
        </w:rPr>
        <w:t xml:space="preserve"> </w:t>
      </w:r>
      <w:r w:rsidRPr="000977F7">
        <w:rPr>
          <w:rFonts w:asciiTheme="majorHAnsi" w:hAnsiTheme="majorHAnsi"/>
          <w:sz w:val="20"/>
          <w:szCs w:val="20"/>
        </w:rPr>
        <w:t>припущенням</w:t>
      </w:r>
      <w:r w:rsidRPr="000977F7">
        <w:rPr>
          <w:rFonts w:asciiTheme="majorHAnsi" w:hAnsiTheme="majorHAnsi"/>
          <w:spacing w:val="-1"/>
          <w:sz w:val="20"/>
          <w:szCs w:val="20"/>
        </w:rPr>
        <w:t xml:space="preserve"> </w:t>
      </w:r>
      <w:r w:rsidRPr="000977F7">
        <w:rPr>
          <w:rFonts w:asciiTheme="majorHAnsi" w:hAnsiTheme="majorHAnsi"/>
          <w:sz w:val="20"/>
          <w:szCs w:val="20"/>
        </w:rPr>
        <w:t>залежить від</w:t>
      </w:r>
      <w:r w:rsidRPr="000977F7">
        <w:rPr>
          <w:rFonts w:asciiTheme="majorHAnsi" w:hAnsiTheme="majorHAnsi"/>
          <w:spacing w:val="1"/>
          <w:sz w:val="20"/>
          <w:szCs w:val="20"/>
        </w:rPr>
        <w:t xml:space="preserve"> </w:t>
      </w:r>
      <w:r w:rsidRPr="000977F7">
        <w:rPr>
          <w:rFonts w:asciiTheme="majorHAnsi" w:hAnsiTheme="majorHAnsi"/>
          <w:sz w:val="20"/>
          <w:szCs w:val="20"/>
        </w:rPr>
        <w:t>факторів</w:t>
      </w:r>
    </w:p>
    <w:p w14:paraId="3EA1252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ВІДДІЛЕННЯ</w:t>
      </w:r>
      <w:r w:rsidRPr="000977F7">
        <w:rPr>
          <w:color w:val="auto"/>
          <w:spacing w:val="-2"/>
          <w:sz w:val="20"/>
          <w:szCs w:val="20"/>
        </w:rPr>
        <w:t xml:space="preserve"> </w:t>
      </w:r>
      <w:r w:rsidRPr="000977F7">
        <w:rPr>
          <w:color w:val="auto"/>
          <w:sz w:val="20"/>
          <w:szCs w:val="20"/>
        </w:rPr>
        <w:t>–</w:t>
      </w:r>
    </w:p>
    <w:p w14:paraId="471B3AA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Структурний підрозділ цеху, що містить декілька виробничих дільниць, займає відокремлену територію та</w:t>
      </w:r>
      <w:r w:rsidRPr="000977F7">
        <w:rPr>
          <w:rFonts w:asciiTheme="majorHAnsi" w:hAnsiTheme="majorHAnsi"/>
          <w:spacing w:val="-47"/>
          <w:sz w:val="20"/>
          <w:szCs w:val="20"/>
        </w:rPr>
        <w:t xml:space="preserve"> </w:t>
      </w:r>
      <w:r w:rsidRPr="000977F7">
        <w:rPr>
          <w:rFonts w:asciiTheme="majorHAnsi" w:hAnsiTheme="majorHAnsi"/>
          <w:sz w:val="20"/>
          <w:szCs w:val="20"/>
        </w:rPr>
        <w:t>здійснює</w:t>
      </w:r>
      <w:r w:rsidRPr="000977F7">
        <w:rPr>
          <w:rFonts w:asciiTheme="majorHAnsi" w:hAnsiTheme="majorHAnsi"/>
          <w:spacing w:val="1"/>
          <w:sz w:val="20"/>
          <w:szCs w:val="20"/>
        </w:rPr>
        <w:t xml:space="preserve"> </w:t>
      </w:r>
      <w:r w:rsidRPr="000977F7">
        <w:rPr>
          <w:rFonts w:asciiTheme="majorHAnsi" w:hAnsiTheme="majorHAnsi"/>
          <w:sz w:val="20"/>
          <w:szCs w:val="20"/>
        </w:rPr>
        <w:t>закінчену</w:t>
      </w:r>
      <w:r w:rsidRPr="000977F7">
        <w:rPr>
          <w:rFonts w:asciiTheme="majorHAnsi" w:hAnsiTheme="majorHAnsi"/>
          <w:spacing w:val="1"/>
          <w:sz w:val="20"/>
          <w:szCs w:val="20"/>
        </w:rPr>
        <w:t xml:space="preserve"> </w:t>
      </w:r>
      <w:r w:rsidRPr="000977F7">
        <w:rPr>
          <w:rFonts w:asciiTheme="majorHAnsi" w:hAnsiTheme="majorHAnsi"/>
          <w:sz w:val="20"/>
          <w:szCs w:val="20"/>
        </w:rPr>
        <w:t>частку</w:t>
      </w:r>
      <w:r w:rsidRPr="000977F7">
        <w:rPr>
          <w:rFonts w:asciiTheme="majorHAnsi" w:hAnsiTheme="majorHAnsi"/>
          <w:spacing w:val="1"/>
          <w:sz w:val="20"/>
          <w:szCs w:val="20"/>
        </w:rPr>
        <w:t xml:space="preserve"> </w:t>
      </w:r>
      <w:r w:rsidRPr="000977F7">
        <w:rPr>
          <w:rFonts w:asciiTheme="majorHAnsi" w:hAnsiTheme="majorHAnsi"/>
          <w:sz w:val="20"/>
          <w:szCs w:val="20"/>
        </w:rPr>
        <w:t>виробничого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перероблення</w:t>
      </w:r>
      <w:r w:rsidRPr="000977F7">
        <w:rPr>
          <w:rFonts w:asciiTheme="majorHAnsi" w:hAnsiTheme="majorHAnsi"/>
          <w:spacing w:val="1"/>
          <w:sz w:val="20"/>
          <w:szCs w:val="20"/>
        </w:rPr>
        <w:t xml:space="preserve"> </w:t>
      </w:r>
      <w:r w:rsidRPr="000977F7">
        <w:rPr>
          <w:rFonts w:asciiTheme="majorHAnsi" w:hAnsiTheme="majorHAnsi"/>
          <w:sz w:val="20"/>
          <w:szCs w:val="20"/>
        </w:rPr>
        <w:t>предмета праці</w:t>
      </w:r>
    </w:p>
    <w:p w14:paraId="7AA72C87"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2960 – 94</w:t>
      </w:r>
      <w:r w:rsidRPr="000977F7">
        <w:rPr>
          <w:rFonts w:asciiTheme="majorHAnsi" w:hAnsiTheme="majorHAnsi"/>
          <w:i/>
          <w:spacing w:val="-47"/>
          <w:sz w:val="20"/>
          <w:szCs w:val="20"/>
        </w:rPr>
        <w:t xml:space="preserve"> </w:t>
      </w:r>
    </w:p>
    <w:p w14:paraId="7A6438E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ВІДКЛИКАННЯ –</w:t>
      </w:r>
    </w:p>
    <w:p w14:paraId="71E77AC9"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Будь-який захід, спрямований на забезпечення повернення продукції, яка вже була надана споживачу (користувачу);</w:t>
      </w:r>
    </w:p>
    <w:p w14:paraId="585E69E1"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загальну безпечність нехарчової продукції"</w:t>
      </w:r>
    </w:p>
    <w:p w14:paraId="3910B621"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Будь-який захід, спрямований на забезпечення демонтажу та безпечного видалення ліфта або повернення компонентів безпеки для ліфтів, що вже надані монтажнику чи споживачу (користувачу)</w:t>
      </w:r>
    </w:p>
    <w:p w14:paraId="5127DE36"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Технічний регламент ліфтів і компонентів безпеки для ліфтів</w:t>
      </w:r>
    </w:p>
    <w:p w14:paraId="0184AFBD"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Будь-який захід, спрямований на забезпечення повернення апаратури, яка вже була надана споживачу (користувачу)</w:t>
      </w:r>
    </w:p>
    <w:p w14:paraId="5A568B46"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Технічний регламент з електромагнітної сумісності обладнання</w:t>
      </w:r>
    </w:p>
    <w:p w14:paraId="4529DD50"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lang w:eastAsia="ru-RU"/>
        </w:rPr>
      </w:pPr>
      <w:r w:rsidRPr="000977F7">
        <w:rPr>
          <w:b w:val="0"/>
          <w:bCs/>
          <w:color w:val="auto"/>
          <w:sz w:val="20"/>
          <w:szCs w:val="20"/>
          <w:lang w:eastAsia="ru-RU"/>
        </w:rPr>
        <w:t>Будь-який захід, спрямований на забезпечення повернення електрообладнання, яке вже було надане споживачу (користувачу)</w:t>
      </w:r>
    </w:p>
    <w:p w14:paraId="721C260B"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i/>
          <w:iCs/>
          <w:sz w:val="20"/>
          <w:szCs w:val="20"/>
          <w:lang w:eastAsia="ru-RU"/>
        </w:rPr>
      </w:pPr>
      <w:r w:rsidRPr="000977F7">
        <w:rPr>
          <w:rFonts w:asciiTheme="majorHAnsi" w:hAnsiTheme="majorHAnsi"/>
          <w:i/>
          <w:iCs/>
          <w:sz w:val="20"/>
          <w:szCs w:val="20"/>
          <w:lang w:eastAsia="ru-RU"/>
        </w:rPr>
        <w:t>Технічний регламент</w:t>
      </w:r>
      <w:r w:rsidRPr="000977F7">
        <w:rPr>
          <w:rFonts w:asciiTheme="majorHAnsi" w:hAnsiTheme="majorHAnsi"/>
          <w:sz w:val="20"/>
          <w:szCs w:val="20"/>
          <w:lang w:eastAsia="ru-RU"/>
        </w:rPr>
        <w:t xml:space="preserve"> низьковольтного</w:t>
      </w:r>
      <w:r w:rsidRPr="000977F7">
        <w:rPr>
          <w:rFonts w:asciiTheme="majorHAnsi" w:hAnsiTheme="majorHAnsi"/>
          <w:i/>
          <w:iCs/>
          <w:sz w:val="20"/>
          <w:szCs w:val="20"/>
          <w:lang w:eastAsia="ru-RU"/>
        </w:rPr>
        <w:t xml:space="preserve"> електричного обладнання</w:t>
      </w:r>
    </w:p>
    <w:p w14:paraId="3CEC67FC"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ВІДМОВА –</w:t>
      </w:r>
    </w:p>
    <w:p w14:paraId="545E0F47"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FAILURE –</w:t>
      </w:r>
    </w:p>
    <w:p w14:paraId="377D03B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Подія, яка полягає у втраті об’єктом здатності виконувати потрібну функцію, тобто у порушенні працездатного стану об’єкта</w:t>
      </w:r>
    </w:p>
    <w:p w14:paraId="5205478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F96903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  є  подія,  на  відміну  від  несправності,  що  є станом та причиною відмови.</w:t>
      </w:r>
    </w:p>
    <w:p w14:paraId="3E26627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47"/>
          <w:sz w:val="20"/>
          <w:szCs w:val="20"/>
        </w:rPr>
        <w:t xml:space="preserve"> </w:t>
      </w:r>
      <w:r w:rsidRPr="000977F7">
        <w:rPr>
          <w:rFonts w:asciiTheme="majorHAnsi" w:hAnsiTheme="majorHAnsi"/>
          <w:i/>
          <w:sz w:val="20"/>
          <w:szCs w:val="20"/>
        </w:rPr>
        <w:t>- 94</w:t>
      </w:r>
    </w:p>
    <w:p w14:paraId="619C780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Подія, яка полягає у втраті здатності виконувати потрібну функцію, тобто у порушенні працездатного стану</w:t>
      </w:r>
      <w:r w:rsidRPr="000977F7">
        <w:rPr>
          <w:rFonts w:asciiTheme="majorHAnsi" w:hAnsiTheme="majorHAnsi"/>
          <w:spacing w:val="-5"/>
          <w:sz w:val="20"/>
          <w:szCs w:val="20"/>
        </w:rPr>
        <w:t xml:space="preserve"> </w:t>
      </w:r>
      <w:r w:rsidRPr="000977F7">
        <w:rPr>
          <w:rFonts w:asciiTheme="majorHAnsi" w:hAnsiTheme="majorHAnsi"/>
          <w:sz w:val="20"/>
          <w:szCs w:val="20"/>
        </w:rPr>
        <w:t>об’єкта</w:t>
      </w:r>
    </w:p>
    <w:p w14:paraId="4AB6582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2634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05F8F74"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ВІДМОВА</w:t>
      </w:r>
      <w:r w:rsidRPr="000977F7">
        <w:rPr>
          <w:color w:val="auto"/>
          <w:spacing w:val="-7"/>
          <w:sz w:val="20"/>
          <w:szCs w:val="20"/>
        </w:rPr>
        <w:t xml:space="preserve"> </w:t>
      </w:r>
      <w:r w:rsidRPr="000977F7">
        <w:rPr>
          <w:color w:val="auto"/>
          <w:sz w:val="20"/>
          <w:szCs w:val="20"/>
        </w:rPr>
        <w:t>BНАСЛІДОК</w:t>
      </w:r>
      <w:r w:rsidRPr="000977F7">
        <w:rPr>
          <w:color w:val="auto"/>
          <w:spacing w:val="-8"/>
          <w:sz w:val="20"/>
          <w:szCs w:val="20"/>
        </w:rPr>
        <w:t xml:space="preserve"> </w:t>
      </w:r>
      <w:r w:rsidRPr="000977F7">
        <w:rPr>
          <w:color w:val="auto"/>
          <w:sz w:val="20"/>
          <w:szCs w:val="20"/>
        </w:rPr>
        <w:t>ВНУТРІШНІХ</w:t>
      </w:r>
      <w:r w:rsidRPr="000977F7">
        <w:rPr>
          <w:color w:val="auto"/>
          <w:spacing w:val="-47"/>
          <w:sz w:val="20"/>
          <w:szCs w:val="20"/>
        </w:rPr>
        <w:t xml:space="preserve"> </w:t>
      </w:r>
      <w:r w:rsidRPr="000977F7">
        <w:rPr>
          <w:color w:val="auto"/>
          <w:sz w:val="20"/>
          <w:szCs w:val="20"/>
        </w:rPr>
        <w:t>ДЕФЕКТІВ</w:t>
      </w:r>
      <w:r w:rsidRPr="000977F7">
        <w:rPr>
          <w:color w:val="auto"/>
          <w:spacing w:val="1"/>
          <w:sz w:val="20"/>
          <w:szCs w:val="20"/>
        </w:rPr>
        <w:t xml:space="preserve"> </w:t>
      </w:r>
      <w:r w:rsidRPr="000977F7">
        <w:rPr>
          <w:b w:val="0"/>
          <w:color w:val="auto"/>
          <w:sz w:val="20"/>
          <w:szCs w:val="20"/>
        </w:rPr>
        <w:t>–</w:t>
      </w:r>
    </w:p>
    <w:p w14:paraId="7D0F281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INHERENT</w:t>
      </w:r>
      <w:r w:rsidRPr="000977F7">
        <w:rPr>
          <w:rFonts w:asciiTheme="majorHAnsi" w:hAnsiTheme="majorHAnsi"/>
          <w:spacing w:val="-1"/>
          <w:sz w:val="20"/>
          <w:szCs w:val="20"/>
        </w:rPr>
        <w:t xml:space="preserve"> </w:t>
      </w:r>
      <w:r w:rsidRPr="000977F7">
        <w:rPr>
          <w:rFonts w:asciiTheme="majorHAnsi" w:hAnsiTheme="majorHAnsi"/>
          <w:sz w:val="20"/>
          <w:szCs w:val="20"/>
        </w:rPr>
        <w:t>WEAKNESS</w:t>
      </w:r>
      <w:r w:rsidRPr="000977F7">
        <w:rPr>
          <w:rFonts w:asciiTheme="majorHAnsi" w:hAnsiTheme="majorHAnsi"/>
          <w:spacing w:val="-5"/>
          <w:sz w:val="20"/>
          <w:szCs w:val="20"/>
        </w:rPr>
        <w:t xml:space="preserve"> </w:t>
      </w:r>
      <w:r w:rsidRPr="000977F7">
        <w:rPr>
          <w:rFonts w:asciiTheme="majorHAnsi" w:hAnsiTheme="majorHAnsi"/>
          <w:sz w:val="20"/>
          <w:szCs w:val="20"/>
        </w:rPr>
        <w:t>FAILURE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981B0C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 викликана внутрішніми дефектами самого виробу, при навантаженнях, що не перевищують встановленні</w:t>
      </w:r>
      <w:r w:rsidRPr="000977F7">
        <w:rPr>
          <w:rFonts w:asciiTheme="majorHAnsi" w:hAnsiTheme="majorHAnsi"/>
          <w:spacing w:val="-2"/>
          <w:sz w:val="20"/>
          <w:szCs w:val="20"/>
        </w:rPr>
        <w:t xml:space="preserve"> </w:t>
      </w:r>
      <w:r w:rsidRPr="000977F7">
        <w:rPr>
          <w:rFonts w:asciiTheme="majorHAnsi" w:hAnsiTheme="majorHAnsi"/>
          <w:sz w:val="20"/>
          <w:szCs w:val="20"/>
        </w:rPr>
        <w:t>можливості</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p>
    <w:p w14:paraId="0F66B129" w14:textId="77777777" w:rsidR="0097612F" w:rsidRPr="004D2D14" w:rsidRDefault="0097612F" w:rsidP="000977F7">
      <w:pPr>
        <w:tabs>
          <w:tab w:val="left" w:pos="284"/>
        </w:tabs>
        <w:spacing w:after="0" w:line="240" w:lineRule="auto"/>
        <w:ind w:left="170"/>
        <w:mirrorIndents/>
        <w:jc w:val="both"/>
        <w:rPr>
          <w:rFonts w:asciiTheme="majorHAnsi" w:hAnsiTheme="majorHAnsi"/>
          <w:spacing w:val="-47"/>
          <w:sz w:val="20"/>
          <w:szCs w:val="20"/>
          <w:lang w:val="en-US"/>
        </w:rPr>
      </w:pPr>
      <w:r w:rsidRPr="000977F7">
        <w:rPr>
          <w:rFonts w:asciiTheme="majorHAnsi" w:hAnsiTheme="majorHAnsi"/>
          <w:b/>
          <w:sz w:val="20"/>
          <w:szCs w:val="20"/>
        </w:rPr>
        <w:t>ВІДМОВА</w:t>
      </w:r>
      <w:r w:rsidRPr="004D2D14">
        <w:rPr>
          <w:rFonts w:asciiTheme="majorHAnsi" w:hAnsiTheme="majorHAnsi"/>
          <w:b/>
          <w:sz w:val="20"/>
          <w:szCs w:val="20"/>
          <w:lang w:val="en-US"/>
        </w:rPr>
        <w:t xml:space="preserve"> </w:t>
      </w:r>
      <w:r w:rsidRPr="000977F7">
        <w:rPr>
          <w:rFonts w:asciiTheme="majorHAnsi" w:hAnsiTheme="majorHAnsi"/>
          <w:b/>
          <w:sz w:val="20"/>
          <w:szCs w:val="20"/>
        </w:rPr>
        <w:t>ВНАСЛІДОК</w:t>
      </w:r>
      <w:r w:rsidRPr="004D2D14">
        <w:rPr>
          <w:rFonts w:asciiTheme="majorHAnsi" w:hAnsiTheme="majorHAnsi"/>
          <w:b/>
          <w:sz w:val="20"/>
          <w:szCs w:val="20"/>
          <w:lang w:val="en-US"/>
        </w:rPr>
        <w:t xml:space="preserve"> </w:t>
      </w:r>
      <w:r w:rsidRPr="000977F7">
        <w:rPr>
          <w:rFonts w:asciiTheme="majorHAnsi" w:hAnsiTheme="majorHAnsi"/>
          <w:b/>
          <w:sz w:val="20"/>
          <w:szCs w:val="20"/>
        </w:rPr>
        <w:t>ЗНОСУ</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p>
    <w:p w14:paraId="71A72B96"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WEAR</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 OUT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3540147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 імовірність настання якої зростає з плином</w:t>
      </w:r>
      <w:r w:rsidRPr="000977F7">
        <w:rPr>
          <w:rFonts w:asciiTheme="majorHAnsi" w:hAnsiTheme="majorHAnsi"/>
          <w:spacing w:val="1"/>
          <w:sz w:val="20"/>
          <w:szCs w:val="20"/>
        </w:rPr>
        <w:t xml:space="preserve"> </w:t>
      </w:r>
      <w:r w:rsidRPr="000977F7">
        <w:rPr>
          <w:rFonts w:asciiTheme="majorHAnsi" w:hAnsiTheme="majorHAnsi"/>
          <w:sz w:val="20"/>
          <w:szCs w:val="20"/>
        </w:rPr>
        <w:t>часу і яка виникає в результаті процесів, що характерні</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даної</w:t>
      </w:r>
      <w:r w:rsidRPr="000977F7">
        <w:rPr>
          <w:rFonts w:asciiTheme="majorHAnsi" w:hAnsiTheme="majorHAnsi"/>
          <w:spacing w:val="-2"/>
          <w:sz w:val="20"/>
          <w:szCs w:val="20"/>
        </w:rPr>
        <w:t xml:space="preserve"> </w:t>
      </w:r>
      <w:r w:rsidRPr="000977F7">
        <w:rPr>
          <w:rFonts w:asciiTheme="majorHAnsi" w:hAnsiTheme="majorHAnsi"/>
          <w:sz w:val="20"/>
          <w:szCs w:val="20"/>
        </w:rPr>
        <w:t>генеральної</w:t>
      </w:r>
      <w:r w:rsidRPr="000977F7">
        <w:rPr>
          <w:rFonts w:asciiTheme="majorHAnsi" w:hAnsiTheme="majorHAnsi"/>
          <w:spacing w:val="-1"/>
          <w:sz w:val="20"/>
          <w:szCs w:val="20"/>
        </w:rPr>
        <w:t xml:space="preserve"> </w:t>
      </w:r>
      <w:r w:rsidRPr="000977F7">
        <w:rPr>
          <w:rFonts w:asciiTheme="majorHAnsi" w:hAnsiTheme="majorHAnsi"/>
          <w:sz w:val="20"/>
          <w:szCs w:val="20"/>
        </w:rPr>
        <w:t>сукупності</w:t>
      </w:r>
    </w:p>
    <w:p w14:paraId="765D5C7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32" w:name="_Hlk102144504"/>
      <w:r w:rsidRPr="000977F7">
        <w:rPr>
          <w:color w:val="auto"/>
          <w:sz w:val="20"/>
          <w:szCs w:val="20"/>
        </w:rPr>
        <w:t>ВІДМОВА</w:t>
      </w:r>
      <w:r w:rsidRPr="000977F7">
        <w:rPr>
          <w:color w:val="auto"/>
          <w:spacing w:val="-4"/>
          <w:sz w:val="20"/>
          <w:szCs w:val="20"/>
        </w:rPr>
        <w:t xml:space="preserve"> </w:t>
      </w:r>
      <w:r w:rsidRPr="000977F7">
        <w:rPr>
          <w:color w:val="auto"/>
          <w:sz w:val="20"/>
          <w:szCs w:val="20"/>
        </w:rPr>
        <w:t>ТЕХНОЛОГІЧНОЇ</w:t>
      </w:r>
      <w:r w:rsidRPr="000977F7">
        <w:rPr>
          <w:color w:val="auto"/>
          <w:spacing w:val="-5"/>
          <w:sz w:val="20"/>
          <w:szCs w:val="20"/>
        </w:rPr>
        <w:t xml:space="preserve"> </w:t>
      </w:r>
      <w:r w:rsidRPr="000977F7">
        <w:rPr>
          <w:color w:val="auto"/>
          <w:sz w:val="20"/>
          <w:szCs w:val="20"/>
        </w:rPr>
        <w:t>СИСТЕМИ</w:t>
      </w:r>
      <w:r w:rsidRPr="000977F7">
        <w:rPr>
          <w:color w:val="auto"/>
          <w:spacing w:val="-1"/>
          <w:sz w:val="20"/>
          <w:szCs w:val="20"/>
        </w:rPr>
        <w:t xml:space="preserve"> </w:t>
      </w:r>
      <w:r w:rsidRPr="000977F7">
        <w:rPr>
          <w:color w:val="auto"/>
          <w:sz w:val="20"/>
          <w:szCs w:val="20"/>
        </w:rPr>
        <w:t>–</w:t>
      </w:r>
    </w:p>
    <w:p w14:paraId="76B10F2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FAILURE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TECHNOLOGICAL</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SYSTEM</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bookmarkEnd w:id="32"/>
    <w:p w14:paraId="019F47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Подія, внаслідок якої припиняється функціонування</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технологічної системи, що не передбачено регламентованими</w:t>
      </w:r>
      <w:r w:rsidRPr="000977F7">
        <w:rPr>
          <w:rFonts w:asciiTheme="majorHAnsi" w:hAnsiTheme="majorHAnsi"/>
          <w:spacing w:val="1"/>
          <w:sz w:val="20"/>
          <w:szCs w:val="20"/>
        </w:rPr>
        <w:t xml:space="preserve"> </w:t>
      </w:r>
      <w:r w:rsidRPr="000977F7">
        <w:rPr>
          <w:rFonts w:asciiTheme="majorHAnsi" w:hAnsiTheme="majorHAnsi"/>
          <w:sz w:val="20"/>
          <w:szCs w:val="20"/>
        </w:rPr>
        <w:t>умовами</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вимогами</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конструкторської</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документації.</w:t>
      </w:r>
      <w:r w:rsidRPr="000977F7">
        <w:rPr>
          <w:rFonts w:asciiTheme="majorHAnsi" w:hAnsiTheme="majorHAnsi"/>
          <w:spacing w:val="1"/>
          <w:sz w:val="20"/>
          <w:szCs w:val="20"/>
        </w:rPr>
        <w:t xml:space="preserve"> </w:t>
      </w:r>
      <w:r w:rsidRPr="000977F7">
        <w:rPr>
          <w:rFonts w:asciiTheme="majorHAnsi" w:hAnsiTheme="majorHAnsi"/>
          <w:sz w:val="20"/>
          <w:szCs w:val="20"/>
        </w:rPr>
        <w:t>Відмова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1"/>
          <w:sz w:val="20"/>
          <w:szCs w:val="20"/>
        </w:rPr>
        <w:t xml:space="preserve"> </w:t>
      </w:r>
      <w:r w:rsidRPr="000977F7">
        <w:rPr>
          <w:rFonts w:asciiTheme="majorHAnsi" w:hAnsiTheme="majorHAnsi"/>
          <w:sz w:val="20"/>
          <w:szCs w:val="20"/>
        </w:rPr>
        <w:t>системи виявляється у повному чи частковому припиненні</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функціонування.</w:t>
      </w:r>
      <w:r w:rsidRPr="000977F7">
        <w:rPr>
          <w:rFonts w:asciiTheme="majorHAnsi" w:hAnsiTheme="majorHAnsi"/>
          <w:spacing w:val="1"/>
          <w:sz w:val="20"/>
          <w:szCs w:val="20"/>
        </w:rPr>
        <w:t xml:space="preserve"> </w:t>
      </w:r>
      <w:r w:rsidRPr="000977F7">
        <w:rPr>
          <w:rFonts w:asciiTheme="majorHAnsi" w:hAnsiTheme="majorHAnsi"/>
          <w:sz w:val="20"/>
          <w:szCs w:val="20"/>
        </w:rPr>
        <w:t>Прикладом</w:t>
      </w:r>
      <w:r w:rsidRPr="000977F7">
        <w:rPr>
          <w:rFonts w:asciiTheme="majorHAnsi" w:hAnsiTheme="majorHAnsi"/>
          <w:spacing w:val="1"/>
          <w:sz w:val="20"/>
          <w:szCs w:val="20"/>
        </w:rPr>
        <w:t xml:space="preserve"> </w:t>
      </w:r>
      <w:r w:rsidRPr="000977F7">
        <w:rPr>
          <w:rFonts w:asciiTheme="majorHAnsi" w:hAnsiTheme="majorHAnsi"/>
          <w:sz w:val="20"/>
          <w:szCs w:val="20"/>
        </w:rPr>
        <w:t>часткового</w:t>
      </w:r>
      <w:r w:rsidRPr="000977F7">
        <w:rPr>
          <w:rFonts w:asciiTheme="majorHAnsi" w:hAnsiTheme="majorHAnsi"/>
          <w:spacing w:val="1"/>
          <w:sz w:val="20"/>
          <w:szCs w:val="20"/>
        </w:rPr>
        <w:t xml:space="preserve"> </w:t>
      </w:r>
      <w:r w:rsidRPr="000977F7">
        <w:rPr>
          <w:rFonts w:asciiTheme="majorHAnsi" w:hAnsiTheme="majorHAnsi"/>
          <w:sz w:val="20"/>
          <w:szCs w:val="20"/>
        </w:rPr>
        <w:t>припинення функціонування може бути поломка одного з інструментів при оброблюванні деталей на автоматичній</w:t>
      </w:r>
      <w:r w:rsidRPr="000977F7">
        <w:rPr>
          <w:rFonts w:asciiTheme="majorHAnsi" w:hAnsiTheme="majorHAnsi"/>
          <w:spacing w:val="1"/>
          <w:sz w:val="20"/>
          <w:szCs w:val="20"/>
        </w:rPr>
        <w:t xml:space="preserve"> </w:t>
      </w:r>
      <w:r w:rsidRPr="000977F7">
        <w:rPr>
          <w:rFonts w:asciiTheme="majorHAnsi" w:hAnsiTheme="majorHAnsi"/>
          <w:sz w:val="20"/>
          <w:szCs w:val="20"/>
        </w:rPr>
        <w:t>лінії.</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цьому</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продовжуватись</w:t>
      </w:r>
      <w:r w:rsidRPr="000977F7">
        <w:rPr>
          <w:rFonts w:asciiTheme="majorHAnsi" w:hAnsiTheme="majorHAnsi"/>
          <w:spacing w:val="1"/>
          <w:sz w:val="20"/>
          <w:szCs w:val="20"/>
        </w:rPr>
        <w:t xml:space="preserve"> </w:t>
      </w:r>
      <w:r w:rsidRPr="000977F7">
        <w:rPr>
          <w:rFonts w:asciiTheme="majorHAnsi" w:hAnsiTheme="majorHAnsi"/>
          <w:sz w:val="20"/>
          <w:szCs w:val="20"/>
        </w:rPr>
        <w:t>випуск продукції, але без оброблювання відповідних</w:t>
      </w:r>
      <w:r w:rsidRPr="000977F7">
        <w:rPr>
          <w:rFonts w:asciiTheme="majorHAnsi" w:hAnsiTheme="majorHAnsi"/>
          <w:spacing w:val="1"/>
          <w:sz w:val="20"/>
          <w:szCs w:val="20"/>
        </w:rPr>
        <w:t xml:space="preserve"> </w:t>
      </w:r>
      <w:r w:rsidRPr="000977F7">
        <w:rPr>
          <w:rFonts w:asciiTheme="majorHAnsi" w:hAnsiTheme="majorHAnsi"/>
          <w:sz w:val="20"/>
          <w:szCs w:val="20"/>
        </w:rPr>
        <w:t>поверхонь деталі. До функціональних відмов слід відносити і факти перевищення термінів запланованих</w:t>
      </w:r>
      <w:r w:rsidRPr="000977F7">
        <w:rPr>
          <w:rFonts w:asciiTheme="majorHAnsi" w:hAnsiTheme="majorHAnsi"/>
          <w:spacing w:val="1"/>
          <w:sz w:val="20"/>
          <w:szCs w:val="20"/>
        </w:rPr>
        <w:t xml:space="preserve"> </w:t>
      </w:r>
      <w:r w:rsidRPr="000977F7">
        <w:rPr>
          <w:rFonts w:asciiTheme="majorHAnsi" w:hAnsiTheme="majorHAnsi"/>
          <w:sz w:val="20"/>
          <w:szCs w:val="20"/>
        </w:rPr>
        <w:t>перерв у роботі, тобто перевищення регламентованого</w:t>
      </w:r>
      <w:r w:rsidRPr="000977F7">
        <w:rPr>
          <w:rFonts w:asciiTheme="majorHAnsi" w:hAnsiTheme="majorHAnsi"/>
          <w:spacing w:val="-47"/>
          <w:sz w:val="20"/>
          <w:szCs w:val="20"/>
        </w:rPr>
        <w:t xml:space="preserve"> </w:t>
      </w:r>
      <w:r w:rsidRPr="000977F7">
        <w:rPr>
          <w:rFonts w:asciiTheme="majorHAnsi" w:hAnsiTheme="majorHAnsi"/>
          <w:sz w:val="20"/>
          <w:szCs w:val="20"/>
        </w:rPr>
        <w:t>часу</w:t>
      </w:r>
      <w:r w:rsidRPr="000977F7">
        <w:rPr>
          <w:rFonts w:asciiTheme="majorHAnsi" w:hAnsiTheme="majorHAnsi"/>
          <w:spacing w:val="1"/>
          <w:sz w:val="20"/>
          <w:szCs w:val="20"/>
        </w:rPr>
        <w:t xml:space="preserve"> </w:t>
      </w:r>
      <w:r w:rsidRPr="000977F7">
        <w:rPr>
          <w:rFonts w:asciiTheme="majorHAnsi" w:hAnsiTheme="majorHAnsi"/>
          <w:sz w:val="20"/>
          <w:szCs w:val="20"/>
        </w:rPr>
        <w:t>заміни</w:t>
      </w:r>
      <w:r w:rsidRPr="000977F7">
        <w:rPr>
          <w:rFonts w:asciiTheme="majorHAnsi" w:hAnsiTheme="majorHAnsi"/>
          <w:spacing w:val="1"/>
          <w:sz w:val="20"/>
          <w:szCs w:val="20"/>
        </w:rPr>
        <w:t xml:space="preserve"> </w:t>
      </w:r>
      <w:r w:rsidRPr="000977F7">
        <w:rPr>
          <w:rFonts w:asciiTheme="majorHAnsi" w:hAnsiTheme="majorHAnsi"/>
          <w:sz w:val="20"/>
          <w:szCs w:val="20"/>
        </w:rPr>
        <w:t>інструмента,</w:t>
      </w:r>
      <w:r w:rsidRPr="000977F7">
        <w:rPr>
          <w:rFonts w:asciiTheme="majorHAnsi" w:hAnsiTheme="majorHAnsi"/>
          <w:spacing w:val="1"/>
          <w:sz w:val="20"/>
          <w:szCs w:val="20"/>
        </w:rPr>
        <w:t xml:space="preserve"> </w:t>
      </w:r>
      <w:r w:rsidRPr="000977F7">
        <w:rPr>
          <w:rFonts w:asciiTheme="majorHAnsi" w:hAnsiTheme="majorHAnsi"/>
          <w:sz w:val="20"/>
          <w:szCs w:val="20"/>
        </w:rPr>
        <w:t>установлення</w:t>
      </w:r>
      <w:r w:rsidRPr="000977F7">
        <w:rPr>
          <w:rFonts w:asciiTheme="majorHAnsi" w:hAnsiTheme="majorHAnsi"/>
          <w:spacing w:val="1"/>
          <w:sz w:val="20"/>
          <w:szCs w:val="20"/>
        </w:rPr>
        <w:t xml:space="preserve"> </w:t>
      </w:r>
      <w:r w:rsidRPr="000977F7">
        <w:rPr>
          <w:rFonts w:asciiTheme="majorHAnsi" w:hAnsiTheme="majorHAnsi"/>
          <w:sz w:val="20"/>
          <w:szCs w:val="20"/>
        </w:rPr>
        <w:t>заготовки</w:t>
      </w:r>
      <w:r w:rsidRPr="000977F7">
        <w:rPr>
          <w:rFonts w:asciiTheme="majorHAnsi" w:hAnsiTheme="majorHAnsi"/>
          <w:spacing w:val="1"/>
          <w:sz w:val="20"/>
          <w:szCs w:val="20"/>
        </w:rPr>
        <w:t xml:space="preserve"> </w:t>
      </w:r>
      <w:r w:rsidRPr="000977F7">
        <w:rPr>
          <w:rFonts w:asciiTheme="majorHAnsi" w:hAnsiTheme="majorHAnsi"/>
          <w:sz w:val="20"/>
          <w:szCs w:val="20"/>
        </w:rPr>
        <w:t xml:space="preserve">(партії </w:t>
      </w:r>
      <w:r w:rsidRPr="000977F7">
        <w:rPr>
          <w:rFonts w:asciiTheme="majorHAnsi" w:hAnsiTheme="majorHAnsi"/>
          <w:sz w:val="20"/>
          <w:szCs w:val="20"/>
        </w:rPr>
        <w:t>заготовок), заданих перерв на відпочинок обслуговуючого персоналу</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5691537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2470-94</w:t>
      </w:r>
    </w:p>
    <w:p w14:paraId="203BE29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ВІДМОВА ТЕХНОЛОГІЧНОЇ СИСТЕМИ ЗА </w:t>
      </w:r>
    </w:p>
    <w:p w14:paraId="34705814"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 xml:space="preserve">ВИТРАТАМИ </w:t>
      </w:r>
      <w:r w:rsidRPr="000977F7">
        <w:rPr>
          <w:b w:val="0"/>
          <w:color w:val="auto"/>
          <w:sz w:val="20"/>
          <w:szCs w:val="20"/>
        </w:rPr>
        <w:t>–</w:t>
      </w:r>
    </w:p>
    <w:p w14:paraId="54EFCAF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TECHNOLOGICAL</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SYSTEM</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AS</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RELATED</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COSTS-</w:t>
      </w:r>
    </w:p>
    <w:p w14:paraId="0E4A151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 технологічної системи, внаслідок</w:t>
      </w:r>
      <w:r w:rsidRPr="000977F7">
        <w:rPr>
          <w:rFonts w:asciiTheme="majorHAnsi" w:hAnsiTheme="majorHAnsi"/>
          <w:spacing w:val="1"/>
          <w:sz w:val="20"/>
          <w:szCs w:val="20"/>
        </w:rPr>
        <w:t xml:space="preserve"> </w:t>
      </w:r>
      <w:r w:rsidRPr="000977F7">
        <w:rPr>
          <w:rFonts w:asciiTheme="majorHAnsi" w:hAnsiTheme="majorHAnsi"/>
          <w:sz w:val="20"/>
          <w:szCs w:val="20"/>
        </w:rPr>
        <w:t>якої значення</w:t>
      </w:r>
      <w:r w:rsidRPr="000977F7">
        <w:rPr>
          <w:rFonts w:asciiTheme="majorHAnsi" w:hAnsiTheme="majorHAnsi"/>
          <w:spacing w:val="1"/>
          <w:sz w:val="20"/>
          <w:szCs w:val="20"/>
        </w:rPr>
        <w:t xml:space="preserve"> </w:t>
      </w:r>
      <w:r w:rsidRPr="000977F7">
        <w:rPr>
          <w:rFonts w:asciiTheme="majorHAnsi" w:hAnsiTheme="majorHAnsi"/>
          <w:sz w:val="20"/>
          <w:szCs w:val="20"/>
        </w:rPr>
        <w:t>принаймні</w:t>
      </w:r>
      <w:r w:rsidRPr="000977F7">
        <w:rPr>
          <w:rFonts w:asciiTheme="majorHAnsi" w:hAnsiTheme="majorHAnsi"/>
          <w:spacing w:val="1"/>
          <w:sz w:val="20"/>
          <w:szCs w:val="20"/>
        </w:rPr>
        <w:t xml:space="preserve"> </w:t>
      </w:r>
      <w:r w:rsidRPr="000977F7">
        <w:rPr>
          <w:rFonts w:asciiTheme="majorHAnsi" w:hAnsiTheme="majorHAnsi"/>
          <w:sz w:val="20"/>
          <w:szCs w:val="20"/>
        </w:rPr>
        <w:t>одного</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r w:rsidRPr="000977F7">
        <w:rPr>
          <w:rFonts w:asciiTheme="majorHAnsi" w:hAnsiTheme="majorHAnsi"/>
          <w:spacing w:val="1"/>
          <w:sz w:val="20"/>
          <w:szCs w:val="20"/>
        </w:rPr>
        <w:t xml:space="preserve"> </w:t>
      </w:r>
      <w:r w:rsidRPr="000977F7">
        <w:rPr>
          <w:rFonts w:asciiTheme="majorHAnsi" w:hAnsiTheme="majorHAnsi"/>
          <w:sz w:val="20"/>
          <w:szCs w:val="20"/>
        </w:rPr>
        <w:t>матеріальних</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вартісних витрат не відповідають значенням, які встановлені</w:t>
      </w:r>
      <w:r w:rsidRPr="000977F7">
        <w:rPr>
          <w:rFonts w:asciiTheme="majorHAnsi" w:hAnsiTheme="majorHAnsi"/>
          <w:spacing w:val="-2"/>
          <w:sz w:val="20"/>
          <w:szCs w:val="20"/>
        </w:rPr>
        <w:t xml:space="preserve"> </w:t>
      </w:r>
      <w:r w:rsidRPr="000977F7">
        <w:rPr>
          <w:rFonts w:asciiTheme="majorHAnsi" w:hAnsiTheme="majorHAnsi"/>
          <w:sz w:val="20"/>
          <w:szCs w:val="20"/>
        </w:rPr>
        <w:t>в технічній</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документації</w:t>
      </w:r>
    </w:p>
    <w:p w14:paraId="4B17BF0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2470 - 94</w:t>
      </w:r>
    </w:p>
    <w:p w14:paraId="6908B88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ВІДМОВА ТЕХНОЛОГІЧНОЇ СИСТЕМИ ЗА </w:t>
      </w:r>
    </w:p>
    <w:p w14:paraId="0E9AE67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ПА</w:t>
      </w:r>
      <w:r w:rsidRPr="000977F7">
        <w:rPr>
          <w:color w:val="auto"/>
          <w:spacing w:val="-47"/>
          <w:sz w:val="20"/>
          <w:szCs w:val="20"/>
        </w:rPr>
        <w:t xml:space="preserve"> </w:t>
      </w:r>
      <w:r w:rsidRPr="000977F7">
        <w:rPr>
          <w:color w:val="auto"/>
          <w:sz w:val="20"/>
          <w:szCs w:val="20"/>
        </w:rPr>
        <w:t>РАМЕТРАМИ</w:t>
      </w:r>
      <w:r w:rsidRPr="000977F7">
        <w:rPr>
          <w:color w:val="auto"/>
          <w:spacing w:val="-3"/>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6788F0A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TECHNOLOGICAL</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SYSTEM</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AS</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RELATED</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PRODUCTS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PARAMETERS</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0B85D73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Відмова</w:t>
      </w:r>
      <w:r w:rsidRPr="004D2D14">
        <w:rPr>
          <w:rFonts w:asciiTheme="majorHAnsi" w:hAnsiTheme="majorHAnsi"/>
          <w:spacing w:val="1"/>
          <w:sz w:val="20"/>
          <w:szCs w:val="20"/>
          <w:lang w:val="en-US"/>
        </w:rPr>
        <w:t xml:space="preserve"> </w:t>
      </w:r>
      <w:r w:rsidRPr="000977F7">
        <w:rPr>
          <w:rFonts w:asciiTheme="majorHAnsi" w:hAnsiTheme="majorHAnsi"/>
          <w:sz w:val="20"/>
          <w:szCs w:val="20"/>
        </w:rPr>
        <w:t>технологічної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системи</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внаслідок</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значення</w:t>
      </w:r>
      <w:r w:rsidRPr="004D2D14">
        <w:rPr>
          <w:rFonts w:asciiTheme="majorHAnsi" w:hAnsiTheme="majorHAnsi"/>
          <w:sz w:val="20"/>
          <w:szCs w:val="20"/>
          <w:lang w:val="en-US"/>
        </w:rPr>
        <w:t xml:space="preserve"> </w:t>
      </w:r>
      <w:r w:rsidRPr="000977F7">
        <w:rPr>
          <w:rFonts w:asciiTheme="majorHAnsi" w:hAnsiTheme="majorHAnsi"/>
          <w:sz w:val="20"/>
          <w:szCs w:val="20"/>
        </w:rPr>
        <w:t>принаймні</w:t>
      </w:r>
      <w:r w:rsidRPr="004D2D14">
        <w:rPr>
          <w:rFonts w:asciiTheme="majorHAnsi" w:hAnsiTheme="majorHAnsi"/>
          <w:sz w:val="20"/>
          <w:szCs w:val="20"/>
          <w:lang w:val="en-US"/>
        </w:rPr>
        <w:t xml:space="preserve"> </w:t>
      </w:r>
      <w:r w:rsidRPr="000977F7">
        <w:rPr>
          <w:rFonts w:asciiTheme="majorHAnsi" w:hAnsiTheme="majorHAnsi"/>
          <w:sz w:val="20"/>
          <w:szCs w:val="20"/>
        </w:rPr>
        <w:t>одного</w:t>
      </w:r>
      <w:r w:rsidRPr="004D2D14">
        <w:rPr>
          <w:rFonts w:asciiTheme="majorHAnsi" w:hAnsiTheme="majorHAnsi"/>
          <w:sz w:val="20"/>
          <w:szCs w:val="20"/>
          <w:lang w:val="en-US"/>
        </w:rPr>
        <w:t xml:space="preserve"> </w:t>
      </w:r>
      <w:r w:rsidRPr="000977F7">
        <w:rPr>
          <w:rFonts w:asciiTheme="majorHAnsi" w:hAnsiTheme="majorHAnsi"/>
          <w:sz w:val="20"/>
          <w:szCs w:val="20"/>
        </w:rPr>
        <w:t>параметра</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показника</w:t>
      </w:r>
      <w:r w:rsidRPr="004D2D14">
        <w:rPr>
          <w:rFonts w:asciiTheme="majorHAnsi" w:hAnsiTheme="majorHAnsi"/>
          <w:sz w:val="20"/>
          <w:szCs w:val="20"/>
          <w:lang w:val="en-US"/>
        </w:rPr>
        <w:t xml:space="preserve"> </w:t>
      </w:r>
      <w:r w:rsidRPr="000977F7">
        <w:rPr>
          <w:rFonts w:asciiTheme="majorHAnsi" w:hAnsiTheme="majorHAnsi"/>
          <w:sz w:val="20"/>
          <w:szCs w:val="20"/>
        </w:rPr>
        <w:t>якості</w:t>
      </w:r>
      <w:r w:rsidRPr="004D2D14">
        <w:rPr>
          <w:rFonts w:asciiTheme="majorHAnsi" w:hAnsiTheme="majorHAnsi"/>
          <w:spacing w:val="-47"/>
          <w:sz w:val="20"/>
          <w:szCs w:val="20"/>
          <w:lang w:val="en-US"/>
        </w:rPr>
        <w:t xml:space="preserve"> </w:t>
      </w:r>
      <w:r w:rsidRPr="000977F7">
        <w:rPr>
          <w:rFonts w:asciiTheme="majorHAnsi" w:hAnsiTheme="majorHAnsi"/>
          <w:sz w:val="20"/>
          <w:szCs w:val="20"/>
        </w:rPr>
        <w:t>виготовлюваної</w:t>
      </w:r>
      <w:r w:rsidRPr="004D2D14">
        <w:rPr>
          <w:rFonts w:asciiTheme="majorHAnsi" w:hAnsiTheme="majorHAnsi"/>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 xml:space="preserve"> </w:t>
      </w:r>
      <w:r w:rsidRPr="000977F7">
        <w:rPr>
          <w:rFonts w:asciiTheme="majorHAnsi" w:hAnsiTheme="majorHAnsi"/>
          <w:sz w:val="20"/>
          <w:szCs w:val="20"/>
        </w:rPr>
        <w:t>не</w:t>
      </w:r>
      <w:r w:rsidRPr="004D2D14">
        <w:rPr>
          <w:rFonts w:asciiTheme="majorHAnsi" w:hAnsiTheme="majorHAnsi"/>
          <w:sz w:val="20"/>
          <w:szCs w:val="20"/>
          <w:lang w:val="en-US"/>
        </w:rPr>
        <w:t xml:space="preserve"> </w:t>
      </w:r>
      <w:r w:rsidRPr="000977F7">
        <w:rPr>
          <w:rFonts w:asciiTheme="majorHAnsi" w:hAnsiTheme="majorHAnsi"/>
          <w:sz w:val="20"/>
          <w:szCs w:val="20"/>
        </w:rPr>
        <w:t>відповідає</w:t>
      </w:r>
      <w:r w:rsidRPr="004D2D14">
        <w:rPr>
          <w:rFonts w:asciiTheme="majorHAnsi" w:hAnsiTheme="majorHAnsi"/>
          <w:sz w:val="20"/>
          <w:szCs w:val="20"/>
          <w:lang w:val="en-US"/>
        </w:rPr>
        <w:t xml:space="preserve"> </w:t>
      </w:r>
      <w:r w:rsidRPr="000977F7">
        <w:rPr>
          <w:rFonts w:asciiTheme="majorHAnsi" w:hAnsiTheme="majorHAnsi"/>
          <w:sz w:val="20"/>
          <w:szCs w:val="20"/>
        </w:rPr>
        <w:t>вимогам</w:t>
      </w:r>
      <w:r w:rsidRPr="004D2D14">
        <w:rPr>
          <w:rFonts w:asciiTheme="majorHAnsi" w:hAnsiTheme="majorHAnsi"/>
          <w:sz w:val="20"/>
          <w:szCs w:val="20"/>
          <w:lang w:val="en-US"/>
        </w:rPr>
        <w:t xml:space="preserve">, </w:t>
      </w:r>
      <w:r w:rsidRPr="000977F7">
        <w:rPr>
          <w:rFonts w:asciiTheme="majorHAnsi" w:hAnsiTheme="majorHAnsi"/>
          <w:sz w:val="20"/>
          <w:szCs w:val="20"/>
        </w:rPr>
        <w:t>які</w:t>
      </w:r>
      <w:r w:rsidRPr="004D2D14">
        <w:rPr>
          <w:rFonts w:asciiTheme="majorHAnsi" w:hAnsiTheme="majorHAnsi"/>
          <w:spacing w:val="1"/>
          <w:sz w:val="20"/>
          <w:szCs w:val="20"/>
          <w:lang w:val="en-US"/>
        </w:rPr>
        <w:t xml:space="preserve"> </w:t>
      </w:r>
      <w:r w:rsidRPr="000977F7">
        <w:rPr>
          <w:rFonts w:asciiTheme="majorHAnsi" w:hAnsiTheme="majorHAnsi"/>
          <w:sz w:val="20"/>
          <w:szCs w:val="20"/>
        </w:rPr>
        <w:t>встановлені</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нормативно</w:t>
      </w:r>
      <w:r w:rsidRPr="004D2D14">
        <w:rPr>
          <w:rFonts w:asciiTheme="majorHAnsi" w:hAnsiTheme="majorHAnsi"/>
          <w:sz w:val="20"/>
          <w:szCs w:val="20"/>
          <w:lang w:val="en-US"/>
        </w:rPr>
        <w:t>-</w:t>
      </w:r>
      <w:r w:rsidRPr="000977F7">
        <w:rPr>
          <w:rFonts w:asciiTheme="majorHAnsi" w:hAnsiTheme="majorHAnsi"/>
          <w:sz w:val="20"/>
          <w:szCs w:val="20"/>
        </w:rPr>
        <w:t>технічній</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конструкторській</w:t>
      </w:r>
      <w:r w:rsidRPr="004D2D14">
        <w:rPr>
          <w:rFonts w:asciiTheme="majorHAnsi" w:hAnsiTheme="majorHAnsi"/>
          <w:spacing w:val="-2"/>
          <w:sz w:val="20"/>
          <w:szCs w:val="20"/>
          <w:lang w:val="en-US"/>
        </w:rPr>
        <w:t xml:space="preserve"> </w:t>
      </w:r>
      <w:r w:rsidRPr="000977F7">
        <w:rPr>
          <w:rFonts w:asciiTheme="majorHAnsi" w:hAnsiTheme="majorHAnsi"/>
          <w:sz w:val="20"/>
          <w:szCs w:val="20"/>
        </w:rPr>
        <w:t>та</w:t>
      </w:r>
      <w:r w:rsidRPr="004D2D14">
        <w:rPr>
          <w:rFonts w:asciiTheme="majorHAnsi" w:hAnsiTheme="majorHAnsi"/>
          <w:spacing w:val="2"/>
          <w:sz w:val="20"/>
          <w:szCs w:val="20"/>
          <w:lang w:val="en-US"/>
        </w:rPr>
        <w:t xml:space="preserve"> </w:t>
      </w:r>
      <w:r w:rsidRPr="000977F7">
        <w:rPr>
          <w:rFonts w:asciiTheme="majorHAnsi" w:hAnsiTheme="majorHAnsi"/>
          <w:sz w:val="20"/>
          <w:szCs w:val="20"/>
        </w:rPr>
        <w:t>технологічній</w:t>
      </w:r>
      <w:r w:rsidRPr="004D2D14">
        <w:rPr>
          <w:rFonts w:asciiTheme="majorHAnsi" w:hAnsiTheme="majorHAnsi"/>
          <w:spacing w:val="1"/>
          <w:sz w:val="20"/>
          <w:szCs w:val="20"/>
          <w:lang w:val="en-US"/>
        </w:rPr>
        <w:t xml:space="preserve"> </w:t>
      </w:r>
      <w:r w:rsidRPr="000977F7">
        <w:rPr>
          <w:rFonts w:asciiTheme="majorHAnsi" w:hAnsiTheme="majorHAnsi"/>
          <w:sz w:val="20"/>
          <w:szCs w:val="20"/>
        </w:rPr>
        <w:t>документації</w:t>
      </w:r>
    </w:p>
    <w:p w14:paraId="289E45E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2470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AED72F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ВІДМОВА ТЕХНОЛОГІЧНОЇ СИСТЕМИ ЗА </w:t>
      </w:r>
    </w:p>
    <w:p w14:paraId="6260F7E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ПРОДУКТИВНІСТЮ</w:t>
      </w:r>
      <w:r w:rsidRPr="000977F7">
        <w:rPr>
          <w:color w:val="auto"/>
          <w:spacing w:val="-2"/>
          <w:sz w:val="20"/>
          <w:szCs w:val="20"/>
        </w:rPr>
        <w:t xml:space="preserve"> </w:t>
      </w:r>
      <w:r w:rsidRPr="000977F7">
        <w:rPr>
          <w:color w:val="auto"/>
          <w:sz w:val="20"/>
          <w:szCs w:val="20"/>
        </w:rPr>
        <w:t>–</w:t>
      </w:r>
    </w:p>
    <w:p w14:paraId="3D122D6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TECHNOLOGICAL</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SYSTEM</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AS</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RELATED</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OUTPUT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D64D13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внаслідок</w:t>
      </w:r>
      <w:r w:rsidRPr="000977F7">
        <w:rPr>
          <w:rFonts w:asciiTheme="majorHAnsi" w:hAnsiTheme="majorHAnsi"/>
          <w:spacing w:val="1"/>
          <w:sz w:val="20"/>
          <w:szCs w:val="20"/>
        </w:rPr>
        <w:t xml:space="preserve"> </w:t>
      </w:r>
      <w:r w:rsidRPr="000977F7">
        <w:rPr>
          <w:rFonts w:asciiTheme="majorHAnsi" w:hAnsiTheme="majorHAnsi"/>
          <w:sz w:val="20"/>
          <w:szCs w:val="20"/>
        </w:rPr>
        <w:t>якої</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принаймні</w:t>
      </w:r>
      <w:r w:rsidRPr="000977F7">
        <w:rPr>
          <w:rFonts w:asciiTheme="majorHAnsi" w:hAnsiTheme="majorHAnsi"/>
          <w:spacing w:val="1"/>
          <w:sz w:val="20"/>
          <w:szCs w:val="20"/>
        </w:rPr>
        <w:t xml:space="preserve"> </w:t>
      </w:r>
      <w:r w:rsidRPr="000977F7">
        <w:rPr>
          <w:rFonts w:asciiTheme="majorHAnsi" w:hAnsiTheme="majorHAnsi"/>
          <w:sz w:val="20"/>
          <w:szCs w:val="20"/>
        </w:rPr>
        <w:t>одного</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r w:rsidRPr="000977F7">
        <w:rPr>
          <w:rFonts w:asciiTheme="majorHAnsi" w:hAnsiTheme="majorHAnsi"/>
          <w:spacing w:val="1"/>
          <w:sz w:val="20"/>
          <w:szCs w:val="20"/>
        </w:rPr>
        <w:t xml:space="preserve"> </w:t>
      </w:r>
      <w:r w:rsidRPr="000977F7">
        <w:rPr>
          <w:rFonts w:asciiTheme="majorHAnsi" w:hAnsiTheme="majorHAnsi"/>
          <w:sz w:val="20"/>
          <w:szCs w:val="20"/>
        </w:rPr>
        <w:t>продуктивності</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2"/>
          <w:sz w:val="20"/>
          <w:szCs w:val="20"/>
        </w:rPr>
        <w:t xml:space="preserve"> </w:t>
      </w:r>
      <w:r w:rsidRPr="000977F7">
        <w:rPr>
          <w:rFonts w:asciiTheme="majorHAnsi" w:hAnsiTheme="majorHAnsi"/>
          <w:sz w:val="20"/>
          <w:szCs w:val="20"/>
        </w:rPr>
        <w:t>системи</w:t>
      </w:r>
      <w:r w:rsidRPr="000977F7">
        <w:rPr>
          <w:rFonts w:asciiTheme="majorHAnsi" w:hAnsiTheme="majorHAnsi"/>
          <w:spacing w:val="49"/>
          <w:sz w:val="20"/>
          <w:szCs w:val="20"/>
        </w:rPr>
        <w:t xml:space="preserve"> </w:t>
      </w:r>
      <w:r w:rsidRPr="000977F7">
        <w:rPr>
          <w:rFonts w:asciiTheme="majorHAnsi" w:hAnsiTheme="majorHAnsi"/>
          <w:sz w:val="20"/>
          <w:szCs w:val="20"/>
        </w:rPr>
        <w:t>не</w:t>
      </w:r>
      <w:r w:rsidRPr="000977F7">
        <w:rPr>
          <w:rFonts w:asciiTheme="majorHAnsi" w:hAnsiTheme="majorHAnsi"/>
          <w:spacing w:val="6"/>
          <w:sz w:val="20"/>
          <w:szCs w:val="20"/>
        </w:rPr>
        <w:t xml:space="preserve"> </w:t>
      </w:r>
      <w:r w:rsidRPr="000977F7">
        <w:rPr>
          <w:rFonts w:asciiTheme="majorHAnsi" w:hAnsiTheme="majorHAnsi"/>
          <w:sz w:val="20"/>
          <w:szCs w:val="20"/>
        </w:rPr>
        <w:t>відповідає</w:t>
      </w:r>
      <w:r w:rsidRPr="000977F7">
        <w:rPr>
          <w:rFonts w:asciiTheme="majorHAnsi" w:hAnsiTheme="majorHAnsi"/>
          <w:spacing w:val="2"/>
          <w:sz w:val="20"/>
          <w:szCs w:val="20"/>
        </w:rPr>
        <w:t xml:space="preserve"> </w:t>
      </w:r>
      <w:r w:rsidRPr="000977F7">
        <w:rPr>
          <w:rFonts w:asciiTheme="majorHAnsi" w:hAnsiTheme="majorHAnsi"/>
          <w:sz w:val="20"/>
          <w:szCs w:val="20"/>
        </w:rPr>
        <w:t>значенням,</w:t>
      </w:r>
      <w:r w:rsidRPr="000977F7">
        <w:rPr>
          <w:rFonts w:asciiTheme="majorHAnsi" w:hAnsiTheme="majorHAnsi"/>
          <w:spacing w:val="1"/>
          <w:sz w:val="20"/>
          <w:szCs w:val="20"/>
        </w:rPr>
        <w:t xml:space="preserve"> </w:t>
      </w:r>
      <w:r w:rsidRPr="000977F7">
        <w:rPr>
          <w:rFonts w:asciiTheme="majorHAnsi" w:hAnsiTheme="majorHAnsi"/>
          <w:sz w:val="20"/>
          <w:szCs w:val="20"/>
        </w:rPr>
        <w:t>які встановлені в нормативно-технічній і (чи) конструкторській</w:t>
      </w:r>
      <w:r w:rsidRPr="000977F7">
        <w:rPr>
          <w:rFonts w:asciiTheme="majorHAnsi" w:hAnsiTheme="majorHAnsi"/>
          <w:spacing w:val="-2"/>
          <w:sz w:val="20"/>
          <w:szCs w:val="20"/>
        </w:rPr>
        <w:t xml:space="preserve"> </w:t>
      </w:r>
      <w:r w:rsidRPr="000977F7">
        <w:rPr>
          <w:rFonts w:asciiTheme="majorHAnsi" w:hAnsiTheme="majorHAnsi"/>
          <w:sz w:val="20"/>
          <w:szCs w:val="20"/>
        </w:rPr>
        <w:t>документації</w:t>
      </w:r>
    </w:p>
    <w:p w14:paraId="1FBBDE9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2470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556063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ВІДМОВА,</w:t>
      </w:r>
      <w:r w:rsidRPr="000977F7">
        <w:rPr>
          <w:color w:val="auto"/>
          <w:spacing w:val="-4"/>
          <w:sz w:val="20"/>
          <w:szCs w:val="20"/>
        </w:rPr>
        <w:t xml:space="preserve"> </w:t>
      </w:r>
      <w:r w:rsidRPr="000977F7">
        <w:rPr>
          <w:color w:val="auto"/>
          <w:sz w:val="20"/>
          <w:szCs w:val="20"/>
        </w:rPr>
        <w:t>ЩО</w:t>
      </w:r>
      <w:r w:rsidRPr="000977F7">
        <w:rPr>
          <w:color w:val="auto"/>
          <w:spacing w:val="-4"/>
          <w:sz w:val="20"/>
          <w:szCs w:val="20"/>
        </w:rPr>
        <w:t xml:space="preserve"> </w:t>
      </w:r>
      <w:r w:rsidRPr="000977F7">
        <w:rPr>
          <w:color w:val="auto"/>
          <w:sz w:val="20"/>
          <w:szCs w:val="20"/>
        </w:rPr>
        <w:t>ПЕРЕМЕЖОВУЄТЬСЯ –</w:t>
      </w:r>
    </w:p>
    <w:p w14:paraId="503945E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INTERMITTENT</w:t>
      </w:r>
      <w:r w:rsidRPr="000977F7">
        <w:rPr>
          <w:rFonts w:asciiTheme="majorHAnsi" w:hAnsiTheme="majorHAnsi"/>
          <w:spacing w:val="-2"/>
          <w:sz w:val="20"/>
          <w:szCs w:val="20"/>
        </w:rPr>
        <w:t xml:space="preserve"> </w:t>
      </w:r>
      <w:r w:rsidRPr="000977F7">
        <w:rPr>
          <w:rFonts w:asciiTheme="majorHAnsi" w:hAnsiTheme="majorHAnsi"/>
          <w:sz w:val="20"/>
          <w:szCs w:val="20"/>
        </w:rPr>
        <w:t>FAILURE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03B3AD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 виробу, що проявляється протягом обмеженого періоду часу, після чого виріб відновлює свою</w:t>
      </w:r>
      <w:r w:rsidRPr="000977F7">
        <w:rPr>
          <w:rFonts w:asciiTheme="majorHAnsi" w:hAnsiTheme="majorHAnsi"/>
          <w:spacing w:val="1"/>
          <w:sz w:val="20"/>
          <w:szCs w:val="20"/>
        </w:rPr>
        <w:t xml:space="preserve"> </w:t>
      </w:r>
      <w:r w:rsidRPr="000977F7">
        <w:rPr>
          <w:rFonts w:asciiTheme="majorHAnsi" w:hAnsiTheme="majorHAnsi"/>
          <w:sz w:val="20"/>
          <w:szCs w:val="20"/>
        </w:rPr>
        <w:t>здатність</w:t>
      </w:r>
      <w:r w:rsidRPr="000977F7">
        <w:rPr>
          <w:rFonts w:asciiTheme="majorHAnsi" w:hAnsiTheme="majorHAnsi"/>
          <w:spacing w:val="1"/>
          <w:sz w:val="20"/>
          <w:szCs w:val="20"/>
        </w:rPr>
        <w:t xml:space="preserve"> </w:t>
      </w:r>
      <w:r w:rsidRPr="000977F7">
        <w:rPr>
          <w:rFonts w:asciiTheme="majorHAnsi" w:hAnsiTheme="majorHAnsi"/>
          <w:sz w:val="20"/>
          <w:szCs w:val="20"/>
        </w:rPr>
        <w:t>виконувати</w:t>
      </w:r>
      <w:r w:rsidRPr="000977F7">
        <w:rPr>
          <w:rFonts w:asciiTheme="majorHAnsi" w:hAnsiTheme="majorHAnsi"/>
          <w:spacing w:val="1"/>
          <w:sz w:val="20"/>
          <w:szCs w:val="20"/>
        </w:rPr>
        <w:t xml:space="preserve"> </w:t>
      </w:r>
      <w:r w:rsidRPr="000977F7">
        <w:rPr>
          <w:rFonts w:asciiTheme="majorHAnsi" w:hAnsiTheme="majorHAnsi"/>
          <w:sz w:val="20"/>
          <w:szCs w:val="20"/>
        </w:rPr>
        <w:t>потрібну</w:t>
      </w:r>
      <w:r w:rsidRPr="000977F7">
        <w:rPr>
          <w:rFonts w:asciiTheme="majorHAnsi" w:hAnsiTheme="majorHAnsi"/>
          <w:spacing w:val="1"/>
          <w:sz w:val="20"/>
          <w:szCs w:val="20"/>
        </w:rPr>
        <w:t xml:space="preserve"> </w:t>
      </w:r>
      <w:r w:rsidRPr="000977F7">
        <w:rPr>
          <w:rFonts w:asciiTheme="majorHAnsi" w:hAnsiTheme="majorHAnsi"/>
          <w:sz w:val="20"/>
          <w:szCs w:val="20"/>
        </w:rPr>
        <w:t>функцію</w:t>
      </w:r>
      <w:r w:rsidRPr="000977F7">
        <w:rPr>
          <w:rFonts w:asciiTheme="majorHAnsi" w:hAnsiTheme="majorHAnsi"/>
          <w:spacing w:val="1"/>
          <w:sz w:val="20"/>
          <w:szCs w:val="20"/>
        </w:rPr>
        <w:t xml:space="preserve"> </w:t>
      </w:r>
      <w:r w:rsidRPr="000977F7">
        <w:rPr>
          <w:rFonts w:asciiTheme="majorHAnsi" w:hAnsiTheme="majorHAnsi"/>
          <w:sz w:val="20"/>
          <w:szCs w:val="20"/>
        </w:rPr>
        <w:t>без</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2"/>
          <w:sz w:val="20"/>
          <w:szCs w:val="20"/>
        </w:rPr>
        <w:t xml:space="preserve"> </w:t>
      </w:r>
      <w:r w:rsidRPr="000977F7">
        <w:rPr>
          <w:rFonts w:asciiTheme="majorHAnsi" w:hAnsiTheme="majorHAnsi"/>
          <w:sz w:val="20"/>
          <w:szCs w:val="20"/>
        </w:rPr>
        <w:t>будь-яких</w:t>
      </w:r>
      <w:r w:rsidRPr="000977F7">
        <w:rPr>
          <w:rFonts w:asciiTheme="majorHAnsi" w:hAnsiTheme="majorHAnsi"/>
          <w:spacing w:val="-2"/>
          <w:sz w:val="20"/>
          <w:szCs w:val="20"/>
        </w:rPr>
        <w:t xml:space="preserve"> </w:t>
      </w:r>
      <w:r w:rsidRPr="000977F7">
        <w:rPr>
          <w:rFonts w:asciiTheme="majorHAnsi" w:hAnsiTheme="majorHAnsi"/>
          <w:sz w:val="20"/>
          <w:szCs w:val="20"/>
        </w:rPr>
        <w:t>коригуючих</w:t>
      </w:r>
      <w:r w:rsidRPr="000977F7">
        <w:rPr>
          <w:rFonts w:asciiTheme="majorHAnsi" w:hAnsiTheme="majorHAnsi"/>
          <w:spacing w:val="-2"/>
          <w:sz w:val="20"/>
          <w:szCs w:val="20"/>
        </w:rPr>
        <w:t xml:space="preserve"> </w:t>
      </w:r>
      <w:r w:rsidRPr="000977F7">
        <w:rPr>
          <w:rFonts w:asciiTheme="majorHAnsi" w:hAnsiTheme="majorHAnsi"/>
          <w:sz w:val="20"/>
          <w:szCs w:val="20"/>
        </w:rPr>
        <w:t>заходів</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зовні</w:t>
      </w:r>
    </w:p>
    <w:p w14:paraId="3B4CD2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D39F8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Така відмова часто є такою, що періодично повторюється</w:t>
      </w:r>
    </w:p>
    <w:p w14:paraId="040EA48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ВІДМОВА</w:t>
      </w:r>
      <w:r w:rsidRPr="000977F7">
        <w:rPr>
          <w:color w:val="auto"/>
          <w:spacing w:val="-4"/>
          <w:sz w:val="20"/>
          <w:szCs w:val="20"/>
        </w:rPr>
        <w:t xml:space="preserve"> </w:t>
      </w:r>
      <w:r w:rsidRPr="000977F7">
        <w:rPr>
          <w:color w:val="auto"/>
          <w:sz w:val="20"/>
          <w:szCs w:val="20"/>
        </w:rPr>
        <w:t>ЧЕРЕЗ</w:t>
      </w:r>
      <w:r w:rsidRPr="000977F7">
        <w:rPr>
          <w:color w:val="auto"/>
          <w:spacing w:val="-3"/>
          <w:sz w:val="20"/>
          <w:szCs w:val="20"/>
        </w:rPr>
        <w:t xml:space="preserve"> </w:t>
      </w:r>
      <w:r w:rsidRPr="000977F7">
        <w:rPr>
          <w:color w:val="auto"/>
          <w:sz w:val="20"/>
          <w:szCs w:val="20"/>
        </w:rPr>
        <w:t>НЕМІЦНІСТЬ</w:t>
      </w:r>
      <w:r w:rsidRPr="000977F7">
        <w:rPr>
          <w:color w:val="auto"/>
          <w:spacing w:val="-1"/>
          <w:sz w:val="20"/>
          <w:szCs w:val="20"/>
        </w:rPr>
        <w:t xml:space="preserve"> </w:t>
      </w:r>
      <w:r w:rsidRPr="000977F7">
        <w:rPr>
          <w:color w:val="auto"/>
          <w:sz w:val="20"/>
          <w:szCs w:val="20"/>
        </w:rPr>
        <w:t>–</w:t>
      </w:r>
    </w:p>
    <w:p w14:paraId="40CA135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WEAKNESS</w:t>
      </w:r>
      <w:r w:rsidRPr="000977F7">
        <w:rPr>
          <w:rFonts w:asciiTheme="majorHAnsi" w:hAnsiTheme="majorHAnsi"/>
          <w:spacing w:val="-4"/>
          <w:sz w:val="20"/>
          <w:szCs w:val="20"/>
        </w:rPr>
        <w:t xml:space="preserve"> </w:t>
      </w:r>
      <w:r w:rsidRPr="000977F7">
        <w:rPr>
          <w:rFonts w:asciiTheme="majorHAnsi" w:hAnsiTheme="majorHAnsi"/>
          <w:sz w:val="20"/>
          <w:szCs w:val="20"/>
        </w:rPr>
        <w:t>FAILURE –</w:t>
      </w:r>
    </w:p>
    <w:p w14:paraId="235439E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 спричинена неміцністю самого об’єкта, коли</w:t>
      </w:r>
      <w:r w:rsidRPr="000977F7">
        <w:rPr>
          <w:rFonts w:asciiTheme="majorHAnsi" w:hAnsiTheme="majorHAnsi"/>
          <w:spacing w:val="-47"/>
          <w:sz w:val="20"/>
          <w:szCs w:val="20"/>
        </w:rPr>
        <w:t xml:space="preserve"> </w:t>
      </w:r>
      <w:r w:rsidRPr="000977F7">
        <w:rPr>
          <w:rFonts w:asciiTheme="majorHAnsi" w:hAnsiTheme="majorHAnsi"/>
          <w:sz w:val="20"/>
          <w:szCs w:val="20"/>
        </w:rPr>
        <w:t>діяння навантаження на об’єкт не перевищують встановлену</w:t>
      </w:r>
      <w:r w:rsidRPr="000977F7">
        <w:rPr>
          <w:rFonts w:asciiTheme="majorHAnsi" w:hAnsiTheme="majorHAnsi"/>
          <w:spacing w:val="-5"/>
          <w:sz w:val="20"/>
          <w:szCs w:val="20"/>
        </w:rPr>
        <w:t xml:space="preserve"> </w:t>
      </w:r>
      <w:r w:rsidRPr="000977F7">
        <w:rPr>
          <w:rFonts w:asciiTheme="majorHAnsi" w:hAnsiTheme="majorHAnsi"/>
          <w:sz w:val="20"/>
          <w:szCs w:val="20"/>
        </w:rPr>
        <w:t>спроможність</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713E628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157C3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Неміцність може бути властива об’єктові чи запозичена</w:t>
      </w:r>
    </w:p>
    <w:p w14:paraId="1EEBE8B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B4A9CF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ВІДМОВА</w:t>
      </w:r>
      <w:r w:rsidRPr="000977F7">
        <w:rPr>
          <w:color w:val="auto"/>
          <w:spacing w:val="-4"/>
          <w:sz w:val="20"/>
          <w:szCs w:val="20"/>
        </w:rPr>
        <w:t xml:space="preserve"> </w:t>
      </w:r>
      <w:r w:rsidRPr="000977F7">
        <w:rPr>
          <w:color w:val="auto"/>
          <w:sz w:val="20"/>
          <w:szCs w:val="20"/>
        </w:rPr>
        <w:t>ЧЕРЕЗ</w:t>
      </w:r>
      <w:r w:rsidRPr="000977F7">
        <w:rPr>
          <w:color w:val="auto"/>
          <w:spacing w:val="-4"/>
          <w:sz w:val="20"/>
          <w:szCs w:val="20"/>
        </w:rPr>
        <w:t xml:space="preserve"> </w:t>
      </w:r>
      <w:r w:rsidRPr="000977F7">
        <w:rPr>
          <w:color w:val="auto"/>
          <w:sz w:val="20"/>
          <w:szCs w:val="20"/>
        </w:rPr>
        <w:t>НЕПРАВИЛЬНЕ</w:t>
      </w:r>
    </w:p>
    <w:p w14:paraId="5874FD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
          <w:bCs/>
          <w:sz w:val="20"/>
          <w:szCs w:val="20"/>
        </w:rPr>
        <w:t>ПОВОДЖЕННЯ –</w:t>
      </w:r>
      <w:r w:rsidRPr="000977F7">
        <w:rPr>
          <w:rFonts w:asciiTheme="majorHAnsi" w:hAnsiTheme="majorHAnsi"/>
          <w:b/>
          <w:bCs/>
          <w:sz w:val="20"/>
          <w:szCs w:val="20"/>
        </w:rPr>
        <w:br/>
      </w:r>
      <w:r w:rsidRPr="000977F7">
        <w:rPr>
          <w:rFonts w:asciiTheme="majorHAnsi" w:hAnsiTheme="majorHAnsi"/>
          <w:sz w:val="20"/>
          <w:szCs w:val="20"/>
        </w:rPr>
        <w:t>MISHANDLING</w:t>
      </w:r>
      <w:r w:rsidRPr="000977F7">
        <w:rPr>
          <w:rFonts w:asciiTheme="majorHAnsi" w:hAnsiTheme="majorHAnsi"/>
          <w:spacing w:val="-9"/>
          <w:sz w:val="20"/>
          <w:szCs w:val="20"/>
        </w:rPr>
        <w:t xml:space="preserve"> </w:t>
      </w:r>
      <w:r w:rsidRPr="000977F7">
        <w:rPr>
          <w:rFonts w:asciiTheme="majorHAnsi" w:hAnsiTheme="majorHAnsi"/>
          <w:sz w:val="20"/>
          <w:szCs w:val="20"/>
        </w:rPr>
        <w:t>FAILURE</w:t>
      </w:r>
      <w:r w:rsidRPr="000977F7">
        <w:rPr>
          <w:rFonts w:asciiTheme="majorHAnsi" w:hAnsiTheme="majorHAnsi"/>
          <w:spacing w:val="-6"/>
          <w:sz w:val="20"/>
          <w:szCs w:val="20"/>
        </w:rPr>
        <w:t xml:space="preserve"> </w:t>
      </w:r>
      <w:r w:rsidRPr="000977F7">
        <w:rPr>
          <w:rFonts w:asciiTheme="majorHAnsi" w:hAnsiTheme="majorHAnsi"/>
          <w:sz w:val="20"/>
          <w:szCs w:val="20"/>
        </w:rPr>
        <w:t>–</w:t>
      </w:r>
    </w:p>
    <w:p w14:paraId="1B2EBF9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 спричинена неправильним чи необережним</w:t>
      </w:r>
      <w:r w:rsidRPr="000977F7">
        <w:rPr>
          <w:rFonts w:asciiTheme="majorHAnsi" w:hAnsiTheme="majorHAnsi"/>
          <w:spacing w:val="1"/>
          <w:sz w:val="20"/>
          <w:szCs w:val="20"/>
        </w:rPr>
        <w:t xml:space="preserve"> </w:t>
      </w:r>
      <w:r w:rsidRPr="000977F7">
        <w:rPr>
          <w:rFonts w:asciiTheme="majorHAnsi" w:hAnsiTheme="majorHAnsi"/>
          <w:sz w:val="20"/>
          <w:szCs w:val="20"/>
        </w:rPr>
        <w:t>поводженням</w:t>
      </w:r>
      <w:r w:rsidRPr="000977F7">
        <w:rPr>
          <w:rFonts w:asciiTheme="majorHAnsi" w:hAnsiTheme="majorHAnsi"/>
          <w:spacing w:val="-1"/>
          <w:sz w:val="20"/>
          <w:szCs w:val="20"/>
        </w:rPr>
        <w:t xml:space="preserve"> </w:t>
      </w:r>
      <w:r w:rsidRPr="000977F7">
        <w:rPr>
          <w:rFonts w:asciiTheme="majorHAnsi" w:hAnsiTheme="majorHAnsi"/>
          <w:sz w:val="20"/>
          <w:szCs w:val="20"/>
        </w:rPr>
        <w:t>з об’єктом</w:t>
      </w:r>
    </w:p>
    <w:p w14:paraId="6B79E43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E36022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ВІДМОВА</w:t>
      </w:r>
      <w:r w:rsidRPr="000977F7">
        <w:rPr>
          <w:color w:val="auto"/>
          <w:spacing w:val="-4"/>
          <w:sz w:val="20"/>
          <w:szCs w:val="20"/>
        </w:rPr>
        <w:t xml:space="preserve"> </w:t>
      </w:r>
      <w:r w:rsidRPr="000977F7">
        <w:rPr>
          <w:color w:val="auto"/>
          <w:sz w:val="20"/>
          <w:szCs w:val="20"/>
        </w:rPr>
        <w:t>ЧЕРЕЗ</w:t>
      </w:r>
      <w:r w:rsidRPr="000977F7">
        <w:rPr>
          <w:color w:val="auto"/>
          <w:spacing w:val="-3"/>
          <w:sz w:val="20"/>
          <w:szCs w:val="20"/>
        </w:rPr>
        <w:t xml:space="preserve"> </w:t>
      </w:r>
      <w:r w:rsidRPr="000977F7">
        <w:rPr>
          <w:color w:val="auto"/>
          <w:sz w:val="20"/>
          <w:szCs w:val="20"/>
        </w:rPr>
        <w:t>ПЕРЕВАНТАЖЕННЯ</w:t>
      </w:r>
      <w:r w:rsidRPr="000977F7">
        <w:rPr>
          <w:color w:val="auto"/>
          <w:spacing w:val="-1"/>
          <w:sz w:val="20"/>
          <w:szCs w:val="20"/>
        </w:rPr>
        <w:t xml:space="preserve"> </w:t>
      </w:r>
      <w:r w:rsidRPr="000977F7">
        <w:rPr>
          <w:color w:val="auto"/>
          <w:sz w:val="20"/>
          <w:szCs w:val="20"/>
        </w:rPr>
        <w:t>–</w:t>
      </w:r>
    </w:p>
    <w:p w14:paraId="38FE68A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MISUS</w:t>
      </w:r>
      <w:r w:rsidRPr="000977F7">
        <w:rPr>
          <w:rFonts w:asciiTheme="majorHAnsi" w:hAnsiTheme="majorHAnsi"/>
          <w:spacing w:val="-4"/>
          <w:sz w:val="20"/>
          <w:szCs w:val="20"/>
        </w:rPr>
        <w:t xml:space="preserve"> </w:t>
      </w:r>
      <w:r w:rsidRPr="000977F7">
        <w:rPr>
          <w:rFonts w:asciiTheme="majorHAnsi" w:hAnsiTheme="majorHAnsi"/>
          <w:sz w:val="20"/>
          <w:szCs w:val="20"/>
        </w:rPr>
        <w:t>FAILURE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1302265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w:t>
      </w:r>
      <w:r w:rsidRPr="000977F7">
        <w:rPr>
          <w:rFonts w:asciiTheme="majorHAnsi" w:hAnsiTheme="majorHAnsi"/>
          <w:spacing w:val="1"/>
          <w:sz w:val="20"/>
          <w:szCs w:val="20"/>
        </w:rPr>
        <w:t xml:space="preserve"> </w:t>
      </w:r>
      <w:r w:rsidRPr="000977F7">
        <w:rPr>
          <w:rFonts w:asciiTheme="majorHAnsi" w:hAnsiTheme="majorHAnsi"/>
          <w:sz w:val="20"/>
          <w:szCs w:val="20"/>
        </w:rPr>
        <w:t>спричинена</w:t>
      </w:r>
      <w:r w:rsidRPr="000977F7">
        <w:rPr>
          <w:rFonts w:asciiTheme="majorHAnsi" w:hAnsiTheme="majorHAnsi"/>
          <w:spacing w:val="1"/>
          <w:sz w:val="20"/>
          <w:szCs w:val="20"/>
        </w:rPr>
        <w:t xml:space="preserve"> </w:t>
      </w:r>
      <w:r w:rsidRPr="000977F7">
        <w:rPr>
          <w:rFonts w:asciiTheme="majorHAnsi" w:hAnsiTheme="majorHAnsi"/>
          <w:sz w:val="20"/>
          <w:szCs w:val="20"/>
        </w:rPr>
        <w:t>діянням</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47"/>
          <w:sz w:val="20"/>
          <w:szCs w:val="20"/>
        </w:rPr>
        <w:t xml:space="preserve"> </w:t>
      </w:r>
      <w:r w:rsidRPr="000977F7">
        <w:rPr>
          <w:rFonts w:asciiTheme="majorHAnsi" w:hAnsiTheme="majorHAnsi"/>
          <w:sz w:val="20"/>
          <w:szCs w:val="20"/>
        </w:rPr>
        <w:t>об’єкта навантажень, що перевищують його встановлену</w:t>
      </w:r>
      <w:r w:rsidRPr="000977F7">
        <w:rPr>
          <w:rFonts w:asciiTheme="majorHAnsi" w:hAnsiTheme="majorHAnsi"/>
          <w:spacing w:val="48"/>
          <w:sz w:val="20"/>
          <w:szCs w:val="20"/>
        </w:rPr>
        <w:t xml:space="preserve"> </w:t>
      </w:r>
      <w:r w:rsidRPr="000977F7">
        <w:rPr>
          <w:rFonts w:asciiTheme="majorHAnsi" w:hAnsiTheme="majorHAnsi"/>
          <w:sz w:val="20"/>
          <w:szCs w:val="20"/>
        </w:rPr>
        <w:t>спроможність</w:t>
      </w:r>
    </w:p>
    <w:p w14:paraId="54849BC2"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2860 – 94</w:t>
      </w:r>
    </w:p>
    <w:p w14:paraId="7E58535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ВІДМОВОСТІЙКІСТЬ</w:t>
      </w:r>
      <w:r w:rsidRPr="000977F7">
        <w:rPr>
          <w:color w:val="auto"/>
          <w:spacing w:val="-4"/>
          <w:sz w:val="20"/>
          <w:szCs w:val="20"/>
        </w:rPr>
        <w:t xml:space="preserve"> </w:t>
      </w:r>
      <w:r w:rsidRPr="000977F7">
        <w:rPr>
          <w:color w:val="auto"/>
          <w:sz w:val="20"/>
          <w:szCs w:val="20"/>
        </w:rPr>
        <w:t>–</w:t>
      </w:r>
    </w:p>
    <w:p w14:paraId="1D831A9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FAULT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TOLERANCE;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FAIL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SAFE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499FB37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 об’єкта зберігати працездатність при наявності</w:t>
      </w:r>
      <w:r w:rsidRPr="000977F7">
        <w:rPr>
          <w:rFonts w:asciiTheme="majorHAnsi" w:hAnsiTheme="majorHAnsi"/>
          <w:spacing w:val="-2"/>
          <w:sz w:val="20"/>
          <w:szCs w:val="20"/>
        </w:rPr>
        <w:t xml:space="preserve"> </w:t>
      </w:r>
      <w:r w:rsidRPr="000977F7">
        <w:rPr>
          <w:rFonts w:asciiTheme="majorHAnsi" w:hAnsiTheme="majorHAnsi"/>
          <w:sz w:val="20"/>
          <w:szCs w:val="20"/>
        </w:rPr>
        <w:t>відмов</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складових</w:t>
      </w:r>
      <w:r w:rsidRPr="000977F7">
        <w:rPr>
          <w:rFonts w:asciiTheme="majorHAnsi" w:hAnsiTheme="majorHAnsi"/>
          <w:spacing w:val="-2"/>
          <w:sz w:val="20"/>
          <w:szCs w:val="20"/>
        </w:rPr>
        <w:t xml:space="preserve"> </w:t>
      </w:r>
      <w:r w:rsidRPr="000977F7">
        <w:rPr>
          <w:rFonts w:asciiTheme="majorHAnsi" w:hAnsiTheme="majorHAnsi"/>
          <w:sz w:val="20"/>
          <w:szCs w:val="20"/>
        </w:rPr>
        <w:t>частин</w:t>
      </w:r>
    </w:p>
    <w:p w14:paraId="0EB41D2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ECECA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Відмовостійкість</w:t>
      </w:r>
      <w:r w:rsidRPr="000977F7">
        <w:rPr>
          <w:rFonts w:asciiTheme="majorHAnsi" w:hAnsiTheme="majorHAnsi"/>
          <w:spacing w:val="1"/>
          <w:sz w:val="20"/>
          <w:szCs w:val="20"/>
        </w:rPr>
        <w:t xml:space="preserve"> </w:t>
      </w:r>
      <w:r w:rsidRPr="000977F7">
        <w:rPr>
          <w:rFonts w:asciiTheme="majorHAnsi" w:hAnsiTheme="majorHAnsi"/>
          <w:sz w:val="20"/>
          <w:szCs w:val="20"/>
        </w:rPr>
        <w:t>закладається</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проектуванні</w:t>
      </w:r>
      <w:r w:rsidRPr="000977F7">
        <w:rPr>
          <w:rFonts w:asciiTheme="majorHAnsi" w:hAnsiTheme="majorHAnsi"/>
          <w:spacing w:val="1"/>
          <w:sz w:val="20"/>
          <w:szCs w:val="20"/>
        </w:rPr>
        <w:t xml:space="preserve"> </w:t>
      </w:r>
      <w:r w:rsidRPr="000977F7">
        <w:rPr>
          <w:rFonts w:asciiTheme="majorHAnsi" w:hAnsiTheme="majorHAnsi"/>
          <w:sz w:val="20"/>
          <w:szCs w:val="20"/>
        </w:rPr>
        <w:t>об’єкта з метою недопущення критичних відмов і забезпечення</w:t>
      </w:r>
      <w:r w:rsidRPr="000977F7">
        <w:rPr>
          <w:rFonts w:asciiTheme="majorHAnsi" w:hAnsiTheme="majorHAnsi"/>
          <w:spacing w:val="1"/>
          <w:sz w:val="20"/>
          <w:szCs w:val="20"/>
        </w:rPr>
        <w:t xml:space="preserve"> </w:t>
      </w:r>
      <w:r w:rsidRPr="000977F7">
        <w:rPr>
          <w:rFonts w:asciiTheme="majorHAnsi" w:hAnsiTheme="majorHAnsi"/>
          <w:sz w:val="20"/>
          <w:szCs w:val="20"/>
        </w:rPr>
        <w:t>безпеки</w:t>
      </w:r>
    </w:p>
    <w:p w14:paraId="4E2E902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B5D6C1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ВІДНОВЛЕННЯ</w:t>
      </w:r>
      <w:r w:rsidRPr="000977F7">
        <w:rPr>
          <w:color w:val="auto"/>
          <w:spacing w:val="-3"/>
          <w:sz w:val="20"/>
          <w:szCs w:val="20"/>
        </w:rPr>
        <w:t xml:space="preserve"> </w:t>
      </w:r>
      <w:r w:rsidRPr="000977F7">
        <w:rPr>
          <w:color w:val="auto"/>
          <w:sz w:val="20"/>
          <w:szCs w:val="20"/>
        </w:rPr>
        <w:t>–</w:t>
      </w:r>
    </w:p>
    <w:p w14:paraId="7A09214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RESTORATION;</w:t>
      </w:r>
      <w:r w:rsidRPr="000977F7">
        <w:rPr>
          <w:rFonts w:asciiTheme="majorHAnsi" w:hAnsiTheme="majorHAnsi"/>
          <w:spacing w:val="-2"/>
          <w:sz w:val="20"/>
          <w:szCs w:val="20"/>
        </w:rPr>
        <w:t xml:space="preserve"> </w:t>
      </w:r>
      <w:r w:rsidRPr="000977F7">
        <w:rPr>
          <w:rFonts w:asciiTheme="majorHAnsi" w:hAnsiTheme="majorHAnsi"/>
          <w:sz w:val="20"/>
          <w:szCs w:val="20"/>
        </w:rPr>
        <w:t>RECOVERY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B4E4FC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Подія,</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полягає</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тому,</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після</w:t>
      </w:r>
      <w:r w:rsidRPr="000977F7">
        <w:rPr>
          <w:rFonts w:asciiTheme="majorHAnsi" w:hAnsiTheme="majorHAnsi"/>
          <w:spacing w:val="1"/>
          <w:sz w:val="20"/>
          <w:szCs w:val="20"/>
        </w:rPr>
        <w:t xml:space="preserve"> </w:t>
      </w:r>
      <w:r w:rsidRPr="000977F7">
        <w:rPr>
          <w:rFonts w:asciiTheme="majorHAnsi" w:hAnsiTheme="majorHAnsi"/>
          <w:sz w:val="20"/>
          <w:szCs w:val="20"/>
        </w:rPr>
        <w:t>несправності</w:t>
      </w:r>
      <w:r w:rsidRPr="000977F7">
        <w:rPr>
          <w:rFonts w:asciiTheme="majorHAnsi" w:hAnsiTheme="majorHAnsi"/>
          <w:spacing w:val="1"/>
          <w:sz w:val="20"/>
          <w:szCs w:val="20"/>
        </w:rPr>
        <w:t xml:space="preserve"> </w:t>
      </w:r>
      <w:r w:rsidRPr="000977F7">
        <w:rPr>
          <w:rFonts w:asciiTheme="majorHAnsi" w:hAnsiTheme="majorHAnsi"/>
          <w:sz w:val="20"/>
          <w:szCs w:val="20"/>
        </w:rPr>
        <w:t>об’єкт знову відновлює здатність виконувати потрібну</w:t>
      </w:r>
      <w:r w:rsidRPr="000977F7">
        <w:rPr>
          <w:rFonts w:asciiTheme="majorHAnsi" w:hAnsiTheme="majorHAnsi"/>
          <w:spacing w:val="-5"/>
          <w:sz w:val="20"/>
          <w:szCs w:val="20"/>
        </w:rPr>
        <w:t xml:space="preserve"> </w:t>
      </w:r>
      <w:r w:rsidRPr="000977F7">
        <w:rPr>
          <w:rFonts w:asciiTheme="majorHAnsi" w:hAnsiTheme="majorHAnsi"/>
          <w:sz w:val="20"/>
          <w:szCs w:val="20"/>
        </w:rPr>
        <w:t>функцію</w:t>
      </w:r>
    </w:p>
    <w:p w14:paraId="1657349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A88B67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Довільне часткове повернення попередніх механічних</w:t>
      </w:r>
      <w:r w:rsidRPr="000977F7">
        <w:rPr>
          <w:rFonts w:asciiTheme="majorHAnsi" w:hAnsiTheme="majorHAnsi"/>
          <w:spacing w:val="-2"/>
          <w:sz w:val="20"/>
          <w:szCs w:val="20"/>
        </w:rPr>
        <w:t xml:space="preserve"> </w:t>
      </w:r>
      <w:r w:rsidRPr="000977F7">
        <w:rPr>
          <w:rFonts w:asciiTheme="majorHAnsi" w:hAnsiTheme="majorHAnsi"/>
          <w:sz w:val="20"/>
          <w:szCs w:val="20"/>
        </w:rPr>
        <w:t>властивостей</w:t>
      </w:r>
      <w:r w:rsidRPr="000977F7">
        <w:rPr>
          <w:rFonts w:asciiTheme="majorHAnsi" w:hAnsiTheme="majorHAnsi"/>
          <w:spacing w:val="-1"/>
          <w:sz w:val="20"/>
          <w:szCs w:val="20"/>
        </w:rPr>
        <w:t xml:space="preserve"> </w:t>
      </w:r>
      <w:r w:rsidRPr="000977F7">
        <w:rPr>
          <w:rFonts w:asciiTheme="majorHAnsi" w:hAnsiTheme="majorHAnsi"/>
          <w:sz w:val="20"/>
          <w:szCs w:val="20"/>
        </w:rPr>
        <w:t>матеріалу</w:t>
      </w:r>
    </w:p>
    <w:p w14:paraId="59CD66A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7E8B41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ВІДНОВЛЕННЯ</w:t>
      </w:r>
      <w:r w:rsidRPr="000977F7">
        <w:rPr>
          <w:color w:val="auto"/>
          <w:spacing w:val="-4"/>
          <w:sz w:val="20"/>
          <w:szCs w:val="20"/>
        </w:rPr>
        <w:t xml:space="preserve"> </w:t>
      </w:r>
      <w:r w:rsidRPr="000977F7">
        <w:rPr>
          <w:color w:val="auto"/>
          <w:sz w:val="20"/>
          <w:szCs w:val="20"/>
        </w:rPr>
        <w:t>НАПРУГИ –</w:t>
      </w:r>
    </w:p>
    <w:p w14:paraId="7551CDD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VOLTAGE</w:t>
      </w:r>
      <w:r w:rsidRPr="000977F7">
        <w:rPr>
          <w:rFonts w:asciiTheme="majorHAnsi" w:hAnsiTheme="majorHAnsi"/>
          <w:spacing w:val="-2"/>
          <w:sz w:val="20"/>
          <w:szCs w:val="20"/>
        </w:rPr>
        <w:t xml:space="preserve"> </w:t>
      </w:r>
      <w:r w:rsidRPr="000977F7">
        <w:rPr>
          <w:rFonts w:asciiTheme="majorHAnsi" w:hAnsiTheme="majorHAnsi"/>
          <w:sz w:val="20"/>
          <w:szCs w:val="20"/>
        </w:rPr>
        <w:t>RECOVERY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E538C9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Зростання напруги після її убутку,</w:t>
      </w:r>
      <w:r w:rsidRPr="000977F7">
        <w:rPr>
          <w:rFonts w:asciiTheme="majorHAnsi" w:hAnsiTheme="majorHAnsi"/>
          <w:spacing w:val="1"/>
          <w:sz w:val="20"/>
          <w:szCs w:val="20"/>
        </w:rPr>
        <w:t xml:space="preserve"> </w:t>
      </w:r>
      <w:r w:rsidRPr="000977F7">
        <w:rPr>
          <w:rFonts w:asciiTheme="majorHAnsi" w:hAnsiTheme="majorHAnsi"/>
          <w:sz w:val="20"/>
          <w:szCs w:val="20"/>
        </w:rPr>
        <w:t>провалу чи зникнення до значення, що перебуває в припустимих межах для усталеного режиму роботи електропостачальної</w:t>
      </w:r>
      <w:r w:rsidRPr="000977F7">
        <w:rPr>
          <w:rFonts w:asciiTheme="majorHAnsi" w:hAnsiTheme="majorHAnsi"/>
          <w:spacing w:val="-2"/>
          <w:sz w:val="20"/>
          <w:szCs w:val="20"/>
        </w:rPr>
        <w:t xml:space="preserve"> </w:t>
      </w:r>
      <w:r w:rsidRPr="000977F7">
        <w:rPr>
          <w:rFonts w:asciiTheme="majorHAnsi" w:hAnsiTheme="majorHAnsi"/>
          <w:sz w:val="20"/>
          <w:szCs w:val="20"/>
        </w:rPr>
        <w:t>системи</w:t>
      </w:r>
    </w:p>
    <w:p w14:paraId="46469AF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1DB48C9E"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r w:rsidRPr="000977F7">
        <w:rPr>
          <w:rFonts w:asciiTheme="majorHAnsi" w:hAnsiTheme="majorHAnsi"/>
          <w:b/>
          <w:bCs/>
          <w:iCs/>
          <w:sz w:val="20"/>
          <w:szCs w:val="20"/>
        </w:rPr>
        <w:t>ВІДНОВЛЕННЯ ПРОДУКЦІЇ -</w:t>
      </w:r>
    </w:p>
    <w:p w14:paraId="32833F6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Надання продукції, що була у вжитку, властивостей нової з метою її повторного надання на ринку України</w:t>
      </w:r>
    </w:p>
    <w:p w14:paraId="7024EA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i/>
          <w:iCs/>
          <w:sz w:val="20"/>
          <w:szCs w:val="20"/>
        </w:rPr>
        <w:t>Ст. 1 Закон України "Про загальну безпечність нехарчової продукції</w:t>
      </w:r>
      <w:r w:rsidRPr="000977F7">
        <w:rPr>
          <w:rFonts w:asciiTheme="majorHAnsi" w:hAnsiTheme="majorHAnsi"/>
          <w:sz w:val="20"/>
          <w:szCs w:val="20"/>
        </w:rPr>
        <w:t>"</w:t>
      </w:r>
    </w:p>
    <w:p w14:paraId="534AC90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ВІДНОВЛЮВАЛЬНЕ</w:t>
      </w:r>
      <w:r w:rsidRPr="000977F7">
        <w:rPr>
          <w:color w:val="auto"/>
          <w:spacing w:val="-7"/>
          <w:sz w:val="20"/>
          <w:szCs w:val="20"/>
        </w:rPr>
        <w:t xml:space="preserve"> </w:t>
      </w:r>
      <w:r w:rsidRPr="000977F7">
        <w:rPr>
          <w:color w:val="auto"/>
          <w:sz w:val="20"/>
          <w:szCs w:val="20"/>
        </w:rPr>
        <w:t>ОБСЛУГОВУВАННЯ</w:t>
      </w:r>
      <w:r w:rsidRPr="000977F7">
        <w:rPr>
          <w:color w:val="auto"/>
          <w:spacing w:val="-1"/>
          <w:sz w:val="20"/>
          <w:szCs w:val="20"/>
        </w:rPr>
        <w:t xml:space="preserve"> </w:t>
      </w:r>
      <w:r w:rsidRPr="000977F7">
        <w:rPr>
          <w:color w:val="auto"/>
          <w:sz w:val="20"/>
          <w:szCs w:val="20"/>
        </w:rPr>
        <w:t>–</w:t>
      </w:r>
    </w:p>
    <w:p w14:paraId="770F12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CORRECTIVE</w:t>
      </w:r>
      <w:r w:rsidRPr="000977F7">
        <w:rPr>
          <w:rFonts w:asciiTheme="majorHAnsi" w:hAnsiTheme="majorHAnsi"/>
          <w:spacing w:val="-6"/>
          <w:sz w:val="20"/>
          <w:szCs w:val="20"/>
        </w:rPr>
        <w:t xml:space="preserve"> </w:t>
      </w:r>
      <w:r w:rsidRPr="000977F7">
        <w:rPr>
          <w:rFonts w:asciiTheme="majorHAnsi" w:hAnsiTheme="majorHAnsi"/>
          <w:sz w:val="20"/>
          <w:szCs w:val="20"/>
        </w:rPr>
        <w:t>MAINTENANCE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18569BF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Обслуговування, яке проводиться спеціально для відновлення працездатного стану та відновлення ресурсів</w:t>
      </w:r>
      <w:r w:rsidRPr="000977F7">
        <w:rPr>
          <w:rFonts w:asciiTheme="majorHAnsi" w:hAnsiTheme="majorHAnsi"/>
          <w:spacing w:val="-2"/>
          <w:sz w:val="20"/>
          <w:szCs w:val="20"/>
        </w:rPr>
        <w:t xml:space="preserve"> </w:t>
      </w:r>
      <w:r w:rsidRPr="000977F7">
        <w:rPr>
          <w:rFonts w:asciiTheme="majorHAnsi" w:hAnsiTheme="majorHAnsi"/>
          <w:sz w:val="20"/>
          <w:szCs w:val="20"/>
        </w:rPr>
        <w:t>функційного</w:t>
      </w:r>
      <w:r w:rsidRPr="000977F7">
        <w:rPr>
          <w:rFonts w:asciiTheme="majorHAnsi" w:hAnsiTheme="majorHAnsi"/>
          <w:spacing w:val="1"/>
          <w:sz w:val="20"/>
          <w:szCs w:val="20"/>
        </w:rPr>
        <w:t xml:space="preserve"> </w:t>
      </w:r>
      <w:r w:rsidRPr="000977F7">
        <w:rPr>
          <w:rFonts w:asciiTheme="majorHAnsi" w:hAnsiTheme="majorHAnsi"/>
          <w:sz w:val="20"/>
          <w:szCs w:val="20"/>
        </w:rPr>
        <w:t>модуля</w:t>
      </w:r>
      <w:r w:rsidRPr="000977F7">
        <w:rPr>
          <w:rFonts w:asciiTheme="majorHAnsi" w:hAnsiTheme="majorHAnsi"/>
          <w:spacing w:val="-2"/>
          <w:sz w:val="20"/>
          <w:szCs w:val="20"/>
        </w:rPr>
        <w:t xml:space="preserve"> </w:t>
      </w:r>
      <w:r w:rsidRPr="000977F7">
        <w:rPr>
          <w:rFonts w:asciiTheme="majorHAnsi" w:hAnsiTheme="majorHAnsi"/>
          <w:sz w:val="20"/>
          <w:szCs w:val="20"/>
        </w:rPr>
        <w:t>(системи)</w:t>
      </w:r>
    </w:p>
    <w:p w14:paraId="4DAB1D3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ISO/IEC</w:t>
      </w:r>
      <w:r w:rsidRPr="000977F7">
        <w:rPr>
          <w:rFonts w:asciiTheme="majorHAnsi" w:hAnsiTheme="majorHAnsi"/>
          <w:i/>
          <w:spacing w:val="-3"/>
          <w:sz w:val="20"/>
          <w:szCs w:val="20"/>
        </w:rPr>
        <w:t xml:space="preserve"> </w:t>
      </w:r>
      <w:r w:rsidRPr="000977F7">
        <w:rPr>
          <w:rFonts w:asciiTheme="majorHAnsi" w:hAnsiTheme="majorHAnsi"/>
          <w:i/>
          <w:sz w:val="20"/>
          <w:szCs w:val="20"/>
        </w:rPr>
        <w:t>2382:2017</w:t>
      </w:r>
    </w:p>
    <w:p w14:paraId="388D8F51"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8"/>
          <w:sz w:val="20"/>
          <w:szCs w:val="20"/>
        </w:rPr>
      </w:pPr>
      <w:r w:rsidRPr="000977F7">
        <w:rPr>
          <w:rFonts w:asciiTheme="majorHAnsi" w:hAnsiTheme="majorHAnsi"/>
          <w:b/>
          <w:sz w:val="20"/>
          <w:szCs w:val="20"/>
        </w:rPr>
        <w:t xml:space="preserve">ВІДНОВЛЮВАНИЙ ОБ’ЄКТ </w:t>
      </w:r>
      <w:r w:rsidRPr="000977F7">
        <w:rPr>
          <w:rFonts w:asciiTheme="majorHAnsi" w:hAnsiTheme="majorHAnsi"/>
          <w:sz w:val="20"/>
          <w:szCs w:val="20"/>
        </w:rPr>
        <w:t>–</w:t>
      </w:r>
      <w:r w:rsidRPr="000977F7">
        <w:rPr>
          <w:rFonts w:asciiTheme="majorHAnsi" w:hAnsiTheme="majorHAnsi"/>
          <w:spacing w:val="-48"/>
          <w:sz w:val="20"/>
          <w:szCs w:val="20"/>
        </w:rPr>
        <w:t xml:space="preserve"> </w:t>
      </w:r>
    </w:p>
    <w:p w14:paraId="29BFEE5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RESTORABLE</w:t>
      </w:r>
      <w:r w:rsidRPr="000977F7">
        <w:rPr>
          <w:rFonts w:asciiTheme="majorHAnsi" w:hAnsiTheme="majorHAnsi"/>
          <w:spacing w:val="-1"/>
          <w:sz w:val="20"/>
          <w:szCs w:val="20"/>
        </w:rPr>
        <w:t xml:space="preserve"> </w:t>
      </w:r>
      <w:r w:rsidRPr="000977F7">
        <w:rPr>
          <w:rFonts w:asciiTheme="majorHAnsi" w:hAnsiTheme="majorHAnsi"/>
          <w:sz w:val="20"/>
          <w:szCs w:val="20"/>
        </w:rPr>
        <w:t>ITEM</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32675B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Ремонтований об’єкт, який після відмови та усунення</w:t>
      </w:r>
      <w:r w:rsidRPr="000977F7">
        <w:rPr>
          <w:rFonts w:asciiTheme="majorHAnsi" w:hAnsiTheme="majorHAnsi"/>
          <w:spacing w:val="1"/>
          <w:sz w:val="20"/>
          <w:szCs w:val="20"/>
        </w:rPr>
        <w:t xml:space="preserve"> </w:t>
      </w:r>
      <w:r w:rsidRPr="000977F7">
        <w:rPr>
          <w:rFonts w:asciiTheme="majorHAnsi" w:hAnsiTheme="majorHAnsi"/>
          <w:sz w:val="20"/>
          <w:szCs w:val="20"/>
        </w:rPr>
        <w:t>несправності знову стає здатним виконувати потрібні</w:t>
      </w:r>
      <w:r w:rsidRPr="000977F7">
        <w:rPr>
          <w:rFonts w:asciiTheme="majorHAnsi" w:hAnsiTheme="majorHAnsi"/>
          <w:spacing w:val="1"/>
          <w:sz w:val="20"/>
          <w:szCs w:val="20"/>
        </w:rPr>
        <w:t xml:space="preserve"> </w:t>
      </w:r>
      <w:r w:rsidRPr="000977F7">
        <w:rPr>
          <w:rFonts w:asciiTheme="majorHAnsi" w:hAnsiTheme="majorHAnsi"/>
          <w:sz w:val="20"/>
          <w:szCs w:val="20"/>
        </w:rPr>
        <w:t>функції з заданими кількісними показниками надійності</w:t>
      </w:r>
    </w:p>
    <w:p w14:paraId="357FA51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CEDE7A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ВІДНОСИНИ ОРГАНІВ ВИКОНАВЧОЇ ВЛАДИ,</w:t>
      </w:r>
      <w:r w:rsidRPr="000977F7">
        <w:rPr>
          <w:color w:val="auto"/>
          <w:spacing w:val="1"/>
          <w:sz w:val="20"/>
          <w:szCs w:val="20"/>
        </w:rPr>
        <w:t xml:space="preserve"> </w:t>
      </w:r>
      <w:r w:rsidRPr="000977F7">
        <w:rPr>
          <w:color w:val="auto"/>
          <w:sz w:val="20"/>
          <w:szCs w:val="20"/>
        </w:rPr>
        <w:t xml:space="preserve">ЩО ЗДІЙСНЮЮТЬ ЗАХИСТ ПРАВ </w:t>
      </w:r>
    </w:p>
    <w:p w14:paraId="4DDCF29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СПОЖИВАЧІВ,</w:t>
      </w:r>
      <w:r w:rsidRPr="000977F7">
        <w:rPr>
          <w:color w:val="auto"/>
          <w:spacing w:val="46"/>
          <w:sz w:val="20"/>
          <w:szCs w:val="20"/>
        </w:rPr>
        <w:t xml:space="preserve"> </w:t>
      </w:r>
      <w:r w:rsidRPr="000977F7">
        <w:rPr>
          <w:color w:val="auto"/>
          <w:sz w:val="20"/>
          <w:szCs w:val="20"/>
        </w:rPr>
        <w:t>З</w:t>
      </w:r>
      <w:r w:rsidRPr="000977F7">
        <w:rPr>
          <w:color w:val="auto"/>
          <w:spacing w:val="47"/>
          <w:sz w:val="20"/>
          <w:szCs w:val="20"/>
        </w:rPr>
        <w:t xml:space="preserve"> </w:t>
      </w:r>
      <w:r w:rsidRPr="000977F7">
        <w:rPr>
          <w:color w:val="auto"/>
          <w:sz w:val="20"/>
          <w:szCs w:val="20"/>
        </w:rPr>
        <w:t>ПРАВООХОРОННИМИ ОРГАНАМИ</w:t>
      </w:r>
      <w:r w:rsidRPr="000977F7">
        <w:rPr>
          <w:color w:val="auto"/>
          <w:spacing w:val="1"/>
          <w:sz w:val="20"/>
          <w:szCs w:val="20"/>
        </w:rPr>
        <w:t xml:space="preserve"> </w:t>
      </w:r>
      <w:r w:rsidRPr="000977F7">
        <w:rPr>
          <w:color w:val="auto"/>
          <w:sz w:val="20"/>
          <w:szCs w:val="20"/>
        </w:rPr>
        <w:t>–</w:t>
      </w:r>
    </w:p>
    <w:p w14:paraId="305488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Працівники</w:t>
      </w:r>
      <w:r w:rsidRPr="000977F7">
        <w:rPr>
          <w:rFonts w:asciiTheme="majorHAnsi" w:hAnsiTheme="majorHAnsi"/>
          <w:spacing w:val="1"/>
          <w:sz w:val="20"/>
          <w:szCs w:val="20"/>
        </w:rPr>
        <w:t xml:space="preserve"> </w:t>
      </w:r>
      <w:r w:rsidRPr="000977F7">
        <w:rPr>
          <w:rFonts w:asciiTheme="majorHAnsi" w:hAnsiTheme="majorHAnsi"/>
          <w:sz w:val="20"/>
          <w:szCs w:val="20"/>
        </w:rPr>
        <w:t>правоохоронних</w:t>
      </w:r>
      <w:r w:rsidRPr="000977F7">
        <w:rPr>
          <w:rFonts w:asciiTheme="majorHAnsi" w:hAnsiTheme="majorHAnsi"/>
          <w:spacing w:val="1"/>
          <w:sz w:val="20"/>
          <w:szCs w:val="20"/>
        </w:rPr>
        <w:t xml:space="preserve"> </w:t>
      </w:r>
      <w:r w:rsidRPr="000977F7">
        <w:rPr>
          <w:rFonts w:asciiTheme="majorHAnsi" w:hAnsiTheme="majorHAnsi"/>
          <w:sz w:val="20"/>
          <w:szCs w:val="20"/>
        </w:rPr>
        <w:t>органів</w:t>
      </w:r>
      <w:r w:rsidRPr="000977F7">
        <w:rPr>
          <w:rFonts w:asciiTheme="majorHAnsi" w:hAnsiTheme="majorHAnsi"/>
          <w:spacing w:val="1"/>
          <w:sz w:val="20"/>
          <w:szCs w:val="20"/>
        </w:rPr>
        <w:t xml:space="preserve"> </w:t>
      </w:r>
      <w:r w:rsidRPr="000977F7">
        <w:rPr>
          <w:rFonts w:asciiTheme="majorHAnsi" w:hAnsiTheme="majorHAnsi"/>
          <w:sz w:val="20"/>
          <w:szCs w:val="20"/>
        </w:rPr>
        <w:t>подають</w:t>
      </w:r>
      <w:r w:rsidRPr="000977F7">
        <w:rPr>
          <w:rFonts w:asciiTheme="majorHAnsi" w:hAnsiTheme="majorHAnsi"/>
          <w:spacing w:val="1"/>
          <w:sz w:val="20"/>
          <w:szCs w:val="20"/>
        </w:rPr>
        <w:t xml:space="preserve"> </w:t>
      </w:r>
      <w:r w:rsidRPr="000977F7">
        <w:rPr>
          <w:rFonts w:asciiTheme="majorHAnsi" w:hAnsiTheme="majorHAnsi"/>
          <w:sz w:val="20"/>
          <w:szCs w:val="20"/>
        </w:rPr>
        <w:t>допомогу службовим особам органів виконавчої влади, що</w:t>
      </w:r>
      <w:r w:rsidRPr="000977F7">
        <w:rPr>
          <w:rFonts w:asciiTheme="majorHAnsi" w:hAnsiTheme="majorHAnsi"/>
          <w:spacing w:val="-47"/>
          <w:sz w:val="20"/>
          <w:szCs w:val="20"/>
        </w:rPr>
        <w:t xml:space="preserve"> </w:t>
      </w:r>
      <w:r w:rsidRPr="000977F7">
        <w:rPr>
          <w:rFonts w:asciiTheme="majorHAnsi" w:hAnsiTheme="majorHAnsi"/>
          <w:sz w:val="20"/>
          <w:szCs w:val="20"/>
        </w:rPr>
        <w:t>здійснюють захист прав споживачів, у виконанні ними службових обов'язків та припиняють незаконні дії</w:t>
      </w:r>
      <w:r w:rsidRPr="000977F7">
        <w:rPr>
          <w:rFonts w:asciiTheme="majorHAnsi" w:hAnsiTheme="majorHAnsi"/>
          <w:spacing w:val="1"/>
          <w:sz w:val="20"/>
          <w:szCs w:val="20"/>
        </w:rPr>
        <w:t xml:space="preserve"> </w:t>
      </w:r>
      <w:r w:rsidRPr="000977F7">
        <w:rPr>
          <w:rFonts w:asciiTheme="majorHAnsi" w:hAnsiTheme="majorHAnsi"/>
          <w:sz w:val="20"/>
          <w:szCs w:val="20"/>
        </w:rPr>
        <w:t>громадян, які перешкоджають виконанню покладених</w:t>
      </w:r>
      <w:r w:rsidRPr="000977F7">
        <w:rPr>
          <w:rFonts w:asciiTheme="majorHAnsi" w:hAnsiTheme="majorHAnsi"/>
          <w:spacing w:val="-47"/>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них</w:t>
      </w:r>
      <w:r w:rsidRPr="000977F7">
        <w:rPr>
          <w:rFonts w:asciiTheme="majorHAnsi" w:hAnsiTheme="majorHAnsi"/>
          <w:spacing w:val="-1"/>
          <w:sz w:val="20"/>
          <w:szCs w:val="20"/>
        </w:rPr>
        <w:t xml:space="preserve"> </w:t>
      </w:r>
      <w:r w:rsidRPr="000977F7">
        <w:rPr>
          <w:rFonts w:asciiTheme="majorHAnsi" w:hAnsiTheme="majorHAnsi"/>
          <w:sz w:val="20"/>
          <w:szCs w:val="20"/>
        </w:rPr>
        <w:t>функцій</w:t>
      </w:r>
    </w:p>
    <w:p w14:paraId="36041AB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7"/>
          <w:sz w:val="20"/>
          <w:szCs w:val="20"/>
        </w:rPr>
        <w:t xml:space="preserve"> </w:t>
      </w:r>
      <w:r w:rsidRPr="000977F7">
        <w:rPr>
          <w:rFonts w:asciiTheme="majorHAnsi" w:hAnsiTheme="majorHAnsi"/>
          <w:i/>
          <w:sz w:val="20"/>
          <w:szCs w:val="20"/>
        </w:rPr>
        <w:t>31</w:t>
      </w:r>
      <w:r w:rsidRPr="000977F7">
        <w:rPr>
          <w:rFonts w:asciiTheme="majorHAnsi" w:hAnsiTheme="majorHAnsi"/>
          <w:i/>
          <w:spacing w:val="-6"/>
          <w:sz w:val="20"/>
          <w:szCs w:val="20"/>
        </w:rPr>
        <w:t xml:space="preserve"> </w:t>
      </w:r>
      <w:r w:rsidRPr="000977F7">
        <w:rPr>
          <w:rFonts w:asciiTheme="majorHAnsi" w:hAnsiTheme="majorHAnsi"/>
          <w:i/>
          <w:sz w:val="20"/>
          <w:szCs w:val="20"/>
        </w:rPr>
        <w:t>закону</w:t>
      </w:r>
      <w:r w:rsidRPr="000977F7">
        <w:rPr>
          <w:rFonts w:asciiTheme="majorHAnsi" w:hAnsiTheme="majorHAnsi"/>
          <w:i/>
          <w:spacing w:val="-6"/>
          <w:sz w:val="20"/>
          <w:szCs w:val="20"/>
        </w:rPr>
        <w:t xml:space="preserve"> </w:t>
      </w:r>
      <w:r w:rsidRPr="000977F7">
        <w:rPr>
          <w:rFonts w:asciiTheme="majorHAnsi" w:hAnsiTheme="majorHAnsi"/>
          <w:i/>
          <w:sz w:val="20"/>
          <w:szCs w:val="20"/>
        </w:rPr>
        <w:t>України "Про</w:t>
      </w:r>
      <w:r w:rsidRPr="000977F7">
        <w:rPr>
          <w:rFonts w:asciiTheme="majorHAnsi" w:hAnsiTheme="majorHAnsi"/>
          <w:i/>
          <w:spacing w:val="-7"/>
          <w:sz w:val="20"/>
          <w:szCs w:val="20"/>
        </w:rPr>
        <w:t xml:space="preserve"> </w:t>
      </w:r>
      <w:r w:rsidRPr="000977F7">
        <w:rPr>
          <w:rFonts w:asciiTheme="majorHAnsi" w:hAnsiTheme="majorHAnsi"/>
          <w:i/>
          <w:sz w:val="20"/>
          <w:szCs w:val="20"/>
        </w:rPr>
        <w:t>захист</w:t>
      </w:r>
      <w:r w:rsidRPr="000977F7">
        <w:rPr>
          <w:rFonts w:asciiTheme="majorHAnsi" w:hAnsiTheme="majorHAnsi"/>
          <w:i/>
          <w:spacing w:val="-7"/>
          <w:sz w:val="20"/>
          <w:szCs w:val="20"/>
        </w:rPr>
        <w:t xml:space="preserve"> </w:t>
      </w:r>
      <w:r w:rsidRPr="000977F7">
        <w:rPr>
          <w:rFonts w:asciiTheme="majorHAnsi" w:hAnsiTheme="majorHAnsi"/>
          <w:i/>
          <w:sz w:val="20"/>
          <w:szCs w:val="20"/>
        </w:rPr>
        <w:t>прав</w:t>
      </w:r>
      <w:r w:rsidRPr="000977F7">
        <w:rPr>
          <w:rFonts w:asciiTheme="majorHAnsi" w:hAnsiTheme="majorHAnsi"/>
          <w:i/>
          <w:spacing w:val="-7"/>
          <w:sz w:val="20"/>
          <w:szCs w:val="20"/>
        </w:rPr>
        <w:t xml:space="preserve"> </w:t>
      </w:r>
      <w:r w:rsidRPr="000977F7">
        <w:rPr>
          <w:rFonts w:asciiTheme="majorHAnsi" w:hAnsiTheme="majorHAnsi"/>
          <w:i/>
          <w:sz w:val="20"/>
          <w:szCs w:val="20"/>
        </w:rPr>
        <w:t>споживачів"</w:t>
      </w:r>
    </w:p>
    <w:p w14:paraId="5682B8D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ВІДНОСНЕ</w:t>
      </w:r>
      <w:r w:rsidRPr="000977F7">
        <w:rPr>
          <w:color w:val="auto"/>
          <w:spacing w:val="-5"/>
          <w:sz w:val="20"/>
          <w:szCs w:val="20"/>
        </w:rPr>
        <w:t xml:space="preserve"> </w:t>
      </w:r>
      <w:r w:rsidRPr="000977F7">
        <w:rPr>
          <w:color w:val="auto"/>
          <w:sz w:val="20"/>
          <w:szCs w:val="20"/>
        </w:rPr>
        <w:t>ВИМІРЮВАННЯ</w:t>
      </w:r>
      <w:r w:rsidRPr="000977F7">
        <w:rPr>
          <w:color w:val="auto"/>
          <w:spacing w:val="-2"/>
          <w:sz w:val="20"/>
          <w:szCs w:val="20"/>
        </w:rPr>
        <w:t xml:space="preserve"> </w:t>
      </w:r>
      <w:r w:rsidRPr="000977F7">
        <w:rPr>
          <w:color w:val="auto"/>
          <w:sz w:val="20"/>
          <w:szCs w:val="20"/>
        </w:rPr>
        <w:t>–</w:t>
      </w:r>
    </w:p>
    <w:p w14:paraId="6FFB38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RELATIVE</w:t>
      </w:r>
      <w:r w:rsidRPr="000977F7">
        <w:rPr>
          <w:rFonts w:asciiTheme="majorHAnsi" w:hAnsiTheme="majorHAnsi"/>
          <w:spacing w:val="-2"/>
          <w:sz w:val="20"/>
          <w:szCs w:val="20"/>
        </w:rPr>
        <w:t xml:space="preserve"> </w:t>
      </w:r>
      <w:r w:rsidRPr="000977F7">
        <w:rPr>
          <w:rFonts w:asciiTheme="majorHAnsi" w:hAnsiTheme="majorHAnsi"/>
          <w:sz w:val="20"/>
          <w:szCs w:val="20"/>
        </w:rPr>
        <w:t>MEASUREMENT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3B918E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Вимірювання відношення величини до іншої однорідної</w:t>
      </w:r>
      <w:r w:rsidRPr="000977F7">
        <w:rPr>
          <w:rFonts w:asciiTheme="majorHAnsi" w:hAnsiTheme="majorHAnsi"/>
          <w:spacing w:val="-2"/>
          <w:sz w:val="20"/>
          <w:szCs w:val="20"/>
        </w:rPr>
        <w:t xml:space="preserve"> </w:t>
      </w:r>
      <w:r w:rsidRPr="000977F7">
        <w:rPr>
          <w:rFonts w:asciiTheme="majorHAnsi" w:hAnsiTheme="majorHAnsi"/>
          <w:sz w:val="20"/>
          <w:szCs w:val="20"/>
        </w:rPr>
        <w:t>величини</w:t>
      </w:r>
    </w:p>
    <w:p w14:paraId="3EFC9B8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BE836F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ВІДНОСНА</w:t>
      </w:r>
      <w:r w:rsidRPr="000977F7">
        <w:rPr>
          <w:color w:val="auto"/>
          <w:spacing w:val="-4"/>
          <w:sz w:val="20"/>
          <w:szCs w:val="20"/>
        </w:rPr>
        <w:t xml:space="preserve"> </w:t>
      </w:r>
      <w:r w:rsidRPr="000977F7">
        <w:rPr>
          <w:color w:val="auto"/>
          <w:sz w:val="20"/>
          <w:szCs w:val="20"/>
        </w:rPr>
        <w:t>КІЛЬКІСТЬ</w:t>
      </w:r>
      <w:r w:rsidRPr="000977F7">
        <w:rPr>
          <w:color w:val="auto"/>
          <w:spacing w:val="-2"/>
          <w:sz w:val="20"/>
          <w:szCs w:val="20"/>
        </w:rPr>
        <w:t xml:space="preserve"> </w:t>
      </w:r>
      <w:r w:rsidRPr="000977F7">
        <w:rPr>
          <w:color w:val="auto"/>
          <w:sz w:val="20"/>
          <w:szCs w:val="20"/>
        </w:rPr>
        <w:t>ЦИКЛІВ,</w:t>
      </w:r>
      <w:r w:rsidRPr="000977F7">
        <w:rPr>
          <w:color w:val="auto"/>
          <w:spacing w:val="-2"/>
          <w:sz w:val="20"/>
          <w:szCs w:val="20"/>
        </w:rPr>
        <w:t xml:space="preserve"> </w:t>
      </w:r>
      <w:r w:rsidRPr="000977F7">
        <w:rPr>
          <w:color w:val="auto"/>
          <w:sz w:val="20"/>
          <w:szCs w:val="20"/>
        </w:rPr>
        <w:t>n/N</w:t>
      </w:r>
      <w:r w:rsidRPr="000977F7">
        <w:rPr>
          <w:color w:val="auto"/>
          <w:spacing w:val="-4"/>
          <w:sz w:val="20"/>
          <w:szCs w:val="20"/>
        </w:rPr>
        <w:t xml:space="preserve"> </w:t>
      </w:r>
      <w:r w:rsidRPr="000977F7">
        <w:rPr>
          <w:color w:val="auto"/>
          <w:sz w:val="20"/>
          <w:szCs w:val="20"/>
        </w:rPr>
        <w:t>–</w:t>
      </w:r>
    </w:p>
    <w:p w14:paraId="16911A7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CYCLE</w:t>
      </w:r>
      <w:r w:rsidRPr="004D2D14">
        <w:rPr>
          <w:rFonts w:asciiTheme="majorHAnsi" w:hAnsiTheme="majorHAnsi"/>
          <w:sz w:val="20"/>
          <w:szCs w:val="20"/>
          <w:lang w:val="uk-UA"/>
        </w:rPr>
        <w:t xml:space="preserve"> </w:t>
      </w:r>
      <w:r w:rsidRPr="000977F7">
        <w:rPr>
          <w:rFonts w:asciiTheme="majorHAnsi" w:hAnsiTheme="majorHAnsi"/>
          <w:sz w:val="20"/>
          <w:szCs w:val="20"/>
        </w:rPr>
        <w:t>RATIO</w:t>
      </w:r>
      <w:r w:rsidRPr="004D2D14">
        <w:rPr>
          <w:rFonts w:asciiTheme="majorHAnsi" w:hAnsiTheme="majorHAnsi"/>
          <w:sz w:val="20"/>
          <w:szCs w:val="20"/>
          <w:lang w:val="uk-UA"/>
        </w:rPr>
        <w:t xml:space="preserve"> –</w:t>
      </w:r>
    </w:p>
    <w:p w14:paraId="57B1096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Відношення поточної кількості циклів навантажування до циклічної довговічності об'єкта випробувань за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такого ж</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режиму</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випробувань</w:t>
      </w:r>
    </w:p>
    <w:p w14:paraId="3DC22A14"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2444</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5CD5188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ВІДНОСНА</w:t>
      </w:r>
      <w:r w:rsidRPr="000977F7">
        <w:rPr>
          <w:color w:val="auto"/>
          <w:spacing w:val="-6"/>
          <w:sz w:val="20"/>
          <w:szCs w:val="20"/>
        </w:rPr>
        <w:t xml:space="preserve"> </w:t>
      </w:r>
      <w:r w:rsidRPr="000977F7">
        <w:rPr>
          <w:color w:val="auto"/>
          <w:sz w:val="20"/>
          <w:szCs w:val="20"/>
        </w:rPr>
        <w:t>ПОХИБКА</w:t>
      </w:r>
      <w:r w:rsidRPr="000977F7">
        <w:rPr>
          <w:color w:val="auto"/>
          <w:spacing w:val="-5"/>
          <w:sz w:val="20"/>
          <w:szCs w:val="20"/>
        </w:rPr>
        <w:t xml:space="preserve"> </w:t>
      </w:r>
      <w:r w:rsidRPr="000977F7">
        <w:rPr>
          <w:color w:val="auto"/>
          <w:sz w:val="20"/>
          <w:szCs w:val="20"/>
        </w:rPr>
        <w:t>ВИМІРЮВАННЯ–</w:t>
      </w:r>
    </w:p>
    <w:p w14:paraId="761BF0E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RELATIVE</w:t>
      </w:r>
      <w:r w:rsidRPr="004D2D14">
        <w:rPr>
          <w:rFonts w:asciiTheme="majorHAnsi" w:hAnsiTheme="majorHAnsi"/>
          <w:spacing w:val="-3"/>
          <w:sz w:val="20"/>
          <w:szCs w:val="20"/>
          <w:lang w:val="uk-UA"/>
        </w:rPr>
        <w:t xml:space="preserve"> </w:t>
      </w:r>
      <w:r w:rsidRPr="000977F7">
        <w:rPr>
          <w:rFonts w:asciiTheme="majorHAnsi" w:hAnsiTheme="majorHAnsi"/>
          <w:sz w:val="20"/>
          <w:szCs w:val="20"/>
        </w:rPr>
        <w:t>ERROR</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28F4B3CB"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Відношення</w:t>
      </w:r>
      <w:r w:rsidRPr="000977F7">
        <w:rPr>
          <w:rFonts w:asciiTheme="majorHAnsi" w:hAnsiTheme="majorHAnsi"/>
          <w:spacing w:val="1"/>
          <w:sz w:val="20"/>
          <w:szCs w:val="20"/>
        </w:rPr>
        <w:t xml:space="preserve"> </w:t>
      </w:r>
      <w:r w:rsidRPr="000977F7">
        <w:rPr>
          <w:rFonts w:asciiTheme="majorHAnsi" w:hAnsiTheme="majorHAnsi"/>
          <w:sz w:val="20"/>
          <w:szCs w:val="20"/>
        </w:rPr>
        <w:t>абсолютної</w:t>
      </w:r>
      <w:r w:rsidRPr="000977F7">
        <w:rPr>
          <w:rFonts w:asciiTheme="majorHAnsi" w:hAnsiTheme="majorHAnsi"/>
          <w:spacing w:val="1"/>
          <w:sz w:val="20"/>
          <w:szCs w:val="20"/>
        </w:rPr>
        <w:t xml:space="preserve"> </w:t>
      </w:r>
      <w:r w:rsidRPr="000977F7">
        <w:rPr>
          <w:rFonts w:asciiTheme="majorHAnsi" w:hAnsiTheme="majorHAnsi"/>
          <w:sz w:val="20"/>
          <w:szCs w:val="20"/>
        </w:rPr>
        <w:t>похибки</w:t>
      </w:r>
      <w:r w:rsidRPr="000977F7">
        <w:rPr>
          <w:rFonts w:asciiTheme="majorHAnsi" w:hAnsiTheme="majorHAnsi"/>
          <w:spacing w:val="1"/>
          <w:sz w:val="20"/>
          <w:szCs w:val="20"/>
        </w:rPr>
        <w:t xml:space="preserve"> </w:t>
      </w:r>
      <w:r w:rsidRPr="000977F7">
        <w:rPr>
          <w:rFonts w:asciiTheme="majorHAnsi" w:hAnsiTheme="majorHAnsi"/>
          <w:sz w:val="20"/>
          <w:szCs w:val="20"/>
        </w:rPr>
        <w:t>вимірювання</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47"/>
          <w:sz w:val="20"/>
          <w:szCs w:val="20"/>
        </w:rPr>
        <w:t xml:space="preserve"> </w:t>
      </w:r>
      <w:r w:rsidRPr="000977F7">
        <w:rPr>
          <w:rFonts w:asciiTheme="majorHAnsi" w:hAnsiTheme="majorHAnsi"/>
          <w:sz w:val="20"/>
          <w:szCs w:val="20"/>
        </w:rPr>
        <w:t>умовно істинного значення вимірювальної величини</w:t>
      </w:r>
      <w:r w:rsidRPr="000977F7">
        <w:rPr>
          <w:rFonts w:asciiTheme="majorHAnsi" w:hAnsiTheme="majorHAnsi"/>
          <w:spacing w:val="1"/>
          <w:sz w:val="20"/>
          <w:szCs w:val="20"/>
        </w:rPr>
        <w:t xml:space="preserve"> </w:t>
      </w:r>
    </w:p>
    <w:p w14:paraId="4EA2344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FBD921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ВІДНОСНА</w:t>
      </w:r>
      <w:r w:rsidRPr="000977F7">
        <w:rPr>
          <w:color w:val="auto"/>
          <w:spacing w:val="-6"/>
          <w:sz w:val="20"/>
          <w:szCs w:val="20"/>
        </w:rPr>
        <w:t xml:space="preserve"> </w:t>
      </w:r>
      <w:r w:rsidRPr="000977F7">
        <w:rPr>
          <w:color w:val="auto"/>
          <w:sz w:val="20"/>
          <w:szCs w:val="20"/>
        </w:rPr>
        <w:t>ПОХИБКА</w:t>
      </w:r>
      <w:r w:rsidRPr="000977F7">
        <w:rPr>
          <w:color w:val="auto"/>
          <w:spacing w:val="-6"/>
          <w:sz w:val="20"/>
          <w:szCs w:val="20"/>
        </w:rPr>
        <w:t xml:space="preserve"> </w:t>
      </w:r>
      <w:r w:rsidRPr="000977F7">
        <w:rPr>
          <w:color w:val="auto"/>
          <w:sz w:val="20"/>
          <w:szCs w:val="20"/>
        </w:rPr>
        <w:t xml:space="preserve">ЗАСОБУ </w:t>
      </w:r>
    </w:p>
    <w:p w14:paraId="6699681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ВИМІРЮВАНЬ</w:t>
      </w:r>
      <w:r w:rsidRPr="000977F7">
        <w:rPr>
          <w:color w:val="auto"/>
          <w:spacing w:val="-2"/>
          <w:sz w:val="20"/>
          <w:szCs w:val="20"/>
        </w:rPr>
        <w:t xml:space="preserve"> </w:t>
      </w:r>
      <w:r w:rsidRPr="000977F7">
        <w:rPr>
          <w:color w:val="auto"/>
          <w:sz w:val="20"/>
          <w:szCs w:val="20"/>
        </w:rPr>
        <w:t xml:space="preserve">– </w:t>
      </w:r>
    </w:p>
    <w:p w14:paraId="263A68D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абсолютної похибки засобу вимірювань</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2"/>
          <w:sz w:val="20"/>
          <w:szCs w:val="20"/>
        </w:rPr>
        <w:t xml:space="preserve"> </w:t>
      </w:r>
      <w:r w:rsidRPr="000977F7">
        <w:rPr>
          <w:rFonts w:asciiTheme="majorHAnsi" w:hAnsiTheme="majorHAnsi"/>
          <w:sz w:val="20"/>
          <w:szCs w:val="20"/>
        </w:rPr>
        <w:t>істинного значення</w:t>
      </w:r>
      <w:r w:rsidRPr="000977F7">
        <w:rPr>
          <w:rFonts w:asciiTheme="majorHAnsi" w:hAnsiTheme="majorHAnsi"/>
          <w:spacing w:val="-2"/>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2"/>
          <w:sz w:val="20"/>
          <w:szCs w:val="20"/>
        </w:rPr>
        <w:t xml:space="preserve"> </w:t>
      </w:r>
      <w:r w:rsidRPr="000977F7">
        <w:rPr>
          <w:rFonts w:asciiTheme="majorHAnsi" w:hAnsiTheme="majorHAnsi"/>
          <w:sz w:val="20"/>
          <w:szCs w:val="20"/>
        </w:rPr>
        <w:t>величини</w:t>
      </w:r>
    </w:p>
    <w:p w14:paraId="29D49B9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 – 94</w:t>
      </w:r>
    </w:p>
    <w:p w14:paraId="5C62562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ВІДНОСНЕ ВИДОВЖЕННЯ</w:t>
      </w:r>
      <w:r w:rsidRPr="000977F7">
        <w:rPr>
          <w:rFonts w:asciiTheme="majorHAnsi" w:hAnsiTheme="majorHAnsi"/>
          <w:b/>
          <w:spacing w:val="1"/>
          <w:sz w:val="20"/>
          <w:szCs w:val="20"/>
        </w:rPr>
        <w:t xml:space="preserve"> </w:t>
      </w:r>
      <w:r w:rsidRPr="000977F7">
        <w:rPr>
          <w:rFonts w:asciiTheme="majorHAnsi" w:hAnsiTheme="majorHAnsi"/>
          <w:b/>
          <w:sz w:val="20"/>
          <w:szCs w:val="20"/>
        </w:rPr>
        <w:t>ПІСЛЯ</w:t>
      </w:r>
      <w:r w:rsidRPr="000977F7">
        <w:rPr>
          <w:rFonts w:asciiTheme="majorHAnsi" w:hAnsiTheme="majorHAnsi"/>
          <w:b/>
          <w:spacing w:val="-1"/>
          <w:sz w:val="20"/>
          <w:szCs w:val="20"/>
        </w:rPr>
        <w:t xml:space="preserve"> </w:t>
      </w:r>
      <w:r w:rsidRPr="000977F7">
        <w:rPr>
          <w:rFonts w:asciiTheme="majorHAnsi" w:hAnsiTheme="majorHAnsi"/>
          <w:b/>
          <w:sz w:val="20"/>
          <w:szCs w:val="20"/>
        </w:rPr>
        <w:t>РОЗРИВУ</w:t>
      </w:r>
      <w:r w:rsidRPr="000977F7">
        <w:rPr>
          <w:rFonts w:asciiTheme="majorHAnsi" w:hAnsiTheme="majorHAnsi"/>
          <w:b/>
          <w:spacing w:val="2"/>
          <w:sz w:val="20"/>
          <w:szCs w:val="20"/>
        </w:rPr>
        <w:t xml:space="preserve"> </w:t>
      </w:r>
      <w:r w:rsidRPr="000977F7">
        <w:rPr>
          <w:rFonts w:asciiTheme="majorHAnsi" w:hAnsiTheme="majorHAnsi"/>
          <w:b/>
          <w:sz w:val="20"/>
          <w:szCs w:val="20"/>
        </w:rPr>
        <w:t>–</w:t>
      </w:r>
      <w:r w:rsidRPr="000977F7">
        <w:rPr>
          <w:rFonts w:asciiTheme="majorHAnsi" w:hAnsiTheme="majorHAnsi"/>
          <w:b/>
          <w:spacing w:val="1"/>
          <w:sz w:val="20"/>
          <w:szCs w:val="20"/>
        </w:rPr>
        <w:t xml:space="preserve"> </w:t>
      </w:r>
      <w:r w:rsidRPr="000977F7">
        <w:rPr>
          <w:rFonts w:asciiTheme="majorHAnsi" w:hAnsiTheme="majorHAnsi"/>
          <w:sz w:val="20"/>
          <w:szCs w:val="20"/>
        </w:rPr>
        <w:t>ELONGATION</w:t>
      </w:r>
      <w:r w:rsidRPr="000977F7">
        <w:rPr>
          <w:rFonts w:asciiTheme="majorHAnsi" w:hAnsiTheme="majorHAnsi"/>
          <w:spacing w:val="-5"/>
          <w:sz w:val="20"/>
          <w:szCs w:val="20"/>
        </w:rPr>
        <w:t xml:space="preserve"> </w:t>
      </w:r>
      <w:r w:rsidRPr="000977F7">
        <w:rPr>
          <w:rFonts w:asciiTheme="majorHAnsi" w:hAnsiTheme="majorHAnsi"/>
          <w:sz w:val="20"/>
          <w:szCs w:val="20"/>
        </w:rPr>
        <w:t>AT</w:t>
      </w:r>
      <w:r w:rsidRPr="000977F7">
        <w:rPr>
          <w:rFonts w:asciiTheme="majorHAnsi" w:hAnsiTheme="majorHAnsi"/>
          <w:spacing w:val="-4"/>
          <w:sz w:val="20"/>
          <w:szCs w:val="20"/>
        </w:rPr>
        <w:t xml:space="preserve"> </w:t>
      </w:r>
      <w:r w:rsidRPr="000977F7">
        <w:rPr>
          <w:rFonts w:asciiTheme="majorHAnsi" w:hAnsiTheme="majorHAnsi"/>
          <w:sz w:val="20"/>
          <w:szCs w:val="20"/>
        </w:rPr>
        <w:t>RUPTURE</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439130D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залишкового видовження зразка за розтягу, досягнутого на момент його розриву, до початкової</w:t>
      </w:r>
      <w:r w:rsidRPr="000977F7">
        <w:rPr>
          <w:rFonts w:asciiTheme="majorHAnsi" w:hAnsiTheme="majorHAnsi"/>
          <w:spacing w:val="-2"/>
          <w:sz w:val="20"/>
          <w:szCs w:val="20"/>
        </w:rPr>
        <w:t xml:space="preserve"> </w:t>
      </w:r>
      <w:r w:rsidRPr="000977F7">
        <w:rPr>
          <w:rFonts w:asciiTheme="majorHAnsi" w:hAnsiTheme="majorHAnsi"/>
          <w:sz w:val="20"/>
          <w:szCs w:val="20"/>
        </w:rPr>
        <w:t>розрахункової</w:t>
      </w:r>
      <w:r w:rsidRPr="000977F7">
        <w:rPr>
          <w:rFonts w:asciiTheme="majorHAnsi" w:hAnsiTheme="majorHAnsi"/>
          <w:spacing w:val="-1"/>
          <w:sz w:val="20"/>
          <w:szCs w:val="20"/>
        </w:rPr>
        <w:t xml:space="preserve"> </w:t>
      </w:r>
      <w:r w:rsidRPr="000977F7">
        <w:rPr>
          <w:rFonts w:asciiTheme="majorHAnsi" w:hAnsiTheme="majorHAnsi"/>
          <w:sz w:val="20"/>
          <w:szCs w:val="20"/>
        </w:rPr>
        <w:t>довжини</w:t>
      </w:r>
      <w:r w:rsidRPr="000977F7">
        <w:rPr>
          <w:rFonts w:asciiTheme="majorHAnsi" w:hAnsiTheme="majorHAnsi"/>
          <w:spacing w:val="-2"/>
          <w:sz w:val="20"/>
          <w:szCs w:val="20"/>
        </w:rPr>
        <w:t xml:space="preserve"> </w:t>
      </w:r>
      <w:r w:rsidRPr="000977F7">
        <w:rPr>
          <w:rFonts w:asciiTheme="majorHAnsi" w:hAnsiTheme="majorHAnsi"/>
          <w:sz w:val="20"/>
          <w:szCs w:val="20"/>
        </w:rPr>
        <w:t>зразка</w:t>
      </w:r>
    </w:p>
    <w:p w14:paraId="340BE4A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74EA84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ВІДНОСНЕ</w:t>
      </w:r>
      <w:r w:rsidRPr="000977F7">
        <w:rPr>
          <w:color w:val="auto"/>
          <w:spacing w:val="42"/>
          <w:sz w:val="20"/>
          <w:szCs w:val="20"/>
        </w:rPr>
        <w:t xml:space="preserve"> </w:t>
      </w:r>
      <w:r w:rsidRPr="000977F7">
        <w:rPr>
          <w:color w:val="auto"/>
          <w:sz w:val="20"/>
          <w:szCs w:val="20"/>
        </w:rPr>
        <w:t>ВІДХИЛЕННЯ</w:t>
      </w:r>
      <w:r w:rsidRPr="000977F7">
        <w:rPr>
          <w:color w:val="auto"/>
          <w:spacing w:val="-3"/>
          <w:sz w:val="20"/>
          <w:szCs w:val="20"/>
        </w:rPr>
        <w:t xml:space="preserve"> </w:t>
      </w:r>
      <w:r w:rsidRPr="000977F7">
        <w:rPr>
          <w:color w:val="auto"/>
          <w:sz w:val="20"/>
          <w:szCs w:val="20"/>
        </w:rPr>
        <w:t>ПАРАМЕТРА</w:t>
      </w:r>
      <w:r w:rsidRPr="000977F7">
        <w:rPr>
          <w:color w:val="auto"/>
          <w:spacing w:val="-1"/>
          <w:sz w:val="20"/>
          <w:szCs w:val="20"/>
        </w:rPr>
        <w:t xml:space="preserve"> </w:t>
      </w:r>
      <w:r w:rsidRPr="000977F7">
        <w:rPr>
          <w:color w:val="auto"/>
          <w:sz w:val="20"/>
          <w:szCs w:val="20"/>
        </w:rPr>
        <w:t>–</w:t>
      </w:r>
    </w:p>
    <w:p w14:paraId="2F99FFE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Виміряне відхилення значення параметра, виражене у</w:t>
      </w:r>
      <w:r w:rsidRPr="000977F7">
        <w:rPr>
          <w:rFonts w:asciiTheme="majorHAnsi" w:hAnsiTheme="majorHAnsi"/>
          <w:spacing w:val="1"/>
          <w:sz w:val="20"/>
          <w:szCs w:val="20"/>
        </w:rPr>
        <w:t xml:space="preserve"> </w:t>
      </w:r>
      <w:r w:rsidRPr="000977F7">
        <w:rPr>
          <w:rFonts w:asciiTheme="majorHAnsi" w:hAnsiTheme="majorHAnsi"/>
          <w:sz w:val="20"/>
          <w:szCs w:val="20"/>
        </w:rPr>
        <w:t>відсотках відносно верхнього або нижнього допуску</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p>
    <w:p w14:paraId="41FA705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ВІДНОСНЕ</w:t>
      </w:r>
      <w:r w:rsidRPr="000977F7">
        <w:rPr>
          <w:color w:val="auto"/>
          <w:spacing w:val="-5"/>
          <w:sz w:val="20"/>
          <w:szCs w:val="20"/>
        </w:rPr>
        <w:t xml:space="preserve"> </w:t>
      </w:r>
      <w:r w:rsidRPr="000977F7">
        <w:rPr>
          <w:color w:val="auto"/>
          <w:sz w:val="20"/>
          <w:szCs w:val="20"/>
        </w:rPr>
        <w:t>ЗВУЖЕННЯ</w:t>
      </w:r>
      <w:r w:rsidRPr="000977F7">
        <w:rPr>
          <w:color w:val="auto"/>
          <w:spacing w:val="-1"/>
          <w:sz w:val="20"/>
          <w:szCs w:val="20"/>
        </w:rPr>
        <w:t xml:space="preserve"> </w:t>
      </w:r>
      <w:r w:rsidRPr="000977F7">
        <w:rPr>
          <w:color w:val="auto"/>
          <w:sz w:val="20"/>
          <w:szCs w:val="20"/>
        </w:rPr>
        <w:t>ПІСЛЯ</w:t>
      </w:r>
      <w:r w:rsidRPr="000977F7">
        <w:rPr>
          <w:color w:val="auto"/>
          <w:spacing w:val="-3"/>
          <w:sz w:val="20"/>
          <w:szCs w:val="20"/>
        </w:rPr>
        <w:t xml:space="preserve"> </w:t>
      </w:r>
      <w:r w:rsidRPr="000977F7">
        <w:rPr>
          <w:color w:val="auto"/>
          <w:sz w:val="20"/>
          <w:szCs w:val="20"/>
        </w:rPr>
        <w:t>РОЗРИВУ</w:t>
      </w:r>
      <w:r w:rsidRPr="000977F7">
        <w:rPr>
          <w:color w:val="auto"/>
          <w:spacing w:val="-2"/>
          <w:sz w:val="20"/>
          <w:szCs w:val="20"/>
        </w:rPr>
        <w:t xml:space="preserve"> </w:t>
      </w:r>
      <w:r w:rsidRPr="000977F7">
        <w:rPr>
          <w:color w:val="auto"/>
          <w:sz w:val="20"/>
          <w:szCs w:val="20"/>
        </w:rPr>
        <w:t>–</w:t>
      </w:r>
    </w:p>
    <w:p w14:paraId="3FB5BC3C"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4D2D14">
        <w:rPr>
          <w:rFonts w:asciiTheme="majorHAnsi" w:hAnsiTheme="majorHAnsi"/>
          <w:sz w:val="20"/>
          <w:szCs w:val="20"/>
          <w:lang w:val="en-US"/>
        </w:rPr>
        <w:t>REDUCTION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 AREA</w:t>
      </w:r>
      <w:r w:rsidRPr="004D2D14">
        <w:rPr>
          <w:rFonts w:asciiTheme="majorHAnsi" w:hAnsiTheme="majorHAnsi"/>
          <w:spacing w:val="-3"/>
          <w:sz w:val="20"/>
          <w:szCs w:val="20"/>
          <w:lang w:val="en-US"/>
        </w:rPr>
        <w:t xml:space="preserve"> </w:t>
      </w:r>
      <w:r w:rsidRPr="004D2D14">
        <w:rPr>
          <w:rFonts w:asciiTheme="majorHAnsi" w:hAnsiTheme="majorHAnsi"/>
          <w:b/>
          <w:sz w:val="20"/>
          <w:szCs w:val="20"/>
          <w:lang w:val="en-US"/>
        </w:rPr>
        <w:t>–</w:t>
      </w:r>
    </w:p>
    <w:p w14:paraId="3A032DD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зменшення площі поперечного</w:t>
      </w:r>
      <w:r w:rsidRPr="000977F7">
        <w:rPr>
          <w:rFonts w:asciiTheme="majorHAnsi" w:hAnsiTheme="majorHAnsi"/>
          <w:spacing w:val="50"/>
          <w:sz w:val="20"/>
          <w:szCs w:val="20"/>
        </w:rPr>
        <w:t xml:space="preserve"> </w:t>
      </w:r>
      <w:r w:rsidRPr="000977F7">
        <w:rPr>
          <w:rFonts w:asciiTheme="majorHAnsi" w:hAnsiTheme="majorHAnsi"/>
          <w:sz w:val="20"/>
          <w:szCs w:val="20"/>
        </w:rPr>
        <w:t>перерізу</w:t>
      </w:r>
      <w:r w:rsidRPr="000977F7">
        <w:rPr>
          <w:rFonts w:asciiTheme="majorHAnsi" w:hAnsiTheme="majorHAnsi"/>
          <w:spacing w:val="1"/>
          <w:sz w:val="20"/>
          <w:szCs w:val="20"/>
        </w:rPr>
        <w:t xml:space="preserve"> </w:t>
      </w:r>
      <w:r w:rsidRPr="000977F7">
        <w:rPr>
          <w:rFonts w:asciiTheme="majorHAnsi" w:hAnsiTheme="majorHAnsi"/>
          <w:sz w:val="20"/>
          <w:szCs w:val="20"/>
        </w:rPr>
        <w:t>в місті розриву зразка до початкової площі його поперечного перерізу</w:t>
      </w:r>
    </w:p>
    <w:p w14:paraId="2701E44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EA01FF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ВІДНОСНЕ РІВНОМІРНЕ ВИДОВЖЕННЯ </w:t>
      </w:r>
    </w:p>
    <w:p w14:paraId="2FF7E15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ПІСЛЯ</w:t>
      </w:r>
      <w:r w:rsidRPr="000977F7">
        <w:rPr>
          <w:color w:val="auto"/>
          <w:spacing w:val="-1"/>
          <w:sz w:val="20"/>
          <w:szCs w:val="20"/>
        </w:rPr>
        <w:t xml:space="preserve"> </w:t>
      </w:r>
      <w:r w:rsidRPr="000977F7">
        <w:rPr>
          <w:color w:val="auto"/>
          <w:sz w:val="20"/>
          <w:szCs w:val="20"/>
        </w:rPr>
        <w:t>РОЗРИВУ</w:t>
      </w:r>
      <w:r w:rsidRPr="000977F7">
        <w:rPr>
          <w:color w:val="auto"/>
          <w:spacing w:val="1"/>
          <w:sz w:val="20"/>
          <w:szCs w:val="20"/>
        </w:rPr>
        <w:t xml:space="preserve"> </w:t>
      </w:r>
      <w:r w:rsidRPr="000977F7">
        <w:rPr>
          <w:color w:val="auto"/>
          <w:sz w:val="20"/>
          <w:szCs w:val="20"/>
        </w:rPr>
        <w:t>–</w:t>
      </w:r>
    </w:p>
    <w:p w14:paraId="538D65F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UNIFORM</w:t>
      </w:r>
      <w:r w:rsidRPr="004D2D14">
        <w:rPr>
          <w:rFonts w:asciiTheme="majorHAnsi" w:hAnsiTheme="majorHAnsi"/>
          <w:spacing w:val="-2"/>
          <w:sz w:val="20"/>
          <w:szCs w:val="20"/>
          <w:lang w:val="uk-UA"/>
        </w:rPr>
        <w:t xml:space="preserve"> </w:t>
      </w:r>
      <w:r w:rsidRPr="000977F7">
        <w:rPr>
          <w:rFonts w:asciiTheme="majorHAnsi" w:hAnsiTheme="majorHAnsi"/>
          <w:sz w:val="20"/>
          <w:szCs w:val="20"/>
        </w:rPr>
        <w:t>ELOGATION</w:t>
      </w:r>
      <w:r w:rsidRPr="004D2D14">
        <w:rPr>
          <w:rFonts w:asciiTheme="majorHAnsi" w:hAnsiTheme="majorHAnsi"/>
          <w:spacing w:val="-1"/>
          <w:sz w:val="20"/>
          <w:szCs w:val="20"/>
          <w:lang w:val="uk-UA"/>
        </w:rPr>
        <w:t xml:space="preserve"> </w:t>
      </w:r>
      <w:r w:rsidRPr="000977F7">
        <w:rPr>
          <w:rFonts w:asciiTheme="majorHAnsi" w:hAnsiTheme="majorHAnsi"/>
          <w:sz w:val="20"/>
          <w:szCs w:val="20"/>
        </w:rPr>
        <w:t>AT</w:t>
      </w:r>
      <w:r w:rsidRPr="004D2D14">
        <w:rPr>
          <w:rFonts w:asciiTheme="majorHAnsi" w:hAnsiTheme="majorHAnsi"/>
          <w:spacing w:val="3"/>
          <w:sz w:val="20"/>
          <w:szCs w:val="20"/>
          <w:lang w:val="uk-UA"/>
        </w:rPr>
        <w:t xml:space="preserve"> </w:t>
      </w:r>
      <w:r w:rsidRPr="000977F7">
        <w:rPr>
          <w:rFonts w:asciiTheme="majorHAnsi" w:hAnsiTheme="majorHAnsi"/>
          <w:sz w:val="20"/>
          <w:szCs w:val="20"/>
        </w:rPr>
        <w:t>RUPTURE</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728D322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Відносне видовження після розриву на ділянці однорідного деформування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зразка</w:t>
      </w:r>
    </w:p>
    <w:p w14:paraId="2DCB082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105446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ВЗА</w:t>
      </w:r>
      <w:r w:rsidRPr="000977F7">
        <w:rPr>
          <w:color w:val="auto"/>
          <w:spacing w:val="-47"/>
          <w:sz w:val="20"/>
          <w:szCs w:val="20"/>
        </w:rPr>
        <w:t xml:space="preserve"> </w:t>
      </w:r>
      <w:r w:rsidRPr="000977F7">
        <w:rPr>
          <w:color w:val="auto"/>
          <w:sz w:val="20"/>
          <w:szCs w:val="20"/>
        </w:rPr>
        <w:t>ЄМНІСТЬ</w:t>
      </w:r>
      <w:r w:rsidRPr="000977F7">
        <w:rPr>
          <w:color w:val="auto"/>
          <w:spacing w:val="-1"/>
          <w:sz w:val="20"/>
          <w:szCs w:val="20"/>
        </w:rPr>
        <w:t xml:space="preserve"> </w:t>
      </w:r>
      <w:r w:rsidRPr="000977F7">
        <w:rPr>
          <w:color w:val="auto"/>
          <w:sz w:val="20"/>
          <w:szCs w:val="20"/>
        </w:rPr>
        <w:t>–</w:t>
      </w:r>
    </w:p>
    <w:p w14:paraId="221DAA5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RECIPROCITY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71B8DCF"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Двосторонні відношення, при яких обидві сторони мають однакові права и обов’язки стосовно один одного</w:t>
      </w:r>
      <w:r w:rsidRPr="000977F7">
        <w:rPr>
          <w:rFonts w:asciiTheme="majorHAnsi" w:hAnsiTheme="majorHAnsi"/>
          <w:spacing w:val="1"/>
          <w:sz w:val="20"/>
          <w:szCs w:val="20"/>
        </w:rPr>
        <w:t xml:space="preserve"> </w:t>
      </w:r>
    </w:p>
    <w:p w14:paraId="271C3AB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105ED6E" w14:textId="77777777" w:rsidR="0097612F" w:rsidRPr="000977F7" w:rsidRDefault="0097612F" w:rsidP="00FD39A4">
      <w:pPr>
        <w:pStyle w:val="ac"/>
        <w:widowControl w:val="0"/>
        <w:numPr>
          <w:ilvl w:val="0"/>
          <w:numId w:val="195"/>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Відношення на засадах взаємності можуть існувати в межах двосторонньої угоди, яка охоплює мережу</w:t>
      </w:r>
      <w:r w:rsidRPr="000977F7">
        <w:rPr>
          <w:rFonts w:asciiTheme="majorHAnsi" w:hAnsiTheme="majorHAnsi"/>
          <w:spacing w:val="-5"/>
          <w:sz w:val="20"/>
          <w:szCs w:val="20"/>
        </w:rPr>
        <w:t xml:space="preserve"> </w:t>
      </w:r>
      <w:r w:rsidRPr="000977F7">
        <w:rPr>
          <w:rFonts w:asciiTheme="majorHAnsi" w:hAnsiTheme="majorHAnsi"/>
          <w:sz w:val="20"/>
          <w:szCs w:val="20"/>
        </w:rPr>
        <w:t>двосторонніх</w:t>
      </w:r>
      <w:r w:rsidRPr="000977F7">
        <w:rPr>
          <w:rFonts w:asciiTheme="majorHAnsi" w:hAnsiTheme="majorHAnsi"/>
          <w:spacing w:val="-1"/>
          <w:sz w:val="20"/>
          <w:szCs w:val="20"/>
        </w:rPr>
        <w:t xml:space="preserve"> </w:t>
      </w:r>
      <w:r w:rsidRPr="000977F7">
        <w:rPr>
          <w:rFonts w:asciiTheme="majorHAnsi" w:hAnsiTheme="majorHAnsi"/>
          <w:sz w:val="20"/>
          <w:szCs w:val="20"/>
        </w:rPr>
        <w:t>взаємозв’язків</w:t>
      </w:r>
    </w:p>
    <w:p w14:paraId="5B72521A" w14:textId="77777777" w:rsidR="0097612F" w:rsidRPr="000977F7" w:rsidRDefault="0097612F" w:rsidP="00FD39A4">
      <w:pPr>
        <w:pStyle w:val="ac"/>
        <w:widowControl w:val="0"/>
        <w:numPr>
          <w:ilvl w:val="0"/>
          <w:numId w:val="195"/>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Хоча права і обов’язки сторін однакові, можливості, які випливають з них, можуть бути різними.</w:t>
      </w:r>
      <w:r w:rsidRPr="000977F7">
        <w:rPr>
          <w:rFonts w:asciiTheme="majorHAnsi" w:hAnsiTheme="majorHAnsi"/>
          <w:spacing w:val="1"/>
          <w:sz w:val="20"/>
          <w:szCs w:val="20"/>
        </w:rPr>
        <w:t xml:space="preserve"> </w:t>
      </w:r>
      <w:r w:rsidRPr="000977F7">
        <w:rPr>
          <w:rFonts w:asciiTheme="majorHAnsi" w:hAnsiTheme="majorHAnsi"/>
          <w:sz w:val="20"/>
          <w:szCs w:val="20"/>
        </w:rPr>
        <w:t xml:space="preserve">Це може призвести до нееквівалентних відношень </w:t>
      </w:r>
      <w:r w:rsidRPr="000977F7">
        <w:rPr>
          <w:rFonts w:asciiTheme="majorHAnsi" w:hAnsiTheme="majorHAnsi"/>
          <w:spacing w:val="-47"/>
          <w:sz w:val="20"/>
          <w:szCs w:val="20"/>
        </w:rPr>
        <w:t xml:space="preserve"> </w:t>
      </w:r>
      <w:r w:rsidRPr="000977F7">
        <w:rPr>
          <w:rFonts w:asciiTheme="majorHAnsi" w:hAnsiTheme="majorHAnsi"/>
          <w:sz w:val="20"/>
          <w:szCs w:val="20"/>
        </w:rPr>
        <w:t>між</w:t>
      </w:r>
      <w:r w:rsidRPr="000977F7">
        <w:rPr>
          <w:rFonts w:asciiTheme="majorHAnsi" w:hAnsiTheme="majorHAnsi"/>
          <w:spacing w:val="-2"/>
          <w:sz w:val="20"/>
          <w:szCs w:val="20"/>
        </w:rPr>
        <w:t xml:space="preserve"> </w:t>
      </w:r>
      <w:r w:rsidRPr="000977F7">
        <w:rPr>
          <w:rFonts w:asciiTheme="majorHAnsi" w:hAnsiTheme="majorHAnsi"/>
          <w:sz w:val="20"/>
          <w:szCs w:val="20"/>
        </w:rPr>
        <w:t>сторонами</w:t>
      </w:r>
    </w:p>
    <w:p w14:paraId="4BC491A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ВІДОМІСТЬ ДОЗВОЛЕНИХ ДО </w:t>
      </w:r>
    </w:p>
    <w:p w14:paraId="4F15842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ЗАСТОСУВАН</w:t>
      </w:r>
      <w:r w:rsidRPr="000977F7">
        <w:rPr>
          <w:color w:val="auto"/>
          <w:spacing w:val="-47"/>
          <w:sz w:val="20"/>
          <w:szCs w:val="20"/>
        </w:rPr>
        <w:t xml:space="preserve"> </w:t>
      </w:r>
      <w:r w:rsidRPr="000977F7">
        <w:rPr>
          <w:color w:val="auto"/>
          <w:sz w:val="20"/>
          <w:szCs w:val="20"/>
        </w:rPr>
        <w:t>НЯ</w:t>
      </w:r>
      <w:r w:rsidRPr="000977F7">
        <w:rPr>
          <w:color w:val="auto"/>
          <w:spacing w:val="-1"/>
          <w:sz w:val="20"/>
          <w:szCs w:val="20"/>
        </w:rPr>
        <w:t xml:space="preserve"> </w:t>
      </w:r>
      <w:r w:rsidRPr="000977F7">
        <w:rPr>
          <w:color w:val="auto"/>
          <w:sz w:val="20"/>
          <w:szCs w:val="20"/>
        </w:rPr>
        <w:t>КУПОВАНИХ ВИРОБІВ</w:t>
      </w:r>
      <w:r w:rsidRPr="000977F7">
        <w:rPr>
          <w:color w:val="auto"/>
          <w:spacing w:val="4"/>
          <w:sz w:val="20"/>
          <w:szCs w:val="20"/>
        </w:rPr>
        <w:t xml:space="preserve"> </w:t>
      </w:r>
      <w:r w:rsidRPr="000977F7">
        <w:rPr>
          <w:color w:val="auto"/>
          <w:sz w:val="20"/>
          <w:szCs w:val="20"/>
        </w:rPr>
        <w:t>–</w:t>
      </w:r>
    </w:p>
    <w:p w14:paraId="077C5C2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Текстовий</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являє</w:t>
      </w:r>
      <w:r w:rsidRPr="000977F7">
        <w:rPr>
          <w:rFonts w:asciiTheme="majorHAnsi" w:hAnsiTheme="majorHAnsi"/>
          <w:spacing w:val="1"/>
          <w:sz w:val="20"/>
          <w:szCs w:val="20"/>
        </w:rPr>
        <w:t xml:space="preserve"> </w:t>
      </w:r>
      <w:r w:rsidRPr="000977F7">
        <w:rPr>
          <w:rFonts w:asciiTheme="majorHAnsi" w:hAnsiTheme="majorHAnsi"/>
          <w:sz w:val="20"/>
          <w:szCs w:val="20"/>
        </w:rPr>
        <w:t>собою перелік купованих виробів, дозволених до застосування</w:t>
      </w:r>
    </w:p>
    <w:p w14:paraId="48E8520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u w:val="single"/>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139EEAA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ВІДОМІСТЬ</w:t>
      </w:r>
      <w:r w:rsidRPr="000977F7">
        <w:rPr>
          <w:color w:val="auto"/>
          <w:spacing w:val="-4"/>
          <w:sz w:val="20"/>
          <w:szCs w:val="20"/>
        </w:rPr>
        <w:t xml:space="preserve"> </w:t>
      </w:r>
      <w:r w:rsidRPr="000977F7">
        <w:rPr>
          <w:color w:val="auto"/>
          <w:sz w:val="20"/>
          <w:szCs w:val="20"/>
        </w:rPr>
        <w:t>ДОКУМЕНТІВ</w:t>
      </w:r>
      <w:r w:rsidRPr="000977F7">
        <w:rPr>
          <w:color w:val="auto"/>
          <w:spacing w:val="-2"/>
          <w:sz w:val="20"/>
          <w:szCs w:val="20"/>
        </w:rPr>
        <w:t xml:space="preserve"> </w:t>
      </w:r>
      <w:r w:rsidRPr="000977F7">
        <w:rPr>
          <w:color w:val="auto"/>
          <w:sz w:val="20"/>
          <w:szCs w:val="20"/>
        </w:rPr>
        <w:t>НА</w:t>
      </w:r>
      <w:r w:rsidRPr="000977F7">
        <w:rPr>
          <w:color w:val="auto"/>
          <w:spacing w:val="-3"/>
          <w:sz w:val="20"/>
          <w:szCs w:val="20"/>
        </w:rPr>
        <w:t xml:space="preserve"> </w:t>
      </w:r>
      <w:r w:rsidRPr="000977F7">
        <w:rPr>
          <w:color w:val="auto"/>
          <w:sz w:val="20"/>
          <w:szCs w:val="20"/>
        </w:rPr>
        <w:t>РЕМОНТ –</w:t>
      </w:r>
    </w:p>
    <w:p w14:paraId="529CA69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яким встановлено склад комплекту конструкторських</w:t>
      </w:r>
      <w:r w:rsidRPr="000977F7">
        <w:rPr>
          <w:rFonts w:asciiTheme="majorHAnsi" w:hAnsiTheme="majorHAnsi"/>
          <w:spacing w:val="1"/>
          <w:sz w:val="20"/>
          <w:szCs w:val="20"/>
        </w:rPr>
        <w:t xml:space="preserve"> </w:t>
      </w:r>
      <w:r w:rsidRPr="000977F7">
        <w:rPr>
          <w:rFonts w:asciiTheme="majorHAnsi" w:hAnsiTheme="majorHAnsi"/>
          <w:sz w:val="20"/>
          <w:szCs w:val="20"/>
        </w:rPr>
        <w:t>документів для виконання ремонту виробу</w:t>
      </w:r>
    </w:p>
    <w:p w14:paraId="5EAECE5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 –</w:t>
      </w:r>
      <w:r w:rsidRPr="000977F7">
        <w:rPr>
          <w:rFonts w:asciiTheme="majorHAnsi" w:hAnsiTheme="majorHAnsi"/>
          <w:i/>
          <w:spacing w:val="-1"/>
          <w:sz w:val="20"/>
          <w:szCs w:val="20"/>
        </w:rPr>
        <w:t xml:space="preserve"> </w:t>
      </w:r>
      <w:r w:rsidRPr="000977F7">
        <w:rPr>
          <w:rFonts w:asciiTheme="majorHAnsi" w:hAnsiTheme="majorHAnsi"/>
          <w:i/>
          <w:sz w:val="20"/>
          <w:szCs w:val="20"/>
        </w:rPr>
        <w:t>2003</w:t>
      </w:r>
    </w:p>
    <w:p w14:paraId="732F766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ВІДОМІСТЬ ЕКСПЛУАТАЦІЙНИХ ДОКУМЕНТІВ –</w:t>
      </w:r>
    </w:p>
    <w:p w14:paraId="7EDE95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Експлуатаційний документ, яким установлено склад</w:t>
      </w:r>
      <w:r w:rsidRPr="000977F7">
        <w:rPr>
          <w:rFonts w:asciiTheme="majorHAnsi" w:hAnsiTheme="majorHAnsi"/>
          <w:spacing w:val="1"/>
          <w:sz w:val="20"/>
          <w:szCs w:val="20"/>
        </w:rPr>
        <w:t xml:space="preserve"> </w:t>
      </w:r>
      <w:r w:rsidRPr="000977F7">
        <w:rPr>
          <w:rFonts w:asciiTheme="majorHAnsi" w:hAnsiTheme="majorHAnsi"/>
          <w:sz w:val="20"/>
          <w:szCs w:val="20"/>
        </w:rPr>
        <w:t>комплекту і місця вкладення експлуатаційних документів,</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їх надсилають з</w:t>
      </w:r>
      <w:r w:rsidRPr="000977F7">
        <w:rPr>
          <w:rFonts w:asciiTheme="majorHAnsi" w:hAnsiTheme="majorHAnsi"/>
          <w:spacing w:val="1"/>
          <w:sz w:val="20"/>
          <w:szCs w:val="20"/>
        </w:rPr>
        <w:t xml:space="preserve"> </w:t>
      </w:r>
      <w:r w:rsidRPr="000977F7">
        <w:rPr>
          <w:rFonts w:asciiTheme="majorHAnsi" w:hAnsiTheme="majorHAnsi"/>
          <w:sz w:val="20"/>
          <w:szCs w:val="20"/>
        </w:rPr>
        <w:t>виробом</w:t>
      </w:r>
    </w:p>
    <w:p w14:paraId="3C2A81A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 xml:space="preserve">3321 – </w:t>
      </w:r>
      <w:r w:rsidRPr="000977F7">
        <w:rPr>
          <w:rFonts w:asciiTheme="majorHAnsi" w:hAnsiTheme="majorHAnsi"/>
          <w:sz w:val="20"/>
          <w:szCs w:val="20"/>
        </w:rPr>
        <w:t>2003</w:t>
      </w:r>
    </w:p>
    <w:p w14:paraId="45BC0A4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ВІДОМІСТЬ</w:t>
      </w:r>
      <w:r w:rsidRPr="000977F7">
        <w:rPr>
          <w:color w:val="auto"/>
          <w:spacing w:val="-5"/>
          <w:sz w:val="20"/>
          <w:szCs w:val="20"/>
        </w:rPr>
        <w:t xml:space="preserve"> </w:t>
      </w:r>
      <w:r w:rsidRPr="000977F7">
        <w:rPr>
          <w:color w:val="auto"/>
          <w:sz w:val="20"/>
          <w:szCs w:val="20"/>
        </w:rPr>
        <w:t>ЕСКІЗНОГО</w:t>
      </w:r>
      <w:r w:rsidRPr="000977F7">
        <w:rPr>
          <w:color w:val="auto"/>
          <w:spacing w:val="-4"/>
          <w:sz w:val="20"/>
          <w:szCs w:val="20"/>
        </w:rPr>
        <w:t xml:space="preserve"> </w:t>
      </w:r>
      <w:r w:rsidRPr="000977F7">
        <w:rPr>
          <w:color w:val="auto"/>
          <w:sz w:val="20"/>
          <w:szCs w:val="20"/>
        </w:rPr>
        <w:t>ПРОЕКТУ</w:t>
      </w:r>
      <w:r w:rsidRPr="000977F7">
        <w:rPr>
          <w:color w:val="auto"/>
          <w:spacing w:val="-1"/>
          <w:sz w:val="20"/>
          <w:szCs w:val="20"/>
        </w:rPr>
        <w:t xml:space="preserve"> </w:t>
      </w:r>
      <w:r w:rsidRPr="000977F7">
        <w:rPr>
          <w:color w:val="auto"/>
          <w:sz w:val="20"/>
          <w:szCs w:val="20"/>
        </w:rPr>
        <w:t>–</w:t>
      </w:r>
    </w:p>
    <w:p w14:paraId="59E32B3F" w14:textId="77777777" w:rsidR="0097612F" w:rsidRPr="000977F7" w:rsidRDefault="0097612F" w:rsidP="000977F7">
      <w:pPr>
        <w:pStyle w:val="af6"/>
        <w:tabs>
          <w:tab w:val="left" w:pos="284"/>
        </w:tabs>
        <w:spacing w:after="0"/>
        <w:ind w:left="170"/>
        <w:mirrorIndents/>
        <w:jc w:val="both"/>
        <w:rPr>
          <w:rFonts w:asciiTheme="majorHAnsi" w:hAnsiTheme="majorHAnsi"/>
          <w:spacing w:val="1"/>
          <w:w w:val="95"/>
          <w:sz w:val="20"/>
          <w:szCs w:val="20"/>
        </w:rPr>
      </w:pPr>
      <w:r w:rsidRPr="000977F7">
        <w:rPr>
          <w:rFonts w:asciiTheme="majorHAnsi" w:hAnsiTheme="majorHAnsi"/>
          <w:spacing w:val="-6"/>
          <w:sz w:val="20"/>
          <w:szCs w:val="20"/>
        </w:rPr>
        <w:t>Текстовий</w:t>
      </w:r>
      <w:r w:rsidRPr="000977F7">
        <w:rPr>
          <w:rFonts w:asciiTheme="majorHAnsi" w:hAnsiTheme="majorHAnsi"/>
          <w:spacing w:val="-5"/>
          <w:sz w:val="20"/>
          <w:szCs w:val="20"/>
        </w:rPr>
        <w:t xml:space="preserve"> </w:t>
      </w:r>
      <w:r w:rsidRPr="000977F7">
        <w:rPr>
          <w:rFonts w:asciiTheme="majorHAnsi" w:hAnsiTheme="majorHAnsi"/>
          <w:spacing w:val="-6"/>
          <w:sz w:val="20"/>
          <w:szCs w:val="20"/>
        </w:rPr>
        <w:t>конструкторський документ,</w:t>
      </w:r>
      <w:r w:rsidRPr="000977F7">
        <w:rPr>
          <w:rFonts w:asciiTheme="majorHAnsi" w:hAnsiTheme="majorHAnsi"/>
          <w:spacing w:val="-4"/>
          <w:sz w:val="20"/>
          <w:szCs w:val="20"/>
        </w:rPr>
        <w:t xml:space="preserve"> </w:t>
      </w:r>
      <w:r w:rsidRPr="000977F7">
        <w:rPr>
          <w:rFonts w:asciiTheme="majorHAnsi" w:hAnsiTheme="majorHAnsi"/>
          <w:spacing w:val="-5"/>
          <w:sz w:val="20"/>
          <w:szCs w:val="20"/>
        </w:rPr>
        <w:t>який</w:t>
      </w:r>
      <w:r w:rsidRPr="000977F7">
        <w:rPr>
          <w:rFonts w:asciiTheme="majorHAnsi" w:hAnsiTheme="majorHAnsi"/>
          <w:spacing w:val="-7"/>
          <w:sz w:val="20"/>
          <w:szCs w:val="20"/>
        </w:rPr>
        <w:t xml:space="preserve"> </w:t>
      </w:r>
      <w:r w:rsidRPr="000977F7">
        <w:rPr>
          <w:rFonts w:asciiTheme="majorHAnsi" w:hAnsiTheme="majorHAnsi"/>
          <w:spacing w:val="-5"/>
          <w:sz w:val="20"/>
          <w:szCs w:val="20"/>
        </w:rPr>
        <w:t>являє</w:t>
      </w:r>
      <w:r w:rsidRPr="000977F7">
        <w:rPr>
          <w:rFonts w:asciiTheme="majorHAnsi" w:hAnsiTheme="majorHAnsi"/>
          <w:spacing w:val="-4"/>
          <w:sz w:val="20"/>
          <w:szCs w:val="20"/>
        </w:rPr>
        <w:t xml:space="preserve"> </w:t>
      </w:r>
      <w:r w:rsidRPr="000977F7">
        <w:rPr>
          <w:rFonts w:asciiTheme="majorHAnsi" w:hAnsiTheme="majorHAnsi"/>
          <w:spacing w:val="-5"/>
          <w:sz w:val="20"/>
          <w:szCs w:val="20"/>
        </w:rPr>
        <w:t>собою</w:t>
      </w:r>
      <w:r w:rsidRPr="000977F7">
        <w:rPr>
          <w:rFonts w:asciiTheme="majorHAnsi" w:hAnsiTheme="majorHAnsi"/>
          <w:spacing w:val="-47"/>
          <w:sz w:val="20"/>
          <w:szCs w:val="20"/>
        </w:rPr>
        <w:t xml:space="preserve"> </w:t>
      </w:r>
      <w:r w:rsidRPr="000977F7">
        <w:rPr>
          <w:rFonts w:asciiTheme="majorHAnsi" w:hAnsiTheme="majorHAnsi"/>
          <w:spacing w:val="-1"/>
          <w:w w:val="95"/>
          <w:sz w:val="20"/>
          <w:szCs w:val="20"/>
        </w:rPr>
        <w:t xml:space="preserve">перелік документів, що увійшли до ескізного </w:t>
      </w:r>
      <w:r w:rsidRPr="000977F7">
        <w:rPr>
          <w:rFonts w:asciiTheme="majorHAnsi" w:hAnsiTheme="majorHAnsi"/>
          <w:w w:val="95"/>
          <w:sz w:val="20"/>
          <w:szCs w:val="20"/>
        </w:rPr>
        <w:t>проекту</w:t>
      </w:r>
      <w:r w:rsidRPr="000977F7">
        <w:rPr>
          <w:rFonts w:asciiTheme="majorHAnsi" w:hAnsiTheme="majorHAnsi"/>
          <w:spacing w:val="1"/>
          <w:w w:val="95"/>
          <w:sz w:val="20"/>
          <w:szCs w:val="20"/>
        </w:rPr>
        <w:t xml:space="preserve"> </w:t>
      </w:r>
    </w:p>
    <w:p w14:paraId="7AFEE77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3321</w:t>
      </w:r>
      <w:r w:rsidRPr="000977F7">
        <w:rPr>
          <w:rFonts w:asciiTheme="majorHAnsi" w:hAnsiTheme="majorHAnsi"/>
          <w:i/>
          <w:spacing w:val="2"/>
          <w:sz w:val="20"/>
          <w:szCs w:val="20"/>
        </w:rPr>
        <w:t xml:space="preserve"> </w:t>
      </w:r>
      <w:r w:rsidRPr="000977F7">
        <w:rPr>
          <w:rFonts w:asciiTheme="majorHAnsi" w:hAnsiTheme="majorHAnsi"/>
          <w:i/>
          <w:sz w:val="20"/>
          <w:szCs w:val="20"/>
        </w:rPr>
        <w:t>– 2003</w:t>
      </w:r>
    </w:p>
    <w:p w14:paraId="20031A2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ВІДОМІСТЬ ЗАПАСНИХ ЧАСТИН, </w:t>
      </w:r>
    </w:p>
    <w:p w14:paraId="320DF93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ІНСТРУ</w:t>
      </w:r>
      <w:r w:rsidRPr="000977F7">
        <w:rPr>
          <w:color w:val="auto"/>
          <w:spacing w:val="-47"/>
          <w:sz w:val="20"/>
          <w:szCs w:val="20"/>
        </w:rPr>
        <w:t xml:space="preserve"> </w:t>
      </w:r>
      <w:r w:rsidRPr="000977F7">
        <w:rPr>
          <w:color w:val="auto"/>
          <w:sz w:val="20"/>
          <w:szCs w:val="20"/>
        </w:rPr>
        <w:t>МЕНТІВ ТА ПРИЛАДДЯ</w:t>
      </w:r>
      <w:r w:rsidRPr="000977F7">
        <w:rPr>
          <w:color w:val="auto"/>
          <w:spacing w:val="4"/>
          <w:sz w:val="20"/>
          <w:szCs w:val="20"/>
        </w:rPr>
        <w:t xml:space="preserve"> </w:t>
      </w:r>
      <w:r w:rsidRPr="000977F7">
        <w:rPr>
          <w:color w:val="auto"/>
          <w:sz w:val="20"/>
          <w:szCs w:val="20"/>
        </w:rPr>
        <w:t>–</w:t>
      </w:r>
    </w:p>
    <w:p w14:paraId="5D1DB6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Експлуатаційний документ, яким визначено номенклатуру, призначення, кількість і місця вкладення</w:t>
      </w:r>
      <w:r w:rsidRPr="000977F7">
        <w:rPr>
          <w:rFonts w:asciiTheme="majorHAnsi" w:hAnsiTheme="majorHAnsi"/>
          <w:spacing w:val="1"/>
          <w:sz w:val="20"/>
          <w:szCs w:val="20"/>
        </w:rPr>
        <w:t xml:space="preserve"> </w:t>
      </w:r>
      <w:r w:rsidRPr="000977F7">
        <w:rPr>
          <w:rFonts w:asciiTheme="majorHAnsi" w:hAnsiTheme="majorHAnsi"/>
          <w:sz w:val="20"/>
          <w:szCs w:val="20"/>
        </w:rPr>
        <w:t>запасних</w:t>
      </w:r>
      <w:r w:rsidRPr="000977F7">
        <w:rPr>
          <w:rFonts w:asciiTheme="majorHAnsi" w:hAnsiTheme="majorHAnsi"/>
          <w:spacing w:val="1"/>
          <w:sz w:val="20"/>
          <w:szCs w:val="20"/>
        </w:rPr>
        <w:t xml:space="preserve"> </w:t>
      </w:r>
      <w:r w:rsidRPr="000977F7">
        <w:rPr>
          <w:rFonts w:asciiTheme="majorHAnsi" w:hAnsiTheme="majorHAnsi"/>
          <w:sz w:val="20"/>
          <w:szCs w:val="20"/>
        </w:rPr>
        <w:t>частин,</w:t>
      </w:r>
      <w:r w:rsidRPr="000977F7">
        <w:rPr>
          <w:rFonts w:asciiTheme="majorHAnsi" w:hAnsiTheme="majorHAnsi"/>
          <w:spacing w:val="1"/>
          <w:sz w:val="20"/>
          <w:szCs w:val="20"/>
        </w:rPr>
        <w:t xml:space="preserve"> </w:t>
      </w:r>
      <w:r w:rsidRPr="000977F7">
        <w:rPr>
          <w:rFonts w:asciiTheme="majorHAnsi" w:hAnsiTheme="majorHAnsi"/>
          <w:sz w:val="20"/>
          <w:szCs w:val="20"/>
        </w:rPr>
        <w:t>інструментів,</w:t>
      </w:r>
      <w:r w:rsidRPr="000977F7">
        <w:rPr>
          <w:rFonts w:asciiTheme="majorHAnsi" w:hAnsiTheme="majorHAnsi"/>
          <w:spacing w:val="1"/>
          <w:sz w:val="20"/>
          <w:szCs w:val="20"/>
        </w:rPr>
        <w:t xml:space="preserve"> </w:t>
      </w:r>
      <w:r w:rsidRPr="000977F7">
        <w:rPr>
          <w:rFonts w:asciiTheme="majorHAnsi" w:hAnsiTheme="majorHAnsi"/>
          <w:sz w:val="20"/>
          <w:szCs w:val="20"/>
        </w:rPr>
        <w:t>приладдя</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50"/>
          <w:sz w:val="20"/>
          <w:szCs w:val="20"/>
        </w:rPr>
        <w:t xml:space="preserve"> </w:t>
      </w:r>
      <w:r w:rsidRPr="000977F7">
        <w:rPr>
          <w:rFonts w:asciiTheme="majorHAnsi" w:hAnsiTheme="majorHAnsi"/>
          <w:sz w:val="20"/>
          <w:szCs w:val="20"/>
        </w:rPr>
        <w:t>матеріалів</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r w:rsidRPr="000977F7">
        <w:rPr>
          <w:rFonts w:asciiTheme="majorHAnsi" w:hAnsiTheme="majorHAnsi"/>
          <w:spacing w:val="-2"/>
          <w:sz w:val="20"/>
          <w:szCs w:val="20"/>
        </w:rPr>
        <w:t xml:space="preserve"> </w:t>
      </w:r>
      <w:r w:rsidRPr="000977F7">
        <w:rPr>
          <w:rFonts w:asciiTheme="majorHAnsi" w:hAnsiTheme="majorHAnsi"/>
          <w:sz w:val="20"/>
          <w:szCs w:val="20"/>
        </w:rPr>
        <w:t>виробу</w:t>
      </w:r>
    </w:p>
    <w:p w14:paraId="57E1B87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096F170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ВІДОМІСТЬ</w:t>
      </w:r>
      <w:r w:rsidRPr="000977F7">
        <w:rPr>
          <w:color w:val="auto"/>
          <w:spacing w:val="-4"/>
          <w:sz w:val="20"/>
          <w:szCs w:val="20"/>
        </w:rPr>
        <w:t xml:space="preserve"> </w:t>
      </w:r>
      <w:r w:rsidRPr="000977F7">
        <w:rPr>
          <w:color w:val="auto"/>
          <w:sz w:val="20"/>
          <w:szCs w:val="20"/>
        </w:rPr>
        <w:t>КУПОВАНИХ</w:t>
      </w:r>
      <w:r w:rsidRPr="000977F7">
        <w:rPr>
          <w:color w:val="auto"/>
          <w:spacing w:val="-4"/>
          <w:sz w:val="20"/>
          <w:szCs w:val="20"/>
        </w:rPr>
        <w:t xml:space="preserve"> </w:t>
      </w:r>
      <w:r w:rsidRPr="000977F7">
        <w:rPr>
          <w:color w:val="auto"/>
          <w:sz w:val="20"/>
          <w:szCs w:val="20"/>
        </w:rPr>
        <w:t>ВИРОБІВ –</w:t>
      </w:r>
    </w:p>
    <w:p w14:paraId="05D276C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Текстовий</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являє</w:t>
      </w:r>
      <w:r w:rsidRPr="000977F7">
        <w:rPr>
          <w:rFonts w:asciiTheme="majorHAnsi" w:hAnsiTheme="majorHAnsi"/>
          <w:spacing w:val="1"/>
          <w:sz w:val="20"/>
          <w:szCs w:val="20"/>
        </w:rPr>
        <w:t xml:space="preserve"> </w:t>
      </w:r>
      <w:r w:rsidRPr="000977F7">
        <w:rPr>
          <w:rFonts w:asciiTheme="majorHAnsi" w:hAnsiTheme="majorHAnsi"/>
          <w:sz w:val="20"/>
          <w:szCs w:val="20"/>
        </w:rPr>
        <w:t>собою</w:t>
      </w:r>
      <w:r w:rsidRPr="000977F7">
        <w:rPr>
          <w:rFonts w:asciiTheme="majorHAnsi" w:hAnsiTheme="majorHAnsi"/>
          <w:spacing w:val="1"/>
          <w:sz w:val="20"/>
          <w:szCs w:val="20"/>
        </w:rPr>
        <w:t xml:space="preserve"> </w:t>
      </w:r>
      <w:r w:rsidRPr="000977F7">
        <w:rPr>
          <w:rFonts w:asciiTheme="majorHAnsi" w:hAnsiTheme="majorHAnsi"/>
          <w:sz w:val="20"/>
          <w:szCs w:val="20"/>
        </w:rPr>
        <w:t>перелік</w:t>
      </w:r>
      <w:r w:rsidRPr="000977F7">
        <w:rPr>
          <w:rFonts w:asciiTheme="majorHAnsi" w:hAnsiTheme="majorHAnsi"/>
          <w:spacing w:val="1"/>
          <w:sz w:val="20"/>
          <w:szCs w:val="20"/>
        </w:rPr>
        <w:t xml:space="preserve"> </w:t>
      </w:r>
      <w:r w:rsidRPr="000977F7">
        <w:rPr>
          <w:rFonts w:asciiTheme="majorHAnsi" w:hAnsiTheme="majorHAnsi"/>
          <w:sz w:val="20"/>
          <w:szCs w:val="20"/>
        </w:rPr>
        <w:t>купованих</w:t>
      </w:r>
      <w:r w:rsidRPr="000977F7">
        <w:rPr>
          <w:rFonts w:asciiTheme="majorHAnsi" w:hAnsiTheme="majorHAnsi"/>
          <w:spacing w:val="1"/>
          <w:sz w:val="20"/>
          <w:szCs w:val="20"/>
        </w:rPr>
        <w:t xml:space="preserve"> </w:t>
      </w:r>
      <w:r w:rsidRPr="000977F7">
        <w:rPr>
          <w:rFonts w:asciiTheme="majorHAnsi" w:hAnsiTheme="majorHAnsi"/>
          <w:sz w:val="20"/>
          <w:szCs w:val="20"/>
        </w:rPr>
        <w:t>виробів,</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використаних</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розроблюваному</w:t>
      </w:r>
      <w:r w:rsidRPr="000977F7">
        <w:rPr>
          <w:rFonts w:asciiTheme="majorHAnsi" w:hAnsiTheme="majorHAnsi"/>
          <w:spacing w:val="-5"/>
          <w:sz w:val="20"/>
          <w:szCs w:val="20"/>
        </w:rPr>
        <w:t xml:space="preserve"> </w:t>
      </w:r>
      <w:r w:rsidRPr="000977F7">
        <w:rPr>
          <w:rFonts w:asciiTheme="majorHAnsi" w:hAnsiTheme="majorHAnsi"/>
          <w:sz w:val="20"/>
          <w:szCs w:val="20"/>
        </w:rPr>
        <w:t>виробі</w:t>
      </w:r>
    </w:p>
    <w:p w14:paraId="76237BF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4A57C47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ВІДОМІСТЬ</w:t>
      </w:r>
      <w:r w:rsidRPr="000977F7">
        <w:rPr>
          <w:color w:val="auto"/>
          <w:spacing w:val="-4"/>
          <w:sz w:val="20"/>
          <w:szCs w:val="20"/>
        </w:rPr>
        <w:t xml:space="preserve"> </w:t>
      </w:r>
      <w:r w:rsidRPr="000977F7">
        <w:rPr>
          <w:color w:val="auto"/>
          <w:sz w:val="20"/>
          <w:szCs w:val="20"/>
        </w:rPr>
        <w:t>ПОСИЛАНЬ</w:t>
      </w:r>
      <w:r w:rsidRPr="000977F7">
        <w:rPr>
          <w:color w:val="auto"/>
          <w:spacing w:val="-4"/>
          <w:sz w:val="20"/>
          <w:szCs w:val="20"/>
        </w:rPr>
        <w:t xml:space="preserve"> </w:t>
      </w:r>
      <w:r w:rsidRPr="000977F7">
        <w:rPr>
          <w:color w:val="auto"/>
          <w:sz w:val="20"/>
          <w:szCs w:val="20"/>
        </w:rPr>
        <w:t>НА</w:t>
      </w:r>
      <w:r w:rsidRPr="000977F7">
        <w:rPr>
          <w:color w:val="auto"/>
          <w:spacing w:val="-3"/>
          <w:sz w:val="20"/>
          <w:szCs w:val="20"/>
        </w:rPr>
        <w:t xml:space="preserve"> </w:t>
      </w:r>
      <w:r w:rsidRPr="000977F7">
        <w:rPr>
          <w:color w:val="auto"/>
          <w:sz w:val="20"/>
          <w:szCs w:val="20"/>
        </w:rPr>
        <w:t>ДОКУМЕНТИ –</w:t>
      </w:r>
    </w:p>
    <w:p w14:paraId="2418EE5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Текстовий</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являє</w:t>
      </w:r>
      <w:r w:rsidRPr="000977F7">
        <w:rPr>
          <w:rFonts w:asciiTheme="majorHAnsi" w:hAnsiTheme="majorHAnsi"/>
          <w:spacing w:val="1"/>
          <w:sz w:val="20"/>
          <w:szCs w:val="20"/>
        </w:rPr>
        <w:t xml:space="preserve"> </w:t>
      </w:r>
      <w:r w:rsidRPr="000977F7">
        <w:rPr>
          <w:rFonts w:asciiTheme="majorHAnsi" w:hAnsiTheme="majorHAnsi"/>
          <w:sz w:val="20"/>
          <w:szCs w:val="20"/>
        </w:rPr>
        <w:t>собою перелік документів, на які є посилання в конструкторських</w:t>
      </w:r>
      <w:r w:rsidRPr="000977F7">
        <w:rPr>
          <w:rFonts w:asciiTheme="majorHAnsi" w:hAnsiTheme="majorHAnsi"/>
          <w:spacing w:val="-2"/>
          <w:sz w:val="20"/>
          <w:szCs w:val="20"/>
        </w:rPr>
        <w:t xml:space="preserve"> </w:t>
      </w:r>
      <w:r w:rsidRPr="000977F7">
        <w:rPr>
          <w:rFonts w:asciiTheme="majorHAnsi" w:hAnsiTheme="majorHAnsi"/>
          <w:sz w:val="20"/>
          <w:szCs w:val="20"/>
        </w:rPr>
        <w:t>документах</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виріб</w:t>
      </w:r>
    </w:p>
    <w:p w14:paraId="6B7B27C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 – 2003</w:t>
      </w:r>
    </w:p>
    <w:p w14:paraId="6EB32B9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ВІДОМІСТЬ</w:t>
      </w:r>
      <w:r w:rsidRPr="000977F7">
        <w:rPr>
          <w:color w:val="auto"/>
          <w:spacing w:val="-5"/>
          <w:sz w:val="20"/>
          <w:szCs w:val="20"/>
        </w:rPr>
        <w:t xml:space="preserve"> </w:t>
      </w:r>
      <w:r w:rsidRPr="000977F7">
        <w:rPr>
          <w:color w:val="auto"/>
          <w:sz w:val="20"/>
          <w:szCs w:val="20"/>
        </w:rPr>
        <w:t>СПЕЦІФІКАЦІЙ</w:t>
      </w:r>
      <w:r w:rsidRPr="000977F7">
        <w:rPr>
          <w:color w:val="auto"/>
          <w:spacing w:val="-2"/>
          <w:sz w:val="20"/>
          <w:szCs w:val="20"/>
        </w:rPr>
        <w:t xml:space="preserve"> </w:t>
      </w:r>
      <w:r w:rsidRPr="000977F7">
        <w:rPr>
          <w:color w:val="auto"/>
          <w:sz w:val="20"/>
          <w:szCs w:val="20"/>
        </w:rPr>
        <w:t>–</w:t>
      </w:r>
    </w:p>
    <w:p w14:paraId="6A9CB970"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Текстовий</w:t>
      </w:r>
      <w:r w:rsidRPr="000977F7">
        <w:rPr>
          <w:rFonts w:asciiTheme="majorHAnsi" w:hAnsiTheme="majorHAnsi"/>
          <w:spacing w:val="23"/>
          <w:sz w:val="20"/>
          <w:szCs w:val="20"/>
        </w:rPr>
        <w:t xml:space="preserve"> </w:t>
      </w:r>
      <w:r w:rsidRPr="000977F7">
        <w:rPr>
          <w:rFonts w:asciiTheme="majorHAnsi" w:hAnsiTheme="majorHAnsi"/>
          <w:sz w:val="20"/>
          <w:szCs w:val="20"/>
        </w:rPr>
        <w:t>конструкторський</w:t>
      </w:r>
      <w:r w:rsidRPr="000977F7">
        <w:rPr>
          <w:rFonts w:asciiTheme="majorHAnsi" w:hAnsiTheme="majorHAnsi"/>
          <w:spacing w:val="23"/>
          <w:sz w:val="20"/>
          <w:szCs w:val="20"/>
        </w:rPr>
        <w:t xml:space="preserve"> </w:t>
      </w:r>
      <w:r w:rsidRPr="000977F7">
        <w:rPr>
          <w:rFonts w:asciiTheme="majorHAnsi" w:hAnsiTheme="majorHAnsi"/>
          <w:sz w:val="20"/>
          <w:szCs w:val="20"/>
        </w:rPr>
        <w:t>документ,</w:t>
      </w:r>
      <w:r w:rsidRPr="000977F7">
        <w:rPr>
          <w:rFonts w:asciiTheme="majorHAnsi" w:hAnsiTheme="majorHAnsi"/>
          <w:spacing w:val="24"/>
          <w:sz w:val="20"/>
          <w:szCs w:val="20"/>
        </w:rPr>
        <w:t xml:space="preserve"> </w:t>
      </w:r>
      <w:r w:rsidRPr="000977F7">
        <w:rPr>
          <w:rFonts w:asciiTheme="majorHAnsi" w:hAnsiTheme="majorHAnsi"/>
          <w:sz w:val="20"/>
          <w:szCs w:val="20"/>
        </w:rPr>
        <w:t>який</w:t>
      </w:r>
      <w:r w:rsidRPr="000977F7">
        <w:rPr>
          <w:rFonts w:asciiTheme="majorHAnsi" w:hAnsiTheme="majorHAnsi"/>
          <w:spacing w:val="23"/>
          <w:sz w:val="20"/>
          <w:szCs w:val="20"/>
        </w:rPr>
        <w:t xml:space="preserve"> </w:t>
      </w:r>
      <w:r w:rsidRPr="000977F7">
        <w:rPr>
          <w:rFonts w:asciiTheme="majorHAnsi" w:hAnsiTheme="majorHAnsi"/>
          <w:sz w:val="20"/>
          <w:szCs w:val="20"/>
        </w:rPr>
        <w:t>являє</w:t>
      </w:r>
      <w:r w:rsidRPr="000977F7">
        <w:rPr>
          <w:rFonts w:asciiTheme="majorHAnsi" w:hAnsiTheme="majorHAnsi"/>
          <w:spacing w:val="-47"/>
          <w:sz w:val="20"/>
          <w:szCs w:val="20"/>
        </w:rPr>
        <w:t xml:space="preserve"> </w:t>
      </w:r>
      <w:r w:rsidRPr="000977F7">
        <w:rPr>
          <w:rFonts w:asciiTheme="majorHAnsi" w:hAnsiTheme="majorHAnsi"/>
          <w:sz w:val="20"/>
          <w:szCs w:val="20"/>
        </w:rPr>
        <w:t>собою</w:t>
      </w:r>
      <w:r w:rsidRPr="000977F7">
        <w:rPr>
          <w:rFonts w:asciiTheme="majorHAnsi" w:hAnsiTheme="majorHAnsi"/>
          <w:spacing w:val="13"/>
          <w:sz w:val="20"/>
          <w:szCs w:val="20"/>
        </w:rPr>
        <w:t xml:space="preserve"> </w:t>
      </w:r>
      <w:r w:rsidRPr="000977F7">
        <w:rPr>
          <w:rFonts w:asciiTheme="majorHAnsi" w:hAnsiTheme="majorHAnsi"/>
          <w:sz w:val="20"/>
          <w:szCs w:val="20"/>
        </w:rPr>
        <w:t>перелік</w:t>
      </w:r>
      <w:r w:rsidRPr="000977F7">
        <w:rPr>
          <w:rFonts w:asciiTheme="majorHAnsi" w:hAnsiTheme="majorHAnsi"/>
          <w:spacing w:val="13"/>
          <w:sz w:val="20"/>
          <w:szCs w:val="20"/>
        </w:rPr>
        <w:t xml:space="preserve"> </w:t>
      </w:r>
      <w:r w:rsidRPr="000977F7">
        <w:rPr>
          <w:rFonts w:asciiTheme="majorHAnsi" w:hAnsiTheme="majorHAnsi"/>
          <w:sz w:val="20"/>
          <w:szCs w:val="20"/>
        </w:rPr>
        <w:t>специфікацій</w:t>
      </w:r>
      <w:r w:rsidRPr="000977F7">
        <w:rPr>
          <w:rFonts w:asciiTheme="majorHAnsi" w:hAnsiTheme="majorHAnsi"/>
          <w:spacing w:val="11"/>
          <w:sz w:val="20"/>
          <w:szCs w:val="20"/>
        </w:rPr>
        <w:t xml:space="preserve"> </w:t>
      </w:r>
      <w:r w:rsidRPr="000977F7">
        <w:rPr>
          <w:rFonts w:asciiTheme="majorHAnsi" w:hAnsiTheme="majorHAnsi"/>
          <w:sz w:val="20"/>
          <w:szCs w:val="20"/>
        </w:rPr>
        <w:t>на</w:t>
      </w:r>
      <w:r w:rsidRPr="000977F7">
        <w:rPr>
          <w:rFonts w:asciiTheme="majorHAnsi" w:hAnsiTheme="majorHAnsi"/>
          <w:spacing w:val="12"/>
          <w:sz w:val="20"/>
          <w:szCs w:val="20"/>
        </w:rPr>
        <w:t xml:space="preserve"> </w:t>
      </w:r>
      <w:r w:rsidRPr="000977F7">
        <w:rPr>
          <w:rFonts w:asciiTheme="majorHAnsi" w:hAnsiTheme="majorHAnsi"/>
          <w:sz w:val="20"/>
          <w:szCs w:val="20"/>
        </w:rPr>
        <w:t>виріб</w:t>
      </w:r>
      <w:r w:rsidRPr="000977F7">
        <w:rPr>
          <w:rFonts w:asciiTheme="majorHAnsi" w:hAnsiTheme="majorHAnsi"/>
          <w:spacing w:val="10"/>
          <w:sz w:val="20"/>
          <w:szCs w:val="20"/>
        </w:rPr>
        <w:t xml:space="preserve"> </w:t>
      </w:r>
      <w:r w:rsidRPr="000977F7">
        <w:rPr>
          <w:rFonts w:asciiTheme="majorHAnsi" w:hAnsiTheme="majorHAnsi"/>
          <w:sz w:val="20"/>
          <w:szCs w:val="20"/>
        </w:rPr>
        <w:t>та</w:t>
      </w:r>
      <w:r w:rsidRPr="000977F7">
        <w:rPr>
          <w:rFonts w:asciiTheme="majorHAnsi" w:hAnsiTheme="majorHAnsi"/>
          <w:spacing w:val="12"/>
          <w:sz w:val="20"/>
          <w:szCs w:val="20"/>
        </w:rPr>
        <w:t xml:space="preserve"> </w:t>
      </w:r>
      <w:r w:rsidRPr="000977F7">
        <w:rPr>
          <w:rFonts w:asciiTheme="majorHAnsi" w:hAnsiTheme="majorHAnsi"/>
          <w:sz w:val="20"/>
          <w:szCs w:val="20"/>
        </w:rPr>
        <w:t>на</w:t>
      </w:r>
      <w:r w:rsidRPr="000977F7">
        <w:rPr>
          <w:rFonts w:asciiTheme="majorHAnsi" w:hAnsiTheme="majorHAnsi"/>
          <w:spacing w:val="11"/>
          <w:sz w:val="20"/>
          <w:szCs w:val="20"/>
        </w:rPr>
        <w:t xml:space="preserve"> </w:t>
      </w:r>
      <w:r w:rsidRPr="000977F7">
        <w:rPr>
          <w:rFonts w:asciiTheme="majorHAnsi" w:hAnsiTheme="majorHAnsi"/>
          <w:sz w:val="20"/>
          <w:szCs w:val="20"/>
        </w:rPr>
        <w:t>його</w:t>
      </w:r>
      <w:r w:rsidRPr="000977F7">
        <w:rPr>
          <w:rFonts w:asciiTheme="majorHAnsi" w:hAnsiTheme="majorHAnsi"/>
          <w:spacing w:val="12"/>
          <w:sz w:val="20"/>
          <w:szCs w:val="20"/>
        </w:rPr>
        <w:t xml:space="preserve"> </w:t>
      </w:r>
      <w:r w:rsidRPr="000977F7">
        <w:rPr>
          <w:rFonts w:asciiTheme="majorHAnsi" w:hAnsiTheme="majorHAnsi"/>
          <w:sz w:val="20"/>
          <w:szCs w:val="20"/>
        </w:rPr>
        <w:t>скла</w:t>
      </w:r>
      <w:r w:rsidRPr="000977F7">
        <w:rPr>
          <w:rFonts w:asciiTheme="majorHAnsi" w:hAnsiTheme="majorHAnsi"/>
          <w:spacing w:val="-1"/>
          <w:sz w:val="20"/>
          <w:szCs w:val="20"/>
        </w:rPr>
        <w:t xml:space="preserve">дові частини з зазначенням </w:t>
      </w:r>
      <w:r w:rsidRPr="000977F7">
        <w:rPr>
          <w:rFonts w:asciiTheme="majorHAnsi" w:hAnsiTheme="majorHAnsi"/>
          <w:sz w:val="20"/>
          <w:szCs w:val="20"/>
        </w:rPr>
        <w:t>їх кількості та входження</w:t>
      </w:r>
      <w:r w:rsidRPr="000977F7">
        <w:rPr>
          <w:rFonts w:asciiTheme="majorHAnsi" w:hAnsiTheme="majorHAnsi"/>
          <w:spacing w:val="1"/>
          <w:sz w:val="20"/>
          <w:szCs w:val="20"/>
        </w:rPr>
        <w:t xml:space="preserve"> </w:t>
      </w:r>
    </w:p>
    <w:p w14:paraId="1982FF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3321</w:t>
      </w:r>
      <w:r w:rsidRPr="000977F7">
        <w:rPr>
          <w:rFonts w:asciiTheme="majorHAnsi" w:hAnsiTheme="majorHAnsi"/>
          <w:i/>
          <w:spacing w:val="2"/>
          <w:sz w:val="20"/>
          <w:szCs w:val="20"/>
        </w:rPr>
        <w:t xml:space="preserve"> </w:t>
      </w:r>
      <w:r w:rsidRPr="000977F7">
        <w:rPr>
          <w:rFonts w:asciiTheme="majorHAnsi" w:hAnsiTheme="majorHAnsi"/>
          <w:i/>
          <w:sz w:val="20"/>
          <w:szCs w:val="20"/>
        </w:rPr>
        <w:t xml:space="preserve">– </w:t>
      </w:r>
      <w:r w:rsidRPr="000977F7">
        <w:rPr>
          <w:rFonts w:asciiTheme="majorHAnsi" w:hAnsiTheme="majorHAnsi"/>
          <w:sz w:val="20"/>
          <w:szCs w:val="20"/>
        </w:rPr>
        <w:t>2003</w:t>
      </w:r>
    </w:p>
    <w:p w14:paraId="5197E26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ВІДОМІСТЬ</w:t>
      </w:r>
      <w:r w:rsidRPr="000977F7">
        <w:rPr>
          <w:color w:val="auto"/>
          <w:spacing w:val="-5"/>
          <w:sz w:val="20"/>
          <w:szCs w:val="20"/>
        </w:rPr>
        <w:t xml:space="preserve"> </w:t>
      </w:r>
      <w:r w:rsidRPr="000977F7">
        <w:rPr>
          <w:color w:val="auto"/>
          <w:sz w:val="20"/>
          <w:szCs w:val="20"/>
        </w:rPr>
        <w:t>ТЕХНІЧНОГО</w:t>
      </w:r>
      <w:r w:rsidRPr="000977F7">
        <w:rPr>
          <w:color w:val="auto"/>
          <w:spacing w:val="-3"/>
          <w:sz w:val="20"/>
          <w:szCs w:val="20"/>
        </w:rPr>
        <w:t xml:space="preserve"> </w:t>
      </w:r>
      <w:r w:rsidRPr="000977F7">
        <w:rPr>
          <w:color w:val="auto"/>
          <w:sz w:val="20"/>
          <w:szCs w:val="20"/>
        </w:rPr>
        <w:t>ПРОЕКТУ</w:t>
      </w:r>
      <w:r w:rsidRPr="000977F7">
        <w:rPr>
          <w:color w:val="auto"/>
          <w:spacing w:val="-2"/>
          <w:sz w:val="20"/>
          <w:szCs w:val="20"/>
        </w:rPr>
        <w:t xml:space="preserve"> </w:t>
      </w:r>
      <w:r w:rsidRPr="000977F7">
        <w:rPr>
          <w:color w:val="auto"/>
          <w:sz w:val="20"/>
          <w:szCs w:val="20"/>
        </w:rPr>
        <w:t>–</w:t>
      </w:r>
    </w:p>
    <w:p w14:paraId="4AD5264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6"/>
          <w:sz w:val="20"/>
          <w:szCs w:val="20"/>
        </w:rPr>
        <w:t xml:space="preserve">Текстовий конструкторський документ, </w:t>
      </w:r>
      <w:r w:rsidRPr="000977F7">
        <w:rPr>
          <w:rFonts w:asciiTheme="majorHAnsi" w:hAnsiTheme="majorHAnsi"/>
          <w:spacing w:val="-5"/>
          <w:sz w:val="20"/>
          <w:szCs w:val="20"/>
        </w:rPr>
        <w:t>який являє собою</w:t>
      </w:r>
      <w:r w:rsidRPr="000977F7">
        <w:rPr>
          <w:rFonts w:asciiTheme="majorHAnsi" w:hAnsiTheme="majorHAnsi"/>
          <w:spacing w:val="-47"/>
          <w:sz w:val="20"/>
          <w:szCs w:val="20"/>
        </w:rPr>
        <w:t xml:space="preserve"> </w:t>
      </w:r>
      <w:r w:rsidRPr="000977F7">
        <w:rPr>
          <w:rFonts w:asciiTheme="majorHAnsi" w:hAnsiTheme="majorHAnsi"/>
          <w:spacing w:val="-6"/>
          <w:sz w:val="20"/>
          <w:szCs w:val="20"/>
        </w:rPr>
        <w:t>перелік</w:t>
      </w:r>
      <w:r w:rsidRPr="000977F7">
        <w:rPr>
          <w:rFonts w:asciiTheme="majorHAnsi" w:hAnsiTheme="majorHAnsi"/>
          <w:spacing w:val="-13"/>
          <w:sz w:val="20"/>
          <w:szCs w:val="20"/>
        </w:rPr>
        <w:t xml:space="preserve"> </w:t>
      </w:r>
      <w:r w:rsidRPr="000977F7">
        <w:rPr>
          <w:rFonts w:asciiTheme="majorHAnsi" w:hAnsiTheme="majorHAnsi"/>
          <w:spacing w:val="-6"/>
          <w:sz w:val="20"/>
          <w:szCs w:val="20"/>
        </w:rPr>
        <w:t>документів,</w:t>
      </w:r>
      <w:r w:rsidRPr="000977F7">
        <w:rPr>
          <w:rFonts w:asciiTheme="majorHAnsi" w:hAnsiTheme="majorHAnsi"/>
          <w:spacing w:val="-11"/>
          <w:sz w:val="20"/>
          <w:szCs w:val="20"/>
        </w:rPr>
        <w:t xml:space="preserve"> </w:t>
      </w:r>
      <w:r w:rsidRPr="000977F7">
        <w:rPr>
          <w:rFonts w:asciiTheme="majorHAnsi" w:hAnsiTheme="majorHAnsi"/>
          <w:spacing w:val="-6"/>
          <w:sz w:val="20"/>
          <w:szCs w:val="20"/>
        </w:rPr>
        <w:t>що</w:t>
      </w:r>
      <w:r w:rsidRPr="000977F7">
        <w:rPr>
          <w:rFonts w:asciiTheme="majorHAnsi" w:hAnsiTheme="majorHAnsi"/>
          <w:spacing w:val="-8"/>
          <w:sz w:val="20"/>
          <w:szCs w:val="20"/>
        </w:rPr>
        <w:t xml:space="preserve"> </w:t>
      </w:r>
      <w:r w:rsidRPr="000977F7">
        <w:rPr>
          <w:rFonts w:asciiTheme="majorHAnsi" w:hAnsiTheme="majorHAnsi"/>
          <w:spacing w:val="-6"/>
          <w:sz w:val="20"/>
          <w:szCs w:val="20"/>
        </w:rPr>
        <w:t>увійшли</w:t>
      </w:r>
      <w:r w:rsidRPr="000977F7">
        <w:rPr>
          <w:rFonts w:asciiTheme="majorHAnsi" w:hAnsiTheme="majorHAnsi"/>
          <w:spacing w:val="-13"/>
          <w:sz w:val="20"/>
          <w:szCs w:val="20"/>
        </w:rPr>
        <w:t xml:space="preserve"> </w:t>
      </w:r>
      <w:r w:rsidRPr="000977F7">
        <w:rPr>
          <w:rFonts w:asciiTheme="majorHAnsi" w:hAnsiTheme="majorHAnsi"/>
          <w:spacing w:val="-5"/>
          <w:sz w:val="20"/>
          <w:szCs w:val="20"/>
        </w:rPr>
        <w:t>до</w:t>
      </w:r>
      <w:r w:rsidRPr="000977F7">
        <w:rPr>
          <w:rFonts w:asciiTheme="majorHAnsi" w:hAnsiTheme="majorHAnsi"/>
          <w:spacing w:val="-11"/>
          <w:sz w:val="20"/>
          <w:szCs w:val="20"/>
        </w:rPr>
        <w:t xml:space="preserve"> </w:t>
      </w:r>
      <w:r w:rsidRPr="000977F7">
        <w:rPr>
          <w:rFonts w:asciiTheme="majorHAnsi" w:hAnsiTheme="majorHAnsi"/>
          <w:spacing w:val="-5"/>
          <w:sz w:val="20"/>
          <w:szCs w:val="20"/>
        </w:rPr>
        <w:t>технічного</w:t>
      </w:r>
      <w:r w:rsidRPr="000977F7">
        <w:rPr>
          <w:rFonts w:asciiTheme="majorHAnsi" w:hAnsiTheme="majorHAnsi"/>
          <w:spacing w:val="-11"/>
          <w:sz w:val="20"/>
          <w:szCs w:val="20"/>
        </w:rPr>
        <w:t xml:space="preserve"> </w:t>
      </w:r>
      <w:r w:rsidRPr="000977F7">
        <w:rPr>
          <w:rFonts w:asciiTheme="majorHAnsi" w:hAnsiTheme="majorHAnsi"/>
          <w:spacing w:val="-5"/>
          <w:sz w:val="20"/>
          <w:szCs w:val="20"/>
        </w:rPr>
        <w:t>проекту</w:t>
      </w:r>
    </w:p>
    <w:p w14:paraId="6E29D5E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560082B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ВІДОМІСТЬ</w:t>
      </w:r>
      <w:r w:rsidRPr="000977F7">
        <w:rPr>
          <w:color w:val="auto"/>
          <w:spacing w:val="-4"/>
          <w:sz w:val="20"/>
          <w:szCs w:val="20"/>
        </w:rPr>
        <w:t xml:space="preserve"> </w:t>
      </w:r>
      <w:r w:rsidRPr="000977F7">
        <w:rPr>
          <w:color w:val="auto"/>
          <w:sz w:val="20"/>
          <w:szCs w:val="20"/>
        </w:rPr>
        <w:t>ТЕХНІЧНОЇ</w:t>
      </w:r>
      <w:r w:rsidRPr="000977F7">
        <w:rPr>
          <w:color w:val="auto"/>
          <w:spacing w:val="-2"/>
          <w:sz w:val="20"/>
          <w:szCs w:val="20"/>
        </w:rPr>
        <w:t xml:space="preserve"> </w:t>
      </w:r>
      <w:r w:rsidRPr="000977F7">
        <w:rPr>
          <w:color w:val="auto"/>
          <w:sz w:val="20"/>
          <w:szCs w:val="20"/>
        </w:rPr>
        <w:t>ПРОПОЗИЦІЇ</w:t>
      </w:r>
      <w:r w:rsidRPr="000977F7">
        <w:rPr>
          <w:color w:val="auto"/>
          <w:spacing w:val="-1"/>
          <w:sz w:val="20"/>
          <w:szCs w:val="20"/>
        </w:rPr>
        <w:t xml:space="preserve"> </w:t>
      </w:r>
      <w:r w:rsidRPr="000977F7">
        <w:rPr>
          <w:color w:val="auto"/>
          <w:sz w:val="20"/>
          <w:szCs w:val="20"/>
        </w:rPr>
        <w:t>–</w:t>
      </w:r>
    </w:p>
    <w:p w14:paraId="6CA2B6E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Текстовий</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являє</w:t>
      </w:r>
      <w:r w:rsidRPr="000977F7">
        <w:rPr>
          <w:rFonts w:asciiTheme="majorHAnsi" w:hAnsiTheme="majorHAnsi"/>
          <w:spacing w:val="1"/>
          <w:sz w:val="20"/>
          <w:szCs w:val="20"/>
        </w:rPr>
        <w:t xml:space="preserve"> </w:t>
      </w:r>
      <w:r w:rsidRPr="000977F7">
        <w:rPr>
          <w:rFonts w:asciiTheme="majorHAnsi" w:hAnsiTheme="majorHAnsi"/>
          <w:sz w:val="20"/>
          <w:szCs w:val="20"/>
        </w:rPr>
        <w:t>собою перелік документів, що увійшли до технічної</w:t>
      </w:r>
      <w:r w:rsidRPr="000977F7">
        <w:rPr>
          <w:rFonts w:asciiTheme="majorHAnsi" w:hAnsiTheme="majorHAnsi"/>
          <w:spacing w:val="1"/>
          <w:sz w:val="20"/>
          <w:szCs w:val="20"/>
        </w:rPr>
        <w:t xml:space="preserve"> </w:t>
      </w:r>
      <w:r w:rsidRPr="000977F7">
        <w:rPr>
          <w:rFonts w:asciiTheme="majorHAnsi" w:hAnsiTheme="majorHAnsi"/>
          <w:sz w:val="20"/>
          <w:szCs w:val="20"/>
        </w:rPr>
        <w:t>пропозиції</w:t>
      </w:r>
    </w:p>
    <w:p w14:paraId="394FF71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4BC6FD4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ВІДОМІСТЬ</w:t>
      </w:r>
      <w:r w:rsidRPr="000977F7">
        <w:rPr>
          <w:color w:val="auto"/>
          <w:spacing w:val="-5"/>
          <w:sz w:val="20"/>
          <w:szCs w:val="20"/>
        </w:rPr>
        <w:t xml:space="preserve"> </w:t>
      </w:r>
      <w:r w:rsidRPr="000977F7">
        <w:rPr>
          <w:color w:val="auto"/>
          <w:sz w:val="20"/>
          <w:szCs w:val="20"/>
        </w:rPr>
        <w:t>УТРИМУВАЧІВ</w:t>
      </w:r>
      <w:r w:rsidRPr="000977F7">
        <w:rPr>
          <w:color w:val="auto"/>
          <w:spacing w:val="-3"/>
          <w:sz w:val="20"/>
          <w:szCs w:val="20"/>
        </w:rPr>
        <w:t xml:space="preserve"> </w:t>
      </w:r>
      <w:r w:rsidRPr="000977F7">
        <w:rPr>
          <w:color w:val="auto"/>
          <w:sz w:val="20"/>
          <w:szCs w:val="20"/>
        </w:rPr>
        <w:t>ПРАВДНИКІВ –</w:t>
      </w:r>
    </w:p>
    <w:p w14:paraId="2BF06BE9"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Текстовий</w:t>
      </w:r>
      <w:r w:rsidRPr="000977F7">
        <w:rPr>
          <w:rFonts w:asciiTheme="majorHAnsi" w:hAnsiTheme="majorHAnsi"/>
          <w:spacing w:val="23"/>
          <w:sz w:val="20"/>
          <w:szCs w:val="20"/>
        </w:rPr>
        <w:t xml:space="preserve"> </w:t>
      </w:r>
      <w:r w:rsidRPr="000977F7">
        <w:rPr>
          <w:rFonts w:asciiTheme="majorHAnsi" w:hAnsiTheme="majorHAnsi"/>
          <w:sz w:val="20"/>
          <w:szCs w:val="20"/>
        </w:rPr>
        <w:t>конструкторський</w:t>
      </w:r>
      <w:r w:rsidRPr="000977F7">
        <w:rPr>
          <w:rFonts w:asciiTheme="majorHAnsi" w:hAnsiTheme="majorHAnsi"/>
          <w:spacing w:val="23"/>
          <w:sz w:val="20"/>
          <w:szCs w:val="20"/>
        </w:rPr>
        <w:t xml:space="preserve"> </w:t>
      </w:r>
      <w:r w:rsidRPr="000977F7">
        <w:rPr>
          <w:rFonts w:asciiTheme="majorHAnsi" w:hAnsiTheme="majorHAnsi"/>
          <w:sz w:val="20"/>
          <w:szCs w:val="20"/>
        </w:rPr>
        <w:t>документ,</w:t>
      </w:r>
      <w:r w:rsidRPr="000977F7">
        <w:rPr>
          <w:rFonts w:asciiTheme="majorHAnsi" w:hAnsiTheme="majorHAnsi"/>
          <w:spacing w:val="24"/>
          <w:sz w:val="20"/>
          <w:szCs w:val="20"/>
        </w:rPr>
        <w:t xml:space="preserve"> </w:t>
      </w:r>
      <w:r w:rsidRPr="000977F7">
        <w:rPr>
          <w:rFonts w:asciiTheme="majorHAnsi" w:hAnsiTheme="majorHAnsi"/>
          <w:sz w:val="20"/>
          <w:szCs w:val="20"/>
        </w:rPr>
        <w:t>який</w:t>
      </w:r>
      <w:r w:rsidRPr="000977F7">
        <w:rPr>
          <w:rFonts w:asciiTheme="majorHAnsi" w:hAnsiTheme="majorHAnsi"/>
          <w:spacing w:val="23"/>
          <w:sz w:val="20"/>
          <w:szCs w:val="20"/>
        </w:rPr>
        <w:t xml:space="preserve"> </w:t>
      </w:r>
      <w:r w:rsidRPr="000977F7">
        <w:rPr>
          <w:rFonts w:asciiTheme="majorHAnsi" w:hAnsiTheme="majorHAnsi"/>
          <w:sz w:val="20"/>
          <w:szCs w:val="20"/>
        </w:rPr>
        <w:t>являє</w:t>
      </w:r>
      <w:r w:rsidRPr="000977F7">
        <w:rPr>
          <w:rFonts w:asciiTheme="majorHAnsi" w:hAnsiTheme="majorHAnsi"/>
          <w:spacing w:val="-47"/>
          <w:sz w:val="20"/>
          <w:szCs w:val="20"/>
        </w:rPr>
        <w:t xml:space="preserve"> </w:t>
      </w:r>
      <w:r w:rsidRPr="000977F7">
        <w:rPr>
          <w:rFonts w:asciiTheme="majorHAnsi" w:hAnsiTheme="majorHAnsi"/>
          <w:sz w:val="20"/>
          <w:szCs w:val="20"/>
        </w:rPr>
        <w:t>собою</w:t>
      </w:r>
      <w:r w:rsidRPr="000977F7">
        <w:rPr>
          <w:rFonts w:asciiTheme="majorHAnsi" w:hAnsiTheme="majorHAnsi"/>
          <w:spacing w:val="-4"/>
          <w:sz w:val="20"/>
          <w:szCs w:val="20"/>
        </w:rPr>
        <w:t xml:space="preserve"> </w:t>
      </w:r>
      <w:r w:rsidRPr="000977F7">
        <w:rPr>
          <w:rFonts w:asciiTheme="majorHAnsi" w:hAnsiTheme="majorHAnsi"/>
          <w:sz w:val="20"/>
          <w:szCs w:val="20"/>
        </w:rPr>
        <w:t>перелік</w:t>
      </w:r>
      <w:r w:rsidRPr="000977F7">
        <w:rPr>
          <w:rFonts w:asciiTheme="majorHAnsi" w:hAnsiTheme="majorHAnsi"/>
          <w:spacing w:val="-6"/>
          <w:sz w:val="20"/>
          <w:szCs w:val="20"/>
        </w:rPr>
        <w:t xml:space="preserve"> </w:t>
      </w:r>
      <w:r w:rsidRPr="000977F7">
        <w:rPr>
          <w:rFonts w:asciiTheme="majorHAnsi" w:hAnsiTheme="majorHAnsi"/>
          <w:sz w:val="20"/>
          <w:szCs w:val="20"/>
        </w:rPr>
        <w:t>організацій</w:t>
      </w:r>
      <w:r w:rsidRPr="000977F7">
        <w:rPr>
          <w:rFonts w:asciiTheme="majorHAnsi" w:hAnsiTheme="majorHAnsi"/>
          <w:spacing w:val="-5"/>
          <w:sz w:val="20"/>
          <w:szCs w:val="20"/>
        </w:rPr>
        <w:t xml:space="preserve"> </w:t>
      </w:r>
      <w:r w:rsidRPr="000977F7">
        <w:rPr>
          <w:rFonts w:asciiTheme="majorHAnsi" w:hAnsiTheme="majorHAnsi"/>
          <w:sz w:val="20"/>
          <w:szCs w:val="20"/>
        </w:rPr>
        <w:t>чи</w:t>
      </w:r>
      <w:r w:rsidRPr="000977F7">
        <w:rPr>
          <w:rFonts w:asciiTheme="majorHAnsi" w:hAnsiTheme="majorHAnsi"/>
          <w:spacing w:val="-5"/>
          <w:sz w:val="20"/>
          <w:szCs w:val="20"/>
        </w:rPr>
        <w:t xml:space="preserve"> </w:t>
      </w:r>
      <w:r w:rsidRPr="000977F7">
        <w:rPr>
          <w:rFonts w:asciiTheme="majorHAnsi" w:hAnsiTheme="majorHAnsi"/>
          <w:sz w:val="20"/>
          <w:szCs w:val="20"/>
        </w:rPr>
        <w:t>підприємств,</w:t>
      </w:r>
      <w:r w:rsidRPr="000977F7">
        <w:rPr>
          <w:rFonts w:asciiTheme="majorHAnsi" w:hAnsiTheme="majorHAnsi"/>
          <w:spacing w:val="-3"/>
          <w:sz w:val="20"/>
          <w:szCs w:val="20"/>
        </w:rPr>
        <w:t xml:space="preserve"> </w:t>
      </w:r>
      <w:r w:rsidRPr="000977F7">
        <w:rPr>
          <w:rFonts w:asciiTheme="majorHAnsi" w:hAnsiTheme="majorHAnsi"/>
          <w:sz w:val="20"/>
          <w:szCs w:val="20"/>
        </w:rPr>
        <w:t>котрі</w:t>
      </w:r>
      <w:r w:rsidRPr="000977F7">
        <w:rPr>
          <w:rFonts w:asciiTheme="majorHAnsi" w:hAnsiTheme="majorHAnsi"/>
          <w:spacing w:val="-6"/>
          <w:sz w:val="20"/>
          <w:szCs w:val="20"/>
        </w:rPr>
        <w:t xml:space="preserve"> </w:t>
      </w:r>
      <w:r w:rsidRPr="000977F7">
        <w:rPr>
          <w:rFonts w:asciiTheme="majorHAnsi" w:hAnsiTheme="majorHAnsi"/>
          <w:sz w:val="20"/>
          <w:szCs w:val="20"/>
        </w:rPr>
        <w:t>збері</w:t>
      </w:r>
      <w:r w:rsidRPr="000977F7">
        <w:rPr>
          <w:rFonts w:asciiTheme="majorHAnsi" w:hAnsiTheme="majorHAnsi"/>
          <w:spacing w:val="-1"/>
          <w:sz w:val="20"/>
          <w:szCs w:val="20"/>
        </w:rPr>
        <w:t xml:space="preserve">гають правдники документів стосовно певного </w:t>
      </w:r>
      <w:r w:rsidRPr="000977F7">
        <w:rPr>
          <w:rFonts w:asciiTheme="majorHAnsi" w:hAnsiTheme="majorHAnsi"/>
          <w:sz w:val="20"/>
          <w:szCs w:val="20"/>
        </w:rPr>
        <w:t>виробу</w:t>
      </w:r>
      <w:r w:rsidRPr="000977F7">
        <w:rPr>
          <w:rFonts w:asciiTheme="majorHAnsi" w:hAnsiTheme="majorHAnsi"/>
          <w:spacing w:val="1"/>
          <w:sz w:val="20"/>
          <w:szCs w:val="20"/>
        </w:rPr>
        <w:t xml:space="preserve"> </w:t>
      </w:r>
    </w:p>
    <w:p w14:paraId="41688390"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3321</w:t>
      </w:r>
      <w:r w:rsidRPr="000977F7">
        <w:rPr>
          <w:rFonts w:asciiTheme="majorHAnsi" w:hAnsiTheme="majorHAnsi"/>
          <w:i/>
          <w:spacing w:val="2"/>
          <w:sz w:val="20"/>
          <w:szCs w:val="20"/>
        </w:rPr>
        <w:t xml:space="preserve"> </w:t>
      </w:r>
      <w:r w:rsidRPr="000977F7">
        <w:rPr>
          <w:rFonts w:asciiTheme="majorHAnsi" w:hAnsiTheme="majorHAnsi"/>
          <w:i/>
          <w:sz w:val="20"/>
          <w:szCs w:val="20"/>
        </w:rPr>
        <w:t>– 2003</w:t>
      </w:r>
    </w:p>
    <w:p w14:paraId="618C14C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ВІДОМЧА</w:t>
      </w:r>
      <w:r w:rsidRPr="000977F7">
        <w:rPr>
          <w:color w:val="auto"/>
          <w:spacing w:val="-6"/>
          <w:sz w:val="20"/>
          <w:szCs w:val="20"/>
        </w:rPr>
        <w:t xml:space="preserve"> </w:t>
      </w:r>
      <w:r w:rsidRPr="000977F7">
        <w:rPr>
          <w:color w:val="auto"/>
          <w:sz w:val="20"/>
          <w:szCs w:val="20"/>
        </w:rPr>
        <w:t>МЕТРОЛОГІЧНА</w:t>
      </w:r>
      <w:r w:rsidRPr="000977F7">
        <w:rPr>
          <w:color w:val="auto"/>
          <w:spacing w:val="-4"/>
          <w:sz w:val="20"/>
          <w:szCs w:val="20"/>
        </w:rPr>
        <w:t xml:space="preserve"> </w:t>
      </w:r>
      <w:r w:rsidRPr="000977F7">
        <w:rPr>
          <w:color w:val="auto"/>
          <w:sz w:val="20"/>
          <w:szCs w:val="20"/>
        </w:rPr>
        <w:t>СЛУЖБА</w:t>
      </w:r>
      <w:r w:rsidRPr="000977F7">
        <w:rPr>
          <w:color w:val="auto"/>
          <w:spacing w:val="-2"/>
          <w:sz w:val="20"/>
          <w:szCs w:val="20"/>
        </w:rPr>
        <w:t xml:space="preserve"> </w:t>
      </w:r>
      <w:r w:rsidRPr="000977F7">
        <w:rPr>
          <w:color w:val="auto"/>
          <w:sz w:val="20"/>
          <w:szCs w:val="20"/>
        </w:rPr>
        <w:t>–</w:t>
      </w:r>
    </w:p>
    <w:p w14:paraId="56073FC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Метрологічна служба міністерства або іншого центрального</w:t>
      </w:r>
      <w:r w:rsidRPr="000977F7">
        <w:rPr>
          <w:rFonts w:asciiTheme="majorHAnsi" w:hAnsiTheme="majorHAnsi"/>
          <w:spacing w:val="-12"/>
          <w:sz w:val="20"/>
          <w:szCs w:val="20"/>
        </w:rPr>
        <w:t xml:space="preserve"> </w:t>
      </w:r>
      <w:r w:rsidRPr="000977F7">
        <w:rPr>
          <w:rFonts w:asciiTheme="majorHAnsi" w:hAnsiTheme="majorHAnsi"/>
          <w:sz w:val="20"/>
          <w:szCs w:val="20"/>
        </w:rPr>
        <w:t>органу</w:t>
      </w:r>
      <w:r w:rsidRPr="000977F7">
        <w:rPr>
          <w:rFonts w:asciiTheme="majorHAnsi" w:hAnsiTheme="majorHAnsi"/>
          <w:spacing w:val="-12"/>
          <w:sz w:val="20"/>
          <w:szCs w:val="20"/>
        </w:rPr>
        <w:t xml:space="preserve"> </w:t>
      </w:r>
      <w:r w:rsidRPr="000977F7">
        <w:rPr>
          <w:rFonts w:asciiTheme="majorHAnsi" w:hAnsiTheme="majorHAnsi"/>
          <w:sz w:val="20"/>
          <w:szCs w:val="20"/>
        </w:rPr>
        <w:t>державної</w:t>
      </w:r>
      <w:r w:rsidRPr="000977F7">
        <w:rPr>
          <w:rFonts w:asciiTheme="majorHAnsi" w:hAnsiTheme="majorHAnsi"/>
          <w:spacing w:val="-12"/>
          <w:sz w:val="20"/>
          <w:szCs w:val="20"/>
        </w:rPr>
        <w:t xml:space="preserve"> </w:t>
      </w:r>
      <w:r w:rsidRPr="000977F7">
        <w:rPr>
          <w:rFonts w:asciiTheme="majorHAnsi" w:hAnsiTheme="majorHAnsi"/>
          <w:sz w:val="20"/>
          <w:szCs w:val="20"/>
        </w:rPr>
        <w:t>виконавчої</w:t>
      </w:r>
      <w:r w:rsidRPr="000977F7">
        <w:rPr>
          <w:rFonts w:asciiTheme="majorHAnsi" w:hAnsiTheme="majorHAnsi"/>
          <w:spacing w:val="-12"/>
          <w:sz w:val="20"/>
          <w:szCs w:val="20"/>
        </w:rPr>
        <w:t xml:space="preserve"> </w:t>
      </w:r>
      <w:r w:rsidRPr="000977F7">
        <w:rPr>
          <w:rFonts w:asciiTheme="majorHAnsi" w:hAnsiTheme="majorHAnsi"/>
          <w:sz w:val="20"/>
          <w:szCs w:val="20"/>
        </w:rPr>
        <w:t>влади,</w:t>
      </w:r>
      <w:r w:rsidRPr="000977F7">
        <w:rPr>
          <w:rFonts w:asciiTheme="majorHAnsi" w:hAnsiTheme="majorHAnsi"/>
          <w:spacing w:val="-12"/>
          <w:sz w:val="20"/>
          <w:szCs w:val="20"/>
        </w:rPr>
        <w:t xml:space="preserve"> </w:t>
      </w:r>
      <w:r w:rsidRPr="000977F7">
        <w:rPr>
          <w:rFonts w:asciiTheme="majorHAnsi" w:hAnsiTheme="majorHAnsi"/>
          <w:sz w:val="20"/>
          <w:szCs w:val="20"/>
        </w:rPr>
        <w:t>об’єднання</w:t>
      </w:r>
      <w:r w:rsidRPr="000977F7">
        <w:rPr>
          <w:rFonts w:asciiTheme="majorHAnsi" w:hAnsiTheme="majorHAnsi"/>
          <w:spacing w:val="-48"/>
          <w:sz w:val="20"/>
          <w:szCs w:val="20"/>
        </w:rPr>
        <w:t xml:space="preserve"> </w:t>
      </w:r>
      <w:r w:rsidRPr="000977F7">
        <w:rPr>
          <w:rFonts w:asciiTheme="majorHAnsi" w:hAnsiTheme="majorHAnsi"/>
          <w:sz w:val="20"/>
          <w:szCs w:val="20"/>
        </w:rPr>
        <w:t>підприємств,</w:t>
      </w:r>
      <w:r w:rsidRPr="000977F7">
        <w:rPr>
          <w:rFonts w:asciiTheme="majorHAnsi" w:hAnsiTheme="majorHAnsi"/>
          <w:spacing w:val="-9"/>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9"/>
          <w:sz w:val="20"/>
          <w:szCs w:val="20"/>
        </w:rPr>
        <w:t xml:space="preserve"> </w:t>
      </w:r>
      <w:r w:rsidRPr="000977F7">
        <w:rPr>
          <w:rFonts w:asciiTheme="majorHAnsi" w:hAnsiTheme="majorHAnsi"/>
          <w:sz w:val="20"/>
          <w:szCs w:val="20"/>
        </w:rPr>
        <w:t>установи,</w:t>
      </w:r>
      <w:r w:rsidRPr="000977F7">
        <w:rPr>
          <w:rFonts w:asciiTheme="majorHAnsi" w:hAnsiTheme="majorHAnsi"/>
          <w:spacing w:val="-10"/>
          <w:sz w:val="20"/>
          <w:szCs w:val="20"/>
        </w:rPr>
        <w:t xml:space="preserve"> </w:t>
      </w:r>
      <w:r w:rsidRPr="000977F7">
        <w:rPr>
          <w:rFonts w:asciiTheme="majorHAnsi" w:hAnsiTheme="majorHAnsi"/>
          <w:sz w:val="20"/>
          <w:szCs w:val="20"/>
        </w:rPr>
        <w:t>організації</w:t>
      </w:r>
    </w:p>
    <w:p w14:paraId="6F27D6A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66247B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ВІДОМЧА ПОВІРКА ЗАСОБІВ </w:t>
      </w:r>
    </w:p>
    <w:p w14:paraId="636708B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ВИМІРЮВАЛЬ</w:t>
      </w:r>
      <w:r w:rsidRPr="000977F7">
        <w:rPr>
          <w:color w:val="auto"/>
          <w:spacing w:val="-47"/>
          <w:sz w:val="20"/>
          <w:szCs w:val="20"/>
        </w:rPr>
        <w:t xml:space="preserve"> </w:t>
      </w:r>
      <w:r w:rsidRPr="000977F7">
        <w:rPr>
          <w:color w:val="auto"/>
          <w:sz w:val="20"/>
          <w:szCs w:val="20"/>
        </w:rPr>
        <w:t>НОЇ</w:t>
      </w:r>
      <w:r w:rsidRPr="000977F7">
        <w:rPr>
          <w:color w:val="auto"/>
          <w:spacing w:val="-2"/>
          <w:sz w:val="20"/>
          <w:szCs w:val="20"/>
        </w:rPr>
        <w:t xml:space="preserve"> </w:t>
      </w:r>
      <w:r w:rsidRPr="000977F7">
        <w:rPr>
          <w:color w:val="auto"/>
          <w:sz w:val="20"/>
          <w:szCs w:val="20"/>
        </w:rPr>
        <w:t>ТЕХНІКИ</w:t>
      </w:r>
      <w:r w:rsidRPr="000977F7">
        <w:rPr>
          <w:color w:val="auto"/>
          <w:spacing w:val="1"/>
          <w:sz w:val="20"/>
          <w:szCs w:val="20"/>
        </w:rPr>
        <w:t xml:space="preserve"> </w:t>
      </w:r>
      <w:r w:rsidRPr="000977F7">
        <w:rPr>
          <w:color w:val="auto"/>
          <w:sz w:val="20"/>
          <w:szCs w:val="20"/>
        </w:rPr>
        <w:t>–</w:t>
      </w:r>
    </w:p>
    <w:p w14:paraId="02C6DD6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Повірка відомчими метрологічними службами засобів</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вимірювальної техніки, що не підлягають державній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повірці</w:t>
      </w:r>
    </w:p>
    <w:p w14:paraId="2229833A"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2D9C1FB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ВІДОМЧИЙ</w:t>
      </w:r>
      <w:r w:rsidRPr="000977F7">
        <w:rPr>
          <w:color w:val="auto"/>
          <w:spacing w:val="-7"/>
          <w:sz w:val="20"/>
          <w:szCs w:val="20"/>
        </w:rPr>
        <w:t xml:space="preserve"> </w:t>
      </w:r>
      <w:r w:rsidRPr="000977F7">
        <w:rPr>
          <w:color w:val="auto"/>
          <w:sz w:val="20"/>
          <w:szCs w:val="20"/>
        </w:rPr>
        <w:t>ВИПРОБУВАЛЬНИЙ</w:t>
      </w:r>
      <w:r w:rsidRPr="000977F7">
        <w:rPr>
          <w:color w:val="auto"/>
          <w:spacing w:val="-4"/>
          <w:sz w:val="20"/>
          <w:szCs w:val="20"/>
        </w:rPr>
        <w:t xml:space="preserve"> </w:t>
      </w:r>
      <w:r w:rsidRPr="000977F7">
        <w:rPr>
          <w:color w:val="auto"/>
          <w:sz w:val="20"/>
          <w:szCs w:val="20"/>
        </w:rPr>
        <w:t>ЦЕНТР–</w:t>
      </w:r>
    </w:p>
    <w:p w14:paraId="597A741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DEPARTMENTAL</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TESTING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CENTER –</w:t>
      </w:r>
    </w:p>
    <w:p w14:paraId="49C3AB4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Організація</w:t>
      </w:r>
      <w:r w:rsidRPr="004D2D14">
        <w:rPr>
          <w:rFonts w:asciiTheme="majorHAnsi" w:hAnsiTheme="majorHAnsi"/>
          <w:sz w:val="20"/>
          <w:szCs w:val="20"/>
          <w:lang w:val="en-US"/>
        </w:rPr>
        <w:t xml:space="preserve">, </w:t>
      </w:r>
      <w:r w:rsidRPr="000977F7">
        <w:rPr>
          <w:rFonts w:asciiTheme="majorHAnsi" w:hAnsiTheme="majorHAnsi"/>
          <w:sz w:val="20"/>
          <w:szCs w:val="20"/>
        </w:rPr>
        <w:t>якій</w:t>
      </w:r>
      <w:r w:rsidRPr="004D2D14">
        <w:rPr>
          <w:rFonts w:asciiTheme="majorHAnsi" w:hAnsiTheme="majorHAnsi"/>
          <w:sz w:val="20"/>
          <w:szCs w:val="20"/>
          <w:lang w:val="en-US"/>
        </w:rPr>
        <w:t xml:space="preserve"> </w:t>
      </w:r>
      <w:r w:rsidRPr="000977F7">
        <w:rPr>
          <w:rFonts w:asciiTheme="majorHAnsi" w:hAnsiTheme="majorHAnsi"/>
          <w:sz w:val="20"/>
          <w:szCs w:val="20"/>
        </w:rPr>
        <w:t>міністерством</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відомством</w:t>
      </w:r>
      <w:r w:rsidRPr="004D2D14">
        <w:rPr>
          <w:rFonts w:asciiTheme="majorHAnsi" w:hAnsiTheme="majorHAnsi"/>
          <w:sz w:val="20"/>
          <w:szCs w:val="20"/>
          <w:lang w:val="en-US"/>
        </w:rPr>
        <w:t xml:space="preserve"> </w:t>
      </w:r>
      <w:r w:rsidRPr="000977F7">
        <w:rPr>
          <w:rFonts w:asciiTheme="majorHAnsi" w:hAnsiTheme="majorHAnsi"/>
          <w:sz w:val="20"/>
          <w:szCs w:val="20"/>
        </w:rPr>
        <w:t>доручено</w:t>
      </w:r>
      <w:r w:rsidRPr="004D2D14">
        <w:rPr>
          <w:rFonts w:asciiTheme="majorHAnsi" w:hAnsiTheme="majorHAnsi"/>
          <w:sz w:val="20"/>
          <w:szCs w:val="20"/>
          <w:lang w:val="en-US"/>
        </w:rPr>
        <w:t xml:space="preserve"> </w:t>
      </w:r>
      <w:r w:rsidRPr="000977F7">
        <w:rPr>
          <w:rFonts w:asciiTheme="majorHAnsi" w:hAnsiTheme="majorHAnsi"/>
          <w:sz w:val="20"/>
          <w:szCs w:val="20"/>
        </w:rPr>
        <w:t>проведення</w:t>
      </w:r>
      <w:r w:rsidRPr="004D2D14">
        <w:rPr>
          <w:rFonts w:asciiTheme="majorHAnsi" w:hAnsiTheme="majorHAnsi"/>
          <w:sz w:val="20"/>
          <w:szCs w:val="20"/>
          <w:lang w:val="en-US"/>
        </w:rPr>
        <w:t xml:space="preserve"> </w:t>
      </w:r>
      <w:r w:rsidRPr="000977F7">
        <w:rPr>
          <w:rFonts w:asciiTheme="majorHAnsi" w:hAnsiTheme="majorHAnsi"/>
          <w:sz w:val="20"/>
          <w:szCs w:val="20"/>
        </w:rPr>
        <w:t>певних</w:t>
      </w:r>
      <w:r w:rsidRPr="004D2D14">
        <w:rPr>
          <w:rFonts w:asciiTheme="majorHAnsi" w:hAnsiTheme="majorHAnsi"/>
          <w:sz w:val="20"/>
          <w:szCs w:val="20"/>
          <w:lang w:val="en-US"/>
        </w:rPr>
        <w:t xml:space="preserve"> </w:t>
      </w:r>
      <w:r w:rsidRPr="000977F7">
        <w:rPr>
          <w:rFonts w:asciiTheme="majorHAnsi" w:hAnsiTheme="majorHAnsi"/>
          <w:sz w:val="20"/>
          <w:szCs w:val="20"/>
        </w:rPr>
        <w:t>категорій</w:t>
      </w:r>
      <w:r w:rsidRPr="004D2D14">
        <w:rPr>
          <w:rFonts w:asciiTheme="majorHAnsi" w:hAnsiTheme="majorHAnsi"/>
          <w:sz w:val="20"/>
          <w:szCs w:val="20"/>
          <w:lang w:val="en-US"/>
        </w:rPr>
        <w:t xml:space="preserve"> </w:t>
      </w:r>
      <w:r w:rsidRPr="000977F7">
        <w:rPr>
          <w:rFonts w:asciiTheme="majorHAnsi" w:hAnsiTheme="majorHAnsi"/>
          <w:sz w:val="20"/>
          <w:szCs w:val="20"/>
        </w:rPr>
        <w:t>випробувань</w:t>
      </w:r>
      <w:r w:rsidRPr="004D2D14">
        <w:rPr>
          <w:rFonts w:asciiTheme="majorHAnsi" w:hAnsiTheme="majorHAnsi"/>
          <w:sz w:val="20"/>
          <w:szCs w:val="20"/>
          <w:lang w:val="en-US"/>
        </w:rPr>
        <w:t xml:space="preserve"> </w:t>
      </w:r>
      <w:r w:rsidRPr="000977F7">
        <w:rPr>
          <w:rFonts w:asciiTheme="majorHAnsi" w:hAnsiTheme="majorHAnsi"/>
          <w:sz w:val="20"/>
          <w:szCs w:val="20"/>
        </w:rPr>
        <w:t>закріплених</w:t>
      </w:r>
      <w:r w:rsidRPr="004D2D14">
        <w:rPr>
          <w:rFonts w:asciiTheme="majorHAnsi" w:hAnsiTheme="majorHAnsi"/>
          <w:sz w:val="20"/>
          <w:szCs w:val="20"/>
          <w:lang w:val="en-US"/>
        </w:rPr>
        <w:t xml:space="preserve"> </w:t>
      </w:r>
      <w:r w:rsidRPr="000977F7">
        <w:rPr>
          <w:rFonts w:asciiTheme="majorHAnsi" w:hAnsiTheme="majorHAnsi"/>
          <w:sz w:val="20"/>
          <w:szCs w:val="20"/>
        </w:rPr>
        <w:t>видів</w:t>
      </w:r>
      <w:r w:rsidRPr="004D2D14">
        <w:rPr>
          <w:rFonts w:asciiTheme="majorHAnsi" w:hAnsiTheme="majorHAnsi"/>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 xml:space="preserve">, </w:t>
      </w:r>
      <w:r w:rsidRPr="000977F7">
        <w:rPr>
          <w:rFonts w:asciiTheme="majorHAnsi" w:hAnsiTheme="majorHAnsi"/>
          <w:sz w:val="20"/>
          <w:szCs w:val="20"/>
        </w:rPr>
        <w:t>яка</w:t>
      </w:r>
      <w:r w:rsidRPr="004D2D14">
        <w:rPr>
          <w:rFonts w:asciiTheme="majorHAnsi" w:hAnsiTheme="majorHAnsi"/>
          <w:sz w:val="20"/>
          <w:szCs w:val="20"/>
          <w:lang w:val="en-US"/>
        </w:rPr>
        <w:t xml:space="preserve"> </w:t>
      </w:r>
      <w:r w:rsidRPr="000977F7">
        <w:rPr>
          <w:rFonts w:asciiTheme="majorHAnsi" w:hAnsiTheme="majorHAnsi"/>
          <w:sz w:val="20"/>
          <w:szCs w:val="20"/>
        </w:rPr>
        <w:t>випускається</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розробляється</w:t>
      </w:r>
      <w:r w:rsidRPr="004D2D14">
        <w:rPr>
          <w:rFonts w:asciiTheme="majorHAnsi" w:hAnsiTheme="majorHAnsi"/>
          <w:sz w:val="20"/>
          <w:szCs w:val="20"/>
          <w:lang w:val="en-US"/>
        </w:rPr>
        <w:t xml:space="preserve"> </w:t>
      </w:r>
      <w:r w:rsidRPr="000977F7">
        <w:rPr>
          <w:rFonts w:asciiTheme="majorHAnsi" w:hAnsiTheme="majorHAnsi"/>
          <w:sz w:val="20"/>
          <w:szCs w:val="20"/>
        </w:rPr>
        <w:t>підприємствами</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організаціями</w:t>
      </w:r>
      <w:r w:rsidRPr="004D2D14">
        <w:rPr>
          <w:rFonts w:asciiTheme="majorHAnsi" w:hAnsiTheme="majorHAnsi"/>
          <w:sz w:val="20"/>
          <w:szCs w:val="20"/>
          <w:lang w:val="en-US"/>
        </w:rPr>
        <w:t xml:space="preserve"> </w:t>
      </w:r>
      <w:r w:rsidRPr="000977F7">
        <w:rPr>
          <w:rFonts w:asciiTheme="majorHAnsi" w:hAnsiTheme="majorHAnsi"/>
          <w:sz w:val="20"/>
          <w:szCs w:val="20"/>
        </w:rPr>
        <w:t>даного</w:t>
      </w:r>
      <w:r w:rsidRPr="004D2D14">
        <w:rPr>
          <w:rFonts w:asciiTheme="majorHAnsi" w:hAnsiTheme="majorHAnsi"/>
          <w:sz w:val="20"/>
          <w:szCs w:val="20"/>
          <w:lang w:val="en-US"/>
        </w:rPr>
        <w:t xml:space="preserve"> </w:t>
      </w:r>
      <w:r w:rsidRPr="000977F7">
        <w:rPr>
          <w:rFonts w:asciiTheme="majorHAnsi" w:hAnsiTheme="majorHAnsi"/>
          <w:sz w:val="20"/>
          <w:szCs w:val="20"/>
        </w:rPr>
        <w:t>міністерства</w:t>
      </w:r>
      <w:r w:rsidRPr="004D2D14">
        <w:rPr>
          <w:rFonts w:asciiTheme="majorHAnsi" w:hAnsiTheme="majorHAnsi"/>
          <w:spacing w:val="-2"/>
          <w:sz w:val="20"/>
          <w:szCs w:val="20"/>
          <w:lang w:val="en-US"/>
        </w:rPr>
        <w:t xml:space="preserve"> </w:t>
      </w:r>
      <w:r w:rsidRPr="000977F7">
        <w:rPr>
          <w:rFonts w:asciiTheme="majorHAnsi" w:hAnsiTheme="majorHAnsi"/>
          <w:sz w:val="20"/>
          <w:szCs w:val="20"/>
        </w:rPr>
        <w:t>чи</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відомства</w:t>
      </w:r>
    </w:p>
    <w:p w14:paraId="728ED3B4"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3021 – 95</w:t>
      </w:r>
    </w:p>
    <w:p w14:paraId="6C5C8577"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ВІДОМЧИЙ</w:t>
      </w:r>
      <w:r w:rsidRPr="004D2D14">
        <w:rPr>
          <w:rFonts w:asciiTheme="majorHAnsi" w:hAnsiTheme="majorHAnsi"/>
          <w:b/>
          <w:spacing w:val="-12"/>
          <w:sz w:val="20"/>
          <w:szCs w:val="20"/>
          <w:lang w:val="en-US"/>
        </w:rPr>
        <w:t xml:space="preserve"> </w:t>
      </w:r>
      <w:r w:rsidRPr="000977F7">
        <w:rPr>
          <w:rFonts w:asciiTheme="majorHAnsi" w:hAnsiTheme="majorHAnsi"/>
          <w:b/>
          <w:sz w:val="20"/>
          <w:szCs w:val="20"/>
        </w:rPr>
        <w:t>МЕТРОЛОГІЧНИЙ</w:t>
      </w:r>
      <w:r w:rsidRPr="004D2D14">
        <w:rPr>
          <w:rFonts w:asciiTheme="majorHAnsi" w:hAnsiTheme="majorHAnsi"/>
          <w:b/>
          <w:spacing w:val="-47"/>
          <w:sz w:val="20"/>
          <w:szCs w:val="20"/>
          <w:lang w:val="en-US"/>
        </w:rPr>
        <w:t xml:space="preserve"> </w:t>
      </w:r>
      <w:r w:rsidRPr="000977F7">
        <w:rPr>
          <w:rFonts w:asciiTheme="majorHAnsi" w:hAnsiTheme="majorHAnsi"/>
          <w:b/>
          <w:sz w:val="20"/>
          <w:szCs w:val="20"/>
        </w:rPr>
        <w:t>КОНТРОЛЬ</w:t>
      </w:r>
      <w:r w:rsidRPr="004D2D14">
        <w:rPr>
          <w:rFonts w:asciiTheme="majorHAnsi" w:hAnsiTheme="majorHAnsi"/>
          <w:b/>
          <w:sz w:val="20"/>
          <w:szCs w:val="20"/>
          <w:lang w:val="en-US"/>
        </w:rPr>
        <w:t xml:space="preserve"> –</w:t>
      </w:r>
    </w:p>
    <w:p w14:paraId="347927C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Діяльність</w:t>
      </w:r>
      <w:r w:rsidRPr="004D2D14">
        <w:rPr>
          <w:rFonts w:asciiTheme="majorHAnsi" w:hAnsiTheme="majorHAnsi"/>
          <w:sz w:val="20"/>
          <w:szCs w:val="20"/>
          <w:lang w:val="en-US"/>
        </w:rPr>
        <w:t xml:space="preserve"> </w:t>
      </w:r>
      <w:r w:rsidRPr="000977F7">
        <w:rPr>
          <w:rFonts w:asciiTheme="majorHAnsi" w:hAnsiTheme="majorHAnsi"/>
          <w:sz w:val="20"/>
          <w:szCs w:val="20"/>
        </w:rPr>
        <w:t>органів</w:t>
      </w:r>
      <w:r w:rsidRPr="004D2D14">
        <w:rPr>
          <w:rFonts w:asciiTheme="majorHAnsi" w:hAnsiTheme="majorHAnsi"/>
          <w:sz w:val="20"/>
          <w:szCs w:val="20"/>
          <w:lang w:val="en-US"/>
        </w:rPr>
        <w:t xml:space="preserve"> </w:t>
      </w:r>
      <w:r w:rsidRPr="000977F7">
        <w:rPr>
          <w:rFonts w:asciiTheme="majorHAnsi" w:hAnsiTheme="majorHAnsi"/>
          <w:sz w:val="20"/>
          <w:szCs w:val="20"/>
        </w:rPr>
        <w:t>відомчих</w:t>
      </w:r>
      <w:r w:rsidRPr="004D2D14">
        <w:rPr>
          <w:rFonts w:asciiTheme="majorHAnsi" w:hAnsiTheme="majorHAnsi"/>
          <w:sz w:val="20"/>
          <w:szCs w:val="20"/>
          <w:lang w:val="en-US"/>
        </w:rPr>
        <w:t xml:space="preserve"> </w:t>
      </w:r>
      <w:r w:rsidRPr="000977F7">
        <w:rPr>
          <w:rFonts w:asciiTheme="majorHAnsi" w:hAnsiTheme="majorHAnsi"/>
          <w:sz w:val="20"/>
          <w:szCs w:val="20"/>
        </w:rPr>
        <w:t>метрологічних</w:t>
      </w:r>
      <w:r w:rsidRPr="004D2D14">
        <w:rPr>
          <w:rFonts w:asciiTheme="majorHAnsi" w:hAnsiTheme="majorHAnsi"/>
          <w:sz w:val="20"/>
          <w:szCs w:val="20"/>
          <w:lang w:val="en-US"/>
        </w:rPr>
        <w:t xml:space="preserve"> </w:t>
      </w:r>
      <w:r w:rsidRPr="000977F7">
        <w:rPr>
          <w:rFonts w:asciiTheme="majorHAnsi" w:hAnsiTheme="majorHAnsi"/>
          <w:sz w:val="20"/>
          <w:szCs w:val="20"/>
        </w:rPr>
        <w:t>служб</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pacing w:val="1"/>
          <w:sz w:val="20"/>
          <w:szCs w:val="20"/>
          <w:lang w:val="en-US"/>
        </w:rPr>
        <w:t xml:space="preserve"> </w:t>
      </w:r>
      <w:r w:rsidRPr="000977F7">
        <w:rPr>
          <w:rFonts w:asciiTheme="majorHAnsi" w:hAnsiTheme="majorHAnsi"/>
          <w:sz w:val="20"/>
          <w:szCs w:val="20"/>
        </w:rPr>
        <w:t>метою</w:t>
      </w:r>
      <w:r w:rsidRPr="004D2D14">
        <w:rPr>
          <w:rFonts w:asciiTheme="majorHAnsi" w:hAnsiTheme="majorHAnsi"/>
          <w:sz w:val="20"/>
          <w:szCs w:val="20"/>
          <w:lang w:val="en-US"/>
        </w:rPr>
        <w:t xml:space="preserve"> </w:t>
      </w:r>
      <w:r w:rsidRPr="000977F7">
        <w:rPr>
          <w:rFonts w:asciiTheme="majorHAnsi" w:hAnsiTheme="majorHAnsi"/>
          <w:sz w:val="20"/>
          <w:szCs w:val="20"/>
        </w:rPr>
        <w:t>перевірки</w:t>
      </w:r>
      <w:r w:rsidRPr="004D2D14">
        <w:rPr>
          <w:rFonts w:asciiTheme="majorHAnsi" w:hAnsiTheme="majorHAnsi"/>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підприємствах</w:t>
      </w:r>
      <w:r w:rsidRPr="004D2D14">
        <w:rPr>
          <w:rFonts w:asciiTheme="majorHAnsi" w:hAnsiTheme="majorHAnsi"/>
          <w:sz w:val="20"/>
          <w:szCs w:val="20"/>
          <w:lang w:val="en-US"/>
        </w:rPr>
        <w:t xml:space="preserve"> (</w:t>
      </w:r>
      <w:r w:rsidRPr="000977F7">
        <w:rPr>
          <w:rFonts w:asciiTheme="majorHAnsi" w:hAnsiTheme="majorHAnsi"/>
          <w:sz w:val="20"/>
          <w:szCs w:val="20"/>
        </w:rPr>
        <w:t>організаціях</w:t>
      </w:r>
      <w:r w:rsidRPr="004D2D14">
        <w:rPr>
          <w:rFonts w:asciiTheme="majorHAnsi" w:hAnsiTheme="majorHAnsi"/>
          <w:sz w:val="20"/>
          <w:szCs w:val="20"/>
          <w:lang w:val="en-US"/>
        </w:rPr>
        <w:t xml:space="preserve">) </w:t>
      </w:r>
      <w:r w:rsidRPr="000977F7">
        <w:rPr>
          <w:rFonts w:asciiTheme="majorHAnsi" w:hAnsiTheme="majorHAnsi"/>
          <w:sz w:val="20"/>
          <w:szCs w:val="20"/>
        </w:rPr>
        <w:t>дотримання</w:t>
      </w:r>
      <w:r w:rsidRPr="004D2D14">
        <w:rPr>
          <w:rFonts w:asciiTheme="majorHAnsi" w:hAnsiTheme="majorHAnsi"/>
          <w:spacing w:val="-2"/>
          <w:sz w:val="20"/>
          <w:szCs w:val="20"/>
          <w:lang w:val="en-US"/>
        </w:rPr>
        <w:t xml:space="preserve"> </w:t>
      </w:r>
      <w:r w:rsidRPr="000977F7">
        <w:rPr>
          <w:rFonts w:asciiTheme="majorHAnsi" w:hAnsiTheme="majorHAnsi"/>
          <w:sz w:val="20"/>
          <w:szCs w:val="20"/>
        </w:rPr>
        <w:t>метрологічних</w:t>
      </w:r>
      <w:r w:rsidRPr="004D2D14">
        <w:rPr>
          <w:rFonts w:asciiTheme="majorHAnsi" w:hAnsiTheme="majorHAnsi"/>
          <w:spacing w:val="-1"/>
          <w:sz w:val="20"/>
          <w:szCs w:val="20"/>
          <w:lang w:val="en-US"/>
        </w:rPr>
        <w:t xml:space="preserve"> </w:t>
      </w:r>
      <w:r w:rsidRPr="000977F7">
        <w:rPr>
          <w:rFonts w:asciiTheme="majorHAnsi" w:hAnsiTheme="majorHAnsi"/>
          <w:sz w:val="20"/>
          <w:szCs w:val="20"/>
        </w:rPr>
        <w:t>норм</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правил</w:t>
      </w:r>
    </w:p>
    <w:p w14:paraId="26F7FFBF"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131AFEE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ВІДОМЧІ</w:t>
      </w:r>
      <w:r w:rsidRPr="000977F7">
        <w:rPr>
          <w:color w:val="auto"/>
          <w:spacing w:val="-5"/>
          <w:sz w:val="20"/>
          <w:szCs w:val="20"/>
        </w:rPr>
        <w:t xml:space="preserve"> </w:t>
      </w:r>
      <w:r w:rsidRPr="000977F7">
        <w:rPr>
          <w:color w:val="auto"/>
          <w:sz w:val="20"/>
          <w:szCs w:val="20"/>
        </w:rPr>
        <w:t>ВИПРОБУВАННЯ</w:t>
      </w:r>
      <w:r w:rsidRPr="000977F7">
        <w:rPr>
          <w:color w:val="auto"/>
          <w:spacing w:val="-1"/>
          <w:sz w:val="20"/>
          <w:szCs w:val="20"/>
        </w:rPr>
        <w:t xml:space="preserve"> </w:t>
      </w:r>
      <w:r w:rsidRPr="000977F7">
        <w:rPr>
          <w:color w:val="auto"/>
          <w:sz w:val="20"/>
          <w:szCs w:val="20"/>
        </w:rPr>
        <w:t>–</w:t>
      </w:r>
    </w:p>
    <w:p w14:paraId="0DB2C15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DEPARTMENTAL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1DAECD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що проводяться комісією з представників</w:t>
      </w:r>
      <w:r w:rsidRPr="000977F7">
        <w:rPr>
          <w:rFonts w:asciiTheme="majorHAnsi" w:hAnsiTheme="majorHAnsi"/>
          <w:spacing w:val="-2"/>
          <w:sz w:val="20"/>
          <w:szCs w:val="20"/>
        </w:rPr>
        <w:t xml:space="preserve"> </w:t>
      </w:r>
      <w:r w:rsidRPr="000977F7">
        <w:rPr>
          <w:rFonts w:asciiTheme="majorHAnsi" w:hAnsiTheme="majorHAnsi"/>
          <w:sz w:val="20"/>
          <w:szCs w:val="20"/>
        </w:rPr>
        <w:t>зацікавленого міністерства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відомства</w:t>
      </w:r>
    </w:p>
    <w:p w14:paraId="5601997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1668BEC6"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 xml:space="preserve">ВІДПОВІДАЛЬНІСТЬ ЗА ПОРУШЕННЯ </w:t>
      </w:r>
    </w:p>
    <w:p w14:paraId="4B6B7E48"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ЗАКОНОДАВСТВА</w:t>
      </w:r>
      <w:r w:rsidRPr="000977F7">
        <w:rPr>
          <w:rFonts w:asciiTheme="majorHAnsi" w:hAnsiTheme="majorHAnsi"/>
          <w:b/>
          <w:spacing w:val="-1"/>
          <w:sz w:val="20"/>
          <w:szCs w:val="20"/>
        </w:rPr>
        <w:t xml:space="preserve"> УКРАЇНИ У СФЕРІ </w:t>
      </w:r>
      <w:r w:rsidRPr="000977F7">
        <w:rPr>
          <w:rFonts w:asciiTheme="majorHAnsi" w:hAnsiTheme="majorHAnsi"/>
          <w:b/>
          <w:sz w:val="20"/>
          <w:szCs w:val="20"/>
        </w:rPr>
        <w:t>АКРЕДИТАЦІЇ</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75D86D84"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sz w:val="20"/>
          <w:szCs w:val="20"/>
          <w:shd w:val="clear" w:color="auto" w:fill="FFFFFF"/>
        </w:rPr>
        <w:t>Особи, винні у порушенні законодавства України у сфері акредитації, несуть відповідальність згідно з законами України.</w:t>
      </w:r>
    </w:p>
    <w:p w14:paraId="0AEE473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13 закону України "Про акредитацію органів з оцінки</w:t>
      </w:r>
      <w:r w:rsidRPr="000977F7">
        <w:rPr>
          <w:rFonts w:asciiTheme="majorHAnsi" w:hAnsiTheme="majorHAnsi"/>
          <w:i/>
          <w:spacing w:val="1"/>
          <w:sz w:val="20"/>
          <w:szCs w:val="20"/>
        </w:rPr>
        <w:t xml:space="preserve"> </w:t>
      </w:r>
      <w:r w:rsidRPr="000977F7">
        <w:rPr>
          <w:rFonts w:asciiTheme="majorHAnsi" w:hAnsiTheme="majorHAnsi"/>
          <w:i/>
          <w:sz w:val="20"/>
          <w:szCs w:val="20"/>
        </w:rPr>
        <w:t>відповідності"</w:t>
      </w:r>
    </w:p>
    <w:p w14:paraId="722F7A06"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ВІДПОВІДЛЬНІСТЬ</w:t>
      </w:r>
      <w:r w:rsidRPr="000977F7">
        <w:rPr>
          <w:color w:val="auto"/>
          <w:spacing w:val="1"/>
          <w:sz w:val="20"/>
          <w:szCs w:val="20"/>
        </w:rPr>
        <w:t xml:space="preserve"> </w:t>
      </w:r>
      <w:r w:rsidRPr="000977F7">
        <w:rPr>
          <w:color w:val="auto"/>
          <w:sz w:val="20"/>
          <w:szCs w:val="20"/>
        </w:rPr>
        <w:t>ЗА</w:t>
      </w:r>
      <w:r w:rsidRPr="000977F7">
        <w:rPr>
          <w:color w:val="auto"/>
          <w:spacing w:val="1"/>
          <w:sz w:val="20"/>
          <w:szCs w:val="20"/>
        </w:rPr>
        <w:t xml:space="preserve"> </w:t>
      </w:r>
      <w:r w:rsidRPr="000977F7">
        <w:rPr>
          <w:color w:val="auto"/>
          <w:sz w:val="20"/>
          <w:szCs w:val="20"/>
        </w:rPr>
        <w:t>ПОРУШЕННЯ</w:t>
      </w:r>
      <w:r w:rsidRPr="000977F7">
        <w:rPr>
          <w:color w:val="auto"/>
          <w:spacing w:val="1"/>
          <w:sz w:val="20"/>
          <w:szCs w:val="20"/>
        </w:rPr>
        <w:t xml:space="preserve"> </w:t>
      </w:r>
    </w:p>
    <w:p w14:paraId="22691E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ЗАКОНОДАВСТВА</w:t>
      </w:r>
      <w:r w:rsidRPr="000977F7">
        <w:rPr>
          <w:color w:val="auto"/>
          <w:spacing w:val="1"/>
          <w:sz w:val="20"/>
          <w:szCs w:val="20"/>
        </w:rPr>
        <w:t xml:space="preserve"> </w:t>
      </w:r>
      <w:r w:rsidRPr="000977F7">
        <w:rPr>
          <w:color w:val="auto"/>
          <w:sz w:val="20"/>
          <w:szCs w:val="20"/>
        </w:rPr>
        <w:t>ПРО</w:t>
      </w:r>
      <w:r w:rsidRPr="000977F7">
        <w:rPr>
          <w:color w:val="auto"/>
          <w:spacing w:val="1"/>
          <w:sz w:val="20"/>
          <w:szCs w:val="20"/>
        </w:rPr>
        <w:t xml:space="preserve"> </w:t>
      </w:r>
      <w:r w:rsidRPr="000977F7">
        <w:rPr>
          <w:color w:val="auto"/>
          <w:sz w:val="20"/>
          <w:szCs w:val="20"/>
        </w:rPr>
        <w:t>ЗАХИСТ</w:t>
      </w:r>
      <w:r w:rsidRPr="000977F7">
        <w:rPr>
          <w:color w:val="auto"/>
          <w:spacing w:val="1"/>
          <w:sz w:val="20"/>
          <w:szCs w:val="20"/>
        </w:rPr>
        <w:t xml:space="preserve"> </w:t>
      </w:r>
      <w:r w:rsidRPr="000977F7">
        <w:rPr>
          <w:color w:val="auto"/>
          <w:sz w:val="20"/>
          <w:szCs w:val="20"/>
        </w:rPr>
        <w:t>ПРАВ</w:t>
      </w:r>
      <w:r w:rsidRPr="000977F7">
        <w:rPr>
          <w:color w:val="auto"/>
          <w:spacing w:val="1"/>
          <w:sz w:val="20"/>
          <w:szCs w:val="20"/>
        </w:rPr>
        <w:t xml:space="preserve"> </w:t>
      </w:r>
      <w:r w:rsidRPr="000977F7">
        <w:rPr>
          <w:color w:val="auto"/>
          <w:sz w:val="20"/>
          <w:szCs w:val="20"/>
        </w:rPr>
        <w:t>СПОЖИВАЧІВ -</w:t>
      </w:r>
    </w:p>
    <w:p w14:paraId="35D6651E"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У разі порушення законодавства про захист прав</w:t>
      </w:r>
      <w:r w:rsidRPr="000977F7">
        <w:rPr>
          <w:b w:val="0"/>
          <w:bCs/>
          <w:color w:val="auto"/>
          <w:spacing w:val="1"/>
          <w:sz w:val="20"/>
          <w:szCs w:val="20"/>
        </w:rPr>
        <w:t xml:space="preserve"> </w:t>
      </w:r>
      <w:r w:rsidRPr="000977F7">
        <w:rPr>
          <w:b w:val="0"/>
          <w:bCs/>
          <w:color w:val="auto"/>
          <w:sz w:val="20"/>
          <w:szCs w:val="20"/>
        </w:rPr>
        <w:t>споживачів суб'єкти господарювання сфери торговельного та інших видів обслуговування несуть відповідальність</w:t>
      </w:r>
      <w:r w:rsidRPr="000977F7">
        <w:rPr>
          <w:b w:val="0"/>
          <w:bCs/>
          <w:color w:val="auto"/>
          <w:spacing w:val="-2"/>
          <w:sz w:val="20"/>
          <w:szCs w:val="20"/>
        </w:rPr>
        <w:t xml:space="preserve"> </w:t>
      </w:r>
      <w:r w:rsidRPr="000977F7">
        <w:rPr>
          <w:b w:val="0"/>
          <w:bCs/>
          <w:color w:val="auto"/>
          <w:sz w:val="20"/>
          <w:szCs w:val="20"/>
        </w:rPr>
        <w:t>за:</w:t>
      </w:r>
    </w:p>
    <w:p w14:paraId="7CF1F2E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1) відмову споживачу в реалізації його прав, установ</w:t>
      </w:r>
      <w:r w:rsidRPr="004D2D14">
        <w:rPr>
          <w:rFonts w:asciiTheme="majorHAnsi" w:hAnsiTheme="majorHAnsi"/>
          <w:spacing w:val="1"/>
          <w:sz w:val="20"/>
          <w:szCs w:val="20"/>
          <w:lang w:val="uk-UA"/>
        </w:rPr>
        <w:t>ле</w:t>
      </w:r>
      <w:r w:rsidRPr="004D2D14">
        <w:rPr>
          <w:rFonts w:asciiTheme="majorHAnsi" w:hAnsiTheme="majorHAnsi"/>
          <w:sz w:val="20"/>
          <w:szCs w:val="20"/>
          <w:lang w:val="uk-UA"/>
        </w:rPr>
        <w:t>них частиною першою статті 8, частиною першою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статті 9 і частиною третьою статті 10 цього Закону, у</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десятикратному розмірі вартості продукції виходячи з</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цін, що діяли на час придбання цієї продукції, але не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менше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п'яти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неоподатковуваних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мінімумів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доходів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громадян;</w:t>
      </w:r>
    </w:p>
    <w:p w14:paraId="68FFB0C6" w14:textId="77777777" w:rsidR="0097612F" w:rsidRPr="004D2D14" w:rsidRDefault="0097612F" w:rsidP="00FD39A4">
      <w:pPr>
        <w:pStyle w:val="ac"/>
        <w:widowControl w:val="0"/>
        <w:numPr>
          <w:ilvl w:val="0"/>
          <w:numId w:val="193"/>
        </w:numPr>
        <w:tabs>
          <w:tab w:val="left" w:pos="284"/>
          <w:tab w:val="left" w:pos="544"/>
        </w:tabs>
        <w:autoSpaceDE w:val="0"/>
        <w:autoSpaceDN w:val="0"/>
        <w:spacing w:after="0" w:line="240" w:lineRule="auto"/>
        <w:ind w:left="170" w:firstLine="0"/>
        <w:contextualSpacing w:val="0"/>
        <w:mirrorIndents/>
        <w:jc w:val="both"/>
        <w:rPr>
          <w:rFonts w:asciiTheme="majorHAnsi" w:hAnsiTheme="majorHAnsi"/>
          <w:sz w:val="20"/>
          <w:szCs w:val="20"/>
          <w:lang w:val="uk-UA"/>
        </w:rPr>
      </w:pPr>
      <w:r w:rsidRPr="004D2D14">
        <w:rPr>
          <w:rFonts w:asciiTheme="majorHAnsi" w:hAnsiTheme="majorHAnsi"/>
          <w:sz w:val="20"/>
          <w:szCs w:val="20"/>
          <w:lang w:val="uk-UA"/>
        </w:rPr>
        <w:t>реалізацію продукції, що підлягає обов'язковій сертифікації в державній системі сертифікації, але у документах, згідно з якими її передано на реалізацію,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відсутні реєстраційні номери сертифіката відповідності або свідоцтва про визнання відповідності, у розмірі п'ятдесяти відсотків вартості одержаної для реалізації партії товару, виконаної роботи, наданої послуги, але не менше десяти неоподатковуваних мінімумів доходів громадян, а у разі, коли відповідно 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закону суб'єкт господарської діяльності не веде обов'язковий облік доходів і витрат,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 розмірі десяти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неоподатковуваних</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мінімумів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доходів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громадян;</w:t>
      </w:r>
    </w:p>
    <w:p w14:paraId="342D92B1" w14:textId="77777777" w:rsidR="0097612F" w:rsidRPr="004D2D14" w:rsidRDefault="0097612F" w:rsidP="00FD39A4">
      <w:pPr>
        <w:pStyle w:val="ac"/>
        <w:widowControl w:val="0"/>
        <w:numPr>
          <w:ilvl w:val="0"/>
          <w:numId w:val="193"/>
        </w:numPr>
        <w:tabs>
          <w:tab w:val="left" w:pos="284"/>
          <w:tab w:val="left" w:pos="555"/>
        </w:tabs>
        <w:autoSpaceDE w:val="0"/>
        <w:autoSpaceDN w:val="0"/>
        <w:spacing w:after="0" w:line="240" w:lineRule="auto"/>
        <w:ind w:left="170" w:firstLine="0"/>
        <w:contextualSpacing w:val="0"/>
        <w:mirrorIndents/>
        <w:jc w:val="both"/>
        <w:rPr>
          <w:rFonts w:asciiTheme="majorHAnsi" w:hAnsiTheme="majorHAnsi"/>
          <w:sz w:val="20"/>
          <w:szCs w:val="20"/>
          <w:lang w:val="uk-UA"/>
        </w:rPr>
      </w:pPr>
      <w:r w:rsidRPr="004D2D14">
        <w:rPr>
          <w:rFonts w:asciiTheme="majorHAnsi" w:hAnsiTheme="majorHAnsi"/>
          <w:sz w:val="20"/>
          <w:szCs w:val="20"/>
          <w:lang w:val="uk-UA"/>
        </w:rPr>
        <w:t>виготовлення або реалізацію продукції, що не відповідає вимогам нормативно-правових актів стосовно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безпеки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життя,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здоров'я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майна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споживачів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навколишнього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природного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середовища,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 розмірі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трьохсот відсотків вартості виготовленої або одержаної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реалізації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партії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товару,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виконаної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роботи,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наданої послуги, але не менше двадцяти п'яти неоподатковуваних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мінімумів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доходів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громадян,</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 разі,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коли відповідно до закону суб'єкт господарської діяльності не веде обов'язковий облік доходів і витрат,</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розмірі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lastRenderedPageBreak/>
        <w:t>п'ятдесяти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неоподатковуваних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мінімумів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доходів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громадян;</w:t>
      </w:r>
    </w:p>
    <w:p w14:paraId="53616651" w14:textId="77777777" w:rsidR="0097612F" w:rsidRPr="004D2D14" w:rsidRDefault="0097612F" w:rsidP="00FD39A4">
      <w:pPr>
        <w:pStyle w:val="ac"/>
        <w:widowControl w:val="0"/>
        <w:numPr>
          <w:ilvl w:val="0"/>
          <w:numId w:val="193"/>
        </w:numPr>
        <w:tabs>
          <w:tab w:val="left" w:pos="284"/>
          <w:tab w:val="left" w:pos="644"/>
        </w:tabs>
        <w:autoSpaceDE w:val="0"/>
        <w:autoSpaceDN w:val="0"/>
        <w:spacing w:after="0" w:line="240" w:lineRule="auto"/>
        <w:ind w:left="170" w:firstLine="0"/>
        <w:contextualSpacing w:val="0"/>
        <w:mirrorIndents/>
        <w:jc w:val="both"/>
        <w:rPr>
          <w:rFonts w:asciiTheme="majorHAnsi" w:hAnsiTheme="majorHAnsi"/>
          <w:sz w:val="20"/>
          <w:szCs w:val="20"/>
          <w:lang w:val="uk-UA"/>
        </w:rPr>
      </w:pPr>
      <w:r w:rsidRPr="004D2D14">
        <w:rPr>
          <w:rFonts w:asciiTheme="majorHAnsi" w:hAnsiTheme="majorHAnsi"/>
          <w:sz w:val="20"/>
          <w:szCs w:val="20"/>
          <w:lang w:val="uk-UA"/>
        </w:rPr>
        <w:t>реалізацію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забороненої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відповідним</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державним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виготовлення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реалізації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(виконання, надання),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 розмірі п'ятисот відсотків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вартості одержаної для реалізації партії товару, виконаної роботи, наданої послуги, але не менше ста неоподатковуваних мінімумів доходів громадян, а у разі,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коли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відповідно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закону суб'єкт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господарської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діяльності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веде обов'язковий облік доходів 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витрат,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розмірі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неоподатковуваних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мінімумів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доходів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громадян;</w:t>
      </w:r>
    </w:p>
    <w:p w14:paraId="5A9F1F58" w14:textId="77777777" w:rsidR="0097612F" w:rsidRPr="004D2D14" w:rsidRDefault="0097612F" w:rsidP="00FD39A4">
      <w:pPr>
        <w:pStyle w:val="ac"/>
        <w:widowControl w:val="0"/>
        <w:numPr>
          <w:ilvl w:val="0"/>
          <w:numId w:val="193"/>
        </w:numPr>
        <w:tabs>
          <w:tab w:val="left" w:pos="284"/>
          <w:tab w:val="left" w:pos="608"/>
        </w:tabs>
        <w:autoSpaceDE w:val="0"/>
        <w:autoSpaceDN w:val="0"/>
        <w:spacing w:after="0" w:line="240" w:lineRule="auto"/>
        <w:ind w:left="170" w:firstLine="0"/>
        <w:contextualSpacing w:val="0"/>
        <w:mirrorIndents/>
        <w:jc w:val="both"/>
        <w:rPr>
          <w:rFonts w:asciiTheme="majorHAnsi" w:hAnsiTheme="majorHAnsi"/>
          <w:sz w:val="20"/>
          <w:szCs w:val="20"/>
          <w:lang w:val="uk-UA"/>
        </w:rPr>
      </w:pPr>
      <w:r w:rsidRPr="004D2D14">
        <w:rPr>
          <w:rFonts w:asciiTheme="majorHAnsi" w:hAnsiTheme="majorHAnsi"/>
          <w:sz w:val="20"/>
          <w:szCs w:val="20"/>
          <w:lang w:val="uk-UA"/>
        </w:rPr>
        <w:t xml:space="preserve"> реалізацію небезпечного товару (отрути, пестицидів,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вибухових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вогненебезпечних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речовин</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тощо)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без</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належного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попереджувального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маркування,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також</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без інформації про правила і умови безпечного його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використання у розмірі ста відсотків вартості одержаної для реалізації партії товару, але не менше двадцяти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неоподатковуваних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мінімумів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доходів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громадян, а у разі, коли відповідно до закону суб'єкт господарської діяльності не веде обов'язковий облік доходів і витрат, у розмірі двадцяти неоподатковуваних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мінімумів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доходів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громадян;</w:t>
      </w:r>
    </w:p>
    <w:p w14:paraId="25825EB8" w14:textId="77777777" w:rsidR="0097612F" w:rsidRPr="004D2D14" w:rsidRDefault="0097612F" w:rsidP="00FD39A4">
      <w:pPr>
        <w:pStyle w:val="ac"/>
        <w:widowControl w:val="0"/>
        <w:numPr>
          <w:ilvl w:val="0"/>
          <w:numId w:val="193"/>
        </w:numPr>
        <w:tabs>
          <w:tab w:val="left" w:pos="284"/>
          <w:tab w:val="left" w:pos="627"/>
        </w:tabs>
        <w:autoSpaceDE w:val="0"/>
        <w:autoSpaceDN w:val="0"/>
        <w:spacing w:after="0" w:line="240" w:lineRule="auto"/>
        <w:ind w:left="170" w:firstLine="0"/>
        <w:contextualSpacing w:val="0"/>
        <w:mirrorIndents/>
        <w:jc w:val="both"/>
        <w:rPr>
          <w:rFonts w:asciiTheme="majorHAnsi" w:hAnsiTheme="majorHAnsi"/>
          <w:sz w:val="20"/>
          <w:szCs w:val="20"/>
          <w:lang w:val="uk-UA"/>
        </w:rPr>
      </w:pPr>
      <w:r w:rsidRPr="004D2D14">
        <w:rPr>
          <w:rFonts w:asciiTheme="majorHAnsi" w:hAnsiTheme="majorHAnsi"/>
          <w:sz w:val="20"/>
          <w:szCs w:val="20"/>
          <w:lang w:val="uk-UA"/>
        </w:rPr>
        <w:t>відсутність необхідної, доступної, достовірної 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своєчасної інформації про продукцію або продавця (у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випадках, визначених Законом України "Про електронну комерцію") у розмірі тридцяти відсотків вартості одержаної для реалізації партії товару, виконаної роботи, наданої послуги, але не менше п'яти неоподатковуваних</w:t>
      </w:r>
      <w:r w:rsidRPr="004D2D14">
        <w:rPr>
          <w:rFonts w:asciiTheme="majorHAnsi" w:hAnsiTheme="majorHAnsi"/>
          <w:spacing w:val="15"/>
          <w:sz w:val="20"/>
          <w:szCs w:val="20"/>
          <w:lang w:val="uk-UA"/>
        </w:rPr>
        <w:t xml:space="preserve"> </w:t>
      </w:r>
      <w:r w:rsidRPr="004D2D14">
        <w:rPr>
          <w:rFonts w:asciiTheme="majorHAnsi" w:hAnsiTheme="majorHAnsi"/>
          <w:sz w:val="20"/>
          <w:szCs w:val="20"/>
          <w:lang w:val="uk-UA"/>
        </w:rPr>
        <w:t>мінімумів</w:t>
      </w:r>
      <w:r w:rsidRPr="004D2D14">
        <w:rPr>
          <w:rFonts w:asciiTheme="majorHAnsi" w:hAnsiTheme="majorHAnsi"/>
          <w:spacing w:val="17"/>
          <w:sz w:val="20"/>
          <w:szCs w:val="20"/>
          <w:lang w:val="uk-UA"/>
        </w:rPr>
        <w:t xml:space="preserve"> </w:t>
      </w:r>
      <w:r w:rsidRPr="004D2D14">
        <w:rPr>
          <w:rFonts w:asciiTheme="majorHAnsi" w:hAnsiTheme="majorHAnsi"/>
          <w:sz w:val="20"/>
          <w:szCs w:val="20"/>
          <w:lang w:val="uk-UA"/>
        </w:rPr>
        <w:t>доходів</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громадян,</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а</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разі,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коли відповідно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закону суб'єкт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господарської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діяльності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веде обов'язковий облік доходів 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витрат, у розмірі п'яти неоподатковуваних мінімумів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доходів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громадян;</w:t>
      </w:r>
    </w:p>
    <w:p w14:paraId="157873F7" w14:textId="77777777" w:rsidR="0097612F" w:rsidRPr="000977F7" w:rsidRDefault="0097612F" w:rsidP="00FD39A4">
      <w:pPr>
        <w:pStyle w:val="ac"/>
        <w:widowControl w:val="0"/>
        <w:numPr>
          <w:ilvl w:val="0"/>
          <w:numId w:val="193"/>
        </w:numPr>
        <w:tabs>
          <w:tab w:val="left" w:pos="284"/>
          <w:tab w:val="left" w:pos="69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створення перешкод службовим особам центрального органу виконавчої влади, що реалізує державну</w:t>
      </w:r>
      <w:r w:rsidRPr="000977F7">
        <w:rPr>
          <w:rFonts w:asciiTheme="majorHAnsi" w:hAnsiTheme="majorHAnsi"/>
          <w:spacing w:val="1"/>
          <w:sz w:val="20"/>
          <w:szCs w:val="20"/>
        </w:rPr>
        <w:t xml:space="preserve"> </w:t>
      </w:r>
      <w:r w:rsidRPr="000977F7">
        <w:rPr>
          <w:rFonts w:asciiTheme="majorHAnsi" w:hAnsiTheme="majorHAnsi"/>
          <w:sz w:val="20"/>
          <w:szCs w:val="20"/>
        </w:rPr>
        <w:t>політику у сфері державного контролю за додержанням</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законодавства</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захист</w:t>
      </w:r>
      <w:r w:rsidRPr="000977F7">
        <w:rPr>
          <w:rFonts w:asciiTheme="majorHAnsi" w:hAnsiTheme="majorHAnsi"/>
          <w:spacing w:val="1"/>
          <w:sz w:val="20"/>
          <w:szCs w:val="20"/>
        </w:rPr>
        <w:t xml:space="preserve"> </w:t>
      </w:r>
      <w:r w:rsidRPr="000977F7">
        <w:rPr>
          <w:rFonts w:asciiTheme="majorHAnsi" w:hAnsiTheme="majorHAnsi"/>
          <w:sz w:val="20"/>
          <w:szCs w:val="20"/>
        </w:rPr>
        <w:t>прав</w:t>
      </w:r>
      <w:r w:rsidRPr="000977F7">
        <w:rPr>
          <w:rFonts w:asciiTheme="majorHAnsi" w:hAnsiTheme="majorHAnsi"/>
          <w:spacing w:val="1"/>
          <w:sz w:val="20"/>
          <w:szCs w:val="20"/>
        </w:rPr>
        <w:t xml:space="preserve"> </w:t>
      </w:r>
      <w:r w:rsidRPr="000977F7">
        <w:rPr>
          <w:rFonts w:asciiTheme="majorHAnsi" w:hAnsiTheme="majorHAnsi"/>
          <w:sz w:val="20"/>
          <w:szCs w:val="20"/>
        </w:rPr>
        <w:t>споживачів,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структурного підрозділу з питань захисту прав споживачів</w:t>
      </w:r>
      <w:r w:rsidRPr="000977F7">
        <w:rPr>
          <w:rFonts w:asciiTheme="majorHAnsi" w:hAnsiTheme="majorHAnsi"/>
          <w:spacing w:val="1"/>
          <w:sz w:val="20"/>
          <w:szCs w:val="20"/>
        </w:rPr>
        <w:t xml:space="preserve"> </w:t>
      </w:r>
      <w:r w:rsidRPr="000977F7">
        <w:rPr>
          <w:rFonts w:asciiTheme="majorHAnsi" w:hAnsiTheme="majorHAnsi"/>
          <w:sz w:val="20"/>
          <w:szCs w:val="20"/>
        </w:rPr>
        <w:t>органу</w:t>
      </w:r>
      <w:r w:rsidRPr="000977F7">
        <w:rPr>
          <w:rFonts w:asciiTheme="majorHAnsi" w:hAnsiTheme="majorHAnsi"/>
          <w:spacing w:val="1"/>
          <w:sz w:val="20"/>
          <w:szCs w:val="20"/>
        </w:rPr>
        <w:t xml:space="preserve"> </w:t>
      </w:r>
      <w:r w:rsidRPr="000977F7">
        <w:rPr>
          <w:rFonts w:asciiTheme="majorHAnsi" w:hAnsiTheme="majorHAnsi"/>
          <w:sz w:val="20"/>
          <w:szCs w:val="20"/>
        </w:rPr>
        <w:t>місцевого</w:t>
      </w:r>
      <w:r w:rsidRPr="000977F7">
        <w:rPr>
          <w:rFonts w:asciiTheme="majorHAnsi" w:hAnsiTheme="majorHAnsi"/>
          <w:spacing w:val="1"/>
          <w:sz w:val="20"/>
          <w:szCs w:val="20"/>
        </w:rPr>
        <w:t xml:space="preserve"> </w:t>
      </w:r>
      <w:r w:rsidRPr="000977F7">
        <w:rPr>
          <w:rFonts w:asciiTheme="majorHAnsi" w:hAnsiTheme="majorHAnsi"/>
          <w:sz w:val="20"/>
          <w:szCs w:val="20"/>
        </w:rPr>
        <w:t>самоврядування</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проведенні перевірки якості продукції, а також правил торговельного та інших видів обслуговування у розмірі</w:t>
      </w:r>
      <w:r w:rsidRPr="000977F7">
        <w:rPr>
          <w:rFonts w:asciiTheme="majorHAnsi" w:hAnsiTheme="majorHAnsi"/>
          <w:spacing w:val="1"/>
          <w:sz w:val="20"/>
          <w:szCs w:val="20"/>
        </w:rPr>
        <w:t xml:space="preserve"> </w:t>
      </w:r>
      <w:r w:rsidRPr="000977F7">
        <w:rPr>
          <w:rFonts w:asciiTheme="majorHAnsi" w:hAnsiTheme="majorHAnsi"/>
          <w:sz w:val="20"/>
          <w:szCs w:val="20"/>
        </w:rPr>
        <w:t>від одного до десяти відсотків вартості реалізованої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 за попередній календарний місяць, але не</w:t>
      </w:r>
      <w:r w:rsidRPr="000977F7">
        <w:rPr>
          <w:rFonts w:asciiTheme="majorHAnsi" w:hAnsiTheme="majorHAnsi"/>
          <w:spacing w:val="1"/>
          <w:sz w:val="20"/>
          <w:szCs w:val="20"/>
        </w:rPr>
        <w:t xml:space="preserve"> </w:t>
      </w:r>
      <w:r w:rsidRPr="000977F7">
        <w:rPr>
          <w:rFonts w:asciiTheme="majorHAnsi" w:hAnsiTheme="majorHAnsi"/>
          <w:sz w:val="20"/>
          <w:szCs w:val="20"/>
        </w:rPr>
        <w:t>менше десяти неоподатковуваних мінімумів доходів</w:t>
      </w:r>
      <w:r w:rsidRPr="000977F7">
        <w:rPr>
          <w:rFonts w:asciiTheme="majorHAnsi" w:hAnsiTheme="majorHAnsi"/>
          <w:spacing w:val="1"/>
          <w:sz w:val="20"/>
          <w:szCs w:val="20"/>
        </w:rPr>
        <w:t xml:space="preserve"> </w:t>
      </w:r>
      <w:r w:rsidRPr="000977F7">
        <w:rPr>
          <w:rFonts w:asciiTheme="majorHAnsi" w:hAnsiTheme="majorHAnsi"/>
          <w:sz w:val="20"/>
          <w:szCs w:val="20"/>
        </w:rPr>
        <w:t>громадян, а у разі, коли відповідно до закону суб'єкт</w:t>
      </w:r>
      <w:r w:rsidRPr="000977F7">
        <w:rPr>
          <w:rFonts w:asciiTheme="majorHAnsi" w:hAnsiTheme="majorHAnsi"/>
          <w:spacing w:val="1"/>
          <w:sz w:val="20"/>
          <w:szCs w:val="20"/>
        </w:rPr>
        <w:t xml:space="preserve"> </w:t>
      </w:r>
      <w:r w:rsidRPr="000977F7">
        <w:rPr>
          <w:rFonts w:asciiTheme="majorHAnsi" w:hAnsiTheme="majorHAnsi"/>
          <w:sz w:val="20"/>
          <w:szCs w:val="20"/>
        </w:rPr>
        <w:t>господарської діяльності не веде обов'язковий облік</w:t>
      </w:r>
      <w:r w:rsidRPr="000977F7">
        <w:rPr>
          <w:rFonts w:asciiTheme="majorHAnsi" w:hAnsiTheme="majorHAnsi"/>
          <w:spacing w:val="1"/>
          <w:sz w:val="20"/>
          <w:szCs w:val="20"/>
        </w:rPr>
        <w:t xml:space="preserve"> </w:t>
      </w:r>
      <w:r w:rsidRPr="000977F7">
        <w:rPr>
          <w:rFonts w:asciiTheme="majorHAnsi" w:hAnsiTheme="majorHAnsi"/>
          <w:sz w:val="20"/>
          <w:szCs w:val="20"/>
        </w:rPr>
        <w:t>доходів і витрат, у розмірі десяти неоподатковуваних</w:t>
      </w:r>
      <w:r w:rsidRPr="000977F7">
        <w:rPr>
          <w:rFonts w:asciiTheme="majorHAnsi" w:hAnsiTheme="majorHAnsi"/>
          <w:spacing w:val="-2"/>
          <w:sz w:val="20"/>
          <w:szCs w:val="20"/>
        </w:rPr>
        <w:t xml:space="preserve"> </w:t>
      </w:r>
      <w:r w:rsidRPr="000977F7">
        <w:rPr>
          <w:rFonts w:asciiTheme="majorHAnsi" w:hAnsiTheme="majorHAnsi"/>
          <w:sz w:val="20"/>
          <w:szCs w:val="20"/>
        </w:rPr>
        <w:t>мінімумів</w:t>
      </w:r>
      <w:r w:rsidRPr="000977F7">
        <w:rPr>
          <w:rFonts w:asciiTheme="majorHAnsi" w:hAnsiTheme="majorHAnsi"/>
          <w:spacing w:val="-1"/>
          <w:sz w:val="20"/>
          <w:szCs w:val="20"/>
        </w:rPr>
        <w:t xml:space="preserve"> </w:t>
      </w:r>
      <w:r w:rsidRPr="000977F7">
        <w:rPr>
          <w:rFonts w:asciiTheme="majorHAnsi" w:hAnsiTheme="majorHAnsi"/>
          <w:sz w:val="20"/>
          <w:szCs w:val="20"/>
        </w:rPr>
        <w:t>доходів</w:t>
      </w:r>
      <w:r w:rsidRPr="000977F7">
        <w:rPr>
          <w:rFonts w:asciiTheme="majorHAnsi" w:hAnsiTheme="majorHAnsi"/>
          <w:spacing w:val="-1"/>
          <w:sz w:val="20"/>
          <w:szCs w:val="20"/>
        </w:rPr>
        <w:t xml:space="preserve"> </w:t>
      </w:r>
      <w:r w:rsidRPr="000977F7">
        <w:rPr>
          <w:rFonts w:asciiTheme="majorHAnsi" w:hAnsiTheme="majorHAnsi"/>
          <w:sz w:val="20"/>
          <w:szCs w:val="20"/>
        </w:rPr>
        <w:t>громадян;</w:t>
      </w:r>
    </w:p>
    <w:p w14:paraId="49058A45" w14:textId="77777777" w:rsidR="0097612F" w:rsidRPr="000977F7" w:rsidRDefault="0097612F" w:rsidP="00FD39A4">
      <w:pPr>
        <w:pStyle w:val="ac"/>
        <w:widowControl w:val="0"/>
        <w:numPr>
          <w:ilvl w:val="0"/>
          <w:numId w:val="193"/>
        </w:numPr>
        <w:tabs>
          <w:tab w:val="left" w:pos="284"/>
          <w:tab w:val="left" w:pos="70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невиконання або несвоєчасне виконання припису</w:t>
      </w:r>
      <w:r w:rsidRPr="000977F7">
        <w:rPr>
          <w:rFonts w:asciiTheme="majorHAnsi" w:hAnsiTheme="majorHAnsi"/>
          <w:spacing w:val="1"/>
          <w:sz w:val="20"/>
          <w:szCs w:val="20"/>
        </w:rPr>
        <w:t xml:space="preserve"> </w:t>
      </w:r>
      <w:r w:rsidRPr="000977F7">
        <w:rPr>
          <w:rFonts w:asciiTheme="majorHAnsi" w:hAnsiTheme="majorHAnsi"/>
          <w:sz w:val="20"/>
          <w:szCs w:val="20"/>
        </w:rPr>
        <w:t>посадових осіб центрального органу виконавчої влади, що реалізує державну політику у сфері державного контролю за додержанням законодавства про захист прав споживачів, про усунення порушень прав</w:t>
      </w:r>
      <w:r w:rsidRPr="000977F7">
        <w:rPr>
          <w:rFonts w:asciiTheme="majorHAnsi" w:hAnsiTheme="majorHAnsi"/>
          <w:spacing w:val="1"/>
          <w:sz w:val="20"/>
          <w:szCs w:val="20"/>
        </w:rPr>
        <w:t xml:space="preserve"> </w:t>
      </w:r>
      <w:r w:rsidRPr="000977F7">
        <w:rPr>
          <w:rFonts w:asciiTheme="majorHAnsi" w:hAnsiTheme="majorHAnsi"/>
          <w:sz w:val="20"/>
          <w:szCs w:val="20"/>
        </w:rPr>
        <w:t>споживачів у розмірі двадцяти неоподатковуваних</w:t>
      </w:r>
      <w:r w:rsidRPr="000977F7">
        <w:rPr>
          <w:rFonts w:asciiTheme="majorHAnsi" w:hAnsiTheme="majorHAnsi"/>
          <w:spacing w:val="1"/>
          <w:sz w:val="20"/>
          <w:szCs w:val="20"/>
        </w:rPr>
        <w:t xml:space="preserve"> </w:t>
      </w:r>
      <w:r w:rsidRPr="000977F7">
        <w:rPr>
          <w:rFonts w:asciiTheme="majorHAnsi" w:hAnsiTheme="majorHAnsi"/>
          <w:sz w:val="20"/>
          <w:szCs w:val="20"/>
        </w:rPr>
        <w:t>мінімумів</w:t>
      </w:r>
      <w:r w:rsidRPr="000977F7">
        <w:rPr>
          <w:rFonts w:asciiTheme="majorHAnsi" w:hAnsiTheme="majorHAnsi"/>
          <w:spacing w:val="1"/>
          <w:sz w:val="20"/>
          <w:szCs w:val="20"/>
        </w:rPr>
        <w:t xml:space="preserve"> </w:t>
      </w:r>
      <w:r w:rsidRPr="000977F7">
        <w:rPr>
          <w:rFonts w:asciiTheme="majorHAnsi" w:hAnsiTheme="majorHAnsi"/>
          <w:sz w:val="20"/>
          <w:szCs w:val="20"/>
        </w:rPr>
        <w:t>доходів</w:t>
      </w:r>
      <w:r w:rsidRPr="000977F7">
        <w:rPr>
          <w:rFonts w:asciiTheme="majorHAnsi" w:hAnsiTheme="majorHAnsi"/>
          <w:spacing w:val="-1"/>
          <w:sz w:val="20"/>
          <w:szCs w:val="20"/>
        </w:rPr>
        <w:t xml:space="preserve"> </w:t>
      </w:r>
      <w:r w:rsidRPr="000977F7">
        <w:rPr>
          <w:rFonts w:asciiTheme="majorHAnsi" w:hAnsiTheme="majorHAnsi"/>
          <w:sz w:val="20"/>
          <w:szCs w:val="20"/>
        </w:rPr>
        <w:t>громадян;</w:t>
      </w:r>
    </w:p>
    <w:p w14:paraId="7496541A" w14:textId="77777777" w:rsidR="0097612F" w:rsidRPr="000977F7" w:rsidRDefault="0097612F" w:rsidP="00FD39A4">
      <w:pPr>
        <w:pStyle w:val="ac"/>
        <w:widowControl w:val="0"/>
        <w:numPr>
          <w:ilvl w:val="0"/>
          <w:numId w:val="193"/>
        </w:numPr>
        <w:tabs>
          <w:tab w:val="left" w:pos="284"/>
          <w:tab w:val="left" w:pos="76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реалізацію</w:t>
      </w:r>
      <w:r w:rsidRPr="000977F7">
        <w:rPr>
          <w:rFonts w:asciiTheme="majorHAnsi" w:hAnsiTheme="majorHAnsi"/>
          <w:spacing w:val="-2"/>
          <w:sz w:val="20"/>
          <w:szCs w:val="20"/>
        </w:rPr>
        <w:t xml:space="preserve"> </w:t>
      </w:r>
      <w:r w:rsidRPr="000977F7">
        <w:rPr>
          <w:rFonts w:asciiTheme="majorHAnsi" w:hAnsiTheme="majorHAnsi"/>
          <w:sz w:val="20"/>
          <w:szCs w:val="20"/>
        </w:rPr>
        <w:t>товару,</w:t>
      </w:r>
      <w:r w:rsidRPr="000977F7">
        <w:rPr>
          <w:rFonts w:asciiTheme="majorHAnsi" w:hAnsiTheme="majorHAnsi"/>
          <w:spacing w:val="1"/>
          <w:sz w:val="20"/>
          <w:szCs w:val="20"/>
        </w:rPr>
        <w:t xml:space="preserve"> </w:t>
      </w:r>
      <w:r w:rsidRPr="000977F7">
        <w:rPr>
          <w:rFonts w:asciiTheme="majorHAnsi" w:hAnsiTheme="majorHAnsi"/>
          <w:sz w:val="20"/>
          <w:szCs w:val="20"/>
        </w:rPr>
        <w:t>строк придатності</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минув,</w:t>
      </w:r>
    </w:p>
    <w:p w14:paraId="46255D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у розмірі двохсот відсотків вартості залишку одержаної для реалізації партії товару, але не менше </w:t>
      </w:r>
      <w:r w:rsidRPr="000977F7">
        <w:rPr>
          <w:rFonts w:asciiTheme="majorHAnsi" w:hAnsiTheme="majorHAnsi"/>
          <w:sz w:val="20"/>
          <w:szCs w:val="20"/>
        </w:rPr>
        <w:t>п'яти</w:t>
      </w:r>
      <w:r w:rsidRPr="000977F7">
        <w:rPr>
          <w:rFonts w:asciiTheme="majorHAnsi" w:hAnsiTheme="majorHAnsi"/>
          <w:spacing w:val="1"/>
          <w:sz w:val="20"/>
          <w:szCs w:val="20"/>
        </w:rPr>
        <w:t xml:space="preserve"> </w:t>
      </w:r>
      <w:r w:rsidRPr="000977F7">
        <w:rPr>
          <w:rFonts w:asciiTheme="majorHAnsi" w:hAnsiTheme="majorHAnsi"/>
          <w:sz w:val="20"/>
          <w:szCs w:val="20"/>
        </w:rPr>
        <w:t>неоподатковуваних</w:t>
      </w:r>
      <w:r w:rsidRPr="000977F7">
        <w:rPr>
          <w:rFonts w:asciiTheme="majorHAnsi" w:hAnsiTheme="majorHAnsi"/>
          <w:spacing w:val="-3"/>
          <w:sz w:val="20"/>
          <w:szCs w:val="20"/>
        </w:rPr>
        <w:t xml:space="preserve"> </w:t>
      </w:r>
      <w:r w:rsidRPr="000977F7">
        <w:rPr>
          <w:rFonts w:asciiTheme="majorHAnsi" w:hAnsiTheme="majorHAnsi"/>
          <w:sz w:val="20"/>
          <w:szCs w:val="20"/>
        </w:rPr>
        <w:t>мінімумів</w:t>
      </w:r>
      <w:r w:rsidRPr="000977F7">
        <w:rPr>
          <w:rFonts w:asciiTheme="majorHAnsi" w:hAnsiTheme="majorHAnsi"/>
          <w:spacing w:val="-2"/>
          <w:sz w:val="20"/>
          <w:szCs w:val="20"/>
        </w:rPr>
        <w:t xml:space="preserve"> </w:t>
      </w:r>
      <w:r w:rsidRPr="000977F7">
        <w:rPr>
          <w:rFonts w:asciiTheme="majorHAnsi" w:hAnsiTheme="majorHAnsi"/>
          <w:sz w:val="20"/>
          <w:szCs w:val="20"/>
        </w:rPr>
        <w:t>доходів</w:t>
      </w:r>
      <w:r w:rsidRPr="000977F7">
        <w:rPr>
          <w:rFonts w:asciiTheme="majorHAnsi" w:hAnsiTheme="majorHAnsi"/>
          <w:spacing w:val="-2"/>
          <w:sz w:val="20"/>
          <w:szCs w:val="20"/>
        </w:rPr>
        <w:t xml:space="preserve"> </w:t>
      </w:r>
      <w:r w:rsidRPr="000977F7">
        <w:rPr>
          <w:rFonts w:asciiTheme="majorHAnsi" w:hAnsiTheme="majorHAnsi"/>
          <w:sz w:val="20"/>
          <w:szCs w:val="20"/>
        </w:rPr>
        <w:t>громадян;</w:t>
      </w:r>
    </w:p>
    <w:p w14:paraId="228F8B6F" w14:textId="77777777" w:rsidR="0097612F" w:rsidRPr="000977F7" w:rsidRDefault="0097612F" w:rsidP="00FD39A4">
      <w:pPr>
        <w:pStyle w:val="ac"/>
        <w:widowControl w:val="0"/>
        <w:numPr>
          <w:ilvl w:val="0"/>
          <w:numId w:val="193"/>
        </w:numPr>
        <w:tabs>
          <w:tab w:val="left" w:pos="284"/>
          <w:tab w:val="left" w:pos="83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порушення умов договору між споживачем і виконавцем про виконання роботи, надання послуги у</w:t>
      </w:r>
      <w:r w:rsidRPr="000977F7">
        <w:rPr>
          <w:rFonts w:asciiTheme="majorHAnsi" w:hAnsiTheme="majorHAnsi"/>
          <w:spacing w:val="1"/>
          <w:sz w:val="20"/>
          <w:szCs w:val="20"/>
        </w:rPr>
        <w:t xml:space="preserve"> </w:t>
      </w:r>
      <w:r w:rsidRPr="000977F7">
        <w:rPr>
          <w:rFonts w:asciiTheme="majorHAnsi" w:hAnsiTheme="majorHAnsi"/>
          <w:sz w:val="20"/>
          <w:szCs w:val="20"/>
        </w:rPr>
        <w:t>розмірі ста відсотків вартості виконаної роботи (наданої послуги), а за ті самі дії, вчинені щодо групи споживачів, у розмірі від одного до десяти відсотків</w:t>
      </w:r>
      <w:r w:rsidRPr="000977F7">
        <w:rPr>
          <w:rFonts w:asciiTheme="majorHAnsi" w:hAnsiTheme="majorHAnsi"/>
          <w:spacing w:val="1"/>
          <w:sz w:val="20"/>
          <w:szCs w:val="20"/>
        </w:rPr>
        <w:t xml:space="preserve"> </w:t>
      </w:r>
      <w:r w:rsidRPr="000977F7">
        <w:rPr>
          <w:rFonts w:asciiTheme="majorHAnsi" w:hAnsiTheme="majorHAnsi"/>
          <w:sz w:val="20"/>
          <w:szCs w:val="20"/>
        </w:rPr>
        <w:t>вартості виконаних робіт (наданих послуг) за попередній календарний місяць, але не менше п'яти неоподатковуваних</w:t>
      </w:r>
      <w:r w:rsidRPr="000977F7">
        <w:rPr>
          <w:rFonts w:asciiTheme="majorHAnsi" w:hAnsiTheme="majorHAnsi"/>
          <w:spacing w:val="-2"/>
          <w:sz w:val="20"/>
          <w:szCs w:val="20"/>
        </w:rPr>
        <w:t xml:space="preserve"> </w:t>
      </w:r>
      <w:r w:rsidRPr="000977F7">
        <w:rPr>
          <w:rFonts w:asciiTheme="majorHAnsi" w:hAnsiTheme="majorHAnsi"/>
          <w:sz w:val="20"/>
          <w:szCs w:val="20"/>
        </w:rPr>
        <w:t>мінімумів</w:t>
      </w:r>
      <w:r w:rsidRPr="000977F7">
        <w:rPr>
          <w:rFonts w:asciiTheme="majorHAnsi" w:hAnsiTheme="majorHAnsi"/>
          <w:spacing w:val="-2"/>
          <w:sz w:val="20"/>
          <w:szCs w:val="20"/>
        </w:rPr>
        <w:t xml:space="preserve"> </w:t>
      </w:r>
      <w:r w:rsidRPr="000977F7">
        <w:rPr>
          <w:rFonts w:asciiTheme="majorHAnsi" w:hAnsiTheme="majorHAnsi"/>
          <w:sz w:val="20"/>
          <w:szCs w:val="20"/>
        </w:rPr>
        <w:t>доходів</w:t>
      </w:r>
      <w:r w:rsidRPr="000977F7">
        <w:rPr>
          <w:rFonts w:asciiTheme="majorHAnsi" w:hAnsiTheme="majorHAnsi"/>
          <w:spacing w:val="-1"/>
          <w:sz w:val="20"/>
          <w:szCs w:val="20"/>
        </w:rPr>
        <w:t xml:space="preserve"> </w:t>
      </w:r>
      <w:r w:rsidRPr="000977F7">
        <w:rPr>
          <w:rFonts w:asciiTheme="majorHAnsi" w:hAnsiTheme="majorHAnsi"/>
          <w:sz w:val="20"/>
          <w:szCs w:val="20"/>
        </w:rPr>
        <w:t>громадян;</w:t>
      </w:r>
    </w:p>
    <w:p w14:paraId="77E4DD1D" w14:textId="77777777" w:rsidR="0097612F" w:rsidRPr="000977F7" w:rsidRDefault="0097612F" w:rsidP="00FD39A4">
      <w:pPr>
        <w:pStyle w:val="ac"/>
        <w:widowControl w:val="0"/>
        <w:numPr>
          <w:ilvl w:val="0"/>
          <w:numId w:val="193"/>
        </w:numPr>
        <w:tabs>
          <w:tab w:val="left" w:pos="284"/>
          <w:tab w:val="left" w:pos="83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обмеження або відмову в реалізації прав споживачів, установлених частиною другою статті 17 цього</w:t>
      </w:r>
      <w:r w:rsidRPr="000977F7">
        <w:rPr>
          <w:rFonts w:asciiTheme="majorHAnsi" w:hAnsiTheme="majorHAnsi"/>
          <w:spacing w:val="1"/>
          <w:sz w:val="20"/>
          <w:szCs w:val="20"/>
        </w:rPr>
        <w:t xml:space="preserve"> </w:t>
      </w:r>
      <w:r w:rsidRPr="000977F7">
        <w:rPr>
          <w:rFonts w:asciiTheme="majorHAnsi" w:hAnsiTheme="majorHAnsi"/>
          <w:sz w:val="20"/>
          <w:szCs w:val="20"/>
        </w:rPr>
        <w:t>Закону, у розмірі п'ятисот неоподатковуваних мінімумів</w:t>
      </w:r>
      <w:r w:rsidRPr="000977F7">
        <w:rPr>
          <w:rFonts w:asciiTheme="majorHAnsi" w:hAnsiTheme="majorHAnsi"/>
          <w:spacing w:val="-2"/>
          <w:sz w:val="20"/>
          <w:szCs w:val="20"/>
        </w:rPr>
        <w:t xml:space="preserve"> </w:t>
      </w:r>
      <w:r w:rsidRPr="000977F7">
        <w:rPr>
          <w:rFonts w:asciiTheme="majorHAnsi" w:hAnsiTheme="majorHAnsi"/>
          <w:sz w:val="20"/>
          <w:szCs w:val="20"/>
        </w:rPr>
        <w:t>доходів</w:t>
      </w:r>
      <w:r w:rsidRPr="000977F7">
        <w:rPr>
          <w:rFonts w:asciiTheme="majorHAnsi" w:hAnsiTheme="majorHAnsi"/>
          <w:spacing w:val="-1"/>
          <w:sz w:val="20"/>
          <w:szCs w:val="20"/>
        </w:rPr>
        <w:t xml:space="preserve"> </w:t>
      </w:r>
      <w:r w:rsidRPr="000977F7">
        <w:rPr>
          <w:rFonts w:asciiTheme="majorHAnsi" w:hAnsiTheme="majorHAnsi"/>
          <w:sz w:val="20"/>
          <w:szCs w:val="20"/>
        </w:rPr>
        <w:t>громадян.</w:t>
      </w:r>
    </w:p>
    <w:p w14:paraId="22039FCB" w14:textId="77777777" w:rsidR="0097612F" w:rsidRPr="000977F7" w:rsidRDefault="0097612F" w:rsidP="00FD39A4">
      <w:pPr>
        <w:pStyle w:val="ac"/>
        <w:widowControl w:val="0"/>
        <w:numPr>
          <w:ilvl w:val="0"/>
          <w:numId w:val="194"/>
        </w:numPr>
        <w:tabs>
          <w:tab w:val="left" w:pos="284"/>
          <w:tab w:val="left" w:pos="68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 xml:space="preserve">Суми штрафів зараховуються до державного </w:t>
      </w:r>
    </w:p>
    <w:p w14:paraId="0015E4C6" w14:textId="77777777" w:rsidR="0097612F" w:rsidRPr="000977F7" w:rsidRDefault="0097612F" w:rsidP="000977F7">
      <w:pPr>
        <w:pStyle w:val="ac"/>
        <w:tabs>
          <w:tab w:val="left" w:pos="284"/>
          <w:tab w:val="left" w:pos="688"/>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бюджету.</w:t>
      </w:r>
    </w:p>
    <w:p w14:paraId="62F631FB" w14:textId="77777777" w:rsidR="0097612F" w:rsidRPr="000977F7" w:rsidRDefault="0097612F" w:rsidP="00FD39A4">
      <w:pPr>
        <w:pStyle w:val="ac"/>
        <w:widowControl w:val="0"/>
        <w:numPr>
          <w:ilvl w:val="0"/>
          <w:numId w:val="194"/>
        </w:numPr>
        <w:tabs>
          <w:tab w:val="left" w:pos="284"/>
          <w:tab w:val="left" w:pos="68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 разі невиконання в добровільному порядку суб'єктами господарювання сфери торгівлі і послуг, у</w:t>
      </w:r>
      <w:r w:rsidRPr="000977F7">
        <w:rPr>
          <w:rFonts w:asciiTheme="majorHAnsi" w:hAnsiTheme="majorHAnsi"/>
          <w:spacing w:val="1"/>
          <w:sz w:val="20"/>
          <w:szCs w:val="20"/>
        </w:rPr>
        <w:t xml:space="preserve"> </w:t>
      </w:r>
      <w:r w:rsidRPr="000977F7">
        <w:rPr>
          <w:rFonts w:asciiTheme="majorHAnsi" w:hAnsiTheme="majorHAnsi"/>
          <w:sz w:val="20"/>
          <w:szCs w:val="20"/>
        </w:rPr>
        <w:t>тому числі ресторанного господарства, визначених у</w:t>
      </w:r>
      <w:r w:rsidRPr="000977F7">
        <w:rPr>
          <w:rFonts w:asciiTheme="majorHAnsi" w:hAnsiTheme="majorHAnsi"/>
          <w:spacing w:val="1"/>
          <w:sz w:val="20"/>
          <w:szCs w:val="20"/>
        </w:rPr>
        <w:t xml:space="preserve"> </w:t>
      </w:r>
      <w:r w:rsidRPr="000977F7">
        <w:rPr>
          <w:rFonts w:asciiTheme="majorHAnsi" w:hAnsiTheme="majorHAnsi"/>
          <w:sz w:val="20"/>
          <w:szCs w:val="20"/>
        </w:rPr>
        <w:t>статті 26 цього Закону рішень (постанов) центрального</w:t>
      </w:r>
      <w:r w:rsidRPr="000977F7">
        <w:rPr>
          <w:rFonts w:asciiTheme="majorHAnsi" w:hAnsiTheme="majorHAnsi"/>
          <w:spacing w:val="1"/>
          <w:sz w:val="20"/>
          <w:szCs w:val="20"/>
        </w:rPr>
        <w:t xml:space="preserve"> </w:t>
      </w:r>
      <w:r w:rsidRPr="000977F7">
        <w:rPr>
          <w:rFonts w:asciiTheme="majorHAnsi" w:hAnsiTheme="majorHAnsi"/>
          <w:sz w:val="20"/>
          <w:szCs w:val="20"/>
        </w:rPr>
        <w:t>органу</w:t>
      </w:r>
      <w:r w:rsidRPr="000977F7">
        <w:rPr>
          <w:rFonts w:asciiTheme="majorHAnsi" w:hAnsiTheme="majorHAnsi"/>
          <w:spacing w:val="1"/>
          <w:sz w:val="20"/>
          <w:szCs w:val="20"/>
        </w:rPr>
        <w:t xml:space="preserve"> </w:t>
      </w:r>
      <w:r w:rsidRPr="000977F7">
        <w:rPr>
          <w:rFonts w:asciiTheme="majorHAnsi" w:hAnsiTheme="majorHAnsi"/>
          <w:sz w:val="20"/>
          <w:szCs w:val="20"/>
        </w:rPr>
        <w:t>виконавчої</w:t>
      </w:r>
      <w:r w:rsidRPr="000977F7">
        <w:rPr>
          <w:rFonts w:asciiTheme="majorHAnsi" w:hAnsiTheme="majorHAnsi"/>
          <w:spacing w:val="1"/>
          <w:sz w:val="20"/>
          <w:szCs w:val="20"/>
        </w:rPr>
        <w:t xml:space="preserve"> </w:t>
      </w:r>
      <w:r w:rsidRPr="000977F7">
        <w:rPr>
          <w:rFonts w:asciiTheme="majorHAnsi" w:hAnsiTheme="majorHAnsi"/>
          <w:sz w:val="20"/>
          <w:szCs w:val="20"/>
        </w:rPr>
        <w:t>влади,</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реалізує</w:t>
      </w:r>
      <w:r w:rsidRPr="000977F7">
        <w:rPr>
          <w:rFonts w:asciiTheme="majorHAnsi" w:hAnsiTheme="majorHAnsi"/>
          <w:spacing w:val="1"/>
          <w:sz w:val="20"/>
          <w:szCs w:val="20"/>
        </w:rPr>
        <w:t xml:space="preserve"> </w:t>
      </w:r>
      <w:r w:rsidRPr="000977F7">
        <w:rPr>
          <w:rFonts w:asciiTheme="majorHAnsi" w:hAnsiTheme="majorHAnsi"/>
          <w:sz w:val="20"/>
          <w:szCs w:val="20"/>
        </w:rPr>
        <w:t>державну</w:t>
      </w:r>
      <w:r w:rsidRPr="000977F7">
        <w:rPr>
          <w:rFonts w:asciiTheme="majorHAnsi" w:hAnsiTheme="majorHAnsi"/>
          <w:spacing w:val="1"/>
          <w:sz w:val="20"/>
          <w:szCs w:val="20"/>
        </w:rPr>
        <w:t xml:space="preserve"> </w:t>
      </w:r>
      <w:r w:rsidRPr="000977F7">
        <w:rPr>
          <w:rFonts w:asciiTheme="majorHAnsi" w:hAnsiTheme="majorHAnsi"/>
          <w:sz w:val="20"/>
          <w:szCs w:val="20"/>
        </w:rPr>
        <w:t>політику у сфері державного контролю за додержанням</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законодавства</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захист</w:t>
      </w:r>
      <w:r w:rsidRPr="000977F7">
        <w:rPr>
          <w:rFonts w:asciiTheme="majorHAnsi" w:hAnsiTheme="majorHAnsi"/>
          <w:spacing w:val="1"/>
          <w:sz w:val="20"/>
          <w:szCs w:val="20"/>
        </w:rPr>
        <w:t xml:space="preserve"> </w:t>
      </w:r>
      <w:r w:rsidRPr="000977F7">
        <w:rPr>
          <w:rFonts w:asciiTheme="majorHAnsi" w:hAnsiTheme="majorHAnsi"/>
          <w:sz w:val="20"/>
          <w:szCs w:val="20"/>
        </w:rPr>
        <w:t>прав</w:t>
      </w:r>
      <w:r w:rsidRPr="000977F7">
        <w:rPr>
          <w:rFonts w:asciiTheme="majorHAnsi" w:hAnsiTheme="majorHAnsi"/>
          <w:spacing w:val="1"/>
          <w:sz w:val="20"/>
          <w:szCs w:val="20"/>
        </w:rPr>
        <w:t xml:space="preserve"> </w:t>
      </w:r>
      <w:r w:rsidRPr="000977F7">
        <w:rPr>
          <w:rFonts w:asciiTheme="majorHAnsi" w:hAnsiTheme="majorHAnsi"/>
          <w:sz w:val="20"/>
          <w:szCs w:val="20"/>
        </w:rPr>
        <w:t>споживачів,</w:t>
      </w:r>
      <w:r w:rsidRPr="000977F7">
        <w:rPr>
          <w:rFonts w:asciiTheme="majorHAnsi" w:hAnsiTheme="majorHAnsi"/>
          <w:spacing w:val="50"/>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його посадових осіб про накладення стягнення примусове виконання таких рішень (постанов) здійснюється центральним органом виконавчої влади, що реалізує державну політику у сфері організації примусового виконання рішень судів та інших органів (посадових осіб), в порядку, встановленому Законом України</w:t>
      </w:r>
      <w:r w:rsidRPr="000977F7">
        <w:rPr>
          <w:rFonts w:asciiTheme="majorHAnsi" w:hAnsiTheme="majorHAnsi"/>
          <w:spacing w:val="-2"/>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виконавче</w:t>
      </w:r>
      <w:r w:rsidRPr="000977F7">
        <w:rPr>
          <w:rFonts w:asciiTheme="majorHAnsi" w:hAnsiTheme="majorHAnsi"/>
          <w:spacing w:val="-1"/>
          <w:sz w:val="20"/>
          <w:szCs w:val="20"/>
        </w:rPr>
        <w:t xml:space="preserve"> </w:t>
      </w:r>
      <w:r w:rsidRPr="000977F7">
        <w:rPr>
          <w:rFonts w:asciiTheme="majorHAnsi" w:hAnsiTheme="majorHAnsi"/>
          <w:sz w:val="20"/>
          <w:szCs w:val="20"/>
        </w:rPr>
        <w:t>провадження".</w:t>
      </w:r>
    </w:p>
    <w:p w14:paraId="19E850E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3"/>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23</w:t>
      </w:r>
      <w:r w:rsidRPr="000977F7">
        <w:rPr>
          <w:rFonts w:asciiTheme="majorHAnsi" w:hAnsiTheme="majorHAnsi"/>
          <w:i/>
          <w:spacing w:val="-1"/>
          <w:sz w:val="20"/>
          <w:szCs w:val="20"/>
        </w:rPr>
        <w:t xml:space="preserve"> </w:t>
      </w:r>
      <w:r w:rsidRPr="000977F7">
        <w:rPr>
          <w:rFonts w:asciiTheme="majorHAnsi" w:hAnsiTheme="majorHAnsi"/>
          <w:i/>
          <w:sz w:val="20"/>
          <w:szCs w:val="20"/>
        </w:rPr>
        <w:t>закону</w:t>
      </w:r>
      <w:r w:rsidRPr="000977F7">
        <w:rPr>
          <w:rFonts w:asciiTheme="majorHAnsi" w:hAnsiTheme="majorHAnsi"/>
          <w:i/>
          <w:spacing w:val="-3"/>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2"/>
          <w:sz w:val="20"/>
          <w:szCs w:val="20"/>
        </w:rPr>
        <w:t xml:space="preserve"> "</w:t>
      </w:r>
      <w:r w:rsidRPr="000977F7">
        <w:rPr>
          <w:rFonts w:asciiTheme="majorHAnsi" w:hAnsiTheme="majorHAnsi"/>
          <w:i/>
          <w:sz w:val="20"/>
          <w:szCs w:val="20"/>
        </w:rPr>
        <w:t>Про</w:t>
      </w:r>
      <w:r w:rsidRPr="000977F7">
        <w:rPr>
          <w:rFonts w:asciiTheme="majorHAnsi" w:hAnsiTheme="majorHAnsi"/>
          <w:i/>
          <w:spacing w:val="-2"/>
          <w:sz w:val="20"/>
          <w:szCs w:val="20"/>
        </w:rPr>
        <w:t xml:space="preserve"> </w:t>
      </w:r>
      <w:r w:rsidRPr="000977F7">
        <w:rPr>
          <w:rFonts w:asciiTheme="majorHAnsi" w:hAnsiTheme="majorHAnsi"/>
          <w:i/>
          <w:sz w:val="20"/>
          <w:szCs w:val="20"/>
        </w:rPr>
        <w:t>захист</w:t>
      </w:r>
      <w:r w:rsidRPr="000977F7">
        <w:rPr>
          <w:rFonts w:asciiTheme="majorHAnsi" w:hAnsiTheme="majorHAnsi"/>
          <w:i/>
          <w:spacing w:val="-2"/>
          <w:sz w:val="20"/>
          <w:szCs w:val="20"/>
        </w:rPr>
        <w:t xml:space="preserve"> </w:t>
      </w:r>
      <w:r w:rsidRPr="000977F7">
        <w:rPr>
          <w:rFonts w:asciiTheme="majorHAnsi" w:hAnsiTheme="majorHAnsi"/>
          <w:i/>
          <w:sz w:val="20"/>
          <w:szCs w:val="20"/>
        </w:rPr>
        <w:t>прав</w:t>
      </w:r>
      <w:r w:rsidRPr="000977F7">
        <w:rPr>
          <w:rFonts w:asciiTheme="majorHAnsi" w:hAnsiTheme="majorHAnsi"/>
          <w:i/>
          <w:spacing w:val="-3"/>
          <w:sz w:val="20"/>
          <w:szCs w:val="20"/>
        </w:rPr>
        <w:t xml:space="preserve"> </w:t>
      </w:r>
      <w:r w:rsidRPr="000977F7">
        <w:rPr>
          <w:rFonts w:asciiTheme="majorHAnsi" w:hAnsiTheme="majorHAnsi"/>
          <w:i/>
          <w:sz w:val="20"/>
          <w:szCs w:val="20"/>
        </w:rPr>
        <w:t>споживачів"</w:t>
      </w:r>
    </w:p>
    <w:p w14:paraId="0074E340"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 xml:space="preserve">ВІДПОВІДАЛЬНІСТЬ ЗА ПОРУШЕННЯ </w:t>
      </w:r>
    </w:p>
    <w:p w14:paraId="1F3EB13E"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ЗАКОНОДАВСТВА ПРО ОХОРОНУ НАВКОЛИШНЬО</w:t>
      </w:r>
      <w:r w:rsidRPr="000977F7">
        <w:rPr>
          <w:rFonts w:asciiTheme="majorHAnsi" w:hAnsiTheme="majorHAnsi"/>
          <w:b/>
          <w:spacing w:val="-47"/>
          <w:sz w:val="20"/>
          <w:szCs w:val="20"/>
        </w:rPr>
        <w:t xml:space="preserve"> </w:t>
      </w:r>
      <w:r w:rsidRPr="000977F7">
        <w:rPr>
          <w:rFonts w:asciiTheme="majorHAnsi" w:hAnsiTheme="majorHAnsi"/>
          <w:b/>
          <w:sz w:val="20"/>
          <w:szCs w:val="20"/>
        </w:rPr>
        <w:t>ГО ПРИРОДНОГО СЕРЕДОВИЩА –</w:t>
      </w:r>
    </w:p>
    <w:p w14:paraId="43226AB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Порушення</w:t>
      </w:r>
      <w:r w:rsidRPr="000977F7">
        <w:rPr>
          <w:rFonts w:asciiTheme="majorHAnsi" w:hAnsiTheme="majorHAnsi"/>
          <w:spacing w:val="45"/>
          <w:sz w:val="20"/>
          <w:szCs w:val="20"/>
        </w:rPr>
        <w:t xml:space="preserve"> </w:t>
      </w:r>
      <w:r w:rsidRPr="000977F7">
        <w:rPr>
          <w:rFonts w:asciiTheme="majorHAnsi" w:hAnsiTheme="majorHAnsi"/>
          <w:sz w:val="20"/>
          <w:szCs w:val="20"/>
        </w:rPr>
        <w:t>законодавства України</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охорону</w:t>
      </w:r>
      <w:r w:rsidRPr="000977F7">
        <w:rPr>
          <w:rFonts w:asciiTheme="majorHAnsi" w:hAnsiTheme="majorHAnsi"/>
          <w:spacing w:val="-47"/>
          <w:sz w:val="20"/>
          <w:szCs w:val="20"/>
        </w:rPr>
        <w:t xml:space="preserve"> </w:t>
      </w:r>
      <w:r w:rsidRPr="000977F7">
        <w:rPr>
          <w:rFonts w:asciiTheme="majorHAnsi" w:hAnsiTheme="majorHAnsi"/>
          <w:sz w:val="20"/>
          <w:szCs w:val="20"/>
        </w:rPr>
        <w:t>навколишнього природного середовища тягне за</w:t>
      </w:r>
      <w:r w:rsidRPr="000977F7">
        <w:rPr>
          <w:rFonts w:asciiTheme="majorHAnsi" w:hAnsiTheme="majorHAnsi"/>
          <w:spacing w:val="1"/>
          <w:sz w:val="20"/>
          <w:szCs w:val="20"/>
        </w:rPr>
        <w:t xml:space="preserve"> </w:t>
      </w:r>
      <w:r w:rsidRPr="000977F7">
        <w:rPr>
          <w:rFonts w:asciiTheme="majorHAnsi" w:hAnsiTheme="majorHAnsi"/>
          <w:sz w:val="20"/>
          <w:szCs w:val="20"/>
        </w:rPr>
        <w:t>собою</w:t>
      </w:r>
      <w:r w:rsidRPr="000977F7">
        <w:rPr>
          <w:rFonts w:asciiTheme="majorHAnsi" w:hAnsiTheme="majorHAnsi"/>
          <w:spacing w:val="9"/>
          <w:sz w:val="20"/>
          <w:szCs w:val="20"/>
        </w:rPr>
        <w:t xml:space="preserve"> </w:t>
      </w:r>
      <w:r w:rsidRPr="000977F7">
        <w:rPr>
          <w:rFonts w:asciiTheme="majorHAnsi" w:hAnsiTheme="majorHAnsi"/>
          <w:sz w:val="20"/>
          <w:szCs w:val="20"/>
        </w:rPr>
        <w:t>встановлену</w:t>
      </w:r>
      <w:r w:rsidRPr="000977F7">
        <w:rPr>
          <w:rFonts w:asciiTheme="majorHAnsi" w:hAnsiTheme="majorHAnsi"/>
          <w:spacing w:val="10"/>
          <w:sz w:val="20"/>
          <w:szCs w:val="20"/>
        </w:rPr>
        <w:t xml:space="preserve"> </w:t>
      </w:r>
      <w:r w:rsidRPr="000977F7">
        <w:rPr>
          <w:rFonts w:asciiTheme="majorHAnsi" w:hAnsiTheme="majorHAnsi"/>
          <w:sz w:val="20"/>
          <w:szCs w:val="20"/>
        </w:rPr>
        <w:t>цим</w:t>
      </w:r>
      <w:r w:rsidRPr="000977F7">
        <w:rPr>
          <w:rFonts w:asciiTheme="majorHAnsi" w:hAnsiTheme="majorHAnsi"/>
          <w:spacing w:val="10"/>
          <w:sz w:val="20"/>
          <w:szCs w:val="20"/>
        </w:rPr>
        <w:t xml:space="preserve"> </w:t>
      </w:r>
      <w:r w:rsidRPr="000977F7">
        <w:rPr>
          <w:rFonts w:asciiTheme="majorHAnsi" w:hAnsiTheme="majorHAnsi"/>
          <w:sz w:val="20"/>
          <w:szCs w:val="20"/>
        </w:rPr>
        <w:t>Законом</w:t>
      </w:r>
      <w:r w:rsidRPr="000977F7">
        <w:rPr>
          <w:rFonts w:asciiTheme="majorHAnsi" w:hAnsiTheme="majorHAnsi"/>
          <w:spacing w:val="10"/>
          <w:sz w:val="20"/>
          <w:szCs w:val="20"/>
        </w:rPr>
        <w:t xml:space="preserve"> </w:t>
      </w:r>
      <w:r w:rsidRPr="000977F7">
        <w:rPr>
          <w:rFonts w:asciiTheme="majorHAnsi" w:hAnsiTheme="majorHAnsi"/>
          <w:sz w:val="20"/>
          <w:szCs w:val="20"/>
        </w:rPr>
        <w:t>та</w:t>
      </w:r>
      <w:r w:rsidRPr="000977F7">
        <w:rPr>
          <w:rFonts w:asciiTheme="majorHAnsi" w:hAnsiTheme="majorHAnsi"/>
          <w:spacing w:val="9"/>
          <w:sz w:val="20"/>
          <w:szCs w:val="20"/>
        </w:rPr>
        <w:t xml:space="preserve"> </w:t>
      </w:r>
      <w:r w:rsidRPr="000977F7">
        <w:rPr>
          <w:rFonts w:asciiTheme="majorHAnsi" w:hAnsiTheme="majorHAnsi"/>
          <w:sz w:val="20"/>
          <w:szCs w:val="20"/>
        </w:rPr>
        <w:t>іншим</w:t>
      </w:r>
      <w:r w:rsidRPr="000977F7">
        <w:rPr>
          <w:rFonts w:asciiTheme="majorHAnsi" w:hAnsiTheme="majorHAnsi"/>
          <w:spacing w:val="10"/>
          <w:sz w:val="20"/>
          <w:szCs w:val="20"/>
        </w:rPr>
        <w:t xml:space="preserve"> </w:t>
      </w:r>
      <w:r w:rsidRPr="000977F7">
        <w:rPr>
          <w:rFonts w:asciiTheme="majorHAnsi" w:hAnsiTheme="majorHAnsi"/>
          <w:sz w:val="20"/>
          <w:szCs w:val="20"/>
        </w:rPr>
        <w:t>законодавством</w:t>
      </w:r>
      <w:r w:rsidRPr="000977F7">
        <w:rPr>
          <w:rFonts w:asciiTheme="majorHAnsi" w:hAnsiTheme="majorHAnsi"/>
          <w:spacing w:val="23"/>
          <w:sz w:val="20"/>
          <w:szCs w:val="20"/>
        </w:rPr>
        <w:t xml:space="preserve"> </w:t>
      </w:r>
      <w:r w:rsidRPr="000977F7">
        <w:rPr>
          <w:rFonts w:asciiTheme="majorHAnsi" w:hAnsiTheme="majorHAnsi"/>
          <w:sz w:val="20"/>
          <w:szCs w:val="20"/>
        </w:rPr>
        <w:t>України</w:t>
      </w:r>
      <w:r w:rsidRPr="000977F7">
        <w:rPr>
          <w:rFonts w:asciiTheme="majorHAnsi" w:hAnsiTheme="majorHAnsi"/>
          <w:spacing w:val="31"/>
          <w:sz w:val="20"/>
          <w:szCs w:val="20"/>
        </w:rPr>
        <w:t xml:space="preserve"> </w:t>
      </w:r>
      <w:r w:rsidRPr="000977F7">
        <w:rPr>
          <w:rFonts w:asciiTheme="majorHAnsi" w:hAnsiTheme="majorHAnsi"/>
          <w:sz w:val="20"/>
          <w:szCs w:val="20"/>
        </w:rPr>
        <w:t>дисциплінарну,</w:t>
      </w:r>
      <w:r w:rsidRPr="000977F7">
        <w:rPr>
          <w:rFonts w:asciiTheme="majorHAnsi" w:hAnsiTheme="majorHAnsi"/>
          <w:spacing w:val="10"/>
          <w:sz w:val="20"/>
          <w:szCs w:val="20"/>
        </w:rPr>
        <w:t xml:space="preserve"> </w:t>
      </w:r>
      <w:r w:rsidRPr="000977F7">
        <w:rPr>
          <w:rFonts w:asciiTheme="majorHAnsi" w:hAnsiTheme="majorHAnsi"/>
          <w:sz w:val="20"/>
          <w:szCs w:val="20"/>
        </w:rPr>
        <w:t>адміністративну,</w:t>
      </w:r>
      <w:r w:rsidRPr="000977F7">
        <w:rPr>
          <w:rFonts w:asciiTheme="majorHAnsi" w:hAnsiTheme="majorHAnsi"/>
          <w:spacing w:val="10"/>
          <w:sz w:val="20"/>
          <w:szCs w:val="20"/>
        </w:rPr>
        <w:t xml:space="preserve"> </w:t>
      </w:r>
      <w:r w:rsidRPr="000977F7">
        <w:rPr>
          <w:rFonts w:asciiTheme="majorHAnsi" w:hAnsiTheme="majorHAnsi"/>
          <w:sz w:val="20"/>
          <w:szCs w:val="20"/>
        </w:rPr>
        <w:t>цивільну</w:t>
      </w:r>
      <w:r w:rsidRPr="000977F7">
        <w:rPr>
          <w:rFonts w:asciiTheme="majorHAnsi" w:hAnsiTheme="majorHAnsi"/>
          <w:spacing w:val="-5"/>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кримінальну</w:t>
      </w:r>
      <w:r w:rsidRPr="000977F7">
        <w:rPr>
          <w:rFonts w:asciiTheme="majorHAnsi" w:hAnsiTheme="majorHAnsi"/>
          <w:spacing w:val="-5"/>
          <w:sz w:val="20"/>
          <w:szCs w:val="20"/>
        </w:rPr>
        <w:t xml:space="preserve"> </w:t>
      </w:r>
      <w:r w:rsidRPr="000977F7">
        <w:rPr>
          <w:rFonts w:asciiTheme="majorHAnsi" w:hAnsiTheme="majorHAnsi"/>
          <w:sz w:val="20"/>
          <w:szCs w:val="20"/>
        </w:rPr>
        <w:t>відповідальність.</w:t>
      </w:r>
    </w:p>
    <w:p w14:paraId="1A64057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Відповідальність за порушення законодавства про</w:t>
      </w:r>
      <w:r w:rsidRPr="000977F7">
        <w:rPr>
          <w:rFonts w:asciiTheme="majorHAnsi" w:hAnsiTheme="majorHAnsi"/>
          <w:spacing w:val="1"/>
          <w:sz w:val="20"/>
          <w:szCs w:val="20"/>
        </w:rPr>
        <w:t xml:space="preserve"> </w:t>
      </w:r>
      <w:r w:rsidRPr="000977F7">
        <w:rPr>
          <w:rFonts w:asciiTheme="majorHAnsi" w:hAnsiTheme="majorHAnsi"/>
          <w:sz w:val="20"/>
          <w:szCs w:val="20"/>
        </w:rPr>
        <w:t>охорону навколишнього природного середовища несуть</w:t>
      </w:r>
      <w:r w:rsidRPr="000977F7">
        <w:rPr>
          <w:rFonts w:asciiTheme="majorHAnsi" w:hAnsiTheme="majorHAnsi"/>
          <w:spacing w:val="-1"/>
          <w:sz w:val="20"/>
          <w:szCs w:val="20"/>
        </w:rPr>
        <w:t xml:space="preserve"> </w:t>
      </w:r>
      <w:r w:rsidRPr="000977F7">
        <w:rPr>
          <w:rFonts w:asciiTheme="majorHAnsi" w:hAnsiTheme="majorHAnsi"/>
          <w:sz w:val="20"/>
          <w:szCs w:val="20"/>
        </w:rPr>
        <w:t>особи, винні</w:t>
      </w:r>
      <w:r w:rsidRPr="000977F7">
        <w:rPr>
          <w:rFonts w:asciiTheme="majorHAnsi" w:hAnsiTheme="majorHAnsi"/>
          <w:spacing w:val="2"/>
          <w:sz w:val="20"/>
          <w:szCs w:val="20"/>
        </w:rPr>
        <w:t xml:space="preserve"> </w:t>
      </w:r>
      <w:r w:rsidRPr="000977F7">
        <w:rPr>
          <w:rFonts w:asciiTheme="majorHAnsi" w:hAnsiTheme="majorHAnsi"/>
          <w:sz w:val="20"/>
          <w:szCs w:val="20"/>
        </w:rPr>
        <w:t>у:</w:t>
      </w:r>
    </w:p>
    <w:p w14:paraId="0A32A3D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порушенні прав громадян на екологічно безпечне</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навколишнє</w:t>
      </w:r>
      <w:r w:rsidRPr="000977F7">
        <w:rPr>
          <w:rFonts w:asciiTheme="majorHAnsi" w:hAnsiTheme="majorHAnsi"/>
          <w:spacing w:val="3"/>
          <w:sz w:val="20"/>
          <w:szCs w:val="20"/>
        </w:rPr>
        <w:t xml:space="preserve"> </w:t>
      </w:r>
      <w:r w:rsidRPr="000977F7">
        <w:rPr>
          <w:rFonts w:asciiTheme="majorHAnsi" w:hAnsiTheme="majorHAnsi"/>
          <w:sz w:val="20"/>
          <w:szCs w:val="20"/>
        </w:rPr>
        <w:t>природне</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w:t>
      </w:r>
    </w:p>
    <w:p w14:paraId="53C3268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w:t>
      </w:r>
      <w:r w:rsidRPr="000977F7">
        <w:rPr>
          <w:rFonts w:asciiTheme="majorHAnsi" w:hAnsiTheme="majorHAnsi"/>
          <w:spacing w:val="-5"/>
          <w:sz w:val="20"/>
          <w:szCs w:val="20"/>
        </w:rPr>
        <w:t xml:space="preserve"> </w:t>
      </w:r>
      <w:r w:rsidRPr="000977F7">
        <w:rPr>
          <w:rFonts w:asciiTheme="majorHAnsi" w:hAnsiTheme="majorHAnsi"/>
          <w:sz w:val="20"/>
          <w:szCs w:val="20"/>
        </w:rPr>
        <w:t>порушенні</w:t>
      </w:r>
      <w:r w:rsidRPr="000977F7">
        <w:rPr>
          <w:rFonts w:asciiTheme="majorHAnsi" w:hAnsiTheme="majorHAnsi"/>
          <w:spacing w:val="-2"/>
          <w:sz w:val="20"/>
          <w:szCs w:val="20"/>
        </w:rPr>
        <w:t xml:space="preserve"> </w:t>
      </w:r>
      <w:r w:rsidRPr="000977F7">
        <w:rPr>
          <w:rFonts w:asciiTheme="majorHAnsi" w:hAnsiTheme="majorHAnsi"/>
          <w:sz w:val="20"/>
          <w:szCs w:val="20"/>
        </w:rPr>
        <w:t>норм</w:t>
      </w:r>
      <w:r w:rsidRPr="000977F7">
        <w:rPr>
          <w:rFonts w:asciiTheme="majorHAnsi" w:hAnsiTheme="majorHAnsi"/>
          <w:spacing w:val="-4"/>
          <w:sz w:val="20"/>
          <w:szCs w:val="20"/>
        </w:rPr>
        <w:t xml:space="preserve"> </w:t>
      </w:r>
      <w:r w:rsidRPr="000977F7">
        <w:rPr>
          <w:rFonts w:asciiTheme="majorHAnsi" w:hAnsiTheme="majorHAnsi"/>
          <w:sz w:val="20"/>
          <w:szCs w:val="20"/>
        </w:rPr>
        <w:t>екологічної</w:t>
      </w:r>
      <w:r w:rsidRPr="000977F7">
        <w:rPr>
          <w:rFonts w:asciiTheme="majorHAnsi" w:hAnsiTheme="majorHAnsi"/>
          <w:spacing w:val="-5"/>
          <w:sz w:val="20"/>
          <w:szCs w:val="20"/>
        </w:rPr>
        <w:t xml:space="preserve"> </w:t>
      </w:r>
      <w:r w:rsidRPr="000977F7">
        <w:rPr>
          <w:rFonts w:asciiTheme="majorHAnsi" w:hAnsiTheme="majorHAnsi"/>
          <w:sz w:val="20"/>
          <w:szCs w:val="20"/>
        </w:rPr>
        <w:t>безпеки;</w:t>
      </w:r>
    </w:p>
    <w:p w14:paraId="00A9B2D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порушенні</w:t>
      </w:r>
      <w:r w:rsidRPr="000977F7">
        <w:rPr>
          <w:rFonts w:asciiTheme="majorHAnsi" w:hAnsiTheme="majorHAnsi"/>
          <w:spacing w:val="1"/>
          <w:sz w:val="20"/>
          <w:szCs w:val="20"/>
        </w:rPr>
        <w:t xml:space="preserve"> </w:t>
      </w:r>
      <w:r w:rsidRPr="000977F7">
        <w:rPr>
          <w:rFonts w:asciiTheme="majorHAnsi" w:hAnsiTheme="majorHAnsi"/>
          <w:sz w:val="20"/>
          <w:szCs w:val="20"/>
        </w:rPr>
        <w:t>вимог</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законодавства</w:t>
      </w:r>
      <w:r w:rsidRPr="000977F7">
        <w:rPr>
          <w:rFonts w:asciiTheme="majorHAnsi" w:hAnsiTheme="majorHAnsi"/>
          <w:spacing w:val="1"/>
          <w:sz w:val="20"/>
          <w:szCs w:val="20"/>
        </w:rPr>
        <w:t xml:space="preserve"> </w:t>
      </w:r>
      <w:r w:rsidRPr="000977F7">
        <w:rPr>
          <w:rFonts w:asciiTheme="majorHAnsi" w:hAnsiTheme="majorHAnsi"/>
          <w:sz w:val="20"/>
          <w:szCs w:val="20"/>
        </w:rPr>
        <w:t xml:space="preserve">про оцінку впливу </w:t>
      </w:r>
      <w:bookmarkStart w:id="33" w:name="_Hlk103763010"/>
      <w:r w:rsidRPr="000977F7">
        <w:rPr>
          <w:rFonts w:asciiTheme="majorHAnsi" w:hAnsiTheme="majorHAnsi"/>
          <w:sz w:val="20"/>
          <w:szCs w:val="20"/>
        </w:rPr>
        <w:t>на довкілля</w:t>
      </w:r>
      <w:bookmarkEnd w:id="33"/>
      <w:r w:rsidRPr="000977F7">
        <w:rPr>
          <w:rFonts w:asciiTheme="majorHAnsi" w:hAnsiTheme="majorHAnsi"/>
          <w:sz w:val="20"/>
          <w:szCs w:val="20"/>
        </w:rPr>
        <w:t>,</w:t>
      </w:r>
      <w:r w:rsidRPr="000977F7">
        <w:rPr>
          <w:rFonts w:asciiTheme="majorHAnsi" w:hAnsiTheme="majorHAnsi"/>
          <w:spacing w:val="-47"/>
          <w:sz w:val="20"/>
          <w:szCs w:val="20"/>
        </w:rPr>
        <w:t xml:space="preserve"> </w:t>
      </w:r>
      <w:r w:rsidRPr="000977F7">
        <w:rPr>
          <w:rFonts w:asciiTheme="majorHAnsi" w:hAnsiTheme="majorHAnsi"/>
          <w:sz w:val="20"/>
          <w:szCs w:val="20"/>
        </w:rPr>
        <w:t>у тому числі поданні</w:t>
      </w:r>
      <w:r w:rsidRPr="000977F7">
        <w:rPr>
          <w:rFonts w:asciiTheme="majorHAnsi" w:hAnsiTheme="majorHAnsi"/>
          <w:spacing w:val="-4"/>
          <w:sz w:val="20"/>
          <w:szCs w:val="20"/>
        </w:rPr>
        <w:t xml:space="preserve"> </w:t>
      </w:r>
      <w:r w:rsidRPr="000977F7">
        <w:rPr>
          <w:rFonts w:asciiTheme="majorHAnsi" w:hAnsiTheme="majorHAnsi"/>
          <w:sz w:val="20"/>
          <w:szCs w:val="20"/>
        </w:rPr>
        <w:t>завідомо</w:t>
      </w:r>
      <w:r w:rsidRPr="000977F7">
        <w:rPr>
          <w:rFonts w:asciiTheme="majorHAnsi" w:hAnsiTheme="majorHAnsi"/>
          <w:spacing w:val="-2"/>
          <w:sz w:val="20"/>
          <w:szCs w:val="20"/>
        </w:rPr>
        <w:t xml:space="preserve"> </w:t>
      </w:r>
      <w:r w:rsidRPr="000977F7">
        <w:rPr>
          <w:rFonts w:asciiTheme="majorHAnsi" w:hAnsiTheme="majorHAnsi"/>
          <w:sz w:val="20"/>
          <w:szCs w:val="20"/>
        </w:rPr>
        <w:t>неправдивого</w:t>
      </w:r>
      <w:r w:rsidRPr="000977F7">
        <w:rPr>
          <w:rFonts w:asciiTheme="majorHAnsi" w:hAnsiTheme="majorHAnsi"/>
          <w:spacing w:val="-2"/>
          <w:sz w:val="20"/>
          <w:szCs w:val="20"/>
        </w:rPr>
        <w:t xml:space="preserve"> </w:t>
      </w:r>
      <w:r w:rsidRPr="000977F7">
        <w:rPr>
          <w:rFonts w:asciiTheme="majorHAnsi" w:hAnsiTheme="majorHAnsi"/>
          <w:sz w:val="20"/>
          <w:szCs w:val="20"/>
        </w:rPr>
        <w:t xml:space="preserve">звіту </w:t>
      </w:r>
      <w:bookmarkStart w:id="34" w:name="_Hlk103762976"/>
      <w:r w:rsidRPr="000977F7">
        <w:rPr>
          <w:rFonts w:asciiTheme="majorHAnsi" w:hAnsiTheme="majorHAnsi"/>
          <w:sz w:val="20"/>
          <w:szCs w:val="20"/>
        </w:rPr>
        <w:t xml:space="preserve">з оцінки впливу </w:t>
      </w:r>
      <w:bookmarkEnd w:id="34"/>
      <w:r w:rsidRPr="000977F7">
        <w:rPr>
          <w:rFonts w:asciiTheme="majorHAnsi" w:hAnsiTheme="majorHAnsi"/>
          <w:sz w:val="20"/>
          <w:szCs w:val="20"/>
        </w:rPr>
        <w:t>на довкілля чи висновку з оцінки впливу на довкілля;</w:t>
      </w:r>
    </w:p>
    <w:p w14:paraId="093F3C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shd w:val="clear" w:color="auto" w:fill="FFFFFF"/>
        </w:rPr>
        <w:t>г) неврахуванні у встановленому порядку результатів оцінки впливу на довкілля та невиконанні екологічних умов, визначених у висновку з оцінки впливу на довкілля;</w:t>
      </w:r>
    </w:p>
    <w:p w14:paraId="5A07666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w:t>
      </w:r>
      <w:r w:rsidRPr="000977F7">
        <w:rPr>
          <w:rFonts w:asciiTheme="majorHAnsi" w:hAnsiTheme="majorHAnsi"/>
          <w:spacing w:val="8"/>
          <w:sz w:val="20"/>
          <w:szCs w:val="20"/>
        </w:rPr>
        <w:t xml:space="preserve"> </w:t>
      </w:r>
      <w:r w:rsidRPr="000977F7">
        <w:rPr>
          <w:rFonts w:asciiTheme="majorHAnsi" w:hAnsiTheme="majorHAnsi"/>
          <w:sz w:val="20"/>
          <w:szCs w:val="20"/>
        </w:rPr>
        <w:t>порушенні</w:t>
      </w:r>
      <w:r w:rsidRPr="000977F7">
        <w:rPr>
          <w:rFonts w:asciiTheme="majorHAnsi" w:hAnsiTheme="majorHAnsi"/>
          <w:spacing w:val="8"/>
          <w:sz w:val="20"/>
          <w:szCs w:val="20"/>
        </w:rPr>
        <w:t xml:space="preserve"> </w:t>
      </w:r>
      <w:r w:rsidRPr="000977F7">
        <w:rPr>
          <w:rFonts w:asciiTheme="majorHAnsi" w:hAnsiTheme="majorHAnsi"/>
          <w:sz w:val="20"/>
          <w:szCs w:val="20"/>
        </w:rPr>
        <w:t>екологічних</w:t>
      </w:r>
      <w:r w:rsidRPr="000977F7">
        <w:rPr>
          <w:rFonts w:asciiTheme="majorHAnsi" w:hAnsiTheme="majorHAnsi"/>
          <w:spacing w:val="6"/>
          <w:sz w:val="20"/>
          <w:szCs w:val="20"/>
        </w:rPr>
        <w:t xml:space="preserve"> </w:t>
      </w:r>
      <w:r w:rsidRPr="000977F7">
        <w:rPr>
          <w:rFonts w:asciiTheme="majorHAnsi" w:hAnsiTheme="majorHAnsi"/>
          <w:sz w:val="20"/>
          <w:szCs w:val="20"/>
        </w:rPr>
        <w:t>вимог</w:t>
      </w:r>
      <w:r w:rsidRPr="000977F7">
        <w:rPr>
          <w:rFonts w:asciiTheme="majorHAnsi" w:hAnsiTheme="majorHAnsi"/>
          <w:spacing w:val="8"/>
          <w:sz w:val="20"/>
          <w:szCs w:val="20"/>
        </w:rPr>
        <w:t xml:space="preserve"> </w:t>
      </w:r>
      <w:r w:rsidRPr="000977F7">
        <w:rPr>
          <w:rFonts w:asciiTheme="majorHAnsi" w:hAnsiTheme="majorHAnsi"/>
          <w:sz w:val="20"/>
          <w:szCs w:val="20"/>
        </w:rPr>
        <w:t>при</w:t>
      </w:r>
      <w:r w:rsidRPr="000977F7">
        <w:rPr>
          <w:rFonts w:asciiTheme="majorHAnsi" w:hAnsiTheme="majorHAnsi"/>
          <w:spacing w:val="7"/>
          <w:sz w:val="20"/>
          <w:szCs w:val="20"/>
        </w:rPr>
        <w:t xml:space="preserve"> </w:t>
      </w:r>
      <w:r w:rsidRPr="000977F7">
        <w:rPr>
          <w:rFonts w:asciiTheme="majorHAnsi" w:hAnsiTheme="majorHAnsi"/>
          <w:sz w:val="20"/>
          <w:szCs w:val="20"/>
        </w:rPr>
        <w:t>проектуванні,</w:t>
      </w:r>
    </w:p>
    <w:p w14:paraId="68F073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розміщенні,</w:t>
      </w:r>
      <w:r w:rsidRPr="000977F7">
        <w:rPr>
          <w:rFonts w:asciiTheme="majorHAnsi" w:hAnsiTheme="majorHAnsi"/>
          <w:spacing w:val="1"/>
          <w:sz w:val="20"/>
          <w:szCs w:val="20"/>
        </w:rPr>
        <w:t xml:space="preserve"> </w:t>
      </w:r>
      <w:r w:rsidRPr="000977F7">
        <w:rPr>
          <w:rFonts w:asciiTheme="majorHAnsi" w:hAnsiTheme="majorHAnsi"/>
          <w:sz w:val="20"/>
          <w:szCs w:val="20"/>
        </w:rPr>
        <w:t>будівництві,</w:t>
      </w:r>
      <w:r w:rsidRPr="000977F7">
        <w:rPr>
          <w:rFonts w:asciiTheme="majorHAnsi" w:hAnsiTheme="majorHAnsi"/>
          <w:spacing w:val="1"/>
          <w:sz w:val="20"/>
          <w:szCs w:val="20"/>
        </w:rPr>
        <w:t xml:space="preserve"> </w:t>
      </w:r>
      <w:r w:rsidRPr="000977F7">
        <w:rPr>
          <w:rFonts w:asciiTheme="majorHAnsi" w:hAnsiTheme="majorHAnsi"/>
          <w:sz w:val="20"/>
          <w:szCs w:val="20"/>
        </w:rPr>
        <w:t>реконструкції,</w:t>
      </w:r>
      <w:r w:rsidRPr="000977F7">
        <w:rPr>
          <w:rFonts w:asciiTheme="majorHAnsi" w:hAnsiTheme="majorHAnsi"/>
          <w:spacing w:val="1"/>
          <w:sz w:val="20"/>
          <w:szCs w:val="20"/>
        </w:rPr>
        <w:t xml:space="preserve"> </w:t>
      </w:r>
      <w:r w:rsidRPr="000977F7">
        <w:rPr>
          <w:rFonts w:asciiTheme="majorHAnsi" w:hAnsiTheme="majorHAnsi"/>
          <w:sz w:val="20"/>
          <w:szCs w:val="20"/>
        </w:rPr>
        <w:t>введенні</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дію,</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ліквідації</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w:t>
      </w:r>
      <w:r w:rsidRPr="000977F7">
        <w:rPr>
          <w:rFonts w:asciiTheme="majorHAnsi" w:hAnsiTheme="majorHAnsi"/>
          <w:spacing w:val="1"/>
          <w:sz w:val="20"/>
          <w:szCs w:val="20"/>
        </w:rPr>
        <w:t xml:space="preserve"> </w:t>
      </w:r>
      <w:r w:rsidRPr="000977F7">
        <w:rPr>
          <w:rFonts w:asciiTheme="majorHAnsi" w:hAnsiTheme="majorHAnsi"/>
          <w:sz w:val="20"/>
          <w:szCs w:val="20"/>
        </w:rPr>
        <w:t>споруд,</w:t>
      </w:r>
      <w:r w:rsidRPr="000977F7">
        <w:rPr>
          <w:rFonts w:asciiTheme="majorHAnsi" w:hAnsiTheme="majorHAnsi"/>
          <w:spacing w:val="-47"/>
          <w:sz w:val="20"/>
          <w:szCs w:val="20"/>
        </w:rPr>
        <w:t xml:space="preserve"> </w:t>
      </w:r>
      <w:r w:rsidRPr="000977F7">
        <w:rPr>
          <w:rFonts w:asciiTheme="majorHAnsi" w:hAnsiTheme="majorHAnsi"/>
          <w:sz w:val="20"/>
          <w:szCs w:val="20"/>
        </w:rPr>
        <w:t>пересувних</w:t>
      </w:r>
      <w:r w:rsidRPr="000977F7">
        <w:rPr>
          <w:rFonts w:asciiTheme="majorHAnsi" w:hAnsiTheme="majorHAnsi"/>
          <w:spacing w:val="-2"/>
          <w:sz w:val="20"/>
          <w:szCs w:val="20"/>
        </w:rPr>
        <w:t xml:space="preserve"> </w:t>
      </w:r>
      <w:r w:rsidRPr="000977F7">
        <w:rPr>
          <w:rFonts w:asciiTheme="majorHAnsi" w:hAnsiTheme="majorHAnsi"/>
          <w:sz w:val="20"/>
          <w:szCs w:val="20"/>
        </w:rPr>
        <w:t>засобів</w:t>
      </w:r>
      <w:r w:rsidRPr="000977F7">
        <w:rPr>
          <w:rFonts w:asciiTheme="majorHAnsi" w:hAnsiTheme="majorHAnsi"/>
          <w:spacing w:val="1"/>
          <w:sz w:val="20"/>
          <w:szCs w:val="20"/>
        </w:rPr>
        <w:t xml:space="preserve"> </w:t>
      </w:r>
      <w:r w:rsidRPr="000977F7">
        <w:rPr>
          <w:rFonts w:asciiTheme="majorHAnsi" w:hAnsiTheme="majorHAnsi"/>
          <w:sz w:val="20"/>
          <w:szCs w:val="20"/>
        </w:rPr>
        <w:t>та інших об'єктів;</w:t>
      </w:r>
    </w:p>
    <w:p w14:paraId="6B8D6FD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є) допущенні наднормативних, аварійних і залпових викидів і скидів забруднюючих речовин та інших</w:t>
      </w:r>
      <w:r w:rsidRPr="000977F7">
        <w:rPr>
          <w:rFonts w:asciiTheme="majorHAnsi" w:hAnsiTheme="majorHAnsi"/>
          <w:spacing w:val="1"/>
          <w:sz w:val="20"/>
          <w:szCs w:val="20"/>
        </w:rPr>
        <w:t xml:space="preserve"> </w:t>
      </w:r>
      <w:r w:rsidRPr="000977F7">
        <w:rPr>
          <w:rFonts w:asciiTheme="majorHAnsi" w:hAnsiTheme="majorHAnsi"/>
          <w:sz w:val="20"/>
          <w:szCs w:val="20"/>
        </w:rPr>
        <w:t>шкідливих впливів на навколишнє природне середовище;</w:t>
      </w:r>
    </w:p>
    <w:p w14:paraId="2C095F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ж) перевищенні лімітів та порушенні інших вимог</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природних</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p>
    <w:p w14:paraId="7E9BF97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самовільному</w:t>
      </w:r>
      <w:r w:rsidRPr="000977F7">
        <w:rPr>
          <w:rFonts w:asciiTheme="majorHAnsi" w:hAnsiTheme="majorHAnsi"/>
          <w:spacing w:val="1"/>
          <w:sz w:val="20"/>
          <w:szCs w:val="20"/>
        </w:rPr>
        <w:t xml:space="preserve"> </w:t>
      </w:r>
      <w:r w:rsidRPr="000977F7">
        <w:rPr>
          <w:rFonts w:asciiTheme="majorHAnsi" w:hAnsiTheme="majorHAnsi"/>
          <w:sz w:val="20"/>
          <w:szCs w:val="20"/>
        </w:rPr>
        <w:t>спеціальному</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використанні</w:t>
      </w:r>
      <w:r w:rsidRPr="000977F7">
        <w:rPr>
          <w:rFonts w:asciiTheme="majorHAnsi" w:hAnsiTheme="majorHAnsi"/>
          <w:spacing w:val="1"/>
          <w:sz w:val="20"/>
          <w:szCs w:val="20"/>
        </w:rPr>
        <w:t xml:space="preserve"> </w:t>
      </w:r>
      <w:r w:rsidRPr="000977F7">
        <w:rPr>
          <w:rFonts w:asciiTheme="majorHAnsi" w:hAnsiTheme="majorHAnsi"/>
          <w:sz w:val="20"/>
          <w:szCs w:val="20"/>
        </w:rPr>
        <w:t>природних</w:t>
      </w:r>
      <w:r w:rsidRPr="000977F7">
        <w:rPr>
          <w:rFonts w:asciiTheme="majorHAnsi" w:hAnsiTheme="majorHAnsi"/>
          <w:spacing w:val="-2"/>
          <w:sz w:val="20"/>
          <w:szCs w:val="20"/>
        </w:rPr>
        <w:t xml:space="preserve"> </w:t>
      </w:r>
      <w:r w:rsidRPr="000977F7">
        <w:rPr>
          <w:rFonts w:asciiTheme="majorHAnsi" w:hAnsiTheme="majorHAnsi"/>
          <w:sz w:val="20"/>
          <w:szCs w:val="20"/>
        </w:rPr>
        <w:t>ресурсів;</w:t>
      </w:r>
    </w:p>
    <w:p w14:paraId="40BDB75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 невжитті заходів щодо попередження та ліквідації екологічних наслідків аварій та іншого шкідливого</w:t>
      </w:r>
      <w:r w:rsidRPr="000977F7">
        <w:rPr>
          <w:rFonts w:asciiTheme="majorHAnsi" w:hAnsiTheme="majorHAnsi"/>
          <w:spacing w:val="-47"/>
          <w:sz w:val="20"/>
          <w:szCs w:val="20"/>
        </w:rPr>
        <w:t xml:space="preserve"> </w:t>
      </w:r>
      <w:r w:rsidRPr="000977F7">
        <w:rPr>
          <w:rFonts w:asciiTheme="majorHAnsi" w:hAnsiTheme="majorHAnsi"/>
          <w:sz w:val="20"/>
          <w:szCs w:val="20"/>
        </w:rPr>
        <w:t>впливу</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навколишнє</w:t>
      </w:r>
      <w:r w:rsidRPr="000977F7">
        <w:rPr>
          <w:rFonts w:asciiTheme="majorHAnsi" w:hAnsiTheme="majorHAnsi"/>
          <w:spacing w:val="2"/>
          <w:sz w:val="20"/>
          <w:szCs w:val="20"/>
        </w:rPr>
        <w:t xml:space="preserve"> </w:t>
      </w:r>
      <w:r w:rsidRPr="000977F7">
        <w:rPr>
          <w:rFonts w:asciiTheme="majorHAnsi" w:hAnsiTheme="majorHAnsi"/>
          <w:sz w:val="20"/>
          <w:szCs w:val="20"/>
        </w:rPr>
        <w:t>природне</w:t>
      </w:r>
      <w:r w:rsidRPr="000977F7">
        <w:rPr>
          <w:rFonts w:asciiTheme="majorHAnsi" w:hAnsiTheme="majorHAnsi"/>
          <w:spacing w:val="-2"/>
          <w:sz w:val="20"/>
          <w:szCs w:val="20"/>
        </w:rPr>
        <w:t xml:space="preserve"> </w:t>
      </w:r>
      <w:r w:rsidRPr="000977F7">
        <w:rPr>
          <w:rFonts w:asciiTheme="majorHAnsi" w:hAnsiTheme="majorHAnsi"/>
          <w:sz w:val="20"/>
          <w:szCs w:val="20"/>
        </w:rPr>
        <w:t>середовище;</w:t>
      </w:r>
    </w:p>
    <w:p w14:paraId="492FB3D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ї) невиконанні розпоряджень органів, які здійснюють державний контроль у галузі охорони навколишнього природного середовища, та вчиненні опору їх</w:t>
      </w:r>
      <w:r w:rsidRPr="000977F7">
        <w:rPr>
          <w:rFonts w:asciiTheme="majorHAnsi" w:hAnsiTheme="majorHAnsi"/>
          <w:spacing w:val="1"/>
          <w:sz w:val="20"/>
          <w:szCs w:val="20"/>
        </w:rPr>
        <w:t xml:space="preserve"> </w:t>
      </w:r>
      <w:r w:rsidRPr="000977F7">
        <w:rPr>
          <w:rFonts w:asciiTheme="majorHAnsi" w:hAnsiTheme="majorHAnsi"/>
          <w:sz w:val="20"/>
          <w:szCs w:val="20"/>
        </w:rPr>
        <w:t>представникам;</w:t>
      </w:r>
    </w:p>
    <w:p w14:paraId="4613F9A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й) порушенні природоохоронних вимог при зберіганні, транспортуванні, використанні, знешкодженні</w:t>
      </w:r>
      <w:r w:rsidRPr="000977F7">
        <w:rPr>
          <w:rFonts w:asciiTheme="majorHAnsi" w:hAnsiTheme="majorHAnsi"/>
          <w:spacing w:val="1"/>
          <w:sz w:val="20"/>
          <w:szCs w:val="20"/>
        </w:rPr>
        <w:t xml:space="preserve"> </w:t>
      </w:r>
      <w:r w:rsidRPr="000977F7">
        <w:rPr>
          <w:rFonts w:asciiTheme="majorHAnsi" w:hAnsiTheme="majorHAnsi"/>
          <w:sz w:val="20"/>
          <w:szCs w:val="20"/>
        </w:rPr>
        <w:t>та захороненні хімічних засобів захисту рослин, мінеральних добрив, токсичних радіоактивних речовин та</w:t>
      </w:r>
      <w:r w:rsidRPr="000977F7">
        <w:rPr>
          <w:rFonts w:asciiTheme="majorHAnsi" w:hAnsiTheme="majorHAnsi"/>
          <w:spacing w:val="1"/>
          <w:sz w:val="20"/>
          <w:szCs w:val="20"/>
        </w:rPr>
        <w:t xml:space="preserve"> </w:t>
      </w:r>
      <w:r w:rsidRPr="000977F7">
        <w:rPr>
          <w:rFonts w:asciiTheme="majorHAnsi" w:hAnsiTheme="majorHAnsi"/>
          <w:sz w:val="20"/>
          <w:szCs w:val="20"/>
        </w:rPr>
        <w:t>відходів;</w:t>
      </w:r>
    </w:p>
    <w:p w14:paraId="075D69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 невиконанні вимог охорони територій та об'єктів</w:t>
      </w:r>
      <w:r w:rsidRPr="000977F7">
        <w:rPr>
          <w:rFonts w:asciiTheme="majorHAnsi" w:hAnsiTheme="majorHAnsi"/>
          <w:spacing w:val="-47"/>
          <w:sz w:val="20"/>
          <w:szCs w:val="20"/>
        </w:rPr>
        <w:t xml:space="preserve"> </w:t>
      </w:r>
      <w:r w:rsidRPr="000977F7">
        <w:rPr>
          <w:rFonts w:asciiTheme="majorHAnsi" w:hAnsiTheme="majorHAnsi"/>
          <w:sz w:val="20"/>
          <w:szCs w:val="20"/>
        </w:rPr>
        <w:t>природно-заповідного фонду та інших територій, що</w:t>
      </w:r>
      <w:r w:rsidRPr="000977F7">
        <w:rPr>
          <w:rFonts w:asciiTheme="majorHAnsi" w:hAnsiTheme="majorHAnsi"/>
          <w:spacing w:val="1"/>
          <w:sz w:val="20"/>
          <w:szCs w:val="20"/>
        </w:rPr>
        <w:t xml:space="preserve"> </w:t>
      </w:r>
      <w:r w:rsidRPr="000977F7">
        <w:rPr>
          <w:rFonts w:asciiTheme="majorHAnsi" w:hAnsiTheme="majorHAnsi"/>
          <w:sz w:val="20"/>
          <w:szCs w:val="20"/>
        </w:rPr>
        <w:t>підлягають особливій охороні, видів тварин і рослин,</w:t>
      </w:r>
      <w:r w:rsidRPr="000977F7">
        <w:rPr>
          <w:rFonts w:asciiTheme="majorHAnsi" w:hAnsiTheme="majorHAnsi"/>
          <w:spacing w:val="1"/>
          <w:sz w:val="20"/>
          <w:szCs w:val="20"/>
        </w:rPr>
        <w:t xml:space="preserve"> </w:t>
      </w:r>
      <w:r w:rsidRPr="000977F7">
        <w:rPr>
          <w:rFonts w:asciiTheme="majorHAnsi" w:hAnsiTheme="majorHAnsi"/>
          <w:sz w:val="20"/>
          <w:szCs w:val="20"/>
        </w:rPr>
        <w:t>занесених до</w:t>
      </w:r>
      <w:r w:rsidRPr="000977F7">
        <w:rPr>
          <w:rFonts w:asciiTheme="majorHAnsi" w:hAnsiTheme="majorHAnsi"/>
          <w:spacing w:val="-1"/>
          <w:sz w:val="20"/>
          <w:szCs w:val="20"/>
        </w:rPr>
        <w:t xml:space="preserve"> </w:t>
      </w:r>
      <w:r w:rsidRPr="000977F7">
        <w:rPr>
          <w:rFonts w:asciiTheme="majorHAnsi" w:hAnsiTheme="majorHAnsi"/>
          <w:sz w:val="20"/>
          <w:szCs w:val="20"/>
        </w:rPr>
        <w:t>Червоної</w:t>
      </w:r>
      <w:r w:rsidRPr="000977F7">
        <w:rPr>
          <w:rFonts w:asciiTheme="majorHAnsi" w:hAnsiTheme="majorHAnsi"/>
          <w:spacing w:val="-1"/>
          <w:sz w:val="20"/>
          <w:szCs w:val="20"/>
        </w:rPr>
        <w:t xml:space="preserve"> </w:t>
      </w:r>
      <w:r w:rsidRPr="000977F7">
        <w:rPr>
          <w:rFonts w:asciiTheme="majorHAnsi" w:hAnsiTheme="majorHAnsi"/>
          <w:sz w:val="20"/>
          <w:szCs w:val="20"/>
        </w:rPr>
        <w:t>книги</w:t>
      </w:r>
      <w:r w:rsidRPr="000977F7">
        <w:rPr>
          <w:rFonts w:asciiTheme="majorHAnsi" w:hAnsiTheme="majorHAnsi"/>
          <w:spacing w:val="-2"/>
          <w:sz w:val="20"/>
          <w:szCs w:val="20"/>
        </w:rPr>
        <w:t xml:space="preserve"> </w:t>
      </w:r>
      <w:r w:rsidRPr="000977F7">
        <w:rPr>
          <w:rFonts w:asciiTheme="majorHAnsi" w:hAnsiTheme="majorHAnsi"/>
          <w:sz w:val="20"/>
          <w:szCs w:val="20"/>
        </w:rPr>
        <w:t>України;</w:t>
      </w:r>
    </w:p>
    <w:p w14:paraId="25AE4A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л) відмові від надання</w:t>
      </w:r>
      <w:r w:rsidRPr="000977F7">
        <w:rPr>
          <w:rFonts w:asciiTheme="majorHAnsi" w:hAnsiTheme="majorHAnsi"/>
          <w:spacing w:val="1"/>
          <w:sz w:val="20"/>
          <w:szCs w:val="20"/>
        </w:rPr>
        <w:t xml:space="preserve"> </w:t>
      </w:r>
      <w:r w:rsidRPr="000977F7">
        <w:rPr>
          <w:rFonts w:asciiTheme="majorHAnsi" w:hAnsiTheme="majorHAnsi"/>
          <w:sz w:val="20"/>
          <w:szCs w:val="20"/>
        </w:rPr>
        <w:t>своєчасної, повної та достовірної інформації про стан навколишнього природного середовища, а також про джерела забруднення, у</w:t>
      </w:r>
      <w:r w:rsidRPr="000977F7">
        <w:rPr>
          <w:rFonts w:asciiTheme="majorHAnsi" w:hAnsiTheme="majorHAnsi"/>
          <w:spacing w:val="1"/>
          <w:sz w:val="20"/>
          <w:szCs w:val="20"/>
        </w:rPr>
        <w:t xml:space="preserve"> </w:t>
      </w:r>
      <w:r w:rsidRPr="000977F7">
        <w:rPr>
          <w:rFonts w:asciiTheme="majorHAnsi" w:hAnsiTheme="majorHAnsi"/>
          <w:sz w:val="20"/>
          <w:szCs w:val="20"/>
        </w:rPr>
        <w:t>приховуванні</w:t>
      </w:r>
      <w:r w:rsidRPr="000977F7">
        <w:rPr>
          <w:rFonts w:asciiTheme="majorHAnsi" w:hAnsiTheme="majorHAnsi"/>
          <w:spacing w:val="1"/>
          <w:sz w:val="20"/>
          <w:szCs w:val="20"/>
        </w:rPr>
        <w:t xml:space="preserve"> </w:t>
      </w:r>
      <w:r w:rsidRPr="000977F7">
        <w:rPr>
          <w:rFonts w:asciiTheme="majorHAnsi" w:hAnsiTheme="majorHAnsi"/>
          <w:sz w:val="20"/>
          <w:szCs w:val="20"/>
        </w:rPr>
        <w:t>випадків</w:t>
      </w:r>
      <w:r w:rsidRPr="000977F7">
        <w:rPr>
          <w:rFonts w:asciiTheme="majorHAnsi" w:hAnsiTheme="majorHAnsi"/>
          <w:spacing w:val="1"/>
          <w:sz w:val="20"/>
          <w:szCs w:val="20"/>
        </w:rPr>
        <w:t xml:space="preserve"> </w:t>
      </w:r>
      <w:r w:rsidRPr="000977F7">
        <w:rPr>
          <w:rFonts w:asciiTheme="majorHAnsi" w:hAnsiTheme="majorHAnsi"/>
          <w:sz w:val="20"/>
          <w:szCs w:val="20"/>
        </w:rPr>
        <w:t>аварійного</w:t>
      </w:r>
      <w:r w:rsidRPr="000977F7">
        <w:rPr>
          <w:rFonts w:asciiTheme="majorHAnsi" w:hAnsiTheme="majorHAnsi"/>
          <w:spacing w:val="1"/>
          <w:sz w:val="20"/>
          <w:szCs w:val="20"/>
        </w:rPr>
        <w:t xml:space="preserve"> </w:t>
      </w:r>
      <w:r w:rsidRPr="000977F7">
        <w:rPr>
          <w:rFonts w:asciiTheme="majorHAnsi" w:hAnsiTheme="majorHAnsi"/>
          <w:sz w:val="20"/>
          <w:szCs w:val="20"/>
        </w:rPr>
        <w:t>забруднення</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 природного середовища або фальсифікації відомостей про стан екологічної обстановки чи</w:t>
      </w:r>
      <w:r w:rsidRPr="000977F7">
        <w:rPr>
          <w:rFonts w:asciiTheme="majorHAnsi" w:hAnsiTheme="majorHAnsi"/>
          <w:spacing w:val="1"/>
          <w:sz w:val="20"/>
          <w:szCs w:val="20"/>
        </w:rPr>
        <w:t xml:space="preserve"> </w:t>
      </w:r>
      <w:r w:rsidRPr="000977F7">
        <w:rPr>
          <w:rFonts w:asciiTheme="majorHAnsi" w:hAnsiTheme="majorHAnsi"/>
          <w:sz w:val="20"/>
          <w:szCs w:val="20"/>
        </w:rPr>
        <w:t>захворюваності</w:t>
      </w:r>
      <w:r w:rsidRPr="000977F7">
        <w:rPr>
          <w:rFonts w:asciiTheme="majorHAnsi" w:hAnsiTheme="majorHAnsi"/>
          <w:spacing w:val="-2"/>
          <w:sz w:val="20"/>
          <w:szCs w:val="20"/>
        </w:rPr>
        <w:t xml:space="preserve"> </w:t>
      </w:r>
      <w:r w:rsidRPr="000977F7">
        <w:rPr>
          <w:rFonts w:asciiTheme="majorHAnsi" w:hAnsiTheme="majorHAnsi"/>
          <w:sz w:val="20"/>
          <w:szCs w:val="20"/>
        </w:rPr>
        <w:t>населення;</w:t>
      </w:r>
    </w:p>
    <w:p w14:paraId="2A7F586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приниженні</w:t>
      </w:r>
      <w:r w:rsidRPr="000977F7">
        <w:rPr>
          <w:rFonts w:asciiTheme="majorHAnsi" w:hAnsiTheme="majorHAnsi"/>
          <w:spacing w:val="1"/>
          <w:sz w:val="20"/>
          <w:szCs w:val="20"/>
        </w:rPr>
        <w:t xml:space="preserve"> </w:t>
      </w:r>
      <w:r w:rsidRPr="000977F7">
        <w:rPr>
          <w:rFonts w:asciiTheme="majorHAnsi" w:hAnsiTheme="majorHAnsi"/>
          <w:sz w:val="20"/>
          <w:szCs w:val="20"/>
        </w:rPr>
        <w:t>честі</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гідності</w:t>
      </w:r>
      <w:r w:rsidRPr="000977F7">
        <w:rPr>
          <w:rFonts w:asciiTheme="majorHAnsi" w:hAnsiTheme="majorHAnsi"/>
          <w:spacing w:val="1"/>
          <w:sz w:val="20"/>
          <w:szCs w:val="20"/>
        </w:rPr>
        <w:t xml:space="preserve"> </w:t>
      </w:r>
      <w:r w:rsidRPr="000977F7">
        <w:rPr>
          <w:rFonts w:asciiTheme="majorHAnsi" w:hAnsiTheme="majorHAnsi"/>
          <w:sz w:val="20"/>
          <w:szCs w:val="20"/>
        </w:rPr>
        <w:t>працівників,</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здійснюють контроль в галузі охорони навколишнього природного 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посяганні на їх життя і</w:t>
      </w:r>
      <w:r w:rsidRPr="000977F7">
        <w:rPr>
          <w:rFonts w:asciiTheme="majorHAnsi" w:hAnsiTheme="majorHAnsi"/>
          <w:spacing w:val="1"/>
          <w:sz w:val="20"/>
          <w:szCs w:val="20"/>
        </w:rPr>
        <w:t xml:space="preserve"> </w:t>
      </w:r>
      <w:r w:rsidRPr="000977F7">
        <w:rPr>
          <w:rFonts w:asciiTheme="majorHAnsi" w:hAnsiTheme="majorHAnsi"/>
          <w:sz w:val="20"/>
          <w:szCs w:val="20"/>
        </w:rPr>
        <w:t>здоров'я;</w:t>
      </w:r>
    </w:p>
    <w:p w14:paraId="72700D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н) порушенні природоохоронних вимог під час провадження діяльності, пов'язаної з поводженням з генетично модифікованими організмами;</w:t>
      </w:r>
    </w:p>
    <w:p w14:paraId="4FD1917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shd w:val="clear" w:color="auto" w:fill="FFFFFF"/>
        </w:rPr>
        <w:t>о) порушенні вимог законодавства України при здійсненні стратегічної екологічної оцінки</w:t>
      </w:r>
    </w:p>
    <w:p w14:paraId="35C627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Законодавством</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встановлено</w:t>
      </w:r>
      <w:r w:rsidRPr="000977F7">
        <w:rPr>
          <w:rFonts w:asciiTheme="majorHAnsi" w:hAnsiTheme="majorHAnsi"/>
          <w:spacing w:val="1"/>
          <w:sz w:val="20"/>
          <w:szCs w:val="20"/>
        </w:rPr>
        <w:t xml:space="preserve"> </w:t>
      </w:r>
      <w:r w:rsidRPr="000977F7">
        <w:rPr>
          <w:rFonts w:asciiTheme="majorHAnsi" w:hAnsiTheme="majorHAnsi"/>
          <w:sz w:val="20"/>
          <w:szCs w:val="20"/>
        </w:rPr>
        <w:t>відповідальність і за інші</w:t>
      </w:r>
      <w:r w:rsidRPr="000977F7">
        <w:rPr>
          <w:rFonts w:asciiTheme="majorHAnsi" w:hAnsiTheme="majorHAnsi"/>
          <w:spacing w:val="1"/>
          <w:sz w:val="20"/>
          <w:szCs w:val="20"/>
        </w:rPr>
        <w:t xml:space="preserve"> </w:t>
      </w:r>
      <w:r w:rsidRPr="000977F7">
        <w:rPr>
          <w:rFonts w:asciiTheme="majorHAnsi" w:hAnsiTheme="majorHAnsi"/>
          <w:sz w:val="20"/>
          <w:szCs w:val="20"/>
        </w:rPr>
        <w:t>порушення законодавства</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4"/>
          <w:sz w:val="20"/>
          <w:szCs w:val="20"/>
        </w:rPr>
        <w:t xml:space="preserve"> </w:t>
      </w:r>
      <w:r w:rsidRPr="000977F7">
        <w:rPr>
          <w:rFonts w:asciiTheme="majorHAnsi" w:hAnsiTheme="majorHAnsi"/>
          <w:sz w:val="20"/>
          <w:szCs w:val="20"/>
        </w:rPr>
        <w:t>охорону</w:t>
      </w:r>
      <w:r w:rsidRPr="000977F7">
        <w:rPr>
          <w:rFonts w:asciiTheme="majorHAnsi" w:hAnsiTheme="majorHAnsi"/>
          <w:spacing w:val="-5"/>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2"/>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3"/>
          <w:sz w:val="20"/>
          <w:szCs w:val="20"/>
        </w:rPr>
        <w:t xml:space="preserve"> </w:t>
      </w:r>
      <w:r w:rsidRPr="000977F7">
        <w:rPr>
          <w:rFonts w:asciiTheme="majorHAnsi" w:hAnsiTheme="majorHAnsi"/>
          <w:sz w:val="20"/>
          <w:szCs w:val="20"/>
        </w:rPr>
        <w:t>середовища.</w:t>
      </w:r>
    </w:p>
    <w:p w14:paraId="0DD98B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Підприємства, установи, організації та громадяни</w:t>
      </w:r>
      <w:r w:rsidRPr="000977F7">
        <w:rPr>
          <w:rFonts w:asciiTheme="majorHAnsi" w:hAnsiTheme="majorHAnsi"/>
          <w:spacing w:val="1"/>
          <w:sz w:val="20"/>
          <w:szCs w:val="20"/>
        </w:rPr>
        <w:t xml:space="preserve"> </w:t>
      </w:r>
      <w:r w:rsidRPr="000977F7">
        <w:rPr>
          <w:rFonts w:asciiTheme="majorHAnsi" w:hAnsiTheme="majorHAnsi"/>
          <w:sz w:val="20"/>
          <w:szCs w:val="20"/>
        </w:rPr>
        <w:t>зобов'язані</w:t>
      </w:r>
      <w:r w:rsidRPr="000977F7">
        <w:rPr>
          <w:rFonts w:asciiTheme="majorHAnsi" w:hAnsiTheme="majorHAnsi"/>
          <w:spacing w:val="1"/>
          <w:sz w:val="20"/>
          <w:szCs w:val="20"/>
        </w:rPr>
        <w:t xml:space="preserve"> </w:t>
      </w:r>
      <w:r w:rsidRPr="000977F7">
        <w:rPr>
          <w:rFonts w:asciiTheme="majorHAnsi" w:hAnsiTheme="majorHAnsi"/>
          <w:sz w:val="20"/>
          <w:szCs w:val="20"/>
        </w:rPr>
        <w:t>відшкодовувати</w:t>
      </w:r>
      <w:r w:rsidRPr="000977F7">
        <w:rPr>
          <w:rFonts w:asciiTheme="majorHAnsi" w:hAnsiTheme="majorHAnsi"/>
          <w:spacing w:val="1"/>
          <w:sz w:val="20"/>
          <w:szCs w:val="20"/>
        </w:rPr>
        <w:t xml:space="preserve"> </w:t>
      </w:r>
      <w:r w:rsidRPr="000977F7">
        <w:rPr>
          <w:rFonts w:asciiTheme="majorHAnsi" w:hAnsiTheme="majorHAnsi"/>
          <w:sz w:val="20"/>
          <w:szCs w:val="20"/>
        </w:rPr>
        <w:t>шкоду,</w:t>
      </w:r>
      <w:r w:rsidRPr="000977F7">
        <w:rPr>
          <w:rFonts w:asciiTheme="majorHAnsi" w:hAnsiTheme="majorHAnsi"/>
          <w:spacing w:val="1"/>
          <w:sz w:val="20"/>
          <w:szCs w:val="20"/>
        </w:rPr>
        <w:t xml:space="preserve"> </w:t>
      </w:r>
      <w:r w:rsidRPr="000977F7">
        <w:rPr>
          <w:rFonts w:asciiTheme="majorHAnsi" w:hAnsiTheme="majorHAnsi"/>
          <w:sz w:val="20"/>
          <w:szCs w:val="20"/>
        </w:rPr>
        <w:t>заподіяну</w:t>
      </w:r>
      <w:r w:rsidRPr="000977F7">
        <w:rPr>
          <w:rFonts w:asciiTheme="majorHAnsi" w:hAnsiTheme="majorHAnsi"/>
          <w:spacing w:val="1"/>
          <w:sz w:val="20"/>
          <w:szCs w:val="20"/>
        </w:rPr>
        <w:t xml:space="preserve"> </w:t>
      </w:r>
      <w:r w:rsidRPr="000977F7">
        <w:rPr>
          <w:rFonts w:asciiTheme="majorHAnsi" w:hAnsiTheme="majorHAnsi"/>
          <w:sz w:val="20"/>
          <w:szCs w:val="20"/>
        </w:rPr>
        <w:t>ними</w:t>
      </w:r>
      <w:r w:rsidRPr="000977F7">
        <w:rPr>
          <w:rFonts w:asciiTheme="majorHAnsi" w:hAnsiTheme="majorHAnsi"/>
          <w:spacing w:val="1"/>
          <w:sz w:val="20"/>
          <w:szCs w:val="20"/>
        </w:rPr>
        <w:t xml:space="preserve"> </w:t>
      </w:r>
      <w:r w:rsidRPr="000977F7">
        <w:rPr>
          <w:rFonts w:asciiTheme="majorHAnsi" w:hAnsiTheme="majorHAnsi"/>
          <w:sz w:val="20"/>
          <w:szCs w:val="20"/>
        </w:rPr>
        <w:t>внаслідок порушення законодавства про охорону 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порядку та</w:t>
      </w:r>
      <w:r w:rsidRPr="000977F7">
        <w:rPr>
          <w:rFonts w:asciiTheme="majorHAnsi" w:hAnsiTheme="majorHAnsi"/>
          <w:spacing w:val="1"/>
          <w:sz w:val="20"/>
          <w:szCs w:val="20"/>
        </w:rPr>
        <w:t xml:space="preserve"> </w:t>
      </w:r>
      <w:r w:rsidRPr="000977F7">
        <w:rPr>
          <w:rFonts w:asciiTheme="majorHAnsi" w:hAnsiTheme="majorHAnsi"/>
          <w:sz w:val="20"/>
          <w:szCs w:val="20"/>
        </w:rPr>
        <w:t>розмірах,</w:t>
      </w:r>
      <w:r w:rsidRPr="000977F7">
        <w:rPr>
          <w:rFonts w:asciiTheme="majorHAnsi" w:hAnsiTheme="majorHAnsi"/>
          <w:spacing w:val="-2"/>
          <w:sz w:val="20"/>
          <w:szCs w:val="20"/>
        </w:rPr>
        <w:t xml:space="preserve"> </w:t>
      </w:r>
      <w:r w:rsidRPr="000977F7">
        <w:rPr>
          <w:rFonts w:asciiTheme="majorHAnsi" w:hAnsiTheme="majorHAnsi"/>
          <w:sz w:val="20"/>
          <w:szCs w:val="20"/>
        </w:rPr>
        <w:t>встановлених</w:t>
      </w:r>
      <w:r w:rsidRPr="000977F7">
        <w:rPr>
          <w:rFonts w:asciiTheme="majorHAnsi" w:hAnsiTheme="majorHAnsi"/>
          <w:spacing w:val="-2"/>
          <w:sz w:val="20"/>
          <w:szCs w:val="20"/>
        </w:rPr>
        <w:t xml:space="preserve"> </w:t>
      </w:r>
      <w:r w:rsidRPr="000977F7">
        <w:rPr>
          <w:rFonts w:asciiTheme="majorHAnsi" w:hAnsiTheme="majorHAnsi"/>
          <w:sz w:val="20"/>
          <w:szCs w:val="20"/>
        </w:rPr>
        <w:t>законодавством</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p>
    <w:p w14:paraId="6DCA1A3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 xml:space="preserve">Застосування заходів дисциплінарної, </w:t>
      </w:r>
      <w:r w:rsidRPr="000977F7">
        <w:rPr>
          <w:rFonts w:asciiTheme="majorHAnsi" w:hAnsiTheme="majorHAnsi"/>
          <w:sz w:val="20"/>
          <w:szCs w:val="20"/>
        </w:rPr>
        <w:t>адміністративної</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кримінальної</w:t>
      </w:r>
      <w:r w:rsidRPr="000977F7">
        <w:rPr>
          <w:rFonts w:asciiTheme="majorHAnsi" w:hAnsiTheme="majorHAnsi"/>
          <w:spacing w:val="1"/>
          <w:sz w:val="20"/>
          <w:szCs w:val="20"/>
        </w:rPr>
        <w:t xml:space="preserve"> </w:t>
      </w:r>
      <w:r w:rsidRPr="000977F7">
        <w:rPr>
          <w:rFonts w:asciiTheme="majorHAnsi" w:hAnsiTheme="majorHAnsi"/>
          <w:sz w:val="20"/>
          <w:szCs w:val="20"/>
        </w:rPr>
        <w:t>відповідальності</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звільняє</w:t>
      </w:r>
      <w:r w:rsidRPr="000977F7">
        <w:rPr>
          <w:rFonts w:asciiTheme="majorHAnsi" w:hAnsiTheme="majorHAnsi"/>
          <w:spacing w:val="1"/>
          <w:sz w:val="20"/>
          <w:szCs w:val="20"/>
        </w:rPr>
        <w:t xml:space="preserve"> </w:t>
      </w:r>
      <w:r w:rsidRPr="000977F7">
        <w:rPr>
          <w:rFonts w:asciiTheme="majorHAnsi" w:hAnsiTheme="majorHAnsi"/>
          <w:sz w:val="20"/>
          <w:szCs w:val="20"/>
        </w:rPr>
        <w:t>винних від компенсації шкоди, заподіяної забрудненням навколишнього природного середовища та погіршенням</w:t>
      </w:r>
      <w:r w:rsidRPr="000977F7">
        <w:rPr>
          <w:rFonts w:asciiTheme="majorHAnsi" w:hAnsiTheme="majorHAnsi"/>
          <w:spacing w:val="-6"/>
          <w:sz w:val="20"/>
          <w:szCs w:val="20"/>
        </w:rPr>
        <w:t xml:space="preserve"> </w:t>
      </w:r>
      <w:r w:rsidRPr="000977F7">
        <w:rPr>
          <w:rFonts w:asciiTheme="majorHAnsi" w:hAnsiTheme="majorHAnsi"/>
          <w:sz w:val="20"/>
          <w:szCs w:val="20"/>
        </w:rPr>
        <w:t>якості</w:t>
      </w:r>
      <w:r w:rsidRPr="000977F7">
        <w:rPr>
          <w:rFonts w:asciiTheme="majorHAnsi" w:hAnsiTheme="majorHAnsi"/>
          <w:spacing w:val="-5"/>
          <w:sz w:val="20"/>
          <w:szCs w:val="20"/>
        </w:rPr>
        <w:t xml:space="preserve"> </w:t>
      </w:r>
      <w:r w:rsidRPr="000977F7">
        <w:rPr>
          <w:rFonts w:asciiTheme="majorHAnsi" w:hAnsiTheme="majorHAnsi"/>
          <w:sz w:val="20"/>
          <w:szCs w:val="20"/>
        </w:rPr>
        <w:t>природних</w:t>
      </w:r>
      <w:r w:rsidRPr="000977F7">
        <w:rPr>
          <w:rFonts w:asciiTheme="majorHAnsi" w:hAnsiTheme="majorHAnsi"/>
          <w:spacing w:val="-7"/>
          <w:sz w:val="20"/>
          <w:szCs w:val="20"/>
        </w:rPr>
        <w:t xml:space="preserve"> </w:t>
      </w:r>
      <w:r w:rsidRPr="000977F7">
        <w:rPr>
          <w:rFonts w:asciiTheme="majorHAnsi" w:hAnsiTheme="majorHAnsi"/>
          <w:sz w:val="20"/>
          <w:szCs w:val="20"/>
        </w:rPr>
        <w:t>ресурсів.</w:t>
      </w:r>
    </w:p>
    <w:p w14:paraId="7D5BE8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Незаконно добуті в природі ресурси та виготовлена</w:t>
      </w:r>
      <w:r w:rsidRPr="000977F7">
        <w:rPr>
          <w:rFonts w:asciiTheme="majorHAnsi" w:hAnsiTheme="majorHAnsi"/>
          <w:spacing w:val="-47"/>
          <w:sz w:val="20"/>
          <w:szCs w:val="20"/>
        </w:rPr>
        <w:t xml:space="preserve"> </w:t>
      </w:r>
      <w:r w:rsidRPr="000977F7">
        <w:rPr>
          <w:rFonts w:asciiTheme="majorHAnsi" w:hAnsiTheme="majorHAnsi"/>
          <w:sz w:val="20"/>
          <w:szCs w:val="20"/>
        </w:rPr>
        <w:t>з них продукція підлягають безоплатному вилученню,</w:t>
      </w:r>
      <w:r w:rsidRPr="000977F7">
        <w:rPr>
          <w:rFonts w:asciiTheme="majorHAnsi" w:hAnsiTheme="majorHAnsi"/>
          <w:spacing w:val="-47"/>
          <w:sz w:val="20"/>
          <w:szCs w:val="20"/>
        </w:rPr>
        <w:t xml:space="preserve"> </w:t>
      </w:r>
      <w:r w:rsidRPr="000977F7">
        <w:rPr>
          <w:rFonts w:asciiTheme="majorHAnsi" w:hAnsiTheme="majorHAnsi"/>
          <w:sz w:val="20"/>
          <w:szCs w:val="20"/>
        </w:rPr>
        <w:t>а знаряддя правопорушення конфіскації. Одержані</w:t>
      </w:r>
      <w:r w:rsidRPr="000977F7">
        <w:rPr>
          <w:rFonts w:asciiTheme="majorHAnsi" w:hAnsiTheme="majorHAnsi"/>
          <w:spacing w:val="1"/>
          <w:sz w:val="20"/>
          <w:szCs w:val="20"/>
        </w:rPr>
        <w:t xml:space="preserve"> </w:t>
      </w:r>
      <w:r w:rsidRPr="000977F7">
        <w:rPr>
          <w:rFonts w:asciiTheme="majorHAnsi" w:hAnsiTheme="majorHAnsi"/>
          <w:sz w:val="20"/>
          <w:szCs w:val="20"/>
        </w:rPr>
        <w:t>від їх реалізації доходи спрямовуються в республіканський Автономної Республіки Крим і місцеві фонди</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3"/>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p>
    <w:p w14:paraId="49FEC5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Посадові особи та спеціалісти, винні в порушенні</w:t>
      </w:r>
      <w:r w:rsidRPr="000977F7">
        <w:rPr>
          <w:rFonts w:asciiTheme="majorHAnsi" w:hAnsiTheme="majorHAnsi"/>
          <w:spacing w:val="1"/>
          <w:sz w:val="20"/>
          <w:szCs w:val="20"/>
        </w:rPr>
        <w:t xml:space="preserve"> </w:t>
      </w:r>
      <w:r w:rsidRPr="000977F7">
        <w:rPr>
          <w:rFonts w:asciiTheme="majorHAnsi" w:hAnsiTheme="majorHAnsi"/>
          <w:sz w:val="20"/>
          <w:szCs w:val="20"/>
        </w:rPr>
        <w:t xml:space="preserve">вимог щодо охорони навколишнього природного середовища та використання природних ресурсів, забезпечення екологічної безпеки за поданням </w:t>
      </w:r>
      <w:r w:rsidRPr="000977F7">
        <w:rPr>
          <w:rFonts w:asciiTheme="majorHAnsi" w:hAnsiTheme="majorHAnsi"/>
          <w:sz w:val="20"/>
          <w:szCs w:val="20"/>
        </w:rPr>
        <w:t>державних</w:t>
      </w:r>
      <w:r w:rsidRPr="000977F7">
        <w:rPr>
          <w:rFonts w:asciiTheme="majorHAnsi" w:hAnsiTheme="majorHAnsi"/>
          <w:spacing w:val="1"/>
          <w:sz w:val="20"/>
          <w:szCs w:val="20"/>
        </w:rPr>
        <w:t xml:space="preserve"> </w:t>
      </w:r>
      <w:r w:rsidRPr="000977F7">
        <w:rPr>
          <w:rFonts w:asciiTheme="majorHAnsi" w:hAnsiTheme="majorHAnsi"/>
          <w:sz w:val="20"/>
          <w:szCs w:val="20"/>
        </w:rPr>
        <w:t>органів охорони навколишнього природного 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згідно</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рішеннями</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управлінських</w:t>
      </w:r>
      <w:r w:rsidRPr="000977F7">
        <w:rPr>
          <w:rFonts w:asciiTheme="majorHAnsi" w:hAnsiTheme="majorHAnsi"/>
          <w:spacing w:val="1"/>
          <w:sz w:val="20"/>
          <w:szCs w:val="20"/>
        </w:rPr>
        <w:t xml:space="preserve"> </w:t>
      </w:r>
      <w:r w:rsidRPr="000977F7">
        <w:rPr>
          <w:rFonts w:asciiTheme="majorHAnsi" w:hAnsiTheme="majorHAnsi"/>
          <w:sz w:val="20"/>
          <w:szCs w:val="20"/>
        </w:rPr>
        <w:t>органів</w:t>
      </w:r>
      <w:r w:rsidRPr="000977F7">
        <w:rPr>
          <w:rFonts w:asciiTheme="majorHAnsi" w:hAnsiTheme="majorHAnsi"/>
          <w:spacing w:val="1"/>
          <w:sz w:val="20"/>
          <w:szCs w:val="20"/>
        </w:rPr>
        <w:t xml:space="preserve"> </w:t>
      </w:r>
      <w:r w:rsidRPr="000977F7">
        <w:rPr>
          <w:rFonts w:asciiTheme="majorHAnsi" w:hAnsiTheme="majorHAnsi"/>
          <w:sz w:val="20"/>
          <w:szCs w:val="20"/>
        </w:rPr>
        <w:t>позбавляються</w:t>
      </w:r>
      <w:r w:rsidRPr="000977F7">
        <w:rPr>
          <w:rFonts w:asciiTheme="majorHAnsi" w:hAnsiTheme="majorHAnsi"/>
          <w:spacing w:val="1"/>
          <w:sz w:val="20"/>
          <w:szCs w:val="20"/>
        </w:rPr>
        <w:t xml:space="preserve"> </w:t>
      </w:r>
      <w:r w:rsidRPr="000977F7">
        <w:rPr>
          <w:rFonts w:asciiTheme="majorHAnsi" w:hAnsiTheme="majorHAnsi"/>
          <w:sz w:val="20"/>
          <w:szCs w:val="20"/>
        </w:rPr>
        <w:t>премій</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основними</w:t>
      </w:r>
      <w:r w:rsidRPr="000977F7">
        <w:rPr>
          <w:rFonts w:asciiTheme="majorHAnsi" w:hAnsiTheme="majorHAnsi"/>
          <w:spacing w:val="1"/>
          <w:sz w:val="20"/>
          <w:szCs w:val="20"/>
        </w:rPr>
        <w:t xml:space="preserve"> </w:t>
      </w:r>
      <w:r w:rsidRPr="000977F7">
        <w:rPr>
          <w:rFonts w:asciiTheme="majorHAnsi" w:hAnsiTheme="majorHAnsi"/>
          <w:sz w:val="20"/>
          <w:szCs w:val="20"/>
        </w:rPr>
        <w:t>результатами</w:t>
      </w:r>
      <w:r w:rsidRPr="000977F7">
        <w:rPr>
          <w:rFonts w:asciiTheme="majorHAnsi" w:hAnsiTheme="majorHAnsi"/>
          <w:spacing w:val="1"/>
          <w:sz w:val="20"/>
          <w:szCs w:val="20"/>
        </w:rPr>
        <w:t xml:space="preserve"> </w:t>
      </w:r>
      <w:r w:rsidRPr="000977F7">
        <w:rPr>
          <w:rFonts w:asciiTheme="majorHAnsi" w:hAnsiTheme="majorHAnsi"/>
          <w:sz w:val="20"/>
          <w:szCs w:val="20"/>
        </w:rPr>
        <w:t>господарської</w:t>
      </w:r>
      <w:r w:rsidRPr="000977F7">
        <w:rPr>
          <w:rFonts w:asciiTheme="majorHAnsi" w:hAnsiTheme="majorHAnsi"/>
          <w:spacing w:val="-3"/>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2"/>
          <w:sz w:val="20"/>
          <w:szCs w:val="20"/>
        </w:rPr>
        <w:t xml:space="preserve"> </w:t>
      </w:r>
      <w:r w:rsidRPr="000977F7">
        <w:rPr>
          <w:rFonts w:asciiTheme="majorHAnsi" w:hAnsiTheme="majorHAnsi"/>
          <w:sz w:val="20"/>
          <w:szCs w:val="20"/>
        </w:rPr>
        <w:t>повністю</w:t>
      </w:r>
      <w:r w:rsidRPr="000977F7">
        <w:rPr>
          <w:rFonts w:asciiTheme="majorHAnsi" w:hAnsiTheme="majorHAnsi"/>
          <w:spacing w:val="-1"/>
          <w:sz w:val="20"/>
          <w:szCs w:val="20"/>
        </w:rPr>
        <w:t xml:space="preserve"> </w:t>
      </w:r>
      <w:r w:rsidRPr="000977F7">
        <w:rPr>
          <w:rFonts w:asciiTheme="majorHAnsi" w:hAnsiTheme="majorHAnsi"/>
          <w:sz w:val="20"/>
          <w:szCs w:val="20"/>
        </w:rPr>
        <w:t>або частково.</w:t>
      </w:r>
    </w:p>
    <w:p w14:paraId="4DD9A5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Порядок позбавлення премій визначається законодавством України.</w:t>
      </w:r>
    </w:p>
    <w:p w14:paraId="31B06C9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68 закону України "Про охорону навколишнього природного</w:t>
      </w:r>
      <w:r w:rsidRPr="000977F7">
        <w:rPr>
          <w:rFonts w:asciiTheme="majorHAnsi" w:hAnsiTheme="majorHAnsi"/>
          <w:i/>
          <w:spacing w:val="1"/>
          <w:sz w:val="20"/>
          <w:szCs w:val="20"/>
        </w:rPr>
        <w:t xml:space="preserve"> </w:t>
      </w:r>
      <w:r w:rsidRPr="000977F7">
        <w:rPr>
          <w:rFonts w:asciiTheme="majorHAnsi" w:hAnsiTheme="majorHAnsi"/>
          <w:i/>
          <w:sz w:val="20"/>
          <w:szCs w:val="20"/>
        </w:rPr>
        <w:t>середовища"‖</w:t>
      </w:r>
    </w:p>
    <w:p w14:paraId="58436F7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ВIДПОВІДАЛЬНІСТЬ</w:t>
      </w:r>
      <w:r w:rsidRPr="000977F7">
        <w:rPr>
          <w:color w:val="auto"/>
          <w:spacing w:val="-7"/>
          <w:sz w:val="20"/>
          <w:szCs w:val="20"/>
        </w:rPr>
        <w:t xml:space="preserve"> </w:t>
      </w:r>
      <w:r w:rsidRPr="000977F7">
        <w:rPr>
          <w:color w:val="auto"/>
          <w:sz w:val="20"/>
          <w:szCs w:val="20"/>
        </w:rPr>
        <w:t>ЗА</w:t>
      </w:r>
      <w:r w:rsidRPr="000977F7">
        <w:rPr>
          <w:color w:val="auto"/>
          <w:spacing w:val="-4"/>
          <w:sz w:val="20"/>
          <w:szCs w:val="20"/>
        </w:rPr>
        <w:t xml:space="preserve"> </w:t>
      </w:r>
      <w:r w:rsidRPr="000977F7">
        <w:rPr>
          <w:color w:val="auto"/>
          <w:sz w:val="20"/>
          <w:szCs w:val="20"/>
        </w:rPr>
        <w:t>ЯКІСТЬ</w:t>
      </w:r>
      <w:r w:rsidRPr="000977F7">
        <w:rPr>
          <w:color w:val="auto"/>
          <w:spacing w:val="-47"/>
          <w:sz w:val="20"/>
          <w:szCs w:val="20"/>
        </w:rPr>
        <w:t xml:space="preserve"> </w:t>
      </w:r>
      <w:r w:rsidRPr="000977F7">
        <w:rPr>
          <w:color w:val="auto"/>
          <w:sz w:val="20"/>
          <w:szCs w:val="20"/>
        </w:rPr>
        <w:t>ПРОДУКЦІЇ</w:t>
      </w:r>
      <w:r w:rsidRPr="000977F7">
        <w:rPr>
          <w:color w:val="auto"/>
          <w:spacing w:val="-1"/>
          <w:sz w:val="20"/>
          <w:szCs w:val="20"/>
        </w:rPr>
        <w:t xml:space="preserve"> </w:t>
      </w:r>
    </w:p>
    <w:p w14:paraId="2E181D6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PRODUCT</w:t>
      </w:r>
      <w:r w:rsidRPr="000977F7">
        <w:rPr>
          <w:rFonts w:asciiTheme="majorHAnsi" w:hAnsiTheme="majorHAnsi"/>
          <w:spacing w:val="-1"/>
          <w:sz w:val="20"/>
          <w:szCs w:val="20"/>
        </w:rPr>
        <w:t xml:space="preserve"> </w:t>
      </w:r>
      <w:r w:rsidRPr="000977F7">
        <w:rPr>
          <w:rFonts w:asciiTheme="majorHAnsi" w:hAnsiTheme="majorHAnsi"/>
          <w:sz w:val="20"/>
          <w:szCs w:val="20"/>
        </w:rPr>
        <w:t>LIABILITY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E2D6F01"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Загальний</w:t>
      </w:r>
      <w:r w:rsidRPr="000977F7">
        <w:rPr>
          <w:rFonts w:asciiTheme="majorHAnsi" w:hAnsiTheme="majorHAnsi"/>
          <w:spacing w:val="21"/>
          <w:sz w:val="20"/>
          <w:szCs w:val="20"/>
        </w:rPr>
        <w:t xml:space="preserve"> </w:t>
      </w:r>
      <w:r w:rsidRPr="000977F7">
        <w:rPr>
          <w:rFonts w:asciiTheme="majorHAnsi" w:hAnsiTheme="majorHAnsi"/>
          <w:sz w:val="20"/>
          <w:szCs w:val="20"/>
        </w:rPr>
        <w:t>термін,</w:t>
      </w:r>
      <w:r w:rsidRPr="000977F7">
        <w:rPr>
          <w:rFonts w:asciiTheme="majorHAnsi" w:hAnsiTheme="majorHAnsi"/>
          <w:spacing w:val="20"/>
          <w:sz w:val="20"/>
          <w:szCs w:val="20"/>
        </w:rPr>
        <w:t xml:space="preserve"> </w:t>
      </w:r>
      <w:r w:rsidRPr="000977F7">
        <w:rPr>
          <w:rFonts w:asciiTheme="majorHAnsi" w:hAnsiTheme="majorHAnsi"/>
          <w:sz w:val="20"/>
          <w:szCs w:val="20"/>
        </w:rPr>
        <w:t>що</w:t>
      </w:r>
      <w:r w:rsidRPr="000977F7">
        <w:rPr>
          <w:rFonts w:asciiTheme="majorHAnsi" w:hAnsiTheme="majorHAnsi"/>
          <w:spacing w:val="23"/>
          <w:sz w:val="20"/>
          <w:szCs w:val="20"/>
        </w:rPr>
        <w:t xml:space="preserve"> </w:t>
      </w:r>
      <w:r w:rsidRPr="000977F7">
        <w:rPr>
          <w:rFonts w:asciiTheme="majorHAnsi" w:hAnsiTheme="majorHAnsi"/>
          <w:sz w:val="20"/>
          <w:szCs w:val="20"/>
        </w:rPr>
        <w:t>характеризує</w:t>
      </w:r>
      <w:r w:rsidRPr="000977F7">
        <w:rPr>
          <w:rFonts w:asciiTheme="majorHAnsi" w:hAnsiTheme="majorHAnsi"/>
          <w:spacing w:val="20"/>
          <w:sz w:val="20"/>
          <w:szCs w:val="20"/>
        </w:rPr>
        <w:t xml:space="preserve"> </w:t>
      </w:r>
      <w:r w:rsidRPr="000977F7">
        <w:rPr>
          <w:rFonts w:asciiTheme="majorHAnsi" w:hAnsiTheme="majorHAnsi"/>
          <w:sz w:val="20"/>
          <w:szCs w:val="20"/>
        </w:rPr>
        <w:t>відповідальність</w:t>
      </w:r>
      <w:r w:rsidRPr="000977F7">
        <w:rPr>
          <w:rFonts w:asciiTheme="majorHAnsi" w:hAnsiTheme="majorHAnsi"/>
          <w:spacing w:val="-47"/>
          <w:sz w:val="20"/>
          <w:szCs w:val="20"/>
        </w:rPr>
        <w:t xml:space="preserve"> </w:t>
      </w:r>
      <w:r w:rsidRPr="000977F7">
        <w:rPr>
          <w:rFonts w:asciiTheme="majorHAnsi" w:hAnsiTheme="majorHAnsi"/>
          <w:spacing w:val="-2"/>
          <w:sz w:val="20"/>
          <w:szCs w:val="20"/>
        </w:rPr>
        <w:t>виробника</w:t>
      </w:r>
      <w:r w:rsidRPr="000977F7">
        <w:rPr>
          <w:rFonts w:asciiTheme="majorHAnsi" w:hAnsiTheme="majorHAnsi"/>
          <w:spacing w:val="-10"/>
          <w:sz w:val="20"/>
          <w:szCs w:val="20"/>
        </w:rPr>
        <w:t xml:space="preserve"> </w:t>
      </w:r>
      <w:r w:rsidRPr="000977F7">
        <w:rPr>
          <w:rFonts w:asciiTheme="majorHAnsi" w:hAnsiTheme="majorHAnsi"/>
          <w:spacing w:val="-1"/>
          <w:sz w:val="20"/>
          <w:szCs w:val="20"/>
        </w:rPr>
        <w:t>чи</w:t>
      </w:r>
      <w:r w:rsidRPr="000977F7">
        <w:rPr>
          <w:rFonts w:asciiTheme="majorHAnsi" w:hAnsiTheme="majorHAnsi"/>
          <w:spacing w:val="-9"/>
          <w:sz w:val="20"/>
          <w:szCs w:val="20"/>
        </w:rPr>
        <w:t xml:space="preserve"> </w:t>
      </w:r>
      <w:r w:rsidRPr="000977F7">
        <w:rPr>
          <w:rFonts w:asciiTheme="majorHAnsi" w:hAnsiTheme="majorHAnsi"/>
          <w:spacing w:val="-1"/>
          <w:sz w:val="20"/>
          <w:szCs w:val="20"/>
        </w:rPr>
        <w:t>інших</w:t>
      </w:r>
      <w:r w:rsidRPr="000977F7">
        <w:rPr>
          <w:rFonts w:asciiTheme="majorHAnsi" w:hAnsiTheme="majorHAnsi"/>
          <w:spacing w:val="-10"/>
          <w:sz w:val="20"/>
          <w:szCs w:val="20"/>
        </w:rPr>
        <w:t xml:space="preserve"> </w:t>
      </w:r>
      <w:r w:rsidRPr="000977F7">
        <w:rPr>
          <w:rFonts w:asciiTheme="majorHAnsi" w:hAnsiTheme="majorHAnsi"/>
          <w:spacing w:val="-1"/>
          <w:sz w:val="20"/>
          <w:szCs w:val="20"/>
        </w:rPr>
        <w:t>осіб</w:t>
      </w:r>
      <w:r w:rsidRPr="000977F7">
        <w:rPr>
          <w:rFonts w:asciiTheme="majorHAnsi" w:hAnsiTheme="majorHAnsi"/>
          <w:spacing w:val="-9"/>
          <w:sz w:val="20"/>
          <w:szCs w:val="20"/>
        </w:rPr>
        <w:t xml:space="preserve"> </w:t>
      </w:r>
      <w:r w:rsidRPr="000977F7">
        <w:rPr>
          <w:rFonts w:asciiTheme="majorHAnsi" w:hAnsiTheme="majorHAnsi"/>
          <w:spacing w:val="-1"/>
          <w:sz w:val="20"/>
          <w:szCs w:val="20"/>
        </w:rPr>
        <w:t>за</w:t>
      </w:r>
      <w:r w:rsidRPr="000977F7">
        <w:rPr>
          <w:rFonts w:asciiTheme="majorHAnsi" w:hAnsiTheme="majorHAnsi"/>
          <w:spacing w:val="-7"/>
          <w:sz w:val="20"/>
          <w:szCs w:val="20"/>
        </w:rPr>
        <w:t xml:space="preserve"> </w:t>
      </w:r>
      <w:r w:rsidRPr="000977F7">
        <w:rPr>
          <w:rFonts w:asciiTheme="majorHAnsi" w:hAnsiTheme="majorHAnsi"/>
          <w:spacing w:val="-1"/>
          <w:sz w:val="20"/>
          <w:szCs w:val="20"/>
        </w:rPr>
        <w:t>відшкодування</w:t>
      </w:r>
      <w:r w:rsidRPr="000977F7">
        <w:rPr>
          <w:rFonts w:asciiTheme="majorHAnsi" w:hAnsiTheme="majorHAnsi"/>
          <w:spacing w:val="-11"/>
          <w:sz w:val="20"/>
          <w:szCs w:val="20"/>
        </w:rPr>
        <w:t xml:space="preserve"> </w:t>
      </w:r>
      <w:r w:rsidRPr="000977F7">
        <w:rPr>
          <w:rFonts w:asciiTheme="majorHAnsi" w:hAnsiTheme="majorHAnsi"/>
          <w:spacing w:val="-1"/>
          <w:sz w:val="20"/>
          <w:szCs w:val="20"/>
        </w:rPr>
        <w:t>збитків</w:t>
      </w:r>
      <w:r w:rsidRPr="000977F7">
        <w:rPr>
          <w:rFonts w:asciiTheme="majorHAnsi" w:hAnsiTheme="majorHAnsi"/>
          <w:spacing w:val="-10"/>
          <w:sz w:val="20"/>
          <w:szCs w:val="20"/>
        </w:rPr>
        <w:t xml:space="preserve"> </w:t>
      </w:r>
      <w:r w:rsidRPr="000977F7">
        <w:rPr>
          <w:rFonts w:asciiTheme="majorHAnsi" w:hAnsiTheme="majorHAnsi"/>
          <w:spacing w:val="-1"/>
          <w:sz w:val="20"/>
          <w:szCs w:val="20"/>
        </w:rPr>
        <w:t>із-за</w:t>
      </w:r>
      <w:r w:rsidRPr="000977F7">
        <w:rPr>
          <w:rFonts w:asciiTheme="majorHAnsi" w:hAnsiTheme="majorHAnsi"/>
          <w:spacing w:val="-47"/>
          <w:sz w:val="20"/>
          <w:szCs w:val="20"/>
        </w:rPr>
        <w:t xml:space="preserve"> </w:t>
      </w:r>
      <w:r w:rsidRPr="000977F7">
        <w:rPr>
          <w:rFonts w:asciiTheme="majorHAnsi" w:hAnsiTheme="majorHAnsi"/>
          <w:sz w:val="20"/>
          <w:szCs w:val="20"/>
        </w:rPr>
        <w:t>нанесення</w:t>
      </w:r>
      <w:r w:rsidRPr="000977F7">
        <w:rPr>
          <w:rFonts w:asciiTheme="majorHAnsi" w:hAnsiTheme="majorHAnsi"/>
          <w:spacing w:val="-11"/>
          <w:sz w:val="20"/>
          <w:szCs w:val="20"/>
        </w:rPr>
        <w:t xml:space="preserve"> </w:t>
      </w:r>
      <w:r w:rsidRPr="000977F7">
        <w:rPr>
          <w:rFonts w:asciiTheme="majorHAnsi" w:hAnsiTheme="majorHAnsi"/>
          <w:sz w:val="20"/>
          <w:szCs w:val="20"/>
        </w:rPr>
        <w:t>травм,</w:t>
      </w:r>
      <w:r w:rsidRPr="000977F7">
        <w:rPr>
          <w:rFonts w:asciiTheme="majorHAnsi" w:hAnsiTheme="majorHAnsi"/>
          <w:spacing w:val="-10"/>
          <w:sz w:val="20"/>
          <w:szCs w:val="20"/>
        </w:rPr>
        <w:t xml:space="preserve"> </w:t>
      </w:r>
      <w:r w:rsidRPr="000977F7">
        <w:rPr>
          <w:rFonts w:asciiTheme="majorHAnsi" w:hAnsiTheme="majorHAnsi"/>
          <w:sz w:val="20"/>
          <w:szCs w:val="20"/>
        </w:rPr>
        <w:t>пошкоджень</w:t>
      </w:r>
      <w:r w:rsidRPr="000977F7">
        <w:rPr>
          <w:rFonts w:asciiTheme="majorHAnsi" w:hAnsiTheme="majorHAnsi"/>
          <w:spacing w:val="-10"/>
          <w:sz w:val="20"/>
          <w:szCs w:val="20"/>
        </w:rPr>
        <w:t xml:space="preserve"> </w:t>
      </w:r>
      <w:r w:rsidRPr="000977F7">
        <w:rPr>
          <w:rFonts w:asciiTheme="majorHAnsi" w:hAnsiTheme="majorHAnsi"/>
          <w:sz w:val="20"/>
          <w:szCs w:val="20"/>
        </w:rPr>
        <w:t>власності</w:t>
      </w:r>
      <w:r w:rsidRPr="000977F7">
        <w:rPr>
          <w:rFonts w:asciiTheme="majorHAnsi" w:hAnsiTheme="majorHAnsi"/>
          <w:spacing w:val="-12"/>
          <w:sz w:val="20"/>
          <w:szCs w:val="20"/>
        </w:rPr>
        <w:t xml:space="preserve"> </w:t>
      </w:r>
      <w:r w:rsidRPr="000977F7">
        <w:rPr>
          <w:rFonts w:asciiTheme="majorHAnsi" w:hAnsiTheme="majorHAnsi"/>
          <w:sz w:val="20"/>
          <w:szCs w:val="20"/>
        </w:rPr>
        <w:t>чи</w:t>
      </w:r>
      <w:r w:rsidRPr="000977F7">
        <w:rPr>
          <w:rFonts w:asciiTheme="majorHAnsi" w:hAnsiTheme="majorHAnsi"/>
          <w:spacing w:val="-12"/>
          <w:sz w:val="20"/>
          <w:szCs w:val="20"/>
        </w:rPr>
        <w:t xml:space="preserve"> </w:t>
      </w:r>
      <w:r w:rsidRPr="000977F7">
        <w:rPr>
          <w:rFonts w:asciiTheme="majorHAnsi" w:hAnsiTheme="majorHAnsi"/>
          <w:sz w:val="20"/>
          <w:szCs w:val="20"/>
        </w:rPr>
        <w:t>іншої</w:t>
      </w:r>
      <w:r w:rsidRPr="000977F7">
        <w:rPr>
          <w:rFonts w:asciiTheme="majorHAnsi" w:hAnsiTheme="majorHAnsi"/>
          <w:spacing w:val="-10"/>
          <w:sz w:val="20"/>
          <w:szCs w:val="20"/>
        </w:rPr>
        <w:t xml:space="preserve"> </w:t>
      </w:r>
      <w:r w:rsidRPr="000977F7">
        <w:rPr>
          <w:rFonts w:asciiTheme="majorHAnsi" w:hAnsiTheme="majorHAnsi"/>
          <w:sz w:val="20"/>
          <w:szCs w:val="20"/>
        </w:rPr>
        <w:t>втрати в результаті використання продукції або послуг</w:t>
      </w:r>
      <w:r w:rsidRPr="000977F7">
        <w:rPr>
          <w:rFonts w:asciiTheme="majorHAnsi" w:hAnsiTheme="majorHAnsi"/>
          <w:spacing w:val="1"/>
          <w:sz w:val="20"/>
          <w:szCs w:val="20"/>
        </w:rPr>
        <w:t xml:space="preserve"> </w:t>
      </w:r>
    </w:p>
    <w:p w14:paraId="6008711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EE7B01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ВІДПОВІДАЛЬНІСТЬ ПРАЦІВНИКІВ ЗА </w:t>
      </w:r>
    </w:p>
    <w:p w14:paraId="595C0ED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ПОРУ</w:t>
      </w:r>
      <w:r w:rsidRPr="000977F7">
        <w:rPr>
          <w:color w:val="auto"/>
          <w:spacing w:val="-47"/>
          <w:sz w:val="20"/>
          <w:szCs w:val="20"/>
        </w:rPr>
        <w:t xml:space="preserve"> </w:t>
      </w:r>
      <w:r w:rsidRPr="000977F7">
        <w:rPr>
          <w:color w:val="auto"/>
          <w:sz w:val="20"/>
          <w:szCs w:val="20"/>
        </w:rPr>
        <w:t>ШЕННЯ</w:t>
      </w:r>
      <w:r w:rsidRPr="000977F7">
        <w:rPr>
          <w:color w:val="auto"/>
          <w:spacing w:val="-2"/>
          <w:sz w:val="20"/>
          <w:szCs w:val="20"/>
        </w:rPr>
        <w:t xml:space="preserve"> </w:t>
      </w:r>
      <w:r w:rsidRPr="000977F7">
        <w:rPr>
          <w:color w:val="auto"/>
          <w:sz w:val="20"/>
          <w:szCs w:val="20"/>
        </w:rPr>
        <w:t>ВИМОГ</w:t>
      </w:r>
      <w:r w:rsidRPr="000977F7">
        <w:rPr>
          <w:color w:val="auto"/>
          <w:spacing w:val="-1"/>
          <w:sz w:val="20"/>
          <w:szCs w:val="20"/>
        </w:rPr>
        <w:t xml:space="preserve"> </w:t>
      </w:r>
      <w:r w:rsidRPr="000977F7">
        <w:rPr>
          <w:color w:val="auto"/>
          <w:sz w:val="20"/>
          <w:szCs w:val="20"/>
        </w:rPr>
        <w:t>ЩОДО</w:t>
      </w:r>
      <w:r w:rsidRPr="000977F7">
        <w:rPr>
          <w:color w:val="auto"/>
          <w:spacing w:val="-3"/>
          <w:sz w:val="20"/>
          <w:szCs w:val="20"/>
        </w:rPr>
        <w:t xml:space="preserve"> </w:t>
      </w:r>
      <w:r w:rsidRPr="000977F7">
        <w:rPr>
          <w:color w:val="auto"/>
          <w:sz w:val="20"/>
          <w:szCs w:val="20"/>
        </w:rPr>
        <w:t>ОХОРОНИ</w:t>
      </w:r>
      <w:r w:rsidRPr="000977F7">
        <w:rPr>
          <w:color w:val="auto"/>
          <w:spacing w:val="-1"/>
          <w:sz w:val="20"/>
          <w:szCs w:val="20"/>
        </w:rPr>
        <w:t xml:space="preserve"> </w:t>
      </w:r>
      <w:r w:rsidRPr="000977F7">
        <w:rPr>
          <w:color w:val="auto"/>
          <w:sz w:val="20"/>
          <w:szCs w:val="20"/>
        </w:rPr>
        <w:t>ПРАЦІ –</w:t>
      </w:r>
    </w:p>
    <w:p w14:paraId="3BB1504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порушення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законодавчих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інших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нормативних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актів про охорону праці, створення перешкод для діяльності посадових осіб органів державного нагляду за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охороною праці і представників професійних спілок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винні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працівники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притягаються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дисциплінарної,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адміністративної, матеріальної, кримінальної відповідальності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згідно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із законом</w:t>
      </w:r>
    </w:p>
    <w:p w14:paraId="1C6274C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44 закону України "Про охорону праці"</w:t>
      </w:r>
      <w:r w:rsidRPr="000977F7">
        <w:rPr>
          <w:rFonts w:asciiTheme="majorHAnsi" w:hAnsiTheme="majorHAnsi"/>
          <w:i/>
          <w:spacing w:val="1"/>
          <w:sz w:val="20"/>
          <w:szCs w:val="20"/>
        </w:rPr>
        <w:t xml:space="preserve"> </w:t>
      </w:r>
    </w:p>
    <w:p w14:paraId="0827228F" w14:textId="77777777" w:rsidR="0097612F" w:rsidRPr="004D2D14" w:rsidRDefault="0097612F" w:rsidP="000977F7">
      <w:pPr>
        <w:tabs>
          <w:tab w:val="left" w:pos="284"/>
        </w:tabs>
        <w:spacing w:after="0" w:line="240" w:lineRule="auto"/>
        <w:ind w:left="170"/>
        <w:mirrorIndents/>
        <w:jc w:val="both"/>
        <w:rPr>
          <w:rFonts w:asciiTheme="majorHAnsi" w:hAnsiTheme="majorHAnsi"/>
          <w:b/>
          <w:bCs/>
          <w:iCs/>
          <w:sz w:val="20"/>
          <w:szCs w:val="20"/>
          <w:lang w:val="en-US"/>
        </w:rPr>
      </w:pPr>
      <w:r w:rsidRPr="000977F7">
        <w:rPr>
          <w:rFonts w:asciiTheme="majorHAnsi" w:hAnsiTheme="majorHAnsi"/>
          <w:b/>
          <w:bCs/>
          <w:iCs/>
          <w:sz w:val="20"/>
          <w:szCs w:val="20"/>
        </w:rPr>
        <w:t>ВІДПОВІДНЕ</w:t>
      </w:r>
      <w:r w:rsidRPr="004D2D14">
        <w:rPr>
          <w:rFonts w:asciiTheme="majorHAnsi" w:hAnsiTheme="majorHAnsi"/>
          <w:b/>
          <w:bCs/>
          <w:iCs/>
          <w:sz w:val="20"/>
          <w:szCs w:val="20"/>
          <w:lang w:val="en-US"/>
        </w:rPr>
        <w:t xml:space="preserve"> </w:t>
      </w:r>
      <w:r w:rsidRPr="000977F7">
        <w:rPr>
          <w:rFonts w:asciiTheme="majorHAnsi" w:hAnsiTheme="majorHAnsi"/>
          <w:b/>
          <w:bCs/>
          <w:iCs/>
          <w:sz w:val="20"/>
          <w:szCs w:val="20"/>
        </w:rPr>
        <w:t>ЗМЕНШЕННЯ</w:t>
      </w:r>
      <w:r w:rsidRPr="004D2D14">
        <w:rPr>
          <w:rFonts w:asciiTheme="majorHAnsi" w:hAnsiTheme="majorHAnsi"/>
          <w:b/>
          <w:bCs/>
          <w:iCs/>
          <w:sz w:val="20"/>
          <w:szCs w:val="20"/>
          <w:lang w:val="en-US"/>
        </w:rPr>
        <w:t xml:space="preserve"> </w:t>
      </w:r>
      <w:r w:rsidRPr="000977F7">
        <w:rPr>
          <w:rFonts w:asciiTheme="majorHAnsi" w:hAnsiTheme="majorHAnsi"/>
          <w:b/>
          <w:bCs/>
          <w:iCs/>
          <w:sz w:val="20"/>
          <w:szCs w:val="20"/>
        </w:rPr>
        <w:t>РИЗИКУ</w:t>
      </w:r>
      <w:r w:rsidRPr="004D2D14">
        <w:rPr>
          <w:rFonts w:asciiTheme="majorHAnsi" w:hAnsiTheme="majorHAnsi"/>
          <w:b/>
          <w:bCs/>
          <w:iCs/>
          <w:sz w:val="20"/>
          <w:szCs w:val="20"/>
          <w:lang w:val="en-US"/>
        </w:rPr>
        <w:t xml:space="preserve"> –</w:t>
      </w:r>
    </w:p>
    <w:p w14:paraId="60656BC3" w14:textId="77777777" w:rsidR="0097612F" w:rsidRPr="004D2D14" w:rsidRDefault="0097612F" w:rsidP="000977F7">
      <w:pPr>
        <w:tabs>
          <w:tab w:val="left" w:pos="284"/>
        </w:tabs>
        <w:spacing w:after="0" w:line="240" w:lineRule="auto"/>
        <w:ind w:left="170"/>
        <w:mirrorIndents/>
        <w:jc w:val="both"/>
        <w:rPr>
          <w:rFonts w:asciiTheme="majorHAnsi" w:hAnsiTheme="majorHAnsi"/>
          <w:iCs/>
          <w:sz w:val="20"/>
          <w:szCs w:val="20"/>
          <w:lang w:val="en-US"/>
        </w:rPr>
      </w:pPr>
      <w:r w:rsidRPr="004D2D14">
        <w:rPr>
          <w:rFonts w:asciiTheme="majorHAnsi" w:hAnsiTheme="majorHAnsi"/>
          <w:iCs/>
          <w:sz w:val="20"/>
          <w:szCs w:val="20"/>
          <w:lang w:val="en-US"/>
        </w:rPr>
        <w:t>ADEQUATE RISK REDUCTION -</w:t>
      </w:r>
    </w:p>
    <w:p w14:paraId="2DE4114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Зменшення ризику, принаймні до рівня нормативних вимог і з урахуванням сучасного рівня техніки. </w:t>
      </w:r>
    </w:p>
    <w:p w14:paraId="21787B4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Примітка. Критерії досягнення відповідного зменшення ризику наведено в 5.6.2 </w:t>
      </w:r>
    </w:p>
    <w:p w14:paraId="261F525A"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1AA71992"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ВІДПОВІДНІСТЬ</w:t>
      </w:r>
      <w:r w:rsidRPr="000977F7">
        <w:rPr>
          <w:rFonts w:asciiTheme="majorHAnsi" w:hAnsiTheme="majorHAnsi"/>
          <w:b/>
          <w:spacing w:val="11"/>
          <w:sz w:val="20"/>
          <w:szCs w:val="20"/>
        </w:rPr>
        <w:t xml:space="preserve">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178CA57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CONFORMITY</w:t>
      </w:r>
      <w:r w:rsidRPr="000977F7">
        <w:rPr>
          <w:rFonts w:asciiTheme="majorHAnsi" w:hAnsiTheme="majorHAnsi"/>
          <w:spacing w:val="6"/>
          <w:sz w:val="20"/>
          <w:szCs w:val="20"/>
        </w:rPr>
        <w:t xml:space="preserve"> </w:t>
      </w:r>
      <w:r w:rsidRPr="000977F7">
        <w:rPr>
          <w:rFonts w:asciiTheme="majorHAnsi" w:hAnsiTheme="majorHAnsi"/>
          <w:sz w:val="20"/>
          <w:szCs w:val="20"/>
        </w:rPr>
        <w:t>–</w:t>
      </w:r>
    </w:p>
    <w:p w14:paraId="09B4C59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Виконання</w:t>
      </w:r>
      <w:r w:rsidRPr="000977F7">
        <w:rPr>
          <w:rFonts w:asciiTheme="majorHAnsi" w:hAnsiTheme="majorHAnsi"/>
          <w:spacing w:val="21"/>
          <w:sz w:val="20"/>
          <w:szCs w:val="20"/>
        </w:rPr>
        <w:t xml:space="preserve"> </w:t>
      </w:r>
      <w:r w:rsidRPr="000977F7">
        <w:rPr>
          <w:rFonts w:asciiTheme="majorHAnsi" w:hAnsiTheme="majorHAnsi"/>
          <w:sz w:val="20"/>
          <w:szCs w:val="20"/>
        </w:rPr>
        <w:t>вимоги.</w:t>
      </w:r>
    </w:p>
    <w:p w14:paraId="770DC3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12"/>
          <w:sz w:val="20"/>
          <w:szCs w:val="20"/>
        </w:rPr>
        <w:t xml:space="preserve"> </w:t>
      </w:r>
      <w:r w:rsidRPr="000977F7">
        <w:rPr>
          <w:rFonts w:asciiTheme="majorHAnsi" w:hAnsiTheme="majorHAnsi"/>
          <w:sz w:val="20"/>
          <w:szCs w:val="20"/>
        </w:rPr>
        <w:t>1.</w:t>
      </w:r>
      <w:r w:rsidRPr="000977F7">
        <w:rPr>
          <w:rFonts w:asciiTheme="majorHAnsi" w:hAnsiTheme="majorHAnsi"/>
          <w:spacing w:val="10"/>
          <w:sz w:val="20"/>
          <w:szCs w:val="20"/>
        </w:rPr>
        <w:t xml:space="preserve"> </w:t>
      </w:r>
      <w:r w:rsidRPr="000977F7">
        <w:rPr>
          <w:rFonts w:asciiTheme="majorHAnsi" w:hAnsiTheme="majorHAnsi"/>
          <w:sz w:val="20"/>
          <w:szCs w:val="20"/>
        </w:rPr>
        <w:t>В</w:t>
      </w:r>
      <w:r w:rsidRPr="000977F7">
        <w:rPr>
          <w:rFonts w:asciiTheme="majorHAnsi" w:hAnsiTheme="majorHAnsi"/>
          <w:spacing w:val="10"/>
          <w:sz w:val="20"/>
          <w:szCs w:val="20"/>
        </w:rPr>
        <w:t xml:space="preserve"> </w:t>
      </w:r>
      <w:r w:rsidRPr="000977F7">
        <w:rPr>
          <w:rFonts w:asciiTheme="majorHAnsi" w:hAnsiTheme="majorHAnsi"/>
          <w:sz w:val="20"/>
          <w:szCs w:val="20"/>
        </w:rPr>
        <w:t>англійській</w:t>
      </w:r>
      <w:r w:rsidRPr="000977F7">
        <w:rPr>
          <w:rFonts w:asciiTheme="majorHAnsi" w:hAnsiTheme="majorHAnsi"/>
          <w:spacing w:val="11"/>
          <w:sz w:val="20"/>
          <w:szCs w:val="20"/>
        </w:rPr>
        <w:t xml:space="preserve"> </w:t>
      </w:r>
      <w:r w:rsidRPr="000977F7">
        <w:rPr>
          <w:rFonts w:asciiTheme="majorHAnsi" w:hAnsiTheme="majorHAnsi"/>
          <w:sz w:val="20"/>
          <w:szCs w:val="20"/>
        </w:rPr>
        <w:t>мові</w:t>
      </w:r>
      <w:r w:rsidRPr="000977F7">
        <w:rPr>
          <w:rFonts w:asciiTheme="majorHAnsi" w:hAnsiTheme="majorHAnsi"/>
          <w:spacing w:val="12"/>
          <w:sz w:val="20"/>
          <w:szCs w:val="20"/>
        </w:rPr>
        <w:t xml:space="preserve"> </w:t>
      </w:r>
      <w:r w:rsidRPr="000977F7">
        <w:rPr>
          <w:rFonts w:asciiTheme="majorHAnsi" w:hAnsiTheme="majorHAnsi"/>
          <w:sz w:val="20"/>
          <w:szCs w:val="20"/>
        </w:rPr>
        <w:t>слово</w:t>
      </w:r>
      <w:r w:rsidRPr="000977F7">
        <w:rPr>
          <w:rFonts w:asciiTheme="majorHAnsi" w:hAnsiTheme="majorHAnsi"/>
          <w:spacing w:val="12"/>
          <w:sz w:val="20"/>
          <w:szCs w:val="20"/>
        </w:rPr>
        <w:t xml:space="preserve"> </w:t>
      </w:r>
      <w:r w:rsidRPr="000977F7">
        <w:rPr>
          <w:rFonts w:asciiTheme="majorHAnsi" w:hAnsiTheme="majorHAnsi"/>
          <w:sz w:val="20"/>
          <w:szCs w:val="20"/>
        </w:rPr>
        <w:t xml:space="preserve">«conformance» </w:t>
      </w:r>
      <w:r w:rsidRPr="000977F7">
        <w:rPr>
          <w:rFonts w:asciiTheme="majorHAnsi" w:hAnsiTheme="majorHAnsi"/>
          <w:spacing w:val="-47"/>
          <w:sz w:val="20"/>
          <w:szCs w:val="20"/>
        </w:rPr>
        <w:t xml:space="preserve"> </w:t>
      </w:r>
      <w:r w:rsidRPr="000977F7">
        <w:rPr>
          <w:rFonts w:asciiTheme="majorHAnsi" w:hAnsiTheme="majorHAnsi"/>
          <w:sz w:val="20"/>
          <w:szCs w:val="20"/>
        </w:rPr>
        <w:t>є</w:t>
      </w:r>
      <w:r w:rsidRPr="000977F7">
        <w:rPr>
          <w:rFonts w:asciiTheme="majorHAnsi" w:hAnsiTheme="majorHAnsi"/>
          <w:spacing w:val="10"/>
          <w:sz w:val="20"/>
          <w:szCs w:val="20"/>
        </w:rPr>
        <w:t xml:space="preserve"> </w:t>
      </w:r>
      <w:r w:rsidRPr="000977F7">
        <w:rPr>
          <w:rFonts w:asciiTheme="majorHAnsi" w:hAnsiTheme="majorHAnsi"/>
          <w:sz w:val="20"/>
          <w:szCs w:val="20"/>
        </w:rPr>
        <w:t>синонімом,</w:t>
      </w:r>
      <w:r w:rsidRPr="000977F7">
        <w:rPr>
          <w:rFonts w:asciiTheme="majorHAnsi" w:hAnsiTheme="majorHAnsi"/>
          <w:spacing w:val="11"/>
          <w:sz w:val="20"/>
          <w:szCs w:val="20"/>
        </w:rPr>
        <w:t xml:space="preserve"> </w:t>
      </w:r>
      <w:r w:rsidRPr="000977F7">
        <w:rPr>
          <w:rFonts w:asciiTheme="majorHAnsi" w:hAnsiTheme="majorHAnsi"/>
          <w:sz w:val="20"/>
          <w:szCs w:val="20"/>
        </w:rPr>
        <w:t>але</w:t>
      </w:r>
      <w:r w:rsidRPr="000977F7">
        <w:rPr>
          <w:rFonts w:asciiTheme="majorHAnsi" w:hAnsiTheme="majorHAnsi"/>
          <w:spacing w:val="11"/>
          <w:sz w:val="20"/>
          <w:szCs w:val="20"/>
        </w:rPr>
        <w:t xml:space="preserve"> </w:t>
      </w:r>
      <w:r w:rsidRPr="000977F7">
        <w:rPr>
          <w:rFonts w:asciiTheme="majorHAnsi" w:hAnsiTheme="majorHAnsi"/>
          <w:sz w:val="20"/>
          <w:szCs w:val="20"/>
        </w:rPr>
        <w:t>вживати</w:t>
      </w:r>
      <w:r w:rsidRPr="000977F7">
        <w:rPr>
          <w:rFonts w:asciiTheme="majorHAnsi" w:hAnsiTheme="majorHAnsi"/>
          <w:spacing w:val="8"/>
          <w:sz w:val="20"/>
          <w:szCs w:val="20"/>
        </w:rPr>
        <w:t xml:space="preserve"> </w:t>
      </w:r>
      <w:r w:rsidRPr="000977F7">
        <w:rPr>
          <w:rFonts w:asciiTheme="majorHAnsi" w:hAnsiTheme="majorHAnsi"/>
          <w:sz w:val="20"/>
          <w:szCs w:val="20"/>
        </w:rPr>
        <w:t>його</w:t>
      </w:r>
      <w:r w:rsidRPr="000977F7">
        <w:rPr>
          <w:rFonts w:asciiTheme="majorHAnsi" w:hAnsiTheme="majorHAnsi"/>
          <w:spacing w:val="11"/>
          <w:sz w:val="20"/>
          <w:szCs w:val="20"/>
        </w:rPr>
        <w:t xml:space="preserve"> </w:t>
      </w:r>
      <w:r w:rsidRPr="000977F7">
        <w:rPr>
          <w:rFonts w:asciiTheme="majorHAnsi" w:hAnsiTheme="majorHAnsi"/>
          <w:sz w:val="20"/>
          <w:szCs w:val="20"/>
        </w:rPr>
        <w:t>не</w:t>
      </w:r>
      <w:r w:rsidRPr="000977F7">
        <w:rPr>
          <w:rFonts w:asciiTheme="majorHAnsi" w:hAnsiTheme="majorHAnsi"/>
          <w:spacing w:val="7"/>
          <w:sz w:val="20"/>
          <w:szCs w:val="20"/>
        </w:rPr>
        <w:t xml:space="preserve"> </w:t>
      </w:r>
      <w:r w:rsidRPr="000977F7">
        <w:rPr>
          <w:rFonts w:asciiTheme="majorHAnsi" w:hAnsiTheme="majorHAnsi"/>
          <w:sz w:val="20"/>
          <w:szCs w:val="20"/>
        </w:rPr>
        <w:t>рекомендовано.</w:t>
      </w:r>
      <w:r w:rsidRPr="000977F7">
        <w:rPr>
          <w:rFonts w:asciiTheme="majorHAnsi" w:hAnsiTheme="majorHAnsi"/>
          <w:spacing w:val="7"/>
          <w:sz w:val="20"/>
          <w:szCs w:val="20"/>
        </w:rPr>
        <w:t xml:space="preserve"> </w:t>
      </w:r>
      <w:r w:rsidRPr="000977F7">
        <w:rPr>
          <w:rFonts w:asciiTheme="majorHAnsi" w:hAnsiTheme="majorHAnsi"/>
          <w:sz w:val="20"/>
          <w:szCs w:val="20"/>
        </w:rPr>
        <w:t>У</w:t>
      </w:r>
      <w:r w:rsidRPr="000977F7">
        <w:rPr>
          <w:rFonts w:asciiTheme="majorHAnsi" w:hAnsiTheme="majorHAnsi"/>
          <w:spacing w:val="-47"/>
          <w:sz w:val="20"/>
          <w:szCs w:val="20"/>
        </w:rPr>
        <w:t xml:space="preserve"> </w:t>
      </w:r>
      <w:r w:rsidRPr="000977F7">
        <w:rPr>
          <w:rFonts w:asciiTheme="majorHAnsi" w:hAnsiTheme="majorHAnsi"/>
          <w:sz w:val="20"/>
          <w:szCs w:val="20"/>
        </w:rPr>
        <w:t>французькій</w:t>
      </w:r>
      <w:r w:rsidRPr="000977F7">
        <w:rPr>
          <w:rFonts w:asciiTheme="majorHAnsi" w:hAnsiTheme="majorHAnsi"/>
          <w:spacing w:val="9"/>
          <w:sz w:val="20"/>
          <w:szCs w:val="20"/>
        </w:rPr>
        <w:t xml:space="preserve"> </w:t>
      </w:r>
      <w:r w:rsidRPr="000977F7">
        <w:rPr>
          <w:rFonts w:asciiTheme="majorHAnsi" w:hAnsiTheme="majorHAnsi"/>
          <w:sz w:val="20"/>
          <w:szCs w:val="20"/>
        </w:rPr>
        <w:t>мові</w:t>
      </w:r>
      <w:r w:rsidRPr="000977F7">
        <w:rPr>
          <w:rFonts w:asciiTheme="majorHAnsi" w:hAnsiTheme="majorHAnsi"/>
          <w:spacing w:val="10"/>
          <w:sz w:val="20"/>
          <w:szCs w:val="20"/>
        </w:rPr>
        <w:t xml:space="preserve"> </w:t>
      </w:r>
      <w:r w:rsidRPr="000977F7">
        <w:rPr>
          <w:rFonts w:asciiTheme="majorHAnsi" w:hAnsiTheme="majorHAnsi"/>
          <w:sz w:val="20"/>
          <w:szCs w:val="20"/>
        </w:rPr>
        <w:t>слово</w:t>
      </w:r>
      <w:r w:rsidRPr="000977F7">
        <w:rPr>
          <w:rFonts w:asciiTheme="majorHAnsi" w:hAnsiTheme="majorHAnsi"/>
          <w:spacing w:val="18"/>
          <w:sz w:val="20"/>
          <w:szCs w:val="20"/>
        </w:rPr>
        <w:t xml:space="preserve"> </w:t>
      </w:r>
      <w:r w:rsidRPr="000977F7">
        <w:rPr>
          <w:rFonts w:asciiTheme="majorHAnsi" w:hAnsiTheme="majorHAnsi"/>
          <w:sz w:val="20"/>
          <w:szCs w:val="20"/>
        </w:rPr>
        <w:t>«compliance»</w:t>
      </w:r>
      <w:r w:rsidRPr="000977F7">
        <w:rPr>
          <w:rFonts w:asciiTheme="majorHAnsi" w:hAnsiTheme="majorHAnsi"/>
          <w:spacing w:val="5"/>
          <w:sz w:val="20"/>
          <w:szCs w:val="20"/>
        </w:rPr>
        <w:t xml:space="preserve"> </w:t>
      </w:r>
      <w:r w:rsidRPr="000977F7">
        <w:rPr>
          <w:rFonts w:asciiTheme="majorHAnsi" w:hAnsiTheme="majorHAnsi"/>
          <w:sz w:val="20"/>
          <w:szCs w:val="20"/>
        </w:rPr>
        <w:t>є</w:t>
      </w:r>
      <w:r w:rsidRPr="000977F7">
        <w:rPr>
          <w:rFonts w:asciiTheme="majorHAnsi" w:hAnsiTheme="majorHAnsi"/>
          <w:spacing w:val="11"/>
          <w:sz w:val="20"/>
          <w:szCs w:val="20"/>
        </w:rPr>
        <w:t xml:space="preserve"> </w:t>
      </w:r>
      <w:r w:rsidRPr="000977F7">
        <w:rPr>
          <w:rFonts w:asciiTheme="majorHAnsi" w:hAnsiTheme="majorHAnsi"/>
          <w:sz w:val="20"/>
          <w:szCs w:val="20"/>
        </w:rPr>
        <w:t>синонімом,</w:t>
      </w:r>
      <w:r w:rsidRPr="000977F7">
        <w:rPr>
          <w:rFonts w:asciiTheme="majorHAnsi" w:hAnsiTheme="majorHAnsi"/>
          <w:spacing w:val="1"/>
          <w:sz w:val="20"/>
          <w:szCs w:val="20"/>
        </w:rPr>
        <w:t xml:space="preserve"> </w:t>
      </w:r>
      <w:r w:rsidRPr="000977F7">
        <w:rPr>
          <w:rFonts w:asciiTheme="majorHAnsi" w:hAnsiTheme="majorHAnsi"/>
          <w:sz w:val="20"/>
          <w:szCs w:val="20"/>
        </w:rPr>
        <w:t>але</w:t>
      </w:r>
      <w:r w:rsidRPr="000977F7">
        <w:rPr>
          <w:rFonts w:asciiTheme="majorHAnsi" w:hAnsiTheme="majorHAnsi"/>
          <w:spacing w:val="5"/>
          <w:sz w:val="20"/>
          <w:szCs w:val="20"/>
        </w:rPr>
        <w:t xml:space="preserve"> </w:t>
      </w:r>
      <w:r w:rsidRPr="000977F7">
        <w:rPr>
          <w:rFonts w:asciiTheme="majorHAnsi" w:hAnsiTheme="majorHAnsi"/>
          <w:sz w:val="20"/>
          <w:szCs w:val="20"/>
        </w:rPr>
        <w:t>вживати</w:t>
      </w:r>
      <w:r w:rsidRPr="000977F7">
        <w:rPr>
          <w:rFonts w:asciiTheme="majorHAnsi" w:hAnsiTheme="majorHAnsi"/>
          <w:spacing w:val="7"/>
          <w:sz w:val="20"/>
          <w:szCs w:val="20"/>
        </w:rPr>
        <w:t xml:space="preserve"> </w:t>
      </w:r>
      <w:r w:rsidRPr="000977F7">
        <w:rPr>
          <w:rFonts w:asciiTheme="majorHAnsi" w:hAnsiTheme="majorHAnsi"/>
          <w:sz w:val="20"/>
          <w:szCs w:val="20"/>
        </w:rPr>
        <w:t>його</w:t>
      </w:r>
      <w:r w:rsidRPr="000977F7">
        <w:rPr>
          <w:rFonts w:asciiTheme="majorHAnsi" w:hAnsiTheme="majorHAnsi"/>
          <w:spacing w:val="6"/>
          <w:sz w:val="20"/>
          <w:szCs w:val="20"/>
        </w:rPr>
        <w:t xml:space="preserve"> </w:t>
      </w:r>
      <w:r w:rsidRPr="000977F7">
        <w:rPr>
          <w:rFonts w:asciiTheme="majorHAnsi" w:hAnsiTheme="majorHAnsi"/>
          <w:sz w:val="20"/>
          <w:szCs w:val="20"/>
        </w:rPr>
        <w:t>не</w:t>
      </w:r>
      <w:r w:rsidRPr="000977F7">
        <w:rPr>
          <w:rFonts w:asciiTheme="majorHAnsi" w:hAnsiTheme="majorHAnsi"/>
          <w:spacing w:val="6"/>
          <w:sz w:val="20"/>
          <w:szCs w:val="20"/>
        </w:rPr>
        <w:t xml:space="preserve"> </w:t>
      </w:r>
      <w:r w:rsidRPr="000977F7">
        <w:rPr>
          <w:rFonts w:asciiTheme="majorHAnsi" w:hAnsiTheme="majorHAnsi"/>
          <w:sz w:val="20"/>
          <w:szCs w:val="20"/>
        </w:rPr>
        <w:t>рекомендовано.</w:t>
      </w:r>
    </w:p>
    <w:p w14:paraId="660EC03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1"/>
          <w:sz w:val="20"/>
          <w:szCs w:val="20"/>
        </w:rPr>
        <w:t xml:space="preserve"> </w:t>
      </w:r>
      <w:r w:rsidRPr="000977F7">
        <w:rPr>
          <w:rFonts w:asciiTheme="majorHAnsi" w:hAnsiTheme="majorHAnsi"/>
          <w:i/>
          <w:sz w:val="20"/>
          <w:szCs w:val="20"/>
        </w:rPr>
        <w:t>ISO</w:t>
      </w:r>
      <w:r w:rsidRPr="000977F7">
        <w:rPr>
          <w:rFonts w:asciiTheme="majorHAnsi" w:hAnsiTheme="majorHAnsi"/>
          <w:i/>
          <w:spacing w:val="8"/>
          <w:sz w:val="20"/>
          <w:szCs w:val="20"/>
        </w:rPr>
        <w:t xml:space="preserve"> </w:t>
      </w:r>
      <w:r w:rsidRPr="000977F7">
        <w:rPr>
          <w:rFonts w:asciiTheme="majorHAnsi" w:hAnsiTheme="majorHAnsi"/>
          <w:i/>
          <w:sz w:val="20"/>
          <w:szCs w:val="20"/>
        </w:rPr>
        <w:t>9000:2015</w:t>
      </w:r>
    </w:p>
    <w:p w14:paraId="5EF161B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ВІДПОВІДНІСТЬ</w:t>
      </w:r>
      <w:r w:rsidRPr="000977F7">
        <w:rPr>
          <w:rFonts w:asciiTheme="majorHAnsi" w:hAnsiTheme="majorHAnsi"/>
          <w:b/>
          <w:spacing w:val="16"/>
          <w:sz w:val="20"/>
          <w:szCs w:val="20"/>
        </w:rPr>
        <w:t xml:space="preserve"> </w:t>
      </w:r>
      <w:r w:rsidRPr="000977F7">
        <w:rPr>
          <w:rFonts w:asciiTheme="majorHAnsi" w:hAnsiTheme="majorHAnsi"/>
          <w:b/>
          <w:sz w:val="20"/>
          <w:szCs w:val="20"/>
        </w:rPr>
        <w:t>ПРОГРАМНОГО</w:t>
      </w:r>
      <w:r w:rsidRPr="000977F7">
        <w:rPr>
          <w:rFonts w:asciiTheme="majorHAnsi" w:hAnsiTheme="majorHAnsi"/>
          <w:b/>
          <w:spacing w:val="18"/>
          <w:sz w:val="20"/>
          <w:szCs w:val="20"/>
        </w:rPr>
        <w:t xml:space="preserve"> </w:t>
      </w:r>
      <w:r w:rsidRPr="000977F7">
        <w:rPr>
          <w:rFonts w:asciiTheme="majorHAnsi" w:hAnsiTheme="majorHAnsi"/>
          <w:b/>
          <w:sz w:val="20"/>
          <w:szCs w:val="20"/>
        </w:rPr>
        <w:t>ЗАСОБУ</w:t>
      </w:r>
      <w:r w:rsidRPr="000977F7">
        <w:rPr>
          <w:rFonts w:asciiTheme="majorHAnsi" w:hAnsiTheme="majorHAnsi"/>
          <w:b/>
          <w:spacing w:val="18"/>
          <w:sz w:val="20"/>
          <w:szCs w:val="20"/>
        </w:rPr>
        <w:t xml:space="preserve"> </w:t>
      </w:r>
      <w:r w:rsidRPr="000977F7">
        <w:rPr>
          <w:rFonts w:asciiTheme="majorHAnsi" w:hAnsiTheme="majorHAnsi"/>
          <w:sz w:val="20"/>
          <w:szCs w:val="20"/>
        </w:rPr>
        <w:t>–</w:t>
      </w:r>
      <w:r w:rsidRPr="000977F7">
        <w:rPr>
          <w:rFonts w:asciiTheme="majorHAnsi" w:hAnsiTheme="majorHAnsi"/>
          <w:spacing w:val="-47"/>
          <w:sz w:val="20"/>
          <w:szCs w:val="20"/>
        </w:rPr>
        <w:t xml:space="preserve"> </w:t>
      </w:r>
      <w:r w:rsidRPr="000977F7">
        <w:rPr>
          <w:rFonts w:asciiTheme="majorHAnsi" w:hAnsiTheme="majorHAnsi"/>
          <w:sz w:val="20"/>
          <w:szCs w:val="20"/>
        </w:rPr>
        <w:t>SOFTWARE</w:t>
      </w:r>
      <w:r w:rsidRPr="000977F7">
        <w:rPr>
          <w:rFonts w:asciiTheme="majorHAnsi" w:hAnsiTheme="majorHAnsi"/>
          <w:spacing w:val="5"/>
          <w:sz w:val="20"/>
          <w:szCs w:val="20"/>
        </w:rPr>
        <w:t xml:space="preserve"> </w:t>
      </w:r>
      <w:r w:rsidRPr="000977F7">
        <w:rPr>
          <w:rFonts w:asciiTheme="majorHAnsi" w:hAnsiTheme="majorHAnsi"/>
          <w:sz w:val="20"/>
          <w:szCs w:val="20"/>
        </w:rPr>
        <w:t>CONFORMITY</w:t>
      </w:r>
      <w:r w:rsidRPr="000977F7">
        <w:rPr>
          <w:rFonts w:asciiTheme="majorHAnsi" w:hAnsiTheme="majorHAnsi"/>
          <w:spacing w:val="10"/>
          <w:sz w:val="20"/>
          <w:szCs w:val="20"/>
        </w:rPr>
        <w:t xml:space="preserve"> </w:t>
      </w:r>
      <w:r w:rsidRPr="000977F7">
        <w:rPr>
          <w:rFonts w:asciiTheme="majorHAnsi" w:hAnsiTheme="majorHAnsi"/>
          <w:sz w:val="20"/>
          <w:szCs w:val="20"/>
        </w:rPr>
        <w:t>–</w:t>
      </w:r>
    </w:p>
    <w:p w14:paraId="6D3D770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Дотримання</w:t>
      </w:r>
      <w:r w:rsidRPr="000977F7">
        <w:rPr>
          <w:rFonts w:asciiTheme="majorHAnsi" w:hAnsiTheme="majorHAnsi"/>
          <w:spacing w:val="15"/>
          <w:sz w:val="20"/>
          <w:szCs w:val="20"/>
        </w:rPr>
        <w:t xml:space="preserve"> </w:t>
      </w:r>
      <w:r w:rsidRPr="000977F7">
        <w:rPr>
          <w:rFonts w:asciiTheme="majorHAnsi" w:hAnsiTheme="majorHAnsi"/>
          <w:sz w:val="20"/>
          <w:szCs w:val="20"/>
        </w:rPr>
        <w:t>всіх</w:t>
      </w:r>
      <w:r w:rsidRPr="000977F7">
        <w:rPr>
          <w:rFonts w:asciiTheme="majorHAnsi" w:hAnsiTheme="majorHAnsi"/>
          <w:spacing w:val="15"/>
          <w:sz w:val="20"/>
          <w:szCs w:val="20"/>
        </w:rPr>
        <w:t xml:space="preserve"> </w:t>
      </w:r>
      <w:r w:rsidRPr="000977F7">
        <w:rPr>
          <w:rFonts w:asciiTheme="majorHAnsi" w:hAnsiTheme="majorHAnsi"/>
          <w:sz w:val="20"/>
          <w:szCs w:val="20"/>
        </w:rPr>
        <w:t>установлених</w:t>
      </w:r>
      <w:r w:rsidRPr="000977F7">
        <w:rPr>
          <w:rFonts w:asciiTheme="majorHAnsi" w:hAnsiTheme="majorHAnsi"/>
          <w:spacing w:val="14"/>
          <w:sz w:val="20"/>
          <w:szCs w:val="20"/>
        </w:rPr>
        <w:t xml:space="preserve"> </w:t>
      </w:r>
      <w:r w:rsidRPr="000977F7">
        <w:rPr>
          <w:rFonts w:asciiTheme="majorHAnsi" w:hAnsiTheme="majorHAnsi"/>
          <w:sz w:val="20"/>
          <w:szCs w:val="20"/>
        </w:rPr>
        <w:t>вимог</w:t>
      </w:r>
      <w:r w:rsidRPr="000977F7">
        <w:rPr>
          <w:rFonts w:asciiTheme="majorHAnsi" w:hAnsiTheme="majorHAnsi"/>
          <w:spacing w:val="16"/>
          <w:sz w:val="20"/>
          <w:szCs w:val="20"/>
        </w:rPr>
        <w:t xml:space="preserve"> </w:t>
      </w:r>
      <w:r w:rsidRPr="000977F7">
        <w:rPr>
          <w:rFonts w:asciiTheme="majorHAnsi" w:hAnsiTheme="majorHAnsi"/>
          <w:sz w:val="20"/>
          <w:szCs w:val="20"/>
        </w:rPr>
        <w:t>до</w:t>
      </w:r>
      <w:r w:rsidRPr="000977F7">
        <w:rPr>
          <w:rFonts w:asciiTheme="majorHAnsi" w:hAnsiTheme="majorHAnsi"/>
          <w:spacing w:val="17"/>
          <w:sz w:val="20"/>
          <w:szCs w:val="20"/>
        </w:rPr>
        <w:t xml:space="preserve"> </w:t>
      </w:r>
      <w:r w:rsidRPr="000977F7">
        <w:rPr>
          <w:rFonts w:asciiTheme="majorHAnsi" w:hAnsiTheme="majorHAnsi"/>
          <w:sz w:val="20"/>
          <w:szCs w:val="20"/>
        </w:rPr>
        <w:t>програмного</w:t>
      </w:r>
      <w:r w:rsidRPr="000977F7">
        <w:rPr>
          <w:rFonts w:asciiTheme="majorHAnsi" w:hAnsiTheme="majorHAnsi"/>
          <w:spacing w:val="5"/>
          <w:sz w:val="20"/>
          <w:szCs w:val="20"/>
        </w:rPr>
        <w:t xml:space="preserve"> </w:t>
      </w:r>
      <w:r w:rsidRPr="000977F7">
        <w:rPr>
          <w:rFonts w:asciiTheme="majorHAnsi" w:hAnsiTheme="majorHAnsi"/>
          <w:sz w:val="20"/>
          <w:szCs w:val="20"/>
        </w:rPr>
        <w:t>засобу</w:t>
      </w:r>
    </w:p>
    <w:p w14:paraId="6A0B2193"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2844</w:t>
      </w:r>
      <w:r w:rsidRPr="000977F7">
        <w:rPr>
          <w:rFonts w:asciiTheme="majorHAnsi" w:hAnsiTheme="majorHAnsi"/>
          <w:i/>
          <w:spacing w:val="50"/>
          <w:sz w:val="20"/>
          <w:szCs w:val="20"/>
        </w:rPr>
        <w:t xml:space="preserve"> </w:t>
      </w:r>
      <w:r w:rsidRPr="000977F7">
        <w:rPr>
          <w:rFonts w:asciiTheme="majorHAnsi" w:hAnsiTheme="majorHAnsi"/>
          <w:i/>
          <w:sz w:val="20"/>
          <w:szCs w:val="20"/>
        </w:rPr>
        <w:t>–</w:t>
      </w:r>
      <w:r w:rsidRPr="000977F7">
        <w:rPr>
          <w:rFonts w:asciiTheme="majorHAnsi" w:hAnsiTheme="majorHAnsi"/>
          <w:i/>
          <w:spacing w:val="50"/>
          <w:sz w:val="20"/>
          <w:szCs w:val="20"/>
        </w:rPr>
        <w:t xml:space="preserve"> </w:t>
      </w:r>
      <w:r w:rsidRPr="000977F7">
        <w:rPr>
          <w:rFonts w:asciiTheme="majorHAnsi" w:hAnsiTheme="majorHAnsi"/>
          <w:i/>
          <w:sz w:val="20"/>
          <w:szCs w:val="20"/>
        </w:rPr>
        <w:t>94</w:t>
      </w:r>
    </w:p>
    <w:p w14:paraId="4813F7DE"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8"/>
          <w:sz w:val="20"/>
          <w:szCs w:val="20"/>
        </w:rPr>
      </w:pPr>
      <w:r w:rsidRPr="000977F7">
        <w:rPr>
          <w:rFonts w:asciiTheme="majorHAnsi" w:hAnsiTheme="majorHAnsi"/>
          <w:b/>
          <w:sz w:val="20"/>
          <w:szCs w:val="20"/>
        </w:rPr>
        <w:t>ВІДПОВІДНІСТЬ ПРОДУКЦІЇ</w:t>
      </w:r>
      <w:r w:rsidRPr="000977F7">
        <w:rPr>
          <w:rFonts w:asciiTheme="majorHAnsi" w:hAnsiTheme="majorHAnsi"/>
          <w:b/>
          <w:spacing w:val="1"/>
          <w:sz w:val="20"/>
          <w:szCs w:val="20"/>
        </w:rPr>
        <w:t xml:space="preserve"> </w:t>
      </w:r>
      <w:r w:rsidRPr="000977F7">
        <w:rPr>
          <w:rFonts w:asciiTheme="majorHAnsi" w:hAnsiTheme="majorHAnsi"/>
          <w:b/>
          <w:sz w:val="20"/>
          <w:szCs w:val="20"/>
        </w:rPr>
        <w:t>–</w:t>
      </w:r>
      <w:r w:rsidRPr="000977F7">
        <w:rPr>
          <w:rFonts w:asciiTheme="majorHAnsi" w:hAnsiTheme="majorHAnsi"/>
          <w:b/>
          <w:spacing w:val="-48"/>
          <w:sz w:val="20"/>
          <w:szCs w:val="20"/>
        </w:rPr>
        <w:t xml:space="preserve"> </w:t>
      </w:r>
    </w:p>
    <w:p w14:paraId="4118D5F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CONFORMITY</w:t>
      </w:r>
      <w:r w:rsidRPr="000977F7">
        <w:rPr>
          <w:rFonts w:asciiTheme="majorHAnsi" w:hAnsiTheme="majorHAnsi"/>
          <w:spacing w:val="7"/>
          <w:sz w:val="20"/>
          <w:szCs w:val="20"/>
        </w:rPr>
        <w:t xml:space="preserve"> </w:t>
      </w:r>
      <w:r w:rsidRPr="000977F7">
        <w:rPr>
          <w:rFonts w:asciiTheme="majorHAnsi" w:hAnsiTheme="majorHAnsi"/>
          <w:sz w:val="20"/>
          <w:szCs w:val="20"/>
        </w:rPr>
        <w:t>–</w:t>
      </w:r>
    </w:p>
    <w:p w14:paraId="70D5482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Виконання</w:t>
      </w:r>
      <w:r w:rsidRPr="000977F7">
        <w:rPr>
          <w:rFonts w:asciiTheme="majorHAnsi" w:hAnsiTheme="majorHAnsi"/>
          <w:spacing w:val="12"/>
          <w:sz w:val="20"/>
          <w:szCs w:val="20"/>
        </w:rPr>
        <w:t xml:space="preserve"> </w:t>
      </w:r>
      <w:r w:rsidRPr="000977F7">
        <w:rPr>
          <w:rFonts w:asciiTheme="majorHAnsi" w:hAnsiTheme="majorHAnsi"/>
          <w:sz w:val="20"/>
          <w:szCs w:val="20"/>
        </w:rPr>
        <w:t>усіх</w:t>
      </w:r>
      <w:r w:rsidRPr="000977F7">
        <w:rPr>
          <w:rFonts w:asciiTheme="majorHAnsi" w:hAnsiTheme="majorHAnsi"/>
          <w:spacing w:val="9"/>
          <w:sz w:val="20"/>
          <w:szCs w:val="20"/>
        </w:rPr>
        <w:t xml:space="preserve"> </w:t>
      </w:r>
      <w:r w:rsidRPr="000977F7">
        <w:rPr>
          <w:rFonts w:asciiTheme="majorHAnsi" w:hAnsiTheme="majorHAnsi"/>
          <w:sz w:val="20"/>
          <w:szCs w:val="20"/>
        </w:rPr>
        <w:t>встановлених</w:t>
      </w:r>
      <w:r w:rsidRPr="000977F7">
        <w:rPr>
          <w:rFonts w:asciiTheme="majorHAnsi" w:hAnsiTheme="majorHAnsi"/>
          <w:spacing w:val="9"/>
          <w:sz w:val="20"/>
          <w:szCs w:val="20"/>
        </w:rPr>
        <w:t xml:space="preserve"> </w:t>
      </w:r>
      <w:r w:rsidRPr="000977F7">
        <w:rPr>
          <w:rFonts w:asciiTheme="majorHAnsi" w:hAnsiTheme="majorHAnsi"/>
          <w:sz w:val="20"/>
          <w:szCs w:val="20"/>
        </w:rPr>
        <w:t>вимог</w:t>
      </w:r>
      <w:r w:rsidRPr="000977F7">
        <w:rPr>
          <w:rFonts w:asciiTheme="majorHAnsi" w:hAnsiTheme="majorHAnsi"/>
          <w:spacing w:val="11"/>
          <w:sz w:val="20"/>
          <w:szCs w:val="20"/>
        </w:rPr>
        <w:t xml:space="preserve"> </w:t>
      </w:r>
      <w:r w:rsidRPr="000977F7">
        <w:rPr>
          <w:rFonts w:asciiTheme="majorHAnsi" w:hAnsiTheme="majorHAnsi"/>
          <w:sz w:val="20"/>
          <w:szCs w:val="20"/>
        </w:rPr>
        <w:t>до</w:t>
      </w:r>
      <w:r w:rsidRPr="000977F7">
        <w:rPr>
          <w:rFonts w:asciiTheme="majorHAnsi" w:hAnsiTheme="majorHAnsi"/>
          <w:spacing w:val="11"/>
          <w:sz w:val="20"/>
          <w:szCs w:val="20"/>
        </w:rPr>
        <w:t xml:space="preserve"> </w:t>
      </w:r>
      <w:r w:rsidRPr="000977F7">
        <w:rPr>
          <w:rFonts w:asciiTheme="majorHAnsi" w:hAnsiTheme="majorHAnsi"/>
          <w:sz w:val="20"/>
          <w:szCs w:val="20"/>
        </w:rPr>
        <w:t>продукції</w:t>
      </w:r>
    </w:p>
    <w:p w14:paraId="413E282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7"/>
          <w:sz w:val="20"/>
          <w:szCs w:val="20"/>
          <w:lang w:val="en-US"/>
        </w:rPr>
        <w:t xml:space="preserve"> </w:t>
      </w:r>
      <w:r w:rsidRPr="004D2D14">
        <w:rPr>
          <w:rFonts w:asciiTheme="majorHAnsi" w:hAnsiTheme="majorHAnsi"/>
          <w:i/>
          <w:sz w:val="20"/>
          <w:szCs w:val="20"/>
          <w:lang w:val="en-US"/>
        </w:rPr>
        <w:t>3278</w:t>
      </w:r>
      <w:r w:rsidRPr="004D2D14">
        <w:rPr>
          <w:rFonts w:asciiTheme="majorHAnsi" w:hAnsiTheme="majorHAnsi"/>
          <w:i/>
          <w:spacing w:val="8"/>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7"/>
          <w:sz w:val="20"/>
          <w:szCs w:val="20"/>
          <w:lang w:val="en-US"/>
        </w:rPr>
        <w:t xml:space="preserve"> </w:t>
      </w:r>
      <w:r w:rsidRPr="004D2D14">
        <w:rPr>
          <w:rFonts w:asciiTheme="majorHAnsi" w:hAnsiTheme="majorHAnsi"/>
          <w:i/>
          <w:sz w:val="20"/>
          <w:szCs w:val="20"/>
          <w:lang w:val="en-US"/>
        </w:rPr>
        <w:t>95</w:t>
      </w:r>
    </w:p>
    <w:p w14:paraId="089769A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ВІДПОВІДНІСТЬ</w:t>
      </w:r>
      <w:r w:rsidRPr="000977F7">
        <w:rPr>
          <w:color w:val="auto"/>
          <w:spacing w:val="14"/>
          <w:sz w:val="20"/>
          <w:szCs w:val="20"/>
        </w:rPr>
        <w:t xml:space="preserve"> </w:t>
      </w:r>
      <w:r w:rsidRPr="000977F7">
        <w:rPr>
          <w:color w:val="auto"/>
          <w:sz w:val="20"/>
          <w:szCs w:val="20"/>
        </w:rPr>
        <w:t>ПРИЗНАЧЕННЮ</w:t>
      </w:r>
      <w:r w:rsidRPr="000977F7">
        <w:rPr>
          <w:color w:val="auto"/>
          <w:spacing w:val="19"/>
          <w:sz w:val="20"/>
          <w:szCs w:val="20"/>
        </w:rPr>
        <w:t xml:space="preserve"> </w:t>
      </w:r>
      <w:r w:rsidRPr="000977F7">
        <w:rPr>
          <w:color w:val="auto"/>
          <w:sz w:val="20"/>
          <w:szCs w:val="20"/>
        </w:rPr>
        <w:t>–</w:t>
      </w:r>
    </w:p>
    <w:p w14:paraId="33BD5E2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FITNESS</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FOR</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PURPOSE</w:t>
      </w:r>
      <w:r w:rsidRPr="004D2D14">
        <w:rPr>
          <w:rFonts w:asciiTheme="majorHAnsi" w:hAnsiTheme="majorHAnsi"/>
          <w:spacing w:val="15"/>
          <w:sz w:val="20"/>
          <w:szCs w:val="20"/>
          <w:lang w:val="en-US"/>
        </w:rPr>
        <w:t xml:space="preserve"> </w:t>
      </w:r>
      <w:r w:rsidRPr="004D2D14">
        <w:rPr>
          <w:rFonts w:asciiTheme="majorHAnsi" w:hAnsiTheme="majorHAnsi"/>
          <w:sz w:val="20"/>
          <w:szCs w:val="20"/>
          <w:lang w:val="en-US"/>
        </w:rPr>
        <w:t>–</w:t>
      </w:r>
    </w:p>
    <w:p w14:paraId="02D1A4E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Здатність</w:t>
      </w:r>
      <w:r w:rsidRPr="000977F7">
        <w:rPr>
          <w:rFonts w:asciiTheme="majorHAnsi" w:hAnsiTheme="majorHAnsi"/>
          <w:spacing w:val="26"/>
          <w:sz w:val="20"/>
          <w:szCs w:val="20"/>
        </w:rPr>
        <w:t xml:space="preserve"> </w:t>
      </w:r>
      <w:r w:rsidRPr="000977F7">
        <w:rPr>
          <w:rFonts w:asciiTheme="majorHAnsi" w:hAnsiTheme="majorHAnsi"/>
          <w:sz w:val="20"/>
          <w:szCs w:val="20"/>
        </w:rPr>
        <w:t>виробу,</w:t>
      </w:r>
      <w:r w:rsidRPr="000977F7">
        <w:rPr>
          <w:rFonts w:asciiTheme="majorHAnsi" w:hAnsiTheme="majorHAnsi"/>
          <w:spacing w:val="26"/>
          <w:sz w:val="20"/>
          <w:szCs w:val="20"/>
        </w:rPr>
        <w:t xml:space="preserve"> </w:t>
      </w:r>
      <w:r w:rsidRPr="000977F7">
        <w:rPr>
          <w:rFonts w:asciiTheme="majorHAnsi" w:hAnsiTheme="majorHAnsi"/>
          <w:sz w:val="20"/>
          <w:szCs w:val="20"/>
        </w:rPr>
        <w:t>процесу</w:t>
      </w:r>
      <w:r w:rsidRPr="000977F7">
        <w:rPr>
          <w:rFonts w:asciiTheme="majorHAnsi" w:hAnsiTheme="majorHAnsi"/>
          <w:spacing w:val="23"/>
          <w:sz w:val="20"/>
          <w:szCs w:val="20"/>
        </w:rPr>
        <w:t xml:space="preserve"> </w:t>
      </w:r>
      <w:r w:rsidRPr="000977F7">
        <w:rPr>
          <w:rFonts w:asciiTheme="majorHAnsi" w:hAnsiTheme="majorHAnsi"/>
          <w:sz w:val="20"/>
          <w:szCs w:val="20"/>
        </w:rPr>
        <w:t>чи</w:t>
      </w:r>
      <w:r w:rsidRPr="000977F7">
        <w:rPr>
          <w:rFonts w:asciiTheme="majorHAnsi" w:hAnsiTheme="majorHAnsi"/>
          <w:spacing w:val="23"/>
          <w:sz w:val="20"/>
          <w:szCs w:val="20"/>
        </w:rPr>
        <w:t xml:space="preserve"> </w:t>
      </w:r>
      <w:r w:rsidRPr="000977F7">
        <w:rPr>
          <w:rFonts w:asciiTheme="majorHAnsi" w:hAnsiTheme="majorHAnsi"/>
          <w:sz w:val="20"/>
          <w:szCs w:val="20"/>
        </w:rPr>
        <w:t>послуги</w:t>
      </w:r>
      <w:r w:rsidRPr="000977F7">
        <w:rPr>
          <w:rFonts w:asciiTheme="majorHAnsi" w:hAnsiTheme="majorHAnsi"/>
          <w:spacing w:val="23"/>
          <w:sz w:val="20"/>
          <w:szCs w:val="20"/>
        </w:rPr>
        <w:t xml:space="preserve"> </w:t>
      </w:r>
      <w:r w:rsidRPr="000977F7">
        <w:rPr>
          <w:rFonts w:asciiTheme="majorHAnsi" w:hAnsiTheme="majorHAnsi"/>
          <w:sz w:val="20"/>
          <w:szCs w:val="20"/>
        </w:rPr>
        <w:t>виконувати</w:t>
      </w:r>
      <w:r w:rsidRPr="000977F7">
        <w:rPr>
          <w:rFonts w:asciiTheme="majorHAnsi" w:hAnsiTheme="majorHAnsi"/>
          <w:spacing w:val="-47"/>
          <w:sz w:val="20"/>
          <w:szCs w:val="20"/>
        </w:rPr>
        <w:t xml:space="preserve"> </w:t>
      </w:r>
      <w:r w:rsidRPr="000977F7">
        <w:rPr>
          <w:rFonts w:asciiTheme="majorHAnsi" w:hAnsiTheme="majorHAnsi"/>
          <w:sz w:val="20"/>
          <w:szCs w:val="20"/>
        </w:rPr>
        <w:t>певну</w:t>
      </w:r>
      <w:r w:rsidRPr="000977F7">
        <w:rPr>
          <w:rFonts w:asciiTheme="majorHAnsi" w:hAnsiTheme="majorHAnsi"/>
          <w:spacing w:val="1"/>
          <w:sz w:val="20"/>
          <w:szCs w:val="20"/>
        </w:rPr>
        <w:t xml:space="preserve"> </w:t>
      </w:r>
      <w:r w:rsidRPr="000977F7">
        <w:rPr>
          <w:rFonts w:asciiTheme="majorHAnsi" w:hAnsiTheme="majorHAnsi"/>
          <w:sz w:val="20"/>
          <w:szCs w:val="20"/>
        </w:rPr>
        <w:t>функцію</w:t>
      </w:r>
      <w:r w:rsidRPr="000977F7">
        <w:rPr>
          <w:rFonts w:asciiTheme="majorHAnsi" w:hAnsiTheme="majorHAnsi"/>
          <w:spacing w:val="5"/>
          <w:sz w:val="20"/>
          <w:szCs w:val="20"/>
        </w:rPr>
        <w:t xml:space="preserve"> </w:t>
      </w:r>
      <w:r w:rsidRPr="000977F7">
        <w:rPr>
          <w:rFonts w:asciiTheme="majorHAnsi" w:hAnsiTheme="majorHAnsi"/>
          <w:sz w:val="20"/>
          <w:szCs w:val="20"/>
        </w:rPr>
        <w:t>за</w:t>
      </w:r>
      <w:r w:rsidRPr="000977F7">
        <w:rPr>
          <w:rFonts w:asciiTheme="majorHAnsi" w:hAnsiTheme="majorHAnsi"/>
          <w:spacing w:val="6"/>
          <w:sz w:val="20"/>
          <w:szCs w:val="20"/>
        </w:rPr>
        <w:t xml:space="preserve"> </w:t>
      </w:r>
      <w:r w:rsidRPr="000977F7">
        <w:rPr>
          <w:rFonts w:asciiTheme="majorHAnsi" w:hAnsiTheme="majorHAnsi"/>
          <w:sz w:val="20"/>
          <w:szCs w:val="20"/>
        </w:rPr>
        <w:t>заданих</w:t>
      </w:r>
      <w:r w:rsidRPr="000977F7">
        <w:rPr>
          <w:rFonts w:asciiTheme="majorHAnsi" w:hAnsiTheme="majorHAnsi"/>
          <w:spacing w:val="5"/>
          <w:sz w:val="20"/>
          <w:szCs w:val="20"/>
        </w:rPr>
        <w:t xml:space="preserve"> </w:t>
      </w:r>
      <w:r w:rsidRPr="000977F7">
        <w:rPr>
          <w:rFonts w:asciiTheme="majorHAnsi" w:hAnsiTheme="majorHAnsi"/>
          <w:sz w:val="20"/>
          <w:szCs w:val="20"/>
        </w:rPr>
        <w:t>умов</w:t>
      </w:r>
    </w:p>
    <w:p w14:paraId="3FB02E99" w14:textId="77777777" w:rsidR="0097612F" w:rsidRPr="000977F7" w:rsidRDefault="0097612F" w:rsidP="000977F7">
      <w:pPr>
        <w:pStyle w:val="7"/>
        <w:tabs>
          <w:tab w:val="left" w:pos="284"/>
        </w:tabs>
        <w:spacing w:before="0" w:line="240" w:lineRule="auto"/>
        <w:ind w:left="170"/>
        <w:mirrorIndents/>
        <w:jc w:val="both"/>
        <w:rPr>
          <w:color w:val="auto"/>
          <w:spacing w:val="19"/>
          <w:sz w:val="20"/>
          <w:szCs w:val="20"/>
        </w:rPr>
      </w:pPr>
      <w:r w:rsidRPr="000977F7">
        <w:rPr>
          <w:color w:val="auto"/>
          <w:sz w:val="20"/>
          <w:szCs w:val="20"/>
        </w:rPr>
        <w:t>ВІДСОТОК</w:t>
      </w:r>
      <w:r w:rsidRPr="000977F7">
        <w:rPr>
          <w:color w:val="auto"/>
          <w:spacing w:val="11"/>
          <w:sz w:val="20"/>
          <w:szCs w:val="20"/>
        </w:rPr>
        <w:t xml:space="preserve"> </w:t>
      </w:r>
      <w:r w:rsidRPr="000977F7">
        <w:rPr>
          <w:color w:val="auto"/>
          <w:sz w:val="20"/>
          <w:szCs w:val="20"/>
        </w:rPr>
        <w:t>ЗДАНОЇ</w:t>
      </w:r>
      <w:r w:rsidRPr="000977F7">
        <w:rPr>
          <w:color w:val="auto"/>
          <w:spacing w:val="8"/>
          <w:sz w:val="20"/>
          <w:szCs w:val="20"/>
        </w:rPr>
        <w:t xml:space="preserve"> </w:t>
      </w:r>
      <w:r w:rsidRPr="000977F7">
        <w:rPr>
          <w:color w:val="auto"/>
          <w:sz w:val="20"/>
          <w:szCs w:val="20"/>
        </w:rPr>
        <w:t>ПРОДУКЦІЇ</w:t>
      </w:r>
      <w:r w:rsidRPr="000977F7">
        <w:rPr>
          <w:color w:val="auto"/>
          <w:spacing w:val="12"/>
          <w:sz w:val="20"/>
          <w:szCs w:val="20"/>
        </w:rPr>
        <w:t xml:space="preserve"> </w:t>
      </w:r>
      <w:r w:rsidRPr="000977F7">
        <w:rPr>
          <w:color w:val="auto"/>
          <w:sz w:val="20"/>
          <w:szCs w:val="20"/>
        </w:rPr>
        <w:t>З</w:t>
      </w:r>
      <w:r w:rsidRPr="000977F7">
        <w:rPr>
          <w:color w:val="auto"/>
          <w:spacing w:val="13"/>
          <w:sz w:val="20"/>
          <w:szCs w:val="20"/>
        </w:rPr>
        <w:t xml:space="preserve"> </w:t>
      </w:r>
      <w:r w:rsidRPr="000977F7">
        <w:rPr>
          <w:color w:val="auto"/>
          <w:sz w:val="20"/>
          <w:szCs w:val="20"/>
        </w:rPr>
        <w:t>ПЕРШОГО</w:t>
      </w:r>
      <w:r w:rsidRPr="000977F7">
        <w:rPr>
          <w:color w:val="auto"/>
          <w:spacing w:val="1"/>
          <w:sz w:val="20"/>
          <w:szCs w:val="20"/>
        </w:rPr>
        <w:t xml:space="preserve"> </w:t>
      </w:r>
      <w:r w:rsidRPr="000977F7">
        <w:rPr>
          <w:color w:val="auto"/>
          <w:sz w:val="20"/>
          <w:szCs w:val="20"/>
        </w:rPr>
        <w:t>ПОДАННЯ</w:t>
      </w:r>
      <w:r w:rsidRPr="000977F7">
        <w:rPr>
          <w:color w:val="auto"/>
          <w:spacing w:val="7"/>
          <w:sz w:val="20"/>
          <w:szCs w:val="20"/>
        </w:rPr>
        <w:t xml:space="preserve"> </w:t>
      </w:r>
      <w:r w:rsidRPr="000977F7">
        <w:rPr>
          <w:color w:val="auto"/>
          <w:sz w:val="20"/>
          <w:szCs w:val="20"/>
        </w:rPr>
        <w:t>ТЕХНОЛОГІЧНОЇ</w:t>
      </w:r>
      <w:r w:rsidRPr="000977F7">
        <w:rPr>
          <w:color w:val="auto"/>
          <w:spacing w:val="8"/>
          <w:sz w:val="20"/>
          <w:szCs w:val="20"/>
        </w:rPr>
        <w:t xml:space="preserve"> </w:t>
      </w:r>
      <w:r w:rsidRPr="000977F7">
        <w:rPr>
          <w:color w:val="auto"/>
          <w:sz w:val="20"/>
          <w:szCs w:val="20"/>
        </w:rPr>
        <w:t>СИСТЕМИ</w:t>
      </w:r>
      <w:r w:rsidRPr="000977F7">
        <w:rPr>
          <w:color w:val="auto"/>
          <w:spacing w:val="1"/>
          <w:sz w:val="20"/>
          <w:szCs w:val="20"/>
        </w:rPr>
        <w:t xml:space="preserve"> </w:t>
      </w:r>
      <w:r w:rsidRPr="000977F7">
        <w:rPr>
          <w:color w:val="auto"/>
          <w:sz w:val="20"/>
          <w:szCs w:val="20"/>
        </w:rPr>
        <w:t>ПРОЦЕСУ</w:t>
      </w:r>
      <w:r w:rsidRPr="000977F7">
        <w:rPr>
          <w:color w:val="auto"/>
          <w:spacing w:val="15"/>
          <w:sz w:val="20"/>
          <w:szCs w:val="20"/>
        </w:rPr>
        <w:t xml:space="preserve"> </w:t>
      </w:r>
      <w:r w:rsidRPr="000977F7">
        <w:rPr>
          <w:color w:val="auto"/>
          <w:sz w:val="20"/>
          <w:szCs w:val="20"/>
        </w:rPr>
        <w:t>(ВИРОБНИЧОГО</w:t>
      </w:r>
      <w:r w:rsidRPr="000977F7">
        <w:rPr>
          <w:color w:val="auto"/>
          <w:spacing w:val="19"/>
          <w:sz w:val="20"/>
          <w:szCs w:val="20"/>
        </w:rPr>
        <w:t xml:space="preserve"> </w:t>
      </w:r>
      <w:r w:rsidRPr="000977F7">
        <w:rPr>
          <w:color w:val="auto"/>
          <w:sz w:val="20"/>
          <w:szCs w:val="20"/>
        </w:rPr>
        <w:t>ПІДРОЗДІЛУ,</w:t>
      </w:r>
      <w:r w:rsidRPr="000977F7">
        <w:rPr>
          <w:color w:val="auto"/>
          <w:spacing w:val="19"/>
          <w:sz w:val="20"/>
          <w:szCs w:val="20"/>
        </w:rPr>
        <w:t xml:space="preserve"> </w:t>
      </w:r>
    </w:p>
    <w:p w14:paraId="64F8870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w:t>
      </w:r>
      <w:r w:rsidRPr="000977F7">
        <w:rPr>
          <w:color w:val="auto"/>
          <w:spacing w:val="-47"/>
          <w:sz w:val="20"/>
          <w:szCs w:val="20"/>
        </w:rPr>
        <w:t xml:space="preserve"> </w:t>
      </w:r>
      <w:r w:rsidRPr="000977F7">
        <w:rPr>
          <w:color w:val="auto"/>
          <w:sz w:val="20"/>
          <w:szCs w:val="20"/>
        </w:rPr>
        <w:t>ДПРИЄМСТВА)</w:t>
      </w:r>
      <w:r w:rsidRPr="000977F7">
        <w:rPr>
          <w:color w:val="auto"/>
          <w:spacing w:val="5"/>
          <w:sz w:val="20"/>
          <w:szCs w:val="20"/>
        </w:rPr>
        <w:t xml:space="preserve"> </w:t>
      </w:r>
      <w:r w:rsidRPr="000977F7">
        <w:rPr>
          <w:color w:val="auto"/>
          <w:sz w:val="20"/>
          <w:szCs w:val="20"/>
        </w:rPr>
        <w:t>–</w:t>
      </w:r>
    </w:p>
    <w:p w14:paraId="2D60705B"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Середнє</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значення</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14"/>
          <w:sz w:val="20"/>
          <w:szCs w:val="20"/>
          <w:lang w:val="uk-UA"/>
        </w:rPr>
        <w:t xml:space="preserve"> </w:t>
      </w:r>
      <w:r w:rsidRPr="004D2D14">
        <w:rPr>
          <w:rFonts w:asciiTheme="majorHAnsi" w:hAnsiTheme="majorHAnsi"/>
          <w:sz w:val="20"/>
          <w:szCs w:val="20"/>
          <w:lang w:val="uk-UA"/>
        </w:rPr>
        <w:t>відсотках</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частки</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зданої</w:t>
      </w:r>
      <w:r w:rsidRPr="004D2D14">
        <w:rPr>
          <w:rFonts w:asciiTheme="majorHAnsi" w:hAnsiTheme="majorHAnsi"/>
          <w:spacing w:val="17"/>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9"/>
          <w:sz w:val="20"/>
          <w:szCs w:val="20"/>
          <w:lang w:val="uk-UA"/>
        </w:rPr>
        <w:t xml:space="preserve"> </w:t>
      </w:r>
      <w:r w:rsidRPr="004D2D14">
        <w:rPr>
          <w:rFonts w:asciiTheme="majorHAnsi" w:hAnsiTheme="majorHAnsi"/>
          <w:sz w:val="20"/>
          <w:szCs w:val="20"/>
          <w:lang w:val="uk-UA"/>
        </w:rPr>
        <w:t>першого</w:t>
      </w:r>
      <w:r w:rsidRPr="004D2D14">
        <w:rPr>
          <w:rFonts w:asciiTheme="majorHAnsi" w:hAnsiTheme="majorHAnsi"/>
          <w:spacing w:val="43"/>
          <w:sz w:val="20"/>
          <w:szCs w:val="20"/>
          <w:lang w:val="uk-UA"/>
        </w:rPr>
        <w:t xml:space="preserve"> </w:t>
      </w:r>
      <w:r w:rsidRPr="004D2D14">
        <w:rPr>
          <w:rFonts w:asciiTheme="majorHAnsi" w:hAnsiTheme="majorHAnsi"/>
          <w:sz w:val="20"/>
          <w:szCs w:val="20"/>
          <w:lang w:val="uk-UA"/>
        </w:rPr>
        <w:t>подання</w:t>
      </w:r>
      <w:r w:rsidRPr="004D2D14">
        <w:rPr>
          <w:rFonts w:asciiTheme="majorHAnsi" w:hAnsiTheme="majorHAnsi"/>
          <w:spacing w:val="42"/>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43"/>
          <w:sz w:val="20"/>
          <w:szCs w:val="20"/>
          <w:lang w:val="uk-UA"/>
        </w:rPr>
        <w:t xml:space="preserve"> </w:t>
      </w:r>
      <w:r w:rsidRPr="004D2D14">
        <w:rPr>
          <w:rFonts w:asciiTheme="majorHAnsi" w:hAnsiTheme="majorHAnsi"/>
          <w:sz w:val="20"/>
          <w:szCs w:val="20"/>
          <w:lang w:val="uk-UA"/>
        </w:rPr>
        <w:t>виготовленої</w:t>
      </w:r>
      <w:r w:rsidRPr="004D2D14">
        <w:rPr>
          <w:rFonts w:asciiTheme="majorHAnsi" w:hAnsiTheme="majorHAnsi"/>
          <w:spacing w:val="43"/>
          <w:sz w:val="20"/>
          <w:szCs w:val="20"/>
          <w:lang w:val="uk-UA"/>
        </w:rPr>
        <w:t xml:space="preserve"> </w:t>
      </w:r>
      <w:r w:rsidRPr="004D2D14">
        <w:rPr>
          <w:rFonts w:asciiTheme="majorHAnsi" w:hAnsiTheme="majorHAnsi"/>
          <w:sz w:val="20"/>
          <w:szCs w:val="20"/>
          <w:lang w:val="uk-UA"/>
        </w:rPr>
        <w:t>за</w:t>
      </w:r>
      <w:r w:rsidRPr="004D2D14">
        <w:rPr>
          <w:rFonts w:asciiTheme="majorHAnsi" w:hAnsiTheme="majorHAnsi"/>
          <w:spacing w:val="43"/>
          <w:sz w:val="20"/>
          <w:szCs w:val="20"/>
          <w:lang w:val="uk-UA"/>
        </w:rPr>
        <w:t xml:space="preserve"> </w:t>
      </w:r>
      <w:r w:rsidRPr="004D2D14">
        <w:rPr>
          <w:rFonts w:asciiTheme="majorHAnsi" w:hAnsiTheme="majorHAnsi"/>
          <w:sz w:val="20"/>
          <w:szCs w:val="20"/>
          <w:lang w:val="uk-UA"/>
        </w:rPr>
        <w:t>даний</w:t>
      </w:r>
      <w:r w:rsidRPr="004D2D14">
        <w:rPr>
          <w:rFonts w:asciiTheme="majorHAnsi" w:hAnsiTheme="majorHAnsi"/>
          <w:spacing w:val="41"/>
          <w:sz w:val="20"/>
          <w:szCs w:val="20"/>
          <w:lang w:val="uk-UA"/>
        </w:rPr>
        <w:t xml:space="preserve"> </w:t>
      </w:r>
      <w:r w:rsidRPr="004D2D14">
        <w:rPr>
          <w:rFonts w:asciiTheme="majorHAnsi" w:hAnsiTheme="majorHAnsi"/>
          <w:sz w:val="20"/>
          <w:szCs w:val="20"/>
          <w:lang w:val="uk-UA"/>
        </w:rPr>
        <w:t>календарний</w:t>
      </w:r>
      <w:r w:rsidRPr="004D2D14">
        <w:rPr>
          <w:rFonts w:asciiTheme="majorHAnsi" w:hAnsiTheme="majorHAnsi"/>
          <w:spacing w:val="31"/>
          <w:sz w:val="20"/>
          <w:szCs w:val="20"/>
          <w:lang w:val="uk-UA"/>
        </w:rPr>
        <w:t xml:space="preserve"> </w:t>
      </w:r>
      <w:r w:rsidRPr="004D2D14">
        <w:rPr>
          <w:rFonts w:asciiTheme="majorHAnsi" w:hAnsiTheme="majorHAnsi"/>
          <w:sz w:val="20"/>
          <w:szCs w:val="20"/>
          <w:lang w:val="uk-UA"/>
        </w:rPr>
        <w:t>проміжок</w:t>
      </w:r>
      <w:r w:rsidRPr="004D2D14">
        <w:rPr>
          <w:rFonts w:asciiTheme="majorHAnsi" w:hAnsiTheme="majorHAnsi"/>
          <w:spacing w:val="32"/>
          <w:sz w:val="20"/>
          <w:szCs w:val="20"/>
          <w:lang w:val="uk-UA"/>
        </w:rPr>
        <w:t xml:space="preserve"> </w:t>
      </w:r>
      <w:r w:rsidRPr="004D2D14">
        <w:rPr>
          <w:rFonts w:asciiTheme="majorHAnsi" w:hAnsiTheme="majorHAnsi"/>
          <w:sz w:val="20"/>
          <w:szCs w:val="20"/>
          <w:lang w:val="uk-UA"/>
        </w:rPr>
        <w:t>часу</w:t>
      </w:r>
      <w:r w:rsidRPr="004D2D14">
        <w:rPr>
          <w:rFonts w:asciiTheme="majorHAnsi" w:hAnsiTheme="majorHAnsi"/>
          <w:spacing w:val="31"/>
          <w:sz w:val="20"/>
          <w:szCs w:val="20"/>
          <w:lang w:val="uk-UA"/>
        </w:rPr>
        <w:t xml:space="preserve"> </w:t>
      </w:r>
      <w:r w:rsidRPr="004D2D14">
        <w:rPr>
          <w:rFonts w:asciiTheme="majorHAnsi" w:hAnsiTheme="majorHAnsi"/>
          <w:sz w:val="20"/>
          <w:szCs w:val="20"/>
          <w:lang w:val="uk-UA"/>
        </w:rPr>
        <w:t>технологічною</w:t>
      </w:r>
      <w:r w:rsidRPr="004D2D14">
        <w:rPr>
          <w:rFonts w:asciiTheme="majorHAnsi" w:hAnsiTheme="majorHAnsi"/>
          <w:spacing w:val="32"/>
          <w:sz w:val="20"/>
          <w:szCs w:val="20"/>
          <w:lang w:val="uk-UA"/>
        </w:rPr>
        <w:t xml:space="preserve"> </w:t>
      </w:r>
      <w:r w:rsidRPr="004D2D14">
        <w:rPr>
          <w:rFonts w:asciiTheme="majorHAnsi" w:hAnsiTheme="majorHAnsi"/>
          <w:sz w:val="20"/>
          <w:szCs w:val="20"/>
          <w:lang w:val="uk-UA"/>
        </w:rPr>
        <w:lastRenderedPageBreak/>
        <w:t>системою</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процесу</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(виробничого</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підрозділу,</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підприємства)</w:t>
      </w:r>
    </w:p>
    <w:p w14:paraId="67C32CF8"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5"/>
          <w:sz w:val="20"/>
          <w:szCs w:val="20"/>
          <w:lang w:val="uk-UA"/>
        </w:rPr>
        <w:t xml:space="preserve"> </w:t>
      </w:r>
      <w:r w:rsidRPr="004D2D14">
        <w:rPr>
          <w:rFonts w:asciiTheme="majorHAnsi" w:hAnsiTheme="majorHAnsi"/>
          <w:i/>
          <w:sz w:val="20"/>
          <w:szCs w:val="20"/>
          <w:lang w:val="uk-UA"/>
        </w:rPr>
        <w:t>2470 - 94</w:t>
      </w:r>
    </w:p>
    <w:p w14:paraId="45A1251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ВІДСТУП-</w:t>
      </w:r>
    </w:p>
    <w:p w14:paraId="5219055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CONCESSION</w:t>
      </w:r>
      <w:r w:rsidRPr="004D2D14">
        <w:rPr>
          <w:rFonts w:asciiTheme="majorHAnsi" w:hAnsiTheme="majorHAnsi"/>
          <w:sz w:val="20"/>
          <w:szCs w:val="20"/>
          <w:lang w:val="uk-UA"/>
        </w:rPr>
        <w:t>;</w:t>
      </w:r>
      <w:r w:rsidRPr="004D2D14">
        <w:rPr>
          <w:rFonts w:asciiTheme="majorHAnsi" w:hAnsiTheme="majorHAnsi"/>
          <w:spacing w:val="14"/>
          <w:sz w:val="20"/>
          <w:szCs w:val="20"/>
          <w:lang w:val="uk-UA"/>
        </w:rPr>
        <w:t xml:space="preserve"> </w:t>
      </w:r>
      <w:r w:rsidRPr="000977F7">
        <w:rPr>
          <w:rFonts w:asciiTheme="majorHAnsi" w:hAnsiTheme="majorHAnsi"/>
          <w:sz w:val="20"/>
          <w:szCs w:val="20"/>
        </w:rPr>
        <w:t>WAIVER</w:t>
      </w:r>
      <w:r w:rsidRPr="004D2D14">
        <w:rPr>
          <w:rFonts w:asciiTheme="majorHAnsi" w:hAnsiTheme="majorHAnsi"/>
          <w:sz w:val="20"/>
          <w:szCs w:val="20"/>
          <w:lang w:val="uk-UA"/>
        </w:rPr>
        <w:t>-</w:t>
      </w:r>
    </w:p>
    <w:p w14:paraId="24EF1C4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Письмовий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дозвіл</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використання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постачання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визначеної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кількості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матеріалів,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комплектуючих виробів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готової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відповідають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встановленим</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вимогам</w:t>
      </w:r>
    </w:p>
    <w:p w14:paraId="041D57D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ВІДТВОРЕННЯ ОДИНИЦІ ФІЗИЧНОЇ </w:t>
      </w:r>
    </w:p>
    <w:p w14:paraId="74BFB0D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ВЕЛИ</w:t>
      </w:r>
      <w:r w:rsidRPr="000977F7">
        <w:rPr>
          <w:color w:val="auto"/>
          <w:spacing w:val="-47"/>
          <w:sz w:val="20"/>
          <w:szCs w:val="20"/>
        </w:rPr>
        <w:t xml:space="preserve"> </w:t>
      </w:r>
      <w:r w:rsidRPr="000977F7">
        <w:rPr>
          <w:color w:val="auto"/>
          <w:sz w:val="20"/>
          <w:szCs w:val="20"/>
        </w:rPr>
        <w:t>ЧИНИ –</w:t>
      </w:r>
    </w:p>
    <w:p w14:paraId="78F00A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Відтворення одиниці шляхом формування фіксованої</w:t>
      </w:r>
      <w:r w:rsidRPr="000977F7">
        <w:rPr>
          <w:rFonts w:asciiTheme="majorHAnsi" w:hAnsiTheme="majorHAnsi"/>
          <w:spacing w:val="1"/>
          <w:sz w:val="20"/>
          <w:szCs w:val="20"/>
        </w:rPr>
        <w:t xml:space="preserve"> </w:t>
      </w:r>
      <w:r w:rsidRPr="000977F7">
        <w:rPr>
          <w:rFonts w:asciiTheme="majorHAnsi" w:hAnsiTheme="majorHAnsi"/>
          <w:sz w:val="20"/>
          <w:szCs w:val="20"/>
        </w:rPr>
        <w:t>за розміром фізичної величини відповідно до визначення</w:t>
      </w:r>
      <w:r w:rsidRPr="000977F7">
        <w:rPr>
          <w:rFonts w:asciiTheme="majorHAnsi" w:hAnsiTheme="majorHAnsi"/>
          <w:spacing w:val="-2"/>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одиниці</w:t>
      </w:r>
    </w:p>
    <w:p w14:paraId="2BDD835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6C04B6A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ВІДТВОРЕННЯ</w:t>
      </w:r>
      <w:r w:rsidRPr="000977F7">
        <w:rPr>
          <w:color w:val="auto"/>
          <w:spacing w:val="-5"/>
          <w:sz w:val="20"/>
          <w:szCs w:val="20"/>
        </w:rPr>
        <w:t xml:space="preserve"> </w:t>
      </w:r>
      <w:r w:rsidRPr="000977F7">
        <w:rPr>
          <w:color w:val="auto"/>
          <w:sz w:val="20"/>
          <w:szCs w:val="20"/>
        </w:rPr>
        <w:t>ТЕХНІЧНОГО</w:t>
      </w:r>
      <w:r w:rsidRPr="000977F7">
        <w:rPr>
          <w:color w:val="auto"/>
          <w:spacing w:val="-4"/>
          <w:sz w:val="20"/>
          <w:szCs w:val="20"/>
        </w:rPr>
        <w:t xml:space="preserve"> </w:t>
      </w:r>
      <w:r w:rsidRPr="000977F7">
        <w:rPr>
          <w:color w:val="auto"/>
          <w:sz w:val="20"/>
          <w:szCs w:val="20"/>
        </w:rPr>
        <w:t>СТАНУ</w:t>
      </w:r>
      <w:r w:rsidRPr="000977F7">
        <w:rPr>
          <w:color w:val="auto"/>
          <w:spacing w:val="-1"/>
          <w:sz w:val="20"/>
          <w:szCs w:val="20"/>
        </w:rPr>
        <w:t xml:space="preserve"> </w:t>
      </w:r>
      <w:r w:rsidRPr="000977F7">
        <w:rPr>
          <w:color w:val="auto"/>
          <w:sz w:val="20"/>
          <w:szCs w:val="20"/>
        </w:rPr>
        <w:t>–</w:t>
      </w:r>
    </w:p>
    <w:p w14:paraId="0BE1511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 встановлення технічного стану виробу згідно</w:t>
      </w:r>
      <w:r w:rsidRPr="000977F7">
        <w:rPr>
          <w:rFonts w:asciiTheme="majorHAnsi" w:hAnsiTheme="majorHAnsi"/>
          <w:spacing w:val="1"/>
          <w:sz w:val="20"/>
          <w:szCs w:val="20"/>
        </w:rPr>
        <w:t xml:space="preserve"> </w:t>
      </w:r>
      <w:r w:rsidRPr="000977F7">
        <w:rPr>
          <w:rFonts w:asciiTheme="majorHAnsi" w:hAnsiTheme="majorHAnsi"/>
          <w:sz w:val="20"/>
          <w:szCs w:val="20"/>
        </w:rPr>
        <w:t>запису значень параметрів, виконаного під час попереднього циклу</w:t>
      </w:r>
      <w:r w:rsidRPr="000977F7">
        <w:rPr>
          <w:rFonts w:asciiTheme="majorHAnsi" w:hAnsiTheme="majorHAnsi"/>
          <w:spacing w:val="-1"/>
          <w:sz w:val="20"/>
          <w:szCs w:val="20"/>
        </w:rPr>
        <w:t xml:space="preserve"> </w:t>
      </w:r>
      <w:r w:rsidRPr="000977F7">
        <w:rPr>
          <w:rFonts w:asciiTheme="majorHAnsi" w:hAnsiTheme="majorHAnsi"/>
          <w:sz w:val="20"/>
          <w:szCs w:val="20"/>
        </w:rPr>
        <w:t>(циклів)</w:t>
      </w:r>
      <w:r w:rsidRPr="000977F7">
        <w:rPr>
          <w:rFonts w:asciiTheme="majorHAnsi" w:hAnsiTheme="majorHAnsi"/>
          <w:spacing w:val="2"/>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p>
    <w:p w14:paraId="5DF16AA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1194529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 виконанні вказаного процесу по запису значень</w:t>
      </w:r>
      <w:r w:rsidRPr="000977F7">
        <w:rPr>
          <w:rFonts w:asciiTheme="majorHAnsi" w:hAnsiTheme="majorHAnsi"/>
          <w:spacing w:val="1"/>
          <w:sz w:val="20"/>
          <w:szCs w:val="20"/>
        </w:rPr>
        <w:t xml:space="preserve"> </w:t>
      </w:r>
      <w:r w:rsidRPr="000977F7">
        <w:rPr>
          <w:rFonts w:asciiTheme="majorHAnsi" w:hAnsiTheme="majorHAnsi"/>
          <w:sz w:val="20"/>
          <w:szCs w:val="20"/>
        </w:rPr>
        <w:t>параметрів може встановлюватися частина виробу, до</w:t>
      </w:r>
      <w:r w:rsidRPr="000977F7">
        <w:rPr>
          <w:rFonts w:asciiTheme="majorHAnsi" w:hAnsiTheme="majorHAnsi"/>
          <w:spacing w:val="-47"/>
          <w:sz w:val="20"/>
          <w:szCs w:val="20"/>
        </w:rPr>
        <w:t xml:space="preserve"> </w:t>
      </w:r>
      <w:r w:rsidRPr="000977F7">
        <w:rPr>
          <w:rFonts w:asciiTheme="majorHAnsi" w:hAnsiTheme="majorHAnsi"/>
          <w:sz w:val="20"/>
          <w:szCs w:val="20"/>
        </w:rPr>
        <w:t>якої</w:t>
      </w:r>
      <w:r w:rsidRPr="000977F7">
        <w:rPr>
          <w:rFonts w:asciiTheme="majorHAnsi" w:hAnsiTheme="majorHAnsi"/>
          <w:spacing w:val="-2"/>
          <w:sz w:val="20"/>
          <w:szCs w:val="20"/>
        </w:rPr>
        <w:t xml:space="preserve"> </w:t>
      </w:r>
      <w:r w:rsidRPr="000977F7">
        <w:rPr>
          <w:rFonts w:asciiTheme="majorHAnsi" w:hAnsiTheme="majorHAnsi"/>
          <w:sz w:val="20"/>
          <w:szCs w:val="20"/>
        </w:rPr>
        <w:t>належить елемент,</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відмовив</w:t>
      </w:r>
    </w:p>
    <w:p w14:paraId="02315C3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ВІДТВОРЕННЯ</w:t>
      </w:r>
      <w:r w:rsidRPr="000977F7">
        <w:rPr>
          <w:color w:val="auto"/>
          <w:spacing w:val="-4"/>
          <w:sz w:val="20"/>
          <w:szCs w:val="20"/>
        </w:rPr>
        <w:t xml:space="preserve"> </w:t>
      </w:r>
      <w:r w:rsidRPr="000977F7">
        <w:rPr>
          <w:color w:val="auto"/>
          <w:sz w:val="20"/>
          <w:szCs w:val="20"/>
        </w:rPr>
        <w:t>ФІЗИЧНОЇ</w:t>
      </w:r>
      <w:r w:rsidRPr="000977F7">
        <w:rPr>
          <w:color w:val="auto"/>
          <w:spacing w:val="-4"/>
          <w:sz w:val="20"/>
          <w:szCs w:val="20"/>
        </w:rPr>
        <w:t xml:space="preserve"> </w:t>
      </w:r>
      <w:r w:rsidRPr="000977F7">
        <w:rPr>
          <w:color w:val="auto"/>
          <w:sz w:val="20"/>
          <w:szCs w:val="20"/>
        </w:rPr>
        <w:t>ВЕЛИЧИНИ</w:t>
      </w:r>
      <w:r w:rsidRPr="000977F7">
        <w:rPr>
          <w:color w:val="auto"/>
          <w:spacing w:val="2"/>
          <w:sz w:val="20"/>
          <w:szCs w:val="20"/>
        </w:rPr>
        <w:t xml:space="preserve"> </w:t>
      </w:r>
      <w:r w:rsidRPr="000977F7">
        <w:rPr>
          <w:color w:val="auto"/>
          <w:sz w:val="20"/>
          <w:szCs w:val="20"/>
        </w:rPr>
        <w:t>–</w:t>
      </w:r>
    </w:p>
    <w:p w14:paraId="3AABC9BA"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Вимірювальна</w:t>
      </w:r>
      <w:r w:rsidRPr="000977F7">
        <w:rPr>
          <w:rFonts w:asciiTheme="majorHAnsi" w:hAnsiTheme="majorHAnsi"/>
          <w:spacing w:val="2"/>
          <w:sz w:val="20"/>
          <w:szCs w:val="20"/>
        </w:rPr>
        <w:t xml:space="preserve"> </w:t>
      </w:r>
      <w:r w:rsidRPr="000977F7">
        <w:rPr>
          <w:rFonts w:asciiTheme="majorHAnsi" w:hAnsiTheme="majorHAnsi"/>
          <w:sz w:val="20"/>
          <w:szCs w:val="20"/>
        </w:rPr>
        <w:t>операція,</w:t>
      </w:r>
      <w:r w:rsidRPr="000977F7">
        <w:rPr>
          <w:rFonts w:asciiTheme="majorHAnsi" w:hAnsiTheme="majorHAnsi"/>
          <w:spacing w:val="2"/>
          <w:sz w:val="20"/>
          <w:szCs w:val="20"/>
        </w:rPr>
        <w:t xml:space="preserve"> </w:t>
      </w:r>
      <w:r w:rsidRPr="000977F7">
        <w:rPr>
          <w:rFonts w:asciiTheme="majorHAnsi" w:hAnsiTheme="majorHAnsi"/>
          <w:sz w:val="20"/>
          <w:szCs w:val="20"/>
        </w:rPr>
        <w:t>що</w:t>
      </w:r>
      <w:r w:rsidRPr="000977F7">
        <w:rPr>
          <w:rFonts w:asciiTheme="majorHAnsi" w:hAnsiTheme="majorHAnsi"/>
          <w:spacing w:val="3"/>
          <w:sz w:val="20"/>
          <w:szCs w:val="20"/>
        </w:rPr>
        <w:t xml:space="preserve"> </w:t>
      </w:r>
      <w:r w:rsidRPr="000977F7">
        <w:rPr>
          <w:rFonts w:asciiTheme="majorHAnsi" w:hAnsiTheme="majorHAnsi"/>
          <w:sz w:val="20"/>
          <w:szCs w:val="20"/>
        </w:rPr>
        <w:t>полягає</w:t>
      </w:r>
      <w:r w:rsidRPr="000977F7">
        <w:rPr>
          <w:rFonts w:asciiTheme="majorHAnsi" w:hAnsiTheme="majorHAnsi"/>
          <w:spacing w:val="5"/>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створенні</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(чи) зберіганні фізичної величини заданого значення</w:t>
      </w:r>
      <w:r w:rsidRPr="000977F7">
        <w:rPr>
          <w:rFonts w:asciiTheme="majorHAnsi" w:hAnsiTheme="majorHAnsi"/>
          <w:spacing w:val="1"/>
          <w:sz w:val="20"/>
          <w:szCs w:val="20"/>
        </w:rPr>
        <w:t xml:space="preserve"> </w:t>
      </w:r>
    </w:p>
    <w:p w14:paraId="6B66C84D"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w:t>
      </w:r>
      <w:r w:rsidRPr="000977F7">
        <w:rPr>
          <w:rFonts w:asciiTheme="majorHAnsi" w:hAnsiTheme="majorHAnsi"/>
          <w:i/>
          <w:spacing w:val="2"/>
          <w:sz w:val="20"/>
          <w:szCs w:val="20"/>
        </w:rPr>
        <w:t xml:space="preserve"> </w:t>
      </w:r>
      <w:r w:rsidRPr="000977F7">
        <w:rPr>
          <w:rFonts w:asciiTheme="majorHAnsi" w:hAnsiTheme="majorHAnsi"/>
          <w:i/>
          <w:sz w:val="20"/>
          <w:szCs w:val="20"/>
        </w:rPr>
        <w:t>– 94</w:t>
      </w:r>
    </w:p>
    <w:p w14:paraId="611F19B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ВІДТВОРЮВАНІСТЬ</w:t>
      </w:r>
      <w:r w:rsidRPr="000977F7">
        <w:rPr>
          <w:color w:val="auto"/>
          <w:spacing w:val="-4"/>
          <w:sz w:val="20"/>
          <w:szCs w:val="20"/>
        </w:rPr>
        <w:t xml:space="preserve"> </w:t>
      </w:r>
      <w:r w:rsidRPr="000977F7">
        <w:rPr>
          <w:color w:val="auto"/>
          <w:sz w:val="20"/>
          <w:szCs w:val="20"/>
        </w:rPr>
        <w:t>–</w:t>
      </w:r>
    </w:p>
    <w:p w14:paraId="012BA44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REPRODUCIBILITY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24932B9"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Властивість, яка характеризується близькістю взаємозалежних</w:t>
      </w:r>
      <w:r w:rsidRPr="000977F7">
        <w:rPr>
          <w:rFonts w:asciiTheme="majorHAnsi" w:hAnsiTheme="majorHAnsi"/>
          <w:spacing w:val="1"/>
          <w:sz w:val="20"/>
          <w:szCs w:val="20"/>
        </w:rPr>
        <w:t xml:space="preserve"> </w:t>
      </w:r>
      <w:r w:rsidRPr="000977F7">
        <w:rPr>
          <w:rFonts w:asciiTheme="majorHAnsi" w:hAnsiTheme="majorHAnsi"/>
          <w:sz w:val="20"/>
          <w:szCs w:val="20"/>
        </w:rPr>
        <w:t>результатів</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1"/>
          <w:sz w:val="20"/>
          <w:szCs w:val="20"/>
        </w:rPr>
        <w:t xml:space="preserve"> </w:t>
      </w:r>
      <w:r w:rsidRPr="000977F7">
        <w:rPr>
          <w:rFonts w:asciiTheme="majorHAnsi" w:hAnsiTheme="majorHAnsi"/>
          <w:sz w:val="20"/>
          <w:szCs w:val="20"/>
        </w:rPr>
        <w:t>виконуваних</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різних</w:t>
      </w:r>
      <w:r w:rsidRPr="000977F7">
        <w:rPr>
          <w:rFonts w:asciiTheme="majorHAnsi" w:hAnsiTheme="majorHAnsi"/>
          <w:spacing w:val="23"/>
          <w:sz w:val="20"/>
          <w:szCs w:val="20"/>
        </w:rPr>
        <w:t xml:space="preserve"> </w:t>
      </w:r>
      <w:r w:rsidRPr="000977F7">
        <w:rPr>
          <w:rFonts w:asciiTheme="majorHAnsi" w:hAnsiTheme="majorHAnsi"/>
          <w:sz w:val="20"/>
          <w:szCs w:val="20"/>
        </w:rPr>
        <w:t>лабораторіях</w:t>
      </w:r>
      <w:r w:rsidRPr="000977F7">
        <w:rPr>
          <w:rFonts w:asciiTheme="majorHAnsi" w:hAnsiTheme="majorHAnsi"/>
          <w:spacing w:val="24"/>
          <w:sz w:val="20"/>
          <w:szCs w:val="20"/>
        </w:rPr>
        <w:t xml:space="preserve"> </w:t>
      </w:r>
      <w:r w:rsidRPr="000977F7">
        <w:rPr>
          <w:rFonts w:asciiTheme="majorHAnsi" w:hAnsiTheme="majorHAnsi"/>
          <w:sz w:val="20"/>
          <w:szCs w:val="20"/>
        </w:rPr>
        <w:t>на</w:t>
      </w:r>
      <w:r w:rsidRPr="000977F7">
        <w:rPr>
          <w:rFonts w:asciiTheme="majorHAnsi" w:hAnsiTheme="majorHAnsi"/>
          <w:spacing w:val="24"/>
          <w:sz w:val="20"/>
          <w:szCs w:val="20"/>
        </w:rPr>
        <w:t xml:space="preserve"> </w:t>
      </w:r>
      <w:r w:rsidRPr="000977F7">
        <w:rPr>
          <w:rFonts w:asciiTheme="majorHAnsi" w:hAnsiTheme="majorHAnsi"/>
          <w:sz w:val="20"/>
          <w:szCs w:val="20"/>
        </w:rPr>
        <w:t>однакових</w:t>
      </w:r>
      <w:r w:rsidRPr="000977F7">
        <w:rPr>
          <w:rFonts w:asciiTheme="majorHAnsi" w:hAnsiTheme="majorHAnsi"/>
          <w:spacing w:val="21"/>
          <w:sz w:val="20"/>
          <w:szCs w:val="20"/>
        </w:rPr>
        <w:t xml:space="preserve"> </w:t>
      </w:r>
      <w:r w:rsidRPr="000977F7">
        <w:rPr>
          <w:rFonts w:asciiTheme="majorHAnsi" w:hAnsiTheme="majorHAnsi"/>
          <w:sz w:val="20"/>
          <w:szCs w:val="20"/>
        </w:rPr>
        <w:t>зразках</w:t>
      </w:r>
      <w:r w:rsidRPr="000977F7">
        <w:rPr>
          <w:rFonts w:asciiTheme="majorHAnsi" w:hAnsiTheme="majorHAnsi"/>
          <w:spacing w:val="20"/>
          <w:sz w:val="20"/>
          <w:szCs w:val="20"/>
        </w:rPr>
        <w:t xml:space="preserve"> </w:t>
      </w:r>
      <w:r w:rsidRPr="000977F7">
        <w:rPr>
          <w:rFonts w:asciiTheme="majorHAnsi" w:hAnsiTheme="majorHAnsi"/>
          <w:sz w:val="20"/>
          <w:szCs w:val="20"/>
        </w:rPr>
        <w:t>за</w:t>
      </w:r>
      <w:r w:rsidRPr="000977F7">
        <w:rPr>
          <w:rFonts w:asciiTheme="majorHAnsi" w:hAnsiTheme="majorHAnsi"/>
          <w:spacing w:val="23"/>
          <w:sz w:val="20"/>
          <w:szCs w:val="20"/>
        </w:rPr>
        <w:t xml:space="preserve"> </w:t>
      </w:r>
      <w:r w:rsidRPr="000977F7">
        <w:rPr>
          <w:rFonts w:asciiTheme="majorHAnsi" w:hAnsiTheme="majorHAnsi"/>
          <w:sz w:val="20"/>
          <w:szCs w:val="20"/>
        </w:rPr>
        <w:t>одним</w:t>
      </w:r>
      <w:r w:rsidRPr="000977F7">
        <w:rPr>
          <w:rFonts w:asciiTheme="majorHAnsi" w:hAnsiTheme="majorHAnsi"/>
          <w:spacing w:val="23"/>
          <w:sz w:val="20"/>
          <w:szCs w:val="20"/>
        </w:rPr>
        <w:t xml:space="preserve"> </w:t>
      </w:r>
      <w:r w:rsidRPr="000977F7">
        <w:rPr>
          <w:rFonts w:asciiTheme="majorHAnsi" w:hAnsiTheme="majorHAnsi"/>
          <w:sz w:val="20"/>
          <w:szCs w:val="20"/>
        </w:rPr>
        <w:t>ітим</w:t>
      </w:r>
      <w:r w:rsidRPr="000977F7">
        <w:rPr>
          <w:rFonts w:asciiTheme="majorHAnsi" w:hAnsiTheme="majorHAnsi"/>
          <w:spacing w:val="20"/>
          <w:sz w:val="20"/>
          <w:szCs w:val="20"/>
        </w:rPr>
        <w:t xml:space="preserve"> </w:t>
      </w:r>
      <w:r w:rsidRPr="000977F7">
        <w:rPr>
          <w:rFonts w:asciiTheme="majorHAnsi" w:hAnsiTheme="majorHAnsi"/>
          <w:sz w:val="20"/>
          <w:szCs w:val="20"/>
        </w:rPr>
        <w:t>самим</w:t>
      </w:r>
      <w:r w:rsidRPr="000977F7">
        <w:rPr>
          <w:rFonts w:asciiTheme="majorHAnsi" w:hAnsiTheme="majorHAnsi"/>
          <w:spacing w:val="20"/>
          <w:sz w:val="20"/>
          <w:szCs w:val="20"/>
        </w:rPr>
        <w:t xml:space="preserve"> </w:t>
      </w:r>
      <w:r w:rsidRPr="000977F7">
        <w:rPr>
          <w:rFonts w:asciiTheme="majorHAnsi" w:hAnsiTheme="majorHAnsi"/>
          <w:sz w:val="20"/>
          <w:szCs w:val="20"/>
        </w:rPr>
        <w:t>методом</w:t>
      </w:r>
      <w:r w:rsidRPr="000977F7">
        <w:rPr>
          <w:rFonts w:asciiTheme="majorHAnsi" w:hAnsiTheme="majorHAnsi"/>
          <w:spacing w:val="20"/>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19"/>
          <w:sz w:val="20"/>
          <w:szCs w:val="20"/>
        </w:rPr>
        <w:t xml:space="preserve"> </w:t>
      </w:r>
      <w:r w:rsidRPr="000977F7">
        <w:rPr>
          <w:rFonts w:asciiTheme="majorHAnsi" w:hAnsiTheme="majorHAnsi"/>
          <w:sz w:val="20"/>
          <w:szCs w:val="20"/>
        </w:rPr>
        <w:t>із</w:t>
      </w:r>
      <w:r w:rsidRPr="000977F7">
        <w:rPr>
          <w:rFonts w:asciiTheme="majorHAnsi" w:hAnsiTheme="majorHAnsi"/>
          <w:spacing w:val="19"/>
          <w:sz w:val="20"/>
          <w:szCs w:val="20"/>
        </w:rPr>
        <w:t xml:space="preserve"> </w:t>
      </w:r>
      <w:r w:rsidRPr="000977F7">
        <w:rPr>
          <w:rFonts w:asciiTheme="majorHAnsi" w:hAnsiTheme="majorHAnsi"/>
          <w:sz w:val="20"/>
          <w:szCs w:val="20"/>
        </w:rPr>
        <w:t>застосуванням</w:t>
      </w:r>
      <w:r w:rsidRPr="000977F7">
        <w:rPr>
          <w:rFonts w:asciiTheme="majorHAnsi" w:hAnsiTheme="majorHAnsi"/>
          <w:spacing w:val="-47"/>
          <w:sz w:val="20"/>
          <w:szCs w:val="20"/>
        </w:rPr>
        <w:t xml:space="preserve"> </w:t>
      </w:r>
      <w:r w:rsidRPr="000977F7">
        <w:rPr>
          <w:rFonts w:asciiTheme="majorHAnsi" w:hAnsiTheme="majorHAnsi"/>
          <w:sz w:val="20"/>
          <w:szCs w:val="20"/>
        </w:rPr>
        <w:t>різних засобів випробувань і різними виконавцями</w:t>
      </w:r>
    </w:p>
    <w:p w14:paraId="4D2BA645" w14:textId="77777777" w:rsidR="0097612F" w:rsidRPr="004D2D14" w:rsidRDefault="0097612F" w:rsidP="000977F7">
      <w:pPr>
        <w:pStyle w:val="af6"/>
        <w:tabs>
          <w:tab w:val="left" w:pos="284"/>
        </w:tabs>
        <w:spacing w:after="0"/>
        <w:ind w:left="170"/>
        <w:mirrorIndents/>
        <w:jc w:val="both"/>
        <w:rPr>
          <w:rFonts w:asciiTheme="majorHAnsi" w:hAnsiTheme="majorHAnsi"/>
          <w:b/>
          <w:spacing w:val="1"/>
          <w:sz w:val="20"/>
          <w:szCs w:val="20"/>
          <w:lang w:val="en-US"/>
        </w:rPr>
      </w:pPr>
      <w:r w:rsidRPr="000977F7">
        <w:rPr>
          <w:rFonts w:asciiTheme="majorHAnsi" w:hAnsiTheme="majorHAnsi"/>
          <w:b/>
          <w:sz w:val="20"/>
          <w:szCs w:val="20"/>
        </w:rPr>
        <w:t>ВІДТВОРЮВАНІСТЬ</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ВИМІРЮВАНЬ</w:t>
      </w:r>
      <w:r w:rsidRPr="004D2D14">
        <w:rPr>
          <w:rFonts w:asciiTheme="majorHAnsi" w:hAnsiTheme="majorHAnsi"/>
          <w:b/>
          <w:spacing w:val="2"/>
          <w:sz w:val="20"/>
          <w:szCs w:val="20"/>
          <w:lang w:val="en-US"/>
        </w:rPr>
        <w:t xml:space="preserve"> </w:t>
      </w:r>
      <w:r w:rsidRPr="004D2D14">
        <w:rPr>
          <w:rFonts w:asciiTheme="majorHAnsi" w:hAnsiTheme="majorHAnsi"/>
          <w:b/>
          <w:sz w:val="20"/>
          <w:szCs w:val="20"/>
          <w:lang w:val="en-US"/>
        </w:rPr>
        <w:t>–</w:t>
      </w:r>
    </w:p>
    <w:p w14:paraId="1E9679D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REPRODUCIBILITY</w:t>
      </w:r>
      <w:r w:rsidRPr="004D2D14">
        <w:rPr>
          <w:rFonts w:asciiTheme="majorHAnsi" w:hAnsiTheme="majorHAnsi"/>
          <w:spacing w:val="48"/>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MEASUREMENT</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w:t>
      </w:r>
    </w:p>
    <w:p w14:paraId="0DCD3DB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Характеристика</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якості</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вимірювань</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що</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відображає</w:t>
      </w:r>
      <w:r w:rsidRPr="004D2D14">
        <w:rPr>
          <w:rFonts w:asciiTheme="majorHAnsi" w:hAnsiTheme="majorHAnsi"/>
          <w:spacing w:val="1"/>
          <w:sz w:val="20"/>
          <w:szCs w:val="20"/>
          <w:lang w:val="en-US"/>
        </w:rPr>
        <w:t xml:space="preserve"> </w:t>
      </w:r>
      <w:r w:rsidRPr="000977F7">
        <w:rPr>
          <w:rFonts w:asciiTheme="majorHAnsi" w:hAnsiTheme="majorHAnsi"/>
          <w:sz w:val="20"/>
          <w:szCs w:val="20"/>
        </w:rPr>
        <w:t>близькість</w:t>
      </w:r>
      <w:r w:rsidRPr="004D2D14">
        <w:rPr>
          <w:rFonts w:asciiTheme="majorHAnsi" w:hAnsiTheme="majorHAnsi"/>
          <w:sz w:val="20"/>
          <w:szCs w:val="20"/>
          <w:lang w:val="en-US"/>
        </w:rPr>
        <w:t xml:space="preserve"> </w:t>
      </w:r>
      <w:r w:rsidRPr="000977F7">
        <w:rPr>
          <w:rFonts w:asciiTheme="majorHAnsi" w:hAnsiTheme="majorHAnsi"/>
          <w:sz w:val="20"/>
          <w:szCs w:val="20"/>
        </w:rPr>
        <w:t>результатів</w:t>
      </w:r>
      <w:r w:rsidRPr="004D2D14">
        <w:rPr>
          <w:rFonts w:asciiTheme="majorHAnsi" w:hAnsiTheme="majorHAnsi"/>
          <w:sz w:val="20"/>
          <w:szCs w:val="20"/>
          <w:lang w:val="en-US"/>
        </w:rPr>
        <w:t xml:space="preserve"> </w:t>
      </w:r>
      <w:r w:rsidRPr="000977F7">
        <w:rPr>
          <w:rFonts w:asciiTheme="majorHAnsi" w:hAnsiTheme="majorHAnsi"/>
          <w:sz w:val="20"/>
          <w:szCs w:val="20"/>
        </w:rPr>
        <w:t>вимірювань</w:t>
      </w:r>
      <w:r w:rsidRPr="004D2D14">
        <w:rPr>
          <w:rFonts w:asciiTheme="majorHAnsi" w:hAnsiTheme="majorHAnsi"/>
          <w:sz w:val="20"/>
          <w:szCs w:val="20"/>
          <w:lang w:val="en-US"/>
        </w:rPr>
        <w:t xml:space="preserve"> </w:t>
      </w:r>
      <w:r w:rsidRPr="000977F7">
        <w:rPr>
          <w:rFonts w:asciiTheme="majorHAnsi" w:hAnsiTheme="majorHAnsi"/>
          <w:sz w:val="20"/>
          <w:szCs w:val="20"/>
        </w:rPr>
        <w:t>однієї</w:t>
      </w:r>
      <w:r w:rsidRPr="004D2D14">
        <w:rPr>
          <w:rFonts w:asciiTheme="majorHAnsi" w:hAnsiTheme="majorHAnsi"/>
          <w:sz w:val="20"/>
          <w:szCs w:val="20"/>
          <w:lang w:val="en-US"/>
        </w:rPr>
        <w:t xml:space="preserve"> </w:t>
      </w:r>
      <w:r w:rsidRPr="000977F7">
        <w:rPr>
          <w:rFonts w:asciiTheme="majorHAnsi" w:hAnsiTheme="majorHAnsi"/>
          <w:sz w:val="20"/>
          <w:szCs w:val="20"/>
        </w:rPr>
        <w:t>й</w:t>
      </w:r>
      <w:r w:rsidRPr="004D2D14">
        <w:rPr>
          <w:rFonts w:asciiTheme="majorHAnsi" w:hAnsiTheme="majorHAnsi"/>
          <w:sz w:val="20"/>
          <w:szCs w:val="20"/>
          <w:lang w:val="en-US"/>
        </w:rPr>
        <w:t xml:space="preserve"> </w:t>
      </w:r>
      <w:r w:rsidRPr="000977F7">
        <w:rPr>
          <w:rFonts w:asciiTheme="majorHAnsi" w:hAnsiTheme="majorHAnsi"/>
          <w:sz w:val="20"/>
          <w:szCs w:val="20"/>
        </w:rPr>
        <w:t>тієї</w:t>
      </w:r>
      <w:r w:rsidRPr="004D2D14">
        <w:rPr>
          <w:rFonts w:asciiTheme="majorHAnsi" w:hAnsiTheme="majorHAnsi"/>
          <w:sz w:val="20"/>
          <w:szCs w:val="20"/>
          <w:lang w:val="en-US"/>
        </w:rPr>
        <w:t xml:space="preserve"> </w:t>
      </w:r>
      <w:r w:rsidRPr="000977F7">
        <w:rPr>
          <w:rFonts w:asciiTheme="majorHAnsi" w:hAnsiTheme="majorHAnsi"/>
          <w:sz w:val="20"/>
          <w:szCs w:val="20"/>
        </w:rPr>
        <w:t>ж</w:t>
      </w:r>
      <w:r w:rsidRPr="004D2D14">
        <w:rPr>
          <w:rFonts w:asciiTheme="majorHAnsi" w:hAnsiTheme="majorHAnsi"/>
          <w:sz w:val="20"/>
          <w:szCs w:val="20"/>
          <w:lang w:val="en-US"/>
        </w:rPr>
        <w:t xml:space="preserve"> </w:t>
      </w:r>
      <w:r w:rsidRPr="000977F7">
        <w:rPr>
          <w:rFonts w:asciiTheme="majorHAnsi" w:hAnsiTheme="majorHAnsi"/>
          <w:sz w:val="20"/>
          <w:szCs w:val="20"/>
        </w:rPr>
        <w:t>величини</w:t>
      </w:r>
      <w:r w:rsidRPr="004D2D14">
        <w:rPr>
          <w:rFonts w:asciiTheme="majorHAnsi" w:hAnsiTheme="majorHAnsi"/>
          <w:sz w:val="20"/>
          <w:szCs w:val="20"/>
          <w:lang w:val="en-US"/>
        </w:rPr>
        <w:t xml:space="preserve">, </w:t>
      </w:r>
      <w:r w:rsidRPr="000977F7">
        <w:rPr>
          <w:rFonts w:asciiTheme="majorHAnsi" w:hAnsiTheme="majorHAnsi"/>
          <w:sz w:val="20"/>
          <w:szCs w:val="20"/>
        </w:rPr>
        <w:t>виконаних</w:t>
      </w:r>
      <w:r w:rsidRPr="004D2D14">
        <w:rPr>
          <w:rFonts w:asciiTheme="majorHAnsi" w:hAnsiTheme="majorHAnsi"/>
          <w:sz w:val="20"/>
          <w:szCs w:val="20"/>
          <w:lang w:val="en-US"/>
        </w:rPr>
        <w:t xml:space="preserve"> </w:t>
      </w:r>
      <w:r w:rsidRPr="000977F7">
        <w:rPr>
          <w:rFonts w:asciiTheme="majorHAnsi" w:hAnsiTheme="majorHAnsi"/>
          <w:sz w:val="20"/>
          <w:szCs w:val="20"/>
        </w:rPr>
        <w:t>у</w:t>
      </w:r>
      <w:r w:rsidRPr="004D2D14">
        <w:rPr>
          <w:rFonts w:asciiTheme="majorHAnsi" w:hAnsiTheme="majorHAnsi"/>
          <w:sz w:val="20"/>
          <w:szCs w:val="20"/>
          <w:lang w:val="en-US"/>
        </w:rPr>
        <w:t xml:space="preserve"> </w:t>
      </w:r>
      <w:r w:rsidRPr="000977F7">
        <w:rPr>
          <w:rFonts w:asciiTheme="majorHAnsi" w:hAnsiTheme="majorHAnsi"/>
          <w:sz w:val="20"/>
          <w:szCs w:val="20"/>
        </w:rPr>
        <w:t>різних</w:t>
      </w:r>
      <w:r w:rsidRPr="004D2D14">
        <w:rPr>
          <w:rFonts w:asciiTheme="majorHAnsi" w:hAnsiTheme="majorHAnsi"/>
          <w:sz w:val="20"/>
          <w:szCs w:val="20"/>
          <w:lang w:val="en-US"/>
        </w:rPr>
        <w:t xml:space="preserve"> </w:t>
      </w:r>
      <w:r w:rsidRPr="000977F7">
        <w:rPr>
          <w:rFonts w:asciiTheme="majorHAnsi" w:hAnsiTheme="majorHAnsi"/>
          <w:sz w:val="20"/>
          <w:szCs w:val="20"/>
        </w:rPr>
        <w:t>умовах</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різний</w:t>
      </w:r>
      <w:r w:rsidRPr="004D2D14">
        <w:rPr>
          <w:rFonts w:asciiTheme="majorHAnsi" w:hAnsiTheme="majorHAnsi"/>
          <w:sz w:val="20"/>
          <w:szCs w:val="20"/>
          <w:lang w:val="en-US"/>
        </w:rPr>
        <w:t xml:space="preserve"> </w:t>
      </w:r>
      <w:r w:rsidRPr="000977F7">
        <w:rPr>
          <w:rFonts w:asciiTheme="majorHAnsi" w:hAnsiTheme="majorHAnsi"/>
          <w:sz w:val="20"/>
          <w:szCs w:val="20"/>
        </w:rPr>
        <w:t>час</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pacing w:val="1"/>
          <w:sz w:val="20"/>
          <w:szCs w:val="20"/>
          <w:lang w:val="en-US"/>
        </w:rPr>
        <w:t xml:space="preserve"> </w:t>
      </w:r>
      <w:r w:rsidRPr="000977F7">
        <w:rPr>
          <w:rFonts w:asciiTheme="majorHAnsi" w:hAnsiTheme="majorHAnsi"/>
          <w:sz w:val="20"/>
          <w:szCs w:val="20"/>
        </w:rPr>
        <w:t>різних</w:t>
      </w:r>
      <w:r w:rsidRPr="004D2D14">
        <w:rPr>
          <w:rFonts w:asciiTheme="majorHAnsi" w:hAnsiTheme="majorHAnsi"/>
          <w:spacing w:val="-2"/>
          <w:sz w:val="20"/>
          <w:szCs w:val="20"/>
          <w:lang w:val="en-US"/>
        </w:rPr>
        <w:t xml:space="preserve"> </w:t>
      </w:r>
      <w:r w:rsidRPr="000977F7">
        <w:rPr>
          <w:rFonts w:asciiTheme="majorHAnsi" w:hAnsiTheme="majorHAnsi"/>
          <w:sz w:val="20"/>
          <w:szCs w:val="20"/>
        </w:rPr>
        <w:t>місцях</w:t>
      </w:r>
      <w:r w:rsidRPr="004D2D14">
        <w:rPr>
          <w:rFonts w:asciiTheme="majorHAnsi" w:hAnsiTheme="majorHAnsi"/>
          <w:sz w:val="20"/>
          <w:szCs w:val="20"/>
          <w:lang w:val="en-US"/>
        </w:rPr>
        <w:t xml:space="preserve">, </w:t>
      </w:r>
      <w:r w:rsidRPr="000977F7">
        <w:rPr>
          <w:rFonts w:asciiTheme="majorHAnsi" w:hAnsiTheme="majorHAnsi"/>
          <w:sz w:val="20"/>
          <w:szCs w:val="20"/>
        </w:rPr>
        <w:t>різними</w:t>
      </w:r>
      <w:r w:rsidRPr="004D2D14">
        <w:rPr>
          <w:rFonts w:asciiTheme="majorHAnsi" w:hAnsiTheme="majorHAnsi"/>
          <w:spacing w:val="-1"/>
          <w:sz w:val="20"/>
          <w:szCs w:val="20"/>
          <w:lang w:val="en-US"/>
        </w:rPr>
        <w:t xml:space="preserve"> </w:t>
      </w:r>
      <w:r w:rsidRPr="000977F7">
        <w:rPr>
          <w:rFonts w:asciiTheme="majorHAnsi" w:hAnsiTheme="majorHAnsi"/>
          <w:sz w:val="20"/>
          <w:szCs w:val="20"/>
        </w:rPr>
        <w:t>методами</w:t>
      </w:r>
      <w:r w:rsidRPr="004D2D14">
        <w:rPr>
          <w:rFonts w:asciiTheme="majorHAnsi" w:hAnsiTheme="majorHAnsi"/>
          <w:spacing w:val="-2"/>
          <w:sz w:val="20"/>
          <w:szCs w:val="20"/>
          <w:lang w:val="en-US"/>
        </w:rPr>
        <w:t xml:space="preserve"> </w:t>
      </w:r>
      <w:r w:rsidRPr="000977F7">
        <w:rPr>
          <w:rFonts w:asciiTheme="majorHAnsi" w:hAnsiTheme="majorHAnsi"/>
          <w:sz w:val="20"/>
          <w:szCs w:val="20"/>
        </w:rPr>
        <w:t>і</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засобами</w:t>
      </w:r>
      <w:r w:rsidRPr="004D2D14">
        <w:rPr>
          <w:rFonts w:asciiTheme="majorHAnsi" w:hAnsiTheme="majorHAnsi"/>
          <w:sz w:val="20"/>
          <w:szCs w:val="20"/>
          <w:lang w:val="en-US"/>
        </w:rPr>
        <w:t>)</w:t>
      </w:r>
    </w:p>
    <w:p w14:paraId="15C585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58E08F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Відтворюваність може бути оцінена кількісно дисперсією</w:t>
      </w:r>
      <w:r w:rsidRPr="000977F7">
        <w:rPr>
          <w:rFonts w:asciiTheme="majorHAnsi" w:hAnsiTheme="majorHAnsi"/>
          <w:spacing w:val="-1"/>
          <w:sz w:val="20"/>
          <w:szCs w:val="20"/>
        </w:rPr>
        <w:t xml:space="preserve"> </w:t>
      </w:r>
      <w:r w:rsidRPr="000977F7">
        <w:rPr>
          <w:rFonts w:asciiTheme="majorHAnsi" w:hAnsiTheme="majorHAnsi"/>
          <w:sz w:val="20"/>
          <w:szCs w:val="20"/>
        </w:rPr>
        <w:t>результатів</w:t>
      </w:r>
      <w:r w:rsidRPr="000977F7">
        <w:rPr>
          <w:rFonts w:asciiTheme="majorHAnsi" w:hAnsiTheme="majorHAnsi"/>
          <w:spacing w:val="-1"/>
          <w:sz w:val="20"/>
          <w:szCs w:val="20"/>
        </w:rPr>
        <w:t xml:space="preserve"> </w:t>
      </w:r>
      <w:r w:rsidRPr="000977F7">
        <w:rPr>
          <w:rFonts w:asciiTheme="majorHAnsi" w:hAnsiTheme="majorHAnsi"/>
          <w:sz w:val="20"/>
          <w:szCs w:val="20"/>
        </w:rPr>
        <w:t>вимірювання</w:t>
      </w:r>
    </w:p>
    <w:p w14:paraId="44FA728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709530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ВІДТВОРЮВАНІСТЬ РЕЗУЛЬТАТІВ </w:t>
      </w:r>
    </w:p>
    <w:p w14:paraId="1BC227A8"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ВИПРОБУ</w:t>
      </w:r>
      <w:r w:rsidRPr="000977F7">
        <w:rPr>
          <w:color w:val="auto"/>
          <w:spacing w:val="-47"/>
          <w:sz w:val="20"/>
          <w:szCs w:val="20"/>
        </w:rPr>
        <w:t xml:space="preserve"> </w:t>
      </w:r>
      <w:r w:rsidRPr="000977F7">
        <w:rPr>
          <w:color w:val="auto"/>
          <w:sz w:val="20"/>
          <w:szCs w:val="20"/>
        </w:rPr>
        <w:t>ВАНЬ</w:t>
      </w:r>
      <w:r w:rsidRPr="000977F7">
        <w:rPr>
          <w:color w:val="auto"/>
          <w:spacing w:val="-1"/>
          <w:sz w:val="20"/>
          <w:szCs w:val="20"/>
        </w:rPr>
        <w:t xml:space="preserve"> </w:t>
      </w:r>
      <w:r w:rsidRPr="000977F7">
        <w:rPr>
          <w:b w:val="0"/>
          <w:color w:val="auto"/>
          <w:sz w:val="20"/>
          <w:szCs w:val="20"/>
        </w:rPr>
        <w:t>–</w:t>
      </w:r>
    </w:p>
    <w:p w14:paraId="027806C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REPRODUCIBILITY</w:t>
      </w:r>
      <w:r w:rsidRPr="004D2D14">
        <w:rPr>
          <w:rFonts w:asciiTheme="majorHAnsi" w:hAnsiTheme="majorHAnsi"/>
          <w:spacing w:val="-3"/>
          <w:sz w:val="20"/>
          <w:szCs w:val="20"/>
          <w:lang w:val="uk-UA"/>
        </w:rPr>
        <w:t xml:space="preserve"> </w:t>
      </w:r>
      <w:r w:rsidRPr="000977F7">
        <w:rPr>
          <w:rFonts w:asciiTheme="majorHAnsi" w:hAnsiTheme="majorHAnsi"/>
          <w:sz w:val="20"/>
          <w:szCs w:val="20"/>
        </w:rPr>
        <w:t>OF</w:t>
      </w:r>
      <w:r w:rsidRPr="004D2D14">
        <w:rPr>
          <w:rFonts w:asciiTheme="majorHAnsi" w:hAnsiTheme="majorHAnsi"/>
          <w:spacing w:val="-3"/>
          <w:sz w:val="20"/>
          <w:szCs w:val="20"/>
          <w:lang w:val="uk-UA"/>
        </w:rPr>
        <w:t xml:space="preserve"> </w:t>
      </w:r>
      <w:r w:rsidRPr="000977F7">
        <w:rPr>
          <w:rFonts w:asciiTheme="majorHAnsi" w:hAnsiTheme="majorHAnsi"/>
          <w:sz w:val="20"/>
          <w:szCs w:val="20"/>
        </w:rPr>
        <w:t>TEST</w:t>
      </w:r>
      <w:r w:rsidRPr="004D2D14">
        <w:rPr>
          <w:rFonts w:asciiTheme="majorHAnsi" w:hAnsiTheme="majorHAnsi"/>
          <w:spacing w:val="-1"/>
          <w:sz w:val="20"/>
          <w:szCs w:val="20"/>
          <w:lang w:val="uk-UA"/>
        </w:rPr>
        <w:t xml:space="preserve"> </w:t>
      </w:r>
      <w:r w:rsidRPr="000977F7">
        <w:rPr>
          <w:rFonts w:asciiTheme="majorHAnsi" w:hAnsiTheme="majorHAnsi"/>
          <w:sz w:val="20"/>
          <w:szCs w:val="20"/>
        </w:rPr>
        <w:t>RESULTS</w:t>
      </w:r>
      <w:r w:rsidRPr="004D2D14">
        <w:rPr>
          <w:rFonts w:asciiTheme="majorHAnsi" w:hAnsiTheme="majorHAnsi"/>
          <w:sz w:val="20"/>
          <w:szCs w:val="20"/>
          <w:lang w:val="uk-UA"/>
        </w:rPr>
        <w:t xml:space="preserve"> –</w:t>
      </w:r>
    </w:p>
    <w:p w14:paraId="51A9340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Характеристика</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результатів</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випробувань,</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яка</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визначається близькістю результатів повторних випробувань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об’єкта</w:t>
      </w:r>
    </w:p>
    <w:p w14:paraId="633E80D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3021 –</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95;</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2824 –</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6FE15F5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ВІДХИЛЕННЯ</w:t>
      </w:r>
      <w:r w:rsidRPr="000977F7">
        <w:rPr>
          <w:color w:val="auto"/>
          <w:spacing w:val="-4"/>
          <w:sz w:val="20"/>
          <w:szCs w:val="20"/>
        </w:rPr>
        <w:t xml:space="preserve"> </w:t>
      </w:r>
      <w:r w:rsidRPr="000977F7">
        <w:rPr>
          <w:color w:val="auto"/>
          <w:sz w:val="20"/>
          <w:szCs w:val="20"/>
        </w:rPr>
        <w:t>НАПРУГИ</w:t>
      </w:r>
      <w:r w:rsidRPr="000977F7">
        <w:rPr>
          <w:color w:val="auto"/>
          <w:spacing w:val="-1"/>
          <w:sz w:val="20"/>
          <w:szCs w:val="20"/>
        </w:rPr>
        <w:t xml:space="preserve"> </w:t>
      </w:r>
      <w:r w:rsidRPr="000977F7">
        <w:rPr>
          <w:color w:val="auto"/>
          <w:sz w:val="20"/>
          <w:szCs w:val="20"/>
        </w:rPr>
        <w:t>–</w:t>
      </w:r>
    </w:p>
    <w:p w14:paraId="341479E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VOLTAGE</w:t>
      </w:r>
      <w:r w:rsidRPr="004D2D14">
        <w:rPr>
          <w:rFonts w:asciiTheme="majorHAnsi" w:hAnsiTheme="majorHAnsi"/>
          <w:spacing w:val="-1"/>
          <w:sz w:val="20"/>
          <w:szCs w:val="20"/>
          <w:lang w:val="uk-UA"/>
        </w:rPr>
        <w:t xml:space="preserve"> </w:t>
      </w:r>
      <w:r w:rsidRPr="000977F7">
        <w:rPr>
          <w:rFonts w:asciiTheme="majorHAnsi" w:hAnsiTheme="majorHAnsi"/>
          <w:sz w:val="20"/>
          <w:szCs w:val="20"/>
        </w:rPr>
        <w:t>DEVIATION</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109499C3"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Різниця між поточним значенням напруги в певному</w:t>
      </w:r>
      <w:r w:rsidRPr="000977F7">
        <w:rPr>
          <w:rFonts w:asciiTheme="majorHAnsi" w:hAnsiTheme="majorHAnsi"/>
          <w:spacing w:val="-47"/>
          <w:sz w:val="20"/>
          <w:szCs w:val="20"/>
        </w:rPr>
        <w:t xml:space="preserve"> </w:t>
      </w:r>
      <w:r w:rsidRPr="000977F7">
        <w:rPr>
          <w:rFonts w:asciiTheme="majorHAnsi" w:hAnsiTheme="majorHAnsi"/>
          <w:sz w:val="20"/>
          <w:szCs w:val="20"/>
        </w:rPr>
        <w:t>пункті електропостачальної системи в заданий момент часу та її номінальним чи базовим значенням</w:t>
      </w:r>
      <w:r w:rsidRPr="000977F7">
        <w:rPr>
          <w:rFonts w:asciiTheme="majorHAnsi" w:hAnsiTheme="majorHAnsi"/>
          <w:spacing w:val="1"/>
          <w:sz w:val="20"/>
          <w:szCs w:val="20"/>
        </w:rPr>
        <w:t xml:space="preserve"> </w:t>
      </w:r>
    </w:p>
    <w:p w14:paraId="2FDB8C55"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14A35F1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ВІДХИЛЕННЯ</w:t>
      </w:r>
      <w:r w:rsidRPr="000977F7">
        <w:rPr>
          <w:color w:val="auto"/>
          <w:spacing w:val="-8"/>
          <w:sz w:val="20"/>
          <w:szCs w:val="20"/>
        </w:rPr>
        <w:t xml:space="preserve"> </w:t>
      </w:r>
      <w:r w:rsidRPr="000977F7">
        <w:rPr>
          <w:color w:val="auto"/>
          <w:sz w:val="20"/>
          <w:szCs w:val="20"/>
        </w:rPr>
        <w:t>ПАРАМЕТРА</w:t>
      </w:r>
      <w:r w:rsidRPr="000977F7">
        <w:rPr>
          <w:color w:val="auto"/>
          <w:spacing w:val="-6"/>
          <w:sz w:val="20"/>
          <w:szCs w:val="20"/>
        </w:rPr>
        <w:t xml:space="preserve"> </w:t>
      </w:r>
      <w:r w:rsidRPr="000977F7">
        <w:rPr>
          <w:color w:val="auto"/>
          <w:sz w:val="20"/>
          <w:szCs w:val="20"/>
        </w:rPr>
        <w:t>ЕЛЕКТРИЧНОЇ</w:t>
      </w:r>
      <w:r w:rsidRPr="000977F7">
        <w:rPr>
          <w:color w:val="auto"/>
          <w:spacing w:val="-47"/>
          <w:sz w:val="20"/>
          <w:szCs w:val="20"/>
        </w:rPr>
        <w:t xml:space="preserve"> </w:t>
      </w:r>
      <w:r w:rsidRPr="000977F7">
        <w:rPr>
          <w:color w:val="auto"/>
          <w:sz w:val="20"/>
          <w:szCs w:val="20"/>
        </w:rPr>
        <w:t>ЕНЕРГІЇ</w:t>
      </w:r>
      <w:r w:rsidRPr="000977F7">
        <w:rPr>
          <w:color w:val="auto"/>
          <w:spacing w:val="-2"/>
          <w:sz w:val="20"/>
          <w:szCs w:val="20"/>
        </w:rPr>
        <w:t xml:space="preserve"> </w:t>
      </w:r>
      <w:r w:rsidRPr="000977F7">
        <w:rPr>
          <w:color w:val="auto"/>
          <w:sz w:val="20"/>
          <w:szCs w:val="20"/>
        </w:rPr>
        <w:t>–</w:t>
      </w:r>
    </w:p>
    <w:p w14:paraId="5A83B06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Різниця між поточним значенням параметра електричної енергії та його номінальним чи базовим значенням</w:t>
      </w:r>
    </w:p>
    <w:p w14:paraId="091317F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3C8C24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базове</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прийняте</w:t>
      </w:r>
      <w:r w:rsidRPr="000977F7">
        <w:rPr>
          <w:rFonts w:asciiTheme="majorHAnsi" w:hAnsiTheme="majorHAnsi"/>
          <w:spacing w:val="-47"/>
          <w:sz w:val="20"/>
          <w:szCs w:val="20"/>
        </w:rPr>
        <w:t xml:space="preserve"> </w:t>
      </w:r>
      <w:r w:rsidRPr="000977F7">
        <w:rPr>
          <w:rFonts w:asciiTheme="majorHAnsi" w:hAnsiTheme="majorHAnsi"/>
          <w:sz w:val="20"/>
          <w:szCs w:val="20"/>
        </w:rPr>
        <w:t>середнє робоче, розрахункове, граничне чи обумовлене</w:t>
      </w:r>
      <w:r w:rsidRPr="000977F7">
        <w:rPr>
          <w:rFonts w:asciiTheme="majorHAnsi" w:hAnsiTheme="majorHAnsi"/>
          <w:spacing w:val="1"/>
          <w:sz w:val="20"/>
          <w:szCs w:val="20"/>
        </w:rPr>
        <w:t xml:space="preserve"> </w:t>
      </w:r>
      <w:r w:rsidRPr="000977F7">
        <w:rPr>
          <w:rFonts w:asciiTheme="majorHAnsi" w:hAnsiTheme="majorHAnsi"/>
          <w:sz w:val="20"/>
          <w:szCs w:val="20"/>
        </w:rPr>
        <w:t>угодою</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електропостачання</w:t>
      </w:r>
      <w:r w:rsidRPr="000977F7">
        <w:rPr>
          <w:rFonts w:asciiTheme="majorHAnsi" w:hAnsiTheme="majorHAnsi"/>
          <w:spacing w:val="-2"/>
          <w:sz w:val="20"/>
          <w:szCs w:val="20"/>
        </w:rPr>
        <w:t xml:space="preserve"> </w:t>
      </w:r>
      <w:r w:rsidRPr="000977F7">
        <w:rPr>
          <w:rFonts w:asciiTheme="majorHAnsi" w:hAnsiTheme="majorHAnsi"/>
          <w:sz w:val="20"/>
          <w:szCs w:val="20"/>
        </w:rPr>
        <w:t>значення</w:t>
      </w:r>
    </w:p>
    <w:p w14:paraId="6750943D"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3466</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96</w:t>
      </w:r>
    </w:p>
    <w:p w14:paraId="1953CFD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ВІДХИЛЕННЯ</w:t>
      </w:r>
      <w:r w:rsidRPr="000977F7">
        <w:rPr>
          <w:color w:val="auto"/>
          <w:spacing w:val="-4"/>
          <w:sz w:val="20"/>
          <w:szCs w:val="20"/>
        </w:rPr>
        <w:t xml:space="preserve"> </w:t>
      </w:r>
      <w:r w:rsidRPr="000977F7">
        <w:rPr>
          <w:color w:val="auto"/>
          <w:sz w:val="20"/>
          <w:szCs w:val="20"/>
        </w:rPr>
        <w:t>ЧАСТОТИ</w:t>
      </w:r>
      <w:r w:rsidRPr="000977F7">
        <w:rPr>
          <w:color w:val="auto"/>
          <w:spacing w:val="1"/>
          <w:sz w:val="20"/>
          <w:szCs w:val="20"/>
        </w:rPr>
        <w:t xml:space="preserve"> </w:t>
      </w:r>
      <w:r w:rsidRPr="000977F7">
        <w:rPr>
          <w:color w:val="auto"/>
          <w:sz w:val="20"/>
          <w:szCs w:val="20"/>
        </w:rPr>
        <w:t>–</w:t>
      </w:r>
    </w:p>
    <w:p w14:paraId="3F5A13B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FREQUENCY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DEVIATION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DB464A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Різниця між наявним значенням частоти в певному</w:t>
      </w:r>
      <w:r w:rsidRPr="000977F7">
        <w:rPr>
          <w:rFonts w:asciiTheme="majorHAnsi" w:hAnsiTheme="majorHAnsi"/>
          <w:spacing w:val="1"/>
          <w:sz w:val="20"/>
          <w:szCs w:val="20"/>
        </w:rPr>
        <w:t xml:space="preserve"> </w:t>
      </w:r>
      <w:r w:rsidRPr="000977F7">
        <w:rPr>
          <w:rFonts w:asciiTheme="majorHAnsi" w:hAnsiTheme="majorHAnsi"/>
          <w:sz w:val="20"/>
          <w:szCs w:val="20"/>
        </w:rPr>
        <w:t>пункті електропостачальної системи в певний момент</w:t>
      </w:r>
      <w:r w:rsidRPr="000977F7">
        <w:rPr>
          <w:rFonts w:asciiTheme="majorHAnsi" w:hAnsiTheme="majorHAnsi"/>
          <w:spacing w:val="-47"/>
          <w:sz w:val="20"/>
          <w:szCs w:val="20"/>
        </w:rPr>
        <w:t xml:space="preserve"> </w:t>
      </w:r>
      <w:r w:rsidRPr="000977F7">
        <w:rPr>
          <w:rFonts w:asciiTheme="majorHAnsi" w:hAnsiTheme="majorHAnsi"/>
          <w:sz w:val="20"/>
          <w:szCs w:val="20"/>
        </w:rPr>
        <w:t>часу</w:t>
      </w:r>
      <w:r w:rsidRPr="000977F7">
        <w:rPr>
          <w:rFonts w:asciiTheme="majorHAnsi" w:hAnsiTheme="majorHAnsi"/>
          <w:spacing w:val="-5"/>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2"/>
          <w:sz w:val="20"/>
          <w:szCs w:val="20"/>
        </w:rPr>
        <w:t xml:space="preserve"> </w:t>
      </w:r>
      <w:r w:rsidRPr="000977F7">
        <w:rPr>
          <w:rFonts w:asciiTheme="majorHAnsi" w:hAnsiTheme="majorHAnsi"/>
          <w:sz w:val="20"/>
          <w:szCs w:val="20"/>
        </w:rPr>
        <w:t>номінальним</w:t>
      </w:r>
      <w:r w:rsidRPr="000977F7">
        <w:rPr>
          <w:rFonts w:asciiTheme="majorHAnsi" w:hAnsiTheme="majorHAnsi"/>
          <w:spacing w:val="1"/>
          <w:sz w:val="20"/>
          <w:szCs w:val="20"/>
        </w:rPr>
        <w:t xml:space="preserve"> </w:t>
      </w:r>
      <w:r w:rsidRPr="000977F7">
        <w:rPr>
          <w:rFonts w:asciiTheme="majorHAnsi" w:hAnsiTheme="majorHAnsi"/>
          <w:sz w:val="20"/>
          <w:szCs w:val="20"/>
        </w:rPr>
        <w:t>чи базовим значенням</w:t>
      </w:r>
    </w:p>
    <w:p w14:paraId="0C85FB1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0AFF540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ВІДХОДИ</w:t>
      </w:r>
      <w:r w:rsidRPr="000977F7">
        <w:rPr>
          <w:color w:val="auto"/>
          <w:spacing w:val="-4"/>
          <w:sz w:val="20"/>
          <w:szCs w:val="20"/>
        </w:rPr>
        <w:t xml:space="preserve"> </w:t>
      </w:r>
      <w:r w:rsidRPr="000977F7">
        <w:rPr>
          <w:color w:val="auto"/>
          <w:sz w:val="20"/>
          <w:szCs w:val="20"/>
        </w:rPr>
        <w:t>ВИРОБНИЦТВА –</w:t>
      </w:r>
    </w:p>
    <w:p w14:paraId="0047C89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1"/>
          <w:sz w:val="20"/>
          <w:szCs w:val="20"/>
        </w:rPr>
        <w:t xml:space="preserve"> </w:t>
      </w:r>
      <w:r w:rsidRPr="000977F7">
        <w:rPr>
          <w:rFonts w:asciiTheme="majorHAnsi" w:hAnsiTheme="majorHAnsi"/>
          <w:sz w:val="20"/>
          <w:szCs w:val="20"/>
        </w:rPr>
        <w:t>основних</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допоміжних</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використовується або утворюється в технологічному</w:t>
      </w:r>
      <w:r w:rsidRPr="000977F7">
        <w:rPr>
          <w:rFonts w:asciiTheme="majorHAnsi" w:hAnsiTheme="majorHAnsi"/>
          <w:spacing w:val="1"/>
          <w:sz w:val="20"/>
          <w:szCs w:val="20"/>
        </w:rPr>
        <w:t xml:space="preserve"> </w:t>
      </w:r>
      <w:r w:rsidRPr="000977F7">
        <w:rPr>
          <w:rFonts w:asciiTheme="majorHAnsi" w:hAnsiTheme="majorHAnsi"/>
          <w:sz w:val="20"/>
          <w:szCs w:val="20"/>
        </w:rPr>
        <w:t>процесі, яка виводиться з процесу з метою розсіяння,</w:t>
      </w:r>
      <w:r w:rsidRPr="000977F7">
        <w:rPr>
          <w:rFonts w:asciiTheme="majorHAnsi" w:hAnsiTheme="majorHAnsi"/>
          <w:spacing w:val="1"/>
          <w:sz w:val="20"/>
          <w:szCs w:val="20"/>
        </w:rPr>
        <w:t xml:space="preserve"> </w:t>
      </w:r>
      <w:r w:rsidRPr="000977F7">
        <w:rPr>
          <w:rFonts w:asciiTheme="majorHAnsi" w:hAnsiTheme="majorHAnsi"/>
          <w:sz w:val="20"/>
          <w:szCs w:val="20"/>
        </w:rPr>
        <w:t>захоронення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природному</w:t>
      </w:r>
      <w:r w:rsidRPr="000977F7">
        <w:rPr>
          <w:rFonts w:asciiTheme="majorHAnsi" w:hAnsiTheme="majorHAnsi"/>
          <w:spacing w:val="1"/>
          <w:sz w:val="20"/>
          <w:szCs w:val="20"/>
        </w:rPr>
        <w:t xml:space="preserve"> </w:t>
      </w:r>
      <w:r w:rsidRPr="000977F7">
        <w:rPr>
          <w:rFonts w:asciiTheme="majorHAnsi" w:hAnsiTheme="majorHAnsi"/>
          <w:sz w:val="20"/>
          <w:szCs w:val="20"/>
        </w:rPr>
        <w:t>середовищі,</w:t>
      </w:r>
      <w:r w:rsidRPr="000977F7">
        <w:rPr>
          <w:rFonts w:asciiTheme="majorHAnsi" w:hAnsiTheme="majorHAnsi"/>
          <w:spacing w:val="1"/>
          <w:sz w:val="20"/>
          <w:szCs w:val="20"/>
        </w:rPr>
        <w:t xml:space="preserve"> </w:t>
      </w:r>
      <w:r w:rsidRPr="000977F7">
        <w:rPr>
          <w:rFonts w:asciiTheme="majorHAnsi" w:hAnsiTheme="majorHAnsi"/>
          <w:sz w:val="20"/>
          <w:szCs w:val="20"/>
        </w:rPr>
        <w:t>рекуперації</w:t>
      </w:r>
      <w:r w:rsidRPr="000977F7">
        <w:rPr>
          <w:rFonts w:asciiTheme="majorHAnsi" w:hAnsiTheme="majorHAnsi"/>
          <w:spacing w:val="-47"/>
          <w:sz w:val="20"/>
          <w:szCs w:val="20"/>
        </w:rPr>
        <w:t xml:space="preserve"> </w:t>
      </w:r>
      <w:r w:rsidRPr="000977F7">
        <w:rPr>
          <w:rFonts w:asciiTheme="majorHAnsi" w:hAnsiTheme="majorHAnsi"/>
          <w:sz w:val="20"/>
          <w:szCs w:val="20"/>
        </w:rPr>
        <w:t>або</w:t>
      </w:r>
      <w:r w:rsidRPr="000977F7">
        <w:rPr>
          <w:rFonts w:asciiTheme="majorHAnsi" w:hAnsiTheme="majorHAnsi"/>
          <w:spacing w:val="2"/>
          <w:sz w:val="20"/>
          <w:szCs w:val="20"/>
        </w:rPr>
        <w:t xml:space="preserve"> </w:t>
      </w:r>
      <w:r w:rsidRPr="000977F7">
        <w:rPr>
          <w:rFonts w:asciiTheme="majorHAnsi" w:hAnsiTheme="majorHAnsi"/>
          <w:sz w:val="20"/>
          <w:szCs w:val="20"/>
        </w:rPr>
        <w:t>утилізації</w:t>
      </w:r>
    </w:p>
    <w:p w14:paraId="5CE640B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084D5E63"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ВІДШКОДУВАННЯ</w:t>
      </w:r>
      <w:r w:rsidRPr="000977F7">
        <w:rPr>
          <w:color w:val="auto"/>
          <w:spacing w:val="1"/>
          <w:sz w:val="20"/>
          <w:szCs w:val="20"/>
        </w:rPr>
        <w:t xml:space="preserve"> </w:t>
      </w:r>
      <w:r w:rsidRPr="000977F7">
        <w:rPr>
          <w:color w:val="auto"/>
          <w:sz w:val="20"/>
          <w:szCs w:val="20"/>
        </w:rPr>
        <w:t>ШКОДИ</w:t>
      </w:r>
      <w:r w:rsidRPr="000977F7">
        <w:rPr>
          <w:color w:val="auto"/>
          <w:spacing w:val="1"/>
          <w:sz w:val="20"/>
          <w:szCs w:val="20"/>
        </w:rPr>
        <w:t xml:space="preserve"> </w:t>
      </w:r>
      <w:r w:rsidRPr="000977F7">
        <w:rPr>
          <w:color w:val="auto"/>
          <w:sz w:val="20"/>
          <w:szCs w:val="20"/>
        </w:rPr>
        <w:t>У</w:t>
      </w:r>
      <w:r w:rsidRPr="000977F7">
        <w:rPr>
          <w:color w:val="auto"/>
          <w:spacing w:val="1"/>
          <w:sz w:val="20"/>
          <w:szCs w:val="20"/>
        </w:rPr>
        <w:t xml:space="preserve"> </w:t>
      </w:r>
      <w:r w:rsidRPr="000977F7">
        <w:rPr>
          <w:color w:val="auto"/>
          <w:sz w:val="20"/>
          <w:szCs w:val="20"/>
        </w:rPr>
        <w:t>РАЗІ</w:t>
      </w:r>
      <w:r w:rsidRPr="000977F7">
        <w:rPr>
          <w:color w:val="auto"/>
          <w:spacing w:val="1"/>
          <w:sz w:val="20"/>
          <w:szCs w:val="20"/>
        </w:rPr>
        <w:t xml:space="preserve"> </w:t>
      </w:r>
    </w:p>
    <w:p w14:paraId="1B2ABCC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УШКОДЖЕННЯ ЗДОРОВ’Я ПРАЦІВНИКІВ АБО У РАЗІ</w:t>
      </w:r>
      <w:r w:rsidRPr="000977F7">
        <w:rPr>
          <w:color w:val="auto"/>
          <w:spacing w:val="-2"/>
          <w:sz w:val="20"/>
          <w:szCs w:val="20"/>
        </w:rPr>
        <w:t xml:space="preserve"> </w:t>
      </w:r>
      <w:r w:rsidRPr="000977F7">
        <w:rPr>
          <w:color w:val="auto"/>
          <w:sz w:val="20"/>
          <w:szCs w:val="20"/>
        </w:rPr>
        <w:t>ЇХ</w:t>
      </w:r>
      <w:r w:rsidRPr="000977F7">
        <w:rPr>
          <w:color w:val="auto"/>
          <w:spacing w:val="-1"/>
          <w:sz w:val="20"/>
          <w:szCs w:val="20"/>
        </w:rPr>
        <w:t xml:space="preserve"> </w:t>
      </w:r>
      <w:r w:rsidRPr="000977F7">
        <w:rPr>
          <w:color w:val="auto"/>
          <w:sz w:val="20"/>
          <w:szCs w:val="20"/>
        </w:rPr>
        <w:t>СМЕРТІ -</w:t>
      </w:r>
    </w:p>
    <w:p w14:paraId="5198FCB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Відшкодування шкоди, заподіяної працівникові внаслідок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ушкодження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його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здоров'я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 разі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смерті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працівника, здійснюється Фондом соціального страхування України відповідно до Закону України "Про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загальнообов'язкове державне соціальне страхування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 нещасного випадку на виробництві та професійного захворювання, які спричинили втрату працездатності".</w:t>
      </w:r>
    </w:p>
    <w:p w14:paraId="75235A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Роботодавець може за рахунок власних коштів здійснювати</w:t>
      </w:r>
      <w:r w:rsidRPr="000977F7">
        <w:rPr>
          <w:rFonts w:asciiTheme="majorHAnsi" w:hAnsiTheme="majorHAnsi"/>
          <w:spacing w:val="28"/>
          <w:sz w:val="20"/>
          <w:szCs w:val="20"/>
        </w:rPr>
        <w:t xml:space="preserve"> </w:t>
      </w:r>
      <w:r w:rsidRPr="000977F7">
        <w:rPr>
          <w:rFonts w:asciiTheme="majorHAnsi" w:hAnsiTheme="majorHAnsi"/>
          <w:sz w:val="20"/>
          <w:szCs w:val="20"/>
        </w:rPr>
        <w:t>потерпілим</w:t>
      </w:r>
      <w:r w:rsidRPr="000977F7">
        <w:rPr>
          <w:rFonts w:asciiTheme="majorHAnsi" w:hAnsiTheme="majorHAnsi"/>
          <w:spacing w:val="30"/>
          <w:sz w:val="20"/>
          <w:szCs w:val="20"/>
        </w:rPr>
        <w:t xml:space="preserve"> </w:t>
      </w:r>
      <w:r w:rsidRPr="000977F7">
        <w:rPr>
          <w:rFonts w:asciiTheme="majorHAnsi" w:hAnsiTheme="majorHAnsi"/>
          <w:sz w:val="20"/>
          <w:szCs w:val="20"/>
        </w:rPr>
        <w:t>та</w:t>
      </w:r>
      <w:r w:rsidRPr="000977F7">
        <w:rPr>
          <w:rFonts w:asciiTheme="majorHAnsi" w:hAnsiTheme="majorHAnsi"/>
          <w:spacing w:val="27"/>
          <w:sz w:val="20"/>
          <w:szCs w:val="20"/>
        </w:rPr>
        <w:t xml:space="preserve"> </w:t>
      </w:r>
      <w:r w:rsidRPr="000977F7">
        <w:rPr>
          <w:rFonts w:asciiTheme="majorHAnsi" w:hAnsiTheme="majorHAnsi"/>
          <w:sz w:val="20"/>
          <w:szCs w:val="20"/>
        </w:rPr>
        <w:t>членам</w:t>
      </w:r>
      <w:r w:rsidRPr="000977F7">
        <w:rPr>
          <w:rFonts w:asciiTheme="majorHAnsi" w:hAnsiTheme="majorHAnsi"/>
          <w:spacing w:val="28"/>
          <w:sz w:val="20"/>
          <w:szCs w:val="20"/>
        </w:rPr>
        <w:t xml:space="preserve"> </w:t>
      </w:r>
      <w:r w:rsidRPr="000977F7">
        <w:rPr>
          <w:rFonts w:asciiTheme="majorHAnsi" w:hAnsiTheme="majorHAnsi"/>
          <w:sz w:val="20"/>
          <w:szCs w:val="20"/>
        </w:rPr>
        <w:t>їх</w:t>
      </w:r>
      <w:r w:rsidRPr="000977F7">
        <w:rPr>
          <w:rFonts w:asciiTheme="majorHAnsi" w:hAnsiTheme="majorHAnsi"/>
          <w:spacing w:val="25"/>
          <w:sz w:val="20"/>
          <w:szCs w:val="20"/>
        </w:rPr>
        <w:t xml:space="preserve"> </w:t>
      </w:r>
      <w:r w:rsidRPr="000977F7">
        <w:rPr>
          <w:rFonts w:asciiTheme="majorHAnsi" w:hAnsiTheme="majorHAnsi"/>
          <w:sz w:val="20"/>
          <w:szCs w:val="20"/>
        </w:rPr>
        <w:t>сімей</w:t>
      </w:r>
      <w:r w:rsidRPr="000977F7">
        <w:rPr>
          <w:rFonts w:asciiTheme="majorHAnsi" w:hAnsiTheme="majorHAnsi"/>
          <w:spacing w:val="28"/>
          <w:sz w:val="20"/>
          <w:szCs w:val="20"/>
        </w:rPr>
        <w:t xml:space="preserve"> </w:t>
      </w:r>
      <w:r w:rsidRPr="000977F7">
        <w:rPr>
          <w:rFonts w:asciiTheme="majorHAnsi" w:hAnsiTheme="majorHAnsi"/>
          <w:sz w:val="20"/>
          <w:szCs w:val="20"/>
        </w:rPr>
        <w:t>додаткові</w:t>
      </w:r>
      <w:r w:rsidRPr="000977F7">
        <w:rPr>
          <w:rFonts w:asciiTheme="majorHAnsi" w:hAnsiTheme="majorHAnsi"/>
          <w:spacing w:val="29"/>
          <w:sz w:val="20"/>
          <w:szCs w:val="20"/>
        </w:rPr>
        <w:t xml:space="preserve"> </w:t>
      </w:r>
      <w:r w:rsidRPr="000977F7">
        <w:rPr>
          <w:rFonts w:asciiTheme="majorHAnsi" w:hAnsiTheme="majorHAnsi"/>
          <w:sz w:val="20"/>
          <w:szCs w:val="20"/>
        </w:rPr>
        <w:t>ви-плати відповідно до колективного чи трудового договору.</w:t>
      </w:r>
    </w:p>
    <w:p w14:paraId="6845B4E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 працівниками, які втратили працездатність у зв'язку з нещасним випадком на виробництві або професійним</w:t>
      </w:r>
      <w:r w:rsidRPr="000977F7">
        <w:rPr>
          <w:rFonts w:asciiTheme="majorHAnsi" w:hAnsiTheme="majorHAnsi"/>
          <w:spacing w:val="1"/>
          <w:sz w:val="20"/>
          <w:szCs w:val="20"/>
        </w:rPr>
        <w:t xml:space="preserve"> </w:t>
      </w:r>
      <w:r w:rsidRPr="000977F7">
        <w:rPr>
          <w:rFonts w:asciiTheme="majorHAnsi" w:hAnsiTheme="majorHAnsi"/>
          <w:sz w:val="20"/>
          <w:szCs w:val="20"/>
        </w:rPr>
        <w:t>захворюванням,</w:t>
      </w:r>
      <w:r w:rsidRPr="000977F7">
        <w:rPr>
          <w:rFonts w:asciiTheme="majorHAnsi" w:hAnsiTheme="majorHAnsi"/>
          <w:spacing w:val="1"/>
          <w:sz w:val="20"/>
          <w:szCs w:val="20"/>
        </w:rPr>
        <w:t xml:space="preserve"> </w:t>
      </w:r>
      <w:r w:rsidRPr="000977F7">
        <w:rPr>
          <w:rFonts w:asciiTheme="majorHAnsi" w:hAnsiTheme="majorHAnsi"/>
          <w:sz w:val="20"/>
          <w:szCs w:val="20"/>
        </w:rPr>
        <w:t>зберігаються</w:t>
      </w:r>
      <w:r w:rsidRPr="000977F7">
        <w:rPr>
          <w:rFonts w:asciiTheme="majorHAnsi" w:hAnsiTheme="majorHAnsi"/>
          <w:spacing w:val="1"/>
          <w:sz w:val="20"/>
          <w:szCs w:val="20"/>
        </w:rPr>
        <w:t xml:space="preserve"> </w:t>
      </w:r>
      <w:r w:rsidRPr="000977F7">
        <w:rPr>
          <w:rFonts w:asciiTheme="majorHAnsi" w:hAnsiTheme="majorHAnsi"/>
          <w:sz w:val="20"/>
          <w:szCs w:val="20"/>
        </w:rPr>
        <w:t>місце</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r w:rsidRPr="000977F7">
        <w:rPr>
          <w:rFonts w:asciiTheme="majorHAnsi" w:hAnsiTheme="majorHAnsi"/>
          <w:spacing w:val="1"/>
          <w:sz w:val="20"/>
          <w:szCs w:val="20"/>
        </w:rPr>
        <w:t xml:space="preserve"> </w:t>
      </w:r>
      <w:r w:rsidRPr="000977F7">
        <w:rPr>
          <w:rFonts w:asciiTheme="majorHAnsi" w:hAnsiTheme="majorHAnsi"/>
          <w:sz w:val="20"/>
          <w:szCs w:val="20"/>
        </w:rPr>
        <w:t>(посада) та середня заробітна плата на весь період до</w:t>
      </w:r>
      <w:r w:rsidRPr="000977F7">
        <w:rPr>
          <w:rFonts w:asciiTheme="majorHAnsi" w:hAnsiTheme="majorHAnsi"/>
          <w:spacing w:val="1"/>
          <w:sz w:val="20"/>
          <w:szCs w:val="20"/>
        </w:rPr>
        <w:t xml:space="preserve"> </w:t>
      </w:r>
      <w:r w:rsidRPr="000977F7">
        <w:rPr>
          <w:rFonts w:asciiTheme="majorHAnsi" w:hAnsiTheme="majorHAnsi"/>
          <w:sz w:val="20"/>
          <w:szCs w:val="20"/>
        </w:rPr>
        <w:t>відновлення працездатності або до встановлення стійкої втрати професійної працездатності. У разі неможливості</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потерпілим</w:t>
      </w:r>
      <w:r w:rsidRPr="000977F7">
        <w:rPr>
          <w:rFonts w:asciiTheme="majorHAnsi" w:hAnsiTheme="majorHAnsi"/>
          <w:spacing w:val="1"/>
          <w:sz w:val="20"/>
          <w:szCs w:val="20"/>
        </w:rPr>
        <w:t xml:space="preserve"> </w:t>
      </w:r>
      <w:r w:rsidRPr="000977F7">
        <w:rPr>
          <w:rFonts w:asciiTheme="majorHAnsi" w:hAnsiTheme="majorHAnsi"/>
          <w:sz w:val="20"/>
          <w:szCs w:val="20"/>
        </w:rPr>
        <w:t>попередньої</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r w:rsidRPr="000977F7">
        <w:rPr>
          <w:rFonts w:asciiTheme="majorHAnsi" w:hAnsiTheme="majorHAnsi"/>
          <w:spacing w:val="1"/>
          <w:sz w:val="20"/>
          <w:szCs w:val="20"/>
        </w:rPr>
        <w:t xml:space="preserve"> </w:t>
      </w:r>
      <w:r w:rsidRPr="000977F7">
        <w:rPr>
          <w:rFonts w:asciiTheme="majorHAnsi" w:hAnsiTheme="majorHAnsi"/>
          <w:sz w:val="20"/>
          <w:szCs w:val="20"/>
        </w:rPr>
        <w:t>проводяться його навчання і перекваліфікація, а також працевлаштування відповідно до медичних рекомендацій.</w:t>
      </w:r>
    </w:p>
    <w:p w14:paraId="5539C0C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 перебування на інвалідності у зв'язку з нещасним</w:t>
      </w:r>
      <w:r w:rsidRPr="000977F7">
        <w:rPr>
          <w:rFonts w:asciiTheme="majorHAnsi" w:hAnsiTheme="majorHAnsi"/>
          <w:spacing w:val="-47"/>
          <w:sz w:val="20"/>
          <w:szCs w:val="20"/>
        </w:rPr>
        <w:t xml:space="preserve"> </w:t>
      </w:r>
      <w:r w:rsidRPr="000977F7">
        <w:rPr>
          <w:rFonts w:asciiTheme="majorHAnsi" w:hAnsiTheme="majorHAnsi"/>
          <w:sz w:val="20"/>
          <w:szCs w:val="20"/>
        </w:rPr>
        <w:t>випадком на виробництві або професійним захворюванням</w:t>
      </w:r>
      <w:r w:rsidRPr="000977F7">
        <w:rPr>
          <w:rFonts w:asciiTheme="majorHAnsi" w:hAnsiTheme="majorHAnsi"/>
          <w:spacing w:val="1"/>
          <w:sz w:val="20"/>
          <w:szCs w:val="20"/>
        </w:rPr>
        <w:t xml:space="preserve"> </w:t>
      </w:r>
      <w:r w:rsidRPr="000977F7">
        <w:rPr>
          <w:rFonts w:asciiTheme="majorHAnsi" w:hAnsiTheme="majorHAnsi"/>
          <w:sz w:val="20"/>
          <w:szCs w:val="20"/>
        </w:rPr>
        <w:t>зараховується</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стажу</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призначення пенсії за віком, а також до стажу роботи із шкідливими</w:t>
      </w:r>
      <w:r w:rsidRPr="000977F7">
        <w:rPr>
          <w:rFonts w:asciiTheme="majorHAnsi" w:hAnsiTheme="majorHAnsi"/>
          <w:spacing w:val="1"/>
          <w:sz w:val="20"/>
          <w:szCs w:val="20"/>
        </w:rPr>
        <w:t xml:space="preserve"> </w:t>
      </w:r>
      <w:r w:rsidRPr="000977F7">
        <w:rPr>
          <w:rFonts w:asciiTheme="majorHAnsi" w:hAnsiTheme="majorHAnsi"/>
          <w:sz w:val="20"/>
          <w:szCs w:val="20"/>
        </w:rPr>
        <w:t>умовами,</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дає</w:t>
      </w:r>
      <w:r w:rsidRPr="000977F7">
        <w:rPr>
          <w:rFonts w:asciiTheme="majorHAnsi" w:hAnsiTheme="majorHAnsi"/>
          <w:spacing w:val="1"/>
          <w:sz w:val="20"/>
          <w:szCs w:val="20"/>
        </w:rPr>
        <w:t xml:space="preserve"> </w:t>
      </w:r>
      <w:r w:rsidRPr="000977F7">
        <w:rPr>
          <w:rFonts w:asciiTheme="majorHAnsi" w:hAnsiTheme="majorHAnsi"/>
          <w:sz w:val="20"/>
          <w:szCs w:val="20"/>
        </w:rPr>
        <w:t>право</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пенсії на пільгових умовах і в пільгових розмірах у</w:t>
      </w:r>
      <w:r w:rsidRPr="000977F7">
        <w:rPr>
          <w:rFonts w:asciiTheme="majorHAnsi" w:hAnsiTheme="majorHAnsi"/>
          <w:spacing w:val="1"/>
          <w:sz w:val="20"/>
          <w:szCs w:val="20"/>
        </w:rPr>
        <w:t xml:space="preserve"> </w:t>
      </w:r>
      <w:r w:rsidRPr="000977F7">
        <w:rPr>
          <w:rFonts w:asciiTheme="majorHAnsi" w:hAnsiTheme="majorHAnsi"/>
          <w:sz w:val="20"/>
          <w:szCs w:val="20"/>
        </w:rPr>
        <w:t>порядку,</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встановленому</w:t>
      </w:r>
      <w:r w:rsidRPr="000977F7">
        <w:rPr>
          <w:rFonts w:asciiTheme="majorHAnsi" w:hAnsiTheme="majorHAnsi"/>
          <w:spacing w:val="-4"/>
          <w:sz w:val="20"/>
          <w:szCs w:val="20"/>
        </w:rPr>
        <w:t xml:space="preserve"> </w:t>
      </w:r>
      <w:r w:rsidRPr="000977F7">
        <w:rPr>
          <w:rFonts w:asciiTheme="majorHAnsi" w:hAnsiTheme="majorHAnsi"/>
          <w:sz w:val="20"/>
          <w:szCs w:val="20"/>
        </w:rPr>
        <w:t>законом.</w:t>
      </w:r>
    </w:p>
    <w:p w14:paraId="23A5A1B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2"/>
          <w:sz w:val="20"/>
          <w:szCs w:val="20"/>
        </w:rPr>
        <w:t xml:space="preserve"> </w:t>
      </w:r>
      <w:r w:rsidRPr="000977F7">
        <w:rPr>
          <w:rFonts w:asciiTheme="majorHAnsi" w:hAnsiTheme="majorHAnsi"/>
          <w:i/>
          <w:sz w:val="20"/>
          <w:szCs w:val="20"/>
        </w:rPr>
        <w:t>9 закону</w:t>
      </w:r>
      <w:r w:rsidRPr="000977F7">
        <w:rPr>
          <w:rFonts w:asciiTheme="majorHAnsi" w:hAnsiTheme="majorHAnsi"/>
          <w:i/>
          <w:spacing w:val="-3"/>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1"/>
          <w:sz w:val="20"/>
          <w:szCs w:val="20"/>
        </w:rPr>
        <w:t xml:space="preserve"> "</w:t>
      </w:r>
      <w:r w:rsidRPr="000977F7">
        <w:rPr>
          <w:rFonts w:asciiTheme="majorHAnsi" w:hAnsiTheme="majorHAnsi"/>
          <w:i/>
          <w:sz w:val="20"/>
          <w:szCs w:val="20"/>
        </w:rPr>
        <w:t>Про</w:t>
      </w:r>
      <w:r w:rsidRPr="000977F7">
        <w:rPr>
          <w:rFonts w:asciiTheme="majorHAnsi" w:hAnsiTheme="majorHAnsi"/>
          <w:i/>
          <w:spacing w:val="-6"/>
          <w:sz w:val="20"/>
          <w:szCs w:val="20"/>
        </w:rPr>
        <w:t xml:space="preserve"> </w:t>
      </w:r>
      <w:r w:rsidRPr="000977F7">
        <w:rPr>
          <w:rFonts w:asciiTheme="majorHAnsi" w:hAnsiTheme="majorHAnsi"/>
          <w:i/>
          <w:sz w:val="20"/>
          <w:szCs w:val="20"/>
        </w:rPr>
        <w:t>охорону</w:t>
      </w:r>
      <w:r w:rsidRPr="000977F7">
        <w:rPr>
          <w:rFonts w:asciiTheme="majorHAnsi" w:hAnsiTheme="majorHAnsi"/>
          <w:i/>
          <w:spacing w:val="-2"/>
          <w:sz w:val="20"/>
          <w:szCs w:val="20"/>
        </w:rPr>
        <w:t xml:space="preserve"> </w:t>
      </w:r>
      <w:r w:rsidRPr="000977F7">
        <w:rPr>
          <w:rFonts w:asciiTheme="majorHAnsi" w:hAnsiTheme="majorHAnsi"/>
          <w:i/>
          <w:sz w:val="20"/>
          <w:szCs w:val="20"/>
        </w:rPr>
        <w:t>праці"</w:t>
      </w:r>
    </w:p>
    <w:p w14:paraId="2439698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ВІДШКОДУВАННЯ ЮРИДИЧНИМ, ФІЗИЧНИМ</w:t>
      </w:r>
      <w:r w:rsidRPr="000977F7">
        <w:rPr>
          <w:color w:val="auto"/>
          <w:spacing w:val="-47"/>
          <w:sz w:val="20"/>
          <w:szCs w:val="20"/>
        </w:rPr>
        <w:t xml:space="preserve"> </w:t>
      </w:r>
      <w:r w:rsidRPr="000977F7">
        <w:rPr>
          <w:color w:val="auto"/>
          <w:sz w:val="20"/>
          <w:szCs w:val="20"/>
        </w:rPr>
        <w:t>ОСОБАМ</w:t>
      </w:r>
      <w:r w:rsidRPr="000977F7">
        <w:rPr>
          <w:color w:val="auto"/>
          <w:spacing w:val="1"/>
          <w:sz w:val="20"/>
          <w:szCs w:val="20"/>
        </w:rPr>
        <w:t xml:space="preserve"> </w:t>
      </w:r>
      <w:r w:rsidRPr="000977F7">
        <w:rPr>
          <w:color w:val="auto"/>
          <w:sz w:val="20"/>
          <w:szCs w:val="20"/>
        </w:rPr>
        <w:t>І</w:t>
      </w:r>
      <w:r w:rsidRPr="000977F7">
        <w:rPr>
          <w:color w:val="auto"/>
          <w:spacing w:val="1"/>
          <w:sz w:val="20"/>
          <w:szCs w:val="20"/>
        </w:rPr>
        <w:t xml:space="preserve"> </w:t>
      </w:r>
      <w:r w:rsidRPr="000977F7">
        <w:rPr>
          <w:color w:val="auto"/>
          <w:sz w:val="20"/>
          <w:szCs w:val="20"/>
        </w:rPr>
        <w:t>ДЕРЖАВІ</w:t>
      </w:r>
      <w:r w:rsidRPr="000977F7">
        <w:rPr>
          <w:color w:val="auto"/>
          <w:spacing w:val="1"/>
          <w:sz w:val="20"/>
          <w:szCs w:val="20"/>
        </w:rPr>
        <w:t xml:space="preserve"> </w:t>
      </w:r>
      <w:r w:rsidRPr="000977F7">
        <w:rPr>
          <w:color w:val="auto"/>
          <w:sz w:val="20"/>
          <w:szCs w:val="20"/>
        </w:rPr>
        <w:t>ЗБИТКІВ,</w:t>
      </w:r>
      <w:r w:rsidRPr="000977F7">
        <w:rPr>
          <w:color w:val="auto"/>
          <w:spacing w:val="1"/>
          <w:sz w:val="20"/>
          <w:szCs w:val="20"/>
        </w:rPr>
        <w:t xml:space="preserve"> </w:t>
      </w:r>
      <w:r w:rsidRPr="000977F7">
        <w:rPr>
          <w:color w:val="auto"/>
          <w:sz w:val="20"/>
          <w:szCs w:val="20"/>
        </w:rPr>
        <w:t>ЗАВДАНИХ</w:t>
      </w:r>
      <w:r w:rsidRPr="000977F7">
        <w:rPr>
          <w:color w:val="auto"/>
          <w:spacing w:val="1"/>
          <w:sz w:val="20"/>
          <w:szCs w:val="20"/>
        </w:rPr>
        <w:t xml:space="preserve"> </w:t>
      </w:r>
      <w:r w:rsidRPr="000977F7">
        <w:rPr>
          <w:color w:val="auto"/>
          <w:sz w:val="20"/>
          <w:szCs w:val="20"/>
        </w:rPr>
        <w:t>ПОРУШЕННЯМ</w:t>
      </w:r>
      <w:r w:rsidRPr="000977F7">
        <w:rPr>
          <w:color w:val="auto"/>
          <w:spacing w:val="1"/>
          <w:sz w:val="20"/>
          <w:szCs w:val="20"/>
        </w:rPr>
        <w:t xml:space="preserve"> </w:t>
      </w:r>
      <w:r w:rsidRPr="000977F7">
        <w:rPr>
          <w:color w:val="auto"/>
          <w:sz w:val="20"/>
          <w:szCs w:val="20"/>
        </w:rPr>
        <w:t>ВИМОГ</w:t>
      </w:r>
      <w:r w:rsidRPr="000977F7">
        <w:rPr>
          <w:color w:val="auto"/>
          <w:spacing w:val="-4"/>
          <w:sz w:val="20"/>
          <w:szCs w:val="20"/>
        </w:rPr>
        <w:t xml:space="preserve"> </w:t>
      </w:r>
      <w:r w:rsidRPr="000977F7">
        <w:rPr>
          <w:color w:val="auto"/>
          <w:sz w:val="20"/>
          <w:szCs w:val="20"/>
        </w:rPr>
        <w:t>З</w:t>
      </w:r>
      <w:r w:rsidRPr="000977F7">
        <w:rPr>
          <w:color w:val="auto"/>
          <w:spacing w:val="-2"/>
          <w:sz w:val="20"/>
          <w:szCs w:val="20"/>
        </w:rPr>
        <w:t xml:space="preserve"> </w:t>
      </w:r>
      <w:r w:rsidRPr="000977F7">
        <w:rPr>
          <w:color w:val="auto"/>
          <w:sz w:val="20"/>
          <w:szCs w:val="20"/>
        </w:rPr>
        <w:t>ОХОРОНИ</w:t>
      </w:r>
      <w:r w:rsidRPr="000977F7">
        <w:rPr>
          <w:color w:val="auto"/>
          <w:spacing w:val="-1"/>
          <w:sz w:val="20"/>
          <w:szCs w:val="20"/>
        </w:rPr>
        <w:t xml:space="preserve"> </w:t>
      </w:r>
      <w:r w:rsidRPr="000977F7">
        <w:rPr>
          <w:color w:val="auto"/>
          <w:sz w:val="20"/>
          <w:szCs w:val="20"/>
        </w:rPr>
        <w:t>ПРАЦІ</w:t>
      </w:r>
      <w:r w:rsidRPr="000977F7">
        <w:rPr>
          <w:color w:val="auto"/>
          <w:spacing w:val="3"/>
          <w:sz w:val="20"/>
          <w:szCs w:val="20"/>
        </w:rPr>
        <w:t xml:space="preserve"> </w:t>
      </w:r>
      <w:r w:rsidRPr="000977F7">
        <w:rPr>
          <w:color w:val="auto"/>
          <w:sz w:val="20"/>
          <w:szCs w:val="20"/>
        </w:rPr>
        <w:t>-</w:t>
      </w:r>
    </w:p>
    <w:p w14:paraId="49934D6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Роботодавець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зобов'язаний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відшкодувати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збитки,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завдані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порушенням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вимог</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охорони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праці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іншим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юридичним, фізичним особам і державі, на</w:t>
      </w:r>
      <w:r w:rsidRPr="004D2D14">
        <w:rPr>
          <w:rFonts w:asciiTheme="majorHAnsi" w:hAnsiTheme="majorHAnsi"/>
          <w:sz w:val="20"/>
          <w:szCs w:val="20"/>
          <w:u w:val="single"/>
          <w:lang w:val="uk-UA"/>
        </w:rPr>
        <w:t xml:space="preserve"> </w:t>
      </w:r>
      <w:r w:rsidRPr="004D2D14">
        <w:rPr>
          <w:rFonts w:asciiTheme="majorHAnsi" w:hAnsiTheme="majorHAnsi"/>
          <w:sz w:val="20"/>
          <w:szCs w:val="20"/>
          <w:lang w:val="uk-UA"/>
        </w:rPr>
        <w:t>загальних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підставах,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передбачених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законом.</w:t>
      </w:r>
    </w:p>
    <w:p w14:paraId="330CE93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Роботодавець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відшкодовує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витрати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проведення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робіт з рятування потерпілих під час аварії та ліквідації її наслідків, на розслідування і проведення експертизи причин аварії, нещасного випадку або професійного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захворювання,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складання</w:t>
      </w:r>
      <w:r w:rsidRPr="004D2D14">
        <w:rPr>
          <w:rFonts w:asciiTheme="majorHAnsi" w:hAnsiTheme="majorHAnsi"/>
          <w:spacing w:val="51"/>
          <w:sz w:val="20"/>
          <w:szCs w:val="20"/>
          <w:lang w:val="uk-UA"/>
        </w:rPr>
        <w:t xml:space="preserve"> </w:t>
      </w:r>
      <w:r w:rsidRPr="004D2D14">
        <w:rPr>
          <w:rFonts w:asciiTheme="majorHAnsi" w:hAnsiTheme="majorHAnsi"/>
          <w:sz w:val="20"/>
          <w:szCs w:val="20"/>
          <w:lang w:val="uk-UA"/>
        </w:rPr>
        <w:lastRenderedPageBreak/>
        <w:t>санітарно-гігієнічної характеристики умов праці осіб, які проходять обстеження щодо наявності професійного захворювання, а також інші витрати, передбачені законодавством.</w:t>
      </w:r>
    </w:p>
    <w:p w14:paraId="115CC94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26 закону України "Про охорону праці"</w:t>
      </w:r>
    </w:p>
    <w:p w14:paraId="2FA2E696"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ВІЗУАЛЬНЕ ОЦІНЮВАННЯ КОРОЗІЙНОЇ</w:t>
      </w:r>
      <w:r w:rsidRPr="000977F7">
        <w:rPr>
          <w:rFonts w:asciiTheme="majorHAnsi" w:hAnsiTheme="majorHAnsi"/>
          <w:b/>
          <w:spacing w:val="-47"/>
          <w:sz w:val="20"/>
          <w:szCs w:val="20"/>
        </w:rPr>
        <w:t xml:space="preserve"> </w:t>
      </w:r>
      <w:r w:rsidRPr="000977F7">
        <w:rPr>
          <w:rFonts w:asciiTheme="majorHAnsi" w:hAnsiTheme="majorHAnsi"/>
          <w:b/>
          <w:sz w:val="20"/>
          <w:szCs w:val="20"/>
        </w:rPr>
        <w:t>ТРИВКОСТІ</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1774E6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Оцінювання</w:t>
      </w:r>
      <w:r w:rsidRPr="000977F7">
        <w:rPr>
          <w:rFonts w:asciiTheme="majorHAnsi" w:hAnsiTheme="majorHAnsi"/>
          <w:spacing w:val="-4"/>
          <w:sz w:val="20"/>
          <w:szCs w:val="20"/>
        </w:rPr>
        <w:t xml:space="preserve"> </w:t>
      </w:r>
      <w:r w:rsidRPr="000977F7">
        <w:rPr>
          <w:rFonts w:asciiTheme="majorHAnsi" w:hAnsiTheme="majorHAnsi"/>
          <w:sz w:val="20"/>
          <w:szCs w:val="20"/>
        </w:rPr>
        <w:t>корозійної</w:t>
      </w:r>
      <w:r w:rsidRPr="000977F7">
        <w:rPr>
          <w:rFonts w:asciiTheme="majorHAnsi" w:hAnsiTheme="majorHAnsi"/>
          <w:spacing w:val="-4"/>
          <w:sz w:val="20"/>
          <w:szCs w:val="20"/>
        </w:rPr>
        <w:t xml:space="preserve"> </w:t>
      </w:r>
      <w:r w:rsidRPr="000977F7">
        <w:rPr>
          <w:rFonts w:asciiTheme="majorHAnsi" w:hAnsiTheme="majorHAnsi"/>
          <w:sz w:val="20"/>
          <w:szCs w:val="20"/>
        </w:rPr>
        <w:t>тривкості</w:t>
      </w:r>
      <w:r w:rsidRPr="000977F7">
        <w:rPr>
          <w:rFonts w:asciiTheme="majorHAnsi" w:hAnsiTheme="majorHAnsi"/>
          <w:spacing w:val="-4"/>
          <w:sz w:val="20"/>
          <w:szCs w:val="20"/>
        </w:rPr>
        <w:t xml:space="preserve"> </w:t>
      </w:r>
      <w:r w:rsidRPr="000977F7">
        <w:rPr>
          <w:rFonts w:asciiTheme="majorHAnsi" w:hAnsiTheme="majorHAnsi"/>
          <w:sz w:val="20"/>
          <w:szCs w:val="20"/>
        </w:rPr>
        <w:t>зовнішнім</w:t>
      </w:r>
      <w:r w:rsidRPr="000977F7">
        <w:rPr>
          <w:rFonts w:asciiTheme="majorHAnsi" w:hAnsiTheme="majorHAnsi"/>
          <w:spacing w:val="-2"/>
          <w:sz w:val="20"/>
          <w:szCs w:val="20"/>
        </w:rPr>
        <w:t xml:space="preserve"> </w:t>
      </w:r>
      <w:r w:rsidRPr="000977F7">
        <w:rPr>
          <w:rFonts w:asciiTheme="majorHAnsi" w:hAnsiTheme="majorHAnsi"/>
          <w:sz w:val="20"/>
          <w:szCs w:val="20"/>
        </w:rPr>
        <w:t>оглядом</w:t>
      </w:r>
    </w:p>
    <w:p w14:paraId="7AA8823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2D984742"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ВІЗУАЛЬНИЙ КОНТРОЛЬ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45F2695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VISUAL</w:t>
      </w:r>
      <w:r w:rsidRPr="000977F7">
        <w:rPr>
          <w:rFonts w:asciiTheme="majorHAnsi" w:hAnsiTheme="majorHAnsi"/>
          <w:spacing w:val="-3"/>
          <w:sz w:val="20"/>
          <w:szCs w:val="20"/>
        </w:rPr>
        <w:t xml:space="preserve"> </w:t>
      </w:r>
      <w:r w:rsidRPr="000977F7">
        <w:rPr>
          <w:rFonts w:asciiTheme="majorHAnsi" w:hAnsiTheme="majorHAnsi"/>
          <w:sz w:val="20"/>
          <w:szCs w:val="20"/>
        </w:rPr>
        <w:t>INSPECTION</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7FC041E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Органолептичний контроль, що здійснюється органами</w:t>
      </w:r>
      <w:r w:rsidRPr="000977F7">
        <w:rPr>
          <w:rFonts w:asciiTheme="majorHAnsi" w:hAnsiTheme="majorHAnsi"/>
          <w:spacing w:val="-1"/>
          <w:sz w:val="20"/>
          <w:szCs w:val="20"/>
        </w:rPr>
        <w:t xml:space="preserve"> </w:t>
      </w:r>
      <w:r w:rsidRPr="000977F7">
        <w:rPr>
          <w:rFonts w:asciiTheme="majorHAnsi" w:hAnsiTheme="majorHAnsi"/>
          <w:sz w:val="20"/>
          <w:szCs w:val="20"/>
        </w:rPr>
        <w:t>зору</w:t>
      </w:r>
    </w:p>
    <w:p w14:paraId="0DAD8BE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55DC9A9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ВІЛЬНА</w:t>
      </w:r>
      <w:r w:rsidRPr="000977F7">
        <w:rPr>
          <w:color w:val="auto"/>
          <w:spacing w:val="-3"/>
          <w:sz w:val="20"/>
          <w:szCs w:val="20"/>
        </w:rPr>
        <w:t xml:space="preserve"> </w:t>
      </w:r>
      <w:r w:rsidRPr="000977F7">
        <w:rPr>
          <w:color w:val="auto"/>
          <w:sz w:val="20"/>
          <w:szCs w:val="20"/>
        </w:rPr>
        <w:t>ЕКОНОМІЧНА</w:t>
      </w:r>
      <w:r w:rsidRPr="000977F7">
        <w:rPr>
          <w:color w:val="auto"/>
          <w:spacing w:val="-2"/>
          <w:sz w:val="20"/>
          <w:szCs w:val="20"/>
        </w:rPr>
        <w:t xml:space="preserve"> </w:t>
      </w:r>
      <w:r w:rsidRPr="000977F7">
        <w:rPr>
          <w:color w:val="auto"/>
          <w:sz w:val="20"/>
          <w:szCs w:val="20"/>
        </w:rPr>
        <w:t>ЗОНА –</w:t>
      </w:r>
    </w:p>
    <w:p w14:paraId="0B23A1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3"/>
          <w:sz w:val="20"/>
          <w:szCs w:val="20"/>
        </w:rPr>
        <w:t>Частина</w:t>
      </w:r>
      <w:r w:rsidRPr="000977F7">
        <w:rPr>
          <w:rFonts w:asciiTheme="majorHAnsi" w:hAnsiTheme="majorHAnsi"/>
          <w:spacing w:val="-9"/>
          <w:sz w:val="20"/>
          <w:szCs w:val="20"/>
        </w:rPr>
        <w:t xml:space="preserve"> </w:t>
      </w:r>
      <w:r w:rsidRPr="000977F7">
        <w:rPr>
          <w:rFonts w:asciiTheme="majorHAnsi" w:hAnsiTheme="majorHAnsi"/>
          <w:spacing w:val="-2"/>
          <w:sz w:val="20"/>
          <w:szCs w:val="20"/>
        </w:rPr>
        <w:t>території</w:t>
      </w:r>
      <w:r w:rsidRPr="000977F7">
        <w:rPr>
          <w:rFonts w:asciiTheme="majorHAnsi" w:hAnsiTheme="majorHAnsi"/>
          <w:spacing w:val="-10"/>
          <w:sz w:val="20"/>
          <w:szCs w:val="20"/>
        </w:rPr>
        <w:t xml:space="preserve"> </w:t>
      </w:r>
      <w:r w:rsidRPr="000977F7">
        <w:rPr>
          <w:rFonts w:asciiTheme="majorHAnsi" w:hAnsiTheme="majorHAnsi"/>
          <w:spacing w:val="-2"/>
          <w:sz w:val="20"/>
          <w:szCs w:val="20"/>
        </w:rPr>
        <w:t>однієї</w:t>
      </w:r>
      <w:r w:rsidRPr="000977F7">
        <w:rPr>
          <w:rFonts w:asciiTheme="majorHAnsi" w:hAnsiTheme="majorHAnsi"/>
          <w:spacing w:val="-9"/>
          <w:sz w:val="20"/>
          <w:szCs w:val="20"/>
        </w:rPr>
        <w:t xml:space="preserve"> </w:t>
      </w:r>
      <w:r w:rsidRPr="000977F7">
        <w:rPr>
          <w:rFonts w:asciiTheme="majorHAnsi" w:hAnsiTheme="majorHAnsi"/>
          <w:spacing w:val="-2"/>
          <w:sz w:val="20"/>
          <w:szCs w:val="20"/>
        </w:rPr>
        <w:t>держави,</w:t>
      </w:r>
      <w:r w:rsidRPr="000977F7">
        <w:rPr>
          <w:rFonts w:asciiTheme="majorHAnsi" w:hAnsiTheme="majorHAnsi"/>
          <w:spacing w:val="-8"/>
          <w:sz w:val="20"/>
          <w:szCs w:val="20"/>
        </w:rPr>
        <w:t xml:space="preserve"> </w:t>
      </w:r>
      <w:r w:rsidRPr="000977F7">
        <w:rPr>
          <w:rFonts w:asciiTheme="majorHAnsi" w:hAnsiTheme="majorHAnsi"/>
          <w:spacing w:val="-2"/>
          <w:sz w:val="20"/>
          <w:szCs w:val="20"/>
        </w:rPr>
        <w:t>на</w:t>
      </w:r>
      <w:r w:rsidRPr="000977F7">
        <w:rPr>
          <w:rFonts w:asciiTheme="majorHAnsi" w:hAnsiTheme="majorHAnsi"/>
          <w:spacing w:val="-8"/>
          <w:sz w:val="20"/>
          <w:szCs w:val="20"/>
        </w:rPr>
        <w:t xml:space="preserve"> </w:t>
      </w:r>
      <w:r w:rsidRPr="000977F7">
        <w:rPr>
          <w:rFonts w:asciiTheme="majorHAnsi" w:hAnsiTheme="majorHAnsi"/>
          <w:spacing w:val="-2"/>
          <w:sz w:val="20"/>
          <w:szCs w:val="20"/>
        </w:rPr>
        <w:t>якій</w:t>
      </w:r>
      <w:r w:rsidRPr="000977F7">
        <w:rPr>
          <w:rFonts w:asciiTheme="majorHAnsi" w:hAnsiTheme="majorHAnsi"/>
          <w:spacing w:val="-9"/>
          <w:sz w:val="20"/>
          <w:szCs w:val="20"/>
        </w:rPr>
        <w:t xml:space="preserve"> </w:t>
      </w:r>
      <w:r w:rsidRPr="000977F7">
        <w:rPr>
          <w:rFonts w:asciiTheme="majorHAnsi" w:hAnsiTheme="majorHAnsi"/>
          <w:spacing w:val="-2"/>
          <w:sz w:val="20"/>
          <w:szCs w:val="20"/>
        </w:rPr>
        <w:t>ввезені</w:t>
      </w:r>
      <w:r w:rsidRPr="000977F7">
        <w:rPr>
          <w:rFonts w:asciiTheme="majorHAnsi" w:hAnsiTheme="majorHAnsi"/>
          <w:spacing w:val="-9"/>
          <w:sz w:val="20"/>
          <w:szCs w:val="20"/>
        </w:rPr>
        <w:t xml:space="preserve"> </w:t>
      </w:r>
      <w:r w:rsidRPr="000977F7">
        <w:rPr>
          <w:rFonts w:asciiTheme="majorHAnsi" w:hAnsiTheme="majorHAnsi"/>
          <w:spacing w:val="-2"/>
          <w:sz w:val="20"/>
          <w:szCs w:val="20"/>
        </w:rPr>
        <w:t>товари</w:t>
      </w:r>
      <w:r w:rsidRPr="000977F7">
        <w:rPr>
          <w:rFonts w:asciiTheme="majorHAnsi" w:hAnsiTheme="majorHAnsi"/>
          <w:spacing w:val="-48"/>
          <w:sz w:val="20"/>
          <w:szCs w:val="20"/>
        </w:rPr>
        <w:t xml:space="preserve"> </w:t>
      </w:r>
      <w:r w:rsidRPr="000977F7">
        <w:rPr>
          <w:rFonts w:asciiTheme="majorHAnsi" w:hAnsiTheme="majorHAnsi"/>
          <w:spacing w:val="-4"/>
          <w:sz w:val="20"/>
          <w:szCs w:val="20"/>
        </w:rPr>
        <w:t xml:space="preserve">розглядаються як такі, що знаходяться </w:t>
      </w:r>
      <w:r w:rsidRPr="000977F7">
        <w:rPr>
          <w:rFonts w:asciiTheme="majorHAnsi" w:hAnsiTheme="majorHAnsi"/>
          <w:spacing w:val="-3"/>
          <w:sz w:val="20"/>
          <w:szCs w:val="20"/>
        </w:rPr>
        <w:t>за межами митної</w:t>
      </w:r>
      <w:r w:rsidRPr="000977F7">
        <w:rPr>
          <w:rFonts w:asciiTheme="majorHAnsi" w:hAnsiTheme="majorHAnsi"/>
          <w:spacing w:val="-47"/>
          <w:sz w:val="20"/>
          <w:szCs w:val="20"/>
        </w:rPr>
        <w:t xml:space="preserve"> </w:t>
      </w:r>
      <w:r w:rsidRPr="000977F7">
        <w:rPr>
          <w:rFonts w:asciiTheme="majorHAnsi" w:hAnsiTheme="majorHAnsi"/>
          <w:sz w:val="20"/>
          <w:szCs w:val="20"/>
        </w:rPr>
        <w:t>території</w:t>
      </w:r>
      <w:r w:rsidRPr="000977F7">
        <w:rPr>
          <w:rFonts w:asciiTheme="majorHAnsi" w:hAnsiTheme="majorHAnsi"/>
          <w:spacing w:val="6"/>
          <w:sz w:val="20"/>
          <w:szCs w:val="20"/>
        </w:rPr>
        <w:t xml:space="preserve"> </w:t>
      </w:r>
      <w:r w:rsidRPr="000977F7">
        <w:rPr>
          <w:rFonts w:asciiTheme="majorHAnsi" w:hAnsiTheme="majorHAnsi"/>
          <w:sz w:val="20"/>
          <w:szCs w:val="20"/>
        </w:rPr>
        <w:t>щодо</w:t>
      </w:r>
      <w:r w:rsidRPr="000977F7">
        <w:rPr>
          <w:rFonts w:asciiTheme="majorHAnsi" w:hAnsiTheme="majorHAnsi"/>
          <w:spacing w:val="8"/>
          <w:sz w:val="20"/>
          <w:szCs w:val="20"/>
        </w:rPr>
        <w:t xml:space="preserve"> </w:t>
      </w:r>
      <w:r w:rsidRPr="000977F7">
        <w:rPr>
          <w:rFonts w:asciiTheme="majorHAnsi" w:hAnsiTheme="majorHAnsi"/>
          <w:sz w:val="20"/>
          <w:szCs w:val="20"/>
        </w:rPr>
        <w:t>права</w:t>
      </w:r>
      <w:r w:rsidRPr="000977F7">
        <w:rPr>
          <w:rFonts w:asciiTheme="majorHAnsi" w:hAnsiTheme="majorHAnsi"/>
          <w:spacing w:val="7"/>
          <w:sz w:val="20"/>
          <w:szCs w:val="20"/>
        </w:rPr>
        <w:t xml:space="preserve"> </w:t>
      </w:r>
      <w:r w:rsidRPr="000977F7">
        <w:rPr>
          <w:rFonts w:asciiTheme="majorHAnsi" w:hAnsiTheme="majorHAnsi"/>
          <w:sz w:val="20"/>
          <w:szCs w:val="20"/>
        </w:rPr>
        <w:t>імпорту</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8"/>
          <w:sz w:val="20"/>
          <w:szCs w:val="20"/>
        </w:rPr>
        <w:t xml:space="preserve"> </w:t>
      </w:r>
      <w:r w:rsidRPr="000977F7">
        <w:rPr>
          <w:rFonts w:asciiTheme="majorHAnsi" w:hAnsiTheme="majorHAnsi"/>
          <w:sz w:val="20"/>
          <w:szCs w:val="20"/>
        </w:rPr>
        <w:t>відповідних</w:t>
      </w:r>
      <w:r w:rsidRPr="000977F7">
        <w:rPr>
          <w:rFonts w:asciiTheme="majorHAnsi" w:hAnsiTheme="majorHAnsi"/>
          <w:spacing w:val="5"/>
          <w:sz w:val="20"/>
          <w:szCs w:val="20"/>
        </w:rPr>
        <w:t xml:space="preserve"> </w:t>
      </w:r>
      <w:r w:rsidRPr="000977F7">
        <w:rPr>
          <w:rFonts w:asciiTheme="majorHAnsi" w:hAnsiTheme="majorHAnsi"/>
          <w:sz w:val="20"/>
          <w:szCs w:val="20"/>
        </w:rPr>
        <w:t>податків</w:t>
      </w:r>
      <w:r w:rsidRPr="000977F7">
        <w:rPr>
          <w:rFonts w:asciiTheme="majorHAnsi" w:hAnsiTheme="majorHAnsi"/>
          <w:spacing w:val="-47"/>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не</w:t>
      </w:r>
      <w:r w:rsidRPr="000977F7">
        <w:rPr>
          <w:rFonts w:asciiTheme="majorHAnsi" w:hAnsiTheme="majorHAnsi"/>
          <w:spacing w:val="-2"/>
          <w:sz w:val="20"/>
          <w:szCs w:val="20"/>
        </w:rPr>
        <w:t xml:space="preserve"> </w:t>
      </w:r>
      <w:r w:rsidRPr="000977F7">
        <w:rPr>
          <w:rFonts w:asciiTheme="majorHAnsi" w:hAnsiTheme="majorHAnsi"/>
          <w:sz w:val="20"/>
          <w:szCs w:val="20"/>
        </w:rPr>
        <w:t>підлягають</w:t>
      </w:r>
      <w:r w:rsidRPr="000977F7">
        <w:rPr>
          <w:rFonts w:asciiTheme="majorHAnsi" w:hAnsiTheme="majorHAnsi"/>
          <w:spacing w:val="-2"/>
          <w:sz w:val="20"/>
          <w:szCs w:val="20"/>
        </w:rPr>
        <w:t xml:space="preserve"> </w:t>
      </w:r>
      <w:r w:rsidRPr="000977F7">
        <w:rPr>
          <w:rFonts w:asciiTheme="majorHAnsi" w:hAnsiTheme="majorHAnsi"/>
          <w:sz w:val="20"/>
          <w:szCs w:val="20"/>
        </w:rPr>
        <w:t>звичайному</w:t>
      </w:r>
      <w:r w:rsidRPr="000977F7">
        <w:rPr>
          <w:rFonts w:asciiTheme="majorHAnsi" w:hAnsiTheme="majorHAnsi"/>
          <w:spacing w:val="-2"/>
          <w:sz w:val="20"/>
          <w:szCs w:val="20"/>
        </w:rPr>
        <w:t xml:space="preserve"> </w:t>
      </w:r>
      <w:r w:rsidRPr="000977F7">
        <w:rPr>
          <w:rFonts w:asciiTheme="majorHAnsi" w:hAnsiTheme="majorHAnsi"/>
          <w:sz w:val="20"/>
          <w:szCs w:val="20"/>
        </w:rPr>
        <w:t>митному</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p>
    <w:p w14:paraId="70ECBFA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58243F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ВІЛЬНА</w:t>
      </w:r>
      <w:r w:rsidRPr="000977F7">
        <w:rPr>
          <w:color w:val="auto"/>
          <w:spacing w:val="-3"/>
          <w:sz w:val="20"/>
          <w:szCs w:val="20"/>
        </w:rPr>
        <w:t xml:space="preserve"> </w:t>
      </w:r>
      <w:r w:rsidRPr="000977F7">
        <w:rPr>
          <w:color w:val="auto"/>
          <w:sz w:val="20"/>
          <w:szCs w:val="20"/>
        </w:rPr>
        <w:t>ОФЕРТА</w:t>
      </w:r>
      <w:r w:rsidRPr="000977F7">
        <w:rPr>
          <w:color w:val="auto"/>
          <w:spacing w:val="-1"/>
          <w:sz w:val="20"/>
          <w:szCs w:val="20"/>
        </w:rPr>
        <w:t xml:space="preserve"> </w:t>
      </w:r>
      <w:r w:rsidRPr="000977F7">
        <w:rPr>
          <w:color w:val="auto"/>
          <w:sz w:val="20"/>
          <w:szCs w:val="20"/>
        </w:rPr>
        <w:t>–</w:t>
      </w:r>
    </w:p>
    <w:p w14:paraId="317709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Пропозиція про угоду продажу, спрямована одночасно декільком можливим</w:t>
      </w:r>
      <w:r w:rsidRPr="000977F7">
        <w:rPr>
          <w:rFonts w:asciiTheme="majorHAnsi" w:hAnsiTheme="majorHAnsi"/>
          <w:spacing w:val="1"/>
          <w:sz w:val="20"/>
          <w:szCs w:val="20"/>
        </w:rPr>
        <w:t xml:space="preserve"> </w:t>
      </w:r>
      <w:r w:rsidRPr="000977F7">
        <w:rPr>
          <w:rFonts w:asciiTheme="majorHAnsi" w:hAnsiTheme="majorHAnsi"/>
          <w:sz w:val="20"/>
          <w:szCs w:val="20"/>
        </w:rPr>
        <w:t>партнерам</w:t>
      </w:r>
    </w:p>
    <w:p w14:paraId="3EAF276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08856F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ВІЛЬНИЙ</w:t>
      </w:r>
      <w:r w:rsidRPr="000977F7">
        <w:rPr>
          <w:color w:val="auto"/>
          <w:spacing w:val="-2"/>
          <w:sz w:val="20"/>
          <w:szCs w:val="20"/>
        </w:rPr>
        <w:t xml:space="preserve"> </w:t>
      </w:r>
      <w:r w:rsidRPr="000977F7">
        <w:rPr>
          <w:color w:val="auto"/>
          <w:sz w:val="20"/>
          <w:szCs w:val="20"/>
        </w:rPr>
        <w:t>ОБІГ</w:t>
      </w:r>
      <w:r w:rsidRPr="000977F7">
        <w:rPr>
          <w:color w:val="auto"/>
          <w:spacing w:val="-2"/>
          <w:sz w:val="20"/>
          <w:szCs w:val="20"/>
        </w:rPr>
        <w:t xml:space="preserve"> </w:t>
      </w:r>
      <w:r w:rsidRPr="000977F7">
        <w:rPr>
          <w:color w:val="auto"/>
          <w:sz w:val="20"/>
          <w:szCs w:val="20"/>
        </w:rPr>
        <w:t>-</w:t>
      </w:r>
    </w:p>
    <w:p w14:paraId="697E124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Розпорядження товарами, пропущеними через митний</w:t>
      </w:r>
      <w:r w:rsidRPr="000977F7">
        <w:rPr>
          <w:rFonts w:asciiTheme="majorHAnsi" w:hAnsiTheme="majorHAnsi"/>
          <w:spacing w:val="-48"/>
          <w:sz w:val="20"/>
          <w:szCs w:val="20"/>
        </w:rPr>
        <w:t xml:space="preserve"> </w:t>
      </w:r>
      <w:r w:rsidRPr="000977F7">
        <w:rPr>
          <w:rFonts w:asciiTheme="majorHAnsi" w:hAnsiTheme="majorHAnsi"/>
          <w:sz w:val="20"/>
          <w:szCs w:val="20"/>
        </w:rPr>
        <w:t>кордон</w:t>
      </w:r>
      <w:r w:rsidRPr="000977F7">
        <w:rPr>
          <w:rFonts w:asciiTheme="majorHAnsi" w:hAnsiTheme="majorHAnsi"/>
          <w:spacing w:val="-2"/>
          <w:sz w:val="20"/>
          <w:szCs w:val="20"/>
        </w:rPr>
        <w:t xml:space="preserve"> </w:t>
      </w:r>
      <w:r w:rsidRPr="000977F7">
        <w:rPr>
          <w:rFonts w:asciiTheme="majorHAnsi" w:hAnsiTheme="majorHAnsi"/>
          <w:sz w:val="20"/>
          <w:szCs w:val="20"/>
        </w:rPr>
        <w:t>України</w:t>
      </w:r>
      <w:r w:rsidRPr="000977F7">
        <w:rPr>
          <w:rFonts w:asciiTheme="majorHAnsi" w:hAnsiTheme="majorHAnsi"/>
          <w:spacing w:val="-1"/>
          <w:sz w:val="20"/>
          <w:szCs w:val="20"/>
        </w:rPr>
        <w:t xml:space="preserve"> </w:t>
      </w:r>
      <w:r w:rsidRPr="000977F7">
        <w:rPr>
          <w:rFonts w:asciiTheme="majorHAnsi" w:hAnsiTheme="majorHAnsi"/>
          <w:sz w:val="20"/>
          <w:szCs w:val="20"/>
        </w:rPr>
        <w:t>без</w:t>
      </w:r>
      <w:r w:rsidRPr="000977F7">
        <w:rPr>
          <w:rFonts w:asciiTheme="majorHAnsi" w:hAnsiTheme="majorHAnsi"/>
          <w:spacing w:val="-1"/>
          <w:sz w:val="20"/>
          <w:szCs w:val="20"/>
        </w:rPr>
        <w:t xml:space="preserve"> </w:t>
      </w:r>
      <w:r w:rsidRPr="000977F7">
        <w:rPr>
          <w:rFonts w:asciiTheme="majorHAnsi" w:hAnsiTheme="majorHAnsi"/>
          <w:sz w:val="20"/>
          <w:szCs w:val="20"/>
        </w:rPr>
        <w:t>митного</w:t>
      </w:r>
      <w:r w:rsidRPr="000977F7">
        <w:rPr>
          <w:rFonts w:asciiTheme="majorHAnsi" w:hAnsiTheme="majorHAnsi"/>
          <w:spacing w:val="3"/>
          <w:sz w:val="20"/>
          <w:szCs w:val="20"/>
        </w:rPr>
        <w:t xml:space="preserve"> </w:t>
      </w:r>
      <w:r w:rsidRPr="000977F7">
        <w:rPr>
          <w:rFonts w:asciiTheme="majorHAnsi" w:hAnsiTheme="majorHAnsi"/>
          <w:sz w:val="20"/>
          <w:szCs w:val="20"/>
        </w:rPr>
        <w:t>контролю</w:t>
      </w:r>
    </w:p>
    <w:p w14:paraId="249137D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w:t>
      </w:r>
      <w:r w:rsidRPr="000977F7">
        <w:rPr>
          <w:rFonts w:asciiTheme="majorHAnsi" w:hAnsiTheme="majorHAnsi"/>
          <w:i/>
          <w:spacing w:val="-1"/>
          <w:sz w:val="20"/>
          <w:szCs w:val="20"/>
        </w:rPr>
        <w:t xml:space="preserve"> </w:t>
      </w:r>
      <w:r w:rsidRPr="000977F7">
        <w:rPr>
          <w:rFonts w:asciiTheme="majorHAnsi" w:hAnsiTheme="majorHAnsi"/>
          <w:i/>
          <w:sz w:val="20"/>
          <w:szCs w:val="20"/>
        </w:rPr>
        <w:t>кодекс</w:t>
      </w:r>
      <w:r w:rsidRPr="000977F7">
        <w:rPr>
          <w:rFonts w:asciiTheme="majorHAnsi" w:hAnsiTheme="majorHAnsi"/>
          <w:i/>
          <w:spacing w:val="-1"/>
          <w:sz w:val="20"/>
          <w:szCs w:val="20"/>
        </w:rPr>
        <w:t xml:space="preserve"> </w:t>
      </w:r>
      <w:r w:rsidRPr="000977F7">
        <w:rPr>
          <w:rFonts w:asciiTheme="majorHAnsi" w:hAnsiTheme="majorHAnsi"/>
          <w:i/>
          <w:sz w:val="20"/>
          <w:szCs w:val="20"/>
        </w:rPr>
        <w:t>України</w:t>
      </w:r>
    </w:p>
    <w:p w14:paraId="72181675"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sz w:val="20"/>
          <w:szCs w:val="20"/>
        </w:rPr>
        <w:t>ВІЛЬНИЙ</w:t>
      </w:r>
      <w:r w:rsidRPr="000977F7">
        <w:rPr>
          <w:rFonts w:asciiTheme="majorHAnsi" w:hAnsiTheme="majorHAnsi"/>
          <w:b/>
          <w:bCs/>
          <w:spacing w:val="-2"/>
          <w:sz w:val="20"/>
          <w:szCs w:val="20"/>
        </w:rPr>
        <w:t xml:space="preserve"> </w:t>
      </w:r>
      <w:r w:rsidRPr="000977F7">
        <w:rPr>
          <w:rFonts w:asciiTheme="majorHAnsi" w:hAnsiTheme="majorHAnsi"/>
          <w:b/>
          <w:bCs/>
          <w:sz w:val="20"/>
          <w:szCs w:val="20"/>
        </w:rPr>
        <w:t>РИТМ –</w:t>
      </w:r>
    </w:p>
    <w:p w14:paraId="2122812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Організаційний</w:t>
      </w:r>
      <w:r w:rsidRPr="000977F7">
        <w:rPr>
          <w:rFonts w:asciiTheme="majorHAnsi" w:hAnsiTheme="majorHAnsi"/>
          <w:spacing w:val="1"/>
          <w:sz w:val="20"/>
          <w:szCs w:val="20"/>
        </w:rPr>
        <w:t xml:space="preserve"> </w:t>
      </w:r>
      <w:r w:rsidRPr="000977F7">
        <w:rPr>
          <w:rFonts w:asciiTheme="majorHAnsi" w:hAnsiTheme="majorHAnsi"/>
          <w:sz w:val="20"/>
          <w:szCs w:val="20"/>
        </w:rPr>
        <w:t>розпорядок</w:t>
      </w:r>
      <w:r w:rsidRPr="000977F7">
        <w:rPr>
          <w:rFonts w:asciiTheme="majorHAnsi" w:hAnsiTheme="majorHAnsi"/>
          <w:spacing w:val="1"/>
          <w:sz w:val="20"/>
          <w:szCs w:val="20"/>
        </w:rPr>
        <w:t xml:space="preserve"> </w:t>
      </w:r>
      <w:r w:rsidRPr="000977F7">
        <w:rPr>
          <w:rFonts w:asciiTheme="majorHAnsi" w:hAnsiTheme="majorHAnsi"/>
          <w:sz w:val="20"/>
          <w:szCs w:val="20"/>
        </w:rPr>
        <w:t>функціонування</w:t>
      </w:r>
      <w:r w:rsidRPr="000977F7">
        <w:rPr>
          <w:rFonts w:asciiTheme="majorHAnsi" w:hAnsiTheme="majorHAnsi"/>
          <w:spacing w:val="1"/>
          <w:sz w:val="20"/>
          <w:szCs w:val="20"/>
        </w:rPr>
        <w:t xml:space="preserve"> </w:t>
      </w:r>
      <w:r w:rsidRPr="000977F7">
        <w:rPr>
          <w:rFonts w:asciiTheme="majorHAnsi" w:hAnsiTheme="majorHAnsi"/>
          <w:sz w:val="20"/>
          <w:szCs w:val="20"/>
        </w:rPr>
        <w:t>потокової лінії, за яким дотримання розрахункового такту на</w:t>
      </w:r>
      <w:r w:rsidRPr="000977F7">
        <w:rPr>
          <w:rFonts w:asciiTheme="majorHAnsi" w:hAnsiTheme="majorHAnsi"/>
          <w:spacing w:val="-47"/>
          <w:sz w:val="20"/>
          <w:szCs w:val="20"/>
        </w:rPr>
        <w:t xml:space="preserve"> </w:t>
      </w:r>
      <w:r w:rsidRPr="000977F7">
        <w:rPr>
          <w:rFonts w:asciiTheme="majorHAnsi" w:hAnsiTheme="majorHAnsi"/>
          <w:sz w:val="20"/>
          <w:szCs w:val="20"/>
        </w:rPr>
        <w:t>різних</w:t>
      </w:r>
      <w:r w:rsidRPr="000977F7">
        <w:rPr>
          <w:rFonts w:asciiTheme="majorHAnsi" w:hAnsiTheme="majorHAnsi"/>
          <w:spacing w:val="1"/>
          <w:sz w:val="20"/>
          <w:szCs w:val="20"/>
        </w:rPr>
        <w:t xml:space="preserve"> </w:t>
      </w:r>
      <w:r w:rsidRPr="000977F7">
        <w:rPr>
          <w:rFonts w:asciiTheme="majorHAnsi" w:hAnsiTheme="majorHAnsi"/>
          <w:sz w:val="20"/>
          <w:szCs w:val="20"/>
        </w:rPr>
        <w:t>операціях</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твердо</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47"/>
          <w:sz w:val="20"/>
          <w:szCs w:val="20"/>
        </w:rPr>
        <w:t xml:space="preserve"> </w:t>
      </w:r>
      <w:r w:rsidRPr="000977F7">
        <w:rPr>
          <w:rFonts w:asciiTheme="majorHAnsi" w:hAnsiTheme="majorHAnsi"/>
          <w:sz w:val="20"/>
          <w:szCs w:val="20"/>
        </w:rPr>
        <w:t>регламентується</w:t>
      </w:r>
    </w:p>
    <w:p w14:paraId="43C1E912"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2960 – 94</w:t>
      </w:r>
    </w:p>
    <w:p w14:paraId="011735F4"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ВІЛЬНИЙ ЧАС –</w:t>
      </w:r>
      <w:r w:rsidRPr="000977F7">
        <w:rPr>
          <w:rFonts w:asciiTheme="majorHAnsi" w:hAnsiTheme="majorHAnsi"/>
          <w:b/>
          <w:spacing w:val="-47"/>
          <w:sz w:val="20"/>
          <w:szCs w:val="20"/>
        </w:rPr>
        <w:t xml:space="preserve"> </w:t>
      </w:r>
    </w:p>
    <w:p w14:paraId="727D800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FREE</w:t>
      </w:r>
      <w:r w:rsidRPr="000977F7">
        <w:rPr>
          <w:rFonts w:asciiTheme="majorHAnsi" w:hAnsiTheme="majorHAnsi"/>
          <w:spacing w:val="-1"/>
          <w:sz w:val="20"/>
          <w:szCs w:val="20"/>
        </w:rPr>
        <w:t xml:space="preserve"> </w:t>
      </w:r>
      <w:r w:rsidRPr="000977F7">
        <w:rPr>
          <w:rFonts w:asciiTheme="majorHAnsi" w:hAnsiTheme="majorHAnsi"/>
          <w:sz w:val="20"/>
          <w:szCs w:val="20"/>
        </w:rPr>
        <w:t>TIME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3A52A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вільного часу, протягом якого об’єкт знаходиться</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працездатному</w:t>
      </w:r>
      <w:r w:rsidRPr="000977F7">
        <w:rPr>
          <w:rFonts w:asciiTheme="majorHAnsi" w:hAnsiTheme="majorHAnsi"/>
          <w:spacing w:val="-4"/>
          <w:sz w:val="20"/>
          <w:szCs w:val="20"/>
        </w:rPr>
        <w:t xml:space="preserve"> </w:t>
      </w:r>
      <w:r w:rsidRPr="000977F7">
        <w:rPr>
          <w:rFonts w:asciiTheme="majorHAnsi" w:hAnsiTheme="majorHAnsi"/>
          <w:sz w:val="20"/>
          <w:szCs w:val="20"/>
        </w:rPr>
        <w:t>стані</w:t>
      </w:r>
    </w:p>
    <w:p w14:paraId="0257226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ВІРОГІДНІСТЬ</w:t>
      </w:r>
      <w:r w:rsidRPr="000977F7">
        <w:rPr>
          <w:color w:val="auto"/>
          <w:spacing w:val="-9"/>
          <w:sz w:val="20"/>
          <w:szCs w:val="20"/>
        </w:rPr>
        <w:t xml:space="preserve"> </w:t>
      </w:r>
      <w:r w:rsidRPr="000977F7">
        <w:rPr>
          <w:color w:val="auto"/>
          <w:sz w:val="20"/>
          <w:szCs w:val="20"/>
        </w:rPr>
        <w:t>МЕТОДУ</w:t>
      </w:r>
      <w:r w:rsidRPr="000977F7">
        <w:rPr>
          <w:color w:val="auto"/>
          <w:spacing w:val="-7"/>
          <w:sz w:val="20"/>
          <w:szCs w:val="20"/>
        </w:rPr>
        <w:t xml:space="preserve"> </w:t>
      </w:r>
      <w:r w:rsidRPr="000977F7">
        <w:rPr>
          <w:color w:val="auto"/>
          <w:sz w:val="20"/>
          <w:szCs w:val="20"/>
        </w:rPr>
        <w:t>НЕРУЙНІВНОГО</w:t>
      </w:r>
      <w:r w:rsidRPr="000977F7">
        <w:rPr>
          <w:color w:val="auto"/>
          <w:spacing w:val="-47"/>
          <w:sz w:val="20"/>
          <w:szCs w:val="20"/>
        </w:rPr>
        <w:t xml:space="preserve"> </w:t>
      </w:r>
      <w:r w:rsidRPr="000977F7">
        <w:rPr>
          <w:color w:val="auto"/>
          <w:sz w:val="20"/>
          <w:szCs w:val="20"/>
        </w:rPr>
        <w:t>КОНТРОЛЮ</w:t>
      </w:r>
      <w:r w:rsidRPr="000977F7">
        <w:rPr>
          <w:color w:val="auto"/>
          <w:spacing w:val="-1"/>
          <w:sz w:val="20"/>
          <w:szCs w:val="20"/>
        </w:rPr>
        <w:t xml:space="preserve"> </w:t>
      </w:r>
      <w:r w:rsidRPr="000977F7">
        <w:rPr>
          <w:color w:val="auto"/>
          <w:sz w:val="20"/>
          <w:szCs w:val="20"/>
        </w:rPr>
        <w:t>–</w:t>
      </w:r>
    </w:p>
    <w:p w14:paraId="63CFA37B"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Показник</w:t>
      </w:r>
      <w:r w:rsidRPr="000977F7">
        <w:rPr>
          <w:rFonts w:asciiTheme="majorHAnsi" w:hAnsiTheme="majorHAnsi"/>
          <w:spacing w:val="9"/>
          <w:sz w:val="20"/>
          <w:szCs w:val="20"/>
        </w:rPr>
        <w:t xml:space="preserve"> </w:t>
      </w:r>
      <w:r w:rsidRPr="000977F7">
        <w:rPr>
          <w:rFonts w:asciiTheme="majorHAnsi" w:hAnsiTheme="majorHAnsi"/>
          <w:sz w:val="20"/>
          <w:szCs w:val="20"/>
        </w:rPr>
        <w:t>ступеня</w:t>
      </w:r>
      <w:r w:rsidRPr="000977F7">
        <w:rPr>
          <w:rFonts w:asciiTheme="majorHAnsi" w:hAnsiTheme="majorHAnsi"/>
          <w:spacing w:val="11"/>
          <w:sz w:val="20"/>
          <w:szCs w:val="20"/>
        </w:rPr>
        <w:t xml:space="preserve"> </w:t>
      </w:r>
      <w:r w:rsidRPr="000977F7">
        <w:rPr>
          <w:rFonts w:asciiTheme="majorHAnsi" w:hAnsiTheme="majorHAnsi"/>
          <w:sz w:val="20"/>
          <w:szCs w:val="20"/>
        </w:rPr>
        <w:t>об’єктивного</w:t>
      </w:r>
      <w:r w:rsidRPr="000977F7">
        <w:rPr>
          <w:rFonts w:asciiTheme="majorHAnsi" w:hAnsiTheme="majorHAnsi"/>
          <w:spacing w:val="11"/>
          <w:sz w:val="20"/>
          <w:szCs w:val="20"/>
        </w:rPr>
        <w:t xml:space="preserve"> </w:t>
      </w:r>
      <w:r w:rsidRPr="000977F7">
        <w:rPr>
          <w:rFonts w:asciiTheme="majorHAnsi" w:hAnsiTheme="majorHAnsi"/>
          <w:sz w:val="20"/>
          <w:szCs w:val="20"/>
        </w:rPr>
        <w:t>відображення</w:t>
      </w:r>
      <w:r w:rsidRPr="000977F7">
        <w:rPr>
          <w:rFonts w:asciiTheme="majorHAnsi" w:hAnsiTheme="majorHAnsi"/>
          <w:spacing w:val="11"/>
          <w:sz w:val="20"/>
          <w:szCs w:val="20"/>
        </w:rPr>
        <w:t xml:space="preserve"> </w:t>
      </w:r>
      <w:r w:rsidRPr="000977F7">
        <w:rPr>
          <w:rFonts w:asciiTheme="majorHAnsi" w:hAnsiTheme="majorHAnsi"/>
          <w:sz w:val="20"/>
          <w:szCs w:val="20"/>
        </w:rPr>
        <w:t>результатами контролю дійсного технічного стану виробу</w:t>
      </w:r>
      <w:r w:rsidRPr="000977F7">
        <w:rPr>
          <w:rFonts w:asciiTheme="majorHAnsi" w:hAnsiTheme="majorHAnsi"/>
          <w:spacing w:val="1"/>
          <w:sz w:val="20"/>
          <w:szCs w:val="20"/>
        </w:rPr>
        <w:t xml:space="preserve"> </w:t>
      </w:r>
    </w:p>
    <w:p w14:paraId="2FBF8C44"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2865 - 94</w:t>
      </w:r>
    </w:p>
    <w:p w14:paraId="6274CA5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ВКАЗІВНИК</w:t>
      </w:r>
      <w:r w:rsidRPr="000977F7">
        <w:rPr>
          <w:color w:val="auto"/>
          <w:spacing w:val="-4"/>
          <w:sz w:val="20"/>
          <w:szCs w:val="20"/>
        </w:rPr>
        <w:t xml:space="preserve"> </w:t>
      </w:r>
      <w:r w:rsidRPr="000977F7">
        <w:rPr>
          <w:color w:val="auto"/>
          <w:sz w:val="20"/>
          <w:szCs w:val="20"/>
        </w:rPr>
        <w:t>–</w:t>
      </w:r>
    </w:p>
    <w:p w14:paraId="358464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INDEX</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31BA81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чи елемент показувального пристрою у вигляді стрілки, променю чи верхнього рівня стовпчика</w:t>
      </w:r>
      <w:r w:rsidRPr="000977F7">
        <w:rPr>
          <w:rFonts w:asciiTheme="majorHAnsi" w:hAnsiTheme="majorHAnsi"/>
          <w:spacing w:val="1"/>
          <w:sz w:val="20"/>
          <w:szCs w:val="20"/>
        </w:rPr>
        <w:t xml:space="preserve"> </w:t>
      </w:r>
      <w:r w:rsidRPr="000977F7">
        <w:rPr>
          <w:rFonts w:asciiTheme="majorHAnsi" w:hAnsiTheme="majorHAnsi"/>
          <w:sz w:val="20"/>
          <w:szCs w:val="20"/>
        </w:rPr>
        <w:t>рідини чи газу, які відносно позначок шкали визначають</w:t>
      </w:r>
      <w:r w:rsidRPr="000977F7">
        <w:rPr>
          <w:rFonts w:asciiTheme="majorHAnsi" w:hAnsiTheme="majorHAnsi"/>
          <w:spacing w:val="-1"/>
          <w:sz w:val="20"/>
          <w:szCs w:val="20"/>
        </w:rPr>
        <w:t xml:space="preserve"> </w:t>
      </w:r>
      <w:r w:rsidRPr="000977F7">
        <w:rPr>
          <w:rFonts w:asciiTheme="majorHAnsi" w:hAnsiTheme="majorHAnsi"/>
          <w:sz w:val="20"/>
          <w:szCs w:val="20"/>
        </w:rPr>
        <w:t>показ</w:t>
      </w:r>
      <w:r w:rsidRPr="000977F7">
        <w:rPr>
          <w:rFonts w:asciiTheme="majorHAnsi" w:hAnsiTheme="majorHAnsi"/>
          <w:spacing w:val="3"/>
          <w:sz w:val="20"/>
          <w:szCs w:val="20"/>
        </w:rPr>
        <w:t xml:space="preserve"> </w:t>
      </w:r>
      <w:r w:rsidRPr="000977F7">
        <w:rPr>
          <w:rFonts w:asciiTheme="majorHAnsi" w:hAnsiTheme="majorHAnsi"/>
          <w:sz w:val="20"/>
          <w:szCs w:val="20"/>
        </w:rPr>
        <w:t>приладу</w:t>
      </w:r>
    </w:p>
    <w:p w14:paraId="470D881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D2A206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ВЛАСНА</w:t>
      </w:r>
      <w:r w:rsidRPr="000977F7">
        <w:rPr>
          <w:color w:val="auto"/>
          <w:spacing w:val="-7"/>
          <w:sz w:val="20"/>
          <w:szCs w:val="20"/>
        </w:rPr>
        <w:t xml:space="preserve"> </w:t>
      </w:r>
      <w:r w:rsidRPr="000977F7">
        <w:rPr>
          <w:color w:val="auto"/>
          <w:sz w:val="20"/>
          <w:szCs w:val="20"/>
        </w:rPr>
        <w:t>ВІДМОВА</w:t>
      </w:r>
      <w:r w:rsidRPr="000977F7">
        <w:rPr>
          <w:color w:val="auto"/>
          <w:spacing w:val="-7"/>
          <w:sz w:val="20"/>
          <w:szCs w:val="20"/>
        </w:rPr>
        <w:t xml:space="preserve"> </w:t>
      </w:r>
      <w:r w:rsidRPr="000977F7">
        <w:rPr>
          <w:color w:val="auto"/>
          <w:sz w:val="20"/>
          <w:szCs w:val="20"/>
        </w:rPr>
        <w:t>ТЕХНОЛОГІЧНОЇ</w:t>
      </w:r>
      <w:r w:rsidRPr="000977F7">
        <w:rPr>
          <w:color w:val="auto"/>
          <w:spacing w:val="-47"/>
          <w:sz w:val="20"/>
          <w:szCs w:val="20"/>
        </w:rPr>
        <w:t xml:space="preserve"> </w:t>
      </w:r>
      <w:r w:rsidRPr="000977F7">
        <w:rPr>
          <w:color w:val="auto"/>
          <w:sz w:val="20"/>
          <w:szCs w:val="20"/>
        </w:rPr>
        <w:t>СИСТЕМИ –</w:t>
      </w:r>
    </w:p>
    <w:p w14:paraId="042B32D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INHERENT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TECHNOLOGICAL</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SYSTEM –</w:t>
      </w:r>
    </w:p>
    <w:p w14:paraId="084B41E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 технологічної системи внаслідок порушення</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працездатного стану її елементів і (чи) функціональних</w:t>
      </w:r>
      <w:r w:rsidRPr="000977F7">
        <w:rPr>
          <w:rFonts w:asciiTheme="majorHAnsi" w:hAnsiTheme="majorHAnsi"/>
          <w:spacing w:val="-2"/>
          <w:sz w:val="20"/>
          <w:szCs w:val="20"/>
        </w:rPr>
        <w:t xml:space="preserve"> </w:t>
      </w:r>
      <w:r w:rsidRPr="000977F7">
        <w:rPr>
          <w:rFonts w:asciiTheme="majorHAnsi" w:hAnsiTheme="majorHAnsi"/>
          <w:sz w:val="20"/>
          <w:szCs w:val="20"/>
        </w:rPr>
        <w:t>зв’язків</w:t>
      </w:r>
      <w:r w:rsidRPr="000977F7">
        <w:rPr>
          <w:rFonts w:asciiTheme="majorHAnsi" w:hAnsiTheme="majorHAnsi"/>
          <w:spacing w:val="-1"/>
          <w:sz w:val="20"/>
          <w:szCs w:val="20"/>
        </w:rPr>
        <w:t xml:space="preserve"> </w:t>
      </w:r>
      <w:r w:rsidRPr="000977F7">
        <w:rPr>
          <w:rFonts w:asciiTheme="majorHAnsi" w:hAnsiTheme="majorHAnsi"/>
          <w:sz w:val="20"/>
          <w:szCs w:val="20"/>
        </w:rPr>
        <w:t>між</w:t>
      </w:r>
      <w:r w:rsidRPr="000977F7">
        <w:rPr>
          <w:rFonts w:asciiTheme="majorHAnsi" w:hAnsiTheme="majorHAnsi"/>
          <w:spacing w:val="1"/>
          <w:sz w:val="20"/>
          <w:szCs w:val="20"/>
        </w:rPr>
        <w:t xml:space="preserve"> </w:t>
      </w:r>
      <w:r w:rsidRPr="000977F7">
        <w:rPr>
          <w:rFonts w:asciiTheme="majorHAnsi" w:hAnsiTheme="majorHAnsi"/>
          <w:sz w:val="20"/>
          <w:szCs w:val="20"/>
        </w:rPr>
        <w:t>ними</w:t>
      </w:r>
    </w:p>
    <w:p w14:paraId="4A2BC07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2470 - 94</w:t>
      </w:r>
    </w:p>
    <w:p w14:paraId="0B8359A5" w14:textId="77777777" w:rsidR="0097612F" w:rsidRPr="000977F7" w:rsidRDefault="0097612F" w:rsidP="000977F7">
      <w:pPr>
        <w:pStyle w:val="7"/>
        <w:tabs>
          <w:tab w:val="left" w:pos="284"/>
        </w:tabs>
        <w:spacing w:before="0" w:line="240" w:lineRule="auto"/>
        <w:ind w:left="170"/>
        <w:mirrorIndents/>
        <w:jc w:val="both"/>
        <w:rPr>
          <w:color w:val="auto"/>
          <w:spacing w:val="-6"/>
          <w:sz w:val="20"/>
          <w:szCs w:val="20"/>
        </w:rPr>
      </w:pPr>
      <w:r w:rsidRPr="000977F7">
        <w:rPr>
          <w:color w:val="auto"/>
          <w:sz w:val="20"/>
          <w:szCs w:val="20"/>
        </w:rPr>
        <w:t>ВЛАСНИК</w:t>
      </w:r>
      <w:r w:rsidRPr="000977F7">
        <w:rPr>
          <w:color w:val="auto"/>
          <w:spacing w:val="-6"/>
          <w:sz w:val="20"/>
          <w:szCs w:val="20"/>
        </w:rPr>
        <w:t xml:space="preserve"> </w:t>
      </w:r>
      <w:r w:rsidRPr="000977F7">
        <w:rPr>
          <w:color w:val="auto"/>
          <w:sz w:val="20"/>
          <w:szCs w:val="20"/>
        </w:rPr>
        <w:t>СВІДОЦТВА</w:t>
      </w:r>
      <w:r w:rsidRPr="000977F7">
        <w:rPr>
          <w:color w:val="auto"/>
          <w:spacing w:val="-4"/>
          <w:sz w:val="20"/>
          <w:szCs w:val="20"/>
        </w:rPr>
        <w:t xml:space="preserve"> </w:t>
      </w:r>
      <w:r w:rsidRPr="000977F7">
        <w:rPr>
          <w:color w:val="auto"/>
          <w:sz w:val="20"/>
          <w:szCs w:val="20"/>
        </w:rPr>
        <w:t>(В</w:t>
      </w:r>
      <w:r w:rsidRPr="000977F7">
        <w:rPr>
          <w:color w:val="auto"/>
          <w:spacing w:val="-4"/>
          <w:sz w:val="20"/>
          <w:szCs w:val="20"/>
        </w:rPr>
        <w:t xml:space="preserve"> </w:t>
      </w:r>
      <w:r w:rsidRPr="000977F7">
        <w:rPr>
          <w:color w:val="auto"/>
          <w:sz w:val="20"/>
          <w:szCs w:val="20"/>
        </w:rPr>
        <w:t>ГАЛУЗІ</w:t>
      </w:r>
      <w:r w:rsidRPr="000977F7">
        <w:rPr>
          <w:color w:val="auto"/>
          <w:spacing w:val="-6"/>
          <w:sz w:val="20"/>
          <w:szCs w:val="20"/>
        </w:rPr>
        <w:t xml:space="preserve"> </w:t>
      </w:r>
    </w:p>
    <w:p w14:paraId="4912BC3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СЕРТИФІКА</w:t>
      </w:r>
      <w:r w:rsidRPr="000977F7">
        <w:rPr>
          <w:color w:val="auto"/>
          <w:spacing w:val="-47"/>
          <w:sz w:val="20"/>
          <w:szCs w:val="20"/>
        </w:rPr>
        <w:t xml:space="preserve"> </w:t>
      </w:r>
      <w:r w:rsidRPr="000977F7">
        <w:rPr>
          <w:color w:val="auto"/>
          <w:sz w:val="20"/>
          <w:szCs w:val="20"/>
        </w:rPr>
        <w:t>ЦІЇ),</w:t>
      </w:r>
      <w:r w:rsidRPr="000977F7">
        <w:rPr>
          <w:color w:val="auto"/>
          <w:spacing w:val="-1"/>
          <w:sz w:val="20"/>
          <w:szCs w:val="20"/>
        </w:rPr>
        <w:t xml:space="preserve"> </w:t>
      </w:r>
      <w:r w:rsidRPr="000977F7">
        <w:rPr>
          <w:color w:val="auto"/>
          <w:sz w:val="20"/>
          <w:szCs w:val="20"/>
        </w:rPr>
        <w:t>ЛІЦЕНЗІАТ –</w:t>
      </w:r>
    </w:p>
    <w:p w14:paraId="6ECABF4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LICENSEE</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r w:rsidRPr="000977F7">
        <w:rPr>
          <w:rFonts w:asciiTheme="majorHAnsi" w:hAnsiTheme="majorHAnsi"/>
          <w:sz w:val="20"/>
          <w:szCs w:val="20"/>
        </w:rPr>
        <w:t>FOR</w:t>
      </w:r>
      <w:r w:rsidRPr="004D2D14">
        <w:rPr>
          <w:rFonts w:asciiTheme="majorHAnsi" w:hAnsiTheme="majorHAnsi"/>
          <w:spacing w:val="-2"/>
          <w:sz w:val="20"/>
          <w:szCs w:val="20"/>
          <w:lang w:val="uk-UA"/>
        </w:rPr>
        <w:t xml:space="preserve"> </w:t>
      </w:r>
      <w:r w:rsidRPr="000977F7">
        <w:rPr>
          <w:rFonts w:asciiTheme="majorHAnsi" w:hAnsiTheme="majorHAnsi"/>
          <w:sz w:val="20"/>
          <w:szCs w:val="20"/>
        </w:rPr>
        <w:t>CERTIFICATION</w:t>
      </w:r>
      <w:r w:rsidRPr="004D2D14">
        <w:rPr>
          <w:rFonts w:asciiTheme="majorHAnsi" w:hAnsiTheme="majorHAnsi"/>
          <w:sz w:val="20"/>
          <w:szCs w:val="20"/>
          <w:lang w:val="uk-UA"/>
        </w:rPr>
        <w:t>)</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7318DCF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Особа або орган, яким будь-яким органом із сертифікації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видане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відповідне свідоцтво</w:t>
      </w:r>
    </w:p>
    <w:p w14:paraId="1BE19F0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ВЛАСНИК ПРОМИСЛОВОГО ЗРАЗКА –</w:t>
      </w:r>
    </w:p>
    <w:p w14:paraId="399E013E"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Власник прав інтелектуальної власності на зареєстрований промисловий зразок та/або незареєстрований промисловий зразок</w:t>
      </w:r>
    </w:p>
    <w:p w14:paraId="7DA2887A"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"Про охорону прав на промислові зразки"</w:t>
      </w:r>
    </w:p>
    <w:p w14:paraId="5F5AB22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ВЛАСНИК СХЕМИ –</w:t>
      </w:r>
    </w:p>
    <w:p w14:paraId="3572139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особа або організація, яка відповідає за розроблення і підтримування конкретної </w:t>
      </w:r>
      <w:r w:rsidRPr="000977F7">
        <w:rPr>
          <w:rFonts w:asciiTheme="majorHAnsi" w:hAnsiTheme="majorHAnsi"/>
          <w:bCs/>
          <w:sz w:val="20"/>
          <w:szCs w:val="20"/>
        </w:rPr>
        <w:t>схеми сертифікації</w:t>
      </w:r>
      <w:r w:rsidRPr="000977F7">
        <w:rPr>
          <w:rFonts w:asciiTheme="majorHAnsi" w:hAnsiTheme="majorHAnsi"/>
          <w:sz w:val="20"/>
          <w:szCs w:val="20"/>
        </w:rPr>
        <w:t>.</w:t>
      </w:r>
    </w:p>
    <w:p w14:paraId="74660D8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b/>
          <w:sz w:val="20"/>
          <w:szCs w:val="20"/>
        </w:rPr>
        <w:t xml:space="preserve">  </w:t>
      </w:r>
      <w:r w:rsidRPr="000977F7">
        <w:rPr>
          <w:rFonts w:asciiTheme="majorHAnsi" w:hAnsiTheme="majorHAnsi"/>
          <w:sz w:val="20"/>
          <w:szCs w:val="20"/>
        </w:rPr>
        <w:t>Власник схеми може бути безпосередньо органом сертифікації, урядовим органом влади, торгівельною асоціацією, групою органів сертифікації тощо.</w:t>
      </w:r>
    </w:p>
    <w:p w14:paraId="0A22AC93"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lang w:eastAsia="ru-RU"/>
        </w:rPr>
        <w:t>ДСТУ EN ISO/IEC 17065:2019</w:t>
      </w:r>
    </w:p>
    <w:p w14:paraId="6F43287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ВЛАСНІСТЬ</w:t>
      </w:r>
      <w:r w:rsidRPr="000977F7">
        <w:rPr>
          <w:color w:val="auto"/>
          <w:spacing w:val="1"/>
          <w:sz w:val="20"/>
          <w:szCs w:val="20"/>
        </w:rPr>
        <w:t xml:space="preserve"> </w:t>
      </w:r>
      <w:r w:rsidRPr="000977F7">
        <w:rPr>
          <w:color w:val="auto"/>
          <w:sz w:val="20"/>
          <w:szCs w:val="20"/>
        </w:rPr>
        <w:t>ЗАМОВНИКІВ</w:t>
      </w:r>
      <w:r w:rsidRPr="000977F7">
        <w:rPr>
          <w:color w:val="auto"/>
          <w:spacing w:val="1"/>
          <w:sz w:val="20"/>
          <w:szCs w:val="20"/>
        </w:rPr>
        <w:t xml:space="preserve"> </w:t>
      </w:r>
      <w:r w:rsidRPr="000977F7">
        <w:rPr>
          <w:color w:val="auto"/>
          <w:sz w:val="20"/>
          <w:szCs w:val="20"/>
        </w:rPr>
        <w:t>АБО</w:t>
      </w:r>
      <w:r w:rsidRPr="000977F7">
        <w:rPr>
          <w:color w:val="auto"/>
          <w:spacing w:val="1"/>
          <w:sz w:val="20"/>
          <w:szCs w:val="20"/>
        </w:rPr>
        <w:t xml:space="preserve"> </w:t>
      </w:r>
      <w:r w:rsidRPr="000977F7">
        <w:rPr>
          <w:color w:val="auto"/>
          <w:sz w:val="20"/>
          <w:szCs w:val="20"/>
        </w:rPr>
        <w:t>ЗОВНІШНІХ</w:t>
      </w:r>
      <w:r w:rsidRPr="000977F7">
        <w:rPr>
          <w:color w:val="auto"/>
          <w:spacing w:val="-47"/>
          <w:sz w:val="20"/>
          <w:szCs w:val="20"/>
        </w:rPr>
        <w:t xml:space="preserve"> </w:t>
      </w:r>
      <w:r w:rsidRPr="000977F7">
        <w:rPr>
          <w:color w:val="auto"/>
          <w:sz w:val="20"/>
          <w:szCs w:val="20"/>
        </w:rPr>
        <w:t>ПОСТАЧАЛЬНИКІВ</w:t>
      </w:r>
      <w:r w:rsidRPr="000977F7">
        <w:rPr>
          <w:color w:val="auto"/>
          <w:spacing w:val="2"/>
          <w:sz w:val="20"/>
          <w:szCs w:val="20"/>
        </w:rPr>
        <w:t xml:space="preserve"> </w:t>
      </w:r>
      <w:r w:rsidRPr="000977F7">
        <w:rPr>
          <w:color w:val="auto"/>
          <w:sz w:val="20"/>
          <w:szCs w:val="20"/>
        </w:rPr>
        <w:t>–</w:t>
      </w:r>
    </w:p>
    <w:p w14:paraId="7E75403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дбайливо ставитись до власності</w:t>
      </w:r>
      <w:r w:rsidRPr="000977F7">
        <w:rPr>
          <w:rFonts w:asciiTheme="majorHAnsi" w:hAnsiTheme="majorHAnsi"/>
          <w:spacing w:val="1"/>
          <w:sz w:val="20"/>
          <w:szCs w:val="20"/>
        </w:rPr>
        <w:t xml:space="preserve"> </w:t>
      </w:r>
      <w:r w:rsidRPr="000977F7">
        <w:rPr>
          <w:rFonts w:asciiTheme="majorHAnsi" w:hAnsiTheme="majorHAnsi"/>
          <w:sz w:val="20"/>
          <w:szCs w:val="20"/>
        </w:rPr>
        <w:t>замовників</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зовнішніх</w:t>
      </w:r>
      <w:r w:rsidRPr="000977F7">
        <w:rPr>
          <w:rFonts w:asciiTheme="majorHAnsi" w:hAnsiTheme="majorHAnsi"/>
          <w:spacing w:val="1"/>
          <w:sz w:val="20"/>
          <w:szCs w:val="20"/>
        </w:rPr>
        <w:t xml:space="preserve"> </w:t>
      </w:r>
      <w:r w:rsidRPr="000977F7">
        <w:rPr>
          <w:rFonts w:asciiTheme="majorHAnsi" w:hAnsiTheme="majorHAnsi"/>
          <w:sz w:val="20"/>
          <w:szCs w:val="20"/>
        </w:rPr>
        <w:t>постачальників,</w:t>
      </w:r>
      <w:r w:rsidRPr="000977F7">
        <w:rPr>
          <w:rFonts w:asciiTheme="majorHAnsi" w:hAnsiTheme="majorHAnsi"/>
          <w:spacing w:val="1"/>
          <w:sz w:val="20"/>
          <w:szCs w:val="20"/>
        </w:rPr>
        <w:t xml:space="preserve"> </w:t>
      </w:r>
      <w:r w:rsidRPr="000977F7">
        <w:rPr>
          <w:rFonts w:asciiTheme="majorHAnsi" w:hAnsiTheme="majorHAnsi"/>
          <w:sz w:val="20"/>
          <w:szCs w:val="20"/>
        </w:rPr>
        <w:t>доки</w:t>
      </w:r>
      <w:r w:rsidRPr="000977F7">
        <w:rPr>
          <w:rFonts w:asciiTheme="majorHAnsi" w:hAnsiTheme="majorHAnsi"/>
          <w:spacing w:val="1"/>
          <w:sz w:val="20"/>
          <w:szCs w:val="20"/>
        </w:rPr>
        <w:t xml:space="preserve"> </w:t>
      </w:r>
      <w:r w:rsidRPr="000977F7">
        <w:rPr>
          <w:rFonts w:asciiTheme="majorHAnsi" w:hAnsiTheme="majorHAnsi"/>
          <w:sz w:val="20"/>
          <w:szCs w:val="20"/>
        </w:rPr>
        <w:t>ця</w:t>
      </w:r>
      <w:r w:rsidRPr="000977F7">
        <w:rPr>
          <w:rFonts w:asciiTheme="majorHAnsi" w:hAnsiTheme="majorHAnsi"/>
          <w:spacing w:val="1"/>
          <w:sz w:val="20"/>
          <w:szCs w:val="20"/>
        </w:rPr>
        <w:t xml:space="preserve"> </w:t>
      </w:r>
      <w:r w:rsidRPr="000977F7">
        <w:rPr>
          <w:rFonts w:asciiTheme="majorHAnsi" w:hAnsiTheme="majorHAnsi"/>
          <w:sz w:val="20"/>
          <w:szCs w:val="20"/>
        </w:rPr>
        <w:t>власність перебуває під контролем організації чи в її</w:t>
      </w:r>
      <w:r w:rsidRPr="000977F7">
        <w:rPr>
          <w:rFonts w:asciiTheme="majorHAnsi" w:hAnsiTheme="majorHAnsi"/>
          <w:spacing w:val="1"/>
          <w:sz w:val="20"/>
          <w:szCs w:val="20"/>
        </w:rPr>
        <w:t xml:space="preserve"> </w:t>
      </w:r>
      <w:r w:rsidRPr="000977F7">
        <w:rPr>
          <w:rFonts w:asciiTheme="majorHAnsi" w:hAnsiTheme="majorHAnsi"/>
          <w:sz w:val="20"/>
          <w:szCs w:val="20"/>
        </w:rPr>
        <w:t>користуванні.</w:t>
      </w:r>
    </w:p>
    <w:p w14:paraId="732E55A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повинна</w:t>
      </w:r>
      <w:r w:rsidRPr="000977F7">
        <w:rPr>
          <w:rFonts w:asciiTheme="majorHAnsi" w:hAnsiTheme="majorHAnsi"/>
          <w:spacing w:val="1"/>
          <w:sz w:val="20"/>
          <w:szCs w:val="20"/>
        </w:rPr>
        <w:t xml:space="preserve"> </w:t>
      </w:r>
      <w:r w:rsidRPr="000977F7">
        <w:rPr>
          <w:rFonts w:asciiTheme="majorHAnsi" w:hAnsiTheme="majorHAnsi"/>
          <w:sz w:val="20"/>
          <w:szCs w:val="20"/>
        </w:rPr>
        <w:t>ідентифікувати,</w:t>
      </w:r>
      <w:r w:rsidRPr="000977F7">
        <w:rPr>
          <w:rFonts w:asciiTheme="majorHAnsi" w:hAnsiTheme="majorHAnsi"/>
          <w:spacing w:val="1"/>
          <w:sz w:val="20"/>
          <w:szCs w:val="20"/>
        </w:rPr>
        <w:t xml:space="preserve"> </w:t>
      </w:r>
      <w:r w:rsidRPr="000977F7">
        <w:rPr>
          <w:rFonts w:asciiTheme="majorHAnsi" w:hAnsiTheme="majorHAnsi"/>
          <w:sz w:val="20"/>
          <w:szCs w:val="20"/>
        </w:rPr>
        <w:t>перевіряти,</w:t>
      </w:r>
      <w:r w:rsidRPr="000977F7">
        <w:rPr>
          <w:rFonts w:asciiTheme="majorHAnsi" w:hAnsiTheme="majorHAnsi"/>
          <w:spacing w:val="-47"/>
          <w:sz w:val="20"/>
          <w:szCs w:val="20"/>
        </w:rPr>
        <w:t xml:space="preserve"> </w:t>
      </w:r>
      <w:r w:rsidRPr="000977F7">
        <w:rPr>
          <w:rFonts w:asciiTheme="majorHAnsi" w:hAnsiTheme="majorHAnsi"/>
          <w:sz w:val="20"/>
          <w:szCs w:val="20"/>
        </w:rPr>
        <w:t>захищати та охороняти власність замовників або зовнішніх постачальників, яку надано для 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доручення</w:t>
      </w:r>
      <w:r w:rsidRPr="000977F7">
        <w:rPr>
          <w:rFonts w:asciiTheme="majorHAnsi" w:hAnsiTheme="majorHAnsi"/>
          <w:spacing w:val="-2"/>
          <w:sz w:val="20"/>
          <w:szCs w:val="20"/>
        </w:rPr>
        <w:t xml:space="preserve"> </w:t>
      </w:r>
      <w:r w:rsidRPr="000977F7">
        <w:rPr>
          <w:rFonts w:asciiTheme="majorHAnsi" w:hAnsiTheme="majorHAnsi"/>
          <w:sz w:val="20"/>
          <w:szCs w:val="20"/>
        </w:rPr>
        <w:t>до</w:t>
      </w:r>
      <w:r w:rsidRPr="000977F7">
        <w:rPr>
          <w:rFonts w:asciiTheme="majorHAnsi" w:hAnsiTheme="majorHAnsi"/>
          <w:spacing w:val="3"/>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 послуг.</w:t>
      </w:r>
    </w:p>
    <w:p w14:paraId="5399AEE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Якщо власність замовника або зовнішнього постачальника</w:t>
      </w:r>
      <w:r w:rsidRPr="000977F7">
        <w:rPr>
          <w:rFonts w:asciiTheme="majorHAnsi" w:hAnsiTheme="majorHAnsi"/>
          <w:spacing w:val="1"/>
          <w:sz w:val="20"/>
          <w:szCs w:val="20"/>
        </w:rPr>
        <w:t xml:space="preserve"> </w:t>
      </w:r>
      <w:r w:rsidRPr="000977F7">
        <w:rPr>
          <w:rFonts w:asciiTheme="majorHAnsi" w:hAnsiTheme="majorHAnsi"/>
          <w:sz w:val="20"/>
          <w:szCs w:val="20"/>
        </w:rPr>
        <w:t>втрачено,</w:t>
      </w:r>
      <w:r w:rsidRPr="000977F7">
        <w:rPr>
          <w:rFonts w:asciiTheme="majorHAnsi" w:hAnsiTheme="majorHAnsi"/>
          <w:spacing w:val="1"/>
          <w:sz w:val="20"/>
          <w:szCs w:val="20"/>
        </w:rPr>
        <w:t xml:space="preserve"> </w:t>
      </w:r>
      <w:r w:rsidRPr="000977F7">
        <w:rPr>
          <w:rFonts w:asciiTheme="majorHAnsi" w:hAnsiTheme="majorHAnsi"/>
          <w:sz w:val="20"/>
          <w:szCs w:val="20"/>
        </w:rPr>
        <w:t>пошкоджено</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внаслідок</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причин визнано непридатною для використання, 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повинна</w:t>
      </w:r>
      <w:r w:rsidRPr="000977F7">
        <w:rPr>
          <w:rFonts w:asciiTheme="majorHAnsi" w:hAnsiTheme="majorHAnsi"/>
          <w:spacing w:val="1"/>
          <w:sz w:val="20"/>
          <w:szCs w:val="20"/>
        </w:rPr>
        <w:t xml:space="preserve"> </w:t>
      </w:r>
      <w:r w:rsidRPr="000977F7">
        <w:rPr>
          <w:rFonts w:asciiTheme="majorHAnsi" w:hAnsiTheme="majorHAnsi"/>
          <w:sz w:val="20"/>
          <w:szCs w:val="20"/>
        </w:rPr>
        <w:t>повідомити</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це</w:t>
      </w:r>
      <w:r w:rsidRPr="000977F7">
        <w:rPr>
          <w:rFonts w:asciiTheme="majorHAnsi" w:hAnsiTheme="majorHAnsi"/>
          <w:spacing w:val="1"/>
          <w:sz w:val="20"/>
          <w:szCs w:val="20"/>
        </w:rPr>
        <w:t xml:space="preserve"> </w:t>
      </w:r>
      <w:r w:rsidRPr="000977F7">
        <w:rPr>
          <w:rFonts w:asciiTheme="majorHAnsi" w:hAnsiTheme="majorHAnsi"/>
          <w:sz w:val="20"/>
          <w:szCs w:val="20"/>
        </w:rPr>
        <w:t>замовника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47"/>
          <w:sz w:val="20"/>
          <w:szCs w:val="20"/>
        </w:rPr>
        <w:t xml:space="preserve"> </w:t>
      </w:r>
      <w:r w:rsidRPr="000977F7">
        <w:rPr>
          <w:rFonts w:asciiTheme="majorHAnsi" w:hAnsiTheme="majorHAnsi"/>
          <w:sz w:val="20"/>
          <w:szCs w:val="20"/>
        </w:rPr>
        <w:t>зовнішнього постачальника, а також зберігати задокументовану</w:t>
      </w:r>
      <w:r w:rsidRPr="000977F7">
        <w:rPr>
          <w:rFonts w:asciiTheme="majorHAnsi" w:hAnsiTheme="majorHAnsi"/>
          <w:spacing w:val="-5"/>
          <w:sz w:val="20"/>
          <w:szCs w:val="20"/>
        </w:rPr>
        <w:t xml:space="preserve"> </w:t>
      </w:r>
      <w:r w:rsidRPr="000977F7">
        <w:rPr>
          <w:rFonts w:asciiTheme="majorHAnsi" w:hAnsiTheme="majorHAnsi"/>
          <w:sz w:val="20"/>
          <w:szCs w:val="20"/>
        </w:rPr>
        <w:t>інформацію</w:t>
      </w:r>
      <w:r w:rsidRPr="000977F7">
        <w:rPr>
          <w:rFonts w:asciiTheme="majorHAnsi" w:hAnsiTheme="majorHAnsi"/>
          <w:spacing w:val="-1"/>
          <w:sz w:val="20"/>
          <w:szCs w:val="20"/>
        </w:rPr>
        <w:t xml:space="preserve"> </w:t>
      </w:r>
      <w:r w:rsidRPr="000977F7">
        <w:rPr>
          <w:rFonts w:asciiTheme="majorHAnsi" w:hAnsiTheme="majorHAnsi"/>
          <w:sz w:val="20"/>
          <w:szCs w:val="20"/>
        </w:rPr>
        <w:t>про те, що</w:t>
      </w:r>
      <w:r w:rsidRPr="000977F7">
        <w:rPr>
          <w:rFonts w:asciiTheme="majorHAnsi" w:hAnsiTheme="majorHAnsi"/>
          <w:spacing w:val="1"/>
          <w:sz w:val="20"/>
          <w:szCs w:val="20"/>
        </w:rPr>
        <w:t xml:space="preserve"> </w:t>
      </w:r>
      <w:r w:rsidRPr="000977F7">
        <w:rPr>
          <w:rFonts w:asciiTheme="majorHAnsi" w:hAnsiTheme="majorHAnsi"/>
          <w:sz w:val="20"/>
          <w:szCs w:val="20"/>
        </w:rPr>
        <w:t>сталося.</w:t>
      </w:r>
    </w:p>
    <w:p w14:paraId="49D6D04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 р и м і т к а: До власності замовника чи зовнішнього</w:t>
      </w:r>
      <w:r w:rsidRPr="000977F7">
        <w:rPr>
          <w:rFonts w:asciiTheme="majorHAnsi" w:hAnsiTheme="majorHAnsi"/>
          <w:spacing w:val="-47"/>
          <w:sz w:val="20"/>
          <w:szCs w:val="20"/>
        </w:rPr>
        <w:t xml:space="preserve"> </w:t>
      </w:r>
      <w:r w:rsidRPr="000977F7">
        <w:rPr>
          <w:rFonts w:asciiTheme="majorHAnsi" w:hAnsiTheme="majorHAnsi"/>
          <w:sz w:val="20"/>
          <w:szCs w:val="20"/>
        </w:rPr>
        <w:t>постачальника можуть належати матеріали, складові</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r w:rsidRPr="000977F7">
        <w:rPr>
          <w:rFonts w:asciiTheme="majorHAnsi" w:hAnsiTheme="majorHAnsi"/>
          <w:spacing w:val="1"/>
          <w:sz w:val="20"/>
          <w:szCs w:val="20"/>
        </w:rPr>
        <w:t xml:space="preserve"> </w:t>
      </w:r>
      <w:r w:rsidRPr="000977F7">
        <w:rPr>
          <w:rFonts w:asciiTheme="majorHAnsi" w:hAnsiTheme="majorHAnsi"/>
          <w:sz w:val="20"/>
          <w:szCs w:val="20"/>
        </w:rPr>
        <w:t>інструменти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1"/>
          <w:sz w:val="20"/>
          <w:szCs w:val="20"/>
        </w:rPr>
        <w:t xml:space="preserve"> </w:t>
      </w:r>
      <w:r w:rsidRPr="000977F7">
        <w:rPr>
          <w:rFonts w:asciiTheme="majorHAnsi" w:hAnsiTheme="majorHAnsi"/>
          <w:sz w:val="20"/>
          <w:szCs w:val="20"/>
        </w:rPr>
        <w:t>приміщення,</w:t>
      </w:r>
      <w:r w:rsidRPr="000977F7">
        <w:rPr>
          <w:rFonts w:asciiTheme="majorHAnsi" w:hAnsiTheme="majorHAnsi"/>
          <w:spacing w:val="-47"/>
          <w:sz w:val="20"/>
          <w:szCs w:val="20"/>
        </w:rPr>
        <w:t xml:space="preserve"> </w:t>
      </w:r>
      <w:r w:rsidRPr="000977F7">
        <w:rPr>
          <w:rFonts w:asciiTheme="majorHAnsi" w:hAnsiTheme="majorHAnsi"/>
          <w:sz w:val="20"/>
          <w:szCs w:val="20"/>
        </w:rPr>
        <w:t>інтелектуальна</w:t>
      </w:r>
      <w:r w:rsidRPr="000977F7">
        <w:rPr>
          <w:rFonts w:asciiTheme="majorHAnsi" w:hAnsiTheme="majorHAnsi"/>
          <w:spacing w:val="-1"/>
          <w:sz w:val="20"/>
          <w:szCs w:val="20"/>
        </w:rPr>
        <w:t xml:space="preserve"> </w:t>
      </w:r>
      <w:r w:rsidRPr="000977F7">
        <w:rPr>
          <w:rFonts w:asciiTheme="majorHAnsi" w:hAnsiTheme="majorHAnsi"/>
          <w:sz w:val="20"/>
          <w:szCs w:val="20"/>
        </w:rPr>
        <w:t>власність</w:t>
      </w:r>
      <w:r w:rsidRPr="000977F7">
        <w:rPr>
          <w:rFonts w:asciiTheme="majorHAnsi" w:hAnsiTheme="majorHAnsi"/>
          <w:spacing w:val="-2"/>
          <w:sz w:val="20"/>
          <w:szCs w:val="20"/>
        </w:rPr>
        <w:t xml:space="preserve"> </w:t>
      </w:r>
      <w:r w:rsidRPr="000977F7">
        <w:rPr>
          <w:rFonts w:asciiTheme="majorHAnsi" w:hAnsiTheme="majorHAnsi"/>
          <w:sz w:val="20"/>
          <w:szCs w:val="20"/>
        </w:rPr>
        <w:t>і особисті</w:t>
      </w:r>
      <w:r w:rsidRPr="000977F7">
        <w:rPr>
          <w:rFonts w:asciiTheme="majorHAnsi" w:hAnsiTheme="majorHAnsi"/>
          <w:spacing w:val="-2"/>
          <w:sz w:val="20"/>
          <w:szCs w:val="20"/>
        </w:rPr>
        <w:t xml:space="preserve"> </w:t>
      </w:r>
      <w:r w:rsidRPr="000977F7">
        <w:rPr>
          <w:rFonts w:asciiTheme="majorHAnsi" w:hAnsiTheme="majorHAnsi"/>
          <w:sz w:val="20"/>
          <w:szCs w:val="20"/>
        </w:rPr>
        <w:t>дані.</w:t>
      </w:r>
    </w:p>
    <w:p w14:paraId="5100BB6F"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noProof/>
          <w:sz w:val="20"/>
          <w:szCs w:val="20"/>
          <w:lang w:eastAsia="ru-RU"/>
        </w:rPr>
        <w:drawing>
          <wp:anchor distT="0" distB="0" distL="0" distR="0" simplePos="0" relativeHeight="251677696" behindDoc="1" locked="0" layoutInCell="1" allowOverlap="1" wp14:anchorId="2D6DE6AC" wp14:editId="6C372FF8">
            <wp:simplePos x="0" y="0"/>
            <wp:positionH relativeFrom="page">
              <wp:posOffset>2068322</wp:posOffset>
            </wp:positionH>
            <wp:positionV relativeFrom="paragraph">
              <wp:posOffset>152094</wp:posOffset>
            </wp:positionV>
            <wp:extent cx="67056" cy="155448"/>
            <wp:effectExtent l="0" t="0" r="0" b="0"/>
            <wp:wrapNone/>
            <wp:docPr id="17"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4" cstate="print"/>
                    <a:stretch>
                      <a:fillRect/>
                    </a:stretch>
                  </pic:blipFill>
                  <pic:spPr>
                    <a:xfrm>
                      <a:off x="0" y="0"/>
                      <a:ext cx="67056" cy="155448"/>
                    </a:xfrm>
                    <a:prstGeom prst="rect">
                      <a:avLst/>
                    </a:prstGeom>
                  </pic:spPr>
                </pic:pic>
              </a:graphicData>
            </a:graphic>
          </wp:anchor>
        </w:drawing>
      </w:r>
      <w:r w:rsidRPr="000977F7">
        <w:rPr>
          <w:rFonts w:asciiTheme="majorHAnsi" w:hAnsiTheme="majorHAnsi"/>
          <w:i/>
          <w:sz w:val="20"/>
          <w:szCs w:val="20"/>
        </w:rPr>
        <w:t>ДСТУ ISO 9001:2015</w:t>
      </w:r>
    </w:p>
    <w:p w14:paraId="24237F65"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ВЛАСТИВІСТЬ ОБ ЄКТА</w:t>
      </w:r>
    </w:p>
    <w:p w14:paraId="00DB190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OBJECT</w:t>
      </w:r>
      <w:r w:rsidRPr="000977F7">
        <w:rPr>
          <w:rFonts w:asciiTheme="majorHAnsi" w:hAnsiTheme="majorHAnsi"/>
          <w:spacing w:val="-1"/>
          <w:sz w:val="20"/>
          <w:szCs w:val="20"/>
        </w:rPr>
        <w:t xml:space="preserve"> </w:t>
      </w:r>
      <w:r w:rsidRPr="000977F7">
        <w:rPr>
          <w:rFonts w:asciiTheme="majorHAnsi" w:hAnsiTheme="majorHAnsi"/>
          <w:sz w:val="20"/>
          <w:szCs w:val="20"/>
        </w:rPr>
        <w:t>PROPERTY</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705B61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Ознака (и), за якою (якими) об’єкт схожий на інші</w:t>
      </w:r>
      <w:r w:rsidRPr="000977F7">
        <w:rPr>
          <w:rFonts w:asciiTheme="majorHAnsi" w:hAnsiTheme="majorHAnsi"/>
          <w:spacing w:val="1"/>
          <w:sz w:val="20"/>
          <w:szCs w:val="20"/>
        </w:rPr>
        <w:t xml:space="preserve"> </w:t>
      </w:r>
      <w:r w:rsidRPr="000977F7">
        <w:rPr>
          <w:rFonts w:asciiTheme="majorHAnsi" w:hAnsiTheme="majorHAnsi"/>
          <w:sz w:val="20"/>
          <w:szCs w:val="20"/>
        </w:rPr>
        <w:t>об’єкти</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відрізняється</w:t>
      </w:r>
      <w:r w:rsidRPr="000977F7">
        <w:rPr>
          <w:rFonts w:asciiTheme="majorHAnsi" w:hAnsiTheme="majorHAnsi"/>
          <w:spacing w:val="-2"/>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них</w:t>
      </w:r>
    </w:p>
    <w:p w14:paraId="7CB1BA2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w:t>
      </w:r>
      <w:r w:rsidRPr="000977F7">
        <w:rPr>
          <w:rFonts w:asciiTheme="majorHAnsi" w:hAnsiTheme="majorHAnsi"/>
          <w:i/>
          <w:spacing w:val="2"/>
          <w:sz w:val="20"/>
          <w:szCs w:val="20"/>
        </w:rPr>
        <w:t xml:space="preserve"> - </w:t>
      </w:r>
      <w:r w:rsidRPr="000977F7">
        <w:rPr>
          <w:rFonts w:asciiTheme="majorHAnsi" w:hAnsiTheme="majorHAnsi"/>
          <w:i/>
          <w:sz w:val="20"/>
          <w:szCs w:val="20"/>
        </w:rPr>
        <w:t>2000</w:t>
      </w:r>
    </w:p>
    <w:p w14:paraId="493FE328"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ВЛАСТИВІСТЬ ПРОДУКЦІЇ –</w:t>
      </w:r>
      <w:r w:rsidRPr="000977F7">
        <w:rPr>
          <w:rFonts w:asciiTheme="majorHAnsi" w:hAnsiTheme="majorHAnsi"/>
          <w:b/>
          <w:spacing w:val="-47"/>
          <w:sz w:val="20"/>
          <w:szCs w:val="20"/>
        </w:rPr>
        <w:t xml:space="preserve"> </w:t>
      </w:r>
    </w:p>
    <w:p w14:paraId="32FA3FC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FETURE –</w:t>
      </w:r>
    </w:p>
    <w:p w14:paraId="456DDC15"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sz w:val="20"/>
          <w:szCs w:val="20"/>
        </w:rPr>
        <w:t>Об’єктивна</w:t>
      </w:r>
      <w:r w:rsidRPr="000977F7">
        <w:rPr>
          <w:rFonts w:asciiTheme="majorHAnsi" w:hAnsiTheme="majorHAnsi"/>
          <w:spacing w:val="31"/>
          <w:sz w:val="20"/>
          <w:szCs w:val="20"/>
        </w:rPr>
        <w:t xml:space="preserve"> </w:t>
      </w:r>
      <w:r w:rsidRPr="000977F7">
        <w:rPr>
          <w:rFonts w:asciiTheme="majorHAnsi" w:hAnsiTheme="majorHAnsi"/>
          <w:sz w:val="20"/>
          <w:szCs w:val="20"/>
        </w:rPr>
        <w:t>особливість</w:t>
      </w:r>
      <w:r w:rsidRPr="000977F7">
        <w:rPr>
          <w:rFonts w:asciiTheme="majorHAnsi" w:hAnsiTheme="majorHAnsi"/>
          <w:spacing w:val="34"/>
          <w:sz w:val="20"/>
          <w:szCs w:val="20"/>
        </w:rPr>
        <w:t xml:space="preserve"> </w:t>
      </w:r>
      <w:r w:rsidRPr="000977F7">
        <w:rPr>
          <w:rFonts w:asciiTheme="majorHAnsi" w:hAnsiTheme="majorHAnsi"/>
          <w:sz w:val="20"/>
          <w:szCs w:val="20"/>
        </w:rPr>
        <w:t>продукції,</w:t>
      </w:r>
      <w:r w:rsidRPr="000977F7">
        <w:rPr>
          <w:rFonts w:asciiTheme="majorHAnsi" w:hAnsiTheme="majorHAnsi"/>
          <w:spacing w:val="32"/>
          <w:sz w:val="20"/>
          <w:szCs w:val="20"/>
        </w:rPr>
        <w:t xml:space="preserve"> </w:t>
      </w:r>
      <w:r w:rsidRPr="000977F7">
        <w:rPr>
          <w:rFonts w:asciiTheme="majorHAnsi" w:hAnsiTheme="majorHAnsi"/>
          <w:sz w:val="20"/>
          <w:szCs w:val="20"/>
        </w:rPr>
        <w:t>яка</w:t>
      </w:r>
      <w:r w:rsidRPr="000977F7">
        <w:rPr>
          <w:rFonts w:asciiTheme="majorHAnsi" w:hAnsiTheme="majorHAnsi"/>
          <w:spacing w:val="31"/>
          <w:sz w:val="20"/>
          <w:szCs w:val="20"/>
        </w:rPr>
        <w:t xml:space="preserve"> </w:t>
      </w:r>
      <w:r w:rsidRPr="000977F7">
        <w:rPr>
          <w:rFonts w:asciiTheme="majorHAnsi" w:hAnsiTheme="majorHAnsi"/>
          <w:sz w:val="20"/>
          <w:szCs w:val="20"/>
        </w:rPr>
        <w:t>може</w:t>
      </w:r>
      <w:r w:rsidRPr="000977F7">
        <w:rPr>
          <w:rFonts w:asciiTheme="majorHAnsi" w:hAnsiTheme="majorHAnsi"/>
          <w:spacing w:val="32"/>
          <w:sz w:val="20"/>
          <w:szCs w:val="20"/>
        </w:rPr>
        <w:t xml:space="preserve"> </w:t>
      </w:r>
      <w:r w:rsidRPr="000977F7">
        <w:rPr>
          <w:rFonts w:asciiTheme="majorHAnsi" w:hAnsiTheme="majorHAnsi"/>
          <w:sz w:val="20"/>
          <w:szCs w:val="20"/>
        </w:rPr>
        <w:t>виявлятись під час її створення, експлуатації чи споживання</w:t>
      </w:r>
      <w:r w:rsidRPr="000977F7">
        <w:rPr>
          <w:rFonts w:asciiTheme="majorHAnsi" w:hAnsiTheme="majorHAnsi"/>
          <w:spacing w:val="1"/>
          <w:sz w:val="20"/>
          <w:szCs w:val="20"/>
        </w:rPr>
        <w:t xml:space="preserve"> </w:t>
      </w:r>
    </w:p>
    <w:p w14:paraId="22A0F83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2925</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 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45ED64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ВЛАСТИВІСТЬ</w:t>
      </w:r>
      <w:r w:rsidRPr="000977F7">
        <w:rPr>
          <w:color w:val="auto"/>
          <w:spacing w:val="-3"/>
          <w:sz w:val="20"/>
          <w:szCs w:val="20"/>
        </w:rPr>
        <w:t xml:space="preserve"> </w:t>
      </w:r>
      <w:r w:rsidRPr="000977F7">
        <w:rPr>
          <w:color w:val="auto"/>
          <w:sz w:val="20"/>
          <w:szCs w:val="20"/>
        </w:rPr>
        <w:t>ПРОЦЕСУ</w:t>
      </w:r>
      <w:r w:rsidRPr="000977F7">
        <w:rPr>
          <w:color w:val="auto"/>
          <w:spacing w:val="-3"/>
          <w:sz w:val="20"/>
          <w:szCs w:val="20"/>
        </w:rPr>
        <w:t xml:space="preserve"> </w:t>
      </w:r>
      <w:r w:rsidRPr="000977F7">
        <w:rPr>
          <w:color w:val="auto"/>
          <w:sz w:val="20"/>
          <w:szCs w:val="20"/>
        </w:rPr>
        <w:t>-</w:t>
      </w:r>
    </w:p>
    <w:p w14:paraId="154F578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PROCESS</w:t>
      </w:r>
      <w:r w:rsidRPr="000977F7">
        <w:rPr>
          <w:rFonts w:asciiTheme="majorHAnsi" w:hAnsiTheme="majorHAnsi"/>
          <w:spacing w:val="-3"/>
          <w:sz w:val="20"/>
          <w:szCs w:val="20"/>
        </w:rPr>
        <w:t xml:space="preserve"> </w:t>
      </w:r>
      <w:r w:rsidRPr="000977F7">
        <w:rPr>
          <w:rFonts w:asciiTheme="majorHAnsi" w:hAnsiTheme="majorHAnsi"/>
          <w:sz w:val="20"/>
          <w:szCs w:val="20"/>
        </w:rPr>
        <w:t>PROPERTY -</w:t>
      </w:r>
    </w:p>
    <w:p w14:paraId="1FDCD76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Ознака (и), за якою (якими) один процес схожий на</w:t>
      </w:r>
      <w:r w:rsidRPr="000977F7">
        <w:rPr>
          <w:rFonts w:asciiTheme="majorHAnsi" w:hAnsiTheme="majorHAnsi"/>
          <w:spacing w:val="1"/>
          <w:sz w:val="20"/>
          <w:szCs w:val="20"/>
        </w:rPr>
        <w:t xml:space="preserve"> </w:t>
      </w:r>
      <w:r w:rsidRPr="000977F7">
        <w:rPr>
          <w:rFonts w:asciiTheme="majorHAnsi" w:hAnsiTheme="majorHAnsi"/>
          <w:sz w:val="20"/>
          <w:szCs w:val="20"/>
        </w:rPr>
        <w:t>інші</w:t>
      </w:r>
      <w:r w:rsidRPr="000977F7">
        <w:rPr>
          <w:rFonts w:asciiTheme="majorHAnsi" w:hAnsiTheme="majorHAnsi"/>
          <w:spacing w:val="1"/>
          <w:sz w:val="20"/>
          <w:szCs w:val="20"/>
        </w:rPr>
        <w:t xml:space="preserve"> </w:t>
      </w:r>
      <w:r w:rsidRPr="000977F7">
        <w:rPr>
          <w:rFonts w:asciiTheme="majorHAnsi" w:hAnsiTheme="majorHAnsi"/>
          <w:sz w:val="20"/>
          <w:szCs w:val="20"/>
        </w:rPr>
        <w:t>процеси</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відрізняється</w:t>
      </w:r>
      <w:r w:rsidRPr="000977F7">
        <w:rPr>
          <w:rFonts w:asciiTheme="majorHAnsi" w:hAnsiTheme="majorHAnsi"/>
          <w:spacing w:val="-2"/>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них</w:t>
      </w:r>
    </w:p>
    <w:p w14:paraId="7640D86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w:t>
      </w:r>
      <w:r w:rsidRPr="000977F7">
        <w:rPr>
          <w:rFonts w:asciiTheme="majorHAnsi" w:hAnsiTheme="majorHAnsi"/>
          <w:i/>
          <w:spacing w:val="1"/>
          <w:sz w:val="20"/>
          <w:szCs w:val="20"/>
        </w:rPr>
        <w:t xml:space="preserve"> </w:t>
      </w:r>
      <w:r w:rsidRPr="000977F7">
        <w:rPr>
          <w:rFonts w:asciiTheme="majorHAnsi" w:hAnsiTheme="majorHAnsi"/>
          <w:i/>
          <w:sz w:val="20"/>
          <w:szCs w:val="20"/>
        </w:rPr>
        <w:t>2000</w:t>
      </w:r>
    </w:p>
    <w:p w14:paraId="30BA813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ВМОНТОВАНИЙ ЗАСІБ ТЕХНІЧНОГО ДІАГНОСТУВАННЯ –</w:t>
      </w:r>
    </w:p>
    <w:p w14:paraId="7DFB213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ON</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 xml:space="preserve">– </w:t>
      </w:r>
      <w:r w:rsidRPr="000977F7">
        <w:rPr>
          <w:rFonts w:asciiTheme="majorHAnsi" w:hAnsiTheme="majorHAnsi"/>
          <w:sz w:val="20"/>
          <w:szCs w:val="20"/>
        </w:rPr>
        <w:t>VECHICLE</w:t>
      </w:r>
      <w:r w:rsidRPr="004D2D14">
        <w:rPr>
          <w:rFonts w:asciiTheme="majorHAnsi" w:hAnsiTheme="majorHAnsi"/>
          <w:spacing w:val="-2"/>
          <w:sz w:val="20"/>
          <w:szCs w:val="20"/>
          <w:lang w:val="uk-UA"/>
        </w:rPr>
        <w:t xml:space="preserve"> </w:t>
      </w:r>
      <w:r w:rsidRPr="000977F7">
        <w:rPr>
          <w:rFonts w:asciiTheme="majorHAnsi" w:hAnsiTheme="majorHAnsi"/>
          <w:sz w:val="20"/>
          <w:szCs w:val="20"/>
        </w:rPr>
        <w:t>DIAGNOSTIC</w:t>
      </w:r>
      <w:r w:rsidRPr="004D2D14">
        <w:rPr>
          <w:rFonts w:asciiTheme="majorHAnsi" w:hAnsiTheme="majorHAnsi"/>
          <w:spacing w:val="-2"/>
          <w:sz w:val="20"/>
          <w:szCs w:val="20"/>
          <w:lang w:val="uk-UA"/>
        </w:rPr>
        <w:t xml:space="preserve"> </w:t>
      </w:r>
      <w:r w:rsidRPr="000977F7">
        <w:rPr>
          <w:rFonts w:asciiTheme="majorHAnsi" w:hAnsiTheme="majorHAnsi"/>
          <w:sz w:val="20"/>
          <w:szCs w:val="20"/>
        </w:rPr>
        <w:t>EQUIPMENT</w:t>
      </w:r>
      <w:r w:rsidRPr="004D2D14">
        <w:rPr>
          <w:rFonts w:asciiTheme="majorHAnsi" w:hAnsiTheme="majorHAnsi"/>
          <w:sz w:val="20"/>
          <w:szCs w:val="20"/>
          <w:lang w:val="uk-UA"/>
        </w:rPr>
        <w:t>–</w:t>
      </w:r>
    </w:p>
    <w:p w14:paraId="26365B2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Засіб</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діагностування,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складовою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частиною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об’єкта</w:t>
      </w:r>
    </w:p>
    <w:p w14:paraId="0E54B4AD"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2389 - 94</w:t>
      </w:r>
    </w:p>
    <w:p w14:paraId="62A416D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ВНУТРІШНЄ</w:t>
      </w:r>
      <w:r w:rsidRPr="000977F7">
        <w:rPr>
          <w:color w:val="auto"/>
          <w:spacing w:val="-3"/>
          <w:sz w:val="20"/>
          <w:szCs w:val="20"/>
        </w:rPr>
        <w:t xml:space="preserve"> </w:t>
      </w:r>
      <w:r w:rsidRPr="000977F7">
        <w:rPr>
          <w:color w:val="auto"/>
          <w:sz w:val="20"/>
          <w:szCs w:val="20"/>
        </w:rPr>
        <w:t>ДІЯННЯ</w:t>
      </w:r>
      <w:r w:rsidRPr="000977F7">
        <w:rPr>
          <w:color w:val="auto"/>
          <w:spacing w:val="-2"/>
          <w:sz w:val="20"/>
          <w:szCs w:val="20"/>
        </w:rPr>
        <w:t xml:space="preserve"> </w:t>
      </w:r>
      <w:r w:rsidRPr="000977F7">
        <w:rPr>
          <w:color w:val="auto"/>
          <w:sz w:val="20"/>
          <w:szCs w:val="20"/>
        </w:rPr>
        <w:t>-</w:t>
      </w:r>
    </w:p>
    <w:p w14:paraId="4C0CB5E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INTERNAL</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ACTION -</w:t>
      </w:r>
    </w:p>
    <w:p w14:paraId="1EAA640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Діяння одного компонента системи на інший або інші</w:t>
      </w:r>
      <w:r w:rsidRPr="000977F7">
        <w:rPr>
          <w:rFonts w:asciiTheme="majorHAnsi" w:hAnsiTheme="majorHAnsi"/>
          <w:spacing w:val="1"/>
          <w:sz w:val="20"/>
          <w:szCs w:val="20"/>
        </w:rPr>
        <w:t xml:space="preserve"> </w:t>
      </w:r>
      <w:r w:rsidRPr="000977F7">
        <w:rPr>
          <w:rFonts w:asciiTheme="majorHAnsi" w:hAnsiTheme="majorHAnsi"/>
          <w:sz w:val="20"/>
          <w:szCs w:val="20"/>
        </w:rPr>
        <w:t>компоненти, яке змінює стан системи та (або) процеси,</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ній відбуваються</w:t>
      </w:r>
    </w:p>
    <w:p w14:paraId="09CC8B4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w:t>
      </w:r>
      <w:r w:rsidRPr="000977F7">
        <w:rPr>
          <w:rFonts w:asciiTheme="majorHAnsi" w:hAnsiTheme="majorHAnsi"/>
          <w:i/>
          <w:spacing w:val="1"/>
          <w:sz w:val="20"/>
          <w:szCs w:val="20"/>
        </w:rPr>
        <w:t xml:space="preserve"> </w:t>
      </w:r>
      <w:r w:rsidRPr="000977F7">
        <w:rPr>
          <w:rFonts w:asciiTheme="majorHAnsi" w:hAnsiTheme="majorHAnsi"/>
          <w:i/>
          <w:sz w:val="20"/>
          <w:szCs w:val="20"/>
        </w:rPr>
        <w:t>2000</w:t>
      </w:r>
    </w:p>
    <w:p w14:paraId="0709079B"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lastRenderedPageBreak/>
        <w:t>ВНУТРІШНИЙ</w:t>
      </w:r>
      <w:r w:rsidRPr="000977F7">
        <w:rPr>
          <w:color w:val="auto"/>
          <w:spacing w:val="-4"/>
          <w:sz w:val="20"/>
          <w:szCs w:val="20"/>
        </w:rPr>
        <w:t xml:space="preserve"> </w:t>
      </w:r>
      <w:r w:rsidRPr="000977F7">
        <w:rPr>
          <w:color w:val="auto"/>
          <w:sz w:val="20"/>
          <w:szCs w:val="20"/>
        </w:rPr>
        <w:t>АУДИТ</w:t>
      </w:r>
      <w:r w:rsidRPr="000977F7">
        <w:rPr>
          <w:color w:val="auto"/>
          <w:spacing w:val="-3"/>
          <w:sz w:val="20"/>
          <w:szCs w:val="20"/>
        </w:rPr>
        <w:t xml:space="preserve"> </w:t>
      </w:r>
      <w:r w:rsidRPr="000977F7">
        <w:rPr>
          <w:b w:val="0"/>
          <w:color w:val="auto"/>
          <w:sz w:val="20"/>
          <w:szCs w:val="20"/>
        </w:rPr>
        <w:t>–</w:t>
      </w:r>
    </w:p>
    <w:p w14:paraId="007577B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повинна</w:t>
      </w:r>
      <w:r w:rsidRPr="000977F7">
        <w:rPr>
          <w:rFonts w:asciiTheme="majorHAnsi" w:hAnsiTheme="majorHAnsi"/>
          <w:spacing w:val="1"/>
          <w:sz w:val="20"/>
          <w:szCs w:val="20"/>
        </w:rPr>
        <w:t xml:space="preserve"> </w:t>
      </w:r>
      <w:r w:rsidRPr="000977F7">
        <w:rPr>
          <w:rFonts w:asciiTheme="majorHAnsi" w:hAnsiTheme="majorHAnsi"/>
          <w:sz w:val="20"/>
          <w:szCs w:val="20"/>
        </w:rPr>
        <w:t>провадити</w:t>
      </w:r>
      <w:r w:rsidRPr="000977F7">
        <w:rPr>
          <w:rFonts w:asciiTheme="majorHAnsi" w:hAnsiTheme="majorHAnsi"/>
          <w:spacing w:val="1"/>
          <w:sz w:val="20"/>
          <w:szCs w:val="20"/>
        </w:rPr>
        <w:t xml:space="preserve"> </w:t>
      </w:r>
      <w:r w:rsidRPr="000977F7">
        <w:rPr>
          <w:rFonts w:asciiTheme="majorHAnsi" w:hAnsiTheme="majorHAnsi"/>
          <w:sz w:val="20"/>
          <w:szCs w:val="20"/>
        </w:rPr>
        <w:t>внутрішні</w:t>
      </w:r>
      <w:r w:rsidRPr="000977F7">
        <w:rPr>
          <w:rFonts w:asciiTheme="majorHAnsi" w:hAnsiTheme="majorHAnsi"/>
          <w:spacing w:val="1"/>
          <w:sz w:val="20"/>
          <w:szCs w:val="20"/>
        </w:rPr>
        <w:t xml:space="preserve"> </w:t>
      </w:r>
      <w:r w:rsidRPr="000977F7">
        <w:rPr>
          <w:rFonts w:asciiTheme="majorHAnsi" w:hAnsiTheme="majorHAnsi"/>
          <w:sz w:val="20"/>
          <w:szCs w:val="20"/>
        </w:rPr>
        <w:t>аудити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47"/>
          <w:sz w:val="20"/>
          <w:szCs w:val="20"/>
        </w:rPr>
        <w:t xml:space="preserve"> </w:t>
      </w:r>
      <w:r w:rsidRPr="000977F7">
        <w:rPr>
          <w:rFonts w:asciiTheme="majorHAnsi" w:hAnsiTheme="majorHAnsi"/>
          <w:sz w:val="20"/>
          <w:szCs w:val="20"/>
        </w:rPr>
        <w:t>заплановані проміжки часу для отримання інформації</w:t>
      </w:r>
      <w:r w:rsidRPr="000977F7">
        <w:rPr>
          <w:rFonts w:asciiTheme="majorHAnsi" w:hAnsiTheme="majorHAnsi"/>
          <w:spacing w:val="1"/>
          <w:sz w:val="20"/>
          <w:szCs w:val="20"/>
        </w:rPr>
        <w:t xml:space="preserve"> </w:t>
      </w:r>
      <w:r w:rsidRPr="000977F7">
        <w:rPr>
          <w:rFonts w:asciiTheme="majorHAnsi" w:hAnsiTheme="majorHAnsi"/>
          <w:sz w:val="20"/>
          <w:szCs w:val="20"/>
        </w:rPr>
        <w:t>про те,</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система</w:t>
      </w:r>
      <w:r w:rsidRPr="000977F7">
        <w:rPr>
          <w:rFonts w:asciiTheme="majorHAnsi" w:hAnsiTheme="majorHAnsi"/>
          <w:spacing w:val="3"/>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2"/>
          <w:sz w:val="20"/>
          <w:szCs w:val="20"/>
        </w:rPr>
        <w:t xml:space="preserve"> </w:t>
      </w:r>
      <w:r w:rsidRPr="000977F7">
        <w:rPr>
          <w:rFonts w:asciiTheme="majorHAnsi" w:hAnsiTheme="majorHAnsi"/>
          <w:sz w:val="20"/>
          <w:szCs w:val="20"/>
        </w:rPr>
        <w:t>якістю</w:t>
      </w:r>
    </w:p>
    <w:p w14:paraId="357F4A81" w14:textId="77777777" w:rsidR="0097612F" w:rsidRPr="000977F7" w:rsidRDefault="0097612F" w:rsidP="00FD39A4">
      <w:pPr>
        <w:pStyle w:val="ac"/>
        <w:widowControl w:val="0"/>
        <w:numPr>
          <w:ilvl w:val="0"/>
          <w:numId w:val="192"/>
        </w:numPr>
        <w:tabs>
          <w:tab w:val="left" w:pos="284"/>
          <w:tab w:val="left" w:pos="52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відповідає:</w:t>
      </w:r>
    </w:p>
    <w:p w14:paraId="6F59FD38" w14:textId="77777777" w:rsidR="0097612F" w:rsidRPr="000977F7" w:rsidRDefault="0097612F" w:rsidP="00FD39A4">
      <w:pPr>
        <w:pStyle w:val="ac"/>
        <w:widowControl w:val="0"/>
        <w:numPr>
          <w:ilvl w:val="1"/>
          <w:numId w:val="192"/>
        </w:numPr>
        <w:tabs>
          <w:tab w:val="left" w:pos="284"/>
          <w:tab w:val="left" w:pos="74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власним вимогам організації до системи управління</w:t>
      </w:r>
      <w:r w:rsidRPr="000977F7">
        <w:rPr>
          <w:rFonts w:asciiTheme="majorHAnsi" w:hAnsiTheme="majorHAnsi"/>
          <w:spacing w:val="-2"/>
          <w:sz w:val="20"/>
          <w:szCs w:val="20"/>
        </w:rPr>
        <w:t xml:space="preserve"> </w:t>
      </w:r>
      <w:r w:rsidRPr="000977F7">
        <w:rPr>
          <w:rFonts w:asciiTheme="majorHAnsi" w:hAnsiTheme="majorHAnsi"/>
          <w:sz w:val="20"/>
          <w:szCs w:val="20"/>
        </w:rPr>
        <w:t>якістю:</w:t>
      </w:r>
    </w:p>
    <w:p w14:paraId="6A544826" w14:textId="77777777" w:rsidR="0097612F" w:rsidRPr="000977F7" w:rsidRDefault="0097612F" w:rsidP="00FD39A4">
      <w:pPr>
        <w:pStyle w:val="ac"/>
        <w:widowControl w:val="0"/>
        <w:numPr>
          <w:ilvl w:val="1"/>
          <w:numId w:val="192"/>
        </w:numPr>
        <w:tabs>
          <w:tab w:val="left" w:pos="284"/>
          <w:tab w:val="left" w:pos="70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вимогам</w:t>
      </w:r>
      <w:r w:rsidRPr="000977F7">
        <w:rPr>
          <w:rFonts w:asciiTheme="majorHAnsi" w:hAnsiTheme="majorHAnsi"/>
          <w:spacing w:val="-4"/>
          <w:sz w:val="20"/>
          <w:szCs w:val="20"/>
        </w:rPr>
        <w:t xml:space="preserve"> </w:t>
      </w:r>
      <w:r w:rsidRPr="000977F7">
        <w:rPr>
          <w:rFonts w:asciiTheme="majorHAnsi" w:hAnsiTheme="majorHAnsi"/>
          <w:sz w:val="20"/>
          <w:szCs w:val="20"/>
        </w:rPr>
        <w:t>цього</w:t>
      </w:r>
      <w:r w:rsidRPr="000977F7">
        <w:rPr>
          <w:rFonts w:asciiTheme="majorHAnsi" w:hAnsiTheme="majorHAnsi"/>
          <w:spacing w:val="-4"/>
          <w:sz w:val="20"/>
          <w:szCs w:val="20"/>
        </w:rPr>
        <w:t xml:space="preserve"> </w:t>
      </w:r>
      <w:r w:rsidRPr="000977F7">
        <w:rPr>
          <w:rFonts w:asciiTheme="majorHAnsi" w:hAnsiTheme="majorHAnsi"/>
          <w:sz w:val="20"/>
          <w:szCs w:val="20"/>
        </w:rPr>
        <w:t>стандарту;</w:t>
      </w:r>
    </w:p>
    <w:p w14:paraId="3E60CEEB" w14:textId="77777777" w:rsidR="0097612F" w:rsidRPr="000977F7" w:rsidRDefault="0097612F" w:rsidP="00FD39A4">
      <w:pPr>
        <w:pStyle w:val="ac"/>
        <w:widowControl w:val="0"/>
        <w:numPr>
          <w:ilvl w:val="0"/>
          <w:numId w:val="192"/>
        </w:numPr>
        <w:tabs>
          <w:tab w:val="left" w:pos="284"/>
          <w:tab w:val="left" w:pos="53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результативно</w:t>
      </w:r>
      <w:r w:rsidRPr="000977F7">
        <w:rPr>
          <w:rFonts w:asciiTheme="majorHAnsi" w:hAnsiTheme="majorHAnsi"/>
          <w:spacing w:val="-5"/>
          <w:sz w:val="20"/>
          <w:szCs w:val="20"/>
        </w:rPr>
        <w:t xml:space="preserve"> </w:t>
      </w:r>
      <w:r w:rsidRPr="000977F7">
        <w:rPr>
          <w:rFonts w:asciiTheme="majorHAnsi" w:hAnsiTheme="majorHAnsi"/>
          <w:sz w:val="20"/>
          <w:szCs w:val="20"/>
        </w:rPr>
        <w:t>запроваджена</w:t>
      </w:r>
      <w:r w:rsidRPr="000977F7">
        <w:rPr>
          <w:rFonts w:asciiTheme="majorHAnsi" w:hAnsiTheme="majorHAnsi"/>
          <w:spacing w:val="-5"/>
          <w:sz w:val="20"/>
          <w:szCs w:val="20"/>
        </w:rPr>
        <w:t xml:space="preserve"> </w:t>
      </w:r>
      <w:r w:rsidRPr="000977F7">
        <w:rPr>
          <w:rFonts w:asciiTheme="majorHAnsi" w:hAnsiTheme="majorHAnsi"/>
          <w:sz w:val="20"/>
          <w:szCs w:val="20"/>
        </w:rPr>
        <w:t>і</w:t>
      </w:r>
      <w:r w:rsidRPr="000977F7">
        <w:rPr>
          <w:rFonts w:asciiTheme="majorHAnsi" w:hAnsiTheme="majorHAnsi"/>
          <w:spacing w:val="-6"/>
          <w:sz w:val="20"/>
          <w:szCs w:val="20"/>
        </w:rPr>
        <w:t xml:space="preserve"> </w:t>
      </w:r>
      <w:r w:rsidRPr="000977F7">
        <w:rPr>
          <w:rFonts w:asciiTheme="majorHAnsi" w:hAnsiTheme="majorHAnsi"/>
          <w:sz w:val="20"/>
          <w:szCs w:val="20"/>
        </w:rPr>
        <w:t>її</w:t>
      </w:r>
      <w:r w:rsidRPr="000977F7">
        <w:rPr>
          <w:rFonts w:asciiTheme="majorHAnsi" w:hAnsiTheme="majorHAnsi"/>
          <w:spacing w:val="-3"/>
          <w:sz w:val="20"/>
          <w:szCs w:val="20"/>
        </w:rPr>
        <w:t xml:space="preserve"> </w:t>
      </w:r>
      <w:r w:rsidRPr="000977F7">
        <w:rPr>
          <w:rFonts w:asciiTheme="majorHAnsi" w:hAnsiTheme="majorHAnsi"/>
          <w:sz w:val="20"/>
          <w:szCs w:val="20"/>
        </w:rPr>
        <w:t>підтримують.</w:t>
      </w:r>
    </w:p>
    <w:p w14:paraId="22EEE3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5"/>
          <w:sz w:val="20"/>
          <w:szCs w:val="20"/>
        </w:rPr>
        <w:t xml:space="preserve"> </w:t>
      </w:r>
      <w:r w:rsidRPr="000977F7">
        <w:rPr>
          <w:rFonts w:asciiTheme="majorHAnsi" w:hAnsiTheme="majorHAnsi"/>
          <w:sz w:val="20"/>
          <w:szCs w:val="20"/>
        </w:rPr>
        <w:t>повинна</w:t>
      </w:r>
    </w:p>
    <w:p w14:paraId="419BFAA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планувати, розробляти, виконувати та актуалізувати</w:t>
      </w:r>
      <w:r w:rsidRPr="000977F7">
        <w:rPr>
          <w:rFonts w:asciiTheme="majorHAnsi" w:hAnsiTheme="majorHAnsi"/>
          <w:spacing w:val="1"/>
          <w:sz w:val="20"/>
          <w:szCs w:val="20"/>
        </w:rPr>
        <w:t xml:space="preserve"> </w:t>
      </w:r>
      <w:r w:rsidRPr="000977F7">
        <w:rPr>
          <w:rFonts w:asciiTheme="majorHAnsi" w:hAnsiTheme="majorHAnsi"/>
          <w:sz w:val="20"/>
          <w:szCs w:val="20"/>
        </w:rPr>
        <w:t>програму(-и)</w:t>
      </w:r>
      <w:r w:rsidRPr="000977F7">
        <w:rPr>
          <w:rFonts w:asciiTheme="majorHAnsi" w:hAnsiTheme="majorHAnsi"/>
          <w:spacing w:val="1"/>
          <w:sz w:val="20"/>
          <w:szCs w:val="20"/>
        </w:rPr>
        <w:t xml:space="preserve"> </w:t>
      </w:r>
      <w:r w:rsidRPr="000977F7">
        <w:rPr>
          <w:rFonts w:asciiTheme="majorHAnsi" w:hAnsiTheme="majorHAnsi"/>
          <w:sz w:val="20"/>
          <w:szCs w:val="20"/>
        </w:rPr>
        <w:t>аудиту,</w:t>
      </w:r>
      <w:r w:rsidRPr="000977F7">
        <w:rPr>
          <w:rFonts w:asciiTheme="majorHAnsi" w:hAnsiTheme="majorHAnsi"/>
          <w:spacing w:val="1"/>
          <w:sz w:val="20"/>
          <w:szCs w:val="20"/>
        </w:rPr>
        <w:t xml:space="preserve"> </w:t>
      </w:r>
      <w:r w:rsidRPr="000977F7">
        <w:rPr>
          <w:rFonts w:asciiTheme="majorHAnsi" w:hAnsiTheme="majorHAnsi"/>
          <w:sz w:val="20"/>
          <w:szCs w:val="20"/>
        </w:rPr>
        <w:t>охоплюючи</w:t>
      </w:r>
      <w:r w:rsidRPr="000977F7">
        <w:rPr>
          <w:rFonts w:asciiTheme="majorHAnsi" w:hAnsiTheme="majorHAnsi"/>
          <w:spacing w:val="1"/>
          <w:sz w:val="20"/>
          <w:szCs w:val="20"/>
        </w:rPr>
        <w:t xml:space="preserve"> </w:t>
      </w:r>
      <w:r w:rsidRPr="000977F7">
        <w:rPr>
          <w:rFonts w:asciiTheme="majorHAnsi" w:hAnsiTheme="majorHAnsi"/>
          <w:sz w:val="20"/>
          <w:szCs w:val="20"/>
        </w:rPr>
        <w:t>періодичність,</w:t>
      </w:r>
      <w:r w:rsidRPr="000977F7">
        <w:rPr>
          <w:rFonts w:asciiTheme="majorHAnsi" w:hAnsiTheme="majorHAnsi"/>
          <w:spacing w:val="1"/>
          <w:sz w:val="20"/>
          <w:szCs w:val="20"/>
        </w:rPr>
        <w:t xml:space="preserve"> </w:t>
      </w:r>
      <w:r w:rsidRPr="000977F7">
        <w:rPr>
          <w:rFonts w:asciiTheme="majorHAnsi" w:hAnsiTheme="majorHAnsi"/>
          <w:sz w:val="20"/>
          <w:szCs w:val="20"/>
        </w:rPr>
        <w:t>методи, відповідальність, вимоги щодо планування і</w:t>
      </w:r>
      <w:r w:rsidRPr="000977F7">
        <w:rPr>
          <w:rFonts w:asciiTheme="majorHAnsi" w:hAnsiTheme="majorHAnsi"/>
          <w:spacing w:val="1"/>
          <w:sz w:val="20"/>
          <w:szCs w:val="20"/>
        </w:rPr>
        <w:t xml:space="preserve"> </w:t>
      </w:r>
      <w:r w:rsidRPr="000977F7">
        <w:rPr>
          <w:rFonts w:asciiTheme="majorHAnsi" w:hAnsiTheme="majorHAnsi"/>
          <w:sz w:val="20"/>
          <w:szCs w:val="20"/>
        </w:rPr>
        <w:t>звітність. Потрібно, щоб у програмі(-ах) аудиту було</w:t>
      </w:r>
      <w:r w:rsidRPr="000977F7">
        <w:rPr>
          <w:rFonts w:asciiTheme="majorHAnsi" w:hAnsiTheme="majorHAnsi"/>
          <w:spacing w:val="1"/>
          <w:sz w:val="20"/>
          <w:szCs w:val="20"/>
        </w:rPr>
        <w:t xml:space="preserve"> </w:t>
      </w:r>
      <w:r w:rsidRPr="000977F7">
        <w:rPr>
          <w:rFonts w:asciiTheme="majorHAnsi" w:hAnsiTheme="majorHAnsi"/>
          <w:sz w:val="20"/>
          <w:szCs w:val="20"/>
        </w:rPr>
        <w:t>враховано</w:t>
      </w:r>
      <w:r w:rsidRPr="000977F7">
        <w:rPr>
          <w:rFonts w:asciiTheme="majorHAnsi" w:hAnsiTheme="majorHAnsi"/>
          <w:spacing w:val="1"/>
          <w:sz w:val="20"/>
          <w:szCs w:val="20"/>
        </w:rPr>
        <w:t xml:space="preserve"> </w:t>
      </w:r>
      <w:r w:rsidRPr="000977F7">
        <w:rPr>
          <w:rFonts w:asciiTheme="majorHAnsi" w:hAnsiTheme="majorHAnsi"/>
          <w:sz w:val="20"/>
          <w:szCs w:val="20"/>
        </w:rPr>
        <w:t>важливість</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r w:rsidRPr="000977F7">
        <w:rPr>
          <w:rFonts w:asciiTheme="majorHAnsi" w:hAnsiTheme="majorHAnsi"/>
          <w:spacing w:val="1"/>
          <w:sz w:val="20"/>
          <w:szCs w:val="20"/>
        </w:rPr>
        <w:t xml:space="preserve"> </w:t>
      </w:r>
      <w:r w:rsidRPr="000977F7">
        <w:rPr>
          <w:rFonts w:asciiTheme="majorHAnsi" w:hAnsiTheme="majorHAnsi"/>
          <w:sz w:val="20"/>
          <w:szCs w:val="20"/>
        </w:rPr>
        <w:t>яких</w:t>
      </w:r>
      <w:r w:rsidRPr="000977F7">
        <w:rPr>
          <w:rFonts w:asciiTheme="majorHAnsi" w:hAnsiTheme="majorHAnsi"/>
          <w:spacing w:val="1"/>
          <w:sz w:val="20"/>
          <w:szCs w:val="20"/>
        </w:rPr>
        <w:t xml:space="preserve"> </w:t>
      </w:r>
      <w:r w:rsidRPr="000977F7">
        <w:rPr>
          <w:rFonts w:asciiTheme="majorHAnsi" w:hAnsiTheme="majorHAnsi"/>
          <w:sz w:val="20"/>
          <w:szCs w:val="20"/>
        </w:rPr>
        <w:t>це</w:t>
      </w:r>
      <w:r w:rsidRPr="000977F7">
        <w:rPr>
          <w:rFonts w:asciiTheme="majorHAnsi" w:hAnsiTheme="majorHAnsi"/>
          <w:spacing w:val="1"/>
          <w:sz w:val="20"/>
          <w:szCs w:val="20"/>
        </w:rPr>
        <w:t xml:space="preserve"> </w:t>
      </w:r>
      <w:r w:rsidRPr="000977F7">
        <w:rPr>
          <w:rFonts w:asciiTheme="majorHAnsi" w:hAnsiTheme="majorHAnsi"/>
          <w:sz w:val="20"/>
          <w:szCs w:val="20"/>
        </w:rPr>
        <w:t>стосується,</w:t>
      </w:r>
      <w:r w:rsidRPr="000977F7">
        <w:rPr>
          <w:rFonts w:asciiTheme="majorHAnsi" w:hAnsiTheme="majorHAnsi"/>
          <w:spacing w:val="-47"/>
          <w:sz w:val="20"/>
          <w:szCs w:val="20"/>
        </w:rPr>
        <w:t xml:space="preserve"> </w:t>
      </w:r>
      <w:r w:rsidRPr="000977F7">
        <w:rPr>
          <w:rFonts w:asciiTheme="majorHAnsi" w:hAnsiTheme="majorHAnsi"/>
          <w:sz w:val="20"/>
          <w:szCs w:val="20"/>
        </w:rPr>
        <w:t>змін, що впливають на організацію, і результати попередніх</w:t>
      </w:r>
      <w:r w:rsidRPr="000977F7">
        <w:rPr>
          <w:rFonts w:asciiTheme="majorHAnsi" w:hAnsiTheme="majorHAnsi"/>
          <w:spacing w:val="-2"/>
          <w:sz w:val="20"/>
          <w:szCs w:val="20"/>
        </w:rPr>
        <w:t xml:space="preserve"> </w:t>
      </w:r>
      <w:r w:rsidRPr="000977F7">
        <w:rPr>
          <w:rFonts w:asciiTheme="majorHAnsi" w:hAnsiTheme="majorHAnsi"/>
          <w:sz w:val="20"/>
          <w:szCs w:val="20"/>
        </w:rPr>
        <w:t>аудитів;</w:t>
      </w:r>
    </w:p>
    <w:p w14:paraId="17EAAF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 визначати критерії аудиту та сферу застосування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кожного аудиту;</w:t>
      </w:r>
    </w:p>
    <w:p w14:paraId="216095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 добирати аудиторів і провадити аудити так, щоб</w:t>
      </w:r>
      <w:r w:rsidRPr="000977F7">
        <w:rPr>
          <w:rFonts w:asciiTheme="majorHAnsi" w:hAnsiTheme="majorHAnsi"/>
          <w:spacing w:val="1"/>
          <w:sz w:val="20"/>
          <w:szCs w:val="20"/>
        </w:rPr>
        <w:t xml:space="preserve"> </w:t>
      </w:r>
      <w:r w:rsidRPr="000977F7">
        <w:rPr>
          <w:rFonts w:asciiTheme="majorHAnsi" w:hAnsiTheme="majorHAnsi"/>
          <w:sz w:val="20"/>
          <w:szCs w:val="20"/>
        </w:rPr>
        <w:t>було</w:t>
      </w:r>
      <w:r w:rsidRPr="000977F7">
        <w:rPr>
          <w:rFonts w:asciiTheme="majorHAnsi" w:hAnsiTheme="majorHAnsi"/>
          <w:spacing w:val="1"/>
          <w:sz w:val="20"/>
          <w:szCs w:val="20"/>
        </w:rPr>
        <w:t xml:space="preserve"> </w:t>
      </w:r>
      <w:r w:rsidRPr="000977F7">
        <w:rPr>
          <w:rFonts w:asciiTheme="majorHAnsi" w:hAnsiTheme="majorHAnsi"/>
          <w:sz w:val="20"/>
          <w:szCs w:val="20"/>
        </w:rPr>
        <w:t>забезпечено</w:t>
      </w:r>
      <w:r w:rsidRPr="000977F7">
        <w:rPr>
          <w:rFonts w:asciiTheme="majorHAnsi" w:hAnsiTheme="majorHAnsi"/>
          <w:spacing w:val="1"/>
          <w:sz w:val="20"/>
          <w:szCs w:val="20"/>
        </w:rPr>
        <w:t xml:space="preserve"> </w:t>
      </w:r>
      <w:r w:rsidRPr="000977F7">
        <w:rPr>
          <w:rFonts w:asciiTheme="majorHAnsi" w:hAnsiTheme="majorHAnsi"/>
          <w:sz w:val="20"/>
          <w:szCs w:val="20"/>
        </w:rPr>
        <w:t>об’єктивність</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неупередженість</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5"/>
          <w:sz w:val="20"/>
          <w:szCs w:val="20"/>
        </w:rPr>
        <w:t xml:space="preserve"> </w:t>
      </w:r>
      <w:r w:rsidRPr="000977F7">
        <w:rPr>
          <w:rFonts w:asciiTheme="majorHAnsi" w:hAnsiTheme="majorHAnsi"/>
          <w:sz w:val="20"/>
          <w:szCs w:val="20"/>
        </w:rPr>
        <w:t>аудиту;</w:t>
      </w:r>
    </w:p>
    <w:p w14:paraId="115C92B5" w14:textId="77777777" w:rsidR="0097612F" w:rsidRPr="000977F7" w:rsidRDefault="0097612F" w:rsidP="00FD39A4">
      <w:pPr>
        <w:pStyle w:val="ac"/>
        <w:widowControl w:val="0"/>
        <w:numPr>
          <w:ilvl w:val="0"/>
          <w:numId w:val="191"/>
        </w:numPr>
        <w:tabs>
          <w:tab w:val="left" w:pos="284"/>
          <w:tab w:val="left" w:pos="58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забезпечувати</w:t>
      </w:r>
      <w:r w:rsidRPr="000977F7">
        <w:rPr>
          <w:rFonts w:asciiTheme="majorHAnsi" w:hAnsiTheme="majorHAnsi"/>
          <w:spacing w:val="1"/>
          <w:sz w:val="20"/>
          <w:szCs w:val="20"/>
        </w:rPr>
        <w:t xml:space="preserve"> </w:t>
      </w:r>
      <w:r w:rsidRPr="000977F7">
        <w:rPr>
          <w:rFonts w:asciiTheme="majorHAnsi" w:hAnsiTheme="majorHAnsi"/>
          <w:sz w:val="20"/>
          <w:szCs w:val="20"/>
        </w:rPr>
        <w:t>звітування</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результати</w:t>
      </w:r>
      <w:r w:rsidRPr="000977F7">
        <w:rPr>
          <w:rFonts w:asciiTheme="majorHAnsi" w:hAnsiTheme="majorHAnsi"/>
          <w:spacing w:val="1"/>
          <w:sz w:val="20"/>
          <w:szCs w:val="20"/>
        </w:rPr>
        <w:t xml:space="preserve"> </w:t>
      </w:r>
      <w:r w:rsidRPr="000977F7">
        <w:rPr>
          <w:rFonts w:asciiTheme="majorHAnsi" w:hAnsiTheme="majorHAnsi"/>
          <w:sz w:val="20"/>
          <w:szCs w:val="20"/>
        </w:rPr>
        <w:t>аудитів</w:t>
      </w:r>
      <w:r w:rsidRPr="000977F7">
        <w:rPr>
          <w:rFonts w:asciiTheme="majorHAnsi" w:hAnsiTheme="majorHAnsi"/>
          <w:spacing w:val="-47"/>
          <w:sz w:val="20"/>
          <w:szCs w:val="20"/>
        </w:rPr>
        <w:t xml:space="preserve"> </w:t>
      </w:r>
      <w:r w:rsidRPr="000977F7">
        <w:rPr>
          <w:rFonts w:asciiTheme="majorHAnsi" w:hAnsiTheme="majorHAnsi"/>
          <w:sz w:val="20"/>
          <w:szCs w:val="20"/>
        </w:rPr>
        <w:t>перед</w:t>
      </w:r>
      <w:r w:rsidRPr="000977F7">
        <w:rPr>
          <w:rFonts w:asciiTheme="majorHAnsi" w:hAnsiTheme="majorHAnsi"/>
          <w:spacing w:val="-2"/>
          <w:sz w:val="20"/>
          <w:szCs w:val="20"/>
        </w:rPr>
        <w:t xml:space="preserve"> </w:t>
      </w:r>
      <w:r w:rsidRPr="000977F7">
        <w:rPr>
          <w:rFonts w:asciiTheme="majorHAnsi" w:hAnsiTheme="majorHAnsi"/>
          <w:sz w:val="20"/>
          <w:szCs w:val="20"/>
        </w:rPr>
        <w:t>відповідним</w:t>
      </w:r>
      <w:r w:rsidRPr="000977F7">
        <w:rPr>
          <w:rFonts w:asciiTheme="majorHAnsi" w:hAnsiTheme="majorHAnsi"/>
          <w:spacing w:val="1"/>
          <w:sz w:val="20"/>
          <w:szCs w:val="20"/>
        </w:rPr>
        <w:t xml:space="preserve"> </w:t>
      </w:r>
      <w:r w:rsidRPr="000977F7">
        <w:rPr>
          <w:rFonts w:asciiTheme="majorHAnsi" w:hAnsiTheme="majorHAnsi"/>
          <w:sz w:val="20"/>
          <w:szCs w:val="20"/>
        </w:rPr>
        <w:t>керівництвом;</w:t>
      </w:r>
    </w:p>
    <w:p w14:paraId="2774DB95" w14:textId="77777777" w:rsidR="0097612F" w:rsidRPr="000977F7" w:rsidRDefault="0097612F" w:rsidP="00FD39A4">
      <w:pPr>
        <w:pStyle w:val="ac"/>
        <w:widowControl w:val="0"/>
        <w:numPr>
          <w:ilvl w:val="0"/>
          <w:numId w:val="191"/>
        </w:numPr>
        <w:tabs>
          <w:tab w:val="left" w:pos="284"/>
          <w:tab w:val="left" w:pos="52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виконувати</w:t>
      </w:r>
      <w:r w:rsidRPr="000977F7">
        <w:rPr>
          <w:rFonts w:asciiTheme="majorHAnsi" w:hAnsiTheme="majorHAnsi"/>
          <w:spacing w:val="1"/>
          <w:sz w:val="20"/>
          <w:szCs w:val="20"/>
        </w:rPr>
        <w:t xml:space="preserve"> </w:t>
      </w:r>
      <w:r w:rsidRPr="000977F7">
        <w:rPr>
          <w:rFonts w:asciiTheme="majorHAnsi" w:hAnsiTheme="majorHAnsi"/>
          <w:sz w:val="20"/>
          <w:szCs w:val="20"/>
        </w:rPr>
        <w:t>відповідні</w:t>
      </w:r>
      <w:r w:rsidRPr="000977F7">
        <w:rPr>
          <w:rFonts w:asciiTheme="majorHAnsi" w:hAnsiTheme="majorHAnsi"/>
          <w:spacing w:val="2"/>
          <w:sz w:val="20"/>
          <w:szCs w:val="20"/>
        </w:rPr>
        <w:t xml:space="preserve"> </w:t>
      </w:r>
      <w:r w:rsidRPr="000977F7">
        <w:rPr>
          <w:rFonts w:asciiTheme="majorHAnsi" w:hAnsiTheme="majorHAnsi"/>
          <w:sz w:val="20"/>
          <w:szCs w:val="20"/>
        </w:rPr>
        <w:t>коригування</w:t>
      </w:r>
      <w:r w:rsidRPr="000977F7">
        <w:rPr>
          <w:rFonts w:asciiTheme="majorHAnsi" w:hAnsiTheme="majorHAnsi"/>
          <w:spacing w:val="3"/>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коригувальні</w:t>
      </w:r>
      <w:r w:rsidRPr="000977F7">
        <w:rPr>
          <w:rFonts w:asciiTheme="majorHAnsi" w:hAnsiTheme="majorHAnsi"/>
          <w:spacing w:val="-47"/>
          <w:sz w:val="20"/>
          <w:szCs w:val="20"/>
        </w:rPr>
        <w:t xml:space="preserve"> </w:t>
      </w:r>
      <w:r w:rsidRPr="000977F7">
        <w:rPr>
          <w:rFonts w:asciiTheme="majorHAnsi" w:hAnsiTheme="majorHAnsi"/>
          <w:sz w:val="20"/>
          <w:szCs w:val="20"/>
        </w:rPr>
        <w:t>дії</w:t>
      </w:r>
      <w:r w:rsidRPr="000977F7">
        <w:rPr>
          <w:rFonts w:asciiTheme="majorHAnsi" w:hAnsiTheme="majorHAnsi"/>
          <w:spacing w:val="-2"/>
          <w:sz w:val="20"/>
          <w:szCs w:val="20"/>
        </w:rPr>
        <w:t xml:space="preserve"> </w:t>
      </w:r>
      <w:r w:rsidRPr="000977F7">
        <w:rPr>
          <w:rFonts w:asciiTheme="majorHAnsi" w:hAnsiTheme="majorHAnsi"/>
          <w:sz w:val="20"/>
          <w:szCs w:val="20"/>
        </w:rPr>
        <w:t>без необґрунтованої</w:t>
      </w:r>
      <w:r w:rsidRPr="000977F7">
        <w:rPr>
          <w:rFonts w:asciiTheme="majorHAnsi" w:hAnsiTheme="majorHAnsi"/>
          <w:spacing w:val="-2"/>
          <w:sz w:val="20"/>
          <w:szCs w:val="20"/>
        </w:rPr>
        <w:t xml:space="preserve"> </w:t>
      </w:r>
      <w:r w:rsidRPr="000977F7">
        <w:rPr>
          <w:rFonts w:asciiTheme="majorHAnsi" w:hAnsiTheme="majorHAnsi"/>
          <w:sz w:val="20"/>
          <w:szCs w:val="20"/>
        </w:rPr>
        <w:t>затримки;</w:t>
      </w:r>
    </w:p>
    <w:p w14:paraId="4918B4F3" w14:textId="77777777" w:rsidR="0097612F" w:rsidRPr="000977F7" w:rsidRDefault="0097612F" w:rsidP="00FD39A4">
      <w:pPr>
        <w:pStyle w:val="ac"/>
        <w:widowControl w:val="0"/>
        <w:numPr>
          <w:ilvl w:val="0"/>
          <w:numId w:val="191"/>
        </w:numPr>
        <w:tabs>
          <w:tab w:val="left" w:pos="284"/>
          <w:tab w:val="left" w:pos="56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зберігати</w:t>
      </w:r>
      <w:r w:rsidRPr="000977F7">
        <w:rPr>
          <w:rFonts w:asciiTheme="majorHAnsi" w:hAnsiTheme="majorHAnsi"/>
          <w:spacing w:val="18"/>
          <w:sz w:val="20"/>
          <w:szCs w:val="20"/>
        </w:rPr>
        <w:t xml:space="preserve"> </w:t>
      </w:r>
      <w:r w:rsidRPr="000977F7">
        <w:rPr>
          <w:rFonts w:asciiTheme="majorHAnsi" w:hAnsiTheme="majorHAnsi"/>
          <w:sz w:val="20"/>
          <w:szCs w:val="20"/>
        </w:rPr>
        <w:t>задокументовану</w:t>
      </w:r>
      <w:r w:rsidRPr="000977F7">
        <w:rPr>
          <w:rFonts w:asciiTheme="majorHAnsi" w:hAnsiTheme="majorHAnsi"/>
          <w:spacing w:val="18"/>
          <w:sz w:val="20"/>
          <w:szCs w:val="20"/>
        </w:rPr>
        <w:t xml:space="preserve"> </w:t>
      </w:r>
      <w:r w:rsidRPr="000977F7">
        <w:rPr>
          <w:rFonts w:asciiTheme="majorHAnsi" w:hAnsiTheme="majorHAnsi"/>
          <w:sz w:val="20"/>
          <w:szCs w:val="20"/>
        </w:rPr>
        <w:t>інформацію</w:t>
      </w:r>
      <w:r w:rsidRPr="000977F7">
        <w:rPr>
          <w:rFonts w:asciiTheme="majorHAnsi" w:hAnsiTheme="majorHAnsi"/>
          <w:spacing w:val="21"/>
          <w:sz w:val="20"/>
          <w:szCs w:val="20"/>
        </w:rPr>
        <w:t xml:space="preserve"> </w:t>
      </w:r>
      <w:r w:rsidRPr="000977F7">
        <w:rPr>
          <w:rFonts w:asciiTheme="majorHAnsi" w:hAnsiTheme="majorHAnsi"/>
          <w:sz w:val="20"/>
          <w:szCs w:val="20"/>
        </w:rPr>
        <w:t>як</w:t>
      </w:r>
      <w:r w:rsidRPr="000977F7">
        <w:rPr>
          <w:rFonts w:asciiTheme="majorHAnsi" w:hAnsiTheme="majorHAnsi"/>
          <w:spacing w:val="20"/>
          <w:sz w:val="20"/>
          <w:szCs w:val="20"/>
        </w:rPr>
        <w:t xml:space="preserve"> </w:t>
      </w:r>
      <w:r w:rsidRPr="000977F7">
        <w:rPr>
          <w:rFonts w:asciiTheme="majorHAnsi" w:hAnsiTheme="majorHAnsi"/>
          <w:sz w:val="20"/>
          <w:szCs w:val="20"/>
        </w:rPr>
        <w:t>доказ</w:t>
      </w:r>
      <w:r w:rsidRPr="000977F7">
        <w:rPr>
          <w:rFonts w:asciiTheme="majorHAnsi" w:hAnsiTheme="majorHAnsi"/>
          <w:spacing w:val="-47"/>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програми</w:t>
      </w:r>
      <w:r w:rsidRPr="000977F7">
        <w:rPr>
          <w:rFonts w:asciiTheme="majorHAnsi" w:hAnsiTheme="majorHAnsi"/>
          <w:spacing w:val="-3"/>
          <w:sz w:val="20"/>
          <w:szCs w:val="20"/>
        </w:rPr>
        <w:t xml:space="preserve"> </w:t>
      </w:r>
      <w:r w:rsidRPr="000977F7">
        <w:rPr>
          <w:rFonts w:asciiTheme="majorHAnsi" w:hAnsiTheme="majorHAnsi"/>
          <w:sz w:val="20"/>
          <w:szCs w:val="20"/>
        </w:rPr>
        <w:t>аудиту</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результатів</w:t>
      </w:r>
      <w:r w:rsidRPr="000977F7">
        <w:rPr>
          <w:rFonts w:asciiTheme="majorHAnsi" w:hAnsiTheme="majorHAnsi"/>
          <w:spacing w:val="-3"/>
          <w:sz w:val="20"/>
          <w:szCs w:val="20"/>
        </w:rPr>
        <w:t xml:space="preserve"> </w:t>
      </w:r>
      <w:r w:rsidRPr="000977F7">
        <w:rPr>
          <w:rFonts w:asciiTheme="majorHAnsi" w:hAnsiTheme="majorHAnsi"/>
          <w:sz w:val="20"/>
          <w:szCs w:val="20"/>
        </w:rPr>
        <w:t>аудиту.</w:t>
      </w:r>
    </w:p>
    <w:p w14:paraId="53E2B5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2"/>
          <w:sz w:val="20"/>
          <w:szCs w:val="20"/>
        </w:rPr>
        <w:t xml:space="preserve"> </w:t>
      </w:r>
      <w:r w:rsidRPr="000977F7">
        <w:rPr>
          <w:rFonts w:asciiTheme="majorHAnsi" w:hAnsiTheme="majorHAnsi"/>
          <w:sz w:val="20"/>
          <w:szCs w:val="20"/>
        </w:rPr>
        <w:t>р и</w:t>
      </w:r>
      <w:r w:rsidRPr="000977F7">
        <w:rPr>
          <w:rFonts w:asciiTheme="majorHAnsi" w:hAnsiTheme="majorHAnsi"/>
          <w:spacing w:val="-3"/>
          <w:sz w:val="20"/>
          <w:szCs w:val="20"/>
        </w:rPr>
        <w:t xml:space="preserve"> </w:t>
      </w:r>
      <w:r w:rsidRPr="000977F7">
        <w:rPr>
          <w:rFonts w:asciiTheme="majorHAnsi" w:hAnsiTheme="majorHAnsi"/>
          <w:sz w:val="20"/>
          <w:szCs w:val="20"/>
        </w:rPr>
        <w:t>м і</w:t>
      </w:r>
      <w:r w:rsidRPr="000977F7">
        <w:rPr>
          <w:rFonts w:asciiTheme="majorHAnsi" w:hAnsiTheme="majorHAnsi"/>
          <w:spacing w:val="-3"/>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r w:rsidRPr="000977F7">
        <w:rPr>
          <w:rFonts w:asciiTheme="majorHAnsi" w:hAnsiTheme="majorHAnsi"/>
          <w:spacing w:val="-2"/>
          <w:sz w:val="20"/>
          <w:szCs w:val="20"/>
        </w:rPr>
        <w:t xml:space="preserve"> </w:t>
      </w:r>
      <w:r w:rsidRPr="000977F7">
        <w:rPr>
          <w:rFonts w:asciiTheme="majorHAnsi" w:hAnsiTheme="majorHAnsi"/>
          <w:sz w:val="20"/>
          <w:szCs w:val="20"/>
        </w:rPr>
        <w:t>Див. ISO</w:t>
      </w:r>
      <w:r w:rsidRPr="000977F7">
        <w:rPr>
          <w:rFonts w:asciiTheme="majorHAnsi" w:hAnsiTheme="majorHAnsi"/>
          <w:spacing w:val="-3"/>
          <w:sz w:val="20"/>
          <w:szCs w:val="20"/>
        </w:rPr>
        <w:t xml:space="preserve"> </w:t>
      </w:r>
      <w:r w:rsidRPr="000977F7">
        <w:rPr>
          <w:rFonts w:asciiTheme="majorHAnsi" w:hAnsiTheme="majorHAnsi"/>
          <w:sz w:val="20"/>
          <w:szCs w:val="20"/>
        </w:rPr>
        <w:t>19011 щодо</w:t>
      </w:r>
      <w:r w:rsidRPr="000977F7">
        <w:rPr>
          <w:rFonts w:asciiTheme="majorHAnsi" w:hAnsiTheme="majorHAnsi"/>
          <w:spacing w:val="-1"/>
          <w:sz w:val="20"/>
          <w:szCs w:val="20"/>
        </w:rPr>
        <w:t xml:space="preserve"> </w:t>
      </w:r>
      <w:r w:rsidRPr="000977F7">
        <w:rPr>
          <w:rFonts w:asciiTheme="majorHAnsi" w:hAnsiTheme="majorHAnsi"/>
          <w:sz w:val="20"/>
          <w:szCs w:val="20"/>
        </w:rPr>
        <w:t>настанови.</w:t>
      </w:r>
    </w:p>
    <w:p w14:paraId="3B5DC14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16CD26C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ВНУТРІШНІЙ</w:t>
      </w:r>
      <w:r w:rsidRPr="000977F7">
        <w:rPr>
          <w:color w:val="auto"/>
          <w:spacing w:val="-4"/>
          <w:sz w:val="20"/>
          <w:szCs w:val="20"/>
        </w:rPr>
        <w:t xml:space="preserve"> </w:t>
      </w:r>
      <w:r w:rsidRPr="000977F7">
        <w:rPr>
          <w:color w:val="auto"/>
          <w:sz w:val="20"/>
          <w:szCs w:val="20"/>
        </w:rPr>
        <w:t>САМОЗАХИСТ</w:t>
      </w:r>
      <w:r w:rsidRPr="000977F7">
        <w:rPr>
          <w:color w:val="auto"/>
          <w:spacing w:val="-5"/>
          <w:sz w:val="20"/>
          <w:szCs w:val="20"/>
        </w:rPr>
        <w:t xml:space="preserve"> </w:t>
      </w:r>
      <w:r w:rsidRPr="000977F7">
        <w:rPr>
          <w:color w:val="auto"/>
          <w:sz w:val="20"/>
          <w:szCs w:val="20"/>
        </w:rPr>
        <w:t>ОБ'ЄКТІВ</w:t>
      </w:r>
      <w:r w:rsidRPr="000977F7">
        <w:rPr>
          <w:color w:val="auto"/>
          <w:spacing w:val="-3"/>
          <w:sz w:val="20"/>
          <w:szCs w:val="20"/>
        </w:rPr>
        <w:t xml:space="preserve"> </w:t>
      </w:r>
      <w:r w:rsidRPr="000977F7">
        <w:rPr>
          <w:color w:val="auto"/>
          <w:sz w:val="20"/>
          <w:szCs w:val="20"/>
        </w:rPr>
        <w:t>–</w:t>
      </w:r>
    </w:p>
    <w:p w14:paraId="575458A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w:t>
      </w:r>
      <w:r w:rsidRPr="000977F7">
        <w:rPr>
          <w:rFonts w:asciiTheme="majorHAnsi" w:hAnsiTheme="majorHAnsi"/>
          <w:spacing w:val="-4"/>
          <w:sz w:val="20"/>
          <w:szCs w:val="20"/>
        </w:rPr>
        <w:t xml:space="preserve"> </w:t>
      </w:r>
      <w:r w:rsidRPr="000977F7">
        <w:rPr>
          <w:rFonts w:asciiTheme="majorHAnsi" w:hAnsiTheme="majorHAnsi"/>
          <w:sz w:val="20"/>
          <w:szCs w:val="20"/>
        </w:rPr>
        <w:t>об'єктів</w:t>
      </w:r>
      <w:r w:rsidRPr="000977F7">
        <w:rPr>
          <w:rFonts w:asciiTheme="majorHAnsi" w:hAnsiTheme="majorHAnsi"/>
          <w:spacing w:val="-5"/>
          <w:sz w:val="20"/>
          <w:szCs w:val="20"/>
        </w:rPr>
        <w:t xml:space="preserve"> </w:t>
      </w:r>
      <w:r w:rsidRPr="000977F7">
        <w:rPr>
          <w:rFonts w:asciiTheme="majorHAnsi" w:hAnsiTheme="majorHAnsi"/>
          <w:sz w:val="20"/>
          <w:szCs w:val="20"/>
        </w:rPr>
        <w:t>забезпечувати</w:t>
      </w:r>
      <w:r w:rsidRPr="000977F7">
        <w:rPr>
          <w:rFonts w:asciiTheme="majorHAnsi" w:hAnsiTheme="majorHAnsi"/>
          <w:spacing w:val="-4"/>
          <w:sz w:val="20"/>
          <w:szCs w:val="20"/>
        </w:rPr>
        <w:t xml:space="preserve"> </w:t>
      </w:r>
      <w:r w:rsidRPr="000977F7">
        <w:rPr>
          <w:rFonts w:asciiTheme="majorHAnsi" w:hAnsiTheme="majorHAnsi"/>
          <w:sz w:val="20"/>
          <w:szCs w:val="20"/>
        </w:rPr>
        <w:t>безпеку</w:t>
      </w:r>
      <w:r w:rsidRPr="000977F7">
        <w:rPr>
          <w:rFonts w:asciiTheme="majorHAnsi" w:hAnsiTheme="majorHAnsi"/>
          <w:spacing w:val="-5"/>
          <w:sz w:val="20"/>
          <w:szCs w:val="20"/>
        </w:rPr>
        <w:t xml:space="preserve"> </w:t>
      </w:r>
      <w:r w:rsidRPr="000977F7">
        <w:rPr>
          <w:rFonts w:asciiTheme="majorHAnsi" w:hAnsiTheme="majorHAnsi"/>
          <w:sz w:val="20"/>
          <w:szCs w:val="20"/>
        </w:rPr>
        <w:t>на</w:t>
      </w:r>
      <w:r w:rsidRPr="000977F7">
        <w:rPr>
          <w:rFonts w:asciiTheme="majorHAnsi" w:hAnsiTheme="majorHAnsi"/>
          <w:spacing w:val="-4"/>
          <w:sz w:val="20"/>
          <w:szCs w:val="20"/>
        </w:rPr>
        <w:t xml:space="preserve"> </w:t>
      </w:r>
      <w:r w:rsidRPr="000977F7">
        <w:rPr>
          <w:rFonts w:asciiTheme="majorHAnsi" w:hAnsiTheme="majorHAnsi"/>
          <w:sz w:val="20"/>
          <w:szCs w:val="20"/>
        </w:rPr>
        <w:t>основі</w:t>
      </w:r>
      <w:r w:rsidRPr="000977F7">
        <w:rPr>
          <w:rFonts w:asciiTheme="majorHAnsi" w:hAnsiTheme="majorHAnsi"/>
          <w:spacing w:val="-47"/>
          <w:sz w:val="20"/>
          <w:szCs w:val="20"/>
        </w:rPr>
        <w:t xml:space="preserve"> </w:t>
      </w:r>
      <w:r w:rsidRPr="000977F7">
        <w:rPr>
          <w:rFonts w:asciiTheme="majorHAnsi" w:hAnsiTheme="majorHAnsi"/>
          <w:sz w:val="20"/>
          <w:szCs w:val="20"/>
        </w:rPr>
        <w:t>природних</w:t>
      </w:r>
      <w:r w:rsidRPr="000977F7">
        <w:rPr>
          <w:rFonts w:asciiTheme="majorHAnsi" w:hAnsiTheme="majorHAnsi"/>
          <w:spacing w:val="-2"/>
          <w:sz w:val="20"/>
          <w:szCs w:val="20"/>
        </w:rPr>
        <w:t xml:space="preserve"> </w:t>
      </w:r>
      <w:r w:rsidRPr="000977F7">
        <w:rPr>
          <w:rFonts w:asciiTheme="majorHAnsi" w:hAnsiTheme="majorHAnsi"/>
          <w:sz w:val="20"/>
          <w:szCs w:val="20"/>
        </w:rPr>
        <w:t>зворотних</w:t>
      </w:r>
      <w:r w:rsidRPr="000977F7">
        <w:rPr>
          <w:rFonts w:asciiTheme="majorHAnsi" w:hAnsiTheme="majorHAnsi"/>
          <w:spacing w:val="-2"/>
          <w:sz w:val="20"/>
          <w:szCs w:val="20"/>
        </w:rPr>
        <w:t xml:space="preserve"> </w:t>
      </w:r>
      <w:r w:rsidRPr="000977F7">
        <w:rPr>
          <w:rFonts w:asciiTheme="majorHAnsi" w:hAnsiTheme="majorHAnsi"/>
          <w:sz w:val="20"/>
          <w:szCs w:val="20"/>
        </w:rPr>
        <w:t>зв'язків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процесів</w:t>
      </w:r>
    </w:p>
    <w:p w14:paraId="59DB0F9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43F2ABF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ВНУТРІШНІЙ</w:t>
      </w:r>
      <w:r w:rsidRPr="000977F7">
        <w:rPr>
          <w:color w:val="auto"/>
          <w:spacing w:val="-4"/>
          <w:sz w:val="20"/>
          <w:szCs w:val="20"/>
        </w:rPr>
        <w:t xml:space="preserve"> </w:t>
      </w:r>
      <w:r w:rsidRPr="000977F7">
        <w:rPr>
          <w:color w:val="auto"/>
          <w:sz w:val="20"/>
          <w:szCs w:val="20"/>
        </w:rPr>
        <w:t>СИГНАЛ</w:t>
      </w:r>
      <w:r w:rsidRPr="000977F7">
        <w:rPr>
          <w:color w:val="auto"/>
          <w:spacing w:val="-1"/>
          <w:sz w:val="20"/>
          <w:szCs w:val="20"/>
        </w:rPr>
        <w:t xml:space="preserve"> </w:t>
      </w:r>
      <w:r w:rsidRPr="000977F7">
        <w:rPr>
          <w:color w:val="auto"/>
          <w:sz w:val="20"/>
          <w:szCs w:val="20"/>
        </w:rPr>
        <w:t>У</w:t>
      </w:r>
      <w:r w:rsidRPr="000977F7">
        <w:rPr>
          <w:color w:val="auto"/>
          <w:spacing w:val="-5"/>
          <w:sz w:val="20"/>
          <w:szCs w:val="20"/>
        </w:rPr>
        <w:t xml:space="preserve"> </w:t>
      </w:r>
      <w:r w:rsidRPr="000977F7">
        <w:rPr>
          <w:color w:val="auto"/>
          <w:sz w:val="20"/>
          <w:szCs w:val="20"/>
        </w:rPr>
        <w:t>СИСТЕМІ-</w:t>
      </w:r>
    </w:p>
    <w:p w14:paraId="4FBAEE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INTERNAL</w:t>
      </w:r>
      <w:r w:rsidRPr="000977F7">
        <w:rPr>
          <w:rFonts w:asciiTheme="majorHAnsi" w:hAnsiTheme="majorHAnsi"/>
          <w:spacing w:val="-4"/>
          <w:sz w:val="20"/>
          <w:szCs w:val="20"/>
        </w:rPr>
        <w:t xml:space="preserve"> </w:t>
      </w:r>
      <w:r w:rsidRPr="000977F7">
        <w:rPr>
          <w:rFonts w:asciiTheme="majorHAnsi" w:hAnsiTheme="majorHAnsi"/>
          <w:sz w:val="20"/>
          <w:szCs w:val="20"/>
        </w:rPr>
        <w:t>SIGNAL</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16ED0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 який направлено з виходу якого-небудь компонента системи на вхід іншого або інших компонентів</w:t>
      </w:r>
      <w:r w:rsidRPr="000977F7">
        <w:rPr>
          <w:rFonts w:asciiTheme="majorHAnsi" w:hAnsiTheme="majorHAnsi"/>
          <w:spacing w:val="-2"/>
          <w:sz w:val="20"/>
          <w:szCs w:val="20"/>
        </w:rPr>
        <w:t xml:space="preserve"> </w:t>
      </w:r>
      <w:r w:rsidRPr="000977F7">
        <w:rPr>
          <w:rFonts w:asciiTheme="majorHAnsi" w:hAnsiTheme="majorHAnsi"/>
          <w:sz w:val="20"/>
          <w:szCs w:val="20"/>
        </w:rPr>
        <w:t>тієї</w:t>
      </w:r>
      <w:r w:rsidRPr="000977F7">
        <w:rPr>
          <w:rFonts w:asciiTheme="majorHAnsi" w:hAnsiTheme="majorHAnsi"/>
          <w:spacing w:val="-1"/>
          <w:sz w:val="20"/>
          <w:szCs w:val="20"/>
        </w:rPr>
        <w:t xml:space="preserve"> </w:t>
      </w:r>
      <w:r w:rsidRPr="000977F7">
        <w:rPr>
          <w:rFonts w:asciiTheme="majorHAnsi" w:hAnsiTheme="majorHAnsi"/>
          <w:sz w:val="20"/>
          <w:szCs w:val="20"/>
        </w:rPr>
        <w:t>самої</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p>
    <w:p w14:paraId="232F62E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 </w:t>
      </w:r>
      <w:r w:rsidRPr="000977F7">
        <w:rPr>
          <w:rFonts w:asciiTheme="majorHAnsi" w:hAnsiTheme="majorHAnsi"/>
          <w:i/>
          <w:sz w:val="20"/>
          <w:szCs w:val="20"/>
        </w:rPr>
        <w:t>2000</w:t>
      </w:r>
    </w:p>
    <w:p w14:paraId="6BF200E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ВНУТРІШНІ</w:t>
      </w:r>
      <w:r w:rsidRPr="000977F7">
        <w:rPr>
          <w:color w:val="auto"/>
          <w:spacing w:val="-4"/>
          <w:sz w:val="20"/>
          <w:szCs w:val="20"/>
        </w:rPr>
        <w:t xml:space="preserve"> </w:t>
      </w:r>
      <w:r w:rsidRPr="000977F7">
        <w:rPr>
          <w:color w:val="auto"/>
          <w:sz w:val="20"/>
          <w:szCs w:val="20"/>
        </w:rPr>
        <w:t>ЧИННИКИ</w:t>
      </w:r>
      <w:r w:rsidRPr="000977F7">
        <w:rPr>
          <w:color w:val="auto"/>
          <w:spacing w:val="-2"/>
          <w:sz w:val="20"/>
          <w:szCs w:val="20"/>
        </w:rPr>
        <w:t xml:space="preserve"> </w:t>
      </w:r>
      <w:r w:rsidRPr="000977F7">
        <w:rPr>
          <w:color w:val="auto"/>
          <w:sz w:val="20"/>
          <w:szCs w:val="20"/>
        </w:rPr>
        <w:t>КОРОЗІЇ</w:t>
      </w:r>
      <w:r w:rsidRPr="000977F7">
        <w:rPr>
          <w:color w:val="auto"/>
          <w:spacing w:val="-3"/>
          <w:sz w:val="20"/>
          <w:szCs w:val="20"/>
        </w:rPr>
        <w:t xml:space="preserve"> </w:t>
      </w:r>
      <w:r w:rsidRPr="000977F7">
        <w:rPr>
          <w:color w:val="auto"/>
          <w:sz w:val="20"/>
          <w:szCs w:val="20"/>
        </w:rPr>
        <w:t>–</w:t>
      </w:r>
    </w:p>
    <w:p w14:paraId="3E194E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Чинники, які впливають на швидкість і вид корозії та</w:t>
      </w:r>
      <w:r w:rsidRPr="000977F7">
        <w:rPr>
          <w:rFonts w:asciiTheme="majorHAnsi" w:hAnsiTheme="majorHAnsi"/>
          <w:spacing w:val="1"/>
          <w:sz w:val="20"/>
          <w:szCs w:val="20"/>
        </w:rPr>
        <w:t xml:space="preserve"> </w:t>
      </w:r>
      <w:r w:rsidRPr="000977F7">
        <w:rPr>
          <w:rFonts w:asciiTheme="majorHAnsi" w:hAnsiTheme="majorHAnsi"/>
          <w:sz w:val="20"/>
          <w:szCs w:val="20"/>
        </w:rPr>
        <w:t>зумовлені природою металу (склад, структура, внутрішні</w:t>
      </w:r>
      <w:r w:rsidRPr="000977F7">
        <w:rPr>
          <w:rFonts w:asciiTheme="majorHAnsi" w:hAnsiTheme="majorHAnsi"/>
          <w:spacing w:val="-2"/>
          <w:sz w:val="20"/>
          <w:szCs w:val="20"/>
        </w:rPr>
        <w:t xml:space="preserve"> </w:t>
      </w:r>
      <w:r w:rsidRPr="000977F7">
        <w:rPr>
          <w:rFonts w:asciiTheme="majorHAnsi" w:hAnsiTheme="majorHAnsi"/>
          <w:sz w:val="20"/>
          <w:szCs w:val="20"/>
        </w:rPr>
        <w:t>напруги, стан</w:t>
      </w:r>
      <w:r w:rsidRPr="000977F7">
        <w:rPr>
          <w:rFonts w:asciiTheme="majorHAnsi" w:hAnsiTheme="majorHAnsi"/>
          <w:spacing w:val="-1"/>
          <w:sz w:val="20"/>
          <w:szCs w:val="20"/>
        </w:rPr>
        <w:t xml:space="preserve"> </w:t>
      </w:r>
      <w:r w:rsidRPr="000977F7">
        <w:rPr>
          <w:rFonts w:asciiTheme="majorHAnsi" w:hAnsiTheme="majorHAnsi"/>
          <w:sz w:val="20"/>
          <w:szCs w:val="20"/>
        </w:rPr>
        <w:t>поверхні</w:t>
      </w:r>
      <w:r w:rsidRPr="000977F7">
        <w:rPr>
          <w:rFonts w:asciiTheme="majorHAnsi" w:hAnsiTheme="majorHAnsi"/>
          <w:spacing w:val="-2"/>
          <w:sz w:val="20"/>
          <w:szCs w:val="20"/>
        </w:rPr>
        <w:t xml:space="preserve"> </w:t>
      </w:r>
      <w:r w:rsidRPr="000977F7">
        <w:rPr>
          <w:rFonts w:asciiTheme="majorHAnsi" w:hAnsiTheme="majorHAnsi"/>
          <w:sz w:val="20"/>
          <w:szCs w:val="20"/>
        </w:rPr>
        <w:t>тощо)</w:t>
      </w:r>
    </w:p>
    <w:p w14:paraId="6BDBA6D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649D86A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
          <w:bCs/>
          <w:sz w:val="20"/>
          <w:szCs w:val="20"/>
        </w:rPr>
        <w:t>ВНУТРІШНЬОЛАБОРАТОРНІ ПОРІВНЯННЯ -</w:t>
      </w:r>
      <w:r w:rsidRPr="000977F7">
        <w:rPr>
          <w:rFonts w:asciiTheme="majorHAnsi" w:hAnsiTheme="majorHAnsi"/>
          <w:sz w:val="20"/>
          <w:szCs w:val="20"/>
        </w:rPr>
        <w:t>INTRALABORATORY COMPARISON –</w:t>
      </w:r>
    </w:p>
    <w:p w14:paraId="0A42FBF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виконання та оцінювання вимірювання або випробування на тому самому чи подібних зразках у межах однієї лабораторії відповідно до заздалегідь визначених умов</w:t>
      </w:r>
    </w:p>
    <w:p w14:paraId="46C85FD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EN ISO/IEC 17025:2019</w:t>
      </w:r>
    </w:p>
    <w:p w14:paraId="101258C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ВОДНЕВА</w:t>
      </w:r>
      <w:r w:rsidRPr="000977F7">
        <w:rPr>
          <w:color w:val="auto"/>
          <w:spacing w:val="-6"/>
          <w:sz w:val="20"/>
          <w:szCs w:val="20"/>
        </w:rPr>
        <w:t xml:space="preserve"> </w:t>
      </w:r>
      <w:r w:rsidRPr="000977F7">
        <w:rPr>
          <w:color w:val="auto"/>
          <w:sz w:val="20"/>
          <w:szCs w:val="20"/>
        </w:rPr>
        <w:t>ДЕПОЛЯРИЗАЦІЯ</w:t>
      </w:r>
      <w:r w:rsidRPr="000977F7">
        <w:rPr>
          <w:color w:val="auto"/>
          <w:spacing w:val="-5"/>
          <w:sz w:val="20"/>
          <w:szCs w:val="20"/>
        </w:rPr>
        <w:t xml:space="preserve"> </w:t>
      </w:r>
      <w:r w:rsidRPr="000977F7">
        <w:rPr>
          <w:color w:val="auto"/>
          <w:sz w:val="20"/>
          <w:szCs w:val="20"/>
        </w:rPr>
        <w:t>–</w:t>
      </w:r>
    </w:p>
    <w:p w14:paraId="2AE5C78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HIDROGEN</w:t>
      </w:r>
      <w:r w:rsidRPr="004D2D14">
        <w:rPr>
          <w:rFonts w:asciiTheme="majorHAnsi" w:hAnsiTheme="majorHAnsi"/>
          <w:spacing w:val="-4"/>
          <w:sz w:val="20"/>
          <w:szCs w:val="20"/>
          <w:lang w:val="uk-UA"/>
        </w:rPr>
        <w:t xml:space="preserve"> </w:t>
      </w:r>
      <w:r w:rsidRPr="000977F7">
        <w:rPr>
          <w:rFonts w:asciiTheme="majorHAnsi" w:hAnsiTheme="majorHAnsi"/>
          <w:sz w:val="20"/>
          <w:szCs w:val="20"/>
        </w:rPr>
        <w:t>DEPOLARIZATION</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4C24671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Деполяризація, зумовлена катодною реакцією відновлення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іонів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водню</w:t>
      </w:r>
    </w:p>
    <w:p w14:paraId="2B93265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473364D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ВОДНЕВА</w:t>
      </w:r>
      <w:r w:rsidRPr="000977F7">
        <w:rPr>
          <w:color w:val="auto"/>
          <w:spacing w:val="-4"/>
          <w:sz w:val="20"/>
          <w:szCs w:val="20"/>
        </w:rPr>
        <w:t xml:space="preserve"> </w:t>
      </w:r>
      <w:r w:rsidRPr="000977F7">
        <w:rPr>
          <w:color w:val="auto"/>
          <w:sz w:val="20"/>
          <w:szCs w:val="20"/>
        </w:rPr>
        <w:t>КОРОЗІЯ</w:t>
      </w:r>
      <w:r w:rsidRPr="000977F7">
        <w:rPr>
          <w:color w:val="auto"/>
          <w:spacing w:val="-2"/>
          <w:sz w:val="20"/>
          <w:szCs w:val="20"/>
        </w:rPr>
        <w:t xml:space="preserve"> </w:t>
      </w:r>
      <w:r w:rsidRPr="000977F7">
        <w:rPr>
          <w:color w:val="auto"/>
          <w:sz w:val="20"/>
          <w:szCs w:val="20"/>
        </w:rPr>
        <w:t>МЕТАЛУ</w:t>
      </w:r>
      <w:r w:rsidRPr="000977F7">
        <w:rPr>
          <w:color w:val="auto"/>
          <w:spacing w:val="-4"/>
          <w:sz w:val="20"/>
          <w:szCs w:val="20"/>
        </w:rPr>
        <w:t xml:space="preserve"> </w:t>
      </w:r>
      <w:r w:rsidRPr="000977F7">
        <w:rPr>
          <w:color w:val="auto"/>
          <w:sz w:val="20"/>
          <w:szCs w:val="20"/>
        </w:rPr>
        <w:t>(СПЛАВУ)</w:t>
      </w:r>
      <w:r w:rsidRPr="000977F7">
        <w:rPr>
          <w:color w:val="auto"/>
          <w:spacing w:val="-1"/>
          <w:sz w:val="20"/>
          <w:szCs w:val="20"/>
        </w:rPr>
        <w:t xml:space="preserve"> </w:t>
      </w:r>
      <w:r w:rsidRPr="000977F7">
        <w:rPr>
          <w:color w:val="auto"/>
          <w:sz w:val="20"/>
          <w:szCs w:val="20"/>
        </w:rPr>
        <w:t>–</w:t>
      </w:r>
    </w:p>
    <w:p w14:paraId="19AFBE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Корозія</w:t>
      </w:r>
      <w:r w:rsidRPr="000977F7">
        <w:rPr>
          <w:rFonts w:asciiTheme="majorHAnsi" w:hAnsiTheme="majorHAnsi"/>
          <w:spacing w:val="15"/>
          <w:sz w:val="20"/>
          <w:szCs w:val="20"/>
        </w:rPr>
        <w:t xml:space="preserve"> </w:t>
      </w:r>
      <w:r w:rsidRPr="000977F7">
        <w:rPr>
          <w:rFonts w:asciiTheme="majorHAnsi" w:hAnsiTheme="majorHAnsi"/>
          <w:sz w:val="20"/>
          <w:szCs w:val="20"/>
        </w:rPr>
        <w:t>металу</w:t>
      </w:r>
      <w:r w:rsidRPr="000977F7">
        <w:rPr>
          <w:rFonts w:asciiTheme="majorHAnsi" w:hAnsiTheme="majorHAnsi"/>
          <w:spacing w:val="11"/>
          <w:sz w:val="20"/>
          <w:szCs w:val="20"/>
        </w:rPr>
        <w:t xml:space="preserve"> </w:t>
      </w:r>
      <w:r w:rsidRPr="000977F7">
        <w:rPr>
          <w:rFonts w:asciiTheme="majorHAnsi" w:hAnsiTheme="majorHAnsi"/>
          <w:sz w:val="20"/>
          <w:szCs w:val="20"/>
        </w:rPr>
        <w:t>чи</w:t>
      </w:r>
      <w:r w:rsidRPr="000977F7">
        <w:rPr>
          <w:rFonts w:asciiTheme="majorHAnsi" w:hAnsiTheme="majorHAnsi"/>
          <w:spacing w:val="14"/>
          <w:sz w:val="20"/>
          <w:szCs w:val="20"/>
        </w:rPr>
        <w:t xml:space="preserve"> </w:t>
      </w:r>
      <w:r w:rsidRPr="000977F7">
        <w:rPr>
          <w:rFonts w:asciiTheme="majorHAnsi" w:hAnsiTheme="majorHAnsi"/>
          <w:sz w:val="20"/>
          <w:szCs w:val="20"/>
        </w:rPr>
        <w:t>сплаву,</w:t>
      </w:r>
      <w:r w:rsidRPr="000977F7">
        <w:rPr>
          <w:rFonts w:asciiTheme="majorHAnsi" w:hAnsiTheme="majorHAnsi"/>
          <w:spacing w:val="18"/>
          <w:sz w:val="20"/>
          <w:szCs w:val="20"/>
        </w:rPr>
        <w:t xml:space="preserve"> </w:t>
      </w:r>
      <w:r w:rsidRPr="000977F7">
        <w:rPr>
          <w:rFonts w:asciiTheme="majorHAnsi" w:hAnsiTheme="majorHAnsi"/>
          <w:sz w:val="20"/>
          <w:szCs w:val="20"/>
        </w:rPr>
        <w:t>викликана</w:t>
      </w:r>
      <w:r w:rsidRPr="000977F7">
        <w:rPr>
          <w:rFonts w:asciiTheme="majorHAnsi" w:hAnsiTheme="majorHAnsi"/>
          <w:spacing w:val="15"/>
          <w:sz w:val="20"/>
          <w:szCs w:val="20"/>
        </w:rPr>
        <w:t xml:space="preserve"> </w:t>
      </w:r>
      <w:r w:rsidRPr="000977F7">
        <w:rPr>
          <w:rFonts w:asciiTheme="majorHAnsi" w:hAnsiTheme="majorHAnsi"/>
          <w:sz w:val="20"/>
          <w:szCs w:val="20"/>
        </w:rPr>
        <w:t>контактом</w:t>
      </w:r>
      <w:r w:rsidRPr="000977F7">
        <w:rPr>
          <w:rFonts w:asciiTheme="majorHAnsi" w:hAnsiTheme="majorHAnsi"/>
          <w:spacing w:val="16"/>
          <w:sz w:val="20"/>
          <w:szCs w:val="20"/>
        </w:rPr>
        <w:t xml:space="preserve"> </w:t>
      </w:r>
      <w:r w:rsidRPr="000977F7">
        <w:rPr>
          <w:rFonts w:asciiTheme="majorHAnsi" w:hAnsiTheme="majorHAnsi"/>
          <w:sz w:val="20"/>
          <w:szCs w:val="20"/>
        </w:rPr>
        <w:t>з</w:t>
      </w:r>
      <w:r w:rsidRPr="000977F7">
        <w:rPr>
          <w:rFonts w:asciiTheme="majorHAnsi" w:hAnsiTheme="majorHAnsi"/>
          <w:spacing w:val="-47"/>
          <w:sz w:val="20"/>
          <w:szCs w:val="20"/>
        </w:rPr>
        <w:t xml:space="preserve"> </w:t>
      </w:r>
      <w:r w:rsidRPr="000977F7">
        <w:rPr>
          <w:rFonts w:asciiTheme="majorHAnsi" w:hAnsiTheme="majorHAnsi"/>
          <w:sz w:val="20"/>
          <w:szCs w:val="20"/>
        </w:rPr>
        <w:t>воднем за певних</w:t>
      </w:r>
      <w:r w:rsidRPr="000977F7">
        <w:rPr>
          <w:rFonts w:asciiTheme="majorHAnsi" w:hAnsiTheme="majorHAnsi"/>
          <w:spacing w:val="1"/>
          <w:sz w:val="20"/>
          <w:szCs w:val="20"/>
        </w:rPr>
        <w:t xml:space="preserve"> </w:t>
      </w:r>
      <w:r w:rsidRPr="000977F7">
        <w:rPr>
          <w:rFonts w:asciiTheme="majorHAnsi" w:hAnsiTheme="majorHAnsi"/>
          <w:sz w:val="20"/>
          <w:szCs w:val="20"/>
        </w:rPr>
        <w:t>умов</w:t>
      </w:r>
    </w:p>
    <w:p w14:paraId="062B47A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4567C84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ВОДНЕВИЙ</w:t>
      </w:r>
      <w:r w:rsidRPr="000977F7">
        <w:rPr>
          <w:color w:val="auto"/>
          <w:spacing w:val="-3"/>
          <w:sz w:val="20"/>
          <w:szCs w:val="20"/>
        </w:rPr>
        <w:t xml:space="preserve"> </w:t>
      </w:r>
      <w:r w:rsidRPr="000977F7">
        <w:rPr>
          <w:color w:val="auto"/>
          <w:sz w:val="20"/>
          <w:szCs w:val="20"/>
        </w:rPr>
        <w:t>ПОКАЗНИК</w:t>
      </w:r>
      <w:r w:rsidRPr="000977F7">
        <w:rPr>
          <w:color w:val="auto"/>
          <w:spacing w:val="-5"/>
          <w:sz w:val="20"/>
          <w:szCs w:val="20"/>
        </w:rPr>
        <w:t xml:space="preserve"> </w:t>
      </w:r>
      <w:r w:rsidRPr="000977F7">
        <w:rPr>
          <w:color w:val="auto"/>
          <w:sz w:val="20"/>
          <w:szCs w:val="20"/>
        </w:rPr>
        <w:t>КОРОЗІЇ</w:t>
      </w:r>
      <w:r w:rsidRPr="000977F7">
        <w:rPr>
          <w:color w:val="auto"/>
          <w:spacing w:val="-4"/>
          <w:sz w:val="20"/>
          <w:szCs w:val="20"/>
        </w:rPr>
        <w:t xml:space="preserve"> </w:t>
      </w:r>
      <w:r w:rsidRPr="000977F7">
        <w:rPr>
          <w:color w:val="auto"/>
          <w:sz w:val="20"/>
          <w:szCs w:val="20"/>
        </w:rPr>
        <w:t>–</w:t>
      </w:r>
    </w:p>
    <w:p w14:paraId="397A142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Об'єм</w:t>
      </w:r>
      <w:r w:rsidRPr="000977F7">
        <w:rPr>
          <w:rFonts w:asciiTheme="majorHAnsi" w:hAnsiTheme="majorHAnsi"/>
          <w:spacing w:val="-4"/>
          <w:sz w:val="20"/>
          <w:szCs w:val="20"/>
        </w:rPr>
        <w:t xml:space="preserve"> </w:t>
      </w:r>
      <w:r w:rsidRPr="000977F7">
        <w:rPr>
          <w:rFonts w:asciiTheme="majorHAnsi" w:hAnsiTheme="majorHAnsi"/>
          <w:sz w:val="20"/>
          <w:szCs w:val="20"/>
        </w:rPr>
        <w:t>виділеного</w:t>
      </w:r>
      <w:r w:rsidRPr="000977F7">
        <w:rPr>
          <w:rFonts w:asciiTheme="majorHAnsi" w:hAnsiTheme="majorHAnsi"/>
          <w:spacing w:val="-3"/>
          <w:sz w:val="20"/>
          <w:szCs w:val="20"/>
        </w:rPr>
        <w:t xml:space="preserve"> </w:t>
      </w:r>
      <w:r w:rsidRPr="000977F7">
        <w:rPr>
          <w:rFonts w:asciiTheme="majorHAnsi" w:hAnsiTheme="majorHAnsi"/>
          <w:sz w:val="20"/>
          <w:szCs w:val="20"/>
        </w:rPr>
        <w:t>в</w:t>
      </w:r>
      <w:r w:rsidRPr="000977F7">
        <w:rPr>
          <w:rFonts w:asciiTheme="majorHAnsi" w:hAnsiTheme="majorHAnsi"/>
          <w:spacing w:val="-6"/>
          <w:sz w:val="20"/>
          <w:szCs w:val="20"/>
        </w:rPr>
        <w:t xml:space="preserve"> </w:t>
      </w:r>
      <w:r w:rsidRPr="000977F7">
        <w:rPr>
          <w:rFonts w:asciiTheme="majorHAnsi" w:hAnsiTheme="majorHAnsi"/>
          <w:sz w:val="20"/>
          <w:szCs w:val="20"/>
        </w:rPr>
        <w:t>процесі</w:t>
      </w:r>
      <w:r w:rsidRPr="000977F7">
        <w:rPr>
          <w:rFonts w:asciiTheme="majorHAnsi" w:hAnsiTheme="majorHAnsi"/>
          <w:spacing w:val="-2"/>
          <w:sz w:val="20"/>
          <w:szCs w:val="20"/>
        </w:rPr>
        <w:t xml:space="preserve"> </w:t>
      </w:r>
      <w:r w:rsidRPr="000977F7">
        <w:rPr>
          <w:rFonts w:asciiTheme="majorHAnsi" w:hAnsiTheme="majorHAnsi"/>
          <w:sz w:val="20"/>
          <w:szCs w:val="20"/>
        </w:rPr>
        <w:t>корозії</w:t>
      </w:r>
      <w:r w:rsidRPr="000977F7">
        <w:rPr>
          <w:rFonts w:asciiTheme="majorHAnsi" w:hAnsiTheme="majorHAnsi"/>
          <w:spacing w:val="-4"/>
          <w:sz w:val="20"/>
          <w:szCs w:val="20"/>
        </w:rPr>
        <w:t xml:space="preserve"> </w:t>
      </w:r>
      <w:r w:rsidRPr="000977F7">
        <w:rPr>
          <w:rFonts w:asciiTheme="majorHAnsi" w:hAnsiTheme="majorHAnsi"/>
          <w:sz w:val="20"/>
          <w:szCs w:val="20"/>
        </w:rPr>
        <w:t>водню,</w:t>
      </w:r>
      <w:r w:rsidRPr="000977F7">
        <w:rPr>
          <w:rFonts w:asciiTheme="majorHAnsi" w:hAnsiTheme="majorHAnsi"/>
          <w:spacing w:val="-5"/>
          <w:sz w:val="20"/>
          <w:szCs w:val="20"/>
        </w:rPr>
        <w:t xml:space="preserve"> </w:t>
      </w:r>
      <w:r w:rsidRPr="000977F7">
        <w:rPr>
          <w:rFonts w:asciiTheme="majorHAnsi" w:hAnsiTheme="majorHAnsi"/>
          <w:sz w:val="20"/>
          <w:szCs w:val="20"/>
        </w:rPr>
        <w:t>віднесений</w:t>
      </w:r>
      <w:r w:rsidRPr="000977F7">
        <w:rPr>
          <w:rFonts w:asciiTheme="majorHAnsi" w:hAnsiTheme="majorHAnsi"/>
          <w:spacing w:val="-47"/>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одиниці</w:t>
      </w:r>
      <w:r w:rsidRPr="000977F7">
        <w:rPr>
          <w:rFonts w:asciiTheme="majorHAnsi" w:hAnsiTheme="majorHAnsi"/>
          <w:spacing w:val="-1"/>
          <w:sz w:val="20"/>
          <w:szCs w:val="20"/>
        </w:rPr>
        <w:t xml:space="preserve"> </w:t>
      </w:r>
      <w:r w:rsidRPr="000977F7">
        <w:rPr>
          <w:rFonts w:asciiTheme="majorHAnsi" w:hAnsiTheme="majorHAnsi"/>
          <w:sz w:val="20"/>
          <w:szCs w:val="20"/>
        </w:rPr>
        <w:t>поверхні</w:t>
      </w:r>
      <w:r w:rsidRPr="000977F7">
        <w:rPr>
          <w:rFonts w:asciiTheme="majorHAnsi" w:hAnsiTheme="majorHAnsi"/>
          <w:spacing w:val="-2"/>
          <w:sz w:val="20"/>
          <w:szCs w:val="20"/>
        </w:rPr>
        <w:t xml:space="preserve"> </w:t>
      </w:r>
      <w:r w:rsidRPr="000977F7">
        <w:rPr>
          <w:rFonts w:asciiTheme="majorHAnsi" w:hAnsiTheme="majorHAnsi"/>
          <w:sz w:val="20"/>
          <w:szCs w:val="20"/>
        </w:rPr>
        <w:t>металу</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одиниці</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1B63A191"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6"/>
          <w:sz w:val="20"/>
          <w:szCs w:val="20"/>
        </w:rPr>
        <w:t xml:space="preserve"> </w:t>
      </w:r>
      <w:r w:rsidRPr="000977F7">
        <w:rPr>
          <w:rFonts w:asciiTheme="majorHAnsi" w:hAnsiTheme="majorHAnsi"/>
          <w:i/>
          <w:sz w:val="20"/>
          <w:szCs w:val="20"/>
        </w:rPr>
        <w:t>3830</w:t>
      </w:r>
      <w:r w:rsidRPr="000977F7">
        <w:rPr>
          <w:rFonts w:asciiTheme="majorHAnsi" w:hAnsiTheme="majorHAnsi"/>
          <w:i/>
          <w:spacing w:val="8"/>
          <w:sz w:val="20"/>
          <w:szCs w:val="20"/>
        </w:rPr>
        <w:t xml:space="preserve"> </w:t>
      </w:r>
      <w:r w:rsidRPr="000977F7">
        <w:rPr>
          <w:rFonts w:asciiTheme="majorHAnsi" w:hAnsiTheme="majorHAnsi"/>
          <w:i/>
          <w:sz w:val="20"/>
          <w:szCs w:val="20"/>
        </w:rPr>
        <w:t>–</w:t>
      </w:r>
      <w:r w:rsidRPr="000977F7">
        <w:rPr>
          <w:rFonts w:asciiTheme="majorHAnsi" w:hAnsiTheme="majorHAnsi"/>
          <w:i/>
          <w:spacing w:val="7"/>
          <w:sz w:val="20"/>
          <w:szCs w:val="20"/>
        </w:rPr>
        <w:t xml:space="preserve"> </w:t>
      </w:r>
      <w:r w:rsidRPr="000977F7">
        <w:rPr>
          <w:rFonts w:asciiTheme="majorHAnsi" w:hAnsiTheme="majorHAnsi"/>
          <w:i/>
          <w:sz w:val="20"/>
          <w:szCs w:val="20"/>
        </w:rPr>
        <w:t>98</w:t>
      </w:r>
      <w:bookmarkStart w:id="35" w:name="_Hlk101088283"/>
    </w:p>
    <w:p w14:paraId="5839EE26"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ВПЛИВНА ВЕЛИЧИНА –</w:t>
      </w:r>
      <w:r w:rsidRPr="000977F7">
        <w:rPr>
          <w:rFonts w:asciiTheme="majorHAnsi" w:hAnsiTheme="majorHAnsi"/>
          <w:b/>
          <w:spacing w:val="-47"/>
          <w:sz w:val="20"/>
          <w:szCs w:val="20"/>
        </w:rPr>
        <w:t xml:space="preserve"> </w:t>
      </w:r>
    </w:p>
    <w:p w14:paraId="417203A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INFLUENCE</w:t>
      </w:r>
      <w:r w:rsidRPr="000977F7">
        <w:rPr>
          <w:rFonts w:asciiTheme="majorHAnsi" w:hAnsiTheme="majorHAnsi"/>
          <w:spacing w:val="-2"/>
          <w:sz w:val="20"/>
          <w:szCs w:val="20"/>
        </w:rPr>
        <w:t xml:space="preserve"> </w:t>
      </w:r>
      <w:r w:rsidRPr="000977F7">
        <w:rPr>
          <w:rFonts w:asciiTheme="majorHAnsi" w:hAnsiTheme="majorHAnsi"/>
          <w:sz w:val="20"/>
          <w:szCs w:val="20"/>
        </w:rPr>
        <w:t>QUANTITY</w:t>
      </w:r>
      <w:r w:rsidRPr="000977F7">
        <w:rPr>
          <w:rFonts w:asciiTheme="majorHAnsi" w:hAnsiTheme="majorHAnsi"/>
          <w:spacing w:val="1"/>
          <w:sz w:val="20"/>
          <w:szCs w:val="20"/>
        </w:rPr>
        <w:t xml:space="preserve"> </w:t>
      </w:r>
      <w:r w:rsidRPr="000977F7">
        <w:rPr>
          <w:rFonts w:asciiTheme="majorHAnsi" w:hAnsiTheme="majorHAnsi"/>
          <w:sz w:val="20"/>
          <w:szCs w:val="20"/>
        </w:rPr>
        <w:t>–</w:t>
      </w:r>
      <w:bookmarkEnd w:id="35"/>
    </w:p>
    <w:p w14:paraId="4E03851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Фізична величина, що впливає на результат вимірювання,</w:t>
      </w:r>
      <w:r w:rsidRPr="000977F7">
        <w:rPr>
          <w:rFonts w:asciiTheme="majorHAnsi" w:hAnsiTheme="majorHAnsi"/>
          <w:spacing w:val="-1"/>
          <w:sz w:val="20"/>
          <w:szCs w:val="20"/>
        </w:rPr>
        <w:t xml:space="preserve"> </w:t>
      </w:r>
      <w:r w:rsidRPr="000977F7">
        <w:rPr>
          <w:rFonts w:asciiTheme="majorHAnsi" w:hAnsiTheme="majorHAnsi"/>
          <w:sz w:val="20"/>
          <w:szCs w:val="20"/>
        </w:rPr>
        <w:t>але</w:t>
      </w:r>
      <w:r w:rsidRPr="000977F7">
        <w:rPr>
          <w:rFonts w:asciiTheme="majorHAnsi" w:hAnsiTheme="majorHAnsi"/>
          <w:spacing w:val="2"/>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вимірюваною</w:t>
      </w:r>
      <w:r w:rsidRPr="000977F7">
        <w:rPr>
          <w:rFonts w:asciiTheme="majorHAnsi" w:hAnsiTheme="majorHAnsi"/>
          <w:spacing w:val="-1"/>
          <w:sz w:val="20"/>
          <w:szCs w:val="20"/>
        </w:rPr>
        <w:t xml:space="preserve"> </w:t>
      </w:r>
      <w:r w:rsidRPr="000977F7">
        <w:rPr>
          <w:rFonts w:asciiTheme="majorHAnsi" w:hAnsiTheme="majorHAnsi"/>
          <w:sz w:val="20"/>
          <w:szCs w:val="20"/>
        </w:rPr>
        <w:t>величиною</w:t>
      </w:r>
    </w:p>
    <w:p w14:paraId="7816D37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2681 – 94</w:t>
      </w:r>
    </w:p>
    <w:p w14:paraId="1EBBA14D"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r w:rsidRPr="000977F7">
        <w:rPr>
          <w:rFonts w:asciiTheme="majorHAnsi" w:hAnsiTheme="majorHAnsi"/>
          <w:b/>
          <w:bCs/>
          <w:iCs/>
          <w:sz w:val="20"/>
          <w:szCs w:val="20"/>
        </w:rPr>
        <w:t>ВСТАНОВЛЕНІ ВИМОГИ</w:t>
      </w:r>
    </w:p>
    <w:p w14:paraId="1F27C0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Вимоги щодо нехарчової продукції (далі продукція) та її обігу на ринку України, встановлені технічними регламентами</w:t>
      </w:r>
    </w:p>
    <w:p w14:paraId="530E951A"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Ст. 1 закону України "Про державний ринковий нагляд і контроль нехарчової продукції</w:t>
      </w:r>
    </w:p>
    <w:p w14:paraId="717AEF6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ВСТАНОВЛЕННЯ</w:t>
      </w:r>
      <w:r w:rsidRPr="000977F7">
        <w:rPr>
          <w:color w:val="auto"/>
          <w:spacing w:val="-6"/>
          <w:sz w:val="20"/>
          <w:szCs w:val="20"/>
        </w:rPr>
        <w:t xml:space="preserve"> </w:t>
      </w:r>
      <w:r w:rsidRPr="000977F7">
        <w:rPr>
          <w:color w:val="auto"/>
          <w:sz w:val="20"/>
          <w:szCs w:val="20"/>
        </w:rPr>
        <w:t>ВІДПОВІДНОСТІ</w:t>
      </w:r>
      <w:r w:rsidRPr="000977F7">
        <w:rPr>
          <w:color w:val="auto"/>
          <w:spacing w:val="-4"/>
          <w:sz w:val="20"/>
          <w:szCs w:val="20"/>
        </w:rPr>
        <w:t xml:space="preserve"> </w:t>
      </w:r>
      <w:r w:rsidRPr="000977F7">
        <w:rPr>
          <w:color w:val="auto"/>
          <w:sz w:val="20"/>
          <w:szCs w:val="20"/>
        </w:rPr>
        <w:t>–</w:t>
      </w:r>
    </w:p>
    <w:p w14:paraId="143FC8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CONFORMITY</w:t>
      </w:r>
      <w:r w:rsidRPr="000977F7">
        <w:rPr>
          <w:rFonts w:asciiTheme="majorHAnsi" w:hAnsiTheme="majorHAnsi"/>
          <w:spacing w:val="-3"/>
          <w:sz w:val="20"/>
          <w:szCs w:val="20"/>
        </w:rPr>
        <w:t xml:space="preserve"> </w:t>
      </w:r>
      <w:r w:rsidRPr="000977F7">
        <w:rPr>
          <w:rFonts w:asciiTheme="majorHAnsi" w:hAnsiTheme="majorHAnsi"/>
          <w:sz w:val="20"/>
          <w:szCs w:val="20"/>
        </w:rPr>
        <w:t>ASSESSMENT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6DEB19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Будь-яка дія, пов’язана з прямим чи опосередкованим</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визначенням,</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дотримано</w:t>
      </w:r>
      <w:r w:rsidRPr="000977F7">
        <w:rPr>
          <w:rFonts w:asciiTheme="majorHAnsi" w:hAnsiTheme="majorHAnsi"/>
          <w:spacing w:val="1"/>
          <w:sz w:val="20"/>
          <w:szCs w:val="20"/>
        </w:rPr>
        <w:t xml:space="preserve"> </w:t>
      </w:r>
      <w:r w:rsidRPr="000977F7">
        <w:rPr>
          <w:rFonts w:asciiTheme="majorHAnsi" w:hAnsiTheme="majorHAnsi"/>
          <w:sz w:val="20"/>
          <w:szCs w:val="20"/>
        </w:rPr>
        <w:t>певних</w:t>
      </w:r>
      <w:r w:rsidRPr="000977F7">
        <w:rPr>
          <w:rFonts w:asciiTheme="majorHAnsi" w:hAnsiTheme="majorHAnsi"/>
          <w:spacing w:val="-2"/>
          <w:sz w:val="20"/>
          <w:szCs w:val="20"/>
        </w:rPr>
        <w:t xml:space="preserve"> </w:t>
      </w:r>
      <w:r w:rsidRPr="000977F7">
        <w:rPr>
          <w:rFonts w:asciiTheme="majorHAnsi" w:hAnsiTheme="majorHAnsi"/>
          <w:sz w:val="20"/>
          <w:szCs w:val="20"/>
        </w:rPr>
        <w:t>вимог</w:t>
      </w:r>
    </w:p>
    <w:p w14:paraId="6F2EED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66CB9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Типовими</w:t>
      </w:r>
      <w:r w:rsidRPr="000977F7">
        <w:rPr>
          <w:rFonts w:asciiTheme="majorHAnsi" w:hAnsiTheme="majorHAnsi"/>
          <w:spacing w:val="1"/>
          <w:sz w:val="20"/>
          <w:szCs w:val="20"/>
        </w:rPr>
        <w:t xml:space="preserve"> </w:t>
      </w:r>
      <w:r w:rsidRPr="000977F7">
        <w:rPr>
          <w:rFonts w:asciiTheme="majorHAnsi" w:hAnsiTheme="majorHAnsi"/>
          <w:sz w:val="20"/>
          <w:szCs w:val="20"/>
        </w:rPr>
        <w:t>прикладами</w:t>
      </w:r>
      <w:r w:rsidRPr="000977F7">
        <w:rPr>
          <w:rFonts w:asciiTheme="majorHAnsi" w:hAnsiTheme="majorHAnsi"/>
          <w:spacing w:val="1"/>
          <w:sz w:val="20"/>
          <w:szCs w:val="20"/>
        </w:rPr>
        <w:t xml:space="preserve"> </w:t>
      </w:r>
      <w:r w:rsidRPr="000977F7">
        <w:rPr>
          <w:rFonts w:asciiTheme="majorHAnsi" w:hAnsiTheme="majorHAnsi"/>
          <w:sz w:val="20"/>
          <w:szCs w:val="20"/>
        </w:rPr>
        <w:t>дій</w:t>
      </w:r>
      <w:r w:rsidRPr="000977F7">
        <w:rPr>
          <w:rFonts w:asciiTheme="majorHAnsi" w:hAnsiTheme="majorHAnsi"/>
          <w:spacing w:val="1"/>
          <w:sz w:val="20"/>
          <w:szCs w:val="20"/>
        </w:rPr>
        <w:t xml:space="preserve"> </w:t>
      </w:r>
      <w:r w:rsidRPr="000977F7">
        <w:rPr>
          <w:rFonts w:asciiTheme="majorHAnsi" w:hAnsiTheme="majorHAnsi"/>
          <w:sz w:val="20"/>
          <w:szCs w:val="20"/>
        </w:rPr>
        <w:t>стосовно</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 є відбір зразків, випробування та інспектування, оцінення, вивіряння та запевнення у 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(постачальницьке</w:t>
      </w:r>
      <w:r w:rsidRPr="000977F7">
        <w:rPr>
          <w:rFonts w:asciiTheme="majorHAnsi" w:hAnsiTheme="majorHAnsi"/>
          <w:spacing w:val="1"/>
          <w:sz w:val="20"/>
          <w:szCs w:val="20"/>
        </w:rPr>
        <w:t xml:space="preserve"> </w:t>
      </w:r>
      <w:r w:rsidRPr="000977F7">
        <w:rPr>
          <w:rFonts w:asciiTheme="majorHAnsi" w:hAnsiTheme="majorHAnsi"/>
          <w:sz w:val="20"/>
          <w:szCs w:val="20"/>
        </w:rPr>
        <w:t>декларування,</w:t>
      </w:r>
      <w:r w:rsidRPr="000977F7">
        <w:rPr>
          <w:rFonts w:asciiTheme="majorHAnsi" w:hAnsiTheme="majorHAnsi"/>
          <w:spacing w:val="1"/>
          <w:sz w:val="20"/>
          <w:szCs w:val="20"/>
        </w:rPr>
        <w:t xml:space="preserve"> </w:t>
      </w:r>
      <w:r w:rsidRPr="000977F7">
        <w:rPr>
          <w:rFonts w:asciiTheme="majorHAnsi" w:hAnsiTheme="majorHAnsi"/>
          <w:sz w:val="20"/>
          <w:szCs w:val="20"/>
        </w:rPr>
        <w:t>сертифікація) реєстрація, акредитація та затвердження, а також</w:t>
      </w:r>
      <w:r w:rsidRPr="000977F7">
        <w:rPr>
          <w:rFonts w:asciiTheme="majorHAnsi" w:hAnsiTheme="majorHAnsi"/>
          <w:spacing w:val="1"/>
          <w:sz w:val="20"/>
          <w:szCs w:val="20"/>
        </w:rPr>
        <w:t xml:space="preserve"> </w:t>
      </w:r>
      <w:r w:rsidRPr="000977F7">
        <w:rPr>
          <w:rFonts w:asciiTheme="majorHAnsi" w:hAnsiTheme="majorHAnsi"/>
          <w:sz w:val="20"/>
          <w:szCs w:val="20"/>
        </w:rPr>
        <w:t>комбінації</w:t>
      </w:r>
      <w:r w:rsidRPr="000977F7">
        <w:rPr>
          <w:rFonts w:asciiTheme="majorHAnsi" w:hAnsiTheme="majorHAnsi"/>
          <w:spacing w:val="-2"/>
          <w:sz w:val="20"/>
          <w:szCs w:val="20"/>
        </w:rPr>
        <w:t xml:space="preserve"> </w:t>
      </w:r>
      <w:r w:rsidRPr="000977F7">
        <w:rPr>
          <w:rFonts w:asciiTheme="majorHAnsi" w:hAnsiTheme="majorHAnsi"/>
          <w:sz w:val="20"/>
          <w:szCs w:val="20"/>
        </w:rPr>
        <w:t>цих</w:t>
      </w:r>
      <w:r w:rsidRPr="000977F7">
        <w:rPr>
          <w:rFonts w:asciiTheme="majorHAnsi" w:hAnsiTheme="majorHAnsi"/>
          <w:spacing w:val="-1"/>
          <w:sz w:val="20"/>
          <w:szCs w:val="20"/>
        </w:rPr>
        <w:t xml:space="preserve"> </w:t>
      </w:r>
      <w:r w:rsidRPr="000977F7">
        <w:rPr>
          <w:rFonts w:asciiTheme="majorHAnsi" w:hAnsiTheme="majorHAnsi"/>
          <w:sz w:val="20"/>
          <w:szCs w:val="20"/>
        </w:rPr>
        <w:t>дій</w:t>
      </w:r>
    </w:p>
    <w:p w14:paraId="4427BF8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 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43EA924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ВСТУПНА</w:t>
      </w:r>
      <w:r w:rsidRPr="000977F7">
        <w:rPr>
          <w:color w:val="auto"/>
          <w:spacing w:val="-3"/>
          <w:sz w:val="20"/>
          <w:szCs w:val="20"/>
        </w:rPr>
        <w:t xml:space="preserve"> </w:t>
      </w:r>
      <w:r w:rsidRPr="000977F7">
        <w:rPr>
          <w:color w:val="auto"/>
          <w:sz w:val="20"/>
          <w:szCs w:val="20"/>
        </w:rPr>
        <w:t>ЧАСТИНА</w:t>
      </w:r>
      <w:r w:rsidRPr="000977F7">
        <w:rPr>
          <w:color w:val="auto"/>
          <w:spacing w:val="-3"/>
          <w:sz w:val="20"/>
          <w:szCs w:val="20"/>
        </w:rPr>
        <w:t xml:space="preserve"> </w:t>
      </w:r>
      <w:r w:rsidRPr="000977F7">
        <w:rPr>
          <w:color w:val="auto"/>
          <w:sz w:val="20"/>
          <w:szCs w:val="20"/>
        </w:rPr>
        <w:t>СТАНДАРТУ –</w:t>
      </w:r>
    </w:p>
    <w:p w14:paraId="18FB770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INTRODUCTION</w:t>
      </w:r>
      <w:r w:rsidRPr="004D2D14">
        <w:rPr>
          <w:rFonts w:asciiTheme="majorHAnsi" w:hAnsiTheme="majorHAnsi"/>
          <w:spacing w:val="-2"/>
          <w:sz w:val="20"/>
          <w:szCs w:val="20"/>
          <w:lang w:val="uk-UA"/>
        </w:rPr>
        <w:t xml:space="preserve"> </w:t>
      </w:r>
      <w:r w:rsidRPr="000977F7">
        <w:rPr>
          <w:rFonts w:asciiTheme="majorHAnsi" w:hAnsiTheme="majorHAnsi"/>
          <w:sz w:val="20"/>
          <w:szCs w:val="20"/>
        </w:rPr>
        <w:t>OF</w:t>
      </w:r>
      <w:r w:rsidRPr="004D2D14">
        <w:rPr>
          <w:rFonts w:asciiTheme="majorHAnsi" w:hAnsiTheme="majorHAnsi"/>
          <w:spacing w:val="-3"/>
          <w:sz w:val="20"/>
          <w:szCs w:val="20"/>
          <w:lang w:val="uk-UA"/>
        </w:rPr>
        <w:t xml:space="preserve"> </w:t>
      </w:r>
      <w:r w:rsidRPr="000977F7">
        <w:rPr>
          <w:rFonts w:asciiTheme="majorHAnsi" w:hAnsiTheme="majorHAnsi"/>
          <w:sz w:val="20"/>
          <w:szCs w:val="20"/>
        </w:rPr>
        <w:t>A</w:t>
      </w:r>
      <w:r w:rsidRPr="004D2D14">
        <w:rPr>
          <w:rFonts w:asciiTheme="majorHAnsi" w:hAnsiTheme="majorHAnsi"/>
          <w:spacing w:val="-4"/>
          <w:sz w:val="20"/>
          <w:szCs w:val="20"/>
          <w:lang w:val="uk-UA"/>
        </w:rPr>
        <w:t xml:space="preserve"> </w:t>
      </w:r>
      <w:r w:rsidRPr="000977F7">
        <w:rPr>
          <w:rFonts w:asciiTheme="majorHAnsi" w:hAnsiTheme="majorHAnsi"/>
          <w:sz w:val="20"/>
          <w:szCs w:val="20"/>
        </w:rPr>
        <w:t>STANDARD</w:t>
      </w:r>
      <w:r w:rsidRPr="004D2D14">
        <w:rPr>
          <w:rFonts w:asciiTheme="majorHAnsi" w:hAnsiTheme="majorHAnsi"/>
          <w:sz w:val="20"/>
          <w:szCs w:val="20"/>
          <w:lang w:val="uk-UA"/>
        </w:rPr>
        <w:t xml:space="preserve"> –</w:t>
      </w:r>
    </w:p>
    <w:p w14:paraId="02122655"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Частина стандарту, розміщена після його назви при необхідності уточнення об’єкту стандартизації, галузі розповсюдження стандарту і (або) аспекту стандартизації</w:t>
      </w:r>
      <w:r w:rsidRPr="004D2D14">
        <w:rPr>
          <w:rFonts w:asciiTheme="majorHAnsi" w:hAnsiTheme="majorHAnsi"/>
          <w:spacing w:val="1"/>
          <w:sz w:val="20"/>
          <w:szCs w:val="20"/>
          <w:lang w:val="uk-UA"/>
        </w:rPr>
        <w:t xml:space="preserve"> </w:t>
      </w:r>
    </w:p>
    <w:p w14:paraId="0D5535BE"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ВТОМА</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18FB69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FATIGUE –</w:t>
      </w:r>
    </w:p>
    <w:p w14:paraId="000F36E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 поступового накопичення пошкоджень, утворення та розвитку тріщин у матеріалі під дією циклічного навантажування</w:t>
      </w:r>
    </w:p>
    <w:p w14:paraId="62B9A06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 – 94</w:t>
      </w:r>
    </w:p>
    <w:p w14:paraId="064A9FBE" w14:textId="77777777" w:rsidR="0097612F" w:rsidRPr="000977F7" w:rsidRDefault="0097612F" w:rsidP="000977F7">
      <w:pPr>
        <w:pStyle w:val="af6"/>
        <w:tabs>
          <w:tab w:val="left" w:pos="284"/>
        </w:tabs>
        <w:spacing w:after="0"/>
        <w:ind w:left="170"/>
        <w:mirrorIndents/>
        <w:jc w:val="both"/>
        <w:rPr>
          <w:rFonts w:asciiTheme="majorHAnsi" w:hAnsiTheme="majorHAnsi"/>
          <w:spacing w:val="-8"/>
          <w:sz w:val="20"/>
          <w:szCs w:val="20"/>
        </w:rPr>
      </w:pPr>
      <w:r w:rsidRPr="000977F7">
        <w:rPr>
          <w:rFonts w:asciiTheme="majorHAnsi" w:hAnsiTheme="majorHAnsi"/>
          <w:spacing w:val="-13"/>
          <w:sz w:val="20"/>
          <w:szCs w:val="20"/>
        </w:rPr>
        <w:t>Процес</w:t>
      </w:r>
      <w:r w:rsidRPr="000977F7">
        <w:rPr>
          <w:rFonts w:asciiTheme="majorHAnsi" w:hAnsiTheme="majorHAnsi"/>
          <w:spacing w:val="-24"/>
          <w:sz w:val="20"/>
          <w:szCs w:val="20"/>
        </w:rPr>
        <w:t xml:space="preserve"> </w:t>
      </w:r>
      <w:r w:rsidRPr="000977F7">
        <w:rPr>
          <w:rFonts w:asciiTheme="majorHAnsi" w:hAnsiTheme="majorHAnsi"/>
          <w:spacing w:val="-13"/>
          <w:sz w:val="20"/>
          <w:szCs w:val="20"/>
        </w:rPr>
        <w:t>поступового</w:t>
      </w:r>
      <w:r w:rsidRPr="000977F7">
        <w:rPr>
          <w:rFonts w:asciiTheme="majorHAnsi" w:hAnsiTheme="majorHAnsi"/>
          <w:spacing w:val="-23"/>
          <w:sz w:val="20"/>
          <w:szCs w:val="20"/>
        </w:rPr>
        <w:t xml:space="preserve"> </w:t>
      </w:r>
      <w:r w:rsidRPr="000977F7">
        <w:rPr>
          <w:rFonts w:asciiTheme="majorHAnsi" w:hAnsiTheme="majorHAnsi"/>
          <w:spacing w:val="-13"/>
          <w:sz w:val="20"/>
          <w:szCs w:val="20"/>
        </w:rPr>
        <w:t>нагромадження</w:t>
      </w:r>
      <w:r w:rsidRPr="000977F7">
        <w:rPr>
          <w:rFonts w:asciiTheme="majorHAnsi" w:hAnsiTheme="majorHAnsi"/>
          <w:spacing w:val="-24"/>
          <w:sz w:val="20"/>
          <w:szCs w:val="20"/>
        </w:rPr>
        <w:t xml:space="preserve"> </w:t>
      </w:r>
      <w:r w:rsidRPr="000977F7">
        <w:rPr>
          <w:rFonts w:asciiTheme="majorHAnsi" w:hAnsiTheme="majorHAnsi"/>
          <w:spacing w:val="-13"/>
          <w:sz w:val="20"/>
          <w:szCs w:val="20"/>
        </w:rPr>
        <w:t>пошкоджень</w:t>
      </w:r>
      <w:r w:rsidRPr="000977F7">
        <w:rPr>
          <w:rFonts w:asciiTheme="majorHAnsi" w:hAnsiTheme="majorHAnsi"/>
          <w:spacing w:val="-24"/>
          <w:sz w:val="20"/>
          <w:szCs w:val="20"/>
        </w:rPr>
        <w:t xml:space="preserve"> </w:t>
      </w:r>
      <w:r w:rsidRPr="000977F7">
        <w:rPr>
          <w:rFonts w:asciiTheme="majorHAnsi" w:hAnsiTheme="majorHAnsi"/>
          <w:spacing w:val="-13"/>
          <w:sz w:val="20"/>
          <w:szCs w:val="20"/>
        </w:rPr>
        <w:t>матеріалу</w:t>
      </w:r>
      <w:r w:rsidRPr="000977F7">
        <w:rPr>
          <w:rFonts w:asciiTheme="majorHAnsi" w:hAnsiTheme="majorHAnsi"/>
          <w:spacing w:val="-25"/>
          <w:sz w:val="20"/>
          <w:szCs w:val="20"/>
        </w:rPr>
        <w:t xml:space="preserve"> </w:t>
      </w:r>
      <w:r w:rsidRPr="000977F7">
        <w:rPr>
          <w:rFonts w:asciiTheme="majorHAnsi" w:hAnsiTheme="majorHAnsi"/>
          <w:spacing w:val="-13"/>
          <w:sz w:val="20"/>
          <w:szCs w:val="20"/>
        </w:rPr>
        <w:t>під</w:t>
      </w:r>
      <w:r w:rsidRPr="000977F7">
        <w:rPr>
          <w:rFonts w:asciiTheme="majorHAnsi" w:hAnsiTheme="majorHAnsi"/>
          <w:spacing w:val="-47"/>
          <w:sz w:val="20"/>
          <w:szCs w:val="20"/>
        </w:rPr>
        <w:t xml:space="preserve"> </w:t>
      </w:r>
      <w:r w:rsidRPr="000977F7">
        <w:rPr>
          <w:rFonts w:asciiTheme="majorHAnsi" w:hAnsiTheme="majorHAnsi"/>
          <w:spacing w:val="-8"/>
          <w:w w:val="95"/>
          <w:sz w:val="20"/>
          <w:szCs w:val="20"/>
        </w:rPr>
        <w:t>діянням</w:t>
      </w:r>
      <w:r w:rsidRPr="000977F7">
        <w:rPr>
          <w:rFonts w:asciiTheme="majorHAnsi" w:hAnsiTheme="majorHAnsi"/>
          <w:spacing w:val="-7"/>
          <w:w w:val="95"/>
          <w:sz w:val="20"/>
          <w:szCs w:val="20"/>
        </w:rPr>
        <w:t xml:space="preserve"> </w:t>
      </w:r>
      <w:r w:rsidRPr="000977F7">
        <w:rPr>
          <w:rFonts w:asciiTheme="majorHAnsi" w:hAnsiTheme="majorHAnsi"/>
          <w:spacing w:val="-8"/>
          <w:w w:val="95"/>
          <w:sz w:val="20"/>
          <w:szCs w:val="20"/>
        </w:rPr>
        <w:t>змінних</w:t>
      </w:r>
      <w:r w:rsidRPr="000977F7">
        <w:rPr>
          <w:rFonts w:asciiTheme="majorHAnsi" w:hAnsiTheme="majorHAnsi"/>
          <w:spacing w:val="-6"/>
          <w:w w:val="95"/>
          <w:sz w:val="20"/>
          <w:szCs w:val="20"/>
        </w:rPr>
        <w:t xml:space="preserve"> </w:t>
      </w:r>
      <w:r w:rsidRPr="000977F7">
        <w:rPr>
          <w:rFonts w:asciiTheme="majorHAnsi" w:hAnsiTheme="majorHAnsi"/>
          <w:spacing w:val="-8"/>
          <w:w w:val="95"/>
          <w:sz w:val="20"/>
          <w:szCs w:val="20"/>
        </w:rPr>
        <w:t>напружень,</w:t>
      </w:r>
      <w:r w:rsidRPr="000977F7">
        <w:rPr>
          <w:rFonts w:asciiTheme="majorHAnsi" w:hAnsiTheme="majorHAnsi"/>
          <w:spacing w:val="-6"/>
          <w:w w:val="95"/>
          <w:sz w:val="20"/>
          <w:szCs w:val="20"/>
        </w:rPr>
        <w:t xml:space="preserve"> </w:t>
      </w:r>
      <w:r w:rsidRPr="000977F7">
        <w:rPr>
          <w:rFonts w:asciiTheme="majorHAnsi" w:hAnsiTheme="majorHAnsi"/>
          <w:spacing w:val="-8"/>
          <w:w w:val="95"/>
          <w:sz w:val="20"/>
          <w:szCs w:val="20"/>
        </w:rPr>
        <w:t>який призводить</w:t>
      </w:r>
      <w:r w:rsidRPr="000977F7">
        <w:rPr>
          <w:rFonts w:asciiTheme="majorHAnsi" w:hAnsiTheme="majorHAnsi"/>
          <w:spacing w:val="-6"/>
          <w:w w:val="95"/>
          <w:sz w:val="20"/>
          <w:szCs w:val="20"/>
        </w:rPr>
        <w:t xml:space="preserve"> </w:t>
      </w:r>
      <w:r w:rsidRPr="000977F7">
        <w:rPr>
          <w:rFonts w:asciiTheme="majorHAnsi" w:hAnsiTheme="majorHAnsi"/>
          <w:spacing w:val="-8"/>
          <w:w w:val="95"/>
          <w:sz w:val="20"/>
          <w:szCs w:val="20"/>
        </w:rPr>
        <w:t>до</w:t>
      </w:r>
      <w:r w:rsidRPr="000977F7">
        <w:rPr>
          <w:rFonts w:asciiTheme="majorHAnsi" w:hAnsiTheme="majorHAnsi"/>
          <w:spacing w:val="-6"/>
          <w:w w:val="95"/>
          <w:sz w:val="20"/>
          <w:szCs w:val="20"/>
        </w:rPr>
        <w:t xml:space="preserve"> </w:t>
      </w:r>
      <w:r w:rsidRPr="000977F7">
        <w:rPr>
          <w:rFonts w:asciiTheme="majorHAnsi" w:hAnsiTheme="majorHAnsi"/>
          <w:spacing w:val="-8"/>
          <w:w w:val="95"/>
          <w:sz w:val="20"/>
          <w:szCs w:val="20"/>
        </w:rPr>
        <w:t xml:space="preserve">зміни </w:t>
      </w:r>
      <w:r w:rsidRPr="000977F7">
        <w:rPr>
          <w:rFonts w:asciiTheme="majorHAnsi" w:hAnsiTheme="majorHAnsi"/>
          <w:spacing w:val="-7"/>
          <w:w w:val="95"/>
          <w:sz w:val="20"/>
          <w:szCs w:val="20"/>
        </w:rPr>
        <w:t>власти</w:t>
      </w:r>
      <w:r w:rsidRPr="000977F7">
        <w:rPr>
          <w:rFonts w:asciiTheme="majorHAnsi" w:hAnsiTheme="majorHAnsi"/>
          <w:spacing w:val="-10"/>
          <w:sz w:val="20"/>
          <w:szCs w:val="20"/>
        </w:rPr>
        <w:t xml:space="preserve">востей, </w:t>
      </w:r>
      <w:r w:rsidRPr="000977F7">
        <w:rPr>
          <w:rFonts w:asciiTheme="majorHAnsi" w:hAnsiTheme="majorHAnsi"/>
          <w:spacing w:val="-9"/>
          <w:sz w:val="20"/>
          <w:szCs w:val="20"/>
        </w:rPr>
        <w:t>появи тріщин, їх розвитку та руйнування матеріалу</w:t>
      </w:r>
      <w:r w:rsidRPr="000977F7">
        <w:rPr>
          <w:rFonts w:asciiTheme="majorHAnsi" w:hAnsiTheme="majorHAnsi"/>
          <w:spacing w:val="-8"/>
          <w:sz w:val="20"/>
          <w:szCs w:val="20"/>
        </w:rPr>
        <w:t xml:space="preserve"> </w:t>
      </w:r>
    </w:p>
    <w:p w14:paraId="77DEF424"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5"/>
          <w:sz w:val="20"/>
          <w:szCs w:val="20"/>
          <w:lang w:val="en-US"/>
        </w:rPr>
        <w:t xml:space="preserve"> </w:t>
      </w:r>
      <w:r w:rsidRPr="004D2D14">
        <w:rPr>
          <w:rFonts w:asciiTheme="majorHAnsi" w:hAnsiTheme="majorHAnsi"/>
          <w:i/>
          <w:sz w:val="20"/>
          <w:szCs w:val="20"/>
          <w:lang w:val="en-US"/>
        </w:rPr>
        <w:t>2860</w:t>
      </w:r>
      <w:r w:rsidRPr="004D2D14">
        <w:rPr>
          <w:rFonts w:asciiTheme="majorHAnsi" w:hAnsiTheme="majorHAnsi"/>
          <w:i/>
          <w:spacing w:val="-24"/>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24"/>
          <w:sz w:val="20"/>
          <w:szCs w:val="20"/>
          <w:lang w:val="en-US"/>
        </w:rPr>
        <w:t xml:space="preserve"> </w:t>
      </w:r>
      <w:r w:rsidRPr="004D2D14">
        <w:rPr>
          <w:rFonts w:asciiTheme="majorHAnsi" w:hAnsiTheme="majorHAnsi"/>
          <w:i/>
          <w:sz w:val="20"/>
          <w:szCs w:val="20"/>
          <w:lang w:val="en-US"/>
        </w:rPr>
        <w:t>94</w:t>
      </w:r>
    </w:p>
    <w:p w14:paraId="3F490B2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ВТОМНА</w:t>
      </w:r>
      <w:r w:rsidRPr="000977F7">
        <w:rPr>
          <w:color w:val="auto"/>
          <w:spacing w:val="-4"/>
          <w:sz w:val="20"/>
          <w:szCs w:val="20"/>
        </w:rPr>
        <w:t xml:space="preserve"> </w:t>
      </w:r>
      <w:r w:rsidRPr="000977F7">
        <w:rPr>
          <w:color w:val="auto"/>
          <w:sz w:val="20"/>
          <w:szCs w:val="20"/>
        </w:rPr>
        <w:t>ДОВГОВІЧНІСТЬ</w:t>
      </w:r>
      <w:r w:rsidRPr="000977F7">
        <w:rPr>
          <w:color w:val="auto"/>
          <w:spacing w:val="-1"/>
          <w:sz w:val="20"/>
          <w:szCs w:val="20"/>
        </w:rPr>
        <w:t xml:space="preserve"> </w:t>
      </w:r>
      <w:r w:rsidRPr="000977F7">
        <w:rPr>
          <w:color w:val="auto"/>
          <w:sz w:val="20"/>
          <w:szCs w:val="20"/>
        </w:rPr>
        <w:t>–</w:t>
      </w:r>
    </w:p>
    <w:p w14:paraId="703DBD9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FATIGUE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LIFE;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FATIGUE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LONGEVITY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0B9F55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Тривалість дії повторно-змінних напружень до певної</w:t>
      </w:r>
      <w:r w:rsidRPr="000977F7">
        <w:rPr>
          <w:rFonts w:asciiTheme="majorHAnsi" w:hAnsiTheme="majorHAnsi"/>
          <w:spacing w:val="-47"/>
          <w:sz w:val="20"/>
          <w:szCs w:val="20"/>
        </w:rPr>
        <w:t xml:space="preserve"> </w:t>
      </w:r>
      <w:r w:rsidRPr="000977F7">
        <w:rPr>
          <w:rFonts w:asciiTheme="majorHAnsi" w:hAnsiTheme="majorHAnsi"/>
          <w:sz w:val="20"/>
          <w:szCs w:val="20"/>
        </w:rPr>
        <w:t>стадії руйнування чи до виникнення втомної тріщини</w:t>
      </w:r>
      <w:r w:rsidRPr="000977F7">
        <w:rPr>
          <w:rFonts w:asciiTheme="majorHAnsi" w:hAnsiTheme="majorHAnsi"/>
          <w:spacing w:val="1"/>
          <w:sz w:val="20"/>
          <w:szCs w:val="20"/>
        </w:rPr>
        <w:t xml:space="preserve"> </w:t>
      </w:r>
      <w:r w:rsidRPr="000977F7">
        <w:rPr>
          <w:rFonts w:asciiTheme="majorHAnsi" w:hAnsiTheme="majorHAnsi"/>
          <w:sz w:val="20"/>
          <w:szCs w:val="20"/>
        </w:rPr>
        <w:t>певного розміру</w:t>
      </w:r>
    </w:p>
    <w:p w14:paraId="7AA67F3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2444</w:t>
      </w:r>
      <w:r w:rsidRPr="000977F7">
        <w:rPr>
          <w:rFonts w:asciiTheme="majorHAnsi" w:hAnsiTheme="majorHAnsi"/>
          <w:i/>
          <w:spacing w:val="2"/>
          <w:sz w:val="20"/>
          <w:szCs w:val="20"/>
        </w:rPr>
        <w:t xml:space="preserve"> </w:t>
      </w:r>
      <w:r w:rsidRPr="000977F7">
        <w:rPr>
          <w:rFonts w:asciiTheme="majorHAnsi" w:hAnsiTheme="majorHAnsi"/>
          <w:i/>
          <w:sz w:val="20"/>
          <w:szCs w:val="20"/>
        </w:rPr>
        <w:t>– 94</w:t>
      </w:r>
    </w:p>
    <w:p w14:paraId="606BA272"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ВТОМНА</w:t>
      </w:r>
      <w:r w:rsidRPr="000977F7">
        <w:rPr>
          <w:rFonts w:asciiTheme="majorHAnsi" w:hAnsiTheme="majorHAnsi"/>
          <w:b/>
          <w:spacing w:val="-9"/>
          <w:sz w:val="20"/>
          <w:szCs w:val="20"/>
        </w:rPr>
        <w:t xml:space="preserve"> </w:t>
      </w:r>
      <w:r w:rsidRPr="000977F7">
        <w:rPr>
          <w:rFonts w:asciiTheme="majorHAnsi" w:hAnsiTheme="majorHAnsi"/>
          <w:b/>
          <w:sz w:val="20"/>
          <w:szCs w:val="20"/>
        </w:rPr>
        <w:t>ТРІЩИНА</w:t>
      </w:r>
      <w:r w:rsidRPr="000977F7">
        <w:rPr>
          <w:rFonts w:asciiTheme="majorHAnsi" w:hAnsiTheme="majorHAnsi"/>
          <w:b/>
          <w:spacing w:val="-7"/>
          <w:sz w:val="20"/>
          <w:szCs w:val="20"/>
        </w:rPr>
        <w:t xml:space="preserve"> </w:t>
      </w:r>
      <w:r w:rsidRPr="000977F7">
        <w:rPr>
          <w:rFonts w:asciiTheme="majorHAnsi" w:hAnsiTheme="majorHAnsi"/>
          <w:b/>
          <w:sz w:val="20"/>
          <w:szCs w:val="20"/>
        </w:rPr>
        <w:t>–</w:t>
      </w:r>
      <w:r w:rsidRPr="000977F7">
        <w:rPr>
          <w:rFonts w:asciiTheme="majorHAnsi" w:hAnsiTheme="majorHAnsi"/>
          <w:b/>
          <w:spacing w:val="-47"/>
          <w:sz w:val="20"/>
          <w:szCs w:val="20"/>
        </w:rPr>
        <w:t xml:space="preserve"> </w:t>
      </w:r>
    </w:p>
    <w:p w14:paraId="1C43C94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FATIGUE CRACK</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F8C944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Тріщина в матеріалі об'єкта, яка утворюється від дії</w:t>
      </w:r>
      <w:r w:rsidRPr="000977F7">
        <w:rPr>
          <w:rFonts w:asciiTheme="majorHAnsi" w:hAnsiTheme="majorHAnsi"/>
          <w:spacing w:val="1"/>
          <w:sz w:val="20"/>
          <w:szCs w:val="20"/>
        </w:rPr>
        <w:t xml:space="preserve"> </w:t>
      </w:r>
      <w:r w:rsidRPr="000977F7">
        <w:rPr>
          <w:rFonts w:asciiTheme="majorHAnsi" w:hAnsiTheme="majorHAnsi"/>
          <w:sz w:val="20"/>
          <w:szCs w:val="20"/>
        </w:rPr>
        <w:t>циклічного навантаження</w:t>
      </w:r>
    </w:p>
    <w:p w14:paraId="7F218DE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54DF1F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ВТОМНЕ</w:t>
      </w:r>
      <w:r w:rsidRPr="000977F7">
        <w:rPr>
          <w:color w:val="auto"/>
          <w:spacing w:val="-4"/>
          <w:sz w:val="20"/>
          <w:szCs w:val="20"/>
        </w:rPr>
        <w:t xml:space="preserve"> </w:t>
      </w:r>
      <w:r w:rsidRPr="000977F7">
        <w:rPr>
          <w:color w:val="auto"/>
          <w:sz w:val="20"/>
          <w:szCs w:val="20"/>
        </w:rPr>
        <w:t>ЗРУЙНУВАННЯ</w:t>
      </w:r>
      <w:r w:rsidRPr="000977F7">
        <w:rPr>
          <w:color w:val="auto"/>
          <w:spacing w:val="-1"/>
          <w:sz w:val="20"/>
          <w:szCs w:val="20"/>
        </w:rPr>
        <w:t xml:space="preserve"> </w:t>
      </w:r>
      <w:r w:rsidRPr="000977F7">
        <w:rPr>
          <w:color w:val="auto"/>
          <w:sz w:val="20"/>
          <w:szCs w:val="20"/>
        </w:rPr>
        <w:t>–</w:t>
      </w:r>
    </w:p>
    <w:p w14:paraId="5A47A3B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FATIGUE</w:t>
      </w:r>
      <w:r w:rsidRPr="000977F7">
        <w:rPr>
          <w:rFonts w:asciiTheme="majorHAnsi" w:hAnsiTheme="majorHAnsi"/>
          <w:spacing w:val="-2"/>
          <w:sz w:val="20"/>
          <w:szCs w:val="20"/>
        </w:rPr>
        <w:t xml:space="preserve"> </w:t>
      </w:r>
      <w:r w:rsidRPr="000977F7">
        <w:rPr>
          <w:rFonts w:asciiTheme="majorHAnsi" w:hAnsiTheme="majorHAnsi"/>
          <w:sz w:val="20"/>
          <w:szCs w:val="20"/>
        </w:rPr>
        <w:t>FAILURE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09604BF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Зруйнування матеріалу об'єкта від дії циклічного навантаження</w:t>
      </w:r>
      <w:r w:rsidRPr="000977F7">
        <w:rPr>
          <w:rFonts w:asciiTheme="majorHAnsi" w:hAnsiTheme="majorHAnsi"/>
          <w:spacing w:val="1"/>
          <w:sz w:val="20"/>
          <w:szCs w:val="20"/>
        </w:rPr>
        <w:t xml:space="preserve"> </w:t>
      </w:r>
      <w:r w:rsidRPr="000977F7">
        <w:rPr>
          <w:rFonts w:asciiTheme="majorHAnsi" w:hAnsiTheme="majorHAnsi"/>
          <w:sz w:val="20"/>
          <w:szCs w:val="20"/>
        </w:rPr>
        <w:t>через</w:t>
      </w:r>
      <w:r w:rsidRPr="000977F7">
        <w:rPr>
          <w:rFonts w:asciiTheme="majorHAnsi" w:hAnsiTheme="majorHAnsi"/>
          <w:spacing w:val="1"/>
          <w:sz w:val="20"/>
          <w:szCs w:val="20"/>
        </w:rPr>
        <w:t xml:space="preserve"> </w:t>
      </w:r>
      <w:r w:rsidRPr="000977F7">
        <w:rPr>
          <w:rFonts w:asciiTheme="majorHAnsi" w:hAnsiTheme="majorHAnsi"/>
          <w:sz w:val="20"/>
          <w:szCs w:val="20"/>
        </w:rPr>
        <w:t>поширення</w:t>
      </w:r>
      <w:r w:rsidRPr="000977F7">
        <w:rPr>
          <w:rFonts w:asciiTheme="majorHAnsi" w:hAnsiTheme="majorHAnsi"/>
          <w:spacing w:val="1"/>
          <w:sz w:val="20"/>
          <w:szCs w:val="20"/>
        </w:rPr>
        <w:t xml:space="preserve"> </w:t>
      </w:r>
      <w:r w:rsidRPr="000977F7">
        <w:rPr>
          <w:rFonts w:asciiTheme="majorHAnsi" w:hAnsiTheme="majorHAnsi"/>
          <w:sz w:val="20"/>
          <w:szCs w:val="20"/>
        </w:rPr>
        <w:t>втомної</w:t>
      </w:r>
      <w:r w:rsidRPr="000977F7">
        <w:rPr>
          <w:rFonts w:asciiTheme="majorHAnsi" w:hAnsiTheme="majorHAnsi"/>
          <w:spacing w:val="1"/>
          <w:sz w:val="20"/>
          <w:szCs w:val="20"/>
        </w:rPr>
        <w:t xml:space="preserve"> </w:t>
      </w:r>
      <w:r w:rsidRPr="000977F7">
        <w:rPr>
          <w:rFonts w:asciiTheme="majorHAnsi" w:hAnsiTheme="majorHAnsi"/>
          <w:sz w:val="20"/>
          <w:szCs w:val="20"/>
        </w:rPr>
        <w:t>тріщини</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повної</w:t>
      </w:r>
      <w:r w:rsidRPr="000977F7">
        <w:rPr>
          <w:rFonts w:asciiTheme="majorHAnsi" w:hAnsiTheme="majorHAnsi"/>
          <w:spacing w:val="-2"/>
          <w:sz w:val="20"/>
          <w:szCs w:val="20"/>
        </w:rPr>
        <w:t xml:space="preserve"> </w:t>
      </w:r>
      <w:r w:rsidRPr="000977F7">
        <w:rPr>
          <w:rFonts w:asciiTheme="majorHAnsi" w:hAnsiTheme="majorHAnsi"/>
          <w:sz w:val="20"/>
          <w:szCs w:val="20"/>
        </w:rPr>
        <w:t>втрати ним</w:t>
      </w:r>
      <w:r w:rsidRPr="000977F7">
        <w:rPr>
          <w:rFonts w:asciiTheme="majorHAnsi" w:hAnsiTheme="majorHAnsi"/>
          <w:spacing w:val="2"/>
          <w:sz w:val="20"/>
          <w:szCs w:val="20"/>
        </w:rPr>
        <w:t xml:space="preserve"> </w:t>
      </w:r>
      <w:r w:rsidRPr="000977F7">
        <w:rPr>
          <w:rFonts w:asciiTheme="majorHAnsi" w:hAnsiTheme="majorHAnsi"/>
          <w:sz w:val="20"/>
          <w:szCs w:val="20"/>
        </w:rPr>
        <w:t>працездатності</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міцності</w:t>
      </w:r>
    </w:p>
    <w:p w14:paraId="4E4E39B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A07E65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ВТОМНЕ</w:t>
      </w:r>
      <w:r w:rsidRPr="000977F7">
        <w:rPr>
          <w:color w:val="auto"/>
          <w:spacing w:val="-5"/>
          <w:sz w:val="20"/>
          <w:szCs w:val="20"/>
        </w:rPr>
        <w:t xml:space="preserve"> </w:t>
      </w:r>
      <w:r w:rsidRPr="000977F7">
        <w:rPr>
          <w:color w:val="auto"/>
          <w:sz w:val="20"/>
          <w:szCs w:val="20"/>
        </w:rPr>
        <w:t>ПОШКОДЖЕННЯ –</w:t>
      </w:r>
    </w:p>
    <w:p w14:paraId="0C1B489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FATIGUE</w:t>
      </w:r>
      <w:r w:rsidRPr="000977F7">
        <w:rPr>
          <w:rFonts w:asciiTheme="majorHAnsi" w:hAnsiTheme="majorHAnsi"/>
          <w:spacing w:val="-2"/>
          <w:sz w:val="20"/>
          <w:szCs w:val="20"/>
        </w:rPr>
        <w:t xml:space="preserve"> </w:t>
      </w:r>
      <w:r w:rsidRPr="000977F7">
        <w:rPr>
          <w:rFonts w:asciiTheme="majorHAnsi" w:hAnsiTheme="majorHAnsi"/>
          <w:sz w:val="20"/>
          <w:szCs w:val="20"/>
        </w:rPr>
        <w:t>DAMAGE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DBC347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Необоротна</w:t>
      </w:r>
      <w:r w:rsidRPr="000977F7">
        <w:rPr>
          <w:rFonts w:asciiTheme="majorHAnsi" w:hAnsiTheme="majorHAnsi"/>
          <w:spacing w:val="1"/>
          <w:sz w:val="20"/>
          <w:szCs w:val="20"/>
        </w:rPr>
        <w:t xml:space="preserve"> </w:t>
      </w:r>
      <w:r w:rsidRPr="000977F7">
        <w:rPr>
          <w:rFonts w:asciiTheme="majorHAnsi" w:hAnsiTheme="majorHAnsi"/>
          <w:sz w:val="20"/>
          <w:szCs w:val="20"/>
        </w:rPr>
        <w:t>зміна</w:t>
      </w:r>
      <w:r w:rsidRPr="000977F7">
        <w:rPr>
          <w:rFonts w:asciiTheme="majorHAnsi" w:hAnsiTheme="majorHAnsi"/>
          <w:spacing w:val="1"/>
          <w:sz w:val="20"/>
          <w:szCs w:val="20"/>
        </w:rPr>
        <w:t xml:space="preserve"> </w:t>
      </w:r>
      <w:r w:rsidRPr="000977F7">
        <w:rPr>
          <w:rFonts w:asciiTheme="majorHAnsi" w:hAnsiTheme="majorHAnsi"/>
          <w:sz w:val="20"/>
          <w:szCs w:val="20"/>
        </w:rPr>
        <w:t>фізико-механічних</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властивостей</w:t>
      </w:r>
      <w:r w:rsidRPr="000977F7">
        <w:rPr>
          <w:rFonts w:asciiTheme="majorHAnsi" w:hAnsiTheme="majorHAnsi"/>
          <w:spacing w:val="1"/>
          <w:sz w:val="20"/>
          <w:szCs w:val="20"/>
        </w:rPr>
        <w:t xml:space="preserve"> </w:t>
      </w:r>
      <w:r w:rsidRPr="000977F7">
        <w:rPr>
          <w:rFonts w:asciiTheme="majorHAnsi" w:hAnsiTheme="majorHAnsi"/>
          <w:sz w:val="20"/>
          <w:szCs w:val="20"/>
        </w:rPr>
        <w:t>матеріалу об'єкта і поява втомної тріщини від дії циклічного навантаження</w:t>
      </w:r>
    </w:p>
    <w:p w14:paraId="0835F694"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2444</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94</w:t>
      </w:r>
    </w:p>
    <w:p w14:paraId="19413F78"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ВТОМНИЙ</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ЗЛАМ</w:t>
      </w:r>
      <w:r w:rsidRPr="004D2D14">
        <w:rPr>
          <w:rFonts w:asciiTheme="majorHAnsi" w:hAnsiTheme="majorHAnsi"/>
          <w:b/>
          <w:spacing w:val="2"/>
          <w:sz w:val="20"/>
          <w:szCs w:val="20"/>
          <w:lang w:val="en-US"/>
        </w:rPr>
        <w:t xml:space="preserve"> </w:t>
      </w:r>
      <w:r w:rsidRPr="004D2D14">
        <w:rPr>
          <w:rFonts w:asciiTheme="majorHAnsi" w:hAnsiTheme="majorHAnsi"/>
          <w:sz w:val="20"/>
          <w:szCs w:val="20"/>
          <w:lang w:val="en-US"/>
        </w:rPr>
        <w:t>–</w:t>
      </w:r>
    </w:p>
    <w:p w14:paraId="772C9ECE"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FATIGUE FRACTURE –</w:t>
      </w:r>
    </w:p>
    <w:p w14:paraId="05D5383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Поверхня тріщини, що утворюється під час втомного</w:t>
      </w:r>
      <w:r w:rsidRPr="000977F7">
        <w:rPr>
          <w:rFonts w:asciiTheme="majorHAnsi" w:hAnsiTheme="majorHAnsi"/>
          <w:spacing w:val="-48"/>
          <w:sz w:val="20"/>
          <w:szCs w:val="20"/>
        </w:rPr>
        <w:t xml:space="preserve"> </w:t>
      </w:r>
      <w:r w:rsidRPr="000977F7">
        <w:rPr>
          <w:rFonts w:asciiTheme="majorHAnsi" w:hAnsiTheme="majorHAnsi"/>
          <w:sz w:val="20"/>
          <w:szCs w:val="20"/>
        </w:rPr>
        <w:t>руйнування</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p>
    <w:p w14:paraId="5FDAD86B"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2444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94</w:t>
      </w:r>
    </w:p>
    <w:p w14:paraId="69AD686B"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1"/>
          <w:sz w:val="20"/>
          <w:szCs w:val="20"/>
          <w:lang w:val="en-US"/>
        </w:rPr>
      </w:pPr>
      <w:r w:rsidRPr="000977F7">
        <w:rPr>
          <w:rFonts w:asciiTheme="majorHAnsi" w:hAnsiTheme="majorHAnsi"/>
          <w:b/>
          <w:sz w:val="20"/>
          <w:szCs w:val="20"/>
        </w:rPr>
        <w:t>ВТОМНІ</w:t>
      </w:r>
      <w:r w:rsidRPr="004D2D14">
        <w:rPr>
          <w:rFonts w:asciiTheme="majorHAnsi" w:hAnsiTheme="majorHAnsi"/>
          <w:b/>
          <w:sz w:val="20"/>
          <w:szCs w:val="20"/>
          <w:lang w:val="en-US"/>
        </w:rPr>
        <w:t xml:space="preserve"> </w:t>
      </w:r>
      <w:r w:rsidRPr="000977F7">
        <w:rPr>
          <w:rFonts w:asciiTheme="majorHAnsi" w:hAnsiTheme="majorHAnsi"/>
          <w:b/>
          <w:sz w:val="20"/>
          <w:szCs w:val="20"/>
        </w:rPr>
        <w:t>ЛІНІЇ</w:t>
      </w:r>
      <w:r w:rsidRPr="004D2D14">
        <w:rPr>
          <w:rFonts w:asciiTheme="majorHAnsi" w:hAnsiTheme="majorHAnsi"/>
          <w:b/>
          <w:sz w:val="20"/>
          <w:szCs w:val="20"/>
          <w:lang w:val="en-US"/>
        </w:rPr>
        <w:t xml:space="preserve"> –</w:t>
      </w:r>
    </w:p>
    <w:p w14:paraId="3C8BD21F"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BEACH</w:t>
      </w:r>
      <w:r w:rsidRPr="004D2D14">
        <w:rPr>
          <w:rFonts w:asciiTheme="majorHAnsi" w:hAnsiTheme="majorHAnsi"/>
          <w:spacing w:val="-9"/>
          <w:sz w:val="20"/>
          <w:szCs w:val="20"/>
          <w:lang w:val="en-US"/>
        </w:rPr>
        <w:t xml:space="preserve"> </w:t>
      </w:r>
      <w:r w:rsidRPr="004D2D14">
        <w:rPr>
          <w:rFonts w:asciiTheme="majorHAnsi" w:hAnsiTheme="majorHAnsi"/>
          <w:sz w:val="20"/>
          <w:szCs w:val="20"/>
          <w:lang w:val="en-US"/>
        </w:rPr>
        <w:t>MARKING</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w:t>
      </w:r>
    </w:p>
    <w:p w14:paraId="5B08D5C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Лінії на втомному зламі, які утворюються під час зростання</w:t>
      </w:r>
      <w:r w:rsidRPr="000977F7">
        <w:rPr>
          <w:rFonts w:asciiTheme="majorHAnsi" w:hAnsiTheme="majorHAnsi"/>
          <w:spacing w:val="-2"/>
          <w:sz w:val="20"/>
          <w:szCs w:val="20"/>
        </w:rPr>
        <w:t xml:space="preserve"> </w:t>
      </w:r>
      <w:r w:rsidRPr="000977F7">
        <w:rPr>
          <w:rFonts w:asciiTheme="majorHAnsi" w:hAnsiTheme="majorHAnsi"/>
          <w:sz w:val="20"/>
          <w:szCs w:val="20"/>
        </w:rPr>
        <w:t>втомної</w:t>
      </w:r>
      <w:r w:rsidRPr="000977F7">
        <w:rPr>
          <w:rFonts w:asciiTheme="majorHAnsi" w:hAnsiTheme="majorHAnsi"/>
          <w:spacing w:val="-1"/>
          <w:sz w:val="20"/>
          <w:szCs w:val="20"/>
        </w:rPr>
        <w:t xml:space="preserve"> </w:t>
      </w:r>
      <w:r w:rsidRPr="000977F7">
        <w:rPr>
          <w:rFonts w:asciiTheme="majorHAnsi" w:hAnsiTheme="majorHAnsi"/>
          <w:sz w:val="20"/>
          <w:szCs w:val="20"/>
        </w:rPr>
        <w:t>тріщини</w:t>
      </w:r>
    </w:p>
    <w:p w14:paraId="7CFD8642"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2444</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94</w:t>
      </w:r>
    </w:p>
    <w:p w14:paraId="25148BD0" w14:textId="77777777" w:rsidR="0097612F" w:rsidRPr="004D2D14" w:rsidRDefault="0097612F" w:rsidP="000977F7">
      <w:pPr>
        <w:tabs>
          <w:tab w:val="left" w:pos="284"/>
        </w:tabs>
        <w:spacing w:after="0" w:line="240" w:lineRule="auto"/>
        <w:ind w:left="170"/>
        <w:mirrorIndents/>
        <w:jc w:val="both"/>
        <w:rPr>
          <w:rFonts w:asciiTheme="majorHAnsi" w:hAnsiTheme="majorHAnsi"/>
          <w:spacing w:val="-47"/>
          <w:sz w:val="20"/>
          <w:szCs w:val="20"/>
          <w:lang w:val="en-US"/>
        </w:rPr>
      </w:pPr>
      <w:r w:rsidRPr="000977F7">
        <w:rPr>
          <w:rFonts w:asciiTheme="majorHAnsi" w:hAnsiTheme="majorHAnsi"/>
          <w:b/>
          <w:sz w:val="20"/>
          <w:szCs w:val="20"/>
        </w:rPr>
        <w:t>ВТОРИННА</w:t>
      </w:r>
      <w:r w:rsidRPr="004D2D14">
        <w:rPr>
          <w:rFonts w:asciiTheme="majorHAnsi" w:hAnsiTheme="majorHAnsi"/>
          <w:b/>
          <w:sz w:val="20"/>
          <w:szCs w:val="20"/>
          <w:lang w:val="en-US"/>
        </w:rPr>
        <w:t xml:space="preserve"> </w:t>
      </w:r>
      <w:r w:rsidRPr="000977F7">
        <w:rPr>
          <w:rFonts w:asciiTheme="majorHAnsi" w:hAnsiTheme="majorHAnsi"/>
          <w:b/>
          <w:sz w:val="20"/>
          <w:szCs w:val="20"/>
        </w:rPr>
        <w:t>ВІДМОВА</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p>
    <w:p w14:paraId="20446B87"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SECONDARY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BDDE0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 яка прямо або не прямо залежить від відмови</w:t>
      </w:r>
      <w:r w:rsidRPr="000977F7">
        <w:rPr>
          <w:rFonts w:asciiTheme="majorHAnsi" w:hAnsiTheme="majorHAnsi"/>
          <w:spacing w:val="-48"/>
          <w:sz w:val="20"/>
          <w:szCs w:val="20"/>
        </w:rPr>
        <w:t xml:space="preserve"> </w:t>
      </w:r>
      <w:r w:rsidRPr="000977F7">
        <w:rPr>
          <w:rFonts w:asciiTheme="majorHAnsi" w:hAnsiTheme="majorHAnsi"/>
          <w:sz w:val="20"/>
          <w:szCs w:val="20"/>
        </w:rPr>
        <w:t>іншого виробу</w:t>
      </w:r>
    </w:p>
    <w:p w14:paraId="09E8390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36" w:name="_Hlk101088433"/>
      <w:r w:rsidRPr="000977F7">
        <w:rPr>
          <w:color w:val="auto"/>
          <w:sz w:val="20"/>
          <w:szCs w:val="20"/>
        </w:rPr>
        <w:t>ВТОРИНHИЙ</w:t>
      </w:r>
      <w:r w:rsidRPr="000977F7">
        <w:rPr>
          <w:color w:val="auto"/>
          <w:spacing w:val="-3"/>
          <w:sz w:val="20"/>
          <w:szCs w:val="20"/>
        </w:rPr>
        <w:t xml:space="preserve"> </w:t>
      </w:r>
      <w:r w:rsidRPr="000977F7">
        <w:rPr>
          <w:color w:val="auto"/>
          <w:sz w:val="20"/>
          <w:szCs w:val="20"/>
        </w:rPr>
        <w:t>ЕТАЛОН –</w:t>
      </w:r>
    </w:p>
    <w:p w14:paraId="2CE1465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SECONDARY</w:t>
      </w:r>
      <w:r w:rsidRPr="000977F7">
        <w:rPr>
          <w:rFonts w:asciiTheme="majorHAnsi" w:hAnsiTheme="majorHAnsi"/>
          <w:spacing w:val="-1"/>
          <w:sz w:val="20"/>
          <w:szCs w:val="20"/>
        </w:rPr>
        <w:t xml:space="preserve"> </w:t>
      </w:r>
      <w:r w:rsidRPr="000977F7">
        <w:rPr>
          <w:rFonts w:asciiTheme="majorHAnsi" w:hAnsiTheme="majorHAnsi"/>
          <w:sz w:val="20"/>
          <w:szCs w:val="20"/>
        </w:rPr>
        <w:t>STANDART</w:t>
      </w:r>
      <w:r w:rsidRPr="000977F7">
        <w:rPr>
          <w:rFonts w:asciiTheme="majorHAnsi" w:hAnsiTheme="majorHAnsi"/>
          <w:spacing w:val="1"/>
          <w:sz w:val="20"/>
          <w:szCs w:val="20"/>
        </w:rPr>
        <w:t xml:space="preserve"> </w:t>
      </w:r>
      <w:r w:rsidRPr="000977F7">
        <w:rPr>
          <w:rFonts w:asciiTheme="majorHAnsi" w:hAnsiTheme="majorHAnsi"/>
          <w:sz w:val="20"/>
          <w:szCs w:val="20"/>
        </w:rPr>
        <w:t>–</w:t>
      </w:r>
    </w:p>
    <w:bookmarkEnd w:id="36"/>
    <w:p w14:paraId="5955692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Еталон,</w:t>
      </w:r>
      <w:r w:rsidRPr="000977F7">
        <w:rPr>
          <w:rFonts w:asciiTheme="majorHAnsi" w:hAnsiTheme="majorHAnsi"/>
          <w:spacing w:val="1"/>
          <w:sz w:val="20"/>
          <w:szCs w:val="20"/>
        </w:rPr>
        <w:t xml:space="preserve"> </w:t>
      </w:r>
      <w:r w:rsidRPr="000977F7">
        <w:rPr>
          <w:rFonts w:asciiTheme="majorHAnsi" w:hAnsiTheme="majorHAnsi"/>
          <w:sz w:val="20"/>
          <w:szCs w:val="20"/>
        </w:rPr>
        <w:t>якому</w:t>
      </w:r>
      <w:r w:rsidRPr="000977F7">
        <w:rPr>
          <w:rFonts w:asciiTheme="majorHAnsi" w:hAnsiTheme="majorHAnsi"/>
          <w:spacing w:val="1"/>
          <w:sz w:val="20"/>
          <w:szCs w:val="20"/>
        </w:rPr>
        <w:t xml:space="preserve"> </w:t>
      </w:r>
      <w:r w:rsidRPr="000977F7">
        <w:rPr>
          <w:rFonts w:asciiTheme="majorHAnsi" w:hAnsiTheme="majorHAnsi"/>
          <w:sz w:val="20"/>
          <w:szCs w:val="20"/>
        </w:rPr>
        <w:t>передається</w:t>
      </w:r>
      <w:r w:rsidRPr="000977F7">
        <w:rPr>
          <w:rFonts w:asciiTheme="majorHAnsi" w:hAnsiTheme="majorHAnsi"/>
          <w:spacing w:val="1"/>
          <w:sz w:val="20"/>
          <w:szCs w:val="20"/>
        </w:rPr>
        <w:t xml:space="preserve"> </w:t>
      </w:r>
      <w:r w:rsidRPr="000977F7">
        <w:rPr>
          <w:rFonts w:asciiTheme="majorHAnsi" w:hAnsiTheme="majorHAnsi"/>
          <w:sz w:val="20"/>
          <w:szCs w:val="20"/>
        </w:rPr>
        <w:t>розмір</w:t>
      </w:r>
      <w:r w:rsidRPr="000977F7">
        <w:rPr>
          <w:rFonts w:asciiTheme="majorHAnsi" w:hAnsiTheme="majorHAnsi"/>
          <w:spacing w:val="1"/>
          <w:sz w:val="20"/>
          <w:szCs w:val="20"/>
        </w:rPr>
        <w:t xml:space="preserve"> </w:t>
      </w:r>
      <w:r w:rsidRPr="000977F7">
        <w:rPr>
          <w:rFonts w:asciiTheme="majorHAnsi" w:hAnsiTheme="majorHAnsi"/>
          <w:sz w:val="20"/>
          <w:szCs w:val="20"/>
        </w:rPr>
        <w:t>одиниці</w:t>
      </w:r>
      <w:r w:rsidRPr="000977F7">
        <w:rPr>
          <w:rFonts w:asciiTheme="majorHAnsi" w:hAnsiTheme="majorHAnsi"/>
          <w:spacing w:val="1"/>
          <w:sz w:val="20"/>
          <w:szCs w:val="20"/>
        </w:rPr>
        <w:t xml:space="preserve"> </w:t>
      </w:r>
      <w:r w:rsidRPr="000977F7">
        <w:rPr>
          <w:rFonts w:asciiTheme="majorHAnsi" w:hAnsiTheme="majorHAnsi"/>
          <w:sz w:val="20"/>
          <w:szCs w:val="20"/>
        </w:rPr>
        <w:t>фізичної</w:t>
      </w:r>
      <w:r w:rsidRPr="000977F7">
        <w:rPr>
          <w:rFonts w:asciiTheme="majorHAnsi" w:hAnsiTheme="majorHAnsi"/>
          <w:spacing w:val="-47"/>
          <w:sz w:val="20"/>
          <w:szCs w:val="20"/>
        </w:rPr>
        <w:t xml:space="preserve"> </w:t>
      </w:r>
      <w:r w:rsidRPr="000977F7">
        <w:rPr>
          <w:rFonts w:asciiTheme="majorHAnsi" w:hAnsiTheme="majorHAnsi"/>
          <w:sz w:val="20"/>
          <w:szCs w:val="20"/>
        </w:rPr>
        <w:t>величини від первинного або спеціального еталона</w:t>
      </w:r>
    </w:p>
    <w:p w14:paraId="3CAFD150"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FFDC33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ВТРАТА НАПРУГИ В </w:t>
      </w:r>
    </w:p>
    <w:p w14:paraId="053767C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ЕЛЕКТРОПОСТАЧАЛЬ</w:t>
      </w:r>
      <w:r w:rsidRPr="000977F7">
        <w:rPr>
          <w:color w:val="auto"/>
          <w:spacing w:val="-47"/>
          <w:sz w:val="20"/>
          <w:szCs w:val="20"/>
        </w:rPr>
        <w:t xml:space="preserve"> </w:t>
      </w:r>
      <w:r w:rsidRPr="000977F7">
        <w:rPr>
          <w:color w:val="auto"/>
          <w:sz w:val="20"/>
          <w:szCs w:val="20"/>
        </w:rPr>
        <w:t>НІЙ СИСТЕМІ –</w:t>
      </w:r>
    </w:p>
    <w:p w14:paraId="39942F3B" w14:textId="77777777" w:rsidR="0097612F" w:rsidRPr="000977F7" w:rsidRDefault="0097612F" w:rsidP="000977F7">
      <w:pPr>
        <w:pStyle w:val="af6"/>
        <w:tabs>
          <w:tab w:val="left" w:pos="284"/>
        </w:tabs>
        <w:spacing w:after="0"/>
        <w:ind w:left="170"/>
        <w:mirrorIndents/>
        <w:jc w:val="both"/>
        <w:rPr>
          <w:rFonts w:asciiTheme="majorHAnsi" w:hAnsiTheme="majorHAnsi"/>
          <w:spacing w:val="-3"/>
          <w:sz w:val="20"/>
          <w:szCs w:val="20"/>
        </w:rPr>
      </w:pPr>
      <w:r w:rsidRPr="000977F7">
        <w:rPr>
          <w:rFonts w:asciiTheme="majorHAnsi" w:hAnsiTheme="majorHAnsi"/>
          <w:spacing w:val="-1"/>
          <w:sz w:val="20"/>
          <w:szCs w:val="20"/>
        </w:rPr>
        <w:t xml:space="preserve">Різниця </w:t>
      </w:r>
      <w:r w:rsidRPr="000977F7">
        <w:rPr>
          <w:rFonts w:asciiTheme="majorHAnsi" w:hAnsiTheme="majorHAnsi"/>
          <w:sz w:val="20"/>
          <w:szCs w:val="20"/>
        </w:rPr>
        <w:t>між усталеними значеннями дійової напруги,</w:t>
      </w:r>
      <w:r w:rsidRPr="000977F7">
        <w:rPr>
          <w:rFonts w:asciiTheme="majorHAnsi" w:hAnsiTheme="majorHAnsi"/>
          <w:spacing w:val="1"/>
          <w:sz w:val="20"/>
          <w:szCs w:val="20"/>
        </w:rPr>
        <w:t xml:space="preserve"> </w:t>
      </w:r>
      <w:r w:rsidRPr="000977F7">
        <w:rPr>
          <w:rFonts w:asciiTheme="majorHAnsi" w:hAnsiTheme="majorHAnsi"/>
          <w:spacing w:val="-4"/>
          <w:sz w:val="20"/>
          <w:szCs w:val="20"/>
        </w:rPr>
        <w:t>виміряними у двох точках електропостачальної системи</w:t>
      </w:r>
      <w:r w:rsidRPr="000977F7">
        <w:rPr>
          <w:rFonts w:asciiTheme="majorHAnsi" w:hAnsiTheme="majorHAnsi"/>
          <w:spacing w:val="-3"/>
          <w:sz w:val="20"/>
          <w:szCs w:val="20"/>
        </w:rPr>
        <w:t xml:space="preserve"> </w:t>
      </w:r>
    </w:p>
    <w:p w14:paraId="04E4B54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550B9CF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ВТРАТА</w:t>
      </w:r>
      <w:r w:rsidRPr="000977F7">
        <w:rPr>
          <w:color w:val="auto"/>
          <w:spacing w:val="-3"/>
          <w:sz w:val="20"/>
          <w:szCs w:val="20"/>
        </w:rPr>
        <w:t xml:space="preserve"> </w:t>
      </w:r>
      <w:r w:rsidRPr="000977F7">
        <w:rPr>
          <w:color w:val="auto"/>
          <w:sz w:val="20"/>
          <w:szCs w:val="20"/>
        </w:rPr>
        <w:t>НАПРУГИ</w:t>
      </w:r>
      <w:r w:rsidRPr="000977F7">
        <w:rPr>
          <w:color w:val="auto"/>
          <w:spacing w:val="-2"/>
          <w:sz w:val="20"/>
          <w:szCs w:val="20"/>
        </w:rPr>
        <w:t xml:space="preserve"> </w:t>
      </w:r>
      <w:r w:rsidRPr="000977F7">
        <w:rPr>
          <w:color w:val="auto"/>
          <w:sz w:val="20"/>
          <w:szCs w:val="20"/>
        </w:rPr>
        <w:t>В</w:t>
      </w:r>
      <w:r w:rsidRPr="000977F7">
        <w:rPr>
          <w:color w:val="auto"/>
          <w:spacing w:val="-1"/>
          <w:sz w:val="20"/>
          <w:szCs w:val="20"/>
        </w:rPr>
        <w:t xml:space="preserve"> </w:t>
      </w:r>
      <w:r w:rsidRPr="000977F7">
        <w:rPr>
          <w:color w:val="auto"/>
          <w:sz w:val="20"/>
          <w:szCs w:val="20"/>
        </w:rPr>
        <w:t>ЛІНІЇ</w:t>
      </w:r>
      <w:r w:rsidRPr="000977F7">
        <w:rPr>
          <w:color w:val="auto"/>
          <w:spacing w:val="-4"/>
          <w:sz w:val="20"/>
          <w:szCs w:val="20"/>
        </w:rPr>
        <w:t xml:space="preserve"> </w:t>
      </w:r>
      <w:r w:rsidRPr="000977F7">
        <w:rPr>
          <w:color w:val="auto"/>
          <w:sz w:val="20"/>
          <w:szCs w:val="20"/>
        </w:rPr>
        <w:t>–</w:t>
      </w:r>
    </w:p>
    <w:p w14:paraId="39919BB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LINE</w:t>
      </w:r>
      <w:r w:rsidRPr="004D2D14">
        <w:rPr>
          <w:rFonts w:asciiTheme="majorHAnsi" w:hAnsiTheme="majorHAnsi"/>
          <w:spacing w:val="-2"/>
          <w:sz w:val="20"/>
          <w:szCs w:val="20"/>
          <w:lang w:val="uk-UA"/>
        </w:rPr>
        <w:t xml:space="preserve"> </w:t>
      </w:r>
      <w:r w:rsidRPr="000977F7">
        <w:rPr>
          <w:rFonts w:asciiTheme="majorHAnsi" w:hAnsiTheme="majorHAnsi"/>
          <w:sz w:val="20"/>
          <w:szCs w:val="20"/>
        </w:rPr>
        <w:t>VOLTAGE</w:t>
      </w:r>
      <w:r w:rsidRPr="004D2D14">
        <w:rPr>
          <w:rFonts w:asciiTheme="majorHAnsi" w:hAnsiTheme="majorHAnsi"/>
          <w:spacing w:val="-2"/>
          <w:sz w:val="20"/>
          <w:szCs w:val="20"/>
          <w:lang w:val="uk-UA"/>
        </w:rPr>
        <w:t xml:space="preserve"> </w:t>
      </w:r>
      <w:r w:rsidRPr="000977F7">
        <w:rPr>
          <w:rFonts w:asciiTheme="majorHAnsi" w:hAnsiTheme="majorHAnsi"/>
          <w:sz w:val="20"/>
          <w:szCs w:val="20"/>
        </w:rPr>
        <w:t>DROP</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220F186B"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Різниця між значеннями напруги, виміряними в двох</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точках</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електричної</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лінії</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певний</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момент</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часу</w:t>
      </w:r>
      <w:r w:rsidRPr="004D2D14">
        <w:rPr>
          <w:rFonts w:asciiTheme="majorHAnsi" w:hAnsiTheme="majorHAnsi"/>
          <w:spacing w:val="1"/>
          <w:sz w:val="20"/>
          <w:szCs w:val="20"/>
          <w:lang w:val="uk-UA"/>
        </w:rPr>
        <w:t xml:space="preserve"> </w:t>
      </w:r>
    </w:p>
    <w:p w14:paraId="3828740C"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3466</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96</w:t>
      </w:r>
    </w:p>
    <w:p w14:paraId="02F8CC8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ВТРАТИ</w:t>
      </w:r>
      <w:r w:rsidRPr="000977F7">
        <w:rPr>
          <w:color w:val="auto"/>
          <w:spacing w:val="-4"/>
          <w:sz w:val="20"/>
          <w:szCs w:val="20"/>
        </w:rPr>
        <w:t xml:space="preserve"> </w:t>
      </w:r>
      <w:r w:rsidRPr="000977F7">
        <w:rPr>
          <w:color w:val="auto"/>
          <w:sz w:val="20"/>
          <w:szCs w:val="20"/>
        </w:rPr>
        <w:t>ЯКОСТІ</w:t>
      </w:r>
      <w:r w:rsidRPr="000977F7">
        <w:rPr>
          <w:color w:val="auto"/>
          <w:spacing w:val="-5"/>
          <w:sz w:val="20"/>
          <w:szCs w:val="20"/>
        </w:rPr>
        <w:t xml:space="preserve"> </w:t>
      </w:r>
      <w:r w:rsidRPr="000977F7">
        <w:rPr>
          <w:color w:val="auto"/>
          <w:sz w:val="20"/>
          <w:szCs w:val="20"/>
        </w:rPr>
        <w:t>–</w:t>
      </w:r>
    </w:p>
    <w:p w14:paraId="1DCAF43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QUALITY</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LOSSES</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0E06C8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Втрати, спричинені тим, що не реалізовано потенційні</w:t>
      </w:r>
      <w:r w:rsidRPr="000977F7">
        <w:rPr>
          <w:rFonts w:asciiTheme="majorHAnsi" w:hAnsiTheme="majorHAnsi"/>
          <w:spacing w:val="-47"/>
          <w:sz w:val="20"/>
          <w:szCs w:val="20"/>
        </w:rPr>
        <w:t xml:space="preserve"> </w:t>
      </w:r>
      <w:r w:rsidRPr="000977F7">
        <w:rPr>
          <w:rFonts w:asciiTheme="majorHAnsi" w:hAnsiTheme="majorHAnsi"/>
          <w:sz w:val="20"/>
          <w:szCs w:val="20"/>
        </w:rPr>
        <w:t>можливості</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процесах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47"/>
          <w:sz w:val="20"/>
          <w:szCs w:val="20"/>
        </w:rPr>
        <w:t xml:space="preserve"> </w:t>
      </w:r>
      <w:r w:rsidRPr="000977F7">
        <w:rPr>
          <w:rFonts w:asciiTheme="majorHAnsi" w:hAnsiTheme="majorHAnsi"/>
          <w:sz w:val="20"/>
          <w:szCs w:val="20"/>
        </w:rPr>
        <w:t>діяльності</w:t>
      </w:r>
    </w:p>
    <w:p w14:paraId="3547D3E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F98741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6A9B0C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Прикладами втрат якості є втрата довіри споживача,</w:t>
      </w:r>
      <w:r w:rsidRPr="000977F7">
        <w:rPr>
          <w:rFonts w:asciiTheme="majorHAnsi" w:hAnsiTheme="majorHAnsi"/>
          <w:spacing w:val="1"/>
          <w:sz w:val="20"/>
          <w:szCs w:val="20"/>
        </w:rPr>
        <w:t xml:space="preserve"> </w:t>
      </w:r>
      <w:r w:rsidRPr="000977F7">
        <w:rPr>
          <w:rFonts w:asciiTheme="majorHAnsi" w:hAnsiTheme="majorHAnsi"/>
          <w:sz w:val="20"/>
          <w:szCs w:val="20"/>
        </w:rPr>
        <w:t>втрата</w:t>
      </w:r>
      <w:r w:rsidRPr="000977F7">
        <w:rPr>
          <w:rFonts w:asciiTheme="majorHAnsi" w:hAnsiTheme="majorHAnsi"/>
          <w:spacing w:val="1"/>
          <w:sz w:val="20"/>
          <w:szCs w:val="20"/>
        </w:rPr>
        <w:t xml:space="preserve"> </w:t>
      </w:r>
      <w:r w:rsidRPr="000977F7">
        <w:rPr>
          <w:rFonts w:asciiTheme="majorHAnsi" w:hAnsiTheme="majorHAnsi"/>
          <w:sz w:val="20"/>
          <w:szCs w:val="20"/>
        </w:rPr>
        <w:t>можливості</w:t>
      </w:r>
      <w:r w:rsidRPr="000977F7">
        <w:rPr>
          <w:rFonts w:asciiTheme="majorHAnsi" w:hAnsiTheme="majorHAnsi"/>
          <w:spacing w:val="1"/>
          <w:sz w:val="20"/>
          <w:szCs w:val="20"/>
        </w:rPr>
        <w:t xml:space="preserve"> </w:t>
      </w:r>
      <w:r w:rsidRPr="000977F7">
        <w:rPr>
          <w:rFonts w:asciiTheme="majorHAnsi" w:hAnsiTheme="majorHAnsi"/>
          <w:sz w:val="20"/>
          <w:szCs w:val="20"/>
        </w:rPr>
        <w:t>додаткового</w:t>
      </w:r>
      <w:r w:rsidRPr="000977F7">
        <w:rPr>
          <w:rFonts w:asciiTheme="majorHAnsi" w:hAnsiTheme="majorHAnsi"/>
          <w:spacing w:val="1"/>
          <w:sz w:val="20"/>
          <w:szCs w:val="20"/>
        </w:rPr>
        <w:t xml:space="preserve"> </w:t>
      </w:r>
      <w:r w:rsidRPr="000977F7">
        <w:rPr>
          <w:rFonts w:asciiTheme="majorHAnsi" w:hAnsiTheme="majorHAnsi"/>
          <w:sz w:val="20"/>
          <w:szCs w:val="20"/>
        </w:rPr>
        <w:t>підвищення</w:t>
      </w:r>
      <w:r w:rsidRPr="000977F7">
        <w:rPr>
          <w:rFonts w:asciiTheme="majorHAnsi" w:hAnsiTheme="majorHAnsi"/>
          <w:spacing w:val="1"/>
          <w:sz w:val="20"/>
          <w:szCs w:val="20"/>
        </w:rPr>
        <w:t xml:space="preserve"> </w:t>
      </w:r>
      <w:r w:rsidRPr="000977F7">
        <w:rPr>
          <w:rFonts w:asciiTheme="majorHAnsi" w:hAnsiTheme="majorHAnsi"/>
          <w:sz w:val="20"/>
          <w:szCs w:val="20"/>
        </w:rPr>
        <w:t>користі</w:t>
      </w:r>
      <w:r w:rsidRPr="000977F7">
        <w:rPr>
          <w:rFonts w:asciiTheme="majorHAnsi" w:hAnsiTheme="majorHAnsi"/>
          <w:spacing w:val="-47"/>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споживача,</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суспільства,</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1"/>
          <w:sz w:val="20"/>
          <w:szCs w:val="20"/>
        </w:rPr>
        <w:t xml:space="preserve"> </w:t>
      </w:r>
      <w:r w:rsidRPr="000977F7">
        <w:rPr>
          <w:rFonts w:asciiTheme="majorHAnsi" w:hAnsiTheme="majorHAnsi"/>
          <w:sz w:val="20"/>
          <w:szCs w:val="20"/>
        </w:rPr>
        <w:t>марнування</w:t>
      </w:r>
      <w:r w:rsidRPr="000977F7">
        <w:rPr>
          <w:rFonts w:asciiTheme="majorHAnsi" w:hAnsiTheme="majorHAnsi"/>
          <w:spacing w:val="-2"/>
          <w:sz w:val="20"/>
          <w:szCs w:val="20"/>
        </w:rPr>
        <w:t xml:space="preserve"> </w:t>
      </w:r>
      <w:r w:rsidRPr="000977F7">
        <w:rPr>
          <w:rFonts w:asciiTheme="majorHAnsi" w:hAnsiTheme="majorHAnsi"/>
          <w:sz w:val="20"/>
          <w:szCs w:val="20"/>
        </w:rPr>
        <w:t>ресурсів</w:t>
      </w:r>
      <w:r w:rsidRPr="000977F7">
        <w:rPr>
          <w:rFonts w:asciiTheme="majorHAnsi" w:hAnsiTheme="majorHAnsi"/>
          <w:spacing w:val="-1"/>
          <w:sz w:val="20"/>
          <w:szCs w:val="20"/>
        </w:rPr>
        <w:t xml:space="preserve"> </w:t>
      </w:r>
      <w:r w:rsidRPr="000977F7">
        <w:rPr>
          <w:rFonts w:asciiTheme="majorHAnsi" w:hAnsiTheme="majorHAnsi"/>
          <w:sz w:val="20"/>
          <w:szCs w:val="20"/>
        </w:rPr>
        <w:t>і матеріалів</w:t>
      </w:r>
    </w:p>
    <w:p w14:paraId="26EEAA4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ВУЗЬКЕ</w:t>
      </w:r>
      <w:r w:rsidRPr="000977F7">
        <w:rPr>
          <w:color w:val="auto"/>
          <w:spacing w:val="-5"/>
          <w:sz w:val="20"/>
          <w:szCs w:val="20"/>
        </w:rPr>
        <w:t xml:space="preserve"> </w:t>
      </w:r>
      <w:r w:rsidRPr="000977F7">
        <w:rPr>
          <w:color w:val="auto"/>
          <w:sz w:val="20"/>
          <w:szCs w:val="20"/>
        </w:rPr>
        <w:t>МІСЦЕ</w:t>
      </w:r>
      <w:r w:rsidRPr="000977F7">
        <w:rPr>
          <w:color w:val="auto"/>
          <w:spacing w:val="-4"/>
          <w:sz w:val="20"/>
          <w:szCs w:val="20"/>
        </w:rPr>
        <w:t xml:space="preserve"> </w:t>
      </w:r>
      <w:r w:rsidRPr="000977F7">
        <w:rPr>
          <w:color w:val="auto"/>
          <w:sz w:val="20"/>
          <w:szCs w:val="20"/>
        </w:rPr>
        <w:t>ВИРОБНИЦТВА</w:t>
      </w:r>
      <w:r w:rsidRPr="000977F7">
        <w:rPr>
          <w:color w:val="auto"/>
          <w:spacing w:val="-1"/>
          <w:sz w:val="20"/>
          <w:szCs w:val="20"/>
        </w:rPr>
        <w:t xml:space="preserve"> </w:t>
      </w:r>
      <w:r w:rsidRPr="000977F7">
        <w:rPr>
          <w:color w:val="auto"/>
          <w:sz w:val="20"/>
          <w:szCs w:val="20"/>
        </w:rPr>
        <w:t>–</w:t>
      </w:r>
    </w:p>
    <w:p w14:paraId="2D06B77D" w14:textId="77777777" w:rsidR="0097612F" w:rsidRPr="000977F7" w:rsidRDefault="0097612F" w:rsidP="000977F7">
      <w:pPr>
        <w:pStyle w:val="af6"/>
        <w:tabs>
          <w:tab w:val="left" w:pos="284"/>
        </w:tabs>
        <w:spacing w:after="0"/>
        <w:ind w:left="170"/>
        <w:mirrorIndents/>
        <w:jc w:val="both"/>
        <w:rPr>
          <w:rFonts w:asciiTheme="majorHAnsi" w:hAnsiTheme="majorHAnsi"/>
          <w:spacing w:val="-6"/>
          <w:sz w:val="20"/>
          <w:szCs w:val="20"/>
        </w:rPr>
      </w:pPr>
      <w:r w:rsidRPr="000977F7">
        <w:rPr>
          <w:rFonts w:asciiTheme="majorHAnsi" w:hAnsiTheme="majorHAnsi"/>
          <w:spacing w:val="-3"/>
          <w:w w:val="95"/>
          <w:sz w:val="20"/>
          <w:szCs w:val="20"/>
        </w:rPr>
        <w:t>Виробничий</w:t>
      </w:r>
      <w:r w:rsidRPr="000977F7">
        <w:rPr>
          <w:rFonts w:asciiTheme="majorHAnsi" w:hAnsiTheme="majorHAnsi"/>
          <w:spacing w:val="-10"/>
          <w:w w:val="95"/>
          <w:sz w:val="20"/>
          <w:szCs w:val="20"/>
        </w:rPr>
        <w:t xml:space="preserve"> </w:t>
      </w:r>
      <w:r w:rsidRPr="000977F7">
        <w:rPr>
          <w:rFonts w:asciiTheme="majorHAnsi" w:hAnsiTheme="majorHAnsi"/>
          <w:spacing w:val="-3"/>
          <w:w w:val="95"/>
          <w:sz w:val="20"/>
          <w:szCs w:val="20"/>
        </w:rPr>
        <w:t>підрозділ</w:t>
      </w:r>
      <w:r w:rsidRPr="000977F7">
        <w:rPr>
          <w:rFonts w:asciiTheme="majorHAnsi" w:hAnsiTheme="majorHAnsi"/>
          <w:spacing w:val="-10"/>
          <w:w w:val="95"/>
          <w:sz w:val="20"/>
          <w:szCs w:val="20"/>
        </w:rPr>
        <w:t xml:space="preserve"> </w:t>
      </w:r>
      <w:r w:rsidRPr="000977F7">
        <w:rPr>
          <w:rFonts w:asciiTheme="majorHAnsi" w:hAnsiTheme="majorHAnsi"/>
          <w:spacing w:val="-3"/>
          <w:w w:val="95"/>
          <w:sz w:val="20"/>
          <w:szCs w:val="20"/>
        </w:rPr>
        <w:t>або</w:t>
      </w:r>
      <w:r w:rsidRPr="000977F7">
        <w:rPr>
          <w:rFonts w:asciiTheme="majorHAnsi" w:hAnsiTheme="majorHAnsi"/>
          <w:spacing w:val="-8"/>
          <w:w w:val="95"/>
          <w:sz w:val="20"/>
          <w:szCs w:val="20"/>
        </w:rPr>
        <w:t xml:space="preserve"> </w:t>
      </w:r>
      <w:r w:rsidRPr="000977F7">
        <w:rPr>
          <w:rFonts w:asciiTheme="majorHAnsi" w:hAnsiTheme="majorHAnsi"/>
          <w:spacing w:val="-3"/>
          <w:w w:val="95"/>
          <w:sz w:val="20"/>
          <w:szCs w:val="20"/>
        </w:rPr>
        <w:t>устаткування,</w:t>
      </w:r>
      <w:r w:rsidRPr="000977F7">
        <w:rPr>
          <w:rFonts w:asciiTheme="majorHAnsi" w:hAnsiTheme="majorHAnsi"/>
          <w:spacing w:val="-8"/>
          <w:w w:val="95"/>
          <w:sz w:val="20"/>
          <w:szCs w:val="20"/>
        </w:rPr>
        <w:t xml:space="preserve"> </w:t>
      </w:r>
      <w:r w:rsidRPr="000977F7">
        <w:rPr>
          <w:rFonts w:asciiTheme="majorHAnsi" w:hAnsiTheme="majorHAnsi"/>
          <w:spacing w:val="-3"/>
          <w:w w:val="95"/>
          <w:sz w:val="20"/>
          <w:szCs w:val="20"/>
        </w:rPr>
        <w:t>для</w:t>
      </w:r>
      <w:r w:rsidRPr="000977F7">
        <w:rPr>
          <w:rFonts w:asciiTheme="majorHAnsi" w:hAnsiTheme="majorHAnsi"/>
          <w:spacing w:val="-9"/>
          <w:w w:val="95"/>
          <w:sz w:val="20"/>
          <w:szCs w:val="20"/>
        </w:rPr>
        <w:t xml:space="preserve"> </w:t>
      </w:r>
      <w:r w:rsidRPr="000977F7">
        <w:rPr>
          <w:rFonts w:asciiTheme="majorHAnsi" w:hAnsiTheme="majorHAnsi"/>
          <w:spacing w:val="-3"/>
          <w:w w:val="95"/>
          <w:sz w:val="20"/>
          <w:szCs w:val="20"/>
        </w:rPr>
        <w:t>якого</w:t>
      </w:r>
      <w:r w:rsidRPr="000977F7">
        <w:rPr>
          <w:rFonts w:asciiTheme="majorHAnsi" w:hAnsiTheme="majorHAnsi"/>
          <w:spacing w:val="-8"/>
          <w:w w:val="95"/>
          <w:sz w:val="20"/>
          <w:szCs w:val="20"/>
        </w:rPr>
        <w:t xml:space="preserve"> </w:t>
      </w:r>
      <w:r w:rsidRPr="000977F7">
        <w:rPr>
          <w:rFonts w:asciiTheme="majorHAnsi" w:hAnsiTheme="majorHAnsi"/>
          <w:spacing w:val="-2"/>
          <w:w w:val="95"/>
          <w:sz w:val="20"/>
          <w:szCs w:val="20"/>
        </w:rPr>
        <w:t>коефіці</w:t>
      </w:r>
      <w:r w:rsidRPr="000977F7">
        <w:rPr>
          <w:rFonts w:asciiTheme="majorHAnsi" w:hAnsiTheme="majorHAnsi"/>
          <w:spacing w:val="-8"/>
          <w:sz w:val="20"/>
          <w:szCs w:val="20"/>
        </w:rPr>
        <w:t xml:space="preserve">єнт пропорційності виробництва </w:t>
      </w:r>
      <w:r w:rsidRPr="000977F7">
        <w:rPr>
          <w:rFonts w:asciiTheme="majorHAnsi" w:hAnsiTheme="majorHAnsi"/>
          <w:spacing w:val="-7"/>
          <w:sz w:val="20"/>
          <w:szCs w:val="20"/>
        </w:rPr>
        <w:t>менший за одиницю</w:t>
      </w:r>
      <w:r w:rsidRPr="000977F7">
        <w:rPr>
          <w:rFonts w:asciiTheme="majorHAnsi" w:hAnsiTheme="majorHAnsi"/>
          <w:spacing w:val="-6"/>
          <w:sz w:val="20"/>
          <w:szCs w:val="20"/>
        </w:rPr>
        <w:t xml:space="preserve"> </w:t>
      </w:r>
    </w:p>
    <w:p w14:paraId="75BA0681"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C9889B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ВХІДНЕ</w:t>
      </w:r>
      <w:r w:rsidRPr="000977F7">
        <w:rPr>
          <w:color w:val="auto"/>
          <w:spacing w:val="-4"/>
          <w:sz w:val="20"/>
          <w:szCs w:val="20"/>
        </w:rPr>
        <w:t xml:space="preserve"> </w:t>
      </w:r>
      <w:r w:rsidRPr="000977F7">
        <w:rPr>
          <w:color w:val="auto"/>
          <w:sz w:val="20"/>
          <w:szCs w:val="20"/>
        </w:rPr>
        <w:t>ДІЯННЯ</w:t>
      </w:r>
      <w:r w:rsidRPr="000977F7">
        <w:rPr>
          <w:color w:val="auto"/>
          <w:spacing w:val="-2"/>
          <w:sz w:val="20"/>
          <w:szCs w:val="20"/>
        </w:rPr>
        <w:t xml:space="preserve"> </w:t>
      </w:r>
      <w:r w:rsidRPr="000977F7">
        <w:rPr>
          <w:color w:val="auto"/>
          <w:sz w:val="20"/>
          <w:szCs w:val="20"/>
        </w:rPr>
        <w:t>-</w:t>
      </w:r>
    </w:p>
    <w:p w14:paraId="02E8C9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INPUT ACTION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780D29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Діяння</w:t>
      </w:r>
      <w:r w:rsidRPr="000977F7">
        <w:rPr>
          <w:rFonts w:asciiTheme="majorHAnsi" w:hAnsiTheme="majorHAnsi"/>
          <w:spacing w:val="-5"/>
          <w:sz w:val="20"/>
          <w:szCs w:val="20"/>
        </w:rPr>
        <w:t xml:space="preserve"> </w:t>
      </w:r>
      <w:r w:rsidRPr="000977F7">
        <w:rPr>
          <w:rFonts w:asciiTheme="majorHAnsi" w:hAnsiTheme="majorHAnsi"/>
          <w:sz w:val="20"/>
          <w:szCs w:val="20"/>
        </w:rPr>
        <w:t>прикладене</w:t>
      </w:r>
      <w:r w:rsidRPr="000977F7">
        <w:rPr>
          <w:rFonts w:asciiTheme="majorHAnsi" w:hAnsiTheme="majorHAnsi"/>
          <w:spacing w:val="-3"/>
          <w:sz w:val="20"/>
          <w:szCs w:val="20"/>
        </w:rPr>
        <w:t xml:space="preserve"> </w:t>
      </w:r>
      <w:r w:rsidRPr="000977F7">
        <w:rPr>
          <w:rFonts w:asciiTheme="majorHAnsi" w:hAnsiTheme="majorHAnsi"/>
          <w:sz w:val="20"/>
          <w:szCs w:val="20"/>
        </w:rPr>
        <w:t>до</w:t>
      </w:r>
      <w:r w:rsidRPr="000977F7">
        <w:rPr>
          <w:rFonts w:asciiTheme="majorHAnsi" w:hAnsiTheme="majorHAnsi"/>
          <w:spacing w:val="-4"/>
          <w:sz w:val="20"/>
          <w:szCs w:val="20"/>
        </w:rPr>
        <w:t xml:space="preserve"> </w:t>
      </w:r>
      <w:r w:rsidRPr="000977F7">
        <w:rPr>
          <w:rFonts w:asciiTheme="majorHAnsi" w:hAnsiTheme="majorHAnsi"/>
          <w:sz w:val="20"/>
          <w:szCs w:val="20"/>
        </w:rPr>
        <w:t>входу</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p>
    <w:p w14:paraId="641AD4D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 </w:t>
      </w:r>
      <w:r w:rsidRPr="000977F7">
        <w:rPr>
          <w:rFonts w:asciiTheme="majorHAnsi" w:hAnsiTheme="majorHAnsi"/>
          <w:i/>
          <w:sz w:val="20"/>
          <w:szCs w:val="20"/>
        </w:rPr>
        <w:t>2000</w:t>
      </w:r>
    </w:p>
    <w:p w14:paraId="7464874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ВХІД</w:t>
      </w:r>
      <w:r w:rsidRPr="000977F7">
        <w:rPr>
          <w:color w:val="auto"/>
          <w:spacing w:val="-3"/>
          <w:sz w:val="20"/>
          <w:szCs w:val="20"/>
        </w:rPr>
        <w:t xml:space="preserve"> </w:t>
      </w:r>
      <w:r w:rsidRPr="000977F7">
        <w:rPr>
          <w:color w:val="auto"/>
          <w:sz w:val="20"/>
          <w:szCs w:val="20"/>
        </w:rPr>
        <w:t>-</w:t>
      </w:r>
    </w:p>
    <w:p w14:paraId="4FA7D2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INPUT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453468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об’єкта, призначена сприймати діяння іншого</w:t>
      </w:r>
      <w:r w:rsidRPr="000977F7">
        <w:rPr>
          <w:rFonts w:asciiTheme="majorHAnsi" w:hAnsiTheme="majorHAnsi"/>
          <w:spacing w:val="-47"/>
          <w:sz w:val="20"/>
          <w:szCs w:val="20"/>
        </w:rPr>
        <w:t xml:space="preserve"> </w:t>
      </w:r>
      <w:r w:rsidRPr="000977F7">
        <w:rPr>
          <w:rFonts w:asciiTheme="majorHAnsi" w:hAnsiTheme="majorHAnsi"/>
          <w:sz w:val="20"/>
          <w:szCs w:val="20"/>
        </w:rPr>
        <w:t>об’єкта</w:t>
      </w:r>
    </w:p>
    <w:p w14:paraId="39C59BF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bookmarkStart w:id="37" w:name="_Hlk101088550"/>
    </w:p>
    <w:p w14:paraId="6CFDDE99"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sz w:val="20"/>
          <w:szCs w:val="20"/>
        </w:rPr>
        <w:t>ВХІДНИЙ</w:t>
      </w:r>
      <w:r w:rsidRPr="000977F7">
        <w:rPr>
          <w:rFonts w:asciiTheme="majorHAnsi" w:hAnsiTheme="majorHAnsi"/>
          <w:b/>
          <w:bCs/>
          <w:spacing w:val="-5"/>
          <w:sz w:val="20"/>
          <w:szCs w:val="20"/>
        </w:rPr>
        <w:t xml:space="preserve"> </w:t>
      </w:r>
      <w:r w:rsidRPr="000977F7">
        <w:rPr>
          <w:rFonts w:asciiTheme="majorHAnsi" w:hAnsiTheme="majorHAnsi"/>
          <w:b/>
          <w:bCs/>
          <w:sz w:val="20"/>
          <w:szCs w:val="20"/>
        </w:rPr>
        <w:t>ВИМІРЮВАЛЬНИЙ</w:t>
      </w:r>
      <w:r w:rsidRPr="000977F7">
        <w:rPr>
          <w:rFonts w:asciiTheme="majorHAnsi" w:hAnsiTheme="majorHAnsi"/>
          <w:b/>
          <w:bCs/>
          <w:spacing w:val="-4"/>
          <w:sz w:val="20"/>
          <w:szCs w:val="20"/>
        </w:rPr>
        <w:t xml:space="preserve"> </w:t>
      </w:r>
      <w:r w:rsidRPr="000977F7">
        <w:rPr>
          <w:rFonts w:asciiTheme="majorHAnsi" w:hAnsiTheme="majorHAnsi"/>
          <w:b/>
          <w:bCs/>
          <w:sz w:val="20"/>
          <w:szCs w:val="20"/>
        </w:rPr>
        <w:t>СИГНАЛ–</w:t>
      </w:r>
    </w:p>
    <w:p w14:paraId="62517B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STIMULUS</w:t>
      </w:r>
      <w:r w:rsidRPr="000977F7">
        <w:rPr>
          <w:rFonts w:asciiTheme="majorHAnsi" w:hAnsiTheme="majorHAnsi"/>
          <w:spacing w:val="-2"/>
          <w:sz w:val="20"/>
          <w:szCs w:val="20"/>
        </w:rPr>
        <w:t xml:space="preserve"> </w:t>
      </w:r>
      <w:r w:rsidRPr="000977F7">
        <w:rPr>
          <w:rFonts w:asciiTheme="majorHAnsi" w:hAnsiTheme="majorHAnsi"/>
          <w:sz w:val="20"/>
          <w:szCs w:val="20"/>
        </w:rPr>
        <w:t>–</w:t>
      </w:r>
    </w:p>
    <w:bookmarkEnd w:id="37"/>
    <w:p w14:paraId="6AF921D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Вхідний</w:t>
      </w:r>
      <w:r w:rsidRPr="000977F7">
        <w:rPr>
          <w:rFonts w:asciiTheme="majorHAnsi" w:hAnsiTheme="majorHAnsi"/>
          <w:spacing w:val="1"/>
          <w:sz w:val="20"/>
          <w:szCs w:val="20"/>
        </w:rPr>
        <w:t xml:space="preserve"> </w:t>
      </w:r>
      <w:r w:rsidRPr="000977F7">
        <w:rPr>
          <w:rFonts w:asciiTheme="majorHAnsi" w:hAnsiTheme="majorHAnsi"/>
          <w:sz w:val="20"/>
          <w:szCs w:val="20"/>
        </w:rPr>
        <w:t>сигнал, що виникає під час взаємодії об’єкта</w:t>
      </w:r>
      <w:r w:rsidRPr="000977F7">
        <w:rPr>
          <w:rFonts w:asciiTheme="majorHAnsi" w:hAnsiTheme="majorHAnsi"/>
          <w:spacing w:val="-47"/>
          <w:sz w:val="20"/>
          <w:szCs w:val="20"/>
        </w:rPr>
        <w:t xml:space="preserve"> </w:t>
      </w:r>
      <w:r w:rsidRPr="000977F7">
        <w:rPr>
          <w:rFonts w:asciiTheme="majorHAnsi" w:hAnsiTheme="majorHAnsi"/>
          <w:sz w:val="20"/>
          <w:szCs w:val="20"/>
        </w:rPr>
        <w:t>вимірювання</w:t>
      </w:r>
      <w:r w:rsidRPr="000977F7">
        <w:rPr>
          <w:rFonts w:asciiTheme="majorHAnsi" w:hAnsiTheme="majorHAnsi"/>
          <w:spacing w:val="-3"/>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засобу</w:t>
      </w:r>
      <w:r w:rsidRPr="000977F7">
        <w:rPr>
          <w:rFonts w:asciiTheme="majorHAnsi" w:hAnsiTheme="majorHAnsi"/>
          <w:spacing w:val="-2"/>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1"/>
          <w:sz w:val="20"/>
          <w:szCs w:val="20"/>
        </w:rPr>
        <w:t xml:space="preserve"> </w:t>
      </w:r>
      <w:r w:rsidRPr="000977F7">
        <w:rPr>
          <w:rFonts w:asciiTheme="majorHAnsi" w:hAnsiTheme="majorHAnsi"/>
          <w:sz w:val="20"/>
          <w:szCs w:val="20"/>
        </w:rPr>
        <w:t>техніки</w:t>
      </w:r>
    </w:p>
    <w:p w14:paraId="72954BF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490288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ВУЗЬКОСМУГОВЕ</w:t>
      </w:r>
      <w:r w:rsidRPr="000977F7">
        <w:rPr>
          <w:color w:val="auto"/>
          <w:spacing w:val="-7"/>
          <w:sz w:val="20"/>
          <w:szCs w:val="20"/>
        </w:rPr>
        <w:t xml:space="preserve"> </w:t>
      </w:r>
      <w:r w:rsidRPr="000977F7">
        <w:rPr>
          <w:color w:val="auto"/>
          <w:sz w:val="20"/>
          <w:szCs w:val="20"/>
        </w:rPr>
        <w:t>НАВАНТАЖУВАННЯ</w:t>
      </w:r>
      <w:r w:rsidRPr="000977F7">
        <w:rPr>
          <w:color w:val="auto"/>
          <w:spacing w:val="-4"/>
          <w:sz w:val="20"/>
          <w:szCs w:val="20"/>
        </w:rPr>
        <w:t xml:space="preserve"> </w:t>
      </w:r>
      <w:r w:rsidRPr="000977F7">
        <w:rPr>
          <w:color w:val="auto"/>
          <w:sz w:val="20"/>
          <w:szCs w:val="20"/>
        </w:rPr>
        <w:t>–</w:t>
      </w:r>
    </w:p>
    <w:p w14:paraId="0970CA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NARROWBAND</w:t>
      </w:r>
      <w:r w:rsidRPr="000977F7">
        <w:rPr>
          <w:rFonts w:asciiTheme="majorHAnsi" w:hAnsiTheme="majorHAnsi"/>
          <w:spacing w:val="-3"/>
          <w:sz w:val="20"/>
          <w:szCs w:val="20"/>
        </w:rPr>
        <w:t xml:space="preserve"> </w:t>
      </w:r>
      <w:r w:rsidRPr="000977F7">
        <w:rPr>
          <w:rFonts w:asciiTheme="majorHAnsi" w:hAnsiTheme="majorHAnsi"/>
          <w:sz w:val="20"/>
          <w:szCs w:val="20"/>
        </w:rPr>
        <w:t>LOADING</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705D3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Навантажування, що здійснюється як вузькосмуговий </w:t>
      </w:r>
      <w:r w:rsidRPr="000977F7">
        <w:rPr>
          <w:rFonts w:asciiTheme="majorHAnsi" w:hAnsiTheme="majorHAnsi"/>
          <w:spacing w:val="-47"/>
          <w:sz w:val="20"/>
          <w:szCs w:val="20"/>
        </w:rPr>
        <w:t xml:space="preserve"> </w:t>
      </w:r>
      <w:r w:rsidRPr="000977F7">
        <w:rPr>
          <w:rFonts w:asciiTheme="majorHAnsi" w:hAnsiTheme="majorHAnsi"/>
          <w:sz w:val="20"/>
          <w:szCs w:val="20"/>
        </w:rPr>
        <w:t>випадковий</w:t>
      </w:r>
      <w:r w:rsidRPr="000977F7">
        <w:rPr>
          <w:rFonts w:asciiTheme="majorHAnsi" w:hAnsiTheme="majorHAnsi"/>
          <w:spacing w:val="-2"/>
          <w:sz w:val="20"/>
          <w:szCs w:val="20"/>
        </w:rPr>
        <w:t xml:space="preserve"> </w:t>
      </w:r>
      <w:r w:rsidRPr="000977F7">
        <w:rPr>
          <w:rFonts w:asciiTheme="majorHAnsi" w:hAnsiTheme="majorHAnsi"/>
          <w:sz w:val="20"/>
          <w:szCs w:val="20"/>
        </w:rPr>
        <w:t>процес</w:t>
      </w:r>
    </w:p>
    <w:p w14:paraId="459E64C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2444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688D4B2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ВХІДНИЙ</w:t>
      </w:r>
      <w:r w:rsidRPr="000977F7">
        <w:rPr>
          <w:color w:val="auto"/>
          <w:spacing w:val="-4"/>
          <w:sz w:val="20"/>
          <w:szCs w:val="20"/>
        </w:rPr>
        <w:t xml:space="preserve"> </w:t>
      </w:r>
      <w:r w:rsidRPr="000977F7">
        <w:rPr>
          <w:color w:val="auto"/>
          <w:sz w:val="20"/>
          <w:szCs w:val="20"/>
        </w:rPr>
        <w:t>КОНТРОЛЬ</w:t>
      </w:r>
      <w:r w:rsidRPr="000977F7">
        <w:rPr>
          <w:color w:val="auto"/>
          <w:spacing w:val="-1"/>
          <w:sz w:val="20"/>
          <w:szCs w:val="20"/>
        </w:rPr>
        <w:t xml:space="preserve"> </w:t>
      </w:r>
      <w:r w:rsidRPr="000977F7">
        <w:rPr>
          <w:color w:val="auto"/>
          <w:sz w:val="20"/>
          <w:szCs w:val="20"/>
        </w:rPr>
        <w:t>–</w:t>
      </w:r>
    </w:p>
    <w:p w14:paraId="0F88489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INCOMING</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INSPECTION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A54CE1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 продукції постачальника, що надійшла до</w:t>
      </w:r>
      <w:r w:rsidRPr="000977F7">
        <w:rPr>
          <w:rFonts w:asciiTheme="majorHAnsi" w:hAnsiTheme="majorHAnsi"/>
          <w:spacing w:val="1"/>
          <w:sz w:val="20"/>
          <w:szCs w:val="20"/>
        </w:rPr>
        <w:t xml:space="preserve"> </w:t>
      </w:r>
      <w:r w:rsidRPr="000977F7">
        <w:rPr>
          <w:rFonts w:asciiTheme="majorHAnsi" w:hAnsiTheme="majorHAnsi"/>
          <w:sz w:val="20"/>
          <w:szCs w:val="20"/>
        </w:rPr>
        <w:t>споживача чи замовника і призначена для використання під час виготовлення, ремонту та експлуатації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2274673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3021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66A938E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ВХІДНИЙ</w:t>
      </w:r>
      <w:r w:rsidRPr="000977F7">
        <w:rPr>
          <w:color w:val="auto"/>
          <w:spacing w:val="-4"/>
          <w:sz w:val="20"/>
          <w:szCs w:val="20"/>
        </w:rPr>
        <w:t xml:space="preserve"> </w:t>
      </w:r>
      <w:r w:rsidRPr="000977F7">
        <w:rPr>
          <w:color w:val="auto"/>
          <w:sz w:val="20"/>
          <w:szCs w:val="20"/>
        </w:rPr>
        <w:t>РІВЕНЬ</w:t>
      </w:r>
      <w:r w:rsidRPr="000977F7">
        <w:rPr>
          <w:color w:val="auto"/>
          <w:spacing w:val="-4"/>
          <w:sz w:val="20"/>
          <w:szCs w:val="20"/>
        </w:rPr>
        <w:t xml:space="preserve"> </w:t>
      </w:r>
      <w:r w:rsidRPr="000977F7">
        <w:rPr>
          <w:color w:val="auto"/>
          <w:sz w:val="20"/>
          <w:szCs w:val="20"/>
        </w:rPr>
        <w:t>ДЕФЕКТНОСТІ</w:t>
      </w:r>
      <w:r w:rsidRPr="000977F7">
        <w:rPr>
          <w:color w:val="auto"/>
          <w:spacing w:val="-2"/>
          <w:sz w:val="20"/>
          <w:szCs w:val="20"/>
        </w:rPr>
        <w:t xml:space="preserve"> </w:t>
      </w:r>
      <w:r w:rsidRPr="000977F7">
        <w:rPr>
          <w:color w:val="auto"/>
          <w:sz w:val="20"/>
          <w:szCs w:val="20"/>
        </w:rPr>
        <w:t>–</w:t>
      </w:r>
    </w:p>
    <w:p w14:paraId="04F889B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INCOMING</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IMPERFECTION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LEVEL –</w:t>
      </w:r>
    </w:p>
    <w:p w14:paraId="4DC7701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Рівень дефектності у партії, яка надходить для контролю, чи потоці продукції протягом певного проміжку</w:t>
      </w:r>
      <w:r w:rsidRPr="000977F7">
        <w:rPr>
          <w:rFonts w:asciiTheme="majorHAnsi" w:hAnsiTheme="majorHAnsi"/>
          <w:spacing w:val="-4"/>
          <w:sz w:val="20"/>
          <w:szCs w:val="20"/>
        </w:rPr>
        <w:t xml:space="preserve"> </w:t>
      </w:r>
      <w:r w:rsidRPr="000977F7">
        <w:rPr>
          <w:rFonts w:asciiTheme="majorHAnsi" w:hAnsiTheme="majorHAnsi"/>
          <w:sz w:val="20"/>
          <w:szCs w:val="20"/>
        </w:rPr>
        <w:t>часу</w:t>
      </w:r>
    </w:p>
    <w:p w14:paraId="7723266C"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1A85ECCE"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 xml:space="preserve">ВХІДНИЙ СИГНАЛ </w:t>
      </w:r>
      <w:r w:rsidRPr="000977F7">
        <w:rPr>
          <w:rFonts w:asciiTheme="majorHAnsi" w:hAnsiTheme="majorHAnsi"/>
          <w:sz w:val="20"/>
          <w:szCs w:val="20"/>
        </w:rPr>
        <w:t>–</w:t>
      </w:r>
    </w:p>
    <w:p w14:paraId="1EDA602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INPUT</w:t>
      </w:r>
      <w:r w:rsidRPr="000977F7">
        <w:rPr>
          <w:rFonts w:asciiTheme="majorHAnsi" w:hAnsiTheme="majorHAnsi"/>
          <w:spacing w:val="2"/>
          <w:sz w:val="20"/>
          <w:szCs w:val="20"/>
        </w:rPr>
        <w:t xml:space="preserve"> </w:t>
      </w:r>
      <w:r w:rsidRPr="000977F7">
        <w:rPr>
          <w:rFonts w:asciiTheme="majorHAnsi" w:hAnsiTheme="majorHAnsi"/>
          <w:sz w:val="20"/>
          <w:szCs w:val="20"/>
        </w:rPr>
        <w:t>SIGNAL</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AA745F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w:t>
      </w:r>
      <w:r w:rsidRPr="000977F7">
        <w:rPr>
          <w:rFonts w:asciiTheme="majorHAnsi" w:hAnsiTheme="majorHAnsi"/>
          <w:spacing w:val="-3"/>
          <w:sz w:val="20"/>
          <w:szCs w:val="20"/>
        </w:rPr>
        <w:t xml:space="preserve"> </w:t>
      </w:r>
      <w:r w:rsidRPr="000977F7">
        <w:rPr>
          <w:rFonts w:asciiTheme="majorHAnsi" w:hAnsiTheme="majorHAnsi"/>
          <w:sz w:val="20"/>
          <w:szCs w:val="20"/>
        </w:rPr>
        <w:t>який</w:t>
      </w:r>
      <w:r w:rsidRPr="000977F7">
        <w:rPr>
          <w:rFonts w:asciiTheme="majorHAnsi" w:hAnsiTheme="majorHAnsi"/>
          <w:spacing w:val="-2"/>
          <w:sz w:val="20"/>
          <w:szCs w:val="20"/>
        </w:rPr>
        <w:t xml:space="preserve"> </w:t>
      </w:r>
      <w:r w:rsidRPr="000977F7">
        <w:rPr>
          <w:rFonts w:asciiTheme="majorHAnsi" w:hAnsiTheme="majorHAnsi"/>
          <w:sz w:val="20"/>
          <w:szCs w:val="20"/>
        </w:rPr>
        <w:t>прикладено</w:t>
      </w:r>
      <w:r w:rsidRPr="000977F7">
        <w:rPr>
          <w:rFonts w:asciiTheme="majorHAnsi" w:hAnsiTheme="majorHAnsi"/>
          <w:spacing w:val="-2"/>
          <w:sz w:val="20"/>
          <w:szCs w:val="20"/>
        </w:rPr>
        <w:t xml:space="preserve"> </w:t>
      </w:r>
      <w:r w:rsidRPr="000977F7">
        <w:rPr>
          <w:rFonts w:asciiTheme="majorHAnsi" w:hAnsiTheme="majorHAnsi"/>
          <w:sz w:val="20"/>
          <w:szCs w:val="20"/>
        </w:rPr>
        <w:t>до входу</w:t>
      </w:r>
      <w:r w:rsidRPr="000977F7">
        <w:rPr>
          <w:rFonts w:asciiTheme="majorHAnsi" w:hAnsiTheme="majorHAnsi"/>
          <w:spacing w:val="-6"/>
          <w:sz w:val="20"/>
          <w:szCs w:val="20"/>
        </w:rPr>
        <w:t xml:space="preserve"> </w:t>
      </w:r>
      <w:r w:rsidRPr="000977F7">
        <w:rPr>
          <w:rFonts w:asciiTheme="majorHAnsi" w:hAnsiTheme="majorHAnsi"/>
          <w:sz w:val="20"/>
          <w:szCs w:val="20"/>
        </w:rPr>
        <w:t>об’єкта</w:t>
      </w:r>
      <w:r w:rsidRPr="000977F7">
        <w:rPr>
          <w:rFonts w:asciiTheme="majorHAnsi" w:hAnsiTheme="majorHAnsi"/>
          <w:spacing w:val="4"/>
          <w:sz w:val="20"/>
          <w:szCs w:val="20"/>
        </w:rPr>
        <w:t xml:space="preserve"> </w:t>
      </w:r>
      <w:r w:rsidRPr="000977F7">
        <w:rPr>
          <w:rFonts w:asciiTheme="majorHAnsi" w:hAnsiTheme="majorHAnsi"/>
          <w:sz w:val="20"/>
          <w:szCs w:val="20"/>
        </w:rPr>
        <w:t>приймача</w:t>
      </w:r>
    </w:p>
    <w:p w14:paraId="3E338BA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 </w:t>
      </w:r>
      <w:r w:rsidRPr="000977F7">
        <w:rPr>
          <w:rFonts w:asciiTheme="majorHAnsi" w:hAnsiTheme="majorHAnsi"/>
          <w:i/>
          <w:sz w:val="20"/>
          <w:szCs w:val="20"/>
        </w:rPr>
        <w:t>2000</w:t>
      </w:r>
    </w:p>
    <w:p w14:paraId="5A81D36B" w14:textId="77777777" w:rsidR="0097612F" w:rsidRPr="000977F7" w:rsidRDefault="0097612F" w:rsidP="000977F7">
      <w:pPr>
        <w:pStyle w:val="7"/>
        <w:tabs>
          <w:tab w:val="left" w:pos="284"/>
        </w:tabs>
        <w:spacing w:before="0" w:line="240" w:lineRule="auto"/>
        <w:ind w:left="170"/>
        <w:mirrorIndents/>
        <w:jc w:val="both"/>
        <w:rPr>
          <w:color w:val="auto"/>
          <w:spacing w:val="41"/>
          <w:sz w:val="20"/>
          <w:szCs w:val="20"/>
        </w:rPr>
      </w:pPr>
      <w:r w:rsidRPr="000977F7">
        <w:rPr>
          <w:color w:val="auto"/>
          <w:sz w:val="20"/>
          <w:szCs w:val="20"/>
        </w:rPr>
        <w:t>ВХІДНІ</w:t>
      </w:r>
      <w:r w:rsidRPr="000977F7">
        <w:rPr>
          <w:color w:val="auto"/>
          <w:spacing w:val="41"/>
          <w:sz w:val="20"/>
          <w:szCs w:val="20"/>
        </w:rPr>
        <w:t xml:space="preserve"> </w:t>
      </w:r>
      <w:r w:rsidRPr="000977F7">
        <w:rPr>
          <w:color w:val="auto"/>
          <w:sz w:val="20"/>
          <w:szCs w:val="20"/>
        </w:rPr>
        <w:t>ДАНІ</w:t>
      </w:r>
      <w:r w:rsidRPr="000977F7">
        <w:rPr>
          <w:color w:val="auto"/>
          <w:spacing w:val="41"/>
          <w:sz w:val="20"/>
          <w:szCs w:val="20"/>
        </w:rPr>
        <w:t xml:space="preserve"> </w:t>
      </w:r>
      <w:r w:rsidRPr="000977F7">
        <w:rPr>
          <w:color w:val="auto"/>
          <w:sz w:val="20"/>
          <w:szCs w:val="20"/>
        </w:rPr>
        <w:t>ПРОЕКТУВАННЯ</w:t>
      </w:r>
      <w:r w:rsidRPr="000977F7">
        <w:rPr>
          <w:color w:val="auto"/>
          <w:spacing w:val="41"/>
          <w:sz w:val="20"/>
          <w:szCs w:val="20"/>
        </w:rPr>
        <w:t xml:space="preserve"> </w:t>
      </w:r>
      <w:r w:rsidRPr="000977F7">
        <w:rPr>
          <w:color w:val="auto"/>
          <w:sz w:val="20"/>
          <w:szCs w:val="20"/>
        </w:rPr>
        <w:t>ТА</w:t>
      </w:r>
      <w:r w:rsidRPr="000977F7">
        <w:rPr>
          <w:color w:val="auto"/>
          <w:spacing w:val="41"/>
          <w:sz w:val="20"/>
          <w:szCs w:val="20"/>
        </w:rPr>
        <w:t xml:space="preserve"> </w:t>
      </w:r>
    </w:p>
    <w:p w14:paraId="4198A7D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РОЗРОБЛЕННЯ</w:t>
      </w:r>
      <w:r w:rsidRPr="000977F7">
        <w:rPr>
          <w:color w:val="auto"/>
          <w:spacing w:val="-1"/>
          <w:sz w:val="20"/>
          <w:szCs w:val="20"/>
        </w:rPr>
        <w:t xml:space="preserve"> </w:t>
      </w:r>
      <w:r w:rsidRPr="000977F7">
        <w:rPr>
          <w:color w:val="auto"/>
          <w:sz w:val="20"/>
          <w:szCs w:val="20"/>
        </w:rPr>
        <w:t>–</w:t>
      </w:r>
    </w:p>
    <w:p w14:paraId="186B68C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визначити вимоги, які є суттєвими</w:t>
      </w:r>
      <w:r w:rsidRPr="000977F7">
        <w:rPr>
          <w:rFonts w:asciiTheme="majorHAnsi" w:hAnsiTheme="majorHAnsi"/>
          <w:spacing w:val="30"/>
          <w:sz w:val="20"/>
          <w:szCs w:val="20"/>
        </w:rPr>
        <w:t xml:space="preserve"> </w:t>
      </w:r>
      <w:r w:rsidRPr="000977F7">
        <w:rPr>
          <w:rFonts w:asciiTheme="majorHAnsi" w:hAnsiTheme="majorHAnsi"/>
          <w:sz w:val="20"/>
          <w:szCs w:val="20"/>
        </w:rPr>
        <w:t>для</w:t>
      </w:r>
      <w:r w:rsidRPr="000977F7">
        <w:rPr>
          <w:rFonts w:asciiTheme="majorHAnsi" w:hAnsiTheme="majorHAnsi"/>
          <w:spacing w:val="31"/>
          <w:sz w:val="20"/>
          <w:szCs w:val="20"/>
        </w:rPr>
        <w:t xml:space="preserve"> </w:t>
      </w:r>
      <w:r w:rsidRPr="000977F7">
        <w:rPr>
          <w:rFonts w:asciiTheme="majorHAnsi" w:hAnsiTheme="majorHAnsi"/>
          <w:sz w:val="20"/>
          <w:szCs w:val="20"/>
        </w:rPr>
        <w:t>конкретних</w:t>
      </w:r>
      <w:r w:rsidRPr="000977F7">
        <w:rPr>
          <w:rFonts w:asciiTheme="majorHAnsi" w:hAnsiTheme="majorHAnsi"/>
          <w:spacing w:val="30"/>
          <w:sz w:val="20"/>
          <w:szCs w:val="20"/>
        </w:rPr>
        <w:t xml:space="preserve"> </w:t>
      </w:r>
      <w:r w:rsidRPr="000977F7">
        <w:rPr>
          <w:rFonts w:asciiTheme="majorHAnsi" w:hAnsiTheme="majorHAnsi"/>
          <w:sz w:val="20"/>
          <w:szCs w:val="20"/>
        </w:rPr>
        <w:t>видів</w:t>
      </w:r>
      <w:r w:rsidRPr="000977F7">
        <w:rPr>
          <w:rFonts w:asciiTheme="majorHAnsi" w:hAnsiTheme="majorHAnsi"/>
          <w:spacing w:val="31"/>
          <w:sz w:val="20"/>
          <w:szCs w:val="20"/>
        </w:rPr>
        <w:t xml:space="preserve"> </w:t>
      </w:r>
      <w:r w:rsidRPr="000977F7">
        <w:rPr>
          <w:rFonts w:asciiTheme="majorHAnsi" w:hAnsiTheme="majorHAnsi"/>
          <w:sz w:val="20"/>
          <w:szCs w:val="20"/>
        </w:rPr>
        <w:t>продукції</w:t>
      </w:r>
      <w:r w:rsidRPr="000977F7">
        <w:rPr>
          <w:rFonts w:asciiTheme="majorHAnsi" w:hAnsiTheme="majorHAnsi"/>
          <w:spacing w:val="31"/>
          <w:sz w:val="20"/>
          <w:szCs w:val="20"/>
        </w:rPr>
        <w:t xml:space="preserve"> </w:t>
      </w:r>
      <w:r w:rsidRPr="000977F7">
        <w:rPr>
          <w:rFonts w:asciiTheme="majorHAnsi" w:hAnsiTheme="majorHAnsi"/>
          <w:sz w:val="20"/>
          <w:szCs w:val="20"/>
        </w:rPr>
        <w:t>та</w:t>
      </w:r>
      <w:r w:rsidRPr="000977F7">
        <w:rPr>
          <w:rFonts w:asciiTheme="majorHAnsi" w:hAnsiTheme="majorHAnsi"/>
          <w:spacing w:val="34"/>
          <w:sz w:val="20"/>
          <w:szCs w:val="20"/>
        </w:rPr>
        <w:t xml:space="preserve"> </w:t>
      </w:r>
      <w:r w:rsidRPr="000977F7">
        <w:rPr>
          <w:rFonts w:asciiTheme="majorHAnsi" w:hAnsiTheme="majorHAnsi"/>
          <w:sz w:val="20"/>
          <w:szCs w:val="20"/>
        </w:rPr>
        <w:t>послуг,</w:t>
      </w:r>
      <w:r w:rsidRPr="000977F7">
        <w:rPr>
          <w:rFonts w:asciiTheme="majorHAnsi" w:hAnsiTheme="majorHAnsi"/>
          <w:spacing w:val="32"/>
          <w:sz w:val="20"/>
          <w:szCs w:val="20"/>
        </w:rPr>
        <w:t xml:space="preserve"> </w:t>
      </w:r>
      <w:r w:rsidRPr="000977F7">
        <w:rPr>
          <w:rFonts w:asciiTheme="majorHAnsi" w:hAnsiTheme="majorHAnsi"/>
          <w:sz w:val="20"/>
          <w:szCs w:val="20"/>
        </w:rPr>
        <w:t>що</w:t>
      </w:r>
      <w:r w:rsidRPr="000977F7">
        <w:rPr>
          <w:rFonts w:asciiTheme="majorHAnsi" w:hAnsiTheme="majorHAnsi"/>
          <w:spacing w:val="33"/>
          <w:sz w:val="20"/>
          <w:szCs w:val="20"/>
        </w:rPr>
        <w:t xml:space="preserve"> </w:t>
      </w:r>
      <w:r w:rsidRPr="000977F7">
        <w:rPr>
          <w:rFonts w:asciiTheme="majorHAnsi" w:hAnsiTheme="majorHAnsi"/>
          <w:sz w:val="20"/>
          <w:szCs w:val="20"/>
        </w:rPr>
        <w:t>їх проектуватимуть</w:t>
      </w:r>
      <w:r w:rsidRPr="000977F7">
        <w:rPr>
          <w:rFonts w:asciiTheme="majorHAnsi" w:hAnsiTheme="majorHAnsi"/>
          <w:spacing w:val="31"/>
          <w:sz w:val="20"/>
          <w:szCs w:val="20"/>
        </w:rPr>
        <w:t xml:space="preserve"> </w:t>
      </w:r>
      <w:r w:rsidRPr="000977F7">
        <w:rPr>
          <w:rFonts w:asciiTheme="majorHAnsi" w:hAnsiTheme="majorHAnsi"/>
          <w:sz w:val="20"/>
          <w:szCs w:val="20"/>
        </w:rPr>
        <w:t>та</w:t>
      </w:r>
      <w:r w:rsidRPr="000977F7">
        <w:rPr>
          <w:rFonts w:asciiTheme="majorHAnsi" w:hAnsiTheme="majorHAnsi"/>
          <w:spacing w:val="31"/>
          <w:sz w:val="20"/>
          <w:szCs w:val="20"/>
        </w:rPr>
        <w:t xml:space="preserve"> </w:t>
      </w:r>
      <w:r w:rsidRPr="000977F7">
        <w:rPr>
          <w:rFonts w:asciiTheme="majorHAnsi" w:hAnsiTheme="majorHAnsi"/>
          <w:sz w:val="20"/>
          <w:szCs w:val="20"/>
        </w:rPr>
        <w:t>розроблятимуть.</w:t>
      </w:r>
      <w:r w:rsidRPr="000977F7">
        <w:rPr>
          <w:rFonts w:asciiTheme="majorHAnsi" w:hAnsiTheme="majorHAnsi"/>
          <w:spacing w:val="32"/>
          <w:sz w:val="20"/>
          <w:szCs w:val="20"/>
        </w:rPr>
        <w:t xml:space="preserve"> </w:t>
      </w:r>
      <w:r w:rsidRPr="000977F7">
        <w:rPr>
          <w:rFonts w:asciiTheme="majorHAnsi" w:hAnsiTheme="majorHAnsi"/>
          <w:sz w:val="20"/>
          <w:szCs w:val="20"/>
        </w:rPr>
        <w:t>Організація</w:t>
      </w:r>
      <w:r w:rsidRPr="000977F7">
        <w:rPr>
          <w:rFonts w:asciiTheme="majorHAnsi" w:hAnsiTheme="majorHAnsi"/>
          <w:spacing w:val="34"/>
          <w:sz w:val="20"/>
          <w:szCs w:val="20"/>
        </w:rPr>
        <w:t xml:space="preserve"> </w:t>
      </w:r>
      <w:r w:rsidRPr="000977F7">
        <w:rPr>
          <w:rFonts w:asciiTheme="majorHAnsi" w:hAnsiTheme="majorHAnsi"/>
          <w:sz w:val="20"/>
          <w:szCs w:val="20"/>
        </w:rPr>
        <w:t>повинна</w:t>
      </w:r>
      <w:r w:rsidRPr="000977F7">
        <w:rPr>
          <w:rFonts w:asciiTheme="majorHAnsi" w:hAnsiTheme="majorHAnsi"/>
          <w:spacing w:val="-1"/>
          <w:sz w:val="20"/>
          <w:szCs w:val="20"/>
        </w:rPr>
        <w:t xml:space="preserve"> </w:t>
      </w:r>
      <w:r w:rsidRPr="000977F7">
        <w:rPr>
          <w:rFonts w:asciiTheme="majorHAnsi" w:hAnsiTheme="majorHAnsi"/>
          <w:sz w:val="20"/>
          <w:szCs w:val="20"/>
        </w:rPr>
        <w:t>розглянути</w:t>
      </w:r>
    </w:p>
    <w:p w14:paraId="6BA052D1" w14:textId="77777777" w:rsidR="0097612F" w:rsidRPr="000977F7" w:rsidRDefault="0097612F" w:rsidP="00FD39A4">
      <w:pPr>
        <w:pStyle w:val="ac"/>
        <w:widowControl w:val="0"/>
        <w:numPr>
          <w:ilvl w:val="0"/>
          <w:numId w:val="190"/>
        </w:numPr>
        <w:tabs>
          <w:tab w:val="left" w:pos="284"/>
          <w:tab w:val="left" w:pos="52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функцій</w:t>
      </w:r>
      <w:r w:rsidRPr="000977F7">
        <w:rPr>
          <w:rFonts w:asciiTheme="majorHAnsi" w:hAnsiTheme="majorHAnsi"/>
          <w:spacing w:val="-6"/>
          <w:sz w:val="20"/>
          <w:szCs w:val="20"/>
        </w:rPr>
        <w:t xml:space="preserve"> </w:t>
      </w:r>
      <w:r w:rsidRPr="000977F7">
        <w:rPr>
          <w:rFonts w:asciiTheme="majorHAnsi" w:hAnsiTheme="majorHAnsi"/>
          <w:sz w:val="20"/>
          <w:szCs w:val="20"/>
        </w:rPr>
        <w:t>ні</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4"/>
          <w:sz w:val="20"/>
          <w:szCs w:val="20"/>
        </w:rPr>
        <w:t xml:space="preserve"> </w:t>
      </w:r>
      <w:r w:rsidRPr="000977F7">
        <w:rPr>
          <w:rFonts w:asciiTheme="majorHAnsi" w:hAnsiTheme="majorHAnsi"/>
          <w:sz w:val="20"/>
          <w:szCs w:val="20"/>
        </w:rPr>
        <w:t>експлуатаційні</w:t>
      </w:r>
      <w:r w:rsidRPr="000977F7">
        <w:rPr>
          <w:rFonts w:asciiTheme="majorHAnsi" w:hAnsiTheme="majorHAnsi"/>
          <w:spacing w:val="-3"/>
          <w:sz w:val="20"/>
          <w:szCs w:val="20"/>
        </w:rPr>
        <w:t xml:space="preserve"> </w:t>
      </w:r>
      <w:r w:rsidRPr="000977F7">
        <w:rPr>
          <w:rFonts w:asciiTheme="majorHAnsi" w:hAnsiTheme="majorHAnsi"/>
          <w:sz w:val="20"/>
          <w:szCs w:val="20"/>
        </w:rPr>
        <w:t>вимоги;</w:t>
      </w:r>
    </w:p>
    <w:p w14:paraId="00960DAC" w14:textId="77777777" w:rsidR="0097612F" w:rsidRPr="000977F7" w:rsidRDefault="0097612F" w:rsidP="00FD39A4">
      <w:pPr>
        <w:pStyle w:val="ac"/>
        <w:widowControl w:val="0"/>
        <w:numPr>
          <w:ilvl w:val="0"/>
          <w:numId w:val="190"/>
        </w:numPr>
        <w:tabs>
          <w:tab w:val="left" w:pos="284"/>
          <w:tab w:val="left" w:pos="54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інформацію,</w:t>
      </w:r>
      <w:r w:rsidRPr="000977F7">
        <w:rPr>
          <w:rFonts w:asciiTheme="majorHAnsi" w:hAnsiTheme="majorHAnsi"/>
          <w:spacing w:val="7"/>
          <w:sz w:val="20"/>
          <w:szCs w:val="20"/>
        </w:rPr>
        <w:t xml:space="preserve"> </w:t>
      </w:r>
      <w:r w:rsidRPr="000977F7">
        <w:rPr>
          <w:rFonts w:asciiTheme="majorHAnsi" w:hAnsiTheme="majorHAnsi"/>
          <w:sz w:val="20"/>
          <w:szCs w:val="20"/>
        </w:rPr>
        <w:t>одержану</w:t>
      </w:r>
      <w:r w:rsidRPr="000977F7">
        <w:rPr>
          <w:rFonts w:asciiTheme="majorHAnsi" w:hAnsiTheme="majorHAnsi"/>
          <w:spacing w:val="3"/>
          <w:sz w:val="20"/>
          <w:szCs w:val="20"/>
        </w:rPr>
        <w:t xml:space="preserve"> </w:t>
      </w:r>
      <w:r w:rsidRPr="000977F7">
        <w:rPr>
          <w:rFonts w:asciiTheme="majorHAnsi" w:hAnsiTheme="majorHAnsi"/>
          <w:sz w:val="20"/>
          <w:szCs w:val="20"/>
        </w:rPr>
        <w:t>внаслідок</w:t>
      </w:r>
      <w:r w:rsidRPr="000977F7">
        <w:rPr>
          <w:rFonts w:asciiTheme="majorHAnsi" w:hAnsiTheme="majorHAnsi"/>
          <w:spacing w:val="8"/>
          <w:sz w:val="20"/>
          <w:szCs w:val="20"/>
        </w:rPr>
        <w:t xml:space="preserve"> </w:t>
      </w:r>
      <w:r w:rsidRPr="000977F7">
        <w:rPr>
          <w:rFonts w:asciiTheme="majorHAnsi" w:hAnsiTheme="majorHAnsi"/>
          <w:sz w:val="20"/>
          <w:szCs w:val="20"/>
        </w:rPr>
        <w:t>попередніх</w:t>
      </w:r>
      <w:r w:rsidRPr="000977F7">
        <w:rPr>
          <w:rFonts w:asciiTheme="majorHAnsi" w:hAnsiTheme="majorHAnsi"/>
          <w:spacing w:val="7"/>
          <w:sz w:val="20"/>
          <w:szCs w:val="20"/>
        </w:rPr>
        <w:t xml:space="preserve"> </w:t>
      </w:r>
      <w:r w:rsidRPr="000977F7">
        <w:rPr>
          <w:rFonts w:asciiTheme="majorHAnsi" w:hAnsiTheme="majorHAnsi"/>
          <w:sz w:val="20"/>
          <w:szCs w:val="20"/>
        </w:rPr>
        <w:t>подібних</w:t>
      </w:r>
      <w:r w:rsidRPr="000977F7">
        <w:rPr>
          <w:rFonts w:asciiTheme="majorHAnsi" w:hAnsiTheme="majorHAnsi"/>
          <w:spacing w:val="-2"/>
          <w:sz w:val="20"/>
          <w:szCs w:val="20"/>
        </w:rPr>
        <w:t xml:space="preserve"> </w:t>
      </w:r>
      <w:r w:rsidRPr="000977F7">
        <w:rPr>
          <w:rFonts w:asciiTheme="majorHAnsi" w:hAnsiTheme="majorHAnsi"/>
          <w:sz w:val="20"/>
          <w:szCs w:val="20"/>
        </w:rPr>
        <w:t>робіт</w:t>
      </w:r>
      <w:r w:rsidRPr="000977F7">
        <w:rPr>
          <w:rFonts w:asciiTheme="majorHAnsi" w:hAnsiTheme="majorHAnsi"/>
          <w:spacing w:val="-2"/>
          <w:sz w:val="20"/>
          <w:szCs w:val="20"/>
        </w:rPr>
        <w:t xml:space="preserve"> </w:t>
      </w:r>
      <w:r w:rsidRPr="000977F7">
        <w:rPr>
          <w:rFonts w:asciiTheme="majorHAnsi" w:hAnsiTheme="majorHAnsi"/>
          <w:sz w:val="20"/>
          <w:szCs w:val="20"/>
        </w:rPr>
        <w:t>з проектування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розроблення;</w:t>
      </w:r>
    </w:p>
    <w:p w14:paraId="179728C6" w14:textId="77777777" w:rsidR="0097612F" w:rsidRPr="000977F7" w:rsidRDefault="0097612F" w:rsidP="00FD39A4">
      <w:pPr>
        <w:pStyle w:val="ac"/>
        <w:widowControl w:val="0"/>
        <w:numPr>
          <w:ilvl w:val="0"/>
          <w:numId w:val="190"/>
        </w:numPr>
        <w:tabs>
          <w:tab w:val="left" w:pos="284"/>
          <w:tab w:val="left" w:pos="52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законодавчі</w:t>
      </w:r>
      <w:r w:rsidRPr="000977F7">
        <w:rPr>
          <w:rFonts w:asciiTheme="majorHAnsi" w:hAnsiTheme="majorHAnsi"/>
          <w:spacing w:val="-5"/>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регламенту</w:t>
      </w:r>
      <w:r w:rsidRPr="000977F7">
        <w:rPr>
          <w:rFonts w:asciiTheme="majorHAnsi" w:hAnsiTheme="majorHAnsi"/>
          <w:spacing w:val="-5"/>
          <w:sz w:val="20"/>
          <w:szCs w:val="20"/>
        </w:rPr>
        <w:t xml:space="preserve"> </w:t>
      </w:r>
      <w:r w:rsidRPr="000977F7">
        <w:rPr>
          <w:rFonts w:asciiTheme="majorHAnsi" w:hAnsiTheme="majorHAnsi"/>
          <w:sz w:val="20"/>
          <w:szCs w:val="20"/>
        </w:rPr>
        <w:t>вальні</w:t>
      </w:r>
      <w:r w:rsidRPr="000977F7">
        <w:rPr>
          <w:rFonts w:asciiTheme="majorHAnsi" w:hAnsiTheme="majorHAnsi"/>
          <w:spacing w:val="-4"/>
          <w:sz w:val="20"/>
          <w:szCs w:val="20"/>
        </w:rPr>
        <w:t xml:space="preserve"> </w:t>
      </w:r>
      <w:r w:rsidRPr="000977F7">
        <w:rPr>
          <w:rFonts w:asciiTheme="majorHAnsi" w:hAnsiTheme="majorHAnsi"/>
          <w:sz w:val="20"/>
          <w:szCs w:val="20"/>
        </w:rPr>
        <w:t>вимоги;</w:t>
      </w:r>
    </w:p>
    <w:p w14:paraId="1D03EAA2" w14:textId="77777777" w:rsidR="0097612F" w:rsidRPr="000977F7" w:rsidRDefault="0097612F" w:rsidP="00FD39A4">
      <w:pPr>
        <w:pStyle w:val="ac"/>
        <w:widowControl w:val="0"/>
        <w:numPr>
          <w:ilvl w:val="0"/>
          <w:numId w:val="190"/>
        </w:numPr>
        <w:tabs>
          <w:tab w:val="left" w:pos="284"/>
          <w:tab w:val="left" w:pos="54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стандарти</w:t>
      </w:r>
      <w:r w:rsidRPr="000977F7">
        <w:rPr>
          <w:rFonts w:asciiTheme="majorHAnsi" w:hAnsiTheme="majorHAnsi"/>
          <w:spacing w:val="7"/>
          <w:sz w:val="20"/>
          <w:szCs w:val="20"/>
        </w:rPr>
        <w:t xml:space="preserve"> </w:t>
      </w:r>
      <w:r w:rsidRPr="000977F7">
        <w:rPr>
          <w:rFonts w:asciiTheme="majorHAnsi" w:hAnsiTheme="majorHAnsi"/>
          <w:sz w:val="20"/>
          <w:szCs w:val="20"/>
        </w:rPr>
        <w:t>чи</w:t>
      </w:r>
      <w:r w:rsidRPr="000977F7">
        <w:rPr>
          <w:rFonts w:asciiTheme="majorHAnsi" w:hAnsiTheme="majorHAnsi"/>
          <w:spacing w:val="8"/>
          <w:sz w:val="20"/>
          <w:szCs w:val="20"/>
        </w:rPr>
        <w:t xml:space="preserve"> </w:t>
      </w:r>
      <w:r w:rsidRPr="000977F7">
        <w:rPr>
          <w:rFonts w:asciiTheme="majorHAnsi" w:hAnsiTheme="majorHAnsi"/>
          <w:sz w:val="20"/>
          <w:szCs w:val="20"/>
        </w:rPr>
        <w:t>кодекси</w:t>
      </w:r>
      <w:r w:rsidRPr="000977F7">
        <w:rPr>
          <w:rFonts w:asciiTheme="majorHAnsi" w:hAnsiTheme="majorHAnsi"/>
          <w:spacing w:val="11"/>
          <w:sz w:val="20"/>
          <w:szCs w:val="20"/>
        </w:rPr>
        <w:t xml:space="preserve"> </w:t>
      </w:r>
      <w:r w:rsidRPr="000977F7">
        <w:rPr>
          <w:rFonts w:asciiTheme="majorHAnsi" w:hAnsiTheme="majorHAnsi"/>
          <w:sz w:val="20"/>
          <w:szCs w:val="20"/>
        </w:rPr>
        <w:t>усталеної</w:t>
      </w:r>
      <w:r w:rsidRPr="000977F7">
        <w:rPr>
          <w:rFonts w:asciiTheme="majorHAnsi" w:hAnsiTheme="majorHAnsi"/>
          <w:spacing w:val="10"/>
          <w:sz w:val="20"/>
          <w:szCs w:val="20"/>
        </w:rPr>
        <w:t xml:space="preserve"> </w:t>
      </w:r>
      <w:r w:rsidRPr="000977F7">
        <w:rPr>
          <w:rFonts w:asciiTheme="majorHAnsi" w:hAnsiTheme="majorHAnsi"/>
          <w:sz w:val="20"/>
          <w:szCs w:val="20"/>
        </w:rPr>
        <w:t>практики,</w:t>
      </w:r>
      <w:r w:rsidRPr="000977F7">
        <w:rPr>
          <w:rFonts w:asciiTheme="majorHAnsi" w:hAnsiTheme="majorHAnsi"/>
          <w:spacing w:val="10"/>
          <w:sz w:val="20"/>
          <w:szCs w:val="20"/>
        </w:rPr>
        <w:t xml:space="preserve"> </w:t>
      </w:r>
      <w:r w:rsidRPr="000977F7">
        <w:rPr>
          <w:rFonts w:asciiTheme="majorHAnsi" w:hAnsiTheme="majorHAnsi"/>
          <w:sz w:val="20"/>
          <w:szCs w:val="20"/>
        </w:rPr>
        <w:t>які</w:t>
      </w:r>
      <w:r w:rsidRPr="000977F7">
        <w:rPr>
          <w:rFonts w:asciiTheme="majorHAnsi" w:hAnsiTheme="majorHAnsi"/>
          <w:spacing w:val="7"/>
          <w:sz w:val="20"/>
          <w:szCs w:val="20"/>
        </w:rPr>
        <w:t xml:space="preserve"> </w:t>
      </w:r>
      <w:r w:rsidRPr="000977F7">
        <w:rPr>
          <w:rFonts w:asciiTheme="majorHAnsi" w:hAnsiTheme="majorHAnsi"/>
          <w:sz w:val="20"/>
          <w:szCs w:val="20"/>
        </w:rPr>
        <w:t>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зобов’язується</w:t>
      </w:r>
      <w:r w:rsidRPr="000977F7">
        <w:rPr>
          <w:rFonts w:asciiTheme="majorHAnsi" w:hAnsiTheme="majorHAnsi"/>
          <w:spacing w:val="-2"/>
          <w:sz w:val="20"/>
          <w:szCs w:val="20"/>
        </w:rPr>
        <w:t xml:space="preserve"> </w:t>
      </w:r>
      <w:r w:rsidRPr="000977F7">
        <w:rPr>
          <w:rFonts w:asciiTheme="majorHAnsi" w:hAnsiTheme="majorHAnsi"/>
          <w:sz w:val="20"/>
          <w:szCs w:val="20"/>
        </w:rPr>
        <w:t>запроваджувати;</w:t>
      </w:r>
    </w:p>
    <w:p w14:paraId="3A4CF865" w14:textId="77777777" w:rsidR="0097612F" w:rsidRPr="000977F7" w:rsidRDefault="0097612F" w:rsidP="00FD39A4">
      <w:pPr>
        <w:pStyle w:val="ac"/>
        <w:widowControl w:val="0"/>
        <w:numPr>
          <w:ilvl w:val="0"/>
          <w:numId w:val="190"/>
        </w:numPr>
        <w:tabs>
          <w:tab w:val="left" w:pos="284"/>
          <w:tab w:val="left" w:pos="55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можливі</w:t>
      </w:r>
      <w:r w:rsidRPr="000977F7">
        <w:rPr>
          <w:rFonts w:asciiTheme="majorHAnsi" w:hAnsiTheme="majorHAnsi"/>
          <w:spacing w:val="24"/>
          <w:sz w:val="20"/>
          <w:szCs w:val="20"/>
        </w:rPr>
        <w:t xml:space="preserve"> </w:t>
      </w:r>
      <w:r w:rsidRPr="000977F7">
        <w:rPr>
          <w:rFonts w:asciiTheme="majorHAnsi" w:hAnsiTheme="majorHAnsi"/>
          <w:sz w:val="20"/>
          <w:szCs w:val="20"/>
        </w:rPr>
        <w:t>наслідки</w:t>
      </w:r>
      <w:r w:rsidRPr="000977F7">
        <w:rPr>
          <w:rFonts w:asciiTheme="majorHAnsi" w:hAnsiTheme="majorHAnsi"/>
          <w:spacing w:val="24"/>
          <w:sz w:val="20"/>
          <w:szCs w:val="20"/>
        </w:rPr>
        <w:t xml:space="preserve"> </w:t>
      </w:r>
      <w:r w:rsidRPr="000977F7">
        <w:rPr>
          <w:rFonts w:asciiTheme="majorHAnsi" w:hAnsiTheme="majorHAnsi"/>
          <w:sz w:val="20"/>
          <w:szCs w:val="20"/>
        </w:rPr>
        <w:t>відмови,</w:t>
      </w:r>
      <w:r w:rsidRPr="000977F7">
        <w:rPr>
          <w:rFonts w:asciiTheme="majorHAnsi" w:hAnsiTheme="majorHAnsi"/>
          <w:spacing w:val="26"/>
          <w:sz w:val="20"/>
          <w:szCs w:val="20"/>
        </w:rPr>
        <w:t xml:space="preserve"> </w:t>
      </w:r>
      <w:r w:rsidRPr="000977F7">
        <w:rPr>
          <w:rFonts w:asciiTheme="majorHAnsi" w:hAnsiTheme="majorHAnsi"/>
          <w:sz w:val="20"/>
          <w:szCs w:val="20"/>
        </w:rPr>
        <w:t>зумовленої</w:t>
      </w:r>
      <w:r w:rsidRPr="000977F7">
        <w:rPr>
          <w:rFonts w:asciiTheme="majorHAnsi" w:hAnsiTheme="majorHAnsi"/>
          <w:spacing w:val="27"/>
          <w:sz w:val="20"/>
          <w:szCs w:val="20"/>
        </w:rPr>
        <w:t xml:space="preserve"> </w:t>
      </w:r>
      <w:r w:rsidRPr="000977F7">
        <w:rPr>
          <w:rFonts w:asciiTheme="majorHAnsi" w:hAnsiTheme="majorHAnsi"/>
          <w:sz w:val="20"/>
          <w:szCs w:val="20"/>
        </w:rPr>
        <w:t>характером</w:t>
      </w:r>
      <w:r w:rsidRPr="000977F7">
        <w:rPr>
          <w:rFonts w:asciiTheme="majorHAnsi" w:hAnsiTheme="majorHAnsi"/>
          <w:spacing w:val="-47"/>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 послуг.</w:t>
      </w:r>
    </w:p>
    <w:p w14:paraId="35E20A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Потрібно,</w:t>
      </w:r>
      <w:r w:rsidRPr="000977F7">
        <w:rPr>
          <w:rFonts w:asciiTheme="majorHAnsi" w:hAnsiTheme="majorHAnsi"/>
          <w:spacing w:val="1"/>
          <w:sz w:val="20"/>
          <w:szCs w:val="20"/>
        </w:rPr>
        <w:t xml:space="preserve"> </w:t>
      </w:r>
      <w:r w:rsidRPr="000977F7">
        <w:rPr>
          <w:rFonts w:asciiTheme="majorHAnsi" w:hAnsiTheme="majorHAnsi"/>
          <w:sz w:val="20"/>
          <w:szCs w:val="20"/>
        </w:rPr>
        <w:t>щоб</w:t>
      </w:r>
      <w:r w:rsidRPr="000977F7">
        <w:rPr>
          <w:rFonts w:asciiTheme="majorHAnsi" w:hAnsiTheme="majorHAnsi"/>
          <w:spacing w:val="1"/>
          <w:sz w:val="20"/>
          <w:szCs w:val="20"/>
        </w:rPr>
        <w:t xml:space="preserve"> </w:t>
      </w:r>
      <w:r w:rsidRPr="000977F7">
        <w:rPr>
          <w:rFonts w:asciiTheme="majorHAnsi" w:hAnsiTheme="majorHAnsi"/>
          <w:sz w:val="20"/>
          <w:szCs w:val="20"/>
        </w:rPr>
        <w:t>вхідні</w:t>
      </w:r>
      <w:r w:rsidRPr="000977F7">
        <w:rPr>
          <w:rFonts w:asciiTheme="majorHAnsi" w:hAnsiTheme="majorHAnsi"/>
          <w:spacing w:val="1"/>
          <w:sz w:val="20"/>
          <w:szCs w:val="20"/>
        </w:rPr>
        <w:t xml:space="preserve"> </w:t>
      </w:r>
      <w:r w:rsidRPr="000977F7">
        <w:rPr>
          <w:rFonts w:asciiTheme="majorHAnsi" w:hAnsiTheme="majorHAnsi"/>
          <w:sz w:val="20"/>
          <w:szCs w:val="20"/>
        </w:rPr>
        <w:t>дані</w:t>
      </w:r>
      <w:r w:rsidRPr="000977F7">
        <w:rPr>
          <w:rFonts w:asciiTheme="majorHAnsi" w:hAnsiTheme="majorHAnsi"/>
          <w:spacing w:val="1"/>
          <w:sz w:val="20"/>
          <w:szCs w:val="20"/>
        </w:rPr>
        <w:t xml:space="preserve"> </w:t>
      </w:r>
      <w:r w:rsidRPr="000977F7">
        <w:rPr>
          <w:rFonts w:asciiTheme="majorHAnsi" w:hAnsiTheme="majorHAnsi"/>
          <w:sz w:val="20"/>
          <w:szCs w:val="20"/>
        </w:rPr>
        <w:t>були</w:t>
      </w:r>
      <w:r w:rsidRPr="000977F7">
        <w:rPr>
          <w:rFonts w:asciiTheme="majorHAnsi" w:hAnsiTheme="majorHAnsi"/>
          <w:spacing w:val="1"/>
          <w:sz w:val="20"/>
          <w:szCs w:val="20"/>
        </w:rPr>
        <w:t xml:space="preserve"> </w:t>
      </w:r>
      <w:r w:rsidRPr="000977F7">
        <w:rPr>
          <w:rFonts w:asciiTheme="majorHAnsi" w:hAnsiTheme="majorHAnsi"/>
          <w:sz w:val="20"/>
          <w:szCs w:val="20"/>
        </w:rPr>
        <w:t>адекватними</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цілей проектування та розроблення, а також повними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недвозначними.</w:t>
      </w:r>
    </w:p>
    <w:p w14:paraId="3BCBF7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Потрібно</w:t>
      </w:r>
      <w:r w:rsidRPr="000977F7">
        <w:rPr>
          <w:rFonts w:asciiTheme="majorHAnsi" w:hAnsiTheme="majorHAnsi"/>
          <w:spacing w:val="1"/>
          <w:sz w:val="20"/>
          <w:szCs w:val="20"/>
        </w:rPr>
        <w:t xml:space="preserve"> </w:t>
      </w:r>
      <w:r w:rsidRPr="000977F7">
        <w:rPr>
          <w:rFonts w:asciiTheme="majorHAnsi" w:hAnsiTheme="majorHAnsi"/>
          <w:sz w:val="20"/>
          <w:szCs w:val="20"/>
        </w:rPr>
        <w:t>усунути</w:t>
      </w:r>
      <w:r w:rsidRPr="000977F7">
        <w:rPr>
          <w:rFonts w:asciiTheme="majorHAnsi" w:hAnsiTheme="majorHAnsi"/>
          <w:spacing w:val="1"/>
          <w:sz w:val="20"/>
          <w:szCs w:val="20"/>
        </w:rPr>
        <w:t xml:space="preserve"> </w:t>
      </w:r>
      <w:r w:rsidRPr="000977F7">
        <w:rPr>
          <w:rFonts w:asciiTheme="majorHAnsi" w:hAnsiTheme="majorHAnsi"/>
          <w:sz w:val="20"/>
          <w:szCs w:val="20"/>
        </w:rPr>
        <w:t>суперечливість</w:t>
      </w:r>
      <w:r w:rsidRPr="000977F7">
        <w:rPr>
          <w:rFonts w:asciiTheme="majorHAnsi" w:hAnsiTheme="majorHAnsi"/>
          <w:spacing w:val="1"/>
          <w:sz w:val="20"/>
          <w:szCs w:val="20"/>
        </w:rPr>
        <w:t xml:space="preserve"> </w:t>
      </w:r>
      <w:r w:rsidRPr="000977F7">
        <w:rPr>
          <w:rFonts w:asciiTheme="majorHAnsi" w:hAnsiTheme="majorHAnsi"/>
          <w:sz w:val="20"/>
          <w:szCs w:val="20"/>
        </w:rPr>
        <w:t>вхідних</w:t>
      </w:r>
      <w:r w:rsidRPr="000977F7">
        <w:rPr>
          <w:rFonts w:asciiTheme="majorHAnsi" w:hAnsiTheme="majorHAnsi"/>
          <w:spacing w:val="1"/>
          <w:sz w:val="20"/>
          <w:szCs w:val="20"/>
        </w:rPr>
        <w:t xml:space="preserve"> </w:t>
      </w:r>
      <w:r w:rsidRPr="000977F7">
        <w:rPr>
          <w:rFonts w:asciiTheme="majorHAnsi" w:hAnsiTheme="majorHAnsi"/>
          <w:sz w:val="20"/>
          <w:szCs w:val="20"/>
        </w:rPr>
        <w:t>даних</w:t>
      </w:r>
      <w:r w:rsidRPr="000977F7">
        <w:rPr>
          <w:rFonts w:asciiTheme="majorHAnsi" w:hAnsiTheme="majorHAnsi"/>
          <w:spacing w:val="-47"/>
          <w:sz w:val="20"/>
          <w:szCs w:val="20"/>
        </w:rPr>
        <w:t xml:space="preserve"> </w:t>
      </w:r>
      <w:r w:rsidRPr="000977F7">
        <w:rPr>
          <w:rFonts w:asciiTheme="majorHAnsi" w:hAnsiTheme="majorHAnsi"/>
          <w:sz w:val="20"/>
          <w:szCs w:val="20"/>
        </w:rPr>
        <w:t>проектування</w:t>
      </w:r>
      <w:r w:rsidRPr="000977F7">
        <w:rPr>
          <w:rFonts w:asciiTheme="majorHAnsi" w:hAnsiTheme="majorHAnsi"/>
          <w:spacing w:val="1"/>
          <w:sz w:val="20"/>
          <w:szCs w:val="20"/>
        </w:rPr>
        <w:t xml:space="preserve"> </w:t>
      </w:r>
      <w:r w:rsidRPr="000977F7">
        <w:rPr>
          <w:rFonts w:asciiTheme="majorHAnsi" w:hAnsiTheme="majorHAnsi"/>
          <w:sz w:val="20"/>
          <w:szCs w:val="20"/>
        </w:rPr>
        <w:t>та розроблення.</w:t>
      </w:r>
    </w:p>
    <w:p w14:paraId="1AE3E6A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зберігати задокументовану інформацію щодо вхідних даних проектування та розроблення.</w:t>
      </w:r>
    </w:p>
    <w:p w14:paraId="3414BB76"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ISO 9001:2015</w:t>
      </w:r>
    </w:p>
    <w:p w14:paraId="1A685E15"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В</w:t>
      </w:r>
      <w:r w:rsidRPr="004D2D14">
        <w:rPr>
          <w:rFonts w:asciiTheme="majorHAnsi" w:hAnsiTheme="majorHAnsi"/>
          <w:b/>
          <w:sz w:val="20"/>
          <w:szCs w:val="20"/>
          <w:lang w:val="en-US"/>
        </w:rPr>
        <w:t>’</w:t>
      </w:r>
      <w:r w:rsidRPr="000977F7">
        <w:rPr>
          <w:rFonts w:asciiTheme="majorHAnsi" w:hAnsiTheme="majorHAnsi"/>
          <w:b/>
          <w:sz w:val="20"/>
          <w:szCs w:val="20"/>
        </w:rPr>
        <w:t>ЯЗКЕ</w:t>
      </w:r>
      <w:r w:rsidRPr="004D2D14">
        <w:rPr>
          <w:rFonts w:asciiTheme="majorHAnsi" w:hAnsiTheme="majorHAnsi"/>
          <w:b/>
          <w:sz w:val="20"/>
          <w:szCs w:val="20"/>
          <w:lang w:val="en-US"/>
        </w:rPr>
        <w:t xml:space="preserve"> </w:t>
      </w:r>
      <w:r w:rsidRPr="000977F7">
        <w:rPr>
          <w:rFonts w:asciiTheme="majorHAnsi" w:hAnsiTheme="majorHAnsi"/>
          <w:b/>
          <w:sz w:val="20"/>
          <w:szCs w:val="20"/>
        </w:rPr>
        <w:t>РУЙНУВАННЯ</w:t>
      </w:r>
      <w:r w:rsidRPr="004D2D14">
        <w:rPr>
          <w:rFonts w:asciiTheme="majorHAnsi" w:hAnsiTheme="majorHAnsi"/>
          <w:b/>
          <w:sz w:val="20"/>
          <w:szCs w:val="20"/>
          <w:lang w:val="en-US"/>
        </w:rPr>
        <w:t xml:space="preserve"> –</w:t>
      </w:r>
    </w:p>
    <w:p w14:paraId="30EE18A8"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4D2D14">
        <w:rPr>
          <w:rFonts w:asciiTheme="majorHAnsi" w:hAnsiTheme="majorHAnsi"/>
          <w:bCs/>
          <w:sz w:val="20"/>
          <w:szCs w:val="20"/>
          <w:lang w:val="en-US"/>
        </w:rPr>
        <w:t>DUCTILE FRACTURE</w:t>
      </w:r>
      <w:r w:rsidRPr="004D2D14">
        <w:rPr>
          <w:rFonts w:asciiTheme="majorHAnsi" w:hAnsiTheme="majorHAnsi"/>
          <w:b/>
          <w:sz w:val="20"/>
          <w:szCs w:val="20"/>
          <w:lang w:val="en-US"/>
        </w:rPr>
        <w:t xml:space="preserve"> –</w:t>
      </w:r>
    </w:p>
    <w:p w14:paraId="3934B46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Руйнування, що</w:t>
      </w:r>
      <w:r w:rsidRPr="000977F7">
        <w:rPr>
          <w:rFonts w:asciiTheme="majorHAnsi" w:hAnsiTheme="majorHAnsi"/>
          <w:spacing w:val="1"/>
          <w:sz w:val="20"/>
          <w:szCs w:val="20"/>
        </w:rPr>
        <w:t xml:space="preserve"> </w:t>
      </w:r>
      <w:r w:rsidRPr="000977F7">
        <w:rPr>
          <w:rFonts w:asciiTheme="majorHAnsi" w:hAnsiTheme="majorHAnsi"/>
          <w:sz w:val="20"/>
          <w:szCs w:val="20"/>
        </w:rPr>
        <w:t>супроводжується розвитком</w:t>
      </w:r>
      <w:r w:rsidRPr="000977F7">
        <w:rPr>
          <w:rFonts w:asciiTheme="majorHAnsi" w:hAnsiTheme="majorHAnsi"/>
          <w:spacing w:val="1"/>
          <w:sz w:val="20"/>
          <w:szCs w:val="20"/>
        </w:rPr>
        <w:t xml:space="preserve"> </w:t>
      </w:r>
      <w:r w:rsidRPr="000977F7">
        <w:rPr>
          <w:rFonts w:asciiTheme="majorHAnsi" w:hAnsiTheme="majorHAnsi"/>
          <w:sz w:val="20"/>
          <w:szCs w:val="20"/>
        </w:rPr>
        <w:t>пластичних</w:t>
      </w:r>
      <w:r w:rsidRPr="000977F7">
        <w:rPr>
          <w:rFonts w:asciiTheme="majorHAnsi" w:hAnsiTheme="majorHAnsi"/>
          <w:spacing w:val="-2"/>
          <w:sz w:val="20"/>
          <w:szCs w:val="20"/>
        </w:rPr>
        <w:t xml:space="preserve"> </w:t>
      </w:r>
      <w:r w:rsidRPr="000977F7">
        <w:rPr>
          <w:rFonts w:asciiTheme="majorHAnsi" w:hAnsiTheme="majorHAnsi"/>
          <w:sz w:val="20"/>
          <w:szCs w:val="20"/>
        </w:rPr>
        <w:t>деформацій</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матеріалі</w:t>
      </w:r>
    </w:p>
    <w:p w14:paraId="35F8D4CA"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2825 – 94</w:t>
      </w:r>
      <w:r w:rsidRPr="000977F7">
        <w:rPr>
          <w:rFonts w:asciiTheme="majorHAnsi" w:hAnsiTheme="majorHAnsi"/>
          <w:i/>
          <w:spacing w:val="-47"/>
          <w:sz w:val="20"/>
          <w:szCs w:val="20"/>
        </w:rPr>
        <w:t xml:space="preserve"> </w:t>
      </w:r>
    </w:p>
    <w:p w14:paraId="26082446"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В’ЯЗКІСТЬ –</w:t>
      </w:r>
      <w:r w:rsidRPr="000977F7">
        <w:rPr>
          <w:rFonts w:asciiTheme="majorHAnsi" w:hAnsiTheme="majorHAnsi"/>
          <w:b/>
          <w:spacing w:val="1"/>
          <w:sz w:val="20"/>
          <w:szCs w:val="20"/>
        </w:rPr>
        <w:t xml:space="preserve"> </w:t>
      </w:r>
    </w:p>
    <w:p w14:paraId="2164519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VISCOSITY –</w:t>
      </w:r>
    </w:p>
    <w:p w14:paraId="209A14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Здатність</w:t>
      </w:r>
      <w:r w:rsidRPr="000977F7">
        <w:rPr>
          <w:rFonts w:asciiTheme="majorHAnsi" w:hAnsiTheme="majorHAnsi"/>
          <w:spacing w:val="9"/>
          <w:sz w:val="20"/>
          <w:szCs w:val="20"/>
        </w:rPr>
        <w:t xml:space="preserve"> </w:t>
      </w:r>
      <w:r w:rsidRPr="000977F7">
        <w:rPr>
          <w:rFonts w:asciiTheme="majorHAnsi" w:hAnsiTheme="majorHAnsi"/>
          <w:sz w:val="20"/>
          <w:szCs w:val="20"/>
        </w:rPr>
        <w:t>матеріалу</w:t>
      </w:r>
      <w:r w:rsidRPr="000977F7">
        <w:rPr>
          <w:rFonts w:asciiTheme="majorHAnsi" w:hAnsiTheme="majorHAnsi"/>
          <w:spacing w:val="8"/>
          <w:sz w:val="20"/>
          <w:szCs w:val="20"/>
        </w:rPr>
        <w:t xml:space="preserve"> </w:t>
      </w:r>
      <w:r w:rsidRPr="000977F7">
        <w:rPr>
          <w:rFonts w:asciiTheme="majorHAnsi" w:hAnsiTheme="majorHAnsi"/>
          <w:sz w:val="20"/>
          <w:szCs w:val="20"/>
        </w:rPr>
        <w:t>змінювати</w:t>
      </w:r>
      <w:r w:rsidRPr="000977F7">
        <w:rPr>
          <w:rFonts w:asciiTheme="majorHAnsi" w:hAnsiTheme="majorHAnsi"/>
          <w:spacing w:val="8"/>
          <w:sz w:val="20"/>
          <w:szCs w:val="20"/>
        </w:rPr>
        <w:t xml:space="preserve"> </w:t>
      </w:r>
      <w:r w:rsidRPr="000977F7">
        <w:rPr>
          <w:rFonts w:asciiTheme="majorHAnsi" w:hAnsiTheme="majorHAnsi"/>
          <w:sz w:val="20"/>
          <w:szCs w:val="20"/>
        </w:rPr>
        <w:t>опір</w:t>
      </w:r>
      <w:r w:rsidRPr="000977F7">
        <w:rPr>
          <w:rFonts w:asciiTheme="majorHAnsi" w:hAnsiTheme="majorHAnsi"/>
          <w:spacing w:val="10"/>
          <w:sz w:val="20"/>
          <w:szCs w:val="20"/>
        </w:rPr>
        <w:t xml:space="preserve"> </w:t>
      </w:r>
      <w:r w:rsidRPr="000977F7">
        <w:rPr>
          <w:rFonts w:asciiTheme="majorHAnsi" w:hAnsiTheme="majorHAnsi"/>
          <w:sz w:val="20"/>
          <w:szCs w:val="20"/>
        </w:rPr>
        <w:t>деформуванню</w:t>
      </w:r>
      <w:r w:rsidRPr="000977F7">
        <w:rPr>
          <w:rFonts w:asciiTheme="majorHAnsi" w:hAnsiTheme="majorHAnsi"/>
          <w:spacing w:val="-47"/>
          <w:sz w:val="20"/>
          <w:szCs w:val="20"/>
        </w:rPr>
        <w:t xml:space="preserve"> </w:t>
      </w:r>
      <w:r w:rsidRPr="000977F7">
        <w:rPr>
          <w:rFonts w:asciiTheme="majorHAnsi" w:hAnsiTheme="majorHAnsi"/>
          <w:sz w:val="20"/>
          <w:szCs w:val="20"/>
        </w:rPr>
        <w:t>залежно від</w:t>
      </w:r>
      <w:r w:rsidRPr="000977F7">
        <w:rPr>
          <w:rFonts w:asciiTheme="majorHAnsi" w:hAnsiTheme="majorHAnsi"/>
          <w:spacing w:val="-1"/>
          <w:sz w:val="20"/>
          <w:szCs w:val="20"/>
        </w:rPr>
        <w:t xml:space="preserve"> </w:t>
      </w:r>
      <w:r w:rsidRPr="000977F7">
        <w:rPr>
          <w:rFonts w:asciiTheme="majorHAnsi" w:hAnsiTheme="majorHAnsi"/>
          <w:sz w:val="20"/>
          <w:szCs w:val="20"/>
        </w:rPr>
        <w:t>швидкості</w:t>
      </w:r>
      <w:r w:rsidRPr="000977F7">
        <w:rPr>
          <w:rFonts w:asciiTheme="majorHAnsi" w:hAnsiTheme="majorHAnsi"/>
          <w:spacing w:val="-1"/>
          <w:sz w:val="20"/>
          <w:szCs w:val="20"/>
        </w:rPr>
        <w:t xml:space="preserve"> </w:t>
      </w:r>
      <w:r w:rsidRPr="000977F7">
        <w:rPr>
          <w:rFonts w:asciiTheme="majorHAnsi" w:hAnsiTheme="majorHAnsi"/>
          <w:sz w:val="20"/>
          <w:szCs w:val="20"/>
        </w:rPr>
        <w:t>деформацій</w:t>
      </w:r>
    </w:p>
    <w:p w14:paraId="5201D68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sectPr w:rsidR="0097612F" w:rsidRPr="000977F7" w:rsidSect="000977F7">
          <w:type w:val="continuous"/>
          <w:pgSz w:w="11910" w:h="16840"/>
          <w:pgMar w:top="800" w:right="428" w:bottom="960" w:left="1000" w:header="0" w:footer="751" w:gutter="0"/>
          <w:cols w:num="2" w:space="454"/>
        </w:sect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B90C667" w14:textId="77777777" w:rsidR="0097612F" w:rsidRPr="00F74722" w:rsidRDefault="0097612F" w:rsidP="00F74722">
      <w:pPr>
        <w:pStyle w:val="1"/>
        <w:rPr>
          <w:lang w:val="uk-UA"/>
        </w:rPr>
        <w:sectPr w:rsidR="0097612F" w:rsidRPr="00F74722" w:rsidSect="000977F7">
          <w:pgSz w:w="11910" w:h="16840"/>
          <w:pgMar w:top="800" w:right="428" w:bottom="960" w:left="1000" w:header="0" w:footer="751" w:gutter="0"/>
          <w:cols w:num="2" w:space="454"/>
        </w:sectPr>
      </w:pPr>
      <w:bookmarkStart w:id="38" w:name="_Toc132629625"/>
      <w:r w:rsidRPr="00F74722">
        <w:rPr>
          <w:lang w:val="uk-UA"/>
        </w:rPr>
        <w:lastRenderedPageBreak/>
        <w:t>Г</w:t>
      </w:r>
      <w:bookmarkEnd w:id="38"/>
    </w:p>
    <w:p w14:paraId="6C18157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ГАБАРИТНЕ</w:t>
      </w:r>
      <w:r w:rsidRPr="000977F7">
        <w:rPr>
          <w:color w:val="auto"/>
          <w:spacing w:val="-5"/>
          <w:sz w:val="20"/>
          <w:szCs w:val="20"/>
        </w:rPr>
        <w:t xml:space="preserve"> </w:t>
      </w:r>
      <w:r w:rsidRPr="000977F7">
        <w:rPr>
          <w:color w:val="auto"/>
          <w:sz w:val="20"/>
          <w:szCs w:val="20"/>
        </w:rPr>
        <w:t>КРЕСЛЕННЯ</w:t>
      </w:r>
      <w:r w:rsidRPr="000977F7">
        <w:rPr>
          <w:color w:val="auto"/>
          <w:spacing w:val="-1"/>
          <w:sz w:val="20"/>
          <w:szCs w:val="20"/>
        </w:rPr>
        <w:t xml:space="preserve"> </w:t>
      </w:r>
      <w:r w:rsidRPr="000977F7">
        <w:rPr>
          <w:color w:val="auto"/>
          <w:sz w:val="20"/>
          <w:szCs w:val="20"/>
        </w:rPr>
        <w:t>–</w:t>
      </w:r>
    </w:p>
    <w:p w14:paraId="72FC4AF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Креслення, яке являє собою контурне (спрощене) зображення виробу з габаритними, установними і приєднувальними</w:t>
      </w:r>
      <w:r w:rsidRPr="000977F7">
        <w:rPr>
          <w:rFonts w:asciiTheme="majorHAnsi" w:hAnsiTheme="majorHAnsi"/>
          <w:spacing w:val="-2"/>
          <w:sz w:val="20"/>
          <w:szCs w:val="20"/>
        </w:rPr>
        <w:t xml:space="preserve"> </w:t>
      </w:r>
      <w:r w:rsidRPr="000977F7">
        <w:rPr>
          <w:rFonts w:asciiTheme="majorHAnsi" w:hAnsiTheme="majorHAnsi"/>
          <w:sz w:val="20"/>
          <w:szCs w:val="20"/>
        </w:rPr>
        <w:t>розмірами</w:t>
      </w:r>
    </w:p>
    <w:p w14:paraId="53D51D1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31C9746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ГАЗОВА</w:t>
      </w:r>
      <w:r w:rsidRPr="000977F7">
        <w:rPr>
          <w:color w:val="auto"/>
          <w:spacing w:val="-3"/>
          <w:sz w:val="20"/>
          <w:szCs w:val="20"/>
        </w:rPr>
        <w:t xml:space="preserve"> </w:t>
      </w:r>
      <w:r w:rsidRPr="000977F7">
        <w:rPr>
          <w:color w:val="auto"/>
          <w:sz w:val="20"/>
          <w:szCs w:val="20"/>
        </w:rPr>
        <w:t>КОРОЗІЯ</w:t>
      </w:r>
      <w:r w:rsidRPr="000977F7">
        <w:rPr>
          <w:color w:val="auto"/>
          <w:spacing w:val="-1"/>
          <w:sz w:val="20"/>
          <w:szCs w:val="20"/>
        </w:rPr>
        <w:t xml:space="preserve"> </w:t>
      </w:r>
      <w:r w:rsidRPr="000977F7">
        <w:rPr>
          <w:color w:val="auto"/>
          <w:sz w:val="20"/>
          <w:szCs w:val="20"/>
        </w:rPr>
        <w:t>-</w:t>
      </w:r>
    </w:p>
    <w:p w14:paraId="1882D7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GASEOUS</w:t>
      </w:r>
      <w:r w:rsidRPr="000977F7">
        <w:rPr>
          <w:rFonts w:asciiTheme="majorHAnsi" w:hAnsiTheme="majorHAnsi"/>
          <w:spacing w:val="-1"/>
          <w:sz w:val="20"/>
          <w:szCs w:val="20"/>
        </w:rPr>
        <w:t xml:space="preserve"> </w:t>
      </w:r>
      <w:r w:rsidRPr="000977F7">
        <w:rPr>
          <w:rFonts w:asciiTheme="majorHAnsi" w:hAnsiTheme="majorHAnsi"/>
          <w:sz w:val="20"/>
          <w:szCs w:val="20"/>
        </w:rPr>
        <w:t>CORROSION –</w:t>
      </w:r>
    </w:p>
    <w:p w14:paraId="6EA2706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Корозія</w:t>
      </w:r>
      <w:r w:rsidRPr="000977F7">
        <w:rPr>
          <w:rFonts w:asciiTheme="majorHAnsi" w:hAnsiTheme="majorHAnsi"/>
          <w:spacing w:val="21"/>
          <w:sz w:val="20"/>
          <w:szCs w:val="20"/>
        </w:rPr>
        <w:t xml:space="preserve"> </w:t>
      </w:r>
      <w:r w:rsidRPr="000977F7">
        <w:rPr>
          <w:rFonts w:asciiTheme="majorHAnsi" w:hAnsiTheme="majorHAnsi"/>
          <w:sz w:val="20"/>
          <w:szCs w:val="20"/>
        </w:rPr>
        <w:t>металу</w:t>
      </w:r>
      <w:r w:rsidRPr="000977F7">
        <w:rPr>
          <w:rFonts w:asciiTheme="majorHAnsi" w:hAnsiTheme="majorHAnsi"/>
          <w:spacing w:val="19"/>
          <w:sz w:val="20"/>
          <w:szCs w:val="20"/>
        </w:rPr>
        <w:t xml:space="preserve"> </w:t>
      </w:r>
      <w:r w:rsidRPr="000977F7">
        <w:rPr>
          <w:rFonts w:asciiTheme="majorHAnsi" w:hAnsiTheme="majorHAnsi"/>
          <w:sz w:val="20"/>
          <w:szCs w:val="20"/>
        </w:rPr>
        <w:t>в</w:t>
      </w:r>
      <w:r w:rsidRPr="000977F7">
        <w:rPr>
          <w:rFonts w:asciiTheme="majorHAnsi" w:hAnsiTheme="majorHAnsi"/>
          <w:spacing w:val="24"/>
          <w:sz w:val="20"/>
          <w:szCs w:val="20"/>
        </w:rPr>
        <w:t xml:space="preserve"> </w:t>
      </w:r>
      <w:r w:rsidRPr="000977F7">
        <w:rPr>
          <w:rFonts w:asciiTheme="majorHAnsi" w:hAnsiTheme="majorHAnsi"/>
          <w:sz w:val="20"/>
          <w:szCs w:val="20"/>
        </w:rPr>
        <w:t>газовому</w:t>
      </w:r>
      <w:r w:rsidRPr="000977F7">
        <w:rPr>
          <w:rFonts w:asciiTheme="majorHAnsi" w:hAnsiTheme="majorHAnsi"/>
          <w:spacing w:val="20"/>
          <w:sz w:val="20"/>
          <w:szCs w:val="20"/>
        </w:rPr>
        <w:t xml:space="preserve"> </w:t>
      </w:r>
      <w:r w:rsidRPr="000977F7">
        <w:rPr>
          <w:rFonts w:asciiTheme="majorHAnsi" w:hAnsiTheme="majorHAnsi"/>
          <w:sz w:val="20"/>
          <w:szCs w:val="20"/>
        </w:rPr>
        <w:t>середовищі</w:t>
      </w:r>
      <w:r w:rsidRPr="000977F7">
        <w:rPr>
          <w:rFonts w:asciiTheme="majorHAnsi" w:hAnsiTheme="majorHAnsi"/>
          <w:spacing w:val="22"/>
          <w:sz w:val="20"/>
          <w:szCs w:val="20"/>
        </w:rPr>
        <w:t xml:space="preserve"> </w:t>
      </w:r>
      <w:r w:rsidRPr="000977F7">
        <w:rPr>
          <w:rFonts w:asciiTheme="majorHAnsi" w:hAnsiTheme="majorHAnsi"/>
          <w:sz w:val="20"/>
          <w:szCs w:val="20"/>
        </w:rPr>
        <w:t>за</w:t>
      </w:r>
      <w:r w:rsidRPr="000977F7">
        <w:rPr>
          <w:rFonts w:asciiTheme="majorHAnsi" w:hAnsiTheme="majorHAnsi"/>
          <w:spacing w:val="24"/>
          <w:sz w:val="20"/>
          <w:szCs w:val="20"/>
        </w:rPr>
        <w:t xml:space="preserve"> </w:t>
      </w:r>
      <w:r w:rsidRPr="000977F7">
        <w:rPr>
          <w:rFonts w:asciiTheme="majorHAnsi" w:hAnsiTheme="majorHAnsi"/>
          <w:sz w:val="20"/>
          <w:szCs w:val="20"/>
        </w:rPr>
        <w:t>відсутності</w:t>
      </w:r>
      <w:r w:rsidRPr="000977F7">
        <w:rPr>
          <w:rFonts w:asciiTheme="majorHAnsi" w:hAnsiTheme="majorHAnsi"/>
          <w:spacing w:val="-47"/>
          <w:sz w:val="20"/>
          <w:szCs w:val="20"/>
        </w:rPr>
        <w:t xml:space="preserve"> </w:t>
      </w:r>
      <w:r w:rsidRPr="000977F7">
        <w:rPr>
          <w:rFonts w:asciiTheme="majorHAnsi" w:hAnsiTheme="majorHAnsi"/>
          <w:sz w:val="20"/>
          <w:szCs w:val="20"/>
        </w:rPr>
        <w:t>водяної</w:t>
      </w:r>
      <w:r w:rsidRPr="000977F7">
        <w:rPr>
          <w:rFonts w:asciiTheme="majorHAnsi" w:hAnsiTheme="majorHAnsi"/>
          <w:spacing w:val="-2"/>
          <w:sz w:val="20"/>
          <w:szCs w:val="20"/>
        </w:rPr>
        <w:t xml:space="preserve"> </w:t>
      </w:r>
      <w:r w:rsidRPr="000977F7">
        <w:rPr>
          <w:rFonts w:asciiTheme="majorHAnsi" w:hAnsiTheme="majorHAnsi"/>
          <w:sz w:val="20"/>
          <w:szCs w:val="20"/>
        </w:rPr>
        <w:t>фази</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металевій</w:t>
      </w:r>
      <w:r w:rsidRPr="000977F7">
        <w:rPr>
          <w:rFonts w:asciiTheme="majorHAnsi" w:hAnsiTheme="majorHAnsi"/>
          <w:spacing w:val="-1"/>
          <w:sz w:val="20"/>
          <w:szCs w:val="20"/>
        </w:rPr>
        <w:t xml:space="preserve"> </w:t>
      </w:r>
      <w:r w:rsidRPr="000977F7">
        <w:rPr>
          <w:rFonts w:asciiTheme="majorHAnsi" w:hAnsiTheme="majorHAnsi"/>
          <w:sz w:val="20"/>
          <w:szCs w:val="20"/>
        </w:rPr>
        <w:t>поверхні</w:t>
      </w:r>
    </w:p>
    <w:p w14:paraId="68BEAF9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766389C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ГАЛТУВАННЯ</w:t>
      </w:r>
      <w:r w:rsidRPr="000977F7">
        <w:rPr>
          <w:color w:val="auto"/>
          <w:spacing w:val="-4"/>
          <w:sz w:val="20"/>
          <w:szCs w:val="20"/>
        </w:rPr>
        <w:t xml:space="preserve"> </w:t>
      </w:r>
      <w:r w:rsidRPr="000977F7">
        <w:rPr>
          <w:color w:val="auto"/>
          <w:sz w:val="20"/>
          <w:szCs w:val="20"/>
        </w:rPr>
        <w:t>–</w:t>
      </w:r>
    </w:p>
    <w:p w14:paraId="63A961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Спосіб очищення або викінчування поверхонь заготовок або деталей у робочому органі, який обертається,</w:t>
      </w:r>
      <w:r w:rsidRPr="000977F7">
        <w:rPr>
          <w:rFonts w:asciiTheme="majorHAnsi" w:hAnsiTheme="majorHAnsi"/>
          <w:spacing w:val="1"/>
          <w:sz w:val="20"/>
          <w:szCs w:val="20"/>
        </w:rPr>
        <w:t xml:space="preserve"> </w:t>
      </w:r>
      <w:r w:rsidRPr="000977F7">
        <w:rPr>
          <w:rFonts w:asciiTheme="majorHAnsi" w:hAnsiTheme="majorHAnsi"/>
          <w:sz w:val="20"/>
          <w:szCs w:val="20"/>
        </w:rPr>
        <w:t>разом із робочою сумішшю (наприклад, сталеві кульки, шлак, пісок, вапно, шкіра), а при "мокрому" способі й з рідиною (наприклад, мильна вода, слабкі розчини</w:t>
      </w:r>
      <w:r w:rsidRPr="000977F7">
        <w:rPr>
          <w:rFonts w:asciiTheme="majorHAnsi" w:hAnsiTheme="majorHAnsi"/>
          <w:spacing w:val="-2"/>
          <w:sz w:val="20"/>
          <w:szCs w:val="20"/>
        </w:rPr>
        <w:t xml:space="preserve"> </w:t>
      </w:r>
      <w:r w:rsidRPr="000977F7">
        <w:rPr>
          <w:rFonts w:asciiTheme="majorHAnsi" w:hAnsiTheme="majorHAnsi"/>
          <w:sz w:val="20"/>
          <w:szCs w:val="20"/>
        </w:rPr>
        <w:t>лугів</w:t>
      </w:r>
      <w:r w:rsidRPr="000977F7">
        <w:rPr>
          <w:rFonts w:asciiTheme="majorHAnsi" w:hAnsiTheme="majorHAnsi"/>
          <w:spacing w:val="1"/>
          <w:sz w:val="20"/>
          <w:szCs w:val="20"/>
        </w:rPr>
        <w:t xml:space="preserve"> </w:t>
      </w:r>
      <w:r w:rsidRPr="000977F7">
        <w:rPr>
          <w:rFonts w:asciiTheme="majorHAnsi" w:hAnsiTheme="majorHAnsi"/>
          <w:sz w:val="20"/>
          <w:szCs w:val="20"/>
        </w:rPr>
        <w:t>та солей)</w:t>
      </w:r>
    </w:p>
    <w:p w14:paraId="7401B2B8" w14:textId="77777777" w:rsidR="0097612F" w:rsidRPr="000977F7" w:rsidRDefault="0097612F" w:rsidP="000977F7">
      <w:pPr>
        <w:pStyle w:val="7"/>
        <w:tabs>
          <w:tab w:val="left" w:pos="284"/>
        </w:tabs>
        <w:spacing w:before="0" w:line="240" w:lineRule="auto"/>
        <w:ind w:left="170"/>
        <w:mirrorIndents/>
        <w:jc w:val="both"/>
        <w:rPr>
          <w:color w:val="auto"/>
          <w:spacing w:val="-6"/>
          <w:sz w:val="20"/>
          <w:szCs w:val="20"/>
        </w:rPr>
      </w:pPr>
      <w:r w:rsidRPr="000977F7">
        <w:rPr>
          <w:color w:val="auto"/>
          <w:sz w:val="20"/>
          <w:szCs w:val="20"/>
        </w:rPr>
        <w:t>ГАЛУЗЕВА</w:t>
      </w:r>
      <w:r w:rsidRPr="000977F7">
        <w:rPr>
          <w:color w:val="auto"/>
          <w:spacing w:val="-7"/>
          <w:sz w:val="20"/>
          <w:szCs w:val="20"/>
        </w:rPr>
        <w:t xml:space="preserve"> </w:t>
      </w:r>
      <w:r w:rsidRPr="000977F7">
        <w:rPr>
          <w:color w:val="auto"/>
          <w:sz w:val="20"/>
          <w:szCs w:val="20"/>
        </w:rPr>
        <w:t>СИСТЕМА</w:t>
      </w:r>
      <w:r w:rsidRPr="000977F7">
        <w:rPr>
          <w:color w:val="auto"/>
          <w:spacing w:val="-7"/>
          <w:sz w:val="20"/>
          <w:szCs w:val="20"/>
        </w:rPr>
        <w:t xml:space="preserve"> </w:t>
      </w:r>
      <w:r w:rsidRPr="000977F7">
        <w:rPr>
          <w:color w:val="auto"/>
          <w:sz w:val="20"/>
          <w:szCs w:val="20"/>
        </w:rPr>
        <w:t>ТЕХНОЛОГІЧНОГО</w:t>
      </w:r>
      <w:r w:rsidRPr="000977F7">
        <w:rPr>
          <w:color w:val="auto"/>
          <w:spacing w:val="-6"/>
          <w:sz w:val="20"/>
          <w:szCs w:val="20"/>
        </w:rPr>
        <w:t xml:space="preserve"> </w:t>
      </w:r>
    </w:p>
    <w:p w14:paraId="00321F9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ПІДГОТОВЛЕННЯ</w:t>
      </w:r>
      <w:r w:rsidRPr="000977F7">
        <w:rPr>
          <w:color w:val="auto"/>
          <w:spacing w:val="-2"/>
          <w:sz w:val="20"/>
          <w:szCs w:val="20"/>
        </w:rPr>
        <w:t xml:space="preserve"> </w:t>
      </w:r>
      <w:r w:rsidRPr="000977F7">
        <w:rPr>
          <w:color w:val="auto"/>
          <w:sz w:val="20"/>
          <w:szCs w:val="20"/>
        </w:rPr>
        <w:t>ВИРОБНИЦТВА</w:t>
      </w:r>
      <w:r w:rsidRPr="000977F7">
        <w:rPr>
          <w:color w:val="auto"/>
          <w:spacing w:val="-2"/>
          <w:sz w:val="20"/>
          <w:szCs w:val="20"/>
        </w:rPr>
        <w:t xml:space="preserve"> </w:t>
      </w:r>
      <w:r w:rsidRPr="000977F7">
        <w:rPr>
          <w:color w:val="auto"/>
          <w:sz w:val="20"/>
          <w:szCs w:val="20"/>
        </w:rPr>
        <w:t>(ГСТПВ)</w:t>
      </w:r>
      <w:r w:rsidRPr="000977F7">
        <w:rPr>
          <w:color w:val="auto"/>
          <w:spacing w:val="3"/>
          <w:sz w:val="20"/>
          <w:szCs w:val="20"/>
        </w:rPr>
        <w:t xml:space="preserve"> </w:t>
      </w:r>
    </w:p>
    <w:p w14:paraId="1DF31A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організації та керування технологічним підготовленням</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встановлена</w:t>
      </w:r>
      <w:r w:rsidRPr="000977F7">
        <w:rPr>
          <w:rFonts w:asciiTheme="majorHAnsi" w:hAnsiTheme="majorHAnsi"/>
          <w:spacing w:val="1"/>
          <w:sz w:val="20"/>
          <w:szCs w:val="20"/>
        </w:rPr>
        <w:t xml:space="preserve"> </w:t>
      </w:r>
      <w:r w:rsidRPr="000977F7">
        <w:rPr>
          <w:rFonts w:asciiTheme="majorHAnsi" w:hAnsiTheme="majorHAnsi"/>
          <w:sz w:val="20"/>
          <w:szCs w:val="20"/>
        </w:rPr>
        <w:t>галузевими</w:t>
      </w:r>
      <w:r w:rsidRPr="000977F7">
        <w:rPr>
          <w:rFonts w:asciiTheme="majorHAnsi" w:hAnsiTheme="majorHAnsi"/>
          <w:spacing w:val="1"/>
          <w:sz w:val="20"/>
          <w:szCs w:val="20"/>
        </w:rPr>
        <w:t xml:space="preserve"> </w:t>
      </w:r>
      <w:r w:rsidRPr="000977F7">
        <w:rPr>
          <w:rFonts w:asciiTheme="majorHAnsi" w:hAnsiTheme="majorHAnsi"/>
          <w:sz w:val="20"/>
          <w:szCs w:val="20"/>
        </w:rPr>
        <w:t>стандартами, розробленими у відповідності з державними стандартами системи технологічної підготовки</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2"/>
          <w:sz w:val="20"/>
          <w:szCs w:val="20"/>
        </w:rPr>
        <w:t xml:space="preserve"> </w:t>
      </w:r>
      <w:r w:rsidRPr="000977F7">
        <w:rPr>
          <w:rFonts w:asciiTheme="majorHAnsi" w:hAnsiTheme="majorHAnsi"/>
          <w:sz w:val="20"/>
          <w:szCs w:val="20"/>
        </w:rPr>
        <w:t>(СТПВ)</w:t>
      </w:r>
    </w:p>
    <w:p w14:paraId="12398803" w14:textId="77777777" w:rsidR="0097612F" w:rsidRPr="004D2D14" w:rsidRDefault="0097612F" w:rsidP="000977F7">
      <w:pPr>
        <w:tabs>
          <w:tab w:val="left" w:pos="284"/>
          <w:tab w:val="left" w:pos="1270"/>
          <w:tab w:val="left" w:pos="1754"/>
          <w:tab w:val="left" w:pos="2526"/>
          <w:tab w:val="left" w:pos="2992"/>
          <w:tab w:val="left" w:pos="4509"/>
          <w:tab w:val="left" w:pos="4972"/>
        </w:tabs>
        <w:spacing w:after="0" w:line="240" w:lineRule="auto"/>
        <w:ind w:left="170"/>
        <w:mirrorIndents/>
        <w:jc w:val="both"/>
        <w:rPr>
          <w:rFonts w:asciiTheme="majorHAnsi" w:hAnsiTheme="majorHAnsi"/>
          <w:b/>
          <w:spacing w:val="1"/>
          <w:sz w:val="20"/>
          <w:szCs w:val="20"/>
          <w:lang w:val="en-US"/>
        </w:rPr>
      </w:pPr>
      <w:r w:rsidRPr="000977F7">
        <w:rPr>
          <w:rFonts w:asciiTheme="majorHAnsi" w:hAnsiTheme="majorHAnsi"/>
          <w:b/>
          <w:sz w:val="20"/>
          <w:szCs w:val="20"/>
        </w:rPr>
        <w:t>РОЗПОВСЮДЖЕННЯ</w:t>
      </w:r>
      <w:r w:rsidRPr="004D2D14">
        <w:rPr>
          <w:rFonts w:asciiTheme="majorHAnsi" w:hAnsiTheme="majorHAnsi"/>
          <w:b/>
          <w:sz w:val="20"/>
          <w:szCs w:val="20"/>
          <w:lang w:val="en-US"/>
        </w:rPr>
        <w:t xml:space="preserve"> </w:t>
      </w:r>
      <w:r w:rsidRPr="000977F7">
        <w:rPr>
          <w:rFonts w:asciiTheme="majorHAnsi" w:hAnsiTheme="majorHAnsi"/>
          <w:b/>
          <w:sz w:val="20"/>
          <w:szCs w:val="20"/>
        </w:rPr>
        <w:t>СТАНДАРТУ</w:t>
      </w:r>
      <w:r w:rsidRPr="004D2D14">
        <w:rPr>
          <w:rFonts w:asciiTheme="majorHAnsi" w:hAnsiTheme="majorHAnsi"/>
          <w:b/>
          <w:sz w:val="20"/>
          <w:szCs w:val="20"/>
          <w:lang w:val="en-US"/>
        </w:rPr>
        <w:t xml:space="preserve"> –</w:t>
      </w:r>
      <w:r w:rsidRPr="004D2D14">
        <w:rPr>
          <w:rFonts w:asciiTheme="majorHAnsi" w:hAnsiTheme="majorHAnsi"/>
          <w:b/>
          <w:spacing w:val="1"/>
          <w:sz w:val="20"/>
          <w:szCs w:val="20"/>
          <w:lang w:val="en-US"/>
        </w:rPr>
        <w:t xml:space="preserve"> </w:t>
      </w:r>
    </w:p>
    <w:p w14:paraId="44238F51" w14:textId="77777777" w:rsidR="0097612F" w:rsidRPr="004D2D14" w:rsidRDefault="0097612F" w:rsidP="000977F7">
      <w:pPr>
        <w:tabs>
          <w:tab w:val="left" w:pos="284"/>
          <w:tab w:val="left" w:pos="1270"/>
          <w:tab w:val="left" w:pos="1754"/>
          <w:tab w:val="left" w:pos="2526"/>
          <w:tab w:val="left" w:pos="2992"/>
          <w:tab w:val="left" w:pos="4509"/>
          <w:tab w:val="left" w:pos="4972"/>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 xml:space="preserve">SCOPE OR FIELD OF APPLICATION OF </w:t>
      </w:r>
      <w:r w:rsidRPr="004D2D14">
        <w:rPr>
          <w:rFonts w:asciiTheme="majorHAnsi" w:hAnsiTheme="majorHAnsi"/>
          <w:spacing w:val="-4"/>
          <w:sz w:val="20"/>
          <w:szCs w:val="20"/>
          <w:lang w:val="en-US"/>
        </w:rPr>
        <w:t>A</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STANDARD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33DE1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28"/>
          <w:sz w:val="20"/>
          <w:szCs w:val="20"/>
        </w:rPr>
        <w:t xml:space="preserve"> </w:t>
      </w:r>
      <w:r w:rsidRPr="000977F7">
        <w:rPr>
          <w:rFonts w:asciiTheme="majorHAnsi" w:hAnsiTheme="majorHAnsi"/>
          <w:sz w:val="20"/>
          <w:szCs w:val="20"/>
        </w:rPr>
        <w:t>об’єктів</w:t>
      </w:r>
      <w:r w:rsidRPr="000977F7">
        <w:rPr>
          <w:rFonts w:asciiTheme="majorHAnsi" w:hAnsiTheme="majorHAnsi"/>
          <w:spacing w:val="27"/>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28"/>
          <w:sz w:val="20"/>
          <w:szCs w:val="20"/>
        </w:rPr>
        <w:t xml:space="preserve"> </w:t>
      </w:r>
      <w:r w:rsidRPr="000977F7">
        <w:rPr>
          <w:rFonts w:asciiTheme="majorHAnsi" w:hAnsiTheme="majorHAnsi"/>
          <w:sz w:val="20"/>
          <w:szCs w:val="20"/>
        </w:rPr>
        <w:t>на</w:t>
      </w:r>
      <w:r w:rsidRPr="000977F7">
        <w:rPr>
          <w:rFonts w:asciiTheme="majorHAnsi" w:hAnsiTheme="majorHAnsi"/>
          <w:spacing w:val="28"/>
          <w:sz w:val="20"/>
          <w:szCs w:val="20"/>
        </w:rPr>
        <w:t xml:space="preserve"> </w:t>
      </w:r>
      <w:r w:rsidRPr="000977F7">
        <w:rPr>
          <w:rFonts w:asciiTheme="majorHAnsi" w:hAnsiTheme="majorHAnsi"/>
          <w:sz w:val="20"/>
          <w:szCs w:val="20"/>
        </w:rPr>
        <w:t>які</w:t>
      </w:r>
      <w:r w:rsidRPr="000977F7">
        <w:rPr>
          <w:rFonts w:asciiTheme="majorHAnsi" w:hAnsiTheme="majorHAnsi"/>
          <w:spacing w:val="28"/>
          <w:sz w:val="20"/>
          <w:szCs w:val="20"/>
        </w:rPr>
        <w:t xml:space="preserve"> </w:t>
      </w:r>
      <w:r w:rsidRPr="000977F7">
        <w:rPr>
          <w:rFonts w:asciiTheme="majorHAnsi" w:hAnsiTheme="majorHAnsi"/>
          <w:sz w:val="20"/>
          <w:szCs w:val="20"/>
        </w:rPr>
        <w:t>розповсюджуються</w:t>
      </w:r>
      <w:r w:rsidRPr="000977F7">
        <w:rPr>
          <w:rFonts w:asciiTheme="majorHAnsi" w:hAnsiTheme="majorHAnsi"/>
          <w:spacing w:val="-2"/>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даного стандарту</w:t>
      </w:r>
    </w:p>
    <w:p w14:paraId="17EFAC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
          <w:sz w:val="20"/>
          <w:szCs w:val="20"/>
        </w:rPr>
        <w:t>ГАЛУЗЬ СЕРТИФІКАЦІЇ -</w:t>
      </w:r>
    </w:p>
    <w:p w14:paraId="60BE6E75"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Ідентифікація:</w:t>
      </w:r>
    </w:p>
    <w:p w14:paraId="04A073C5"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продукції, процесів або послуг, для яких сертифікація надається;</w:t>
      </w:r>
    </w:p>
    <w:p w14:paraId="1A860A4F"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застосовної схеми сертифікації, і </w:t>
      </w:r>
    </w:p>
    <w:p w14:paraId="234645F4"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b/>
          <w:bCs/>
          <w:sz w:val="20"/>
          <w:szCs w:val="20"/>
        </w:rPr>
      </w:pPr>
      <w:r w:rsidRPr="000977F7">
        <w:rPr>
          <w:rFonts w:asciiTheme="majorHAnsi" w:hAnsiTheme="majorHAnsi"/>
          <w:sz w:val="20"/>
          <w:szCs w:val="20"/>
        </w:rPr>
        <w:t>стандартів та інших нормативних документів, зокрема, дати їх публікації, на відповідність до яких оцінюється продукція, процеси або послуги</w:t>
      </w:r>
    </w:p>
    <w:p w14:paraId="59F65F88"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b/>
          <w:bCs/>
          <w:i/>
          <w:iCs/>
          <w:sz w:val="20"/>
          <w:szCs w:val="20"/>
        </w:rPr>
      </w:pPr>
      <w:r w:rsidRPr="000977F7">
        <w:rPr>
          <w:rFonts w:asciiTheme="majorHAnsi" w:hAnsiTheme="majorHAnsi"/>
          <w:i/>
          <w:iCs/>
          <w:sz w:val="20"/>
          <w:szCs w:val="20"/>
          <w:lang w:eastAsia="ru-RU"/>
        </w:rPr>
        <w:t>ДСТУ EN ISO/IEC 17065:2019</w:t>
      </w:r>
    </w:p>
    <w:p w14:paraId="5BBBBF9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ГАЛУЗЬ</w:t>
      </w:r>
      <w:r w:rsidRPr="000977F7">
        <w:rPr>
          <w:color w:val="auto"/>
          <w:spacing w:val="-5"/>
          <w:sz w:val="20"/>
          <w:szCs w:val="20"/>
        </w:rPr>
        <w:t xml:space="preserve"> </w:t>
      </w:r>
      <w:r w:rsidRPr="000977F7">
        <w:rPr>
          <w:color w:val="auto"/>
          <w:sz w:val="20"/>
          <w:szCs w:val="20"/>
        </w:rPr>
        <w:t>СТАНДАРТИЗАЦІЇ</w:t>
      </w:r>
      <w:r w:rsidRPr="000977F7">
        <w:rPr>
          <w:color w:val="auto"/>
          <w:spacing w:val="-3"/>
          <w:sz w:val="20"/>
          <w:szCs w:val="20"/>
        </w:rPr>
        <w:t xml:space="preserve"> </w:t>
      </w:r>
      <w:r w:rsidRPr="000977F7">
        <w:rPr>
          <w:color w:val="auto"/>
          <w:sz w:val="20"/>
          <w:szCs w:val="20"/>
        </w:rPr>
        <w:t>–</w:t>
      </w:r>
    </w:p>
    <w:p w14:paraId="4CB2063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FIELD</w:t>
      </w:r>
      <w:r w:rsidRPr="004D2D14">
        <w:rPr>
          <w:rFonts w:asciiTheme="majorHAnsi" w:hAnsiTheme="majorHAnsi"/>
          <w:spacing w:val="-2"/>
          <w:sz w:val="20"/>
          <w:szCs w:val="20"/>
          <w:lang w:val="uk-UA"/>
        </w:rPr>
        <w:t xml:space="preserve"> </w:t>
      </w:r>
      <w:r w:rsidRPr="000977F7">
        <w:rPr>
          <w:rFonts w:asciiTheme="majorHAnsi" w:hAnsiTheme="majorHAnsi"/>
          <w:sz w:val="20"/>
          <w:szCs w:val="20"/>
        </w:rPr>
        <w:t>OF</w:t>
      </w:r>
      <w:r w:rsidRPr="004D2D14">
        <w:rPr>
          <w:rFonts w:asciiTheme="majorHAnsi" w:hAnsiTheme="majorHAnsi"/>
          <w:sz w:val="20"/>
          <w:szCs w:val="20"/>
          <w:lang w:val="uk-UA"/>
        </w:rPr>
        <w:t xml:space="preserve"> </w:t>
      </w:r>
      <w:r w:rsidRPr="000977F7">
        <w:rPr>
          <w:rFonts w:asciiTheme="majorHAnsi" w:hAnsiTheme="majorHAnsi"/>
          <w:sz w:val="20"/>
          <w:szCs w:val="20"/>
        </w:rPr>
        <w:t>STANDARDIZATION</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64A5E15E" w14:textId="77777777" w:rsidR="0097612F" w:rsidRPr="004D2D14" w:rsidRDefault="0097612F" w:rsidP="000977F7">
      <w:pPr>
        <w:pStyle w:val="af6"/>
        <w:tabs>
          <w:tab w:val="left" w:pos="284"/>
        </w:tabs>
        <w:spacing w:after="0"/>
        <w:ind w:left="170"/>
        <w:mirrorIndents/>
        <w:jc w:val="both"/>
        <w:rPr>
          <w:rFonts w:asciiTheme="majorHAnsi" w:hAnsiTheme="majorHAnsi"/>
          <w:spacing w:val="-47"/>
          <w:sz w:val="20"/>
          <w:szCs w:val="20"/>
          <w:lang w:val="uk-UA"/>
        </w:rPr>
      </w:pPr>
      <w:r w:rsidRPr="004D2D14">
        <w:rPr>
          <w:rFonts w:asciiTheme="majorHAnsi" w:hAnsiTheme="majorHAnsi"/>
          <w:sz w:val="20"/>
          <w:szCs w:val="20"/>
          <w:lang w:val="uk-UA"/>
        </w:rPr>
        <w:t>Сукупність</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взаємопов'язаних</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об'єктів</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стандартизації</w:t>
      </w:r>
      <w:r w:rsidRPr="004D2D14">
        <w:rPr>
          <w:rFonts w:asciiTheme="majorHAnsi" w:hAnsiTheme="majorHAnsi"/>
          <w:spacing w:val="-47"/>
          <w:sz w:val="20"/>
          <w:szCs w:val="20"/>
          <w:lang w:val="uk-UA"/>
        </w:rPr>
        <w:t xml:space="preserve"> </w:t>
      </w:r>
    </w:p>
    <w:p w14:paraId="4AC3CE7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4D51DC6"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Галуззю</w:t>
      </w:r>
      <w:r w:rsidRPr="000977F7">
        <w:rPr>
          <w:rFonts w:asciiTheme="majorHAnsi" w:hAnsiTheme="majorHAnsi"/>
          <w:spacing w:val="11"/>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11"/>
          <w:sz w:val="20"/>
          <w:szCs w:val="20"/>
        </w:rPr>
        <w:t xml:space="preserve"> </w:t>
      </w:r>
      <w:r w:rsidRPr="000977F7">
        <w:rPr>
          <w:rFonts w:asciiTheme="majorHAnsi" w:hAnsiTheme="majorHAnsi"/>
          <w:sz w:val="20"/>
          <w:szCs w:val="20"/>
        </w:rPr>
        <w:t>можна</w:t>
      </w:r>
      <w:r w:rsidRPr="000977F7">
        <w:rPr>
          <w:rFonts w:asciiTheme="majorHAnsi" w:hAnsiTheme="majorHAnsi"/>
          <w:spacing w:val="11"/>
          <w:sz w:val="20"/>
          <w:szCs w:val="20"/>
        </w:rPr>
        <w:t xml:space="preserve"> </w:t>
      </w:r>
      <w:r w:rsidRPr="000977F7">
        <w:rPr>
          <w:rFonts w:asciiTheme="majorHAnsi" w:hAnsiTheme="majorHAnsi"/>
          <w:sz w:val="20"/>
          <w:szCs w:val="20"/>
        </w:rPr>
        <w:t>вважати,</w:t>
      </w:r>
      <w:r w:rsidRPr="000977F7">
        <w:rPr>
          <w:rFonts w:asciiTheme="majorHAnsi" w:hAnsiTheme="majorHAnsi"/>
          <w:spacing w:val="14"/>
          <w:sz w:val="20"/>
          <w:szCs w:val="20"/>
        </w:rPr>
        <w:t xml:space="preserve"> </w:t>
      </w:r>
      <w:r w:rsidRPr="000977F7">
        <w:rPr>
          <w:rFonts w:asciiTheme="majorHAnsi" w:hAnsiTheme="majorHAnsi"/>
          <w:sz w:val="20"/>
          <w:szCs w:val="20"/>
        </w:rPr>
        <w:t>наприклад,</w:t>
      </w:r>
      <w:r w:rsidRPr="000977F7">
        <w:rPr>
          <w:rFonts w:asciiTheme="majorHAnsi" w:hAnsiTheme="majorHAnsi"/>
          <w:spacing w:val="-47"/>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0"/>
          <w:sz w:val="20"/>
          <w:szCs w:val="20"/>
        </w:rPr>
        <w:t xml:space="preserve"> </w:t>
      </w:r>
      <w:r w:rsidRPr="000977F7">
        <w:rPr>
          <w:rFonts w:asciiTheme="majorHAnsi" w:hAnsiTheme="majorHAnsi"/>
          <w:sz w:val="20"/>
          <w:szCs w:val="20"/>
        </w:rPr>
        <w:t>машинобудування,</w:t>
      </w:r>
      <w:r w:rsidRPr="000977F7">
        <w:rPr>
          <w:rFonts w:asciiTheme="majorHAnsi" w:hAnsiTheme="majorHAnsi"/>
          <w:spacing w:val="10"/>
          <w:sz w:val="20"/>
          <w:szCs w:val="20"/>
        </w:rPr>
        <w:t xml:space="preserve"> </w:t>
      </w:r>
      <w:r w:rsidRPr="000977F7">
        <w:rPr>
          <w:rFonts w:asciiTheme="majorHAnsi" w:hAnsiTheme="majorHAnsi"/>
          <w:sz w:val="20"/>
          <w:szCs w:val="20"/>
        </w:rPr>
        <w:t>енергетику,</w:t>
      </w:r>
      <w:r w:rsidRPr="000977F7">
        <w:rPr>
          <w:rFonts w:asciiTheme="majorHAnsi" w:hAnsiTheme="majorHAnsi"/>
          <w:spacing w:val="10"/>
          <w:sz w:val="20"/>
          <w:szCs w:val="20"/>
        </w:rPr>
        <w:t xml:space="preserve"> </w:t>
      </w:r>
      <w:r w:rsidRPr="000977F7">
        <w:rPr>
          <w:rFonts w:asciiTheme="majorHAnsi" w:hAnsiTheme="majorHAnsi"/>
          <w:sz w:val="20"/>
          <w:szCs w:val="20"/>
        </w:rPr>
        <w:t>сільське</w:t>
      </w:r>
      <w:r w:rsidRPr="000977F7">
        <w:rPr>
          <w:rFonts w:asciiTheme="majorHAnsi" w:hAnsiTheme="majorHAnsi"/>
          <w:spacing w:val="-47"/>
          <w:sz w:val="20"/>
          <w:szCs w:val="20"/>
        </w:rPr>
        <w:t xml:space="preserve"> </w:t>
      </w:r>
      <w:r w:rsidRPr="000977F7">
        <w:rPr>
          <w:rFonts w:asciiTheme="majorHAnsi" w:hAnsiTheme="majorHAnsi"/>
          <w:sz w:val="20"/>
          <w:szCs w:val="20"/>
        </w:rPr>
        <w:t>господарство, системи величин та одиниць</w:t>
      </w:r>
    </w:p>
    <w:p w14:paraId="0EE40DA6"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ГАЛЬВАНОПЛАСТИКА</w:t>
      </w:r>
      <w:r w:rsidRPr="000977F7">
        <w:rPr>
          <w:rFonts w:asciiTheme="majorHAnsi" w:hAnsiTheme="majorHAnsi"/>
          <w:b/>
          <w:spacing w:val="3"/>
          <w:sz w:val="20"/>
          <w:szCs w:val="20"/>
        </w:rPr>
        <w:t xml:space="preserve"> </w:t>
      </w:r>
      <w:r w:rsidRPr="000977F7">
        <w:rPr>
          <w:rFonts w:asciiTheme="majorHAnsi" w:hAnsiTheme="majorHAnsi"/>
          <w:b/>
          <w:sz w:val="20"/>
          <w:szCs w:val="20"/>
        </w:rPr>
        <w:t>–</w:t>
      </w:r>
    </w:p>
    <w:p w14:paraId="5DEC4F2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GALVANOPLASTICS</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DA6623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Формоутворення з рідкого матеріалу шляхом осаджування</w:t>
      </w:r>
      <w:r w:rsidRPr="000977F7">
        <w:rPr>
          <w:rFonts w:asciiTheme="majorHAnsi" w:hAnsiTheme="majorHAnsi"/>
          <w:spacing w:val="1"/>
          <w:sz w:val="20"/>
          <w:szCs w:val="20"/>
        </w:rPr>
        <w:t xml:space="preserve"> </w:t>
      </w:r>
      <w:r w:rsidRPr="000977F7">
        <w:rPr>
          <w:rFonts w:asciiTheme="majorHAnsi" w:hAnsiTheme="majorHAnsi"/>
          <w:sz w:val="20"/>
          <w:szCs w:val="20"/>
        </w:rPr>
        <w:t>металу</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розчину</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впливом</w:t>
      </w:r>
      <w:r w:rsidRPr="000977F7">
        <w:rPr>
          <w:rFonts w:asciiTheme="majorHAnsi" w:hAnsiTheme="majorHAnsi"/>
          <w:spacing w:val="1"/>
          <w:sz w:val="20"/>
          <w:szCs w:val="20"/>
        </w:rPr>
        <w:t xml:space="preserve"> </w:t>
      </w:r>
      <w:r w:rsidRPr="000977F7">
        <w:rPr>
          <w:rFonts w:asciiTheme="majorHAnsi" w:hAnsiTheme="majorHAnsi"/>
          <w:sz w:val="20"/>
          <w:szCs w:val="20"/>
        </w:rPr>
        <w:t>електричного</w:t>
      </w:r>
      <w:r w:rsidRPr="000977F7">
        <w:rPr>
          <w:rFonts w:asciiTheme="majorHAnsi" w:hAnsiTheme="majorHAnsi"/>
          <w:spacing w:val="1"/>
          <w:sz w:val="20"/>
          <w:szCs w:val="20"/>
        </w:rPr>
        <w:t xml:space="preserve"> </w:t>
      </w:r>
      <w:r w:rsidRPr="000977F7">
        <w:rPr>
          <w:rFonts w:asciiTheme="majorHAnsi" w:hAnsiTheme="majorHAnsi"/>
          <w:sz w:val="20"/>
          <w:szCs w:val="20"/>
        </w:rPr>
        <w:t>струму</w:t>
      </w:r>
    </w:p>
    <w:p w14:paraId="0311BA6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2391:2010</w:t>
      </w:r>
    </w:p>
    <w:p w14:paraId="5A2901FE"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lang w:eastAsia="ru-RU"/>
        </w:rPr>
      </w:pPr>
      <w:r w:rsidRPr="000977F7">
        <w:rPr>
          <w:rFonts w:asciiTheme="majorHAnsi" w:hAnsiTheme="majorHAnsi"/>
          <w:b/>
          <w:bCs/>
          <w:sz w:val="20"/>
          <w:szCs w:val="20"/>
          <w:lang w:eastAsia="ru-RU"/>
        </w:rPr>
        <w:t>ГАЛЬМІВНИЙ ЕЛЕКТРОДВИГУН –</w:t>
      </w:r>
    </w:p>
    <w:p w14:paraId="723E61C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Електродвигун, оснащений механізмом гальмування, який працює безпосередньо з валом електродвигуна</w:t>
      </w:r>
    </w:p>
    <w:p w14:paraId="5E3A5E2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Технічний регламент щодо вимог до екодизайну для електродвигунів</w:t>
      </w:r>
    </w:p>
    <w:p w14:paraId="003B851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ГАММА – ВІДСОТКОВА ТРИВАЛІСТЬ </w:t>
      </w:r>
    </w:p>
    <w:p w14:paraId="066DABA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ВІДНО</w:t>
      </w:r>
      <w:r w:rsidRPr="000977F7">
        <w:rPr>
          <w:color w:val="auto"/>
          <w:spacing w:val="-47"/>
          <w:sz w:val="20"/>
          <w:szCs w:val="20"/>
        </w:rPr>
        <w:t xml:space="preserve"> </w:t>
      </w:r>
      <w:r w:rsidRPr="000977F7">
        <w:rPr>
          <w:color w:val="auto"/>
          <w:sz w:val="20"/>
          <w:szCs w:val="20"/>
        </w:rPr>
        <w:t>ВЛЕННЯ</w:t>
      </w:r>
      <w:r w:rsidRPr="000977F7">
        <w:rPr>
          <w:color w:val="auto"/>
          <w:spacing w:val="-1"/>
          <w:sz w:val="20"/>
          <w:szCs w:val="20"/>
        </w:rPr>
        <w:t xml:space="preserve"> </w:t>
      </w:r>
      <w:r w:rsidRPr="000977F7">
        <w:rPr>
          <w:color w:val="auto"/>
          <w:sz w:val="20"/>
          <w:szCs w:val="20"/>
        </w:rPr>
        <w:t>–</w:t>
      </w:r>
    </w:p>
    <w:p w14:paraId="385F1FE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GAMMA</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w:t>
      </w:r>
      <w:r w:rsidRPr="004D2D14">
        <w:rPr>
          <w:rFonts w:asciiTheme="majorHAnsi" w:hAnsiTheme="majorHAnsi"/>
          <w:spacing w:val="-1"/>
          <w:sz w:val="20"/>
          <w:szCs w:val="20"/>
          <w:lang w:val="uk-UA"/>
        </w:rPr>
        <w:t xml:space="preserve"> </w:t>
      </w:r>
      <w:r w:rsidRPr="000977F7">
        <w:rPr>
          <w:rFonts w:asciiTheme="majorHAnsi" w:hAnsiTheme="majorHAnsi"/>
          <w:sz w:val="20"/>
          <w:szCs w:val="20"/>
        </w:rPr>
        <w:t>PERCENTILE</w:t>
      </w:r>
      <w:r w:rsidRPr="004D2D14">
        <w:rPr>
          <w:rFonts w:asciiTheme="majorHAnsi" w:hAnsiTheme="majorHAnsi"/>
          <w:spacing w:val="-2"/>
          <w:sz w:val="20"/>
          <w:szCs w:val="20"/>
          <w:lang w:val="uk-UA"/>
        </w:rPr>
        <w:t xml:space="preserve"> </w:t>
      </w:r>
      <w:r w:rsidRPr="000977F7">
        <w:rPr>
          <w:rFonts w:asciiTheme="majorHAnsi" w:hAnsiTheme="majorHAnsi"/>
          <w:sz w:val="20"/>
          <w:szCs w:val="20"/>
        </w:rPr>
        <w:t>RESTORATION</w:t>
      </w:r>
      <w:r w:rsidRPr="004D2D14">
        <w:rPr>
          <w:rFonts w:asciiTheme="majorHAnsi" w:hAnsiTheme="majorHAnsi"/>
          <w:spacing w:val="-1"/>
          <w:sz w:val="20"/>
          <w:szCs w:val="20"/>
          <w:lang w:val="uk-UA"/>
        </w:rPr>
        <w:t xml:space="preserve"> </w:t>
      </w:r>
      <w:r w:rsidRPr="000977F7">
        <w:rPr>
          <w:rFonts w:asciiTheme="majorHAnsi" w:hAnsiTheme="majorHAnsi"/>
          <w:sz w:val="20"/>
          <w:szCs w:val="20"/>
        </w:rPr>
        <w:t>TIME</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3456C66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 xml:space="preserve">Інтервал часу, протягом якого відновлення працездатності об’єкта здійсниться з імовірністю </w:t>
      </w:r>
      <w:r w:rsidRPr="000977F7">
        <w:rPr>
          <w:rFonts w:asciiTheme="majorHAnsi" w:hAnsiTheme="majorHAnsi"/>
          <w:sz w:val="20"/>
          <w:szCs w:val="20"/>
        </w:rPr>
        <w:t>γ</w:t>
      </w:r>
      <w:r w:rsidRPr="004D2D14">
        <w:rPr>
          <w:rFonts w:asciiTheme="majorHAnsi" w:hAnsiTheme="majorHAnsi"/>
          <w:sz w:val="20"/>
          <w:szCs w:val="20"/>
          <w:lang w:val="uk-UA"/>
        </w:rPr>
        <w:t>, вираженою</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відсотках</w:t>
      </w:r>
    </w:p>
    <w:p w14:paraId="000631F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8B699D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ГАММА – ВІДСОТКОВИЙ НАРОБІТОК НА </w:t>
      </w:r>
    </w:p>
    <w:p w14:paraId="60384B7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w:t>
      </w:r>
      <w:r w:rsidRPr="000977F7">
        <w:rPr>
          <w:color w:val="auto"/>
          <w:spacing w:val="-47"/>
          <w:sz w:val="20"/>
          <w:szCs w:val="20"/>
        </w:rPr>
        <w:t xml:space="preserve"> </w:t>
      </w:r>
      <w:r w:rsidRPr="000977F7">
        <w:rPr>
          <w:color w:val="auto"/>
          <w:sz w:val="20"/>
          <w:szCs w:val="20"/>
        </w:rPr>
        <w:t>ДМОВУ</w:t>
      </w:r>
      <w:r w:rsidRPr="000977F7">
        <w:rPr>
          <w:color w:val="auto"/>
          <w:spacing w:val="-1"/>
          <w:sz w:val="20"/>
          <w:szCs w:val="20"/>
        </w:rPr>
        <w:t xml:space="preserve"> </w:t>
      </w:r>
      <w:r w:rsidRPr="000977F7">
        <w:rPr>
          <w:color w:val="auto"/>
          <w:sz w:val="20"/>
          <w:szCs w:val="20"/>
        </w:rPr>
        <w:t>–</w:t>
      </w:r>
    </w:p>
    <w:p w14:paraId="6AB3AF2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GAMMA</w:t>
      </w:r>
      <w:r w:rsidRPr="004D2D14">
        <w:rPr>
          <w:rFonts w:asciiTheme="majorHAnsi" w:hAnsiTheme="majorHAnsi"/>
          <w:spacing w:val="37"/>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40"/>
          <w:sz w:val="20"/>
          <w:szCs w:val="20"/>
          <w:lang w:val="en-US"/>
        </w:rPr>
        <w:t xml:space="preserve"> </w:t>
      </w:r>
      <w:r w:rsidRPr="004D2D14">
        <w:rPr>
          <w:rFonts w:asciiTheme="majorHAnsi" w:hAnsiTheme="majorHAnsi"/>
          <w:sz w:val="20"/>
          <w:szCs w:val="20"/>
          <w:lang w:val="en-US"/>
        </w:rPr>
        <w:t>PERCENTILE</w:t>
      </w:r>
      <w:r w:rsidRPr="004D2D14">
        <w:rPr>
          <w:rFonts w:asciiTheme="majorHAnsi" w:hAnsiTheme="majorHAnsi"/>
          <w:spacing w:val="39"/>
          <w:sz w:val="20"/>
          <w:szCs w:val="20"/>
          <w:lang w:val="en-US"/>
        </w:rPr>
        <w:t xml:space="preserve"> </w:t>
      </w:r>
      <w:r w:rsidRPr="004D2D14">
        <w:rPr>
          <w:rFonts w:asciiTheme="majorHAnsi" w:hAnsiTheme="majorHAnsi"/>
          <w:sz w:val="20"/>
          <w:szCs w:val="20"/>
          <w:lang w:val="en-US"/>
        </w:rPr>
        <w:t>OPERATING</w:t>
      </w:r>
      <w:r w:rsidRPr="004D2D14">
        <w:rPr>
          <w:rFonts w:asciiTheme="majorHAnsi" w:hAnsiTheme="majorHAnsi"/>
          <w:spacing w:val="37"/>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38"/>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FAILURE –</w:t>
      </w:r>
    </w:p>
    <w:p w14:paraId="0A531E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Наробіток, протягом якого відмова об’єкта</w:t>
      </w:r>
      <w:r w:rsidRPr="000977F7">
        <w:rPr>
          <w:rFonts w:asciiTheme="majorHAnsi" w:hAnsiTheme="majorHAnsi"/>
          <w:spacing w:val="1"/>
          <w:sz w:val="20"/>
          <w:szCs w:val="20"/>
        </w:rPr>
        <w:t xml:space="preserve"> </w:t>
      </w:r>
      <w:r w:rsidRPr="000977F7">
        <w:rPr>
          <w:rFonts w:asciiTheme="majorHAnsi" w:hAnsiTheme="majorHAnsi"/>
          <w:sz w:val="20"/>
          <w:szCs w:val="20"/>
        </w:rPr>
        <w:t>не виникає з</w:t>
      </w:r>
      <w:r w:rsidRPr="000977F7">
        <w:rPr>
          <w:rFonts w:asciiTheme="majorHAnsi" w:hAnsiTheme="majorHAnsi"/>
          <w:spacing w:val="-1"/>
          <w:sz w:val="20"/>
          <w:szCs w:val="20"/>
        </w:rPr>
        <w:t xml:space="preserve"> </w:t>
      </w:r>
      <w:r w:rsidRPr="000977F7">
        <w:rPr>
          <w:rFonts w:asciiTheme="majorHAnsi" w:hAnsiTheme="majorHAnsi"/>
          <w:sz w:val="20"/>
          <w:szCs w:val="20"/>
        </w:rPr>
        <w:t>імовірністю</w:t>
      </w:r>
      <w:r w:rsidRPr="000977F7">
        <w:rPr>
          <w:rFonts w:asciiTheme="majorHAnsi" w:hAnsiTheme="majorHAnsi"/>
          <w:spacing w:val="-2"/>
          <w:sz w:val="20"/>
          <w:szCs w:val="20"/>
        </w:rPr>
        <w:t xml:space="preserve"> </w:t>
      </w:r>
      <w:r w:rsidRPr="000977F7">
        <w:rPr>
          <w:rFonts w:asciiTheme="majorHAnsi" w:hAnsiTheme="majorHAnsi"/>
          <w:sz w:val="20"/>
          <w:szCs w:val="20"/>
        </w:rPr>
        <w:t>γ, вираженою</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відсотках</w:t>
      </w:r>
    </w:p>
    <w:p w14:paraId="31D1315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15F413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ГАММА – ВІДСОТКОВИЙ ПОКАЗНИК </w:t>
      </w:r>
    </w:p>
    <w:p w14:paraId="7E555D3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НАДІЙ</w:t>
      </w:r>
      <w:r w:rsidRPr="000977F7">
        <w:rPr>
          <w:color w:val="auto"/>
          <w:spacing w:val="-47"/>
          <w:sz w:val="20"/>
          <w:szCs w:val="20"/>
        </w:rPr>
        <w:t xml:space="preserve"> </w:t>
      </w:r>
      <w:r w:rsidRPr="000977F7">
        <w:rPr>
          <w:color w:val="auto"/>
          <w:sz w:val="20"/>
          <w:szCs w:val="20"/>
        </w:rPr>
        <w:t>НОСТІ</w:t>
      </w:r>
      <w:r w:rsidRPr="000977F7">
        <w:rPr>
          <w:color w:val="auto"/>
          <w:spacing w:val="-1"/>
          <w:sz w:val="20"/>
          <w:szCs w:val="20"/>
        </w:rPr>
        <w:t xml:space="preserve"> </w:t>
      </w:r>
      <w:r w:rsidRPr="000977F7">
        <w:rPr>
          <w:color w:val="auto"/>
          <w:sz w:val="20"/>
          <w:szCs w:val="20"/>
        </w:rPr>
        <w:t>–</w:t>
      </w:r>
    </w:p>
    <w:p w14:paraId="2BE6652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GAMMA – PERCENTILE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OPERATING</w:t>
      </w:r>
      <w:r w:rsidRPr="004D2D14">
        <w:rPr>
          <w:rFonts w:asciiTheme="majorHAnsi" w:hAnsiTheme="majorHAnsi"/>
          <w:spacing w:val="-48"/>
          <w:sz w:val="20"/>
          <w:szCs w:val="20"/>
          <w:lang w:val="en-US"/>
        </w:rPr>
        <w:t xml:space="preserve"> </w:t>
      </w:r>
      <w:r w:rsidRPr="004D2D14">
        <w:rPr>
          <w:rFonts w:asciiTheme="majorHAnsi" w:hAnsiTheme="majorHAnsi"/>
          <w:sz w:val="20"/>
          <w:szCs w:val="20"/>
          <w:lang w:val="en-US"/>
        </w:rPr>
        <w:t>DEPENDABILITY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MEASURE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40C305A6"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Значення</w:t>
      </w:r>
      <w:r w:rsidRPr="000977F7">
        <w:rPr>
          <w:rFonts w:asciiTheme="majorHAnsi" w:hAnsiTheme="majorHAnsi"/>
          <w:spacing w:val="16"/>
          <w:sz w:val="20"/>
          <w:szCs w:val="20"/>
        </w:rPr>
        <w:t xml:space="preserve"> </w:t>
      </w:r>
      <w:r w:rsidRPr="000977F7">
        <w:rPr>
          <w:rFonts w:asciiTheme="majorHAnsi" w:hAnsiTheme="majorHAnsi"/>
          <w:sz w:val="20"/>
          <w:szCs w:val="20"/>
        </w:rPr>
        <w:t>величини</w:t>
      </w:r>
      <w:r w:rsidRPr="000977F7">
        <w:rPr>
          <w:rFonts w:asciiTheme="majorHAnsi" w:hAnsiTheme="majorHAnsi"/>
          <w:spacing w:val="18"/>
          <w:sz w:val="20"/>
          <w:szCs w:val="20"/>
        </w:rPr>
        <w:t xml:space="preserve"> </w:t>
      </w:r>
      <w:r w:rsidRPr="000977F7">
        <w:rPr>
          <w:rFonts w:asciiTheme="majorHAnsi" w:hAnsiTheme="majorHAnsi"/>
          <w:sz w:val="20"/>
          <w:szCs w:val="20"/>
        </w:rPr>
        <w:t>наробітку,</w:t>
      </w:r>
      <w:r w:rsidRPr="000977F7">
        <w:rPr>
          <w:rFonts w:asciiTheme="majorHAnsi" w:hAnsiTheme="majorHAnsi"/>
          <w:spacing w:val="20"/>
          <w:sz w:val="20"/>
          <w:szCs w:val="20"/>
        </w:rPr>
        <w:t xml:space="preserve"> </w:t>
      </w:r>
      <w:r w:rsidRPr="000977F7">
        <w:rPr>
          <w:rFonts w:asciiTheme="majorHAnsi" w:hAnsiTheme="majorHAnsi"/>
          <w:sz w:val="20"/>
          <w:szCs w:val="20"/>
        </w:rPr>
        <w:t>терміну</w:t>
      </w:r>
      <w:r w:rsidRPr="000977F7">
        <w:rPr>
          <w:rFonts w:asciiTheme="majorHAnsi" w:hAnsiTheme="majorHAnsi"/>
          <w:spacing w:val="16"/>
          <w:sz w:val="20"/>
          <w:szCs w:val="20"/>
        </w:rPr>
        <w:t xml:space="preserve"> </w:t>
      </w:r>
      <w:r w:rsidRPr="000977F7">
        <w:rPr>
          <w:rFonts w:asciiTheme="majorHAnsi" w:hAnsiTheme="majorHAnsi"/>
          <w:sz w:val="20"/>
          <w:szCs w:val="20"/>
        </w:rPr>
        <w:t>збережуваності,</w:t>
      </w:r>
      <w:r w:rsidRPr="000977F7">
        <w:rPr>
          <w:rFonts w:asciiTheme="majorHAnsi" w:hAnsiTheme="majorHAnsi"/>
          <w:spacing w:val="12"/>
          <w:sz w:val="20"/>
          <w:szCs w:val="20"/>
        </w:rPr>
        <w:t xml:space="preserve"> </w:t>
      </w:r>
      <w:r w:rsidRPr="000977F7">
        <w:rPr>
          <w:rFonts w:asciiTheme="majorHAnsi" w:hAnsiTheme="majorHAnsi"/>
          <w:sz w:val="20"/>
          <w:szCs w:val="20"/>
        </w:rPr>
        <w:t>тривалості</w:t>
      </w:r>
      <w:r w:rsidRPr="000977F7">
        <w:rPr>
          <w:rFonts w:asciiTheme="majorHAnsi" w:hAnsiTheme="majorHAnsi"/>
          <w:spacing w:val="13"/>
          <w:sz w:val="20"/>
          <w:szCs w:val="20"/>
        </w:rPr>
        <w:t xml:space="preserve"> </w:t>
      </w:r>
      <w:r w:rsidRPr="000977F7">
        <w:rPr>
          <w:rFonts w:asciiTheme="majorHAnsi" w:hAnsiTheme="majorHAnsi"/>
          <w:sz w:val="20"/>
          <w:szCs w:val="20"/>
        </w:rPr>
        <w:t>відновлення,</w:t>
      </w:r>
      <w:r w:rsidRPr="000977F7">
        <w:rPr>
          <w:rFonts w:asciiTheme="majorHAnsi" w:hAnsiTheme="majorHAnsi"/>
          <w:spacing w:val="13"/>
          <w:sz w:val="20"/>
          <w:szCs w:val="20"/>
        </w:rPr>
        <w:t xml:space="preserve"> </w:t>
      </w:r>
      <w:r w:rsidRPr="000977F7">
        <w:rPr>
          <w:rFonts w:asciiTheme="majorHAnsi" w:hAnsiTheme="majorHAnsi"/>
          <w:sz w:val="20"/>
          <w:szCs w:val="20"/>
        </w:rPr>
        <w:t>протягом</w:t>
      </w:r>
      <w:r w:rsidRPr="000977F7">
        <w:rPr>
          <w:rFonts w:asciiTheme="majorHAnsi" w:hAnsiTheme="majorHAnsi"/>
          <w:spacing w:val="12"/>
          <w:sz w:val="20"/>
          <w:szCs w:val="20"/>
        </w:rPr>
        <w:t xml:space="preserve"> </w:t>
      </w:r>
      <w:r w:rsidRPr="000977F7">
        <w:rPr>
          <w:rFonts w:asciiTheme="majorHAnsi" w:hAnsiTheme="majorHAnsi"/>
          <w:sz w:val="20"/>
          <w:szCs w:val="20"/>
        </w:rPr>
        <w:t>якого</w:t>
      </w:r>
      <w:r w:rsidRPr="000977F7">
        <w:rPr>
          <w:rFonts w:asciiTheme="majorHAnsi" w:hAnsiTheme="majorHAnsi"/>
          <w:spacing w:val="12"/>
          <w:sz w:val="20"/>
          <w:szCs w:val="20"/>
        </w:rPr>
        <w:t xml:space="preserve"> </w:t>
      </w:r>
      <w:r w:rsidRPr="000977F7">
        <w:rPr>
          <w:rFonts w:asciiTheme="majorHAnsi" w:hAnsiTheme="majorHAnsi"/>
          <w:sz w:val="20"/>
          <w:szCs w:val="20"/>
        </w:rPr>
        <w:t>подія</w:t>
      </w:r>
      <w:r w:rsidRPr="000977F7">
        <w:rPr>
          <w:rFonts w:asciiTheme="majorHAnsi" w:hAnsiTheme="majorHAnsi"/>
          <w:spacing w:val="11"/>
          <w:sz w:val="20"/>
          <w:szCs w:val="20"/>
        </w:rPr>
        <w:t xml:space="preserve"> </w:t>
      </w:r>
      <w:r w:rsidRPr="000977F7">
        <w:rPr>
          <w:rFonts w:asciiTheme="majorHAnsi" w:hAnsiTheme="majorHAnsi"/>
          <w:sz w:val="20"/>
          <w:szCs w:val="20"/>
        </w:rPr>
        <w:t>(відмова,</w:t>
      </w:r>
      <w:r w:rsidRPr="000977F7">
        <w:rPr>
          <w:rFonts w:asciiTheme="majorHAnsi" w:hAnsiTheme="majorHAnsi"/>
          <w:spacing w:val="1"/>
          <w:sz w:val="20"/>
          <w:szCs w:val="20"/>
        </w:rPr>
        <w:t xml:space="preserve"> </w:t>
      </w:r>
      <w:r w:rsidRPr="000977F7">
        <w:rPr>
          <w:rFonts w:asciiTheme="majorHAnsi" w:hAnsiTheme="majorHAnsi"/>
          <w:sz w:val="20"/>
          <w:szCs w:val="20"/>
        </w:rPr>
        <w:t>досягнення</w:t>
      </w:r>
      <w:r w:rsidRPr="000977F7">
        <w:rPr>
          <w:rFonts w:asciiTheme="majorHAnsi" w:hAnsiTheme="majorHAnsi"/>
          <w:spacing w:val="1"/>
          <w:sz w:val="20"/>
          <w:szCs w:val="20"/>
        </w:rPr>
        <w:t xml:space="preserve"> </w:t>
      </w:r>
      <w:r w:rsidRPr="000977F7">
        <w:rPr>
          <w:rFonts w:asciiTheme="majorHAnsi" w:hAnsiTheme="majorHAnsi"/>
          <w:sz w:val="20"/>
          <w:szCs w:val="20"/>
        </w:rPr>
        <w:t>граничного</w:t>
      </w:r>
      <w:r w:rsidRPr="000977F7">
        <w:rPr>
          <w:rFonts w:asciiTheme="majorHAnsi" w:hAnsiTheme="majorHAnsi"/>
          <w:spacing w:val="1"/>
          <w:sz w:val="20"/>
          <w:szCs w:val="20"/>
        </w:rPr>
        <w:t xml:space="preserve"> </w:t>
      </w:r>
      <w:r w:rsidRPr="000977F7">
        <w:rPr>
          <w:rFonts w:asciiTheme="majorHAnsi" w:hAnsiTheme="majorHAnsi"/>
          <w:sz w:val="20"/>
          <w:szCs w:val="20"/>
        </w:rPr>
        <w:t>стану,</w:t>
      </w:r>
      <w:r w:rsidRPr="000977F7">
        <w:rPr>
          <w:rFonts w:asciiTheme="majorHAnsi" w:hAnsiTheme="majorHAnsi"/>
          <w:spacing w:val="50"/>
          <w:sz w:val="20"/>
          <w:szCs w:val="20"/>
        </w:rPr>
        <w:t xml:space="preserve"> </w:t>
      </w:r>
      <w:r w:rsidRPr="000977F7">
        <w:rPr>
          <w:rFonts w:asciiTheme="majorHAnsi" w:hAnsiTheme="majorHAnsi"/>
          <w:sz w:val="20"/>
          <w:szCs w:val="20"/>
        </w:rPr>
        <w:t>відновлення)</w:t>
      </w:r>
      <w:r w:rsidRPr="000977F7">
        <w:rPr>
          <w:rFonts w:asciiTheme="majorHAnsi" w:hAnsiTheme="majorHAnsi"/>
          <w:spacing w:val="-48"/>
          <w:sz w:val="20"/>
          <w:szCs w:val="20"/>
        </w:rPr>
        <w:t xml:space="preserve"> </w:t>
      </w:r>
      <w:r w:rsidRPr="000977F7">
        <w:rPr>
          <w:rFonts w:asciiTheme="majorHAnsi" w:hAnsiTheme="majorHAnsi"/>
          <w:sz w:val="20"/>
          <w:szCs w:val="20"/>
        </w:rPr>
        <w:t>не виникає з імовірністю γ, визначеною у відсотках</w:t>
      </w:r>
      <w:r w:rsidRPr="000977F7">
        <w:rPr>
          <w:rFonts w:asciiTheme="majorHAnsi" w:hAnsiTheme="majorHAnsi"/>
          <w:spacing w:val="1"/>
          <w:sz w:val="20"/>
          <w:szCs w:val="20"/>
        </w:rPr>
        <w:t xml:space="preserve"> </w:t>
      </w:r>
    </w:p>
    <w:p w14:paraId="14BC768B"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D1C5FAE" w14:textId="77777777" w:rsidR="0097612F" w:rsidRPr="000977F7" w:rsidRDefault="0097612F" w:rsidP="000977F7">
      <w:pPr>
        <w:pStyle w:val="7"/>
        <w:tabs>
          <w:tab w:val="left" w:pos="284"/>
        </w:tabs>
        <w:spacing w:before="0" w:line="240" w:lineRule="auto"/>
        <w:ind w:left="170"/>
        <w:mirrorIndents/>
        <w:jc w:val="both"/>
        <w:rPr>
          <w:i/>
          <w:color w:val="auto"/>
          <w:sz w:val="20"/>
          <w:szCs w:val="20"/>
        </w:rPr>
      </w:pPr>
      <w:r w:rsidRPr="000977F7">
        <w:rPr>
          <w:color w:val="auto"/>
          <w:sz w:val="20"/>
          <w:szCs w:val="20"/>
        </w:rPr>
        <w:t>ГАММА</w:t>
      </w:r>
      <w:r w:rsidRPr="000977F7">
        <w:rPr>
          <w:color w:val="auto"/>
          <w:spacing w:val="-5"/>
          <w:sz w:val="20"/>
          <w:szCs w:val="20"/>
        </w:rPr>
        <w:t xml:space="preserve"> </w:t>
      </w:r>
      <w:r w:rsidRPr="000977F7">
        <w:rPr>
          <w:color w:val="auto"/>
          <w:sz w:val="20"/>
          <w:szCs w:val="20"/>
        </w:rPr>
        <w:t>–</w:t>
      </w:r>
      <w:r w:rsidRPr="000977F7">
        <w:rPr>
          <w:color w:val="auto"/>
          <w:spacing w:val="-2"/>
          <w:sz w:val="20"/>
          <w:szCs w:val="20"/>
        </w:rPr>
        <w:t xml:space="preserve"> </w:t>
      </w:r>
      <w:r w:rsidRPr="000977F7">
        <w:rPr>
          <w:color w:val="auto"/>
          <w:sz w:val="20"/>
          <w:szCs w:val="20"/>
        </w:rPr>
        <w:t>ВІДСОТКОВИЙ</w:t>
      </w:r>
      <w:r w:rsidRPr="000977F7">
        <w:rPr>
          <w:color w:val="auto"/>
          <w:spacing w:val="-2"/>
          <w:sz w:val="20"/>
          <w:szCs w:val="20"/>
        </w:rPr>
        <w:t xml:space="preserve"> </w:t>
      </w:r>
      <w:r w:rsidRPr="000977F7">
        <w:rPr>
          <w:color w:val="auto"/>
          <w:sz w:val="20"/>
          <w:szCs w:val="20"/>
        </w:rPr>
        <w:t>РЕСУРС</w:t>
      </w:r>
      <w:r w:rsidRPr="000977F7">
        <w:rPr>
          <w:i/>
          <w:color w:val="auto"/>
          <w:sz w:val="20"/>
          <w:szCs w:val="20"/>
        </w:rPr>
        <w:t>–</w:t>
      </w:r>
    </w:p>
    <w:p w14:paraId="648F5DF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GAMMA</w:t>
      </w:r>
      <w:r w:rsidRPr="000977F7">
        <w:rPr>
          <w:rFonts w:asciiTheme="majorHAnsi" w:hAnsiTheme="majorHAnsi"/>
          <w:spacing w:val="-4"/>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PERCENTILE</w:t>
      </w:r>
      <w:r w:rsidRPr="000977F7">
        <w:rPr>
          <w:rFonts w:asciiTheme="majorHAnsi" w:hAnsiTheme="majorHAnsi"/>
          <w:spacing w:val="-2"/>
          <w:sz w:val="20"/>
          <w:szCs w:val="20"/>
        </w:rPr>
        <w:t xml:space="preserve"> </w:t>
      </w:r>
      <w:r w:rsidRPr="000977F7">
        <w:rPr>
          <w:rFonts w:asciiTheme="majorHAnsi" w:hAnsiTheme="majorHAnsi"/>
          <w:sz w:val="20"/>
          <w:szCs w:val="20"/>
        </w:rPr>
        <w:t>LIFE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B15B3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Сумарний наробіток, протягом якого об’єкт не досягне граничного стану з імовірністю γ, визначеною у</w:t>
      </w:r>
      <w:r w:rsidRPr="000977F7">
        <w:rPr>
          <w:rFonts w:asciiTheme="majorHAnsi" w:hAnsiTheme="majorHAnsi"/>
          <w:spacing w:val="1"/>
          <w:sz w:val="20"/>
          <w:szCs w:val="20"/>
        </w:rPr>
        <w:t xml:space="preserve"> </w:t>
      </w:r>
      <w:r w:rsidRPr="000977F7">
        <w:rPr>
          <w:rFonts w:asciiTheme="majorHAnsi" w:hAnsiTheme="majorHAnsi"/>
          <w:sz w:val="20"/>
          <w:szCs w:val="20"/>
        </w:rPr>
        <w:t>відсотках</w:t>
      </w:r>
    </w:p>
    <w:p w14:paraId="3A96706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2634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 94.</w:t>
      </w:r>
    </w:p>
    <w:p w14:paraId="386412F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ГАММА – ВІДСОТКОВИЙ ТЕРМІН ЗБЕРЕЖУВАННОСТІ</w:t>
      </w:r>
      <w:r w:rsidRPr="000977F7">
        <w:rPr>
          <w:color w:val="auto"/>
          <w:spacing w:val="-1"/>
          <w:sz w:val="20"/>
          <w:szCs w:val="20"/>
        </w:rPr>
        <w:t xml:space="preserve"> </w:t>
      </w:r>
      <w:r w:rsidRPr="000977F7">
        <w:rPr>
          <w:color w:val="auto"/>
          <w:sz w:val="20"/>
          <w:szCs w:val="20"/>
        </w:rPr>
        <w:t>–</w:t>
      </w:r>
    </w:p>
    <w:p w14:paraId="7239446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GAMMA</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w:t>
      </w:r>
      <w:r w:rsidRPr="004D2D14">
        <w:rPr>
          <w:rFonts w:asciiTheme="majorHAnsi" w:hAnsiTheme="majorHAnsi"/>
          <w:spacing w:val="-1"/>
          <w:sz w:val="20"/>
          <w:szCs w:val="20"/>
          <w:lang w:val="uk-UA"/>
        </w:rPr>
        <w:t xml:space="preserve"> </w:t>
      </w:r>
      <w:r w:rsidRPr="000977F7">
        <w:rPr>
          <w:rFonts w:asciiTheme="majorHAnsi" w:hAnsiTheme="majorHAnsi"/>
          <w:sz w:val="20"/>
          <w:szCs w:val="20"/>
        </w:rPr>
        <w:t>PERCENTIL</w:t>
      </w:r>
      <w:r w:rsidRPr="004D2D14">
        <w:rPr>
          <w:rFonts w:asciiTheme="majorHAnsi" w:hAnsiTheme="majorHAnsi"/>
          <w:spacing w:val="-3"/>
          <w:sz w:val="20"/>
          <w:szCs w:val="20"/>
          <w:lang w:val="uk-UA"/>
        </w:rPr>
        <w:t xml:space="preserve"> </w:t>
      </w:r>
      <w:r w:rsidRPr="000977F7">
        <w:rPr>
          <w:rFonts w:asciiTheme="majorHAnsi" w:hAnsiTheme="majorHAnsi"/>
          <w:sz w:val="20"/>
          <w:szCs w:val="20"/>
        </w:rPr>
        <w:t>STORAGE</w:t>
      </w:r>
      <w:r w:rsidRPr="004D2D14">
        <w:rPr>
          <w:rFonts w:asciiTheme="majorHAnsi" w:hAnsiTheme="majorHAnsi"/>
          <w:spacing w:val="-2"/>
          <w:sz w:val="20"/>
          <w:szCs w:val="20"/>
          <w:lang w:val="uk-UA"/>
        </w:rPr>
        <w:t xml:space="preserve"> </w:t>
      </w:r>
      <w:r w:rsidRPr="000977F7">
        <w:rPr>
          <w:rFonts w:asciiTheme="majorHAnsi" w:hAnsiTheme="majorHAnsi"/>
          <w:sz w:val="20"/>
          <w:szCs w:val="20"/>
        </w:rPr>
        <w:t>TIME</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1A01409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Термін збережуваності, що його досягає об’єкт із заданою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імовірністю</w:t>
      </w:r>
      <w:r w:rsidRPr="004D2D14">
        <w:rPr>
          <w:rFonts w:asciiTheme="majorHAnsi" w:hAnsiTheme="majorHAnsi"/>
          <w:spacing w:val="-1"/>
          <w:sz w:val="20"/>
          <w:szCs w:val="20"/>
          <w:lang w:val="uk-UA"/>
        </w:rPr>
        <w:t xml:space="preserve"> </w:t>
      </w:r>
      <w:r w:rsidRPr="000977F7">
        <w:rPr>
          <w:rFonts w:asciiTheme="majorHAnsi" w:hAnsiTheme="majorHAnsi"/>
          <w:sz w:val="20"/>
          <w:szCs w:val="20"/>
        </w:rPr>
        <w:t>γ</w:t>
      </w:r>
      <w:r w:rsidRPr="004D2D14">
        <w:rPr>
          <w:rFonts w:asciiTheme="majorHAnsi" w:hAnsiTheme="majorHAnsi"/>
          <w:sz w:val="20"/>
          <w:szCs w:val="20"/>
          <w:lang w:val="uk-UA"/>
        </w:rPr>
        <w:t>,</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вираженою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відсотках</w:t>
      </w:r>
    </w:p>
    <w:p w14:paraId="3D17A45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F0976E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ГАММА</w:t>
      </w:r>
      <w:r w:rsidRPr="000977F7">
        <w:rPr>
          <w:color w:val="auto"/>
          <w:spacing w:val="-6"/>
          <w:sz w:val="20"/>
          <w:szCs w:val="20"/>
        </w:rPr>
        <w:t xml:space="preserve"> </w:t>
      </w:r>
      <w:r w:rsidRPr="000977F7">
        <w:rPr>
          <w:color w:val="auto"/>
          <w:sz w:val="20"/>
          <w:szCs w:val="20"/>
        </w:rPr>
        <w:t>–</w:t>
      </w:r>
      <w:r w:rsidRPr="000977F7">
        <w:rPr>
          <w:color w:val="auto"/>
          <w:spacing w:val="-2"/>
          <w:sz w:val="20"/>
          <w:szCs w:val="20"/>
        </w:rPr>
        <w:t xml:space="preserve"> </w:t>
      </w:r>
      <w:r w:rsidRPr="000977F7">
        <w:rPr>
          <w:color w:val="auto"/>
          <w:sz w:val="20"/>
          <w:szCs w:val="20"/>
        </w:rPr>
        <w:t>ВІДСОТКОВИЙ</w:t>
      </w:r>
      <w:r w:rsidRPr="000977F7">
        <w:rPr>
          <w:color w:val="auto"/>
          <w:spacing w:val="-2"/>
          <w:sz w:val="20"/>
          <w:szCs w:val="20"/>
        </w:rPr>
        <w:t xml:space="preserve"> </w:t>
      </w:r>
      <w:r w:rsidRPr="000977F7">
        <w:rPr>
          <w:color w:val="auto"/>
          <w:sz w:val="20"/>
          <w:szCs w:val="20"/>
        </w:rPr>
        <w:t>ТЕРМІН</w:t>
      </w:r>
      <w:r w:rsidRPr="000977F7">
        <w:rPr>
          <w:color w:val="auto"/>
          <w:spacing w:val="-3"/>
          <w:sz w:val="20"/>
          <w:szCs w:val="20"/>
        </w:rPr>
        <w:t xml:space="preserve"> </w:t>
      </w:r>
      <w:r w:rsidRPr="000977F7">
        <w:rPr>
          <w:color w:val="auto"/>
          <w:sz w:val="20"/>
          <w:szCs w:val="20"/>
        </w:rPr>
        <w:t>СЛУЖБИ</w:t>
      </w:r>
      <w:r w:rsidRPr="000977F7">
        <w:rPr>
          <w:color w:val="auto"/>
          <w:spacing w:val="1"/>
          <w:sz w:val="20"/>
          <w:szCs w:val="20"/>
        </w:rPr>
        <w:t xml:space="preserve"> </w:t>
      </w:r>
      <w:r w:rsidRPr="000977F7">
        <w:rPr>
          <w:color w:val="auto"/>
          <w:sz w:val="20"/>
          <w:szCs w:val="20"/>
        </w:rPr>
        <w:t>–</w:t>
      </w:r>
    </w:p>
    <w:p w14:paraId="3922493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GAMMA</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w:t>
      </w:r>
      <w:r w:rsidRPr="004D2D14">
        <w:rPr>
          <w:rFonts w:asciiTheme="majorHAnsi" w:hAnsiTheme="majorHAnsi"/>
          <w:spacing w:val="-1"/>
          <w:sz w:val="20"/>
          <w:szCs w:val="20"/>
          <w:lang w:val="uk-UA"/>
        </w:rPr>
        <w:t xml:space="preserve"> </w:t>
      </w:r>
      <w:r w:rsidRPr="000977F7">
        <w:rPr>
          <w:rFonts w:asciiTheme="majorHAnsi" w:hAnsiTheme="majorHAnsi"/>
          <w:sz w:val="20"/>
          <w:szCs w:val="20"/>
        </w:rPr>
        <w:t>PERCENTILE</w:t>
      </w:r>
      <w:r w:rsidRPr="004D2D14">
        <w:rPr>
          <w:rFonts w:asciiTheme="majorHAnsi" w:hAnsiTheme="majorHAnsi"/>
          <w:spacing w:val="-1"/>
          <w:sz w:val="20"/>
          <w:szCs w:val="20"/>
          <w:lang w:val="uk-UA"/>
        </w:rPr>
        <w:t xml:space="preserve"> </w:t>
      </w:r>
      <w:r w:rsidRPr="000977F7">
        <w:rPr>
          <w:rFonts w:asciiTheme="majorHAnsi" w:hAnsiTheme="majorHAnsi"/>
          <w:sz w:val="20"/>
          <w:szCs w:val="20"/>
        </w:rPr>
        <w:t>LIFETIME</w:t>
      </w:r>
      <w:r w:rsidRPr="004D2D14">
        <w:rPr>
          <w:rFonts w:asciiTheme="majorHAnsi" w:hAnsiTheme="majorHAnsi"/>
          <w:sz w:val="20"/>
          <w:szCs w:val="20"/>
          <w:lang w:val="uk-UA"/>
        </w:rPr>
        <w:t xml:space="preserve"> –</w:t>
      </w:r>
    </w:p>
    <w:p w14:paraId="735F94A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Календарна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тривалість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експлуатації,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протягом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 xml:space="preserve">об’єкт не досягне граничного стану з імовірністю </w:t>
      </w:r>
      <w:r w:rsidRPr="000977F7">
        <w:rPr>
          <w:rFonts w:asciiTheme="majorHAnsi" w:hAnsiTheme="majorHAnsi"/>
          <w:sz w:val="20"/>
          <w:szCs w:val="20"/>
        </w:rPr>
        <w:t>γ</w:t>
      </w:r>
      <w:r w:rsidRPr="004D2D14">
        <w:rPr>
          <w:rFonts w:asciiTheme="majorHAnsi" w:hAnsiTheme="majorHAnsi"/>
          <w:sz w:val="20"/>
          <w:szCs w:val="20"/>
          <w:lang w:val="uk-UA"/>
        </w:rPr>
        <w:t>,</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вираженою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відсотках</w:t>
      </w:r>
    </w:p>
    <w:p w14:paraId="34D6A40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960A1C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 використанні показників довговічності слід вказувати початок відрахунку та вид дії після настання</w:t>
      </w:r>
      <w:r w:rsidRPr="000977F7">
        <w:rPr>
          <w:rFonts w:asciiTheme="majorHAnsi" w:hAnsiTheme="majorHAnsi"/>
          <w:spacing w:val="1"/>
          <w:sz w:val="20"/>
          <w:szCs w:val="20"/>
        </w:rPr>
        <w:t xml:space="preserve"> </w:t>
      </w:r>
      <w:r w:rsidRPr="000977F7">
        <w:rPr>
          <w:rFonts w:asciiTheme="majorHAnsi" w:hAnsiTheme="majorHAnsi"/>
          <w:sz w:val="20"/>
          <w:szCs w:val="20"/>
        </w:rPr>
        <w:t>граничного</w:t>
      </w:r>
      <w:r w:rsidRPr="000977F7">
        <w:rPr>
          <w:rFonts w:asciiTheme="majorHAnsi" w:hAnsiTheme="majorHAnsi"/>
          <w:spacing w:val="1"/>
          <w:sz w:val="20"/>
          <w:szCs w:val="20"/>
        </w:rPr>
        <w:t xml:space="preserve"> </w:t>
      </w:r>
      <w:r w:rsidRPr="000977F7">
        <w:rPr>
          <w:rFonts w:asciiTheme="majorHAnsi" w:hAnsiTheme="majorHAnsi"/>
          <w:sz w:val="20"/>
          <w:szCs w:val="20"/>
        </w:rPr>
        <w:t>стану,</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гамма</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відсотковий</w:t>
      </w:r>
      <w:r w:rsidRPr="000977F7">
        <w:rPr>
          <w:rFonts w:asciiTheme="majorHAnsi" w:hAnsiTheme="majorHAnsi"/>
          <w:spacing w:val="1"/>
          <w:sz w:val="20"/>
          <w:szCs w:val="20"/>
        </w:rPr>
        <w:t xml:space="preserve"> </w:t>
      </w:r>
      <w:r w:rsidRPr="000977F7">
        <w:rPr>
          <w:rFonts w:asciiTheme="majorHAnsi" w:hAnsiTheme="majorHAnsi"/>
          <w:sz w:val="20"/>
          <w:szCs w:val="20"/>
        </w:rPr>
        <w:t>ресурс від другого капітального ремонту до списання.</w:t>
      </w:r>
      <w:r w:rsidRPr="000977F7">
        <w:rPr>
          <w:rFonts w:asciiTheme="majorHAnsi" w:hAnsiTheme="majorHAnsi"/>
          <w:spacing w:val="1"/>
          <w:sz w:val="20"/>
          <w:szCs w:val="20"/>
        </w:rPr>
        <w:t xml:space="preserve"> </w:t>
      </w:r>
      <w:r w:rsidRPr="000977F7">
        <w:rPr>
          <w:rFonts w:asciiTheme="majorHAnsi" w:hAnsiTheme="majorHAnsi"/>
          <w:sz w:val="20"/>
          <w:szCs w:val="20"/>
        </w:rPr>
        <w:t>Показники довговічності, які відраховуються від введення об’єкта в експлуатацію до повного зняття з експлуатації, називаються: середній повний ресурс (термін служби), гамма-відсотковий повний ресурс (термін</w:t>
      </w:r>
      <w:r w:rsidRPr="000977F7">
        <w:rPr>
          <w:rFonts w:asciiTheme="majorHAnsi" w:hAnsiTheme="majorHAnsi"/>
          <w:spacing w:val="-2"/>
          <w:sz w:val="20"/>
          <w:szCs w:val="20"/>
        </w:rPr>
        <w:t xml:space="preserve"> </w:t>
      </w:r>
      <w:r w:rsidRPr="000977F7">
        <w:rPr>
          <w:rFonts w:asciiTheme="majorHAnsi" w:hAnsiTheme="majorHAnsi"/>
          <w:sz w:val="20"/>
          <w:szCs w:val="20"/>
        </w:rPr>
        <w:t>служби)</w:t>
      </w:r>
    </w:p>
    <w:p w14:paraId="7B2A157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8868AD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ГАРАНТІЙНЕ</w:t>
      </w:r>
      <w:r w:rsidRPr="000977F7">
        <w:rPr>
          <w:color w:val="auto"/>
          <w:spacing w:val="-7"/>
          <w:sz w:val="20"/>
          <w:szCs w:val="20"/>
        </w:rPr>
        <w:t xml:space="preserve"> </w:t>
      </w:r>
      <w:r w:rsidRPr="000977F7">
        <w:rPr>
          <w:color w:val="auto"/>
          <w:sz w:val="20"/>
          <w:szCs w:val="20"/>
        </w:rPr>
        <w:t>НАПРАЦЮВАННЯ</w:t>
      </w:r>
      <w:r w:rsidRPr="000977F7">
        <w:rPr>
          <w:color w:val="auto"/>
          <w:spacing w:val="-2"/>
          <w:sz w:val="20"/>
          <w:szCs w:val="20"/>
        </w:rPr>
        <w:t xml:space="preserve"> </w:t>
      </w:r>
      <w:r w:rsidRPr="000977F7">
        <w:rPr>
          <w:color w:val="auto"/>
          <w:sz w:val="20"/>
          <w:szCs w:val="20"/>
        </w:rPr>
        <w:t>–</w:t>
      </w:r>
    </w:p>
    <w:p w14:paraId="7C882EE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Напрацювання, що визначається нормативними документами, протягом якого розроблювач та виготовлювач гарантують працездатний стан, і у випадку появи</w:t>
      </w:r>
      <w:r w:rsidRPr="000977F7">
        <w:rPr>
          <w:rFonts w:asciiTheme="majorHAnsi" w:hAnsiTheme="majorHAnsi"/>
          <w:spacing w:val="1"/>
          <w:sz w:val="20"/>
          <w:szCs w:val="20"/>
        </w:rPr>
        <w:t xml:space="preserve"> </w:t>
      </w:r>
      <w:r w:rsidRPr="000977F7">
        <w:rPr>
          <w:rFonts w:asciiTheme="majorHAnsi" w:hAnsiTheme="majorHAnsi"/>
          <w:sz w:val="20"/>
          <w:szCs w:val="20"/>
        </w:rPr>
        <w:t>відмови застосовують заходи для усунення причини її</w:t>
      </w:r>
      <w:r w:rsidRPr="000977F7">
        <w:rPr>
          <w:rFonts w:asciiTheme="majorHAnsi" w:hAnsiTheme="majorHAnsi"/>
          <w:spacing w:val="-47"/>
          <w:sz w:val="20"/>
          <w:szCs w:val="20"/>
        </w:rPr>
        <w:t xml:space="preserve"> </w:t>
      </w:r>
      <w:r w:rsidRPr="000977F7">
        <w:rPr>
          <w:rFonts w:asciiTheme="majorHAnsi" w:hAnsiTheme="majorHAnsi"/>
          <w:sz w:val="20"/>
          <w:szCs w:val="20"/>
        </w:rPr>
        <w:t>появи при умові дотримання споживачем правил експлуатації</w:t>
      </w:r>
    </w:p>
    <w:p w14:paraId="0F7BDF2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ГАРАНТІЙНИЙ ЗАПАС ПАРАМЕТРА ПРАЦЕЗДАТНОСТІ</w:t>
      </w:r>
      <w:r w:rsidRPr="000977F7">
        <w:rPr>
          <w:color w:val="auto"/>
          <w:spacing w:val="-1"/>
          <w:sz w:val="20"/>
          <w:szCs w:val="20"/>
        </w:rPr>
        <w:t xml:space="preserve"> </w:t>
      </w:r>
      <w:r w:rsidRPr="000977F7">
        <w:rPr>
          <w:color w:val="auto"/>
          <w:sz w:val="20"/>
          <w:szCs w:val="20"/>
        </w:rPr>
        <w:t>–</w:t>
      </w:r>
    </w:p>
    <w:p w14:paraId="1E2CE4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Запас параметра працездатності об’єкта за умов, при</w:t>
      </w:r>
      <w:r w:rsidRPr="000977F7">
        <w:rPr>
          <w:rFonts w:asciiTheme="majorHAnsi" w:hAnsiTheme="majorHAnsi"/>
          <w:spacing w:val="1"/>
          <w:sz w:val="20"/>
          <w:szCs w:val="20"/>
        </w:rPr>
        <w:t xml:space="preserve"> </w:t>
      </w:r>
      <w:r w:rsidRPr="000977F7">
        <w:rPr>
          <w:rFonts w:asciiTheme="majorHAnsi" w:hAnsiTheme="majorHAnsi"/>
          <w:sz w:val="20"/>
          <w:szCs w:val="20"/>
        </w:rPr>
        <w:t>яких розроблювач та виготовлювач гарантують працездатний</w:t>
      </w:r>
      <w:r w:rsidRPr="000977F7">
        <w:rPr>
          <w:rFonts w:asciiTheme="majorHAnsi" w:hAnsiTheme="majorHAnsi"/>
          <w:spacing w:val="-2"/>
          <w:sz w:val="20"/>
          <w:szCs w:val="20"/>
        </w:rPr>
        <w:t xml:space="preserve"> </w:t>
      </w:r>
      <w:r w:rsidRPr="000977F7">
        <w:rPr>
          <w:rFonts w:asciiTheme="majorHAnsi" w:hAnsiTheme="majorHAnsi"/>
          <w:sz w:val="20"/>
          <w:szCs w:val="20"/>
        </w:rPr>
        <w:t>стан</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3B588CA1"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lang w:eastAsia="ru-RU"/>
        </w:rPr>
      </w:pPr>
      <w:r w:rsidRPr="000977F7">
        <w:rPr>
          <w:rFonts w:asciiTheme="majorHAnsi" w:hAnsiTheme="majorHAnsi"/>
          <w:b/>
          <w:bCs/>
          <w:sz w:val="20"/>
          <w:szCs w:val="20"/>
          <w:lang w:eastAsia="ru-RU"/>
        </w:rPr>
        <w:lastRenderedPageBreak/>
        <w:t>ГАРАНТІЙНИЙ СТРОК –</w:t>
      </w:r>
    </w:p>
    <w:p w14:paraId="4F17DF7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Строк, протягом якого виробник (продавець, виконавець або будь-яка третя особа) бере на себе зобов'язання про здійснення безоплатного ремонту або заміни відповідної продукції у зв'язку з введенням її в обіг</w:t>
      </w:r>
    </w:p>
    <w:p w14:paraId="61E4D668"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lang w:eastAsia="ru-RU"/>
        </w:rPr>
      </w:pPr>
      <w:r w:rsidRPr="000977F7">
        <w:rPr>
          <w:rFonts w:asciiTheme="majorHAnsi" w:hAnsiTheme="majorHAnsi"/>
          <w:i/>
          <w:iCs/>
          <w:sz w:val="20"/>
          <w:szCs w:val="20"/>
          <w:lang w:eastAsia="ru-RU"/>
        </w:rPr>
        <w:t>Ст. 1 закону України "Про захист прав споживачів"</w:t>
      </w:r>
    </w:p>
    <w:p w14:paraId="23024F7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ГАРАНТІЙНИЙ</w:t>
      </w:r>
      <w:r w:rsidRPr="000977F7">
        <w:rPr>
          <w:color w:val="auto"/>
          <w:spacing w:val="-3"/>
          <w:sz w:val="20"/>
          <w:szCs w:val="20"/>
        </w:rPr>
        <w:t xml:space="preserve"> </w:t>
      </w:r>
      <w:r w:rsidRPr="000977F7">
        <w:rPr>
          <w:color w:val="auto"/>
          <w:sz w:val="20"/>
          <w:szCs w:val="20"/>
        </w:rPr>
        <w:t>ТЕРМІН</w:t>
      </w:r>
      <w:r w:rsidRPr="000977F7">
        <w:rPr>
          <w:color w:val="auto"/>
          <w:spacing w:val="-2"/>
          <w:sz w:val="20"/>
          <w:szCs w:val="20"/>
        </w:rPr>
        <w:t xml:space="preserve"> </w:t>
      </w:r>
      <w:r w:rsidRPr="000977F7">
        <w:rPr>
          <w:color w:val="auto"/>
          <w:sz w:val="20"/>
          <w:szCs w:val="20"/>
        </w:rPr>
        <w:t>–</w:t>
      </w:r>
    </w:p>
    <w:p w14:paraId="2AB043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Інтервал часу, на протязі якого діють гарантійні зобов’язання</w:t>
      </w:r>
    </w:p>
    <w:p w14:paraId="472CB84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ГАРАНТІЙНИЙ</w:t>
      </w:r>
      <w:r w:rsidRPr="000977F7">
        <w:rPr>
          <w:color w:val="auto"/>
          <w:spacing w:val="-5"/>
          <w:sz w:val="20"/>
          <w:szCs w:val="20"/>
        </w:rPr>
        <w:t xml:space="preserve"> </w:t>
      </w:r>
      <w:r w:rsidRPr="000977F7">
        <w:rPr>
          <w:color w:val="auto"/>
          <w:sz w:val="20"/>
          <w:szCs w:val="20"/>
        </w:rPr>
        <w:t>ТЕРМІН</w:t>
      </w:r>
      <w:r w:rsidRPr="000977F7">
        <w:rPr>
          <w:color w:val="auto"/>
          <w:spacing w:val="-4"/>
          <w:sz w:val="20"/>
          <w:szCs w:val="20"/>
        </w:rPr>
        <w:t xml:space="preserve"> </w:t>
      </w:r>
      <w:r w:rsidRPr="000977F7">
        <w:rPr>
          <w:color w:val="auto"/>
          <w:sz w:val="20"/>
          <w:szCs w:val="20"/>
        </w:rPr>
        <w:t>ЕКСПЛУАТАЦІЇ</w:t>
      </w:r>
      <w:r w:rsidRPr="000977F7">
        <w:rPr>
          <w:color w:val="auto"/>
          <w:spacing w:val="-3"/>
          <w:sz w:val="20"/>
          <w:szCs w:val="20"/>
        </w:rPr>
        <w:t xml:space="preserve"> </w:t>
      </w:r>
      <w:r w:rsidRPr="000977F7">
        <w:rPr>
          <w:color w:val="auto"/>
          <w:sz w:val="20"/>
          <w:szCs w:val="20"/>
        </w:rPr>
        <w:t>–</w:t>
      </w:r>
    </w:p>
    <w:p w14:paraId="19A6F35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Інтервал</w:t>
      </w:r>
      <w:r w:rsidRPr="000977F7">
        <w:rPr>
          <w:rFonts w:asciiTheme="majorHAnsi" w:hAnsiTheme="majorHAnsi"/>
          <w:spacing w:val="1"/>
          <w:sz w:val="20"/>
          <w:szCs w:val="20"/>
        </w:rPr>
        <w:t xml:space="preserve"> </w:t>
      </w:r>
      <w:r w:rsidRPr="000977F7">
        <w:rPr>
          <w:rFonts w:asciiTheme="majorHAnsi" w:hAnsiTheme="majorHAnsi"/>
          <w:sz w:val="20"/>
          <w:szCs w:val="20"/>
        </w:rPr>
        <w:t>часу</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протязі</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діють</w:t>
      </w:r>
      <w:r w:rsidRPr="000977F7">
        <w:rPr>
          <w:rFonts w:asciiTheme="majorHAnsi" w:hAnsiTheme="majorHAnsi"/>
          <w:spacing w:val="1"/>
          <w:sz w:val="20"/>
          <w:szCs w:val="20"/>
        </w:rPr>
        <w:t xml:space="preserve"> </w:t>
      </w:r>
      <w:r w:rsidRPr="000977F7">
        <w:rPr>
          <w:rFonts w:asciiTheme="majorHAnsi" w:hAnsiTheme="majorHAnsi"/>
          <w:sz w:val="20"/>
          <w:szCs w:val="20"/>
        </w:rPr>
        <w:t>гарантійні</w:t>
      </w:r>
      <w:r w:rsidRPr="000977F7">
        <w:rPr>
          <w:rFonts w:asciiTheme="majorHAnsi" w:hAnsiTheme="majorHAnsi"/>
          <w:spacing w:val="-2"/>
          <w:sz w:val="20"/>
          <w:szCs w:val="20"/>
        </w:rPr>
        <w:t xml:space="preserve"> </w:t>
      </w:r>
      <w:r w:rsidRPr="000977F7">
        <w:rPr>
          <w:rFonts w:asciiTheme="majorHAnsi" w:hAnsiTheme="majorHAnsi"/>
          <w:sz w:val="20"/>
          <w:szCs w:val="20"/>
        </w:rPr>
        <w:t>зобов’язання</w:t>
      </w:r>
    </w:p>
    <w:p w14:paraId="34D2C94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ГАРАНТІЙНИЙ</w:t>
      </w:r>
      <w:r w:rsidRPr="000977F7">
        <w:rPr>
          <w:color w:val="auto"/>
          <w:spacing w:val="-5"/>
          <w:sz w:val="20"/>
          <w:szCs w:val="20"/>
        </w:rPr>
        <w:t xml:space="preserve"> </w:t>
      </w:r>
      <w:r w:rsidRPr="000977F7">
        <w:rPr>
          <w:color w:val="auto"/>
          <w:sz w:val="20"/>
          <w:szCs w:val="20"/>
        </w:rPr>
        <w:t>ТЕРМІН</w:t>
      </w:r>
      <w:r w:rsidRPr="000977F7">
        <w:rPr>
          <w:color w:val="auto"/>
          <w:spacing w:val="-4"/>
          <w:sz w:val="20"/>
          <w:szCs w:val="20"/>
        </w:rPr>
        <w:t xml:space="preserve"> </w:t>
      </w:r>
      <w:r w:rsidRPr="000977F7">
        <w:rPr>
          <w:color w:val="auto"/>
          <w:sz w:val="20"/>
          <w:szCs w:val="20"/>
        </w:rPr>
        <w:t>ЗБЕРІГАННЯ</w:t>
      </w:r>
      <w:r w:rsidRPr="000977F7">
        <w:rPr>
          <w:color w:val="auto"/>
          <w:spacing w:val="-1"/>
          <w:sz w:val="20"/>
          <w:szCs w:val="20"/>
        </w:rPr>
        <w:t xml:space="preserve"> </w:t>
      </w:r>
      <w:r w:rsidRPr="000977F7">
        <w:rPr>
          <w:color w:val="auto"/>
          <w:sz w:val="20"/>
          <w:szCs w:val="20"/>
        </w:rPr>
        <w:t>–</w:t>
      </w:r>
    </w:p>
    <w:p w14:paraId="158116EB"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Інтервал</w:t>
      </w:r>
      <w:r w:rsidRPr="000977F7">
        <w:rPr>
          <w:rFonts w:asciiTheme="majorHAnsi" w:hAnsiTheme="majorHAnsi"/>
          <w:spacing w:val="31"/>
          <w:sz w:val="20"/>
          <w:szCs w:val="20"/>
        </w:rPr>
        <w:t xml:space="preserve"> </w:t>
      </w:r>
      <w:r w:rsidRPr="000977F7">
        <w:rPr>
          <w:rFonts w:asciiTheme="majorHAnsi" w:hAnsiTheme="majorHAnsi"/>
          <w:sz w:val="20"/>
          <w:szCs w:val="20"/>
        </w:rPr>
        <w:t>часу</w:t>
      </w:r>
      <w:r w:rsidRPr="000977F7">
        <w:rPr>
          <w:rFonts w:asciiTheme="majorHAnsi" w:hAnsiTheme="majorHAnsi"/>
          <w:spacing w:val="26"/>
          <w:sz w:val="20"/>
          <w:szCs w:val="20"/>
        </w:rPr>
        <w:t xml:space="preserve"> </w:t>
      </w:r>
      <w:r w:rsidRPr="000977F7">
        <w:rPr>
          <w:rFonts w:asciiTheme="majorHAnsi" w:hAnsiTheme="majorHAnsi"/>
          <w:sz w:val="20"/>
          <w:szCs w:val="20"/>
        </w:rPr>
        <w:t>зберігання,</w:t>
      </w:r>
      <w:r w:rsidRPr="000977F7">
        <w:rPr>
          <w:rFonts w:asciiTheme="majorHAnsi" w:hAnsiTheme="majorHAnsi"/>
          <w:spacing w:val="30"/>
          <w:sz w:val="20"/>
          <w:szCs w:val="20"/>
        </w:rPr>
        <w:t xml:space="preserve"> </w:t>
      </w:r>
      <w:r w:rsidRPr="000977F7">
        <w:rPr>
          <w:rFonts w:asciiTheme="majorHAnsi" w:hAnsiTheme="majorHAnsi"/>
          <w:sz w:val="20"/>
          <w:szCs w:val="20"/>
        </w:rPr>
        <w:t>транспортування</w:t>
      </w:r>
      <w:r w:rsidRPr="000977F7">
        <w:rPr>
          <w:rFonts w:asciiTheme="majorHAnsi" w:hAnsiTheme="majorHAnsi"/>
          <w:spacing w:val="31"/>
          <w:sz w:val="20"/>
          <w:szCs w:val="20"/>
        </w:rPr>
        <w:t xml:space="preserve"> </w:t>
      </w:r>
      <w:r w:rsidRPr="000977F7">
        <w:rPr>
          <w:rFonts w:asciiTheme="majorHAnsi" w:hAnsiTheme="majorHAnsi"/>
          <w:sz w:val="20"/>
          <w:szCs w:val="20"/>
        </w:rPr>
        <w:t>продукції</w:t>
      </w:r>
      <w:r w:rsidRPr="000977F7">
        <w:rPr>
          <w:rFonts w:asciiTheme="majorHAnsi" w:hAnsiTheme="majorHAnsi"/>
          <w:spacing w:val="-47"/>
          <w:sz w:val="20"/>
          <w:szCs w:val="20"/>
        </w:rPr>
        <w:t xml:space="preserve"> </w:t>
      </w:r>
      <w:r w:rsidRPr="000977F7">
        <w:rPr>
          <w:rFonts w:asciiTheme="majorHAnsi" w:hAnsiTheme="majorHAnsi"/>
          <w:sz w:val="20"/>
          <w:szCs w:val="20"/>
        </w:rPr>
        <w:t>в</w:t>
      </w:r>
      <w:r w:rsidRPr="000977F7">
        <w:rPr>
          <w:rFonts w:asciiTheme="majorHAnsi" w:hAnsiTheme="majorHAnsi"/>
          <w:spacing w:val="6"/>
          <w:sz w:val="20"/>
          <w:szCs w:val="20"/>
        </w:rPr>
        <w:t xml:space="preserve"> </w:t>
      </w:r>
      <w:r w:rsidRPr="000977F7">
        <w:rPr>
          <w:rFonts w:asciiTheme="majorHAnsi" w:hAnsiTheme="majorHAnsi"/>
          <w:sz w:val="20"/>
          <w:szCs w:val="20"/>
        </w:rPr>
        <w:t>упаковці</w:t>
      </w:r>
      <w:r w:rsidRPr="000977F7">
        <w:rPr>
          <w:rFonts w:asciiTheme="majorHAnsi" w:hAnsiTheme="majorHAnsi"/>
          <w:spacing w:val="4"/>
          <w:sz w:val="20"/>
          <w:szCs w:val="20"/>
        </w:rPr>
        <w:t xml:space="preserve"> </w:t>
      </w:r>
      <w:r w:rsidRPr="000977F7">
        <w:rPr>
          <w:rFonts w:asciiTheme="majorHAnsi" w:hAnsiTheme="majorHAnsi"/>
          <w:sz w:val="20"/>
          <w:szCs w:val="20"/>
        </w:rPr>
        <w:t>постачальника,</w:t>
      </w:r>
      <w:r w:rsidRPr="000977F7">
        <w:rPr>
          <w:rFonts w:asciiTheme="majorHAnsi" w:hAnsiTheme="majorHAnsi"/>
          <w:spacing w:val="5"/>
          <w:sz w:val="20"/>
          <w:szCs w:val="20"/>
        </w:rPr>
        <w:t xml:space="preserve"> </w:t>
      </w:r>
      <w:r w:rsidRPr="000977F7">
        <w:rPr>
          <w:rFonts w:asciiTheme="majorHAnsi" w:hAnsiTheme="majorHAnsi"/>
          <w:sz w:val="20"/>
          <w:szCs w:val="20"/>
        </w:rPr>
        <w:t>а</w:t>
      </w:r>
      <w:r w:rsidRPr="000977F7">
        <w:rPr>
          <w:rFonts w:asciiTheme="majorHAnsi" w:hAnsiTheme="majorHAnsi"/>
          <w:spacing w:val="7"/>
          <w:sz w:val="20"/>
          <w:szCs w:val="20"/>
        </w:rPr>
        <w:t xml:space="preserve"> </w:t>
      </w:r>
      <w:r w:rsidRPr="000977F7">
        <w:rPr>
          <w:rFonts w:asciiTheme="majorHAnsi" w:hAnsiTheme="majorHAnsi"/>
          <w:sz w:val="20"/>
          <w:szCs w:val="20"/>
        </w:rPr>
        <w:t>також</w:t>
      </w:r>
      <w:r w:rsidRPr="000977F7">
        <w:rPr>
          <w:rFonts w:asciiTheme="majorHAnsi" w:hAnsiTheme="majorHAnsi"/>
          <w:spacing w:val="3"/>
          <w:sz w:val="20"/>
          <w:szCs w:val="20"/>
        </w:rPr>
        <w:t xml:space="preserve"> </w:t>
      </w:r>
      <w:r w:rsidRPr="000977F7">
        <w:rPr>
          <w:rFonts w:asciiTheme="majorHAnsi" w:hAnsiTheme="majorHAnsi"/>
          <w:sz w:val="20"/>
          <w:szCs w:val="20"/>
        </w:rPr>
        <w:t>її</w:t>
      </w:r>
      <w:r w:rsidRPr="000977F7">
        <w:rPr>
          <w:rFonts w:asciiTheme="majorHAnsi" w:hAnsiTheme="majorHAnsi"/>
          <w:spacing w:val="4"/>
          <w:sz w:val="20"/>
          <w:szCs w:val="20"/>
        </w:rPr>
        <w:t xml:space="preserve"> </w:t>
      </w:r>
      <w:r w:rsidRPr="000977F7">
        <w:rPr>
          <w:rFonts w:asciiTheme="majorHAnsi" w:hAnsiTheme="majorHAnsi"/>
          <w:sz w:val="20"/>
          <w:szCs w:val="20"/>
        </w:rPr>
        <w:t>монтажу,</w:t>
      </w:r>
      <w:r w:rsidRPr="000977F7">
        <w:rPr>
          <w:rFonts w:asciiTheme="majorHAnsi" w:hAnsiTheme="majorHAnsi"/>
          <w:spacing w:val="5"/>
          <w:sz w:val="20"/>
          <w:szCs w:val="20"/>
        </w:rPr>
        <w:t xml:space="preserve"> </w:t>
      </w:r>
      <w:r w:rsidRPr="000977F7">
        <w:rPr>
          <w:rFonts w:asciiTheme="majorHAnsi" w:hAnsiTheme="majorHAnsi"/>
          <w:sz w:val="20"/>
          <w:szCs w:val="20"/>
        </w:rPr>
        <w:t>на</w:t>
      </w:r>
      <w:r w:rsidRPr="000977F7">
        <w:rPr>
          <w:rFonts w:asciiTheme="majorHAnsi" w:hAnsiTheme="majorHAnsi"/>
          <w:spacing w:val="7"/>
          <w:sz w:val="20"/>
          <w:szCs w:val="20"/>
        </w:rPr>
        <w:t xml:space="preserve"> </w:t>
      </w:r>
      <w:r w:rsidRPr="000977F7">
        <w:rPr>
          <w:rFonts w:asciiTheme="majorHAnsi" w:hAnsiTheme="majorHAnsi"/>
          <w:sz w:val="20"/>
          <w:szCs w:val="20"/>
        </w:rPr>
        <w:t>протязі якого діють гарантійні зобов’язання</w:t>
      </w:r>
      <w:r w:rsidRPr="000977F7">
        <w:rPr>
          <w:rFonts w:asciiTheme="majorHAnsi" w:hAnsiTheme="majorHAnsi"/>
          <w:spacing w:val="1"/>
          <w:sz w:val="20"/>
          <w:szCs w:val="20"/>
        </w:rPr>
        <w:t xml:space="preserve"> </w:t>
      </w:r>
    </w:p>
    <w:p w14:paraId="1458F297"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ГАРАНТІЙНИЙ</w:t>
      </w:r>
      <w:r w:rsidRPr="000977F7">
        <w:rPr>
          <w:rFonts w:asciiTheme="majorHAnsi" w:hAnsiTheme="majorHAnsi"/>
          <w:b/>
          <w:spacing w:val="-1"/>
          <w:sz w:val="20"/>
          <w:szCs w:val="20"/>
        </w:rPr>
        <w:t xml:space="preserve"> </w:t>
      </w:r>
      <w:r w:rsidRPr="000977F7">
        <w:rPr>
          <w:rFonts w:asciiTheme="majorHAnsi" w:hAnsiTheme="majorHAnsi"/>
          <w:b/>
          <w:sz w:val="20"/>
          <w:szCs w:val="20"/>
        </w:rPr>
        <w:t>ТЕРМІН ПРИДАТНОСТІ</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335F4D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Інтервал часу, який обмежує можливість використання продукції за призначенням, на протязі якого діють</w:t>
      </w:r>
      <w:r w:rsidRPr="000977F7">
        <w:rPr>
          <w:rFonts w:asciiTheme="majorHAnsi" w:hAnsiTheme="majorHAnsi"/>
          <w:spacing w:val="1"/>
          <w:sz w:val="20"/>
          <w:szCs w:val="20"/>
        </w:rPr>
        <w:t xml:space="preserve"> </w:t>
      </w:r>
      <w:r w:rsidRPr="000977F7">
        <w:rPr>
          <w:rFonts w:asciiTheme="majorHAnsi" w:hAnsiTheme="majorHAnsi"/>
          <w:sz w:val="20"/>
          <w:szCs w:val="20"/>
        </w:rPr>
        <w:t>гарантійні</w:t>
      </w:r>
      <w:r w:rsidRPr="000977F7">
        <w:rPr>
          <w:rFonts w:asciiTheme="majorHAnsi" w:hAnsiTheme="majorHAnsi"/>
          <w:spacing w:val="-2"/>
          <w:sz w:val="20"/>
          <w:szCs w:val="20"/>
        </w:rPr>
        <w:t xml:space="preserve"> </w:t>
      </w:r>
      <w:r w:rsidRPr="000977F7">
        <w:rPr>
          <w:rFonts w:asciiTheme="majorHAnsi" w:hAnsiTheme="majorHAnsi"/>
          <w:sz w:val="20"/>
          <w:szCs w:val="20"/>
        </w:rPr>
        <w:t>зобов’язання</w:t>
      </w:r>
    </w:p>
    <w:p w14:paraId="6A345A0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ГАРАНТІЙНІ</w:t>
      </w:r>
      <w:r w:rsidRPr="000977F7">
        <w:rPr>
          <w:color w:val="auto"/>
          <w:spacing w:val="-6"/>
          <w:sz w:val="20"/>
          <w:szCs w:val="20"/>
        </w:rPr>
        <w:t xml:space="preserve"> </w:t>
      </w:r>
      <w:r w:rsidRPr="000977F7">
        <w:rPr>
          <w:color w:val="auto"/>
          <w:sz w:val="20"/>
          <w:szCs w:val="20"/>
        </w:rPr>
        <w:t>ЗОБОВ’ЯЗАННЯ</w:t>
      </w:r>
      <w:r w:rsidRPr="000977F7">
        <w:rPr>
          <w:color w:val="auto"/>
          <w:spacing w:val="-1"/>
          <w:sz w:val="20"/>
          <w:szCs w:val="20"/>
        </w:rPr>
        <w:t xml:space="preserve"> </w:t>
      </w:r>
      <w:r w:rsidRPr="000977F7">
        <w:rPr>
          <w:color w:val="auto"/>
          <w:sz w:val="20"/>
          <w:szCs w:val="20"/>
        </w:rPr>
        <w:t>–</w:t>
      </w:r>
    </w:p>
    <w:p w14:paraId="756F0A32" w14:textId="77777777" w:rsidR="0097612F" w:rsidRPr="000977F7" w:rsidRDefault="0097612F" w:rsidP="000977F7">
      <w:pPr>
        <w:tabs>
          <w:tab w:val="left" w:pos="284"/>
          <w:tab w:val="left" w:pos="656"/>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Виробник</w:t>
      </w:r>
      <w:r w:rsidRPr="000977F7">
        <w:rPr>
          <w:rFonts w:asciiTheme="majorHAnsi" w:hAnsiTheme="majorHAnsi"/>
          <w:spacing w:val="8"/>
          <w:sz w:val="20"/>
          <w:szCs w:val="20"/>
        </w:rPr>
        <w:t xml:space="preserve"> </w:t>
      </w:r>
      <w:r w:rsidRPr="000977F7">
        <w:rPr>
          <w:rFonts w:asciiTheme="majorHAnsi" w:hAnsiTheme="majorHAnsi"/>
          <w:sz w:val="20"/>
          <w:szCs w:val="20"/>
        </w:rPr>
        <w:t>(виконавець)</w:t>
      </w:r>
      <w:r w:rsidRPr="000977F7">
        <w:rPr>
          <w:rFonts w:asciiTheme="majorHAnsi" w:hAnsiTheme="majorHAnsi"/>
          <w:spacing w:val="13"/>
          <w:sz w:val="20"/>
          <w:szCs w:val="20"/>
        </w:rPr>
        <w:t xml:space="preserve"> </w:t>
      </w:r>
      <w:r w:rsidRPr="000977F7">
        <w:rPr>
          <w:rFonts w:asciiTheme="majorHAnsi" w:hAnsiTheme="majorHAnsi"/>
          <w:sz w:val="20"/>
          <w:szCs w:val="20"/>
        </w:rPr>
        <w:t>забезпечує</w:t>
      </w:r>
      <w:r w:rsidRPr="000977F7">
        <w:rPr>
          <w:rFonts w:asciiTheme="majorHAnsi" w:hAnsiTheme="majorHAnsi"/>
          <w:spacing w:val="12"/>
          <w:sz w:val="20"/>
          <w:szCs w:val="20"/>
        </w:rPr>
        <w:t xml:space="preserve"> </w:t>
      </w:r>
      <w:r w:rsidRPr="000977F7">
        <w:rPr>
          <w:rFonts w:asciiTheme="majorHAnsi" w:hAnsiTheme="majorHAnsi"/>
          <w:sz w:val="20"/>
          <w:szCs w:val="20"/>
        </w:rPr>
        <w:t>належну</w:t>
      </w:r>
      <w:r w:rsidRPr="000977F7">
        <w:rPr>
          <w:rFonts w:asciiTheme="majorHAnsi" w:hAnsiTheme="majorHAnsi"/>
          <w:spacing w:val="9"/>
          <w:sz w:val="20"/>
          <w:szCs w:val="20"/>
        </w:rPr>
        <w:t xml:space="preserve"> </w:t>
      </w:r>
      <w:r w:rsidRPr="000977F7">
        <w:rPr>
          <w:rFonts w:asciiTheme="majorHAnsi" w:hAnsiTheme="majorHAnsi"/>
          <w:sz w:val="20"/>
          <w:szCs w:val="20"/>
        </w:rPr>
        <w:t>роботу</w:t>
      </w:r>
      <w:r w:rsidRPr="000977F7">
        <w:rPr>
          <w:rFonts w:asciiTheme="majorHAnsi" w:hAnsiTheme="majorHAnsi"/>
          <w:spacing w:val="-47"/>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 продукції, в</w:t>
      </w:r>
      <w:r w:rsidRPr="000977F7">
        <w:rPr>
          <w:rFonts w:asciiTheme="majorHAnsi" w:hAnsiTheme="majorHAnsi"/>
          <w:spacing w:val="1"/>
          <w:sz w:val="20"/>
          <w:szCs w:val="20"/>
        </w:rPr>
        <w:t xml:space="preserve"> </w:t>
      </w:r>
      <w:r w:rsidRPr="000977F7">
        <w:rPr>
          <w:rFonts w:asciiTheme="majorHAnsi" w:hAnsiTheme="majorHAnsi"/>
          <w:sz w:val="20"/>
          <w:szCs w:val="20"/>
        </w:rPr>
        <w:t>тому числі</w:t>
      </w:r>
      <w:r w:rsidRPr="000977F7">
        <w:rPr>
          <w:rFonts w:asciiTheme="majorHAnsi" w:hAnsiTheme="majorHAnsi"/>
          <w:spacing w:val="-47"/>
          <w:sz w:val="20"/>
          <w:szCs w:val="20"/>
        </w:rPr>
        <w:t xml:space="preserve"> </w:t>
      </w:r>
      <w:r w:rsidRPr="000977F7">
        <w:rPr>
          <w:rFonts w:asciiTheme="majorHAnsi" w:hAnsiTheme="majorHAnsi"/>
          <w:sz w:val="20"/>
          <w:szCs w:val="20"/>
        </w:rPr>
        <w:t>комплектуючих</w:t>
      </w:r>
      <w:r w:rsidRPr="000977F7">
        <w:rPr>
          <w:rFonts w:asciiTheme="majorHAnsi" w:hAnsiTheme="majorHAnsi"/>
          <w:spacing w:val="14"/>
          <w:sz w:val="20"/>
          <w:szCs w:val="20"/>
        </w:rPr>
        <w:t xml:space="preserve"> </w:t>
      </w:r>
      <w:r w:rsidRPr="000977F7">
        <w:rPr>
          <w:rFonts w:asciiTheme="majorHAnsi" w:hAnsiTheme="majorHAnsi"/>
          <w:sz w:val="20"/>
          <w:szCs w:val="20"/>
        </w:rPr>
        <w:t>виробів,</w:t>
      </w:r>
      <w:r w:rsidRPr="000977F7">
        <w:rPr>
          <w:rFonts w:asciiTheme="majorHAnsi" w:hAnsiTheme="majorHAnsi"/>
          <w:spacing w:val="14"/>
          <w:sz w:val="20"/>
          <w:szCs w:val="20"/>
        </w:rPr>
        <w:t xml:space="preserve"> </w:t>
      </w:r>
      <w:r w:rsidRPr="000977F7">
        <w:rPr>
          <w:rFonts w:asciiTheme="majorHAnsi" w:hAnsiTheme="majorHAnsi"/>
          <w:sz w:val="20"/>
          <w:szCs w:val="20"/>
        </w:rPr>
        <w:t>протягом</w:t>
      </w:r>
      <w:r w:rsidRPr="000977F7">
        <w:rPr>
          <w:rFonts w:asciiTheme="majorHAnsi" w:hAnsiTheme="majorHAnsi"/>
          <w:spacing w:val="14"/>
          <w:sz w:val="20"/>
          <w:szCs w:val="20"/>
        </w:rPr>
        <w:t xml:space="preserve"> </w:t>
      </w:r>
      <w:r w:rsidRPr="000977F7">
        <w:rPr>
          <w:rFonts w:asciiTheme="majorHAnsi" w:hAnsiTheme="majorHAnsi"/>
          <w:sz w:val="20"/>
          <w:szCs w:val="20"/>
        </w:rPr>
        <w:t>гарантійного</w:t>
      </w:r>
      <w:r w:rsidRPr="000977F7">
        <w:rPr>
          <w:rFonts w:asciiTheme="majorHAnsi" w:hAnsiTheme="majorHAnsi"/>
          <w:spacing w:val="14"/>
          <w:sz w:val="20"/>
          <w:szCs w:val="20"/>
        </w:rPr>
        <w:t xml:space="preserve"> </w:t>
      </w:r>
      <w:r w:rsidRPr="000977F7">
        <w:rPr>
          <w:rFonts w:asciiTheme="majorHAnsi" w:hAnsiTheme="majorHAnsi"/>
          <w:sz w:val="20"/>
          <w:szCs w:val="20"/>
        </w:rPr>
        <w:t>строку,</w:t>
      </w:r>
      <w:r w:rsidRPr="000977F7">
        <w:rPr>
          <w:rFonts w:asciiTheme="majorHAnsi" w:hAnsiTheme="majorHAnsi"/>
          <w:spacing w:val="25"/>
          <w:sz w:val="20"/>
          <w:szCs w:val="20"/>
        </w:rPr>
        <w:t xml:space="preserve"> </w:t>
      </w:r>
      <w:r w:rsidRPr="000977F7">
        <w:rPr>
          <w:rFonts w:asciiTheme="majorHAnsi" w:hAnsiTheme="majorHAnsi"/>
          <w:sz w:val="20"/>
          <w:szCs w:val="20"/>
        </w:rPr>
        <w:t>встановленого</w:t>
      </w:r>
      <w:r w:rsidRPr="000977F7">
        <w:rPr>
          <w:rFonts w:asciiTheme="majorHAnsi" w:hAnsiTheme="majorHAnsi"/>
          <w:spacing w:val="25"/>
          <w:sz w:val="20"/>
          <w:szCs w:val="20"/>
        </w:rPr>
        <w:t xml:space="preserve"> </w:t>
      </w:r>
      <w:r w:rsidRPr="000977F7">
        <w:rPr>
          <w:rFonts w:asciiTheme="majorHAnsi" w:hAnsiTheme="majorHAnsi"/>
          <w:sz w:val="20"/>
          <w:szCs w:val="20"/>
        </w:rPr>
        <w:t>нормативно-правовими</w:t>
      </w:r>
      <w:r w:rsidRPr="000977F7">
        <w:rPr>
          <w:rFonts w:asciiTheme="majorHAnsi" w:hAnsiTheme="majorHAnsi"/>
          <w:spacing w:val="23"/>
          <w:sz w:val="20"/>
          <w:szCs w:val="20"/>
        </w:rPr>
        <w:t xml:space="preserve"> </w:t>
      </w:r>
      <w:r w:rsidRPr="000977F7">
        <w:rPr>
          <w:rFonts w:asciiTheme="majorHAnsi" w:hAnsiTheme="majorHAnsi"/>
          <w:sz w:val="20"/>
          <w:szCs w:val="20"/>
        </w:rPr>
        <w:t>актами,</w:t>
      </w:r>
      <w:r w:rsidRPr="000977F7">
        <w:rPr>
          <w:rFonts w:asciiTheme="majorHAnsi" w:hAnsiTheme="majorHAnsi"/>
          <w:spacing w:val="-47"/>
          <w:sz w:val="20"/>
          <w:szCs w:val="20"/>
        </w:rPr>
        <w:t xml:space="preserve"> </w:t>
      </w:r>
      <w:r w:rsidRPr="000977F7">
        <w:rPr>
          <w:rFonts w:asciiTheme="majorHAnsi" w:hAnsiTheme="majorHAnsi"/>
          <w:sz w:val="20"/>
          <w:szCs w:val="20"/>
        </w:rPr>
        <w:t>нормативними документами чи договором.</w:t>
      </w:r>
      <w:r w:rsidRPr="000977F7">
        <w:rPr>
          <w:rFonts w:asciiTheme="majorHAnsi" w:hAnsiTheme="majorHAnsi"/>
          <w:spacing w:val="1"/>
          <w:sz w:val="20"/>
          <w:szCs w:val="20"/>
        </w:rPr>
        <w:t xml:space="preserve"> </w:t>
      </w:r>
      <w:r w:rsidRPr="000977F7">
        <w:rPr>
          <w:rFonts w:asciiTheme="majorHAnsi" w:hAnsiTheme="majorHAnsi"/>
          <w:sz w:val="20"/>
          <w:szCs w:val="20"/>
        </w:rPr>
        <w:t>Гарантійний</w:t>
      </w:r>
      <w:r w:rsidRPr="000977F7">
        <w:rPr>
          <w:rFonts w:asciiTheme="majorHAnsi" w:hAnsiTheme="majorHAnsi"/>
          <w:spacing w:val="16"/>
          <w:sz w:val="20"/>
          <w:szCs w:val="20"/>
        </w:rPr>
        <w:t xml:space="preserve"> </w:t>
      </w:r>
      <w:r w:rsidRPr="000977F7">
        <w:rPr>
          <w:rFonts w:asciiTheme="majorHAnsi" w:hAnsiTheme="majorHAnsi"/>
          <w:sz w:val="20"/>
          <w:szCs w:val="20"/>
        </w:rPr>
        <w:t>строк</w:t>
      </w:r>
      <w:r w:rsidRPr="000977F7">
        <w:rPr>
          <w:rFonts w:asciiTheme="majorHAnsi" w:hAnsiTheme="majorHAnsi"/>
          <w:spacing w:val="16"/>
          <w:sz w:val="20"/>
          <w:szCs w:val="20"/>
        </w:rPr>
        <w:t xml:space="preserve"> </w:t>
      </w:r>
      <w:r w:rsidRPr="000977F7">
        <w:rPr>
          <w:rFonts w:asciiTheme="majorHAnsi" w:hAnsiTheme="majorHAnsi"/>
          <w:sz w:val="20"/>
          <w:szCs w:val="20"/>
        </w:rPr>
        <w:t>на</w:t>
      </w:r>
      <w:r w:rsidRPr="000977F7">
        <w:rPr>
          <w:rFonts w:asciiTheme="majorHAnsi" w:hAnsiTheme="majorHAnsi"/>
          <w:spacing w:val="19"/>
          <w:sz w:val="20"/>
          <w:szCs w:val="20"/>
        </w:rPr>
        <w:t xml:space="preserve"> </w:t>
      </w:r>
      <w:r w:rsidRPr="000977F7">
        <w:rPr>
          <w:rFonts w:asciiTheme="majorHAnsi" w:hAnsiTheme="majorHAnsi"/>
          <w:sz w:val="20"/>
          <w:szCs w:val="20"/>
        </w:rPr>
        <w:t>комплектуючі</w:t>
      </w:r>
      <w:r w:rsidRPr="000977F7">
        <w:rPr>
          <w:rFonts w:asciiTheme="majorHAnsi" w:hAnsiTheme="majorHAnsi"/>
          <w:spacing w:val="20"/>
          <w:sz w:val="20"/>
          <w:szCs w:val="20"/>
        </w:rPr>
        <w:t xml:space="preserve"> </w:t>
      </w:r>
      <w:r w:rsidRPr="000977F7">
        <w:rPr>
          <w:rFonts w:asciiTheme="majorHAnsi" w:hAnsiTheme="majorHAnsi"/>
          <w:sz w:val="20"/>
          <w:szCs w:val="20"/>
        </w:rPr>
        <w:t>вироби</w:t>
      </w:r>
      <w:r w:rsidRPr="000977F7">
        <w:rPr>
          <w:rFonts w:asciiTheme="majorHAnsi" w:hAnsiTheme="majorHAnsi"/>
          <w:spacing w:val="16"/>
          <w:sz w:val="20"/>
          <w:szCs w:val="20"/>
        </w:rPr>
        <w:t xml:space="preserve"> </w:t>
      </w:r>
      <w:r w:rsidRPr="000977F7">
        <w:rPr>
          <w:rFonts w:asciiTheme="majorHAnsi" w:hAnsiTheme="majorHAnsi"/>
          <w:sz w:val="20"/>
          <w:szCs w:val="20"/>
        </w:rPr>
        <w:t>повинен</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22"/>
          <w:sz w:val="20"/>
          <w:szCs w:val="20"/>
        </w:rPr>
        <w:t xml:space="preserve"> </w:t>
      </w:r>
      <w:r w:rsidRPr="000977F7">
        <w:rPr>
          <w:rFonts w:asciiTheme="majorHAnsi" w:hAnsiTheme="majorHAnsi"/>
          <w:sz w:val="20"/>
          <w:szCs w:val="20"/>
        </w:rPr>
        <w:t>не</w:t>
      </w:r>
      <w:r w:rsidRPr="000977F7">
        <w:rPr>
          <w:rFonts w:asciiTheme="majorHAnsi" w:hAnsiTheme="majorHAnsi"/>
          <w:spacing w:val="23"/>
          <w:sz w:val="20"/>
          <w:szCs w:val="20"/>
        </w:rPr>
        <w:t xml:space="preserve"> </w:t>
      </w:r>
      <w:r w:rsidRPr="000977F7">
        <w:rPr>
          <w:rFonts w:asciiTheme="majorHAnsi" w:hAnsiTheme="majorHAnsi"/>
          <w:sz w:val="20"/>
          <w:szCs w:val="20"/>
        </w:rPr>
        <w:t>менший,</w:t>
      </w:r>
      <w:r w:rsidRPr="000977F7">
        <w:rPr>
          <w:rFonts w:asciiTheme="majorHAnsi" w:hAnsiTheme="majorHAnsi"/>
          <w:spacing w:val="23"/>
          <w:sz w:val="20"/>
          <w:szCs w:val="20"/>
        </w:rPr>
        <w:t xml:space="preserve"> </w:t>
      </w:r>
      <w:r w:rsidRPr="000977F7">
        <w:rPr>
          <w:rFonts w:asciiTheme="majorHAnsi" w:hAnsiTheme="majorHAnsi"/>
          <w:sz w:val="20"/>
          <w:szCs w:val="20"/>
        </w:rPr>
        <w:t>ніж</w:t>
      </w:r>
      <w:r w:rsidRPr="000977F7">
        <w:rPr>
          <w:rFonts w:asciiTheme="majorHAnsi" w:hAnsiTheme="majorHAnsi"/>
          <w:spacing w:val="22"/>
          <w:sz w:val="20"/>
          <w:szCs w:val="20"/>
        </w:rPr>
        <w:t xml:space="preserve"> </w:t>
      </w:r>
      <w:r w:rsidRPr="000977F7">
        <w:rPr>
          <w:rFonts w:asciiTheme="majorHAnsi" w:hAnsiTheme="majorHAnsi"/>
          <w:sz w:val="20"/>
          <w:szCs w:val="20"/>
        </w:rPr>
        <w:t>гарантійний</w:t>
      </w:r>
      <w:r w:rsidRPr="000977F7">
        <w:rPr>
          <w:rFonts w:asciiTheme="majorHAnsi" w:hAnsiTheme="majorHAnsi"/>
          <w:spacing w:val="20"/>
          <w:sz w:val="20"/>
          <w:szCs w:val="20"/>
        </w:rPr>
        <w:t xml:space="preserve"> </w:t>
      </w:r>
      <w:r w:rsidRPr="000977F7">
        <w:rPr>
          <w:rFonts w:asciiTheme="majorHAnsi" w:hAnsiTheme="majorHAnsi"/>
          <w:sz w:val="20"/>
          <w:szCs w:val="20"/>
        </w:rPr>
        <w:t>строк</w:t>
      </w:r>
      <w:r w:rsidRPr="000977F7">
        <w:rPr>
          <w:rFonts w:asciiTheme="majorHAnsi" w:hAnsiTheme="majorHAnsi"/>
          <w:spacing w:val="22"/>
          <w:sz w:val="20"/>
          <w:szCs w:val="20"/>
        </w:rPr>
        <w:t xml:space="preserve"> </w:t>
      </w:r>
      <w:r w:rsidRPr="000977F7">
        <w:rPr>
          <w:rFonts w:asciiTheme="majorHAnsi" w:hAnsiTheme="majorHAnsi"/>
          <w:sz w:val="20"/>
          <w:szCs w:val="20"/>
        </w:rPr>
        <w:t>на</w:t>
      </w:r>
      <w:r w:rsidRPr="000977F7">
        <w:rPr>
          <w:rFonts w:asciiTheme="majorHAnsi" w:hAnsiTheme="majorHAnsi"/>
          <w:spacing w:val="21"/>
          <w:sz w:val="20"/>
          <w:szCs w:val="20"/>
        </w:rPr>
        <w:t xml:space="preserve"> </w:t>
      </w:r>
      <w:r w:rsidRPr="000977F7">
        <w:rPr>
          <w:rFonts w:asciiTheme="majorHAnsi" w:hAnsiTheme="majorHAnsi"/>
          <w:sz w:val="20"/>
          <w:szCs w:val="20"/>
        </w:rPr>
        <w:t>основний</w:t>
      </w:r>
      <w:r w:rsidRPr="000977F7">
        <w:rPr>
          <w:rFonts w:asciiTheme="majorHAnsi" w:hAnsiTheme="majorHAnsi"/>
          <w:spacing w:val="-47"/>
          <w:sz w:val="20"/>
          <w:szCs w:val="20"/>
        </w:rPr>
        <w:t xml:space="preserve"> </w:t>
      </w:r>
      <w:r w:rsidRPr="000977F7">
        <w:rPr>
          <w:rFonts w:asciiTheme="majorHAnsi" w:hAnsiTheme="majorHAnsi"/>
          <w:sz w:val="20"/>
          <w:szCs w:val="20"/>
        </w:rPr>
        <w:t>виріб,</w:t>
      </w:r>
      <w:r w:rsidRPr="000977F7">
        <w:rPr>
          <w:rFonts w:asciiTheme="majorHAnsi" w:hAnsiTheme="majorHAnsi"/>
          <w:spacing w:val="41"/>
          <w:sz w:val="20"/>
          <w:szCs w:val="20"/>
        </w:rPr>
        <w:t xml:space="preserve"> </w:t>
      </w:r>
      <w:r w:rsidRPr="000977F7">
        <w:rPr>
          <w:rFonts w:asciiTheme="majorHAnsi" w:hAnsiTheme="majorHAnsi"/>
          <w:sz w:val="20"/>
          <w:szCs w:val="20"/>
        </w:rPr>
        <w:t>якщо</w:t>
      </w:r>
      <w:r w:rsidRPr="000977F7">
        <w:rPr>
          <w:rFonts w:asciiTheme="majorHAnsi" w:hAnsiTheme="majorHAnsi"/>
          <w:spacing w:val="42"/>
          <w:sz w:val="20"/>
          <w:szCs w:val="20"/>
        </w:rPr>
        <w:t xml:space="preserve"> </w:t>
      </w:r>
      <w:r w:rsidRPr="000977F7">
        <w:rPr>
          <w:rFonts w:asciiTheme="majorHAnsi" w:hAnsiTheme="majorHAnsi"/>
          <w:sz w:val="20"/>
          <w:szCs w:val="20"/>
        </w:rPr>
        <w:t>інше</w:t>
      </w:r>
      <w:r w:rsidRPr="000977F7">
        <w:rPr>
          <w:rFonts w:asciiTheme="majorHAnsi" w:hAnsiTheme="majorHAnsi"/>
          <w:spacing w:val="41"/>
          <w:sz w:val="20"/>
          <w:szCs w:val="20"/>
        </w:rPr>
        <w:t xml:space="preserve"> </w:t>
      </w:r>
      <w:r w:rsidRPr="000977F7">
        <w:rPr>
          <w:rFonts w:asciiTheme="majorHAnsi" w:hAnsiTheme="majorHAnsi"/>
          <w:sz w:val="20"/>
          <w:szCs w:val="20"/>
        </w:rPr>
        <w:t>не</w:t>
      </w:r>
      <w:r w:rsidRPr="000977F7">
        <w:rPr>
          <w:rFonts w:asciiTheme="majorHAnsi" w:hAnsiTheme="majorHAnsi"/>
          <w:spacing w:val="44"/>
          <w:sz w:val="20"/>
          <w:szCs w:val="20"/>
        </w:rPr>
        <w:t xml:space="preserve"> </w:t>
      </w:r>
      <w:r w:rsidRPr="000977F7">
        <w:rPr>
          <w:rFonts w:asciiTheme="majorHAnsi" w:hAnsiTheme="majorHAnsi"/>
          <w:sz w:val="20"/>
          <w:szCs w:val="20"/>
        </w:rPr>
        <w:t>передбачено</w:t>
      </w:r>
      <w:r w:rsidRPr="000977F7">
        <w:rPr>
          <w:rFonts w:asciiTheme="majorHAnsi" w:hAnsiTheme="majorHAnsi"/>
          <w:spacing w:val="42"/>
          <w:sz w:val="20"/>
          <w:szCs w:val="20"/>
        </w:rPr>
        <w:t xml:space="preserve"> </w:t>
      </w:r>
      <w:r w:rsidRPr="000977F7">
        <w:rPr>
          <w:rFonts w:asciiTheme="majorHAnsi" w:hAnsiTheme="majorHAnsi"/>
          <w:sz w:val="20"/>
          <w:szCs w:val="20"/>
        </w:rPr>
        <w:t>нормативно - правовими</w:t>
      </w:r>
      <w:r w:rsidRPr="000977F7">
        <w:rPr>
          <w:rFonts w:asciiTheme="majorHAnsi" w:hAnsiTheme="majorHAnsi"/>
          <w:spacing w:val="1"/>
          <w:sz w:val="20"/>
          <w:szCs w:val="20"/>
        </w:rPr>
        <w:t xml:space="preserve"> </w:t>
      </w:r>
      <w:r w:rsidRPr="000977F7">
        <w:rPr>
          <w:rFonts w:asciiTheme="majorHAnsi" w:hAnsiTheme="majorHAnsi"/>
          <w:sz w:val="20"/>
          <w:szCs w:val="20"/>
        </w:rPr>
        <w:t>актами,</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нормативними</w:t>
      </w:r>
      <w:r w:rsidRPr="000977F7">
        <w:rPr>
          <w:rFonts w:asciiTheme="majorHAnsi" w:hAnsiTheme="majorHAnsi"/>
          <w:spacing w:val="1"/>
          <w:sz w:val="20"/>
          <w:szCs w:val="20"/>
        </w:rPr>
        <w:t xml:space="preserve"> </w:t>
      </w:r>
      <w:r w:rsidRPr="000977F7">
        <w:rPr>
          <w:rFonts w:asciiTheme="majorHAnsi" w:hAnsiTheme="majorHAnsi"/>
          <w:sz w:val="20"/>
          <w:szCs w:val="20"/>
        </w:rPr>
        <w:t>документами</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47"/>
          <w:sz w:val="20"/>
          <w:szCs w:val="20"/>
        </w:rPr>
        <w:t xml:space="preserve">           </w:t>
      </w:r>
      <w:r w:rsidRPr="000977F7">
        <w:rPr>
          <w:rFonts w:asciiTheme="majorHAnsi" w:hAnsiTheme="majorHAnsi"/>
          <w:sz w:val="20"/>
          <w:szCs w:val="20"/>
        </w:rPr>
        <w:t>договором.</w:t>
      </w:r>
    </w:p>
    <w:p w14:paraId="3FE714D4" w14:textId="77777777" w:rsidR="0097612F" w:rsidRPr="000977F7" w:rsidRDefault="0097612F" w:rsidP="00FD39A4">
      <w:pPr>
        <w:pStyle w:val="ac"/>
        <w:widowControl w:val="0"/>
        <w:numPr>
          <w:ilvl w:val="1"/>
          <w:numId w:val="190"/>
        </w:numPr>
        <w:tabs>
          <w:tab w:val="left" w:pos="284"/>
          <w:tab w:val="left" w:pos="70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Гарантійний строк зазначається в паспорті на продукцію або будь-якому іншому документі, що додається</w:t>
      </w:r>
      <w:r w:rsidRPr="000977F7">
        <w:rPr>
          <w:rFonts w:asciiTheme="majorHAnsi" w:hAnsiTheme="majorHAnsi"/>
          <w:spacing w:val="-2"/>
          <w:sz w:val="20"/>
          <w:szCs w:val="20"/>
        </w:rPr>
        <w:t xml:space="preserve"> </w:t>
      </w:r>
      <w:r w:rsidRPr="000977F7">
        <w:rPr>
          <w:rFonts w:asciiTheme="majorHAnsi" w:hAnsiTheme="majorHAnsi"/>
          <w:sz w:val="20"/>
          <w:szCs w:val="20"/>
        </w:rPr>
        <w:t>до продукції.</w:t>
      </w:r>
    </w:p>
    <w:p w14:paraId="1F16DBD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Гарантійні зобов'язання у будь-якому випадку включають також будь-які зобов'язання виробника (виконавця)</w:t>
      </w:r>
      <w:r w:rsidRPr="000977F7">
        <w:rPr>
          <w:rFonts w:asciiTheme="majorHAnsi" w:hAnsiTheme="majorHAnsi"/>
          <w:spacing w:val="-1"/>
          <w:sz w:val="20"/>
          <w:szCs w:val="20"/>
        </w:rPr>
        <w:t xml:space="preserve"> </w:t>
      </w:r>
      <w:r w:rsidRPr="000977F7">
        <w:rPr>
          <w:rFonts w:asciiTheme="majorHAnsi" w:hAnsiTheme="majorHAnsi"/>
          <w:sz w:val="20"/>
          <w:szCs w:val="20"/>
        </w:rPr>
        <w:t>або продавця,</w:t>
      </w:r>
      <w:r w:rsidRPr="000977F7">
        <w:rPr>
          <w:rFonts w:asciiTheme="majorHAnsi" w:hAnsiTheme="majorHAnsi"/>
          <w:spacing w:val="-1"/>
          <w:sz w:val="20"/>
          <w:szCs w:val="20"/>
        </w:rPr>
        <w:t xml:space="preserve"> </w:t>
      </w:r>
      <w:r w:rsidRPr="000977F7">
        <w:rPr>
          <w:rFonts w:asciiTheme="majorHAnsi" w:hAnsiTheme="majorHAnsi"/>
          <w:sz w:val="20"/>
          <w:szCs w:val="20"/>
        </w:rPr>
        <w:t>передбачені</w:t>
      </w:r>
      <w:r w:rsidRPr="000977F7">
        <w:rPr>
          <w:rFonts w:asciiTheme="majorHAnsi" w:hAnsiTheme="majorHAnsi"/>
          <w:spacing w:val="-2"/>
          <w:sz w:val="20"/>
          <w:szCs w:val="20"/>
        </w:rPr>
        <w:t xml:space="preserve"> </w:t>
      </w:r>
      <w:r w:rsidRPr="000977F7">
        <w:rPr>
          <w:rFonts w:asciiTheme="majorHAnsi" w:hAnsiTheme="majorHAnsi"/>
          <w:sz w:val="20"/>
          <w:szCs w:val="20"/>
        </w:rPr>
        <w:t>рекламою.</w:t>
      </w:r>
    </w:p>
    <w:p w14:paraId="4AFB8963" w14:textId="77777777" w:rsidR="0097612F" w:rsidRPr="000977F7" w:rsidRDefault="0097612F" w:rsidP="00FD39A4">
      <w:pPr>
        <w:pStyle w:val="ac"/>
        <w:widowControl w:val="0"/>
        <w:numPr>
          <w:ilvl w:val="1"/>
          <w:numId w:val="190"/>
        </w:numPr>
        <w:tabs>
          <w:tab w:val="left" w:pos="284"/>
          <w:tab w:val="left" w:pos="702"/>
        </w:tabs>
        <w:autoSpaceDE w:val="0"/>
        <w:autoSpaceDN w:val="0"/>
        <w:spacing w:after="0" w:line="240" w:lineRule="auto"/>
        <w:ind w:left="170" w:firstLine="0"/>
        <w:contextualSpacing w:val="0"/>
        <w:mirrorIndents/>
        <w:jc w:val="both"/>
        <w:rPr>
          <w:rFonts w:asciiTheme="majorHAnsi" w:hAnsiTheme="majorHAnsi"/>
          <w:i/>
          <w:sz w:val="20"/>
          <w:szCs w:val="20"/>
        </w:rPr>
      </w:pPr>
      <w:r w:rsidRPr="000977F7">
        <w:rPr>
          <w:rFonts w:asciiTheme="majorHAnsi" w:hAnsiTheme="majorHAnsi"/>
          <w:sz w:val="20"/>
          <w:szCs w:val="20"/>
        </w:rPr>
        <w:t>Для продукції, споживчі властивості якої можуть з</w:t>
      </w:r>
      <w:r w:rsidRPr="000977F7">
        <w:rPr>
          <w:rFonts w:asciiTheme="majorHAnsi" w:hAnsiTheme="majorHAnsi"/>
          <w:spacing w:val="1"/>
          <w:sz w:val="20"/>
          <w:szCs w:val="20"/>
        </w:rPr>
        <w:t xml:space="preserve"> </w:t>
      </w:r>
      <w:r w:rsidRPr="000977F7">
        <w:rPr>
          <w:rFonts w:asciiTheme="majorHAnsi" w:hAnsiTheme="majorHAnsi"/>
          <w:sz w:val="20"/>
          <w:szCs w:val="20"/>
        </w:rPr>
        <w:t>часом погіршуватися і становити небезпеку для життя, здоров'я, майна споживачів і навколишнього природно</w:t>
      </w:r>
    </w:p>
    <w:p w14:paraId="2ED2781A" w14:textId="77777777" w:rsidR="0097612F" w:rsidRPr="000977F7" w:rsidRDefault="0097612F" w:rsidP="000977F7">
      <w:pPr>
        <w:pStyle w:val="ac"/>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3038 – 95</w:t>
      </w:r>
    </w:p>
    <w:p w14:paraId="5B564ED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ГІГІЄНІЧНІ</w:t>
      </w:r>
      <w:r w:rsidRPr="000977F7">
        <w:rPr>
          <w:color w:val="auto"/>
          <w:spacing w:val="-5"/>
          <w:sz w:val="20"/>
          <w:szCs w:val="20"/>
        </w:rPr>
        <w:t xml:space="preserve"> </w:t>
      </w:r>
      <w:r w:rsidRPr="000977F7">
        <w:rPr>
          <w:color w:val="auto"/>
          <w:sz w:val="20"/>
          <w:szCs w:val="20"/>
        </w:rPr>
        <w:t>РЕГЛАМЕНТИ</w:t>
      </w:r>
      <w:r w:rsidRPr="000977F7">
        <w:rPr>
          <w:color w:val="auto"/>
          <w:spacing w:val="-3"/>
          <w:sz w:val="20"/>
          <w:szCs w:val="20"/>
        </w:rPr>
        <w:t xml:space="preserve"> </w:t>
      </w:r>
      <w:r w:rsidRPr="000977F7">
        <w:rPr>
          <w:color w:val="auto"/>
          <w:sz w:val="20"/>
          <w:szCs w:val="20"/>
        </w:rPr>
        <w:t>–</w:t>
      </w:r>
    </w:p>
    <w:p w14:paraId="191A8BC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Науково обґрунтовані параметри чинників 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виключають</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50"/>
          <w:sz w:val="20"/>
          <w:szCs w:val="20"/>
        </w:rPr>
        <w:t xml:space="preserve"> </w:t>
      </w:r>
      <w:r w:rsidRPr="000977F7">
        <w:rPr>
          <w:rFonts w:asciiTheme="majorHAnsi" w:hAnsiTheme="majorHAnsi"/>
          <w:sz w:val="20"/>
          <w:szCs w:val="20"/>
        </w:rPr>
        <w:t>шкідливий</w:t>
      </w:r>
      <w:r w:rsidRPr="000977F7">
        <w:rPr>
          <w:rFonts w:asciiTheme="majorHAnsi" w:hAnsiTheme="majorHAnsi"/>
          <w:spacing w:val="1"/>
          <w:sz w:val="20"/>
          <w:szCs w:val="20"/>
        </w:rPr>
        <w:t xml:space="preserve"> </w:t>
      </w:r>
      <w:r w:rsidRPr="000977F7">
        <w:rPr>
          <w:rFonts w:asciiTheme="majorHAnsi" w:hAnsiTheme="majorHAnsi"/>
          <w:sz w:val="20"/>
          <w:szCs w:val="20"/>
        </w:rPr>
        <w:t>вплив</w:t>
      </w:r>
      <w:r w:rsidRPr="000977F7">
        <w:rPr>
          <w:rFonts w:asciiTheme="majorHAnsi" w:hAnsiTheme="majorHAnsi"/>
          <w:spacing w:val="1"/>
          <w:sz w:val="20"/>
          <w:szCs w:val="20"/>
        </w:rPr>
        <w:t xml:space="preserve"> </w:t>
      </w:r>
      <w:r w:rsidRPr="000977F7">
        <w:rPr>
          <w:rFonts w:asciiTheme="majorHAnsi" w:hAnsiTheme="majorHAnsi"/>
          <w:sz w:val="20"/>
          <w:szCs w:val="20"/>
        </w:rPr>
        <w:t>на організм</w:t>
      </w:r>
    </w:p>
    <w:p w14:paraId="2A723C8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bookmarkStart w:id="39" w:name="_Hlk103768990"/>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3038 – 95</w:t>
      </w:r>
    </w:p>
    <w:bookmarkEnd w:id="39"/>
    <w:p w14:paraId="7B89911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ГІГІЄНІЧНІ</w:t>
      </w:r>
      <w:r w:rsidRPr="000977F7">
        <w:rPr>
          <w:color w:val="auto"/>
          <w:spacing w:val="-5"/>
          <w:sz w:val="20"/>
          <w:szCs w:val="20"/>
        </w:rPr>
        <w:t xml:space="preserve"> </w:t>
      </w:r>
      <w:r w:rsidRPr="000977F7">
        <w:rPr>
          <w:color w:val="auto"/>
          <w:sz w:val="20"/>
          <w:szCs w:val="20"/>
        </w:rPr>
        <w:t>РЕКОМЕНДАЦІЇ</w:t>
      </w:r>
      <w:r w:rsidRPr="000977F7">
        <w:rPr>
          <w:color w:val="auto"/>
          <w:spacing w:val="-4"/>
          <w:sz w:val="20"/>
          <w:szCs w:val="20"/>
        </w:rPr>
        <w:t xml:space="preserve"> </w:t>
      </w:r>
      <w:r w:rsidRPr="000977F7">
        <w:rPr>
          <w:color w:val="auto"/>
          <w:sz w:val="20"/>
          <w:szCs w:val="20"/>
        </w:rPr>
        <w:t>–</w:t>
      </w:r>
    </w:p>
    <w:p w14:paraId="6790DF9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 науково обґрунтованих заходів, виконання</w:t>
      </w:r>
      <w:r w:rsidRPr="000977F7">
        <w:rPr>
          <w:rFonts w:asciiTheme="majorHAnsi" w:hAnsiTheme="majorHAnsi"/>
          <w:spacing w:val="1"/>
          <w:sz w:val="20"/>
          <w:szCs w:val="20"/>
        </w:rPr>
        <w:t xml:space="preserve"> </w:t>
      </w:r>
      <w:r w:rsidRPr="000977F7">
        <w:rPr>
          <w:rFonts w:asciiTheme="majorHAnsi" w:hAnsiTheme="majorHAnsi"/>
          <w:sz w:val="20"/>
          <w:szCs w:val="20"/>
        </w:rPr>
        <w:t>яких виключає шкідливий вплив на здоров'я людини</w:t>
      </w:r>
      <w:r w:rsidRPr="000977F7">
        <w:rPr>
          <w:rFonts w:asciiTheme="majorHAnsi" w:hAnsiTheme="majorHAnsi"/>
          <w:spacing w:val="1"/>
          <w:sz w:val="20"/>
          <w:szCs w:val="20"/>
        </w:rPr>
        <w:t xml:space="preserve"> </w:t>
      </w:r>
      <w:r w:rsidRPr="000977F7">
        <w:rPr>
          <w:rFonts w:asciiTheme="majorHAnsi" w:hAnsiTheme="majorHAnsi"/>
          <w:sz w:val="20"/>
          <w:szCs w:val="20"/>
        </w:rPr>
        <w:t>та навколишнє середовище об'єктів та чинників, що</w:t>
      </w:r>
      <w:r w:rsidRPr="000977F7">
        <w:rPr>
          <w:rFonts w:asciiTheme="majorHAnsi" w:hAnsiTheme="majorHAnsi"/>
          <w:spacing w:val="1"/>
          <w:sz w:val="20"/>
          <w:szCs w:val="20"/>
        </w:rPr>
        <w:t xml:space="preserve"> </w:t>
      </w:r>
      <w:r w:rsidRPr="000977F7">
        <w:rPr>
          <w:rFonts w:asciiTheme="majorHAnsi" w:hAnsiTheme="majorHAnsi"/>
          <w:sz w:val="20"/>
          <w:szCs w:val="20"/>
        </w:rPr>
        <w:t>вивчаються</w:t>
      </w:r>
    </w:p>
    <w:p w14:paraId="3BDED74F"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3038 – 95</w:t>
      </w:r>
      <w:r w:rsidRPr="004D2D14">
        <w:rPr>
          <w:rFonts w:asciiTheme="majorHAnsi" w:hAnsiTheme="majorHAnsi"/>
          <w:i/>
          <w:spacing w:val="1"/>
          <w:sz w:val="20"/>
          <w:szCs w:val="20"/>
          <w:lang w:val="en-US"/>
        </w:rPr>
        <w:t xml:space="preserve"> </w:t>
      </w:r>
    </w:p>
    <w:p w14:paraId="6EF6CCA9"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ГІД</w:t>
      </w:r>
      <w:r w:rsidRPr="004D2D14">
        <w:rPr>
          <w:rFonts w:asciiTheme="majorHAnsi" w:hAnsiTheme="majorHAnsi"/>
          <w:b/>
          <w:sz w:val="20"/>
          <w:szCs w:val="20"/>
          <w:lang w:val="en-US"/>
        </w:rPr>
        <w:t xml:space="preserve"> </w:t>
      </w:r>
      <w:r w:rsidRPr="000977F7">
        <w:rPr>
          <w:rFonts w:asciiTheme="majorHAnsi" w:hAnsiTheme="majorHAnsi"/>
          <w:b/>
          <w:sz w:val="20"/>
          <w:szCs w:val="20"/>
        </w:rPr>
        <w:t>АУДИТУ</w:t>
      </w:r>
      <w:r w:rsidRPr="004D2D14">
        <w:rPr>
          <w:rFonts w:asciiTheme="majorHAnsi" w:hAnsiTheme="majorHAnsi"/>
          <w:b/>
          <w:sz w:val="20"/>
          <w:szCs w:val="20"/>
          <w:lang w:val="en-US"/>
        </w:rPr>
        <w:t xml:space="preserve"> – GUIDE AUDIT -</w:t>
      </w:r>
    </w:p>
    <w:p w14:paraId="0D165CDE"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Особа, яку призначає об’єкт аудиту, щоб сприяти діяльності групи аудиту</w:t>
      </w:r>
    </w:p>
    <w:p w14:paraId="2DF572A9" w14:textId="77777777" w:rsidR="0097612F" w:rsidRPr="000977F7" w:rsidRDefault="0097612F" w:rsidP="000977F7">
      <w:pPr>
        <w:tabs>
          <w:tab w:val="left" w:pos="284"/>
        </w:tabs>
        <w:spacing w:after="0" w:line="240" w:lineRule="auto"/>
        <w:ind w:left="170"/>
        <w:mirrorIndents/>
        <w:jc w:val="both"/>
        <w:rPr>
          <w:rFonts w:asciiTheme="majorHAnsi" w:hAnsiTheme="majorHAnsi"/>
          <w:i/>
          <w:iCs/>
          <w:spacing w:val="1"/>
          <w:sz w:val="20"/>
          <w:szCs w:val="20"/>
        </w:rPr>
      </w:pPr>
      <w:r w:rsidRPr="000977F7">
        <w:rPr>
          <w:rFonts w:asciiTheme="majorHAnsi" w:hAnsiTheme="majorHAnsi"/>
          <w:bCs/>
          <w:i/>
          <w:iCs/>
          <w:sz w:val="20"/>
          <w:szCs w:val="20"/>
        </w:rPr>
        <w:t>ДСТУ ISO 9000:2015</w:t>
      </w:r>
      <w:r w:rsidRPr="000977F7">
        <w:rPr>
          <w:rFonts w:asciiTheme="majorHAnsi" w:hAnsiTheme="majorHAnsi"/>
          <w:i/>
          <w:iCs/>
          <w:spacing w:val="1"/>
          <w:sz w:val="20"/>
          <w:szCs w:val="20"/>
        </w:rPr>
        <w:t xml:space="preserve"> </w:t>
      </w:r>
    </w:p>
    <w:p w14:paraId="3C3C9835"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ГІДРАВЛІЧНИЙ СИГНАЛ –</w:t>
      </w:r>
      <w:r w:rsidRPr="000977F7">
        <w:rPr>
          <w:rFonts w:asciiTheme="majorHAnsi" w:hAnsiTheme="majorHAnsi"/>
          <w:b/>
          <w:spacing w:val="-47"/>
          <w:sz w:val="20"/>
          <w:szCs w:val="20"/>
        </w:rPr>
        <w:t xml:space="preserve"> </w:t>
      </w:r>
    </w:p>
    <w:p w14:paraId="7BA808C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HYDRAULIC</w:t>
      </w:r>
      <w:r w:rsidRPr="000977F7">
        <w:rPr>
          <w:rFonts w:asciiTheme="majorHAnsi" w:hAnsiTheme="majorHAnsi"/>
          <w:spacing w:val="-2"/>
          <w:sz w:val="20"/>
          <w:szCs w:val="20"/>
        </w:rPr>
        <w:t xml:space="preserve"> </w:t>
      </w:r>
      <w:r w:rsidRPr="000977F7">
        <w:rPr>
          <w:rFonts w:asciiTheme="majorHAnsi" w:hAnsiTheme="majorHAnsi"/>
          <w:sz w:val="20"/>
          <w:szCs w:val="20"/>
        </w:rPr>
        <w:t>SIGNAL –</w:t>
      </w:r>
    </w:p>
    <w:p w14:paraId="7865F7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 у вигляді механічного діяння рідини, дієвою</w:t>
      </w:r>
      <w:r w:rsidRPr="000977F7">
        <w:rPr>
          <w:rFonts w:asciiTheme="majorHAnsi" w:hAnsiTheme="majorHAnsi"/>
          <w:spacing w:val="1"/>
          <w:sz w:val="20"/>
          <w:szCs w:val="20"/>
        </w:rPr>
        <w:t xml:space="preserve"> </w:t>
      </w:r>
      <w:r w:rsidRPr="000977F7">
        <w:rPr>
          <w:rFonts w:asciiTheme="majorHAnsi" w:hAnsiTheme="majorHAnsi"/>
          <w:sz w:val="20"/>
          <w:szCs w:val="20"/>
        </w:rPr>
        <w:t>величиною</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є тиск</w:t>
      </w:r>
    </w:p>
    <w:p w14:paraId="7AD7228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2A559A4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ГІДРОГАЛТУВАННЯ</w:t>
      </w:r>
      <w:r w:rsidRPr="000977F7">
        <w:rPr>
          <w:color w:val="auto"/>
          <w:spacing w:val="-4"/>
          <w:sz w:val="20"/>
          <w:szCs w:val="20"/>
        </w:rPr>
        <w:t xml:space="preserve"> </w:t>
      </w:r>
      <w:r w:rsidRPr="000977F7">
        <w:rPr>
          <w:color w:val="auto"/>
          <w:sz w:val="20"/>
          <w:szCs w:val="20"/>
        </w:rPr>
        <w:t>–</w:t>
      </w:r>
    </w:p>
    <w:p w14:paraId="310D2110"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z w:val="20"/>
          <w:szCs w:val="20"/>
        </w:rPr>
        <w:t>Галтування</w:t>
      </w:r>
      <w:r w:rsidRPr="000977F7">
        <w:rPr>
          <w:rFonts w:asciiTheme="majorHAnsi" w:hAnsiTheme="majorHAnsi"/>
          <w:spacing w:val="19"/>
          <w:sz w:val="20"/>
          <w:szCs w:val="20"/>
        </w:rPr>
        <w:t xml:space="preserve"> </w:t>
      </w:r>
      <w:r w:rsidRPr="000977F7">
        <w:rPr>
          <w:rFonts w:asciiTheme="majorHAnsi" w:hAnsiTheme="majorHAnsi"/>
          <w:sz w:val="20"/>
          <w:szCs w:val="20"/>
        </w:rPr>
        <w:t>в</w:t>
      </w:r>
      <w:r w:rsidRPr="000977F7">
        <w:rPr>
          <w:rFonts w:asciiTheme="majorHAnsi" w:hAnsiTheme="majorHAnsi"/>
          <w:spacing w:val="20"/>
          <w:sz w:val="20"/>
          <w:szCs w:val="20"/>
        </w:rPr>
        <w:t xml:space="preserve"> </w:t>
      </w:r>
      <w:r w:rsidRPr="000977F7">
        <w:rPr>
          <w:rFonts w:asciiTheme="majorHAnsi" w:hAnsiTheme="majorHAnsi"/>
          <w:sz w:val="20"/>
          <w:szCs w:val="20"/>
        </w:rPr>
        <w:t>робочій</w:t>
      </w:r>
      <w:r w:rsidRPr="000977F7">
        <w:rPr>
          <w:rFonts w:asciiTheme="majorHAnsi" w:hAnsiTheme="majorHAnsi"/>
          <w:spacing w:val="19"/>
          <w:sz w:val="20"/>
          <w:szCs w:val="20"/>
        </w:rPr>
        <w:t xml:space="preserve"> </w:t>
      </w:r>
      <w:r w:rsidRPr="000977F7">
        <w:rPr>
          <w:rFonts w:asciiTheme="majorHAnsi" w:hAnsiTheme="majorHAnsi"/>
          <w:sz w:val="20"/>
          <w:szCs w:val="20"/>
        </w:rPr>
        <w:t>суміші</w:t>
      </w:r>
      <w:r w:rsidRPr="000977F7">
        <w:rPr>
          <w:rFonts w:asciiTheme="majorHAnsi" w:hAnsiTheme="majorHAnsi"/>
          <w:spacing w:val="21"/>
          <w:sz w:val="20"/>
          <w:szCs w:val="20"/>
        </w:rPr>
        <w:t xml:space="preserve"> </w:t>
      </w:r>
      <w:r w:rsidRPr="000977F7">
        <w:rPr>
          <w:rFonts w:asciiTheme="majorHAnsi" w:hAnsiTheme="majorHAnsi"/>
          <w:sz w:val="20"/>
          <w:szCs w:val="20"/>
        </w:rPr>
        <w:t>із</w:t>
      </w:r>
      <w:r w:rsidRPr="000977F7">
        <w:rPr>
          <w:rFonts w:asciiTheme="majorHAnsi" w:hAnsiTheme="majorHAnsi"/>
          <w:spacing w:val="20"/>
          <w:sz w:val="20"/>
          <w:szCs w:val="20"/>
        </w:rPr>
        <w:t xml:space="preserve"> </w:t>
      </w:r>
      <w:r w:rsidRPr="000977F7">
        <w:rPr>
          <w:rFonts w:asciiTheme="majorHAnsi" w:hAnsiTheme="majorHAnsi"/>
          <w:sz w:val="20"/>
          <w:szCs w:val="20"/>
        </w:rPr>
        <w:t>рідини</w:t>
      </w:r>
      <w:r w:rsidRPr="000977F7">
        <w:rPr>
          <w:rFonts w:asciiTheme="majorHAnsi" w:hAnsiTheme="majorHAnsi"/>
          <w:spacing w:val="20"/>
          <w:sz w:val="20"/>
          <w:szCs w:val="20"/>
        </w:rPr>
        <w:t xml:space="preserve"> </w:t>
      </w:r>
      <w:r w:rsidRPr="000977F7">
        <w:rPr>
          <w:rFonts w:asciiTheme="majorHAnsi" w:hAnsiTheme="majorHAnsi"/>
          <w:sz w:val="20"/>
          <w:szCs w:val="20"/>
        </w:rPr>
        <w:t>та</w:t>
      </w:r>
      <w:r w:rsidRPr="000977F7">
        <w:rPr>
          <w:rFonts w:asciiTheme="majorHAnsi" w:hAnsiTheme="majorHAnsi"/>
          <w:spacing w:val="21"/>
          <w:sz w:val="20"/>
          <w:szCs w:val="20"/>
        </w:rPr>
        <w:t xml:space="preserve"> </w:t>
      </w:r>
      <w:r w:rsidRPr="000977F7">
        <w:rPr>
          <w:rFonts w:asciiTheme="majorHAnsi" w:hAnsiTheme="majorHAnsi"/>
          <w:sz w:val="20"/>
          <w:szCs w:val="20"/>
        </w:rPr>
        <w:t>металевого</w:t>
      </w:r>
      <w:r w:rsidRPr="000977F7">
        <w:rPr>
          <w:rFonts w:asciiTheme="majorHAnsi" w:hAnsiTheme="majorHAnsi"/>
          <w:spacing w:val="-47"/>
          <w:sz w:val="20"/>
          <w:szCs w:val="20"/>
        </w:rPr>
        <w:t xml:space="preserve"> </w:t>
      </w:r>
      <w:r w:rsidRPr="000977F7">
        <w:rPr>
          <w:rFonts w:asciiTheme="majorHAnsi" w:hAnsiTheme="majorHAnsi"/>
          <w:sz w:val="20"/>
          <w:szCs w:val="20"/>
        </w:rPr>
        <w:t>дробу,</w:t>
      </w:r>
      <w:r w:rsidRPr="000977F7">
        <w:rPr>
          <w:rFonts w:asciiTheme="majorHAnsi" w:hAnsiTheme="majorHAnsi"/>
          <w:spacing w:val="18"/>
          <w:sz w:val="20"/>
          <w:szCs w:val="20"/>
        </w:rPr>
        <w:t xml:space="preserve"> </w:t>
      </w:r>
      <w:r w:rsidRPr="000977F7">
        <w:rPr>
          <w:rFonts w:asciiTheme="majorHAnsi" w:hAnsiTheme="majorHAnsi"/>
          <w:sz w:val="20"/>
          <w:szCs w:val="20"/>
        </w:rPr>
        <w:t>яка</w:t>
      </w:r>
      <w:r w:rsidRPr="000977F7">
        <w:rPr>
          <w:rFonts w:asciiTheme="majorHAnsi" w:hAnsiTheme="majorHAnsi"/>
          <w:spacing w:val="20"/>
          <w:sz w:val="20"/>
          <w:szCs w:val="20"/>
        </w:rPr>
        <w:t xml:space="preserve"> </w:t>
      </w:r>
      <w:r w:rsidRPr="000977F7">
        <w:rPr>
          <w:rFonts w:asciiTheme="majorHAnsi" w:hAnsiTheme="majorHAnsi"/>
          <w:sz w:val="20"/>
          <w:szCs w:val="20"/>
        </w:rPr>
        <w:t>подається</w:t>
      </w:r>
      <w:r w:rsidRPr="000977F7">
        <w:rPr>
          <w:rFonts w:asciiTheme="majorHAnsi" w:hAnsiTheme="majorHAnsi"/>
          <w:spacing w:val="19"/>
          <w:sz w:val="20"/>
          <w:szCs w:val="20"/>
        </w:rPr>
        <w:t xml:space="preserve"> </w:t>
      </w:r>
      <w:r w:rsidRPr="000977F7">
        <w:rPr>
          <w:rFonts w:asciiTheme="majorHAnsi" w:hAnsiTheme="majorHAnsi"/>
          <w:sz w:val="20"/>
          <w:szCs w:val="20"/>
        </w:rPr>
        <w:t>під</w:t>
      </w:r>
      <w:r w:rsidRPr="000977F7">
        <w:rPr>
          <w:rFonts w:asciiTheme="majorHAnsi" w:hAnsiTheme="majorHAnsi"/>
          <w:spacing w:val="19"/>
          <w:sz w:val="20"/>
          <w:szCs w:val="20"/>
        </w:rPr>
        <w:t xml:space="preserve"> </w:t>
      </w:r>
      <w:r w:rsidRPr="000977F7">
        <w:rPr>
          <w:rFonts w:asciiTheme="majorHAnsi" w:hAnsiTheme="majorHAnsi"/>
          <w:sz w:val="20"/>
          <w:szCs w:val="20"/>
        </w:rPr>
        <w:t>тиском</w:t>
      </w:r>
      <w:r w:rsidRPr="000977F7">
        <w:rPr>
          <w:rFonts w:asciiTheme="majorHAnsi" w:hAnsiTheme="majorHAnsi"/>
          <w:spacing w:val="18"/>
          <w:sz w:val="20"/>
          <w:szCs w:val="20"/>
        </w:rPr>
        <w:t xml:space="preserve"> </w:t>
      </w:r>
      <w:r w:rsidRPr="000977F7">
        <w:rPr>
          <w:rFonts w:asciiTheme="majorHAnsi" w:hAnsiTheme="majorHAnsi"/>
          <w:sz w:val="20"/>
          <w:szCs w:val="20"/>
        </w:rPr>
        <w:t>і</w:t>
      </w:r>
      <w:r w:rsidRPr="000977F7">
        <w:rPr>
          <w:rFonts w:asciiTheme="majorHAnsi" w:hAnsiTheme="majorHAnsi"/>
          <w:spacing w:val="17"/>
          <w:sz w:val="20"/>
          <w:szCs w:val="20"/>
        </w:rPr>
        <w:t xml:space="preserve"> </w:t>
      </w:r>
      <w:r w:rsidRPr="000977F7">
        <w:rPr>
          <w:rFonts w:asciiTheme="majorHAnsi" w:hAnsiTheme="majorHAnsi"/>
          <w:sz w:val="20"/>
          <w:szCs w:val="20"/>
        </w:rPr>
        <w:t>додатково</w:t>
      </w:r>
      <w:r w:rsidRPr="000977F7">
        <w:rPr>
          <w:rFonts w:asciiTheme="majorHAnsi" w:hAnsiTheme="majorHAnsi"/>
          <w:spacing w:val="18"/>
          <w:sz w:val="20"/>
          <w:szCs w:val="20"/>
        </w:rPr>
        <w:t xml:space="preserve"> </w:t>
      </w:r>
      <w:r w:rsidRPr="000977F7">
        <w:rPr>
          <w:rFonts w:asciiTheme="majorHAnsi" w:hAnsiTheme="majorHAnsi"/>
          <w:sz w:val="20"/>
          <w:szCs w:val="20"/>
        </w:rPr>
        <w:t>створює</w:t>
      </w:r>
      <w:r w:rsidRPr="000977F7">
        <w:rPr>
          <w:rFonts w:asciiTheme="majorHAnsi" w:hAnsiTheme="majorHAnsi"/>
          <w:spacing w:val="-47"/>
          <w:sz w:val="20"/>
          <w:szCs w:val="20"/>
        </w:rPr>
        <w:t xml:space="preserve"> </w:t>
      </w:r>
      <w:r w:rsidRPr="000977F7">
        <w:rPr>
          <w:rFonts w:asciiTheme="majorHAnsi" w:hAnsiTheme="majorHAnsi"/>
          <w:sz w:val="20"/>
          <w:szCs w:val="20"/>
        </w:rPr>
        <w:t>наклепаний поверхневий шар</w:t>
      </w:r>
      <w:r w:rsidRPr="000977F7">
        <w:rPr>
          <w:rFonts w:asciiTheme="majorHAnsi" w:hAnsiTheme="majorHAnsi"/>
          <w:spacing w:val="1"/>
          <w:sz w:val="20"/>
          <w:szCs w:val="20"/>
        </w:rPr>
        <w:t xml:space="preserve"> </w:t>
      </w:r>
      <w:r w:rsidRPr="000977F7">
        <w:rPr>
          <w:rFonts w:asciiTheme="majorHAnsi" w:hAnsiTheme="majorHAnsi"/>
          <w:b/>
          <w:sz w:val="20"/>
          <w:szCs w:val="20"/>
        </w:rPr>
        <w:t>ГІДРОПОЛІРУВАННЯ</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5FBA39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Полірування</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допомогою</w:t>
      </w:r>
      <w:r w:rsidRPr="000977F7">
        <w:rPr>
          <w:rFonts w:asciiTheme="majorHAnsi" w:hAnsiTheme="majorHAnsi"/>
          <w:spacing w:val="1"/>
          <w:sz w:val="20"/>
          <w:szCs w:val="20"/>
        </w:rPr>
        <w:t xml:space="preserve"> </w:t>
      </w:r>
      <w:r w:rsidRPr="000977F7">
        <w:rPr>
          <w:rFonts w:asciiTheme="majorHAnsi" w:hAnsiTheme="majorHAnsi"/>
          <w:sz w:val="20"/>
          <w:szCs w:val="20"/>
        </w:rPr>
        <w:t>водно</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абразивної</w:t>
      </w:r>
      <w:r w:rsidRPr="000977F7">
        <w:rPr>
          <w:rFonts w:asciiTheme="majorHAnsi" w:hAnsiTheme="majorHAnsi"/>
          <w:spacing w:val="1"/>
          <w:sz w:val="20"/>
          <w:szCs w:val="20"/>
        </w:rPr>
        <w:t xml:space="preserve"> </w:t>
      </w:r>
      <w:r w:rsidRPr="000977F7">
        <w:rPr>
          <w:rFonts w:asciiTheme="majorHAnsi" w:hAnsiTheme="majorHAnsi"/>
          <w:sz w:val="20"/>
          <w:szCs w:val="20"/>
        </w:rPr>
        <w:t>суспензії,</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подається під тиском, на</w:t>
      </w:r>
      <w:r w:rsidRPr="000977F7">
        <w:rPr>
          <w:rFonts w:asciiTheme="majorHAnsi" w:hAnsiTheme="majorHAnsi"/>
          <w:spacing w:val="1"/>
          <w:sz w:val="20"/>
          <w:szCs w:val="20"/>
        </w:rPr>
        <w:t xml:space="preserve"> </w:t>
      </w:r>
      <w:r w:rsidRPr="000977F7">
        <w:rPr>
          <w:rFonts w:asciiTheme="majorHAnsi" w:hAnsiTheme="majorHAnsi"/>
          <w:sz w:val="20"/>
          <w:szCs w:val="20"/>
        </w:rPr>
        <w:t>установці для</w:t>
      </w:r>
      <w:r w:rsidRPr="000977F7">
        <w:rPr>
          <w:rFonts w:asciiTheme="majorHAnsi" w:hAnsiTheme="majorHAnsi"/>
          <w:spacing w:val="1"/>
          <w:sz w:val="20"/>
          <w:szCs w:val="20"/>
        </w:rPr>
        <w:t xml:space="preserve"> </w:t>
      </w:r>
      <w:r w:rsidRPr="000977F7">
        <w:rPr>
          <w:rFonts w:asciiTheme="majorHAnsi" w:hAnsiTheme="majorHAnsi"/>
          <w:sz w:val="20"/>
          <w:szCs w:val="20"/>
        </w:rPr>
        <w:t>рідинно</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абразивної</w:t>
      </w:r>
      <w:r w:rsidRPr="000977F7">
        <w:rPr>
          <w:rFonts w:asciiTheme="majorHAnsi" w:hAnsiTheme="majorHAnsi"/>
          <w:spacing w:val="-2"/>
          <w:sz w:val="20"/>
          <w:szCs w:val="20"/>
        </w:rPr>
        <w:t xml:space="preserve"> </w:t>
      </w:r>
      <w:r w:rsidRPr="000977F7">
        <w:rPr>
          <w:rFonts w:asciiTheme="majorHAnsi" w:hAnsiTheme="majorHAnsi"/>
          <w:sz w:val="20"/>
          <w:szCs w:val="20"/>
        </w:rPr>
        <w:t>підготовки</w:t>
      </w:r>
    </w:p>
    <w:p w14:paraId="06344A2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ГІДРОПРОБА</w:t>
      </w:r>
      <w:r w:rsidRPr="000977F7">
        <w:rPr>
          <w:color w:val="auto"/>
          <w:spacing w:val="-3"/>
          <w:sz w:val="20"/>
          <w:szCs w:val="20"/>
        </w:rPr>
        <w:t xml:space="preserve"> </w:t>
      </w:r>
      <w:r w:rsidRPr="000977F7">
        <w:rPr>
          <w:color w:val="auto"/>
          <w:sz w:val="20"/>
          <w:szCs w:val="20"/>
        </w:rPr>
        <w:t>–</w:t>
      </w:r>
    </w:p>
    <w:p w14:paraId="1F0DD9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герметичності</w:t>
      </w:r>
      <w:r w:rsidRPr="000977F7">
        <w:rPr>
          <w:rFonts w:asciiTheme="majorHAnsi" w:hAnsiTheme="majorHAnsi"/>
          <w:spacing w:val="1"/>
          <w:sz w:val="20"/>
          <w:szCs w:val="20"/>
        </w:rPr>
        <w:t xml:space="preserve"> </w:t>
      </w:r>
      <w:r w:rsidRPr="000977F7">
        <w:rPr>
          <w:rFonts w:asciiTheme="majorHAnsi" w:hAnsiTheme="majorHAnsi"/>
          <w:sz w:val="20"/>
          <w:szCs w:val="20"/>
        </w:rPr>
        <w:t>порожнистої</w:t>
      </w:r>
      <w:r w:rsidRPr="000977F7">
        <w:rPr>
          <w:rFonts w:asciiTheme="majorHAnsi" w:hAnsiTheme="majorHAnsi"/>
          <w:spacing w:val="1"/>
          <w:sz w:val="20"/>
          <w:szCs w:val="20"/>
        </w:rPr>
        <w:t xml:space="preserve"> </w:t>
      </w:r>
      <w:r w:rsidRPr="000977F7">
        <w:rPr>
          <w:rFonts w:asciiTheme="majorHAnsi" w:hAnsiTheme="majorHAnsi"/>
          <w:sz w:val="20"/>
          <w:szCs w:val="20"/>
        </w:rPr>
        <w:t>деталі</w:t>
      </w:r>
      <w:r w:rsidRPr="000977F7">
        <w:rPr>
          <w:rFonts w:asciiTheme="majorHAnsi" w:hAnsiTheme="majorHAnsi"/>
          <w:spacing w:val="-47"/>
          <w:sz w:val="20"/>
          <w:szCs w:val="20"/>
        </w:rPr>
        <w:t xml:space="preserve"> </w:t>
      </w:r>
      <w:r w:rsidRPr="000977F7">
        <w:rPr>
          <w:rFonts w:asciiTheme="majorHAnsi" w:hAnsiTheme="majorHAnsi"/>
          <w:sz w:val="20"/>
          <w:szCs w:val="20"/>
        </w:rPr>
        <w:t>шляхом заповнення</w:t>
      </w:r>
      <w:r w:rsidRPr="000977F7">
        <w:rPr>
          <w:rFonts w:asciiTheme="majorHAnsi" w:hAnsiTheme="majorHAnsi"/>
          <w:spacing w:val="-2"/>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рідиною</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2"/>
          <w:sz w:val="20"/>
          <w:szCs w:val="20"/>
        </w:rPr>
        <w:t xml:space="preserve"> </w:t>
      </w:r>
      <w:r w:rsidRPr="000977F7">
        <w:rPr>
          <w:rFonts w:asciiTheme="majorHAnsi" w:hAnsiTheme="majorHAnsi"/>
          <w:sz w:val="20"/>
          <w:szCs w:val="20"/>
        </w:rPr>
        <w:t>тиском</w:t>
      </w:r>
    </w:p>
    <w:p w14:paraId="716DC9B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ГЛИБИНА ПОШУКУ МІСЦЯ ВІДМОВИ (НЕСПРАВНОСТІ)</w:t>
      </w:r>
      <w:r w:rsidRPr="000977F7">
        <w:rPr>
          <w:color w:val="auto"/>
          <w:spacing w:val="1"/>
          <w:sz w:val="20"/>
          <w:szCs w:val="20"/>
        </w:rPr>
        <w:t xml:space="preserve"> </w:t>
      </w:r>
      <w:r w:rsidRPr="000977F7">
        <w:rPr>
          <w:color w:val="auto"/>
          <w:sz w:val="20"/>
          <w:szCs w:val="20"/>
        </w:rPr>
        <w:t>–</w:t>
      </w:r>
    </w:p>
    <w:p w14:paraId="1BE1286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RESOLUTION</w:t>
      </w:r>
      <w:r w:rsidRPr="004D2D14">
        <w:rPr>
          <w:rFonts w:asciiTheme="majorHAnsi" w:hAnsiTheme="majorHAnsi"/>
          <w:spacing w:val="-3"/>
          <w:sz w:val="20"/>
          <w:szCs w:val="20"/>
          <w:lang w:val="uk-UA"/>
        </w:rPr>
        <w:t xml:space="preserve"> </w:t>
      </w:r>
      <w:r w:rsidRPr="000977F7">
        <w:rPr>
          <w:rFonts w:asciiTheme="majorHAnsi" w:hAnsiTheme="majorHAnsi"/>
          <w:sz w:val="20"/>
          <w:szCs w:val="20"/>
        </w:rPr>
        <w:t>OF</w:t>
      </w:r>
      <w:r w:rsidRPr="004D2D14">
        <w:rPr>
          <w:rFonts w:asciiTheme="majorHAnsi" w:hAnsiTheme="majorHAnsi"/>
          <w:spacing w:val="-3"/>
          <w:sz w:val="20"/>
          <w:szCs w:val="20"/>
          <w:lang w:val="uk-UA"/>
        </w:rPr>
        <w:t xml:space="preserve"> </w:t>
      </w:r>
      <w:r w:rsidRPr="000977F7">
        <w:rPr>
          <w:rFonts w:asciiTheme="majorHAnsi" w:hAnsiTheme="majorHAnsi"/>
          <w:sz w:val="20"/>
          <w:szCs w:val="20"/>
        </w:rPr>
        <w:t>FAULT</w:t>
      </w:r>
      <w:r w:rsidRPr="004D2D14">
        <w:rPr>
          <w:rFonts w:asciiTheme="majorHAnsi" w:hAnsiTheme="majorHAnsi"/>
          <w:sz w:val="20"/>
          <w:szCs w:val="20"/>
          <w:lang w:val="uk-UA"/>
        </w:rPr>
        <w:t xml:space="preserve"> </w:t>
      </w:r>
      <w:r w:rsidRPr="000977F7">
        <w:rPr>
          <w:rFonts w:asciiTheme="majorHAnsi" w:hAnsiTheme="majorHAnsi"/>
          <w:sz w:val="20"/>
          <w:szCs w:val="20"/>
        </w:rPr>
        <w:t>LOCATION</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27D8FCF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Характеристика,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задана зазначенням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складової частини об’єкта,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 точністю до якої визначається місце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відмови</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(несправності)</w:t>
      </w:r>
    </w:p>
    <w:p w14:paraId="4A6D9D5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A3A1E5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ГЛИБИНА</w:t>
      </w:r>
      <w:r w:rsidRPr="000977F7">
        <w:rPr>
          <w:color w:val="auto"/>
          <w:spacing w:val="-4"/>
          <w:sz w:val="20"/>
          <w:szCs w:val="20"/>
        </w:rPr>
        <w:t xml:space="preserve"> </w:t>
      </w:r>
      <w:r w:rsidRPr="000977F7">
        <w:rPr>
          <w:color w:val="auto"/>
          <w:sz w:val="20"/>
          <w:szCs w:val="20"/>
        </w:rPr>
        <w:t>ПРОВАЛУ</w:t>
      </w:r>
      <w:r w:rsidRPr="000977F7">
        <w:rPr>
          <w:color w:val="auto"/>
          <w:spacing w:val="-3"/>
          <w:sz w:val="20"/>
          <w:szCs w:val="20"/>
        </w:rPr>
        <w:t xml:space="preserve"> </w:t>
      </w:r>
      <w:r w:rsidRPr="000977F7">
        <w:rPr>
          <w:color w:val="auto"/>
          <w:sz w:val="20"/>
          <w:szCs w:val="20"/>
        </w:rPr>
        <w:t>НАПРУГИ</w:t>
      </w:r>
      <w:r w:rsidRPr="000977F7">
        <w:rPr>
          <w:color w:val="auto"/>
          <w:spacing w:val="-2"/>
          <w:sz w:val="20"/>
          <w:szCs w:val="20"/>
        </w:rPr>
        <w:t xml:space="preserve"> </w:t>
      </w:r>
      <w:r w:rsidRPr="000977F7">
        <w:rPr>
          <w:color w:val="auto"/>
          <w:sz w:val="20"/>
          <w:szCs w:val="20"/>
        </w:rPr>
        <w:t>–</w:t>
      </w:r>
    </w:p>
    <w:p w14:paraId="52AB0C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Різниця між номінальним чи базовим значенням напруги і найменшим дійовим значенням під час його</w:t>
      </w:r>
      <w:r w:rsidRPr="000977F7">
        <w:rPr>
          <w:rFonts w:asciiTheme="majorHAnsi" w:hAnsiTheme="majorHAnsi"/>
          <w:spacing w:val="1"/>
          <w:sz w:val="20"/>
          <w:szCs w:val="20"/>
        </w:rPr>
        <w:t xml:space="preserve"> </w:t>
      </w:r>
      <w:r w:rsidRPr="000977F7">
        <w:rPr>
          <w:rFonts w:asciiTheme="majorHAnsi" w:hAnsiTheme="majorHAnsi"/>
          <w:sz w:val="20"/>
          <w:szCs w:val="20"/>
        </w:rPr>
        <w:t>провалу</w:t>
      </w:r>
    </w:p>
    <w:p w14:paraId="071CD79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 – 96</w:t>
      </w:r>
    </w:p>
    <w:p w14:paraId="788690D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ГНУТТЯ</w:t>
      </w:r>
      <w:r w:rsidRPr="000977F7">
        <w:rPr>
          <w:color w:val="auto"/>
          <w:spacing w:val="-3"/>
          <w:sz w:val="20"/>
          <w:szCs w:val="20"/>
        </w:rPr>
        <w:t xml:space="preserve"> </w:t>
      </w:r>
      <w:r w:rsidRPr="000977F7">
        <w:rPr>
          <w:color w:val="auto"/>
          <w:sz w:val="20"/>
          <w:szCs w:val="20"/>
        </w:rPr>
        <w:t>–</w:t>
      </w:r>
    </w:p>
    <w:p w14:paraId="5D7081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Обробка заготовок тиском з метою придання їм стабільної</w:t>
      </w:r>
      <w:r w:rsidRPr="000977F7">
        <w:rPr>
          <w:rFonts w:asciiTheme="majorHAnsi" w:hAnsiTheme="majorHAnsi"/>
          <w:spacing w:val="-2"/>
          <w:sz w:val="20"/>
          <w:szCs w:val="20"/>
        </w:rPr>
        <w:t xml:space="preserve"> </w:t>
      </w:r>
      <w:r w:rsidRPr="000977F7">
        <w:rPr>
          <w:rFonts w:asciiTheme="majorHAnsi" w:hAnsiTheme="majorHAnsi"/>
          <w:sz w:val="20"/>
          <w:szCs w:val="20"/>
        </w:rPr>
        <w:t>криволінійної</w:t>
      </w:r>
      <w:r w:rsidRPr="000977F7">
        <w:rPr>
          <w:rFonts w:asciiTheme="majorHAnsi" w:hAnsiTheme="majorHAnsi"/>
          <w:spacing w:val="-1"/>
          <w:sz w:val="20"/>
          <w:szCs w:val="20"/>
        </w:rPr>
        <w:t xml:space="preserve"> </w:t>
      </w:r>
      <w:r w:rsidRPr="000977F7">
        <w:rPr>
          <w:rFonts w:asciiTheme="majorHAnsi" w:hAnsiTheme="majorHAnsi"/>
          <w:sz w:val="20"/>
          <w:szCs w:val="20"/>
        </w:rPr>
        <w:t>форми</w:t>
      </w:r>
    </w:p>
    <w:p w14:paraId="4025A24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ГНУЧКА</w:t>
      </w:r>
      <w:r w:rsidRPr="000977F7">
        <w:rPr>
          <w:color w:val="auto"/>
          <w:spacing w:val="-4"/>
          <w:sz w:val="20"/>
          <w:szCs w:val="20"/>
        </w:rPr>
        <w:t xml:space="preserve"> </w:t>
      </w:r>
      <w:r w:rsidRPr="000977F7">
        <w:rPr>
          <w:color w:val="auto"/>
          <w:sz w:val="20"/>
          <w:szCs w:val="20"/>
        </w:rPr>
        <w:t>ВИРОБНИЧА</w:t>
      </w:r>
      <w:r w:rsidRPr="000977F7">
        <w:rPr>
          <w:color w:val="auto"/>
          <w:spacing w:val="-3"/>
          <w:sz w:val="20"/>
          <w:szCs w:val="20"/>
        </w:rPr>
        <w:t xml:space="preserve"> </w:t>
      </w:r>
      <w:r w:rsidRPr="000977F7">
        <w:rPr>
          <w:color w:val="auto"/>
          <w:sz w:val="20"/>
          <w:szCs w:val="20"/>
        </w:rPr>
        <w:t>СТРУКТУРА –</w:t>
      </w:r>
    </w:p>
    <w:p w14:paraId="7ED0861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Виробнича</w:t>
      </w:r>
      <w:r w:rsidRPr="000977F7">
        <w:rPr>
          <w:rFonts w:asciiTheme="majorHAnsi" w:hAnsiTheme="majorHAnsi"/>
          <w:spacing w:val="1"/>
          <w:sz w:val="20"/>
          <w:szCs w:val="20"/>
        </w:rPr>
        <w:t xml:space="preserve"> </w:t>
      </w:r>
      <w:r w:rsidRPr="000977F7">
        <w:rPr>
          <w:rFonts w:asciiTheme="majorHAnsi" w:hAnsiTheme="majorHAnsi"/>
          <w:sz w:val="20"/>
          <w:szCs w:val="20"/>
        </w:rPr>
        <w:t>структура,</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якій</w:t>
      </w:r>
      <w:r w:rsidRPr="000977F7">
        <w:rPr>
          <w:rFonts w:asciiTheme="majorHAnsi" w:hAnsiTheme="majorHAnsi"/>
          <w:spacing w:val="1"/>
          <w:sz w:val="20"/>
          <w:szCs w:val="20"/>
        </w:rPr>
        <w:t xml:space="preserve"> </w:t>
      </w:r>
      <w:r w:rsidRPr="000977F7">
        <w:rPr>
          <w:rFonts w:asciiTheme="majorHAnsi" w:hAnsiTheme="majorHAnsi"/>
          <w:sz w:val="20"/>
          <w:szCs w:val="20"/>
        </w:rPr>
        <w:t>склад,</w:t>
      </w:r>
      <w:r w:rsidRPr="000977F7">
        <w:rPr>
          <w:rFonts w:asciiTheme="majorHAnsi" w:hAnsiTheme="majorHAnsi"/>
          <w:spacing w:val="1"/>
          <w:sz w:val="20"/>
          <w:szCs w:val="20"/>
        </w:rPr>
        <w:t xml:space="preserve"> </w:t>
      </w:r>
      <w:r w:rsidRPr="000977F7">
        <w:rPr>
          <w:rFonts w:asciiTheme="majorHAnsi" w:hAnsiTheme="majorHAnsi"/>
          <w:sz w:val="20"/>
          <w:szCs w:val="20"/>
        </w:rPr>
        <w:t>конструкція,</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також розташування устаткування дає змогу швидко</w:t>
      </w:r>
      <w:r w:rsidRPr="000977F7">
        <w:rPr>
          <w:rFonts w:asciiTheme="majorHAnsi" w:hAnsiTheme="majorHAnsi"/>
          <w:spacing w:val="1"/>
          <w:sz w:val="20"/>
          <w:szCs w:val="20"/>
        </w:rPr>
        <w:t xml:space="preserve"> </w:t>
      </w:r>
      <w:r w:rsidRPr="000977F7">
        <w:rPr>
          <w:rFonts w:asciiTheme="majorHAnsi" w:hAnsiTheme="majorHAnsi"/>
          <w:sz w:val="20"/>
          <w:szCs w:val="20"/>
        </w:rPr>
        <w:t>перебудовуватися на випуск різних типорозмірів, виконань</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видів</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20B6097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294CDC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ГОЛОВНА ОРГАНІЗАЦІЯ ДЕРЖАВНИХ </w:t>
      </w:r>
    </w:p>
    <w:p w14:paraId="21A6243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w:t>
      </w:r>
      <w:r w:rsidRPr="000977F7">
        <w:rPr>
          <w:color w:val="auto"/>
          <w:spacing w:val="-47"/>
          <w:sz w:val="20"/>
          <w:szCs w:val="20"/>
        </w:rPr>
        <w:t xml:space="preserve"> </w:t>
      </w:r>
      <w:r w:rsidRPr="000977F7">
        <w:rPr>
          <w:color w:val="auto"/>
          <w:sz w:val="20"/>
          <w:szCs w:val="20"/>
        </w:rPr>
        <w:t>ПРОБУВАНЬ</w:t>
      </w:r>
      <w:r w:rsidRPr="000977F7">
        <w:rPr>
          <w:color w:val="auto"/>
          <w:spacing w:val="-1"/>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7DC7B67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HEAD</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ORGANIZATION</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FOR</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STATE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PRODUCT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71B08A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затверджена</w:t>
      </w:r>
      <w:r w:rsidRPr="000977F7">
        <w:rPr>
          <w:rFonts w:asciiTheme="majorHAnsi" w:hAnsiTheme="majorHAnsi"/>
          <w:spacing w:val="1"/>
          <w:sz w:val="20"/>
          <w:szCs w:val="20"/>
        </w:rPr>
        <w:t xml:space="preserve"> </w:t>
      </w:r>
      <w:r w:rsidRPr="000977F7">
        <w:rPr>
          <w:rFonts w:asciiTheme="majorHAnsi" w:hAnsiTheme="majorHAnsi"/>
          <w:sz w:val="20"/>
          <w:szCs w:val="20"/>
        </w:rPr>
        <w:t>в установленому</w:t>
      </w:r>
      <w:r w:rsidRPr="000977F7">
        <w:rPr>
          <w:rFonts w:asciiTheme="majorHAnsi" w:hAnsiTheme="majorHAnsi"/>
          <w:spacing w:val="1"/>
          <w:sz w:val="20"/>
          <w:szCs w:val="20"/>
        </w:rPr>
        <w:t xml:space="preserve"> </w:t>
      </w:r>
      <w:r w:rsidRPr="000977F7">
        <w:rPr>
          <w:rFonts w:asciiTheme="majorHAnsi" w:hAnsiTheme="majorHAnsi"/>
          <w:sz w:val="20"/>
          <w:szCs w:val="20"/>
        </w:rPr>
        <w:t>порядку</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державному</w:t>
      </w:r>
      <w:r w:rsidRPr="000977F7">
        <w:rPr>
          <w:rFonts w:asciiTheme="majorHAnsi" w:hAnsiTheme="majorHAnsi"/>
          <w:spacing w:val="1"/>
          <w:sz w:val="20"/>
          <w:szCs w:val="20"/>
        </w:rPr>
        <w:t xml:space="preserve"> </w:t>
      </w:r>
      <w:r w:rsidRPr="000977F7">
        <w:rPr>
          <w:rFonts w:asciiTheme="majorHAnsi" w:hAnsiTheme="majorHAnsi"/>
          <w:sz w:val="20"/>
          <w:szCs w:val="20"/>
        </w:rPr>
        <w:t>рівні</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1"/>
          <w:sz w:val="20"/>
          <w:szCs w:val="20"/>
        </w:rPr>
        <w:t xml:space="preserve"> </w:t>
      </w:r>
      <w:r w:rsidRPr="000977F7">
        <w:rPr>
          <w:rFonts w:asciiTheme="majorHAnsi" w:hAnsiTheme="majorHAnsi"/>
          <w:sz w:val="20"/>
          <w:szCs w:val="20"/>
        </w:rPr>
        <w:t>установлених найважливіших видів продукції виробничо-технічного та культурно-побутового призначення</w:t>
      </w:r>
    </w:p>
    <w:p w14:paraId="1CBDB65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3509658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ГОЛОВНИЙ</w:t>
      </w:r>
      <w:r w:rsidRPr="000977F7">
        <w:rPr>
          <w:color w:val="auto"/>
          <w:spacing w:val="-2"/>
          <w:sz w:val="20"/>
          <w:szCs w:val="20"/>
        </w:rPr>
        <w:t xml:space="preserve"> </w:t>
      </w:r>
      <w:r w:rsidRPr="000977F7">
        <w:rPr>
          <w:color w:val="auto"/>
          <w:sz w:val="20"/>
          <w:szCs w:val="20"/>
        </w:rPr>
        <w:t>ЗРАЗОК</w:t>
      </w:r>
      <w:r w:rsidRPr="000977F7">
        <w:rPr>
          <w:color w:val="auto"/>
          <w:spacing w:val="-3"/>
          <w:sz w:val="20"/>
          <w:szCs w:val="20"/>
        </w:rPr>
        <w:t xml:space="preserve"> </w:t>
      </w:r>
      <w:r w:rsidRPr="000977F7">
        <w:rPr>
          <w:color w:val="auto"/>
          <w:sz w:val="20"/>
          <w:szCs w:val="20"/>
        </w:rPr>
        <w:t>–</w:t>
      </w:r>
    </w:p>
    <w:p w14:paraId="4489974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Перший екземпляр чи примірник виробу , виготовлений за новорозробленою документацією для використання його як за призначенням, так і для одночасного</w:t>
      </w:r>
      <w:r w:rsidRPr="000977F7">
        <w:rPr>
          <w:rFonts w:asciiTheme="majorHAnsi" w:hAnsiTheme="majorHAnsi"/>
          <w:spacing w:val="1"/>
          <w:sz w:val="20"/>
          <w:szCs w:val="20"/>
        </w:rPr>
        <w:t xml:space="preserve"> </w:t>
      </w:r>
      <w:r w:rsidRPr="000977F7">
        <w:rPr>
          <w:rFonts w:asciiTheme="majorHAnsi" w:hAnsiTheme="majorHAnsi"/>
          <w:sz w:val="20"/>
          <w:szCs w:val="20"/>
        </w:rPr>
        <w:t>опрацювання конструкції та технічної документації з</w:t>
      </w:r>
      <w:r w:rsidRPr="000977F7">
        <w:rPr>
          <w:rFonts w:asciiTheme="majorHAnsi" w:hAnsiTheme="majorHAnsi"/>
          <w:spacing w:val="1"/>
          <w:sz w:val="20"/>
          <w:szCs w:val="20"/>
        </w:rPr>
        <w:t xml:space="preserve"> </w:t>
      </w:r>
      <w:r w:rsidRPr="000977F7">
        <w:rPr>
          <w:rFonts w:asciiTheme="majorHAnsi" w:hAnsiTheme="majorHAnsi"/>
          <w:sz w:val="20"/>
          <w:szCs w:val="20"/>
        </w:rPr>
        <w:t>метою поліпшення виробництва та експлуатації решти</w:t>
      </w:r>
      <w:r w:rsidRPr="000977F7">
        <w:rPr>
          <w:rFonts w:asciiTheme="majorHAnsi" w:hAnsiTheme="majorHAnsi"/>
          <w:spacing w:val="-2"/>
          <w:sz w:val="20"/>
          <w:szCs w:val="20"/>
        </w:rPr>
        <w:t xml:space="preserve"> </w:t>
      </w:r>
      <w:r w:rsidRPr="000977F7">
        <w:rPr>
          <w:rFonts w:asciiTheme="majorHAnsi" w:hAnsiTheme="majorHAnsi"/>
          <w:sz w:val="20"/>
          <w:szCs w:val="20"/>
        </w:rPr>
        <w:t>екземплярів</w:t>
      </w:r>
      <w:r w:rsidRPr="000977F7">
        <w:rPr>
          <w:rFonts w:asciiTheme="majorHAnsi" w:hAnsiTheme="majorHAnsi"/>
          <w:spacing w:val="-1"/>
          <w:sz w:val="20"/>
          <w:szCs w:val="20"/>
        </w:rPr>
        <w:t xml:space="preserve"> </w:t>
      </w:r>
      <w:r w:rsidRPr="000977F7">
        <w:rPr>
          <w:rFonts w:asciiTheme="majorHAnsi" w:hAnsiTheme="majorHAnsi"/>
          <w:sz w:val="20"/>
          <w:szCs w:val="20"/>
        </w:rPr>
        <w:t>цієї</w:t>
      </w:r>
      <w:r w:rsidRPr="000977F7">
        <w:rPr>
          <w:rFonts w:asciiTheme="majorHAnsi" w:hAnsiTheme="majorHAnsi"/>
          <w:spacing w:val="2"/>
          <w:sz w:val="20"/>
          <w:szCs w:val="20"/>
        </w:rPr>
        <w:t xml:space="preserve"> </w:t>
      </w:r>
      <w:r w:rsidRPr="000977F7">
        <w:rPr>
          <w:rFonts w:asciiTheme="majorHAnsi" w:hAnsiTheme="majorHAnsi"/>
          <w:sz w:val="20"/>
          <w:szCs w:val="20"/>
        </w:rPr>
        <w:t>партії</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серії</w:t>
      </w:r>
    </w:p>
    <w:p w14:paraId="6D7E774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27B3E1B9" w14:textId="77777777" w:rsidR="0097612F" w:rsidRPr="000977F7" w:rsidRDefault="0097612F" w:rsidP="00FD39A4">
      <w:pPr>
        <w:pStyle w:val="ac"/>
        <w:widowControl w:val="0"/>
        <w:numPr>
          <w:ilvl w:val="1"/>
          <w:numId w:val="189"/>
        </w:numPr>
        <w:tabs>
          <w:tab w:val="left" w:pos="284"/>
          <w:tab w:val="left" w:pos="800"/>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Головний</w:t>
      </w:r>
      <w:r w:rsidRPr="000977F7">
        <w:rPr>
          <w:rFonts w:asciiTheme="majorHAnsi" w:hAnsiTheme="majorHAnsi"/>
          <w:spacing w:val="9"/>
          <w:sz w:val="20"/>
          <w:szCs w:val="20"/>
        </w:rPr>
        <w:t xml:space="preserve"> </w:t>
      </w:r>
      <w:r w:rsidRPr="000977F7">
        <w:rPr>
          <w:rFonts w:asciiTheme="majorHAnsi" w:hAnsiTheme="majorHAnsi"/>
          <w:sz w:val="20"/>
          <w:szCs w:val="20"/>
        </w:rPr>
        <w:t>зразок</w:t>
      </w:r>
      <w:r w:rsidRPr="000977F7">
        <w:rPr>
          <w:rFonts w:asciiTheme="majorHAnsi" w:hAnsiTheme="majorHAnsi"/>
          <w:spacing w:val="10"/>
          <w:sz w:val="20"/>
          <w:szCs w:val="20"/>
        </w:rPr>
        <w:t xml:space="preserve"> </w:t>
      </w:r>
      <w:r w:rsidRPr="000977F7">
        <w:rPr>
          <w:rFonts w:asciiTheme="majorHAnsi" w:hAnsiTheme="majorHAnsi"/>
          <w:sz w:val="20"/>
          <w:szCs w:val="20"/>
        </w:rPr>
        <w:t>виготовляють</w:t>
      </w:r>
      <w:r w:rsidRPr="000977F7">
        <w:rPr>
          <w:rFonts w:asciiTheme="majorHAnsi" w:hAnsiTheme="majorHAnsi"/>
          <w:spacing w:val="10"/>
          <w:sz w:val="20"/>
          <w:szCs w:val="20"/>
        </w:rPr>
        <w:t xml:space="preserve"> </w:t>
      </w:r>
      <w:r w:rsidRPr="000977F7">
        <w:rPr>
          <w:rFonts w:asciiTheme="majorHAnsi" w:hAnsiTheme="majorHAnsi"/>
          <w:sz w:val="20"/>
          <w:szCs w:val="20"/>
        </w:rPr>
        <w:t>тоді,</w:t>
      </w:r>
      <w:r w:rsidRPr="000977F7">
        <w:rPr>
          <w:rFonts w:asciiTheme="majorHAnsi" w:hAnsiTheme="majorHAnsi"/>
          <w:spacing w:val="13"/>
          <w:sz w:val="20"/>
          <w:szCs w:val="20"/>
        </w:rPr>
        <w:t xml:space="preserve"> </w:t>
      </w:r>
      <w:r w:rsidRPr="000977F7">
        <w:rPr>
          <w:rFonts w:asciiTheme="majorHAnsi" w:hAnsiTheme="majorHAnsi"/>
          <w:sz w:val="20"/>
          <w:szCs w:val="20"/>
        </w:rPr>
        <w:t>коли</w:t>
      </w:r>
      <w:r w:rsidRPr="000977F7">
        <w:rPr>
          <w:rFonts w:asciiTheme="majorHAnsi" w:hAnsiTheme="majorHAnsi"/>
          <w:spacing w:val="12"/>
          <w:sz w:val="20"/>
          <w:szCs w:val="20"/>
        </w:rPr>
        <w:t xml:space="preserve"> </w:t>
      </w:r>
      <w:r w:rsidRPr="000977F7">
        <w:rPr>
          <w:rFonts w:asciiTheme="majorHAnsi" w:hAnsiTheme="majorHAnsi"/>
          <w:sz w:val="20"/>
          <w:szCs w:val="20"/>
        </w:rPr>
        <w:t>виготовлення дослідного зразка</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4"/>
          <w:sz w:val="20"/>
          <w:szCs w:val="20"/>
        </w:rPr>
        <w:t xml:space="preserve"> </w:t>
      </w:r>
      <w:r w:rsidRPr="000977F7">
        <w:rPr>
          <w:rFonts w:asciiTheme="majorHAnsi" w:hAnsiTheme="majorHAnsi"/>
          <w:sz w:val="20"/>
          <w:szCs w:val="20"/>
        </w:rPr>
        <w:t>передбачено</w:t>
      </w:r>
    </w:p>
    <w:p w14:paraId="3AE74FBF" w14:textId="77777777" w:rsidR="0097612F" w:rsidRPr="000977F7" w:rsidRDefault="0097612F" w:rsidP="00FD39A4">
      <w:pPr>
        <w:pStyle w:val="ac"/>
        <w:widowControl w:val="0"/>
        <w:numPr>
          <w:ilvl w:val="1"/>
          <w:numId w:val="189"/>
        </w:numPr>
        <w:tabs>
          <w:tab w:val="left" w:pos="284"/>
          <w:tab w:val="left" w:pos="799"/>
          <w:tab w:val="left" w:pos="80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Головних</w:t>
      </w:r>
      <w:r w:rsidRPr="000977F7">
        <w:rPr>
          <w:rFonts w:asciiTheme="majorHAnsi" w:hAnsiTheme="majorHAnsi"/>
          <w:spacing w:val="14"/>
          <w:sz w:val="20"/>
          <w:szCs w:val="20"/>
        </w:rPr>
        <w:t xml:space="preserve"> </w:t>
      </w:r>
      <w:r w:rsidRPr="000977F7">
        <w:rPr>
          <w:rFonts w:asciiTheme="majorHAnsi" w:hAnsiTheme="majorHAnsi"/>
          <w:sz w:val="20"/>
          <w:szCs w:val="20"/>
        </w:rPr>
        <w:t>зразків</w:t>
      </w:r>
      <w:r w:rsidRPr="000977F7">
        <w:rPr>
          <w:rFonts w:asciiTheme="majorHAnsi" w:hAnsiTheme="majorHAnsi"/>
          <w:spacing w:val="18"/>
          <w:sz w:val="20"/>
          <w:szCs w:val="20"/>
        </w:rPr>
        <w:t xml:space="preserve"> </w:t>
      </w:r>
      <w:r w:rsidRPr="000977F7">
        <w:rPr>
          <w:rFonts w:asciiTheme="majorHAnsi" w:hAnsiTheme="majorHAnsi"/>
          <w:sz w:val="20"/>
          <w:szCs w:val="20"/>
        </w:rPr>
        <w:t>у</w:t>
      </w:r>
      <w:r w:rsidRPr="000977F7">
        <w:rPr>
          <w:rFonts w:asciiTheme="majorHAnsi" w:hAnsiTheme="majorHAnsi"/>
          <w:spacing w:val="15"/>
          <w:sz w:val="20"/>
          <w:szCs w:val="20"/>
        </w:rPr>
        <w:t xml:space="preserve"> </w:t>
      </w:r>
      <w:r w:rsidRPr="000977F7">
        <w:rPr>
          <w:rFonts w:asciiTheme="majorHAnsi" w:hAnsiTheme="majorHAnsi"/>
          <w:sz w:val="20"/>
          <w:szCs w:val="20"/>
        </w:rPr>
        <w:t>процесі</w:t>
      </w:r>
      <w:r w:rsidRPr="000977F7">
        <w:rPr>
          <w:rFonts w:asciiTheme="majorHAnsi" w:hAnsiTheme="majorHAnsi"/>
          <w:spacing w:val="16"/>
          <w:sz w:val="20"/>
          <w:szCs w:val="20"/>
        </w:rPr>
        <w:t xml:space="preserve"> </w:t>
      </w:r>
      <w:r w:rsidRPr="000977F7">
        <w:rPr>
          <w:rFonts w:asciiTheme="majorHAnsi" w:hAnsiTheme="majorHAnsi"/>
          <w:sz w:val="20"/>
          <w:szCs w:val="20"/>
        </w:rPr>
        <w:t>створення</w:t>
      </w:r>
      <w:r w:rsidRPr="000977F7">
        <w:rPr>
          <w:rFonts w:asciiTheme="majorHAnsi" w:hAnsiTheme="majorHAnsi"/>
          <w:spacing w:val="17"/>
          <w:sz w:val="20"/>
          <w:szCs w:val="20"/>
        </w:rPr>
        <w:t xml:space="preserve"> </w:t>
      </w:r>
      <w:r w:rsidRPr="000977F7">
        <w:rPr>
          <w:rFonts w:asciiTheme="majorHAnsi" w:hAnsiTheme="majorHAnsi"/>
          <w:sz w:val="20"/>
          <w:szCs w:val="20"/>
        </w:rPr>
        <w:t>конкретної</w:t>
      </w:r>
      <w:r w:rsidRPr="000977F7">
        <w:rPr>
          <w:rFonts w:asciiTheme="majorHAnsi" w:hAnsiTheme="majorHAnsi"/>
          <w:spacing w:val="-47"/>
          <w:sz w:val="20"/>
          <w:szCs w:val="20"/>
        </w:rPr>
        <w:t xml:space="preserve"> </w:t>
      </w:r>
      <w:r w:rsidRPr="000977F7">
        <w:rPr>
          <w:rFonts w:asciiTheme="majorHAnsi" w:hAnsiTheme="majorHAnsi"/>
          <w:sz w:val="20"/>
          <w:szCs w:val="20"/>
        </w:rPr>
        <w:t>продукції</w:t>
      </w:r>
      <w:r w:rsidRPr="000977F7">
        <w:rPr>
          <w:rFonts w:asciiTheme="majorHAnsi" w:hAnsiTheme="majorHAnsi"/>
          <w:spacing w:val="-2"/>
          <w:sz w:val="20"/>
          <w:szCs w:val="20"/>
        </w:rPr>
        <w:t xml:space="preserve"> </w:t>
      </w:r>
      <w:r w:rsidRPr="000977F7">
        <w:rPr>
          <w:rFonts w:asciiTheme="majorHAnsi" w:hAnsiTheme="majorHAnsi"/>
          <w:sz w:val="20"/>
          <w:szCs w:val="20"/>
        </w:rPr>
        <w:t>може бути</w:t>
      </w:r>
      <w:r w:rsidRPr="000977F7">
        <w:rPr>
          <w:rFonts w:asciiTheme="majorHAnsi" w:hAnsiTheme="majorHAnsi"/>
          <w:spacing w:val="-1"/>
          <w:sz w:val="20"/>
          <w:szCs w:val="20"/>
        </w:rPr>
        <w:t xml:space="preserve"> </w:t>
      </w:r>
      <w:r w:rsidRPr="000977F7">
        <w:rPr>
          <w:rFonts w:asciiTheme="majorHAnsi" w:hAnsiTheme="majorHAnsi"/>
          <w:sz w:val="20"/>
          <w:szCs w:val="20"/>
        </w:rPr>
        <w:t>декілька</w:t>
      </w:r>
    </w:p>
    <w:p w14:paraId="56EB2E8C" w14:textId="77777777" w:rsidR="0097612F" w:rsidRPr="000977F7" w:rsidRDefault="0097612F" w:rsidP="000977F7">
      <w:pPr>
        <w:pStyle w:val="af6"/>
        <w:tabs>
          <w:tab w:val="left" w:pos="284"/>
          <w:tab w:val="left" w:pos="800"/>
        </w:tabs>
        <w:spacing w:after="0"/>
        <w:ind w:left="170"/>
        <w:mirrorIndents/>
        <w:jc w:val="both"/>
        <w:rPr>
          <w:rFonts w:asciiTheme="majorHAnsi" w:hAnsiTheme="majorHAnsi"/>
          <w:sz w:val="20"/>
          <w:szCs w:val="20"/>
        </w:rPr>
      </w:pPr>
      <w:r w:rsidRPr="000977F7">
        <w:rPr>
          <w:rFonts w:asciiTheme="majorHAnsi" w:hAnsiTheme="majorHAnsi"/>
          <w:sz w:val="20"/>
          <w:szCs w:val="20"/>
        </w:rPr>
        <w:t>2.</w:t>
      </w:r>
      <w:r w:rsidRPr="000977F7">
        <w:rPr>
          <w:rFonts w:asciiTheme="majorHAnsi" w:hAnsiTheme="majorHAnsi"/>
          <w:sz w:val="20"/>
          <w:szCs w:val="20"/>
        </w:rPr>
        <w:tab/>
        <w:t>Головний</w:t>
      </w:r>
      <w:r w:rsidRPr="000977F7">
        <w:rPr>
          <w:rFonts w:asciiTheme="majorHAnsi" w:hAnsiTheme="majorHAnsi"/>
          <w:spacing w:val="18"/>
          <w:sz w:val="20"/>
          <w:szCs w:val="20"/>
        </w:rPr>
        <w:t xml:space="preserve"> </w:t>
      </w:r>
      <w:r w:rsidRPr="000977F7">
        <w:rPr>
          <w:rFonts w:asciiTheme="majorHAnsi" w:hAnsiTheme="majorHAnsi"/>
          <w:sz w:val="20"/>
          <w:szCs w:val="20"/>
        </w:rPr>
        <w:t>зразок</w:t>
      </w:r>
      <w:r w:rsidRPr="000977F7">
        <w:rPr>
          <w:rFonts w:asciiTheme="majorHAnsi" w:hAnsiTheme="majorHAnsi"/>
          <w:spacing w:val="21"/>
          <w:sz w:val="20"/>
          <w:szCs w:val="20"/>
        </w:rPr>
        <w:t xml:space="preserve"> </w:t>
      </w:r>
      <w:r w:rsidRPr="000977F7">
        <w:rPr>
          <w:rFonts w:asciiTheme="majorHAnsi" w:hAnsiTheme="majorHAnsi"/>
          <w:sz w:val="20"/>
          <w:szCs w:val="20"/>
        </w:rPr>
        <w:t>після</w:t>
      </w:r>
      <w:r w:rsidRPr="000977F7">
        <w:rPr>
          <w:rFonts w:asciiTheme="majorHAnsi" w:hAnsiTheme="majorHAnsi"/>
          <w:spacing w:val="19"/>
          <w:sz w:val="20"/>
          <w:szCs w:val="20"/>
        </w:rPr>
        <w:t xml:space="preserve"> </w:t>
      </w:r>
      <w:r w:rsidRPr="000977F7">
        <w:rPr>
          <w:rFonts w:asciiTheme="majorHAnsi" w:hAnsiTheme="majorHAnsi"/>
          <w:sz w:val="20"/>
          <w:szCs w:val="20"/>
        </w:rPr>
        <w:t>необхідних</w:t>
      </w:r>
      <w:r w:rsidRPr="000977F7">
        <w:rPr>
          <w:rFonts w:asciiTheme="majorHAnsi" w:hAnsiTheme="majorHAnsi"/>
          <w:spacing w:val="18"/>
          <w:sz w:val="20"/>
          <w:szCs w:val="20"/>
        </w:rPr>
        <w:t xml:space="preserve"> </w:t>
      </w:r>
      <w:r w:rsidRPr="000977F7">
        <w:rPr>
          <w:rFonts w:asciiTheme="majorHAnsi" w:hAnsiTheme="majorHAnsi"/>
          <w:sz w:val="20"/>
          <w:szCs w:val="20"/>
        </w:rPr>
        <w:t>доопрацювань</w:t>
      </w:r>
      <w:r w:rsidRPr="000977F7">
        <w:rPr>
          <w:rFonts w:asciiTheme="majorHAnsi" w:hAnsiTheme="majorHAnsi"/>
          <w:spacing w:val="-47"/>
          <w:sz w:val="20"/>
          <w:szCs w:val="20"/>
        </w:rPr>
        <w:t xml:space="preserve"> </w:t>
      </w:r>
      <w:r w:rsidRPr="000977F7">
        <w:rPr>
          <w:rFonts w:asciiTheme="majorHAnsi" w:hAnsiTheme="majorHAnsi"/>
          <w:sz w:val="20"/>
          <w:szCs w:val="20"/>
        </w:rPr>
        <w:t>може</w:t>
      </w:r>
      <w:r w:rsidRPr="000977F7">
        <w:rPr>
          <w:rFonts w:asciiTheme="majorHAnsi" w:hAnsiTheme="majorHAnsi"/>
          <w:spacing w:val="-3"/>
          <w:sz w:val="20"/>
          <w:szCs w:val="20"/>
        </w:rPr>
        <w:t xml:space="preserve"> </w:t>
      </w:r>
      <w:r w:rsidRPr="000977F7">
        <w:rPr>
          <w:rFonts w:asciiTheme="majorHAnsi" w:hAnsiTheme="majorHAnsi"/>
          <w:sz w:val="20"/>
          <w:szCs w:val="20"/>
        </w:rPr>
        <w:t>бути</w:t>
      </w:r>
      <w:r w:rsidRPr="000977F7">
        <w:rPr>
          <w:rFonts w:asciiTheme="majorHAnsi" w:hAnsiTheme="majorHAnsi"/>
          <w:spacing w:val="-3"/>
          <w:sz w:val="20"/>
          <w:szCs w:val="20"/>
        </w:rPr>
        <w:t xml:space="preserve"> </w:t>
      </w:r>
      <w:r w:rsidRPr="000977F7">
        <w:rPr>
          <w:rFonts w:asciiTheme="majorHAnsi" w:hAnsiTheme="majorHAnsi"/>
          <w:sz w:val="20"/>
          <w:szCs w:val="20"/>
        </w:rPr>
        <w:t>відісланий</w:t>
      </w:r>
      <w:r w:rsidRPr="000977F7">
        <w:rPr>
          <w:rFonts w:asciiTheme="majorHAnsi" w:hAnsiTheme="majorHAnsi"/>
          <w:spacing w:val="-3"/>
          <w:sz w:val="20"/>
          <w:szCs w:val="20"/>
        </w:rPr>
        <w:t xml:space="preserve"> </w:t>
      </w:r>
      <w:r w:rsidRPr="000977F7">
        <w:rPr>
          <w:rFonts w:asciiTheme="majorHAnsi" w:hAnsiTheme="majorHAnsi"/>
          <w:sz w:val="20"/>
          <w:szCs w:val="20"/>
        </w:rPr>
        <w:t>замовникові</w:t>
      </w:r>
      <w:r w:rsidRPr="000977F7">
        <w:rPr>
          <w:rFonts w:asciiTheme="majorHAnsi" w:hAnsiTheme="majorHAnsi"/>
          <w:spacing w:val="-3"/>
          <w:sz w:val="20"/>
          <w:szCs w:val="20"/>
        </w:rPr>
        <w:t xml:space="preserve"> </w:t>
      </w:r>
      <w:r w:rsidRPr="000977F7">
        <w:rPr>
          <w:rFonts w:asciiTheme="majorHAnsi" w:hAnsiTheme="majorHAnsi"/>
          <w:sz w:val="20"/>
          <w:szCs w:val="20"/>
        </w:rPr>
        <w:t>(споживачеві)</w:t>
      </w:r>
    </w:p>
    <w:p w14:paraId="17659AB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FEDEB0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ГОСПОДАРСЬКИЙ</w:t>
      </w:r>
      <w:r w:rsidRPr="000977F7">
        <w:rPr>
          <w:color w:val="auto"/>
          <w:spacing w:val="-4"/>
          <w:sz w:val="20"/>
          <w:szCs w:val="20"/>
        </w:rPr>
        <w:t xml:space="preserve"> </w:t>
      </w:r>
      <w:r w:rsidRPr="000977F7">
        <w:rPr>
          <w:color w:val="auto"/>
          <w:sz w:val="20"/>
          <w:szCs w:val="20"/>
        </w:rPr>
        <w:t>ДОГОВІР</w:t>
      </w:r>
      <w:r w:rsidRPr="000977F7">
        <w:rPr>
          <w:color w:val="auto"/>
          <w:spacing w:val="-2"/>
          <w:sz w:val="20"/>
          <w:szCs w:val="20"/>
        </w:rPr>
        <w:t xml:space="preserve"> </w:t>
      </w:r>
      <w:r w:rsidRPr="000977F7">
        <w:rPr>
          <w:color w:val="auto"/>
          <w:sz w:val="20"/>
          <w:szCs w:val="20"/>
        </w:rPr>
        <w:t>–</w:t>
      </w:r>
    </w:p>
    <w:p w14:paraId="555E1F0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Угода</w:t>
      </w:r>
      <w:r w:rsidRPr="000977F7">
        <w:rPr>
          <w:rFonts w:asciiTheme="majorHAnsi" w:hAnsiTheme="majorHAnsi"/>
          <w:spacing w:val="1"/>
          <w:sz w:val="20"/>
          <w:szCs w:val="20"/>
        </w:rPr>
        <w:t xml:space="preserve"> </w:t>
      </w:r>
      <w:r w:rsidRPr="000977F7">
        <w:rPr>
          <w:rFonts w:asciiTheme="majorHAnsi" w:hAnsiTheme="majorHAnsi"/>
          <w:sz w:val="20"/>
          <w:szCs w:val="20"/>
        </w:rPr>
        <w:t>між</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підприємствами,</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опосередковує</w:t>
      </w:r>
      <w:r w:rsidRPr="000977F7">
        <w:rPr>
          <w:rFonts w:asciiTheme="majorHAnsi" w:hAnsiTheme="majorHAnsi"/>
          <w:spacing w:val="1"/>
          <w:sz w:val="20"/>
          <w:szCs w:val="20"/>
        </w:rPr>
        <w:t xml:space="preserve"> </w:t>
      </w:r>
      <w:r w:rsidRPr="000977F7">
        <w:rPr>
          <w:rFonts w:asciiTheme="majorHAnsi" w:hAnsiTheme="majorHAnsi"/>
          <w:sz w:val="20"/>
          <w:szCs w:val="20"/>
        </w:rPr>
        <w:t>їхні</w:t>
      </w:r>
      <w:r w:rsidRPr="000977F7">
        <w:rPr>
          <w:rFonts w:asciiTheme="majorHAnsi" w:hAnsiTheme="majorHAnsi"/>
          <w:spacing w:val="1"/>
          <w:sz w:val="20"/>
          <w:szCs w:val="20"/>
        </w:rPr>
        <w:t xml:space="preserve"> </w:t>
      </w:r>
      <w:r w:rsidRPr="000977F7">
        <w:rPr>
          <w:rFonts w:asciiTheme="majorHAnsi" w:hAnsiTheme="majorHAnsi"/>
          <w:sz w:val="20"/>
          <w:szCs w:val="20"/>
        </w:rPr>
        <w:t>взаємовідносини</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сфері</w:t>
      </w:r>
      <w:r w:rsidRPr="000977F7">
        <w:rPr>
          <w:rFonts w:asciiTheme="majorHAnsi" w:hAnsiTheme="majorHAnsi"/>
          <w:spacing w:val="1"/>
          <w:sz w:val="20"/>
          <w:szCs w:val="20"/>
        </w:rPr>
        <w:t xml:space="preserve"> </w:t>
      </w:r>
      <w:r w:rsidRPr="000977F7">
        <w:rPr>
          <w:rFonts w:asciiTheme="majorHAnsi" w:hAnsiTheme="majorHAnsi"/>
          <w:sz w:val="20"/>
          <w:szCs w:val="20"/>
        </w:rPr>
        <w:t>господарської</w:t>
      </w:r>
      <w:r w:rsidRPr="000977F7">
        <w:rPr>
          <w:rFonts w:asciiTheme="majorHAnsi" w:hAnsiTheme="majorHAnsi"/>
          <w:spacing w:val="1"/>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1"/>
          <w:sz w:val="20"/>
          <w:szCs w:val="20"/>
        </w:rPr>
        <w:t xml:space="preserve"> </w:t>
      </w:r>
      <w:r w:rsidRPr="000977F7">
        <w:rPr>
          <w:rFonts w:asciiTheme="majorHAnsi" w:hAnsiTheme="majorHAnsi"/>
          <w:sz w:val="20"/>
          <w:szCs w:val="20"/>
        </w:rPr>
        <w:t>юридично закріплює їхні економічні зв’язки, спрямовані</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досягнення</w:t>
      </w:r>
      <w:r w:rsidRPr="000977F7">
        <w:rPr>
          <w:rFonts w:asciiTheme="majorHAnsi" w:hAnsiTheme="majorHAnsi"/>
          <w:spacing w:val="-2"/>
          <w:sz w:val="20"/>
          <w:szCs w:val="20"/>
        </w:rPr>
        <w:t xml:space="preserve"> </w:t>
      </w:r>
      <w:r w:rsidRPr="000977F7">
        <w:rPr>
          <w:rFonts w:asciiTheme="majorHAnsi" w:hAnsiTheme="majorHAnsi"/>
          <w:sz w:val="20"/>
          <w:szCs w:val="20"/>
        </w:rPr>
        <w:t>певної</w:t>
      </w:r>
      <w:r w:rsidRPr="000977F7">
        <w:rPr>
          <w:rFonts w:asciiTheme="majorHAnsi" w:hAnsiTheme="majorHAnsi"/>
          <w:spacing w:val="-2"/>
          <w:sz w:val="20"/>
          <w:szCs w:val="20"/>
        </w:rPr>
        <w:t xml:space="preserve"> </w:t>
      </w:r>
      <w:r w:rsidRPr="000977F7">
        <w:rPr>
          <w:rFonts w:asciiTheme="majorHAnsi" w:hAnsiTheme="majorHAnsi"/>
          <w:sz w:val="20"/>
          <w:szCs w:val="20"/>
        </w:rPr>
        <w:t>господарської</w:t>
      </w:r>
      <w:r w:rsidRPr="000977F7">
        <w:rPr>
          <w:rFonts w:asciiTheme="majorHAnsi" w:hAnsiTheme="majorHAnsi"/>
          <w:spacing w:val="-2"/>
          <w:sz w:val="20"/>
          <w:szCs w:val="20"/>
        </w:rPr>
        <w:t xml:space="preserve"> </w:t>
      </w:r>
      <w:r w:rsidRPr="000977F7">
        <w:rPr>
          <w:rFonts w:asciiTheme="majorHAnsi" w:hAnsiTheme="majorHAnsi"/>
          <w:sz w:val="20"/>
          <w:szCs w:val="20"/>
        </w:rPr>
        <w:t>мети</w:t>
      </w:r>
    </w:p>
    <w:p w14:paraId="16D8D47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lastRenderedPageBreak/>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75C98C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ГОРИЗОНТАЛЬНА</w:t>
      </w:r>
      <w:r w:rsidRPr="000977F7">
        <w:rPr>
          <w:color w:val="auto"/>
          <w:spacing w:val="-4"/>
          <w:sz w:val="20"/>
          <w:szCs w:val="20"/>
        </w:rPr>
        <w:t xml:space="preserve"> </w:t>
      </w:r>
      <w:r w:rsidRPr="000977F7">
        <w:rPr>
          <w:color w:val="auto"/>
          <w:sz w:val="20"/>
          <w:szCs w:val="20"/>
        </w:rPr>
        <w:t>РЕВІЗІЯ</w:t>
      </w:r>
      <w:r w:rsidRPr="000977F7">
        <w:rPr>
          <w:color w:val="auto"/>
          <w:spacing w:val="-2"/>
          <w:sz w:val="20"/>
          <w:szCs w:val="20"/>
        </w:rPr>
        <w:t xml:space="preserve"> </w:t>
      </w:r>
      <w:r w:rsidRPr="000977F7">
        <w:rPr>
          <w:color w:val="auto"/>
          <w:sz w:val="20"/>
          <w:szCs w:val="20"/>
        </w:rPr>
        <w:t>–</w:t>
      </w:r>
    </w:p>
    <w:p w14:paraId="565EBE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Перевірка загального функціювання маркетингу організації з особливим натиском</w:t>
      </w:r>
      <w:r w:rsidRPr="000977F7">
        <w:rPr>
          <w:rFonts w:asciiTheme="majorHAnsi" w:hAnsiTheme="majorHAnsi"/>
          <w:spacing w:val="1"/>
          <w:sz w:val="20"/>
          <w:szCs w:val="20"/>
        </w:rPr>
        <w:t xml:space="preserve"> </w:t>
      </w:r>
      <w:r w:rsidRPr="000977F7">
        <w:rPr>
          <w:rFonts w:asciiTheme="majorHAnsi" w:hAnsiTheme="majorHAnsi"/>
          <w:sz w:val="20"/>
          <w:szCs w:val="20"/>
        </w:rPr>
        <w:t>на взаємозв’язок змінних</w:t>
      </w:r>
      <w:r w:rsidRPr="000977F7">
        <w:rPr>
          <w:rFonts w:asciiTheme="majorHAnsi" w:hAnsiTheme="majorHAnsi"/>
          <w:spacing w:val="6"/>
          <w:sz w:val="20"/>
          <w:szCs w:val="20"/>
        </w:rPr>
        <w:t xml:space="preserve"> </w:t>
      </w:r>
      <w:r w:rsidRPr="000977F7">
        <w:rPr>
          <w:rFonts w:asciiTheme="majorHAnsi" w:hAnsiTheme="majorHAnsi"/>
          <w:sz w:val="20"/>
          <w:szCs w:val="20"/>
        </w:rPr>
        <w:t>чинників,</w:t>
      </w:r>
      <w:r w:rsidRPr="000977F7">
        <w:rPr>
          <w:rFonts w:asciiTheme="majorHAnsi" w:hAnsiTheme="majorHAnsi"/>
          <w:spacing w:val="8"/>
          <w:sz w:val="20"/>
          <w:szCs w:val="20"/>
        </w:rPr>
        <w:t xml:space="preserve"> </w:t>
      </w:r>
      <w:r w:rsidRPr="000977F7">
        <w:rPr>
          <w:rFonts w:asciiTheme="majorHAnsi" w:hAnsiTheme="majorHAnsi"/>
          <w:sz w:val="20"/>
          <w:szCs w:val="20"/>
        </w:rPr>
        <w:t>що</w:t>
      </w:r>
      <w:r w:rsidRPr="000977F7">
        <w:rPr>
          <w:rFonts w:asciiTheme="majorHAnsi" w:hAnsiTheme="majorHAnsi"/>
          <w:spacing w:val="11"/>
          <w:sz w:val="20"/>
          <w:szCs w:val="20"/>
        </w:rPr>
        <w:t xml:space="preserve"> </w:t>
      </w:r>
      <w:r w:rsidRPr="000977F7">
        <w:rPr>
          <w:rFonts w:asciiTheme="majorHAnsi" w:hAnsiTheme="majorHAnsi"/>
          <w:sz w:val="20"/>
          <w:szCs w:val="20"/>
        </w:rPr>
        <w:t>впливають</w:t>
      </w:r>
      <w:r w:rsidRPr="000977F7">
        <w:rPr>
          <w:rFonts w:asciiTheme="majorHAnsi" w:hAnsiTheme="majorHAnsi"/>
          <w:spacing w:val="9"/>
          <w:sz w:val="20"/>
          <w:szCs w:val="20"/>
        </w:rPr>
        <w:t xml:space="preserve"> </w:t>
      </w:r>
      <w:r w:rsidRPr="000977F7">
        <w:rPr>
          <w:rFonts w:asciiTheme="majorHAnsi" w:hAnsiTheme="majorHAnsi"/>
          <w:sz w:val="20"/>
          <w:szCs w:val="20"/>
        </w:rPr>
        <w:t>на</w:t>
      </w:r>
      <w:r w:rsidRPr="000977F7">
        <w:rPr>
          <w:rFonts w:asciiTheme="majorHAnsi" w:hAnsiTheme="majorHAnsi"/>
          <w:spacing w:val="10"/>
          <w:sz w:val="20"/>
          <w:szCs w:val="20"/>
        </w:rPr>
        <w:t xml:space="preserve"> </w:t>
      </w:r>
      <w:r w:rsidRPr="000977F7">
        <w:rPr>
          <w:rFonts w:asciiTheme="majorHAnsi" w:hAnsiTheme="majorHAnsi"/>
          <w:sz w:val="20"/>
          <w:szCs w:val="20"/>
        </w:rPr>
        <w:t>діяльність</w:t>
      </w:r>
      <w:r w:rsidRPr="000977F7">
        <w:rPr>
          <w:rFonts w:asciiTheme="majorHAnsi" w:hAnsiTheme="majorHAnsi"/>
          <w:spacing w:val="10"/>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47"/>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відносну</w:t>
      </w:r>
      <w:r w:rsidRPr="000977F7">
        <w:rPr>
          <w:rFonts w:asciiTheme="majorHAnsi" w:hAnsiTheme="majorHAnsi"/>
          <w:spacing w:val="-1"/>
          <w:sz w:val="20"/>
          <w:szCs w:val="20"/>
        </w:rPr>
        <w:t xml:space="preserve"> </w:t>
      </w:r>
      <w:r w:rsidRPr="000977F7">
        <w:rPr>
          <w:rFonts w:asciiTheme="majorHAnsi" w:hAnsiTheme="majorHAnsi"/>
          <w:sz w:val="20"/>
          <w:szCs w:val="20"/>
        </w:rPr>
        <w:t>значущість</w:t>
      </w:r>
    </w:p>
    <w:p w14:paraId="0BC6A4C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3294 – 95</w:t>
      </w:r>
    </w:p>
    <w:p w14:paraId="5EAC58A2"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pacing w:val="-1"/>
          <w:sz w:val="20"/>
          <w:szCs w:val="20"/>
        </w:rPr>
        <w:t xml:space="preserve">ГОТОВНІСТЬ </w:t>
      </w:r>
      <w:r w:rsidRPr="000977F7">
        <w:rPr>
          <w:rFonts w:asciiTheme="majorHAnsi" w:hAnsiTheme="majorHAnsi"/>
          <w:b/>
          <w:sz w:val="20"/>
          <w:szCs w:val="20"/>
        </w:rPr>
        <w:t>–</w:t>
      </w:r>
      <w:r w:rsidRPr="000977F7">
        <w:rPr>
          <w:rFonts w:asciiTheme="majorHAnsi" w:hAnsiTheme="majorHAnsi"/>
          <w:b/>
          <w:spacing w:val="-47"/>
          <w:sz w:val="20"/>
          <w:szCs w:val="20"/>
        </w:rPr>
        <w:t xml:space="preserve"> </w:t>
      </w:r>
    </w:p>
    <w:p w14:paraId="14D11FB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AVAILABILITY-</w:t>
      </w:r>
    </w:p>
    <w:p w14:paraId="35BB43D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 об’єкта бути здатними виконувати потрібні функції в заданих умовах у будь-який час чи протягом заданого інтервалу часу за умови забезпечення</w:t>
      </w:r>
      <w:r w:rsidRPr="000977F7">
        <w:rPr>
          <w:rFonts w:asciiTheme="majorHAnsi" w:hAnsiTheme="majorHAnsi"/>
          <w:spacing w:val="1"/>
          <w:sz w:val="20"/>
          <w:szCs w:val="20"/>
        </w:rPr>
        <w:t xml:space="preserve"> </w:t>
      </w:r>
      <w:r w:rsidRPr="000977F7">
        <w:rPr>
          <w:rFonts w:asciiTheme="majorHAnsi" w:hAnsiTheme="majorHAnsi"/>
          <w:sz w:val="20"/>
          <w:szCs w:val="20"/>
        </w:rPr>
        <w:t>необхідними</w:t>
      </w:r>
      <w:r w:rsidRPr="000977F7">
        <w:rPr>
          <w:rFonts w:asciiTheme="majorHAnsi" w:hAnsiTheme="majorHAnsi"/>
          <w:spacing w:val="-2"/>
          <w:sz w:val="20"/>
          <w:szCs w:val="20"/>
        </w:rPr>
        <w:t xml:space="preserve"> </w:t>
      </w:r>
      <w:r w:rsidRPr="000977F7">
        <w:rPr>
          <w:rFonts w:asciiTheme="majorHAnsi" w:hAnsiTheme="majorHAnsi"/>
          <w:sz w:val="20"/>
          <w:szCs w:val="20"/>
        </w:rPr>
        <w:t>зовнішніми</w:t>
      </w:r>
      <w:r w:rsidRPr="000977F7">
        <w:rPr>
          <w:rFonts w:asciiTheme="majorHAnsi" w:hAnsiTheme="majorHAnsi"/>
          <w:spacing w:val="-1"/>
          <w:sz w:val="20"/>
          <w:szCs w:val="20"/>
        </w:rPr>
        <w:t xml:space="preserve"> </w:t>
      </w:r>
      <w:r w:rsidRPr="000977F7">
        <w:rPr>
          <w:rFonts w:asciiTheme="majorHAnsi" w:hAnsiTheme="majorHAnsi"/>
          <w:sz w:val="20"/>
          <w:szCs w:val="20"/>
        </w:rPr>
        <w:t>ресурсами</w:t>
      </w:r>
    </w:p>
    <w:p w14:paraId="6C257E9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7575721D" w14:textId="77777777" w:rsidR="0097612F" w:rsidRPr="000977F7" w:rsidRDefault="0097612F" w:rsidP="00FD39A4">
      <w:pPr>
        <w:pStyle w:val="ac"/>
        <w:widowControl w:val="0"/>
        <w:numPr>
          <w:ilvl w:val="0"/>
          <w:numId w:val="188"/>
        </w:numPr>
        <w:tabs>
          <w:tab w:val="left" w:pos="284"/>
          <w:tab w:val="left" w:pos="8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Ця властивість залежить від поєднання властивостей</w:t>
      </w:r>
      <w:r w:rsidRPr="000977F7">
        <w:rPr>
          <w:rFonts w:asciiTheme="majorHAnsi" w:hAnsiTheme="majorHAnsi"/>
          <w:spacing w:val="1"/>
          <w:sz w:val="20"/>
          <w:szCs w:val="20"/>
        </w:rPr>
        <w:t xml:space="preserve"> </w:t>
      </w:r>
      <w:r w:rsidRPr="000977F7">
        <w:rPr>
          <w:rFonts w:asciiTheme="majorHAnsi" w:hAnsiTheme="majorHAnsi"/>
          <w:sz w:val="20"/>
          <w:szCs w:val="20"/>
        </w:rPr>
        <w:t>безвідмовності,</w:t>
      </w:r>
      <w:r w:rsidRPr="000977F7">
        <w:rPr>
          <w:rFonts w:asciiTheme="majorHAnsi" w:hAnsiTheme="majorHAnsi"/>
          <w:spacing w:val="1"/>
          <w:sz w:val="20"/>
          <w:szCs w:val="20"/>
        </w:rPr>
        <w:t xml:space="preserve"> </w:t>
      </w:r>
      <w:r w:rsidRPr="000977F7">
        <w:rPr>
          <w:rFonts w:asciiTheme="majorHAnsi" w:hAnsiTheme="majorHAnsi"/>
          <w:sz w:val="20"/>
          <w:szCs w:val="20"/>
        </w:rPr>
        <w:t>ремонтопридатності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3"/>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3"/>
          <w:sz w:val="20"/>
          <w:szCs w:val="20"/>
        </w:rPr>
        <w:t xml:space="preserve"> </w:t>
      </w:r>
      <w:r w:rsidRPr="000977F7">
        <w:rPr>
          <w:rFonts w:asciiTheme="majorHAnsi" w:hAnsiTheme="majorHAnsi"/>
          <w:sz w:val="20"/>
          <w:szCs w:val="20"/>
        </w:rPr>
        <w:t>обслуговування</w:t>
      </w:r>
      <w:r w:rsidRPr="000977F7">
        <w:rPr>
          <w:rFonts w:asciiTheme="majorHAnsi" w:hAnsiTheme="majorHAnsi"/>
          <w:spacing w:val="-5"/>
          <w:sz w:val="20"/>
          <w:szCs w:val="20"/>
        </w:rPr>
        <w:t xml:space="preserve"> </w:t>
      </w:r>
      <w:r w:rsidRPr="000977F7">
        <w:rPr>
          <w:rFonts w:asciiTheme="majorHAnsi" w:hAnsiTheme="majorHAnsi"/>
          <w:sz w:val="20"/>
          <w:szCs w:val="20"/>
        </w:rPr>
        <w:t>і</w:t>
      </w:r>
      <w:r w:rsidRPr="000977F7">
        <w:rPr>
          <w:rFonts w:asciiTheme="majorHAnsi" w:hAnsiTheme="majorHAnsi"/>
          <w:spacing w:val="-4"/>
          <w:sz w:val="20"/>
          <w:szCs w:val="20"/>
        </w:rPr>
        <w:t xml:space="preserve"> </w:t>
      </w:r>
      <w:r w:rsidRPr="000977F7">
        <w:rPr>
          <w:rFonts w:asciiTheme="majorHAnsi" w:hAnsiTheme="majorHAnsi"/>
          <w:sz w:val="20"/>
          <w:szCs w:val="20"/>
        </w:rPr>
        <w:t>ремонту</w:t>
      </w:r>
    </w:p>
    <w:p w14:paraId="35A7C30A" w14:textId="77777777" w:rsidR="0097612F" w:rsidRPr="000977F7" w:rsidRDefault="0097612F" w:rsidP="00FD39A4">
      <w:pPr>
        <w:pStyle w:val="ac"/>
        <w:widowControl w:val="0"/>
        <w:numPr>
          <w:ilvl w:val="0"/>
          <w:numId w:val="188"/>
        </w:numPr>
        <w:tabs>
          <w:tab w:val="left" w:pos="284"/>
          <w:tab w:val="left" w:pos="801"/>
        </w:tabs>
        <w:autoSpaceDE w:val="0"/>
        <w:autoSpaceDN w:val="0"/>
        <w:spacing w:after="0" w:line="240" w:lineRule="auto"/>
        <w:ind w:left="170" w:firstLine="0"/>
        <w:contextualSpacing w:val="0"/>
        <w:mirrorIndents/>
        <w:jc w:val="both"/>
        <w:rPr>
          <w:rFonts w:asciiTheme="majorHAnsi" w:hAnsiTheme="majorHAnsi"/>
          <w:i/>
          <w:sz w:val="20"/>
          <w:szCs w:val="20"/>
        </w:rPr>
      </w:pPr>
      <w:r w:rsidRPr="000977F7">
        <w:rPr>
          <w:rFonts w:asciiTheme="majorHAnsi" w:hAnsiTheme="majorHAnsi"/>
          <w:sz w:val="20"/>
          <w:szCs w:val="20"/>
        </w:rPr>
        <w:t>Необхідні зовнішні ресурси, що не належать до</w:t>
      </w:r>
      <w:r w:rsidRPr="000977F7">
        <w:rPr>
          <w:rFonts w:asciiTheme="majorHAnsi" w:hAnsiTheme="majorHAnsi"/>
          <w:spacing w:val="1"/>
          <w:sz w:val="20"/>
          <w:szCs w:val="20"/>
        </w:rPr>
        <w:t xml:space="preserve"> </w:t>
      </w:r>
      <w:r w:rsidRPr="000977F7">
        <w:rPr>
          <w:rFonts w:asciiTheme="majorHAnsi" w:hAnsiTheme="majorHAnsi"/>
          <w:sz w:val="20"/>
          <w:szCs w:val="20"/>
        </w:rPr>
        <w:t>ресурсів технічного обслуговування та ремонту,</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3"/>
          <w:sz w:val="20"/>
          <w:szCs w:val="20"/>
        </w:rPr>
        <w:t xml:space="preserve"> </w:t>
      </w:r>
      <w:r w:rsidRPr="000977F7">
        <w:rPr>
          <w:rFonts w:asciiTheme="majorHAnsi" w:hAnsiTheme="majorHAnsi"/>
          <w:sz w:val="20"/>
          <w:szCs w:val="20"/>
        </w:rPr>
        <w:t>впливають</w:t>
      </w:r>
      <w:r w:rsidRPr="000977F7">
        <w:rPr>
          <w:rFonts w:asciiTheme="majorHAnsi" w:hAnsiTheme="majorHAnsi"/>
          <w:spacing w:val="-3"/>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властивість</w:t>
      </w:r>
      <w:r w:rsidRPr="000977F7">
        <w:rPr>
          <w:rFonts w:asciiTheme="majorHAnsi" w:hAnsiTheme="majorHAnsi"/>
          <w:spacing w:val="-1"/>
          <w:sz w:val="20"/>
          <w:szCs w:val="20"/>
        </w:rPr>
        <w:t xml:space="preserve"> </w:t>
      </w:r>
      <w:r w:rsidRPr="000977F7">
        <w:rPr>
          <w:rFonts w:asciiTheme="majorHAnsi" w:hAnsiTheme="majorHAnsi"/>
          <w:sz w:val="20"/>
          <w:szCs w:val="20"/>
        </w:rPr>
        <w:t>готовності</w:t>
      </w:r>
      <w:r w:rsidRPr="000977F7">
        <w:rPr>
          <w:rFonts w:asciiTheme="majorHAnsi" w:hAnsiTheme="majorHAnsi"/>
          <w:spacing w:val="-4"/>
          <w:sz w:val="20"/>
          <w:szCs w:val="20"/>
        </w:rPr>
        <w:t xml:space="preserve"> </w:t>
      </w:r>
      <w:r w:rsidRPr="000977F7">
        <w:rPr>
          <w:rFonts w:asciiTheme="majorHAnsi" w:hAnsiTheme="majorHAnsi"/>
          <w:sz w:val="20"/>
          <w:szCs w:val="20"/>
        </w:rPr>
        <w:t>об’єкта</w:t>
      </w:r>
    </w:p>
    <w:p w14:paraId="7FF21DE3" w14:textId="77777777" w:rsidR="0097612F" w:rsidRPr="000977F7" w:rsidRDefault="0097612F" w:rsidP="000977F7">
      <w:pPr>
        <w:pStyle w:val="ac"/>
        <w:tabs>
          <w:tab w:val="left" w:pos="284"/>
          <w:tab w:val="left" w:pos="801"/>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4"/>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r w:rsidRPr="000977F7">
        <w:rPr>
          <w:rFonts w:asciiTheme="majorHAnsi" w:hAnsiTheme="majorHAnsi"/>
          <w:i/>
          <w:spacing w:val="-2"/>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ISO/IEC</w:t>
      </w:r>
      <w:r w:rsidRPr="000977F7">
        <w:rPr>
          <w:rFonts w:asciiTheme="majorHAnsi" w:hAnsiTheme="majorHAnsi"/>
          <w:i/>
          <w:spacing w:val="-3"/>
          <w:sz w:val="20"/>
          <w:szCs w:val="20"/>
        </w:rPr>
        <w:t xml:space="preserve"> </w:t>
      </w:r>
      <w:r w:rsidRPr="000977F7">
        <w:rPr>
          <w:rFonts w:asciiTheme="majorHAnsi" w:hAnsiTheme="majorHAnsi"/>
          <w:i/>
          <w:sz w:val="20"/>
          <w:szCs w:val="20"/>
        </w:rPr>
        <w:t>2382:2017</w:t>
      </w:r>
    </w:p>
    <w:p w14:paraId="067183B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ГОТОВА</w:t>
      </w:r>
      <w:r w:rsidRPr="000977F7">
        <w:rPr>
          <w:color w:val="auto"/>
          <w:spacing w:val="-3"/>
          <w:sz w:val="20"/>
          <w:szCs w:val="20"/>
        </w:rPr>
        <w:t xml:space="preserve"> </w:t>
      </w:r>
      <w:r w:rsidRPr="000977F7">
        <w:rPr>
          <w:color w:val="auto"/>
          <w:sz w:val="20"/>
          <w:szCs w:val="20"/>
        </w:rPr>
        <w:t>ПРОДУКЦІЯ</w:t>
      </w:r>
      <w:r w:rsidRPr="000977F7">
        <w:rPr>
          <w:color w:val="auto"/>
          <w:spacing w:val="-1"/>
          <w:sz w:val="20"/>
          <w:szCs w:val="20"/>
        </w:rPr>
        <w:t xml:space="preserve"> </w:t>
      </w:r>
      <w:r w:rsidRPr="000977F7">
        <w:rPr>
          <w:color w:val="auto"/>
          <w:sz w:val="20"/>
          <w:szCs w:val="20"/>
        </w:rPr>
        <w:t>–</w:t>
      </w:r>
    </w:p>
    <w:p w14:paraId="4BD65C2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FINISHED</w:t>
      </w:r>
      <w:r w:rsidRPr="004D2D14">
        <w:rPr>
          <w:rFonts w:asciiTheme="majorHAnsi" w:hAnsiTheme="majorHAnsi"/>
          <w:spacing w:val="-3"/>
          <w:sz w:val="20"/>
          <w:szCs w:val="20"/>
          <w:lang w:val="uk-UA"/>
        </w:rPr>
        <w:t xml:space="preserve"> </w:t>
      </w:r>
      <w:r w:rsidRPr="000977F7">
        <w:rPr>
          <w:rFonts w:asciiTheme="majorHAnsi" w:hAnsiTheme="majorHAnsi"/>
          <w:sz w:val="20"/>
          <w:szCs w:val="20"/>
        </w:rPr>
        <w:t>PRODUCTION</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7999C36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Промислова продукція, яка закінчена виробництвом,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укомплектована, відповідає вимогам стандартів і технічних умов, має документ, що засвідчує її якість, 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призначена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збуту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межі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підприємства</w:t>
      </w:r>
    </w:p>
    <w:p w14:paraId="1AEAC0C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2960 – 94; ДСТУ 3278 – 95</w:t>
      </w:r>
    </w:p>
    <w:p w14:paraId="3AF180B5"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ГРАДАЦІЯ,</w:t>
      </w:r>
      <w:r w:rsidRPr="000977F7">
        <w:rPr>
          <w:rFonts w:asciiTheme="majorHAnsi" w:hAnsiTheme="majorHAnsi"/>
          <w:b/>
          <w:spacing w:val="1"/>
          <w:sz w:val="20"/>
          <w:szCs w:val="20"/>
        </w:rPr>
        <w:t xml:space="preserve"> </w:t>
      </w:r>
      <w:r w:rsidRPr="000977F7">
        <w:rPr>
          <w:rFonts w:asciiTheme="majorHAnsi" w:hAnsiTheme="majorHAnsi"/>
          <w:b/>
          <w:sz w:val="20"/>
          <w:szCs w:val="20"/>
        </w:rPr>
        <w:t>КЛАС, СОРТ –</w:t>
      </w:r>
    </w:p>
    <w:p w14:paraId="5DE37C5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GRADE –</w:t>
      </w:r>
    </w:p>
    <w:p w14:paraId="7B26E9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Категорія або розряд,</w:t>
      </w:r>
      <w:r w:rsidRPr="000977F7">
        <w:rPr>
          <w:rFonts w:asciiTheme="majorHAnsi" w:hAnsiTheme="majorHAnsi"/>
          <w:spacing w:val="1"/>
          <w:sz w:val="20"/>
          <w:szCs w:val="20"/>
        </w:rPr>
        <w:t xml:space="preserve"> </w:t>
      </w:r>
      <w:r w:rsidRPr="000977F7">
        <w:rPr>
          <w:rFonts w:asciiTheme="majorHAnsi" w:hAnsiTheme="majorHAnsi"/>
          <w:sz w:val="20"/>
          <w:szCs w:val="20"/>
        </w:rPr>
        <w:t>присвоєні об’єктам, які мають</w:t>
      </w:r>
      <w:r w:rsidRPr="000977F7">
        <w:rPr>
          <w:rFonts w:asciiTheme="majorHAnsi" w:hAnsiTheme="majorHAnsi"/>
          <w:spacing w:val="1"/>
          <w:sz w:val="20"/>
          <w:szCs w:val="20"/>
        </w:rPr>
        <w:t xml:space="preserve"> </w:t>
      </w:r>
      <w:r w:rsidRPr="000977F7">
        <w:rPr>
          <w:rFonts w:asciiTheme="majorHAnsi" w:hAnsiTheme="majorHAnsi"/>
          <w:sz w:val="20"/>
          <w:szCs w:val="20"/>
        </w:rPr>
        <w:t>одне й теж саме функціональне застосування, але різні</w:t>
      </w:r>
      <w:r w:rsidRPr="000977F7">
        <w:rPr>
          <w:rFonts w:asciiTheme="majorHAnsi" w:hAnsiTheme="majorHAnsi"/>
          <w:spacing w:val="-2"/>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до якості</w:t>
      </w:r>
    </w:p>
    <w:p w14:paraId="1EC98B2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34ECF339" w14:textId="77777777" w:rsidR="0097612F" w:rsidRPr="000977F7" w:rsidRDefault="0097612F" w:rsidP="00FD39A4">
      <w:pPr>
        <w:pStyle w:val="ac"/>
        <w:widowControl w:val="0"/>
        <w:numPr>
          <w:ilvl w:val="0"/>
          <w:numId w:val="187"/>
        </w:numPr>
        <w:tabs>
          <w:tab w:val="left" w:pos="284"/>
          <w:tab w:val="left" w:pos="71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Градація (клас, сорт) відображають передбачену</w:t>
      </w:r>
      <w:r w:rsidRPr="000977F7">
        <w:rPr>
          <w:rFonts w:asciiTheme="majorHAnsi" w:hAnsiTheme="majorHAnsi"/>
          <w:spacing w:val="1"/>
          <w:sz w:val="20"/>
          <w:szCs w:val="20"/>
        </w:rPr>
        <w:t xml:space="preserve"> </w:t>
      </w:r>
      <w:r w:rsidRPr="000977F7">
        <w:rPr>
          <w:rFonts w:asciiTheme="majorHAnsi" w:hAnsiTheme="majorHAnsi"/>
          <w:sz w:val="20"/>
          <w:szCs w:val="20"/>
        </w:rPr>
        <w:t>або визнану різницю у вимогах до якості. Наголос</w:t>
      </w:r>
      <w:r w:rsidRPr="000977F7">
        <w:rPr>
          <w:rFonts w:asciiTheme="majorHAnsi" w:hAnsiTheme="majorHAnsi"/>
          <w:spacing w:val="-47"/>
          <w:sz w:val="20"/>
          <w:szCs w:val="20"/>
        </w:rPr>
        <w:t xml:space="preserve"> </w:t>
      </w:r>
      <w:r w:rsidRPr="000977F7">
        <w:rPr>
          <w:rFonts w:asciiTheme="majorHAnsi" w:hAnsiTheme="majorHAnsi"/>
          <w:sz w:val="20"/>
          <w:szCs w:val="20"/>
        </w:rPr>
        <w:t>робиться на взаємозв’язок функціонального використання</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витрат</w:t>
      </w:r>
    </w:p>
    <w:p w14:paraId="013B9C31" w14:textId="77777777" w:rsidR="0097612F" w:rsidRPr="000977F7" w:rsidRDefault="0097612F" w:rsidP="00FD39A4">
      <w:pPr>
        <w:pStyle w:val="ac"/>
        <w:widowControl w:val="0"/>
        <w:numPr>
          <w:ilvl w:val="0"/>
          <w:numId w:val="187"/>
        </w:numPr>
        <w:tabs>
          <w:tab w:val="left" w:pos="284"/>
          <w:tab w:val="left" w:pos="63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pacing w:val="-1"/>
          <w:w w:val="99"/>
          <w:sz w:val="20"/>
          <w:szCs w:val="20"/>
        </w:rPr>
        <w:t>Об</w:t>
      </w:r>
      <w:r w:rsidRPr="000977F7">
        <w:rPr>
          <w:rFonts w:asciiTheme="majorHAnsi" w:hAnsiTheme="majorHAnsi"/>
          <w:spacing w:val="-3"/>
          <w:w w:val="99"/>
          <w:sz w:val="20"/>
          <w:szCs w:val="20"/>
        </w:rPr>
        <w:t>’</w:t>
      </w:r>
      <w:r w:rsidRPr="000977F7">
        <w:rPr>
          <w:rFonts w:asciiTheme="majorHAnsi" w:hAnsiTheme="majorHAnsi"/>
          <w:w w:val="99"/>
          <w:sz w:val="20"/>
          <w:szCs w:val="20"/>
        </w:rPr>
        <w:t>є</w:t>
      </w:r>
      <w:r w:rsidRPr="000977F7">
        <w:rPr>
          <w:rFonts w:asciiTheme="majorHAnsi" w:hAnsiTheme="majorHAnsi"/>
          <w:spacing w:val="-1"/>
          <w:w w:val="99"/>
          <w:sz w:val="20"/>
          <w:szCs w:val="20"/>
        </w:rPr>
        <w:t>к</w:t>
      </w:r>
      <w:r w:rsidRPr="000977F7">
        <w:rPr>
          <w:rFonts w:asciiTheme="majorHAnsi" w:hAnsiTheme="majorHAnsi"/>
          <w:w w:val="99"/>
          <w:sz w:val="20"/>
          <w:szCs w:val="20"/>
        </w:rPr>
        <w:t>т</w:t>
      </w:r>
      <w:r w:rsidRPr="000977F7">
        <w:rPr>
          <w:rFonts w:asciiTheme="majorHAnsi" w:hAnsiTheme="majorHAnsi"/>
          <w:spacing w:val="9"/>
          <w:sz w:val="20"/>
          <w:szCs w:val="20"/>
        </w:rPr>
        <w:t xml:space="preserve"> </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и</w:t>
      </w:r>
      <w:r w:rsidRPr="000977F7">
        <w:rPr>
          <w:rFonts w:asciiTheme="majorHAnsi" w:hAnsiTheme="majorHAnsi"/>
          <w:w w:val="99"/>
          <w:sz w:val="20"/>
          <w:szCs w:val="20"/>
        </w:rPr>
        <w:t>с</w:t>
      </w:r>
      <w:r w:rsidRPr="000977F7">
        <w:rPr>
          <w:rFonts w:asciiTheme="majorHAnsi" w:hAnsiTheme="majorHAnsi"/>
          <w:spacing w:val="3"/>
          <w:w w:val="99"/>
          <w:sz w:val="20"/>
          <w:szCs w:val="20"/>
        </w:rPr>
        <w:t>о</w:t>
      </w:r>
      <w:r w:rsidRPr="000977F7">
        <w:rPr>
          <w:rFonts w:asciiTheme="majorHAnsi" w:hAnsiTheme="majorHAnsi"/>
          <w:spacing w:val="-1"/>
          <w:w w:val="99"/>
          <w:sz w:val="20"/>
          <w:szCs w:val="20"/>
        </w:rPr>
        <w:t>к</w:t>
      </w:r>
      <w:r w:rsidRPr="000977F7">
        <w:rPr>
          <w:rFonts w:asciiTheme="majorHAnsi" w:hAnsiTheme="majorHAnsi"/>
          <w:spacing w:val="1"/>
          <w:w w:val="99"/>
          <w:sz w:val="20"/>
          <w:szCs w:val="20"/>
        </w:rPr>
        <w:t>о</w:t>
      </w:r>
      <w:r w:rsidRPr="000977F7">
        <w:rPr>
          <w:rFonts w:asciiTheme="majorHAnsi" w:hAnsiTheme="majorHAnsi"/>
          <w:spacing w:val="-1"/>
          <w:w w:val="99"/>
          <w:sz w:val="20"/>
          <w:szCs w:val="20"/>
        </w:rPr>
        <w:t>г</w:t>
      </w:r>
      <w:r w:rsidRPr="000977F7">
        <w:rPr>
          <w:rFonts w:asciiTheme="majorHAnsi" w:hAnsiTheme="majorHAnsi"/>
          <w:w w:val="99"/>
          <w:sz w:val="20"/>
          <w:szCs w:val="20"/>
        </w:rPr>
        <w:t>о</w:t>
      </w:r>
      <w:r w:rsidRPr="000977F7">
        <w:rPr>
          <w:rFonts w:asciiTheme="majorHAnsi" w:hAnsiTheme="majorHAnsi"/>
          <w:spacing w:val="8"/>
          <w:sz w:val="20"/>
          <w:szCs w:val="20"/>
        </w:rPr>
        <w:t xml:space="preserve"> </w:t>
      </w:r>
      <w:r w:rsidRPr="000977F7">
        <w:rPr>
          <w:rFonts w:asciiTheme="majorHAnsi" w:hAnsiTheme="majorHAnsi"/>
          <w:spacing w:val="-1"/>
          <w:w w:val="99"/>
          <w:sz w:val="20"/>
          <w:szCs w:val="20"/>
        </w:rPr>
        <w:t>кл</w:t>
      </w:r>
      <w:r w:rsidRPr="000977F7">
        <w:rPr>
          <w:rFonts w:asciiTheme="majorHAnsi" w:hAnsiTheme="majorHAnsi"/>
          <w:w w:val="99"/>
          <w:sz w:val="20"/>
          <w:szCs w:val="20"/>
        </w:rPr>
        <w:t>а</w:t>
      </w:r>
      <w:r w:rsidRPr="000977F7">
        <w:rPr>
          <w:rFonts w:asciiTheme="majorHAnsi" w:hAnsiTheme="majorHAnsi"/>
          <w:spacing w:val="3"/>
          <w:w w:val="99"/>
          <w:sz w:val="20"/>
          <w:szCs w:val="20"/>
        </w:rPr>
        <w:t>с</w:t>
      </w:r>
      <w:r w:rsidRPr="000977F7">
        <w:rPr>
          <w:rFonts w:asciiTheme="majorHAnsi" w:hAnsiTheme="majorHAnsi"/>
          <w:w w:val="99"/>
          <w:sz w:val="20"/>
          <w:szCs w:val="20"/>
        </w:rPr>
        <w:t>у</w:t>
      </w:r>
      <w:r w:rsidRPr="000977F7">
        <w:rPr>
          <w:rFonts w:asciiTheme="majorHAnsi" w:hAnsiTheme="majorHAnsi"/>
          <w:spacing w:val="6"/>
          <w:sz w:val="20"/>
          <w:szCs w:val="20"/>
        </w:rPr>
        <w:t xml:space="preserve"> </w:t>
      </w:r>
      <w:r w:rsidRPr="000977F7">
        <w:rPr>
          <w:rFonts w:asciiTheme="majorHAnsi" w:hAnsiTheme="majorHAnsi"/>
          <w:spacing w:val="2"/>
          <w:w w:val="99"/>
          <w:sz w:val="20"/>
          <w:szCs w:val="20"/>
        </w:rPr>
        <w:t>(</w:t>
      </w:r>
      <w:r w:rsidRPr="000977F7">
        <w:rPr>
          <w:rFonts w:asciiTheme="majorHAnsi" w:hAnsiTheme="majorHAnsi"/>
          <w:spacing w:val="-2"/>
          <w:w w:val="99"/>
          <w:sz w:val="20"/>
          <w:szCs w:val="20"/>
        </w:rPr>
        <w:t>н</w:t>
      </w:r>
      <w:r w:rsidRPr="000977F7">
        <w:rPr>
          <w:rFonts w:asciiTheme="majorHAnsi" w:hAnsiTheme="majorHAnsi"/>
          <w:w w:val="99"/>
          <w:sz w:val="20"/>
          <w:szCs w:val="20"/>
        </w:rPr>
        <w:t>а</w:t>
      </w:r>
      <w:r w:rsidRPr="000977F7">
        <w:rPr>
          <w:rFonts w:asciiTheme="majorHAnsi" w:hAnsiTheme="majorHAnsi"/>
          <w:spacing w:val="-1"/>
          <w:w w:val="99"/>
          <w:sz w:val="20"/>
          <w:szCs w:val="20"/>
        </w:rPr>
        <w:t>п</w:t>
      </w:r>
      <w:r w:rsidRPr="000977F7">
        <w:rPr>
          <w:rFonts w:asciiTheme="majorHAnsi" w:hAnsiTheme="majorHAnsi"/>
          <w:spacing w:val="1"/>
          <w:w w:val="99"/>
          <w:sz w:val="20"/>
          <w:szCs w:val="20"/>
        </w:rPr>
        <w:t>рик</w:t>
      </w:r>
      <w:r w:rsidRPr="000977F7">
        <w:rPr>
          <w:rFonts w:asciiTheme="majorHAnsi" w:hAnsiTheme="majorHAnsi"/>
          <w:spacing w:val="-1"/>
          <w:w w:val="99"/>
          <w:sz w:val="20"/>
          <w:szCs w:val="20"/>
        </w:rPr>
        <w:t>л</w:t>
      </w:r>
      <w:r w:rsidRPr="000977F7">
        <w:rPr>
          <w:rFonts w:asciiTheme="majorHAnsi" w:hAnsiTheme="majorHAnsi"/>
          <w:w w:val="99"/>
          <w:sz w:val="20"/>
          <w:szCs w:val="20"/>
        </w:rPr>
        <w:t>ад,</w:t>
      </w:r>
      <w:r w:rsidRPr="000977F7">
        <w:rPr>
          <w:rFonts w:asciiTheme="majorHAnsi" w:hAnsiTheme="majorHAnsi"/>
          <w:spacing w:val="7"/>
          <w:sz w:val="20"/>
          <w:szCs w:val="20"/>
        </w:rPr>
        <w:t xml:space="preserve"> </w:t>
      </w:r>
      <w:r w:rsidRPr="000977F7">
        <w:rPr>
          <w:rFonts w:asciiTheme="majorHAnsi" w:hAnsiTheme="majorHAnsi"/>
          <w:spacing w:val="-1"/>
          <w:w w:val="99"/>
          <w:sz w:val="20"/>
          <w:szCs w:val="20"/>
        </w:rPr>
        <w:t>г</w:t>
      </w:r>
      <w:r w:rsidRPr="000977F7">
        <w:rPr>
          <w:rFonts w:asciiTheme="majorHAnsi" w:hAnsiTheme="majorHAnsi"/>
          <w:w w:val="99"/>
          <w:sz w:val="20"/>
          <w:szCs w:val="20"/>
        </w:rPr>
        <w:t>о</w:t>
      </w:r>
      <w:r w:rsidRPr="000977F7">
        <w:rPr>
          <w:rFonts w:asciiTheme="majorHAnsi" w:hAnsiTheme="majorHAnsi"/>
          <w:spacing w:val="-1"/>
          <w:w w:val="99"/>
          <w:sz w:val="20"/>
          <w:szCs w:val="20"/>
        </w:rPr>
        <w:t>т</w:t>
      </w:r>
      <w:r w:rsidRPr="000977F7">
        <w:rPr>
          <w:rFonts w:asciiTheme="majorHAnsi" w:hAnsiTheme="majorHAnsi"/>
          <w:spacing w:val="2"/>
          <w:w w:val="99"/>
          <w:sz w:val="20"/>
          <w:szCs w:val="20"/>
        </w:rPr>
        <w:t>е</w:t>
      </w:r>
      <w:r w:rsidRPr="000977F7">
        <w:rPr>
          <w:rFonts w:asciiTheme="majorHAnsi" w:hAnsiTheme="majorHAnsi"/>
          <w:spacing w:val="-1"/>
          <w:w w:val="99"/>
          <w:sz w:val="20"/>
          <w:szCs w:val="20"/>
        </w:rPr>
        <w:t>л</w:t>
      </w:r>
      <w:r w:rsidRPr="000977F7">
        <w:rPr>
          <w:rFonts w:asciiTheme="majorHAnsi" w:hAnsiTheme="majorHAnsi"/>
          <w:w w:val="99"/>
          <w:sz w:val="20"/>
          <w:szCs w:val="20"/>
        </w:rPr>
        <w:t>ь</w:t>
      </w:r>
      <w:r w:rsidRPr="000977F7">
        <w:rPr>
          <w:rFonts w:asciiTheme="majorHAnsi" w:hAnsiTheme="majorHAnsi"/>
          <w:spacing w:val="10"/>
          <w:sz w:val="20"/>
          <w:szCs w:val="20"/>
        </w:rPr>
        <w:t xml:space="preserve"> </w:t>
      </w:r>
      <w:r w:rsidRPr="000977F7">
        <w:rPr>
          <w:rFonts w:asciiTheme="majorHAnsi" w:hAnsiTheme="majorHAnsi"/>
          <w:spacing w:val="-2"/>
          <w:w w:val="44"/>
          <w:sz w:val="20"/>
          <w:szCs w:val="20"/>
        </w:rPr>
        <w:t>―</w:t>
      </w:r>
      <w:r w:rsidRPr="000977F7">
        <w:rPr>
          <w:rFonts w:asciiTheme="majorHAnsi" w:hAnsiTheme="majorHAnsi"/>
          <w:spacing w:val="-1"/>
          <w:w w:val="99"/>
          <w:sz w:val="20"/>
          <w:szCs w:val="20"/>
        </w:rPr>
        <w:t>л</w:t>
      </w:r>
      <w:r w:rsidRPr="000977F7">
        <w:rPr>
          <w:rFonts w:asciiTheme="majorHAnsi" w:hAnsiTheme="majorHAnsi"/>
          <w:spacing w:val="2"/>
          <w:w w:val="99"/>
          <w:sz w:val="20"/>
          <w:szCs w:val="20"/>
        </w:rPr>
        <w:t>ю</w:t>
      </w:r>
      <w:r w:rsidRPr="000977F7">
        <w:rPr>
          <w:rFonts w:asciiTheme="majorHAnsi" w:hAnsiTheme="majorHAnsi"/>
          <w:spacing w:val="-1"/>
          <w:w w:val="99"/>
          <w:sz w:val="20"/>
          <w:szCs w:val="20"/>
        </w:rPr>
        <w:t>к</w:t>
      </w:r>
      <w:r w:rsidRPr="000977F7">
        <w:rPr>
          <w:rFonts w:asciiTheme="majorHAnsi" w:hAnsiTheme="majorHAnsi"/>
          <w:w w:val="122"/>
          <w:sz w:val="20"/>
          <w:szCs w:val="20"/>
        </w:rPr>
        <w:t>с</w:t>
      </w:r>
      <w:r w:rsidRPr="000977F7">
        <w:rPr>
          <w:rFonts w:asciiTheme="majorHAnsi" w:hAnsiTheme="majorHAnsi"/>
          <w:w w:val="99"/>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2"/>
          <w:sz w:val="20"/>
          <w:szCs w:val="20"/>
        </w:rPr>
        <w:t xml:space="preserve"> </w:t>
      </w:r>
      <w:r w:rsidRPr="000977F7">
        <w:rPr>
          <w:rFonts w:asciiTheme="majorHAnsi" w:hAnsiTheme="majorHAnsi"/>
          <w:sz w:val="20"/>
          <w:szCs w:val="20"/>
        </w:rPr>
        <w:t>незадовільної</w:t>
      </w:r>
      <w:r w:rsidRPr="000977F7">
        <w:rPr>
          <w:rFonts w:asciiTheme="majorHAnsi" w:hAnsiTheme="majorHAnsi"/>
          <w:spacing w:val="-2"/>
          <w:sz w:val="20"/>
          <w:szCs w:val="20"/>
        </w:rPr>
        <w:t xml:space="preserve"> </w:t>
      </w:r>
      <w:r w:rsidRPr="000977F7">
        <w:rPr>
          <w:rFonts w:asciiTheme="majorHAnsi" w:hAnsiTheme="majorHAnsi"/>
          <w:sz w:val="20"/>
          <w:szCs w:val="20"/>
        </w:rPr>
        <w:t>якості</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навпаки</w:t>
      </w:r>
    </w:p>
    <w:p w14:paraId="66E3A60A" w14:textId="77777777" w:rsidR="0097612F" w:rsidRPr="000977F7" w:rsidRDefault="0097612F" w:rsidP="00FD39A4">
      <w:pPr>
        <w:pStyle w:val="ac"/>
        <w:widowControl w:val="0"/>
        <w:numPr>
          <w:ilvl w:val="0"/>
          <w:numId w:val="187"/>
        </w:numPr>
        <w:tabs>
          <w:tab w:val="left" w:pos="284"/>
          <w:tab w:val="left" w:pos="68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Коли клас позначений чисельно, то вищому класу</w:t>
      </w:r>
      <w:r w:rsidRPr="000977F7">
        <w:rPr>
          <w:rFonts w:asciiTheme="majorHAnsi" w:hAnsiTheme="majorHAnsi"/>
          <w:spacing w:val="-47"/>
          <w:sz w:val="20"/>
          <w:szCs w:val="20"/>
        </w:rPr>
        <w:t xml:space="preserve"> </w:t>
      </w:r>
      <w:r w:rsidRPr="000977F7">
        <w:rPr>
          <w:rFonts w:asciiTheme="majorHAnsi" w:hAnsiTheme="majorHAnsi"/>
          <w:sz w:val="20"/>
          <w:szCs w:val="20"/>
        </w:rPr>
        <w:t>звичайно присвоюється 1, а з пониженням класу –</w:t>
      </w:r>
      <w:r w:rsidRPr="000977F7">
        <w:rPr>
          <w:rFonts w:asciiTheme="majorHAnsi" w:hAnsiTheme="majorHAnsi"/>
          <w:spacing w:val="-47"/>
          <w:sz w:val="20"/>
          <w:szCs w:val="20"/>
        </w:rPr>
        <w:t xml:space="preserve"> </w:t>
      </w:r>
      <w:r w:rsidRPr="000977F7">
        <w:rPr>
          <w:rFonts w:asciiTheme="majorHAnsi" w:hAnsiTheme="majorHAnsi"/>
          <w:sz w:val="20"/>
          <w:szCs w:val="20"/>
        </w:rPr>
        <w:t>відповідно 2,3,4 і т.д. Коли клас позначений кількістю зірочок, то звичайно нижчий клас має меншу</w:t>
      </w:r>
      <w:r w:rsidRPr="000977F7">
        <w:rPr>
          <w:rFonts w:asciiTheme="majorHAnsi" w:hAnsiTheme="majorHAnsi"/>
          <w:spacing w:val="-5"/>
          <w:sz w:val="20"/>
          <w:szCs w:val="20"/>
        </w:rPr>
        <w:t xml:space="preserve"> </w:t>
      </w:r>
      <w:r w:rsidRPr="000977F7">
        <w:rPr>
          <w:rFonts w:asciiTheme="majorHAnsi" w:hAnsiTheme="majorHAnsi"/>
          <w:sz w:val="20"/>
          <w:szCs w:val="20"/>
        </w:rPr>
        <w:t>кількість</w:t>
      </w:r>
      <w:r w:rsidRPr="000977F7">
        <w:rPr>
          <w:rFonts w:asciiTheme="majorHAnsi" w:hAnsiTheme="majorHAnsi"/>
          <w:spacing w:val="-1"/>
          <w:sz w:val="20"/>
          <w:szCs w:val="20"/>
        </w:rPr>
        <w:t xml:space="preserve"> </w:t>
      </w:r>
      <w:r w:rsidRPr="000977F7">
        <w:rPr>
          <w:rFonts w:asciiTheme="majorHAnsi" w:hAnsiTheme="majorHAnsi"/>
          <w:sz w:val="20"/>
          <w:szCs w:val="20"/>
        </w:rPr>
        <w:t>зірочок</w:t>
      </w:r>
    </w:p>
    <w:p w14:paraId="4665CE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Категорія</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ранг,</w:t>
      </w:r>
      <w:r w:rsidRPr="000977F7">
        <w:rPr>
          <w:rFonts w:asciiTheme="majorHAnsi" w:hAnsiTheme="majorHAnsi"/>
          <w:spacing w:val="1"/>
          <w:sz w:val="20"/>
          <w:szCs w:val="20"/>
        </w:rPr>
        <w:t xml:space="preserve"> </w:t>
      </w:r>
      <w:r w:rsidRPr="000977F7">
        <w:rPr>
          <w:rFonts w:asciiTheme="majorHAnsi" w:hAnsiTheme="majorHAnsi"/>
          <w:sz w:val="20"/>
          <w:szCs w:val="20"/>
        </w:rPr>
        <w:t>присвоєні</w:t>
      </w:r>
      <w:r w:rsidRPr="000977F7">
        <w:rPr>
          <w:rFonts w:asciiTheme="majorHAnsi" w:hAnsiTheme="majorHAnsi"/>
          <w:spacing w:val="1"/>
          <w:sz w:val="20"/>
          <w:szCs w:val="20"/>
        </w:rPr>
        <w:t xml:space="preserve"> </w:t>
      </w:r>
      <w:r w:rsidRPr="000977F7">
        <w:rPr>
          <w:rFonts w:asciiTheme="majorHAnsi" w:hAnsiTheme="majorHAnsi"/>
          <w:sz w:val="20"/>
          <w:szCs w:val="20"/>
        </w:rPr>
        <w:t>різними</w:t>
      </w:r>
      <w:r w:rsidRPr="000977F7">
        <w:rPr>
          <w:rFonts w:asciiTheme="majorHAnsi" w:hAnsiTheme="majorHAnsi"/>
          <w:spacing w:val="1"/>
          <w:sz w:val="20"/>
          <w:szCs w:val="20"/>
        </w:rPr>
        <w:t xml:space="preserve"> </w:t>
      </w:r>
      <w:r w:rsidRPr="000977F7">
        <w:rPr>
          <w:rFonts w:asciiTheme="majorHAnsi" w:hAnsiTheme="majorHAnsi"/>
          <w:sz w:val="20"/>
          <w:szCs w:val="20"/>
        </w:rPr>
        <w:t>вимогами</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об’єктам,</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мають</w:t>
      </w:r>
      <w:r w:rsidRPr="000977F7">
        <w:rPr>
          <w:rFonts w:asciiTheme="majorHAnsi" w:hAnsiTheme="majorHAnsi"/>
          <w:spacing w:val="1"/>
          <w:sz w:val="20"/>
          <w:szCs w:val="20"/>
        </w:rPr>
        <w:t xml:space="preserve"> </w:t>
      </w:r>
      <w:r w:rsidRPr="000977F7">
        <w:rPr>
          <w:rFonts w:asciiTheme="majorHAnsi" w:hAnsiTheme="majorHAnsi"/>
          <w:sz w:val="20"/>
          <w:szCs w:val="20"/>
        </w:rPr>
        <w:t>однакове</w:t>
      </w:r>
      <w:r w:rsidRPr="000977F7">
        <w:rPr>
          <w:rFonts w:asciiTheme="majorHAnsi" w:hAnsiTheme="majorHAnsi"/>
          <w:spacing w:val="1"/>
          <w:sz w:val="20"/>
          <w:szCs w:val="20"/>
        </w:rPr>
        <w:t xml:space="preserve"> </w:t>
      </w:r>
      <w:r w:rsidRPr="000977F7">
        <w:rPr>
          <w:rFonts w:asciiTheme="majorHAnsi" w:hAnsiTheme="majorHAnsi"/>
          <w:sz w:val="20"/>
          <w:szCs w:val="20"/>
        </w:rPr>
        <w:t>функціональне</w:t>
      </w:r>
      <w:r w:rsidRPr="000977F7">
        <w:rPr>
          <w:rFonts w:asciiTheme="majorHAnsi" w:hAnsiTheme="majorHAnsi"/>
          <w:spacing w:val="-47"/>
          <w:sz w:val="20"/>
          <w:szCs w:val="20"/>
        </w:rPr>
        <w:t xml:space="preserve"> </w:t>
      </w:r>
      <w:r w:rsidRPr="000977F7">
        <w:rPr>
          <w:rFonts w:asciiTheme="majorHAnsi" w:hAnsiTheme="majorHAnsi"/>
          <w:sz w:val="20"/>
          <w:szCs w:val="20"/>
        </w:rPr>
        <w:t>призначення (наприклад, класи квитків на авіарейси</w:t>
      </w:r>
      <w:r w:rsidRPr="000977F7">
        <w:rPr>
          <w:rFonts w:asciiTheme="majorHAnsi" w:hAnsiTheme="majorHAnsi"/>
          <w:spacing w:val="1"/>
          <w:sz w:val="20"/>
          <w:szCs w:val="20"/>
        </w:rPr>
        <w:t xml:space="preserve"> </w:t>
      </w:r>
      <w:r w:rsidRPr="000977F7">
        <w:rPr>
          <w:rFonts w:asciiTheme="majorHAnsi" w:hAnsiTheme="majorHAnsi"/>
          <w:sz w:val="20"/>
          <w:szCs w:val="20"/>
        </w:rPr>
        <w:t>або категорії</w:t>
      </w:r>
      <w:r w:rsidRPr="000977F7">
        <w:rPr>
          <w:rFonts w:asciiTheme="majorHAnsi" w:hAnsiTheme="majorHAnsi"/>
          <w:spacing w:val="-1"/>
          <w:sz w:val="20"/>
          <w:szCs w:val="20"/>
        </w:rPr>
        <w:t xml:space="preserve"> </w:t>
      </w:r>
      <w:r w:rsidRPr="000977F7">
        <w:rPr>
          <w:rFonts w:asciiTheme="majorHAnsi" w:hAnsiTheme="majorHAnsi"/>
          <w:sz w:val="20"/>
          <w:szCs w:val="20"/>
        </w:rPr>
        <w:t>готелів</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переліку</w:t>
      </w:r>
      <w:r w:rsidRPr="000977F7">
        <w:rPr>
          <w:rFonts w:asciiTheme="majorHAnsi" w:hAnsiTheme="majorHAnsi"/>
          <w:spacing w:val="-5"/>
          <w:sz w:val="20"/>
          <w:szCs w:val="20"/>
        </w:rPr>
        <w:t xml:space="preserve"> </w:t>
      </w:r>
      <w:r w:rsidRPr="000977F7">
        <w:rPr>
          <w:rFonts w:asciiTheme="majorHAnsi" w:hAnsiTheme="majorHAnsi"/>
          <w:sz w:val="20"/>
          <w:szCs w:val="20"/>
        </w:rPr>
        <w:t>готелів)</w:t>
      </w:r>
    </w:p>
    <w:p w14:paraId="4AA4C73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E7C059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Коли планують вимоги з якості об’єкта, градація вимог</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2"/>
          <w:sz w:val="20"/>
          <w:szCs w:val="20"/>
        </w:rPr>
        <w:t xml:space="preserve"> </w:t>
      </w:r>
      <w:r w:rsidRPr="000977F7">
        <w:rPr>
          <w:rFonts w:asciiTheme="majorHAnsi" w:hAnsiTheme="majorHAnsi"/>
          <w:sz w:val="20"/>
          <w:szCs w:val="20"/>
        </w:rPr>
        <w:t>повинна</w:t>
      </w:r>
      <w:r w:rsidRPr="000977F7">
        <w:rPr>
          <w:rFonts w:asciiTheme="majorHAnsi" w:hAnsiTheme="majorHAnsi"/>
          <w:spacing w:val="3"/>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відома</w:t>
      </w:r>
    </w:p>
    <w:p w14:paraId="66EE4B1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ГРАДУЮВАЛЬНА</w:t>
      </w:r>
      <w:r w:rsidRPr="000977F7">
        <w:rPr>
          <w:color w:val="auto"/>
          <w:spacing w:val="-7"/>
          <w:sz w:val="20"/>
          <w:szCs w:val="20"/>
        </w:rPr>
        <w:t xml:space="preserve"> </w:t>
      </w:r>
      <w:r w:rsidRPr="000977F7">
        <w:rPr>
          <w:color w:val="auto"/>
          <w:sz w:val="20"/>
          <w:szCs w:val="20"/>
        </w:rPr>
        <w:t>ХАРАКТЕРИСТИКА</w:t>
      </w:r>
      <w:r w:rsidRPr="000977F7">
        <w:rPr>
          <w:color w:val="auto"/>
          <w:spacing w:val="-4"/>
          <w:sz w:val="20"/>
          <w:szCs w:val="20"/>
        </w:rPr>
        <w:t xml:space="preserve"> </w:t>
      </w:r>
      <w:r w:rsidRPr="000977F7">
        <w:rPr>
          <w:color w:val="auto"/>
          <w:sz w:val="20"/>
          <w:szCs w:val="20"/>
        </w:rPr>
        <w:t>–</w:t>
      </w:r>
    </w:p>
    <w:p w14:paraId="5EC298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Залежність між значеннями вимірюваної</w:t>
      </w:r>
      <w:r w:rsidRPr="000977F7">
        <w:rPr>
          <w:rFonts w:asciiTheme="majorHAnsi" w:hAnsiTheme="majorHAnsi"/>
          <w:spacing w:val="1"/>
          <w:sz w:val="20"/>
          <w:szCs w:val="20"/>
        </w:rPr>
        <w:t xml:space="preserve"> </w:t>
      </w:r>
      <w:r w:rsidRPr="000977F7">
        <w:rPr>
          <w:rFonts w:asciiTheme="majorHAnsi" w:hAnsiTheme="majorHAnsi"/>
          <w:sz w:val="20"/>
          <w:szCs w:val="20"/>
        </w:rPr>
        <w:t>(перетворюваної) величини на виході та вході засобу вимірювань</w:t>
      </w:r>
      <w:r w:rsidRPr="000977F7">
        <w:rPr>
          <w:rFonts w:asciiTheme="majorHAnsi" w:hAnsiTheme="majorHAnsi"/>
          <w:spacing w:val="1"/>
          <w:sz w:val="20"/>
          <w:szCs w:val="20"/>
        </w:rPr>
        <w:t xml:space="preserve"> </w:t>
      </w:r>
      <w:r w:rsidRPr="000977F7">
        <w:rPr>
          <w:rFonts w:asciiTheme="majorHAnsi" w:hAnsiTheme="majorHAnsi"/>
          <w:sz w:val="20"/>
          <w:szCs w:val="20"/>
        </w:rPr>
        <w:t>(вимірювального</w:t>
      </w:r>
      <w:r w:rsidRPr="000977F7">
        <w:rPr>
          <w:rFonts w:asciiTheme="majorHAnsi" w:hAnsiTheme="majorHAnsi"/>
          <w:spacing w:val="1"/>
          <w:sz w:val="20"/>
          <w:szCs w:val="20"/>
        </w:rPr>
        <w:t xml:space="preserve"> </w:t>
      </w:r>
      <w:r w:rsidRPr="000977F7">
        <w:rPr>
          <w:rFonts w:asciiTheme="majorHAnsi" w:hAnsiTheme="majorHAnsi"/>
          <w:sz w:val="20"/>
          <w:szCs w:val="20"/>
        </w:rPr>
        <w:t>перетворювача),</w:t>
      </w:r>
      <w:r w:rsidRPr="000977F7">
        <w:rPr>
          <w:rFonts w:asciiTheme="majorHAnsi" w:hAnsiTheme="majorHAnsi"/>
          <w:spacing w:val="1"/>
          <w:sz w:val="20"/>
          <w:szCs w:val="20"/>
        </w:rPr>
        <w:t xml:space="preserve"> </w:t>
      </w:r>
      <w:r w:rsidRPr="000977F7">
        <w:rPr>
          <w:rFonts w:asciiTheme="majorHAnsi" w:hAnsiTheme="majorHAnsi"/>
          <w:sz w:val="20"/>
          <w:szCs w:val="20"/>
        </w:rPr>
        <w:t>отримані</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градуювання (калібрування), та подані у вигляді таблиці,</w:t>
      </w:r>
      <w:r w:rsidRPr="000977F7">
        <w:rPr>
          <w:rFonts w:asciiTheme="majorHAnsi" w:hAnsiTheme="majorHAnsi"/>
          <w:spacing w:val="-1"/>
          <w:sz w:val="20"/>
          <w:szCs w:val="20"/>
        </w:rPr>
        <w:t xml:space="preserve"> </w:t>
      </w:r>
      <w:r w:rsidRPr="000977F7">
        <w:rPr>
          <w:rFonts w:asciiTheme="majorHAnsi" w:hAnsiTheme="majorHAnsi"/>
          <w:sz w:val="20"/>
          <w:szCs w:val="20"/>
        </w:rPr>
        <w:t>графіка або</w:t>
      </w:r>
      <w:r w:rsidRPr="000977F7">
        <w:rPr>
          <w:rFonts w:asciiTheme="majorHAnsi" w:hAnsiTheme="majorHAnsi"/>
          <w:spacing w:val="1"/>
          <w:sz w:val="20"/>
          <w:szCs w:val="20"/>
        </w:rPr>
        <w:t xml:space="preserve"> </w:t>
      </w:r>
      <w:r w:rsidRPr="000977F7">
        <w:rPr>
          <w:rFonts w:asciiTheme="majorHAnsi" w:hAnsiTheme="majorHAnsi"/>
          <w:sz w:val="20"/>
          <w:szCs w:val="20"/>
        </w:rPr>
        <w:t>формули</w:t>
      </w:r>
    </w:p>
    <w:p w14:paraId="6A58B21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7B5BF9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ГРАДУЮВАННЯ ЗАСОБІВ ВИМІРЮВАЛЬНОЇ</w:t>
      </w:r>
      <w:r w:rsidRPr="000977F7">
        <w:rPr>
          <w:color w:val="auto"/>
          <w:spacing w:val="-47"/>
          <w:sz w:val="20"/>
          <w:szCs w:val="20"/>
        </w:rPr>
        <w:t xml:space="preserve"> </w:t>
      </w:r>
      <w:r w:rsidRPr="000977F7">
        <w:rPr>
          <w:color w:val="auto"/>
          <w:sz w:val="20"/>
          <w:szCs w:val="20"/>
        </w:rPr>
        <w:t>ТЕХНІКИ –</w:t>
      </w:r>
    </w:p>
    <w:p w14:paraId="4284523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GAUGING</w:t>
      </w:r>
      <w:r w:rsidRPr="004D2D14">
        <w:rPr>
          <w:rFonts w:asciiTheme="majorHAnsi" w:hAnsiTheme="majorHAnsi"/>
          <w:spacing w:val="46"/>
          <w:sz w:val="20"/>
          <w:szCs w:val="20"/>
          <w:lang w:val="en-US"/>
        </w:rPr>
        <w:t xml:space="preserve"> </w:t>
      </w:r>
      <w:r w:rsidRPr="004D2D14">
        <w:rPr>
          <w:rFonts w:asciiTheme="majorHAnsi" w:hAnsiTheme="majorHAnsi"/>
          <w:sz w:val="20"/>
          <w:szCs w:val="20"/>
          <w:lang w:val="en-US"/>
        </w:rPr>
        <w:t>OF A MEASURING</w:t>
      </w:r>
      <w:r w:rsidRPr="004D2D14">
        <w:rPr>
          <w:rFonts w:asciiTheme="majorHAnsi" w:hAnsiTheme="majorHAnsi"/>
          <w:spacing w:val="46"/>
          <w:sz w:val="20"/>
          <w:szCs w:val="20"/>
          <w:lang w:val="en-US"/>
        </w:rPr>
        <w:t xml:space="preserve"> </w:t>
      </w:r>
      <w:r w:rsidRPr="004D2D14">
        <w:rPr>
          <w:rFonts w:asciiTheme="majorHAnsi" w:hAnsiTheme="majorHAnsi"/>
          <w:sz w:val="20"/>
          <w:szCs w:val="20"/>
          <w:lang w:val="en-US"/>
        </w:rPr>
        <w:t>INSTRUMENT</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w:t>
      </w:r>
    </w:p>
    <w:p w14:paraId="69529E3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градуювальної</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характеристики</w:t>
      </w:r>
      <w:r w:rsidRPr="000977F7">
        <w:rPr>
          <w:rFonts w:asciiTheme="majorHAnsi" w:hAnsiTheme="majorHAnsi"/>
          <w:spacing w:val="1"/>
          <w:sz w:val="20"/>
          <w:szCs w:val="20"/>
        </w:rPr>
        <w:t xml:space="preserve"> </w:t>
      </w:r>
      <w:r w:rsidRPr="000977F7">
        <w:rPr>
          <w:rFonts w:asciiTheme="majorHAnsi" w:hAnsiTheme="majorHAnsi"/>
          <w:sz w:val="20"/>
          <w:szCs w:val="20"/>
        </w:rPr>
        <w:t>засобів</w:t>
      </w:r>
      <w:r w:rsidRPr="000977F7">
        <w:rPr>
          <w:rFonts w:asciiTheme="majorHAnsi" w:hAnsiTheme="majorHAnsi"/>
          <w:spacing w:val="1"/>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2"/>
          <w:sz w:val="20"/>
          <w:szCs w:val="20"/>
        </w:rPr>
        <w:t xml:space="preserve"> </w:t>
      </w:r>
      <w:r w:rsidRPr="000977F7">
        <w:rPr>
          <w:rFonts w:asciiTheme="majorHAnsi" w:hAnsiTheme="majorHAnsi"/>
          <w:sz w:val="20"/>
          <w:szCs w:val="20"/>
        </w:rPr>
        <w:t>техніки</w:t>
      </w:r>
    </w:p>
    <w:p w14:paraId="218D3B9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2681 - 94</w:t>
      </w:r>
    </w:p>
    <w:p w14:paraId="4234CB61" w14:textId="77777777" w:rsidR="0097612F" w:rsidRPr="000977F7" w:rsidRDefault="0097612F" w:rsidP="000977F7">
      <w:pPr>
        <w:pStyle w:val="7"/>
        <w:tabs>
          <w:tab w:val="left" w:pos="284"/>
          <w:tab w:val="left" w:pos="3621"/>
        </w:tabs>
        <w:spacing w:before="0" w:line="240" w:lineRule="auto"/>
        <w:ind w:left="170"/>
        <w:mirrorIndents/>
        <w:jc w:val="both"/>
        <w:rPr>
          <w:b w:val="0"/>
          <w:color w:val="auto"/>
          <w:sz w:val="20"/>
          <w:szCs w:val="20"/>
        </w:rPr>
      </w:pPr>
      <w:r w:rsidRPr="000977F7">
        <w:rPr>
          <w:color w:val="auto"/>
          <w:sz w:val="20"/>
          <w:szCs w:val="20"/>
        </w:rPr>
        <w:t>ГРАНИЦЯ</w:t>
      </w:r>
      <w:r w:rsidRPr="000977F7">
        <w:rPr>
          <w:color w:val="auto"/>
          <w:spacing w:val="-5"/>
          <w:sz w:val="20"/>
          <w:szCs w:val="20"/>
        </w:rPr>
        <w:t xml:space="preserve"> </w:t>
      </w:r>
      <w:r w:rsidRPr="000977F7">
        <w:rPr>
          <w:color w:val="auto"/>
          <w:sz w:val="20"/>
          <w:szCs w:val="20"/>
        </w:rPr>
        <w:t xml:space="preserve">ВИТРИВАЛОСТІ </w:t>
      </w:r>
      <w:r w:rsidRPr="000977F7">
        <w:rPr>
          <w:b w:val="0"/>
          <w:color w:val="auto"/>
          <w:sz w:val="20"/>
          <w:szCs w:val="20"/>
        </w:rPr>
        <w:t>–</w:t>
      </w:r>
    </w:p>
    <w:p w14:paraId="7E6B1DC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Максимальне за абсолютним значенням напруження</w:t>
      </w:r>
      <w:r w:rsidRPr="000977F7">
        <w:rPr>
          <w:rFonts w:asciiTheme="majorHAnsi" w:hAnsiTheme="majorHAnsi"/>
          <w:spacing w:val="1"/>
          <w:sz w:val="20"/>
          <w:szCs w:val="20"/>
        </w:rPr>
        <w:t xml:space="preserve"> </w:t>
      </w:r>
      <w:r w:rsidRPr="000977F7">
        <w:rPr>
          <w:rFonts w:asciiTheme="majorHAnsi" w:hAnsiTheme="majorHAnsi"/>
          <w:sz w:val="20"/>
          <w:szCs w:val="20"/>
        </w:rPr>
        <w:t>циклу, за якого ще не відбувається втомне зруйнування матеріалу протягом заданої кількості циклів навантажування</w:t>
      </w:r>
    </w:p>
    <w:p w14:paraId="6E63524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 – 94</w:t>
      </w:r>
    </w:p>
    <w:p w14:paraId="73597EE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ГРАНИЦЯ</w:t>
      </w:r>
      <w:r w:rsidRPr="000977F7">
        <w:rPr>
          <w:color w:val="auto"/>
          <w:spacing w:val="-7"/>
          <w:sz w:val="20"/>
          <w:szCs w:val="20"/>
        </w:rPr>
        <w:t xml:space="preserve"> </w:t>
      </w:r>
      <w:r w:rsidRPr="000977F7">
        <w:rPr>
          <w:color w:val="auto"/>
          <w:sz w:val="20"/>
          <w:szCs w:val="20"/>
        </w:rPr>
        <w:t>ДОПУСТИМОЇ</w:t>
      </w:r>
      <w:r w:rsidRPr="000977F7">
        <w:rPr>
          <w:color w:val="auto"/>
          <w:spacing w:val="-7"/>
          <w:sz w:val="20"/>
          <w:szCs w:val="20"/>
        </w:rPr>
        <w:t xml:space="preserve"> </w:t>
      </w:r>
      <w:r w:rsidRPr="000977F7">
        <w:rPr>
          <w:color w:val="auto"/>
          <w:sz w:val="20"/>
          <w:szCs w:val="20"/>
        </w:rPr>
        <w:t>ПОХИБКИ</w:t>
      </w:r>
      <w:r w:rsidRPr="000977F7">
        <w:rPr>
          <w:color w:val="auto"/>
          <w:spacing w:val="-7"/>
          <w:sz w:val="20"/>
          <w:szCs w:val="20"/>
        </w:rPr>
        <w:t xml:space="preserve"> </w:t>
      </w:r>
      <w:r w:rsidRPr="000977F7">
        <w:rPr>
          <w:color w:val="auto"/>
          <w:sz w:val="20"/>
          <w:szCs w:val="20"/>
        </w:rPr>
        <w:t>ЗАСОБУ</w:t>
      </w:r>
      <w:r w:rsidRPr="000977F7">
        <w:rPr>
          <w:color w:val="auto"/>
          <w:spacing w:val="-47"/>
          <w:sz w:val="20"/>
          <w:szCs w:val="20"/>
        </w:rPr>
        <w:t xml:space="preserve"> </w:t>
      </w:r>
      <w:r w:rsidRPr="000977F7">
        <w:rPr>
          <w:color w:val="auto"/>
          <w:sz w:val="20"/>
          <w:szCs w:val="20"/>
        </w:rPr>
        <w:t>ВИМІРЮВАЛЬНОЇ</w:t>
      </w:r>
      <w:r w:rsidRPr="000977F7">
        <w:rPr>
          <w:color w:val="auto"/>
          <w:spacing w:val="-2"/>
          <w:sz w:val="20"/>
          <w:szCs w:val="20"/>
        </w:rPr>
        <w:t xml:space="preserve"> </w:t>
      </w:r>
      <w:r w:rsidRPr="000977F7">
        <w:rPr>
          <w:color w:val="auto"/>
          <w:sz w:val="20"/>
          <w:szCs w:val="20"/>
        </w:rPr>
        <w:t>ТЕХНІКИ</w:t>
      </w:r>
      <w:r w:rsidRPr="000977F7">
        <w:rPr>
          <w:color w:val="auto"/>
          <w:spacing w:val="3"/>
          <w:sz w:val="20"/>
          <w:szCs w:val="20"/>
        </w:rPr>
        <w:t xml:space="preserve"> </w:t>
      </w:r>
      <w:r w:rsidRPr="000977F7">
        <w:rPr>
          <w:color w:val="auto"/>
          <w:sz w:val="20"/>
          <w:szCs w:val="20"/>
        </w:rPr>
        <w:t>–</w:t>
      </w:r>
    </w:p>
    <w:p w14:paraId="4B658A6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LIMITS</w:t>
      </w:r>
      <w:r w:rsidRPr="004D2D14">
        <w:rPr>
          <w:rFonts w:asciiTheme="majorHAnsi" w:hAnsiTheme="majorHAnsi"/>
          <w:spacing w:val="3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3"/>
          <w:sz w:val="20"/>
          <w:szCs w:val="20"/>
          <w:lang w:val="en-US"/>
        </w:rPr>
        <w:t xml:space="preserve"> </w:t>
      </w:r>
      <w:r w:rsidRPr="004D2D14">
        <w:rPr>
          <w:rFonts w:asciiTheme="majorHAnsi" w:hAnsiTheme="majorHAnsi"/>
          <w:sz w:val="20"/>
          <w:szCs w:val="20"/>
          <w:lang w:val="en-US"/>
        </w:rPr>
        <w:t>PERMISSIBLE</w:t>
      </w:r>
      <w:r w:rsidRPr="004D2D14">
        <w:rPr>
          <w:rFonts w:asciiTheme="majorHAnsi" w:hAnsiTheme="majorHAnsi"/>
          <w:spacing w:val="36"/>
          <w:sz w:val="20"/>
          <w:szCs w:val="20"/>
          <w:lang w:val="en-US"/>
        </w:rPr>
        <w:t xml:space="preserve"> </w:t>
      </w:r>
      <w:r w:rsidRPr="004D2D14">
        <w:rPr>
          <w:rFonts w:asciiTheme="majorHAnsi" w:hAnsiTheme="majorHAnsi"/>
          <w:sz w:val="20"/>
          <w:szCs w:val="20"/>
          <w:lang w:val="en-US"/>
        </w:rPr>
        <w:t>ERROR</w:t>
      </w:r>
      <w:r w:rsidRPr="004D2D14">
        <w:rPr>
          <w:rFonts w:asciiTheme="majorHAnsi" w:hAnsiTheme="majorHAnsi"/>
          <w:spacing w:val="3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5"/>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MEASUREMENT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INSTRUMENT;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MAXIMUM</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P</w:t>
      </w:r>
      <w:r w:rsidRPr="000977F7">
        <w:rPr>
          <w:rFonts w:asciiTheme="majorHAnsi" w:hAnsiTheme="majorHAnsi"/>
          <w:sz w:val="20"/>
          <w:szCs w:val="20"/>
        </w:rPr>
        <w:t>Е</w:t>
      </w:r>
      <w:r w:rsidRPr="004D2D14">
        <w:rPr>
          <w:rFonts w:asciiTheme="majorHAnsi" w:hAnsiTheme="majorHAnsi"/>
          <w:sz w:val="20"/>
          <w:szCs w:val="20"/>
          <w:lang w:val="en-US"/>
        </w:rPr>
        <w:t>RMISSIBLE ERROR OF</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MEASURING</w:t>
      </w:r>
      <w:r w:rsidRPr="004D2D14">
        <w:rPr>
          <w:rFonts w:asciiTheme="majorHAnsi" w:hAnsiTheme="majorHAnsi"/>
          <w:spacing w:val="39"/>
          <w:sz w:val="20"/>
          <w:szCs w:val="20"/>
          <w:lang w:val="en-US"/>
        </w:rPr>
        <w:t xml:space="preserve"> </w:t>
      </w:r>
      <w:r w:rsidRPr="004D2D14">
        <w:rPr>
          <w:rFonts w:asciiTheme="majorHAnsi" w:hAnsiTheme="majorHAnsi"/>
          <w:sz w:val="20"/>
          <w:szCs w:val="20"/>
          <w:lang w:val="en-US"/>
        </w:rPr>
        <w:t>INSTRUMENT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117A82D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Найбільше значення, без урахування знаку, похибки</w:t>
      </w:r>
      <w:r w:rsidRPr="000977F7">
        <w:rPr>
          <w:rFonts w:asciiTheme="majorHAnsi" w:hAnsiTheme="majorHAnsi"/>
          <w:spacing w:val="1"/>
          <w:sz w:val="20"/>
          <w:szCs w:val="20"/>
        </w:rPr>
        <w:t xml:space="preserve"> </w:t>
      </w:r>
      <w:r w:rsidRPr="000977F7">
        <w:rPr>
          <w:rFonts w:asciiTheme="majorHAnsi" w:hAnsiTheme="majorHAnsi"/>
          <w:sz w:val="20"/>
          <w:szCs w:val="20"/>
        </w:rPr>
        <w:t>засобу вимірювальної техніки (засобу вимірювань), за</w:t>
      </w:r>
      <w:r w:rsidRPr="000977F7">
        <w:rPr>
          <w:rFonts w:asciiTheme="majorHAnsi" w:hAnsiTheme="majorHAnsi"/>
          <w:spacing w:val="-47"/>
          <w:sz w:val="20"/>
          <w:szCs w:val="20"/>
        </w:rPr>
        <w:t xml:space="preserve"> </w:t>
      </w:r>
      <w:r w:rsidRPr="000977F7">
        <w:rPr>
          <w:rFonts w:asciiTheme="majorHAnsi" w:hAnsiTheme="majorHAnsi"/>
          <w:sz w:val="20"/>
          <w:szCs w:val="20"/>
        </w:rPr>
        <w:t>яким цей засіб ще може бути визнаний придатним до</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p>
    <w:p w14:paraId="23F9E5D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4F264D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ГРАНИЦЯ</w:t>
      </w:r>
      <w:r w:rsidRPr="000977F7">
        <w:rPr>
          <w:color w:val="auto"/>
          <w:spacing w:val="-3"/>
          <w:sz w:val="20"/>
          <w:szCs w:val="20"/>
        </w:rPr>
        <w:t xml:space="preserve"> </w:t>
      </w:r>
      <w:r w:rsidRPr="000977F7">
        <w:rPr>
          <w:color w:val="auto"/>
          <w:sz w:val="20"/>
          <w:szCs w:val="20"/>
        </w:rPr>
        <w:t>КОРОЗІЙНОЇ</w:t>
      </w:r>
      <w:r w:rsidRPr="000977F7">
        <w:rPr>
          <w:color w:val="auto"/>
          <w:spacing w:val="-4"/>
          <w:sz w:val="20"/>
          <w:szCs w:val="20"/>
        </w:rPr>
        <w:t xml:space="preserve"> </w:t>
      </w:r>
      <w:r w:rsidRPr="000977F7">
        <w:rPr>
          <w:color w:val="auto"/>
          <w:sz w:val="20"/>
          <w:szCs w:val="20"/>
        </w:rPr>
        <w:t>ВТОМИ</w:t>
      </w:r>
      <w:r w:rsidRPr="000977F7">
        <w:rPr>
          <w:color w:val="auto"/>
          <w:spacing w:val="-2"/>
          <w:sz w:val="20"/>
          <w:szCs w:val="20"/>
        </w:rPr>
        <w:t xml:space="preserve"> </w:t>
      </w:r>
      <w:r w:rsidRPr="000977F7">
        <w:rPr>
          <w:color w:val="auto"/>
          <w:sz w:val="20"/>
          <w:szCs w:val="20"/>
        </w:rPr>
        <w:t>–</w:t>
      </w:r>
    </w:p>
    <w:p w14:paraId="22140EE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Найбільша механічна напруга, яка після певної кількості</w:t>
      </w:r>
      <w:r w:rsidRPr="000977F7">
        <w:rPr>
          <w:rFonts w:asciiTheme="majorHAnsi" w:hAnsiTheme="majorHAnsi"/>
          <w:spacing w:val="1"/>
          <w:sz w:val="20"/>
          <w:szCs w:val="20"/>
        </w:rPr>
        <w:t xml:space="preserve"> </w:t>
      </w:r>
      <w:r w:rsidRPr="000977F7">
        <w:rPr>
          <w:rFonts w:asciiTheme="majorHAnsi" w:hAnsiTheme="majorHAnsi"/>
          <w:sz w:val="20"/>
          <w:szCs w:val="20"/>
        </w:rPr>
        <w:t>циклів</w:t>
      </w:r>
      <w:r w:rsidRPr="000977F7">
        <w:rPr>
          <w:rFonts w:asciiTheme="majorHAnsi" w:hAnsiTheme="majorHAnsi"/>
          <w:spacing w:val="1"/>
          <w:sz w:val="20"/>
          <w:szCs w:val="20"/>
        </w:rPr>
        <w:t xml:space="preserve"> </w:t>
      </w:r>
      <w:r w:rsidRPr="000977F7">
        <w:rPr>
          <w:rFonts w:asciiTheme="majorHAnsi" w:hAnsiTheme="majorHAnsi"/>
          <w:sz w:val="20"/>
          <w:szCs w:val="20"/>
        </w:rPr>
        <w:t>навантаження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заданих</w:t>
      </w:r>
      <w:r w:rsidRPr="000977F7">
        <w:rPr>
          <w:rFonts w:asciiTheme="majorHAnsi" w:hAnsiTheme="majorHAnsi"/>
          <w:spacing w:val="50"/>
          <w:sz w:val="20"/>
          <w:szCs w:val="20"/>
        </w:rPr>
        <w:t xml:space="preserve"> </w:t>
      </w:r>
      <w:r w:rsidRPr="000977F7">
        <w:rPr>
          <w:rFonts w:asciiTheme="majorHAnsi" w:hAnsiTheme="majorHAnsi"/>
          <w:sz w:val="20"/>
          <w:szCs w:val="20"/>
        </w:rPr>
        <w:t>корозійних</w:t>
      </w:r>
      <w:r w:rsidRPr="000977F7">
        <w:rPr>
          <w:rFonts w:asciiTheme="majorHAnsi" w:hAnsiTheme="majorHAnsi"/>
          <w:spacing w:val="1"/>
          <w:sz w:val="20"/>
          <w:szCs w:val="20"/>
        </w:rPr>
        <w:t xml:space="preserve"> </w:t>
      </w:r>
      <w:r w:rsidRPr="000977F7">
        <w:rPr>
          <w:rFonts w:asciiTheme="majorHAnsi" w:hAnsiTheme="majorHAnsi"/>
          <w:sz w:val="20"/>
          <w:szCs w:val="20"/>
        </w:rPr>
        <w:t>умов</w:t>
      </w:r>
      <w:r w:rsidRPr="000977F7">
        <w:rPr>
          <w:rFonts w:asciiTheme="majorHAnsi" w:hAnsiTheme="majorHAnsi"/>
          <w:spacing w:val="-2"/>
          <w:sz w:val="20"/>
          <w:szCs w:val="20"/>
        </w:rPr>
        <w:t xml:space="preserve"> </w:t>
      </w:r>
      <w:r w:rsidRPr="000977F7">
        <w:rPr>
          <w:rFonts w:asciiTheme="majorHAnsi" w:hAnsiTheme="majorHAnsi"/>
          <w:sz w:val="20"/>
          <w:szCs w:val="20"/>
        </w:rPr>
        <w:t>ще</w:t>
      </w:r>
      <w:r w:rsidRPr="000977F7">
        <w:rPr>
          <w:rFonts w:asciiTheme="majorHAnsi" w:hAnsiTheme="majorHAnsi"/>
          <w:spacing w:val="3"/>
          <w:sz w:val="20"/>
          <w:szCs w:val="20"/>
        </w:rPr>
        <w:t xml:space="preserve"> </w:t>
      </w:r>
      <w:r w:rsidRPr="000977F7">
        <w:rPr>
          <w:rFonts w:asciiTheme="majorHAnsi" w:hAnsiTheme="majorHAnsi"/>
          <w:sz w:val="20"/>
          <w:szCs w:val="20"/>
        </w:rPr>
        <w:t>не зруйновує</w:t>
      </w:r>
      <w:r w:rsidRPr="000977F7">
        <w:rPr>
          <w:rFonts w:asciiTheme="majorHAnsi" w:hAnsiTheme="majorHAnsi"/>
          <w:spacing w:val="-1"/>
          <w:sz w:val="20"/>
          <w:szCs w:val="20"/>
        </w:rPr>
        <w:t xml:space="preserve"> </w:t>
      </w:r>
      <w:r w:rsidRPr="000977F7">
        <w:rPr>
          <w:rFonts w:asciiTheme="majorHAnsi" w:hAnsiTheme="majorHAnsi"/>
          <w:sz w:val="20"/>
          <w:szCs w:val="20"/>
        </w:rPr>
        <w:t>метал</w:t>
      </w:r>
    </w:p>
    <w:p w14:paraId="768CC2F4"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3830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98</w:t>
      </w:r>
    </w:p>
    <w:p w14:paraId="11200155"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ГРАНИЦЯ</w:t>
      </w:r>
      <w:r w:rsidRPr="004D2D14">
        <w:rPr>
          <w:rFonts w:asciiTheme="majorHAnsi" w:hAnsiTheme="majorHAnsi"/>
          <w:b/>
          <w:sz w:val="20"/>
          <w:szCs w:val="20"/>
          <w:lang w:val="en-US"/>
        </w:rPr>
        <w:t xml:space="preserve"> </w:t>
      </w:r>
      <w:r w:rsidRPr="000977F7">
        <w:rPr>
          <w:rFonts w:asciiTheme="majorHAnsi" w:hAnsiTheme="majorHAnsi"/>
          <w:b/>
          <w:sz w:val="20"/>
          <w:szCs w:val="20"/>
        </w:rPr>
        <w:t>МІЦНОСТІ</w:t>
      </w:r>
      <w:r w:rsidRPr="004D2D14">
        <w:rPr>
          <w:rFonts w:asciiTheme="majorHAnsi" w:hAnsiTheme="majorHAnsi"/>
          <w:b/>
          <w:sz w:val="20"/>
          <w:szCs w:val="20"/>
          <w:lang w:val="en-US"/>
        </w:rPr>
        <w:t xml:space="preserve"> –</w:t>
      </w:r>
    </w:p>
    <w:p w14:paraId="13DFC291"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b/>
          <w:spacing w:val="-47"/>
          <w:sz w:val="20"/>
          <w:szCs w:val="20"/>
          <w:lang w:val="en-US"/>
        </w:rPr>
        <w:t xml:space="preserve"> </w:t>
      </w:r>
      <w:r w:rsidRPr="004D2D14">
        <w:rPr>
          <w:rFonts w:asciiTheme="majorHAnsi" w:hAnsiTheme="majorHAnsi"/>
          <w:sz w:val="20"/>
          <w:szCs w:val="20"/>
          <w:lang w:val="en-US"/>
        </w:rPr>
        <w:t>STRENGTH</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LIMIT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0A38005B"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Умовне напруження, що відповідає найбільшому навантаженню, досягнутому до поділу зразка на частини</w:t>
      </w:r>
      <w:r w:rsidRPr="000977F7">
        <w:rPr>
          <w:rFonts w:asciiTheme="majorHAnsi" w:hAnsiTheme="majorHAnsi"/>
          <w:spacing w:val="-47"/>
          <w:sz w:val="20"/>
          <w:szCs w:val="20"/>
        </w:rPr>
        <w:t xml:space="preserve"> </w:t>
      </w:r>
    </w:p>
    <w:p w14:paraId="217268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ДСТУ</w:t>
      </w:r>
      <w:r w:rsidRPr="000977F7">
        <w:rPr>
          <w:rFonts w:asciiTheme="majorHAnsi" w:hAnsiTheme="majorHAnsi"/>
          <w:spacing w:val="-1"/>
          <w:sz w:val="20"/>
          <w:szCs w:val="20"/>
        </w:rPr>
        <w:t xml:space="preserve"> </w:t>
      </w:r>
      <w:r w:rsidRPr="000977F7">
        <w:rPr>
          <w:rFonts w:asciiTheme="majorHAnsi" w:hAnsiTheme="majorHAnsi"/>
          <w:sz w:val="20"/>
          <w:szCs w:val="20"/>
        </w:rPr>
        <w:t>2825</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94</w:t>
      </w:r>
    </w:p>
    <w:p w14:paraId="3D0F392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ГРАНИЦЯ</w:t>
      </w:r>
      <w:r w:rsidRPr="000977F7">
        <w:rPr>
          <w:color w:val="auto"/>
          <w:spacing w:val="-4"/>
          <w:sz w:val="20"/>
          <w:szCs w:val="20"/>
        </w:rPr>
        <w:t xml:space="preserve"> </w:t>
      </w:r>
      <w:r w:rsidRPr="000977F7">
        <w:rPr>
          <w:color w:val="auto"/>
          <w:sz w:val="20"/>
          <w:szCs w:val="20"/>
        </w:rPr>
        <w:t>ПЛИННОСТІ</w:t>
      </w:r>
      <w:r w:rsidRPr="000977F7">
        <w:rPr>
          <w:color w:val="auto"/>
          <w:spacing w:val="-4"/>
          <w:sz w:val="20"/>
          <w:szCs w:val="20"/>
        </w:rPr>
        <w:t xml:space="preserve"> </w:t>
      </w:r>
      <w:r w:rsidRPr="000977F7">
        <w:rPr>
          <w:color w:val="auto"/>
          <w:sz w:val="20"/>
          <w:szCs w:val="20"/>
        </w:rPr>
        <w:t>(УМОВНА)</w:t>
      </w:r>
      <w:r w:rsidRPr="000977F7">
        <w:rPr>
          <w:color w:val="auto"/>
          <w:spacing w:val="-1"/>
          <w:sz w:val="20"/>
          <w:szCs w:val="20"/>
        </w:rPr>
        <w:t xml:space="preserve"> </w:t>
      </w:r>
      <w:r w:rsidRPr="000977F7">
        <w:rPr>
          <w:color w:val="auto"/>
          <w:sz w:val="20"/>
          <w:szCs w:val="20"/>
        </w:rPr>
        <w:t>–</w:t>
      </w:r>
    </w:p>
    <w:p w14:paraId="0C116D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OFFSET YIELD</w:t>
      </w:r>
      <w:r w:rsidRPr="000977F7">
        <w:rPr>
          <w:rFonts w:asciiTheme="majorHAnsi" w:hAnsiTheme="majorHAnsi"/>
          <w:spacing w:val="-3"/>
          <w:sz w:val="20"/>
          <w:szCs w:val="20"/>
        </w:rPr>
        <w:t xml:space="preserve"> </w:t>
      </w:r>
      <w:r w:rsidRPr="000977F7">
        <w:rPr>
          <w:rFonts w:asciiTheme="majorHAnsi" w:hAnsiTheme="majorHAnsi"/>
          <w:sz w:val="20"/>
          <w:szCs w:val="20"/>
        </w:rPr>
        <w:t>STRESS</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3B043B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Напруження, за якого залишкова деформація</w:t>
      </w:r>
      <w:r w:rsidRPr="000977F7">
        <w:rPr>
          <w:rFonts w:asciiTheme="majorHAnsi" w:hAnsiTheme="majorHAnsi"/>
          <w:spacing w:val="1"/>
          <w:sz w:val="20"/>
          <w:szCs w:val="20"/>
        </w:rPr>
        <w:t xml:space="preserve"> </w:t>
      </w:r>
      <w:r w:rsidRPr="000977F7">
        <w:rPr>
          <w:rFonts w:asciiTheme="majorHAnsi" w:hAnsiTheme="majorHAnsi"/>
          <w:sz w:val="20"/>
          <w:szCs w:val="20"/>
        </w:rPr>
        <w:t>зразка</w:t>
      </w:r>
      <w:r w:rsidRPr="000977F7">
        <w:rPr>
          <w:rFonts w:asciiTheme="majorHAnsi" w:hAnsiTheme="majorHAnsi"/>
          <w:spacing w:val="1"/>
          <w:sz w:val="20"/>
          <w:szCs w:val="20"/>
        </w:rPr>
        <w:t xml:space="preserve"> </w:t>
      </w:r>
      <w:r w:rsidRPr="000977F7">
        <w:rPr>
          <w:rFonts w:asciiTheme="majorHAnsi" w:hAnsiTheme="majorHAnsi"/>
          <w:sz w:val="20"/>
          <w:szCs w:val="20"/>
        </w:rPr>
        <w:t>досягає обумовленої нормативно-технічними доку-</w:t>
      </w:r>
    </w:p>
    <w:p w14:paraId="6C22EFE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ментами величини</w:t>
      </w:r>
    </w:p>
    <w:p w14:paraId="1359D5F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78716FC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ГРАНИЦЯ</w:t>
      </w:r>
      <w:r w:rsidRPr="000977F7">
        <w:rPr>
          <w:color w:val="auto"/>
          <w:spacing w:val="-4"/>
          <w:sz w:val="20"/>
          <w:szCs w:val="20"/>
        </w:rPr>
        <w:t xml:space="preserve"> </w:t>
      </w:r>
      <w:r w:rsidRPr="000977F7">
        <w:rPr>
          <w:color w:val="auto"/>
          <w:sz w:val="20"/>
          <w:szCs w:val="20"/>
        </w:rPr>
        <w:t>ПЛИННОСТІ</w:t>
      </w:r>
      <w:r w:rsidRPr="000977F7">
        <w:rPr>
          <w:color w:val="auto"/>
          <w:spacing w:val="-4"/>
          <w:sz w:val="20"/>
          <w:szCs w:val="20"/>
        </w:rPr>
        <w:t xml:space="preserve"> </w:t>
      </w:r>
      <w:r w:rsidRPr="000977F7">
        <w:rPr>
          <w:color w:val="auto"/>
          <w:sz w:val="20"/>
          <w:szCs w:val="20"/>
        </w:rPr>
        <w:t>ФІЗИЧНА</w:t>
      </w:r>
      <w:r w:rsidRPr="000977F7">
        <w:rPr>
          <w:color w:val="auto"/>
          <w:spacing w:val="-2"/>
          <w:sz w:val="20"/>
          <w:szCs w:val="20"/>
        </w:rPr>
        <w:t xml:space="preserve"> </w:t>
      </w:r>
      <w:r w:rsidRPr="000977F7">
        <w:rPr>
          <w:color w:val="auto"/>
          <w:sz w:val="20"/>
          <w:szCs w:val="20"/>
        </w:rPr>
        <w:t>–</w:t>
      </w:r>
    </w:p>
    <w:p w14:paraId="32D99D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YIELD</w:t>
      </w:r>
      <w:r w:rsidRPr="000977F7">
        <w:rPr>
          <w:rFonts w:asciiTheme="majorHAnsi" w:hAnsiTheme="majorHAnsi"/>
          <w:spacing w:val="-3"/>
          <w:sz w:val="20"/>
          <w:szCs w:val="20"/>
        </w:rPr>
        <w:t xml:space="preserve"> </w:t>
      </w:r>
      <w:r w:rsidRPr="000977F7">
        <w:rPr>
          <w:rFonts w:asciiTheme="majorHAnsi" w:hAnsiTheme="majorHAnsi"/>
          <w:sz w:val="20"/>
          <w:szCs w:val="20"/>
        </w:rPr>
        <w:t>STRESS</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6181D56D"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Найменше</w:t>
      </w:r>
      <w:r w:rsidRPr="000977F7">
        <w:rPr>
          <w:rFonts w:asciiTheme="majorHAnsi" w:hAnsiTheme="majorHAnsi"/>
          <w:spacing w:val="1"/>
          <w:sz w:val="20"/>
          <w:szCs w:val="20"/>
        </w:rPr>
        <w:t xml:space="preserve"> </w:t>
      </w:r>
      <w:r w:rsidRPr="000977F7">
        <w:rPr>
          <w:rFonts w:asciiTheme="majorHAnsi" w:hAnsiTheme="majorHAnsi"/>
          <w:sz w:val="20"/>
          <w:szCs w:val="20"/>
        </w:rPr>
        <w:t>умовне</w:t>
      </w:r>
      <w:r w:rsidRPr="000977F7">
        <w:rPr>
          <w:rFonts w:asciiTheme="majorHAnsi" w:hAnsiTheme="majorHAnsi"/>
          <w:spacing w:val="1"/>
          <w:sz w:val="20"/>
          <w:szCs w:val="20"/>
        </w:rPr>
        <w:t xml:space="preserve"> </w:t>
      </w:r>
      <w:r w:rsidRPr="000977F7">
        <w:rPr>
          <w:rFonts w:asciiTheme="majorHAnsi" w:hAnsiTheme="majorHAnsi"/>
          <w:sz w:val="20"/>
          <w:szCs w:val="20"/>
        </w:rPr>
        <w:t>напруження, за якого зразок деформується без помітного збільшення навантаження</w:t>
      </w:r>
      <w:r w:rsidRPr="000977F7">
        <w:rPr>
          <w:rFonts w:asciiTheme="majorHAnsi" w:hAnsiTheme="majorHAns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CE5948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ГРАНИЦЯ</w:t>
      </w:r>
      <w:r w:rsidRPr="000977F7">
        <w:rPr>
          <w:color w:val="auto"/>
          <w:spacing w:val="-3"/>
          <w:sz w:val="20"/>
          <w:szCs w:val="20"/>
        </w:rPr>
        <w:t xml:space="preserve"> </w:t>
      </w:r>
      <w:r w:rsidRPr="000977F7">
        <w:rPr>
          <w:color w:val="auto"/>
          <w:sz w:val="20"/>
          <w:szCs w:val="20"/>
        </w:rPr>
        <w:t>ПОВЗУЧОСТІ</w:t>
      </w:r>
      <w:r w:rsidRPr="000977F7">
        <w:rPr>
          <w:color w:val="auto"/>
          <w:spacing w:val="-4"/>
          <w:sz w:val="20"/>
          <w:szCs w:val="20"/>
        </w:rPr>
        <w:t xml:space="preserve"> </w:t>
      </w:r>
      <w:r w:rsidRPr="000977F7">
        <w:rPr>
          <w:color w:val="auto"/>
          <w:sz w:val="20"/>
          <w:szCs w:val="20"/>
        </w:rPr>
        <w:t>–</w:t>
      </w:r>
    </w:p>
    <w:p w14:paraId="1E81034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CREEP</w:t>
      </w:r>
      <w:r w:rsidRPr="000977F7">
        <w:rPr>
          <w:rFonts w:asciiTheme="majorHAnsi" w:hAnsiTheme="majorHAnsi"/>
          <w:spacing w:val="-1"/>
          <w:sz w:val="20"/>
          <w:szCs w:val="20"/>
        </w:rPr>
        <w:t xml:space="preserve"> </w:t>
      </w:r>
      <w:r w:rsidRPr="000977F7">
        <w:rPr>
          <w:rFonts w:asciiTheme="majorHAnsi" w:hAnsiTheme="majorHAnsi"/>
          <w:sz w:val="20"/>
          <w:szCs w:val="20"/>
        </w:rPr>
        <w:t>LIMIT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66664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Напруження, за якого швидкість деформації повзучості або деформація повзучості за визначений час (за</w:t>
      </w:r>
      <w:r w:rsidRPr="000977F7">
        <w:rPr>
          <w:rFonts w:asciiTheme="majorHAnsi" w:hAnsiTheme="majorHAnsi"/>
          <w:spacing w:val="1"/>
          <w:sz w:val="20"/>
          <w:szCs w:val="20"/>
        </w:rPr>
        <w:t xml:space="preserve"> </w:t>
      </w:r>
      <w:r w:rsidRPr="000977F7">
        <w:rPr>
          <w:rFonts w:asciiTheme="majorHAnsi" w:hAnsiTheme="majorHAnsi"/>
          <w:sz w:val="20"/>
          <w:szCs w:val="20"/>
        </w:rPr>
        <w:t>умовою)</w:t>
      </w:r>
      <w:r w:rsidRPr="000977F7">
        <w:rPr>
          <w:rFonts w:asciiTheme="majorHAnsi" w:hAnsiTheme="majorHAnsi"/>
          <w:spacing w:val="-1"/>
          <w:sz w:val="20"/>
          <w:szCs w:val="20"/>
        </w:rPr>
        <w:t xml:space="preserve"> </w:t>
      </w:r>
      <w:r w:rsidRPr="000977F7">
        <w:rPr>
          <w:rFonts w:asciiTheme="majorHAnsi" w:hAnsiTheme="majorHAnsi"/>
          <w:sz w:val="20"/>
          <w:szCs w:val="20"/>
        </w:rPr>
        <w:t>дорівнює заданій</w:t>
      </w:r>
    </w:p>
    <w:p w14:paraId="3135C8F1"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2825</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776A8F6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ГРАНИЦЯ</w:t>
      </w:r>
      <w:r w:rsidRPr="000977F7">
        <w:rPr>
          <w:color w:val="auto"/>
          <w:spacing w:val="-5"/>
          <w:sz w:val="20"/>
          <w:szCs w:val="20"/>
        </w:rPr>
        <w:t xml:space="preserve"> </w:t>
      </w:r>
      <w:r w:rsidRPr="000977F7">
        <w:rPr>
          <w:color w:val="auto"/>
          <w:sz w:val="20"/>
          <w:szCs w:val="20"/>
        </w:rPr>
        <w:t>ПРОПОРЦІЙНОСТІ</w:t>
      </w:r>
      <w:r w:rsidRPr="000977F7">
        <w:rPr>
          <w:color w:val="auto"/>
          <w:spacing w:val="-6"/>
          <w:sz w:val="20"/>
          <w:szCs w:val="20"/>
        </w:rPr>
        <w:t xml:space="preserve"> </w:t>
      </w:r>
      <w:r w:rsidRPr="000977F7">
        <w:rPr>
          <w:color w:val="auto"/>
          <w:sz w:val="20"/>
          <w:szCs w:val="20"/>
        </w:rPr>
        <w:t>–</w:t>
      </w:r>
    </w:p>
    <w:p w14:paraId="4E0D4C8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PROPORTIONALITY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LIMIT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6F3E6BC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Найбільше</w:t>
      </w:r>
      <w:r w:rsidRPr="004D2D14">
        <w:rPr>
          <w:rFonts w:asciiTheme="majorHAnsi" w:hAnsiTheme="majorHAnsi"/>
          <w:sz w:val="20"/>
          <w:szCs w:val="20"/>
          <w:lang w:val="en-US"/>
        </w:rPr>
        <w:t xml:space="preserve"> </w:t>
      </w:r>
      <w:r w:rsidRPr="000977F7">
        <w:rPr>
          <w:rFonts w:asciiTheme="majorHAnsi" w:hAnsiTheme="majorHAnsi"/>
          <w:sz w:val="20"/>
          <w:szCs w:val="20"/>
        </w:rPr>
        <w:t>умовне</w:t>
      </w:r>
      <w:r w:rsidRPr="004D2D14">
        <w:rPr>
          <w:rFonts w:asciiTheme="majorHAnsi" w:hAnsiTheme="majorHAnsi"/>
          <w:sz w:val="20"/>
          <w:szCs w:val="20"/>
          <w:lang w:val="en-US"/>
        </w:rPr>
        <w:t xml:space="preserve"> </w:t>
      </w:r>
      <w:r w:rsidRPr="000977F7">
        <w:rPr>
          <w:rFonts w:asciiTheme="majorHAnsi" w:hAnsiTheme="majorHAnsi"/>
          <w:sz w:val="20"/>
          <w:szCs w:val="20"/>
        </w:rPr>
        <w:t>напруження</w:t>
      </w:r>
      <w:r w:rsidRPr="004D2D14">
        <w:rPr>
          <w:rFonts w:asciiTheme="majorHAnsi" w:hAnsiTheme="majorHAnsi"/>
          <w:sz w:val="20"/>
          <w:szCs w:val="20"/>
          <w:lang w:val="en-US"/>
        </w:rPr>
        <w:t xml:space="preserve">, </w:t>
      </w:r>
      <w:r w:rsidRPr="000977F7">
        <w:rPr>
          <w:rFonts w:asciiTheme="majorHAnsi" w:hAnsiTheme="majorHAnsi"/>
          <w:sz w:val="20"/>
          <w:szCs w:val="20"/>
        </w:rPr>
        <w:t>за</w:t>
      </w:r>
      <w:r w:rsidRPr="004D2D14">
        <w:rPr>
          <w:rFonts w:asciiTheme="majorHAnsi" w:hAnsiTheme="majorHAnsi"/>
          <w:sz w:val="20"/>
          <w:szCs w:val="20"/>
          <w:lang w:val="en-US"/>
        </w:rPr>
        <w:t xml:space="preserve"> </w:t>
      </w:r>
      <w:r w:rsidRPr="000977F7">
        <w:rPr>
          <w:rFonts w:asciiTheme="majorHAnsi" w:hAnsiTheme="majorHAnsi"/>
          <w:sz w:val="20"/>
          <w:szCs w:val="20"/>
        </w:rPr>
        <w:t>якого</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обумовленим</w:t>
      </w:r>
      <w:r w:rsidRPr="004D2D14">
        <w:rPr>
          <w:rFonts w:asciiTheme="majorHAnsi" w:hAnsiTheme="majorHAnsi"/>
          <w:sz w:val="20"/>
          <w:szCs w:val="20"/>
          <w:lang w:val="en-US"/>
        </w:rPr>
        <w:t xml:space="preserve"> </w:t>
      </w:r>
      <w:r w:rsidRPr="000977F7">
        <w:rPr>
          <w:rFonts w:asciiTheme="majorHAnsi" w:hAnsiTheme="majorHAnsi"/>
          <w:sz w:val="20"/>
          <w:szCs w:val="20"/>
        </w:rPr>
        <w:t>відхиленням</w:t>
      </w:r>
      <w:r w:rsidRPr="004D2D14">
        <w:rPr>
          <w:rFonts w:asciiTheme="majorHAnsi" w:hAnsiTheme="majorHAnsi"/>
          <w:sz w:val="20"/>
          <w:szCs w:val="20"/>
          <w:lang w:val="en-US"/>
        </w:rPr>
        <w:t xml:space="preserve"> </w:t>
      </w:r>
      <w:r w:rsidRPr="000977F7">
        <w:rPr>
          <w:rFonts w:asciiTheme="majorHAnsi" w:hAnsiTheme="majorHAnsi"/>
          <w:sz w:val="20"/>
          <w:szCs w:val="20"/>
        </w:rPr>
        <w:t>зберігається</w:t>
      </w:r>
      <w:r w:rsidRPr="004D2D14">
        <w:rPr>
          <w:rFonts w:asciiTheme="majorHAnsi" w:hAnsiTheme="majorHAnsi"/>
          <w:sz w:val="20"/>
          <w:szCs w:val="20"/>
          <w:lang w:val="en-US"/>
        </w:rPr>
        <w:t xml:space="preserve"> </w:t>
      </w:r>
      <w:r w:rsidRPr="000977F7">
        <w:rPr>
          <w:rFonts w:asciiTheme="majorHAnsi" w:hAnsiTheme="majorHAnsi"/>
          <w:sz w:val="20"/>
          <w:szCs w:val="20"/>
        </w:rPr>
        <w:t>лінійна</w:t>
      </w:r>
      <w:r w:rsidRPr="004D2D14">
        <w:rPr>
          <w:rFonts w:asciiTheme="majorHAnsi" w:hAnsiTheme="majorHAnsi"/>
          <w:sz w:val="20"/>
          <w:szCs w:val="20"/>
          <w:lang w:val="en-US"/>
        </w:rPr>
        <w:t xml:space="preserve"> </w:t>
      </w:r>
      <w:r w:rsidRPr="000977F7">
        <w:rPr>
          <w:rFonts w:asciiTheme="majorHAnsi" w:hAnsiTheme="majorHAnsi"/>
          <w:sz w:val="20"/>
          <w:szCs w:val="20"/>
        </w:rPr>
        <w:t>залежність</w:t>
      </w:r>
      <w:r w:rsidRPr="004D2D14">
        <w:rPr>
          <w:rFonts w:asciiTheme="majorHAnsi" w:hAnsiTheme="majorHAnsi"/>
          <w:sz w:val="20"/>
          <w:szCs w:val="20"/>
          <w:lang w:val="en-US"/>
        </w:rPr>
        <w:t xml:space="preserve"> </w:t>
      </w:r>
      <w:r w:rsidRPr="000977F7">
        <w:rPr>
          <w:rFonts w:asciiTheme="majorHAnsi" w:hAnsiTheme="majorHAnsi"/>
          <w:sz w:val="20"/>
          <w:szCs w:val="20"/>
        </w:rPr>
        <w:t>між</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напруженнями</w:t>
      </w:r>
      <w:r w:rsidRPr="004D2D14">
        <w:rPr>
          <w:rFonts w:asciiTheme="majorHAnsi" w:hAnsiTheme="majorHAnsi"/>
          <w:spacing w:val="-2"/>
          <w:sz w:val="20"/>
          <w:szCs w:val="20"/>
          <w:lang w:val="en-US"/>
        </w:rPr>
        <w:t xml:space="preserve"> </w:t>
      </w:r>
      <w:r w:rsidRPr="000977F7">
        <w:rPr>
          <w:rFonts w:asciiTheme="majorHAnsi" w:hAnsiTheme="majorHAnsi"/>
          <w:sz w:val="20"/>
          <w:szCs w:val="20"/>
        </w:rPr>
        <w:t>і</w:t>
      </w:r>
      <w:r w:rsidRPr="004D2D14">
        <w:rPr>
          <w:rFonts w:asciiTheme="majorHAnsi" w:hAnsiTheme="majorHAnsi"/>
          <w:spacing w:val="-1"/>
          <w:sz w:val="20"/>
          <w:szCs w:val="20"/>
          <w:lang w:val="en-US"/>
        </w:rPr>
        <w:t xml:space="preserve"> </w:t>
      </w:r>
      <w:r w:rsidRPr="000977F7">
        <w:rPr>
          <w:rFonts w:asciiTheme="majorHAnsi" w:hAnsiTheme="majorHAnsi"/>
          <w:sz w:val="20"/>
          <w:szCs w:val="20"/>
        </w:rPr>
        <w:t>деформаціями</w:t>
      </w:r>
      <w:r w:rsidRPr="004D2D14">
        <w:rPr>
          <w:rFonts w:asciiTheme="majorHAnsi" w:hAnsiTheme="majorHAnsi"/>
          <w:spacing w:val="1"/>
          <w:sz w:val="20"/>
          <w:szCs w:val="20"/>
          <w:lang w:val="en-US"/>
        </w:rPr>
        <w:t xml:space="preserve"> </w:t>
      </w:r>
      <w:r w:rsidRPr="000977F7">
        <w:rPr>
          <w:rFonts w:asciiTheme="majorHAnsi" w:hAnsiTheme="majorHAnsi"/>
          <w:sz w:val="20"/>
          <w:szCs w:val="20"/>
        </w:rPr>
        <w:t>у</w:t>
      </w:r>
      <w:r w:rsidRPr="004D2D14">
        <w:rPr>
          <w:rFonts w:asciiTheme="majorHAnsi" w:hAnsiTheme="majorHAnsi"/>
          <w:spacing w:val="-5"/>
          <w:sz w:val="20"/>
          <w:szCs w:val="20"/>
          <w:lang w:val="en-US"/>
        </w:rPr>
        <w:t xml:space="preserve"> </w:t>
      </w:r>
      <w:r w:rsidRPr="000977F7">
        <w:rPr>
          <w:rFonts w:asciiTheme="majorHAnsi" w:hAnsiTheme="majorHAnsi"/>
          <w:sz w:val="20"/>
          <w:szCs w:val="20"/>
        </w:rPr>
        <w:t>зразку</w:t>
      </w:r>
    </w:p>
    <w:p w14:paraId="48B89D3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2825</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6D74E3A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ГРАНИЦЯ</w:t>
      </w:r>
      <w:r w:rsidRPr="000977F7">
        <w:rPr>
          <w:color w:val="auto"/>
          <w:spacing w:val="-5"/>
          <w:sz w:val="20"/>
          <w:szCs w:val="20"/>
        </w:rPr>
        <w:t xml:space="preserve"> </w:t>
      </w:r>
      <w:r w:rsidRPr="000977F7">
        <w:rPr>
          <w:color w:val="auto"/>
          <w:sz w:val="20"/>
          <w:szCs w:val="20"/>
        </w:rPr>
        <w:t>ПРУЖНОСТІ –</w:t>
      </w:r>
    </w:p>
    <w:p w14:paraId="384D99B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ELASTICITY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LIMIT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140ECF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Найбільше умовне напруження, за якого з обумовленим відхиленням зберігається пружність у разі деформування</w:t>
      </w:r>
      <w:r w:rsidRPr="000977F7">
        <w:rPr>
          <w:rFonts w:asciiTheme="majorHAnsi" w:hAnsiTheme="majorHAnsi"/>
          <w:spacing w:val="-1"/>
          <w:sz w:val="20"/>
          <w:szCs w:val="20"/>
        </w:rPr>
        <w:t xml:space="preserve"> </w:t>
      </w:r>
      <w:r w:rsidRPr="000977F7">
        <w:rPr>
          <w:rFonts w:asciiTheme="majorHAnsi" w:hAnsiTheme="majorHAnsi"/>
          <w:sz w:val="20"/>
          <w:szCs w:val="20"/>
        </w:rPr>
        <w:t>зразків</w:t>
      </w:r>
    </w:p>
    <w:p w14:paraId="17403EA3"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2825</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16AFC351" w14:textId="77777777" w:rsidR="0097612F" w:rsidRPr="000977F7" w:rsidRDefault="0097612F" w:rsidP="000977F7">
      <w:pPr>
        <w:pStyle w:val="7"/>
        <w:tabs>
          <w:tab w:val="left" w:pos="284"/>
          <w:tab w:val="left" w:pos="1773"/>
          <w:tab w:val="left" w:pos="3431"/>
        </w:tabs>
        <w:spacing w:before="0" w:line="240" w:lineRule="auto"/>
        <w:ind w:left="170"/>
        <w:mirrorIndents/>
        <w:jc w:val="both"/>
        <w:rPr>
          <w:b w:val="0"/>
          <w:color w:val="auto"/>
          <w:sz w:val="20"/>
          <w:szCs w:val="20"/>
        </w:rPr>
      </w:pPr>
      <w:r w:rsidRPr="000977F7">
        <w:rPr>
          <w:color w:val="auto"/>
          <w:sz w:val="20"/>
          <w:szCs w:val="20"/>
        </w:rPr>
        <w:t>ГРАНИЦЯ ОБМЕЖЕНОЇ ВИТРИВАЛОСТІ –</w:t>
      </w:r>
    </w:p>
    <w:p w14:paraId="6FE4B49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FATIGUE</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STRENGTH</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AT</w:t>
      </w:r>
      <w:r w:rsidRPr="004D2D14">
        <w:rPr>
          <w:rFonts w:asciiTheme="majorHAnsi" w:hAnsiTheme="majorHAnsi"/>
          <w:spacing w:val="10"/>
          <w:sz w:val="20"/>
          <w:szCs w:val="20"/>
          <w:lang w:val="en-US"/>
        </w:rPr>
        <w:t xml:space="preserve"> </w:t>
      </w:r>
      <w:r w:rsidRPr="004D2D14">
        <w:rPr>
          <w:rFonts w:asciiTheme="majorHAnsi" w:hAnsiTheme="majorHAnsi"/>
          <w:sz w:val="20"/>
          <w:szCs w:val="20"/>
          <w:lang w:val="en-US"/>
        </w:rPr>
        <w:t>N</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CYCLE;</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FATIGUE</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STRENGTH</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FOR</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FINITE LIFE;</w:t>
      </w:r>
    </w:p>
    <w:p w14:paraId="33F01D1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lastRenderedPageBreak/>
        <w:t>ENDURANCE LIMIT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1D98729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Максимальне</w:t>
      </w:r>
      <w:r w:rsidRPr="004D2D14">
        <w:rPr>
          <w:rFonts w:asciiTheme="majorHAnsi" w:hAnsiTheme="majorHAnsi"/>
          <w:sz w:val="20"/>
          <w:szCs w:val="20"/>
          <w:lang w:val="en-US"/>
        </w:rPr>
        <w:t xml:space="preserve"> </w:t>
      </w:r>
      <w:r w:rsidRPr="000977F7">
        <w:rPr>
          <w:rFonts w:asciiTheme="majorHAnsi" w:hAnsiTheme="majorHAnsi"/>
          <w:sz w:val="20"/>
          <w:szCs w:val="20"/>
        </w:rPr>
        <w:t>за</w:t>
      </w:r>
      <w:r w:rsidRPr="004D2D14">
        <w:rPr>
          <w:rFonts w:asciiTheme="majorHAnsi" w:hAnsiTheme="majorHAnsi"/>
          <w:sz w:val="20"/>
          <w:szCs w:val="20"/>
          <w:lang w:val="en-US"/>
        </w:rPr>
        <w:t xml:space="preserve"> </w:t>
      </w:r>
      <w:r w:rsidRPr="000977F7">
        <w:rPr>
          <w:rFonts w:asciiTheme="majorHAnsi" w:hAnsiTheme="majorHAnsi"/>
          <w:sz w:val="20"/>
          <w:szCs w:val="20"/>
        </w:rPr>
        <w:t>абсолютним</w:t>
      </w:r>
      <w:r w:rsidRPr="004D2D14">
        <w:rPr>
          <w:rFonts w:asciiTheme="majorHAnsi" w:hAnsiTheme="majorHAnsi"/>
          <w:sz w:val="20"/>
          <w:szCs w:val="20"/>
          <w:lang w:val="en-US"/>
        </w:rPr>
        <w:t xml:space="preserve"> </w:t>
      </w:r>
      <w:r w:rsidRPr="000977F7">
        <w:rPr>
          <w:rFonts w:asciiTheme="majorHAnsi" w:hAnsiTheme="majorHAnsi"/>
          <w:sz w:val="20"/>
          <w:szCs w:val="20"/>
        </w:rPr>
        <w:t>значенням</w:t>
      </w:r>
      <w:r w:rsidRPr="004D2D14">
        <w:rPr>
          <w:rFonts w:asciiTheme="majorHAnsi" w:hAnsiTheme="majorHAnsi"/>
          <w:sz w:val="20"/>
          <w:szCs w:val="20"/>
          <w:lang w:val="en-US"/>
        </w:rPr>
        <w:t xml:space="preserve"> </w:t>
      </w:r>
      <w:r w:rsidRPr="000977F7">
        <w:rPr>
          <w:rFonts w:asciiTheme="majorHAnsi" w:hAnsiTheme="majorHAnsi"/>
          <w:sz w:val="20"/>
          <w:szCs w:val="20"/>
        </w:rPr>
        <w:t>напруження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циклу</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відповідає</w:t>
      </w:r>
      <w:r w:rsidRPr="004D2D14">
        <w:rPr>
          <w:rFonts w:asciiTheme="majorHAnsi" w:hAnsiTheme="majorHAnsi"/>
          <w:sz w:val="20"/>
          <w:szCs w:val="20"/>
          <w:lang w:val="en-US"/>
        </w:rPr>
        <w:t xml:space="preserve"> </w:t>
      </w:r>
      <w:r w:rsidRPr="000977F7">
        <w:rPr>
          <w:rFonts w:asciiTheme="majorHAnsi" w:hAnsiTheme="majorHAnsi"/>
          <w:sz w:val="20"/>
          <w:szCs w:val="20"/>
        </w:rPr>
        <w:t>згідно</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кривою</w:t>
      </w:r>
      <w:r w:rsidRPr="004D2D14">
        <w:rPr>
          <w:rFonts w:asciiTheme="majorHAnsi" w:hAnsiTheme="majorHAnsi"/>
          <w:sz w:val="20"/>
          <w:szCs w:val="20"/>
          <w:lang w:val="en-US"/>
        </w:rPr>
        <w:t xml:space="preserve"> </w:t>
      </w:r>
      <w:r w:rsidRPr="000977F7">
        <w:rPr>
          <w:rFonts w:asciiTheme="majorHAnsi" w:hAnsiTheme="majorHAnsi"/>
          <w:sz w:val="20"/>
          <w:szCs w:val="20"/>
        </w:rPr>
        <w:t>втоми</w:t>
      </w:r>
      <w:r w:rsidRPr="004D2D14">
        <w:rPr>
          <w:rFonts w:asciiTheme="majorHAnsi" w:hAnsiTheme="majorHAnsi"/>
          <w:sz w:val="20"/>
          <w:szCs w:val="20"/>
          <w:lang w:val="en-US"/>
        </w:rPr>
        <w:t xml:space="preserve"> </w:t>
      </w:r>
      <w:r w:rsidRPr="000977F7">
        <w:rPr>
          <w:rFonts w:asciiTheme="majorHAnsi" w:hAnsiTheme="majorHAnsi"/>
          <w:sz w:val="20"/>
          <w:szCs w:val="20"/>
        </w:rPr>
        <w:t>заданій</w:t>
      </w:r>
      <w:r w:rsidRPr="004D2D14">
        <w:rPr>
          <w:rFonts w:asciiTheme="majorHAnsi" w:hAnsiTheme="majorHAnsi"/>
          <w:spacing w:val="1"/>
          <w:sz w:val="20"/>
          <w:szCs w:val="20"/>
          <w:lang w:val="en-US"/>
        </w:rPr>
        <w:t xml:space="preserve"> </w:t>
      </w:r>
      <w:r w:rsidRPr="000977F7">
        <w:rPr>
          <w:rFonts w:asciiTheme="majorHAnsi" w:hAnsiTheme="majorHAnsi"/>
          <w:sz w:val="20"/>
          <w:szCs w:val="20"/>
        </w:rPr>
        <w:t>циклічній</w:t>
      </w:r>
      <w:r w:rsidRPr="004D2D14">
        <w:rPr>
          <w:rFonts w:asciiTheme="majorHAnsi" w:hAnsiTheme="majorHAnsi"/>
          <w:spacing w:val="-2"/>
          <w:sz w:val="20"/>
          <w:szCs w:val="20"/>
          <w:lang w:val="en-US"/>
        </w:rPr>
        <w:t xml:space="preserve"> </w:t>
      </w:r>
      <w:r w:rsidRPr="000977F7">
        <w:rPr>
          <w:rFonts w:asciiTheme="majorHAnsi" w:hAnsiTheme="majorHAnsi"/>
          <w:sz w:val="20"/>
          <w:szCs w:val="20"/>
        </w:rPr>
        <w:t>довговічності</w:t>
      </w:r>
    </w:p>
    <w:p w14:paraId="7C70DB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108F83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Границі обмеженої витривалості подають у номінальних</w:t>
      </w:r>
      <w:r w:rsidRPr="000977F7">
        <w:rPr>
          <w:rFonts w:asciiTheme="majorHAnsi" w:hAnsiTheme="majorHAnsi"/>
          <w:spacing w:val="-2"/>
          <w:sz w:val="20"/>
          <w:szCs w:val="20"/>
        </w:rPr>
        <w:t xml:space="preserve"> </w:t>
      </w:r>
      <w:r w:rsidRPr="000977F7">
        <w:rPr>
          <w:rFonts w:asciiTheme="majorHAnsi" w:hAnsiTheme="majorHAnsi"/>
          <w:sz w:val="20"/>
          <w:szCs w:val="20"/>
        </w:rPr>
        <w:t>напруженнях</w:t>
      </w:r>
    </w:p>
    <w:p w14:paraId="6CA22AC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45138C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ГРАНИЦЯ</w:t>
      </w:r>
      <w:r w:rsidRPr="000977F7">
        <w:rPr>
          <w:color w:val="auto"/>
          <w:spacing w:val="-4"/>
          <w:sz w:val="20"/>
          <w:szCs w:val="20"/>
        </w:rPr>
        <w:t xml:space="preserve"> </w:t>
      </w:r>
      <w:r w:rsidRPr="000977F7">
        <w:rPr>
          <w:color w:val="auto"/>
          <w:sz w:val="20"/>
          <w:szCs w:val="20"/>
        </w:rPr>
        <w:t>ТРИВАЛОЇ</w:t>
      </w:r>
      <w:r w:rsidRPr="000977F7">
        <w:rPr>
          <w:color w:val="auto"/>
          <w:spacing w:val="-4"/>
          <w:sz w:val="20"/>
          <w:szCs w:val="20"/>
        </w:rPr>
        <w:t xml:space="preserve"> </w:t>
      </w:r>
      <w:r w:rsidRPr="000977F7">
        <w:rPr>
          <w:color w:val="auto"/>
          <w:sz w:val="20"/>
          <w:szCs w:val="20"/>
        </w:rPr>
        <w:t>МІЦНОСТІ</w:t>
      </w:r>
      <w:r w:rsidRPr="000977F7">
        <w:rPr>
          <w:color w:val="auto"/>
          <w:spacing w:val="-4"/>
          <w:sz w:val="20"/>
          <w:szCs w:val="20"/>
        </w:rPr>
        <w:t xml:space="preserve"> </w:t>
      </w:r>
      <w:r w:rsidRPr="000977F7">
        <w:rPr>
          <w:color w:val="auto"/>
          <w:sz w:val="20"/>
          <w:szCs w:val="20"/>
        </w:rPr>
        <w:t>–</w:t>
      </w:r>
    </w:p>
    <w:p w14:paraId="5AFC854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LONGTIME</w:t>
      </w:r>
      <w:r w:rsidRPr="000977F7">
        <w:rPr>
          <w:rFonts w:asciiTheme="majorHAnsi" w:hAnsiTheme="majorHAnsi"/>
          <w:spacing w:val="-1"/>
          <w:sz w:val="20"/>
          <w:szCs w:val="20"/>
        </w:rPr>
        <w:t xml:space="preserve"> </w:t>
      </w:r>
      <w:r w:rsidRPr="000977F7">
        <w:rPr>
          <w:rFonts w:asciiTheme="majorHAnsi" w:hAnsiTheme="majorHAnsi"/>
          <w:sz w:val="20"/>
          <w:szCs w:val="20"/>
        </w:rPr>
        <w:t>STRENGTH</w:t>
      </w:r>
      <w:r w:rsidRPr="000977F7">
        <w:rPr>
          <w:rFonts w:asciiTheme="majorHAnsi" w:hAnsiTheme="majorHAnsi"/>
          <w:spacing w:val="-2"/>
          <w:sz w:val="20"/>
          <w:szCs w:val="20"/>
        </w:rPr>
        <w:t xml:space="preserve"> </w:t>
      </w:r>
      <w:r w:rsidRPr="000977F7">
        <w:rPr>
          <w:rFonts w:asciiTheme="majorHAnsi" w:hAnsiTheme="majorHAnsi"/>
          <w:sz w:val="20"/>
          <w:szCs w:val="20"/>
        </w:rPr>
        <w:t>LIMIT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492FF1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Напруження, за якого зразок досягає поділу на частини</w:t>
      </w:r>
      <w:r w:rsidRPr="000977F7">
        <w:rPr>
          <w:rFonts w:asciiTheme="majorHAnsi" w:hAnsiTheme="majorHAnsi"/>
          <w:spacing w:val="-2"/>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обумовлений</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дії</w:t>
      </w:r>
      <w:r w:rsidRPr="000977F7">
        <w:rPr>
          <w:rFonts w:asciiTheme="majorHAnsi" w:hAnsiTheme="majorHAnsi"/>
          <w:spacing w:val="-1"/>
          <w:sz w:val="20"/>
          <w:szCs w:val="20"/>
        </w:rPr>
        <w:t xml:space="preserve"> </w:t>
      </w:r>
      <w:r w:rsidRPr="000977F7">
        <w:rPr>
          <w:rFonts w:asciiTheme="majorHAnsi" w:hAnsiTheme="majorHAnsi"/>
          <w:sz w:val="20"/>
          <w:szCs w:val="20"/>
        </w:rPr>
        <w:t>навантаження</w:t>
      </w:r>
    </w:p>
    <w:p w14:paraId="36500113"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2825</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3645FDD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ГРАНИЧНА</w:t>
      </w:r>
      <w:r w:rsidRPr="000977F7">
        <w:rPr>
          <w:color w:val="auto"/>
          <w:spacing w:val="-4"/>
          <w:sz w:val="20"/>
          <w:szCs w:val="20"/>
        </w:rPr>
        <w:t xml:space="preserve"> </w:t>
      </w:r>
      <w:r w:rsidRPr="000977F7">
        <w:rPr>
          <w:color w:val="auto"/>
          <w:sz w:val="20"/>
          <w:szCs w:val="20"/>
        </w:rPr>
        <w:t>АМПЛІТУДА</w:t>
      </w:r>
      <w:r w:rsidRPr="000977F7">
        <w:rPr>
          <w:color w:val="auto"/>
          <w:spacing w:val="-3"/>
          <w:sz w:val="20"/>
          <w:szCs w:val="20"/>
        </w:rPr>
        <w:t xml:space="preserve"> </w:t>
      </w:r>
      <w:r w:rsidRPr="000977F7">
        <w:rPr>
          <w:color w:val="auto"/>
          <w:sz w:val="20"/>
          <w:szCs w:val="20"/>
        </w:rPr>
        <w:t>ЦИКЛУ</w:t>
      </w:r>
      <w:r w:rsidRPr="000977F7">
        <w:rPr>
          <w:color w:val="auto"/>
          <w:spacing w:val="-4"/>
          <w:sz w:val="20"/>
          <w:szCs w:val="20"/>
        </w:rPr>
        <w:t xml:space="preserve"> </w:t>
      </w:r>
      <w:r w:rsidRPr="000977F7">
        <w:rPr>
          <w:color w:val="auto"/>
          <w:sz w:val="20"/>
          <w:szCs w:val="20"/>
        </w:rPr>
        <w:t>–</w:t>
      </w:r>
    </w:p>
    <w:p w14:paraId="3627BC9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LIMIT</w:t>
      </w:r>
      <w:r w:rsidRPr="004D2D14">
        <w:rPr>
          <w:rFonts w:asciiTheme="majorHAnsi" w:hAnsiTheme="majorHAnsi"/>
          <w:spacing w:val="32"/>
          <w:sz w:val="20"/>
          <w:szCs w:val="20"/>
          <w:lang w:val="en-US"/>
        </w:rPr>
        <w:t xml:space="preserve"> </w:t>
      </w:r>
      <w:r w:rsidRPr="004D2D14">
        <w:rPr>
          <w:rFonts w:asciiTheme="majorHAnsi" w:hAnsiTheme="majorHAnsi"/>
          <w:sz w:val="20"/>
          <w:szCs w:val="20"/>
          <w:lang w:val="en-US"/>
        </w:rPr>
        <w:t>ALTERNATING</w:t>
      </w:r>
      <w:r w:rsidRPr="004D2D14">
        <w:rPr>
          <w:rFonts w:asciiTheme="majorHAnsi" w:hAnsiTheme="majorHAnsi"/>
          <w:spacing w:val="29"/>
          <w:sz w:val="20"/>
          <w:szCs w:val="20"/>
          <w:lang w:val="en-US"/>
        </w:rPr>
        <w:t xml:space="preserve"> </w:t>
      </w:r>
      <w:r w:rsidRPr="004D2D14">
        <w:rPr>
          <w:rFonts w:asciiTheme="majorHAnsi" w:hAnsiTheme="majorHAnsi"/>
          <w:sz w:val="20"/>
          <w:szCs w:val="20"/>
          <w:lang w:val="en-US"/>
        </w:rPr>
        <w:t>STRESS;</w:t>
      </w:r>
      <w:r w:rsidRPr="004D2D14">
        <w:rPr>
          <w:rFonts w:asciiTheme="majorHAnsi" w:hAnsiTheme="majorHAnsi"/>
          <w:spacing w:val="29"/>
          <w:sz w:val="20"/>
          <w:szCs w:val="20"/>
          <w:lang w:val="en-US"/>
        </w:rPr>
        <w:t xml:space="preserve"> </w:t>
      </w:r>
      <w:r w:rsidRPr="004D2D14">
        <w:rPr>
          <w:rFonts w:asciiTheme="majorHAnsi" w:hAnsiTheme="majorHAnsi"/>
          <w:sz w:val="20"/>
          <w:szCs w:val="20"/>
          <w:lang w:val="en-US"/>
        </w:rPr>
        <w:t>LIMIT</w:t>
      </w:r>
      <w:r w:rsidRPr="004D2D14">
        <w:rPr>
          <w:rFonts w:asciiTheme="majorHAnsi" w:hAnsiTheme="majorHAnsi"/>
          <w:spacing w:val="32"/>
          <w:sz w:val="20"/>
          <w:szCs w:val="20"/>
          <w:lang w:val="en-US"/>
        </w:rPr>
        <w:t xml:space="preserve"> </w:t>
      </w:r>
      <w:r w:rsidRPr="004D2D14">
        <w:rPr>
          <w:rFonts w:asciiTheme="majorHAnsi" w:hAnsiTheme="majorHAnsi"/>
          <w:sz w:val="20"/>
          <w:szCs w:val="20"/>
          <w:lang w:val="en-US"/>
        </w:rPr>
        <w:t>CYCLE</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AMPLITUDE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D7B533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Амплітуда напруження циклу, що відповідає границі</w:t>
      </w:r>
      <w:r w:rsidRPr="000977F7">
        <w:rPr>
          <w:rFonts w:asciiTheme="majorHAnsi" w:hAnsiTheme="majorHAnsi"/>
          <w:spacing w:val="1"/>
          <w:sz w:val="20"/>
          <w:szCs w:val="20"/>
        </w:rPr>
        <w:t xml:space="preserve"> </w:t>
      </w:r>
      <w:r w:rsidRPr="000977F7">
        <w:rPr>
          <w:rFonts w:asciiTheme="majorHAnsi" w:hAnsiTheme="majorHAnsi"/>
          <w:sz w:val="20"/>
          <w:szCs w:val="20"/>
        </w:rPr>
        <w:t>витривалості</w:t>
      </w:r>
    </w:p>
    <w:p w14:paraId="6F3319D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2444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167389A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ГРАНИЧНА</w:t>
      </w:r>
      <w:r w:rsidRPr="000977F7">
        <w:rPr>
          <w:color w:val="auto"/>
          <w:spacing w:val="-4"/>
          <w:sz w:val="20"/>
          <w:szCs w:val="20"/>
        </w:rPr>
        <w:t xml:space="preserve"> </w:t>
      </w:r>
      <w:r w:rsidRPr="000977F7">
        <w:rPr>
          <w:color w:val="auto"/>
          <w:sz w:val="20"/>
          <w:szCs w:val="20"/>
        </w:rPr>
        <w:t>ПЕРЕВІРКА –</w:t>
      </w:r>
    </w:p>
    <w:p w14:paraId="6973994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MARGINAL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MARGINAL</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CHECK</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12CB8CE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відповідно до якого певне діяння, таке як сигнал напруги або частоти, змінюють у визначених межах відносно номінальних значень з метою виявлення</w:t>
      </w:r>
      <w:r w:rsidRPr="000977F7">
        <w:rPr>
          <w:rFonts w:asciiTheme="majorHAnsi" w:hAnsiTheme="majorHAnsi"/>
          <w:spacing w:val="-47"/>
          <w:sz w:val="20"/>
          <w:szCs w:val="20"/>
        </w:rPr>
        <w:t xml:space="preserve">                </w:t>
      </w:r>
      <w:r w:rsidRPr="000977F7">
        <w:rPr>
          <w:rFonts w:asciiTheme="majorHAnsi" w:hAnsiTheme="majorHAnsi"/>
          <w:sz w:val="20"/>
          <w:szCs w:val="20"/>
        </w:rPr>
        <w:t>несправностей</w:t>
      </w:r>
    </w:p>
    <w:p w14:paraId="25E8A95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bookmarkStart w:id="40" w:name="_Hlk102193162"/>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ISO/IEC</w:t>
      </w:r>
      <w:r w:rsidRPr="000977F7">
        <w:rPr>
          <w:rFonts w:asciiTheme="majorHAnsi" w:hAnsiTheme="majorHAnsi"/>
          <w:i/>
          <w:spacing w:val="-3"/>
          <w:sz w:val="20"/>
          <w:szCs w:val="20"/>
        </w:rPr>
        <w:t xml:space="preserve"> </w:t>
      </w:r>
      <w:r w:rsidRPr="000977F7">
        <w:rPr>
          <w:rFonts w:asciiTheme="majorHAnsi" w:hAnsiTheme="majorHAnsi"/>
          <w:i/>
          <w:sz w:val="20"/>
          <w:szCs w:val="20"/>
        </w:rPr>
        <w:t>2382:2017</w:t>
      </w:r>
    </w:p>
    <w:bookmarkEnd w:id="40"/>
    <w:p w14:paraId="69B6713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ГРАНИЧНА</w:t>
      </w:r>
      <w:r w:rsidRPr="000977F7">
        <w:rPr>
          <w:color w:val="auto"/>
          <w:spacing w:val="-4"/>
          <w:sz w:val="20"/>
          <w:szCs w:val="20"/>
        </w:rPr>
        <w:t xml:space="preserve"> </w:t>
      </w:r>
      <w:r w:rsidRPr="000977F7">
        <w:rPr>
          <w:color w:val="auto"/>
          <w:sz w:val="20"/>
          <w:szCs w:val="20"/>
        </w:rPr>
        <w:t>ЧАСТОТА</w:t>
      </w:r>
      <w:r w:rsidRPr="000977F7">
        <w:rPr>
          <w:color w:val="auto"/>
          <w:spacing w:val="-2"/>
          <w:sz w:val="20"/>
          <w:szCs w:val="20"/>
        </w:rPr>
        <w:t xml:space="preserve"> </w:t>
      </w:r>
      <w:r w:rsidRPr="000977F7">
        <w:rPr>
          <w:color w:val="auto"/>
          <w:sz w:val="20"/>
          <w:szCs w:val="20"/>
        </w:rPr>
        <w:t>АМПЛІТУДИ</w:t>
      </w:r>
      <w:r w:rsidRPr="000977F7">
        <w:rPr>
          <w:color w:val="auto"/>
          <w:spacing w:val="-1"/>
          <w:sz w:val="20"/>
          <w:szCs w:val="20"/>
        </w:rPr>
        <w:t xml:space="preserve"> </w:t>
      </w:r>
      <w:r w:rsidRPr="000977F7">
        <w:rPr>
          <w:color w:val="auto"/>
          <w:sz w:val="20"/>
          <w:szCs w:val="20"/>
        </w:rPr>
        <w:t>–</w:t>
      </w:r>
    </w:p>
    <w:p w14:paraId="1722EED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GAIN</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r w:rsidRPr="004D2D14">
        <w:rPr>
          <w:rFonts w:asciiTheme="majorHAnsi" w:hAnsiTheme="majorHAnsi"/>
          <w:spacing w:val="-1"/>
          <w:sz w:val="20"/>
          <w:szCs w:val="20"/>
          <w:lang w:val="uk-UA"/>
        </w:rPr>
        <w:t xml:space="preserve"> </w:t>
      </w:r>
      <w:r w:rsidRPr="000977F7">
        <w:rPr>
          <w:rFonts w:asciiTheme="majorHAnsi" w:hAnsiTheme="majorHAnsi"/>
          <w:sz w:val="20"/>
          <w:szCs w:val="20"/>
        </w:rPr>
        <w:t>CROSSOVER</w:t>
      </w:r>
      <w:r w:rsidRPr="004D2D14">
        <w:rPr>
          <w:rFonts w:asciiTheme="majorHAnsi" w:hAnsiTheme="majorHAnsi"/>
          <w:spacing w:val="-3"/>
          <w:sz w:val="20"/>
          <w:szCs w:val="20"/>
          <w:lang w:val="uk-UA"/>
        </w:rPr>
        <w:t xml:space="preserve"> </w:t>
      </w:r>
      <w:r w:rsidRPr="000977F7">
        <w:rPr>
          <w:rFonts w:asciiTheme="majorHAnsi" w:hAnsiTheme="majorHAnsi"/>
          <w:sz w:val="20"/>
          <w:szCs w:val="20"/>
        </w:rPr>
        <w:t>FREQUENCY</w:t>
      </w:r>
      <w:r w:rsidRPr="004D2D14">
        <w:rPr>
          <w:rFonts w:asciiTheme="majorHAnsi" w:hAnsiTheme="majorHAnsi"/>
          <w:sz w:val="20"/>
          <w:szCs w:val="20"/>
          <w:lang w:val="uk-UA"/>
        </w:rPr>
        <w:t xml:space="preserve"> –</w:t>
      </w:r>
    </w:p>
    <w:p w14:paraId="3231014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Частота, яка відрізняється від нуля за якої модуль частотної</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передавальної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функції</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дорівнює</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одиниці</w:t>
      </w:r>
    </w:p>
    <w:p w14:paraId="1D0BA8F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635EA65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ГРАНИЧНА</w:t>
      </w:r>
      <w:r w:rsidRPr="000977F7">
        <w:rPr>
          <w:color w:val="auto"/>
          <w:spacing w:val="-9"/>
          <w:sz w:val="20"/>
          <w:szCs w:val="20"/>
        </w:rPr>
        <w:t xml:space="preserve"> </w:t>
      </w:r>
      <w:r w:rsidRPr="000977F7">
        <w:rPr>
          <w:color w:val="auto"/>
          <w:sz w:val="20"/>
          <w:szCs w:val="20"/>
        </w:rPr>
        <w:t>ЧУТЛИВІСТЬ</w:t>
      </w:r>
      <w:r w:rsidRPr="000977F7">
        <w:rPr>
          <w:color w:val="auto"/>
          <w:spacing w:val="-8"/>
          <w:sz w:val="20"/>
          <w:szCs w:val="20"/>
        </w:rPr>
        <w:t xml:space="preserve"> </w:t>
      </w:r>
      <w:r w:rsidRPr="000977F7">
        <w:rPr>
          <w:color w:val="auto"/>
          <w:sz w:val="20"/>
          <w:szCs w:val="20"/>
        </w:rPr>
        <w:t>НЕРУЙНІВНОГО</w:t>
      </w:r>
      <w:r w:rsidRPr="000977F7">
        <w:rPr>
          <w:color w:val="auto"/>
          <w:spacing w:val="-47"/>
          <w:sz w:val="20"/>
          <w:szCs w:val="20"/>
        </w:rPr>
        <w:t xml:space="preserve"> </w:t>
      </w:r>
      <w:r w:rsidRPr="000977F7">
        <w:rPr>
          <w:color w:val="auto"/>
          <w:sz w:val="20"/>
          <w:szCs w:val="20"/>
        </w:rPr>
        <w:t>КОНТРОЛЮ</w:t>
      </w:r>
      <w:r w:rsidRPr="000977F7">
        <w:rPr>
          <w:color w:val="auto"/>
          <w:spacing w:val="-1"/>
          <w:sz w:val="20"/>
          <w:szCs w:val="20"/>
        </w:rPr>
        <w:t xml:space="preserve"> </w:t>
      </w:r>
      <w:r w:rsidRPr="000977F7">
        <w:rPr>
          <w:color w:val="auto"/>
          <w:sz w:val="20"/>
          <w:szCs w:val="20"/>
        </w:rPr>
        <w:t>–</w:t>
      </w:r>
    </w:p>
    <w:p w14:paraId="4120F6F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Найменший розмір штучного відбивача, що виявляється</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заданій</w:t>
      </w:r>
      <w:r w:rsidRPr="000977F7">
        <w:rPr>
          <w:rFonts w:asciiTheme="majorHAnsi" w:hAnsiTheme="majorHAnsi"/>
          <w:spacing w:val="-2"/>
          <w:sz w:val="20"/>
          <w:szCs w:val="20"/>
        </w:rPr>
        <w:t xml:space="preserve"> </w:t>
      </w:r>
      <w:r w:rsidRPr="000977F7">
        <w:rPr>
          <w:rFonts w:asciiTheme="majorHAnsi" w:hAnsiTheme="majorHAnsi"/>
          <w:sz w:val="20"/>
          <w:szCs w:val="20"/>
        </w:rPr>
        <w:t>глибині</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конкретному</w:t>
      </w:r>
      <w:r w:rsidRPr="000977F7">
        <w:rPr>
          <w:rFonts w:asciiTheme="majorHAnsi" w:hAnsiTheme="majorHAnsi"/>
          <w:spacing w:val="-5"/>
          <w:sz w:val="20"/>
          <w:szCs w:val="20"/>
        </w:rPr>
        <w:t xml:space="preserve"> </w:t>
      </w:r>
      <w:r w:rsidRPr="000977F7">
        <w:rPr>
          <w:rFonts w:asciiTheme="majorHAnsi" w:hAnsiTheme="majorHAnsi"/>
          <w:sz w:val="20"/>
          <w:szCs w:val="20"/>
        </w:rPr>
        <w:t>об’єкті</w:t>
      </w:r>
    </w:p>
    <w:p w14:paraId="28AEDF2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2865 - 94</w:t>
      </w:r>
    </w:p>
    <w:p w14:paraId="57B4E12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ГРАНИЧНЕ ЗНАЧЕННЯ ПОКАЗНИКА ЯКОСТІ</w:t>
      </w:r>
      <w:r w:rsidRPr="000977F7">
        <w:rPr>
          <w:color w:val="auto"/>
          <w:spacing w:val="-47"/>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512F195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Найбільше</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найменше</w:t>
      </w:r>
      <w:r w:rsidRPr="000977F7">
        <w:rPr>
          <w:rFonts w:asciiTheme="majorHAnsi" w:hAnsiTheme="majorHAnsi"/>
          <w:spacing w:val="1"/>
          <w:sz w:val="20"/>
          <w:szCs w:val="20"/>
        </w:rPr>
        <w:t xml:space="preserve"> </w:t>
      </w:r>
      <w:r w:rsidRPr="000977F7">
        <w:rPr>
          <w:rFonts w:asciiTheme="majorHAnsi" w:hAnsiTheme="majorHAnsi"/>
          <w:sz w:val="20"/>
          <w:szCs w:val="20"/>
        </w:rPr>
        <w:t>регламентоване</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показника</w:t>
      </w:r>
      <w:r w:rsidRPr="000977F7">
        <w:rPr>
          <w:rFonts w:asciiTheme="majorHAnsi" w:hAnsiTheme="majorHAnsi"/>
          <w:spacing w:val="2"/>
          <w:sz w:val="20"/>
          <w:szCs w:val="20"/>
        </w:rPr>
        <w:t xml:space="preserve"> </w:t>
      </w:r>
      <w:r w:rsidRPr="000977F7">
        <w:rPr>
          <w:rFonts w:asciiTheme="majorHAnsi" w:hAnsiTheme="majorHAnsi"/>
          <w:sz w:val="20"/>
          <w:szCs w:val="20"/>
        </w:rPr>
        <w:t>якості</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16EB2B7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ГРАНИЧНЕ</w:t>
      </w:r>
      <w:r w:rsidRPr="000977F7">
        <w:rPr>
          <w:color w:val="auto"/>
          <w:spacing w:val="-5"/>
          <w:sz w:val="20"/>
          <w:szCs w:val="20"/>
        </w:rPr>
        <w:t xml:space="preserve"> </w:t>
      </w:r>
      <w:r w:rsidRPr="000977F7">
        <w:rPr>
          <w:color w:val="auto"/>
          <w:sz w:val="20"/>
          <w:szCs w:val="20"/>
        </w:rPr>
        <w:t>НАВАНТАЖЕННЯ</w:t>
      </w:r>
      <w:r w:rsidRPr="000977F7">
        <w:rPr>
          <w:color w:val="auto"/>
          <w:spacing w:val="-3"/>
          <w:sz w:val="20"/>
          <w:szCs w:val="20"/>
        </w:rPr>
        <w:t xml:space="preserve"> </w:t>
      </w:r>
      <w:r w:rsidRPr="000977F7">
        <w:rPr>
          <w:color w:val="auto"/>
          <w:sz w:val="20"/>
          <w:szCs w:val="20"/>
        </w:rPr>
        <w:t>–</w:t>
      </w:r>
    </w:p>
    <w:p w14:paraId="56EE60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LOAD</w:t>
      </w:r>
      <w:r w:rsidRPr="000977F7">
        <w:rPr>
          <w:rFonts w:asciiTheme="majorHAnsi" w:hAnsiTheme="majorHAnsi"/>
          <w:spacing w:val="-1"/>
          <w:sz w:val="20"/>
          <w:szCs w:val="20"/>
        </w:rPr>
        <w:t xml:space="preserve"> </w:t>
      </w:r>
      <w:r w:rsidRPr="000977F7">
        <w:rPr>
          <w:rFonts w:asciiTheme="majorHAnsi" w:hAnsiTheme="majorHAnsi"/>
          <w:sz w:val="20"/>
          <w:szCs w:val="20"/>
        </w:rPr>
        <w:t>LIMIT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20913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Найбільше значення навантаження, за якого зберігається</w:t>
      </w:r>
      <w:r w:rsidRPr="000977F7">
        <w:rPr>
          <w:rFonts w:asciiTheme="majorHAnsi" w:hAnsiTheme="majorHAnsi"/>
          <w:spacing w:val="-2"/>
          <w:sz w:val="20"/>
          <w:szCs w:val="20"/>
        </w:rPr>
        <w:t xml:space="preserve"> </w:t>
      </w:r>
      <w:r w:rsidRPr="000977F7">
        <w:rPr>
          <w:rFonts w:asciiTheme="majorHAnsi" w:hAnsiTheme="majorHAnsi"/>
          <w:sz w:val="20"/>
          <w:szCs w:val="20"/>
        </w:rPr>
        <w:t>несівна здатність об’єкта</w:t>
      </w:r>
    </w:p>
    <w:p w14:paraId="013EFB1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832403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ГРАНИЧНЕ</w:t>
      </w:r>
      <w:r w:rsidRPr="000977F7">
        <w:rPr>
          <w:color w:val="auto"/>
          <w:spacing w:val="-4"/>
          <w:sz w:val="20"/>
          <w:szCs w:val="20"/>
        </w:rPr>
        <w:t xml:space="preserve"> </w:t>
      </w:r>
      <w:r w:rsidRPr="000977F7">
        <w:rPr>
          <w:color w:val="auto"/>
          <w:sz w:val="20"/>
          <w:szCs w:val="20"/>
        </w:rPr>
        <w:t>НАПРУЖЕННЯ</w:t>
      </w:r>
      <w:r w:rsidRPr="000977F7">
        <w:rPr>
          <w:color w:val="auto"/>
          <w:spacing w:val="-2"/>
          <w:sz w:val="20"/>
          <w:szCs w:val="20"/>
        </w:rPr>
        <w:t xml:space="preserve"> </w:t>
      </w:r>
      <w:r w:rsidRPr="000977F7">
        <w:rPr>
          <w:color w:val="auto"/>
          <w:sz w:val="20"/>
          <w:szCs w:val="20"/>
        </w:rPr>
        <w:t>–</w:t>
      </w:r>
    </w:p>
    <w:p w14:paraId="6AD59E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STRESS</w:t>
      </w:r>
      <w:r w:rsidRPr="000977F7">
        <w:rPr>
          <w:rFonts w:asciiTheme="majorHAnsi" w:hAnsiTheme="majorHAnsi"/>
          <w:spacing w:val="-3"/>
          <w:sz w:val="20"/>
          <w:szCs w:val="20"/>
        </w:rPr>
        <w:t xml:space="preserve"> </w:t>
      </w:r>
      <w:r w:rsidRPr="000977F7">
        <w:rPr>
          <w:rFonts w:asciiTheme="majorHAnsi" w:hAnsiTheme="majorHAnsi"/>
          <w:sz w:val="20"/>
          <w:szCs w:val="20"/>
        </w:rPr>
        <w:t>LIMIT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02F504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Найменше значення напруження, яке призводить до</w:t>
      </w:r>
      <w:r w:rsidRPr="000977F7">
        <w:rPr>
          <w:rFonts w:asciiTheme="majorHAnsi" w:hAnsiTheme="majorHAnsi"/>
          <w:spacing w:val="1"/>
          <w:sz w:val="20"/>
          <w:szCs w:val="20"/>
        </w:rPr>
        <w:t xml:space="preserve"> </w:t>
      </w:r>
      <w:r w:rsidRPr="000977F7">
        <w:rPr>
          <w:rFonts w:asciiTheme="majorHAnsi" w:hAnsiTheme="majorHAnsi"/>
          <w:sz w:val="20"/>
          <w:szCs w:val="20"/>
        </w:rPr>
        <w:t>недопустимих</w:t>
      </w:r>
      <w:r w:rsidRPr="000977F7">
        <w:rPr>
          <w:rFonts w:asciiTheme="majorHAnsi" w:hAnsiTheme="majorHAnsi"/>
          <w:spacing w:val="1"/>
          <w:sz w:val="20"/>
          <w:szCs w:val="20"/>
        </w:rPr>
        <w:t xml:space="preserve"> </w:t>
      </w:r>
      <w:r w:rsidRPr="000977F7">
        <w:rPr>
          <w:rFonts w:asciiTheme="majorHAnsi" w:hAnsiTheme="majorHAnsi"/>
          <w:sz w:val="20"/>
          <w:szCs w:val="20"/>
        </w:rPr>
        <w:t>деформацій</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руйнування</w:t>
      </w:r>
    </w:p>
    <w:p w14:paraId="52266B8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w:t>
      </w:r>
      <w:r w:rsidRPr="000977F7">
        <w:rPr>
          <w:rFonts w:asciiTheme="majorHAnsi" w:hAnsiTheme="majorHAnsi"/>
          <w:i/>
          <w:spacing w:val="2"/>
          <w:sz w:val="20"/>
          <w:szCs w:val="20"/>
        </w:rPr>
        <w:t xml:space="preserve"> </w:t>
      </w:r>
      <w:r w:rsidRPr="000977F7">
        <w:rPr>
          <w:rFonts w:asciiTheme="majorHAnsi" w:hAnsiTheme="majorHAnsi"/>
          <w:i/>
          <w:sz w:val="20"/>
          <w:szCs w:val="20"/>
        </w:rPr>
        <w:t>– 94</w:t>
      </w:r>
    </w:p>
    <w:p w14:paraId="26F74646"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i/>
          <w:spacing w:val="1"/>
          <w:sz w:val="20"/>
          <w:szCs w:val="20"/>
        </w:rPr>
        <w:t xml:space="preserve"> </w:t>
      </w:r>
      <w:r w:rsidRPr="000977F7">
        <w:rPr>
          <w:rFonts w:asciiTheme="majorHAnsi" w:hAnsiTheme="majorHAnsi"/>
          <w:b/>
          <w:sz w:val="20"/>
          <w:szCs w:val="20"/>
        </w:rPr>
        <w:t>ГРАНИЧНИЙ</w:t>
      </w:r>
      <w:r w:rsidRPr="000977F7">
        <w:rPr>
          <w:rFonts w:asciiTheme="majorHAnsi" w:hAnsiTheme="majorHAnsi"/>
          <w:b/>
          <w:spacing w:val="1"/>
          <w:sz w:val="20"/>
          <w:szCs w:val="20"/>
        </w:rPr>
        <w:t xml:space="preserve"> </w:t>
      </w:r>
      <w:r w:rsidRPr="000977F7">
        <w:rPr>
          <w:rFonts w:asciiTheme="majorHAnsi" w:hAnsiTheme="majorHAnsi"/>
          <w:b/>
          <w:sz w:val="20"/>
          <w:szCs w:val="20"/>
        </w:rPr>
        <w:t>СТАН –</w:t>
      </w:r>
      <w:r w:rsidRPr="000977F7">
        <w:rPr>
          <w:rFonts w:asciiTheme="majorHAnsi" w:hAnsiTheme="majorHAnsi"/>
          <w:b/>
          <w:spacing w:val="-47"/>
          <w:sz w:val="20"/>
          <w:szCs w:val="20"/>
        </w:rPr>
        <w:t xml:space="preserve"> </w:t>
      </w:r>
    </w:p>
    <w:p w14:paraId="774FC26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LIMITING</w:t>
      </w:r>
      <w:r w:rsidRPr="000977F7">
        <w:rPr>
          <w:rFonts w:asciiTheme="majorHAnsi" w:hAnsiTheme="majorHAnsi"/>
          <w:spacing w:val="-1"/>
          <w:sz w:val="20"/>
          <w:szCs w:val="20"/>
        </w:rPr>
        <w:t xml:space="preserve"> </w:t>
      </w:r>
      <w:r w:rsidRPr="000977F7">
        <w:rPr>
          <w:rFonts w:asciiTheme="majorHAnsi" w:hAnsiTheme="majorHAnsi"/>
          <w:sz w:val="20"/>
          <w:szCs w:val="20"/>
        </w:rPr>
        <w:t>STATE –</w:t>
      </w:r>
    </w:p>
    <w:p w14:paraId="49E27E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яким</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подальша</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експлуатація</w:t>
      </w:r>
      <w:r w:rsidRPr="000977F7">
        <w:rPr>
          <w:rFonts w:asciiTheme="majorHAnsi" w:hAnsiTheme="majorHAnsi"/>
          <w:spacing w:val="1"/>
          <w:sz w:val="20"/>
          <w:szCs w:val="20"/>
        </w:rPr>
        <w:t xml:space="preserve"> </w:t>
      </w:r>
      <w:r w:rsidRPr="000977F7">
        <w:rPr>
          <w:rFonts w:asciiTheme="majorHAnsi" w:hAnsiTheme="majorHAnsi"/>
          <w:sz w:val="20"/>
          <w:szCs w:val="20"/>
        </w:rPr>
        <w:t>неприпустима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недоцільна,</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відновлення</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47"/>
          <w:sz w:val="20"/>
          <w:szCs w:val="20"/>
        </w:rPr>
        <w:t xml:space="preserve"> </w:t>
      </w:r>
      <w:r w:rsidRPr="000977F7">
        <w:rPr>
          <w:rFonts w:asciiTheme="majorHAnsi" w:hAnsiTheme="majorHAnsi"/>
          <w:sz w:val="20"/>
          <w:szCs w:val="20"/>
        </w:rPr>
        <w:t>працездатного стану</w:t>
      </w:r>
      <w:r w:rsidRPr="000977F7">
        <w:rPr>
          <w:rFonts w:asciiTheme="majorHAnsi" w:hAnsiTheme="majorHAnsi"/>
          <w:spacing w:val="-2"/>
          <w:sz w:val="20"/>
          <w:szCs w:val="20"/>
        </w:rPr>
        <w:t xml:space="preserve"> </w:t>
      </w:r>
      <w:r w:rsidRPr="000977F7">
        <w:rPr>
          <w:rFonts w:asciiTheme="majorHAnsi" w:hAnsiTheme="majorHAnsi"/>
          <w:sz w:val="20"/>
          <w:szCs w:val="20"/>
        </w:rPr>
        <w:t>неможливе</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недоцільне</w:t>
      </w:r>
    </w:p>
    <w:p w14:paraId="1121A9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365163E"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Граничний</w:t>
      </w:r>
      <w:r w:rsidRPr="000977F7">
        <w:rPr>
          <w:rFonts w:asciiTheme="majorHAnsi" w:hAnsiTheme="majorHAnsi"/>
          <w:spacing w:val="48"/>
          <w:sz w:val="20"/>
          <w:szCs w:val="20"/>
        </w:rPr>
        <w:t xml:space="preserve"> </w:t>
      </w:r>
      <w:r w:rsidRPr="000977F7">
        <w:rPr>
          <w:rFonts w:asciiTheme="majorHAnsi" w:hAnsiTheme="majorHAnsi"/>
          <w:sz w:val="20"/>
          <w:szCs w:val="20"/>
        </w:rPr>
        <w:t>стан</w:t>
      </w:r>
      <w:r w:rsidRPr="000977F7">
        <w:rPr>
          <w:rFonts w:asciiTheme="majorHAnsi" w:hAnsiTheme="majorHAnsi"/>
          <w:spacing w:val="2"/>
          <w:sz w:val="20"/>
          <w:szCs w:val="20"/>
        </w:rPr>
        <w:t xml:space="preserve"> </w:t>
      </w:r>
      <w:r w:rsidRPr="000977F7">
        <w:rPr>
          <w:rFonts w:asciiTheme="majorHAnsi" w:hAnsiTheme="majorHAnsi"/>
          <w:sz w:val="20"/>
          <w:szCs w:val="20"/>
        </w:rPr>
        <w:t>настає,</w:t>
      </w:r>
      <w:r w:rsidRPr="000977F7">
        <w:rPr>
          <w:rFonts w:asciiTheme="majorHAnsi" w:hAnsiTheme="majorHAnsi"/>
          <w:spacing w:val="3"/>
          <w:sz w:val="20"/>
          <w:szCs w:val="20"/>
        </w:rPr>
        <w:t xml:space="preserve"> </w:t>
      </w:r>
      <w:r w:rsidRPr="000977F7">
        <w:rPr>
          <w:rFonts w:asciiTheme="majorHAnsi" w:hAnsiTheme="majorHAnsi"/>
          <w:sz w:val="20"/>
          <w:szCs w:val="20"/>
        </w:rPr>
        <w:t>наприклад,</w:t>
      </w:r>
      <w:r w:rsidRPr="000977F7">
        <w:rPr>
          <w:rFonts w:asciiTheme="majorHAnsi" w:hAnsiTheme="majorHAnsi"/>
          <w:spacing w:val="3"/>
          <w:sz w:val="20"/>
          <w:szCs w:val="20"/>
        </w:rPr>
        <w:t xml:space="preserve"> </w:t>
      </w:r>
      <w:r w:rsidRPr="000977F7">
        <w:rPr>
          <w:rFonts w:asciiTheme="majorHAnsi" w:hAnsiTheme="majorHAnsi"/>
          <w:sz w:val="20"/>
          <w:szCs w:val="20"/>
        </w:rPr>
        <w:t>тоді</w:t>
      </w:r>
      <w:r w:rsidRPr="000977F7">
        <w:rPr>
          <w:rFonts w:asciiTheme="majorHAnsi" w:hAnsiTheme="majorHAnsi"/>
          <w:spacing w:val="2"/>
          <w:sz w:val="20"/>
          <w:szCs w:val="20"/>
        </w:rPr>
        <w:t xml:space="preserve"> </w:t>
      </w:r>
      <w:r w:rsidRPr="000977F7">
        <w:rPr>
          <w:rFonts w:asciiTheme="majorHAnsi" w:hAnsiTheme="majorHAnsi"/>
          <w:sz w:val="20"/>
          <w:szCs w:val="20"/>
        </w:rPr>
        <w:t>коли</w:t>
      </w:r>
      <w:r w:rsidRPr="000977F7">
        <w:rPr>
          <w:rFonts w:asciiTheme="majorHAnsi" w:hAnsiTheme="majorHAnsi"/>
          <w:spacing w:val="2"/>
          <w:sz w:val="20"/>
          <w:szCs w:val="20"/>
        </w:rPr>
        <w:t xml:space="preserve"> </w:t>
      </w:r>
      <w:r w:rsidRPr="000977F7">
        <w:rPr>
          <w:rFonts w:asciiTheme="majorHAnsi" w:hAnsiTheme="majorHAnsi"/>
          <w:sz w:val="20"/>
          <w:szCs w:val="20"/>
        </w:rPr>
        <w:t>параметр</w:t>
      </w:r>
      <w:r w:rsidRPr="000977F7">
        <w:rPr>
          <w:rFonts w:asciiTheme="majorHAnsi" w:hAnsiTheme="majorHAnsi"/>
          <w:spacing w:val="13"/>
          <w:sz w:val="20"/>
          <w:szCs w:val="20"/>
        </w:rPr>
        <w:t xml:space="preserve"> </w:t>
      </w:r>
      <w:r w:rsidRPr="000977F7">
        <w:rPr>
          <w:rFonts w:asciiTheme="majorHAnsi" w:hAnsiTheme="majorHAnsi"/>
          <w:sz w:val="20"/>
          <w:szCs w:val="20"/>
        </w:rPr>
        <w:t>потоку</w:t>
      </w:r>
      <w:r w:rsidRPr="000977F7">
        <w:rPr>
          <w:rFonts w:asciiTheme="majorHAnsi" w:hAnsiTheme="majorHAnsi"/>
          <w:spacing w:val="9"/>
          <w:sz w:val="20"/>
          <w:szCs w:val="20"/>
        </w:rPr>
        <w:t xml:space="preserve"> </w:t>
      </w:r>
      <w:r w:rsidRPr="000977F7">
        <w:rPr>
          <w:rFonts w:asciiTheme="majorHAnsi" w:hAnsiTheme="majorHAnsi"/>
          <w:sz w:val="20"/>
          <w:szCs w:val="20"/>
        </w:rPr>
        <w:t>відмов</w:t>
      </w:r>
      <w:r w:rsidRPr="000977F7">
        <w:rPr>
          <w:rFonts w:asciiTheme="majorHAnsi" w:hAnsiTheme="majorHAnsi"/>
          <w:spacing w:val="13"/>
          <w:sz w:val="20"/>
          <w:szCs w:val="20"/>
        </w:rPr>
        <w:t xml:space="preserve"> </w:t>
      </w:r>
      <w:r w:rsidRPr="000977F7">
        <w:rPr>
          <w:rFonts w:asciiTheme="majorHAnsi" w:hAnsiTheme="majorHAnsi"/>
          <w:sz w:val="20"/>
          <w:szCs w:val="20"/>
        </w:rPr>
        <w:t>стає</w:t>
      </w:r>
      <w:r w:rsidRPr="000977F7">
        <w:rPr>
          <w:rFonts w:asciiTheme="majorHAnsi" w:hAnsiTheme="majorHAnsi"/>
          <w:spacing w:val="13"/>
          <w:sz w:val="20"/>
          <w:szCs w:val="20"/>
        </w:rPr>
        <w:t xml:space="preserve"> </w:t>
      </w:r>
      <w:r w:rsidRPr="000977F7">
        <w:rPr>
          <w:rFonts w:asciiTheme="majorHAnsi" w:hAnsiTheme="majorHAnsi"/>
          <w:sz w:val="20"/>
          <w:szCs w:val="20"/>
        </w:rPr>
        <w:t>неприйнятним</w:t>
      </w:r>
      <w:r w:rsidRPr="000977F7">
        <w:rPr>
          <w:rFonts w:asciiTheme="majorHAnsi" w:hAnsiTheme="majorHAnsi"/>
          <w:spacing w:val="13"/>
          <w:sz w:val="20"/>
          <w:szCs w:val="20"/>
        </w:rPr>
        <w:t xml:space="preserve"> </w:t>
      </w:r>
      <w:r w:rsidRPr="000977F7">
        <w:rPr>
          <w:rFonts w:asciiTheme="majorHAnsi" w:hAnsiTheme="majorHAnsi"/>
          <w:sz w:val="20"/>
          <w:szCs w:val="20"/>
        </w:rPr>
        <w:t>та</w:t>
      </w:r>
      <w:r w:rsidRPr="000977F7">
        <w:rPr>
          <w:rFonts w:asciiTheme="majorHAnsi" w:hAnsiTheme="majorHAnsi"/>
          <w:spacing w:val="13"/>
          <w:sz w:val="20"/>
          <w:szCs w:val="20"/>
        </w:rPr>
        <w:t xml:space="preserve"> </w:t>
      </w:r>
      <w:r w:rsidRPr="000977F7">
        <w:rPr>
          <w:rFonts w:asciiTheme="majorHAnsi" w:hAnsiTheme="majorHAnsi"/>
          <w:sz w:val="20"/>
          <w:szCs w:val="20"/>
        </w:rPr>
        <w:t>(чи)</w:t>
      </w:r>
      <w:r w:rsidRPr="000977F7">
        <w:rPr>
          <w:rFonts w:asciiTheme="majorHAnsi" w:hAnsiTheme="majorHAnsi"/>
          <w:spacing w:val="13"/>
          <w:sz w:val="20"/>
          <w:szCs w:val="20"/>
        </w:rPr>
        <w:t xml:space="preserve"> </w:t>
      </w:r>
      <w:r w:rsidRPr="000977F7">
        <w:rPr>
          <w:rFonts w:asciiTheme="majorHAnsi" w:hAnsiTheme="majorHAnsi"/>
          <w:sz w:val="20"/>
          <w:szCs w:val="20"/>
        </w:rPr>
        <w:t>об’єкт</w:t>
      </w:r>
      <w:r w:rsidRPr="000977F7">
        <w:rPr>
          <w:rFonts w:asciiTheme="majorHAnsi" w:hAnsiTheme="majorHAnsi"/>
          <w:spacing w:val="-47"/>
          <w:sz w:val="20"/>
          <w:szCs w:val="20"/>
        </w:rPr>
        <w:t xml:space="preserve"> </w:t>
      </w:r>
      <w:r w:rsidRPr="000977F7">
        <w:rPr>
          <w:rFonts w:asciiTheme="majorHAnsi" w:hAnsiTheme="majorHAnsi"/>
          <w:sz w:val="20"/>
          <w:szCs w:val="20"/>
        </w:rPr>
        <w:t>стає неремонтопридатним внаслідок несправності</w:t>
      </w:r>
      <w:r w:rsidRPr="000977F7">
        <w:rPr>
          <w:rFonts w:asciiTheme="majorHAnsi" w:hAnsiTheme="majorHAnsi"/>
          <w:spacing w:val="1"/>
          <w:sz w:val="20"/>
          <w:szCs w:val="20"/>
        </w:rPr>
        <w:t xml:space="preserve"> </w:t>
      </w:r>
    </w:p>
    <w:p w14:paraId="681327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2444</w:t>
      </w:r>
      <w:r w:rsidRPr="000977F7">
        <w:rPr>
          <w:rFonts w:asciiTheme="majorHAnsi" w:hAnsiTheme="majorHAnsi"/>
          <w:i/>
          <w:spacing w:val="2"/>
          <w:sz w:val="20"/>
          <w:szCs w:val="20"/>
        </w:rPr>
        <w:t xml:space="preserve"> </w:t>
      </w:r>
      <w:r w:rsidRPr="000977F7">
        <w:rPr>
          <w:rFonts w:asciiTheme="majorHAnsi" w:hAnsiTheme="majorHAnsi"/>
          <w:i/>
          <w:sz w:val="20"/>
          <w:szCs w:val="20"/>
        </w:rPr>
        <w:t>– 94;</w:t>
      </w:r>
      <w:r w:rsidRPr="000977F7">
        <w:rPr>
          <w:rFonts w:asciiTheme="majorHAnsi" w:hAnsiTheme="majorHAnsi"/>
          <w:i/>
          <w:spacing w:val="1"/>
          <w:sz w:val="20"/>
          <w:szCs w:val="20"/>
        </w:rPr>
        <w:t xml:space="preserve"> </w:t>
      </w:r>
      <w:r w:rsidRPr="000977F7">
        <w:rPr>
          <w:rFonts w:asciiTheme="majorHAnsi" w:hAnsiTheme="majorHAnsi"/>
          <w:i/>
          <w:iCs/>
          <w:sz w:val="20"/>
          <w:szCs w:val="20"/>
        </w:rPr>
        <w:t>ДСТУ</w:t>
      </w:r>
      <w:r w:rsidRPr="000977F7">
        <w:rPr>
          <w:rFonts w:asciiTheme="majorHAnsi" w:hAnsiTheme="majorHAnsi"/>
          <w:i/>
          <w:iCs/>
          <w:spacing w:val="-1"/>
          <w:sz w:val="20"/>
          <w:szCs w:val="20"/>
        </w:rPr>
        <w:t xml:space="preserve"> </w:t>
      </w:r>
      <w:r w:rsidRPr="000977F7">
        <w:rPr>
          <w:rFonts w:asciiTheme="majorHAnsi" w:hAnsiTheme="majorHAnsi"/>
          <w:i/>
          <w:iCs/>
          <w:sz w:val="20"/>
          <w:szCs w:val="20"/>
        </w:rPr>
        <w:t>2860</w:t>
      </w:r>
      <w:r w:rsidRPr="000977F7">
        <w:rPr>
          <w:rFonts w:asciiTheme="majorHAnsi" w:hAnsiTheme="majorHAnsi"/>
          <w:i/>
          <w:iCs/>
          <w:spacing w:val="2"/>
          <w:sz w:val="20"/>
          <w:szCs w:val="20"/>
        </w:rPr>
        <w:t xml:space="preserve"> </w:t>
      </w:r>
      <w:r w:rsidRPr="000977F7">
        <w:rPr>
          <w:rFonts w:asciiTheme="majorHAnsi" w:hAnsiTheme="majorHAnsi"/>
          <w:i/>
          <w:iCs/>
          <w:sz w:val="20"/>
          <w:szCs w:val="20"/>
        </w:rPr>
        <w:t>– 94</w:t>
      </w:r>
    </w:p>
    <w:p w14:paraId="41CC537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ULTIMATE</w:t>
      </w:r>
      <w:r w:rsidRPr="000977F7">
        <w:rPr>
          <w:rFonts w:asciiTheme="majorHAnsi" w:hAnsiTheme="majorHAnsi"/>
          <w:spacing w:val="-1"/>
          <w:sz w:val="20"/>
          <w:szCs w:val="20"/>
        </w:rPr>
        <w:t xml:space="preserve"> </w:t>
      </w:r>
      <w:r w:rsidRPr="000977F7">
        <w:rPr>
          <w:rFonts w:asciiTheme="majorHAnsi" w:hAnsiTheme="majorHAnsi"/>
          <w:sz w:val="20"/>
          <w:szCs w:val="20"/>
        </w:rPr>
        <w:t>STATE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6A9D61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Механічний стан об’єкта,</w:t>
      </w:r>
      <w:r w:rsidRPr="000977F7">
        <w:rPr>
          <w:rFonts w:asciiTheme="majorHAnsi" w:hAnsiTheme="majorHAnsi"/>
          <w:spacing w:val="1"/>
          <w:sz w:val="20"/>
          <w:szCs w:val="20"/>
        </w:rPr>
        <w:t xml:space="preserve"> </w:t>
      </w:r>
      <w:r w:rsidRPr="000977F7">
        <w:rPr>
          <w:rFonts w:asciiTheme="majorHAnsi" w:hAnsiTheme="majorHAnsi"/>
          <w:sz w:val="20"/>
          <w:szCs w:val="20"/>
        </w:rPr>
        <w:t>що характеризується</w:t>
      </w:r>
      <w:r w:rsidRPr="000977F7">
        <w:rPr>
          <w:rFonts w:asciiTheme="majorHAnsi" w:hAnsiTheme="majorHAnsi"/>
          <w:spacing w:val="1"/>
          <w:sz w:val="20"/>
          <w:szCs w:val="20"/>
        </w:rPr>
        <w:t xml:space="preserve"> </w:t>
      </w:r>
      <w:r w:rsidRPr="000977F7">
        <w:rPr>
          <w:rFonts w:asciiTheme="majorHAnsi" w:hAnsiTheme="majorHAnsi"/>
          <w:sz w:val="20"/>
          <w:szCs w:val="20"/>
        </w:rPr>
        <w:t>певними значеннями напружень та деформацій, за якого</w:t>
      </w:r>
      <w:r w:rsidRPr="000977F7">
        <w:rPr>
          <w:rFonts w:asciiTheme="majorHAnsi" w:hAnsiTheme="majorHAnsi"/>
          <w:spacing w:val="1"/>
          <w:sz w:val="20"/>
          <w:szCs w:val="20"/>
        </w:rPr>
        <w:t xml:space="preserve"> </w:t>
      </w:r>
      <w:r w:rsidRPr="000977F7">
        <w:rPr>
          <w:rFonts w:asciiTheme="majorHAnsi" w:hAnsiTheme="majorHAnsi"/>
          <w:sz w:val="20"/>
          <w:szCs w:val="20"/>
        </w:rPr>
        <w:t>подальша зміна навантаження та (чи) інших чинників</w:t>
      </w:r>
      <w:r w:rsidRPr="000977F7">
        <w:rPr>
          <w:rFonts w:asciiTheme="majorHAnsi" w:hAnsiTheme="majorHAnsi"/>
          <w:spacing w:val="1"/>
          <w:sz w:val="20"/>
          <w:szCs w:val="20"/>
        </w:rPr>
        <w:t xml:space="preserve"> </w:t>
      </w:r>
      <w:r w:rsidRPr="000977F7">
        <w:rPr>
          <w:rFonts w:asciiTheme="majorHAnsi" w:hAnsiTheme="majorHAnsi"/>
          <w:sz w:val="20"/>
          <w:szCs w:val="20"/>
        </w:rPr>
        <w:t>призводить до руйнування, втрати несівної здатності</w:t>
      </w:r>
      <w:r w:rsidRPr="000977F7">
        <w:rPr>
          <w:rFonts w:asciiTheme="majorHAnsi" w:hAnsiTheme="majorHAnsi"/>
          <w:spacing w:val="1"/>
          <w:sz w:val="20"/>
          <w:szCs w:val="20"/>
        </w:rPr>
        <w:t xml:space="preserve"> </w:t>
      </w:r>
      <w:r w:rsidRPr="000977F7">
        <w:rPr>
          <w:rFonts w:asciiTheme="majorHAnsi" w:hAnsiTheme="majorHAnsi"/>
          <w:sz w:val="20"/>
          <w:szCs w:val="20"/>
        </w:rPr>
        <w:t>чи стійкості, розвитку надмірних деформацій, появи</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розкриття</w:t>
      </w:r>
      <w:r w:rsidRPr="000977F7">
        <w:rPr>
          <w:rFonts w:asciiTheme="majorHAnsi" w:hAnsiTheme="majorHAnsi"/>
          <w:spacing w:val="-1"/>
          <w:sz w:val="20"/>
          <w:szCs w:val="20"/>
        </w:rPr>
        <w:t xml:space="preserve"> </w:t>
      </w:r>
      <w:r w:rsidRPr="000977F7">
        <w:rPr>
          <w:rFonts w:asciiTheme="majorHAnsi" w:hAnsiTheme="majorHAnsi"/>
          <w:sz w:val="20"/>
          <w:szCs w:val="20"/>
        </w:rPr>
        <w:t>тріщин</w:t>
      </w:r>
    </w:p>
    <w:p w14:paraId="4C87FBFD"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2824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17DAF08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ГРАНИЧНИЙ</w:t>
      </w:r>
      <w:r w:rsidRPr="000977F7">
        <w:rPr>
          <w:color w:val="auto"/>
          <w:spacing w:val="-5"/>
          <w:sz w:val="20"/>
          <w:szCs w:val="20"/>
        </w:rPr>
        <w:t xml:space="preserve"> </w:t>
      </w:r>
      <w:r w:rsidRPr="000977F7">
        <w:rPr>
          <w:color w:val="auto"/>
          <w:sz w:val="20"/>
          <w:szCs w:val="20"/>
        </w:rPr>
        <w:t>ТЕСТ-</w:t>
      </w:r>
    </w:p>
    <w:p w14:paraId="4549454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MARGINAL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MARGINAL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SHECK-</w:t>
      </w:r>
    </w:p>
    <w:p w14:paraId="26F47CE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Методика</w:t>
      </w:r>
      <w:r w:rsidRPr="004D2D14">
        <w:rPr>
          <w:rFonts w:asciiTheme="majorHAnsi" w:hAnsiTheme="majorHAnsi"/>
          <w:sz w:val="20"/>
          <w:szCs w:val="20"/>
          <w:lang w:val="en-US"/>
        </w:rPr>
        <w:t xml:space="preserve">, </w:t>
      </w:r>
      <w:r w:rsidRPr="000977F7">
        <w:rPr>
          <w:rFonts w:asciiTheme="majorHAnsi" w:hAnsiTheme="majorHAnsi"/>
          <w:sz w:val="20"/>
          <w:szCs w:val="20"/>
        </w:rPr>
        <w:t>відповідно</w:t>
      </w:r>
      <w:r w:rsidRPr="004D2D14">
        <w:rPr>
          <w:rFonts w:asciiTheme="majorHAnsi" w:hAnsiTheme="majorHAnsi"/>
          <w:sz w:val="20"/>
          <w:szCs w:val="20"/>
          <w:lang w:val="en-US"/>
        </w:rPr>
        <w:t xml:space="preserve"> </w:t>
      </w:r>
      <w:r w:rsidRPr="000977F7">
        <w:rPr>
          <w:rFonts w:asciiTheme="majorHAnsi" w:hAnsiTheme="majorHAnsi"/>
          <w:sz w:val="20"/>
          <w:szCs w:val="20"/>
        </w:rPr>
        <w:t>до</w:t>
      </w:r>
      <w:r w:rsidRPr="004D2D14">
        <w:rPr>
          <w:rFonts w:asciiTheme="majorHAnsi" w:hAnsiTheme="majorHAnsi"/>
          <w:sz w:val="20"/>
          <w:szCs w:val="20"/>
          <w:lang w:val="en-US"/>
        </w:rPr>
        <w:t xml:space="preserve"> </w:t>
      </w:r>
      <w:r w:rsidRPr="000977F7">
        <w:rPr>
          <w:rFonts w:asciiTheme="majorHAnsi" w:hAnsiTheme="majorHAnsi"/>
          <w:sz w:val="20"/>
          <w:szCs w:val="20"/>
        </w:rPr>
        <w:t>якої</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метою</w:t>
      </w:r>
      <w:r w:rsidRPr="004D2D14">
        <w:rPr>
          <w:rFonts w:asciiTheme="majorHAnsi" w:hAnsiTheme="majorHAnsi"/>
          <w:sz w:val="20"/>
          <w:szCs w:val="20"/>
          <w:lang w:val="en-US"/>
        </w:rPr>
        <w:t xml:space="preserve"> </w:t>
      </w:r>
      <w:r w:rsidRPr="000977F7">
        <w:rPr>
          <w:rFonts w:asciiTheme="majorHAnsi" w:hAnsiTheme="majorHAnsi"/>
          <w:sz w:val="20"/>
          <w:szCs w:val="20"/>
        </w:rPr>
        <w:t>визначення</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pacing w:val="1"/>
          <w:sz w:val="20"/>
          <w:szCs w:val="20"/>
          <w:lang w:val="en-US"/>
        </w:rPr>
        <w:t xml:space="preserve"> </w:t>
      </w:r>
      <w:r w:rsidRPr="000977F7">
        <w:rPr>
          <w:rFonts w:asciiTheme="majorHAnsi" w:hAnsiTheme="majorHAnsi"/>
          <w:sz w:val="20"/>
          <w:szCs w:val="20"/>
        </w:rPr>
        <w:t>локалізації</w:t>
      </w:r>
      <w:r w:rsidRPr="004D2D14">
        <w:rPr>
          <w:rFonts w:asciiTheme="majorHAnsi" w:hAnsiTheme="majorHAnsi"/>
          <w:spacing w:val="1"/>
          <w:sz w:val="20"/>
          <w:szCs w:val="20"/>
          <w:lang w:val="en-US"/>
        </w:rPr>
        <w:t xml:space="preserve"> </w:t>
      </w:r>
      <w:r w:rsidRPr="000977F7">
        <w:rPr>
          <w:rFonts w:asciiTheme="majorHAnsi" w:hAnsiTheme="majorHAnsi"/>
          <w:sz w:val="20"/>
          <w:szCs w:val="20"/>
        </w:rPr>
        <w:t>дефектів</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що</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зароджуються</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змінюються</w:t>
      </w:r>
      <w:r w:rsidRPr="004D2D14">
        <w:rPr>
          <w:rFonts w:asciiTheme="majorHAnsi" w:hAnsiTheme="majorHAnsi"/>
          <w:spacing w:val="-47"/>
          <w:sz w:val="20"/>
          <w:szCs w:val="20"/>
          <w:lang w:val="en-US"/>
        </w:rPr>
        <w:t xml:space="preserve"> </w:t>
      </w:r>
      <w:r w:rsidRPr="000977F7">
        <w:rPr>
          <w:rFonts w:asciiTheme="majorHAnsi" w:hAnsiTheme="majorHAnsi"/>
          <w:sz w:val="20"/>
          <w:szCs w:val="20"/>
        </w:rPr>
        <w:t>поблизу</w:t>
      </w:r>
      <w:r w:rsidRPr="004D2D14">
        <w:rPr>
          <w:rFonts w:asciiTheme="majorHAnsi" w:hAnsiTheme="majorHAnsi"/>
          <w:sz w:val="20"/>
          <w:szCs w:val="20"/>
          <w:lang w:val="en-US"/>
        </w:rPr>
        <w:t xml:space="preserve"> </w:t>
      </w:r>
      <w:r w:rsidRPr="000977F7">
        <w:rPr>
          <w:rFonts w:asciiTheme="majorHAnsi" w:hAnsiTheme="majorHAnsi"/>
          <w:sz w:val="20"/>
          <w:szCs w:val="20"/>
        </w:rPr>
        <w:t>своїх</w:t>
      </w:r>
      <w:r w:rsidRPr="004D2D14">
        <w:rPr>
          <w:rFonts w:asciiTheme="majorHAnsi" w:hAnsiTheme="majorHAnsi"/>
          <w:sz w:val="20"/>
          <w:szCs w:val="20"/>
          <w:lang w:val="en-US"/>
        </w:rPr>
        <w:t xml:space="preserve"> </w:t>
      </w:r>
      <w:r w:rsidRPr="000977F7">
        <w:rPr>
          <w:rFonts w:asciiTheme="majorHAnsi" w:hAnsiTheme="majorHAnsi"/>
          <w:sz w:val="20"/>
          <w:szCs w:val="20"/>
        </w:rPr>
        <w:t>номінальних</w:t>
      </w:r>
      <w:r w:rsidRPr="004D2D14">
        <w:rPr>
          <w:rFonts w:asciiTheme="majorHAnsi" w:hAnsiTheme="majorHAnsi"/>
          <w:sz w:val="20"/>
          <w:szCs w:val="20"/>
          <w:lang w:val="en-US"/>
        </w:rPr>
        <w:t xml:space="preserve"> </w:t>
      </w:r>
      <w:r w:rsidRPr="000977F7">
        <w:rPr>
          <w:rFonts w:asciiTheme="majorHAnsi" w:hAnsiTheme="majorHAnsi"/>
          <w:sz w:val="20"/>
          <w:szCs w:val="20"/>
        </w:rPr>
        <w:t>значень</w:t>
      </w:r>
      <w:r w:rsidRPr="004D2D14">
        <w:rPr>
          <w:rFonts w:asciiTheme="majorHAnsi" w:hAnsiTheme="majorHAnsi"/>
          <w:sz w:val="20"/>
          <w:szCs w:val="20"/>
          <w:lang w:val="en-US"/>
        </w:rPr>
        <w:t xml:space="preserve"> </w:t>
      </w:r>
      <w:r w:rsidRPr="000977F7">
        <w:rPr>
          <w:rFonts w:asciiTheme="majorHAnsi" w:hAnsiTheme="majorHAnsi"/>
          <w:sz w:val="20"/>
          <w:szCs w:val="20"/>
        </w:rPr>
        <w:t>деякі</w:t>
      </w:r>
      <w:r w:rsidRPr="004D2D14">
        <w:rPr>
          <w:rFonts w:asciiTheme="majorHAnsi" w:hAnsiTheme="majorHAnsi"/>
          <w:sz w:val="20"/>
          <w:szCs w:val="20"/>
          <w:lang w:val="en-US"/>
        </w:rPr>
        <w:t xml:space="preserve"> </w:t>
      </w:r>
      <w:r w:rsidRPr="000977F7">
        <w:rPr>
          <w:rFonts w:asciiTheme="majorHAnsi" w:hAnsiTheme="majorHAnsi"/>
          <w:sz w:val="20"/>
          <w:szCs w:val="20"/>
        </w:rPr>
        <w:t>робочі</w:t>
      </w:r>
      <w:r w:rsidRPr="004D2D14">
        <w:rPr>
          <w:rFonts w:asciiTheme="majorHAnsi" w:hAnsiTheme="majorHAnsi"/>
          <w:sz w:val="20"/>
          <w:szCs w:val="20"/>
          <w:lang w:val="en-US"/>
        </w:rPr>
        <w:t xml:space="preserve"> </w:t>
      </w:r>
      <w:r w:rsidRPr="000977F7">
        <w:rPr>
          <w:rFonts w:asciiTheme="majorHAnsi" w:hAnsiTheme="majorHAnsi"/>
          <w:sz w:val="20"/>
          <w:szCs w:val="20"/>
        </w:rPr>
        <w:t>умови</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такі</w:t>
      </w:r>
      <w:r w:rsidRPr="004D2D14">
        <w:rPr>
          <w:rFonts w:asciiTheme="majorHAnsi" w:hAnsiTheme="majorHAnsi"/>
          <w:spacing w:val="-2"/>
          <w:sz w:val="20"/>
          <w:szCs w:val="20"/>
          <w:lang w:val="en-US"/>
        </w:rPr>
        <w:t xml:space="preserve"> </w:t>
      </w:r>
      <w:r w:rsidRPr="000977F7">
        <w:rPr>
          <w:rFonts w:asciiTheme="majorHAnsi" w:hAnsiTheme="majorHAnsi"/>
          <w:sz w:val="20"/>
          <w:szCs w:val="20"/>
        </w:rPr>
        <w:t>як</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напруга</w:t>
      </w:r>
      <w:r w:rsidRPr="004D2D14">
        <w:rPr>
          <w:rFonts w:asciiTheme="majorHAnsi" w:hAnsiTheme="majorHAnsi"/>
          <w:spacing w:val="-1"/>
          <w:sz w:val="20"/>
          <w:szCs w:val="20"/>
          <w:lang w:val="en-US"/>
        </w:rPr>
        <w:t xml:space="preserve"> </w:t>
      </w:r>
      <w:r w:rsidRPr="000977F7">
        <w:rPr>
          <w:rFonts w:asciiTheme="majorHAnsi" w:hAnsiTheme="majorHAnsi"/>
          <w:sz w:val="20"/>
          <w:szCs w:val="20"/>
        </w:rPr>
        <w:t>живлення</w:t>
      </w:r>
      <w:r w:rsidRPr="004D2D14">
        <w:rPr>
          <w:rFonts w:asciiTheme="majorHAnsi" w:hAnsiTheme="majorHAnsi"/>
          <w:spacing w:val="-2"/>
          <w:sz w:val="20"/>
          <w:szCs w:val="20"/>
          <w:lang w:val="en-US"/>
        </w:rPr>
        <w:t xml:space="preserve"> </w:t>
      </w:r>
      <w:r w:rsidRPr="000977F7">
        <w:rPr>
          <w:rFonts w:asciiTheme="majorHAnsi" w:hAnsiTheme="majorHAnsi"/>
          <w:sz w:val="20"/>
          <w:szCs w:val="20"/>
        </w:rPr>
        <w:t>або</w:t>
      </w:r>
      <w:r w:rsidRPr="004D2D14">
        <w:rPr>
          <w:rFonts w:asciiTheme="majorHAnsi" w:hAnsiTheme="majorHAnsi"/>
          <w:spacing w:val="1"/>
          <w:sz w:val="20"/>
          <w:szCs w:val="20"/>
          <w:lang w:val="en-US"/>
        </w:rPr>
        <w:t xml:space="preserve"> </w:t>
      </w:r>
      <w:r w:rsidRPr="000977F7">
        <w:rPr>
          <w:rFonts w:asciiTheme="majorHAnsi" w:hAnsiTheme="majorHAnsi"/>
          <w:sz w:val="20"/>
          <w:szCs w:val="20"/>
        </w:rPr>
        <w:t>частота</w:t>
      </w:r>
    </w:p>
    <w:p w14:paraId="0C689345"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ГРАНИЧНІ ВИПРОБУВАННЯ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22E6806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MARGINAL</w:t>
      </w:r>
      <w:r w:rsidRPr="000977F7">
        <w:rPr>
          <w:rFonts w:asciiTheme="majorHAnsi" w:hAnsiTheme="majorHAnsi"/>
          <w:spacing w:val="-2"/>
          <w:sz w:val="20"/>
          <w:szCs w:val="20"/>
        </w:rPr>
        <w:t xml:space="preserve"> </w:t>
      </w:r>
      <w:r w:rsidRPr="000977F7">
        <w:rPr>
          <w:rFonts w:asciiTheme="majorHAnsi" w:hAnsiTheme="majorHAnsi"/>
          <w:sz w:val="20"/>
          <w:szCs w:val="20"/>
        </w:rPr>
        <w:t>TEST-</w:t>
      </w:r>
    </w:p>
    <w:p w14:paraId="7FD7D9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що проводяться для визначення залежностей між гранично допустимими значеннями параметрів</w:t>
      </w:r>
      <w:r w:rsidRPr="000977F7">
        <w:rPr>
          <w:rFonts w:asciiTheme="majorHAnsi" w:hAnsiTheme="majorHAnsi"/>
          <w:spacing w:val="-2"/>
          <w:sz w:val="20"/>
          <w:szCs w:val="20"/>
        </w:rPr>
        <w:t xml:space="preserve"> </w:t>
      </w:r>
      <w:r w:rsidRPr="000977F7">
        <w:rPr>
          <w:rFonts w:asciiTheme="majorHAnsi" w:hAnsiTheme="majorHAnsi"/>
          <w:sz w:val="20"/>
          <w:szCs w:val="20"/>
        </w:rPr>
        <w:t>об’єкта і</w:t>
      </w:r>
      <w:r w:rsidRPr="000977F7">
        <w:rPr>
          <w:rFonts w:asciiTheme="majorHAnsi" w:hAnsiTheme="majorHAnsi"/>
          <w:spacing w:val="-2"/>
          <w:sz w:val="20"/>
          <w:szCs w:val="20"/>
        </w:rPr>
        <w:t xml:space="preserve"> </w:t>
      </w:r>
      <w:r w:rsidRPr="000977F7">
        <w:rPr>
          <w:rFonts w:asciiTheme="majorHAnsi" w:hAnsiTheme="majorHAnsi"/>
          <w:sz w:val="20"/>
          <w:szCs w:val="20"/>
        </w:rPr>
        <w:t>режимом</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експлуатації</w:t>
      </w:r>
    </w:p>
    <w:p w14:paraId="16C2385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33F9138A"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ГРАНИЧНІ НАПРУЖЕННЯ ЦИКЛУ –</w:t>
      </w:r>
      <w:r w:rsidRPr="000977F7">
        <w:rPr>
          <w:rFonts w:asciiTheme="majorHAnsi" w:hAnsiTheme="majorHAnsi"/>
          <w:b/>
          <w:spacing w:val="-47"/>
          <w:sz w:val="20"/>
          <w:szCs w:val="20"/>
        </w:rPr>
        <w:t xml:space="preserve"> </w:t>
      </w:r>
    </w:p>
    <w:p w14:paraId="756F611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FATIGUE LIMIT</w:t>
      </w:r>
      <w:r w:rsidRPr="000977F7">
        <w:rPr>
          <w:rFonts w:asciiTheme="majorHAnsi" w:hAnsiTheme="majorHAnsi"/>
          <w:spacing w:val="2"/>
          <w:sz w:val="20"/>
          <w:szCs w:val="20"/>
        </w:rPr>
        <w:t xml:space="preserve"> </w:t>
      </w:r>
      <w:r w:rsidRPr="000977F7">
        <w:rPr>
          <w:rFonts w:asciiTheme="majorHAnsi" w:hAnsiTheme="majorHAnsi"/>
          <w:sz w:val="20"/>
          <w:szCs w:val="20"/>
        </w:rPr>
        <w:t>STRESSES</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4CED50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Максимальне і мінімальне напруження циклу, які відповідають</w:t>
      </w:r>
      <w:r w:rsidRPr="000977F7">
        <w:rPr>
          <w:rFonts w:asciiTheme="majorHAnsi" w:hAnsiTheme="majorHAnsi"/>
          <w:spacing w:val="-1"/>
          <w:sz w:val="20"/>
          <w:szCs w:val="20"/>
        </w:rPr>
        <w:t xml:space="preserve"> </w:t>
      </w:r>
      <w:r w:rsidRPr="000977F7">
        <w:rPr>
          <w:rFonts w:asciiTheme="majorHAnsi" w:hAnsiTheme="majorHAnsi"/>
          <w:sz w:val="20"/>
          <w:szCs w:val="20"/>
        </w:rPr>
        <w:t>границі</w:t>
      </w:r>
      <w:r w:rsidRPr="000977F7">
        <w:rPr>
          <w:rFonts w:asciiTheme="majorHAnsi" w:hAnsiTheme="majorHAnsi"/>
          <w:spacing w:val="2"/>
          <w:sz w:val="20"/>
          <w:szCs w:val="20"/>
        </w:rPr>
        <w:t xml:space="preserve"> </w:t>
      </w:r>
      <w:r w:rsidRPr="000977F7">
        <w:rPr>
          <w:rFonts w:asciiTheme="majorHAnsi" w:hAnsiTheme="majorHAnsi"/>
          <w:sz w:val="20"/>
          <w:szCs w:val="20"/>
        </w:rPr>
        <w:t>витривалості</w:t>
      </w:r>
    </w:p>
    <w:p w14:paraId="4724FDA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124D8D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ГРАНИЧНО</w:t>
      </w:r>
      <w:r w:rsidRPr="000977F7">
        <w:rPr>
          <w:color w:val="auto"/>
          <w:spacing w:val="-8"/>
          <w:sz w:val="20"/>
          <w:szCs w:val="20"/>
        </w:rPr>
        <w:t xml:space="preserve"> </w:t>
      </w:r>
      <w:r w:rsidRPr="000977F7">
        <w:rPr>
          <w:color w:val="auto"/>
          <w:sz w:val="20"/>
          <w:szCs w:val="20"/>
        </w:rPr>
        <w:t>ДОПУСТИМА</w:t>
      </w:r>
      <w:r w:rsidRPr="000977F7">
        <w:rPr>
          <w:color w:val="auto"/>
          <w:spacing w:val="-7"/>
          <w:sz w:val="20"/>
          <w:szCs w:val="20"/>
        </w:rPr>
        <w:t xml:space="preserve"> </w:t>
      </w:r>
      <w:r w:rsidRPr="000977F7">
        <w:rPr>
          <w:color w:val="auto"/>
          <w:sz w:val="20"/>
          <w:szCs w:val="20"/>
        </w:rPr>
        <w:t>КОНЦЕНТРАЦІЯ</w:t>
      </w:r>
      <w:r w:rsidRPr="000977F7">
        <w:rPr>
          <w:color w:val="auto"/>
          <w:spacing w:val="-47"/>
          <w:sz w:val="20"/>
          <w:szCs w:val="20"/>
        </w:rPr>
        <w:t xml:space="preserve"> </w:t>
      </w:r>
      <w:r w:rsidRPr="000977F7">
        <w:rPr>
          <w:color w:val="auto"/>
          <w:sz w:val="20"/>
          <w:szCs w:val="20"/>
        </w:rPr>
        <w:t>(ГДК) -</w:t>
      </w:r>
    </w:p>
    <w:p w14:paraId="2D9EDD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Вміст шкідливих речовин в природних середовищах в</w:t>
      </w:r>
      <w:r w:rsidRPr="000977F7">
        <w:rPr>
          <w:rFonts w:asciiTheme="majorHAnsi" w:hAnsiTheme="majorHAnsi"/>
          <w:spacing w:val="-47"/>
          <w:sz w:val="20"/>
          <w:szCs w:val="20"/>
        </w:rPr>
        <w:t xml:space="preserve"> </w:t>
      </w:r>
      <w:r w:rsidRPr="000977F7">
        <w:rPr>
          <w:rFonts w:asciiTheme="majorHAnsi" w:hAnsiTheme="majorHAnsi"/>
          <w:sz w:val="20"/>
          <w:szCs w:val="20"/>
        </w:rPr>
        <w:t>обсягах, що становлять критичну небезпеку для людини</w:t>
      </w:r>
      <w:r w:rsidRPr="000977F7">
        <w:rPr>
          <w:rFonts w:asciiTheme="majorHAnsi" w:hAnsiTheme="majorHAnsi"/>
          <w:spacing w:val="-2"/>
          <w:sz w:val="20"/>
          <w:szCs w:val="20"/>
        </w:rPr>
        <w:t xml:space="preserve"> </w:t>
      </w:r>
      <w:r w:rsidRPr="000977F7">
        <w:rPr>
          <w:rFonts w:asciiTheme="majorHAnsi" w:hAnsiTheme="majorHAnsi"/>
          <w:sz w:val="20"/>
          <w:szCs w:val="20"/>
        </w:rPr>
        <w:t>та інших</w:t>
      </w:r>
      <w:r w:rsidRPr="000977F7">
        <w:rPr>
          <w:rFonts w:asciiTheme="majorHAnsi" w:hAnsiTheme="majorHAnsi"/>
          <w:spacing w:val="-1"/>
          <w:sz w:val="20"/>
          <w:szCs w:val="20"/>
        </w:rPr>
        <w:t xml:space="preserve"> </w:t>
      </w:r>
      <w:r w:rsidRPr="000977F7">
        <w:rPr>
          <w:rFonts w:asciiTheme="majorHAnsi" w:hAnsiTheme="majorHAnsi"/>
          <w:sz w:val="20"/>
          <w:szCs w:val="20"/>
        </w:rPr>
        <w:t>реципієнтів</w:t>
      </w:r>
    </w:p>
    <w:p w14:paraId="42A8841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93</w:t>
      </w:r>
    </w:p>
    <w:p w14:paraId="55E1093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ГРАНИЧНО</w:t>
      </w:r>
      <w:r w:rsidRPr="000977F7">
        <w:rPr>
          <w:color w:val="auto"/>
          <w:spacing w:val="-7"/>
          <w:sz w:val="20"/>
          <w:szCs w:val="20"/>
        </w:rPr>
        <w:t xml:space="preserve"> </w:t>
      </w:r>
      <w:r w:rsidRPr="000977F7">
        <w:rPr>
          <w:color w:val="auto"/>
          <w:sz w:val="20"/>
          <w:szCs w:val="20"/>
        </w:rPr>
        <w:t>ДОПУСТИМЕ</w:t>
      </w:r>
      <w:r w:rsidRPr="000977F7">
        <w:rPr>
          <w:color w:val="auto"/>
          <w:spacing w:val="-8"/>
          <w:sz w:val="20"/>
          <w:szCs w:val="20"/>
        </w:rPr>
        <w:t xml:space="preserve"> </w:t>
      </w:r>
      <w:r w:rsidRPr="000977F7">
        <w:rPr>
          <w:color w:val="auto"/>
          <w:sz w:val="20"/>
          <w:szCs w:val="20"/>
        </w:rPr>
        <w:t>ЗНАЧЕННЯ</w:t>
      </w:r>
      <w:r w:rsidRPr="000977F7">
        <w:rPr>
          <w:color w:val="auto"/>
          <w:spacing w:val="-47"/>
          <w:sz w:val="20"/>
          <w:szCs w:val="20"/>
        </w:rPr>
        <w:t xml:space="preserve"> </w:t>
      </w:r>
      <w:r w:rsidRPr="000977F7">
        <w:rPr>
          <w:color w:val="auto"/>
          <w:sz w:val="20"/>
          <w:szCs w:val="20"/>
        </w:rPr>
        <w:t>ПАРАМЕТРА-</w:t>
      </w:r>
    </w:p>
    <w:p w14:paraId="352BD4D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Найбільше</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найменше</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r w:rsidRPr="000977F7">
        <w:rPr>
          <w:rFonts w:asciiTheme="majorHAnsi" w:hAnsiTheme="majorHAnsi"/>
          <w:spacing w:val="1"/>
          <w:sz w:val="20"/>
          <w:szCs w:val="20"/>
        </w:rPr>
        <w:t xml:space="preserve"> </w:t>
      </w:r>
      <w:r w:rsidRPr="000977F7">
        <w:rPr>
          <w:rFonts w:asciiTheme="majorHAnsi" w:hAnsiTheme="majorHAnsi"/>
          <w:sz w:val="20"/>
          <w:szCs w:val="20"/>
        </w:rPr>
        <w:t>яке</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мати</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працездатний</w:t>
      </w:r>
      <w:r w:rsidRPr="000977F7">
        <w:rPr>
          <w:rFonts w:asciiTheme="majorHAnsi" w:hAnsiTheme="majorHAnsi"/>
          <w:spacing w:val="-1"/>
          <w:sz w:val="20"/>
          <w:szCs w:val="20"/>
        </w:rPr>
        <w:t xml:space="preserve"> </w:t>
      </w:r>
      <w:r w:rsidRPr="000977F7">
        <w:rPr>
          <w:rFonts w:asciiTheme="majorHAnsi" w:hAnsiTheme="majorHAnsi"/>
          <w:sz w:val="20"/>
          <w:szCs w:val="20"/>
        </w:rPr>
        <w:t>виріб</w:t>
      </w:r>
    </w:p>
    <w:p w14:paraId="6D91A6C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ГРАНИЧНО ДОПУСТИМІ ВИКИДИ В </w:t>
      </w:r>
    </w:p>
    <w:p w14:paraId="07B81C9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АТМОС</w:t>
      </w:r>
      <w:r w:rsidRPr="000977F7">
        <w:rPr>
          <w:color w:val="auto"/>
          <w:spacing w:val="-47"/>
          <w:sz w:val="20"/>
          <w:szCs w:val="20"/>
        </w:rPr>
        <w:t xml:space="preserve"> </w:t>
      </w:r>
      <w:r w:rsidRPr="000977F7">
        <w:rPr>
          <w:color w:val="auto"/>
          <w:sz w:val="20"/>
          <w:szCs w:val="20"/>
        </w:rPr>
        <w:t>ФЕРУ (ПРОМИСЛОВИМИ ПІДПРИЄМСТВАМИ) —</w:t>
      </w:r>
    </w:p>
    <w:p w14:paraId="3D2E009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Маса викидів шкідливих речовин за одиницю часу від</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одного чи декількох джерел забруднення атмосферного повітря з урахуванням перспективи розвитку підприємств та розсіювання шкідливих речовим в атмосфері, що утворюють навколоземну концентрацію, яка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перевищує ГДК</w:t>
      </w:r>
    </w:p>
    <w:p w14:paraId="28DA312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559C356D" w14:textId="77777777" w:rsidR="0097612F" w:rsidRPr="000977F7" w:rsidRDefault="0097612F" w:rsidP="000977F7">
      <w:pPr>
        <w:pStyle w:val="7"/>
        <w:tabs>
          <w:tab w:val="left" w:pos="284"/>
        </w:tabs>
        <w:spacing w:before="0" w:line="240" w:lineRule="auto"/>
        <w:ind w:left="170"/>
        <w:mirrorIndents/>
        <w:jc w:val="both"/>
        <w:rPr>
          <w:color w:val="auto"/>
          <w:spacing w:val="-8"/>
          <w:sz w:val="20"/>
          <w:szCs w:val="20"/>
        </w:rPr>
      </w:pPr>
      <w:r w:rsidRPr="000977F7">
        <w:rPr>
          <w:color w:val="auto"/>
          <w:sz w:val="20"/>
          <w:szCs w:val="20"/>
        </w:rPr>
        <w:t>ГРАНИЧНОМОЖЛИВЕ</w:t>
      </w:r>
      <w:r w:rsidRPr="000977F7">
        <w:rPr>
          <w:color w:val="auto"/>
          <w:spacing w:val="-10"/>
          <w:sz w:val="20"/>
          <w:szCs w:val="20"/>
        </w:rPr>
        <w:t xml:space="preserve"> </w:t>
      </w:r>
      <w:r w:rsidRPr="000977F7">
        <w:rPr>
          <w:color w:val="auto"/>
          <w:sz w:val="20"/>
          <w:szCs w:val="20"/>
        </w:rPr>
        <w:t>ЗНАЧЕННЯ</w:t>
      </w:r>
      <w:r w:rsidRPr="000977F7">
        <w:rPr>
          <w:color w:val="auto"/>
          <w:spacing w:val="-8"/>
          <w:sz w:val="20"/>
          <w:szCs w:val="20"/>
        </w:rPr>
        <w:t xml:space="preserve"> </w:t>
      </w:r>
    </w:p>
    <w:p w14:paraId="64BA806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ПАРАМЕТ</w:t>
      </w:r>
      <w:r w:rsidRPr="000977F7">
        <w:rPr>
          <w:color w:val="auto"/>
          <w:spacing w:val="-47"/>
          <w:sz w:val="20"/>
          <w:szCs w:val="20"/>
        </w:rPr>
        <w:t xml:space="preserve"> </w:t>
      </w:r>
      <w:r w:rsidRPr="000977F7">
        <w:rPr>
          <w:color w:val="auto"/>
          <w:sz w:val="20"/>
          <w:szCs w:val="20"/>
        </w:rPr>
        <w:t>РА-</w:t>
      </w:r>
    </w:p>
    <w:p w14:paraId="61DC8ED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Найбільше</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найменше</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r w:rsidRPr="000977F7">
        <w:rPr>
          <w:rFonts w:asciiTheme="majorHAnsi" w:hAnsiTheme="majorHAnsi"/>
          <w:spacing w:val="1"/>
          <w:sz w:val="20"/>
          <w:szCs w:val="20"/>
        </w:rPr>
        <w:t xml:space="preserve"> </w:t>
      </w:r>
      <w:r w:rsidRPr="000977F7">
        <w:rPr>
          <w:rFonts w:asciiTheme="majorHAnsi" w:hAnsiTheme="majorHAnsi"/>
          <w:sz w:val="20"/>
          <w:szCs w:val="20"/>
        </w:rPr>
        <w:t>яке</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мати</w:t>
      </w:r>
      <w:r w:rsidRPr="000977F7">
        <w:rPr>
          <w:rFonts w:asciiTheme="majorHAnsi" w:hAnsiTheme="majorHAnsi"/>
          <w:spacing w:val="-1"/>
          <w:sz w:val="20"/>
          <w:szCs w:val="20"/>
        </w:rPr>
        <w:t xml:space="preserve"> </w:t>
      </w:r>
      <w:r w:rsidRPr="000977F7">
        <w:rPr>
          <w:rFonts w:asciiTheme="majorHAnsi" w:hAnsiTheme="majorHAnsi"/>
          <w:sz w:val="20"/>
          <w:szCs w:val="20"/>
        </w:rPr>
        <w:t>непрацездатний</w:t>
      </w:r>
      <w:r w:rsidRPr="000977F7">
        <w:rPr>
          <w:rFonts w:asciiTheme="majorHAnsi" w:hAnsiTheme="majorHAnsi"/>
          <w:spacing w:val="1"/>
          <w:sz w:val="20"/>
          <w:szCs w:val="20"/>
        </w:rPr>
        <w:t xml:space="preserve"> </w:t>
      </w:r>
      <w:r w:rsidRPr="000977F7">
        <w:rPr>
          <w:rFonts w:asciiTheme="majorHAnsi" w:hAnsiTheme="majorHAnsi"/>
          <w:sz w:val="20"/>
          <w:szCs w:val="20"/>
        </w:rPr>
        <w:t>виріб</w:t>
      </w:r>
    </w:p>
    <w:p w14:paraId="655F9F8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ГРАФ</w:t>
      </w:r>
      <w:r w:rsidRPr="000977F7">
        <w:rPr>
          <w:color w:val="auto"/>
          <w:spacing w:val="-5"/>
          <w:sz w:val="20"/>
          <w:szCs w:val="20"/>
        </w:rPr>
        <w:t xml:space="preserve"> </w:t>
      </w:r>
      <w:r w:rsidRPr="000977F7">
        <w:rPr>
          <w:color w:val="auto"/>
          <w:sz w:val="20"/>
          <w:szCs w:val="20"/>
        </w:rPr>
        <w:t>НЕСПРАВНОСТЕЙ –</w:t>
      </w:r>
    </w:p>
    <w:p w14:paraId="2077A8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FAULT</w:t>
      </w:r>
      <w:r w:rsidRPr="000977F7">
        <w:rPr>
          <w:rFonts w:asciiTheme="majorHAnsi" w:hAnsiTheme="majorHAnsi"/>
          <w:spacing w:val="-1"/>
          <w:sz w:val="20"/>
          <w:szCs w:val="20"/>
        </w:rPr>
        <w:t xml:space="preserve"> </w:t>
      </w:r>
      <w:r w:rsidRPr="000977F7">
        <w:rPr>
          <w:rFonts w:asciiTheme="majorHAnsi" w:hAnsiTheme="majorHAnsi"/>
          <w:sz w:val="20"/>
          <w:szCs w:val="20"/>
        </w:rPr>
        <w:t>TREE –</w:t>
      </w:r>
    </w:p>
    <w:p w14:paraId="299A5BB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Логічна</w:t>
      </w:r>
      <w:r w:rsidRPr="000977F7">
        <w:rPr>
          <w:rFonts w:asciiTheme="majorHAnsi" w:hAnsiTheme="majorHAnsi"/>
          <w:spacing w:val="1"/>
          <w:sz w:val="20"/>
          <w:szCs w:val="20"/>
        </w:rPr>
        <w:t xml:space="preserve"> </w:t>
      </w:r>
      <w:r w:rsidRPr="000977F7">
        <w:rPr>
          <w:rFonts w:asciiTheme="majorHAnsi" w:hAnsiTheme="majorHAnsi"/>
          <w:sz w:val="20"/>
          <w:szCs w:val="20"/>
        </w:rPr>
        <w:t>схема,</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відображає</w:t>
      </w:r>
      <w:r w:rsidRPr="000977F7">
        <w:rPr>
          <w:rFonts w:asciiTheme="majorHAnsi" w:hAnsiTheme="majorHAnsi"/>
          <w:spacing w:val="1"/>
          <w:sz w:val="20"/>
          <w:szCs w:val="20"/>
        </w:rPr>
        <w:t xml:space="preserve"> </w:t>
      </w:r>
      <w:r w:rsidRPr="000977F7">
        <w:rPr>
          <w:rFonts w:asciiTheme="majorHAnsi" w:hAnsiTheme="majorHAnsi"/>
          <w:sz w:val="20"/>
          <w:szCs w:val="20"/>
        </w:rPr>
        <w:t>види</w:t>
      </w:r>
      <w:r w:rsidRPr="000977F7">
        <w:rPr>
          <w:rFonts w:asciiTheme="majorHAnsi" w:hAnsiTheme="majorHAnsi"/>
          <w:spacing w:val="1"/>
          <w:sz w:val="20"/>
          <w:szCs w:val="20"/>
        </w:rPr>
        <w:t xml:space="preserve"> </w:t>
      </w:r>
      <w:r w:rsidRPr="000977F7">
        <w:rPr>
          <w:rFonts w:asciiTheme="majorHAnsi" w:hAnsiTheme="majorHAnsi"/>
          <w:sz w:val="20"/>
          <w:szCs w:val="20"/>
        </w:rPr>
        <w:t>несправностей</w:t>
      </w:r>
      <w:r w:rsidRPr="000977F7">
        <w:rPr>
          <w:rFonts w:asciiTheme="majorHAnsi" w:hAnsiTheme="majorHAnsi"/>
          <w:spacing w:val="1"/>
          <w:sz w:val="20"/>
          <w:szCs w:val="20"/>
        </w:rPr>
        <w:t xml:space="preserve"> </w:t>
      </w:r>
      <w:r w:rsidRPr="000977F7">
        <w:rPr>
          <w:rFonts w:asciiTheme="majorHAnsi" w:hAnsiTheme="majorHAnsi"/>
          <w:sz w:val="20"/>
          <w:szCs w:val="20"/>
        </w:rPr>
        <w:t>складових частин об’єкта або зовнішніх подій чи їх</w:t>
      </w:r>
      <w:r w:rsidRPr="000977F7">
        <w:rPr>
          <w:rFonts w:asciiTheme="majorHAnsi" w:hAnsiTheme="majorHAnsi"/>
          <w:spacing w:val="1"/>
          <w:sz w:val="20"/>
          <w:szCs w:val="20"/>
        </w:rPr>
        <w:t xml:space="preserve"> </w:t>
      </w:r>
      <w:r w:rsidRPr="000977F7">
        <w:rPr>
          <w:rFonts w:asciiTheme="majorHAnsi" w:hAnsiTheme="majorHAnsi"/>
          <w:sz w:val="20"/>
          <w:szCs w:val="20"/>
        </w:rPr>
        <w:t>комбінації, які спричиняють певний вид несправності</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21BDF7C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FD6E41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ГРАФ</w:t>
      </w:r>
      <w:r w:rsidRPr="000977F7">
        <w:rPr>
          <w:color w:val="auto"/>
          <w:spacing w:val="-7"/>
          <w:sz w:val="20"/>
          <w:szCs w:val="20"/>
        </w:rPr>
        <w:t xml:space="preserve"> </w:t>
      </w:r>
      <w:r w:rsidRPr="000977F7">
        <w:rPr>
          <w:color w:val="auto"/>
          <w:sz w:val="20"/>
          <w:szCs w:val="20"/>
        </w:rPr>
        <w:t>ТЕХНІЧНОГО</w:t>
      </w:r>
      <w:r w:rsidRPr="000977F7">
        <w:rPr>
          <w:color w:val="auto"/>
          <w:spacing w:val="-6"/>
          <w:sz w:val="20"/>
          <w:szCs w:val="20"/>
        </w:rPr>
        <w:t xml:space="preserve"> </w:t>
      </w:r>
      <w:r w:rsidRPr="000977F7">
        <w:rPr>
          <w:color w:val="auto"/>
          <w:sz w:val="20"/>
          <w:szCs w:val="20"/>
        </w:rPr>
        <w:t>ОБСЛУГОВУВАННЯ</w:t>
      </w:r>
      <w:r w:rsidRPr="000977F7">
        <w:rPr>
          <w:color w:val="auto"/>
          <w:spacing w:val="-6"/>
          <w:sz w:val="20"/>
          <w:szCs w:val="20"/>
        </w:rPr>
        <w:t xml:space="preserve"> </w:t>
      </w:r>
      <w:r w:rsidRPr="000977F7">
        <w:rPr>
          <w:color w:val="auto"/>
          <w:sz w:val="20"/>
          <w:szCs w:val="20"/>
        </w:rPr>
        <w:t>ТА</w:t>
      </w:r>
      <w:r w:rsidRPr="000977F7">
        <w:rPr>
          <w:color w:val="auto"/>
          <w:spacing w:val="-47"/>
          <w:sz w:val="20"/>
          <w:szCs w:val="20"/>
        </w:rPr>
        <w:t xml:space="preserve"> </w:t>
      </w:r>
      <w:r w:rsidRPr="000977F7">
        <w:rPr>
          <w:color w:val="auto"/>
          <w:sz w:val="20"/>
          <w:szCs w:val="20"/>
        </w:rPr>
        <w:t>РЕМОНТУ –</w:t>
      </w:r>
    </w:p>
    <w:p w14:paraId="41F8D73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MAINTENANCE</w:t>
      </w:r>
      <w:r w:rsidRPr="004D2D14">
        <w:rPr>
          <w:rFonts w:asciiTheme="majorHAnsi" w:hAnsiTheme="majorHAnsi"/>
          <w:spacing w:val="-2"/>
          <w:sz w:val="20"/>
          <w:szCs w:val="20"/>
          <w:lang w:val="uk-UA"/>
        </w:rPr>
        <w:t xml:space="preserve"> </w:t>
      </w:r>
      <w:r w:rsidRPr="000977F7">
        <w:rPr>
          <w:rFonts w:asciiTheme="majorHAnsi" w:hAnsiTheme="majorHAnsi"/>
          <w:sz w:val="20"/>
          <w:szCs w:val="20"/>
        </w:rPr>
        <w:t>TREE</w:t>
      </w:r>
      <w:r w:rsidRPr="004D2D14">
        <w:rPr>
          <w:rFonts w:asciiTheme="majorHAnsi" w:hAnsiTheme="majorHAnsi"/>
          <w:sz w:val="20"/>
          <w:szCs w:val="20"/>
          <w:lang w:val="uk-UA"/>
        </w:rPr>
        <w:t xml:space="preserve"> –</w:t>
      </w:r>
    </w:p>
    <w:p w14:paraId="02652DC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Логічна схема, що відображає допустимі альтернативні послідовності одиничних операцій технічного обслуговування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об’єкта</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умови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їх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вибору</w:t>
      </w:r>
    </w:p>
    <w:p w14:paraId="7E9ADC9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60EC71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ГРАФІК</w:t>
      </w:r>
      <w:r w:rsidRPr="000977F7">
        <w:rPr>
          <w:color w:val="auto"/>
          <w:spacing w:val="-5"/>
          <w:sz w:val="20"/>
          <w:szCs w:val="20"/>
        </w:rPr>
        <w:t xml:space="preserve"> </w:t>
      </w:r>
      <w:r w:rsidRPr="000977F7">
        <w:rPr>
          <w:color w:val="auto"/>
          <w:sz w:val="20"/>
          <w:szCs w:val="20"/>
        </w:rPr>
        <w:t>ЦИКЛІЧНОСТІ –</w:t>
      </w:r>
    </w:p>
    <w:p w14:paraId="4FF8633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Наочне</w:t>
      </w:r>
      <w:r w:rsidRPr="000977F7">
        <w:rPr>
          <w:rFonts w:asciiTheme="majorHAnsi" w:hAnsiTheme="majorHAnsi"/>
          <w:spacing w:val="1"/>
          <w:sz w:val="20"/>
          <w:szCs w:val="20"/>
        </w:rPr>
        <w:t xml:space="preserve"> </w:t>
      </w:r>
      <w:r w:rsidRPr="000977F7">
        <w:rPr>
          <w:rFonts w:asciiTheme="majorHAnsi" w:hAnsiTheme="majorHAnsi"/>
          <w:sz w:val="20"/>
          <w:szCs w:val="20"/>
        </w:rPr>
        <w:t>відображення</w:t>
      </w:r>
      <w:r w:rsidRPr="000977F7">
        <w:rPr>
          <w:rFonts w:asciiTheme="majorHAnsi" w:hAnsiTheme="majorHAnsi"/>
          <w:spacing w:val="1"/>
          <w:sz w:val="20"/>
          <w:szCs w:val="20"/>
        </w:rPr>
        <w:t xml:space="preserve"> </w:t>
      </w:r>
      <w:r w:rsidRPr="000977F7">
        <w:rPr>
          <w:rFonts w:asciiTheme="majorHAnsi" w:hAnsiTheme="majorHAnsi"/>
          <w:sz w:val="20"/>
          <w:szCs w:val="20"/>
        </w:rPr>
        <w:t>ходу</w:t>
      </w:r>
      <w:r w:rsidRPr="000977F7">
        <w:rPr>
          <w:rFonts w:asciiTheme="majorHAnsi" w:hAnsiTheme="majorHAnsi"/>
          <w:spacing w:val="1"/>
          <w:sz w:val="20"/>
          <w:szCs w:val="20"/>
        </w:rPr>
        <w:t xml:space="preserve"> </w:t>
      </w:r>
      <w:r w:rsidRPr="000977F7">
        <w:rPr>
          <w:rFonts w:asciiTheme="majorHAnsi" w:hAnsiTheme="majorHAnsi"/>
          <w:sz w:val="20"/>
          <w:szCs w:val="20"/>
        </w:rPr>
        <w:t>виробничого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часі</w:t>
      </w:r>
    </w:p>
    <w:p w14:paraId="0702449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D0E1D0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ГРАФІТУВАННЯ</w:t>
      </w:r>
      <w:r w:rsidRPr="000977F7">
        <w:rPr>
          <w:color w:val="auto"/>
          <w:spacing w:val="-4"/>
          <w:sz w:val="20"/>
          <w:szCs w:val="20"/>
        </w:rPr>
        <w:t xml:space="preserve"> </w:t>
      </w:r>
      <w:r w:rsidRPr="000977F7">
        <w:rPr>
          <w:color w:val="auto"/>
          <w:sz w:val="20"/>
          <w:szCs w:val="20"/>
        </w:rPr>
        <w:t>ЧАВУНУ</w:t>
      </w:r>
      <w:r w:rsidRPr="000977F7">
        <w:rPr>
          <w:color w:val="auto"/>
          <w:spacing w:val="-2"/>
          <w:sz w:val="20"/>
          <w:szCs w:val="20"/>
        </w:rPr>
        <w:t xml:space="preserve"> </w:t>
      </w:r>
      <w:r w:rsidRPr="000977F7">
        <w:rPr>
          <w:color w:val="auto"/>
          <w:sz w:val="20"/>
          <w:szCs w:val="20"/>
        </w:rPr>
        <w:t>–</w:t>
      </w:r>
    </w:p>
    <w:p w14:paraId="217BD2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GRAPHITIC</w:t>
      </w:r>
      <w:r w:rsidRPr="000977F7">
        <w:rPr>
          <w:rFonts w:asciiTheme="majorHAnsi" w:hAnsiTheme="majorHAnsi"/>
          <w:spacing w:val="-4"/>
          <w:sz w:val="20"/>
          <w:szCs w:val="20"/>
        </w:rPr>
        <w:t xml:space="preserve"> </w:t>
      </w:r>
      <w:r w:rsidRPr="000977F7">
        <w:rPr>
          <w:rFonts w:asciiTheme="majorHAnsi" w:hAnsiTheme="majorHAnsi"/>
          <w:sz w:val="20"/>
          <w:szCs w:val="20"/>
        </w:rPr>
        <w:t>CORROSION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65502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Вибіркова корозія сірого ливарного чавуну, що відбувається внаслідок</w:t>
      </w:r>
      <w:r w:rsidRPr="000977F7">
        <w:rPr>
          <w:rFonts w:asciiTheme="majorHAnsi" w:hAnsiTheme="majorHAnsi"/>
          <w:spacing w:val="1"/>
          <w:sz w:val="20"/>
          <w:szCs w:val="20"/>
        </w:rPr>
        <w:t xml:space="preserve"> </w:t>
      </w:r>
      <w:r w:rsidRPr="000977F7">
        <w:rPr>
          <w:rFonts w:asciiTheme="majorHAnsi" w:hAnsiTheme="majorHAnsi"/>
          <w:sz w:val="20"/>
          <w:szCs w:val="20"/>
        </w:rPr>
        <w:t>розчинення феритних і</w:t>
      </w:r>
      <w:r w:rsidRPr="000977F7">
        <w:rPr>
          <w:rFonts w:asciiTheme="majorHAnsi" w:hAnsiTheme="majorHAnsi"/>
          <w:spacing w:val="1"/>
          <w:sz w:val="20"/>
          <w:szCs w:val="20"/>
        </w:rPr>
        <w:t xml:space="preserve"> </w:t>
      </w:r>
      <w:r w:rsidRPr="000977F7">
        <w:rPr>
          <w:rFonts w:asciiTheme="majorHAnsi" w:hAnsiTheme="majorHAnsi"/>
          <w:sz w:val="20"/>
          <w:szCs w:val="20"/>
        </w:rPr>
        <w:t>перлітних</w:t>
      </w:r>
      <w:r w:rsidRPr="000977F7">
        <w:rPr>
          <w:rFonts w:asciiTheme="majorHAnsi" w:hAnsiTheme="majorHAnsi"/>
          <w:spacing w:val="1"/>
          <w:sz w:val="20"/>
          <w:szCs w:val="20"/>
        </w:rPr>
        <w:t xml:space="preserve"> </w:t>
      </w:r>
      <w:r w:rsidRPr="000977F7">
        <w:rPr>
          <w:rFonts w:asciiTheme="majorHAnsi" w:hAnsiTheme="majorHAnsi"/>
          <w:sz w:val="20"/>
          <w:szCs w:val="20"/>
        </w:rPr>
        <w:t>складових</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утворенням</w:t>
      </w:r>
      <w:r w:rsidRPr="000977F7">
        <w:rPr>
          <w:rFonts w:asciiTheme="majorHAnsi" w:hAnsiTheme="majorHAnsi"/>
          <w:spacing w:val="1"/>
          <w:sz w:val="20"/>
          <w:szCs w:val="20"/>
        </w:rPr>
        <w:t xml:space="preserve"> </w:t>
      </w:r>
      <w:r w:rsidRPr="000977F7">
        <w:rPr>
          <w:rFonts w:asciiTheme="majorHAnsi" w:hAnsiTheme="majorHAnsi"/>
          <w:sz w:val="20"/>
          <w:szCs w:val="20"/>
        </w:rPr>
        <w:t>відносно</w:t>
      </w:r>
      <w:r w:rsidRPr="000977F7">
        <w:rPr>
          <w:rFonts w:asciiTheme="majorHAnsi" w:hAnsiTheme="majorHAnsi"/>
          <w:spacing w:val="1"/>
          <w:sz w:val="20"/>
          <w:szCs w:val="20"/>
        </w:rPr>
        <w:t xml:space="preserve"> </w:t>
      </w:r>
      <w:r w:rsidRPr="000977F7">
        <w:rPr>
          <w:rFonts w:asciiTheme="majorHAnsi" w:hAnsiTheme="majorHAnsi"/>
          <w:sz w:val="20"/>
          <w:szCs w:val="20"/>
        </w:rPr>
        <w:t>м'якої</w:t>
      </w:r>
      <w:r w:rsidRPr="000977F7">
        <w:rPr>
          <w:rFonts w:asciiTheme="majorHAnsi" w:hAnsiTheme="majorHAnsi"/>
          <w:spacing w:val="1"/>
          <w:sz w:val="20"/>
          <w:szCs w:val="20"/>
        </w:rPr>
        <w:t xml:space="preserve"> </w:t>
      </w:r>
      <w:r w:rsidRPr="000977F7">
        <w:rPr>
          <w:rFonts w:asciiTheme="majorHAnsi" w:hAnsiTheme="majorHAnsi"/>
          <w:sz w:val="20"/>
          <w:szCs w:val="20"/>
        </w:rPr>
        <w:t>маси</w:t>
      </w:r>
      <w:r w:rsidRPr="000977F7">
        <w:rPr>
          <w:rFonts w:asciiTheme="majorHAnsi" w:hAnsiTheme="majorHAnsi"/>
          <w:spacing w:val="1"/>
          <w:sz w:val="20"/>
          <w:szCs w:val="20"/>
        </w:rPr>
        <w:t xml:space="preserve"> </w:t>
      </w:r>
      <w:r w:rsidRPr="000977F7">
        <w:rPr>
          <w:rFonts w:asciiTheme="majorHAnsi" w:hAnsiTheme="majorHAnsi"/>
          <w:sz w:val="20"/>
          <w:szCs w:val="20"/>
        </w:rPr>
        <w:t>графітового скелету</w:t>
      </w:r>
      <w:r w:rsidRPr="000977F7">
        <w:rPr>
          <w:rFonts w:asciiTheme="majorHAnsi" w:hAnsiTheme="majorHAnsi"/>
          <w:spacing w:val="-1"/>
          <w:sz w:val="20"/>
          <w:szCs w:val="20"/>
        </w:rPr>
        <w:t xml:space="preserve"> </w:t>
      </w:r>
      <w:r w:rsidRPr="000977F7">
        <w:rPr>
          <w:rFonts w:asciiTheme="majorHAnsi" w:hAnsiTheme="majorHAnsi"/>
          <w:sz w:val="20"/>
          <w:szCs w:val="20"/>
        </w:rPr>
        <w:t>без зміни</w:t>
      </w:r>
      <w:r w:rsidRPr="000977F7">
        <w:rPr>
          <w:rFonts w:asciiTheme="majorHAnsi" w:hAnsiTheme="majorHAnsi"/>
          <w:spacing w:val="1"/>
          <w:sz w:val="20"/>
          <w:szCs w:val="20"/>
        </w:rPr>
        <w:t xml:space="preserve"> </w:t>
      </w:r>
      <w:r w:rsidRPr="000977F7">
        <w:rPr>
          <w:rFonts w:asciiTheme="majorHAnsi" w:hAnsiTheme="majorHAnsi"/>
          <w:sz w:val="20"/>
          <w:szCs w:val="20"/>
        </w:rPr>
        <w:t>форми</w:t>
      </w:r>
    </w:p>
    <w:p w14:paraId="265104F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98</w:t>
      </w:r>
    </w:p>
    <w:p w14:paraId="0D3854B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1"/>
          <w:sz w:val="20"/>
          <w:szCs w:val="20"/>
        </w:rPr>
        <w:t xml:space="preserve">ГРАФІЧНИЙ </w:t>
      </w:r>
      <w:r w:rsidRPr="000977F7">
        <w:rPr>
          <w:color w:val="auto"/>
          <w:sz w:val="20"/>
          <w:szCs w:val="20"/>
        </w:rPr>
        <w:t>КОНСТРУКТОРСЬКИЙ</w:t>
      </w:r>
      <w:r w:rsidRPr="000977F7">
        <w:rPr>
          <w:color w:val="auto"/>
          <w:spacing w:val="-47"/>
          <w:sz w:val="20"/>
          <w:szCs w:val="20"/>
        </w:rPr>
        <w:t xml:space="preserve"> </w:t>
      </w:r>
      <w:r w:rsidRPr="000977F7">
        <w:rPr>
          <w:color w:val="auto"/>
          <w:sz w:val="20"/>
          <w:szCs w:val="20"/>
        </w:rPr>
        <w:t>ДОКУМЕНТ</w:t>
      </w:r>
      <w:r w:rsidRPr="000977F7">
        <w:rPr>
          <w:color w:val="auto"/>
          <w:spacing w:val="-1"/>
          <w:sz w:val="20"/>
          <w:szCs w:val="20"/>
        </w:rPr>
        <w:t xml:space="preserve"> </w:t>
      </w:r>
      <w:r w:rsidRPr="000977F7">
        <w:rPr>
          <w:color w:val="auto"/>
          <w:sz w:val="20"/>
          <w:szCs w:val="20"/>
        </w:rPr>
        <w:t>–</w:t>
      </w:r>
    </w:p>
    <w:p w14:paraId="4516DA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Конструкторський документ, який являє собою переважно графічне зображення виробу та (чи) його складових частин, будови та принципу роботи, внутрішніх</w:t>
      </w:r>
      <w:r w:rsidRPr="000977F7">
        <w:rPr>
          <w:rFonts w:asciiTheme="majorHAnsi" w:hAnsiTheme="majorHAnsi"/>
          <w:spacing w:val="-47"/>
          <w:sz w:val="20"/>
          <w:szCs w:val="20"/>
        </w:rPr>
        <w:t xml:space="preserve"> </w:t>
      </w:r>
      <w:r w:rsidRPr="000977F7">
        <w:rPr>
          <w:rFonts w:asciiTheme="majorHAnsi" w:hAnsiTheme="majorHAnsi"/>
          <w:sz w:val="20"/>
          <w:szCs w:val="20"/>
        </w:rPr>
        <w:t>і</w:t>
      </w:r>
      <w:r w:rsidRPr="000977F7">
        <w:rPr>
          <w:rFonts w:asciiTheme="majorHAnsi" w:hAnsiTheme="majorHAnsi"/>
          <w:spacing w:val="-3"/>
          <w:sz w:val="20"/>
          <w:szCs w:val="20"/>
        </w:rPr>
        <w:t xml:space="preserve"> </w:t>
      </w:r>
      <w:r w:rsidRPr="000977F7">
        <w:rPr>
          <w:rFonts w:asciiTheme="majorHAnsi" w:hAnsiTheme="majorHAnsi"/>
          <w:sz w:val="20"/>
          <w:szCs w:val="20"/>
        </w:rPr>
        <w:t>зовнішніх</w:t>
      </w:r>
      <w:r w:rsidRPr="000977F7">
        <w:rPr>
          <w:rFonts w:asciiTheme="majorHAnsi" w:hAnsiTheme="majorHAnsi"/>
          <w:spacing w:val="-3"/>
          <w:sz w:val="20"/>
          <w:szCs w:val="20"/>
        </w:rPr>
        <w:t xml:space="preserve"> </w:t>
      </w:r>
      <w:r w:rsidRPr="000977F7">
        <w:rPr>
          <w:rFonts w:asciiTheme="majorHAnsi" w:hAnsiTheme="majorHAnsi"/>
          <w:sz w:val="20"/>
          <w:szCs w:val="20"/>
        </w:rPr>
        <w:t>зв’язків</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функціональних</w:t>
      </w:r>
      <w:r w:rsidRPr="000977F7">
        <w:rPr>
          <w:rFonts w:asciiTheme="majorHAnsi" w:hAnsiTheme="majorHAnsi"/>
          <w:spacing w:val="-2"/>
          <w:sz w:val="20"/>
          <w:szCs w:val="20"/>
        </w:rPr>
        <w:t xml:space="preserve"> </w:t>
      </w:r>
      <w:r w:rsidRPr="000977F7">
        <w:rPr>
          <w:rFonts w:asciiTheme="majorHAnsi" w:hAnsiTheme="majorHAnsi"/>
          <w:sz w:val="20"/>
          <w:szCs w:val="20"/>
        </w:rPr>
        <w:t>частин</w:t>
      </w:r>
    </w:p>
    <w:p w14:paraId="18C0C1EB"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3321 – 2003</w:t>
      </w:r>
    </w:p>
    <w:p w14:paraId="35DC0BF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ГРОМАДСЬКИЙ КОНТРОЛЬ У ГАЛУЗІ </w:t>
      </w:r>
    </w:p>
    <w:p w14:paraId="55C3FA6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ОХОРО</w:t>
      </w:r>
      <w:r w:rsidRPr="000977F7">
        <w:rPr>
          <w:color w:val="auto"/>
          <w:spacing w:val="-47"/>
          <w:sz w:val="20"/>
          <w:szCs w:val="20"/>
        </w:rPr>
        <w:t xml:space="preserve"> </w:t>
      </w:r>
      <w:r w:rsidRPr="000977F7">
        <w:rPr>
          <w:color w:val="auto"/>
          <w:sz w:val="20"/>
          <w:szCs w:val="20"/>
        </w:rPr>
        <w:t>НИ НАВКОЛИШНЬОГО ПРИРОДНОГО СЕРЕДОВИЩА</w:t>
      </w:r>
      <w:r w:rsidRPr="000977F7">
        <w:rPr>
          <w:color w:val="auto"/>
          <w:spacing w:val="-1"/>
          <w:sz w:val="20"/>
          <w:szCs w:val="20"/>
        </w:rPr>
        <w:t xml:space="preserve"> </w:t>
      </w:r>
      <w:r w:rsidRPr="000977F7">
        <w:rPr>
          <w:color w:val="auto"/>
          <w:sz w:val="20"/>
          <w:szCs w:val="20"/>
        </w:rPr>
        <w:t>–</w:t>
      </w:r>
    </w:p>
    <w:p w14:paraId="5A69AB3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Громадський контроль у галузі охорони навколишнього природного середовища здійснюється громадськими інспекторами охорони навколишнього природного середовища згідно з Положенням, яке затверджується</w:t>
      </w:r>
      <w:r w:rsidRPr="000977F7">
        <w:rPr>
          <w:rFonts w:asciiTheme="majorHAnsi" w:hAnsiTheme="majorHAnsi"/>
          <w:spacing w:val="1"/>
          <w:sz w:val="20"/>
          <w:szCs w:val="20"/>
        </w:rPr>
        <w:t xml:space="preserve"> </w:t>
      </w:r>
      <w:r w:rsidRPr="000977F7">
        <w:rPr>
          <w:rFonts w:asciiTheme="majorHAnsi" w:hAnsiTheme="majorHAnsi"/>
          <w:sz w:val="20"/>
          <w:szCs w:val="20"/>
        </w:rPr>
        <w:t>спеціально</w:t>
      </w:r>
      <w:r w:rsidRPr="000977F7">
        <w:rPr>
          <w:rFonts w:asciiTheme="majorHAnsi" w:hAnsiTheme="majorHAnsi"/>
          <w:spacing w:val="1"/>
          <w:sz w:val="20"/>
          <w:szCs w:val="20"/>
        </w:rPr>
        <w:t xml:space="preserve"> </w:t>
      </w:r>
      <w:r w:rsidRPr="000977F7">
        <w:rPr>
          <w:rFonts w:asciiTheme="majorHAnsi" w:hAnsiTheme="majorHAnsi"/>
          <w:sz w:val="20"/>
          <w:szCs w:val="20"/>
        </w:rPr>
        <w:t>уповноваженим</w:t>
      </w:r>
      <w:r w:rsidRPr="000977F7">
        <w:rPr>
          <w:rFonts w:asciiTheme="majorHAnsi" w:hAnsiTheme="majorHAnsi"/>
          <w:spacing w:val="1"/>
          <w:sz w:val="20"/>
          <w:szCs w:val="20"/>
        </w:rPr>
        <w:t xml:space="preserve"> </w:t>
      </w:r>
      <w:r w:rsidRPr="000977F7">
        <w:rPr>
          <w:rFonts w:asciiTheme="majorHAnsi" w:hAnsiTheme="majorHAnsi"/>
          <w:sz w:val="20"/>
          <w:szCs w:val="20"/>
        </w:rPr>
        <w:t>центральним</w:t>
      </w:r>
      <w:r w:rsidRPr="000977F7">
        <w:rPr>
          <w:rFonts w:asciiTheme="majorHAnsi" w:hAnsiTheme="majorHAnsi"/>
          <w:spacing w:val="-47"/>
          <w:sz w:val="20"/>
          <w:szCs w:val="20"/>
        </w:rPr>
        <w:t xml:space="preserve"> </w:t>
      </w:r>
      <w:r w:rsidRPr="000977F7">
        <w:rPr>
          <w:rFonts w:asciiTheme="majorHAnsi" w:hAnsiTheme="majorHAnsi"/>
          <w:sz w:val="20"/>
          <w:szCs w:val="20"/>
        </w:rPr>
        <w:t>органом виконавчої влади з питань</w:t>
      </w:r>
      <w:r w:rsidRPr="000977F7">
        <w:rPr>
          <w:rFonts w:asciiTheme="majorHAnsi" w:hAnsiTheme="majorHAnsi"/>
          <w:spacing w:val="1"/>
          <w:sz w:val="20"/>
          <w:szCs w:val="20"/>
        </w:rPr>
        <w:t xml:space="preserve"> </w:t>
      </w:r>
      <w:r w:rsidRPr="000977F7">
        <w:rPr>
          <w:rFonts w:asciiTheme="majorHAnsi" w:hAnsiTheme="majorHAnsi"/>
          <w:sz w:val="20"/>
          <w:szCs w:val="20"/>
        </w:rPr>
        <w:t>екології та природних</w:t>
      </w:r>
      <w:r w:rsidRPr="000977F7">
        <w:rPr>
          <w:rFonts w:asciiTheme="majorHAnsi" w:hAnsiTheme="majorHAnsi"/>
          <w:spacing w:val="-2"/>
          <w:sz w:val="20"/>
          <w:szCs w:val="20"/>
        </w:rPr>
        <w:t xml:space="preserve"> </w:t>
      </w:r>
      <w:r w:rsidRPr="000977F7">
        <w:rPr>
          <w:rFonts w:asciiTheme="majorHAnsi" w:hAnsiTheme="majorHAnsi"/>
          <w:sz w:val="20"/>
          <w:szCs w:val="20"/>
        </w:rPr>
        <w:t>ресурсів.</w:t>
      </w:r>
    </w:p>
    <w:p w14:paraId="22DB25F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Громадські</w:t>
      </w:r>
      <w:r w:rsidRPr="000977F7">
        <w:rPr>
          <w:rFonts w:asciiTheme="majorHAnsi" w:hAnsiTheme="majorHAnsi"/>
          <w:spacing w:val="1"/>
          <w:sz w:val="20"/>
          <w:szCs w:val="20"/>
        </w:rPr>
        <w:t xml:space="preserve"> </w:t>
      </w:r>
      <w:r w:rsidRPr="000977F7">
        <w:rPr>
          <w:rFonts w:asciiTheme="majorHAnsi" w:hAnsiTheme="majorHAnsi"/>
          <w:sz w:val="20"/>
          <w:szCs w:val="20"/>
        </w:rPr>
        <w:t>інспектори</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47"/>
          <w:sz w:val="20"/>
          <w:szCs w:val="20"/>
        </w:rPr>
        <w:t xml:space="preserve"> </w:t>
      </w:r>
      <w:r w:rsidRPr="000977F7">
        <w:rPr>
          <w:rFonts w:asciiTheme="majorHAnsi" w:hAnsiTheme="majorHAnsi"/>
          <w:sz w:val="20"/>
          <w:szCs w:val="20"/>
        </w:rPr>
        <w:t>природного середовища:</w:t>
      </w:r>
    </w:p>
    <w:p w14:paraId="4C4D4B2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беруть участь у проведенні спільно з працівниками</w:t>
      </w:r>
      <w:r w:rsidRPr="000977F7">
        <w:rPr>
          <w:rFonts w:asciiTheme="majorHAnsi" w:hAnsiTheme="majorHAnsi"/>
          <w:spacing w:val="1"/>
          <w:sz w:val="20"/>
          <w:szCs w:val="20"/>
        </w:rPr>
        <w:t xml:space="preserve"> </w:t>
      </w:r>
      <w:r w:rsidRPr="000977F7">
        <w:rPr>
          <w:rFonts w:asciiTheme="majorHAnsi" w:hAnsiTheme="majorHAnsi"/>
          <w:sz w:val="20"/>
          <w:szCs w:val="20"/>
        </w:rPr>
        <w:t>органів державного контролю рейдів та перевірок додержання підприємствами, установами, організаціями та</w:t>
      </w:r>
      <w:r w:rsidRPr="000977F7">
        <w:rPr>
          <w:rFonts w:asciiTheme="majorHAnsi" w:hAnsiTheme="majorHAnsi"/>
          <w:spacing w:val="1"/>
          <w:sz w:val="20"/>
          <w:szCs w:val="20"/>
        </w:rPr>
        <w:t xml:space="preserve"> </w:t>
      </w:r>
      <w:r w:rsidRPr="000977F7">
        <w:rPr>
          <w:rFonts w:asciiTheme="majorHAnsi" w:hAnsiTheme="majorHAnsi"/>
          <w:sz w:val="20"/>
          <w:szCs w:val="20"/>
        </w:rPr>
        <w:t>громадянами законодавства</w:t>
      </w:r>
      <w:r w:rsidRPr="000977F7">
        <w:rPr>
          <w:rFonts w:asciiTheme="majorHAnsi" w:hAnsiTheme="majorHAnsi"/>
          <w:spacing w:val="1"/>
          <w:sz w:val="20"/>
          <w:szCs w:val="20"/>
        </w:rPr>
        <w:t xml:space="preserve"> </w:t>
      </w:r>
      <w:r w:rsidRPr="000977F7">
        <w:rPr>
          <w:rFonts w:asciiTheme="majorHAnsi" w:hAnsiTheme="majorHAnsi"/>
          <w:sz w:val="20"/>
          <w:szCs w:val="20"/>
        </w:rPr>
        <w:t>про охорону</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 природного середовища, додержання</w:t>
      </w:r>
      <w:r w:rsidRPr="000977F7">
        <w:rPr>
          <w:rFonts w:asciiTheme="majorHAnsi" w:hAnsiTheme="majorHAnsi"/>
          <w:spacing w:val="1"/>
          <w:sz w:val="20"/>
          <w:szCs w:val="20"/>
        </w:rPr>
        <w:t xml:space="preserve"> </w:t>
      </w:r>
      <w:r w:rsidRPr="000977F7">
        <w:rPr>
          <w:rFonts w:asciiTheme="majorHAnsi" w:hAnsiTheme="majorHAnsi"/>
          <w:sz w:val="20"/>
          <w:szCs w:val="20"/>
        </w:rPr>
        <w:t>норм екологічної безпеки та використання природних</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p>
    <w:p w14:paraId="4C48F4C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 проводять перевірки і складають протоколи про</w:t>
      </w:r>
      <w:r w:rsidRPr="000977F7">
        <w:rPr>
          <w:rFonts w:asciiTheme="majorHAnsi" w:hAnsiTheme="majorHAnsi"/>
          <w:spacing w:val="1"/>
          <w:sz w:val="20"/>
          <w:szCs w:val="20"/>
        </w:rPr>
        <w:t xml:space="preserve"> </w:t>
      </w:r>
      <w:r w:rsidRPr="000977F7">
        <w:rPr>
          <w:rFonts w:asciiTheme="majorHAnsi" w:hAnsiTheme="majorHAnsi"/>
          <w:sz w:val="20"/>
          <w:szCs w:val="20"/>
        </w:rPr>
        <w:t>порушення законодавства про охорону навколишнього природного середовища і подають їх органам</w:t>
      </w:r>
      <w:r w:rsidRPr="000977F7">
        <w:rPr>
          <w:rFonts w:asciiTheme="majorHAnsi" w:hAnsiTheme="majorHAnsi"/>
          <w:spacing w:val="1"/>
          <w:sz w:val="20"/>
          <w:szCs w:val="20"/>
        </w:rPr>
        <w:t xml:space="preserve"> </w:t>
      </w:r>
      <w:r w:rsidRPr="000977F7">
        <w:rPr>
          <w:rFonts w:asciiTheme="majorHAnsi" w:hAnsiTheme="majorHAnsi"/>
          <w:sz w:val="20"/>
          <w:szCs w:val="20"/>
        </w:rPr>
        <w:t>державного контролю в галузі охорони 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природного середовища та правоохоронним органам</w:t>
      </w:r>
      <w:r w:rsidRPr="000977F7">
        <w:rPr>
          <w:rFonts w:asciiTheme="majorHAnsi" w:hAnsiTheme="majorHAnsi"/>
          <w:spacing w:val="1"/>
          <w:sz w:val="20"/>
          <w:szCs w:val="20"/>
        </w:rPr>
        <w:t xml:space="preserve"> </w:t>
      </w:r>
      <w:r w:rsidRPr="000977F7">
        <w:rPr>
          <w:rFonts w:asciiTheme="majorHAnsi" w:hAnsiTheme="majorHAnsi"/>
          <w:sz w:val="20"/>
          <w:szCs w:val="20"/>
        </w:rPr>
        <w:t>для притягнення</w:t>
      </w:r>
      <w:r w:rsidRPr="000977F7">
        <w:rPr>
          <w:rFonts w:asciiTheme="majorHAnsi" w:hAnsiTheme="majorHAnsi"/>
          <w:spacing w:val="-2"/>
          <w:sz w:val="20"/>
          <w:szCs w:val="20"/>
        </w:rPr>
        <w:t xml:space="preserve"> </w:t>
      </w:r>
      <w:r w:rsidRPr="000977F7">
        <w:rPr>
          <w:rFonts w:asciiTheme="majorHAnsi" w:hAnsiTheme="majorHAnsi"/>
          <w:sz w:val="20"/>
          <w:szCs w:val="20"/>
        </w:rPr>
        <w:t>винних до</w:t>
      </w:r>
      <w:r w:rsidRPr="000977F7">
        <w:rPr>
          <w:rFonts w:asciiTheme="majorHAnsi" w:hAnsiTheme="majorHAnsi"/>
          <w:spacing w:val="-1"/>
          <w:sz w:val="20"/>
          <w:szCs w:val="20"/>
        </w:rPr>
        <w:t xml:space="preserve"> </w:t>
      </w:r>
      <w:r w:rsidRPr="000977F7">
        <w:rPr>
          <w:rFonts w:asciiTheme="majorHAnsi" w:hAnsiTheme="majorHAnsi"/>
          <w:sz w:val="20"/>
          <w:szCs w:val="20"/>
        </w:rPr>
        <w:t>відповідальності;</w:t>
      </w:r>
    </w:p>
    <w:p w14:paraId="25E264E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 подають допомогу органам державного контролю в галузі охорони навколишнього природного середовища в діяльності по запобіганню екологічним правопорушенням.</w:t>
      </w:r>
    </w:p>
    <w:p w14:paraId="7946EFF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Органи громадського контролю в галузі охорони</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 природного середовища можуть здійснювати й інші функції відповідно до законодавства</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p>
    <w:p w14:paraId="31712AC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36 закону України "Про охорону навколишнього природного</w:t>
      </w:r>
      <w:r w:rsidRPr="000977F7">
        <w:rPr>
          <w:rFonts w:asciiTheme="majorHAnsi" w:hAnsiTheme="majorHAnsi"/>
          <w:i/>
          <w:spacing w:val="1"/>
          <w:sz w:val="20"/>
          <w:szCs w:val="20"/>
        </w:rPr>
        <w:t xml:space="preserve"> </w:t>
      </w:r>
      <w:r w:rsidRPr="000977F7">
        <w:rPr>
          <w:rFonts w:asciiTheme="majorHAnsi" w:hAnsiTheme="majorHAnsi"/>
          <w:i/>
          <w:sz w:val="20"/>
          <w:szCs w:val="20"/>
        </w:rPr>
        <w:t>середовища"</w:t>
      </w:r>
    </w:p>
    <w:p w14:paraId="5D82EFE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ГРОМАДСЬКІ</w:t>
      </w:r>
      <w:r w:rsidRPr="000977F7">
        <w:rPr>
          <w:color w:val="auto"/>
          <w:spacing w:val="1"/>
          <w:sz w:val="20"/>
          <w:szCs w:val="20"/>
        </w:rPr>
        <w:t xml:space="preserve"> </w:t>
      </w:r>
      <w:r w:rsidRPr="000977F7">
        <w:rPr>
          <w:color w:val="auto"/>
          <w:sz w:val="20"/>
          <w:szCs w:val="20"/>
        </w:rPr>
        <w:t>ОРГАНІЗАЦІЇ</w:t>
      </w:r>
      <w:r w:rsidRPr="000977F7">
        <w:rPr>
          <w:color w:val="auto"/>
          <w:spacing w:val="1"/>
          <w:sz w:val="20"/>
          <w:szCs w:val="20"/>
        </w:rPr>
        <w:t xml:space="preserve"> </w:t>
      </w:r>
      <w:r w:rsidRPr="000977F7">
        <w:rPr>
          <w:color w:val="auto"/>
          <w:sz w:val="20"/>
          <w:szCs w:val="20"/>
        </w:rPr>
        <w:t>СПОЖИВАЧІВ</w:t>
      </w:r>
      <w:r w:rsidRPr="000977F7">
        <w:rPr>
          <w:color w:val="auto"/>
          <w:spacing w:val="-48"/>
          <w:sz w:val="20"/>
          <w:szCs w:val="20"/>
        </w:rPr>
        <w:t xml:space="preserve"> </w:t>
      </w:r>
      <w:r w:rsidRPr="000977F7">
        <w:rPr>
          <w:color w:val="auto"/>
          <w:sz w:val="20"/>
          <w:szCs w:val="20"/>
        </w:rPr>
        <w:t>(ОБ'ЄДНАННЯ</w:t>
      </w:r>
      <w:r w:rsidRPr="000977F7">
        <w:rPr>
          <w:color w:val="auto"/>
          <w:spacing w:val="-1"/>
          <w:sz w:val="20"/>
          <w:szCs w:val="20"/>
        </w:rPr>
        <w:t xml:space="preserve"> </w:t>
      </w:r>
      <w:r w:rsidRPr="000977F7">
        <w:rPr>
          <w:color w:val="auto"/>
          <w:sz w:val="20"/>
          <w:szCs w:val="20"/>
        </w:rPr>
        <w:t>СПОЖИВАЧІВ) –</w:t>
      </w:r>
    </w:p>
    <w:p w14:paraId="033B5CE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 метою захисту своїх законних прав та інтересів громадяни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мають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право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об'єднуватися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добровільній</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основі у громадські організації споживачів (об'єднання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споживачів).</w:t>
      </w:r>
    </w:p>
    <w:p w14:paraId="17688CF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Об'єднання споживачів є громадськими організаціями,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здійснюють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свою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діяльність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відповідно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Закону</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України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об'єднання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громадян"</w:t>
      </w:r>
    </w:p>
    <w:p w14:paraId="20F3F72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Держава</w:t>
      </w:r>
      <w:r w:rsidRPr="000977F7">
        <w:rPr>
          <w:rFonts w:asciiTheme="majorHAnsi" w:hAnsiTheme="majorHAnsi"/>
          <w:spacing w:val="32"/>
          <w:sz w:val="20"/>
          <w:szCs w:val="20"/>
        </w:rPr>
        <w:t xml:space="preserve"> </w:t>
      </w:r>
      <w:r w:rsidRPr="000977F7">
        <w:rPr>
          <w:rFonts w:asciiTheme="majorHAnsi" w:hAnsiTheme="majorHAnsi"/>
          <w:sz w:val="20"/>
          <w:szCs w:val="20"/>
        </w:rPr>
        <w:t>підтримує</w:t>
      </w:r>
      <w:r w:rsidRPr="000977F7">
        <w:rPr>
          <w:rFonts w:asciiTheme="majorHAnsi" w:hAnsiTheme="majorHAnsi"/>
          <w:spacing w:val="33"/>
          <w:sz w:val="20"/>
          <w:szCs w:val="20"/>
        </w:rPr>
        <w:t xml:space="preserve"> </w:t>
      </w:r>
      <w:r w:rsidRPr="000977F7">
        <w:rPr>
          <w:rFonts w:asciiTheme="majorHAnsi" w:hAnsiTheme="majorHAnsi"/>
          <w:sz w:val="20"/>
          <w:szCs w:val="20"/>
        </w:rPr>
        <w:t>діяльність</w:t>
      </w:r>
      <w:r w:rsidRPr="000977F7">
        <w:rPr>
          <w:rFonts w:asciiTheme="majorHAnsi" w:hAnsiTheme="majorHAnsi"/>
          <w:spacing w:val="33"/>
          <w:sz w:val="20"/>
          <w:szCs w:val="20"/>
        </w:rPr>
        <w:t xml:space="preserve"> </w:t>
      </w:r>
      <w:r w:rsidRPr="000977F7">
        <w:rPr>
          <w:rFonts w:asciiTheme="majorHAnsi" w:hAnsiTheme="majorHAnsi"/>
          <w:sz w:val="20"/>
          <w:szCs w:val="20"/>
        </w:rPr>
        <w:t>об'єднань</w:t>
      </w:r>
      <w:r w:rsidRPr="000977F7">
        <w:rPr>
          <w:rFonts w:asciiTheme="majorHAnsi" w:hAnsiTheme="majorHAnsi"/>
          <w:spacing w:val="32"/>
          <w:sz w:val="20"/>
          <w:szCs w:val="20"/>
        </w:rPr>
        <w:t xml:space="preserve"> </w:t>
      </w:r>
      <w:r w:rsidRPr="000977F7">
        <w:rPr>
          <w:rFonts w:asciiTheme="majorHAnsi" w:hAnsiTheme="majorHAnsi"/>
          <w:sz w:val="20"/>
          <w:szCs w:val="20"/>
        </w:rPr>
        <w:t>спожива-</w:t>
      </w:r>
    </w:p>
    <w:p w14:paraId="4A5CAE5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чів</w:t>
      </w:r>
    </w:p>
    <w:p w14:paraId="6098208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24"/>
          <w:sz w:val="20"/>
          <w:szCs w:val="20"/>
        </w:rPr>
        <w:t xml:space="preserve"> </w:t>
      </w:r>
      <w:r w:rsidRPr="000977F7">
        <w:rPr>
          <w:rFonts w:asciiTheme="majorHAnsi" w:hAnsiTheme="majorHAnsi"/>
          <w:i/>
          <w:sz w:val="20"/>
          <w:szCs w:val="20"/>
        </w:rPr>
        <w:t>24</w:t>
      </w:r>
      <w:r w:rsidRPr="000977F7">
        <w:rPr>
          <w:rFonts w:asciiTheme="majorHAnsi" w:hAnsiTheme="majorHAnsi"/>
          <w:i/>
          <w:spacing w:val="25"/>
          <w:sz w:val="20"/>
          <w:szCs w:val="20"/>
        </w:rPr>
        <w:t xml:space="preserve"> </w:t>
      </w:r>
      <w:r w:rsidRPr="000977F7">
        <w:rPr>
          <w:rFonts w:asciiTheme="majorHAnsi" w:hAnsiTheme="majorHAnsi"/>
          <w:i/>
          <w:sz w:val="20"/>
          <w:szCs w:val="20"/>
        </w:rPr>
        <w:t>Закону</w:t>
      </w:r>
      <w:r w:rsidRPr="000977F7">
        <w:rPr>
          <w:rFonts w:asciiTheme="majorHAnsi" w:hAnsiTheme="majorHAnsi"/>
          <w:i/>
          <w:spacing w:val="25"/>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24"/>
          <w:sz w:val="20"/>
          <w:szCs w:val="20"/>
        </w:rPr>
        <w:t xml:space="preserve"> "</w:t>
      </w:r>
      <w:r w:rsidRPr="000977F7">
        <w:rPr>
          <w:rFonts w:asciiTheme="majorHAnsi" w:hAnsiTheme="majorHAnsi"/>
          <w:i/>
          <w:sz w:val="20"/>
          <w:szCs w:val="20"/>
        </w:rPr>
        <w:t>Про</w:t>
      </w:r>
      <w:r w:rsidRPr="000977F7">
        <w:rPr>
          <w:rFonts w:asciiTheme="majorHAnsi" w:hAnsiTheme="majorHAnsi"/>
          <w:i/>
          <w:spacing w:val="25"/>
          <w:sz w:val="20"/>
          <w:szCs w:val="20"/>
        </w:rPr>
        <w:t xml:space="preserve"> </w:t>
      </w:r>
      <w:r w:rsidRPr="000977F7">
        <w:rPr>
          <w:rFonts w:asciiTheme="majorHAnsi" w:hAnsiTheme="majorHAnsi"/>
          <w:i/>
          <w:sz w:val="20"/>
          <w:szCs w:val="20"/>
        </w:rPr>
        <w:t>захист</w:t>
      </w:r>
      <w:r w:rsidRPr="000977F7">
        <w:rPr>
          <w:rFonts w:asciiTheme="majorHAnsi" w:hAnsiTheme="majorHAnsi"/>
          <w:i/>
          <w:spacing w:val="26"/>
          <w:sz w:val="20"/>
          <w:szCs w:val="20"/>
        </w:rPr>
        <w:t xml:space="preserve"> </w:t>
      </w:r>
      <w:r w:rsidRPr="000977F7">
        <w:rPr>
          <w:rFonts w:asciiTheme="majorHAnsi" w:hAnsiTheme="majorHAnsi"/>
          <w:i/>
          <w:sz w:val="20"/>
          <w:szCs w:val="20"/>
        </w:rPr>
        <w:t>прав</w:t>
      </w:r>
      <w:r w:rsidRPr="000977F7">
        <w:rPr>
          <w:rFonts w:asciiTheme="majorHAnsi" w:hAnsiTheme="majorHAnsi"/>
          <w:i/>
          <w:spacing w:val="23"/>
          <w:sz w:val="20"/>
          <w:szCs w:val="20"/>
        </w:rPr>
        <w:t xml:space="preserve"> </w:t>
      </w:r>
      <w:r w:rsidRPr="000977F7">
        <w:rPr>
          <w:rFonts w:asciiTheme="majorHAnsi" w:hAnsiTheme="majorHAnsi"/>
          <w:i/>
          <w:sz w:val="20"/>
          <w:szCs w:val="20"/>
        </w:rPr>
        <w:t>споживачів"</w:t>
      </w:r>
    </w:p>
    <w:p w14:paraId="4724E9B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ГРУНТ</w:t>
      </w:r>
      <w:r w:rsidRPr="000977F7">
        <w:rPr>
          <w:color w:val="auto"/>
          <w:spacing w:val="-4"/>
          <w:sz w:val="20"/>
          <w:szCs w:val="20"/>
        </w:rPr>
        <w:t xml:space="preserve"> </w:t>
      </w:r>
      <w:r w:rsidRPr="000977F7">
        <w:rPr>
          <w:color w:val="auto"/>
          <w:sz w:val="20"/>
          <w:szCs w:val="20"/>
        </w:rPr>
        <w:t>(КОРОЗІЯ) –</w:t>
      </w:r>
    </w:p>
    <w:p w14:paraId="6E26989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Прилеглий</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металу шар</w:t>
      </w:r>
      <w:r w:rsidRPr="000977F7">
        <w:rPr>
          <w:rFonts w:asciiTheme="majorHAnsi" w:hAnsiTheme="majorHAnsi"/>
          <w:spacing w:val="1"/>
          <w:sz w:val="20"/>
          <w:szCs w:val="20"/>
        </w:rPr>
        <w:t xml:space="preserve"> </w:t>
      </w:r>
      <w:r w:rsidRPr="000977F7">
        <w:rPr>
          <w:rFonts w:asciiTheme="majorHAnsi" w:hAnsiTheme="majorHAnsi"/>
          <w:sz w:val="20"/>
          <w:szCs w:val="20"/>
        </w:rPr>
        <w:t>покриття,</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забезпечує</w:t>
      </w:r>
      <w:r w:rsidRPr="000977F7">
        <w:rPr>
          <w:rFonts w:asciiTheme="majorHAnsi" w:hAnsiTheme="majorHAnsi"/>
          <w:spacing w:val="1"/>
          <w:sz w:val="20"/>
          <w:szCs w:val="20"/>
        </w:rPr>
        <w:t xml:space="preserve"> </w:t>
      </w:r>
      <w:r w:rsidRPr="000977F7">
        <w:rPr>
          <w:rFonts w:asciiTheme="majorHAnsi" w:hAnsiTheme="majorHAnsi"/>
          <w:sz w:val="20"/>
          <w:szCs w:val="20"/>
        </w:rPr>
        <w:t>міцність зчеплення з металом і покращує захисні властивості</w:t>
      </w:r>
      <w:r w:rsidRPr="000977F7">
        <w:rPr>
          <w:rFonts w:asciiTheme="majorHAnsi" w:hAnsiTheme="majorHAnsi"/>
          <w:spacing w:val="-2"/>
          <w:sz w:val="20"/>
          <w:szCs w:val="20"/>
        </w:rPr>
        <w:t xml:space="preserve"> </w:t>
      </w:r>
      <w:r w:rsidRPr="000977F7">
        <w:rPr>
          <w:rFonts w:asciiTheme="majorHAnsi" w:hAnsiTheme="majorHAnsi"/>
          <w:sz w:val="20"/>
          <w:szCs w:val="20"/>
        </w:rPr>
        <w:t>покриття</w:t>
      </w:r>
    </w:p>
    <w:p w14:paraId="59B9093C"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 98</w:t>
      </w:r>
    </w:p>
    <w:p w14:paraId="2AA4331E"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8"/>
          <w:sz w:val="20"/>
          <w:szCs w:val="20"/>
        </w:rPr>
      </w:pPr>
      <w:r w:rsidRPr="000977F7">
        <w:rPr>
          <w:rFonts w:asciiTheme="majorHAnsi" w:hAnsiTheme="majorHAnsi"/>
          <w:b/>
          <w:sz w:val="20"/>
          <w:szCs w:val="20"/>
        </w:rPr>
        <w:t>ГРУПА АУДИТУ –</w:t>
      </w:r>
      <w:r w:rsidRPr="000977F7">
        <w:rPr>
          <w:rFonts w:asciiTheme="majorHAnsi" w:hAnsiTheme="majorHAnsi"/>
          <w:b/>
          <w:spacing w:val="-48"/>
          <w:sz w:val="20"/>
          <w:szCs w:val="20"/>
        </w:rPr>
        <w:t xml:space="preserve"> </w:t>
      </w:r>
    </w:p>
    <w:p w14:paraId="7849C41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UDIT TEAM –</w:t>
      </w:r>
    </w:p>
    <w:p w14:paraId="40F477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Одна</w:t>
      </w:r>
      <w:r w:rsidRPr="000977F7">
        <w:rPr>
          <w:rFonts w:asciiTheme="majorHAnsi" w:hAnsiTheme="majorHAnsi"/>
          <w:spacing w:val="37"/>
          <w:sz w:val="20"/>
          <w:szCs w:val="20"/>
        </w:rPr>
        <w:t xml:space="preserve"> </w:t>
      </w:r>
      <w:r w:rsidRPr="000977F7">
        <w:rPr>
          <w:rFonts w:asciiTheme="majorHAnsi" w:hAnsiTheme="majorHAnsi"/>
          <w:sz w:val="20"/>
          <w:szCs w:val="20"/>
        </w:rPr>
        <w:t>чи</w:t>
      </w:r>
      <w:r w:rsidRPr="000977F7">
        <w:rPr>
          <w:rFonts w:asciiTheme="majorHAnsi" w:hAnsiTheme="majorHAnsi"/>
          <w:spacing w:val="35"/>
          <w:sz w:val="20"/>
          <w:szCs w:val="20"/>
        </w:rPr>
        <w:t xml:space="preserve"> </w:t>
      </w:r>
      <w:r w:rsidRPr="000977F7">
        <w:rPr>
          <w:rFonts w:asciiTheme="majorHAnsi" w:hAnsiTheme="majorHAnsi"/>
          <w:sz w:val="20"/>
          <w:szCs w:val="20"/>
        </w:rPr>
        <w:t>кілька</w:t>
      </w:r>
      <w:r w:rsidRPr="000977F7">
        <w:rPr>
          <w:rFonts w:asciiTheme="majorHAnsi" w:hAnsiTheme="majorHAnsi"/>
          <w:spacing w:val="37"/>
          <w:sz w:val="20"/>
          <w:szCs w:val="20"/>
        </w:rPr>
        <w:t xml:space="preserve"> </w:t>
      </w:r>
      <w:r w:rsidRPr="000977F7">
        <w:rPr>
          <w:rFonts w:asciiTheme="majorHAnsi" w:hAnsiTheme="majorHAnsi"/>
          <w:sz w:val="20"/>
          <w:szCs w:val="20"/>
        </w:rPr>
        <w:t>осіб,</w:t>
      </w:r>
      <w:r w:rsidRPr="000977F7">
        <w:rPr>
          <w:rFonts w:asciiTheme="majorHAnsi" w:hAnsiTheme="majorHAnsi"/>
          <w:spacing w:val="36"/>
          <w:sz w:val="20"/>
          <w:szCs w:val="20"/>
        </w:rPr>
        <w:t xml:space="preserve"> </w:t>
      </w:r>
      <w:r w:rsidRPr="000977F7">
        <w:rPr>
          <w:rFonts w:asciiTheme="majorHAnsi" w:hAnsiTheme="majorHAnsi"/>
          <w:sz w:val="20"/>
          <w:szCs w:val="20"/>
        </w:rPr>
        <w:t>що</w:t>
      </w:r>
      <w:r w:rsidRPr="000977F7">
        <w:rPr>
          <w:rFonts w:asciiTheme="majorHAnsi" w:hAnsiTheme="majorHAnsi"/>
          <w:spacing w:val="38"/>
          <w:sz w:val="20"/>
          <w:szCs w:val="20"/>
        </w:rPr>
        <w:t xml:space="preserve"> </w:t>
      </w:r>
      <w:r w:rsidRPr="000977F7">
        <w:rPr>
          <w:rFonts w:asciiTheme="majorHAnsi" w:hAnsiTheme="majorHAnsi"/>
          <w:sz w:val="20"/>
          <w:szCs w:val="20"/>
        </w:rPr>
        <w:t>провадять</w:t>
      </w:r>
      <w:r w:rsidRPr="000977F7">
        <w:rPr>
          <w:rFonts w:asciiTheme="majorHAnsi" w:hAnsiTheme="majorHAnsi"/>
          <w:spacing w:val="37"/>
          <w:sz w:val="20"/>
          <w:szCs w:val="20"/>
        </w:rPr>
        <w:t xml:space="preserve"> </w:t>
      </w:r>
      <w:r w:rsidRPr="000977F7">
        <w:rPr>
          <w:rFonts w:asciiTheme="majorHAnsi" w:hAnsiTheme="majorHAnsi"/>
          <w:sz w:val="20"/>
          <w:szCs w:val="20"/>
        </w:rPr>
        <w:t>аудит</w:t>
      </w:r>
      <w:r w:rsidRPr="000977F7">
        <w:rPr>
          <w:rFonts w:asciiTheme="majorHAnsi" w:hAnsiTheme="majorHAnsi"/>
          <w:spacing w:val="37"/>
          <w:sz w:val="20"/>
          <w:szCs w:val="20"/>
        </w:rPr>
        <w:t xml:space="preserve"> </w:t>
      </w:r>
      <w:r w:rsidRPr="000977F7">
        <w:rPr>
          <w:rFonts w:asciiTheme="majorHAnsi" w:hAnsiTheme="majorHAnsi"/>
          <w:sz w:val="20"/>
          <w:szCs w:val="20"/>
        </w:rPr>
        <w:t>за</w:t>
      </w:r>
      <w:r w:rsidRPr="000977F7">
        <w:rPr>
          <w:rFonts w:asciiTheme="majorHAnsi" w:hAnsiTheme="majorHAnsi"/>
          <w:spacing w:val="37"/>
          <w:sz w:val="20"/>
          <w:szCs w:val="20"/>
        </w:rPr>
        <w:t xml:space="preserve"> </w:t>
      </w:r>
      <w:r w:rsidRPr="000977F7">
        <w:rPr>
          <w:rFonts w:asciiTheme="majorHAnsi" w:hAnsiTheme="majorHAnsi"/>
          <w:sz w:val="20"/>
          <w:szCs w:val="20"/>
        </w:rPr>
        <w:t>підтримання,</w:t>
      </w:r>
      <w:r w:rsidRPr="000977F7">
        <w:rPr>
          <w:rFonts w:asciiTheme="majorHAnsi" w:hAnsiTheme="majorHAnsi"/>
          <w:spacing w:val="-1"/>
          <w:sz w:val="20"/>
          <w:szCs w:val="20"/>
        </w:rPr>
        <w:t xml:space="preserve"> </w:t>
      </w:r>
      <w:r w:rsidRPr="000977F7">
        <w:rPr>
          <w:rFonts w:asciiTheme="majorHAnsi" w:hAnsiTheme="majorHAnsi"/>
          <w:sz w:val="20"/>
          <w:szCs w:val="20"/>
        </w:rPr>
        <w:t>якщо необхідно,</w:t>
      </w:r>
      <w:r w:rsidRPr="000977F7">
        <w:rPr>
          <w:rFonts w:asciiTheme="majorHAnsi" w:hAnsiTheme="majorHAnsi"/>
          <w:spacing w:val="-1"/>
          <w:sz w:val="20"/>
          <w:szCs w:val="20"/>
        </w:rPr>
        <w:t xml:space="preserve"> </w:t>
      </w:r>
      <w:r w:rsidRPr="000977F7">
        <w:rPr>
          <w:rFonts w:asciiTheme="majorHAnsi" w:hAnsiTheme="majorHAnsi"/>
          <w:sz w:val="20"/>
          <w:szCs w:val="20"/>
        </w:rPr>
        <w:t>технічних</w:t>
      </w:r>
      <w:r w:rsidRPr="000977F7">
        <w:rPr>
          <w:rFonts w:asciiTheme="majorHAnsi" w:hAnsiTheme="majorHAnsi"/>
          <w:spacing w:val="-2"/>
          <w:sz w:val="20"/>
          <w:szCs w:val="20"/>
        </w:rPr>
        <w:t xml:space="preserve"> </w:t>
      </w:r>
      <w:r w:rsidRPr="000977F7">
        <w:rPr>
          <w:rFonts w:asciiTheme="majorHAnsi" w:hAnsiTheme="majorHAnsi"/>
          <w:sz w:val="20"/>
          <w:szCs w:val="20"/>
        </w:rPr>
        <w:t>експертів.</w:t>
      </w:r>
    </w:p>
    <w:p w14:paraId="7D881FA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10"/>
          <w:sz w:val="20"/>
          <w:szCs w:val="20"/>
        </w:rPr>
        <w:t xml:space="preserve"> </w:t>
      </w:r>
      <w:r w:rsidRPr="000977F7">
        <w:rPr>
          <w:rFonts w:asciiTheme="majorHAnsi" w:hAnsiTheme="majorHAnsi"/>
          <w:sz w:val="20"/>
          <w:szCs w:val="20"/>
        </w:rPr>
        <w:t>1.</w:t>
      </w:r>
      <w:r w:rsidRPr="000977F7">
        <w:rPr>
          <w:rFonts w:asciiTheme="majorHAnsi" w:hAnsiTheme="majorHAnsi"/>
          <w:spacing w:val="11"/>
          <w:sz w:val="20"/>
          <w:szCs w:val="20"/>
        </w:rPr>
        <w:t xml:space="preserve"> </w:t>
      </w:r>
      <w:r w:rsidRPr="000977F7">
        <w:rPr>
          <w:rFonts w:asciiTheme="majorHAnsi" w:hAnsiTheme="majorHAnsi"/>
          <w:sz w:val="20"/>
          <w:szCs w:val="20"/>
        </w:rPr>
        <w:t>Одного</w:t>
      </w:r>
      <w:r w:rsidRPr="000977F7">
        <w:rPr>
          <w:rFonts w:asciiTheme="majorHAnsi" w:hAnsiTheme="majorHAnsi"/>
          <w:spacing w:val="11"/>
          <w:sz w:val="20"/>
          <w:szCs w:val="20"/>
        </w:rPr>
        <w:t xml:space="preserve"> </w:t>
      </w:r>
      <w:r w:rsidRPr="000977F7">
        <w:rPr>
          <w:rFonts w:asciiTheme="majorHAnsi" w:hAnsiTheme="majorHAnsi"/>
          <w:sz w:val="20"/>
          <w:szCs w:val="20"/>
        </w:rPr>
        <w:t>з</w:t>
      </w:r>
      <w:r w:rsidRPr="000977F7">
        <w:rPr>
          <w:rFonts w:asciiTheme="majorHAnsi" w:hAnsiTheme="majorHAnsi"/>
          <w:spacing w:val="11"/>
          <w:sz w:val="20"/>
          <w:szCs w:val="20"/>
        </w:rPr>
        <w:t xml:space="preserve"> </w:t>
      </w:r>
      <w:r w:rsidRPr="000977F7">
        <w:rPr>
          <w:rFonts w:asciiTheme="majorHAnsi" w:hAnsiTheme="majorHAnsi"/>
          <w:sz w:val="20"/>
          <w:szCs w:val="20"/>
        </w:rPr>
        <w:t>аудиторів</w:t>
      </w:r>
      <w:r w:rsidRPr="000977F7">
        <w:rPr>
          <w:rFonts w:asciiTheme="majorHAnsi" w:hAnsiTheme="majorHAnsi"/>
          <w:spacing w:val="9"/>
          <w:sz w:val="20"/>
          <w:szCs w:val="20"/>
        </w:rPr>
        <w:t xml:space="preserve"> </w:t>
      </w:r>
      <w:r w:rsidRPr="000977F7">
        <w:rPr>
          <w:rFonts w:asciiTheme="majorHAnsi" w:hAnsiTheme="majorHAnsi"/>
          <w:sz w:val="20"/>
          <w:szCs w:val="20"/>
        </w:rPr>
        <w:t>групи</w:t>
      </w:r>
      <w:r w:rsidRPr="000977F7">
        <w:rPr>
          <w:rFonts w:asciiTheme="majorHAnsi" w:hAnsiTheme="majorHAnsi"/>
          <w:spacing w:val="10"/>
          <w:sz w:val="20"/>
          <w:szCs w:val="20"/>
        </w:rPr>
        <w:t xml:space="preserve"> </w:t>
      </w:r>
      <w:r w:rsidRPr="000977F7">
        <w:rPr>
          <w:rFonts w:asciiTheme="majorHAnsi" w:hAnsiTheme="majorHAnsi"/>
          <w:sz w:val="20"/>
          <w:szCs w:val="20"/>
        </w:rPr>
        <w:t>аудиту</w:t>
      </w:r>
      <w:r w:rsidRPr="000977F7">
        <w:rPr>
          <w:rFonts w:asciiTheme="majorHAnsi" w:hAnsiTheme="majorHAnsi"/>
          <w:spacing w:val="8"/>
          <w:sz w:val="20"/>
          <w:szCs w:val="20"/>
        </w:rPr>
        <w:t xml:space="preserve"> </w:t>
      </w:r>
      <w:r w:rsidRPr="000977F7">
        <w:rPr>
          <w:rFonts w:asciiTheme="majorHAnsi" w:hAnsiTheme="majorHAnsi"/>
          <w:sz w:val="20"/>
          <w:szCs w:val="20"/>
        </w:rPr>
        <w:t>призначають</w:t>
      </w:r>
      <w:r w:rsidRPr="000977F7">
        <w:rPr>
          <w:rFonts w:asciiTheme="majorHAnsi" w:hAnsiTheme="majorHAnsi"/>
          <w:spacing w:val="-1"/>
          <w:sz w:val="20"/>
          <w:szCs w:val="20"/>
        </w:rPr>
        <w:t xml:space="preserve"> </w:t>
      </w:r>
      <w:r w:rsidRPr="000977F7">
        <w:rPr>
          <w:rFonts w:asciiTheme="majorHAnsi" w:hAnsiTheme="majorHAnsi"/>
          <w:sz w:val="20"/>
          <w:szCs w:val="20"/>
        </w:rPr>
        <w:t>керівником</w:t>
      </w:r>
      <w:r w:rsidRPr="000977F7">
        <w:rPr>
          <w:rFonts w:asciiTheme="majorHAnsi" w:hAnsiTheme="majorHAnsi"/>
          <w:spacing w:val="1"/>
          <w:sz w:val="20"/>
          <w:szCs w:val="20"/>
        </w:rPr>
        <w:t xml:space="preserve"> </w:t>
      </w:r>
      <w:r w:rsidRPr="000977F7">
        <w:rPr>
          <w:rFonts w:asciiTheme="majorHAnsi" w:hAnsiTheme="majorHAnsi"/>
          <w:sz w:val="20"/>
          <w:szCs w:val="20"/>
        </w:rPr>
        <w:t>групи</w:t>
      </w:r>
      <w:r w:rsidRPr="000977F7">
        <w:rPr>
          <w:rFonts w:asciiTheme="majorHAnsi" w:hAnsiTheme="majorHAnsi"/>
          <w:spacing w:val="-1"/>
          <w:sz w:val="20"/>
          <w:szCs w:val="20"/>
        </w:rPr>
        <w:t xml:space="preserve"> </w:t>
      </w:r>
      <w:r w:rsidRPr="000977F7">
        <w:rPr>
          <w:rFonts w:asciiTheme="majorHAnsi" w:hAnsiTheme="majorHAnsi"/>
          <w:sz w:val="20"/>
          <w:szCs w:val="20"/>
        </w:rPr>
        <w:t>аудиту.</w:t>
      </w:r>
    </w:p>
    <w:p w14:paraId="6A3487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7"/>
          <w:sz w:val="20"/>
          <w:szCs w:val="20"/>
        </w:rPr>
        <w:t xml:space="preserve"> </w:t>
      </w:r>
      <w:r w:rsidRPr="000977F7">
        <w:rPr>
          <w:rFonts w:asciiTheme="majorHAnsi" w:hAnsiTheme="majorHAnsi"/>
          <w:sz w:val="20"/>
          <w:szCs w:val="20"/>
        </w:rPr>
        <w:t>2.</w:t>
      </w:r>
      <w:r w:rsidRPr="000977F7">
        <w:rPr>
          <w:rFonts w:asciiTheme="majorHAnsi" w:hAnsiTheme="majorHAnsi"/>
          <w:spacing w:val="8"/>
          <w:sz w:val="20"/>
          <w:szCs w:val="20"/>
        </w:rPr>
        <w:t xml:space="preserve"> </w:t>
      </w:r>
      <w:r w:rsidRPr="000977F7">
        <w:rPr>
          <w:rFonts w:asciiTheme="majorHAnsi" w:hAnsiTheme="majorHAnsi"/>
          <w:sz w:val="20"/>
          <w:szCs w:val="20"/>
        </w:rPr>
        <w:t>До</w:t>
      </w:r>
      <w:r w:rsidRPr="000977F7">
        <w:rPr>
          <w:rFonts w:asciiTheme="majorHAnsi" w:hAnsiTheme="majorHAnsi"/>
          <w:spacing w:val="8"/>
          <w:sz w:val="20"/>
          <w:szCs w:val="20"/>
        </w:rPr>
        <w:t xml:space="preserve"> </w:t>
      </w:r>
      <w:r w:rsidRPr="000977F7">
        <w:rPr>
          <w:rFonts w:asciiTheme="majorHAnsi" w:hAnsiTheme="majorHAnsi"/>
          <w:sz w:val="20"/>
          <w:szCs w:val="20"/>
        </w:rPr>
        <w:t>групи</w:t>
      </w:r>
      <w:r w:rsidRPr="000977F7">
        <w:rPr>
          <w:rFonts w:asciiTheme="majorHAnsi" w:hAnsiTheme="majorHAnsi"/>
          <w:spacing w:val="5"/>
          <w:sz w:val="20"/>
          <w:szCs w:val="20"/>
        </w:rPr>
        <w:t xml:space="preserve"> </w:t>
      </w:r>
      <w:r w:rsidRPr="000977F7">
        <w:rPr>
          <w:rFonts w:asciiTheme="majorHAnsi" w:hAnsiTheme="majorHAnsi"/>
          <w:sz w:val="20"/>
          <w:szCs w:val="20"/>
        </w:rPr>
        <w:t>аудиту</w:t>
      </w:r>
      <w:r w:rsidRPr="000977F7">
        <w:rPr>
          <w:rFonts w:asciiTheme="majorHAnsi" w:hAnsiTheme="majorHAnsi"/>
          <w:spacing w:val="4"/>
          <w:sz w:val="20"/>
          <w:szCs w:val="20"/>
        </w:rPr>
        <w:t xml:space="preserve"> </w:t>
      </w:r>
      <w:r w:rsidRPr="000977F7">
        <w:rPr>
          <w:rFonts w:asciiTheme="majorHAnsi" w:hAnsiTheme="majorHAnsi"/>
          <w:sz w:val="20"/>
          <w:szCs w:val="20"/>
        </w:rPr>
        <w:t>можуть</w:t>
      </w:r>
      <w:r w:rsidRPr="000977F7">
        <w:rPr>
          <w:rFonts w:asciiTheme="majorHAnsi" w:hAnsiTheme="majorHAnsi"/>
          <w:spacing w:val="8"/>
          <w:sz w:val="20"/>
          <w:szCs w:val="20"/>
        </w:rPr>
        <w:t xml:space="preserve"> </w:t>
      </w:r>
      <w:r w:rsidRPr="000977F7">
        <w:rPr>
          <w:rFonts w:asciiTheme="majorHAnsi" w:hAnsiTheme="majorHAnsi"/>
          <w:sz w:val="20"/>
          <w:szCs w:val="20"/>
        </w:rPr>
        <w:t>входити</w:t>
      </w:r>
      <w:r w:rsidRPr="000977F7">
        <w:rPr>
          <w:rFonts w:asciiTheme="majorHAnsi" w:hAnsiTheme="majorHAnsi"/>
          <w:spacing w:val="5"/>
          <w:sz w:val="20"/>
          <w:szCs w:val="20"/>
        </w:rPr>
        <w:t xml:space="preserve"> </w:t>
      </w:r>
      <w:r w:rsidRPr="000977F7">
        <w:rPr>
          <w:rFonts w:asciiTheme="majorHAnsi" w:hAnsiTheme="majorHAnsi"/>
          <w:sz w:val="20"/>
          <w:szCs w:val="20"/>
        </w:rPr>
        <w:t>аудитори-стажисти</w:t>
      </w:r>
    </w:p>
    <w:p w14:paraId="7C38FDB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316AC2B4"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sz w:val="20"/>
          <w:szCs w:val="20"/>
        </w:rPr>
        <w:t>ГРУПА</w:t>
      </w:r>
      <w:r w:rsidRPr="000977F7">
        <w:rPr>
          <w:rFonts w:asciiTheme="majorHAnsi" w:hAnsiTheme="majorHAnsi"/>
          <w:b/>
          <w:bCs/>
          <w:spacing w:val="-4"/>
          <w:sz w:val="20"/>
          <w:szCs w:val="20"/>
        </w:rPr>
        <w:t xml:space="preserve"> </w:t>
      </w:r>
      <w:r w:rsidRPr="000977F7">
        <w:rPr>
          <w:rFonts w:asciiTheme="majorHAnsi" w:hAnsiTheme="majorHAnsi"/>
          <w:b/>
          <w:bCs/>
          <w:sz w:val="20"/>
          <w:szCs w:val="20"/>
        </w:rPr>
        <w:t>СПОРІДНЕНОЇ</w:t>
      </w:r>
      <w:r w:rsidRPr="000977F7">
        <w:rPr>
          <w:rFonts w:asciiTheme="majorHAnsi" w:hAnsiTheme="majorHAnsi"/>
          <w:b/>
          <w:bCs/>
          <w:spacing w:val="-4"/>
          <w:sz w:val="20"/>
          <w:szCs w:val="20"/>
        </w:rPr>
        <w:t xml:space="preserve"> </w:t>
      </w:r>
      <w:r w:rsidRPr="000977F7">
        <w:rPr>
          <w:rFonts w:asciiTheme="majorHAnsi" w:hAnsiTheme="majorHAnsi"/>
          <w:b/>
          <w:bCs/>
          <w:sz w:val="20"/>
          <w:szCs w:val="20"/>
        </w:rPr>
        <w:t>ПРОДУКЦІЇ</w:t>
      </w:r>
      <w:r w:rsidRPr="000977F7">
        <w:rPr>
          <w:rFonts w:asciiTheme="majorHAnsi" w:hAnsiTheme="majorHAnsi"/>
          <w:b/>
          <w:bCs/>
          <w:spacing w:val="-1"/>
          <w:sz w:val="20"/>
          <w:szCs w:val="20"/>
        </w:rPr>
        <w:t xml:space="preserve"> </w:t>
      </w:r>
      <w:r w:rsidRPr="000977F7">
        <w:rPr>
          <w:rFonts w:asciiTheme="majorHAnsi" w:hAnsiTheme="majorHAnsi"/>
          <w:b/>
          <w:bCs/>
          <w:sz w:val="20"/>
          <w:szCs w:val="20"/>
        </w:rPr>
        <w:t>–</w:t>
      </w:r>
    </w:p>
    <w:p w14:paraId="67BC503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продукції, яка характеризується спільністю функціонального призначення, галузі використання, конструктивно-технологічного вирішення та номенклатури</w:t>
      </w:r>
      <w:r w:rsidRPr="000977F7">
        <w:rPr>
          <w:rFonts w:asciiTheme="majorHAnsi" w:hAnsiTheme="majorHAnsi"/>
          <w:spacing w:val="-2"/>
          <w:sz w:val="20"/>
          <w:szCs w:val="20"/>
        </w:rPr>
        <w:t xml:space="preserve"> </w:t>
      </w:r>
      <w:r w:rsidRPr="000977F7">
        <w:rPr>
          <w:rFonts w:asciiTheme="majorHAnsi" w:hAnsiTheme="majorHAnsi"/>
          <w:sz w:val="20"/>
          <w:szCs w:val="20"/>
        </w:rPr>
        <w:t>основних</w:t>
      </w:r>
      <w:r w:rsidRPr="000977F7">
        <w:rPr>
          <w:rFonts w:asciiTheme="majorHAnsi" w:hAnsiTheme="majorHAnsi"/>
          <w:spacing w:val="-1"/>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2"/>
          <w:sz w:val="20"/>
          <w:szCs w:val="20"/>
        </w:rPr>
        <w:t xml:space="preserve"> </w:t>
      </w:r>
      <w:r w:rsidRPr="000977F7">
        <w:rPr>
          <w:rFonts w:asciiTheme="majorHAnsi" w:hAnsiTheme="majorHAnsi"/>
          <w:sz w:val="20"/>
          <w:szCs w:val="20"/>
        </w:rPr>
        <w:t>якості</w:t>
      </w:r>
    </w:p>
    <w:p w14:paraId="3E5E9CE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EB74AD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ГРУПОВА</w:t>
      </w:r>
      <w:r w:rsidRPr="000977F7">
        <w:rPr>
          <w:color w:val="auto"/>
          <w:spacing w:val="-5"/>
          <w:sz w:val="20"/>
          <w:szCs w:val="20"/>
        </w:rPr>
        <w:t xml:space="preserve"> </w:t>
      </w:r>
      <w:r w:rsidRPr="000977F7">
        <w:rPr>
          <w:color w:val="auto"/>
          <w:sz w:val="20"/>
          <w:szCs w:val="20"/>
        </w:rPr>
        <w:t>ТЕХНОЛОГІЧНА</w:t>
      </w:r>
      <w:r w:rsidRPr="000977F7">
        <w:rPr>
          <w:color w:val="auto"/>
          <w:spacing w:val="-5"/>
          <w:sz w:val="20"/>
          <w:szCs w:val="20"/>
        </w:rPr>
        <w:t xml:space="preserve"> </w:t>
      </w:r>
      <w:r w:rsidRPr="000977F7">
        <w:rPr>
          <w:color w:val="auto"/>
          <w:sz w:val="20"/>
          <w:szCs w:val="20"/>
        </w:rPr>
        <w:t>ОПЕРАЦІЯ</w:t>
      </w:r>
      <w:r w:rsidRPr="000977F7">
        <w:rPr>
          <w:color w:val="auto"/>
          <w:spacing w:val="-1"/>
          <w:sz w:val="20"/>
          <w:szCs w:val="20"/>
        </w:rPr>
        <w:t xml:space="preserve"> </w:t>
      </w:r>
      <w:r w:rsidRPr="000977F7">
        <w:rPr>
          <w:color w:val="auto"/>
          <w:sz w:val="20"/>
          <w:szCs w:val="20"/>
        </w:rPr>
        <w:t>–</w:t>
      </w:r>
    </w:p>
    <w:p w14:paraId="68BE5D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Технологічна операція сумісного виготовлення групи</w:t>
      </w:r>
      <w:r w:rsidRPr="000977F7">
        <w:rPr>
          <w:rFonts w:asciiTheme="majorHAnsi" w:hAnsiTheme="majorHAnsi"/>
          <w:spacing w:val="1"/>
          <w:sz w:val="20"/>
          <w:szCs w:val="20"/>
        </w:rPr>
        <w:t xml:space="preserve"> </w:t>
      </w:r>
      <w:r w:rsidRPr="000977F7">
        <w:rPr>
          <w:rFonts w:asciiTheme="majorHAnsi" w:hAnsiTheme="majorHAnsi"/>
          <w:sz w:val="20"/>
          <w:szCs w:val="20"/>
        </w:rPr>
        <w:t>виробів з різними конструктивними, але загальними</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технологічними</w:t>
      </w:r>
      <w:r w:rsidRPr="000977F7">
        <w:rPr>
          <w:rFonts w:asciiTheme="majorHAnsi" w:hAnsiTheme="majorHAnsi"/>
          <w:spacing w:val="-2"/>
          <w:sz w:val="20"/>
          <w:szCs w:val="20"/>
        </w:rPr>
        <w:t xml:space="preserve"> </w:t>
      </w:r>
      <w:r w:rsidRPr="000977F7">
        <w:rPr>
          <w:rFonts w:asciiTheme="majorHAnsi" w:hAnsiTheme="majorHAnsi"/>
          <w:sz w:val="20"/>
          <w:szCs w:val="20"/>
        </w:rPr>
        <w:t>ознаками</w:t>
      </w:r>
    </w:p>
    <w:p w14:paraId="6A23BFA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 – 2010</w:t>
      </w:r>
    </w:p>
    <w:p w14:paraId="787B3CE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ГРУПОВЕ</w:t>
      </w:r>
      <w:r w:rsidRPr="000977F7">
        <w:rPr>
          <w:color w:val="auto"/>
          <w:spacing w:val="-5"/>
          <w:sz w:val="20"/>
          <w:szCs w:val="20"/>
        </w:rPr>
        <w:t xml:space="preserve"> </w:t>
      </w:r>
      <w:r w:rsidRPr="000977F7">
        <w:rPr>
          <w:color w:val="auto"/>
          <w:sz w:val="20"/>
          <w:szCs w:val="20"/>
        </w:rPr>
        <w:t>ВИРОБНИЦТВО</w:t>
      </w:r>
      <w:r w:rsidRPr="000977F7">
        <w:rPr>
          <w:color w:val="auto"/>
          <w:spacing w:val="1"/>
          <w:sz w:val="20"/>
          <w:szCs w:val="20"/>
        </w:rPr>
        <w:t xml:space="preserve"> </w:t>
      </w:r>
      <w:r w:rsidRPr="000977F7">
        <w:rPr>
          <w:color w:val="auto"/>
          <w:sz w:val="20"/>
          <w:szCs w:val="20"/>
        </w:rPr>
        <w:t>–</w:t>
      </w:r>
    </w:p>
    <w:p w14:paraId="2ADB8930"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Виробництво, що характеризується сумісним виготовленням чи ремонтом груп виробів з різними конструктивними,</w:t>
      </w:r>
      <w:r w:rsidRPr="000977F7">
        <w:rPr>
          <w:rFonts w:asciiTheme="majorHAnsi" w:hAnsiTheme="majorHAnsi"/>
          <w:spacing w:val="1"/>
          <w:sz w:val="20"/>
          <w:szCs w:val="20"/>
        </w:rPr>
        <w:t xml:space="preserve"> </w:t>
      </w:r>
      <w:r w:rsidRPr="000977F7">
        <w:rPr>
          <w:rFonts w:asciiTheme="majorHAnsi" w:hAnsiTheme="majorHAnsi"/>
          <w:sz w:val="20"/>
          <w:szCs w:val="20"/>
        </w:rPr>
        <w:t>але</w:t>
      </w:r>
      <w:r w:rsidRPr="000977F7">
        <w:rPr>
          <w:rFonts w:asciiTheme="majorHAnsi" w:hAnsiTheme="majorHAnsi"/>
          <w:spacing w:val="1"/>
          <w:sz w:val="20"/>
          <w:szCs w:val="20"/>
        </w:rPr>
        <w:t xml:space="preserve"> </w:t>
      </w:r>
      <w:r w:rsidRPr="000977F7">
        <w:rPr>
          <w:rFonts w:asciiTheme="majorHAnsi" w:hAnsiTheme="majorHAnsi"/>
          <w:sz w:val="20"/>
          <w:szCs w:val="20"/>
        </w:rPr>
        <w:t>спільними</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технологічними</w:t>
      </w:r>
      <w:r w:rsidRPr="000977F7">
        <w:rPr>
          <w:rFonts w:asciiTheme="majorHAnsi" w:hAnsiTheme="majorHAnsi"/>
          <w:spacing w:val="1"/>
          <w:sz w:val="20"/>
          <w:szCs w:val="20"/>
        </w:rPr>
        <w:t xml:space="preserve"> </w:t>
      </w:r>
      <w:r w:rsidRPr="000977F7">
        <w:rPr>
          <w:rFonts w:asciiTheme="majorHAnsi" w:hAnsiTheme="majorHAnsi"/>
          <w:sz w:val="20"/>
          <w:szCs w:val="20"/>
        </w:rPr>
        <w:t>ознаками</w:t>
      </w:r>
      <w:r w:rsidRPr="000977F7">
        <w:rPr>
          <w:rFonts w:asciiTheme="majorHAnsi" w:hAnsiTheme="majorHAnsi"/>
          <w:spacing w:val="1"/>
          <w:sz w:val="20"/>
          <w:szCs w:val="20"/>
        </w:rPr>
        <w:t xml:space="preserve"> </w:t>
      </w:r>
    </w:p>
    <w:p w14:paraId="432ABD3F"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2974</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59AAE65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ГРУПОВИЙ</w:t>
      </w:r>
      <w:r w:rsidRPr="000977F7">
        <w:rPr>
          <w:color w:val="auto"/>
          <w:spacing w:val="-3"/>
          <w:sz w:val="20"/>
          <w:szCs w:val="20"/>
        </w:rPr>
        <w:t xml:space="preserve"> </w:t>
      </w:r>
      <w:r w:rsidRPr="000977F7">
        <w:rPr>
          <w:color w:val="auto"/>
          <w:sz w:val="20"/>
          <w:szCs w:val="20"/>
        </w:rPr>
        <w:t>ЕТАЛОН –</w:t>
      </w:r>
    </w:p>
    <w:p w14:paraId="0C526F6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GROUP</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STANDART;</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SERIES</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STANDART</w:t>
      </w:r>
    </w:p>
    <w:p w14:paraId="518831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Еталон,</w:t>
      </w:r>
      <w:r w:rsidRPr="000977F7">
        <w:rPr>
          <w:rFonts w:asciiTheme="majorHAnsi" w:hAnsiTheme="majorHAnsi"/>
          <w:spacing w:val="28"/>
          <w:sz w:val="20"/>
          <w:szCs w:val="20"/>
        </w:rPr>
        <w:t xml:space="preserve"> </w:t>
      </w:r>
      <w:r w:rsidRPr="000977F7">
        <w:rPr>
          <w:rFonts w:asciiTheme="majorHAnsi" w:hAnsiTheme="majorHAnsi"/>
          <w:sz w:val="20"/>
          <w:szCs w:val="20"/>
        </w:rPr>
        <w:t>до</w:t>
      </w:r>
      <w:r w:rsidRPr="000977F7">
        <w:rPr>
          <w:rFonts w:asciiTheme="majorHAnsi" w:hAnsiTheme="majorHAnsi"/>
          <w:spacing w:val="27"/>
          <w:sz w:val="20"/>
          <w:szCs w:val="20"/>
        </w:rPr>
        <w:t xml:space="preserve"> </w:t>
      </w:r>
      <w:r w:rsidRPr="000977F7">
        <w:rPr>
          <w:rFonts w:asciiTheme="majorHAnsi" w:hAnsiTheme="majorHAnsi"/>
          <w:sz w:val="20"/>
          <w:szCs w:val="20"/>
        </w:rPr>
        <w:t>складу</w:t>
      </w:r>
      <w:r w:rsidRPr="000977F7">
        <w:rPr>
          <w:rFonts w:asciiTheme="majorHAnsi" w:hAnsiTheme="majorHAnsi"/>
          <w:spacing w:val="25"/>
          <w:sz w:val="20"/>
          <w:szCs w:val="20"/>
        </w:rPr>
        <w:t xml:space="preserve"> </w:t>
      </w:r>
      <w:r w:rsidRPr="000977F7">
        <w:rPr>
          <w:rFonts w:asciiTheme="majorHAnsi" w:hAnsiTheme="majorHAnsi"/>
          <w:sz w:val="20"/>
          <w:szCs w:val="20"/>
        </w:rPr>
        <w:t>якого</w:t>
      </w:r>
      <w:r w:rsidRPr="000977F7">
        <w:rPr>
          <w:rFonts w:asciiTheme="majorHAnsi" w:hAnsiTheme="majorHAnsi"/>
          <w:spacing w:val="27"/>
          <w:sz w:val="20"/>
          <w:szCs w:val="20"/>
        </w:rPr>
        <w:t xml:space="preserve"> </w:t>
      </w:r>
      <w:r w:rsidRPr="000977F7">
        <w:rPr>
          <w:rFonts w:asciiTheme="majorHAnsi" w:hAnsiTheme="majorHAnsi"/>
          <w:sz w:val="20"/>
          <w:szCs w:val="20"/>
        </w:rPr>
        <w:t>входить</w:t>
      </w:r>
      <w:r w:rsidRPr="000977F7">
        <w:rPr>
          <w:rFonts w:asciiTheme="majorHAnsi" w:hAnsiTheme="majorHAnsi"/>
          <w:spacing w:val="27"/>
          <w:sz w:val="20"/>
          <w:szCs w:val="20"/>
        </w:rPr>
        <w:t xml:space="preserve"> </w:t>
      </w:r>
      <w:r w:rsidRPr="000977F7">
        <w:rPr>
          <w:rFonts w:asciiTheme="majorHAnsi" w:hAnsiTheme="majorHAnsi"/>
          <w:sz w:val="20"/>
          <w:szCs w:val="20"/>
        </w:rPr>
        <w:t>група</w:t>
      </w:r>
      <w:r w:rsidRPr="000977F7">
        <w:rPr>
          <w:rFonts w:asciiTheme="majorHAnsi" w:hAnsiTheme="majorHAnsi"/>
          <w:spacing w:val="29"/>
          <w:sz w:val="20"/>
          <w:szCs w:val="20"/>
        </w:rPr>
        <w:t xml:space="preserve"> </w:t>
      </w:r>
      <w:r w:rsidRPr="000977F7">
        <w:rPr>
          <w:rFonts w:asciiTheme="majorHAnsi" w:hAnsiTheme="majorHAnsi"/>
          <w:sz w:val="20"/>
          <w:szCs w:val="20"/>
        </w:rPr>
        <w:t>засобів</w:t>
      </w:r>
      <w:r w:rsidRPr="000977F7">
        <w:rPr>
          <w:rFonts w:asciiTheme="majorHAnsi" w:hAnsiTheme="majorHAnsi"/>
          <w:spacing w:val="29"/>
          <w:sz w:val="20"/>
          <w:szCs w:val="20"/>
        </w:rPr>
        <w:t xml:space="preserve"> </w:t>
      </w:r>
      <w:r w:rsidRPr="000977F7">
        <w:rPr>
          <w:rFonts w:asciiTheme="majorHAnsi" w:hAnsiTheme="majorHAnsi"/>
          <w:sz w:val="20"/>
          <w:szCs w:val="20"/>
        </w:rPr>
        <w:t>вимірювань</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група еталонів</w:t>
      </w:r>
    </w:p>
    <w:p w14:paraId="70DF39E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3EBE888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1"/>
          <w:sz w:val="20"/>
          <w:szCs w:val="20"/>
        </w:rPr>
        <w:t xml:space="preserve">ГРУПОВИЙ </w:t>
      </w:r>
      <w:r w:rsidRPr="000977F7">
        <w:rPr>
          <w:color w:val="auto"/>
          <w:sz w:val="20"/>
          <w:szCs w:val="20"/>
        </w:rPr>
        <w:t>КОНСТРУКТОРСЬКИЙ</w:t>
      </w:r>
      <w:r w:rsidRPr="000977F7">
        <w:rPr>
          <w:color w:val="auto"/>
          <w:spacing w:val="-47"/>
          <w:sz w:val="20"/>
          <w:szCs w:val="20"/>
        </w:rPr>
        <w:t xml:space="preserve"> </w:t>
      </w:r>
      <w:r w:rsidRPr="000977F7">
        <w:rPr>
          <w:color w:val="auto"/>
          <w:sz w:val="20"/>
          <w:szCs w:val="20"/>
        </w:rPr>
        <w:t>ДОКУМЕНТ</w:t>
      </w:r>
      <w:r w:rsidRPr="000977F7">
        <w:rPr>
          <w:color w:val="auto"/>
          <w:spacing w:val="-2"/>
          <w:sz w:val="20"/>
          <w:szCs w:val="20"/>
        </w:rPr>
        <w:t xml:space="preserve"> </w:t>
      </w:r>
      <w:r w:rsidRPr="000977F7">
        <w:rPr>
          <w:color w:val="auto"/>
          <w:sz w:val="20"/>
          <w:szCs w:val="20"/>
        </w:rPr>
        <w:t>–</w:t>
      </w:r>
    </w:p>
    <w:p w14:paraId="2E8767F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Конструкторський</w:t>
      </w:r>
      <w:r w:rsidRPr="000977F7">
        <w:rPr>
          <w:rFonts w:asciiTheme="majorHAnsi" w:hAnsiTheme="majorHAnsi"/>
          <w:spacing w:val="13"/>
          <w:sz w:val="20"/>
          <w:szCs w:val="20"/>
        </w:rPr>
        <w:t xml:space="preserve"> </w:t>
      </w:r>
      <w:r w:rsidRPr="000977F7">
        <w:rPr>
          <w:rFonts w:asciiTheme="majorHAnsi" w:hAnsiTheme="majorHAnsi"/>
          <w:sz w:val="20"/>
          <w:szCs w:val="20"/>
        </w:rPr>
        <w:t>документ,</w:t>
      </w:r>
      <w:r w:rsidRPr="000977F7">
        <w:rPr>
          <w:rFonts w:asciiTheme="majorHAnsi" w:hAnsiTheme="majorHAnsi"/>
          <w:spacing w:val="14"/>
          <w:sz w:val="20"/>
          <w:szCs w:val="20"/>
        </w:rPr>
        <w:t xml:space="preserve"> </w:t>
      </w:r>
      <w:r w:rsidRPr="000977F7">
        <w:rPr>
          <w:rFonts w:asciiTheme="majorHAnsi" w:hAnsiTheme="majorHAnsi"/>
          <w:sz w:val="20"/>
          <w:szCs w:val="20"/>
        </w:rPr>
        <w:t>який</w:t>
      </w:r>
      <w:r w:rsidRPr="000977F7">
        <w:rPr>
          <w:rFonts w:asciiTheme="majorHAnsi" w:hAnsiTheme="majorHAnsi"/>
          <w:spacing w:val="13"/>
          <w:sz w:val="20"/>
          <w:szCs w:val="20"/>
        </w:rPr>
        <w:t xml:space="preserve"> </w:t>
      </w:r>
      <w:r w:rsidRPr="000977F7">
        <w:rPr>
          <w:rFonts w:asciiTheme="majorHAnsi" w:hAnsiTheme="majorHAnsi"/>
          <w:sz w:val="20"/>
          <w:szCs w:val="20"/>
        </w:rPr>
        <w:t>містить</w:t>
      </w:r>
      <w:r w:rsidRPr="000977F7">
        <w:rPr>
          <w:rFonts w:asciiTheme="majorHAnsi" w:hAnsiTheme="majorHAnsi"/>
          <w:spacing w:val="14"/>
          <w:sz w:val="20"/>
          <w:szCs w:val="20"/>
        </w:rPr>
        <w:t xml:space="preserve"> </w:t>
      </w:r>
      <w:r w:rsidRPr="000977F7">
        <w:rPr>
          <w:rFonts w:asciiTheme="majorHAnsi" w:hAnsiTheme="majorHAnsi"/>
          <w:sz w:val="20"/>
          <w:szCs w:val="20"/>
        </w:rPr>
        <w:t>сталі</w:t>
      </w:r>
      <w:r w:rsidRPr="000977F7">
        <w:rPr>
          <w:rFonts w:asciiTheme="majorHAnsi" w:hAnsiTheme="majorHAnsi"/>
          <w:spacing w:val="14"/>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змінні</w:t>
      </w:r>
      <w:r w:rsidRPr="000977F7">
        <w:rPr>
          <w:rFonts w:asciiTheme="majorHAnsi" w:hAnsiTheme="majorHAnsi"/>
          <w:spacing w:val="-2"/>
          <w:sz w:val="20"/>
          <w:szCs w:val="20"/>
        </w:rPr>
        <w:t xml:space="preserve"> </w:t>
      </w:r>
      <w:r w:rsidRPr="000977F7">
        <w:rPr>
          <w:rFonts w:asciiTheme="majorHAnsi" w:hAnsiTheme="majorHAnsi"/>
          <w:sz w:val="20"/>
          <w:szCs w:val="20"/>
        </w:rPr>
        <w:t>дані</w:t>
      </w:r>
      <w:r w:rsidRPr="000977F7">
        <w:rPr>
          <w:rFonts w:asciiTheme="majorHAnsi" w:hAnsiTheme="majorHAnsi"/>
          <w:spacing w:val="-2"/>
          <w:sz w:val="20"/>
          <w:szCs w:val="20"/>
        </w:rPr>
        <w:t xml:space="preserve"> </w:t>
      </w:r>
      <w:r w:rsidRPr="000977F7">
        <w:rPr>
          <w:rFonts w:asciiTheme="majorHAnsi" w:hAnsiTheme="majorHAnsi"/>
          <w:sz w:val="20"/>
          <w:szCs w:val="20"/>
        </w:rPr>
        <w:t>виконань</w:t>
      </w:r>
      <w:r w:rsidRPr="000977F7">
        <w:rPr>
          <w:rFonts w:asciiTheme="majorHAnsi" w:hAnsiTheme="majorHAnsi"/>
          <w:spacing w:val="1"/>
          <w:sz w:val="20"/>
          <w:szCs w:val="20"/>
        </w:rPr>
        <w:t xml:space="preserve"> </w:t>
      </w:r>
      <w:r w:rsidRPr="000977F7">
        <w:rPr>
          <w:rFonts w:asciiTheme="majorHAnsi" w:hAnsiTheme="majorHAnsi"/>
          <w:sz w:val="20"/>
          <w:szCs w:val="20"/>
        </w:rPr>
        <w:t>двох</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більше</w:t>
      </w:r>
      <w:r w:rsidRPr="000977F7">
        <w:rPr>
          <w:rFonts w:asciiTheme="majorHAnsi" w:hAnsiTheme="majorHAnsi"/>
          <w:spacing w:val="-1"/>
          <w:sz w:val="20"/>
          <w:szCs w:val="20"/>
        </w:rPr>
        <w:t xml:space="preserve"> </w:t>
      </w:r>
      <w:r w:rsidRPr="000977F7">
        <w:rPr>
          <w:rFonts w:asciiTheme="majorHAnsi" w:hAnsiTheme="majorHAnsi"/>
          <w:sz w:val="20"/>
          <w:szCs w:val="20"/>
        </w:rPr>
        <w:t>виробів</w:t>
      </w:r>
    </w:p>
    <w:p w14:paraId="1BAB99C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2136A86E" w14:textId="77777777" w:rsidR="0097612F" w:rsidRPr="000977F7" w:rsidRDefault="0097612F" w:rsidP="000977F7">
      <w:pPr>
        <w:pStyle w:val="7"/>
        <w:tabs>
          <w:tab w:val="left" w:pos="284"/>
        </w:tabs>
        <w:spacing w:before="0" w:line="240" w:lineRule="auto"/>
        <w:ind w:left="170"/>
        <w:mirrorIndents/>
        <w:jc w:val="both"/>
        <w:rPr>
          <w:color w:val="auto"/>
          <w:spacing w:val="-5"/>
          <w:sz w:val="20"/>
          <w:szCs w:val="20"/>
        </w:rPr>
      </w:pPr>
      <w:r w:rsidRPr="000977F7">
        <w:rPr>
          <w:color w:val="auto"/>
          <w:sz w:val="20"/>
          <w:szCs w:val="20"/>
        </w:rPr>
        <w:t>ГРУПОВИЙ</w:t>
      </w:r>
      <w:r w:rsidRPr="000977F7">
        <w:rPr>
          <w:color w:val="auto"/>
          <w:spacing w:val="39"/>
          <w:sz w:val="20"/>
          <w:szCs w:val="20"/>
        </w:rPr>
        <w:t xml:space="preserve"> </w:t>
      </w:r>
      <w:r w:rsidRPr="000977F7">
        <w:rPr>
          <w:color w:val="auto"/>
          <w:sz w:val="20"/>
          <w:szCs w:val="20"/>
        </w:rPr>
        <w:t>КОНСТРУКТОРСЬКИЙ</w:t>
      </w:r>
      <w:r w:rsidRPr="000977F7">
        <w:rPr>
          <w:color w:val="auto"/>
          <w:spacing w:val="-5"/>
          <w:sz w:val="20"/>
          <w:szCs w:val="20"/>
        </w:rPr>
        <w:t xml:space="preserve"> </w:t>
      </w:r>
    </w:p>
    <w:p w14:paraId="48E84E9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ДОКУ</w:t>
      </w:r>
      <w:r w:rsidRPr="000977F7">
        <w:rPr>
          <w:color w:val="auto"/>
          <w:spacing w:val="-47"/>
          <w:sz w:val="20"/>
          <w:szCs w:val="20"/>
        </w:rPr>
        <w:t xml:space="preserve"> </w:t>
      </w:r>
      <w:r w:rsidRPr="000977F7">
        <w:rPr>
          <w:color w:val="auto"/>
          <w:sz w:val="20"/>
          <w:szCs w:val="20"/>
        </w:rPr>
        <w:t>МЕНТ</w:t>
      </w:r>
      <w:r w:rsidRPr="000977F7">
        <w:rPr>
          <w:color w:val="auto"/>
          <w:spacing w:val="-2"/>
          <w:sz w:val="20"/>
          <w:szCs w:val="20"/>
        </w:rPr>
        <w:t xml:space="preserve"> </w:t>
      </w:r>
      <w:r w:rsidRPr="000977F7">
        <w:rPr>
          <w:color w:val="auto"/>
          <w:sz w:val="20"/>
          <w:szCs w:val="20"/>
        </w:rPr>
        <w:t>ВИКОНАННЯ</w:t>
      </w:r>
      <w:r w:rsidRPr="000977F7">
        <w:rPr>
          <w:color w:val="auto"/>
          <w:spacing w:val="2"/>
          <w:sz w:val="20"/>
          <w:szCs w:val="20"/>
        </w:rPr>
        <w:t xml:space="preserve"> </w:t>
      </w:r>
      <w:r w:rsidRPr="000977F7">
        <w:rPr>
          <w:color w:val="auto"/>
          <w:sz w:val="20"/>
          <w:szCs w:val="20"/>
        </w:rPr>
        <w:t>–</w:t>
      </w:r>
    </w:p>
    <w:p w14:paraId="131BCD67"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Конструкторський документ, який містить посилання</w:t>
      </w:r>
      <w:r w:rsidRPr="000977F7">
        <w:rPr>
          <w:b w:val="0"/>
          <w:bCs/>
          <w:color w:val="auto"/>
          <w:spacing w:val="1"/>
          <w:sz w:val="20"/>
          <w:szCs w:val="20"/>
        </w:rPr>
        <w:t xml:space="preserve"> </w:t>
      </w:r>
      <w:r w:rsidRPr="000977F7">
        <w:rPr>
          <w:b w:val="0"/>
          <w:bCs/>
          <w:color w:val="auto"/>
          <w:sz w:val="20"/>
          <w:szCs w:val="20"/>
        </w:rPr>
        <w:t>на базовий документ та змінні дані щодо двох і більше</w:t>
      </w:r>
      <w:r w:rsidRPr="000977F7">
        <w:rPr>
          <w:b w:val="0"/>
          <w:bCs/>
          <w:color w:val="auto"/>
          <w:spacing w:val="-1"/>
          <w:sz w:val="20"/>
          <w:szCs w:val="20"/>
        </w:rPr>
        <w:t xml:space="preserve"> </w:t>
      </w:r>
      <w:r w:rsidRPr="000977F7">
        <w:rPr>
          <w:b w:val="0"/>
          <w:bCs/>
          <w:color w:val="auto"/>
          <w:sz w:val="20"/>
          <w:szCs w:val="20"/>
        </w:rPr>
        <w:t>виконань виробу</w:t>
      </w:r>
    </w:p>
    <w:p w14:paraId="2CA3940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1A729F7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ГРУПОВИЙ МЕТОД ВИКОНАННЯ КОНСТРУКТОРСЬКИХ</w:t>
      </w:r>
      <w:r w:rsidRPr="000977F7">
        <w:rPr>
          <w:color w:val="auto"/>
          <w:spacing w:val="-1"/>
          <w:sz w:val="20"/>
          <w:szCs w:val="20"/>
        </w:rPr>
        <w:t xml:space="preserve"> </w:t>
      </w:r>
      <w:r w:rsidRPr="000977F7">
        <w:rPr>
          <w:color w:val="auto"/>
          <w:sz w:val="20"/>
          <w:szCs w:val="20"/>
        </w:rPr>
        <w:t>ДОКУМЕНТІВ</w:t>
      </w:r>
      <w:r w:rsidRPr="000977F7">
        <w:rPr>
          <w:color w:val="auto"/>
          <w:spacing w:val="3"/>
          <w:sz w:val="20"/>
          <w:szCs w:val="20"/>
        </w:rPr>
        <w:t xml:space="preserve"> </w:t>
      </w:r>
      <w:r w:rsidRPr="000977F7">
        <w:rPr>
          <w:color w:val="auto"/>
          <w:sz w:val="20"/>
          <w:szCs w:val="20"/>
        </w:rPr>
        <w:t>–</w:t>
      </w:r>
    </w:p>
    <w:p w14:paraId="3A5B962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виконання комплекту конструкторських документів на виріб, за якого всі дані про виконання виробу</w:t>
      </w:r>
      <w:r w:rsidRPr="000977F7">
        <w:rPr>
          <w:rFonts w:asciiTheme="majorHAnsi" w:hAnsiTheme="majorHAnsi"/>
          <w:spacing w:val="1"/>
          <w:sz w:val="20"/>
          <w:szCs w:val="20"/>
        </w:rPr>
        <w:t xml:space="preserve"> </w:t>
      </w:r>
      <w:r w:rsidRPr="000977F7">
        <w:rPr>
          <w:rFonts w:asciiTheme="majorHAnsi" w:hAnsiTheme="majorHAnsi"/>
          <w:sz w:val="20"/>
          <w:szCs w:val="20"/>
        </w:rPr>
        <w:t>зазначаються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одному</w:t>
      </w:r>
      <w:r w:rsidRPr="000977F7">
        <w:rPr>
          <w:rFonts w:asciiTheme="majorHAnsi" w:hAnsiTheme="majorHAnsi"/>
          <w:spacing w:val="1"/>
          <w:sz w:val="20"/>
          <w:szCs w:val="20"/>
        </w:rPr>
        <w:t xml:space="preserve"> </w:t>
      </w:r>
      <w:r w:rsidRPr="000977F7">
        <w:rPr>
          <w:rFonts w:asciiTheme="majorHAnsi" w:hAnsiTheme="majorHAnsi"/>
          <w:sz w:val="20"/>
          <w:szCs w:val="20"/>
        </w:rPr>
        <w:t>основному</w:t>
      </w:r>
      <w:r w:rsidRPr="000977F7">
        <w:rPr>
          <w:rFonts w:asciiTheme="majorHAnsi" w:hAnsiTheme="majorHAnsi"/>
          <w:spacing w:val="1"/>
          <w:sz w:val="20"/>
          <w:szCs w:val="20"/>
        </w:rPr>
        <w:t xml:space="preserve"> </w:t>
      </w:r>
      <w:r w:rsidRPr="000977F7">
        <w:rPr>
          <w:rFonts w:asciiTheme="majorHAnsi" w:hAnsiTheme="majorHAnsi"/>
          <w:sz w:val="20"/>
          <w:szCs w:val="20"/>
        </w:rPr>
        <w:t>груповому</w:t>
      </w:r>
      <w:r w:rsidRPr="000977F7">
        <w:rPr>
          <w:rFonts w:asciiTheme="majorHAnsi" w:hAnsiTheme="majorHAnsi"/>
          <w:spacing w:val="-47"/>
          <w:sz w:val="20"/>
          <w:szCs w:val="20"/>
        </w:rPr>
        <w:t xml:space="preserve"> </w:t>
      </w:r>
      <w:r w:rsidRPr="000977F7">
        <w:rPr>
          <w:rFonts w:asciiTheme="majorHAnsi" w:hAnsiTheme="majorHAnsi"/>
          <w:sz w:val="20"/>
          <w:szCs w:val="20"/>
        </w:rPr>
        <w:t>конструкторському</w:t>
      </w:r>
      <w:r w:rsidRPr="000977F7">
        <w:rPr>
          <w:rFonts w:asciiTheme="majorHAnsi" w:hAnsiTheme="majorHAnsi"/>
          <w:spacing w:val="-2"/>
          <w:sz w:val="20"/>
          <w:szCs w:val="20"/>
        </w:rPr>
        <w:t xml:space="preserve"> </w:t>
      </w:r>
      <w:r w:rsidRPr="000977F7">
        <w:rPr>
          <w:rFonts w:asciiTheme="majorHAnsi" w:hAnsiTheme="majorHAnsi"/>
          <w:sz w:val="20"/>
          <w:szCs w:val="20"/>
        </w:rPr>
        <w:t>документі</w:t>
      </w:r>
    </w:p>
    <w:p w14:paraId="669C49C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14C761E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ГРУПОВИЙ</w:t>
      </w:r>
      <w:r w:rsidRPr="000977F7">
        <w:rPr>
          <w:color w:val="auto"/>
          <w:spacing w:val="-5"/>
          <w:sz w:val="20"/>
          <w:szCs w:val="20"/>
        </w:rPr>
        <w:t xml:space="preserve"> </w:t>
      </w:r>
      <w:r w:rsidRPr="000977F7">
        <w:rPr>
          <w:color w:val="auto"/>
          <w:sz w:val="20"/>
          <w:szCs w:val="20"/>
        </w:rPr>
        <w:t>ТЕХНОЛОГІЧНИЙ</w:t>
      </w:r>
      <w:r w:rsidRPr="000977F7">
        <w:rPr>
          <w:color w:val="auto"/>
          <w:spacing w:val="-4"/>
          <w:sz w:val="20"/>
          <w:szCs w:val="20"/>
        </w:rPr>
        <w:t xml:space="preserve"> </w:t>
      </w:r>
      <w:r w:rsidRPr="000977F7">
        <w:rPr>
          <w:color w:val="auto"/>
          <w:sz w:val="20"/>
          <w:szCs w:val="20"/>
        </w:rPr>
        <w:t>ПРОЦЕС–</w:t>
      </w:r>
    </w:p>
    <w:p w14:paraId="400402D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Технологічний процес виготовлення групи виробів з</w:t>
      </w:r>
      <w:r w:rsidRPr="000977F7">
        <w:rPr>
          <w:rFonts w:asciiTheme="majorHAnsi" w:hAnsiTheme="majorHAnsi"/>
          <w:spacing w:val="1"/>
          <w:sz w:val="20"/>
          <w:szCs w:val="20"/>
        </w:rPr>
        <w:t xml:space="preserve"> </w:t>
      </w:r>
      <w:r w:rsidRPr="000977F7">
        <w:rPr>
          <w:rFonts w:asciiTheme="majorHAnsi" w:hAnsiTheme="majorHAnsi"/>
          <w:sz w:val="20"/>
          <w:szCs w:val="20"/>
        </w:rPr>
        <w:t>різними конструктивними, але загальними технологічними</w:t>
      </w:r>
      <w:r w:rsidRPr="000977F7">
        <w:rPr>
          <w:rFonts w:asciiTheme="majorHAnsi" w:hAnsiTheme="majorHAnsi"/>
          <w:spacing w:val="-2"/>
          <w:sz w:val="20"/>
          <w:szCs w:val="20"/>
        </w:rPr>
        <w:t xml:space="preserve"> </w:t>
      </w:r>
      <w:r w:rsidRPr="000977F7">
        <w:rPr>
          <w:rFonts w:asciiTheme="majorHAnsi" w:hAnsiTheme="majorHAnsi"/>
          <w:sz w:val="20"/>
          <w:szCs w:val="20"/>
        </w:rPr>
        <w:t>ознаками</w:t>
      </w:r>
    </w:p>
    <w:p w14:paraId="74ED816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lastRenderedPageBreak/>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2391:2010</w:t>
      </w:r>
    </w:p>
    <w:p w14:paraId="5689B54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ГУCТИНA</w:t>
      </w:r>
      <w:r w:rsidRPr="000977F7">
        <w:rPr>
          <w:color w:val="auto"/>
          <w:spacing w:val="-3"/>
          <w:sz w:val="20"/>
          <w:szCs w:val="20"/>
        </w:rPr>
        <w:t xml:space="preserve"> </w:t>
      </w:r>
      <w:r w:rsidRPr="000977F7">
        <w:rPr>
          <w:color w:val="auto"/>
          <w:sz w:val="20"/>
          <w:szCs w:val="20"/>
        </w:rPr>
        <w:t>СТРУМУ</w:t>
      </w:r>
      <w:r w:rsidRPr="000977F7">
        <w:rPr>
          <w:color w:val="auto"/>
          <w:spacing w:val="-3"/>
          <w:sz w:val="20"/>
          <w:szCs w:val="20"/>
        </w:rPr>
        <w:t xml:space="preserve"> </w:t>
      </w:r>
      <w:r w:rsidRPr="000977F7">
        <w:rPr>
          <w:color w:val="auto"/>
          <w:sz w:val="20"/>
          <w:szCs w:val="20"/>
        </w:rPr>
        <w:t>ПАСИВАЦІЇ</w:t>
      </w:r>
      <w:r w:rsidRPr="000977F7">
        <w:rPr>
          <w:color w:val="auto"/>
          <w:spacing w:val="-4"/>
          <w:sz w:val="20"/>
          <w:szCs w:val="20"/>
        </w:rPr>
        <w:t xml:space="preserve"> </w:t>
      </w:r>
      <w:r w:rsidRPr="000977F7">
        <w:rPr>
          <w:color w:val="auto"/>
          <w:sz w:val="20"/>
          <w:szCs w:val="20"/>
        </w:rPr>
        <w:t>–</w:t>
      </w:r>
    </w:p>
    <w:p w14:paraId="7BFBC6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Густина струму анодного розчинення металу за потенціалу</w:t>
      </w:r>
      <w:r w:rsidRPr="000977F7">
        <w:rPr>
          <w:rFonts w:asciiTheme="majorHAnsi" w:hAnsiTheme="majorHAnsi"/>
          <w:spacing w:val="-2"/>
          <w:sz w:val="20"/>
          <w:szCs w:val="20"/>
        </w:rPr>
        <w:t xml:space="preserve"> </w:t>
      </w:r>
      <w:r w:rsidRPr="000977F7">
        <w:rPr>
          <w:rFonts w:asciiTheme="majorHAnsi" w:hAnsiTheme="majorHAnsi"/>
          <w:sz w:val="20"/>
          <w:szCs w:val="20"/>
        </w:rPr>
        <w:t>початку</w:t>
      </w:r>
      <w:r w:rsidRPr="000977F7">
        <w:rPr>
          <w:rFonts w:asciiTheme="majorHAnsi" w:hAnsiTheme="majorHAnsi"/>
          <w:spacing w:val="-1"/>
          <w:sz w:val="20"/>
          <w:szCs w:val="20"/>
        </w:rPr>
        <w:t xml:space="preserve"> </w:t>
      </w:r>
      <w:r w:rsidRPr="000977F7">
        <w:rPr>
          <w:rFonts w:asciiTheme="majorHAnsi" w:hAnsiTheme="majorHAnsi"/>
          <w:sz w:val="20"/>
          <w:szCs w:val="20"/>
        </w:rPr>
        <w:t>пасивації</w:t>
      </w:r>
    </w:p>
    <w:p w14:paraId="05046D7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15E7832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ГУСТИНА</w:t>
      </w:r>
      <w:r w:rsidRPr="000977F7">
        <w:rPr>
          <w:color w:val="auto"/>
          <w:spacing w:val="-4"/>
          <w:sz w:val="20"/>
          <w:szCs w:val="20"/>
        </w:rPr>
        <w:t xml:space="preserve"> </w:t>
      </w:r>
      <w:r w:rsidRPr="000977F7">
        <w:rPr>
          <w:color w:val="auto"/>
          <w:sz w:val="20"/>
          <w:szCs w:val="20"/>
        </w:rPr>
        <w:t>СТРУМУ</w:t>
      </w:r>
      <w:r w:rsidRPr="000977F7">
        <w:rPr>
          <w:color w:val="auto"/>
          <w:spacing w:val="-3"/>
          <w:sz w:val="20"/>
          <w:szCs w:val="20"/>
        </w:rPr>
        <w:t xml:space="preserve"> </w:t>
      </w:r>
      <w:r w:rsidRPr="000977F7">
        <w:rPr>
          <w:color w:val="auto"/>
          <w:sz w:val="20"/>
          <w:szCs w:val="20"/>
        </w:rPr>
        <w:t>ПОВНОЇ</w:t>
      </w:r>
      <w:r w:rsidRPr="000977F7">
        <w:rPr>
          <w:color w:val="auto"/>
          <w:spacing w:val="-3"/>
          <w:sz w:val="20"/>
          <w:szCs w:val="20"/>
        </w:rPr>
        <w:t xml:space="preserve"> </w:t>
      </w:r>
      <w:r w:rsidRPr="000977F7">
        <w:rPr>
          <w:color w:val="auto"/>
          <w:sz w:val="20"/>
          <w:szCs w:val="20"/>
        </w:rPr>
        <w:t>ПАСИВАЦІЇ</w:t>
      </w:r>
      <w:r w:rsidRPr="000977F7">
        <w:rPr>
          <w:color w:val="auto"/>
          <w:spacing w:val="-4"/>
          <w:sz w:val="20"/>
          <w:szCs w:val="20"/>
        </w:rPr>
        <w:t xml:space="preserve"> </w:t>
      </w:r>
      <w:r w:rsidRPr="000977F7">
        <w:rPr>
          <w:color w:val="auto"/>
          <w:sz w:val="20"/>
          <w:szCs w:val="20"/>
        </w:rPr>
        <w:t>–</w:t>
      </w:r>
    </w:p>
    <w:p w14:paraId="6D9F80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Густина струму анодного розчинення металу за потенціалу</w:t>
      </w:r>
      <w:r w:rsidRPr="000977F7">
        <w:rPr>
          <w:rFonts w:asciiTheme="majorHAnsi" w:hAnsiTheme="majorHAnsi"/>
          <w:spacing w:val="-2"/>
          <w:sz w:val="20"/>
          <w:szCs w:val="20"/>
        </w:rPr>
        <w:t xml:space="preserve"> </w:t>
      </w:r>
      <w:r w:rsidRPr="000977F7">
        <w:rPr>
          <w:rFonts w:asciiTheme="majorHAnsi" w:hAnsiTheme="majorHAnsi"/>
          <w:sz w:val="20"/>
          <w:szCs w:val="20"/>
        </w:rPr>
        <w:t>повної</w:t>
      </w:r>
      <w:r w:rsidRPr="000977F7">
        <w:rPr>
          <w:rFonts w:asciiTheme="majorHAnsi" w:hAnsiTheme="majorHAnsi"/>
          <w:spacing w:val="-1"/>
          <w:sz w:val="20"/>
          <w:szCs w:val="20"/>
        </w:rPr>
        <w:t xml:space="preserve"> </w:t>
      </w:r>
      <w:r w:rsidRPr="000977F7">
        <w:rPr>
          <w:rFonts w:asciiTheme="majorHAnsi" w:hAnsiTheme="majorHAnsi"/>
          <w:sz w:val="20"/>
          <w:szCs w:val="20"/>
        </w:rPr>
        <w:t>пасивації</w:t>
      </w:r>
    </w:p>
    <w:p w14:paraId="1B01645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sectPr w:rsidR="0097612F" w:rsidRPr="000977F7" w:rsidSect="000977F7">
          <w:type w:val="continuous"/>
          <w:pgSz w:w="11910" w:h="16840"/>
          <w:pgMar w:top="800" w:right="428" w:bottom="960" w:left="1000" w:header="0" w:footer="751" w:gutter="0"/>
          <w:cols w:num="2" w:space="454"/>
        </w:sect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1F735F29" w14:textId="77777777" w:rsidR="0097612F" w:rsidRPr="00F74722" w:rsidRDefault="0097612F" w:rsidP="00F74722">
      <w:pPr>
        <w:pStyle w:val="1"/>
        <w:rPr>
          <w:lang w:val="uk-UA"/>
        </w:rPr>
        <w:sectPr w:rsidR="0097612F" w:rsidRPr="00F74722" w:rsidSect="000977F7">
          <w:pgSz w:w="11910" w:h="16840"/>
          <w:pgMar w:top="800" w:right="428" w:bottom="960" w:left="1000" w:header="0" w:footer="751" w:gutter="0"/>
          <w:cols w:num="2" w:space="454"/>
        </w:sectPr>
      </w:pPr>
      <w:bookmarkStart w:id="41" w:name="_Toc132629626"/>
      <w:r w:rsidRPr="00F74722">
        <w:rPr>
          <w:lang w:val="uk-UA"/>
        </w:rPr>
        <w:lastRenderedPageBreak/>
        <w:t>Д</w:t>
      </w:r>
      <w:bookmarkEnd w:id="41"/>
    </w:p>
    <w:p w14:paraId="28165D8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ДАНІ</w:t>
      </w:r>
      <w:r w:rsidRPr="000977F7">
        <w:rPr>
          <w:color w:val="auto"/>
          <w:spacing w:val="-4"/>
          <w:sz w:val="20"/>
          <w:szCs w:val="20"/>
        </w:rPr>
        <w:t xml:space="preserve"> </w:t>
      </w:r>
      <w:r w:rsidRPr="000977F7">
        <w:rPr>
          <w:color w:val="auto"/>
          <w:sz w:val="20"/>
          <w:szCs w:val="20"/>
        </w:rPr>
        <w:t>–</w:t>
      </w:r>
    </w:p>
    <w:p w14:paraId="7D0F79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DATA</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5B26C4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Факти</w:t>
      </w:r>
      <w:r w:rsidRPr="000977F7">
        <w:rPr>
          <w:rFonts w:asciiTheme="majorHAnsi" w:hAnsiTheme="majorHAnsi"/>
          <w:spacing w:val="-2"/>
          <w:sz w:val="20"/>
          <w:szCs w:val="20"/>
        </w:rPr>
        <w:t xml:space="preserve"> </w:t>
      </w:r>
      <w:r w:rsidRPr="000977F7">
        <w:rPr>
          <w:rFonts w:asciiTheme="majorHAnsi" w:hAnsiTheme="majorHAnsi"/>
          <w:sz w:val="20"/>
          <w:szCs w:val="20"/>
        </w:rPr>
        <w:t>про</w:t>
      </w:r>
      <w:r w:rsidRPr="000977F7">
        <w:rPr>
          <w:rFonts w:asciiTheme="majorHAnsi" w:hAnsiTheme="majorHAnsi"/>
          <w:spacing w:val="-2"/>
          <w:sz w:val="20"/>
          <w:szCs w:val="20"/>
        </w:rPr>
        <w:t xml:space="preserve"> </w:t>
      </w:r>
      <w:r w:rsidRPr="000977F7">
        <w:rPr>
          <w:rFonts w:asciiTheme="majorHAnsi" w:hAnsiTheme="majorHAnsi"/>
          <w:sz w:val="20"/>
          <w:szCs w:val="20"/>
        </w:rPr>
        <w:t>об’єкт</w:t>
      </w:r>
    </w:p>
    <w:p w14:paraId="38F1527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1CF645B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42" w:name="_Hlk101612676"/>
      <w:r w:rsidRPr="000977F7">
        <w:rPr>
          <w:color w:val="auto"/>
          <w:sz w:val="20"/>
          <w:szCs w:val="20"/>
        </w:rPr>
        <w:t>ДАНІ</w:t>
      </w:r>
      <w:r w:rsidRPr="000977F7">
        <w:rPr>
          <w:color w:val="auto"/>
          <w:spacing w:val="-4"/>
          <w:sz w:val="20"/>
          <w:szCs w:val="20"/>
        </w:rPr>
        <w:t xml:space="preserve"> </w:t>
      </w:r>
      <w:r w:rsidRPr="000977F7">
        <w:rPr>
          <w:color w:val="auto"/>
          <w:sz w:val="20"/>
          <w:szCs w:val="20"/>
        </w:rPr>
        <w:t>ВИПРОБУВАНЬ –</w:t>
      </w:r>
    </w:p>
    <w:p w14:paraId="2EDCB8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TEST</w:t>
      </w:r>
      <w:r w:rsidRPr="000977F7">
        <w:rPr>
          <w:rFonts w:asciiTheme="majorHAnsi" w:hAnsiTheme="majorHAnsi"/>
          <w:spacing w:val="1"/>
          <w:sz w:val="20"/>
          <w:szCs w:val="20"/>
        </w:rPr>
        <w:t xml:space="preserve"> </w:t>
      </w:r>
      <w:r w:rsidRPr="000977F7">
        <w:rPr>
          <w:rFonts w:asciiTheme="majorHAnsi" w:hAnsiTheme="majorHAnsi"/>
          <w:sz w:val="20"/>
          <w:szCs w:val="20"/>
        </w:rPr>
        <w:t>DATA</w:t>
      </w:r>
      <w:r w:rsidRPr="000977F7">
        <w:rPr>
          <w:rFonts w:asciiTheme="majorHAnsi" w:hAnsiTheme="majorHAnsi"/>
          <w:spacing w:val="-3"/>
          <w:sz w:val="20"/>
          <w:szCs w:val="20"/>
        </w:rPr>
        <w:t xml:space="preserve"> </w:t>
      </w:r>
      <w:r w:rsidRPr="000977F7">
        <w:rPr>
          <w:rFonts w:asciiTheme="majorHAnsi" w:hAnsiTheme="majorHAnsi"/>
          <w:sz w:val="20"/>
          <w:szCs w:val="20"/>
        </w:rPr>
        <w:t>–</w:t>
      </w:r>
    </w:p>
    <w:bookmarkEnd w:id="42"/>
    <w:p w14:paraId="648C896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 характеристик властивостей об’єкта і (чи)</w:t>
      </w:r>
      <w:r w:rsidRPr="000977F7">
        <w:rPr>
          <w:rFonts w:asciiTheme="majorHAnsi" w:hAnsiTheme="majorHAnsi"/>
          <w:spacing w:val="1"/>
          <w:sz w:val="20"/>
          <w:szCs w:val="20"/>
        </w:rPr>
        <w:t xml:space="preserve"> </w:t>
      </w:r>
      <w:r w:rsidRPr="000977F7">
        <w:rPr>
          <w:rFonts w:asciiTheme="majorHAnsi" w:hAnsiTheme="majorHAnsi"/>
          <w:sz w:val="20"/>
          <w:szCs w:val="20"/>
        </w:rPr>
        <w:t>умов випробувань, напрацювань, а також інших параметрів, що реєструються під час випробувань і є вихідними</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наступного</w:t>
      </w:r>
      <w:r w:rsidRPr="000977F7">
        <w:rPr>
          <w:rFonts w:asciiTheme="majorHAnsi" w:hAnsiTheme="majorHAnsi"/>
          <w:spacing w:val="1"/>
          <w:sz w:val="20"/>
          <w:szCs w:val="20"/>
        </w:rPr>
        <w:t xml:space="preserve"> </w:t>
      </w:r>
      <w:r w:rsidRPr="000977F7">
        <w:rPr>
          <w:rFonts w:asciiTheme="majorHAnsi" w:hAnsiTheme="majorHAnsi"/>
          <w:sz w:val="20"/>
          <w:szCs w:val="20"/>
        </w:rPr>
        <w:t>опрацювання</w:t>
      </w:r>
    </w:p>
    <w:p w14:paraId="7E8042B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w:t>
      </w:r>
      <w:r w:rsidRPr="000977F7">
        <w:rPr>
          <w:rFonts w:asciiTheme="majorHAnsi" w:hAnsiTheme="majorHAnsi"/>
          <w:i/>
          <w:spacing w:val="-1"/>
          <w:sz w:val="20"/>
          <w:szCs w:val="20"/>
        </w:rPr>
        <w:t xml:space="preserve"> </w:t>
      </w:r>
      <w:r w:rsidRPr="000977F7">
        <w:rPr>
          <w:rFonts w:asciiTheme="majorHAnsi" w:hAnsiTheme="majorHAnsi"/>
          <w:i/>
          <w:sz w:val="20"/>
          <w:szCs w:val="20"/>
        </w:rPr>
        <w:t>95;</w:t>
      </w:r>
      <w:r w:rsidRPr="000977F7">
        <w:rPr>
          <w:rFonts w:asciiTheme="majorHAnsi" w:hAnsiTheme="majorHAnsi"/>
          <w:i/>
          <w:spacing w:val="-2"/>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98BF11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Дані,</w:t>
      </w:r>
      <w:r w:rsidRPr="000977F7">
        <w:rPr>
          <w:rFonts w:asciiTheme="majorHAnsi" w:hAnsiTheme="majorHAnsi"/>
          <w:spacing w:val="-3"/>
          <w:sz w:val="20"/>
          <w:szCs w:val="20"/>
        </w:rPr>
        <w:t xml:space="preserve"> </w:t>
      </w:r>
      <w:r w:rsidRPr="000977F7">
        <w:rPr>
          <w:rFonts w:asciiTheme="majorHAnsi" w:hAnsiTheme="majorHAnsi"/>
          <w:sz w:val="20"/>
          <w:szCs w:val="20"/>
        </w:rPr>
        <w:t>які</w:t>
      </w:r>
      <w:r w:rsidRPr="000977F7">
        <w:rPr>
          <w:rFonts w:asciiTheme="majorHAnsi" w:hAnsiTheme="majorHAnsi"/>
          <w:spacing w:val="-4"/>
          <w:sz w:val="20"/>
          <w:szCs w:val="20"/>
        </w:rPr>
        <w:t xml:space="preserve"> </w:t>
      </w:r>
      <w:r w:rsidRPr="000977F7">
        <w:rPr>
          <w:rFonts w:asciiTheme="majorHAnsi" w:hAnsiTheme="majorHAnsi"/>
          <w:sz w:val="20"/>
          <w:szCs w:val="20"/>
        </w:rPr>
        <w:t>спостерігаються</w:t>
      </w:r>
      <w:r w:rsidRPr="000977F7">
        <w:rPr>
          <w:rFonts w:asciiTheme="majorHAnsi" w:hAnsiTheme="majorHAnsi"/>
          <w:spacing w:val="-4"/>
          <w:sz w:val="20"/>
          <w:szCs w:val="20"/>
        </w:rPr>
        <w:t xml:space="preserve"> </w:t>
      </w:r>
      <w:r w:rsidRPr="000977F7">
        <w:rPr>
          <w:rFonts w:asciiTheme="majorHAnsi" w:hAnsiTheme="majorHAnsi"/>
          <w:sz w:val="20"/>
          <w:szCs w:val="20"/>
        </w:rPr>
        <w:t>при</w:t>
      </w:r>
      <w:r w:rsidRPr="000977F7">
        <w:rPr>
          <w:rFonts w:asciiTheme="majorHAnsi" w:hAnsiTheme="majorHAnsi"/>
          <w:spacing w:val="-4"/>
          <w:sz w:val="20"/>
          <w:szCs w:val="20"/>
        </w:rPr>
        <w:t xml:space="preserve"> </w:t>
      </w:r>
      <w:r w:rsidRPr="000977F7">
        <w:rPr>
          <w:rFonts w:asciiTheme="majorHAnsi" w:hAnsiTheme="majorHAnsi"/>
          <w:sz w:val="20"/>
          <w:szCs w:val="20"/>
        </w:rPr>
        <w:t>випробуваннях</w:t>
      </w:r>
    </w:p>
    <w:p w14:paraId="28AE044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 94</w:t>
      </w:r>
    </w:p>
    <w:p w14:paraId="36E8209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ДАНІ</w:t>
      </w:r>
      <w:r w:rsidRPr="000977F7">
        <w:rPr>
          <w:color w:val="auto"/>
          <w:spacing w:val="-5"/>
          <w:sz w:val="20"/>
          <w:szCs w:val="20"/>
        </w:rPr>
        <w:t xml:space="preserve"> </w:t>
      </w:r>
      <w:r w:rsidRPr="000977F7">
        <w:rPr>
          <w:color w:val="auto"/>
          <w:sz w:val="20"/>
          <w:szCs w:val="20"/>
        </w:rPr>
        <w:t>В</w:t>
      </w:r>
      <w:r w:rsidRPr="000977F7">
        <w:rPr>
          <w:color w:val="auto"/>
          <w:spacing w:val="-2"/>
          <w:sz w:val="20"/>
          <w:szCs w:val="20"/>
        </w:rPr>
        <w:t xml:space="preserve"> </w:t>
      </w:r>
      <w:r w:rsidRPr="000977F7">
        <w:rPr>
          <w:color w:val="auto"/>
          <w:sz w:val="20"/>
          <w:szCs w:val="20"/>
        </w:rPr>
        <w:t>ПРОМИСЛОВИХ</w:t>
      </w:r>
      <w:r w:rsidRPr="000977F7">
        <w:rPr>
          <w:color w:val="auto"/>
          <w:spacing w:val="-7"/>
          <w:sz w:val="20"/>
          <w:szCs w:val="20"/>
        </w:rPr>
        <w:t xml:space="preserve"> </w:t>
      </w:r>
      <w:r w:rsidRPr="000977F7">
        <w:rPr>
          <w:color w:val="auto"/>
          <w:sz w:val="20"/>
          <w:szCs w:val="20"/>
        </w:rPr>
        <w:t>ПРОЦЕСАХ</w:t>
      </w:r>
      <w:r w:rsidRPr="000977F7">
        <w:rPr>
          <w:color w:val="auto"/>
          <w:spacing w:val="1"/>
          <w:sz w:val="20"/>
          <w:szCs w:val="20"/>
        </w:rPr>
        <w:t xml:space="preserve"> </w:t>
      </w:r>
      <w:r w:rsidRPr="000977F7">
        <w:rPr>
          <w:color w:val="auto"/>
          <w:sz w:val="20"/>
          <w:szCs w:val="20"/>
        </w:rPr>
        <w:t>–</w:t>
      </w:r>
    </w:p>
    <w:p w14:paraId="02363AA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DATA</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p>
    <w:p w14:paraId="7575330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Інформація,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подана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формалізованому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вигляді,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уможливлює використовування технічних засобів 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її отримування, пересилання, зберігання, оброблення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розкривання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змісту</w:t>
      </w:r>
    </w:p>
    <w:p w14:paraId="2C33278D"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3956</w:t>
      </w:r>
      <w:r w:rsidRPr="004D2D14">
        <w:rPr>
          <w:rFonts w:asciiTheme="majorHAnsi" w:hAnsiTheme="majorHAnsi"/>
          <w:i/>
          <w:spacing w:val="1"/>
          <w:sz w:val="20"/>
          <w:szCs w:val="20"/>
          <w:lang w:val="en-US"/>
        </w:rPr>
        <w:t xml:space="preserve"> </w:t>
      </w:r>
      <w:r w:rsidRPr="004D2D14">
        <w:rPr>
          <w:rFonts w:asciiTheme="majorHAnsi" w:hAnsiTheme="majorHAnsi"/>
          <w:b/>
          <w:sz w:val="20"/>
          <w:szCs w:val="20"/>
          <w:lang w:val="en-US"/>
        </w:rPr>
        <w:t xml:space="preserve">– </w:t>
      </w:r>
      <w:r w:rsidRPr="004D2D14">
        <w:rPr>
          <w:rFonts w:asciiTheme="majorHAnsi" w:hAnsiTheme="majorHAnsi"/>
          <w:i/>
          <w:sz w:val="20"/>
          <w:szCs w:val="20"/>
          <w:lang w:val="en-US"/>
        </w:rPr>
        <w:t>2000</w:t>
      </w:r>
      <w:r w:rsidRPr="004D2D14">
        <w:rPr>
          <w:rFonts w:asciiTheme="majorHAnsi" w:hAnsiTheme="majorHAnsi"/>
          <w:i/>
          <w:spacing w:val="1"/>
          <w:sz w:val="20"/>
          <w:szCs w:val="20"/>
          <w:lang w:val="en-US"/>
        </w:rPr>
        <w:t xml:space="preserve"> </w:t>
      </w:r>
    </w:p>
    <w:p w14:paraId="418129CF"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1"/>
          <w:sz w:val="20"/>
          <w:szCs w:val="20"/>
          <w:lang w:val="en-US"/>
        </w:rPr>
      </w:pPr>
      <w:r w:rsidRPr="000977F7">
        <w:rPr>
          <w:rFonts w:asciiTheme="majorHAnsi" w:hAnsiTheme="majorHAnsi"/>
          <w:b/>
          <w:sz w:val="20"/>
          <w:szCs w:val="20"/>
        </w:rPr>
        <w:t>ДАНІ</w:t>
      </w:r>
      <w:r w:rsidRPr="004D2D14">
        <w:rPr>
          <w:rFonts w:asciiTheme="majorHAnsi" w:hAnsiTheme="majorHAnsi"/>
          <w:b/>
          <w:sz w:val="20"/>
          <w:szCs w:val="20"/>
          <w:lang w:val="en-US"/>
        </w:rPr>
        <w:t xml:space="preserve"> </w:t>
      </w:r>
      <w:r w:rsidRPr="000977F7">
        <w:rPr>
          <w:rFonts w:asciiTheme="majorHAnsi" w:hAnsiTheme="majorHAnsi"/>
          <w:b/>
          <w:sz w:val="20"/>
          <w:szCs w:val="20"/>
        </w:rPr>
        <w:t>АУДИТУ</w:t>
      </w:r>
      <w:r w:rsidRPr="004D2D14">
        <w:rPr>
          <w:rFonts w:asciiTheme="majorHAnsi" w:hAnsiTheme="majorHAnsi"/>
          <w:b/>
          <w:sz w:val="20"/>
          <w:szCs w:val="20"/>
          <w:lang w:val="en-US"/>
        </w:rPr>
        <w:t xml:space="preserve"> –</w:t>
      </w:r>
      <w:r w:rsidRPr="004D2D14">
        <w:rPr>
          <w:rFonts w:asciiTheme="majorHAnsi" w:hAnsiTheme="majorHAnsi"/>
          <w:b/>
          <w:spacing w:val="1"/>
          <w:sz w:val="20"/>
          <w:szCs w:val="20"/>
          <w:lang w:val="en-US"/>
        </w:rPr>
        <w:t xml:space="preserve"> </w:t>
      </w:r>
    </w:p>
    <w:p w14:paraId="132DBF05"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AUDIT</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FINDINGS</w:t>
      </w:r>
      <w:r w:rsidRPr="004D2D14">
        <w:rPr>
          <w:rFonts w:asciiTheme="majorHAnsi" w:hAnsiTheme="majorHAnsi"/>
          <w:spacing w:val="-10"/>
          <w:sz w:val="20"/>
          <w:szCs w:val="20"/>
          <w:lang w:val="en-US"/>
        </w:rPr>
        <w:t xml:space="preserve"> </w:t>
      </w:r>
      <w:r w:rsidRPr="004D2D14">
        <w:rPr>
          <w:rFonts w:asciiTheme="majorHAnsi" w:hAnsiTheme="majorHAnsi"/>
          <w:sz w:val="20"/>
          <w:szCs w:val="20"/>
          <w:lang w:val="en-US"/>
        </w:rPr>
        <w:t>-</w:t>
      </w:r>
    </w:p>
    <w:p w14:paraId="5D05EDF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Результати</w:t>
      </w:r>
      <w:r w:rsidRPr="000977F7">
        <w:rPr>
          <w:rFonts w:asciiTheme="majorHAnsi" w:hAnsiTheme="majorHAnsi"/>
          <w:spacing w:val="1"/>
          <w:sz w:val="20"/>
          <w:szCs w:val="20"/>
        </w:rPr>
        <w:t xml:space="preserve"> </w:t>
      </w:r>
      <w:r w:rsidRPr="000977F7">
        <w:rPr>
          <w:rFonts w:asciiTheme="majorHAnsi" w:hAnsiTheme="majorHAnsi"/>
          <w:sz w:val="20"/>
          <w:szCs w:val="20"/>
        </w:rPr>
        <w:t>оцінювання</w:t>
      </w:r>
      <w:r w:rsidRPr="000977F7">
        <w:rPr>
          <w:rFonts w:asciiTheme="majorHAnsi" w:hAnsiTheme="majorHAnsi"/>
          <w:spacing w:val="1"/>
          <w:sz w:val="20"/>
          <w:szCs w:val="20"/>
        </w:rPr>
        <w:t xml:space="preserve"> </w:t>
      </w:r>
      <w:r w:rsidRPr="000977F7">
        <w:rPr>
          <w:rFonts w:asciiTheme="majorHAnsi" w:hAnsiTheme="majorHAnsi"/>
          <w:sz w:val="20"/>
          <w:szCs w:val="20"/>
        </w:rPr>
        <w:t>зібраних</w:t>
      </w:r>
      <w:r w:rsidRPr="000977F7">
        <w:rPr>
          <w:rFonts w:asciiTheme="majorHAnsi" w:hAnsiTheme="majorHAnsi"/>
          <w:spacing w:val="1"/>
          <w:sz w:val="20"/>
          <w:szCs w:val="20"/>
        </w:rPr>
        <w:t xml:space="preserve"> </w:t>
      </w:r>
      <w:r w:rsidRPr="000977F7">
        <w:rPr>
          <w:rFonts w:asciiTheme="majorHAnsi" w:hAnsiTheme="majorHAnsi"/>
          <w:sz w:val="20"/>
          <w:szCs w:val="20"/>
        </w:rPr>
        <w:t>доказів</w:t>
      </w:r>
      <w:r w:rsidRPr="000977F7">
        <w:rPr>
          <w:rFonts w:asciiTheme="majorHAnsi" w:hAnsiTheme="majorHAnsi"/>
          <w:spacing w:val="1"/>
          <w:sz w:val="20"/>
          <w:szCs w:val="20"/>
        </w:rPr>
        <w:t xml:space="preserve"> </w:t>
      </w:r>
      <w:r w:rsidRPr="000977F7">
        <w:rPr>
          <w:rFonts w:asciiTheme="majorHAnsi" w:hAnsiTheme="majorHAnsi"/>
          <w:sz w:val="20"/>
          <w:szCs w:val="20"/>
        </w:rPr>
        <w:t>аудиту</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критеріями</w:t>
      </w:r>
      <w:r w:rsidRPr="000977F7">
        <w:rPr>
          <w:rFonts w:asciiTheme="majorHAnsi" w:hAnsiTheme="majorHAnsi"/>
          <w:spacing w:val="-2"/>
          <w:sz w:val="20"/>
          <w:szCs w:val="20"/>
        </w:rPr>
        <w:t xml:space="preserve"> </w:t>
      </w:r>
      <w:r w:rsidRPr="000977F7">
        <w:rPr>
          <w:rFonts w:asciiTheme="majorHAnsi" w:hAnsiTheme="majorHAnsi"/>
          <w:sz w:val="20"/>
          <w:szCs w:val="20"/>
        </w:rPr>
        <w:t>аудиту.</w:t>
      </w:r>
    </w:p>
    <w:p w14:paraId="478724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1"/>
          <w:sz w:val="20"/>
          <w:szCs w:val="20"/>
        </w:rPr>
        <w:t xml:space="preserve"> </w:t>
      </w:r>
      <w:r w:rsidRPr="000977F7">
        <w:rPr>
          <w:rFonts w:asciiTheme="majorHAnsi" w:hAnsiTheme="majorHAnsi"/>
          <w:sz w:val="20"/>
          <w:szCs w:val="20"/>
        </w:rPr>
        <w:t>1.</w:t>
      </w:r>
      <w:r w:rsidRPr="000977F7">
        <w:rPr>
          <w:rFonts w:asciiTheme="majorHAnsi" w:hAnsiTheme="majorHAnsi"/>
          <w:spacing w:val="1"/>
          <w:sz w:val="20"/>
          <w:szCs w:val="20"/>
        </w:rPr>
        <w:t xml:space="preserve"> </w:t>
      </w:r>
      <w:r w:rsidRPr="000977F7">
        <w:rPr>
          <w:rFonts w:asciiTheme="majorHAnsi" w:hAnsiTheme="majorHAnsi"/>
          <w:sz w:val="20"/>
          <w:szCs w:val="20"/>
        </w:rPr>
        <w:t>Дані</w:t>
      </w:r>
      <w:r w:rsidRPr="000977F7">
        <w:rPr>
          <w:rFonts w:asciiTheme="majorHAnsi" w:hAnsiTheme="majorHAnsi"/>
          <w:spacing w:val="1"/>
          <w:sz w:val="20"/>
          <w:szCs w:val="20"/>
        </w:rPr>
        <w:t xml:space="preserve"> </w:t>
      </w:r>
      <w:r w:rsidRPr="000977F7">
        <w:rPr>
          <w:rFonts w:asciiTheme="majorHAnsi" w:hAnsiTheme="majorHAnsi"/>
          <w:sz w:val="20"/>
          <w:szCs w:val="20"/>
        </w:rPr>
        <w:t>аудиту</w:t>
      </w:r>
      <w:r w:rsidRPr="000977F7">
        <w:rPr>
          <w:rFonts w:asciiTheme="majorHAnsi" w:hAnsiTheme="majorHAnsi"/>
          <w:spacing w:val="1"/>
          <w:sz w:val="20"/>
          <w:szCs w:val="20"/>
        </w:rPr>
        <w:t xml:space="preserve"> </w:t>
      </w:r>
      <w:r w:rsidRPr="000977F7">
        <w:rPr>
          <w:rFonts w:asciiTheme="majorHAnsi" w:hAnsiTheme="majorHAnsi"/>
          <w:sz w:val="20"/>
          <w:szCs w:val="20"/>
        </w:rPr>
        <w:t>вказують</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50"/>
          <w:sz w:val="20"/>
          <w:szCs w:val="20"/>
        </w:rPr>
        <w:t xml:space="preserve"> </w:t>
      </w:r>
      <w:r w:rsidRPr="000977F7">
        <w:rPr>
          <w:rFonts w:asciiTheme="majorHAnsi" w:hAnsiTheme="majorHAnsi"/>
          <w:sz w:val="20"/>
          <w:szCs w:val="20"/>
        </w:rPr>
        <w:t>відповідність</w:t>
      </w:r>
      <w:r w:rsidRPr="000977F7">
        <w:rPr>
          <w:rFonts w:asciiTheme="majorHAnsi" w:hAnsiTheme="majorHAnsi"/>
          <w:spacing w:val="-47"/>
          <w:sz w:val="20"/>
          <w:szCs w:val="20"/>
        </w:rPr>
        <w:t xml:space="preserve"> </w:t>
      </w:r>
      <w:r w:rsidRPr="000977F7">
        <w:rPr>
          <w:rFonts w:asciiTheme="majorHAnsi" w:hAnsiTheme="majorHAnsi"/>
          <w:sz w:val="20"/>
          <w:szCs w:val="20"/>
        </w:rPr>
        <w:t>або невідповідність.</w:t>
      </w:r>
    </w:p>
    <w:p w14:paraId="267EE2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2. Дані аудиту можуть зумовити до ідентифікування можливостей для поліпшування чи до реєстрування</w:t>
      </w:r>
      <w:r w:rsidRPr="000977F7">
        <w:rPr>
          <w:rFonts w:asciiTheme="majorHAnsi" w:hAnsiTheme="majorHAnsi"/>
          <w:spacing w:val="1"/>
          <w:sz w:val="20"/>
          <w:szCs w:val="20"/>
        </w:rPr>
        <w:t xml:space="preserve"> </w:t>
      </w:r>
      <w:r w:rsidRPr="000977F7">
        <w:rPr>
          <w:rFonts w:asciiTheme="majorHAnsi" w:hAnsiTheme="majorHAnsi"/>
          <w:sz w:val="20"/>
          <w:szCs w:val="20"/>
        </w:rPr>
        <w:t>належних</w:t>
      </w:r>
      <w:r w:rsidRPr="000977F7">
        <w:rPr>
          <w:rFonts w:asciiTheme="majorHAnsi" w:hAnsiTheme="majorHAnsi"/>
          <w:spacing w:val="-1"/>
          <w:sz w:val="20"/>
          <w:szCs w:val="20"/>
        </w:rPr>
        <w:t xml:space="preserve"> </w:t>
      </w:r>
      <w:r w:rsidRPr="000977F7">
        <w:rPr>
          <w:rFonts w:asciiTheme="majorHAnsi" w:hAnsiTheme="majorHAnsi"/>
          <w:sz w:val="20"/>
          <w:szCs w:val="20"/>
        </w:rPr>
        <w:t>практик.</w:t>
      </w:r>
    </w:p>
    <w:p w14:paraId="6CB9032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3. В англійській мові у разі, якщо критерії</w:t>
      </w:r>
      <w:r w:rsidRPr="000977F7">
        <w:rPr>
          <w:rFonts w:asciiTheme="majorHAnsi" w:hAnsiTheme="majorHAnsi"/>
          <w:spacing w:val="1"/>
          <w:sz w:val="20"/>
          <w:szCs w:val="20"/>
        </w:rPr>
        <w:t xml:space="preserve"> </w:t>
      </w:r>
      <w:r w:rsidRPr="000977F7">
        <w:rPr>
          <w:rFonts w:asciiTheme="majorHAnsi" w:hAnsiTheme="majorHAnsi"/>
          <w:sz w:val="20"/>
          <w:szCs w:val="20"/>
        </w:rPr>
        <w:t>аудиту вибирають із законодавчих вимог</w:t>
      </w:r>
      <w:r w:rsidRPr="000977F7">
        <w:rPr>
          <w:rFonts w:asciiTheme="majorHAnsi" w:hAnsiTheme="majorHAnsi"/>
          <w:spacing w:val="1"/>
          <w:sz w:val="20"/>
          <w:szCs w:val="20"/>
        </w:rPr>
        <w:t xml:space="preserve"> </w:t>
      </w:r>
      <w:r w:rsidRPr="000977F7">
        <w:rPr>
          <w:rFonts w:asciiTheme="majorHAnsi" w:hAnsiTheme="majorHAnsi"/>
          <w:sz w:val="20"/>
          <w:szCs w:val="20"/>
        </w:rPr>
        <w:t>або регламентувальних вимог, то дані аудиту можна називати</w:t>
      </w:r>
      <w:r w:rsidRPr="000977F7">
        <w:rPr>
          <w:rFonts w:asciiTheme="majorHAnsi" w:hAnsiTheme="majorHAnsi"/>
          <w:spacing w:val="1"/>
          <w:sz w:val="20"/>
          <w:szCs w:val="20"/>
        </w:rPr>
        <w:t xml:space="preserve"> </w:t>
      </w:r>
      <w:r w:rsidRPr="000977F7">
        <w:rPr>
          <w:rFonts w:asciiTheme="majorHAnsi" w:hAnsiTheme="majorHAnsi"/>
          <w:sz w:val="20"/>
          <w:szCs w:val="20"/>
        </w:rPr>
        <w:t>"дотримання"</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"недотримання".</w:t>
      </w:r>
    </w:p>
    <w:p w14:paraId="10BA478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555702F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ДАТА ПРІОРИТЕТУ –</w:t>
      </w:r>
    </w:p>
    <w:p w14:paraId="0618F641"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 xml:space="preserve">Дата подання заявки до НОІВ або відповідного органу держави – учасниці </w:t>
      </w:r>
      <w:hyperlink r:id="rId15" w:tgtFrame="_blank" w:history="1">
        <w:r w:rsidRPr="000977F7">
          <w:rPr>
            <w:b w:val="0"/>
            <w:bCs/>
            <w:color w:val="auto"/>
            <w:sz w:val="20"/>
            <w:szCs w:val="20"/>
          </w:rPr>
          <w:t>Паризької конвенції про охорону промислової власності</w:t>
        </w:r>
      </w:hyperlink>
      <w:r w:rsidRPr="000977F7">
        <w:rPr>
          <w:b w:val="0"/>
          <w:bCs/>
          <w:color w:val="auto"/>
          <w:sz w:val="20"/>
          <w:szCs w:val="20"/>
        </w:rPr>
        <w:t xml:space="preserve"> чи </w:t>
      </w:r>
      <w:hyperlink r:id="rId16" w:tgtFrame="_blank" w:history="1">
        <w:r w:rsidRPr="000977F7">
          <w:rPr>
            <w:b w:val="0"/>
            <w:bCs/>
            <w:color w:val="auto"/>
            <w:sz w:val="20"/>
            <w:szCs w:val="20"/>
          </w:rPr>
          <w:t>Угоди про заснування Світової організації торгівлі</w:t>
        </w:r>
      </w:hyperlink>
      <w:r w:rsidRPr="000977F7">
        <w:rPr>
          <w:b w:val="0"/>
          <w:bCs/>
          <w:color w:val="auto"/>
          <w:sz w:val="20"/>
          <w:szCs w:val="20"/>
        </w:rPr>
        <w:t>, за якою заявлено пріоритет</w:t>
      </w:r>
    </w:p>
    <w:p w14:paraId="06ABC427"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"Про охорону прав на промислові зразки"</w:t>
      </w:r>
    </w:p>
    <w:p w14:paraId="0690C9E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ДВІЙКОВИЙ</w:t>
      </w:r>
      <w:r w:rsidRPr="000977F7">
        <w:rPr>
          <w:color w:val="auto"/>
          <w:spacing w:val="-3"/>
          <w:sz w:val="20"/>
          <w:szCs w:val="20"/>
        </w:rPr>
        <w:t xml:space="preserve"> </w:t>
      </w:r>
      <w:r w:rsidRPr="000977F7">
        <w:rPr>
          <w:color w:val="auto"/>
          <w:sz w:val="20"/>
          <w:szCs w:val="20"/>
        </w:rPr>
        <w:t>СИГНАЛ –</w:t>
      </w:r>
    </w:p>
    <w:p w14:paraId="7B9EBCE4"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4D2D14">
        <w:rPr>
          <w:rFonts w:asciiTheme="majorHAnsi" w:hAnsiTheme="majorHAnsi"/>
          <w:sz w:val="20"/>
          <w:szCs w:val="20"/>
          <w:lang w:val="en-US"/>
        </w:rPr>
        <w:t>BINARY SIGNAL;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 xml:space="preserve">ON </w:t>
      </w:r>
      <w:r w:rsidRPr="004D2D14">
        <w:rPr>
          <w:rFonts w:asciiTheme="majorHAnsi" w:hAnsiTheme="majorHAnsi"/>
          <w:b/>
          <w:sz w:val="20"/>
          <w:szCs w:val="20"/>
          <w:lang w:val="en-US"/>
        </w:rPr>
        <w:t>–</w:t>
      </w:r>
      <w:r w:rsidRPr="004D2D14">
        <w:rPr>
          <w:rFonts w:asciiTheme="majorHAnsi" w:hAnsiTheme="majorHAnsi"/>
          <w:b/>
          <w:spacing w:val="-1"/>
          <w:sz w:val="20"/>
          <w:szCs w:val="20"/>
          <w:lang w:val="en-US"/>
        </w:rPr>
        <w:t xml:space="preserve"> </w:t>
      </w:r>
      <w:r w:rsidRPr="004D2D14">
        <w:rPr>
          <w:rFonts w:asciiTheme="majorHAnsi" w:hAnsiTheme="majorHAnsi"/>
          <w:sz w:val="20"/>
          <w:szCs w:val="20"/>
          <w:lang w:val="en-US"/>
        </w:rPr>
        <w:t>OFF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SIGNAL</w:t>
      </w:r>
      <w:r w:rsidRPr="004D2D14">
        <w:rPr>
          <w:rFonts w:asciiTheme="majorHAnsi" w:hAnsiTheme="majorHAnsi"/>
          <w:spacing w:val="-2"/>
          <w:sz w:val="20"/>
          <w:szCs w:val="20"/>
          <w:lang w:val="en-US"/>
        </w:rPr>
        <w:t xml:space="preserve"> </w:t>
      </w:r>
      <w:r w:rsidRPr="004D2D14">
        <w:rPr>
          <w:rFonts w:asciiTheme="majorHAnsi" w:hAnsiTheme="majorHAnsi"/>
          <w:b/>
          <w:sz w:val="20"/>
          <w:szCs w:val="20"/>
          <w:lang w:val="en-US"/>
        </w:rPr>
        <w:t>–</w:t>
      </w:r>
    </w:p>
    <w:p w14:paraId="13C1817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Дискретний</w:t>
      </w:r>
      <w:r w:rsidRPr="000977F7">
        <w:rPr>
          <w:rFonts w:asciiTheme="majorHAnsi" w:hAnsiTheme="majorHAnsi"/>
          <w:spacing w:val="6"/>
          <w:sz w:val="20"/>
          <w:szCs w:val="20"/>
        </w:rPr>
        <w:t xml:space="preserve"> </w:t>
      </w:r>
      <w:r w:rsidRPr="000977F7">
        <w:rPr>
          <w:rFonts w:asciiTheme="majorHAnsi" w:hAnsiTheme="majorHAnsi"/>
          <w:sz w:val="20"/>
          <w:szCs w:val="20"/>
        </w:rPr>
        <w:t>сигнал,</w:t>
      </w:r>
      <w:r w:rsidRPr="000977F7">
        <w:rPr>
          <w:rFonts w:asciiTheme="majorHAnsi" w:hAnsiTheme="majorHAnsi"/>
          <w:spacing w:val="7"/>
          <w:sz w:val="20"/>
          <w:szCs w:val="20"/>
        </w:rPr>
        <w:t xml:space="preserve"> </w:t>
      </w:r>
      <w:r w:rsidRPr="000977F7">
        <w:rPr>
          <w:rFonts w:asciiTheme="majorHAnsi" w:hAnsiTheme="majorHAnsi"/>
          <w:sz w:val="20"/>
          <w:szCs w:val="20"/>
        </w:rPr>
        <w:t>інформативний</w:t>
      </w:r>
      <w:r w:rsidRPr="000977F7">
        <w:rPr>
          <w:rFonts w:asciiTheme="majorHAnsi" w:hAnsiTheme="majorHAnsi"/>
          <w:spacing w:val="8"/>
          <w:sz w:val="20"/>
          <w:szCs w:val="20"/>
        </w:rPr>
        <w:t xml:space="preserve"> </w:t>
      </w:r>
      <w:r w:rsidRPr="000977F7">
        <w:rPr>
          <w:rFonts w:asciiTheme="majorHAnsi" w:hAnsiTheme="majorHAnsi"/>
          <w:sz w:val="20"/>
          <w:szCs w:val="20"/>
        </w:rPr>
        <w:t>параметр</w:t>
      </w:r>
      <w:r w:rsidRPr="000977F7">
        <w:rPr>
          <w:rFonts w:asciiTheme="majorHAnsi" w:hAnsiTheme="majorHAnsi"/>
          <w:spacing w:val="8"/>
          <w:sz w:val="20"/>
          <w:szCs w:val="20"/>
        </w:rPr>
        <w:t xml:space="preserve"> </w:t>
      </w:r>
      <w:r w:rsidRPr="000977F7">
        <w:rPr>
          <w:rFonts w:asciiTheme="majorHAnsi" w:hAnsiTheme="majorHAnsi"/>
          <w:sz w:val="20"/>
          <w:szCs w:val="20"/>
        </w:rPr>
        <w:t>якого</w:t>
      </w:r>
      <w:r w:rsidRPr="000977F7">
        <w:rPr>
          <w:rFonts w:asciiTheme="majorHAnsi" w:hAnsiTheme="majorHAnsi"/>
          <w:spacing w:val="-47"/>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набувати</w:t>
      </w:r>
      <w:r w:rsidRPr="000977F7">
        <w:rPr>
          <w:rFonts w:asciiTheme="majorHAnsi" w:hAnsiTheme="majorHAnsi"/>
          <w:spacing w:val="-1"/>
          <w:sz w:val="20"/>
          <w:szCs w:val="20"/>
        </w:rPr>
        <w:t xml:space="preserve"> </w:t>
      </w:r>
      <w:r w:rsidRPr="000977F7">
        <w:rPr>
          <w:rFonts w:asciiTheme="majorHAnsi" w:hAnsiTheme="majorHAnsi"/>
          <w:sz w:val="20"/>
          <w:szCs w:val="20"/>
        </w:rPr>
        <w:t>два значення</w:t>
      </w:r>
    </w:p>
    <w:p w14:paraId="018FCDC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4D528B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Аналогічним</w:t>
      </w:r>
      <w:r w:rsidRPr="000977F7">
        <w:rPr>
          <w:rFonts w:asciiTheme="majorHAnsi" w:hAnsiTheme="majorHAnsi"/>
          <w:spacing w:val="13"/>
          <w:sz w:val="20"/>
          <w:szCs w:val="20"/>
        </w:rPr>
        <w:t xml:space="preserve"> </w:t>
      </w:r>
      <w:r w:rsidRPr="000977F7">
        <w:rPr>
          <w:rFonts w:asciiTheme="majorHAnsi" w:hAnsiTheme="majorHAnsi"/>
          <w:sz w:val="20"/>
          <w:szCs w:val="20"/>
        </w:rPr>
        <w:t>чином</w:t>
      </w:r>
      <w:r w:rsidRPr="000977F7">
        <w:rPr>
          <w:rFonts w:asciiTheme="majorHAnsi" w:hAnsiTheme="majorHAnsi"/>
          <w:spacing w:val="13"/>
          <w:sz w:val="20"/>
          <w:szCs w:val="20"/>
        </w:rPr>
        <w:t xml:space="preserve"> </w:t>
      </w:r>
      <w:r w:rsidRPr="000977F7">
        <w:rPr>
          <w:rFonts w:asciiTheme="majorHAnsi" w:hAnsiTheme="majorHAnsi"/>
          <w:sz w:val="20"/>
          <w:szCs w:val="20"/>
        </w:rPr>
        <w:t>визначається</w:t>
      </w:r>
      <w:r w:rsidRPr="000977F7">
        <w:rPr>
          <w:rFonts w:asciiTheme="majorHAnsi" w:hAnsiTheme="majorHAnsi"/>
          <w:spacing w:val="12"/>
          <w:sz w:val="20"/>
          <w:szCs w:val="20"/>
        </w:rPr>
        <w:t xml:space="preserve"> </w:t>
      </w:r>
      <w:r w:rsidRPr="000977F7">
        <w:rPr>
          <w:rFonts w:asciiTheme="majorHAnsi" w:hAnsiTheme="majorHAnsi"/>
          <w:sz w:val="20"/>
          <w:szCs w:val="20"/>
        </w:rPr>
        <w:t>n-ковий</w:t>
      </w:r>
      <w:r w:rsidRPr="000977F7">
        <w:rPr>
          <w:rFonts w:asciiTheme="majorHAnsi" w:hAnsiTheme="majorHAnsi"/>
          <w:spacing w:val="11"/>
          <w:sz w:val="20"/>
          <w:szCs w:val="20"/>
        </w:rPr>
        <w:t xml:space="preserve"> </w:t>
      </w:r>
      <w:r w:rsidRPr="000977F7">
        <w:rPr>
          <w:rFonts w:asciiTheme="majorHAnsi" w:hAnsiTheme="majorHAnsi"/>
          <w:sz w:val="20"/>
          <w:szCs w:val="20"/>
        </w:rPr>
        <w:t>сигнал</w:t>
      </w:r>
      <w:r w:rsidRPr="000977F7">
        <w:rPr>
          <w:rFonts w:asciiTheme="majorHAnsi" w:hAnsiTheme="majorHAnsi"/>
          <w:spacing w:val="13"/>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трійковий,</w:t>
      </w:r>
      <w:r w:rsidRPr="000977F7">
        <w:rPr>
          <w:rFonts w:asciiTheme="majorHAnsi" w:hAnsiTheme="majorHAnsi"/>
          <w:spacing w:val="-1"/>
          <w:sz w:val="20"/>
          <w:szCs w:val="20"/>
        </w:rPr>
        <w:t xml:space="preserve"> </w:t>
      </w:r>
      <w:r w:rsidRPr="000977F7">
        <w:rPr>
          <w:rFonts w:asciiTheme="majorHAnsi" w:hAnsiTheme="majorHAnsi"/>
          <w:sz w:val="20"/>
          <w:szCs w:val="20"/>
        </w:rPr>
        <w:t>десятковий</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00872EBA"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3956</w:t>
      </w:r>
      <w:r w:rsidRPr="004D2D14">
        <w:rPr>
          <w:rFonts w:asciiTheme="majorHAnsi" w:hAnsiTheme="majorHAnsi"/>
          <w:i/>
          <w:spacing w:val="1"/>
          <w:sz w:val="20"/>
          <w:szCs w:val="20"/>
          <w:lang w:val="en-US"/>
        </w:rPr>
        <w:t xml:space="preserve"> </w:t>
      </w:r>
      <w:r w:rsidRPr="004D2D14">
        <w:rPr>
          <w:rFonts w:asciiTheme="majorHAnsi" w:hAnsiTheme="majorHAnsi"/>
          <w:b/>
          <w:sz w:val="20"/>
          <w:szCs w:val="20"/>
          <w:lang w:val="en-US"/>
        </w:rPr>
        <w:t xml:space="preserve">– </w:t>
      </w:r>
      <w:r w:rsidRPr="004D2D14">
        <w:rPr>
          <w:rFonts w:asciiTheme="majorHAnsi" w:hAnsiTheme="majorHAnsi"/>
          <w:i/>
          <w:sz w:val="20"/>
          <w:szCs w:val="20"/>
          <w:lang w:val="en-US"/>
        </w:rPr>
        <w:t>2000</w:t>
      </w:r>
    </w:p>
    <w:p w14:paraId="5D18506C" w14:textId="77777777" w:rsidR="0097612F" w:rsidRPr="004D2D14" w:rsidRDefault="0097612F" w:rsidP="000977F7">
      <w:pPr>
        <w:tabs>
          <w:tab w:val="left" w:pos="284"/>
        </w:tabs>
        <w:spacing w:after="0" w:line="240" w:lineRule="auto"/>
        <w:ind w:left="170"/>
        <w:mirrorIndents/>
        <w:jc w:val="both"/>
        <w:rPr>
          <w:rFonts w:asciiTheme="majorHAnsi" w:hAnsiTheme="majorHAnsi"/>
          <w:spacing w:val="1"/>
          <w:sz w:val="20"/>
          <w:szCs w:val="20"/>
          <w:lang w:val="en-US"/>
        </w:rPr>
      </w:pPr>
      <w:r w:rsidRPr="000977F7">
        <w:rPr>
          <w:rFonts w:asciiTheme="majorHAnsi" w:hAnsiTheme="majorHAnsi"/>
          <w:b/>
          <w:sz w:val="20"/>
          <w:szCs w:val="20"/>
        </w:rPr>
        <w:t>ДВОСТОРОННЯ</w:t>
      </w:r>
      <w:r w:rsidRPr="004D2D14">
        <w:rPr>
          <w:rFonts w:asciiTheme="majorHAnsi" w:hAnsiTheme="majorHAnsi"/>
          <w:b/>
          <w:spacing w:val="-2"/>
          <w:sz w:val="20"/>
          <w:szCs w:val="20"/>
          <w:lang w:val="en-US"/>
        </w:rPr>
        <w:t xml:space="preserve"> </w:t>
      </w:r>
      <w:r w:rsidRPr="000977F7">
        <w:rPr>
          <w:rFonts w:asciiTheme="majorHAnsi" w:hAnsiTheme="majorHAnsi"/>
          <w:b/>
          <w:sz w:val="20"/>
          <w:szCs w:val="20"/>
        </w:rPr>
        <w:t>УГОДА</w:t>
      </w:r>
      <w:r w:rsidRPr="004D2D14">
        <w:rPr>
          <w:rFonts w:asciiTheme="majorHAnsi" w:hAnsiTheme="majorHAnsi"/>
          <w:b/>
          <w:spacing w:val="2"/>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p>
    <w:p w14:paraId="08D2184E"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BILATERAL</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ARRANGEMENT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7EFB26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Угода, за якою дві сторони визнають чи схвалюють</w:t>
      </w:r>
      <w:r w:rsidRPr="000977F7">
        <w:rPr>
          <w:rFonts w:asciiTheme="majorHAnsi" w:hAnsiTheme="majorHAnsi"/>
          <w:spacing w:val="1"/>
          <w:sz w:val="20"/>
          <w:szCs w:val="20"/>
        </w:rPr>
        <w:t xml:space="preserve"> </w:t>
      </w:r>
      <w:r w:rsidRPr="000977F7">
        <w:rPr>
          <w:rFonts w:asciiTheme="majorHAnsi" w:hAnsiTheme="majorHAnsi"/>
          <w:sz w:val="20"/>
          <w:szCs w:val="20"/>
        </w:rPr>
        <w:t>результати</w:t>
      </w:r>
      <w:r w:rsidRPr="000977F7">
        <w:rPr>
          <w:rFonts w:asciiTheme="majorHAnsi" w:hAnsiTheme="majorHAnsi"/>
          <w:spacing w:val="1"/>
          <w:sz w:val="20"/>
          <w:szCs w:val="20"/>
        </w:rPr>
        <w:t xml:space="preserve"> </w:t>
      </w:r>
      <w:r w:rsidRPr="000977F7">
        <w:rPr>
          <w:rFonts w:asciiTheme="majorHAnsi" w:hAnsiTheme="majorHAnsi"/>
          <w:sz w:val="20"/>
          <w:szCs w:val="20"/>
        </w:rPr>
        <w:t>оцінювання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отримані</w:t>
      </w:r>
      <w:r w:rsidRPr="000977F7">
        <w:rPr>
          <w:rFonts w:asciiTheme="majorHAnsi" w:hAnsiTheme="majorHAnsi"/>
          <w:spacing w:val="1"/>
          <w:sz w:val="20"/>
          <w:szCs w:val="20"/>
        </w:rPr>
        <w:t xml:space="preserve"> </w:t>
      </w:r>
      <w:r w:rsidRPr="000977F7">
        <w:rPr>
          <w:rFonts w:asciiTheme="majorHAnsi" w:hAnsiTheme="majorHAnsi"/>
          <w:sz w:val="20"/>
          <w:szCs w:val="20"/>
        </w:rPr>
        <w:t>кожною</w:t>
      </w:r>
      <w:r w:rsidRPr="000977F7">
        <w:rPr>
          <w:rFonts w:asciiTheme="majorHAnsi" w:hAnsiTheme="majorHAnsi"/>
          <w:spacing w:val="-1"/>
          <w:sz w:val="20"/>
          <w:szCs w:val="20"/>
        </w:rPr>
        <w:t xml:space="preserve"> </w:t>
      </w:r>
      <w:r w:rsidRPr="000977F7">
        <w:rPr>
          <w:rFonts w:asciiTheme="majorHAnsi" w:hAnsiTheme="majorHAnsi"/>
          <w:sz w:val="20"/>
          <w:szCs w:val="20"/>
        </w:rPr>
        <w:t>зі сторін</w:t>
      </w:r>
    </w:p>
    <w:p w14:paraId="03FC1A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7"/>
          <w:w w:val="95"/>
          <w:sz w:val="20"/>
          <w:szCs w:val="20"/>
        </w:rPr>
        <w:t>ДСТУISO/IEC</w:t>
      </w:r>
      <w:r w:rsidRPr="000977F7">
        <w:rPr>
          <w:rFonts w:asciiTheme="majorHAnsi" w:hAnsiTheme="majorHAnsi"/>
          <w:spacing w:val="-27"/>
          <w:w w:val="95"/>
          <w:sz w:val="20"/>
          <w:szCs w:val="20"/>
        </w:rPr>
        <w:t xml:space="preserve"> </w:t>
      </w:r>
      <w:r w:rsidRPr="000977F7">
        <w:rPr>
          <w:rFonts w:asciiTheme="majorHAnsi" w:hAnsiTheme="majorHAnsi"/>
          <w:spacing w:val="-6"/>
          <w:w w:val="95"/>
          <w:sz w:val="20"/>
          <w:szCs w:val="20"/>
        </w:rPr>
        <w:t>17000:2007</w:t>
      </w:r>
    </w:p>
    <w:p w14:paraId="797E45D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ДВОСТОРОННЬО</w:t>
      </w:r>
      <w:r w:rsidRPr="000977F7">
        <w:rPr>
          <w:color w:val="auto"/>
          <w:spacing w:val="-13"/>
          <w:sz w:val="20"/>
          <w:szCs w:val="20"/>
        </w:rPr>
        <w:t xml:space="preserve"> </w:t>
      </w:r>
      <w:r w:rsidRPr="000977F7">
        <w:rPr>
          <w:color w:val="auto"/>
          <w:sz w:val="20"/>
          <w:szCs w:val="20"/>
        </w:rPr>
        <w:t>ГАРМОНІЗОВАНІ</w:t>
      </w:r>
      <w:r w:rsidRPr="000977F7">
        <w:rPr>
          <w:color w:val="auto"/>
          <w:spacing w:val="-47"/>
          <w:sz w:val="20"/>
          <w:szCs w:val="20"/>
        </w:rPr>
        <w:t xml:space="preserve"> </w:t>
      </w:r>
      <w:r w:rsidRPr="000977F7">
        <w:rPr>
          <w:color w:val="auto"/>
          <w:sz w:val="20"/>
          <w:szCs w:val="20"/>
        </w:rPr>
        <w:t>СТАНДАРТИ –</w:t>
      </w:r>
    </w:p>
    <w:p w14:paraId="7C4A531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BILATERALLY</w:t>
      </w:r>
      <w:r w:rsidRPr="004D2D14">
        <w:rPr>
          <w:rFonts w:asciiTheme="majorHAnsi" w:hAnsiTheme="majorHAnsi"/>
          <w:spacing w:val="-4"/>
          <w:sz w:val="20"/>
          <w:szCs w:val="20"/>
          <w:lang w:val="uk-UA"/>
        </w:rPr>
        <w:t xml:space="preserve"> </w:t>
      </w:r>
      <w:r w:rsidRPr="000977F7">
        <w:rPr>
          <w:rFonts w:asciiTheme="majorHAnsi" w:hAnsiTheme="majorHAnsi"/>
          <w:sz w:val="20"/>
          <w:szCs w:val="20"/>
        </w:rPr>
        <w:t>HARMONIZED</w:t>
      </w:r>
      <w:r w:rsidRPr="004D2D14">
        <w:rPr>
          <w:rFonts w:asciiTheme="majorHAnsi" w:hAnsiTheme="majorHAnsi"/>
          <w:spacing w:val="-4"/>
          <w:sz w:val="20"/>
          <w:szCs w:val="20"/>
          <w:lang w:val="uk-UA"/>
        </w:rPr>
        <w:t xml:space="preserve"> </w:t>
      </w:r>
      <w:r w:rsidRPr="000977F7">
        <w:rPr>
          <w:rFonts w:asciiTheme="majorHAnsi" w:hAnsiTheme="majorHAnsi"/>
          <w:sz w:val="20"/>
          <w:szCs w:val="20"/>
        </w:rPr>
        <w:t>STANDARDS</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4A63BC9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Стандарти,</w:t>
      </w:r>
      <w:r w:rsidRPr="004D2D14">
        <w:rPr>
          <w:rFonts w:asciiTheme="majorHAnsi" w:hAnsiTheme="majorHAnsi"/>
          <w:spacing w:val="40"/>
          <w:sz w:val="20"/>
          <w:szCs w:val="20"/>
          <w:lang w:val="uk-UA"/>
        </w:rPr>
        <w:t xml:space="preserve"> </w:t>
      </w:r>
      <w:r w:rsidRPr="004D2D14">
        <w:rPr>
          <w:rFonts w:asciiTheme="majorHAnsi" w:hAnsiTheme="majorHAnsi"/>
          <w:sz w:val="20"/>
          <w:szCs w:val="20"/>
          <w:lang w:val="uk-UA"/>
        </w:rPr>
        <w:t>гармонізовані</w:t>
      </w:r>
      <w:r w:rsidRPr="004D2D14">
        <w:rPr>
          <w:rFonts w:asciiTheme="majorHAnsi" w:hAnsiTheme="majorHAnsi"/>
          <w:spacing w:val="41"/>
          <w:sz w:val="20"/>
          <w:szCs w:val="20"/>
          <w:lang w:val="uk-UA"/>
        </w:rPr>
        <w:t xml:space="preserve"> </w:t>
      </w:r>
      <w:r w:rsidRPr="004D2D14">
        <w:rPr>
          <w:rFonts w:asciiTheme="majorHAnsi" w:hAnsiTheme="majorHAnsi"/>
          <w:sz w:val="20"/>
          <w:szCs w:val="20"/>
          <w:lang w:val="uk-UA"/>
        </w:rPr>
        <w:t>між</w:t>
      </w:r>
      <w:r w:rsidRPr="004D2D14">
        <w:rPr>
          <w:rFonts w:asciiTheme="majorHAnsi" w:hAnsiTheme="majorHAnsi"/>
          <w:spacing w:val="41"/>
          <w:sz w:val="20"/>
          <w:szCs w:val="20"/>
          <w:lang w:val="uk-UA"/>
        </w:rPr>
        <w:t xml:space="preserve"> </w:t>
      </w:r>
      <w:r w:rsidRPr="004D2D14">
        <w:rPr>
          <w:rFonts w:asciiTheme="majorHAnsi" w:hAnsiTheme="majorHAnsi"/>
          <w:sz w:val="20"/>
          <w:szCs w:val="20"/>
          <w:lang w:val="uk-UA"/>
        </w:rPr>
        <w:t>двома</w:t>
      </w:r>
      <w:r w:rsidRPr="004D2D14">
        <w:rPr>
          <w:rFonts w:asciiTheme="majorHAnsi" w:hAnsiTheme="majorHAnsi"/>
          <w:spacing w:val="41"/>
          <w:sz w:val="20"/>
          <w:szCs w:val="20"/>
          <w:lang w:val="uk-UA"/>
        </w:rPr>
        <w:t xml:space="preserve"> </w:t>
      </w:r>
      <w:r w:rsidRPr="004D2D14">
        <w:rPr>
          <w:rFonts w:asciiTheme="majorHAnsi" w:hAnsiTheme="majorHAnsi"/>
          <w:sz w:val="20"/>
          <w:szCs w:val="20"/>
          <w:lang w:val="uk-UA"/>
        </w:rPr>
        <w:t>органами</w:t>
      </w:r>
      <w:r w:rsidRPr="004D2D14">
        <w:rPr>
          <w:rFonts w:asciiTheme="majorHAnsi" w:hAnsiTheme="majorHAnsi"/>
          <w:spacing w:val="41"/>
          <w:sz w:val="20"/>
          <w:szCs w:val="20"/>
          <w:lang w:val="uk-UA"/>
        </w:rPr>
        <w:t xml:space="preserve"> </w:t>
      </w:r>
      <w:r w:rsidRPr="004D2D14">
        <w:rPr>
          <w:rFonts w:asciiTheme="majorHAnsi" w:hAnsiTheme="majorHAnsi"/>
          <w:sz w:val="20"/>
          <w:szCs w:val="20"/>
          <w:lang w:val="uk-UA"/>
        </w:rPr>
        <w:t>стандартизації</w:t>
      </w:r>
    </w:p>
    <w:p w14:paraId="6F465E6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ДВОСТУПІНЧАТИЙ</w:t>
      </w:r>
      <w:r w:rsidRPr="000977F7">
        <w:rPr>
          <w:color w:val="auto"/>
          <w:spacing w:val="-9"/>
          <w:sz w:val="20"/>
          <w:szCs w:val="20"/>
        </w:rPr>
        <w:t xml:space="preserve"> </w:t>
      </w:r>
      <w:r w:rsidRPr="000977F7">
        <w:rPr>
          <w:color w:val="auto"/>
          <w:sz w:val="20"/>
          <w:szCs w:val="20"/>
        </w:rPr>
        <w:t>ПЛАН</w:t>
      </w:r>
      <w:r w:rsidRPr="000977F7">
        <w:rPr>
          <w:color w:val="auto"/>
          <w:spacing w:val="-8"/>
          <w:sz w:val="20"/>
          <w:szCs w:val="20"/>
        </w:rPr>
        <w:t xml:space="preserve"> </w:t>
      </w:r>
      <w:r w:rsidRPr="000977F7">
        <w:rPr>
          <w:color w:val="auto"/>
          <w:sz w:val="20"/>
          <w:szCs w:val="20"/>
        </w:rPr>
        <w:t>ВИБІРКОВОГО</w:t>
      </w:r>
      <w:r w:rsidRPr="000977F7">
        <w:rPr>
          <w:color w:val="auto"/>
          <w:spacing w:val="-47"/>
          <w:sz w:val="20"/>
          <w:szCs w:val="20"/>
        </w:rPr>
        <w:t xml:space="preserve"> </w:t>
      </w:r>
      <w:r w:rsidRPr="000977F7">
        <w:rPr>
          <w:color w:val="auto"/>
          <w:sz w:val="20"/>
          <w:szCs w:val="20"/>
        </w:rPr>
        <w:t>КОНТРОЛЮ</w:t>
      </w:r>
      <w:r w:rsidRPr="000977F7">
        <w:rPr>
          <w:color w:val="auto"/>
          <w:spacing w:val="-1"/>
          <w:sz w:val="20"/>
          <w:szCs w:val="20"/>
        </w:rPr>
        <w:t xml:space="preserve"> </w:t>
      </w:r>
      <w:r w:rsidRPr="000977F7">
        <w:rPr>
          <w:color w:val="auto"/>
          <w:sz w:val="20"/>
          <w:szCs w:val="20"/>
        </w:rPr>
        <w:t>–</w:t>
      </w:r>
    </w:p>
    <w:p w14:paraId="79A020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DOUBLE</w:t>
      </w:r>
      <w:r w:rsidRPr="000977F7">
        <w:rPr>
          <w:rFonts w:asciiTheme="majorHAnsi" w:hAnsiTheme="majorHAnsi"/>
          <w:spacing w:val="-3"/>
          <w:sz w:val="20"/>
          <w:szCs w:val="20"/>
        </w:rPr>
        <w:t xml:space="preserve"> </w:t>
      </w:r>
      <w:r w:rsidRPr="000977F7">
        <w:rPr>
          <w:rFonts w:asciiTheme="majorHAnsi" w:hAnsiTheme="majorHAnsi"/>
          <w:sz w:val="20"/>
          <w:szCs w:val="20"/>
        </w:rPr>
        <w:t>SAMPLING</w:t>
      </w:r>
      <w:r w:rsidRPr="000977F7">
        <w:rPr>
          <w:rFonts w:asciiTheme="majorHAnsi" w:hAnsiTheme="majorHAnsi"/>
          <w:spacing w:val="-3"/>
          <w:sz w:val="20"/>
          <w:szCs w:val="20"/>
        </w:rPr>
        <w:t xml:space="preserve"> </w:t>
      </w:r>
      <w:r w:rsidRPr="000977F7">
        <w:rPr>
          <w:rFonts w:asciiTheme="majorHAnsi" w:hAnsiTheme="majorHAnsi"/>
          <w:sz w:val="20"/>
          <w:szCs w:val="20"/>
        </w:rPr>
        <w:t>PLAN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F0630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План</w:t>
      </w:r>
      <w:r w:rsidRPr="000977F7">
        <w:rPr>
          <w:rFonts w:asciiTheme="majorHAnsi" w:hAnsiTheme="majorHAnsi"/>
          <w:spacing w:val="1"/>
          <w:sz w:val="20"/>
          <w:szCs w:val="20"/>
        </w:rPr>
        <w:t xml:space="preserve"> </w:t>
      </w:r>
      <w:r w:rsidRPr="000977F7">
        <w:rPr>
          <w:rFonts w:asciiTheme="majorHAnsi" w:hAnsiTheme="majorHAnsi"/>
          <w:sz w:val="20"/>
          <w:szCs w:val="20"/>
        </w:rPr>
        <w:t>вибіркового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характеризується</w:t>
      </w:r>
      <w:r w:rsidRPr="000977F7">
        <w:rPr>
          <w:rFonts w:asciiTheme="majorHAnsi" w:hAnsiTheme="majorHAnsi"/>
          <w:spacing w:val="-47"/>
          <w:sz w:val="20"/>
          <w:szCs w:val="20"/>
        </w:rPr>
        <w:t xml:space="preserve"> </w:t>
      </w:r>
      <w:r w:rsidRPr="000977F7">
        <w:rPr>
          <w:rFonts w:asciiTheme="majorHAnsi" w:hAnsiTheme="majorHAnsi"/>
          <w:sz w:val="20"/>
          <w:szCs w:val="20"/>
        </w:rPr>
        <w:t>тим, що рішення відносно приймання партії продукції</w:t>
      </w:r>
      <w:r w:rsidRPr="000977F7">
        <w:rPr>
          <w:rFonts w:asciiTheme="majorHAnsi" w:hAnsiTheme="majorHAnsi"/>
          <w:spacing w:val="-47"/>
          <w:sz w:val="20"/>
          <w:szCs w:val="20"/>
        </w:rPr>
        <w:t xml:space="preserve"> </w:t>
      </w:r>
      <w:r w:rsidRPr="000977F7">
        <w:rPr>
          <w:rFonts w:asciiTheme="majorHAnsi" w:hAnsiTheme="majorHAnsi"/>
          <w:sz w:val="20"/>
          <w:szCs w:val="20"/>
        </w:rPr>
        <w:t>приймають</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результатами контролю</w:t>
      </w:r>
      <w:r w:rsidRPr="000977F7">
        <w:rPr>
          <w:rFonts w:asciiTheme="majorHAnsi" w:hAnsiTheme="majorHAnsi"/>
          <w:spacing w:val="2"/>
          <w:sz w:val="20"/>
          <w:szCs w:val="20"/>
        </w:rPr>
        <w:t xml:space="preserve"> </w:t>
      </w:r>
      <w:r w:rsidRPr="000977F7">
        <w:rPr>
          <w:rFonts w:asciiTheme="majorHAnsi" w:hAnsiTheme="majorHAnsi"/>
          <w:sz w:val="20"/>
          <w:szCs w:val="20"/>
        </w:rPr>
        <w:t>не більше ніж двох вибірок, причому необхідність відбору другої вибірки залежить від результатів контролю</w:t>
      </w:r>
      <w:r w:rsidRPr="000977F7">
        <w:rPr>
          <w:rFonts w:asciiTheme="majorHAnsi" w:hAnsiTheme="majorHAnsi"/>
          <w:spacing w:val="1"/>
          <w:sz w:val="20"/>
          <w:szCs w:val="20"/>
        </w:rPr>
        <w:t xml:space="preserve"> </w:t>
      </w:r>
      <w:r w:rsidRPr="000977F7">
        <w:rPr>
          <w:rFonts w:asciiTheme="majorHAnsi" w:hAnsiTheme="majorHAnsi"/>
          <w:sz w:val="20"/>
          <w:szCs w:val="20"/>
        </w:rPr>
        <w:t>першої</w:t>
      </w:r>
      <w:r w:rsidRPr="000977F7">
        <w:rPr>
          <w:rFonts w:asciiTheme="majorHAnsi" w:hAnsiTheme="majorHAnsi"/>
          <w:spacing w:val="-2"/>
          <w:sz w:val="20"/>
          <w:szCs w:val="20"/>
        </w:rPr>
        <w:t xml:space="preserve"> </w:t>
      </w:r>
      <w:r w:rsidRPr="000977F7">
        <w:rPr>
          <w:rFonts w:asciiTheme="majorHAnsi" w:hAnsiTheme="majorHAnsi"/>
          <w:sz w:val="20"/>
          <w:szCs w:val="20"/>
        </w:rPr>
        <w:t>вибірки</w:t>
      </w:r>
    </w:p>
    <w:p w14:paraId="7B91D2A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244AC60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ДЕАЕРАЦІЯ</w:t>
      </w:r>
      <w:r w:rsidRPr="000977F7">
        <w:rPr>
          <w:color w:val="auto"/>
          <w:spacing w:val="-4"/>
          <w:sz w:val="20"/>
          <w:szCs w:val="20"/>
        </w:rPr>
        <w:t xml:space="preserve"> </w:t>
      </w:r>
      <w:r w:rsidRPr="000977F7">
        <w:rPr>
          <w:color w:val="auto"/>
          <w:sz w:val="20"/>
          <w:szCs w:val="20"/>
        </w:rPr>
        <w:t>(КОРОЗІЯ)</w:t>
      </w:r>
      <w:r w:rsidRPr="000977F7">
        <w:rPr>
          <w:color w:val="auto"/>
          <w:spacing w:val="-2"/>
          <w:sz w:val="20"/>
          <w:szCs w:val="20"/>
        </w:rPr>
        <w:t xml:space="preserve"> </w:t>
      </w:r>
      <w:r w:rsidRPr="000977F7">
        <w:rPr>
          <w:color w:val="auto"/>
          <w:sz w:val="20"/>
          <w:szCs w:val="20"/>
        </w:rPr>
        <w:t>–</w:t>
      </w:r>
    </w:p>
    <w:p w14:paraId="639BDC79"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z w:val="20"/>
          <w:szCs w:val="20"/>
        </w:rPr>
        <w:t>DE-AERATION</w:t>
      </w:r>
      <w:r w:rsidRPr="000977F7">
        <w:rPr>
          <w:rFonts w:asciiTheme="majorHAnsi" w:hAnsiTheme="majorHAnsi"/>
          <w:spacing w:val="-2"/>
          <w:sz w:val="20"/>
          <w:szCs w:val="20"/>
        </w:rPr>
        <w:t xml:space="preserve"> </w:t>
      </w:r>
      <w:r w:rsidRPr="000977F7">
        <w:rPr>
          <w:rFonts w:asciiTheme="majorHAnsi" w:hAnsiTheme="majorHAnsi"/>
          <w:b/>
          <w:sz w:val="20"/>
          <w:szCs w:val="20"/>
        </w:rPr>
        <w:t>–</w:t>
      </w:r>
    </w:p>
    <w:p w14:paraId="6D65F74E"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Видаляння повітря з корозивного середовища</w:t>
      </w:r>
      <w:r w:rsidRPr="000977F7">
        <w:rPr>
          <w:rFonts w:asciiTheme="majorHAnsi" w:hAnsiTheme="majorHAnsi"/>
          <w:spacing w:val="-47"/>
          <w:sz w:val="20"/>
          <w:szCs w:val="20"/>
        </w:rPr>
        <w:t xml:space="preserve"> </w:t>
      </w:r>
    </w:p>
    <w:p w14:paraId="7BCD5402"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i/>
          <w:sz w:val="20"/>
          <w:szCs w:val="20"/>
        </w:rPr>
        <w:t>:</w:t>
      </w:r>
    </w:p>
    <w:p w14:paraId="0F1CC7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Якщо</w:t>
      </w:r>
      <w:r w:rsidRPr="000977F7">
        <w:rPr>
          <w:rFonts w:asciiTheme="majorHAnsi" w:hAnsiTheme="majorHAnsi"/>
          <w:spacing w:val="-2"/>
          <w:sz w:val="20"/>
          <w:szCs w:val="20"/>
        </w:rPr>
        <w:t xml:space="preserve"> </w:t>
      </w:r>
      <w:r w:rsidRPr="000977F7">
        <w:rPr>
          <w:rFonts w:asciiTheme="majorHAnsi" w:hAnsiTheme="majorHAnsi"/>
          <w:sz w:val="20"/>
          <w:szCs w:val="20"/>
        </w:rPr>
        <w:t>видаляють</w:t>
      </w:r>
      <w:r w:rsidRPr="000977F7">
        <w:rPr>
          <w:rFonts w:asciiTheme="majorHAnsi" w:hAnsiTheme="majorHAnsi"/>
          <w:spacing w:val="-3"/>
          <w:sz w:val="20"/>
          <w:szCs w:val="20"/>
        </w:rPr>
        <w:t xml:space="preserve"> </w:t>
      </w:r>
      <w:r w:rsidRPr="000977F7">
        <w:rPr>
          <w:rFonts w:asciiTheme="majorHAnsi" w:hAnsiTheme="majorHAnsi"/>
          <w:sz w:val="20"/>
          <w:szCs w:val="20"/>
        </w:rPr>
        <w:t>лише</w:t>
      </w:r>
      <w:r w:rsidRPr="000977F7">
        <w:rPr>
          <w:rFonts w:asciiTheme="majorHAnsi" w:hAnsiTheme="majorHAnsi"/>
          <w:spacing w:val="-3"/>
          <w:sz w:val="20"/>
          <w:szCs w:val="20"/>
        </w:rPr>
        <w:t xml:space="preserve"> </w:t>
      </w:r>
      <w:r w:rsidRPr="000977F7">
        <w:rPr>
          <w:rFonts w:asciiTheme="majorHAnsi" w:hAnsiTheme="majorHAnsi"/>
          <w:sz w:val="20"/>
          <w:szCs w:val="20"/>
        </w:rPr>
        <w:t>кисень,</w:t>
      </w:r>
      <w:r w:rsidRPr="000977F7">
        <w:rPr>
          <w:rFonts w:asciiTheme="majorHAnsi" w:hAnsiTheme="majorHAnsi"/>
          <w:spacing w:val="-3"/>
          <w:sz w:val="20"/>
          <w:szCs w:val="20"/>
        </w:rPr>
        <w:t xml:space="preserve"> </w:t>
      </w:r>
      <w:r w:rsidRPr="000977F7">
        <w:rPr>
          <w:rFonts w:asciiTheme="majorHAnsi" w:hAnsiTheme="majorHAnsi"/>
          <w:sz w:val="20"/>
          <w:szCs w:val="20"/>
        </w:rPr>
        <w:t>прийнятним</w:t>
      </w:r>
      <w:r w:rsidRPr="000977F7">
        <w:rPr>
          <w:rFonts w:asciiTheme="majorHAnsi" w:hAnsiTheme="majorHAnsi"/>
          <w:spacing w:val="-2"/>
          <w:sz w:val="20"/>
          <w:szCs w:val="20"/>
        </w:rPr>
        <w:t xml:space="preserve"> </w:t>
      </w:r>
      <w:r w:rsidRPr="000977F7">
        <w:rPr>
          <w:rFonts w:asciiTheme="majorHAnsi" w:hAnsiTheme="majorHAnsi"/>
          <w:sz w:val="20"/>
          <w:szCs w:val="20"/>
        </w:rPr>
        <w:t>є</w:t>
      </w:r>
      <w:r w:rsidRPr="000977F7">
        <w:rPr>
          <w:rFonts w:asciiTheme="majorHAnsi" w:hAnsiTheme="majorHAnsi"/>
          <w:spacing w:val="-2"/>
          <w:sz w:val="20"/>
          <w:szCs w:val="20"/>
        </w:rPr>
        <w:t xml:space="preserve"> </w:t>
      </w:r>
      <w:r w:rsidRPr="000977F7">
        <w:rPr>
          <w:rFonts w:asciiTheme="majorHAnsi" w:hAnsiTheme="majorHAnsi"/>
          <w:sz w:val="20"/>
          <w:szCs w:val="20"/>
        </w:rPr>
        <w:t>термін</w:t>
      </w:r>
    </w:p>
    <w:p w14:paraId="5E1DDC8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«знекиснювання»</w:t>
      </w:r>
    </w:p>
    <w:p w14:paraId="3AA10F6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4FD8309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ДЕГРАДАЦІЯ; ДЕГРАДАЦІЙНИЙ ПРОЦЕС </w:t>
      </w:r>
      <w:r w:rsidRPr="000977F7">
        <w:rPr>
          <w:rFonts w:asciiTheme="majorHAnsi" w:hAnsiTheme="majorHAnsi"/>
          <w:sz w:val="20"/>
          <w:szCs w:val="20"/>
        </w:rPr>
        <w:t>–</w:t>
      </w:r>
      <w:r w:rsidRPr="000977F7">
        <w:rPr>
          <w:rFonts w:asciiTheme="majorHAnsi" w:hAnsiTheme="majorHAnsi"/>
          <w:spacing w:val="-47"/>
          <w:sz w:val="20"/>
          <w:szCs w:val="20"/>
        </w:rPr>
        <w:t xml:space="preserve"> </w:t>
      </w:r>
      <w:r w:rsidRPr="000977F7">
        <w:rPr>
          <w:rFonts w:asciiTheme="majorHAnsi" w:hAnsiTheme="majorHAnsi"/>
          <w:sz w:val="20"/>
          <w:szCs w:val="20"/>
        </w:rPr>
        <w:t>DEGRADATION</w:t>
      </w:r>
      <w:r w:rsidRPr="000977F7">
        <w:rPr>
          <w:rFonts w:asciiTheme="majorHAnsi" w:hAnsiTheme="majorHAnsi"/>
          <w:spacing w:val="-1"/>
          <w:sz w:val="20"/>
          <w:szCs w:val="20"/>
        </w:rPr>
        <w:t xml:space="preserve"> </w:t>
      </w:r>
      <w:r w:rsidRPr="000977F7">
        <w:rPr>
          <w:rFonts w:asciiTheme="majorHAnsi" w:hAnsiTheme="majorHAnsi"/>
          <w:sz w:val="20"/>
          <w:szCs w:val="20"/>
        </w:rPr>
        <w:t>PROCESS</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3CCF2B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w:t>
      </w:r>
      <w:r w:rsidRPr="000977F7">
        <w:rPr>
          <w:rFonts w:asciiTheme="majorHAnsi" w:hAnsiTheme="majorHAnsi"/>
          <w:spacing w:val="14"/>
          <w:sz w:val="20"/>
          <w:szCs w:val="20"/>
        </w:rPr>
        <w:t xml:space="preserve"> </w:t>
      </w:r>
      <w:r w:rsidRPr="000977F7">
        <w:rPr>
          <w:rFonts w:asciiTheme="majorHAnsi" w:hAnsiTheme="majorHAnsi"/>
          <w:sz w:val="20"/>
          <w:szCs w:val="20"/>
        </w:rPr>
        <w:t>одного</w:t>
      </w:r>
      <w:r w:rsidRPr="000977F7">
        <w:rPr>
          <w:rFonts w:asciiTheme="majorHAnsi" w:hAnsiTheme="majorHAnsi"/>
          <w:spacing w:val="15"/>
          <w:sz w:val="20"/>
          <w:szCs w:val="20"/>
        </w:rPr>
        <w:t xml:space="preserve"> </w:t>
      </w:r>
      <w:r w:rsidRPr="000977F7">
        <w:rPr>
          <w:rFonts w:asciiTheme="majorHAnsi" w:hAnsiTheme="majorHAnsi"/>
          <w:sz w:val="20"/>
          <w:szCs w:val="20"/>
        </w:rPr>
        <w:t>чи</w:t>
      </w:r>
      <w:r w:rsidRPr="000977F7">
        <w:rPr>
          <w:rFonts w:asciiTheme="majorHAnsi" w:hAnsiTheme="majorHAnsi"/>
          <w:spacing w:val="13"/>
          <w:sz w:val="20"/>
          <w:szCs w:val="20"/>
        </w:rPr>
        <w:t xml:space="preserve"> </w:t>
      </w:r>
      <w:r w:rsidRPr="000977F7">
        <w:rPr>
          <w:rFonts w:asciiTheme="majorHAnsi" w:hAnsiTheme="majorHAnsi"/>
          <w:sz w:val="20"/>
          <w:szCs w:val="20"/>
        </w:rPr>
        <w:t>сукупності</w:t>
      </w:r>
      <w:r w:rsidRPr="000977F7">
        <w:rPr>
          <w:rFonts w:asciiTheme="majorHAnsi" w:hAnsiTheme="majorHAnsi"/>
          <w:spacing w:val="15"/>
          <w:sz w:val="20"/>
          <w:szCs w:val="20"/>
        </w:rPr>
        <w:t xml:space="preserve"> </w:t>
      </w:r>
      <w:r w:rsidRPr="000977F7">
        <w:rPr>
          <w:rFonts w:asciiTheme="majorHAnsi" w:hAnsiTheme="majorHAnsi"/>
          <w:sz w:val="20"/>
          <w:szCs w:val="20"/>
        </w:rPr>
        <w:t>природних</w:t>
      </w:r>
      <w:r w:rsidRPr="000977F7">
        <w:rPr>
          <w:rFonts w:asciiTheme="majorHAnsi" w:hAnsiTheme="majorHAnsi"/>
          <w:spacing w:val="13"/>
          <w:sz w:val="20"/>
          <w:szCs w:val="20"/>
        </w:rPr>
        <w:t xml:space="preserve"> </w:t>
      </w:r>
      <w:r w:rsidRPr="000977F7">
        <w:rPr>
          <w:rFonts w:asciiTheme="majorHAnsi" w:hAnsiTheme="majorHAnsi"/>
          <w:sz w:val="20"/>
          <w:szCs w:val="20"/>
        </w:rPr>
        <w:t>процесів</w:t>
      </w:r>
      <w:r w:rsidRPr="000977F7">
        <w:rPr>
          <w:rFonts w:asciiTheme="majorHAnsi" w:hAnsiTheme="majorHAnsi"/>
          <w:spacing w:val="14"/>
          <w:sz w:val="20"/>
          <w:szCs w:val="20"/>
        </w:rPr>
        <w:t xml:space="preserve"> </w:t>
      </w:r>
      <w:r w:rsidRPr="000977F7">
        <w:rPr>
          <w:rFonts w:asciiTheme="majorHAnsi" w:hAnsiTheme="majorHAnsi"/>
          <w:sz w:val="20"/>
          <w:szCs w:val="20"/>
        </w:rPr>
        <w:t>старіння,</w:t>
      </w:r>
      <w:r w:rsidRPr="000977F7">
        <w:rPr>
          <w:rFonts w:asciiTheme="majorHAnsi" w:hAnsiTheme="majorHAnsi"/>
          <w:spacing w:val="-1"/>
          <w:sz w:val="20"/>
          <w:szCs w:val="20"/>
        </w:rPr>
        <w:t xml:space="preserve"> </w:t>
      </w:r>
      <w:r w:rsidRPr="000977F7">
        <w:rPr>
          <w:rFonts w:asciiTheme="majorHAnsi" w:hAnsiTheme="majorHAnsi"/>
          <w:sz w:val="20"/>
          <w:szCs w:val="20"/>
        </w:rPr>
        <w:t>корозії,</w:t>
      </w:r>
      <w:r w:rsidRPr="000977F7">
        <w:rPr>
          <w:rFonts w:asciiTheme="majorHAnsi" w:hAnsiTheme="majorHAnsi"/>
          <w:spacing w:val="-1"/>
          <w:sz w:val="20"/>
          <w:szCs w:val="20"/>
        </w:rPr>
        <w:t xml:space="preserve"> </w:t>
      </w:r>
      <w:r w:rsidRPr="000977F7">
        <w:rPr>
          <w:rFonts w:asciiTheme="majorHAnsi" w:hAnsiTheme="majorHAnsi"/>
          <w:sz w:val="20"/>
          <w:szCs w:val="20"/>
        </w:rPr>
        <w:t>зношування,</w:t>
      </w:r>
      <w:r w:rsidRPr="000977F7">
        <w:rPr>
          <w:rFonts w:asciiTheme="majorHAnsi" w:hAnsiTheme="majorHAnsi"/>
          <w:spacing w:val="-1"/>
          <w:sz w:val="20"/>
          <w:szCs w:val="20"/>
        </w:rPr>
        <w:t xml:space="preserve"> </w:t>
      </w:r>
      <w:r w:rsidRPr="000977F7">
        <w:rPr>
          <w:rFonts w:asciiTheme="majorHAnsi" w:hAnsiTheme="majorHAnsi"/>
          <w:sz w:val="20"/>
          <w:szCs w:val="20"/>
        </w:rPr>
        <w:t>втоми</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руйнування</w:t>
      </w:r>
    </w:p>
    <w:p w14:paraId="5888127F"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2860 – 94</w:t>
      </w:r>
    </w:p>
    <w:p w14:paraId="773A7EE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ДЕГРАДОВНА</w:t>
      </w:r>
      <w:r w:rsidRPr="000977F7">
        <w:rPr>
          <w:color w:val="auto"/>
          <w:spacing w:val="-3"/>
          <w:sz w:val="20"/>
          <w:szCs w:val="20"/>
        </w:rPr>
        <w:t xml:space="preserve"> </w:t>
      </w:r>
      <w:r w:rsidRPr="000977F7">
        <w:rPr>
          <w:color w:val="auto"/>
          <w:sz w:val="20"/>
          <w:szCs w:val="20"/>
        </w:rPr>
        <w:t>ВІДМОВА</w:t>
      </w:r>
      <w:r w:rsidRPr="000977F7">
        <w:rPr>
          <w:color w:val="auto"/>
          <w:spacing w:val="-3"/>
          <w:sz w:val="20"/>
          <w:szCs w:val="20"/>
        </w:rPr>
        <w:t xml:space="preserve"> </w:t>
      </w:r>
      <w:r w:rsidRPr="000977F7">
        <w:rPr>
          <w:color w:val="auto"/>
          <w:sz w:val="20"/>
          <w:szCs w:val="20"/>
        </w:rPr>
        <w:t>–</w:t>
      </w:r>
    </w:p>
    <w:p w14:paraId="1A2466C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DEGRADATION</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01878C94"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Відмова</w:t>
      </w:r>
      <w:r w:rsidRPr="000977F7">
        <w:rPr>
          <w:rFonts w:asciiTheme="majorHAnsi" w:hAnsiTheme="majorHAnsi"/>
          <w:spacing w:val="1"/>
          <w:sz w:val="20"/>
          <w:szCs w:val="20"/>
        </w:rPr>
        <w:t xml:space="preserve"> </w:t>
      </w:r>
      <w:r w:rsidRPr="000977F7">
        <w:rPr>
          <w:rFonts w:asciiTheme="majorHAnsi" w:hAnsiTheme="majorHAnsi"/>
          <w:sz w:val="20"/>
          <w:szCs w:val="20"/>
        </w:rPr>
        <w:t>спричинена</w:t>
      </w:r>
      <w:r w:rsidRPr="000977F7">
        <w:rPr>
          <w:rFonts w:asciiTheme="majorHAnsi" w:hAnsiTheme="majorHAnsi"/>
          <w:spacing w:val="1"/>
          <w:sz w:val="20"/>
          <w:szCs w:val="20"/>
        </w:rPr>
        <w:t xml:space="preserve"> </w:t>
      </w:r>
      <w:r w:rsidRPr="000977F7">
        <w:rPr>
          <w:rFonts w:asciiTheme="majorHAnsi" w:hAnsiTheme="majorHAnsi"/>
          <w:sz w:val="20"/>
          <w:szCs w:val="20"/>
        </w:rPr>
        <w:t>процесами</w:t>
      </w:r>
      <w:r w:rsidRPr="000977F7">
        <w:rPr>
          <w:rFonts w:asciiTheme="majorHAnsi" w:hAnsiTheme="majorHAnsi"/>
          <w:spacing w:val="1"/>
          <w:sz w:val="20"/>
          <w:szCs w:val="20"/>
        </w:rPr>
        <w:t xml:space="preserve"> </w:t>
      </w:r>
      <w:r w:rsidRPr="000977F7">
        <w:rPr>
          <w:rFonts w:asciiTheme="majorHAnsi" w:hAnsiTheme="majorHAnsi"/>
          <w:sz w:val="20"/>
          <w:szCs w:val="20"/>
        </w:rPr>
        <w:t>деградації</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об’єкті</w:t>
      </w:r>
      <w:r w:rsidRPr="000977F7">
        <w:rPr>
          <w:rFonts w:asciiTheme="majorHAnsi" w:hAnsiTheme="majorHAnsi"/>
          <w:spacing w:val="-47"/>
          <w:sz w:val="20"/>
          <w:szCs w:val="20"/>
        </w:rPr>
        <w:t xml:space="preserve"> </w:t>
      </w:r>
      <w:r w:rsidRPr="000977F7">
        <w:rPr>
          <w:rFonts w:asciiTheme="majorHAnsi" w:hAnsiTheme="majorHAnsi"/>
          <w:sz w:val="20"/>
          <w:szCs w:val="20"/>
        </w:rPr>
        <w:t>при</w:t>
      </w:r>
      <w:r w:rsidRPr="000977F7">
        <w:rPr>
          <w:rFonts w:asciiTheme="majorHAnsi" w:hAnsiTheme="majorHAnsi"/>
          <w:spacing w:val="9"/>
          <w:sz w:val="20"/>
          <w:szCs w:val="20"/>
        </w:rPr>
        <w:t xml:space="preserve"> </w:t>
      </w:r>
      <w:r w:rsidRPr="000977F7">
        <w:rPr>
          <w:rFonts w:asciiTheme="majorHAnsi" w:hAnsiTheme="majorHAnsi"/>
          <w:sz w:val="20"/>
          <w:szCs w:val="20"/>
        </w:rPr>
        <w:t>дотриманні</w:t>
      </w:r>
      <w:r w:rsidRPr="000977F7">
        <w:rPr>
          <w:rFonts w:asciiTheme="majorHAnsi" w:hAnsiTheme="majorHAnsi"/>
          <w:spacing w:val="13"/>
          <w:sz w:val="20"/>
          <w:szCs w:val="20"/>
        </w:rPr>
        <w:t xml:space="preserve"> </w:t>
      </w:r>
      <w:r w:rsidRPr="000977F7">
        <w:rPr>
          <w:rFonts w:asciiTheme="majorHAnsi" w:hAnsiTheme="majorHAnsi"/>
          <w:sz w:val="20"/>
          <w:szCs w:val="20"/>
        </w:rPr>
        <w:t>усіх</w:t>
      </w:r>
      <w:r w:rsidRPr="000977F7">
        <w:rPr>
          <w:rFonts w:asciiTheme="majorHAnsi" w:hAnsiTheme="majorHAnsi"/>
          <w:spacing w:val="9"/>
          <w:sz w:val="20"/>
          <w:szCs w:val="20"/>
        </w:rPr>
        <w:t xml:space="preserve"> </w:t>
      </w:r>
      <w:r w:rsidRPr="000977F7">
        <w:rPr>
          <w:rFonts w:asciiTheme="majorHAnsi" w:hAnsiTheme="majorHAnsi"/>
          <w:sz w:val="20"/>
          <w:szCs w:val="20"/>
        </w:rPr>
        <w:t>встановлених</w:t>
      </w:r>
      <w:r w:rsidRPr="000977F7">
        <w:rPr>
          <w:rFonts w:asciiTheme="majorHAnsi" w:hAnsiTheme="majorHAnsi"/>
          <w:spacing w:val="10"/>
          <w:sz w:val="20"/>
          <w:szCs w:val="20"/>
        </w:rPr>
        <w:t xml:space="preserve"> </w:t>
      </w:r>
      <w:r w:rsidRPr="000977F7">
        <w:rPr>
          <w:rFonts w:asciiTheme="majorHAnsi" w:hAnsiTheme="majorHAnsi"/>
          <w:sz w:val="20"/>
          <w:szCs w:val="20"/>
        </w:rPr>
        <w:t>правил</w:t>
      </w:r>
      <w:r w:rsidRPr="000977F7">
        <w:rPr>
          <w:rFonts w:asciiTheme="majorHAnsi" w:hAnsiTheme="majorHAnsi"/>
          <w:spacing w:val="9"/>
          <w:sz w:val="20"/>
          <w:szCs w:val="20"/>
        </w:rPr>
        <w:t xml:space="preserve"> </w:t>
      </w:r>
      <w:r w:rsidRPr="000977F7">
        <w:rPr>
          <w:rFonts w:asciiTheme="majorHAnsi" w:hAnsiTheme="majorHAnsi"/>
          <w:sz w:val="20"/>
          <w:szCs w:val="20"/>
        </w:rPr>
        <w:t>і</w:t>
      </w:r>
      <w:r w:rsidRPr="000977F7">
        <w:rPr>
          <w:rFonts w:asciiTheme="majorHAnsi" w:hAnsiTheme="majorHAnsi"/>
          <w:spacing w:val="11"/>
          <w:sz w:val="20"/>
          <w:szCs w:val="20"/>
        </w:rPr>
        <w:t xml:space="preserve"> </w:t>
      </w:r>
      <w:r w:rsidRPr="000977F7">
        <w:rPr>
          <w:rFonts w:asciiTheme="majorHAnsi" w:hAnsiTheme="majorHAnsi"/>
          <w:sz w:val="20"/>
          <w:szCs w:val="20"/>
        </w:rPr>
        <w:t>(чи)</w:t>
      </w:r>
      <w:r w:rsidRPr="000977F7">
        <w:rPr>
          <w:rFonts w:asciiTheme="majorHAnsi" w:hAnsiTheme="majorHAnsi"/>
          <w:spacing w:val="13"/>
          <w:sz w:val="20"/>
          <w:szCs w:val="20"/>
        </w:rPr>
        <w:t xml:space="preserve"> </w:t>
      </w:r>
      <w:r w:rsidRPr="000977F7">
        <w:rPr>
          <w:rFonts w:asciiTheme="majorHAnsi" w:hAnsiTheme="majorHAnsi"/>
          <w:sz w:val="20"/>
          <w:szCs w:val="20"/>
        </w:rPr>
        <w:t>норм</w:t>
      </w:r>
      <w:r w:rsidRPr="000977F7">
        <w:rPr>
          <w:rFonts w:asciiTheme="majorHAnsi" w:hAnsiTheme="majorHAnsi"/>
          <w:spacing w:val="-47"/>
          <w:sz w:val="20"/>
          <w:szCs w:val="20"/>
        </w:rPr>
        <w:t xml:space="preserve"> </w:t>
      </w:r>
      <w:r w:rsidRPr="000977F7">
        <w:rPr>
          <w:rFonts w:asciiTheme="majorHAnsi" w:hAnsiTheme="majorHAnsi"/>
          <w:sz w:val="20"/>
          <w:szCs w:val="20"/>
        </w:rPr>
        <w:t>його проектування, виготовлення та експлуатації</w:t>
      </w:r>
      <w:r w:rsidRPr="000977F7">
        <w:rPr>
          <w:rFonts w:asciiTheme="majorHAnsi" w:hAnsiTheme="majorHAnsi"/>
          <w:spacing w:val="1"/>
          <w:sz w:val="20"/>
          <w:szCs w:val="20"/>
        </w:rPr>
        <w:t xml:space="preserve"> </w:t>
      </w:r>
    </w:p>
    <w:p w14:paraId="4828CAA7"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FF34E0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ДЕКЛАРАНТ</w:t>
      </w:r>
      <w:r w:rsidRPr="000977F7">
        <w:rPr>
          <w:color w:val="auto"/>
          <w:spacing w:val="-4"/>
          <w:sz w:val="20"/>
          <w:szCs w:val="20"/>
        </w:rPr>
        <w:t xml:space="preserve"> </w:t>
      </w:r>
      <w:r w:rsidRPr="000977F7">
        <w:rPr>
          <w:color w:val="auto"/>
          <w:sz w:val="20"/>
          <w:szCs w:val="20"/>
        </w:rPr>
        <w:t>–</w:t>
      </w:r>
    </w:p>
    <w:p w14:paraId="1405FE7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Особа, яка самостійно здійснює декларування або від імені якої здійснюється декларування</w:t>
      </w:r>
    </w:p>
    <w:p w14:paraId="44FF3E52"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Митний кодекс України</w:t>
      </w:r>
      <w:r w:rsidRPr="000977F7">
        <w:rPr>
          <w:rFonts w:asciiTheme="majorHAnsi" w:hAnsiTheme="majorHAnsi"/>
          <w:i/>
          <w:spacing w:val="-47"/>
          <w:sz w:val="20"/>
          <w:szCs w:val="20"/>
        </w:rPr>
        <w:t xml:space="preserve"> </w:t>
      </w:r>
    </w:p>
    <w:p w14:paraId="0F06A0A4"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sz w:val="20"/>
          <w:szCs w:val="20"/>
        </w:rPr>
        <w:t>ДЕКЛАРАЦІЯ –</w:t>
      </w:r>
    </w:p>
    <w:p w14:paraId="0C4D66A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DECLARATION-</w:t>
      </w:r>
    </w:p>
    <w:p w14:paraId="1068F66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Підтвердження</w:t>
      </w:r>
      <w:r w:rsidRPr="000977F7">
        <w:rPr>
          <w:rFonts w:asciiTheme="majorHAnsi" w:hAnsiTheme="majorHAnsi"/>
          <w:spacing w:val="-7"/>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6"/>
          <w:sz w:val="20"/>
          <w:szCs w:val="20"/>
        </w:rPr>
        <w:t xml:space="preserve"> </w:t>
      </w:r>
      <w:r w:rsidRPr="000977F7">
        <w:rPr>
          <w:rFonts w:asciiTheme="majorHAnsi" w:hAnsiTheme="majorHAnsi"/>
          <w:sz w:val="20"/>
          <w:szCs w:val="20"/>
        </w:rPr>
        <w:t>першою</w:t>
      </w:r>
      <w:r w:rsidRPr="000977F7">
        <w:rPr>
          <w:rFonts w:asciiTheme="majorHAnsi" w:hAnsiTheme="majorHAnsi"/>
          <w:spacing w:val="-5"/>
          <w:sz w:val="20"/>
          <w:szCs w:val="20"/>
        </w:rPr>
        <w:t xml:space="preserve"> </w:t>
      </w:r>
      <w:r w:rsidRPr="000977F7">
        <w:rPr>
          <w:rFonts w:asciiTheme="majorHAnsi" w:hAnsiTheme="majorHAnsi"/>
          <w:sz w:val="20"/>
          <w:szCs w:val="20"/>
        </w:rPr>
        <w:t>стороною</w:t>
      </w:r>
    </w:p>
    <w:p w14:paraId="25C1BB6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 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143F9DD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ДЕКЛАРАЦІЯ</w:t>
      </w:r>
      <w:r w:rsidRPr="000977F7">
        <w:rPr>
          <w:color w:val="auto"/>
          <w:spacing w:val="-4"/>
          <w:sz w:val="20"/>
          <w:szCs w:val="20"/>
        </w:rPr>
        <w:t xml:space="preserve"> </w:t>
      </w:r>
      <w:r w:rsidRPr="000977F7">
        <w:rPr>
          <w:color w:val="auto"/>
          <w:sz w:val="20"/>
          <w:szCs w:val="20"/>
        </w:rPr>
        <w:t>МИТНОЇ</w:t>
      </w:r>
      <w:r w:rsidRPr="000977F7">
        <w:rPr>
          <w:color w:val="auto"/>
          <w:spacing w:val="-5"/>
          <w:sz w:val="20"/>
          <w:szCs w:val="20"/>
        </w:rPr>
        <w:t xml:space="preserve"> </w:t>
      </w:r>
      <w:r w:rsidRPr="000977F7">
        <w:rPr>
          <w:color w:val="auto"/>
          <w:sz w:val="20"/>
          <w:szCs w:val="20"/>
        </w:rPr>
        <w:t>ВАРТОСТІ</w:t>
      </w:r>
      <w:r w:rsidRPr="000977F7">
        <w:rPr>
          <w:color w:val="auto"/>
          <w:spacing w:val="-2"/>
          <w:sz w:val="20"/>
          <w:szCs w:val="20"/>
        </w:rPr>
        <w:t xml:space="preserve"> </w:t>
      </w:r>
      <w:r w:rsidRPr="000977F7">
        <w:rPr>
          <w:color w:val="auto"/>
          <w:sz w:val="20"/>
          <w:szCs w:val="20"/>
        </w:rPr>
        <w:t>–</w:t>
      </w:r>
    </w:p>
    <w:p w14:paraId="6797DE48"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Заявка</w:t>
      </w:r>
      <w:r w:rsidRPr="000977F7">
        <w:rPr>
          <w:rFonts w:asciiTheme="majorHAnsi" w:hAnsiTheme="majorHAnsi"/>
          <w:spacing w:val="34"/>
          <w:sz w:val="20"/>
          <w:szCs w:val="20"/>
        </w:rPr>
        <w:t xml:space="preserve"> </w:t>
      </w:r>
      <w:r w:rsidRPr="000977F7">
        <w:rPr>
          <w:rFonts w:asciiTheme="majorHAnsi" w:hAnsiTheme="majorHAnsi"/>
          <w:sz w:val="20"/>
          <w:szCs w:val="20"/>
        </w:rPr>
        <w:t>особи</w:t>
      </w:r>
      <w:r w:rsidRPr="000977F7">
        <w:rPr>
          <w:rFonts w:asciiTheme="majorHAnsi" w:hAnsiTheme="majorHAnsi"/>
          <w:spacing w:val="32"/>
          <w:sz w:val="20"/>
          <w:szCs w:val="20"/>
        </w:rPr>
        <w:t xml:space="preserve"> </w:t>
      </w:r>
      <w:r w:rsidRPr="000977F7">
        <w:rPr>
          <w:rFonts w:asciiTheme="majorHAnsi" w:hAnsiTheme="majorHAnsi"/>
          <w:sz w:val="20"/>
          <w:szCs w:val="20"/>
        </w:rPr>
        <w:t>митному</w:t>
      </w:r>
      <w:r w:rsidRPr="000977F7">
        <w:rPr>
          <w:rFonts w:asciiTheme="majorHAnsi" w:hAnsiTheme="majorHAnsi"/>
          <w:spacing w:val="31"/>
          <w:sz w:val="20"/>
          <w:szCs w:val="20"/>
        </w:rPr>
        <w:t xml:space="preserve"> </w:t>
      </w:r>
      <w:r w:rsidRPr="000977F7">
        <w:rPr>
          <w:rFonts w:asciiTheme="majorHAnsi" w:hAnsiTheme="majorHAnsi"/>
          <w:sz w:val="20"/>
          <w:szCs w:val="20"/>
        </w:rPr>
        <w:t>органу</w:t>
      </w:r>
      <w:r w:rsidRPr="000977F7">
        <w:rPr>
          <w:rFonts w:asciiTheme="majorHAnsi" w:hAnsiTheme="majorHAnsi"/>
          <w:spacing w:val="30"/>
          <w:sz w:val="20"/>
          <w:szCs w:val="20"/>
        </w:rPr>
        <w:t xml:space="preserve"> </w:t>
      </w:r>
      <w:r w:rsidRPr="000977F7">
        <w:rPr>
          <w:rFonts w:asciiTheme="majorHAnsi" w:hAnsiTheme="majorHAnsi"/>
          <w:sz w:val="20"/>
          <w:szCs w:val="20"/>
        </w:rPr>
        <w:t>за</w:t>
      </w:r>
      <w:r w:rsidRPr="000977F7">
        <w:rPr>
          <w:rFonts w:asciiTheme="majorHAnsi" w:hAnsiTheme="majorHAnsi"/>
          <w:spacing w:val="35"/>
          <w:sz w:val="20"/>
          <w:szCs w:val="20"/>
        </w:rPr>
        <w:t xml:space="preserve"> </w:t>
      </w:r>
      <w:r w:rsidRPr="000977F7">
        <w:rPr>
          <w:rFonts w:asciiTheme="majorHAnsi" w:hAnsiTheme="majorHAnsi"/>
          <w:sz w:val="20"/>
          <w:szCs w:val="20"/>
        </w:rPr>
        <w:t>встановленню</w:t>
      </w:r>
      <w:r w:rsidRPr="000977F7">
        <w:rPr>
          <w:rFonts w:asciiTheme="majorHAnsi" w:hAnsiTheme="majorHAnsi"/>
          <w:spacing w:val="34"/>
          <w:sz w:val="20"/>
          <w:szCs w:val="20"/>
        </w:rPr>
        <w:t xml:space="preserve"> </w:t>
      </w:r>
      <w:r w:rsidRPr="000977F7">
        <w:rPr>
          <w:rFonts w:asciiTheme="majorHAnsi" w:hAnsiTheme="majorHAnsi"/>
          <w:sz w:val="20"/>
          <w:szCs w:val="20"/>
        </w:rPr>
        <w:t>фор</w:t>
      </w:r>
      <w:r w:rsidRPr="000977F7">
        <w:rPr>
          <w:rFonts w:asciiTheme="majorHAnsi" w:hAnsiTheme="majorHAnsi"/>
          <w:spacing w:val="-47"/>
          <w:sz w:val="20"/>
          <w:szCs w:val="20"/>
        </w:rPr>
        <w:t xml:space="preserve"> </w:t>
      </w:r>
      <w:r w:rsidRPr="000977F7">
        <w:rPr>
          <w:rFonts w:asciiTheme="majorHAnsi" w:hAnsiTheme="majorHAnsi"/>
          <w:sz w:val="20"/>
          <w:szCs w:val="20"/>
        </w:rPr>
        <w:t>мою</w:t>
      </w:r>
      <w:r w:rsidRPr="000977F7">
        <w:rPr>
          <w:rFonts w:asciiTheme="majorHAnsi" w:hAnsiTheme="majorHAnsi"/>
          <w:spacing w:val="12"/>
          <w:sz w:val="20"/>
          <w:szCs w:val="20"/>
        </w:rPr>
        <w:t xml:space="preserve"> </w:t>
      </w:r>
      <w:r w:rsidRPr="000977F7">
        <w:rPr>
          <w:rFonts w:asciiTheme="majorHAnsi" w:hAnsiTheme="majorHAnsi"/>
          <w:sz w:val="20"/>
          <w:szCs w:val="20"/>
        </w:rPr>
        <w:t>відомостей</w:t>
      </w:r>
      <w:r w:rsidRPr="000977F7">
        <w:rPr>
          <w:rFonts w:asciiTheme="majorHAnsi" w:hAnsiTheme="majorHAnsi"/>
          <w:spacing w:val="14"/>
          <w:sz w:val="20"/>
          <w:szCs w:val="20"/>
        </w:rPr>
        <w:t xml:space="preserve"> </w:t>
      </w:r>
      <w:r w:rsidRPr="000977F7">
        <w:rPr>
          <w:rFonts w:asciiTheme="majorHAnsi" w:hAnsiTheme="majorHAnsi"/>
          <w:sz w:val="20"/>
          <w:szCs w:val="20"/>
        </w:rPr>
        <w:t>щодо</w:t>
      </w:r>
      <w:r w:rsidRPr="000977F7">
        <w:rPr>
          <w:rFonts w:asciiTheme="majorHAnsi" w:hAnsiTheme="majorHAnsi"/>
          <w:spacing w:val="13"/>
          <w:sz w:val="20"/>
          <w:szCs w:val="20"/>
        </w:rPr>
        <w:t xml:space="preserve"> </w:t>
      </w:r>
      <w:r w:rsidRPr="000977F7">
        <w:rPr>
          <w:rFonts w:asciiTheme="majorHAnsi" w:hAnsiTheme="majorHAnsi"/>
          <w:sz w:val="20"/>
          <w:szCs w:val="20"/>
        </w:rPr>
        <w:t>митної</w:t>
      </w:r>
      <w:r w:rsidRPr="000977F7">
        <w:rPr>
          <w:rFonts w:asciiTheme="majorHAnsi" w:hAnsiTheme="majorHAnsi"/>
          <w:spacing w:val="12"/>
          <w:sz w:val="20"/>
          <w:szCs w:val="20"/>
        </w:rPr>
        <w:t xml:space="preserve"> </w:t>
      </w:r>
      <w:r w:rsidRPr="000977F7">
        <w:rPr>
          <w:rFonts w:asciiTheme="majorHAnsi" w:hAnsiTheme="majorHAnsi"/>
          <w:sz w:val="20"/>
          <w:szCs w:val="20"/>
        </w:rPr>
        <w:t>вартості</w:t>
      </w:r>
      <w:r w:rsidRPr="000977F7">
        <w:rPr>
          <w:rFonts w:asciiTheme="majorHAnsi" w:hAnsiTheme="majorHAnsi"/>
          <w:spacing w:val="14"/>
          <w:sz w:val="20"/>
          <w:szCs w:val="20"/>
        </w:rPr>
        <w:t xml:space="preserve"> </w:t>
      </w:r>
      <w:r w:rsidRPr="000977F7">
        <w:rPr>
          <w:rFonts w:asciiTheme="majorHAnsi" w:hAnsiTheme="majorHAnsi"/>
          <w:sz w:val="20"/>
          <w:szCs w:val="20"/>
        </w:rPr>
        <w:t>товарів,</w:t>
      </w:r>
      <w:r w:rsidRPr="000977F7">
        <w:rPr>
          <w:rFonts w:asciiTheme="majorHAnsi" w:hAnsiTheme="majorHAnsi"/>
          <w:spacing w:val="15"/>
          <w:sz w:val="20"/>
          <w:szCs w:val="20"/>
        </w:rPr>
        <w:t xml:space="preserve"> </w:t>
      </w:r>
      <w:r w:rsidRPr="000977F7">
        <w:rPr>
          <w:rFonts w:asciiTheme="majorHAnsi" w:hAnsiTheme="majorHAnsi"/>
          <w:sz w:val="20"/>
          <w:szCs w:val="20"/>
        </w:rPr>
        <w:t>які</w:t>
      </w:r>
      <w:r w:rsidRPr="000977F7">
        <w:rPr>
          <w:rFonts w:asciiTheme="majorHAnsi" w:hAnsiTheme="majorHAnsi"/>
          <w:spacing w:val="-47"/>
          <w:sz w:val="20"/>
          <w:szCs w:val="20"/>
        </w:rPr>
        <w:t xml:space="preserve"> </w:t>
      </w:r>
      <w:r w:rsidRPr="000977F7">
        <w:rPr>
          <w:rFonts w:asciiTheme="majorHAnsi" w:hAnsiTheme="majorHAnsi"/>
          <w:sz w:val="20"/>
          <w:szCs w:val="20"/>
        </w:rPr>
        <w:t>переміщуються</w:t>
      </w:r>
      <w:r w:rsidRPr="000977F7">
        <w:rPr>
          <w:rFonts w:asciiTheme="majorHAnsi" w:hAnsiTheme="majorHAnsi"/>
          <w:spacing w:val="35"/>
          <w:sz w:val="20"/>
          <w:szCs w:val="20"/>
        </w:rPr>
        <w:t xml:space="preserve"> </w:t>
      </w:r>
      <w:r w:rsidRPr="000977F7">
        <w:rPr>
          <w:rFonts w:asciiTheme="majorHAnsi" w:hAnsiTheme="majorHAnsi"/>
          <w:sz w:val="20"/>
          <w:szCs w:val="20"/>
        </w:rPr>
        <w:t>через</w:t>
      </w:r>
      <w:r w:rsidRPr="000977F7">
        <w:rPr>
          <w:rFonts w:asciiTheme="majorHAnsi" w:hAnsiTheme="majorHAnsi"/>
          <w:spacing w:val="36"/>
          <w:sz w:val="20"/>
          <w:szCs w:val="20"/>
        </w:rPr>
        <w:t xml:space="preserve"> </w:t>
      </w:r>
      <w:r w:rsidRPr="000977F7">
        <w:rPr>
          <w:rFonts w:asciiTheme="majorHAnsi" w:hAnsiTheme="majorHAnsi"/>
          <w:sz w:val="20"/>
          <w:szCs w:val="20"/>
        </w:rPr>
        <w:t>митний</w:t>
      </w:r>
      <w:r w:rsidRPr="000977F7">
        <w:rPr>
          <w:rFonts w:asciiTheme="majorHAnsi" w:hAnsiTheme="majorHAnsi"/>
          <w:spacing w:val="37"/>
          <w:sz w:val="20"/>
          <w:szCs w:val="20"/>
        </w:rPr>
        <w:t xml:space="preserve"> </w:t>
      </w:r>
      <w:r w:rsidRPr="000977F7">
        <w:rPr>
          <w:rFonts w:asciiTheme="majorHAnsi" w:hAnsiTheme="majorHAnsi"/>
          <w:sz w:val="20"/>
          <w:szCs w:val="20"/>
        </w:rPr>
        <w:t>кордон</w:t>
      </w:r>
      <w:r w:rsidRPr="000977F7">
        <w:rPr>
          <w:rFonts w:asciiTheme="majorHAnsi" w:hAnsiTheme="majorHAnsi"/>
          <w:spacing w:val="34"/>
          <w:sz w:val="20"/>
          <w:szCs w:val="20"/>
        </w:rPr>
        <w:t xml:space="preserve"> </w:t>
      </w:r>
      <w:r w:rsidRPr="000977F7">
        <w:rPr>
          <w:rFonts w:asciiTheme="majorHAnsi" w:hAnsiTheme="majorHAnsi"/>
          <w:sz w:val="20"/>
          <w:szCs w:val="20"/>
        </w:rPr>
        <w:t>України</w:t>
      </w:r>
      <w:r w:rsidRPr="000977F7">
        <w:rPr>
          <w:rFonts w:asciiTheme="majorHAnsi" w:hAnsiTheme="majorHAnsi"/>
          <w:spacing w:val="35"/>
          <w:sz w:val="20"/>
          <w:szCs w:val="20"/>
        </w:rPr>
        <w:t xml:space="preserve"> </w:t>
      </w:r>
      <w:r w:rsidRPr="000977F7">
        <w:rPr>
          <w:rFonts w:asciiTheme="majorHAnsi" w:hAnsiTheme="majorHAnsi"/>
          <w:sz w:val="20"/>
          <w:szCs w:val="20"/>
        </w:rPr>
        <w:t>чи</w:t>
      </w:r>
      <w:r w:rsidRPr="000977F7">
        <w:rPr>
          <w:rFonts w:asciiTheme="majorHAnsi" w:hAnsiTheme="majorHAnsi"/>
          <w:spacing w:val="37"/>
          <w:sz w:val="20"/>
          <w:szCs w:val="20"/>
        </w:rPr>
        <w:t xml:space="preserve"> </w:t>
      </w:r>
      <w:r w:rsidRPr="000977F7">
        <w:rPr>
          <w:rFonts w:asciiTheme="majorHAnsi" w:hAnsiTheme="majorHAnsi"/>
          <w:sz w:val="20"/>
          <w:szCs w:val="20"/>
        </w:rPr>
        <w:t>по</w:t>
      </w:r>
      <w:r w:rsidRPr="000977F7">
        <w:rPr>
          <w:rFonts w:asciiTheme="majorHAnsi" w:hAnsiTheme="majorHAnsi"/>
          <w:spacing w:val="-47"/>
          <w:sz w:val="20"/>
          <w:szCs w:val="20"/>
        </w:rPr>
        <w:t xml:space="preserve"> </w:t>
      </w:r>
      <w:r w:rsidRPr="000977F7">
        <w:rPr>
          <w:rFonts w:asciiTheme="majorHAnsi" w:hAnsiTheme="majorHAnsi"/>
          <w:sz w:val="20"/>
          <w:szCs w:val="20"/>
        </w:rPr>
        <w:t>відношенню до яких змінюється митний режим</w:t>
      </w:r>
      <w:r w:rsidRPr="000977F7">
        <w:rPr>
          <w:rFonts w:asciiTheme="majorHAnsi" w:hAnsiTheme="majorHAnsi"/>
          <w:spacing w:val="1"/>
          <w:sz w:val="20"/>
          <w:szCs w:val="20"/>
        </w:rPr>
        <w:t xml:space="preserve"> </w:t>
      </w:r>
    </w:p>
    <w:p w14:paraId="4837566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Митний кодекс України</w:t>
      </w:r>
    </w:p>
    <w:p w14:paraId="0DFBB7D8"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sz w:val="20"/>
          <w:szCs w:val="20"/>
        </w:rPr>
        <w:t>ДЕКЛАРУВАННЯ ВІДПОВІДНОСТІ –</w:t>
      </w:r>
    </w:p>
    <w:p w14:paraId="0CC892F1"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z w:val="20"/>
          <w:szCs w:val="20"/>
        </w:rPr>
        <w:t>SUPPLIER’S</w:t>
      </w:r>
      <w:r w:rsidRPr="000977F7">
        <w:rPr>
          <w:rFonts w:asciiTheme="majorHAnsi" w:hAnsiTheme="majorHAnsi"/>
          <w:spacing w:val="-3"/>
          <w:sz w:val="20"/>
          <w:szCs w:val="20"/>
        </w:rPr>
        <w:t xml:space="preserve"> </w:t>
      </w:r>
      <w:r w:rsidRPr="000977F7">
        <w:rPr>
          <w:rFonts w:asciiTheme="majorHAnsi" w:hAnsiTheme="majorHAnsi"/>
          <w:sz w:val="20"/>
          <w:szCs w:val="20"/>
        </w:rPr>
        <w:t>DECLARATION</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05B9E73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Підтвердження відповідності першою стороною</w:t>
      </w:r>
    </w:p>
    <w:p w14:paraId="47E8F82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bookmarkStart w:id="43" w:name="_Hlk103163085"/>
      <w:r w:rsidRPr="000977F7">
        <w:rPr>
          <w:rFonts w:asciiTheme="majorHAnsi" w:hAnsiTheme="majorHAnsi"/>
          <w:i/>
          <w:sz w:val="20"/>
          <w:szCs w:val="20"/>
        </w:rPr>
        <w:t>Закон України "Про технічні регламенти та оцінку відповідності"</w:t>
      </w:r>
    </w:p>
    <w:bookmarkEnd w:id="43"/>
    <w:p w14:paraId="4F841C8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ДЕМПІНГ</w:t>
      </w:r>
      <w:r w:rsidRPr="000977F7">
        <w:rPr>
          <w:color w:val="auto"/>
          <w:spacing w:val="-1"/>
          <w:sz w:val="20"/>
          <w:szCs w:val="20"/>
        </w:rPr>
        <w:t xml:space="preserve"> </w:t>
      </w:r>
      <w:r w:rsidRPr="000977F7">
        <w:rPr>
          <w:color w:val="auto"/>
          <w:sz w:val="20"/>
          <w:szCs w:val="20"/>
        </w:rPr>
        <w:t>–</w:t>
      </w:r>
    </w:p>
    <w:p w14:paraId="1A480B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Продаж товарів за цінами, нижчими ніж контрактні на</w:t>
      </w:r>
      <w:r w:rsidRPr="000977F7">
        <w:rPr>
          <w:rFonts w:asciiTheme="majorHAnsi" w:hAnsiTheme="majorHAnsi"/>
          <w:spacing w:val="-47"/>
          <w:sz w:val="20"/>
          <w:szCs w:val="20"/>
        </w:rPr>
        <w:t xml:space="preserve"> </w:t>
      </w:r>
      <w:r w:rsidRPr="000977F7">
        <w:rPr>
          <w:rFonts w:asciiTheme="majorHAnsi" w:hAnsiTheme="majorHAnsi"/>
          <w:sz w:val="20"/>
          <w:szCs w:val="20"/>
        </w:rPr>
        <w:t>міжнародних товарних ринках за умови, що низький</w:t>
      </w:r>
      <w:r w:rsidRPr="000977F7">
        <w:rPr>
          <w:rFonts w:asciiTheme="majorHAnsi" w:hAnsiTheme="majorHAnsi"/>
          <w:spacing w:val="1"/>
          <w:sz w:val="20"/>
          <w:szCs w:val="20"/>
        </w:rPr>
        <w:t xml:space="preserve"> </w:t>
      </w:r>
      <w:r w:rsidRPr="000977F7">
        <w:rPr>
          <w:rFonts w:asciiTheme="majorHAnsi" w:hAnsiTheme="majorHAnsi"/>
          <w:sz w:val="20"/>
          <w:szCs w:val="20"/>
        </w:rPr>
        <w:t>рівень</w:t>
      </w:r>
      <w:r w:rsidRPr="000977F7">
        <w:rPr>
          <w:rFonts w:asciiTheme="majorHAnsi" w:hAnsiTheme="majorHAnsi"/>
          <w:spacing w:val="1"/>
          <w:sz w:val="20"/>
          <w:szCs w:val="20"/>
        </w:rPr>
        <w:t xml:space="preserve"> </w:t>
      </w:r>
      <w:r w:rsidRPr="000977F7">
        <w:rPr>
          <w:rFonts w:asciiTheme="majorHAnsi" w:hAnsiTheme="majorHAnsi"/>
          <w:sz w:val="20"/>
          <w:szCs w:val="20"/>
        </w:rPr>
        <w:t>ціни</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обумовлюється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відповідним</w:t>
      </w:r>
      <w:r w:rsidRPr="000977F7">
        <w:rPr>
          <w:rFonts w:asciiTheme="majorHAnsi" w:hAnsiTheme="majorHAnsi"/>
          <w:spacing w:val="1"/>
          <w:sz w:val="20"/>
          <w:szCs w:val="20"/>
        </w:rPr>
        <w:t xml:space="preserve"> </w:t>
      </w:r>
      <w:r w:rsidRPr="000977F7">
        <w:rPr>
          <w:rFonts w:asciiTheme="majorHAnsi" w:hAnsiTheme="majorHAnsi"/>
          <w:sz w:val="20"/>
          <w:szCs w:val="20"/>
        </w:rPr>
        <w:t>рівнем</w:t>
      </w:r>
      <w:r w:rsidRPr="000977F7">
        <w:rPr>
          <w:rFonts w:asciiTheme="majorHAnsi" w:hAnsiTheme="majorHAnsi"/>
          <w:spacing w:val="1"/>
          <w:sz w:val="20"/>
          <w:szCs w:val="20"/>
        </w:rPr>
        <w:t xml:space="preserve"> </w:t>
      </w:r>
      <w:r w:rsidRPr="000977F7">
        <w:rPr>
          <w:rFonts w:asciiTheme="majorHAnsi" w:hAnsiTheme="majorHAnsi"/>
          <w:sz w:val="20"/>
          <w:szCs w:val="20"/>
        </w:rPr>
        <w:t>витрат</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цього товару</w:t>
      </w:r>
    </w:p>
    <w:p w14:paraId="58F9118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623783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ДЕПОЛЯРИЗАЦІЯ</w:t>
      </w:r>
      <w:r w:rsidRPr="000977F7">
        <w:rPr>
          <w:color w:val="auto"/>
          <w:spacing w:val="-5"/>
          <w:sz w:val="20"/>
          <w:szCs w:val="20"/>
        </w:rPr>
        <w:t xml:space="preserve"> </w:t>
      </w:r>
      <w:r w:rsidRPr="000977F7">
        <w:rPr>
          <w:color w:val="auto"/>
          <w:sz w:val="20"/>
          <w:szCs w:val="20"/>
        </w:rPr>
        <w:t>–</w:t>
      </w:r>
    </w:p>
    <w:p w14:paraId="79C875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ELECTRODE</w:t>
      </w:r>
      <w:r w:rsidRPr="000977F7">
        <w:rPr>
          <w:rFonts w:asciiTheme="majorHAnsi" w:hAnsiTheme="majorHAnsi"/>
          <w:spacing w:val="-3"/>
          <w:sz w:val="20"/>
          <w:szCs w:val="20"/>
        </w:rPr>
        <w:t xml:space="preserve"> </w:t>
      </w:r>
      <w:r w:rsidRPr="000977F7">
        <w:rPr>
          <w:rFonts w:asciiTheme="majorHAnsi" w:hAnsiTheme="majorHAnsi"/>
          <w:sz w:val="20"/>
          <w:szCs w:val="20"/>
        </w:rPr>
        <w:t>DEPOLARIZATION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A41687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Зменшення</w:t>
      </w:r>
      <w:r w:rsidRPr="000977F7">
        <w:rPr>
          <w:rFonts w:asciiTheme="majorHAnsi" w:hAnsiTheme="majorHAnsi"/>
          <w:spacing w:val="-4"/>
          <w:sz w:val="20"/>
          <w:szCs w:val="20"/>
        </w:rPr>
        <w:t xml:space="preserve"> </w:t>
      </w:r>
      <w:r w:rsidRPr="000977F7">
        <w:rPr>
          <w:rFonts w:asciiTheme="majorHAnsi" w:hAnsiTheme="majorHAnsi"/>
          <w:sz w:val="20"/>
          <w:szCs w:val="20"/>
        </w:rPr>
        <w:t>поляризації</w:t>
      </w:r>
      <w:r w:rsidRPr="000977F7">
        <w:rPr>
          <w:rFonts w:asciiTheme="majorHAnsi" w:hAnsiTheme="majorHAnsi"/>
          <w:spacing w:val="-4"/>
          <w:sz w:val="20"/>
          <w:szCs w:val="20"/>
        </w:rPr>
        <w:t xml:space="preserve"> </w:t>
      </w:r>
      <w:r w:rsidRPr="000977F7">
        <w:rPr>
          <w:rFonts w:asciiTheme="majorHAnsi" w:hAnsiTheme="majorHAnsi"/>
          <w:sz w:val="20"/>
          <w:szCs w:val="20"/>
        </w:rPr>
        <w:t>електрода</w:t>
      </w:r>
    </w:p>
    <w:p w14:paraId="5A50BCF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666D807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ДЕРЖАВНА</w:t>
      </w:r>
      <w:r w:rsidRPr="000977F7">
        <w:rPr>
          <w:color w:val="auto"/>
          <w:spacing w:val="-4"/>
          <w:sz w:val="20"/>
          <w:szCs w:val="20"/>
        </w:rPr>
        <w:t xml:space="preserve"> </w:t>
      </w:r>
      <w:r w:rsidRPr="000977F7">
        <w:rPr>
          <w:color w:val="auto"/>
          <w:sz w:val="20"/>
          <w:szCs w:val="20"/>
        </w:rPr>
        <w:t>АТЕСТАЦІЯ</w:t>
      </w:r>
      <w:r w:rsidRPr="000977F7">
        <w:rPr>
          <w:color w:val="auto"/>
          <w:spacing w:val="-2"/>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11E5DB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Система організаційно-технічних та економічних заходів, які передбачають віднесення продукції до </w:t>
      </w:r>
      <w:r w:rsidRPr="000977F7">
        <w:rPr>
          <w:rFonts w:asciiTheme="majorHAnsi" w:hAnsiTheme="majorHAnsi"/>
          <w:sz w:val="20"/>
          <w:szCs w:val="20"/>
        </w:rPr>
        <w:lastRenderedPageBreak/>
        <w:t>категорій якості і спрямовані на планомірне підвищення її</w:t>
      </w:r>
      <w:r w:rsidRPr="000977F7">
        <w:rPr>
          <w:rFonts w:asciiTheme="majorHAnsi" w:hAnsiTheme="majorHAnsi"/>
          <w:spacing w:val="1"/>
          <w:sz w:val="20"/>
          <w:szCs w:val="20"/>
        </w:rPr>
        <w:t xml:space="preserve"> </w:t>
      </w:r>
      <w:r w:rsidRPr="000977F7">
        <w:rPr>
          <w:rFonts w:asciiTheme="majorHAnsi" w:hAnsiTheme="majorHAnsi"/>
          <w:sz w:val="20"/>
          <w:szCs w:val="20"/>
        </w:rPr>
        <w:t>якості та своєчасне впровадження науково-технічних</w:t>
      </w:r>
      <w:r w:rsidRPr="000977F7">
        <w:rPr>
          <w:rFonts w:asciiTheme="majorHAnsi" w:hAnsiTheme="majorHAnsi"/>
          <w:spacing w:val="1"/>
          <w:sz w:val="20"/>
          <w:szCs w:val="20"/>
        </w:rPr>
        <w:t xml:space="preserve"> </w:t>
      </w:r>
      <w:r w:rsidRPr="000977F7">
        <w:rPr>
          <w:rFonts w:asciiTheme="majorHAnsi" w:hAnsiTheme="majorHAnsi"/>
          <w:sz w:val="20"/>
          <w:szCs w:val="20"/>
        </w:rPr>
        <w:t>досягнень</w:t>
      </w:r>
    </w:p>
    <w:p w14:paraId="3A26674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ДЕРЖАВНА</w:t>
      </w:r>
      <w:r w:rsidRPr="000977F7">
        <w:rPr>
          <w:color w:val="auto"/>
          <w:spacing w:val="-7"/>
          <w:sz w:val="20"/>
          <w:szCs w:val="20"/>
        </w:rPr>
        <w:t xml:space="preserve"> </w:t>
      </w:r>
      <w:r w:rsidRPr="000977F7">
        <w:rPr>
          <w:color w:val="auto"/>
          <w:sz w:val="20"/>
          <w:szCs w:val="20"/>
        </w:rPr>
        <w:t>ЕКОЛОГІЧНА</w:t>
      </w:r>
      <w:r w:rsidRPr="000977F7">
        <w:rPr>
          <w:color w:val="auto"/>
          <w:spacing w:val="-7"/>
          <w:sz w:val="20"/>
          <w:szCs w:val="20"/>
        </w:rPr>
        <w:t xml:space="preserve"> </w:t>
      </w:r>
      <w:r w:rsidRPr="000977F7">
        <w:rPr>
          <w:color w:val="auto"/>
          <w:sz w:val="20"/>
          <w:szCs w:val="20"/>
        </w:rPr>
        <w:t>ЕКСПЕРТИЗА</w:t>
      </w:r>
      <w:r w:rsidRPr="000977F7">
        <w:rPr>
          <w:color w:val="auto"/>
          <w:spacing w:val="-3"/>
          <w:sz w:val="20"/>
          <w:szCs w:val="20"/>
        </w:rPr>
        <w:t xml:space="preserve"> </w:t>
      </w:r>
      <w:r w:rsidRPr="000977F7">
        <w:rPr>
          <w:color w:val="auto"/>
          <w:sz w:val="20"/>
          <w:szCs w:val="20"/>
        </w:rPr>
        <w:t>–</w:t>
      </w:r>
    </w:p>
    <w:p w14:paraId="6E5501C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Державна</w:t>
      </w:r>
      <w:r w:rsidRPr="000977F7">
        <w:rPr>
          <w:rFonts w:asciiTheme="majorHAnsi" w:hAnsiTheme="majorHAnsi"/>
          <w:spacing w:val="5"/>
          <w:sz w:val="20"/>
          <w:szCs w:val="20"/>
        </w:rPr>
        <w:t xml:space="preserve"> </w:t>
      </w:r>
      <w:r w:rsidRPr="000977F7">
        <w:rPr>
          <w:rFonts w:asciiTheme="majorHAnsi" w:hAnsiTheme="majorHAnsi"/>
          <w:sz w:val="20"/>
          <w:szCs w:val="20"/>
        </w:rPr>
        <w:t>екологічна</w:t>
      </w:r>
      <w:r w:rsidRPr="000977F7">
        <w:rPr>
          <w:rFonts w:asciiTheme="majorHAnsi" w:hAnsiTheme="majorHAnsi"/>
          <w:spacing w:val="6"/>
          <w:sz w:val="20"/>
          <w:szCs w:val="20"/>
        </w:rPr>
        <w:t xml:space="preserve"> </w:t>
      </w:r>
      <w:r w:rsidRPr="000977F7">
        <w:rPr>
          <w:rFonts w:asciiTheme="majorHAnsi" w:hAnsiTheme="majorHAnsi"/>
          <w:sz w:val="20"/>
          <w:szCs w:val="20"/>
        </w:rPr>
        <w:t>експертиза</w:t>
      </w:r>
      <w:r w:rsidRPr="000977F7">
        <w:rPr>
          <w:rFonts w:asciiTheme="majorHAnsi" w:hAnsiTheme="majorHAnsi"/>
          <w:spacing w:val="8"/>
          <w:sz w:val="20"/>
          <w:szCs w:val="20"/>
        </w:rPr>
        <w:t xml:space="preserve"> </w:t>
      </w:r>
      <w:r w:rsidRPr="000977F7">
        <w:rPr>
          <w:rFonts w:asciiTheme="majorHAnsi" w:hAnsiTheme="majorHAnsi"/>
          <w:sz w:val="20"/>
          <w:szCs w:val="20"/>
        </w:rPr>
        <w:t>проводиться</w:t>
      </w:r>
      <w:r w:rsidRPr="000977F7">
        <w:rPr>
          <w:rFonts w:asciiTheme="majorHAnsi" w:hAnsiTheme="majorHAnsi"/>
          <w:spacing w:val="5"/>
          <w:sz w:val="20"/>
          <w:szCs w:val="20"/>
        </w:rPr>
        <w:t xml:space="preserve"> </w:t>
      </w:r>
      <w:r w:rsidRPr="000977F7">
        <w:rPr>
          <w:rFonts w:asciiTheme="majorHAnsi" w:hAnsiTheme="majorHAnsi"/>
          <w:sz w:val="20"/>
          <w:szCs w:val="20"/>
        </w:rPr>
        <w:t>відповідно до Закону України "Про екологічну експертизу".</w:t>
      </w:r>
      <w:r w:rsidRPr="000977F7">
        <w:rPr>
          <w:rFonts w:asciiTheme="majorHAnsi" w:hAnsiTheme="majorHAnsi"/>
          <w:spacing w:val="1"/>
          <w:sz w:val="20"/>
          <w:szCs w:val="20"/>
        </w:rPr>
        <w:t xml:space="preserve"> </w:t>
      </w:r>
      <w:r w:rsidRPr="000977F7">
        <w:rPr>
          <w:rFonts w:asciiTheme="majorHAnsi" w:hAnsiTheme="majorHAnsi"/>
          <w:sz w:val="20"/>
          <w:szCs w:val="20"/>
        </w:rPr>
        <w:t>Завданнями</w:t>
      </w:r>
      <w:r w:rsidRPr="000977F7">
        <w:rPr>
          <w:rFonts w:asciiTheme="majorHAnsi" w:hAnsiTheme="majorHAnsi"/>
          <w:spacing w:val="-3"/>
          <w:sz w:val="20"/>
          <w:szCs w:val="20"/>
        </w:rPr>
        <w:t xml:space="preserve"> </w:t>
      </w:r>
      <w:r w:rsidRPr="000977F7">
        <w:rPr>
          <w:rFonts w:asciiTheme="majorHAnsi" w:hAnsiTheme="majorHAnsi"/>
          <w:sz w:val="20"/>
          <w:szCs w:val="20"/>
        </w:rPr>
        <w:t>державної</w:t>
      </w:r>
      <w:r w:rsidRPr="000977F7">
        <w:rPr>
          <w:rFonts w:asciiTheme="majorHAnsi" w:hAnsiTheme="majorHAnsi"/>
          <w:spacing w:val="-2"/>
          <w:sz w:val="20"/>
          <w:szCs w:val="20"/>
        </w:rPr>
        <w:t xml:space="preserve"> </w:t>
      </w:r>
      <w:r w:rsidRPr="000977F7">
        <w:rPr>
          <w:rFonts w:asciiTheme="majorHAnsi" w:hAnsiTheme="majorHAnsi"/>
          <w:sz w:val="20"/>
          <w:szCs w:val="20"/>
        </w:rPr>
        <w:t>екологічної</w:t>
      </w:r>
      <w:r w:rsidRPr="000977F7">
        <w:rPr>
          <w:rFonts w:asciiTheme="majorHAnsi" w:hAnsiTheme="majorHAnsi"/>
          <w:spacing w:val="-2"/>
          <w:sz w:val="20"/>
          <w:szCs w:val="20"/>
        </w:rPr>
        <w:t xml:space="preserve"> </w:t>
      </w:r>
      <w:r w:rsidRPr="000977F7">
        <w:rPr>
          <w:rFonts w:asciiTheme="majorHAnsi" w:hAnsiTheme="majorHAnsi"/>
          <w:sz w:val="20"/>
          <w:szCs w:val="20"/>
        </w:rPr>
        <w:t>експертизи</w:t>
      </w:r>
      <w:r w:rsidRPr="000977F7">
        <w:rPr>
          <w:rFonts w:asciiTheme="majorHAnsi" w:hAnsiTheme="majorHAnsi"/>
          <w:spacing w:val="-2"/>
          <w:sz w:val="20"/>
          <w:szCs w:val="20"/>
        </w:rPr>
        <w:t xml:space="preserve"> </w:t>
      </w:r>
      <w:r w:rsidRPr="000977F7">
        <w:rPr>
          <w:rFonts w:asciiTheme="majorHAnsi" w:hAnsiTheme="majorHAnsi"/>
          <w:sz w:val="20"/>
          <w:szCs w:val="20"/>
        </w:rPr>
        <w:t>є:</w:t>
      </w:r>
    </w:p>
    <w:p w14:paraId="4E3335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екологічної</w:t>
      </w:r>
      <w:r w:rsidRPr="000977F7">
        <w:rPr>
          <w:rFonts w:asciiTheme="majorHAnsi" w:hAnsiTheme="majorHAnsi"/>
          <w:spacing w:val="1"/>
          <w:sz w:val="20"/>
          <w:szCs w:val="20"/>
        </w:rPr>
        <w:t xml:space="preserve"> </w:t>
      </w:r>
      <w:r w:rsidRPr="000977F7">
        <w:rPr>
          <w:rFonts w:asciiTheme="majorHAnsi" w:hAnsiTheme="majorHAnsi"/>
          <w:sz w:val="20"/>
          <w:szCs w:val="20"/>
        </w:rPr>
        <w:t>безпеки</w:t>
      </w:r>
      <w:r w:rsidRPr="000977F7">
        <w:rPr>
          <w:rFonts w:asciiTheme="majorHAnsi" w:hAnsiTheme="majorHAnsi"/>
          <w:spacing w:val="1"/>
          <w:sz w:val="20"/>
          <w:szCs w:val="20"/>
        </w:rPr>
        <w:t xml:space="preserve"> </w:t>
      </w:r>
      <w:r w:rsidRPr="000977F7">
        <w:rPr>
          <w:rFonts w:asciiTheme="majorHAnsi" w:hAnsiTheme="majorHAnsi"/>
          <w:sz w:val="20"/>
          <w:szCs w:val="20"/>
        </w:rPr>
        <w:t>господарської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іншої діяльності, яка може нині або в майбутньому</w:t>
      </w:r>
      <w:r w:rsidRPr="000977F7">
        <w:rPr>
          <w:rFonts w:asciiTheme="majorHAnsi" w:hAnsiTheme="majorHAnsi"/>
          <w:spacing w:val="1"/>
          <w:sz w:val="20"/>
          <w:szCs w:val="20"/>
        </w:rPr>
        <w:t xml:space="preserve"> </w:t>
      </w:r>
      <w:r w:rsidRPr="000977F7">
        <w:rPr>
          <w:rFonts w:asciiTheme="majorHAnsi" w:hAnsiTheme="majorHAnsi"/>
          <w:sz w:val="20"/>
          <w:szCs w:val="20"/>
        </w:rPr>
        <w:t>прямо</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посередньо</w:t>
      </w:r>
      <w:r w:rsidRPr="000977F7">
        <w:rPr>
          <w:rFonts w:asciiTheme="majorHAnsi" w:hAnsiTheme="majorHAnsi"/>
          <w:spacing w:val="1"/>
          <w:sz w:val="20"/>
          <w:szCs w:val="20"/>
        </w:rPr>
        <w:t xml:space="preserve"> </w:t>
      </w:r>
      <w:r w:rsidRPr="000977F7">
        <w:rPr>
          <w:rFonts w:asciiTheme="majorHAnsi" w:hAnsiTheme="majorHAnsi"/>
          <w:sz w:val="20"/>
          <w:szCs w:val="20"/>
        </w:rPr>
        <w:t>негативно</w:t>
      </w:r>
      <w:r w:rsidRPr="000977F7">
        <w:rPr>
          <w:rFonts w:asciiTheme="majorHAnsi" w:hAnsiTheme="majorHAnsi"/>
          <w:spacing w:val="1"/>
          <w:sz w:val="20"/>
          <w:szCs w:val="20"/>
        </w:rPr>
        <w:t xml:space="preserve"> </w:t>
      </w:r>
      <w:r w:rsidRPr="000977F7">
        <w:rPr>
          <w:rFonts w:asciiTheme="majorHAnsi" w:hAnsiTheme="majorHAnsi"/>
          <w:sz w:val="20"/>
          <w:szCs w:val="20"/>
        </w:rPr>
        <w:t>вплинути</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стан</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 природного середовища;</w:t>
      </w:r>
    </w:p>
    <w:p w14:paraId="1D87C9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 оцінка повноти й обґрунтованості передбачуваних</w:t>
      </w:r>
      <w:r w:rsidRPr="000977F7">
        <w:rPr>
          <w:rFonts w:asciiTheme="majorHAnsi" w:hAnsiTheme="majorHAnsi"/>
          <w:spacing w:val="1"/>
          <w:sz w:val="20"/>
          <w:szCs w:val="20"/>
        </w:rPr>
        <w:t xml:space="preserve"> </w:t>
      </w:r>
      <w:r w:rsidRPr="000977F7">
        <w:rPr>
          <w:rFonts w:asciiTheme="majorHAnsi" w:hAnsiTheme="majorHAnsi"/>
          <w:sz w:val="20"/>
          <w:szCs w:val="20"/>
        </w:rPr>
        <w:t>заходів</w:t>
      </w:r>
      <w:r w:rsidRPr="000977F7">
        <w:rPr>
          <w:rFonts w:asciiTheme="majorHAnsi" w:hAnsiTheme="majorHAnsi"/>
          <w:spacing w:val="1"/>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 та здоров'я населення, яка здійснюється</w:t>
      </w:r>
      <w:r w:rsidRPr="000977F7">
        <w:rPr>
          <w:rFonts w:asciiTheme="majorHAnsi" w:hAnsiTheme="majorHAnsi"/>
          <w:spacing w:val="1"/>
          <w:sz w:val="20"/>
          <w:szCs w:val="20"/>
        </w:rPr>
        <w:t xml:space="preserve"> </w:t>
      </w:r>
      <w:r w:rsidRPr="000977F7">
        <w:rPr>
          <w:rFonts w:asciiTheme="majorHAnsi" w:hAnsiTheme="majorHAnsi"/>
          <w:sz w:val="20"/>
          <w:szCs w:val="20"/>
        </w:rPr>
        <w:t>центральним органом виконавчої влади, що реалізує</w:t>
      </w:r>
      <w:r w:rsidRPr="000977F7">
        <w:rPr>
          <w:rFonts w:asciiTheme="majorHAnsi" w:hAnsiTheme="majorHAnsi"/>
          <w:spacing w:val="1"/>
          <w:sz w:val="20"/>
          <w:szCs w:val="20"/>
        </w:rPr>
        <w:t xml:space="preserve"> </w:t>
      </w:r>
      <w:r w:rsidRPr="000977F7">
        <w:rPr>
          <w:rFonts w:asciiTheme="majorHAnsi" w:hAnsiTheme="majorHAnsi"/>
          <w:sz w:val="20"/>
          <w:szCs w:val="20"/>
        </w:rPr>
        <w:t>державну політику у сфері</w:t>
      </w:r>
      <w:r w:rsidRPr="000977F7">
        <w:rPr>
          <w:rFonts w:asciiTheme="majorHAnsi" w:hAnsiTheme="majorHAnsi"/>
          <w:spacing w:val="1"/>
          <w:sz w:val="20"/>
          <w:szCs w:val="20"/>
        </w:rPr>
        <w:t xml:space="preserve"> </w:t>
      </w:r>
      <w:r w:rsidRPr="000977F7">
        <w:rPr>
          <w:rFonts w:asciiTheme="majorHAnsi" w:hAnsiTheme="majorHAnsi"/>
          <w:sz w:val="20"/>
          <w:szCs w:val="20"/>
        </w:rPr>
        <w:t>охорони 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природного середовища, разом з центральним органом виконавчої влади, що реалізує державну політику</w:t>
      </w:r>
      <w:r w:rsidRPr="000977F7">
        <w:rPr>
          <w:rFonts w:asciiTheme="majorHAnsi" w:hAnsiTheme="majorHAnsi"/>
          <w:spacing w:val="-47"/>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сфері</w:t>
      </w:r>
      <w:r w:rsidRPr="000977F7">
        <w:rPr>
          <w:rFonts w:asciiTheme="majorHAnsi" w:hAnsiTheme="majorHAnsi"/>
          <w:spacing w:val="1"/>
          <w:sz w:val="20"/>
          <w:szCs w:val="20"/>
        </w:rPr>
        <w:t xml:space="preserve"> </w:t>
      </w:r>
      <w:r w:rsidRPr="000977F7">
        <w:rPr>
          <w:rFonts w:asciiTheme="majorHAnsi" w:hAnsiTheme="majorHAnsi"/>
          <w:sz w:val="20"/>
          <w:szCs w:val="20"/>
        </w:rPr>
        <w:t>санітарного</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епідемічного</w:t>
      </w:r>
      <w:r w:rsidRPr="000977F7">
        <w:rPr>
          <w:rFonts w:asciiTheme="majorHAnsi" w:hAnsiTheme="majorHAnsi"/>
          <w:spacing w:val="1"/>
          <w:sz w:val="20"/>
          <w:szCs w:val="20"/>
        </w:rPr>
        <w:t xml:space="preserve"> </w:t>
      </w:r>
      <w:r w:rsidRPr="000977F7">
        <w:rPr>
          <w:rFonts w:asciiTheme="majorHAnsi" w:hAnsiTheme="majorHAnsi"/>
          <w:sz w:val="20"/>
          <w:szCs w:val="20"/>
        </w:rPr>
        <w:t>благополуччя</w:t>
      </w:r>
      <w:r w:rsidRPr="000977F7">
        <w:rPr>
          <w:rFonts w:asciiTheme="majorHAnsi" w:hAnsiTheme="majorHAnsi"/>
          <w:spacing w:val="1"/>
          <w:sz w:val="20"/>
          <w:szCs w:val="20"/>
        </w:rPr>
        <w:t xml:space="preserve"> </w:t>
      </w:r>
      <w:r w:rsidRPr="000977F7">
        <w:rPr>
          <w:rFonts w:asciiTheme="majorHAnsi" w:hAnsiTheme="majorHAnsi"/>
          <w:sz w:val="20"/>
          <w:szCs w:val="20"/>
        </w:rPr>
        <w:t>населення.</w:t>
      </w:r>
    </w:p>
    <w:p w14:paraId="7D495A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Для участі в проведенні державної екологічної експертизи можуть</w:t>
      </w:r>
      <w:r w:rsidRPr="000977F7">
        <w:rPr>
          <w:rFonts w:asciiTheme="majorHAnsi" w:hAnsiTheme="majorHAnsi"/>
          <w:spacing w:val="1"/>
          <w:sz w:val="20"/>
          <w:szCs w:val="20"/>
        </w:rPr>
        <w:t xml:space="preserve"> </w:t>
      </w:r>
      <w:r w:rsidRPr="000977F7">
        <w:rPr>
          <w:rFonts w:asciiTheme="majorHAnsi" w:hAnsiTheme="majorHAnsi"/>
          <w:sz w:val="20"/>
          <w:szCs w:val="20"/>
        </w:rPr>
        <w:t>залучатися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відповідні</w:t>
      </w:r>
      <w:r w:rsidRPr="000977F7">
        <w:rPr>
          <w:rFonts w:asciiTheme="majorHAnsi" w:hAnsiTheme="majorHAnsi"/>
          <w:spacing w:val="1"/>
          <w:sz w:val="20"/>
          <w:szCs w:val="20"/>
        </w:rPr>
        <w:t xml:space="preserve"> </w:t>
      </w:r>
      <w:r w:rsidRPr="000977F7">
        <w:rPr>
          <w:rFonts w:asciiTheme="majorHAnsi" w:hAnsiTheme="majorHAnsi"/>
          <w:sz w:val="20"/>
          <w:szCs w:val="20"/>
        </w:rPr>
        <w:t>органи виконавчої влади, представники науково-дослідних, проектно-конструкторських, інших установ та організацій, вищих навчальних закладів, громадськості, експерти</w:t>
      </w:r>
      <w:r w:rsidRPr="000977F7">
        <w:rPr>
          <w:rFonts w:asciiTheme="majorHAnsi" w:hAnsiTheme="majorHAnsi"/>
          <w:spacing w:val="-2"/>
          <w:sz w:val="20"/>
          <w:szCs w:val="20"/>
        </w:rPr>
        <w:t xml:space="preserve"> </w:t>
      </w:r>
      <w:r w:rsidRPr="000977F7">
        <w:rPr>
          <w:rFonts w:asciiTheme="majorHAnsi" w:hAnsiTheme="majorHAnsi"/>
          <w:sz w:val="20"/>
          <w:szCs w:val="20"/>
        </w:rPr>
        <w:t>міжнародних</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організацій.</w:t>
      </w:r>
    </w:p>
    <w:p w14:paraId="0226E8B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Закон України</w:t>
      </w:r>
      <w:r w:rsidRPr="000977F7">
        <w:rPr>
          <w:rFonts w:asciiTheme="majorHAnsi" w:hAnsiTheme="majorHAnsi"/>
          <w:i/>
          <w:spacing w:val="1"/>
          <w:sz w:val="20"/>
          <w:szCs w:val="20"/>
        </w:rPr>
        <w:t xml:space="preserve"> "</w:t>
      </w:r>
      <w:r w:rsidRPr="000977F7">
        <w:rPr>
          <w:rFonts w:asciiTheme="majorHAnsi" w:hAnsiTheme="majorHAnsi"/>
          <w:i/>
          <w:sz w:val="20"/>
          <w:szCs w:val="20"/>
        </w:rPr>
        <w:t>Про охорону навколишнього природного середовища"</w:t>
      </w:r>
    </w:p>
    <w:p w14:paraId="29BABC07"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shd w:val="clear" w:color="auto" w:fill="FFFFFF"/>
        </w:rPr>
      </w:pPr>
      <w:r w:rsidRPr="000977F7">
        <w:rPr>
          <w:rFonts w:asciiTheme="majorHAnsi" w:hAnsiTheme="majorHAnsi"/>
          <w:b/>
          <w:bCs/>
          <w:sz w:val="20"/>
          <w:szCs w:val="20"/>
          <w:shd w:val="clear" w:color="auto" w:fill="FFFFFF"/>
        </w:rPr>
        <w:t>ДЕРЖАВНА МИТНА ПОЛІТИКА –</w:t>
      </w:r>
    </w:p>
    <w:p w14:paraId="7BCC229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Система принципів та напрямів діяльності держави у сфері захисту митних інтересів та забезпечення митної безпеки України, регулювання зовнішньої торгівлі, захисту внутрішнього ринку, розвитку економіки України та її інтеграції до світової економіки. Державна митна політика є складовою частиною державної економічної політики</w:t>
      </w:r>
    </w:p>
    <w:p w14:paraId="61573D9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w:t>
      </w:r>
      <w:r w:rsidRPr="000977F7">
        <w:rPr>
          <w:rFonts w:asciiTheme="majorHAnsi" w:hAnsiTheme="majorHAnsi"/>
          <w:i/>
          <w:spacing w:val="-2"/>
          <w:sz w:val="20"/>
          <w:szCs w:val="20"/>
        </w:rPr>
        <w:t xml:space="preserve"> </w:t>
      </w:r>
      <w:r w:rsidRPr="000977F7">
        <w:rPr>
          <w:rFonts w:asciiTheme="majorHAnsi" w:hAnsiTheme="majorHAnsi"/>
          <w:i/>
          <w:sz w:val="20"/>
          <w:szCs w:val="20"/>
        </w:rPr>
        <w:t>кодекс</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p>
    <w:p w14:paraId="6AE1A75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ДЕРЖАВНА</w:t>
      </w:r>
      <w:r w:rsidRPr="000977F7">
        <w:rPr>
          <w:color w:val="auto"/>
          <w:spacing w:val="1"/>
          <w:sz w:val="20"/>
          <w:szCs w:val="20"/>
        </w:rPr>
        <w:t xml:space="preserve"> </w:t>
      </w:r>
      <w:r w:rsidRPr="000977F7">
        <w:rPr>
          <w:color w:val="auto"/>
          <w:sz w:val="20"/>
          <w:szCs w:val="20"/>
        </w:rPr>
        <w:t>ПОВІРКА</w:t>
      </w:r>
      <w:r w:rsidRPr="000977F7">
        <w:rPr>
          <w:color w:val="auto"/>
          <w:spacing w:val="1"/>
          <w:sz w:val="20"/>
          <w:szCs w:val="20"/>
        </w:rPr>
        <w:t xml:space="preserve"> </w:t>
      </w:r>
      <w:r w:rsidRPr="000977F7">
        <w:rPr>
          <w:color w:val="auto"/>
          <w:sz w:val="20"/>
          <w:szCs w:val="20"/>
        </w:rPr>
        <w:t xml:space="preserve">ЗАСОБІВ </w:t>
      </w:r>
    </w:p>
    <w:p w14:paraId="6DDD68E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ВИМІРЮ</w:t>
      </w:r>
      <w:r w:rsidRPr="000977F7">
        <w:rPr>
          <w:color w:val="auto"/>
          <w:spacing w:val="-47"/>
          <w:sz w:val="20"/>
          <w:szCs w:val="20"/>
        </w:rPr>
        <w:t xml:space="preserve"> </w:t>
      </w:r>
      <w:r w:rsidRPr="000977F7">
        <w:rPr>
          <w:color w:val="auto"/>
          <w:sz w:val="20"/>
          <w:szCs w:val="20"/>
        </w:rPr>
        <w:t>ВАЛЬНОЇ</w:t>
      </w:r>
      <w:r w:rsidRPr="000977F7">
        <w:rPr>
          <w:color w:val="auto"/>
          <w:spacing w:val="-2"/>
          <w:sz w:val="20"/>
          <w:szCs w:val="20"/>
        </w:rPr>
        <w:t xml:space="preserve"> </w:t>
      </w:r>
      <w:r w:rsidRPr="000977F7">
        <w:rPr>
          <w:color w:val="auto"/>
          <w:sz w:val="20"/>
          <w:szCs w:val="20"/>
        </w:rPr>
        <w:t>ТЕХНІКИ</w:t>
      </w:r>
      <w:r w:rsidRPr="000977F7">
        <w:rPr>
          <w:color w:val="auto"/>
          <w:spacing w:val="1"/>
          <w:sz w:val="20"/>
          <w:szCs w:val="20"/>
        </w:rPr>
        <w:t xml:space="preserve"> </w:t>
      </w:r>
      <w:r w:rsidRPr="000977F7">
        <w:rPr>
          <w:color w:val="auto"/>
          <w:sz w:val="20"/>
          <w:szCs w:val="20"/>
        </w:rPr>
        <w:t>–</w:t>
      </w:r>
    </w:p>
    <w:p w14:paraId="620E5E0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STATEVERIFICATION</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5C3A12F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Повірка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органами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державної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метрологічної</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служби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 за їх дорученням засобів вимірювальної техніки,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які використовуються в сферах, що підлягають державному</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метрологічному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нагляду</w:t>
      </w:r>
    </w:p>
    <w:p w14:paraId="3AF6D1E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29DF063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ДЕРЖАВНА</w:t>
      </w:r>
      <w:r w:rsidRPr="000977F7">
        <w:rPr>
          <w:color w:val="auto"/>
          <w:spacing w:val="-6"/>
          <w:sz w:val="20"/>
          <w:szCs w:val="20"/>
        </w:rPr>
        <w:t xml:space="preserve"> </w:t>
      </w:r>
      <w:r w:rsidRPr="000977F7">
        <w:rPr>
          <w:color w:val="auto"/>
          <w:sz w:val="20"/>
          <w:szCs w:val="20"/>
        </w:rPr>
        <w:t>МЕТРОЛОГІЧНА</w:t>
      </w:r>
      <w:r w:rsidRPr="000977F7">
        <w:rPr>
          <w:color w:val="auto"/>
          <w:spacing w:val="-5"/>
          <w:sz w:val="20"/>
          <w:szCs w:val="20"/>
        </w:rPr>
        <w:t xml:space="preserve"> </w:t>
      </w:r>
      <w:r w:rsidRPr="000977F7">
        <w:rPr>
          <w:color w:val="auto"/>
          <w:sz w:val="20"/>
          <w:szCs w:val="20"/>
        </w:rPr>
        <w:t>СЛУЖБА–</w:t>
      </w:r>
    </w:p>
    <w:p w14:paraId="6BFD9B5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NATIONAL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SERVICE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LEGAL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METROLOGY –</w:t>
      </w:r>
    </w:p>
    <w:p w14:paraId="7B3DE12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державних метрологічних органів, на які покладена відповідальність за забезпечення єдності вимірювань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державі</w:t>
      </w:r>
    </w:p>
    <w:p w14:paraId="0FF4639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D9CCB5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ДЕРЖАВНА</w:t>
      </w:r>
      <w:r w:rsidRPr="000977F7">
        <w:rPr>
          <w:color w:val="auto"/>
          <w:spacing w:val="11"/>
          <w:sz w:val="20"/>
          <w:szCs w:val="20"/>
        </w:rPr>
        <w:t xml:space="preserve"> </w:t>
      </w:r>
      <w:r w:rsidRPr="000977F7">
        <w:rPr>
          <w:color w:val="auto"/>
          <w:sz w:val="20"/>
          <w:szCs w:val="20"/>
        </w:rPr>
        <w:t>ПОЛІТИКА</w:t>
      </w:r>
      <w:r w:rsidRPr="000977F7">
        <w:rPr>
          <w:color w:val="auto"/>
          <w:spacing w:val="13"/>
          <w:sz w:val="20"/>
          <w:szCs w:val="20"/>
        </w:rPr>
        <w:t xml:space="preserve"> </w:t>
      </w:r>
      <w:r w:rsidRPr="000977F7">
        <w:rPr>
          <w:color w:val="auto"/>
          <w:sz w:val="20"/>
          <w:szCs w:val="20"/>
        </w:rPr>
        <w:t>В</w:t>
      </w:r>
      <w:r w:rsidRPr="000977F7">
        <w:rPr>
          <w:color w:val="auto"/>
          <w:spacing w:val="12"/>
          <w:sz w:val="20"/>
          <w:szCs w:val="20"/>
        </w:rPr>
        <w:t xml:space="preserve"> </w:t>
      </w:r>
      <w:r w:rsidRPr="000977F7">
        <w:rPr>
          <w:color w:val="auto"/>
          <w:sz w:val="20"/>
          <w:szCs w:val="20"/>
        </w:rPr>
        <w:t>ГАЛУЗІ</w:t>
      </w:r>
      <w:r w:rsidRPr="000977F7">
        <w:rPr>
          <w:color w:val="auto"/>
          <w:spacing w:val="10"/>
          <w:sz w:val="20"/>
          <w:szCs w:val="20"/>
        </w:rPr>
        <w:t xml:space="preserve"> </w:t>
      </w:r>
      <w:r w:rsidRPr="000977F7">
        <w:rPr>
          <w:color w:val="auto"/>
          <w:sz w:val="20"/>
          <w:szCs w:val="20"/>
        </w:rPr>
        <w:t>ОХОРОНИ</w:t>
      </w:r>
      <w:r w:rsidRPr="000977F7">
        <w:rPr>
          <w:color w:val="auto"/>
          <w:spacing w:val="-47"/>
          <w:sz w:val="20"/>
          <w:szCs w:val="20"/>
        </w:rPr>
        <w:t xml:space="preserve"> </w:t>
      </w:r>
      <w:r w:rsidRPr="000977F7">
        <w:rPr>
          <w:color w:val="auto"/>
          <w:sz w:val="20"/>
          <w:szCs w:val="20"/>
        </w:rPr>
        <w:t>ПРАЦІ</w:t>
      </w:r>
      <w:r w:rsidRPr="000977F7">
        <w:rPr>
          <w:color w:val="auto"/>
          <w:spacing w:val="-1"/>
          <w:sz w:val="20"/>
          <w:szCs w:val="20"/>
        </w:rPr>
        <w:t xml:space="preserve"> </w:t>
      </w:r>
      <w:r w:rsidRPr="000977F7">
        <w:rPr>
          <w:color w:val="auto"/>
          <w:sz w:val="20"/>
          <w:szCs w:val="20"/>
        </w:rPr>
        <w:t>-</w:t>
      </w:r>
    </w:p>
    <w:p w14:paraId="73322A7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Державна політика в галузі охорони праці визначається відповідно до Конституції України Верховною</w:t>
      </w:r>
      <w:r w:rsidRPr="000977F7">
        <w:rPr>
          <w:rFonts w:asciiTheme="majorHAnsi" w:hAnsiTheme="majorHAnsi"/>
          <w:spacing w:val="1"/>
          <w:sz w:val="20"/>
          <w:szCs w:val="20"/>
        </w:rPr>
        <w:t xml:space="preserve"> </w:t>
      </w:r>
      <w:r w:rsidRPr="000977F7">
        <w:rPr>
          <w:rFonts w:asciiTheme="majorHAnsi" w:hAnsiTheme="majorHAnsi"/>
          <w:sz w:val="20"/>
          <w:szCs w:val="20"/>
        </w:rPr>
        <w:t>Радою України і спрямована на створення належних,</w:t>
      </w:r>
      <w:r w:rsidRPr="000977F7">
        <w:rPr>
          <w:rFonts w:asciiTheme="majorHAnsi" w:hAnsiTheme="majorHAnsi"/>
          <w:spacing w:val="1"/>
          <w:sz w:val="20"/>
          <w:szCs w:val="20"/>
        </w:rPr>
        <w:t xml:space="preserve"> </w:t>
      </w:r>
      <w:r w:rsidRPr="000977F7">
        <w:rPr>
          <w:rFonts w:asciiTheme="majorHAnsi" w:hAnsiTheme="majorHAnsi"/>
          <w:sz w:val="20"/>
          <w:szCs w:val="20"/>
        </w:rPr>
        <w:t>безпечних і здорових умов праці, запобігання нещасним</w:t>
      </w:r>
      <w:r w:rsidRPr="000977F7">
        <w:rPr>
          <w:rFonts w:asciiTheme="majorHAnsi" w:hAnsiTheme="majorHAnsi"/>
          <w:spacing w:val="-1"/>
          <w:sz w:val="20"/>
          <w:szCs w:val="20"/>
        </w:rPr>
        <w:t xml:space="preserve"> </w:t>
      </w:r>
      <w:r w:rsidRPr="000977F7">
        <w:rPr>
          <w:rFonts w:asciiTheme="majorHAnsi" w:hAnsiTheme="majorHAnsi"/>
          <w:sz w:val="20"/>
          <w:szCs w:val="20"/>
        </w:rPr>
        <w:t>випадкам</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професійним</w:t>
      </w:r>
      <w:r w:rsidRPr="000977F7">
        <w:rPr>
          <w:rFonts w:asciiTheme="majorHAnsi" w:hAnsiTheme="majorHAnsi"/>
          <w:spacing w:val="-1"/>
          <w:sz w:val="20"/>
          <w:szCs w:val="20"/>
        </w:rPr>
        <w:t xml:space="preserve"> </w:t>
      </w:r>
      <w:r w:rsidRPr="000977F7">
        <w:rPr>
          <w:rFonts w:asciiTheme="majorHAnsi" w:hAnsiTheme="majorHAnsi"/>
          <w:sz w:val="20"/>
          <w:szCs w:val="20"/>
        </w:rPr>
        <w:t>захворюванням.</w:t>
      </w:r>
    </w:p>
    <w:p w14:paraId="6692F65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Державна політика в галузі охорони праці базується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принципах:</w:t>
      </w:r>
    </w:p>
    <w:p w14:paraId="2F02020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пріоритету життя і здоров'я працівників, повної відповідальності</w:t>
      </w:r>
      <w:r w:rsidRPr="000977F7">
        <w:rPr>
          <w:rFonts w:asciiTheme="majorHAnsi" w:hAnsiTheme="majorHAnsi"/>
          <w:spacing w:val="1"/>
          <w:sz w:val="20"/>
          <w:szCs w:val="20"/>
        </w:rPr>
        <w:t xml:space="preserve"> </w:t>
      </w:r>
      <w:r w:rsidRPr="000977F7">
        <w:rPr>
          <w:rFonts w:asciiTheme="majorHAnsi" w:hAnsiTheme="majorHAnsi"/>
          <w:sz w:val="20"/>
          <w:szCs w:val="20"/>
        </w:rPr>
        <w:t>роботодавця</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створення</w:t>
      </w:r>
      <w:r w:rsidRPr="000977F7">
        <w:rPr>
          <w:rFonts w:asciiTheme="majorHAnsi" w:hAnsiTheme="majorHAnsi"/>
          <w:spacing w:val="1"/>
          <w:sz w:val="20"/>
          <w:szCs w:val="20"/>
        </w:rPr>
        <w:t xml:space="preserve"> </w:t>
      </w:r>
      <w:r w:rsidRPr="000977F7">
        <w:rPr>
          <w:rFonts w:asciiTheme="majorHAnsi" w:hAnsiTheme="majorHAnsi"/>
          <w:sz w:val="20"/>
          <w:szCs w:val="20"/>
        </w:rPr>
        <w:t>належних,</w:t>
      </w:r>
      <w:r w:rsidRPr="000977F7">
        <w:rPr>
          <w:rFonts w:asciiTheme="majorHAnsi" w:hAnsiTheme="majorHAnsi"/>
          <w:spacing w:val="1"/>
          <w:sz w:val="20"/>
          <w:szCs w:val="20"/>
        </w:rPr>
        <w:t xml:space="preserve"> </w:t>
      </w:r>
      <w:r w:rsidRPr="000977F7">
        <w:rPr>
          <w:rFonts w:asciiTheme="majorHAnsi" w:hAnsiTheme="majorHAnsi"/>
          <w:sz w:val="20"/>
          <w:szCs w:val="20"/>
        </w:rPr>
        <w:t>безпечних</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здорових</w:t>
      </w:r>
      <w:r w:rsidRPr="000977F7">
        <w:rPr>
          <w:rFonts w:asciiTheme="majorHAnsi" w:hAnsiTheme="majorHAnsi"/>
          <w:spacing w:val="1"/>
          <w:sz w:val="20"/>
          <w:szCs w:val="20"/>
        </w:rPr>
        <w:t xml:space="preserve"> </w:t>
      </w:r>
      <w:r w:rsidRPr="000977F7">
        <w:rPr>
          <w:rFonts w:asciiTheme="majorHAnsi" w:hAnsiTheme="majorHAnsi"/>
          <w:sz w:val="20"/>
          <w:szCs w:val="20"/>
        </w:rPr>
        <w:t>умов</w:t>
      </w:r>
      <w:r w:rsidRPr="000977F7">
        <w:rPr>
          <w:rFonts w:asciiTheme="majorHAnsi" w:hAnsiTheme="majorHAnsi"/>
          <w:spacing w:val="-1"/>
          <w:sz w:val="20"/>
          <w:szCs w:val="20"/>
        </w:rPr>
        <w:t xml:space="preserve"> </w:t>
      </w:r>
      <w:r w:rsidRPr="000977F7">
        <w:rPr>
          <w:rFonts w:asciiTheme="majorHAnsi" w:hAnsiTheme="majorHAnsi"/>
          <w:sz w:val="20"/>
          <w:szCs w:val="20"/>
        </w:rPr>
        <w:t>праці;</w:t>
      </w:r>
    </w:p>
    <w:p w14:paraId="7B13F7B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підвищення</w:t>
      </w:r>
      <w:r w:rsidRPr="000977F7">
        <w:rPr>
          <w:rFonts w:asciiTheme="majorHAnsi" w:hAnsiTheme="majorHAnsi"/>
          <w:spacing w:val="1"/>
          <w:sz w:val="20"/>
          <w:szCs w:val="20"/>
        </w:rPr>
        <w:t xml:space="preserve"> </w:t>
      </w:r>
      <w:r w:rsidRPr="000977F7">
        <w:rPr>
          <w:rFonts w:asciiTheme="majorHAnsi" w:hAnsiTheme="majorHAnsi"/>
          <w:sz w:val="20"/>
          <w:szCs w:val="20"/>
        </w:rPr>
        <w:t>рівня</w:t>
      </w:r>
      <w:r w:rsidRPr="000977F7">
        <w:rPr>
          <w:rFonts w:asciiTheme="majorHAnsi" w:hAnsiTheme="majorHAnsi"/>
          <w:spacing w:val="1"/>
          <w:sz w:val="20"/>
          <w:szCs w:val="20"/>
        </w:rPr>
        <w:t xml:space="preserve"> </w:t>
      </w:r>
      <w:r w:rsidRPr="000977F7">
        <w:rPr>
          <w:rFonts w:asciiTheme="majorHAnsi" w:hAnsiTheme="majorHAnsi"/>
          <w:sz w:val="20"/>
          <w:szCs w:val="20"/>
        </w:rPr>
        <w:t>промислової</w:t>
      </w:r>
      <w:r w:rsidRPr="000977F7">
        <w:rPr>
          <w:rFonts w:asciiTheme="majorHAnsi" w:hAnsiTheme="majorHAnsi"/>
          <w:spacing w:val="1"/>
          <w:sz w:val="20"/>
          <w:szCs w:val="20"/>
        </w:rPr>
        <w:t xml:space="preserve"> </w:t>
      </w:r>
      <w:r w:rsidRPr="000977F7">
        <w:rPr>
          <w:rFonts w:asciiTheme="majorHAnsi" w:hAnsiTheme="majorHAnsi"/>
          <w:sz w:val="20"/>
          <w:szCs w:val="20"/>
        </w:rPr>
        <w:t>безпеки</w:t>
      </w:r>
      <w:r w:rsidRPr="000977F7">
        <w:rPr>
          <w:rFonts w:asciiTheme="majorHAnsi" w:hAnsiTheme="majorHAnsi"/>
          <w:spacing w:val="1"/>
          <w:sz w:val="20"/>
          <w:szCs w:val="20"/>
        </w:rPr>
        <w:t xml:space="preserve"> </w:t>
      </w:r>
      <w:r w:rsidRPr="000977F7">
        <w:rPr>
          <w:rFonts w:asciiTheme="majorHAnsi" w:hAnsiTheme="majorHAnsi"/>
          <w:sz w:val="20"/>
          <w:szCs w:val="20"/>
        </w:rPr>
        <w:t>шляхом</w:t>
      </w:r>
      <w:r w:rsidRPr="000977F7">
        <w:rPr>
          <w:rFonts w:asciiTheme="majorHAnsi" w:hAnsiTheme="majorHAnsi"/>
          <w:spacing w:val="1"/>
          <w:sz w:val="20"/>
          <w:szCs w:val="20"/>
        </w:rPr>
        <w:t xml:space="preserve"> </w:t>
      </w:r>
      <w:r w:rsidRPr="000977F7">
        <w:rPr>
          <w:rFonts w:asciiTheme="majorHAnsi" w:hAnsiTheme="majorHAnsi"/>
          <w:sz w:val="20"/>
          <w:szCs w:val="20"/>
        </w:rPr>
        <w:t>забезпечення суцільного технічного контролю за станом</w:t>
      </w:r>
      <w:r w:rsidRPr="000977F7">
        <w:rPr>
          <w:rFonts w:asciiTheme="majorHAnsi" w:hAnsiTheme="majorHAnsi"/>
          <w:spacing w:val="-47"/>
          <w:sz w:val="20"/>
          <w:szCs w:val="20"/>
        </w:rPr>
        <w:t xml:space="preserve"> </w:t>
      </w:r>
      <w:r w:rsidRPr="000977F7">
        <w:rPr>
          <w:rFonts w:asciiTheme="majorHAnsi" w:hAnsiTheme="majorHAnsi"/>
          <w:sz w:val="20"/>
          <w:szCs w:val="20"/>
        </w:rPr>
        <w:t>виробництв, технологій та продукції, а також сприяння підприємствам у створенні безпечних та нешкідливих умов</w:t>
      </w:r>
      <w:r w:rsidRPr="000977F7">
        <w:rPr>
          <w:rFonts w:asciiTheme="majorHAnsi" w:hAnsiTheme="majorHAnsi"/>
          <w:spacing w:val="-1"/>
          <w:sz w:val="20"/>
          <w:szCs w:val="20"/>
        </w:rPr>
        <w:t xml:space="preserve"> </w:t>
      </w:r>
      <w:r w:rsidRPr="000977F7">
        <w:rPr>
          <w:rFonts w:asciiTheme="majorHAnsi" w:hAnsiTheme="majorHAnsi"/>
          <w:sz w:val="20"/>
          <w:szCs w:val="20"/>
        </w:rPr>
        <w:t>праці;</w:t>
      </w:r>
    </w:p>
    <w:p w14:paraId="4813246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комплексного</w:t>
      </w:r>
      <w:r w:rsidRPr="000977F7">
        <w:rPr>
          <w:rFonts w:asciiTheme="majorHAnsi" w:hAnsiTheme="majorHAnsi"/>
          <w:spacing w:val="34"/>
          <w:sz w:val="20"/>
          <w:szCs w:val="20"/>
        </w:rPr>
        <w:t xml:space="preserve"> </w:t>
      </w:r>
      <w:r w:rsidRPr="000977F7">
        <w:rPr>
          <w:rFonts w:asciiTheme="majorHAnsi" w:hAnsiTheme="majorHAnsi"/>
          <w:sz w:val="20"/>
          <w:szCs w:val="20"/>
        </w:rPr>
        <w:t>розв'язання</w:t>
      </w:r>
      <w:r w:rsidRPr="000977F7">
        <w:rPr>
          <w:rFonts w:asciiTheme="majorHAnsi" w:hAnsiTheme="majorHAnsi"/>
          <w:spacing w:val="34"/>
          <w:sz w:val="20"/>
          <w:szCs w:val="20"/>
        </w:rPr>
        <w:t xml:space="preserve"> </w:t>
      </w:r>
      <w:r w:rsidRPr="000977F7">
        <w:rPr>
          <w:rFonts w:asciiTheme="majorHAnsi" w:hAnsiTheme="majorHAnsi"/>
          <w:sz w:val="20"/>
          <w:szCs w:val="20"/>
        </w:rPr>
        <w:t>завдань</w:t>
      </w:r>
      <w:r w:rsidRPr="000977F7">
        <w:rPr>
          <w:rFonts w:asciiTheme="majorHAnsi" w:hAnsiTheme="majorHAnsi"/>
          <w:spacing w:val="34"/>
          <w:sz w:val="20"/>
          <w:szCs w:val="20"/>
        </w:rPr>
        <w:t xml:space="preserve"> </w:t>
      </w:r>
      <w:r w:rsidRPr="000977F7">
        <w:rPr>
          <w:rFonts w:asciiTheme="majorHAnsi" w:hAnsiTheme="majorHAnsi"/>
          <w:sz w:val="20"/>
          <w:szCs w:val="20"/>
        </w:rPr>
        <w:t>охорони</w:t>
      </w:r>
      <w:r w:rsidRPr="000977F7">
        <w:rPr>
          <w:rFonts w:asciiTheme="majorHAnsi" w:hAnsiTheme="majorHAnsi"/>
          <w:spacing w:val="33"/>
          <w:sz w:val="20"/>
          <w:szCs w:val="20"/>
        </w:rPr>
        <w:t xml:space="preserve"> </w:t>
      </w:r>
      <w:r w:rsidRPr="000977F7">
        <w:rPr>
          <w:rFonts w:asciiTheme="majorHAnsi" w:hAnsiTheme="majorHAnsi"/>
          <w:sz w:val="20"/>
          <w:szCs w:val="20"/>
        </w:rPr>
        <w:t>праці</w:t>
      </w:r>
      <w:r w:rsidRPr="000977F7">
        <w:rPr>
          <w:rFonts w:asciiTheme="majorHAnsi" w:hAnsiTheme="majorHAnsi"/>
          <w:spacing w:val="35"/>
          <w:sz w:val="20"/>
          <w:szCs w:val="20"/>
        </w:rPr>
        <w:t xml:space="preserve"> </w:t>
      </w:r>
      <w:r w:rsidRPr="000977F7">
        <w:rPr>
          <w:rFonts w:asciiTheme="majorHAnsi" w:hAnsiTheme="majorHAnsi"/>
          <w:sz w:val="20"/>
          <w:szCs w:val="20"/>
        </w:rPr>
        <w:t>на</w:t>
      </w:r>
      <w:r w:rsidRPr="000977F7">
        <w:rPr>
          <w:rFonts w:asciiTheme="majorHAnsi" w:hAnsiTheme="majorHAnsi"/>
          <w:spacing w:val="-47"/>
          <w:sz w:val="20"/>
          <w:szCs w:val="20"/>
        </w:rPr>
        <w:t xml:space="preserve"> </w:t>
      </w:r>
      <w:r w:rsidRPr="000977F7">
        <w:rPr>
          <w:rFonts w:asciiTheme="majorHAnsi" w:hAnsiTheme="majorHAnsi"/>
          <w:sz w:val="20"/>
          <w:szCs w:val="20"/>
        </w:rPr>
        <w:t>основі</w:t>
      </w:r>
      <w:r w:rsidRPr="000977F7">
        <w:rPr>
          <w:rFonts w:asciiTheme="majorHAnsi" w:hAnsiTheme="majorHAnsi"/>
          <w:spacing w:val="1"/>
          <w:sz w:val="20"/>
          <w:szCs w:val="20"/>
        </w:rPr>
        <w:t xml:space="preserve"> </w:t>
      </w:r>
      <w:r w:rsidRPr="000977F7">
        <w:rPr>
          <w:rFonts w:asciiTheme="majorHAnsi" w:hAnsiTheme="majorHAnsi"/>
          <w:sz w:val="20"/>
          <w:szCs w:val="20"/>
        </w:rPr>
        <w:t>загальнодержавної,</w:t>
      </w:r>
      <w:r w:rsidRPr="000977F7">
        <w:rPr>
          <w:rFonts w:asciiTheme="majorHAnsi" w:hAnsiTheme="majorHAnsi"/>
          <w:spacing w:val="1"/>
          <w:sz w:val="20"/>
          <w:szCs w:val="20"/>
        </w:rPr>
        <w:t xml:space="preserve"> </w:t>
      </w:r>
      <w:r w:rsidRPr="000977F7">
        <w:rPr>
          <w:rFonts w:asciiTheme="majorHAnsi" w:hAnsiTheme="majorHAnsi"/>
          <w:sz w:val="20"/>
          <w:szCs w:val="20"/>
        </w:rPr>
        <w:t>галузевих,</w:t>
      </w:r>
      <w:r w:rsidRPr="000977F7">
        <w:rPr>
          <w:rFonts w:asciiTheme="majorHAnsi" w:hAnsiTheme="majorHAnsi"/>
          <w:spacing w:val="1"/>
          <w:sz w:val="20"/>
          <w:szCs w:val="20"/>
        </w:rPr>
        <w:t xml:space="preserve"> </w:t>
      </w:r>
      <w:r w:rsidRPr="000977F7">
        <w:rPr>
          <w:rFonts w:asciiTheme="majorHAnsi" w:hAnsiTheme="majorHAnsi"/>
          <w:sz w:val="20"/>
          <w:szCs w:val="20"/>
        </w:rPr>
        <w:t>регіональних</w:t>
      </w:r>
      <w:r w:rsidRPr="000977F7">
        <w:rPr>
          <w:rFonts w:asciiTheme="majorHAnsi" w:hAnsiTheme="majorHAnsi"/>
          <w:spacing w:val="-47"/>
          <w:sz w:val="20"/>
          <w:szCs w:val="20"/>
        </w:rPr>
        <w:t xml:space="preserve"> </w:t>
      </w:r>
      <w:r w:rsidRPr="000977F7">
        <w:rPr>
          <w:rFonts w:asciiTheme="majorHAnsi" w:hAnsiTheme="majorHAnsi"/>
          <w:sz w:val="20"/>
          <w:szCs w:val="20"/>
        </w:rPr>
        <w:t>програм</w:t>
      </w:r>
      <w:r w:rsidRPr="000977F7">
        <w:rPr>
          <w:rFonts w:asciiTheme="majorHAnsi" w:hAnsiTheme="majorHAnsi"/>
          <w:spacing w:val="18"/>
          <w:sz w:val="20"/>
          <w:szCs w:val="20"/>
        </w:rPr>
        <w:t xml:space="preserve"> </w:t>
      </w:r>
      <w:r w:rsidRPr="000977F7">
        <w:rPr>
          <w:rFonts w:asciiTheme="majorHAnsi" w:hAnsiTheme="majorHAnsi"/>
          <w:sz w:val="20"/>
          <w:szCs w:val="20"/>
        </w:rPr>
        <w:t>з</w:t>
      </w:r>
      <w:r w:rsidRPr="000977F7">
        <w:rPr>
          <w:rFonts w:asciiTheme="majorHAnsi" w:hAnsiTheme="majorHAnsi"/>
          <w:spacing w:val="19"/>
          <w:sz w:val="20"/>
          <w:szCs w:val="20"/>
        </w:rPr>
        <w:t xml:space="preserve"> </w:t>
      </w:r>
      <w:r w:rsidRPr="000977F7">
        <w:rPr>
          <w:rFonts w:asciiTheme="majorHAnsi" w:hAnsiTheme="majorHAnsi"/>
          <w:sz w:val="20"/>
          <w:szCs w:val="20"/>
        </w:rPr>
        <w:t>цього</w:t>
      </w:r>
      <w:r w:rsidRPr="000977F7">
        <w:rPr>
          <w:rFonts w:asciiTheme="majorHAnsi" w:hAnsiTheme="majorHAnsi"/>
          <w:spacing w:val="19"/>
          <w:sz w:val="20"/>
          <w:szCs w:val="20"/>
        </w:rPr>
        <w:t xml:space="preserve"> </w:t>
      </w:r>
      <w:r w:rsidRPr="000977F7">
        <w:rPr>
          <w:rFonts w:asciiTheme="majorHAnsi" w:hAnsiTheme="majorHAnsi"/>
          <w:sz w:val="20"/>
          <w:szCs w:val="20"/>
        </w:rPr>
        <w:t>питання</w:t>
      </w:r>
      <w:r w:rsidRPr="000977F7">
        <w:rPr>
          <w:rFonts w:asciiTheme="majorHAnsi" w:hAnsiTheme="majorHAnsi"/>
          <w:spacing w:val="20"/>
          <w:sz w:val="20"/>
          <w:szCs w:val="20"/>
        </w:rPr>
        <w:t xml:space="preserve"> </w:t>
      </w:r>
      <w:r w:rsidRPr="000977F7">
        <w:rPr>
          <w:rFonts w:asciiTheme="majorHAnsi" w:hAnsiTheme="majorHAnsi"/>
          <w:sz w:val="20"/>
          <w:szCs w:val="20"/>
        </w:rPr>
        <w:t>та</w:t>
      </w:r>
      <w:r w:rsidRPr="000977F7">
        <w:rPr>
          <w:rFonts w:asciiTheme="majorHAnsi" w:hAnsiTheme="majorHAnsi"/>
          <w:spacing w:val="20"/>
          <w:sz w:val="20"/>
          <w:szCs w:val="20"/>
        </w:rPr>
        <w:t xml:space="preserve"> </w:t>
      </w:r>
      <w:r w:rsidRPr="000977F7">
        <w:rPr>
          <w:rFonts w:asciiTheme="majorHAnsi" w:hAnsiTheme="majorHAnsi"/>
          <w:sz w:val="20"/>
          <w:szCs w:val="20"/>
        </w:rPr>
        <w:t>з</w:t>
      </w:r>
      <w:r w:rsidRPr="000977F7">
        <w:rPr>
          <w:rFonts w:asciiTheme="majorHAnsi" w:hAnsiTheme="majorHAnsi"/>
          <w:spacing w:val="19"/>
          <w:sz w:val="20"/>
          <w:szCs w:val="20"/>
        </w:rPr>
        <w:t xml:space="preserve"> </w:t>
      </w:r>
      <w:r w:rsidRPr="000977F7">
        <w:rPr>
          <w:rFonts w:asciiTheme="majorHAnsi" w:hAnsiTheme="majorHAnsi"/>
          <w:sz w:val="20"/>
          <w:szCs w:val="20"/>
        </w:rPr>
        <w:t>урахуванням</w:t>
      </w:r>
      <w:r w:rsidRPr="000977F7">
        <w:rPr>
          <w:rFonts w:asciiTheme="majorHAnsi" w:hAnsiTheme="majorHAnsi"/>
          <w:spacing w:val="19"/>
          <w:sz w:val="20"/>
          <w:szCs w:val="20"/>
        </w:rPr>
        <w:t xml:space="preserve"> </w:t>
      </w:r>
      <w:r w:rsidRPr="000977F7">
        <w:rPr>
          <w:rFonts w:asciiTheme="majorHAnsi" w:hAnsiTheme="majorHAnsi"/>
          <w:sz w:val="20"/>
          <w:szCs w:val="20"/>
        </w:rPr>
        <w:t>інших</w:t>
      </w:r>
      <w:r w:rsidRPr="000977F7">
        <w:rPr>
          <w:rFonts w:asciiTheme="majorHAnsi" w:hAnsiTheme="majorHAnsi"/>
          <w:spacing w:val="19"/>
          <w:sz w:val="20"/>
          <w:szCs w:val="20"/>
        </w:rPr>
        <w:t xml:space="preserve"> </w:t>
      </w:r>
      <w:r w:rsidRPr="000977F7">
        <w:rPr>
          <w:rFonts w:asciiTheme="majorHAnsi" w:hAnsiTheme="majorHAnsi"/>
          <w:sz w:val="20"/>
          <w:szCs w:val="20"/>
        </w:rPr>
        <w:t>напрямів</w:t>
      </w:r>
      <w:r w:rsidRPr="000977F7">
        <w:rPr>
          <w:rFonts w:asciiTheme="majorHAnsi" w:hAnsiTheme="majorHAnsi"/>
          <w:spacing w:val="3"/>
          <w:sz w:val="20"/>
          <w:szCs w:val="20"/>
        </w:rPr>
        <w:t xml:space="preserve"> </w:t>
      </w:r>
      <w:r w:rsidRPr="000977F7">
        <w:rPr>
          <w:rFonts w:asciiTheme="majorHAnsi" w:hAnsiTheme="majorHAnsi"/>
          <w:sz w:val="20"/>
          <w:szCs w:val="20"/>
        </w:rPr>
        <w:t>економічної</w:t>
      </w:r>
      <w:r w:rsidRPr="000977F7">
        <w:rPr>
          <w:rFonts w:asciiTheme="majorHAnsi" w:hAnsiTheme="majorHAnsi"/>
          <w:spacing w:val="6"/>
          <w:sz w:val="20"/>
          <w:szCs w:val="20"/>
        </w:rPr>
        <w:t xml:space="preserve"> </w:t>
      </w:r>
      <w:r w:rsidRPr="000977F7">
        <w:rPr>
          <w:rFonts w:asciiTheme="majorHAnsi" w:hAnsiTheme="majorHAnsi"/>
          <w:sz w:val="20"/>
          <w:szCs w:val="20"/>
        </w:rPr>
        <w:t>і</w:t>
      </w:r>
      <w:r w:rsidRPr="000977F7">
        <w:rPr>
          <w:rFonts w:asciiTheme="majorHAnsi" w:hAnsiTheme="majorHAnsi"/>
          <w:spacing w:val="6"/>
          <w:sz w:val="20"/>
          <w:szCs w:val="20"/>
        </w:rPr>
        <w:t xml:space="preserve"> </w:t>
      </w:r>
      <w:r w:rsidRPr="000977F7">
        <w:rPr>
          <w:rFonts w:asciiTheme="majorHAnsi" w:hAnsiTheme="majorHAnsi"/>
          <w:sz w:val="20"/>
          <w:szCs w:val="20"/>
        </w:rPr>
        <w:t>соціальної</w:t>
      </w:r>
      <w:r w:rsidRPr="000977F7">
        <w:rPr>
          <w:rFonts w:asciiTheme="majorHAnsi" w:hAnsiTheme="majorHAnsi"/>
          <w:spacing w:val="6"/>
          <w:sz w:val="20"/>
          <w:szCs w:val="20"/>
        </w:rPr>
        <w:t xml:space="preserve"> </w:t>
      </w:r>
      <w:r w:rsidRPr="000977F7">
        <w:rPr>
          <w:rFonts w:asciiTheme="majorHAnsi" w:hAnsiTheme="majorHAnsi"/>
          <w:sz w:val="20"/>
          <w:szCs w:val="20"/>
        </w:rPr>
        <w:t>політики,</w:t>
      </w:r>
      <w:r w:rsidRPr="000977F7">
        <w:rPr>
          <w:rFonts w:asciiTheme="majorHAnsi" w:hAnsiTheme="majorHAnsi"/>
          <w:spacing w:val="7"/>
          <w:sz w:val="20"/>
          <w:szCs w:val="20"/>
        </w:rPr>
        <w:t xml:space="preserve"> </w:t>
      </w:r>
      <w:r w:rsidRPr="000977F7">
        <w:rPr>
          <w:rFonts w:asciiTheme="majorHAnsi" w:hAnsiTheme="majorHAnsi"/>
          <w:sz w:val="20"/>
          <w:szCs w:val="20"/>
        </w:rPr>
        <w:t>досягнень</w:t>
      </w:r>
      <w:r w:rsidRPr="000977F7">
        <w:rPr>
          <w:rFonts w:asciiTheme="majorHAnsi" w:hAnsiTheme="majorHAnsi"/>
          <w:spacing w:val="6"/>
          <w:sz w:val="20"/>
          <w:szCs w:val="20"/>
        </w:rPr>
        <w:t xml:space="preserve"> </w:t>
      </w:r>
      <w:r w:rsidRPr="000977F7">
        <w:rPr>
          <w:rFonts w:asciiTheme="majorHAnsi" w:hAnsiTheme="majorHAnsi"/>
          <w:sz w:val="20"/>
          <w:szCs w:val="20"/>
        </w:rPr>
        <w:t>в</w:t>
      </w:r>
      <w:r w:rsidRPr="000977F7">
        <w:rPr>
          <w:rFonts w:asciiTheme="majorHAnsi" w:hAnsiTheme="majorHAnsi"/>
          <w:spacing w:val="-47"/>
          <w:sz w:val="20"/>
          <w:szCs w:val="20"/>
        </w:rPr>
        <w:t xml:space="preserve"> </w:t>
      </w:r>
      <w:r w:rsidRPr="000977F7">
        <w:rPr>
          <w:rFonts w:asciiTheme="majorHAnsi" w:hAnsiTheme="majorHAnsi"/>
          <w:sz w:val="20"/>
          <w:szCs w:val="20"/>
        </w:rPr>
        <w:t>галузі науки і техніки та охорони довкілля;</w:t>
      </w:r>
      <w:r w:rsidRPr="000977F7">
        <w:rPr>
          <w:rFonts w:asciiTheme="majorHAnsi" w:hAnsiTheme="majorHAnsi"/>
          <w:spacing w:val="1"/>
          <w:sz w:val="20"/>
          <w:szCs w:val="20"/>
        </w:rPr>
        <w:t xml:space="preserve"> </w:t>
      </w:r>
      <w:r w:rsidRPr="000977F7">
        <w:rPr>
          <w:rFonts w:asciiTheme="majorHAnsi" w:hAnsiTheme="majorHAnsi"/>
          <w:sz w:val="20"/>
          <w:szCs w:val="20"/>
        </w:rPr>
        <w:t>соціального</w:t>
      </w:r>
      <w:r w:rsidRPr="000977F7">
        <w:rPr>
          <w:rFonts w:asciiTheme="majorHAnsi" w:hAnsiTheme="majorHAnsi"/>
          <w:spacing w:val="1"/>
          <w:sz w:val="20"/>
          <w:szCs w:val="20"/>
        </w:rPr>
        <w:t xml:space="preserve"> </w:t>
      </w:r>
      <w:r w:rsidRPr="000977F7">
        <w:rPr>
          <w:rFonts w:asciiTheme="majorHAnsi" w:hAnsiTheme="majorHAnsi"/>
          <w:sz w:val="20"/>
          <w:szCs w:val="20"/>
        </w:rPr>
        <w:t>захисту працівників,</w:t>
      </w:r>
      <w:r w:rsidRPr="000977F7">
        <w:rPr>
          <w:rFonts w:asciiTheme="majorHAnsi" w:hAnsiTheme="majorHAnsi"/>
          <w:spacing w:val="1"/>
          <w:sz w:val="20"/>
          <w:szCs w:val="20"/>
        </w:rPr>
        <w:t xml:space="preserve"> </w:t>
      </w:r>
      <w:r w:rsidRPr="000977F7">
        <w:rPr>
          <w:rFonts w:asciiTheme="majorHAnsi" w:hAnsiTheme="majorHAnsi"/>
          <w:sz w:val="20"/>
          <w:szCs w:val="20"/>
        </w:rPr>
        <w:t>повного</w:t>
      </w:r>
      <w:r w:rsidRPr="000977F7">
        <w:rPr>
          <w:rFonts w:asciiTheme="majorHAnsi" w:hAnsiTheme="majorHAnsi"/>
          <w:spacing w:val="1"/>
          <w:sz w:val="20"/>
          <w:szCs w:val="20"/>
        </w:rPr>
        <w:t xml:space="preserve"> </w:t>
      </w:r>
      <w:r w:rsidRPr="000977F7">
        <w:rPr>
          <w:rFonts w:asciiTheme="majorHAnsi" w:hAnsiTheme="majorHAnsi"/>
          <w:sz w:val="20"/>
          <w:szCs w:val="20"/>
        </w:rPr>
        <w:t>відшкодування</w:t>
      </w:r>
      <w:r w:rsidRPr="000977F7">
        <w:rPr>
          <w:rFonts w:asciiTheme="majorHAnsi" w:hAnsiTheme="majorHAnsi"/>
          <w:spacing w:val="21"/>
          <w:sz w:val="20"/>
          <w:szCs w:val="20"/>
        </w:rPr>
        <w:t xml:space="preserve"> </w:t>
      </w:r>
      <w:r w:rsidRPr="000977F7">
        <w:rPr>
          <w:rFonts w:asciiTheme="majorHAnsi" w:hAnsiTheme="majorHAnsi"/>
          <w:sz w:val="20"/>
          <w:szCs w:val="20"/>
        </w:rPr>
        <w:t>шкоди</w:t>
      </w:r>
      <w:r w:rsidRPr="000977F7">
        <w:rPr>
          <w:rFonts w:asciiTheme="majorHAnsi" w:hAnsiTheme="majorHAnsi"/>
          <w:spacing w:val="21"/>
          <w:sz w:val="20"/>
          <w:szCs w:val="20"/>
        </w:rPr>
        <w:t xml:space="preserve"> </w:t>
      </w:r>
      <w:r w:rsidRPr="000977F7">
        <w:rPr>
          <w:rFonts w:asciiTheme="majorHAnsi" w:hAnsiTheme="majorHAnsi"/>
          <w:sz w:val="20"/>
          <w:szCs w:val="20"/>
        </w:rPr>
        <w:t>особам,</w:t>
      </w:r>
      <w:r w:rsidRPr="000977F7">
        <w:rPr>
          <w:rFonts w:asciiTheme="majorHAnsi" w:hAnsiTheme="majorHAnsi"/>
          <w:spacing w:val="22"/>
          <w:sz w:val="20"/>
          <w:szCs w:val="20"/>
        </w:rPr>
        <w:t xml:space="preserve"> </w:t>
      </w:r>
      <w:r w:rsidRPr="000977F7">
        <w:rPr>
          <w:rFonts w:asciiTheme="majorHAnsi" w:hAnsiTheme="majorHAnsi"/>
          <w:sz w:val="20"/>
          <w:szCs w:val="20"/>
        </w:rPr>
        <w:t>які</w:t>
      </w:r>
      <w:r w:rsidRPr="000977F7">
        <w:rPr>
          <w:rFonts w:asciiTheme="majorHAnsi" w:hAnsiTheme="majorHAnsi"/>
          <w:spacing w:val="22"/>
          <w:sz w:val="20"/>
          <w:szCs w:val="20"/>
        </w:rPr>
        <w:t xml:space="preserve"> </w:t>
      </w:r>
      <w:r w:rsidRPr="000977F7">
        <w:rPr>
          <w:rFonts w:asciiTheme="majorHAnsi" w:hAnsiTheme="majorHAnsi"/>
          <w:sz w:val="20"/>
          <w:szCs w:val="20"/>
        </w:rPr>
        <w:t>потерпіли</w:t>
      </w:r>
      <w:r w:rsidRPr="000977F7">
        <w:rPr>
          <w:rFonts w:asciiTheme="majorHAnsi" w:hAnsiTheme="majorHAnsi"/>
          <w:spacing w:val="21"/>
          <w:sz w:val="20"/>
          <w:szCs w:val="20"/>
        </w:rPr>
        <w:t xml:space="preserve"> </w:t>
      </w:r>
      <w:r w:rsidRPr="000977F7">
        <w:rPr>
          <w:rFonts w:asciiTheme="majorHAnsi" w:hAnsiTheme="majorHAnsi"/>
          <w:sz w:val="20"/>
          <w:szCs w:val="20"/>
        </w:rPr>
        <w:t>від</w:t>
      </w:r>
      <w:r w:rsidRPr="000977F7">
        <w:rPr>
          <w:rFonts w:asciiTheme="majorHAnsi" w:hAnsiTheme="majorHAnsi"/>
          <w:spacing w:val="21"/>
          <w:sz w:val="20"/>
          <w:szCs w:val="20"/>
        </w:rPr>
        <w:t xml:space="preserve"> </w:t>
      </w:r>
      <w:r w:rsidRPr="000977F7">
        <w:rPr>
          <w:rFonts w:asciiTheme="majorHAnsi" w:hAnsiTheme="majorHAnsi"/>
          <w:sz w:val="20"/>
          <w:szCs w:val="20"/>
        </w:rPr>
        <w:t>нещасних</w:t>
      </w:r>
      <w:r w:rsidRPr="000977F7">
        <w:rPr>
          <w:rFonts w:asciiTheme="majorHAnsi" w:hAnsiTheme="majorHAnsi"/>
          <w:spacing w:val="20"/>
          <w:sz w:val="20"/>
          <w:szCs w:val="20"/>
        </w:rPr>
        <w:t xml:space="preserve"> </w:t>
      </w:r>
      <w:r w:rsidRPr="000977F7">
        <w:rPr>
          <w:rFonts w:asciiTheme="majorHAnsi" w:hAnsiTheme="majorHAnsi"/>
          <w:sz w:val="20"/>
          <w:szCs w:val="20"/>
        </w:rPr>
        <w:t>випадків на виробництві та професійних захворювань;</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встановлення</w:t>
      </w:r>
      <w:r w:rsidRPr="000977F7">
        <w:rPr>
          <w:rFonts w:asciiTheme="majorHAnsi" w:hAnsiTheme="majorHAnsi"/>
          <w:spacing w:val="13"/>
          <w:sz w:val="20"/>
          <w:szCs w:val="20"/>
        </w:rPr>
        <w:t xml:space="preserve"> </w:t>
      </w:r>
      <w:r w:rsidRPr="000977F7">
        <w:rPr>
          <w:rFonts w:asciiTheme="majorHAnsi" w:hAnsiTheme="majorHAnsi"/>
          <w:sz w:val="20"/>
          <w:szCs w:val="20"/>
        </w:rPr>
        <w:t>єдиних</w:t>
      </w:r>
      <w:r w:rsidRPr="000977F7">
        <w:rPr>
          <w:rFonts w:asciiTheme="majorHAnsi" w:hAnsiTheme="majorHAnsi"/>
          <w:spacing w:val="15"/>
          <w:sz w:val="20"/>
          <w:szCs w:val="20"/>
        </w:rPr>
        <w:t xml:space="preserve"> </w:t>
      </w:r>
      <w:r w:rsidRPr="000977F7">
        <w:rPr>
          <w:rFonts w:asciiTheme="majorHAnsi" w:hAnsiTheme="majorHAnsi"/>
          <w:sz w:val="20"/>
          <w:szCs w:val="20"/>
        </w:rPr>
        <w:t>вимог</w:t>
      </w:r>
      <w:r w:rsidRPr="000977F7">
        <w:rPr>
          <w:rFonts w:asciiTheme="majorHAnsi" w:hAnsiTheme="majorHAnsi"/>
          <w:spacing w:val="14"/>
          <w:sz w:val="20"/>
          <w:szCs w:val="20"/>
        </w:rPr>
        <w:t xml:space="preserve"> </w:t>
      </w:r>
      <w:r w:rsidRPr="000977F7">
        <w:rPr>
          <w:rFonts w:asciiTheme="majorHAnsi" w:hAnsiTheme="majorHAnsi"/>
          <w:sz w:val="20"/>
          <w:szCs w:val="20"/>
        </w:rPr>
        <w:t>з</w:t>
      </w:r>
      <w:r w:rsidRPr="000977F7">
        <w:rPr>
          <w:rFonts w:asciiTheme="majorHAnsi" w:hAnsiTheme="majorHAnsi"/>
          <w:spacing w:val="17"/>
          <w:sz w:val="20"/>
          <w:szCs w:val="20"/>
        </w:rPr>
        <w:t xml:space="preserve"> </w:t>
      </w:r>
      <w:r w:rsidRPr="000977F7">
        <w:rPr>
          <w:rFonts w:asciiTheme="majorHAnsi" w:hAnsiTheme="majorHAnsi"/>
          <w:sz w:val="20"/>
          <w:szCs w:val="20"/>
        </w:rPr>
        <w:t>охорони</w:t>
      </w:r>
      <w:r w:rsidRPr="000977F7">
        <w:rPr>
          <w:rFonts w:asciiTheme="majorHAnsi" w:hAnsiTheme="majorHAnsi"/>
          <w:spacing w:val="16"/>
          <w:sz w:val="20"/>
          <w:szCs w:val="20"/>
        </w:rPr>
        <w:t xml:space="preserve"> </w:t>
      </w:r>
      <w:r w:rsidRPr="000977F7">
        <w:rPr>
          <w:rFonts w:asciiTheme="majorHAnsi" w:hAnsiTheme="majorHAnsi"/>
          <w:sz w:val="20"/>
          <w:szCs w:val="20"/>
        </w:rPr>
        <w:t>праці</w:t>
      </w:r>
      <w:r w:rsidRPr="000977F7">
        <w:rPr>
          <w:rFonts w:asciiTheme="majorHAnsi" w:hAnsiTheme="majorHAnsi"/>
          <w:spacing w:val="13"/>
          <w:sz w:val="20"/>
          <w:szCs w:val="20"/>
        </w:rPr>
        <w:t xml:space="preserve"> </w:t>
      </w:r>
      <w:r w:rsidRPr="000977F7">
        <w:rPr>
          <w:rFonts w:asciiTheme="majorHAnsi" w:hAnsiTheme="majorHAnsi"/>
          <w:sz w:val="20"/>
          <w:szCs w:val="20"/>
        </w:rPr>
        <w:t>для</w:t>
      </w:r>
      <w:r w:rsidRPr="000977F7">
        <w:rPr>
          <w:rFonts w:asciiTheme="majorHAnsi" w:hAnsiTheme="majorHAnsi"/>
          <w:spacing w:val="16"/>
          <w:sz w:val="20"/>
          <w:szCs w:val="20"/>
        </w:rPr>
        <w:t xml:space="preserve"> </w:t>
      </w:r>
      <w:r w:rsidRPr="000977F7">
        <w:rPr>
          <w:rFonts w:asciiTheme="majorHAnsi" w:hAnsiTheme="majorHAnsi"/>
          <w:sz w:val="20"/>
          <w:szCs w:val="20"/>
        </w:rPr>
        <w:t>всіх</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w:t>
      </w:r>
      <w:r w:rsidRPr="000977F7">
        <w:rPr>
          <w:rFonts w:asciiTheme="majorHAnsi" w:hAnsiTheme="majorHAnsi"/>
          <w:spacing w:val="33"/>
          <w:sz w:val="20"/>
          <w:szCs w:val="20"/>
        </w:rPr>
        <w:t xml:space="preserve"> </w:t>
      </w:r>
      <w:r w:rsidRPr="000977F7">
        <w:rPr>
          <w:rFonts w:asciiTheme="majorHAnsi" w:hAnsiTheme="majorHAnsi"/>
          <w:sz w:val="20"/>
          <w:szCs w:val="20"/>
        </w:rPr>
        <w:t>та</w:t>
      </w:r>
      <w:r w:rsidRPr="000977F7">
        <w:rPr>
          <w:rFonts w:asciiTheme="majorHAnsi" w:hAnsiTheme="majorHAnsi"/>
          <w:spacing w:val="35"/>
          <w:sz w:val="20"/>
          <w:szCs w:val="20"/>
        </w:rPr>
        <w:t xml:space="preserve"> </w:t>
      </w:r>
      <w:r w:rsidRPr="000977F7">
        <w:rPr>
          <w:rFonts w:asciiTheme="majorHAnsi" w:hAnsiTheme="majorHAnsi"/>
          <w:sz w:val="20"/>
          <w:szCs w:val="20"/>
        </w:rPr>
        <w:t>суб'єктів</w:t>
      </w:r>
      <w:r w:rsidRPr="000977F7">
        <w:rPr>
          <w:rFonts w:asciiTheme="majorHAnsi" w:hAnsiTheme="majorHAnsi"/>
          <w:spacing w:val="34"/>
          <w:sz w:val="20"/>
          <w:szCs w:val="20"/>
        </w:rPr>
        <w:t xml:space="preserve"> </w:t>
      </w:r>
      <w:r w:rsidRPr="000977F7">
        <w:rPr>
          <w:rFonts w:asciiTheme="majorHAnsi" w:hAnsiTheme="majorHAnsi"/>
          <w:sz w:val="20"/>
          <w:szCs w:val="20"/>
        </w:rPr>
        <w:t>підприємницької</w:t>
      </w:r>
      <w:r w:rsidRPr="000977F7">
        <w:rPr>
          <w:rFonts w:asciiTheme="majorHAnsi" w:hAnsiTheme="majorHAnsi"/>
          <w:spacing w:val="34"/>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47"/>
          <w:sz w:val="20"/>
          <w:szCs w:val="20"/>
        </w:rPr>
        <w:t xml:space="preserve"> </w:t>
      </w:r>
      <w:r w:rsidRPr="000977F7">
        <w:rPr>
          <w:rFonts w:asciiTheme="majorHAnsi" w:hAnsiTheme="majorHAnsi"/>
          <w:sz w:val="20"/>
          <w:szCs w:val="20"/>
        </w:rPr>
        <w:t>незалежно від форм власності та видів діяльності;</w:t>
      </w:r>
      <w:r w:rsidRPr="000977F7">
        <w:rPr>
          <w:rFonts w:asciiTheme="majorHAnsi" w:hAnsiTheme="majorHAnsi"/>
          <w:spacing w:val="1"/>
          <w:sz w:val="20"/>
          <w:szCs w:val="20"/>
        </w:rPr>
        <w:t xml:space="preserve"> </w:t>
      </w:r>
      <w:r w:rsidRPr="000977F7">
        <w:rPr>
          <w:rFonts w:asciiTheme="majorHAnsi" w:hAnsiTheme="majorHAnsi"/>
          <w:sz w:val="20"/>
          <w:szCs w:val="20"/>
        </w:rPr>
        <w:t>адаптації трудових</w:t>
      </w:r>
      <w:r w:rsidRPr="000977F7">
        <w:rPr>
          <w:rFonts w:asciiTheme="majorHAnsi" w:hAnsiTheme="majorHAnsi"/>
          <w:spacing w:val="1"/>
          <w:sz w:val="20"/>
          <w:szCs w:val="20"/>
        </w:rPr>
        <w:t xml:space="preserve"> </w:t>
      </w:r>
      <w:r w:rsidRPr="000977F7">
        <w:rPr>
          <w:rFonts w:asciiTheme="majorHAnsi" w:hAnsiTheme="majorHAnsi"/>
          <w:sz w:val="20"/>
          <w:szCs w:val="20"/>
        </w:rPr>
        <w:t>процесів до</w:t>
      </w:r>
      <w:r w:rsidRPr="000977F7">
        <w:rPr>
          <w:rFonts w:asciiTheme="majorHAnsi" w:hAnsiTheme="majorHAnsi"/>
          <w:spacing w:val="1"/>
          <w:sz w:val="20"/>
          <w:szCs w:val="20"/>
        </w:rPr>
        <w:t xml:space="preserve"> </w:t>
      </w:r>
      <w:r w:rsidRPr="000977F7">
        <w:rPr>
          <w:rFonts w:asciiTheme="majorHAnsi" w:hAnsiTheme="majorHAnsi"/>
          <w:sz w:val="20"/>
          <w:szCs w:val="20"/>
        </w:rPr>
        <w:t>можливостей</w:t>
      </w:r>
      <w:r w:rsidRPr="000977F7">
        <w:rPr>
          <w:rFonts w:asciiTheme="majorHAnsi" w:hAnsiTheme="majorHAnsi"/>
          <w:spacing w:val="1"/>
          <w:sz w:val="20"/>
          <w:szCs w:val="20"/>
        </w:rPr>
        <w:t xml:space="preserve"> </w:t>
      </w:r>
      <w:r w:rsidRPr="000977F7">
        <w:rPr>
          <w:rFonts w:asciiTheme="majorHAnsi" w:hAnsiTheme="majorHAnsi"/>
          <w:sz w:val="20"/>
          <w:szCs w:val="20"/>
        </w:rPr>
        <w:t>працівника</w:t>
      </w:r>
      <w:r w:rsidRPr="000977F7">
        <w:rPr>
          <w:rFonts w:asciiTheme="majorHAnsi" w:hAnsiTheme="majorHAnsi"/>
          <w:spacing w:val="28"/>
          <w:sz w:val="20"/>
          <w:szCs w:val="20"/>
        </w:rPr>
        <w:t xml:space="preserve"> </w:t>
      </w:r>
      <w:r w:rsidRPr="000977F7">
        <w:rPr>
          <w:rFonts w:asciiTheme="majorHAnsi" w:hAnsiTheme="majorHAnsi"/>
          <w:sz w:val="20"/>
          <w:szCs w:val="20"/>
        </w:rPr>
        <w:t>з</w:t>
      </w:r>
      <w:r w:rsidRPr="000977F7">
        <w:rPr>
          <w:rFonts w:asciiTheme="majorHAnsi" w:hAnsiTheme="majorHAnsi"/>
          <w:spacing w:val="29"/>
          <w:sz w:val="20"/>
          <w:szCs w:val="20"/>
        </w:rPr>
        <w:t xml:space="preserve"> </w:t>
      </w:r>
      <w:r w:rsidRPr="000977F7">
        <w:rPr>
          <w:rFonts w:asciiTheme="majorHAnsi" w:hAnsiTheme="majorHAnsi"/>
          <w:sz w:val="20"/>
          <w:szCs w:val="20"/>
        </w:rPr>
        <w:t>урахуванням</w:t>
      </w:r>
      <w:r w:rsidRPr="000977F7">
        <w:rPr>
          <w:rFonts w:asciiTheme="majorHAnsi" w:hAnsiTheme="majorHAnsi"/>
          <w:spacing w:val="29"/>
          <w:sz w:val="20"/>
          <w:szCs w:val="20"/>
        </w:rPr>
        <w:t xml:space="preserve"> </w:t>
      </w:r>
      <w:r w:rsidRPr="000977F7">
        <w:rPr>
          <w:rFonts w:asciiTheme="majorHAnsi" w:hAnsiTheme="majorHAnsi"/>
          <w:sz w:val="20"/>
          <w:szCs w:val="20"/>
        </w:rPr>
        <w:t>його</w:t>
      </w:r>
      <w:r w:rsidRPr="000977F7">
        <w:rPr>
          <w:rFonts w:asciiTheme="majorHAnsi" w:hAnsiTheme="majorHAnsi"/>
          <w:spacing w:val="29"/>
          <w:sz w:val="20"/>
          <w:szCs w:val="20"/>
        </w:rPr>
        <w:t xml:space="preserve"> </w:t>
      </w:r>
      <w:r w:rsidRPr="000977F7">
        <w:rPr>
          <w:rFonts w:asciiTheme="majorHAnsi" w:hAnsiTheme="majorHAnsi"/>
          <w:sz w:val="20"/>
          <w:szCs w:val="20"/>
        </w:rPr>
        <w:t>здоров'я</w:t>
      </w:r>
      <w:r w:rsidRPr="000977F7">
        <w:rPr>
          <w:rFonts w:asciiTheme="majorHAnsi" w:hAnsiTheme="majorHAnsi"/>
          <w:spacing w:val="28"/>
          <w:sz w:val="20"/>
          <w:szCs w:val="20"/>
        </w:rPr>
        <w:t xml:space="preserve"> </w:t>
      </w:r>
      <w:r w:rsidRPr="000977F7">
        <w:rPr>
          <w:rFonts w:asciiTheme="majorHAnsi" w:hAnsiTheme="majorHAnsi"/>
          <w:sz w:val="20"/>
          <w:szCs w:val="20"/>
        </w:rPr>
        <w:t>та</w:t>
      </w:r>
      <w:r w:rsidRPr="000977F7">
        <w:rPr>
          <w:rFonts w:asciiTheme="majorHAnsi" w:hAnsiTheme="majorHAnsi"/>
          <w:spacing w:val="29"/>
          <w:sz w:val="20"/>
          <w:szCs w:val="20"/>
        </w:rPr>
        <w:t xml:space="preserve"> </w:t>
      </w:r>
      <w:r w:rsidRPr="000977F7">
        <w:rPr>
          <w:rFonts w:asciiTheme="majorHAnsi" w:hAnsiTheme="majorHAnsi"/>
          <w:sz w:val="20"/>
          <w:szCs w:val="20"/>
        </w:rPr>
        <w:t>психологічного</w:t>
      </w:r>
      <w:r w:rsidRPr="000977F7">
        <w:rPr>
          <w:rFonts w:asciiTheme="majorHAnsi" w:hAnsiTheme="majorHAnsi"/>
          <w:spacing w:val="-47"/>
          <w:sz w:val="20"/>
          <w:szCs w:val="20"/>
        </w:rPr>
        <w:t xml:space="preserve"> </w:t>
      </w:r>
      <w:r w:rsidRPr="000977F7">
        <w:rPr>
          <w:rFonts w:asciiTheme="majorHAnsi" w:hAnsiTheme="majorHAnsi"/>
          <w:sz w:val="20"/>
          <w:szCs w:val="20"/>
        </w:rPr>
        <w:t>стану;</w:t>
      </w:r>
    </w:p>
    <w:p w14:paraId="2167BC0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використання економічних методів управління охороною праці, участі держави у фінансуванні заходів</w:t>
      </w:r>
      <w:r w:rsidRPr="000977F7">
        <w:rPr>
          <w:rFonts w:asciiTheme="majorHAnsi" w:hAnsiTheme="majorHAnsi"/>
          <w:spacing w:val="1"/>
          <w:sz w:val="20"/>
          <w:szCs w:val="20"/>
        </w:rPr>
        <w:t xml:space="preserve"> </w:t>
      </w:r>
      <w:r w:rsidRPr="000977F7">
        <w:rPr>
          <w:rFonts w:asciiTheme="majorHAnsi" w:hAnsiTheme="majorHAnsi"/>
          <w:sz w:val="20"/>
          <w:szCs w:val="20"/>
        </w:rPr>
        <w:t>щодо охорони праці, залучення добровільних внесків</w:t>
      </w:r>
      <w:r w:rsidRPr="000977F7">
        <w:rPr>
          <w:rFonts w:asciiTheme="majorHAnsi" w:hAnsiTheme="majorHAnsi"/>
          <w:spacing w:val="1"/>
          <w:sz w:val="20"/>
          <w:szCs w:val="20"/>
        </w:rPr>
        <w:t xml:space="preserve"> </w:t>
      </w:r>
      <w:r w:rsidRPr="000977F7">
        <w:rPr>
          <w:rFonts w:asciiTheme="majorHAnsi" w:hAnsiTheme="majorHAnsi"/>
          <w:sz w:val="20"/>
          <w:szCs w:val="20"/>
        </w:rPr>
        <w:t>та інших надходжень на ці цілі, отримання яких не</w:t>
      </w:r>
      <w:r w:rsidRPr="000977F7">
        <w:rPr>
          <w:rFonts w:asciiTheme="majorHAnsi" w:hAnsiTheme="majorHAnsi"/>
          <w:spacing w:val="1"/>
          <w:sz w:val="20"/>
          <w:szCs w:val="20"/>
        </w:rPr>
        <w:t xml:space="preserve"> </w:t>
      </w:r>
      <w:r w:rsidRPr="000977F7">
        <w:rPr>
          <w:rFonts w:asciiTheme="majorHAnsi" w:hAnsiTheme="majorHAnsi"/>
          <w:sz w:val="20"/>
          <w:szCs w:val="20"/>
        </w:rPr>
        <w:t>суперечить</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законодавству;</w:t>
      </w:r>
    </w:p>
    <w:p w14:paraId="23A494F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інформування населення, проведення навчання, професійної підготовки і підвищення кваліфікації працівників</w:t>
      </w:r>
      <w:r w:rsidRPr="000977F7">
        <w:rPr>
          <w:rFonts w:asciiTheme="majorHAnsi" w:hAnsiTheme="majorHAnsi"/>
          <w:spacing w:val="-2"/>
          <w:sz w:val="20"/>
          <w:szCs w:val="20"/>
        </w:rPr>
        <w:t xml:space="preserve"> </w:t>
      </w:r>
      <w:r w:rsidRPr="000977F7">
        <w:rPr>
          <w:rFonts w:asciiTheme="majorHAnsi" w:hAnsiTheme="majorHAnsi"/>
          <w:sz w:val="20"/>
          <w:szCs w:val="20"/>
        </w:rPr>
        <w:t>з питань охорони праці;</w:t>
      </w:r>
    </w:p>
    <w:p w14:paraId="7BF35A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забезпечення координації діяльності органів державної влади, установ, організацій, об'єднань громадян,</w:t>
      </w:r>
      <w:r w:rsidRPr="000977F7">
        <w:rPr>
          <w:rFonts w:asciiTheme="majorHAnsi" w:hAnsiTheme="majorHAnsi"/>
          <w:spacing w:val="1"/>
          <w:sz w:val="20"/>
          <w:szCs w:val="20"/>
        </w:rPr>
        <w:t xml:space="preserve"> </w:t>
      </w:r>
      <w:r w:rsidRPr="000977F7">
        <w:rPr>
          <w:rFonts w:asciiTheme="majorHAnsi" w:hAnsiTheme="majorHAnsi"/>
          <w:sz w:val="20"/>
          <w:szCs w:val="20"/>
        </w:rPr>
        <w:t>що розв'язують проблеми охорони здоров'я, гігієни та</w:t>
      </w:r>
      <w:r w:rsidRPr="000977F7">
        <w:rPr>
          <w:rFonts w:asciiTheme="majorHAnsi" w:hAnsiTheme="majorHAnsi"/>
          <w:spacing w:val="1"/>
          <w:sz w:val="20"/>
          <w:szCs w:val="20"/>
        </w:rPr>
        <w:t xml:space="preserve"> </w:t>
      </w:r>
      <w:r w:rsidRPr="000977F7">
        <w:rPr>
          <w:rFonts w:asciiTheme="majorHAnsi" w:hAnsiTheme="majorHAnsi"/>
          <w:sz w:val="20"/>
          <w:szCs w:val="20"/>
        </w:rPr>
        <w:t>безпеки праці, а також співробітництва і проведення</w:t>
      </w:r>
      <w:r w:rsidRPr="000977F7">
        <w:rPr>
          <w:rFonts w:asciiTheme="majorHAnsi" w:hAnsiTheme="majorHAnsi"/>
          <w:spacing w:val="1"/>
          <w:sz w:val="20"/>
          <w:szCs w:val="20"/>
        </w:rPr>
        <w:t xml:space="preserve"> </w:t>
      </w:r>
      <w:r w:rsidRPr="000977F7">
        <w:rPr>
          <w:rFonts w:asciiTheme="majorHAnsi" w:hAnsiTheme="majorHAnsi"/>
          <w:sz w:val="20"/>
          <w:szCs w:val="20"/>
        </w:rPr>
        <w:t>консультацій між роботодавцями та працівниками (їх</w:t>
      </w:r>
      <w:r w:rsidRPr="000977F7">
        <w:rPr>
          <w:rFonts w:asciiTheme="majorHAnsi" w:hAnsiTheme="majorHAnsi"/>
          <w:spacing w:val="1"/>
          <w:sz w:val="20"/>
          <w:szCs w:val="20"/>
        </w:rPr>
        <w:t xml:space="preserve"> </w:t>
      </w:r>
      <w:r w:rsidRPr="000977F7">
        <w:rPr>
          <w:rFonts w:asciiTheme="majorHAnsi" w:hAnsiTheme="majorHAnsi"/>
          <w:sz w:val="20"/>
          <w:szCs w:val="20"/>
        </w:rPr>
        <w:t>представниками), між усіма соціальними групами під</w:t>
      </w:r>
      <w:r w:rsidRPr="000977F7">
        <w:rPr>
          <w:rFonts w:asciiTheme="majorHAnsi" w:hAnsiTheme="majorHAnsi"/>
          <w:spacing w:val="1"/>
          <w:sz w:val="20"/>
          <w:szCs w:val="20"/>
        </w:rPr>
        <w:t xml:space="preserve"> </w:t>
      </w:r>
      <w:r w:rsidRPr="000977F7">
        <w:rPr>
          <w:rFonts w:asciiTheme="majorHAnsi" w:hAnsiTheme="majorHAnsi"/>
          <w:sz w:val="20"/>
          <w:szCs w:val="20"/>
        </w:rPr>
        <w:t>час прийняття рішень з охорони праці на місцевому та</w:t>
      </w:r>
      <w:r w:rsidRPr="000977F7">
        <w:rPr>
          <w:rFonts w:asciiTheme="majorHAnsi" w:hAnsiTheme="majorHAnsi"/>
          <w:spacing w:val="-47"/>
          <w:sz w:val="20"/>
          <w:szCs w:val="20"/>
        </w:rPr>
        <w:t xml:space="preserve"> </w:t>
      </w:r>
      <w:r w:rsidRPr="000977F7">
        <w:rPr>
          <w:rFonts w:asciiTheme="majorHAnsi" w:hAnsiTheme="majorHAnsi"/>
          <w:sz w:val="20"/>
          <w:szCs w:val="20"/>
        </w:rPr>
        <w:t>державному</w:t>
      </w:r>
      <w:r w:rsidRPr="000977F7">
        <w:rPr>
          <w:rFonts w:asciiTheme="majorHAnsi" w:hAnsiTheme="majorHAnsi"/>
          <w:spacing w:val="-5"/>
          <w:sz w:val="20"/>
          <w:szCs w:val="20"/>
        </w:rPr>
        <w:t xml:space="preserve"> </w:t>
      </w:r>
      <w:r w:rsidRPr="000977F7">
        <w:rPr>
          <w:rFonts w:asciiTheme="majorHAnsi" w:hAnsiTheme="majorHAnsi"/>
          <w:sz w:val="20"/>
          <w:szCs w:val="20"/>
        </w:rPr>
        <w:t>рівнях;</w:t>
      </w:r>
    </w:p>
    <w:p w14:paraId="41F6698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світового</w:t>
      </w:r>
      <w:r w:rsidRPr="000977F7">
        <w:rPr>
          <w:rFonts w:asciiTheme="majorHAnsi" w:hAnsiTheme="majorHAnsi"/>
          <w:spacing w:val="1"/>
          <w:sz w:val="20"/>
          <w:szCs w:val="20"/>
        </w:rPr>
        <w:t xml:space="preserve"> </w:t>
      </w:r>
      <w:r w:rsidRPr="000977F7">
        <w:rPr>
          <w:rFonts w:asciiTheme="majorHAnsi" w:hAnsiTheme="majorHAnsi"/>
          <w:sz w:val="20"/>
          <w:szCs w:val="20"/>
        </w:rPr>
        <w:t>досвіду</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r w:rsidRPr="000977F7">
        <w:rPr>
          <w:rFonts w:asciiTheme="majorHAnsi" w:hAnsiTheme="majorHAnsi"/>
          <w:spacing w:val="1"/>
          <w:sz w:val="20"/>
          <w:szCs w:val="20"/>
        </w:rPr>
        <w:t xml:space="preserve"> </w:t>
      </w:r>
      <w:r w:rsidRPr="000977F7">
        <w:rPr>
          <w:rFonts w:asciiTheme="majorHAnsi" w:hAnsiTheme="majorHAnsi"/>
          <w:sz w:val="20"/>
          <w:szCs w:val="20"/>
        </w:rPr>
        <w:t>щодо поліпшення умов і підвищення безпеки праці на</w:t>
      </w:r>
      <w:r w:rsidRPr="000977F7">
        <w:rPr>
          <w:rFonts w:asciiTheme="majorHAnsi" w:hAnsiTheme="majorHAnsi"/>
          <w:spacing w:val="-47"/>
          <w:sz w:val="20"/>
          <w:szCs w:val="20"/>
        </w:rPr>
        <w:t xml:space="preserve"> </w:t>
      </w:r>
      <w:r w:rsidRPr="000977F7">
        <w:rPr>
          <w:rFonts w:asciiTheme="majorHAnsi" w:hAnsiTheme="majorHAnsi"/>
          <w:sz w:val="20"/>
          <w:szCs w:val="20"/>
        </w:rPr>
        <w:t>основі</w:t>
      </w:r>
      <w:r w:rsidRPr="000977F7">
        <w:rPr>
          <w:rFonts w:asciiTheme="majorHAnsi" w:hAnsiTheme="majorHAnsi"/>
          <w:spacing w:val="-2"/>
          <w:sz w:val="20"/>
          <w:szCs w:val="20"/>
        </w:rPr>
        <w:t xml:space="preserve"> </w:t>
      </w:r>
      <w:r w:rsidRPr="000977F7">
        <w:rPr>
          <w:rFonts w:asciiTheme="majorHAnsi" w:hAnsiTheme="majorHAnsi"/>
          <w:sz w:val="20"/>
          <w:szCs w:val="20"/>
        </w:rPr>
        <w:t>міжнародного співробітництва.</w:t>
      </w:r>
    </w:p>
    <w:p w14:paraId="253B8D8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2"/>
          <w:sz w:val="20"/>
          <w:szCs w:val="20"/>
        </w:rPr>
        <w:t xml:space="preserve"> </w:t>
      </w:r>
      <w:r w:rsidRPr="000977F7">
        <w:rPr>
          <w:rFonts w:asciiTheme="majorHAnsi" w:hAnsiTheme="majorHAnsi"/>
          <w:i/>
          <w:sz w:val="20"/>
          <w:szCs w:val="20"/>
        </w:rPr>
        <w:t>4 закону</w:t>
      </w:r>
      <w:r w:rsidRPr="000977F7">
        <w:rPr>
          <w:rFonts w:asciiTheme="majorHAnsi" w:hAnsiTheme="majorHAnsi"/>
          <w:i/>
          <w:spacing w:val="-3"/>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1"/>
          <w:sz w:val="20"/>
          <w:szCs w:val="20"/>
        </w:rPr>
        <w:t xml:space="preserve"> "</w:t>
      </w:r>
      <w:r w:rsidRPr="000977F7">
        <w:rPr>
          <w:rFonts w:asciiTheme="majorHAnsi" w:hAnsiTheme="majorHAnsi"/>
          <w:i/>
          <w:sz w:val="20"/>
          <w:szCs w:val="20"/>
        </w:rPr>
        <w:t>Про</w:t>
      </w:r>
      <w:r w:rsidRPr="000977F7">
        <w:rPr>
          <w:rFonts w:asciiTheme="majorHAnsi" w:hAnsiTheme="majorHAnsi"/>
          <w:i/>
          <w:spacing w:val="-6"/>
          <w:sz w:val="20"/>
          <w:szCs w:val="20"/>
        </w:rPr>
        <w:t xml:space="preserve"> </w:t>
      </w:r>
      <w:r w:rsidRPr="000977F7">
        <w:rPr>
          <w:rFonts w:asciiTheme="majorHAnsi" w:hAnsiTheme="majorHAnsi"/>
          <w:i/>
          <w:sz w:val="20"/>
          <w:szCs w:val="20"/>
        </w:rPr>
        <w:t>охорону</w:t>
      </w:r>
      <w:r w:rsidRPr="000977F7">
        <w:rPr>
          <w:rFonts w:asciiTheme="majorHAnsi" w:hAnsiTheme="majorHAnsi"/>
          <w:i/>
          <w:spacing w:val="-2"/>
          <w:sz w:val="20"/>
          <w:szCs w:val="20"/>
        </w:rPr>
        <w:t xml:space="preserve"> </w:t>
      </w:r>
      <w:r w:rsidRPr="000977F7">
        <w:rPr>
          <w:rFonts w:asciiTheme="majorHAnsi" w:hAnsiTheme="majorHAnsi"/>
          <w:i/>
          <w:sz w:val="20"/>
          <w:szCs w:val="20"/>
        </w:rPr>
        <w:t>праці"</w:t>
      </w:r>
    </w:p>
    <w:p w14:paraId="78B05471"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sz w:val="20"/>
          <w:szCs w:val="20"/>
        </w:rPr>
        <w:t>ДЕРЖАВНА</w:t>
      </w:r>
      <w:r w:rsidRPr="000977F7">
        <w:rPr>
          <w:rFonts w:asciiTheme="majorHAnsi" w:hAnsiTheme="majorHAnsi"/>
          <w:b/>
          <w:bCs/>
          <w:spacing w:val="26"/>
          <w:sz w:val="20"/>
          <w:szCs w:val="20"/>
        </w:rPr>
        <w:t xml:space="preserve"> </w:t>
      </w:r>
      <w:r w:rsidRPr="000977F7">
        <w:rPr>
          <w:rFonts w:asciiTheme="majorHAnsi" w:hAnsiTheme="majorHAnsi"/>
          <w:b/>
          <w:bCs/>
          <w:sz w:val="20"/>
          <w:szCs w:val="20"/>
        </w:rPr>
        <w:t>ПОЛІТИКА</w:t>
      </w:r>
      <w:r w:rsidRPr="000977F7">
        <w:rPr>
          <w:rFonts w:asciiTheme="majorHAnsi" w:hAnsiTheme="majorHAnsi"/>
          <w:b/>
          <w:bCs/>
          <w:spacing w:val="27"/>
          <w:sz w:val="20"/>
          <w:szCs w:val="20"/>
        </w:rPr>
        <w:t xml:space="preserve"> </w:t>
      </w:r>
      <w:r w:rsidRPr="000977F7">
        <w:rPr>
          <w:rFonts w:asciiTheme="majorHAnsi" w:hAnsiTheme="majorHAnsi"/>
          <w:b/>
          <w:bCs/>
          <w:sz w:val="20"/>
          <w:szCs w:val="20"/>
        </w:rPr>
        <w:t>У</w:t>
      </w:r>
      <w:r w:rsidRPr="000977F7">
        <w:rPr>
          <w:rFonts w:asciiTheme="majorHAnsi" w:hAnsiTheme="majorHAnsi"/>
          <w:b/>
          <w:bCs/>
          <w:spacing w:val="26"/>
          <w:sz w:val="20"/>
          <w:szCs w:val="20"/>
        </w:rPr>
        <w:t xml:space="preserve"> </w:t>
      </w:r>
      <w:r w:rsidRPr="000977F7">
        <w:rPr>
          <w:rFonts w:asciiTheme="majorHAnsi" w:hAnsiTheme="majorHAnsi"/>
          <w:b/>
          <w:bCs/>
          <w:sz w:val="20"/>
          <w:szCs w:val="20"/>
        </w:rPr>
        <w:t>СФЕРІ</w:t>
      </w:r>
      <w:r w:rsidRPr="000977F7">
        <w:rPr>
          <w:rFonts w:asciiTheme="majorHAnsi" w:hAnsiTheme="majorHAnsi"/>
          <w:b/>
          <w:bCs/>
          <w:spacing w:val="25"/>
          <w:sz w:val="20"/>
          <w:szCs w:val="20"/>
        </w:rPr>
        <w:t xml:space="preserve"> </w:t>
      </w:r>
      <w:r w:rsidRPr="000977F7">
        <w:rPr>
          <w:rFonts w:asciiTheme="majorHAnsi" w:hAnsiTheme="majorHAnsi"/>
          <w:b/>
          <w:bCs/>
          <w:sz w:val="20"/>
          <w:szCs w:val="20"/>
        </w:rPr>
        <w:t>СТАНДАРТИЗАЦІЇ</w:t>
      </w:r>
      <w:r w:rsidRPr="000977F7">
        <w:rPr>
          <w:rFonts w:asciiTheme="majorHAnsi" w:hAnsiTheme="majorHAnsi"/>
          <w:b/>
          <w:bCs/>
          <w:spacing w:val="-1"/>
          <w:sz w:val="20"/>
          <w:szCs w:val="20"/>
        </w:rPr>
        <w:t xml:space="preserve"> </w:t>
      </w:r>
      <w:r w:rsidRPr="000977F7">
        <w:rPr>
          <w:rFonts w:asciiTheme="majorHAnsi" w:hAnsiTheme="majorHAnsi"/>
          <w:b/>
          <w:bCs/>
          <w:sz w:val="20"/>
          <w:szCs w:val="20"/>
        </w:rPr>
        <w:t>-</w:t>
      </w:r>
    </w:p>
    <w:p w14:paraId="1FA4774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Державна політика у сфері стандартизації базується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збалансованому</w:t>
      </w:r>
      <w:r w:rsidRPr="000977F7">
        <w:rPr>
          <w:rFonts w:asciiTheme="majorHAnsi" w:hAnsiTheme="majorHAnsi"/>
          <w:spacing w:val="-6"/>
          <w:sz w:val="20"/>
          <w:szCs w:val="20"/>
        </w:rPr>
        <w:t xml:space="preserve"> </w:t>
      </w:r>
      <w:r w:rsidRPr="000977F7">
        <w:rPr>
          <w:rFonts w:asciiTheme="majorHAnsi" w:hAnsiTheme="majorHAnsi"/>
          <w:sz w:val="20"/>
          <w:szCs w:val="20"/>
        </w:rPr>
        <w:t>застосуванні таких</w:t>
      </w:r>
      <w:r w:rsidRPr="000977F7">
        <w:rPr>
          <w:rFonts w:asciiTheme="majorHAnsi" w:hAnsiTheme="majorHAnsi"/>
          <w:spacing w:val="-1"/>
          <w:sz w:val="20"/>
          <w:szCs w:val="20"/>
        </w:rPr>
        <w:t xml:space="preserve"> </w:t>
      </w:r>
      <w:r w:rsidRPr="000977F7">
        <w:rPr>
          <w:rFonts w:asciiTheme="majorHAnsi" w:hAnsiTheme="majorHAnsi"/>
          <w:sz w:val="20"/>
          <w:szCs w:val="20"/>
        </w:rPr>
        <w:t>принципів:</w:t>
      </w:r>
    </w:p>
    <w:p w14:paraId="03818F61" w14:textId="77777777" w:rsidR="0097612F" w:rsidRPr="000977F7" w:rsidRDefault="0097612F" w:rsidP="00FD39A4">
      <w:pPr>
        <w:pStyle w:val="ac"/>
        <w:widowControl w:val="0"/>
        <w:numPr>
          <w:ilvl w:val="1"/>
          <w:numId w:val="187"/>
        </w:numPr>
        <w:tabs>
          <w:tab w:val="left" w:pos="284"/>
          <w:tab w:val="left" w:pos="76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забезпечення участі фізичних і юридичних осіб у</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розробленні</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національних</w:t>
      </w:r>
      <w:r w:rsidRPr="000977F7">
        <w:rPr>
          <w:rFonts w:asciiTheme="majorHAnsi" w:hAnsiTheme="majorHAnsi"/>
          <w:spacing w:val="1"/>
          <w:sz w:val="20"/>
          <w:szCs w:val="20"/>
        </w:rPr>
        <w:t xml:space="preserve"> </w:t>
      </w:r>
      <w:r w:rsidRPr="000977F7">
        <w:rPr>
          <w:rFonts w:asciiTheme="majorHAnsi" w:hAnsiTheme="majorHAnsi"/>
          <w:sz w:val="20"/>
          <w:szCs w:val="20"/>
        </w:rPr>
        <w:t>стандартів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кодексів</w:t>
      </w:r>
      <w:r w:rsidRPr="000977F7">
        <w:rPr>
          <w:rFonts w:asciiTheme="majorHAnsi" w:hAnsiTheme="majorHAnsi"/>
          <w:spacing w:val="1"/>
          <w:sz w:val="20"/>
          <w:szCs w:val="20"/>
        </w:rPr>
        <w:t xml:space="preserve"> </w:t>
      </w:r>
      <w:r w:rsidRPr="000977F7">
        <w:rPr>
          <w:rFonts w:asciiTheme="majorHAnsi" w:hAnsiTheme="majorHAnsi"/>
          <w:sz w:val="20"/>
          <w:szCs w:val="20"/>
        </w:rPr>
        <w:t>усталеної</w:t>
      </w:r>
      <w:r w:rsidRPr="000977F7">
        <w:rPr>
          <w:rFonts w:asciiTheme="majorHAnsi" w:hAnsiTheme="majorHAnsi"/>
          <w:spacing w:val="1"/>
          <w:sz w:val="20"/>
          <w:szCs w:val="20"/>
        </w:rPr>
        <w:t xml:space="preserve"> </w:t>
      </w:r>
      <w:r w:rsidRPr="000977F7">
        <w:rPr>
          <w:rFonts w:asciiTheme="majorHAnsi" w:hAnsiTheme="majorHAnsi"/>
          <w:sz w:val="20"/>
          <w:szCs w:val="20"/>
        </w:rPr>
        <w:t>практики;</w:t>
      </w:r>
    </w:p>
    <w:p w14:paraId="1C663DE1" w14:textId="77777777" w:rsidR="0097612F" w:rsidRPr="000977F7" w:rsidRDefault="0097612F" w:rsidP="00FD39A4">
      <w:pPr>
        <w:pStyle w:val="ac"/>
        <w:widowControl w:val="0"/>
        <w:numPr>
          <w:ilvl w:val="1"/>
          <w:numId w:val="187"/>
        </w:numPr>
        <w:tabs>
          <w:tab w:val="left" w:pos="284"/>
          <w:tab w:val="left" w:pos="76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відкритості та прозорості процедур розроблення і</w:t>
      </w:r>
      <w:r w:rsidRPr="000977F7">
        <w:rPr>
          <w:rFonts w:asciiTheme="majorHAnsi" w:hAnsiTheme="majorHAnsi"/>
          <w:spacing w:val="1"/>
          <w:sz w:val="20"/>
          <w:szCs w:val="20"/>
        </w:rPr>
        <w:t xml:space="preserve"> </w:t>
      </w:r>
      <w:r w:rsidRPr="000977F7">
        <w:rPr>
          <w:rFonts w:asciiTheme="majorHAnsi" w:hAnsiTheme="majorHAnsi"/>
          <w:sz w:val="20"/>
          <w:szCs w:val="20"/>
        </w:rPr>
        <w:t>прийняття національних стандартів та кодексів усталеної практики з урахуванням інтересів усіх заінтересованих</w:t>
      </w:r>
      <w:r w:rsidRPr="000977F7">
        <w:rPr>
          <w:rFonts w:asciiTheme="majorHAnsi" w:hAnsiTheme="majorHAnsi"/>
          <w:spacing w:val="-2"/>
          <w:sz w:val="20"/>
          <w:szCs w:val="20"/>
        </w:rPr>
        <w:t xml:space="preserve"> </w:t>
      </w:r>
      <w:r w:rsidRPr="000977F7">
        <w:rPr>
          <w:rFonts w:asciiTheme="majorHAnsi" w:hAnsiTheme="majorHAnsi"/>
          <w:sz w:val="20"/>
          <w:szCs w:val="20"/>
        </w:rPr>
        <w:t>сторін;</w:t>
      </w:r>
    </w:p>
    <w:p w14:paraId="196098B6" w14:textId="77777777" w:rsidR="0097612F" w:rsidRPr="000977F7" w:rsidRDefault="0097612F" w:rsidP="00FD39A4">
      <w:pPr>
        <w:pStyle w:val="ac"/>
        <w:widowControl w:val="0"/>
        <w:numPr>
          <w:ilvl w:val="1"/>
          <w:numId w:val="187"/>
        </w:numPr>
        <w:tabs>
          <w:tab w:val="left" w:pos="284"/>
          <w:tab w:val="left" w:pos="75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неупередженого прийняття національних стандартів та кодексів усталеної практики на засадах консенсусу;</w:t>
      </w:r>
    </w:p>
    <w:p w14:paraId="29CF4BE5" w14:textId="77777777" w:rsidR="0097612F" w:rsidRPr="000977F7" w:rsidRDefault="0097612F" w:rsidP="00FD39A4">
      <w:pPr>
        <w:pStyle w:val="ac"/>
        <w:widowControl w:val="0"/>
        <w:numPr>
          <w:ilvl w:val="1"/>
          <w:numId w:val="187"/>
        </w:numPr>
        <w:tabs>
          <w:tab w:val="left" w:pos="284"/>
          <w:tab w:val="left" w:pos="76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добровільного застосування національних стандартів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кодексів</w:t>
      </w:r>
      <w:r w:rsidRPr="000977F7">
        <w:rPr>
          <w:rFonts w:asciiTheme="majorHAnsi" w:hAnsiTheme="majorHAnsi"/>
          <w:spacing w:val="1"/>
          <w:sz w:val="20"/>
          <w:szCs w:val="20"/>
        </w:rPr>
        <w:t xml:space="preserve"> </w:t>
      </w:r>
      <w:r w:rsidRPr="000977F7">
        <w:rPr>
          <w:rFonts w:asciiTheme="majorHAnsi" w:hAnsiTheme="majorHAnsi"/>
          <w:sz w:val="20"/>
          <w:szCs w:val="20"/>
        </w:rPr>
        <w:t>усталеної</w:t>
      </w:r>
      <w:r w:rsidRPr="000977F7">
        <w:rPr>
          <w:rFonts w:asciiTheme="majorHAnsi" w:hAnsiTheme="majorHAnsi"/>
          <w:spacing w:val="1"/>
          <w:sz w:val="20"/>
          <w:szCs w:val="20"/>
        </w:rPr>
        <w:t xml:space="preserve"> </w:t>
      </w:r>
      <w:r w:rsidRPr="000977F7">
        <w:rPr>
          <w:rFonts w:asciiTheme="majorHAnsi" w:hAnsiTheme="majorHAnsi"/>
          <w:sz w:val="20"/>
          <w:szCs w:val="20"/>
        </w:rPr>
        <w:t>практики,</w:t>
      </w:r>
      <w:r w:rsidRPr="000977F7">
        <w:rPr>
          <w:rFonts w:asciiTheme="majorHAnsi" w:hAnsiTheme="majorHAnsi"/>
          <w:spacing w:val="1"/>
          <w:sz w:val="20"/>
          <w:szCs w:val="20"/>
        </w:rPr>
        <w:t xml:space="preserve"> </w:t>
      </w:r>
      <w:r w:rsidRPr="000977F7">
        <w:rPr>
          <w:rFonts w:asciiTheme="majorHAnsi" w:hAnsiTheme="majorHAnsi"/>
          <w:sz w:val="20"/>
          <w:szCs w:val="20"/>
        </w:rPr>
        <w:t>якщо</w:t>
      </w:r>
      <w:r w:rsidRPr="000977F7">
        <w:rPr>
          <w:rFonts w:asciiTheme="majorHAnsi" w:hAnsiTheme="majorHAnsi"/>
          <w:spacing w:val="1"/>
          <w:sz w:val="20"/>
          <w:szCs w:val="20"/>
        </w:rPr>
        <w:t xml:space="preserve"> </w:t>
      </w:r>
      <w:r w:rsidRPr="000977F7">
        <w:rPr>
          <w:rFonts w:asciiTheme="majorHAnsi" w:hAnsiTheme="majorHAnsi"/>
          <w:sz w:val="20"/>
          <w:szCs w:val="20"/>
        </w:rPr>
        <w:t>інше</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47"/>
          <w:sz w:val="20"/>
          <w:szCs w:val="20"/>
        </w:rPr>
        <w:t xml:space="preserve"> </w:t>
      </w:r>
      <w:r w:rsidRPr="000977F7">
        <w:rPr>
          <w:rFonts w:asciiTheme="majorHAnsi" w:hAnsiTheme="majorHAnsi"/>
          <w:sz w:val="20"/>
          <w:szCs w:val="20"/>
        </w:rPr>
        <w:t>передбачено нормативно-правовими</w:t>
      </w:r>
      <w:r w:rsidRPr="000977F7">
        <w:rPr>
          <w:rFonts w:asciiTheme="majorHAnsi" w:hAnsiTheme="majorHAnsi"/>
          <w:spacing w:val="-2"/>
          <w:sz w:val="20"/>
          <w:szCs w:val="20"/>
        </w:rPr>
        <w:t xml:space="preserve"> </w:t>
      </w:r>
      <w:r w:rsidRPr="000977F7">
        <w:rPr>
          <w:rFonts w:asciiTheme="majorHAnsi" w:hAnsiTheme="majorHAnsi"/>
          <w:sz w:val="20"/>
          <w:szCs w:val="20"/>
        </w:rPr>
        <w:t>актами;</w:t>
      </w:r>
    </w:p>
    <w:p w14:paraId="109F5880" w14:textId="77777777" w:rsidR="0097612F" w:rsidRPr="000977F7" w:rsidRDefault="0097612F" w:rsidP="00FD39A4">
      <w:pPr>
        <w:pStyle w:val="ac"/>
        <w:widowControl w:val="0"/>
        <w:numPr>
          <w:ilvl w:val="1"/>
          <w:numId w:val="187"/>
        </w:numPr>
        <w:tabs>
          <w:tab w:val="left" w:pos="284"/>
          <w:tab w:val="left" w:pos="75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відповідності національних стандартів та кодексів</w:t>
      </w:r>
      <w:r w:rsidRPr="000977F7">
        <w:rPr>
          <w:rFonts w:asciiTheme="majorHAnsi" w:hAnsiTheme="majorHAnsi"/>
          <w:spacing w:val="1"/>
          <w:sz w:val="20"/>
          <w:szCs w:val="20"/>
        </w:rPr>
        <w:t xml:space="preserve"> </w:t>
      </w:r>
      <w:r w:rsidRPr="000977F7">
        <w:rPr>
          <w:rFonts w:asciiTheme="majorHAnsi" w:hAnsiTheme="majorHAnsi"/>
          <w:sz w:val="20"/>
          <w:szCs w:val="20"/>
        </w:rPr>
        <w:t>усталеної</w:t>
      </w:r>
      <w:r w:rsidRPr="000977F7">
        <w:rPr>
          <w:rFonts w:asciiTheme="majorHAnsi" w:hAnsiTheme="majorHAnsi"/>
          <w:spacing w:val="1"/>
          <w:sz w:val="20"/>
          <w:szCs w:val="20"/>
        </w:rPr>
        <w:t xml:space="preserve"> </w:t>
      </w:r>
      <w:r w:rsidRPr="000977F7">
        <w:rPr>
          <w:rFonts w:asciiTheme="majorHAnsi" w:hAnsiTheme="majorHAnsi"/>
          <w:sz w:val="20"/>
          <w:szCs w:val="20"/>
        </w:rPr>
        <w:t>практики</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законодавству;</w:t>
      </w:r>
    </w:p>
    <w:p w14:paraId="4C12E4D7" w14:textId="77777777" w:rsidR="0097612F" w:rsidRPr="000977F7" w:rsidRDefault="0097612F" w:rsidP="00FD39A4">
      <w:pPr>
        <w:pStyle w:val="ac"/>
        <w:widowControl w:val="0"/>
        <w:numPr>
          <w:ilvl w:val="1"/>
          <w:numId w:val="187"/>
        </w:numPr>
        <w:tabs>
          <w:tab w:val="left" w:pos="284"/>
          <w:tab w:val="left" w:pos="77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 xml:space="preserve">адаптації до сучасних досягнень науки і </w:t>
      </w:r>
      <w:r w:rsidRPr="000977F7">
        <w:rPr>
          <w:rFonts w:asciiTheme="majorHAnsi" w:hAnsiTheme="majorHAnsi"/>
          <w:sz w:val="20"/>
          <w:szCs w:val="20"/>
        </w:rPr>
        <w:lastRenderedPageBreak/>
        <w:t>техніки,</w:t>
      </w:r>
      <w:r w:rsidRPr="000977F7">
        <w:rPr>
          <w:rFonts w:asciiTheme="majorHAnsi" w:hAnsiTheme="majorHAnsi"/>
          <w:spacing w:val="1"/>
          <w:sz w:val="20"/>
          <w:szCs w:val="20"/>
        </w:rPr>
        <w:t xml:space="preserve"> </w:t>
      </w:r>
      <w:r w:rsidRPr="000977F7">
        <w:rPr>
          <w:rFonts w:asciiTheme="majorHAnsi" w:hAnsiTheme="majorHAnsi"/>
          <w:sz w:val="20"/>
          <w:szCs w:val="20"/>
        </w:rPr>
        <w:t>сприяння</w:t>
      </w:r>
      <w:r w:rsidRPr="000977F7">
        <w:rPr>
          <w:rFonts w:asciiTheme="majorHAnsi" w:hAnsiTheme="majorHAnsi"/>
          <w:spacing w:val="1"/>
          <w:sz w:val="20"/>
          <w:szCs w:val="20"/>
        </w:rPr>
        <w:t xml:space="preserve"> </w:t>
      </w:r>
      <w:r w:rsidRPr="000977F7">
        <w:rPr>
          <w:rFonts w:asciiTheme="majorHAnsi" w:hAnsiTheme="majorHAnsi"/>
          <w:sz w:val="20"/>
          <w:szCs w:val="20"/>
        </w:rPr>
        <w:t>впровадженню</w:t>
      </w:r>
      <w:r w:rsidRPr="000977F7">
        <w:rPr>
          <w:rFonts w:asciiTheme="majorHAnsi" w:hAnsiTheme="majorHAnsi"/>
          <w:spacing w:val="1"/>
          <w:sz w:val="20"/>
          <w:szCs w:val="20"/>
        </w:rPr>
        <w:t xml:space="preserve"> </w:t>
      </w:r>
      <w:r w:rsidRPr="000977F7">
        <w:rPr>
          <w:rFonts w:asciiTheme="majorHAnsi" w:hAnsiTheme="majorHAnsi"/>
          <w:sz w:val="20"/>
          <w:szCs w:val="20"/>
        </w:rPr>
        <w:t>інновацій</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підвищення</w:t>
      </w:r>
      <w:r w:rsidRPr="000977F7">
        <w:rPr>
          <w:rFonts w:asciiTheme="majorHAnsi" w:hAnsiTheme="majorHAnsi"/>
          <w:spacing w:val="1"/>
          <w:sz w:val="20"/>
          <w:szCs w:val="20"/>
        </w:rPr>
        <w:t xml:space="preserve"> </w:t>
      </w:r>
      <w:r w:rsidRPr="000977F7">
        <w:rPr>
          <w:rFonts w:asciiTheme="majorHAnsi" w:hAnsiTheme="majorHAnsi"/>
          <w:sz w:val="20"/>
          <w:szCs w:val="20"/>
        </w:rPr>
        <w:t>конкурентоспроможності</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вітчизняних</w:t>
      </w:r>
      <w:r w:rsidRPr="000977F7">
        <w:rPr>
          <w:rFonts w:asciiTheme="majorHAnsi" w:hAnsiTheme="majorHAnsi"/>
          <w:spacing w:val="1"/>
          <w:sz w:val="20"/>
          <w:szCs w:val="20"/>
        </w:rPr>
        <w:t xml:space="preserve"> </w:t>
      </w:r>
      <w:r w:rsidRPr="000977F7">
        <w:rPr>
          <w:rFonts w:asciiTheme="majorHAnsi" w:hAnsiTheme="majorHAnsi"/>
          <w:sz w:val="20"/>
          <w:szCs w:val="20"/>
        </w:rPr>
        <w:t>виробників;</w:t>
      </w:r>
    </w:p>
    <w:p w14:paraId="0BE1EABE" w14:textId="77777777" w:rsidR="0097612F" w:rsidRPr="000977F7" w:rsidRDefault="0097612F" w:rsidP="00FD39A4">
      <w:pPr>
        <w:pStyle w:val="ac"/>
        <w:widowControl w:val="0"/>
        <w:numPr>
          <w:ilvl w:val="1"/>
          <w:numId w:val="187"/>
        </w:numPr>
        <w:tabs>
          <w:tab w:val="left" w:pos="284"/>
          <w:tab w:val="left" w:pos="78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доступності національних стандартів та кодексів</w:t>
      </w:r>
      <w:r w:rsidRPr="000977F7">
        <w:rPr>
          <w:rFonts w:asciiTheme="majorHAnsi" w:hAnsiTheme="majorHAnsi"/>
          <w:spacing w:val="1"/>
          <w:sz w:val="20"/>
          <w:szCs w:val="20"/>
        </w:rPr>
        <w:t xml:space="preserve"> </w:t>
      </w:r>
      <w:r w:rsidRPr="000977F7">
        <w:rPr>
          <w:rFonts w:asciiTheme="majorHAnsi" w:hAnsiTheme="majorHAnsi"/>
          <w:sz w:val="20"/>
          <w:szCs w:val="20"/>
        </w:rPr>
        <w:t>усталеної практики, а також інформації про них для</w:t>
      </w:r>
      <w:r w:rsidRPr="000977F7">
        <w:rPr>
          <w:rFonts w:asciiTheme="majorHAnsi" w:hAnsiTheme="majorHAnsi"/>
          <w:spacing w:val="1"/>
          <w:sz w:val="20"/>
          <w:szCs w:val="20"/>
        </w:rPr>
        <w:t xml:space="preserve"> </w:t>
      </w:r>
      <w:r w:rsidRPr="000977F7">
        <w:rPr>
          <w:rFonts w:asciiTheme="majorHAnsi" w:hAnsiTheme="majorHAnsi"/>
          <w:sz w:val="20"/>
          <w:szCs w:val="20"/>
        </w:rPr>
        <w:t>користувачів;</w:t>
      </w:r>
    </w:p>
    <w:p w14:paraId="74F73E4E" w14:textId="77777777" w:rsidR="0097612F" w:rsidRPr="000977F7" w:rsidRDefault="0097612F" w:rsidP="00FD39A4">
      <w:pPr>
        <w:pStyle w:val="ac"/>
        <w:widowControl w:val="0"/>
        <w:numPr>
          <w:ilvl w:val="1"/>
          <w:numId w:val="187"/>
        </w:numPr>
        <w:tabs>
          <w:tab w:val="left" w:pos="284"/>
          <w:tab w:val="left" w:pos="7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пріоритетності прийняття в Україні міжнародних і</w:t>
      </w:r>
      <w:r w:rsidRPr="000977F7">
        <w:rPr>
          <w:rFonts w:asciiTheme="majorHAnsi" w:hAnsiTheme="majorHAnsi"/>
          <w:spacing w:val="-47"/>
          <w:sz w:val="20"/>
          <w:szCs w:val="20"/>
        </w:rPr>
        <w:t xml:space="preserve"> </w:t>
      </w:r>
      <w:r w:rsidRPr="000977F7">
        <w:rPr>
          <w:rFonts w:asciiTheme="majorHAnsi" w:hAnsiTheme="majorHAnsi"/>
          <w:sz w:val="20"/>
          <w:szCs w:val="20"/>
        </w:rPr>
        <w:t>регіональних стандартів та кодексів усталеної практики</w:t>
      </w:r>
      <w:r w:rsidRPr="000977F7">
        <w:rPr>
          <w:rFonts w:asciiTheme="majorHAnsi" w:hAnsiTheme="majorHAnsi"/>
          <w:spacing w:val="-2"/>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національних;</w:t>
      </w:r>
    </w:p>
    <w:p w14:paraId="4C1E3AE2" w14:textId="77777777" w:rsidR="0097612F" w:rsidRPr="000977F7" w:rsidRDefault="0097612F" w:rsidP="00FD39A4">
      <w:pPr>
        <w:pStyle w:val="ac"/>
        <w:widowControl w:val="0"/>
        <w:numPr>
          <w:ilvl w:val="1"/>
          <w:numId w:val="187"/>
        </w:numPr>
        <w:tabs>
          <w:tab w:val="left" w:pos="284"/>
          <w:tab w:val="left" w:pos="75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дотриманні міжнародних та регіональних правил і</w:t>
      </w:r>
      <w:r w:rsidRPr="000977F7">
        <w:rPr>
          <w:rFonts w:asciiTheme="majorHAnsi" w:hAnsiTheme="majorHAnsi"/>
          <w:spacing w:val="-47"/>
          <w:sz w:val="20"/>
          <w:szCs w:val="20"/>
        </w:rPr>
        <w:t xml:space="preserve"> </w:t>
      </w:r>
      <w:r w:rsidRPr="000977F7">
        <w:rPr>
          <w:rFonts w:asciiTheme="majorHAnsi" w:hAnsiTheme="majorHAnsi"/>
          <w:sz w:val="20"/>
          <w:szCs w:val="20"/>
        </w:rPr>
        <w:t>процедур стандартизації;</w:t>
      </w:r>
    </w:p>
    <w:p w14:paraId="3EC5D661" w14:textId="77777777" w:rsidR="0097612F" w:rsidRPr="000977F7" w:rsidRDefault="0097612F" w:rsidP="00FD39A4">
      <w:pPr>
        <w:pStyle w:val="ac"/>
        <w:widowControl w:val="0"/>
        <w:numPr>
          <w:ilvl w:val="1"/>
          <w:numId w:val="187"/>
        </w:numPr>
        <w:tabs>
          <w:tab w:val="left" w:pos="284"/>
          <w:tab w:val="left" w:pos="86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участі в міжнародній та регіональній стандартизації;</w:t>
      </w:r>
    </w:p>
    <w:p w14:paraId="46BE1EC1" w14:textId="77777777" w:rsidR="0097612F" w:rsidRPr="000977F7" w:rsidRDefault="0097612F" w:rsidP="00FD39A4">
      <w:pPr>
        <w:pStyle w:val="ac"/>
        <w:widowControl w:val="0"/>
        <w:numPr>
          <w:ilvl w:val="1"/>
          <w:numId w:val="187"/>
        </w:numPr>
        <w:tabs>
          <w:tab w:val="left" w:pos="284"/>
          <w:tab w:val="left" w:pos="83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прийняття і дотримання суб’єктами стандартизації Кодексу доброчинної практики з розробки, прийняття та застосування стандартів відповідно до Угоди</w:t>
      </w:r>
      <w:r w:rsidRPr="000977F7">
        <w:rPr>
          <w:rFonts w:asciiTheme="majorHAnsi" w:hAnsiTheme="majorHAnsi"/>
          <w:spacing w:val="1"/>
          <w:sz w:val="20"/>
          <w:szCs w:val="20"/>
        </w:rPr>
        <w:t xml:space="preserve"> </w:t>
      </w:r>
      <w:r w:rsidRPr="000977F7">
        <w:rPr>
          <w:rFonts w:asciiTheme="majorHAnsi" w:hAnsiTheme="majorHAnsi"/>
          <w:sz w:val="20"/>
          <w:szCs w:val="20"/>
        </w:rPr>
        <w:t>Світової організації торгівлі про</w:t>
      </w:r>
      <w:r w:rsidRPr="000977F7">
        <w:rPr>
          <w:rFonts w:asciiTheme="majorHAnsi" w:hAnsiTheme="majorHAnsi"/>
          <w:spacing w:val="1"/>
          <w:sz w:val="20"/>
          <w:szCs w:val="20"/>
        </w:rPr>
        <w:t xml:space="preserve"> </w:t>
      </w:r>
      <w:r w:rsidRPr="000977F7">
        <w:rPr>
          <w:rFonts w:asciiTheme="majorHAnsi" w:hAnsiTheme="majorHAnsi"/>
          <w:sz w:val="20"/>
          <w:szCs w:val="20"/>
        </w:rPr>
        <w:t>технічні</w:t>
      </w:r>
      <w:r w:rsidRPr="000977F7">
        <w:rPr>
          <w:rFonts w:asciiTheme="majorHAnsi" w:hAnsiTheme="majorHAnsi"/>
          <w:spacing w:val="1"/>
          <w:sz w:val="20"/>
          <w:szCs w:val="20"/>
        </w:rPr>
        <w:t xml:space="preserve"> </w:t>
      </w:r>
      <w:r w:rsidRPr="000977F7">
        <w:rPr>
          <w:rFonts w:asciiTheme="majorHAnsi" w:hAnsiTheme="majorHAnsi"/>
          <w:sz w:val="20"/>
          <w:szCs w:val="20"/>
        </w:rPr>
        <w:t>бар’єри</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торгівлі, що є додатком до Марракеської Угоди про</w:t>
      </w:r>
      <w:r w:rsidRPr="000977F7">
        <w:rPr>
          <w:rFonts w:asciiTheme="majorHAnsi" w:hAnsiTheme="majorHAnsi"/>
          <w:spacing w:val="1"/>
          <w:sz w:val="20"/>
          <w:szCs w:val="20"/>
        </w:rPr>
        <w:t xml:space="preserve"> </w:t>
      </w:r>
      <w:r w:rsidRPr="000977F7">
        <w:rPr>
          <w:rFonts w:asciiTheme="majorHAnsi" w:hAnsiTheme="majorHAnsi"/>
          <w:sz w:val="20"/>
          <w:szCs w:val="20"/>
        </w:rPr>
        <w:t>заснування Світової організації торгівлі від 15 квітня</w:t>
      </w:r>
      <w:r w:rsidRPr="000977F7">
        <w:rPr>
          <w:rFonts w:asciiTheme="majorHAnsi" w:hAnsiTheme="majorHAnsi"/>
          <w:spacing w:val="1"/>
          <w:sz w:val="20"/>
          <w:szCs w:val="20"/>
        </w:rPr>
        <w:t xml:space="preserve"> </w:t>
      </w:r>
      <w:r w:rsidRPr="000977F7">
        <w:rPr>
          <w:rFonts w:asciiTheme="majorHAnsi" w:hAnsiTheme="majorHAnsi"/>
          <w:sz w:val="20"/>
          <w:szCs w:val="20"/>
        </w:rPr>
        <w:t>1994</w:t>
      </w:r>
      <w:r w:rsidRPr="000977F7">
        <w:rPr>
          <w:rFonts w:asciiTheme="majorHAnsi" w:hAnsiTheme="majorHAnsi"/>
          <w:spacing w:val="-2"/>
          <w:sz w:val="20"/>
          <w:szCs w:val="20"/>
        </w:rPr>
        <w:t xml:space="preserve"> </w:t>
      </w:r>
      <w:r w:rsidRPr="000977F7">
        <w:rPr>
          <w:rFonts w:asciiTheme="majorHAnsi" w:hAnsiTheme="majorHAnsi"/>
          <w:sz w:val="20"/>
          <w:szCs w:val="20"/>
        </w:rPr>
        <w:t>року.</w:t>
      </w:r>
    </w:p>
    <w:p w14:paraId="06AEB1F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Ч.2</w:t>
      </w:r>
      <w:r w:rsidRPr="000977F7">
        <w:rPr>
          <w:rFonts w:asciiTheme="majorHAnsi" w:hAnsiTheme="majorHAnsi"/>
          <w:i/>
          <w:spacing w:val="-1"/>
          <w:sz w:val="20"/>
          <w:szCs w:val="20"/>
        </w:rPr>
        <w:t xml:space="preserve"> </w:t>
      </w:r>
      <w:r w:rsidRPr="000977F7">
        <w:rPr>
          <w:rFonts w:asciiTheme="majorHAnsi" w:hAnsiTheme="majorHAnsi"/>
          <w:i/>
          <w:sz w:val="20"/>
          <w:szCs w:val="20"/>
        </w:rPr>
        <w:t>ст.4</w:t>
      </w:r>
      <w:r w:rsidRPr="000977F7">
        <w:rPr>
          <w:rFonts w:asciiTheme="majorHAnsi" w:hAnsiTheme="majorHAnsi"/>
          <w:i/>
          <w:spacing w:val="-1"/>
          <w:sz w:val="20"/>
          <w:szCs w:val="20"/>
        </w:rPr>
        <w:t xml:space="preserve"> </w:t>
      </w:r>
      <w:r w:rsidRPr="000977F7">
        <w:rPr>
          <w:rFonts w:asciiTheme="majorHAnsi" w:hAnsiTheme="majorHAnsi"/>
          <w:i/>
          <w:sz w:val="20"/>
          <w:szCs w:val="20"/>
        </w:rPr>
        <w:t>закону</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 "Про стандартизацію"</w:t>
      </w:r>
    </w:p>
    <w:p w14:paraId="76ED76F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ДЕРЖАВНА САНІТАРНО – ЕПІДЕМІОЛОГІЧНА ЕКСПЕРТИЗА –</w:t>
      </w:r>
    </w:p>
    <w:p w14:paraId="0EF9CAB5"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Вид професійної діяльності органів державної санітарно-епідеміологічної служби, що полягає у комплексному вивченні об'єктів експертизи з метою виявлення можливих небезпечних факторів у цих об'єктах, встановленні відповідності об'єктів експертизи вимогам санітарного законодавства, а у разі відсутності відповідних санітарних норм - в обгрунтуванні медичних вимог щодо безпеки об'єкта для здоров'я та життя людини</w:t>
      </w:r>
    </w:p>
    <w:p w14:paraId="1FE247AA"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забезпечення санітарного та епідемічного благополуччя населення"</w:t>
      </w:r>
    </w:p>
    <w:p w14:paraId="46E40A4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ДЕРЖАВНА СИСТЕМА ПРАВОВОЇ ОХОРОНИ ІНТЕЛЕКТУАЛЬНОЇ ВЛАСНОСТІ </w:t>
      </w:r>
    </w:p>
    <w:p w14:paraId="356BA84D"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Центральний орган виконавчої влади, що забезпечує формування та реалізує державну політику у сфері інтелектуальної власності, НОІВ і сукупність наукових, освітніх, інформаційних та інших відповідної спеціалізації державних підприємств, установ, організацій, що належать до сфери управління центрального органу виконавчої влади, що забезпечує формування та реалізує державну політику у сфері інтелектуальної власності</w:t>
      </w:r>
    </w:p>
    <w:p w14:paraId="7E246FA1"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охорону прав на промислові зразки"</w:t>
      </w:r>
    </w:p>
    <w:p w14:paraId="56DB75A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ДЕРЖАВНА</w:t>
      </w:r>
      <w:r w:rsidRPr="000977F7">
        <w:rPr>
          <w:color w:val="auto"/>
          <w:spacing w:val="-4"/>
          <w:sz w:val="20"/>
          <w:szCs w:val="20"/>
        </w:rPr>
        <w:t xml:space="preserve"> </w:t>
      </w:r>
      <w:r w:rsidRPr="000977F7">
        <w:rPr>
          <w:color w:val="auto"/>
          <w:sz w:val="20"/>
          <w:szCs w:val="20"/>
        </w:rPr>
        <w:t>СИСТЕМА</w:t>
      </w:r>
      <w:r w:rsidRPr="000977F7">
        <w:rPr>
          <w:color w:val="auto"/>
          <w:spacing w:val="-4"/>
          <w:sz w:val="20"/>
          <w:szCs w:val="20"/>
        </w:rPr>
        <w:t xml:space="preserve"> </w:t>
      </w:r>
      <w:r w:rsidRPr="000977F7">
        <w:rPr>
          <w:color w:val="auto"/>
          <w:sz w:val="20"/>
          <w:szCs w:val="20"/>
        </w:rPr>
        <w:t>СТАНДАРТИЗАЦІЇ</w:t>
      </w:r>
      <w:r w:rsidRPr="000977F7">
        <w:rPr>
          <w:color w:val="auto"/>
          <w:spacing w:val="-4"/>
          <w:sz w:val="20"/>
          <w:szCs w:val="20"/>
        </w:rPr>
        <w:t xml:space="preserve"> </w:t>
      </w:r>
      <w:r w:rsidRPr="000977F7">
        <w:rPr>
          <w:color w:val="auto"/>
          <w:sz w:val="20"/>
          <w:szCs w:val="20"/>
        </w:rPr>
        <w:t>–</w:t>
      </w:r>
    </w:p>
    <w:p w14:paraId="3C3CDBB0"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Це</w:t>
      </w:r>
      <w:r w:rsidRPr="004D2D14">
        <w:rPr>
          <w:rFonts w:asciiTheme="majorHAnsi" w:hAnsiTheme="majorHAnsi"/>
          <w:spacing w:val="45"/>
          <w:sz w:val="20"/>
          <w:szCs w:val="20"/>
          <w:lang w:val="uk-UA"/>
        </w:rPr>
        <w:t xml:space="preserve"> </w:t>
      </w:r>
      <w:r w:rsidRPr="004D2D14">
        <w:rPr>
          <w:rFonts w:asciiTheme="majorHAnsi" w:hAnsiTheme="majorHAnsi"/>
          <w:sz w:val="20"/>
          <w:szCs w:val="20"/>
          <w:lang w:val="uk-UA"/>
        </w:rPr>
        <w:t>система,</w:t>
      </w:r>
      <w:r w:rsidRPr="004D2D14">
        <w:rPr>
          <w:rFonts w:asciiTheme="majorHAnsi" w:hAnsiTheme="majorHAnsi"/>
          <w:spacing w:val="46"/>
          <w:sz w:val="20"/>
          <w:szCs w:val="20"/>
          <w:lang w:val="uk-UA"/>
        </w:rPr>
        <w:t xml:space="preserve"> </w:t>
      </w:r>
      <w:r w:rsidRPr="004D2D14">
        <w:rPr>
          <w:rFonts w:asciiTheme="majorHAnsi" w:hAnsiTheme="majorHAnsi"/>
          <w:sz w:val="20"/>
          <w:szCs w:val="20"/>
          <w:lang w:val="uk-UA"/>
        </w:rPr>
        <w:t>яка</w:t>
      </w:r>
      <w:r w:rsidRPr="004D2D14">
        <w:rPr>
          <w:rFonts w:asciiTheme="majorHAnsi" w:hAnsiTheme="majorHAnsi"/>
          <w:spacing w:val="48"/>
          <w:sz w:val="20"/>
          <w:szCs w:val="20"/>
          <w:lang w:val="uk-UA"/>
        </w:rPr>
        <w:t xml:space="preserve"> </w:t>
      </w:r>
      <w:r w:rsidRPr="004D2D14">
        <w:rPr>
          <w:rFonts w:asciiTheme="majorHAnsi" w:hAnsiTheme="majorHAnsi"/>
          <w:sz w:val="20"/>
          <w:szCs w:val="20"/>
          <w:lang w:val="uk-UA"/>
        </w:rPr>
        <w:t>визначає</w:t>
      </w:r>
      <w:r w:rsidRPr="004D2D14">
        <w:rPr>
          <w:rFonts w:asciiTheme="majorHAnsi" w:hAnsiTheme="majorHAnsi"/>
          <w:spacing w:val="46"/>
          <w:sz w:val="20"/>
          <w:szCs w:val="20"/>
          <w:lang w:val="uk-UA"/>
        </w:rPr>
        <w:t xml:space="preserve"> </w:t>
      </w:r>
      <w:r w:rsidRPr="004D2D14">
        <w:rPr>
          <w:rFonts w:asciiTheme="majorHAnsi" w:hAnsiTheme="majorHAnsi"/>
          <w:sz w:val="20"/>
          <w:szCs w:val="20"/>
          <w:lang w:val="uk-UA"/>
        </w:rPr>
        <w:t>основну</w:t>
      </w:r>
      <w:r w:rsidRPr="004D2D14">
        <w:rPr>
          <w:rFonts w:asciiTheme="majorHAnsi" w:hAnsiTheme="majorHAnsi"/>
          <w:spacing w:val="42"/>
          <w:sz w:val="20"/>
          <w:szCs w:val="20"/>
          <w:lang w:val="uk-UA"/>
        </w:rPr>
        <w:t xml:space="preserve"> </w:t>
      </w:r>
      <w:r w:rsidRPr="004D2D14">
        <w:rPr>
          <w:rFonts w:asciiTheme="majorHAnsi" w:hAnsiTheme="majorHAnsi"/>
          <w:sz w:val="20"/>
          <w:szCs w:val="20"/>
          <w:lang w:val="uk-UA"/>
        </w:rPr>
        <w:t>мету</w:t>
      </w:r>
      <w:r w:rsidRPr="004D2D14">
        <w:rPr>
          <w:rFonts w:asciiTheme="majorHAnsi" w:hAnsiTheme="majorHAnsi"/>
          <w:spacing w:val="4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принципи</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управління,</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форми</w:t>
      </w:r>
      <w:r w:rsidRPr="004D2D14">
        <w:rPr>
          <w:rFonts w:asciiTheme="majorHAnsi" w:hAnsiTheme="majorHAnsi"/>
          <w:spacing w:val="19"/>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загальні</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організаційно-технічні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правила виконання всіх видів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робіт із стандартизації</w:t>
      </w:r>
      <w:r w:rsidRPr="004D2D14">
        <w:rPr>
          <w:rFonts w:asciiTheme="majorHAnsi" w:hAnsiTheme="majorHAnsi"/>
          <w:spacing w:val="1"/>
          <w:sz w:val="20"/>
          <w:szCs w:val="20"/>
          <w:lang w:val="uk-UA"/>
        </w:rPr>
        <w:t xml:space="preserve"> </w:t>
      </w:r>
    </w:p>
    <w:p w14:paraId="05C4B0E1" w14:textId="77777777" w:rsidR="0097612F" w:rsidRPr="004D2D14" w:rsidRDefault="0097612F" w:rsidP="000977F7">
      <w:pPr>
        <w:pStyle w:val="af6"/>
        <w:tabs>
          <w:tab w:val="left" w:pos="284"/>
        </w:tabs>
        <w:spacing w:after="0"/>
        <w:ind w:left="170"/>
        <w:mirrorIndents/>
        <w:jc w:val="both"/>
        <w:rPr>
          <w:rFonts w:asciiTheme="majorHAnsi" w:hAnsiTheme="majorHAnsi"/>
          <w:b/>
          <w:spacing w:val="1"/>
          <w:sz w:val="20"/>
          <w:szCs w:val="20"/>
          <w:lang w:val="uk-UA"/>
        </w:rPr>
      </w:pPr>
      <w:r w:rsidRPr="004D2D14">
        <w:rPr>
          <w:rFonts w:asciiTheme="majorHAnsi" w:hAnsiTheme="majorHAnsi"/>
          <w:b/>
          <w:sz w:val="20"/>
          <w:szCs w:val="20"/>
          <w:lang w:val="uk-UA"/>
        </w:rPr>
        <w:t>ДЕРЖАВНИЙ</w:t>
      </w:r>
      <w:r w:rsidRPr="004D2D14">
        <w:rPr>
          <w:rFonts w:asciiTheme="majorHAnsi" w:hAnsiTheme="majorHAnsi"/>
          <w:b/>
          <w:spacing w:val="-2"/>
          <w:sz w:val="20"/>
          <w:szCs w:val="20"/>
          <w:lang w:val="uk-UA"/>
        </w:rPr>
        <w:t xml:space="preserve"> </w:t>
      </w:r>
      <w:r w:rsidRPr="004D2D14">
        <w:rPr>
          <w:rFonts w:asciiTheme="majorHAnsi" w:hAnsiTheme="majorHAnsi"/>
          <w:b/>
          <w:sz w:val="20"/>
          <w:szCs w:val="20"/>
          <w:lang w:val="uk-UA"/>
        </w:rPr>
        <w:t>ВИПРОБУВАЛЬНИЙ</w:t>
      </w:r>
      <w:r w:rsidRPr="004D2D14">
        <w:rPr>
          <w:rFonts w:asciiTheme="majorHAnsi" w:hAnsiTheme="majorHAnsi"/>
          <w:b/>
          <w:spacing w:val="-1"/>
          <w:sz w:val="20"/>
          <w:szCs w:val="20"/>
          <w:lang w:val="uk-UA"/>
        </w:rPr>
        <w:t xml:space="preserve"> </w:t>
      </w:r>
      <w:r w:rsidRPr="004D2D14">
        <w:rPr>
          <w:rFonts w:asciiTheme="majorHAnsi" w:hAnsiTheme="majorHAnsi"/>
          <w:b/>
          <w:sz w:val="20"/>
          <w:szCs w:val="20"/>
          <w:lang w:val="uk-UA"/>
        </w:rPr>
        <w:t>ЦЕНТР</w:t>
      </w:r>
      <w:r w:rsidRPr="004D2D14">
        <w:rPr>
          <w:rFonts w:asciiTheme="majorHAnsi" w:hAnsiTheme="majorHAnsi"/>
          <w:b/>
          <w:spacing w:val="3"/>
          <w:sz w:val="20"/>
          <w:szCs w:val="20"/>
          <w:lang w:val="uk-UA"/>
        </w:rPr>
        <w:t xml:space="preserve"> </w:t>
      </w:r>
      <w:r w:rsidRPr="004D2D14">
        <w:rPr>
          <w:rFonts w:asciiTheme="majorHAnsi" w:hAnsiTheme="majorHAnsi"/>
          <w:b/>
          <w:sz w:val="20"/>
          <w:szCs w:val="20"/>
          <w:lang w:val="uk-UA"/>
        </w:rPr>
        <w:t>–</w:t>
      </w:r>
    </w:p>
    <w:p w14:paraId="65C2553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STATE</w:t>
      </w:r>
      <w:r w:rsidRPr="004D2D14">
        <w:rPr>
          <w:rFonts w:asciiTheme="majorHAnsi" w:hAnsiTheme="majorHAnsi"/>
          <w:spacing w:val="-3"/>
          <w:sz w:val="20"/>
          <w:szCs w:val="20"/>
          <w:lang w:val="uk-UA"/>
        </w:rPr>
        <w:t xml:space="preserve"> </w:t>
      </w:r>
      <w:r w:rsidRPr="000977F7">
        <w:rPr>
          <w:rFonts w:asciiTheme="majorHAnsi" w:hAnsiTheme="majorHAnsi"/>
          <w:sz w:val="20"/>
          <w:szCs w:val="20"/>
        </w:rPr>
        <w:t>TESTING</w:t>
      </w:r>
      <w:r w:rsidRPr="004D2D14">
        <w:rPr>
          <w:rFonts w:asciiTheme="majorHAnsi" w:hAnsiTheme="majorHAnsi"/>
          <w:sz w:val="20"/>
          <w:szCs w:val="20"/>
          <w:lang w:val="uk-UA"/>
        </w:rPr>
        <w:t xml:space="preserve"> </w:t>
      </w:r>
      <w:r w:rsidRPr="000977F7">
        <w:rPr>
          <w:rFonts w:asciiTheme="majorHAnsi" w:hAnsiTheme="majorHAnsi"/>
          <w:sz w:val="20"/>
          <w:szCs w:val="20"/>
        </w:rPr>
        <w:t>CENTER</w:t>
      </w:r>
      <w:r w:rsidRPr="004D2D14">
        <w:rPr>
          <w:rFonts w:asciiTheme="majorHAnsi" w:hAnsiTheme="majorHAnsi"/>
          <w:sz w:val="20"/>
          <w:szCs w:val="20"/>
          <w:lang w:val="uk-UA"/>
        </w:rPr>
        <w:t xml:space="preserve"> –</w:t>
      </w:r>
    </w:p>
    <w:p w14:paraId="6B4C28F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Спеціалізований</w:t>
      </w:r>
      <w:r w:rsidRPr="000977F7">
        <w:rPr>
          <w:rFonts w:asciiTheme="majorHAnsi" w:hAnsiTheme="majorHAnsi"/>
          <w:spacing w:val="1"/>
          <w:sz w:val="20"/>
          <w:szCs w:val="20"/>
        </w:rPr>
        <w:t xml:space="preserve"> </w:t>
      </w:r>
      <w:r w:rsidRPr="000977F7">
        <w:rPr>
          <w:rFonts w:asciiTheme="majorHAnsi" w:hAnsiTheme="majorHAnsi"/>
          <w:sz w:val="20"/>
          <w:szCs w:val="20"/>
        </w:rPr>
        <w:t>підрозділ</w:t>
      </w:r>
      <w:r w:rsidRPr="000977F7">
        <w:rPr>
          <w:rFonts w:asciiTheme="majorHAnsi" w:hAnsiTheme="majorHAnsi"/>
          <w:spacing w:val="1"/>
          <w:sz w:val="20"/>
          <w:szCs w:val="20"/>
        </w:rPr>
        <w:t xml:space="preserve"> </w:t>
      </w:r>
      <w:r w:rsidRPr="000977F7">
        <w:rPr>
          <w:rFonts w:asciiTheme="majorHAnsi" w:hAnsiTheme="majorHAnsi"/>
          <w:sz w:val="20"/>
          <w:szCs w:val="20"/>
        </w:rPr>
        <w:t>головної</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державних</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призначений</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1"/>
          <w:sz w:val="20"/>
          <w:szCs w:val="20"/>
        </w:rPr>
        <w:t xml:space="preserve"> </w:t>
      </w:r>
      <w:r w:rsidRPr="000977F7">
        <w:rPr>
          <w:rFonts w:asciiTheme="majorHAnsi" w:hAnsiTheme="majorHAnsi"/>
          <w:sz w:val="20"/>
          <w:szCs w:val="20"/>
        </w:rPr>
        <w:t>державних випробувань установлених найважливіших</w:t>
      </w:r>
      <w:r w:rsidRPr="000977F7">
        <w:rPr>
          <w:rFonts w:asciiTheme="majorHAnsi" w:hAnsiTheme="majorHAnsi"/>
          <w:spacing w:val="-47"/>
          <w:sz w:val="20"/>
          <w:szCs w:val="20"/>
        </w:rPr>
        <w:t xml:space="preserve"> </w:t>
      </w:r>
      <w:r w:rsidRPr="000977F7">
        <w:rPr>
          <w:rFonts w:asciiTheme="majorHAnsi" w:hAnsiTheme="majorHAnsi"/>
          <w:sz w:val="20"/>
          <w:szCs w:val="20"/>
        </w:rPr>
        <w:t>видів продукції виробничо-технічного та культурно-побутового призначення</w:t>
      </w:r>
    </w:p>
    <w:p w14:paraId="63CDAECD"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3021 – 95</w:t>
      </w:r>
    </w:p>
    <w:p w14:paraId="64B7EB87"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1"/>
          <w:sz w:val="20"/>
          <w:szCs w:val="20"/>
          <w:lang w:val="en-US"/>
        </w:rPr>
      </w:pPr>
      <w:r w:rsidRPr="000977F7">
        <w:rPr>
          <w:rFonts w:asciiTheme="majorHAnsi" w:hAnsiTheme="majorHAnsi"/>
          <w:b/>
          <w:sz w:val="20"/>
          <w:szCs w:val="20"/>
        </w:rPr>
        <w:t>ДЕРЖАВНИЙ</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ЕТАЛОН</w:t>
      </w:r>
      <w:r w:rsidRPr="004D2D14">
        <w:rPr>
          <w:rFonts w:asciiTheme="majorHAnsi" w:hAnsiTheme="majorHAnsi"/>
          <w:b/>
          <w:spacing w:val="1"/>
          <w:sz w:val="20"/>
          <w:szCs w:val="20"/>
          <w:lang w:val="en-US"/>
        </w:rPr>
        <w:t xml:space="preserve"> </w:t>
      </w:r>
      <w:r w:rsidRPr="004D2D14">
        <w:rPr>
          <w:rFonts w:asciiTheme="majorHAnsi" w:hAnsiTheme="majorHAnsi"/>
          <w:b/>
          <w:sz w:val="20"/>
          <w:szCs w:val="20"/>
          <w:lang w:val="en-US"/>
        </w:rPr>
        <w:t>–</w:t>
      </w:r>
    </w:p>
    <w:p w14:paraId="7ED379F3"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NATIONAL</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STANDART</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11FA4C4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Первинний</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спеціальний</w:t>
      </w:r>
      <w:r w:rsidRPr="000977F7">
        <w:rPr>
          <w:rFonts w:asciiTheme="majorHAnsi" w:hAnsiTheme="majorHAnsi"/>
          <w:spacing w:val="1"/>
          <w:sz w:val="20"/>
          <w:szCs w:val="20"/>
        </w:rPr>
        <w:t xml:space="preserve"> </w:t>
      </w:r>
      <w:r w:rsidRPr="000977F7">
        <w:rPr>
          <w:rFonts w:asciiTheme="majorHAnsi" w:hAnsiTheme="majorHAnsi"/>
          <w:sz w:val="20"/>
          <w:szCs w:val="20"/>
        </w:rPr>
        <w:t>еталон,</w:t>
      </w:r>
      <w:r w:rsidRPr="000977F7">
        <w:rPr>
          <w:rFonts w:asciiTheme="majorHAnsi" w:hAnsiTheme="majorHAnsi"/>
          <w:spacing w:val="1"/>
          <w:sz w:val="20"/>
          <w:szCs w:val="20"/>
        </w:rPr>
        <w:t xml:space="preserve"> </w:t>
      </w:r>
      <w:r w:rsidRPr="000977F7">
        <w:rPr>
          <w:rFonts w:asciiTheme="majorHAnsi" w:hAnsiTheme="majorHAnsi"/>
          <w:sz w:val="20"/>
          <w:szCs w:val="20"/>
        </w:rPr>
        <w:t>затверджений</w:t>
      </w:r>
      <w:r w:rsidRPr="000977F7">
        <w:rPr>
          <w:rFonts w:asciiTheme="majorHAnsi" w:hAnsiTheme="majorHAnsi"/>
          <w:spacing w:val="1"/>
          <w:sz w:val="20"/>
          <w:szCs w:val="20"/>
        </w:rPr>
        <w:t xml:space="preserve"> </w:t>
      </w:r>
      <w:r w:rsidRPr="000977F7">
        <w:rPr>
          <w:rFonts w:asciiTheme="majorHAnsi" w:hAnsiTheme="majorHAnsi"/>
          <w:sz w:val="20"/>
          <w:szCs w:val="20"/>
        </w:rPr>
        <w:t>офіційно як</w:t>
      </w:r>
      <w:r w:rsidRPr="000977F7">
        <w:rPr>
          <w:rFonts w:asciiTheme="majorHAnsi" w:hAnsiTheme="majorHAnsi"/>
          <w:spacing w:val="-1"/>
          <w:sz w:val="20"/>
          <w:szCs w:val="20"/>
        </w:rPr>
        <w:t xml:space="preserve"> </w:t>
      </w:r>
      <w:r w:rsidRPr="000977F7">
        <w:rPr>
          <w:rFonts w:asciiTheme="majorHAnsi" w:hAnsiTheme="majorHAnsi"/>
          <w:sz w:val="20"/>
          <w:szCs w:val="20"/>
        </w:rPr>
        <w:t>державний</w:t>
      </w:r>
    </w:p>
    <w:p w14:paraId="4A4DE48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9454F5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ЗАХИСТ ПРАВ </w:t>
      </w:r>
      <w:r w:rsidRPr="000977F7">
        <w:rPr>
          <w:color w:val="auto"/>
          <w:spacing w:val="-47"/>
          <w:sz w:val="20"/>
          <w:szCs w:val="20"/>
        </w:rPr>
        <w:t xml:space="preserve"> </w:t>
      </w:r>
      <w:r w:rsidRPr="000977F7">
        <w:rPr>
          <w:color w:val="auto"/>
          <w:sz w:val="20"/>
          <w:szCs w:val="20"/>
        </w:rPr>
        <w:t>СПОЖИВАЧІВ</w:t>
      </w:r>
      <w:r w:rsidRPr="000977F7">
        <w:rPr>
          <w:color w:val="auto"/>
          <w:spacing w:val="1"/>
          <w:sz w:val="20"/>
          <w:szCs w:val="20"/>
        </w:rPr>
        <w:t xml:space="preserve"> -</w:t>
      </w:r>
    </w:p>
    <w:p w14:paraId="630066FC" w14:textId="77777777" w:rsidR="0097612F" w:rsidRPr="000977F7" w:rsidRDefault="0097612F" w:rsidP="000977F7">
      <w:pPr>
        <w:pStyle w:val="ac"/>
        <w:tabs>
          <w:tab w:val="left" w:pos="284"/>
          <w:tab w:val="left" w:pos="803"/>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shd w:val="clear" w:color="auto" w:fill="FFFFFF"/>
        </w:rPr>
        <w:t>1. Держава забезпечує споживачам захист їх прав, надає можливість вільного вибору продукції, здобуття знань і кваліфікації, необхідних для прийняття самостійних рішень під час придбання та використання продукції відповідно до їх потреб, і гарантує придбання або одержання продукції іншими законними способами в обсязі, що забезпечує рівень споживання, достатній для підтримання здоров'я і життєдіяльності.</w:t>
      </w:r>
      <w:r w:rsidRPr="000977F7">
        <w:rPr>
          <w:rFonts w:asciiTheme="majorHAnsi" w:hAnsiTheme="majorHAnsi"/>
          <w:sz w:val="20"/>
          <w:szCs w:val="20"/>
        </w:rPr>
        <w:t xml:space="preserve"> </w:t>
      </w:r>
    </w:p>
    <w:p w14:paraId="217BB0DC" w14:textId="77777777" w:rsidR="0097612F" w:rsidRPr="000977F7" w:rsidRDefault="0097612F" w:rsidP="000977F7">
      <w:pPr>
        <w:pStyle w:val="ac"/>
        <w:tabs>
          <w:tab w:val="left" w:pos="284"/>
          <w:tab w:val="left" w:pos="803"/>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2. Держава створює умови для здобуття споживачами потрібних знань з питань реалізації їх прав, в тому числі шляхом розробки та проведення відповідних освітніх програм.</w:t>
      </w:r>
    </w:p>
    <w:p w14:paraId="213C9D33" w14:textId="77777777" w:rsidR="0097612F" w:rsidRPr="000977F7" w:rsidRDefault="0097612F" w:rsidP="000977F7">
      <w:pPr>
        <w:tabs>
          <w:tab w:val="left" w:pos="284"/>
          <w:tab w:val="left" w:pos="762"/>
        </w:tabs>
        <w:spacing w:after="0" w:line="240" w:lineRule="auto"/>
        <w:ind w:left="170"/>
        <w:mirrorIndents/>
        <w:jc w:val="both"/>
        <w:rPr>
          <w:rFonts w:asciiTheme="majorHAnsi" w:hAnsiTheme="majorHAnsi"/>
          <w:sz w:val="20"/>
          <w:szCs w:val="20"/>
        </w:rPr>
      </w:pPr>
      <w:bookmarkStart w:id="44" w:name="n774"/>
      <w:bookmarkEnd w:id="44"/>
      <w:r w:rsidRPr="000977F7">
        <w:rPr>
          <w:rFonts w:asciiTheme="majorHAnsi" w:hAnsiTheme="majorHAnsi"/>
          <w:sz w:val="20"/>
          <w:szCs w:val="20"/>
        </w:rPr>
        <w:t>3. Захист прав споживачів здійснюють центральний орган виконавчої влади, що формує та забезпечує реалізацію державної політики у сфері захисту прав споживачів, центральний орган виконавчої влади, що реалізує державну політику у сфері державного контролю за додержанням законодавства про захист прав споживачів, місцеві державні адміністрації, інші органи виконавчої влади, органи місцевого самоврядування згідно із законом, а також суди.</w:t>
      </w:r>
    </w:p>
    <w:p w14:paraId="2D6766A0" w14:textId="77777777" w:rsidR="0097612F" w:rsidRPr="000977F7" w:rsidRDefault="0097612F" w:rsidP="000977F7">
      <w:pPr>
        <w:tabs>
          <w:tab w:val="left" w:pos="284"/>
          <w:tab w:val="left" w:pos="762"/>
        </w:tabs>
        <w:spacing w:after="0" w:line="240" w:lineRule="auto"/>
        <w:ind w:left="170"/>
        <w:mirrorIndents/>
        <w:jc w:val="both"/>
        <w:rPr>
          <w:rFonts w:asciiTheme="majorHAnsi" w:hAnsiTheme="majorHAnsi"/>
          <w:sz w:val="20"/>
          <w:szCs w:val="20"/>
        </w:rPr>
      </w:pPr>
      <w:bookmarkStart w:id="45" w:name="n689"/>
      <w:bookmarkEnd w:id="45"/>
      <w:r w:rsidRPr="000977F7">
        <w:rPr>
          <w:rFonts w:asciiTheme="majorHAnsi" w:hAnsiTheme="majorHAnsi"/>
          <w:sz w:val="20"/>
          <w:szCs w:val="20"/>
        </w:rPr>
        <w:t>Захист прав споживачів у сфері безпечності та якості харчових продуктів, інформування про їх властивості, у тому числі маркування, здійснює центральний орган виконавчої влади, що реалізує державну політику у сфері безпечності та якості харчових продуктів.</w:t>
      </w:r>
    </w:p>
    <w:p w14:paraId="72D8CB55" w14:textId="77777777" w:rsidR="0097612F" w:rsidRPr="000977F7" w:rsidRDefault="0097612F" w:rsidP="000977F7">
      <w:pPr>
        <w:pStyle w:val="ac"/>
        <w:tabs>
          <w:tab w:val="left" w:pos="284"/>
          <w:tab w:val="left" w:pos="762"/>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Ст.5 закону України "Про захист прав споживачів"</w:t>
      </w:r>
    </w:p>
    <w:p w14:paraId="01FD7976" w14:textId="77777777" w:rsidR="0097612F" w:rsidRPr="000977F7" w:rsidRDefault="0097612F" w:rsidP="000977F7">
      <w:pPr>
        <w:pStyle w:val="ac"/>
        <w:tabs>
          <w:tab w:val="left" w:pos="284"/>
          <w:tab w:val="left" w:pos="762"/>
        </w:tabs>
        <w:spacing w:after="0" w:line="240" w:lineRule="auto"/>
        <w:ind w:left="170"/>
        <w:mirrorIndents/>
        <w:jc w:val="both"/>
        <w:rPr>
          <w:rFonts w:asciiTheme="majorHAnsi" w:hAnsiTheme="majorHAnsi"/>
          <w:b/>
          <w:bCs/>
          <w:iCs/>
          <w:sz w:val="20"/>
          <w:szCs w:val="20"/>
        </w:rPr>
      </w:pPr>
      <w:r w:rsidRPr="000977F7">
        <w:rPr>
          <w:rFonts w:asciiTheme="majorHAnsi" w:hAnsiTheme="majorHAnsi"/>
          <w:b/>
          <w:bCs/>
          <w:iCs/>
          <w:sz w:val="20"/>
          <w:szCs w:val="20"/>
        </w:rPr>
        <w:t>ДЕРЖАВНИЙ КОНТРОЛЬ ПРОДУКЦІ</w:t>
      </w:r>
    </w:p>
    <w:p w14:paraId="742967D3" w14:textId="77777777" w:rsidR="0097612F" w:rsidRPr="000977F7" w:rsidRDefault="0097612F" w:rsidP="000977F7">
      <w:pPr>
        <w:pStyle w:val="ac"/>
        <w:tabs>
          <w:tab w:val="left" w:pos="284"/>
          <w:tab w:val="left" w:pos="653"/>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lang w:eastAsia="ru-RU"/>
        </w:rPr>
        <w:t xml:space="preserve">Діяльність митних органів із забезпечення відповідності продукції, що ввозиться на митну територію України для вільного обігу, встановленим вимогам, а також забезпечення відсутності загроз від </w:t>
      </w:r>
      <w:r w:rsidRPr="000977F7">
        <w:rPr>
          <w:rFonts w:asciiTheme="majorHAnsi" w:hAnsiTheme="majorHAnsi"/>
          <w:sz w:val="20"/>
          <w:szCs w:val="20"/>
        </w:rPr>
        <w:t>такої продукції суспільним інтересам (далі контроль продукції)</w:t>
      </w:r>
    </w:p>
    <w:p w14:paraId="73810030" w14:textId="77777777" w:rsidR="0097612F" w:rsidRPr="000977F7" w:rsidRDefault="0097612F" w:rsidP="000977F7">
      <w:pPr>
        <w:pStyle w:val="ac"/>
        <w:tabs>
          <w:tab w:val="left" w:pos="284"/>
          <w:tab w:val="left" w:pos="653"/>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Ст.1 закону України "Про державний ринковий нагляд і контроль нехарчової продукції"</w:t>
      </w:r>
    </w:p>
    <w:p w14:paraId="36F12FF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ДЕРЖАВНИЙ МЕТРОЛОГІЧНИЙ НАГЛЯД –</w:t>
      </w:r>
      <w:r w:rsidRPr="000977F7">
        <w:rPr>
          <w:rFonts w:asciiTheme="majorHAnsi" w:hAnsiTheme="majorHAnsi"/>
          <w:b/>
          <w:spacing w:val="1"/>
          <w:sz w:val="20"/>
          <w:szCs w:val="20"/>
        </w:rPr>
        <w:t xml:space="preserve"> </w:t>
      </w:r>
      <w:r w:rsidRPr="000977F7">
        <w:rPr>
          <w:rFonts w:asciiTheme="majorHAnsi" w:hAnsiTheme="majorHAnsi"/>
          <w:sz w:val="20"/>
          <w:szCs w:val="20"/>
        </w:rPr>
        <w:t>METROLOGICAL SUPERVISION</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5DCAF5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Діяльність спеціально уповноважених органів державної метрологічної служби з метою перевірки дотримання</w:t>
      </w:r>
      <w:r w:rsidRPr="000977F7">
        <w:rPr>
          <w:rFonts w:asciiTheme="majorHAnsi" w:hAnsiTheme="majorHAnsi"/>
          <w:spacing w:val="-2"/>
          <w:sz w:val="20"/>
          <w:szCs w:val="20"/>
        </w:rPr>
        <w:t xml:space="preserve"> </w:t>
      </w:r>
      <w:r w:rsidRPr="000977F7">
        <w:rPr>
          <w:rFonts w:asciiTheme="majorHAnsi" w:hAnsiTheme="majorHAnsi"/>
          <w:sz w:val="20"/>
          <w:szCs w:val="20"/>
        </w:rPr>
        <w:t>метрологічних</w:t>
      </w:r>
      <w:r w:rsidRPr="000977F7">
        <w:rPr>
          <w:rFonts w:asciiTheme="majorHAnsi" w:hAnsiTheme="majorHAnsi"/>
          <w:spacing w:val="-1"/>
          <w:sz w:val="20"/>
          <w:szCs w:val="20"/>
        </w:rPr>
        <w:t xml:space="preserve"> </w:t>
      </w:r>
      <w:r w:rsidRPr="000977F7">
        <w:rPr>
          <w:rFonts w:asciiTheme="majorHAnsi" w:hAnsiTheme="majorHAnsi"/>
          <w:sz w:val="20"/>
          <w:szCs w:val="20"/>
        </w:rPr>
        <w:t>норм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правил</w:t>
      </w:r>
    </w:p>
    <w:p w14:paraId="4E2C60E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78ED93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ДЕРЖАВНИЙ</w:t>
      </w:r>
      <w:r w:rsidRPr="000977F7">
        <w:rPr>
          <w:color w:val="auto"/>
          <w:spacing w:val="1"/>
          <w:sz w:val="20"/>
          <w:szCs w:val="20"/>
        </w:rPr>
        <w:t xml:space="preserve"> </w:t>
      </w:r>
      <w:r w:rsidRPr="000977F7">
        <w:rPr>
          <w:color w:val="auto"/>
          <w:sz w:val="20"/>
          <w:szCs w:val="20"/>
        </w:rPr>
        <w:t>ОБЛІК</w:t>
      </w:r>
      <w:r w:rsidRPr="000977F7">
        <w:rPr>
          <w:color w:val="auto"/>
          <w:spacing w:val="1"/>
          <w:sz w:val="20"/>
          <w:szCs w:val="20"/>
        </w:rPr>
        <w:t xml:space="preserve"> </w:t>
      </w:r>
      <w:r w:rsidRPr="000977F7">
        <w:rPr>
          <w:color w:val="auto"/>
          <w:sz w:val="20"/>
          <w:szCs w:val="20"/>
        </w:rPr>
        <w:t>ОБ'ЄКТІВ,</w:t>
      </w:r>
      <w:r w:rsidRPr="000977F7">
        <w:rPr>
          <w:color w:val="auto"/>
          <w:spacing w:val="1"/>
          <w:sz w:val="20"/>
          <w:szCs w:val="20"/>
        </w:rPr>
        <w:t xml:space="preserve"> </w:t>
      </w:r>
      <w:r w:rsidRPr="000977F7">
        <w:rPr>
          <w:color w:val="auto"/>
          <w:sz w:val="20"/>
          <w:szCs w:val="20"/>
        </w:rPr>
        <w:t xml:space="preserve">ЩО </w:t>
      </w:r>
    </w:p>
    <w:p w14:paraId="5E309FA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ШКІДЛИВО</w:t>
      </w:r>
      <w:r w:rsidRPr="000977F7">
        <w:rPr>
          <w:color w:val="auto"/>
          <w:spacing w:val="1"/>
          <w:sz w:val="20"/>
          <w:szCs w:val="20"/>
        </w:rPr>
        <w:t xml:space="preserve"> </w:t>
      </w:r>
      <w:r w:rsidRPr="000977F7">
        <w:rPr>
          <w:color w:val="auto"/>
          <w:sz w:val="20"/>
          <w:szCs w:val="20"/>
        </w:rPr>
        <w:t>ВПЛИВАЮТЬ</w:t>
      </w:r>
      <w:r w:rsidRPr="000977F7">
        <w:rPr>
          <w:color w:val="auto"/>
          <w:spacing w:val="1"/>
          <w:sz w:val="20"/>
          <w:szCs w:val="20"/>
        </w:rPr>
        <w:t xml:space="preserve"> </w:t>
      </w:r>
      <w:r w:rsidRPr="000977F7">
        <w:rPr>
          <w:color w:val="auto"/>
          <w:sz w:val="20"/>
          <w:szCs w:val="20"/>
        </w:rPr>
        <w:t>НА</w:t>
      </w:r>
      <w:r w:rsidRPr="000977F7">
        <w:rPr>
          <w:color w:val="auto"/>
          <w:spacing w:val="1"/>
          <w:sz w:val="20"/>
          <w:szCs w:val="20"/>
        </w:rPr>
        <w:t xml:space="preserve"> </w:t>
      </w:r>
      <w:r w:rsidRPr="000977F7">
        <w:rPr>
          <w:color w:val="auto"/>
          <w:sz w:val="20"/>
          <w:szCs w:val="20"/>
        </w:rPr>
        <w:t xml:space="preserve">СТАН </w:t>
      </w:r>
    </w:p>
    <w:p w14:paraId="0A6A714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НАВКОЛИШНЬОГО</w:t>
      </w:r>
      <w:r w:rsidRPr="000977F7">
        <w:rPr>
          <w:color w:val="auto"/>
          <w:spacing w:val="39"/>
          <w:sz w:val="20"/>
          <w:szCs w:val="20"/>
        </w:rPr>
        <w:t xml:space="preserve"> </w:t>
      </w:r>
      <w:r w:rsidRPr="000977F7">
        <w:rPr>
          <w:color w:val="auto"/>
          <w:sz w:val="20"/>
          <w:szCs w:val="20"/>
        </w:rPr>
        <w:t>ПРИРОДНОГО</w:t>
      </w:r>
      <w:r w:rsidRPr="000977F7">
        <w:rPr>
          <w:color w:val="auto"/>
          <w:spacing w:val="-1"/>
          <w:sz w:val="20"/>
          <w:szCs w:val="20"/>
        </w:rPr>
        <w:t xml:space="preserve"> </w:t>
      </w:r>
      <w:r w:rsidRPr="000977F7">
        <w:rPr>
          <w:color w:val="auto"/>
          <w:sz w:val="20"/>
          <w:szCs w:val="20"/>
        </w:rPr>
        <w:t>СЕРЕДОВИЩА</w:t>
      </w:r>
      <w:r w:rsidRPr="000977F7">
        <w:rPr>
          <w:color w:val="auto"/>
          <w:spacing w:val="-5"/>
          <w:sz w:val="20"/>
          <w:szCs w:val="20"/>
        </w:rPr>
        <w:t xml:space="preserve"> </w:t>
      </w:r>
      <w:r w:rsidRPr="000977F7">
        <w:rPr>
          <w:color w:val="auto"/>
          <w:sz w:val="20"/>
          <w:szCs w:val="20"/>
        </w:rPr>
        <w:t>–</w:t>
      </w:r>
    </w:p>
    <w:p w14:paraId="3087E0C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Об'єкти,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шкідливо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впливають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можуть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вплинути на стан навколишнього природного середо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вища, види та кількість шкідливих речовин, що потрапляють у навколишнє природне середовище, види й</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розміри шкідливих фізичних впливів на нього підлягають</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державному</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обліку.</w:t>
      </w:r>
    </w:p>
    <w:p w14:paraId="67C6BFB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установи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проводять</w:t>
      </w:r>
      <w:r w:rsidRPr="000977F7">
        <w:rPr>
          <w:rFonts w:asciiTheme="majorHAnsi" w:hAnsiTheme="majorHAnsi"/>
          <w:spacing w:val="1"/>
          <w:sz w:val="20"/>
          <w:szCs w:val="20"/>
        </w:rPr>
        <w:t xml:space="preserve"> </w:t>
      </w:r>
      <w:r w:rsidRPr="000977F7">
        <w:rPr>
          <w:rFonts w:asciiTheme="majorHAnsi" w:hAnsiTheme="majorHAnsi"/>
          <w:sz w:val="20"/>
          <w:szCs w:val="20"/>
        </w:rPr>
        <w:t>первинний</w:t>
      </w:r>
      <w:r w:rsidRPr="000977F7">
        <w:rPr>
          <w:rFonts w:asciiTheme="majorHAnsi" w:hAnsiTheme="majorHAnsi"/>
          <w:spacing w:val="1"/>
          <w:sz w:val="20"/>
          <w:szCs w:val="20"/>
        </w:rPr>
        <w:t xml:space="preserve"> </w:t>
      </w:r>
      <w:r w:rsidRPr="000977F7">
        <w:rPr>
          <w:rFonts w:asciiTheme="majorHAnsi" w:hAnsiTheme="majorHAnsi"/>
          <w:sz w:val="20"/>
          <w:szCs w:val="20"/>
        </w:rPr>
        <w:t>облік</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галузі</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природного середовища і безоплатно подають відповідну</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інформацію органам, що ведуть державний облік у</w:t>
      </w:r>
      <w:r w:rsidRPr="000977F7">
        <w:rPr>
          <w:rFonts w:asciiTheme="majorHAnsi" w:hAnsiTheme="majorHAnsi"/>
          <w:spacing w:val="-1"/>
          <w:sz w:val="20"/>
          <w:szCs w:val="20"/>
        </w:rPr>
        <w:t xml:space="preserve"> </w:t>
      </w:r>
      <w:r w:rsidRPr="000977F7">
        <w:rPr>
          <w:rFonts w:asciiTheme="majorHAnsi" w:hAnsiTheme="majorHAnsi"/>
          <w:sz w:val="20"/>
          <w:szCs w:val="20"/>
        </w:rPr>
        <w:t>цій</w:t>
      </w:r>
      <w:r w:rsidRPr="000977F7">
        <w:rPr>
          <w:rFonts w:asciiTheme="majorHAnsi" w:hAnsiTheme="majorHAnsi"/>
          <w:spacing w:val="-1"/>
          <w:sz w:val="20"/>
          <w:szCs w:val="20"/>
        </w:rPr>
        <w:t xml:space="preserve"> </w:t>
      </w:r>
      <w:r w:rsidRPr="000977F7">
        <w:rPr>
          <w:rFonts w:asciiTheme="majorHAnsi" w:hAnsiTheme="majorHAnsi"/>
          <w:sz w:val="20"/>
          <w:szCs w:val="20"/>
        </w:rPr>
        <w:t>галузі.</w:t>
      </w:r>
    </w:p>
    <w:p w14:paraId="4EB549E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Збір,</w:t>
      </w:r>
      <w:r w:rsidRPr="000977F7">
        <w:rPr>
          <w:rFonts w:asciiTheme="majorHAnsi" w:hAnsiTheme="majorHAnsi"/>
          <w:spacing w:val="1"/>
          <w:sz w:val="20"/>
          <w:szCs w:val="20"/>
        </w:rPr>
        <w:t xml:space="preserve"> </w:t>
      </w:r>
      <w:r w:rsidRPr="000977F7">
        <w:rPr>
          <w:rFonts w:asciiTheme="majorHAnsi" w:hAnsiTheme="majorHAnsi"/>
          <w:sz w:val="20"/>
          <w:szCs w:val="20"/>
        </w:rPr>
        <w:t>обробка</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подання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відповідним</w:t>
      </w:r>
      <w:r w:rsidRPr="000977F7">
        <w:rPr>
          <w:rFonts w:asciiTheme="majorHAnsi" w:hAnsiTheme="majorHAnsi"/>
          <w:spacing w:val="1"/>
          <w:sz w:val="20"/>
          <w:szCs w:val="20"/>
        </w:rPr>
        <w:t xml:space="preserve"> </w:t>
      </w:r>
      <w:r w:rsidRPr="000977F7">
        <w:rPr>
          <w:rFonts w:asciiTheme="majorHAnsi" w:hAnsiTheme="majorHAnsi"/>
          <w:sz w:val="20"/>
          <w:szCs w:val="20"/>
        </w:rPr>
        <w:t>державним</w:t>
      </w:r>
      <w:r w:rsidRPr="000977F7">
        <w:rPr>
          <w:rFonts w:asciiTheme="majorHAnsi" w:hAnsiTheme="majorHAnsi"/>
          <w:spacing w:val="1"/>
          <w:sz w:val="20"/>
          <w:szCs w:val="20"/>
        </w:rPr>
        <w:t xml:space="preserve"> </w:t>
      </w:r>
      <w:r w:rsidRPr="000977F7">
        <w:rPr>
          <w:rFonts w:asciiTheme="majorHAnsi" w:hAnsiTheme="majorHAnsi"/>
          <w:sz w:val="20"/>
          <w:szCs w:val="20"/>
        </w:rPr>
        <w:t>органам</w:t>
      </w:r>
      <w:r w:rsidRPr="000977F7">
        <w:rPr>
          <w:rFonts w:asciiTheme="majorHAnsi" w:hAnsiTheme="majorHAnsi"/>
          <w:spacing w:val="1"/>
          <w:sz w:val="20"/>
          <w:szCs w:val="20"/>
        </w:rPr>
        <w:t xml:space="preserve"> </w:t>
      </w:r>
      <w:r w:rsidRPr="000977F7">
        <w:rPr>
          <w:rFonts w:asciiTheme="majorHAnsi" w:hAnsiTheme="majorHAnsi"/>
          <w:sz w:val="20"/>
          <w:szCs w:val="20"/>
        </w:rPr>
        <w:t>зведеної</w:t>
      </w:r>
      <w:r w:rsidRPr="000977F7">
        <w:rPr>
          <w:rFonts w:asciiTheme="majorHAnsi" w:hAnsiTheme="majorHAnsi"/>
          <w:spacing w:val="1"/>
          <w:sz w:val="20"/>
          <w:szCs w:val="20"/>
        </w:rPr>
        <w:t xml:space="preserve"> </w:t>
      </w:r>
      <w:r w:rsidRPr="000977F7">
        <w:rPr>
          <w:rFonts w:asciiTheme="majorHAnsi" w:hAnsiTheme="majorHAnsi"/>
          <w:sz w:val="20"/>
          <w:szCs w:val="20"/>
        </w:rPr>
        <w:t>статистичної</w:t>
      </w:r>
      <w:r w:rsidRPr="000977F7">
        <w:rPr>
          <w:rFonts w:asciiTheme="majorHAnsi" w:hAnsiTheme="majorHAnsi"/>
          <w:spacing w:val="1"/>
          <w:sz w:val="20"/>
          <w:szCs w:val="20"/>
        </w:rPr>
        <w:t xml:space="preserve"> </w:t>
      </w:r>
      <w:r w:rsidRPr="000977F7">
        <w:rPr>
          <w:rFonts w:asciiTheme="majorHAnsi" w:hAnsiTheme="majorHAnsi"/>
          <w:sz w:val="20"/>
          <w:szCs w:val="20"/>
        </w:rPr>
        <w:t>звітності</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обсяги</w:t>
      </w:r>
      <w:r w:rsidRPr="000977F7">
        <w:rPr>
          <w:rFonts w:asciiTheme="majorHAnsi" w:hAnsiTheme="majorHAnsi"/>
          <w:spacing w:val="-47"/>
          <w:sz w:val="20"/>
          <w:szCs w:val="20"/>
        </w:rPr>
        <w:t xml:space="preserve"> </w:t>
      </w:r>
      <w:r w:rsidRPr="000977F7">
        <w:rPr>
          <w:rFonts w:asciiTheme="majorHAnsi" w:hAnsiTheme="majorHAnsi"/>
          <w:sz w:val="20"/>
          <w:szCs w:val="20"/>
        </w:rPr>
        <w:t>викидів, скидів забруднюючих речовин, використання</w:t>
      </w:r>
      <w:r w:rsidRPr="000977F7">
        <w:rPr>
          <w:rFonts w:asciiTheme="majorHAnsi" w:hAnsiTheme="majorHAnsi"/>
          <w:spacing w:val="22"/>
          <w:sz w:val="20"/>
          <w:szCs w:val="20"/>
        </w:rPr>
        <w:t xml:space="preserve"> </w:t>
      </w:r>
      <w:r w:rsidRPr="000977F7">
        <w:rPr>
          <w:rFonts w:asciiTheme="majorHAnsi" w:hAnsiTheme="majorHAnsi"/>
          <w:sz w:val="20"/>
          <w:szCs w:val="20"/>
        </w:rPr>
        <w:t>природних</w:t>
      </w:r>
      <w:r w:rsidRPr="000977F7">
        <w:rPr>
          <w:rFonts w:asciiTheme="majorHAnsi" w:hAnsiTheme="majorHAnsi"/>
          <w:spacing w:val="23"/>
          <w:sz w:val="20"/>
          <w:szCs w:val="20"/>
        </w:rPr>
        <w:t xml:space="preserve"> </w:t>
      </w:r>
      <w:r w:rsidRPr="000977F7">
        <w:rPr>
          <w:rFonts w:asciiTheme="majorHAnsi" w:hAnsiTheme="majorHAnsi"/>
          <w:sz w:val="20"/>
          <w:szCs w:val="20"/>
        </w:rPr>
        <w:t>ресурсів,</w:t>
      </w:r>
      <w:r w:rsidRPr="000977F7">
        <w:rPr>
          <w:rFonts w:asciiTheme="majorHAnsi" w:hAnsiTheme="majorHAnsi"/>
          <w:spacing w:val="24"/>
          <w:sz w:val="20"/>
          <w:szCs w:val="20"/>
        </w:rPr>
        <w:t xml:space="preserve"> </w:t>
      </w:r>
      <w:r w:rsidRPr="000977F7">
        <w:rPr>
          <w:rFonts w:asciiTheme="majorHAnsi" w:hAnsiTheme="majorHAnsi"/>
          <w:sz w:val="20"/>
          <w:szCs w:val="20"/>
        </w:rPr>
        <w:t>виконання</w:t>
      </w:r>
      <w:r w:rsidRPr="000977F7">
        <w:rPr>
          <w:rFonts w:asciiTheme="majorHAnsi" w:hAnsiTheme="majorHAnsi"/>
          <w:spacing w:val="23"/>
          <w:sz w:val="20"/>
          <w:szCs w:val="20"/>
        </w:rPr>
        <w:t xml:space="preserve"> </w:t>
      </w:r>
      <w:r w:rsidRPr="000977F7">
        <w:rPr>
          <w:rFonts w:asciiTheme="majorHAnsi" w:hAnsiTheme="majorHAnsi"/>
          <w:sz w:val="20"/>
          <w:szCs w:val="20"/>
        </w:rPr>
        <w:t>завдань</w:t>
      </w:r>
      <w:r w:rsidRPr="000977F7">
        <w:rPr>
          <w:rFonts w:asciiTheme="majorHAnsi" w:hAnsiTheme="majorHAnsi"/>
          <w:spacing w:val="24"/>
          <w:sz w:val="20"/>
          <w:szCs w:val="20"/>
        </w:rPr>
        <w:t xml:space="preserve"> </w:t>
      </w:r>
      <w:r w:rsidRPr="000977F7">
        <w:rPr>
          <w:rFonts w:asciiTheme="majorHAnsi" w:hAnsiTheme="majorHAnsi"/>
          <w:sz w:val="20"/>
          <w:szCs w:val="20"/>
        </w:rPr>
        <w:t>по</w:t>
      </w:r>
      <w:r w:rsidRPr="000977F7">
        <w:rPr>
          <w:rFonts w:asciiTheme="majorHAnsi" w:hAnsiTheme="majorHAnsi"/>
          <w:spacing w:val="25"/>
          <w:sz w:val="20"/>
          <w:szCs w:val="20"/>
        </w:rPr>
        <w:t xml:space="preserve"> </w:t>
      </w:r>
      <w:r w:rsidRPr="000977F7">
        <w:rPr>
          <w:rFonts w:asciiTheme="majorHAnsi" w:hAnsiTheme="majorHAnsi"/>
          <w:sz w:val="20"/>
          <w:szCs w:val="20"/>
        </w:rPr>
        <w:t>охороні</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іншої</w:t>
      </w:r>
      <w:r w:rsidRPr="000977F7">
        <w:rPr>
          <w:rFonts w:asciiTheme="majorHAnsi" w:hAnsiTheme="majorHAnsi"/>
          <w:spacing w:val="-47"/>
          <w:sz w:val="20"/>
          <w:szCs w:val="20"/>
        </w:rPr>
        <w:t xml:space="preserve"> </w:t>
      </w:r>
      <w:r w:rsidRPr="000977F7">
        <w:rPr>
          <w:rFonts w:asciiTheme="majorHAnsi" w:hAnsiTheme="majorHAnsi"/>
          <w:sz w:val="20"/>
          <w:szCs w:val="20"/>
        </w:rPr>
        <w:t>інформації, ведення екологічних</w:t>
      </w:r>
      <w:r w:rsidRPr="000977F7">
        <w:rPr>
          <w:rFonts w:asciiTheme="majorHAnsi" w:hAnsiTheme="majorHAnsi"/>
          <w:spacing w:val="1"/>
          <w:sz w:val="20"/>
          <w:szCs w:val="20"/>
        </w:rPr>
        <w:t xml:space="preserve"> </w:t>
      </w:r>
      <w:r w:rsidRPr="000977F7">
        <w:rPr>
          <w:rFonts w:asciiTheme="majorHAnsi" w:hAnsiTheme="majorHAnsi"/>
          <w:sz w:val="20"/>
          <w:szCs w:val="20"/>
        </w:rPr>
        <w:t>паспортів здійснюється за єдиною для республіки системою в порядку,</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7"/>
          <w:sz w:val="20"/>
          <w:szCs w:val="20"/>
        </w:rPr>
        <w:t xml:space="preserve"> </w:t>
      </w:r>
      <w:r w:rsidRPr="000977F7">
        <w:rPr>
          <w:rFonts w:asciiTheme="majorHAnsi" w:hAnsiTheme="majorHAnsi"/>
          <w:sz w:val="20"/>
          <w:szCs w:val="20"/>
        </w:rPr>
        <w:t>визначається</w:t>
      </w:r>
      <w:r w:rsidRPr="000977F7">
        <w:rPr>
          <w:rFonts w:asciiTheme="majorHAnsi" w:hAnsiTheme="majorHAnsi"/>
          <w:spacing w:val="7"/>
          <w:sz w:val="20"/>
          <w:szCs w:val="20"/>
        </w:rPr>
        <w:t xml:space="preserve"> </w:t>
      </w:r>
      <w:r w:rsidRPr="000977F7">
        <w:rPr>
          <w:rFonts w:asciiTheme="majorHAnsi" w:hAnsiTheme="majorHAnsi"/>
          <w:sz w:val="20"/>
          <w:szCs w:val="20"/>
        </w:rPr>
        <w:t>Кабінетом</w:t>
      </w:r>
      <w:r w:rsidRPr="000977F7">
        <w:rPr>
          <w:rFonts w:asciiTheme="majorHAnsi" w:hAnsiTheme="majorHAnsi"/>
          <w:spacing w:val="4"/>
          <w:sz w:val="20"/>
          <w:szCs w:val="20"/>
        </w:rPr>
        <w:t xml:space="preserve"> </w:t>
      </w:r>
      <w:r w:rsidRPr="000977F7">
        <w:rPr>
          <w:rFonts w:asciiTheme="majorHAnsi" w:hAnsiTheme="majorHAnsi"/>
          <w:sz w:val="20"/>
          <w:szCs w:val="20"/>
        </w:rPr>
        <w:t>Міністрів</w:t>
      </w:r>
      <w:r w:rsidRPr="000977F7">
        <w:rPr>
          <w:rFonts w:asciiTheme="majorHAnsi" w:hAnsiTheme="majorHAnsi"/>
          <w:spacing w:val="7"/>
          <w:sz w:val="20"/>
          <w:szCs w:val="20"/>
        </w:rPr>
        <w:t xml:space="preserve"> </w:t>
      </w:r>
      <w:r w:rsidRPr="000977F7">
        <w:rPr>
          <w:rFonts w:asciiTheme="majorHAnsi" w:hAnsiTheme="majorHAnsi"/>
          <w:sz w:val="20"/>
          <w:szCs w:val="20"/>
        </w:rPr>
        <w:t>України</w:t>
      </w:r>
    </w:p>
    <w:p w14:paraId="1BE2451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w w:val="95"/>
          <w:sz w:val="20"/>
          <w:szCs w:val="20"/>
        </w:rPr>
        <w:t>Ст. 35 закону України "Про охорону навколишнього природ</w:t>
      </w:r>
      <w:r w:rsidRPr="000977F7">
        <w:rPr>
          <w:rFonts w:asciiTheme="majorHAnsi" w:hAnsiTheme="majorHAnsi"/>
          <w:i/>
          <w:sz w:val="20"/>
          <w:szCs w:val="20"/>
        </w:rPr>
        <w:t>ного</w:t>
      </w:r>
      <w:r w:rsidRPr="000977F7">
        <w:rPr>
          <w:rFonts w:asciiTheme="majorHAnsi" w:hAnsiTheme="majorHAnsi"/>
          <w:i/>
          <w:spacing w:val="1"/>
          <w:sz w:val="20"/>
          <w:szCs w:val="20"/>
        </w:rPr>
        <w:t xml:space="preserve"> </w:t>
      </w:r>
      <w:r w:rsidRPr="000977F7">
        <w:rPr>
          <w:rFonts w:asciiTheme="majorHAnsi" w:hAnsiTheme="majorHAnsi"/>
          <w:i/>
          <w:sz w:val="20"/>
          <w:szCs w:val="20"/>
        </w:rPr>
        <w:t>середовища"</w:t>
      </w:r>
    </w:p>
    <w:p w14:paraId="52817971"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r w:rsidRPr="000977F7">
        <w:rPr>
          <w:rFonts w:asciiTheme="majorHAnsi" w:hAnsiTheme="majorHAnsi"/>
          <w:b/>
          <w:bCs/>
          <w:iCs/>
          <w:w w:val="95"/>
          <w:sz w:val="20"/>
          <w:szCs w:val="20"/>
        </w:rPr>
        <w:t>ДЕРЖАВНИЙ РИНКОВИЙ НАГЛЯД -</w:t>
      </w:r>
    </w:p>
    <w:p w14:paraId="4C1CC8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Діяльність органів ринкового нагляду з метою забезпечення відповідності продукції встановленим вимогам, а також забезпечення відсутності загроз суспільним інтересам</w:t>
      </w:r>
    </w:p>
    <w:p w14:paraId="073493EA"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Ст. 1 закону України "Про державний ринковий нагляд і контроль нехарчової продукції"</w:t>
      </w:r>
    </w:p>
    <w:p w14:paraId="071B3A0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ДЕРЖАВНІ ВИПРОБУВАННЯ ЗАСОБІВ </w:t>
      </w:r>
    </w:p>
    <w:p w14:paraId="3A8DACA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w:t>
      </w:r>
      <w:r w:rsidRPr="000977F7">
        <w:rPr>
          <w:color w:val="auto"/>
          <w:spacing w:val="-47"/>
          <w:sz w:val="20"/>
          <w:szCs w:val="20"/>
        </w:rPr>
        <w:t xml:space="preserve"> </w:t>
      </w:r>
      <w:r w:rsidRPr="000977F7">
        <w:rPr>
          <w:color w:val="auto"/>
          <w:sz w:val="20"/>
          <w:szCs w:val="20"/>
        </w:rPr>
        <w:t>РЮВАЛЬНОЇ</w:t>
      </w:r>
      <w:r w:rsidRPr="000977F7">
        <w:rPr>
          <w:color w:val="auto"/>
          <w:spacing w:val="-2"/>
          <w:sz w:val="20"/>
          <w:szCs w:val="20"/>
        </w:rPr>
        <w:t xml:space="preserve"> </w:t>
      </w:r>
      <w:r w:rsidRPr="000977F7">
        <w:rPr>
          <w:color w:val="auto"/>
          <w:sz w:val="20"/>
          <w:szCs w:val="20"/>
        </w:rPr>
        <w:t>ТЕХНІКИ</w:t>
      </w:r>
      <w:r w:rsidRPr="000977F7">
        <w:rPr>
          <w:color w:val="auto"/>
          <w:spacing w:val="3"/>
          <w:sz w:val="20"/>
          <w:szCs w:val="20"/>
        </w:rPr>
        <w:t xml:space="preserve"> </w:t>
      </w:r>
      <w:r w:rsidRPr="000977F7">
        <w:rPr>
          <w:color w:val="auto"/>
          <w:sz w:val="20"/>
          <w:szCs w:val="20"/>
        </w:rPr>
        <w:t>–</w:t>
      </w:r>
    </w:p>
    <w:p w14:paraId="68247C0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STATE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TESTS</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MEASURING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INSTRUMENTS</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5AB6BC5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Дослідження</w:t>
      </w:r>
      <w:r w:rsidRPr="004D2D14">
        <w:rPr>
          <w:rFonts w:asciiTheme="majorHAnsi" w:hAnsiTheme="majorHAnsi"/>
          <w:sz w:val="20"/>
          <w:szCs w:val="20"/>
          <w:lang w:val="en-US"/>
        </w:rPr>
        <w:t xml:space="preserve">, </w:t>
      </w:r>
      <w:r w:rsidRPr="000977F7">
        <w:rPr>
          <w:rFonts w:asciiTheme="majorHAnsi" w:hAnsiTheme="majorHAnsi"/>
          <w:sz w:val="20"/>
          <w:szCs w:val="20"/>
        </w:rPr>
        <w:t>які</w:t>
      </w:r>
      <w:r w:rsidRPr="004D2D14">
        <w:rPr>
          <w:rFonts w:asciiTheme="majorHAnsi" w:hAnsiTheme="majorHAnsi"/>
          <w:sz w:val="20"/>
          <w:szCs w:val="20"/>
          <w:lang w:val="en-US"/>
        </w:rPr>
        <w:t xml:space="preserve"> </w:t>
      </w:r>
      <w:r w:rsidRPr="000977F7">
        <w:rPr>
          <w:rFonts w:asciiTheme="majorHAnsi" w:hAnsiTheme="majorHAnsi"/>
          <w:sz w:val="20"/>
          <w:szCs w:val="20"/>
        </w:rPr>
        <w:t>виконуються</w:t>
      </w:r>
      <w:r w:rsidRPr="004D2D14">
        <w:rPr>
          <w:rFonts w:asciiTheme="majorHAnsi" w:hAnsiTheme="majorHAnsi"/>
          <w:sz w:val="20"/>
          <w:szCs w:val="20"/>
          <w:lang w:val="en-US"/>
        </w:rPr>
        <w:t xml:space="preserve"> </w:t>
      </w:r>
      <w:r w:rsidRPr="000977F7">
        <w:rPr>
          <w:rFonts w:asciiTheme="majorHAnsi" w:hAnsiTheme="majorHAnsi"/>
          <w:sz w:val="20"/>
          <w:szCs w:val="20"/>
        </w:rPr>
        <w:t>державною</w:t>
      </w:r>
      <w:r w:rsidRPr="004D2D14">
        <w:rPr>
          <w:rFonts w:asciiTheme="majorHAnsi" w:hAnsiTheme="majorHAnsi"/>
          <w:sz w:val="20"/>
          <w:szCs w:val="20"/>
          <w:lang w:val="en-US"/>
        </w:rPr>
        <w:t xml:space="preserve"> </w:t>
      </w:r>
      <w:r w:rsidRPr="000977F7">
        <w:rPr>
          <w:rFonts w:asciiTheme="majorHAnsi" w:hAnsiTheme="majorHAnsi"/>
          <w:sz w:val="20"/>
          <w:szCs w:val="20"/>
        </w:rPr>
        <w:t>метрологічною</w:t>
      </w:r>
      <w:r w:rsidRPr="004D2D14">
        <w:rPr>
          <w:rFonts w:asciiTheme="majorHAnsi" w:hAnsiTheme="majorHAnsi"/>
          <w:sz w:val="20"/>
          <w:szCs w:val="20"/>
          <w:lang w:val="en-US"/>
        </w:rPr>
        <w:t xml:space="preserve"> </w:t>
      </w:r>
      <w:r w:rsidRPr="000977F7">
        <w:rPr>
          <w:rFonts w:asciiTheme="majorHAnsi" w:hAnsiTheme="majorHAnsi"/>
          <w:sz w:val="20"/>
          <w:szCs w:val="20"/>
        </w:rPr>
        <w:t>службою</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за</w:t>
      </w:r>
      <w:r w:rsidRPr="004D2D14">
        <w:rPr>
          <w:rFonts w:asciiTheme="majorHAnsi" w:hAnsiTheme="majorHAnsi"/>
          <w:sz w:val="20"/>
          <w:szCs w:val="20"/>
          <w:lang w:val="en-US"/>
        </w:rPr>
        <w:t xml:space="preserve"> </w:t>
      </w:r>
      <w:r w:rsidRPr="000977F7">
        <w:rPr>
          <w:rFonts w:asciiTheme="majorHAnsi" w:hAnsiTheme="majorHAnsi"/>
          <w:sz w:val="20"/>
          <w:szCs w:val="20"/>
        </w:rPr>
        <w:t>її</w:t>
      </w:r>
      <w:r w:rsidRPr="004D2D14">
        <w:rPr>
          <w:rFonts w:asciiTheme="majorHAnsi" w:hAnsiTheme="majorHAnsi"/>
          <w:sz w:val="20"/>
          <w:szCs w:val="20"/>
          <w:lang w:val="en-US"/>
        </w:rPr>
        <w:t xml:space="preserve"> </w:t>
      </w:r>
      <w:r w:rsidRPr="000977F7">
        <w:rPr>
          <w:rFonts w:asciiTheme="majorHAnsi" w:hAnsiTheme="majorHAnsi"/>
          <w:sz w:val="20"/>
          <w:szCs w:val="20"/>
        </w:rPr>
        <w:t>дорученням</w:t>
      </w:r>
      <w:r w:rsidRPr="004D2D14">
        <w:rPr>
          <w:rFonts w:asciiTheme="majorHAnsi" w:hAnsiTheme="majorHAnsi"/>
          <w:sz w:val="20"/>
          <w:szCs w:val="20"/>
          <w:lang w:val="en-US"/>
        </w:rPr>
        <w:t xml:space="preserve"> </w:t>
      </w:r>
      <w:r w:rsidRPr="000977F7">
        <w:rPr>
          <w:rFonts w:asciiTheme="majorHAnsi" w:hAnsiTheme="majorHAnsi"/>
          <w:sz w:val="20"/>
          <w:szCs w:val="20"/>
        </w:rPr>
        <w:t>зразків</w:t>
      </w:r>
      <w:r w:rsidRPr="004D2D14">
        <w:rPr>
          <w:rFonts w:asciiTheme="majorHAnsi" w:hAnsiTheme="majorHAnsi"/>
          <w:sz w:val="20"/>
          <w:szCs w:val="20"/>
          <w:lang w:val="en-US"/>
        </w:rPr>
        <w:t xml:space="preserve"> </w:t>
      </w:r>
      <w:r w:rsidRPr="000977F7">
        <w:rPr>
          <w:rFonts w:asciiTheme="majorHAnsi" w:hAnsiTheme="majorHAnsi"/>
          <w:sz w:val="20"/>
          <w:szCs w:val="20"/>
        </w:rPr>
        <w:t>засобів</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вимірювальної</w:t>
      </w:r>
      <w:r w:rsidRPr="004D2D14">
        <w:rPr>
          <w:rFonts w:asciiTheme="majorHAnsi" w:hAnsiTheme="majorHAnsi"/>
          <w:sz w:val="20"/>
          <w:szCs w:val="20"/>
          <w:lang w:val="en-US"/>
        </w:rPr>
        <w:t xml:space="preserve"> </w:t>
      </w:r>
      <w:r w:rsidRPr="000977F7">
        <w:rPr>
          <w:rFonts w:asciiTheme="majorHAnsi" w:hAnsiTheme="majorHAnsi"/>
          <w:sz w:val="20"/>
          <w:szCs w:val="20"/>
        </w:rPr>
        <w:t>техніки</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призначені</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серійного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виробництва</w:t>
      </w:r>
      <w:r w:rsidRPr="004D2D14">
        <w:rPr>
          <w:rFonts w:asciiTheme="majorHAnsi" w:hAnsiTheme="majorHAnsi"/>
          <w:spacing w:val="1"/>
          <w:sz w:val="20"/>
          <w:szCs w:val="20"/>
          <w:lang w:val="en-US"/>
        </w:rPr>
        <w:t xml:space="preserve"> </w:t>
      </w:r>
      <w:r w:rsidRPr="000977F7">
        <w:rPr>
          <w:rFonts w:asciiTheme="majorHAnsi" w:hAnsiTheme="majorHAnsi"/>
          <w:sz w:val="20"/>
          <w:szCs w:val="20"/>
        </w:rPr>
        <w:t>чи</w:t>
      </w:r>
      <w:r w:rsidRPr="004D2D14">
        <w:rPr>
          <w:rFonts w:asciiTheme="majorHAnsi" w:hAnsiTheme="majorHAnsi"/>
          <w:spacing w:val="1"/>
          <w:sz w:val="20"/>
          <w:szCs w:val="20"/>
          <w:lang w:val="en-US"/>
        </w:rPr>
        <w:t xml:space="preserve"> </w:t>
      </w:r>
      <w:r w:rsidRPr="000977F7">
        <w:rPr>
          <w:rFonts w:asciiTheme="majorHAnsi" w:hAnsiTheme="majorHAnsi"/>
          <w:sz w:val="20"/>
          <w:szCs w:val="20"/>
        </w:rPr>
        <w:t>серійно</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випускаються</w:t>
      </w:r>
      <w:r w:rsidRPr="004D2D14">
        <w:rPr>
          <w:rFonts w:asciiTheme="majorHAnsi" w:hAnsiTheme="majorHAnsi"/>
          <w:sz w:val="20"/>
          <w:szCs w:val="20"/>
          <w:lang w:val="en-US"/>
        </w:rPr>
        <w:t>,</w:t>
      </w:r>
      <w:r w:rsidRPr="004D2D14">
        <w:rPr>
          <w:rFonts w:asciiTheme="majorHAnsi" w:hAnsiTheme="majorHAnsi"/>
          <w:spacing w:val="50"/>
          <w:sz w:val="20"/>
          <w:szCs w:val="20"/>
          <w:lang w:val="en-US"/>
        </w:rPr>
        <w:t xml:space="preserve"> </w:t>
      </w:r>
      <w:r w:rsidRPr="000977F7">
        <w:rPr>
          <w:rFonts w:asciiTheme="majorHAnsi" w:hAnsiTheme="majorHAnsi"/>
          <w:sz w:val="20"/>
          <w:szCs w:val="20"/>
        </w:rPr>
        <w:t>або</w:t>
      </w:r>
      <w:r w:rsidRPr="004D2D14">
        <w:rPr>
          <w:rFonts w:asciiTheme="majorHAnsi" w:hAnsiTheme="majorHAnsi"/>
          <w:spacing w:val="50"/>
          <w:sz w:val="20"/>
          <w:szCs w:val="20"/>
          <w:lang w:val="en-US"/>
        </w:rPr>
        <w:t xml:space="preserve"> </w:t>
      </w:r>
      <w:r w:rsidRPr="000977F7">
        <w:rPr>
          <w:rFonts w:asciiTheme="majorHAnsi" w:hAnsiTheme="majorHAnsi"/>
          <w:sz w:val="20"/>
          <w:szCs w:val="20"/>
        </w:rPr>
        <w:t>зразків</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призначені</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імпорту</w:t>
      </w:r>
      <w:r w:rsidRPr="004D2D14">
        <w:rPr>
          <w:rFonts w:asciiTheme="majorHAnsi" w:hAnsiTheme="majorHAnsi"/>
          <w:sz w:val="20"/>
          <w:szCs w:val="20"/>
          <w:lang w:val="en-US"/>
        </w:rPr>
        <w:t xml:space="preserve"> </w:t>
      </w:r>
      <w:r w:rsidRPr="000977F7">
        <w:rPr>
          <w:rFonts w:asciiTheme="majorHAnsi" w:hAnsiTheme="majorHAnsi"/>
          <w:sz w:val="20"/>
          <w:szCs w:val="20"/>
        </w:rPr>
        <w:t>партіями</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встановлення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їх</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відповідності</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вимогам</w:t>
      </w:r>
      <w:r w:rsidRPr="004D2D14">
        <w:rPr>
          <w:rFonts w:asciiTheme="majorHAnsi" w:hAnsiTheme="majorHAnsi"/>
          <w:spacing w:val="1"/>
          <w:sz w:val="20"/>
          <w:szCs w:val="20"/>
          <w:lang w:val="en-US"/>
        </w:rPr>
        <w:t xml:space="preserve"> </w:t>
      </w:r>
      <w:r w:rsidRPr="000977F7">
        <w:rPr>
          <w:rFonts w:asciiTheme="majorHAnsi" w:hAnsiTheme="majorHAnsi"/>
          <w:sz w:val="20"/>
          <w:szCs w:val="20"/>
        </w:rPr>
        <w:t>нормативно</w:t>
      </w:r>
      <w:r w:rsidRPr="004D2D14">
        <w:rPr>
          <w:rFonts w:asciiTheme="majorHAnsi" w:hAnsiTheme="majorHAnsi"/>
          <w:sz w:val="20"/>
          <w:szCs w:val="20"/>
          <w:lang w:val="en-US"/>
        </w:rPr>
        <w:t>-</w:t>
      </w:r>
      <w:r w:rsidRPr="000977F7">
        <w:rPr>
          <w:rFonts w:asciiTheme="majorHAnsi" w:hAnsiTheme="majorHAnsi"/>
          <w:sz w:val="20"/>
          <w:szCs w:val="20"/>
        </w:rPr>
        <w:t>технічної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документації</w:t>
      </w:r>
    </w:p>
    <w:p w14:paraId="2F64E88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94</w:t>
      </w:r>
    </w:p>
    <w:p w14:paraId="4D38FAA7"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ДЕРЖАВНІ</w:t>
      </w:r>
      <w:r w:rsidRPr="004D2D14">
        <w:rPr>
          <w:rFonts w:asciiTheme="majorHAnsi" w:hAnsiTheme="majorHAnsi"/>
          <w:b/>
          <w:sz w:val="20"/>
          <w:szCs w:val="20"/>
          <w:lang w:val="en-US"/>
        </w:rPr>
        <w:t xml:space="preserve"> </w:t>
      </w:r>
      <w:r w:rsidRPr="000977F7">
        <w:rPr>
          <w:rFonts w:asciiTheme="majorHAnsi" w:hAnsiTheme="majorHAnsi"/>
          <w:b/>
          <w:sz w:val="20"/>
          <w:szCs w:val="20"/>
        </w:rPr>
        <w:t>ВИПРОБУВАННЯ</w:t>
      </w:r>
      <w:r w:rsidRPr="004D2D14">
        <w:rPr>
          <w:rFonts w:asciiTheme="majorHAnsi" w:hAnsiTheme="majorHAnsi"/>
          <w:b/>
          <w:sz w:val="20"/>
          <w:szCs w:val="20"/>
          <w:lang w:val="en-US"/>
        </w:rPr>
        <w:t xml:space="preserve"> </w:t>
      </w:r>
      <w:r w:rsidRPr="000977F7">
        <w:rPr>
          <w:rFonts w:asciiTheme="majorHAnsi" w:hAnsiTheme="majorHAnsi"/>
          <w:b/>
          <w:sz w:val="20"/>
          <w:szCs w:val="20"/>
        </w:rPr>
        <w:t>ПРОДУКЦІЇ</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48"/>
          <w:sz w:val="20"/>
          <w:szCs w:val="20"/>
          <w:lang w:val="en-US"/>
        </w:rPr>
        <w:t xml:space="preserve"> </w:t>
      </w:r>
      <w:r w:rsidRPr="004D2D14">
        <w:rPr>
          <w:rFonts w:asciiTheme="majorHAnsi" w:hAnsiTheme="majorHAnsi"/>
          <w:sz w:val="20"/>
          <w:szCs w:val="20"/>
          <w:lang w:val="en-US"/>
        </w:rPr>
        <w:t>STATE</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TES</w:t>
      </w:r>
      <w:r w:rsidRPr="000977F7">
        <w:rPr>
          <w:rFonts w:asciiTheme="majorHAnsi" w:hAnsiTheme="majorHAnsi"/>
          <w:sz w:val="20"/>
          <w:szCs w:val="20"/>
        </w:rPr>
        <w:t>Т</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1DF4A55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встановлених</w:t>
      </w:r>
      <w:r w:rsidRPr="000977F7">
        <w:rPr>
          <w:rFonts w:asciiTheme="majorHAnsi" w:hAnsiTheme="majorHAnsi"/>
          <w:spacing w:val="1"/>
          <w:sz w:val="20"/>
          <w:szCs w:val="20"/>
        </w:rPr>
        <w:t xml:space="preserve"> </w:t>
      </w:r>
      <w:r w:rsidRPr="000977F7">
        <w:rPr>
          <w:rFonts w:asciiTheme="majorHAnsi" w:hAnsiTheme="majorHAnsi"/>
          <w:sz w:val="20"/>
          <w:szCs w:val="20"/>
        </w:rPr>
        <w:t>найважливіших</w:t>
      </w:r>
      <w:r w:rsidRPr="000977F7">
        <w:rPr>
          <w:rFonts w:asciiTheme="majorHAnsi" w:hAnsiTheme="majorHAnsi"/>
          <w:spacing w:val="1"/>
          <w:sz w:val="20"/>
          <w:szCs w:val="20"/>
        </w:rPr>
        <w:t xml:space="preserve"> </w:t>
      </w:r>
      <w:r w:rsidRPr="000977F7">
        <w:rPr>
          <w:rFonts w:asciiTheme="majorHAnsi" w:hAnsiTheme="majorHAnsi"/>
          <w:sz w:val="20"/>
          <w:szCs w:val="20"/>
        </w:rPr>
        <w:t>видів</w:t>
      </w:r>
      <w:r w:rsidRPr="000977F7">
        <w:rPr>
          <w:rFonts w:asciiTheme="majorHAnsi" w:hAnsiTheme="majorHAnsi"/>
          <w:spacing w:val="-47"/>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проводяться</w:t>
      </w:r>
      <w:r w:rsidRPr="000977F7">
        <w:rPr>
          <w:rFonts w:asciiTheme="majorHAnsi" w:hAnsiTheme="majorHAnsi"/>
          <w:spacing w:val="1"/>
          <w:sz w:val="20"/>
          <w:szCs w:val="20"/>
        </w:rPr>
        <w:t xml:space="preserve"> </w:t>
      </w:r>
      <w:r w:rsidRPr="000977F7">
        <w:rPr>
          <w:rFonts w:asciiTheme="majorHAnsi" w:hAnsiTheme="majorHAnsi"/>
          <w:sz w:val="20"/>
          <w:szCs w:val="20"/>
        </w:rPr>
        <w:t>головною</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організацією</w:t>
      </w:r>
      <w:r w:rsidRPr="000977F7">
        <w:rPr>
          <w:rFonts w:asciiTheme="majorHAnsi" w:hAnsiTheme="majorHAnsi"/>
          <w:spacing w:val="1"/>
          <w:sz w:val="20"/>
          <w:szCs w:val="20"/>
        </w:rPr>
        <w:t xml:space="preserve"> </w:t>
      </w:r>
      <w:r w:rsidRPr="000977F7">
        <w:rPr>
          <w:rFonts w:asciiTheme="majorHAnsi" w:hAnsiTheme="majorHAnsi"/>
          <w:sz w:val="20"/>
          <w:szCs w:val="20"/>
        </w:rPr>
        <w:t>державних</w:t>
      </w:r>
      <w:r w:rsidRPr="000977F7">
        <w:rPr>
          <w:rFonts w:asciiTheme="majorHAnsi" w:hAnsiTheme="majorHAnsi"/>
          <w:spacing w:val="-2"/>
          <w:sz w:val="20"/>
          <w:szCs w:val="20"/>
        </w:rPr>
        <w:t xml:space="preserve"> </w:t>
      </w:r>
      <w:r w:rsidRPr="000977F7">
        <w:rPr>
          <w:rFonts w:asciiTheme="majorHAnsi" w:hAnsiTheme="majorHAnsi"/>
          <w:sz w:val="20"/>
          <w:szCs w:val="20"/>
        </w:rPr>
        <w:t>випробувань чи</w:t>
      </w:r>
    </w:p>
    <w:p w14:paraId="4D770DA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приймальні</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проводяться</w:t>
      </w:r>
      <w:r w:rsidRPr="000977F7">
        <w:rPr>
          <w:rFonts w:asciiTheme="majorHAnsi" w:hAnsiTheme="majorHAnsi"/>
          <w:spacing w:val="1"/>
          <w:sz w:val="20"/>
          <w:szCs w:val="20"/>
        </w:rPr>
        <w:t xml:space="preserve"> </w:t>
      </w:r>
      <w:r w:rsidRPr="000977F7">
        <w:rPr>
          <w:rFonts w:asciiTheme="majorHAnsi" w:hAnsiTheme="majorHAnsi"/>
          <w:sz w:val="20"/>
          <w:szCs w:val="20"/>
        </w:rPr>
        <w:t>державною комісією або випробувальною організацією, якій</w:t>
      </w:r>
      <w:r w:rsidRPr="000977F7">
        <w:rPr>
          <w:rFonts w:asciiTheme="majorHAnsi" w:hAnsiTheme="majorHAnsi"/>
          <w:spacing w:val="1"/>
          <w:sz w:val="20"/>
          <w:szCs w:val="20"/>
        </w:rPr>
        <w:t xml:space="preserve"> </w:t>
      </w:r>
      <w:r w:rsidRPr="000977F7">
        <w:rPr>
          <w:rFonts w:asciiTheme="majorHAnsi" w:hAnsiTheme="majorHAnsi"/>
          <w:sz w:val="20"/>
          <w:szCs w:val="20"/>
        </w:rPr>
        <w:t>надано право</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2"/>
          <w:sz w:val="20"/>
          <w:szCs w:val="20"/>
        </w:rPr>
        <w:t xml:space="preserve"> </w:t>
      </w:r>
      <w:r w:rsidRPr="000977F7">
        <w:rPr>
          <w:rFonts w:asciiTheme="majorHAnsi" w:hAnsiTheme="majorHAnsi"/>
          <w:sz w:val="20"/>
          <w:szCs w:val="20"/>
        </w:rPr>
        <w:t>проведення</w:t>
      </w:r>
    </w:p>
    <w:p w14:paraId="6B53E22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0C19247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ДЕРЖАВНІ КОНТРОЛЬНІ ВИПРОБУВАННЯ</w:t>
      </w:r>
      <w:r w:rsidRPr="000977F7">
        <w:rPr>
          <w:rFonts w:asciiTheme="majorHAnsi" w:hAnsiTheme="majorHAnsi"/>
          <w:b/>
          <w:spacing w:val="-47"/>
          <w:sz w:val="20"/>
          <w:szCs w:val="20"/>
        </w:rPr>
        <w:t xml:space="preserve"> </w:t>
      </w:r>
      <w:r w:rsidRPr="000977F7">
        <w:rPr>
          <w:rFonts w:asciiTheme="majorHAnsi" w:hAnsiTheme="majorHAnsi"/>
          <w:b/>
          <w:sz w:val="20"/>
          <w:szCs w:val="20"/>
        </w:rPr>
        <w:t>ЗАСОБІВ ВИМІРЮВАЛЬНОЇ ТЕХНІКИ –</w:t>
      </w:r>
      <w:r w:rsidRPr="000977F7">
        <w:rPr>
          <w:rFonts w:asciiTheme="majorHAnsi" w:hAnsiTheme="majorHAnsi"/>
          <w:b/>
          <w:spacing w:val="1"/>
          <w:sz w:val="20"/>
          <w:szCs w:val="20"/>
        </w:rPr>
        <w:t xml:space="preserve"> </w:t>
      </w:r>
      <w:r w:rsidRPr="000977F7">
        <w:rPr>
          <w:rFonts w:asciiTheme="majorHAnsi" w:hAnsiTheme="majorHAnsi"/>
          <w:sz w:val="20"/>
          <w:szCs w:val="20"/>
        </w:rPr>
        <w:t>EXAMINATION FOR CONFORMITY WITH</w:t>
      </w:r>
      <w:r w:rsidRPr="000977F7">
        <w:rPr>
          <w:rFonts w:asciiTheme="majorHAnsi" w:hAnsiTheme="majorHAnsi"/>
          <w:spacing w:val="1"/>
          <w:sz w:val="20"/>
          <w:szCs w:val="20"/>
        </w:rPr>
        <w:t xml:space="preserve"> </w:t>
      </w:r>
      <w:r w:rsidRPr="000977F7">
        <w:rPr>
          <w:rFonts w:asciiTheme="majorHAnsi" w:hAnsiTheme="majorHAnsi"/>
          <w:sz w:val="20"/>
          <w:szCs w:val="20"/>
        </w:rPr>
        <w:t>APPROVED</w:t>
      </w:r>
      <w:r w:rsidRPr="000977F7">
        <w:rPr>
          <w:rFonts w:asciiTheme="majorHAnsi" w:hAnsiTheme="majorHAnsi"/>
          <w:spacing w:val="-1"/>
          <w:sz w:val="20"/>
          <w:szCs w:val="20"/>
        </w:rPr>
        <w:t xml:space="preserve"> </w:t>
      </w:r>
      <w:r w:rsidRPr="000977F7">
        <w:rPr>
          <w:rFonts w:asciiTheme="majorHAnsi" w:hAnsiTheme="majorHAnsi"/>
          <w:sz w:val="20"/>
          <w:szCs w:val="20"/>
        </w:rPr>
        <w:t>PATTERN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B9847E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Державні випробування зразків засобів вимірювальної техніки, що серійно випускаються чи імпортуються партіями з метою підтвердження їх 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встановленим вимогам</w:t>
      </w:r>
    </w:p>
    <w:p w14:paraId="5C0AAFD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107FBC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ДЕРЖАВНІ ПРИЙМАЛЬНІ ВИПРОБУВАННЯ</w:t>
      </w:r>
      <w:r w:rsidRPr="000977F7">
        <w:rPr>
          <w:color w:val="auto"/>
          <w:spacing w:val="-47"/>
          <w:sz w:val="20"/>
          <w:szCs w:val="20"/>
        </w:rPr>
        <w:t xml:space="preserve"> </w:t>
      </w:r>
      <w:r w:rsidRPr="000977F7">
        <w:rPr>
          <w:color w:val="auto"/>
          <w:sz w:val="20"/>
          <w:szCs w:val="20"/>
        </w:rPr>
        <w:t>ЗАСОБІВ</w:t>
      </w:r>
      <w:r w:rsidRPr="000977F7">
        <w:rPr>
          <w:color w:val="auto"/>
          <w:spacing w:val="-1"/>
          <w:sz w:val="20"/>
          <w:szCs w:val="20"/>
        </w:rPr>
        <w:t xml:space="preserve"> </w:t>
      </w:r>
      <w:r w:rsidRPr="000977F7">
        <w:rPr>
          <w:color w:val="auto"/>
          <w:sz w:val="20"/>
          <w:szCs w:val="20"/>
        </w:rPr>
        <w:t>ВИМІРЮВАЛЬНОЇ</w:t>
      </w:r>
      <w:r w:rsidRPr="000977F7">
        <w:rPr>
          <w:color w:val="auto"/>
          <w:spacing w:val="-3"/>
          <w:sz w:val="20"/>
          <w:szCs w:val="20"/>
        </w:rPr>
        <w:t xml:space="preserve"> </w:t>
      </w:r>
      <w:r w:rsidRPr="000977F7">
        <w:rPr>
          <w:color w:val="auto"/>
          <w:sz w:val="20"/>
          <w:szCs w:val="20"/>
        </w:rPr>
        <w:t>ТЕХНІКИ</w:t>
      </w:r>
      <w:r w:rsidRPr="000977F7">
        <w:rPr>
          <w:color w:val="auto"/>
          <w:spacing w:val="1"/>
          <w:sz w:val="20"/>
          <w:szCs w:val="20"/>
        </w:rPr>
        <w:t xml:space="preserve"> </w:t>
      </w:r>
      <w:r w:rsidRPr="000977F7">
        <w:rPr>
          <w:color w:val="auto"/>
          <w:sz w:val="20"/>
          <w:szCs w:val="20"/>
        </w:rPr>
        <w:t>–</w:t>
      </w:r>
    </w:p>
    <w:p w14:paraId="4A520D9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Державні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випробування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зразків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нових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засобів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вимірювальної техніки, що призначені для серійного виробництва, або зразків, призначених для імпорту партіями,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виконуються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затвердження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їх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типу</w:t>
      </w:r>
    </w:p>
    <w:p w14:paraId="48E0BBC4"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70901A7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ДЕРЖАВНІ САНІТАРНІ НОРМИ ТА ПРАВИЛА –</w:t>
      </w:r>
    </w:p>
    <w:p w14:paraId="6354B713"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Державні санітарні норми та правила, санітарно-гігієнічні та санітарно-протиепідемічні правила і норми, санітарно-епідеміологічні правила і норми, протиепідемічні правила і норми, гігієнічні та протиепідемічні правила і норми, державні санітарно-епідеміологічні нормативи, санітарні регламенти (далі - санітарні норми) - обов'язкові для виконання нормативно-правові акти центрального органу виконавчої влади, що забезпечує формування державної політики у сфері охорони здоров'я, що встановлюють медичні вимоги безпеки щодо середовища життєдіяльності та окремих його факторів, недотримання яких створює загрозу здоров'ю і життю людини та майбутніх поколінь, а також загрозу виникнення і розповсюдження інфекційних хвороб та масових неінфекційних захворювань (отруєнь) серед населення</w:t>
      </w:r>
    </w:p>
    <w:p w14:paraId="44003E60"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забезпечення санітарного та епідемічного благополуччя населення"</w:t>
      </w:r>
    </w:p>
    <w:p w14:paraId="5865C6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ДЕТАЛЬ</w:t>
      </w:r>
      <w:r w:rsidRPr="000977F7">
        <w:rPr>
          <w:color w:val="auto"/>
          <w:spacing w:val="-2"/>
          <w:sz w:val="20"/>
          <w:szCs w:val="20"/>
        </w:rPr>
        <w:t xml:space="preserve"> </w:t>
      </w:r>
      <w:r w:rsidRPr="000977F7">
        <w:rPr>
          <w:color w:val="auto"/>
          <w:sz w:val="20"/>
          <w:szCs w:val="20"/>
        </w:rPr>
        <w:t>–</w:t>
      </w:r>
    </w:p>
    <w:p w14:paraId="538F90C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w:t>
      </w:r>
      <w:r w:rsidRPr="000977F7">
        <w:rPr>
          <w:rFonts w:asciiTheme="majorHAnsi" w:hAnsiTheme="majorHAnsi"/>
          <w:spacing w:val="13"/>
          <w:sz w:val="20"/>
          <w:szCs w:val="20"/>
        </w:rPr>
        <w:t xml:space="preserve"> </w:t>
      </w:r>
      <w:r w:rsidRPr="000977F7">
        <w:rPr>
          <w:rFonts w:asciiTheme="majorHAnsi" w:hAnsiTheme="majorHAnsi"/>
          <w:sz w:val="20"/>
          <w:szCs w:val="20"/>
        </w:rPr>
        <w:t>виготовлений</w:t>
      </w:r>
      <w:r w:rsidRPr="000977F7">
        <w:rPr>
          <w:rFonts w:asciiTheme="majorHAnsi" w:hAnsiTheme="majorHAnsi"/>
          <w:spacing w:val="11"/>
          <w:sz w:val="20"/>
          <w:szCs w:val="20"/>
        </w:rPr>
        <w:t xml:space="preserve"> </w:t>
      </w:r>
      <w:r w:rsidRPr="000977F7">
        <w:rPr>
          <w:rFonts w:asciiTheme="majorHAnsi" w:hAnsiTheme="majorHAnsi"/>
          <w:sz w:val="20"/>
          <w:szCs w:val="20"/>
        </w:rPr>
        <w:t>із</w:t>
      </w:r>
      <w:r w:rsidRPr="000977F7">
        <w:rPr>
          <w:rFonts w:asciiTheme="majorHAnsi" w:hAnsiTheme="majorHAnsi"/>
          <w:spacing w:val="13"/>
          <w:sz w:val="20"/>
          <w:szCs w:val="20"/>
        </w:rPr>
        <w:t xml:space="preserve"> </w:t>
      </w:r>
      <w:r w:rsidRPr="000977F7">
        <w:rPr>
          <w:rFonts w:asciiTheme="majorHAnsi" w:hAnsiTheme="majorHAnsi"/>
          <w:sz w:val="20"/>
          <w:szCs w:val="20"/>
        </w:rPr>
        <w:t>матеріалу</w:t>
      </w:r>
      <w:r w:rsidRPr="000977F7">
        <w:rPr>
          <w:rFonts w:asciiTheme="majorHAnsi" w:hAnsiTheme="majorHAnsi"/>
          <w:spacing w:val="11"/>
          <w:sz w:val="20"/>
          <w:szCs w:val="20"/>
        </w:rPr>
        <w:t xml:space="preserve"> </w:t>
      </w:r>
      <w:r w:rsidRPr="000977F7">
        <w:rPr>
          <w:rFonts w:asciiTheme="majorHAnsi" w:hAnsiTheme="majorHAnsi"/>
          <w:sz w:val="20"/>
          <w:szCs w:val="20"/>
        </w:rPr>
        <w:t>однієї</w:t>
      </w:r>
      <w:r w:rsidRPr="000977F7">
        <w:rPr>
          <w:rFonts w:asciiTheme="majorHAnsi" w:hAnsiTheme="majorHAnsi"/>
          <w:spacing w:val="12"/>
          <w:sz w:val="20"/>
          <w:szCs w:val="20"/>
        </w:rPr>
        <w:t xml:space="preserve"> </w:t>
      </w:r>
      <w:r w:rsidRPr="000977F7">
        <w:rPr>
          <w:rFonts w:asciiTheme="majorHAnsi" w:hAnsiTheme="majorHAnsi"/>
          <w:sz w:val="20"/>
          <w:szCs w:val="20"/>
        </w:rPr>
        <w:t>марки</w:t>
      </w:r>
      <w:r w:rsidRPr="000977F7">
        <w:rPr>
          <w:rFonts w:asciiTheme="majorHAnsi" w:hAnsiTheme="majorHAnsi"/>
          <w:spacing w:val="11"/>
          <w:sz w:val="20"/>
          <w:szCs w:val="20"/>
        </w:rPr>
        <w:t xml:space="preserve"> </w:t>
      </w:r>
      <w:r w:rsidRPr="000977F7">
        <w:rPr>
          <w:rFonts w:asciiTheme="majorHAnsi" w:hAnsiTheme="majorHAnsi"/>
          <w:sz w:val="20"/>
          <w:szCs w:val="20"/>
        </w:rPr>
        <w:t>без</w:t>
      </w:r>
      <w:r w:rsidRPr="000977F7">
        <w:rPr>
          <w:rFonts w:asciiTheme="majorHAnsi" w:hAnsiTheme="majorHAnsi"/>
          <w:spacing w:val="-47"/>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2"/>
          <w:sz w:val="20"/>
          <w:szCs w:val="20"/>
        </w:rPr>
        <w:t xml:space="preserve"> </w:t>
      </w:r>
      <w:r w:rsidRPr="000977F7">
        <w:rPr>
          <w:rFonts w:asciiTheme="majorHAnsi" w:hAnsiTheme="majorHAnsi"/>
          <w:sz w:val="20"/>
          <w:szCs w:val="20"/>
        </w:rPr>
        <w:t>складальних</w:t>
      </w:r>
      <w:r w:rsidRPr="000977F7">
        <w:rPr>
          <w:rFonts w:asciiTheme="majorHAnsi" w:hAnsiTheme="majorHAnsi"/>
          <w:spacing w:val="-1"/>
          <w:sz w:val="20"/>
          <w:szCs w:val="20"/>
        </w:rPr>
        <w:t xml:space="preserve"> </w:t>
      </w:r>
      <w:r w:rsidRPr="000977F7">
        <w:rPr>
          <w:rFonts w:asciiTheme="majorHAnsi" w:hAnsiTheme="majorHAnsi"/>
          <w:sz w:val="20"/>
          <w:szCs w:val="20"/>
        </w:rPr>
        <w:t>операцій</w:t>
      </w:r>
    </w:p>
    <w:p w14:paraId="45B21D5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5D1BDCBB"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b/>
          <w:sz w:val="20"/>
          <w:szCs w:val="20"/>
        </w:rPr>
        <w:t xml:space="preserve">ДЕФЕКТ </w:t>
      </w:r>
      <w:r w:rsidRPr="000977F7">
        <w:rPr>
          <w:rFonts w:asciiTheme="majorHAnsi" w:hAnsiTheme="majorHAnsi"/>
          <w:sz w:val="20"/>
          <w:szCs w:val="20"/>
        </w:rPr>
        <w:t>–</w:t>
      </w:r>
      <w:r w:rsidRPr="000977F7">
        <w:rPr>
          <w:rFonts w:asciiTheme="majorHAnsi" w:hAnsiTheme="majorHAnsi"/>
          <w:spacing w:val="1"/>
          <w:sz w:val="20"/>
          <w:szCs w:val="20"/>
        </w:rPr>
        <w:t xml:space="preserve"> </w:t>
      </w:r>
    </w:p>
    <w:p w14:paraId="10EFDB2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DEFECT;</w:t>
      </w:r>
      <w:r w:rsidRPr="000977F7">
        <w:rPr>
          <w:rFonts w:asciiTheme="majorHAnsi" w:hAnsiTheme="majorHAnsi"/>
          <w:spacing w:val="-10"/>
          <w:sz w:val="20"/>
          <w:szCs w:val="20"/>
        </w:rPr>
        <w:t xml:space="preserve"> </w:t>
      </w:r>
      <w:r w:rsidRPr="000977F7">
        <w:rPr>
          <w:rFonts w:asciiTheme="majorHAnsi" w:hAnsiTheme="majorHAnsi"/>
          <w:sz w:val="20"/>
          <w:szCs w:val="20"/>
        </w:rPr>
        <w:t>FAULT</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5CB6821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Невідповідність, пов’язана з передбачуваним або встановленим</w:t>
      </w:r>
      <w:r w:rsidRPr="000977F7">
        <w:rPr>
          <w:rFonts w:asciiTheme="majorHAnsi" w:hAnsiTheme="majorHAnsi"/>
          <w:spacing w:val="2"/>
          <w:sz w:val="20"/>
          <w:szCs w:val="20"/>
        </w:rPr>
        <w:t xml:space="preserve"> </w:t>
      </w:r>
      <w:r w:rsidRPr="000977F7">
        <w:rPr>
          <w:rFonts w:asciiTheme="majorHAnsi" w:hAnsiTheme="majorHAnsi"/>
          <w:sz w:val="20"/>
          <w:szCs w:val="20"/>
        </w:rPr>
        <w:t>використанням.</w:t>
      </w:r>
    </w:p>
    <w:p w14:paraId="60A984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Розрізнення понять «дефект» і «невідповідність» важливе, оскільки воно має підтекст юридичного характеру, зокрема пов’язаний з</w:t>
      </w:r>
      <w:r w:rsidRPr="000977F7">
        <w:rPr>
          <w:rFonts w:asciiTheme="majorHAnsi" w:hAnsiTheme="majorHAnsi"/>
          <w:spacing w:val="1"/>
          <w:sz w:val="20"/>
          <w:szCs w:val="20"/>
        </w:rPr>
        <w:t xml:space="preserve"> </w:t>
      </w:r>
      <w:r w:rsidRPr="000977F7">
        <w:rPr>
          <w:rFonts w:asciiTheme="majorHAnsi" w:hAnsiTheme="majorHAnsi"/>
          <w:sz w:val="20"/>
          <w:szCs w:val="20"/>
        </w:rPr>
        <w:t>питаннями відповідальності</w:t>
      </w:r>
      <w:r w:rsidRPr="000977F7">
        <w:rPr>
          <w:rFonts w:asciiTheme="majorHAnsi" w:hAnsiTheme="majorHAnsi"/>
          <w:spacing w:val="-2"/>
          <w:sz w:val="20"/>
          <w:szCs w:val="20"/>
        </w:rPr>
        <w:t xml:space="preserve"> </w:t>
      </w:r>
      <w:r w:rsidRPr="000977F7">
        <w:rPr>
          <w:rFonts w:asciiTheme="majorHAnsi" w:hAnsiTheme="majorHAnsi"/>
          <w:sz w:val="20"/>
          <w:szCs w:val="20"/>
        </w:rPr>
        <w:t>за</w:t>
      </w:r>
      <w:r w:rsidRPr="000977F7">
        <w:rPr>
          <w:rFonts w:asciiTheme="majorHAnsi" w:hAnsiTheme="majorHAnsi"/>
          <w:spacing w:val="2"/>
          <w:sz w:val="20"/>
          <w:szCs w:val="20"/>
        </w:rPr>
        <w:t xml:space="preserve"> </w:t>
      </w:r>
      <w:r w:rsidRPr="000977F7">
        <w:rPr>
          <w:rFonts w:asciiTheme="majorHAnsi" w:hAnsiTheme="majorHAnsi"/>
          <w:sz w:val="20"/>
          <w:szCs w:val="20"/>
        </w:rPr>
        <w:t>продукцію</w:t>
      </w:r>
      <w:r w:rsidRPr="000977F7">
        <w:rPr>
          <w:rFonts w:asciiTheme="majorHAnsi" w:hAnsiTheme="majorHAnsi"/>
          <w:spacing w:val="2"/>
          <w:sz w:val="20"/>
          <w:szCs w:val="20"/>
        </w:rPr>
        <w:t xml:space="preserve"> </w:t>
      </w:r>
      <w:r w:rsidRPr="000977F7">
        <w:rPr>
          <w:rFonts w:asciiTheme="majorHAnsi" w:hAnsiTheme="majorHAnsi"/>
          <w:sz w:val="20"/>
          <w:szCs w:val="20"/>
        </w:rPr>
        <w:t>та послугу</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625D2008"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Примітка</w:t>
      </w:r>
      <w:r w:rsidRPr="000977F7">
        <w:rPr>
          <w:rFonts w:asciiTheme="majorHAnsi" w:hAnsiTheme="majorHAnsi"/>
          <w:spacing w:val="1"/>
          <w:sz w:val="20"/>
          <w:szCs w:val="20"/>
        </w:rPr>
        <w:t xml:space="preserve"> </w:t>
      </w:r>
      <w:r w:rsidRPr="000977F7">
        <w:rPr>
          <w:rFonts w:asciiTheme="majorHAnsi" w:hAnsiTheme="majorHAnsi"/>
          <w:sz w:val="20"/>
          <w:szCs w:val="20"/>
        </w:rPr>
        <w:t>2.</w:t>
      </w:r>
      <w:r w:rsidRPr="000977F7">
        <w:rPr>
          <w:rFonts w:asciiTheme="majorHAnsi" w:hAnsiTheme="majorHAnsi"/>
          <w:spacing w:val="1"/>
          <w:sz w:val="20"/>
          <w:szCs w:val="20"/>
        </w:rPr>
        <w:t xml:space="preserve"> </w:t>
      </w:r>
      <w:r w:rsidRPr="000977F7">
        <w:rPr>
          <w:rFonts w:asciiTheme="majorHAnsi" w:hAnsiTheme="majorHAnsi"/>
          <w:sz w:val="20"/>
          <w:szCs w:val="20"/>
        </w:rPr>
        <w:t>Передбачуване</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передбачає</w:t>
      </w:r>
      <w:r w:rsidRPr="000977F7">
        <w:rPr>
          <w:rFonts w:asciiTheme="majorHAnsi" w:hAnsiTheme="majorHAnsi"/>
          <w:spacing w:val="17"/>
          <w:sz w:val="20"/>
          <w:szCs w:val="20"/>
        </w:rPr>
        <w:t xml:space="preserve"> </w:t>
      </w:r>
      <w:r w:rsidRPr="000977F7">
        <w:rPr>
          <w:rFonts w:asciiTheme="majorHAnsi" w:hAnsiTheme="majorHAnsi"/>
          <w:sz w:val="20"/>
          <w:szCs w:val="20"/>
        </w:rPr>
        <w:t>замовник,</w:t>
      </w:r>
      <w:r w:rsidRPr="000977F7">
        <w:rPr>
          <w:rFonts w:asciiTheme="majorHAnsi" w:hAnsiTheme="majorHAnsi"/>
          <w:spacing w:val="17"/>
          <w:sz w:val="20"/>
          <w:szCs w:val="20"/>
        </w:rPr>
        <w:t xml:space="preserve"> </w:t>
      </w:r>
      <w:r w:rsidRPr="000977F7">
        <w:rPr>
          <w:rFonts w:asciiTheme="majorHAnsi" w:hAnsiTheme="majorHAnsi"/>
          <w:sz w:val="20"/>
          <w:szCs w:val="20"/>
        </w:rPr>
        <w:t>може</w:t>
      </w:r>
      <w:r w:rsidRPr="000977F7">
        <w:rPr>
          <w:rFonts w:asciiTheme="majorHAnsi" w:hAnsiTheme="majorHAnsi"/>
          <w:spacing w:val="17"/>
          <w:sz w:val="20"/>
          <w:szCs w:val="20"/>
        </w:rPr>
        <w:t xml:space="preserve"> </w:t>
      </w:r>
      <w:r w:rsidRPr="000977F7">
        <w:rPr>
          <w:rFonts w:asciiTheme="majorHAnsi" w:hAnsiTheme="majorHAnsi"/>
          <w:sz w:val="20"/>
          <w:szCs w:val="20"/>
        </w:rPr>
        <w:t>залежати</w:t>
      </w:r>
      <w:r w:rsidRPr="000977F7">
        <w:rPr>
          <w:rFonts w:asciiTheme="majorHAnsi" w:hAnsiTheme="majorHAnsi"/>
          <w:spacing w:val="18"/>
          <w:sz w:val="20"/>
          <w:szCs w:val="20"/>
        </w:rPr>
        <w:t xml:space="preserve"> </w:t>
      </w:r>
      <w:r w:rsidRPr="000977F7">
        <w:rPr>
          <w:rFonts w:asciiTheme="majorHAnsi" w:hAnsiTheme="majorHAnsi"/>
          <w:sz w:val="20"/>
          <w:szCs w:val="20"/>
        </w:rPr>
        <w:t>від</w:t>
      </w:r>
      <w:r w:rsidRPr="000977F7">
        <w:rPr>
          <w:rFonts w:asciiTheme="majorHAnsi" w:hAnsiTheme="majorHAnsi"/>
          <w:spacing w:val="18"/>
          <w:sz w:val="20"/>
          <w:szCs w:val="20"/>
        </w:rPr>
        <w:t xml:space="preserve"> </w:t>
      </w:r>
      <w:r w:rsidRPr="000977F7">
        <w:rPr>
          <w:rFonts w:asciiTheme="majorHAnsi" w:hAnsiTheme="majorHAnsi"/>
          <w:sz w:val="20"/>
          <w:szCs w:val="20"/>
        </w:rPr>
        <w:t>характеру</w:t>
      </w:r>
      <w:r w:rsidRPr="000977F7">
        <w:rPr>
          <w:rFonts w:asciiTheme="majorHAnsi" w:hAnsiTheme="majorHAnsi"/>
          <w:spacing w:val="20"/>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15"/>
          <w:sz w:val="20"/>
          <w:szCs w:val="20"/>
        </w:rPr>
        <w:t xml:space="preserve"> </w:t>
      </w:r>
      <w:r w:rsidRPr="000977F7">
        <w:rPr>
          <w:rFonts w:asciiTheme="majorHAnsi" w:hAnsiTheme="majorHAnsi"/>
          <w:sz w:val="20"/>
          <w:szCs w:val="20"/>
        </w:rPr>
        <w:t>зокрема</w:t>
      </w:r>
      <w:r w:rsidRPr="000977F7">
        <w:rPr>
          <w:rFonts w:asciiTheme="majorHAnsi" w:hAnsiTheme="majorHAnsi"/>
          <w:spacing w:val="15"/>
          <w:sz w:val="20"/>
          <w:szCs w:val="20"/>
        </w:rPr>
        <w:t xml:space="preserve"> </w:t>
      </w:r>
      <w:r w:rsidRPr="000977F7">
        <w:rPr>
          <w:rFonts w:asciiTheme="majorHAnsi" w:hAnsiTheme="majorHAnsi"/>
          <w:sz w:val="20"/>
          <w:szCs w:val="20"/>
        </w:rPr>
        <w:t>інструкції</w:t>
      </w:r>
      <w:r w:rsidRPr="000977F7">
        <w:rPr>
          <w:rFonts w:asciiTheme="majorHAnsi" w:hAnsiTheme="majorHAnsi"/>
          <w:spacing w:val="14"/>
          <w:sz w:val="20"/>
          <w:szCs w:val="20"/>
        </w:rPr>
        <w:t xml:space="preserve"> </w:t>
      </w:r>
      <w:r w:rsidRPr="000977F7">
        <w:rPr>
          <w:rFonts w:asciiTheme="majorHAnsi" w:hAnsiTheme="majorHAnsi"/>
          <w:sz w:val="20"/>
          <w:szCs w:val="20"/>
        </w:rPr>
        <w:t>з</w:t>
      </w:r>
      <w:r w:rsidRPr="000977F7">
        <w:rPr>
          <w:rFonts w:asciiTheme="majorHAnsi" w:hAnsiTheme="majorHAnsi"/>
          <w:spacing w:val="15"/>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14"/>
          <w:sz w:val="20"/>
          <w:szCs w:val="20"/>
        </w:rPr>
        <w:t xml:space="preserve"> </w:t>
      </w:r>
      <w:r w:rsidRPr="000977F7">
        <w:rPr>
          <w:rFonts w:asciiTheme="majorHAnsi" w:hAnsiTheme="majorHAnsi"/>
          <w:sz w:val="20"/>
          <w:szCs w:val="20"/>
        </w:rPr>
        <w:t>чи</w:t>
      </w:r>
      <w:r w:rsidRPr="000977F7">
        <w:rPr>
          <w:rFonts w:asciiTheme="majorHAnsi" w:hAnsiTheme="majorHAnsi"/>
          <w:spacing w:val="13"/>
          <w:sz w:val="20"/>
          <w:szCs w:val="20"/>
        </w:rPr>
        <w:t xml:space="preserve"> </w:t>
      </w:r>
      <w:r w:rsidRPr="000977F7">
        <w:rPr>
          <w:rFonts w:asciiTheme="majorHAnsi" w:hAnsiTheme="majorHAnsi"/>
          <w:sz w:val="20"/>
          <w:szCs w:val="20"/>
        </w:rPr>
        <w:t>інструкції</w:t>
      </w:r>
      <w:r w:rsidRPr="000977F7">
        <w:rPr>
          <w:rFonts w:asciiTheme="majorHAnsi" w:hAnsiTheme="majorHAnsi"/>
          <w:spacing w:val="14"/>
          <w:sz w:val="20"/>
          <w:szCs w:val="20"/>
        </w:rPr>
        <w:t xml:space="preserve"> </w:t>
      </w:r>
      <w:r w:rsidRPr="000977F7">
        <w:rPr>
          <w:rFonts w:asciiTheme="majorHAnsi" w:hAnsiTheme="majorHAnsi"/>
          <w:sz w:val="20"/>
          <w:szCs w:val="20"/>
        </w:rPr>
        <w:t>з</w:t>
      </w:r>
      <w:r w:rsidRPr="000977F7">
        <w:rPr>
          <w:rFonts w:asciiTheme="majorHAnsi" w:hAnsiTheme="majorHAnsi"/>
          <w:spacing w:val="17"/>
          <w:sz w:val="20"/>
          <w:szCs w:val="20"/>
        </w:rPr>
        <w:t xml:space="preserve"> </w:t>
      </w:r>
      <w:r w:rsidRPr="000977F7">
        <w:rPr>
          <w:rFonts w:asciiTheme="majorHAnsi" w:hAnsiTheme="majorHAnsi"/>
          <w:spacing w:val="-47"/>
          <w:sz w:val="20"/>
          <w:szCs w:val="20"/>
        </w:rPr>
        <w:t xml:space="preserve"> </w:t>
      </w:r>
      <w:r w:rsidRPr="000977F7">
        <w:rPr>
          <w:rFonts w:asciiTheme="majorHAnsi" w:hAnsiTheme="majorHAnsi"/>
          <w:sz w:val="20"/>
          <w:szCs w:val="20"/>
        </w:rPr>
        <w:t>технічного обслуговування, яку надає постачальник</w:t>
      </w:r>
      <w:r w:rsidRPr="000977F7">
        <w:rPr>
          <w:rFonts w:asciiTheme="majorHAnsi" w:hAnsiTheme="majorHAnsi"/>
          <w:spacing w:val="1"/>
          <w:sz w:val="20"/>
          <w:szCs w:val="20"/>
        </w:rPr>
        <w:t xml:space="preserve"> </w:t>
      </w:r>
    </w:p>
    <w:p w14:paraId="29A2CBFE"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9000:2015</w:t>
      </w:r>
    </w:p>
    <w:p w14:paraId="657897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Кожна окрема невідповідність об’єкта встановленим</w:t>
      </w:r>
      <w:r w:rsidRPr="000977F7">
        <w:rPr>
          <w:rFonts w:asciiTheme="majorHAnsi" w:hAnsiTheme="majorHAnsi"/>
          <w:spacing w:val="1"/>
          <w:sz w:val="20"/>
          <w:szCs w:val="20"/>
        </w:rPr>
        <w:t xml:space="preserve"> </w:t>
      </w:r>
      <w:r w:rsidRPr="000977F7">
        <w:rPr>
          <w:rFonts w:asciiTheme="majorHAnsi" w:hAnsiTheme="majorHAnsi"/>
          <w:sz w:val="20"/>
          <w:szCs w:val="20"/>
        </w:rPr>
        <w:t>вимогам</w:t>
      </w:r>
    </w:p>
    <w:p w14:paraId="5E4AAE3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20B77E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ДЕФЕКТ,</w:t>
      </w:r>
      <w:r w:rsidRPr="000977F7">
        <w:rPr>
          <w:color w:val="auto"/>
          <w:spacing w:val="-3"/>
          <w:sz w:val="20"/>
          <w:szCs w:val="20"/>
        </w:rPr>
        <w:t xml:space="preserve"> </w:t>
      </w:r>
      <w:r w:rsidRPr="000977F7">
        <w:rPr>
          <w:color w:val="auto"/>
          <w:sz w:val="20"/>
          <w:szCs w:val="20"/>
        </w:rPr>
        <w:t>ЧУТЛИВИЙ</w:t>
      </w:r>
      <w:r w:rsidRPr="000977F7">
        <w:rPr>
          <w:color w:val="auto"/>
          <w:spacing w:val="-1"/>
          <w:sz w:val="20"/>
          <w:szCs w:val="20"/>
        </w:rPr>
        <w:t xml:space="preserve"> </w:t>
      </w:r>
      <w:r w:rsidRPr="000977F7">
        <w:rPr>
          <w:color w:val="auto"/>
          <w:sz w:val="20"/>
          <w:szCs w:val="20"/>
        </w:rPr>
        <w:t>ДО</w:t>
      </w:r>
      <w:r w:rsidRPr="000977F7">
        <w:rPr>
          <w:color w:val="auto"/>
          <w:spacing w:val="-2"/>
          <w:sz w:val="20"/>
          <w:szCs w:val="20"/>
        </w:rPr>
        <w:t xml:space="preserve"> </w:t>
      </w:r>
      <w:r w:rsidRPr="000977F7">
        <w:rPr>
          <w:color w:val="auto"/>
          <w:sz w:val="20"/>
          <w:szCs w:val="20"/>
        </w:rPr>
        <w:t>ДАНИХ -</w:t>
      </w:r>
    </w:p>
    <w:p w14:paraId="3D03008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DATA</w:t>
      </w:r>
      <w:r w:rsidRPr="004D2D14">
        <w:rPr>
          <w:rFonts w:asciiTheme="majorHAnsi" w:hAnsiTheme="majorHAnsi"/>
          <w:spacing w:val="-1"/>
          <w:sz w:val="20"/>
          <w:szCs w:val="20"/>
          <w:lang w:val="uk-UA"/>
        </w:rPr>
        <w:t xml:space="preserve"> </w:t>
      </w:r>
      <w:r w:rsidRPr="000977F7">
        <w:rPr>
          <w:rFonts w:asciiTheme="majorHAnsi" w:hAnsiTheme="majorHAnsi"/>
          <w:sz w:val="20"/>
          <w:szCs w:val="20"/>
        </w:rPr>
        <w:t>SENSITIVE</w:t>
      </w:r>
      <w:r w:rsidRPr="004D2D14">
        <w:rPr>
          <w:rFonts w:asciiTheme="majorHAnsi" w:hAnsiTheme="majorHAnsi"/>
          <w:spacing w:val="-1"/>
          <w:sz w:val="20"/>
          <w:szCs w:val="20"/>
          <w:lang w:val="uk-UA"/>
        </w:rPr>
        <w:t xml:space="preserve"> </w:t>
      </w:r>
      <w:r w:rsidRPr="000977F7">
        <w:rPr>
          <w:rFonts w:asciiTheme="majorHAnsi" w:hAnsiTheme="majorHAnsi"/>
          <w:sz w:val="20"/>
          <w:szCs w:val="20"/>
        </w:rPr>
        <w:t>FAULT</w:t>
      </w:r>
      <w:r w:rsidRPr="004D2D14">
        <w:rPr>
          <w:rFonts w:asciiTheme="majorHAnsi" w:hAnsiTheme="majorHAnsi"/>
          <w:sz w:val="20"/>
          <w:szCs w:val="20"/>
          <w:lang w:val="uk-UA"/>
        </w:rPr>
        <w:t xml:space="preserve"> -</w:t>
      </w:r>
    </w:p>
    <w:p w14:paraId="373721D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Дефект, що виявляється за результатами обробки визначеної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комбінації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даних</w:t>
      </w:r>
    </w:p>
    <w:p w14:paraId="5919174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ДЕФЕКТНА</w:t>
      </w:r>
      <w:r w:rsidRPr="000977F7">
        <w:rPr>
          <w:color w:val="auto"/>
          <w:spacing w:val="-5"/>
          <w:sz w:val="20"/>
          <w:szCs w:val="20"/>
        </w:rPr>
        <w:t xml:space="preserve"> </w:t>
      </w:r>
      <w:r w:rsidRPr="000977F7">
        <w:rPr>
          <w:color w:val="auto"/>
          <w:sz w:val="20"/>
          <w:szCs w:val="20"/>
        </w:rPr>
        <w:t>ОДИНИЦЯ</w:t>
      </w:r>
      <w:r w:rsidRPr="000977F7">
        <w:rPr>
          <w:color w:val="auto"/>
          <w:spacing w:val="-4"/>
          <w:sz w:val="20"/>
          <w:szCs w:val="20"/>
        </w:rPr>
        <w:t xml:space="preserve"> </w:t>
      </w:r>
      <w:r w:rsidRPr="000977F7">
        <w:rPr>
          <w:color w:val="auto"/>
          <w:sz w:val="20"/>
          <w:szCs w:val="20"/>
        </w:rPr>
        <w:t>ПРОДУКЦІЇ -</w:t>
      </w:r>
    </w:p>
    <w:p w14:paraId="329FF70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DEFECTIVE;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DEFECTIVE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UNIT -</w:t>
      </w:r>
    </w:p>
    <w:p w14:paraId="3DD3E23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Одиниця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3"/>
          <w:sz w:val="20"/>
          <w:szCs w:val="20"/>
        </w:rPr>
        <w:t xml:space="preserve"> </w:t>
      </w:r>
      <w:r w:rsidRPr="000977F7">
        <w:rPr>
          <w:rFonts w:asciiTheme="majorHAnsi" w:hAnsiTheme="majorHAnsi"/>
          <w:sz w:val="20"/>
          <w:szCs w:val="20"/>
        </w:rPr>
        <w:t>яка</w:t>
      </w:r>
      <w:r w:rsidRPr="000977F7">
        <w:rPr>
          <w:rFonts w:asciiTheme="majorHAnsi" w:hAnsiTheme="majorHAnsi"/>
          <w:spacing w:val="45"/>
          <w:sz w:val="20"/>
          <w:szCs w:val="20"/>
        </w:rPr>
        <w:t xml:space="preserve"> </w:t>
      </w:r>
      <w:r w:rsidRPr="000977F7">
        <w:rPr>
          <w:rFonts w:asciiTheme="majorHAnsi" w:hAnsiTheme="majorHAnsi"/>
          <w:sz w:val="20"/>
          <w:szCs w:val="20"/>
        </w:rPr>
        <w:t>має</w:t>
      </w:r>
      <w:r w:rsidRPr="000977F7">
        <w:rPr>
          <w:rFonts w:asciiTheme="majorHAnsi" w:hAnsiTheme="majorHAnsi"/>
          <w:spacing w:val="-1"/>
          <w:sz w:val="20"/>
          <w:szCs w:val="20"/>
        </w:rPr>
        <w:t xml:space="preserve"> </w:t>
      </w:r>
      <w:r w:rsidRPr="000977F7">
        <w:rPr>
          <w:rFonts w:asciiTheme="majorHAnsi" w:hAnsiTheme="majorHAnsi"/>
          <w:sz w:val="20"/>
          <w:szCs w:val="20"/>
        </w:rPr>
        <w:t>хоча</w:t>
      </w:r>
      <w:r w:rsidRPr="000977F7">
        <w:rPr>
          <w:rFonts w:asciiTheme="majorHAnsi" w:hAnsiTheme="majorHAnsi"/>
          <w:spacing w:val="-3"/>
          <w:sz w:val="20"/>
          <w:szCs w:val="20"/>
        </w:rPr>
        <w:t xml:space="preserve"> </w:t>
      </w:r>
      <w:r w:rsidRPr="000977F7">
        <w:rPr>
          <w:rFonts w:asciiTheme="majorHAnsi" w:hAnsiTheme="majorHAnsi"/>
          <w:sz w:val="20"/>
          <w:szCs w:val="20"/>
        </w:rPr>
        <w:t>б</w:t>
      </w:r>
      <w:r w:rsidRPr="000977F7">
        <w:rPr>
          <w:rFonts w:asciiTheme="majorHAnsi" w:hAnsiTheme="majorHAnsi"/>
          <w:spacing w:val="-3"/>
          <w:sz w:val="20"/>
          <w:szCs w:val="20"/>
        </w:rPr>
        <w:t xml:space="preserve"> </w:t>
      </w:r>
      <w:r w:rsidRPr="000977F7">
        <w:rPr>
          <w:rFonts w:asciiTheme="majorHAnsi" w:hAnsiTheme="majorHAnsi"/>
          <w:sz w:val="20"/>
          <w:szCs w:val="20"/>
        </w:rPr>
        <w:t>один</w:t>
      </w:r>
      <w:r w:rsidRPr="000977F7">
        <w:rPr>
          <w:rFonts w:asciiTheme="majorHAnsi" w:hAnsiTheme="majorHAnsi"/>
          <w:spacing w:val="-2"/>
          <w:sz w:val="20"/>
          <w:szCs w:val="20"/>
        </w:rPr>
        <w:t xml:space="preserve"> </w:t>
      </w:r>
      <w:r w:rsidRPr="000977F7">
        <w:rPr>
          <w:rFonts w:asciiTheme="majorHAnsi" w:hAnsiTheme="majorHAnsi"/>
          <w:sz w:val="20"/>
          <w:szCs w:val="20"/>
        </w:rPr>
        <w:t>дефект</w:t>
      </w:r>
    </w:p>
    <w:p w14:paraId="049B283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F616DB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ДЕФЕКТНИЙ</w:t>
      </w:r>
      <w:r w:rsidRPr="000977F7">
        <w:rPr>
          <w:color w:val="auto"/>
          <w:spacing w:val="-3"/>
          <w:sz w:val="20"/>
          <w:szCs w:val="20"/>
        </w:rPr>
        <w:t xml:space="preserve"> </w:t>
      </w:r>
      <w:r w:rsidRPr="000977F7">
        <w:rPr>
          <w:color w:val="auto"/>
          <w:sz w:val="20"/>
          <w:szCs w:val="20"/>
        </w:rPr>
        <w:t>ВИРІБ -</w:t>
      </w:r>
    </w:p>
    <w:p w14:paraId="67BBBD4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w:t>
      </w:r>
      <w:r w:rsidRPr="000977F7">
        <w:rPr>
          <w:rFonts w:asciiTheme="majorHAnsi" w:hAnsiTheme="majorHAnsi"/>
          <w:spacing w:val="-2"/>
          <w:sz w:val="20"/>
          <w:szCs w:val="20"/>
        </w:rPr>
        <w:t xml:space="preserve"> </w:t>
      </w:r>
      <w:r w:rsidRPr="000977F7">
        <w:rPr>
          <w:rFonts w:asciiTheme="majorHAnsi" w:hAnsiTheme="majorHAnsi"/>
          <w:sz w:val="20"/>
          <w:szCs w:val="20"/>
        </w:rPr>
        <w:t>який</w:t>
      </w:r>
      <w:r w:rsidRPr="000977F7">
        <w:rPr>
          <w:rFonts w:asciiTheme="majorHAnsi" w:hAnsiTheme="majorHAnsi"/>
          <w:spacing w:val="-3"/>
          <w:sz w:val="20"/>
          <w:szCs w:val="20"/>
        </w:rPr>
        <w:t xml:space="preserve"> </w:t>
      </w:r>
      <w:r w:rsidRPr="000977F7">
        <w:rPr>
          <w:rFonts w:asciiTheme="majorHAnsi" w:hAnsiTheme="majorHAnsi"/>
          <w:sz w:val="20"/>
          <w:szCs w:val="20"/>
        </w:rPr>
        <w:t>має хоча</w:t>
      </w:r>
      <w:r w:rsidRPr="000977F7">
        <w:rPr>
          <w:rFonts w:asciiTheme="majorHAnsi" w:hAnsiTheme="majorHAnsi"/>
          <w:spacing w:val="-2"/>
          <w:sz w:val="20"/>
          <w:szCs w:val="20"/>
        </w:rPr>
        <w:t xml:space="preserve"> </w:t>
      </w:r>
      <w:r w:rsidRPr="000977F7">
        <w:rPr>
          <w:rFonts w:asciiTheme="majorHAnsi" w:hAnsiTheme="majorHAnsi"/>
          <w:sz w:val="20"/>
          <w:szCs w:val="20"/>
        </w:rPr>
        <w:t>б</w:t>
      </w:r>
      <w:r w:rsidRPr="000977F7">
        <w:rPr>
          <w:rFonts w:asciiTheme="majorHAnsi" w:hAnsiTheme="majorHAnsi"/>
          <w:spacing w:val="-3"/>
          <w:sz w:val="20"/>
          <w:szCs w:val="20"/>
        </w:rPr>
        <w:t xml:space="preserve"> </w:t>
      </w:r>
      <w:r w:rsidRPr="000977F7">
        <w:rPr>
          <w:rFonts w:asciiTheme="majorHAnsi" w:hAnsiTheme="majorHAnsi"/>
          <w:sz w:val="20"/>
          <w:szCs w:val="20"/>
        </w:rPr>
        <w:t>одну ваду</w:t>
      </w:r>
    </w:p>
    <w:p w14:paraId="28585F6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1509E66"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ДЕФЕКТОСКОПІЯ</w:t>
      </w:r>
      <w:r w:rsidRPr="000977F7">
        <w:rPr>
          <w:color w:val="auto"/>
          <w:spacing w:val="-4"/>
          <w:sz w:val="20"/>
          <w:szCs w:val="20"/>
        </w:rPr>
        <w:t xml:space="preserve"> </w:t>
      </w:r>
      <w:r w:rsidRPr="000977F7">
        <w:rPr>
          <w:b w:val="0"/>
          <w:color w:val="auto"/>
          <w:sz w:val="20"/>
          <w:szCs w:val="20"/>
        </w:rPr>
        <w:t>–</w:t>
      </w:r>
    </w:p>
    <w:p w14:paraId="6CD9A0C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викривання дефектів у матеріалі виробу без</w:t>
      </w:r>
      <w:r w:rsidRPr="000977F7">
        <w:rPr>
          <w:rFonts w:asciiTheme="majorHAnsi" w:hAnsiTheme="majorHAnsi"/>
          <w:spacing w:val="1"/>
          <w:sz w:val="20"/>
          <w:szCs w:val="20"/>
        </w:rPr>
        <w:t xml:space="preserve"> </w:t>
      </w:r>
      <w:r w:rsidRPr="000977F7">
        <w:rPr>
          <w:rFonts w:asciiTheme="majorHAnsi" w:hAnsiTheme="majorHAnsi"/>
          <w:sz w:val="20"/>
          <w:szCs w:val="20"/>
        </w:rPr>
        <w:t>його руйнування:</w:t>
      </w:r>
    </w:p>
    <w:p w14:paraId="73FA819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капілярна проникнення рідини в порожнини дефектів</w:t>
      </w:r>
      <w:r w:rsidRPr="000977F7">
        <w:rPr>
          <w:rFonts w:asciiTheme="majorHAnsi" w:hAnsiTheme="majorHAnsi"/>
          <w:spacing w:val="-3"/>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адсорбування</w:t>
      </w:r>
      <w:r w:rsidRPr="000977F7">
        <w:rPr>
          <w:rFonts w:asciiTheme="majorHAnsi" w:hAnsiTheme="majorHAnsi"/>
          <w:spacing w:val="-2"/>
          <w:sz w:val="20"/>
          <w:szCs w:val="20"/>
        </w:rPr>
        <w:t xml:space="preserve"> </w:t>
      </w:r>
      <w:r w:rsidRPr="000977F7">
        <w:rPr>
          <w:rFonts w:asciiTheme="majorHAnsi" w:hAnsiTheme="majorHAnsi"/>
          <w:sz w:val="20"/>
          <w:szCs w:val="20"/>
        </w:rPr>
        <w:t>або дифузія</w:t>
      </w:r>
      <w:r w:rsidRPr="000977F7">
        <w:rPr>
          <w:rFonts w:asciiTheme="majorHAnsi" w:hAnsiTheme="majorHAnsi"/>
          <w:spacing w:val="-2"/>
          <w:sz w:val="20"/>
          <w:szCs w:val="20"/>
        </w:rPr>
        <w:t xml:space="preserve"> </w:t>
      </w:r>
      <w:r w:rsidRPr="000977F7">
        <w:rPr>
          <w:rFonts w:asciiTheme="majorHAnsi" w:hAnsiTheme="majorHAnsi"/>
          <w:sz w:val="20"/>
          <w:szCs w:val="20"/>
        </w:rPr>
        <w:t>рідини</w:t>
      </w:r>
      <w:r w:rsidRPr="000977F7">
        <w:rPr>
          <w:rFonts w:asciiTheme="majorHAnsi" w:hAnsiTheme="majorHAnsi"/>
          <w:spacing w:val="-2"/>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дефекта;</w:t>
      </w:r>
    </w:p>
    <w:p w14:paraId="6C4B0CD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магнітна викривання полів магнітного розсіювання</w:t>
      </w:r>
      <w:r w:rsidRPr="000977F7">
        <w:rPr>
          <w:rFonts w:asciiTheme="majorHAnsi" w:hAnsiTheme="majorHAnsi"/>
          <w:spacing w:val="-47"/>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дефектних</w:t>
      </w:r>
      <w:r w:rsidRPr="000977F7">
        <w:rPr>
          <w:rFonts w:asciiTheme="majorHAnsi" w:hAnsiTheme="majorHAnsi"/>
          <w:spacing w:val="1"/>
          <w:sz w:val="20"/>
          <w:szCs w:val="20"/>
        </w:rPr>
        <w:t xml:space="preserve"> </w:t>
      </w:r>
      <w:r w:rsidRPr="000977F7">
        <w:rPr>
          <w:rFonts w:asciiTheme="majorHAnsi" w:hAnsiTheme="majorHAnsi"/>
          <w:sz w:val="20"/>
          <w:szCs w:val="20"/>
        </w:rPr>
        <w:t>участках;</w:t>
      </w:r>
    </w:p>
    <w:p w14:paraId="1639A0B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 ренгенівська заснована на різному поглинанні рентгенівських променів, які проходять через контрольований</w:t>
      </w:r>
      <w:r w:rsidRPr="000977F7">
        <w:rPr>
          <w:rFonts w:asciiTheme="majorHAnsi" w:hAnsiTheme="majorHAnsi"/>
          <w:spacing w:val="-2"/>
          <w:sz w:val="20"/>
          <w:szCs w:val="20"/>
        </w:rPr>
        <w:t xml:space="preserve"> </w:t>
      </w:r>
      <w:r w:rsidRPr="000977F7">
        <w:rPr>
          <w:rFonts w:asciiTheme="majorHAnsi" w:hAnsiTheme="majorHAnsi"/>
          <w:sz w:val="20"/>
          <w:szCs w:val="20"/>
        </w:rPr>
        <w:t>виріб, в</w:t>
      </w:r>
      <w:r w:rsidRPr="000977F7">
        <w:rPr>
          <w:rFonts w:asciiTheme="majorHAnsi" w:hAnsiTheme="majorHAnsi"/>
          <w:spacing w:val="-1"/>
          <w:sz w:val="20"/>
          <w:szCs w:val="20"/>
        </w:rPr>
        <w:t xml:space="preserve"> </w:t>
      </w:r>
      <w:r w:rsidRPr="000977F7">
        <w:rPr>
          <w:rFonts w:asciiTheme="majorHAnsi" w:hAnsiTheme="majorHAnsi"/>
          <w:sz w:val="20"/>
          <w:szCs w:val="20"/>
        </w:rPr>
        <w:t>різних</w:t>
      </w:r>
      <w:r w:rsidRPr="000977F7">
        <w:rPr>
          <w:rFonts w:asciiTheme="majorHAnsi" w:hAnsiTheme="majorHAnsi"/>
          <w:spacing w:val="-2"/>
          <w:sz w:val="20"/>
          <w:szCs w:val="20"/>
        </w:rPr>
        <w:t xml:space="preserve"> </w:t>
      </w:r>
      <w:r w:rsidRPr="000977F7">
        <w:rPr>
          <w:rFonts w:asciiTheme="majorHAnsi" w:hAnsiTheme="majorHAnsi"/>
          <w:sz w:val="20"/>
          <w:szCs w:val="20"/>
        </w:rPr>
        <w:t>середовищах</w:t>
      </w:r>
    </w:p>
    <w:p w14:paraId="3BD6DD3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ультразвукова заснована на здатності ультразвукових хвиль відбиватися від поверхні, яка розділяє два</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p>
    <w:p w14:paraId="3CF0D6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w:t>
      </w:r>
      <w:r w:rsidRPr="000977F7">
        <w:rPr>
          <w:rFonts w:asciiTheme="majorHAnsi" w:hAnsiTheme="majorHAnsi"/>
          <w:spacing w:val="-3"/>
          <w:sz w:val="20"/>
          <w:szCs w:val="20"/>
        </w:rPr>
        <w:t xml:space="preserve"> </w:t>
      </w:r>
      <w:r w:rsidRPr="000977F7">
        <w:rPr>
          <w:rFonts w:asciiTheme="majorHAnsi" w:hAnsiTheme="majorHAnsi"/>
          <w:sz w:val="20"/>
          <w:szCs w:val="20"/>
        </w:rPr>
        <w:t>кольорова</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2"/>
          <w:sz w:val="20"/>
          <w:szCs w:val="20"/>
        </w:rPr>
        <w:t xml:space="preserve"> </w:t>
      </w:r>
      <w:r w:rsidRPr="000977F7">
        <w:rPr>
          <w:rFonts w:asciiTheme="majorHAnsi" w:hAnsiTheme="majorHAnsi"/>
          <w:sz w:val="20"/>
          <w:szCs w:val="20"/>
        </w:rPr>
        <w:t>використанням</w:t>
      </w:r>
      <w:r w:rsidRPr="000977F7">
        <w:rPr>
          <w:rFonts w:asciiTheme="majorHAnsi" w:hAnsiTheme="majorHAnsi"/>
          <w:spacing w:val="-3"/>
          <w:sz w:val="20"/>
          <w:szCs w:val="20"/>
        </w:rPr>
        <w:t xml:space="preserve"> </w:t>
      </w:r>
      <w:r w:rsidRPr="000977F7">
        <w:rPr>
          <w:rFonts w:asciiTheme="majorHAnsi" w:hAnsiTheme="majorHAnsi"/>
          <w:sz w:val="20"/>
          <w:szCs w:val="20"/>
        </w:rPr>
        <w:t>фарбувальних</w:t>
      </w:r>
      <w:r w:rsidRPr="000977F7">
        <w:rPr>
          <w:rFonts w:asciiTheme="majorHAnsi" w:hAnsiTheme="majorHAnsi"/>
          <w:spacing w:val="-4"/>
          <w:sz w:val="20"/>
          <w:szCs w:val="20"/>
        </w:rPr>
        <w:t xml:space="preserve"> </w:t>
      </w:r>
      <w:r w:rsidRPr="000977F7">
        <w:rPr>
          <w:rFonts w:asciiTheme="majorHAnsi" w:hAnsiTheme="majorHAnsi"/>
          <w:sz w:val="20"/>
          <w:szCs w:val="20"/>
        </w:rPr>
        <w:t>засобів</w:t>
      </w:r>
    </w:p>
    <w:p w14:paraId="7E53795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ДЕФОРМАЦІЙНЕ</w:t>
      </w:r>
      <w:r w:rsidRPr="000977F7">
        <w:rPr>
          <w:color w:val="auto"/>
          <w:spacing w:val="-5"/>
          <w:sz w:val="20"/>
          <w:szCs w:val="20"/>
        </w:rPr>
        <w:t xml:space="preserve"> </w:t>
      </w:r>
      <w:r w:rsidRPr="000977F7">
        <w:rPr>
          <w:color w:val="auto"/>
          <w:sz w:val="20"/>
          <w:szCs w:val="20"/>
        </w:rPr>
        <w:t>ЗМІЦНЕННЯ</w:t>
      </w:r>
      <w:r w:rsidRPr="000977F7">
        <w:rPr>
          <w:color w:val="auto"/>
          <w:spacing w:val="-3"/>
          <w:sz w:val="20"/>
          <w:szCs w:val="20"/>
        </w:rPr>
        <w:t xml:space="preserve"> </w:t>
      </w:r>
      <w:r w:rsidRPr="000977F7">
        <w:rPr>
          <w:color w:val="auto"/>
          <w:sz w:val="20"/>
          <w:szCs w:val="20"/>
        </w:rPr>
        <w:t>–</w:t>
      </w:r>
    </w:p>
    <w:p w14:paraId="6362F82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STRAIN</w:t>
      </w:r>
      <w:r w:rsidRPr="004D2D14">
        <w:rPr>
          <w:rFonts w:asciiTheme="majorHAnsi" w:hAnsiTheme="majorHAnsi"/>
          <w:spacing w:val="-3"/>
          <w:sz w:val="20"/>
          <w:szCs w:val="20"/>
          <w:lang w:val="uk-UA"/>
        </w:rPr>
        <w:t xml:space="preserve"> </w:t>
      </w:r>
      <w:r w:rsidRPr="000977F7">
        <w:rPr>
          <w:rFonts w:asciiTheme="majorHAnsi" w:hAnsiTheme="majorHAnsi"/>
          <w:sz w:val="20"/>
          <w:szCs w:val="20"/>
        </w:rPr>
        <w:t>STRENGTHENING</w:t>
      </w:r>
      <w:r w:rsidRPr="004D2D14">
        <w:rPr>
          <w:rFonts w:asciiTheme="majorHAnsi" w:hAnsiTheme="majorHAnsi"/>
          <w:sz w:val="20"/>
          <w:szCs w:val="20"/>
          <w:lang w:val="uk-UA"/>
        </w:rPr>
        <w:t xml:space="preserve"> –</w:t>
      </w:r>
    </w:p>
    <w:p w14:paraId="66D6488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Збільшення опору матеріалу деформуванню та руйнуванню, пов’язане зі зростанням пластичних деформацій</w:t>
      </w:r>
    </w:p>
    <w:p w14:paraId="45A95FE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DCFDF6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ДЕФОРМАЦІЯ</w:t>
      </w:r>
      <w:r w:rsidRPr="000977F7">
        <w:rPr>
          <w:color w:val="auto"/>
          <w:spacing w:val="-2"/>
          <w:sz w:val="20"/>
          <w:szCs w:val="20"/>
        </w:rPr>
        <w:t xml:space="preserve"> </w:t>
      </w:r>
      <w:r w:rsidRPr="000977F7">
        <w:rPr>
          <w:color w:val="auto"/>
          <w:sz w:val="20"/>
          <w:szCs w:val="20"/>
        </w:rPr>
        <w:t>–</w:t>
      </w:r>
    </w:p>
    <w:p w14:paraId="7AB95F4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STRAIN</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34884AB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Відносна</w:t>
      </w:r>
      <w:r w:rsidRPr="000977F7">
        <w:rPr>
          <w:rFonts w:asciiTheme="majorHAnsi" w:hAnsiTheme="majorHAnsi"/>
          <w:spacing w:val="-5"/>
          <w:sz w:val="20"/>
          <w:szCs w:val="20"/>
        </w:rPr>
        <w:t xml:space="preserve"> </w:t>
      </w:r>
      <w:r w:rsidRPr="000977F7">
        <w:rPr>
          <w:rFonts w:asciiTheme="majorHAnsi" w:hAnsiTheme="majorHAnsi"/>
          <w:sz w:val="20"/>
          <w:szCs w:val="20"/>
        </w:rPr>
        <w:t>величина</w:t>
      </w:r>
      <w:r w:rsidRPr="000977F7">
        <w:rPr>
          <w:rFonts w:asciiTheme="majorHAnsi" w:hAnsiTheme="majorHAnsi"/>
          <w:spacing w:val="-2"/>
          <w:sz w:val="20"/>
          <w:szCs w:val="20"/>
        </w:rPr>
        <w:t xml:space="preserve"> </w:t>
      </w:r>
      <w:r w:rsidRPr="000977F7">
        <w:rPr>
          <w:rFonts w:asciiTheme="majorHAnsi" w:hAnsiTheme="majorHAnsi"/>
          <w:sz w:val="20"/>
          <w:szCs w:val="20"/>
        </w:rPr>
        <w:t>взаємного</w:t>
      </w:r>
      <w:r w:rsidRPr="000977F7">
        <w:rPr>
          <w:rFonts w:asciiTheme="majorHAnsi" w:hAnsiTheme="majorHAnsi"/>
          <w:spacing w:val="-4"/>
          <w:sz w:val="20"/>
          <w:szCs w:val="20"/>
        </w:rPr>
        <w:t xml:space="preserve"> </w:t>
      </w:r>
      <w:r w:rsidRPr="000977F7">
        <w:rPr>
          <w:rFonts w:asciiTheme="majorHAnsi" w:hAnsiTheme="majorHAnsi"/>
          <w:sz w:val="20"/>
          <w:szCs w:val="20"/>
        </w:rPr>
        <w:t>зміщення</w:t>
      </w:r>
      <w:r w:rsidRPr="000977F7">
        <w:rPr>
          <w:rFonts w:asciiTheme="majorHAnsi" w:hAnsiTheme="majorHAnsi"/>
          <w:spacing w:val="-5"/>
          <w:sz w:val="20"/>
          <w:szCs w:val="20"/>
        </w:rPr>
        <w:t xml:space="preserve"> </w:t>
      </w:r>
      <w:r w:rsidRPr="000977F7">
        <w:rPr>
          <w:rFonts w:asciiTheme="majorHAnsi" w:hAnsiTheme="majorHAnsi"/>
          <w:sz w:val="20"/>
          <w:szCs w:val="20"/>
        </w:rPr>
        <w:t>точок</w:t>
      </w:r>
      <w:r w:rsidRPr="000977F7">
        <w:rPr>
          <w:rFonts w:asciiTheme="majorHAnsi" w:hAnsiTheme="majorHAnsi"/>
          <w:spacing w:val="-6"/>
          <w:sz w:val="20"/>
          <w:szCs w:val="20"/>
        </w:rPr>
        <w:t xml:space="preserve"> </w:t>
      </w:r>
      <w:r w:rsidRPr="000977F7">
        <w:rPr>
          <w:rFonts w:asciiTheme="majorHAnsi" w:hAnsiTheme="majorHAnsi"/>
          <w:sz w:val="20"/>
          <w:szCs w:val="20"/>
        </w:rPr>
        <w:t>об’єкта</w:t>
      </w:r>
      <w:r w:rsidRPr="000977F7">
        <w:rPr>
          <w:rFonts w:asciiTheme="majorHAnsi" w:hAnsiTheme="majorHAnsi"/>
          <w:spacing w:val="-47"/>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результаті</w:t>
      </w:r>
      <w:r w:rsidRPr="000977F7">
        <w:rPr>
          <w:rFonts w:asciiTheme="majorHAnsi" w:hAnsiTheme="majorHAnsi"/>
          <w:spacing w:val="-1"/>
          <w:sz w:val="20"/>
          <w:szCs w:val="20"/>
        </w:rPr>
        <w:t xml:space="preserve"> </w:t>
      </w:r>
      <w:r w:rsidRPr="000977F7">
        <w:rPr>
          <w:rFonts w:asciiTheme="majorHAnsi" w:hAnsiTheme="majorHAnsi"/>
          <w:sz w:val="20"/>
          <w:szCs w:val="20"/>
        </w:rPr>
        <w:t>його деформування</w:t>
      </w:r>
    </w:p>
    <w:p w14:paraId="6BA6D29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9EA376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ДЕФОРМОВАНИЙ</w:t>
      </w:r>
      <w:r w:rsidRPr="000977F7">
        <w:rPr>
          <w:color w:val="auto"/>
          <w:spacing w:val="-3"/>
          <w:sz w:val="20"/>
          <w:szCs w:val="20"/>
        </w:rPr>
        <w:t xml:space="preserve"> </w:t>
      </w:r>
      <w:r w:rsidRPr="000977F7">
        <w:rPr>
          <w:color w:val="auto"/>
          <w:sz w:val="20"/>
          <w:szCs w:val="20"/>
        </w:rPr>
        <w:t>СТАН –</w:t>
      </w:r>
    </w:p>
    <w:p w14:paraId="295C8C7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STRAIN</w:t>
      </w:r>
      <w:r w:rsidRPr="000977F7">
        <w:rPr>
          <w:rFonts w:asciiTheme="majorHAnsi" w:hAnsiTheme="majorHAnsi"/>
          <w:spacing w:val="-2"/>
          <w:sz w:val="20"/>
          <w:szCs w:val="20"/>
        </w:rPr>
        <w:t xml:space="preserve"> </w:t>
      </w:r>
      <w:r w:rsidRPr="000977F7">
        <w:rPr>
          <w:rFonts w:asciiTheme="majorHAnsi" w:hAnsiTheme="majorHAnsi"/>
          <w:sz w:val="20"/>
          <w:szCs w:val="20"/>
        </w:rPr>
        <w:t>STATE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E866D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w:t>
      </w:r>
      <w:r w:rsidRPr="000977F7">
        <w:rPr>
          <w:rFonts w:asciiTheme="majorHAnsi" w:hAnsiTheme="majorHAnsi"/>
          <w:spacing w:val="-5"/>
          <w:sz w:val="20"/>
          <w:szCs w:val="20"/>
        </w:rPr>
        <w:t xml:space="preserve"> </w:t>
      </w:r>
      <w:r w:rsidRPr="000977F7">
        <w:rPr>
          <w:rFonts w:asciiTheme="majorHAnsi" w:hAnsiTheme="majorHAnsi"/>
          <w:sz w:val="20"/>
          <w:szCs w:val="20"/>
        </w:rPr>
        <w:t>елементарного</w:t>
      </w:r>
      <w:r w:rsidRPr="000977F7">
        <w:rPr>
          <w:rFonts w:asciiTheme="majorHAnsi" w:hAnsiTheme="majorHAnsi"/>
          <w:spacing w:val="-2"/>
          <w:sz w:val="20"/>
          <w:szCs w:val="20"/>
        </w:rPr>
        <w:t xml:space="preserve"> </w:t>
      </w:r>
      <w:r w:rsidRPr="000977F7">
        <w:rPr>
          <w:rFonts w:asciiTheme="majorHAnsi" w:hAnsiTheme="majorHAnsi"/>
          <w:sz w:val="20"/>
          <w:szCs w:val="20"/>
        </w:rPr>
        <w:t>об’єму</w:t>
      </w:r>
      <w:r w:rsidRPr="000977F7">
        <w:rPr>
          <w:rFonts w:asciiTheme="majorHAnsi" w:hAnsiTheme="majorHAnsi"/>
          <w:spacing w:val="-4"/>
          <w:sz w:val="20"/>
          <w:szCs w:val="20"/>
        </w:rPr>
        <w:t xml:space="preserve"> </w:t>
      </w:r>
      <w:r w:rsidRPr="000977F7">
        <w:rPr>
          <w:rFonts w:asciiTheme="majorHAnsi" w:hAnsiTheme="majorHAnsi"/>
          <w:sz w:val="20"/>
          <w:szCs w:val="20"/>
        </w:rPr>
        <w:t>тіла</w:t>
      </w:r>
      <w:r w:rsidRPr="000977F7">
        <w:rPr>
          <w:rFonts w:asciiTheme="majorHAnsi" w:hAnsiTheme="majorHAnsi"/>
          <w:spacing w:val="-3"/>
          <w:sz w:val="20"/>
          <w:szCs w:val="20"/>
        </w:rPr>
        <w:t xml:space="preserve"> </w:t>
      </w:r>
      <w:r w:rsidRPr="000977F7">
        <w:rPr>
          <w:rFonts w:asciiTheme="majorHAnsi" w:hAnsiTheme="majorHAnsi"/>
          <w:sz w:val="20"/>
          <w:szCs w:val="20"/>
        </w:rPr>
        <w:t>довкола</w:t>
      </w:r>
      <w:r w:rsidRPr="000977F7">
        <w:rPr>
          <w:rFonts w:asciiTheme="majorHAnsi" w:hAnsiTheme="majorHAnsi"/>
          <w:spacing w:val="-3"/>
          <w:sz w:val="20"/>
          <w:szCs w:val="20"/>
        </w:rPr>
        <w:t xml:space="preserve"> </w:t>
      </w:r>
      <w:r w:rsidRPr="000977F7">
        <w:rPr>
          <w:rFonts w:asciiTheme="majorHAnsi" w:hAnsiTheme="majorHAnsi"/>
          <w:sz w:val="20"/>
          <w:szCs w:val="20"/>
        </w:rPr>
        <w:t>даної</w:t>
      </w:r>
      <w:r w:rsidRPr="000977F7">
        <w:rPr>
          <w:rFonts w:asciiTheme="majorHAnsi" w:hAnsiTheme="majorHAnsi"/>
          <w:spacing w:val="-4"/>
          <w:sz w:val="20"/>
          <w:szCs w:val="20"/>
        </w:rPr>
        <w:t xml:space="preserve"> </w:t>
      </w:r>
      <w:r w:rsidRPr="000977F7">
        <w:rPr>
          <w:rFonts w:asciiTheme="majorHAnsi" w:hAnsiTheme="majorHAnsi"/>
          <w:sz w:val="20"/>
          <w:szCs w:val="20"/>
        </w:rPr>
        <w:t>точки,</w:t>
      </w:r>
      <w:r w:rsidRPr="000977F7">
        <w:rPr>
          <w:rFonts w:asciiTheme="majorHAnsi" w:hAnsiTheme="majorHAnsi"/>
          <w:spacing w:val="-47"/>
          <w:sz w:val="20"/>
          <w:szCs w:val="20"/>
        </w:rPr>
        <w:t xml:space="preserve"> </w:t>
      </w:r>
      <w:r w:rsidRPr="000977F7">
        <w:rPr>
          <w:rFonts w:asciiTheme="majorHAnsi" w:hAnsiTheme="majorHAnsi"/>
          <w:sz w:val="20"/>
          <w:szCs w:val="20"/>
        </w:rPr>
        <w:t>який характеризується сукупністю всіх лінійних та</w:t>
      </w:r>
      <w:r w:rsidRPr="000977F7">
        <w:rPr>
          <w:rFonts w:asciiTheme="majorHAnsi" w:hAnsiTheme="majorHAnsi"/>
          <w:spacing w:val="1"/>
          <w:sz w:val="20"/>
          <w:szCs w:val="20"/>
        </w:rPr>
        <w:t xml:space="preserve"> </w:t>
      </w:r>
      <w:r w:rsidRPr="000977F7">
        <w:rPr>
          <w:rFonts w:asciiTheme="majorHAnsi" w:hAnsiTheme="majorHAnsi"/>
          <w:sz w:val="20"/>
          <w:szCs w:val="20"/>
        </w:rPr>
        <w:t>кутових</w:t>
      </w:r>
      <w:r w:rsidRPr="000977F7">
        <w:rPr>
          <w:rFonts w:asciiTheme="majorHAnsi" w:hAnsiTheme="majorHAnsi"/>
          <w:spacing w:val="-2"/>
          <w:sz w:val="20"/>
          <w:szCs w:val="20"/>
        </w:rPr>
        <w:t xml:space="preserve"> </w:t>
      </w:r>
      <w:r w:rsidRPr="000977F7">
        <w:rPr>
          <w:rFonts w:asciiTheme="majorHAnsi" w:hAnsiTheme="majorHAnsi"/>
          <w:sz w:val="20"/>
          <w:szCs w:val="20"/>
        </w:rPr>
        <w:t>деформацій</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точці</w:t>
      </w:r>
    </w:p>
    <w:p w14:paraId="66127D2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E588E3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ДЕФОРМУВАННЯ</w:t>
      </w:r>
      <w:r w:rsidRPr="000977F7">
        <w:rPr>
          <w:color w:val="auto"/>
          <w:spacing w:val="-2"/>
          <w:sz w:val="20"/>
          <w:szCs w:val="20"/>
        </w:rPr>
        <w:t xml:space="preserve"> </w:t>
      </w:r>
      <w:r w:rsidRPr="000977F7">
        <w:rPr>
          <w:color w:val="auto"/>
          <w:sz w:val="20"/>
          <w:szCs w:val="20"/>
        </w:rPr>
        <w:t>–</w:t>
      </w:r>
    </w:p>
    <w:p w14:paraId="5655E67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STRAINING</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878674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 взаємного зміщення точок об’єкта під час його навантажування</w:t>
      </w:r>
    </w:p>
    <w:p w14:paraId="7E1F2A7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CAE0ED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ДЕЦЕНТРАЛІЗОВАНА</w:t>
      </w:r>
      <w:r w:rsidRPr="000977F7">
        <w:rPr>
          <w:color w:val="auto"/>
          <w:spacing w:val="-5"/>
          <w:sz w:val="20"/>
          <w:szCs w:val="20"/>
        </w:rPr>
        <w:t xml:space="preserve"> </w:t>
      </w:r>
      <w:r w:rsidRPr="000977F7">
        <w:rPr>
          <w:color w:val="auto"/>
          <w:sz w:val="20"/>
          <w:szCs w:val="20"/>
        </w:rPr>
        <w:t>ФОРМА</w:t>
      </w:r>
      <w:r w:rsidRPr="000977F7">
        <w:rPr>
          <w:color w:val="auto"/>
          <w:spacing w:val="-4"/>
          <w:sz w:val="20"/>
          <w:szCs w:val="20"/>
        </w:rPr>
        <w:t xml:space="preserve"> </w:t>
      </w:r>
      <w:r w:rsidRPr="000977F7">
        <w:rPr>
          <w:color w:val="auto"/>
          <w:sz w:val="20"/>
          <w:szCs w:val="20"/>
        </w:rPr>
        <w:t>РЕМОНТУ</w:t>
      </w:r>
      <w:r w:rsidRPr="000977F7">
        <w:rPr>
          <w:color w:val="auto"/>
          <w:spacing w:val="-1"/>
          <w:sz w:val="20"/>
          <w:szCs w:val="20"/>
        </w:rPr>
        <w:t xml:space="preserve"> </w:t>
      </w:r>
      <w:r w:rsidRPr="000977F7">
        <w:rPr>
          <w:color w:val="auto"/>
          <w:sz w:val="20"/>
          <w:szCs w:val="20"/>
        </w:rPr>
        <w:t>–</w:t>
      </w:r>
    </w:p>
    <w:p w14:paraId="0C7C640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ремонту, за якої всі матеріально – технічні</w:t>
      </w:r>
      <w:r w:rsidRPr="000977F7">
        <w:rPr>
          <w:rFonts w:asciiTheme="majorHAnsi" w:hAnsiTheme="majorHAnsi"/>
          <w:spacing w:val="1"/>
          <w:sz w:val="20"/>
          <w:szCs w:val="20"/>
        </w:rPr>
        <w:t xml:space="preserve"> </w:t>
      </w:r>
      <w:r w:rsidRPr="000977F7">
        <w:rPr>
          <w:rFonts w:asciiTheme="majorHAnsi" w:hAnsiTheme="majorHAnsi"/>
          <w:sz w:val="20"/>
          <w:szCs w:val="20"/>
        </w:rPr>
        <w:t>ремонтні</w:t>
      </w:r>
      <w:r w:rsidRPr="000977F7">
        <w:rPr>
          <w:rFonts w:asciiTheme="majorHAnsi" w:hAnsiTheme="majorHAnsi"/>
          <w:spacing w:val="1"/>
          <w:sz w:val="20"/>
          <w:szCs w:val="20"/>
        </w:rPr>
        <w:t xml:space="preserve"> </w:t>
      </w:r>
      <w:r w:rsidRPr="000977F7">
        <w:rPr>
          <w:rFonts w:asciiTheme="majorHAnsi" w:hAnsiTheme="majorHAnsi"/>
          <w:sz w:val="20"/>
          <w:szCs w:val="20"/>
        </w:rPr>
        <w:t>засоби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виконавці</w:t>
      </w:r>
      <w:r w:rsidRPr="000977F7">
        <w:rPr>
          <w:rFonts w:asciiTheme="majorHAnsi" w:hAnsiTheme="majorHAnsi"/>
          <w:spacing w:val="1"/>
          <w:sz w:val="20"/>
          <w:szCs w:val="20"/>
        </w:rPr>
        <w:t xml:space="preserve"> </w:t>
      </w:r>
      <w:r w:rsidRPr="000977F7">
        <w:rPr>
          <w:rFonts w:asciiTheme="majorHAnsi" w:hAnsiTheme="majorHAnsi"/>
          <w:sz w:val="20"/>
          <w:szCs w:val="20"/>
        </w:rPr>
        <w:t>розосереджені</w:t>
      </w:r>
      <w:r w:rsidRPr="000977F7">
        <w:rPr>
          <w:rFonts w:asciiTheme="majorHAnsi" w:hAnsiTheme="majorHAnsi"/>
          <w:spacing w:val="1"/>
          <w:sz w:val="20"/>
          <w:szCs w:val="20"/>
        </w:rPr>
        <w:t xml:space="preserve"> </w:t>
      </w:r>
      <w:r w:rsidRPr="000977F7">
        <w:rPr>
          <w:rFonts w:asciiTheme="majorHAnsi" w:hAnsiTheme="majorHAnsi"/>
          <w:sz w:val="20"/>
          <w:szCs w:val="20"/>
        </w:rPr>
        <w:t>по</w:t>
      </w:r>
      <w:r w:rsidRPr="000977F7">
        <w:rPr>
          <w:rFonts w:asciiTheme="majorHAnsi" w:hAnsiTheme="majorHAnsi"/>
          <w:spacing w:val="1"/>
          <w:sz w:val="20"/>
          <w:szCs w:val="20"/>
        </w:rPr>
        <w:t xml:space="preserve"> </w:t>
      </w:r>
      <w:r w:rsidRPr="000977F7">
        <w:rPr>
          <w:rFonts w:asciiTheme="majorHAnsi" w:hAnsiTheme="majorHAnsi"/>
          <w:sz w:val="20"/>
          <w:szCs w:val="20"/>
        </w:rPr>
        <w:t>окремих</w:t>
      </w:r>
      <w:r w:rsidRPr="000977F7">
        <w:rPr>
          <w:rFonts w:asciiTheme="majorHAnsi" w:hAnsiTheme="majorHAnsi"/>
          <w:spacing w:val="-2"/>
          <w:sz w:val="20"/>
          <w:szCs w:val="20"/>
        </w:rPr>
        <w:t xml:space="preserve"> </w:t>
      </w:r>
      <w:r w:rsidRPr="000977F7">
        <w:rPr>
          <w:rFonts w:asciiTheme="majorHAnsi" w:hAnsiTheme="majorHAnsi"/>
          <w:sz w:val="20"/>
          <w:szCs w:val="20"/>
        </w:rPr>
        <w:t>виробничих</w:t>
      </w:r>
      <w:r w:rsidRPr="000977F7">
        <w:rPr>
          <w:rFonts w:asciiTheme="majorHAnsi" w:hAnsiTheme="majorHAnsi"/>
          <w:spacing w:val="-2"/>
          <w:sz w:val="20"/>
          <w:szCs w:val="20"/>
        </w:rPr>
        <w:t xml:space="preserve"> </w:t>
      </w:r>
      <w:r w:rsidRPr="000977F7">
        <w:rPr>
          <w:rFonts w:asciiTheme="majorHAnsi" w:hAnsiTheme="majorHAnsi"/>
          <w:sz w:val="20"/>
          <w:szCs w:val="20"/>
        </w:rPr>
        <w:t>підрозділах</w:t>
      </w:r>
      <w:r w:rsidRPr="000977F7">
        <w:rPr>
          <w:rFonts w:asciiTheme="majorHAnsi" w:hAnsiTheme="majorHAnsi"/>
          <w:spacing w:val="-2"/>
          <w:sz w:val="20"/>
          <w:szCs w:val="20"/>
        </w:rPr>
        <w:t xml:space="preserve"> </w:t>
      </w:r>
      <w:r w:rsidRPr="000977F7">
        <w:rPr>
          <w:rFonts w:asciiTheme="majorHAnsi" w:hAnsiTheme="majorHAnsi"/>
          <w:sz w:val="20"/>
          <w:szCs w:val="20"/>
        </w:rPr>
        <w:t>підприємств</w:t>
      </w:r>
    </w:p>
    <w:p w14:paraId="1B1698D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CF3503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ДЖЕРЕЛО БІОЛОГІЧНОЇ (АБО ХІМІЧНОЇ)</w:t>
      </w:r>
      <w:r w:rsidRPr="000977F7">
        <w:rPr>
          <w:color w:val="auto"/>
          <w:spacing w:val="-48"/>
          <w:sz w:val="20"/>
          <w:szCs w:val="20"/>
        </w:rPr>
        <w:t xml:space="preserve"> </w:t>
      </w:r>
      <w:r w:rsidRPr="000977F7">
        <w:rPr>
          <w:color w:val="auto"/>
          <w:sz w:val="20"/>
          <w:szCs w:val="20"/>
        </w:rPr>
        <w:t>НЕБЕЗПЕКИ –</w:t>
      </w:r>
    </w:p>
    <w:p w14:paraId="2D5855F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SOURSE</w:t>
      </w:r>
      <w:r w:rsidRPr="004D2D14">
        <w:rPr>
          <w:rFonts w:asciiTheme="majorHAnsi" w:hAnsiTheme="majorHAnsi"/>
          <w:spacing w:val="-4"/>
          <w:sz w:val="20"/>
          <w:szCs w:val="20"/>
          <w:lang w:val="uk-UA"/>
        </w:rPr>
        <w:t xml:space="preserve"> </w:t>
      </w:r>
      <w:r w:rsidRPr="000977F7">
        <w:rPr>
          <w:rFonts w:asciiTheme="majorHAnsi" w:hAnsiTheme="majorHAnsi"/>
          <w:sz w:val="20"/>
          <w:szCs w:val="20"/>
        </w:rPr>
        <w:t>OF</w:t>
      </w:r>
      <w:r w:rsidRPr="004D2D14">
        <w:rPr>
          <w:rFonts w:asciiTheme="majorHAnsi" w:hAnsiTheme="majorHAnsi"/>
          <w:spacing w:val="-5"/>
          <w:sz w:val="20"/>
          <w:szCs w:val="20"/>
          <w:lang w:val="uk-UA"/>
        </w:rPr>
        <w:t xml:space="preserve"> </w:t>
      </w:r>
      <w:r w:rsidRPr="000977F7">
        <w:rPr>
          <w:rFonts w:asciiTheme="majorHAnsi" w:hAnsiTheme="majorHAnsi"/>
          <w:sz w:val="20"/>
          <w:szCs w:val="20"/>
        </w:rPr>
        <w:t>BIOLOGICAL</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r w:rsidRPr="000977F7">
        <w:rPr>
          <w:rFonts w:asciiTheme="majorHAnsi" w:hAnsiTheme="majorHAnsi"/>
          <w:sz w:val="20"/>
          <w:szCs w:val="20"/>
        </w:rPr>
        <w:t>CHEMICAL</w:t>
      </w:r>
      <w:r w:rsidRPr="004D2D14">
        <w:rPr>
          <w:rFonts w:asciiTheme="majorHAnsi" w:hAnsiTheme="majorHAnsi"/>
          <w:sz w:val="20"/>
          <w:szCs w:val="20"/>
          <w:lang w:val="uk-UA"/>
        </w:rPr>
        <w:t>)</w:t>
      </w:r>
      <w:r w:rsidRPr="004D2D14">
        <w:rPr>
          <w:rFonts w:asciiTheme="majorHAnsi" w:hAnsiTheme="majorHAnsi"/>
          <w:spacing w:val="-47"/>
          <w:sz w:val="20"/>
          <w:szCs w:val="20"/>
          <w:lang w:val="uk-UA"/>
        </w:rPr>
        <w:t xml:space="preserve"> </w:t>
      </w:r>
      <w:r w:rsidRPr="000977F7">
        <w:rPr>
          <w:rFonts w:asciiTheme="majorHAnsi" w:hAnsiTheme="majorHAnsi"/>
          <w:sz w:val="20"/>
          <w:szCs w:val="20"/>
        </w:rPr>
        <w:t>HAZARD</w:t>
      </w:r>
      <w:r w:rsidRPr="004D2D14">
        <w:rPr>
          <w:rFonts w:asciiTheme="majorHAnsi" w:hAnsiTheme="majorHAnsi"/>
          <w:spacing w:val="-1"/>
          <w:sz w:val="20"/>
          <w:szCs w:val="20"/>
          <w:lang w:val="uk-UA"/>
        </w:rPr>
        <w:t xml:space="preserve"> </w:t>
      </w:r>
    </w:p>
    <w:p w14:paraId="30E5FF3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Технологічний об'єкт у складі промислового підприємства, що використовує в процесі нормального функціонування речовини, здатні в разі аварії чи тривалого впливу на людський організм призвести до загибелі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чи каліцтва ураженого або завдати істотної шкоди навколишньому</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середовищу</w:t>
      </w:r>
    </w:p>
    <w:p w14:paraId="027C4303"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2156</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93</w:t>
      </w:r>
    </w:p>
    <w:p w14:paraId="74238AC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ДЖЕРЕЛО</w:t>
      </w:r>
      <w:r w:rsidRPr="000977F7">
        <w:rPr>
          <w:color w:val="auto"/>
          <w:spacing w:val="-4"/>
          <w:sz w:val="20"/>
          <w:szCs w:val="20"/>
        </w:rPr>
        <w:t xml:space="preserve"> </w:t>
      </w:r>
      <w:r w:rsidRPr="000977F7">
        <w:rPr>
          <w:color w:val="auto"/>
          <w:sz w:val="20"/>
          <w:szCs w:val="20"/>
        </w:rPr>
        <w:t>ГАРМОНІК</w:t>
      </w:r>
      <w:r w:rsidRPr="000977F7">
        <w:rPr>
          <w:color w:val="auto"/>
          <w:spacing w:val="-5"/>
          <w:sz w:val="20"/>
          <w:szCs w:val="20"/>
        </w:rPr>
        <w:t xml:space="preserve"> </w:t>
      </w:r>
      <w:r w:rsidRPr="000977F7">
        <w:rPr>
          <w:color w:val="auto"/>
          <w:sz w:val="20"/>
          <w:szCs w:val="20"/>
        </w:rPr>
        <w:t>НАПРУГИ –</w:t>
      </w:r>
    </w:p>
    <w:p w14:paraId="128EDE9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SOURCE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HARMONIC</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VOLTAGE –</w:t>
      </w:r>
    </w:p>
    <w:p w14:paraId="0DFE148F" w14:textId="77777777" w:rsidR="0097612F" w:rsidRPr="000977F7" w:rsidRDefault="0097612F" w:rsidP="000977F7">
      <w:pPr>
        <w:pStyle w:val="af6"/>
        <w:tabs>
          <w:tab w:val="left" w:pos="284"/>
        </w:tabs>
        <w:spacing w:after="0"/>
        <w:ind w:left="170"/>
        <w:mirrorIndents/>
        <w:jc w:val="both"/>
        <w:rPr>
          <w:rFonts w:asciiTheme="majorHAnsi" w:hAnsiTheme="majorHAnsi"/>
          <w:spacing w:val="1"/>
          <w:w w:val="95"/>
          <w:sz w:val="20"/>
          <w:szCs w:val="20"/>
        </w:rPr>
      </w:pPr>
      <w:r w:rsidRPr="000977F7">
        <w:rPr>
          <w:rFonts w:asciiTheme="majorHAnsi" w:hAnsiTheme="majorHAnsi"/>
          <w:spacing w:val="-3"/>
          <w:sz w:val="20"/>
          <w:szCs w:val="20"/>
        </w:rPr>
        <w:t>Елемент</w:t>
      </w:r>
      <w:r w:rsidRPr="000977F7">
        <w:rPr>
          <w:rFonts w:asciiTheme="majorHAnsi" w:hAnsiTheme="majorHAnsi"/>
          <w:spacing w:val="-10"/>
          <w:sz w:val="20"/>
          <w:szCs w:val="20"/>
        </w:rPr>
        <w:t xml:space="preserve"> </w:t>
      </w:r>
      <w:r w:rsidRPr="000977F7">
        <w:rPr>
          <w:rFonts w:asciiTheme="majorHAnsi" w:hAnsiTheme="majorHAnsi"/>
          <w:spacing w:val="-3"/>
          <w:sz w:val="20"/>
          <w:szCs w:val="20"/>
        </w:rPr>
        <w:t>електричної</w:t>
      </w:r>
      <w:r w:rsidRPr="000977F7">
        <w:rPr>
          <w:rFonts w:asciiTheme="majorHAnsi" w:hAnsiTheme="majorHAnsi"/>
          <w:spacing w:val="-9"/>
          <w:sz w:val="20"/>
          <w:szCs w:val="20"/>
        </w:rPr>
        <w:t xml:space="preserve"> </w:t>
      </w:r>
      <w:r w:rsidRPr="000977F7">
        <w:rPr>
          <w:rFonts w:asciiTheme="majorHAnsi" w:hAnsiTheme="majorHAnsi"/>
          <w:spacing w:val="-3"/>
          <w:sz w:val="20"/>
          <w:szCs w:val="20"/>
        </w:rPr>
        <w:t>мережі</w:t>
      </w:r>
      <w:r w:rsidRPr="000977F7">
        <w:rPr>
          <w:rFonts w:asciiTheme="majorHAnsi" w:hAnsiTheme="majorHAnsi"/>
          <w:spacing w:val="-6"/>
          <w:sz w:val="20"/>
          <w:szCs w:val="20"/>
        </w:rPr>
        <w:t xml:space="preserve"> </w:t>
      </w:r>
      <w:r w:rsidRPr="000977F7">
        <w:rPr>
          <w:rFonts w:asciiTheme="majorHAnsi" w:hAnsiTheme="majorHAnsi"/>
          <w:spacing w:val="-3"/>
          <w:sz w:val="20"/>
          <w:szCs w:val="20"/>
        </w:rPr>
        <w:t>чи</w:t>
      </w:r>
      <w:r w:rsidRPr="000977F7">
        <w:rPr>
          <w:rFonts w:asciiTheme="majorHAnsi" w:hAnsiTheme="majorHAnsi"/>
          <w:spacing w:val="-8"/>
          <w:sz w:val="20"/>
          <w:szCs w:val="20"/>
        </w:rPr>
        <w:t xml:space="preserve"> </w:t>
      </w:r>
      <w:r w:rsidRPr="000977F7">
        <w:rPr>
          <w:rFonts w:asciiTheme="majorHAnsi" w:hAnsiTheme="majorHAnsi"/>
          <w:spacing w:val="-3"/>
          <w:sz w:val="20"/>
          <w:szCs w:val="20"/>
        </w:rPr>
        <w:t>приєднаної</w:t>
      </w:r>
      <w:r w:rsidRPr="000977F7">
        <w:rPr>
          <w:rFonts w:asciiTheme="majorHAnsi" w:hAnsiTheme="majorHAnsi"/>
          <w:spacing w:val="-6"/>
          <w:sz w:val="20"/>
          <w:szCs w:val="20"/>
        </w:rPr>
        <w:t xml:space="preserve"> </w:t>
      </w:r>
      <w:r w:rsidRPr="000977F7">
        <w:rPr>
          <w:rFonts w:asciiTheme="majorHAnsi" w:hAnsiTheme="majorHAnsi"/>
          <w:spacing w:val="-2"/>
          <w:sz w:val="20"/>
          <w:szCs w:val="20"/>
        </w:rPr>
        <w:t>до</w:t>
      </w:r>
      <w:r w:rsidRPr="000977F7">
        <w:rPr>
          <w:rFonts w:asciiTheme="majorHAnsi" w:hAnsiTheme="majorHAnsi"/>
          <w:spacing w:val="-6"/>
          <w:sz w:val="20"/>
          <w:szCs w:val="20"/>
        </w:rPr>
        <w:t xml:space="preserve"> </w:t>
      </w:r>
      <w:r w:rsidRPr="000977F7">
        <w:rPr>
          <w:rFonts w:asciiTheme="majorHAnsi" w:hAnsiTheme="majorHAnsi"/>
          <w:spacing w:val="-2"/>
          <w:sz w:val="20"/>
          <w:szCs w:val="20"/>
        </w:rPr>
        <w:t>неї</w:t>
      </w:r>
      <w:r w:rsidRPr="000977F7">
        <w:rPr>
          <w:rFonts w:asciiTheme="majorHAnsi" w:hAnsiTheme="majorHAnsi"/>
          <w:spacing w:val="-9"/>
          <w:sz w:val="20"/>
          <w:szCs w:val="20"/>
        </w:rPr>
        <w:t xml:space="preserve"> </w:t>
      </w:r>
      <w:r w:rsidRPr="000977F7">
        <w:rPr>
          <w:rFonts w:asciiTheme="majorHAnsi" w:hAnsiTheme="majorHAnsi"/>
          <w:spacing w:val="-2"/>
          <w:sz w:val="20"/>
          <w:szCs w:val="20"/>
        </w:rPr>
        <w:t>елект</w:t>
      </w:r>
      <w:r w:rsidRPr="000977F7">
        <w:rPr>
          <w:rFonts w:asciiTheme="majorHAnsi" w:hAnsiTheme="majorHAnsi"/>
          <w:w w:val="95"/>
          <w:sz w:val="20"/>
          <w:szCs w:val="20"/>
        </w:rPr>
        <w:t>роустановки, який генерує ЕРС, що містить гармоніки</w:t>
      </w:r>
      <w:r w:rsidRPr="000977F7">
        <w:rPr>
          <w:rFonts w:asciiTheme="majorHAnsi" w:hAnsiTheme="majorHAnsi"/>
          <w:spacing w:val="1"/>
          <w:w w:val="95"/>
          <w:sz w:val="20"/>
          <w:szCs w:val="20"/>
        </w:rPr>
        <w:t xml:space="preserve"> </w:t>
      </w:r>
    </w:p>
    <w:p w14:paraId="67677349"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3466</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96</w:t>
      </w:r>
    </w:p>
    <w:p w14:paraId="06BEA05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ДЖЕРЕЛО</w:t>
      </w:r>
      <w:r w:rsidRPr="000977F7">
        <w:rPr>
          <w:color w:val="auto"/>
          <w:spacing w:val="-1"/>
          <w:sz w:val="20"/>
          <w:szCs w:val="20"/>
        </w:rPr>
        <w:t xml:space="preserve"> </w:t>
      </w:r>
      <w:r w:rsidRPr="000977F7">
        <w:rPr>
          <w:color w:val="auto"/>
          <w:sz w:val="20"/>
          <w:szCs w:val="20"/>
        </w:rPr>
        <w:t>ГАРМОНІК</w:t>
      </w:r>
      <w:r w:rsidRPr="000977F7">
        <w:rPr>
          <w:color w:val="auto"/>
          <w:spacing w:val="-3"/>
          <w:sz w:val="20"/>
          <w:szCs w:val="20"/>
        </w:rPr>
        <w:t xml:space="preserve"> </w:t>
      </w:r>
      <w:r w:rsidRPr="000977F7">
        <w:rPr>
          <w:color w:val="auto"/>
          <w:sz w:val="20"/>
          <w:szCs w:val="20"/>
        </w:rPr>
        <w:t>СТРУМУ</w:t>
      </w:r>
      <w:r w:rsidRPr="000977F7">
        <w:rPr>
          <w:color w:val="auto"/>
          <w:spacing w:val="-2"/>
          <w:sz w:val="20"/>
          <w:szCs w:val="20"/>
        </w:rPr>
        <w:t xml:space="preserve"> </w:t>
      </w:r>
      <w:r w:rsidRPr="000977F7">
        <w:rPr>
          <w:color w:val="auto"/>
          <w:sz w:val="20"/>
          <w:szCs w:val="20"/>
        </w:rPr>
        <w:t>–</w:t>
      </w:r>
    </w:p>
    <w:p w14:paraId="5A1A2E3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SOURCE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HARMONIC</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CURRENT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396C543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Елемент</w:t>
      </w:r>
      <w:r w:rsidRPr="000977F7">
        <w:rPr>
          <w:rFonts w:asciiTheme="majorHAnsi" w:hAnsiTheme="majorHAnsi"/>
          <w:spacing w:val="1"/>
          <w:sz w:val="20"/>
          <w:szCs w:val="20"/>
        </w:rPr>
        <w:t xml:space="preserve"> </w:t>
      </w:r>
      <w:r w:rsidRPr="000977F7">
        <w:rPr>
          <w:rFonts w:asciiTheme="majorHAnsi" w:hAnsiTheme="majorHAnsi"/>
          <w:sz w:val="20"/>
          <w:szCs w:val="20"/>
        </w:rPr>
        <w:t>електричної</w:t>
      </w:r>
      <w:r w:rsidRPr="000977F7">
        <w:rPr>
          <w:rFonts w:asciiTheme="majorHAnsi" w:hAnsiTheme="majorHAnsi"/>
          <w:spacing w:val="1"/>
          <w:sz w:val="20"/>
          <w:szCs w:val="20"/>
        </w:rPr>
        <w:t xml:space="preserve"> </w:t>
      </w:r>
      <w:r w:rsidRPr="000977F7">
        <w:rPr>
          <w:rFonts w:asciiTheme="majorHAnsi" w:hAnsiTheme="majorHAnsi"/>
          <w:sz w:val="20"/>
          <w:szCs w:val="20"/>
        </w:rPr>
        <w:t>мережі</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приєднаної</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неї</w:t>
      </w:r>
      <w:r w:rsidRPr="000977F7">
        <w:rPr>
          <w:rFonts w:asciiTheme="majorHAnsi" w:hAnsiTheme="majorHAnsi"/>
          <w:spacing w:val="1"/>
          <w:sz w:val="20"/>
          <w:szCs w:val="20"/>
        </w:rPr>
        <w:t xml:space="preserve"> </w:t>
      </w:r>
      <w:r w:rsidRPr="000977F7">
        <w:rPr>
          <w:rFonts w:asciiTheme="majorHAnsi" w:hAnsiTheme="majorHAnsi"/>
          <w:sz w:val="20"/>
          <w:szCs w:val="20"/>
        </w:rPr>
        <w:t>електроустановки, який спричиняє спотворення кривої</w:t>
      </w:r>
      <w:r w:rsidRPr="000977F7">
        <w:rPr>
          <w:rFonts w:asciiTheme="majorHAnsi" w:hAnsiTheme="majorHAnsi"/>
          <w:spacing w:val="-2"/>
          <w:sz w:val="20"/>
          <w:szCs w:val="20"/>
        </w:rPr>
        <w:t xml:space="preserve"> </w:t>
      </w:r>
      <w:r w:rsidRPr="000977F7">
        <w:rPr>
          <w:rFonts w:asciiTheme="majorHAnsi" w:hAnsiTheme="majorHAnsi"/>
          <w:sz w:val="20"/>
          <w:szCs w:val="20"/>
        </w:rPr>
        <w:t>струму</w:t>
      </w:r>
      <w:r w:rsidRPr="000977F7">
        <w:rPr>
          <w:rFonts w:asciiTheme="majorHAnsi" w:hAnsiTheme="majorHAnsi"/>
          <w:spacing w:val="-5"/>
          <w:sz w:val="20"/>
          <w:szCs w:val="20"/>
        </w:rPr>
        <w:t xml:space="preserve"> </w:t>
      </w:r>
      <w:r w:rsidRPr="000977F7">
        <w:rPr>
          <w:rFonts w:asciiTheme="majorHAnsi" w:hAnsiTheme="majorHAnsi"/>
          <w:sz w:val="20"/>
          <w:szCs w:val="20"/>
        </w:rPr>
        <w:t>внаслідок нелінійності</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опору</w:t>
      </w:r>
    </w:p>
    <w:p w14:paraId="0BE89AF4"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3466</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96</w:t>
      </w:r>
    </w:p>
    <w:p w14:paraId="758D409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ДЖЕРЕЛО</w:t>
      </w:r>
      <w:r w:rsidRPr="000977F7">
        <w:rPr>
          <w:color w:val="auto"/>
          <w:spacing w:val="-2"/>
          <w:sz w:val="20"/>
          <w:szCs w:val="20"/>
        </w:rPr>
        <w:t xml:space="preserve"> </w:t>
      </w:r>
      <w:r w:rsidRPr="000977F7">
        <w:rPr>
          <w:color w:val="auto"/>
          <w:sz w:val="20"/>
          <w:szCs w:val="20"/>
        </w:rPr>
        <w:t>НЕБЕЗПЕКИ</w:t>
      </w:r>
      <w:r w:rsidRPr="000977F7">
        <w:rPr>
          <w:color w:val="auto"/>
          <w:spacing w:val="-1"/>
          <w:sz w:val="20"/>
          <w:szCs w:val="20"/>
        </w:rPr>
        <w:t xml:space="preserve"> </w:t>
      </w:r>
      <w:r w:rsidRPr="000977F7">
        <w:rPr>
          <w:color w:val="auto"/>
          <w:sz w:val="20"/>
          <w:szCs w:val="20"/>
        </w:rPr>
        <w:t>–</w:t>
      </w:r>
    </w:p>
    <w:p w14:paraId="46F45C7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SOURSE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HAZARD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78C194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Технологічний об'єкт у складі промислового підприємства, який при певних обставинах (тривалий вплив,</w:t>
      </w:r>
      <w:r w:rsidRPr="000977F7">
        <w:rPr>
          <w:rFonts w:asciiTheme="majorHAnsi" w:hAnsiTheme="majorHAnsi"/>
          <w:spacing w:val="1"/>
          <w:sz w:val="20"/>
          <w:szCs w:val="20"/>
        </w:rPr>
        <w:t xml:space="preserve"> </w:t>
      </w:r>
      <w:r w:rsidRPr="000977F7">
        <w:rPr>
          <w:rFonts w:asciiTheme="majorHAnsi" w:hAnsiTheme="majorHAnsi"/>
          <w:sz w:val="20"/>
          <w:szCs w:val="20"/>
        </w:rPr>
        <w:t>аварія) може стати небезпечним як для працівників</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так</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населення</w:t>
      </w:r>
      <w:r w:rsidRPr="000977F7">
        <w:rPr>
          <w:rFonts w:asciiTheme="majorHAnsi" w:hAnsiTheme="majorHAnsi"/>
          <w:spacing w:val="1"/>
          <w:sz w:val="20"/>
          <w:szCs w:val="20"/>
        </w:rPr>
        <w:t xml:space="preserve"> </w:t>
      </w:r>
      <w:r w:rsidRPr="000977F7">
        <w:rPr>
          <w:rFonts w:asciiTheme="majorHAnsi" w:hAnsiTheme="majorHAnsi"/>
          <w:sz w:val="20"/>
          <w:szCs w:val="20"/>
        </w:rPr>
        <w:t>регіону</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 середовища</w:t>
      </w:r>
    </w:p>
    <w:p w14:paraId="44B2565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08A62A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Джерела небезпеки поділяються па біологічні, радіаційні,</w:t>
      </w:r>
      <w:r w:rsidRPr="000977F7">
        <w:rPr>
          <w:rFonts w:asciiTheme="majorHAnsi" w:hAnsiTheme="majorHAnsi"/>
          <w:spacing w:val="1"/>
          <w:sz w:val="20"/>
          <w:szCs w:val="20"/>
        </w:rPr>
        <w:t xml:space="preserve"> </w:t>
      </w:r>
      <w:r w:rsidRPr="000977F7">
        <w:rPr>
          <w:rFonts w:asciiTheme="majorHAnsi" w:hAnsiTheme="majorHAnsi"/>
          <w:sz w:val="20"/>
          <w:szCs w:val="20"/>
        </w:rPr>
        <w:t>електромагнітні,</w:t>
      </w:r>
      <w:r w:rsidRPr="000977F7">
        <w:rPr>
          <w:rFonts w:asciiTheme="majorHAnsi" w:hAnsiTheme="majorHAnsi"/>
          <w:spacing w:val="1"/>
          <w:sz w:val="20"/>
          <w:szCs w:val="20"/>
        </w:rPr>
        <w:t xml:space="preserve"> </w:t>
      </w:r>
      <w:r w:rsidRPr="000977F7">
        <w:rPr>
          <w:rFonts w:asciiTheme="majorHAnsi" w:hAnsiTheme="majorHAnsi"/>
          <w:sz w:val="20"/>
          <w:szCs w:val="20"/>
        </w:rPr>
        <w:t>шумові,</w:t>
      </w:r>
      <w:r w:rsidRPr="000977F7">
        <w:rPr>
          <w:rFonts w:asciiTheme="majorHAnsi" w:hAnsiTheme="majorHAnsi"/>
          <w:spacing w:val="1"/>
          <w:sz w:val="20"/>
          <w:szCs w:val="20"/>
        </w:rPr>
        <w:t xml:space="preserve"> </w:t>
      </w:r>
      <w:r w:rsidRPr="000977F7">
        <w:rPr>
          <w:rFonts w:asciiTheme="majorHAnsi" w:hAnsiTheme="majorHAnsi"/>
          <w:sz w:val="20"/>
          <w:szCs w:val="20"/>
        </w:rPr>
        <w:t>вибухонебезпечні,</w:t>
      </w:r>
      <w:r w:rsidRPr="000977F7">
        <w:rPr>
          <w:rFonts w:asciiTheme="majorHAnsi" w:hAnsiTheme="majorHAnsi"/>
          <w:spacing w:val="1"/>
          <w:sz w:val="20"/>
          <w:szCs w:val="20"/>
        </w:rPr>
        <w:t xml:space="preserve"> </w:t>
      </w:r>
      <w:r w:rsidRPr="000977F7">
        <w:rPr>
          <w:rFonts w:asciiTheme="majorHAnsi" w:hAnsiTheme="majorHAnsi"/>
          <w:sz w:val="20"/>
          <w:szCs w:val="20"/>
        </w:rPr>
        <w:t>легкозаймисті,</w:t>
      </w:r>
      <w:r w:rsidRPr="000977F7">
        <w:rPr>
          <w:rFonts w:asciiTheme="majorHAnsi" w:hAnsiTheme="majorHAnsi"/>
          <w:spacing w:val="1"/>
          <w:sz w:val="20"/>
          <w:szCs w:val="20"/>
        </w:rPr>
        <w:t xml:space="preserve"> </w:t>
      </w:r>
      <w:r w:rsidRPr="000977F7">
        <w:rPr>
          <w:rFonts w:asciiTheme="majorHAnsi" w:hAnsiTheme="majorHAnsi"/>
          <w:sz w:val="20"/>
          <w:szCs w:val="20"/>
        </w:rPr>
        <w:t>пожежонебезпечні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інші</w:t>
      </w:r>
    </w:p>
    <w:p w14:paraId="69BE4E1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44C6758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ДЖЕРЕЛО</w:t>
      </w:r>
      <w:r w:rsidRPr="000977F7">
        <w:rPr>
          <w:color w:val="auto"/>
          <w:spacing w:val="-3"/>
          <w:sz w:val="20"/>
          <w:szCs w:val="20"/>
        </w:rPr>
        <w:t xml:space="preserve"> </w:t>
      </w:r>
      <w:r w:rsidRPr="000977F7">
        <w:rPr>
          <w:color w:val="auto"/>
          <w:sz w:val="20"/>
          <w:szCs w:val="20"/>
        </w:rPr>
        <w:t>ПОЖЕЖНОЇ</w:t>
      </w:r>
      <w:r w:rsidRPr="000977F7">
        <w:rPr>
          <w:color w:val="auto"/>
          <w:spacing w:val="-2"/>
          <w:sz w:val="20"/>
          <w:szCs w:val="20"/>
        </w:rPr>
        <w:t xml:space="preserve"> </w:t>
      </w:r>
      <w:r w:rsidRPr="000977F7">
        <w:rPr>
          <w:color w:val="auto"/>
          <w:sz w:val="20"/>
          <w:szCs w:val="20"/>
        </w:rPr>
        <w:t>НЕБЕЗПЕКИ</w:t>
      </w:r>
      <w:r w:rsidRPr="000977F7">
        <w:rPr>
          <w:color w:val="auto"/>
          <w:spacing w:val="-2"/>
          <w:sz w:val="20"/>
          <w:szCs w:val="20"/>
        </w:rPr>
        <w:t xml:space="preserve"> </w:t>
      </w:r>
      <w:r w:rsidRPr="000977F7">
        <w:rPr>
          <w:color w:val="auto"/>
          <w:sz w:val="20"/>
          <w:szCs w:val="20"/>
        </w:rPr>
        <w:t>–</w:t>
      </w:r>
    </w:p>
    <w:p w14:paraId="0C97F6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Технологічний об'єкт у складі промислового підприємства, пожежа на якому може призвести до ураження людей, які перебувають на цьому об'єкті чи навколишній території, загрозливими та шкідливими виробничими факторами, а також загрозливими факторами</w:t>
      </w:r>
      <w:r w:rsidRPr="000977F7">
        <w:rPr>
          <w:rFonts w:asciiTheme="majorHAnsi" w:hAnsiTheme="majorHAnsi"/>
          <w:spacing w:val="1"/>
          <w:sz w:val="20"/>
          <w:szCs w:val="20"/>
        </w:rPr>
        <w:t xml:space="preserve"> </w:t>
      </w:r>
      <w:r w:rsidRPr="000977F7">
        <w:rPr>
          <w:rFonts w:asciiTheme="majorHAnsi" w:hAnsiTheme="majorHAnsi"/>
          <w:sz w:val="20"/>
          <w:szCs w:val="20"/>
        </w:rPr>
        <w:t>пожежі</w:t>
      </w:r>
      <w:r w:rsidRPr="000977F7">
        <w:rPr>
          <w:rFonts w:asciiTheme="majorHAnsi" w:hAnsiTheme="majorHAnsi"/>
          <w:spacing w:val="-2"/>
          <w:sz w:val="20"/>
          <w:szCs w:val="20"/>
        </w:rPr>
        <w:t xml:space="preserve"> </w:t>
      </w:r>
      <w:r w:rsidRPr="000977F7">
        <w:rPr>
          <w:rFonts w:asciiTheme="majorHAnsi" w:hAnsiTheme="majorHAnsi"/>
          <w:sz w:val="20"/>
          <w:szCs w:val="20"/>
        </w:rPr>
        <w:t>та їх вторинними</w:t>
      </w:r>
      <w:r w:rsidRPr="000977F7">
        <w:rPr>
          <w:rFonts w:asciiTheme="majorHAnsi" w:hAnsiTheme="majorHAnsi"/>
          <w:spacing w:val="1"/>
          <w:sz w:val="20"/>
          <w:szCs w:val="20"/>
        </w:rPr>
        <w:t xml:space="preserve"> </w:t>
      </w:r>
      <w:r w:rsidRPr="000977F7">
        <w:rPr>
          <w:rFonts w:asciiTheme="majorHAnsi" w:hAnsiTheme="majorHAnsi"/>
          <w:sz w:val="20"/>
          <w:szCs w:val="20"/>
        </w:rPr>
        <w:t>проявами</w:t>
      </w:r>
    </w:p>
    <w:p w14:paraId="3CE8494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3650BDB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ДЖЕРЕЛО</w:t>
      </w:r>
      <w:r w:rsidRPr="000977F7">
        <w:rPr>
          <w:color w:val="auto"/>
          <w:spacing w:val="-5"/>
          <w:sz w:val="20"/>
          <w:szCs w:val="20"/>
        </w:rPr>
        <w:t xml:space="preserve"> </w:t>
      </w:r>
      <w:r w:rsidRPr="000977F7">
        <w:rPr>
          <w:color w:val="auto"/>
          <w:sz w:val="20"/>
          <w:szCs w:val="20"/>
        </w:rPr>
        <w:t>РАДІАЦІЙНОЇ</w:t>
      </w:r>
      <w:r w:rsidRPr="000977F7">
        <w:rPr>
          <w:color w:val="auto"/>
          <w:spacing w:val="-3"/>
          <w:sz w:val="20"/>
          <w:szCs w:val="20"/>
        </w:rPr>
        <w:t xml:space="preserve"> </w:t>
      </w:r>
      <w:r w:rsidRPr="000977F7">
        <w:rPr>
          <w:color w:val="auto"/>
          <w:sz w:val="20"/>
          <w:szCs w:val="20"/>
        </w:rPr>
        <w:t>НЕБЕЗПЕКИ</w:t>
      </w:r>
      <w:r w:rsidRPr="000977F7">
        <w:rPr>
          <w:color w:val="auto"/>
          <w:spacing w:val="-4"/>
          <w:sz w:val="20"/>
          <w:szCs w:val="20"/>
        </w:rPr>
        <w:t xml:space="preserve"> </w:t>
      </w:r>
      <w:r w:rsidRPr="000977F7">
        <w:rPr>
          <w:color w:val="auto"/>
          <w:sz w:val="20"/>
          <w:szCs w:val="20"/>
        </w:rPr>
        <w:t>–</w:t>
      </w:r>
    </w:p>
    <w:p w14:paraId="528B6F9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SOURSE</w:t>
      </w:r>
      <w:r w:rsidRPr="000977F7">
        <w:rPr>
          <w:color w:val="auto"/>
          <w:spacing w:val="-2"/>
          <w:sz w:val="20"/>
          <w:szCs w:val="20"/>
        </w:rPr>
        <w:t xml:space="preserve"> </w:t>
      </w:r>
      <w:r w:rsidRPr="000977F7">
        <w:rPr>
          <w:color w:val="auto"/>
          <w:sz w:val="20"/>
          <w:szCs w:val="20"/>
        </w:rPr>
        <w:t>OF</w:t>
      </w:r>
      <w:r w:rsidRPr="000977F7">
        <w:rPr>
          <w:color w:val="auto"/>
          <w:spacing w:val="-3"/>
          <w:sz w:val="20"/>
          <w:szCs w:val="20"/>
        </w:rPr>
        <w:t xml:space="preserve"> </w:t>
      </w:r>
      <w:r w:rsidRPr="000977F7">
        <w:rPr>
          <w:color w:val="auto"/>
          <w:sz w:val="20"/>
          <w:szCs w:val="20"/>
        </w:rPr>
        <w:t>RADI</w:t>
      </w:r>
      <w:r w:rsidRPr="000977F7">
        <w:rPr>
          <w:color w:val="auto"/>
          <w:spacing w:val="1"/>
          <w:sz w:val="20"/>
          <w:szCs w:val="20"/>
        </w:rPr>
        <w:t xml:space="preserve"> </w:t>
      </w:r>
      <w:r w:rsidRPr="000977F7">
        <w:rPr>
          <w:color w:val="auto"/>
          <w:sz w:val="20"/>
          <w:szCs w:val="20"/>
        </w:rPr>
        <w:t>–</w:t>
      </w:r>
    </w:p>
    <w:p w14:paraId="4A45110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Технологічний</w:t>
      </w:r>
      <w:r w:rsidRPr="004D2D14">
        <w:rPr>
          <w:rFonts w:asciiTheme="majorHAnsi" w:hAnsiTheme="majorHAnsi"/>
          <w:spacing w:val="-13"/>
          <w:sz w:val="20"/>
          <w:szCs w:val="20"/>
          <w:lang w:val="uk-UA"/>
        </w:rPr>
        <w:t xml:space="preserve"> </w:t>
      </w:r>
      <w:r w:rsidRPr="004D2D14">
        <w:rPr>
          <w:rFonts w:asciiTheme="majorHAnsi" w:hAnsiTheme="majorHAnsi"/>
          <w:sz w:val="20"/>
          <w:szCs w:val="20"/>
          <w:lang w:val="uk-UA"/>
        </w:rPr>
        <w:t>об'єкт</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складі</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промислового</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підприємства,</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використовує</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процесі</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нормального</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функціо</w:t>
      </w:r>
      <w:r w:rsidRPr="004D2D14">
        <w:rPr>
          <w:rFonts w:asciiTheme="majorHAnsi" w:hAnsiTheme="majorHAnsi"/>
          <w:spacing w:val="-1"/>
          <w:sz w:val="20"/>
          <w:szCs w:val="20"/>
          <w:lang w:val="uk-UA"/>
        </w:rPr>
        <w:t>нування</w:t>
      </w:r>
      <w:r w:rsidRPr="004D2D14">
        <w:rPr>
          <w:rFonts w:asciiTheme="majorHAnsi" w:hAnsiTheme="majorHAnsi"/>
          <w:spacing w:val="-12"/>
          <w:sz w:val="20"/>
          <w:szCs w:val="20"/>
          <w:lang w:val="uk-UA"/>
        </w:rPr>
        <w:t xml:space="preserve"> </w:t>
      </w:r>
      <w:r w:rsidRPr="004D2D14">
        <w:rPr>
          <w:rFonts w:asciiTheme="majorHAnsi" w:hAnsiTheme="majorHAnsi"/>
          <w:spacing w:val="-1"/>
          <w:sz w:val="20"/>
          <w:szCs w:val="20"/>
          <w:lang w:val="uk-UA"/>
        </w:rPr>
        <w:t>радіоактивні</w:t>
      </w:r>
      <w:r w:rsidRPr="004D2D14">
        <w:rPr>
          <w:rFonts w:asciiTheme="majorHAnsi" w:hAnsiTheme="majorHAnsi"/>
          <w:spacing w:val="-10"/>
          <w:sz w:val="20"/>
          <w:szCs w:val="20"/>
          <w:lang w:val="uk-UA"/>
        </w:rPr>
        <w:t xml:space="preserve"> </w:t>
      </w:r>
      <w:r w:rsidRPr="004D2D14">
        <w:rPr>
          <w:rFonts w:asciiTheme="majorHAnsi" w:hAnsiTheme="majorHAnsi"/>
          <w:spacing w:val="-1"/>
          <w:sz w:val="20"/>
          <w:szCs w:val="20"/>
          <w:lang w:val="uk-UA"/>
        </w:rPr>
        <w:t>речовини,</w:t>
      </w:r>
      <w:r w:rsidRPr="004D2D14">
        <w:rPr>
          <w:rFonts w:asciiTheme="majorHAnsi" w:hAnsiTheme="majorHAnsi"/>
          <w:spacing w:val="-10"/>
          <w:sz w:val="20"/>
          <w:szCs w:val="20"/>
          <w:lang w:val="uk-UA"/>
        </w:rPr>
        <w:t xml:space="preserve"> </w:t>
      </w:r>
      <w:r w:rsidRPr="004D2D14">
        <w:rPr>
          <w:rFonts w:asciiTheme="majorHAnsi" w:hAnsiTheme="majorHAnsi"/>
          <w:spacing w:val="-1"/>
          <w:sz w:val="20"/>
          <w:szCs w:val="20"/>
          <w:lang w:val="uk-UA"/>
        </w:rPr>
        <w:t>виробляє</w:t>
      </w:r>
      <w:r w:rsidRPr="004D2D14">
        <w:rPr>
          <w:rFonts w:asciiTheme="majorHAnsi" w:hAnsiTheme="majorHAnsi"/>
          <w:spacing w:val="-10"/>
          <w:sz w:val="20"/>
          <w:szCs w:val="20"/>
          <w:lang w:val="uk-UA"/>
        </w:rPr>
        <w:t xml:space="preserve"> </w:t>
      </w:r>
      <w:r w:rsidRPr="004D2D14">
        <w:rPr>
          <w:rFonts w:asciiTheme="majorHAnsi" w:hAnsiTheme="majorHAnsi"/>
          <w:spacing w:val="-1"/>
          <w:sz w:val="20"/>
          <w:szCs w:val="20"/>
          <w:lang w:val="uk-UA"/>
        </w:rPr>
        <w:t>або</w:t>
      </w:r>
      <w:r w:rsidRPr="004D2D14">
        <w:rPr>
          <w:rFonts w:asciiTheme="majorHAnsi" w:hAnsiTheme="majorHAnsi"/>
          <w:spacing w:val="-11"/>
          <w:sz w:val="20"/>
          <w:szCs w:val="20"/>
          <w:lang w:val="uk-UA"/>
        </w:rPr>
        <w:t xml:space="preserve"> </w:t>
      </w:r>
      <w:r w:rsidRPr="004D2D14">
        <w:rPr>
          <w:rFonts w:asciiTheme="majorHAnsi" w:hAnsiTheme="majorHAnsi"/>
          <w:spacing w:val="-1"/>
          <w:sz w:val="20"/>
          <w:szCs w:val="20"/>
          <w:lang w:val="uk-UA"/>
        </w:rPr>
        <w:t>споживає</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енергію</w:t>
      </w:r>
      <w:r w:rsidRPr="004D2D14">
        <w:rPr>
          <w:rFonts w:asciiTheme="majorHAnsi" w:hAnsiTheme="majorHAnsi"/>
          <w:spacing w:val="34"/>
          <w:sz w:val="20"/>
          <w:szCs w:val="20"/>
          <w:lang w:val="uk-UA"/>
        </w:rPr>
        <w:t xml:space="preserve"> </w:t>
      </w:r>
      <w:r w:rsidRPr="004D2D14">
        <w:rPr>
          <w:rFonts w:asciiTheme="majorHAnsi" w:hAnsiTheme="majorHAnsi"/>
          <w:sz w:val="20"/>
          <w:szCs w:val="20"/>
          <w:lang w:val="uk-UA"/>
        </w:rPr>
        <w:t>іонізуючого</w:t>
      </w:r>
      <w:r w:rsidRPr="004D2D14">
        <w:rPr>
          <w:rFonts w:asciiTheme="majorHAnsi" w:hAnsiTheme="majorHAnsi"/>
          <w:spacing w:val="36"/>
          <w:sz w:val="20"/>
          <w:szCs w:val="20"/>
          <w:lang w:val="uk-UA"/>
        </w:rPr>
        <w:t xml:space="preserve"> </w:t>
      </w:r>
      <w:r w:rsidRPr="004D2D14">
        <w:rPr>
          <w:rFonts w:asciiTheme="majorHAnsi" w:hAnsiTheme="majorHAnsi"/>
          <w:sz w:val="20"/>
          <w:szCs w:val="20"/>
          <w:lang w:val="uk-UA"/>
        </w:rPr>
        <w:t>випромінювання,</w:t>
      </w:r>
      <w:r w:rsidRPr="004D2D14">
        <w:rPr>
          <w:rFonts w:asciiTheme="majorHAnsi" w:hAnsiTheme="majorHAnsi"/>
          <w:spacing w:val="37"/>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38"/>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33"/>
          <w:sz w:val="20"/>
          <w:szCs w:val="20"/>
          <w:lang w:val="uk-UA"/>
        </w:rPr>
        <w:t xml:space="preserve"> </w:t>
      </w:r>
      <w:r w:rsidRPr="004D2D14">
        <w:rPr>
          <w:rFonts w:asciiTheme="majorHAnsi" w:hAnsiTheme="majorHAnsi"/>
          <w:sz w:val="20"/>
          <w:szCs w:val="20"/>
          <w:lang w:val="uk-UA"/>
        </w:rPr>
        <w:t>випадку</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аварії</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тривалого</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впливу</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людський</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організм</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може</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спричинитися</w:t>
      </w:r>
      <w:r w:rsidRPr="004D2D14">
        <w:rPr>
          <w:rFonts w:asciiTheme="majorHAnsi" w:hAnsiTheme="majorHAnsi"/>
          <w:spacing w:val="38"/>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37"/>
          <w:sz w:val="20"/>
          <w:szCs w:val="20"/>
          <w:lang w:val="uk-UA"/>
        </w:rPr>
        <w:t xml:space="preserve"> </w:t>
      </w:r>
      <w:r w:rsidRPr="004D2D14">
        <w:rPr>
          <w:rFonts w:asciiTheme="majorHAnsi" w:hAnsiTheme="majorHAnsi"/>
          <w:sz w:val="20"/>
          <w:szCs w:val="20"/>
          <w:lang w:val="uk-UA"/>
        </w:rPr>
        <w:t>загибелі</w:t>
      </w:r>
      <w:r w:rsidRPr="004D2D14">
        <w:rPr>
          <w:rFonts w:asciiTheme="majorHAnsi" w:hAnsiTheme="majorHAnsi"/>
          <w:spacing w:val="37"/>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37"/>
          <w:sz w:val="20"/>
          <w:szCs w:val="20"/>
          <w:lang w:val="uk-UA"/>
        </w:rPr>
        <w:t xml:space="preserve"> </w:t>
      </w:r>
      <w:r w:rsidRPr="004D2D14">
        <w:rPr>
          <w:rFonts w:asciiTheme="majorHAnsi" w:hAnsiTheme="majorHAnsi"/>
          <w:sz w:val="20"/>
          <w:szCs w:val="20"/>
          <w:lang w:val="uk-UA"/>
        </w:rPr>
        <w:t>каліцтва</w:t>
      </w:r>
      <w:r w:rsidRPr="004D2D14">
        <w:rPr>
          <w:rFonts w:asciiTheme="majorHAnsi" w:hAnsiTheme="majorHAnsi"/>
          <w:spacing w:val="38"/>
          <w:sz w:val="20"/>
          <w:szCs w:val="20"/>
          <w:lang w:val="uk-UA"/>
        </w:rPr>
        <w:t xml:space="preserve"> </w:t>
      </w:r>
      <w:r w:rsidRPr="004D2D14">
        <w:rPr>
          <w:rFonts w:asciiTheme="majorHAnsi" w:hAnsiTheme="majorHAnsi"/>
          <w:sz w:val="20"/>
          <w:szCs w:val="20"/>
          <w:lang w:val="uk-UA"/>
        </w:rPr>
        <w:t>ураженого</w:t>
      </w:r>
      <w:r w:rsidRPr="004D2D14">
        <w:rPr>
          <w:rFonts w:asciiTheme="majorHAnsi" w:hAnsiTheme="majorHAnsi"/>
          <w:spacing w:val="37"/>
          <w:sz w:val="20"/>
          <w:szCs w:val="20"/>
          <w:lang w:val="uk-UA"/>
        </w:rPr>
        <w:t xml:space="preserve"> </w:t>
      </w:r>
      <w:r w:rsidRPr="004D2D14">
        <w:rPr>
          <w:rFonts w:asciiTheme="majorHAnsi" w:hAnsiTheme="majorHAnsi"/>
          <w:sz w:val="20"/>
          <w:szCs w:val="20"/>
          <w:lang w:val="uk-UA"/>
        </w:rPr>
        <w:t xml:space="preserve">чи </w:t>
      </w:r>
      <w:r w:rsidRPr="004D2D14">
        <w:rPr>
          <w:rFonts w:asciiTheme="majorHAnsi" w:hAnsiTheme="majorHAnsi"/>
          <w:spacing w:val="-47"/>
          <w:sz w:val="20"/>
          <w:szCs w:val="20"/>
          <w:lang w:val="uk-UA"/>
        </w:rPr>
        <w:t xml:space="preserve"> </w:t>
      </w:r>
      <w:r w:rsidRPr="004D2D14">
        <w:rPr>
          <w:rFonts w:asciiTheme="majorHAnsi" w:hAnsiTheme="majorHAnsi"/>
          <w:spacing w:val="-2"/>
          <w:sz w:val="20"/>
          <w:szCs w:val="20"/>
          <w:lang w:val="uk-UA"/>
        </w:rPr>
        <w:t xml:space="preserve">завдати </w:t>
      </w:r>
      <w:r w:rsidRPr="004D2D14">
        <w:rPr>
          <w:rFonts w:asciiTheme="majorHAnsi" w:hAnsiTheme="majorHAnsi"/>
          <w:spacing w:val="-1"/>
          <w:sz w:val="20"/>
          <w:szCs w:val="20"/>
          <w:lang w:val="uk-UA"/>
        </w:rPr>
        <w:t>істотної шкоди навколишньому середовищу</w:t>
      </w:r>
      <w:r w:rsidRPr="004D2D14">
        <w:rPr>
          <w:rFonts w:asciiTheme="majorHAnsi" w:hAnsiTheme="majorHAnsi"/>
          <w:sz w:val="20"/>
          <w:szCs w:val="20"/>
          <w:lang w:val="uk-UA"/>
        </w:rPr>
        <w:t xml:space="preserve"> </w:t>
      </w:r>
    </w:p>
    <w:p w14:paraId="56AC2312"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2156</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93</w:t>
      </w:r>
    </w:p>
    <w:p w14:paraId="24CA5357"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en-US"/>
        </w:rPr>
      </w:pPr>
      <w:r w:rsidRPr="000977F7">
        <w:rPr>
          <w:rFonts w:asciiTheme="majorHAnsi" w:hAnsiTheme="majorHAnsi"/>
          <w:b/>
          <w:sz w:val="20"/>
          <w:szCs w:val="20"/>
        </w:rPr>
        <w:t>ДЖЕРЕЛО</w:t>
      </w:r>
      <w:r w:rsidRPr="004D2D14">
        <w:rPr>
          <w:rFonts w:asciiTheme="majorHAnsi" w:hAnsiTheme="majorHAnsi"/>
          <w:b/>
          <w:sz w:val="20"/>
          <w:szCs w:val="20"/>
          <w:lang w:val="en-US"/>
        </w:rPr>
        <w:t xml:space="preserve"> </w:t>
      </w:r>
      <w:r w:rsidRPr="000977F7">
        <w:rPr>
          <w:rFonts w:asciiTheme="majorHAnsi" w:hAnsiTheme="majorHAnsi"/>
          <w:b/>
          <w:sz w:val="20"/>
          <w:szCs w:val="20"/>
        </w:rPr>
        <w:t>ШУМУ</w:t>
      </w:r>
      <w:r w:rsidRPr="004D2D14">
        <w:rPr>
          <w:rFonts w:asciiTheme="majorHAnsi" w:hAnsiTheme="majorHAnsi"/>
          <w:b/>
          <w:sz w:val="20"/>
          <w:szCs w:val="20"/>
          <w:lang w:val="en-US"/>
        </w:rPr>
        <w:t xml:space="preserve"> –</w:t>
      </w:r>
      <w:r w:rsidRPr="004D2D14">
        <w:rPr>
          <w:rFonts w:asciiTheme="majorHAnsi" w:hAnsiTheme="majorHAnsi"/>
          <w:b/>
          <w:spacing w:val="-47"/>
          <w:sz w:val="20"/>
          <w:szCs w:val="20"/>
          <w:lang w:val="en-US"/>
        </w:rPr>
        <w:t xml:space="preserve"> </w:t>
      </w:r>
    </w:p>
    <w:p w14:paraId="00EBF65E" w14:textId="77777777" w:rsidR="0097612F" w:rsidRPr="004D2D14" w:rsidRDefault="0097612F" w:rsidP="000977F7">
      <w:pPr>
        <w:tabs>
          <w:tab w:val="left" w:pos="284"/>
        </w:tabs>
        <w:spacing w:after="0" w:line="240" w:lineRule="auto"/>
        <w:ind w:left="170"/>
        <w:mirrorIndents/>
        <w:jc w:val="both"/>
        <w:rPr>
          <w:rFonts w:asciiTheme="majorHAnsi" w:hAnsiTheme="majorHAnsi"/>
          <w:spacing w:val="1"/>
          <w:sz w:val="20"/>
          <w:szCs w:val="20"/>
          <w:lang w:val="en-US"/>
        </w:rPr>
      </w:pPr>
      <w:r w:rsidRPr="004D2D14">
        <w:rPr>
          <w:rFonts w:asciiTheme="majorHAnsi" w:hAnsiTheme="majorHAnsi"/>
          <w:sz w:val="20"/>
          <w:szCs w:val="20"/>
          <w:lang w:val="en-US"/>
        </w:rPr>
        <w:t>SOURSE OF NOISE</w:t>
      </w:r>
      <w:r w:rsidRPr="004D2D14">
        <w:rPr>
          <w:rFonts w:asciiTheme="majorHAnsi" w:hAnsiTheme="majorHAnsi"/>
          <w:spacing w:val="1"/>
          <w:sz w:val="20"/>
          <w:szCs w:val="20"/>
          <w:lang w:val="en-US"/>
        </w:rPr>
        <w:t xml:space="preserve"> </w:t>
      </w:r>
    </w:p>
    <w:p w14:paraId="77572BB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66360FA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ДИВЕРСИФІКАЦІЯ</w:t>
      </w:r>
      <w:r w:rsidRPr="000977F7">
        <w:rPr>
          <w:color w:val="auto"/>
          <w:spacing w:val="-5"/>
          <w:sz w:val="20"/>
          <w:szCs w:val="20"/>
        </w:rPr>
        <w:t xml:space="preserve"> </w:t>
      </w:r>
      <w:r w:rsidRPr="000977F7">
        <w:rPr>
          <w:color w:val="auto"/>
          <w:sz w:val="20"/>
          <w:szCs w:val="20"/>
        </w:rPr>
        <w:t>–</w:t>
      </w:r>
    </w:p>
    <w:p w14:paraId="43049519"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pacing w:val="-1"/>
          <w:sz w:val="20"/>
          <w:szCs w:val="20"/>
        </w:rPr>
        <w:t>Стратегія</w:t>
      </w:r>
      <w:r w:rsidRPr="000977F7">
        <w:rPr>
          <w:rFonts w:asciiTheme="majorHAnsi" w:hAnsiTheme="majorHAnsi"/>
          <w:spacing w:val="-11"/>
          <w:sz w:val="20"/>
          <w:szCs w:val="20"/>
        </w:rPr>
        <w:t xml:space="preserve"> </w:t>
      </w:r>
      <w:r w:rsidRPr="000977F7">
        <w:rPr>
          <w:rFonts w:asciiTheme="majorHAnsi" w:hAnsiTheme="majorHAnsi"/>
          <w:spacing w:val="-1"/>
          <w:sz w:val="20"/>
          <w:szCs w:val="20"/>
        </w:rPr>
        <w:t>маркетингу,</w:t>
      </w:r>
      <w:r w:rsidRPr="000977F7">
        <w:rPr>
          <w:rFonts w:asciiTheme="majorHAnsi" w:hAnsiTheme="majorHAnsi"/>
          <w:spacing w:val="-8"/>
          <w:sz w:val="20"/>
          <w:szCs w:val="20"/>
        </w:rPr>
        <w:t xml:space="preserve"> </w:t>
      </w:r>
      <w:r w:rsidRPr="000977F7">
        <w:rPr>
          <w:rFonts w:asciiTheme="majorHAnsi" w:hAnsiTheme="majorHAnsi"/>
          <w:sz w:val="20"/>
          <w:szCs w:val="20"/>
        </w:rPr>
        <w:t>спрямована</w:t>
      </w:r>
      <w:r w:rsidRPr="000977F7">
        <w:rPr>
          <w:rFonts w:asciiTheme="majorHAnsi" w:hAnsiTheme="majorHAnsi"/>
          <w:spacing w:val="-7"/>
          <w:sz w:val="20"/>
          <w:szCs w:val="20"/>
        </w:rPr>
        <w:t xml:space="preserve"> </w:t>
      </w:r>
      <w:r w:rsidRPr="000977F7">
        <w:rPr>
          <w:rFonts w:asciiTheme="majorHAnsi" w:hAnsiTheme="majorHAnsi"/>
          <w:sz w:val="20"/>
          <w:szCs w:val="20"/>
        </w:rPr>
        <w:t>на</w:t>
      </w:r>
      <w:r w:rsidRPr="000977F7">
        <w:rPr>
          <w:rFonts w:asciiTheme="majorHAnsi" w:hAnsiTheme="majorHAnsi"/>
          <w:spacing w:val="-10"/>
          <w:sz w:val="20"/>
          <w:szCs w:val="20"/>
        </w:rPr>
        <w:t xml:space="preserve"> </w:t>
      </w:r>
      <w:r w:rsidRPr="000977F7">
        <w:rPr>
          <w:rFonts w:asciiTheme="majorHAnsi" w:hAnsiTheme="majorHAnsi"/>
          <w:sz w:val="20"/>
          <w:szCs w:val="20"/>
        </w:rPr>
        <w:t>розширення</w:t>
      </w:r>
      <w:r w:rsidRPr="000977F7">
        <w:rPr>
          <w:rFonts w:asciiTheme="majorHAnsi" w:hAnsiTheme="majorHAnsi"/>
          <w:spacing w:val="-10"/>
          <w:sz w:val="20"/>
          <w:szCs w:val="20"/>
        </w:rPr>
        <w:t xml:space="preserve"> </w:t>
      </w:r>
      <w:r w:rsidRPr="000977F7">
        <w:rPr>
          <w:rFonts w:asciiTheme="majorHAnsi" w:hAnsiTheme="majorHAnsi"/>
          <w:sz w:val="20"/>
          <w:szCs w:val="20"/>
        </w:rPr>
        <w:t>сфер</w:t>
      </w:r>
      <w:r w:rsidRPr="000977F7">
        <w:rPr>
          <w:rFonts w:asciiTheme="majorHAnsi" w:hAnsiTheme="majorHAnsi"/>
          <w:spacing w:val="-47"/>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3"/>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5"/>
          <w:sz w:val="20"/>
          <w:szCs w:val="20"/>
        </w:rPr>
        <w:t xml:space="preserve"> </w:t>
      </w:r>
      <w:r w:rsidRPr="000977F7">
        <w:rPr>
          <w:rFonts w:asciiTheme="majorHAnsi" w:hAnsiTheme="majorHAnsi"/>
          <w:sz w:val="20"/>
          <w:szCs w:val="20"/>
        </w:rPr>
        <w:t>на</w:t>
      </w:r>
      <w:r w:rsidRPr="000977F7">
        <w:rPr>
          <w:rFonts w:asciiTheme="majorHAnsi" w:hAnsiTheme="majorHAnsi"/>
          <w:spacing w:val="4"/>
          <w:sz w:val="20"/>
          <w:szCs w:val="20"/>
        </w:rPr>
        <w:t xml:space="preserve"> </w:t>
      </w:r>
      <w:r w:rsidRPr="000977F7">
        <w:rPr>
          <w:rFonts w:asciiTheme="majorHAnsi" w:hAnsiTheme="majorHAnsi"/>
          <w:sz w:val="20"/>
          <w:szCs w:val="20"/>
        </w:rPr>
        <w:t>ринках</w:t>
      </w:r>
      <w:r w:rsidRPr="000977F7">
        <w:rPr>
          <w:rFonts w:asciiTheme="majorHAnsi" w:hAnsiTheme="majorHAnsi"/>
          <w:spacing w:val="4"/>
          <w:sz w:val="20"/>
          <w:szCs w:val="20"/>
        </w:rPr>
        <w:t xml:space="preserve"> </w:t>
      </w:r>
      <w:r w:rsidRPr="000977F7">
        <w:rPr>
          <w:rFonts w:asciiTheme="majorHAnsi" w:hAnsiTheme="majorHAnsi"/>
          <w:sz w:val="20"/>
          <w:szCs w:val="20"/>
        </w:rPr>
        <w:t>збуту</w:t>
      </w:r>
      <w:r w:rsidRPr="000977F7">
        <w:rPr>
          <w:rFonts w:asciiTheme="majorHAnsi" w:hAnsiTheme="majorHAnsi"/>
          <w:spacing w:val="4"/>
          <w:sz w:val="20"/>
          <w:szCs w:val="20"/>
        </w:rPr>
        <w:t xml:space="preserve"> </w:t>
      </w:r>
      <w:r w:rsidRPr="000977F7">
        <w:rPr>
          <w:rFonts w:asciiTheme="majorHAnsi" w:hAnsiTheme="majorHAnsi"/>
          <w:sz w:val="20"/>
          <w:szCs w:val="20"/>
        </w:rPr>
        <w:t>нової</w:t>
      </w:r>
      <w:r w:rsidRPr="000977F7">
        <w:rPr>
          <w:rFonts w:asciiTheme="majorHAnsi" w:hAnsiTheme="majorHAnsi"/>
          <w:spacing w:val="4"/>
          <w:sz w:val="20"/>
          <w:szCs w:val="20"/>
        </w:rPr>
        <w:t xml:space="preserve"> </w:t>
      </w:r>
      <w:r w:rsidRPr="000977F7">
        <w:rPr>
          <w:rFonts w:asciiTheme="majorHAnsi" w:hAnsiTheme="majorHAnsi"/>
          <w:sz w:val="20"/>
          <w:szCs w:val="20"/>
        </w:rPr>
        <w:t>продукції</w:t>
      </w:r>
      <w:r w:rsidRPr="000977F7">
        <w:rPr>
          <w:rFonts w:asciiTheme="majorHAnsi" w:hAnsiTheme="majorHAnsi"/>
          <w:spacing w:val="-47"/>
          <w:sz w:val="20"/>
          <w:szCs w:val="20"/>
        </w:rPr>
        <w:t xml:space="preserve"> </w:t>
      </w:r>
      <w:r w:rsidRPr="000977F7">
        <w:rPr>
          <w:rFonts w:asciiTheme="majorHAnsi" w:hAnsiTheme="majorHAnsi"/>
          <w:sz w:val="20"/>
          <w:szCs w:val="20"/>
        </w:rPr>
        <w:t>чи послуг, не поєднаних з основним виробництвом</w:t>
      </w:r>
      <w:r w:rsidRPr="000977F7">
        <w:rPr>
          <w:rFonts w:asciiTheme="majorHAnsi" w:hAnsiTheme="majorHAnsi"/>
          <w:spacing w:val="1"/>
          <w:sz w:val="20"/>
          <w:szCs w:val="20"/>
        </w:rPr>
        <w:t xml:space="preserve"> </w:t>
      </w:r>
    </w:p>
    <w:p w14:paraId="21D8C8D5"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49D6AA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ДИНАМІЧНА ПОХИБКА ВИМІРЮВАННЯ, ЗА</w:t>
      </w:r>
      <w:r w:rsidRPr="000977F7">
        <w:rPr>
          <w:color w:val="auto"/>
          <w:spacing w:val="-47"/>
          <w:sz w:val="20"/>
          <w:szCs w:val="20"/>
        </w:rPr>
        <w:t xml:space="preserve"> </w:t>
      </w:r>
      <w:r w:rsidRPr="000977F7">
        <w:rPr>
          <w:color w:val="auto"/>
          <w:sz w:val="20"/>
          <w:szCs w:val="20"/>
        </w:rPr>
        <w:t>СОБУ ВИМІРЮВАЛЬНОЇ ТЕХНІКИ –</w:t>
      </w:r>
    </w:p>
    <w:p w14:paraId="76121369"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b w:val="0"/>
          <w:color w:val="auto"/>
          <w:sz w:val="20"/>
          <w:szCs w:val="20"/>
        </w:rPr>
        <w:t>DYNAMIC</w:t>
      </w:r>
      <w:r w:rsidRPr="000977F7">
        <w:rPr>
          <w:b w:val="0"/>
          <w:color w:val="auto"/>
          <w:spacing w:val="-2"/>
          <w:sz w:val="20"/>
          <w:szCs w:val="20"/>
        </w:rPr>
        <w:t xml:space="preserve"> </w:t>
      </w:r>
      <w:r w:rsidRPr="000977F7">
        <w:rPr>
          <w:b w:val="0"/>
          <w:color w:val="auto"/>
          <w:sz w:val="20"/>
          <w:szCs w:val="20"/>
        </w:rPr>
        <w:t>ERROR –</w:t>
      </w:r>
    </w:p>
    <w:p w14:paraId="2E7F959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Складова похибки, що виникає додатково до статичної</w:t>
      </w:r>
      <w:r w:rsidRPr="000977F7">
        <w:rPr>
          <w:rFonts w:asciiTheme="majorHAnsi" w:hAnsiTheme="majorHAnsi"/>
          <w:spacing w:val="-2"/>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динамічних</w:t>
      </w:r>
      <w:r w:rsidRPr="000977F7">
        <w:rPr>
          <w:rFonts w:asciiTheme="majorHAnsi" w:hAnsiTheme="majorHAnsi"/>
          <w:spacing w:val="-1"/>
          <w:sz w:val="20"/>
          <w:szCs w:val="20"/>
        </w:rPr>
        <w:t xml:space="preserve"> </w:t>
      </w:r>
      <w:r w:rsidRPr="000977F7">
        <w:rPr>
          <w:rFonts w:asciiTheme="majorHAnsi" w:hAnsiTheme="majorHAnsi"/>
          <w:sz w:val="20"/>
          <w:szCs w:val="20"/>
        </w:rPr>
        <w:t>вимірювань</w:t>
      </w:r>
    </w:p>
    <w:p w14:paraId="6F9976D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D7246BD"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ДИНАМІЧНА ХАРАКТЕРИСТИКА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5410B91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DYNAMIC</w:t>
      </w:r>
      <w:r w:rsidRPr="000977F7">
        <w:rPr>
          <w:rFonts w:asciiTheme="majorHAnsi" w:hAnsiTheme="majorHAnsi"/>
          <w:spacing w:val="-2"/>
          <w:sz w:val="20"/>
          <w:szCs w:val="20"/>
        </w:rPr>
        <w:t xml:space="preserve"> </w:t>
      </w:r>
      <w:r w:rsidRPr="000977F7">
        <w:rPr>
          <w:rFonts w:asciiTheme="majorHAnsi" w:hAnsiTheme="majorHAnsi"/>
          <w:sz w:val="20"/>
          <w:szCs w:val="20"/>
        </w:rPr>
        <w:t>HARACTERISTIC</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098BD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Характеристика об’єкта, що дозволяє оцінити зміну</w:t>
      </w:r>
      <w:r w:rsidRPr="000977F7">
        <w:rPr>
          <w:rFonts w:asciiTheme="majorHAnsi" w:hAnsiTheme="majorHAnsi"/>
          <w:spacing w:val="1"/>
          <w:sz w:val="20"/>
          <w:szCs w:val="20"/>
        </w:rPr>
        <w:t xml:space="preserve"> </w:t>
      </w:r>
      <w:r w:rsidRPr="000977F7">
        <w:rPr>
          <w:rFonts w:asciiTheme="majorHAnsi" w:hAnsiTheme="majorHAnsi"/>
          <w:sz w:val="20"/>
          <w:szCs w:val="20"/>
        </w:rPr>
        <w:t>його стану</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усталеному</w:t>
      </w:r>
      <w:r w:rsidRPr="000977F7">
        <w:rPr>
          <w:rFonts w:asciiTheme="majorHAnsi" w:hAnsiTheme="majorHAnsi"/>
          <w:spacing w:val="-5"/>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перехідному</w:t>
      </w:r>
      <w:r w:rsidRPr="000977F7">
        <w:rPr>
          <w:rFonts w:asciiTheme="majorHAnsi" w:hAnsiTheme="majorHAnsi"/>
          <w:spacing w:val="-5"/>
          <w:sz w:val="20"/>
          <w:szCs w:val="20"/>
        </w:rPr>
        <w:t xml:space="preserve"> </w:t>
      </w:r>
      <w:r w:rsidRPr="000977F7">
        <w:rPr>
          <w:rFonts w:asciiTheme="majorHAnsi" w:hAnsiTheme="majorHAnsi"/>
          <w:sz w:val="20"/>
          <w:szCs w:val="20"/>
        </w:rPr>
        <w:t>режимі</w:t>
      </w:r>
    </w:p>
    <w:p w14:paraId="1EA9FEA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1"/>
          <w:sz w:val="20"/>
          <w:szCs w:val="20"/>
        </w:rPr>
        <w:t xml:space="preserve"> </w:t>
      </w:r>
      <w:r w:rsidRPr="000977F7">
        <w:rPr>
          <w:rFonts w:asciiTheme="majorHAnsi" w:hAnsiTheme="majorHAnsi"/>
          <w:sz w:val="20"/>
          <w:szCs w:val="20"/>
        </w:rPr>
        <w:t>−</w:t>
      </w:r>
      <w:r w:rsidRPr="000977F7">
        <w:rPr>
          <w:rFonts w:asciiTheme="majorHAnsi" w:hAnsiTheme="majorHAnsi"/>
          <w:spacing w:val="-2"/>
          <w:sz w:val="20"/>
          <w:szCs w:val="20"/>
        </w:rPr>
        <w:t xml:space="preserve"> </w:t>
      </w:r>
      <w:r w:rsidRPr="000977F7">
        <w:rPr>
          <w:rFonts w:asciiTheme="majorHAnsi" w:hAnsiTheme="majorHAnsi"/>
          <w:i/>
          <w:sz w:val="20"/>
          <w:szCs w:val="20"/>
        </w:rPr>
        <w:t>2000</w:t>
      </w:r>
    </w:p>
    <w:p w14:paraId="7A9A7CB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ДИНАМІЧНА</w:t>
      </w:r>
      <w:r w:rsidRPr="000977F7">
        <w:rPr>
          <w:color w:val="auto"/>
          <w:spacing w:val="-7"/>
          <w:sz w:val="20"/>
          <w:szCs w:val="20"/>
        </w:rPr>
        <w:t xml:space="preserve"> </w:t>
      </w:r>
      <w:r w:rsidRPr="000977F7">
        <w:rPr>
          <w:color w:val="auto"/>
          <w:sz w:val="20"/>
          <w:szCs w:val="20"/>
        </w:rPr>
        <w:t>ХАРАКТЕРИСТИКА</w:t>
      </w:r>
      <w:r w:rsidRPr="000977F7">
        <w:rPr>
          <w:color w:val="auto"/>
          <w:spacing w:val="-7"/>
          <w:sz w:val="20"/>
          <w:szCs w:val="20"/>
        </w:rPr>
        <w:t xml:space="preserve"> </w:t>
      </w:r>
      <w:r w:rsidRPr="000977F7">
        <w:rPr>
          <w:color w:val="auto"/>
          <w:sz w:val="20"/>
          <w:szCs w:val="20"/>
        </w:rPr>
        <w:t>ПРАВИЛ</w:t>
      </w:r>
    </w:p>
    <w:p w14:paraId="13AF7FF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ЗМІНИ ПЛАНУ ВИБІРКОВОГО КОНТРОЛЮ –</w:t>
      </w:r>
      <w:r w:rsidRPr="000977F7">
        <w:rPr>
          <w:rFonts w:asciiTheme="majorHAnsi" w:hAnsiTheme="majorHAnsi"/>
          <w:b/>
          <w:spacing w:val="-47"/>
          <w:sz w:val="20"/>
          <w:szCs w:val="20"/>
        </w:rPr>
        <w:t xml:space="preserve"> </w:t>
      </w:r>
      <w:r w:rsidRPr="000977F7">
        <w:rPr>
          <w:rFonts w:asciiTheme="majorHAnsi" w:hAnsiTheme="majorHAnsi"/>
          <w:sz w:val="20"/>
          <w:szCs w:val="20"/>
        </w:rPr>
        <w:t>DYNAMIC</w:t>
      </w:r>
      <w:r w:rsidRPr="000977F7">
        <w:rPr>
          <w:rFonts w:asciiTheme="majorHAnsi" w:hAnsiTheme="majorHAnsi"/>
          <w:spacing w:val="1"/>
          <w:sz w:val="20"/>
          <w:szCs w:val="20"/>
        </w:rPr>
        <w:t xml:space="preserve"> </w:t>
      </w:r>
      <w:r w:rsidRPr="000977F7">
        <w:rPr>
          <w:rFonts w:asciiTheme="majorHAnsi" w:hAnsiTheme="majorHAnsi"/>
          <w:sz w:val="20"/>
          <w:szCs w:val="20"/>
        </w:rPr>
        <w:t>CHARACTERISTIK OF THE</w:t>
      </w:r>
      <w:r w:rsidRPr="000977F7">
        <w:rPr>
          <w:rFonts w:asciiTheme="majorHAnsi" w:hAnsiTheme="majorHAnsi"/>
          <w:spacing w:val="1"/>
          <w:sz w:val="20"/>
          <w:szCs w:val="20"/>
        </w:rPr>
        <w:t xml:space="preserve"> </w:t>
      </w:r>
      <w:r w:rsidRPr="000977F7">
        <w:rPr>
          <w:rFonts w:asciiTheme="majorHAnsi" w:hAnsiTheme="majorHAnsi"/>
          <w:sz w:val="20"/>
          <w:szCs w:val="20"/>
        </w:rPr>
        <w:t>PROCEDURE FOR CHANGING THE SAMPLING</w:t>
      </w:r>
      <w:r w:rsidRPr="000977F7">
        <w:rPr>
          <w:rFonts w:asciiTheme="majorHAnsi" w:hAnsiTheme="majorHAnsi"/>
          <w:spacing w:val="1"/>
          <w:sz w:val="20"/>
          <w:szCs w:val="20"/>
        </w:rPr>
        <w:t xml:space="preserve"> </w:t>
      </w:r>
      <w:r w:rsidRPr="000977F7">
        <w:rPr>
          <w:rFonts w:asciiTheme="majorHAnsi" w:hAnsiTheme="majorHAnsi"/>
          <w:sz w:val="20"/>
          <w:szCs w:val="20"/>
        </w:rPr>
        <w:t>PLAN –</w:t>
      </w:r>
    </w:p>
    <w:p w14:paraId="4ECC76B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Виражена</w:t>
      </w:r>
      <w:r w:rsidRPr="000977F7">
        <w:rPr>
          <w:rFonts w:asciiTheme="majorHAnsi" w:hAnsiTheme="majorHAnsi"/>
          <w:spacing w:val="1"/>
          <w:sz w:val="20"/>
          <w:szCs w:val="20"/>
        </w:rPr>
        <w:t xml:space="preserve"> </w:t>
      </w:r>
      <w:r w:rsidRPr="000977F7">
        <w:rPr>
          <w:rFonts w:asciiTheme="majorHAnsi" w:hAnsiTheme="majorHAnsi"/>
          <w:sz w:val="20"/>
          <w:szCs w:val="20"/>
        </w:rPr>
        <w:t>рівнянням,</w:t>
      </w:r>
      <w:r w:rsidRPr="000977F7">
        <w:rPr>
          <w:rFonts w:asciiTheme="majorHAnsi" w:hAnsiTheme="majorHAnsi"/>
          <w:spacing w:val="1"/>
          <w:sz w:val="20"/>
          <w:szCs w:val="20"/>
        </w:rPr>
        <w:t xml:space="preserve"> </w:t>
      </w:r>
      <w:r w:rsidRPr="000977F7">
        <w:rPr>
          <w:rFonts w:asciiTheme="majorHAnsi" w:hAnsiTheme="majorHAnsi"/>
          <w:sz w:val="20"/>
          <w:szCs w:val="20"/>
        </w:rPr>
        <w:t>графіком</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таблицею</w:t>
      </w:r>
      <w:r w:rsidRPr="000977F7">
        <w:rPr>
          <w:rFonts w:asciiTheme="majorHAnsi" w:hAnsiTheme="majorHAnsi"/>
          <w:spacing w:val="1"/>
          <w:sz w:val="20"/>
          <w:szCs w:val="20"/>
        </w:rPr>
        <w:t xml:space="preserve"> </w:t>
      </w:r>
      <w:r w:rsidRPr="000977F7">
        <w:rPr>
          <w:rFonts w:asciiTheme="majorHAnsi" w:hAnsiTheme="majorHAnsi"/>
          <w:sz w:val="20"/>
          <w:szCs w:val="20"/>
        </w:rPr>
        <w:t>залежність імовірності зміни плану вибіркового контролю</w:t>
      </w:r>
      <w:r w:rsidRPr="000977F7">
        <w:rPr>
          <w:rFonts w:asciiTheme="majorHAnsi" w:hAnsiTheme="majorHAnsi"/>
          <w:spacing w:val="1"/>
          <w:sz w:val="20"/>
          <w:szCs w:val="20"/>
        </w:rPr>
        <w:t xml:space="preserve"> </w:t>
      </w:r>
      <w:r w:rsidRPr="000977F7">
        <w:rPr>
          <w:rFonts w:asciiTheme="majorHAnsi" w:hAnsiTheme="majorHAnsi"/>
          <w:sz w:val="20"/>
          <w:szCs w:val="20"/>
        </w:rPr>
        <w:t>від кількості прийнятих партій продукції за</w:t>
      </w:r>
      <w:r w:rsidRPr="000977F7">
        <w:rPr>
          <w:rFonts w:asciiTheme="majorHAnsi" w:hAnsiTheme="majorHAnsi"/>
          <w:spacing w:val="1"/>
          <w:sz w:val="20"/>
          <w:szCs w:val="20"/>
        </w:rPr>
        <w:t xml:space="preserve"> </w:t>
      </w:r>
      <w:r w:rsidRPr="000977F7">
        <w:rPr>
          <w:rFonts w:asciiTheme="majorHAnsi" w:hAnsiTheme="majorHAnsi"/>
          <w:sz w:val="20"/>
          <w:szCs w:val="20"/>
        </w:rPr>
        <w:t>заданого</w:t>
      </w:r>
      <w:r w:rsidRPr="000977F7">
        <w:rPr>
          <w:rFonts w:asciiTheme="majorHAnsi" w:hAnsiTheme="majorHAnsi"/>
          <w:spacing w:val="1"/>
          <w:sz w:val="20"/>
          <w:szCs w:val="20"/>
        </w:rPr>
        <w:t xml:space="preserve"> </w:t>
      </w:r>
      <w:r w:rsidRPr="000977F7">
        <w:rPr>
          <w:rFonts w:asciiTheme="majorHAnsi" w:hAnsiTheme="majorHAnsi"/>
          <w:sz w:val="20"/>
          <w:szCs w:val="20"/>
        </w:rPr>
        <w:t>вхідного рівня</w:t>
      </w:r>
      <w:r w:rsidRPr="000977F7">
        <w:rPr>
          <w:rFonts w:asciiTheme="majorHAnsi" w:hAnsiTheme="majorHAnsi"/>
          <w:spacing w:val="-2"/>
          <w:sz w:val="20"/>
          <w:szCs w:val="20"/>
        </w:rPr>
        <w:t xml:space="preserve"> </w:t>
      </w:r>
      <w:r w:rsidRPr="000977F7">
        <w:rPr>
          <w:rFonts w:asciiTheme="majorHAnsi" w:hAnsiTheme="majorHAnsi"/>
          <w:sz w:val="20"/>
          <w:szCs w:val="20"/>
        </w:rPr>
        <w:t>дефектності</w:t>
      </w:r>
      <w:r w:rsidRPr="000977F7">
        <w:rPr>
          <w:rFonts w:asciiTheme="majorHAnsi" w:hAnsiTheme="majorHAnsi"/>
          <w:spacing w:val="-1"/>
          <w:sz w:val="20"/>
          <w:szCs w:val="20"/>
        </w:rPr>
        <w:t xml:space="preserve"> </w:t>
      </w:r>
      <w:r w:rsidRPr="000977F7">
        <w:rPr>
          <w:rFonts w:asciiTheme="majorHAnsi" w:hAnsiTheme="majorHAnsi"/>
          <w:sz w:val="20"/>
          <w:szCs w:val="20"/>
        </w:rPr>
        <w:t>кожної</w:t>
      </w:r>
      <w:r w:rsidRPr="000977F7">
        <w:rPr>
          <w:rFonts w:asciiTheme="majorHAnsi" w:hAnsiTheme="majorHAnsi"/>
          <w:spacing w:val="1"/>
          <w:sz w:val="20"/>
          <w:szCs w:val="20"/>
        </w:rPr>
        <w:t xml:space="preserve"> </w:t>
      </w:r>
      <w:r w:rsidRPr="000977F7">
        <w:rPr>
          <w:rFonts w:asciiTheme="majorHAnsi" w:hAnsiTheme="majorHAnsi"/>
          <w:sz w:val="20"/>
          <w:szCs w:val="20"/>
        </w:rPr>
        <w:t>партії</w:t>
      </w:r>
    </w:p>
    <w:p w14:paraId="14F2A0A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3B0AB2B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ДИНАМІЧНЕ</w:t>
      </w:r>
      <w:r w:rsidRPr="000977F7">
        <w:rPr>
          <w:color w:val="auto"/>
          <w:spacing w:val="-5"/>
          <w:sz w:val="20"/>
          <w:szCs w:val="20"/>
        </w:rPr>
        <w:t xml:space="preserve"> </w:t>
      </w:r>
      <w:r w:rsidRPr="000977F7">
        <w:rPr>
          <w:color w:val="auto"/>
          <w:sz w:val="20"/>
          <w:szCs w:val="20"/>
        </w:rPr>
        <w:t>ВИМІРЮВАННЯ –</w:t>
      </w:r>
    </w:p>
    <w:p w14:paraId="2475D9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DYNAMIC</w:t>
      </w:r>
      <w:r w:rsidRPr="000977F7">
        <w:rPr>
          <w:rFonts w:asciiTheme="majorHAnsi" w:hAnsiTheme="majorHAnsi"/>
          <w:spacing w:val="-3"/>
          <w:sz w:val="20"/>
          <w:szCs w:val="20"/>
        </w:rPr>
        <w:t xml:space="preserve"> </w:t>
      </w:r>
      <w:r w:rsidRPr="000977F7">
        <w:rPr>
          <w:rFonts w:asciiTheme="majorHAnsi" w:hAnsiTheme="majorHAnsi"/>
          <w:sz w:val="20"/>
          <w:szCs w:val="20"/>
        </w:rPr>
        <w:t>MEASUREMENT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8208C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Вимірювання величини, що змінюється за час вимірювань</w:t>
      </w:r>
    </w:p>
    <w:p w14:paraId="73CBD05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D039A4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ДИНАМІЧНЕ</w:t>
      </w:r>
      <w:r w:rsidRPr="000977F7">
        <w:rPr>
          <w:color w:val="auto"/>
          <w:spacing w:val="-4"/>
          <w:sz w:val="20"/>
          <w:szCs w:val="20"/>
        </w:rPr>
        <w:t xml:space="preserve"> </w:t>
      </w:r>
      <w:r w:rsidRPr="000977F7">
        <w:rPr>
          <w:color w:val="auto"/>
          <w:sz w:val="20"/>
          <w:szCs w:val="20"/>
        </w:rPr>
        <w:t>ДІЯННЯ</w:t>
      </w:r>
      <w:r w:rsidRPr="000977F7">
        <w:rPr>
          <w:color w:val="auto"/>
          <w:spacing w:val="-3"/>
          <w:sz w:val="20"/>
          <w:szCs w:val="20"/>
        </w:rPr>
        <w:t xml:space="preserve"> </w:t>
      </w:r>
      <w:r w:rsidRPr="000977F7">
        <w:rPr>
          <w:color w:val="auto"/>
          <w:sz w:val="20"/>
          <w:szCs w:val="20"/>
        </w:rPr>
        <w:t>−</w:t>
      </w:r>
    </w:p>
    <w:p w14:paraId="3E4364F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DYNAMIC</w:t>
      </w:r>
      <w:r w:rsidRPr="000977F7">
        <w:rPr>
          <w:rFonts w:asciiTheme="majorHAnsi" w:hAnsiTheme="majorHAnsi"/>
          <w:spacing w:val="-3"/>
          <w:sz w:val="20"/>
          <w:szCs w:val="20"/>
        </w:rPr>
        <w:t xml:space="preserve"> </w:t>
      </w:r>
      <w:r w:rsidRPr="000977F7">
        <w:rPr>
          <w:rFonts w:asciiTheme="majorHAnsi" w:hAnsiTheme="majorHAnsi"/>
          <w:sz w:val="20"/>
          <w:szCs w:val="20"/>
        </w:rPr>
        <w:t>ACTION</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3A84843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Діяння, зміна якого ототожнюється із зміною певного</w:t>
      </w:r>
      <w:r w:rsidRPr="000977F7">
        <w:rPr>
          <w:rFonts w:asciiTheme="majorHAnsi" w:hAnsiTheme="majorHAnsi"/>
          <w:spacing w:val="1"/>
          <w:sz w:val="20"/>
          <w:szCs w:val="20"/>
        </w:rPr>
        <w:t xml:space="preserve"> </w:t>
      </w:r>
      <w:r w:rsidRPr="000977F7">
        <w:rPr>
          <w:rFonts w:asciiTheme="majorHAnsi" w:hAnsiTheme="majorHAnsi"/>
          <w:sz w:val="20"/>
          <w:szCs w:val="20"/>
        </w:rPr>
        <w:t>параметра, що характеризує зміну в часі значення дієвої</w:t>
      </w:r>
      <w:r w:rsidRPr="000977F7">
        <w:rPr>
          <w:rFonts w:asciiTheme="majorHAnsi" w:hAnsiTheme="majorHAnsi"/>
          <w:spacing w:val="-2"/>
          <w:sz w:val="20"/>
          <w:szCs w:val="20"/>
        </w:rPr>
        <w:t xml:space="preserve"> </w:t>
      </w:r>
      <w:r w:rsidRPr="000977F7">
        <w:rPr>
          <w:rFonts w:asciiTheme="majorHAnsi" w:hAnsiTheme="majorHAnsi"/>
          <w:sz w:val="20"/>
          <w:szCs w:val="20"/>
        </w:rPr>
        <w:t>величини</w:t>
      </w:r>
    </w:p>
    <w:p w14:paraId="08CFEA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B761B84"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динамічне</w:t>
      </w:r>
      <w:r w:rsidRPr="000977F7">
        <w:rPr>
          <w:rFonts w:asciiTheme="majorHAnsi" w:hAnsiTheme="majorHAnsi"/>
          <w:spacing w:val="1"/>
          <w:sz w:val="20"/>
          <w:szCs w:val="20"/>
        </w:rPr>
        <w:t xml:space="preserve"> </w:t>
      </w:r>
      <w:r w:rsidRPr="000977F7">
        <w:rPr>
          <w:rFonts w:asciiTheme="majorHAnsi" w:hAnsiTheme="majorHAnsi"/>
          <w:sz w:val="20"/>
          <w:szCs w:val="20"/>
        </w:rPr>
        <w:t>діяння</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вигляді</w:t>
      </w:r>
      <w:r w:rsidRPr="000977F7">
        <w:rPr>
          <w:rFonts w:asciiTheme="majorHAnsi" w:hAnsiTheme="majorHAnsi"/>
          <w:spacing w:val="1"/>
          <w:sz w:val="20"/>
          <w:szCs w:val="20"/>
        </w:rPr>
        <w:t xml:space="preserve"> </w:t>
      </w:r>
      <w:r w:rsidRPr="000977F7">
        <w:rPr>
          <w:rFonts w:asciiTheme="majorHAnsi" w:hAnsiTheme="majorHAnsi"/>
          <w:sz w:val="20"/>
          <w:szCs w:val="20"/>
        </w:rPr>
        <w:t>синусоїдної</w:t>
      </w:r>
      <w:r w:rsidRPr="000977F7">
        <w:rPr>
          <w:rFonts w:asciiTheme="majorHAnsi" w:hAnsiTheme="majorHAnsi"/>
          <w:spacing w:val="-47"/>
          <w:sz w:val="20"/>
          <w:szCs w:val="20"/>
        </w:rPr>
        <w:t xml:space="preserve"> </w:t>
      </w:r>
      <w:r w:rsidRPr="000977F7">
        <w:rPr>
          <w:rFonts w:asciiTheme="majorHAnsi" w:hAnsiTheme="majorHAnsi"/>
          <w:sz w:val="20"/>
          <w:szCs w:val="20"/>
        </w:rPr>
        <w:t>вібрації</w:t>
      </w:r>
      <w:r w:rsidRPr="000977F7">
        <w:rPr>
          <w:rFonts w:asciiTheme="majorHAnsi" w:hAnsiTheme="majorHAnsi"/>
          <w:spacing w:val="39"/>
          <w:sz w:val="20"/>
          <w:szCs w:val="20"/>
        </w:rPr>
        <w:t xml:space="preserve"> </w:t>
      </w:r>
      <w:r w:rsidRPr="000977F7">
        <w:rPr>
          <w:rFonts w:asciiTheme="majorHAnsi" w:hAnsiTheme="majorHAnsi"/>
          <w:sz w:val="20"/>
          <w:szCs w:val="20"/>
        </w:rPr>
        <w:t>вважається</w:t>
      </w:r>
      <w:r w:rsidRPr="000977F7">
        <w:rPr>
          <w:rFonts w:asciiTheme="majorHAnsi" w:hAnsiTheme="majorHAnsi"/>
          <w:spacing w:val="37"/>
          <w:sz w:val="20"/>
          <w:szCs w:val="20"/>
        </w:rPr>
        <w:t xml:space="preserve"> </w:t>
      </w:r>
      <w:r w:rsidRPr="000977F7">
        <w:rPr>
          <w:rFonts w:asciiTheme="majorHAnsi" w:hAnsiTheme="majorHAnsi"/>
          <w:sz w:val="20"/>
          <w:szCs w:val="20"/>
        </w:rPr>
        <w:t>незмінним,</w:t>
      </w:r>
      <w:r w:rsidRPr="000977F7">
        <w:rPr>
          <w:rFonts w:asciiTheme="majorHAnsi" w:hAnsiTheme="majorHAnsi"/>
          <w:spacing w:val="37"/>
          <w:sz w:val="20"/>
          <w:szCs w:val="20"/>
        </w:rPr>
        <w:t xml:space="preserve"> </w:t>
      </w:r>
      <w:r w:rsidRPr="000977F7">
        <w:rPr>
          <w:rFonts w:asciiTheme="majorHAnsi" w:hAnsiTheme="majorHAnsi"/>
          <w:sz w:val="20"/>
          <w:szCs w:val="20"/>
        </w:rPr>
        <w:t>якщо</w:t>
      </w:r>
      <w:r w:rsidRPr="000977F7">
        <w:rPr>
          <w:rFonts w:asciiTheme="majorHAnsi" w:hAnsiTheme="majorHAnsi"/>
          <w:spacing w:val="38"/>
          <w:sz w:val="20"/>
          <w:szCs w:val="20"/>
        </w:rPr>
        <w:t xml:space="preserve"> </w:t>
      </w:r>
      <w:r w:rsidRPr="000977F7">
        <w:rPr>
          <w:rFonts w:asciiTheme="majorHAnsi" w:hAnsiTheme="majorHAnsi"/>
          <w:sz w:val="20"/>
          <w:szCs w:val="20"/>
        </w:rPr>
        <w:t>зберігаються</w:t>
      </w:r>
      <w:r w:rsidRPr="000977F7">
        <w:rPr>
          <w:rFonts w:asciiTheme="majorHAnsi" w:hAnsiTheme="majorHAnsi"/>
          <w:spacing w:val="-47"/>
          <w:sz w:val="20"/>
          <w:szCs w:val="20"/>
        </w:rPr>
        <w:t xml:space="preserve"> </w:t>
      </w:r>
      <w:r w:rsidRPr="000977F7">
        <w:rPr>
          <w:rFonts w:asciiTheme="majorHAnsi" w:hAnsiTheme="majorHAnsi"/>
          <w:sz w:val="20"/>
          <w:szCs w:val="20"/>
        </w:rPr>
        <w:t>параметри</w:t>
      </w:r>
      <w:r w:rsidRPr="000977F7">
        <w:rPr>
          <w:rFonts w:asciiTheme="majorHAnsi" w:hAnsiTheme="majorHAnsi"/>
          <w:spacing w:val="5"/>
          <w:sz w:val="20"/>
          <w:szCs w:val="20"/>
        </w:rPr>
        <w:t xml:space="preserve"> </w:t>
      </w:r>
      <w:r w:rsidRPr="000977F7">
        <w:rPr>
          <w:rFonts w:asciiTheme="majorHAnsi" w:hAnsiTheme="majorHAnsi"/>
          <w:sz w:val="20"/>
          <w:szCs w:val="20"/>
        </w:rPr>
        <w:t>(амплітуда,</w:t>
      </w:r>
      <w:r w:rsidRPr="000977F7">
        <w:rPr>
          <w:rFonts w:asciiTheme="majorHAnsi" w:hAnsiTheme="majorHAnsi"/>
          <w:spacing w:val="8"/>
          <w:sz w:val="20"/>
          <w:szCs w:val="20"/>
        </w:rPr>
        <w:t xml:space="preserve"> </w:t>
      </w:r>
      <w:r w:rsidRPr="000977F7">
        <w:rPr>
          <w:rFonts w:asciiTheme="majorHAnsi" w:hAnsiTheme="majorHAnsi"/>
          <w:sz w:val="20"/>
          <w:szCs w:val="20"/>
        </w:rPr>
        <w:t>частота),</w:t>
      </w:r>
      <w:r w:rsidRPr="000977F7">
        <w:rPr>
          <w:rFonts w:asciiTheme="majorHAnsi" w:hAnsiTheme="majorHAnsi"/>
          <w:spacing w:val="6"/>
          <w:sz w:val="20"/>
          <w:szCs w:val="20"/>
        </w:rPr>
        <w:t xml:space="preserve"> </w:t>
      </w:r>
      <w:r w:rsidRPr="000977F7">
        <w:rPr>
          <w:rFonts w:asciiTheme="majorHAnsi" w:hAnsiTheme="majorHAnsi"/>
          <w:sz w:val="20"/>
          <w:szCs w:val="20"/>
        </w:rPr>
        <w:t>які</w:t>
      </w:r>
      <w:r w:rsidRPr="000977F7">
        <w:rPr>
          <w:rFonts w:asciiTheme="majorHAnsi" w:hAnsiTheme="majorHAnsi"/>
          <w:spacing w:val="8"/>
          <w:sz w:val="20"/>
          <w:szCs w:val="20"/>
        </w:rPr>
        <w:t xml:space="preserve"> </w:t>
      </w:r>
      <w:r w:rsidRPr="000977F7">
        <w:rPr>
          <w:rFonts w:asciiTheme="majorHAnsi" w:hAnsiTheme="majorHAnsi"/>
          <w:sz w:val="20"/>
          <w:szCs w:val="20"/>
        </w:rPr>
        <w:t>характеризують</w:t>
      </w:r>
      <w:r w:rsidRPr="000977F7">
        <w:rPr>
          <w:rFonts w:asciiTheme="majorHAnsi" w:hAnsiTheme="majorHAnsi"/>
          <w:spacing w:val="-47"/>
          <w:sz w:val="20"/>
          <w:szCs w:val="20"/>
        </w:rPr>
        <w:t xml:space="preserve"> </w:t>
      </w:r>
      <w:r w:rsidRPr="000977F7">
        <w:rPr>
          <w:rFonts w:asciiTheme="majorHAnsi" w:hAnsiTheme="majorHAnsi"/>
          <w:sz w:val="20"/>
          <w:szCs w:val="20"/>
        </w:rPr>
        <w:t>зміни в часі дієвої величини (механічного зміщення)</w:t>
      </w:r>
      <w:r w:rsidRPr="000977F7">
        <w:rPr>
          <w:rFonts w:asciiTheme="majorHAnsi" w:hAnsiTheme="majorHAns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2000</w:t>
      </w:r>
    </w:p>
    <w:p w14:paraId="6D0A4E3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ДИНАМІЧНЕ</w:t>
      </w:r>
      <w:r w:rsidRPr="000977F7">
        <w:rPr>
          <w:color w:val="auto"/>
          <w:spacing w:val="-6"/>
          <w:sz w:val="20"/>
          <w:szCs w:val="20"/>
        </w:rPr>
        <w:t xml:space="preserve"> </w:t>
      </w:r>
      <w:r w:rsidRPr="000977F7">
        <w:rPr>
          <w:color w:val="auto"/>
          <w:sz w:val="20"/>
          <w:szCs w:val="20"/>
        </w:rPr>
        <w:t>НАВАНТАЖУВАННЯ</w:t>
      </w:r>
      <w:r w:rsidRPr="000977F7">
        <w:rPr>
          <w:color w:val="auto"/>
          <w:spacing w:val="-3"/>
          <w:sz w:val="20"/>
          <w:szCs w:val="20"/>
        </w:rPr>
        <w:t xml:space="preserve"> </w:t>
      </w:r>
      <w:r w:rsidRPr="000977F7">
        <w:rPr>
          <w:color w:val="auto"/>
          <w:sz w:val="20"/>
          <w:szCs w:val="20"/>
        </w:rPr>
        <w:t>–</w:t>
      </w:r>
    </w:p>
    <w:p w14:paraId="3F68C90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DYNAMIC</w:t>
      </w:r>
      <w:r w:rsidRPr="000977F7">
        <w:rPr>
          <w:rFonts w:asciiTheme="majorHAnsi" w:hAnsiTheme="majorHAnsi"/>
          <w:spacing w:val="-2"/>
          <w:sz w:val="20"/>
          <w:szCs w:val="20"/>
        </w:rPr>
        <w:t xml:space="preserve"> </w:t>
      </w:r>
      <w:r w:rsidRPr="000977F7">
        <w:rPr>
          <w:rFonts w:asciiTheme="majorHAnsi" w:hAnsiTheme="majorHAnsi"/>
          <w:sz w:val="20"/>
          <w:szCs w:val="20"/>
        </w:rPr>
        <w:t>LOADING</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1F54B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Навантажування, що супроводжується прискоренням</w:t>
      </w:r>
      <w:r w:rsidRPr="000977F7">
        <w:rPr>
          <w:rFonts w:asciiTheme="majorHAnsi" w:hAnsiTheme="majorHAnsi"/>
          <w:spacing w:val="-47"/>
          <w:sz w:val="20"/>
          <w:szCs w:val="20"/>
        </w:rPr>
        <w:t xml:space="preserve"> </w:t>
      </w:r>
      <w:r w:rsidRPr="000977F7">
        <w:rPr>
          <w:rFonts w:asciiTheme="majorHAnsi" w:hAnsiTheme="majorHAnsi"/>
          <w:sz w:val="20"/>
          <w:szCs w:val="20"/>
        </w:rPr>
        <w:t>відносного руху</w:t>
      </w:r>
      <w:r w:rsidRPr="000977F7">
        <w:rPr>
          <w:rFonts w:asciiTheme="majorHAnsi" w:hAnsiTheme="majorHAnsi"/>
          <w:spacing w:val="-1"/>
          <w:sz w:val="20"/>
          <w:szCs w:val="20"/>
        </w:rPr>
        <w:t xml:space="preserve"> </w:t>
      </w:r>
      <w:r w:rsidRPr="000977F7">
        <w:rPr>
          <w:rFonts w:asciiTheme="majorHAnsi" w:hAnsiTheme="majorHAnsi"/>
          <w:sz w:val="20"/>
          <w:szCs w:val="20"/>
        </w:rPr>
        <w:t>точок</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2A6779F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EBEA63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ДИНАМІЧНИЙ ВІДБІР ВИБОРОК (ПРОБ) </w:t>
      </w:r>
      <w:r w:rsidRPr="000977F7">
        <w:rPr>
          <w:rFonts w:asciiTheme="majorHAnsi" w:hAnsiTheme="majorHAnsi"/>
          <w:sz w:val="20"/>
          <w:szCs w:val="20"/>
        </w:rPr>
        <w:t>–</w:t>
      </w:r>
      <w:r w:rsidRPr="000977F7">
        <w:rPr>
          <w:rFonts w:asciiTheme="majorHAnsi" w:hAnsiTheme="majorHAnsi"/>
          <w:spacing w:val="-47"/>
          <w:sz w:val="20"/>
          <w:szCs w:val="20"/>
        </w:rPr>
        <w:t xml:space="preserve"> </w:t>
      </w:r>
      <w:r w:rsidRPr="000977F7">
        <w:rPr>
          <w:rFonts w:asciiTheme="majorHAnsi" w:hAnsiTheme="majorHAnsi"/>
          <w:sz w:val="20"/>
          <w:szCs w:val="20"/>
        </w:rPr>
        <w:t>DYNAMIC</w:t>
      </w:r>
      <w:r w:rsidRPr="000977F7">
        <w:rPr>
          <w:rFonts w:asciiTheme="majorHAnsi" w:hAnsiTheme="majorHAnsi"/>
          <w:spacing w:val="-2"/>
          <w:sz w:val="20"/>
          <w:szCs w:val="20"/>
        </w:rPr>
        <w:t xml:space="preserve"> </w:t>
      </w:r>
      <w:r w:rsidRPr="000977F7">
        <w:rPr>
          <w:rFonts w:asciiTheme="majorHAnsi" w:hAnsiTheme="majorHAnsi"/>
          <w:sz w:val="20"/>
          <w:szCs w:val="20"/>
        </w:rPr>
        <w:t>SAMPLING</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2FB494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Відбір, при якому одиниці продукції або її частки відбирають</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3"/>
          <w:sz w:val="20"/>
          <w:szCs w:val="20"/>
        </w:rPr>
        <w:t xml:space="preserve"> </w:t>
      </w:r>
      <w:r w:rsidRPr="000977F7">
        <w:rPr>
          <w:rFonts w:asciiTheme="majorHAnsi" w:hAnsiTheme="majorHAnsi"/>
          <w:sz w:val="20"/>
          <w:szCs w:val="20"/>
        </w:rPr>
        <w:t>потоку</w:t>
      </w:r>
    </w:p>
    <w:p w14:paraId="0D36CC3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ДИНАМІЧНИЙ</w:t>
      </w:r>
      <w:r w:rsidRPr="000977F7">
        <w:rPr>
          <w:color w:val="auto"/>
          <w:spacing w:val="44"/>
          <w:sz w:val="20"/>
          <w:szCs w:val="20"/>
        </w:rPr>
        <w:t xml:space="preserve"> </w:t>
      </w:r>
      <w:r w:rsidRPr="000977F7">
        <w:rPr>
          <w:color w:val="auto"/>
          <w:sz w:val="20"/>
          <w:szCs w:val="20"/>
        </w:rPr>
        <w:t>КОЕФІЦІЄНТ</w:t>
      </w:r>
      <w:r w:rsidRPr="000977F7">
        <w:rPr>
          <w:color w:val="auto"/>
          <w:spacing w:val="-4"/>
          <w:sz w:val="20"/>
          <w:szCs w:val="20"/>
        </w:rPr>
        <w:t xml:space="preserve"> </w:t>
      </w:r>
      <w:r w:rsidRPr="000977F7">
        <w:rPr>
          <w:color w:val="auto"/>
          <w:sz w:val="20"/>
          <w:szCs w:val="20"/>
        </w:rPr>
        <w:t>–</w:t>
      </w:r>
    </w:p>
    <w:p w14:paraId="0A45F06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DINAMIC</w:t>
      </w:r>
      <w:r w:rsidRPr="000977F7">
        <w:rPr>
          <w:rFonts w:asciiTheme="majorHAnsi" w:hAnsiTheme="majorHAnsi"/>
          <w:spacing w:val="-2"/>
          <w:sz w:val="20"/>
          <w:szCs w:val="20"/>
        </w:rPr>
        <w:t xml:space="preserve"> </w:t>
      </w:r>
      <w:r w:rsidRPr="000977F7">
        <w:rPr>
          <w:rFonts w:asciiTheme="majorHAnsi" w:hAnsiTheme="majorHAnsi"/>
          <w:sz w:val="20"/>
          <w:szCs w:val="20"/>
        </w:rPr>
        <w:t>FACTOR</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824EB7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середнього квадратичного відхилу випадкового навантажування до абсолютного максимуму,</w:t>
      </w:r>
      <w:r w:rsidRPr="000977F7">
        <w:rPr>
          <w:rFonts w:asciiTheme="majorHAnsi" w:hAnsiTheme="majorHAnsi"/>
          <w:spacing w:val="1"/>
          <w:sz w:val="20"/>
          <w:szCs w:val="20"/>
        </w:rPr>
        <w:t xml:space="preserve"> </w:t>
      </w:r>
      <w:r w:rsidRPr="000977F7">
        <w:rPr>
          <w:rFonts w:asciiTheme="majorHAnsi" w:hAnsiTheme="majorHAnsi"/>
          <w:sz w:val="20"/>
          <w:szCs w:val="20"/>
        </w:rPr>
        <w:t>що відповідає всій тривалості випробувань чи експлуатації</w:t>
      </w:r>
      <w:r w:rsidRPr="000977F7">
        <w:rPr>
          <w:rFonts w:asciiTheme="majorHAnsi" w:hAnsiTheme="majorHAnsi"/>
          <w:spacing w:val="-2"/>
          <w:sz w:val="20"/>
          <w:szCs w:val="20"/>
        </w:rPr>
        <w:t xml:space="preserve"> </w:t>
      </w:r>
      <w:r w:rsidRPr="000977F7">
        <w:rPr>
          <w:rFonts w:asciiTheme="majorHAnsi" w:hAnsiTheme="majorHAnsi"/>
          <w:sz w:val="20"/>
          <w:szCs w:val="20"/>
        </w:rPr>
        <w:t>за однакових</w:t>
      </w:r>
      <w:r w:rsidRPr="000977F7">
        <w:rPr>
          <w:rFonts w:asciiTheme="majorHAnsi" w:hAnsiTheme="majorHAnsi"/>
          <w:spacing w:val="1"/>
          <w:sz w:val="20"/>
          <w:szCs w:val="20"/>
        </w:rPr>
        <w:t xml:space="preserve"> </w:t>
      </w:r>
      <w:r w:rsidRPr="000977F7">
        <w:rPr>
          <w:rFonts w:asciiTheme="majorHAnsi" w:hAnsiTheme="majorHAnsi"/>
          <w:sz w:val="20"/>
          <w:szCs w:val="20"/>
        </w:rPr>
        <w:t>умов</w:t>
      </w:r>
    </w:p>
    <w:p w14:paraId="7B69658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569DD1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ДИНАМІЧНІ</w:t>
      </w:r>
      <w:r w:rsidRPr="000977F7">
        <w:rPr>
          <w:color w:val="auto"/>
          <w:spacing w:val="-6"/>
          <w:sz w:val="20"/>
          <w:szCs w:val="20"/>
        </w:rPr>
        <w:t xml:space="preserve"> </w:t>
      </w:r>
      <w:r w:rsidRPr="000977F7">
        <w:rPr>
          <w:color w:val="auto"/>
          <w:sz w:val="20"/>
          <w:szCs w:val="20"/>
        </w:rPr>
        <w:t>ВИПРОБУВАННЯ</w:t>
      </w:r>
      <w:r w:rsidRPr="000977F7">
        <w:rPr>
          <w:color w:val="auto"/>
          <w:spacing w:val="-2"/>
          <w:sz w:val="20"/>
          <w:szCs w:val="20"/>
        </w:rPr>
        <w:t xml:space="preserve"> </w:t>
      </w:r>
      <w:r w:rsidRPr="000977F7">
        <w:rPr>
          <w:color w:val="auto"/>
          <w:sz w:val="20"/>
          <w:szCs w:val="20"/>
        </w:rPr>
        <w:t>–</w:t>
      </w:r>
    </w:p>
    <w:p w14:paraId="19529E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DYNAMIC</w:t>
      </w:r>
      <w:r w:rsidRPr="000977F7">
        <w:rPr>
          <w:rFonts w:asciiTheme="majorHAnsi" w:hAnsiTheme="majorHAnsi"/>
          <w:spacing w:val="-2"/>
          <w:sz w:val="20"/>
          <w:szCs w:val="20"/>
        </w:rPr>
        <w:t xml:space="preserve"> </w:t>
      </w:r>
      <w:r w:rsidRPr="000977F7">
        <w:rPr>
          <w:rFonts w:asciiTheme="majorHAnsi" w:hAnsiTheme="majorHAnsi"/>
          <w:sz w:val="20"/>
          <w:szCs w:val="20"/>
        </w:rPr>
        <w:t>TEST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1A9D9CE"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Випробування</w:t>
      </w:r>
      <w:r w:rsidRPr="000977F7">
        <w:rPr>
          <w:rFonts w:asciiTheme="majorHAnsi" w:hAnsiTheme="majorHAnsi"/>
          <w:spacing w:val="-9"/>
          <w:sz w:val="20"/>
          <w:szCs w:val="20"/>
        </w:rPr>
        <w:t xml:space="preserve"> </w:t>
      </w:r>
      <w:r w:rsidRPr="000977F7">
        <w:rPr>
          <w:rFonts w:asciiTheme="majorHAnsi" w:hAnsiTheme="majorHAnsi"/>
          <w:sz w:val="20"/>
          <w:szCs w:val="20"/>
        </w:rPr>
        <w:t>об’єкта</w:t>
      </w:r>
      <w:r w:rsidRPr="000977F7">
        <w:rPr>
          <w:rFonts w:asciiTheme="majorHAnsi" w:hAnsiTheme="majorHAnsi"/>
          <w:spacing w:val="-6"/>
          <w:sz w:val="20"/>
          <w:szCs w:val="20"/>
        </w:rPr>
        <w:t xml:space="preserve"> </w:t>
      </w:r>
      <w:r w:rsidRPr="000977F7">
        <w:rPr>
          <w:rFonts w:asciiTheme="majorHAnsi" w:hAnsiTheme="majorHAnsi"/>
          <w:sz w:val="20"/>
          <w:szCs w:val="20"/>
        </w:rPr>
        <w:t>динамічним</w:t>
      </w:r>
      <w:r w:rsidRPr="000977F7">
        <w:rPr>
          <w:rFonts w:asciiTheme="majorHAnsi" w:hAnsiTheme="majorHAnsi"/>
          <w:spacing w:val="-7"/>
          <w:sz w:val="20"/>
          <w:szCs w:val="20"/>
        </w:rPr>
        <w:t xml:space="preserve"> </w:t>
      </w:r>
      <w:r w:rsidRPr="000977F7">
        <w:rPr>
          <w:rFonts w:asciiTheme="majorHAnsi" w:hAnsiTheme="majorHAnsi"/>
          <w:sz w:val="20"/>
          <w:szCs w:val="20"/>
        </w:rPr>
        <w:t>навантажуванням</w:t>
      </w:r>
      <w:r w:rsidRPr="000977F7">
        <w:rPr>
          <w:rFonts w:asciiTheme="majorHAnsi" w:hAnsiTheme="majorHAnsi"/>
          <w:spacing w:val="-47"/>
          <w:sz w:val="20"/>
          <w:szCs w:val="20"/>
        </w:rPr>
        <w:t xml:space="preserve"> </w:t>
      </w:r>
    </w:p>
    <w:p w14:paraId="3C1566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1C06BB4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w:t>
      </w:r>
      <w:r w:rsidRPr="000977F7">
        <w:rPr>
          <w:rFonts w:asciiTheme="majorHAnsi" w:hAnsiTheme="majorHAnsi"/>
          <w:spacing w:val="44"/>
          <w:sz w:val="20"/>
          <w:szCs w:val="20"/>
        </w:rPr>
        <w:t xml:space="preserve"> </w:t>
      </w:r>
      <w:r w:rsidRPr="000977F7">
        <w:rPr>
          <w:rFonts w:asciiTheme="majorHAnsi" w:hAnsiTheme="majorHAnsi"/>
          <w:sz w:val="20"/>
          <w:szCs w:val="20"/>
        </w:rPr>
        <w:t>динамічних</w:t>
      </w:r>
      <w:r w:rsidRPr="000977F7">
        <w:rPr>
          <w:rFonts w:asciiTheme="majorHAnsi" w:hAnsiTheme="majorHAnsi"/>
          <w:spacing w:val="45"/>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44"/>
          <w:sz w:val="20"/>
          <w:szCs w:val="20"/>
        </w:rPr>
        <w:t xml:space="preserve"> </w:t>
      </w:r>
      <w:r w:rsidRPr="000977F7">
        <w:rPr>
          <w:rFonts w:asciiTheme="majorHAnsi" w:hAnsiTheme="majorHAnsi"/>
          <w:sz w:val="20"/>
          <w:szCs w:val="20"/>
        </w:rPr>
        <w:t>належать</w:t>
      </w:r>
      <w:r w:rsidRPr="000977F7">
        <w:rPr>
          <w:rFonts w:asciiTheme="majorHAnsi" w:hAnsiTheme="majorHAnsi"/>
          <w:spacing w:val="44"/>
          <w:sz w:val="20"/>
          <w:szCs w:val="20"/>
        </w:rPr>
        <w:t xml:space="preserve"> </w:t>
      </w:r>
      <w:r w:rsidRPr="000977F7">
        <w:rPr>
          <w:rFonts w:asciiTheme="majorHAnsi" w:hAnsiTheme="majorHAnsi"/>
          <w:sz w:val="20"/>
          <w:szCs w:val="20"/>
        </w:rPr>
        <w:t>також</w:t>
      </w:r>
      <w:r w:rsidRPr="000977F7">
        <w:rPr>
          <w:rFonts w:asciiTheme="majorHAnsi" w:hAnsiTheme="majorHAnsi"/>
          <w:spacing w:val="45"/>
          <w:sz w:val="20"/>
          <w:szCs w:val="20"/>
        </w:rPr>
        <w:t xml:space="preserve"> </w:t>
      </w:r>
      <w:r w:rsidRPr="000977F7">
        <w:rPr>
          <w:rFonts w:asciiTheme="majorHAnsi" w:hAnsiTheme="majorHAnsi"/>
          <w:sz w:val="20"/>
          <w:szCs w:val="20"/>
        </w:rPr>
        <w:t>ударні</w:t>
      </w:r>
      <w:r w:rsidRPr="000977F7">
        <w:rPr>
          <w:rFonts w:asciiTheme="majorHAnsi" w:hAnsiTheme="majorHAnsi"/>
          <w:spacing w:val="-47"/>
          <w:sz w:val="20"/>
          <w:szCs w:val="20"/>
        </w:rPr>
        <w:t xml:space="preserve"> </w:t>
      </w:r>
      <w:r w:rsidRPr="000977F7">
        <w:rPr>
          <w:rFonts w:asciiTheme="majorHAnsi" w:hAnsiTheme="majorHAnsi"/>
          <w:sz w:val="20"/>
          <w:szCs w:val="20"/>
        </w:rPr>
        <w:t>випробування</w:t>
      </w:r>
    </w:p>
    <w:p w14:paraId="494BC40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AAAFDB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ДИСКРЕТИЗАЦІЯ</w:t>
      </w:r>
      <w:r w:rsidRPr="000977F7">
        <w:rPr>
          <w:color w:val="auto"/>
          <w:spacing w:val="-4"/>
          <w:sz w:val="20"/>
          <w:szCs w:val="20"/>
        </w:rPr>
        <w:t xml:space="preserve"> </w:t>
      </w:r>
      <w:r w:rsidRPr="000977F7">
        <w:rPr>
          <w:color w:val="auto"/>
          <w:sz w:val="20"/>
          <w:szCs w:val="20"/>
        </w:rPr>
        <w:t>–</w:t>
      </w:r>
    </w:p>
    <w:p w14:paraId="0CD4BE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DISCRETIZATION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8A0374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Замінення (заміна???) неперервної функції дискретною послідовністю</w:t>
      </w:r>
      <w:r w:rsidRPr="000977F7">
        <w:rPr>
          <w:rFonts w:asciiTheme="majorHAnsi" w:hAnsiTheme="majorHAnsi"/>
          <w:spacing w:val="-2"/>
          <w:sz w:val="20"/>
          <w:szCs w:val="20"/>
        </w:rPr>
        <w:t xml:space="preserve"> </w:t>
      </w:r>
      <w:r w:rsidRPr="000977F7">
        <w:rPr>
          <w:rFonts w:asciiTheme="majorHAnsi" w:hAnsiTheme="majorHAnsi"/>
          <w:sz w:val="20"/>
          <w:szCs w:val="20"/>
        </w:rPr>
        <w:t>числових</w:t>
      </w:r>
      <w:r w:rsidRPr="000977F7">
        <w:rPr>
          <w:rFonts w:asciiTheme="majorHAnsi" w:hAnsiTheme="majorHAnsi"/>
          <w:spacing w:val="-1"/>
          <w:sz w:val="20"/>
          <w:szCs w:val="20"/>
        </w:rPr>
        <w:t xml:space="preserve"> </w:t>
      </w:r>
      <w:r w:rsidRPr="000977F7">
        <w:rPr>
          <w:rFonts w:asciiTheme="majorHAnsi" w:hAnsiTheme="majorHAnsi"/>
          <w:sz w:val="20"/>
          <w:szCs w:val="20"/>
        </w:rPr>
        <w:t>значень</w:t>
      </w:r>
    </w:p>
    <w:p w14:paraId="1574FD1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41DA5C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ДИСКРЕТНИЙ</w:t>
      </w:r>
      <w:r w:rsidRPr="000977F7">
        <w:rPr>
          <w:color w:val="auto"/>
          <w:spacing w:val="-4"/>
          <w:sz w:val="20"/>
          <w:szCs w:val="20"/>
        </w:rPr>
        <w:t xml:space="preserve"> </w:t>
      </w:r>
      <w:r w:rsidRPr="000977F7">
        <w:rPr>
          <w:color w:val="auto"/>
          <w:sz w:val="20"/>
          <w:szCs w:val="20"/>
        </w:rPr>
        <w:t>КОНТРОЛЬ</w:t>
      </w:r>
      <w:r w:rsidRPr="000977F7">
        <w:rPr>
          <w:color w:val="auto"/>
          <w:spacing w:val="-5"/>
          <w:sz w:val="20"/>
          <w:szCs w:val="20"/>
        </w:rPr>
        <w:t xml:space="preserve"> </w:t>
      </w:r>
      <w:r w:rsidRPr="000977F7">
        <w:rPr>
          <w:color w:val="auto"/>
          <w:sz w:val="20"/>
          <w:szCs w:val="20"/>
        </w:rPr>
        <w:t>ПАРАМЕТРА–</w:t>
      </w:r>
    </w:p>
    <w:p w14:paraId="406DC8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w:t>
      </w:r>
      <w:r w:rsidRPr="000977F7">
        <w:rPr>
          <w:rFonts w:asciiTheme="majorHAnsi" w:hAnsiTheme="majorHAnsi"/>
          <w:spacing w:val="15"/>
          <w:sz w:val="20"/>
          <w:szCs w:val="20"/>
        </w:rPr>
        <w:t xml:space="preserve"> </w:t>
      </w:r>
      <w:r w:rsidRPr="000977F7">
        <w:rPr>
          <w:rFonts w:asciiTheme="majorHAnsi" w:hAnsiTheme="majorHAnsi"/>
          <w:sz w:val="20"/>
          <w:szCs w:val="20"/>
        </w:rPr>
        <w:t>параметра,</w:t>
      </w:r>
      <w:r w:rsidRPr="000977F7">
        <w:rPr>
          <w:rFonts w:asciiTheme="majorHAnsi" w:hAnsiTheme="majorHAnsi"/>
          <w:spacing w:val="16"/>
          <w:sz w:val="20"/>
          <w:szCs w:val="20"/>
        </w:rPr>
        <w:t xml:space="preserve"> </w:t>
      </w:r>
      <w:r w:rsidRPr="000977F7">
        <w:rPr>
          <w:rFonts w:asciiTheme="majorHAnsi" w:hAnsiTheme="majorHAnsi"/>
          <w:sz w:val="20"/>
          <w:szCs w:val="20"/>
        </w:rPr>
        <w:t>що</w:t>
      </w:r>
      <w:r w:rsidRPr="000977F7">
        <w:rPr>
          <w:rFonts w:asciiTheme="majorHAnsi" w:hAnsiTheme="majorHAnsi"/>
          <w:spacing w:val="15"/>
          <w:sz w:val="20"/>
          <w:szCs w:val="20"/>
        </w:rPr>
        <w:t xml:space="preserve"> </w:t>
      </w:r>
      <w:r w:rsidRPr="000977F7">
        <w:rPr>
          <w:rFonts w:asciiTheme="majorHAnsi" w:hAnsiTheme="majorHAnsi"/>
          <w:sz w:val="20"/>
          <w:szCs w:val="20"/>
        </w:rPr>
        <w:t>виконується</w:t>
      </w:r>
      <w:r w:rsidRPr="000977F7">
        <w:rPr>
          <w:rFonts w:asciiTheme="majorHAnsi" w:hAnsiTheme="majorHAnsi"/>
          <w:spacing w:val="13"/>
          <w:sz w:val="20"/>
          <w:szCs w:val="20"/>
        </w:rPr>
        <w:t xml:space="preserve"> </w:t>
      </w:r>
      <w:r w:rsidRPr="000977F7">
        <w:rPr>
          <w:rFonts w:asciiTheme="majorHAnsi" w:hAnsiTheme="majorHAnsi"/>
          <w:sz w:val="20"/>
          <w:szCs w:val="20"/>
        </w:rPr>
        <w:t>в</w:t>
      </w:r>
      <w:r w:rsidRPr="000977F7">
        <w:rPr>
          <w:rFonts w:asciiTheme="majorHAnsi" w:hAnsiTheme="majorHAnsi"/>
          <w:spacing w:val="12"/>
          <w:sz w:val="20"/>
          <w:szCs w:val="20"/>
        </w:rPr>
        <w:t xml:space="preserve"> </w:t>
      </w:r>
      <w:r w:rsidRPr="000977F7">
        <w:rPr>
          <w:rFonts w:asciiTheme="majorHAnsi" w:hAnsiTheme="majorHAnsi"/>
          <w:sz w:val="20"/>
          <w:szCs w:val="20"/>
        </w:rPr>
        <w:t>задані</w:t>
      </w:r>
      <w:r w:rsidRPr="000977F7">
        <w:rPr>
          <w:rFonts w:asciiTheme="majorHAnsi" w:hAnsiTheme="majorHAnsi"/>
          <w:spacing w:val="13"/>
          <w:sz w:val="20"/>
          <w:szCs w:val="20"/>
        </w:rPr>
        <w:t xml:space="preserve"> </w:t>
      </w:r>
      <w:r w:rsidRPr="000977F7">
        <w:rPr>
          <w:rFonts w:asciiTheme="majorHAnsi" w:hAnsiTheme="majorHAnsi"/>
          <w:sz w:val="20"/>
          <w:szCs w:val="20"/>
        </w:rPr>
        <w:t>моменти</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4EAC886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ДИСКРЕТНИЙ</w:t>
      </w:r>
      <w:r w:rsidRPr="000977F7">
        <w:rPr>
          <w:color w:val="auto"/>
          <w:spacing w:val="-4"/>
          <w:sz w:val="20"/>
          <w:szCs w:val="20"/>
        </w:rPr>
        <w:t xml:space="preserve"> </w:t>
      </w:r>
      <w:r w:rsidRPr="000977F7">
        <w:rPr>
          <w:color w:val="auto"/>
          <w:sz w:val="20"/>
          <w:szCs w:val="20"/>
        </w:rPr>
        <w:t>СИГНАЛ</w:t>
      </w:r>
      <w:r w:rsidRPr="000977F7">
        <w:rPr>
          <w:color w:val="auto"/>
          <w:spacing w:val="-4"/>
          <w:sz w:val="20"/>
          <w:szCs w:val="20"/>
        </w:rPr>
        <w:t xml:space="preserve"> </w:t>
      </w:r>
      <w:r w:rsidRPr="000977F7">
        <w:rPr>
          <w:color w:val="auto"/>
          <w:sz w:val="20"/>
          <w:szCs w:val="20"/>
        </w:rPr>
        <w:t>−</w:t>
      </w:r>
    </w:p>
    <w:p w14:paraId="4BF9B17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DISCRETE</w:t>
      </w:r>
      <w:r w:rsidRPr="000977F7">
        <w:rPr>
          <w:rFonts w:asciiTheme="majorHAnsi" w:hAnsiTheme="majorHAnsi"/>
          <w:spacing w:val="-4"/>
          <w:sz w:val="20"/>
          <w:szCs w:val="20"/>
        </w:rPr>
        <w:t xml:space="preserve"> </w:t>
      </w:r>
      <w:r w:rsidRPr="000977F7">
        <w:rPr>
          <w:rFonts w:asciiTheme="majorHAnsi" w:hAnsiTheme="majorHAnsi"/>
          <w:sz w:val="20"/>
          <w:szCs w:val="20"/>
        </w:rPr>
        <w:t>SIGNAL</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451AA24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 інформативний параметр якого може набувати одне із скінченного ряду значень, яке відповідає</w:t>
      </w:r>
      <w:r w:rsidRPr="000977F7">
        <w:rPr>
          <w:rFonts w:asciiTheme="majorHAnsi" w:hAnsiTheme="majorHAnsi"/>
          <w:spacing w:val="1"/>
          <w:sz w:val="20"/>
          <w:szCs w:val="20"/>
        </w:rPr>
        <w:t xml:space="preserve"> </w:t>
      </w:r>
      <w:r w:rsidRPr="000977F7">
        <w:rPr>
          <w:rFonts w:asciiTheme="majorHAnsi" w:hAnsiTheme="majorHAnsi"/>
          <w:sz w:val="20"/>
          <w:szCs w:val="20"/>
        </w:rPr>
        <w:t>елементу</w:t>
      </w:r>
      <w:r w:rsidRPr="000977F7">
        <w:rPr>
          <w:rFonts w:asciiTheme="majorHAnsi" w:hAnsiTheme="majorHAnsi"/>
          <w:spacing w:val="-3"/>
          <w:sz w:val="20"/>
          <w:szCs w:val="20"/>
        </w:rPr>
        <w:t xml:space="preserve"> </w:t>
      </w:r>
      <w:r w:rsidRPr="000977F7">
        <w:rPr>
          <w:rFonts w:asciiTheme="majorHAnsi" w:hAnsiTheme="majorHAnsi"/>
          <w:sz w:val="20"/>
          <w:szCs w:val="20"/>
        </w:rPr>
        <w:t>дискретних</w:t>
      </w:r>
      <w:r w:rsidRPr="000977F7">
        <w:rPr>
          <w:rFonts w:asciiTheme="majorHAnsi" w:hAnsiTheme="majorHAnsi"/>
          <w:spacing w:val="-2"/>
          <w:sz w:val="20"/>
          <w:szCs w:val="20"/>
        </w:rPr>
        <w:t xml:space="preserve"> </w:t>
      </w:r>
      <w:r w:rsidRPr="000977F7">
        <w:rPr>
          <w:rFonts w:asciiTheme="majorHAnsi" w:hAnsiTheme="majorHAnsi"/>
          <w:sz w:val="20"/>
          <w:szCs w:val="20"/>
        </w:rPr>
        <w:t>даних,</w:t>
      </w:r>
      <w:r w:rsidRPr="000977F7">
        <w:rPr>
          <w:rFonts w:asciiTheme="majorHAnsi" w:hAnsiTheme="majorHAnsi"/>
          <w:spacing w:val="-1"/>
          <w:sz w:val="20"/>
          <w:szCs w:val="20"/>
        </w:rPr>
        <w:t xml:space="preserve"> </w:t>
      </w:r>
      <w:r w:rsidRPr="000977F7">
        <w:rPr>
          <w:rFonts w:asciiTheme="majorHAnsi" w:hAnsiTheme="majorHAnsi"/>
          <w:sz w:val="20"/>
          <w:szCs w:val="20"/>
        </w:rPr>
        <w:t>що пересилається</w:t>
      </w:r>
    </w:p>
    <w:p w14:paraId="29CFB15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w:t>
      </w:r>
      <w:r w:rsidRPr="000977F7">
        <w:rPr>
          <w:rFonts w:asciiTheme="majorHAnsi" w:hAnsiTheme="majorHAnsi"/>
          <w:i/>
          <w:spacing w:val="-2"/>
          <w:sz w:val="20"/>
          <w:szCs w:val="20"/>
        </w:rPr>
        <w:t xml:space="preserve"> </w:t>
      </w:r>
      <w:r w:rsidRPr="000977F7">
        <w:rPr>
          <w:rFonts w:asciiTheme="majorHAnsi" w:hAnsiTheme="majorHAnsi"/>
          <w:i/>
          <w:sz w:val="20"/>
          <w:szCs w:val="20"/>
        </w:rPr>
        <w:t>2000</w:t>
      </w:r>
    </w:p>
    <w:p w14:paraId="1FD4328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ДИСКРЕТНІ</w:t>
      </w:r>
      <w:r w:rsidRPr="000977F7">
        <w:rPr>
          <w:color w:val="auto"/>
          <w:spacing w:val="-3"/>
          <w:sz w:val="20"/>
          <w:szCs w:val="20"/>
        </w:rPr>
        <w:t xml:space="preserve"> </w:t>
      </w:r>
      <w:r w:rsidRPr="000977F7">
        <w:rPr>
          <w:color w:val="auto"/>
          <w:sz w:val="20"/>
          <w:szCs w:val="20"/>
        </w:rPr>
        <w:t>ДАНІ</w:t>
      </w:r>
      <w:r w:rsidRPr="000977F7">
        <w:rPr>
          <w:color w:val="auto"/>
          <w:spacing w:val="-3"/>
          <w:sz w:val="20"/>
          <w:szCs w:val="20"/>
        </w:rPr>
        <w:t xml:space="preserve"> </w:t>
      </w:r>
      <w:r w:rsidRPr="000977F7">
        <w:rPr>
          <w:color w:val="auto"/>
          <w:sz w:val="20"/>
          <w:szCs w:val="20"/>
        </w:rPr>
        <w:t>−</w:t>
      </w:r>
    </w:p>
    <w:p w14:paraId="2AA219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DISCRETE</w:t>
      </w:r>
      <w:r w:rsidRPr="000977F7">
        <w:rPr>
          <w:rFonts w:asciiTheme="majorHAnsi" w:hAnsiTheme="majorHAnsi"/>
          <w:spacing w:val="-3"/>
          <w:sz w:val="20"/>
          <w:szCs w:val="20"/>
        </w:rPr>
        <w:t xml:space="preserve"> </w:t>
      </w:r>
      <w:r w:rsidRPr="000977F7">
        <w:rPr>
          <w:rFonts w:asciiTheme="majorHAnsi" w:hAnsiTheme="majorHAnsi"/>
          <w:sz w:val="20"/>
          <w:szCs w:val="20"/>
        </w:rPr>
        <w:t>DATA</w:t>
      </w:r>
      <w:r w:rsidRPr="000977F7">
        <w:rPr>
          <w:rFonts w:asciiTheme="majorHAnsi" w:hAnsiTheme="majorHAnsi"/>
          <w:spacing w:val="-6"/>
          <w:sz w:val="20"/>
          <w:szCs w:val="20"/>
        </w:rPr>
        <w:t xml:space="preserve"> </w:t>
      </w:r>
      <w:r w:rsidRPr="000977F7">
        <w:rPr>
          <w:rFonts w:asciiTheme="majorHAnsi" w:hAnsiTheme="majorHAnsi"/>
          <w:sz w:val="20"/>
          <w:szCs w:val="20"/>
        </w:rPr>
        <w:t>−</w:t>
      </w:r>
    </w:p>
    <w:p w14:paraId="27C04FD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Дані,</w:t>
      </w:r>
      <w:r w:rsidRPr="000977F7">
        <w:rPr>
          <w:rFonts w:asciiTheme="majorHAnsi" w:hAnsiTheme="majorHAnsi"/>
          <w:spacing w:val="22"/>
          <w:sz w:val="20"/>
          <w:szCs w:val="20"/>
        </w:rPr>
        <w:t xml:space="preserve"> </w:t>
      </w:r>
      <w:r w:rsidRPr="000977F7">
        <w:rPr>
          <w:rFonts w:asciiTheme="majorHAnsi" w:hAnsiTheme="majorHAnsi"/>
          <w:sz w:val="20"/>
          <w:szCs w:val="20"/>
        </w:rPr>
        <w:t>елементи</w:t>
      </w:r>
      <w:r w:rsidRPr="000977F7">
        <w:rPr>
          <w:rFonts w:asciiTheme="majorHAnsi" w:hAnsiTheme="majorHAnsi"/>
          <w:spacing w:val="21"/>
          <w:sz w:val="20"/>
          <w:szCs w:val="20"/>
        </w:rPr>
        <w:t xml:space="preserve"> </w:t>
      </w:r>
      <w:r w:rsidRPr="000977F7">
        <w:rPr>
          <w:rFonts w:asciiTheme="majorHAnsi" w:hAnsiTheme="majorHAnsi"/>
          <w:sz w:val="20"/>
          <w:szCs w:val="20"/>
        </w:rPr>
        <w:t>яких</w:t>
      </w:r>
      <w:r w:rsidRPr="000977F7">
        <w:rPr>
          <w:rFonts w:asciiTheme="majorHAnsi" w:hAnsiTheme="majorHAnsi"/>
          <w:spacing w:val="21"/>
          <w:sz w:val="20"/>
          <w:szCs w:val="20"/>
        </w:rPr>
        <w:t xml:space="preserve"> </w:t>
      </w:r>
      <w:r w:rsidRPr="000977F7">
        <w:rPr>
          <w:rFonts w:asciiTheme="majorHAnsi" w:hAnsiTheme="majorHAnsi"/>
          <w:sz w:val="20"/>
          <w:szCs w:val="20"/>
        </w:rPr>
        <w:t>вибрано</w:t>
      </w:r>
      <w:r w:rsidRPr="000977F7">
        <w:rPr>
          <w:rFonts w:asciiTheme="majorHAnsi" w:hAnsiTheme="majorHAnsi"/>
          <w:spacing w:val="23"/>
          <w:sz w:val="20"/>
          <w:szCs w:val="20"/>
        </w:rPr>
        <w:t xml:space="preserve"> </w:t>
      </w:r>
      <w:r w:rsidRPr="000977F7">
        <w:rPr>
          <w:rFonts w:asciiTheme="majorHAnsi" w:hAnsiTheme="majorHAnsi"/>
          <w:sz w:val="20"/>
          <w:szCs w:val="20"/>
        </w:rPr>
        <w:t>із</w:t>
      </w:r>
      <w:r w:rsidRPr="000977F7">
        <w:rPr>
          <w:rFonts w:asciiTheme="majorHAnsi" w:hAnsiTheme="majorHAnsi"/>
          <w:spacing w:val="22"/>
          <w:sz w:val="20"/>
          <w:szCs w:val="20"/>
        </w:rPr>
        <w:t xml:space="preserve"> </w:t>
      </w:r>
      <w:r w:rsidRPr="000977F7">
        <w:rPr>
          <w:rFonts w:asciiTheme="majorHAnsi" w:hAnsiTheme="majorHAnsi"/>
          <w:sz w:val="20"/>
          <w:szCs w:val="20"/>
        </w:rPr>
        <w:t>скінченного</w:t>
      </w:r>
      <w:r w:rsidRPr="000977F7">
        <w:rPr>
          <w:rFonts w:asciiTheme="majorHAnsi" w:hAnsiTheme="majorHAnsi"/>
          <w:spacing w:val="24"/>
          <w:sz w:val="20"/>
          <w:szCs w:val="20"/>
        </w:rPr>
        <w:t xml:space="preserve"> </w:t>
      </w:r>
      <w:r w:rsidRPr="000977F7">
        <w:rPr>
          <w:rFonts w:asciiTheme="majorHAnsi" w:hAnsiTheme="majorHAnsi"/>
          <w:sz w:val="20"/>
          <w:szCs w:val="20"/>
        </w:rPr>
        <w:t>ряду</w:t>
      </w:r>
      <w:r w:rsidRPr="000977F7">
        <w:rPr>
          <w:rFonts w:asciiTheme="majorHAnsi" w:hAnsiTheme="majorHAnsi"/>
          <w:spacing w:val="18"/>
          <w:sz w:val="20"/>
          <w:szCs w:val="20"/>
        </w:rPr>
        <w:t xml:space="preserve"> </w:t>
      </w:r>
      <w:r w:rsidRPr="000977F7">
        <w:rPr>
          <w:rFonts w:asciiTheme="majorHAnsi" w:hAnsiTheme="majorHAnsi"/>
          <w:sz w:val="20"/>
          <w:szCs w:val="20"/>
        </w:rPr>
        <w:t>чисел,</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2"/>
          <w:sz w:val="20"/>
          <w:szCs w:val="20"/>
        </w:rPr>
        <w:t xml:space="preserve"> </w:t>
      </w:r>
      <w:r w:rsidRPr="000977F7">
        <w:rPr>
          <w:rFonts w:asciiTheme="majorHAnsi" w:hAnsiTheme="majorHAnsi"/>
          <w:sz w:val="20"/>
          <w:szCs w:val="20"/>
        </w:rPr>
        <w:t>чітко відрізняються</w:t>
      </w:r>
      <w:r w:rsidRPr="000977F7">
        <w:rPr>
          <w:rFonts w:asciiTheme="majorHAnsi" w:hAnsiTheme="majorHAnsi"/>
          <w:spacing w:val="1"/>
          <w:sz w:val="20"/>
          <w:szCs w:val="20"/>
        </w:rPr>
        <w:t xml:space="preserve"> </w:t>
      </w:r>
      <w:r w:rsidRPr="000977F7">
        <w:rPr>
          <w:rFonts w:asciiTheme="majorHAnsi" w:hAnsiTheme="majorHAnsi"/>
          <w:sz w:val="20"/>
          <w:szCs w:val="20"/>
        </w:rPr>
        <w:t>одне</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2"/>
          <w:sz w:val="20"/>
          <w:szCs w:val="20"/>
        </w:rPr>
        <w:t xml:space="preserve"> </w:t>
      </w:r>
      <w:r w:rsidRPr="000977F7">
        <w:rPr>
          <w:rFonts w:asciiTheme="majorHAnsi" w:hAnsiTheme="majorHAnsi"/>
          <w:sz w:val="20"/>
          <w:szCs w:val="20"/>
        </w:rPr>
        <w:t>одного</w:t>
      </w:r>
    </w:p>
    <w:p w14:paraId="17C3382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74E1C97"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Повідомлення дискретних даних передає, наприклад,</w:t>
      </w:r>
      <w:r w:rsidRPr="000977F7">
        <w:rPr>
          <w:rFonts w:asciiTheme="majorHAnsi" w:hAnsiTheme="majorHAnsi"/>
          <w:spacing w:val="-47"/>
          <w:sz w:val="20"/>
          <w:szCs w:val="20"/>
        </w:rPr>
        <w:t xml:space="preserve"> </w:t>
      </w:r>
      <w:r w:rsidRPr="000977F7">
        <w:rPr>
          <w:rFonts w:asciiTheme="majorHAnsi" w:hAnsiTheme="majorHAnsi"/>
          <w:sz w:val="20"/>
          <w:szCs w:val="20"/>
        </w:rPr>
        <w:t>одне</w:t>
      </w:r>
      <w:r w:rsidRPr="000977F7">
        <w:rPr>
          <w:rFonts w:asciiTheme="majorHAnsi" w:hAnsiTheme="majorHAnsi"/>
          <w:spacing w:val="46"/>
          <w:sz w:val="20"/>
          <w:szCs w:val="20"/>
        </w:rPr>
        <w:t xml:space="preserve"> </w:t>
      </w:r>
      <w:r w:rsidRPr="000977F7">
        <w:rPr>
          <w:rFonts w:asciiTheme="majorHAnsi" w:hAnsiTheme="majorHAnsi"/>
          <w:sz w:val="20"/>
          <w:szCs w:val="20"/>
        </w:rPr>
        <w:t>із</w:t>
      </w:r>
      <w:r w:rsidRPr="000977F7">
        <w:rPr>
          <w:rFonts w:asciiTheme="majorHAnsi" w:hAnsiTheme="majorHAnsi"/>
          <w:spacing w:val="46"/>
          <w:sz w:val="20"/>
          <w:szCs w:val="20"/>
        </w:rPr>
        <w:t xml:space="preserve"> </w:t>
      </w:r>
      <w:r w:rsidRPr="000977F7">
        <w:rPr>
          <w:rFonts w:asciiTheme="majorHAnsi" w:hAnsiTheme="majorHAnsi"/>
          <w:sz w:val="20"/>
          <w:szCs w:val="20"/>
        </w:rPr>
        <w:t>множини</w:t>
      </w:r>
      <w:r w:rsidRPr="000977F7">
        <w:rPr>
          <w:rFonts w:asciiTheme="majorHAnsi" w:hAnsiTheme="majorHAnsi"/>
          <w:spacing w:val="46"/>
          <w:sz w:val="20"/>
          <w:szCs w:val="20"/>
        </w:rPr>
        <w:t xml:space="preserve"> </w:t>
      </w:r>
      <w:r w:rsidRPr="000977F7">
        <w:rPr>
          <w:rFonts w:asciiTheme="majorHAnsi" w:hAnsiTheme="majorHAnsi"/>
          <w:sz w:val="20"/>
          <w:szCs w:val="20"/>
        </w:rPr>
        <w:t>розпізнаваних</w:t>
      </w:r>
      <w:r w:rsidRPr="000977F7">
        <w:rPr>
          <w:rFonts w:asciiTheme="majorHAnsi" w:hAnsiTheme="majorHAnsi"/>
          <w:spacing w:val="45"/>
          <w:sz w:val="20"/>
          <w:szCs w:val="20"/>
        </w:rPr>
        <w:t xml:space="preserve"> </w:t>
      </w:r>
      <w:r w:rsidRPr="000977F7">
        <w:rPr>
          <w:rFonts w:asciiTheme="majorHAnsi" w:hAnsiTheme="majorHAnsi"/>
          <w:sz w:val="20"/>
          <w:szCs w:val="20"/>
        </w:rPr>
        <w:t>станів</w:t>
      </w:r>
      <w:r w:rsidRPr="000977F7">
        <w:rPr>
          <w:rFonts w:asciiTheme="majorHAnsi" w:hAnsiTheme="majorHAnsi"/>
          <w:spacing w:val="46"/>
          <w:sz w:val="20"/>
          <w:szCs w:val="20"/>
        </w:rPr>
        <w:t xml:space="preserve"> </w:t>
      </w:r>
      <w:r w:rsidRPr="000977F7">
        <w:rPr>
          <w:rFonts w:asciiTheme="majorHAnsi" w:hAnsiTheme="majorHAnsi"/>
          <w:sz w:val="20"/>
          <w:szCs w:val="20"/>
        </w:rPr>
        <w:t>об’єкта;</w:t>
      </w:r>
      <w:r w:rsidRPr="000977F7">
        <w:rPr>
          <w:rFonts w:asciiTheme="majorHAnsi" w:hAnsiTheme="majorHAnsi"/>
          <w:spacing w:val="46"/>
          <w:sz w:val="20"/>
          <w:szCs w:val="20"/>
        </w:rPr>
        <w:t xml:space="preserve"> </w:t>
      </w:r>
      <w:r w:rsidRPr="000977F7">
        <w:rPr>
          <w:rFonts w:asciiTheme="majorHAnsi" w:hAnsiTheme="majorHAnsi"/>
          <w:sz w:val="20"/>
          <w:szCs w:val="20"/>
        </w:rPr>
        <w:t>звичайно</w:t>
      </w:r>
      <w:r w:rsidRPr="000977F7">
        <w:rPr>
          <w:rFonts w:asciiTheme="majorHAnsi" w:hAnsiTheme="majorHAnsi"/>
          <w:spacing w:val="1"/>
          <w:sz w:val="20"/>
          <w:szCs w:val="20"/>
        </w:rPr>
        <w:t xml:space="preserve"> </w:t>
      </w:r>
      <w:r w:rsidRPr="000977F7">
        <w:rPr>
          <w:rFonts w:asciiTheme="majorHAnsi" w:hAnsiTheme="majorHAnsi"/>
          <w:sz w:val="20"/>
          <w:szCs w:val="20"/>
        </w:rPr>
        <w:t>воно</w:t>
      </w:r>
      <w:r w:rsidRPr="000977F7">
        <w:rPr>
          <w:rFonts w:asciiTheme="majorHAnsi" w:hAnsiTheme="majorHAnsi"/>
          <w:spacing w:val="1"/>
          <w:sz w:val="20"/>
          <w:szCs w:val="20"/>
        </w:rPr>
        <w:t xml:space="preserve"> </w:t>
      </w:r>
      <w:r w:rsidRPr="000977F7">
        <w:rPr>
          <w:rFonts w:asciiTheme="majorHAnsi" w:hAnsiTheme="majorHAnsi"/>
          <w:sz w:val="20"/>
          <w:szCs w:val="20"/>
        </w:rPr>
        <w:t>визначене</w:t>
      </w:r>
      <w:r w:rsidRPr="000977F7">
        <w:rPr>
          <w:rFonts w:asciiTheme="majorHAnsi" w:hAnsiTheme="majorHAnsi"/>
          <w:spacing w:val="3"/>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кожного</w:t>
      </w:r>
      <w:r w:rsidRPr="000977F7">
        <w:rPr>
          <w:rFonts w:asciiTheme="majorHAnsi" w:hAnsiTheme="majorHAnsi"/>
          <w:spacing w:val="1"/>
          <w:sz w:val="20"/>
          <w:szCs w:val="20"/>
        </w:rPr>
        <w:t xml:space="preserve"> </w:t>
      </w:r>
      <w:r w:rsidRPr="000977F7">
        <w:rPr>
          <w:rFonts w:asciiTheme="majorHAnsi" w:hAnsiTheme="majorHAnsi"/>
          <w:sz w:val="20"/>
          <w:szCs w:val="20"/>
        </w:rPr>
        <w:t>моменту</w:t>
      </w:r>
      <w:r w:rsidRPr="000977F7">
        <w:rPr>
          <w:rFonts w:asciiTheme="majorHAnsi" w:hAnsiTheme="majorHAnsi"/>
          <w:spacing w:val="46"/>
          <w:sz w:val="20"/>
          <w:szCs w:val="20"/>
        </w:rPr>
        <w:t xml:space="preserve"> </w:t>
      </w:r>
      <w:r w:rsidRPr="000977F7">
        <w:rPr>
          <w:rFonts w:asciiTheme="majorHAnsi" w:hAnsiTheme="majorHAnsi"/>
          <w:sz w:val="20"/>
          <w:szCs w:val="20"/>
        </w:rPr>
        <w:t>часу</w:t>
      </w:r>
      <w:r w:rsidRPr="000977F7">
        <w:rPr>
          <w:rFonts w:asciiTheme="majorHAnsi" w:hAnsiTheme="majorHAnsi"/>
          <w:spacing w:val="49"/>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може складатись із одного або кількох елементів</w:t>
      </w:r>
      <w:r w:rsidRPr="000977F7">
        <w:rPr>
          <w:rFonts w:asciiTheme="majorHAnsi" w:hAnsiTheme="majorHAnsi"/>
          <w:spacing w:val="1"/>
          <w:sz w:val="20"/>
          <w:szCs w:val="20"/>
        </w:rPr>
        <w:t xml:space="preserve"> </w:t>
      </w:r>
    </w:p>
    <w:p w14:paraId="4AABA053"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2000</w:t>
      </w:r>
    </w:p>
    <w:p w14:paraId="35327754" w14:textId="77777777" w:rsidR="0097612F" w:rsidRPr="000977F7" w:rsidRDefault="0097612F" w:rsidP="000977F7">
      <w:pPr>
        <w:pStyle w:val="7"/>
        <w:tabs>
          <w:tab w:val="left" w:pos="284"/>
        </w:tabs>
        <w:spacing w:before="0" w:line="240" w:lineRule="auto"/>
        <w:ind w:left="170"/>
        <w:mirrorIndents/>
        <w:jc w:val="both"/>
        <w:rPr>
          <w:i/>
          <w:color w:val="auto"/>
          <w:sz w:val="20"/>
          <w:szCs w:val="20"/>
        </w:rPr>
      </w:pPr>
      <w:r w:rsidRPr="000977F7">
        <w:rPr>
          <w:color w:val="auto"/>
          <w:sz w:val="20"/>
          <w:szCs w:val="20"/>
        </w:rPr>
        <w:t>ДИСПЕРСІЯ</w:t>
      </w:r>
      <w:r w:rsidRPr="000977F7">
        <w:rPr>
          <w:color w:val="auto"/>
          <w:spacing w:val="-10"/>
          <w:sz w:val="20"/>
          <w:szCs w:val="20"/>
        </w:rPr>
        <w:t xml:space="preserve"> </w:t>
      </w:r>
      <w:r w:rsidRPr="000977F7">
        <w:rPr>
          <w:color w:val="auto"/>
          <w:sz w:val="20"/>
          <w:szCs w:val="20"/>
        </w:rPr>
        <w:t>ВИПАДКОВОГО</w:t>
      </w:r>
      <w:r w:rsidRPr="000977F7">
        <w:rPr>
          <w:color w:val="auto"/>
          <w:spacing w:val="-8"/>
          <w:sz w:val="20"/>
          <w:szCs w:val="20"/>
        </w:rPr>
        <w:t xml:space="preserve"> </w:t>
      </w:r>
      <w:r w:rsidRPr="000977F7">
        <w:rPr>
          <w:color w:val="auto"/>
          <w:sz w:val="20"/>
          <w:szCs w:val="20"/>
        </w:rPr>
        <w:t xml:space="preserve">НАВАНТАЖУВАННЯ, </w:t>
      </w:r>
      <w:r w:rsidRPr="000977F7">
        <w:rPr>
          <w:i/>
          <w:color w:val="auto"/>
          <w:sz w:val="20"/>
          <w:szCs w:val="20"/>
        </w:rPr>
        <w:t>D</w:t>
      </w:r>
      <w:r w:rsidRPr="000977F7">
        <w:rPr>
          <w:i/>
          <w:color w:val="auto"/>
          <w:sz w:val="20"/>
          <w:szCs w:val="20"/>
          <w:vertAlign w:val="subscript"/>
        </w:rPr>
        <w:t>x</w:t>
      </w:r>
      <w:r w:rsidRPr="000977F7">
        <w:rPr>
          <w:i/>
          <w:color w:val="auto"/>
          <w:sz w:val="20"/>
          <w:szCs w:val="20"/>
        </w:rPr>
        <w:t>(t)</w:t>
      </w:r>
      <w:r w:rsidRPr="000977F7">
        <w:rPr>
          <w:i/>
          <w:color w:val="auto"/>
          <w:spacing w:val="1"/>
          <w:sz w:val="20"/>
          <w:szCs w:val="20"/>
        </w:rPr>
        <w:t xml:space="preserve"> </w:t>
      </w:r>
      <w:r w:rsidRPr="000977F7">
        <w:rPr>
          <w:i/>
          <w:color w:val="auto"/>
          <w:sz w:val="20"/>
          <w:szCs w:val="20"/>
        </w:rPr>
        <w:t>–</w:t>
      </w:r>
    </w:p>
    <w:p w14:paraId="6C18AFE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RANDOM</w:t>
      </w:r>
      <w:r w:rsidRPr="004D2D14">
        <w:rPr>
          <w:rFonts w:asciiTheme="majorHAnsi" w:hAnsiTheme="majorHAnsi"/>
          <w:spacing w:val="-1"/>
          <w:sz w:val="20"/>
          <w:szCs w:val="20"/>
          <w:lang w:val="uk-UA"/>
        </w:rPr>
        <w:t xml:space="preserve"> </w:t>
      </w:r>
      <w:r w:rsidRPr="000977F7">
        <w:rPr>
          <w:rFonts w:asciiTheme="majorHAnsi" w:hAnsiTheme="majorHAnsi"/>
          <w:sz w:val="20"/>
          <w:szCs w:val="20"/>
        </w:rPr>
        <w:t>LOADING</w:t>
      </w:r>
      <w:r w:rsidRPr="004D2D14">
        <w:rPr>
          <w:rFonts w:asciiTheme="majorHAnsi" w:hAnsiTheme="majorHAnsi"/>
          <w:spacing w:val="-2"/>
          <w:sz w:val="20"/>
          <w:szCs w:val="20"/>
          <w:lang w:val="uk-UA"/>
        </w:rPr>
        <w:t xml:space="preserve"> </w:t>
      </w:r>
      <w:r w:rsidRPr="000977F7">
        <w:rPr>
          <w:rFonts w:asciiTheme="majorHAnsi" w:hAnsiTheme="majorHAnsi"/>
          <w:sz w:val="20"/>
          <w:szCs w:val="20"/>
        </w:rPr>
        <w:t>PROCESS</w:t>
      </w:r>
      <w:r w:rsidRPr="004D2D14">
        <w:rPr>
          <w:rFonts w:asciiTheme="majorHAnsi" w:hAnsiTheme="majorHAnsi"/>
          <w:spacing w:val="-4"/>
          <w:sz w:val="20"/>
          <w:szCs w:val="20"/>
          <w:lang w:val="uk-UA"/>
        </w:rPr>
        <w:t xml:space="preserve"> </w:t>
      </w:r>
      <w:r w:rsidRPr="000977F7">
        <w:rPr>
          <w:rFonts w:asciiTheme="majorHAnsi" w:hAnsiTheme="majorHAnsi"/>
          <w:sz w:val="20"/>
          <w:szCs w:val="20"/>
        </w:rPr>
        <w:t>VARIANCE</w:t>
      </w:r>
      <w:r w:rsidRPr="004D2D14">
        <w:rPr>
          <w:rFonts w:asciiTheme="majorHAnsi" w:hAnsiTheme="majorHAnsi"/>
          <w:sz w:val="20"/>
          <w:szCs w:val="20"/>
          <w:lang w:val="uk-UA"/>
        </w:rPr>
        <w:t xml:space="preserve"> –</w:t>
      </w:r>
    </w:p>
    <w:p w14:paraId="0A21EBD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Функція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дорівнює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кожного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значення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аргументу</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дисперсії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навантаження</w:t>
      </w:r>
    </w:p>
    <w:p w14:paraId="526181B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1BAA89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ДИСПЕРСІЯ</w:t>
      </w:r>
      <w:r w:rsidRPr="000977F7">
        <w:rPr>
          <w:color w:val="auto"/>
          <w:spacing w:val="-6"/>
          <w:sz w:val="20"/>
          <w:szCs w:val="20"/>
        </w:rPr>
        <w:t xml:space="preserve"> </w:t>
      </w:r>
      <w:r w:rsidRPr="000977F7">
        <w:rPr>
          <w:color w:val="auto"/>
          <w:sz w:val="20"/>
          <w:szCs w:val="20"/>
        </w:rPr>
        <w:t>ВИПАДКОВОЇ</w:t>
      </w:r>
      <w:r w:rsidRPr="000977F7">
        <w:rPr>
          <w:color w:val="auto"/>
          <w:spacing w:val="-5"/>
          <w:sz w:val="20"/>
          <w:szCs w:val="20"/>
        </w:rPr>
        <w:t xml:space="preserve"> </w:t>
      </w:r>
      <w:r w:rsidRPr="000977F7">
        <w:rPr>
          <w:color w:val="auto"/>
          <w:sz w:val="20"/>
          <w:szCs w:val="20"/>
        </w:rPr>
        <w:t>ВЕЛИЧИНИ–</w:t>
      </w:r>
    </w:p>
    <w:p w14:paraId="70E38C6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Центральний</w:t>
      </w:r>
      <w:r w:rsidRPr="000977F7">
        <w:rPr>
          <w:rFonts w:asciiTheme="majorHAnsi" w:hAnsiTheme="majorHAnsi"/>
          <w:spacing w:val="-4"/>
          <w:sz w:val="20"/>
          <w:szCs w:val="20"/>
        </w:rPr>
        <w:t xml:space="preserve"> </w:t>
      </w:r>
      <w:r w:rsidRPr="000977F7">
        <w:rPr>
          <w:rFonts w:asciiTheme="majorHAnsi" w:hAnsiTheme="majorHAnsi"/>
          <w:sz w:val="20"/>
          <w:szCs w:val="20"/>
        </w:rPr>
        <w:t>момент</w:t>
      </w:r>
      <w:r w:rsidRPr="000977F7">
        <w:rPr>
          <w:rFonts w:asciiTheme="majorHAnsi" w:hAnsiTheme="majorHAnsi"/>
          <w:spacing w:val="-2"/>
          <w:sz w:val="20"/>
          <w:szCs w:val="20"/>
        </w:rPr>
        <w:t xml:space="preserve"> </w:t>
      </w:r>
      <w:r w:rsidRPr="000977F7">
        <w:rPr>
          <w:rFonts w:asciiTheme="majorHAnsi" w:hAnsiTheme="majorHAnsi"/>
          <w:sz w:val="20"/>
          <w:szCs w:val="20"/>
        </w:rPr>
        <w:t>порядку</w:t>
      </w:r>
      <w:r w:rsidRPr="000977F7">
        <w:rPr>
          <w:rFonts w:asciiTheme="majorHAnsi" w:hAnsiTheme="majorHAnsi"/>
          <w:spacing w:val="-7"/>
          <w:sz w:val="20"/>
          <w:szCs w:val="20"/>
        </w:rPr>
        <w:t xml:space="preserve"> </w:t>
      </w:r>
      <w:r w:rsidRPr="000977F7">
        <w:rPr>
          <w:rFonts w:asciiTheme="majorHAnsi" w:hAnsiTheme="majorHAnsi"/>
          <w:sz w:val="20"/>
          <w:szCs w:val="20"/>
        </w:rPr>
        <w:t>два</w:t>
      </w:r>
    </w:p>
    <w:p w14:paraId="648DADB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2A4F6C0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ДИСПЕРСІЯ</w:t>
      </w:r>
      <w:r w:rsidRPr="000977F7">
        <w:rPr>
          <w:color w:val="auto"/>
          <w:spacing w:val="-5"/>
          <w:sz w:val="20"/>
          <w:szCs w:val="20"/>
        </w:rPr>
        <w:t xml:space="preserve"> </w:t>
      </w:r>
      <w:r w:rsidRPr="000977F7">
        <w:rPr>
          <w:color w:val="auto"/>
          <w:sz w:val="20"/>
          <w:szCs w:val="20"/>
        </w:rPr>
        <w:t>ОЦІНКИ</w:t>
      </w:r>
      <w:r w:rsidRPr="000977F7">
        <w:rPr>
          <w:color w:val="auto"/>
          <w:spacing w:val="-3"/>
          <w:sz w:val="20"/>
          <w:szCs w:val="20"/>
        </w:rPr>
        <w:t xml:space="preserve"> </w:t>
      </w:r>
      <w:r w:rsidRPr="000977F7">
        <w:rPr>
          <w:color w:val="auto"/>
          <w:sz w:val="20"/>
          <w:szCs w:val="20"/>
        </w:rPr>
        <w:t>ФУНКЦІЇ</w:t>
      </w:r>
      <w:r w:rsidRPr="000977F7">
        <w:rPr>
          <w:color w:val="auto"/>
          <w:spacing w:val="-4"/>
          <w:sz w:val="20"/>
          <w:szCs w:val="20"/>
        </w:rPr>
        <w:t xml:space="preserve"> </w:t>
      </w:r>
      <w:r w:rsidRPr="000977F7">
        <w:rPr>
          <w:color w:val="auto"/>
          <w:sz w:val="20"/>
          <w:szCs w:val="20"/>
        </w:rPr>
        <w:t>ВІДГУКУ –</w:t>
      </w:r>
    </w:p>
    <w:p w14:paraId="43EF204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Дисперсія</w:t>
      </w:r>
      <w:r w:rsidRPr="000977F7">
        <w:rPr>
          <w:rFonts w:asciiTheme="majorHAnsi" w:hAnsiTheme="majorHAnsi"/>
          <w:spacing w:val="2"/>
          <w:sz w:val="20"/>
          <w:szCs w:val="20"/>
        </w:rPr>
        <w:t xml:space="preserve"> </w:t>
      </w:r>
      <w:r w:rsidRPr="000977F7">
        <w:rPr>
          <w:rFonts w:asciiTheme="majorHAnsi" w:hAnsiTheme="majorHAnsi"/>
          <w:sz w:val="20"/>
          <w:szCs w:val="20"/>
        </w:rPr>
        <w:t>оцінки</w:t>
      </w:r>
      <w:r w:rsidRPr="000977F7">
        <w:rPr>
          <w:rFonts w:asciiTheme="majorHAnsi" w:hAnsiTheme="majorHAnsi"/>
          <w:spacing w:val="2"/>
          <w:sz w:val="20"/>
          <w:szCs w:val="20"/>
        </w:rPr>
        <w:t xml:space="preserve"> </w:t>
      </w:r>
      <w:r w:rsidRPr="000977F7">
        <w:rPr>
          <w:rFonts w:asciiTheme="majorHAnsi" w:hAnsiTheme="majorHAnsi"/>
          <w:sz w:val="20"/>
          <w:szCs w:val="20"/>
        </w:rPr>
        <w:t>математичного</w:t>
      </w:r>
      <w:r w:rsidRPr="000977F7">
        <w:rPr>
          <w:rFonts w:asciiTheme="majorHAnsi" w:hAnsiTheme="majorHAnsi"/>
          <w:spacing w:val="3"/>
          <w:sz w:val="20"/>
          <w:szCs w:val="20"/>
        </w:rPr>
        <w:t xml:space="preserve"> </w:t>
      </w:r>
      <w:r w:rsidRPr="000977F7">
        <w:rPr>
          <w:rFonts w:asciiTheme="majorHAnsi" w:hAnsiTheme="majorHAnsi"/>
          <w:sz w:val="20"/>
          <w:szCs w:val="20"/>
        </w:rPr>
        <w:t>очікування</w:t>
      </w:r>
      <w:r w:rsidRPr="000977F7">
        <w:rPr>
          <w:rFonts w:asciiTheme="majorHAnsi" w:hAnsiTheme="majorHAnsi"/>
          <w:spacing w:val="2"/>
          <w:sz w:val="20"/>
          <w:szCs w:val="20"/>
        </w:rPr>
        <w:t xml:space="preserve"> </w:t>
      </w:r>
      <w:r w:rsidRPr="000977F7">
        <w:rPr>
          <w:rFonts w:asciiTheme="majorHAnsi" w:hAnsiTheme="majorHAnsi"/>
          <w:sz w:val="20"/>
          <w:szCs w:val="20"/>
        </w:rPr>
        <w:t>відгуку</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47"/>
          <w:sz w:val="20"/>
          <w:szCs w:val="20"/>
        </w:rPr>
        <w:t xml:space="preserve"> </w:t>
      </w:r>
      <w:r w:rsidRPr="000977F7">
        <w:rPr>
          <w:rFonts w:asciiTheme="majorHAnsi" w:hAnsiTheme="majorHAnsi"/>
          <w:sz w:val="20"/>
          <w:szCs w:val="20"/>
        </w:rPr>
        <w:t>деякій</w:t>
      </w:r>
      <w:r w:rsidRPr="000977F7">
        <w:rPr>
          <w:rFonts w:asciiTheme="majorHAnsi" w:hAnsiTheme="majorHAnsi"/>
          <w:spacing w:val="-2"/>
          <w:sz w:val="20"/>
          <w:szCs w:val="20"/>
        </w:rPr>
        <w:t xml:space="preserve"> </w:t>
      </w:r>
      <w:r w:rsidRPr="000977F7">
        <w:rPr>
          <w:rFonts w:asciiTheme="majorHAnsi" w:hAnsiTheme="majorHAnsi"/>
          <w:sz w:val="20"/>
          <w:szCs w:val="20"/>
        </w:rPr>
        <w:t>даній</w:t>
      </w:r>
      <w:r w:rsidRPr="000977F7">
        <w:rPr>
          <w:rFonts w:asciiTheme="majorHAnsi" w:hAnsiTheme="majorHAnsi"/>
          <w:spacing w:val="-2"/>
          <w:sz w:val="20"/>
          <w:szCs w:val="20"/>
        </w:rPr>
        <w:t xml:space="preserve"> </w:t>
      </w:r>
      <w:r w:rsidRPr="000977F7">
        <w:rPr>
          <w:rFonts w:asciiTheme="majorHAnsi" w:hAnsiTheme="majorHAnsi"/>
          <w:sz w:val="20"/>
          <w:szCs w:val="20"/>
        </w:rPr>
        <w:t>точці</w:t>
      </w:r>
      <w:r w:rsidRPr="000977F7">
        <w:rPr>
          <w:rFonts w:asciiTheme="majorHAnsi" w:hAnsiTheme="majorHAnsi"/>
          <w:spacing w:val="-1"/>
          <w:sz w:val="20"/>
          <w:szCs w:val="20"/>
        </w:rPr>
        <w:t xml:space="preserve"> </w:t>
      </w:r>
      <w:r w:rsidRPr="000977F7">
        <w:rPr>
          <w:rFonts w:asciiTheme="majorHAnsi" w:hAnsiTheme="majorHAnsi"/>
          <w:sz w:val="20"/>
          <w:szCs w:val="20"/>
        </w:rPr>
        <w:t>факторного середовища</w:t>
      </w:r>
    </w:p>
    <w:p w14:paraId="47B538CD"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ДИФЕРЕНЦІЙНИЙ</w:t>
      </w:r>
      <w:r w:rsidRPr="000977F7">
        <w:rPr>
          <w:color w:val="auto"/>
          <w:spacing w:val="1"/>
          <w:sz w:val="20"/>
          <w:szCs w:val="20"/>
        </w:rPr>
        <w:t xml:space="preserve"> </w:t>
      </w:r>
      <w:r w:rsidRPr="000977F7">
        <w:rPr>
          <w:color w:val="auto"/>
          <w:sz w:val="20"/>
          <w:szCs w:val="20"/>
        </w:rPr>
        <w:t>МЕТОД; РІЗНИЦЕВИЙ</w:t>
      </w:r>
      <w:r w:rsidRPr="000977F7">
        <w:rPr>
          <w:color w:val="auto"/>
          <w:spacing w:val="1"/>
          <w:sz w:val="20"/>
          <w:szCs w:val="20"/>
        </w:rPr>
        <w:t xml:space="preserve"> </w:t>
      </w:r>
    </w:p>
    <w:p w14:paraId="0E50EC7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МЕТОД</w:t>
      </w:r>
      <w:r w:rsidRPr="000977F7">
        <w:rPr>
          <w:color w:val="auto"/>
          <w:spacing w:val="-1"/>
          <w:sz w:val="20"/>
          <w:szCs w:val="20"/>
        </w:rPr>
        <w:t xml:space="preserve"> </w:t>
      </w:r>
      <w:r w:rsidRPr="000977F7">
        <w:rPr>
          <w:color w:val="auto"/>
          <w:sz w:val="20"/>
          <w:szCs w:val="20"/>
        </w:rPr>
        <w:t>–</w:t>
      </w:r>
    </w:p>
    <w:p w14:paraId="518D2CFC" w14:textId="77777777" w:rsidR="0097612F" w:rsidRPr="004D2D14" w:rsidRDefault="0097612F" w:rsidP="000977F7">
      <w:pPr>
        <w:pStyle w:val="af6"/>
        <w:tabs>
          <w:tab w:val="left" w:pos="284"/>
        </w:tabs>
        <w:spacing w:after="0"/>
        <w:ind w:left="170"/>
        <w:mirrorIndents/>
        <w:jc w:val="both"/>
        <w:rPr>
          <w:rFonts w:asciiTheme="majorHAnsi" w:hAnsiTheme="majorHAnsi"/>
          <w:b/>
          <w:i/>
          <w:sz w:val="20"/>
          <w:szCs w:val="20"/>
          <w:lang w:val="en-US"/>
        </w:rPr>
      </w:pPr>
      <w:r w:rsidRPr="004D2D14">
        <w:rPr>
          <w:rFonts w:asciiTheme="majorHAnsi" w:hAnsiTheme="majorHAnsi"/>
          <w:sz w:val="20"/>
          <w:szCs w:val="20"/>
          <w:lang w:val="en-US"/>
        </w:rPr>
        <w:t>DIFFERENTIAL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METHOD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 xml:space="preserve">MEASUREMENT </w:t>
      </w:r>
      <w:r w:rsidRPr="004D2D14">
        <w:rPr>
          <w:rFonts w:asciiTheme="majorHAnsi" w:hAnsiTheme="majorHAnsi"/>
          <w:b/>
          <w:i/>
          <w:sz w:val="20"/>
          <w:szCs w:val="20"/>
          <w:lang w:val="en-US"/>
        </w:rPr>
        <w:t>–</w:t>
      </w:r>
    </w:p>
    <w:p w14:paraId="3003948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Метод</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вимірювання</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яким</w:t>
      </w:r>
      <w:r w:rsidRPr="004D2D14">
        <w:rPr>
          <w:rFonts w:asciiTheme="majorHAnsi" w:hAnsiTheme="majorHAnsi"/>
          <w:spacing w:val="1"/>
          <w:sz w:val="20"/>
          <w:szCs w:val="20"/>
          <w:lang w:val="en-US"/>
        </w:rPr>
        <w:t xml:space="preserve"> </w:t>
      </w:r>
      <w:r w:rsidRPr="000977F7">
        <w:rPr>
          <w:rFonts w:asciiTheme="majorHAnsi" w:hAnsiTheme="majorHAnsi"/>
          <w:sz w:val="20"/>
          <w:szCs w:val="20"/>
        </w:rPr>
        <w:t>невелика</w:t>
      </w:r>
      <w:r w:rsidRPr="004D2D14">
        <w:rPr>
          <w:rFonts w:asciiTheme="majorHAnsi" w:hAnsiTheme="majorHAnsi"/>
          <w:spacing w:val="1"/>
          <w:sz w:val="20"/>
          <w:szCs w:val="20"/>
          <w:lang w:val="en-US"/>
        </w:rPr>
        <w:t xml:space="preserve"> </w:t>
      </w:r>
      <w:r w:rsidRPr="000977F7">
        <w:rPr>
          <w:rFonts w:asciiTheme="majorHAnsi" w:hAnsiTheme="majorHAnsi"/>
          <w:sz w:val="20"/>
          <w:szCs w:val="20"/>
        </w:rPr>
        <w:t>різниця</w:t>
      </w:r>
      <w:r w:rsidRPr="004D2D14">
        <w:rPr>
          <w:rFonts w:asciiTheme="majorHAnsi" w:hAnsiTheme="majorHAnsi"/>
          <w:spacing w:val="1"/>
          <w:sz w:val="20"/>
          <w:szCs w:val="20"/>
          <w:lang w:val="en-US"/>
        </w:rPr>
        <w:t xml:space="preserve"> </w:t>
      </w:r>
      <w:r w:rsidRPr="000977F7">
        <w:rPr>
          <w:rFonts w:asciiTheme="majorHAnsi" w:hAnsiTheme="majorHAnsi"/>
          <w:sz w:val="20"/>
          <w:szCs w:val="20"/>
        </w:rPr>
        <w:t>між</w:t>
      </w:r>
      <w:r w:rsidRPr="004D2D14">
        <w:rPr>
          <w:rFonts w:asciiTheme="majorHAnsi" w:hAnsiTheme="majorHAnsi"/>
          <w:spacing w:val="-47"/>
          <w:sz w:val="20"/>
          <w:szCs w:val="20"/>
          <w:lang w:val="en-US"/>
        </w:rPr>
        <w:t xml:space="preserve"> </w:t>
      </w:r>
      <w:r w:rsidRPr="000977F7">
        <w:rPr>
          <w:rFonts w:asciiTheme="majorHAnsi" w:hAnsiTheme="majorHAnsi"/>
          <w:sz w:val="20"/>
          <w:szCs w:val="20"/>
        </w:rPr>
        <w:t>вимірюваною</w:t>
      </w:r>
      <w:r w:rsidRPr="004D2D14">
        <w:rPr>
          <w:rFonts w:asciiTheme="majorHAnsi" w:hAnsiTheme="majorHAnsi"/>
          <w:sz w:val="20"/>
          <w:szCs w:val="20"/>
          <w:lang w:val="en-US"/>
        </w:rPr>
        <w:t xml:space="preserve"> </w:t>
      </w:r>
      <w:r w:rsidRPr="000977F7">
        <w:rPr>
          <w:rFonts w:asciiTheme="majorHAnsi" w:hAnsiTheme="majorHAnsi"/>
          <w:sz w:val="20"/>
          <w:szCs w:val="20"/>
        </w:rPr>
        <w:t>величиною</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вихідною</w:t>
      </w:r>
      <w:r w:rsidRPr="004D2D14">
        <w:rPr>
          <w:rFonts w:asciiTheme="majorHAnsi" w:hAnsiTheme="majorHAnsi"/>
          <w:sz w:val="20"/>
          <w:szCs w:val="20"/>
          <w:lang w:val="en-US"/>
        </w:rPr>
        <w:t xml:space="preserve"> </w:t>
      </w:r>
      <w:r w:rsidRPr="000977F7">
        <w:rPr>
          <w:rFonts w:asciiTheme="majorHAnsi" w:hAnsiTheme="majorHAnsi"/>
          <w:sz w:val="20"/>
          <w:szCs w:val="20"/>
        </w:rPr>
        <w:t>величиною</w:t>
      </w:r>
      <w:r w:rsidRPr="004D2D14">
        <w:rPr>
          <w:rFonts w:asciiTheme="majorHAnsi" w:hAnsiTheme="majorHAnsi"/>
          <w:sz w:val="20"/>
          <w:szCs w:val="20"/>
          <w:lang w:val="en-US"/>
        </w:rPr>
        <w:t xml:space="preserve"> </w:t>
      </w:r>
      <w:r w:rsidRPr="000977F7">
        <w:rPr>
          <w:rFonts w:asciiTheme="majorHAnsi" w:hAnsiTheme="majorHAnsi"/>
          <w:sz w:val="20"/>
          <w:szCs w:val="20"/>
        </w:rPr>
        <w:t>одноканальної</w:t>
      </w:r>
      <w:r w:rsidRPr="004D2D14">
        <w:rPr>
          <w:rFonts w:asciiTheme="majorHAnsi" w:hAnsiTheme="majorHAnsi"/>
          <w:sz w:val="20"/>
          <w:szCs w:val="20"/>
          <w:lang w:val="en-US"/>
        </w:rPr>
        <w:t xml:space="preserve"> </w:t>
      </w:r>
      <w:r w:rsidRPr="000977F7">
        <w:rPr>
          <w:rFonts w:asciiTheme="majorHAnsi" w:hAnsiTheme="majorHAnsi"/>
          <w:sz w:val="20"/>
          <w:szCs w:val="20"/>
        </w:rPr>
        <w:t>міри</w:t>
      </w:r>
      <w:r w:rsidRPr="004D2D14">
        <w:rPr>
          <w:rFonts w:asciiTheme="majorHAnsi" w:hAnsiTheme="majorHAnsi"/>
          <w:sz w:val="20"/>
          <w:szCs w:val="20"/>
          <w:lang w:val="en-US"/>
        </w:rPr>
        <w:t xml:space="preserve"> </w:t>
      </w:r>
      <w:r w:rsidRPr="000977F7">
        <w:rPr>
          <w:rFonts w:asciiTheme="majorHAnsi" w:hAnsiTheme="majorHAnsi"/>
          <w:sz w:val="20"/>
          <w:szCs w:val="20"/>
        </w:rPr>
        <w:t>вимірюється</w:t>
      </w:r>
      <w:r w:rsidRPr="004D2D14">
        <w:rPr>
          <w:rFonts w:asciiTheme="majorHAnsi" w:hAnsiTheme="majorHAnsi"/>
          <w:sz w:val="20"/>
          <w:szCs w:val="20"/>
          <w:lang w:val="en-US"/>
        </w:rPr>
        <w:t xml:space="preserve"> </w:t>
      </w:r>
      <w:r w:rsidRPr="000977F7">
        <w:rPr>
          <w:rFonts w:asciiTheme="majorHAnsi" w:hAnsiTheme="majorHAnsi"/>
          <w:sz w:val="20"/>
          <w:szCs w:val="20"/>
        </w:rPr>
        <w:t>відповідним</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засобом</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вимірювання</w:t>
      </w:r>
    </w:p>
    <w:p w14:paraId="1465650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0E22FB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ДИФЕРЕНЦІЙОВАНИЙ</w:t>
      </w:r>
      <w:r w:rsidRPr="000977F7">
        <w:rPr>
          <w:color w:val="auto"/>
          <w:spacing w:val="-5"/>
          <w:sz w:val="20"/>
          <w:szCs w:val="20"/>
        </w:rPr>
        <w:t xml:space="preserve"> </w:t>
      </w:r>
      <w:r w:rsidRPr="000977F7">
        <w:rPr>
          <w:color w:val="auto"/>
          <w:sz w:val="20"/>
          <w:szCs w:val="20"/>
        </w:rPr>
        <w:t>МАРКЕТИНГ</w:t>
      </w:r>
      <w:r w:rsidRPr="000977F7">
        <w:rPr>
          <w:color w:val="auto"/>
          <w:spacing w:val="-1"/>
          <w:sz w:val="20"/>
          <w:szCs w:val="20"/>
        </w:rPr>
        <w:t xml:space="preserve"> </w:t>
      </w:r>
      <w:r w:rsidRPr="000977F7">
        <w:rPr>
          <w:color w:val="auto"/>
          <w:sz w:val="20"/>
          <w:szCs w:val="20"/>
        </w:rPr>
        <w:t>–</w:t>
      </w:r>
    </w:p>
    <w:p w14:paraId="504D355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Стратегія</w:t>
      </w:r>
      <w:r w:rsidRPr="000977F7">
        <w:rPr>
          <w:rFonts w:asciiTheme="majorHAnsi" w:hAnsiTheme="majorHAnsi"/>
          <w:spacing w:val="15"/>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7"/>
          <w:sz w:val="20"/>
          <w:szCs w:val="20"/>
        </w:rPr>
        <w:t xml:space="preserve"> </w:t>
      </w:r>
      <w:r w:rsidRPr="000977F7">
        <w:rPr>
          <w:rFonts w:asciiTheme="majorHAnsi" w:hAnsiTheme="majorHAnsi"/>
          <w:sz w:val="20"/>
          <w:szCs w:val="20"/>
        </w:rPr>
        <w:t>за</w:t>
      </w:r>
      <w:r w:rsidRPr="000977F7">
        <w:rPr>
          <w:rFonts w:asciiTheme="majorHAnsi" w:hAnsiTheme="majorHAnsi"/>
          <w:spacing w:val="17"/>
          <w:sz w:val="20"/>
          <w:szCs w:val="20"/>
        </w:rPr>
        <w:t xml:space="preserve"> </w:t>
      </w:r>
      <w:r w:rsidRPr="000977F7">
        <w:rPr>
          <w:rFonts w:asciiTheme="majorHAnsi" w:hAnsiTheme="majorHAnsi"/>
          <w:sz w:val="20"/>
          <w:szCs w:val="20"/>
        </w:rPr>
        <w:t>якою</w:t>
      </w:r>
      <w:r w:rsidRPr="000977F7">
        <w:rPr>
          <w:rFonts w:asciiTheme="majorHAnsi" w:hAnsiTheme="majorHAnsi"/>
          <w:spacing w:val="17"/>
          <w:sz w:val="20"/>
          <w:szCs w:val="20"/>
        </w:rPr>
        <w:t xml:space="preserve"> </w:t>
      </w:r>
      <w:r w:rsidRPr="000977F7">
        <w:rPr>
          <w:rFonts w:asciiTheme="majorHAnsi" w:hAnsiTheme="majorHAnsi"/>
          <w:sz w:val="20"/>
          <w:szCs w:val="20"/>
        </w:rPr>
        <w:t>вона</w:t>
      </w:r>
      <w:r w:rsidRPr="000977F7">
        <w:rPr>
          <w:rFonts w:asciiTheme="majorHAnsi" w:hAnsiTheme="majorHAnsi"/>
          <w:spacing w:val="16"/>
          <w:sz w:val="20"/>
          <w:szCs w:val="20"/>
        </w:rPr>
        <w:t xml:space="preserve"> </w:t>
      </w:r>
      <w:r w:rsidRPr="000977F7">
        <w:rPr>
          <w:rFonts w:asciiTheme="majorHAnsi" w:hAnsiTheme="majorHAnsi"/>
          <w:sz w:val="20"/>
          <w:szCs w:val="20"/>
        </w:rPr>
        <w:t>модифікує</w:t>
      </w:r>
      <w:r w:rsidRPr="000977F7">
        <w:rPr>
          <w:rFonts w:asciiTheme="majorHAnsi" w:hAnsiTheme="majorHAnsi"/>
          <w:spacing w:val="18"/>
          <w:sz w:val="20"/>
          <w:szCs w:val="20"/>
        </w:rPr>
        <w:t xml:space="preserve"> </w:t>
      </w:r>
      <w:r w:rsidRPr="000977F7">
        <w:rPr>
          <w:rFonts w:asciiTheme="majorHAnsi" w:hAnsiTheme="majorHAnsi"/>
          <w:sz w:val="20"/>
          <w:szCs w:val="20"/>
        </w:rPr>
        <w:t>продукцію,</w:t>
      </w:r>
      <w:r w:rsidRPr="000977F7">
        <w:rPr>
          <w:rFonts w:asciiTheme="majorHAnsi" w:hAnsiTheme="majorHAnsi"/>
          <w:spacing w:val="-1"/>
          <w:sz w:val="20"/>
          <w:szCs w:val="20"/>
        </w:rPr>
        <w:t xml:space="preserve"> </w:t>
      </w:r>
      <w:r w:rsidRPr="000977F7">
        <w:rPr>
          <w:rFonts w:asciiTheme="majorHAnsi" w:hAnsiTheme="majorHAnsi"/>
          <w:sz w:val="20"/>
          <w:szCs w:val="20"/>
        </w:rPr>
        <w:t>і комплекс заходів</w:t>
      </w:r>
      <w:r w:rsidRPr="000977F7">
        <w:rPr>
          <w:rFonts w:asciiTheme="majorHAnsi" w:hAnsiTheme="majorHAnsi"/>
          <w:spacing w:val="1"/>
          <w:sz w:val="20"/>
          <w:szCs w:val="20"/>
        </w:rPr>
        <w:t xml:space="preserve"> </w:t>
      </w:r>
      <w:r w:rsidRPr="000977F7">
        <w:rPr>
          <w:rFonts w:asciiTheme="majorHAnsi" w:hAnsiTheme="majorHAnsi"/>
          <w:sz w:val="20"/>
          <w:szCs w:val="20"/>
        </w:rPr>
        <w:t>просування</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на ринок</w:t>
      </w:r>
      <w:r w:rsidRPr="000977F7">
        <w:rPr>
          <w:rFonts w:asciiTheme="majorHAnsi" w:hAnsiTheme="majorHAnsi"/>
          <w:spacing w:val="1"/>
          <w:sz w:val="20"/>
          <w:szCs w:val="20"/>
        </w:rPr>
        <w:t xml:space="preserve"> </w:t>
      </w:r>
      <w:r w:rsidRPr="000977F7">
        <w:rPr>
          <w:rFonts w:asciiTheme="majorHAnsi" w:hAnsiTheme="majorHAnsi"/>
          <w:sz w:val="20"/>
          <w:szCs w:val="20"/>
        </w:rPr>
        <w:t>таким чином,</w:t>
      </w:r>
      <w:r w:rsidRPr="000977F7">
        <w:rPr>
          <w:rFonts w:asciiTheme="majorHAnsi" w:hAnsiTheme="majorHAnsi"/>
          <w:spacing w:val="8"/>
          <w:sz w:val="20"/>
          <w:szCs w:val="20"/>
        </w:rPr>
        <w:t xml:space="preserve"> </w:t>
      </w:r>
      <w:r w:rsidRPr="000977F7">
        <w:rPr>
          <w:rFonts w:asciiTheme="majorHAnsi" w:hAnsiTheme="majorHAnsi"/>
          <w:sz w:val="20"/>
          <w:szCs w:val="20"/>
        </w:rPr>
        <w:t>щоб</w:t>
      </w:r>
      <w:r w:rsidRPr="000977F7">
        <w:rPr>
          <w:rFonts w:asciiTheme="majorHAnsi" w:hAnsiTheme="majorHAnsi"/>
          <w:spacing w:val="8"/>
          <w:sz w:val="20"/>
          <w:szCs w:val="20"/>
        </w:rPr>
        <w:t xml:space="preserve"> </w:t>
      </w:r>
      <w:r w:rsidRPr="000977F7">
        <w:rPr>
          <w:rFonts w:asciiTheme="majorHAnsi" w:hAnsiTheme="majorHAnsi"/>
          <w:sz w:val="20"/>
          <w:szCs w:val="20"/>
        </w:rPr>
        <w:t>привернути</w:t>
      </w:r>
      <w:r w:rsidRPr="000977F7">
        <w:rPr>
          <w:rFonts w:asciiTheme="majorHAnsi" w:hAnsiTheme="majorHAnsi"/>
          <w:spacing w:val="9"/>
          <w:sz w:val="20"/>
          <w:szCs w:val="20"/>
        </w:rPr>
        <w:t xml:space="preserve"> </w:t>
      </w:r>
      <w:r w:rsidRPr="000977F7">
        <w:rPr>
          <w:rFonts w:asciiTheme="majorHAnsi" w:hAnsiTheme="majorHAnsi"/>
          <w:sz w:val="20"/>
          <w:szCs w:val="20"/>
        </w:rPr>
        <w:t>увагу</w:t>
      </w:r>
      <w:r w:rsidRPr="000977F7">
        <w:rPr>
          <w:rFonts w:asciiTheme="majorHAnsi" w:hAnsiTheme="majorHAnsi"/>
          <w:spacing w:val="5"/>
          <w:sz w:val="20"/>
          <w:szCs w:val="20"/>
        </w:rPr>
        <w:t xml:space="preserve"> </w:t>
      </w:r>
      <w:r w:rsidRPr="000977F7">
        <w:rPr>
          <w:rFonts w:asciiTheme="majorHAnsi" w:hAnsiTheme="majorHAnsi"/>
          <w:sz w:val="20"/>
          <w:szCs w:val="20"/>
        </w:rPr>
        <w:t>споживачів</w:t>
      </w:r>
      <w:r w:rsidRPr="000977F7">
        <w:rPr>
          <w:rFonts w:asciiTheme="majorHAnsi" w:hAnsiTheme="majorHAnsi"/>
          <w:spacing w:val="7"/>
          <w:sz w:val="20"/>
          <w:szCs w:val="20"/>
        </w:rPr>
        <w:t xml:space="preserve"> </w:t>
      </w:r>
      <w:r w:rsidRPr="000977F7">
        <w:rPr>
          <w:rFonts w:asciiTheme="majorHAnsi" w:hAnsiTheme="majorHAnsi"/>
          <w:sz w:val="20"/>
          <w:szCs w:val="20"/>
        </w:rPr>
        <w:t>ряду</w:t>
      </w:r>
      <w:r w:rsidRPr="000977F7">
        <w:rPr>
          <w:rFonts w:asciiTheme="majorHAnsi" w:hAnsiTheme="majorHAnsi"/>
          <w:spacing w:val="7"/>
          <w:sz w:val="20"/>
          <w:szCs w:val="20"/>
        </w:rPr>
        <w:t xml:space="preserve"> </w:t>
      </w:r>
      <w:r w:rsidRPr="000977F7">
        <w:rPr>
          <w:rFonts w:asciiTheme="majorHAnsi" w:hAnsiTheme="majorHAnsi"/>
          <w:sz w:val="20"/>
          <w:szCs w:val="20"/>
        </w:rPr>
        <w:t>сегментів</w:t>
      </w:r>
      <w:r w:rsidRPr="000977F7">
        <w:rPr>
          <w:rFonts w:asciiTheme="majorHAnsi" w:hAnsiTheme="majorHAnsi"/>
          <w:spacing w:val="-2"/>
          <w:sz w:val="20"/>
          <w:szCs w:val="20"/>
        </w:rPr>
        <w:t xml:space="preserve"> </w:t>
      </w:r>
      <w:r w:rsidRPr="000977F7">
        <w:rPr>
          <w:rFonts w:asciiTheme="majorHAnsi" w:hAnsiTheme="majorHAnsi"/>
          <w:sz w:val="20"/>
          <w:szCs w:val="20"/>
        </w:rPr>
        <w:t>ринку</w:t>
      </w:r>
    </w:p>
    <w:p w14:paraId="3D04AE8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7A8ACB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ДИФУЗІЙНИЙ</w:t>
      </w:r>
      <w:r w:rsidRPr="000977F7">
        <w:rPr>
          <w:color w:val="auto"/>
          <w:spacing w:val="-3"/>
          <w:sz w:val="20"/>
          <w:szCs w:val="20"/>
        </w:rPr>
        <w:t xml:space="preserve"> </w:t>
      </w:r>
      <w:r w:rsidRPr="000977F7">
        <w:rPr>
          <w:color w:val="auto"/>
          <w:sz w:val="20"/>
          <w:szCs w:val="20"/>
        </w:rPr>
        <w:t>КОНТРОЛЬ –</w:t>
      </w:r>
    </w:p>
    <w:p w14:paraId="1CF7A8E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DIFFUSION</w:t>
      </w:r>
      <w:r w:rsidRPr="000977F7">
        <w:rPr>
          <w:rFonts w:asciiTheme="majorHAnsi" w:hAnsiTheme="majorHAnsi"/>
          <w:spacing w:val="-2"/>
          <w:sz w:val="20"/>
          <w:szCs w:val="20"/>
        </w:rPr>
        <w:t xml:space="preserve"> </w:t>
      </w:r>
      <w:r w:rsidRPr="000977F7">
        <w:rPr>
          <w:rFonts w:asciiTheme="majorHAnsi" w:hAnsiTheme="majorHAnsi"/>
          <w:sz w:val="20"/>
          <w:szCs w:val="20"/>
        </w:rPr>
        <w:t>CONTROL</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6416678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Обмеження швидкості корозії стадією дифузії продуктів</w:t>
      </w:r>
      <w:r w:rsidRPr="000977F7">
        <w:rPr>
          <w:rFonts w:asciiTheme="majorHAnsi" w:hAnsiTheme="majorHAnsi"/>
          <w:spacing w:val="-2"/>
          <w:sz w:val="20"/>
          <w:szCs w:val="20"/>
        </w:rPr>
        <w:t xml:space="preserve"> </w:t>
      </w:r>
      <w:r w:rsidRPr="000977F7">
        <w:rPr>
          <w:rFonts w:asciiTheme="majorHAnsi" w:hAnsiTheme="majorHAnsi"/>
          <w:sz w:val="20"/>
          <w:szCs w:val="20"/>
        </w:rPr>
        <w:t>електродних</w:t>
      </w:r>
      <w:r w:rsidRPr="000977F7">
        <w:rPr>
          <w:rFonts w:asciiTheme="majorHAnsi" w:hAnsiTheme="majorHAnsi"/>
          <w:spacing w:val="-1"/>
          <w:sz w:val="20"/>
          <w:szCs w:val="20"/>
        </w:rPr>
        <w:t xml:space="preserve"> </w:t>
      </w:r>
      <w:r w:rsidRPr="000977F7">
        <w:rPr>
          <w:rFonts w:asciiTheme="majorHAnsi" w:hAnsiTheme="majorHAnsi"/>
          <w:sz w:val="20"/>
          <w:szCs w:val="20"/>
        </w:rPr>
        <w:t>реакцій</w:t>
      </w:r>
    </w:p>
    <w:p w14:paraId="4A8E6AD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54A5171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ДІАГНОСТИЧНА</w:t>
      </w:r>
      <w:r w:rsidRPr="000977F7">
        <w:rPr>
          <w:color w:val="auto"/>
          <w:spacing w:val="-4"/>
          <w:sz w:val="20"/>
          <w:szCs w:val="20"/>
        </w:rPr>
        <w:t xml:space="preserve"> </w:t>
      </w:r>
      <w:r w:rsidRPr="000977F7">
        <w:rPr>
          <w:color w:val="auto"/>
          <w:sz w:val="20"/>
          <w:szCs w:val="20"/>
        </w:rPr>
        <w:t>МОДЕЛЬ –</w:t>
      </w:r>
    </w:p>
    <w:p w14:paraId="5C74940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DIAGNOSTIC</w:t>
      </w:r>
      <w:r w:rsidRPr="000977F7">
        <w:rPr>
          <w:rFonts w:asciiTheme="majorHAnsi" w:hAnsiTheme="majorHAnsi"/>
          <w:spacing w:val="-4"/>
          <w:sz w:val="20"/>
          <w:szCs w:val="20"/>
        </w:rPr>
        <w:t xml:space="preserve"> </w:t>
      </w:r>
      <w:r w:rsidRPr="000977F7">
        <w:rPr>
          <w:rFonts w:asciiTheme="majorHAnsi" w:hAnsiTheme="majorHAnsi"/>
          <w:sz w:val="20"/>
          <w:szCs w:val="20"/>
        </w:rPr>
        <w:t>MODEL</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7F60420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Формалізований</w:t>
      </w:r>
      <w:r w:rsidRPr="000977F7">
        <w:rPr>
          <w:rFonts w:asciiTheme="majorHAnsi" w:hAnsiTheme="majorHAnsi"/>
          <w:spacing w:val="1"/>
          <w:sz w:val="20"/>
          <w:szCs w:val="20"/>
        </w:rPr>
        <w:t xml:space="preserve"> </w:t>
      </w:r>
      <w:r w:rsidRPr="000977F7">
        <w:rPr>
          <w:rFonts w:asciiTheme="majorHAnsi" w:hAnsiTheme="majorHAnsi"/>
          <w:sz w:val="20"/>
          <w:szCs w:val="20"/>
        </w:rPr>
        <w:t>опис</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необхідний</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вирішення</w:t>
      </w:r>
      <w:r w:rsidRPr="000977F7">
        <w:rPr>
          <w:rFonts w:asciiTheme="majorHAnsi" w:hAnsiTheme="majorHAnsi"/>
          <w:spacing w:val="-2"/>
          <w:sz w:val="20"/>
          <w:szCs w:val="20"/>
        </w:rPr>
        <w:t xml:space="preserve"> </w:t>
      </w:r>
      <w:r w:rsidRPr="000977F7">
        <w:rPr>
          <w:rFonts w:asciiTheme="majorHAnsi" w:hAnsiTheme="majorHAnsi"/>
          <w:sz w:val="20"/>
          <w:szCs w:val="20"/>
        </w:rPr>
        <w:t>завдань діагностування</w:t>
      </w:r>
    </w:p>
    <w:p w14:paraId="2AD23D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E8EE0A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Опис</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поданий</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аналітичній,</w:t>
      </w:r>
      <w:r w:rsidRPr="000977F7">
        <w:rPr>
          <w:rFonts w:asciiTheme="majorHAnsi" w:hAnsiTheme="majorHAnsi"/>
          <w:spacing w:val="1"/>
          <w:sz w:val="20"/>
          <w:szCs w:val="20"/>
        </w:rPr>
        <w:t xml:space="preserve"> </w:t>
      </w:r>
      <w:r w:rsidRPr="000977F7">
        <w:rPr>
          <w:rFonts w:asciiTheme="majorHAnsi" w:hAnsiTheme="majorHAnsi"/>
          <w:sz w:val="20"/>
          <w:szCs w:val="20"/>
        </w:rPr>
        <w:t>табличній,</w:t>
      </w:r>
      <w:r w:rsidRPr="000977F7">
        <w:rPr>
          <w:rFonts w:asciiTheme="majorHAnsi" w:hAnsiTheme="majorHAnsi"/>
          <w:spacing w:val="-47"/>
          <w:sz w:val="20"/>
          <w:szCs w:val="20"/>
        </w:rPr>
        <w:t xml:space="preserve"> </w:t>
      </w:r>
      <w:r w:rsidRPr="000977F7">
        <w:rPr>
          <w:rFonts w:asciiTheme="majorHAnsi" w:hAnsiTheme="majorHAnsi"/>
          <w:sz w:val="20"/>
          <w:szCs w:val="20"/>
        </w:rPr>
        <w:t>графічній та</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формах</w:t>
      </w:r>
    </w:p>
    <w:p w14:paraId="2A4DF9A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C6F6D5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ДІАГНОСТИЧНЕ</w:t>
      </w:r>
      <w:r w:rsidRPr="000977F7">
        <w:rPr>
          <w:color w:val="auto"/>
          <w:spacing w:val="-8"/>
          <w:sz w:val="20"/>
          <w:szCs w:val="20"/>
        </w:rPr>
        <w:t xml:space="preserve"> </w:t>
      </w:r>
      <w:r w:rsidRPr="000977F7">
        <w:rPr>
          <w:color w:val="auto"/>
          <w:sz w:val="20"/>
          <w:szCs w:val="20"/>
        </w:rPr>
        <w:t>ЗАБЕЗПЕЧЕННЯ–</w:t>
      </w:r>
    </w:p>
    <w:p w14:paraId="29C244C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DIAGNOSABILITY</w:t>
      </w:r>
      <w:r w:rsidRPr="000977F7">
        <w:rPr>
          <w:rFonts w:asciiTheme="majorHAnsi" w:hAnsiTheme="majorHAnsi"/>
          <w:spacing w:val="-4"/>
          <w:sz w:val="20"/>
          <w:szCs w:val="20"/>
        </w:rPr>
        <w:t xml:space="preserve"> </w:t>
      </w:r>
      <w:r w:rsidRPr="000977F7">
        <w:rPr>
          <w:rFonts w:asciiTheme="majorHAnsi" w:hAnsiTheme="majorHAnsi"/>
          <w:sz w:val="20"/>
          <w:szCs w:val="20"/>
        </w:rPr>
        <w:t>PROVISION –</w:t>
      </w:r>
    </w:p>
    <w:p w14:paraId="1CD5332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 взаємно погоджених правил, методів, алгоритмів і засобів, необхідних для здійснення діагностування</w:t>
      </w:r>
      <w:r w:rsidRPr="000977F7">
        <w:rPr>
          <w:rFonts w:asciiTheme="majorHAnsi" w:hAnsiTheme="majorHAnsi"/>
          <w:spacing w:val="-3"/>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всіх</w:t>
      </w:r>
      <w:r w:rsidRPr="000977F7">
        <w:rPr>
          <w:rFonts w:asciiTheme="majorHAnsi" w:hAnsiTheme="majorHAnsi"/>
          <w:spacing w:val="-3"/>
          <w:sz w:val="20"/>
          <w:szCs w:val="20"/>
        </w:rPr>
        <w:t xml:space="preserve"> </w:t>
      </w:r>
      <w:r w:rsidRPr="000977F7">
        <w:rPr>
          <w:rFonts w:asciiTheme="majorHAnsi" w:hAnsiTheme="majorHAnsi"/>
          <w:sz w:val="20"/>
          <w:szCs w:val="20"/>
        </w:rPr>
        <w:t>етапах</w:t>
      </w:r>
      <w:r w:rsidRPr="000977F7">
        <w:rPr>
          <w:rFonts w:asciiTheme="majorHAnsi" w:hAnsiTheme="majorHAnsi"/>
          <w:spacing w:val="-3"/>
          <w:sz w:val="20"/>
          <w:szCs w:val="20"/>
        </w:rPr>
        <w:t xml:space="preserve"> </w:t>
      </w:r>
      <w:r w:rsidRPr="000977F7">
        <w:rPr>
          <w:rFonts w:asciiTheme="majorHAnsi" w:hAnsiTheme="majorHAnsi"/>
          <w:sz w:val="20"/>
          <w:szCs w:val="20"/>
        </w:rPr>
        <w:t>життєвого циклу</w:t>
      </w:r>
      <w:r w:rsidRPr="000977F7">
        <w:rPr>
          <w:rFonts w:asciiTheme="majorHAnsi" w:hAnsiTheme="majorHAnsi"/>
          <w:spacing w:val="-5"/>
          <w:sz w:val="20"/>
          <w:szCs w:val="20"/>
        </w:rPr>
        <w:t xml:space="preserve"> </w:t>
      </w:r>
      <w:r w:rsidRPr="000977F7">
        <w:rPr>
          <w:rFonts w:asciiTheme="majorHAnsi" w:hAnsiTheme="majorHAnsi"/>
          <w:sz w:val="20"/>
          <w:szCs w:val="20"/>
        </w:rPr>
        <w:t>об’єкта</w:t>
      </w:r>
    </w:p>
    <w:p w14:paraId="3A19179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FABF32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ДІАГНОСТОВАНИЙ</w:t>
      </w:r>
      <w:r w:rsidRPr="000977F7">
        <w:rPr>
          <w:color w:val="auto"/>
          <w:spacing w:val="43"/>
          <w:sz w:val="20"/>
          <w:szCs w:val="20"/>
        </w:rPr>
        <w:t xml:space="preserve"> </w:t>
      </w:r>
      <w:r w:rsidRPr="000977F7">
        <w:rPr>
          <w:color w:val="auto"/>
          <w:sz w:val="20"/>
          <w:szCs w:val="20"/>
        </w:rPr>
        <w:t>ПАРАМЕТР</w:t>
      </w:r>
      <w:r w:rsidRPr="000977F7">
        <w:rPr>
          <w:color w:val="auto"/>
          <w:spacing w:val="-1"/>
          <w:sz w:val="20"/>
          <w:szCs w:val="20"/>
        </w:rPr>
        <w:t xml:space="preserve"> </w:t>
      </w:r>
      <w:r w:rsidRPr="000977F7">
        <w:rPr>
          <w:color w:val="auto"/>
          <w:sz w:val="20"/>
          <w:szCs w:val="20"/>
        </w:rPr>
        <w:t>–</w:t>
      </w:r>
    </w:p>
    <w:p w14:paraId="329CB29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Параметр об’єкта, використовуваний при його діагностуванні</w:t>
      </w:r>
      <w:r w:rsidRPr="000977F7">
        <w:rPr>
          <w:rFonts w:asciiTheme="majorHAnsi" w:hAnsiTheme="majorHAnsi"/>
          <w:spacing w:val="-2"/>
          <w:sz w:val="20"/>
          <w:szCs w:val="20"/>
        </w:rPr>
        <w:t xml:space="preserve"> </w:t>
      </w:r>
      <w:r w:rsidRPr="000977F7">
        <w:rPr>
          <w:rFonts w:asciiTheme="majorHAnsi" w:hAnsiTheme="majorHAnsi"/>
          <w:sz w:val="20"/>
          <w:szCs w:val="20"/>
        </w:rPr>
        <w:t>(контролі)</w:t>
      </w:r>
    </w:p>
    <w:p w14:paraId="407CB30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 – 94</w:t>
      </w:r>
    </w:p>
    <w:p w14:paraId="0AEE1C9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ДІАГРАМА</w:t>
      </w:r>
      <w:r w:rsidRPr="000977F7">
        <w:rPr>
          <w:color w:val="auto"/>
          <w:spacing w:val="-4"/>
          <w:sz w:val="20"/>
          <w:szCs w:val="20"/>
        </w:rPr>
        <w:t xml:space="preserve"> </w:t>
      </w:r>
      <w:r w:rsidRPr="000977F7">
        <w:rPr>
          <w:color w:val="auto"/>
          <w:sz w:val="20"/>
          <w:szCs w:val="20"/>
        </w:rPr>
        <w:t>КОРОЗІЙНОГО</w:t>
      </w:r>
      <w:r w:rsidRPr="000977F7">
        <w:rPr>
          <w:color w:val="auto"/>
          <w:spacing w:val="-1"/>
          <w:sz w:val="20"/>
          <w:szCs w:val="20"/>
        </w:rPr>
        <w:t xml:space="preserve"> </w:t>
      </w:r>
      <w:r w:rsidRPr="000977F7">
        <w:rPr>
          <w:color w:val="auto"/>
          <w:sz w:val="20"/>
          <w:szCs w:val="20"/>
        </w:rPr>
        <w:t>РУЙНУВАННЯ</w:t>
      </w:r>
      <w:r w:rsidRPr="000977F7">
        <w:rPr>
          <w:color w:val="auto"/>
          <w:spacing w:val="-3"/>
          <w:sz w:val="20"/>
          <w:szCs w:val="20"/>
        </w:rPr>
        <w:t xml:space="preserve"> </w:t>
      </w:r>
      <w:r w:rsidRPr="000977F7">
        <w:rPr>
          <w:color w:val="auto"/>
          <w:sz w:val="20"/>
          <w:szCs w:val="20"/>
        </w:rPr>
        <w:t>–</w:t>
      </w:r>
    </w:p>
    <w:p w14:paraId="6BCCAEE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Графік залежності швидкості росту тріщини від коефіцієнта</w:t>
      </w:r>
      <w:r w:rsidRPr="000977F7">
        <w:rPr>
          <w:rFonts w:asciiTheme="majorHAnsi" w:hAnsiTheme="majorHAnsi"/>
          <w:spacing w:val="-1"/>
          <w:sz w:val="20"/>
          <w:szCs w:val="20"/>
        </w:rPr>
        <w:t xml:space="preserve"> </w:t>
      </w:r>
      <w:r w:rsidRPr="000977F7">
        <w:rPr>
          <w:rFonts w:asciiTheme="majorHAnsi" w:hAnsiTheme="majorHAnsi"/>
          <w:sz w:val="20"/>
          <w:szCs w:val="20"/>
        </w:rPr>
        <w:t>інтенсивності</w:t>
      </w:r>
      <w:r w:rsidRPr="000977F7">
        <w:rPr>
          <w:rFonts w:asciiTheme="majorHAnsi" w:hAnsiTheme="majorHAnsi"/>
          <w:spacing w:val="-2"/>
          <w:sz w:val="20"/>
          <w:szCs w:val="20"/>
        </w:rPr>
        <w:t xml:space="preserve"> </w:t>
      </w:r>
      <w:r w:rsidRPr="000977F7">
        <w:rPr>
          <w:rFonts w:asciiTheme="majorHAnsi" w:hAnsiTheme="majorHAnsi"/>
          <w:sz w:val="20"/>
          <w:szCs w:val="20"/>
        </w:rPr>
        <w:t>напруг</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2"/>
          <w:sz w:val="20"/>
          <w:szCs w:val="20"/>
        </w:rPr>
        <w:t xml:space="preserve"> </w:t>
      </w:r>
      <w:r w:rsidRPr="000977F7">
        <w:rPr>
          <w:rFonts w:asciiTheme="majorHAnsi" w:hAnsiTheme="majorHAnsi"/>
          <w:sz w:val="20"/>
          <w:szCs w:val="20"/>
        </w:rPr>
        <w:t>час корозії</w:t>
      </w:r>
    </w:p>
    <w:p w14:paraId="265E445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3830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98</w:t>
      </w:r>
    </w:p>
    <w:p w14:paraId="0970531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ДІАГРАММА</w:t>
      </w:r>
      <w:r w:rsidRPr="000977F7">
        <w:rPr>
          <w:color w:val="auto"/>
          <w:spacing w:val="-3"/>
          <w:sz w:val="20"/>
          <w:szCs w:val="20"/>
        </w:rPr>
        <w:t xml:space="preserve"> </w:t>
      </w:r>
      <w:r w:rsidRPr="000977F7">
        <w:rPr>
          <w:color w:val="auto"/>
          <w:sz w:val="20"/>
          <w:szCs w:val="20"/>
        </w:rPr>
        <w:t>ТОЧНОСТІ</w:t>
      </w:r>
      <w:r w:rsidRPr="000977F7">
        <w:rPr>
          <w:color w:val="auto"/>
          <w:spacing w:val="-1"/>
          <w:sz w:val="20"/>
          <w:szCs w:val="20"/>
        </w:rPr>
        <w:t xml:space="preserve"> </w:t>
      </w:r>
      <w:r w:rsidRPr="000977F7">
        <w:rPr>
          <w:color w:val="auto"/>
          <w:sz w:val="20"/>
          <w:szCs w:val="20"/>
        </w:rPr>
        <w:t>–</w:t>
      </w:r>
    </w:p>
    <w:p w14:paraId="3531380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PROCESS</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OPERATION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CHART</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3C3F63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Графічне</w:t>
      </w:r>
      <w:r w:rsidRPr="000977F7">
        <w:rPr>
          <w:rFonts w:asciiTheme="majorHAnsi" w:hAnsiTheme="majorHAnsi"/>
          <w:spacing w:val="1"/>
          <w:sz w:val="20"/>
          <w:szCs w:val="20"/>
        </w:rPr>
        <w:t xml:space="preserve"> </w:t>
      </w:r>
      <w:r w:rsidRPr="000977F7">
        <w:rPr>
          <w:rFonts w:asciiTheme="majorHAnsi" w:hAnsiTheme="majorHAnsi"/>
          <w:sz w:val="20"/>
          <w:szCs w:val="20"/>
        </w:rPr>
        <w:t>зображення</w:t>
      </w:r>
      <w:r w:rsidRPr="000977F7">
        <w:rPr>
          <w:rFonts w:asciiTheme="majorHAnsi" w:hAnsiTheme="majorHAnsi"/>
          <w:spacing w:val="1"/>
          <w:sz w:val="20"/>
          <w:szCs w:val="20"/>
        </w:rPr>
        <w:t xml:space="preserve"> </w:t>
      </w:r>
      <w:r w:rsidRPr="000977F7">
        <w:rPr>
          <w:rFonts w:asciiTheme="majorHAnsi" w:hAnsiTheme="majorHAnsi"/>
          <w:sz w:val="20"/>
          <w:szCs w:val="20"/>
        </w:rPr>
        <w:t>залежності</w:t>
      </w:r>
      <w:r w:rsidRPr="000977F7">
        <w:rPr>
          <w:rFonts w:asciiTheme="majorHAnsi" w:hAnsiTheme="majorHAnsi"/>
          <w:spacing w:val="1"/>
          <w:sz w:val="20"/>
          <w:szCs w:val="20"/>
        </w:rPr>
        <w:t xml:space="preserve"> </w:t>
      </w:r>
      <w:r w:rsidRPr="000977F7">
        <w:rPr>
          <w:rFonts w:asciiTheme="majorHAnsi" w:hAnsiTheme="majorHAnsi"/>
          <w:sz w:val="20"/>
          <w:szCs w:val="20"/>
        </w:rPr>
        <w:t>одного</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кількох</w:t>
      </w:r>
      <w:r w:rsidRPr="000977F7">
        <w:rPr>
          <w:rFonts w:asciiTheme="majorHAnsi" w:hAnsiTheme="majorHAnsi"/>
          <w:spacing w:val="-47"/>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1"/>
          <w:sz w:val="20"/>
          <w:szCs w:val="20"/>
        </w:rPr>
        <w:t xml:space="preserve"> </w:t>
      </w:r>
      <w:r w:rsidRPr="000977F7">
        <w:rPr>
          <w:rFonts w:asciiTheme="majorHAnsi" w:hAnsiTheme="majorHAnsi"/>
          <w:sz w:val="20"/>
          <w:szCs w:val="20"/>
        </w:rPr>
        <w:t>точності</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стабільності</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4"/>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66C987E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C6F903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Розрізняють емпіричну діаграму точності, яку будують на базі дослідження наявного процесу, і теоретичну діаграму точності, яку будують на основі статистичних розрахунків для прогнозування точності і стабільності</w:t>
      </w:r>
      <w:r w:rsidRPr="000977F7">
        <w:rPr>
          <w:rFonts w:asciiTheme="majorHAnsi" w:hAnsiTheme="majorHAnsi"/>
          <w:spacing w:val="-2"/>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p>
    <w:p w14:paraId="3EFD86D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1F2BE58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ДІАЗО</w:t>
      </w:r>
      <w:r w:rsidRPr="000977F7">
        <w:rPr>
          <w:color w:val="auto"/>
          <w:spacing w:val="-2"/>
          <w:sz w:val="20"/>
          <w:szCs w:val="20"/>
        </w:rPr>
        <w:t xml:space="preserve"> </w:t>
      </w:r>
      <w:r w:rsidRPr="000977F7">
        <w:rPr>
          <w:color w:val="auto"/>
          <w:sz w:val="20"/>
          <w:szCs w:val="20"/>
        </w:rPr>
        <w:t>ДУБЛІКАТ</w:t>
      </w:r>
      <w:r w:rsidRPr="000977F7">
        <w:rPr>
          <w:color w:val="auto"/>
          <w:spacing w:val="-2"/>
          <w:sz w:val="20"/>
          <w:szCs w:val="20"/>
        </w:rPr>
        <w:t xml:space="preserve"> </w:t>
      </w:r>
      <w:r w:rsidRPr="000977F7">
        <w:rPr>
          <w:color w:val="auto"/>
          <w:sz w:val="20"/>
          <w:szCs w:val="20"/>
        </w:rPr>
        <w:t>–</w:t>
      </w:r>
    </w:p>
    <w:p w14:paraId="7210BD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Дублікат конструкторського документа, виконаний на</w:t>
      </w:r>
      <w:r w:rsidRPr="000977F7">
        <w:rPr>
          <w:rFonts w:asciiTheme="majorHAnsi" w:hAnsiTheme="majorHAnsi"/>
          <w:spacing w:val="-47"/>
          <w:sz w:val="20"/>
          <w:szCs w:val="20"/>
        </w:rPr>
        <w:t xml:space="preserve"> </w:t>
      </w:r>
      <w:r w:rsidRPr="000977F7">
        <w:rPr>
          <w:rFonts w:asciiTheme="majorHAnsi" w:hAnsiTheme="majorHAnsi"/>
          <w:sz w:val="20"/>
          <w:szCs w:val="20"/>
        </w:rPr>
        <w:t>діазокальці</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позитивному</w:t>
      </w:r>
      <w:r w:rsidRPr="000977F7">
        <w:rPr>
          <w:rFonts w:asciiTheme="majorHAnsi" w:hAnsiTheme="majorHAnsi"/>
          <w:spacing w:val="1"/>
          <w:sz w:val="20"/>
          <w:szCs w:val="20"/>
        </w:rPr>
        <w:t xml:space="preserve"> </w:t>
      </w:r>
      <w:r w:rsidRPr="000977F7">
        <w:rPr>
          <w:rFonts w:asciiTheme="majorHAnsi" w:hAnsiTheme="majorHAnsi"/>
          <w:sz w:val="20"/>
          <w:szCs w:val="20"/>
        </w:rPr>
        <w:t>зображенні</w:t>
      </w:r>
      <w:r w:rsidRPr="000977F7">
        <w:rPr>
          <w:rFonts w:asciiTheme="majorHAnsi" w:hAnsiTheme="majorHAnsi"/>
          <w:spacing w:val="1"/>
          <w:sz w:val="20"/>
          <w:szCs w:val="20"/>
        </w:rPr>
        <w:t xml:space="preserve"> </w:t>
      </w:r>
      <w:r w:rsidRPr="000977F7">
        <w:rPr>
          <w:rFonts w:asciiTheme="majorHAnsi" w:hAnsiTheme="majorHAnsi"/>
          <w:sz w:val="20"/>
          <w:szCs w:val="20"/>
        </w:rPr>
        <w:t>й</w:t>
      </w:r>
      <w:r w:rsidRPr="000977F7">
        <w:rPr>
          <w:rFonts w:asciiTheme="majorHAnsi" w:hAnsiTheme="majorHAnsi"/>
          <w:spacing w:val="1"/>
          <w:sz w:val="20"/>
          <w:szCs w:val="20"/>
        </w:rPr>
        <w:t xml:space="preserve"> </w:t>
      </w:r>
      <w:r w:rsidRPr="000977F7">
        <w:rPr>
          <w:rFonts w:asciiTheme="majorHAnsi" w:hAnsiTheme="majorHAnsi"/>
          <w:sz w:val="20"/>
          <w:szCs w:val="20"/>
        </w:rPr>
        <w:t>масштабі</w:t>
      </w:r>
      <w:r w:rsidRPr="000977F7">
        <w:rPr>
          <w:rFonts w:asciiTheme="majorHAnsi" w:hAnsiTheme="majorHAnsi"/>
          <w:spacing w:val="1"/>
          <w:sz w:val="20"/>
          <w:szCs w:val="20"/>
        </w:rPr>
        <w:t xml:space="preserve"> </w:t>
      </w:r>
      <w:r w:rsidRPr="000977F7">
        <w:rPr>
          <w:rFonts w:asciiTheme="majorHAnsi" w:hAnsiTheme="majorHAnsi"/>
          <w:sz w:val="20"/>
          <w:szCs w:val="20"/>
        </w:rPr>
        <w:t>правдника</w:t>
      </w:r>
    </w:p>
    <w:p w14:paraId="07518B8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 xml:space="preserve">3321 - </w:t>
      </w:r>
      <w:r w:rsidRPr="000977F7">
        <w:rPr>
          <w:rFonts w:asciiTheme="majorHAnsi" w:hAnsiTheme="majorHAnsi"/>
          <w:sz w:val="20"/>
          <w:szCs w:val="20"/>
        </w:rPr>
        <w:t>2003</w:t>
      </w:r>
    </w:p>
    <w:p w14:paraId="5E6185D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ДІАГРАМА</w:t>
      </w:r>
      <w:r w:rsidRPr="000977F7">
        <w:rPr>
          <w:color w:val="auto"/>
          <w:spacing w:val="-4"/>
          <w:sz w:val="20"/>
          <w:szCs w:val="20"/>
        </w:rPr>
        <w:t xml:space="preserve"> </w:t>
      </w:r>
      <w:r w:rsidRPr="000977F7">
        <w:rPr>
          <w:color w:val="auto"/>
          <w:sz w:val="20"/>
          <w:szCs w:val="20"/>
        </w:rPr>
        <w:t>СТАНІВ</w:t>
      </w:r>
      <w:r w:rsidRPr="000977F7">
        <w:rPr>
          <w:color w:val="auto"/>
          <w:spacing w:val="-3"/>
          <w:sz w:val="20"/>
          <w:szCs w:val="20"/>
        </w:rPr>
        <w:t xml:space="preserve"> </w:t>
      </w:r>
      <w:r w:rsidRPr="000977F7">
        <w:rPr>
          <w:color w:val="auto"/>
          <w:sz w:val="20"/>
          <w:szCs w:val="20"/>
        </w:rPr>
        <w:t>ТА</w:t>
      </w:r>
      <w:r w:rsidRPr="000977F7">
        <w:rPr>
          <w:color w:val="auto"/>
          <w:spacing w:val="-2"/>
          <w:sz w:val="20"/>
          <w:szCs w:val="20"/>
        </w:rPr>
        <w:t xml:space="preserve"> </w:t>
      </w:r>
      <w:r w:rsidRPr="000977F7">
        <w:rPr>
          <w:color w:val="auto"/>
          <w:sz w:val="20"/>
          <w:szCs w:val="20"/>
        </w:rPr>
        <w:t>ПЕРЕХОДІВ–</w:t>
      </w:r>
    </w:p>
    <w:p w14:paraId="5E5868D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STATE</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r w:rsidRPr="004D2D14">
        <w:rPr>
          <w:rFonts w:asciiTheme="majorHAnsi" w:hAnsiTheme="majorHAnsi"/>
          <w:spacing w:val="-3"/>
          <w:sz w:val="20"/>
          <w:szCs w:val="20"/>
          <w:lang w:val="uk-UA"/>
        </w:rPr>
        <w:t xml:space="preserve"> </w:t>
      </w:r>
      <w:r w:rsidRPr="000977F7">
        <w:rPr>
          <w:rFonts w:asciiTheme="majorHAnsi" w:hAnsiTheme="majorHAnsi"/>
          <w:sz w:val="20"/>
          <w:szCs w:val="20"/>
        </w:rPr>
        <w:t>TRANSITION</w:t>
      </w:r>
      <w:r w:rsidRPr="004D2D14">
        <w:rPr>
          <w:rFonts w:asciiTheme="majorHAnsi" w:hAnsiTheme="majorHAnsi"/>
          <w:spacing w:val="-2"/>
          <w:sz w:val="20"/>
          <w:szCs w:val="20"/>
          <w:lang w:val="uk-UA"/>
        </w:rPr>
        <w:t xml:space="preserve"> </w:t>
      </w:r>
      <w:r w:rsidRPr="000977F7">
        <w:rPr>
          <w:rFonts w:asciiTheme="majorHAnsi" w:hAnsiTheme="majorHAnsi"/>
          <w:sz w:val="20"/>
          <w:szCs w:val="20"/>
        </w:rPr>
        <w:t>DIAGRAM</w:t>
      </w:r>
      <w:r w:rsidRPr="004D2D14">
        <w:rPr>
          <w:rFonts w:asciiTheme="majorHAnsi" w:hAnsiTheme="majorHAnsi"/>
          <w:sz w:val="20"/>
          <w:szCs w:val="20"/>
          <w:lang w:val="uk-UA"/>
        </w:rPr>
        <w:t xml:space="preserve"> –</w:t>
      </w:r>
    </w:p>
    <w:p w14:paraId="00BBC56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Схема,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відображає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множину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можливих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станів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об’єкта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імовірних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однокрокових переходів</w:t>
      </w:r>
    </w:p>
    <w:p w14:paraId="3E8F94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між</w:t>
      </w:r>
      <w:r w:rsidRPr="000977F7">
        <w:rPr>
          <w:rFonts w:asciiTheme="majorHAnsi" w:hAnsiTheme="majorHAnsi"/>
          <w:spacing w:val="-2"/>
          <w:sz w:val="20"/>
          <w:szCs w:val="20"/>
        </w:rPr>
        <w:t xml:space="preserve"> </w:t>
      </w:r>
      <w:r w:rsidRPr="000977F7">
        <w:rPr>
          <w:rFonts w:asciiTheme="majorHAnsi" w:hAnsiTheme="majorHAnsi"/>
          <w:sz w:val="20"/>
          <w:szCs w:val="20"/>
        </w:rPr>
        <w:t>ними</w:t>
      </w:r>
    </w:p>
    <w:p w14:paraId="2536FA5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92EF5E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ДІАПАЗОН</w:t>
      </w:r>
      <w:r w:rsidRPr="000977F7">
        <w:rPr>
          <w:color w:val="auto"/>
          <w:spacing w:val="44"/>
          <w:sz w:val="20"/>
          <w:szCs w:val="20"/>
        </w:rPr>
        <w:t xml:space="preserve"> </w:t>
      </w:r>
      <w:r w:rsidRPr="000977F7">
        <w:rPr>
          <w:color w:val="auto"/>
          <w:sz w:val="20"/>
          <w:szCs w:val="20"/>
        </w:rPr>
        <w:t>ВИМІРЮВАНЬ</w:t>
      </w:r>
      <w:r w:rsidRPr="000977F7">
        <w:rPr>
          <w:color w:val="auto"/>
          <w:spacing w:val="-1"/>
          <w:sz w:val="20"/>
          <w:szCs w:val="20"/>
        </w:rPr>
        <w:t xml:space="preserve"> </w:t>
      </w:r>
      <w:r w:rsidRPr="000977F7">
        <w:rPr>
          <w:color w:val="auto"/>
          <w:sz w:val="20"/>
          <w:szCs w:val="20"/>
        </w:rPr>
        <w:t>–</w:t>
      </w:r>
    </w:p>
    <w:p w14:paraId="299BB8D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SPECIFIED</w:t>
      </w:r>
      <w:r w:rsidRPr="004D2D14">
        <w:rPr>
          <w:rFonts w:asciiTheme="majorHAnsi" w:hAnsiTheme="majorHAnsi"/>
          <w:spacing w:val="-3"/>
          <w:sz w:val="20"/>
          <w:szCs w:val="20"/>
          <w:lang w:val="uk-UA"/>
        </w:rPr>
        <w:t xml:space="preserve"> </w:t>
      </w:r>
      <w:r w:rsidRPr="000977F7">
        <w:rPr>
          <w:rFonts w:asciiTheme="majorHAnsi" w:hAnsiTheme="majorHAnsi"/>
          <w:sz w:val="20"/>
          <w:szCs w:val="20"/>
        </w:rPr>
        <w:t>MEASURING</w:t>
      </w:r>
      <w:r w:rsidRPr="004D2D14">
        <w:rPr>
          <w:rFonts w:asciiTheme="majorHAnsi" w:hAnsiTheme="majorHAnsi"/>
          <w:spacing w:val="-1"/>
          <w:sz w:val="20"/>
          <w:szCs w:val="20"/>
          <w:lang w:val="uk-UA"/>
        </w:rPr>
        <w:t xml:space="preserve"> </w:t>
      </w:r>
      <w:r w:rsidRPr="000977F7">
        <w:rPr>
          <w:rFonts w:asciiTheme="majorHAnsi" w:hAnsiTheme="majorHAnsi"/>
          <w:sz w:val="20"/>
          <w:szCs w:val="20"/>
        </w:rPr>
        <w:t>RANGE</w:t>
      </w:r>
      <w:r w:rsidRPr="004D2D14">
        <w:rPr>
          <w:rFonts w:asciiTheme="majorHAnsi" w:hAnsiTheme="majorHAnsi"/>
          <w:sz w:val="20"/>
          <w:szCs w:val="20"/>
          <w:lang w:val="uk-UA"/>
        </w:rPr>
        <w:t xml:space="preserve"> –</w:t>
      </w:r>
    </w:p>
    <w:p w14:paraId="560FE75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Інтервал значень вимірюваної величини, в межах якого пронормовані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похибки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засобу</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вимірювань</w:t>
      </w:r>
    </w:p>
    <w:p w14:paraId="3B2B453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060AD01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ДІАПАЗОН</w:t>
      </w:r>
      <w:r w:rsidRPr="000977F7">
        <w:rPr>
          <w:color w:val="auto"/>
          <w:spacing w:val="-5"/>
          <w:sz w:val="20"/>
          <w:szCs w:val="20"/>
        </w:rPr>
        <w:t xml:space="preserve"> </w:t>
      </w:r>
      <w:r w:rsidRPr="000977F7">
        <w:rPr>
          <w:color w:val="auto"/>
          <w:sz w:val="20"/>
          <w:szCs w:val="20"/>
        </w:rPr>
        <w:t>ЗАХИСНОГО</w:t>
      </w:r>
      <w:r w:rsidRPr="000977F7">
        <w:rPr>
          <w:color w:val="auto"/>
          <w:spacing w:val="-4"/>
          <w:sz w:val="20"/>
          <w:szCs w:val="20"/>
        </w:rPr>
        <w:t xml:space="preserve"> </w:t>
      </w:r>
      <w:r w:rsidRPr="000977F7">
        <w:rPr>
          <w:color w:val="auto"/>
          <w:sz w:val="20"/>
          <w:szCs w:val="20"/>
        </w:rPr>
        <w:t>ПОТЕНЦІАЛУ</w:t>
      </w:r>
      <w:r w:rsidRPr="000977F7">
        <w:rPr>
          <w:color w:val="auto"/>
          <w:spacing w:val="-4"/>
          <w:sz w:val="20"/>
          <w:szCs w:val="20"/>
        </w:rPr>
        <w:t xml:space="preserve"> </w:t>
      </w:r>
      <w:r w:rsidRPr="000977F7">
        <w:rPr>
          <w:color w:val="auto"/>
          <w:sz w:val="20"/>
          <w:szCs w:val="20"/>
        </w:rPr>
        <w:t>–</w:t>
      </w:r>
    </w:p>
    <w:p w14:paraId="67DE6B1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PROTECTIVE</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POTENTIAL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RANGE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5ABEE5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Діапазон значень потенціалу металу, в якому досягається задовільна для даного випадку корозійна тривкість</w:t>
      </w:r>
    </w:p>
    <w:p w14:paraId="686C27A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3830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98</w:t>
      </w:r>
    </w:p>
    <w:p w14:paraId="18390B4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ДІАПАЗОН</w:t>
      </w:r>
      <w:r w:rsidRPr="000977F7">
        <w:rPr>
          <w:color w:val="auto"/>
          <w:spacing w:val="-4"/>
          <w:sz w:val="20"/>
          <w:szCs w:val="20"/>
        </w:rPr>
        <w:t xml:space="preserve"> </w:t>
      </w:r>
      <w:r w:rsidRPr="000977F7">
        <w:rPr>
          <w:color w:val="auto"/>
          <w:sz w:val="20"/>
          <w:szCs w:val="20"/>
        </w:rPr>
        <w:t>ЗМІНЮВАННЯ</w:t>
      </w:r>
      <w:r w:rsidRPr="000977F7">
        <w:rPr>
          <w:color w:val="auto"/>
          <w:spacing w:val="-1"/>
          <w:sz w:val="20"/>
          <w:szCs w:val="20"/>
        </w:rPr>
        <w:t xml:space="preserve"> </w:t>
      </w:r>
      <w:r w:rsidRPr="000977F7">
        <w:rPr>
          <w:color w:val="auto"/>
          <w:sz w:val="20"/>
          <w:szCs w:val="20"/>
        </w:rPr>
        <w:t>ПАРАМЕТРА</w:t>
      </w:r>
      <w:r w:rsidRPr="000977F7">
        <w:rPr>
          <w:color w:val="auto"/>
          <w:spacing w:val="-5"/>
          <w:sz w:val="20"/>
          <w:szCs w:val="20"/>
        </w:rPr>
        <w:t xml:space="preserve"> </w:t>
      </w:r>
      <w:r w:rsidRPr="000977F7">
        <w:rPr>
          <w:color w:val="auto"/>
          <w:sz w:val="20"/>
          <w:szCs w:val="20"/>
        </w:rPr>
        <w:t>−</w:t>
      </w:r>
    </w:p>
    <w:p w14:paraId="5F71863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RANGE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 CHANGE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PARAMETER</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2135EDE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Множина можливих значень параметра конкретного</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2CF38FA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w:t>
      </w:r>
      <w:r w:rsidRPr="000977F7">
        <w:rPr>
          <w:rFonts w:asciiTheme="majorHAnsi" w:hAnsiTheme="majorHAnsi"/>
          <w:i/>
          <w:spacing w:val="-2"/>
          <w:sz w:val="20"/>
          <w:szCs w:val="20"/>
        </w:rPr>
        <w:t xml:space="preserve"> </w:t>
      </w:r>
      <w:r w:rsidRPr="000977F7">
        <w:rPr>
          <w:rFonts w:asciiTheme="majorHAnsi" w:hAnsiTheme="majorHAnsi"/>
          <w:i/>
          <w:sz w:val="20"/>
          <w:szCs w:val="20"/>
        </w:rPr>
        <w:t>2000</w:t>
      </w:r>
    </w:p>
    <w:p w14:paraId="16DBCFD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ДІАПАЗОН ПОКАЗНИКІВ ЗАСОБУ </w:t>
      </w:r>
    </w:p>
    <w:p w14:paraId="09C2405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ВИМІРЮ</w:t>
      </w:r>
      <w:r w:rsidRPr="000977F7">
        <w:rPr>
          <w:color w:val="auto"/>
          <w:spacing w:val="-48"/>
          <w:sz w:val="20"/>
          <w:szCs w:val="20"/>
        </w:rPr>
        <w:t xml:space="preserve"> </w:t>
      </w:r>
      <w:r w:rsidRPr="000977F7">
        <w:rPr>
          <w:color w:val="auto"/>
          <w:sz w:val="20"/>
          <w:szCs w:val="20"/>
        </w:rPr>
        <w:t>ВАНЬ –</w:t>
      </w:r>
    </w:p>
    <w:p w14:paraId="7C2AB7B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SCALE</w:t>
      </w:r>
      <w:r w:rsidRPr="004D2D14">
        <w:rPr>
          <w:rFonts w:asciiTheme="majorHAnsi" w:hAnsiTheme="majorHAnsi"/>
          <w:spacing w:val="-2"/>
          <w:sz w:val="20"/>
          <w:szCs w:val="20"/>
          <w:lang w:val="uk-UA"/>
        </w:rPr>
        <w:t xml:space="preserve"> </w:t>
      </w:r>
      <w:r w:rsidRPr="000977F7">
        <w:rPr>
          <w:rFonts w:asciiTheme="majorHAnsi" w:hAnsiTheme="majorHAnsi"/>
          <w:sz w:val="20"/>
          <w:szCs w:val="20"/>
        </w:rPr>
        <w:t>RANGE</w:t>
      </w:r>
      <w:r w:rsidRPr="004D2D14">
        <w:rPr>
          <w:rFonts w:asciiTheme="majorHAnsi" w:hAnsiTheme="majorHAnsi"/>
          <w:sz w:val="20"/>
          <w:szCs w:val="20"/>
          <w:lang w:val="uk-UA"/>
        </w:rPr>
        <w:t xml:space="preserve"> –</w:t>
      </w:r>
    </w:p>
    <w:p w14:paraId="0DD6180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Інтервал значень вимірювальної величини, який обмежений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початковим 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кінцевим її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значеннями</w:t>
      </w:r>
    </w:p>
    <w:p w14:paraId="6965BC9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F0179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Початковим значенням</w:t>
      </w:r>
      <w:r w:rsidRPr="000977F7">
        <w:rPr>
          <w:rFonts w:asciiTheme="majorHAnsi" w:hAnsiTheme="majorHAnsi"/>
          <w:spacing w:val="1"/>
          <w:sz w:val="20"/>
          <w:szCs w:val="20"/>
        </w:rPr>
        <w:t xml:space="preserve"> </w:t>
      </w:r>
      <w:r w:rsidRPr="000977F7">
        <w:rPr>
          <w:rFonts w:asciiTheme="majorHAnsi" w:hAnsiTheme="majorHAnsi"/>
          <w:sz w:val="20"/>
          <w:szCs w:val="20"/>
        </w:rPr>
        <w:t>вимірюваної величини називають найменше в діапазоні показів її значення, а кінцевим –</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2"/>
          <w:sz w:val="20"/>
          <w:szCs w:val="20"/>
        </w:rPr>
        <w:t xml:space="preserve"> </w:t>
      </w:r>
      <w:r w:rsidRPr="000977F7">
        <w:rPr>
          <w:rFonts w:asciiTheme="majorHAnsi" w:hAnsiTheme="majorHAnsi"/>
          <w:sz w:val="20"/>
          <w:szCs w:val="20"/>
        </w:rPr>
        <w:t>найбільше значення</w:t>
      </w:r>
    </w:p>
    <w:p w14:paraId="7695582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A63AA2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ДІЄВА</w:t>
      </w:r>
      <w:r w:rsidRPr="000977F7">
        <w:rPr>
          <w:color w:val="auto"/>
          <w:spacing w:val="-3"/>
          <w:sz w:val="20"/>
          <w:szCs w:val="20"/>
        </w:rPr>
        <w:t xml:space="preserve"> </w:t>
      </w:r>
      <w:r w:rsidRPr="000977F7">
        <w:rPr>
          <w:color w:val="auto"/>
          <w:sz w:val="20"/>
          <w:szCs w:val="20"/>
        </w:rPr>
        <w:t>ВЕЛИЧИНА</w:t>
      </w:r>
      <w:r w:rsidRPr="000977F7">
        <w:rPr>
          <w:color w:val="auto"/>
          <w:spacing w:val="-3"/>
          <w:sz w:val="20"/>
          <w:szCs w:val="20"/>
        </w:rPr>
        <w:t xml:space="preserve"> </w:t>
      </w:r>
      <w:r w:rsidRPr="000977F7">
        <w:rPr>
          <w:color w:val="auto"/>
          <w:sz w:val="20"/>
          <w:szCs w:val="20"/>
        </w:rPr>
        <w:t>−</w:t>
      </w:r>
    </w:p>
    <w:p w14:paraId="3C83A03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ACTING</w:t>
      </w:r>
      <w:r w:rsidRPr="000977F7">
        <w:rPr>
          <w:rFonts w:asciiTheme="majorHAnsi" w:hAnsiTheme="majorHAnsi"/>
          <w:spacing w:val="-4"/>
          <w:sz w:val="20"/>
          <w:szCs w:val="20"/>
        </w:rPr>
        <w:t xml:space="preserve"> </w:t>
      </w:r>
      <w:r w:rsidRPr="000977F7">
        <w:rPr>
          <w:rFonts w:asciiTheme="majorHAnsi" w:hAnsiTheme="majorHAnsi"/>
          <w:sz w:val="20"/>
          <w:szCs w:val="20"/>
        </w:rPr>
        <w:t>VALUE</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20A636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Фізична величина, яка характеризує діяння в кожний</w:t>
      </w:r>
      <w:r w:rsidRPr="000977F7">
        <w:rPr>
          <w:rFonts w:asciiTheme="majorHAnsi" w:hAnsiTheme="majorHAnsi"/>
          <w:spacing w:val="1"/>
          <w:sz w:val="20"/>
          <w:szCs w:val="20"/>
        </w:rPr>
        <w:t xml:space="preserve"> </w:t>
      </w:r>
      <w:r w:rsidRPr="000977F7">
        <w:rPr>
          <w:rFonts w:asciiTheme="majorHAnsi" w:hAnsiTheme="majorHAnsi"/>
          <w:sz w:val="20"/>
          <w:szCs w:val="20"/>
        </w:rPr>
        <w:t>момент часу і яка використовується для 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інших параметрів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(або) ознак</w:t>
      </w:r>
      <w:r w:rsidRPr="000977F7">
        <w:rPr>
          <w:rFonts w:asciiTheme="majorHAnsi" w:hAnsiTheme="majorHAnsi"/>
          <w:spacing w:val="-2"/>
          <w:sz w:val="20"/>
          <w:szCs w:val="20"/>
        </w:rPr>
        <w:t xml:space="preserve"> </w:t>
      </w:r>
      <w:r w:rsidRPr="000977F7">
        <w:rPr>
          <w:rFonts w:asciiTheme="majorHAnsi" w:hAnsiTheme="majorHAnsi"/>
          <w:sz w:val="20"/>
          <w:szCs w:val="20"/>
        </w:rPr>
        <w:t>діяння</w:t>
      </w:r>
    </w:p>
    <w:p w14:paraId="237627F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6E6E74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Наприклад, механічне ударне діяння в кожний момент</w:t>
      </w:r>
      <w:r w:rsidRPr="000977F7">
        <w:rPr>
          <w:rFonts w:asciiTheme="majorHAnsi" w:hAnsiTheme="majorHAnsi"/>
          <w:spacing w:val="-47"/>
          <w:sz w:val="20"/>
          <w:szCs w:val="20"/>
        </w:rPr>
        <w:t xml:space="preserve"> </w:t>
      </w:r>
      <w:r w:rsidRPr="000977F7">
        <w:rPr>
          <w:rFonts w:asciiTheme="majorHAnsi" w:hAnsiTheme="majorHAnsi"/>
          <w:sz w:val="20"/>
          <w:szCs w:val="20"/>
        </w:rPr>
        <w:t>часу характеризується механічним зміщенням об’єкта.</w:t>
      </w:r>
      <w:r w:rsidRPr="000977F7">
        <w:rPr>
          <w:rFonts w:asciiTheme="majorHAnsi" w:hAnsiTheme="majorHAnsi"/>
          <w:spacing w:val="-48"/>
          <w:sz w:val="20"/>
          <w:szCs w:val="20"/>
        </w:rPr>
        <w:t xml:space="preserve"> </w:t>
      </w:r>
      <w:r w:rsidRPr="000977F7">
        <w:rPr>
          <w:rFonts w:asciiTheme="majorHAnsi" w:hAnsiTheme="majorHAnsi"/>
          <w:spacing w:val="-1"/>
          <w:sz w:val="20"/>
          <w:szCs w:val="20"/>
        </w:rPr>
        <w:t>Аналіз</w:t>
      </w:r>
      <w:r w:rsidRPr="000977F7">
        <w:rPr>
          <w:rFonts w:asciiTheme="majorHAnsi" w:hAnsiTheme="majorHAnsi"/>
          <w:spacing w:val="-9"/>
          <w:sz w:val="20"/>
          <w:szCs w:val="20"/>
        </w:rPr>
        <w:t xml:space="preserve"> </w:t>
      </w:r>
      <w:r w:rsidRPr="000977F7">
        <w:rPr>
          <w:rFonts w:asciiTheme="majorHAnsi" w:hAnsiTheme="majorHAnsi"/>
          <w:spacing w:val="-1"/>
          <w:sz w:val="20"/>
          <w:szCs w:val="20"/>
        </w:rPr>
        <w:t>змінювання</w:t>
      </w:r>
      <w:r w:rsidRPr="000977F7">
        <w:rPr>
          <w:rFonts w:asciiTheme="majorHAnsi" w:hAnsiTheme="majorHAnsi"/>
          <w:spacing w:val="-10"/>
          <w:sz w:val="20"/>
          <w:szCs w:val="20"/>
        </w:rPr>
        <w:t xml:space="preserve"> </w:t>
      </w:r>
      <w:r w:rsidRPr="000977F7">
        <w:rPr>
          <w:rFonts w:asciiTheme="majorHAnsi" w:hAnsiTheme="majorHAnsi"/>
          <w:sz w:val="20"/>
          <w:szCs w:val="20"/>
        </w:rPr>
        <w:t>цієї</w:t>
      </w:r>
      <w:r w:rsidRPr="000977F7">
        <w:rPr>
          <w:rFonts w:asciiTheme="majorHAnsi" w:hAnsiTheme="majorHAnsi"/>
          <w:spacing w:val="-10"/>
          <w:sz w:val="20"/>
          <w:szCs w:val="20"/>
        </w:rPr>
        <w:t xml:space="preserve"> </w:t>
      </w:r>
      <w:r w:rsidRPr="000977F7">
        <w:rPr>
          <w:rFonts w:asciiTheme="majorHAnsi" w:hAnsiTheme="majorHAnsi"/>
          <w:sz w:val="20"/>
          <w:szCs w:val="20"/>
        </w:rPr>
        <w:t>фізичної</w:t>
      </w:r>
      <w:r w:rsidRPr="000977F7">
        <w:rPr>
          <w:rFonts w:asciiTheme="majorHAnsi" w:hAnsiTheme="majorHAnsi"/>
          <w:spacing w:val="-9"/>
          <w:sz w:val="20"/>
          <w:szCs w:val="20"/>
        </w:rPr>
        <w:t xml:space="preserve"> </w:t>
      </w:r>
      <w:r w:rsidRPr="000977F7">
        <w:rPr>
          <w:rFonts w:asciiTheme="majorHAnsi" w:hAnsiTheme="majorHAnsi"/>
          <w:sz w:val="20"/>
          <w:szCs w:val="20"/>
        </w:rPr>
        <w:t>величини</w:t>
      </w:r>
      <w:r w:rsidRPr="000977F7">
        <w:rPr>
          <w:rFonts w:asciiTheme="majorHAnsi" w:hAnsiTheme="majorHAnsi"/>
          <w:spacing w:val="-12"/>
          <w:sz w:val="20"/>
          <w:szCs w:val="20"/>
        </w:rPr>
        <w:t xml:space="preserve"> </w:t>
      </w:r>
      <w:r w:rsidRPr="000977F7">
        <w:rPr>
          <w:rFonts w:asciiTheme="majorHAnsi" w:hAnsiTheme="majorHAnsi"/>
          <w:sz w:val="20"/>
          <w:szCs w:val="20"/>
        </w:rPr>
        <w:t>в</w:t>
      </w:r>
      <w:r w:rsidRPr="000977F7">
        <w:rPr>
          <w:rFonts w:asciiTheme="majorHAnsi" w:hAnsiTheme="majorHAnsi"/>
          <w:spacing w:val="-10"/>
          <w:sz w:val="20"/>
          <w:szCs w:val="20"/>
        </w:rPr>
        <w:t xml:space="preserve"> </w:t>
      </w:r>
      <w:r w:rsidRPr="000977F7">
        <w:rPr>
          <w:rFonts w:asciiTheme="majorHAnsi" w:hAnsiTheme="majorHAnsi"/>
          <w:sz w:val="20"/>
          <w:szCs w:val="20"/>
        </w:rPr>
        <w:t>часі</w:t>
      </w:r>
      <w:r w:rsidRPr="000977F7">
        <w:rPr>
          <w:rFonts w:asciiTheme="majorHAnsi" w:hAnsiTheme="majorHAnsi"/>
          <w:spacing w:val="-9"/>
          <w:sz w:val="20"/>
          <w:szCs w:val="20"/>
        </w:rPr>
        <w:t xml:space="preserve"> </w:t>
      </w:r>
      <w:r w:rsidRPr="000977F7">
        <w:rPr>
          <w:rFonts w:asciiTheme="majorHAnsi" w:hAnsiTheme="majorHAnsi"/>
          <w:sz w:val="20"/>
          <w:szCs w:val="20"/>
        </w:rPr>
        <w:t>дозволяє</w:t>
      </w:r>
      <w:r w:rsidRPr="000977F7">
        <w:rPr>
          <w:rFonts w:asciiTheme="majorHAnsi" w:hAnsiTheme="majorHAnsi"/>
          <w:spacing w:val="1"/>
          <w:sz w:val="20"/>
          <w:szCs w:val="20"/>
        </w:rPr>
        <w:t xml:space="preserve"> </w:t>
      </w:r>
      <w:r w:rsidRPr="000977F7">
        <w:rPr>
          <w:rFonts w:asciiTheme="majorHAnsi" w:hAnsiTheme="majorHAnsi"/>
          <w:sz w:val="20"/>
          <w:szCs w:val="20"/>
        </w:rPr>
        <w:t>конкретизувати</w:t>
      </w:r>
      <w:r w:rsidRPr="000977F7">
        <w:rPr>
          <w:rFonts w:asciiTheme="majorHAnsi" w:hAnsiTheme="majorHAnsi"/>
          <w:spacing w:val="1"/>
          <w:sz w:val="20"/>
          <w:szCs w:val="20"/>
        </w:rPr>
        <w:t xml:space="preserve"> </w:t>
      </w:r>
      <w:r w:rsidRPr="000977F7">
        <w:rPr>
          <w:rFonts w:asciiTheme="majorHAnsi" w:hAnsiTheme="majorHAnsi"/>
          <w:sz w:val="20"/>
          <w:szCs w:val="20"/>
        </w:rPr>
        <w:t>ознаку</w:t>
      </w:r>
      <w:r w:rsidRPr="000977F7">
        <w:rPr>
          <w:rFonts w:asciiTheme="majorHAnsi" w:hAnsiTheme="majorHAnsi"/>
          <w:spacing w:val="1"/>
          <w:sz w:val="20"/>
          <w:szCs w:val="20"/>
        </w:rPr>
        <w:t xml:space="preserve"> </w:t>
      </w:r>
      <w:r w:rsidRPr="000977F7">
        <w:rPr>
          <w:rFonts w:asciiTheme="majorHAnsi" w:hAnsiTheme="majorHAnsi"/>
          <w:sz w:val="20"/>
          <w:szCs w:val="20"/>
        </w:rPr>
        <w:t>діяння</w:t>
      </w:r>
      <w:r w:rsidRPr="000977F7">
        <w:rPr>
          <w:rFonts w:asciiTheme="majorHAnsi" w:hAnsiTheme="majorHAnsi"/>
          <w:spacing w:val="1"/>
          <w:sz w:val="20"/>
          <w:szCs w:val="20"/>
        </w:rPr>
        <w:t xml:space="preserve"> </w:t>
      </w:r>
      <w:r w:rsidRPr="000977F7">
        <w:rPr>
          <w:rFonts w:asciiTheme="majorHAnsi" w:hAnsiTheme="majorHAnsi"/>
          <w:sz w:val="20"/>
          <w:szCs w:val="20"/>
        </w:rPr>
        <w:t>(форму</w:t>
      </w:r>
      <w:r w:rsidRPr="000977F7">
        <w:rPr>
          <w:rFonts w:asciiTheme="majorHAnsi" w:hAnsiTheme="majorHAnsi"/>
          <w:spacing w:val="1"/>
          <w:sz w:val="20"/>
          <w:szCs w:val="20"/>
        </w:rPr>
        <w:t xml:space="preserve"> </w:t>
      </w:r>
      <w:r w:rsidRPr="000977F7">
        <w:rPr>
          <w:rFonts w:asciiTheme="majorHAnsi" w:hAnsiTheme="majorHAnsi"/>
          <w:sz w:val="20"/>
          <w:szCs w:val="20"/>
        </w:rPr>
        <w:t>ударного</w:t>
      </w:r>
      <w:r w:rsidRPr="000977F7">
        <w:rPr>
          <w:rFonts w:asciiTheme="majorHAnsi" w:hAnsiTheme="majorHAnsi"/>
          <w:spacing w:val="-47"/>
          <w:sz w:val="20"/>
          <w:szCs w:val="20"/>
        </w:rPr>
        <w:t xml:space="preserve"> </w:t>
      </w:r>
      <w:r w:rsidRPr="000977F7">
        <w:rPr>
          <w:rFonts w:asciiTheme="majorHAnsi" w:hAnsiTheme="majorHAnsi"/>
          <w:sz w:val="20"/>
          <w:szCs w:val="20"/>
        </w:rPr>
        <w:t>імпульсу) та його параметри (тривалість імпульсу, амплітуду</w:t>
      </w:r>
      <w:r w:rsidRPr="000977F7">
        <w:rPr>
          <w:rFonts w:asciiTheme="majorHAnsi" w:hAnsiTheme="majorHAnsi"/>
          <w:spacing w:val="-10"/>
          <w:sz w:val="20"/>
          <w:szCs w:val="20"/>
        </w:rPr>
        <w:t xml:space="preserve"> </w:t>
      </w:r>
      <w:r w:rsidRPr="000977F7">
        <w:rPr>
          <w:rFonts w:asciiTheme="majorHAnsi" w:hAnsiTheme="majorHAnsi"/>
          <w:sz w:val="20"/>
          <w:szCs w:val="20"/>
        </w:rPr>
        <w:t>прискорення,</w:t>
      </w:r>
      <w:r w:rsidRPr="000977F7">
        <w:rPr>
          <w:rFonts w:asciiTheme="majorHAnsi" w:hAnsiTheme="majorHAnsi"/>
          <w:spacing w:val="-8"/>
          <w:sz w:val="20"/>
          <w:szCs w:val="20"/>
        </w:rPr>
        <w:t xml:space="preserve"> </w:t>
      </w:r>
      <w:r w:rsidRPr="000977F7">
        <w:rPr>
          <w:rFonts w:asciiTheme="majorHAnsi" w:hAnsiTheme="majorHAnsi"/>
          <w:sz w:val="20"/>
          <w:szCs w:val="20"/>
        </w:rPr>
        <w:t>частоту</w:t>
      </w:r>
      <w:r w:rsidRPr="000977F7">
        <w:rPr>
          <w:rFonts w:asciiTheme="majorHAnsi" w:hAnsiTheme="majorHAnsi"/>
          <w:spacing w:val="-10"/>
          <w:sz w:val="20"/>
          <w:szCs w:val="20"/>
        </w:rPr>
        <w:t xml:space="preserve"> </w:t>
      </w:r>
      <w:r w:rsidRPr="000977F7">
        <w:rPr>
          <w:rFonts w:asciiTheme="majorHAnsi" w:hAnsiTheme="majorHAnsi"/>
          <w:sz w:val="20"/>
          <w:szCs w:val="20"/>
        </w:rPr>
        <w:t>та</w:t>
      </w:r>
      <w:r w:rsidRPr="000977F7">
        <w:rPr>
          <w:rFonts w:asciiTheme="majorHAnsi" w:hAnsiTheme="majorHAnsi"/>
          <w:spacing w:val="-8"/>
          <w:sz w:val="20"/>
          <w:szCs w:val="20"/>
        </w:rPr>
        <w:t xml:space="preserve"> </w:t>
      </w:r>
      <w:r w:rsidRPr="000977F7">
        <w:rPr>
          <w:rFonts w:asciiTheme="majorHAnsi" w:hAnsiTheme="majorHAnsi"/>
          <w:sz w:val="20"/>
          <w:szCs w:val="20"/>
        </w:rPr>
        <w:t>число</w:t>
      </w:r>
      <w:r w:rsidRPr="000977F7">
        <w:rPr>
          <w:rFonts w:asciiTheme="majorHAnsi" w:hAnsiTheme="majorHAnsi"/>
          <w:spacing w:val="-5"/>
          <w:sz w:val="20"/>
          <w:szCs w:val="20"/>
        </w:rPr>
        <w:t xml:space="preserve"> </w:t>
      </w:r>
      <w:r w:rsidRPr="000977F7">
        <w:rPr>
          <w:rFonts w:asciiTheme="majorHAnsi" w:hAnsiTheme="majorHAnsi"/>
          <w:sz w:val="20"/>
          <w:szCs w:val="20"/>
        </w:rPr>
        <w:t>ударів)</w:t>
      </w:r>
    </w:p>
    <w:p w14:paraId="63432E0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234A05A9" w14:textId="77777777" w:rsidR="0097612F" w:rsidRPr="000977F7" w:rsidRDefault="0097612F" w:rsidP="000977F7">
      <w:pPr>
        <w:tabs>
          <w:tab w:val="left" w:pos="284"/>
          <w:tab w:val="left" w:pos="1913"/>
          <w:tab w:val="left" w:pos="3514"/>
          <w:tab w:val="left" w:pos="5260"/>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ДІЄВІСТЬ; ПОКАЗНИК ДІЯЛЬНОСТІ </w:t>
      </w:r>
      <w:r w:rsidRPr="000977F7">
        <w:rPr>
          <w:rFonts w:asciiTheme="majorHAnsi" w:hAnsiTheme="majorHAnsi"/>
          <w:sz w:val="20"/>
          <w:szCs w:val="20"/>
        </w:rPr>
        <w:t>PERFORMANCE –</w:t>
      </w:r>
    </w:p>
    <w:p w14:paraId="69C7D79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Вимірний</w:t>
      </w:r>
      <w:r w:rsidRPr="000977F7">
        <w:rPr>
          <w:rFonts w:asciiTheme="majorHAnsi" w:hAnsiTheme="majorHAnsi"/>
          <w:spacing w:val="-4"/>
          <w:sz w:val="20"/>
          <w:szCs w:val="20"/>
        </w:rPr>
        <w:t xml:space="preserve"> </w:t>
      </w:r>
      <w:r w:rsidRPr="000977F7">
        <w:rPr>
          <w:rFonts w:asciiTheme="majorHAnsi" w:hAnsiTheme="majorHAnsi"/>
          <w:sz w:val="20"/>
          <w:szCs w:val="20"/>
        </w:rPr>
        <w:t>результат.</w:t>
      </w:r>
    </w:p>
    <w:p w14:paraId="32A5D83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Дієвість може бути пов’язана як з кількісними,</w:t>
      </w:r>
      <w:r w:rsidRPr="000977F7">
        <w:rPr>
          <w:rFonts w:asciiTheme="majorHAnsi" w:hAnsiTheme="majorHAnsi"/>
          <w:spacing w:val="-1"/>
          <w:sz w:val="20"/>
          <w:szCs w:val="20"/>
        </w:rPr>
        <w:t xml:space="preserve"> </w:t>
      </w:r>
      <w:r w:rsidRPr="000977F7">
        <w:rPr>
          <w:rFonts w:asciiTheme="majorHAnsi" w:hAnsiTheme="majorHAnsi"/>
          <w:sz w:val="20"/>
          <w:szCs w:val="20"/>
        </w:rPr>
        <w:t>так</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якісними</w:t>
      </w:r>
      <w:r w:rsidRPr="000977F7">
        <w:rPr>
          <w:rFonts w:asciiTheme="majorHAnsi" w:hAnsiTheme="majorHAnsi"/>
          <w:spacing w:val="-1"/>
          <w:sz w:val="20"/>
          <w:szCs w:val="20"/>
        </w:rPr>
        <w:t xml:space="preserve"> </w:t>
      </w:r>
      <w:r w:rsidRPr="000977F7">
        <w:rPr>
          <w:rFonts w:asciiTheme="majorHAnsi" w:hAnsiTheme="majorHAnsi"/>
          <w:sz w:val="20"/>
          <w:szCs w:val="20"/>
        </w:rPr>
        <w:t>отриманими</w:t>
      </w:r>
      <w:r w:rsidRPr="000977F7">
        <w:rPr>
          <w:rFonts w:asciiTheme="majorHAnsi" w:hAnsiTheme="majorHAnsi"/>
          <w:spacing w:val="-2"/>
          <w:sz w:val="20"/>
          <w:szCs w:val="20"/>
        </w:rPr>
        <w:t xml:space="preserve"> </w:t>
      </w:r>
      <w:r w:rsidRPr="000977F7">
        <w:rPr>
          <w:rFonts w:asciiTheme="majorHAnsi" w:hAnsiTheme="majorHAnsi"/>
          <w:sz w:val="20"/>
          <w:szCs w:val="20"/>
        </w:rPr>
        <w:t>даними.</w:t>
      </w:r>
    </w:p>
    <w:p w14:paraId="1F64066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1"/>
          <w:sz w:val="20"/>
          <w:szCs w:val="20"/>
        </w:rPr>
        <w:t xml:space="preserve"> </w:t>
      </w:r>
      <w:r w:rsidRPr="000977F7">
        <w:rPr>
          <w:rFonts w:asciiTheme="majorHAnsi" w:hAnsiTheme="majorHAnsi"/>
          <w:sz w:val="20"/>
          <w:szCs w:val="20"/>
        </w:rPr>
        <w:t>2.</w:t>
      </w:r>
      <w:r w:rsidRPr="000977F7">
        <w:rPr>
          <w:rFonts w:asciiTheme="majorHAnsi" w:hAnsiTheme="majorHAnsi"/>
          <w:spacing w:val="1"/>
          <w:sz w:val="20"/>
          <w:szCs w:val="20"/>
        </w:rPr>
        <w:t xml:space="preserve"> </w:t>
      </w:r>
      <w:r w:rsidRPr="000977F7">
        <w:rPr>
          <w:rFonts w:asciiTheme="majorHAnsi" w:hAnsiTheme="majorHAnsi"/>
          <w:sz w:val="20"/>
          <w:szCs w:val="20"/>
        </w:rPr>
        <w:t>Дієвість</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стосуватись</w:t>
      </w:r>
      <w:r w:rsidRPr="000977F7">
        <w:rPr>
          <w:rFonts w:asciiTheme="majorHAnsi" w:hAnsiTheme="majorHAnsi"/>
          <w:spacing w:val="1"/>
          <w:sz w:val="20"/>
          <w:szCs w:val="20"/>
        </w:rPr>
        <w:t xml:space="preserve"> </w:t>
      </w:r>
      <w:r w:rsidRPr="000977F7">
        <w:rPr>
          <w:rFonts w:asciiTheme="majorHAnsi" w:hAnsiTheme="majorHAnsi"/>
          <w:sz w:val="20"/>
          <w:szCs w:val="20"/>
        </w:rPr>
        <w:t>керування/управління роботами, процесами, продукцією,</w:t>
      </w:r>
      <w:r w:rsidRPr="000977F7">
        <w:rPr>
          <w:rFonts w:asciiTheme="majorHAnsi" w:hAnsiTheme="majorHAnsi"/>
          <w:spacing w:val="1"/>
          <w:sz w:val="20"/>
          <w:szCs w:val="20"/>
        </w:rPr>
        <w:t xml:space="preserve"> </w:t>
      </w:r>
      <w:r w:rsidRPr="000977F7">
        <w:rPr>
          <w:rFonts w:asciiTheme="majorHAnsi" w:hAnsiTheme="majorHAnsi"/>
          <w:sz w:val="20"/>
          <w:szCs w:val="20"/>
        </w:rPr>
        <w:t>послугами,</w:t>
      </w:r>
      <w:r w:rsidRPr="000977F7">
        <w:rPr>
          <w:rFonts w:asciiTheme="majorHAnsi" w:hAnsiTheme="majorHAnsi"/>
          <w:spacing w:val="-1"/>
          <w:sz w:val="20"/>
          <w:szCs w:val="20"/>
        </w:rPr>
        <w:t xml:space="preserve"> </w:t>
      </w:r>
      <w:r w:rsidRPr="000977F7">
        <w:rPr>
          <w:rFonts w:asciiTheme="majorHAnsi" w:hAnsiTheme="majorHAnsi"/>
          <w:sz w:val="20"/>
          <w:szCs w:val="20"/>
        </w:rPr>
        <w:t>системами</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організаціями.</w:t>
      </w:r>
    </w:p>
    <w:p w14:paraId="5B566A2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1D32E74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ДІЄЗДАТНІСТЬ; СТАН НОРМАЛЬНОГО </w:t>
      </w:r>
    </w:p>
    <w:p w14:paraId="44DF86D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ФУН</w:t>
      </w:r>
      <w:r w:rsidRPr="000977F7">
        <w:rPr>
          <w:color w:val="auto"/>
          <w:spacing w:val="-47"/>
          <w:sz w:val="20"/>
          <w:szCs w:val="20"/>
        </w:rPr>
        <w:t xml:space="preserve"> </w:t>
      </w:r>
      <w:r w:rsidRPr="000977F7">
        <w:rPr>
          <w:color w:val="auto"/>
          <w:sz w:val="20"/>
          <w:szCs w:val="20"/>
        </w:rPr>
        <w:t>КЦІОНУВАННЯ –</w:t>
      </w:r>
    </w:p>
    <w:p w14:paraId="4E444C6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OPERATING</w:t>
      </w:r>
      <w:r w:rsidRPr="004D2D14">
        <w:rPr>
          <w:rFonts w:asciiTheme="majorHAnsi" w:hAnsiTheme="majorHAnsi"/>
          <w:spacing w:val="-2"/>
          <w:sz w:val="20"/>
          <w:szCs w:val="20"/>
          <w:lang w:val="uk-UA"/>
        </w:rPr>
        <w:t xml:space="preserve"> </w:t>
      </w:r>
      <w:r w:rsidRPr="000977F7">
        <w:rPr>
          <w:rFonts w:asciiTheme="majorHAnsi" w:hAnsiTheme="majorHAnsi"/>
          <w:sz w:val="20"/>
          <w:szCs w:val="20"/>
        </w:rPr>
        <w:t>STATE</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2D34000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Стан</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об’єкта,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якому</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він</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виконує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потрібну</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функцію</w:t>
      </w:r>
    </w:p>
    <w:p w14:paraId="3EF1187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244F2A9" w14:textId="77777777" w:rsidR="0097612F" w:rsidRPr="000977F7" w:rsidRDefault="0097612F" w:rsidP="000977F7">
      <w:pPr>
        <w:pStyle w:val="7"/>
        <w:tabs>
          <w:tab w:val="left" w:pos="284"/>
        </w:tabs>
        <w:spacing w:before="0" w:line="240" w:lineRule="auto"/>
        <w:ind w:left="170"/>
        <w:mirrorIndents/>
        <w:jc w:val="both"/>
        <w:rPr>
          <w:color w:val="auto"/>
          <w:spacing w:val="-6"/>
          <w:sz w:val="20"/>
          <w:szCs w:val="20"/>
        </w:rPr>
      </w:pPr>
      <w:r w:rsidRPr="000977F7">
        <w:rPr>
          <w:color w:val="auto"/>
          <w:sz w:val="20"/>
          <w:szCs w:val="20"/>
        </w:rPr>
        <w:t>ДІЇ</w:t>
      </w:r>
      <w:r w:rsidRPr="000977F7">
        <w:rPr>
          <w:color w:val="auto"/>
          <w:spacing w:val="-5"/>
          <w:sz w:val="20"/>
          <w:szCs w:val="20"/>
        </w:rPr>
        <w:t xml:space="preserve"> </w:t>
      </w:r>
      <w:r w:rsidRPr="000977F7">
        <w:rPr>
          <w:color w:val="auto"/>
          <w:sz w:val="20"/>
          <w:szCs w:val="20"/>
        </w:rPr>
        <w:t>СТОСОВНО</w:t>
      </w:r>
      <w:r w:rsidRPr="000977F7">
        <w:rPr>
          <w:color w:val="auto"/>
          <w:spacing w:val="-2"/>
          <w:sz w:val="20"/>
          <w:szCs w:val="20"/>
        </w:rPr>
        <w:t xml:space="preserve"> </w:t>
      </w:r>
      <w:r w:rsidRPr="000977F7">
        <w:rPr>
          <w:color w:val="auto"/>
          <w:sz w:val="20"/>
          <w:szCs w:val="20"/>
        </w:rPr>
        <w:t>РИЗИКІВ</w:t>
      </w:r>
      <w:r w:rsidRPr="000977F7">
        <w:rPr>
          <w:color w:val="auto"/>
          <w:spacing w:val="-2"/>
          <w:sz w:val="20"/>
          <w:szCs w:val="20"/>
        </w:rPr>
        <w:t xml:space="preserve"> </w:t>
      </w:r>
      <w:r w:rsidRPr="000977F7">
        <w:rPr>
          <w:color w:val="auto"/>
          <w:sz w:val="20"/>
          <w:szCs w:val="20"/>
        </w:rPr>
        <w:t>І</w:t>
      </w:r>
      <w:r w:rsidRPr="000977F7">
        <w:rPr>
          <w:color w:val="auto"/>
          <w:spacing w:val="-6"/>
          <w:sz w:val="20"/>
          <w:szCs w:val="20"/>
        </w:rPr>
        <w:t xml:space="preserve"> </w:t>
      </w:r>
    </w:p>
    <w:p w14:paraId="6A1E1E4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МОЖЛИВОСТЕЙ</w:t>
      </w:r>
      <w:r w:rsidRPr="000977F7">
        <w:rPr>
          <w:color w:val="auto"/>
          <w:spacing w:val="1"/>
          <w:sz w:val="20"/>
          <w:szCs w:val="20"/>
        </w:rPr>
        <w:t xml:space="preserve"> </w:t>
      </w:r>
      <w:r w:rsidRPr="000977F7">
        <w:rPr>
          <w:color w:val="auto"/>
          <w:sz w:val="20"/>
          <w:szCs w:val="20"/>
        </w:rPr>
        <w:t>–</w:t>
      </w:r>
    </w:p>
    <w:p w14:paraId="207C5E5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Під час планування в системі управління якістю організація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повинна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розглянути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зовнішні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внутрішні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чинники, які є відповідними для її призначеності та її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стратегічного напрямку та які впливають на її здатність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досягати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результату(-ів),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запланованого(-их)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її</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системою управління якістю, і вимоги замовника 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застосовні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законодавчі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регламентувальні</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вимоги,</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які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доречні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системи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управління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якістю,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також</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визначити ризики та можливості, які потрібно враховувати,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щоб</w:t>
      </w:r>
    </w:p>
    <w:p w14:paraId="5E3AF8B4" w14:textId="77777777" w:rsidR="0097612F" w:rsidRPr="000977F7" w:rsidRDefault="0097612F" w:rsidP="00FD39A4">
      <w:pPr>
        <w:pStyle w:val="ac"/>
        <w:widowControl w:val="0"/>
        <w:numPr>
          <w:ilvl w:val="1"/>
          <w:numId w:val="186"/>
        </w:numPr>
        <w:tabs>
          <w:tab w:val="left" w:pos="284"/>
          <w:tab w:val="left" w:pos="65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забезпечити впевненість у тому, що система 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якістю</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досягати</w:t>
      </w:r>
      <w:r w:rsidRPr="000977F7">
        <w:rPr>
          <w:rFonts w:asciiTheme="majorHAnsi" w:hAnsiTheme="majorHAnsi"/>
          <w:spacing w:val="1"/>
          <w:sz w:val="20"/>
          <w:szCs w:val="20"/>
        </w:rPr>
        <w:t xml:space="preserve"> </w:t>
      </w:r>
      <w:r w:rsidRPr="000977F7">
        <w:rPr>
          <w:rFonts w:asciiTheme="majorHAnsi" w:hAnsiTheme="majorHAnsi"/>
          <w:sz w:val="20"/>
          <w:szCs w:val="20"/>
        </w:rPr>
        <w:t>запланованого(-их)</w:t>
      </w:r>
      <w:r w:rsidRPr="000977F7">
        <w:rPr>
          <w:rFonts w:asciiTheme="majorHAnsi" w:hAnsiTheme="majorHAnsi"/>
          <w:spacing w:val="1"/>
          <w:sz w:val="20"/>
          <w:szCs w:val="20"/>
        </w:rPr>
        <w:t xml:space="preserve"> </w:t>
      </w:r>
      <w:r w:rsidRPr="000977F7">
        <w:rPr>
          <w:rFonts w:asciiTheme="majorHAnsi" w:hAnsiTheme="majorHAnsi"/>
          <w:sz w:val="20"/>
          <w:szCs w:val="20"/>
        </w:rPr>
        <w:t>результату(-ів);</w:t>
      </w:r>
    </w:p>
    <w:p w14:paraId="176402D6" w14:textId="77777777" w:rsidR="0097612F" w:rsidRPr="000977F7" w:rsidRDefault="0097612F" w:rsidP="00FD39A4">
      <w:pPr>
        <w:pStyle w:val="ac"/>
        <w:widowControl w:val="0"/>
        <w:numPr>
          <w:ilvl w:val="1"/>
          <w:numId w:val="186"/>
        </w:numPr>
        <w:tabs>
          <w:tab w:val="left" w:pos="284"/>
          <w:tab w:val="left" w:pos="65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збільшити</w:t>
      </w:r>
      <w:r w:rsidRPr="000977F7">
        <w:rPr>
          <w:rFonts w:asciiTheme="majorHAnsi" w:hAnsiTheme="majorHAnsi"/>
          <w:spacing w:val="-5"/>
          <w:sz w:val="20"/>
          <w:szCs w:val="20"/>
        </w:rPr>
        <w:t xml:space="preserve"> </w:t>
      </w:r>
      <w:r w:rsidRPr="000977F7">
        <w:rPr>
          <w:rFonts w:asciiTheme="majorHAnsi" w:hAnsiTheme="majorHAnsi"/>
          <w:sz w:val="20"/>
          <w:szCs w:val="20"/>
        </w:rPr>
        <w:t>кількість</w:t>
      </w:r>
      <w:r w:rsidRPr="000977F7">
        <w:rPr>
          <w:rFonts w:asciiTheme="majorHAnsi" w:hAnsiTheme="majorHAnsi"/>
          <w:spacing w:val="-3"/>
          <w:sz w:val="20"/>
          <w:szCs w:val="20"/>
        </w:rPr>
        <w:t xml:space="preserve"> </w:t>
      </w:r>
      <w:r w:rsidRPr="000977F7">
        <w:rPr>
          <w:rFonts w:asciiTheme="majorHAnsi" w:hAnsiTheme="majorHAnsi"/>
          <w:sz w:val="20"/>
          <w:szCs w:val="20"/>
        </w:rPr>
        <w:t>бажаних</w:t>
      </w:r>
      <w:r w:rsidRPr="000977F7">
        <w:rPr>
          <w:rFonts w:asciiTheme="majorHAnsi" w:hAnsiTheme="majorHAnsi"/>
          <w:spacing w:val="-4"/>
          <w:sz w:val="20"/>
          <w:szCs w:val="20"/>
        </w:rPr>
        <w:t xml:space="preserve"> </w:t>
      </w:r>
      <w:r w:rsidRPr="000977F7">
        <w:rPr>
          <w:rFonts w:asciiTheme="majorHAnsi" w:hAnsiTheme="majorHAnsi"/>
          <w:sz w:val="20"/>
          <w:szCs w:val="20"/>
        </w:rPr>
        <w:t>ефектів;</w:t>
      </w:r>
    </w:p>
    <w:p w14:paraId="72CD7F5D" w14:textId="77777777" w:rsidR="0097612F" w:rsidRPr="000977F7" w:rsidRDefault="0097612F" w:rsidP="00FD39A4">
      <w:pPr>
        <w:pStyle w:val="ac"/>
        <w:widowControl w:val="0"/>
        <w:numPr>
          <w:ilvl w:val="1"/>
          <w:numId w:val="186"/>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запобігти небажаним ефектам або зменшити їхню</w:t>
      </w:r>
      <w:r w:rsidRPr="000977F7">
        <w:rPr>
          <w:rFonts w:asciiTheme="majorHAnsi" w:hAnsiTheme="majorHAnsi"/>
          <w:spacing w:val="1"/>
          <w:sz w:val="20"/>
          <w:szCs w:val="20"/>
        </w:rPr>
        <w:t xml:space="preserve"> </w:t>
      </w:r>
      <w:r w:rsidRPr="000977F7">
        <w:rPr>
          <w:rFonts w:asciiTheme="majorHAnsi" w:hAnsiTheme="majorHAnsi"/>
          <w:sz w:val="20"/>
          <w:szCs w:val="20"/>
        </w:rPr>
        <w:t>кількість;</w:t>
      </w:r>
    </w:p>
    <w:p w14:paraId="509C18C2" w14:textId="77777777" w:rsidR="0097612F" w:rsidRPr="000977F7" w:rsidRDefault="0097612F" w:rsidP="00FD39A4">
      <w:pPr>
        <w:pStyle w:val="ac"/>
        <w:widowControl w:val="0"/>
        <w:numPr>
          <w:ilvl w:val="1"/>
          <w:numId w:val="186"/>
        </w:numPr>
        <w:tabs>
          <w:tab w:val="left" w:pos="284"/>
          <w:tab w:val="left" w:pos="65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досягти</w:t>
      </w:r>
      <w:r w:rsidRPr="000977F7">
        <w:rPr>
          <w:rFonts w:asciiTheme="majorHAnsi" w:hAnsiTheme="majorHAnsi"/>
          <w:spacing w:val="-5"/>
          <w:sz w:val="20"/>
          <w:szCs w:val="20"/>
        </w:rPr>
        <w:t xml:space="preserve"> </w:t>
      </w:r>
      <w:r w:rsidRPr="000977F7">
        <w:rPr>
          <w:rFonts w:asciiTheme="majorHAnsi" w:hAnsiTheme="majorHAnsi"/>
          <w:sz w:val="20"/>
          <w:szCs w:val="20"/>
        </w:rPr>
        <w:t>поліпшення.</w:t>
      </w:r>
    </w:p>
    <w:p w14:paraId="0F6E9B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4"/>
          <w:sz w:val="20"/>
          <w:szCs w:val="20"/>
        </w:rPr>
        <w:t xml:space="preserve"> </w:t>
      </w:r>
      <w:r w:rsidRPr="000977F7">
        <w:rPr>
          <w:rFonts w:asciiTheme="majorHAnsi" w:hAnsiTheme="majorHAnsi"/>
          <w:sz w:val="20"/>
          <w:szCs w:val="20"/>
        </w:rPr>
        <w:t>повинна</w:t>
      </w:r>
      <w:r w:rsidRPr="000977F7">
        <w:rPr>
          <w:rFonts w:asciiTheme="majorHAnsi" w:hAnsiTheme="majorHAnsi"/>
          <w:spacing w:val="-6"/>
          <w:sz w:val="20"/>
          <w:szCs w:val="20"/>
        </w:rPr>
        <w:t xml:space="preserve"> </w:t>
      </w:r>
      <w:r w:rsidRPr="000977F7">
        <w:rPr>
          <w:rFonts w:asciiTheme="majorHAnsi" w:hAnsiTheme="majorHAnsi"/>
          <w:sz w:val="20"/>
          <w:szCs w:val="20"/>
        </w:rPr>
        <w:t>планувати</w:t>
      </w:r>
    </w:p>
    <w:p w14:paraId="215518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2"/>
          <w:sz w:val="20"/>
          <w:szCs w:val="20"/>
        </w:rPr>
        <w:t xml:space="preserve"> </w:t>
      </w:r>
      <w:r w:rsidRPr="000977F7">
        <w:rPr>
          <w:rFonts w:asciiTheme="majorHAnsi" w:hAnsiTheme="majorHAnsi"/>
          <w:sz w:val="20"/>
          <w:szCs w:val="20"/>
        </w:rPr>
        <w:t>дії</w:t>
      </w:r>
      <w:r w:rsidRPr="000977F7">
        <w:rPr>
          <w:rFonts w:asciiTheme="majorHAnsi" w:hAnsiTheme="majorHAnsi"/>
          <w:spacing w:val="-3"/>
          <w:sz w:val="20"/>
          <w:szCs w:val="20"/>
        </w:rPr>
        <w:t xml:space="preserve"> </w:t>
      </w:r>
      <w:r w:rsidRPr="000977F7">
        <w:rPr>
          <w:rFonts w:asciiTheme="majorHAnsi" w:hAnsiTheme="majorHAnsi"/>
          <w:sz w:val="20"/>
          <w:szCs w:val="20"/>
        </w:rPr>
        <w:t>стосовно</w:t>
      </w:r>
      <w:r w:rsidRPr="000977F7">
        <w:rPr>
          <w:rFonts w:asciiTheme="majorHAnsi" w:hAnsiTheme="majorHAnsi"/>
          <w:spacing w:val="-2"/>
          <w:sz w:val="20"/>
          <w:szCs w:val="20"/>
        </w:rPr>
        <w:t xml:space="preserve"> </w:t>
      </w:r>
      <w:r w:rsidRPr="000977F7">
        <w:rPr>
          <w:rFonts w:asciiTheme="majorHAnsi" w:hAnsiTheme="majorHAnsi"/>
          <w:sz w:val="20"/>
          <w:szCs w:val="20"/>
        </w:rPr>
        <w:t>цих</w:t>
      </w:r>
      <w:r w:rsidRPr="000977F7">
        <w:rPr>
          <w:rFonts w:asciiTheme="majorHAnsi" w:hAnsiTheme="majorHAnsi"/>
          <w:spacing w:val="-3"/>
          <w:sz w:val="20"/>
          <w:szCs w:val="20"/>
        </w:rPr>
        <w:t xml:space="preserve"> </w:t>
      </w:r>
      <w:r w:rsidRPr="000977F7">
        <w:rPr>
          <w:rFonts w:asciiTheme="majorHAnsi" w:hAnsiTheme="majorHAnsi"/>
          <w:sz w:val="20"/>
          <w:szCs w:val="20"/>
        </w:rPr>
        <w:t>ризиків</w:t>
      </w:r>
      <w:r w:rsidRPr="000977F7">
        <w:rPr>
          <w:rFonts w:asciiTheme="majorHAnsi" w:hAnsiTheme="majorHAnsi"/>
          <w:spacing w:val="-4"/>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можливостей; у</w:t>
      </w:r>
      <w:r w:rsidRPr="000977F7">
        <w:rPr>
          <w:rFonts w:asciiTheme="majorHAnsi" w:hAnsiTheme="majorHAnsi"/>
          <w:spacing w:val="-6"/>
          <w:sz w:val="20"/>
          <w:szCs w:val="20"/>
        </w:rPr>
        <w:t xml:space="preserve"> </w:t>
      </w:r>
      <w:r w:rsidRPr="000977F7">
        <w:rPr>
          <w:rFonts w:asciiTheme="majorHAnsi" w:hAnsiTheme="majorHAnsi"/>
          <w:sz w:val="20"/>
          <w:szCs w:val="20"/>
        </w:rPr>
        <w:t>який</w:t>
      </w:r>
      <w:r w:rsidRPr="000977F7">
        <w:rPr>
          <w:rFonts w:asciiTheme="majorHAnsi" w:hAnsiTheme="majorHAnsi"/>
          <w:spacing w:val="-3"/>
          <w:sz w:val="20"/>
          <w:szCs w:val="20"/>
        </w:rPr>
        <w:t xml:space="preserve"> </w:t>
      </w:r>
      <w:r w:rsidRPr="000977F7">
        <w:rPr>
          <w:rFonts w:asciiTheme="majorHAnsi" w:hAnsiTheme="majorHAnsi"/>
          <w:sz w:val="20"/>
          <w:szCs w:val="20"/>
        </w:rPr>
        <w:t>спосіб</w:t>
      </w:r>
    </w:p>
    <w:p w14:paraId="588A6227" w14:textId="77777777" w:rsidR="0097612F" w:rsidRPr="000977F7" w:rsidRDefault="0097612F" w:rsidP="00FD39A4">
      <w:pPr>
        <w:pStyle w:val="ac"/>
        <w:widowControl w:val="0"/>
        <w:numPr>
          <w:ilvl w:val="1"/>
          <w:numId w:val="185"/>
        </w:numPr>
        <w:tabs>
          <w:tab w:val="left" w:pos="284"/>
          <w:tab w:val="left" w:pos="48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інтегрувати та запровадити дії до процесів її системи 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якістю;</w:t>
      </w:r>
    </w:p>
    <w:p w14:paraId="4FE461A9" w14:textId="77777777" w:rsidR="0097612F" w:rsidRPr="000977F7" w:rsidRDefault="0097612F" w:rsidP="00FD39A4">
      <w:pPr>
        <w:pStyle w:val="ac"/>
        <w:widowControl w:val="0"/>
        <w:numPr>
          <w:ilvl w:val="1"/>
          <w:numId w:val="185"/>
        </w:numPr>
        <w:tabs>
          <w:tab w:val="left" w:pos="284"/>
          <w:tab w:val="left" w:pos="47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оцінювати</w:t>
      </w:r>
      <w:r w:rsidRPr="000977F7">
        <w:rPr>
          <w:rFonts w:asciiTheme="majorHAnsi" w:hAnsiTheme="majorHAnsi"/>
          <w:spacing w:val="-6"/>
          <w:sz w:val="20"/>
          <w:szCs w:val="20"/>
        </w:rPr>
        <w:t xml:space="preserve"> </w:t>
      </w:r>
      <w:r w:rsidRPr="000977F7">
        <w:rPr>
          <w:rFonts w:asciiTheme="majorHAnsi" w:hAnsiTheme="majorHAnsi"/>
          <w:sz w:val="20"/>
          <w:szCs w:val="20"/>
        </w:rPr>
        <w:t>результативність</w:t>
      </w:r>
      <w:r w:rsidRPr="000977F7">
        <w:rPr>
          <w:rFonts w:asciiTheme="majorHAnsi" w:hAnsiTheme="majorHAnsi"/>
          <w:spacing w:val="-6"/>
          <w:sz w:val="20"/>
          <w:szCs w:val="20"/>
        </w:rPr>
        <w:t xml:space="preserve"> </w:t>
      </w:r>
      <w:r w:rsidRPr="000977F7">
        <w:rPr>
          <w:rFonts w:asciiTheme="majorHAnsi" w:hAnsiTheme="majorHAnsi"/>
          <w:sz w:val="20"/>
          <w:szCs w:val="20"/>
        </w:rPr>
        <w:t>цих</w:t>
      </w:r>
      <w:r w:rsidRPr="000977F7">
        <w:rPr>
          <w:rFonts w:asciiTheme="majorHAnsi" w:hAnsiTheme="majorHAnsi"/>
          <w:spacing w:val="-6"/>
          <w:sz w:val="20"/>
          <w:szCs w:val="20"/>
        </w:rPr>
        <w:t xml:space="preserve"> </w:t>
      </w:r>
      <w:r w:rsidRPr="000977F7">
        <w:rPr>
          <w:rFonts w:asciiTheme="majorHAnsi" w:hAnsiTheme="majorHAnsi"/>
          <w:sz w:val="20"/>
          <w:szCs w:val="20"/>
        </w:rPr>
        <w:t>дій.</w:t>
      </w:r>
    </w:p>
    <w:p w14:paraId="078375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Потрібно, щоб дії виконувані стосовно ризиків і можливостей, були пропорційні їх потенційному впливу</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відповідність</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p>
    <w:p w14:paraId="592D3ED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 р и м і т к а</w:t>
      </w:r>
      <w:r w:rsidRPr="000977F7">
        <w:rPr>
          <w:rFonts w:asciiTheme="majorHAnsi" w:hAnsiTheme="majorHAnsi"/>
          <w:spacing w:val="1"/>
          <w:sz w:val="20"/>
          <w:szCs w:val="20"/>
        </w:rPr>
        <w:t xml:space="preserve"> </w:t>
      </w:r>
      <w:r w:rsidRPr="000977F7">
        <w:rPr>
          <w:rFonts w:asciiTheme="majorHAnsi" w:hAnsiTheme="majorHAnsi"/>
          <w:sz w:val="20"/>
          <w:szCs w:val="20"/>
        </w:rPr>
        <w:t>1: Варіанти реагування на ризики можуть охоплювати уникнення ризиків, прийняття ризику, щоб скористатися можливістю, усунення джерела ризику, змінення ймовірності настання чи наслідків, розділення ризику чи збереження ризику на основі</w:t>
      </w:r>
      <w:r w:rsidRPr="000977F7">
        <w:rPr>
          <w:rFonts w:asciiTheme="majorHAnsi" w:hAnsiTheme="majorHAnsi"/>
          <w:spacing w:val="-2"/>
          <w:sz w:val="20"/>
          <w:szCs w:val="20"/>
        </w:rPr>
        <w:t xml:space="preserve"> </w:t>
      </w:r>
      <w:r w:rsidRPr="000977F7">
        <w:rPr>
          <w:rFonts w:asciiTheme="majorHAnsi" w:hAnsiTheme="majorHAnsi"/>
          <w:sz w:val="20"/>
          <w:szCs w:val="20"/>
        </w:rPr>
        <w:t>поінформованого</w:t>
      </w:r>
      <w:r w:rsidRPr="000977F7">
        <w:rPr>
          <w:rFonts w:asciiTheme="majorHAnsi" w:hAnsiTheme="majorHAnsi"/>
          <w:spacing w:val="1"/>
          <w:sz w:val="20"/>
          <w:szCs w:val="20"/>
        </w:rPr>
        <w:t xml:space="preserve"> </w:t>
      </w:r>
      <w:r w:rsidRPr="000977F7">
        <w:rPr>
          <w:rFonts w:asciiTheme="majorHAnsi" w:hAnsiTheme="majorHAnsi"/>
          <w:sz w:val="20"/>
          <w:szCs w:val="20"/>
        </w:rPr>
        <w:t>рішення.</w:t>
      </w:r>
    </w:p>
    <w:p w14:paraId="37D0D23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 р и м і т к а</w:t>
      </w:r>
      <w:r w:rsidRPr="000977F7">
        <w:rPr>
          <w:rFonts w:asciiTheme="majorHAnsi" w:hAnsiTheme="majorHAnsi"/>
          <w:spacing w:val="1"/>
          <w:sz w:val="20"/>
          <w:szCs w:val="20"/>
        </w:rPr>
        <w:t xml:space="preserve"> </w:t>
      </w:r>
      <w:r w:rsidRPr="000977F7">
        <w:rPr>
          <w:rFonts w:asciiTheme="majorHAnsi" w:hAnsiTheme="majorHAnsi"/>
          <w:sz w:val="20"/>
          <w:szCs w:val="20"/>
        </w:rPr>
        <w:t>2: Можливості можуть зумовити прийняття</w:t>
      </w:r>
      <w:r w:rsidRPr="000977F7">
        <w:rPr>
          <w:rFonts w:asciiTheme="majorHAnsi" w:hAnsiTheme="majorHAnsi"/>
          <w:spacing w:val="1"/>
          <w:sz w:val="20"/>
          <w:szCs w:val="20"/>
        </w:rPr>
        <w:t xml:space="preserve"> </w:t>
      </w:r>
      <w:r w:rsidRPr="000977F7">
        <w:rPr>
          <w:rFonts w:asciiTheme="majorHAnsi" w:hAnsiTheme="majorHAnsi"/>
          <w:sz w:val="20"/>
          <w:szCs w:val="20"/>
        </w:rPr>
        <w:t>нових</w:t>
      </w:r>
      <w:r w:rsidRPr="000977F7">
        <w:rPr>
          <w:rFonts w:asciiTheme="majorHAnsi" w:hAnsiTheme="majorHAnsi"/>
          <w:spacing w:val="1"/>
          <w:sz w:val="20"/>
          <w:szCs w:val="20"/>
        </w:rPr>
        <w:t xml:space="preserve"> </w:t>
      </w:r>
      <w:r w:rsidRPr="000977F7">
        <w:rPr>
          <w:rFonts w:asciiTheme="majorHAnsi" w:hAnsiTheme="majorHAnsi"/>
          <w:sz w:val="20"/>
          <w:szCs w:val="20"/>
        </w:rPr>
        <w:t>практик,</w:t>
      </w:r>
      <w:r w:rsidRPr="000977F7">
        <w:rPr>
          <w:rFonts w:asciiTheme="majorHAnsi" w:hAnsiTheme="majorHAnsi"/>
          <w:spacing w:val="1"/>
          <w:sz w:val="20"/>
          <w:szCs w:val="20"/>
        </w:rPr>
        <w:t xml:space="preserve"> </w:t>
      </w:r>
      <w:r w:rsidRPr="000977F7">
        <w:rPr>
          <w:rFonts w:asciiTheme="majorHAnsi" w:hAnsiTheme="majorHAnsi"/>
          <w:sz w:val="20"/>
          <w:szCs w:val="20"/>
        </w:rPr>
        <w:t>запуску</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нової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 виходу на нові ринки, завоювання нових</w:t>
      </w:r>
      <w:r w:rsidRPr="000977F7">
        <w:rPr>
          <w:rFonts w:asciiTheme="majorHAnsi" w:hAnsiTheme="majorHAnsi"/>
          <w:spacing w:val="1"/>
          <w:sz w:val="20"/>
          <w:szCs w:val="20"/>
        </w:rPr>
        <w:t xml:space="preserve"> </w:t>
      </w:r>
      <w:r w:rsidRPr="000977F7">
        <w:rPr>
          <w:rFonts w:asciiTheme="majorHAnsi" w:hAnsiTheme="majorHAnsi"/>
          <w:sz w:val="20"/>
          <w:szCs w:val="20"/>
        </w:rPr>
        <w:t>замовників, побудови партнерських стосунків, використання нової технології та інших бажаних і дієвих</w:t>
      </w:r>
      <w:r w:rsidRPr="000977F7">
        <w:rPr>
          <w:rFonts w:asciiTheme="majorHAnsi" w:hAnsiTheme="majorHAnsi"/>
          <w:spacing w:val="1"/>
          <w:sz w:val="20"/>
          <w:szCs w:val="20"/>
        </w:rPr>
        <w:t xml:space="preserve"> </w:t>
      </w:r>
      <w:r w:rsidRPr="000977F7">
        <w:rPr>
          <w:rFonts w:asciiTheme="majorHAnsi" w:hAnsiTheme="majorHAnsi"/>
          <w:sz w:val="20"/>
          <w:szCs w:val="20"/>
        </w:rPr>
        <w:t>способів, щоб реагувати на потреби організації чи її</w:t>
      </w:r>
      <w:r w:rsidRPr="000977F7">
        <w:rPr>
          <w:rFonts w:asciiTheme="majorHAnsi" w:hAnsiTheme="majorHAnsi"/>
          <w:spacing w:val="1"/>
          <w:sz w:val="20"/>
          <w:szCs w:val="20"/>
        </w:rPr>
        <w:t xml:space="preserve"> </w:t>
      </w:r>
      <w:r w:rsidRPr="000977F7">
        <w:rPr>
          <w:rFonts w:asciiTheme="majorHAnsi" w:hAnsiTheme="majorHAnsi"/>
          <w:sz w:val="20"/>
          <w:szCs w:val="20"/>
        </w:rPr>
        <w:t>замовників.</w:t>
      </w:r>
    </w:p>
    <w:p w14:paraId="611E4BF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625552D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ДІЙСНА</w:t>
      </w:r>
      <w:r w:rsidRPr="000977F7">
        <w:rPr>
          <w:color w:val="auto"/>
          <w:spacing w:val="-4"/>
          <w:sz w:val="20"/>
          <w:szCs w:val="20"/>
        </w:rPr>
        <w:t xml:space="preserve"> </w:t>
      </w:r>
      <w:r w:rsidRPr="000977F7">
        <w:rPr>
          <w:color w:val="auto"/>
          <w:sz w:val="20"/>
          <w:szCs w:val="20"/>
        </w:rPr>
        <w:t>ГРАНИЦЯ</w:t>
      </w:r>
      <w:r w:rsidRPr="000977F7">
        <w:rPr>
          <w:color w:val="auto"/>
          <w:spacing w:val="-3"/>
          <w:sz w:val="20"/>
          <w:szCs w:val="20"/>
        </w:rPr>
        <w:t xml:space="preserve"> </w:t>
      </w:r>
      <w:r w:rsidRPr="000977F7">
        <w:rPr>
          <w:color w:val="auto"/>
          <w:sz w:val="20"/>
          <w:szCs w:val="20"/>
        </w:rPr>
        <w:t>МІЦНОСТІ</w:t>
      </w:r>
      <w:r w:rsidRPr="000977F7">
        <w:rPr>
          <w:color w:val="auto"/>
          <w:spacing w:val="-5"/>
          <w:sz w:val="20"/>
          <w:szCs w:val="20"/>
        </w:rPr>
        <w:t xml:space="preserve"> </w:t>
      </w:r>
      <w:r w:rsidRPr="000977F7">
        <w:rPr>
          <w:color w:val="auto"/>
          <w:sz w:val="20"/>
          <w:szCs w:val="20"/>
        </w:rPr>
        <w:t>–</w:t>
      </w:r>
    </w:p>
    <w:p w14:paraId="7E57011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ACTUAL</w:t>
      </w:r>
      <w:r w:rsidRPr="000977F7">
        <w:rPr>
          <w:rFonts w:asciiTheme="majorHAnsi" w:hAnsiTheme="majorHAnsi"/>
          <w:spacing w:val="-4"/>
          <w:sz w:val="20"/>
          <w:szCs w:val="20"/>
        </w:rPr>
        <w:t xml:space="preserve"> </w:t>
      </w:r>
      <w:r w:rsidRPr="000977F7">
        <w:rPr>
          <w:rFonts w:asciiTheme="majorHAnsi" w:hAnsiTheme="majorHAnsi"/>
          <w:sz w:val="20"/>
          <w:szCs w:val="20"/>
        </w:rPr>
        <w:t>STRESS</w:t>
      </w:r>
      <w:r w:rsidRPr="000977F7">
        <w:rPr>
          <w:rFonts w:asciiTheme="majorHAnsi" w:hAnsiTheme="majorHAnsi"/>
          <w:spacing w:val="-1"/>
          <w:sz w:val="20"/>
          <w:szCs w:val="20"/>
        </w:rPr>
        <w:t xml:space="preserve"> </w:t>
      </w:r>
      <w:r w:rsidRPr="000977F7">
        <w:rPr>
          <w:rFonts w:asciiTheme="majorHAnsi" w:hAnsiTheme="majorHAnsi"/>
          <w:sz w:val="20"/>
          <w:szCs w:val="20"/>
        </w:rPr>
        <w:t>LIMIT</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6AD13E5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Дійсне напруження</w:t>
      </w:r>
      <w:r w:rsidRPr="000977F7">
        <w:rPr>
          <w:rFonts w:asciiTheme="majorHAnsi" w:hAnsiTheme="majorHAnsi"/>
          <w:spacing w:val="-3"/>
          <w:sz w:val="20"/>
          <w:szCs w:val="20"/>
        </w:rPr>
        <w:t xml:space="preserve"> </w:t>
      </w:r>
      <w:r w:rsidRPr="000977F7">
        <w:rPr>
          <w:rFonts w:asciiTheme="majorHAnsi" w:hAnsiTheme="majorHAnsi"/>
          <w:sz w:val="20"/>
          <w:szCs w:val="20"/>
        </w:rPr>
        <w:t>в</w:t>
      </w:r>
      <w:r w:rsidRPr="000977F7">
        <w:rPr>
          <w:rFonts w:asciiTheme="majorHAnsi" w:hAnsiTheme="majorHAnsi"/>
          <w:spacing w:val="-4"/>
          <w:sz w:val="20"/>
          <w:szCs w:val="20"/>
        </w:rPr>
        <w:t xml:space="preserve"> </w:t>
      </w:r>
      <w:r w:rsidRPr="000977F7">
        <w:rPr>
          <w:rFonts w:asciiTheme="majorHAnsi" w:hAnsiTheme="majorHAnsi"/>
          <w:sz w:val="20"/>
          <w:szCs w:val="20"/>
        </w:rPr>
        <w:t>момент</w:t>
      </w:r>
      <w:r w:rsidRPr="000977F7">
        <w:rPr>
          <w:rFonts w:asciiTheme="majorHAnsi" w:hAnsiTheme="majorHAnsi"/>
          <w:spacing w:val="-3"/>
          <w:sz w:val="20"/>
          <w:szCs w:val="20"/>
        </w:rPr>
        <w:t xml:space="preserve"> </w:t>
      </w:r>
      <w:r w:rsidRPr="000977F7">
        <w:rPr>
          <w:rFonts w:asciiTheme="majorHAnsi" w:hAnsiTheme="majorHAnsi"/>
          <w:sz w:val="20"/>
          <w:szCs w:val="20"/>
        </w:rPr>
        <w:t>поділу</w:t>
      </w:r>
      <w:r w:rsidRPr="000977F7">
        <w:rPr>
          <w:rFonts w:asciiTheme="majorHAnsi" w:hAnsiTheme="majorHAnsi"/>
          <w:spacing w:val="-7"/>
          <w:sz w:val="20"/>
          <w:szCs w:val="20"/>
        </w:rPr>
        <w:t xml:space="preserve"> </w:t>
      </w:r>
      <w:r w:rsidRPr="000977F7">
        <w:rPr>
          <w:rFonts w:asciiTheme="majorHAnsi" w:hAnsiTheme="majorHAnsi"/>
          <w:sz w:val="20"/>
          <w:szCs w:val="20"/>
        </w:rPr>
        <w:t>зразка</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частини</w:t>
      </w:r>
    </w:p>
    <w:p w14:paraId="7851AD5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07356FD" w14:textId="77777777" w:rsidR="0097612F" w:rsidRPr="000977F7" w:rsidRDefault="0097612F" w:rsidP="000977F7">
      <w:pPr>
        <w:pStyle w:val="7"/>
        <w:tabs>
          <w:tab w:val="left" w:pos="284"/>
        </w:tabs>
        <w:spacing w:before="0" w:line="240" w:lineRule="auto"/>
        <w:ind w:left="170"/>
        <w:mirrorIndents/>
        <w:jc w:val="both"/>
        <w:rPr>
          <w:color w:val="auto"/>
          <w:spacing w:val="-9"/>
          <w:sz w:val="20"/>
          <w:szCs w:val="20"/>
        </w:rPr>
      </w:pPr>
      <w:r w:rsidRPr="000977F7">
        <w:rPr>
          <w:color w:val="auto"/>
          <w:spacing w:val="-1"/>
          <w:sz w:val="20"/>
          <w:szCs w:val="20"/>
        </w:rPr>
        <w:t>ДІЙСНА</w:t>
      </w:r>
      <w:r w:rsidRPr="000977F7">
        <w:rPr>
          <w:color w:val="auto"/>
          <w:spacing w:val="-9"/>
          <w:sz w:val="20"/>
          <w:szCs w:val="20"/>
        </w:rPr>
        <w:t xml:space="preserve"> </w:t>
      </w:r>
      <w:r w:rsidRPr="000977F7">
        <w:rPr>
          <w:color w:val="auto"/>
          <w:spacing w:val="-1"/>
          <w:sz w:val="20"/>
          <w:szCs w:val="20"/>
        </w:rPr>
        <w:t>(УЯВНА)</w:t>
      </w:r>
      <w:r w:rsidRPr="000977F7">
        <w:rPr>
          <w:color w:val="auto"/>
          <w:spacing w:val="-8"/>
          <w:sz w:val="20"/>
          <w:szCs w:val="20"/>
        </w:rPr>
        <w:t xml:space="preserve"> </w:t>
      </w:r>
      <w:r w:rsidRPr="000977F7">
        <w:rPr>
          <w:color w:val="auto"/>
          <w:spacing w:val="-1"/>
          <w:sz w:val="20"/>
          <w:szCs w:val="20"/>
        </w:rPr>
        <w:t>ЧАСТОТНА</w:t>
      </w:r>
      <w:r w:rsidRPr="000977F7">
        <w:rPr>
          <w:color w:val="auto"/>
          <w:spacing w:val="-9"/>
          <w:sz w:val="20"/>
          <w:szCs w:val="20"/>
        </w:rPr>
        <w:t xml:space="preserve"> </w:t>
      </w:r>
    </w:p>
    <w:p w14:paraId="13DD224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1"/>
          <w:sz w:val="20"/>
          <w:szCs w:val="20"/>
        </w:rPr>
        <w:t>ХАРАКТЕРИСТИ</w:t>
      </w:r>
      <w:r w:rsidRPr="000977F7">
        <w:rPr>
          <w:color w:val="auto"/>
          <w:spacing w:val="-47"/>
          <w:sz w:val="20"/>
          <w:szCs w:val="20"/>
        </w:rPr>
        <w:t xml:space="preserve"> </w:t>
      </w:r>
      <w:r w:rsidRPr="000977F7">
        <w:rPr>
          <w:color w:val="auto"/>
          <w:sz w:val="20"/>
          <w:szCs w:val="20"/>
        </w:rPr>
        <w:t>КА</w:t>
      </w:r>
      <w:r w:rsidRPr="000977F7">
        <w:rPr>
          <w:color w:val="auto"/>
          <w:spacing w:val="-1"/>
          <w:sz w:val="20"/>
          <w:szCs w:val="20"/>
        </w:rPr>
        <w:t xml:space="preserve"> </w:t>
      </w:r>
      <w:r w:rsidRPr="000977F7">
        <w:rPr>
          <w:color w:val="auto"/>
          <w:sz w:val="20"/>
          <w:szCs w:val="20"/>
        </w:rPr>
        <w:t>–</w:t>
      </w:r>
    </w:p>
    <w:p w14:paraId="25787C5F" w14:textId="77777777" w:rsidR="0097612F" w:rsidRPr="004D2D14" w:rsidRDefault="0097612F" w:rsidP="000977F7">
      <w:pPr>
        <w:pStyle w:val="af6"/>
        <w:tabs>
          <w:tab w:val="left" w:pos="284"/>
          <w:tab w:val="left" w:pos="1981"/>
          <w:tab w:val="left" w:pos="3555"/>
        </w:tabs>
        <w:spacing w:after="0"/>
        <w:ind w:left="170"/>
        <w:mirrorIndents/>
        <w:jc w:val="both"/>
        <w:rPr>
          <w:rFonts w:asciiTheme="majorHAnsi" w:hAnsiTheme="majorHAnsi"/>
          <w:b/>
          <w:sz w:val="20"/>
          <w:szCs w:val="20"/>
          <w:lang w:val="uk-UA"/>
        </w:rPr>
      </w:pPr>
      <w:r w:rsidRPr="000977F7">
        <w:rPr>
          <w:rFonts w:asciiTheme="majorHAnsi" w:hAnsiTheme="majorHAnsi"/>
          <w:sz w:val="20"/>
          <w:szCs w:val="20"/>
        </w:rPr>
        <w:t>SUBSTANTIAL</w:t>
      </w:r>
      <w:r w:rsidRPr="004D2D14">
        <w:rPr>
          <w:rFonts w:asciiTheme="majorHAnsi" w:hAnsiTheme="majorHAnsi"/>
          <w:sz w:val="20"/>
          <w:szCs w:val="20"/>
          <w:lang w:val="uk-UA"/>
        </w:rPr>
        <w:tab/>
        <w:t>(</w:t>
      </w:r>
      <w:r w:rsidRPr="000977F7">
        <w:rPr>
          <w:rFonts w:asciiTheme="majorHAnsi" w:hAnsiTheme="majorHAnsi"/>
          <w:sz w:val="20"/>
          <w:szCs w:val="20"/>
        </w:rPr>
        <w:t>FICTIOUS</w:t>
      </w:r>
      <w:r w:rsidRPr="004D2D14">
        <w:rPr>
          <w:rFonts w:asciiTheme="majorHAnsi" w:hAnsiTheme="majorHAnsi"/>
          <w:sz w:val="20"/>
          <w:szCs w:val="20"/>
          <w:lang w:val="uk-UA"/>
        </w:rPr>
        <w:t xml:space="preserve">) </w:t>
      </w:r>
      <w:r w:rsidRPr="000977F7">
        <w:rPr>
          <w:rFonts w:asciiTheme="majorHAnsi" w:hAnsiTheme="majorHAnsi"/>
          <w:spacing w:val="-1"/>
          <w:sz w:val="20"/>
          <w:szCs w:val="20"/>
        </w:rPr>
        <w:t>FREQUENCY</w:t>
      </w:r>
      <w:r w:rsidRPr="004D2D14">
        <w:rPr>
          <w:rFonts w:asciiTheme="majorHAnsi" w:hAnsiTheme="majorHAnsi"/>
          <w:spacing w:val="-47"/>
          <w:sz w:val="20"/>
          <w:szCs w:val="20"/>
          <w:lang w:val="uk-UA"/>
        </w:rPr>
        <w:t xml:space="preserve"> </w:t>
      </w:r>
      <w:r w:rsidRPr="000977F7">
        <w:rPr>
          <w:rFonts w:asciiTheme="majorHAnsi" w:hAnsiTheme="majorHAnsi"/>
          <w:sz w:val="20"/>
          <w:szCs w:val="20"/>
        </w:rPr>
        <w:t>CHARACTERISTIC</w:t>
      </w:r>
      <w:r w:rsidRPr="004D2D14">
        <w:rPr>
          <w:rFonts w:asciiTheme="majorHAnsi" w:hAnsiTheme="majorHAnsi"/>
          <w:spacing w:val="-1"/>
          <w:sz w:val="20"/>
          <w:szCs w:val="20"/>
          <w:lang w:val="uk-UA"/>
        </w:rPr>
        <w:t xml:space="preserve"> </w:t>
      </w:r>
      <w:r w:rsidRPr="004D2D14">
        <w:rPr>
          <w:rFonts w:asciiTheme="majorHAnsi" w:hAnsiTheme="majorHAnsi"/>
          <w:b/>
          <w:sz w:val="20"/>
          <w:szCs w:val="20"/>
          <w:lang w:val="uk-UA"/>
        </w:rPr>
        <w:t>–</w:t>
      </w:r>
    </w:p>
    <w:p w14:paraId="1A48110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Частотна характеристика, яка подає залежність дійсної (уявної) частини частотної передавальної функції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частоти</w:t>
      </w:r>
    </w:p>
    <w:p w14:paraId="59C2A63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1B706A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Дійсна</w:t>
      </w:r>
      <w:r w:rsidRPr="000977F7">
        <w:rPr>
          <w:rFonts w:asciiTheme="majorHAnsi" w:hAnsiTheme="majorHAnsi"/>
          <w:spacing w:val="1"/>
          <w:sz w:val="20"/>
          <w:szCs w:val="20"/>
        </w:rPr>
        <w:t xml:space="preserve"> </w:t>
      </w:r>
      <w:r w:rsidRPr="000977F7">
        <w:rPr>
          <w:rFonts w:asciiTheme="majorHAnsi" w:hAnsiTheme="majorHAnsi"/>
          <w:sz w:val="20"/>
          <w:szCs w:val="20"/>
        </w:rPr>
        <w:t>(уявна)</w:t>
      </w:r>
      <w:r w:rsidRPr="000977F7">
        <w:rPr>
          <w:rFonts w:asciiTheme="majorHAnsi" w:hAnsiTheme="majorHAnsi"/>
          <w:spacing w:val="1"/>
          <w:sz w:val="20"/>
          <w:szCs w:val="20"/>
        </w:rPr>
        <w:t xml:space="preserve"> </w:t>
      </w:r>
      <w:r w:rsidRPr="000977F7">
        <w:rPr>
          <w:rFonts w:asciiTheme="majorHAnsi" w:hAnsiTheme="majorHAnsi"/>
          <w:sz w:val="20"/>
          <w:szCs w:val="20"/>
        </w:rPr>
        <w:t>частотна</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характеристика</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подана</w:t>
      </w:r>
      <w:r w:rsidRPr="000977F7">
        <w:rPr>
          <w:rFonts w:asciiTheme="majorHAnsi" w:hAnsiTheme="majorHAnsi"/>
          <w:spacing w:val="-1"/>
          <w:sz w:val="20"/>
          <w:szCs w:val="20"/>
        </w:rPr>
        <w:t xml:space="preserve"> </w:t>
      </w:r>
      <w:r w:rsidRPr="000977F7">
        <w:rPr>
          <w:rFonts w:asciiTheme="majorHAnsi" w:hAnsiTheme="majorHAnsi"/>
          <w:sz w:val="20"/>
          <w:szCs w:val="20"/>
        </w:rPr>
        <w:t>математичним виразом</w:t>
      </w:r>
      <w:r w:rsidRPr="000977F7">
        <w:rPr>
          <w:rFonts w:asciiTheme="majorHAnsi" w:hAnsiTheme="majorHAnsi"/>
          <w:spacing w:val="1"/>
          <w:sz w:val="20"/>
          <w:szCs w:val="20"/>
        </w:rPr>
        <w:t xml:space="preserve"> </w:t>
      </w:r>
      <w:r w:rsidRPr="000977F7">
        <w:rPr>
          <w:rFonts w:asciiTheme="majorHAnsi" w:hAnsiTheme="majorHAnsi"/>
          <w:sz w:val="20"/>
          <w:szCs w:val="20"/>
        </w:rPr>
        <w:t>або графіком</w:t>
      </w:r>
    </w:p>
    <w:p w14:paraId="42BDD88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3956 −</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2000</w:t>
      </w:r>
    </w:p>
    <w:p w14:paraId="082839F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ДІЙСНЕ</w:t>
      </w:r>
      <w:r w:rsidRPr="000977F7">
        <w:rPr>
          <w:color w:val="auto"/>
          <w:spacing w:val="-5"/>
          <w:sz w:val="20"/>
          <w:szCs w:val="20"/>
        </w:rPr>
        <w:t xml:space="preserve"> </w:t>
      </w:r>
      <w:r w:rsidRPr="000977F7">
        <w:rPr>
          <w:color w:val="auto"/>
          <w:sz w:val="20"/>
          <w:szCs w:val="20"/>
        </w:rPr>
        <w:t>ЗНАЧЕННЯ</w:t>
      </w:r>
      <w:r w:rsidRPr="000977F7">
        <w:rPr>
          <w:color w:val="auto"/>
          <w:spacing w:val="-3"/>
          <w:sz w:val="20"/>
          <w:szCs w:val="20"/>
        </w:rPr>
        <w:t xml:space="preserve"> </w:t>
      </w:r>
      <w:r w:rsidRPr="000977F7">
        <w:rPr>
          <w:color w:val="auto"/>
          <w:sz w:val="20"/>
          <w:szCs w:val="20"/>
        </w:rPr>
        <w:t>ПАРАМЕТРА</w:t>
      </w:r>
      <w:r w:rsidRPr="000977F7">
        <w:rPr>
          <w:color w:val="auto"/>
          <w:spacing w:val="-1"/>
          <w:sz w:val="20"/>
          <w:szCs w:val="20"/>
        </w:rPr>
        <w:t xml:space="preserve"> </w:t>
      </w:r>
      <w:r w:rsidRPr="000977F7">
        <w:rPr>
          <w:color w:val="auto"/>
          <w:sz w:val="20"/>
          <w:szCs w:val="20"/>
        </w:rPr>
        <w:t>–</w:t>
      </w:r>
    </w:p>
    <w:p w14:paraId="0A437AF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CONVENTIONAL</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TRUE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VALUE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PARAMETER</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59D01F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r w:rsidRPr="000977F7">
        <w:rPr>
          <w:rFonts w:asciiTheme="majorHAnsi" w:hAnsiTheme="majorHAnsi"/>
          <w:spacing w:val="1"/>
          <w:sz w:val="20"/>
          <w:szCs w:val="20"/>
        </w:rPr>
        <w:t xml:space="preserve"> </w:t>
      </w:r>
      <w:r w:rsidRPr="000977F7">
        <w:rPr>
          <w:rFonts w:asciiTheme="majorHAnsi" w:hAnsiTheme="majorHAnsi"/>
          <w:sz w:val="20"/>
          <w:szCs w:val="20"/>
        </w:rPr>
        <w:t>знайдене</w:t>
      </w:r>
      <w:r w:rsidRPr="000977F7">
        <w:rPr>
          <w:rFonts w:asciiTheme="majorHAnsi" w:hAnsiTheme="majorHAnsi"/>
          <w:spacing w:val="1"/>
          <w:sz w:val="20"/>
          <w:szCs w:val="20"/>
        </w:rPr>
        <w:t xml:space="preserve"> </w:t>
      </w:r>
      <w:r w:rsidRPr="000977F7">
        <w:rPr>
          <w:rFonts w:asciiTheme="majorHAnsi" w:hAnsiTheme="majorHAnsi"/>
          <w:sz w:val="20"/>
          <w:szCs w:val="20"/>
        </w:rPr>
        <w:t>експериментальним</w:t>
      </w:r>
      <w:r w:rsidRPr="000977F7">
        <w:rPr>
          <w:rFonts w:asciiTheme="majorHAnsi" w:hAnsiTheme="majorHAnsi"/>
          <w:spacing w:val="-47"/>
          <w:sz w:val="20"/>
          <w:szCs w:val="20"/>
        </w:rPr>
        <w:t xml:space="preserve"> </w:t>
      </w:r>
      <w:r w:rsidRPr="000977F7">
        <w:rPr>
          <w:rFonts w:asciiTheme="majorHAnsi" w:hAnsiTheme="majorHAnsi"/>
          <w:sz w:val="20"/>
          <w:szCs w:val="20"/>
        </w:rPr>
        <w:t>шляхом і настільки наближене до істинного, що його</w:t>
      </w:r>
      <w:r w:rsidRPr="000977F7">
        <w:rPr>
          <w:rFonts w:asciiTheme="majorHAnsi" w:hAnsiTheme="majorHAnsi"/>
          <w:spacing w:val="1"/>
          <w:sz w:val="20"/>
          <w:szCs w:val="20"/>
        </w:rPr>
        <w:t xml:space="preserve"> </w:t>
      </w:r>
      <w:r w:rsidRPr="000977F7">
        <w:rPr>
          <w:rFonts w:asciiTheme="majorHAnsi" w:hAnsiTheme="majorHAnsi"/>
          <w:sz w:val="20"/>
          <w:szCs w:val="20"/>
        </w:rPr>
        <w:lastRenderedPageBreak/>
        <w:t>можна</w:t>
      </w:r>
      <w:r w:rsidRPr="000977F7">
        <w:rPr>
          <w:rFonts w:asciiTheme="majorHAnsi" w:hAnsiTheme="majorHAnsi"/>
          <w:spacing w:val="1"/>
          <w:sz w:val="20"/>
          <w:szCs w:val="20"/>
        </w:rPr>
        <w:t xml:space="preserve"> </w:t>
      </w:r>
      <w:r w:rsidRPr="000977F7">
        <w:rPr>
          <w:rFonts w:asciiTheme="majorHAnsi" w:hAnsiTheme="majorHAnsi"/>
          <w:sz w:val="20"/>
          <w:szCs w:val="20"/>
        </w:rPr>
        <w:t>використати</w:t>
      </w:r>
      <w:r w:rsidRPr="000977F7">
        <w:rPr>
          <w:rFonts w:asciiTheme="majorHAnsi" w:hAnsiTheme="majorHAnsi"/>
          <w:spacing w:val="1"/>
          <w:sz w:val="20"/>
          <w:szCs w:val="20"/>
        </w:rPr>
        <w:t xml:space="preserve"> </w:t>
      </w:r>
      <w:r w:rsidRPr="000977F7">
        <w:rPr>
          <w:rFonts w:asciiTheme="majorHAnsi" w:hAnsiTheme="majorHAnsi"/>
          <w:sz w:val="20"/>
          <w:szCs w:val="20"/>
        </w:rPr>
        <w:t>замість</w:t>
      </w:r>
      <w:r w:rsidRPr="000977F7">
        <w:rPr>
          <w:rFonts w:asciiTheme="majorHAnsi" w:hAnsiTheme="majorHAnsi"/>
          <w:spacing w:val="1"/>
          <w:sz w:val="20"/>
          <w:szCs w:val="20"/>
        </w:rPr>
        <w:t xml:space="preserve"> </w:t>
      </w:r>
      <w:r w:rsidRPr="000977F7">
        <w:rPr>
          <w:rFonts w:asciiTheme="majorHAnsi" w:hAnsiTheme="majorHAnsi"/>
          <w:sz w:val="20"/>
          <w:szCs w:val="20"/>
        </w:rPr>
        <w:t>істинного</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47"/>
          <w:sz w:val="20"/>
          <w:szCs w:val="20"/>
        </w:rPr>
        <w:t xml:space="preserve"> </w:t>
      </w:r>
      <w:r w:rsidRPr="000977F7">
        <w:rPr>
          <w:rFonts w:asciiTheme="majorHAnsi" w:hAnsiTheme="majorHAnsi"/>
          <w:sz w:val="20"/>
          <w:szCs w:val="20"/>
        </w:rPr>
        <w:t>поставленої</w:t>
      </w:r>
      <w:r w:rsidRPr="000977F7">
        <w:rPr>
          <w:rFonts w:asciiTheme="majorHAnsi" w:hAnsiTheme="majorHAnsi"/>
          <w:spacing w:val="-2"/>
          <w:sz w:val="20"/>
          <w:szCs w:val="20"/>
        </w:rPr>
        <w:t xml:space="preserve"> </w:t>
      </w:r>
      <w:r w:rsidRPr="000977F7">
        <w:rPr>
          <w:rFonts w:asciiTheme="majorHAnsi" w:hAnsiTheme="majorHAnsi"/>
          <w:sz w:val="20"/>
          <w:szCs w:val="20"/>
        </w:rPr>
        <w:t>задачі</w:t>
      </w:r>
    </w:p>
    <w:p w14:paraId="204FBB8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3"/>
          <w:sz w:val="20"/>
          <w:szCs w:val="20"/>
        </w:rPr>
        <w:t xml:space="preserve"> </w:t>
      </w:r>
      <w:r w:rsidRPr="000977F7">
        <w:rPr>
          <w:rFonts w:asciiTheme="majorHAnsi" w:hAnsiTheme="majorHAnsi"/>
          <w:i/>
          <w:sz w:val="20"/>
          <w:szCs w:val="20"/>
        </w:rPr>
        <w:t>2000</w:t>
      </w:r>
    </w:p>
    <w:p w14:paraId="2DDAF3B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 параметра, яке вимірюється тільки з визначеною</w:t>
      </w:r>
      <w:r w:rsidRPr="000977F7">
        <w:rPr>
          <w:rFonts w:asciiTheme="majorHAnsi" w:hAnsiTheme="majorHAnsi"/>
          <w:spacing w:val="-1"/>
          <w:sz w:val="20"/>
          <w:szCs w:val="20"/>
        </w:rPr>
        <w:t xml:space="preserve"> </w:t>
      </w:r>
      <w:r w:rsidRPr="000977F7">
        <w:rPr>
          <w:rFonts w:asciiTheme="majorHAnsi" w:hAnsiTheme="majorHAnsi"/>
          <w:sz w:val="20"/>
          <w:szCs w:val="20"/>
        </w:rPr>
        <w:t>похибкою</w:t>
      </w:r>
    </w:p>
    <w:p w14:paraId="43C508C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ДІЯЛЬНІСТЬ</w:t>
      </w:r>
      <w:r w:rsidRPr="000977F7">
        <w:rPr>
          <w:color w:val="auto"/>
          <w:spacing w:val="-6"/>
          <w:sz w:val="20"/>
          <w:szCs w:val="20"/>
        </w:rPr>
        <w:t xml:space="preserve"> </w:t>
      </w:r>
      <w:r w:rsidRPr="000977F7">
        <w:rPr>
          <w:color w:val="auto"/>
          <w:sz w:val="20"/>
          <w:szCs w:val="20"/>
        </w:rPr>
        <w:t>ПІСЛЯ</w:t>
      </w:r>
      <w:r w:rsidRPr="000977F7">
        <w:rPr>
          <w:color w:val="auto"/>
          <w:spacing w:val="-5"/>
          <w:sz w:val="20"/>
          <w:szCs w:val="20"/>
        </w:rPr>
        <w:t xml:space="preserve"> </w:t>
      </w:r>
      <w:r w:rsidRPr="000977F7">
        <w:rPr>
          <w:color w:val="auto"/>
          <w:sz w:val="20"/>
          <w:szCs w:val="20"/>
        </w:rPr>
        <w:t>ПОСТАЧАННЯ</w:t>
      </w:r>
      <w:r w:rsidRPr="000977F7">
        <w:rPr>
          <w:color w:val="auto"/>
          <w:spacing w:val="-3"/>
          <w:sz w:val="20"/>
          <w:szCs w:val="20"/>
        </w:rPr>
        <w:t xml:space="preserve"> </w:t>
      </w:r>
      <w:r w:rsidRPr="000977F7">
        <w:rPr>
          <w:color w:val="auto"/>
          <w:sz w:val="20"/>
          <w:szCs w:val="20"/>
        </w:rPr>
        <w:t>–</w:t>
      </w:r>
    </w:p>
    <w:p w14:paraId="78EF7F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виконувати вимоги щодо діяльності після постачання продукції та послуг. Визначаючи обсяг необхідної діяльності після постачання,</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повинна розглядати</w:t>
      </w:r>
    </w:p>
    <w:p w14:paraId="16F4B813" w14:textId="77777777" w:rsidR="0097612F" w:rsidRPr="000977F7" w:rsidRDefault="0097612F" w:rsidP="00FD39A4">
      <w:pPr>
        <w:pStyle w:val="ac"/>
        <w:widowControl w:val="0"/>
        <w:numPr>
          <w:ilvl w:val="0"/>
          <w:numId w:val="184"/>
        </w:numPr>
        <w:tabs>
          <w:tab w:val="left" w:pos="28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законодавчі</w:t>
      </w:r>
      <w:r w:rsidRPr="000977F7">
        <w:rPr>
          <w:rFonts w:asciiTheme="majorHAnsi" w:hAnsiTheme="majorHAnsi"/>
          <w:spacing w:val="-6"/>
          <w:sz w:val="20"/>
          <w:szCs w:val="20"/>
        </w:rPr>
        <w:t xml:space="preserve"> </w:t>
      </w:r>
      <w:r w:rsidRPr="000977F7">
        <w:rPr>
          <w:rFonts w:asciiTheme="majorHAnsi" w:hAnsiTheme="majorHAnsi"/>
          <w:sz w:val="20"/>
          <w:szCs w:val="20"/>
        </w:rPr>
        <w:t>та</w:t>
      </w:r>
      <w:r w:rsidRPr="000977F7">
        <w:rPr>
          <w:rFonts w:asciiTheme="majorHAnsi" w:hAnsiTheme="majorHAnsi"/>
          <w:spacing w:val="-5"/>
          <w:sz w:val="20"/>
          <w:szCs w:val="20"/>
        </w:rPr>
        <w:t xml:space="preserve"> </w:t>
      </w:r>
      <w:r w:rsidRPr="000977F7">
        <w:rPr>
          <w:rFonts w:asciiTheme="majorHAnsi" w:hAnsiTheme="majorHAnsi"/>
          <w:sz w:val="20"/>
          <w:szCs w:val="20"/>
        </w:rPr>
        <w:t>регламентувальні</w:t>
      </w:r>
      <w:r w:rsidRPr="000977F7">
        <w:rPr>
          <w:rFonts w:asciiTheme="majorHAnsi" w:hAnsiTheme="majorHAnsi"/>
          <w:spacing w:val="-3"/>
          <w:sz w:val="20"/>
          <w:szCs w:val="20"/>
        </w:rPr>
        <w:t xml:space="preserve"> </w:t>
      </w:r>
      <w:r w:rsidRPr="000977F7">
        <w:rPr>
          <w:rFonts w:asciiTheme="majorHAnsi" w:hAnsiTheme="majorHAnsi"/>
          <w:sz w:val="20"/>
          <w:szCs w:val="20"/>
        </w:rPr>
        <w:t>вимоги;</w:t>
      </w:r>
    </w:p>
    <w:p w14:paraId="45465C70" w14:textId="77777777" w:rsidR="0097612F" w:rsidRPr="000977F7" w:rsidRDefault="0097612F" w:rsidP="00FD39A4">
      <w:pPr>
        <w:pStyle w:val="ac"/>
        <w:widowControl w:val="0"/>
        <w:numPr>
          <w:ilvl w:val="0"/>
          <w:numId w:val="184"/>
        </w:numPr>
        <w:tabs>
          <w:tab w:val="left" w:pos="28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можливі небажані наслідки, пов’язані з її продукцією</w:t>
      </w:r>
      <w:r w:rsidRPr="000977F7">
        <w:rPr>
          <w:rFonts w:asciiTheme="majorHAnsi" w:hAnsiTheme="majorHAnsi"/>
          <w:spacing w:val="-1"/>
          <w:sz w:val="20"/>
          <w:szCs w:val="20"/>
        </w:rPr>
        <w:t xml:space="preserve"> </w:t>
      </w:r>
      <w:r w:rsidRPr="000977F7">
        <w:rPr>
          <w:rFonts w:asciiTheme="majorHAnsi" w:hAnsiTheme="majorHAnsi"/>
          <w:sz w:val="20"/>
          <w:szCs w:val="20"/>
        </w:rPr>
        <w:t>та послугами;</w:t>
      </w:r>
    </w:p>
    <w:p w14:paraId="3754FC9F" w14:textId="77777777" w:rsidR="0097612F" w:rsidRPr="000977F7" w:rsidRDefault="0097612F" w:rsidP="00FD39A4">
      <w:pPr>
        <w:pStyle w:val="ac"/>
        <w:widowControl w:val="0"/>
        <w:numPr>
          <w:ilvl w:val="0"/>
          <w:numId w:val="184"/>
        </w:numPr>
        <w:tabs>
          <w:tab w:val="left" w:pos="28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характер, використання та передбачений</w:t>
      </w:r>
      <w:r w:rsidRPr="000977F7">
        <w:rPr>
          <w:rFonts w:asciiTheme="majorHAnsi" w:hAnsiTheme="majorHAnsi"/>
          <w:spacing w:val="1"/>
          <w:sz w:val="20"/>
          <w:szCs w:val="20"/>
        </w:rPr>
        <w:t xml:space="preserve"> </w:t>
      </w:r>
      <w:r w:rsidRPr="000977F7">
        <w:rPr>
          <w:rFonts w:asciiTheme="majorHAnsi" w:hAnsiTheme="majorHAnsi"/>
          <w:sz w:val="20"/>
          <w:szCs w:val="20"/>
        </w:rPr>
        <w:t>строк</w:t>
      </w:r>
      <w:r w:rsidRPr="000977F7">
        <w:rPr>
          <w:rFonts w:asciiTheme="majorHAnsi" w:hAnsiTheme="majorHAnsi"/>
          <w:spacing w:val="-47"/>
          <w:sz w:val="20"/>
          <w:szCs w:val="20"/>
        </w:rPr>
        <w:t xml:space="preserve"> </w:t>
      </w:r>
      <w:r w:rsidRPr="000977F7">
        <w:rPr>
          <w:rFonts w:asciiTheme="majorHAnsi" w:hAnsiTheme="majorHAnsi"/>
          <w:sz w:val="20"/>
          <w:szCs w:val="20"/>
        </w:rPr>
        <w:t>служби</w:t>
      </w:r>
      <w:r w:rsidRPr="000977F7">
        <w:rPr>
          <w:rFonts w:asciiTheme="majorHAnsi" w:hAnsiTheme="majorHAnsi"/>
          <w:spacing w:val="-5"/>
          <w:sz w:val="20"/>
          <w:szCs w:val="20"/>
        </w:rPr>
        <w:t xml:space="preserve"> </w:t>
      </w:r>
      <w:r w:rsidRPr="000977F7">
        <w:rPr>
          <w:rFonts w:asciiTheme="majorHAnsi" w:hAnsiTheme="majorHAnsi"/>
          <w:sz w:val="20"/>
          <w:szCs w:val="20"/>
        </w:rPr>
        <w:t>її</w:t>
      </w:r>
      <w:r w:rsidRPr="000977F7">
        <w:rPr>
          <w:rFonts w:asciiTheme="majorHAnsi" w:hAnsiTheme="majorHAnsi"/>
          <w:spacing w:val="-4"/>
          <w:sz w:val="20"/>
          <w:szCs w:val="20"/>
        </w:rPr>
        <w:t xml:space="preserve"> </w:t>
      </w:r>
      <w:r w:rsidRPr="000977F7">
        <w:rPr>
          <w:rFonts w:asciiTheme="majorHAnsi" w:hAnsiTheme="majorHAnsi"/>
          <w:sz w:val="20"/>
          <w:szCs w:val="20"/>
        </w:rPr>
        <w:t>продукції</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тривалість</w:t>
      </w:r>
      <w:r w:rsidRPr="000977F7">
        <w:rPr>
          <w:rFonts w:asciiTheme="majorHAnsi" w:hAnsiTheme="majorHAnsi"/>
          <w:spacing w:val="-2"/>
          <w:sz w:val="20"/>
          <w:szCs w:val="20"/>
        </w:rPr>
        <w:t xml:space="preserve"> </w:t>
      </w:r>
      <w:r w:rsidRPr="000977F7">
        <w:rPr>
          <w:rFonts w:asciiTheme="majorHAnsi" w:hAnsiTheme="majorHAnsi"/>
          <w:sz w:val="20"/>
          <w:szCs w:val="20"/>
        </w:rPr>
        <w:t>надання</w:t>
      </w:r>
      <w:r w:rsidRPr="000977F7">
        <w:rPr>
          <w:rFonts w:asciiTheme="majorHAnsi" w:hAnsiTheme="majorHAnsi"/>
          <w:spacing w:val="-4"/>
          <w:sz w:val="20"/>
          <w:szCs w:val="20"/>
        </w:rPr>
        <w:t xml:space="preserve"> </w:t>
      </w:r>
      <w:r w:rsidRPr="000977F7">
        <w:rPr>
          <w:rFonts w:asciiTheme="majorHAnsi" w:hAnsiTheme="majorHAnsi"/>
          <w:sz w:val="20"/>
          <w:szCs w:val="20"/>
        </w:rPr>
        <w:t>послуг;</w:t>
      </w:r>
    </w:p>
    <w:p w14:paraId="526C219F" w14:textId="77777777" w:rsidR="0097612F" w:rsidRPr="000977F7" w:rsidRDefault="0097612F" w:rsidP="00FD39A4">
      <w:pPr>
        <w:pStyle w:val="ac"/>
        <w:widowControl w:val="0"/>
        <w:numPr>
          <w:ilvl w:val="0"/>
          <w:numId w:val="184"/>
        </w:numPr>
        <w:tabs>
          <w:tab w:val="left" w:pos="28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вимоги</w:t>
      </w:r>
      <w:r w:rsidRPr="000977F7">
        <w:rPr>
          <w:rFonts w:asciiTheme="majorHAnsi" w:hAnsiTheme="majorHAnsi"/>
          <w:spacing w:val="-6"/>
          <w:sz w:val="20"/>
          <w:szCs w:val="20"/>
        </w:rPr>
        <w:t xml:space="preserve"> </w:t>
      </w:r>
      <w:r w:rsidRPr="000977F7">
        <w:rPr>
          <w:rFonts w:asciiTheme="majorHAnsi" w:hAnsiTheme="majorHAnsi"/>
          <w:sz w:val="20"/>
          <w:szCs w:val="20"/>
        </w:rPr>
        <w:t>замовників;</w:t>
      </w:r>
    </w:p>
    <w:p w14:paraId="1952C401" w14:textId="77777777" w:rsidR="0097612F" w:rsidRPr="000977F7" w:rsidRDefault="0097612F" w:rsidP="00FD39A4">
      <w:pPr>
        <w:pStyle w:val="ac"/>
        <w:widowControl w:val="0"/>
        <w:numPr>
          <w:ilvl w:val="0"/>
          <w:numId w:val="184"/>
        </w:numPr>
        <w:tabs>
          <w:tab w:val="left" w:pos="28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зворотній</w:t>
      </w:r>
      <w:r w:rsidRPr="000977F7">
        <w:rPr>
          <w:rFonts w:asciiTheme="majorHAnsi" w:hAnsiTheme="majorHAnsi"/>
          <w:spacing w:val="-4"/>
          <w:sz w:val="20"/>
          <w:szCs w:val="20"/>
        </w:rPr>
        <w:t xml:space="preserve"> </w:t>
      </w:r>
      <w:r w:rsidRPr="000977F7">
        <w:rPr>
          <w:rFonts w:asciiTheme="majorHAnsi" w:hAnsiTheme="majorHAnsi"/>
          <w:sz w:val="20"/>
          <w:szCs w:val="20"/>
        </w:rPr>
        <w:t>зв'язок</w:t>
      </w:r>
      <w:r w:rsidRPr="000977F7">
        <w:rPr>
          <w:rFonts w:asciiTheme="majorHAnsi" w:hAnsiTheme="majorHAnsi"/>
          <w:spacing w:val="-3"/>
          <w:sz w:val="20"/>
          <w:szCs w:val="20"/>
        </w:rPr>
        <w:t xml:space="preserve"> </w:t>
      </w:r>
      <w:r w:rsidRPr="000977F7">
        <w:rPr>
          <w:rFonts w:asciiTheme="majorHAnsi" w:hAnsiTheme="majorHAnsi"/>
          <w:sz w:val="20"/>
          <w:szCs w:val="20"/>
        </w:rPr>
        <w:t>із</w:t>
      </w:r>
      <w:r w:rsidRPr="000977F7">
        <w:rPr>
          <w:rFonts w:asciiTheme="majorHAnsi" w:hAnsiTheme="majorHAnsi"/>
          <w:spacing w:val="-3"/>
          <w:sz w:val="20"/>
          <w:szCs w:val="20"/>
        </w:rPr>
        <w:t xml:space="preserve"> </w:t>
      </w:r>
      <w:r w:rsidRPr="000977F7">
        <w:rPr>
          <w:rFonts w:asciiTheme="majorHAnsi" w:hAnsiTheme="majorHAnsi"/>
          <w:sz w:val="20"/>
          <w:szCs w:val="20"/>
        </w:rPr>
        <w:t>замовниками.</w:t>
      </w:r>
    </w:p>
    <w:p w14:paraId="17361B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 р и м і т к а: Діяльність після постачання може охоплювати</w:t>
      </w:r>
      <w:r w:rsidRPr="000977F7">
        <w:rPr>
          <w:rFonts w:asciiTheme="majorHAnsi" w:hAnsiTheme="majorHAnsi"/>
          <w:spacing w:val="-7"/>
          <w:sz w:val="20"/>
          <w:szCs w:val="20"/>
        </w:rPr>
        <w:t xml:space="preserve"> </w:t>
      </w:r>
      <w:r w:rsidRPr="000977F7">
        <w:rPr>
          <w:rFonts w:asciiTheme="majorHAnsi" w:hAnsiTheme="majorHAnsi"/>
          <w:sz w:val="20"/>
          <w:szCs w:val="20"/>
        </w:rPr>
        <w:t>дії,</w:t>
      </w:r>
      <w:r w:rsidRPr="000977F7">
        <w:rPr>
          <w:rFonts w:asciiTheme="majorHAnsi" w:hAnsiTheme="majorHAnsi"/>
          <w:spacing w:val="-4"/>
          <w:sz w:val="20"/>
          <w:szCs w:val="20"/>
        </w:rPr>
        <w:t xml:space="preserve"> </w:t>
      </w:r>
      <w:r w:rsidRPr="000977F7">
        <w:rPr>
          <w:rFonts w:asciiTheme="majorHAnsi" w:hAnsiTheme="majorHAnsi"/>
          <w:sz w:val="20"/>
          <w:szCs w:val="20"/>
        </w:rPr>
        <w:t>передбачені</w:t>
      </w:r>
      <w:r w:rsidRPr="000977F7">
        <w:rPr>
          <w:rFonts w:asciiTheme="majorHAnsi" w:hAnsiTheme="majorHAnsi"/>
          <w:spacing w:val="-7"/>
          <w:sz w:val="20"/>
          <w:szCs w:val="20"/>
        </w:rPr>
        <w:t xml:space="preserve"> </w:t>
      </w:r>
      <w:r w:rsidRPr="000977F7">
        <w:rPr>
          <w:rFonts w:asciiTheme="majorHAnsi" w:hAnsiTheme="majorHAnsi"/>
          <w:sz w:val="20"/>
          <w:szCs w:val="20"/>
        </w:rPr>
        <w:t>гарантійними</w:t>
      </w:r>
      <w:r w:rsidRPr="000977F7">
        <w:rPr>
          <w:rFonts w:asciiTheme="majorHAnsi" w:hAnsiTheme="majorHAnsi"/>
          <w:spacing w:val="-5"/>
          <w:sz w:val="20"/>
          <w:szCs w:val="20"/>
        </w:rPr>
        <w:t xml:space="preserve"> </w:t>
      </w:r>
      <w:r w:rsidRPr="000977F7">
        <w:rPr>
          <w:rFonts w:asciiTheme="majorHAnsi" w:hAnsiTheme="majorHAnsi"/>
          <w:sz w:val="20"/>
          <w:szCs w:val="20"/>
        </w:rPr>
        <w:t>положеннями,</w:t>
      </w:r>
      <w:r w:rsidRPr="000977F7">
        <w:rPr>
          <w:rFonts w:asciiTheme="majorHAnsi" w:hAnsiTheme="majorHAnsi"/>
          <w:spacing w:val="-47"/>
          <w:sz w:val="20"/>
          <w:szCs w:val="20"/>
        </w:rPr>
        <w:t xml:space="preserve"> </w:t>
      </w:r>
      <w:r w:rsidRPr="000977F7">
        <w:rPr>
          <w:rFonts w:asciiTheme="majorHAnsi" w:hAnsiTheme="majorHAnsi"/>
          <w:sz w:val="20"/>
          <w:szCs w:val="20"/>
        </w:rPr>
        <w:t>контрактними зобов’язаннями, наприклад, послуги з</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 обслуговування, а також додаткові послуги,</w:t>
      </w:r>
      <w:r w:rsidRPr="000977F7">
        <w:rPr>
          <w:rFonts w:asciiTheme="majorHAnsi" w:hAnsiTheme="majorHAnsi"/>
          <w:spacing w:val="-3"/>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утилізацію</w:t>
      </w:r>
      <w:r w:rsidRPr="000977F7">
        <w:rPr>
          <w:rFonts w:asciiTheme="majorHAnsi" w:hAnsiTheme="majorHAnsi"/>
          <w:spacing w:val="-4"/>
          <w:sz w:val="20"/>
          <w:szCs w:val="20"/>
        </w:rPr>
        <w:t xml:space="preserve"> </w:t>
      </w:r>
      <w:r w:rsidRPr="000977F7">
        <w:rPr>
          <w:rFonts w:asciiTheme="majorHAnsi" w:hAnsiTheme="majorHAnsi"/>
          <w:sz w:val="20"/>
          <w:szCs w:val="20"/>
        </w:rPr>
        <w:t>чи</w:t>
      </w:r>
      <w:r w:rsidRPr="000977F7">
        <w:rPr>
          <w:rFonts w:asciiTheme="majorHAnsi" w:hAnsiTheme="majorHAnsi"/>
          <w:spacing w:val="-3"/>
          <w:sz w:val="20"/>
          <w:szCs w:val="20"/>
        </w:rPr>
        <w:t xml:space="preserve"> </w:t>
      </w:r>
      <w:r w:rsidRPr="000977F7">
        <w:rPr>
          <w:rFonts w:asciiTheme="majorHAnsi" w:hAnsiTheme="majorHAnsi"/>
          <w:sz w:val="20"/>
          <w:szCs w:val="20"/>
        </w:rPr>
        <w:t>остаточне</w:t>
      </w:r>
      <w:r w:rsidRPr="000977F7">
        <w:rPr>
          <w:rFonts w:asciiTheme="majorHAnsi" w:hAnsiTheme="majorHAnsi"/>
          <w:spacing w:val="-2"/>
          <w:sz w:val="20"/>
          <w:szCs w:val="20"/>
        </w:rPr>
        <w:t xml:space="preserve"> </w:t>
      </w:r>
      <w:r w:rsidRPr="000977F7">
        <w:rPr>
          <w:rFonts w:asciiTheme="majorHAnsi" w:hAnsiTheme="majorHAnsi"/>
          <w:sz w:val="20"/>
          <w:szCs w:val="20"/>
        </w:rPr>
        <w:t>видалення</w:t>
      </w:r>
    </w:p>
    <w:p w14:paraId="11D46AB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1D0F155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ДІЯЛЬНІСТЬ ЩОДО ОЦІНЮВАННЯ </w:t>
      </w:r>
    </w:p>
    <w:p w14:paraId="66B2BE8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ВІДПОВІ</w:t>
      </w:r>
      <w:r w:rsidRPr="000977F7">
        <w:rPr>
          <w:color w:val="auto"/>
          <w:spacing w:val="-47"/>
          <w:sz w:val="20"/>
          <w:szCs w:val="20"/>
        </w:rPr>
        <w:t xml:space="preserve"> </w:t>
      </w:r>
      <w:r w:rsidRPr="000977F7">
        <w:rPr>
          <w:color w:val="auto"/>
          <w:sz w:val="20"/>
          <w:szCs w:val="20"/>
        </w:rPr>
        <w:t>ДНОСТІ</w:t>
      </w:r>
      <w:r w:rsidRPr="000977F7">
        <w:rPr>
          <w:color w:val="auto"/>
          <w:spacing w:val="-2"/>
          <w:sz w:val="20"/>
          <w:szCs w:val="20"/>
        </w:rPr>
        <w:t xml:space="preserve"> </w:t>
      </w:r>
      <w:r w:rsidRPr="000977F7">
        <w:rPr>
          <w:color w:val="auto"/>
          <w:sz w:val="20"/>
          <w:szCs w:val="20"/>
        </w:rPr>
        <w:t>ПЕРШОЮ</w:t>
      </w:r>
      <w:r w:rsidRPr="000977F7">
        <w:rPr>
          <w:color w:val="auto"/>
          <w:spacing w:val="-1"/>
          <w:sz w:val="20"/>
          <w:szCs w:val="20"/>
        </w:rPr>
        <w:t xml:space="preserve"> </w:t>
      </w:r>
      <w:r w:rsidRPr="000977F7">
        <w:rPr>
          <w:color w:val="auto"/>
          <w:sz w:val="20"/>
          <w:szCs w:val="20"/>
        </w:rPr>
        <w:t>СТОРОНОЮ</w:t>
      </w:r>
      <w:r w:rsidRPr="000977F7">
        <w:rPr>
          <w:color w:val="auto"/>
          <w:spacing w:val="1"/>
          <w:sz w:val="20"/>
          <w:szCs w:val="20"/>
        </w:rPr>
        <w:t xml:space="preserve"> </w:t>
      </w:r>
      <w:r w:rsidRPr="000977F7">
        <w:rPr>
          <w:color w:val="auto"/>
          <w:sz w:val="20"/>
          <w:szCs w:val="20"/>
        </w:rPr>
        <w:t>–</w:t>
      </w:r>
    </w:p>
    <w:p w14:paraId="724396DB" w14:textId="77777777" w:rsidR="0097612F" w:rsidRPr="004D2D14" w:rsidRDefault="0097612F" w:rsidP="000977F7">
      <w:pPr>
        <w:tabs>
          <w:tab w:val="left" w:pos="284"/>
        </w:tabs>
        <w:spacing w:after="0" w:line="240" w:lineRule="auto"/>
        <w:ind w:left="170"/>
        <w:mirrorIndents/>
        <w:jc w:val="both"/>
        <w:rPr>
          <w:rFonts w:asciiTheme="majorHAnsi" w:hAnsiTheme="majorHAnsi"/>
          <w:bCs/>
          <w:sz w:val="20"/>
          <w:szCs w:val="20"/>
          <w:lang w:val="en-US"/>
        </w:rPr>
      </w:pPr>
      <w:r w:rsidRPr="004D2D14">
        <w:rPr>
          <w:rFonts w:asciiTheme="majorHAnsi" w:hAnsiTheme="majorHAnsi"/>
          <w:bCs/>
          <w:sz w:val="20"/>
          <w:szCs w:val="20"/>
          <w:lang w:val="en-US"/>
        </w:rPr>
        <w:t>FIRST</w:t>
      </w:r>
      <w:r w:rsidRPr="004D2D14">
        <w:rPr>
          <w:rFonts w:asciiTheme="majorHAnsi" w:hAnsiTheme="majorHAnsi"/>
          <w:bCs/>
          <w:spacing w:val="-4"/>
          <w:sz w:val="20"/>
          <w:szCs w:val="20"/>
          <w:lang w:val="en-US"/>
        </w:rPr>
        <w:t xml:space="preserve"> </w:t>
      </w:r>
      <w:r w:rsidRPr="004D2D14">
        <w:rPr>
          <w:rFonts w:asciiTheme="majorHAnsi" w:hAnsiTheme="majorHAnsi"/>
          <w:bCs/>
          <w:sz w:val="20"/>
          <w:szCs w:val="20"/>
          <w:lang w:val="en-US"/>
        </w:rPr>
        <w:t>PARTY</w:t>
      </w:r>
      <w:r w:rsidRPr="004D2D14">
        <w:rPr>
          <w:rFonts w:asciiTheme="majorHAnsi" w:hAnsiTheme="majorHAnsi"/>
          <w:bCs/>
          <w:spacing w:val="-3"/>
          <w:sz w:val="20"/>
          <w:szCs w:val="20"/>
          <w:lang w:val="en-US"/>
        </w:rPr>
        <w:t xml:space="preserve"> </w:t>
      </w:r>
      <w:r w:rsidRPr="004D2D14">
        <w:rPr>
          <w:rFonts w:asciiTheme="majorHAnsi" w:hAnsiTheme="majorHAnsi"/>
          <w:bCs/>
          <w:sz w:val="20"/>
          <w:szCs w:val="20"/>
          <w:lang w:val="en-US"/>
        </w:rPr>
        <w:t>CONFORMITY</w:t>
      </w:r>
      <w:r w:rsidRPr="004D2D14">
        <w:rPr>
          <w:rFonts w:asciiTheme="majorHAnsi" w:hAnsiTheme="majorHAnsi"/>
          <w:bCs/>
          <w:spacing w:val="-3"/>
          <w:sz w:val="20"/>
          <w:szCs w:val="20"/>
          <w:lang w:val="en-US"/>
        </w:rPr>
        <w:t xml:space="preserve"> </w:t>
      </w:r>
      <w:r w:rsidRPr="004D2D14">
        <w:rPr>
          <w:rFonts w:asciiTheme="majorHAnsi" w:hAnsiTheme="majorHAnsi"/>
          <w:bCs/>
          <w:sz w:val="20"/>
          <w:szCs w:val="20"/>
          <w:lang w:val="en-US"/>
        </w:rPr>
        <w:t>ASSESSMENT</w:t>
      </w:r>
      <w:r w:rsidRPr="004D2D14">
        <w:rPr>
          <w:rFonts w:asciiTheme="majorHAnsi" w:hAnsiTheme="majorHAnsi"/>
          <w:bCs/>
          <w:spacing w:val="-47"/>
          <w:sz w:val="20"/>
          <w:szCs w:val="20"/>
          <w:lang w:val="en-US"/>
        </w:rPr>
        <w:t xml:space="preserve"> </w:t>
      </w:r>
      <w:r w:rsidRPr="004D2D14">
        <w:rPr>
          <w:rFonts w:asciiTheme="majorHAnsi" w:hAnsiTheme="majorHAnsi"/>
          <w:bCs/>
          <w:sz w:val="20"/>
          <w:szCs w:val="20"/>
          <w:lang w:val="en-US"/>
        </w:rPr>
        <w:t>ACTIVITY -</w:t>
      </w:r>
    </w:p>
    <w:p w14:paraId="25FF45A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Дії</w:t>
      </w:r>
      <w:r w:rsidRPr="004D2D14">
        <w:rPr>
          <w:rFonts w:asciiTheme="majorHAnsi" w:hAnsiTheme="majorHAnsi"/>
          <w:spacing w:val="-5"/>
          <w:sz w:val="20"/>
          <w:szCs w:val="20"/>
          <w:lang w:val="en-US"/>
        </w:rPr>
        <w:t xml:space="preserve"> </w:t>
      </w:r>
      <w:r w:rsidRPr="000977F7">
        <w:rPr>
          <w:rFonts w:asciiTheme="majorHAnsi" w:hAnsiTheme="majorHAnsi"/>
          <w:sz w:val="20"/>
          <w:szCs w:val="20"/>
        </w:rPr>
        <w:t>щодо</w:t>
      </w:r>
      <w:r w:rsidRPr="004D2D14">
        <w:rPr>
          <w:rFonts w:asciiTheme="majorHAnsi" w:hAnsiTheme="majorHAnsi"/>
          <w:spacing w:val="-3"/>
          <w:sz w:val="20"/>
          <w:szCs w:val="20"/>
          <w:lang w:val="en-US"/>
        </w:rPr>
        <w:t xml:space="preserve"> </w:t>
      </w:r>
      <w:r w:rsidRPr="000977F7">
        <w:rPr>
          <w:rFonts w:asciiTheme="majorHAnsi" w:hAnsiTheme="majorHAnsi"/>
          <w:sz w:val="20"/>
          <w:szCs w:val="20"/>
        </w:rPr>
        <w:t>оцінювання</w:t>
      </w:r>
      <w:r w:rsidRPr="004D2D14">
        <w:rPr>
          <w:rFonts w:asciiTheme="majorHAnsi" w:hAnsiTheme="majorHAnsi"/>
          <w:spacing w:val="-4"/>
          <w:sz w:val="20"/>
          <w:szCs w:val="20"/>
          <w:lang w:val="en-US"/>
        </w:rPr>
        <w:t xml:space="preserve"> </w:t>
      </w:r>
      <w:r w:rsidRPr="000977F7">
        <w:rPr>
          <w:rFonts w:asciiTheme="majorHAnsi" w:hAnsiTheme="majorHAnsi"/>
          <w:sz w:val="20"/>
          <w:szCs w:val="20"/>
        </w:rPr>
        <w:t>відповідності</w:t>
      </w:r>
      <w:r w:rsidRPr="004D2D14">
        <w:rPr>
          <w:rFonts w:asciiTheme="majorHAnsi" w:hAnsiTheme="majorHAnsi"/>
          <w:sz w:val="20"/>
          <w:szCs w:val="20"/>
          <w:lang w:val="en-US"/>
        </w:rPr>
        <w:t>,</w:t>
      </w:r>
      <w:r w:rsidRPr="004D2D14">
        <w:rPr>
          <w:rFonts w:asciiTheme="majorHAnsi" w:hAnsiTheme="majorHAnsi"/>
          <w:spacing w:val="-3"/>
          <w:sz w:val="20"/>
          <w:szCs w:val="20"/>
          <w:lang w:val="en-US"/>
        </w:rPr>
        <w:t xml:space="preserve"> </w:t>
      </w:r>
      <w:r w:rsidRPr="000977F7">
        <w:rPr>
          <w:rFonts w:asciiTheme="majorHAnsi" w:hAnsiTheme="majorHAnsi"/>
          <w:sz w:val="20"/>
          <w:szCs w:val="20"/>
        </w:rPr>
        <w:t>яку</w:t>
      </w:r>
      <w:r w:rsidRPr="004D2D14">
        <w:rPr>
          <w:rFonts w:asciiTheme="majorHAnsi" w:hAnsiTheme="majorHAnsi"/>
          <w:spacing w:val="-4"/>
          <w:sz w:val="20"/>
          <w:szCs w:val="20"/>
          <w:lang w:val="en-US"/>
        </w:rPr>
        <w:t xml:space="preserve"> </w:t>
      </w:r>
      <w:r w:rsidRPr="000977F7">
        <w:rPr>
          <w:rFonts w:asciiTheme="majorHAnsi" w:hAnsiTheme="majorHAnsi"/>
          <w:sz w:val="20"/>
          <w:szCs w:val="20"/>
        </w:rPr>
        <w:t>виконує</w:t>
      </w:r>
      <w:r w:rsidRPr="004D2D14">
        <w:rPr>
          <w:rFonts w:asciiTheme="majorHAnsi" w:hAnsiTheme="majorHAnsi"/>
          <w:spacing w:val="-4"/>
          <w:sz w:val="20"/>
          <w:szCs w:val="20"/>
          <w:lang w:val="en-US"/>
        </w:rPr>
        <w:t xml:space="preserve"> </w:t>
      </w:r>
      <w:r w:rsidRPr="000977F7">
        <w:rPr>
          <w:rFonts w:asciiTheme="majorHAnsi" w:hAnsiTheme="majorHAnsi"/>
          <w:sz w:val="20"/>
          <w:szCs w:val="20"/>
        </w:rPr>
        <w:t>особа</w:t>
      </w:r>
      <w:r w:rsidRPr="004D2D14">
        <w:rPr>
          <w:rFonts w:asciiTheme="majorHAnsi" w:hAnsiTheme="majorHAnsi"/>
          <w:sz w:val="20"/>
          <w:szCs w:val="20"/>
          <w:lang w:val="en-US"/>
        </w:rPr>
        <w:t xml:space="preserve"> </w:t>
      </w:r>
      <w:r w:rsidRPr="004D2D14">
        <w:rPr>
          <w:rFonts w:asciiTheme="majorHAnsi" w:hAnsiTheme="majorHAnsi"/>
          <w:spacing w:val="-47"/>
          <w:sz w:val="20"/>
          <w:szCs w:val="20"/>
          <w:lang w:val="en-US"/>
        </w:rPr>
        <w:t xml:space="preserve"> </w:t>
      </w:r>
      <w:r w:rsidRPr="000977F7">
        <w:rPr>
          <w:rFonts w:asciiTheme="majorHAnsi" w:hAnsiTheme="majorHAnsi"/>
          <w:sz w:val="20"/>
          <w:szCs w:val="20"/>
        </w:rPr>
        <w:t>чи</w:t>
      </w:r>
      <w:r w:rsidRPr="004D2D14">
        <w:rPr>
          <w:rFonts w:asciiTheme="majorHAnsi" w:hAnsiTheme="majorHAnsi"/>
          <w:spacing w:val="-2"/>
          <w:sz w:val="20"/>
          <w:szCs w:val="20"/>
          <w:lang w:val="en-US"/>
        </w:rPr>
        <w:t xml:space="preserve"> </w:t>
      </w:r>
      <w:r w:rsidRPr="000977F7">
        <w:rPr>
          <w:rFonts w:asciiTheme="majorHAnsi" w:hAnsiTheme="majorHAnsi"/>
          <w:sz w:val="20"/>
          <w:szCs w:val="20"/>
        </w:rPr>
        <w:t>організація</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постачає</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w:t>
      </w:r>
      <w:r w:rsidRPr="004D2D14">
        <w:rPr>
          <w:rFonts w:asciiTheme="majorHAnsi" w:hAnsiTheme="majorHAnsi"/>
          <w:sz w:val="20"/>
          <w:szCs w:val="20"/>
          <w:lang w:val="en-US"/>
        </w:rPr>
        <w:t>.</w:t>
      </w:r>
    </w:p>
    <w:p w14:paraId="4D1FAEF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П</w:t>
      </w:r>
      <w:r w:rsidRPr="004D2D14">
        <w:rPr>
          <w:rFonts w:asciiTheme="majorHAnsi" w:hAnsiTheme="majorHAnsi"/>
          <w:spacing w:val="-1"/>
          <w:sz w:val="20"/>
          <w:szCs w:val="20"/>
          <w:lang w:val="en-US"/>
        </w:rPr>
        <w:t xml:space="preserve"> </w:t>
      </w:r>
      <w:r w:rsidRPr="000977F7">
        <w:rPr>
          <w:rFonts w:asciiTheme="majorHAnsi" w:hAnsiTheme="majorHAnsi"/>
          <w:sz w:val="20"/>
          <w:szCs w:val="20"/>
        </w:rPr>
        <w:t>р</w:t>
      </w:r>
      <w:r w:rsidRPr="004D2D14">
        <w:rPr>
          <w:rFonts w:asciiTheme="majorHAnsi" w:hAnsiTheme="majorHAnsi"/>
          <w:spacing w:val="1"/>
          <w:sz w:val="20"/>
          <w:szCs w:val="20"/>
          <w:lang w:val="en-US"/>
        </w:rPr>
        <w:t xml:space="preserve"> </w:t>
      </w:r>
      <w:r w:rsidRPr="000977F7">
        <w:rPr>
          <w:rFonts w:asciiTheme="majorHAnsi" w:hAnsiTheme="majorHAnsi"/>
          <w:sz w:val="20"/>
          <w:szCs w:val="20"/>
        </w:rPr>
        <w:t>и</w:t>
      </w:r>
      <w:r w:rsidRPr="004D2D14">
        <w:rPr>
          <w:rFonts w:asciiTheme="majorHAnsi" w:hAnsiTheme="majorHAnsi"/>
          <w:spacing w:val="-2"/>
          <w:sz w:val="20"/>
          <w:szCs w:val="20"/>
          <w:lang w:val="en-US"/>
        </w:rPr>
        <w:t xml:space="preserve"> </w:t>
      </w:r>
      <w:r w:rsidRPr="000977F7">
        <w:rPr>
          <w:rFonts w:asciiTheme="majorHAnsi" w:hAnsiTheme="majorHAnsi"/>
          <w:sz w:val="20"/>
          <w:szCs w:val="20"/>
        </w:rPr>
        <w:t>м</w:t>
      </w:r>
      <w:r w:rsidRPr="004D2D14">
        <w:rPr>
          <w:rFonts w:asciiTheme="majorHAnsi" w:hAnsiTheme="majorHAnsi"/>
          <w:spacing w:val="1"/>
          <w:sz w:val="20"/>
          <w:szCs w:val="20"/>
          <w:lang w:val="en-US"/>
        </w:rPr>
        <w:t xml:space="preserve"> </w:t>
      </w:r>
      <w:r w:rsidRPr="000977F7">
        <w:rPr>
          <w:rFonts w:asciiTheme="majorHAnsi" w:hAnsiTheme="majorHAnsi"/>
          <w:sz w:val="20"/>
          <w:szCs w:val="20"/>
        </w:rPr>
        <w:t>і</w:t>
      </w:r>
      <w:r w:rsidRPr="004D2D14">
        <w:rPr>
          <w:rFonts w:asciiTheme="majorHAnsi" w:hAnsiTheme="majorHAnsi"/>
          <w:spacing w:val="-2"/>
          <w:sz w:val="20"/>
          <w:szCs w:val="20"/>
          <w:lang w:val="en-US"/>
        </w:rPr>
        <w:t xml:space="preserve"> </w:t>
      </w:r>
      <w:r w:rsidRPr="000977F7">
        <w:rPr>
          <w:rFonts w:asciiTheme="majorHAnsi" w:hAnsiTheme="majorHAnsi"/>
          <w:sz w:val="20"/>
          <w:szCs w:val="20"/>
        </w:rPr>
        <w:t>т</w:t>
      </w:r>
      <w:r w:rsidRPr="004D2D14">
        <w:rPr>
          <w:rFonts w:asciiTheme="majorHAnsi" w:hAnsiTheme="majorHAnsi"/>
          <w:spacing w:val="-1"/>
          <w:sz w:val="20"/>
          <w:szCs w:val="20"/>
          <w:lang w:val="en-US"/>
        </w:rPr>
        <w:t xml:space="preserve"> </w:t>
      </w:r>
      <w:r w:rsidRPr="000977F7">
        <w:rPr>
          <w:rFonts w:asciiTheme="majorHAnsi" w:hAnsiTheme="majorHAnsi"/>
          <w:sz w:val="20"/>
          <w:szCs w:val="20"/>
        </w:rPr>
        <w:t>к</w:t>
      </w:r>
      <w:r w:rsidRPr="004D2D14">
        <w:rPr>
          <w:rFonts w:asciiTheme="majorHAnsi" w:hAnsiTheme="majorHAnsi"/>
          <w:spacing w:val="-1"/>
          <w:sz w:val="20"/>
          <w:szCs w:val="20"/>
          <w:lang w:val="en-US"/>
        </w:rPr>
        <w:t xml:space="preserve"> </w:t>
      </w:r>
      <w:r w:rsidRPr="000977F7">
        <w:rPr>
          <w:rFonts w:asciiTheme="majorHAnsi" w:hAnsiTheme="majorHAnsi"/>
          <w:sz w:val="20"/>
          <w:szCs w:val="20"/>
        </w:rPr>
        <w:t>а</w:t>
      </w:r>
      <w:r w:rsidRPr="004D2D14">
        <w:rPr>
          <w:rFonts w:asciiTheme="majorHAnsi" w:hAnsiTheme="majorHAnsi"/>
          <w:sz w:val="20"/>
          <w:szCs w:val="20"/>
          <w:lang w:val="en-US"/>
        </w:rPr>
        <w:t>.</w:t>
      </w:r>
    </w:p>
    <w:p w14:paraId="53884CB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Дескриптори</w:t>
      </w:r>
      <w:r w:rsidRPr="004D2D14">
        <w:rPr>
          <w:rFonts w:asciiTheme="majorHAnsi" w:hAnsiTheme="majorHAnsi"/>
          <w:sz w:val="20"/>
          <w:szCs w:val="20"/>
          <w:lang w:val="en-US"/>
        </w:rPr>
        <w:t xml:space="preserve"> </w:t>
      </w:r>
      <w:r w:rsidRPr="000977F7">
        <w:rPr>
          <w:rFonts w:asciiTheme="majorHAnsi" w:hAnsiTheme="majorHAnsi"/>
          <w:sz w:val="20"/>
          <w:szCs w:val="20"/>
        </w:rPr>
        <w:t>перша</w:t>
      </w:r>
      <w:r w:rsidRPr="004D2D14">
        <w:rPr>
          <w:rFonts w:asciiTheme="majorHAnsi" w:hAnsiTheme="majorHAnsi"/>
          <w:sz w:val="20"/>
          <w:szCs w:val="20"/>
          <w:lang w:val="en-US"/>
        </w:rPr>
        <w:t xml:space="preserve">, </w:t>
      </w:r>
      <w:r w:rsidRPr="000977F7">
        <w:rPr>
          <w:rFonts w:asciiTheme="majorHAnsi" w:hAnsiTheme="majorHAnsi"/>
          <w:sz w:val="20"/>
          <w:szCs w:val="20"/>
        </w:rPr>
        <w:t>друга</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третя</w:t>
      </w:r>
      <w:r w:rsidRPr="004D2D14">
        <w:rPr>
          <w:rFonts w:asciiTheme="majorHAnsi" w:hAnsiTheme="majorHAnsi"/>
          <w:sz w:val="20"/>
          <w:szCs w:val="20"/>
          <w:lang w:val="en-US"/>
        </w:rPr>
        <w:t xml:space="preserve"> </w:t>
      </w:r>
      <w:r w:rsidRPr="000977F7">
        <w:rPr>
          <w:rFonts w:asciiTheme="majorHAnsi" w:hAnsiTheme="majorHAnsi"/>
          <w:sz w:val="20"/>
          <w:szCs w:val="20"/>
        </w:rPr>
        <w:t>сторона</w:t>
      </w:r>
      <w:r w:rsidRPr="004D2D14">
        <w:rPr>
          <w:rFonts w:asciiTheme="majorHAnsi" w:hAnsiTheme="majorHAnsi"/>
          <w:sz w:val="20"/>
          <w:szCs w:val="20"/>
          <w:lang w:val="en-US"/>
        </w:rPr>
        <w:t xml:space="preserve">, </w:t>
      </w:r>
      <w:r w:rsidRPr="000977F7">
        <w:rPr>
          <w:rFonts w:asciiTheme="majorHAnsi" w:hAnsiTheme="majorHAnsi"/>
          <w:sz w:val="20"/>
          <w:szCs w:val="20"/>
        </w:rPr>
        <w:t>використовувані</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характеристики</w:t>
      </w:r>
      <w:r w:rsidRPr="004D2D14">
        <w:rPr>
          <w:rFonts w:asciiTheme="majorHAnsi" w:hAnsiTheme="majorHAnsi"/>
          <w:sz w:val="20"/>
          <w:szCs w:val="20"/>
          <w:lang w:val="en-US"/>
        </w:rPr>
        <w:t xml:space="preserve"> </w:t>
      </w:r>
      <w:r w:rsidRPr="000977F7">
        <w:rPr>
          <w:rFonts w:asciiTheme="majorHAnsi" w:hAnsiTheme="majorHAnsi"/>
          <w:sz w:val="20"/>
          <w:szCs w:val="20"/>
        </w:rPr>
        <w:t>виду</w:t>
      </w:r>
      <w:r w:rsidRPr="004D2D14">
        <w:rPr>
          <w:rFonts w:asciiTheme="majorHAnsi" w:hAnsiTheme="majorHAnsi"/>
          <w:sz w:val="20"/>
          <w:szCs w:val="20"/>
          <w:lang w:val="en-US"/>
        </w:rPr>
        <w:t xml:space="preserve"> </w:t>
      </w:r>
      <w:r w:rsidRPr="000977F7">
        <w:rPr>
          <w:rFonts w:asciiTheme="majorHAnsi" w:hAnsiTheme="majorHAnsi"/>
          <w:sz w:val="20"/>
          <w:szCs w:val="20"/>
        </w:rPr>
        <w:t>оцінювання</w:t>
      </w:r>
      <w:r w:rsidRPr="004D2D14">
        <w:rPr>
          <w:rFonts w:asciiTheme="majorHAnsi" w:hAnsiTheme="majorHAnsi"/>
          <w:sz w:val="20"/>
          <w:szCs w:val="20"/>
          <w:lang w:val="en-US"/>
        </w:rPr>
        <w:t xml:space="preserve"> </w:t>
      </w:r>
      <w:r w:rsidRPr="000977F7">
        <w:rPr>
          <w:rFonts w:asciiTheme="majorHAnsi" w:hAnsiTheme="majorHAnsi"/>
          <w:sz w:val="20"/>
          <w:szCs w:val="20"/>
        </w:rPr>
        <w:t>відповідності</w:t>
      </w:r>
      <w:r w:rsidRPr="004D2D14">
        <w:rPr>
          <w:rFonts w:asciiTheme="majorHAnsi" w:hAnsiTheme="majorHAnsi"/>
          <w:spacing w:val="-5"/>
          <w:sz w:val="20"/>
          <w:szCs w:val="20"/>
          <w:lang w:val="en-US"/>
        </w:rPr>
        <w:t xml:space="preserve"> </w:t>
      </w:r>
      <w:r w:rsidRPr="000977F7">
        <w:rPr>
          <w:rFonts w:asciiTheme="majorHAnsi" w:hAnsiTheme="majorHAnsi"/>
          <w:sz w:val="20"/>
          <w:szCs w:val="20"/>
        </w:rPr>
        <w:t>з</w:t>
      </w:r>
      <w:r w:rsidRPr="004D2D14">
        <w:rPr>
          <w:rFonts w:asciiTheme="majorHAnsi" w:hAnsiTheme="majorHAnsi"/>
          <w:spacing w:val="-1"/>
          <w:sz w:val="20"/>
          <w:szCs w:val="20"/>
          <w:lang w:val="en-US"/>
        </w:rPr>
        <w:t xml:space="preserve"> </w:t>
      </w:r>
      <w:r w:rsidRPr="000977F7">
        <w:rPr>
          <w:rFonts w:asciiTheme="majorHAnsi" w:hAnsiTheme="majorHAnsi"/>
          <w:sz w:val="20"/>
          <w:szCs w:val="20"/>
        </w:rPr>
        <w:t>урахуванням</w:t>
      </w:r>
      <w:r w:rsidRPr="004D2D14">
        <w:rPr>
          <w:rFonts w:asciiTheme="majorHAnsi" w:hAnsiTheme="majorHAnsi"/>
          <w:spacing w:val="-4"/>
          <w:sz w:val="20"/>
          <w:szCs w:val="20"/>
          <w:lang w:val="en-US"/>
        </w:rPr>
        <w:t xml:space="preserve"> </w:t>
      </w:r>
      <w:r w:rsidRPr="000977F7">
        <w:rPr>
          <w:rFonts w:asciiTheme="majorHAnsi" w:hAnsiTheme="majorHAnsi"/>
          <w:sz w:val="20"/>
          <w:szCs w:val="20"/>
        </w:rPr>
        <w:t>даного</w:t>
      </w:r>
      <w:r w:rsidRPr="004D2D14">
        <w:rPr>
          <w:rFonts w:asciiTheme="majorHAnsi" w:hAnsiTheme="majorHAnsi"/>
          <w:spacing w:val="-2"/>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r w:rsidRPr="004D2D14">
        <w:rPr>
          <w:rFonts w:asciiTheme="majorHAnsi" w:hAnsiTheme="majorHAnsi"/>
          <w:sz w:val="20"/>
          <w:szCs w:val="20"/>
          <w:lang w:val="en-US"/>
        </w:rPr>
        <w:t>,</w:t>
      </w:r>
      <w:r w:rsidRPr="004D2D14">
        <w:rPr>
          <w:rFonts w:asciiTheme="majorHAnsi" w:hAnsiTheme="majorHAnsi"/>
          <w:spacing w:val="-3"/>
          <w:sz w:val="20"/>
          <w:szCs w:val="20"/>
          <w:lang w:val="en-US"/>
        </w:rPr>
        <w:t xml:space="preserve"> </w:t>
      </w:r>
      <w:r w:rsidRPr="000977F7">
        <w:rPr>
          <w:rFonts w:asciiTheme="majorHAnsi" w:hAnsiTheme="majorHAnsi"/>
          <w:sz w:val="20"/>
          <w:szCs w:val="20"/>
        </w:rPr>
        <w:t>не</w:t>
      </w:r>
      <w:r w:rsidRPr="004D2D14">
        <w:rPr>
          <w:rFonts w:asciiTheme="majorHAnsi" w:hAnsiTheme="majorHAnsi"/>
          <w:spacing w:val="-3"/>
          <w:sz w:val="20"/>
          <w:szCs w:val="20"/>
          <w:lang w:val="en-US"/>
        </w:rPr>
        <w:t xml:space="preserve"> </w:t>
      </w:r>
      <w:r w:rsidRPr="000977F7">
        <w:rPr>
          <w:rFonts w:asciiTheme="majorHAnsi" w:hAnsiTheme="majorHAnsi"/>
          <w:sz w:val="20"/>
          <w:szCs w:val="20"/>
        </w:rPr>
        <w:t>можна</w:t>
      </w:r>
      <w:r w:rsidRPr="004D2D14">
        <w:rPr>
          <w:rFonts w:asciiTheme="majorHAnsi" w:hAnsiTheme="majorHAnsi"/>
          <w:spacing w:val="-4"/>
          <w:sz w:val="20"/>
          <w:szCs w:val="20"/>
          <w:lang w:val="en-US"/>
        </w:rPr>
        <w:t xml:space="preserve"> </w:t>
      </w:r>
      <w:r w:rsidRPr="000977F7">
        <w:rPr>
          <w:rFonts w:asciiTheme="majorHAnsi" w:hAnsiTheme="majorHAnsi"/>
          <w:sz w:val="20"/>
          <w:szCs w:val="20"/>
        </w:rPr>
        <w:t>плутати</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юридичною</w:t>
      </w:r>
      <w:r w:rsidRPr="004D2D14">
        <w:rPr>
          <w:rFonts w:asciiTheme="majorHAnsi" w:hAnsiTheme="majorHAnsi"/>
          <w:sz w:val="20"/>
          <w:szCs w:val="20"/>
          <w:lang w:val="en-US"/>
        </w:rPr>
        <w:t xml:space="preserve"> </w:t>
      </w:r>
      <w:r w:rsidRPr="000977F7">
        <w:rPr>
          <w:rFonts w:asciiTheme="majorHAnsi" w:hAnsiTheme="majorHAnsi"/>
          <w:sz w:val="20"/>
          <w:szCs w:val="20"/>
        </w:rPr>
        <w:t>ідентифікацією</w:t>
      </w:r>
      <w:r w:rsidRPr="004D2D14">
        <w:rPr>
          <w:rFonts w:asciiTheme="majorHAnsi" w:hAnsiTheme="majorHAnsi"/>
          <w:sz w:val="20"/>
          <w:szCs w:val="20"/>
          <w:lang w:val="en-US"/>
        </w:rPr>
        <w:t xml:space="preserve"> </w:t>
      </w:r>
      <w:r w:rsidRPr="000977F7">
        <w:rPr>
          <w:rFonts w:asciiTheme="majorHAnsi" w:hAnsiTheme="majorHAnsi"/>
          <w:sz w:val="20"/>
          <w:szCs w:val="20"/>
        </w:rPr>
        <w:t>відповідних</w:t>
      </w:r>
      <w:r w:rsidRPr="004D2D14">
        <w:rPr>
          <w:rFonts w:asciiTheme="majorHAnsi" w:hAnsiTheme="majorHAnsi"/>
          <w:sz w:val="20"/>
          <w:szCs w:val="20"/>
          <w:lang w:val="en-US"/>
        </w:rPr>
        <w:t xml:space="preserve"> </w:t>
      </w:r>
      <w:r w:rsidRPr="000977F7">
        <w:rPr>
          <w:rFonts w:asciiTheme="majorHAnsi" w:hAnsiTheme="majorHAnsi"/>
          <w:sz w:val="20"/>
          <w:szCs w:val="20"/>
        </w:rPr>
        <w:t>сторін</w:t>
      </w:r>
      <w:r w:rsidRPr="004D2D14">
        <w:rPr>
          <w:rFonts w:asciiTheme="majorHAnsi" w:hAnsiTheme="majorHAnsi"/>
          <w:spacing w:val="-47"/>
          <w:sz w:val="20"/>
          <w:szCs w:val="20"/>
          <w:lang w:val="en-US"/>
        </w:rPr>
        <w:t xml:space="preserve"> </w:t>
      </w:r>
      <w:r w:rsidRPr="000977F7">
        <w:rPr>
          <w:rFonts w:asciiTheme="majorHAnsi" w:hAnsiTheme="majorHAnsi"/>
          <w:sz w:val="20"/>
          <w:szCs w:val="20"/>
        </w:rPr>
        <w:t>певного</w:t>
      </w:r>
      <w:r w:rsidRPr="004D2D14">
        <w:rPr>
          <w:rFonts w:asciiTheme="majorHAnsi" w:hAnsiTheme="majorHAnsi"/>
          <w:sz w:val="20"/>
          <w:szCs w:val="20"/>
          <w:lang w:val="en-US"/>
        </w:rPr>
        <w:t xml:space="preserve"> </w:t>
      </w:r>
      <w:r w:rsidRPr="000977F7">
        <w:rPr>
          <w:rFonts w:asciiTheme="majorHAnsi" w:hAnsiTheme="majorHAnsi"/>
          <w:sz w:val="20"/>
          <w:szCs w:val="20"/>
        </w:rPr>
        <w:t>контракту</w:t>
      </w:r>
    </w:p>
    <w:p w14:paraId="2EF4D709" w14:textId="77777777" w:rsidR="0097612F" w:rsidRPr="004D2D14" w:rsidRDefault="0097612F" w:rsidP="000977F7">
      <w:pPr>
        <w:pStyle w:val="af6"/>
        <w:tabs>
          <w:tab w:val="left" w:pos="284"/>
        </w:tabs>
        <w:spacing w:after="0"/>
        <w:ind w:left="170"/>
        <w:mirrorIndents/>
        <w:jc w:val="both"/>
        <w:rPr>
          <w:rFonts w:asciiTheme="majorHAnsi" w:hAnsiTheme="majorHAnsi"/>
          <w:i/>
          <w:iCs/>
          <w:sz w:val="20"/>
          <w:szCs w:val="20"/>
          <w:lang w:val="en-US"/>
        </w:rPr>
      </w:pPr>
      <w:r w:rsidRPr="000977F7">
        <w:rPr>
          <w:rFonts w:asciiTheme="majorHAnsi" w:hAnsiTheme="majorHAnsi"/>
          <w:i/>
          <w:iCs/>
          <w:spacing w:val="-7"/>
          <w:w w:val="95"/>
          <w:sz w:val="20"/>
          <w:szCs w:val="20"/>
        </w:rPr>
        <w:t>ДСТУ</w:t>
      </w:r>
      <w:r w:rsidRPr="004D2D14">
        <w:rPr>
          <w:rFonts w:asciiTheme="majorHAnsi" w:hAnsiTheme="majorHAnsi"/>
          <w:i/>
          <w:iCs/>
          <w:spacing w:val="-7"/>
          <w:w w:val="95"/>
          <w:sz w:val="20"/>
          <w:szCs w:val="20"/>
          <w:lang w:val="en-US"/>
        </w:rPr>
        <w:t xml:space="preserve"> ISO/IEC</w:t>
      </w:r>
      <w:r w:rsidRPr="004D2D14">
        <w:rPr>
          <w:rFonts w:asciiTheme="majorHAnsi" w:hAnsiTheme="majorHAnsi"/>
          <w:i/>
          <w:iCs/>
          <w:spacing w:val="-27"/>
          <w:w w:val="95"/>
          <w:sz w:val="20"/>
          <w:szCs w:val="20"/>
          <w:lang w:val="en-US"/>
        </w:rPr>
        <w:t xml:space="preserve"> </w:t>
      </w:r>
      <w:r w:rsidRPr="004D2D14">
        <w:rPr>
          <w:rFonts w:asciiTheme="majorHAnsi" w:hAnsiTheme="majorHAnsi"/>
          <w:i/>
          <w:iCs/>
          <w:spacing w:val="-6"/>
          <w:w w:val="95"/>
          <w:sz w:val="20"/>
          <w:szCs w:val="20"/>
          <w:lang w:val="en-US"/>
        </w:rPr>
        <w:t>17000:2007</w:t>
      </w:r>
    </w:p>
    <w:p w14:paraId="01EA4F1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46" w:name="_Hlk101773508"/>
      <w:r w:rsidRPr="000977F7">
        <w:rPr>
          <w:color w:val="auto"/>
          <w:sz w:val="20"/>
          <w:szCs w:val="20"/>
        </w:rPr>
        <w:t xml:space="preserve">ДІЯЛЬНІСТЬ ЩОДО ОЦІНЮВАННЯ </w:t>
      </w:r>
    </w:p>
    <w:p w14:paraId="14E8B82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ВІДПОВІДНОСТІ</w:t>
      </w:r>
      <w:r w:rsidRPr="000977F7">
        <w:rPr>
          <w:color w:val="auto"/>
          <w:spacing w:val="-2"/>
          <w:sz w:val="20"/>
          <w:szCs w:val="20"/>
        </w:rPr>
        <w:t xml:space="preserve"> </w:t>
      </w:r>
      <w:r w:rsidRPr="000977F7">
        <w:rPr>
          <w:color w:val="auto"/>
          <w:sz w:val="20"/>
          <w:szCs w:val="20"/>
        </w:rPr>
        <w:t>ДРУГОЮ</w:t>
      </w:r>
      <w:r w:rsidRPr="000977F7">
        <w:rPr>
          <w:color w:val="auto"/>
          <w:spacing w:val="-1"/>
          <w:sz w:val="20"/>
          <w:szCs w:val="20"/>
        </w:rPr>
        <w:t xml:space="preserve"> </w:t>
      </w:r>
      <w:r w:rsidRPr="000977F7">
        <w:rPr>
          <w:color w:val="auto"/>
          <w:sz w:val="20"/>
          <w:szCs w:val="20"/>
        </w:rPr>
        <w:t>СТОРОНОЮ –</w:t>
      </w:r>
    </w:p>
    <w:p w14:paraId="3EEDED71" w14:textId="77777777" w:rsidR="0097612F" w:rsidRPr="004D2D14" w:rsidRDefault="0097612F" w:rsidP="000977F7">
      <w:pPr>
        <w:tabs>
          <w:tab w:val="left" w:pos="284"/>
        </w:tabs>
        <w:spacing w:after="0" w:line="240" w:lineRule="auto"/>
        <w:ind w:left="170"/>
        <w:mirrorIndents/>
        <w:jc w:val="both"/>
        <w:rPr>
          <w:rFonts w:asciiTheme="majorHAnsi" w:hAnsiTheme="majorHAnsi"/>
          <w:bCs/>
          <w:sz w:val="20"/>
          <w:szCs w:val="20"/>
          <w:lang w:val="en-US"/>
        </w:rPr>
      </w:pPr>
      <w:r w:rsidRPr="004D2D14">
        <w:rPr>
          <w:rFonts w:asciiTheme="majorHAnsi" w:hAnsiTheme="majorHAnsi"/>
          <w:bCs/>
          <w:sz w:val="20"/>
          <w:szCs w:val="20"/>
          <w:lang w:val="en-US"/>
        </w:rPr>
        <w:t>SECOND</w:t>
      </w:r>
      <w:r w:rsidRPr="004D2D14">
        <w:rPr>
          <w:rFonts w:asciiTheme="majorHAnsi" w:hAnsiTheme="majorHAnsi"/>
          <w:bCs/>
          <w:spacing w:val="46"/>
          <w:sz w:val="20"/>
          <w:szCs w:val="20"/>
          <w:lang w:val="en-US"/>
        </w:rPr>
        <w:t xml:space="preserve"> </w:t>
      </w:r>
      <w:r w:rsidRPr="004D2D14">
        <w:rPr>
          <w:rFonts w:asciiTheme="majorHAnsi" w:hAnsiTheme="majorHAnsi"/>
          <w:bCs/>
          <w:sz w:val="20"/>
          <w:szCs w:val="20"/>
          <w:lang w:val="en-US"/>
        </w:rPr>
        <w:t>PARTY</w:t>
      </w:r>
      <w:r w:rsidRPr="004D2D14">
        <w:rPr>
          <w:rFonts w:asciiTheme="majorHAnsi" w:hAnsiTheme="majorHAnsi"/>
          <w:bCs/>
          <w:spacing w:val="-2"/>
          <w:sz w:val="20"/>
          <w:szCs w:val="20"/>
          <w:lang w:val="en-US"/>
        </w:rPr>
        <w:t xml:space="preserve"> </w:t>
      </w:r>
      <w:r w:rsidRPr="004D2D14">
        <w:rPr>
          <w:rFonts w:asciiTheme="majorHAnsi" w:hAnsiTheme="majorHAnsi"/>
          <w:bCs/>
          <w:sz w:val="20"/>
          <w:szCs w:val="20"/>
          <w:lang w:val="en-US"/>
        </w:rPr>
        <w:t>CONFORMITY</w:t>
      </w:r>
      <w:r w:rsidRPr="004D2D14">
        <w:rPr>
          <w:rFonts w:asciiTheme="majorHAnsi" w:hAnsiTheme="majorHAnsi"/>
          <w:bCs/>
          <w:spacing w:val="-3"/>
          <w:sz w:val="20"/>
          <w:szCs w:val="20"/>
          <w:lang w:val="en-US"/>
        </w:rPr>
        <w:t xml:space="preserve"> </w:t>
      </w:r>
      <w:r w:rsidRPr="004D2D14">
        <w:rPr>
          <w:rFonts w:asciiTheme="majorHAnsi" w:hAnsiTheme="majorHAnsi"/>
          <w:bCs/>
          <w:sz w:val="20"/>
          <w:szCs w:val="20"/>
          <w:lang w:val="en-US"/>
        </w:rPr>
        <w:t>ASSESSMENT</w:t>
      </w:r>
      <w:r w:rsidRPr="004D2D14">
        <w:rPr>
          <w:rFonts w:asciiTheme="majorHAnsi" w:hAnsiTheme="majorHAnsi"/>
          <w:bCs/>
          <w:spacing w:val="-47"/>
          <w:sz w:val="20"/>
          <w:szCs w:val="20"/>
          <w:lang w:val="en-US"/>
        </w:rPr>
        <w:t xml:space="preserve"> </w:t>
      </w:r>
      <w:r w:rsidRPr="004D2D14">
        <w:rPr>
          <w:rFonts w:asciiTheme="majorHAnsi" w:hAnsiTheme="majorHAnsi"/>
          <w:bCs/>
          <w:sz w:val="20"/>
          <w:szCs w:val="20"/>
          <w:lang w:val="en-US"/>
        </w:rPr>
        <w:t>ACTIVITY-</w:t>
      </w:r>
    </w:p>
    <w:bookmarkEnd w:id="46"/>
    <w:p w14:paraId="48BACBC9"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en-US"/>
        </w:rPr>
      </w:pPr>
      <w:r w:rsidRPr="000977F7">
        <w:rPr>
          <w:rFonts w:asciiTheme="majorHAnsi" w:hAnsiTheme="majorHAnsi"/>
          <w:sz w:val="20"/>
          <w:szCs w:val="20"/>
        </w:rPr>
        <w:t>Дії</w:t>
      </w:r>
      <w:r w:rsidRPr="004D2D14">
        <w:rPr>
          <w:rFonts w:asciiTheme="majorHAnsi" w:hAnsiTheme="majorHAnsi"/>
          <w:spacing w:val="-5"/>
          <w:sz w:val="20"/>
          <w:szCs w:val="20"/>
          <w:lang w:val="en-US"/>
        </w:rPr>
        <w:t xml:space="preserve"> </w:t>
      </w:r>
      <w:r w:rsidRPr="000977F7">
        <w:rPr>
          <w:rFonts w:asciiTheme="majorHAnsi" w:hAnsiTheme="majorHAnsi"/>
          <w:sz w:val="20"/>
          <w:szCs w:val="20"/>
        </w:rPr>
        <w:t>щодо</w:t>
      </w:r>
      <w:r w:rsidRPr="004D2D14">
        <w:rPr>
          <w:rFonts w:asciiTheme="majorHAnsi" w:hAnsiTheme="majorHAnsi"/>
          <w:spacing w:val="-3"/>
          <w:sz w:val="20"/>
          <w:szCs w:val="20"/>
          <w:lang w:val="en-US"/>
        </w:rPr>
        <w:t xml:space="preserve"> </w:t>
      </w:r>
      <w:r w:rsidRPr="000977F7">
        <w:rPr>
          <w:rFonts w:asciiTheme="majorHAnsi" w:hAnsiTheme="majorHAnsi"/>
          <w:sz w:val="20"/>
          <w:szCs w:val="20"/>
        </w:rPr>
        <w:t>оцінювання</w:t>
      </w:r>
      <w:r w:rsidRPr="004D2D14">
        <w:rPr>
          <w:rFonts w:asciiTheme="majorHAnsi" w:hAnsiTheme="majorHAnsi"/>
          <w:spacing w:val="-4"/>
          <w:sz w:val="20"/>
          <w:szCs w:val="20"/>
          <w:lang w:val="en-US"/>
        </w:rPr>
        <w:t xml:space="preserve"> </w:t>
      </w:r>
      <w:r w:rsidRPr="000977F7">
        <w:rPr>
          <w:rFonts w:asciiTheme="majorHAnsi" w:hAnsiTheme="majorHAnsi"/>
          <w:sz w:val="20"/>
          <w:szCs w:val="20"/>
        </w:rPr>
        <w:t>відповідності</w:t>
      </w:r>
      <w:r w:rsidRPr="004D2D14">
        <w:rPr>
          <w:rFonts w:asciiTheme="majorHAnsi" w:hAnsiTheme="majorHAnsi"/>
          <w:sz w:val="20"/>
          <w:szCs w:val="20"/>
          <w:lang w:val="en-US"/>
        </w:rPr>
        <w:t>,</w:t>
      </w:r>
      <w:r w:rsidRPr="004D2D14">
        <w:rPr>
          <w:rFonts w:asciiTheme="majorHAnsi" w:hAnsiTheme="majorHAnsi"/>
          <w:spacing w:val="-3"/>
          <w:sz w:val="20"/>
          <w:szCs w:val="20"/>
          <w:lang w:val="en-US"/>
        </w:rPr>
        <w:t xml:space="preserve"> </w:t>
      </w:r>
      <w:r w:rsidRPr="000977F7">
        <w:rPr>
          <w:rFonts w:asciiTheme="majorHAnsi" w:hAnsiTheme="majorHAnsi"/>
          <w:sz w:val="20"/>
          <w:szCs w:val="20"/>
        </w:rPr>
        <w:t>яку</w:t>
      </w:r>
      <w:r w:rsidRPr="004D2D14">
        <w:rPr>
          <w:rFonts w:asciiTheme="majorHAnsi" w:hAnsiTheme="majorHAnsi"/>
          <w:spacing w:val="-4"/>
          <w:sz w:val="20"/>
          <w:szCs w:val="20"/>
          <w:lang w:val="en-US"/>
        </w:rPr>
        <w:t xml:space="preserve"> </w:t>
      </w:r>
      <w:r w:rsidRPr="000977F7">
        <w:rPr>
          <w:rFonts w:asciiTheme="majorHAnsi" w:hAnsiTheme="majorHAnsi"/>
          <w:sz w:val="20"/>
          <w:szCs w:val="20"/>
        </w:rPr>
        <w:t>виконує</w:t>
      </w:r>
      <w:r w:rsidRPr="004D2D14">
        <w:rPr>
          <w:rFonts w:asciiTheme="majorHAnsi" w:hAnsiTheme="majorHAnsi"/>
          <w:spacing w:val="-4"/>
          <w:sz w:val="20"/>
          <w:szCs w:val="20"/>
          <w:lang w:val="en-US"/>
        </w:rPr>
        <w:t xml:space="preserve"> </w:t>
      </w:r>
      <w:r w:rsidRPr="000977F7">
        <w:rPr>
          <w:rFonts w:asciiTheme="majorHAnsi" w:hAnsiTheme="majorHAnsi"/>
          <w:sz w:val="20"/>
          <w:szCs w:val="20"/>
        </w:rPr>
        <w:t>особа</w:t>
      </w:r>
      <w:r w:rsidRPr="004D2D14">
        <w:rPr>
          <w:rFonts w:asciiTheme="majorHAnsi" w:hAnsiTheme="majorHAnsi"/>
          <w:spacing w:val="-47"/>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організація</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зацікавлена</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єкті</w:t>
      </w:r>
      <w:r w:rsidRPr="004D2D14">
        <w:rPr>
          <w:rFonts w:asciiTheme="majorHAnsi" w:hAnsiTheme="majorHAnsi"/>
          <w:sz w:val="20"/>
          <w:szCs w:val="20"/>
          <w:lang w:val="en-US"/>
        </w:rPr>
        <w:t xml:space="preserve"> </w:t>
      </w:r>
      <w:r w:rsidRPr="000977F7">
        <w:rPr>
          <w:rFonts w:asciiTheme="majorHAnsi" w:hAnsiTheme="majorHAnsi"/>
          <w:sz w:val="20"/>
          <w:szCs w:val="20"/>
        </w:rPr>
        <w:t>як</w:t>
      </w:r>
      <w:r w:rsidRPr="004D2D14">
        <w:rPr>
          <w:rFonts w:asciiTheme="majorHAnsi" w:hAnsiTheme="majorHAnsi"/>
          <w:sz w:val="20"/>
          <w:szCs w:val="20"/>
          <w:lang w:val="en-US"/>
        </w:rPr>
        <w:t xml:space="preserve"> </w:t>
      </w:r>
      <w:r w:rsidRPr="000977F7">
        <w:rPr>
          <w:rFonts w:asciiTheme="majorHAnsi" w:hAnsiTheme="majorHAnsi"/>
          <w:sz w:val="20"/>
          <w:szCs w:val="20"/>
        </w:rPr>
        <w:t>споживач</w:t>
      </w:r>
      <w:r w:rsidRPr="004D2D14">
        <w:rPr>
          <w:rFonts w:asciiTheme="majorHAnsi" w:hAnsiTheme="majorHAnsi"/>
          <w:spacing w:val="1"/>
          <w:sz w:val="20"/>
          <w:szCs w:val="20"/>
          <w:lang w:val="en-US"/>
        </w:rPr>
        <w:t xml:space="preserve"> </w:t>
      </w:r>
    </w:p>
    <w:p w14:paraId="4128BFA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П</w:t>
      </w:r>
      <w:r w:rsidRPr="004D2D14">
        <w:rPr>
          <w:rFonts w:asciiTheme="majorHAnsi" w:hAnsiTheme="majorHAnsi"/>
          <w:spacing w:val="-1"/>
          <w:sz w:val="20"/>
          <w:szCs w:val="20"/>
          <w:lang w:val="en-US"/>
        </w:rPr>
        <w:t xml:space="preserve"> </w:t>
      </w:r>
      <w:r w:rsidRPr="000977F7">
        <w:rPr>
          <w:rFonts w:asciiTheme="majorHAnsi" w:hAnsiTheme="majorHAnsi"/>
          <w:sz w:val="20"/>
          <w:szCs w:val="20"/>
        </w:rPr>
        <w:t>р</w:t>
      </w:r>
      <w:r w:rsidRPr="004D2D14">
        <w:rPr>
          <w:rFonts w:asciiTheme="majorHAnsi" w:hAnsiTheme="majorHAnsi"/>
          <w:spacing w:val="1"/>
          <w:sz w:val="20"/>
          <w:szCs w:val="20"/>
          <w:lang w:val="en-US"/>
        </w:rPr>
        <w:t xml:space="preserve"> </w:t>
      </w:r>
      <w:r w:rsidRPr="000977F7">
        <w:rPr>
          <w:rFonts w:asciiTheme="majorHAnsi" w:hAnsiTheme="majorHAnsi"/>
          <w:sz w:val="20"/>
          <w:szCs w:val="20"/>
        </w:rPr>
        <w:t>и</w:t>
      </w:r>
      <w:r w:rsidRPr="004D2D14">
        <w:rPr>
          <w:rFonts w:asciiTheme="majorHAnsi" w:hAnsiTheme="majorHAnsi"/>
          <w:spacing w:val="-1"/>
          <w:sz w:val="20"/>
          <w:szCs w:val="20"/>
          <w:lang w:val="en-US"/>
        </w:rPr>
        <w:t xml:space="preserve"> </w:t>
      </w:r>
      <w:r w:rsidRPr="000977F7">
        <w:rPr>
          <w:rFonts w:asciiTheme="majorHAnsi" w:hAnsiTheme="majorHAnsi"/>
          <w:sz w:val="20"/>
          <w:szCs w:val="20"/>
        </w:rPr>
        <w:t>м</w:t>
      </w:r>
      <w:r w:rsidRPr="004D2D14">
        <w:rPr>
          <w:rFonts w:asciiTheme="majorHAnsi" w:hAnsiTheme="majorHAnsi"/>
          <w:spacing w:val="1"/>
          <w:sz w:val="20"/>
          <w:szCs w:val="20"/>
          <w:lang w:val="en-US"/>
        </w:rPr>
        <w:t xml:space="preserve"> </w:t>
      </w:r>
      <w:r w:rsidRPr="000977F7">
        <w:rPr>
          <w:rFonts w:asciiTheme="majorHAnsi" w:hAnsiTheme="majorHAnsi"/>
          <w:sz w:val="20"/>
          <w:szCs w:val="20"/>
        </w:rPr>
        <w:t>і</w:t>
      </w:r>
      <w:r w:rsidRPr="004D2D14">
        <w:rPr>
          <w:rFonts w:asciiTheme="majorHAnsi" w:hAnsiTheme="majorHAnsi"/>
          <w:spacing w:val="-1"/>
          <w:sz w:val="20"/>
          <w:szCs w:val="20"/>
          <w:lang w:val="en-US"/>
        </w:rPr>
        <w:t xml:space="preserve"> </w:t>
      </w:r>
      <w:r w:rsidRPr="000977F7">
        <w:rPr>
          <w:rFonts w:asciiTheme="majorHAnsi" w:hAnsiTheme="majorHAnsi"/>
          <w:sz w:val="20"/>
          <w:szCs w:val="20"/>
        </w:rPr>
        <w:t>т</w:t>
      </w:r>
      <w:r w:rsidRPr="004D2D14">
        <w:rPr>
          <w:rFonts w:asciiTheme="majorHAnsi" w:hAnsiTheme="majorHAnsi"/>
          <w:spacing w:val="-1"/>
          <w:sz w:val="20"/>
          <w:szCs w:val="20"/>
          <w:lang w:val="en-US"/>
        </w:rPr>
        <w:t xml:space="preserve"> </w:t>
      </w:r>
      <w:r w:rsidRPr="000977F7">
        <w:rPr>
          <w:rFonts w:asciiTheme="majorHAnsi" w:hAnsiTheme="majorHAnsi"/>
          <w:sz w:val="20"/>
          <w:szCs w:val="20"/>
        </w:rPr>
        <w:t>к</w:t>
      </w:r>
      <w:r w:rsidRPr="004D2D14">
        <w:rPr>
          <w:rFonts w:asciiTheme="majorHAnsi" w:hAnsiTheme="majorHAnsi"/>
          <w:spacing w:val="1"/>
          <w:sz w:val="20"/>
          <w:szCs w:val="20"/>
          <w:lang w:val="en-US"/>
        </w:rPr>
        <w:t xml:space="preserve"> </w:t>
      </w:r>
      <w:r w:rsidRPr="000977F7">
        <w:rPr>
          <w:rFonts w:asciiTheme="majorHAnsi" w:hAnsiTheme="majorHAnsi"/>
          <w:sz w:val="20"/>
          <w:szCs w:val="20"/>
        </w:rPr>
        <w:t>а</w:t>
      </w:r>
    </w:p>
    <w:p w14:paraId="534D372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Особами</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організаціями</w:t>
      </w:r>
      <w:r w:rsidRPr="004D2D14">
        <w:rPr>
          <w:rFonts w:asciiTheme="majorHAnsi" w:hAnsiTheme="majorHAnsi"/>
          <w:sz w:val="20"/>
          <w:szCs w:val="20"/>
          <w:lang w:val="en-US"/>
        </w:rPr>
        <w:t xml:space="preserve">, </w:t>
      </w:r>
      <w:r w:rsidRPr="000977F7">
        <w:rPr>
          <w:rFonts w:asciiTheme="majorHAnsi" w:hAnsiTheme="majorHAnsi"/>
          <w:sz w:val="20"/>
          <w:szCs w:val="20"/>
        </w:rPr>
        <w:t>зацікавленими</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оцінюванні</w:t>
      </w:r>
      <w:r w:rsidRPr="004D2D14">
        <w:rPr>
          <w:rFonts w:asciiTheme="majorHAnsi" w:hAnsiTheme="majorHAnsi"/>
          <w:spacing w:val="-7"/>
          <w:sz w:val="20"/>
          <w:szCs w:val="20"/>
          <w:lang w:val="en-US"/>
        </w:rPr>
        <w:t xml:space="preserve"> </w:t>
      </w:r>
      <w:r w:rsidRPr="000977F7">
        <w:rPr>
          <w:rFonts w:asciiTheme="majorHAnsi" w:hAnsiTheme="majorHAnsi"/>
          <w:sz w:val="20"/>
          <w:szCs w:val="20"/>
        </w:rPr>
        <w:t>відповідності</w:t>
      </w:r>
      <w:r w:rsidRPr="004D2D14">
        <w:rPr>
          <w:rFonts w:asciiTheme="majorHAnsi" w:hAnsiTheme="majorHAnsi"/>
          <w:spacing w:val="-3"/>
          <w:sz w:val="20"/>
          <w:szCs w:val="20"/>
          <w:lang w:val="en-US"/>
        </w:rPr>
        <w:t xml:space="preserve"> </w:t>
      </w:r>
      <w:r w:rsidRPr="000977F7">
        <w:rPr>
          <w:rFonts w:asciiTheme="majorHAnsi" w:hAnsiTheme="majorHAnsi"/>
          <w:sz w:val="20"/>
          <w:szCs w:val="20"/>
        </w:rPr>
        <w:t>другою</w:t>
      </w:r>
      <w:r w:rsidRPr="004D2D14">
        <w:rPr>
          <w:rFonts w:asciiTheme="majorHAnsi" w:hAnsiTheme="majorHAnsi"/>
          <w:spacing w:val="-4"/>
          <w:sz w:val="20"/>
          <w:szCs w:val="20"/>
          <w:lang w:val="en-US"/>
        </w:rPr>
        <w:t xml:space="preserve"> </w:t>
      </w:r>
      <w:r w:rsidRPr="000977F7">
        <w:rPr>
          <w:rFonts w:asciiTheme="majorHAnsi" w:hAnsiTheme="majorHAnsi"/>
          <w:sz w:val="20"/>
          <w:szCs w:val="20"/>
        </w:rPr>
        <w:t>стороною</w:t>
      </w:r>
      <w:r w:rsidRPr="004D2D14">
        <w:rPr>
          <w:rFonts w:asciiTheme="majorHAnsi" w:hAnsiTheme="majorHAnsi"/>
          <w:sz w:val="20"/>
          <w:szCs w:val="20"/>
          <w:lang w:val="en-US"/>
        </w:rPr>
        <w:t>,</w:t>
      </w:r>
      <w:r w:rsidRPr="004D2D14">
        <w:rPr>
          <w:rFonts w:asciiTheme="majorHAnsi" w:hAnsiTheme="majorHAnsi"/>
          <w:spacing w:val="-5"/>
          <w:sz w:val="20"/>
          <w:szCs w:val="20"/>
          <w:lang w:val="en-US"/>
        </w:rPr>
        <w:t xml:space="preserve"> </w:t>
      </w:r>
      <w:r w:rsidRPr="000977F7">
        <w:rPr>
          <w:rFonts w:asciiTheme="majorHAnsi" w:hAnsiTheme="majorHAnsi"/>
          <w:sz w:val="20"/>
          <w:szCs w:val="20"/>
        </w:rPr>
        <w:t>є</w:t>
      </w:r>
      <w:r w:rsidRPr="004D2D14">
        <w:rPr>
          <w:rFonts w:asciiTheme="majorHAnsi" w:hAnsiTheme="majorHAnsi"/>
          <w:sz w:val="20"/>
          <w:szCs w:val="20"/>
          <w:lang w:val="en-US"/>
        </w:rPr>
        <w:t>,</w:t>
      </w:r>
      <w:r w:rsidRPr="004D2D14">
        <w:rPr>
          <w:rFonts w:asciiTheme="majorHAnsi" w:hAnsiTheme="majorHAnsi"/>
          <w:spacing w:val="-5"/>
          <w:sz w:val="20"/>
          <w:szCs w:val="20"/>
          <w:lang w:val="en-US"/>
        </w:rPr>
        <w:t xml:space="preserve"> </w:t>
      </w:r>
      <w:r w:rsidRPr="000977F7">
        <w:rPr>
          <w:rFonts w:asciiTheme="majorHAnsi" w:hAnsiTheme="majorHAnsi"/>
          <w:sz w:val="20"/>
          <w:szCs w:val="20"/>
        </w:rPr>
        <w:t>наприклад</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r w:rsidRPr="000977F7">
        <w:rPr>
          <w:rFonts w:asciiTheme="majorHAnsi" w:hAnsiTheme="majorHAnsi"/>
          <w:sz w:val="20"/>
          <w:szCs w:val="20"/>
        </w:rPr>
        <w:t>покупці</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користувачі</w:t>
      </w:r>
      <w:r w:rsidRPr="004D2D14">
        <w:rPr>
          <w:rFonts w:asciiTheme="majorHAnsi" w:hAnsiTheme="majorHAnsi"/>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потенційні</w:t>
      </w:r>
      <w:r w:rsidRPr="004D2D14">
        <w:rPr>
          <w:rFonts w:asciiTheme="majorHAnsi" w:hAnsiTheme="majorHAnsi"/>
          <w:spacing w:val="1"/>
          <w:sz w:val="20"/>
          <w:szCs w:val="20"/>
          <w:lang w:val="en-US"/>
        </w:rPr>
        <w:t xml:space="preserve"> </w:t>
      </w:r>
      <w:r w:rsidRPr="000977F7">
        <w:rPr>
          <w:rFonts w:asciiTheme="majorHAnsi" w:hAnsiTheme="majorHAnsi"/>
          <w:sz w:val="20"/>
          <w:szCs w:val="20"/>
        </w:rPr>
        <w:t>споживачі</w:t>
      </w:r>
      <w:r w:rsidRPr="004D2D14">
        <w:rPr>
          <w:rFonts w:asciiTheme="majorHAnsi" w:hAnsiTheme="majorHAnsi"/>
          <w:sz w:val="20"/>
          <w:szCs w:val="20"/>
          <w:lang w:val="en-US"/>
        </w:rPr>
        <w:t>,</w:t>
      </w:r>
      <w:r w:rsidRPr="004D2D14">
        <w:rPr>
          <w:rFonts w:asciiTheme="majorHAnsi" w:hAnsiTheme="majorHAnsi"/>
          <w:spacing w:val="-5"/>
          <w:sz w:val="20"/>
          <w:szCs w:val="20"/>
          <w:lang w:val="en-US"/>
        </w:rPr>
        <w:t xml:space="preserve"> </w:t>
      </w:r>
      <w:r w:rsidRPr="000977F7">
        <w:rPr>
          <w:rFonts w:asciiTheme="majorHAnsi" w:hAnsiTheme="majorHAnsi"/>
          <w:sz w:val="20"/>
          <w:szCs w:val="20"/>
        </w:rPr>
        <w:t>які</w:t>
      </w:r>
      <w:r w:rsidRPr="004D2D14">
        <w:rPr>
          <w:rFonts w:asciiTheme="majorHAnsi" w:hAnsiTheme="majorHAnsi"/>
          <w:spacing w:val="-2"/>
          <w:sz w:val="20"/>
          <w:szCs w:val="20"/>
          <w:lang w:val="en-US"/>
        </w:rPr>
        <w:t xml:space="preserve"> </w:t>
      </w:r>
      <w:r w:rsidRPr="000977F7">
        <w:rPr>
          <w:rFonts w:asciiTheme="majorHAnsi" w:hAnsiTheme="majorHAnsi"/>
          <w:sz w:val="20"/>
          <w:szCs w:val="20"/>
        </w:rPr>
        <w:t>покладаються</w:t>
      </w:r>
      <w:r w:rsidRPr="004D2D14">
        <w:rPr>
          <w:rFonts w:asciiTheme="majorHAnsi" w:hAnsiTheme="majorHAnsi"/>
          <w:spacing w:val="-5"/>
          <w:sz w:val="20"/>
          <w:szCs w:val="20"/>
          <w:lang w:val="en-US"/>
        </w:rPr>
        <w:t xml:space="preserve"> </w:t>
      </w:r>
      <w:r w:rsidRPr="000977F7">
        <w:rPr>
          <w:rFonts w:asciiTheme="majorHAnsi" w:hAnsiTheme="majorHAnsi"/>
          <w:sz w:val="20"/>
          <w:szCs w:val="20"/>
        </w:rPr>
        <w:t>на</w:t>
      </w:r>
      <w:r w:rsidRPr="004D2D14">
        <w:rPr>
          <w:rFonts w:asciiTheme="majorHAnsi" w:hAnsiTheme="majorHAnsi"/>
          <w:spacing w:val="-4"/>
          <w:sz w:val="20"/>
          <w:szCs w:val="20"/>
          <w:lang w:val="en-US"/>
        </w:rPr>
        <w:t xml:space="preserve"> </w:t>
      </w:r>
      <w:r w:rsidRPr="000977F7">
        <w:rPr>
          <w:rFonts w:asciiTheme="majorHAnsi" w:hAnsiTheme="majorHAnsi"/>
          <w:sz w:val="20"/>
          <w:szCs w:val="20"/>
        </w:rPr>
        <w:t>систему</w:t>
      </w:r>
      <w:r w:rsidRPr="004D2D14">
        <w:rPr>
          <w:rFonts w:asciiTheme="majorHAnsi" w:hAnsiTheme="majorHAnsi"/>
          <w:spacing w:val="-5"/>
          <w:sz w:val="20"/>
          <w:szCs w:val="20"/>
          <w:lang w:val="en-US"/>
        </w:rPr>
        <w:t xml:space="preserve"> </w:t>
      </w:r>
      <w:r w:rsidRPr="000977F7">
        <w:rPr>
          <w:rFonts w:asciiTheme="majorHAnsi" w:hAnsiTheme="majorHAnsi"/>
          <w:sz w:val="20"/>
          <w:szCs w:val="20"/>
        </w:rPr>
        <w:t>управління</w:t>
      </w:r>
      <w:r w:rsidRPr="004D2D14">
        <w:rPr>
          <w:rFonts w:asciiTheme="majorHAnsi" w:hAnsiTheme="majorHAnsi"/>
          <w:spacing w:val="-47"/>
          <w:sz w:val="20"/>
          <w:szCs w:val="20"/>
          <w:lang w:val="en-US"/>
        </w:rPr>
        <w:t xml:space="preserve"> </w:t>
      </w:r>
      <w:r w:rsidRPr="000977F7">
        <w:rPr>
          <w:rFonts w:asciiTheme="majorHAnsi" w:hAnsiTheme="majorHAnsi"/>
          <w:sz w:val="20"/>
          <w:szCs w:val="20"/>
        </w:rPr>
        <w:t>постачальника</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організації</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представляє</w:t>
      </w:r>
      <w:r w:rsidRPr="004D2D14">
        <w:rPr>
          <w:rFonts w:asciiTheme="majorHAnsi" w:hAnsiTheme="majorHAnsi"/>
          <w:sz w:val="20"/>
          <w:szCs w:val="20"/>
          <w:lang w:val="en-US"/>
        </w:rPr>
        <w:t xml:space="preserve"> </w:t>
      </w:r>
      <w:r w:rsidRPr="000977F7">
        <w:rPr>
          <w:rFonts w:asciiTheme="majorHAnsi" w:hAnsiTheme="majorHAnsi"/>
          <w:sz w:val="20"/>
          <w:szCs w:val="20"/>
        </w:rPr>
        <w:t>їхні</w:t>
      </w:r>
      <w:r w:rsidRPr="004D2D14">
        <w:rPr>
          <w:rFonts w:asciiTheme="majorHAnsi" w:hAnsiTheme="majorHAnsi"/>
          <w:spacing w:val="1"/>
          <w:sz w:val="20"/>
          <w:szCs w:val="20"/>
          <w:lang w:val="en-US"/>
        </w:rPr>
        <w:t xml:space="preserve"> </w:t>
      </w:r>
      <w:r w:rsidRPr="000977F7">
        <w:rPr>
          <w:rFonts w:asciiTheme="majorHAnsi" w:hAnsiTheme="majorHAnsi"/>
          <w:sz w:val="20"/>
          <w:szCs w:val="20"/>
        </w:rPr>
        <w:t>інтереси</w:t>
      </w:r>
    </w:p>
    <w:p w14:paraId="5449593C" w14:textId="77777777" w:rsidR="0097612F" w:rsidRPr="004D2D14" w:rsidRDefault="0097612F" w:rsidP="000977F7">
      <w:pPr>
        <w:pStyle w:val="af6"/>
        <w:tabs>
          <w:tab w:val="left" w:pos="284"/>
        </w:tabs>
        <w:spacing w:after="0"/>
        <w:ind w:left="170"/>
        <w:mirrorIndents/>
        <w:jc w:val="both"/>
        <w:rPr>
          <w:rFonts w:asciiTheme="majorHAnsi" w:hAnsiTheme="majorHAnsi"/>
          <w:i/>
          <w:iCs/>
          <w:sz w:val="20"/>
          <w:szCs w:val="20"/>
          <w:lang w:val="en-US"/>
        </w:rPr>
      </w:pPr>
      <w:r w:rsidRPr="000977F7">
        <w:rPr>
          <w:rFonts w:asciiTheme="majorHAnsi" w:hAnsiTheme="majorHAnsi"/>
          <w:i/>
          <w:iCs/>
          <w:spacing w:val="-7"/>
          <w:w w:val="95"/>
          <w:sz w:val="20"/>
          <w:szCs w:val="20"/>
        </w:rPr>
        <w:t>ДСТУ</w:t>
      </w:r>
      <w:r w:rsidRPr="004D2D14">
        <w:rPr>
          <w:rFonts w:asciiTheme="majorHAnsi" w:hAnsiTheme="majorHAnsi"/>
          <w:i/>
          <w:iCs/>
          <w:spacing w:val="-7"/>
          <w:w w:val="95"/>
          <w:sz w:val="20"/>
          <w:szCs w:val="20"/>
          <w:lang w:val="en-US"/>
        </w:rPr>
        <w:t xml:space="preserve"> ISO/IEC</w:t>
      </w:r>
      <w:r w:rsidRPr="004D2D14">
        <w:rPr>
          <w:rFonts w:asciiTheme="majorHAnsi" w:hAnsiTheme="majorHAnsi"/>
          <w:i/>
          <w:iCs/>
          <w:spacing w:val="-27"/>
          <w:w w:val="95"/>
          <w:sz w:val="20"/>
          <w:szCs w:val="20"/>
          <w:lang w:val="en-US"/>
        </w:rPr>
        <w:t xml:space="preserve"> </w:t>
      </w:r>
      <w:r w:rsidRPr="004D2D14">
        <w:rPr>
          <w:rFonts w:asciiTheme="majorHAnsi" w:hAnsiTheme="majorHAnsi"/>
          <w:i/>
          <w:iCs/>
          <w:spacing w:val="-6"/>
          <w:w w:val="95"/>
          <w:sz w:val="20"/>
          <w:szCs w:val="20"/>
          <w:lang w:val="en-US"/>
        </w:rPr>
        <w:t>17000:2007</w:t>
      </w:r>
    </w:p>
    <w:p w14:paraId="1CF147F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47" w:name="_Hlk101775327"/>
      <w:r w:rsidRPr="000977F7">
        <w:rPr>
          <w:color w:val="auto"/>
          <w:sz w:val="20"/>
          <w:szCs w:val="20"/>
        </w:rPr>
        <w:t xml:space="preserve">ДІЯЛЬНІСТЬ ЩОДО ОЦІНЮВАННЯ </w:t>
      </w:r>
    </w:p>
    <w:p w14:paraId="6F636BA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ВІДПОВІДНОСТІ ТРЕТЬОЮ</w:t>
      </w:r>
      <w:r w:rsidRPr="000977F7">
        <w:rPr>
          <w:color w:val="auto"/>
          <w:spacing w:val="-1"/>
          <w:sz w:val="20"/>
          <w:szCs w:val="20"/>
        </w:rPr>
        <w:t xml:space="preserve"> </w:t>
      </w:r>
      <w:r w:rsidRPr="000977F7">
        <w:rPr>
          <w:color w:val="auto"/>
          <w:sz w:val="20"/>
          <w:szCs w:val="20"/>
        </w:rPr>
        <w:t>СТОРОНОЮ</w:t>
      </w:r>
      <w:r w:rsidRPr="000977F7">
        <w:rPr>
          <w:color w:val="auto"/>
          <w:spacing w:val="1"/>
          <w:sz w:val="20"/>
          <w:szCs w:val="20"/>
        </w:rPr>
        <w:t xml:space="preserve"> </w:t>
      </w:r>
      <w:r w:rsidRPr="000977F7">
        <w:rPr>
          <w:color w:val="auto"/>
          <w:sz w:val="20"/>
          <w:szCs w:val="20"/>
        </w:rPr>
        <w:t>–</w:t>
      </w:r>
    </w:p>
    <w:p w14:paraId="5426E9F2" w14:textId="77777777" w:rsidR="0097612F" w:rsidRPr="004D2D14" w:rsidRDefault="0097612F" w:rsidP="000977F7">
      <w:pPr>
        <w:tabs>
          <w:tab w:val="left" w:pos="284"/>
        </w:tabs>
        <w:spacing w:after="0" w:line="240" w:lineRule="auto"/>
        <w:ind w:left="170"/>
        <w:mirrorIndents/>
        <w:jc w:val="both"/>
        <w:rPr>
          <w:rFonts w:asciiTheme="majorHAnsi" w:hAnsiTheme="majorHAnsi"/>
          <w:bCs/>
          <w:sz w:val="20"/>
          <w:szCs w:val="20"/>
          <w:lang w:val="en-US"/>
        </w:rPr>
      </w:pPr>
      <w:r w:rsidRPr="004D2D14">
        <w:rPr>
          <w:rFonts w:asciiTheme="majorHAnsi" w:hAnsiTheme="majorHAnsi"/>
          <w:bCs/>
          <w:sz w:val="20"/>
          <w:szCs w:val="20"/>
          <w:lang w:val="en-US"/>
        </w:rPr>
        <w:t>THIRDPARTY</w:t>
      </w:r>
      <w:r w:rsidRPr="004D2D14">
        <w:rPr>
          <w:rFonts w:asciiTheme="majorHAnsi" w:hAnsiTheme="majorHAnsi"/>
          <w:bCs/>
          <w:spacing w:val="-4"/>
          <w:sz w:val="20"/>
          <w:szCs w:val="20"/>
          <w:lang w:val="en-US"/>
        </w:rPr>
        <w:t xml:space="preserve"> </w:t>
      </w:r>
      <w:r w:rsidRPr="004D2D14">
        <w:rPr>
          <w:rFonts w:asciiTheme="majorHAnsi" w:hAnsiTheme="majorHAnsi"/>
          <w:bCs/>
          <w:sz w:val="20"/>
          <w:szCs w:val="20"/>
          <w:lang w:val="en-US"/>
        </w:rPr>
        <w:t>CONFORMITY</w:t>
      </w:r>
      <w:r w:rsidRPr="004D2D14">
        <w:rPr>
          <w:rFonts w:asciiTheme="majorHAnsi" w:hAnsiTheme="majorHAnsi"/>
          <w:bCs/>
          <w:spacing w:val="-4"/>
          <w:sz w:val="20"/>
          <w:szCs w:val="20"/>
          <w:lang w:val="en-US"/>
        </w:rPr>
        <w:t xml:space="preserve"> </w:t>
      </w:r>
      <w:r w:rsidRPr="004D2D14">
        <w:rPr>
          <w:rFonts w:asciiTheme="majorHAnsi" w:hAnsiTheme="majorHAnsi"/>
          <w:bCs/>
          <w:sz w:val="20"/>
          <w:szCs w:val="20"/>
          <w:lang w:val="en-US"/>
        </w:rPr>
        <w:t>ASSESSMENT</w:t>
      </w:r>
      <w:r w:rsidRPr="004D2D14">
        <w:rPr>
          <w:rFonts w:asciiTheme="majorHAnsi" w:hAnsiTheme="majorHAnsi"/>
          <w:bCs/>
          <w:spacing w:val="-47"/>
          <w:sz w:val="20"/>
          <w:szCs w:val="20"/>
          <w:lang w:val="en-US"/>
        </w:rPr>
        <w:t xml:space="preserve"> </w:t>
      </w:r>
      <w:r w:rsidRPr="004D2D14">
        <w:rPr>
          <w:rFonts w:asciiTheme="majorHAnsi" w:hAnsiTheme="majorHAnsi"/>
          <w:bCs/>
          <w:sz w:val="20"/>
          <w:szCs w:val="20"/>
          <w:lang w:val="en-US"/>
        </w:rPr>
        <w:t>ACTIVITY-</w:t>
      </w:r>
    </w:p>
    <w:bookmarkEnd w:id="47"/>
    <w:p w14:paraId="73E9CCF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Дії</w:t>
      </w:r>
      <w:r w:rsidRPr="004D2D14">
        <w:rPr>
          <w:rFonts w:asciiTheme="majorHAnsi" w:hAnsiTheme="majorHAnsi"/>
          <w:spacing w:val="-5"/>
          <w:sz w:val="20"/>
          <w:szCs w:val="20"/>
          <w:lang w:val="en-US"/>
        </w:rPr>
        <w:t xml:space="preserve"> </w:t>
      </w:r>
      <w:r w:rsidRPr="000977F7">
        <w:rPr>
          <w:rFonts w:asciiTheme="majorHAnsi" w:hAnsiTheme="majorHAnsi"/>
          <w:sz w:val="20"/>
          <w:szCs w:val="20"/>
        </w:rPr>
        <w:t>щодо</w:t>
      </w:r>
      <w:r w:rsidRPr="004D2D14">
        <w:rPr>
          <w:rFonts w:asciiTheme="majorHAnsi" w:hAnsiTheme="majorHAnsi"/>
          <w:spacing w:val="-3"/>
          <w:sz w:val="20"/>
          <w:szCs w:val="20"/>
          <w:lang w:val="en-US"/>
        </w:rPr>
        <w:t xml:space="preserve"> </w:t>
      </w:r>
      <w:r w:rsidRPr="000977F7">
        <w:rPr>
          <w:rFonts w:asciiTheme="majorHAnsi" w:hAnsiTheme="majorHAnsi"/>
          <w:sz w:val="20"/>
          <w:szCs w:val="20"/>
        </w:rPr>
        <w:t>оцінювання</w:t>
      </w:r>
      <w:r w:rsidRPr="004D2D14">
        <w:rPr>
          <w:rFonts w:asciiTheme="majorHAnsi" w:hAnsiTheme="majorHAnsi"/>
          <w:spacing w:val="-4"/>
          <w:sz w:val="20"/>
          <w:szCs w:val="20"/>
          <w:lang w:val="en-US"/>
        </w:rPr>
        <w:t xml:space="preserve"> </w:t>
      </w:r>
      <w:r w:rsidRPr="000977F7">
        <w:rPr>
          <w:rFonts w:asciiTheme="majorHAnsi" w:hAnsiTheme="majorHAnsi"/>
          <w:sz w:val="20"/>
          <w:szCs w:val="20"/>
        </w:rPr>
        <w:t>відповідності</w:t>
      </w:r>
      <w:r w:rsidRPr="004D2D14">
        <w:rPr>
          <w:rFonts w:asciiTheme="majorHAnsi" w:hAnsiTheme="majorHAnsi"/>
          <w:sz w:val="20"/>
          <w:szCs w:val="20"/>
          <w:lang w:val="en-US"/>
        </w:rPr>
        <w:t>,</w:t>
      </w:r>
      <w:r w:rsidRPr="004D2D14">
        <w:rPr>
          <w:rFonts w:asciiTheme="majorHAnsi" w:hAnsiTheme="majorHAnsi"/>
          <w:spacing w:val="-3"/>
          <w:sz w:val="20"/>
          <w:szCs w:val="20"/>
          <w:lang w:val="en-US"/>
        </w:rPr>
        <w:t xml:space="preserve"> </w:t>
      </w:r>
      <w:r w:rsidRPr="000977F7">
        <w:rPr>
          <w:rFonts w:asciiTheme="majorHAnsi" w:hAnsiTheme="majorHAnsi"/>
          <w:sz w:val="20"/>
          <w:szCs w:val="20"/>
        </w:rPr>
        <w:t>яку</w:t>
      </w:r>
      <w:r w:rsidRPr="004D2D14">
        <w:rPr>
          <w:rFonts w:asciiTheme="majorHAnsi" w:hAnsiTheme="majorHAnsi"/>
          <w:spacing w:val="-4"/>
          <w:sz w:val="20"/>
          <w:szCs w:val="20"/>
          <w:lang w:val="en-US"/>
        </w:rPr>
        <w:t xml:space="preserve"> </w:t>
      </w:r>
      <w:r w:rsidRPr="000977F7">
        <w:rPr>
          <w:rFonts w:asciiTheme="majorHAnsi" w:hAnsiTheme="majorHAnsi"/>
          <w:sz w:val="20"/>
          <w:szCs w:val="20"/>
        </w:rPr>
        <w:t>виконує</w:t>
      </w:r>
      <w:r w:rsidRPr="004D2D14">
        <w:rPr>
          <w:rFonts w:asciiTheme="majorHAnsi" w:hAnsiTheme="majorHAnsi"/>
          <w:spacing w:val="-4"/>
          <w:sz w:val="20"/>
          <w:szCs w:val="20"/>
          <w:lang w:val="en-US"/>
        </w:rPr>
        <w:t xml:space="preserve"> </w:t>
      </w:r>
      <w:r w:rsidRPr="000977F7">
        <w:rPr>
          <w:rFonts w:asciiTheme="majorHAnsi" w:hAnsiTheme="majorHAnsi"/>
          <w:sz w:val="20"/>
          <w:szCs w:val="20"/>
        </w:rPr>
        <w:t>особа</w:t>
      </w:r>
      <w:r w:rsidRPr="004D2D14">
        <w:rPr>
          <w:rFonts w:asciiTheme="majorHAnsi" w:hAnsiTheme="majorHAnsi"/>
          <w:spacing w:val="-47"/>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орган</w:t>
      </w:r>
      <w:r w:rsidRPr="004D2D14">
        <w:rPr>
          <w:rFonts w:asciiTheme="majorHAnsi" w:hAnsiTheme="majorHAnsi"/>
          <w:sz w:val="20"/>
          <w:szCs w:val="20"/>
          <w:lang w:val="en-US"/>
        </w:rPr>
        <w:t xml:space="preserve">, </w:t>
      </w:r>
      <w:r w:rsidRPr="000977F7">
        <w:rPr>
          <w:rFonts w:asciiTheme="majorHAnsi" w:hAnsiTheme="majorHAnsi"/>
          <w:sz w:val="20"/>
          <w:szCs w:val="20"/>
        </w:rPr>
        <w:t>незалежно</w:t>
      </w:r>
      <w:r w:rsidRPr="004D2D14">
        <w:rPr>
          <w:rFonts w:asciiTheme="majorHAnsi" w:hAnsiTheme="majorHAnsi"/>
          <w:sz w:val="20"/>
          <w:szCs w:val="20"/>
          <w:lang w:val="en-US"/>
        </w:rPr>
        <w:t xml:space="preserve"> </w:t>
      </w:r>
      <w:r w:rsidRPr="000977F7">
        <w:rPr>
          <w:rFonts w:asciiTheme="majorHAnsi" w:hAnsiTheme="majorHAnsi"/>
          <w:sz w:val="20"/>
          <w:szCs w:val="20"/>
        </w:rPr>
        <w:t>від</w:t>
      </w:r>
      <w:r w:rsidRPr="004D2D14">
        <w:rPr>
          <w:rFonts w:asciiTheme="majorHAnsi" w:hAnsiTheme="majorHAnsi"/>
          <w:sz w:val="20"/>
          <w:szCs w:val="20"/>
          <w:lang w:val="en-US"/>
        </w:rPr>
        <w:t xml:space="preserve"> </w:t>
      </w:r>
      <w:r w:rsidRPr="000977F7">
        <w:rPr>
          <w:rFonts w:asciiTheme="majorHAnsi" w:hAnsiTheme="majorHAnsi"/>
          <w:sz w:val="20"/>
          <w:szCs w:val="20"/>
        </w:rPr>
        <w:t>особи</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організації</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постачає</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від</w:t>
      </w:r>
      <w:r w:rsidRPr="004D2D14">
        <w:rPr>
          <w:rFonts w:asciiTheme="majorHAnsi" w:hAnsiTheme="majorHAnsi"/>
          <w:sz w:val="20"/>
          <w:szCs w:val="20"/>
          <w:lang w:val="en-US"/>
        </w:rPr>
        <w:t xml:space="preserve"> </w:t>
      </w:r>
      <w:r w:rsidRPr="000977F7">
        <w:rPr>
          <w:rFonts w:asciiTheme="majorHAnsi" w:hAnsiTheme="majorHAnsi"/>
          <w:sz w:val="20"/>
          <w:szCs w:val="20"/>
        </w:rPr>
        <w:t>користувача</w:t>
      </w:r>
      <w:r w:rsidRPr="004D2D14">
        <w:rPr>
          <w:rFonts w:asciiTheme="majorHAnsi" w:hAnsiTheme="majorHAnsi"/>
          <w:sz w:val="20"/>
          <w:szCs w:val="20"/>
          <w:lang w:val="en-US"/>
        </w:rPr>
        <w:t xml:space="preserve">, </w:t>
      </w:r>
      <w:r w:rsidRPr="000977F7">
        <w:rPr>
          <w:rFonts w:asciiTheme="majorHAnsi" w:hAnsiTheme="majorHAnsi"/>
          <w:sz w:val="20"/>
          <w:szCs w:val="20"/>
        </w:rPr>
        <w:t>зацікавленого</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цьому</w:t>
      </w:r>
      <w:r w:rsidRPr="004D2D14">
        <w:rPr>
          <w:rFonts w:asciiTheme="majorHAnsi" w:hAnsiTheme="majorHAnsi"/>
          <w:spacing w:val="-47"/>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єкті</w:t>
      </w:r>
    </w:p>
    <w:p w14:paraId="6B68263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П</w:t>
      </w:r>
      <w:r w:rsidRPr="004D2D14">
        <w:rPr>
          <w:rFonts w:asciiTheme="majorHAnsi" w:hAnsiTheme="majorHAnsi"/>
          <w:spacing w:val="-1"/>
          <w:sz w:val="20"/>
          <w:szCs w:val="20"/>
          <w:lang w:val="en-US"/>
        </w:rPr>
        <w:t xml:space="preserve"> </w:t>
      </w:r>
      <w:r w:rsidRPr="000977F7">
        <w:rPr>
          <w:rFonts w:asciiTheme="majorHAnsi" w:hAnsiTheme="majorHAnsi"/>
          <w:sz w:val="20"/>
          <w:szCs w:val="20"/>
        </w:rPr>
        <w:t>р</w:t>
      </w:r>
      <w:r w:rsidRPr="004D2D14">
        <w:rPr>
          <w:rFonts w:asciiTheme="majorHAnsi" w:hAnsiTheme="majorHAnsi"/>
          <w:spacing w:val="1"/>
          <w:sz w:val="20"/>
          <w:szCs w:val="20"/>
          <w:lang w:val="en-US"/>
        </w:rPr>
        <w:t xml:space="preserve"> </w:t>
      </w:r>
      <w:r w:rsidRPr="000977F7">
        <w:rPr>
          <w:rFonts w:asciiTheme="majorHAnsi" w:hAnsiTheme="majorHAnsi"/>
          <w:sz w:val="20"/>
          <w:szCs w:val="20"/>
        </w:rPr>
        <w:t>и</w:t>
      </w:r>
      <w:r w:rsidRPr="004D2D14">
        <w:rPr>
          <w:rFonts w:asciiTheme="majorHAnsi" w:hAnsiTheme="majorHAnsi"/>
          <w:spacing w:val="-2"/>
          <w:sz w:val="20"/>
          <w:szCs w:val="20"/>
          <w:lang w:val="en-US"/>
        </w:rPr>
        <w:t xml:space="preserve"> </w:t>
      </w:r>
      <w:r w:rsidRPr="000977F7">
        <w:rPr>
          <w:rFonts w:asciiTheme="majorHAnsi" w:hAnsiTheme="majorHAnsi"/>
          <w:sz w:val="20"/>
          <w:szCs w:val="20"/>
        </w:rPr>
        <w:t>м</w:t>
      </w:r>
      <w:r w:rsidRPr="004D2D14">
        <w:rPr>
          <w:rFonts w:asciiTheme="majorHAnsi" w:hAnsiTheme="majorHAnsi"/>
          <w:spacing w:val="1"/>
          <w:sz w:val="20"/>
          <w:szCs w:val="20"/>
          <w:lang w:val="en-US"/>
        </w:rPr>
        <w:t xml:space="preserve"> </w:t>
      </w:r>
      <w:r w:rsidRPr="000977F7">
        <w:rPr>
          <w:rFonts w:asciiTheme="majorHAnsi" w:hAnsiTheme="majorHAnsi"/>
          <w:sz w:val="20"/>
          <w:szCs w:val="20"/>
        </w:rPr>
        <w:t>і</w:t>
      </w:r>
      <w:r w:rsidRPr="004D2D14">
        <w:rPr>
          <w:rFonts w:asciiTheme="majorHAnsi" w:hAnsiTheme="majorHAnsi"/>
          <w:spacing w:val="-2"/>
          <w:sz w:val="20"/>
          <w:szCs w:val="20"/>
          <w:lang w:val="en-US"/>
        </w:rPr>
        <w:t xml:space="preserve"> </w:t>
      </w:r>
      <w:r w:rsidRPr="000977F7">
        <w:rPr>
          <w:rFonts w:asciiTheme="majorHAnsi" w:hAnsiTheme="majorHAnsi"/>
          <w:sz w:val="20"/>
          <w:szCs w:val="20"/>
        </w:rPr>
        <w:t>т</w:t>
      </w:r>
      <w:r w:rsidRPr="004D2D14">
        <w:rPr>
          <w:rFonts w:asciiTheme="majorHAnsi" w:hAnsiTheme="majorHAnsi"/>
          <w:spacing w:val="-1"/>
          <w:sz w:val="20"/>
          <w:szCs w:val="20"/>
          <w:lang w:val="en-US"/>
        </w:rPr>
        <w:t xml:space="preserve"> </w:t>
      </w:r>
      <w:r w:rsidRPr="000977F7">
        <w:rPr>
          <w:rFonts w:asciiTheme="majorHAnsi" w:hAnsiTheme="majorHAnsi"/>
          <w:sz w:val="20"/>
          <w:szCs w:val="20"/>
        </w:rPr>
        <w:t>к</w:t>
      </w:r>
      <w:r w:rsidRPr="004D2D14">
        <w:rPr>
          <w:rFonts w:asciiTheme="majorHAnsi" w:hAnsiTheme="majorHAnsi"/>
          <w:spacing w:val="-1"/>
          <w:sz w:val="20"/>
          <w:szCs w:val="20"/>
          <w:lang w:val="en-US"/>
        </w:rPr>
        <w:t xml:space="preserve"> </w:t>
      </w:r>
      <w:r w:rsidRPr="000977F7">
        <w:rPr>
          <w:rFonts w:asciiTheme="majorHAnsi" w:hAnsiTheme="majorHAnsi"/>
          <w:sz w:val="20"/>
          <w:szCs w:val="20"/>
        </w:rPr>
        <w:t>а</w:t>
      </w:r>
      <w:r w:rsidRPr="004D2D14">
        <w:rPr>
          <w:rFonts w:asciiTheme="majorHAnsi" w:hAnsiTheme="majorHAnsi"/>
          <w:sz w:val="20"/>
          <w:szCs w:val="20"/>
          <w:lang w:val="en-US"/>
        </w:rPr>
        <w:t>.</w:t>
      </w:r>
    </w:p>
    <w:p w14:paraId="158E34B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Критерії</w:t>
      </w:r>
      <w:r w:rsidRPr="004D2D14">
        <w:rPr>
          <w:rFonts w:asciiTheme="majorHAnsi" w:hAnsiTheme="majorHAnsi"/>
          <w:sz w:val="20"/>
          <w:szCs w:val="20"/>
          <w:lang w:val="en-US"/>
        </w:rPr>
        <w:t xml:space="preserve"> </w:t>
      </w:r>
      <w:r w:rsidRPr="000977F7">
        <w:rPr>
          <w:rFonts w:asciiTheme="majorHAnsi" w:hAnsiTheme="majorHAnsi"/>
          <w:sz w:val="20"/>
          <w:szCs w:val="20"/>
        </w:rPr>
        <w:t>незалежності</w:t>
      </w:r>
      <w:r w:rsidRPr="004D2D14">
        <w:rPr>
          <w:rFonts w:asciiTheme="majorHAnsi" w:hAnsiTheme="majorHAnsi"/>
          <w:sz w:val="20"/>
          <w:szCs w:val="20"/>
          <w:lang w:val="en-US"/>
        </w:rPr>
        <w:t xml:space="preserve"> </w:t>
      </w:r>
      <w:r w:rsidRPr="000977F7">
        <w:rPr>
          <w:rFonts w:asciiTheme="majorHAnsi" w:hAnsiTheme="majorHAnsi"/>
          <w:sz w:val="20"/>
          <w:szCs w:val="20"/>
        </w:rPr>
        <w:t>органів</w:t>
      </w:r>
      <w:r w:rsidRPr="004D2D14">
        <w:rPr>
          <w:rFonts w:asciiTheme="majorHAnsi" w:hAnsiTheme="majorHAnsi"/>
          <w:sz w:val="20"/>
          <w:szCs w:val="20"/>
          <w:lang w:val="en-US"/>
        </w:rPr>
        <w:t xml:space="preserve"> </w:t>
      </w:r>
      <w:r w:rsidRPr="000977F7">
        <w:rPr>
          <w:rFonts w:asciiTheme="majorHAnsi" w:hAnsiTheme="majorHAnsi"/>
          <w:sz w:val="20"/>
          <w:szCs w:val="20"/>
        </w:rPr>
        <w:t>оцінювання</w:t>
      </w:r>
      <w:r w:rsidRPr="004D2D14">
        <w:rPr>
          <w:rFonts w:asciiTheme="majorHAnsi" w:hAnsiTheme="majorHAnsi"/>
          <w:sz w:val="20"/>
          <w:szCs w:val="20"/>
          <w:lang w:val="en-US"/>
        </w:rPr>
        <w:t xml:space="preserve"> </w:t>
      </w:r>
      <w:r w:rsidRPr="000977F7">
        <w:rPr>
          <w:rFonts w:asciiTheme="majorHAnsi" w:hAnsiTheme="majorHAnsi"/>
          <w:sz w:val="20"/>
          <w:szCs w:val="20"/>
        </w:rPr>
        <w:t>відповідності</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органів</w:t>
      </w:r>
      <w:r w:rsidRPr="004D2D14">
        <w:rPr>
          <w:rFonts w:asciiTheme="majorHAnsi" w:hAnsiTheme="majorHAnsi"/>
          <w:sz w:val="20"/>
          <w:szCs w:val="20"/>
          <w:lang w:val="en-US"/>
        </w:rPr>
        <w:t xml:space="preserve"> </w:t>
      </w:r>
      <w:r w:rsidRPr="000977F7">
        <w:rPr>
          <w:rFonts w:asciiTheme="majorHAnsi" w:hAnsiTheme="majorHAnsi"/>
          <w:sz w:val="20"/>
          <w:szCs w:val="20"/>
        </w:rPr>
        <w:t>акредитації</w:t>
      </w:r>
      <w:r w:rsidRPr="004D2D14">
        <w:rPr>
          <w:rFonts w:asciiTheme="majorHAnsi" w:hAnsiTheme="majorHAnsi"/>
          <w:sz w:val="20"/>
          <w:szCs w:val="20"/>
          <w:lang w:val="en-US"/>
        </w:rPr>
        <w:t xml:space="preserve"> </w:t>
      </w:r>
      <w:r w:rsidRPr="000977F7">
        <w:rPr>
          <w:rFonts w:asciiTheme="majorHAnsi" w:hAnsiTheme="majorHAnsi"/>
          <w:sz w:val="20"/>
          <w:szCs w:val="20"/>
        </w:rPr>
        <w:t>наведено</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міжнародних</w:t>
      </w:r>
      <w:r w:rsidRPr="004D2D14">
        <w:rPr>
          <w:rFonts w:asciiTheme="majorHAnsi" w:hAnsiTheme="majorHAnsi"/>
          <w:spacing w:val="-47"/>
          <w:sz w:val="20"/>
          <w:szCs w:val="20"/>
          <w:lang w:val="en-US"/>
        </w:rPr>
        <w:t xml:space="preserve"> </w:t>
      </w:r>
      <w:r w:rsidRPr="000977F7">
        <w:rPr>
          <w:rFonts w:asciiTheme="majorHAnsi" w:hAnsiTheme="majorHAnsi"/>
          <w:sz w:val="20"/>
          <w:szCs w:val="20"/>
        </w:rPr>
        <w:t>стандартах</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настановах</w:t>
      </w:r>
      <w:r w:rsidRPr="004D2D14">
        <w:rPr>
          <w:rFonts w:asciiTheme="majorHAnsi" w:hAnsiTheme="majorHAnsi"/>
          <w:sz w:val="20"/>
          <w:szCs w:val="20"/>
          <w:lang w:val="en-US"/>
        </w:rPr>
        <w:t xml:space="preserve">, </w:t>
      </w:r>
      <w:r w:rsidRPr="000977F7">
        <w:rPr>
          <w:rFonts w:asciiTheme="majorHAnsi" w:hAnsiTheme="majorHAnsi"/>
          <w:sz w:val="20"/>
          <w:szCs w:val="20"/>
        </w:rPr>
        <w:t>застосовуваних</w:t>
      </w:r>
      <w:r w:rsidRPr="004D2D14">
        <w:rPr>
          <w:rFonts w:asciiTheme="majorHAnsi" w:hAnsiTheme="majorHAnsi"/>
          <w:sz w:val="20"/>
          <w:szCs w:val="20"/>
          <w:lang w:val="en-US"/>
        </w:rPr>
        <w:t xml:space="preserve"> </w:t>
      </w:r>
      <w:r w:rsidRPr="000977F7">
        <w:rPr>
          <w:rFonts w:asciiTheme="majorHAnsi" w:hAnsiTheme="majorHAnsi"/>
          <w:sz w:val="20"/>
          <w:szCs w:val="20"/>
        </w:rPr>
        <w:t>у</w:t>
      </w:r>
      <w:r w:rsidRPr="004D2D14">
        <w:rPr>
          <w:rFonts w:asciiTheme="majorHAnsi" w:hAnsiTheme="majorHAnsi"/>
          <w:sz w:val="20"/>
          <w:szCs w:val="20"/>
          <w:lang w:val="en-US"/>
        </w:rPr>
        <w:t xml:space="preserve"> </w:t>
      </w:r>
      <w:r w:rsidRPr="000977F7">
        <w:rPr>
          <w:rFonts w:asciiTheme="majorHAnsi" w:hAnsiTheme="majorHAnsi"/>
          <w:sz w:val="20"/>
          <w:szCs w:val="20"/>
        </w:rPr>
        <w:t>їхній</w:t>
      </w:r>
      <w:r w:rsidRPr="004D2D14">
        <w:rPr>
          <w:rFonts w:asciiTheme="majorHAnsi" w:hAnsiTheme="majorHAnsi"/>
          <w:sz w:val="20"/>
          <w:szCs w:val="20"/>
          <w:lang w:val="en-US"/>
        </w:rPr>
        <w:t xml:space="preserve"> </w:t>
      </w:r>
      <w:r w:rsidRPr="000977F7">
        <w:rPr>
          <w:rFonts w:asciiTheme="majorHAnsi" w:hAnsiTheme="majorHAnsi"/>
          <w:sz w:val="20"/>
          <w:szCs w:val="20"/>
        </w:rPr>
        <w:t>діяльності</w:t>
      </w:r>
    </w:p>
    <w:p w14:paraId="0B882CC4" w14:textId="77777777" w:rsidR="0097612F" w:rsidRPr="004D2D14" w:rsidRDefault="0097612F" w:rsidP="000977F7">
      <w:pPr>
        <w:pStyle w:val="af6"/>
        <w:tabs>
          <w:tab w:val="left" w:pos="284"/>
        </w:tabs>
        <w:spacing w:after="0"/>
        <w:ind w:left="170"/>
        <w:mirrorIndents/>
        <w:jc w:val="both"/>
        <w:rPr>
          <w:rFonts w:asciiTheme="majorHAnsi" w:hAnsiTheme="majorHAnsi"/>
          <w:i/>
          <w:iCs/>
          <w:sz w:val="20"/>
          <w:szCs w:val="20"/>
          <w:lang w:val="en-US"/>
        </w:rPr>
      </w:pPr>
      <w:r w:rsidRPr="000977F7">
        <w:rPr>
          <w:rFonts w:asciiTheme="majorHAnsi" w:hAnsiTheme="majorHAnsi"/>
          <w:i/>
          <w:iCs/>
          <w:spacing w:val="-7"/>
          <w:w w:val="95"/>
          <w:sz w:val="20"/>
          <w:szCs w:val="20"/>
        </w:rPr>
        <w:t>ДСТУ</w:t>
      </w:r>
      <w:r w:rsidRPr="004D2D14">
        <w:rPr>
          <w:rFonts w:asciiTheme="majorHAnsi" w:hAnsiTheme="majorHAnsi"/>
          <w:i/>
          <w:iCs/>
          <w:spacing w:val="-7"/>
          <w:w w:val="95"/>
          <w:sz w:val="20"/>
          <w:szCs w:val="20"/>
          <w:lang w:val="en-US"/>
        </w:rPr>
        <w:t xml:space="preserve"> ISO/IEC</w:t>
      </w:r>
      <w:r w:rsidRPr="004D2D14">
        <w:rPr>
          <w:rFonts w:asciiTheme="majorHAnsi" w:hAnsiTheme="majorHAnsi"/>
          <w:i/>
          <w:iCs/>
          <w:spacing w:val="-27"/>
          <w:w w:val="95"/>
          <w:sz w:val="20"/>
          <w:szCs w:val="20"/>
          <w:lang w:val="en-US"/>
        </w:rPr>
        <w:t xml:space="preserve"> </w:t>
      </w:r>
      <w:r w:rsidRPr="004D2D14">
        <w:rPr>
          <w:rFonts w:asciiTheme="majorHAnsi" w:hAnsiTheme="majorHAnsi"/>
          <w:i/>
          <w:iCs/>
          <w:spacing w:val="-6"/>
          <w:w w:val="95"/>
          <w:sz w:val="20"/>
          <w:szCs w:val="20"/>
          <w:lang w:val="en-US"/>
        </w:rPr>
        <w:t>17000:2007</w:t>
      </w:r>
    </w:p>
    <w:p w14:paraId="022A131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ДІЯННЯ</w:t>
      </w:r>
      <w:r w:rsidRPr="000977F7">
        <w:rPr>
          <w:color w:val="auto"/>
          <w:spacing w:val="-4"/>
          <w:sz w:val="20"/>
          <w:szCs w:val="20"/>
        </w:rPr>
        <w:t xml:space="preserve"> </w:t>
      </w:r>
      <w:r w:rsidRPr="000977F7">
        <w:rPr>
          <w:color w:val="auto"/>
          <w:sz w:val="20"/>
          <w:szCs w:val="20"/>
        </w:rPr>
        <w:t>(ПОДІЯННЯ)</w:t>
      </w:r>
      <w:r w:rsidRPr="000977F7">
        <w:rPr>
          <w:color w:val="auto"/>
          <w:spacing w:val="-4"/>
          <w:sz w:val="20"/>
          <w:szCs w:val="20"/>
        </w:rPr>
        <w:t xml:space="preserve"> </w:t>
      </w:r>
      <w:r w:rsidRPr="000977F7">
        <w:rPr>
          <w:color w:val="auto"/>
          <w:sz w:val="20"/>
          <w:szCs w:val="20"/>
        </w:rPr>
        <w:t>−</w:t>
      </w:r>
    </w:p>
    <w:p w14:paraId="232B934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OBJECT</w:t>
      </w:r>
      <w:r w:rsidRPr="004D2D14">
        <w:rPr>
          <w:rFonts w:asciiTheme="majorHAnsi" w:hAnsiTheme="majorHAnsi"/>
          <w:spacing w:val="-3"/>
          <w:sz w:val="20"/>
          <w:szCs w:val="20"/>
          <w:lang w:val="uk-UA"/>
        </w:rPr>
        <w:t xml:space="preserve"> </w:t>
      </w:r>
      <w:r w:rsidRPr="000977F7">
        <w:rPr>
          <w:rFonts w:asciiTheme="majorHAnsi" w:hAnsiTheme="majorHAnsi"/>
          <w:sz w:val="20"/>
          <w:szCs w:val="20"/>
        </w:rPr>
        <w:t>OPERATION</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p>
    <w:p w14:paraId="59BCF10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Впливання (вплинення) одного об’єкта на інший, яке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спричиняє в останньому зміни його властивостей 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функціювання</w:t>
      </w:r>
    </w:p>
    <w:p w14:paraId="407807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57D667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Причиною такого впливу можуть бути деякі властивості</w:t>
      </w:r>
      <w:r w:rsidRPr="000977F7">
        <w:rPr>
          <w:rFonts w:asciiTheme="majorHAnsi" w:hAnsiTheme="majorHAnsi"/>
          <w:spacing w:val="1"/>
          <w:sz w:val="20"/>
          <w:szCs w:val="20"/>
        </w:rPr>
        <w:t xml:space="preserve"> </w:t>
      </w:r>
      <w:r w:rsidRPr="000977F7">
        <w:rPr>
          <w:rFonts w:asciiTheme="majorHAnsi" w:hAnsiTheme="majorHAnsi"/>
          <w:sz w:val="20"/>
          <w:szCs w:val="20"/>
        </w:rPr>
        <w:t>впливового</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процеси,</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ньому</w:t>
      </w:r>
      <w:r w:rsidRPr="000977F7">
        <w:rPr>
          <w:rFonts w:asciiTheme="majorHAnsi" w:hAnsiTheme="majorHAnsi"/>
          <w:spacing w:val="-47"/>
          <w:sz w:val="20"/>
          <w:szCs w:val="20"/>
        </w:rPr>
        <w:t xml:space="preserve"> </w:t>
      </w:r>
      <w:r w:rsidRPr="000977F7">
        <w:rPr>
          <w:rFonts w:asciiTheme="majorHAnsi" w:hAnsiTheme="majorHAnsi"/>
          <w:sz w:val="20"/>
          <w:szCs w:val="20"/>
        </w:rPr>
        <w:t>відбуваються</w:t>
      </w:r>
    </w:p>
    <w:p w14:paraId="5759BC0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w:t>
      </w:r>
      <w:r w:rsidRPr="000977F7">
        <w:rPr>
          <w:rFonts w:asciiTheme="majorHAnsi" w:hAnsiTheme="majorHAnsi"/>
          <w:i/>
          <w:spacing w:val="-2"/>
          <w:sz w:val="20"/>
          <w:szCs w:val="20"/>
        </w:rPr>
        <w:t xml:space="preserve"> </w:t>
      </w:r>
      <w:r w:rsidRPr="000977F7">
        <w:rPr>
          <w:rFonts w:asciiTheme="majorHAnsi" w:hAnsiTheme="majorHAnsi"/>
          <w:i/>
          <w:sz w:val="20"/>
          <w:szCs w:val="20"/>
        </w:rPr>
        <w:t>2000</w:t>
      </w:r>
    </w:p>
    <w:p w14:paraId="288E4E9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ДОБРОВІЛЬНА</w:t>
      </w:r>
      <w:r w:rsidRPr="000977F7">
        <w:rPr>
          <w:color w:val="auto"/>
          <w:spacing w:val="-6"/>
          <w:sz w:val="20"/>
          <w:szCs w:val="20"/>
        </w:rPr>
        <w:t xml:space="preserve"> </w:t>
      </w:r>
      <w:r w:rsidRPr="000977F7">
        <w:rPr>
          <w:color w:val="auto"/>
          <w:sz w:val="20"/>
          <w:szCs w:val="20"/>
        </w:rPr>
        <w:t>СЕРТИФІКАЦІЯ</w:t>
      </w:r>
      <w:r w:rsidRPr="000977F7">
        <w:rPr>
          <w:color w:val="auto"/>
          <w:spacing w:val="-2"/>
          <w:sz w:val="20"/>
          <w:szCs w:val="20"/>
        </w:rPr>
        <w:t xml:space="preserve"> </w:t>
      </w:r>
      <w:r w:rsidRPr="000977F7">
        <w:rPr>
          <w:color w:val="auto"/>
          <w:sz w:val="20"/>
          <w:szCs w:val="20"/>
        </w:rPr>
        <w:t>–</w:t>
      </w:r>
    </w:p>
    <w:p w14:paraId="766A346C"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Сертифікація на відповідність вимогам, не віднесеним</w:t>
      </w:r>
      <w:r w:rsidRPr="000977F7">
        <w:rPr>
          <w:rFonts w:asciiTheme="majorHAnsi" w:hAnsiTheme="majorHAnsi"/>
          <w:spacing w:val="-47"/>
          <w:sz w:val="20"/>
          <w:szCs w:val="20"/>
        </w:rPr>
        <w:t xml:space="preserve"> </w:t>
      </w:r>
      <w:r w:rsidRPr="000977F7">
        <w:rPr>
          <w:rFonts w:asciiTheme="majorHAnsi" w:hAnsiTheme="majorHAnsi"/>
          <w:sz w:val="20"/>
          <w:szCs w:val="20"/>
        </w:rPr>
        <w:t>нормативними</w:t>
      </w:r>
      <w:r w:rsidRPr="000977F7">
        <w:rPr>
          <w:rFonts w:asciiTheme="majorHAnsi" w:hAnsiTheme="majorHAnsi"/>
          <w:spacing w:val="49"/>
          <w:sz w:val="20"/>
          <w:szCs w:val="20"/>
        </w:rPr>
        <w:t xml:space="preserve"> </w:t>
      </w:r>
      <w:r w:rsidRPr="000977F7">
        <w:rPr>
          <w:rFonts w:asciiTheme="majorHAnsi" w:hAnsiTheme="majorHAnsi"/>
          <w:sz w:val="20"/>
          <w:szCs w:val="20"/>
        </w:rPr>
        <w:t>документами</w:t>
      </w:r>
      <w:r w:rsidRPr="000977F7">
        <w:rPr>
          <w:rFonts w:asciiTheme="majorHAnsi" w:hAnsiTheme="majorHAnsi"/>
          <w:spacing w:val="49"/>
          <w:sz w:val="20"/>
          <w:szCs w:val="20"/>
        </w:rPr>
        <w:t xml:space="preserve"> </w:t>
      </w:r>
      <w:r w:rsidRPr="000977F7">
        <w:rPr>
          <w:rFonts w:asciiTheme="majorHAnsi" w:hAnsiTheme="majorHAnsi"/>
          <w:sz w:val="20"/>
          <w:szCs w:val="20"/>
        </w:rPr>
        <w:t>до</w:t>
      </w:r>
      <w:r w:rsidRPr="000977F7">
        <w:rPr>
          <w:rFonts w:asciiTheme="majorHAnsi" w:hAnsiTheme="majorHAnsi"/>
          <w:spacing w:val="3"/>
          <w:sz w:val="20"/>
          <w:szCs w:val="20"/>
        </w:rPr>
        <w:t xml:space="preserve"> </w:t>
      </w:r>
      <w:r w:rsidRPr="000977F7">
        <w:rPr>
          <w:rFonts w:asciiTheme="majorHAnsi" w:hAnsiTheme="majorHAnsi"/>
          <w:sz w:val="20"/>
          <w:szCs w:val="20"/>
        </w:rPr>
        <w:t>обов’язкових,</w:t>
      </w:r>
      <w:r w:rsidRPr="000977F7">
        <w:rPr>
          <w:rFonts w:asciiTheme="majorHAnsi" w:hAnsiTheme="majorHAnsi"/>
          <w:spacing w:val="3"/>
          <w:sz w:val="20"/>
          <w:szCs w:val="20"/>
        </w:rPr>
        <w:t xml:space="preserve"> </w:t>
      </w:r>
      <w:r w:rsidRPr="000977F7">
        <w:rPr>
          <w:rFonts w:asciiTheme="majorHAnsi" w:hAnsiTheme="majorHAnsi"/>
          <w:sz w:val="20"/>
          <w:szCs w:val="20"/>
        </w:rPr>
        <w:t>яка</w:t>
      </w:r>
      <w:r w:rsidRPr="000977F7">
        <w:rPr>
          <w:rFonts w:asciiTheme="majorHAnsi" w:hAnsiTheme="majorHAnsi"/>
          <w:spacing w:val="-47"/>
          <w:sz w:val="20"/>
          <w:szCs w:val="20"/>
        </w:rPr>
        <w:t xml:space="preserve"> </w:t>
      </w:r>
      <w:r w:rsidRPr="000977F7">
        <w:rPr>
          <w:rFonts w:asciiTheme="majorHAnsi" w:hAnsiTheme="majorHAnsi"/>
          <w:sz w:val="20"/>
          <w:szCs w:val="20"/>
        </w:rPr>
        <w:t>проводиться</w:t>
      </w:r>
      <w:r w:rsidRPr="000977F7">
        <w:rPr>
          <w:rFonts w:asciiTheme="majorHAnsi" w:hAnsiTheme="majorHAnsi"/>
          <w:spacing w:val="33"/>
          <w:sz w:val="20"/>
          <w:szCs w:val="20"/>
        </w:rPr>
        <w:t xml:space="preserve"> </w:t>
      </w:r>
      <w:r w:rsidRPr="000977F7">
        <w:rPr>
          <w:rFonts w:asciiTheme="majorHAnsi" w:hAnsiTheme="majorHAnsi"/>
          <w:sz w:val="20"/>
          <w:szCs w:val="20"/>
        </w:rPr>
        <w:t>на</w:t>
      </w:r>
      <w:r w:rsidRPr="000977F7">
        <w:rPr>
          <w:rFonts w:asciiTheme="majorHAnsi" w:hAnsiTheme="majorHAnsi"/>
          <w:spacing w:val="37"/>
          <w:sz w:val="20"/>
          <w:szCs w:val="20"/>
        </w:rPr>
        <w:t xml:space="preserve"> </w:t>
      </w:r>
      <w:r w:rsidRPr="000977F7">
        <w:rPr>
          <w:rFonts w:asciiTheme="majorHAnsi" w:hAnsiTheme="majorHAnsi"/>
          <w:sz w:val="20"/>
          <w:szCs w:val="20"/>
        </w:rPr>
        <w:t>добровільних</w:t>
      </w:r>
      <w:r w:rsidRPr="000977F7">
        <w:rPr>
          <w:rFonts w:asciiTheme="majorHAnsi" w:hAnsiTheme="majorHAnsi"/>
          <w:spacing w:val="33"/>
          <w:sz w:val="20"/>
          <w:szCs w:val="20"/>
        </w:rPr>
        <w:t xml:space="preserve"> </w:t>
      </w:r>
      <w:r w:rsidRPr="000977F7">
        <w:rPr>
          <w:rFonts w:asciiTheme="majorHAnsi" w:hAnsiTheme="majorHAnsi"/>
          <w:sz w:val="20"/>
          <w:szCs w:val="20"/>
        </w:rPr>
        <w:t>засадах</w:t>
      </w:r>
      <w:r w:rsidRPr="000977F7">
        <w:rPr>
          <w:rFonts w:asciiTheme="majorHAnsi" w:hAnsiTheme="majorHAnsi"/>
          <w:spacing w:val="33"/>
          <w:sz w:val="20"/>
          <w:szCs w:val="20"/>
        </w:rPr>
        <w:t xml:space="preserve"> </w:t>
      </w:r>
      <w:r w:rsidRPr="000977F7">
        <w:rPr>
          <w:rFonts w:asciiTheme="majorHAnsi" w:hAnsiTheme="majorHAnsi"/>
          <w:sz w:val="20"/>
          <w:szCs w:val="20"/>
        </w:rPr>
        <w:t>за</w:t>
      </w:r>
      <w:r w:rsidRPr="000977F7">
        <w:rPr>
          <w:rFonts w:asciiTheme="majorHAnsi" w:hAnsiTheme="majorHAnsi"/>
          <w:spacing w:val="35"/>
          <w:sz w:val="20"/>
          <w:szCs w:val="20"/>
        </w:rPr>
        <w:t xml:space="preserve"> </w:t>
      </w:r>
      <w:r w:rsidRPr="000977F7">
        <w:rPr>
          <w:rFonts w:asciiTheme="majorHAnsi" w:hAnsiTheme="majorHAnsi"/>
          <w:sz w:val="20"/>
          <w:szCs w:val="20"/>
        </w:rPr>
        <w:t>ініціативою</w:t>
      </w:r>
      <w:r w:rsidRPr="000977F7">
        <w:rPr>
          <w:rFonts w:asciiTheme="majorHAnsi" w:hAnsiTheme="majorHAnsi"/>
          <w:spacing w:val="-47"/>
          <w:sz w:val="20"/>
          <w:szCs w:val="20"/>
        </w:rPr>
        <w:t xml:space="preserve"> </w:t>
      </w:r>
      <w:r w:rsidRPr="000977F7">
        <w:rPr>
          <w:rFonts w:asciiTheme="majorHAnsi" w:hAnsiTheme="majorHAnsi"/>
          <w:sz w:val="20"/>
          <w:szCs w:val="20"/>
        </w:rPr>
        <w:t>виробника, постачальника чи споживача продукції</w:t>
      </w:r>
    </w:p>
    <w:p w14:paraId="636A0234"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ДОВБАННЯ</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74E35F2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Обробка різанням при вертикальному зворотньо-поступальному русі інструмента та прямолінійному (або</w:t>
      </w:r>
      <w:r w:rsidRPr="000977F7">
        <w:rPr>
          <w:rFonts w:asciiTheme="majorHAnsi" w:hAnsiTheme="majorHAnsi"/>
          <w:spacing w:val="-47"/>
          <w:sz w:val="20"/>
          <w:szCs w:val="20"/>
        </w:rPr>
        <w:t xml:space="preserve"> </w:t>
      </w:r>
      <w:r w:rsidRPr="000977F7">
        <w:rPr>
          <w:rFonts w:asciiTheme="majorHAnsi" w:hAnsiTheme="majorHAnsi"/>
          <w:sz w:val="20"/>
          <w:szCs w:val="20"/>
        </w:rPr>
        <w:t>обертальному)</w:t>
      </w:r>
      <w:r w:rsidRPr="000977F7">
        <w:rPr>
          <w:rFonts w:asciiTheme="majorHAnsi" w:hAnsiTheme="majorHAnsi"/>
          <w:spacing w:val="2"/>
          <w:sz w:val="20"/>
          <w:szCs w:val="20"/>
        </w:rPr>
        <w:t xml:space="preserve"> </w:t>
      </w:r>
      <w:r w:rsidRPr="000977F7">
        <w:rPr>
          <w:rFonts w:asciiTheme="majorHAnsi" w:hAnsiTheme="majorHAnsi"/>
          <w:sz w:val="20"/>
          <w:szCs w:val="20"/>
        </w:rPr>
        <w:t>періодичному</w:t>
      </w:r>
      <w:r w:rsidRPr="000977F7">
        <w:rPr>
          <w:rFonts w:asciiTheme="majorHAnsi" w:hAnsiTheme="majorHAnsi"/>
          <w:spacing w:val="-2"/>
          <w:sz w:val="20"/>
          <w:szCs w:val="20"/>
        </w:rPr>
        <w:t xml:space="preserve"> </w:t>
      </w:r>
      <w:r w:rsidRPr="000977F7">
        <w:rPr>
          <w:rFonts w:asciiTheme="majorHAnsi" w:hAnsiTheme="majorHAnsi"/>
          <w:sz w:val="20"/>
          <w:szCs w:val="20"/>
        </w:rPr>
        <w:t>русі подачі</w:t>
      </w:r>
    </w:p>
    <w:p w14:paraId="51C73CD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ДОВГОВІЧНІСТЬ </w:t>
      </w:r>
      <w:r w:rsidRPr="000977F7">
        <w:rPr>
          <w:rFonts w:asciiTheme="majorHAnsi" w:hAnsiTheme="majorHAnsi"/>
          <w:sz w:val="20"/>
          <w:szCs w:val="20"/>
        </w:rPr>
        <w:t>–</w:t>
      </w:r>
    </w:p>
    <w:p w14:paraId="6375780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DURABILITY;</w:t>
      </w:r>
      <w:r w:rsidRPr="000977F7">
        <w:rPr>
          <w:rFonts w:asciiTheme="majorHAnsi" w:hAnsiTheme="majorHAnsi"/>
          <w:spacing w:val="-9"/>
          <w:sz w:val="20"/>
          <w:szCs w:val="20"/>
        </w:rPr>
        <w:t xml:space="preserve"> </w:t>
      </w:r>
      <w:r w:rsidRPr="000977F7">
        <w:rPr>
          <w:rFonts w:asciiTheme="majorHAnsi" w:hAnsiTheme="majorHAnsi"/>
          <w:sz w:val="20"/>
          <w:szCs w:val="20"/>
        </w:rPr>
        <w:t>LONGEVITY</w:t>
      </w:r>
      <w:r w:rsidRPr="000977F7">
        <w:rPr>
          <w:rFonts w:asciiTheme="majorHAnsi" w:hAnsiTheme="majorHAnsi"/>
          <w:spacing w:val="-6"/>
          <w:sz w:val="20"/>
          <w:szCs w:val="20"/>
        </w:rPr>
        <w:t xml:space="preserve"> </w:t>
      </w:r>
      <w:r w:rsidRPr="000977F7">
        <w:rPr>
          <w:rFonts w:asciiTheme="majorHAnsi" w:hAnsiTheme="majorHAnsi"/>
          <w:sz w:val="20"/>
          <w:szCs w:val="20"/>
        </w:rPr>
        <w:t>–</w:t>
      </w:r>
    </w:p>
    <w:p w14:paraId="2C8B0E7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Властивість об’єкта виконувати потрібні функції до переходу у граничний стан при встановленій системі технічного обслуговування та ремонту</w:t>
      </w:r>
    </w:p>
    <w:p w14:paraId="6DB6EE9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DEB8D9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 об’єктів виконувати потрібні функції до</w:t>
      </w:r>
      <w:r w:rsidRPr="000977F7">
        <w:rPr>
          <w:rFonts w:asciiTheme="majorHAnsi" w:hAnsiTheme="majorHAnsi"/>
          <w:spacing w:val="1"/>
          <w:sz w:val="20"/>
          <w:szCs w:val="20"/>
        </w:rPr>
        <w:t xml:space="preserve"> </w:t>
      </w:r>
      <w:r w:rsidRPr="000977F7">
        <w:rPr>
          <w:rFonts w:asciiTheme="majorHAnsi" w:hAnsiTheme="majorHAnsi"/>
          <w:sz w:val="20"/>
          <w:szCs w:val="20"/>
        </w:rPr>
        <w:t>настання граничного стану за умови встановленої системи</w:t>
      </w:r>
      <w:r w:rsidRPr="000977F7">
        <w:rPr>
          <w:rFonts w:asciiTheme="majorHAnsi" w:hAnsiTheme="majorHAnsi"/>
          <w:spacing w:val="-2"/>
          <w:sz w:val="20"/>
          <w:szCs w:val="20"/>
        </w:rPr>
        <w:t xml:space="preserve"> </w:t>
      </w:r>
      <w:r w:rsidRPr="000977F7">
        <w:rPr>
          <w:rFonts w:asciiTheme="majorHAnsi" w:hAnsiTheme="majorHAnsi"/>
          <w:sz w:val="20"/>
          <w:szCs w:val="20"/>
        </w:rPr>
        <w:t>технічного обслуговування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ремонту</w:t>
      </w:r>
    </w:p>
    <w:p w14:paraId="70A2B9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DB0B54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Для невідновлюваних об’єктів показники безвідмовності</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довговічності</w:t>
      </w:r>
      <w:r w:rsidRPr="000977F7">
        <w:rPr>
          <w:rFonts w:asciiTheme="majorHAnsi" w:hAnsiTheme="majorHAnsi"/>
          <w:spacing w:val="-2"/>
          <w:sz w:val="20"/>
          <w:szCs w:val="20"/>
        </w:rPr>
        <w:t xml:space="preserve"> </w:t>
      </w:r>
      <w:r w:rsidRPr="000977F7">
        <w:rPr>
          <w:rFonts w:asciiTheme="majorHAnsi" w:hAnsiTheme="majorHAnsi"/>
          <w:sz w:val="20"/>
          <w:szCs w:val="20"/>
        </w:rPr>
        <w:t>збігаються</w:t>
      </w:r>
    </w:p>
    <w:p w14:paraId="6F2782F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2634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9D8289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ДОВЖИНА</w:t>
      </w:r>
      <w:r w:rsidRPr="000977F7">
        <w:rPr>
          <w:color w:val="auto"/>
          <w:spacing w:val="-3"/>
          <w:sz w:val="20"/>
          <w:szCs w:val="20"/>
        </w:rPr>
        <w:t xml:space="preserve"> </w:t>
      </w:r>
      <w:r w:rsidRPr="000977F7">
        <w:rPr>
          <w:color w:val="auto"/>
          <w:sz w:val="20"/>
          <w:szCs w:val="20"/>
        </w:rPr>
        <w:t>ПОДІЛКИ</w:t>
      </w:r>
      <w:r w:rsidRPr="000977F7">
        <w:rPr>
          <w:color w:val="auto"/>
          <w:spacing w:val="44"/>
          <w:sz w:val="20"/>
          <w:szCs w:val="20"/>
        </w:rPr>
        <w:t xml:space="preserve"> </w:t>
      </w:r>
      <w:r w:rsidRPr="000977F7">
        <w:rPr>
          <w:color w:val="auto"/>
          <w:sz w:val="20"/>
          <w:szCs w:val="20"/>
        </w:rPr>
        <w:t>ШКАЛИ</w:t>
      </w:r>
      <w:r w:rsidRPr="000977F7">
        <w:rPr>
          <w:color w:val="auto"/>
          <w:spacing w:val="1"/>
          <w:sz w:val="20"/>
          <w:szCs w:val="20"/>
        </w:rPr>
        <w:t xml:space="preserve"> </w:t>
      </w:r>
      <w:r w:rsidRPr="000977F7">
        <w:rPr>
          <w:color w:val="auto"/>
          <w:sz w:val="20"/>
          <w:szCs w:val="20"/>
        </w:rPr>
        <w:t>–</w:t>
      </w:r>
    </w:p>
    <w:p w14:paraId="5499908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SCALE</w:t>
      </w:r>
      <w:r w:rsidRPr="000977F7">
        <w:rPr>
          <w:rFonts w:asciiTheme="majorHAnsi" w:hAnsiTheme="majorHAnsi"/>
          <w:spacing w:val="-3"/>
          <w:sz w:val="20"/>
          <w:szCs w:val="20"/>
        </w:rPr>
        <w:t xml:space="preserve"> </w:t>
      </w:r>
      <w:r w:rsidRPr="000977F7">
        <w:rPr>
          <w:rFonts w:asciiTheme="majorHAnsi" w:hAnsiTheme="majorHAnsi"/>
          <w:sz w:val="20"/>
          <w:szCs w:val="20"/>
        </w:rPr>
        <w:t>SPACING</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2497D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Відстань між осями (або центрами) двох сусідніх позначок шкали, яка виміряна вздовж лінії, що проходить</w:t>
      </w:r>
      <w:r w:rsidRPr="000977F7">
        <w:rPr>
          <w:rFonts w:asciiTheme="majorHAnsi" w:hAnsiTheme="majorHAnsi"/>
          <w:spacing w:val="-47"/>
          <w:sz w:val="20"/>
          <w:szCs w:val="20"/>
        </w:rPr>
        <w:t xml:space="preserve"> </w:t>
      </w:r>
      <w:r w:rsidRPr="000977F7">
        <w:rPr>
          <w:rFonts w:asciiTheme="majorHAnsi" w:hAnsiTheme="majorHAnsi"/>
          <w:sz w:val="20"/>
          <w:szCs w:val="20"/>
        </w:rPr>
        <w:t>через</w:t>
      </w:r>
      <w:r w:rsidRPr="000977F7">
        <w:rPr>
          <w:rFonts w:asciiTheme="majorHAnsi" w:hAnsiTheme="majorHAnsi"/>
          <w:spacing w:val="-1"/>
          <w:sz w:val="20"/>
          <w:szCs w:val="20"/>
        </w:rPr>
        <w:t xml:space="preserve"> </w:t>
      </w:r>
      <w:r w:rsidRPr="000977F7">
        <w:rPr>
          <w:rFonts w:asciiTheme="majorHAnsi" w:hAnsiTheme="majorHAnsi"/>
          <w:sz w:val="20"/>
          <w:szCs w:val="20"/>
        </w:rPr>
        <w:t>середини найкоротших</w:t>
      </w:r>
      <w:r w:rsidRPr="000977F7">
        <w:rPr>
          <w:rFonts w:asciiTheme="majorHAnsi" w:hAnsiTheme="majorHAnsi"/>
          <w:spacing w:val="-1"/>
          <w:sz w:val="20"/>
          <w:szCs w:val="20"/>
        </w:rPr>
        <w:t xml:space="preserve"> </w:t>
      </w:r>
      <w:r w:rsidRPr="000977F7">
        <w:rPr>
          <w:rFonts w:asciiTheme="majorHAnsi" w:hAnsiTheme="majorHAnsi"/>
          <w:sz w:val="20"/>
          <w:szCs w:val="20"/>
        </w:rPr>
        <w:t>позначок</w:t>
      </w:r>
      <w:r w:rsidRPr="000977F7">
        <w:rPr>
          <w:rFonts w:asciiTheme="majorHAnsi" w:hAnsiTheme="majorHAnsi"/>
          <w:spacing w:val="-2"/>
          <w:sz w:val="20"/>
          <w:szCs w:val="20"/>
        </w:rPr>
        <w:t xml:space="preserve"> </w:t>
      </w:r>
      <w:r w:rsidRPr="000977F7">
        <w:rPr>
          <w:rFonts w:asciiTheme="majorHAnsi" w:hAnsiTheme="majorHAnsi"/>
          <w:sz w:val="20"/>
          <w:szCs w:val="20"/>
        </w:rPr>
        <w:t>шкали</w:t>
      </w:r>
    </w:p>
    <w:p w14:paraId="785DB342"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3DB2E41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ДОВЖИНА</w:t>
      </w:r>
      <w:r w:rsidRPr="000977F7">
        <w:rPr>
          <w:color w:val="auto"/>
          <w:spacing w:val="-3"/>
          <w:sz w:val="20"/>
          <w:szCs w:val="20"/>
        </w:rPr>
        <w:t xml:space="preserve"> </w:t>
      </w:r>
      <w:r w:rsidRPr="000977F7">
        <w:rPr>
          <w:color w:val="auto"/>
          <w:sz w:val="20"/>
          <w:szCs w:val="20"/>
        </w:rPr>
        <w:t>СЕРІЇ</w:t>
      </w:r>
      <w:r w:rsidRPr="000977F7">
        <w:rPr>
          <w:color w:val="auto"/>
          <w:spacing w:val="-4"/>
          <w:sz w:val="20"/>
          <w:szCs w:val="20"/>
        </w:rPr>
        <w:t xml:space="preserve"> </w:t>
      </w:r>
      <w:r w:rsidRPr="000977F7">
        <w:rPr>
          <w:color w:val="auto"/>
          <w:sz w:val="20"/>
          <w:szCs w:val="20"/>
        </w:rPr>
        <w:t>ВИБІРОК</w:t>
      </w:r>
      <w:r w:rsidRPr="000977F7">
        <w:rPr>
          <w:color w:val="auto"/>
          <w:spacing w:val="-1"/>
          <w:sz w:val="20"/>
          <w:szCs w:val="20"/>
        </w:rPr>
        <w:t xml:space="preserve"> </w:t>
      </w:r>
      <w:r w:rsidRPr="000977F7">
        <w:rPr>
          <w:color w:val="auto"/>
          <w:sz w:val="20"/>
          <w:szCs w:val="20"/>
        </w:rPr>
        <w:t>–</w:t>
      </w:r>
    </w:p>
    <w:p w14:paraId="12E401A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SAMPLE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RUN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LENGTH</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5020DE6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Кількість вибірок між налагодженнями</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 процесу за незмінного розподілу ймовірностей контрольованого параметра</w:t>
      </w:r>
    </w:p>
    <w:p w14:paraId="1800003D"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3514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97</w:t>
      </w:r>
    </w:p>
    <w:p w14:paraId="5315E53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ДОВЖИНА</w:t>
      </w:r>
      <w:r w:rsidRPr="000977F7">
        <w:rPr>
          <w:color w:val="auto"/>
          <w:spacing w:val="-4"/>
          <w:sz w:val="20"/>
          <w:szCs w:val="20"/>
        </w:rPr>
        <w:t xml:space="preserve"> </w:t>
      </w:r>
      <w:r w:rsidRPr="000977F7">
        <w:rPr>
          <w:color w:val="auto"/>
          <w:sz w:val="20"/>
          <w:szCs w:val="20"/>
        </w:rPr>
        <w:t>ШКАЛИ</w:t>
      </w:r>
      <w:r w:rsidRPr="000977F7">
        <w:rPr>
          <w:color w:val="auto"/>
          <w:spacing w:val="-1"/>
          <w:sz w:val="20"/>
          <w:szCs w:val="20"/>
        </w:rPr>
        <w:t xml:space="preserve"> </w:t>
      </w:r>
      <w:r w:rsidRPr="000977F7">
        <w:rPr>
          <w:color w:val="auto"/>
          <w:sz w:val="20"/>
          <w:szCs w:val="20"/>
        </w:rPr>
        <w:t>–</w:t>
      </w:r>
    </w:p>
    <w:p w14:paraId="0A06A27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SCALE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LENGTH –</w:t>
      </w:r>
    </w:p>
    <w:p w14:paraId="3B94111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Довжина лінії, що проходить через середини всіх найкоротших позначок шкали і обмежена початковою та</w:t>
      </w:r>
      <w:r w:rsidRPr="000977F7">
        <w:rPr>
          <w:rFonts w:asciiTheme="majorHAnsi" w:hAnsiTheme="majorHAnsi"/>
          <w:spacing w:val="1"/>
          <w:sz w:val="20"/>
          <w:szCs w:val="20"/>
        </w:rPr>
        <w:t xml:space="preserve"> </w:t>
      </w:r>
      <w:r w:rsidRPr="000977F7">
        <w:rPr>
          <w:rFonts w:asciiTheme="majorHAnsi" w:hAnsiTheme="majorHAnsi"/>
          <w:sz w:val="20"/>
          <w:szCs w:val="20"/>
        </w:rPr>
        <w:t>кінцевою</w:t>
      </w:r>
      <w:r w:rsidRPr="000977F7">
        <w:rPr>
          <w:rFonts w:asciiTheme="majorHAnsi" w:hAnsiTheme="majorHAnsi"/>
          <w:spacing w:val="1"/>
          <w:sz w:val="20"/>
          <w:szCs w:val="20"/>
        </w:rPr>
        <w:t xml:space="preserve"> </w:t>
      </w:r>
      <w:r w:rsidRPr="000977F7">
        <w:rPr>
          <w:rFonts w:asciiTheme="majorHAnsi" w:hAnsiTheme="majorHAnsi"/>
          <w:sz w:val="20"/>
          <w:szCs w:val="20"/>
        </w:rPr>
        <w:t>позначками</w:t>
      </w:r>
    </w:p>
    <w:p w14:paraId="3A5F7E7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C84358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ДОВІРЧА</w:t>
      </w:r>
      <w:r w:rsidRPr="000977F7">
        <w:rPr>
          <w:color w:val="auto"/>
          <w:spacing w:val="-4"/>
          <w:sz w:val="20"/>
          <w:szCs w:val="20"/>
        </w:rPr>
        <w:t xml:space="preserve"> </w:t>
      </w:r>
      <w:r w:rsidRPr="000977F7">
        <w:rPr>
          <w:color w:val="auto"/>
          <w:sz w:val="20"/>
          <w:szCs w:val="20"/>
        </w:rPr>
        <w:t>ІМОВІРНІСТЬ</w:t>
      </w:r>
      <w:r w:rsidRPr="000977F7">
        <w:rPr>
          <w:color w:val="auto"/>
          <w:spacing w:val="-1"/>
          <w:sz w:val="20"/>
          <w:szCs w:val="20"/>
        </w:rPr>
        <w:t xml:space="preserve"> </w:t>
      </w:r>
      <w:r w:rsidRPr="000977F7">
        <w:rPr>
          <w:color w:val="auto"/>
          <w:sz w:val="20"/>
          <w:szCs w:val="20"/>
        </w:rPr>
        <w:t>–</w:t>
      </w:r>
    </w:p>
    <w:p w14:paraId="770798F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Імовірність того, що довірчий інтервал накриє дійсні</w:t>
      </w:r>
      <w:r w:rsidRPr="000977F7">
        <w:rPr>
          <w:rFonts w:asciiTheme="majorHAnsi" w:hAnsiTheme="majorHAnsi"/>
          <w:spacing w:val="1"/>
          <w:sz w:val="20"/>
          <w:szCs w:val="20"/>
        </w:rPr>
        <w:t xml:space="preserve"> </w:t>
      </w:r>
      <w:r w:rsidRPr="000977F7">
        <w:rPr>
          <w:rFonts w:asciiTheme="majorHAnsi" w:hAnsiTheme="majorHAnsi"/>
          <w:sz w:val="20"/>
          <w:szCs w:val="20"/>
        </w:rPr>
        <w:t>значення параметра, оцінюваного на підставі вибіркових</w:t>
      </w:r>
      <w:r w:rsidRPr="000977F7">
        <w:rPr>
          <w:rFonts w:asciiTheme="majorHAnsi" w:hAnsiTheme="majorHAnsi"/>
          <w:spacing w:val="-2"/>
          <w:sz w:val="20"/>
          <w:szCs w:val="20"/>
        </w:rPr>
        <w:t xml:space="preserve"> </w:t>
      </w:r>
      <w:r w:rsidRPr="000977F7">
        <w:rPr>
          <w:rFonts w:asciiTheme="majorHAnsi" w:hAnsiTheme="majorHAnsi"/>
          <w:sz w:val="20"/>
          <w:szCs w:val="20"/>
        </w:rPr>
        <w:t>даних</w:t>
      </w:r>
    </w:p>
    <w:p w14:paraId="7984633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66DE4D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Імовірність того, що не менш, як доля Р генеральної</w:t>
      </w:r>
      <w:r w:rsidRPr="000977F7">
        <w:rPr>
          <w:rFonts w:asciiTheme="majorHAnsi" w:hAnsiTheme="majorHAnsi"/>
          <w:spacing w:val="1"/>
          <w:sz w:val="20"/>
          <w:szCs w:val="20"/>
        </w:rPr>
        <w:t xml:space="preserve"> </w:t>
      </w:r>
      <w:r w:rsidRPr="000977F7">
        <w:rPr>
          <w:rFonts w:asciiTheme="majorHAnsi" w:hAnsiTheme="majorHAnsi"/>
          <w:sz w:val="20"/>
          <w:szCs w:val="20"/>
        </w:rPr>
        <w:t>сукупності усіх значень параметру Х буде знаходитись</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відрізку,</w:t>
      </w:r>
      <w:r w:rsidRPr="000977F7">
        <w:rPr>
          <w:rFonts w:asciiTheme="majorHAnsi" w:hAnsiTheme="majorHAnsi"/>
          <w:spacing w:val="1"/>
          <w:sz w:val="20"/>
          <w:szCs w:val="20"/>
        </w:rPr>
        <w:t xml:space="preserve"> </w:t>
      </w:r>
      <w:r w:rsidRPr="000977F7">
        <w:rPr>
          <w:rFonts w:asciiTheme="majorHAnsi" w:hAnsiTheme="majorHAnsi"/>
          <w:sz w:val="20"/>
          <w:szCs w:val="20"/>
        </w:rPr>
        <w:t>обмеженому</w:t>
      </w:r>
      <w:r w:rsidRPr="000977F7">
        <w:rPr>
          <w:rFonts w:asciiTheme="majorHAnsi" w:hAnsiTheme="majorHAnsi"/>
          <w:spacing w:val="1"/>
          <w:sz w:val="20"/>
          <w:szCs w:val="20"/>
        </w:rPr>
        <w:t xml:space="preserve"> </w:t>
      </w:r>
      <w:r w:rsidRPr="000977F7">
        <w:rPr>
          <w:rFonts w:asciiTheme="majorHAnsi" w:hAnsiTheme="majorHAnsi"/>
          <w:sz w:val="20"/>
          <w:szCs w:val="20"/>
        </w:rPr>
        <w:t>значеннями</w:t>
      </w:r>
      <w:r w:rsidRPr="000977F7">
        <w:rPr>
          <w:rFonts w:asciiTheme="majorHAnsi" w:hAnsiTheme="majorHAnsi"/>
          <w:spacing w:val="1"/>
          <w:sz w:val="20"/>
          <w:szCs w:val="20"/>
        </w:rPr>
        <w:t xml:space="preserve"> </w:t>
      </w:r>
      <w:r w:rsidRPr="000977F7">
        <w:rPr>
          <w:rFonts w:asciiTheme="majorHAnsi" w:hAnsiTheme="majorHAnsi"/>
          <w:sz w:val="20"/>
          <w:szCs w:val="20"/>
        </w:rPr>
        <w:t>Х</w:t>
      </w:r>
      <w:r w:rsidRPr="000977F7">
        <w:rPr>
          <w:rFonts w:asciiTheme="majorHAnsi" w:hAnsiTheme="majorHAnsi"/>
          <w:sz w:val="20"/>
          <w:szCs w:val="20"/>
          <w:vertAlign w:val="subscript"/>
        </w:rPr>
        <w:t>1</w:t>
      </w:r>
      <w:r w:rsidRPr="000977F7">
        <w:rPr>
          <w:rFonts w:asciiTheme="majorHAnsi" w:hAnsiTheme="majorHAnsi"/>
          <w:sz w:val="20"/>
          <w:szCs w:val="20"/>
        </w:rPr>
        <w:t>,Х</w:t>
      </w:r>
      <w:r w:rsidRPr="000977F7">
        <w:rPr>
          <w:rFonts w:asciiTheme="majorHAnsi" w:hAnsiTheme="majorHAnsi"/>
          <w:sz w:val="20"/>
          <w:szCs w:val="20"/>
          <w:vertAlign w:val="subscript"/>
        </w:rPr>
        <w:t>2</w:t>
      </w:r>
      <w:r w:rsidRPr="000977F7">
        <w:rPr>
          <w:rFonts w:asciiTheme="majorHAnsi" w:hAnsiTheme="majorHAnsi"/>
          <w:spacing w:val="1"/>
          <w:sz w:val="20"/>
          <w:szCs w:val="20"/>
        </w:rPr>
        <w:t xml:space="preserve"> </w:t>
      </w:r>
      <w:r w:rsidRPr="000977F7">
        <w:rPr>
          <w:rFonts w:asciiTheme="majorHAnsi" w:hAnsiTheme="majorHAnsi"/>
          <w:sz w:val="20"/>
          <w:szCs w:val="20"/>
        </w:rPr>
        <w:t>(Х</w:t>
      </w:r>
      <w:r w:rsidRPr="000977F7">
        <w:rPr>
          <w:rFonts w:asciiTheme="majorHAnsi" w:hAnsiTheme="majorHAnsi"/>
          <w:sz w:val="20"/>
          <w:szCs w:val="20"/>
          <w:vertAlign w:val="subscript"/>
        </w:rPr>
        <w:t>1</w:t>
      </w:r>
      <w:r w:rsidRPr="000977F7">
        <w:rPr>
          <w:rFonts w:asciiTheme="majorHAnsi" w:hAnsiTheme="majorHAnsi"/>
          <w:sz w:val="20"/>
          <w:szCs w:val="20"/>
        </w:rPr>
        <w:t>&lt;Х</w:t>
      </w:r>
      <w:r w:rsidRPr="000977F7">
        <w:rPr>
          <w:rFonts w:asciiTheme="majorHAnsi" w:hAnsiTheme="majorHAnsi"/>
          <w:sz w:val="20"/>
          <w:szCs w:val="20"/>
          <w:vertAlign w:val="subscript"/>
        </w:rPr>
        <w:t>2</w:t>
      </w:r>
      <w:r w:rsidRPr="000977F7">
        <w:rPr>
          <w:rFonts w:asciiTheme="majorHAnsi" w:hAnsiTheme="majorHAnsi"/>
          <w:sz w:val="20"/>
          <w:szCs w:val="20"/>
        </w:rPr>
        <w:t>)</w:t>
      </w:r>
    </w:p>
    <w:p w14:paraId="795BAD2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2634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D0F934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ДОВІРЧИЙ</w:t>
      </w:r>
      <w:r w:rsidRPr="000977F7">
        <w:rPr>
          <w:color w:val="auto"/>
          <w:spacing w:val="-3"/>
          <w:sz w:val="20"/>
          <w:szCs w:val="20"/>
        </w:rPr>
        <w:t xml:space="preserve"> </w:t>
      </w:r>
      <w:r w:rsidRPr="000977F7">
        <w:rPr>
          <w:color w:val="auto"/>
          <w:sz w:val="20"/>
          <w:szCs w:val="20"/>
        </w:rPr>
        <w:t>ІНТЕРВАЛ –</w:t>
      </w:r>
    </w:p>
    <w:p w14:paraId="6991F5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Інтервал,</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заданою</w:t>
      </w:r>
      <w:r w:rsidRPr="000977F7">
        <w:rPr>
          <w:rFonts w:asciiTheme="majorHAnsi" w:hAnsiTheme="majorHAnsi"/>
          <w:spacing w:val="1"/>
          <w:sz w:val="20"/>
          <w:szCs w:val="20"/>
        </w:rPr>
        <w:t xml:space="preserve"> </w:t>
      </w:r>
      <w:r w:rsidRPr="000977F7">
        <w:rPr>
          <w:rFonts w:asciiTheme="majorHAnsi" w:hAnsiTheme="majorHAnsi"/>
          <w:sz w:val="20"/>
          <w:szCs w:val="20"/>
        </w:rPr>
        <w:t>імовірністю</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вийде</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границі невідомого значення оцінюваного параметра</w:t>
      </w:r>
      <w:r w:rsidRPr="000977F7">
        <w:rPr>
          <w:rFonts w:asciiTheme="majorHAnsi" w:hAnsiTheme="majorHAnsi"/>
          <w:spacing w:val="1"/>
          <w:sz w:val="20"/>
          <w:szCs w:val="20"/>
        </w:rPr>
        <w:t xml:space="preserve"> </w:t>
      </w:r>
      <w:r w:rsidRPr="000977F7">
        <w:rPr>
          <w:rFonts w:asciiTheme="majorHAnsi" w:hAnsiTheme="majorHAnsi"/>
          <w:sz w:val="20"/>
          <w:szCs w:val="20"/>
        </w:rPr>
        <w:t>розподілу</w:t>
      </w:r>
    </w:p>
    <w:p w14:paraId="1F80CF8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2BA7519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ДОВІРЧІ</w:t>
      </w:r>
      <w:r w:rsidRPr="000977F7">
        <w:rPr>
          <w:color w:val="auto"/>
          <w:spacing w:val="-8"/>
          <w:sz w:val="20"/>
          <w:szCs w:val="20"/>
        </w:rPr>
        <w:t xml:space="preserve"> </w:t>
      </w:r>
      <w:r w:rsidRPr="000977F7">
        <w:rPr>
          <w:color w:val="auto"/>
          <w:sz w:val="20"/>
          <w:szCs w:val="20"/>
        </w:rPr>
        <w:t>ГРАНИЦІ</w:t>
      </w:r>
      <w:r w:rsidRPr="000977F7">
        <w:rPr>
          <w:color w:val="auto"/>
          <w:spacing w:val="-8"/>
          <w:sz w:val="20"/>
          <w:szCs w:val="20"/>
        </w:rPr>
        <w:t xml:space="preserve"> </w:t>
      </w:r>
      <w:r w:rsidRPr="000977F7">
        <w:rPr>
          <w:color w:val="auto"/>
          <w:sz w:val="20"/>
          <w:szCs w:val="20"/>
        </w:rPr>
        <w:t>ПОХИБКИ</w:t>
      </w:r>
      <w:r w:rsidRPr="000977F7">
        <w:rPr>
          <w:color w:val="auto"/>
          <w:spacing w:val="-7"/>
          <w:sz w:val="20"/>
          <w:szCs w:val="20"/>
        </w:rPr>
        <w:t xml:space="preserve"> </w:t>
      </w:r>
      <w:r w:rsidRPr="000977F7">
        <w:rPr>
          <w:color w:val="auto"/>
          <w:sz w:val="20"/>
          <w:szCs w:val="20"/>
        </w:rPr>
        <w:t>РЕЗУЛЬТАТУ</w:t>
      </w:r>
      <w:r w:rsidRPr="000977F7">
        <w:rPr>
          <w:color w:val="auto"/>
          <w:spacing w:val="-47"/>
          <w:sz w:val="20"/>
          <w:szCs w:val="20"/>
        </w:rPr>
        <w:t xml:space="preserve"> </w:t>
      </w:r>
      <w:r w:rsidRPr="000977F7">
        <w:rPr>
          <w:color w:val="auto"/>
          <w:sz w:val="20"/>
          <w:szCs w:val="20"/>
        </w:rPr>
        <w:t>ВИМІРЮВАННЯ –</w:t>
      </w:r>
    </w:p>
    <w:p w14:paraId="4CF1702F" w14:textId="77777777" w:rsidR="0097612F" w:rsidRPr="004D2D14" w:rsidRDefault="0097612F" w:rsidP="000977F7">
      <w:pPr>
        <w:pStyle w:val="af6"/>
        <w:tabs>
          <w:tab w:val="left" w:pos="284"/>
          <w:tab w:val="left" w:pos="1790"/>
          <w:tab w:val="left" w:pos="2662"/>
          <w:tab w:val="left" w:pos="3125"/>
          <w:tab w:val="left" w:pos="3473"/>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 xml:space="preserve">CONFIDENCE ERROR OF </w:t>
      </w:r>
      <w:r w:rsidRPr="004D2D14">
        <w:rPr>
          <w:rFonts w:asciiTheme="majorHAnsi" w:hAnsiTheme="majorHAnsi"/>
          <w:sz w:val="20"/>
          <w:szCs w:val="20"/>
          <w:lang w:val="en-US"/>
        </w:rPr>
        <w:tab/>
      </w:r>
      <w:r w:rsidRPr="004D2D14">
        <w:rPr>
          <w:rFonts w:asciiTheme="majorHAnsi" w:hAnsiTheme="majorHAnsi"/>
          <w:spacing w:val="-1"/>
          <w:sz w:val="20"/>
          <w:szCs w:val="20"/>
          <w:lang w:val="en-US"/>
        </w:rPr>
        <w:t xml:space="preserve">MEASUREMENT </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RESULT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 xml:space="preserve">– </w:t>
      </w:r>
    </w:p>
    <w:p w14:paraId="6569979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Верхня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та</w:t>
      </w:r>
      <w:r w:rsidRPr="004D2D14">
        <w:rPr>
          <w:rFonts w:asciiTheme="majorHAnsi" w:hAnsiTheme="majorHAnsi"/>
          <w:spacing w:val="1"/>
          <w:sz w:val="20"/>
          <w:szCs w:val="20"/>
          <w:lang w:val="en-US"/>
        </w:rPr>
        <w:t xml:space="preserve"> </w:t>
      </w:r>
      <w:r w:rsidRPr="000977F7">
        <w:rPr>
          <w:rFonts w:asciiTheme="majorHAnsi" w:hAnsiTheme="majorHAnsi"/>
          <w:sz w:val="20"/>
          <w:szCs w:val="20"/>
        </w:rPr>
        <w:t>нижня</w:t>
      </w:r>
      <w:r w:rsidRPr="004D2D14">
        <w:rPr>
          <w:rFonts w:asciiTheme="majorHAnsi" w:hAnsiTheme="majorHAnsi"/>
          <w:sz w:val="20"/>
          <w:szCs w:val="20"/>
          <w:lang w:val="en-US"/>
        </w:rPr>
        <w:t xml:space="preserve"> </w:t>
      </w:r>
      <w:r w:rsidRPr="000977F7">
        <w:rPr>
          <w:rFonts w:asciiTheme="majorHAnsi" w:hAnsiTheme="majorHAnsi"/>
          <w:sz w:val="20"/>
          <w:szCs w:val="20"/>
        </w:rPr>
        <w:t>границі</w:t>
      </w:r>
      <w:r w:rsidRPr="004D2D14">
        <w:rPr>
          <w:rFonts w:asciiTheme="majorHAnsi" w:hAnsiTheme="majorHAnsi"/>
          <w:spacing w:val="1"/>
          <w:sz w:val="20"/>
          <w:szCs w:val="20"/>
          <w:lang w:val="en-US"/>
        </w:rPr>
        <w:t xml:space="preserve"> </w:t>
      </w:r>
      <w:r w:rsidRPr="000977F7">
        <w:rPr>
          <w:rFonts w:asciiTheme="majorHAnsi" w:hAnsiTheme="majorHAnsi"/>
          <w:sz w:val="20"/>
          <w:szCs w:val="20"/>
        </w:rPr>
        <w:t>інтервалу</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що</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накриває</w:t>
      </w:r>
      <w:r w:rsidRPr="004D2D14">
        <w:rPr>
          <w:rFonts w:asciiTheme="majorHAnsi" w:hAnsiTheme="majorHAnsi"/>
          <w:spacing w:val="1"/>
          <w:sz w:val="20"/>
          <w:szCs w:val="20"/>
          <w:lang w:val="en-US"/>
        </w:rPr>
        <w:t xml:space="preserve"> </w:t>
      </w:r>
      <w:r w:rsidRPr="000977F7">
        <w:rPr>
          <w:rFonts w:asciiTheme="majorHAnsi" w:hAnsiTheme="majorHAnsi"/>
          <w:sz w:val="20"/>
          <w:szCs w:val="20"/>
        </w:rPr>
        <w:t>з</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заданою</w:t>
      </w:r>
      <w:r w:rsidRPr="004D2D14">
        <w:rPr>
          <w:rFonts w:asciiTheme="majorHAnsi" w:hAnsiTheme="majorHAnsi"/>
          <w:spacing w:val="-1"/>
          <w:sz w:val="20"/>
          <w:szCs w:val="20"/>
          <w:lang w:val="en-US"/>
        </w:rPr>
        <w:t xml:space="preserve"> </w:t>
      </w:r>
      <w:r w:rsidRPr="000977F7">
        <w:rPr>
          <w:rFonts w:asciiTheme="majorHAnsi" w:hAnsiTheme="majorHAnsi"/>
          <w:sz w:val="20"/>
          <w:szCs w:val="20"/>
        </w:rPr>
        <w:t>імовірністю</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похибку</w:t>
      </w:r>
      <w:r w:rsidRPr="004D2D14">
        <w:rPr>
          <w:rFonts w:asciiTheme="majorHAnsi" w:hAnsiTheme="majorHAnsi"/>
          <w:spacing w:val="-2"/>
          <w:sz w:val="20"/>
          <w:szCs w:val="20"/>
          <w:lang w:val="en-US"/>
        </w:rPr>
        <w:t xml:space="preserve"> </w:t>
      </w:r>
      <w:r w:rsidRPr="000977F7">
        <w:rPr>
          <w:rFonts w:asciiTheme="majorHAnsi" w:hAnsiTheme="majorHAnsi"/>
          <w:sz w:val="20"/>
          <w:szCs w:val="20"/>
        </w:rPr>
        <w:t>вимірювання</w:t>
      </w:r>
    </w:p>
    <w:p w14:paraId="1EEA220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17281EA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Межі</w:t>
      </w:r>
      <w:r w:rsidRPr="004D2D14">
        <w:rPr>
          <w:rFonts w:asciiTheme="majorHAnsi" w:hAnsiTheme="majorHAnsi"/>
          <w:sz w:val="20"/>
          <w:szCs w:val="20"/>
          <w:lang w:val="en-US"/>
        </w:rPr>
        <w:t xml:space="preserve"> </w:t>
      </w:r>
      <w:r w:rsidRPr="000977F7">
        <w:rPr>
          <w:rFonts w:asciiTheme="majorHAnsi" w:hAnsiTheme="majorHAnsi"/>
          <w:sz w:val="20"/>
          <w:szCs w:val="20"/>
        </w:rPr>
        <w:t>зміни</w:t>
      </w:r>
      <w:r w:rsidRPr="004D2D14">
        <w:rPr>
          <w:rFonts w:asciiTheme="majorHAnsi" w:hAnsiTheme="majorHAnsi"/>
          <w:sz w:val="20"/>
          <w:szCs w:val="20"/>
          <w:lang w:val="en-US"/>
        </w:rPr>
        <w:t xml:space="preserve"> </w:t>
      </w:r>
      <w:r w:rsidRPr="000977F7">
        <w:rPr>
          <w:rFonts w:asciiTheme="majorHAnsi" w:hAnsiTheme="majorHAnsi"/>
          <w:sz w:val="20"/>
          <w:szCs w:val="20"/>
        </w:rPr>
        <w:t>випадкових</w:t>
      </w:r>
      <w:r w:rsidRPr="004D2D14">
        <w:rPr>
          <w:rFonts w:asciiTheme="majorHAnsi" w:hAnsiTheme="majorHAnsi"/>
          <w:sz w:val="20"/>
          <w:szCs w:val="20"/>
          <w:lang w:val="en-US"/>
        </w:rPr>
        <w:t xml:space="preserve"> </w:t>
      </w:r>
      <w:r w:rsidRPr="000977F7">
        <w:rPr>
          <w:rFonts w:asciiTheme="majorHAnsi" w:hAnsiTheme="majorHAnsi"/>
          <w:sz w:val="20"/>
          <w:szCs w:val="20"/>
        </w:rPr>
        <w:t>величин</w:t>
      </w:r>
      <w:r w:rsidRPr="004D2D14">
        <w:rPr>
          <w:rFonts w:asciiTheme="majorHAnsi" w:hAnsiTheme="majorHAnsi"/>
          <w:sz w:val="20"/>
          <w:szCs w:val="20"/>
          <w:lang w:val="en-US"/>
        </w:rPr>
        <w:t xml:space="preserve">, </w:t>
      </w:r>
      <w:r w:rsidRPr="000977F7">
        <w:rPr>
          <w:rFonts w:asciiTheme="majorHAnsi" w:hAnsiTheme="majorHAnsi"/>
          <w:sz w:val="20"/>
          <w:szCs w:val="20"/>
        </w:rPr>
        <w:t>наприклад</w:t>
      </w:r>
      <w:r w:rsidRPr="004D2D14">
        <w:rPr>
          <w:rFonts w:asciiTheme="majorHAnsi" w:hAnsiTheme="majorHAnsi"/>
          <w:sz w:val="20"/>
          <w:szCs w:val="20"/>
          <w:lang w:val="en-US"/>
        </w:rPr>
        <w:t xml:space="preserve">, </w:t>
      </w:r>
      <w:r w:rsidRPr="000977F7">
        <w:rPr>
          <w:rFonts w:asciiTheme="majorHAnsi" w:hAnsiTheme="majorHAnsi"/>
          <w:sz w:val="20"/>
          <w:szCs w:val="20"/>
        </w:rPr>
        <w:t>середніх</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r w:rsidRPr="000977F7">
        <w:rPr>
          <w:rFonts w:asciiTheme="majorHAnsi" w:hAnsiTheme="majorHAnsi"/>
          <w:sz w:val="20"/>
          <w:szCs w:val="20"/>
        </w:rPr>
        <w:t>вихід</w:t>
      </w:r>
      <w:r w:rsidRPr="004D2D14">
        <w:rPr>
          <w:rFonts w:asciiTheme="majorHAnsi" w:hAnsiTheme="majorHAnsi"/>
          <w:sz w:val="20"/>
          <w:szCs w:val="20"/>
          <w:lang w:val="en-US"/>
        </w:rPr>
        <w:t xml:space="preserve"> </w:t>
      </w:r>
      <w:r w:rsidRPr="000977F7">
        <w:rPr>
          <w:rFonts w:asciiTheme="majorHAnsi" w:hAnsiTheme="majorHAnsi"/>
          <w:sz w:val="20"/>
          <w:szCs w:val="20"/>
        </w:rPr>
        <w:t>за</w:t>
      </w:r>
      <w:r w:rsidRPr="004D2D14">
        <w:rPr>
          <w:rFonts w:asciiTheme="majorHAnsi" w:hAnsiTheme="majorHAnsi"/>
          <w:sz w:val="20"/>
          <w:szCs w:val="20"/>
          <w:lang w:val="en-US"/>
        </w:rPr>
        <w:t xml:space="preserve"> </w:t>
      </w:r>
      <w:r w:rsidRPr="000977F7">
        <w:rPr>
          <w:rFonts w:asciiTheme="majorHAnsi" w:hAnsiTheme="majorHAnsi"/>
          <w:sz w:val="20"/>
          <w:szCs w:val="20"/>
        </w:rPr>
        <w:t>які</w:t>
      </w:r>
      <w:r w:rsidRPr="004D2D14">
        <w:rPr>
          <w:rFonts w:asciiTheme="majorHAnsi" w:hAnsiTheme="majorHAnsi"/>
          <w:sz w:val="20"/>
          <w:szCs w:val="20"/>
          <w:lang w:val="en-US"/>
        </w:rPr>
        <w:t xml:space="preserve"> </w:t>
      </w:r>
      <w:r w:rsidRPr="000977F7">
        <w:rPr>
          <w:rFonts w:asciiTheme="majorHAnsi" w:hAnsiTheme="majorHAnsi"/>
          <w:sz w:val="20"/>
          <w:szCs w:val="20"/>
        </w:rPr>
        <w:t>має</w:t>
      </w:r>
      <w:r w:rsidRPr="004D2D14">
        <w:rPr>
          <w:rFonts w:asciiTheme="majorHAnsi" w:hAnsiTheme="majorHAnsi"/>
          <w:sz w:val="20"/>
          <w:szCs w:val="20"/>
          <w:lang w:val="en-US"/>
        </w:rPr>
        <w:t xml:space="preserve"> </w:t>
      </w:r>
      <w:r w:rsidRPr="000977F7">
        <w:rPr>
          <w:rFonts w:asciiTheme="majorHAnsi" w:hAnsiTheme="majorHAnsi"/>
          <w:sz w:val="20"/>
          <w:szCs w:val="20"/>
        </w:rPr>
        <w:t>незначну</w:t>
      </w:r>
      <w:r w:rsidRPr="004D2D14">
        <w:rPr>
          <w:rFonts w:asciiTheme="majorHAnsi" w:hAnsiTheme="majorHAnsi"/>
          <w:sz w:val="20"/>
          <w:szCs w:val="20"/>
          <w:lang w:val="en-US"/>
        </w:rPr>
        <w:t xml:space="preserve"> </w:t>
      </w:r>
      <w:r w:rsidRPr="000977F7">
        <w:rPr>
          <w:rFonts w:asciiTheme="majorHAnsi" w:hAnsiTheme="majorHAnsi"/>
          <w:sz w:val="20"/>
          <w:szCs w:val="20"/>
        </w:rPr>
        <w:t>ймовірність</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визначається</w:t>
      </w:r>
      <w:r w:rsidRPr="004D2D14">
        <w:rPr>
          <w:rFonts w:asciiTheme="majorHAnsi" w:hAnsiTheme="majorHAnsi"/>
          <w:spacing w:val="-2"/>
          <w:sz w:val="20"/>
          <w:szCs w:val="20"/>
          <w:lang w:val="en-US"/>
        </w:rPr>
        <w:t xml:space="preserve"> </w:t>
      </w:r>
      <w:r w:rsidRPr="000977F7">
        <w:rPr>
          <w:rFonts w:asciiTheme="majorHAnsi" w:hAnsiTheme="majorHAnsi"/>
          <w:sz w:val="20"/>
          <w:szCs w:val="20"/>
        </w:rPr>
        <w:t>рівнем</w:t>
      </w:r>
      <w:r w:rsidRPr="004D2D14">
        <w:rPr>
          <w:rFonts w:asciiTheme="majorHAnsi" w:hAnsiTheme="majorHAnsi"/>
          <w:spacing w:val="1"/>
          <w:sz w:val="20"/>
          <w:szCs w:val="20"/>
          <w:lang w:val="en-US"/>
        </w:rPr>
        <w:t xml:space="preserve"> </w:t>
      </w:r>
      <w:r w:rsidRPr="000977F7">
        <w:rPr>
          <w:rFonts w:asciiTheme="majorHAnsi" w:hAnsiTheme="majorHAnsi"/>
          <w:sz w:val="20"/>
          <w:szCs w:val="20"/>
        </w:rPr>
        <w:t>значущості</w:t>
      </w:r>
    </w:p>
    <w:p w14:paraId="792D3B7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3038</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574F510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ДОВІЧНЕ</w:t>
      </w:r>
      <w:r w:rsidRPr="000977F7">
        <w:rPr>
          <w:color w:val="auto"/>
          <w:spacing w:val="-3"/>
          <w:sz w:val="20"/>
          <w:szCs w:val="20"/>
        </w:rPr>
        <w:t xml:space="preserve"> </w:t>
      </w:r>
      <w:r w:rsidRPr="000977F7">
        <w:rPr>
          <w:color w:val="auto"/>
          <w:sz w:val="20"/>
          <w:szCs w:val="20"/>
        </w:rPr>
        <w:t>ДІЯННЯ</w:t>
      </w:r>
      <w:r w:rsidRPr="000977F7">
        <w:rPr>
          <w:color w:val="auto"/>
          <w:spacing w:val="-1"/>
          <w:sz w:val="20"/>
          <w:szCs w:val="20"/>
        </w:rPr>
        <w:t xml:space="preserve"> </w:t>
      </w:r>
      <w:r w:rsidRPr="000977F7">
        <w:rPr>
          <w:color w:val="auto"/>
          <w:sz w:val="20"/>
          <w:szCs w:val="20"/>
        </w:rPr>
        <w:t>–</w:t>
      </w:r>
    </w:p>
    <w:p w14:paraId="18E4125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LIFELONG</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EXPOSURE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00A098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Діяння</w:t>
      </w:r>
      <w:r w:rsidRPr="000977F7">
        <w:rPr>
          <w:rFonts w:asciiTheme="majorHAnsi" w:hAnsiTheme="majorHAnsi"/>
          <w:spacing w:val="-4"/>
          <w:sz w:val="20"/>
          <w:szCs w:val="20"/>
        </w:rPr>
        <w:t xml:space="preserve"> </w:t>
      </w:r>
      <w:r w:rsidRPr="000977F7">
        <w:rPr>
          <w:rFonts w:asciiTheme="majorHAnsi" w:hAnsiTheme="majorHAnsi"/>
          <w:sz w:val="20"/>
          <w:szCs w:val="20"/>
        </w:rPr>
        <w:t>речовини</w:t>
      </w:r>
      <w:r w:rsidRPr="000977F7">
        <w:rPr>
          <w:rFonts w:asciiTheme="majorHAnsi" w:hAnsiTheme="majorHAnsi"/>
          <w:spacing w:val="16"/>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організм</w:t>
      </w:r>
      <w:r w:rsidRPr="000977F7">
        <w:rPr>
          <w:rFonts w:asciiTheme="majorHAnsi" w:hAnsiTheme="majorHAnsi"/>
          <w:spacing w:val="-1"/>
          <w:sz w:val="20"/>
          <w:szCs w:val="20"/>
        </w:rPr>
        <w:t xml:space="preserve"> </w:t>
      </w:r>
      <w:r w:rsidRPr="000977F7">
        <w:rPr>
          <w:rFonts w:asciiTheme="majorHAnsi" w:hAnsiTheme="majorHAnsi"/>
          <w:sz w:val="20"/>
          <w:szCs w:val="20"/>
        </w:rPr>
        <w:t>протягом</w:t>
      </w:r>
      <w:r w:rsidRPr="000977F7">
        <w:rPr>
          <w:rFonts w:asciiTheme="majorHAnsi" w:hAnsiTheme="majorHAnsi"/>
          <w:spacing w:val="-2"/>
          <w:sz w:val="20"/>
          <w:szCs w:val="20"/>
        </w:rPr>
        <w:t xml:space="preserve"> </w:t>
      </w:r>
      <w:r w:rsidRPr="000977F7">
        <w:rPr>
          <w:rFonts w:asciiTheme="majorHAnsi" w:hAnsiTheme="majorHAnsi"/>
          <w:sz w:val="20"/>
          <w:szCs w:val="20"/>
        </w:rPr>
        <w:t>усього</w:t>
      </w:r>
      <w:r w:rsidRPr="000977F7">
        <w:rPr>
          <w:rFonts w:asciiTheme="majorHAnsi" w:hAnsiTheme="majorHAnsi"/>
          <w:spacing w:val="-2"/>
          <w:sz w:val="20"/>
          <w:szCs w:val="20"/>
        </w:rPr>
        <w:t xml:space="preserve"> </w:t>
      </w:r>
      <w:r w:rsidRPr="000977F7">
        <w:rPr>
          <w:rFonts w:asciiTheme="majorHAnsi" w:hAnsiTheme="majorHAnsi"/>
          <w:sz w:val="20"/>
          <w:szCs w:val="20"/>
        </w:rPr>
        <w:t>життя</w:t>
      </w:r>
    </w:p>
    <w:p w14:paraId="2C0855B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3038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6CD7C8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ДОВОДЖУВАЛЬНІ</w:t>
      </w:r>
      <w:r w:rsidRPr="000977F7">
        <w:rPr>
          <w:rFonts w:asciiTheme="majorHAnsi" w:hAnsiTheme="majorHAnsi"/>
          <w:b/>
          <w:spacing w:val="1"/>
          <w:sz w:val="20"/>
          <w:szCs w:val="20"/>
        </w:rPr>
        <w:t xml:space="preserve"> </w:t>
      </w:r>
      <w:r w:rsidRPr="000977F7">
        <w:rPr>
          <w:rFonts w:asciiTheme="majorHAnsi" w:hAnsiTheme="majorHAnsi"/>
          <w:b/>
          <w:sz w:val="20"/>
          <w:szCs w:val="20"/>
        </w:rPr>
        <w:t>ВИПРОБУВАННЯ</w:t>
      </w:r>
      <w:r w:rsidRPr="000977F7">
        <w:rPr>
          <w:rFonts w:asciiTheme="majorHAnsi" w:hAnsiTheme="majorHAnsi"/>
          <w:b/>
          <w:spacing w:val="1"/>
          <w:sz w:val="20"/>
          <w:szCs w:val="20"/>
        </w:rPr>
        <w:t xml:space="preserve"> </w:t>
      </w:r>
      <w:r w:rsidRPr="000977F7">
        <w:rPr>
          <w:rFonts w:asciiTheme="majorHAnsi" w:hAnsiTheme="majorHAnsi"/>
          <w:b/>
          <w:sz w:val="20"/>
          <w:szCs w:val="20"/>
        </w:rPr>
        <w:t>(КОНСТРУКТИВНІ ВИПРОБУВАННЯ) –</w:t>
      </w:r>
      <w:r w:rsidRPr="000977F7">
        <w:rPr>
          <w:rFonts w:asciiTheme="majorHAnsi" w:hAnsiTheme="majorHAnsi"/>
          <w:b/>
          <w:spacing w:val="-47"/>
          <w:sz w:val="20"/>
          <w:szCs w:val="20"/>
        </w:rPr>
        <w:t xml:space="preserve"> </w:t>
      </w:r>
      <w:r w:rsidRPr="000977F7">
        <w:rPr>
          <w:rFonts w:asciiTheme="majorHAnsi" w:hAnsiTheme="majorHAnsi"/>
          <w:sz w:val="20"/>
          <w:szCs w:val="20"/>
        </w:rPr>
        <w:t>DEVELOPMENTAL</w:t>
      </w:r>
      <w:r w:rsidRPr="000977F7">
        <w:rPr>
          <w:rFonts w:asciiTheme="majorHAnsi" w:hAnsiTheme="majorHAnsi"/>
          <w:spacing w:val="-2"/>
          <w:sz w:val="20"/>
          <w:szCs w:val="20"/>
        </w:rPr>
        <w:t xml:space="preserve"> </w:t>
      </w:r>
      <w:r w:rsidRPr="000977F7">
        <w:rPr>
          <w:rFonts w:asciiTheme="majorHAnsi" w:hAnsiTheme="majorHAnsi"/>
          <w:sz w:val="20"/>
          <w:szCs w:val="20"/>
        </w:rPr>
        <w:t>TEST-</w:t>
      </w:r>
    </w:p>
    <w:p w14:paraId="242E9EEC"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Дослідні</w:t>
      </w:r>
      <w:r w:rsidRPr="000977F7">
        <w:rPr>
          <w:rFonts w:asciiTheme="majorHAnsi" w:hAnsiTheme="majorHAnsi"/>
          <w:spacing w:val="29"/>
          <w:sz w:val="20"/>
          <w:szCs w:val="20"/>
        </w:rPr>
        <w:t xml:space="preserve"> </w:t>
      </w:r>
      <w:r w:rsidRPr="000977F7">
        <w:rPr>
          <w:rFonts w:asciiTheme="majorHAnsi" w:hAnsiTheme="majorHAnsi"/>
          <w:sz w:val="20"/>
          <w:szCs w:val="20"/>
        </w:rPr>
        <w:t>випробування,</w:t>
      </w:r>
      <w:r w:rsidRPr="000977F7">
        <w:rPr>
          <w:rFonts w:asciiTheme="majorHAnsi" w:hAnsiTheme="majorHAnsi"/>
          <w:spacing w:val="27"/>
          <w:sz w:val="20"/>
          <w:szCs w:val="20"/>
        </w:rPr>
        <w:t xml:space="preserve"> </w:t>
      </w:r>
      <w:r w:rsidRPr="000977F7">
        <w:rPr>
          <w:rFonts w:asciiTheme="majorHAnsi" w:hAnsiTheme="majorHAnsi"/>
          <w:sz w:val="20"/>
          <w:szCs w:val="20"/>
        </w:rPr>
        <w:t>що</w:t>
      </w:r>
      <w:r w:rsidRPr="000977F7">
        <w:rPr>
          <w:rFonts w:asciiTheme="majorHAnsi" w:hAnsiTheme="majorHAnsi"/>
          <w:spacing w:val="32"/>
          <w:sz w:val="20"/>
          <w:szCs w:val="20"/>
        </w:rPr>
        <w:t xml:space="preserve"> </w:t>
      </w:r>
      <w:r w:rsidRPr="000977F7">
        <w:rPr>
          <w:rFonts w:asciiTheme="majorHAnsi" w:hAnsiTheme="majorHAnsi"/>
          <w:sz w:val="20"/>
          <w:szCs w:val="20"/>
        </w:rPr>
        <w:t>проводяться</w:t>
      </w:r>
      <w:r w:rsidRPr="000977F7">
        <w:rPr>
          <w:rFonts w:asciiTheme="majorHAnsi" w:hAnsiTheme="majorHAnsi"/>
          <w:spacing w:val="29"/>
          <w:sz w:val="20"/>
          <w:szCs w:val="20"/>
        </w:rPr>
        <w:t xml:space="preserve"> </w:t>
      </w:r>
      <w:r w:rsidRPr="000977F7">
        <w:rPr>
          <w:rFonts w:asciiTheme="majorHAnsi" w:hAnsiTheme="majorHAnsi"/>
          <w:sz w:val="20"/>
          <w:szCs w:val="20"/>
        </w:rPr>
        <w:t>під</w:t>
      </w:r>
      <w:r w:rsidRPr="000977F7">
        <w:rPr>
          <w:rFonts w:asciiTheme="majorHAnsi" w:hAnsiTheme="majorHAnsi"/>
          <w:spacing w:val="26"/>
          <w:sz w:val="20"/>
          <w:szCs w:val="20"/>
        </w:rPr>
        <w:t xml:space="preserve"> </w:t>
      </w:r>
      <w:r w:rsidRPr="000977F7">
        <w:rPr>
          <w:rFonts w:asciiTheme="majorHAnsi" w:hAnsiTheme="majorHAnsi"/>
          <w:sz w:val="20"/>
          <w:szCs w:val="20"/>
        </w:rPr>
        <w:t>час</w:t>
      </w:r>
      <w:r w:rsidRPr="000977F7">
        <w:rPr>
          <w:rFonts w:asciiTheme="majorHAnsi" w:hAnsiTheme="majorHAnsi"/>
          <w:spacing w:val="29"/>
          <w:sz w:val="20"/>
          <w:szCs w:val="20"/>
        </w:rPr>
        <w:t xml:space="preserve"> </w:t>
      </w:r>
      <w:r w:rsidRPr="000977F7">
        <w:rPr>
          <w:rFonts w:asciiTheme="majorHAnsi" w:hAnsiTheme="majorHAnsi"/>
          <w:sz w:val="20"/>
          <w:szCs w:val="20"/>
        </w:rPr>
        <w:t>розроблення</w:t>
      </w:r>
      <w:r w:rsidRPr="000977F7">
        <w:rPr>
          <w:rFonts w:asciiTheme="majorHAnsi" w:hAnsiTheme="majorHAnsi"/>
          <w:spacing w:val="51"/>
          <w:sz w:val="20"/>
          <w:szCs w:val="20"/>
        </w:rPr>
        <w:t xml:space="preserve"> </w:t>
      </w:r>
      <w:r w:rsidRPr="000977F7">
        <w:rPr>
          <w:rFonts w:asciiTheme="majorHAnsi" w:hAnsiTheme="majorHAnsi"/>
          <w:sz w:val="20"/>
          <w:szCs w:val="20"/>
        </w:rPr>
        <w:t>продукції з метою оцінки</w:t>
      </w:r>
      <w:r w:rsidRPr="000977F7">
        <w:rPr>
          <w:rFonts w:asciiTheme="majorHAnsi" w:hAnsiTheme="majorHAnsi"/>
          <w:spacing w:val="50"/>
          <w:sz w:val="20"/>
          <w:szCs w:val="20"/>
        </w:rPr>
        <w:t xml:space="preserve"> </w:t>
      </w:r>
      <w:r w:rsidRPr="000977F7">
        <w:rPr>
          <w:rFonts w:asciiTheme="majorHAnsi" w:hAnsiTheme="majorHAnsi"/>
          <w:sz w:val="20"/>
          <w:szCs w:val="20"/>
        </w:rPr>
        <w:t xml:space="preserve">впливу внесених </w:t>
      </w:r>
      <w:r w:rsidRPr="000977F7">
        <w:rPr>
          <w:rFonts w:asciiTheme="majorHAnsi" w:hAnsiTheme="majorHAnsi"/>
          <w:spacing w:val="-47"/>
          <w:sz w:val="20"/>
          <w:szCs w:val="20"/>
        </w:rPr>
        <w:t xml:space="preserve"> </w:t>
      </w:r>
      <w:r w:rsidRPr="000977F7">
        <w:rPr>
          <w:rFonts w:asciiTheme="majorHAnsi" w:hAnsiTheme="majorHAnsi"/>
          <w:sz w:val="20"/>
          <w:szCs w:val="20"/>
        </w:rPr>
        <w:t>у неї змін для досягнення заданих показників її якості</w:t>
      </w:r>
      <w:r w:rsidRPr="000977F7">
        <w:rPr>
          <w:rFonts w:asciiTheme="majorHAnsi" w:hAnsiTheme="majorHAnsi"/>
          <w:spacing w:val="1"/>
          <w:sz w:val="20"/>
          <w:szCs w:val="20"/>
        </w:rPr>
        <w:t xml:space="preserve"> </w:t>
      </w:r>
    </w:p>
    <w:p w14:paraId="2B938021"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4A734E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ДОВОДКА</w:t>
      </w:r>
      <w:r w:rsidRPr="000977F7">
        <w:rPr>
          <w:color w:val="auto"/>
          <w:spacing w:val="-2"/>
          <w:sz w:val="20"/>
          <w:szCs w:val="20"/>
        </w:rPr>
        <w:t xml:space="preserve"> </w:t>
      </w:r>
      <w:r w:rsidRPr="000977F7">
        <w:rPr>
          <w:color w:val="auto"/>
          <w:sz w:val="20"/>
          <w:szCs w:val="20"/>
        </w:rPr>
        <w:t>−</w:t>
      </w:r>
    </w:p>
    <w:p w14:paraId="2DA53D4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Остаточна обробка деталей після їх чистової (в основному абразивної) обробки для отримання малої шорсткості поверхонь і точних розмірів, яка здійснюється</w:t>
      </w:r>
      <w:r w:rsidRPr="000977F7">
        <w:rPr>
          <w:rFonts w:asciiTheme="majorHAnsi" w:hAnsiTheme="majorHAnsi"/>
          <w:spacing w:val="1"/>
          <w:sz w:val="20"/>
          <w:szCs w:val="20"/>
        </w:rPr>
        <w:t xml:space="preserve"> </w:t>
      </w:r>
      <w:r w:rsidRPr="000977F7">
        <w:rPr>
          <w:rFonts w:asciiTheme="majorHAnsi" w:hAnsiTheme="majorHAnsi"/>
          <w:sz w:val="20"/>
          <w:szCs w:val="20"/>
        </w:rPr>
        <w:t>вручну або на доводочних верстатах дрібнозернистим</w:t>
      </w:r>
      <w:r w:rsidRPr="000977F7">
        <w:rPr>
          <w:rFonts w:asciiTheme="majorHAnsi" w:hAnsiTheme="majorHAnsi"/>
          <w:spacing w:val="1"/>
          <w:sz w:val="20"/>
          <w:szCs w:val="20"/>
        </w:rPr>
        <w:t xml:space="preserve"> </w:t>
      </w:r>
      <w:r w:rsidRPr="000977F7">
        <w:rPr>
          <w:rFonts w:asciiTheme="majorHAnsi" w:hAnsiTheme="majorHAnsi"/>
          <w:sz w:val="20"/>
          <w:szCs w:val="20"/>
        </w:rPr>
        <w:t>абразивним порошком або пастою за допомогою притирів</w:t>
      </w:r>
    </w:p>
    <w:p w14:paraId="372C07C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ДОГОВІР –</w:t>
      </w:r>
    </w:p>
    <w:p w14:paraId="2F3378B2"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Усний чи письмовий правочин між споживачем і продавцем (виконавцем) про якість, терміни, ціну та інші умови, за яких реалізується продукція. Підтвердження вчинення усного правочину оформляється квитанцією, товарним чи касовим чеком, квитком, талоном, розрахунковим документом, передбаченим </w:t>
      </w:r>
      <w:hyperlink r:id="rId17" w:tgtFrame="_blank" w:history="1">
        <w:r w:rsidRPr="000977F7">
          <w:rPr>
            <w:b w:val="0"/>
            <w:bCs/>
            <w:color w:val="auto"/>
            <w:sz w:val="20"/>
            <w:szCs w:val="20"/>
          </w:rPr>
          <w:t>Законом України</w:t>
        </w:r>
      </w:hyperlink>
      <w:r w:rsidRPr="000977F7">
        <w:rPr>
          <w:b w:val="0"/>
          <w:bCs/>
          <w:color w:val="auto"/>
          <w:sz w:val="20"/>
          <w:szCs w:val="20"/>
        </w:rPr>
        <w:t> "Про застосування реєстраторів розрахункових операцій у сфері торгівлі, громадського харчування та послуг", або іншими документами (далі розрахунковий</w:t>
      </w:r>
      <w:r w:rsidRPr="000977F7">
        <w:rPr>
          <w:color w:val="auto"/>
          <w:sz w:val="20"/>
          <w:szCs w:val="20"/>
        </w:rPr>
        <w:t xml:space="preserve"> </w:t>
      </w:r>
      <w:r w:rsidRPr="000977F7">
        <w:rPr>
          <w:b w:val="0"/>
          <w:bCs/>
          <w:color w:val="auto"/>
          <w:sz w:val="20"/>
          <w:szCs w:val="20"/>
        </w:rPr>
        <w:t>документ)</w:t>
      </w:r>
    </w:p>
    <w:p w14:paraId="64AA13DD"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Ст. 1 закону України "Про захист прав споживачів"</w:t>
      </w:r>
    </w:p>
    <w:p w14:paraId="6BC8DEE6"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ДОГОВІР, УКЛАДЕНИЙ НА ВІДСТАНІ –</w:t>
      </w:r>
    </w:p>
    <w:p w14:paraId="141C00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Договір, укладений продавцем (виконавцем) із споживачем за допомогою засобів дистанційного зв'язку</w:t>
      </w:r>
    </w:p>
    <w:p w14:paraId="11531F68"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Ст. 1 закону України "Про захист прав споживачів"</w:t>
      </w:r>
    </w:p>
    <w:p w14:paraId="3CE8867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
          <w:bCs/>
          <w:sz w:val="20"/>
          <w:szCs w:val="20"/>
        </w:rPr>
        <w:t>ДОГОВІР, УКЛАДЕНИЙ ПОЗА ТОРГОВЕЛЬНИМИ АБО ОФІСНИМИ ПРИМІЩЕННЯМИ</w:t>
      </w:r>
      <w:r w:rsidRPr="000977F7">
        <w:rPr>
          <w:rFonts w:asciiTheme="majorHAnsi" w:hAnsiTheme="majorHAnsi"/>
          <w:sz w:val="20"/>
          <w:szCs w:val="20"/>
        </w:rPr>
        <w:t xml:space="preserve"> –</w:t>
      </w:r>
    </w:p>
    <w:p w14:paraId="3F7C3B9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Договір, укладений із споживачем особисто в місці, іншому ніж торговельні або офісні приміщення продавця</w:t>
      </w:r>
    </w:p>
    <w:p w14:paraId="1C078D1E"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Ст. 1 закону України "Про захист прав споживачів"</w:t>
      </w:r>
    </w:p>
    <w:p w14:paraId="68BD6946" w14:textId="77777777" w:rsidR="0097612F" w:rsidRPr="000977F7" w:rsidRDefault="0097612F" w:rsidP="000977F7">
      <w:pPr>
        <w:pStyle w:val="7"/>
        <w:tabs>
          <w:tab w:val="left" w:pos="284"/>
        </w:tabs>
        <w:spacing w:before="0" w:line="240" w:lineRule="auto"/>
        <w:ind w:left="170"/>
        <w:mirrorIndents/>
        <w:jc w:val="both"/>
        <w:rPr>
          <w:color w:val="auto"/>
          <w:spacing w:val="-5"/>
          <w:sz w:val="20"/>
          <w:szCs w:val="20"/>
        </w:rPr>
      </w:pPr>
      <w:r w:rsidRPr="000977F7">
        <w:rPr>
          <w:color w:val="auto"/>
          <w:sz w:val="20"/>
          <w:szCs w:val="20"/>
        </w:rPr>
        <w:t>ДОДАТКОВА</w:t>
      </w:r>
      <w:r w:rsidRPr="000977F7">
        <w:rPr>
          <w:color w:val="auto"/>
          <w:spacing w:val="-6"/>
          <w:sz w:val="20"/>
          <w:szCs w:val="20"/>
        </w:rPr>
        <w:t xml:space="preserve"> </w:t>
      </w:r>
      <w:r w:rsidRPr="000977F7">
        <w:rPr>
          <w:color w:val="auto"/>
          <w:sz w:val="20"/>
          <w:szCs w:val="20"/>
        </w:rPr>
        <w:t>ПОХИБКА</w:t>
      </w:r>
      <w:r w:rsidRPr="000977F7">
        <w:rPr>
          <w:color w:val="auto"/>
          <w:spacing w:val="-5"/>
          <w:sz w:val="20"/>
          <w:szCs w:val="20"/>
        </w:rPr>
        <w:t xml:space="preserve"> </w:t>
      </w:r>
      <w:r w:rsidRPr="000977F7">
        <w:rPr>
          <w:color w:val="auto"/>
          <w:sz w:val="20"/>
          <w:szCs w:val="20"/>
        </w:rPr>
        <w:t>ЗАСОБУ</w:t>
      </w:r>
      <w:r w:rsidRPr="000977F7">
        <w:rPr>
          <w:color w:val="auto"/>
          <w:spacing w:val="-5"/>
          <w:sz w:val="20"/>
          <w:szCs w:val="20"/>
        </w:rPr>
        <w:t xml:space="preserve"> </w:t>
      </w:r>
    </w:p>
    <w:p w14:paraId="457C972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ВИМІРЮ</w:t>
      </w:r>
      <w:r w:rsidRPr="000977F7">
        <w:rPr>
          <w:color w:val="auto"/>
          <w:spacing w:val="-47"/>
          <w:sz w:val="20"/>
          <w:szCs w:val="20"/>
        </w:rPr>
        <w:t xml:space="preserve"> </w:t>
      </w:r>
      <w:r w:rsidRPr="000977F7">
        <w:rPr>
          <w:color w:val="auto"/>
          <w:sz w:val="20"/>
          <w:szCs w:val="20"/>
        </w:rPr>
        <w:t>ВАЛЬНОЇ</w:t>
      </w:r>
      <w:r w:rsidRPr="000977F7">
        <w:rPr>
          <w:color w:val="auto"/>
          <w:spacing w:val="-2"/>
          <w:sz w:val="20"/>
          <w:szCs w:val="20"/>
        </w:rPr>
        <w:t xml:space="preserve"> </w:t>
      </w:r>
      <w:r w:rsidRPr="000977F7">
        <w:rPr>
          <w:color w:val="auto"/>
          <w:sz w:val="20"/>
          <w:szCs w:val="20"/>
        </w:rPr>
        <w:t>ТЕХНІКИ</w:t>
      </w:r>
      <w:r w:rsidRPr="000977F7">
        <w:rPr>
          <w:color w:val="auto"/>
          <w:spacing w:val="1"/>
          <w:sz w:val="20"/>
          <w:szCs w:val="20"/>
        </w:rPr>
        <w:t xml:space="preserve"> </w:t>
      </w:r>
      <w:r w:rsidRPr="000977F7">
        <w:rPr>
          <w:color w:val="auto"/>
          <w:sz w:val="20"/>
          <w:szCs w:val="20"/>
        </w:rPr>
        <w:t>–</w:t>
      </w:r>
    </w:p>
    <w:p w14:paraId="57C0264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Похибка засобу вимірювальної техніки, яка додатково виникає під час використання засобу вимірювань 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 xml:space="preserve">умовах відхилення хоча б однієї з </w:t>
      </w:r>
      <w:r w:rsidRPr="004D2D14">
        <w:rPr>
          <w:rFonts w:asciiTheme="majorHAnsi" w:hAnsiTheme="majorHAnsi"/>
          <w:sz w:val="20"/>
          <w:szCs w:val="20"/>
          <w:lang w:val="uk-UA"/>
        </w:rPr>
        <w:t>впливних величин</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 нормального значення або її виходу за границю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нормальної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зони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значення</w:t>
      </w:r>
    </w:p>
    <w:p w14:paraId="018A8EC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 – 94</w:t>
      </w:r>
    </w:p>
    <w:p w14:paraId="3B9509B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ДОГОВІР</w:t>
      </w:r>
      <w:r w:rsidRPr="000977F7">
        <w:rPr>
          <w:color w:val="auto"/>
          <w:spacing w:val="-5"/>
          <w:sz w:val="20"/>
          <w:szCs w:val="20"/>
        </w:rPr>
        <w:t xml:space="preserve"> </w:t>
      </w:r>
      <w:r w:rsidRPr="000977F7">
        <w:rPr>
          <w:color w:val="auto"/>
          <w:sz w:val="20"/>
          <w:szCs w:val="20"/>
        </w:rPr>
        <w:t>ПОСТАЧАННЯ</w:t>
      </w:r>
      <w:r w:rsidRPr="000977F7">
        <w:rPr>
          <w:color w:val="auto"/>
          <w:spacing w:val="1"/>
          <w:sz w:val="20"/>
          <w:szCs w:val="20"/>
        </w:rPr>
        <w:t xml:space="preserve"> </w:t>
      </w:r>
      <w:r w:rsidRPr="000977F7">
        <w:rPr>
          <w:color w:val="auto"/>
          <w:sz w:val="20"/>
          <w:szCs w:val="20"/>
        </w:rPr>
        <w:t>–</w:t>
      </w:r>
    </w:p>
    <w:p w14:paraId="5FA38B8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Офіційна угода між договірними сторонами про постачання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якою</w:t>
      </w:r>
      <w:r w:rsidRPr="000977F7">
        <w:rPr>
          <w:rFonts w:asciiTheme="majorHAnsi" w:hAnsiTheme="majorHAnsi"/>
          <w:spacing w:val="1"/>
          <w:sz w:val="20"/>
          <w:szCs w:val="20"/>
        </w:rPr>
        <w:t xml:space="preserve"> </w:t>
      </w:r>
      <w:r w:rsidRPr="000977F7">
        <w:rPr>
          <w:rFonts w:asciiTheme="majorHAnsi" w:hAnsiTheme="majorHAnsi"/>
          <w:sz w:val="20"/>
          <w:szCs w:val="20"/>
        </w:rPr>
        <w:t>постачальник</w:t>
      </w:r>
      <w:r w:rsidRPr="000977F7">
        <w:rPr>
          <w:rFonts w:asciiTheme="majorHAnsi" w:hAnsiTheme="majorHAnsi"/>
          <w:spacing w:val="1"/>
          <w:sz w:val="20"/>
          <w:szCs w:val="20"/>
        </w:rPr>
        <w:t xml:space="preserve"> </w:t>
      </w:r>
      <w:r w:rsidRPr="000977F7">
        <w:rPr>
          <w:rFonts w:asciiTheme="majorHAnsi" w:hAnsiTheme="majorHAnsi"/>
          <w:sz w:val="20"/>
          <w:szCs w:val="20"/>
        </w:rPr>
        <w:t>зобов’язується постачати продукцію узгодженого асортименту й якості в установлений</w:t>
      </w:r>
      <w:r w:rsidRPr="000977F7">
        <w:rPr>
          <w:rFonts w:asciiTheme="majorHAnsi" w:hAnsiTheme="majorHAnsi"/>
          <w:spacing w:val="1"/>
          <w:sz w:val="20"/>
          <w:szCs w:val="20"/>
        </w:rPr>
        <w:t xml:space="preserve"> </w:t>
      </w:r>
      <w:r w:rsidRPr="000977F7">
        <w:rPr>
          <w:rFonts w:asciiTheme="majorHAnsi" w:hAnsiTheme="majorHAnsi"/>
          <w:sz w:val="20"/>
          <w:szCs w:val="20"/>
        </w:rPr>
        <w:t>термін, а покупець</w:t>
      </w:r>
      <w:r w:rsidRPr="000977F7">
        <w:rPr>
          <w:rFonts w:asciiTheme="majorHAnsi" w:hAnsiTheme="majorHAnsi"/>
          <w:spacing w:val="1"/>
          <w:sz w:val="20"/>
          <w:szCs w:val="20"/>
        </w:rPr>
        <w:t xml:space="preserve"> </w:t>
      </w:r>
      <w:r w:rsidRPr="000977F7">
        <w:rPr>
          <w:rFonts w:asciiTheme="majorHAnsi" w:hAnsiTheme="majorHAnsi"/>
          <w:sz w:val="20"/>
          <w:szCs w:val="20"/>
        </w:rPr>
        <w:t>зобов’язаний</w:t>
      </w:r>
      <w:r w:rsidRPr="000977F7">
        <w:rPr>
          <w:rFonts w:asciiTheme="majorHAnsi" w:hAnsiTheme="majorHAnsi"/>
          <w:spacing w:val="-3"/>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установлений</w:t>
      </w:r>
      <w:r w:rsidRPr="000977F7">
        <w:rPr>
          <w:rFonts w:asciiTheme="majorHAnsi" w:hAnsiTheme="majorHAnsi"/>
          <w:spacing w:val="-2"/>
          <w:sz w:val="20"/>
          <w:szCs w:val="20"/>
        </w:rPr>
        <w:t xml:space="preserve"> </w:t>
      </w:r>
      <w:r w:rsidRPr="000977F7">
        <w:rPr>
          <w:rFonts w:asciiTheme="majorHAnsi" w:hAnsiTheme="majorHAnsi"/>
          <w:sz w:val="20"/>
          <w:szCs w:val="20"/>
        </w:rPr>
        <w:t>термін</w:t>
      </w:r>
      <w:r w:rsidRPr="000977F7">
        <w:rPr>
          <w:rFonts w:asciiTheme="majorHAnsi" w:hAnsiTheme="majorHAnsi"/>
          <w:spacing w:val="-2"/>
          <w:sz w:val="20"/>
          <w:szCs w:val="20"/>
        </w:rPr>
        <w:t xml:space="preserve"> </w:t>
      </w:r>
      <w:r w:rsidRPr="000977F7">
        <w:rPr>
          <w:rFonts w:asciiTheme="majorHAnsi" w:hAnsiTheme="majorHAnsi"/>
          <w:sz w:val="20"/>
          <w:szCs w:val="20"/>
        </w:rPr>
        <w:t>оплатити</w:t>
      </w:r>
      <w:r w:rsidRPr="000977F7">
        <w:rPr>
          <w:rFonts w:asciiTheme="majorHAnsi" w:hAnsiTheme="majorHAnsi"/>
          <w:spacing w:val="-2"/>
          <w:sz w:val="20"/>
          <w:szCs w:val="20"/>
        </w:rPr>
        <w:t xml:space="preserve"> </w:t>
      </w:r>
      <w:r w:rsidRPr="000977F7">
        <w:rPr>
          <w:rFonts w:asciiTheme="majorHAnsi" w:hAnsiTheme="majorHAnsi"/>
          <w:sz w:val="20"/>
          <w:szCs w:val="20"/>
        </w:rPr>
        <w:t>її.</w:t>
      </w:r>
    </w:p>
    <w:p w14:paraId="202B8BC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19D7EA6" w14:textId="77777777" w:rsidR="0097612F" w:rsidRPr="000977F7" w:rsidRDefault="0097612F" w:rsidP="000977F7">
      <w:pPr>
        <w:pStyle w:val="7"/>
        <w:tabs>
          <w:tab w:val="left" w:pos="284"/>
        </w:tabs>
        <w:spacing w:before="0" w:line="240" w:lineRule="auto"/>
        <w:ind w:left="170"/>
        <w:mirrorIndents/>
        <w:jc w:val="both"/>
        <w:rPr>
          <w:color w:val="auto"/>
          <w:spacing w:val="-2"/>
          <w:sz w:val="20"/>
          <w:szCs w:val="20"/>
        </w:rPr>
      </w:pPr>
      <w:r w:rsidRPr="000977F7">
        <w:rPr>
          <w:color w:val="auto"/>
          <w:sz w:val="20"/>
          <w:szCs w:val="20"/>
        </w:rPr>
        <w:t>ДОДАТКОВЕ</w:t>
      </w:r>
      <w:r w:rsidRPr="000977F7">
        <w:rPr>
          <w:color w:val="auto"/>
          <w:spacing w:val="-5"/>
          <w:sz w:val="20"/>
          <w:szCs w:val="20"/>
        </w:rPr>
        <w:t xml:space="preserve"> </w:t>
      </w:r>
      <w:r w:rsidRPr="000977F7">
        <w:rPr>
          <w:color w:val="auto"/>
          <w:sz w:val="20"/>
          <w:szCs w:val="20"/>
        </w:rPr>
        <w:t>ПОВІДОМЛЕННЯ</w:t>
      </w:r>
      <w:r w:rsidRPr="000977F7">
        <w:rPr>
          <w:color w:val="auto"/>
          <w:spacing w:val="-3"/>
          <w:sz w:val="20"/>
          <w:szCs w:val="20"/>
        </w:rPr>
        <w:t xml:space="preserve"> </w:t>
      </w:r>
      <w:r w:rsidRPr="000977F7">
        <w:rPr>
          <w:color w:val="auto"/>
          <w:sz w:val="20"/>
          <w:szCs w:val="20"/>
        </w:rPr>
        <w:t>ПРО</w:t>
      </w:r>
      <w:r w:rsidRPr="000977F7">
        <w:rPr>
          <w:color w:val="auto"/>
          <w:spacing w:val="-2"/>
          <w:sz w:val="20"/>
          <w:szCs w:val="20"/>
        </w:rPr>
        <w:t xml:space="preserve"> </w:t>
      </w:r>
    </w:p>
    <w:p w14:paraId="521072B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ЗМІНУ</w:t>
      </w:r>
      <w:r w:rsidRPr="000977F7">
        <w:rPr>
          <w:color w:val="auto"/>
          <w:spacing w:val="1"/>
          <w:sz w:val="20"/>
          <w:szCs w:val="20"/>
        </w:rPr>
        <w:t xml:space="preserve"> </w:t>
      </w:r>
      <w:r w:rsidRPr="000977F7">
        <w:rPr>
          <w:color w:val="auto"/>
          <w:sz w:val="20"/>
          <w:szCs w:val="20"/>
        </w:rPr>
        <w:t>–</w:t>
      </w:r>
    </w:p>
    <w:p w14:paraId="5C0E5443"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Документ,</w:t>
      </w:r>
      <w:r w:rsidRPr="000977F7">
        <w:rPr>
          <w:rFonts w:asciiTheme="majorHAnsi" w:hAnsiTheme="majorHAnsi"/>
          <w:spacing w:val="12"/>
          <w:sz w:val="20"/>
          <w:szCs w:val="20"/>
        </w:rPr>
        <w:t xml:space="preserve"> </w:t>
      </w:r>
      <w:r w:rsidRPr="000977F7">
        <w:rPr>
          <w:rFonts w:asciiTheme="majorHAnsi" w:hAnsiTheme="majorHAnsi"/>
          <w:sz w:val="20"/>
          <w:szCs w:val="20"/>
        </w:rPr>
        <w:t>який</w:t>
      </w:r>
      <w:r w:rsidRPr="000977F7">
        <w:rPr>
          <w:rFonts w:asciiTheme="majorHAnsi" w:hAnsiTheme="majorHAnsi"/>
          <w:spacing w:val="10"/>
          <w:sz w:val="20"/>
          <w:szCs w:val="20"/>
        </w:rPr>
        <w:t xml:space="preserve"> </w:t>
      </w:r>
      <w:r w:rsidRPr="000977F7">
        <w:rPr>
          <w:rFonts w:asciiTheme="majorHAnsi" w:hAnsiTheme="majorHAnsi"/>
          <w:sz w:val="20"/>
          <w:szCs w:val="20"/>
        </w:rPr>
        <w:t>містить</w:t>
      </w:r>
      <w:r w:rsidRPr="000977F7">
        <w:rPr>
          <w:rFonts w:asciiTheme="majorHAnsi" w:hAnsiTheme="majorHAnsi"/>
          <w:spacing w:val="13"/>
          <w:sz w:val="20"/>
          <w:szCs w:val="20"/>
        </w:rPr>
        <w:t xml:space="preserve"> </w:t>
      </w:r>
      <w:r w:rsidRPr="000977F7">
        <w:rPr>
          <w:rFonts w:asciiTheme="majorHAnsi" w:hAnsiTheme="majorHAnsi"/>
          <w:sz w:val="20"/>
          <w:szCs w:val="20"/>
        </w:rPr>
        <w:t>відомості</w:t>
      </w:r>
      <w:r w:rsidRPr="000977F7">
        <w:rPr>
          <w:rFonts w:asciiTheme="majorHAnsi" w:hAnsiTheme="majorHAnsi"/>
          <w:spacing w:val="10"/>
          <w:sz w:val="20"/>
          <w:szCs w:val="20"/>
        </w:rPr>
        <w:t xml:space="preserve"> </w:t>
      </w:r>
      <w:r w:rsidRPr="000977F7">
        <w:rPr>
          <w:rFonts w:asciiTheme="majorHAnsi" w:hAnsiTheme="majorHAnsi"/>
          <w:sz w:val="20"/>
          <w:szCs w:val="20"/>
        </w:rPr>
        <w:t>,</w:t>
      </w:r>
      <w:r w:rsidRPr="000977F7">
        <w:rPr>
          <w:rFonts w:asciiTheme="majorHAnsi" w:hAnsiTheme="majorHAnsi"/>
          <w:spacing w:val="11"/>
          <w:sz w:val="20"/>
          <w:szCs w:val="20"/>
        </w:rPr>
        <w:t xml:space="preserve"> </w:t>
      </w:r>
      <w:r w:rsidRPr="000977F7">
        <w:rPr>
          <w:rFonts w:asciiTheme="majorHAnsi" w:hAnsiTheme="majorHAnsi"/>
          <w:sz w:val="20"/>
          <w:szCs w:val="20"/>
        </w:rPr>
        <w:t>необхідні</w:t>
      </w:r>
      <w:r w:rsidRPr="000977F7">
        <w:rPr>
          <w:rFonts w:asciiTheme="majorHAnsi" w:hAnsiTheme="majorHAnsi"/>
          <w:spacing w:val="11"/>
          <w:sz w:val="20"/>
          <w:szCs w:val="20"/>
        </w:rPr>
        <w:t xml:space="preserve"> </w:t>
      </w:r>
      <w:r w:rsidRPr="000977F7">
        <w:rPr>
          <w:rFonts w:asciiTheme="majorHAnsi" w:hAnsiTheme="majorHAnsi"/>
          <w:sz w:val="20"/>
          <w:szCs w:val="20"/>
        </w:rPr>
        <w:t>для</w:t>
      </w:r>
      <w:r w:rsidRPr="000977F7">
        <w:rPr>
          <w:rFonts w:asciiTheme="majorHAnsi" w:hAnsiTheme="majorHAnsi"/>
          <w:spacing w:val="10"/>
          <w:sz w:val="20"/>
          <w:szCs w:val="20"/>
        </w:rPr>
        <w:t xml:space="preserve"> </w:t>
      </w:r>
      <w:r w:rsidRPr="000977F7">
        <w:rPr>
          <w:rFonts w:asciiTheme="majorHAnsi" w:hAnsiTheme="majorHAnsi"/>
          <w:sz w:val="20"/>
          <w:szCs w:val="20"/>
        </w:rPr>
        <w:t>змі</w:t>
      </w:r>
      <w:r w:rsidRPr="000977F7">
        <w:rPr>
          <w:rFonts w:asciiTheme="majorHAnsi" w:hAnsiTheme="majorHAnsi"/>
          <w:spacing w:val="-2"/>
          <w:w w:val="99"/>
          <w:sz w:val="20"/>
          <w:szCs w:val="20"/>
        </w:rPr>
        <w:t>н</w:t>
      </w:r>
      <w:r w:rsidRPr="000977F7">
        <w:rPr>
          <w:rFonts w:asciiTheme="majorHAnsi" w:hAnsiTheme="majorHAnsi"/>
          <w:w w:val="99"/>
          <w:sz w:val="20"/>
          <w:szCs w:val="20"/>
        </w:rPr>
        <w:t>и</w:t>
      </w:r>
      <w:r w:rsidRPr="000977F7">
        <w:rPr>
          <w:rFonts w:asciiTheme="majorHAnsi" w:hAnsiTheme="majorHAnsi"/>
          <w:spacing w:val="18"/>
          <w:sz w:val="20"/>
          <w:szCs w:val="20"/>
        </w:rPr>
        <w:t xml:space="preserve"> </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и</w:t>
      </w:r>
      <w:r w:rsidRPr="000977F7">
        <w:rPr>
          <w:rFonts w:asciiTheme="majorHAnsi" w:hAnsiTheme="majorHAnsi"/>
          <w:spacing w:val="1"/>
          <w:w w:val="99"/>
          <w:sz w:val="20"/>
          <w:szCs w:val="20"/>
        </w:rPr>
        <w:t>роб</w:t>
      </w:r>
      <w:r w:rsidRPr="000977F7">
        <w:rPr>
          <w:rFonts w:asciiTheme="majorHAnsi" w:hAnsiTheme="majorHAnsi"/>
          <w:spacing w:val="-2"/>
          <w:w w:val="99"/>
          <w:sz w:val="20"/>
          <w:szCs w:val="20"/>
        </w:rPr>
        <w:t>ни</w:t>
      </w:r>
      <w:r w:rsidRPr="000977F7">
        <w:rPr>
          <w:rFonts w:asciiTheme="majorHAnsi" w:hAnsiTheme="majorHAnsi"/>
          <w:w w:val="99"/>
          <w:sz w:val="20"/>
          <w:szCs w:val="20"/>
        </w:rPr>
        <w:t>ч</w:t>
      </w:r>
      <w:r w:rsidRPr="000977F7">
        <w:rPr>
          <w:rFonts w:asciiTheme="majorHAnsi" w:hAnsiTheme="majorHAnsi"/>
          <w:spacing w:val="4"/>
          <w:w w:val="99"/>
          <w:sz w:val="20"/>
          <w:szCs w:val="20"/>
        </w:rPr>
        <w:t>о</w:t>
      </w:r>
      <w:r w:rsidRPr="000977F7">
        <w:rPr>
          <w:rFonts w:asciiTheme="majorHAnsi" w:hAnsiTheme="majorHAnsi"/>
          <w:spacing w:val="-2"/>
          <w:w w:val="99"/>
          <w:sz w:val="20"/>
          <w:szCs w:val="20"/>
        </w:rPr>
        <w:t>-</w:t>
      </w:r>
      <w:r w:rsidRPr="000977F7">
        <w:rPr>
          <w:rFonts w:asciiTheme="majorHAnsi" w:hAnsiTheme="majorHAnsi"/>
          <w:spacing w:val="-1"/>
          <w:w w:val="99"/>
          <w:sz w:val="20"/>
          <w:szCs w:val="20"/>
        </w:rPr>
        <w:t>т</w:t>
      </w:r>
      <w:r w:rsidRPr="000977F7">
        <w:rPr>
          <w:rFonts w:asciiTheme="majorHAnsi" w:hAnsiTheme="majorHAnsi"/>
          <w:spacing w:val="2"/>
          <w:w w:val="99"/>
          <w:sz w:val="20"/>
          <w:szCs w:val="20"/>
        </w:rPr>
        <w:t>е</w:t>
      </w:r>
      <w:r w:rsidRPr="000977F7">
        <w:rPr>
          <w:rFonts w:asciiTheme="majorHAnsi" w:hAnsiTheme="majorHAnsi"/>
          <w:spacing w:val="-2"/>
          <w:w w:val="99"/>
          <w:sz w:val="20"/>
          <w:szCs w:val="20"/>
        </w:rPr>
        <w:t>хн</w:t>
      </w:r>
      <w:r w:rsidRPr="000977F7">
        <w:rPr>
          <w:rFonts w:asciiTheme="majorHAnsi" w:hAnsiTheme="majorHAnsi"/>
          <w:w w:val="99"/>
          <w:sz w:val="20"/>
          <w:szCs w:val="20"/>
        </w:rPr>
        <w:t>і</w:t>
      </w:r>
      <w:r w:rsidRPr="000977F7">
        <w:rPr>
          <w:rFonts w:asciiTheme="majorHAnsi" w:hAnsiTheme="majorHAnsi"/>
          <w:spacing w:val="2"/>
          <w:w w:val="99"/>
          <w:sz w:val="20"/>
          <w:szCs w:val="20"/>
        </w:rPr>
        <w:t>ч</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и</w:t>
      </w:r>
      <w:r w:rsidRPr="000977F7">
        <w:rPr>
          <w:rFonts w:asciiTheme="majorHAnsi" w:hAnsiTheme="majorHAnsi"/>
          <w:w w:val="99"/>
          <w:sz w:val="20"/>
          <w:szCs w:val="20"/>
        </w:rPr>
        <w:t>х</w:t>
      </w:r>
      <w:r w:rsidRPr="000977F7">
        <w:rPr>
          <w:rFonts w:asciiTheme="majorHAnsi" w:hAnsiTheme="majorHAnsi"/>
          <w:spacing w:val="18"/>
          <w:sz w:val="20"/>
          <w:szCs w:val="20"/>
        </w:rPr>
        <w:t xml:space="preserve"> </w:t>
      </w:r>
      <w:r w:rsidRPr="000977F7">
        <w:rPr>
          <w:rFonts w:asciiTheme="majorHAnsi" w:hAnsiTheme="majorHAnsi"/>
          <w:spacing w:val="-1"/>
          <w:w w:val="99"/>
          <w:sz w:val="20"/>
          <w:szCs w:val="20"/>
        </w:rPr>
        <w:t>в</w:t>
      </w:r>
      <w:r w:rsidRPr="000977F7">
        <w:rPr>
          <w:rFonts w:asciiTheme="majorHAnsi" w:hAnsiTheme="majorHAnsi"/>
          <w:w w:val="99"/>
          <w:sz w:val="20"/>
          <w:szCs w:val="20"/>
        </w:rPr>
        <w:t>казі</w:t>
      </w:r>
      <w:r w:rsidRPr="000977F7">
        <w:rPr>
          <w:rFonts w:asciiTheme="majorHAnsi" w:hAnsiTheme="majorHAnsi"/>
          <w:spacing w:val="-1"/>
          <w:w w:val="99"/>
          <w:sz w:val="20"/>
          <w:szCs w:val="20"/>
        </w:rPr>
        <w:t>в</w:t>
      </w:r>
      <w:r w:rsidRPr="000977F7">
        <w:rPr>
          <w:rFonts w:asciiTheme="majorHAnsi" w:hAnsiTheme="majorHAnsi"/>
          <w:spacing w:val="1"/>
          <w:w w:val="99"/>
          <w:sz w:val="20"/>
          <w:szCs w:val="20"/>
        </w:rPr>
        <w:t>о</w:t>
      </w:r>
      <w:r w:rsidRPr="000977F7">
        <w:rPr>
          <w:rFonts w:asciiTheme="majorHAnsi" w:hAnsiTheme="majorHAnsi"/>
          <w:w w:val="99"/>
          <w:sz w:val="20"/>
          <w:szCs w:val="20"/>
        </w:rPr>
        <w:t>к</w:t>
      </w:r>
      <w:r w:rsidRPr="000977F7">
        <w:rPr>
          <w:rFonts w:asciiTheme="majorHAnsi" w:hAnsiTheme="majorHAnsi"/>
          <w:spacing w:val="18"/>
          <w:sz w:val="20"/>
          <w:szCs w:val="20"/>
        </w:rPr>
        <w:t xml:space="preserve"> </w:t>
      </w:r>
      <w:r w:rsidRPr="000977F7">
        <w:rPr>
          <w:rFonts w:asciiTheme="majorHAnsi" w:hAnsiTheme="majorHAnsi"/>
          <w:w w:val="99"/>
          <w:sz w:val="20"/>
          <w:szCs w:val="20"/>
        </w:rPr>
        <w:t>у</w:t>
      </w:r>
      <w:r w:rsidRPr="000977F7">
        <w:rPr>
          <w:rFonts w:asciiTheme="majorHAnsi" w:hAnsiTheme="majorHAnsi"/>
          <w:spacing w:val="15"/>
          <w:sz w:val="20"/>
          <w:szCs w:val="20"/>
        </w:rPr>
        <w:t xml:space="preserve"> </w:t>
      </w:r>
      <w:r w:rsidRPr="000977F7">
        <w:rPr>
          <w:rFonts w:asciiTheme="majorHAnsi" w:hAnsiTheme="majorHAnsi"/>
          <w:spacing w:val="-1"/>
          <w:w w:val="99"/>
          <w:sz w:val="20"/>
          <w:szCs w:val="20"/>
        </w:rPr>
        <w:t>в</w:t>
      </w:r>
      <w:r w:rsidRPr="000977F7">
        <w:rPr>
          <w:rFonts w:asciiTheme="majorHAnsi" w:hAnsiTheme="majorHAnsi"/>
          <w:w w:val="99"/>
          <w:sz w:val="20"/>
          <w:szCs w:val="20"/>
        </w:rPr>
        <w:t>и</w:t>
      </w:r>
      <w:r w:rsidRPr="000977F7">
        <w:rPr>
          <w:rFonts w:asciiTheme="majorHAnsi" w:hAnsiTheme="majorHAnsi"/>
          <w:spacing w:val="1"/>
          <w:w w:val="99"/>
          <w:sz w:val="20"/>
          <w:szCs w:val="20"/>
        </w:rPr>
        <w:t>п</w:t>
      </w:r>
      <w:r w:rsidRPr="000977F7">
        <w:rPr>
          <w:rFonts w:asciiTheme="majorHAnsi" w:hAnsiTheme="majorHAnsi"/>
          <w:spacing w:val="-2"/>
          <w:w w:val="99"/>
          <w:sz w:val="20"/>
          <w:szCs w:val="20"/>
        </w:rPr>
        <w:t>у</w:t>
      </w:r>
      <w:r w:rsidRPr="000977F7">
        <w:rPr>
          <w:rFonts w:asciiTheme="majorHAnsi" w:hAnsiTheme="majorHAnsi"/>
          <w:w w:val="99"/>
          <w:sz w:val="20"/>
          <w:szCs w:val="20"/>
        </w:rPr>
        <w:t>щено</w:t>
      </w:r>
      <w:r w:rsidRPr="000977F7">
        <w:rPr>
          <w:rFonts w:asciiTheme="majorHAnsi" w:hAnsiTheme="majorHAnsi"/>
          <w:spacing w:val="3"/>
          <w:w w:val="99"/>
          <w:sz w:val="20"/>
          <w:szCs w:val="20"/>
        </w:rPr>
        <w:t>м</w:t>
      </w:r>
      <w:r w:rsidRPr="000977F7">
        <w:rPr>
          <w:rFonts w:asciiTheme="majorHAnsi" w:hAnsiTheme="majorHAnsi"/>
          <w:w w:val="99"/>
          <w:sz w:val="20"/>
          <w:szCs w:val="20"/>
        </w:rPr>
        <w:t>у</w:t>
      </w:r>
      <w:r w:rsidRPr="000977F7">
        <w:rPr>
          <w:rFonts w:asciiTheme="majorHAnsi" w:hAnsiTheme="majorHAnsi"/>
          <w:spacing w:val="18"/>
          <w:sz w:val="20"/>
          <w:szCs w:val="20"/>
        </w:rPr>
        <w:t xml:space="preserve"> </w:t>
      </w:r>
      <w:r w:rsidRPr="000977F7">
        <w:rPr>
          <w:rFonts w:asciiTheme="majorHAnsi" w:hAnsiTheme="majorHAnsi"/>
          <w:spacing w:val="-2"/>
          <w:w w:val="44"/>
          <w:sz w:val="20"/>
          <w:szCs w:val="20"/>
        </w:rPr>
        <w:t>―</w:t>
      </w:r>
      <w:r w:rsidRPr="000977F7">
        <w:rPr>
          <w:rFonts w:asciiTheme="majorHAnsi" w:hAnsiTheme="majorHAnsi"/>
          <w:spacing w:val="3"/>
          <w:w w:val="99"/>
          <w:sz w:val="20"/>
          <w:szCs w:val="20"/>
        </w:rPr>
        <w:t>П</w:t>
      </w:r>
      <w:r w:rsidRPr="000977F7">
        <w:rPr>
          <w:rFonts w:asciiTheme="majorHAnsi" w:hAnsiTheme="majorHAnsi"/>
          <w:spacing w:val="1"/>
          <w:w w:val="99"/>
          <w:sz w:val="20"/>
          <w:szCs w:val="20"/>
        </w:rPr>
        <w:t>о</w:t>
      </w:r>
      <w:r w:rsidRPr="000977F7">
        <w:rPr>
          <w:rFonts w:asciiTheme="majorHAnsi" w:hAnsiTheme="majorHAnsi"/>
          <w:sz w:val="20"/>
          <w:szCs w:val="20"/>
        </w:rPr>
        <w:t>відомленні</w:t>
      </w:r>
      <w:r w:rsidRPr="000977F7">
        <w:rPr>
          <w:rFonts w:asciiTheme="majorHAnsi" w:hAnsiTheme="majorHAnsi"/>
          <w:spacing w:val="3"/>
          <w:sz w:val="20"/>
          <w:szCs w:val="20"/>
        </w:rPr>
        <w:t xml:space="preserve"> </w:t>
      </w:r>
      <w:r w:rsidRPr="000977F7">
        <w:rPr>
          <w:rFonts w:asciiTheme="majorHAnsi" w:hAnsiTheme="majorHAnsi"/>
          <w:sz w:val="20"/>
          <w:szCs w:val="20"/>
        </w:rPr>
        <w:t>про</w:t>
      </w:r>
      <w:r w:rsidRPr="000977F7">
        <w:rPr>
          <w:rFonts w:asciiTheme="majorHAnsi" w:hAnsiTheme="majorHAnsi"/>
          <w:spacing w:val="2"/>
          <w:sz w:val="20"/>
          <w:szCs w:val="20"/>
        </w:rPr>
        <w:t xml:space="preserve"> </w:t>
      </w:r>
      <w:r w:rsidRPr="000977F7">
        <w:rPr>
          <w:rFonts w:asciiTheme="majorHAnsi" w:hAnsiTheme="majorHAnsi"/>
          <w:sz w:val="20"/>
          <w:szCs w:val="20"/>
        </w:rPr>
        <w:t>зміну</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конструкторських</w:t>
      </w:r>
      <w:r w:rsidRPr="000977F7">
        <w:rPr>
          <w:rFonts w:asciiTheme="majorHAnsi" w:hAnsiTheme="majorHAnsi"/>
          <w:spacing w:val="2"/>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1"/>
          <w:sz w:val="20"/>
          <w:szCs w:val="20"/>
        </w:rPr>
        <w:t xml:space="preserve"> </w:t>
      </w:r>
    </w:p>
    <w:p w14:paraId="2CC3707F"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3321</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2003</w:t>
      </w:r>
    </w:p>
    <w:p w14:paraId="60BF900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ДОДАТКОВИЙ</w:t>
      </w:r>
      <w:r w:rsidRPr="000977F7">
        <w:rPr>
          <w:color w:val="auto"/>
          <w:spacing w:val="-3"/>
          <w:sz w:val="20"/>
          <w:szCs w:val="20"/>
        </w:rPr>
        <w:t xml:space="preserve"> </w:t>
      </w:r>
      <w:r w:rsidRPr="000977F7">
        <w:rPr>
          <w:color w:val="auto"/>
          <w:sz w:val="20"/>
          <w:szCs w:val="20"/>
        </w:rPr>
        <w:t>ЕЛЕМЕНТ</w:t>
      </w:r>
      <w:r w:rsidRPr="000977F7">
        <w:rPr>
          <w:color w:val="auto"/>
          <w:spacing w:val="-1"/>
          <w:sz w:val="20"/>
          <w:szCs w:val="20"/>
        </w:rPr>
        <w:t xml:space="preserve"> </w:t>
      </w:r>
      <w:r w:rsidRPr="000977F7">
        <w:rPr>
          <w:color w:val="auto"/>
          <w:sz w:val="20"/>
          <w:szCs w:val="20"/>
        </w:rPr>
        <w:t>–</w:t>
      </w:r>
    </w:p>
    <w:p w14:paraId="300538D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ADDITIONAL</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ELEMENT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5362FB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Інформація, поміщена в нормативному документі, але</w:t>
      </w:r>
      <w:r w:rsidRPr="000977F7">
        <w:rPr>
          <w:rFonts w:asciiTheme="majorHAnsi" w:hAnsiTheme="majorHAnsi"/>
          <w:spacing w:val="-47"/>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не впливає на</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зміст</w:t>
      </w:r>
    </w:p>
    <w:p w14:paraId="1744403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06032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Додаткові</w:t>
      </w:r>
      <w:r w:rsidRPr="000977F7">
        <w:rPr>
          <w:rFonts w:asciiTheme="majorHAnsi" w:hAnsiTheme="majorHAnsi"/>
          <w:spacing w:val="1"/>
          <w:sz w:val="20"/>
          <w:szCs w:val="20"/>
        </w:rPr>
        <w:t xml:space="preserve"> </w:t>
      </w:r>
      <w:r w:rsidRPr="000977F7">
        <w:rPr>
          <w:rFonts w:asciiTheme="majorHAnsi" w:hAnsiTheme="majorHAnsi"/>
          <w:sz w:val="20"/>
          <w:szCs w:val="20"/>
        </w:rPr>
        <w:t>елементи</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нормативному</w:t>
      </w:r>
      <w:r w:rsidRPr="000977F7">
        <w:rPr>
          <w:rFonts w:asciiTheme="majorHAnsi" w:hAnsiTheme="majorHAnsi"/>
          <w:spacing w:val="1"/>
          <w:sz w:val="20"/>
          <w:szCs w:val="20"/>
        </w:rPr>
        <w:t xml:space="preserve"> </w:t>
      </w:r>
      <w:r w:rsidRPr="000977F7">
        <w:rPr>
          <w:rFonts w:asciiTheme="majorHAnsi" w:hAnsiTheme="majorHAnsi"/>
          <w:sz w:val="20"/>
          <w:szCs w:val="20"/>
        </w:rPr>
        <w:t>документі</w:t>
      </w:r>
      <w:r w:rsidRPr="000977F7">
        <w:rPr>
          <w:rFonts w:asciiTheme="majorHAnsi" w:hAnsiTheme="majorHAnsi"/>
          <w:spacing w:val="1"/>
          <w:sz w:val="20"/>
          <w:szCs w:val="20"/>
        </w:rPr>
        <w:t xml:space="preserve"> </w:t>
      </w:r>
      <w:r w:rsidRPr="000977F7">
        <w:rPr>
          <w:rFonts w:asciiTheme="majorHAnsi" w:hAnsiTheme="majorHAnsi"/>
          <w:sz w:val="20"/>
          <w:szCs w:val="20"/>
        </w:rPr>
        <w:t>можуть містити, наприклад, відомості про видання, передмову</w:t>
      </w:r>
      <w:r w:rsidRPr="000977F7">
        <w:rPr>
          <w:rFonts w:asciiTheme="majorHAnsi" w:hAnsiTheme="majorHAnsi"/>
          <w:spacing w:val="-3"/>
          <w:sz w:val="20"/>
          <w:szCs w:val="20"/>
        </w:rPr>
        <w:t xml:space="preserve"> </w:t>
      </w:r>
      <w:r w:rsidRPr="000977F7">
        <w:rPr>
          <w:rFonts w:asciiTheme="majorHAnsi" w:hAnsiTheme="majorHAnsi"/>
          <w:sz w:val="20"/>
          <w:szCs w:val="20"/>
        </w:rPr>
        <w:t>та примітки</w:t>
      </w:r>
    </w:p>
    <w:p w14:paraId="7572E5E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53E9E5A5"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ДОДАТОК</w:t>
      </w:r>
      <w:r w:rsidRPr="000977F7">
        <w:rPr>
          <w:color w:val="auto"/>
          <w:spacing w:val="-6"/>
          <w:sz w:val="20"/>
          <w:szCs w:val="20"/>
        </w:rPr>
        <w:t xml:space="preserve"> </w:t>
      </w:r>
      <w:r w:rsidRPr="000977F7">
        <w:rPr>
          <w:color w:val="auto"/>
          <w:sz w:val="20"/>
          <w:szCs w:val="20"/>
        </w:rPr>
        <w:t>ДО</w:t>
      </w:r>
      <w:r w:rsidRPr="000977F7">
        <w:rPr>
          <w:color w:val="auto"/>
          <w:spacing w:val="-3"/>
          <w:sz w:val="20"/>
          <w:szCs w:val="20"/>
        </w:rPr>
        <w:t xml:space="preserve"> </w:t>
      </w:r>
      <w:r w:rsidRPr="000977F7">
        <w:rPr>
          <w:color w:val="auto"/>
          <w:sz w:val="20"/>
          <w:szCs w:val="20"/>
        </w:rPr>
        <w:t>ОСНОВНОЇ</w:t>
      </w:r>
      <w:r w:rsidRPr="000977F7">
        <w:rPr>
          <w:color w:val="auto"/>
          <w:spacing w:val="-5"/>
          <w:sz w:val="20"/>
          <w:szCs w:val="20"/>
        </w:rPr>
        <w:t xml:space="preserve"> </w:t>
      </w:r>
      <w:r w:rsidRPr="000977F7">
        <w:rPr>
          <w:color w:val="auto"/>
          <w:sz w:val="20"/>
          <w:szCs w:val="20"/>
        </w:rPr>
        <w:t>ЧАСТИНИ</w:t>
      </w:r>
      <w:r w:rsidRPr="000977F7">
        <w:rPr>
          <w:color w:val="auto"/>
          <w:spacing w:val="-1"/>
          <w:sz w:val="20"/>
          <w:szCs w:val="20"/>
        </w:rPr>
        <w:t xml:space="preserve"> </w:t>
      </w:r>
    </w:p>
    <w:p w14:paraId="4F1BBCFD"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СТАНДА</w:t>
      </w:r>
      <w:r w:rsidRPr="000977F7">
        <w:rPr>
          <w:color w:val="auto"/>
          <w:spacing w:val="-47"/>
          <w:sz w:val="20"/>
          <w:szCs w:val="20"/>
        </w:rPr>
        <w:t xml:space="preserve"> </w:t>
      </w:r>
      <w:r w:rsidRPr="000977F7">
        <w:rPr>
          <w:color w:val="auto"/>
          <w:sz w:val="20"/>
          <w:szCs w:val="20"/>
        </w:rPr>
        <w:t>РТА</w:t>
      </w:r>
      <w:r w:rsidRPr="000977F7">
        <w:rPr>
          <w:color w:val="auto"/>
          <w:spacing w:val="-1"/>
          <w:sz w:val="20"/>
          <w:szCs w:val="20"/>
        </w:rPr>
        <w:t xml:space="preserve"> </w:t>
      </w:r>
      <w:r w:rsidRPr="000977F7">
        <w:rPr>
          <w:b w:val="0"/>
          <w:color w:val="auto"/>
          <w:sz w:val="20"/>
          <w:szCs w:val="20"/>
        </w:rPr>
        <w:t>–</w:t>
      </w:r>
    </w:p>
    <w:p w14:paraId="762E0BC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ANNEX</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THE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BODY 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STANDARD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5F86B146"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Текст, таблиці, ілюстрації, які є елементом основної</w:t>
      </w:r>
      <w:r w:rsidRPr="000977F7">
        <w:rPr>
          <w:rFonts w:asciiTheme="majorHAnsi" w:hAnsiTheme="majorHAnsi"/>
          <w:spacing w:val="1"/>
          <w:sz w:val="20"/>
          <w:szCs w:val="20"/>
        </w:rPr>
        <w:t xml:space="preserve"> </w:t>
      </w:r>
      <w:r w:rsidRPr="000977F7">
        <w:rPr>
          <w:rFonts w:asciiTheme="majorHAnsi" w:hAnsiTheme="majorHAnsi"/>
          <w:sz w:val="20"/>
          <w:szCs w:val="20"/>
        </w:rPr>
        <w:t>частини стандарту і які не могли бути розташовані в</w:t>
      </w:r>
      <w:r w:rsidRPr="000977F7">
        <w:rPr>
          <w:rFonts w:asciiTheme="majorHAnsi" w:hAnsiTheme="majorHAnsi"/>
          <w:spacing w:val="1"/>
          <w:sz w:val="20"/>
          <w:szCs w:val="20"/>
        </w:rPr>
        <w:t xml:space="preserve"> </w:t>
      </w:r>
      <w:r w:rsidRPr="000977F7">
        <w:rPr>
          <w:rFonts w:asciiTheme="majorHAnsi" w:hAnsiTheme="majorHAnsi"/>
          <w:sz w:val="20"/>
          <w:szCs w:val="20"/>
        </w:rPr>
        <w:t>ній через великий обcяг або за технічними причинами</w:t>
      </w:r>
      <w:r w:rsidRPr="000977F7">
        <w:rPr>
          <w:rFonts w:asciiTheme="majorHAnsi" w:hAnsiTheme="majorHAnsi"/>
          <w:spacing w:val="-47"/>
          <w:sz w:val="20"/>
          <w:szCs w:val="20"/>
        </w:rPr>
        <w:t xml:space="preserve"> </w:t>
      </w:r>
    </w:p>
    <w:p w14:paraId="4D4BBE7E"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2634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DD7CF7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ДОДЕРЖАННЯ ВИМОГ ЕКОЛОГІЧНОЇ </w:t>
      </w:r>
    </w:p>
    <w:p w14:paraId="0B3F3DC9"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БЕЗПЕ</w:t>
      </w:r>
      <w:r w:rsidRPr="000977F7">
        <w:rPr>
          <w:color w:val="auto"/>
          <w:spacing w:val="1"/>
          <w:sz w:val="20"/>
          <w:szCs w:val="20"/>
        </w:rPr>
        <w:t xml:space="preserve"> </w:t>
      </w:r>
      <w:r w:rsidRPr="000977F7">
        <w:rPr>
          <w:color w:val="auto"/>
          <w:sz w:val="20"/>
          <w:szCs w:val="20"/>
        </w:rPr>
        <w:t>КИ</w:t>
      </w:r>
      <w:r w:rsidRPr="000977F7">
        <w:rPr>
          <w:color w:val="auto"/>
          <w:spacing w:val="1"/>
          <w:sz w:val="20"/>
          <w:szCs w:val="20"/>
        </w:rPr>
        <w:t xml:space="preserve"> </w:t>
      </w:r>
      <w:r w:rsidRPr="000977F7">
        <w:rPr>
          <w:color w:val="auto"/>
          <w:sz w:val="20"/>
          <w:szCs w:val="20"/>
        </w:rPr>
        <w:t>ПРИ</w:t>
      </w:r>
      <w:r w:rsidRPr="000977F7">
        <w:rPr>
          <w:color w:val="auto"/>
          <w:spacing w:val="1"/>
          <w:sz w:val="20"/>
          <w:szCs w:val="20"/>
        </w:rPr>
        <w:t xml:space="preserve"> </w:t>
      </w:r>
      <w:r w:rsidRPr="000977F7">
        <w:rPr>
          <w:color w:val="auto"/>
          <w:sz w:val="20"/>
          <w:szCs w:val="20"/>
        </w:rPr>
        <w:t>ПРОВЕДЕННІ</w:t>
      </w:r>
      <w:r w:rsidRPr="000977F7">
        <w:rPr>
          <w:color w:val="auto"/>
          <w:spacing w:val="1"/>
          <w:sz w:val="20"/>
          <w:szCs w:val="20"/>
        </w:rPr>
        <w:t xml:space="preserve"> </w:t>
      </w:r>
      <w:r w:rsidRPr="000977F7">
        <w:rPr>
          <w:color w:val="auto"/>
          <w:sz w:val="20"/>
          <w:szCs w:val="20"/>
        </w:rPr>
        <w:t>НАУКОВИХ</w:t>
      </w:r>
      <w:r w:rsidRPr="000977F7">
        <w:rPr>
          <w:color w:val="auto"/>
          <w:spacing w:val="1"/>
          <w:sz w:val="20"/>
          <w:szCs w:val="20"/>
        </w:rPr>
        <w:t xml:space="preserve"> </w:t>
      </w:r>
    </w:p>
    <w:p w14:paraId="1431FFFE"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ДОСЛІДЖЕНЬ,</w:t>
      </w:r>
      <w:r w:rsidRPr="000977F7">
        <w:rPr>
          <w:color w:val="auto"/>
          <w:spacing w:val="1"/>
          <w:sz w:val="20"/>
          <w:szCs w:val="20"/>
        </w:rPr>
        <w:t xml:space="preserve"> </w:t>
      </w:r>
      <w:r w:rsidRPr="000977F7">
        <w:rPr>
          <w:color w:val="auto"/>
          <w:sz w:val="20"/>
          <w:szCs w:val="20"/>
        </w:rPr>
        <w:t>ВПРОВАДЖЕННІ</w:t>
      </w:r>
      <w:r w:rsidRPr="000977F7">
        <w:rPr>
          <w:color w:val="auto"/>
          <w:spacing w:val="1"/>
          <w:sz w:val="20"/>
          <w:szCs w:val="20"/>
        </w:rPr>
        <w:t xml:space="preserve"> </w:t>
      </w:r>
      <w:r w:rsidRPr="000977F7">
        <w:rPr>
          <w:color w:val="auto"/>
          <w:sz w:val="20"/>
          <w:szCs w:val="20"/>
        </w:rPr>
        <w:t>ВІДКРИТТІВ,</w:t>
      </w:r>
      <w:r w:rsidRPr="000977F7">
        <w:rPr>
          <w:color w:val="auto"/>
          <w:spacing w:val="1"/>
          <w:sz w:val="20"/>
          <w:szCs w:val="20"/>
        </w:rPr>
        <w:t xml:space="preserve"> </w:t>
      </w:r>
    </w:p>
    <w:p w14:paraId="5D36810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ВИНАХОДІВ,</w:t>
      </w:r>
      <w:r w:rsidRPr="000977F7">
        <w:rPr>
          <w:color w:val="auto"/>
          <w:spacing w:val="1"/>
          <w:sz w:val="20"/>
          <w:szCs w:val="20"/>
        </w:rPr>
        <w:t xml:space="preserve"> </w:t>
      </w:r>
      <w:r w:rsidRPr="000977F7">
        <w:rPr>
          <w:color w:val="auto"/>
          <w:sz w:val="20"/>
          <w:szCs w:val="20"/>
        </w:rPr>
        <w:t>ЗАСТОСУВАННІ</w:t>
      </w:r>
      <w:r w:rsidRPr="000977F7">
        <w:rPr>
          <w:color w:val="auto"/>
          <w:spacing w:val="1"/>
          <w:sz w:val="20"/>
          <w:szCs w:val="20"/>
        </w:rPr>
        <w:t xml:space="preserve"> </w:t>
      </w:r>
      <w:r w:rsidRPr="000977F7">
        <w:rPr>
          <w:color w:val="auto"/>
          <w:sz w:val="20"/>
          <w:szCs w:val="20"/>
        </w:rPr>
        <w:t>НОВОЇ</w:t>
      </w:r>
      <w:r w:rsidRPr="000977F7">
        <w:rPr>
          <w:color w:val="auto"/>
          <w:spacing w:val="1"/>
          <w:sz w:val="20"/>
          <w:szCs w:val="20"/>
        </w:rPr>
        <w:t xml:space="preserve"> </w:t>
      </w:r>
      <w:r w:rsidRPr="000977F7">
        <w:rPr>
          <w:color w:val="auto"/>
          <w:sz w:val="20"/>
          <w:szCs w:val="20"/>
        </w:rPr>
        <w:t>ТЕХНІКИ,</w:t>
      </w:r>
      <w:r w:rsidRPr="000977F7">
        <w:rPr>
          <w:color w:val="auto"/>
          <w:spacing w:val="1"/>
          <w:sz w:val="20"/>
          <w:szCs w:val="20"/>
        </w:rPr>
        <w:t xml:space="preserve"> </w:t>
      </w:r>
      <w:r w:rsidRPr="000977F7">
        <w:rPr>
          <w:color w:val="auto"/>
          <w:sz w:val="20"/>
          <w:szCs w:val="20"/>
        </w:rPr>
        <w:t>ІМПОРТНОГО</w:t>
      </w:r>
      <w:r w:rsidRPr="000977F7">
        <w:rPr>
          <w:color w:val="auto"/>
          <w:spacing w:val="1"/>
          <w:sz w:val="20"/>
          <w:szCs w:val="20"/>
        </w:rPr>
        <w:t xml:space="preserve"> </w:t>
      </w:r>
      <w:r w:rsidRPr="000977F7">
        <w:rPr>
          <w:color w:val="auto"/>
          <w:sz w:val="20"/>
          <w:szCs w:val="20"/>
        </w:rPr>
        <w:t>УСТАТКУВАННЯ,</w:t>
      </w:r>
      <w:r w:rsidRPr="000977F7">
        <w:rPr>
          <w:color w:val="auto"/>
          <w:spacing w:val="1"/>
          <w:sz w:val="20"/>
          <w:szCs w:val="20"/>
        </w:rPr>
        <w:t xml:space="preserve"> </w:t>
      </w:r>
      <w:r w:rsidRPr="000977F7">
        <w:rPr>
          <w:color w:val="auto"/>
          <w:sz w:val="20"/>
          <w:szCs w:val="20"/>
        </w:rPr>
        <w:t>ТЕХНОЛОГІЙ</w:t>
      </w:r>
      <w:r w:rsidRPr="000977F7">
        <w:rPr>
          <w:color w:val="auto"/>
          <w:spacing w:val="-1"/>
          <w:sz w:val="20"/>
          <w:szCs w:val="20"/>
        </w:rPr>
        <w:t xml:space="preserve"> </w:t>
      </w:r>
      <w:r w:rsidRPr="000977F7">
        <w:rPr>
          <w:color w:val="auto"/>
          <w:sz w:val="20"/>
          <w:szCs w:val="20"/>
        </w:rPr>
        <w:t>І</w:t>
      </w:r>
      <w:r w:rsidRPr="000977F7">
        <w:rPr>
          <w:color w:val="auto"/>
          <w:spacing w:val="-1"/>
          <w:sz w:val="20"/>
          <w:szCs w:val="20"/>
        </w:rPr>
        <w:t xml:space="preserve"> </w:t>
      </w:r>
      <w:r w:rsidRPr="000977F7">
        <w:rPr>
          <w:color w:val="auto"/>
          <w:sz w:val="20"/>
          <w:szCs w:val="20"/>
        </w:rPr>
        <w:t>СИСТЕМ–</w:t>
      </w:r>
    </w:p>
    <w:p w14:paraId="0F0198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 проведенні фундаментальних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прикладних</w:t>
      </w:r>
      <w:r w:rsidRPr="000977F7">
        <w:rPr>
          <w:rFonts w:asciiTheme="majorHAnsi" w:hAnsiTheme="majorHAnsi"/>
          <w:spacing w:val="1"/>
          <w:sz w:val="20"/>
          <w:szCs w:val="20"/>
        </w:rPr>
        <w:t xml:space="preserve"> </w:t>
      </w:r>
      <w:r w:rsidRPr="000977F7">
        <w:rPr>
          <w:rFonts w:asciiTheme="majorHAnsi" w:hAnsiTheme="majorHAnsi"/>
          <w:sz w:val="20"/>
          <w:szCs w:val="20"/>
        </w:rPr>
        <w:t>наукових, науково дослідних і дослідно конструкторських</w:t>
      </w:r>
      <w:r w:rsidRPr="000977F7">
        <w:rPr>
          <w:rFonts w:asciiTheme="majorHAnsi" w:hAnsiTheme="majorHAnsi"/>
          <w:spacing w:val="1"/>
          <w:sz w:val="20"/>
          <w:szCs w:val="20"/>
        </w:rPr>
        <w:t xml:space="preserve"> </w:t>
      </w:r>
      <w:r w:rsidRPr="000977F7">
        <w:rPr>
          <w:rFonts w:asciiTheme="majorHAnsi" w:hAnsiTheme="majorHAnsi"/>
          <w:sz w:val="20"/>
          <w:szCs w:val="20"/>
        </w:rPr>
        <w:t>робіт</w:t>
      </w:r>
      <w:r w:rsidRPr="000977F7">
        <w:rPr>
          <w:rFonts w:asciiTheme="majorHAnsi" w:hAnsiTheme="majorHAnsi"/>
          <w:spacing w:val="1"/>
          <w:sz w:val="20"/>
          <w:szCs w:val="20"/>
        </w:rPr>
        <w:t xml:space="preserve"> </w:t>
      </w:r>
      <w:r w:rsidRPr="000977F7">
        <w:rPr>
          <w:rFonts w:asciiTheme="majorHAnsi" w:hAnsiTheme="majorHAnsi"/>
          <w:sz w:val="20"/>
          <w:szCs w:val="20"/>
        </w:rPr>
        <w:t>обов'язково</w:t>
      </w:r>
      <w:r w:rsidRPr="000977F7">
        <w:rPr>
          <w:rFonts w:asciiTheme="majorHAnsi" w:hAnsiTheme="majorHAnsi"/>
          <w:spacing w:val="1"/>
          <w:sz w:val="20"/>
          <w:szCs w:val="20"/>
        </w:rPr>
        <w:t xml:space="preserve"> </w:t>
      </w:r>
      <w:r w:rsidRPr="000977F7">
        <w:rPr>
          <w:rFonts w:asciiTheme="majorHAnsi" w:hAnsiTheme="majorHAnsi"/>
          <w:sz w:val="20"/>
          <w:szCs w:val="20"/>
        </w:rPr>
        <w:t>повинні</w:t>
      </w:r>
      <w:r w:rsidRPr="000977F7">
        <w:rPr>
          <w:rFonts w:asciiTheme="majorHAnsi" w:hAnsiTheme="majorHAnsi"/>
          <w:spacing w:val="1"/>
          <w:sz w:val="20"/>
          <w:szCs w:val="20"/>
        </w:rPr>
        <w:t xml:space="preserve"> </w:t>
      </w:r>
      <w:r w:rsidRPr="000977F7">
        <w:rPr>
          <w:rFonts w:asciiTheme="majorHAnsi" w:hAnsiTheme="majorHAnsi"/>
          <w:sz w:val="20"/>
          <w:szCs w:val="20"/>
        </w:rPr>
        <w:t>враховуватися</w:t>
      </w:r>
      <w:r w:rsidRPr="000977F7">
        <w:rPr>
          <w:rFonts w:asciiTheme="majorHAnsi" w:hAnsiTheme="majorHAnsi"/>
          <w:spacing w:val="1"/>
          <w:sz w:val="20"/>
          <w:szCs w:val="20"/>
        </w:rPr>
        <w:t xml:space="preserve"> </w:t>
      </w:r>
      <w:r w:rsidRPr="000977F7">
        <w:rPr>
          <w:rFonts w:asciiTheme="majorHAnsi" w:hAnsiTheme="majorHAnsi"/>
          <w:sz w:val="20"/>
          <w:szCs w:val="20"/>
        </w:rPr>
        <w:t>вимоги охорони навколишнього природного 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раціонального</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відтворення</w:t>
      </w:r>
      <w:r w:rsidRPr="000977F7">
        <w:rPr>
          <w:rFonts w:asciiTheme="majorHAnsi" w:hAnsiTheme="majorHAnsi"/>
          <w:spacing w:val="1"/>
          <w:sz w:val="20"/>
          <w:szCs w:val="20"/>
        </w:rPr>
        <w:t xml:space="preserve"> </w:t>
      </w:r>
      <w:r w:rsidRPr="000977F7">
        <w:rPr>
          <w:rFonts w:asciiTheme="majorHAnsi" w:hAnsiTheme="majorHAnsi"/>
          <w:sz w:val="20"/>
          <w:szCs w:val="20"/>
        </w:rPr>
        <w:t>природних ресурсів та забезпечення екологічної безпеки.</w:t>
      </w:r>
    </w:p>
    <w:p w14:paraId="4B3229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Забороняється</w:t>
      </w:r>
      <w:r w:rsidRPr="000977F7">
        <w:rPr>
          <w:rFonts w:asciiTheme="majorHAnsi" w:hAnsiTheme="majorHAnsi"/>
          <w:spacing w:val="1"/>
          <w:sz w:val="20"/>
          <w:szCs w:val="20"/>
        </w:rPr>
        <w:t xml:space="preserve"> </w:t>
      </w:r>
      <w:r w:rsidRPr="000977F7">
        <w:rPr>
          <w:rFonts w:asciiTheme="majorHAnsi" w:hAnsiTheme="majorHAnsi"/>
          <w:sz w:val="20"/>
          <w:szCs w:val="20"/>
        </w:rPr>
        <w:t>впровадження</w:t>
      </w:r>
      <w:r w:rsidRPr="000977F7">
        <w:rPr>
          <w:rFonts w:asciiTheme="majorHAnsi" w:hAnsiTheme="majorHAnsi"/>
          <w:spacing w:val="1"/>
          <w:sz w:val="20"/>
          <w:szCs w:val="20"/>
        </w:rPr>
        <w:t xml:space="preserve"> </w:t>
      </w:r>
      <w:r w:rsidRPr="000977F7">
        <w:rPr>
          <w:rFonts w:asciiTheme="majorHAnsi" w:hAnsiTheme="majorHAnsi"/>
          <w:sz w:val="20"/>
          <w:szCs w:val="20"/>
        </w:rPr>
        <w:t>відкриттів,</w:t>
      </w:r>
      <w:r w:rsidRPr="000977F7">
        <w:rPr>
          <w:rFonts w:asciiTheme="majorHAnsi" w:hAnsiTheme="majorHAnsi"/>
          <w:spacing w:val="1"/>
          <w:sz w:val="20"/>
          <w:szCs w:val="20"/>
        </w:rPr>
        <w:t xml:space="preserve"> </w:t>
      </w:r>
      <w:r w:rsidRPr="000977F7">
        <w:rPr>
          <w:rFonts w:asciiTheme="majorHAnsi" w:hAnsiTheme="majorHAnsi"/>
          <w:sz w:val="20"/>
          <w:szCs w:val="20"/>
        </w:rPr>
        <w:t>винаходів,</w:t>
      </w:r>
      <w:r w:rsidRPr="000977F7">
        <w:rPr>
          <w:rFonts w:asciiTheme="majorHAnsi" w:hAnsiTheme="majorHAnsi"/>
          <w:spacing w:val="30"/>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31"/>
          <w:sz w:val="20"/>
          <w:szCs w:val="20"/>
        </w:rPr>
        <w:t xml:space="preserve"> </w:t>
      </w:r>
      <w:r w:rsidRPr="000977F7">
        <w:rPr>
          <w:rFonts w:asciiTheme="majorHAnsi" w:hAnsiTheme="majorHAnsi"/>
          <w:sz w:val="20"/>
          <w:szCs w:val="20"/>
        </w:rPr>
        <w:t>нової</w:t>
      </w:r>
      <w:r w:rsidRPr="000977F7">
        <w:rPr>
          <w:rFonts w:asciiTheme="majorHAnsi" w:hAnsiTheme="majorHAnsi"/>
          <w:spacing w:val="29"/>
          <w:sz w:val="20"/>
          <w:szCs w:val="20"/>
        </w:rPr>
        <w:t xml:space="preserve"> </w:t>
      </w:r>
      <w:r w:rsidRPr="000977F7">
        <w:rPr>
          <w:rFonts w:asciiTheme="majorHAnsi" w:hAnsiTheme="majorHAnsi"/>
          <w:sz w:val="20"/>
          <w:szCs w:val="20"/>
        </w:rPr>
        <w:t>техніки,</w:t>
      </w:r>
      <w:r w:rsidRPr="000977F7">
        <w:rPr>
          <w:rFonts w:asciiTheme="majorHAnsi" w:hAnsiTheme="majorHAnsi"/>
          <w:spacing w:val="30"/>
          <w:sz w:val="20"/>
          <w:szCs w:val="20"/>
        </w:rPr>
        <w:t xml:space="preserve"> </w:t>
      </w:r>
      <w:r w:rsidRPr="000977F7">
        <w:rPr>
          <w:rFonts w:asciiTheme="majorHAnsi" w:hAnsiTheme="majorHAnsi"/>
          <w:sz w:val="20"/>
          <w:szCs w:val="20"/>
        </w:rPr>
        <w:t>імпортного</w:t>
      </w:r>
      <w:r w:rsidRPr="000977F7">
        <w:rPr>
          <w:rFonts w:asciiTheme="majorHAnsi" w:hAnsiTheme="majorHAnsi"/>
          <w:spacing w:val="33"/>
          <w:sz w:val="20"/>
          <w:szCs w:val="20"/>
        </w:rPr>
        <w:t xml:space="preserve"> </w:t>
      </w:r>
      <w:r w:rsidRPr="000977F7">
        <w:rPr>
          <w:rFonts w:asciiTheme="majorHAnsi" w:hAnsiTheme="majorHAnsi"/>
          <w:sz w:val="20"/>
          <w:szCs w:val="20"/>
        </w:rPr>
        <w:t>устатку-вання, технологій і систем, якщо вони не відповідають</w:t>
      </w:r>
      <w:r w:rsidRPr="000977F7">
        <w:rPr>
          <w:rFonts w:asciiTheme="majorHAnsi" w:hAnsiTheme="majorHAnsi"/>
          <w:spacing w:val="-1"/>
          <w:sz w:val="20"/>
          <w:szCs w:val="20"/>
        </w:rPr>
        <w:t xml:space="preserve"> </w:t>
      </w:r>
      <w:r w:rsidRPr="000977F7">
        <w:rPr>
          <w:rFonts w:asciiTheme="majorHAnsi" w:hAnsiTheme="majorHAnsi"/>
          <w:sz w:val="20"/>
          <w:szCs w:val="20"/>
        </w:rPr>
        <w:t>вимогам</w:t>
      </w:r>
      <w:r w:rsidRPr="000977F7">
        <w:rPr>
          <w:rFonts w:asciiTheme="majorHAnsi" w:hAnsiTheme="majorHAnsi"/>
          <w:spacing w:val="1"/>
          <w:sz w:val="20"/>
          <w:szCs w:val="20"/>
        </w:rPr>
        <w:t xml:space="preserve"> </w:t>
      </w:r>
      <w:r w:rsidRPr="000977F7">
        <w:rPr>
          <w:rFonts w:asciiTheme="majorHAnsi" w:hAnsiTheme="majorHAnsi"/>
          <w:sz w:val="20"/>
          <w:szCs w:val="20"/>
        </w:rPr>
        <w:t>екологічної</w:t>
      </w:r>
      <w:r w:rsidRPr="000977F7">
        <w:rPr>
          <w:rFonts w:asciiTheme="majorHAnsi" w:hAnsiTheme="majorHAnsi"/>
          <w:spacing w:val="-2"/>
          <w:sz w:val="20"/>
          <w:szCs w:val="20"/>
        </w:rPr>
        <w:t xml:space="preserve"> </w:t>
      </w:r>
      <w:r w:rsidRPr="000977F7">
        <w:rPr>
          <w:rFonts w:asciiTheme="majorHAnsi" w:hAnsiTheme="majorHAnsi"/>
          <w:sz w:val="20"/>
          <w:szCs w:val="20"/>
        </w:rPr>
        <w:t>безпеки.</w:t>
      </w:r>
    </w:p>
    <w:p w14:paraId="5E6534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разі порушення встановлених вимог така діяльність припиняється уповноваженими на те державними органами, а винні особи притягуються до відповідальності.</w:t>
      </w:r>
    </w:p>
    <w:p w14:paraId="6B9CBBF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w w:val="95"/>
          <w:sz w:val="20"/>
          <w:szCs w:val="20"/>
        </w:rPr>
        <w:t>Ст. 57 закону України "Про охорону навколишнього природ</w:t>
      </w:r>
      <w:r w:rsidRPr="000977F7">
        <w:rPr>
          <w:rFonts w:asciiTheme="majorHAnsi" w:hAnsiTheme="majorHAnsi"/>
          <w:i/>
          <w:sz w:val="20"/>
          <w:szCs w:val="20"/>
        </w:rPr>
        <w:t>ного</w:t>
      </w:r>
      <w:r w:rsidRPr="000977F7">
        <w:rPr>
          <w:rFonts w:asciiTheme="majorHAnsi" w:hAnsiTheme="majorHAnsi"/>
          <w:i/>
          <w:spacing w:val="1"/>
          <w:sz w:val="20"/>
          <w:szCs w:val="20"/>
        </w:rPr>
        <w:t xml:space="preserve"> </w:t>
      </w:r>
      <w:r w:rsidRPr="000977F7">
        <w:rPr>
          <w:rFonts w:asciiTheme="majorHAnsi" w:hAnsiTheme="majorHAnsi"/>
          <w:i/>
          <w:sz w:val="20"/>
          <w:szCs w:val="20"/>
        </w:rPr>
        <w:t>середовища"</w:t>
      </w:r>
    </w:p>
    <w:p w14:paraId="76E3D0E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ДОДЕРЖАННЯ</w:t>
      </w:r>
      <w:r w:rsidRPr="000977F7">
        <w:rPr>
          <w:color w:val="auto"/>
          <w:spacing w:val="1"/>
          <w:sz w:val="20"/>
          <w:szCs w:val="20"/>
        </w:rPr>
        <w:t xml:space="preserve"> </w:t>
      </w:r>
      <w:r w:rsidRPr="000977F7">
        <w:rPr>
          <w:color w:val="auto"/>
          <w:sz w:val="20"/>
          <w:szCs w:val="20"/>
        </w:rPr>
        <w:t>ВИМОГ</w:t>
      </w:r>
      <w:r w:rsidRPr="000977F7">
        <w:rPr>
          <w:color w:val="auto"/>
          <w:spacing w:val="1"/>
          <w:sz w:val="20"/>
          <w:szCs w:val="20"/>
        </w:rPr>
        <w:t xml:space="preserve"> </w:t>
      </w:r>
      <w:r w:rsidRPr="000977F7">
        <w:rPr>
          <w:color w:val="auto"/>
          <w:sz w:val="20"/>
          <w:szCs w:val="20"/>
        </w:rPr>
        <w:t>ЩОДО</w:t>
      </w:r>
      <w:r w:rsidRPr="000977F7">
        <w:rPr>
          <w:color w:val="auto"/>
          <w:spacing w:val="1"/>
          <w:sz w:val="20"/>
          <w:szCs w:val="20"/>
        </w:rPr>
        <w:t xml:space="preserve"> </w:t>
      </w:r>
      <w:r w:rsidRPr="000977F7">
        <w:rPr>
          <w:color w:val="auto"/>
          <w:sz w:val="20"/>
          <w:szCs w:val="20"/>
        </w:rPr>
        <w:t>ОХОРОНИ</w:t>
      </w:r>
      <w:r w:rsidRPr="000977F7">
        <w:rPr>
          <w:color w:val="auto"/>
          <w:spacing w:val="1"/>
          <w:sz w:val="20"/>
          <w:szCs w:val="20"/>
        </w:rPr>
        <w:t xml:space="preserve"> </w:t>
      </w:r>
      <w:r w:rsidRPr="000977F7">
        <w:rPr>
          <w:color w:val="auto"/>
          <w:sz w:val="20"/>
          <w:szCs w:val="20"/>
        </w:rPr>
        <w:t>ПРАЦІ ПІД ЧАС ПРОЕКТУВАННЯ, БУДІВНИЦТВА</w:t>
      </w:r>
      <w:r w:rsidRPr="000977F7">
        <w:rPr>
          <w:color w:val="auto"/>
          <w:spacing w:val="1"/>
          <w:sz w:val="20"/>
          <w:szCs w:val="20"/>
        </w:rPr>
        <w:t xml:space="preserve"> </w:t>
      </w:r>
      <w:r w:rsidRPr="000977F7">
        <w:rPr>
          <w:color w:val="auto"/>
          <w:sz w:val="20"/>
          <w:szCs w:val="20"/>
        </w:rPr>
        <w:t>(ВИГОТОВЛЕННЯ)</w:t>
      </w:r>
      <w:r w:rsidRPr="000977F7">
        <w:rPr>
          <w:color w:val="auto"/>
          <w:spacing w:val="1"/>
          <w:sz w:val="20"/>
          <w:szCs w:val="20"/>
        </w:rPr>
        <w:t xml:space="preserve"> </w:t>
      </w:r>
      <w:r w:rsidRPr="000977F7">
        <w:rPr>
          <w:color w:val="auto"/>
          <w:sz w:val="20"/>
          <w:szCs w:val="20"/>
        </w:rPr>
        <w:t>ТА</w:t>
      </w:r>
      <w:r w:rsidRPr="000977F7">
        <w:rPr>
          <w:color w:val="auto"/>
          <w:spacing w:val="1"/>
          <w:sz w:val="20"/>
          <w:szCs w:val="20"/>
        </w:rPr>
        <w:t xml:space="preserve"> </w:t>
      </w:r>
      <w:r w:rsidRPr="000977F7">
        <w:rPr>
          <w:color w:val="auto"/>
          <w:sz w:val="20"/>
          <w:szCs w:val="20"/>
        </w:rPr>
        <w:t>РЕКОНСТРУКЦІЇ</w:t>
      </w:r>
      <w:r w:rsidRPr="000977F7">
        <w:rPr>
          <w:color w:val="auto"/>
          <w:spacing w:val="1"/>
          <w:sz w:val="20"/>
          <w:szCs w:val="20"/>
        </w:rPr>
        <w:t xml:space="preserve"> </w:t>
      </w:r>
      <w:r w:rsidRPr="000977F7">
        <w:rPr>
          <w:color w:val="auto"/>
          <w:sz w:val="20"/>
          <w:szCs w:val="20"/>
        </w:rPr>
        <w:t>ПІДПРИЄМСТВ, ОБ’ЄКТІВ І ЗАСОБІВ ВИРОБ</w:t>
      </w:r>
      <w:r w:rsidRPr="000977F7">
        <w:rPr>
          <w:color w:val="auto"/>
          <w:spacing w:val="1"/>
          <w:sz w:val="20"/>
          <w:szCs w:val="20"/>
        </w:rPr>
        <w:t xml:space="preserve"> </w:t>
      </w:r>
      <w:r w:rsidRPr="000977F7">
        <w:rPr>
          <w:color w:val="auto"/>
          <w:sz w:val="20"/>
          <w:szCs w:val="20"/>
        </w:rPr>
        <w:t>НИЦТВА -</w:t>
      </w:r>
    </w:p>
    <w:p w14:paraId="1CD2874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Виробничі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будівлі,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споруди,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машини,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механізми,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устаткування, транспортні засоби, що вводяться в дію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після будівництва (виготовлення) або реконструкції,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капітального ремонту тощо, та технологічні процеси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повинні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відповідати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вимогам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нормативно-правових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актів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 охорони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праці.</w:t>
      </w:r>
    </w:p>
    <w:p w14:paraId="539CD3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4D2D14">
        <w:rPr>
          <w:rFonts w:asciiTheme="majorHAnsi" w:hAnsiTheme="majorHAnsi"/>
          <w:sz w:val="20"/>
          <w:szCs w:val="20"/>
          <w:lang w:val="uk-UA"/>
        </w:rPr>
        <w:t>Проектування виробничих об’єктів, розроблення нових технологій, засобів виробництва, засобів колективного та індивідуального захисту працюючих повинні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 xml:space="preserve">провадитися з урахуванням вимог щодо охорони праці. </w:t>
      </w:r>
      <w:r w:rsidRPr="000977F7">
        <w:rPr>
          <w:rFonts w:asciiTheme="majorHAnsi" w:hAnsiTheme="majorHAnsi"/>
          <w:sz w:val="20"/>
          <w:szCs w:val="20"/>
        </w:rPr>
        <w:t>Експертиза</w:t>
      </w:r>
      <w:r w:rsidRPr="000977F7">
        <w:rPr>
          <w:rFonts w:asciiTheme="majorHAnsi" w:hAnsiTheme="majorHAnsi"/>
          <w:spacing w:val="1"/>
          <w:sz w:val="20"/>
          <w:szCs w:val="20"/>
        </w:rPr>
        <w:t xml:space="preserve"> </w:t>
      </w:r>
      <w:r w:rsidRPr="000977F7">
        <w:rPr>
          <w:rFonts w:asciiTheme="majorHAnsi" w:hAnsiTheme="majorHAnsi"/>
          <w:sz w:val="20"/>
          <w:szCs w:val="20"/>
        </w:rPr>
        <w:t>проектів будівництва</w:t>
      </w:r>
      <w:r w:rsidRPr="000977F7">
        <w:rPr>
          <w:rFonts w:asciiTheme="majorHAnsi" w:hAnsiTheme="majorHAnsi"/>
          <w:spacing w:val="1"/>
          <w:sz w:val="20"/>
          <w:szCs w:val="20"/>
        </w:rPr>
        <w:t xml:space="preserve"> </w:t>
      </w:r>
      <w:r w:rsidRPr="000977F7">
        <w:rPr>
          <w:rFonts w:asciiTheme="majorHAnsi" w:hAnsiTheme="majorHAnsi"/>
          <w:sz w:val="20"/>
          <w:szCs w:val="20"/>
        </w:rPr>
        <w:t>на їх відповідність</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нормативно-правовим</w:t>
      </w:r>
      <w:r w:rsidRPr="000977F7">
        <w:rPr>
          <w:rFonts w:asciiTheme="majorHAnsi" w:hAnsiTheme="majorHAnsi"/>
          <w:spacing w:val="1"/>
          <w:sz w:val="20"/>
          <w:szCs w:val="20"/>
        </w:rPr>
        <w:t xml:space="preserve"> </w:t>
      </w:r>
      <w:r w:rsidRPr="000977F7">
        <w:rPr>
          <w:rFonts w:asciiTheme="majorHAnsi" w:hAnsiTheme="majorHAnsi"/>
          <w:sz w:val="20"/>
          <w:szCs w:val="20"/>
        </w:rPr>
        <w:t>актам</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1"/>
          <w:sz w:val="20"/>
          <w:szCs w:val="20"/>
        </w:rPr>
        <w:t xml:space="preserve"> </w:t>
      </w:r>
      <w:r w:rsidRPr="000977F7">
        <w:rPr>
          <w:rFonts w:asciiTheme="majorHAnsi" w:hAnsiTheme="majorHAnsi"/>
          <w:sz w:val="20"/>
          <w:szCs w:val="20"/>
        </w:rPr>
        <w:t>праці</w:t>
      </w:r>
      <w:r w:rsidRPr="000977F7">
        <w:rPr>
          <w:rFonts w:asciiTheme="majorHAnsi" w:hAnsiTheme="majorHAnsi"/>
          <w:spacing w:val="1"/>
          <w:sz w:val="20"/>
          <w:szCs w:val="20"/>
        </w:rPr>
        <w:t xml:space="preserve"> </w:t>
      </w:r>
      <w:r w:rsidRPr="000977F7">
        <w:rPr>
          <w:rFonts w:asciiTheme="majorHAnsi" w:hAnsiTheme="majorHAnsi"/>
          <w:sz w:val="20"/>
          <w:szCs w:val="20"/>
        </w:rPr>
        <w:t>проводиться відповідно до статті 31 Закону України</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2"/>
          <w:sz w:val="20"/>
          <w:szCs w:val="20"/>
        </w:rPr>
        <w:t xml:space="preserve"> </w:t>
      </w:r>
      <w:r w:rsidRPr="000977F7">
        <w:rPr>
          <w:rFonts w:asciiTheme="majorHAnsi" w:hAnsiTheme="majorHAnsi"/>
          <w:sz w:val="20"/>
          <w:szCs w:val="20"/>
        </w:rPr>
        <w:t>регулювання</w:t>
      </w:r>
      <w:r w:rsidRPr="000977F7">
        <w:rPr>
          <w:rFonts w:asciiTheme="majorHAnsi" w:hAnsiTheme="majorHAnsi"/>
          <w:spacing w:val="-2"/>
          <w:sz w:val="20"/>
          <w:szCs w:val="20"/>
        </w:rPr>
        <w:t xml:space="preserve"> </w:t>
      </w:r>
      <w:r w:rsidRPr="000977F7">
        <w:rPr>
          <w:rFonts w:asciiTheme="majorHAnsi" w:hAnsiTheme="majorHAnsi"/>
          <w:sz w:val="20"/>
          <w:szCs w:val="20"/>
        </w:rPr>
        <w:t>містобудівної</w:t>
      </w:r>
      <w:r w:rsidRPr="000977F7">
        <w:rPr>
          <w:rFonts w:asciiTheme="majorHAnsi" w:hAnsiTheme="majorHAnsi"/>
          <w:spacing w:val="-2"/>
          <w:sz w:val="20"/>
          <w:szCs w:val="20"/>
        </w:rPr>
        <w:t xml:space="preserve"> </w:t>
      </w:r>
      <w:r w:rsidRPr="000977F7">
        <w:rPr>
          <w:rFonts w:asciiTheme="majorHAnsi" w:hAnsiTheme="majorHAnsi"/>
          <w:sz w:val="20"/>
          <w:szCs w:val="20"/>
        </w:rPr>
        <w:t>діяльності".</w:t>
      </w:r>
    </w:p>
    <w:p w14:paraId="425BBFF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Роботодавець повинен одержати дозвіл на виконання</w:t>
      </w:r>
      <w:r w:rsidRPr="000977F7">
        <w:rPr>
          <w:rFonts w:asciiTheme="majorHAnsi" w:hAnsiTheme="majorHAnsi"/>
          <w:spacing w:val="1"/>
          <w:sz w:val="20"/>
          <w:szCs w:val="20"/>
        </w:rPr>
        <w:t xml:space="preserve"> </w:t>
      </w:r>
      <w:r w:rsidRPr="000977F7">
        <w:rPr>
          <w:rFonts w:asciiTheme="majorHAnsi" w:hAnsiTheme="majorHAnsi"/>
          <w:sz w:val="20"/>
          <w:szCs w:val="20"/>
        </w:rPr>
        <w:t>робіт підвищеної небезпеки та на експлуатацію (застосування) машин, механізмів, устаткування підвищеної небезпеки (далі дозвіл). Центральний орган</w:t>
      </w:r>
      <w:r w:rsidRPr="000977F7">
        <w:rPr>
          <w:rFonts w:asciiTheme="majorHAnsi" w:hAnsiTheme="majorHAnsi"/>
          <w:spacing w:val="1"/>
          <w:sz w:val="20"/>
          <w:szCs w:val="20"/>
        </w:rPr>
        <w:t xml:space="preserve"> </w:t>
      </w:r>
      <w:r w:rsidRPr="000977F7">
        <w:rPr>
          <w:rFonts w:asciiTheme="majorHAnsi" w:hAnsiTheme="majorHAnsi"/>
          <w:sz w:val="20"/>
          <w:szCs w:val="20"/>
        </w:rPr>
        <w:t>виконавчої влади, що реалізує державну політику у</w:t>
      </w:r>
      <w:r w:rsidRPr="000977F7">
        <w:rPr>
          <w:rFonts w:asciiTheme="majorHAnsi" w:hAnsiTheme="majorHAnsi"/>
          <w:spacing w:val="1"/>
          <w:sz w:val="20"/>
          <w:szCs w:val="20"/>
        </w:rPr>
        <w:t xml:space="preserve"> </w:t>
      </w:r>
      <w:r w:rsidRPr="000977F7">
        <w:rPr>
          <w:rFonts w:asciiTheme="majorHAnsi" w:hAnsiTheme="majorHAnsi"/>
          <w:sz w:val="20"/>
          <w:szCs w:val="20"/>
        </w:rPr>
        <w:t>сфері</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1"/>
          <w:sz w:val="20"/>
          <w:szCs w:val="20"/>
        </w:rPr>
        <w:t xml:space="preserve"> </w:t>
      </w:r>
      <w:r w:rsidRPr="000977F7">
        <w:rPr>
          <w:rFonts w:asciiTheme="majorHAnsi" w:hAnsiTheme="majorHAnsi"/>
          <w:sz w:val="20"/>
          <w:szCs w:val="20"/>
        </w:rPr>
        <w:t>праці,</w:t>
      </w:r>
      <w:r w:rsidRPr="000977F7">
        <w:rPr>
          <w:rFonts w:asciiTheme="majorHAnsi" w:hAnsiTheme="majorHAnsi"/>
          <w:spacing w:val="1"/>
          <w:sz w:val="20"/>
          <w:szCs w:val="20"/>
        </w:rPr>
        <w:t xml:space="preserve"> </w:t>
      </w:r>
      <w:r w:rsidRPr="000977F7">
        <w:rPr>
          <w:rFonts w:asciiTheme="majorHAnsi" w:hAnsiTheme="majorHAnsi"/>
          <w:sz w:val="20"/>
          <w:szCs w:val="20"/>
        </w:rPr>
        <w:t>видає</w:t>
      </w:r>
      <w:r w:rsidRPr="000977F7">
        <w:rPr>
          <w:rFonts w:asciiTheme="majorHAnsi" w:hAnsiTheme="majorHAnsi"/>
          <w:spacing w:val="1"/>
          <w:sz w:val="20"/>
          <w:szCs w:val="20"/>
        </w:rPr>
        <w:t xml:space="preserve"> </w:t>
      </w:r>
      <w:r w:rsidRPr="000977F7">
        <w:rPr>
          <w:rFonts w:asciiTheme="majorHAnsi" w:hAnsiTheme="majorHAnsi"/>
          <w:sz w:val="20"/>
          <w:szCs w:val="20"/>
        </w:rPr>
        <w:t>дозволи</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безоплатній</w:t>
      </w:r>
      <w:r w:rsidRPr="000977F7">
        <w:rPr>
          <w:rFonts w:asciiTheme="majorHAnsi" w:hAnsiTheme="majorHAnsi"/>
          <w:spacing w:val="-47"/>
          <w:sz w:val="20"/>
          <w:szCs w:val="20"/>
        </w:rPr>
        <w:t xml:space="preserve"> </w:t>
      </w:r>
      <w:r w:rsidRPr="000977F7">
        <w:rPr>
          <w:rFonts w:asciiTheme="majorHAnsi" w:hAnsiTheme="majorHAnsi"/>
          <w:sz w:val="20"/>
          <w:szCs w:val="20"/>
        </w:rPr>
        <w:t>основі на підставі висновку експертизи стану охорони</w:t>
      </w:r>
      <w:r w:rsidRPr="000977F7">
        <w:rPr>
          <w:rFonts w:asciiTheme="majorHAnsi" w:hAnsiTheme="majorHAnsi"/>
          <w:spacing w:val="-47"/>
          <w:sz w:val="20"/>
          <w:szCs w:val="20"/>
        </w:rPr>
        <w:t xml:space="preserve"> </w:t>
      </w:r>
      <w:r w:rsidRPr="000977F7">
        <w:rPr>
          <w:rFonts w:asciiTheme="majorHAnsi" w:hAnsiTheme="majorHAnsi"/>
          <w:sz w:val="20"/>
          <w:szCs w:val="20"/>
        </w:rPr>
        <w:t>праці та безпеки промислового виробництва суб’єкта</w:t>
      </w:r>
      <w:r w:rsidRPr="000977F7">
        <w:rPr>
          <w:rFonts w:asciiTheme="majorHAnsi" w:hAnsiTheme="majorHAnsi"/>
          <w:spacing w:val="1"/>
          <w:sz w:val="20"/>
          <w:szCs w:val="20"/>
        </w:rPr>
        <w:t xml:space="preserve"> </w:t>
      </w:r>
      <w:r w:rsidRPr="000977F7">
        <w:rPr>
          <w:rFonts w:asciiTheme="majorHAnsi" w:hAnsiTheme="majorHAnsi"/>
          <w:sz w:val="20"/>
          <w:szCs w:val="20"/>
        </w:rPr>
        <w:t>господарювання,</w:t>
      </w:r>
      <w:r w:rsidRPr="000977F7">
        <w:rPr>
          <w:rFonts w:asciiTheme="majorHAnsi" w:hAnsiTheme="majorHAnsi"/>
          <w:spacing w:val="1"/>
          <w:sz w:val="20"/>
          <w:szCs w:val="20"/>
        </w:rPr>
        <w:t xml:space="preserve"> </w:t>
      </w:r>
      <w:r w:rsidRPr="000977F7">
        <w:rPr>
          <w:rFonts w:asciiTheme="majorHAnsi" w:hAnsiTheme="majorHAnsi"/>
          <w:sz w:val="20"/>
          <w:szCs w:val="20"/>
        </w:rPr>
        <w:t>проведеної</w:t>
      </w:r>
      <w:r w:rsidRPr="000977F7">
        <w:rPr>
          <w:rFonts w:asciiTheme="majorHAnsi" w:hAnsiTheme="majorHAnsi"/>
          <w:spacing w:val="1"/>
          <w:sz w:val="20"/>
          <w:szCs w:val="20"/>
        </w:rPr>
        <w:t xml:space="preserve"> </w:t>
      </w:r>
      <w:r w:rsidRPr="000977F7">
        <w:rPr>
          <w:rFonts w:asciiTheme="majorHAnsi" w:hAnsiTheme="majorHAnsi"/>
          <w:sz w:val="20"/>
          <w:szCs w:val="20"/>
        </w:rPr>
        <w:t>експертно-технічними</w:t>
      </w:r>
      <w:r w:rsidRPr="000977F7">
        <w:rPr>
          <w:rFonts w:asciiTheme="majorHAnsi" w:hAnsiTheme="majorHAnsi"/>
          <w:spacing w:val="1"/>
          <w:sz w:val="20"/>
          <w:szCs w:val="20"/>
        </w:rPr>
        <w:t xml:space="preserve"> </w:t>
      </w:r>
      <w:r w:rsidRPr="000977F7">
        <w:rPr>
          <w:rFonts w:asciiTheme="majorHAnsi" w:hAnsiTheme="majorHAnsi"/>
          <w:sz w:val="20"/>
          <w:szCs w:val="20"/>
        </w:rPr>
        <w:t>центрами, які належать до сфери управління центрального органу виконавчої влади, що реалізує державну політику у сфері охорони праці, або незалежними</w:t>
      </w:r>
      <w:r w:rsidRPr="000977F7">
        <w:rPr>
          <w:rFonts w:asciiTheme="majorHAnsi" w:hAnsiTheme="majorHAnsi"/>
          <w:spacing w:val="1"/>
          <w:sz w:val="20"/>
          <w:szCs w:val="20"/>
        </w:rPr>
        <w:t xml:space="preserve"> </w:t>
      </w:r>
      <w:r w:rsidRPr="000977F7">
        <w:rPr>
          <w:rFonts w:asciiTheme="majorHAnsi" w:hAnsiTheme="majorHAnsi"/>
          <w:sz w:val="20"/>
          <w:szCs w:val="20"/>
        </w:rPr>
        <w:t>експертними організаціями, які забезпечують науково-технічну</w:t>
      </w:r>
      <w:r w:rsidRPr="000977F7">
        <w:rPr>
          <w:rFonts w:asciiTheme="majorHAnsi" w:hAnsiTheme="majorHAnsi"/>
          <w:spacing w:val="1"/>
          <w:sz w:val="20"/>
          <w:szCs w:val="20"/>
        </w:rPr>
        <w:t xml:space="preserve"> </w:t>
      </w:r>
      <w:r w:rsidRPr="000977F7">
        <w:rPr>
          <w:rFonts w:asciiTheme="majorHAnsi" w:hAnsiTheme="majorHAnsi"/>
          <w:sz w:val="20"/>
          <w:szCs w:val="20"/>
        </w:rPr>
        <w:t>підтримку</w:t>
      </w:r>
      <w:r w:rsidRPr="000977F7">
        <w:rPr>
          <w:rFonts w:asciiTheme="majorHAnsi" w:hAnsiTheme="majorHAnsi"/>
          <w:spacing w:val="1"/>
          <w:sz w:val="20"/>
          <w:szCs w:val="20"/>
        </w:rPr>
        <w:t xml:space="preserve"> </w:t>
      </w:r>
      <w:r w:rsidRPr="000977F7">
        <w:rPr>
          <w:rFonts w:asciiTheme="majorHAnsi" w:hAnsiTheme="majorHAnsi"/>
          <w:sz w:val="20"/>
          <w:szCs w:val="20"/>
        </w:rPr>
        <w:t>державного</w:t>
      </w:r>
      <w:r w:rsidRPr="000977F7">
        <w:rPr>
          <w:rFonts w:asciiTheme="majorHAnsi" w:hAnsiTheme="majorHAnsi"/>
          <w:spacing w:val="1"/>
          <w:sz w:val="20"/>
          <w:szCs w:val="20"/>
        </w:rPr>
        <w:t xml:space="preserve"> </w:t>
      </w:r>
      <w:r w:rsidRPr="000977F7">
        <w:rPr>
          <w:rFonts w:asciiTheme="majorHAnsi" w:hAnsiTheme="majorHAnsi"/>
          <w:sz w:val="20"/>
          <w:szCs w:val="20"/>
        </w:rPr>
        <w:t>нагляду</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сфері</w:t>
      </w:r>
      <w:r w:rsidRPr="000977F7">
        <w:rPr>
          <w:rFonts w:asciiTheme="majorHAnsi" w:hAnsiTheme="majorHAnsi"/>
          <w:spacing w:val="1"/>
          <w:sz w:val="20"/>
          <w:szCs w:val="20"/>
        </w:rPr>
        <w:t xml:space="preserve"> </w:t>
      </w:r>
      <w:r w:rsidRPr="000977F7">
        <w:rPr>
          <w:rFonts w:asciiTheme="majorHAnsi" w:hAnsiTheme="majorHAnsi"/>
          <w:sz w:val="20"/>
          <w:szCs w:val="20"/>
        </w:rPr>
        <w:t>промислової</w:t>
      </w:r>
      <w:r w:rsidRPr="000977F7">
        <w:rPr>
          <w:rFonts w:asciiTheme="majorHAnsi" w:hAnsiTheme="majorHAnsi"/>
          <w:spacing w:val="1"/>
          <w:sz w:val="20"/>
          <w:szCs w:val="20"/>
        </w:rPr>
        <w:t xml:space="preserve"> </w:t>
      </w:r>
      <w:r w:rsidRPr="000977F7">
        <w:rPr>
          <w:rFonts w:asciiTheme="majorHAnsi" w:hAnsiTheme="majorHAnsi"/>
          <w:sz w:val="20"/>
          <w:szCs w:val="20"/>
        </w:rPr>
        <w:t>безпеки та</w:t>
      </w:r>
      <w:r w:rsidRPr="000977F7">
        <w:rPr>
          <w:rFonts w:asciiTheme="majorHAnsi" w:hAnsiTheme="majorHAnsi"/>
          <w:spacing w:val="1"/>
          <w:sz w:val="20"/>
          <w:szCs w:val="20"/>
        </w:rPr>
        <w:t xml:space="preserve"> </w:t>
      </w:r>
      <w:r w:rsidRPr="000977F7">
        <w:rPr>
          <w:rFonts w:asciiTheme="majorHAnsi" w:hAnsiTheme="majorHAnsi"/>
          <w:sz w:val="20"/>
          <w:szCs w:val="20"/>
        </w:rPr>
        <w:t>охорони праці.</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машин,</w:t>
      </w:r>
      <w:r w:rsidRPr="000977F7">
        <w:rPr>
          <w:rFonts w:asciiTheme="majorHAnsi" w:hAnsiTheme="majorHAnsi"/>
          <w:spacing w:val="1"/>
          <w:sz w:val="20"/>
          <w:szCs w:val="20"/>
        </w:rPr>
        <w:t xml:space="preserve"> </w:t>
      </w:r>
      <w:r w:rsidRPr="000977F7">
        <w:rPr>
          <w:rFonts w:asciiTheme="majorHAnsi" w:hAnsiTheme="majorHAnsi"/>
          <w:sz w:val="20"/>
          <w:szCs w:val="20"/>
        </w:rPr>
        <w:t>механізмів,</w:t>
      </w:r>
      <w:r w:rsidRPr="000977F7">
        <w:rPr>
          <w:rFonts w:asciiTheme="majorHAnsi" w:hAnsiTheme="majorHAnsi"/>
          <w:spacing w:val="1"/>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1"/>
          <w:sz w:val="20"/>
          <w:szCs w:val="20"/>
        </w:rPr>
        <w:t xml:space="preserve"> </w:t>
      </w:r>
      <w:r w:rsidRPr="000977F7">
        <w:rPr>
          <w:rFonts w:asciiTheme="majorHAnsi" w:hAnsiTheme="majorHAnsi"/>
          <w:sz w:val="20"/>
          <w:szCs w:val="20"/>
        </w:rPr>
        <w:t>підвищеної</w:t>
      </w:r>
      <w:r w:rsidRPr="000977F7">
        <w:rPr>
          <w:rFonts w:asciiTheme="majorHAnsi" w:hAnsiTheme="majorHAnsi"/>
          <w:spacing w:val="1"/>
          <w:sz w:val="20"/>
          <w:szCs w:val="20"/>
        </w:rPr>
        <w:t xml:space="preserve"> </w:t>
      </w:r>
      <w:r w:rsidRPr="000977F7">
        <w:rPr>
          <w:rFonts w:asciiTheme="majorHAnsi" w:hAnsiTheme="majorHAnsi"/>
          <w:sz w:val="20"/>
          <w:szCs w:val="20"/>
        </w:rPr>
        <w:t>небезпеки виробник або</w:t>
      </w:r>
      <w:r w:rsidRPr="000977F7">
        <w:rPr>
          <w:rFonts w:asciiTheme="majorHAnsi" w:hAnsiTheme="majorHAnsi"/>
          <w:spacing w:val="1"/>
          <w:sz w:val="20"/>
          <w:szCs w:val="20"/>
        </w:rPr>
        <w:t xml:space="preserve"> </w:t>
      </w:r>
      <w:r w:rsidRPr="000977F7">
        <w:rPr>
          <w:rFonts w:asciiTheme="majorHAnsi" w:hAnsiTheme="majorHAnsi"/>
          <w:sz w:val="20"/>
          <w:szCs w:val="20"/>
        </w:rPr>
        <w:t>постачальник</w:t>
      </w:r>
      <w:r w:rsidRPr="000977F7">
        <w:rPr>
          <w:rFonts w:asciiTheme="majorHAnsi" w:hAnsiTheme="majorHAnsi"/>
          <w:spacing w:val="1"/>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1"/>
          <w:sz w:val="20"/>
          <w:szCs w:val="20"/>
        </w:rPr>
        <w:t xml:space="preserve"> </w:t>
      </w:r>
      <w:r w:rsidRPr="000977F7">
        <w:rPr>
          <w:rFonts w:asciiTheme="majorHAnsi" w:hAnsiTheme="majorHAnsi"/>
          <w:sz w:val="20"/>
          <w:szCs w:val="20"/>
        </w:rPr>
        <w:t>підвищеної</w:t>
      </w:r>
      <w:r w:rsidRPr="000977F7">
        <w:rPr>
          <w:rFonts w:asciiTheme="majorHAnsi" w:hAnsiTheme="majorHAnsi"/>
          <w:spacing w:val="1"/>
          <w:sz w:val="20"/>
          <w:szCs w:val="20"/>
        </w:rPr>
        <w:t xml:space="preserve"> </w:t>
      </w:r>
      <w:r w:rsidRPr="000977F7">
        <w:rPr>
          <w:rFonts w:asciiTheme="majorHAnsi" w:hAnsiTheme="majorHAnsi"/>
          <w:sz w:val="20"/>
          <w:szCs w:val="20"/>
        </w:rPr>
        <w:t>небезпеки</w:t>
      </w:r>
      <w:r w:rsidRPr="000977F7">
        <w:rPr>
          <w:rFonts w:asciiTheme="majorHAnsi" w:hAnsiTheme="majorHAnsi"/>
          <w:spacing w:val="1"/>
          <w:sz w:val="20"/>
          <w:szCs w:val="20"/>
        </w:rPr>
        <w:t xml:space="preserve"> </w:t>
      </w:r>
      <w:r w:rsidRPr="000977F7">
        <w:rPr>
          <w:rFonts w:asciiTheme="majorHAnsi" w:hAnsiTheme="majorHAnsi"/>
          <w:sz w:val="20"/>
          <w:szCs w:val="20"/>
        </w:rPr>
        <w:t>отримує</w:t>
      </w:r>
      <w:r w:rsidRPr="000977F7">
        <w:rPr>
          <w:rFonts w:asciiTheme="majorHAnsi" w:hAnsiTheme="majorHAnsi"/>
          <w:spacing w:val="1"/>
          <w:sz w:val="20"/>
          <w:szCs w:val="20"/>
        </w:rPr>
        <w:t xml:space="preserve"> </w:t>
      </w:r>
      <w:r w:rsidRPr="000977F7">
        <w:rPr>
          <w:rFonts w:asciiTheme="majorHAnsi" w:hAnsiTheme="majorHAnsi"/>
          <w:sz w:val="20"/>
          <w:szCs w:val="20"/>
        </w:rPr>
        <w:t>дозвіл</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прийняття</w:t>
      </w:r>
      <w:r w:rsidRPr="000977F7">
        <w:rPr>
          <w:rFonts w:asciiTheme="majorHAnsi" w:hAnsiTheme="majorHAnsi"/>
          <w:spacing w:val="-47"/>
          <w:sz w:val="20"/>
          <w:szCs w:val="20"/>
        </w:rPr>
        <w:t xml:space="preserve"> </w:t>
      </w:r>
      <w:r w:rsidRPr="000977F7">
        <w:rPr>
          <w:rFonts w:asciiTheme="majorHAnsi" w:hAnsiTheme="majorHAnsi"/>
          <w:sz w:val="20"/>
          <w:szCs w:val="20"/>
        </w:rPr>
        <w:t>зобов'язань на постачання. Одержання дозволу не вимагається у разі експлуатації (застосування) устаткування підвищеної небезпеки, яке прийнято в експлуатацію з видачею відповідного сертифіката або щодо</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зареєстровано</w:t>
      </w:r>
      <w:r w:rsidRPr="000977F7">
        <w:rPr>
          <w:rFonts w:asciiTheme="majorHAnsi" w:hAnsiTheme="majorHAnsi"/>
          <w:spacing w:val="1"/>
          <w:sz w:val="20"/>
          <w:szCs w:val="20"/>
        </w:rPr>
        <w:t xml:space="preserve"> </w:t>
      </w:r>
      <w:r w:rsidRPr="000977F7">
        <w:rPr>
          <w:rFonts w:asciiTheme="majorHAnsi" w:hAnsiTheme="majorHAnsi"/>
          <w:sz w:val="20"/>
          <w:szCs w:val="20"/>
        </w:rPr>
        <w:t>декларацію</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готовність</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експлуатації, а також у разі реєстрації машин, механізмів,</w:t>
      </w:r>
      <w:r w:rsidRPr="000977F7">
        <w:rPr>
          <w:rFonts w:asciiTheme="majorHAnsi" w:hAnsiTheme="majorHAnsi"/>
          <w:spacing w:val="1"/>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1"/>
          <w:sz w:val="20"/>
          <w:szCs w:val="20"/>
        </w:rPr>
        <w:t xml:space="preserve"> </w:t>
      </w:r>
      <w:r w:rsidRPr="000977F7">
        <w:rPr>
          <w:rFonts w:asciiTheme="majorHAnsi" w:hAnsiTheme="majorHAnsi"/>
          <w:sz w:val="20"/>
          <w:szCs w:val="20"/>
        </w:rPr>
        <w:t>підвищеної</w:t>
      </w:r>
      <w:r w:rsidRPr="000977F7">
        <w:rPr>
          <w:rFonts w:asciiTheme="majorHAnsi" w:hAnsiTheme="majorHAnsi"/>
          <w:spacing w:val="1"/>
          <w:sz w:val="20"/>
          <w:szCs w:val="20"/>
        </w:rPr>
        <w:t xml:space="preserve"> </w:t>
      </w:r>
      <w:r w:rsidRPr="000977F7">
        <w:rPr>
          <w:rFonts w:asciiTheme="majorHAnsi" w:hAnsiTheme="majorHAnsi"/>
          <w:sz w:val="20"/>
          <w:szCs w:val="20"/>
        </w:rPr>
        <w:t>небезпеки</w:t>
      </w:r>
      <w:r w:rsidRPr="000977F7">
        <w:rPr>
          <w:rFonts w:asciiTheme="majorHAnsi" w:hAnsiTheme="majorHAnsi"/>
          <w:spacing w:val="1"/>
          <w:sz w:val="20"/>
          <w:szCs w:val="20"/>
        </w:rPr>
        <w:t xml:space="preserve"> </w:t>
      </w:r>
      <w:r w:rsidRPr="000977F7">
        <w:rPr>
          <w:rFonts w:asciiTheme="majorHAnsi" w:hAnsiTheme="majorHAnsi"/>
          <w:sz w:val="20"/>
          <w:szCs w:val="20"/>
        </w:rPr>
        <w:t>центральним органом виконавчої влади, що реалізує державну</w:t>
      </w:r>
      <w:r w:rsidRPr="000977F7">
        <w:rPr>
          <w:rFonts w:asciiTheme="majorHAnsi" w:hAnsiTheme="majorHAnsi"/>
          <w:spacing w:val="1"/>
          <w:sz w:val="20"/>
          <w:szCs w:val="20"/>
        </w:rPr>
        <w:t xml:space="preserve"> </w:t>
      </w:r>
      <w:r w:rsidRPr="000977F7">
        <w:rPr>
          <w:rFonts w:asciiTheme="majorHAnsi" w:hAnsiTheme="majorHAnsi"/>
          <w:sz w:val="20"/>
          <w:szCs w:val="20"/>
        </w:rPr>
        <w:t>політику</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сфері</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1"/>
          <w:sz w:val="20"/>
          <w:szCs w:val="20"/>
        </w:rPr>
        <w:t xml:space="preserve"> </w:t>
      </w:r>
      <w:r w:rsidRPr="000977F7">
        <w:rPr>
          <w:rFonts w:asciiTheme="majorHAnsi" w:hAnsiTheme="majorHAnsi"/>
          <w:sz w:val="20"/>
          <w:szCs w:val="20"/>
        </w:rPr>
        <w:t>праці.</w:t>
      </w:r>
    </w:p>
    <w:p w14:paraId="54E0956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Порядок видачі дозволів або відмови в їх видачі, переоформлення, видачі дублікатів, анулювання дозволів центральним органом виконавчої влади, що реалізує державну політику у сфері охорони праці, переліки</w:t>
      </w:r>
      <w:r w:rsidRPr="000977F7">
        <w:rPr>
          <w:rFonts w:asciiTheme="majorHAnsi" w:hAnsiTheme="majorHAnsi"/>
          <w:spacing w:val="1"/>
          <w:sz w:val="20"/>
          <w:szCs w:val="20"/>
        </w:rPr>
        <w:t xml:space="preserve"> </w:t>
      </w:r>
      <w:r w:rsidRPr="000977F7">
        <w:rPr>
          <w:rFonts w:asciiTheme="majorHAnsi" w:hAnsiTheme="majorHAnsi"/>
          <w:sz w:val="20"/>
          <w:szCs w:val="20"/>
        </w:rPr>
        <w:t>видів</w:t>
      </w:r>
      <w:r w:rsidRPr="000977F7">
        <w:rPr>
          <w:rFonts w:asciiTheme="majorHAnsi" w:hAnsiTheme="majorHAnsi"/>
          <w:spacing w:val="1"/>
          <w:sz w:val="20"/>
          <w:szCs w:val="20"/>
        </w:rPr>
        <w:t xml:space="preserve"> </w:t>
      </w:r>
      <w:r w:rsidRPr="000977F7">
        <w:rPr>
          <w:rFonts w:asciiTheme="majorHAnsi" w:hAnsiTheme="majorHAnsi"/>
          <w:sz w:val="20"/>
          <w:szCs w:val="20"/>
        </w:rPr>
        <w:t>робіт,</w:t>
      </w:r>
      <w:r w:rsidRPr="000977F7">
        <w:rPr>
          <w:rFonts w:asciiTheme="majorHAnsi" w:hAnsiTheme="majorHAnsi"/>
          <w:spacing w:val="1"/>
          <w:sz w:val="20"/>
          <w:szCs w:val="20"/>
        </w:rPr>
        <w:t xml:space="preserve"> </w:t>
      </w:r>
      <w:r w:rsidRPr="000977F7">
        <w:rPr>
          <w:rFonts w:asciiTheme="majorHAnsi" w:hAnsiTheme="majorHAnsi"/>
          <w:sz w:val="20"/>
          <w:szCs w:val="20"/>
        </w:rPr>
        <w:t>машин,</w:t>
      </w:r>
      <w:r w:rsidRPr="000977F7">
        <w:rPr>
          <w:rFonts w:asciiTheme="majorHAnsi" w:hAnsiTheme="majorHAnsi"/>
          <w:spacing w:val="1"/>
          <w:sz w:val="20"/>
          <w:szCs w:val="20"/>
        </w:rPr>
        <w:t xml:space="preserve"> </w:t>
      </w:r>
      <w:r w:rsidRPr="000977F7">
        <w:rPr>
          <w:rFonts w:asciiTheme="majorHAnsi" w:hAnsiTheme="majorHAnsi"/>
          <w:sz w:val="20"/>
          <w:szCs w:val="20"/>
        </w:rPr>
        <w:t>механізмів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1"/>
          <w:sz w:val="20"/>
          <w:szCs w:val="20"/>
        </w:rPr>
        <w:t xml:space="preserve"> </w:t>
      </w:r>
      <w:r w:rsidRPr="000977F7">
        <w:rPr>
          <w:rFonts w:asciiTheme="majorHAnsi" w:hAnsiTheme="majorHAnsi"/>
          <w:sz w:val="20"/>
          <w:szCs w:val="20"/>
        </w:rPr>
        <w:t>підвищеної</w:t>
      </w:r>
      <w:r w:rsidRPr="000977F7">
        <w:rPr>
          <w:rFonts w:asciiTheme="majorHAnsi" w:hAnsiTheme="majorHAnsi"/>
          <w:spacing w:val="1"/>
          <w:sz w:val="20"/>
          <w:szCs w:val="20"/>
        </w:rPr>
        <w:t xml:space="preserve"> </w:t>
      </w:r>
      <w:r w:rsidRPr="000977F7">
        <w:rPr>
          <w:rFonts w:asciiTheme="majorHAnsi" w:hAnsiTheme="majorHAnsi"/>
          <w:sz w:val="20"/>
          <w:szCs w:val="20"/>
        </w:rPr>
        <w:t>небезпеки,</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експлуатація</w:t>
      </w:r>
      <w:r w:rsidRPr="000977F7">
        <w:rPr>
          <w:rFonts w:asciiTheme="majorHAnsi" w:hAnsiTheme="majorHAnsi"/>
          <w:spacing w:val="-47"/>
          <w:sz w:val="20"/>
          <w:szCs w:val="20"/>
        </w:rPr>
        <w:t xml:space="preserve"> </w:t>
      </w:r>
      <w:r w:rsidRPr="000977F7">
        <w:rPr>
          <w:rFonts w:asciiTheme="majorHAnsi" w:hAnsiTheme="majorHAnsi"/>
          <w:sz w:val="20"/>
          <w:szCs w:val="20"/>
        </w:rPr>
        <w:t>(застосування) яких потребує отримання дозволу, та</w:t>
      </w:r>
      <w:r w:rsidRPr="000977F7">
        <w:rPr>
          <w:rFonts w:asciiTheme="majorHAnsi" w:hAnsiTheme="majorHAnsi"/>
          <w:spacing w:val="1"/>
          <w:sz w:val="20"/>
          <w:szCs w:val="20"/>
        </w:rPr>
        <w:t xml:space="preserve"> </w:t>
      </w:r>
      <w:r w:rsidRPr="000977F7">
        <w:rPr>
          <w:rFonts w:asciiTheme="majorHAnsi" w:hAnsiTheme="majorHAnsi"/>
          <w:sz w:val="20"/>
          <w:szCs w:val="20"/>
        </w:rPr>
        <w:t>граничні розміри тарифів на проведення експертизи</w:t>
      </w:r>
      <w:r w:rsidRPr="000977F7">
        <w:rPr>
          <w:rFonts w:asciiTheme="majorHAnsi" w:hAnsiTheme="majorHAnsi"/>
          <w:spacing w:val="1"/>
          <w:sz w:val="20"/>
          <w:szCs w:val="20"/>
        </w:rPr>
        <w:t xml:space="preserve"> ст</w:t>
      </w:r>
      <w:r w:rsidRPr="000977F7">
        <w:rPr>
          <w:rFonts w:asciiTheme="majorHAnsi" w:hAnsiTheme="majorHAnsi"/>
          <w:sz w:val="20"/>
          <w:szCs w:val="20"/>
        </w:rPr>
        <w:t>ану</w:t>
      </w:r>
      <w:r w:rsidRPr="000977F7">
        <w:rPr>
          <w:rFonts w:asciiTheme="majorHAnsi" w:hAnsiTheme="majorHAnsi"/>
          <w:spacing w:val="12"/>
          <w:sz w:val="20"/>
          <w:szCs w:val="20"/>
        </w:rPr>
        <w:t xml:space="preserve"> </w:t>
      </w:r>
      <w:r w:rsidRPr="000977F7">
        <w:rPr>
          <w:rFonts w:asciiTheme="majorHAnsi" w:hAnsiTheme="majorHAnsi"/>
          <w:sz w:val="20"/>
          <w:szCs w:val="20"/>
        </w:rPr>
        <w:t>охорони</w:t>
      </w:r>
      <w:r w:rsidRPr="000977F7">
        <w:rPr>
          <w:rFonts w:asciiTheme="majorHAnsi" w:hAnsiTheme="majorHAnsi"/>
          <w:spacing w:val="16"/>
          <w:sz w:val="20"/>
          <w:szCs w:val="20"/>
        </w:rPr>
        <w:t xml:space="preserve"> </w:t>
      </w:r>
      <w:r w:rsidRPr="000977F7">
        <w:rPr>
          <w:rFonts w:asciiTheme="majorHAnsi" w:hAnsiTheme="majorHAnsi"/>
          <w:sz w:val="20"/>
          <w:szCs w:val="20"/>
        </w:rPr>
        <w:t>праці</w:t>
      </w:r>
      <w:r w:rsidRPr="000977F7">
        <w:rPr>
          <w:rFonts w:asciiTheme="majorHAnsi" w:hAnsiTheme="majorHAnsi"/>
          <w:spacing w:val="17"/>
          <w:sz w:val="20"/>
          <w:szCs w:val="20"/>
        </w:rPr>
        <w:t xml:space="preserve"> </w:t>
      </w:r>
      <w:r w:rsidRPr="000977F7">
        <w:rPr>
          <w:rFonts w:asciiTheme="majorHAnsi" w:hAnsiTheme="majorHAnsi"/>
          <w:sz w:val="20"/>
          <w:szCs w:val="20"/>
        </w:rPr>
        <w:t>та</w:t>
      </w:r>
      <w:r w:rsidRPr="000977F7">
        <w:rPr>
          <w:rFonts w:asciiTheme="majorHAnsi" w:hAnsiTheme="majorHAnsi"/>
          <w:spacing w:val="17"/>
          <w:sz w:val="20"/>
          <w:szCs w:val="20"/>
        </w:rPr>
        <w:t xml:space="preserve"> </w:t>
      </w:r>
      <w:r w:rsidRPr="000977F7">
        <w:rPr>
          <w:rFonts w:asciiTheme="majorHAnsi" w:hAnsiTheme="majorHAnsi"/>
          <w:sz w:val="20"/>
          <w:szCs w:val="20"/>
        </w:rPr>
        <w:t>безпеки</w:t>
      </w:r>
      <w:r w:rsidRPr="000977F7">
        <w:rPr>
          <w:rFonts w:asciiTheme="majorHAnsi" w:hAnsiTheme="majorHAnsi"/>
          <w:spacing w:val="16"/>
          <w:sz w:val="20"/>
          <w:szCs w:val="20"/>
        </w:rPr>
        <w:t xml:space="preserve"> </w:t>
      </w:r>
      <w:r w:rsidRPr="000977F7">
        <w:rPr>
          <w:rFonts w:asciiTheme="majorHAnsi" w:hAnsiTheme="majorHAnsi"/>
          <w:sz w:val="20"/>
          <w:szCs w:val="20"/>
        </w:rPr>
        <w:t>промислового</w:t>
      </w:r>
      <w:r w:rsidRPr="000977F7">
        <w:rPr>
          <w:rFonts w:asciiTheme="majorHAnsi" w:hAnsiTheme="majorHAnsi"/>
          <w:spacing w:val="17"/>
          <w:sz w:val="20"/>
          <w:szCs w:val="20"/>
        </w:rPr>
        <w:t xml:space="preserve"> </w:t>
      </w:r>
      <w:r w:rsidRPr="000977F7">
        <w:rPr>
          <w:rFonts w:asciiTheme="majorHAnsi" w:hAnsiTheme="majorHAnsi"/>
          <w:sz w:val="20"/>
          <w:szCs w:val="20"/>
        </w:rPr>
        <w:t>виробництва суб’єкта господарювання, висновок якої є підставою для видачі дозволів, встановлюються Кабінетом Міністрів</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p>
    <w:p w14:paraId="46CFE05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Строк</w:t>
      </w:r>
      <w:r w:rsidRPr="000977F7">
        <w:rPr>
          <w:rFonts w:asciiTheme="majorHAnsi" w:hAnsiTheme="majorHAnsi"/>
          <w:spacing w:val="-3"/>
          <w:sz w:val="20"/>
          <w:szCs w:val="20"/>
        </w:rPr>
        <w:t xml:space="preserve"> </w:t>
      </w:r>
      <w:r w:rsidRPr="000977F7">
        <w:rPr>
          <w:rFonts w:asciiTheme="majorHAnsi" w:hAnsiTheme="majorHAnsi"/>
          <w:sz w:val="20"/>
          <w:szCs w:val="20"/>
        </w:rPr>
        <w:t>дії дозволу</w:t>
      </w:r>
      <w:r w:rsidRPr="000977F7">
        <w:rPr>
          <w:rFonts w:asciiTheme="majorHAnsi" w:hAnsiTheme="majorHAnsi"/>
          <w:spacing w:val="-5"/>
          <w:sz w:val="20"/>
          <w:szCs w:val="20"/>
        </w:rPr>
        <w:t xml:space="preserve"> </w:t>
      </w:r>
      <w:r w:rsidRPr="000977F7">
        <w:rPr>
          <w:rFonts w:asciiTheme="majorHAnsi" w:hAnsiTheme="majorHAnsi"/>
          <w:sz w:val="20"/>
          <w:szCs w:val="20"/>
        </w:rPr>
        <w:t>становить:</w:t>
      </w:r>
    </w:p>
    <w:p w14:paraId="2FDD45B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 виконання робіт або на експлуатацію машин, механізмів та устаткування підвищеної небезпеки п'ять</w:t>
      </w:r>
      <w:r w:rsidRPr="000977F7">
        <w:rPr>
          <w:rFonts w:asciiTheme="majorHAnsi" w:hAnsiTheme="majorHAnsi"/>
          <w:spacing w:val="-47"/>
          <w:sz w:val="20"/>
          <w:szCs w:val="20"/>
        </w:rPr>
        <w:t xml:space="preserve"> </w:t>
      </w:r>
      <w:r w:rsidRPr="000977F7">
        <w:rPr>
          <w:rFonts w:asciiTheme="majorHAnsi" w:hAnsiTheme="majorHAnsi"/>
          <w:sz w:val="20"/>
          <w:szCs w:val="20"/>
        </w:rPr>
        <w:t>років</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подальшим його</w:t>
      </w:r>
      <w:r w:rsidRPr="000977F7">
        <w:rPr>
          <w:rFonts w:asciiTheme="majorHAnsi" w:hAnsiTheme="majorHAnsi"/>
          <w:spacing w:val="1"/>
          <w:sz w:val="20"/>
          <w:szCs w:val="20"/>
        </w:rPr>
        <w:t xml:space="preserve"> </w:t>
      </w:r>
      <w:r w:rsidRPr="000977F7">
        <w:rPr>
          <w:rFonts w:asciiTheme="majorHAnsi" w:hAnsiTheme="majorHAnsi"/>
          <w:sz w:val="20"/>
          <w:szCs w:val="20"/>
        </w:rPr>
        <w:t>продовженням);</w:t>
      </w:r>
    </w:p>
    <w:p w14:paraId="56C933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 застосування машин, механізмів та устаткування</w:t>
      </w:r>
      <w:r w:rsidRPr="000977F7">
        <w:rPr>
          <w:rFonts w:asciiTheme="majorHAnsi" w:hAnsiTheme="majorHAnsi"/>
          <w:spacing w:val="1"/>
          <w:sz w:val="20"/>
          <w:szCs w:val="20"/>
        </w:rPr>
        <w:t xml:space="preserve"> </w:t>
      </w:r>
      <w:r w:rsidRPr="000977F7">
        <w:rPr>
          <w:rFonts w:asciiTheme="majorHAnsi" w:hAnsiTheme="majorHAnsi"/>
          <w:sz w:val="20"/>
          <w:szCs w:val="20"/>
        </w:rPr>
        <w:t>підвищеної</w:t>
      </w:r>
      <w:r w:rsidRPr="000977F7">
        <w:rPr>
          <w:rFonts w:asciiTheme="majorHAnsi" w:hAnsiTheme="majorHAnsi"/>
          <w:spacing w:val="-2"/>
          <w:sz w:val="20"/>
          <w:szCs w:val="20"/>
        </w:rPr>
        <w:t xml:space="preserve"> </w:t>
      </w:r>
      <w:r w:rsidRPr="000977F7">
        <w:rPr>
          <w:rFonts w:asciiTheme="majorHAnsi" w:hAnsiTheme="majorHAnsi"/>
          <w:sz w:val="20"/>
          <w:szCs w:val="20"/>
        </w:rPr>
        <w:t>небезпеки</w:t>
      </w:r>
      <w:r w:rsidRPr="000977F7">
        <w:rPr>
          <w:rFonts w:asciiTheme="majorHAnsi" w:hAnsiTheme="majorHAnsi"/>
          <w:spacing w:val="2"/>
          <w:sz w:val="20"/>
          <w:szCs w:val="20"/>
        </w:rPr>
        <w:t xml:space="preserve"> </w:t>
      </w:r>
      <w:r w:rsidRPr="000977F7">
        <w:rPr>
          <w:rFonts w:asciiTheme="majorHAnsi" w:hAnsiTheme="majorHAnsi"/>
          <w:sz w:val="20"/>
          <w:szCs w:val="20"/>
        </w:rPr>
        <w:t>безстроково.</w:t>
      </w:r>
    </w:p>
    <w:p w14:paraId="7FDC199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Підставою для переоформлення документа дозвільного характеру</w:t>
      </w:r>
      <w:r w:rsidRPr="000977F7">
        <w:rPr>
          <w:rFonts w:asciiTheme="majorHAnsi" w:hAnsiTheme="majorHAnsi"/>
          <w:spacing w:val="-4"/>
          <w:sz w:val="20"/>
          <w:szCs w:val="20"/>
        </w:rPr>
        <w:t xml:space="preserve"> </w:t>
      </w:r>
      <w:r w:rsidRPr="000977F7">
        <w:rPr>
          <w:rFonts w:asciiTheme="majorHAnsi" w:hAnsiTheme="majorHAnsi"/>
          <w:sz w:val="20"/>
          <w:szCs w:val="20"/>
        </w:rPr>
        <w:t>є:</w:t>
      </w:r>
    </w:p>
    <w:p w14:paraId="39CECE4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зміна найменування суб'єкта господарювання юридичної особи або прізвища, імені та по батькові фізичної</w:t>
      </w:r>
      <w:r w:rsidRPr="000977F7">
        <w:rPr>
          <w:rFonts w:asciiTheme="majorHAnsi" w:hAnsiTheme="majorHAnsi"/>
          <w:spacing w:val="-2"/>
          <w:sz w:val="20"/>
          <w:szCs w:val="20"/>
        </w:rPr>
        <w:t xml:space="preserve"> </w:t>
      </w:r>
      <w:r w:rsidRPr="000977F7">
        <w:rPr>
          <w:rFonts w:asciiTheme="majorHAnsi" w:hAnsiTheme="majorHAnsi"/>
          <w:sz w:val="20"/>
          <w:szCs w:val="20"/>
        </w:rPr>
        <w:t>особи</w:t>
      </w:r>
      <w:r w:rsidRPr="000977F7">
        <w:rPr>
          <w:rFonts w:asciiTheme="majorHAnsi" w:hAnsiTheme="majorHAnsi"/>
          <w:spacing w:val="-1"/>
          <w:sz w:val="20"/>
          <w:szCs w:val="20"/>
        </w:rPr>
        <w:t xml:space="preserve"> </w:t>
      </w:r>
      <w:r w:rsidRPr="000977F7">
        <w:rPr>
          <w:rFonts w:asciiTheme="majorHAnsi" w:hAnsiTheme="majorHAnsi"/>
          <w:sz w:val="20"/>
          <w:szCs w:val="20"/>
        </w:rPr>
        <w:t>підприємця;</w:t>
      </w:r>
    </w:p>
    <w:p w14:paraId="4DCBA58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зміна місцезнаходження суб'єкта господарювання.</w:t>
      </w:r>
      <w:r w:rsidRPr="000977F7">
        <w:rPr>
          <w:rFonts w:asciiTheme="majorHAnsi" w:hAnsiTheme="majorHAnsi"/>
          <w:spacing w:val="1"/>
          <w:sz w:val="20"/>
          <w:szCs w:val="20"/>
        </w:rPr>
        <w:t xml:space="preserve"> </w:t>
      </w:r>
      <w:r w:rsidRPr="000977F7">
        <w:rPr>
          <w:rFonts w:asciiTheme="majorHAnsi" w:hAnsiTheme="majorHAnsi"/>
          <w:sz w:val="20"/>
          <w:szCs w:val="20"/>
        </w:rPr>
        <w:t>Підставою</w:t>
      </w:r>
      <w:r w:rsidRPr="000977F7">
        <w:rPr>
          <w:rFonts w:asciiTheme="majorHAnsi" w:hAnsiTheme="majorHAnsi"/>
          <w:spacing w:val="20"/>
          <w:sz w:val="20"/>
          <w:szCs w:val="20"/>
        </w:rPr>
        <w:t xml:space="preserve"> </w:t>
      </w:r>
      <w:r w:rsidRPr="000977F7">
        <w:rPr>
          <w:rFonts w:asciiTheme="majorHAnsi" w:hAnsiTheme="majorHAnsi"/>
          <w:sz w:val="20"/>
          <w:szCs w:val="20"/>
        </w:rPr>
        <w:t>для</w:t>
      </w:r>
      <w:r w:rsidRPr="000977F7">
        <w:rPr>
          <w:rFonts w:asciiTheme="majorHAnsi" w:hAnsiTheme="majorHAnsi"/>
          <w:spacing w:val="17"/>
          <w:sz w:val="20"/>
          <w:szCs w:val="20"/>
        </w:rPr>
        <w:t xml:space="preserve"> </w:t>
      </w:r>
      <w:r w:rsidRPr="000977F7">
        <w:rPr>
          <w:rFonts w:asciiTheme="majorHAnsi" w:hAnsiTheme="majorHAnsi"/>
          <w:sz w:val="20"/>
          <w:szCs w:val="20"/>
        </w:rPr>
        <w:t>відмови</w:t>
      </w:r>
      <w:r w:rsidRPr="000977F7">
        <w:rPr>
          <w:rFonts w:asciiTheme="majorHAnsi" w:hAnsiTheme="majorHAnsi"/>
          <w:spacing w:val="20"/>
          <w:sz w:val="20"/>
          <w:szCs w:val="20"/>
        </w:rPr>
        <w:t xml:space="preserve"> </w:t>
      </w:r>
      <w:r w:rsidRPr="000977F7">
        <w:rPr>
          <w:rFonts w:asciiTheme="majorHAnsi" w:hAnsiTheme="majorHAnsi"/>
          <w:sz w:val="20"/>
          <w:szCs w:val="20"/>
        </w:rPr>
        <w:t>у</w:t>
      </w:r>
      <w:r w:rsidRPr="000977F7">
        <w:rPr>
          <w:rFonts w:asciiTheme="majorHAnsi" w:hAnsiTheme="majorHAnsi"/>
          <w:spacing w:val="17"/>
          <w:sz w:val="20"/>
          <w:szCs w:val="20"/>
        </w:rPr>
        <w:t xml:space="preserve"> </w:t>
      </w:r>
      <w:r w:rsidRPr="000977F7">
        <w:rPr>
          <w:rFonts w:asciiTheme="majorHAnsi" w:hAnsiTheme="majorHAnsi"/>
          <w:sz w:val="20"/>
          <w:szCs w:val="20"/>
        </w:rPr>
        <w:t>переоформленні,</w:t>
      </w:r>
      <w:r w:rsidRPr="000977F7">
        <w:rPr>
          <w:rFonts w:asciiTheme="majorHAnsi" w:hAnsiTheme="majorHAnsi"/>
          <w:spacing w:val="18"/>
          <w:sz w:val="20"/>
          <w:szCs w:val="20"/>
        </w:rPr>
        <w:t xml:space="preserve"> </w:t>
      </w:r>
      <w:r w:rsidRPr="000977F7">
        <w:rPr>
          <w:rFonts w:asciiTheme="majorHAnsi" w:hAnsiTheme="majorHAnsi"/>
          <w:sz w:val="20"/>
          <w:szCs w:val="20"/>
        </w:rPr>
        <w:t>видачі</w:t>
      </w:r>
      <w:r w:rsidRPr="000977F7">
        <w:rPr>
          <w:rFonts w:asciiTheme="majorHAnsi" w:hAnsiTheme="majorHAnsi"/>
          <w:spacing w:val="20"/>
          <w:sz w:val="20"/>
          <w:szCs w:val="20"/>
        </w:rPr>
        <w:t xml:space="preserve"> </w:t>
      </w:r>
      <w:r w:rsidRPr="000977F7">
        <w:rPr>
          <w:rFonts w:asciiTheme="majorHAnsi" w:hAnsiTheme="majorHAnsi"/>
          <w:sz w:val="20"/>
          <w:szCs w:val="20"/>
        </w:rPr>
        <w:t>дубліката</w:t>
      </w:r>
      <w:r w:rsidRPr="000977F7">
        <w:rPr>
          <w:rFonts w:asciiTheme="majorHAnsi" w:hAnsiTheme="majorHAnsi"/>
          <w:spacing w:val="-1"/>
          <w:sz w:val="20"/>
          <w:szCs w:val="20"/>
        </w:rPr>
        <w:t xml:space="preserve"> </w:t>
      </w:r>
      <w:r w:rsidRPr="000977F7">
        <w:rPr>
          <w:rFonts w:asciiTheme="majorHAnsi" w:hAnsiTheme="majorHAnsi"/>
          <w:sz w:val="20"/>
          <w:szCs w:val="20"/>
        </w:rPr>
        <w:t>дозволу</w:t>
      </w:r>
      <w:r w:rsidRPr="000977F7">
        <w:rPr>
          <w:rFonts w:asciiTheme="majorHAnsi" w:hAnsiTheme="majorHAnsi"/>
          <w:spacing w:val="-1"/>
          <w:sz w:val="20"/>
          <w:szCs w:val="20"/>
        </w:rPr>
        <w:t xml:space="preserve"> </w:t>
      </w:r>
      <w:r w:rsidRPr="000977F7">
        <w:rPr>
          <w:rFonts w:asciiTheme="majorHAnsi" w:hAnsiTheme="majorHAnsi"/>
          <w:sz w:val="20"/>
          <w:szCs w:val="20"/>
        </w:rPr>
        <w:t>є:</w:t>
      </w:r>
    </w:p>
    <w:p w14:paraId="1898EC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подання роботодавцем неповного пакета документів,</w:t>
      </w:r>
      <w:r w:rsidRPr="000977F7">
        <w:rPr>
          <w:rFonts w:asciiTheme="majorHAnsi" w:hAnsiTheme="majorHAnsi"/>
          <w:spacing w:val="1"/>
          <w:sz w:val="20"/>
          <w:szCs w:val="20"/>
        </w:rPr>
        <w:t xml:space="preserve"> </w:t>
      </w:r>
      <w:r w:rsidRPr="000977F7">
        <w:rPr>
          <w:rFonts w:asciiTheme="majorHAnsi" w:hAnsiTheme="majorHAnsi"/>
          <w:sz w:val="20"/>
          <w:szCs w:val="20"/>
        </w:rPr>
        <w:t>необхідних</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переоформлення,</w:t>
      </w:r>
      <w:r w:rsidRPr="000977F7">
        <w:rPr>
          <w:rFonts w:asciiTheme="majorHAnsi" w:hAnsiTheme="majorHAnsi"/>
          <w:spacing w:val="1"/>
          <w:sz w:val="20"/>
          <w:szCs w:val="20"/>
        </w:rPr>
        <w:t xml:space="preserve"> </w:t>
      </w:r>
      <w:r w:rsidRPr="000977F7">
        <w:rPr>
          <w:rFonts w:asciiTheme="majorHAnsi" w:hAnsiTheme="majorHAnsi"/>
          <w:sz w:val="20"/>
          <w:szCs w:val="20"/>
        </w:rPr>
        <w:t>видачі</w:t>
      </w:r>
      <w:r w:rsidRPr="000977F7">
        <w:rPr>
          <w:rFonts w:asciiTheme="majorHAnsi" w:hAnsiTheme="majorHAnsi"/>
          <w:spacing w:val="1"/>
          <w:sz w:val="20"/>
          <w:szCs w:val="20"/>
        </w:rPr>
        <w:t xml:space="preserve"> </w:t>
      </w:r>
      <w:r w:rsidRPr="000977F7">
        <w:rPr>
          <w:rFonts w:asciiTheme="majorHAnsi" w:hAnsiTheme="majorHAnsi"/>
          <w:sz w:val="20"/>
          <w:szCs w:val="20"/>
        </w:rPr>
        <w:t>дубліката</w:t>
      </w:r>
      <w:r w:rsidRPr="000977F7">
        <w:rPr>
          <w:rFonts w:asciiTheme="majorHAnsi" w:hAnsiTheme="majorHAnsi"/>
          <w:spacing w:val="1"/>
          <w:sz w:val="20"/>
          <w:szCs w:val="20"/>
        </w:rPr>
        <w:t xml:space="preserve"> </w:t>
      </w:r>
      <w:r w:rsidRPr="000977F7">
        <w:rPr>
          <w:rFonts w:asciiTheme="majorHAnsi" w:hAnsiTheme="majorHAnsi"/>
          <w:sz w:val="20"/>
          <w:szCs w:val="20"/>
        </w:rPr>
        <w:t>дозволу згідно із встановленим законодавством вичерпним</w:t>
      </w:r>
      <w:r w:rsidRPr="000977F7">
        <w:rPr>
          <w:rFonts w:asciiTheme="majorHAnsi" w:hAnsiTheme="majorHAnsi"/>
          <w:spacing w:val="2"/>
          <w:sz w:val="20"/>
          <w:szCs w:val="20"/>
        </w:rPr>
        <w:t xml:space="preserve"> </w:t>
      </w:r>
      <w:r w:rsidRPr="000977F7">
        <w:rPr>
          <w:rFonts w:asciiTheme="majorHAnsi" w:hAnsiTheme="majorHAnsi"/>
          <w:sz w:val="20"/>
          <w:szCs w:val="20"/>
        </w:rPr>
        <w:t>переліком;</w:t>
      </w:r>
    </w:p>
    <w:p w14:paraId="3DA587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виявлення в документах, поданих роботодавцем, недостовірних</w:t>
      </w:r>
      <w:r w:rsidRPr="000977F7">
        <w:rPr>
          <w:rFonts w:asciiTheme="majorHAnsi" w:hAnsiTheme="majorHAnsi"/>
          <w:spacing w:val="-2"/>
          <w:sz w:val="20"/>
          <w:szCs w:val="20"/>
        </w:rPr>
        <w:t xml:space="preserve"> </w:t>
      </w:r>
      <w:r w:rsidRPr="000977F7">
        <w:rPr>
          <w:rFonts w:asciiTheme="majorHAnsi" w:hAnsiTheme="majorHAnsi"/>
          <w:sz w:val="20"/>
          <w:szCs w:val="20"/>
        </w:rPr>
        <w:t>відомостей;</w:t>
      </w:r>
    </w:p>
    <w:p w14:paraId="123F56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зміна ідентифікаційного коду за Єдиним державним</w:t>
      </w:r>
      <w:r w:rsidRPr="000977F7">
        <w:rPr>
          <w:rFonts w:asciiTheme="majorHAnsi" w:hAnsiTheme="majorHAnsi"/>
          <w:spacing w:val="1"/>
          <w:sz w:val="20"/>
          <w:szCs w:val="20"/>
        </w:rPr>
        <w:t xml:space="preserve"> </w:t>
      </w:r>
      <w:r w:rsidRPr="000977F7">
        <w:rPr>
          <w:rFonts w:asciiTheme="majorHAnsi" w:hAnsiTheme="majorHAnsi"/>
          <w:sz w:val="20"/>
          <w:szCs w:val="20"/>
        </w:rPr>
        <w:t>реєстром підприємств та організацій України (ЄДРПОУ)</w:t>
      </w:r>
      <w:r w:rsidRPr="000977F7">
        <w:rPr>
          <w:rFonts w:asciiTheme="majorHAnsi" w:hAnsiTheme="majorHAnsi"/>
          <w:spacing w:val="1"/>
          <w:sz w:val="20"/>
          <w:szCs w:val="20"/>
        </w:rPr>
        <w:t xml:space="preserve"> </w:t>
      </w:r>
      <w:r w:rsidRPr="000977F7">
        <w:rPr>
          <w:rFonts w:asciiTheme="majorHAnsi" w:hAnsiTheme="majorHAnsi"/>
          <w:sz w:val="20"/>
          <w:szCs w:val="20"/>
        </w:rPr>
        <w:t>юридичної</w:t>
      </w:r>
      <w:r w:rsidRPr="000977F7">
        <w:rPr>
          <w:rFonts w:asciiTheme="majorHAnsi" w:hAnsiTheme="majorHAnsi"/>
          <w:spacing w:val="1"/>
          <w:sz w:val="20"/>
          <w:szCs w:val="20"/>
        </w:rPr>
        <w:t xml:space="preserve"> </w:t>
      </w:r>
      <w:r w:rsidRPr="000977F7">
        <w:rPr>
          <w:rFonts w:asciiTheme="majorHAnsi" w:hAnsiTheme="majorHAnsi"/>
          <w:sz w:val="20"/>
          <w:szCs w:val="20"/>
        </w:rPr>
        <w:t>особи</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реєстраційного</w:t>
      </w:r>
      <w:r w:rsidRPr="000977F7">
        <w:rPr>
          <w:rFonts w:asciiTheme="majorHAnsi" w:hAnsiTheme="majorHAnsi"/>
          <w:spacing w:val="1"/>
          <w:sz w:val="20"/>
          <w:szCs w:val="20"/>
        </w:rPr>
        <w:t xml:space="preserve"> </w:t>
      </w:r>
      <w:r w:rsidRPr="000977F7">
        <w:rPr>
          <w:rFonts w:asciiTheme="majorHAnsi" w:hAnsiTheme="majorHAnsi"/>
          <w:sz w:val="20"/>
          <w:szCs w:val="20"/>
        </w:rPr>
        <w:t>номера</w:t>
      </w:r>
      <w:r w:rsidRPr="000977F7">
        <w:rPr>
          <w:rFonts w:asciiTheme="majorHAnsi" w:hAnsiTheme="majorHAnsi"/>
          <w:spacing w:val="1"/>
          <w:sz w:val="20"/>
          <w:szCs w:val="20"/>
        </w:rPr>
        <w:t xml:space="preserve"> </w:t>
      </w:r>
      <w:r w:rsidRPr="000977F7">
        <w:rPr>
          <w:rFonts w:asciiTheme="majorHAnsi" w:hAnsiTheme="majorHAnsi"/>
          <w:sz w:val="20"/>
          <w:szCs w:val="20"/>
        </w:rPr>
        <w:t>облікової картки платника податків з Державного реєстру фізичних осіб платників податків, зазначеного</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дозволі.</w:t>
      </w:r>
    </w:p>
    <w:p w14:paraId="22E79E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Переоформлення, видача дубліката дозволу здійснюються</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безоплатній</w:t>
      </w:r>
      <w:r w:rsidRPr="000977F7">
        <w:rPr>
          <w:rFonts w:asciiTheme="majorHAnsi" w:hAnsiTheme="majorHAnsi"/>
          <w:spacing w:val="-1"/>
          <w:sz w:val="20"/>
          <w:szCs w:val="20"/>
        </w:rPr>
        <w:t xml:space="preserve"> </w:t>
      </w:r>
      <w:r w:rsidRPr="000977F7">
        <w:rPr>
          <w:rFonts w:asciiTheme="majorHAnsi" w:hAnsiTheme="majorHAnsi"/>
          <w:sz w:val="20"/>
          <w:szCs w:val="20"/>
        </w:rPr>
        <w:t>основі.</w:t>
      </w:r>
    </w:p>
    <w:p w14:paraId="2AB4F7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Набуття права на виконання робіт підвищеної небезпеки та експлуатації (застосування) машин, механізмів та устаткування підвищеної небезпеки може здійснюватися на підставі декларації відповідності матеріально-технічної бази вимогам законодавства з охорони праці. Переліки видів робіт, машин,</w:t>
      </w:r>
      <w:r w:rsidRPr="000977F7">
        <w:rPr>
          <w:rFonts w:asciiTheme="majorHAnsi" w:hAnsiTheme="majorHAnsi"/>
          <w:spacing w:val="1"/>
          <w:sz w:val="20"/>
          <w:szCs w:val="20"/>
        </w:rPr>
        <w:t xml:space="preserve"> </w:t>
      </w:r>
      <w:r w:rsidRPr="000977F7">
        <w:rPr>
          <w:rFonts w:asciiTheme="majorHAnsi" w:hAnsiTheme="majorHAnsi"/>
          <w:sz w:val="20"/>
          <w:szCs w:val="20"/>
        </w:rPr>
        <w:t>механізмів</w:t>
      </w:r>
      <w:r w:rsidRPr="000977F7">
        <w:rPr>
          <w:rFonts w:asciiTheme="majorHAnsi" w:hAnsiTheme="majorHAnsi"/>
          <w:spacing w:val="1"/>
          <w:sz w:val="20"/>
          <w:szCs w:val="20"/>
        </w:rPr>
        <w:t xml:space="preserve"> </w:t>
      </w:r>
      <w:r w:rsidRPr="000977F7">
        <w:rPr>
          <w:rFonts w:asciiTheme="majorHAnsi" w:hAnsiTheme="majorHAnsi"/>
          <w:sz w:val="20"/>
          <w:szCs w:val="20"/>
        </w:rPr>
        <w:t>та устаткування підвищеної небезпеки, виконання або</w:t>
      </w:r>
      <w:r w:rsidRPr="000977F7">
        <w:rPr>
          <w:rFonts w:asciiTheme="majorHAnsi" w:hAnsiTheme="majorHAnsi"/>
          <w:spacing w:val="-47"/>
          <w:sz w:val="20"/>
          <w:szCs w:val="20"/>
        </w:rPr>
        <w:t xml:space="preserve"> </w:t>
      </w:r>
      <w:r w:rsidRPr="000977F7">
        <w:rPr>
          <w:rFonts w:asciiTheme="majorHAnsi" w:hAnsiTheme="majorHAnsi"/>
          <w:sz w:val="20"/>
          <w:szCs w:val="20"/>
        </w:rPr>
        <w:t>експлуатація (застосування) яких може здійснюватися</w:t>
      </w:r>
      <w:r w:rsidRPr="000977F7">
        <w:rPr>
          <w:rFonts w:asciiTheme="majorHAnsi" w:hAnsiTheme="majorHAnsi"/>
          <w:spacing w:val="-47"/>
          <w:sz w:val="20"/>
          <w:szCs w:val="20"/>
        </w:rPr>
        <w:t xml:space="preserve"> </w:t>
      </w:r>
      <w:r w:rsidRPr="000977F7">
        <w:rPr>
          <w:rFonts w:asciiTheme="majorHAnsi" w:hAnsiTheme="majorHAnsi"/>
          <w:sz w:val="20"/>
          <w:szCs w:val="20"/>
        </w:rPr>
        <w:t>на підставі такої декларації, встановлюються Кабінетом Міністрів</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p>
    <w:p w14:paraId="7B846C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Центральний</w:t>
      </w:r>
      <w:r w:rsidRPr="000977F7">
        <w:rPr>
          <w:rFonts w:asciiTheme="majorHAnsi" w:hAnsiTheme="majorHAnsi"/>
          <w:spacing w:val="1"/>
          <w:sz w:val="20"/>
          <w:szCs w:val="20"/>
        </w:rPr>
        <w:t xml:space="preserve"> </w:t>
      </w:r>
      <w:r w:rsidRPr="000977F7">
        <w:rPr>
          <w:rFonts w:asciiTheme="majorHAnsi" w:hAnsiTheme="majorHAnsi"/>
          <w:sz w:val="20"/>
          <w:szCs w:val="20"/>
        </w:rPr>
        <w:t>орган</w:t>
      </w:r>
      <w:r w:rsidRPr="000977F7">
        <w:rPr>
          <w:rFonts w:asciiTheme="majorHAnsi" w:hAnsiTheme="majorHAnsi"/>
          <w:spacing w:val="1"/>
          <w:sz w:val="20"/>
          <w:szCs w:val="20"/>
        </w:rPr>
        <w:t xml:space="preserve"> </w:t>
      </w:r>
      <w:r w:rsidRPr="000977F7">
        <w:rPr>
          <w:rFonts w:asciiTheme="majorHAnsi" w:hAnsiTheme="majorHAnsi"/>
          <w:sz w:val="20"/>
          <w:szCs w:val="20"/>
        </w:rPr>
        <w:t>виконавчої</w:t>
      </w:r>
      <w:r w:rsidRPr="000977F7">
        <w:rPr>
          <w:rFonts w:asciiTheme="majorHAnsi" w:hAnsiTheme="majorHAnsi"/>
          <w:spacing w:val="1"/>
          <w:sz w:val="20"/>
          <w:szCs w:val="20"/>
        </w:rPr>
        <w:t xml:space="preserve"> </w:t>
      </w:r>
      <w:r w:rsidRPr="000977F7">
        <w:rPr>
          <w:rFonts w:asciiTheme="majorHAnsi" w:hAnsiTheme="majorHAnsi"/>
          <w:sz w:val="20"/>
          <w:szCs w:val="20"/>
        </w:rPr>
        <w:t>влади,</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реалізує</w:t>
      </w:r>
      <w:r w:rsidRPr="000977F7">
        <w:rPr>
          <w:rFonts w:asciiTheme="majorHAnsi" w:hAnsiTheme="majorHAnsi"/>
          <w:spacing w:val="1"/>
          <w:sz w:val="20"/>
          <w:szCs w:val="20"/>
        </w:rPr>
        <w:t xml:space="preserve"> </w:t>
      </w:r>
      <w:r w:rsidRPr="000977F7">
        <w:rPr>
          <w:rFonts w:asciiTheme="majorHAnsi" w:hAnsiTheme="majorHAnsi"/>
          <w:sz w:val="20"/>
          <w:szCs w:val="20"/>
        </w:rPr>
        <w:t>державну політику</w:t>
      </w:r>
      <w:r w:rsidRPr="000977F7">
        <w:rPr>
          <w:rFonts w:asciiTheme="majorHAnsi" w:hAnsiTheme="majorHAnsi"/>
          <w:spacing w:val="1"/>
          <w:sz w:val="20"/>
          <w:szCs w:val="20"/>
        </w:rPr>
        <w:t xml:space="preserve"> </w:t>
      </w:r>
      <w:r w:rsidRPr="000977F7">
        <w:rPr>
          <w:rFonts w:asciiTheme="majorHAnsi" w:hAnsiTheme="majorHAnsi"/>
          <w:sz w:val="20"/>
          <w:szCs w:val="20"/>
        </w:rPr>
        <w:t>у сфері</w:t>
      </w:r>
      <w:r w:rsidRPr="000977F7">
        <w:rPr>
          <w:rFonts w:asciiTheme="majorHAnsi" w:hAnsiTheme="majorHAnsi"/>
          <w:spacing w:val="1"/>
          <w:sz w:val="20"/>
          <w:szCs w:val="20"/>
        </w:rPr>
        <w:t xml:space="preserve"> </w:t>
      </w:r>
      <w:r w:rsidRPr="000977F7">
        <w:rPr>
          <w:rFonts w:asciiTheme="majorHAnsi" w:hAnsiTheme="majorHAnsi"/>
          <w:sz w:val="20"/>
          <w:szCs w:val="20"/>
        </w:rPr>
        <w:t>охорони праці,</w:t>
      </w:r>
      <w:r w:rsidRPr="000977F7">
        <w:rPr>
          <w:rFonts w:asciiTheme="majorHAnsi" w:hAnsiTheme="majorHAnsi"/>
          <w:spacing w:val="50"/>
          <w:sz w:val="20"/>
          <w:szCs w:val="20"/>
        </w:rPr>
        <w:t xml:space="preserve"> </w:t>
      </w:r>
      <w:r w:rsidRPr="000977F7">
        <w:rPr>
          <w:rFonts w:asciiTheme="majorHAnsi" w:hAnsiTheme="majorHAnsi"/>
          <w:sz w:val="20"/>
          <w:szCs w:val="20"/>
        </w:rPr>
        <w:t>протягом</w:t>
      </w:r>
      <w:r w:rsidRPr="000977F7">
        <w:rPr>
          <w:rFonts w:asciiTheme="majorHAnsi" w:hAnsiTheme="majorHAnsi"/>
          <w:spacing w:val="1"/>
          <w:sz w:val="20"/>
          <w:szCs w:val="20"/>
        </w:rPr>
        <w:t xml:space="preserve"> </w:t>
      </w:r>
      <w:r w:rsidRPr="000977F7">
        <w:rPr>
          <w:rFonts w:asciiTheme="majorHAnsi" w:hAnsiTheme="majorHAnsi"/>
          <w:sz w:val="20"/>
          <w:szCs w:val="20"/>
        </w:rPr>
        <w:t>10 робочих днів з дня надходження заяви на одержання дозволу та необхідних документів приймає рішення</w:t>
      </w:r>
      <w:r w:rsidRPr="000977F7">
        <w:rPr>
          <w:rFonts w:asciiTheme="majorHAnsi" w:hAnsiTheme="majorHAnsi"/>
          <w:spacing w:val="1"/>
          <w:sz w:val="20"/>
          <w:szCs w:val="20"/>
        </w:rPr>
        <w:t xml:space="preserve"> </w:t>
      </w:r>
      <w:r w:rsidRPr="000977F7">
        <w:rPr>
          <w:rFonts w:asciiTheme="majorHAnsi" w:hAnsiTheme="majorHAnsi"/>
          <w:sz w:val="20"/>
          <w:szCs w:val="20"/>
        </w:rPr>
        <w:t>про видачу дозволу або</w:t>
      </w:r>
      <w:r w:rsidRPr="000977F7">
        <w:rPr>
          <w:rFonts w:asciiTheme="majorHAnsi" w:hAnsiTheme="majorHAnsi"/>
          <w:spacing w:val="50"/>
          <w:sz w:val="20"/>
          <w:szCs w:val="20"/>
        </w:rPr>
        <w:t xml:space="preserve"> </w:t>
      </w:r>
      <w:r w:rsidRPr="000977F7">
        <w:rPr>
          <w:rFonts w:asciiTheme="majorHAnsi" w:hAnsiTheme="majorHAnsi"/>
          <w:sz w:val="20"/>
          <w:szCs w:val="20"/>
        </w:rPr>
        <w:t>про відмову в його видачі</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2"/>
          <w:sz w:val="20"/>
          <w:szCs w:val="20"/>
        </w:rPr>
        <w:t xml:space="preserve"> </w:t>
      </w:r>
      <w:r w:rsidRPr="000977F7">
        <w:rPr>
          <w:rFonts w:asciiTheme="majorHAnsi" w:hAnsiTheme="majorHAnsi"/>
          <w:sz w:val="20"/>
          <w:szCs w:val="20"/>
        </w:rPr>
        <w:t>зазначенням</w:t>
      </w:r>
      <w:r w:rsidRPr="000977F7">
        <w:rPr>
          <w:rFonts w:asciiTheme="majorHAnsi" w:hAnsiTheme="majorHAnsi"/>
          <w:spacing w:val="-1"/>
          <w:sz w:val="20"/>
          <w:szCs w:val="20"/>
        </w:rPr>
        <w:t xml:space="preserve"> </w:t>
      </w:r>
      <w:r w:rsidRPr="000977F7">
        <w:rPr>
          <w:rFonts w:asciiTheme="majorHAnsi" w:hAnsiTheme="majorHAnsi"/>
          <w:sz w:val="20"/>
          <w:szCs w:val="20"/>
        </w:rPr>
        <w:t>підстав,</w:t>
      </w:r>
      <w:r w:rsidRPr="000977F7">
        <w:rPr>
          <w:rFonts w:asciiTheme="majorHAnsi" w:hAnsiTheme="majorHAnsi"/>
          <w:spacing w:val="-2"/>
          <w:sz w:val="20"/>
          <w:szCs w:val="20"/>
        </w:rPr>
        <w:t xml:space="preserve"> </w:t>
      </w:r>
      <w:r w:rsidRPr="000977F7">
        <w:rPr>
          <w:rFonts w:asciiTheme="majorHAnsi" w:hAnsiTheme="majorHAnsi"/>
          <w:sz w:val="20"/>
          <w:szCs w:val="20"/>
        </w:rPr>
        <w:t>визначених</w:t>
      </w:r>
      <w:r w:rsidRPr="000977F7">
        <w:rPr>
          <w:rFonts w:asciiTheme="majorHAnsi" w:hAnsiTheme="majorHAnsi"/>
          <w:spacing w:val="-2"/>
          <w:sz w:val="20"/>
          <w:szCs w:val="20"/>
        </w:rPr>
        <w:t xml:space="preserve"> </w:t>
      </w:r>
      <w:r w:rsidRPr="000977F7">
        <w:rPr>
          <w:rFonts w:asciiTheme="majorHAnsi" w:hAnsiTheme="majorHAnsi"/>
          <w:sz w:val="20"/>
          <w:szCs w:val="20"/>
        </w:rPr>
        <w:t>цією</w:t>
      </w:r>
      <w:r w:rsidRPr="000977F7">
        <w:rPr>
          <w:rFonts w:asciiTheme="majorHAnsi" w:hAnsiTheme="majorHAnsi"/>
          <w:spacing w:val="-2"/>
          <w:sz w:val="20"/>
          <w:szCs w:val="20"/>
        </w:rPr>
        <w:t xml:space="preserve"> </w:t>
      </w:r>
      <w:r w:rsidRPr="000977F7">
        <w:rPr>
          <w:rFonts w:asciiTheme="majorHAnsi" w:hAnsiTheme="majorHAnsi"/>
          <w:sz w:val="20"/>
          <w:szCs w:val="20"/>
        </w:rPr>
        <w:t>статтею.</w:t>
      </w:r>
    </w:p>
    <w:p w14:paraId="2234366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Центральний</w:t>
      </w:r>
      <w:r w:rsidRPr="000977F7">
        <w:rPr>
          <w:rFonts w:asciiTheme="majorHAnsi" w:hAnsiTheme="majorHAnsi"/>
          <w:spacing w:val="22"/>
          <w:sz w:val="20"/>
          <w:szCs w:val="20"/>
        </w:rPr>
        <w:t xml:space="preserve"> </w:t>
      </w:r>
      <w:r w:rsidRPr="000977F7">
        <w:rPr>
          <w:rFonts w:asciiTheme="majorHAnsi" w:hAnsiTheme="majorHAnsi"/>
          <w:sz w:val="20"/>
          <w:szCs w:val="20"/>
        </w:rPr>
        <w:t>орган</w:t>
      </w:r>
      <w:r w:rsidRPr="000977F7">
        <w:rPr>
          <w:rFonts w:asciiTheme="majorHAnsi" w:hAnsiTheme="majorHAnsi"/>
          <w:spacing w:val="24"/>
          <w:sz w:val="20"/>
          <w:szCs w:val="20"/>
        </w:rPr>
        <w:t xml:space="preserve"> </w:t>
      </w:r>
      <w:r w:rsidRPr="000977F7">
        <w:rPr>
          <w:rFonts w:asciiTheme="majorHAnsi" w:hAnsiTheme="majorHAnsi"/>
          <w:sz w:val="20"/>
          <w:szCs w:val="20"/>
        </w:rPr>
        <w:t>виконавчої</w:t>
      </w:r>
      <w:r w:rsidRPr="000977F7">
        <w:rPr>
          <w:rFonts w:asciiTheme="majorHAnsi" w:hAnsiTheme="majorHAnsi"/>
          <w:spacing w:val="22"/>
          <w:sz w:val="20"/>
          <w:szCs w:val="20"/>
        </w:rPr>
        <w:t xml:space="preserve"> </w:t>
      </w:r>
      <w:r w:rsidRPr="000977F7">
        <w:rPr>
          <w:rFonts w:asciiTheme="majorHAnsi" w:hAnsiTheme="majorHAnsi"/>
          <w:sz w:val="20"/>
          <w:szCs w:val="20"/>
        </w:rPr>
        <w:t>влади,</w:t>
      </w:r>
      <w:r w:rsidRPr="000977F7">
        <w:rPr>
          <w:rFonts w:asciiTheme="majorHAnsi" w:hAnsiTheme="majorHAnsi"/>
          <w:spacing w:val="23"/>
          <w:sz w:val="20"/>
          <w:szCs w:val="20"/>
        </w:rPr>
        <w:t xml:space="preserve"> </w:t>
      </w:r>
      <w:r w:rsidRPr="000977F7">
        <w:rPr>
          <w:rFonts w:asciiTheme="majorHAnsi" w:hAnsiTheme="majorHAnsi"/>
          <w:sz w:val="20"/>
          <w:szCs w:val="20"/>
        </w:rPr>
        <w:t>що</w:t>
      </w:r>
      <w:r w:rsidRPr="000977F7">
        <w:rPr>
          <w:rFonts w:asciiTheme="majorHAnsi" w:hAnsiTheme="majorHAnsi"/>
          <w:spacing w:val="24"/>
          <w:sz w:val="20"/>
          <w:szCs w:val="20"/>
        </w:rPr>
        <w:t xml:space="preserve"> </w:t>
      </w:r>
      <w:r w:rsidRPr="000977F7">
        <w:rPr>
          <w:rFonts w:asciiTheme="majorHAnsi" w:hAnsiTheme="majorHAnsi"/>
          <w:sz w:val="20"/>
          <w:szCs w:val="20"/>
        </w:rPr>
        <w:t>реалізує</w:t>
      </w:r>
      <w:r w:rsidRPr="000977F7">
        <w:rPr>
          <w:rFonts w:asciiTheme="majorHAnsi" w:hAnsiTheme="majorHAnsi"/>
          <w:spacing w:val="-47"/>
          <w:sz w:val="20"/>
          <w:szCs w:val="20"/>
        </w:rPr>
        <w:t xml:space="preserve"> </w:t>
      </w:r>
      <w:r w:rsidRPr="000977F7">
        <w:rPr>
          <w:rFonts w:asciiTheme="majorHAnsi" w:hAnsiTheme="majorHAnsi"/>
          <w:sz w:val="20"/>
          <w:szCs w:val="20"/>
        </w:rPr>
        <w:t>державну</w:t>
      </w:r>
      <w:r w:rsidRPr="000977F7">
        <w:rPr>
          <w:rFonts w:asciiTheme="majorHAnsi" w:hAnsiTheme="majorHAnsi"/>
          <w:spacing w:val="44"/>
          <w:sz w:val="20"/>
          <w:szCs w:val="20"/>
        </w:rPr>
        <w:t xml:space="preserve"> </w:t>
      </w:r>
      <w:r w:rsidRPr="000977F7">
        <w:rPr>
          <w:rFonts w:asciiTheme="majorHAnsi" w:hAnsiTheme="majorHAnsi"/>
          <w:sz w:val="20"/>
          <w:szCs w:val="20"/>
        </w:rPr>
        <w:t>політику</w:t>
      </w:r>
      <w:r w:rsidRPr="000977F7">
        <w:rPr>
          <w:rFonts w:asciiTheme="majorHAnsi" w:hAnsiTheme="majorHAnsi"/>
          <w:spacing w:val="48"/>
          <w:sz w:val="20"/>
          <w:szCs w:val="20"/>
        </w:rPr>
        <w:t xml:space="preserve"> </w:t>
      </w:r>
      <w:r w:rsidRPr="000977F7">
        <w:rPr>
          <w:rFonts w:asciiTheme="majorHAnsi" w:hAnsiTheme="majorHAnsi"/>
          <w:sz w:val="20"/>
          <w:szCs w:val="20"/>
        </w:rPr>
        <w:t>у</w:t>
      </w:r>
      <w:r w:rsidRPr="000977F7">
        <w:rPr>
          <w:rFonts w:asciiTheme="majorHAnsi" w:hAnsiTheme="majorHAnsi"/>
          <w:spacing w:val="45"/>
          <w:sz w:val="20"/>
          <w:szCs w:val="20"/>
        </w:rPr>
        <w:t xml:space="preserve"> </w:t>
      </w:r>
      <w:r w:rsidRPr="000977F7">
        <w:rPr>
          <w:rFonts w:asciiTheme="majorHAnsi" w:hAnsiTheme="majorHAnsi"/>
          <w:sz w:val="20"/>
          <w:szCs w:val="20"/>
        </w:rPr>
        <w:t>сфері</w:t>
      </w:r>
      <w:r w:rsidRPr="000977F7">
        <w:rPr>
          <w:rFonts w:asciiTheme="majorHAnsi" w:hAnsiTheme="majorHAnsi"/>
          <w:spacing w:val="49"/>
          <w:sz w:val="20"/>
          <w:szCs w:val="20"/>
        </w:rPr>
        <w:t xml:space="preserve"> </w:t>
      </w:r>
      <w:r w:rsidRPr="000977F7">
        <w:rPr>
          <w:rFonts w:asciiTheme="majorHAnsi" w:hAnsiTheme="majorHAnsi"/>
          <w:sz w:val="20"/>
          <w:szCs w:val="20"/>
        </w:rPr>
        <w:t>охорони</w:t>
      </w:r>
      <w:r w:rsidRPr="000977F7">
        <w:rPr>
          <w:rFonts w:asciiTheme="majorHAnsi" w:hAnsiTheme="majorHAnsi"/>
          <w:spacing w:val="46"/>
          <w:sz w:val="20"/>
          <w:szCs w:val="20"/>
        </w:rPr>
        <w:t xml:space="preserve"> </w:t>
      </w:r>
      <w:r w:rsidRPr="000977F7">
        <w:rPr>
          <w:rFonts w:asciiTheme="majorHAnsi" w:hAnsiTheme="majorHAnsi"/>
          <w:sz w:val="20"/>
          <w:szCs w:val="20"/>
        </w:rPr>
        <w:t>праці,</w:t>
      </w:r>
      <w:r w:rsidRPr="000977F7">
        <w:rPr>
          <w:rFonts w:asciiTheme="majorHAnsi" w:hAnsiTheme="majorHAnsi"/>
          <w:spacing w:val="49"/>
          <w:sz w:val="20"/>
          <w:szCs w:val="20"/>
        </w:rPr>
        <w:t xml:space="preserve"> </w:t>
      </w:r>
      <w:r w:rsidRPr="000977F7">
        <w:rPr>
          <w:rFonts w:asciiTheme="majorHAnsi" w:hAnsiTheme="majorHAnsi"/>
          <w:sz w:val="20"/>
          <w:szCs w:val="20"/>
        </w:rPr>
        <w:t>приймає</w:t>
      </w:r>
      <w:r w:rsidRPr="000977F7">
        <w:rPr>
          <w:rFonts w:asciiTheme="majorHAnsi" w:hAnsiTheme="majorHAnsi"/>
          <w:spacing w:val="-47"/>
          <w:sz w:val="20"/>
          <w:szCs w:val="20"/>
        </w:rPr>
        <w:t xml:space="preserve"> </w:t>
      </w:r>
      <w:r w:rsidRPr="000977F7">
        <w:rPr>
          <w:rFonts w:asciiTheme="majorHAnsi" w:hAnsiTheme="majorHAnsi"/>
          <w:sz w:val="20"/>
          <w:szCs w:val="20"/>
        </w:rPr>
        <w:t>рішення про відмову у видачі дозволу в разі:</w:t>
      </w:r>
      <w:r w:rsidRPr="000977F7">
        <w:rPr>
          <w:rFonts w:asciiTheme="majorHAnsi" w:hAnsiTheme="majorHAnsi"/>
          <w:spacing w:val="1"/>
          <w:sz w:val="20"/>
          <w:szCs w:val="20"/>
        </w:rPr>
        <w:t xml:space="preserve"> </w:t>
      </w:r>
      <w:r w:rsidRPr="000977F7">
        <w:rPr>
          <w:rFonts w:asciiTheme="majorHAnsi" w:hAnsiTheme="majorHAnsi"/>
          <w:sz w:val="20"/>
          <w:szCs w:val="20"/>
        </w:rPr>
        <w:t>неподання</w:t>
      </w:r>
      <w:r w:rsidRPr="000977F7">
        <w:rPr>
          <w:rFonts w:asciiTheme="majorHAnsi" w:hAnsiTheme="majorHAnsi"/>
          <w:spacing w:val="3"/>
          <w:sz w:val="20"/>
          <w:szCs w:val="20"/>
        </w:rPr>
        <w:t xml:space="preserve"> </w:t>
      </w:r>
      <w:r w:rsidRPr="000977F7">
        <w:rPr>
          <w:rFonts w:asciiTheme="majorHAnsi" w:hAnsiTheme="majorHAnsi"/>
          <w:sz w:val="20"/>
          <w:szCs w:val="20"/>
        </w:rPr>
        <w:t>роботодавцем</w:t>
      </w:r>
      <w:r w:rsidRPr="000977F7">
        <w:rPr>
          <w:rFonts w:asciiTheme="majorHAnsi" w:hAnsiTheme="majorHAnsi"/>
          <w:spacing w:val="7"/>
          <w:sz w:val="20"/>
          <w:szCs w:val="20"/>
        </w:rPr>
        <w:t xml:space="preserve"> </w:t>
      </w:r>
      <w:r w:rsidRPr="000977F7">
        <w:rPr>
          <w:rFonts w:asciiTheme="majorHAnsi" w:hAnsiTheme="majorHAnsi"/>
          <w:sz w:val="20"/>
          <w:szCs w:val="20"/>
        </w:rPr>
        <w:t>необхідних</w:t>
      </w:r>
      <w:r w:rsidRPr="000977F7">
        <w:rPr>
          <w:rFonts w:asciiTheme="majorHAnsi" w:hAnsiTheme="majorHAnsi"/>
          <w:spacing w:val="2"/>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3"/>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24"/>
          <w:sz w:val="20"/>
          <w:szCs w:val="20"/>
        </w:rPr>
        <w:t xml:space="preserve"> </w:t>
      </w:r>
      <w:r w:rsidRPr="000977F7">
        <w:rPr>
          <w:rFonts w:asciiTheme="majorHAnsi" w:hAnsiTheme="majorHAnsi"/>
          <w:sz w:val="20"/>
          <w:szCs w:val="20"/>
        </w:rPr>
        <w:t>їх</w:t>
      </w:r>
      <w:r w:rsidRPr="000977F7">
        <w:rPr>
          <w:rFonts w:asciiTheme="majorHAnsi" w:hAnsiTheme="majorHAnsi"/>
          <w:spacing w:val="22"/>
          <w:sz w:val="20"/>
          <w:szCs w:val="20"/>
        </w:rPr>
        <w:t xml:space="preserve"> </w:t>
      </w:r>
      <w:r w:rsidRPr="000977F7">
        <w:rPr>
          <w:rFonts w:asciiTheme="majorHAnsi" w:hAnsiTheme="majorHAnsi"/>
          <w:sz w:val="20"/>
          <w:szCs w:val="20"/>
        </w:rPr>
        <w:t>оформлення</w:t>
      </w:r>
      <w:r w:rsidRPr="000977F7">
        <w:rPr>
          <w:rFonts w:asciiTheme="majorHAnsi" w:hAnsiTheme="majorHAnsi"/>
          <w:spacing w:val="23"/>
          <w:sz w:val="20"/>
          <w:szCs w:val="20"/>
        </w:rPr>
        <w:t xml:space="preserve"> </w:t>
      </w:r>
      <w:r w:rsidRPr="000977F7">
        <w:rPr>
          <w:rFonts w:asciiTheme="majorHAnsi" w:hAnsiTheme="majorHAnsi"/>
          <w:sz w:val="20"/>
          <w:szCs w:val="20"/>
        </w:rPr>
        <w:t>з</w:t>
      </w:r>
      <w:r w:rsidRPr="000977F7">
        <w:rPr>
          <w:rFonts w:asciiTheme="majorHAnsi" w:hAnsiTheme="majorHAnsi"/>
          <w:spacing w:val="25"/>
          <w:sz w:val="20"/>
          <w:szCs w:val="20"/>
        </w:rPr>
        <w:t xml:space="preserve"> </w:t>
      </w:r>
      <w:r w:rsidRPr="000977F7">
        <w:rPr>
          <w:rFonts w:asciiTheme="majorHAnsi" w:hAnsiTheme="majorHAnsi"/>
          <w:sz w:val="20"/>
          <w:szCs w:val="20"/>
        </w:rPr>
        <w:t>порушенням</w:t>
      </w:r>
      <w:r w:rsidRPr="000977F7">
        <w:rPr>
          <w:rFonts w:asciiTheme="majorHAnsi" w:hAnsiTheme="majorHAnsi"/>
          <w:spacing w:val="24"/>
          <w:sz w:val="20"/>
          <w:szCs w:val="20"/>
        </w:rPr>
        <w:t xml:space="preserve"> </w:t>
      </w:r>
      <w:r w:rsidRPr="000977F7">
        <w:rPr>
          <w:rFonts w:asciiTheme="majorHAnsi" w:hAnsiTheme="majorHAnsi"/>
          <w:sz w:val="20"/>
          <w:szCs w:val="20"/>
        </w:rPr>
        <w:t>встановлених</w:t>
      </w:r>
      <w:r w:rsidRPr="000977F7">
        <w:rPr>
          <w:rFonts w:asciiTheme="majorHAnsi" w:hAnsiTheme="majorHAnsi"/>
          <w:spacing w:val="22"/>
          <w:sz w:val="20"/>
          <w:szCs w:val="20"/>
        </w:rPr>
        <w:t xml:space="preserve"> </w:t>
      </w:r>
      <w:r w:rsidRPr="000977F7">
        <w:rPr>
          <w:rFonts w:asciiTheme="majorHAnsi" w:hAnsiTheme="majorHAnsi"/>
          <w:sz w:val="20"/>
          <w:szCs w:val="20"/>
        </w:rPr>
        <w:t>вимог;</w:t>
      </w:r>
    </w:p>
    <w:p w14:paraId="4817EB2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подання</w:t>
      </w:r>
      <w:r w:rsidRPr="000977F7">
        <w:rPr>
          <w:rFonts w:asciiTheme="majorHAnsi" w:hAnsiTheme="majorHAnsi"/>
          <w:spacing w:val="46"/>
          <w:sz w:val="20"/>
          <w:szCs w:val="20"/>
        </w:rPr>
        <w:t xml:space="preserve"> </w:t>
      </w:r>
      <w:r w:rsidRPr="000977F7">
        <w:rPr>
          <w:rFonts w:asciiTheme="majorHAnsi" w:hAnsiTheme="majorHAnsi"/>
          <w:sz w:val="20"/>
          <w:szCs w:val="20"/>
        </w:rPr>
        <w:t>недостовірних</w:t>
      </w:r>
      <w:r w:rsidRPr="000977F7">
        <w:rPr>
          <w:rFonts w:asciiTheme="majorHAnsi" w:hAnsiTheme="majorHAnsi"/>
          <w:spacing w:val="43"/>
          <w:sz w:val="20"/>
          <w:szCs w:val="20"/>
        </w:rPr>
        <w:t xml:space="preserve"> </w:t>
      </w:r>
      <w:r w:rsidRPr="000977F7">
        <w:rPr>
          <w:rFonts w:asciiTheme="majorHAnsi" w:hAnsiTheme="majorHAnsi"/>
          <w:sz w:val="20"/>
          <w:szCs w:val="20"/>
        </w:rPr>
        <w:t>відомостей</w:t>
      </w:r>
      <w:r w:rsidRPr="000977F7">
        <w:rPr>
          <w:rFonts w:asciiTheme="majorHAnsi" w:hAnsiTheme="majorHAnsi"/>
          <w:spacing w:val="44"/>
          <w:sz w:val="20"/>
          <w:szCs w:val="20"/>
        </w:rPr>
        <w:t xml:space="preserve"> </w:t>
      </w:r>
      <w:r w:rsidRPr="000977F7">
        <w:rPr>
          <w:rFonts w:asciiTheme="majorHAnsi" w:hAnsiTheme="majorHAnsi"/>
          <w:sz w:val="20"/>
          <w:szCs w:val="20"/>
        </w:rPr>
        <w:t>або</w:t>
      </w:r>
      <w:r w:rsidRPr="000977F7">
        <w:rPr>
          <w:rFonts w:asciiTheme="majorHAnsi" w:hAnsiTheme="majorHAnsi"/>
          <w:spacing w:val="48"/>
          <w:sz w:val="20"/>
          <w:szCs w:val="20"/>
        </w:rPr>
        <w:t xml:space="preserve"> </w:t>
      </w:r>
      <w:r w:rsidRPr="000977F7">
        <w:rPr>
          <w:rFonts w:asciiTheme="majorHAnsi" w:hAnsiTheme="majorHAnsi"/>
          <w:sz w:val="20"/>
          <w:szCs w:val="20"/>
        </w:rPr>
        <w:t>висновку</w:t>
      </w:r>
      <w:r w:rsidRPr="000977F7">
        <w:rPr>
          <w:rFonts w:asciiTheme="majorHAnsi" w:hAnsiTheme="majorHAnsi"/>
          <w:spacing w:val="44"/>
          <w:sz w:val="20"/>
          <w:szCs w:val="20"/>
        </w:rPr>
        <w:t xml:space="preserve"> </w:t>
      </w:r>
      <w:r w:rsidRPr="000977F7">
        <w:rPr>
          <w:rFonts w:asciiTheme="majorHAnsi" w:hAnsiTheme="majorHAnsi"/>
          <w:sz w:val="20"/>
          <w:szCs w:val="20"/>
        </w:rPr>
        <w:t>за</w:t>
      </w:r>
      <w:r w:rsidRPr="000977F7">
        <w:rPr>
          <w:rFonts w:asciiTheme="majorHAnsi" w:hAnsiTheme="majorHAnsi"/>
          <w:spacing w:val="-47"/>
          <w:sz w:val="20"/>
          <w:szCs w:val="20"/>
        </w:rPr>
        <w:t xml:space="preserve"> </w:t>
      </w:r>
      <w:r w:rsidRPr="000977F7">
        <w:rPr>
          <w:rFonts w:asciiTheme="majorHAnsi" w:hAnsiTheme="majorHAnsi"/>
          <w:sz w:val="20"/>
          <w:szCs w:val="20"/>
        </w:rPr>
        <w:t>результатами</w:t>
      </w:r>
      <w:r w:rsidRPr="000977F7">
        <w:rPr>
          <w:rFonts w:asciiTheme="majorHAnsi" w:hAnsiTheme="majorHAnsi"/>
          <w:spacing w:val="27"/>
          <w:sz w:val="20"/>
          <w:szCs w:val="20"/>
        </w:rPr>
        <w:t xml:space="preserve"> </w:t>
      </w:r>
      <w:r w:rsidRPr="000977F7">
        <w:rPr>
          <w:rFonts w:asciiTheme="majorHAnsi" w:hAnsiTheme="majorHAnsi"/>
          <w:sz w:val="20"/>
          <w:szCs w:val="20"/>
        </w:rPr>
        <w:t>експертизи,</w:t>
      </w:r>
      <w:r w:rsidRPr="000977F7">
        <w:rPr>
          <w:rFonts w:asciiTheme="majorHAnsi" w:hAnsiTheme="majorHAnsi"/>
          <w:spacing w:val="29"/>
          <w:sz w:val="20"/>
          <w:szCs w:val="20"/>
        </w:rPr>
        <w:t xml:space="preserve"> </w:t>
      </w:r>
      <w:r w:rsidRPr="000977F7">
        <w:rPr>
          <w:rFonts w:asciiTheme="majorHAnsi" w:hAnsiTheme="majorHAnsi"/>
          <w:sz w:val="20"/>
          <w:szCs w:val="20"/>
        </w:rPr>
        <w:t>який</w:t>
      </w:r>
      <w:r w:rsidRPr="000977F7">
        <w:rPr>
          <w:rFonts w:asciiTheme="majorHAnsi" w:hAnsiTheme="majorHAnsi"/>
          <w:spacing w:val="27"/>
          <w:sz w:val="20"/>
          <w:szCs w:val="20"/>
        </w:rPr>
        <w:t xml:space="preserve"> </w:t>
      </w:r>
      <w:r w:rsidRPr="000977F7">
        <w:rPr>
          <w:rFonts w:asciiTheme="majorHAnsi" w:hAnsiTheme="majorHAnsi"/>
          <w:sz w:val="20"/>
          <w:szCs w:val="20"/>
        </w:rPr>
        <w:t>затверджено</w:t>
      </w:r>
      <w:r w:rsidRPr="000977F7">
        <w:rPr>
          <w:rFonts w:asciiTheme="majorHAnsi" w:hAnsiTheme="majorHAnsi"/>
          <w:spacing w:val="30"/>
          <w:sz w:val="20"/>
          <w:szCs w:val="20"/>
        </w:rPr>
        <w:t xml:space="preserve"> </w:t>
      </w:r>
      <w:r w:rsidRPr="000977F7">
        <w:rPr>
          <w:rFonts w:asciiTheme="majorHAnsi" w:hAnsiTheme="majorHAnsi"/>
          <w:sz w:val="20"/>
          <w:szCs w:val="20"/>
        </w:rPr>
        <w:t>чи</w:t>
      </w:r>
      <w:r w:rsidRPr="000977F7">
        <w:rPr>
          <w:rFonts w:asciiTheme="majorHAnsi" w:hAnsiTheme="majorHAnsi"/>
          <w:spacing w:val="27"/>
          <w:sz w:val="20"/>
          <w:szCs w:val="20"/>
        </w:rPr>
        <w:t xml:space="preserve"> </w:t>
      </w:r>
      <w:r w:rsidRPr="000977F7">
        <w:rPr>
          <w:rFonts w:asciiTheme="majorHAnsi" w:hAnsiTheme="majorHAnsi"/>
          <w:sz w:val="20"/>
          <w:szCs w:val="20"/>
        </w:rPr>
        <w:t>складено більш як за рік до дня подання заяви;</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встановлення</w:t>
      </w:r>
      <w:r w:rsidRPr="000977F7">
        <w:rPr>
          <w:rFonts w:asciiTheme="majorHAnsi" w:hAnsiTheme="majorHAnsi"/>
          <w:spacing w:val="24"/>
          <w:sz w:val="20"/>
          <w:szCs w:val="20"/>
        </w:rPr>
        <w:t xml:space="preserve"> </w:t>
      </w:r>
      <w:r w:rsidRPr="000977F7">
        <w:rPr>
          <w:rFonts w:asciiTheme="majorHAnsi" w:hAnsiTheme="majorHAnsi"/>
          <w:sz w:val="20"/>
          <w:szCs w:val="20"/>
        </w:rPr>
        <w:t>згідно</w:t>
      </w:r>
      <w:r w:rsidRPr="000977F7">
        <w:rPr>
          <w:rFonts w:asciiTheme="majorHAnsi" w:hAnsiTheme="majorHAnsi"/>
          <w:spacing w:val="26"/>
          <w:sz w:val="20"/>
          <w:szCs w:val="20"/>
        </w:rPr>
        <w:t xml:space="preserve"> </w:t>
      </w:r>
      <w:r w:rsidRPr="000977F7">
        <w:rPr>
          <w:rFonts w:asciiTheme="majorHAnsi" w:hAnsiTheme="majorHAnsi"/>
          <w:sz w:val="20"/>
          <w:szCs w:val="20"/>
        </w:rPr>
        <w:t>з</w:t>
      </w:r>
      <w:r w:rsidRPr="000977F7">
        <w:rPr>
          <w:rFonts w:asciiTheme="majorHAnsi" w:hAnsiTheme="majorHAnsi"/>
          <w:spacing w:val="25"/>
          <w:sz w:val="20"/>
          <w:szCs w:val="20"/>
        </w:rPr>
        <w:t xml:space="preserve"> </w:t>
      </w:r>
      <w:r w:rsidRPr="000977F7">
        <w:rPr>
          <w:rFonts w:asciiTheme="majorHAnsi" w:hAnsiTheme="majorHAnsi"/>
          <w:sz w:val="20"/>
          <w:szCs w:val="20"/>
        </w:rPr>
        <w:t>висновком</w:t>
      </w:r>
      <w:r w:rsidRPr="000977F7">
        <w:rPr>
          <w:rFonts w:asciiTheme="majorHAnsi" w:hAnsiTheme="majorHAnsi"/>
          <w:spacing w:val="26"/>
          <w:sz w:val="20"/>
          <w:szCs w:val="20"/>
        </w:rPr>
        <w:t xml:space="preserve"> </w:t>
      </w:r>
      <w:r w:rsidRPr="000977F7">
        <w:rPr>
          <w:rFonts w:asciiTheme="majorHAnsi" w:hAnsiTheme="majorHAnsi"/>
          <w:sz w:val="20"/>
          <w:szCs w:val="20"/>
        </w:rPr>
        <w:t>за</w:t>
      </w:r>
      <w:r w:rsidRPr="000977F7">
        <w:rPr>
          <w:rFonts w:asciiTheme="majorHAnsi" w:hAnsiTheme="majorHAnsi"/>
          <w:spacing w:val="26"/>
          <w:sz w:val="20"/>
          <w:szCs w:val="20"/>
        </w:rPr>
        <w:t xml:space="preserve"> </w:t>
      </w:r>
      <w:r w:rsidRPr="000977F7">
        <w:rPr>
          <w:rFonts w:asciiTheme="majorHAnsi" w:hAnsiTheme="majorHAnsi"/>
          <w:sz w:val="20"/>
          <w:szCs w:val="20"/>
        </w:rPr>
        <w:t>результатами</w:t>
      </w:r>
      <w:r w:rsidRPr="000977F7">
        <w:rPr>
          <w:rFonts w:asciiTheme="majorHAnsi" w:hAnsiTheme="majorHAnsi"/>
          <w:spacing w:val="1"/>
          <w:sz w:val="20"/>
          <w:szCs w:val="20"/>
        </w:rPr>
        <w:t xml:space="preserve"> </w:t>
      </w:r>
      <w:r w:rsidRPr="000977F7">
        <w:rPr>
          <w:rFonts w:asciiTheme="majorHAnsi" w:hAnsiTheme="majorHAnsi"/>
          <w:sz w:val="20"/>
          <w:szCs w:val="20"/>
        </w:rPr>
        <w:t>експертизи</w:t>
      </w:r>
      <w:r w:rsidRPr="000977F7">
        <w:rPr>
          <w:rFonts w:asciiTheme="majorHAnsi" w:hAnsiTheme="majorHAnsi"/>
          <w:spacing w:val="30"/>
          <w:sz w:val="20"/>
          <w:szCs w:val="20"/>
        </w:rPr>
        <w:t xml:space="preserve"> </w:t>
      </w:r>
      <w:r w:rsidRPr="000977F7">
        <w:rPr>
          <w:rFonts w:asciiTheme="majorHAnsi" w:hAnsiTheme="majorHAnsi"/>
          <w:sz w:val="20"/>
          <w:szCs w:val="20"/>
        </w:rPr>
        <w:t>невідповідності</w:t>
      </w:r>
      <w:r w:rsidRPr="000977F7">
        <w:rPr>
          <w:rFonts w:asciiTheme="majorHAnsi" w:hAnsiTheme="majorHAnsi"/>
          <w:spacing w:val="33"/>
          <w:sz w:val="20"/>
          <w:szCs w:val="20"/>
        </w:rPr>
        <w:t xml:space="preserve"> </w:t>
      </w:r>
      <w:r w:rsidRPr="000977F7">
        <w:rPr>
          <w:rFonts w:asciiTheme="majorHAnsi" w:hAnsiTheme="majorHAnsi"/>
          <w:sz w:val="20"/>
          <w:szCs w:val="20"/>
        </w:rPr>
        <w:t>об'єкта</w:t>
      </w:r>
      <w:r w:rsidRPr="000977F7">
        <w:rPr>
          <w:rFonts w:asciiTheme="majorHAnsi" w:hAnsiTheme="majorHAnsi"/>
          <w:spacing w:val="31"/>
          <w:sz w:val="20"/>
          <w:szCs w:val="20"/>
        </w:rPr>
        <w:t xml:space="preserve"> </w:t>
      </w:r>
      <w:r w:rsidRPr="000977F7">
        <w:rPr>
          <w:rFonts w:asciiTheme="majorHAnsi" w:hAnsiTheme="majorHAnsi"/>
          <w:sz w:val="20"/>
          <w:szCs w:val="20"/>
        </w:rPr>
        <w:t>експертизи</w:t>
      </w:r>
      <w:r w:rsidRPr="000977F7">
        <w:rPr>
          <w:rFonts w:asciiTheme="majorHAnsi" w:hAnsiTheme="majorHAnsi"/>
          <w:spacing w:val="30"/>
          <w:sz w:val="20"/>
          <w:szCs w:val="20"/>
        </w:rPr>
        <w:t xml:space="preserve"> </w:t>
      </w:r>
      <w:r w:rsidRPr="000977F7">
        <w:rPr>
          <w:rFonts w:asciiTheme="majorHAnsi" w:hAnsiTheme="majorHAnsi"/>
          <w:sz w:val="20"/>
          <w:szCs w:val="20"/>
        </w:rPr>
        <w:t>вимогам</w:t>
      </w:r>
      <w:r w:rsidRPr="000977F7">
        <w:rPr>
          <w:rFonts w:asciiTheme="majorHAnsi" w:hAnsiTheme="majorHAnsi"/>
          <w:spacing w:val="11"/>
          <w:sz w:val="20"/>
          <w:szCs w:val="20"/>
        </w:rPr>
        <w:t xml:space="preserve"> </w:t>
      </w:r>
      <w:r w:rsidRPr="000977F7">
        <w:rPr>
          <w:rFonts w:asciiTheme="majorHAnsi" w:hAnsiTheme="majorHAnsi"/>
          <w:sz w:val="20"/>
          <w:szCs w:val="20"/>
        </w:rPr>
        <w:t>законів</w:t>
      </w:r>
      <w:r w:rsidRPr="000977F7">
        <w:rPr>
          <w:rFonts w:asciiTheme="majorHAnsi" w:hAnsiTheme="majorHAnsi"/>
          <w:spacing w:val="12"/>
          <w:sz w:val="20"/>
          <w:szCs w:val="20"/>
        </w:rPr>
        <w:t xml:space="preserve"> </w:t>
      </w:r>
      <w:r w:rsidRPr="000977F7">
        <w:rPr>
          <w:rFonts w:asciiTheme="majorHAnsi" w:hAnsiTheme="majorHAnsi"/>
          <w:sz w:val="20"/>
          <w:szCs w:val="20"/>
        </w:rPr>
        <w:t>та</w:t>
      </w:r>
      <w:r w:rsidRPr="000977F7">
        <w:rPr>
          <w:rFonts w:asciiTheme="majorHAnsi" w:hAnsiTheme="majorHAnsi"/>
          <w:spacing w:val="13"/>
          <w:sz w:val="20"/>
          <w:szCs w:val="20"/>
        </w:rPr>
        <w:t xml:space="preserve"> </w:t>
      </w:r>
      <w:r w:rsidRPr="000977F7">
        <w:rPr>
          <w:rFonts w:asciiTheme="majorHAnsi" w:hAnsiTheme="majorHAnsi"/>
          <w:sz w:val="20"/>
          <w:szCs w:val="20"/>
        </w:rPr>
        <w:t>інших</w:t>
      </w:r>
      <w:r w:rsidRPr="000977F7">
        <w:rPr>
          <w:rFonts w:asciiTheme="majorHAnsi" w:hAnsiTheme="majorHAnsi"/>
          <w:spacing w:val="11"/>
          <w:sz w:val="20"/>
          <w:szCs w:val="20"/>
        </w:rPr>
        <w:t xml:space="preserve"> </w:t>
      </w:r>
      <w:r w:rsidRPr="000977F7">
        <w:rPr>
          <w:rFonts w:asciiTheme="majorHAnsi" w:hAnsiTheme="majorHAnsi"/>
          <w:sz w:val="20"/>
          <w:szCs w:val="20"/>
        </w:rPr>
        <w:t>нормативно-правових</w:t>
      </w:r>
      <w:r w:rsidRPr="000977F7">
        <w:rPr>
          <w:rFonts w:asciiTheme="majorHAnsi" w:hAnsiTheme="majorHAnsi"/>
          <w:spacing w:val="9"/>
          <w:sz w:val="20"/>
          <w:szCs w:val="20"/>
        </w:rPr>
        <w:t xml:space="preserve"> </w:t>
      </w:r>
      <w:r w:rsidRPr="000977F7">
        <w:rPr>
          <w:rFonts w:asciiTheme="majorHAnsi" w:hAnsiTheme="majorHAnsi"/>
          <w:sz w:val="20"/>
          <w:szCs w:val="20"/>
        </w:rPr>
        <w:t>актів</w:t>
      </w:r>
      <w:r w:rsidRPr="000977F7">
        <w:rPr>
          <w:rFonts w:asciiTheme="majorHAnsi" w:hAnsiTheme="majorHAnsi"/>
          <w:spacing w:val="10"/>
          <w:sz w:val="20"/>
          <w:szCs w:val="20"/>
        </w:rPr>
        <w:t xml:space="preserve"> </w:t>
      </w:r>
      <w:r w:rsidRPr="000977F7">
        <w:rPr>
          <w:rFonts w:asciiTheme="majorHAnsi" w:hAnsiTheme="majorHAnsi"/>
          <w:sz w:val="20"/>
          <w:szCs w:val="20"/>
        </w:rPr>
        <w:t>з</w:t>
      </w:r>
      <w:r w:rsidRPr="000977F7">
        <w:rPr>
          <w:rFonts w:asciiTheme="majorHAnsi" w:hAnsiTheme="majorHAnsi"/>
          <w:spacing w:val="-47"/>
          <w:sz w:val="20"/>
          <w:szCs w:val="20"/>
        </w:rPr>
        <w:t xml:space="preserve"> </w:t>
      </w:r>
      <w:r w:rsidRPr="000977F7">
        <w:rPr>
          <w:rFonts w:asciiTheme="majorHAnsi" w:hAnsiTheme="majorHAnsi"/>
          <w:sz w:val="20"/>
          <w:szCs w:val="20"/>
        </w:rPr>
        <w:t>охорони</w:t>
      </w:r>
      <w:r w:rsidRPr="000977F7">
        <w:rPr>
          <w:rFonts w:asciiTheme="majorHAnsi" w:hAnsiTheme="majorHAnsi"/>
          <w:spacing w:val="-2"/>
          <w:sz w:val="20"/>
          <w:szCs w:val="20"/>
        </w:rPr>
        <w:t xml:space="preserve"> </w:t>
      </w:r>
      <w:r w:rsidRPr="000977F7">
        <w:rPr>
          <w:rFonts w:asciiTheme="majorHAnsi" w:hAnsiTheme="majorHAnsi"/>
          <w:sz w:val="20"/>
          <w:szCs w:val="20"/>
        </w:rPr>
        <w:t>праці.</w:t>
      </w:r>
    </w:p>
    <w:p w14:paraId="58A519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Підставою</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4"/>
          <w:sz w:val="20"/>
          <w:szCs w:val="20"/>
        </w:rPr>
        <w:t xml:space="preserve"> </w:t>
      </w:r>
      <w:r w:rsidRPr="000977F7">
        <w:rPr>
          <w:rFonts w:asciiTheme="majorHAnsi" w:hAnsiTheme="majorHAnsi"/>
          <w:sz w:val="20"/>
          <w:szCs w:val="20"/>
        </w:rPr>
        <w:t>анулювання</w:t>
      </w:r>
      <w:r w:rsidRPr="000977F7">
        <w:rPr>
          <w:rFonts w:asciiTheme="majorHAnsi" w:hAnsiTheme="majorHAnsi"/>
          <w:spacing w:val="-2"/>
          <w:sz w:val="20"/>
          <w:szCs w:val="20"/>
        </w:rPr>
        <w:t xml:space="preserve"> </w:t>
      </w:r>
      <w:r w:rsidRPr="000977F7">
        <w:rPr>
          <w:rFonts w:asciiTheme="majorHAnsi" w:hAnsiTheme="majorHAnsi"/>
          <w:sz w:val="20"/>
          <w:szCs w:val="20"/>
        </w:rPr>
        <w:t>дозволу</w:t>
      </w:r>
      <w:r w:rsidRPr="000977F7">
        <w:rPr>
          <w:rFonts w:asciiTheme="majorHAnsi" w:hAnsiTheme="majorHAnsi"/>
          <w:spacing w:val="-7"/>
          <w:sz w:val="20"/>
          <w:szCs w:val="20"/>
        </w:rPr>
        <w:t xml:space="preserve"> </w:t>
      </w:r>
      <w:r w:rsidRPr="000977F7">
        <w:rPr>
          <w:rFonts w:asciiTheme="majorHAnsi" w:hAnsiTheme="majorHAnsi"/>
          <w:sz w:val="20"/>
          <w:szCs w:val="20"/>
        </w:rPr>
        <w:t>є:</w:t>
      </w:r>
    </w:p>
    <w:p w14:paraId="50E05C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заява</w:t>
      </w:r>
      <w:r w:rsidRPr="000977F7">
        <w:rPr>
          <w:rFonts w:asciiTheme="majorHAnsi" w:hAnsiTheme="majorHAnsi"/>
          <w:spacing w:val="13"/>
          <w:sz w:val="20"/>
          <w:szCs w:val="20"/>
        </w:rPr>
        <w:t xml:space="preserve"> </w:t>
      </w:r>
      <w:r w:rsidRPr="000977F7">
        <w:rPr>
          <w:rFonts w:asciiTheme="majorHAnsi" w:hAnsiTheme="majorHAnsi"/>
          <w:sz w:val="20"/>
          <w:szCs w:val="20"/>
        </w:rPr>
        <w:t>роботодавця</w:t>
      </w:r>
      <w:r w:rsidRPr="000977F7">
        <w:rPr>
          <w:rFonts w:asciiTheme="majorHAnsi" w:hAnsiTheme="majorHAnsi"/>
          <w:spacing w:val="12"/>
          <w:sz w:val="20"/>
          <w:szCs w:val="20"/>
        </w:rPr>
        <w:t xml:space="preserve"> </w:t>
      </w:r>
      <w:r w:rsidRPr="000977F7">
        <w:rPr>
          <w:rFonts w:asciiTheme="majorHAnsi" w:hAnsiTheme="majorHAnsi"/>
          <w:sz w:val="20"/>
          <w:szCs w:val="20"/>
        </w:rPr>
        <w:t>або</w:t>
      </w:r>
      <w:r w:rsidRPr="000977F7">
        <w:rPr>
          <w:rFonts w:asciiTheme="majorHAnsi" w:hAnsiTheme="majorHAnsi"/>
          <w:spacing w:val="16"/>
          <w:sz w:val="20"/>
          <w:szCs w:val="20"/>
        </w:rPr>
        <w:t xml:space="preserve"> </w:t>
      </w:r>
      <w:r w:rsidRPr="000977F7">
        <w:rPr>
          <w:rFonts w:asciiTheme="majorHAnsi" w:hAnsiTheme="majorHAnsi"/>
          <w:sz w:val="20"/>
          <w:szCs w:val="20"/>
        </w:rPr>
        <w:t>уповноваженої</w:t>
      </w:r>
      <w:r w:rsidRPr="000977F7">
        <w:rPr>
          <w:rFonts w:asciiTheme="majorHAnsi" w:hAnsiTheme="majorHAnsi"/>
          <w:spacing w:val="12"/>
          <w:sz w:val="20"/>
          <w:szCs w:val="20"/>
        </w:rPr>
        <w:t xml:space="preserve"> </w:t>
      </w:r>
      <w:r w:rsidRPr="000977F7">
        <w:rPr>
          <w:rFonts w:asciiTheme="majorHAnsi" w:hAnsiTheme="majorHAnsi"/>
          <w:sz w:val="20"/>
          <w:szCs w:val="20"/>
        </w:rPr>
        <w:t>ним</w:t>
      </w:r>
      <w:r w:rsidRPr="000977F7">
        <w:rPr>
          <w:rFonts w:asciiTheme="majorHAnsi" w:hAnsiTheme="majorHAnsi"/>
          <w:spacing w:val="13"/>
          <w:sz w:val="20"/>
          <w:szCs w:val="20"/>
        </w:rPr>
        <w:t xml:space="preserve"> </w:t>
      </w:r>
      <w:r w:rsidRPr="000977F7">
        <w:rPr>
          <w:rFonts w:asciiTheme="majorHAnsi" w:hAnsiTheme="majorHAnsi"/>
          <w:sz w:val="20"/>
          <w:szCs w:val="20"/>
        </w:rPr>
        <w:t>особи</w:t>
      </w:r>
      <w:r w:rsidRPr="000977F7">
        <w:rPr>
          <w:rFonts w:asciiTheme="majorHAnsi" w:hAnsiTheme="majorHAnsi"/>
          <w:spacing w:val="12"/>
          <w:sz w:val="20"/>
          <w:szCs w:val="20"/>
        </w:rPr>
        <w:t xml:space="preserve"> </w:t>
      </w:r>
      <w:r w:rsidRPr="000977F7">
        <w:rPr>
          <w:rFonts w:asciiTheme="majorHAnsi" w:hAnsiTheme="majorHAnsi"/>
          <w:sz w:val="20"/>
          <w:szCs w:val="20"/>
        </w:rPr>
        <w:t>про</w:t>
      </w:r>
      <w:r w:rsidRPr="000977F7">
        <w:rPr>
          <w:rFonts w:asciiTheme="majorHAnsi" w:hAnsiTheme="majorHAnsi"/>
          <w:spacing w:val="-47"/>
          <w:sz w:val="20"/>
          <w:szCs w:val="20"/>
        </w:rPr>
        <w:t xml:space="preserve"> </w:t>
      </w:r>
      <w:r w:rsidRPr="000977F7">
        <w:rPr>
          <w:rFonts w:asciiTheme="majorHAnsi" w:hAnsiTheme="majorHAnsi"/>
          <w:sz w:val="20"/>
          <w:szCs w:val="20"/>
        </w:rPr>
        <w:t>анулювання</w:t>
      </w:r>
      <w:r w:rsidRPr="000977F7">
        <w:rPr>
          <w:rFonts w:asciiTheme="majorHAnsi" w:hAnsiTheme="majorHAnsi"/>
          <w:spacing w:val="-2"/>
          <w:sz w:val="20"/>
          <w:szCs w:val="20"/>
        </w:rPr>
        <w:t xml:space="preserve"> </w:t>
      </w:r>
      <w:r w:rsidRPr="000977F7">
        <w:rPr>
          <w:rFonts w:asciiTheme="majorHAnsi" w:hAnsiTheme="majorHAnsi"/>
          <w:sz w:val="20"/>
          <w:szCs w:val="20"/>
        </w:rPr>
        <w:t>дозволу;</w:t>
      </w:r>
    </w:p>
    <w:p w14:paraId="4A369A6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припинення</w:t>
      </w:r>
      <w:r w:rsidRPr="000977F7">
        <w:rPr>
          <w:rFonts w:asciiTheme="majorHAnsi" w:hAnsiTheme="majorHAnsi"/>
          <w:spacing w:val="8"/>
          <w:sz w:val="20"/>
          <w:szCs w:val="20"/>
        </w:rPr>
        <w:t xml:space="preserve"> </w:t>
      </w:r>
      <w:r w:rsidRPr="000977F7">
        <w:rPr>
          <w:rFonts w:asciiTheme="majorHAnsi" w:hAnsiTheme="majorHAnsi"/>
          <w:sz w:val="20"/>
          <w:szCs w:val="20"/>
        </w:rPr>
        <w:t>юридичної</w:t>
      </w:r>
      <w:r w:rsidRPr="000977F7">
        <w:rPr>
          <w:rFonts w:asciiTheme="majorHAnsi" w:hAnsiTheme="majorHAnsi"/>
          <w:spacing w:val="8"/>
          <w:sz w:val="20"/>
          <w:szCs w:val="20"/>
        </w:rPr>
        <w:t xml:space="preserve"> </w:t>
      </w:r>
      <w:r w:rsidRPr="000977F7">
        <w:rPr>
          <w:rFonts w:asciiTheme="majorHAnsi" w:hAnsiTheme="majorHAnsi"/>
          <w:sz w:val="20"/>
          <w:szCs w:val="20"/>
        </w:rPr>
        <w:t>особи</w:t>
      </w:r>
      <w:r w:rsidRPr="000977F7">
        <w:rPr>
          <w:rFonts w:asciiTheme="majorHAnsi" w:hAnsiTheme="majorHAnsi"/>
          <w:spacing w:val="7"/>
          <w:sz w:val="20"/>
          <w:szCs w:val="20"/>
        </w:rPr>
        <w:t xml:space="preserve"> </w:t>
      </w:r>
      <w:r w:rsidRPr="000977F7">
        <w:rPr>
          <w:rFonts w:asciiTheme="majorHAnsi" w:hAnsiTheme="majorHAnsi"/>
          <w:sz w:val="20"/>
          <w:szCs w:val="20"/>
        </w:rPr>
        <w:t>(злиття,</w:t>
      </w:r>
      <w:r w:rsidRPr="000977F7">
        <w:rPr>
          <w:rFonts w:asciiTheme="majorHAnsi" w:hAnsiTheme="majorHAnsi"/>
          <w:spacing w:val="8"/>
          <w:sz w:val="20"/>
          <w:szCs w:val="20"/>
        </w:rPr>
        <w:t xml:space="preserve"> </w:t>
      </w:r>
      <w:r w:rsidRPr="000977F7">
        <w:rPr>
          <w:rFonts w:asciiTheme="majorHAnsi" w:hAnsiTheme="majorHAnsi"/>
          <w:sz w:val="20"/>
          <w:szCs w:val="20"/>
        </w:rPr>
        <w:t>приєднання,</w:t>
      </w:r>
      <w:r w:rsidRPr="000977F7">
        <w:rPr>
          <w:rFonts w:asciiTheme="majorHAnsi" w:hAnsiTheme="majorHAnsi"/>
          <w:spacing w:val="-47"/>
          <w:sz w:val="20"/>
          <w:szCs w:val="20"/>
        </w:rPr>
        <w:t xml:space="preserve"> </w:t>
      </w:r>
      <w:r w:rsidRPr="000977F7">
        <w:rPr>
          <w:rFonts w:asciiTheme="majorHAnsi" w:hAnsiTheme="majorHAnsi"/>
          <w:sz w:val="20"/>
          <w:szCs w:val="20"/>
        </w:rPr>
        <w:t>поділ,</w:t>
      </w:r>
      <w:r w:rsidRPr="000977F7">
        <w:rPr>
          <w:rFonts w:asciiTheme="majorHAnsi" w:hAnsiTheme="majorHAnsi"/>
          <w:spacing w:val="36"/>
          <w:sz w:val="20"/>
          <w:szCs w:val="20"/>
        </w:rPr>
        <w:t xml:space="preserve"> </w:t>
      </w:r>
      <w:r w:rsidRPr="000977F7">
        <w:rPr>
          <w:rFonts w:asciiTheme="majorHAnsi" w:hAnsiTheme="majorHAnsi"/>
          <w:sz w:val="20"/>
          <w:szCs w:val="20"/>
        </w:rPr>
        <w:t>перетворення</w:t>
      </w:r>
      <w:r w:rsidRPr="000977F7">
        <w:rPr>
          <w:rFonts w:asciiTheme="majorHAnsi" w:hAnsiTheme="majorHAnsi"/>
          <w:spacing w:val="32"/>
          <w:sz w:val="20"/>
          <w:szCs w:val="20"/>
        </w:rPr>
        <w:t xml:space="preserve"> </w:t>
      </w:r>
      <w:r w:rsidRPr="000977F7">
        <w:rPr>
          <w:rFonts w:asciiTheme="majorHAnsi" w:hAnsiTheme="majorHAnsi"/>
          <w:sz w:val="20"/>
          <w:szCs w:val="20"/>
        </w:rPr>
        <w:t>або</w:t>
      </w:r>
      <w:r w:rsidRPr="000977F7">
        <w:rPr>
          <w:rFonts w:asciiTheme="majorHAnsi" w:hAnsiTheme="majorHAnsi"/>
          <w:spacing w:val="33"/>
          <w:sz w:val="20"/>
          <w:szCs w:val="20"/>
        </w:rPr>
        <w:t xml:space="preserve"> </w:t>
      </w:r>
      <w:r w:rsidRPr="000977F7">
        <w:rPr>
          <w:rFonts w:asciiTheme="majorHAnsi" w:hAnsiTheme="majorHAnsi"/>
          <w:sz w:val="20"/>
          <w:szCs w:val="20"/>
        </w:rPr>
        <w:t>ліквідація)</w:t>
      </w:r>
      <w:r w:rsidRPr="000977F7">
        <w:rPr>
          <w:rFonts w:asciiTheme="majorHAnsi" w:hAnsiTheme="majorHAnsi"/>
          <w:spacing w:val="36"/>
          <w:sz w:val="20"/>
          <w:szCs w:val="20"/>
        </w:rPr>
        <w:t xml:space="preserve"> </w:t>
      </w:r>
      <w:r w:rsidRPr="000977F7">
        <w:rPr>
          <w:rFonts w:asciiTheme="majorHAnsi" w:hAnsiTheme="majorHAnsi"/>
          <w:sz w:val="20"/>
          <w:szCs w:val="20"/>
        </w:rPr>
        <w:t>або</w:t>
      </w:r>
      <w:r w:rsidRPr="000977F7">
        <w:rPr>
          <w:rFonts w:asciiTheme="majorHAnsi" w:hAnsiTheme="majorHAnsi"/>
          <w:spacing w:val="36"/>
          <w:sz w:val="20"/>
          <w:szCs w:val="20"/>
        </w:rPr>
        <w:t xml:space="preserve"> </w:t>
      </w:r>
      <w:r w:rsidRPr="000977F7">
        <w:rPr>
          <w:rFonts w:asciiTheme="majorHAnsi" w:hAnsiTheme="majorHAnsi"/>
          <w:sz w:val="20"/>
          <w:szCs w:val="20"/>
        </w:rPr>
        <w:lastRenderedPageBreak/>
        <w:t>підприємницької діяльності фізичною особою підприємцем;</w:t>
      </w:r>
      <w:r w:rsidRPr="000977F7">
        <w:rPr>
          <w:rFonts w:asciiTheme="majorHAnsi" w:hAnsiTheme="majorHAnsi"/>
          <w:spacing w:val="1"/>
          <w:sz w:val="20"/>
          <w:szCs w:val="20"/>
        </w:rPr>
        <w:t xml:space="preserve"> </w:t>
      </w:r>
      <w:r w:rsidRPr="000977F7">
        <w:rPr>
          <w:rFonts w:asciiTheme="majorHAnsi" w:hAnsiTheme="majorHAnsi"/>
          <w:sz w:val="20"/>
          <w:szCs w:val="20"/>
        </w:rPr>
        <w:t>виявлення</w:t>
      </w:r>
      <w:r w:rsidRPr="000977F7">
        <w:rPr>
          <w:rFonts w:asciiTheme="majorHAnsi" w:hAnsiTheme="majorHAnsi"/>
          <w:spacing w:val="4"/>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поданих</w:t>
      </w:r>
      <w:r w:rsidRPr="000977F7">
        <w:rPr>
          <w:rFonts w:asciiTheme="majorHAnsi" w:hAnsiTheme="majorHAnsi"/>
          <w:spacing w:val="2"/>
          <w:sz w:val="20"/>
          <w:szCs w:val="20"/>
        </w:rPr>
        <w:t xml:space="preserve"> </w:t>
      </w:r>
      <w:r w:rsidRPr="000977F7">
        <w:rPr>
          <w:rFonts w:asciiTheme="majorHAnsi" w:hAnsiTheme="majorHAnsi"/>
          <w:sz w:val="20"/>
          <w:szCs w:val="20"/>
        </w:rPr>
        <w:t>роботодавцем</w:t>
      </w:r>
      <w:r w:rsidRPr="000977F7">
        <w:rPr>
          <w:rFonts w:asciiTheme="majorHAnsi" w:hAnsiTheme="majorHAnsi"/>
          <w:spacing w:val="4"/>
          <w:sz w:val="20"/>
          <w:szCs w:val="20"/>
        </w:rPr>
        <w:t xml:space="preserve"> </w:t>
      </w:r>
      <w:r w:rsidRPr="000977F7">
        <w:rPr>
          <w:rFonts w:asciiTheme="majorHAnsi" w:hAnsiTheme="majorHAnsi"/>
          <w:sz w:val="20"/>
          <w:szCs w:val="20"/>
        </w:rPr>
        <w:t>документах</w:t>
      </w:r>
      <w:r w:rsidRPr="000977F7">
        <w:rPr>
          <w:rFonts w:asciiTheme="majorHAnsi" w:hAnsiTheme="majorHAnsi"/>
          <w:spacing w:val="1"/>
          <w:sz w:val="20"/>
          <w:szCs w:val="20"/>
        </w:rPr>
        <w:t xml:space="preserve"> </w:t>
      </w:r>
      <w:r w:rsidRPr="000977F7">
        <w:rPr>
          <w:rFonts w:asciiTheme="majorHAnsi" w:hAnsiTheme="majorHAnsi"/>
          <w:sz w:val="20"/>
          <w:szCs w:val="20"/>
        </w:rPr>
        <w:t>недостовірних</w:t>
      </w:r>
      <w:r w:rsidRPr="000977F7">
        <w:rPr>
          <w:rFonts w:asciiTheme="majorHAnsi" w:hAnsiTheme="majorHAnsi"/>
          <w:spacing w:val="10"/>
          <w:sz w:val="20"/>
          <w:szCs w:val="20"/>
        </w:rPr>
        <w:t xml:space="preserve"> </w:t>
      </w:r>
      <w:r w:rsidRPr="000977F7">
        <w:rPr>
          <w:rFonts w:asciiTheme="majorHAnsi" w:hAnsiTheme="majorHAnsi"/>
          <w:sz w:val="20"/>
          <w:szCs w:val="20"/>
        </w:rPr>
        <w:t>відомостей</w:t>
      </w:r>
      <w:r w:rsidRPr="000977F7">
        <w:rPr>
          <w:rFonts w:asciiTheme="majorHAnsi" w:hAnsiTheme="majorHAnsi"/>
          <w:spacing w:val="11"/>
          <w:sz w:val="20"/>
          <w:szCs w:val="20"/>
        </w:rPr>
        <w:t xml:space="preserve"> </w:t>
      </w:r>
      <w:r w:rsidRPr="000977F7">
        <w:rPr>
          <w:rFonts w:asciiTheme="majorHAnsi" w:hAnsiTheme="majorHAnsi"/>
          <w:sz w:val="20"/>
          <w:szCs w:val="20"/>
        </w:rPr>
        <w:t>щодо</w:t>
      </w:r>
      <w:r w:rsidRPr="000977F7">
        <w:rPr>
          <w:rFonts w:asciiTheme="majorHAnsi" w:hAnsiTheme="majorHAnsi"/>
          <w:spacing w:val="10"/>
          <w:sz w:val="20"/>
          <w:szCs w:val="20"/>
        </w:rPr>
        <w:t xml:space="preserve"> </w:t>
      </w:r>
      <w:r w:rsidRPr="000977F7">
        <w:rPr>
          <w:rFonts w:asciiTheme="majorHAnsi" w:hAnsiTheme="majorHAnsi"/>
          <w:sz w:val="20"/>
          <w:szCs w:val="20"/>
        </w:rPr>
        <w:t>виконання</w:t>
      </w:r>
      <w:r w:rsidRPr="000977F7">
        <w:rPr>
          <w:rFonts w:asciiTheme="majorHAnsi" w:hAnsiTheme="majorHAnsi"/>
          <w:spacing w:val="9"/>
          <w:sz w:val="20"/>
          <w:szCs w:val="20"/>
        </w:rPr>
        <w:t xml:space="preserve"> </w:t>
      </w:r>
      <w:r w:rsidRPr="000977F7">
        <w:rPr>
          <w:rFonts w:asciiTheme="majorHAnsi" w:hAnsiTheme="majorHAnsi"/>
          <w:sz w:val="20"/>
          <w:szCs w:val="20"/>
        </w:rPr>
        <w:t>робіт</w:t>
      </w:r>
      <w:r w:rsidRPr="000977F7">
        <w:rPr>
          <w:rFonts w:asciiTheme="majorHAnsi" w:hAnsiTheme="majorHAnsi"/>
          <w:spacing w:val="9"/>
          <w:sz w:val="20"/>
          <w:szCs w:val="20"/>
        </w:rPr>
        <w:t xml:space="preserve"> </w:t>
      </w:r>
      <w:r w:rsidRPr="000977F7">
        <w:rPr>
          <w:rFonts w:asciiTheme="majorHAnsi" w:hAnsiTheme="majorHAnsi"/>
          <w:sz w:val="20"/>
          <w:szCs w:val="20"/>
        </w:rPr>
        <w:t>підвищеної</w:t>
      </w:r>
      <w:r w:rsidRPr="000977F7">
        <w:rPr>
          <w:rFonts w:asciiTheme="majorHAnsi" w:hAnsiTheme="majorHAnsi"/>
          <w:spacing w:val="30"/>
          <w:sz w:val="20"/>
          <w:szCs w:val="20"/>
        </w:rPr>
        <w:t xml:space="preserve"> </w:t>
      </w:r>
      <w:r w:rsidRPr="000977F7">
        <w:rPr>
          <w:rFonts w:asciiTheme="majorHAnsi" w:hAnsiTheme="majorHAnsi"/>
          <w:sz w:val="20"/>
          <w:szCs w:val="20"/>
        </w:rPr>
        <w:t>небезпеки</w:t>
      </w:r>
      <w:r w:rsidRPr="000977F7">
        <w:rPr>
          <w:rFonts w:asciiTheme="majorHAnsi" w:hAnsiTheme="majorHAnsi"/>
          <w:spacing w:val="30"/>
          <w:sz w:val="20"/>
          <w:szCs w:val="20"/>
        </w:rPr>
        <w:t xml:space="preserve"> </w:t>
      </w:r>
      <w:r w:rsidRPr="000977F7">
        <w:rPr>
          <w:rFonts w:asciiTheme="majorHAnsi" w:hAnsiTheme="majorHAnsi"/>
          <w:sz w:val="20"/>
          <w:szCs w:val="20"/>
        </w:rPr>
        <w:t>або</w:t>
      </w:r>
      <w:r w:rsidRPr="000977F7">
        <w:rPr>
          <w:rFonts w:asciiTheme="majorHAnsi" w:hAnsiTheme="majorHAnsi"/>
          <w:spacing w:val="32"/>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31"/>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33"/>
          <w:sz w:val="20"/>
          <w:szCs w:val="20"/>
        </w:rPr>
        <w:t xml:space="preserve"> </w:t>
      </w:r>
      <w:r w:rsidRPr="000977F7">
        <w:rPr>
          <w:rFonts w:asciiTheme="majorHAnsi" w:hAnsiTheme="majorHAnsi"/>
          <w:sz w:val="20"/>
          <w:szCs w:val="20"/>
        </w:rPr>
        <w:t>устаткування підвищеної небезпеки, на які видано дозвіл;</w:t>
      </w:r>
      <w:r w:rsidRPr="000977F7">
        <w:rPr>
          <w:rFonts w:asciiTheme="majorHAnsi" w:hAnsiTheme="majorHAnsi"/>
          <w:spacing w:val="1"/>
          <w:sz w:val="20"/>
          <w:szCs w:val="20"/>
        </w:rPr>
        <w:t xml:space="preserve"> </w:t>
      </w:r>
      <w:r w:rsidRPr="000977F7">
        <w:rPr>
          <w:rFonts w:asciiTheme="majorHAnsi" w:hAnsiTheme="majorHAnsi"/>
          <w:sz w:val="20"/>
          <w:szCs w:val="20"/>
        </w:rPr>
        <w:t>повторне</w:t>
      </w:r>
      <w:r w:rsidRPr="000977F7">
        <w:rPr>
          <w:rFonts w:asciiTheme="majorHAnsi" w:hAnsiTheme="majorHAnsi"/>
          <w:spacing w:val="1"/>
          <w:sz w:val="20"/>
          <w:szCs w:val="20"/>
        </w:rPr>
        <w:t xml:space="preserve"> </w:t>
      </w:r>
      <w:r w:rsidRPr="000977F7">
        <w:rPr>
          <w:rFonts w:asciiTheme="majorHAnsi" w:hAnsiTheme="majorHAnsi"/>
          <w:sz w:val="20"/>
          <w:szCs w:val="20"/>
        </w:rPr>
        <w:t>порушення</w:t>
      </w:r>
      <w:r w:rsidRPr="000977F7">
        <w:rPr>
          <w:rFonts w:asciiTheme="majorHAnsi" w:hAnsiTheme="majorHAnsi"/>
          <w:spacing w:val="1"/>
          <w:sz w:val="20"/>
          <w:szCs w:val="20"/>
        </w:rPr>
        <w:t xml:space="preserve"> </w:t>
      </w:r>
      <w:r w:rsidRPr="000977F7">
        <w:rPr>
          <w:rFonts w:asciiTheme="majorHAnsi" w:hAnsiTheme="majorHAnsi"/>
          <w:sz w:val="20"/>
          <w:szCs w:val="20"/>
        </w:rPr>
        <w:t>вимог</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законодавства</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охорону</w:t>
      </w:r>
      <w:r w:rsidRPr="000977F7">
        <w:rPr>
          <w:rFonts w:asciiTheme="majorHAnsi" w:hAnsiTheme="majorHAnsi"/>
          <w:spacing w:val="4"/>
          <w:sz w:val="20"/>
          <w:szCs w:val="20"/>
        </w:rPr>
        <w:t xml:space="preserve"> </w:t>
      </w:r>
      <w:r w:rsidRPr="000977F7">
        <w:rPr>
          <w:rFonts w:asciiTheme="majorHAnsi" w:hAnsiTheme="majorHAnsi"/>
          <w:sz w:val="20"/>
          <w:szCs w:val="20"/>
        </w:rPr>
        <w:t>праці</w:t>
      </w:r>
      <w:r w:rsidRPr="000977F7">
        <w:rPr>
          <w:rFonts w:asciiTheme="majorHAnsi" w:hAnsiTheme="majorHAnsi"/>
          <w:spacing w:val="10"/>
          <w:sz w:val="20"/>
          <w:szCs w:val="20"/>
        </w:rPr>
        <w:t xml:space="preserve"> </w:t>
      </w:r>
      <w:r w:rsidRPr="000977F7">
        <w:rPr>
          <w:rFonts w:asciiTheme="majorHAnsi" w:hAnsiTheme="majorHAnsi"/>
          <w:sz w:val="20"/>
          <w:szCs w:val="20"/>
        </w:rPr>
        <w:t>під</w:t>
      </w:r>
      <w:r w:rsidRPr="000977F7">
        <w:rPr>
          <w:rFonts w:asciiTheme="majorHAnsi" w:hAnsiTheme="majorHAnsi"/>
          <w:spacing w:val="8"/>
          <w:sz w:val="20"/>
          <w:szCs w:val="20"/>
        </w:rPr>
        <w:t xml:space="preserve"> </w:t>
      </w:r>
      <w:r w:rsidRPr="000977F7">
        <w:rPr>
          <w:rFonts w:asciiTheme="majorHAnsi" w:hAnsiTheme="majorHAnsi"/>
          <w:sz w:val="20"/>
          <w:szCs w:val="20"/>
        </w:rPr>
        <w:t>час</w:t>
      </w:r>
      <w:r w:rsidRPr="000977F7">
        <w:rPr>
          <w:rFonts w:asciiTheme="majorHAnsi" w:hAnsiTheme="majorHAnsi"/>
          <w:spacing w:val="10"/>
          <w:sz w:val="20"/>
          <w:szCs w:val="20"/>
        </w:rPr>
        <w:t xml:space="preserve"> </w:t>
      </w:r>
      <w:r w:rsidRPr="000977F7">
        <w:rPr>
          <w:rFonts w:asciiTheme="majorHAnsi" w:hAnsiTheme="majorHAnsi"/>
          <w:sz w:val="20"/>
          <w:szCs w:val="20"/>
        </w:rPr>
        <w:t>виконання</w:t>
      </w:r>
      <w:r w:rsidRPr="000977F7">
        <w:rPr>
          <w:rFonts w:asciiTheme="majorHAnsi" w:hAnsiTheme="majorHAnsi"/>
          <w:spacing w:val="7"/>
          <w:sz w:val="20"/>
          <w:szCs w:val="20"/>
        </w:rPr>
        <w:t xml:space="preserve"> </w:t>
      </w:r>
      <w:r w:rsidRPr="000977F7">
        <w:rPr>
          <w:rFonts w:asciiTheme="majorHAnsi" w:hAnsiTheme="majorHAnsi"/>
          <w:sz w:val="20"/>
          <w:szCs w:val="20"/>
        </w:rPr>
        <w:t>робіт</w:t>
      </w:r>
      <w:r w:rsidRPr="000977F7">
        <w:rPr>
          <w:rFonts w:asciiTheme="majorHAnsi" w:hAnsiTheme="majorHAnsi"/>
          <w:spacing w:val="10"/>
          <w:sz w:val="20"/>
          <w:szCs w:val="20"/>
        </w:rPr>
        <w:t xml:space="preserve"> </w:t>
      </w:r>
      <w:r w:rsidRPr="000977F7">
        <w:rPr>
          <w:rFonts w:asciiTheme="majorHAnsi" w:hAnsiTheme="majorHAnsi"/>
          <w:sz w:val="20"/>
          <w:szCs w:val="20"/>
        </w:rPr>
        <w:t>підвищеної</w:t>
      </w:r>
      <w:r w:rsidRPr="000977F7">
        <w:rPr>
          <w:rFonts w:asciiTheme="majorHAnsi" w:hAnsiTheme="majorHAnsi"/>
          <w:spacing w:val="7"/>
          <w:sz w:val="20"/>
          <w:szCs w:val="20"/>
        </w:rPr>
        <w:t xml:space="preserve"> </w:t>
      </w:r>
      <w:r w:rsidRPr="000977F7">
        <w:rPr>
          <w:rFonts w:asciiTheme="majorHAnsi" w:hAnsiTheme="majorHAnsi"/>
          <w:sz w:val="20"/>
          <w:szCs w:val="20"/>
        </w:rPr>
        <w:t>небезпеки</w:t>
      </w:r>
      <w:r w:rsidRPr="000977F7">
        <w:rPr>
          <w:rFonts w:asciiTheme="majorHAnsi" w:hAnsiTheme="majorHAnsi"/>
          <w:spacing w:val="26"/>
          <w:sz w:val="20"/>
          <w:szCs w:val="20"/>
        </w:rPr>
        <w:t xml:space="preserve"> </w:t>
      </w:r>
      <w:r w:rsidRPr="000977F7">
        <w:rPr>
          <w:rFonts w:asciiTheme="majorHAnsi" w:hAnsiTheme="majorHAnsi"/>
          <w:sz w:val="20"/>
          <w:szCs w:val="20"/>
        </w:rPr>
        <w:t>або</w:t>
      </w:r>
      <w:r w:rsidRPr="000977F7">
        <w:rPr>
          <w:rFonts w:asciiTheme="majorHAnsi" w:hAnsiTheme="majorHAnsi"/>
          <w:spacing w:val="27"/>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26"/>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29"/>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47"/>
          <w:sz w:val="20"/>
          <w:szCs w:val="20"/>
        </w:rPr>
        <w:t xml:space="preserve"> </w:t>
      </w:r>
      <w:r w:rsidRPr="000977F7">
        <w:rPr>
          <w:rFonts w:asciiTheme="majorHAnsi" w:hAnsiTheme="majorHAnsi"/>
          <w:sz w:val="20"/>
          <w:szCs w:val="20"/>
        </w:rPr>
        <w:t>підвищеної небезпеки, на які видано дозвіл;</w:t>
      </w:r>
      <w:r w:rsidRPr="000977F7">
        <w:rPr>
          <w:rFonts w:asciiTheme="majorHAnsi" w:hAnsiTheme="majorHAnsi"/>
          <w:spacing w:val="1"/>
          <w:sz w:val="20"/>
          <w:szCs w:val="20"/>
        </w:rPr>
        <w:t xml:space="preserve"> </w:t>
      </w:r>
      <w:r w:rsidRPr="000977F7">
        <w:rPr>
          <w:rFonts w:asciiTheme="majorHAnsi" w:hAnsiTheme="majorHAnsi"/>
          <w:sz w:val="20"/>
          <w:szCs w:val="20"/>
        </w:rPr>
        <w:t>виникнення</w:t>
      </w:r>
      <w:r w:rsidRPr="000977F7">
        <w:rPr>
          <w:rFonts w:asciiTheme="majorHAnsi" w:hAnsiTheme="majorHAnsi"/>
          <w:spacing w:val="19"/>
          <w:sz w:val="20"/>
          <w:szCs w:val="20"/>
        </w:rPr>
        <w:t xml:space="preserve"> </w:t>
      </w:r>
      <w:r w:rsidRPr="000977F7">
        <w:rPr>
          <w:rFonts w:asciiTheme="majorHAnsi" w:hAnsiTheme="majorHAnsi"/>
          <w:sz w:val="20"/>
          <w:szCs w:val="20"/>
        </w:rPr>
        <w:t>аварії,</w:t>
      </w:r>
      <w:r w:rsidRPr="000977F7">
        <w:rPr>
          <w:rFonts w:asciiTheme="majorHAnsi" w:hAnsiTheme="majorHAnsi"/>
          <w:spacing w:val="20"/>
          <w:sz w:val="20"/>
          <w:szCs w:val="20"/>
        </w:rPr>
        <w:t xml:space="preserve"> </w:t>
      </w:r>
      <w:r w:rsidRPr="000977F7">
        <w:rPr>
          <w:rFonts w:asciiTheme="majorHAnsi" w:hAnsiTheme="majorHAnsi"/>
          <w:sz w:val="20"/>
          <w:szCs w:val="20"/>
        </w:rPr>
        <w:t>вибуху,</w:t>
      </w:r>
      <w:r w:rsidRPr="000977F7">
        <w:rPr>
          <w:rFonts w:asciiTheme="majorHAnsi" w:hAnsiTheme="majorHAnsi"/>
          <w:spacing w:val="22"/>
          <w:sz w:val="20"/>
          <w:szCs w:val="20"/>
        </w:rPr>
        <w:t xml:space="preserve"> </w:t>
      </w:r>
      <w:r w:rsidRPr="000977F7">
        <w:rPr>
          <w:rFonts w:asciiTheme="majorHAnsi" w:hAnsiTheme="majorHAnsi"/>
          <w:sz w:val="20"/>
          <w:szCs w:val="20"/>
        </w:rPr>
        <w:t>пожежі,</w:t>
      </w:r>
      <w:r w:rsidRPr="000977F7">
        <w:rPr>
          <w:rFonts w:asciiTheme="majorHAnsi" w:hAnsiTheme="majorHAnsi"/>
          <w:spacing w:val="20"/>
          <w:sz w:val="20"/>
          <w:szCs w:val="20"/>
        </w:rPr>
        <w:t xml:space="preserve"> </w:t>
      </w:r>
      <w:r w:rsidRPr="000977F7">
        <w:rPr>
          <w:rFonts w:asciiTheme="majorHAnsi" w:hAnsiTheme="majorHAnsi"/>
          <w:sz w:val="20"/>
          <w:szCs w:val="20"/>
        </w:rPr>
        <w:t>нещасного</w:t>
      </w:r>
      <w:r w:rsidRPr="000977F7">
        <w:rPr>
          <w:rFonts w:asciiTheme="majorHAnsi" w:hAnsiTheme="majorHAnsi"/>
          <w:spacing w:val="21"/>
          <w:sz w:val="20"/>
          <w:szCs w:val="20"/>
        </w:rPr>
        <w:t xml:space="preserve"> </w:t>
      </w:r>
      <w:r w:rsidRPr="000977F7">
        <w:rPr>
          <w:rFonts w:asciiTheme="majorHAnsi" w:hAnsiTheme="majorHAnsi"/>
          <w:sz w:val="20"/>
          <w:szCs w:val="20"/>
        </w:rPr>
        <w:t>випадку,</w:t>
      </w:r>
      <w:r w:rsidRPr="000977F7">
        <w:rPr>
          <w:rFonts w:asciiTheme="majorHAnsi" w:hAnsiTheme="majorHAnsi"/>
          <w:spacing w:val="22"/>
          <w:sz w:val="20"/>
          <w:szCs w:val="20"/>
        </w:rPr>
        <w:t xml:space="preserve"> </w:t>
      </w:r>
      <w:r w:rsidRPr="000977F7">
        <w:rPr>
          <w:rFonts w:asciiTheme="majorHAnsi" w:hAnsiTheme="majorHAnsi"/>
          <w:sz w:val="20"/>
          <w:szCs w:val="20"/>
        </w:rPr>
        <w:t>якщо</w:t>
      </w:r>
      <w:r w:rsidRPr="000977F7">
        <w:rPr>
          <w:rFonts w:asciiTheme="majorHAnsi" w:hAnsiTheme="majorHAnsi"/>
          <w:spacing w:val="20"/>
          <w:sz w:val="20"/>
          <w:szCs w:val="20"/>
        </w:rPr>
        <w:t xml:space="preserve"> </w:t>
      </w:r>
      <w:r w:rsidRPr="000977F7">
        <w:rPr>
          <w:rFonts w:asciiTheme="majorHAnsi" w:hAnsiTheme="majorHAnsi"/>
          <w:sz w:val="20"/>
          <w:szCs w:val="20"/>
        </w:rPr>
        <w:t>в</w:t>
      </w:r>
      <w:r w:rsidRPr="000977F7">
        <w:rPr>
          <w:rFonts w:asciiTheme="majorHAnsi" w:hAnsiTheme="majorHAnsi"/>
          <w:spacing w:val="19"/>
          <w:sz w:val="20"/>
          <w:szCs w:val="20"/>
        </w:rPr>
        <w:t xml:space="preserve"> </w:t>
      </w:r>
      <w:r w:rsidRPr="000977F7">
        <w:rPr>
          <w:rFonts w:asciiTheme="majorHAnsi" w:hAnsiTheme="majorHAnsi"/>
          <w:sz w:val="20"/>
          <w:szCs w:val="20"/>
        </w:rPr>
        <w:t>акті</w:t>
      </w:r>
      <w:r w:rsidRPr="000977F7">
        <w:rPr>
          <w:rFonts w:asciiTheme="majorHAnsi" w:hAnsiTheme="majorHAnsi"/>
          <w:spacing w:val="21"/>
          <w:sz w:val="20"/>
          <w:szCs w:val="20"/>
        </w:rPr>
        <w:t xml:space="preserve"> </w:t>
      </w:r>
      <w:r w:rsidRPr="000977F7">
        <w:rPr>
          <w:rFonts w:asciiTheme="majorHAnsi" w:hAnsiTheme="majorHAnsi"/>
          <w:sz w:val="20"/>
          <w:szCs w:val="20"/>
        </w:rPr>
        <w:t>розслідування</w:t>
      </w:r>
      <w:r w:rsidRPr="000977F7">
        <w:rPr>
          <w:rFonts w:asciiTheme="majorHAnsi" w:hAnsiTheme="majorHAnsi"/>
          <w:spacing w:val="19"/>
          <w:sz w:val="20"/>
          <w:szCs w:val="20"/>
        </w:rPr>
        <w:t xml:space="preserve"> </w:t>
      </w:r>
      <w:r w:rsidRPr="000977F7">
        <w:rPr>
          <w:rFonts w:asciiTheme="majorHAnsi" w:hAnsiTheme="majorHAnsi"/>
          <w:sz w:val="20"/>
          <w:szCs w:val="20"/>
        </w:rPr>
        <w:t>встановлено,</w:t>
      </w:r>
      <w:r w:rsidRPr="000977F7">
        <w:rPr>
          <w:rFonts w:asciiTheme="majorHAnsi" w:hAnsiTheme="majorHAnsi"/>
          <w:spacing w:val="20"/>
          <w:sz w:val="20"/>
          <w:szCs w:val="20"/>
        </w:rPr>
        <w:t xml:space="preserve"> </w:t>
      </w:r>
      <w:r w:rsidRPr="000977F7">
        <w:rPr>
          <w:rFonts w:asciiTheme="majorHAnsi" w:hAnsiTheme="majorHAnsi"/>
          <w:sz w:val="20"/>
          <w:szCs w:val="20"/>
        </w:rPr>
        <w:t>що</w:t>
      </w:r>
      <w:r w:rsidRPr="000977F7">
        <w:rPr>
          <w:rFonts w:asciiTheme="majorHAnsi" w:hAnsiTheme="majorHAnsi"/>
          <w:spacing w:val="23"/>
          <w:sz w:val="20"/>
          <w:szCs w:val="20"/>
        </w:rPr>
        <w:t xml:space="preserve"> </w:t>
      </w:r>
      <w:r w:rsidRPr="000977F7">
        <w:rPr>
          <w:rFonts w:asciiTheme="majorHAnsi" w:hAnsiTheme="majorHAnsi"/>
          <w:sz w:val="20"/>
          <w:szCs w:val="20"/>
        </w:rPr>
        <w:t>причиною</w:t>
      </w:r>
      <w:r w:rsidRPr="000977F7">
        <w:rPr>
          <w:rFonts w:asciiTheme="majorHAnsi" w:hAnsiTheme="majorHAnsi"/>
          <w:spacing w:val="21"/>
          <w:sz w:val="20"/>
          <w:szCs w:val="20"/>
        </w:rPr>
        <w:t xml:space="preserve"> </w:t>
      </w:r>
      <w:r w:rsidRPr="000977F7">
        <w:rPr>
          <w:rFonts w:asciiTheme="majorHAnsi" w:hAnsiTheme="majorHAnsi"/>
          <w:sz w:val="20"/>
          <w:szCs w:val="20"/>
        </w:rPr>
        <w:t>такої</w:t>
      </w:r>
      <w:r w:rsidRPr="000977F7">
        <w:rPr>
          <w:rFonts w:asciiTheme="majorHAnsi" w:hAnsiTheme="majorHAnsi"/>
          <w:spacing w:val="19"/>
          <w:sz w:val="20"/>
          <w:szCs w:val="20"/>
        </w:rPr>
        <w:t xml:space="preserve"> </w:t>
      </w:r>
      <w:r w:rsidRPr="000977F7">
        <w:rPr>
          <w:rFonts w:asciiTheme="majorHAnsi" w:hAnsiTheme="majorHAnsi"/>
          <w:sz w:val="20"/>
          <w:szCs w:val="20"/>
        </w:rPr>
        <w:t>події</w:t>
      </w:r>
      <w:r w:rsidRPr="000977F7">
        <w:rPr>
          <w:rFonts w:asciiTheme="majorHAnsi" w:hAnsiTheme="majorHAnsi"/>
          <w:spacing w:val="18"/>
          <w:sz w:val="20"/>
          <w:szCs w:val="20"/>
        </w:rPr>
        <w:t xml:space="preserve"> </w:t>
      </w:r>
      <w:r w:rsidRPr="000977F7">
        <w:rPr>
          <w:rFonts w:asciiTheme="majorHAnsi" w:hAnsiTheme="majorHAnsi"/>
          <w:sz w:val="20"/>
          <w:szCs w:val="20"/>
        </w:rPr>
        <w:t>стало</w:t>
      </w:r>
      <w:r w:rsidRPr="000977F7">
        <w:rPr>
          <w:rFonts w:asciiTheme="majorHAnsi" w:hAnsiTheme="majorHAnsi"/>
          <w:spacing w:val="20"/>
          <w:sz w:val="20"/>
          <w:szCs w:val="20"/>
        </w:rPr>
        <w:t xml:space="preserve"> </w:t>
      </w:r>
      <w:r w:rsidRPr="000977F7">
        <w:rPr>
          <w:rFonts w:asciiTheme="majorHAnsi" w:hAnsiTheme="majorHAnsi"/>
          <w:sz w:val="20"/>
          <w:szCs w:val="20"/>
        </w:rPr>
        <w:t>недодержання</w:t>
      </w:r>
      <w:r w:rsidRPr="000977F7">
        <w:rPr>
          <w:rFonts w:asciiTheme="majorHAnsi" w:hAnsiTheme="majorHAnsi"/>
          <w:spacing w:val="21"/>
          <w:sz w:val="20"/>
          <w:szCs w:val="20"/>
        </w:rPr>
        <w:t xml:space="preserve"> </w:t>
      </w:r>
      <w:r w:rsidRPr="000977F7">
        <w:rPr>
          <w:rFonts w:asciiTheme="majorHAnsi" w:hAnsiTheme="majorHAnsi"/>
          <w:sz w:val="20"/>
          <w:szCs w:val="20"/>
        </w:rPr>
        <w:t>вимог</w:t>
      </w:r>
      <w:r w:rsidRPr="000977F7">
        <w:rPr>
          <w:rFonts w:asciiTheme="majorHAnsi" w:hAnsiTheme="majorHAnsi"/>
          <w:spacing w:val="18"/>
          <w:sz w:val="20"/>
          <w:szCs w:val="20"/>
        </w:rPr>
        <w:t xml:space="preserve"> </w:t>
      </w:r>
      <w:r w:rsidRPr="000977F7">
        <w:rPr>
          <w:rFonts w:asciiTheme="majorHAnsi" w:hAnsiTheme="majorHAnsi"/>
          <w:sz w:val="20"/>
          <w:szCs w:val="20"/>
        </w:rPr>
        <w:t>законодавства</w:t>
      </w:r>
      <w:r w:rsidRPr="000977F7">
        <w:rPr>
          <w:rFonts w:asciiTheme="majorHAnsi" w:hAnsiTheme="majorHAnsi"/>
          <w:spacing w:val="42"/>
          <w:sz w:val="20"/>
          <w:szCs w:val="20"/>
        </w:rPr>
        <w:t xml:space="preserve"> </w:t>
      </w:r>
      <w:r w:rsidRPr="000977F7">
        <w:rPr>
          <w:rFonts w:asciiTheme="majorHAnsi" w:hAnsiTheme="majorHAnsi"/>
          <w:sz w:val="20"/>
          <w:szCs w:val="20"/>
        </w:rPr>
        <w:t>про</w:t>
      </w:r>
      <w:r w:rsidRPr="000977F7">
        <w:rPr>
          <w:rFonts w:asciiTheme="majorHAnsi" w:hAnsiTheme="majorHAnsi"/>
          <w:spacing w:val="44"/>
          <w:sz w:val="20"/>
          <w:szCs w:val="20"/>
        </w:rPr>
        <w:t xml:space="preserve"> </w:t>
      </w:r>
      <w:r w:rsidRPr="000977F7">
        <w:rPr>
          <w:rFonts w:asciiTheme="majorHAnsi" w:hAnsiTheme="majorHAnsi"/>
          <w:sz w:val="20"/>
          <w:szCs w:val="20"/>
        </w:rPr>
        <w:t>охорону</w:t>
      </w:r>
      <w:r w:rsidRPr="000977F7">
        <w:rPr>
          <w:rFonts w:asciiTheme="majorHAnsi" w:hAnsiTheme="majorHAnsi"/>
          <w:spacing w:val="41"/>
          <w:sz w:val="20"/>
          <w:szCs w:val="20"/>
        </w:rPr>
        <w:t xml:space="preserve"> </w:t>
      </w:r>
      <w:r w:rsidRPr="000977F7">
        <w:rPr>
          <w:rFonts w:asciiTheme="majorHAnsi" w:hAnsiTheme="majorHAnsi"/>
          <w:sz w:val="20"/>
          <w:szCs w:val="20"/>
        </w:rPr>
        <w:t>праці</w:t>
      </w:r>
      <w:r w:rsidRPr="000977F7">
        <w:rPr>
          <w:rFonts w:asciiTheme="majorHAnsi" w:hAnsiTheme="majorHAnsi"/>
          <w:spacing w:val="45"/>
          <w:sz w:val="20"/>
          <w:szCs w:val="20"/>
        </w:rPr>
        <w:t xml:space="preserve"> </w:t>
      </w:r>
      <w:r w:rsidRPr="000977F7">
        <w:rPr>
          <w:rFonts w:asciiTheme="majorHAnsi" w:hAnsiTheme="majorHAnsi"/>
          <w:sz w:val="20"/>
          <w:szCs w:val="20"/>
        </w:rPr>
        <w:t>під</w:t>
      </w:r>
      <w:r w:rsidRPr="000977F7">
        <w:rPr>
          <w:rFonts w:asciiTheme="majorHAnsi" w:hAnsiTheme="majorHAnsi"/>
          <w:spacing w:val="44"/>
          <w:sz w:val="20"/>
          <w:szCs w:val="20"/>
        </w:rPr>
        <w:t xml:space="preserve"> </w:t>
      </w:r>
      <w:r w:rsidRPr="000977F7">
        <w:rPr>
          <w:rFonts w:asciiTheme="majorHAnsi" w:hAnsiTheme="majorHAnsi"/>
          <w:sz w:val="20"/>
          <w:szCs w:val="20"/>
        </w:rPr>
        <w:t>час</w:t>
      </w:r>
      <w:r w:rsidRPr="000977F7">
        <w:rPr>
          <w:rFonts w:asciiTheme="majorHAnsi" w:hAnsiTheme="majorHAnsi"/>
          <w:spacing w:val="44"/>
          <w:sz w:val="20"/>
          <w:szCs w:val="20"/>
        </w:rPr>
        <w:t xml:space="preserve"> </w:t>
      </w:r>
      <w:r w:rsidRPr="000977F7">
        <w:rPr>
          <w:rFonts w:asciiTheme="majorHAnsi" w:hAnsiTheme="majorHAnsi"/>
          <w:sz w:val="20"/>
          <w:szCs w:val="20"/>
        </w:rPr>
        <w:t>виконання</w:t>
      </w:r>
      <w:r w:rsidRPr="000977F7">
        <w:rPr>
          <w:rFonts w:asciiTheme="majorHAnsi" w:hAnsiTheme="majorHAnsi"/>
          <w:spacing w:val="42"/>
          <w:sz w:val="20"/>
          <w:szCs w:val="20"/>
        </w:rPr>
        <w:t xml:space="preserve"> </w:t>
      </w:r>
      <w:r w:rsidRPr="000977F7">
        <w:rPr>
          <w:rFonts w:asciiTheme="majorHAnsi" w:hAnsiTheme="majorHAnsi"/>
          <w:sz w:val="20"/>
          <w:szCs w:val="20"/>
        </w:rPr>
        <w:t>робіт</w:t>
      </w:r>
      <w:r w:rsidRPr="000977F7">
        <w:rPr>
          <w:rFonts w:asciiTheme="majorHAnsi" w:hAnsiTheme="majorHAnsi"/>
          <w:spacing w:val="-47"/>
          <w:sz w:val="20"/>
          <w:szCs w:val="20"/>
        </w:rPr>
        <w:t xml:space="preserve"> </w:t>
      </w:r>
      <w:r w:rsidRPr="000977F7">
        <w:rPr>
          <w:rFonts w:asciiTheme="majorHAnsi" w:hAnsiTheme="majorHAnsi"/>
          <w:sz w:val="20"/>
          <w:szCs w:val="20"/>
        </w:rPr>
        <w:t>підвищеної</w:t>
      </w:r>
      <w:r w:rsidRPr="000977F7">
        <w:rPr>
          <w:rFonts w:asciiTheme="majorHAnsi" w:hAnsiTheme="majorHAnsi"/>
          <w:spacing w:val="3"/>
          <w:sz w:val="20"/>
          <w:szCs w:val="20"/>
        </w:rPr>
        <w:t xml:space="preserve"> </w:t>
      </w:r>
      <w:r w:rsidRPr="000977F7">
        <w:rPr>
          <w:rFonts w:asciiTheme="majorHAnsi" w:hAnsiTheme="majorHAnsi"/>
          <w:sz w:val="20"/>
          <w:szCs w:val="20"/>
        </w:rPr>
        <w:t>небезпеки</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3"/>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2"/>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47"/>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1"/>
          <w:sz w:val="20"/>
          <w:szCs w:val="20"/>
        </w:rPr>
        <w:t xml:space="preserve"> </w:t>
      </w:r>
      <w:r w:rsidRPr="000977F7">
        <w:rPr>
          <w:rFonts w:asciiTheme="majorHAnsi" w:hAnsiTheme="majorHAnsi"/>
          <w:sz w:val="20"/>
          <w:szCs w:val="20"/>
        </w:rPr>
        <w:t>підвищеної</w:t>
      </w:r>
      <w:r w:rsidRPr="000977F7">
        <w:rPr>
          <w:rFonts w:asciiTheme="majorHAnsi" w:hAnsiTheme="majorHAnsi"/>
          <w:spacing w:val="1"/>
          <w:sz w:val="20"/>
          <w:szCs w:val="20"/>
        </w:rPr>
        <w:t xml:space="preserve"> </w:t>
      </w:r>
      <w:r w:rsidRPr="000977F7">
        <w:rPr>
          <w:rFonts w:asciiTheme="majorHAnsi" w:hAnsiTheme="majorHAnsi"/>
          <w:sz w:val="20"/>
          <w:szCs w:val="20"/>
        </w:rPr>
        <w:t>небезпеки,</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видано</w:t>
      </w:r>
      <w:r w:rsidRPr="000977F7">
        <w:rPr>
          <w:rFonts w:asciiTheme="majorHAnsi" w:hAnsiTheme="majorHAnsi"/>
          <w:spacing w:val="-47"/>
          <w:sz w:val="20"/>
          <w:szCs w:val="20"/>
        </w:rPr>
        <w:t xml:space="preserve"> </w:t>
      </w:r>
      <w:r w:rsidRPr="000977F7">
        <w:rPr>
          <w:rFonts w:asciiTheme="majorHAnsi" w:hAnsiTheme="majorHAnsi"/>
          <w:sz w:val="20"/>
          <w:szCs w:val="20"/>
        </w:rPr>
        <w:t>дозвіл;</w:t>
      </w:r>
    </w:p>
    <w:p w14:paraId="2BCF68C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створення перешкод під час проведення посадовими</w:t>
      </w:r>
      <w:r w:rsidRPr="000977F7">
        <w:rPr>
          <w:rFonts w:asciiTheme="majorHAnsi" w:hAnsiTheme="majorHAnsi"/>
          <w:spacing w:val="1"/>
          <w:sz w:val="20"/>
          <w:szCs w:val="20"/>
        </w:rPr>
        <w:t xml:space="preserve"> </w:t>
      </w:r>
      <w:r w:rsidRPr="000977F7">
        <w:rPr>
          <w:rFonts w:asciiTheme="majorHAnsi" w:hAnsiTheme="majorHAnsi"/>
          <w:sz w:val="20"/>
          <w:szCs w:val="20"/>
        </w:rPr>
        <w:t>особами центрального органу виконавчої влади, що</w:t>
      </w:r>
      <w:r w:rsidRPr="000977F7">
        <w:rPr>
          <w:rFonts w:asciiTheme="majorHAnsi" w:hAnsiTheme="majorHAnsi"/>
          <w:spacing w:val="1"/>
          <w:sz w:val="20"/>
          <w:szCs w:val="20"/>
        </w:rPr>
        <w:t xml:space="preserve"> </w:t>
      </w:r>
      <w:r w:rsidRPr="000977F7">
        <w:rPr>
          <w:rFonts w:asciiTheme="majorHAnsi" w:hAnsiTheme="majorHAnsi"/>
          <w:sz w:val="20"/>
          <w:szCs w:val="20"/>
        </w:rPr>
        <w:t>реалізує</w:t>
      </w:r>
      <w:r w:rsidRPr="000977F7">
        <w:rPr>
          <w:rFonts w:asciiTheme="majorHAnsi" w:hAnsiTheme="majorHAnsi"/>
          <w:spacing w:val="1"/>
          <w:sz w:val="20"/>
          <w:szCs w:val="20"/>
        </w:rPr>
        <w:t xml:space="preserve"> </w:t>
      </w:r>
      <w:r w:rsidRPr="000977F7">
        <w:rPr>
          <w:rFonts w:asciiTheme="majorHAnsi" w:hAnsiTheme="majorHAnsi"/>
          <w:sz w:val="20"/>
          <w:szCs w:val="20"/>
        </w:rPr>
        <w:t>державну</w:t>
      </w:r>
      <w:r w:rsidRPr="000977F7">
        <w:rPr>
          <w:rFonts w:asciiTheme="majorHAnsi" w:hAnsiTheme="majorHAnsi"/>
          <w:spacing w:val="1"/>
          <w:sz w:val="20"/>
          <w:szCs w:val="20"/>
        </w:rPr>
        <w:t xml:space="preserve"> </w:t>
      </w:r>
      <w:r w:rsidRPr="000977F7">
        <w:rPr>
          <w:rFonts w:asciiTheme="majorHAnsi" w:hAnsiTheme="majorHAnsi"/>
          <w:sz w:val="20"/>
          <w:szCs w:val="20"/>
        </w:rPr>
        <w:t>політику</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сфері</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50"/>
          <w:sz w:val="20"/>
          <w:szCs w:val="20"/>
        </w:rPr>
        <w:t xml:space="preserve"> </w:t>
      </w:r>
      <w:r w:rsidRPr="000977F7">
        <w:rPr>
          <w:rFonts w:asciiTheme="majorHAnsi" w:hAnsiTheme="majorHAnsi"/>
          <w:sz w:val="20"/>
          <w:szCs w:val="20"/>
        </w:rPr>
        <w:t>праці,</w:t>
      </w:r>
      <w:r w:rsidRPr="000977F7">
        <w:rPr>
          <w:rFonts w:asciiTheme="majorHAnsi" w:hAnsiTheme="majorHAnsi"/>
          <w:spacing w:val="-47"/>
          <w:sz w:val="20"/>
          <w:szCs w:val="20"/>
        </w:rPr>
        <w:t xml:space="preserve"> </w:t>
      </w:r>
      <w:r w:rsidRPr="000977F7">
        <w:rPr>
          <w:rFonts w:asciiTheme="majorHAnsi" w:hAnsiTheme="majorHAnsi"/>
          <w:sz w:val="20"/>
          <w:szCs w:val="20"/>
        </w:rPr>
        <w:t>або його територіального органу перевірки додержання</w:t>
      </w:r>
      <w:r w:rsidRPr="000977F7">
        <w:rPr>
          <w:rFonts w:asciiTheme="majorHAnsi" w:hAnsiTheme="majorHAnsi"/>
          <w:spacing w:val="1"/>
          <w:sz w:val="20"/>
          <w:szCs w:val="20"/>
        </w:rPr>
        <w:t xml:space="preserve"> </w:t>
      </w:r>
      <w:r w:rsidRPr="000977F7">
        <w:rPr>
          <w:rFonts w:asciiTheme="majorHAnsi" w:hAnsiTheme="majorHAnsi"/>
          <w:sz w:val="20"/>
          <w:szCs w:val="20"/>
        </w:rPr>
        <w:t>вимог</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законодавства</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охорону</w:t>
      </w:r>
      <w:r w:rsidRPr="000977F7">
        <w:rPr>
          <w:rFonts w:asciiTheme="majorHAnsi" w:hAnsiTheme="majorHAnsi"/>
          <w:spacing w:val="1"/>
          <w:sz w:val="20"/>
          <w:szCs w:val="20"/>
        </w:rPr>
        <w:t xml:space="preserve"> </w:t>
      </w:r>
      <w:r w:rsidRPr="000977F7">
        <w:rPr>
          <w:rFonts w:asciiTheme="majorHAnsi" w:hAnsiTheme="majorHAnsi"/>
          <w:sz w:val="20"/>
          <w:szCs w:val="20"/>
        </w:rPr>
        <w:t>праці</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47"/>
          <w:sz w:val="20"/>
          <w:szCs w:val="20"/>
        </w:rPr>
        <w:t xml:space="preserve"> </w:t>
      </w:r>
      <w:r w:rsidRPr="000977F7">
        <w:rPr>
          <w:rFonts w:asciiTheme="majorHAnsi" w:hAnsiTheme="majorHAnsi"/>
          <w:sz w:val="20"/>
          <w:szCs w:val="20"/>
        </w:rPr>
        <w:t>виконання робіт підвищеної небезпеки або експлуатації (застосування) устаткування підвищеної небезпеки,</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видано</w:t>
      </w:r>
      <w:r w:rsidRPr="000977F7">
        <w:rPr>
          <w:rFonts w:asciiTheme="majorHAnsi" w:hAnsiTheme="majorHAnsi"/>
          <w:spacing w:val="1"/>
          <w:sz w:val="20"/>
          <w:szCs w:val="20"/>
        </w:rPr>
        <w:t xml:space="preserve"> </w:t>
      </w:r>
      <w:r w:rsidRPr="000977F7">
        <w:rPr>
          <w:rFonts w:asciiTheme="majorHAnsi" w:hAnsiTheme="majorHAnsi"/>
          <w:sz w:val="20"/>
          <w:szCs w:val="20"/>
        </w:rPr>
        <w:t>дозвіл.</w:t>
      </w:r>
    </w:p>
    <w:p w14:paraId="4EF31C3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Перелік підстав для анулювання дозволу, наведений у</w:t>
      </w:r>
      <w:r w:rsidRPr="000977F7">
        <w:rPr>
          <w:rFonts w:asciiTheme="majorHAnsi" w:hAnsiTheme="majorHAnsi"/>
          <w:spacing w:val="-47"/>
          <w:sz w:val="20"/>
          <w:szCs w:val="20"/>
        </w:rPr>
        <w:t xml:space="preserve"> </w:t>
      </w:r>
      <w:r w:rsidRPr="000977F7">
        <w:rPr>
          <w:rFonts w:asciiTheme="majorHAnsi" w:hAnsiTheme="majorHAnsi"/>
          <w:sz w:val="20"/>
          <w:szCs w:val="20"/>
        </w:rPr>
        <w:t>частині</w:t>
      </w:r>
      <w:r w:rsidRPr="000977F7">
        <w:rPr>
          <w:rFonts w:asciiTheme="majorHAnsi" w:hAnsiTheme="majorHAnsi"/>
          <w:spacing w:val="-2"/>
          <w:sz w:val="20"/>
          <w:szCs w:val="20"/>
        </w:rPr>
        <w:t xml:space="preserve"> </w:t>
      </w:r>
      <w:r w:rsidRPr="000977F7">
        <w:rPr>
          <w:rFonts w:asciiTheme="majorHAnsi" w:hAnsiTheme="majorHAnsi"/>
          <w:sz w:val="20"/>
          <w:szCs w:val="20"/>
        </w:rPr>
        <w:t>дванадцятій цієї</w:t>
      </w:r>
      <w:r w:rsidRPr="000977F7">
        <w:rPr>
          <w:rFonts w:asciiTheme="majorHAnsi" w:hAnsiTheme="majorHAnsi"/>
          <w:spacing w:val="-2"/>
          <w:sz w:val="20"/>
          <w:szCs w:val="20"/>
        </w:rPr>
        <w:t xml:space="preserve"> </w:t>
      </w:r>
      <w:r w:rsidRPr="000977F7">
        <w:rPr>
          <w:rFonts w:asciiTheme="majorHAnsi" w:hAnsiTheme="majorHAnsi"/>
          <w:sz w:val="20"/>
          <w:szCs w:val="20"/>
        </w:rPr>
        <w:t>статті,</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вичерпним.</w:t>
      </w:r>
    </w:p>
    <w:p w14:paraId="5F8F45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w:t>
      </w:r>
      <w:r w:rsidRPr="000977F7">
        <w:rPr>
          <w:rFonts w:asciiTheme="majorHAnsi" w:hAnsiTheme="majorHAnsi"/>
          <w:spacing w:val="12"/>
          <w:sz w:val="20"/>
          <w:szCs w:val="20"/>
        </w:rPr>
        <w:t xml:space="preserve"> </w:t>
      </w:r>
      <w:r w:rsidRPr="000977F7">
        <w:rPr>
          <w:rFonts w:asciiTheme="majorHAnsi" w:hAnsiTheme="majorHAnsi"/>
          <w:sz w:val="20"/>
          <w:szCs w:val="20"/>
        </w:rPr>
        <w:t>анулювання</w:t>
      </w:r>
      <w:r w:rsidRPr="000977F7">
        <w:rPr>
          <w:rFonts w:asciiTheme="majorHAnsi" w:hAnsiTheme="majorHAnsi"/>
          <w:spacing w:val="12"/>
          <w:sz w:val="20"/>
          <w:szCs w:val="20"/>
        </w:rPr>
        <w:t xml:space="preserve"> </w:t>
      </w:r>
      <w:r w:rsidRPr="000977F7">
        <w:rPr>
          <w:rFonts w:asciiTheme="majorHAnsi" w:hAnsiTheme="majorHAnsi"/>
          <w:sz w:val="20"/>
          <w:szCs w:val="20"/>
        </w:rPr>
        <w:t>дозволу</w:t>
      </w:r>
      <w:r w:rsidRPr="000977F7">
        <w:rPr>
          <w:rFonts w:asciiTheme="majorHAnsi" w:hAnsiTheme="majorHAnsi"/>
          <w:spacing w:val="8"/>
          <w:sz w:val="20"/>
          <w:szCs w:val="20"/>
        </w:rPr>
        <w:t xml:space="preserve"> </w:t>
      </w:r>
      <w:r w:rsidRPr="000977F7">
        <w:rPr>
          <w:rFonts w:asciiTheme="majorHAnsi" w:hAnsiTheme="majorHAnsi"/>
          <w:sz w:val="20"/>
          <w:szCs w:val="20"/>
        </w:rPr>
        <w:t>роботодавець</w:t>
      </w:r>
      <w:r w:rsidRPr="000977F7">
        <w:rPr>
          <w:rFonts w:asciiTheme="majorHAnsi" w:hAnsiTheme="majorHAnsi"/>
          <w:spacing w:val="12"/>
          <w:sz w:val="20"/>
          <w:szCs w:val="20"/>
        </w:rPr>
        <w:t xml:space="preserve"> </w:t>
      </w:r>
      <w:r w:rsidRPr="000977F7">
        <w:rPr>
          <w:rFonts w:asciiTheme="majorHAnsi" w:hAnsiTheme="majorHAnsi"/>
          <w:sz w:val="20"/>
          <w:szCs w:val="20"/>
        </w:rPr>
        <w:t>повідомляється</w:t>
      </w:r>
      <w:r w:rsidRPr="000977F7">
        <w:rPr>
          <w:rFonts w:asciiTheme="majorHAnsi" w:hAnsiTheme="majorHAnsi"/>
          <w:spacing w:val="5"/>
          <w:sz w:val="20"/>
          <w:szCs w:val="20"/>
        </w:rPr>
        <w:t xml:space="preserve"> </w:t>
      </w:r>
      <w:r w:rsidRPr="000977F7">
        <w:rPr>
          <w:rFonts w:asciiTheme="majorHAnsi" w:hAnsiTheme="majorHAnsi"/>
          <w:sz w:val="20"/>
          <w:szCs w:val="20"/>
        </w:rPr>
        <w:t>у</w:t>
      </w:r>
      <w:r w:rsidRPr="000977F7">
        <w:rPr>
          <w:rFonts w:asciiTheme="majorHAnsi" w:hAnsiTheme="majorHAnsi"/>
          <w:spacing w:val="48"/>
          <w:sz w:val="20"/>
          <w:szCs w:val="20"/>
        </w:rPr>
        <w:t xml:space="preserve"> </w:t>
      </w:r>
      <w:r w:rsidRPr="000977F7">
        <w:rPr>
          <w:rFonts w:asciiTheme="majorHAnsi" w:hAnsiTheme="majorHAnsi"/>
          <w:sz w:val="20"/>
          <w:szCs w:val="20"/>
        </w:rPr>
        <w:t>письмовій</w:t>
      </w:r>
      <w:r w:rsidRPr="000977F7">
        <w:rPr>
          <w:rFonts w:asciiTheme="majorHAnsi" w:hAnsiTheme="majorHAnsi"/>
          <w:spacing w:val="2"/>
          <w:sz w:val="20"/>
          <w:szCs w:val="20"/>
        </w:rPr>
        <w:t xml:space="preserve"> </w:t>
      </w:r>
      <w:r w:rsidRPr="000977F7">
        <w:rPr>
          <w:rFonts w:asciiTheme="majorHAnsi" w:hAnsiTheme="majorHAnsi"/>
          <w:sz w:val="20"/>
          <w:szCs w:val="20"/>
        </w:rPr>
        <w:t>формі</w:t>
      </w:r>
      <w:r w:rsidRPr="000977F7">
        <w:rPr>
          <w:rFonts w:asciiTheme="majorHAnsi" w:hAnsiTheme="majorHAnsi"/>
          <w:spacing w:val="3"/>
          <w:sz w:val="20"/>
          <w:szCs w:val="20"/>
        </w:rPr>
        <w:t xml:space="preserve"> </w:t>
      </w:r>
      <w:r w:rsidRPr="000977F7">
        <w:rPr>
          <w:rFonts w:asciiTheme="majorHAnsi" w:hAnsiTheme="majorHAnsi"/>
          <w:sz w:val="20"/>
          <w:szCs w:val="20"/>
        </w:rPr>
        <w:t>із</w:t>
      </w:r>
      <w:r w:rsidRPr="000977F7">
        <w:rPr>
          <w:rFonts w:asciiTheme="majorHAnsi" w:hAnsiTheme="majorHAnsi"/>
          <w:spacing w:val="3"/>
          <w:sz w:val="20"/>
          <w:szCs w:val="20"/>
        </w:rPr>
        <w:t xml:space="preserve"> </w:t>
      </w:r>
      <w:r w:rsidRPr="000977F7">
        <w:rPr>
          <w:rFonts w:asciiTheme="majorHAnsi" w:hAnsiTheme="majorHAnsi"/>
          <w:sz w:val="20"/>
          <w:szCs w:val="20"/>
        </w:rPr>
        <w:t>зазначенням</w:t>
      </w:r>
      <w:r w:rsidRPr="000977F7">
        <w:rPr>
          <w:rFonts w:asciiTheme="majorHAnsi" w:hAnsiTheme="majorHAnsi"/>
          <w:spacing w:val="3"/>
          <w:sz w:val="20"/>
          <w:szCs w:val="20"/>
        </w:rPr>
        <w:t xml:space="preserve"> </w:t>
      </w:r>
      <w:r w:rsidRPr="000977F7">
        <w:rPr>
          <w:rFonts w:asciiTheme="majorHAnsi" w:hAnsiTheme="majorHAnsi"/>
          <w:sz w:val="20"/>
          <w:szCs w:val="20"/>
        </w:rPr>
        <w:t>підстав</w:t>
      </w:r>
      <w:r w:rsidRPr="000977F7">
        <w:rPr>
          <w:rFonts w:asciiTheme="majorHAnsi" w:hAnsiTheme="majorHAnsi"/>
          <w:spacing w:val="3"/>
          <w:sz w:val="20"/>
          <w:szCs w:val="20"/>
        </w:rPr>
        <w:t xml:space="preserve"> </w:t>
      </w:r>
      <w:r w:rsidRPr="000977F7">
        <w:rPr>
          <w:rFonts w:asciiTheme="majorHAnsi" w:hAnsiTheme="majorHAnsi"/>
          <w:sz w:val="20"/>
          <w:szCs w:val="20"/>
        </w:rPr>
        <w:t>щодо</w:t>
      </w:r>
      <w:r w:rsidRPr="000977F7">
        <w:rPr>
          <w:rFonts w:asciiTheme="majorHAnsi" w:hAnsiTheme="majorHAnsi"/>
          <w:spacing w:val="-47"/>
          <w:sz w:val="20"/>
          <w:szCs w:val="20"/>
        </w:rPr>
        <w:t xml:space="preserve"> </w:t>
      </w:r>
      <w:r w:rsidRPr="000977F7">
        <w:rPr>
          <w:rFonts w:asciiTheme="majorHAnsi" w:hAnsiTheme="majorHAnsi"/>
          <w:sz w:val="20"/>
          <w:szCs w:val="20"/>
        </w:rPr>
        <w:t>анулювання</w:t>
      </w:r>
      <w:r w:rsidRPr="000977F7">
        <w:rPr>
          <w:rFonts w:asciiTheme="majorHAnsi" w:hAnsiTheme="majorHAnsi"/>
          <w:spacing w:val="23"/>
          <w:sz w:val="20"/>
          <w:szCs w:val="20"/>
        </w:rPr>
        <w:t xml:space="preserve"> </w:t>
      </w:r>
      <w:r w:rsidRPr="000977F7">
        <w:rPr>
          <w:rFonts w:asciiTheme="majorHAnsi" w:hAnsiTheme="majorHAnsi"/>
          <w:sz w:val="20"/>
          <w:szCs w:val="20"/>
        </w:rPr>
        <w:t>цього</w:t>
      </w:r>
      <w:r w:rsidRPr="000977F7">
        <w:rPr>
          <w:rFonts w:asciiTheme="majorHAnsi" w:hAnsiTheme="majorHAnsi"/>
          <w:spacing w:val="22"/>
          <w:sz w:val="20"/>
          <w:szCs w:val="20"/>
        </w:rPr>
        <w:t xml:space="preserve"> </w:t>
      </w:r>
      <w:r w:rsidRPr="000977F7">
        <w:rPr>
          <w:rFonts w:asciiTheme="majorHAnsi" w:hAnsiTheme="majorHAnsi"/>
          <w:sz w:val="20"/>
          <w:szCs w:val="20"/>
        </w:rPr>
        <w:t>дозволу</w:t>
      </w:r>
      <w:r w:rsidRPr="000977F7">
        <w:rPr>
          <w:rFonts w:asciiTheme="majorHAnsi" w:hAnsiTheme="majorHAnsi"/>
          <w:spacing w:val="23"/>
          <w:sz w:val="20"/>
          <w:szCs w:val="20"/>
        </w:rPr>
        <w:t xml:space="preserve"> </w:t>
      </w:r>
      <w:r w:rsidRPr="000977F7">
        <w:rPr>
          <w:rFonts w:asciiTheme="majorHAnsi" w:hAnsiTheme="majorHAnsi"/>
          <w:sz w:val="20"/>
          <w:szCs w:val="20"/>
        </w:rPr>
        <w:t>протягом</w:t>
      </w:r>
      <w:r w:rsidRPr="000977F7">
        <w:rPr>
          <w:rFonts w:asciiTheme="majorHAnsi" w:hAnsiTheme="majorHAnsi"/>
          <w:spacing w:val="22"/>
          <w:sz w:val="20"/>
          <w:szCs w:val="20"/>
        </w:rPr>
        <w:t xml:space="preserve"> </w:t>
      </w:r>
      <w:r w:rsidRPr="000977F7">
        <w:rPr>
          <w:rFonts w:asciiTheme="majorHAnsi" w:hAnsiTheme="majorHAnsi"/>
          <w:sz w:val="20"/>
          <w:szCs w:val="20"/>
        </w:rPr>
        <w:t>п'яти</w:t>
      </w:r>
      <w:r w:rsidRPr="000977F7">
        <w:rPr>
          <w:rFonts w:asciiTheme="majorHAnsi" w:hAnsiTheme="majorHAnsi"/>
          <w:spacing w:val="21"/>
          <w:sz w:val="20"/>
          <w:szCs w:val="20"/>
        </w:rPr>
        <w:t xml:space="preserve"> </w:t>
      </w:r>
      <w:r w:rsidRPr="000977F7">
        <w:rPr>
          <w:rFonts w:asciiTheme="majorHAnsi" w:hAnsiTheme="majorHAnsi"/>
          <w:sz w:val="20"/>
          <w:szCs w:val="20"/>
        </w:rPr>
        <w:t>днів</w:t>
      </w:r>
      <w:r w:rsidRPr="000977F7">
        <w:rPr>
          <w:rFonts w:asciiTheme="majorHAnsi" w:hAnsiTheme="majorHAnsi"/>
          <w:spacing w:val="21"/>
          <w:sz w:val="20"/>
          <w:szCs w:val="20"/>
        </w:rPr>
        <w:t xml:space="preserve"> </w:t>
      </w:r>
      <w:r w:rsidRPr="000977F7">
        <w:rPr>
          <w:rFonts w:asciiTheme="majorHAnsi" w:hAnsiTheme="majorHAnsi"/>
          <w:sz w:val="20"/>
          <w:szCs w:val="20"/>
        </w:rPr>
        <w:t>з</w:t>
      </w:r>
      <w:r w:rsidRPr="000977F7">
        <w:rPr>
          <w:rFonts w:asciiTheme="majorHAnsi" w:hAnsiTheme="majorHAnsi"/>
          <w:spacing w:val="24"/>
          <w:sz w:val="20"/>
          <w:szCs w:val="20"/>
        </w:rPr>
        <w:t xml:space="preserve"> </w:t>
      </w:r>
      <w:r w:rsidRPr="000977F7">
        <w:rPr>
          <w:rFonts w:asciiTheme="majorHAnsi" w:hAnsiTheme="majorHAnsi"/>
          <w:sz w:val="20"/>
          <w:szCs w:val="20"/>
        </w:rPr>
        <w:t>дня</w:t>
      </w:r>
      <w:r w:rsidRPr="000977F7">
        <w:rPr>
          <w:rFonts w:asciiTheme="majorHAnsi" w:hAnsiTheme="majorHAnsi"/>
          <w:spacing w:val="-47"/>
          <w:sz w:val="20"/>
          <w:szCs w:val="20"/>
        </w:rPr>
        <w:t xml:space="preserve"> </w:t>
      </w:r>
      <w:r w:rsidRPr="000977F7">
        <w:rPr>
          <w:rFonts w:asciiTheme="majorHAnsi" w:hAnsiTheme="majorHAnsi"/>
          <w:sz w:val="20"/>
          <w:szCs w:val="20"/>
        </w:rPr>
        <w:t>прийняття рішення органом, який видав дозвіл</w:t>
      </w:r>
      <w:r w:rsidRPr="000977F7">
        <w:rPr>
          <w:rFonts w:asciiTheme="majorHAnsi" w:hAnsiTheme="majorHAnsi"/>
          <w:spacing w:val="1"/>
          <w:sz w:val="20"/>
          <w:szCs w:val="20"/>
        </w:rPr>
        <w:t xml:space="preserve"> </w:t>
      </w:r>
      <w:r w:rsidRPr="000977F7">
        <w:rPr>
          <w:rFonts w:asciiTheme="majorHAnsi" w:hAnsiTheme="majorHAnsi"/>
          <w:sz w:val="20"/>
          <w:szCs w:val="20"/>
        </w:rPr>
        <w:t>Центральний</w:t>
      </w:r>
      <w:r w:rsidRPr="000977F7">
        <w:rPr>
          <w:rFonts w:asciiTheme="majorHAnsi" w:hAnsiTheme="majorHAnsi"/>
          <w:spacing w:val="21"/>
          <w:sz w:val="20"/>
          <w:szCs w:val="20"/>
        </w:rPr>
        <w:t xml:space="preserve"> </w:t>
      </w:r>
      <w:r w:rsidRPr="000977F7">
        <w:rPr>
          <w:rFonts w:asciiTheme="majorHAnsi" w:hAnsiTheme="majorHAnsi"/>
          <w:sz w:val="20"/>
          <w:szCs w:val="20"/>
        </w:rPr>
        <w:t>орган</w:t>
      </w:r>
      <w:r w:rsidRPr="000977F7">
        <w:rPr>
          <w:rFonts w:asciiTheme="majorHAnsi" w:hAnsiTheme="majorHAnsi"/>
          <w:spacing w:val="23"/>
          <w:sz w:val="20"/>
          <w:szCs w:val="20"/>
        </w:rPr>
        <w:t xml:space="preserve"> </w:t>
      </w:r>
      <w:r w:rsidRPr="000977F7">
        <w:rPr>
          <w:rFonts w:asciiTheme="majorHAnsi" w:hAnsiTheme="majorHAnsi"/>
          <w:sz w:val="20"/>
          <w:szCs w:val="20"/>
        </w:rPr>
        <w:t>виконавчої</w:t>
      </w:r>
      <w:r w:rsidRPr="000977F7">
        <w:rPr>
          <w:rFonts w:asciiTheme="majorHAnsi" w:hAnsiTheme="majorHAnsi"/>
          <w:spacing w:val="21"/>
          <w:sz w:val="20"/>
          <w:szCs w:val="20"/>
        </w:rPr>
        <w:t xml:space="preserve"> </w:t>
      </w:r>
      <w:r w:rsidRPr="000977F7">
        <w:rPr>
          <w:rFonts w:asciiTheme="majorHAnsi" w:hAnsiTheme="majorHAnsi"/>
          <w:sz w:val="20"/>
          <w:szCs w:val="20"/>
        </w:rPr>
        <w:t>влади,</w:t>
      </w:r>
      <w:r w:rsidRPr="000977F7">
        <w:rPr>
          <w:rFonts w:asciiTheme="majorHAnsi" w:hAnsiTheme="majorHAnsi"/>
          <w:spacing w:val="22"/>
          <w:sz w:val="20"/>
          <w:szCs w:val="20"/>
        </w:rPr>
        <w:t xml:space="preserve"> </w:t>
      </w:r>
      <w:r w:rsidRPr="000977F7">
        <w:rPr>
          <w:rFonts w:asciiTheme="majorHAnsi" w:hAnsiTheme="majorHAnsi"/>
          <w:sz w:val="20"/>
          <w:szCs w:val="20"/>
        </w:rPr>
        <w:t>що</w:t>
      </w:r>
      <w:r w:rsidRPr="000977F7">
        <w:rPr>
          <w:rFonts w:asciiTheme="majorHAnsi" w:hAnsiTheme="majorHAnsi"/>
          <w:spacing w:val="23"/>
          <w:sz w:val="20"/>
          <w:szCs w:val="20"/>
        </w:rPr>
        <w:t xml:space="preserve"> </w:t>
      </w:r>
      <w:r w:rsidRPr="000977F7">
        <w:rPr>
          <w:rFonts w:asciiTheme="majorHAnsi" w:hAnsiTheme="majorHAnsi"/>
          <w:sz w:val="20"/>
          <w:szCs w:val="20"/>
        </w:rPr>
        <w:t>реалізує</w:t>
      </w:r>
      <w:r w:rsidRPr="000977F7">
        <w:rPr>
          <w:rFonts w:asciiTheme="majorHAnsi" w:hAnsiTheme="majorHAnsi"/>
          <w:spacing w:val="-47"/>
          <w:sz w:val="20"/>
          <w:szCs w:val="20"/>
        </w:rPr>
        <w:t xml:space="preserve"> </w:t>
      </w:r>
      <w:r w:rsidRPr="000977F7">
        <w:rPr>
          <w:rFonts w:asciiTheme="majorHAnsi" w:hAnsiTheme="majorHAnsi"/>
          <w:sz w:val="20"/>
          <w:szCs w:val="20"/>
        </w:rPr>
        <w:t>державну</w:t>
      </w:r>
      <w:r w:rsidRPr="000977F7">
        <w:rPr>
          <w:rFonts w:asciiTheme="majorHAnsi" w:hAnsiTheme="majorHAnsi"/>
          <w:spacing w:val="28"/>
          <w:sz w:val="20"/>
          <w:szCs w:val="20"/>
        </w:rPr>
        <w:t xml:space="preserve"> </w:t>
      </w:r>
      <w:r w:rsidRPr="000977F7">
        <w:rPr>
          <w:rFonts w:asciiTheme="majorHAnsi" w:hAnsiTheme="majorHAnsi"/>
          <w:sz w:val="20"/>
          <w:szCs w:val="20"/>
        </w:rPr>
        <w:t>політику</w:t>
      </w:r>
      <w:r w:rsidRPr="000977F7">
        <w:rPr>
          <w:rFonts w:asciiTheme="majorHAnsi" w:hAnsiTheme="majorHAnsi"/>
          <w:spacing w:val="31"/>
          <w:sz w:val="20"/>
          <w:szCs w:val="20"/>
        </w:rPr>
        <w:t xml:space="preserve"> </w:t>
      </w:r>
      <w:r w:rsidRPr="000977F7">
        <w:rPr>
          <w:rFonts w:asciiTheme="majorHAnsi" w:hAnsiTheme="majorHAnsi"/>
          <w:sz w:val="20"/>
          <w:szCs w:val="20"/>
        </w:rPr>
        <w:t>у</w:t>
      </w:r>
      <w:r w:rsidRPr="000977F7">
        <w:rPr>
          <w:rFonts w:asciiTheme="majorHAnsi" w:hAnsiTheme="majorHAnsi"/>
          <w:spacing w:val="26"/>
          <w:sz w:val="20"/>
          <w:szCs w:val="20"/>
        </w:rPr>
        <w:t xml:space="preserve"> </w:t>
      </w:r>
      <w:r w:rsidRPr="000977F7">
        <w:rPr>
          <w:rFonts w:asciiTheme="majorHAnsi" w:hAnsiTheme="majorHAnsi"/>
          <w:sz w:val="20"/>
          <w:szCs w:val="20"/>
        </w:rPr>
        <w:t>сфері</w:t>
      </w:r>
      <w:r w:rsidRPr="000977F7">
        <w:rPr>
          <w:rFonts w:asciiTheme="majorHAnsi" w:hAnsiTheme="majorHAnsi"/>
          <w:spacing w:val="32"/>
          <w:sz w:val="20"/>
          <w:szCs w:val="20"/>
        </w:rPr>
        <w:t xml:space="preserve"> </w:t>
      </w:r>
      <w:r w:rsidRPr="000977F7">
        <w:rPr>
          <w:rFonts w:asciiTheme="majorHAnsi" w:hAnsiTheme="majorHAnsi"/>
          <w:sz w:val="20"/>
          <w:szCs w:val="20"/>
        </w:rPr>
        <w:t>охорони</w:t>
      </w:r>
      <w:r w:rsidRPr="000977F7">
        <w:rPr>
          <w:rFonts w:asciiTheme="majorHAnsi" w:hAnsiTheme="majorHAnsi"/>
          <w:spacing w:val="29"/>
          <w:sz w:val="20"/>
          <w:szCs w:val="20"/>
        </w:rPr>
        <w:t xml:space="preserve"> </w:t>
      </w:r>
      <w:r w:rsidRPr="000977F7">
        <w:rPr>
          <w:rFonts w:asciiTheme="majorHAnsi" w:hAnsiTheme="majorHAnsi"/>
          <w:sz w:val="20"/>
          <w:szCs w:val="20"/>
        </w:rPr>
        <w:t>праці,</w:t>
      </w:r>
      <w:r w:rsidRPr="000977F7">
        <w:rPr>
          <w:rFonts w:asciiTheme="majorHAnsi" w:hAnsiTheme="majorHAnsi"/>
          <w:spacing w:val="30"/>
          <w:sz w:val="20"/>
          <w:szCs w:val="20"/>
        </w:rPr>
        <w:t xml:space="preserve"> </w:t>
      </w:r>
      <w:r w:rsidRPr="000977F7">
        <w:rPr>
          <w:rFonts w:asciiTheme="majorHAnsi" w:hAnsiTheme="majorHAnsi"/>
          <w:sz w:val="20"/>
          <w:szCs w:val="20"/>
        </w:rPr>
        <w:t>оприлюднює</w:t>
      </w:r>
      <w:r w:rsidRPr="000977F7">
        <w:rPr>
          <w:rFonts w:asciiTheme="majorHAnsi" w:hAnsiTheme="majorHAnsi"/>
          <w:spacing w:val="7"/>
          <w:sz w:val="20"/>
          <w:szCs w:val="20"/>
        </w:rPr>
        <w:t xml:space="preserve"> </w:t>
      </w:r>
      <w:r w:rsidRPr="000977F7">
        <w:rPr>
          <w:rFonts w:asciiTheme="majorHAnsi" w:hAnsiTheme="majorHAnsi"/>
          <w:sz w:val="20"/>
          <w:szCs w:val="20"/>
        </w:rPr>
        <w:t>інформацію</w:t>
      </w:r>
      <w:r w:rsidRPr="000977F7">
        <w:rPr>
          <w:rFonts w:asciiTheme="majorHAnsi" w:hAnsiTheme="majorHAnsi"/>
          <w:spacing w:val="9"/>
          <w:sz w:val="20"/>
          <w:szCs w:val="20"/>
        </w:rPr>
        <w:t xml:space="preserve"> </w:t>
      </w:r>
      <w:r w:rsidRPr="000977F7">
        <w:rPr>
          <w:rFonts w:asciiTheme="majorHAnsi" w:hAnsiTheme="majorHAnsi"/>
          <w:sz w:val="20"/>
          <w:szCs w:val="20"/>
        </w:rPr>
        <w:t>про</w:t>
      </w:r>
      <w:r w:rsidRPr="000977F7">
        <w:rPr>
          <w:rFonts w:asciiTheme="majorHAnsi" w:hAnsiTheme="majorHAnsi"/>
          <w:spacing w:val="7"/>
          <w:sz w:val="20"/>
          <w:szCs w:val="20"/>
        </w:rPr>
        <w:t xml:space="preserve"> </w:t>
      </w:r>
      <w:r w:rsidRPr="000977F7">
        <w:rPr>
          <w:rFonts w:asciiTheme="majorHAnsi" w:hAnsiTheme="majorHAnsi"/>
          <w:sz w:val="20"/>
          <w:szCs w:val="20"/>
        </w:rPr>
        <w:t>всі</w:t>
      </w:r>
      <w:r w:rsidRPr="000977F7">
        <w:rPr>
          <w:rFonts w:asciiTheme="majorHAnsi" w:hAnsiTheme="majorHAnsi"/>
          <w:spacing w:val="8"/>
          <w:sz w:val="20"/>
          <w:szCs w:val="20"/>
        </w:rPr>
        <w:t xml:space="preserve"> </w:t>
      </w:r>
      <w:r w:rsidRPr="000977F7">
        <w:rPr>
          <w:rFonts w:asciiTheme="majorHAnsi" w:hAnsiTheme="majorHAnsi"/>
          <w:sz w:val="20"/>
          <w:szCs w:val="20"/>
        </w:rPr>
        <w:t>видані</w:t>
      </w:r>
      <w:r w:rsidRPr="000977F7">
        <w:rPr>
          <w:rFonts w:asciiTheme="majorHAnsi" w:hAnsiTheme="majorHAnsi"/>
          <w:spacing w:val="9"/>
          <w:sz w:val="20"/>
          <w:szCs w:val="20"/>
        </w:rPr>
        <w:t xml:space="preserve"> </w:t>
      </w:r>
      <w:r w:rsidRPr="000977F7">
        <w:rPr>
          <w:rFonts w:asciiTheme="majorHAnsi" w:hAnsiTheme="majorHAnsi"/>
          <w:sz w:val="20"/>
          <w:szCs w:val="20"/>
        </w:rPr>
        <w:t>та</w:t>
      </w:r>
      <w:r w:rsidRPr="000977F7">
        <w:rPr>
          <w:rFonts w:asciiTheme="majorHAnsi" w:hAnsiTheme="majorHAnsi"/>
          <w:spacing w:val="7"/>
          <w:sz w:val="20"/>
          <w:szCs w:val="20"/>
        </w:rPr>
        <w:t xml:space="preserve"> </w:t>
      </w:r>
      <w:r w:rsidRPr="000977F7">
        <w:rPr>
          <w:rFonts w:asciiTheme="majorHAnsi" w:hAnsiTheme="majorHAnsi"/>
          <w:sz w:val="20"/>
          <w:szCs w:val="20"/>
        </w:rPr>
        <w:t>анульовані</w:t>
      </w:r>
      <w:r w:rsidRPr="000977F7">
        <w:rPr>
          <w:rFonts w:asciiTheme="majorHAnsi" w:hAnsiTheme="majorHAnsi"/>
          <w:spacing w:val="6"/>
          <w:sz w:val="20"/>
          <w:szCs w:val="20"/>
        </w:rPr>
        <w:t xml:space="preserve"> </w:t>
      </w:r>
      <w:r w:rsidRPr="000977F7">
        <w:rPr>
          <w:rFonts w:asciiTheme="majorHAnsi" w:hAnsiTheme="majorHAnsi"/>
          <w:sz w:val="20"/>
          <w:szCs w:val="20"/>
        </w:rPr>
        <w:t>дозволи</w:t>
      </w:r>
      <w:r w:rsidRPr="000977F7">
        <w:rPr>
          <w:rFonts w:asciiTheme="majorHAnsi" w:hAnsiTheme="majorHAnsi"/>
          <w:spacing w:val="-47"/>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засобах</w:t>
      </w:r>
      <w:r w:rsidRPr="000977F7">
        <w:rPr>
          <w:rFonts w:asciiTheme="majorHAnsi" w:hAnsiTheme="majorHAnsi"/>
          <w:spacing w:val="-2"/>
          <w:sz w:val="20"/>
          <w:szCs w:val="20"/>
        </w:rPr>
        <w:t xml:space="preserve"> </w:t>
      </w:r>
      <w:r w:rsidRPr="000977F7">
        <w:rPr>
          <w:rFonts w:asciiTheme="majorHAnsi" w:hAnsiTheme="majorHAnsi"/>
          <w:sz w:val="20"/>
          <w:szCs w:val="20"/>
        </w:rPr>
        <w:t>масової</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інформації.</w:t>
      </w:r>
    </w:p>
    <w:p w14:paraId="1672A3D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Експертиза проектної та іншої документації на виготовлення і впровадження нових технологій і засобів</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 засобів колективного та індивідуального</w:t>
      </w:r>
      <w:r w:rsidRPr="000977F7">
        <w:rPr>
          <w:rFonts w:asciiTheme="majorHAnsi" w:hAnsiTheme="majorHAnsi"/>
          <w:spacing w:val="1"/>
          <w:sz w:val="20"/>
          <w:szCs w:val="20"/>
        </w:rPr>
        <w:t xml:space="preserve"> </w:t>
      </w:r>
      <w:r w:rsidRPr="000977F7">
        <w:rPr>
          <w:rFonts w:asciiTheme="majorHAnsi" w:hAnsiTheme="majorHAnsi"/>
          <w:sz w:val="20"/>
          <w:szCs w:val="20"/>
        </w:rPr>
        <w:t>захисту,</w:t>
      </w:r>
      <w:r w:rsidRPr="000977F7">
        <w:rPr>
          <w:rFonts w:asciiTheme="majorHAnsi" w:hAnsiTheme="majorHAnsi"/>
          <w:spacing w:val="1"/>
          <w:sz w:val="20"/>
          <w:szCs w:val="20"/>
        </w:rPr>
        <w:t xml:space="preserve"> </w:t>
      </w:r>
      <w:r w:rsidRPr="000977F7">
        <w:rPr>
          <w:rFonts w:asciiTheme="majorHAnsi" w:hAnsiTheme="majorHAnsi"/>
          <w:sz w:val="20"/>
          <w:szCs w:val="20"/>
        </w:rPr>
        <w:t>реєстрація,</w:t>
      </w:r>
      <w:r w:rsidRPr="000977F7">
        <w:rPr>
          <w:rFonts w:asciiTheme="majorHAnsi" w:hAnsiTheme="majorHAnsi"/>
          <w:spacing w:val="1"/>
          <w:sz w:val="20"/>
          <w:szCs w:val="20"/>
        </w:rPr>
        <w:t xml:space="preserve"> </w:t>
      </w:r>
      <w:r w:rsidRPr="000977F7">
        <w:rPr>
          <w:rFonts w:asciiTheme="majorHAnsi" w:hAnsiTheme="majorHAnsi"/>
          <w:sz w:val="20"/>
          <w:szCs w:val="20"/>
        </w:rPr>
        <w:t>огляди,</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тощо</w:t>
      </w:r>
      <w:r w:rsidRPr="000977F7">
        <w:rPr>
          <w:rFonts w:asciiTheme="majorHAnsi" w:hAnsiTheme="majorHAnsi"/>
          <w:spacing w:val="1"/>
          <w:sz w:val="20"/>
          <w:szCs w:val="20"/>
        </w:rPr>
        <w:t xml:space="preserve"> </w:t>
      </w:r>
      <w:r w:rsidRPr="000977F7">
        <w:rPr>
          <w:rFonts w:asciiTheme="majorHAnsi" w:hAnsiTheme="majorHAnsi"/>
          <w:sz w:val="20"/>
          <w:szCs w:val="20"/>
        </w:rPr>
        <w:t>виробничих об'єктів, інженерних інфраструктур об'єктів соціально-культурного</w:t>
      </w:r>
      <w:r w:rsidRPr="000977F7">
        <w:rPr>
          <w:rFonts w:asciiTheme="majorHAnsi" w:hAnsiTheme="majorHAnsi"/>
          <w:spacing w:val="50"/>
          <w:sz w:val="20"/>
          <w:szCs w:val="20"/>
        </w:rPr>
        <w:t xml:space="preserve"> </w:t>
      </w:r>
      <w:r w:rsidRPr="000977F7">
        <w:rPr>
          <w:rFonts w:asciiTheme="majorHAnsi" w:hAnsiTheme="majorHAnsi"/>
          <w:sz w:val="20"/>
          <w:szCs w:val="20"/>
        </w:rPr>
        <w:t>призначення провадяться</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порядку,</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визначається</w:t>
      </w:r>
      <w:r w:rsidRPr="000977F7">
        <w:rPr>
          <w:rFonts w:asciiTheme="majorHAnsi" w:hAnsiTheme="majorHAnsi"/>
          <w:spacing w:val="1"/>
          <w:sz w:val="20"/>
          <w:szCs w:val="20"/>
        </w:rPr>
        <w:t xml:space="preserve"> </w:t>
      </w:r>
      <w:r w:rsidRPr="000977F7">
        <w:rPr>
          <w:rFonts w:asciiTheme="majorHAnsi" w:hAnsiTheme="majorHAnsi"/>
          <w:sz w:val="20"/>
          <w:szCs w:val="20"/>
        </w:rPr>
        <w:t>Кабінетом</w:t>
      </w:r>
      <w:r w:rsidRPr="000977F7">
        <w:rPr>
          <w:rFonts w:asciiTheme="majorHAnsi" w:hAnsiTheme="majorHAnsi"/>
          <w:spacing w:val="1"/>
          <w:sz w:val="20"/>
          <w:szCs w:val="20"/>
        </w:rPr>
        <w:t xml:space="preserve"> </w:t>
      </w:r>
      <w:r w:rsidRPr="000977F7">
        <w:rPr>
          <w:rFonts w:asciiTheme="majorHAnsi" w:hAnsiTheme="majorHAnsi"/>
          <w:sz w:val="20"/>
          <w:szCs w:val="20"/>
        </w:rPr>
        <w:t>Міністрів</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p>
    <w:p w14:paraId="4703926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разі коли роботодавець не одержав зазначеного дозволу,</w:t>
      </w:r>
      <w:r w:rsidRPr="000977F7">
        <w:rPr>
          <w:rFonts w:asciiTheme="majorHAnsi" w:hAnsiTheme="majorHAnsi"/>
          <w:spacing w:val="1"/>
          <w:sz w:val="20"/>
          <w:szCs w:val="20"/>
        </w:rPr>
        <w:t xml:space="preserve"> </w:t>
      </w:r>
      <w:r w:rsidRPr="000977F7">
        <w:rPr>
          <w:rFonts w:asciiTheme="majorHAnsi" w:hAnsiTheme="majorHAnsi"/>
          <w:sz w:val="20"/>
          <w:szCs w:val="20"/>
        </w:rPr>
        <w:t>місцевий</w:t>
      </w:r>
      <w:r w:rsidRPr="000977F7">
        <w:rPr>
          <w:rFonts w:asciiTheme="majorHAnsi" w:hAnsiTheme="majorHAnsi"/>
          <w:spacing w:val="1"/>
          <w:sz w:val="20"/>
          <w:szCs w:val="20"/>
        </w:rPr>
        <w:t xml:space="preserve"> </w:t>
      </w:r>
      <w:r w:rsidRPr="000977F7">
        <w:rPr>
          <w:rFonts w:asciiTheme="majorHAnsi" w:hAnsiTheme="majorHAnsi"/>
          <w:sz w:val="20"/>
          <w:szCs w:val="20"/>
        </w:rPr>
        <w:t>орган</w:t>
      </w:r>
      <w:r w:rsidRPr="000977F7">
        <w:rPr>
          <w:rFonts w:asciiTheme="majorHAnsi" w:hAnsiTheme="majorHAnsi"/>
          <w:spacing w:val="1"/>
          <w:sz w:val="20"/>
          <w:szCs w:val="20"/>
        </w:rPr>
        <w:t xml:space="preserve"> </w:t>
      </w:r>
      <w:r w:rsidRPr="000977F7">
        <w:rPr>
          <w:rFonts w:asciiTheme="majorHAnsi" w:hAnsiTheme="majorHAnsi"/>
          <w:sz w:val="20"/>
          <w:szCs w:val="20"/>
        </w:rPr>
        <w:t>виконавчої</w:t>
      </w:r>
      <w:r w:rsidRPr="000977F7">
        <w:rPr>
          <w:rFonts w:asciiTheme="majorHAnsi" w:hAnsiTheme="majorHAnsi"/>
          <w:spacing w:val="1"/>
          <w:sz w:val="20"/>
          <w:szCs w:val="20"/>
        </w:rPr>
        <w:t xml:space="preserve"> </w:t>
      </w:r>
      <w:r w:rsidRPr="000977F7">
        <w:rPr>
          <w:rFonts w:asciiTheme="majorHAnsi" w:hAnsiTheme="majorHAnsi"/>
          <w:sz w:val="20"/>
          <w:szCs w:val="20"/>
        </w:rPr>
        <w:t>влади</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орган</w:t>
      </w:r>
      <w:r w:rsidRPr="000977F7">
        <w:rPr>
          <w:rFonts w:asciiTheme="majorHAnsi" w:hAnsiTheme="majorHAnsi"/>
          <w:spacing w:val="1"/>
          <w:sz w:val="20"/>
          <w:szCs w:val="20"/>
        </w:rPr>
        <w:t xml:space="preserve"> </w:t>
      </w:r>
      <w:r w:rsidRPr="000977F7">
        <w:rPr>
          <w:rFonts w:asciiTheme="majorHAnsi" w:hAnsiTheme="majorHAnsi"/>
          <w:sz w:val="20"/>
          <w:szCs w:val="20"/>
        </w:rPr>
        <w:t>місцевого самоврядування, за поданням центрального</w:t>
      </w:r>
      <w:r w:rsidRPr="000977F7">
        <w:rPr>
          <w:rFonts w:asciiTheme="majorHAnsi" w:hAnsiTheme="majorHAnsi"/>
          <w:spacing w:val="1"/>
          <w:sz w:val="20"/>
          <w:szCs w:val="20"/>
        </w:rPr>
        <w:t xml:space="preserve"> </w:t>
      </w:r>
      <w:r w:rsidRPr="000977F7">
        <w:rPr>
          <w:rFonts w:asciiTheme="majorHAnsi" w:hAnsiTheme="majorHAnsi"/>
          <w:sz w:val="20"/>
          <w:szCs w:val="20"/>
        </w:rPr>
        <w:t>органу виконавчої влади, що реалізує державну політику у сфері охорони праці, вживає заходів до скасування</w:t>
      </w:r>
      <w:r w:rsidRPr="000977F7">
        <w:rPr>
          <w:rFonts w:asciiTheme="majorHAnsi" w:hAnsiTheme="majorHAnsi"/>
          <w:spacing w:val="1"/>
          <w:sz w:val="20"/>
          <w:szCs w:val="20"/>
        </w:rPr>
        <w:t xml:space="preserve"> </w:t>
      </w:r>
      <w:r w:rsidRPr="000977F7">
        <w:rPr>
          <w:rFonts w:asciiTheme="majorHAnsi" w:hAnsiTheme="majorHAnsi"/>
          <w:sz w:val="20"/>
          <w:szCs w:val="20"/>
        </w:rPr>
        <w:t>державної</w:t>
      </w:r>
      <w:r w:rsidRPr="000977F7">
        <w:rPr>
          <w:rFonts w:asciiTheme="majorHAnsi" w:hAnsiTheme="majorHAnsi"/>
          <w:spacing w:val="1"/>
          <w:sz w:val="20"/>
          <w:szCs w:val="20"/>
        </w:rPr>
        <w:t xml:space="preserve"> </w:t>
      </w:r>
      <w:r w:rsidRPr="000977F7">
        <w:rPr>
          <w:rFonts w:asciiTheme="majorHAnsi" w:hAnsiTheme="majorHAnsi"/>
          <w:sz w:val="20"/>
          <w:szCs w:val="20"/>
        </w:rPr>
        <w:t>реєстрації</w:t>
      </w:r>
      <w:r w:rsidRPr="000977F7">
        <w:rPr>
          <w:rFonts w:asciiTheme="majorHAnsi" w:hAnsiTheme="majorHAnsi"/>
          <w:spacing w:val="1"/>
          <w:sz w:val="20"/>
          <w:szCs w:val="20"/>
        </w:rPr>
        <w:t xml:space="preserve"> </w:t>
      </w:r>
      <w:r w:rsidRPr="000977F7">
        <w:rPr>
          <w:rFonts w:asciiTheme="majorHAnsi" w:hAnsiTheme="majorHAnsi"/>
          <w:sz w:val="20"/>
          <w:szCs w:val="20"/>
        </w:rPr>
        <w:t>цього</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встановленому законом порядку за умови, якщо протягом місяця від часу виявлення вказаних недоліків</w:t>
      </w:r>
      <w:r w:rsidRPr="000977F7">
        <w:rPr>
          <w:rFonts w:asciiTheme="majorHAnsi" w:hAnsiTheme="majorHAnsi"/>
          <w:spacing w:val="1"/>
          <w:sz w:val="20"/>
          <w:szCs w:val="20"/>
        </w:rPr>
        <w:t xml:space="preserve"> </w:t>
      </w:r>
      <w:r w:rsidRPr="000977F7">
        <w:rPr>
          <w:rFonts w:asciiTheme="majorHAnsi" w:hAnsiTheme="majorHAnsi"/>
          <w:sz w:val="20"/>
          <w:szCs w:val="20"/>
        </w:rPr>
        <w:t>роботодавець не провів належних заходів з їх усунення.</w:t>
      </w:r>
    </w:p>
    <w:p w14:paraId="6F14F89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Технологічні процеси, машини, механізми, устаткування, транспортні засоби, хімічні речовини і їх сполуки та інша небезпечна продукція, придбані за кордоном, допускаються в експлуатацію (до застосування) лише за умови проведення експертизи на відповідність їх нормативно-правовим актам з охорони праці,</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чинні</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території</w:t>
      </w:r>
      <w:r w:rsidRPr="000977F7">
        <w:rPr>
          <w:rFonts w:asciiTheme="majorHAnsi" w:hAnsiTheme="majorHAnsi"/>
          <w:spacing w:val="-2"/>
          <w:sz w:val="20"/>
          <w:szCs w:val="20"/>
        </w:rPr>
        <w:t xml:space="preserve"> </w:t>
      </w:r>
      <w:r w:rsidRPr="000977F7">
        <w:rPr>
          <w:rFonts w:asciiTheme="majorHAnsi" w:hAnsiTheme="majorHAnsi"/>
          <w:sz w:val="20"/>
          <w:szCs w:val="20"/>
        </w:rPr>
        <w:t>України.</w:t>
      </w:r>
    </w:p>
    <w:p w14:paraId="1292DF3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 допускається застосування у виробництві шкідливих речовин у разі відсутності їх гігієнічної регламентації</w:t>
      </w:r>
      <w:r w:rsidRPr="000977F7">
        <w:rPr>
          <w:rFonts w:asciiTheme="majorHAnsi" w:hAnsiTheme="majorHAnsi"/>
          <w:spacing w:val="1"/>
          <w:sz w:val="20"/>
          <w:szCs w:val="20"/>
        </w:rPr>
        <w:t xml:space="preserve"> </w:t>
      </w:r>
      <w:r w:rsidRPr="000977F7">
        <w:rPr>
          <w:rFonts w:asciiTheme="majorHAnsi" w:hAnsiTheme="majorHAnsi"/>
          <w:sz w:val="20"/>
          <w:szCs w:val="20"/>
        </w:rPr>
        <w:t>та державної</w:t>
      </w:r>
      <w:r w:rsidRPr="000977F7">
        <w:rPr>
          <w:rFonts w:asciiTheme="majorHAnsi" w:hAnsiTheme="majorHAnsi"/>
          <w:spacing w:val="-1"/>
          <w:sz w:val="20"/>
          <w:szCs w:val="20"/>
        </w:rPr>
        <w:t xml:space="preserve"> </w:t>
      </w:r>
      <w:r w:rsidRPr="000977F7">
        <w:rPr>
          <w:rFonts w:asciiTheme="majorHAnsi" w:hAnsiTheme="majorHAnsi"/>
          <w:sz w:val="20"/>
          <w:szCs w:val="20"/>
        </w:rPr>
        <w:t>реєстрації.</w:t>
      </w:r>
    </w:p>
    <w:p w14:paraId="278A8A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Усі дозволи, передбачені цією статтею, при здійсненні діяльності в межах території виключної (морської)</w:t>
      </w:r>
      <w:r w:rsidRPr="000977F7">
        <w:rPr>
          <w:rFonts w:asciiTheme="majorHAnsi" w:hAnsiTheme="majorHAnsi"/>
          <w:spacing w:val="1"/>
          <w:sz w:val="20"/>
          <w:szCs w:val="20"/>
        </w:rPr>
        <w:t xml:space="preserve"> </w:t>
      </w:r>
      <w:r w:rsidRPr="000977F7">
        <w:rPr>
          <w:rFonts w:asciiTheme="majorHAnsi" w:hAnsiTheme="majorHAnsi"/>
          <w:sz w:val="20"/>
          <w:szCs w:val="20"/>
        </w:rPr>
        <w:t>економічної</w:t>
      </w:r>
      <w:r w:rsidRPr="000977F7">
        <w:rPr>
          <w:rFonts w:asciiTheme="majorHAnsi" w:hAnsiTheme="majorHAnsi"/>
          <w:spacing w:val="1"/>
          <w:sz w:val="20"/>
          <w:szCs w:val="20"/>
        </w:rPr>
        <w:t xml:space="preserve"> </w:t>
      </w:r>
      <w:r w:rsidRPr="000977F7">
        <w:rPr>
          <w:rFonts w:asciiTheme="majorHAnsi" w:hAnsiTheme="majorHAnsi"/>
          <w:sz w:val="20"/>
          <w:szCs w:val="20"/>
        </w:rPr>
        <w:t>зони</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континентальному</w:t>
      </w:r>
      <w:r w:rsidRPr="000977F7">
        <w:rPr>
          <w:rFonts w:asciiTheme="majorHAnsi" w:hAnsiTheme="majorHAnsi"/>
          <w:spacing w:val="1"/>
          <w:sz w:val="20"/>
          <w:szCs w:val="20"/>
        </w:rPr>
        <w:t xml:space="preserve"> </w:t>
      </w:r>
      <w:r w:rsidRPr="000977F7">
        <w:rPr>
          <w:rFonts w:asciiTheme="majorHAnsi" w:hAnsiTheme="majorHAnsi"/>
          <w:sz w:val="20"/>
          <w:szCs w:val="20"/>
        </w:rPr>
        <w:t>шельфі на умовах угоди про розподіл продукції, укладеної відповідно до Закону України "Про угоди про</w:t>
      </w:r>
      <w:r w:rsidRPr="000977F7">
        <w:rPr>
          <w:rFonts w:asciiTheme="majorHAnsi" w:hAnsiTheme="majorHAnsi"/>
          <w:spacing w:val="1"/>
          <w:sz w:val="20"/>
          <w:szCs w:val="20"/>
        </w:rPr>
        <w:t xml:space="preserve"> </w:t>
      </w:r>
      <w:r w:rsidRPr="000977F7">
        <w:rPr>
          <w:rFonts w:asciiTheme="majorHAnsi" w:hAnsiTheme="majorHAnsi"/>
          <w:sz w:val="20"/>
          <w:szCs w:val="20"/>
        </w:rPr>
        <w:t>розподіл продукції", надаються інвестору в порядку,</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встановленому</w:t>
      </w:r>
      <w:r w:rsidRPr="000977F7">
        <w:rPr>
          <w:rFonts w:asciiTheme="majorHAnsi" w:hAnsiTheme="majorHAnsi"/>
          <w:spacing w:val="-5"/>
          <w:sz w:val="20"/>
          <w:szCs w:val="20"/>
        </w:rPr>
        <w:t xml:space="preserve"> </w:t>
      </w:r>
      <w:r w:rsidRPr="000977F7">
        <w:rPr>
          <w:rFonts w:asciiTheme="majorHAnsi" w:hAnsiTheme="majorHAnsi"/>
          <w:sz w:val="20"/>
          <w:szCs w:val="20"/>
        </w:rPr>
        <w:t>Кабінетом Міністрів</w:t>
      </w:r>
      <w:r w:rsidRPr="000977F7">
        <w:rPr>
          <w:rFonts w:asciiTheme="majorHAnsi" w:hAnsiTheme="majorHAnsi"/>
          <w:spacing w:val="-2"/>
          <w:sz w:val="20"/>
          <w:szCs w:val="20"/>
        </w:rPr>
        <w:t xml:space="preserve"> </w:t>
      </w:r>
      <w:r w:rsidRPr="000977F7">
        <w:rPr>
          <w:rFonts w:asciiTheme="majorHAnsi" w:hAnsiTheme="majorHAnsi"/>
          <w:sz w:val="20"/>
          <w:szCs w:val="20"/>
        </w:rPr>
        <w:t>України.</w:t>
      </w:r>
    </w:p>
    <w:p w14:paraId="08EEBB4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2"/>
          <w:sz w:val="20"/>
          <w:szCs w:val="20"/>
        </w:rPr>
        <w:t xml:space="preserve"> </w:t>
      </w:r>
      <w:r w:rsidRPr="000977F7">
        <w:rPr>
          <w:rFonts w:asciiTheme="majorHAnsi" w:hAnsiTheme="majorHAnsi"/>
          <w:i/>
          <w:sz w:val="20"/>
          <w:szCs w:val="20"/>
        </w:rPr>
        <w:t>21 закону</w:t>
      </w:r>
      <w:r w:rsidRPr="000977F7">
        <w:rPr>
          <w:rFonts w:asciiTheme="majorHAnsi" w:hAnsiTheme="majorHAnsi"/>
          <w:i/>
          <w:spacing w:val="-3"/>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1"/>
          <w:sz w:val="20"/>
          <w:szCs w:val="20"/>
        </w:rPr>
        <w:t xml:space="preserve"> </w:t>
      </w:r>
      <w:r w:rsidRPr="000977F7">
        <w:rPr>
          <w:rFonts w:asciiTheme="majorHAnsi" w:hAnsiTheme="majorHAnsi"/>
          <w:i/>
          <w:sz w:val="20"/>
          <w:szCs w:val="20"/>
        </w:rPr>
        <w:t>«Про</w:t>
      </w:r>
      <w:r w:rsidRPr="000977F7">
        <w:rPr>
          <w:rFonts w:asciiTheme="majorHAnsi" w:hAnsiTheme="majorHAnsi"/>
          <w:i/>
          <w:spacing w:val="-3"/>
          <w:sz w:val="20"/>
          <w:szCs w:val="20"/>
        </w:rPr>
        <w:t xml:space="preserve"> </w:t>
      </w:r>
      <w:r w:rsidRPr="000977F7">
        <w:rPr>
          <w:rFonts w:asciiTheme="majorHAnsi" w:hAnsiTheme="majorHAnsi"/>
          <w:i/>
          <w:sz w:val="20"/>
          <w:szCs w:val="20"/>
        </w:rPr>
        <w:t>охорону</w:t>
      </w:r>
      <w:r w:rsidRPr="000977F7">
        <w:rPr>
          <w:rFonts w:asciiTheme="majorHAnsi" w:hAnsiTheme="majorHAnsi"/>
          <w:i/>
          <w:spacing w:val="-4"/>
          <w:sz w:val="20"/>
          <w:szCs w:val="20"/>
        </w:rPr>
        <w:t xml:space="preserve"> </w:t>
      </w:r>
      <w:r w:rsidRPr="000977F7">
        <w:rPr>
          <w:rFonts w:asciiTheme="majorHAnsi" w:hAnsiTheme="majorHAnsi"/>
          <w:i/>
          <w:sz w:val="20"/>
          <w:szCs w:val="20"/>
        </w:rPr>
        <w:t>праці»</w:t>
      </w:r>
    </w:p>
    <w:p w14:paraId="4992F6D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ДОДЕРЖАННЯ</w:t>
      </w:r>
      <w:r w:rsidRPr="000977F7">
        <w:rPr>
          <w:color w:val="auto"/>
          <w:spacing w:val="1"/>
          <w:sz w:val="20"/>
          <w:szCs w:val="20"/>
        </w:rPr>
        <w:t xml:space="preserve"> </w:t>
      </w:r>
      <w:r w:rsidRPr="000977F7">
        <w:rPr>
          <w:color w:val="auto"/>
          <w:sz w:val="20"/>
          <w:szCs w:val="20"/>
        </w:rPr>
        <w:t>ЕКОЛОГІЧНИХ</w:t>
      </w:r>
      <w:r w:rsidRPr="000977F7">
        <w:rPr>
          <w:color w:val="auto"/>
          <w:spacing w:val="1"/>
          <w:sz w:val="20"/>
          <w:szCs w:val="20"/>
        </w:rPr>
        <w:t xml:space="preserve"> </w:t>
      </w:r>
      <w:r w:rsidRPr="000977F7">
        <w:rPr>
          <w:color w:val="auto"/>
          <w:sz w:val="20"/>
          <w:szCs w:val="20"/>
        </w:rPr>
        <w:t>ВИМОГ</w:t>
      </w:r>
      <w:r w:rsidRPr="000977F7">
        <w:rPr>
          <w:color w:val="auto"/>
          <w:spacing w:val="1"/>
          <w:sz w:val="20"/>
          <w:szCs w:val="20"/>
        </w:rPr>
        <w:t xml:space="preserve"> </w:t>
      </w:r>
      <w:r w:rsidRPr="000977F7">
        <w:rPr>
          <w:color w:val="auto"/>
          <w:sz w:val="20"/>
          <w:szCs w:val="20"/>
        </w:rPr>
        <w:t>ПРИ</w:t>
      </w:r>
      <w:r w:rsidRPr="000977F7">
        <w:rPr>
          <w:color w:val="auto"/>
          <w:spacing w:val="-47"/>
          <w:sz w:val="20"/>
          <w:szCs w:val="20"/>
        </w:rPr>
        <w:t xml:space="preserve"> </w:t>
      </w:r>
      <w:r w:rsidRPr="000977F7">
        <w:rPr>
          <w:color w:val="auto"/>
          <w:sz w:val="20"/>
          <w:szCs w:val="20"/>
        </w:rPr>
        <w:t>ВИКОРИСТАННІ</w:t>
      </w:r>
      <w:r w:rsidRPr="000977F7">
        <w:rPr>
          <w:color w:val="auto"/>
          <w:spacing w:val="-3"/>
          <w:sz w:val="20"/>
          <w:szCs w:val="20"/>
        </w:rPr>
        <w:t xml:space="preserve"> </w:t>
      </w:r>
      <w:r w:rsidRPr="000977F7">
        <w:rPr>
          <w:color w:val="auto"/>
          <w:sz w:val="20"/>
          <w:szCs w:val="20"/>
        </w:rPr>
        <w:t>ПРИРОДНИХ</w:t>
      </w:r>
      <w:r w:rsidRPr="000977F7">
        <w:rPr>
          <w:color w:val="auto"/>
          <w:spacing w:val="46"/>
          <w:sz w:val="20"/>
          <w:szCs w:val="20"/>
        </w:rPr>
        <w:t xml:space="preserve"> </w:t>
      </w:r>
      <w:r w:rsidRPr="000977F7">
        <w:rPr>
          <w:color w:val="auto"/>
          <w:sz w:val="20"/>
          <w:szCs w:val="20"/>
        </w:rPr>
        <w:t>РЕСУРСІВ</w:t>
      </w:r>
      <w:r w:rsidRPr="000977F7">
        <w:rPr>
          <w:color w:val="auto"/>
          <w:spacing w:val="1"/>
          <w:sz w:val="20"/>
          <w:szCs w:val="20"/>
        </w:rPr>
        <w:t xml:space="preserve"> </w:t>
      </w:r>
      <w:r w:rsidRPr="000977F7">
        <w:rPr>
          <w:color w:val="auto"/>
          <w:sz w:val="20"/>
          <w:szCs w:val="20"/>
        </w:rPr>
        <w:t>–</w:t>
      </w:r>
    </w:p>
    <w:p w14:paraId="26149FD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природних</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r w:rsidRPr="000977F7">
        <w:rPr>
          <w:rFonts w:asciiTheme="majorHAnsi" w:hAnsiTheme="majorHAnsi"/>
          <w:spacing w:val="1"/>
          <w:sz w:val="20"/>
          <w:szCs w:val="20"/>
        </w:rPr>
        <w:t xml:space="preserve"> </w:t>
      </w:r>
      <w:r w:rsidRPr="000977F7">
        <w:rPr>
          <w:rFonts w:asciiTheme="majorHAnsi" w:hAnsiTheme="majorHAnsi"/>
          <w:sz w:val="20"/>
          <w:szCs w:val="20"/>
        </w:rPr>
        <w:t>громадянами,</w:t>
      </w:r>
      <w:r w:rsidRPr="000977F7">
        <w:rPr>
          <w:rFonts w:asciiTheme="majorHAnsi" w:hAnsiTheme="majorHAnsi"/>
          <w:spacing w:val="1"/>
          <w:sz w:val="20"/>
          <w:szCs w:val="20"/>
        </w:rPr>
        <w:t xml:space="preserve"> </w:t>
      </w:r>
      <w:r w:rsidRPr="000977F7">
        <w:rPr>
          <w:rFonts w:asciiTheme="majorHAnsi" w:hAnsiTheme="majorHAnsi"/>
          <w:spacing w:val="-1"/>
          <w:sz w:val="20"/>
          <w:szCs w:val="20"/>
        </w:rPr>
        <w:t>підприємствами,</w:t>
      </w:r>
      <w:r w:rsidRPr="000977F7">
        <w:rPr>
          <w:rFonts w:asciiTheme="majorHAnsi" w:hAnsiTheme="majorHAnsi"/>
          <w:spacing w:val="-7"/>
          <w:sz w:val="20"/>
          <w:szCs w:val="20"/>
        </w:rPr>
        <w:t xml:space="preserve"> </w:t>
      </w:r>
      <w:r w:rsidRPr="000977F7">
        <w:rPr>
          <w:rFonts w:asciiTheme="majorHAnsi" w:hAnsiTheme="majorHAnsi"/>
          <w:spacing w:val="-1"/>
          <w:sz w:val="20"/>
          <w:szCs w:val="20"/>
        </w:rPr>
        <w:t>установами</w:t>
      </w:r>
      <w:r w:rsidRPr="000977F7">
        <w:rPr>
          <w:rFonts w:asciiTheme="majorHAnsi" w:hAnsiTheme="majorHAnsi"/>
          <w:spacing w:val="-8"/>
          <w:sz w:val="20"/>
          <w:szCs w:val="20"/>
        </w:rPr>
        <w:t xml:space="preserve"> </w:t>
      </w:r>
      <w:r w:rsidRPr="000977F7">
        <w:rPr>
          <w:rFonts w:asciiTheme="majorHAnsi" w:hAnsiTheme="majorHAnsi"/>
          <w:spacing w:val="-1"/>
          <w:sz w:val="20"/>
          <w:szCs w:val="20"/>
        </w:rPr>
        <w:t>та</w:t>
      </w:r>
      <w:r w:rsidRPr="000977F7">
        <w:rPr>
          <w:rFonts w:asciiTheme="majorHAnsi" w:hAnsiTheme="majorHAnsi"/>
          <w:spacing w:val="-9"/>
          <w:sz w:val="20"/>
          <w:szCs w:val="20"/>
        </w:rPr>
        <w:t xml:space="preserve"> </w:t>
      </w:r>
      <w:r w:rsidRPr="000977F7">
        <w:rPr>
          <w:rFonts w:asciiTheme="majorHAnsi" w:hAnsiTheme="majorHAnsi"/>
          <w:spacing w:val="-1"/>
          <w:sz w:val="20"/>
          <w:szCs w:val="20"/>
        </w:rPr>
        <w:t>організаціями</w:t>
      </w:r>
      <w:r w:rsidRPr="000977F7">
        <w:rPr>
          <w:rFonts w:asciiTheme="majorHAnsi" w:hAnsiTheme="majorHAnsi"/>
          <w:spacing w:val="-10"/>
          <w:sz w:val="20"/>
          <w:szCs w:val="20"/>
        </w:rPr>
        <w:t xml:space="preserve"> </w:t>
      </w:r>
      <w:r w:rsidRPr="000977F7">
        <w:rPr>
          <w:rFonts w:asciiTheme="majorHAnsi" w:hAnsiTheme="majorHAnsi"/>
          <w:sz w:val="20"/>
          <w:szCs w:val="20"/>
        </w:rPr>
        <w:t>здійсню</w:t>
      </w:r>
      <w:r w:rsidRPr="000977F7">
        <w:rPr>
          <w:rFonts w:asciiTheme="majorHAnsi" w:hAnsiTheme="majorHAnsi"/>
          <w:spacing w:val="-2"/>
          <w:sz w:val="20"/>
          <w:szCs w:val="20"/>
        </w:rPr>
        <w:t>ється</w:t>
      </w:r>
      <w:r w:rsidRPr="000977F7">
        <w:rPr>
          <w:rFonts w:asciiTheme="majorHAnsi" w:hAnsiTheme="majorHAnsi"/>
          <w:spacing w:val="-11"/>
          <w:sz w:val="20"/>
          <w:szCs w:val="20"/>
        </w:rPr>
        <w:t xml:space="preserve"> </w:t>
      </w:r>
      <w:r w:rsidRPr="000977F7">
        <w:rPr>
          <w:rFonts w:asciiTheme="majorHAnsi" w:hAnsiTheme="majorHAnsi"/>
          <w:spacing w:val="-1"/>
          <w:sz w:val="20"/>
          <w:szCs w:val="20"/>
        </w:rPr>
        <w:t>з</w:t>
      </w:r>
      <w:r w:rsidRPr="000977F7">
        <w:rPr>
          <w:rFonts w:asciiTheme="majorHAnsi" w:hAnsiTheme="majorHAnsi"/>
          <w:spacing w:val="-8"/>
          <w:sz w:val="20"/>
          <w:szCs w:val="20"/>
        </w:rPr>
        <w:t xml:space="preserve"> </w:t>
      </w:r>
      <w:r w:rsidRPr="000977F7">
        <w:rPr>
          <w:rFonts w:asciiTheme="majorHAnsi" w:hAnsiTheme="majorHAnsi"/>
          <w:spacing w:val="-1"/>
          <w:sz w:val="20"/>
          <w:szCs w:val="20"/>
        </w:rPr>
        <w:t>додержанням</w:t>
      </w:r>
      <w:r w:rsidRPr="000977F7">
        <w:rPr>
          <w:rFonts w:asciiTheme="majorHAnsi" w:hAnsiTheme="majorHAnsi"/>
          <w:spacing w:val="-9"/>
          <w:sz w:val="20"/>
          <w:szCs w:val="20"/>
        </w:rPr>
        <w:t xml:space="preserve"> </w:t>
      </w:r>
      <w:r w:rsidRPr="000977F7">
        <w:rPr>
          <w:rFonts w:asciiTheme="majorHAnsi" w:hAnsiTheme="majorHAnsi"/>
          <w:spacing w:val="-1"/>
          <w:sz w:val="20"/>
          <w:szCs w:val="20"/>
        </w:rPr>
        <w:t>обов'язкових</w:t>
      </w:r>
      <w:r w:rsidRPr="000977F7">
        <w:rPr>
          <w:rFonts w:asciiTheme="majorHAnsi" w:hAnsiTheme="majorHAnsi"/>
          <w:spacing w:val="-11"/>
          <w:sz w:val="20"/>
          <w:szCs w:val="20"/>
        </w:rPr>
        <w:t xml:space="preserve"> </w:t>
      </w:r>
      <w:r w:rsidRPr="000977F7">
        <w:rPr>
          <w:rFonts w:asciiTheme="majorHAnsi" w:hAnsiTheme="majorHAnsi"/>
          <w:spacing w:val="-1"/>
          <w:sz w:val="20"/>
          <w:szCs w:val="20"/>
        </w:rPr>
        <w:t>екологічних</w:t>
      </w:r>
      <w:r w:rsidRPr="000977F7">
        <w:rPr>
          <w:rFonts w:asciiTheme="majorHAnsi" w:hAnsiTheme="majorHAnsi"/>
          <w:spacing w:val="-12"/>
          <w:sz w:val="20"/>
          <w:szCs w:val="20"/>
        </w:rPr>
        <w:t xml:space="preserve"> </w:t>
      </w:r>
      <w:r w:rsidRPr="000977F7">
        <w:rPr>
          <w:rFonts w:asciiTheme="majorHAnsi" w:hAnsiTheme="majorHAnsi"/>
          <w:spacing w:val="-1"/>
          <w:sz w:val="20"/>
          <w:szCs w:val="20"/>
        </w:rPr>
        <w:t>вимог:</w:t>
      </w:r>
    </w:p>
    <w:p w14:paraId="004435F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раціонального і економного використання природних</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основі</w:t>
      </w:r>
      <w:r w:rsidRPr="000977F7">
        <w:rPr>
          <w:rFonts w:asciiTheme="majorHAnsi" w:hAnsiTheme="majorHAnsi"/>
          <w:spacing w:val="1"/>
          <w:sz w:val="20"/>
          <w:szCs w:val="20"/>
        </w:rPr>
        <w:t xml:space="preserve"> </w:t>
      </w:r>
      <w:r w:rsidRPr="000977F7">
        <w:rPr>
          <w:rFonts w:asciiTheme="majorHAnsi" w:hAnsiTheme="majorHAnsi"/>
          <w:sz w:val="20"/>
          <w:szCs w:val="20"/>
        </w:rPr>
        <w:t>широкого</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новітніх</w:t>
      </w:r>
      <w:r w:rsidRPr="000977F7">
        <w:rPr>
          <w:rFonts w:asciiTheme="majorHAnsi" w:hAnsiTheme="majorHAnsi"/>
          <w:spacing w:val="-2"/>
          <w:sz w:val="20"/>
          <w:szCs w:val="20"/>
        </w:rPr>
        <w:t xml:space="preserve"> </w:t>
      </w:r>
      <w:r w:rsidRPr="000977F7">
        <w:rPr>
          <w:rFonts w:asciiTheme="majorHAnsi" w:hAnsiTheme="majorHAnsi"/>
          <w:sz w:val="20"/>
          <w:szCs w:val="20"/>
        </w:rPr>
        <w:t>технологій;</w:t>
      </w:r>
    </w:p>
    <w:p w14:paraId="53D66C0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 здійснення заходів щодо запобігання псуванню,</w:t>
      </w:r>
      <w:r w:rsidRPr="000977F7">
        <w:rPr>
          <w:rFonts w:asciiTheme="majorHAnsi" w:hAnsiTheme="majorHAnsi"/>
          <w:spacing w:val="1"/>
          <w:sz w:val="20"/>
          <w:szCs w:val="20"/>
        </w:rPr>
        <w:t xml:space="preserve"> </w:t>
      </w:r>
      <w:r w:rsidRPr="000977F7">
        <w:rPr>
          <w:rFonts w:asciiTheme="majorHAnsi" w:hAnsiTheme="majorHAnsi"/>
          <w:sz w:val="20"/>
          <w:szCs w:val="20"/>
        </w:rPr>
        <w:t>забрудненню, виснаженню природних ресурсів, негативному впливу на стан навколишнього природного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p>
    <w:p w14:paraId="63FAACE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 здійснення заходів щодо відтворення відновлюваних природних</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p>
    <w:p w14:paraId="22C7B4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біологічних,</w:t>
      </w:r>
      <w:r w:rsidRPr="000977F7">
        <w:rPr>
          <w:rFonts w:asciiTheme="majorHAnsi" w:hAnsiTheme="majorHAnsi"/>
          <w:spacing w:val="1"/>
          <w:sz w:val="20"/>
          <w:szCs w:val="20"/>
        </w:rPr>
        <w:t xml:space="preserve"> </w:t>
      </w:r>
      <w:r w:rsidRPr="000977F7">
        <w:rPr>
          <w:rFonts w:asciiTheme="majorHAnsi" w:hAnsiTheme="majorHAnsi"/>
          <w:sz w:val="20"/>
          <w:szCs w:val="20"/>
        </w:rPr>
        <w:t>хімічних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методів</w:t>
      </w:r>
      <w:r w:rsidRPr="000977F7">
        <w:rPr>
          <w:rFonts w:asciiTheme="majorHAnsi" w:hAnsiTheme="majorHAnsi"/>
          <w:spacing w:val="1"/>
          <w:sz w:val="20"/>
          <w:szCs w:val="20"/>
        </w:rPr>
        <w:t xml:space="preserve"> </w:t>
      </w:r>
      <w:r w:rsidRPr="000977F7">
        <w:rPr>
          <w:rFonts w:asciiTheme="majorHAnsi" w:hAnsiTheme="majorHAnsi"/>
          <w:sz w:val="20"/>
          <w:szCs w:val="20"/>
        </w:rPr>
        <w:t>поліпшення</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природних</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47"/>
          <w:sz w:val="20"/>
          <w:szCs w:val="20"/>
        </w:rPr>
        <w:t xml:space="preserve"> </w:t>
      </w:r>
      <w:r w:rsidRPr="000977F7">
        <w:rPr>
          <w:rFonts w:asciiTheme="majorHAnsi" w:hAnsiTheme="majorHAnsi"/>
          <w:sz w:val="20"/>
          <w:szCs w:val="20"/>
        </w:rPr>
        <w:t>забезпечують</w:t>
      </w:r>
      <w:r w:rsidRPr="000977F7">
        <w:rPr>
          <w:rFonts w:asciiTheme="majorHAnsi" w:hAnsiTheme="majorHAnsi"/>
          <w:spacing w:val="1"/>
          <w:sz w:val="20"/>
          <w:szCs w:val="20"/>
        </w:rPr>
        <w:t xml:space="preserve"> </w:t>
      </w:r>
      <w:r w:rsidRPr="000977F7">
        <w:rPr>
          <w:rFonts w:asciiTheme="majorHAnsi" w:hAnsiTheme="majorHAnsi"/>
          <w:sz w:val="20"/>
          <w:szCs w:val="20"/>
        </w:rPr>
        <w:t>охорону</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47"/>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безпеку</w:t>
      </w:r>
      <w:r w:rsidRPr="000977F7">
        <w:rPr>
          <w:rFonts w:asciiTheme="majorHAnsi" w:hAnsiTheme="majorHAnsi"/>
          <w:spacing w:val="-1"/>
          <w:sz w:val="20"/>
          <w:szCs w:val="20"/>
        </w:rPr>
        <w:t xml:space="preserve"> </w:t>
      </w:r>
      <w:r w:rsidRPr="000977F7">
        <w:rPr>
          <w:rFonts w:asciiTheme="majorHAnsi" w:hAnsiTheme="majorHAnsi"/>
          <w:sz w:val="20"/>
          <w:szCs w:val="20"/>
        </w:rPr>
        <w:t>здоров'я</w:t>
      </w:r>
      <w:r w:rsidRPr="000977F7">
        <w:rPr>
          <w:rFonts w:asciiTheme="majorHAnsi" w:hAnsiTheme="majorHAnsi"/>
          <w:spacing w:val="1"/>
          <w:sz w:val="20"/>
          <w:szCs w:val="20"/>
        </w:rPr>
        <w:t xml:space="preserve"> </w:t>
      </w:r>
      <w:r w:rsidRPr="000977F7">
        <w:rPr>
          <w:rFonts w:asciiTheme="majorHAnsi" w:hAnsiTheme="majorHAnsi"/>
          <w:sz w:val="20"/>
          <w:szCs w:val="20"/>
        </w:rPr>
        <w:t>населення;</w:t>
      </w:r>
    </w:p>
    <w:p w14:paraId="6262386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w:t>
      </w:r>
      <w:r w:rsidRPr="000977F7">
        <w:rPr>
          <w:rFonts w:asciiTheme="majorHAnsi" w:hAnsiTheme="majorHAnsi"/>
          <w:spacing w:val="1"/>
          <w:sz w:val="20"/>
          <w:szCs w:val="20"/>
        </w:rPr>
        <w:t xml:space="preserve"> </w:t>
      </w:r>
      <w:r w:rsidRPr="000977F7">
        <w:rPr>
          <w:rFonts w:asciiTheme="majorHAnsi" w:hAnsiTheme="majorHAnsi"/>
          <w:sz w:val="20"/>
          <w:szCs w:val="20"/>
        </w:rPr>
        <w:t>збереження</w:t>
      </w:r>
      <w:r w:rsidRPr="000977F7">
        <w:rPr>
          <w:rFonts w:asciiTheme="majorHAnsi" w:hAnsiTheme="majorHAnsi"/>
          <w:spacing w:val="1"/>
          <w:sz w:val="20"/>
          <w:szCs w:val="20"/>
        </w:rPr>
        <w:t xml:space="preserve"> </w:t>
      </w:r>
      <w:r w:rsidRPr="000977F7">
        <w:rPr>
          <w:rFonts w:asciiTheme="majorHAnsi" w:hAnsiTheme="majorHAnsi"/>
          <w:sz w:val="20"/>
          <w:szCs w:val="20"/>
        </w:rPr>
        <w:t>територій</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об'єктів</w:t>
      </w:r>
      <w:r w:rsidRPr="000977F7">
        <w:rPr>
          <w:rFonts w:asciiTheme="majorHAnsi" w:hAnsiTheme="majorHAnsi"/>
          <w:spacing w:val="1"/>
          <w:sz w:val="20"/>
          <w:szCs w:val="20"/>
        </w:rPr>
        <w:t xml:space="preserve"> </w:t>
      </w:r>
      <w:r w:rsidRPr="000977F7">
        <w:rPr>
          <w:rFonts w:asciiTheme="majorHAnsi" w:hAnsiTheme="majorHAnsi"/>
          <w:sz w:val="20"/>
          <w:szCs w:val="20"/>
        </w:rPr>
        <w:t>природнозаповідного фонду, а також інших територій, що підлягають</w:t>
      </w:r>
      <w:r w:rsidRPr="000977F7">
        <w:rPr>
          <w:rFonts w:asciiTheme="majorHAnsi" w:hAnsiTheme="majorHAnsi"/>
          <w:spacing w:val="-1"/>
          <w:sz w:val="20"/>
          <w:szCs w:val="20"/>
        </w:rPr>
        <w:t xml:space="preserve"> </w:t>
      </w:r>
      <w:r w:rsidRPr="000977F7">
        <w:rPr>
          <w:rFonts w:asciiTheme="majorHAnsi" w:hAnsiTheme="majorHAnsi"/>
          <w:sz w:val="20"/>
          <w:szCs w:val="20"/>
        </w:rPr>
        <w:t>особливій</w:t>
      </w:r>
      <w:r w:rsidRPr="000977F7">
        <w:rPr>
          <w:rFonts w:asciiTheme="majorHAnsi" w:hAnsiTheme="majorHAnsi"/>
          <w:spacing w:val="-1"/>
          <w:sz w:val="20"/>
          <w:szCs w:val="20"/>
        </w:rPr>
        <w:t xml:space="preserve"> </w:t>
      </w:r>
      <w:r w:rsidRPr="000977F7">
        <w:rPr>
          <w:rFonts w:asciiTheme="majorHAnsi" w:hAnsiTheme="majorHAnsi"/>
          <w:sz w:val="20"/>
          <w:szCs w:val="20"/>
        </w:rPr>
        <w:t>охороні;</w:t>
      </w:r>
    </w:p>
    <w:p w14:paraId="6D1BA49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 здійснення господарської та іншої діяльності без</w:t>
      </w:r>
      <w:r w:rsidRPr="000977F7">
        <w:rPr>
          <w:rFonts w:asciiTheme="majorHAnsi" w:hAnsiTheme="majorHAnsi"/>
          <w:spacing w:val="-47"/>
          <w:sz w:val="20"/>
          <w:szCs w:val="20"/>
        </w:rPr>
        <w:t xml:space="preserve"> </w:t>
      </w:r>
      <w:r w:rsidRPr="000977F7">
        <w:rPr>
          <w:rFonts w:asciiTheme="majorHAnsi" w:hAnsiTheme="majorHAnsi"/>
          <w:sz w:val="20"/>
          <w:szCs w:val="20"/>
        </w:rPr>
        <w:t>порушення</w:t>
      </w:r>
      <w:r w:rsidRPr="000977F7">
        <w:rPr>
          <w:rFonts w:asciiTheme="majorHAnsi" w:hAnsiTheme="majorHAnsi"/>
          <w:spacing w:val="-2"/>
          <w:sz w:val="20"/>
          <w:szCs w:val="20"/>
        </w:rPr>
        <w:t xml:space="preserve"> </w:t>
      </w:r>
      <w:r w:rsidRPr="000977F7">
        <w:rPr>
          <w:rFonts w:asciiTheme="majorHAnsi" w:hAnsiTheme="majorHAnsi"/>
          <w:sz w:val="20"/>
          <w:szCs w:val="20"/>
        </w:rPr>
        <w:t>екологічних</w:t>
      </w:r>
      <w:r w:rsidRPr="000977F7">
        <w:rPr>
          <w:rFonts w:asciiTheme="majorHAnsi" w:hAnsiTheme="majorHAnsi"/>
          <w:spacing w:val="-1"/>
          <w:sz w:val="20"/>
          <w:szCs w:val="20"/>
        </w:rPr>
        <w:t xml:space="preserve"> </w:t>
      </w:r>
      <w:r w:rsidRPr="000977F7">
        <w:rPr>
          <w:rFonts w:asciiTheme="majorHAnsi" w:hAnsiTheme="majorHAnsi"/>
          <w:sz w:val="20"/>
          <w:szCs w:val="20"/>
        </w:rPr>
        <w:t>прав</w:t>
      </w:r>
      <w:r w:rsidRPr="000977F7">
        <w:rPr>
          <w:rFonts w:asciiTheme="majorHAnsi" w:hAnsiTheme="majorHAnsi"/>
          <w:spacing w:val="-2"/>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осіб.</w:t>
      </w:r>
    </w:p>
    <w:p w14:paraId="5885D3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 використанні природних ресурсів має забезпечуватися виконання й інших вимог, встановлених цим</w:t>
      </w:r>
      <w:r w:rsidRPr="000977F7">
        <w:rPr>
          <w:rFonts w:asciiTheme="majorHAnsi" w:hAnsiTheme="majorHAnsi"/>
          <w:spacing w:val="-47"/>
          <w:sz w:val="20"/>
          <w:szCs w:val="20"/>
        </w:rPr>
        <w:t xml:space="preserve"> </w:t>
      </w:r>
      <w:r w:rsidRPr="000977F7">
        <w:rPr>
          <w:rFonts w:asciiTheme="majorHAnsi" w:hAnsiTheme="majorHAnsi"/>
          <w:sz w:val="20"/>
          <w:szCs w:val="20"/>
        </w:rPr>
        <w:t>Законом та</w:t>
      </w:r>
      <w:r w:rsidRPr="000977F7">
        <w:rPr>
          <w:rFonts w:asciiTheme="majorHAnsi" w:hAnsiTheme="majorHAnsi"/>
          <w:spacing w:val="-1"/>
          <w:sz w:val="20"/>
          <w:szCs w:val="20"/>
        </w:rPr>
        <w:t xml:space="preserve"> </w:t>
      </w:r>
      <w:r w:rsidRPr="000977F7">
        <w:rPr>
          <w:rFonts w:asciiTheme="majorHAnsi" w:hAnsiTheme="majorHAnsi"/>
          <w:sz w:val="20"/>
          <w:szCs w:val="20"/>
        </w:rPr>
        <w:t>іншим законодавством</w:t>
      </w:r>
      <w:r w:rsidRPr="000977F7">
        <w:rPr>
          <w:rFonts w:asciiTheme="majorHAnsi" w:hAnsiTheme="majorHAnsi"/>
          <w:spacing w:val="3"/>
          <w:sz w:val="20"/>
          <w:szCs w:val="20"/>
        </w:rPr>
        <w:t xml:space="preserve"> </w:t>
      </w:r>
      <w:r w:rsidRPr="000977F7">
        <w:rPr>
          <w:rFonts w:asciiTheme="majorHAnsi" w:hAnsiTheme="majorHAnsi"/>
          <w:sz w:val="20"/>
          <w:szCs w:val="20"/>
        </w:rPr>
        <w:t>України.</w:t>
      </w:r>
    </w:p>
    <w:p w14:paraId="20FE7B5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w w:val="95"/>
          <w:sz w:val="20"/>
          <w:szCs w:val="20"/>
        </w:rPr>
        <w:t>Ст. 40 закону України "Про охорону навколишнього природ</w:t>
      </w:r>
      <w:r w:rsidRPr="000977F7">
        <w:rPr>
          <w:rFonts w:asciiTheme="majorHAnsi" w:hAnsiTheme="majorHAnsi"/>
          <w:i/>
          <w:sz w:val="20"/>
          <w:szCs w:val="20"/>
        </w:rPr>
        <w:t>ного</w:t>
      </w:r>
      <w:r w:rsidRPr="000977F7">
        <w:rPr>
          <w:rFonts w:asciiTheme="majorHAnsi" w:hAnsiTheme="majorHAnsi"/>
          <w:i/>
          <w:spacing w:val="1"/>
          <w:sz w:val="20"/>
          <w:szCs w:val="20"/>
        </w:rPr>
        <w:t xml:space="preserve"> </w:t>
      </w:r>
      <w:r w:rsidRPr="000977F7">
        <w:rPr>
          <w:rFonts w:asciiTheme="majorHAnsi" w:hAnsiTheme="majorHAnsi"/>
          <w:i/>
          <w:sz w:val="20"/>
          <w:szCs w:val="20"/>
        </w:rPr>
        <w:t>середовища"</w:t>
      </w:r>
    </w:p>
    <w:p w14:paraId="5DCF1F8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ДОЗА</w:t>
      </w:r>
      <w:r w:rsidRPr="000977F7">
        <w:rPr>
          <w:color w:val="auto"/>
          <w:spacing w:val="-2"/>
          <w:sz w:val="20"/>
          <w:szCs w:val="20"/>
        </w:rPr>
        <w:t xml:space="preserve"> </w:t>
      </w:r>
      <w:r w:rsidRPr="000977F7">
        <w:rPr>
          <w:color w:val="auto"/>
          <w:sz w:val="20"/>
          <w:szCs w:val="20"/>
        </w:rPr>
        <w:t>–</w:t>
      </w:r>
    </w:p>
    <w:p w14:paraId="6DF99D9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DOSE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1C1E928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Кількість</w:t>
      </w:r>
      <w:r w:rsidRPr="000977F7">
        <w:rPr>
          <w:rFonts w:asciiTheme="majorHAnsi" w:hAnsiTheme="majorHAnsi"/>
          <w:spacing w:val="-4"/>
          <w:sz w:val="20"/>
          <w:szCs w:val="20"/>
        </w:rPr>
        <w:t xml:space="preserve"> </w:t>
      </w:r>
      <w:r w:rsidRPr="000977F7">
        <w:rPr>
          <w:rFonts w:asciiTheme="majorHAnsi" w:hAnsiTheme="majorHAnsi"/>
          <w:sz w:val="20"/>
          <w:szCs w:val="20"/>
        </w:rPr>
        <w:t>речовини,</w:t>
      </w:r>
      <w:r w:rsidRPr="000977F7">
        <w:rPr>
          <w:rFonts w:asciiTheme="majorHAnsi" w:hAnsiTheme="majorHAnsi"/>
          <w:spacing w:val="-2"/>
          <w:sz w:val="20"/>
          <w:szCs w:val="20"/>
        </w:rPr>
        <w:t xml:space="preserve"> </w:t>
      </w:r>
      <w:r w:rsidRPr="000977F7">
        <w:rPr>
          <w:rFonts w:asciiTheme="majorHAnsi" w:hAnsiTheme="majorHAnsi"/>
          <w:sz w:val="20"/>
          <w:szCs w:val="20"/>
        </w:rPr>
        <w:t>введеної</w:t>
      </w:r>
      <w:r w:rsidRPr="000977F7">
        <w:rPr>
          <w:rFonts w:asciiTheme="majorHAnsi" w:hAnsiTheme="majorHAnsi"/>
          <w:spacing w:val="-3"/>
          <w:sz w:val="20"/>
          <w:szCs w:val="20"/>
        </w:rPr>
        <w:t xml:space="preserve"> </w:t>
      </w:r>
      <w:r w:rsidRPr="000977F7">
        <w:rPr>
          <w:rFonts w:asciiTheme="majorHAnsi" w:hAnsiTheme="majorHAnsi"/>
          <w:sz w:val="20"/>
          <w:szCs w:val="20"/>
        </w:rPr>
        <w:t>в</w:t>
      </w:r>
      <w:r w:rsidRPr="000977F7">
        <w:rPr>
          <w:rFonts w:asciiTheme="majorHAnsi" w:hAnsiTheme="majorHAnsi"/>
          <w:spacing w:val="-3"/>
          <w:sz w:val="20"/>
          <w:szCs w:val="20"/>
        </w:rPr>
        <w:t xml:space="preserve"> </w:t>
      </w:r>
      <w:r w:rsidRPr="000977F7">
        <w:rPr>
          <w:rFonts w:asciiTheme="majorHAnsi" w:hAnsiTheme="majorHAnsi"/>
          <w:sz w:val="20"/>
          <w:szCs w:val="20"/>
        </w:rPr>
        <w:t>організм,</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3"/>
          <w:sz w:val="20"/>
          <w:szCs w:val="20"/>
        </w:rPr>
        <w:t xml:space="preserve"> </w:t>
      </w:r>
      <w:r w:rsidRPr="000977F7">
        <w:rPr>
          <w:rFonts w:asciiTheme="majorHAnsi" w:hAnsiTheme="majorHAnsi"/>
          <w:sz w:val="20"/>
          <w:szCs w:val="20"/>
        </w:rPr>
        <w:t>тої,</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47"/>
          <w:sz w:val="20"/>
          <w:szCs w:val="20"/>
        </w:rPr>
        <w:t xml:space="preserve"> </w:t>
      </w:r>
      <w:r w:rsidRPr="000977F7">
        <w:rPr>
          <w:rFonts w:asciiTheme="majorHAnsi" w:hAnsiTheme="majorHAnsi"/>
          <w:sz w:val="20"/>
          <w:szCs w:val="20"/>
        </w:rPr>
        <w:t>потрапила</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нього</w:t>
      </w:r>
    </w:p>
    <w:p w14:paraId="5BE715A2"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3038</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4B35DF96"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ДОЗВІЛ</w:t>
      </w:r>
      <w:r w:rsidRPr="004D2D14">
        <w:rPr>
          <w:rFonts w:asciiTheme="majorHAnsi" w:hAnsiTheme="majorHAnsi"/>
          <w:b/>
          <w:spacing w:val="9"/>
          <w:sz w:val="20"/>
          <w:szCs w:val="20"/>
          <w:lang w:val="en-US"/>
        </w:rPr>
        <w:t xml:space="preserve"> </w:t>
      </w:r>
      <w:r w:rsidRPr="000977F7">
        <w:rPr>
          <w:rFonts w:asciiTheme="majorHAnsi" w:hAnsiTheme="majorHAnsi"/>
          <w:b/>
          <w:sz w:val="20"/>
          <w:szCs w:val="20"/>
        </w:rPr>
        <w:t>НА</w:t>
      </w:r>
      <w:r w:rsidRPr="004D2D14">
        <w:rPr>
          <w:rFonts w:asciiTheme="majorHAnsi" w:hAnsiTheme="majorHAnsi"/>
          <w:b/>
          <w:spacing w:val="9"/>
          <w:sz w:val="20"/>
          <w:szCs w:val="20"/>
          <w:lang w:val="en-US"/>
        </w:rPr>
        <w:t xml:space="preserve"> </w:t>
      </w:r>
      <w:r w:rsidRPr="000977F7">
        <w:rPr>
          <w:rFonts w:asciiTheme="majorHAnsi" w:hAnsiTheme="majorHAnsi"/>
          <w:b/>
          <w:sz w:val="20"/>
          <w:szCs w:val="20"/>
        </w:rPr>
        <w:t>ВИРОБНИЦТВО</w:t>
      </w:r>
      <w:r w:rsidRPr="004D2D14">
        <w:rPr>
          <w:rFonts w:asciiTheme="majorHAnsi" w:hAnsiTheme="majorHAnsi"/>
          <w:b/>
          <w:spacing w:val="13"/>
          <w:sz w:val="20"/>
          <w:szCs w:val="20"/>
          <w:lang w:val="en-US"/>
        </w:rPr>
        <w:t xml:space="preserve"> </w:t>
      </w:r>
      <w:r w:rsidRPr="004D2D14">
        <w:rPr>
          <w:rFonts w:asciiTheme="majorHAnsi" w:hAnsiTheme="majorHAnsi"/>
          <w:sz w:val="20"/>
          <w:szCs w:val="20"/>
          <w:lang w:val="en-US"/>
        </w:rPr>
        <w:t>–</w:t>
      </w:r>
    </w:p>
    <w:p w14:paraId="6CCF615F"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PRODUCTION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PERMIT;</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DEVIATION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PERMIT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6AD758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Письмовий дозвіл, виданий до виготовлення продукції або надання послуги, на недотримання встановлених вимог для визначеної кількості продукції або на</w:t>
      </w:r>
      <w:r w:rsidRPr="000977F7">
        <w:rPr>
          <w:rFonts w:asciiTheme="majorHAnsi" w:hAnsiTheme="majorHAnsi"/>
          <w:spacing w:val="1"/>
          <w:sz w:val="20"/>
          <w:szCs w:val="20"/>
        </w:rPr>
        <w:t xml:space="preserve"> </w:t>
      </w:r>
      <w:r w:rsidRPr="000977F7">
        <w:rPr>
          <w:rFonts w:asciiTheme="majorHAnsi" w:hAnsiTheme="majorHAnsi"/>
          <w:sz w:val="20"/>
          <w:szCs w:val="20"/>
        </w:rPr>
        <w:t>визначений період</w:t>
      </w:r>
    </w:p>
    <w:p w14:paraId="62604CF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ДОЗВІЛ</w:t>
      </w:r>
      <w:r w:rsidRPr="000977F7">
        <w:rPr>
          <w:color w:val="auto"/>
          <w:spacing w:val="-2"/>
          <w:sz w:val="20"/>
          <w:szCs w:val="20"/>
        </w:rPr>
        <w:t xml:space="preserve"> </w:t>
      </w:r>
      <w:r w:rsidRPr="000977F7">
        <w:rPr>
          <w:color w:val="auto"/>
          <w:sz w:val="20"/>
          <w:szCs w:val="20"/>
        </w:rPr>
        <w:t>НА</w:t>
      </w:r>
      <w:r w:rsidRPr="000977F7">
        <w:rPr>
          <w:color w:val="auto"/>
          <w:spacing w:val="-2"/>
          <w:sz w:val="20"/>
          <w:szCs w:val="20"/>
        </w:rPr>
        <w:t xml:space="preserve"> </w:t>
      </w:r>
      <w:r w:rsidRPr="000977F7">
        <w:rPr>
          <w:color w:val="auto"/>
          <w:sz w:val="20"/>
          <w:szCs w:val="20"/>
        </w:rPr>
        <w:t>ВІДХИЛ</w:t>
      </w:r>
      <w:r w:rsidRPr="000977F7">
        <w:rPr>
          <w:color w:val="auto"/>
          <w:spacing w:val="-1"/>
          <w:sz w:val="20"/>
          <w:szCs w:val="20"/>
        </w:rPr>
        <w:t xml:space="preserve"> </w:t>
      </w:r>
      <w:r w:rsidRPr="000977F7">
        <w:rPr>
          <w:color w:val="auto"/>
          <w:sz w:val="20"/>
          <w:szCs w:val="20"/>
        </w:rPr>
        <w:t>–</w:t>
      </w:r>
    </w:p>
    <w:p w14:paraId="2375538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DEVIATION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PERMIT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6711696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Дозвіл не дотримувати початково встановлених вимог до продукції чи послуги, виданий до початку її виготовляння.</w:t>
      </w:r>
    </w:p>
    <w:p w14:paraId="2205AA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Дозвіл на відхил зазвичай видають на обмежену кількість продукції та послуги чи на обмежений період часу та для конкретного використання</w:t>
      </w:r>
    </w:p>
    <w:p w14:paraId="4E59847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5B3AED7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ДОЗВІЛ</w:t>
      </w:r>
      <w:r w:rsidRPr="000977F7">
        <w:rPr>
          <w:color w:val="auto"/>
          <w:spacing w:val="-3"/>
          <w:sz w:val="20"/>
          <w:szCs w:val="20"/>
        </w:rPr>
        <w:t xml:space="preserve"> </w:t>
      </w:r>
      <w:r w:rsidRPr="000977F7">
        <w:rPr>
          <w:color w:val="auto"/>
          <w:sz w:val="20"/>
          <w:szCs w:val="20"/>
        </w:rPr>
        <w:t>НА</w:t>
      </w:r>
      <w:r w:rsidRPr="000977F7">
        <w:rPr>
          <w:color w:val="auto"/>
          <w:spacing w:val="-2"/>
          <w:sz w:val="20"/>
          <w:szCs w:val="20"/>
        </w:rPr>
        <w:t xml:space="preserve"> </w:t>
      </w:r>
      <w:r w:rsidRPr="000977F7">
        <w:rPr>
          <w:color w:val="auto"/>
          <w:sz w:val="20"/>
          <w:szCs w:val="20"/>
        </w:rPr>
        <w:t>ВІДХИЛЕННЯ</w:t>
      </w:r>
      <w:r w:rsidRPr="000977F7">
        <w:rPr>
          <w:color w:val="auto"/>
          <w:spacing w:val="-1"/>
          <w:sz w:val="20"/>
          <w:szCs w:val="20"/>
        </w:rPr>
        <w:t xml:space="preserve"> </w:t>
      </w:r>
      <w:r w:rsidRPr="000977F7">
        <w:rPr>
          <w:color w:val="auto"/>
          <w:sz w:val="20"/>
          <w:szCs w:val="20"/>
        </w:rPr>
        <w:t>–</w:t>
      </w:r>
    </w:p>
    <w:p w14:paraId="7EB3F4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WAIVER</w:t>
      </w:r>
      <w:r w:rsidRPr="000977F7">
        <w:rPr>
          <w:rFonts w:asciiTheme="majorHAnsi" w:hAnsiTheme="majorHAnsi"/>
          <w:spacing w:val="-3"/>
          <w:sz w:val="20"/>
          <w:szCs w:val="20"/>
        </w:rPr>
        <w:t xml:space="preserve"> </w:t>
      </w:r>
      <w:r w:rsidRPr="000977F7">
        <w:rPr>
          <w:rFonts w:asciiTheme="majorHAnsi" w:hAnsiTheme="majorHAnsi"/>
          <w:sz w:val="20"/>
          <w:szCs w:val="20"/>
        </w:rPr>
        <w:t>CONCESSION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8BF390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Письмовий</w:t>
      </w:r>
      <w:r w:rsidRPr="000977F7">
        <w:rPr>
          <w:rFonts w:asciiTheme="majorHAnsi" w:hAnsiTheme="majorHAnsi"/>
          <w:spacing w:val="3"/>
          <w:sz w:val="20"/>
          <w:szCs w:val="20"/>
        </w:rPr>
        <w:t xml:space="preserve"> </w:t>
      </w:r>
      <w:r w:rsidRPr="000977F7">
        <w:rPr>
          <w:rFonts w:asciiTheme="majorHAnsi" w:hAnsiTheme="majorHAnsi"/>
          <w:sz w:val="20"/>
          <w:szCs w:val="20"/>
        </w:rPr>
        <w:t>дозвіл</w:t>
      </w:r>
      <w:r w:rsidRPr="000977F7">
        <w:rPr>
          <w:rFonts w:asciiTheme="majorHAnsi" w:hAnsiTheme="majorHAnsi"/>
          <w:spacing w:val="5"/>
          <w:sz w:val="20"/>
          <w:szCs w:val="20"/>
        </w:rPr>
        <w:t xml:space="preserve"> </w:t>
      </w:r>
      <w:r w:rsidRPr="000977F7">
        <w:rPr>
          <w:rFonts w:asciiTheme="majorHAnsi" w:hAnsiTheme="majorHAnsi"/>
          <w:sz w:val="20"/>
          <w:szCs w:val="20"/>
        </w:rPr>
        <w:t>на</w:t>
      </w:r>
      <w:r w:rsidRPr="000977F7">
        <w:rPr>
          <w:rFonts w:asciiTheme="majorHAnsi" w:hAnsiTheme="majorHAnsi"/>
          <w:spacing w:val="6"/>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4"/>
          <w:sz w:val="20"/>
          <w:szCs w:val="20"/>
        </w:rPr>
        <w:t xml:space="preserve"> </w:t>
      </w:r>
      <w:r w:rsidRPr="000977F7">
        <w:rPr>
          <w:rFonts w:asciiTheme="majorHAnsi" w:hAnsiTheme="majorHAnsi"/>
          <w:sz w:val="20"/>
          <w:szCs w:val="20"/>
        </w:rPr>
        <w:t>або</w:t>
      </w:r>
      <w:r w:rsidRPr="000977F7">
        <w:rPr>
          <w:rFonts w:asciiTheme="majorHAnsi" w:hAnsiTheme="majorHAnsi"/>
          <w:spacing w:val="6"/>
          <w:sz w:val="20"/>
          <w:szCs w:val="20"/>
        </w:rPr>
        <w:t xml:space="preserve"> </w:t>
      </w:r>
      <w:r w:rsidRPr="000977F7">
        <w:rPr>
          <w:rFonts w:asciiTheme="majorHAnsi" w:hAnsiTheme="majorHAnsi"/>
          <w:sz w:val="20"/>
          <w:szCs w:val="20"/>
        </w:rPr>
        <w:t>випуск</w:t>
      </w:r>
      <w:r w:rsidRPr="000977F7">
        <w:rPr>
          <w:rFonts w:asciiTheme="majorHAnsi" w:hAnsiTheme="majorHAnsi"/>
          <w:spacing w:val="6"/>
          <w:sz w:val="20"/>
          <w:szCs w:val="20"/>
        </w:rPr>
        <w:t xml:space="preserve"> </w:t>
      </w:r>
      <w:r w:rsidRPr="000977F7">
        <w:rPr>
          <w:rFonts w:asciiTheme="majorHAnsi" w:hAnsiTheme="majorHAnsi"/>
          <w:sz w:val="20"/>
          <w:szCs w:val="20"/>
        </w:rPr>
        <w:t>продукції,</w:t>
      </w:r>
      <w:r w:rsidRPr="000977F7">
        <w:rPr>
          <w:rFonts w:asciiTheme="majorHAnsi" w:hAnsiTheme="majorHAnsi"/>
          <w:spacing w:val="-2"/>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відповідає</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встановленим</w:t>
      </w:r>
      <w:r w:rsidRPr="000977F7">
        <w:rPr>
          <w:rFonts w:asciiTheme="majorHAnsi" w:hAnsiTheme="majorHAnsi"/>
          <w:spacing w:val="-1"/>
          <w:sz w:val="20"/>
          <w:szCs w:val="20"/>
        </w:rPr>
        <w:t xml:space="preserve"> </w:t>
      </w:r>
      <w:r w:rsidRPr="000977F7">
        <w:rPr>
          <w:rFonts w:asciiTheme="majorHAnsi" w:hAnsiTheme="majorHAnsi"/>
          <w:sz w:val="20"/>
          <w:szCs w:val="20"/>
        </w:rPr>
        <w:t>вимогам</w:t>
      </w:r>
    </w:p>
    <w:p w14:paraId="3AFC0F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72EC47D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Дозвіл</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відхилення</w:t>
      </w:r>
      <w:r w:rsidRPr="000977F7">
        <w:rPr>
          <w:rFonts w:asciiTheme="majorHAnsi" w:hAnsiTheme="majorHAnsi"/>
          <w:spacing w:val="1"/>
          <w:sz w:val="20"/>
          <w:szCs w:val="20"/>
        </w:rPr>
        <w:t xml:space="preserve"> </w:t>
      </w:r>
      <w:r w:rsidRPr="000977F7">
        <w:rPr>
          <w:rFonts w:asciiTheme="majorHAnsi" w:hAnsiTheme="majorHAnsi"/>
          <w:sz w:val="20"/>
          <w:szCs w:val="20"/>
        </w:rPr>
        <w:t>розповсюджується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партію</w:t>
      </w:r>
      <w:r w:rsidRPr="000977F7">
        <w:rPr>
          <w:rFonts w:asciiTheme="majorHAnsi" w:hAnsiTheme="majorHAnsi"/>
          <w:spacing w:val="1"/>
          <w:sz w:val="20"/>
          <w:szCs w:val="20"/>
        </w:rPr>
        <w:t xml:space="preserve"> </w:t>
      </w:r>
      <w:r w:rsidRPr="000977F7">
        <w:rPr>
          <w:rFonts w:asciiTheme="majorHAnsi" w:hAnsiTheme="majorHAnsi"/>
          <w:sz w:val="20"/>
          <w:szCs w:val="20"/>
        </w:rPr>
        <w:t>продукції, яка має конкретні невідповідні характеристики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межах</w:t>
      </w:r>
      <w:r w:rsidRPr="000977F7">
        <w:rPr>
          <w:rFonts w:asciiTheme="majorHAnsi" w:hAnsiTheme="majorHAnsi"/>
          <w:spacing w:val="1"/>
          <w:sz w:val="20"/>
          <w:szCs w:val="20"/>
        </w:rPr>
        <w:t xml:space="preserve"> </w:t>
      </w:r>
      <w:r w:rsidRPr="000977F7">
        <w:rPr>
          <w:rFonts w:asciiTheme="majorHAnsi" w:hAnsiTheme="majorHAnsi"/>
          <w:sz w:val="20"/>
          <w:szCs w:val="20"/>
        </w:rPr>
        <w:t>визначених</w:t>
      </w:r>
      <w:r w:rsidRPr="000977F7">
        <w:rPr>
          <w:rFonts w:asciiTheme="majorHAnsi" w:hAnsiTheme="majorHAnsi"/>
          <w:spacing w:val="1"/>
          <w:sz w:val="20"/>
          <w:szCs w:val="20"/>
        </w:rPr>
        <w:t xml:space="preserve"> </w:t>
      </w:r>
      <w:r w:rsidRPr="000977F7">
        <w:rPr>
          <w:rFonts w:asciiTheme="majorHAnsi" w:hAnsiTheme="majorHAnsi"/>
          <w:sz w:val="20"/>
          <w:szCs w:val="20"/>
        </w:rPr>
        <w:t>відхилень,</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 xml:space="preserve">обмежений </w:t>
      </w:r>
      <w:r w:rsidRPr="000977F7">
        <w:rPr>
          <w:rFonts w:asciiTheme="majorHAnsi" w:hAnsiTheme="majorHAnsi"/>
          <w:spacing w:val="-47"/>
          <w:sz w:val="20"/>
          <w:szCs w:val="20"/>
        </w:rPr>
        <w:t xml:space="preserve"> </w:t>
      </w:r>
      <w:r w:rsidRPr="000977F7">
        <w:rPr>
          <w:rFonts w:asciiTheme="majorHAnsi" w:hAnsiTheme="majorHAnsi"/>
          <w:sz w:val="20"/>
          <w:szCs w:val="20"/>
        </w:rPr>
        <w:t>період</w:t>
      </w:r>
      <w:r w:rsidRPr="000977F7">
        <w:rPr>
          <w:rFonts w:asciiTheme="majorHAnsi" w:hAnsiTheme="majorHAnsi"/>
          <w:spacing w:val="-2"/>
          <w:sz w:val="20"/>
          <w:szCs w:val="20"/>
        </w:rPr>
        <w:t xml:space="preserve"> </w:t>
      </w:r>
      <w:r w:rsidRPr="000977F7">
        <w:rPr>
          <w:rFonts w:asciiTheme="majorHAnsi" w:hAnsiTheme="majorHAnsi"/>
          <w:sz w:val="20"/>
          <w:szCs w:val="20"/>
        </w:rPr>
        <w:t>часу</w:t>
      </w:r>
      <w:r w:rsidRPr="000977F7">
        <w:rPr>
          <w:rFonts w:asciiTheme="majorHAnsi" w:hAnsiTheme="majorHAnsi"/>
          <w:spacing w:val="-4"/>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обмежену</w:t>
      </w:r>
      <w:r w:rsidRPr="000977F7">
        <w:rPr>
          <w:rFonts w:asciiTheme="majorHAnsi" w:hAnsiTheme="majorHAnsi"/>
          <w:spacing w:val="-1"/>
          <w:sz w:val="20"/>
          <w:szCs w:val="20"/>
        </w:rPr>
        <w:t xml:space="preserve"> </w:t>
      </w:r>
      <w:r w:rsidRPr="000977F7">
        <w:rPr>
          <w:rFonts w:asciiTheme="majorHAnsi" w:hAnsiTheme="majorHAnsi"/>
          <w:sz w:val="20"/>
          <w:szCs w:val="20"/>
        </w:rPr>
        <w:t>кількість</w:t>
      </w:r>
    </w:p>
    <w:p w14:paraId="6D8C095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ДОЗВІЛ НА ВИРОБНИЦТВО З ВІДХИЛЕННЯМИ;</w:t>
      </w:r>
      <w:r w:rsidRPr="000977F7">
        <w:rPr>
          <w:rFonts w:asciiTheme="majorHAnsi" w:hAnsiTheme="majorHAnsi"/>
          <w:b/>
          <w:spacing w:val="-1"/>
          <w:sz w:val="20"/>
          <w:szCs w:val="20"/>
        </w:rPr>
        <w:t xml:space="preserve"> </w:t>
      </w:r>
      <w:r w:rsidRPr="000977F7">
        <w:rPr>
          <w:rFonts w:asciiTheme="majorHAnsi" w:hAnsiTheme="majorHAnsi"/>
          <w:b/>
          <w:sz w:val="20"/>
          <w:szCs w:val="20"/>
        </w:rPr>
        <w:t>ДОЗВІЛ НА</w:t>
      </w:r>
      <w:r w:rsidRPr="000977F7">
        <w:rPr>
          <w:rFonts w:asciiTheme="majorHAnsi" w:hAnsiTheme="majorHAnsi"/>
          <w:b/>
          <w:spacing w:val="-1"/>
          <w:sz w:val="20"/>
          <w:szCs w:val="20"/>
        </w:rPr>
        <w:t xml:space="preserve"> </w:t>
      </w:r>
      <w:r w:rsidRPr="000977F7">
        <w:rPr>
          <w:rFonts w:asciiTheme="majorHAnsi" w:hAnsiTheme="majorHAnsi"/>
          <w:b/>
          <w:sz w:val="20"/>
          <w:szCs w:val="20"/>
        </w:rPr>
        <w:t>ВІДХИДЕННЯ</w:t>
      </w:r>
      <w:r w:rsidRPr="000977F7">
        <w:rPr>
          <w:rFonts w:asciiTheme="majorHAnsi" w:hAnsiTheme="majorHAnsi"/>
          <w:b/>
          <w:spacing w:val="3"/>
          <w:sz w:val="20"/>
          <w:szCs w:val="20"/>
        </w:rPr>
        <w:t xml:space="preserve"> </w:t>
      </w:r>
      <w:r w:rsidRPr="000977F7">
        <w:rPr>
          <w:rFonts w:asciiTheme="majorHAnsi" w:hAnsiTheme="majorHAnsi"/>
          <w:b/>
          <w:sz w:val="20"/>
          <w:szCs w:val="20"/>
        </w:rPr>
        <w:t>–</w:t>
      </w:r>
      <w:r w:rsidRPr="000977F7">
        <w:rPr>
          <w:rFonts w:asciiTheme="majorHAnsi" w:hAnsiTheme="majorHAnsi"/>
          <w:b/>
          <w:spacing w:val="1"/>
          <w:sz w:val="20"/>
          <w:szCs w:val="20"/>
        </w:rPr>
        <w:t xml:space="preserve"> </w:t>
      </w:r>
      <w:r w:rsidRPr="000977F7">
        <w:rPr>
          <w:rFonts w:asciiTheme="majorHAnsi" w:hAnsiTheme="majorHAnsi"/>
          <w:sz w:val="20"/>
          <w:szCs w:val="20"/>
        </w:rPr>
        <w:t>PRODUCTION</w:t>
      </w:r>
      <w:r w:rsidRPr="000977F7">
        <w:rPr>
          <w:rFonts w:asciiTheme="majorHAnsi" w:hAnsiTheme="majorHAnsi"/>
          <w:spacing w:val="-2"/>
          <w:sz w:val="20"/>
          <w:szCs w:val="20"/>
        </w:rPr>
        <w:t xml:space="preserve"> </w:t>
      </w:r>
      <w:r w:rsidRPr="000977F7">
        <w:rPr>
          <w:rFonts w:asciiTheme="majorHAnsi" w:hAnsiTheme="majorHAnsi"/>
          <w:sz w:val="20"/>
          <w:szCs w:val="20"/>
        </w:rPr>
        <w:t>PERMIT;</w:t>
      </w:r>
      <w:r w:rsidRPr="000977F7">
        <w:rPr>
          <w:rFonts w:asciiTheme="majorHAnsi" w:hAnsiTheme="majorHAnsi"/>
          <w:spacing w:val="-2"/>
          <w:sz w:val="20"/>
          <w:szCs w:val="20"/>
        </w:rPr>
        <w:t xml:space="preserve"> </w:t>
      </w:r>
      <w:r w:rsidRPr="000977F7">
        <w:rPr>
          <w:rFonts w:asciiTheme="majorHAnsi" w:hAnsiTheme="majorHAnsi"/>
          <w:sz w:val="20"/>
          <w:szCs w:val="20"/>
        </w:rPr>
        <w:t>DEVIATION</w:t>
      </w:r>
      <w:r w:rsidRPr="000977F7">
        <w:rPr>
          <w:rFonts w:asciiTheme="majorHAnsi" w:hAnsiTheme="majorHAnsi"/>
          <w:spacing w:val="-2"/>
          <w:sz w:val="20"/>
          <w:szCs w:val="20"/>
        </w:rPr>
        <w:t xml:space="preserve"> </w:t>
      </w:r>
      <w:r w:rsidRPr="000977F7">
        <w:rPr>
          <w:rFonts w:asciiTheme="majorHAnsi" w:hAnsiTheme="majorHAnsi"/>
          <w:sz w:val="20"/>
          <w:szCs w:val="20"/>
        </w:rPr>
        <w:t>PERMIT</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304F6EE1"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Письмовий</w:t>
      </w:r>
      <w:r w:rsidRPr="000977F7">
        <w:rPr>
          <w:rFonts w:asciiTheme="majorHAnsi" w:hAnsiTheme="majorHAnsi"/>
          <w:spacing w:val="5"/>
          <w:sz w:val="20"/>
          <w:szCs w:val="20"/>
        </w:rPr>
        <w:t xml:space="preserve"> </w:t>
      </w:r>
      <w:r w:rsidRPr="000977F7">
        <w:rPr>
          <w:rFonts w:asciiTheme="majorHAnsi" w:hAnsiTheme="majorHAnsi"/>
          <w:sz w:val="20"/>
          <w:szCs w:val="20"/>
        </w:rPr>
        <w:t>дозвіл,</w:t>
      </w:r>
      <w:r w:rsidRPr="000977F7">
        <w:rPr>
          <w:rFonts w:asciiTheme="majorHAnsi" w:hAnsiTheme="majorHAnsi"/>
          <w:spacing w:val="7"/>
          <w:sz w:val="20"/>
          <w:szCs w:val="20"/>
        </w:rPr>
        <w:t xml:space="preserve"> </w:t>
      </w:r>
      <w:r w:rsidRPr="000977F7">
        <w:rPr>
          <w:rFonts w:asciiTheme="majorHAnsi" w:hAnsiTheme="majorHAnsi"/>
          <w:sz w:val="20"/>
          <w:szCs w:val="20"/>
        </w:rPr>
        <w:t>виданий</w:t>
      </w:r>
      <w:r w:rsidRPr="000977F7">
        <w:rPr>
          <w:rFonts w:asciiTheme="majorHAnsi" w:hAnsiTheme="majorHAnsi"/>
          <w:spacing w:val="5"/>
          <w:sz w:val="20"/>
          <w:szCs w:val="20"/>
        </w:rPr>
        <w:t xml:space="preserve"> </w:t>
      </w:r>
      <w:r w:rsidRPr="000977F7">
        <w:rPr>
          <w:rFonts w:asciiTheme="majorHAnsi" w:hAnsiTheme="majorHAnsi"/>
          <w:sz w:val="20"/>
          <w:szCs w:val="20"/>
        </w:rPr>
        <w:t>перед</w:t>
      </w:r>
      <w:r w:rsidRPr="000977F7">
        <w:rPr>
          <w:rFonts w:asciiTheme="majorHAnsi" w:hAnsiTheme="majorHAnsi"/>
          <w:spacing w:val="6"/>
          <w:sz w:val="20"/>
          <w:szCs w:val="20"/>
        </w:rPr>
        <w:t xml:space="preserve"> </w:t>
      </w:r>
      <w:r w:rsidRPr="000977F7">
        <w:rPr>
          <w:rFonts w:asciiTheme="majorHAnsi" w:hAnsiTheme="majorHAnsi"/>
          <w:sz w:val="20"/>
          <w:szCs w:val="20"/>
        </w:rPr>
        <w:t>виготовленням</w:t>
      </w:r>
      <w:r w:rsidRPr="000977F7">
        <w:rPr>
          <w:rFonts w:asciiTheme="majorHAnsi" w:hAnsiTheme="majorHAnsi"/>
          <w:spacing w:val="-47"/>
          <w:sz w:val="20"/>
          <w:szCs w:val="20"/>
        </w:rPr>
        <w:t xml:space="preserve"> </w:t>
      </w:r>
      <w:r w:rsidRPr="000977F7">
        <w:rPr>
          <w:rFonts w:asciiTheme="majorHAnsi" w:hAnsiTheme="majorHAnsi"/>
          <w:sz w:val="20"/>
          <w:szCs w:val="20"/>
        </w:rPr>
        <w:t>продукції,</w:t>
      </w:r>
      <w:r w:rsidRPr="000977F7">
        <w:rPr>
          <w:rFonts w:asciiTheme="majorHAnsi" w:hAnsiTheme="majorHAnsi"/>
          <w:spacing w:val="32"/>
          <w:sz w:val="20"/>
          <w:szCs w:val="20"/>
        </w:rPr>
        <w:t xml:space="preserve"> </w:t>
      </w:r>
      <w:r w:rsidRPr="000977F7">
        <w:rPr>
          <w:rFonts w:asciiTheme="majorHAnsi" w:hAnsiTheme="majorHAnsi"/>
          <w:sz w:val="20"/>
          <w:szCs w:val="20"/>
        </w:rPr>
        <w:t>на</w:t>
      </w:r>
      <w:r w:rsidRPr="000977F7">
        <w:rPr>
          <w:rFonts w:asciiTheme="majorHAnsi" w:hAnsiTheme="majorHAnsi"/>
          <w:spacing w:val="32"/>
          <w:sz w:val="20"/>
          <w:szCs w:val="20"/>
        </w:rPr>
        <w:t xml:space="preserve"> </w:t>
      </w:r>
      <w:r w:rsidRPr="000977F7">
        <w:rPr>
          <w:rFonts w:asciiTheme="majorHAnsi" w:hAnsiTheme="majorHAnsi"/>
          <w:sz w:val="20"/>
          <w:szCs w:val="20"/>
        </w:rPr>
        <w:t>недотримання</w:t>
      </w:r>
      <w:r w:rsidRPr="000977F7">
        <w:rPr>
          <w:rFonts w:asciiTheme="majorHAnsi" w:hAnsiTheme="majorHAnsi"/>
          <w:spacing w:val="33"/>
          <w:sz w:val="20"/>
          <w:szCs w:val="20"/>
        </w:rPr>
        <w:t xml:space="preserve"> </w:t>
      </w:r>
      <w:r w:rsidRPr="000977F7">
        <w:rPr>
          <w:rFonts w:asciiTheme="majorHAnsi" w:hAnsiTheme="majorHAnsi"/>
          <w:sz w:val="20"/>
          <w:szCs w:val="20"/>
        </w:rPr>
        <w:t>встановлених</w:t>
      </w:r>
      <w:r w:rsidRPr="000977F7">
        <w:rPr>
          <w:rFonts w:asciiTheme="majorHAnsi" w:hAnsiTheme="majorHAnsi"/>
          <w:spacing w:val="30"/>
          <w:sz w:val="20"/>
          <w:szCs w:val="20"/>
        </w:rPr>
        <w:t xml:space="preserve"> </w:t>
      </w:r>
      <w:r w:rsidRPr="000977F7">
        <w:rPr>
          <w:rFonts w:asciiTheme="majorHAnsi" w:hAnsiTheme="majorHAnsi"/>
          <w:sz w:val="20"/>
          <w:szCs w:val="20"/>
        </w:rPr>
        <w:t>вимог</w:t>
      </w:r>
      <w:r w:rsidRPr="000977F7">
        <w:rPr>
          <w:rFonts w:asciiTheme="majorHAnsi" w:hAnsiTheme="majorHAnsi"/>
          <w:spacing w:val="31"/>
          <w:sz w:val="20"/>
          <w:szCs w:val="20"/>
        </w:rPr>
        <w:t xml:space="preserve"> </w:t>
      </w:r>
      <w:r w:rsidRPr="000977F7">
        <w:rPr>
          <w:rFonts w:asciiTheme="majorHAnsi" w:hAnsiTheme="majorHAnsi"/>
          <w:sz w:val="20"/>
          <w:szCs w:val="20"/>
        </w:rPr>
        <w:t>для</w:t>
      </w:r>
      <w:r w:rsidRPr="000977F7">
        <w:rPr>
          <w:rFonts w:asciiTheme="majorHAnsi" w:hAnsiTheme="majorHAnsi"/>
          <w:spacing w:val="-47"/>
          <w:sz w:val="20"/>
          <w:szCs w:val="20"/>
        </w:rPr>
        <w:t xml:space="preserve">             </w:t>
      </w:r>
      <w:r w:rsidRPr="000977F7">
        <w:rPr>
          <w:rFonts w:asciiTheme="majorHAnsi" w:hAnsiTheme="majorHAnsi"/>
          <w:sz w:val="20"/>
          <w:szCs w:val="20"/>
        </w:rPr>
        <w:t>визначеної кількості продукції або на певний період</w:t>
      </w:r>
      <w:r w:rsidRPr="000977F7">
        <w:rPr>
          <w:rFonts w:asciiTheme="majorHAnsi" w:hAnsiTheme="majorHAnsi"/>
          <w:spacing w:val="1"/>
          <w:sz w:val="20"/>
          <w:szCs w:val="20"/>
        </w:rPr>
        <w:t xml:space="preserve"> </w:t>
      </w:r>
    </w:p>
    <w:p w14:paraId="725D7597"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3278 - 95</w:t>
      </w:r>
    </w:p>
    <w:p w14:paraId="0675297B" w14:textId="77777777" w:rsidR="0097612F" w:rsidRPr="004D2D14" w:rsidRDefault="0097612F" w:rsidP="000977F7">
      <w:pPr>
        <w:tabs>
          <w:tab w:val="left" w:pos="284"/>
        </w:tabs>
        <w:spacing w:after="0" w:line="240" w:lineRule="auto"/>
        <w:ind w:left="170"/>
        <w:mirrorIndents/>
        <w:jc w:val="both"/>
        <w:rPr>
          <w:rFonts w:asciiTheme="majorHAnsi" w:hAnsiTheme="majorHAnsi"/>
          <w:spacing w:val="-47"/>
          <w:sz w:val="20"/>
          <w:szCs w:val="20"/>
          <w:lang w:val="en-US"/>
        </w:rPr>
      </w:pPr>
      <w:r w:rsidRPr="000977F7">
        <w:rPr>
          <w:rFonts w:asciiTheme="majorHAnsi" w:hAnsiTheme="majorHAnsi"/>
          <w:b/>
          <w:sz w:val="20"/>
          <w:szCs w:val="20"/>
        </w:rPr>
        <w:t>ДОКАЗ</w:t>
      </w:r>
      <w:r w:rsidRPr="004D2D14">
        <w:rPr>
          <w:rFonts w:asciiTheme="majorHAnsi" w:hAnsiTheme="majorHAnsi"/>
          <w:b/>
          <w:sz w:val="20"/>
          <w:szCs w:val="20"/>
          <w:lang w:val="en-US"/>
        </w:rPr>
        <w:t xml:space="preserve"> </w:t>
      </w:r>
      <w:r w:rsidRPr="000977F7">
        <w:rPr>
          <w:rFonts w:asciiTheme="majorHAnsi" w:hAnsiTheme="majorHAnsi"/>
          <w:b/>
          <w:sz w:val="20"/>
          <w:szCs w:val="20"/>
        </w:rPr>
        <w:t>АУДИТУ</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p>
    <w:p w14:paraId="57C4FE77"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AUDIT</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EVIDENCE</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w:t>
      </w:r>
    </w:p>
    <w:p w14:paraId="3B63109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Протоколи,</w:t>
      </w:r>
      <w:r w:rsidRPr="000977F7">
        <w:rPr>
          <w:rFonts w:asciiTheme="majorHAnsi" w:hAnsiTheme="majorHAnsi"/>
          <w:spacing w:val="-3"/>
          <w:sz w:val="20"/>
          <w:szCs w:val="20"/>
        </w:rPr>
        <w:t xml:space="preserve"> </w:t>
      </w:r>
      <w:r w:rsidRPr="000977F7">
        <w:rPr>
          <w:rFonts w:asciiTheme="majorHAnsi" w:hAnsiTheme="majorHAnsi"/>
          <w:sz w:val="20"/>
          <w:szCs w:val="20"/>
        </w:rPr>
        <w:t>виклади</w:t>
      </w:r>
      <w:r w:rsidRPr="000977F7">
        <w:rPr>
          <w:rFonts w:asciiTheme="majorHAnsi" w:hAnsiTheme="majorHAnsi"/>
          <w:spacing w:val="-4"/>
          <w:sz w:val="20"/>
          <w:szCs w:val="20"/>
        </w:rPr>
        <w:t xml:space="preserve"> </w:t>
      </w:r>
      <w:r w:rsidRPr="000977F7">
        <w:rPr>
          <w:rFonts w:asciiTheme="majorHAnsi" w:hAnsiTheme="majorHAnsi"/>
          <w:sz w:val="20"/>
          <w:szCs w:val="20"/>
        </w:rPr>
        <w:t>фактів</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4"/>
          <w:sz w:val="20"/>
          <w:szCs w:val="20"/>
        </w:rPr>
        <w:t xml:space="preserve"> </w:t>
      </w:r>
      <w:r w:rsidRPr="000977F7">
        <w:rPr>
          <w:rFonts w:asciiTheme="majorHAnsi" w:hAnsiTheme="majorHAnsi"/>
          <w:sz w:val="20"/>
          <w:szCs w:val="20"/>
        </w:rPr>
        <w:t>інша</w:t>
      </w:r>
      <w:r w:rsidRPr="000977F7">
        <w:rPr>
          <w:rFonts w:asciiTheme="majorHAnsi" w:hAnsiTheme="majorHAnsi"/>
          <w:spacing w:val="-3"/>
          <w:sz w:val="20"/>
          <w:szCs w:val="20"/>
        </w:rPr>
        <w:t xml:space="preserve"> </w:t>
      </w:r>
      <w:r w:rsidRPr="000977F7">
        <w:rPr>
          <w:rFonts w:asciiTheme="majorHAnsi" w:hAnsiTheme="majorHAnsi"/>
          <w:sz w:val="20"/>
          <w:szCs w:val="20"/>
        </w:rPr>
        <w:t>інформація,</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47"/>
          <w:sz w:val="20"/>
          <w:szCs w:val="20"/>
        </w:rPr>
        <w:t xml:space="preserve"> </w:t>
      </w:r>
      <w:r w:rsidRPr="000977F7">
        <w:rPr>
          <w:rFonts w:asciiTheme="majorHAnsi" w:hAnsiTheme="majorHAnsi"/>
          <w:sz w:val="20"/>
          <w:szCs w:val="20"/>
        </w:rPr>
        <w:t>стосуються</w:t>
      </w:r>
      <w:r w:rsidRPr="000977F7">
        <w:rPr>
          <w:rFonts w:asciiTheme="majorHAnsi" w:hAnsiTheme="majorHAnsi"/>
          <w:spacing w:val="-2"/>
          <w:sz w:val="20"/>
          <w:szCs w:val="20"/>
        </w:rPr>
        <w:t xml:space="preserve"> </w:t>
      </w:r>
      <w:r w:rsidRPr="000977F7">
        <w:rPr>
          <w:rFonts w:asciiTheme="majorHAnsi" w:hAnsiTheme="majorHAnsi"/>
          <w:sz w:val="20"/>
          <w:szCs w:val="20"/>
        </w:rPr>
        <w:t>критеріїв</w:t>
      </w:r>
      <w:r w:rsidRPr="000977F7">
        <w:rPr>
          <w:rFonts w:asciiTheme="majorHAnsi" w:hAnsiTheme="majorHAnsi"/>
          <w:spacing w:val="-1"/>
          <w:sz w:val="20"/>
          <w:szCs w:val="20"/>
        </w:rPr>
        <w:t xml:space="preserve"> </w:t>
      </w:r>
      <w:r w:rsidRPr="000977F7">
        <w:rPr>
          <w:rFonts w:asciiTheme="majorHAnsi" w:hAnsiTheme="majorHAnsi"/>
          <w:sz w:val="20"/>
          <w:szCs w:val="20"/>
        </w:rPr>
        <w:t>аудиту</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можуть бути перевірені.</w:t>
      </w:r>
    </w:p>
    <w:p w14:paraId="627F75B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pacing w:val="-47"/>
          <w:sz w:val="20"/>
          <w:szCs w:val="20"/>
        </w:rPr>
        <w:t xml:space="preserve"> </w:t>
      </w:r>
      <w:r w:rsidRPr="000977F7">
        <w:rPr>
          <w:rFonts w:asciiTheme="majorHAnsi" w:hAnsiTheme="majorHAnsi"/>
          <w:i/>
          <w:sz w:val="20"/>
          <w:szCs w:val="20"/>
        </w:rPr>
        <w:t>ДСТУ ISO 9000:2015</w:t>
      </w:r>
    </w:p>
    <w:p w14:paraId="4ED50FE1" w14:textId="77777777" w:rsidR="0097612F" w:rsidRPr="000977F7" w:rsidRDefault="0097612F" w:rsidP="000977F7">
      <w:pPr>
        <w:pStyle w:val="af6"/>
        <w:tabs>
          <w:tab w:val="left" w:pos="284"/>
        </w:tabs>
        <w:spacing w:after="0"/>
        <w:ind w:left="170"/>
        <w:mirrorIndents/>
        <w:jc w:val="both"/>
        <w:rPr>
          <w:rFonts w:asciiTheme="majorHAnsi" w:hAnsiTheme="majorHAnsi"/>
          <w:b/>
          <w:spacing w:val="1"/>
          <w:sz w:val="20"/>
          <w:szCs w:val="20"/>
        </w:rPr>
      </w:pPr>
      <w:r w:rsidRPr="000977F7">
        <w:rPr>
          <w:rFonts w:asciiTheme="majorHAnsi" w:hAnsiTheme="majorHAnsi"/>
          <w:b/>
          <w:sz w:val="20"/>
          <w:szCs w:val="20"/>
        </w:rPr>
        <w:t>ДОКУМЕНТ –</w:t>
      </w:r>
      <w:r w:rsidRPr="000977F7">
        <w:rPr>
          <w:rFonts w:asciiTheme="majorHAnsi" w:hAnsiTheme="majorHAnsi"/>
          <w:b/>
          <w:spacing w:val="1"/>
          <w:sz w:val="20"/>
          <w:szCs w:val="20"/>
        </w:rPr>
        <w:t xml:space="preserve"> </w:t>
      </w:r>
    </w:p>
    <w:p w14:paraId="5ECF0F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DOCUMENT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488D60D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Інформація та носій, на якому її розміщено.</w:t>
      </w:r>
      <w:r w:rsidRPr="000977F7">
        <w:rPr>
          <w:rFonts w:asciiTheme="majorHAnsi" w:hAnsiTheme="majorHAnsi"/>
          <w:spacing w:val="-47"/>
          <w:sz w:val="20"/>
          <w:szCs w:val="20"/>
        </w:rPr>
        <w:t xml:space="preserve"> </w:t>
      </w:r>
      <w:r w:rsidRPr="000977F7">
        <w:rPr>
          <w:rFonts w:asciiTheme="majorHAnsi" w:hAnsiTheme="majorHAnsi"/>
          <w:sz w:val="20"/>
          <w:szCs w:val="20"/>
        </w:rPr>
        <w:t>Приклади</w:t>
      </w:r>
    </w:p>
    <w:p w14:paraId="72C7F9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Протокол,</w:t>
      </w:r>
      <w:r w:rsidRPr="000977F7">
        <w:rPr>
          <w:rFonts w:asciiTheme="majorHAnsi" w:hAnsiTheme="majorHAnsi"/>
          <w:spacing w:val="2"/>
          <w:sz w:val="20"/>
          <w:szCs w:val="20"/>
        </w:rPr>
        <w:t xml:space="preserve"> </w:t>
      </w:r>
      <w:r w:rsidRPr="000977F7">
        <w:rPr>
          <w:rFonts w:asciiTheme="majorHAnsi" w:hAnsiTheme="majorHAnsi"/>
          <w:sz w:val="20"/>
          <w:szCs w:val="20"/>
        </w:rPr>
        <w:t>технічні</w:t>
      </w:r>
      <w:r w:rsidRPr="000977F7">
        <w:rPr>
          <w:rFonts w:asciiTheme="majorHAnsi" w:hAnsiTheme="majorHAnsi"/>
          <w:spacing w:val="3"/>
          <w:sz w:val="20"/>
          <w:szCs w:val="20"/>
        </w:rPr>
        <w:t xml:space="preserve"> </w:t>
      </w:r>
      <w:r w:rsidRPr="000977F7">
        <w:rPr>
          <w:rFonts w:asciiTheme="majorHAnsi" w:hAnsiTheme="majorHAnsi"/>
          <w:sz w:val="20"/>
          <w:szCs w:val="20"/>
        </w:rPr>
        <w:t>умови,</w:t>
      </w:r>
      <w:r w:rsidRPr="000977F7">
        <w:rPr>
          <w:rFonts w:asciiTheme="majorHAnsi" w:hAnsiTheme="majorHAnsi"/>
          <w:spacing w:val="5"/>
          <w:sz w:val="20"/>
          <w:szCs w:val="20"/>
        </w:rPr>
        <w:t xml:space="preserve"> </w:t>
      </w:r>
      <w:r w:rsidRPr="000977F7">
        <w:rPr>
          <w:rFonts w:asciiTheme="majorHAnsi" w:hAnsiTheme="majorHAnsi"/>
          <w:sz w:val="20"/>
          <w:szCs w:val="20"/>
        </w:rPr>
        <w:t>методичний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3"/>
          <w:sz w:val="20"/>
          <w:szCs w:val="20"/>
        </w:rPr>
        <w:t xml:space="preserve"> </w:t>
      </w:r>
      <w:r w:rsidRPr="000977F7">
        <w:rPr>
          <w:rFonts w:asciiTheme="majorHAnsi" w:hAnsiTheme="majorHAnsi"/>
          <w:sz w:val="20"/>
          <w:szCs w:val="20"/>
        </w:rPr>
        <w:t>кресленик, звіт,</w:t>
      </w:r>
      <w:r w:rsidRPr="000977F7">
        <w:rPr>
          <w:rFonts w:asciiTheme="majorHAnsi" w:hAnsiTheme="majorHAnsi"/>
          <w:spacing w:val="1"/>
          <w:sz w:val="20"/>
          <w:szCs w:val="20"/>
        </w:rPr>
        <w:t xml:space="preserve"> </w:t>
      </w:r>
      <w:r w:rsidRPr="000977F7">
        <w:rPr>
          <w:rFonts w:asciiTheme="majorHAnsi" w:hAnsiTheme="majorHAnsi"/>
          <w:sz w:val="20"/>
          <w:szCs w:val="20"/>
        </w:rPr>
        <w:t>стандарт.</w:t>
      </w:r>
    </w:p>
    <w:p w14:paraId="7CB50F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Носієм може бути папір, магнітний, електронний або оптичний комп’ютерний диск, фотографія</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еталонний</w:t>
      </w:r>
      <w:r w:rsidRPr="000977F7">
        <w:rPr>
          <w:rFonts w:asciiTheme="majorHAnsi" w:hAnsiTheme="majorHAnsi"/>
          <w:spacing w:val="-1"/>
          <w:sz w:val="20"/>
          <w:szCs w:val="20"/>
        </w:rPr>
        <w:t xml:space="preserve"> </w:t>
      </w:r>
      <w:r w:rsidRPr="000977F7">
        <w:rPr>
          <w:rFonts w:asciiTheme="majorHAnsi" w:hAnsiTheme="majorHAnsi"/>
          <w:sz w:val="20"/>
          <w:szCs w:val="20"/>
        </w:rPr>
        <w:t>зразок або</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2"/>
          <w:sz w:val="20"/>
          <w:szCs w:val="20"/>
        </w:rPr>
        <w:t xml:space="preserve"> </w:t>
      </w:r>
      <w:r w:rsidRPr="000977F7">
        <w:rPr>
          <w:rFonts w:asciiTheme="majorHAnsi" w:hAnsiTheme="majorHAnsi"/>
          <w:sz w:val="20"/>
          <w:szCs w:val="20"/>
        </w:rPr>
        <w:t>комбінація.</w:t>
      </w:r>
    </w:p>
    <w:p w14:paraId="4927BCA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2. Комплект документів, наприклад, технічних умов і протоколів, часто називають «документацією».</w:t>
      </w:r>
    </w:p>
    <w:p w14:paraId="147D84A0"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Примітка</w:t>
      </w:r>
      <w:r w:rsidRPr="000977F7">
        <w:rPr>
          <w:rFonts w:asciiTheme="majorHAnsi" w:hAnsiTheme="majorHAnsi"/>
          <w:spacing w:val="16"/>
          <w:sz w:val="20"/>
          <w:szCs w:val="20"/>
        </w:rPr>
        <w:t xml:space="preserve"> </w:t>
      </w:r>
      <w:r w:rsidRPr="000977F7">
        <w:rPr>
          <w:rFonts w:asciiTheme="majorHAnsi" w:hAnsiTheme="majorHAnsi"/>
          <w:sz w:val="20"/>
          <w:szCs w:val="20"/>
        </w:rPr>
        <w:t>3.</w:t>
      </w:r>
      <w:r w:rsidRPr="000977F7">
        <w:rPr>
          <w:rFonts w:asciiTheme="majorHAnsi" w:hAnsiTheme="majorHAnsi"/>
          <w:spacing w:val="16"/>
          <w:sz w:val="20"/>
          <w:szCs w:val="20"/>
        </w:rPr>
        <w:t xml:space="preserve"> </w:t>
      </w:r>
      <w:r w:rsidRPr="000977F7">
        <w:rPr>
          <w:rFonts w:asciiTheme="majorHAnsi" w:hAnsiTheme="majorHAnsi"/>
          <w:sz w:val="20"/>
          <w:szCs w:val="20"/>
        </w:rPr>
        <w:t>Деякі</w:t>
      </w:r>
      <w:r w:rsidRPr="000977F7">
        <w:rPr>
          <w:rFonts w:asciiTheme="majorHAnsi" w:hAnsiTheme="majorHAnsi"/>
          <w:spacing w:val="16"/>
          <w:sz w:val="20"/>
          <w:szCs w:val="20"/>
        </w:rPr>
        <w:t xml:space="preserve"> </w:t>
      </w:r>
      <w:r w:rsidRPr="000977F7">
        <w:rPr>
          <w:rFonts w:asciiTheme="majorHAnsi" w:hAnsiTheme="majorHAnsi"/>
          <w:sz w:val="20"/>
          <w:szCs w:val="20"/>
        </w:rPr>
        <w:t>вимоги</w:t>
      </w:r>
      <w:r w:rsidRPr="000977F7">
        <w:rPr>
          <w:rFonts w:asciiTheme="majorHAnsi" w:hAnsiTheme="majorHAnsi"/>
          <w:spacing w:val="15"/>
          <w:sz w:val="20"/>
          <w:szCs w:val="20"/>
        </w:rPr>
        <w:t xml:space="preserve"> </w:t>
      </w:r>
      <w:r w:rsidRPr="000977F7">
        <w:rPr>
          <w:rFonts w:asciiTheme="majorHAnsi" w:hAnsiTheme="majorHAnsi"/>
          <w:sz w:val="20"/>
          <w:szCs w:val="20"/>
        </w:rPr>
        <w:t>(наприклад,</w:t>
      </w:r>
      <w:r w:rsidRPr="000977F7">
        <w:rPr>
          <w:rFonts w:asciiTheme="majorHAnsi" w:hAnsiTheme="majorHAnsi"/>
          <w:spacing w:val="15"/>
          <w:sz w:val="20"/>
          <w:szCs w:val="20"/>
        </w:rPr>
        <w:t xml:space="preserve"> </w:t>
      </w:r>
      <w:r w:rsidRPr="000977F7">
        <w:rPr>
          <w:rFonts w:asciiTheme="majorHAnsi" w:hAnsiTheme="majorHAnsi"/>
          <w:sz w:val="20"/>
          <w:szCs w:val="20"/>
        </w:rPr>
        <w:t>вимога</w:t>
      </w:r>
      <w:r w:rsidRPr="000977F7">
        <w:rPr>
          <w:rFonts w:asciiTheme="majorHAnsi" w:hAnsiTheme="majorHAnsi"/>
          <w:spacing w:val="16"/>
          <w:sz w:val="20"/>
          <w:szCs w:val="20"/>
        </w:rPr>
        <w:t xml:space="preserve"> </w:t>
      </w:r>
      <w:r w:rsidRPr="000977F7">
        <w:rPr>
          <w:rFonts w:asciiTheme="majorHAnsi" w:hAnsiTheme="majorHAnsi"/>
          <w:sz w:val="20"/>
          <w:szCs w:val="20"/>
        </w:rPr>
        <w:t>до</w:t>
      </w:r>
      <w:r w:rsidRPr="000977F7">
        <w:rPr>
          <w:rFonts w:asciiTheme="majorHAnsi" w:hAnsiTheme="majorHAnsi"/>
          <w:spacing w:val="16"/>
          <w:sz w:val="20"/>
          <w:szCs w:val="20"/>
        </w:rPr>
        <w:t xml:space="preserve"> </w:t>
      </w:r>
      <w:r w:rsidRPr="000977F7">
        <w:rPr>
          <w:rFonts w:asciiTheme="majorHAnsi" w:hAnsiTheme="majorHAnsi"/>
          <w:sz w:val="20"/>
          <w:szCs w:val="20"/>
        </w:rPr>
        <w:t>розбірливості) застосовні до всіх типів документів. Проте</w:t>
      </w:r>
      <w:r w:rsidRPr="000977F7">
        <w:rPr>
          <w:rFonts w:asciiTheme="majorHAnsi" w:hAnsiTheme="majorHAnsi"/>
          <w:spacing w:val="-47"/>
          <w:sz w:val="20"/>
          <w:szCs w:val="20"/>
        </w:rPr>
        <w:t xml:space="preserve"> </w:t>
      </w:r>
      <w:r w:rsidRPr="000977F7">
        <w:rPr>
          <w:rFonts w:asciiTheme="majorHAnsi" w:hAnsiTheme="majorHAnsi"/>
          <w:sz w:val="20"/>
          <w:szCs w:val="20"/>
        </w:rPr>
        <w:t>можуть</w:t>
      </w:r>
      <w:r w:rsidRPr="000977F7">
        <w:rPr>
          <w:rFonts w:asciiTheme="majorHAnsi" w:hAnsiTheme="majorHAnsi"/>
          <w:spacing w:val="21"/>
          <w:sz w:val="20"/>
          <w:szCs w:val="20"/>
        </w:rPr>
        <w:t xml:space="preserve"> </w:t>
      </w:r>
      <w:r w:rsidRPr="000977F7">
        <w:rPr>
          <w:rFonts w:asciiTheme="majorHAnsi" w:hAnsiTheme="majorHAnsi"/>
          <w:sz w:val="20"/>
          <w:szCs w:val="20"/>
        </w:rPr>
        <w:t>бути</w:t>
      </w:r>
      <w:r w:rsidRPr="000977F7">
        <w:rPr>
          <w:rFonts w:asciiTheme="majorHAnsi" w:hAnsiTheme="majorHAnsi"/>
          <w:spacing w:val="20"/>
          <w:sz w:val="20"/>
          <w:szCs w:val="20"/>
        </w:rPr>
        <w:t xml:space="preserve"> </w:t>
      </w:r>
      <w:r w:rsidRPr="000977F7">
        <w:rPr>
          <w:rFonts w:asciiTheme="majorHAnsi" w:hAnsiTheme="majorHAnsi"/>
          <w:sz w:val="20"/>
          <w:szCs w:val="20"/>
        </w:rPr>
        <w:t>різні</w:t>
      </w:r>
      <w:r w:rsidRPr="000977F7">
        <w:rPr>
          <w:rFonts w:asciiTheme="majorHAnsi" w:hAnsiTheme="majorHAnsi"/>
          <w:spacing w:val="20"/>
          <w:sz w:val="20"/>
          <w:szCs w:val="20"/>
        </w:rPr>
        <w:t xml:space="preserve"> </w:t>
      </w:r>
      <w:r w:rsidRPr="000977F7">
        <w:rPr>
          <w:rFonts w:asciiTheme="majorHAnsi" w:hAnsiTheme="majorHAnsi"/>
          <w:sz w:val="20"/>
          <w:szCs w:val="20"/>
        </w:rPr>
        <w:t>вимоги</w:t>
      </w:r>
      <w:r w:rsidRPr="000977F7">
        <w:rPr>
          <w:rFonts w:asciiTheme="majorHAnsi" w:hAnsiTheme="majorHAnsi"/>
          <w:spacing w:val="21"/>
          <w:sz w:val="20"/>
          <w:szCs w:val="20"/>
        </w:rPr>
        <w:t xml:space="preserve"> </w:t>
      </w:r>
      <w:r w:rsidRPr="000977F7">
        <w:rPr>
          <w:rFonts w:asciiTheme="majorHAnsi" w:hAnsiTheme="majorHAnsi"/>
          <w:sz w:val="20"/>
          <w:szCs w:val="20"/>
        </w:rPr>
        <w:t>до</w:t>
      </w:r>
      <w:r w:rsidRPr="000977F7">
        <w:rPr>
          <w:rFonts w:asciiTheme="majorHAnsi" w:hAnsiTheme="majorHAnsi"/>
          <w:spacing w:val="20"/>
          <w:sz w:val="20"/>
          <w:szCs w:val="20"/>
        </w:rPr>
        <w:t xml:space="preserve"> </w:t>
      </w:r>
      <w:r w:rsidRPr="000977F7">
        <w:rPr>
          <w:rFonts w:asciiTheme="majorHAnsi" w:hAnsiTheme="majorHAnsi"/>
          <w:sz w:val="20"/>
          <w:szCs w:val="20"/>
        </w:rPr>
        <w:t>технічних</w:t>
      </w:r>
      <w:r w:rsidRPr="000977F7">
        <w:rPr>
          <w:rFonts w:asciiTheme="majorHAnsi" w:hAnsiTheme="majorHAnsi"/>
          <w:spacing w:val="21"/>
          <w:sz w:val="20"/>
          <w:szCs w:val="20"/>
        </w:rPr>
        <w:t xml:space="preserve"> </w:t>
      </w:r>
      <w:r w:rsidRPr="000977F7">
        <w:rPr>
          <w:rFonts w:asciiTheme="majorHAnsi" w:hAnsiTheme="majorHAnsi"/>
          <w:sz w:val="20"/>
          <w:szCs w:val="20"/>
        </w:rPr>
        <w:t>умов</w:t>
      </w:r>
      <w:r w:rsidRPr="000977F7">
        <w:rPr>
          <w:rFonts w:asciiTheme="majorHAnsi" w:hAnsiTheme="majorHAnsi"/>
          <w:spacing w:val="18"/>
          <w:sz w:val="20"/>
          <w:szCs w:val="20"/>
        </w:rPr>
        <w:t xml:space="preserve"> </w:t>
      </w:r>
      <w:r w:rsidRPr="000977F7">
        <w:rPr>
          <w:rFonts w:asciiTheme="majorHAnsi" w:hAnsiTheme="majorHAnsi"/>
          <w:sz w:val="20"/>
          <w:szCs w:val="20"/>
        </w:rPr>
        <w:t>(наприклад,</w:t>
      </w:r>
      <w:r w:rsidRPr="000977F7">
        <w:rPr>
          <w:rFonts w:asciiTheme="majorHAnsi" w:hAnsiTheme="majorHAnsi"/>
          <w:spacing w:val="22"/>
          <w:sz w:val="20"/>
          <w:szCs w:val="20"/>
        </w:rPr>
        <w:t xml:space="preserve"> </w:t>
      </w:r>
      <w:r w:rsidRPr="000977F7">
        <w:rPr>
          <w:rFonts w:asciiTheme="majorHAnsi" w:hAnsiTheme="majorHAnsi"/>
          <w:sz w:val="20"/>
          <w:szCs w:val="20"/>
        </w:rPr>
        <w:t>вимога</w:t>
      </w:r>
      <w:r w:rsidRPr="000977F7">
        <w:rPr>
          <w:rFonts w:asciiTheme="majorHAnsi" w:hAnsiTheme="majorHAnsi"/>
          <w:spacing w:val="21"/>
          <w:sz w:val="20"/>
          <w:szCs w:val="20"/>
        </w:rPr>
        <w:t xml:space="preserve"> </w:t>
      </w:r>
      <w:r w:rsidRPr="000977F7">
        <w:rPr>
          <w:rFonts w:asciiTheme="majorHAnsi" w:hAnsiTheme="majorHAnsi"/>
          <w:sz w:val="20"/>
          <w:szCs w:val="20"/>
        </w:rPr>
        <w:t>щодо</w:t>
      </w:r>
      <w:r w:rsidRPr="000977F7">
        <w:rPr>
          <w:rFonts w:asciiTheme="majorHAnsi" w:hAnsiTheme="majorHAnsi"/>
          <w:spacing w:val="23"/>
          <w:sz w:val="20"/>
          <w:szCs w:val="20"/>
        </w:rPr>
        <w:t xml:space="preserve"> </w:t>
      </w:r>
      <w:r w:rsidRPr="000977F7">
        <w:rPr>
          <w:rFonts w:asciiTheme="majorHAnsi" w:hAnsiTheme="majorHAnsi"/>
          <w:sz w:val="20"/>
          <w:szCs w:val="20"/>
        </w:rPr>
        <w:t>контрольованості</w:t>
      </w:r>
      <w:r w:rsidRPr="000977F7">
        <w:rPr>
          <w:rFonts w:asciiTheme="majorHAnsi" w:hAnsiTheme="majorHAnsi"/>
          <w:spacing w:val="23"/>
          <w:sz w:val="20"/>
          <w:szCs w:val="20"/>
        </w:rPr>
        <w:t xml:space="preserve"> </w:t>
      </w:r>
      <w:r w:rsidRPr="000977F7">
        <w:rPr>
          <w:rFonts w:asciiTheme="majorHAnsi" w:hAnsiTheme="majorHAnsi"/>
          <w:sz w:val="20"/>
          <w:szCs w:val="20"/>
        </w:rPr>
        <w:t>переглядів)</w:t>
      </w:r>
      <w:r w:rsidRPr="000977F7">
        <w:rPr>
          <w:rFonts w:asciiTheme="majorHAnsi" w:hAnsiTheme="majorHAnsi"/>
          <w:spacing w:val="21"/>
          <w:sz w:val="20"/>
          <w:szCs w:val="20"/>
        </w:rPr>
        <w:t xml:space="preserve"> </w:t>
      </w:r>
      <w:r w:rsidRPr="000977F7">
        <w:rPr>
          <w:rFonts w:asciiTheme="majorHAnsi" w:hAnsiTheme="majorHAnsi"/>
          <w:sz w:val="20"/>
          <w:szCs w:val="20"/>
        </w:rPr>
        <w:t>і</w:t>
      </w:r>
      <w:r w:rsidRPr="000977F7">
        <w:rPr>
          <w:rFonts w:asciiTheme="majorHAnsi" w:hAnsiTheme="majorHAnsi"/>
          <w:spacing w:val="23"/>
          <w:sz w:val="20"/>
          <w:szCs w:val="20"/>
        </w:rPr>
        <w:t xml:space="preserve"> </w:t>
      </w:r>
      <w:r w:rsidRPr="000977F7">
        <w:rPr>
          <w:rFonts w:asciiTheme="majorHAnsi" w:hAnsiTheme="majorHAnsi"/>
          <w:sz w:val="20"/>
          <w:szCs w:val="20"/>
        </w:rPr>
        <w:t>до</w:t>
      </w:r>
      <w:r w:rsidRPr="000977F7">
        <w:rPr>
          <w:rFonts w:asciiTheme="majorHAnsi" w:hAnsiTheme="majorHAnsi"/>
          <w:spacing w:val="-47"/>
          <w:sz w:val="20"/>
          <w:szCs w:val="20"/>
        </w:rPr>
        <w:t xml:space="preserve"> </w:t>
      </w:r>
      <w:r w:rsidRPr="000977F7">
        <w:rPr>
          <w:rFonts w:asciiTheme="majorHAnsi" w:hAnsiTheme="majorHAnsi"/>
          <w:sz w:val="20"/>
          <w:szCs w:val="20"/>
        </w:rPr>
        <w:t>протоколів (наприклад, вимога щодо відновності)</w:t>
      </w:r>
      <w:r w:rsidRPr="000977F7">
        <w:rPr>
          <w:rFonts w:asciiTheme="majorHAnsi" w:hAnsiTheme="majorHAnsi"/>
          <w:spacing w:val="1"/>
          <w:sz w:val="20"/>
          <w:szCs w:val="20"/>
        </w:rPr>
        <w:t xml:space="preserve"> </w:t>
      </w:r>
    </w:p>
    <w:p w14:paraId="2E55B0D0"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ISO 9000:2015</w:t>
      </w:r>
    </w:p>
    <w:p w14:paraId="286CE8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Засіб, що містить інформацію (наприклад, папір, магнітний,</w:t>
      </w:r>
      <w:r w:rsidRPr="000977F7">
        <w:rPr>
          <w:rFonts w:asciiTheme="majorHAnsi" w:hAnsiTheme="majorHAnsi"/>
          <w:spacing w:val="1"/>
          <w:sz w:val="20"/>
          <w:szCs w:val="20"/>
        </w:rPr>
        <w:t xml:space="preserve"> </w:t>
      </w:r>
      <w:r w:rsidRPr="000977F7">
        <w:rPr>
          <w:rFonts w:asciiTheme="majorHAnsi" w:hAnsiTheme="majorHAnsi"/>
          <w:sz w:val="20"/>
          <w:szCs w:val="20"/>
        </w:rPr>
        <w:t>електронний</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оптичний</w:t>
      </w:r>
      <w:r w:rsidRPr="000977F7">
        <w:rPr>
          <w:rFonts w:asciiTheme="majorHAnsi" w:hAnsiTheme="majorHAnsi"/>
          <w:spacing w:val="1"/>
          <w:sz w:val="20"/>
          <w:szCs w:val="20"/>
        </w:rPr>
        <w:t xml:space="preserve"> </w:t>
      </w:r>
      <w:r w:rsidRPr="000977F7">
        <w:rPr>
          <w:rFonts w:asciiTheme="majorHAnsi" w:hAnsiTheme="majorHAnsi"/>
          <w:sz w:val="20"/>
          <w:szCs w:val="20"/>
        </w:rPr>
        <w:t>комп’ютерний</w:t>
      </w:r>
      <w:r w:rsidRPr="000977F7">
        <w:rPr>
          <w:rFonts w:asciiTheme="majorHAnsi" w:hAnsiTheme="majorHAnsi"/>
          <w:spacing w:val="-47"/>
          <w:sz w:val="20"/>
          <w:szCs w:val="20"/>
        </w:rPr>
        <w:t xml:space="preserve"> </w:t>
      </w:r>
      <w:r w:rsidRPr="000977F7">
        <w:rPr>
          <w:rFonts w:asciiTheme="majorHAnsi" w:hAnsiTheme="majorHAnsi"/>
          <w:sz w:val="20"/>
          <w:szCs w:val="20"/>
        </w:rPr>
        <w:t>диск,</w:t>
      </w:r>
      <w:r w:rsidRPr="000977F7">
        <w:rPr>
          <w:rFonts w:asciiTheme="majorHAnsi" w:hAnsiTheme="majorHAnsi"/>
          <w:spacing w:val="-1"/>
          <w:sz w:val="20"/>
          <w:szCs w:val="20"/>
        </w:rPr>
        <w:t xml:space="preserve"> </w:t>
      </w:r>
      <w:r w:rsidRPr="000977F7">
        <w:rPr>
          <w:rFonts w:asciiTheme="majorHAnsi" w:hAnsiTheme="majorHAnsi"/>
          <w:sz w:val="20"/>
          <w:szCs w:val="20"/>
        </w:rPr>
        <w:t>фотографія</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шаблон</w:t>
      </w:r>
      <w:r w:rsidRPr="000977F7">
        <w:rPr>
          <w:rFonts w:asciiTheme="majorHAnsi" w:hAnsiTheme="majorHAnsi"/>
          <w:spacing w:val="-2"/>
          <w:sz w:val="20"/>
          <w:szCs w:val="20"/>
        </w:rPr>
        <w:t xml:space="preserve"> </w:t>
      </w:r>
      <w:r w:rsidRPr="000977F7">
        <w:rPr>
          <w:rFonts w:asciiTheme="majorHAnsi" w:hAnsiTheme="majorHAnsi"/>
          <w:sz w:val="20"/>
          <w:szCs w:val="20"/>
        </w:rPr>
        <w:t>зразка )</w:t>
      </w:r>
    </w:p>
    <w:p w14:paraId="751B189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B8B4CC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w:t>
      </w:r>
      <w:r w:rsidRPr="000977F7">
        <w:rPr>
          <w:rFonts w:asciiTheme="majorHAnsi" w:hAnsiTheme="majorHAnsi"/>
          <w:spacing w:val="-4"/>
          <w:sz w:val="20"/>
          <w:szCs w:val="20"/>
        </w:rPr>
        <w:t xml:space="preserve"> </w:t>
      </w:r>
      <w:r w:rsidRPr="000977F7">
        <w:rPr>
          <w:rFonts w:asciiTheme="majorHAnsi" w:hAnsiTheme="majorHAnsi"/>
          <w:sz w:val="20"/>
          <w:szCs w:val="20"/>
        </w:rPr>
        <w:t>може</w:t>
      </w:r>
      <w:r w:rsidRPr="000977F7">
        <w:rPr>
          <w:rFonts w:asciiTheme="majorHAnsi" w:hAnsiTheme="majorHAnsi"/>
          <w:spacing w:val="-2"/>
          <w:sz w:val="20"/>
          <w:szCs w:val="20"/>
        </w:rPr>
        <w:t xml:space="preserve"> </w:t>
      </w:r>
      <w:r w:rsidRPr="000977F7">
        <w:rPr>
          <w:rFonts w:asciiTheme="majorHAnsi" w:hAnsiTheme="majorHAnsi"/>
          <w:sz w:val="20"/>
          <w:szCs w:val="20"/>
        </w:rPr>
        <w:t>бути</w:t>
      </w:r>
      <w:r w:rsidRPr="000977F7">
        <w:rPr>
          <w:rFonts w:asciiTheme="majorHAnsi" w:hAnsiTheme="majorHAnsi"/>
          <w:spacing w:val="-3"/>
          <w:sz w:val="20"/>
          <w:szCs w:val="20"/>
        </w:rPr>
        <w:t xml:space="preserve"> </w:t>
      </w:r>
      <w:r w:rsidRPr="000977F7">
        <w:rPr>
          <w:rFonts w:asciiTheme="majorHAnsi" w:hAnsiTheme="majorHAnsi"/>
          <w:sz w:val="20"/>
          <w:szCs w:val="20"/>
        </w:rPr>
        <w:t>комбінацією</w:t>
      </w:r>
      <w:r w:rsidRPr="000977F7">
        <w:rPr>
          <w:rFonts w:asciiTheme="majorHAnsi" w:hAnsiTheme="majorHAnsi"/>
          <w:spacing w:val="-3"/>
          <w:sz w:val="20"/>
          <w:szCs w:val="20"/>
        </w:rPr>
        <w:t xml:space="preserve"> </w:t>
      </w:r>
      <w:r w:rsidRPr="000977F7">
        <w:rPr>
          <w:rFonts w:asciiTheme="majorHAnsi" w:hAnsiTheme="majorHAnsi"/>
          <w:sz w:val="20"/>
          <w:szCs w:val="20"/>
        </w:rPr>
        <w:t>різних</w:t>
      </w:r>
      <w:r w:rsidRPr="000977F7">
        <w:rPr>
          <w:rFonts w:asciiTheme="majorHAnsi" w:hAnsiTheme="majorHAnsi"/>
          <w:spacing w:val="-3"/>
          <w:sz w:val="20"/>
          <w:szCs w:val="20"/>
        </w:rPr>
        <w:t xml:space="preserve"> </w:t>
      </w:r>
      <w:r w:rsidRPr="000977F7">
        <w:rPr>
          <w:rFonts w:asciiTheme="majorHAnsi" w:hAnsiTheme="majorHAnsi"/>
          <w:sz w:val="20"/>
          <w:szCs w:val="20"/>
        </w:rPr>
        <w:t>типів</w:t>
      </w:r>
      <w:r w:rsidRPr="000977F7">
        <w:rPr>
          <w:rFonts w:asciiTheme="majorHAnsi" w:hAnsiTheme="majorHAnsi"/>
          <w:spacing w:val="-3"/>
          <w:sz w:val="20"/>
          <w:szCs w:val="20"/>
        </w:rPr>
        <w:t xml:space="preserve"> </w:t>
      </w:r>
      <w:r w:rsidRPr="000977F7">
        <w:rPr>
          <w:rFonts w:asciiTheme="majorHAnsi" w:hAnsiTheme="majorHAnsi"/>
          <w:sz w:val="20"/>
          <w:szCs w:val="20"/>
        </w:rPr>
        <w:t>засобів</w:t>
      </w:r>
    </w:p>
    <w:p w14:paraId="1A0CFB6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ДОКУМЕНТ</w:t>
      </w:r>
      <w:r w:rsidRPr="000977F7">
        <w:rPr>
          <w:color w:val="auto"/>
          <w:spacing w:val="-4"/>
          <w:sz w:val="20"/>
          <w:szCs w:val="20"/>
        </w:rPr>
        <w:t xml:space="preserve"> </w:t>
      </w:r>
      <w:r w:rsidRPr="000977F7">
        <w:rPr>
          <w:color w:val="auto"/>
          <w:sz w:val="20"/>
          <w:szCs w:val="20"/>
        </w:rPr>
        <w:t>НА</w:t>
      </w:r>
      <w:r w:rsidRPr="000977F7">
        <w:rPr>
          <w:color w:val="auto"/>
          <w:spacing w:val="-2"/>
          <w:sz w:val="20"/>
          <w:szCs w:val="20"/>
        </w:rPr>
        <w:t xml:space="preserve"> </w:t>
      </w:r>
      <w:r w:rsidRPr="000977F7">
        <w:rPr>
          <w:color w:val="auto"/>
          <w:sz w:val="20"/>
          <w:szCs w:val="20"/>
        </w:rPr>
        <w:t>РЕМОНТ</w:t>
      </w:r>
      <w:r w:rsidRPr="000977F7">
        <w:rPr>
          <w:color w:val="auto"/>
          <w:spacing w:val="-1"/>
          <w:sz w:val="20"/>
          <w:szCs w:val="20"/>
        </w:rPr>
        <w:t xml:space="preserve"> </w:t>
      </w:r>
      <w:r w:rsidRPr="000977F7">
        <w:rPr>
          <w:color w:val="auto"/>
          <w:sz w:val="20"/>
          <w:szCs w:val="20"/>
        </w:rPr>
        <w:t>–</w:t>
      </w:r>
    </w:p>
    <w:p w14:paraId="7F15967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Робочий</w:t>
      </w:r>
      <w:r w:rsidRPr="000977F7">
        <w:rPr>
          <w:rFonts w:asciiTheme="majorHAnsi" w:hAnsiTheme="majorHAnsi"/>
          <w:spacing w:val="20"/>
          <w:sz w:val="20"/>
          <w:szCs w:val="20"/>
        </w:rPr>
        <w:t xml:space="preserve"> </w:t>
      </w:r>
      <w:r w:rsidRPr="000977F7">
        <w:rPr>
          <w:rFonts w:asciiTheme="majorHAnsi" w:hAnsiTheme="majorHAnsi"/>
          <w:sz w:val="20"/>
          <w:szCs w:val="20"/>
        </w:rPr>
        <w:t>конструкторський</w:t>
      </w:r>
      <w:r w:rsidRPr="000977F7">
        <w:rPr>
          <w:rFonts w:asciiTheme="majorHAnsi" w:hAnsiTheme="majorHAnsi"/>
          <w:spacing w:val="20"/>
          <w:sz w:val="20"/>
          <w:szCs w:val="20"/>
        </w:rPr>
        <w:t xml:space="preserve"> </w:t>
      </w:r>
      <w:r w:rsidRPr="000977F7">
        <w:rPr>
          <w:rFonts w:asciiTheme="majorHAnsi" w:hAnsiTheme="majorHAnsi"/>
          <w:sz w:val="20"/>
          <w:szCs w:val="20"/>
        </w:rPr>
        <w:t>документ,</w:t>
      </w:r>
      <w:r w:rsidRPr="000977F7">
        <w:rPr>
          <w:rFonts w:asciiTheme="majorHAnsi" w:hAnsiTheme="majorHAnsi"/>
          <w:spacing w:val="22"/>
          <w:sz w:val="20"/>
          <w:szCs w:val="20"/>
        </w:rPr>
        <w:t xml:space="preserve"> </w:t>
      </w:r>
      <w:r w:rsidRPr="000977F7">
        <w:rPr>
          <w:rFonts w:asciiTheme="majorHAnsi" w:hAnsiTheme="majorHAnsi"/>
          <w:sz w:val="20"/>
          <w:szCs w:val="20"/>
        </w:rPr>
        <w:t>який</w:t>
      </w:r>
      <w:r w:rsidRPr="000977F7">
        <w:rPr>
          <w:rFonts w:asciiTheme="majorHAnsi" w:hAnsiTheme="majorHAnsi"/>
          <w:spacing w:val="18"/>
          <w:sz w:val="20"/>
          <w:szCs w:val="20"/>
        </w:rPr>
        <w:t xml:space="preserve"> </w:t>
      </w:r>
      <w:r w:rsidRPr="000977F7">
        <w:rPr>
          <w:rFonts w:asciiTheme="majorHAnsi" w:hAnsiTheme="majorHAnsi"/>
          <w:sz w:val="20"/>
          <w:szCs w:val="20"/>
        </w:rPr>
        <w:t>містить</w:t>
      </w:r>
      <w:r w:rsidRPr="000977F7">
        <w:rPr>
          <w:rFonts w:asciiTheme="majorHAnsi" w:hAnsiTheme="majorHAnsi"/>
          <w:spacing w:val="-47"/>
          <w:sz w:val="20"/>
          <w:szCs w:val="20"/>
        </w:rPr>
        <w:t xml:space="preserve"> </w:t>
      </w:r>
      <w:r w:rsidRPr="000977F7">
        <w:rPr>
          <w:rFonts w:asciiTheme="majorHAnsi" w:hAnsiTheme="majorHAnsi"/>
          <w:spacing w:val="-1"/>
          <w:sz w:val="20"/>
          <w:szCs w:val="20"/>
        </w:rPr>
        <w:t>вказівки</w:t>
      </w:r>
      <w:r w:rsidRPr="000977F7">
        <w:rPr>
          <w:rFonts w:asciiTheme="majorHAnsi" w:hAnsiTheme="majorHAnsi"/>
          <w:spacing w:val="-11"/>
          <w:sz w:val="20"/>
          <w:szCs w:val="20"/>
        </w:rPr>
        <w:t xml:space="preserve"> </w:t>
      </w:r>
      <w:r w:rsidRPr="000977F7">
        <w:rPr>
          <w:rFonts w:asciiTheme="majorHAnsi" w:hAnsiTheme="majorHAnsi"/>
          <w:spacing w:val="-1"/>
          <w:sz w:val="20"/>
          <w:szCs w:val="20"/>
        </w:rPr>
        <w:t>щодо</w:t>
      </w:r>
      <w:r w:rsidRPr="000977F7">
        <w:rPr>
          <w:rFonts w:asciiTheme="majorHAnsi" w:hAnsiTheme="majorHAnsi"/>
          <w:spacing w:val="-7"/>
          <w:sz w:val="20"/>
          <w:szCs w:val="20"/>
        </w:rPr>
        <w:t xml:space="preserve"> </w:t>
      </w:r>
      <w:r w:rsidRPr="000977F7">
        <w:rPr>
          <w:rFonts w:asciiTheme="majorHAnsi" w:hAnsiTheme="majorHAnsi"/>
          <w:spacing w:val="-1"/>
          <w:sz w:val="20"/>
          <w:szCs w:val="20"/>
        </w:rPr>
        <w:t>підготовлення</w:t>
      </w:r>
      <w:r w:rsidRPr="000977F7">
        <w:rPr>
          <w:rFonts w:asciiTheme="majorHAnsi" w:hAnsiTheme="majorHAnsi"/>
          <w:spacing w:val="-10"/>
          <w:sz w:val="20"/>
          <w:szCs w:val="20"/>
        </w:rPr>
        <w:t xml:space="preserve"> </w:t>
      </w:r>
      <w:r w:rsidRPr="000977F7">
        <w:rPr>
          <w:rFonts w:asciiTheme="majorHAnsi" w:hAnsiTheme="majorHAnsi"/>
          <w:spacing w:val="-1"/>
          <w:sz w:val="20"/>
          <w:szCs w:val="20"/>
        </w:rPr>
        <w:t>ремонтного</w:t>
      </w:r>
      <w:r w:rsidRPr="000977F7">
        <w:rPr>
          <w:rFonts w:asciiTheme="majorHAnsi" w:hAnsiTheme="majorHAnsi"/>
          <w:spacing w:val="-7"/>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47"/>
          <w:sz w:val="20"/>
          <w:szCs w:val="20"/>
        </w:rPr>
        <w:t xml:space="preserve"> </w:t>
      </w:r>
      <w:r w:rsidRPr="000977F7">
        <w:rPr>
          <w:rFonts w:asciiTheme="majorHAnsi" w:hAnsiTheme="majorHAnsi"/>
          <w:spacing w:val="-2"/>
          <w:sz w:val="20"/>
          <w:szCs w:val="20"/>
        </w:rPr>
        <w:t xml:space="preserve">проведення </w:t>
      </w:r>
      <w:r w:rsidRPr="000977F7">
        <w:rPr>
          <w:rFonts w:asciiTheme="majorHAnsi" w:hAnsiTheme="majorHAnsi"/>
          <w:spacing w:val="-1"/>
          <w:sz w:val="20"/>
          <w:szCs w:val="20"/>
        </w:rPr>
        <w:t>ремонту і контролю виробу після ремонту</w:t>
      </w:r>
      <w:r w:rsidRPr="000977F7">
        <w:rPr>
          <w:rFonts w:asciiTheme="majorHAnsi" w:hAnsiTheme="majorHAnsi"/>
          <w:sz w:val="20"/>
          <w:szCs w:val="20"/>
        </w:rPr>
        <w:t xml:space="preserve"> </w:t>
      </w:r>
    </w:p>
    <w:p w14:paraId="7A39B98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3321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sz w:val="20"/>
          <w:szCs w:val="20"/>
        </w:rPr>
        <w:t>2003</w:t>
      </w:r>
    </w:p>
    <w:p w14:paraId="138F64B6" w14:textId="77777777" w:rsidR="0097612F" w:rsidRPr="000977F7" w:rsidRDefault="0097612F" w:rsidP="000977F7">
      <w:pPr>
        <w:pStyle w:val="af6"/>
        <w:tabs>
          <w:tab w:val="left" w:pos="284"/>
        </w:tabs>
        <w:spacing w:after="0"/>
        <w:ind w:left="170"/>
        <w:mirrorIndents/>
        <w:jc w:val="both"/>
        <w:rPr>
          <w:rFonts w:asciiTheme="majorHAnsi" w:hAnsiTheme="majorHAnsi"/>
          <w:b/>
          <w:bCs/>
          <w:spacing w:val="-13"/>
          <w:w w:val="95"/>
          <w:sz w:val="20"/>
          <w:szCs w:val="20"/>
        </w:rPr>
      </w:pPr>
      <w:r w:rsidRPr="000977F7">
        <w:rPr>
          <w:rFonts w:asciiTheme="majorHAnsi" w:hAnsiTheme="majorHAnsi"/>
          <w:b/>
          <w:bCs/>
          <w:spacing w:val="-1"/>
          <w:w w:val="95"/>
          <w:sz w:val="20"/>
          <w:szCs w:val="20"/>
        </w:rPr>
        <w:t>ДОКУМЕНТ</w:t>
      </w:r>
      <w:r w:rsidRPr="000977F7">
        <w:rPr>
          <w:rFonts w:asciiTheme="majorHAnsi" w:hAnsiTheme="majorHAnsi"/>
          <w:b/>
          <w:bCs/>
          <w:spacing w:val="-13"/>
          <w:w w:val="95"/>
          <w:sz w:val="20"/>
          <w:szCs w:val="20"/>
        </w:rPr>
        <w:t xml:space="preserve"> </w:t>
      </w:r>
      <w:r w:rsidRPr="000977F7">
        <w:rPr>
          <w:rFonts w:asciiTheme="majorHAnsi" w:hAnsiTheme="majorHAnsi"/>
          <w:b/>
          <w:bCs/>
          <w:w w:val="95"/>
          <w:sz w:val="20"/>
          <w:szCs w:val="20"/>
        </w:rPr>
        <w:t>ПРО</w:t>
      </w:r>
      <w:r w:rsidRPr="000977F7">
        <w:rPr>
          <w:rFonts w:asciiTheme="majorHAnsi" w:hAnsiTheme="majorHAnsi"/>
          <w:b/>
          <w:bCs/>
          <w:spacing w:val="-13"/>
          <w:w w:val="95"/>
          <w:sz w:val="20"/>
          <w:szCs w:val="20"/>
        </w:rPr>
        <w:t xml:space="preserve"> ВІДПОВІДНІСТЬ –</w:t>
      </w:r>
    </w:p>
    <w:p w14:paraId="7F17468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Декларація (в тому числі декларація про відповідність), звіт, висновок, свідоцтво, сертифікат (у тому числі сертифікат відповідності) або будь-який інший документ, що підтверджує виконання заданих вимог, які стосуються об’єкта оцінки відповідності</w:t>
      </w:r>
    </w:p>
    <w:p w14:paraId="3AFA5E0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bookmarkStart w:id="48" w:name="_Hlk103165170"/>
      <w:r w:rsidRPr="000977F7">
        <w:rPr>
          <w:rFonts w:asciiTheme="majorHAnsi" w:hAnsiTheme="majorHAnsi"/>
          <w:i/>
          <w:sz w:val="20"/>
          <w:szCs w:val="20"/>
        </w:rPr>
        <w:t>Ст. 1 закону України "Про технічні регламенти та оцінку відповідності"</w:t>
      </w:r>
    </w:p>
    <w:p w14:paraId="31F6CF7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49" w:name="_Hlk103162915"/>
      <w:bookmarkEnd w:id="48"/>
      <w:r w:rsidRPr="000977F7">
        <w:rPr>
          <w:color w:val="auto"/>
          <w:spacing w:val="-1"/>
          <w:w w:val="95"/>
          <w:sz w:val="20"/>
          <w:szCs w:val="20"/>
        </w:rPr>
        <w:t>ДОКУМЕНТ</w:t>
      </w:r>
      <w:r w:rsidRPr="000977F7">
        <w:rPr>
          <w:color w:val="auto"/>
          <w:spacing w:val="-13"/>
          <w:w w:val="95"/>
          <w:sz w:val="20"/>
          <w:szCs w:val="20"/>
        </w:rPr>
        <w:t xml:space="preserve"> </w:t>
      </w:r>
      <w:r w:rsidRPr="000977F7">
        <w:rPr>
          <w:color w:val="auto"/>
          <w:w w:val="95"/>
          <w:sz w:val="20"/>
          <w:szCs w:val="20"/>
        </w:rPr>
        <w:t>ПРО</w:t>
      </w:r>
      <w:r w:rsidRPr="000977F7">
        <w:rPr>
          <w:color w:val="auto"/>
          <w:spacing w:val="-13"/>
          <w:w w:val="95"/>
          <w:sz w:val="20"/>
          <w:szCs w:val="20"/>
        </w:rPr>
        <w:t xml:space="preserve"> </w:t>
      </w:r>
      <w:bookmarkEnd w:id="49"/>
      <w:r w:rsidRPr="000977F7">
        <w:rPr>
          <w:color w:val="auto"/>
          <w:w w:val="95"/>
          <w:sz w:val="20"/>
          <w:szCs w:val="20"/>
        </w:rPr>
        <w:t>СЕРТИФІКАЦІЮ</w:t>
      </w:r>
      <w:r w:rsidRPr="000977F7">
        <w:rPr>
          <w:color w:val="auto"/>
          <w:spacing w:val="-13"/>
          <w:w w:val="95"/>
          <w:sz w:val="20"/>
          <w:szCs w:val="20"/>
        </w:rPr>
        <w:t xml:space="preserve"> </w:t>
      </w:r>
      <w:r w:rsidRPr="000977F7">
        <w:rPr>
          <w:color w:val="auto"/>
          <w:w w:val="95"/>
          <w:sz w:val="20"/>
          <w:szCs w:val="20"/>
        </w:rPr>
        <w:t>/</w:t>
      </w:r>
      <w:r w:rsidRPr="000977F7">
        <w:rPr>
          <w:color w:val="auto"/>
          <w:spacing w:val="-12"/>
          <w:w w:val="95"/>
          <w:sz w:val="20"/>
          <w:szCs w:val="20"/>
        </w:rPr>
        <w:t xml:space="preserve"> </w:t>
      </w:r>
      <w:r w:rsidRPr="000977F7">
        <w:rPr>
          <w:color w:val="auto"/>
          <w:w w:val="95"/>
          <w:sz w:val="20"/>
          <w:szCs w:val="20"/>
        </w:rPr>
        <w:t>РЕЄСТРАЦІЮ</w:t>
      </w:r>
      <w:r w:rsidRPr="000977F7">
        <w:rPr>
          <w:color w:val="auto"/>
          <w:spacing w:val="-12"/>
          <w:w w:val="95"/>
          <w:sz w:val="20"/>
          <w:szCs w:val="20"/>
        </w:rPr>
        <w:t xml:space="preserve"> </w:t>
      </w:r>
      <w:r w:rsidRPr="000977F7">
        <w:rPr>
          <w:color w:val="auto"/>
          <w:w w:val="95"/>
          <w:sz w:val="20"/>
          <w:szCs w:val="20"/>
        </w:rPr>
        <w:t>-</w:t>
      </w:r>
    </w:p>
    <w:p w14:paraId="64830C8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який засвідчує те, що система якості постачальника</w:t>
      </w:r>
      <w:r w:rsidRPr="000977F7">
        <w:rPr>
          <w:rFonts w:asciiTheme="majorHAnsi" w:hAnsiTheme="majorHAnsi"/>
          <w:spacing w:val="-5"/>
          <w:sz w:val="20"/>
          <w:szCs w:val="20"/>
        </w:rPr>
        <w:t xml:space="preserve"> </w:t>
      </w:r>
      <w:r w:rsidRPr="000977F7">
        <w:rPr>
          <w:rFonts w:asciiTheme="majorHAnsi" w:hAnsiTheme="majorHAnsi"/>
          <w:sz w:val="20"/>
          <w:szCs w:val="20"/>
        </w:rPr>
        <w:t>відповідає</w:t>
      </w:r>
      <w:r w:rsidRPr="000977F7">
        <w:rPr>
          <w:rFonts w:asciiTheme="majorHAnsi" w:hAnsiTheme="majorHAnsi"/>
          <w:spacing w:val="-3"/>
          <w:sz w:val="20"/>
          <w:szCs w:val="20"/>
        </w:rPr>
        <w:t xml:space="preserve"> </w:t>
      </w:r>
      <w:r w:rsidRPr="000977F7">
        <w:rPr>
          <w:rFonts w:asciiTheme="majorHAnsi" w:hAnsiTheme="majorHAnsi"/>
          <w:sz w:val="20"/>
          <w:szCs w:val="20"/>
        </w:rPr>
        <w:t>визначеним</w:t>
      </w:r>
      <w:r w:rsidRPr="000977F7">
        <w:rPr>
          <w:rFonts w:asciiTheme="majorHAnsi" w:hAnsiTheme="majorHAnsi"/>
          <w:spacing w:val="-4"/>
          <w:sz w:val="20"/>
          <w:szCs w:val="20"/>
        </w:rPr>
        <w:t xml:space="preserve"> </w:t>
      </w:r>
      <w:r w:rsidRPr="000977F7">
        <w:rPr>
          <w:rFonts w:asciiTheme="majorHAnsi" w:hAnsiTheme="majorHAnsi"/>
          <w:sz w:val="20"/>
          <w:szCs w:val="20"/>
        </w:rPr>
        <w:t>стандартам</w:t>
      </w:r>
      <w:r w:rsidRPr="000977F7">
        <w:rPr>
          <w:rFonts w:asciiTheme="majorHAnsi" w:hAnsiTheme="majorHAnsi"/>
          <w:spacing w:val="-3"/>
          <w:sz w:val="20"/>
          <w:szCs w:val="20"/>
        </w:rPr>
        <w:t xml:space="preserve"> </w:t>
      </w:r>
      <w:r w:rsidRPr="000977F7">
        <w:rPr>
          <w:rFonts w:asciiTheme="majorHAnsi" w:hAnsiTheme="majorHAnsi"/>
          <w:sz w:val="20"/>
          <w:szCs w:val="20"/>
        </w:rPr>
        <w:t>щодо</w:t>
      </w:r>
      <w:r w:rsidRPr="000977F7">
        <w:rPr>
          <w:rFonts w:asciiTheme="majorHAnsi" w:hAnsiTheme="majorHAnsi"/>
          <w:spacing w:val="-3"/>
          <w:sz w:val="20"/>
          <w:szCs w:val="20"/>
        </w:rPr>
        <w:t xml:space="preserve"> </w:t>
      </w:r>
      <w:r w:rsidRPr="000977F7">
        <w:rPr>
          <w:rFonts w:asciiTheme="majorHAnsi" w:hAnsiTheme="majorHAnsi"/>
          <w:sz w:val="20"/>
          <w:szCs w:val="20"/>
        </w:rPr>
        <w:t>системи якості та будь-якій додатковій документації, яка</w:t>
      </w:r>
      <w:r w:rsidRPr="000977F7">
        <w:rPr>
          <w:rFonts w:asciiTheme="majorHAnsi" w:hAnsiTheme="majorHAnsi"/>
          <w:spacing w:val="1"/>
          <w:sz w:val="20"/>
          <w:szCs w:val="20"/>
        </w:rPr>
        <w:t xml:space="preserve"> </w:t>
      </w:r>
      <w:r w:rsidRPr="000977F7">
        <w:rPr>
          <w:rFonts w:asciiTheme="majorHAnsi" w:hAnsiTheme="majorHAnsi"/>
          <w:sz w:val="20"/>
          <w:szCs w:val="20"/>
        </w:rPr>
        <w:t>встановлює</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до системи</w:t>
      </w:r>
    </w:p>
    <w:p w14:paraId="1283BB1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ДОКУМЕНТ</w:t>
      </w:r>
      <w:r w:rsidRPr="000977F7">
        <w:rPr>
          <w:color w:val="auto"/>
          <w:spacing w:val="-3"/>
          <w:sz w:val="20"/>
          <w:szCs w:val="20"/>
        </w:rPr>
        <w:t xml:space="preserve"> </w:t>
      </w:r>
      <w:r w:rsidRPr="000977F7">
        <w:rPr>
          <w:color w:val="auto"/>
          <w:sz w:val="20"/>
          <w:szCs w:val="20"/>
        </w:rPr>
        <w:t>ТЕХНІЧНИХ</w:t>
      </w:r>
      <w:r w:rsidRPr="000977F7">
        <w:rPr>
          <w:color w:val="auto"/>
          <w:spacing w:val="-2"/>
          <w:sz w:val="20"/>
          <w:szCs w:val="20"/>
        </w:rPr>
        <w:t xml:space="preserve"> </w:t>
      </w:r>
      <w:r w:rsidRPr="000977F7">
        <w:rPr>
          <w:color w:val="auto"/>
          <w:sz w:val="20"/>
          <w:szCs w:val="20"/>
        </w:rPr>
        <w:t>УМОВ</w:t>
      </w:r>
      <w:r w:rsidRPr="000977F7">
        <w:rPr>
          <w:color w:val="auto"/>
          <w:spacing w:val="1"/>
          <w:sz w:val="20"/>
          <w:szCs w:val="20"/>
        </w:rPr>
        <w:t xml:space="preserve"> </w:t>
      </w:r>
      <w:r w:rsidRPr="000977F7">
        <w:rPr>
          <w:color w:val="auto"/>
          <w:sz w:val="20"/>
          <w:szCs w:val="20"/>
        </w:rPr>
        <w:t>–</w:t>
      </w:r>
    </w:p>
    <w:p w14:paraId="62ADD98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TECHNICAL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SPECIFICATION –</w:t>
      </w:r>
    </w:p>
    <w:p w14:paraId="427E8D9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що встановлює технічні вимоги, яким повинні</w:t>
      </w:r>
      <w:r w:rsidRPr="000977F7">
        <w:rPr>
          <w:rFonts w:asciiTheme="majorHAnsi" w:hAnsiTheme="majorHAnsi"/>
          <w:spacing w:val="-3"/>
          <w:sz w:val="20"/>
          <w:szCs w:val="20"/>
        </w:rPr>
        <w:t xml:space="preserve"> </w:t>
      </w:r>
      <w:r w:rsidRPr="000977F7">
        <w:rPr>
          <w:rFonts w:asciiTheme="majorHAnsi" w:hAnsiTheme="majorHAnsi"/>
          <w:sz w:val="20"/>
          <w:szCs w:val="20"/>
        </w:rPr>
        <w:t>відповідати</w:t>
      </w:r>
      <w:r w:rsidRPr="000977F7">
        <w:rPr>
          <w:rFonts w:asciiTheme="majorHAnsi" w:hAnsiTheme="majorHAnsi"/>
          <w:spacing w:val="-1"/>
          <w:sz w:val="20"/>
          <w:szCs w:val="20"/>
        </w:rPr>
        <w:t xml:space="preserve"> </w:t>
      </w:r>
      <w:r w:rsidRPr="000977F7">
        <w:rPr>
          <w:rFonts w:asciiTheme="majorHAnsi" w:hAnsiTheme="majorHAnsi"/>
          <w:sz w:val="20"/>
          <w:szCs w:val="20"/>
        </w:rPr>
        <w:t>продукція,</w:t>
      </w:r>
      <w:r w:rsidRPr="000977F7">
        <w:rPr>
          <w:rFonts w:asciiTheme="majorHAnsi" w:hAnsiTheme="majorHAnsi"/>
          <w:spacing w:val="-2"/>
          <w:sz w:val="20"/>
          <w:szCs w:val="20"/>
        </w:rPr>
        <w:t xml:space="preserve"> </w:t>
      </w:r>
      <w:r w:rsidRPr="000977F7">
        <w:rPr>
          <w:rFonts w:asciiTheme="majorHAnsi" w:hAnsiTheme="majorHAnsi"/>
          <w:sz w:val="20"/>
          <w:szCs w:val="20"/>
        </w:rPr>
        <w:t>процес</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послуги.</w:t>
      </w:r>
    </w:p>
    <w:p w14:paraId="0C09F4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4E6700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документі</w:t>
      </w:r>
      <w:r w:rsidRPr="000977F7">
        <w:rPr>
          <w:rFonts w:asciiTheme="majorHAnsi" w:hAnsiTheme="majorHAnsi"/>
          <w:spacing w:val="1"/>
          <w:sz w:val="20"/>
          <w:szCs w:val="20"/>
        </w:rPr>
        <w:t xml:space="preserve"> </w:t>
      </w:r>
      <w:r w:rsidRPr="000977F7">
        <w:rPr>
          <w:rFonts w:asciiTheme="majorHAnsi" w:hAnsiTheme="majorHAnsi"/>
          <w:sz w:val="20"/>
          <w:szCs w:val="20"/>
        </w:rPr>
        <w:t>технічних умов повинні</w:t>
      </w:r>
      <w:r w:rsidRPr="000977F7">
        <w:rPr>
          <w:rFonts w:asciiTheme="majorHAnsi" w:hAnsiTheme="majorHAnsi"/>
          <w:spacing w:val="1"/>
          <w:sz w:val="20"/>
          <w:szCs w:val="20"/>
        </w:rPr>
        <w:t xml:space="preserve"> </w:t>
      </w:r>
      <w:r w:rsidRPr="000977F7">
        <w:rPr>
          <w:rFonts w:asciiTheme="majorHAnsi" w:hAnsiTheme="majorHAnsi"/>
          <w:sz w:val="20"/>
          <w:szCs w:val="20"/>
        </w:rPr>
        <w:t>бути наведені</w:t>
      </w:r>
      <w:r w:rsidRPr="000977F7">
        <w:rPr>
          <w:rFonts w:asciiTheme="majorHAnsi" w:hAnsiTheme="majorHAnsi"/>
          <w:spacing w:val="1"/>
          <w:sz w:val="20"/>
          <w:szCs w:val="20"/>
        </w:rPr>
        <w:t xml:space="preserve"> </w:t>
      </w:r>
      <w:r w:rsidRPr="000977F7">
        <w:rPr>
          <w:rFonts w:asciiTheme="majorHAnsi" w:hAnsiTheme="majorHAnsi"/>
          <w:sz w:val="20"/>
          <w:szCs w:val="20"/>
        </w:rPr>
        <w:t>процедури, за допомогою яких, в разі необхідності,</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2"/>
          <w:sz w:val="20"/>
          <w:szCs w:val="20"/>
        </w:rPr>
        <w:t xml:space="preserve"> </w:t>
      </w:r>
      <w:r w:rsidRPr="000977F7">
        <w:rPr>
          <w:rFonts w:asciiTheme="majorHAnsi" w:hAnsiTheme="majorHAnsi"/>
          <w:sz w:val="20"/>
          <w:szCs w:val="20"/>
        </w:rPr>
        <w:t>бути</w:t>
      </w:r>
      <w:r w:rsidRPr="000977F7">
        <w:rPr>
          <w:rFonts w:asciiTheme="majorHAnsi" w:hAnsiTheme="majorHAnsi"/>
          <w:spacing w:val="-2"/>
          <w:sz w:val="20"/>
          <w:szCs w:val="20"/>
        </w:rPr>
        <w:t xml:space="preserve"> </w:t>
      </w:r>
      <w:r w:rsidRPr="000977F7">
        <w:rPr>
          <w:rFonts w:asciiTheme="majorHAnsi" w:hAnsiTheme="majorHAnsi"/>
          <w:sz w:val="20"/>
          <w:szCs w:val="20"/>
        </w:rPr>
        <w:t>перевірено,</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виконуються</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p>
    <w:p w14:paraId="4764633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ДОКУМЕНТАЦІЯ</w:t>
      </w:r>
      <w:r w:rsidRPr="000977F7">
        <w:rPr>
          <w:color w:val="auto"/>
          <w:spacing w:val="1"/>
          <w:sz w:val="20"/>
          <w:szCs w:val="20"/>
        </w:rPr>
        <w:t xml:space="preserve"> </w:t>
      </w:r>
      <w:r w:rsidRPr="000977F7">
        <w:rPr>
          <w:color w:val="auto"/>
          <w:sz w:val="20"/>
          <w:szCs w:val="20"/>
        </w:rPr>
        <w:t xml:space="preserve">ВИПРОБУВАНЬ </w:t>
      </w:r>
    </w:p>
    <w:p w14:paraId="713EB79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ПРОГРАМ</w:t>
      </w:r>
      <w:r w:rsidRPr="000977F7">
        <w:rPr>
          <w:color w:val="auto"/>
          <w:spacing w:val="-47"/>
          <w:sz w:val="20"/>
          <w:szCs w:val="20"/>
        </w:rPr>
        <w:t xml:space="preserve"> </w:t>
      </w:r>
      <w:r w:rsidRPr="000977F7">
        <w:rPr>
          <w:color w:val="auto"/>
          <w:sz w:val="20"/>
          <w:szCs w:val="20"/>
        </w:rPr>
        <w:t>НОГО ЗАСОБУ</w:t>
      </w:r>
      <w:r w:rsidRPr="000977F7">
        <w:rPr>
          <w:color w:val="auto"/>
          <w:spacing w:val="2"/>
          <w:sz w:val="20"/>
          <w:szCs w:val="20"/>
        </w:rPr>
        <w:t xml:space="preserve"> </w:t>
      </w:r>
      <w:r w:rsidRPr="000977F7">
        <w:rPr>
          <w:color w:val="auto"/>
          <w:sz w:val="20"/>
          <w:szCs w:val="20"/>
        </w:rPr>
        <w:t>–</w:t>
      </w:r>
    </w:p>
    <w:p w14:paraId="0E16768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SOFTWARE</w:t>
      </w:r>
      <w:r w:rsidRPr="000977F7">
        <w:rPr>
          <w:rFonts w:asciiTheme="majorHAnsi" w:hAnsiTheme="majorHAnsi"/>
          <w:spacing w:val="-3"/>
          <w:sz w:val="20"/>
          <w:szCs w:val="20"/>
        </w:rPr>
        <w:t xml:space="preserve"> </w:t>
      </w:r>
      <w:r w:rsidRPr="000977F7">
        <w:rPr>
          <w:rFonts w:asciiTheme="majorHAnsi" w:hAnsiTheme="majorHAnsi"/>
          <w:sz w:val="20"/>
          <w:szCs w:val="20"/>
        </w:rPr>
        <w:t>TEST DOCUMENTATION –</w:t>
      </w:r>
    </w:p>
    <w:p w14:paraId="0ECCC12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документів, що описують умови, порядок</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 та результати випробувань програмного</w:t>
      </w:r>
      <w:r w:rsidRPr="000977F7">
        <w:rPr>
          <w:rFonts w:asciiTheme="majorHAnsi" w:hAnsiTheme="majorHAnsi"/>
          <w:spacing w:val="1"/>
          <w:sz w:val="20"/>
          <w:szCs w:val="20"/>
        </w:rPr>
        <w:t xml:space="preserve"> </w:t>
      </w:r>
      <w:r w:rsidRPr="000977F7">
        <w:rPr>
          <w:rFonts w:asciiTheme="majorHAnsi" w:hAnsiTheme="majorHAnsi"/>
          <w:sz w:val="20"/>
          <w:szCs w:val="20"/>
        </w:rPr>
        <w:t>засобу</w:t>
      </w:r>
    </w:p>
    <w:p w14:paraId="601BA96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03F786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ДОЛЯ ДЕФЕКТНИХ ОДИНИЦЬ ПРОДУКЦІЇ </w:t>
      </w:r>
      <w:r w:rsidRPr="000977F7">
        <w:rPr>
          <w:rFonts w:asciiTheme="majorHAnsi" w:hAnsiTheme="majorHAnsi"/>
          <w:sz w:val="20"/>
          <w:szCs w:val="20"/>
        </w:rPr>
        <w:t>–</w:t>
      </w:r>
      <w:r w:rsidRPr="000977F7">
        <w:rPr>
          <w:rFonts w:asciiTheme="majorHAnsi" w:hAnsiTheme="majorHAnsi"/>
          <w:spacing w:val="-48"/>
          <w:sz w:val="20"/>
          <w:szCs w:val="20"/>
        </w:rPr>
        <w:t xml:space="preserve"> </w:t>
      </w:r>
      <w:r w:rsidRPr="000977F7">
        <w:rPr>
          <w:rFonts w:asciiTheme="majorHAnsi" w:hAnsiTheme="majorHAnsi"/>
          <w:sz w:val="20"/>
          <w:szCs w:val="20"/>
        </w:rPr>
        <w:t>FRACTION</w:t>
      </w:r>
      <w:r w:rsidRPr="000977F7">
        <w:rPr>
          <w:rFonts w:asciiTheme="majorHAnsi" w:hAnsiTheme="majorHAnsi"/>
          <w:spacing w:val="-1"/>
          <w:sz w:val="20"/>
          <w:szCs w:val="20"/>
        </w:rPr>
        <w:t xml:space="preserve"> </w:t>
      </w:r>
      <w:r w:rsidRPr="000977F7">
        <w:rPr>
          <w:rFonts w:asciiTheme="majorHAnsi" w:hAnsiTheme="majorHAnsi"/>
          <w:sz w:val="20"/>
          <w:szCs w:val="20"/>
        </w:rPr>
        <w:t>DEFECTIVE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DFB4EB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w:t>
      </w:r>
      <w:r w:rsidRPr="000977F7">
        <w:rPr>
          <w:rFonts w:asciiTheme="majorHAnsi" w:hAnsiTheme="majorHAnsi"/>
          <w:spacing w:val="1"/>
          <w:sz w:val="20"/>
          <w:szCs w:val="20"/>
        </w:rPr>
        <w:t xml:space="preserve"> </w:t>
      </w:r>
      <w:r w:rsidRPr="000977F7">
        <w:rPr>
          <w:rFonts w:asciiTheme="majorHAnsi" w:hAnsiTheme="majorHAnsi"/>
          <w:sz w:val="20"/>
          <w:szCs w:val="20"/>
        </w:rPr>
        <w:t>кількості</w:t>
      </w:r>
      <w:r w:rsidRPr="000977F7">
        <w:rPr>
          <w:rFonts w:asciiTheme="majorHAnsi" w:hAnsiTheme="majorHAnsi"/>
          <w:spacing w:val="1"/>
          <w:sz w:val="20"/>
          <w:szCs w:val="20"/>
        </w:rPr>
        <w:t xml:space="preserve"> </w:t>
      </w:r>
      <w:r w:rsidRPr="000977F7">
        <w:rPr>
          <w:rFonts w:asciiTheme="majorHAnsi" w:hAnsiTheme="majorHAnsi"/>
          <w:sz w:val="20"/>
          <w:szCs w:val="20"/>
        </w:rPr>
        <w:t>дефектних одиниць</w:t>
      </w:r>
      <w:r w:rsidRPr="000977F7">
        <w:rPr>
          <w:rFonts w:asciiTheme="majorHAnsi" w:hAnsiTheme="majorHAnsi"/>
          <w:spacing w:val="50"/>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до загальної кількості одиниць продукції в партії або</w:t>
      </w:r>
      <w:r w:rsidRPr="000977F7">
        <w:rPr>
          <w:rFonts w:asciiTheme="majorHAnsi" w:hAnsiTheme="majorHAnsi"/>
          <w:spacing w:val="1"/>
          <w:sz w:val="20"/>
          <w:szCs w:val="20"/>
        </w:rPr>
        <w:t xml:space="preserve"> </w:t>
      </w:r>
      <w:r w:rsidRPr="000977F7">
        <w:rPr>
          <w:rFonts w:asciiTheme="majorHAnsi" w:hAnsiTheme="majorHAnsi"/>
          <w:sz w:val="20"/>
          <w:szCs w:val="20"/>
        </w:rPr>
        <w:t>потоці</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6D0815B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ДООПРАЦЮВАННЯ</w:t>
      </w:r>
      <w:r w:rsidRPr="000977F7">
        <w:rPr>
          <w:color w:val="auto"/>
          <w:spacing w:val="-6"/>
          <w:sz w:val="20"/>
          <w:szCs w:val="20"/>
        </w:rPr>
        <w:t xml:space="preserve"> </w:t>
      </w:r>
      <w:r w:rsidRPr="000977F7">
        <w:rPr>
          <w:color w:val="auto"/>
          <w:sz w:val="20"/>
          <w:szCs w:val="20"/>
        </w:rPr>
        <w:t>ДОСЛІДНОГО</w:t>
      </w:r>
      <w:r w:rsidRPr="000977F7">
        <w:rPr>
          <w:color w:val="auto"/>
          <w:spacing w:val="-5"/>
          <w:sz w:val="20"/>
          <w:szCs w:val="20"/>
        </w:rPr>
        <w:t xml:space="preserve"> </w:t>
      </w:r>
      <w:r w:rsidRPr="000977F7">
        <w:rPr>
          <w:color w:val="auto"/>
          <w:sz w:val="20"/>
          <w:szCs w:val="20"/>
        </w:rPr>
        <w:t>ЗРАЗКА</w:t>
      </w:r>
      <w:r w:rsidRPr="000977F7">
        <w:rPr>
          <w:color w:val="auto"/>
          <w:spacing w:val="-3"/>
          <w:sz w:val="20"/>
          <w:szCs w:val="20"/>
        </w:rPr>
        <w:t xml:space="preserve"> </w:t>
      </w:r>
      <w:r w:rsidRPr="000977F7">
        <w:rPr>
          <w:color w:val="auto"/>
          <w:sz w:val="20"/>
          <w:szCs w:val="20"/>
        </w:rPr>
        <w:t>–</w:t>
      </w:r>
    </w:p>
    <w:p w14:paraId="6A3575F3" w14:textId="77777777" w:rsidR="0097612F" w:rsidRPr="000977F7" w:rsidRDefault="0097612F" w:rsidP="000977F7">
      <w:pPr>
        <w:pStyle w:val="af6"/>
        <w:tabs>
          <w:tab w:val="left" w:pos="284"/>
        </w:tabs>
        <w:spacing w:after="0"/>
        <w:ind w:left="170"/>
        <w:mirrorIndents/>
        <w:jc w:val="both"/>
        <w:rPr>
          <w:rFonts w:asciiTheme="majorHAnsi" w:hAnsiTheme="majorHAnsi"/>
          <w:spacing w:val="-3"/>
          <w:sz w:val="20"/>
          <w:szCs w:val="20"/>
        </w:rPr>
      </w:pPr>
      <w:r w:rsidRPr="000977F7">
        <w:rPr>
          <w:rFonts w:asciiTheme="majorHAnsi" w:hAnsiTheme="majorHAnsi"/>
          <w:spacing w:val="-3"/>
          <w:sz w:val="20"/>
          <w:szCs w:val="20"/>
        </w:rPr>
        <w:t>Сукупність</w:t>
      </w:r>
      <w:r w:rsidRPr="000977F7">
        <w:rPr>
          <w:rFonts w:asciiTheme="majorHAnsi" w:hAnsiTheme="majorHAnsi"/>
          <w:spacing w:val="-9"/>
          <w:sz w:val="20"/>
          <w:szCs w:val="20"/>
        </w:rPr>
        <w:t xml:space="preserve"> </w:t>
      </w:r>
      <w:r w:rsidRPr="000977F7">
        <w:rPr>
          <w:rFonts w:asciiTheme="majorHAnsi" w:hAnsiTheme="majorHAnsi"/>
          <w:spacing w:val="-3"/>
          <w:sz w:val="20"/>
          <w:szCs w:val="20"/>
        </w:rPr>
        <w:t>робіт,</w:t>
      </w:r>
      <w:r w:rsidRPr="000977F7">
        <w:rPr>
          <w:rFonts w:asciiTheme="majorHAnsi" w:hAnsiTheme="majorHAnsi"/>
          <w:spacing w:val="-8"/>
          <w:sz w:val="20"/>
          <w:szCs w:val="20"/>
        </w:rPr>
        <w:t xml:space="preserve"> </w:t>
      </w:r>
      <w:r w:rsidRPr="000977F7">
        <w:rPr>
          <w:rFonts w:asciiTheme="majorHAnsi" w:hAnsiTheme="majorHAnsi"/>
          <w:spacing w:val="-2"/>
          <w:sz w:val="20"/>
          <w:szCs w:val="20"/>
        </w:rPr>
        <w:t>які</w:t>
      </w:r>
      <w:r w:rsidRPr="000977F7">
        <w:rPr>
          <w:rFonts w:asciiTheme="majorHAnsi" w:hAnsiTheme="majorHAnsi"/>
          <w:spacing w:val="-7"/>
          <w:sz w:val="20"/>
          <w:szCs w:val="20"/>
        </w:rPr>
        <w:t xml:space="preserve"> </w:t>
      </w:r>
      <w:r w:rsidRPr="000977F7">
        <w:rPr>
          <w:rFonts w:asciiTheme="majorHAnsi" w:hAnsiTheme="majorHAnsi"/>
          <w:spacing w:val="-2"/>
          <w:sz w:val="20"/>
          <w:szCs w:val="20"/>
        </w:rPr>
        <w:t>виконують</w:t>
      </w:r>
      <w:r w:rsidRPr="000977F7">
        <w:rPr>
          <w:rFonts w:asciiTheme="majorHAnsi" w:hAnsiTheme="majorHAnsi"/>
          <w:spacing w:val="-9"/>
          <w:sz w:val="20"/>
          <w:szCs w:val="20"/>
        </w:rPr>
        <w:t xml:space="preserve"> </w:t>
      </w:r>
      <w:r w:rsidRPr="000977F7">
        <w:rPr>
          <w:rFonts w:asciiTheme="majorHAnsi" w:hAnsiTheme="majorHAnsi"/>
          <w:spacing w:val="-2"/>
          <w:sz w:val="20"/>
          <w:szCs w:val="20"/>
        </w:rPr>
        <w:t>за</w:t>
      </w:r>
      <w:r w:rsidRPr="000977F7">
        <w:rPr>
          <w:rFonts w:asciiTheme="majorHAnsi" w:hAnsiTheme="majorHAnsi"/>
          <w:spacing w:val="-8"/>
          <w:sz w:val="20"/>
          <w:szCs w:val="20"/>
        </w:rPr>
        <w:t xml:space="preserve"> </w:t>
      </w:r>
      <w:r w:rsidRPr="000977F7">
        <w:rPr>
          <w:rFonts w:asciiTheme="majorHAnsi" w:hAnsiTheme="majorHAnsi"/>
          <w:spacing w:val="-2"/>
          <w:sz w:val="20"/>
          <w:szCs w:val="20"/>
        </w:rPr>
        <w:t>результатами</w:t>
      </w:r>
      <w:r w:rsidRPr="000977F7">
        <w:rPr>
          <w:rFonts w:asciiTheme="majorHAnsi" w:hAnsiTheme="majorHAnsi"/>
          <w:spacing w:val="-7"/>
          <w:sz w:val="20"/>
          <w:szCs w:val="20"/>
        </w:rPr>
        <w:t xml:space="preserve"> </w:t>
      </w:r>
      <w:r w:rsidRPr="000977F7">
        <w:rPr>
          <w:rFonts w:asciiTheme="majorHAnsi" w:hAnsiTheme="majorHAnsi"/>
          <w:spacing w:val="-2"/>
          <w:sz w:val="20"/>
          <w:szCs w:val="20"/>
        </w:rPr>
        <w:t>випро</w:t>
      </w:r>
      <w:r w:rsidRPr="000977F7">
        <w:rPr>
          <w:rFonts w:asciiTheme="majorHAnsi" w:hAnsiTheme="majorHAnsi"/>
          <w:sz w:val="20"/>
          <w:szCs w:val="20"/>
        </w:rPr>
        <w:t>бувань</w:t>
      </w:r>
      <w:r w:rsidRPr="000977F7">
        <w:rPr>
          <w:rFonts w:asciiTheme="majorHAnsi" w:hAnsiTheme="majorHAnsi"/>
          <w:spacing w:val="28"/>
          <w:sz w:val="20"/>
          <w:szCs w:val="20"/>
        </w:rPr>
        <w:t xml:space="preserve"> </w:t>
      </w:r>
      <w:r w:rsidRPr="000977F7">
        <w:rPr>
          <w:rFonts w:asciiTheme="majorHAnsi" w:hAnsiTheme="majorHAnsi"/>
          <w:sz w:val="20"/>
          <w:szCs w:val="20"/>
        </w:rPr>
        <w:t>дослідного</w:t>
      </w:r>
      <w:r w:rsidRPr="000977F7">
        <w:rPr>
          <w:rFonts w:asciiTheme="majorHAnsi" w:hAnsiTheme="majorHAnsi"/>
          <w:spacing w:val="28"/>
          <w:sz w:val="20"/>
          <w:szCs w:val="20"/>
        </w:rPr>
        <w:t xml:space="preserve"> </w:t>
      </w:r>
      <w:r w:rsidRPr="000977F7">
        <w:rPr>
          <w:rFonts w:asciiTheme="majorHAnsi" w:hAnsiTheme="majorHAnsi"/>
          <w:sz w:val="20"/>
          <w:szCs w:val="20"/>
        </w:rPr>
        <w:t>зразка</w:t>
      </w:r>
      <w:r w:rsidRPr="000977F7">
        <w:rPr>
          <w:rFonts w:asciiTheme="majorHAnsi" w:hAnsiTheme="majorHAnsi"/>
          <w:spacing w:val="27"/>
          <w:sz w:val="20"/>
          <w:szCs w:val="20"/>
        </w:rPr>
        <w:t xml:space="preserve"> </w:t>
      </w:r>
      <w:r w:rsidRPr="000977F7">
        <w:rPr>
          <w:rFonts w:asciiTheme="majorHAnsi" w:hAnsiTheme="majorHAnsi"/>
          <w:sz w:val="20"/>
          <w:szCs w:val="20"/>
        </w:rPr>
        <w:t>з</w:t>
      </w:r>
      <w:r w:rsidRPr="000977F7">
        <w:rPr>
          <w:rFonts w:asciiTheme="majorHAnsi" w:hAnsiTheme="majorHAnsi"/>
          <w:spacing w:val="28"/>
          <w:sz w:val="20"/>
          <w:szCs w:val="20"/>
        </w:rPr>
        <w:t xml:space="preserve"> </w:t>
      </w:r>
      <w:r w:rsidRPr="000977F7">
        <w:rPr>
          <w:rFonts w:asciiTheme="majorHAnsi" w:hAnsiTheme="majorHAnsi"/>
          <w:sz w:val="20"/>
          <w:szCs w:val="20"/>
        </w:rPr>
        <w:t>метою</w:t>
      </w:r>
      <w:r w:rsidRPr="000977F7">
        <w:rPr>
          <w:rFonts w:asciiTheme="majorHAnsi" w:hAnsiTheme="majorHAnsi"/>
          <w:spacing w:val="28"/>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27"/>
          <w:sz w:val="20"/>
          <w:szCs w:val="20"/>
        </w:rPr>
        <w:t xml:space="preserve"> </w:t>
      </w:r>
      <w:r w:rsidRPr="000977F7">
        <w:rPr>
          <w:rFonts w:asciiTheme="majorHAnsi" w:hAnsiTheme="majorHAnsi"/>
          <w:sz w:val="20"/>
          <w:szCs w:val="20"/>
        </w:rPr>
        <w:t>його</w:t>
      </w:r>
      <w:r w:rsidRPr="000977F7">
        <w:rPr>
          <w:rFonts w:asciiTheme="majorHAnsi" w:hAnsiTheme="majorHAnsi"/>
          <w:spacing w:val="-47"/>
          <w:sz w:val="20"/>
          <w:szCs w:val="20"/>
        </w:rPr>
        <w:t xml:space="preserve"> </w:t>
      </w:r>
      <w:r w:rsidRPr="000977F7">
        <w:rPr>
          <w:rFonts w:asciiTheme="majorHAnsi" w:hAnsiTheme="majorHAnsi"/>
          <w:spacing w:val="-4"/>
          <w:sz w:val="20"/>
          <w:szCs w:val="20"/>
        </w:rPr>
        <w:t>відповідності визначеним</w:t>
      </w:r>
      <w:r w:rsidRPr="000977F7">
        <w:rPr>
          <w:rFonts w:asciiTheme="majorHAnsi" w:hAnsiTheme="majorHAnsi"/>
          <w:spacing w:val="-3"/>
          <w:sz w:val="20"/>
          <w:szCs w:val="20"/>
        </w:rPr>
        <w:t xml:space="preserve"> вимогам, усунення виявлених</w:t>
      </w:r>
      <w:r w:rsidRPr="000977F7">
        <w:rPr>
          <w:rFonts w:asciiTheme="majorHAnsi" w:hAnsiTheme="majorHAnsi"/>
          <w:spacing w:val="-47"/>
          <w:sz w:val="20"/>
          <w:szCs w:val="20"/>
        </w:rPr>
        <w:t xml:space="preserve"> </w:t>
      </w:r>
      <w:r w:rsidRPr="000977F7">
        <w:rPr>
          <w:rFonts w:asciiTheme="majorHAnsi" w:hAnsiTheme="majorHAnsi"/>
          <w:spacing w:val="-4"/>
          <w:sz w:val="20"/>
          <w:szCs w:val="20"/>
        </w:rPr>
        <w:t xml:space="preserve">недоліків або реалізації прийнятих додаткових </w:t>
      </w:r>
      <w:r w:rsidRPr="000977F7">
        <w:rPr>
          <w:rFonts w:asciiTheme="majorHAnsi" w:hAnsiTheme="majorHAnsi"/>
          <w:spacing w:val="-3"/>
          <w:sz w:val="20"/>
          <w:szCs w:val="20"/>
        </w:rPr>
        <w:t>вимог</w:t>
      </w:r>
    </w:p>
    <w:p w14:paraId="1FFAEA48"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3278</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7FAA16C" w14:textId="77777777" w:rsidR="0097612F" w:rsidRPr="000977F7" w:rsidRDefault="0097612F" w:rsidP="000977F7">
      <w:pPr>
        <w:pStyle w:val="7"/>
        <w:tabs>
          <w:tab w:val="left" w:pos="284"/>
        </w:tabs>
        <w:spacing w:before="0" w:line="240" w:lineRule="auto"/>
        <w:ind w:left="170"/>
        <w:mirrorIndents/>
        <w:jc w:val="both"/>
        <w:rPr>
          <w:color w:val="auto"/>
          <w:spacing w:val="-6"/>
          <w:sz w:val="20"/>
          <w:szCs w:val="20"/>
        </w:rPr>
      </w:pPr>
      <w:r w:rsidRPr="000977F7">
        <w:rPr>
          <w:color w:val="auto"/>
          <w:sz w:val="20"/>
          <w:szCs w:val="20"/>
        </w:rPr>
        <w:t>ДОПОМІЖНА</w:t>
      </w:r>
      <w:r w:rsidRPr="000977F7">
        <w:rPr>
          <w:color w:val="auto"/>
          <w:spacing w:val="-5"/>
          <w:sz w:val="20"/>
          <w:szCs w:val="20"/>
        </w:rPr>
        <w:t xml:space="preserve"> </w:t>
      </w:r>
      <w:r w:rsidRPr="000977F7">
        <w:rPr>
          <w:color w:val="auto"/>
          <w:sz w:val="20"/>
          <w:szCs w:val="20"/>
        </w:rPr>
        <w:t>ТРУДОМІСТКІСТЬ</w:t>
      </w:r>
      <w:r w:rsidRPr="000977F7">
        <w:rPr>
          <w:color w:val="auto"/>
          <w:spacing w:val="-7"/>
          <w:sz w:val="20"/>
          <w:szCs w:val="20"/>
        </w:rPr>
        <w:t xml:space="preserve"> </w:t>
      </w:r>
      <w:r w:rsidRPr="000977F7">
        <w:rPr>
          <w:color w:val="auto"/>
          <w:sz w:val="20"/>
          <w:szCs w:val="20"/>
        </w:rPr>
        <w:t>ДАНОГО</w:t>
      </w:r>
      <w:r w:rsidRPr="000977F7">
        <w:rPr>
          <w:color w:val="auto"/>
          <w:spacing w:val="-6"/>
          <w:sz w:val="20"/>
          <w:szCs w:val="20"/>
        </w:rPr>
        <w:t xml:space="preserve"> </w:t>
      </w:r>
    </w:p>
    <w:p w14:paraId="650FA13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w:t>
      </w:r>
      <w:r w:rsidRPr="000977F7">
        <w:rPr>
          <w:color w:val="auto"/>
          <w:spacing w:val="-47"/>
          <w:sz w:val="20"/>
          <w:szCs w:val="20"/>
        </w:rPr>
        <w:t xml:space="preserve"> </w:t>
      </w:r>
      <w:r w:rsidRPr="000977F7">
        <w:rPr>
          <w:color w:val="auto"/>
          <w:sz w:val="20"/>
          <w:szCs w:val="20"/>
        </w:rPr>
        <w:t>ХНІЧНОГО ОБСЛУГОВУВАННЯ</w:t>
      </w:r>
    </w:p>
    <w:p w14:paraId="23A7E9D6"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(РЕМОНТУ)</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7BC275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оперативної трудомісткості, що визначається</w:t>
      </w:r>
      <w:r w:rsidRPr="000977F7">
        <w:rPr>
          <w:rFonts w:asciiTheme="majorHAnsi" w:hAnsiTheme="majorHAnsi"/>
          <w:spacing w:val="1"/>
          <w:sz w:val="20"/>
          <w:szCs w:val="20"/>
        </w:rPr>
        <w:t xml:space="preserve"> </w:t>
      </w:r>
      <w:r w:rsidRPr="000977F7">
        <w:rPr>
          <w:rFonts w:asciiTheme="majorHAnsi" w:hAnsiTheme="majorHAnsi"/>
          <w:sz w:val="20"/>
          <w:szCs w:val="20"/>
        </w:rPr>
        <w:t>працевтратами</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допоміжних</w:t>
      </w:r>
      <w:r w:rsidRPr="000977F7">
        <w:rPr>
          <w:rFonts w:asciiTheme="majorHAnsi" w:hAnsiTheme="majorHAnsi"/>
          <w:spacing w:val="1"/>
          <w:sz w:val="20"/>
          <w:szCs w:val="20"/>
        </w:rPr>
        <w:t xml:space="preserve"> </w:t>
      </w:r>
      <w:r w:rsidRPr="000977F7">
        <w:rPr>
          <w:rFonts w:asciiTheme="majorHAnsi" w:hAnsiTheme="majorHAnsi"/>
          <w:sz w:val="20"/>
          <w:szCs w:val="20"/>
        </w:rPr>
        <w:t>операцій</w:t>
      </w:r>
      <w:r w:rsidRPr="000977F7">
        <w:rPr>
          <w:rFonts w:asciiTheme="majorHAnsi" w:hAnsiTheme="majorHAnsi"/>
          <w:spacing w:val="1"/>
          <w:sz w:val="20"/>
          <w:szCs w:val="20"/>
        </w:rPr>
        <w:t xml:space="preserve"> </w:t>
      </w:r>
      <w:r w:rsidRPr="000977F7">
        <w:rPr>
          <w:rFonts w:asciiTheme="majorHAnsi" w:hAnsiTheme="majorHAnsi"/>
          <w:sz w:val="20"/>
          <w:szCs w:val="20"/>
        </w:rPr>
        <w:t>одного</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 обслуговування</w:t>
      </w:r>
      <w:r w:rsidRPr="000977F7">
        <w:rPr>
          <w:rFonts w:asciiTheme="majorHAnsi" w:hAnsiTheme="majorHAnsi"/>
          <w:spacing w:val="-2"/>
          <w:sz w:val="20"/>
          <w:szCs w:val="20"/>
        </w:rPr>
        <w:t xml:space="preserve"> </w:t>
      </w:r>
      <w:r w:rsidRPr="000977F7">
        <w:rPr>
          <w:rFonts w:asciiTheme="majorHAnsi" w:hAnsiTheme="majorHAnsi"/>
          <w:sz w:val="20"/>
          <w:szCs w:val="20"/>
        </w:rPr>
        <w:t>(ремонту)</w:t>
      </w:r>
    </w:p>
    <w:p w14:paraId="6E12854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ДОПОМІЖНЕ</w:t>
      </w:r>
      <w:r w:rsidRPr="000977F7">
        <w:rPr>
          <w:color w:val="auto"/>
          <w:spacing w:val="-5"/>
          <w:sz w:val="20"/>
          <w:szCs w:val="20"/>
        </w:rPr>
        <w:t xml:space="preserve"> </w:t>
      </w:r>
      <w:r w:rsidRPr="000977F7">
        <w:rPr>
          <w:color w:val="auto"/>
          <w:sz w:val="20"/>
          <w:szCs w:val="20"/>
        </w:rPr>
        <w:t>ВИРОБНИЦТВО –</w:t>
      </w:r>
    </w:p>
    <w:p w14:paraId="578F451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1"/>
          <w:sz w:val="20"/>
          <w:szCs w:val="20"/>
        </w:rPr>
        <w:t xml:space="preserve"> </w:t>
      </w:r>
      <w:r w:rsidRPr="000977F7">
        <w:rPr>
          <w:rFonts w:asciiTheme="majorHAnsi" w:hAnsiTheme="majorHAnsi"/>
          <w:sz w:val="20"/>
          <w:szCs w:val="20"/>
        </w:rPr>
        <w:t>виробничої</w:t>
      </w:r>
      <w:r w:rsidRPr="000977F7">
        <w:rPr>
          <w:rFonts w:asciiTheme="majorHAnsi" w:hAnsiTheme="majorHAnsi"/>
          <w:spacing w:val="1"/>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полягає</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обслуговуванні</w:t>
      </w:r>
      <w:r w:rsidRPr="000977F7">
        <w:rPr>
          <w:rFonts w:asciiTheme="majorHAnsi" w:hAnsiTheme="majorHAnsi"/>
          <w:spacing w:val="1"/>
          <w:sz w:val="20"/>
          <w:szCs w:val="20"/>
        </w:rPr>
        <w:t xml:space="preserve"> </w:t>
      </w:r>
      <w:r w:rsidRPr="000977F7">
        <w:rPr>
          <w:rFonts w:asciiTheme="majorHAnsi" w:hAnsiTheme="majorHAnsi"/>
          <w:sz w:val="20"/>
          <w:szCs w:val="20"/>
        </w:rPr>
        <w:t>основного</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забезпеченні безперебійного виготовлення й випуску</w:t>
      </w:r>
      <w:r w:rsidRPr="000977F7">
        <w:rPr>
          <w:rFonts w:asciiTheme="majorHAnsi" w:hAnsiTheme="majorHAnsi"/>
          <w:spacing w:val="1"/>
          <w:sz w:val="20"/>
          <w:szCs w:val="20"/>
        </w:rPr>
        <w:t xml:space="preserve"> </w:t>
      </w:r>
      <w:r w:rsidRPr="000977F7">
        <w:rPr>
          <w:rFonts w:asciiTheme="majorHAnsi" w:hAnsiTheme="majorHAnsi"/>
          <w:sz w:val="20"/>
          <w:szCs w:val="20"/>
        </w:rPr>
        <w:t>продукції та проводиться у певних структурних підрозділах</w:t>
      </w:r>
    </w:p>
    <w:p w14:paraId="2E595C0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 –</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352CD4A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ДОПОМІЖНИЙ</w:t>
      </w:r>
      <w:r w:rsidRPr="000977F7">
        <w:rPr>
          <w:color w:val="auto"/>
          <w:spacing w:val="-6"/>
          <w:sz w:val="20"/>
          <w:szCs w:val="20"/>
        </w:rPr>
        <w:t xml:space="preserve"> </w:t>
      </w:r>
      <w:r w:rsidRPr="000977F7">
        <w:rPr>
          <w:color w:val="auto"/>
          <w:sz w:val="20"/>
          <w:szCs w:val="20"/>
        </w:rPr>
        <w:t>МАТЕРІАЛ</w:t>
      </w:r>
      <w:r w:rsidRPr="000977F7">
        <w:rPr>
          <w:color w:val="auto"/>
          <w:spacing w:val="-4"/>
          <w:sz w:val="20"/>
          <w:szCs w:val="20"/>
        </w:rPr>
        <w:t xml:space="preserve"> </w:t>
      </w:r>
      <w:r w:rsidRPr="000977F7">
        <w:rPr>
          <w:color w:val="auto"/>
          <w:sz w:val="20"/>
          <w:szCs w:val="20"/>
        </w:rPr>
        <w:t>–</w:t>
      </w:r>
    </w:p>
    <w:p w14:paraId="13E80A61"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Матеріал,</w:t>
      </w:r>
      <w:r w:rsidRPr="000977F7">
        <w:rPr>
          <w:rFonts w:asciiTheme="majorHAnsi" w:hAnsiTheme="majorHAnsi"/>
          <w:spacing w:val="3"/>
          <w:sz w:val="20"/>
          <w:szCs w:val="20"/>
        </w:rPr>
        <w:t xml:space="preserve"> </w:t>
      </w:r>
      <w:r w:rsidRPr="000977F7">
        <w:rPr>
          <w:rFonts w:asciiTheme="majorHAnsi" w:hAnsiTheme="majorHAnsi"/>
          <w:sz w:val="20"/>
          <w:szCs w:val="20"/>
        </w:rPr>
        <w:t>який</w:t>
      </w:r>
      <w:r w:rsidRPr="000977F7">
        <w:rPr>
          <w:rFonts w:asciiTheme="majorHAnsi" w:hAnsiTheme="majorHAnsi"/>
          <w:spacing w:val="3"/>
          <w:sz w:val="20"/>
          <w:szCs w:val="20"/>
        </w:rPr>
        <w:t xml:space="preserve"> </w:t>
      </w:r>
      <w:r w:rsidRPr="000977F7">
        <w:rPr>
          <w:rFonts w:asciiTheme="majorHAnsi" w:hAnsiTheme="majorHAnsi"/>
          <w:sz w:val="20"/>
          <w:szCs w:val="20"/>
        </w:rPr>
        <w:t>витрачається</w:t>
      </w:r>
      <w:r w:rsidRPr="000977F7">
        <w:rPr>
          <w:rFonts w:asciiTheme="majorHAnsi" w:hAnsiTheme="majorHAnsi"/>
          <w:spacing w:val="5"/>
          <w:sz w:val="20"/>
          <w:szCs w:val="20"/>
        </w:rPr>
        <w:t xml:space="preserve"> </w:t>
      </w:r>
      <w:r w:rsidRPr="000977F7">
        <w:rPr>
          <w:rFonts w:asciiTheme="majorHAnsi" w:hAnsiTheme="majorHAnsi"/>
          <w:sz w:val="20"/>
          <w:szCs w:val="20"/>
        </w:rPr>
        <w:t>під</w:t>
      </w:r>
      <w:r w:rsidRPr="000977F7">
        <w:rPr>
          <w:rFonts w:asciiTheme="majorHAnsi" w:hAnsiTheme="majorHAnsi"/>
          <w:spacing w:val="2"/>
          <w:sz w:val="20"/>
          <w:szCs w:val="20"/>
        </w:rPr>
        <w:t xml:space="preserve"> </w:t>
      </w:r>
      <w:r w:rsidRPr="000977F7">
        <w:rPr>
          <w:rFonts w:asciiTheme="majorHAnsi" w:hAnsiTheme="majorHAnsi"/>
          <w:sz w:val="20"/>
          <w:szCs w:val="20"/>
        </w:rPr>
        <w:t>час</w:t>
      </w:r>
      <w:r w:rsidRPr="000977F7">
        <w:rPr>
          <w:rFonts w:asciiTheme="majorHAnsi" w:hAnsiTheme="majorHAnsi"/>
          <w:spacing w:val="6"/>
          <w:sz w:val="20"/>
          <w:szCs w:val="20"/>
        </w:rPr>
        <w:t xml:space="preserve"> </w:t>
      </w:r>
      <w:r w:rsidRPr="000977F7">
        <w:rPr>
          <w:rFonts w:asciiTheme="majorHAnsi" w:hAnsiTheme="majorHAnsi"/>
          <w:sz w:val="20"/>
          <w:szCs w:val="20"/>
        </w:rPr>
        <w:t>виконання</w:t>
      </w:r>
      <w:r w:rsidRPr="000977F7">
        <w:rPr>
          <w:rFonts w:asciiTheme="majorHAnsi" w:hAnsiTheme="majorHAnsi"/>
          <w:spacing w:val="3"/>
          <w:sz w:val="20"/>
          <w:szCs w:val="20"/>
        </w:rPr>
        <w:t xml:space="preserve"> </w:t>
      </w:r>
      <w:r w:rsidRPr="000977F7">
        <w:rPr>
          <w:rFonts w:asciiTheme="majorHAnsi" w:hAnsiTheme="majorHAnsi"/>
          <w:sz w:val="20"/>
          <w:szCs w:val="20"/>
        </w:rPr>
        <w:t>техно</w:t>
      </w:r>
      <w:r w:rsidRPr="000977F7">
        <w:rPr>
          <w:rFonts w:asciiTheme="majorHAnsi" w:hAnsiTheme="majorHAnsi"/>
          <w:spacing w:val="-1"/>
          <w:sz w:val="20"/>
          <w:szCs w:val="20"/>
        </w:rPr>
        <w:t>логічного процесу</w:t>
      </w:r>
      <w:r w:rsidRPr="000977F7">
        <w:rPr>
          <w:rFonts w:asciiTheme="majorHAnsi" w:hAnsiTheme="majorHAnsi"/>
          <w:sz w:val="20"/>
          <w:szCs w:val="20"/>
        </w:rPr>
        <w:t xml:space="preserve"> додатково до основного матеріалу</w:t>
      </w:r>
      <w:r w:rsidRPr="000977F7">
        <w:rPr>
          <w:rFonts w:asciiTheme="majorHAnsi" w:hAnsiTheme="majorHAnsi"/>
          <w:spacing w:val="1"/>
          <w:sz w:val="20"/>
          <w:szCs w:val="20"/>
        </w:rPr>
        <w:t xml:space="preserve"> </w:t>
      </w:r>
    </w:p>
    <w:p w14:paraId="47E2E5A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692381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Додатковими можуть бути матеріали, які витрачаються під час нанесення покриття, просочування, зварювання</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аргон),</w:t>
      </w:r>
      <w:r w:rsidRPr="000977F7">
        <w:rPr>
          <w:rFonts w:asciiTheme="majorHAnsi" w:hAnsiTheme="majorHAnsi"/>
          <w:spacing w:val="1"/>
          <w:sz w:val="20"/>
          <w:szCs w:val="20"/>
        </w:rPr>
        <w:t xml:space="preserve"> </w:t>
      </w:r>
      <w:r w:rsidRPr="000977F7">
        <w:rPr>
          <w:rFonts w:asciiTheme="majorHAnsi" w:hAnsiTheme="majorHAnsi"/>
          <w:sz w:val="20"/>
          <w:szCs w:val="20"/>
        </w:rPr>
        <w:t>паяння</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каніфоль),</w:t>
      </w:r>
      <w:r w:rsidRPr="000977F7">
        <w:rPr>
          <w:rFonts w:asciiTheme="majorHAnsi" w:hAnsiTheme="majorHAnsi"/>
          <w:spacing w:val="-1"/>
          <w:sz w:val="20"/>
          <w:szCs w:val="20"/>
        </w:rPr>
        <w:t xml:space="preserve"> </w:t>
      </w:r>
      <w:r w:rsidRPr="000977F7">
        <w:rPr>
          <w:rFonts w:asciiTheme="majorHAnsi" w:hAnsiTheme="majorHAnsi"/>
          <w:sz w:val="20"/>
          <w:szCs w:val="20"/>
        </w:rPr>
        <w:t>гартування</w:t>
      </w:r>
      <w:r w:rsidRPr="000977F7">
        <w:rPr>
          <w:rFonts w:asciiTheme="majorHAnsi" w:hAnsiTheme="majorHAnsi"/>
          <w:spacing w:val="2"/>
          <w:sz w:val="20"/>
          <w:szCs w:val="20"/>
        </w:rPr>
        <w:t xml:space="preserve"> </w:t>
      </w:r>
      <w:r w:rsidRPr="000977F7">
        <w:rPr>
          <w:rFonts w:asciiTheme="majorHAnsi" w:hAnsiTheme="majorHAnsi"/>
          <w:sz w:val="20"/>
          <w:szCs w:val="20"/>
        </w:rPr>
        <w:t>тощо</w:t>
      </w:r>
    </w:p>
    <w:p w14:paraId="127FFD6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4"/>
          <w:sz w:val="20"/>
          <w:szCs w:val="20"/>
        </w:rPr>
        <w:t xml:space="preserve"> </w:t>
      </w:r>
      <w:r w:rsidRPr="000977F7">
        <w:rPr>
          <w:rFonts w:asciiTheme="majorHAnsi" w:hAnsiTheme="majorHAnsi"/>
          <w:i/>
          <w:sz w:val="20"/>
          <w:szCs w:val="20"/>
        </w:rPr>
        <w:t>2391:2010;</w:t>
      </w:r>
      <w:r w:rsidRPr="000977F7">
        <w:rPr>
          <w:rFonts w:asciiTheme="majorHAnsi" w:hAnsiTheme="majorHAnsi"/>
          <w:i/>
          <w:spacing w:val="-3"/>
          <w:sz w:val="20"/>
          <w:szCs w:val="20"/>
        </w:rPr>
        <w:t xml:space="preserve"> </w:t>
      </w:r>
      <w:r w:rsidRPr="000977F7">
        <w:rPr>
          <w:rFonts w:asciiTheme="majorHAnsi" w:hAnsiTheme="majorHAnsi"/>
          <w:i/>
          <w:sz w:val="20"/>
          <w:szCs w:val="20"/>
        </w:rPr>
        <w:t>ДСТУ</w:t>
      </w:r>
      <w:r w:rsidRPr="000977F7">
        <w:rPr>
          <w:rFonts w:asciiTheme="majorHAnsi" w:hAnsiTheme="majorHAnsi"/>
          <w:i/>
          <w:spacing w:val="-4"/>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5328B008"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ДОПОМІЖНИЙ</w:t>
      </w:r>
      <w:r w:rsidRPr="000977F7">
        <w:rPr>
          <w:color w:val="auto"/>
          <w:spacing w:val="-8"/>
          <w:sz w:val="20"/>
          <w:szCs w:val="20"/>
        </w:rPr>
        <w:t xml:space="preserve"> </w:t>
      </w:r>
      <w:r w:rsidRPr="000977F7">
        <w:rPr>
          <w:color w:val="auto"/>
          <w:sz w:val="20"/>
          <w:szCs w:val="20"/>
        </w:rPr>
        <w:t>ПАРАМЕТР</w:t>
      </w:r>
      <w:r w:rsidRPr="000977F7">
        <w:rPr>
          <w:color w:val="auto"/>
          <w:spacing w:val="-6"/>
          <w:sz w:val="20"/>
          <w:szCs w:val="20"/>
        </w:rPr>
        <w:t xml:space="preserve"> </w:t>
      </w:r>
      <w:r w:rsidRPr="000977F7">
        <w:rPr>
          <w:b w:val="0"/>
          <w:color w:val="auto"/>
          <w:sz w:val="20"/>
          <w:szCs w:val="20"/>
        </w:rPr>
        <w:t>–</w:t>
      </w:r>
    </w:p>
    <w:p w14:paraId="5AF600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Параметр виробу або його частини, який використовується</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пошуку</w:t>
      </w:r>
      <w:r w:rsidRPr="000977F7">
        <w:rPr>
          <w:rFonts w:asciiTheme="majorHAnsi" w:hAnsiTheme="majorHAnsi"/>
          <w:spacing w:val="-2"/>
          <w:sz w:val="20"/>
          <w:szCs w:val="20"/>
        </w:rPr>
        <w:t xml:space="preserve"> </w:t>
      </w:r>
      <w:r w:rsidRPr="000977F7">
        <w:rPr>
          <w:rFonts w:asciiTheme="majorHAnsi" w:hAnsiTheme="majorHAnsi"/>
          <w:sz w:val="20"/>
          <w:szCs w:val="20"/>
        </w:rPr>
        <w:t>місця</w:t>
      </w:r>
      <w:r w:rsidRPr="000977F7">
        <w:rPr>
          <w:rFonts w:asciiTheme="majorHAnsi" w:hAnsiTheme="majorHAnsi"/>
          <w:spacing w:val="2"/>
          <w:sz w:val="20"/>
          <w:szCs w:val="20"/>
        </w:rPr>
        <w:t xml:space="preserve"> </w:t>
      </w:r>
      <w:r w:rsidRPr="000977F7">
        <w:rPr>
          <w:rFonts w:asciiTheme="majorHAnsi" w:hAnsiTheme="majorHAnsi"/>
          <w:sz w:val="20"/>
          <w:szCs w:val="20"/>
        </w:rPr>
        <w:t>відмови</w:t>
      </w:r>
    </w:p>
    <w:p w14:paraId="2A7AD6B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ДОПОМІЖНИЙ ЧАС ТЕХНІЧНОГО </w:t>
      </w:r>
    </w:p>
    <w:p w14:paraId="458C467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ОБСЛУГО</w:t>
      </w:r>
      <w:r w:rsidRPr="000977F7">
        <w:rPr>
          <w:color w:val="auto"/>
          <w:spacing w:val="-47"/>
          <w:sz w:val="20"/>
          <w:szCs w:val="20"/>
        </w:rPr>
        <w:t xml:space="preserve"> </w:t>
      </w:r>
      <w:r w:rsidRPr="000977F7">
        <w:rPr>
          <w:color w:val="auto"/>
          <w:sz w:val="20"/>
          <w:szCs w:val="20"/>
        </w:rPr>
        <w:t>ВУВАННЯ</w:t>
      </w:r>
      <w:r w:rsidRPr="000977F7">
        <w:rPr>
          <w:color w:val="auto"/>
          <w:spacing w:val="-1"/>
          <w:sz w:val="20"/>
          <w:szCs w:val="20"/>
        </w:rPr>
        <w:t xml:space="preserve"> </w:t>
      </w:r>
      <w:r w:rsidRPr="000977F7">
        <w:rPr>
          <w:color w:val="auto"/>
          <w:sz w:val="20"/>
          <w:szCs w:val="20"/>
        </w:rPr>
        <w:t>(РЕМОНТУ)</w:t>
      </w:r>
      <w:r w:rsidRPr="000977F7">
        <w:rPr>
          <w:color w:val="auto"/>
          <w:spacing w:val="3"/>
          <w:sz w:val="20"/>
          <w:szCs w:val="20"/>
        </w:rPr>
        <w:t xml:space="preserve"> </w:t>
      </w:r>
      <w:r w:rsidRPr="000977F7">
        <w:rPr>
          <w:color w:val="auto"/>
          <w:sz w:val="20"/>
          <w:szCs w:val="20"/>
        </w:rPr>
        <w:t>–</w:t>
      </w:r>
    </w:p>
    <w:p w14:paraId="3178BD4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1"/>
          <w:sz w:val="20"/>
          <w:szCs w:val="20"/>
        </w:rPr>
        <w:t xml:space="preserve"> </w:t>
      </w:r>
      <w:r w:rsidRPr="000977F7">
        <w:rPr>
          <w:rFonts w:asciiTheme="majorHAnsi" w:hAnsiTheme="majorHAnsi"/>
          <w:sz w:val="20"/>
          <w:szCs w:val="20"/>
        </w:rPr>
        <w:t>оперативного</w:t>
      </w:r>
      <w:r w:rsidRPr="000977F7">
        <w:rPr>
          <w:rFonts w:asciiTheme="majorHAnsi" w:hAnsiTheme="majorHAnsi"/>
          <w:spacing w:val="1"/>
          <w:sz w:val="20"/>
          <w:szCs w:val="20"/>
        </w:rPr>
        <w:t xml:space="preserve"> </w:t>
      </w:r>
      <w:r w:rsidRPr="000977F7">
        <w:rPr>
          <w:rFonts w:asciiTheme="majorHAnsi" w:hAnsiTheme="majorHAnsi"/>
          <w:sz w:val="20"/>
          <w:szCs w:val="20"/>
        </w:rPr>
        <w:t>часу,</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витрачається</w:t>
      </w:r>
      <w:r w:rsidRPr="000977F7">
        <w:rPr>
          <w:rFonts w:asciiTheme="majorHAnsi" w:hAnsiTheme="majorHAnsi"/>
          <w:spacing w:val="1"/>
          <w:sz w:val="20"/>
          <w:szCs w:val="20"/>
        </w:rPr>
        <w:t xml:space="preserve"> </w:t>
      </w:r>
      <w:r w:rsidRPr="000977F7">
        <w:rPr>
          <w:rFonts w:asciiTheme="majorHAnsi" w:hAnsiTheme="majorHAnsi"/>
          <w:sz w:val="20"/>
          <w:szCs w:val="20"/>
        </w:rPr>
        <w:t>виконавцем на підготовку об’єкта до технічного обслуговування (ремонту) і відновлення вихідного стану частин</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після</w:t>
      </w:r>
      <w:r w:rsidRPr="000977F7">
        <w:rPr>
          <w:rFonts w:asciiTheme="majorHAnsi" w:hAnsiTheme="majorHAnsi"/>
          <w:spacing w:val="1"/>
          <w:sz w:val="20"/>
          <w:szCs w:val="20"/>
        </w:rPr>
        <w:t xml:space="preserve"> </w:t>
      </w:r>
      <w:r w:rsidRPr="000977F7">
        <w:rPr>
          <w:rFonts w:asciiTheme="majorHAnsi" w:hAnsiTheme="majorHAnsi"/>
          <w:sz w:val="20"/>
          <w:szCs w:val="20"/>
        </w:rPr>
        <w:t>закінчення</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обслуговування</w:t>
      </w:r>
      <w:r w:rsidRPr="000977F7">
        <w:rPr>
          <w:rFonts w:asciiTheme="majorHAnsi" w:hAnsiTheme="majorHAnsi"/>
          <w:spacing w:val="-2"/>
          <w:sz w:val="20"/>
          <w:szCs w:val="20"/>
        </w:rPr>
        <w:t xml:space="preserve"> </w:t>
      </w:r>
      <w:r w:rsidRPr="000977F7">
        <w:rPr>
          <w:rFonts w:asciiTheme="majorHAnsi" w:hAnsiTheme="majorHAnsi"/>
          <w:sz w:val="20"/>
          <w:szCs w:val="20"/>
        </w:rPr>
        <w:t>(ремонту)</w:t>
      </w:r>
    </w:p>
    <w:p w14:paraId="0001B8B7"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lastRenderedPageBreak/>
        <w:t>ДОПУСК</w:t>
      </w:r>
      <w:r w:rsidRPr="000977F7">
        <w:rPr>
          <w:color w:val="auto"/>
          <w:spacing w:val="-4"/>
          <w:sz w:val="20"/>
          <w:szCs w:val="20"/>
        </w:rPr>
        <w:t xml:space="preserve"> </w:t>
      </w:r>
      <w:r w:rsidRPr="000977F7">
        <w:rPr>
          <w:color w:val="auto"/>
          <w:sz w:val="20"/>
          <w:szCs w:val="20"/>
        </w:rPr>
        <w:t>ПАРАМЕТРА</w:t>
      </w:r>
      <w:r w:rsidRPr="000977F7">
        <w:rPr>
          <w:color w:val="auto"/>
          <w:spacing w:val="-1"/>
          <w:sz w:val="20"/>
          <w:szCs w:val="20"/>
        </w:rPr>
        <w:t xml:space="preserve"> </w:t>
      </w:r>
      <w:r w:rsidRPr="000977F7">
        <w:rPr>
          <w:b w:val="0"/>
          <w:color w:val="auto"/>
          <w:sz w:val="20"/>
          <w:szCs w:val="20"/>
        </w:rPr>
        <w:t>–</w:t>
      </w:r>
    </w:p>
    <w:p w14:paraId="5D18043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Різниця між верхнім та нижнім гранично допустимими</w:t>
      </w:r>
      <w:r w:rsidRPr="000977F7">
        <w:rPr>
          <w:rFonts w:asciiTheme="majorHAnsi" w:hAnsiTheme="majorHAnsi"/>
          <w:spacing w:val="-2"/>
          <w:sz w:val="20"/>
          <w:szCs w:val="20"/>
        </w:rPr>
        <w:t xml:space="preserve"> </w:t>
      </w:r>
      <w:r w:rsidRPr="000977F7">
        <w:rPr>
          <w:rFonts w:asciiTheme="majorHAnsi" w:hAnsiTheme="majorHAnsi"/>
          <w:sz w:val="20"/>
          <w:szCs w:val="20"/>
        </w:rPr>
        <w:t>значеннями</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p>
    <w:p w14:paraId="7D67AE7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D9D012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ДОПУСКОВИЙ</w:t>
      </w:r>
      <w:r w:rsidRPr="000977F7">
        <w:rPr>
          <w:color w:val="auto"/>
          <w:spacing w:val="-6"/>
          <w:sz w:val="20"/>
          <w:szCs w:val="20"/>
        </w:rPr>
        <w:t xml:space="preserve"> </w:t>
      </w:r>
      <w:r w:rsidRPr="000977F7">
        <w:rPr>
          <w:color w:val="auto"/>
          <w:sz w:val="20"/>
          <w:szCs w:val="20"/>
        </w:rPr>
        <w:t>КОНТРОЛЬ</w:t>
      </w:r>
      <w:r w:rsidRPr="000977F7">
        <w:rPr>
          <w:color w:val="auto"/>
          <w:spacing w:val="-3"/>
          <w:sz w:val="20"/>
          <w:szCs w:val="20"/>
        </w:rPr>
        <w:t xml:space="preserve"> </w:t>
      </w:r>
      <w:r w:rsidRPr="000977F7">
        <w:rPr>
          <w:color w:val="auto"/>
          <w:sz w:val="20"/>
          <w:szCs w:val="20"/>
        </w:rPr>
        <w:t>–</w:t>
      </w:r>
    </w:p>
    <w:p w14:paraId="5B42A4DD"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pacing w:val="-1"/>
          <w:sz w:val="20"/>
          <w:szCs w:val="20"/>
        </w:rPr>
        <w:t>Контроль,</w:t>
      </w:r>
      <w:r w:rsidRPr="000977F7">
        <w:rPr>
          <w:rFonts w:asciiTheme="majorHAnsi" w:hAnsiTheme="majorHAnsi"/>
          <w:spacing w:val="12"/>
          <w:sz w:val="20"/>
          <w:szCs w:val="20"/>
        </w:rPr>
        <w:t xml:space="preserve"> </w:t>
      </w:r>
      <w:r w:rsidRPr="000977F7">
        <w:rPr>
          <w:rFonts w:asciiTheme="majorHAnsi" w:hAnsiTheme="majorHAnsi"/>
          <w:sz w:val="20"/>
          <w:szCs w:val="20"/>
        </w:rPr>
        <w:t>що</w:t>
      </w:r>
      <w:r w:rsidRPr="000977F7">
        <w:rPr>
          <w:rFonts w:asciiTheme="majorHAnsi" w:hAnsiTheme="majorHAnsi"/>
          <w:spacing w:val="12"/>
          <w:sz w:val="20"/>
          <w:szCs w:val="20"/>
        </w:rPr>
        <w:t xml:space="preserve"> </w:t>
      </w:r>
      <w:r w:rsidRPr="000977F7">
        <w:rPr>
          <w:rFonts w:asciiTheme="majorHAnsi" w:hAnsiTheme="majorHAnsi"/>
          <w:sz w:val="20"/>
          <w:szCs w:val="20"/>
        </w:rPr>
        <w:t>встановлює</w:t>
      </w:r>
      <w:r w:rsidRPr="000977F7">
        <w:rPr>
          <w:rFonts w:asciiTheme="majorHAnsi" w:hAnsiTheme="majorHAnsi"/>
          <w:spacing w:val="12"/>
          <w:sz w:val="20"/>
          <w:szCs w:val="20"/>
        </w:rPr>
        <w:t xml:space="preserve"> </w:t>
      </w:r>
      <w:r w:rsidRPr="000977F7">
        <w:rPr>
          <w:rFonts w:asciiTheme="majorHAnsi" w:hAnsiTheme="majorHAnsi"/>
          <w:sz w:val="20"/>
          <w:szCs w:val="20"/>
        </w:rPr>
        <w:t>факт</w:t>
      </w:r>
      <w:r w:rsidRPr="000977F7">
        <w:rPr>
          <w:rFonts w:asciiTheme="majorHAnsi" w:hAnsiTheme="majorHAnsi"/>
          <w:spacing w:val="10"/>
          <w:sz w:val="20"/>
          <w:szCs w:val="20"/>
        </w:rPr>
        <w:t xml:space="preserve"> </w:t>
      </w:r>
      <w:r w:rsidRPr="000977F7">
        <w:rPr>
          <w:rFonts w:asciiTheme="majorHAnsi" w:hAnsiTheme="majorHAnsi"/>
          <w:sz w:val="20"/>
          <w:szCs w:val="20"/>
        </w:rPr>
        <w:t>знаходження</w:t>
      </w:r>
      <w:r w:rsidRPr="000977F7">
        <w:rPr>
          <w:rFonts w:asciiTheme="majorHAnsi" w:hAnsiTheme="majorHAnsi"/>
          <w:spacing w:val="11"/>
          <w:sz w:val="20"/>
          <w:szCs w:val="20"/>
        </w:rPr>
        <w:t xml:space="preserve"> </w:t>
      </w:r>
      <w:r w:rsidRPr="000977F7">
        <w:rPr>
          <w:rFonts w:asciiTheme="majorHAnsi" w:hAnsiTheme="majorHAnsi"/>
          <w:sz w:val="20"/>
          <w:szCs w:val="20"/>
        </w:rPr>
        <w:t>дійсного</w:t>
      </w:r>
      <w:r w:rsidRPr="000977F7">
        <w:rPr>
          <w:rFonts w:asciiTheme="majorHAnsi" w:hAnsiTheme="majorHAnsi"/>
          <w:spacing w:val="-47"/>
          <w:sz w:val="20"/>
          <w:szCs w:val="20"/>
        </w:rPr>
        <w:t xml:space="preserve"> </w:t>
      </w:r>
      <w:r w:rsidRPr="000977F7">
        <w:rPr>
          <w:rFonts w:asciiTheme="majorHAnsi" w:hAnsiTheme="majorHAnsi"/>
          <w:spacing w:val="-4"/>
          <w:sz w:val="20"/>
          <w:szCs w:val="20"/>
        </w:rPr>
        <w:t>значення</w:t>
      </w:r>
      <w:r w:rsidRPr="000977F7">
        <w:rPr>
          <w:rFonts w:asciiTheme="majorHAnsi" w:hAnsiTheme="majorHAnsi"/>
          <w:spacing w:val="-9"/>
          <w:sz w:val="20"/>
          <w:szCs w:val="20"/>
        </w:rPr>
        <w:t xml:space="preserve"> </w:t>
      </w:r>
      <w:r w:rsidRPr="000977F7">
        <w:rPr>
          <w:rFonts w:asciiTheme="majorHAnsi" w:hAnsiTheme="majorHAnsi"/>
          <w:spacing w:val="-4"/>
          <w:sz w:val="20"/>
          <w:szCs w:val="20"/>
        </w:rPr>
        <w:t>параметра</w:t>
      </w:r>
      <w:r w:rsidRPr="000977F7">
        <w:rPr>
          <w:rFonts w:asciiTheme="majorHAnsi" w:hAnsiTheme="majorHAnsi"/>
          <w:spacing w:val="-6"/>
          <w:sz w:val="20"/>
          <w:szCs w:val="20"/>
        </w:rPr>
        <w:t xml:space="preserve"> </w:t>
      </w:r>
      <w:r w:rsidRPr="000977F7">
        <w:rPr>
          <w:rFonts w:asciiTheme="majorHAnsi" w:hAnsiTheme="majorHAnsi"/>
          <w:spacing w:val="-3"/>
          <w:sz w:val="20"/>
          <w:szCs w:val="20"/>
        </w:rPr>
        <w:t>відносно</w:t>
      </w:r>
      <w:r w:rsidRPr="000977F7">
        <w:rPr>
          <w:rFonts w:asciiTheme="majorHAnsi" w:hAnsiTheme="majorHAnsi"/>
          <w:spacing w:val="-4"/>
          <w:sz w:val="20"/>
          <w:szCs w:val="20"/>
        </w:rPr>
        <w:t xml:space="preserve"> </w:t>
      </w:r>
      <w:r w:rsidRPr="000977F7">
        <w:rPr>
          <w:rFonts w:asciiTheme="majorHAnsi" w:hAnsiTheme="majorHAnsi"/>
          <w:spacing w:val="-3"/>
          <w:sz w:val="20"/>
          <w:szCs w:val="20"/>
        </w:rPr>
        <w:t>його</w:t>
      </w:r>
      <w:r w:rsidRPr="000977F7">
        <w:rPr>
          <w:rFonts w:asciiTheme="majorHAnsi" w:hAnsiTheme="majorHAnsi"/>
          <w:spacing w:val="-7"/>
          <w:sz w:val="20"/>
          <w:szCs w:val="20"/>
        </w:rPr>
        <w:t xml:space="preserve"> </w:t>
      </w:r>
      <w:r w:rsidRPr="000977F7">
        <w:rPr>
          <w:rFonts w:asciiTheme="majorHAnsi" w:hAnsiTheme="majorHAnsi"/>
          <w:spacing w:val="-3"/>
          <w:sz w:val="20"/>
          <w:szCs w:val="20"/>
        </w:rPr>
        <w:t>гранично</w:t>
      </w:r>
      <w:r w:rsidRPr="000977F7">
        <w:rPr>
          <w:rFonts w:asciiTheme="majorHAnsi" w:hAnsiTheme="majorHAnsi"/>
          <w:spacing w:val="-7"/>
          <w:sz w:val="20"/>
          <w:szCs w:val="20"/>
        </w:rPr>
        <w:t xml:space="preserve"> </w:t>
      </w:r>
      <w:r w:rsidRPr="000977F7">
        <w:rPr>
          <w:rFonts w:asciiTheme="majorHAnsi" w:hAnsiTheme="majorHAnsi"/>
          <w:spacing w:val="-3"/>
          <w:sz w:val="20"/>
          <w:szCs w:val="20"/>
        </w:rPr>
        <w:t>допустимих</w:t>
      </w:r>
      <w:r w:rsidRPr="000977F7">
        <w:rPr>
          <w:rFonts w:asciiTheme="majorHAnsi" w:hAnsiTheme="majorHAnsi"/>
          <w:spacing w:val="-47"/>
          <w:sz w:val="20"/>
          <w:szCs w:val="20"/>
        </w:rPr>
        <w:t xml:space="preserve"> </w:t>
      </w:r>
      <w:r w:rsidRPr="000977F7">
        <w:rPr>
          <w:rFonts w:asciiTheme="majorHAnsi" w:hAnsiTheme="majorHAnsi"/>
          <w:spacing w:val="-4"/>
          <w:sz w:val="20"/>
          <w:szCs w:val="20"/>
        </w:rPr>
        <w:t>значень без вимірювання дійсного значення параметра</w:t>
      </w:r>
      <w:r w:rsidRPr="000977F7">
        <w:rPr>
          <w:rFonts w:asciiTheme="majorHAnsi" w:hAnsiTheme="majorHAnsi"/>
          <w:spacing w:val="-3"/>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 ДСТУ</w:t>
      </w:r>
      <w:r w:rsidRPr="000977F7">
        <w:rPr>
          <w:rFonts w:asciiTheme="majorHAnsi" w:hAnsiTheme="majorHAnsi"/>
          <w:i/>
          <w:spacing w:val="-1"/>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6BB8EC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ДОПУСТИМЕ</w:t>
      </w:r>
      <w:r w:rsidRPr="000977F7">
        <w:rPr>
          <w:color w:val="auto"/>
          <w:spacing w:val="-9"/>
          <w:sz w:val="20"/>
          <w:szCs w:val="20"/>
        </w:rPr>
        <w:t xml:space="preserve"> </w:t>
      </w:r>
      <w:r w:rsidRPr="000977F7">
        <w:rPr>
          <w:color w:val="auto"/>
          <w:sz w:val="20"/>
          <w:szCs w:val="20"/>
        </w:rPr>
        <w:t>ВІДХИЛЕННЯ</w:t>
      </w:r>
      <w:r w:rsidRPr="000977F7">
        <w:rPr>
          <w:color w:val="auto"/>
          <w:spacing w:val="-7"/>
          <w:sz w:val="20"/>
          <w:szCs w:val="20"/>
        </w:rPr>
        <w:t xml:space="preserve"> </w:t>
      </w:r>
      <w:r w:rsidRPr="000977F7">
        <w:rPr>
          <w:color w:val="auto"/>
          <w:sz w:val="20"/>
          <w:szCs w:val="20"/>
        </w:rPr>
        <w:t>ПОКАЗНИКА</w:t>
      </w:r>
      <w:r w:rsidRPr="000977F7">
        <w:rPr>
          <w:color w:val="auto"/>
          <w:spacing w:val="-47"/>
          <w:sz w:val="20"/>
          <w:szCs w:val="20"/>
        </w:rPr>
        <w:t xml:space="preserve"> </w:t>
      </w:r>
      <w:r w:rsidRPr="000977F7">
        <w:rPr>
          <w:color w:val="auto"/>
          <w:sz w:val="20"/>
          <w:szCs w:val="20"/>
        </w:rPr>
        <w:t>ЯКОСТІ</w:t>
      </w:r>
      <w:r w:rsidRPr="000977F7">
        <w:rPr>
          <w:color w:val="auto"/>
          <w:spacing w:val="-2"/>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046014C6"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b w:val="0"/>
          <w:bCs/>
          <w:color w:val="auto"/>
          <w:sz w:val="20"/>
          <w:szCs w:val="20"/>
        </w:rPr>
        <w:t>Відхилення</w:t>
      </w:r>
      <w:r w:rsidRPr="000977F7">
        <w:rPr>
          <w:b w:val="0"/>
          <w:bCs/>
          <w:color w:val="auto"/>
          <w:spacing w:val="25"/>
          <w:sz w:val="20"/>
          <w:szCs w:val="20"/>
        </w:rPr>
        <w:t xml:space="preserve"> </w:t>
      </w:r>
      <w:r w:rsidRPr="000977F7">
        <w:rPr>
          <w:b w:val="0"/>
          <w:bCs/>
          <w:color w:val="auto"/>
          <w:sz w:val="20"/>
          <w:szCs w:val="20"/>
        </w:rPr>
        <w:t>фактичного</w:t>
      </w:r>
      <w:r w:rsidRPr="000977F7">
        <w:rPr>
          <w:b w:val="0"/>
          <w:bCs/>
          <w:color w:val="auto"/>
          <w:spacing w:val="26"/>
          <w:sz w:val="20"/>
          <w:szCs w:val="20"/>
        </w:rPr>
        <w:t xml:space="preserve"> </w:t>
      </w:r>
      <w:r w:rsidRPr="000977F7">
        <w:rPr>
          <w:b w:val="0"/>
          <w:bCs/>
          <w:color w:val="auto"/>
          <w:sz w:val="20"/>
          <w:szCs w:val="20"/>
        </w:rPr>
        <w:t>значення</w:t>
      </w:r>
      <w:r w:rsidRPr="000977F7">
        <w:rPr>
          <w:b w:val="0"/>
          <w:bCs/>
          <w:color w:val="auto"/>
          <w:spacing w:val="27"/>
          <w:sz w:val="20"/>
          <w:szCs w:val="20"/>
        </w:rPr>
        <w:t xml:space="preserve"> </w:t>
      </w:r>
      <w:r w:rsidRPr="000977F7">
        <w:rPr>
          <w:b w:val="0"/>
          <w:bCs/>
          <w:color w:val="auto"/>
          <w:sz w:val="20"/>
          <w:szCs w:val="20"/>
        </w:rPr>
        <w:t>показника</w:t>
      </w:r>
      <w:r w:rsidRPr="000977F7">
        <w:rPr>
          <w:b w:val="0"/>
          <w:bCs/>
          <w:color w:val="auto"/>
          <w:spacing w:val="26"/>
          <w:sz w:val="20"/>
          <w:szCs w:val="20"/>
        </w:rPr>
        <w:t xml:space="preserve"> </w:t>
      </w:r>
      <w:r w:rsidRPr="000977F7">
        <w:rPr>
          <w:b w:val="0"/>
          <w:bCs/>
          <w:color w:val="auto"/>
          <w:sz w:val="20"/>
          <w:szCs w:val="20"/>
        </w:rPr>
        <w:t>якості</w:t>
      </w:r>
      <w:r w:rsidRPr="000977F7">
        <w:rPr>
          <w:b w:val="0"/>
          <w:bCs/>
          <w:color w:val="auto"/>
          <w:spacing w:val="-47"/>
          <w:sz w:val="20"/>
          <w:szCs w:val="20"/>
        </w:rPr>
        <w:t xml:space="preserve"> </w:t>
      </w:r>
      <w:r w:rsidRPr="000977F7">
        <w:rPr>
          <w:b w:val="0"/>
          <w:bCs/>
          <w:color w:val="auto"/>
          <w:sz w:val="20"/>
          <w:szCs w:val="20"/>
        </w:rPr>
        <w:t>продукції</w:t>
      </w:r>
      <w:r w:rsidRPr="000977F7">
        <w:rPr>
          <w:b w:val="0"/>
          <w:bCs/>
          <w:color w:val="auto"/>
          <w:spacing w:val="10"/>
          <w:sz w:val="20"/>
          <w:szCs w:val="20"/>
        </w:rPr>
        <w:t xml:space="preserve"> </w:t>
      </w:r>
      <w:r w:rsidRPr="000977F7">
        <w:rPr>
          <w:b w:val="0"/>
          <w:bCs/>
          <w:color w:val="auto"/>
          <w:sz w:val="20"/>
          <w:szCs w:val="20"/>
        </w:rPr>
        <w:t>від</w:t>
      </w:r>
      <w:r w:rsidRPr="000977F7">
        <w:rPr>
          <w:b w:val="0"/>
          <w:bCs/>
          <w:color w:val="auto"/>
          <w:spacing w:val="12"/>
          <w:sz w:val="20"/>
          <w:szCs w:val="20"/>
        </w:rPr>
        <w:t xml:space="preserve"> </w:t>
      </w:r>
      <w:r w:rsidRPr="000977F7">
        <w:rPr>
          <w:b w:val="0"/>
          <w:bCs/>
          <w:color w:val="auto"/>
          <w:sz w:val="20"/>
          <w:szCs w:val="20"/>
        </w:rPr>
        <w:t>номінального</w:t>
      </w:r>
      <w:r w:rsidRPr="000977F7">
        <w:rPr>
          <w:b w:val="0"/>
          <w:bCs/>
          <w:color w:val="auto"/>
          <w:spacing w:val="10"/>
          <w:sz w:val="20"/>
          <w:szCs w:val="20"/>
        </w:rPr>
        <w:t xml:space="preserve"> </w:t>
      </w:r>
      <w:r w:rsidRPr="000977F7">
        <w:rPr>
          <w:b w:val="0"/>
          <w:bCs/>
          <w:color w:val="auto"/>
          <w:sz w:val="20"/>
          <w:szCs w:val="20"/>
        </w:rPr>
        <w:t>значення,</w:t>
      </w:r>
      <w:r w:rsidRPr="000977F7">
        <w:rPr>
          <w:b w:val="0"/>
          <w:bCs/>
          <w:color w:val="auto"/>
          <w:spacing w:val="8"/>
          <w:sz w:val="20"/>
          <w:szCs w:val="20"/>
        </w:rPr>
        <w:t xml:space="preserve"> </w:t>
      </w:r>
      <w:r w:rsidRPr="000977F7">
        <w:rPr>
          <w:b w:val="0"/>
          <w:bCs/>
          <w:color w:val="auto"/>
          <w:sz w:val="20"/>
          <w:szCs w:val="20"/>
        </w:rPr>
        <w:t>що</w:t>
      </w:r>
      <w:r w:rsidRPr="000977F7">
        <w:rPr>
          <w:b w:val="0"/>
          <w:bCs/>
          <w:color w:val="auto"/>
          <w:spacing w:val="10"/>
          <w:sz w:val="20"/>
          <w:szCs w:val="20"/>
        </w:rPr>
        <w:t xml:space="preserve"> </w:t>
      </w:r>
      <w:r w:rsidRPr="000977F7">
        <w:rPr>
          <w:b w:val="0"/>
          <w:bCs/>
          <w:color w:val="auto"/>
          <w:sz w:val="20"/>
          <w:szCs w:val="20"/>
        </w:rPr>
        <w:t>знаходиться</w:t>
      </w:r>
      <w:r w:rsidRPr="000977F7">
        <w:rPr>
          <w:b w:val="0"/>
          <w:bCs/>
          <w:color w:val="auto"/>
          <w:spacing w:val="-47"/>
          <w:sz w:val="20"/>
          <w:szCs w:val="20"/>
        </w:rPr>
        <w:t xml:space="preserve"> </w:t>
      </w:r>
      <w:r w:rsidRPr="000977F7">
        <w:rPr>
          <w:b w:val="0"/>
          <w:bCs/>
          <w:color w:val="auto"/>
          <w:sz w:val="20"/>
          <w:szCs w:val="20"/>
        </w:rPr>
        <w:t>в межах , встановлених нормативною документацією</w:t>
      </w:r>
      <w:r w:rsidRPr="000977F7">
        <w:rPr>
          <w:color w:val="auto"/>
          <w:spacing w:val="1"/>
          <w:sz w:val="20"/>
          <w:szCs w:val="20"/>
        </w:rPr>
        <w:t xml:space="preserve"> </w:t>
      </w:r>
    </w:p>
    <w:p w14:paraId="7509AC2B" w14:textId="77777777" w:rsidR="0097612F" w:rsidRPr="000977F7" w:rsidRDefault="0097612F" w:rsidP="000977F7">
      <w:pPr>
        <w:pStyle w:val="7"/>
        <w:tabs>
          <w:tab w:val="left" w:pos="284"/>
        </w:tabs>
        <w:spacing w:before="0" w:line="240" w:lineRule="auto"/>
        <w:ind w:left="170"/>
        <w:mirrorIndents/>
        <w:jc w:val="both"/>
        <w:rPr>
          <w:bCs/>
          <w:color w:val="auto"/>
          <w:sz w:val="20"/>
          <w:szCs w:val="20"/>
        </w:rPr>
      </w:pPr>
      <w:r w:rsidRPr="000977F7">
        <w:rPr>
          <w:bCs/>
          <w:color w:val="auto"/>
          <w:sz w:val="20"/>
          <w:szCs w:val="20"/>
        </w:rPr>
        <w:t>ДОПУСТИМЕ</w:t>
      </w:r>
      <w:r w:rsidRPr="000977F7">
        <w:rPr>
          <w:bCs/>
          <w:color w:val="auto"/>
          <w:spacing w:val="-2"/>
          <w:sz w:val="20"/>
          <w:szCs w:val="20"/>
        </w:rPr>
        <w:t xml:space="preserve"> </w:t>
      </w:r>
      <w:r w:rsidRPr="000977F7">
        <w:rPr>
          <w:bCs/>
          <w:color w:val="auto"/>
          <w:sz w:val="20"/>
          <w:szCs w:val="20"/>
        </w:rPr>
        <w:t>НАПРУЖЕННЯ</w:t>
      </w:r>
      <w:r w:rsidRPr="000977F7">
        <w:rPr>
          <w:bCs/>
          <w:color w:val="auto"/>
          <w:spacing w:val="3"/>
          <w:sz w:val="20"/>
          <w:szCs w:val="20"/>
        </w:rPr>
        <w:t xml:space="preserve"> </w:t>
      </w:r>
      <w:r w:rsidRPr="000977F7">
        <w:rPr>
          <w:bCs/>
          <w:color w:val="auto"/>
          <w:sz w:val="20"/>
          <w:szCs w:val="20"/>
        </w:rPr>
        <w:t>–</w:t>
      </w:r>
    </w:p>
    <w:p w14:paraId="0F1EEF5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ALLOWABLE</w:t>
      </w:r>
      <w:r w:rsidRPr="000977F7">
        <w:rPr>
          <w:rFonts w:asciiTheme="majorHAnsi" w:hAnsiTheme="majorHAnsi"/>
          <w:spacing w:val="-3"/>
          <w:sz w:val="20"/>
          <w:szCs w:val="20"/>
        </w:rPr>
        <w:t xml:space="preserve"> </w:t>
      </w:r>
      <w:r w:rsidRPr="000977F7">
        <w:rPr>
          <w:rFonts w:asciiTheme="majorHAnsi" w:hAnsiTheme="majorHAnsi"/>
          <w:sz w:val="20"/>
          <w:szCs w:val="20"/>
        </w:rPr>
        <w:t>STRESS</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0D006D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w:t>
      </w:r>
      <w:r w:rsidRPr="000977F7">
        <w:rPr>
          <w:rFonts w:asciiTheme="majorHAnsi" w:hAnsiTheme="majorHAnsi"/>
          <w:spacing w:val="1"/>
          <w:sz w:val="20"/>
          <w:szCs w:val="20"/>
        </w:rPr>
        <w:t xml:space="preserve"> </w:t>
      </w:r>
      <w:r w:rsidRPr="000977F7">
        <w:rPr>
          <w:rFonts w:asciiTheme="majorHAnsi" w:hAnsiTheme="majorHAnsi"/>
          <w:sz w:val="20"/>
          <w:szCs w:val="20"/>
        </w:rPr>
        <w:t>граничного</w:t>
      </w:r>
      <w:r w:rsidRPr="000977F7">
        <w:rPr>
          <w:rFonts w:asciiTheme="majorHAnsi" w:hAnsiTheme="majorHAnsi"/>
          <w:spacing w:val="1"/>
          <w:sz w:val="20"/>
          <w:szCs w:val="20"/>
        </w:rPr>
        <w:t xml:space="preserve"> </w:t>
      </w:r>
      <w:r w:rsidRPr="000977F7">
        <w:rPr>
          <w:rFonts w:asciiTheme="majorHAnsi" w:hAnsiTheme="majorHAnsi"/>
          <w:sz w:val="20"/>
          <w:szCs w:val="20"/>
        </w:rPr>
        <w:t>напруження</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коефіцієнта</w:t>
      </w:r>
      <w:r w:rsidRPr="000977F7">
        <w:rPr>
          <w:rFonts w:asciiTheme="majorHAnsi" w:hAnsiTheme="majorHAnsi"/>
          <w:spacing w:val="-47"/>
          <w:sz w:val="20"/>
          <w:szCs w:val="20"/>
        </w:rPr>
        <w:t xml:space="preserve"> </w:t>
      </w:r>
      <w:r w:rsidRPr="000977F7">
        <w:rPr>
          <w:rFonts w:asciiTheme="majorHAnsi" w:hAnsiTheme="majorHAnsi"/>
          <w:sz w:val="20"/>
          <w:szCs w:val="20"/>
        </w:rPr>
        <w:t>запасу</w:t>
      </w:r>
      <w:r w:rsidRPr="000977F7">
        <w:rPr>
          <w:rFonts w:asciiTheme="majorHAnsi" w:hAnsiTheme="majorHAnsi"/>
          <w:spacing w:val="1"/>
          <w:sz w:val="20"/>
          <w:szCs w:val="20"/>
        </w:rPr>
        <w:t xml:space="preserve"> </w:t>
      </w:r>
      <w:r w:rsidRPr="000977F7">
        <w:rPr>
          <w:rFonts w:asciiTheme="majorHAnsi" w:hAnsiTheme="majorHAnsi"/>
          <w:sz w:val="20"/>
          <w:szCs w:val="20"/>
        </w:rPr>
        <w:t>міцності,</w:t>
      </w:r>
      <w:r w:rsidRPr="000977F7">
        <w:rPr>
          <w:rFonts w:asciiTheme="majorHAnsi" w:hAnsiTheme="majorHAnsi"/>
          <w:spacing w:val="1"/>
          <w:sz w:val="20"/>
          <w:szCs w:val="20"/>
        </w:rPr>
        <w:t xml:space="preserve"> </w:t>
      </w:r>
      <w:r w:rsidRPr="000977F7">
        <w:rPr>
          <w:rFonts w:asciiTheme="majorHAnsi" w:hAnsiTheme="majorHAnsi"/>
          <w:sz w:val="20"/>
          <w:szCs w:val="20"/>
        </w:rPr>
        <w:t>регламентованого</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нормативними</w:t>
      </w:r>
      <w:r w:rsidRPr="000977F7">
        <w:rPr>
          <w:rFonts w:asciiTheme="majorHAnsi" w:hAnsiTheme="majorHAnsi"/>
          <w:spacing w:val="1"/>
          <w:sz w:val="20"/>
          <w:szCs w:val="20"/>
        </w:rPr>
        <w:t xml:space="preserve"> </w:t>
      </w:r>
      <w:r w:rsidRPr="000977F7">
        <w:rPr>
          <w:rFonts w:asciiTheme="majorHAnsi" w:hAnsiTheme="majorHAnsi"/>
          <w:sz w:val="20"/>
          <w:szCs w:val="20"/>
        </w:rPr>
        <w:t>документами</w:t>
      </w:r>
    </w:p>
    <w:p w14:paraId="37A2343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4BA66A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ДОПУСТИМИЙ</w:t>
      </w:r>
      <w:r w:rsidRPr="000977F7">
        <w:rPr>
          <w:color w:val="auto"/>
          <w:spacing w:val="-3"/>
          <w:sz w:val="20"/>
          <w:szCs w:val="20"/>
        </w:rPr>
        <w:t xml:space="preserve"> </w:t>
      </w:r>
      <w:r w:rsidRPr="000977F7">
        <w:rPr>
          <w:color w:val="auto"/>
          <w:sz w:val="20"/>
          <w:szCs w:val="20"/>
        </w:rPr>
        <w:t>РІВЕНЬ</w:t>
      </w:r>
      <w:r w:rsidRPr="000977F7">
        <w:rPr>
          <w:color w:val="auto"/>
          <w:spacing w:val="-5"/>
          <w:sz w:val="20"/>
          <w:szCs w:val="20"/>
        </w:rPr>
        <w:t xml:space="preserve"> </w:t>
      </w:r>
      <w:r w:rsidRPr="000977F7">
        <w:rPr>
          <w:color w:val="auto"/>
          <w:sz w:val="20"/>
          <w:szCs w:val="20"/>
        </w:rPr>
        <w:t>ДЕФЕКТНОСТІ-</w:t>
      </w:r>
    </w:p>
    <w:p w14:paraId="5E0180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Максимальний рівень дефектності, встановлений нормативно-технічною</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документацією</w:t>
      </w:r>
    </w:p>
    <w:p w14:paraId="7AAD26D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ДОПУСТИМИЙ РІВЕНЬ КОНЦЕНТРАЦІЇ </w:t>
      </w:r>
    </w:p>
    <w:p w14:paraId="5FB7F7D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w:t>
      </w:r>
      <w:r w:rsidRPr="000977F7">
        <w:rPr>
          <w:color w:val="auto"/>
          <w:spacing w:val="-47"/>
          <w:sz w:val="20"/>
          <w:szCs w:val="20"/>
        </w:rPr>
        <w:t xml:space="preserve"> </w:t>
      </w:r>
      <w:r w:rsidRPr="000977F7">
        <w:rPr>
          <w:color w:val="auto"/>
          <w:sz w:val="20"/>
          <w:szCs w:val="20"/>
        </w:rPr>
        <w:t>ЧОВИНИ</w:t>
      </w:r>
      <w:r w:rsidRPr="000977F7">
        <w:rPr>
          <w:color w:val="auto"/>
          <w:spacing w:val="1"/>
          <w:sz w:val="20"/>
          <w:szCs w:val="20"/>
        </w:rPr>
        <w:t xml:space="preserve"> </w:t>
      </w:r>
      <w:r w:rsidRPr="000977F7">
        <w:rPr>
          <w:color w:val="auto"/>
          <w:sz w:val="20"/>
          <w:szCs w:val="20"/>
        </w:rPr>
        <w:t>–</w:t>
      </w:r>
    </w:p>
    <w:p w14:paraId="2FAC0F7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Кількісний</w:t>
      </w:r>
      <w:r w:rsidRPr="000977F7">
        <w:rPr>
          <w:rFonts w:asciiTheme="majorHAnsi" w:hAnsiTheme="majorHAnsi"/>
          <w:spacing w:val="1"/>
          <w:sz w:val="20"/>
          <w:szCs w:val="20"/>
        </w:rPr>
        <w:t xml:space="preserve"> </w:t>
      </w:r>
      <w:r w:rsidRPr="000977F7">
        <w:rPr>
          <w:rFonts w:asciiTheme="majorHAnsi" w:hAnsiTheme="majorHAnsi"/>
          <w:sz w:val="20"/>
          <w:szCs w:val="20"/>
        </w:rPr>
        <w:t>гігієнічний</w:t>
      </w:r>
      <w:r w:rsidRPr="000977F7">
        <w:rPr>
          <w:rFonts w:asciiTheme="majorHAnsi" w:hAnsiTheme="majorHAnsi"/>
          <w:spacing w:val="1"/>
          <w:sz w:val="20"/>
          <w:szCs w:val="20"/>
        </w:rPr>
        <w:t xml:space="preserve"> </w:t>
      </w:r>
      <w:r w:rsidRPr="000977F7">
        <w:rPr>
          <w:rFonts w:asciiTheme="majorHAnsi" w:hAnsiTheme="majorHAnsi"/>
          <w:sz w:val="20"/>
          <w:szCs w:val="20"/>
        </w:rPr>
        <w:t>норматив</w:t>
      </w:r>
      <w:r w:rsidRPr="000977F7">
        <w:rPr>
          <w:rFonts w:asciiTheme="majorHAnsi" w:hAnsiTheme="majorHAnsi"/>
          <w:spacing w:val="1"/>
          <w:sz w:val="20"/>
          <w:szCs w:val="20"/>
        </w:rPr>
        <w:t xml:space="preserve"> </w:t>
      </w:r>
      <w:r w:rsidRPr="000977F7">
        <w:rPr>
          <w:rFonts w:asciiTheme="majorHAnsi" w:hAnsiTheme="majorHAnsi"/>
          <w:sz w:val="20"/>
          <w:szCs w:val="20"/>
        </w:rPr>
        <w:t>безпечного</w:t>
      </w:r>
      <w:r w:rsidRPr="000977F7">
        <w:rPr>
          <w:rFonts w:asciiTheme="majorHAnsi" w:hAnsiTheme="majorHAnsi"/>
          <w:spacing w:val="1"/>
          <w:sz w:val="20"/>
          <w:szCs w:val="20"/>
        </w:rPr>
        <w:t xml:space="preserve"> </w:t>
      </w:r>
      <w:r w:rsidRPr="000977F7">
        <w:rPr>
          <w:rFonts w:asciiTheme="majorHAnsi" w:hAnsiTheme="majorHAnsi"/>
          <w:sz w:val="20"/>
          <w:szCs w:val="20"/>
        </w:rPr>
        <w:t>рівня</w:t>
      </w:r>
      <w:r w:rsidRPr="000977F7">
        <w:rPr>
          <w:rFonts w:asciiTheme="majorHAnsi" w:hAnsiTheme="majorHAnsi"/>
          <w:spacing w:val="1"/>
          <w:sz w:val="20"/>
          <w:szCs w:val="20"/>
        </w:rPr>
        <w:t xml:space="preserve"> </w:t>
      </w:r>
      <w:r w:rsidRPr="000977F7">
        <w:rPr>
          <w:rFonts w:asciiTheme="majorHAnsi" w:hAnsiTheme="majorHAnsi"/>
          <w:sz w:val="20"/>
          <w:szCs w:val="20"/>
        </w:rPr>
        <w:t>впливу речовини, виражений її концентрацією за певний</w:t>
      </w:r>
      <w:r w:rsidRPr="000977F7">
        <w:rPr>
          <w:rFonts w:asciiTheme="majorHAnsi" w:hAnsiTheme="majorHAnsi"/>
          <w:spacing w:val="-2"/>
          <w:sz w:val="20"/>
          <w:szCs w:val="20"/>
        </w:rPr>
        <w:t xml:space="preserve"> </w:t>
      </w:r>
      <w:r w:rsidRPr="000977F7">
        <w:rPr>
          <w:rFonts w:asciiTheme="majorHAnsi" w:hAnsiTheme="majorHAnsi"/>
          <w:sz w:val="20"/>
          <w:szCs w:val="20"/>
        </w:rPr>
        <w:t>середній</w:t>
      </w:r>
      <w:r w:rsidRPr="000977F7">
        <w:rPr>
          <w:rFonts w:asciiTheme="majorHAnsi" w:hAnsiTheme="majorHAnsi"/>
          <w:spacing w:val="-1"/>
          <w:sz w:val="20"/>
          <w:szCs w:val="20"/>
        </w:rPr>
        <w:t xml:space="preserve"> </w:t>
      </w:r>
      <w:r w:rsidRPr="000977F7">
        <w:rPr>
          <w:rFonts w:asciiTheme="majorHAnsi" w:hAnsiTheme="majorHAnsi"/>
          <w:sz w:val="20"/>
          <w:szCs w:val="20"/>
        </w:rPr>
        <w:t>період</w:t>
      </w:r>
    </w:p>
    <w:p w14:paraId="76DABEB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3038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0D46FC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ДОПУСТИМІ</w:t>
      </w:r>
      <w:r w:rsidRPr="000977F7">
        <w:rPr>
          <w:color w:val="auto"/>
          <w:spacing w:val="-5"/>
          <w:sz w:val="20"/>
          <w:szCs w:val="20"/>
        </w:rPr>
        <w:t xml:space="preserve"> </w:t>
      </w:r>
      <w:r w:rsidRPr="000977F7">
        <w:rPr>
          <w:color w:val="auto"/>
          <w:sz w:val="20"/>
          <w:szCs w:val="20"/>
        </w:rPr>
        <w:t>МІКРОКЛІМАТИЧНІ</w:t>
      </w:r>
      <w:r w:rsidRPr="000977F7">
        <w:rPr>
          <w:color w:val="auto"/>
          <w:spacing w:val="-3"/>
          <w:sz w:val="20"/>
          <w:szCs w:val="20"/>
        </w:rPr>
        <w:t xml:space="preserve"> </w:t>
      </w:r>
      <w:r w:rsidRPr="000977F7">
        <w:rPr>
          <w:color w:val="auto"/>
          <w:sz w:val="20"/>
          <w:szCs w:val="20"/>
        </w:rPr>
        <w:t>УМОВИ</w:t>
      </w:r>
      <w:r w:rsidRPr="000977F7">
        <w:rPr>
          <w:color w:val="auto"/>
          <w:spacing w:val="-3"/>
          <w:sz w:val="20"/>
          <w:szCs w:val="20"/>
        </w:rPr>
        <w:t xml:space="preserve"> </w:t>
      </w:r>
      <w:r w:rsidRPr="000977F7">
        <w:rPr>
          <w:color w:val="auto"/>
          <w:sz w:val="20"/>
          <w:szCs w:val="20"/>
        </w:rPr>
        <w:t>—</w:t>
      </w:r>
    </w:p>
    <w:p w14:paraId="30D1807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w:t>
      </w:r>
      <w:r w:rsidRPr="000977F7">
        <w:rPr>
          <w:rFonts w:asciiTheme="majorHAnsi" w:hAnsiTheme="majorHAnsi"/>
          <w:spacing w:val="1"/>
          <w:sz w:val="20"/>
          <w:szCs w:val="20"/>
        </w:rPr>
        <w:t xml:space="preserve"> </w:t>
      </w:r>
      <w:r w:rsidRPr="000977F7">
        <w:rPr>
          <w:rFonts w:asciiTheme="majorHAnsi" w:hAnsiTheme="majorHAnsi"/>
          <w:sz w:val="20"/>
          <w:szCs w:val="20"/>
        </w:rPr>
        <w:t>мікрокліматичних чинників,</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умовах</w:t>
      </w:r>
      <w:r w:rsidRPr="000977F7">
        <w:rPr>
          <w:rFonts w:asciiTheme="majorHAnsi" w:hAnsiTheme="majorHAnsi"/>
          <w:spacing w:val="1"/>
          <w:sz w:val="20"/>
          <w:szCs w:val="20"/>
        </w:rPr>
        <w:t xml:space="preserve"> </w:t>
      </w:r>
      <w:r w:rsidRPr="000977F7">
        <w:rPr>
          <w:rFonts w:asciiTheme="majorHAnsi" w:hAnsiTheme="majorHAnsi"/>
          <w:sz w:val="20"/>
          <w:szCs w:val="20"/>
        </w:rPr>
        <w:t>тривалого і систематичного діяння на людину хоча й</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викликати</w:t>
      </w:r>
      <w:r w:rsidRPr="000977F7">
        <w:rPr>
          <w:rFonts w:asciiTheme="majorHAnsi" w:hAnsiTheme="majorHAnsi"/>
          <w:spacing w:val="1"/>
          <w:sz w:val="20"/>
          <w:szCs w:val="20"/>
        </w:rPr>
        <w:t xml:space="preserve"> </w:t>
      </w:r>
      <w:r w:rsidRPr="000977F7">
        <w:rPr>
          <w:rFonts w:asciiTheme="majorHAnsi" w:hAnsiTheme="majorHAnsi"/>
          <w:sz w:val="20"/>
          <w:szCs w:val="20"/>
        </w:rPr>
        <w:t>дискомфортні</w:t>
      </w:r>
      <w:r w:rsidRPr="000977F7">
        <w:rPr>
          <w:rFonts w:asciiTheme="majorHAnsi" w:hAnsiTheme="majorHAnsi"/>
          <w:spacing w:val="1"/>
          <w:sz w:val="20"/>
          <w:szCs w:val="20"/>
        </w:rPr>
        <w:t xml:space="preserve"> </w:t>
      </w:r>
      <w:r w:rsidRPr="000977F7">
        <w:rPr>
          <w:rFonts w:asciiTheme="majorHAnsi" w:hAnsiTheme="majorHAnsi"/>
          <w:sz w:val="20"/>
          <w:szCs w:val="20"/>
        </w:rPr>
        <w:t>відчуття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зміни</w:t>
      </w:r>
      <w:r w:rsidRPr="000977F7">
        <w:rPr>
          <w:rFonts w:asciiTheme="majorHAnsi" w:hAnsiTheme="majorHAnsi"/>
          <w:spacing w:val="1"/>
          <w:sz w:val="20"/>
          <w:szCs w:val="20"/>
        </w:rPr>
        <w:t xml:space="preserve"> </w:t>
      </w:r>
      <w:r w:rsidRPr="000977F7">
        <w:rPr>
          <w:rFonts w:asciiTheme="majorHAnsi" w:hAnsiTheme="majorHAnsi"/>
          <w:sz w:val="20"/>
          <w:szCs w:val="20"/>
        </w:rPr>
        <w:t>теплового стану організму, але швидко минають і нормалізуються за рахунок напруження механізмів терморегуляції в межах фізіологічних пристосувальних</w:t>
      </w:r>
      <w:r w:rsidRPr="000977F7">
        <w:rPr>
          <w:rFonts w:asciiTheme="majorHAnsi" w:hAnsiTheme="majorHAnsi"/>
          <w:spacing w:val="1"/>
          <w:sz w:val="20"/>
          <w:szCs w:val="20"/>
        </w:rPr>
        <w:t xml:space="preserve"> </w:t>
      </w:r>
      <w:r w:rsidRPr="000977F7">
        <w:rPr>
          <w:rFonts w:asciiTheme="majorHAnsi" w:hAnsiTheme="majorHAnsi"/>
          <w:sz w:val="20"/>
          <w:szCs w:val="20"/>
        </w:rPr>
        <w:t>можливостей</w:t>
      </w:r>
    </w:p>
    <w:p w14:paraId="7039EDC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3038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964E7D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ДОСЛІД</w:t>
      </w:r>
      <w:r w:rsidRPr="000977F7">
        <w:rPr>
          <w:color w:val="auto"/>
          <w:spacing w:val="-3"/>
          <w:sz w:val="20"/>
          <w:szCs w:val="20"/>
        </w:rPr>
        <w:t xml:space="preserve"> </w:t>
      </w:r>
      <w:r w:rsidRPr="000977F7">
        <w:rPr>
          <w:color w:val="auto"/>
          <w:sz w:val="20"/>
          <w:szCs w:val="20"/>
        </w:rPr>
        <w:t>–</w:t>
      </w:r>
    </w:p>
    <w:p w14:paraId="2F1F855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Відтворення</w:t>
      </w:r>
      <w:r w:rsidRPr="000977F7">
        <w:rPr>
          <w:rFonts w:asciiTheme="majorHAnsi" w:hAnsiTheme="majorHAnsi"/>
          <w:spacing w:val="1"/>
          <w:sz w:val="20"/>
          <w:szCs w:val="20"/>
        </w:rPr>
        <w:t xml:space="preserve"> </w:t>
      </w:r>
      <w:r w:rsidRPr="000977F7">
        <w:rPr>
          <w:rFonts w:asciiTheme="majorHAnsi" w:hAnsiTheme="majorHAnsi"/>
          <w:sz w:val="20"/>
          <w:szCs w:val="20"/>
        </w:rPr>
        <w:t>досліджуваного</w:t>
      </w:r>
      <w:r w:rsidRPr="000977F7">
        <w:rPr>
          <w:rFonts w:asciiTheme="majorHAnsi" w:hAnsiTheme="majorHAnsi"/>
          <w:spacing w:val="1"/>
          <w:sz w:val="20"/>
          <w:szCs w:val="20"/>
        </w:rPr>
        <w:t xml:space="preserve"> </w:t>
      </w:r>
      <w:r w:rsidRPr="000977F7">
        <w:rPr>
          <w:rFonts w:asciiTheme="majorHAnsi" w:hAnsiTheme="majorHAnsi"/>
          <w:sz w:val="20"/>
          <w:szCs w:val="20"/>
        </w:rPr>
        <w:t>явища</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визначених</w:t>
      </w:r>
      <w:r w:rsidRPr="000977F7">
        <w:rPr>
          <w:rFonts w:asciiTheme="majorHAnsi" w:hAnsiTheme="majorHAnsi"/>
          <w:spacing w:val="-47"/>
          <w:sz w:val="20"/>
          <w:szCs w:val="20"/>
        </w:rPr>
        <w:t xml:space="preserve"> </w:t>
      </w:r>
      <w:r w:rsidRPr="000977F7">
        <w:rPr>
          <w:rFonts w:asciiTheme="majorHAnsi" w:hAnsiTheme="majorHAnsi"/>
          <w:sz w:val="20"/>
          <w:szCs w:val="20"/>
        </w:rPr>
        <w:t>умовах</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1"/>
          <w:sz w:val="20"/>
          <w:szCs w:val="20"/>
        </w:rPr>
        <w:t xml:space="preserve"> </w:t>
      </w:r>
      <w:r w:rsidRPr="000977F7">
        <w:rPr>
          <w:rFonts w:asciiTheme="majorHAnsi" w:hAnsiTheme="majorHAnsi"/>
          <w:sz w:val="20"/>
          <w:szCs w:val="20"/>
        </w:rPr>
        <w:t>експерименту</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можливості</w:t>
      </w:r>
      <w:r w:rsidRPr="000977F7">
        <w:rPr>
          <w:rFonts w:asciiTheme="majorHAnsi" w:hAnsiTheme="majorHAnsi"/>
          <w:spacing w:val="1"/>
          <w:sz w:val="20"/>
          <w:szCs w:val="20"/>
        </w:rPr>
        <w:t xml:space="preserve"> </w:t>
      </w:r>
      <w:r w:rsidRPr="000977F7">
        <w:rPr>
          <w:rFonts w:asciiTheme="majorHAnsi" w:hAnsiTheme="majorHAnsi"/>
          <w:sz w:val="20"/>
          <w:szCs w:val="20"/>
        </w:rPr>
        <w:t>реєстрації</w:t>
      </w:r>
      <w:r w:rsidRPr="000977F7">
        <w:rPr>
          <w:rFonts w:asciiTheme="majorHAnsi" w:hAnsiTheme="majorHAnsi"/>
          <w:spacing w:val="-2"/>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результатів</w:t>
      </w:r>
    </w:p>
    <w:p w14:paraId="674A364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ДОСЛІДЖЕННЯ</w:t>
      </w:r>
      <w:r w:rsidRPr="000977F7">
        <w:rPr>
          <w:color w:val="auto"/>
          <w:spacing w:val="-4"/>
          <w:sz w:val="20"/>
          <w:szCs w:val="20"/>
        </w:rPr>
        <w:t xml:space="preserve"> </w:t>
      </w:r>
      <w:r w:rsidRPr="000977F7">
        <w:rPr>
          <w:color w:val="auto"/>
          <w:sz w:val="20"/>
          <w:szCs w:val="20"/>
        </w:rPr>
        <w:t>ПОПИТУ</w:t>
      </w:r>
      <w:r w:rsidRPr="000977F7">
        <w:rPr>
          <w:color w:val="auto"/>
          <w:spacing w:val="-1"/>
          <w:sz w:val="20"/>
          <w:szCs w:val="20"/>
        </w:rPr>
        <w:t xml:space="preserve"> </w:t>
      </w:r>
      <w:r w:rsidRPr="000977F7">
        <w:rPr>
          <w:color w:val="auto"/>
          <w:sz w:val="20"/>
          <w:szCs w:val="20"/>
        </w:rPr>
        <w:t>–</w:t>
      </w:r>
    </w:p>
    <w:p w14:paraId="251181C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Перший етап дослідження кон’юнктури ринків збуту,</w:t>
      </w:r>
      <w:r w:rsidRPr="000977F7">
        <w:rPr>
          <w:rFonts w:asciiTheme="majorHAnsi" w:hAnsiTheme="majorHAnsi"/>
          <w:spacing w:val="-47"/>
          <w:sz w:val="20"/>
          <w:szCs w:val="20"/>
        </w:rPr>
        <w:t xml:space="preserve"> </w:t>
      </w:r>
      <w:r w:rsidRPr="000977F7">
        <w:rPr>
          <w:rFonts w:asciiTheme="majorHAnsi" w:hAnsiTheme="majorHAnsi"/>
          <w:sz w:val="20"/>
          <w:szCs w:val="20"/>
        </w:rPr>
        <w:t>який</w:t>
      </w:r>
      <w:r w:rsidRPr="000977F7">
        <w:rPr>
          <w:rFonts w:asciiTheme="majorHAnsi" w:hAnsiTheme="majorHAnsi"/>
          <w:spacing w:val="-3"/>
          <w:sz w:val="20"/>
          <w:szCs w:val="20"/>
        </w:rPr>
        <w:t xml:space="preserve"> </w:t>
      </w:r>
      <w:r w:rsidRPr="000977F7">
        <w:rPr>
          <w:rFonts w:asciiTheme="majorHAnsi" w:hAnsiTheme="majorHAnsi"/>
          <w:sz w:val="20"/>
          <w:szCs w:val="20"/>
        </w:rPr>
        <w:t>полягає</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всебічному</w:t>
      </w:r>
      <w:r w:rsidRPr="000977F7">
        <w:rPr>
          <w:rFonts w:asciiTheme="majorHAnsi" w:hAnsiTheme="majorHAnsi"/>
          <w:spacing w:val="-5"/>
          <w:sz w:val="20"/>
          <w:szCs w:val="20"/>
        </w:rPr>
        <w:t xml:space="preserve"> </w:t>
      </w:r>
      <w:r w:rsidRPr="000977F7">
        <w:rPr>
          <w:rFonts w:asciiTheme="majorHAnsi" w:hAnsiTheme="majorHAnsi"/>
          <w:sz w:val="20"/>
          <w:szCs w:val="20"/>
        </w:rPr>
        <w:t>вивчені</w:t>
      </w:r>
      <w:r w:rsidRPr="000977F7">
        <w:rPr>
          <w:rFonts w:asciiTheme="majorHAnsi" w:hAnsiTheme="majorHAnsi"/>
          <w:spacing w:val="-3"/>
          <w:sz w:val="20"/>
          <w:szCs w:val="20"/>
        </w:rPr>
        <w:t xml:space="preserve"> </w:t>
      </w:r>
      <w:r w:rsidRPr="000977F7">
        <w:rPr>
          <w:rFonts w:asciiTheme="majorHAnsi" w:hAnsiTheme="majorHAnsi"/>
          <w:sz w:val="20"/>
          <w:szCs w:val="20"/>
        </w:rPr>
        <w:t>споживача</w:t>
      </w:r>
    </w:p>
    <w:p w14:paraId="2BABD74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A6DA20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ДОСЛІДЖЕННЯ</w:t>
      </w:r>
      <w:r w:rsidRPr="000977F7">
        <w:rPr>
          <w:color w:val="auto"/>
          <w:spacing w:val="-5"/>
          <w:sz w:val="20"/>
          <w:szCs w:val="20"/>
        </w:rPr>
        <w:t xml:space="preserve"> </w:t>
      </w:r>
      <w:r w:rsidRPr="000977F7">
        <w:rPr>
          <w:color w:val="auto"/>
          <w:sz w:val="20"/>
          <w:szCs w:val="20"/>
        </w:rPr>
        <w:t>РИНКІВ</w:t>
      </w:r>
      <w:r w:rsidRPr="000977F7">
        <w:rPr>
          <w:color w:val="auto"/>
          <w:spacing w:val="-2"/>
          <w:sz w:val="20"/>
          <w:szCs w:val="20"/>
        </w:rPr>
        <w:t xml:space="preserve"> </w:t>
      </w:r>
      <w:r w:rsidRPr="000977F7">
        <w:rPr>
          <w:color w:val="auto"/>
          <w:sz w:val="20"/>
          <w:szCs w:val="20"/>
        </w:rPr>
        <w:t>ЗБУТУ</w:t>
      </w:r>
      <w:r w:rsidRPr="000977F7">
        <w:rPr>
          <w:color w:val="auto"/>
          <w:spacing w:val="-1"/>
          <w:sz w:val="20"/>
          <w:szCs w:val="20"/>
        </w:rPr>
        <w:t xml:space="preserve"> </w:t>
      </w:r>
      <w:r w:rsidRPr="000977F7">
        <w:rPr>
          <w:color w:val="auto"/>
          <w:sz w:val="20"/>
          <w:szCs w:val="20"/>
        </w:rPr>
        <w:t>–</w:t>
      </w:r>
    </w:p>
    <w:p w14:paraId="5AEE5A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Безперервне оброблення інформації щодо всіх аспектів ситуації на ринку за допомогою даних офіційної</w:t>
      </w:r>
      <w:r w:rsidRPr="000977F7">
        <w:rPr>
          <w:rFonts w:asciiTheme="majorHAnsi" w:hAnsiTheme="majorHAnsi"/>
          <w:spacing w:val="1"/>
          <w:sz w:val="20"/>
          <w:szCs w:val="20"/>
        </w:rPr>
        <w:t xml:space="preserve"> </w:t>
      </w:r>
      <w:r w:rsidRPr="000977F7">
        <w:rPr>
          <w:rFonts w:asciiTheme="majorHAnsi" w:hAnsiTheme="majorHAnsi"/>
          <w:sz w:val="20"/>
          <w:szCs w:val="20"/>
        </w:rPr>
        <w:t>статистики, комерційної інформації, рекламних проспектів</w:t>
      </w:r>
      <w:r w:rsidRPr="000977F7">
        <w:rPr>
          <w:rFonts w:asciiTheme="majorHAnsi" w:hAnsiTheme="majorHAnsi"/>
          <w:spacing w:val="-2"/>
          <w:sz w:val="20"/>
          <w:szCs w:val="20"/>
        </w:rPr>
        <w:t xml:space="preserve"> </w:t>
      </w:r>
      <w:r w:rsidRPr="000977F7">
        <w:rPr>
          <w:rFonts w:asciiTheme="majorHAnsi" w:hAnsiTheme="majorHAnsi"/>
          <w:sz w:val="20"/>
          <w:szCs w:val="20"/>
        </w:rPr>
        <w:t>та ін.</w:t>
      </w:r>
    </w:p>
    <w:p w14:paraId="0504B7F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1129B5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ДОСЛІДЖЕННЯ ТА ОБГРУНТУВАННЯ </w:t>
      </w:r>
    </w:p>
    <w:p w14:paraId="61DDD77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РОЗРО</w:t>
      </w:r>
      <w:r w:rsidRPr="000977F7">
        <w:rPr>
          <w:color w:val="auto"/>
          <w:spacing w:val="-47"/>
          <w:sz w:val="20"/>
          <w:szCs w:val="20"/>
        </w:rPr>
        <w:t xml:space="preserve"> </w:t>
      </w:r>
      <w:r w:rsidRPr="000977F7">
        <w:rPr>
          <w:color w:val="auto"/>
          <w:sz w:val="20"/>
          <w:szCs w:val="20"/>
        </w:rPr>
        <w:t>БКИ –</w:t>
      </w:r>
    </w:p>
    <w:p w14:paraId="16A06E1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Стадія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життєвого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циклу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виникнення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задуму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обґрунтування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можливості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доцільності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створення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виробів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 матеріалів</w:t>
      </w:r>
    </w:p>
    <w:p w14:paraId="23AC2B1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EFEF1A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ДОСЛІДНА</w:t>
      </w:r>
      <w:r w:rsidRPr="000977F7">
        <w:rPr>
          <w:color w:val="auto"/>
          <w:spacing w:val="-5"/>
          <w:sz w:val="20"/>
          <w:szCs w:val="20"/>
        </w:rPr>
        <w:t xml:space="preserve"> </w:t>
      </w:r>
      <w:r w:rsidRPr="000977F7">
        <w:rPr>
          <w:color w:val="auto"/>
          <w:sz w:val="20"/>
          <w:szCs w:val="20"/>
        </w:rPr>
        <w:t>АПРОБАЦІЯ</w:t>
      </w:r>
      <w:r w:rsidRPr="000977F7">
        <w:rPr>
          <w:color w:val="auto"/>
          <w:spacing w:val="-1"/>
          <w:sz w:val="20"/>
          <w:szCs w:val="20"/>
        </w:rPr>
        <w:t xml:space="preserve"> </w:t>
      </w:r>
      <w:r w:rsidRPr="000977F7">
        <w:rPr>
          <w:color w:val="auto"/>
          <w:sz w:val="20"/>
          <w:szCs w:val="20"/>
        </w:rPr>
        <w:t>–</w:t>
      </w:r>
    </w:p>
    <w:p w14:paraId="358A09C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Формування та вивчення попиту споживача на розроблену продукцію за результатами реалізації дослідної</w:t>
      </w:r>
      <w:r w:rsidRPr="000977F7">
        <w:rPr>
          <w:rFonts w:asciiTheme="majorHAnsi" w:hAnsiTheme="majorHAnsi"/>
          <w:spacing w:val="1"/>
          <w:sz w:val="20"/>
          <w:szCs w:val="20"/>
        </w:rPr>
        <w:t xml:space="preserve"> </w:t>
      </w:r>
      <w:r w:rsidRPr="000977F7">
        <w:rPr>
          <w:rFonts w:asciiTheme="majorHAnsi" w:hAnsiTheme="majorHAnsi"/>
          <w:sz w:val="20"/>
          <w:szCs w:val="20"/>
        </w:rPr>
        <w:t>партії</w:t>
      </w:r>
    </w:p>
    <w:p w14:paraId="0BA71821"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3278</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245559DF" w14:textId="77777777" w:rsidR="0097612F" w:rsidRPr="004D2D14" w:rsidRDefault="0097612F" w:rsidP="000977F7">
      <w:pPr>
        <w:tabs>
          <w:tab w:val="left" w:pos="284"/>
        </w:tabs>
        <w:spacing w:after="0" w:line="240" w:lineRule="auto"/>
        <w:ind w:left="170"/>
        <w:mirrorIndents/>
        <w:jc w:val="both"/>
        <w:rPr>
          <w:rFonts w:asciiTheme="majorHAnsi" w:hAnsiTheme="majorHAnsi"/>
          <w:spacing w:val="-47"/>
          <w:sz w:val="20"/>
          <w:szCs w:val="20"/>
          <w:lang w:val="en-US"/>
        </w:rPr>
      </w:pPr>
      <w:r w:rsidRPr="000977F7">
        <w:rPr>
          <w:rFonts w:asciiTheme="majorHAnsi" w:hAnsiTheme="majorHAnsi"/>
          <w:b/>
          <w:sz w:val="20"/>
          <w:szCs w:val="20"/>
        </w:rPr>
        <w:t>ДОСЛІДНА</w:t>
      </w:r>
      <w:r w:rsidRPr="004D2D14">
        <w:rPr>
          <w:rFonts w:asciiTheme="majorHAnsi" w:hAnsiTheme="majorHAnsi"/>
          <w:b/>
          <w:sz w:val="20"/>
          <w:szCs w:val="20"/>
          <w:lang w:val="en-US"/>
        </w:rPr>
        <w:t xml:space="preserve"> </w:t>
      </w:r>
      <w:r w:rsidRPr="000977F7">
        <w:rPr>
          <w:rFonts w:asciiTheme="majorHAnsi" w:hAnsiTheme="majorHAnsi"/>
          <w:b/>
          <w:sz w:val="20"/>
          <w:szCs w:val="20"/>
        </w:rPr>
        <w:t>ЕКСПЛУАТАЦІЯ</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p>
    <w:p w14:paraId="7965761B"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FIELD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RELIABILITY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4470EF8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Експлуатація</w:t>
      </w:r>
      <w:r w:rsidRPr="004D2D14">
        <w:rPr>
          <w:rFonts w:asciiTheme="majorHAnsi" w:hAnsiTheme="majorHAnsi"/>
          <w:spacing w:val="1"/>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яка</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проводиться</w:t>
      </w:r>
      <w:r w:rsidRPr="004D2D14">
        <w:rPr>
          <w:rFonts w:asciiTheme="majorHAnsi" w:hAnsiTheme="majorHAnsi"/>
          <w:spacing w:val="1"/>
          <w:sz w:val="20"/>
          <w:szCs w:val="20"/>
          <w:lang w:val="en-US"/>
        </w:rPr>
        <w:t xml:space="preserve"> </w:t>
      </w:r>
      <w:r w:rsidRPr="000977F7">
        <w:rPr>
          <w:rFonts w:asciiTheme="majorHAnsi" w:hAnsiTheme="majorHAnsi"/>
          <w:sz w:val="20"/>
          <w:szCs w:val="20"/>
        </w:rPr>
        <w:t>з</w:t>
      </w:r>
      <w:r w:rsidRPr="004D2D14">
        <w:rPr>
          <w:rFonts w:asciiTheme="majorHAnsi" w:hAnsiTheme="majorHAnsi"/>
          <w:spacing w:val="1"/>
          <w:sz w:val="20"/>
          <w:szCs w:val="20"/>
          <w:lang w:val="en-US"/>
        </w:rPr>
        <w:t xml:space="preserve"> </w:t>
      </w:r>
      <w:r w:rsidRPr="000977F7">
        <w:rPr>
          <w:rFonts w:asciiTheme="majorHAnsi" w:hAnsiTheme="majorHAnsi"/>
          <w:sz w:val="20"/>
          <w:szCs w:val="20"/>
        </w:rPr>
        <w:t>метою</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вивчення</w:t>
      </w:r>
      <w:r w:rsidRPr="004D2D14">
        <w:rPr>
          <w:rFonts w:asciiTheme="majorHAnsi" w:hAnsiTheme="majorHAnsi"/>
          <w:sz w:val="20"/>
          <w:szCs w:val="20"/>
          <w:lang w:val="en-US"/>
        </w:rPr>
        <w:t xml:space="preserve"> </w:t>
      </w:r>
      <w:r w:rsidRPr="000977F7">
        <w:rPr>
          <w:rFonts w:asciiTheme="majorHAnsi" w:hAnsiTheme="majorHAnsi"/>
          <w:sz w:val="20"/>
          <w:szCs w:val="20"/>
        </w:rPr>
        <w:t>його</w:t>
      </w:r>
      <w:r w:rsidRPr="004D2D14">
        <w:rPr>
          <w:rFonts w:asciiTheme="majorHAnsi" w:hAnsiTheme="majorHAnsi"/>
          <w:sz w:val="20"/>
          <w:szCs w:val="20"/>
          <w:lang w:val="en-US"/>
        </w:rPr>
        <w:t xml:space="preserve"> </w:t>
      </w:r>
      <w:r w:rsidRPr="000977F7">
        <w:rPr>
          <w:rFonts w:asciiTheme="majorHAnsi" w:hAnsiTheme="majorHAnsi"/>
          <w:sz w:val="20"/>
          <w:szCs w:val="20"/>
        </w:rPr>
        <w:t>експлуатаційних</w:t>
      </w:r>
      <w:r w:rsidRPr="004D2D14">
        <w:rPr>
          <w:rFonts w:asciiTheme="majorHAnsi" w:hAnsiTheme="majorHAnsi"/>
          <w:sz w:val="20"/>
          <w:szCs w:val="20"/>
          <w:lang w:val="en-US"/>
        </w:rPr>
        <w:t xml:space="preserve"> </w:t>
      </w:r>
      <w:r w:rsidRPr="000977F7">
        <w:rPr>
          <w:rFonts w:asciiTheme="majorHAnsi" w:hAnsiTheme="majorHAnsi"/>
          <w:sz w:val="20"/>
          <w:szCs w:val="20"/>
        </w:rPr>
        <w:t>показників</w:t>
      </w:r>
      <w:r w:rsidRPr="004D2D14">
        <w:rPr>
          <w:rFonts w:asciiTheme="majorHAnsi" w:hAnsiTheme="majorHAnsi"/>
          <w:sz w:val="20"/>
          <w:szCs w:val="20"/>
          <w:lang w:val="en-US"/>
        </w:rPr>
        <w:t xml:space="preserve"> </w:t>
      </w:r>
      <w:r w:rsidRPr="000977F7">
        <w:rPr>
          <w:rFonts w:asciiTheme="majorHAnsi" w:hAnsiTheme="majorHAnsi"/>
          <w:sz w:val="20"/>
          <w:szCs w:val="20"/>
        </w:rPr>
        <w:t>спеціально</w:t>
      </w:r>
      <w:r w:rsidRPr="004D2D14">
        <w:rPr>
          <w:rFonts w:asciiTheme="majorHAnsi" w:hAnsiTheme="majorHAnsi"/>
          <w:spacing w:val="1"/>
          <w:sz w:val="20"/>
          <w:szCs w:val="20"/>
          <w:lang w:val="en-US"/>
        </w:rPr>
        <w:t xml:space="preserve"> </w:t>
      </w:r>
      <w:r w:rsidRPr="000977F7">
        <w:rPr>
          <w:rFonts w:asciiTheme="majorHAnsi" w:hAnsiTheme="majorHAnsi"/>
          <w:sz w:val="20"/>
          <w:szCs w:val="20"/>
        </w:rPr>
        <w:t>підготовленим</w:t>
      </w:r>
      <w:r w:rsidRPr="004D2D14">
        <w:rPr>
          <w:rFonts w:asciiTheme="majorHAnsi" w:hAnsiTheme="majorHAnsi"/>
          <w:sz w:val="20"/>
          <w:szCs w:val="20"/>
          <w:lang w:val="en-US"/>
        </w:rPr>
        <w:t xml:space="preserve"> </w:t>
      </w:r>
      <w:r w:rsidRPr="000977F7">
        <w:rPr>
          <w:rFonts w:asciiTheme="majorHAnsi" w:hAnsiTheme="majorHAnsi"/>
          <w:sz w:val="20"/>
          <w:szCs w:val="20"/>
        </w:rPr>
        <w:t>персоналом</w:t>
      </w:r>
      <w:r w:rsidRPr="004D2D14">
        <w:rPr>
          <w:rFonts w:asciiTheme="majorHAnsi" w:hAnsiTheme="majorHAnsi"/>
          <w:sz w:val="20"/>
          <w:szCs w:val="20"/>
          <w:lang w:val="en-US"/>
        </w:rPr>
        <w:t xml:space="preserve"> </w:t>
      </w:r>
      <w:r w:rsidRPr="000977F7">
        <w:rPr>
          <w:rFonts w:asciiTheme="majorHAnsi" w:hAnsiTheme="majorHAnsi"/>
          <w:sz w:val="20"/>
          <w:szCs w:val="20"/>
        </w:rPr>
        <w:t>за</w:t>
      </w:r>
      <w:r w:rsidRPr="004D2D14">
        <w:rPr>
          <w:rFonts w:asciiTheme="majorHAnsi" w:hAnsiTheme="majorHAnsi"/>
          <w:sz w:val="20"/>
          <w:szCs w:val="20"/>
          <w:lang w:val="en-US"/>
        </w:rPr>
        <w:t xml:space="preserve"> </w:t>
      </w:r>
      <w:r w:rsidRPr="000977F7">
        <w:rPr>
          <w:rFonts w:asciiTheme="majorHAnsi" w:hAnsiTheme="majorHAnsi"/>
          <w:sz w:val="20"/>
          <w:szCs w:val="20"/>
        </w:rPr>
        <w:t>визначеною</w:t>
      </w:r>
      <w:r w:rsidRPr="004D2D14">
        <w:rPr>
          <w:rFonts w:asciiTheme="majorHAnsi" w:hAnsiTheme="majorHAnsi"/>
          <w:sz w:val="20"/>
          <w:szCs w:val="20"/>
          <w:lang w:val="en-US"/>
        </w:rPr>
        <w:t xml:space="preserve"> </w:t>
      </w:r>
      <w:r w:rsidRPr="000977F7">
        <w:rPr>
          <w:rFonts w:asciiTheme="majorHAnsi" w:hAnsiTheme="majorHAnsi"/>
          <w:sz w:val="20"/>
          <w:szCs w:val="20"/>
        </w:rPr>
        <w:t>програмою</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r w:rsidRPr="000977F7">
        <w:rPr>
          <w:rFonts w:asciiTheme="majorHAnsi" w:hAnsiTheme="majorHAnsi"/>
          <w:sz w:val="20"/>
          <w:szCs w:val="20"/>
        </w:rPr>
        <w:t>яка</w:t>
      </w:r>
      <w:r w:rsidRPr="004D2D14">
        <w:rPr>
          <w:rFonts w:asciiTheme="majorHAnsi" w:hAnsiTheme="majorHAnsi"/>
          <w:sz w:val="20"/>
          <w:szCs w:val="20"/>
          <w:lang w:val="en-US"/>
        </w:rPr>
        <w:t xml:space="preserve"> </w:t>
      </w:r>
      <w:r w:rsidRPr="000977F7">
        <w:rPr>
          <w:rFonts w:asciiTheme="majorHAnsi" w:hAnsiTheme="majorHAnsi"/>
          <w:sz w:val="20"/>
          <w:szCs w:val="20"/>
        </w:rPr>
        <w:t>регламентує</w:t>
      </w:r>
      <w:r w:rsidRPr="004D2D14">
        <w:rPr>
          <w:rFonts w:asciiTheme="majorHAnsi" w:hAnsiTheme="majorHAnsi"/>
          <w:sz w:val="20"/>
          <w:szCs w:val="20"/>
          <w:lang w:val="en-US"/>
        </w:rPr>
        <w:t xml:space="preserve"> </w:t>
      </w:r>
      <w:r w:rsidRPr="000977F7">
        <w:rPr>
          <w:rFonts w:asciiTheme="majorHAnsi" w:hAnsiTheme="majorHAnsi"/>
          <w:sz w:val="20"/>
          <w:szCs w:val="20"/>
        </w:rPr>
        <w:t>умови</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режим</w:t>
      </w:r>
      <w:r w:rsidRPr="004D2D14">
        <w:rPr>
          <w:rFonts w:asciiTheme="majorHAnsi" w:hAnsiTheme="majorHAnsi"/>
          <w:sz w:val="20"/>
          <w:szCs w:val="20"/>
          <w:lang w:val="en-US"/>
        </w:rPr>
        <w:t xml:space="preserve"> </w:t>
      </w:r>
      <w:r w:rsidRPr="000977F7">
        <w:rPr>
          <w:rFonts w:asciiTheme="majorHAnsi" w:hAnsiTheme="majorHAnsi"/>
          <w:sz w:val="20"/>
          <w:szCs w:val="20"/>
        </w:rPr>
        <w:t>експлуатації</w:t>
      </w:r>
      <w:r w:rsidRPr="004D2D14">
        <w:rPr>
          <w:rFonts w:asciiTheme="majorHAnsi" w:hAnsiTheme="majorHAnsi"/>
          <w:sz w:val="20"/>
          <w:szCs w:val="20"/>
          <w:lang w:val="en-US"/>
        </w:rPr>
        <w:t xml:space="preserve">, </w:t>
      </w:r>
      <w:r w:rsidRPr="000977F7">
        <w:rPr>
          <w:rFonts w:asciiTheme="majorHAnsi" w:hAnsiTheme="majorHAnsi"/>
          <w:sz w:val="20"/>
          <w:szCs w:val="20"/>
        </w:rPr>
        <w:t>контроль</w:t>
      </w:r>
      <w:r w:rsidRPr="004D2D14">
        <w:rPr>
          <w:rFonts w:asciiTheme="majorHAnsi" w:hAnsiTheme="majorHAnsi"/>
          <w:spacing w:val="-47"/>
          <w:sz w:val="20"/>
          <w:szCs w:val="20"/>
          <w:lang w:val="en-US"/>
        </w:rPr>
        <w:t xml:space="preserve"> </w:t>
      </w:r>
      <w:r w:rsidRPr="000977F7">
        <w:rPr>
          <w:rFonts w:asciiTheme="majorHAnsi" w:hAnsiTheme="majorHAnsi"/>
          <w:sz w:val="20"/>
          <w:szCs w:val="20"/>
        </w:rPr>
        <w:t>стану</w:t>
      </w:r>
      <w:r w:rsidRPr="004D2D14">
        <w:rPr>
          <w:rFonts w:asciiTheme="majorHAnsi" w:hAnsiTheme="majorHAnsi"/>
          <w:spacing w:val="-2"/>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r w:rsidRPr="004D2D14">
        <w:rPr>
          <w:rFonts w:asciiTheme="majorHAnsi" w:hAnsiTheme="majorHAnsi"/>
          <w:spacing w:val="-1"/>
          <w:sz w:val="20"/>
          <w:szCs w:val="20"/>
          <w:lang w:val="en-US"/>
        </w:rPr>
        <w:t xml:space="preserve"> </w:t>
      </w:r>
      <w:r w:rsidRPr="000977F7">
        <w:rPr>
          <w:rFonts w:asciiTheme="majorHAnsi" w:hAnsiTheme="majorHAnsi"/>
          <w:sz w:val="20"/>
          <w:szCs w:val="20"/>
        </w:rPr>
        <w:t>і</w:t>
      </w:r>
      <w:r w:rsidRPr="004D2D14">
        <w:rPr>
          <w:rFonts w:asciiTheme="majorHAnsi" w:hAnsiTheme="majorHAnsi"/>
          <w:spacing w:val="-2"/>
          <w:sz w:val="20"/>
          <w:szCs w:val="20"/>
          <w:lang w:val="en-US"/>
        </w:rPr>
        <w:t xml:space="preserve"> </w:t>
      </w:r>
      <w:r w:rsidRPr="000977F7">
        <w:rPr>
          <w:rFonts w:asciiTheme="majorHAnsi" w:hAnsiTheme="majorHAnsi"/>
          <w:sz w:val="20"/>
          <w:szCs w:val="20"/>
        </w:rPr>
        <w:t>облік</w:t>
      </w:r>
      <w:r w:rsidRPr="004D2D14">
        <w:rPr>
          <w:rFonts w:asciiTheme="majorHAnsi" w:hAnsiTheme="majorHAnsi"/>
          <w:spacing w:val="-1"/>
          <w:sz w:val="20"/>
          <w:szCs w:val="20"/>
          <w:lang w:val="en-US"/>
        </w:rPr>
        <w:t xml:space="preserve"> </w:t>
      </w:r>
      <w:r w:rsidRPr="000977F7">
        <w:rPr>
          <w:rFonts w:asciiTheme="majorHAnsi" w:hAnsiTheme="majorHAnsi"/>
          <w:sz w:val="20"/>
          <w:szCs w:val="20"/>
        </w:rPr>
        <w:t>догляду</w:t>
      </w:r>
      <w:r w:rsidRPr="004D2D14">
        <w:rPr>
          <w:rFonts w:asciiTheme="majorHAnsi" w:hAnsiTheme="majorHAnsi"/>
          <w:spacing w:val="-2"/>
          <w:sz w:val="20"/>
          <w:szCs w:val="20"/>
          <w:lang w:val="en-US"/>
        </w:rPr>
        <w:t xml:space="preserve"> </w:t>
      </w:r>
      <w:r w:rsidRPr="000977F7">
        <w:rPr>
          <w:rFonts w:asciiTheme="majorHAnsi" w:hAnsiTheme="majorHAnsi"/>
          <w:sz w:val="20"/>
          <w:szCs w:val="20"/>
        </w:rPr>
        <w:t>його</w:t>
      </w:r>
      <w:r w:rsidRPr="004D2D14">
        <w:rPr>
          <w:rFonts w:asciiTheme="majorHAnsi" w:hAnsiTheme="majorHAnsi"/>
          <w:sz w:val="20"/>
          <w:szCs w:val="20"/>
          <w:lang w:val="en-US"/>
        </w:rPr>
        <w:t xml:space="preserve"> </w:t>
      </w:r>
      <w:r w:rsidRPr="000977F7">
        <w:rPr>
          <w:rFonts w:asciiTheme="majorHAnsi" w:hAnsiTheme="majorHAnsi"/>
          <w:sz w:val="20"/>
          <w:szCs w:val="20"/>
        </w:rPr>
        <w:t>експлуатації</w:t>
      </w:r>
    </w:p>
    <w:p w14:paraId="3BA2FD4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ДОСЛІДНА</w:t>
      </w:r>
      <w:r w:rsidRPr="000977F7">
        <w:rPr>
          <w:color w:val="auto"/>
          <w:spacing w:val="-3"/>
          <w:sz w:val="20"/>
          <w:szCs w:val="20"/>
        </w:rPr>
        <w:t xml:space="preserve"> </w:t>
      </w:r>
      <w:r w:rsidRPr="000977F7">
        <w:rPr>
          <w:color w:val="auto"/>
          <w:sz w:val="20"/>
          <w:szCs w:val="20"/>
        </w:rPr>
        <w:t>ПАРТІЯ</w:t>
      </w:r>
      <w:r w:rsidRPr="000977F7">
        <w:rPr>
          <w:color w:val="auto"/>
          <w:spacing w:val="-3"/>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76DAFC0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Сукупність</w:t>
      </w:r>
      <w:r w:rsidRPr="004D2D14">
        <w:rPr>
          <w:rFonts w:asciiTheme="majorHAnsi" w:hAnsiTheme="majorHAnsi"/>
          <w:sz w:val="20"/>
          <w:szCs w:val="20"/>
          <w:lang w:val="en-US"/>
        </w:rPr>
        <w:t xml:space="preserve"> </w:t>
      </w:r>
      <w:r w:rsidRPr="000977F7">
        <w:rPr>
          <w:rFonts w:asciiTheme="majorHAnsi" w:hAnsiTheme="majorHAnsi"/>
          <w:sz w:val="20"/>
          <w:szCs w:val="20"/>
        </w:rPr>
        <w:t>дослідних</w:t>
      </w:r>
      <w:r w:rsidRPr="004D2D14">
        <w:rPr>
          <w:rFonts w:asciiTheme="majorHAnsi" w:hAnsiTheme="majorHAnsi"/>
          <w:sz w:val="20"/>
          <w:szCs w:val="20"/>
          <w:lang w:val="en-US"/>
        </w:rPr>
        <w:t xml:space="preserve"> </w:t>
      </w:r>
      <w:r w:rsidRPr="000977F7">
        <w:rPr>
          <w:rFonts w:asciiTheme="majorHAnsi" w:hAnsiTheme="majorHAnsi"/>
          <w:sz w:val="20"/>
          <w:szCs w:val="20"/>
        </w:rPr>
        <w:t>зразків</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певний</w:t>
      </w:r>
      <w:r w:rsidRPr="004D2D14">
        <w:rPr>
          <w:rFonts w:asciiTheme="majorHAnsi" w:hAnsiTheme="majorHAnsi"/>
          <w:sz w:val="20"/>
          <w:szCs w:val="20"/>
          <w:lang w:val="en-US"/>
        </w:rPr>
        <w:t xml:space="preserve"> </w:t>
      </w:r>
      <w:r w:rsidRPr="000977F7">
        <w:rPr>
          <w:rFonts w:asciiTheme="majorHAnsi" w:hAnsiTheme="majorHAnsi"/>
          <w:sz w:val="20"/>
          <w:szCs w:val="20"/>
        </w:rPr>
        <w:t>обсяг</w:t>
      </w:r>
      <w:r w:rsidRPr="004D2D14">
        <w:rPr>
          <w:rFonts w:asciiTheme="majorHAnsi" w:hAnsiTheme="majorHAnsi"/>
          <w:sz w:val="20"/>
          <w:szCs w:val="20"/>
          <w:lang w:val="en-US"/>
        </w:rPr>
        <w:t xml:space="preserve"> </w:t>
      </w:r>
      <w:r w:rsidRPr="000977F7">
        <w:rPr>
          <w:rFonts w:asciiTheme="majorHAnsi" w:hAnsiTheme="majorHAnsi"/>
          <w:sz w:val="20"/>
          <w:szCs w:val="20"/>
        </w:rPr>
        <w:t>непоштучної</w:t>
      </w:r>
      <w:r w:rsidRPr="004D2D14">
        <w:rPr>
          <w:rFonts w:asciiTheme="majorHAnsi" w:hAnsiTheme="majorHAnsi"/>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 xml:space="preserve">, </w:t>
      </w:r>
      <w:r w:rsidRPr="000977F7">
        <w:rPr>
          <w:rFonts w:asciiTheme="majorHAnsi" w:hAnsiTheme="majorHAnsi"/>
          <w:sz w:val="20"/>
          <w:szCs w:val="20"/>
        </w:rPr>
        <w:t>виготовленої</w:t>
      </w:r>
      <w:r w:rsidRPr="004D2D14">
        <w:rPr>
          <w:rFonts w:asciiTheme="majorHAnsi" w:hAnsiTheme="majorHAnsi"/>
          <w:sz w:val="20"/>
          <w:szCs w:val="20"/>
          <w:lang w:val="en-US"/>
        </w:rPr>
        <w:t xml:space="preserve"> </w:t>
      </w:r>
      <w:r w:rsidRPr="000977F7">
        <w:rPr>
          <w:rFonts w:asciiTheme="majorHAnsi" w:hAnsiTheme="majorHAnsi"/>
          <w:sz w:val="20"/>
          <w:szCs w:val="20"/>
        </w:rPr>
        <w:t>за</w:t>
      </w:r>
      <w:r w:rsidRPr="004D2D14">
        <w:rPr>
          <w:rFonts w:asciiTheme="majorHAnsi" w:hAnsiTheme="majorHAnsi"/>
          <w:sz w:val="20"/>
          <w:szCs w:val="20"/>
          <w:lang w:val="en-US"/>
        </w:rPr>
        <w:t xml:space="preserve"> </w:t>
      </w:r>
      <w:r w:rsidRPr="000977F7">
        <w:rPr>
          <w:rFonts w:asciiTheme="majorHAnsi" w:hAnsiTheme="majorHAnsi"/>
          <w:sz w:val="20"/>
          <w:szCs w:val="20"/>
        </w:rPr>
        <w:t>встановлений</w:t>
      </w:r>
      <w:r w:rsidRPr="004D2D14">
        <w:rPr>
          <w:rFonts w:asciiTheme="majorHAnsi" w:hAnsiTheme="majorHAnsi"/>
          <w:sz w:val="20"/>
          <w:szCs w:val="20"/>
          <w:lang w:val="en-US"/>
        </w:rPr>
        <w:t xml:space="preserve"> </w:t>
      </w:r>
      <w:r w:rsidRPr="000977F7">
        <w:rPr>
          <w:rFonts w:asciiTheme="majorHAnsi" w:hAnsiTheme="majorHAnsi"/>
          <w:sz w:val="20"/>
          <w:szCs w:val="20"/>
        </w:rPr>
        <w:t>інтервал</w:t>
      </w:r>
      <w:r w:rsidRPr="004D2D14">
        <w:rPr>
          <w:rFonts w:asciiTheme="majorHAnsi" w:hAnsiTheme="majorHAnsi"/>
          <w:sz w:val="20"/>
          <w:szCs w:val="20"/>
          <w:lang w:val="en-US"/>
        </w:rPr>
        <w:t xml:space="preserve"> </w:t>
      </w:r>
      <w:r w:rsidRPr="000977F7">
        <w:rPr>
          <w:rFonts w:asciiTheme="majorHAnsi" w:hAnsiTheme="majorHAnsi"/>
          <w:sz w:val="20"/>
          <w:szCs w:val="20"/>
        </w:rPr>
        <w:t>часу</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метою</w:t>
      </w:r>
      <w:r w:rsidRPr="004D2D14">
        <w:rPr>
          <w:rFonts w:asciiTheme="majorHAnsi" w:hAnsiTheme="majorHAnsi"/>
          <w:sz w:val="20"/>
          <w:szCs w:val="20"/>
          <w:lang w:val="en-US"/>
        </w:rPr>
        <w:t xml:space="preserve"> </w:t>
      </w:r>
      <w:r w:rsidRPr="000977F7">
        <w:rPr>
          <w:rFonts w:asciiTheme="majorHAnsi" w:hAnsiTheme="majorHAnsi"/>
          <w:sz w:val="20"/>
          <w:szCs w:val="20"/>
        </w:rPr>
        <w:t>контролю</w:t>
      </w:r>
      <w:r w:rsidRPr="004D2D14">
        <w:rPr>
          <w:rFonts w:asciiTheme="majorHAnsi" w:hAnsiTheme="majorHAnsi"/>
          <w:sz w:val="20"/>
          <w:szCs w:val="20"/>
          <w:lang w:val="en-US"/>
        </w:rPr>
        <w:t xml:space="preserve"> </w:t>
      </w:r>
      <w:r w:rsidRPr="000977F7">
        <w:rPr>
          <w:rFonts w:asciiTheme="majorHAnsi" w:hAnsiTheme="majorHAnsi"/>
          <w:sz w:val="20"/>
          <w:szCs w:val="20"/>
        </w:rPr>
        <w:t>відповідності</w:t>
      </w:r>
      <w:r w:rsidRPr="004D2D14">
        <w:rPr>
          <w:rFonts w:asciiTheme="majorHAnsi" w:hAnsiTheme="majorHAnsi"/>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 xml:space="preserve"> </w:t>
      </w:r>
      <w:r w:rsidRPr="000977F7">
        <w:rPr>
          <w:rFonts w:asciiTheme="majorHAnsi" w:hAnsiTheme="majorHAnsi"/>
          <w:sz w:val="20"/>
          <w:szCs w:val="20"/>
        </w:rPr>
        <w:t>визначеним</w:t>
      </w:r>
      <w:r w:rsidRPr="004D2D14">
        <w:rPr>
          <w:rFonts w:asciiTheme="majorHAnsi" w:hAnsiTheme="majorHAnsi"/>
          <w:sz w:val="20"/>
          <w:szCs w:val="20"/>
          <w:lang w:val="en-US"/>
        </w:rPr>
        <w:t xml:space="preserve"> </w:t>
      </w:r>
      <w:r w:rsidRPr="000977F7">
        <w:rPr>
          <w:rFonts w:asciiTheme="majorHAnsi" w:hAnsiTheme="majorHAnsi"/>
          <w:sz w:val="20"/>
          <w:szCs w:val="20"/>
        </w:rPr>
        <w:t>вимогам</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прийняття</w:t>
      </w:r>
      <w:r w:rsidRPr="004D2D14">
        <w:rPr>
          <w:rFonts w:asciiTheme="majorHAnsi" w:hAnsiTheme="majorHAnsi"/>
          <w:sz w:val="20"/>
          <w:szCs w:val="20"/>
          <w:lang w:val="en-US"/>
        </w:rPr>
        <w:t xml:space="preserve"> </w:t>
      </w:r>
      <w:r w:rsidRPr="000977F7">
        <w:rPr>
          <w:rFonts w:asciiTheme="majorHAnsi" w:hAnsiTheme="majorHAnsi"/>
          <w:sz w:val="20"/>
          <w:szCs w:val="20"/>
        </w:rPr>
        <w:t>рішення</w:t>
      </w:r>
      <w:r w:rsidRPr="004D2D14">
        <w:rPr>
          <w:rFonts w:asciiTheme="majorHAnsi" w:hAnsiTheme="majorHAnsi"/>
          <w:sz w:val="20"/>
          <w:szCs w:val="20"/>
          <w:lang w:val="en-US"/>
        </w:rPr>
        <w:t xml:space="preserve"> </w:t>
      </w:r>
      <w:r w:rsidRPr="000977F7">
        <w:rPr>
          <w:rFonts w:asciiTheme="majorHAnsi" w:hAnsiTheme="majorHAnsi"/>
          <w:sz w:val="20"/>
          <w:szCs w:val="20"/>
        </w:rPr>
        <w:t>щодо</w:t>
      </w:r>
      <w:r w:rsidRPr="004D2D14">
        <w:rPr>
          <w:rFonts w:asciiTheme="majorHAnsi" w:hAnsiTheme="majorHAnsi"/>
          <w:sz w:val="20"/>
          <w:szCs w:val="20"/>
          <w:lang w:val="en-US"/>
        </w:rPr>
        <w:t xml:space="preserve"> </w:t>
      </w:r>
      <w:r w:rsidRPr="000977F7">
        <w:rPr>
          <w:rFonts w:asciiTheme="majorHAnsi" w:hAnsiTheme="majorHAnsi"/>
          <w:sz w:val="20"/>
          <w:szCs w:val="20"/>
        </w:rPr>
        <w:t>поставлення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виробництво</w:t>
      </w:r>
    </w:p>
    <w:p w14:paraId="4A02BE8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3278</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665521B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ДОСЛІДНЕ</w:t>
      </w:r>
      <w:r w:rsidRPr="000977F7">
        <w:rPr>
          <w:color w:val="auto"/>
          <w:spacing w:val="-4"/>
          <w:sz w:val="20"/>
          <w:szCs w:val="20"/>
        </w:rPr>
        <w:t xml:space="preserve"> </w:t>
      </w:r>
      <w:r w:rsidRPr="000977F7">
        <w:rPr>
          <w:color w:val="auto"/>
          <w:sz w:val="20"/>
          <w:szCs w:val="20"/>
        </w:rPr>
        <w:t>ВИРОБНИЦТВО</w:t>
      </w:r>
      <w:r w:rsidRPr="000977F7">
        <w:rPr>
          <w:color w:val="auto"/>
          <w:spacing w:val="-1"/>
          <w:sz w:val="20"/>
          <w:szCs w:val="20"/>
        </w:rPr>
        <w:t xml:space="preserve"> </w:t>
      </w:r>
      <w:r w:rsidRPr="000977F7">
        <w:rPr>
          <w:color w:val="auto"/>
          <w:sz w:val="20"/>
          <w:szCs w:val="20"/>
        </w:rPr>
        <w:t>–</w:t>
      </w:r>
    </w:p>
    <w:p w14:paraId="6AFBDC1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Виробництво</w:t>
      </w:r>
      <w:r w:rsidRPr="004D2D14">
        <w:rPr>
          <w:rFonts w:asciiTheme="majorHAnsi" w:hAnsiTheme="majorHAnsi"/>
          <w:sz w:val="20"/>
          <w:szCs w:val="20"/>
          <w:lang w:val="en-US"/>
        </w:rPr>
        <w:t xml:space="preserve"> </w:t>
      </w:r>
      <w:r w:rsidRPr="000977F7">
        <w:rPr>
          <w:rFonts w:asciiTheme="majorHAnsi" w:hAnsiTheme="majorHAnsi"/>
          <w:sz w:val="20"/>
          <w:szCs w:val="20"/>
        </w:rPr>
        <w:t>зразків</w:t>
      </w:r>
      <w:r w:rsidRPr="004D2D14">
        <w:rPr>
          <w:rFonts w:asciiTheme="majorHAnsi" w:hAnsiTheme="majorHAnsi"/>
          <w:sz w:val="20"/>
          <w:szCs w:val="20"/>
          <w:lang w:val="en-US"/>
        </w:rPr>
        <w:t xml:space="preserve">, </w:t>
      </w:r>
      <w:r w:rsidRPr="000977F7">
        <w:rPr>
          <w:rFonts w:asciiTheme="majorHAnsi" w:hAnsiTheme="majorHAnsi"/>
          <w:sz w:val="20"/>
          <w:szCs w:val="20"/>
        </w:rPr>
        <w:t>партій</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серій</w:t>
      </w:r>
      <w:r w:rsidRPr="004D2D14">
        <w:rPr>
          <w:rFonts w:asciiTheme="majorHAnsi" w:hAnsiTheme="majorHAnsi"/>
          <w:sz w:val="20"/>
          <w:szCs w:val="20"/>
          <w:lang w:val="en-US"/>
        </w:rPr>
        <w:t xml:space="preserve"> </w:t>
      </w:r>
      <w:r w:rsidRPr="000977F7">
        <w:rPr>
          <w:rFonts w:asciiTheme="majorHAnsi" w:hAnsiTheme="majorHAnsi"/>
          <w:sz w:val="20"/>
          <w:szCs w:val="20"/>
        </w:rPr>
        <w:t>виробів</w:t>
      </w:r>
      <w:r w:rsidRPr="004D2D14">
        <w:rPr>
          <w:rFonts w:asciiTheme="majorHAnsi" w:hAnsiTheme="majorHAnsi"/>
          <w:sz w:val="20"/>
          <w:szCs w:val="20"/>
          <w:lang w:val="en-US"/>
        </w:rPr>
        <w:t xml:space="preserve">, </w:t>
      </w:r>
      <w:r w:rsidRPr="000977F7">
        <w:rPr>
          <w:rFonts w:asciiTheme="majorHAnsi" w:hAnsiTheme="majorHAnsi"/>
          <w:sz w:val="20"/>
          <w:szCs w:val="20"/>
        </w:rPr>
        <w:t>призначених</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дослідних</w:t>
      </w:r>
      <w:r w:rsidRPr="004D2D14">
        <w:rPr>
          <w:rFonts w:asciiTheme="majorHAnsi" w:hAnsiTheme="majorHAnsi"/>
          <w:sz w:val="20"/>
          <w:szCs w:val="20"/>
          <w:lang w:val="en-US"/>
        </w:rPr>
        <w:t xml:space="preserve"> </w:t>
      </w:r>
      <w:r w:rsidRPr="000977F7">
        <w:rPr>
          <w:rFonts w:asciiTheme="majorHAnsi" w:hAnsiTheme="majorHAnsi"/>
          <w:sz w:val="20"/>
          <w:szCs w:val="20"/>
        </w:rPr>
        <w:t>робіт</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розроблення</w:t>
      </w:r>
      <w:r w:rsidRPr="004D2D14">
        <w:rPr>
          <w:rFonts w:asciiTheme="majorHAnsi" w:hAnsiTheme="majorHAnsi"/>
          <w:sz w:val="20"/>
          <w:szCs w:val="20"/>
          <w:lang w:val="en-US"/>
        </w:rPr>
        <w:t xml:space="preserve"> </w:t>
      </w:r>
      <w:r w:rsidRPr="000977F7">
        <w:rPr>
          <w:rFonts w:asciiTheme="majorHAnsi" w:hAnsiTheme="majorHAnsi"/>
          <w:sz w:val="20"/>
          <w:szCs w:val="20"/>
        </w:rPr>
        <w:t>конструкторської</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технологічної</w:t>
      </w:r>
      <w:r w:rsidRPr="004D2D14">
        <w:rPr>
          <w:rFonts w:asciiTheme="majorHAnsi" w:hAnsiTheme="majorHAnsi"/>
          <w:sz w:val="20"/>
          <w:szCs w:val="20"/>
          <w:lang w:val="en-US"/>
        </w:rPr>
        <w:t xml:space="preserve"> </w:t>
      </w:r>
      <w:r w:rsidRPr="000977F7">
        <w:rPr>
          <w:rFonts w:asciiTheme="majorHAnsi" w:hAnsiTheme="majorHAnsi"/>
          <w:sz w:val="20"/>
          <w:szCs w:val="20"/>
        </w:rPr>
        <w:t>документації</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усталеного</w:t>
      </w:r>
      <w:r w:rsidRPr="004D2D14">
        <w:rPr>
          <w:rFonts w:asciiTheme="majorHAnsi" w:hAnsiTheme="majorHAnsi"/>
          <w:sz w:val="20"/>
          <w:szCs w:val="20"/>
          <w:lang w:val="en-US"/>
        </w:rPr>
        <w:t xml:space="preserve"> </w:t>
      </w:r>
      <w:r w:rsidRPr="000977F7">
        <w:rPr>
          <w:rFonts w:asciiTheme="majorHAnsi" w:hAnsiTheme="majorHAnsi"/>
          <w:sz w:val="20"/>
          <w:szCs w:val="20"/>
        </w:rPr>
        <w:t>виробництва</w:t>
      </w:r>
    </w:p>
    <w:p w14:paraId="5B378AC4"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3278</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r w:rsidRPr="004D2D14">
        <w:rPr>
          <w:rFonts w:asciiTheme="majorHAnsi" w:hAnsiTheme="majorHAnsi"/>
          <w:i/>
          <w:spacing w:val="-1"/>
          <w:sz w:val="20"/>
          <w:szCs w:val="20"/>
          <w:lang w:val="en-US"/>
        </w:rPr>
        <w:t xml:space="preserve"> </w:t>
      </w: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2974 –</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7CD35964"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ДОСЛІДНИЙ</w:t>
      </w:r>
      <w:r w:rsidRPr="004D2D14">
        <w:rPr>
          <w:rFonts w:asciiTheme="majorHAnsi" w:hAnsiTheme="majorHAnsi"/>
          <w:b/>
          <w:sz w:val="20"/>
          <w:szCs w:val="20"/>
          <w:lang w:val="en-US"/>
        </w:rPr>
        <w:t xml:space="preserve"> </w:t>
      </w:r>
      <w:r w:rsidRPr="000977F7">
        <w:rPr>
          <w:rFonts w:asciiTheme="majorHAnsi" w:hAnsiTheme="majorHAnsi"/>
          <w:b/>
          <w:sz w:val="20"/>
          <w:szCs w:val="20"/>
        </w:rPr>
        <w:t>ЗРАЗОК</w:t>
      </w:r>
    </w:p>
    <w:p w14:paraId="53194983"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PILOT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SAMPLE -</w:t>
      </w:r>
    </w:p>
    <w:p w14:paraId="0C260DE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Зразок</w:t>
      </w:r>
      <w:r w:rsidRPr="004D2D14">
        <w:rPr>
          <w:rFonts w:asciiTheme="majorHAnsi" w:hAnsiTheme="majorHAnsi"/>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 xml:space="preserve">, </w:t>
      </w:r>
      <w:r w:rsidRPr="000977F7">
        <w:rPr>
          <w:rFonts w:asciiTheme="majorHAnsi" w:hAnsiTheme="majorHAnsi"/>
          <w:sz w:val="20"/>
          <w:szCs w:val="20"/>
        </w:rPr>
        <w:t>виготовлений</w:t>
      </w:r>
      <w:r w:rsidRPr="004D2D14">
        <w:rPr>
          <w:rFonts w:asciiTheme="majorHAnsi" w:hAnsiTheme="majorHAnsi"/>
          <w:sz w:val="20"/>
          <w:szCs w:val="20"/>
          <w:lang w:val="en-US"/>
        </w:rPr>
        <w:t xml:space="preserve"> </w:t>
      </w:r>
      <w:r w:rsidRPr="000977F7">
        <w:rPr>
          <w:rFonts w:asciiTheme="majorHAnsi" w:hAnsiTheme="majorHAnsi"/>
          <w:sz w:val="20"/>
          <w:szCs w:val="20"/>
        </w:rPr>
        <w:t>за</w:t>
      </w:r>
      <w:r w:rsidRPr="004D2D14">
        <w:rPr>
          <w:rFonts w:asciiTheme="majorHAnsi" w:hAnsiTheme="majorHAnsi"/>
          <w:sz w:val="20"/>
          <w:szCs w:val="20"/>
          <w:lang w:val="en-US"/>
        </w:rPr>
        <w:t xml:space="preserve"> </w:t>
      </w:r>
      <w:r w:rsidRPr="000977F7">
        <w:rPr>
          <w:rFonts w:asciiTheme="majorHAnsi" w:hAnsiTheme="majorHAnsi"/>
          <w:sz w:val="20"/>
          <w:szCs w:val="20"/>
        </w:rPr>
        <w:t>наново</w:t>
      </w:r>
      <w:r w:rsidRPr="004D2D14">
        <w:rPr>
          <w:rFonts w:asciiTheme="majorHAnsi" w:hAnsiTheme="majorHAnsi"/>
          <w:sz w:val="20"/>
          <w:szCs w:val="20"/>
          <w:lang w:val="en-US"/>
        </w:rPr>
        <w:t xml:space="preserve"> </w:t>
      </w:r>
      <w:r w:rsidRPr="000977F7">
        <w:rPr>
          <w:rFonts w:asciiTheme="majorHAnsi" w:hAnsiTheme="majorHAnsi"/>
          <w:sz w:val="20"/>
          <w:szCs w:val="20"/>
        </w:rPr>
        <w:t>розробленою</w:t>
      </w:r>
      <w:r w:rsidRPr="004D2D14">
        <w:rPr>
          <w:rFonts w:asciiTheme="majorHAnsi" w:hAnsiTheme="majorHAnsi"/>
          <w:sz w:val="20"/>
          <w:szCs w:val="20"/>
          <w:lang w:val="en-US"/>
        </w:rPr>
        <w:t xml:space="preserve"> </w:t>
      </w:r>
      <w:r w:rsidRPr="000977F7">
        <w:rPr>
          <w:rFonts w:asciiTheme="majorHAnsi" w:hAnsiTheme="majorHAnsi"/>
          <w:sz w:val="20"/>
          <w:szCs w:val="20"/>
        </w:rPr>
        <w:t>робочою</w:t>
      </w:r>
      <w:r w:rsidRPr="004D2D14">
        <w:rPr>
          <w:rFonts w:asciiTheme="majorHAnsi" w:hAnsiTheme="majorHAnsi"/>
          <w:sz w:val="20"/>
          <w:szCs w:val="20"/>
          <w:lang w:val="en-US"/>
        </w:rPr>
        <w:t xml:space="preserve"> </w:t>
      </w:r>
      <w:r w:rsidRPr="000977F7">
        <w:rPr>
          <w:rFonts w:asciiTheme="majorHAnsi" w:hAnsiTheme="majorHAnsi"/>
          <w:sz w:val="20"/>
          <w:szCs w:val="20"/>
        </w:rPr>
        <w:t>документацією</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перевірки</w:t>
      </w:r>
      <w:r w:rsidRPr="004D2D14">
        <w:rPr>
          <w:rFonts w:asciiTheme="majorHAnsi" w:hAnsiTheme="majorHAnsi"/>
          <w:sz w:val="20"/>
          <w:szCs w:val="20"/>
          <w:lang w:val="en-US"/>
        </w:rPr>
        <w:t xml:space="preserve"> </w:t>
      </w:r>
      <w:r w:rsidRPr="000977F7">
        <w:rPr>
          <w:rFonts w:asciiTheme="majorHAnsi" w:hAnsiTheme="majorHAnsi"/>
          <w:sz w:val="20"/>
          <w:szCs w:val="20"/>
        </w:rPr>
        <w:t>шляхом</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випробувань</w:t>
      </w:r>
      <w:r w:rsidRPr="004D2D14">
        <w:rPr>
          <w:rFonts w:asciiTheme="majorHAnsi" w:hAnsiTheme="majorHAnsi"/>
          <w:sz w:val="20"/>
          <w:szCs w:val="20"/>
          <w:lang w:val="en-US"/>
        </w:rPr>
        <w:t xml:space="preserve"> </w:t>
      </w:r>
      <w:r w:rsidRPr="000977F7">
        <w:rPr>
          <w:rFonts w:asciiTheme="majorHAnsi" w:hAnsiTheme="majorHAnsi"/>
          <w:sz w:val="20"/>
          <w:szCs w:val="20"/>
        </w:rPr>
        <w:t>відповідності</w:t>
      </w:r>
      <w:r w:rsidRPr="004D2D14">
        <w:rPr>
          <w:rFonts w:asciiTheme="majorHAnsi" w:hAnsiTheme="majorHAnsi"/>
          <w:sz w:val="20"/>
          <w:szCs w:val="20"/>
          <w:lang w:val="en-US"/>
        </w:rPr>
        <w:t xml:space="preserve"> </w:t>
      </w:r>
      <w:r w:rsidRPr="000977F7">
        <w:rPr>
          <w:rFonts w:asciiTheme="majorHAnsi" w:hAnsiTheme="majorHAnsi"/>
          <w:sz w:val="20"/>
          <w:szCs w:val="20"/>
        </w:rPr>
        <w:t>її</w:t>
      </w:r>
      <w:r w:rsidRPr="004D2D14">
        <w:rPr>
          <w:rFonts w:asciiTheme="majorHAnsi" w:hAnsiTheme="majorHAnsi"/>
          <w:sz w:val="20"/>
          <w:szCs w:val="20"/>
          <w:lang w:val="en-US"/>
        </w:rPr>
        <w:t xml:space="preserve"> </w:t>
      </w:r>
      <w:r w:rsidRPr="000977F7">
        <w:rPr>
          <w:rFonts w:asciiTheme="majorHAnsi" w:hAnsiTheme="majorHAnsi"/>
          <w:sz w:val="20"/>
          <w:szCs w:val="20"/>
        </w:rPr>
        <w:t>заданим</w:t>
      </w:r>
      <w:r w:rsidRPr="004D2D14">
        <w:rPr>
          <w:rFonts w:asciiTheme="majorHAnsi" w:hAnsiTheme="majorHAnsi"/>
          <w:sz w:val="20"/>
          <w:szCs w:val="20"/>
          <w:lang w:val="en-US"/>
        </w:rPr>
        <w:t xml:space="preserve"> </w:t>
      </w:r>
      <w:r w:rsidRPr="000977F7">
        <w:rPr>
          <w:rFonts w:asciiTheme="majorHAnsi" w:hAnsiTheme="majorHAnsi"/>
          <w:sz w:val="20"/>
          <w:szCs w:val="20"/>
        </w:rPr>
        <w:t>технічним</w:t>
      </w:r>
      <w:r w:rsidRPr="004D2D14">
        <w:rPr>
          <w:rFonts w:asciiTheme="majorHAnsi" w:hAnsiTheme="majorHAnsi"/>
          <w:sz w:val="20"/>
          <w:szCs w:val="20"/>
          <w:lang w:val="en-US"/>
        </w:rPr>
        <w:t xml:space="preserve"> </w:t>
      </w:r>
      <w:r w:rsidRPr="000977F7">
        <w:rPr>
          <w:rFonts w:asciiTheme="majorHAnsi" w:hAnsiTheme="majorHAnsi"/>
          <w:sz w:val="20"/>
          <w:szCs w:val="20"/>
        </w:rPr>
        <w:t>вимогам</w:t>
      </w:r>
      <w:r w:rsidRPr="004D2D14">
        <w:rPr>
          <w:rFonts w:asciiTheme="majorHAnsi" w:hAnsiTheme="majorHAnsi"/>
          <w:spacing w:val="1"/>
          <w:sz w:val="20"/>
          <w:szCs w:val="20"/>
          <w:lang w:val="en-US"/>
        </w:rPr>
        <w:t xml:space="preserve"> </w:t>
      </w:r>
      <w:r w:rsidRPr="000977F7">
        <w:rPr>
          <w:rFonts w:asciiTheme="majorHAnsi" w:hAnsiTheme="majorHAnsi"/>
          <w:sz w:val="20"/>
          <w:szCs w:val="20"/>
        </w:rPr>
        <w:t>з</w:t>
      </w:r>
      <w:r w:rsidRPr="004D2D14">
        <w:rPr>
          <w:rFonts w:asciiTheme="majorHAnsi" w:hAnsiTheme="majorHAnsi"/>
          <w:spacing w:val="1"/>
          <w:sz w:val="20"/>
          <w:szCs w:val="20"/>
          <w:lang w:val="en-US"/>
        </w:rPr>
        <w:t xml:space="preserve"> </w:t>
      </w:r>
      <w:r w:rsidRPr="000977F7">
        <w:rPr>
          <w:rFonts w:asciiTheme="majorHAnsi" w:hAnsiTheme="majorHAnsi"/>
          <w:sz w:val="20"/>
          <w:szCs w:val="20"/>
        </w:rPr>
        <w:t>метою</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прийняття</w:t>
      </w:r>
      <w:r w:rsidRPr="004D2D14">
        <w:rPr>
          <w:rFonts w:asciiTheme="majorHAnsi" w:hAnsiTheme="majorHAnsi"/>
          <w:spacing w:val="1"/>
          <w:sz w:val="20"/>
          <w:szCs w:val="20"/>
          <w:lang w:val="en-US"/>
        </w:rPr>
        <w:t xml:space="preserve"> </w:t>
      </w:r>
      <w:r w:rsidRPr="000977F7">
        <w:rPr>
          <w:rFonts w:asciiTheme="majorHAnsi" w:hAnsiTheme="majorHAnsi"/>
          <w:sz w:val="20"/>
          <w:szCs w:val="20"/>
        </w:rPr>
        <w:t>рішення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про</w:t>
      </w:r>
      <w:r w:rsidRPr="004D2D14">
        <w:rPr>
          <w:rFonts w:asciiTheme="majorHAnsi" w:hAnsiTheme="majorHAnsi"/>
          <w:spacing w:val="1"/>
          <w:sz w:val="20"/>
          <w:szCs w:val="20"/>
          <w:lang w:val="en-US"/>
        </w:rPr>
        <w:t xml:space="preserve"> </w:t>
      </w:r>
      <w:r w:rsidRPr="000977F7">
        <w:rPr>
          <w:rFonts w:asciiTheme="majorHAnsi" w:hAnsiTheme="majorHAnsi"/>
          <w:sz w:val="20"/>
          <w:szCs w:val="20"/>
        </w:rPr>
        <w:t>можливість</w:t>
      </w:r>
      <w:r w:rsidRPr="004D2D14">
        <w:rPr>
          <w:rFonts w:asciiTheme="majorHAnsi" w:hAnsiTheme="majorHAnsi"/>
          <w:spacing w:val="-47"/>
          <w:sz w:val="20"/>
          <w:szCs w:val="20"/>
          <w:lang w:val="en-US"/>
        </w:rPr>
        <w:t xml:space="preserve"> </w:t>
      </w:r>
      <w:r w:rsidRPr="000977F7">
        <w:rPr>
          <w:rFonts w:asciiTheme="majorHAnsi" w:hAnsiTheme="majorHAnsi"/>
          <w:sz w:val="20"/>
          <w:szCs w:val="20"/>
        </w:rPr>
        <w:t>впровадження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у</w:t>
      </w:r>
      <w:r w:rsidRPr="004D2D14">
        <w:rPr>
          <w:rFonts w:asciiTheme="majorHAnsi" w:hAnsiTheme="majorHAnsi"/>
          <w:sz w:val="20"/>
          <w:szCs w:val="20"/>
          <w:lang w:val="en-US"/>
        </w:rPr>
        <w:t xml:space="preserve"> </w:t>
      </w:r>
      <w:r w:rsidRPr="000977F7">
        <w:rPr>
          <w:rFonts w:asciiTheme="majorHAnsi" w:hAnsiTheme="majorHAnsi"/>
          <w:sz w:val="20"/>
          <w:szCs w:val="20"/>
        </w:rPr>
        <w:t>виробництво</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використання</w:t>
      </w:r>
      <w:r w:rsidRPr="004D2D14">
        <w:rPr>
          <w:rFonts w:asciiTheme="majorHAnsi" w:hAnsiTheme="majorHAnsi"/>
          <w:sz w:val="20"/>
          <w:szCs w:val="20"/>
          <w:lang w:val="en-US"/>
        </w:rPr>
        <w:t xml:space="preserve"> </w:t>
      </w:r>
      <w:r w:rsidRPr="000977F7">
        <w:rPr>
          <w:rFonts w:asciiTheme="majorHAnsi" w:hAnsiTheme="majorHAnsi"/>
          <w:sz w:val="20"/>
          <w:szCs w:val="20"/>
        </w:rPr>
        <w:t>за</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призначенням</w:t>
      </w:r>
    </w:p>
    <w:p w14:paraId="2AF0B65B"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3021 –</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r w:rsidRPr="004D2D14">
        <w:rPr>
          <w:rFonts w:asciiTheme="majorHAnsi" w:hAnsiTheme="majorHAnsi"/>
          <w:i/>
          <w:spacing w:val="-2"/>
          <w:sz w:val="20"/>
          <w:szCs w:val="20"/>
          <w:lang w:val="en-US"/>
        </w:rPr>
        <w:t xml:space="preserve"> </w:t>
      </w: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3278 –</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6F908D8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ДОСЛІДНИЦЬКІ</w:t>
      </w:r>
      <w:r w:rsidRPr="000977F7">
        <w:rPr>
          <w:color w:val="auto"/>
          <w:spacing w:val="-7"/>
          <w:sz w:val="20"/>
          <w:szCs w:val="20"/>
        </w:rPr>
        <w:t xml:space="preserve"> </w:t>
      </w:r>
      <w:r w:rsidRPr="000977F7">
        <w:rPr>
          <w:color w:val="auto"/>
          <w:sz w:val="20"/>
          <w:szCs w:val="20"/>
        </w:rPr>
        <w:t>ВИПРОБУВАННЯ</w:t>
      </w:r>
      <w:r w:rsidRPr="000977F7">
        <w:rPr>
          <w:color w:val="auto"/>
          <w:spacing w:val="-3"/>
          <w:sz w:val="20"/>
          <w:szCs w:val="20"/>
        </w:rPr>
        <w:t xml:space="preserve"> </w:t>
      </w:r>
      <w:r w:rsidRPr="000977F7">
        <w:rPr>
          <w:color w:val="auto"/>
          <w:sz w:val="20"/>
          <w:szCs w:val="20"/>
        </w:rPr>
        <w:t>–</w:t>
      </w:r>
    </w:p>
    <w:p w14:paraId="1793924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INVESTIGATION</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135E58ED"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sz w:val="20"/>
          <w:szCs w:val="20"/>
        </w:rPr>
        <w:t>Випробування,</w:t>
      </w:r>
      <w:r w:rsidRPr="000977F7">
        <w:rPr>
          <w:rFonts w:asciiTheme="majorHAnsi" w:hAnsiTheme="majorHAnsi"/>
          <w:spacing w:val="-6"/>
          <w:sz w:val="20"/>
          <w:szCs w:val="20"/>
        </w:rPr>
        <w:t xml:space="preserve"> </w:t>
      </w:r>
      <w:r w:rsidRPr="000977F7">
        <w:rPr>
          <w:rFonts w:asciiTheme="majorHAnsi" w:hAnsiTheme="majorHAnsi"/>
          <w:sz w:val="20"/>
          <w:szCs w:val="20"/>
        </w:rPr>
        <w:t>які</w:t>
      </w:r>
      <w:r w:rsidRPr="000977F7">
        <w:rPr>
          <w:rFonts w:asciiTheme="majorHAnsi" w:hAnsiTheme="majorHAnsi"/>
          <w:spacing w:val="-7"/>
          <w:sz w:val="20"/>
          <w:szCs w:val="20"/>
        </w:rPr>
        <w:t xml:space="preserve"> </w:t>
      </w:r>
      <w:r w:rsidRPr="000977F7">
        <w:rPr>
          <w:rFonts w:asciiTheme="majorHAnsi" w:hAnsiTheme="majorHAnsi"/>
          <w:sz w:val="20"/>
          <w:szCs w:val="20"/>
        </w:rPr>
        <w:t>проводяться</w:t>
      </w:r>
      <w:r w:rsidRPr="000977F7">
        <w:rPr>
          <w:rFonts w:asciiTheme="majorHAnsi" w:hAnsiTheme="majorHAnsi"/>
          <w:spacing w:val="-7"/>
          <w:sz w:val="20"/>
          <w:szCs w:val="20"/>
        </w:rPr>
        <w:t xml:space="preserve"> </w:t>
      </w:r>
      <w:r w:rsidRPr="000977F7">
        <w:rPr>
          <w:rFonts w:asciiTheme="majorHAnsi" w:hAnsiTheme="majorHAnsi"/>
          <w:sz w:val="20"/>
          <w:szCs w:val="20"/>
        </w:rPr>
        <w:t>для</w:t>
      </w:r>
      <w:r w:rsidRPr="000977F7">
        <w:rPr>
          <w:rFonts w:asciiTheme="majorHAnsi" w:hAnsiTheme="majorHAnsi"/>
          <w:spacing w:val="-4"/>
          <w:sz w:val="20"/>
          <w:szCs w:val="20"/>
        </w:rPr>
        <w:t xml:space="preserve"> </w:t>
      </w:r>
      <w:r w:rsidRPr="000977F7">
        <w:rPr>
          <w:rFonts w:asciiTheme="majorHAnsi" w:hAnsiTheme="majorHAnsi"/>
          <w:sz w:val="20"/>
          <w:szCs w:val="20"/>
        </w:rPr>
        <w:t>вивчення</w:t>
      </w:r>
      <w:r w:rsidRPr="000977F7">
        <w:rPr>
          <w:rFonts w:asciiTheme="majorHAnsi" w:hAnsiTheme="majorHAnsi"/>
          <w:spacing w:val="-47"/>
          <w:sz w:val="20"/>
          <w:szCs w:val="20"/>
        </w:rPr>
        <w:t xml:space="preserve"> </w:t>
      </w:r>
      <w:r w:rsidRPr="000977F7">
        <w:rPr>
          <w:rFonts w:asciiTheme="majorHAnsi" w:hAnsiTheme="majorHAnsi"/>
          <w:sz w:val="20"/>
          <w:szCs w:val="20"/>
        </w:rPr>
        <w:t>певних</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 властивостей об’єкта</w:t>
      </w:r>
      <w:r w:rsidRPr="000977F7">
        <w:rPr>
          <w:rFonts w:asciiTheme="majorHAnsi" w:hAnsiTheme="majorHAnsi"/>
          <w:spacing w:val="1"/>
          <w:sz w:val="20"/>
          <w:szCs w:val="20"/>
        </w:rPr>
        <w:t xml:space="preserve"> </w:t>
      </w:r>
    </w:p>
    <w:p w14:paraId="25862E0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3021-95</w:t>
      </w:r>
    </w:p>
    <w:p w14:paraId="279F8EC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ENDURANCE</w:t>
      </w:r>
      <w:r w:rsidRPr="000977F7">
        <w:rPr>
          <w:rFonts w:asciiTheme="majorHAnsi" w:hAnsiTheme="majorHAnsi"/>
          <w:spacing w:val="-1"/>
          <w:sz w:val="20"/>
          <w:szCs w:val="20"/>
        </w:rPr>
        <w:t xml:space="preserve"> </w:t>
      </w:r>
      <w:r w:rsidRPr="000977F7">
        <w:rPr>
          <w:rFonts w:asciiTheme="majorHAnsi" w:hAnsiTheme="majorHAnsi"/>
          <w:sz w:val="20"/>
          <w:szCs w:val="20"/>
        </w:rPr>
        <w:t>TEST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F35BE9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проводяться</w:t>
      </w:r>
      <w:r w:rsidRPr="000977F7">
        <w:rPr>
          <w:rFonts w:asciiTheme="majorHAnsi" w:hAnsiTheme="majorHAnsi"/>
          <w:spacing w:val="1"/>
          <w:sz w:val="20"/>
          <w:szCs w:val="20"/>
        </w:rPr>
        <w:t xml:space="preserve"> </w:t>
      </w:r>
      <w:r w:rsidRPr="000977F7">
        <w:rPr>
          <w:rFonts w:asciiTheme="majorHAnsi" w:hAnsiTheme="majorHAnsi"/>
          <w:sz w:val="20"/>
          <w:szCs w:val="20"/>
        </w:rPr>
        <w:t>протягом</w:t>
      </w:r>
      <w:r w:rsidRPr="000977F7">
        <w:rPr>
          <w:rFonts w:asciiTheme="majorHAnsi" w:hAnsiTheme="majorHAnsi"/>
          <w:spacing w:val="1"/>
          <w:sz w:val="20"/>
          <w:szCs w:val="20"/>
        </w:rPr>
        <w:t xml:space="preserve"> </w:t>
      </w:r>
      <w:r w:rsidRPr="000977F7">
        <w:rPr>
          <w:rFonts w:asciiTheme="majorHAnsi" w:hAnsiTheme="majorHAnsi"/>
          <w:sz w:val="20"/>
          <w:szCs w:val="20"/>
        </w:rPr>
        <w:t>заданого</w:t>
      </w:r>
      <w:r w:rsidRPr="000977F7">
        <w:rPr>
          <w:rFonts w:asciiTheme="majorHAnsi" w:hAnsiTheme="majorHAnsi"/>
          <w:spacing w:val="1"/>
          <w:sz w:val="20"/>
          <w:szCs w:val="20"/>
        </w:rPr>
        <w:t xml:space="preserve"> </w:t>
      </w:r>
      <w:r w:rsidRPr="000977F7">
        <w:rPr>
          <w:rFonts w:asciiTheme="majorHAnsi" w:hAnsiTheme="majorHAnsi"/>
          <w:sz w:val="20"/>
          <w:szCs w:val="20"/>
        </w:rPr>
        <w:t>періоду часу з метою вивчення працездатності об’єкта</w:t>
      </w:r>
      <w:r w:rsidRPr="000977F7">
        <w:rPr>
          <w:rFonts w:asciiTheme="majorHAnsi" w:hAnsiTheme="majorHAnsi"/>
          <w:spacing w:val="-47"/>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умовах</w:t>
      </w:r>
      <w:r w:rsidRPr="000977F7">
        <w:rPr>
          <w:rFonts w:asciiTheme="majorHAnsi" w:hAnsiTheme="majorHAnsi"/>
          <w:spacing w:val="-2"/>
          <w:sz w:val="20"/>
          <w:szCs w:val="20"/>
        </w:rPr>
        <w:t xml:space="preserve"> </w:t>
      </w:r>
      <w:r w:rsidRPr="000977F7">
        <w:rPr>
          <w:rFonts w:asciiTheme="majorHAnsi" w:hAnsiTheme="majorHAnsi"/>
          <w:sz w:val="20"/>
          <w:szCs w:val="20"/>
        </w:rPr>
        <w:t>впливу</w:t>
      </w:r>
      <w:r w:rsidRPr="000977F7">
        <w:rPr>
          <w:rFonts w:asciiTheme="majorHAnsi" w:hAnsiTheme="majorHAnsi"/>
          <w:spacing w:val="-2"/>
          <w:sz w:val="20"/>
          <w:szCs w:val="20"/>
        </w:rPr>
        <w:t xml:space="preserve"> </w:t>
      </w:r>
      <w:r w:rsidRPr="000977F7">
        <w:rPr>
          <w:rFonts w:asciiTheme="majorHAnsi" w:hAnsiTheme="majorHAnsi"/>
          <w:sz w:val="20"/>
          <w:szCs w:val="20"/>
        </w:rPr>
        <w:t>на нього зовнішніх факторів на рівні їх максимальних значень згідно технічних умов</w:t>
      </w:r>
    </w:p>
    <w:p w14:paraId="3BDD6D3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ДОСЛІДНИЙ</w:t>
      </w:r>
      <w:r w:rsidRPr="000977F7">
        <w:rPr>
          <w:color w:val="auto"/>
          <w:spacing w:val="-3"/>
          <w:sz w:val="20"/>
          <w:szCs w:val="20"/>
        </w:rPr>
        <w:t xml:space="preserve"> </w:t>
      </w:r>
      <w:r w:rsidRPr="000977F7">
        <w:rPr>
          <w:color w:val="auto"/>
          <w:sz w:val="20"/>
          <w:szCs w:val="20"/>
        </w:rPr>
        <w:t>РЕМОНТНИЙ</w:t>
      </w:r>
      <w:r w:rsidRPr="000977F7">
        <w:rPr>
          <w:color w:val="auto"/>
          <w:spacing w:val="-3"/>
          <w:sz w:val="20"/>
          <w:szCs w:val="20"/>
        </w:rPr>
        <w:t xml:space="preserve"> </w:t>
      </w:r>
      <w:r w:rsidRPr="000977F7">
        <w:rPr>
          <w:color w:val="auto"/>
          <w:sz w:val="20"/>
          <w:szCs w:val="20"/>
        </w:rPr>
        <w:t>ЗРАЗОК</w:t>
      </w:r>
      <w:r w:rsidRPr="000977F7">
        <w:rPr>
          <w:color w:val="auto"/>
          <w:spacing w:val="-1"/>
          <w:sz w:val="20"/>
          <w:szCs w:val="20"/>
        </w:rPr>
        <w:t xml:space="preserve"> </w:t>
      </w:r>
      <w:r w:rsidRPr="000977F7">
        <w:rPr>
          <w:color w:val="auto"/>
          <w:sz w:val="20"/>
          <w:szCs w:val="20"/>
        </w:rPr>
        <w:t>–</w:t>
      </w:r>
    </w:p>
    <w:p w14:paraId="38B39FF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 відремонтований за документацією на дослідний ремонт, щоб перевірити, чи відповідає він визначеним вимогам і щоб прийняти рішення, чи доцільно</w:t>
      </w:r>
      <w:r w:rsidRPr="000977F7">
        <w:rPr>
          <w:rFonts w:asciiTheme="majorHAnsi" w:hAnsiTheme="majorHAnsi"/>
          <w:spacing w:val="1"/>
          <w:sz w:val="20"/>
          <w:szCs w:val="20"/>
        </w:rPr>
        <w:t xml:space="preserve"> </w:t>
      </w:r>
      <w:r w:rsidRPr="000977F7">
        <w:rPr>
          <w:rFonts w:asciiTheme="majorHAnsi" w:hAnsiTheme="majorHAnsi"/>
          <w:sz w:val="20"/>
          <w:szCs w:val="20"/>
        </w:rPr>
        <w:t>організувати</w:t>
      </w:r>
      <w:r w:rsidRPr="000977F7">
        <w:rPr>
          <w:rFonts w:asciiTheme="majorHAnsi" w:hAnsiTheme="majorHAnsi"/>
          <w:spacing w:val="-2"/>
          <w:sz w:val="20"/>
          <w:szCs w:val="20"/>
        </w:rPr>
        <w:t xml:space="preserve"> </w:t>
      </w:r>
      <w:r w:rsidRPr="000977F7">
        <w:rPr>
          <w:rFonts w:asciiTheme="majorHAnsi" w:hAnsiTheme="majorHAnsi"/>
          <w:sz w:val="20"/>
          <w:szCs w:val="20"/>
        </w:rPr>
        <w:t>серійний</w:t>
      </w:r>
      <w:r w:rsidRPr="000977F7">
        <w:rPr>
          <w:rFonts w:asciiTheme="majorHAnsi" w:hAnsiTheme="majorHAnsi"/>
          <w:spacing w:val="-1"/>
          <w:sz w:val="20"/>
          <w:szCs w:val="20"/>
        </w:rPr>
        <w:t xml:space="preserve"> </w:t>
      </w:r>
      <w:r w:rsidRPr="000977F7">
        <w:rPr>
          <w:rFonts w:asciiTheme="majorHAnsi" w:hAnsiTheme="majorHAnsi"/>
          <w:sz w:val="20"/>
          <w:szCs w:val="20"/>
        </w:rPr>
        <w:t>ремонт</w:t>
      </w:r>
    </w:p>
    <w:p w14:paraId="5E0C770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 – 95</w:t>
      </w:r>
    </w:p>
    <w:p w14:paraId="1F405A5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ДОСЛІДНО-КОНСТРУКТОРСЬКА</w:t>
      </w:r>
      <w:r w:rsidRPr="000977F7">
        <w:rPr>
          <w:color w:val="auto"/>
          <w:spacing w:val="-47"/>
          <w:sz w:val="20"/>
          <w:szCs w:val="20"/>
        </w:rPr>
        <w:t xml:space="preserve"> </w:t>
      </w:r>
      <w:r w:rsidRPr="000977F7">
        <w:rPr>
          <w:color w:val="auto"/>
          <w:sz w:val="20"/>
          <w:szCs w:val="20"/>
        </w:rPr>
        <w:t>РОБОТА –</w:t>
      </w:r>
    </w:p>
    <w:p w14:paraId="02D74215"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Сукупність</w:t>
      </w:r>
      <w:r w:rsidRPr="000977F7">
        <w:rPr>
          <w:rFonts w:asciiTheme="majorHAnsi" w:hAnsiTheme="majorHAnsi"/>
          <w:spacing w:val="7"/>
          <w:sz w:val="20"/>
          <w:szCs w:val="20"/>
        </w:rPr>
        <w:t xml:space="preserve"> </w:t>
      </w:r>
      <w:r w:rsidRPr="000977F7">
        <w:rPr>
          <w:rFonts w:asciiTheme="majorHAnsi" w:hAnsiTheme="majorHAnsi"/>
          <w:sz w:val="20"/>
          <w:szCs w:val="20"/>
        </w:rPr>
        <w:t>робіт</w:t>
      </w:r>
      <w:r w:rsidRPr="000977F7">
        <w:rPr>
          <w:rFonts w:asciiTheme="majorHAnsi" w:hAnsiTheme="majorHAnsi"/>
          <w:spacing w:val="7"/>
          <w:sz w:val="20"/>
          <w:szCs w:val="20"/>
        </w:rPr>
        <w:t xml:space="preserve"> </w:t>
      </w:r>
      <w:r w:rsidRPr="000977F7">
        <w:rPr>
          <w:rFonts w:asciiTheme="majorHAnsi" w:hAnsiTheme="majorHAnsi"/>
          <w:sz w:val="20"/>
          <w:szCs w:val="20"/>
        </w:rPr>
        <w:t>над</w:t>
      </w:r>
      <w:r w:rsidRPr="000977F7">
        <w:rPr>
          <w:rFonts w:asciiTheme="majorHAnsi" w:hAnsiTheme="majorHAnsi"/>
          <w:spacing w:val="7"/>
          <w:sz w:val="20"/>
          <w:szCs w:val="20"/>
        </w:rPr>
        <w:t xml:space="preserve"> </w:t>
      </w:r>
      <w:r w:rsidRPr="000977F7">
        <w:rPr>
          <w:rFonts w:asciiTheme="majorHAnsi" w:hAnsiTheme="majorHAnsi"/>
          <w:sz w:val="20"/>
          <w:szCs w:val="20"/>
        </w:rPr>
        <w:t>створенням</w:t>
      </w:r>
      <w:r w:rsidRPr="000977F7">
        <w:rPr>
          <w:rFonts w:asciiTheme="majorHAnsi" w:hAnsiTheme="majorHAnsi"/>
          <w:spacing w:val="6"/>
          <w:sz w:val="20"/>
          <w:szCs w:val="20"/>
        </w:rPr>
        <w:t xml:space="preserve"> </w:t>
      </w:r>
      <w:r w:rsidRPr="000977F7">
        <w:rPr>
          <w:rFonts w:asciiTheme="majorHAnsi" w:hAnsiTheme="majorHAnsi"/>
          <w:sz w:val="20"/>
          <w:szCs w:val="20"/>
        </w:rPr>
        <w:t>конструкторської</w:t>
      </w:r>
      <w:r w:rsidRPr="000977F7">
        <w:rPr>
          <w:rFonts w:asciiTheme="majorHAnsi" w:hAnsiTheme="majorHAnsi"/>
          <w:spacing w:val="6"/>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18"/>
          <w:sz w:val="20"/>
          <w:szCs w:val="20"/>
        </w:rPr>
        <w:t xml:space="preserve"> </w:t>
      </w:r>
      <w:r w:rsidRPr="000977F7">
        <w:rPr>
          <w:rFonts w:asciiTheme="majorHAnsi" w:hAnsiTheme="majorHAnsi"/>
          <w:sz w:val="20"/>
          <w:szCs w:val="20"/>
        </w:rPr>
        <w:t>документації,</w:t>
      </w:r>
      <w:r w:rsidRPr="000977F7">
        <w:rPr>
          <w:rFonts w:asciiTheme="majorHAnsi" w:hAnsiTheme="majorHAnsi"/>
          <w:spacing w:val="21"/>
          <w:sz w:val="20"/>
          <w:szCs w:val="20"/>
        </w:rPr>
        <w:t xml:space="preserve"> </w:t>
      </w:r>
      <w:r w:rsidRPr="000977F7">
        <w:rPr>
          <w:rFonts w:asciiTheme="majorHAnsi" w:hAnsiTheme="majorHAnsi"/>
          <w:sz w:val="20"/>
          <w:szCs w:val="20"/>
        </w:rPr>
        <w:t>виготовленням</w:t>
      </w:r>
      <w:r w:rsidRPr="000977F7">
        <w:rPr>
          <w:rFonts w:asciiTheme="majorHAnsi" w:hAnsiTheme="majorHAnsi"/>
          <w:spacing w:val="19"/>
          <w:sz w:val="20"/>
          <w:szCs w:val="20"/>
        </w:rPr>
        <w:t xml:space="preserve"> </w:t>
      </w:r>
      <w:r w:rsidRPr="000977F7">
        <w:rPr>
          <w:rFonts w:asciiTheme="majorHAnsi" w:hAnsiTheme="majorHAnsi"/>
          <w:sz w:val="20"/>
          <w:szCs w:val="20"/>
        </w:rPr>
        <w:t>та</w:t>
      </w:r>
      <w:r w:rsidRPr="000977F7">
        <w:rPr>
          <w:rFonts w:asciiTheme="majorHAnsi" w:hAnsiTheme="majorHAnsi"/>
          <w:spacing w:val="18"/>
          <w:sz w:val="20"/>
          <w:szCs w:val="20"/>
        </w:rPr>
        <w:t xml:space="preserve"> </w:t>
      </w:r>
      <w:r w:rsidRPr="000977F7">
        <w:rPr>
          <w:rFonts w:asciiTheme="majorHAnsi" w:hAnsiTheme="majorHAnsi"/>
          <w:sz w:val="20"/>
          <w:szCs w:val="20"/>
        </w:rPr>
        <w:t>випробуванням дослідного або головного зразка продукції</w:t>
      </w:r>
    </w:p>
    <w:p w14:paraId="170EDE1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3278</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06C117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ДОСЛІДНО−ПРОМИСЛОВА</w:t>
      </w:r>
      <w:r w:rsidRPr="000977F7">
        <w:rPr>
          <w:color w:val="auto"/>
          <w:spacing w:val="-6"/>
          <w:sz w:val="20"/>
          <w:szCs w:val="20"/>
        </w:rPr>
        <w:t xml:space="preserve"> </w:t>
      </w:r>
      <w:r w:rsidRPr="000977F7">
        <w:rPr>
          <w:color w:val="auto"/>
          <w:sz w:val="20"/>
          <w:szCs w:val="20"/>
        </w:rPr>
        <w:t>ПАРТІЯ</w:t>
      </w:r>
      <w:r w:rsidRPr="000977F7">
        <w:rPr>
          <w:color w:val="auto"/>
          <w:spacing w:val="-6"/>
          <w:sz w:val="20"/>
          <w:szCs w:val="20"/>
        </w:rPr>
        <w:t xml:space="preserve"> </w:t>
      </w:r>
      <w:r w:rsidRPr="000977F7">
        <w:rPr>
          <w:color w:val="auto"/>
          <w:sz w:val="20"/>
          <w:szCs w:val="20"/>
        </w:rPr>
        <w:t>−</w:t>
      </w:r>
    </w:p>
    <w:p w14:paraId="3CE721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Партія продукції, виготовлена на дослідно промисловому</w:t>
      </w:r>
      <w:r w:rsidRPr="000977F7">
        <w:rPr>
          <w:rFonts w:asciiTheme="majorHAnsi" w:hAnsiTheme="majorHAnsi"/>
          <w:spacing w:val="1"/>
          <w:sz w:val="20"/>
          <w:szCs w:val="20"/>
        </w:rPr>
        <w:t xml:space="preserve"> </w:t>
      </w:r>
      <w:r w:rsidRPr="000977F7">
        <w:rPr>
          <w:rFonts w:asciiTheme="majorHAnsi" w:hAnsiTheme="majorHAnsi"/>
          <w:sz w:val="20"/>
          <w:szCs w:val="20"/>
        </w:rPr>
        <w:t>устаткуванні</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перевірки</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технічному</w:t>
      </w:r>
      <w:r w:rsidRPr="000977F7">
        <w:rPr>
          <w:rFonts w:asciiTheme="majorHAnsi" w:hAnsiTheme="majorHAnsi"/>
          <w:spacing w:val="20"/>
          <w:sz w:val="20"/>
          <w:szCs w:val="20"/>
        </w:rPr>
        <w:t xml:space="preserve"> </w:t>
      </w:r>
      <w:r w:rsidRPr="000977F7">
        <w:rPr>
          <w:rFonts w:asciiTheme="majorHAnsi" w:hAnsiTheme="majorHAnsi"/>
          <w:sz w:val="20"/>
          <w:szCs w:val="20"/>
        </w:rPr>
        <w:t>завданню,</w:t>
      </w:r>
      <w:r w:rsidRPr="000977F7">
        <w:rPr>
          <w:rFonts w:asciiTheme="majorHAnsi" w:hAnsiTheme="majorHAnsi"/>
          <w:spacing w:val="22"/>
          <w:sz w:val="20"/>
          <w:szCs w:val="20"/>
        </w:rPr>
        <w:t xml:space="preserve"> </w:t>
      </w:r>
      <w:r w:rsidRPr="000977F7">
        <w:rPr>
          <w:rFonts w:asciiTheme="majorHAnsi" w:hAnsiTheme="majorHAnsi"/>
          <w:sz w:val="20"/>
          <w:szCs w:val="20"/>
        </w:rPr>
        <w:t>стандартам,</w:t>
      </w:r>
      <w:r w:rsidRPr="000977F7">
        <w:rPr>
          <w:rFonts w:asciiTheme="majorHAnsi" w:hAnsiTheme="majorHAnsi"/>
          <w:spacing w:val="22"/>
          <w:sz w:val="20"/>
          <w:szCs w:val="20"/>
        </w:rPr>
        <w:t xml:space="preserve"> </w:t>
      </w:r>
      <w:r w:rsidRPr="000977F7">
        <w:rPr>
          <w:rFonts w:asciiTheme="majorHAnsi" w:hAnsiTheme="majorHAnsi"/>
          <w:sz w:val="20"/>
          <w:szCs w:val="20"/>
        </w:rPr>
        <w:t>технічним</w:t>
      </w:r>
      <w:r w:rsidRPr="000977F7">
        <w:rPr>
          <w:rFonts w:asciiTheme="majorHAnsi" w:hAnsiTheme="majorHAnsi"/>
          <w:spacing w:val="26"/>
          <w:sz w:val="20"/>
          <w:szCs w:val="20"/>
        </w:rPr>
        <w:t xml:space="preserve"> </w:t>
      </w:r>
      <w:r w:rsidRPr="000977F7">
        <w:rPr>
          <w:rFonts w:asciiTheme="majorHAnsi" w:hAnsiTheme="majorHAnsi"/>
          <w:sz w:val="20"/>
          <w:szCs w:val="20"/>
        </w:rPr>
        <w:t>умовам</w:t>
      </w:r>
      <w:r w:rsidRPr="000977F7">
        <w:rPr>
          <w:rFonts w:asciiTheme="majorHAnsi" w:hAnsiTheme="majorHAnsi"/>
          <w:spacing w:val="-48"/>
          <w:sz w:val="20"/>
          <w:szCs w:val="20"/>
        </w:rPr>
        <w:t xml:space="preserve"> </w:t>
      </w:r>
      <w:r w:rsidRPr="000977F7">
        <w:rPr>
          <w:rFonts w:asciiTheme="majorHAnsi" w:hAnsiTheme="majorHAnsi"/>
          <w:sz w:val="20"/>
          <w:szCs w:val="20"/>
        </w:rPr>
        <w:t>з метою прийняття рішення про можливість постановки продукції на виробництво цієї партії за призначенням</w:t>
      </w:r>
    </w:p>
    <w:p w14:paraId="09E9F93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ДОСЛІДНО−ПРОМИСЛОВИЙ</w:t>
      </w:r>
      <w:r w:rsidRPr="000977F7">
        <w:rPr>
          <w:color w:val="auto"/>
          <w:spacing w:val="-5"/>
          <w:sz w:val="20"/>
          <w:szCs w:val="20"/>
        </w:rPr>
        <w:t xml:space="preserve"> </w:t>
      </w:r>
      <w:r w:rsidRPr="000977F7">
        <w:rPr>
          <w:color w:val="auto"/>
          <w:sz w:val="20"/>
          <w:szCs w:val="20"/>
        </w:rPr>
        <w:t>ЗРАЗОК</w:t>
      </w:r>
      <w:r w:rsidRPr="000977F7">
        <w:rPr>
          <w:color w:val="auto"/>
          <w:spacing w:val="-6"/>
          <w:sz w:val="20"/>
          <w:szCs w:val="20"/>
        </w:rPr>
        <w:t xml:space="preserve"> </w:t>
      </w:r>
      <w:r w:rsidRPr="000977F7">
        <w:rPr>
          <w:color w:val="auto"/>
          <w:sz w:val="20"/>
          <w:szCs w:val="20"/>
        </w:rPr>
        <w:t>−</w:t>
      </w:r>
    </w:p>
    <w:p w14:paraId="700B2C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Зразок технологічного устаткування, виготовлений за</w:t>
      </w:r>
      <w:r w:rsidRPr="000977F7">
        <w:rPr>
          <w:rFonts w:asciiTheme="majorHAnsi" w:hAnsiTheme="majorHAnsi"/>
          <w:spacing w:val="1"/>
          <w:sz w:val="20"/>
          <w:szCs w:val="20"/>
        </w:rPr>
        <w:t xml:space="preserve"> </w:t>
      </w:r>
      <w:r w:rsidRPr="000977F7">
        <w:rPr>
          <w:rFonts w:asciiTheme="majorHAnsi" w:hAnsiTheme="majorHAnsi"/>
          <w:sz w:val="20"/>
          <w:szCs w:val="20"/>
        </w:rPr>
        <w:t>ізнов розробленою конструкторською документацією,</w:t>
      </w:r>
      <w:r w:rsidRPr="000977F7">
        <w:rPr>
          <w:rFonts w:asciiTheme="majorHAnsi" w:hAnsiTheme="majorHAnsi"/>
          <w:spacing w:val="-47"/>
          <w:sz w:val="20"/>
          <w:szCs w:val="20"/>
        </w:rPr>
        <w:t xml:space="preserve"> </w:t>
      </w:r>
      <w:r w:rsidRPr="000977F7">
        <w:rPr>
          <w:rFonts w:asciiTheme="majorHAnsi" w:hAnsiTheme="majorHAnsi"/>
          <w:sz w:val="20"/>
          <w:szCs w:val="20"/>
        </w:rPr>
        <w:t>задля перевірки працездатності його в умовах промислового</w:t>
      </w:r>
      <w:r w:rsidRPr="000977F7">
        <w:rPr>
          <w:rFonts w:asciiTheme="majorHAnsi" w:hAnsiTheme="majorHAnsi"/>
          <w:spacing w:val="1"/>
          <w:sz w:val="20"/>
          <w:szCs w:val="20"/>
        </w:rPr>
        <w:t xml:space="preserve"> </w:t>
      </w:r>
      <w:r w:rsidRPr="000977F7">
        <w:rPr>
          <w:rFonts w:asciiTheme="majorHAnsi" w:hAnsiTheme="majorHAnsi"/>
          <w:sz w:val="20"/>
          <w:szCs w:val="20"/>
        </w:rPr>
        <w:t>випуску</w:t>
      </w:r>
      <w:r w:rsidRPr="000977F7">
        <w:rPr>
          <w:rFonts w:asciiTheme="majorHAnsi" w:hAnsiTheme="majorHAnsi"/>
          <w:spacing w:val="1"/>
          <w:sz w:val="20"/>
          <w:szCs w:val="20"/>
        </w:rPr>
        <w:t xml:space="preserve"> </w:t>
      </w:r>
      <w:r w:rsidRPr="000977F7">
        <w:rPr>
          <w:rFonts w:asciiTheme="majorHAnsi" w:hAnsiTheme="majorHAnsi"/>
          <w:sz w:val="20"/>
          <w:szCs w:val="20"/>
        </w:rPr>
        <w:t>товарної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опрацювання</w:t>
      </w:r>
      <w:r w:rsidRPr="000977F7">
        <w:rPr>
          <w:rFonts w:asciiTheme="majorHAnsi" w:hAnsiTheme="majorHAnsi"/>
          <w:spacing w:val="1"/>
          <w:sz w:val="20"/>
          <w:szCs w:val="20"/>
        </w:rPr>
        <w:t xml:space="preserve"> </w:t>
      </w:r>
      <w:r w:rsidRPr="000977F7">
        <w:rPr>
          <w:rFonts w:asciiTheme="majorHAnsi" w:hAnsiTheme="majorHAnsi"/>
          <w:sz w:val="20"/>
          <w:szCs w:val="20"/>
        </w:rPr>
        <w:t>виконуваного ним нового технологічного процесу та</w:t>
      </w:r>
      <w:r w:rsidRPr="000977F7">
        <w:rPr>
          <w:rFonts w:asciiTheme="majorHAnsi" w:hAnsiTheme="majorHAnsi"/>
          <w:spacing w:val="1"/>
          <w:sz w:val="20"/>
          <w:szCs w:val="20"/>
        </w:rPr>
        <w:t xml:space="preserve"> </w:t>
      </w:r>
      <w:r w:rsidRPr="000977F7">
        <w:rPr>
          <w:rFonts w:asciiTheme="majorHAnsi" w:hAnsiTheme="majorHAnsi"/>
          <w:sz w:val="20"/>
          <w:szCs w:val="20"/>
        </w:rPr>
        <w:t>прийняття</w:t>
      </w:r>
      <w:r w:rsidRPr="000977F7">
        <w:rPr>
          <w:rFonts w:asciiTheme="majorHAnsi" w:hAnsiTheme="majorHAnsi"/>
          <w:spacing w:val="13"/>
          <w:sz w:val="20"/>
          <w:szCs w:val="20"/>
        </w:rPr>
        <w:t xml:space="preserve"> </w:t>
      </w:r>
      <w:r w:rsidRPr="000977F7">
        <w:rPr>
          <w:rFonts w:asciiTheme="majorHAnsi" w:hAnsiTheme="majorHAnsi"/>
          <w:sz w:val="20"/>
          <w:szCs w:val="20"/>
        </w:rPr>
        <w:t>рішення</w:t>
      </w:r>
      <w:r w:rsidRPr="000977F7">
        <w:rPr>
          <w:rFonts w:asciiTheme="majorHAnsi" w:hAnsiTheme="majorHAnsi"/>
          <w:spacing w:val="14"/>
          <w:sz w:val="20"/>
          <w:szCs w:val="20"/>
        </w:rPr>
        <w:t xml:space="preserve"> </w:t>
      </w:r>
      <w:r w:rsidRPr="000977F7">
        <w:rPr>
          <w:rFonts w:asciiTheme="majorHAnsi" w:hAnsiTheme="majorHAnsi"/>
          <w:sz w:val="20"/>
          <w:szCs w:val="20"/>
        </w:rPr>
        <w:t>про</w:t>
      </w:r>
      <w:r w:rsidRPr="000977F7">
        <w:rPr>
          <w:rFonts w:asciiTheme="majorHAnsi" w:hAnsiTheme="majorHAnsi"/>
          <w:spacing w:val="16"/>
          <w:sz w:val="20"/>
          <w:szCs w:val="20"/>
        </w:rPr>
        <w:t xml:space="preserve"> </w:t>
      </w:r>
      <w:r w:rsidRPr="000977F7">
        <w:rPr>
          <w:rFonts w:asciiTheme="majorHAnsi" w:hAnsiTheme="majorHAnsi"/>
          <w:sz w:val="20"/>
          <w:szCs w:val="20"/>
        </w:rPr>
        <w:t>створення</w:t>
      </w:r>
      <w:r w:rsidRPr="000977F7">
        <w:rPr>
          <w:rFonts w:asciiTheme="majorHAnsi" w:hAnsiTheme="majorHAnsi"/>
          <w:spacing w:val="13"/>
          <w:sz w:val="20"/>
          <w:szCs w:val="20"/>
        </w:rPr>
        <w:t xml:space="preserve"> </w:t>
      </w:r>
      <w:r w:rsidRPr="000977F7">
        <w:rPr>
          <w:rFonts w:asciiTheme="majorHAnsi" w:hAnsiTheme="majorHAnsi"/>
          <w:sz w:val="20"/>
          <w:szCs w:val="20"/>
        </w:rPr>
        <w:t>і</w:t>
      </w:r>
      <w:r w:rsidRPr="000977F7">
        <w:rPr>
          <w:rFonts w:asciiTheme="majorHAnsi" w:hAnsiTheme="majorHAnsi"/>
          <w:spacing w:val="15"/>
          <w:sz w:val="20"/>
          <w:szCs w:val="20"/>
        </w:rPr>
        <w:t xml:space="preserve"> </w:t>
      </w:r>
      <w:r w:rsidRPr="000977F7">
        <w:rPr>
          <w:rFonts w:asciiTheme="majorHAnsi" w:hAnsiTheme="majorHAnsi"/>
          <w:sz w:val="20"/>
          <w:szCs w:val="20"/>
        </w:rPr>
        <w:t>(чи)</w:t>
      </w:r>
      <w:r w:rsidRPr="000977F7">
        <w:rPr>
          <w:rFonts w:asciiTheme="majorHAnsi" w:hAnsiTheme="majorHAnsi"/>
          <w:spacing w:val="15"/>
          <w:sz w:val="20"/>
          <w:szCs w:val="20"/>
        </w:rPr>
        <w:t xml:space="preserve"> </w:t>
      </w:r>
      <w:r w:rsidRPr="000977F7">
        <w:rPr>
          <w:rFonts w:asciiTheme="majorHAnsi" w:hAnsiTheme="majorHAnsi"/>
          <w:sz w:val="20"/>
          <w:szCs w:val="20"/>
        </w:rPr>
        <w:t>виробництво аналогічного</w:t>
      </w:r>
      <w:r w:rsidRPr="000977F7">
        <w:rPr>
          <w:rFonts w:asciiTheme="majorHAnsi" w:hAnsiTheme="majorHAnsi"/>
          <w:spacing w:val="18"/>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19"/>
          <w:sz w:val="20"/>
          <w:szCs w:val="20"/>
        </w:rPr>
        <w:t xml:space="preserve"> </w:t>
      </w:r>
      <w:r w:rsidRPr="000977F7">
        <w:rPr>
          <w:rFonts w:asciiTheme="majorHAnsi" w:hAnsiTheme="majorHAnsi"/>
          <w:sz w:val="20"/>
          <w:szCs w:val="20"/>
        </w:rPr>
        <w:t>для</w:t>
      </w:r>
      <w:r w:rsidRPr="000977F7">
        <w:rPr>
          <w:rFonts w:asciiTheme="majorHAnsi" w:hAnsiTheme="majorHAnsi"/>
          <w:spacing w:val="18"/>
          <w:sz w:val="20"/>
          <w:szCs w:val="20"/>
        </w:rPr>
        <w:t xml:space="preserve"> </w:t>
      </w:r>
      <w:r w:rsidRPr="000977F7">
        <w:rPr>
          <w:rFonts w:asciiTheme="majorHAnsi" w:hAnsiTheme="majorHAnsi"/>
          <w:sz w:val="20"/>
          <w:szCs w:val="20"/>
        </w:rPr>
        <w:t>інших</w:t>
      </w:r>
      <w:r w:rsidRPr="000977F7">
        <w:rPr>
          <w:rFonts w:asciiTheme="majorHAnsi" w:hAnsiTheme="majorHAnsi"/>
          <w:spacing w:val="14"/>
          <w:sz w:val="20"/>
          <w:szCs w:val="20"/>
        </w:rPr>
        <w:t xml:space="preserve"> </w:t>
      </w:r>
      <w:r w:rsidRPr="000977F7">
        <w:rPr>
          <w:rFonts w:asciiTheme="majorHAnsi" w:hAnsiTheme="majorHAnsi"/>
          <w:sz w:val="20"/>
          <w:szCs w:val="20"/>
        </w:rPr>
        <w:t>об’єктів</w:t>
      </w:r>
      <w:r w:rsidRPr="000977F7">
        <w:rPr>
          <w:rFonts w:asciiTheme="majorHAnsi" w:hAnsiTheme="majorHAnsi"/>
          <w:spacing w:val="15"/>
          <w:sz w:val="20"/>
          <w:szCs w:val="20"/>
        </w:rPr>
        <w:t xml:space="preserve"> </w:t>
      </w:r>
      <w:r w:rsidRPr="000977F7">
        <w:rPr>
          <w:rFonts w:asciiTheme="majorHAnsi" w:hAnsiTheme="majorHAnsi"/>
          <w:sz w:val="20"/>
          <w:szCs w:val="20"/>
        </w:rPr>
        <w:t>вироб</w:t>
      </w:r>
      <w:r w:rsidRPr="000977F7">
        <w:rPr>
          <w:rFonts w:asciiTheme="majorHAnsi" w:hAnsiTheme="majorHAnsi"/>
          <w:spacing w:val="-47"/>
          <w:sz w:val="20"/>
          <w:szCs w:val="20"/>
        </w:rPr>
        <w:t xml:space="preserve"> </w:t>
      </w:r>
      <w:r w:rsidRPr="000977F7">
        <w:rPr>
          <w:rFonts w:asciiTheme="majorHAnsi" w:hAnsiTheme="majorHAnsi"/>
          <w:sz w:val="20"/>
          <w:szCs w:val="20"/>
        </w:rPr>
        <w:t>ництва</w:t>
      </w:r>
      <w:r w:rsidRPr="000977F7">
        <w:rPr>
          <w:rFonts w:asciiTheme="majorHAnsi" w:hAnsiTheme="majorHAnsi"/>
          <w:spacing w:val="-2"/>
          <w:sz w:val="20"/>
          <w:szCs w:val="20"/>
        </w:rPr>
        <w:t xml:space="preserve"> </w:t>
      </w:r>
      <w:r w:rsidRPr="000977F7">
        <w:rPr>
          <w:rFonts w:asciiTheme="majorHAnsi" w:hAnsiTheme="majorHAnsi"/>
          <w:sz w:val="20"/>
          <w:szCs w:val="20"/>
        </w:rPr>
        <w:t>даної</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77B3D27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ДОСЛІДНО</w:t>
      </w:r>
      <w:r w:rsidRPr="000977F7">
        <w:rPr>
          <w:color w:val="auto"/>
          <w:spacing w:val="-4"/>
          <w:sz w:val="20"/>
          <w:szCs w:val="20"/>
        </w:rPr>
        <w:t xml:space="preserve"> </w:t>
      </w:r>
      <w:r w:rsidRPr="000977F7">
        <w:rPr>
          <w:color w:val="auto"/>
          <w:sz w:val="20"/>
          <w:szCs w:val="20"/>
        </w:rPr>
        <w:t>–</w:t>
      </w:r>
      <w:r w:rsidRPr="000977F7">
        <w:rPr>
          <w:color w:val="auto"/>
          <w:spacing w:val="-4"/>
          <w:sz w:val="20"/>
          <w:szCs w:val="20"/>
        </w:rPr>
        <w:t xml:space="preserve"> </w:t>
      </w:r>
      <w:r w:rsidRPr="000977F7">
        <w:rPr>
          <w:color w:val="auto"/>
          <w:sz w:val="20"/>
          <w:szCs w:val="20"/>
        </w:rPr>
        <w:t>ТЕХНОЛОГІЧНА</w:t>
      </w:r>
      <w:r w:rsidRPr="000977F7">
        <w:rPr>
          <w:color w:val="auto"/>
          <w:spacing w:val="-5"/>
          <w:sz w:val="20"/>
          <w:szCs w:val="20"/>
        </w:rPr>
        <w:t xml:space="preserve"> </w:t>
      </w:r>
      <w:r w:rsidRPr="000977F7">
        <w:rPr>
          <w:color w:val="auto"/>
          <w:sz w:val="20"/>
          <w:szCs w:val="20"/>
        </w:rPr>
        <w:t>РОБОТА–</w:t>
      </w:r>
    </w:p>
    <w:p w14:paraId="489F32D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21"/>
          <w:sz w:val="20"/>
          <w:szCs w:val="20"/>
        </w:rPr>
        <w:t xml:space="preserve"> </w:t>
      </w:r>
      <w:r w:rsidRPr="000977F7">
        <w:rPr>
          <w:rFonts w:asciiTheme="majorHAnsi" w:hAnsiTheme="majorHAnsi"/>
          <w:sz w:val="20"/>
          <w:szCs w:val="20"/>
        </w:rPr>
        <w:t>робіт</w:t>
      </w:r>
      <w:r w:rsidRPr="000977F7">
        <w:rPr>
          <w:rFonts w:asciiTheme="majorHAnsi" w:hAnsiTheme="majorHAnsi"/>
          <w:spacing w:val="20"/>
          <w:sz w:val="20"/>
          <w:szCs w:val="20"/>
        </w:rPr>
        <w:t xml:space="preserve"> </w:t>
      </w:r>
      <w:r w:rsidRPr="000977F7">
        <w:rPr>
          <w:rFonts w:asciiTheme="majorHAnsi" w:hAnsiTheme="majorHAnsi"/>
          <w:sz w:val="20"/>
          <w:szCs w:val="20"/>
        </w:rPr>
        <w:t>над</w:t>
      </w:r>
      <w:r w:rsidRPr="000977F7">
        <w:rPr>
          <w:rFonts w:asciiTheme="majorHAnsi" w:hAnsiTheme="majorHAnsi"/>
          <w:spacing w:val="20"/>
          <w:sz w:val="20"/>
          <w:szCs w:val="20"/>
        </w:rPr>
        <w:t xml:space="preserve"> </w:t>
      </w:r>
      <w:r w:rsidRPr="000977F7">
        <w:rPr>
          <w:rFonts w:asciiTheme="majorHAnsi" w:hAnsiTheme="majorHAnsi"/>
          <w:sz w:val="20"/>
          <w:szCs w:val="20"/>
        </w:rPr>
        <w:t>створенням</w:t>
      </w:r>
      <w:r w:rsidRPr="000977F7">
        <w:rPr>
          <w:rFonts w:asciiTheme="majorHAnsi" w:hAnsiTheme="majorHAnsi"/>
          <w:spacing w:val="22"/>
          <w:sz w:val="20"/>
          <w:szCs w:val="20"/>
        </w:rPr>
        <w:t xml:space="preserve"> </w:t>
      </w:r>
      <w:r w:rsidRPr="000977F7">
        <w:rPr>
          <w:rFonts w:asciiTheme="majorHAnsi" w:hAnsiTheme="majorHAnsi"/>
          <w:sz w:val="20"/>
          <w:szCs w:val="20"/>
        </w:rPr>
        <w:t>нових</w:t>
      </w:r>
      <w:r w:rsidRPr="000977F7">
        <w:rPr>
          <w:rFonts w:asciiTheme="majorHAnsi" w:hAnsiTheme="majorHAnsi"/>
          <w:spacing w:val="19"/>
          <w:sz w:val="20"/>
          <w:szCs w:val="20"/>
        </w:rPr>
        <w:t xml:space="preserve"> </w:t>
      </w:r>
      <w:r w:rsidRPr="000977F7">
        <w:rPr>
          <w:rFonts w:asciiTheme="majorHAnsi" w:hAnsiTheme="majorHAnsi"/>
          <w:sz w:val="20"/>
          <w:szCs w:val="20"/>
        </w:rPr>
        <w:t>речовин,</w:t>
      </w:r>
      <w:r w:rsidRPr="000977F7">
        <w:rPr>
          <w:rFonts w:asciiTheme="majorHAnsi" w:hAnsiTheme="majorHAnsi"/>
          <w:spacing w:val="21"/>
          <w:sz w:val="20"/>
          <w:szCs w:val="20"/>
        </w:rPr>
        <w:t xml:space="preserve"> </w:t>
      </w:r>
      <w:r w:rsidRPr="000977F7">
        <w:rPr>
          <w:rFonts w:asciiTheme="majorHAnsi" w:hAnsiTheme="majorHAnsi"/>
          <w:sz w:val="20"/>
          <w:szCs w:val="20"/>
        </w:rPr>
        <w:t>матеріалів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технологічних процесів</w:t>
      </w:r>
    </w:p>
    <w:p w14:paraId="1E6F5BA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11C93F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ДОСТОВІРНІСТЬ</w:t>
      </w:r>
      <w:r w:rsidRPr="000977F7">
        <w:rPr>
          <w:color w:val="auto"/>
          <w:spacing w:val="1"/>
          <w:sz w:val="20"/>
          <w:szCs w:val="20"/>
        </w:rPr>
        <w:t xml:space="preserve"> </w:t>
      </w:r>
      <w:r w:rsidRPr="000977F7">
        <w:rPr>
          <w:color w:val="auto"/>
          <w:sz w:val="20"/>
          <w:szCs w:val="20"/>
        </w:rPr>
        <w:t>ТЕХНІЧНОГО</w:t>
      </w:r>
      <w:r w:rsidRPr="000977F7">
        <w:rPr>
          <w:color w:val="auto"/>
          <w:spacing w:val="1"/>
          <w:sz w:val="20"/>
          <w:szCs w:val="20"/>
        </w:rPr>
        <w:t xml:space="preserve"> </w:t>
      </w:r>
      <w:r w:rsidRPr="000977F7">
        <w:rPr>
          <w:color w:val="auto"/>
          <w:sz w:val="20"/>
          <w:szCs w:val="20"/>
        </w:rPr>
        <w:t>ДІАГНОСТУВАННЯ –</w:t>
      </w:r>
    </w:p>
    <w:p w14:paraId="3065A408"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Ступінь</w:t>
      </w:r>
      <w:r w:rsidRPr="000977F7">
        <w:rPr>
          <w:rFonts w:asciiTheme="majorHAnsi" w:hAnsiTheme="majorHAnsi"/>
          <w:spacing w:val="14"/>
          <w:sz w:val="20"/>
          <w:szCs w:val="20"/>
        </w:rPr>
        <w:t xml:space="preserve"> </w:t>
      </w:r>
      <w:r w:rsidRPr="000977F7">
        <w:rPr>
          <w:rFonts w:asciiTheme="majorHAnsi" w:hAnsiTheme="majorHAnsi"/>
          <w:sz w:val="20"/>
          <w:szCs w:val="20"/>
        </w:rPr>
        <w:t>об’єктивної</w:t>
      </w:r>
      <w:r w:rsidRPr="000977F7">
        <w:rPr>
          <w:rFonts w:asciiTheme="majorHAnsi" w:hAnsiTheme="majorHAnsi"/>
          <w:spacing w:val="12"/>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14"/>
          <w:sz w:val="20"/>
          <w:szCs w:val="20"/>
        </w:rPr>
        <w:t xml:space="preserve"> </w:t>
      </w:r>
      <w:r w:rsidRPr="000977F7">
        <w:rPr>
          <w:rFonts w:asciiTheme="majorHAnsi" w:hAnsiTheme="majorHAnsi"/>
          <w:sz w:val="20"/>
          <w:szCs w:val="20"/>
        </w:rPr>
        <w:t>діагнозу</w:t>
      </w:r>
      <w:r w:rsidRPr="000977F7">
        <w:rPr>
          <w:rFonts w:asciiTheme="majorHAnsi" w:hAnsiTheme="majorHAnsi"/>
          <w:spacing w:val="11"/>
          <w:sz w:val="20"/>
          <w:szCs w:val="20"/>
        </w:rPr>
        <w:t xml:space="preserve"> </w:t>
      </w:r>
      <w:r w:rsidRPr="000977F7">
        <w:rPr>
          <w:rFonts w:asciiTheme="majorHAnsi" w:hAnsiTheme="majorHAnsi"/>
          <w:sz w:val="20"/>
          <w:szCs w:val="20"/>
        </w:rPr>
        <w:t>(результату контролю) дійсному технічному стану об’єкта</w:t>
      </w:r>
      <w:r w:rsidRPr="000977F7">
        <w:rPr>
          <w:rFonts w:asciiTheme="majorHAnsi" w:hAnsiTheme="majorHAnsi"/>
          <w:spacing w:val="1"/>
          <w:sz w:val="20"/>
          <w:szCs w:val="20"/>
        </w:rPr>
        <w:t xml:space="preserve"> </w:t>
      </w:r>
    </w:p>
    <w:p w14:paraId="465281F3"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2389</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650263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ДОСТУП</w:t>
      </w:r>
      <w:r w:rsidRPr="000977F7">
        <w:rPr>
          <w:color w:val="auto"/>
          <w:spacing w:val="-2"/>
          <w:sz w:val="20"/>
          <w:szCs w:val="20"/>
        </w:rPr>
        <w:t xml:space="preserve"> </w:t>
      </w:r>
      <w:r w:rsidRPr="000977F7">
        <w:rPr>
          <w:color w:val="auto"/>
          <w:sz w:val="20"/>
          <w:szCs w:val="20"/>
        </w:rPr>
        <w:t>(</w:t>
      </w:r>
      <w:r w:rsidRPr="000977F7">
        <w:rPr>
          <w:color w:val="auto"/>
          <w:spacing w:val="-2"/>
          <w:sz w:val="20"/>
          <w:szCs w:val="20"/>
        </w:rPr>
        <w:t xml:space="preserve"> </w:t>
      </w:r>
      <w:r w:rsidRPr="000977F7">
        <w:rPr>
          <w:color w:val="auto"/>
          <w:sz w:val="20"/>
          <w:szCs w:val="20"/>
        </w:rPr>
        <w:t>ДО</w:t>
      </w:r>
      <w:r w:rsidRPr="000977F7">
        <w:rPr>
          <w:color w:val="auto"/>
          <w:spacing w:val="-2"/>
          <w:sz w:val="20"/>
          <w:szCs w:val="20"/>
        </w:rPr>
        <w:t xml:space="preserve"> </w:t>
      </w:r>
      <w:r w:rsidRPr="000977F7">
        <w:rPr>
          <w:color w:val="auto"/>
          <w:sz w:val="20"/>
          <w:szCs w:val="20"/>
        </w:rPr>
        <w:t>СИСТЕМИ</w:t>
      </w:r>
      <w:r w:rsidRPr="000977F7">
        <w:rPr>
          <w:color w:val="auto"/>
          <w:spacing w:val="-3"/>
          <w:sz w:val="20"/>
          <w:szCs w:val="20"/>
        </w:rPr>
        <w:t xml:space="preserve"> </w:t>
      </w:r>
      <w:r w:rsidRPr="000977F7">
        <w:rPr>
          <w:color w:val="auto"/>
          <w:sz w:val="20"/>
          <w:szCs w:val="20"/>
        </w:rPr>
        <w:t>АБО</w:t>
      </w:r>
      <w:r w:rsidRPr="000977F7">
        <w:rPr>
          <w:color w:val="auto"/>
          <w:spacing w:val="-2"/>
          <w:sz w:val="20"/>
          <w:szCs w:val="20"/>
        </w:rPr>
        <w:t xml:space="preserve"> </w:t>
      </w:r>
      <w:r w:rsidRPr="000977F7">
        <w:rPr>
          <w:color w:val="auto"/>
          <w:sz w:val="20"/>
          <w:szCs w:val="20"/>
        </w:rPr>
        <w:t>СХЕМИ)-</w:t>
      </w:r>
    </w:p>
    <w:p w14:paraId="2BD6C4C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ACCESS; ACCESS</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TO A</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SYSTEM OR</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SCHEME–</w:t>
      </w:r>
    </w:p>
    <w:p w14:paraId="6947D3F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Можливість</w:t>
      </w:r>
      <w:r w:rsidRPr="000977F7">
        <w:rPr>
          <w:rFonts w:asciiTheme="majorHAnsi" w:hAnsiTheme="majorHAnsi"/>
          <w:spacing w:val="6"/>
          <w:sz w:val="20"/>
          <w:szCs w:val="20"/>
        </w:rPr>
        <w:t xml:space="preserve"> </w:t>
      </w:r>
      <w:r w:rsidRPr="000977F7">
        <w:rPr>
          <w:rFonts w:asciiTheme="majorHAnsi" w:hAnsiTheme="majorHAnsi"/>
          <w:sz w:val="20"/>
          <w:szCs w:val="20"/>
        </w:rPr>
        <w:t>для</w:t>
      </w:r>
      <w:r w:rsidRPr="000977F7">
        <w:rPr>
          <w:rFonts w:asciiTheme="majorHAnsi" w:hAnsiTheme="majorHAnsi"/>
          <w:spacing w:val="3"/>
          <w:sz w:val="20"/>
          <w:szCs w:val="20"/>
        </w:rPr>
        <w:t xml:space="preserve"> </w:t>
      </w:r>
      <w:r w:rsidRPr="000977F7">
        <w:rPr>
          <w:rFonts w:asciiTheme="majorHAnsi" w:hAnsiTheme="majorHAnsi"/>
          <w:sz w:val="20"/>
          <w:szCs w:val="20"/>
        </w:rPr>
        <w:t>заявника</w:t>
      </w:r>
      <w:r w:rsidRPr="000977F7">
        <w:rPr>
          <w:rFonts w:asciiTheme="majorHAnsi" w:hAnsiTheme="majorHAnsi"/>
          <w:spacing w:val="4"/>
          <w:sz w:val="20"/>
          <w:szCs w:val="20"/>
        </w:rPr>
        <w:t xml:space="preserve"> </w:t>
      </w:r>
      <w:r w:rsidRPr="000977F7">
        <w:rPr>
          <w:rFonts w:asciiTheme="majorHAnsi" w:hAnsiTheme="majorHAnsi"/>
          <w:sz w:val="20"/>
          <w:szCs w:val="20"/>
        </w:rPr>
        <w:t>провести</w:t>
      </w:r>
      <w:r w:rsidRPr="000977F7">
        <w:rPr>
          <w:rFonts w:asciiTheme="majorHAnsi" w:hAnsiTheme="majorHAnsi"/>
          <w:spacing w:val="1"/>
          <w:sz w:val="20"/>
          <w:szCs w:val="20"/>
        </w:rPr>
        <w:t xml:space="preserve"> </w:t>
      </w:r>
      <w:r w:rsidRPr="000977F7">
        <w:rPr>
          <w:rFonts w:asciiTheme="majorHAnsi" w:hAnsiTheme="majorHAnsi"/>
          <w:sz w:val="20"/>
          <w:szCs w:val="20"/>
        </w:rPr>
        <w:t>оцінювання</w:t>
      </w:r>
      <w:r w:rsidRPr="000977F7">
        <w:rPr>
          <w:rFonts w:asciiTheme="majorHAnsi" w:hAnsiTheme="majorHAnsi"/>
          <w:spacing w:val="3"/>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2"/>
          <w:sz w:val="20"/>
          <w:szCs w:val="20"/>
        </w:rPr>
        <w:t xml:space="preserve"> </w:t>
      </w:r>
      <w:r w:rsidRPr="000977F7">
        <w:rPr>
          <w:rFonts w:asciiTheme="majorHAnsi" w:hAnsiTheme="majorHAnsi"/>
          <w:sz w:val="20"/>
          <w:szCs w:val="20"/>
        </w:rPr>
        <w:t>згідно з</w:t>
      </w:r>
      <w:r w:rsidRPr="000977F7">
        <w:rPr>
          <w:rFonts w:asciiTheme="majorHAnsi" w:hAnsiTheme="majorHAnsi"/>
          <w:spacing w:val="-1"/>
          <w:sz w:val="20"/>
          <w:szCs w:val="20"/>
        </w:rPr>
        <w:t xml:space="preserve"> </w:t>
      </w:r>
      <w:r w:rsidRPr="000977F7">
        <w:rPr>
          <w:rFonts w:asciiTheme="majorHAnsi" w:hAnsiTheme="majorHAnsi"/>
          <w:sz w:val="20"/>
          <w:szCs w:val="20"/>
        </w:rPr>
        <w:t>правилами системи</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схеми</w:t>
      </w:r>
    </w:p>
    <w:p w14:paraId="039C9EFA"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pacing w:val="-7"/>
          <w:w w:val="95"/>
          <w:sz w:val="20"/>
          <w:szCs w:val="20"/>
        </w:rPr>
        <w:t>ДСТУ ISO/IEC</w:t>
      </w:r>
      <w:r w:rsidRPr="000977F7">
        <w:rPr>
          <w:rFonts w:asciiTheme="majorHAnsi" w:hAnsiTheme="majorHAnsi"/>
          <w:i/>
          <w:iCs/>
          <w:spacing w:val="-27"/>
          <w:w w:val="95"/>
          <w:sz w:val="20"/>
          <w:szCs w:val="20"/>
        </w:rPr>
        <w:t xml:space="preserve"> </w:t>
      </w:r>
      <w:r w:rsidRPr="000977F7">
        <w:rPr>
          <w:rFonts w:asciiTheme="majorHAnsi" w:hAnsiTheme="majorHAnsi"/>
          <w:i/>
          <w:iCs/>
          <w:spacing w:val="-6"/>
          <w:w w:val="95"/>
          <w:sz w:val="20"/>
          <w:szCs w:val="20"/>
        </w:rPr>
        <w:t>17000:2007</w:t>
      </w:r>
    </w:p>
    <w:p w14:paraId="2A8B9F4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ДОТИЧНЕ</w:t>
      </w:r>
      <w:r w:rsidRPr="000977F7">
        <w:rPr>
          <w:color w:val="auto"/>
          <w:spacing w:val="-4"/>
          <w:sz w:val="20"/>
          <w:szCs w:val="20"/>
        </w:rPr>
        <w:t xml:space="preserve"> </w:t>
      </w:r>
      <w:r w:rsidRPr="000977F7">
        <w:rPr>
          <w:color w:val="auto"/>
          <w:sz w:val="20"/>
          <w:szCs w:val="20"/>
        </w:rPr>
        <w:t>НАПРУЖЕННЯ</w:t>
      </w:r>
      <w:r w:rsidRPr="000977F7">
        <w:rPr>
          <w:color w:val="auto"/>
          <w:spacing w:val="1"/>
          <w:sz w:val="20"/>
          <w:szCs w:val="20"/>
        </w:rPr>
        <w:t xml:space="preserve"> </w:t>
      </w:r>
      <w:r w:rsidRPr="000977F7">
        <w:rPr>
          <w:color w:val="auto"/>
          <w:sz w:val="20"/>
          <w:szCs w:val="20"/>
        </w:rPr>
        <w:t>–</w:t>
      </w:r>
    </w:p>
    <w:p w14:paraId="496A6B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SMEAR</w:t>
      </w:r>
      <w:r w:rsidRPr="000977F7">
        <w:rPr>
          <w:rFonts w:asciiTheme="majorHAnsi" w:hAnsiTheme="majorHAnsi"/>
          <w:spacing w:val="-3"/>
          <w:sz w:val="20"/>
          <w:szCs w:val="20"/>
        </w:rPr>
        <w:t xml:space="preserve"> </w:t>
      </w:r>
      <w:r w:rsidRPr="000977F7">
        <w:rPr>
          <w:rFonts w:asciiTheme="majorHAnsi" w:hAnsiTheme="majorHAnsi"/>
          <w:sz w:val="20"/>
          <w:szCs w:val="20"/>
        </w:rPr>
        <w:t>STRESS</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12A7AE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Складова</w:t>
      </w:r>
      <w:r w:rsidRPr="000977F7">
        <w:rPr>
          <w:rFonts w:asciiTheme="majorHAnsi" w:hAnsiTheme="majorHAnsi"/>
          <w:spacing w:val="-5"/>
          <w:sz w:val="20"/>
          <w:szCs w:val="20"/>
        </w:rPr>
        <w:t xml:space="preserve"> </w:t>
      </w:r>
      <w:r w:rsidRPr="000977F7">
        <w:rPr>
          <w:rFonts w:asciiTheme="majorHAnsi" w:hAnsiTheme="majorHAnsi"/>
          <w:sz w:val="20"/>
          <w:szCs w:val="20"/>
        </w:rPr>
        <w:t>вектора</w:t>
      </w:r>
      <w:r w:rsidRPr="000977F7">
        <w:rPr>
          <w:rFonts w:asciiTheme="majorHAnsi" w:hAnsiTheme="majorHAnsi"/>
          <w:spacing w:val="-4"/>
          <w:sz w:val="20"/>
          <w:szCs w:val="20"/>
        </w:rPr>
        <w:t xml:space="preserve"> </w:t>
      </w:r>
      <w:r w:rsidRPr="000977F7">
        <w:rPr>
          <w:rFonts w:asciiTheme="majorHAnsi" w:hAnsiTheme="majorHAnsi"/>
          <w:sz w:val="20"/>
          <w:szCs w:val="20"/>
        </w:rPr>
        <w:t>напруження,</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3"/>
          <w:sz w:val="20"/>
          <w:szCs w:val="20"/>
        </w:rPr>
        <w:t xml:space="preserve"> </w:t>
      </w:r>
      <w:r w:rsidRPr="000977F7">
        <w:rPr>
          <w:rFonts w:asciiTheme="majorHAnsi" w:hAnsiTheme="majorHAnsi"/>
          <w:sz w:val="20"/>
          <w:szCs w:val="20"/>
        </w:rPr>
        <w:t>лежить</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5"/>
          <w:sz w:val="20"/>
          <w:szCs w:val="20"/>
        </w:rPr>
        <w:t xml:space="preserve"> </w:t>
      </w:r>
      <w:r w:rsidRPr="000977F7">
        <w:rPr>
          <w:rFonts w:asciiTheme="majorHAnsi" w:hAnsiTheme="majorHAnsi"/>
          <w:sz w:val="20"/>
          <w:szCs w:val="20"/>
        </w:rPr>
        <w:t>площині</w:t>
      </w:r>
      <w:r w:rsidRPr="000977F7">
        <w:rPr>
          <w:rFonts w:asciiTheme="majorHAnsi" w:hAnsiTheme="majorHAnsi"/>
          <w:spacing w:val="-47"/>
          <w:sz w:val="20"/>
          <w:szCs w:val="20"/>
        </w:rPr>
        <w:t xml:space="preserve"> </w:t>
      </w:r>
      <w:r w:rsidRPr="000977F7">
        <w:rPr>
          <w:rFonts w:asciiTheme="majorHAnsi" w:hAnsiTheme="majorHAnsi"/>
          <w:sz w:val="20"/>
          <w:szCs w:val="20"/>
        </w:rPr>
        <w:t>елементарної</w:t>
      </w:r>
      <w:r w:rsidRPr="000977F7">
        <w:rPr>
          <w:rFonts w:asciiTheme="majorHAnsi" w:hAnsiTheme="majorHAnsi"/>
          <w:spacing w:val="-2"/>
          <w:sz w:val="20"/>
          <w:szCs w:val="20"/>
        </w:rPr>
        <w:t xml:space="preserve"> </w:t>
      </w:r>
      <w:r w:rsidRPr="000977F7">
        <w:rPr>
          <w:rFonts w:asciiTheme="majorHAnsi" w:hAnsiTheme="majorHAnsi"/>
          <w:sz w:val="20"/>
          <w:szCs w:val="20"/>
        </w:rPr>
        <w:t>площадки</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дії</w:t>
      </w:r>
    </w:p>
    <w:p w14:paraId="45E515A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07BF28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ДРЕЙФ ЗАСОБУ ВИМІРЮВАЛЬНОЇ</w:t>
      </w:r>
      <w:r w:rsidRPr="000977F7">
        <w:rPr>
          <w:color w:val="auto"/>
          <w:spacing w:val="-47"/>
          <w:sz w:val="20"/>
          <w:szCs w:val="20"/>
        </w:rPr>
        <w:t xml:space="preserve"> </w:t>
      </w:r>
      <w:r w:rsidRPr="000977F7">
        <w:rPr>
          <w:color w:val="auto"/>
          <w:sz w:val="20"/>
          <w:szCs w:val="20"/>
        </w:rPr>
        <w:t>ТЕХНІКИ –</w:t>
      </w:r>
    </w:p>
    <w:p w14:paraId="2E14A0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DRIFT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863FE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Повільна</w:t>
      </w:r>
      <w:r w:rsidRPr="000977F7">
        <w:rPr>
          <w:rFonts w:asciiTheme="majorHAnsi" w:hAnsiTheme="majorHAnsi"/>
          <w:spacing w:val="7"/>
          <w:sz w:val="20"/>
          <w:szCs w:val="20"/>
        </w:rPr>
        <w:t xml:space="preserve"> </w:t>
      </w:r>
      <w:r w:rsidRPr="000977F7">
        <w:rPr>
          <w:rFonts w:asciiTheme="majorHAnsi" w:hAnsiTheme="majorHAnsi"/>
          <w:sz w:val="20"/>
          <w:szCs w:val="20"/>
        </w:rPr>
        <w:t>зміна</w:t>
      </w:r>
      <w:r w:rsidRPr="000977F7">
        <w:rPr>
          <w:rFonts w:asciiTheme="majorHAnsi" w:hAnsiTheme="majorHAnsi"/>
          <w:spacing w:val="7"/>
          <w:sz w:val="20"/>
          <w:szCs w:val="20"/>
        </w:rPr>
        <w:t xml:space="preserve"> </w:t>
      </w:r>
      <w:r w:rsidRPr="000977F7">
        <w:rPr>
          <w:rFonts w:asciiTheme="majorHAnsi" w:hAnsiTheme="majorHAnsi"/>
          <w:sz w:val="20"/>
          <w:szCs w:val="20"/>
        </w:rPr>
        <w:t>з</w:t>
      </w:r>
      <w:r w:rsidRPr="000977F7">
        <w:rPr>
          <w:rFonts w:asciiTheme="majorHAnsi" w:hAnsiTheme="majorHAnsi"/>
          <w:spacing w:val="8"/>
          <w:sz w:val="20"/>
          <w:szCs w:val="20"/>
        </w:rPr>
        <w:t xml:space="preserve"> </w:t>
      </w:r>
      <w:r w:rsidRPr="000977F7">
        <w:rPr>
          <w:rFonts w:asciiTheme="majorHAnsi" w:hAnsiTheme="majorHAnsi"/>
          <w:sz w:val="20"/>
          <w:szCs w:val="20"/>
        </w:rPr>
        <w:t>часом</w:t>
      </w:r>
      <w:r w:rsidRPr="000977F7">
        <w:rPr>
          <w:rFonts w:asciiTheme="majorHAnsi" w:hAnsiTheme="majorHAnsi"/>
          <w:spacing w:val="8"/>
          <w:sz w:val="20"/>
          <w:szCs w:val="20"/>
        </w:rPr>
        <w:t xml:space="preserve"> </w:t>
      </w:r>
      <w:r w:rsidRPr="000977F7">
        <w:rPr>
          <w:rFonts w:asciiTheme="majorHAnsi" w:hAnsiTheme="majorHAnsi"/>
          <w:sz w:val="20"/>
          <w:szCs w:val="20"/>
        </w:rPr>
        <w:t>метрологічної</w:t>
      </w:r>
      <w:r w:rsidRPr="000977F7">
        <w:rPr>
          <w:rFonts w:asciiTheme="majorHAnsi" w:hAnsiTheme="majorHAnsi"/>
          <w:spacing w:val="8"/>
          <w:sz w:val="20"/>
          <w:szCs w:val="20"/>
        </w:rPr>
        <w:t xml:space="preserve"> </w:t>
      </w:r>
      <w:r w:rsidRPr="000977F7">
        <w:rPr>
          <w:rFonts w:asciiTheme="majorHAnsi" w:hAnsiTheme="majorHAnsi"/>
          <w:sz w:val="20"/>
          <w:szCs w:val="20"/>
        </w:rPr>
        <w:t>характеристики</w:t>
      </w:r>
      <w:r w:rsidRPr="000977F7">
        <w:rPr>
          <w:rFonts w:asciiTheme="majorHAnsi" w:hAnsiTheme="majorHAnsi"/>
          <w:spacing w:val="-47"/>
          <w:sz w:val="20"/>
          <w:szCs w:val="20"/>
        </w:rPr>
        <w:t xml:space="preserve"> </w:t>
      </w:r>
      <w:r w:rsidRPr="000977F7">
        <w:rPr>
          <w:rFonts w:asciiTheme="majorHAnsi" w:hAnsiTheme="majorHAnsi"/>
          <w:sz w:val="20"/>
          <w:szCs w:val="20"/>
        </w:rPr>
        <w:t>засобу</w:t>
      </w:r>
      <w:r w:rsidRPr="000977F7">
        <w:rPr>
          <w:rFonts w:asciiTheme="majorHAnsi" w:hAnsiTheme="majorHAnsi"/>
          <w:spacing w:val="-5"/>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1"/>
          <w:sz w:val="20"/>
          <w:szCs w:val="20"/>
        </w:rPr>
        <w:t xml:space="preserve"> </w:t>
      </w:r>
      <w:r w:rsidRPr="000977F7">
        <w:rPr>
          <w:rFonts w:asciiTheme="majorHAnsi" w:hAnsiTheme="majorHAnsi"/>
          <w:sz w:val="20"/>
          <w:szCs w:val="20"/>
        </w:rPr>
        <w:t>техніки</w:t>
      </w:r>
    </w:p>
    <w:p w14:paraId="5F299BC3"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5A4967E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ДРЕЙФ</w:t>
      </w:r>
      <w:r w:rsidRPr="000977F7">
        <w:rPr>
          <w:color w:val="auto"/>
          <w:spacing w:val="-2"/>
          <w:sz w:val="20"/>
          <w:szCs w:val="20"/>
        </w:rPr>
        <w:t xml:space="preserve"> </w:t>
      </w:r>
      <w:r w:rsidRPr="000977F7">
        <w:rPr>
          <w:color w:val="auto"/>
          <w:sz w:val="20"/>
          <w:szCs w:val="20"/>
        </w:rPr>
        <w:t>ЧАСТОТИ</w:t>
      </w:r>
      <w:r w:rsidRPr="000977F7">
        <w:rPr>
          <w:color w:val="auto"/>
          <w:spacing w:val="-1"/>
          <w:sz w:val="20"/>
          <w:szCs w:val="20"/>
        </w:rPr>
        <w:t xml:space="preserve"> </w:t>
      </w:r>
      <w:r w:rsidRPr="000977F7">
        <w:rPr>
          <w:color w:val="auto"/>
          <w:sz w:val="20"/>
          <w:szCs w:val="20"/>
        </w:rPr>
        <w:t>–</w:t>
      </w:r>
    </w:p>
    <w:p w14:paraId="4D23B72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FREQUENCY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DRIFT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6E3609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Незначне відхилення частоти впродовж відносно тривалого періоду часу під час дії регулювальних пристроїв</w:t>
      </w:r>
    </w:p>
    <w:p w14:paraId="2A1414D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5F6FE374"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pacing w:val="-1"/>
          <w:sz w:val="20"/>
          <w:szCs w:val="20"/>
        </w:rPr>
        <w:t xml:space="preserve">ДРІБНИЙ </w:t>
      </w:r>
      <w:r w:rsidRPr="000977F7">
        <w:rPr>
          <w:color w:val="auto"/>
          <w:sz w:val="20"/>
          <w:szCs w:val="20"/>
        </w:rPr>
        <w:t>ФАКТОРНИЙ</w:t>
      </w:r>
      <w:r w:rsidRPr="000977F7">
        <w:rPr>
          <w:color w:val="auto"/>
          <w:spacing w:val="-47"/>
          <w:sz w:val="20"/>
          <w:szCs w:val="20"/>
        </w:rPr>
        <w:t xml:space="preserve"> </w:t>
      </w:r>
      <w:r w:rsidRPr="000977F7">
        <w:rPr>
          <w:color w:val="auto"/>
          <w:sz w:val="20"/>
          <w:szCs w:val="20"/>
        </w:rPr>
        <w:t>ЕКСПЕРИМЕНТ</w:t>
      </w:r>
      <w:r w:rsidRPr="000977F7">
        <w:rPr>
          <w:color w:val="auto"/>
          <w:spacing w:val="-1"/>
          <w:sz w:val="20"/>
          <w:szCs w:val="20"/>
        </w:rPr>
        <w:t xml:space="preserve"> </w:t>
      </w:r>
      <w:r w:rsidRPr="000977F7">
        <w:rPr>
          <w:b w:val="0"/>
          <w:color w:val="auto"/>
          <w:sz w:val="20"/>
          <w:szCs w:val="20"/>
        </w:rPr>
        <w:t>–</w:t>
      </w:r>
    </w:p>
    <w:p w14:paraId="6275BC3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План,</w:t>
      </w:r>
      <w:r w:rsidRPr="000977F7">
        <w:rPr>
          <w:rFonts w:asciiTheme="majorHAnsi" w:hAnsiTheme="majorHAnsi"/>
          <w:spacing w:val="6"/>
          <w:sz w:val="20"/>
          <w:szCs w:val="20"/>
        </w:rPr>
        <w:t xml:space="preserve"> </w:t>
      </w:r>
      <w:r w:rsidRPr="000977F7">
        <w:rPr>
          <w:rFonts w:asciiTheme="majorHAnsi" w:hAnsiTheme="majorHAnsi"/>
          <w:sz w:val="20"/>
          <w:szCs w:val="20"/>
        </w:rPr>
        <w:t>до</w:t>
      </w:r>
      <w:r w:rsidRPr="000977F7">
        <w:rPr>
          <w:rFonts w:asciiTheme="majorHAnsi" w:hAnsiTheme="majorHAnsi"/>
          <w:spacing w:val="4"/>
          <w:sz w:val="20"/>
          <w:szCs w:val="20"/>
        </w:rPr>
        <w:t xml:space="preserve"> </w:t>
      </w:r>
      <w:r w:rsidRPr="000977F7">
        <w:rPr>
          <w:rFonts w:asciiTheme="majorHAnsi" w:hAnsiTheme="majorHAnsi"/>
          <w:sz w:val="20"/>
          <w:szCs w:val="20"/>
        </w:rPr>
        <w:t>якого</w:t>
      </w:r>
      <w:r w:rsidRPr="000977F7">
        <w:rPr>
          <w:rFonts w:asciiTheme="majorHAnsi" w:hAnsiTheme="majorHAnsi"/>
          <w:spacing w:val="4"/>
          <w:sz w:val="20"/>
          <w:szCs w:val="20"/>
        </w:rPr>
        <w:t xml:space="preserve"> </w:t>
      </w:r>
      <w:r w:rsidRPr="000977F7">
        <w:rPr>
          <w:rFonts w:asciiTheme="majorHAnsi" w:hAnsiTheme="majorHAnsi"/>
          <w:sz w:val="20"/>
          <w:szCs w:val="20"/>
        </w:rPr>
        <w:t>входить</w:t>
      </w:r>
      <w:r w:rsidRPr="000977F7">
        <w:rPr>
          <w:rFonts w:asciiTheme="majorHAnsi" w:hAnsiTheme="majorHAnsi"/>
          <w:spacing w:val="4"/>
          <w:sz w:val="20"/>
          <w:szCs w:val="20"/>
        </w:rPr>
        <w:t xml:space="preserve"> </w:t>
      </w:r>
      <w:r w:rsidRPr="000977F7">
        <w:rPr>
          <w:rFonts w:asciiTheme="majorHAnsi" w:hAnsiTheme="majorHAnsi"/>
          <w:sz w:val="20"/>
          <w:szCs w:val="20"/>
        </w:rPr>
        <w:t>частка</w:t>
      </w:r>
      <w:r w:rsidRPr="000977F7">
        <w:rPr>
          <w:rFonts w:asciiTheme="majorHAnsi" w:hAnsiTheme="majorHAnsi"/>
          <w:spacing w:val="4"/>
          <w:sz w:val="20"/>
          <w:szCs w:val="20"/>
        </w:rPr>
        <w:t xml:space="preserve"> </w:t>
      </w:r>
      <w:r w:rsidRPr="000977F7">
        <w:rPr>
          <w:rFonts w:asciiTheme="majorHAnsi" w:hAnsiTheme="majorHAnsi"/>
          <w:sz w:val="20"/>
          <w:szCs w:val="20"/>
        </w:rPr>
        <w:t>комбінацій</w:t>
      </w:r>
      <w:r w:rsidRPr="000977F7">
        <w:rPr>
          <w:rFonts w:asciiTheme="majorHAnsi" w:hAnsiTheme="majorHAnsi"/>
          <w:spacing w:val="5"/>
          <w:sz w:val="20"/>
          <w:szCs w:val="20"/>
        </w:rPr>
        <w:t xml:space="preserve"> </w:t>
      </w:r>
      <w:r w:rsidRPr="000977F7">
        <w:rPr>
          <w:rFonts w:asciiTheme="majorHAnsi" w:hAnsiTheme="majorHAnsi"/>
          <w:sz w:val="20"/>
          <w:szCs w:val="20"/>
        </w:rPr>
        <w:t>повного</w:t>
      </w:r>
      <w:r w:rsidRPr="000977F7">
        <w:rPr>
          <w:rFonts w:asciiTheme="majorHAnsi" w:hAnsiTheme="majorHAnsi"/>
          <w:spacing w:val="-47"/>
          <w:sz w:val="20"/>
          <w:szCs w:val="20"/>
        </w:rPr>
        <w:t xml:space="preserve"> </w:t>
      </w:r>
      <w:r w:rsidRPr="000977F7">
        <w:rPr>
          <w:rFonts w:asciiTheme="majorHAnsi" w:hAnsiTheme="majorHAnsi"/>
          <w:sz w:val="20"/>
          <w:szCs w:val="20"/>
        </w:rPr>
        <w:t>факторного плану</w:t>
      </w:r>
    </w:p>
    <w:p w14:paraId="59C1A8F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ДРУГИЙ</w:t>
      </w:r>
      <w:r w:rsidRPr="000977F7">
        <w:rPr>
          <w:color w:val="auto"/>
          <w:spacing w:val="-2"/>
          <w:sz w:val="20"/>
          <w:szCs w:val="20"/>
        </w:rPr>
        <w:t xml:space="preserve"> </w:t>
      </w:r>
      <w:r w:rsidRPr="000977F7">
        <w:rPr>
          <w:color w:val="auto"/>
          <w:sz w:val="20"/>
          <w:szCs w:val="20"/>
        </w:rPr>
        <w:t>ПРОЕКТ</w:t>
      </w:r>
      <w:r w:rsidRPr="000977F7">
        <w:rPr>
          <w:color w:val="auto"/>
          <w:spacing w:val="-5"/>
          <w:sz w:val="20"/>
          <w:szCs w:val="20"/>
        </w:rPr>
        <w:t xml:space="preserve"> </w:t>
      </w:r>
      <w:r w:rsidRPr="000977F7">
        <w:rPr>
          <w:color w:val="auto"/>
          <w:sz w:val="20"/>
          <w:szCs w:val="20"/>
        </w:rPr>
        <w:t>СТАНДАРТУ-</w:t>
      </w:r>
    </w:p>
    <w:p w14:paraId="757B437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SECOND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DRAFT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STANDARD-</w:t>
      </w:r>
    </w:p>
    <w:p w14:paraId="14D95B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Проект стандарту, до складу якого належить авторська концепція вимог до об’єкта стандартизації з врахуванням</w:t>
      </w:r>
      <w:r w:rsidRPr="000977F7">
        <w:rPr>
          <w:rFonts w:asciiTheme="majorHAnsi" w:hAnsiTheme="majorHAnsi"/>
          <w:spacing w:val="-2"/>
          <w:sz w:val="20"/>
          <w:szCs w:val="20"/>
        </w:rPr>
        <w:t xml:space="preserve"> </w:t>
      </w:r>
      <w:r w:rsidRPr="000977F7">
        <w:rPr>
          <w:rFonts w:asciiTheme="majorHAnsi" w:hAnsiTheme="majorHAnsi"/>
          <w:sz w:val="20"/>
          <w:szCs w:val="20"/>
        </w:rPr>
        <w:t>зауважень</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першого проекту</w:t>
      </w:r>
      <w:r w:rsidRPr="000977F7">
        <w:rPr>
          <w:rFonts w:asciiTheme="majorHAnsi" w:hAnsiTheme="majorHAnsi"/>
          <w:spacing w:val="-5"/>
          <w:sz w:val="20"/>
          <w:szCs w:val="20"/>
        </w:rPr>
        <w:t xml:space="preserve"> </w:t>
      </w:r>
      <w:r w:rsidRPr="000977F7">
        <w:rPr>
          <w:rFonts w:asciiTheme="majorHAnsi" w:hAnsiTheme="majorHAnsi"/>
          <w:sz w:val="20"/>
          <w:szCs w:val="20"/>
        </w:rPr>
        <w:t>стандарту</w:t>
      </w:r>
    </w:p>
    <w:p w14:paraId="7195E51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ДУБЛІКАТ</w:t>
      </w:r>
      <w:r w:rsidRPr="000977F7">
        <w:rPr>
          <w:color w:val="auto"/>
          <w:spacing w:val="-4"/>
          <w:sz w:val="20"/>
          <w:szCs w:val="20"/>
        </w:rPr>
        <w:t xml:space="preserve"> </w:t>
      </w:r>
      <w:r w:rsidRPr="000977F7">
        <w:rPr>
          <w:color w:val="auto"/>
          <w:sz w:val="20"/>
          <w:szCs w:val="20"/>
        </w:rPr>
        <w:t>–</w:t>
      </w:r>
    </w:p>
    <w:p w14:paraId="7C632FCB" w14:textId="4DBB4618" w:rsidR="0097612F" w:rsidRPr="000977F7" w:rsidRDefault="0097612F" w:rsidP="000F35DA">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Конструкторський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ідентичний</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правдником, виконаний на будь-якому матеріалі, придатний</w:t>
      </w:r>
      <w:r w:rsidRPr="000977F7">
        <w:rPr>
          <w:rFonts w:asciiTheme="majorHAnsi" w:hAnsiTheme="majorHAnsi"/>
          <w:spacing w:val="1"/>
          <w:sz w:val="20"/>
          <w:szCs w:val="20"/>
        </w:rPr>
        <w:t xml:space="preserve"> </w:t>
      </w:r>
      <w:r w:rsidRPr="000977F7">
        <w:rPr>
          <w:rFonts w:asciiTheme="majorHAnsi" w:hAnsiTheme="majorHAnsi"/>
          <w:sz w:val="20"/>
          <w:szCs w:val="20"/>
        </w:rPr>
        <w:t>для виготовлення з нього копій, і засвідчений підписом особи</w:t>
      </w:r>
      <w:r w:rsidRPr="000977F7">
        <w:rPr>
          <w:rFonts w:asciiTheme="majorHAnsi" w:hAnsiTheme="majorHAnsi"/>
          <w:spacing w:val="-3"/>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відповідає</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випуск</w:t>
      </w:r>
      <w:r w:rsidRPr="000977F7">
        <w:rPr>
          <w:rFonts w:asciiTheme="majorHAnsi" w:hAnsiTheme="majorHAnsi"/>
          <w:spacing w:val="-2"/>
          <w:sz w:val="20"/>
          <w:szCs w:val="20"/>
        </w:rPr>
        <w:t xml:space="preserve"> </w:t>
      </w:r>
      <w:r w:rsidRPr="000977F7">
        <w:rPr>
          <w:rFonts w:asciiTheme="majorHAnsi" w:hAnsiTheme="majorHAnsi"/>
          <w:sz w:val="20"/>
          <w:szCs w:val="20"/>
        </w:rPr>
        <w:t>документа</w:t>
      </w:r>
      <w:r w:rsidR="000F35DA">
        <w:rPr>
          <w:rFonts w:asciiTheme="majorHAnsi" w:hAnsiTheme="majorHAnsi"/>
          <w:sz w:val="20"/>
          <w:szCs w:val="20"/>
          <w:lang w:val="uk-UA"/>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042D767C" w14:textId="77777777" w:rsidR="0097612F" w:rsidRPr="000977F7" w:rsidRDefault="0097612F" w:rsidP="000977F7">
      <w:pPr>
        <w:pStyle w:val="7"/>
        <w:tabs>
          <w:tab w:val="left" w:pos="284"/>
        </w:tabs>
        <w:spacing w:before="0" w:line="240" w:lineRule="auto"/>
        <w:ind w:left="170"/>
        <w:mirrorIndents/>
        <w:jc w:val="both"/>
        <w:rPr>
          <w:i/>
          <w:color w:val="auto"/>
          <w:sz w:val="20"/>
          <w:szCs w:val="20"/>
        </w:rPr>
      </w:pPr>
      <w:r w:rsidRPr="000977F7">
        <w:rPr>
          <w:color w:val="auto"/>
          <w:sz w:val="20"/>
          <w:szCs w:val="20"/>
        </w:rPr>
        <w:t>ДУБЛІКАТ</w:t>
      </w:r>
      <w:r w:rsidRPr="000977F7">
        <w:rPr>
          <w:color w:val="auto"/>
          <w:spacing w:val="-5"/>
          <w:sz w:val="20"/>
          <w:szCs w:val="20"/>
        </w:rPr>
        <w:t xml:space="preserve"> </w:t>
      </w:r>
      <w:r w:rsidRPr="000977F7">
        <w:rPr>
          <w:color w:val="auto"/>
          <w:sz w:val="20"/>
          <w:szCs w:val="20"/>
        </w:rPr>
        <w:t>ЗРАЗКА</w:t>
      </w:r>
      <w:r w:rsidRPr="000977F7">
        <w:rPr>
          <w:color w:val="auto"/>
          <w:spacing w:val="-1"/>
          <w:sz w:val="20"/>
          <w:szCs w:val="20"/>
        </w:rPr>
        <w:t xml:space="preserve"> </w:t>
      </w:r>
      <w:r w:rsidRPr="000977F7">
        <w:rPr>
          <w:color w:val="auto"/>
          <w:sz w:val="20"/>
          <w:szCs w:val="20"/>
        </w:rPr>
        <w:t>–</w:t>
      </w:r>
      <w:r w:rsidRPr="000977F7">
        <w:rPr>
          <w:color w:val="auto"/>
          <w:spacing w:val="-1"/>
          <w:sz w:val="20"/>
          <w:szCs w:val="20"/>
        </w:rPr>
        <w:t xml:space="preserve"> </w:t>
      </w:r>
      <w:r w:rsidRPr="000977F7">
        <w:rPr>
          <w:color w:val="auto"/>
          <w:sz w:val="20"/>
          <w:szCs w:val="20"/>
        </w:rPr>
        <w:t>ЕТАЛОНА</w:t>
      </w:r>
      <w:r w:rsidRPr="000977F7">
        <w:rPr>
          <w:color w:val="auto"/>
          <w:spacing w:val="-1"/>
          <w:sz w:val="20"/>
          <w:szCs w:val="20"/>
        </w:rPr>
        <w:t xml:space="preserve"> </w:t>
      </w:r>
      <w:r w:rsidRPr="000977F7">
        <w:rPr>
          <w:i/>
          <w:color w:val="auto"/>
          <w:sz w:val="20"/>
          <w:szCs w:val="20"/>
        </w:rPr>
        <w:t>–</w:t>
      </w:r>
    </w:p>
    <w:p w14:paraId="5F2730B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Копія зразка – еталона, яка забезпечує ідентичність</w:t>
      </w:r>
      <w:r w:rsidRPr="000977F7">
        <w:rPr>
          <w:rFonts w:asciiTheme="majorHAnsi" w:hAnsiTheme="majorHAnsi"/>
          <w:spacing w:val="1"/>
          <w:sz w:val="20"/>
          <w:szCs w:val="20"/>
        </w:rPr>
        <w:t xml:space="preserve"> </w:t>
      </w:r>
      <w:r w:rsidRPr="000977F7">
        <w:rPr>
          <w:rFonts w:asciiTheme="majorHAnsi" w:hAnsiTheme="majorHAnsi"/>
          <w:sz w:val="20"/>
          <w:szCs w:val="20"/>
        </w:rPr>
        <w:t>його відтворення</w:t>
      </w:r>
    </w:p>
    <w:p w14:paraId="7D84A2C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464FB3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ДУБЛЮВАННЯ</w:t>
      </w:r>
      <w:r w:rsidRPr="000977F7">
        <w:rPr>
          <w:color w:val="auto"/>
          <w:spacing w:val="-2"/>
          <w:sz w:val="20"/>
          <w:szCs w:val="20"/>
        </w:rPr>
        <w:t xml:space="preserve"> </w:t>
      </w:r>
      <w:r w:rsidRPr="000977F7">
        <w:rPr>
          <w:color w:val="auto"/>
          <w:sz w:val="20"/>
          <w:szCs w:val="20"/>
        </w:rPr>
        <w:t>–</w:t>
      </w:r>
    </w:p>
    <w:p w14:paraId="110647D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DUPLICATION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8FFF62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Резервування</w:t>
      </w:r>
      <w:r w:rsidRPr="000977F7">
        <w:rPr>
          <w:rFonts w:asciiTheme="majorHAnsi" w:hAnsiTheme="majorHAnsi"/>
          <w:spacing w:val="-4"/>
          <w:sz w:val="20"/>
          <w:szCs w:val="20"/>
        </w:rPr>
        <w:t xml:space="preserve"> </w:t>
      </w:r>
      <w:r w:rsidRPr="000977F7">
        <w:rPr>
          <w:rFonts w:asciiTheme="majorHAnsi" w:hAnsiTheme="majorHAnsi"/>
          <w:sz w:val="20"/>
          <w:szCs w:val="20"/>
        </w:rPr>
        <w:t>з</w:t>
      </w:r>
      <w:r w:rsidRPr="000977F7">
        <w:rPr>
          <w:rFonts w:asciiTheme="majorHAnsi" w:hAnsiTheme="majorHAnsi"/>
          <w:spacing w:val="-2"/>
          <w:sz w:val="20"/>
          <w:szCs w:val="20"/>
        </w:rPr>
        <w:t xml:space="preserve"> </w:t>
      </w:r>
      <w:r w:rsidRPr="000977F7">
        <w:rPr>
          <w:rFonts w:asciiTheme="majorHAnsi" w:hAnsiTheme="majorHAnsi"/>
          <w:sz w:val="20"/>
          <w:szCs w:val="20"/>
        </w:rPr>
        <w:t>кратністю</w:t>
      </w:r>
      <w:r w:rsidRPr="000977F7">
        <w:rPr>
          <w:rFonts w:asciiTheme="majorHAnsi" w:hAnsiTheme="majorHAnsi"/>
          <w:spacing w:val="-3"/>
          <w:sz w:val="20"/>
          <w:szCs w:val="20"/>
        </w:rPr>
        <w:t xml:space="preserve"> </w:t>
      </w:r>
      <w:r w:rsidRPr="000977F7">
        <w:rPr>
          <w:rFonts w:asciiTheme="majorHAnsi" w:hAnsiTheme="majorHAnsi"/>
          <w:sz w:val="20"/>
          <w:szCs w:val="20"/>
        </w:rPr>
        <w:t>резерву</w:t>
      </w:r>
      <w:r w:rsidRPr="000977F7">
        <w:rPr>
          <w:rFonts w:asciiTheme="majorHAnsi" w:hAnsiTheme="majorHAnsi"/>
          <w:spacing w:val="-6"/>
          <w:sz w:val="20"/>
          <w:szCs w:val="20"/>
        </w:rPr>
        <w:t xml:space="preserve"> </w:t>
      </w:r>
      <w:r w:rsidRPr="000977F7">
        <w:rPr>
          <w:rFonts w:asciiTheme="majorHAnsi" w:hAnsiTheme="majorHAnsi"/>
          <w:sz w:val="20"/>
          <w:szCs w:val="20"/>
        </w:rPr>
        <w:t>один</w:t>
      </w:r>
      <w:r w:rsidRPr="000977F7">
        <w:rPr>
          <w:rFonts w:asciiTheme="majorHAnsi" w:hAnsiTheme="majorHAnsi"/>
          <w:spacing w:val="-3"/>
          <w:sz w:val="20"/>
          <w:szCs w:val="20"/>
        </w:rPr>
        <w:t xml:space="preserve"> </w:t>
      </w:r>
      <w:r w:rsidRPr="000977F7">
        <w:rPr>
          <w:rFonts w:asciiTheme="majorHAnsi" w:hAnsiTheme="majorHAnsi"/>
          <w:sz w:val="20"/>
          <w:szCs w:val="20"/>
        </w:rPr>
        <w:t>до</w:t>
      </w:r>
      <w:r w:rsidRPr="000977F7">
        <w:rPr>
          <w:rFonts w:asciiTheme="majorHAnsi" w:hAnsiTheme="majorHAnsi"/>
          <w:spacing w:val="-2"/>
          <w:sz w:val="20"/>
          <w:szCs w:val="20"/>
        </w:rPr>
        <w:t xml:space="preserve"> </w:t>
      </w:r>
      <w:r w:rsidRPr="000977F7">
        <w:rPr>
          <w:rFonts w:asciiTheme="majorHAnsi" w:hAnsiTheme="majorHAnsi"/>
          <w:sz w:val="20"/>
          <w:szCs w:val="20"/>
        </w:rPr>
        <w:t>одного</w:t>
      </w:r>
    </w:p>
    <w:p w14:paraId="4E92FC3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sectPr w:rsidR="0097612F" w:rsidRPr="000977F7" w:rsidSect="000977F7">
          <w:type w:val="continuous"/>
          <w:pgSz w:w="11910" w:h="16840"/>
          <w:pgMar w:top="800" w:right="428" w:bottom="960" w:left="1000" w:header="0" w:footer="751" w:gutter="0"/>
          <w:cols w:num="2" w:space="454"/>
        </w:sect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7E3108A" w14:textId="77777777" w:rsidR="0097612F" w:rsidRPr="00F74722" w:rsidRDefault="0097612F" w:rsidP="00F74722">
      <w:pPr>
        <w:pStyle w:val="1"/>
        <w:rPr>
          <w:lang w:val="uk-UA"/>
        </w:rPr>
        <w:sectPr w:rsidR="0097612F" w:rsidRPr="00F74722" w:rsidSect="000977F7">
          <w:pgSz w:w="11910" w:h="16840"/>
          <w:pgMar w:top="800" w:right="428" w:bottom="960" w:left="1000" w:header="0" w:footer="751" w:gutter="0"/>
          <w:cols w:num="2" w:space="454"/>
        </w:sectPr>
      </w:pPr>
      <w:bookmarkStart w:id="50" w:name="_Toc132629627"/>
      <w:r w:rsidRPr="00F74722">
        <w:rPr>
          <w:lang w:val="uk-UA"/>
        </w:rPr>
        <w:lastRenderedPageBreak/>
        <w:t>Е</w:t>
      </w:r>
      <w:bookmarkEnd w:id="50"/>
    </w:p>
    <w:p w14:paraId="5CFE654F"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p>
    <w:p w14:paraId="26816630"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ЕВОЛЮЦІЙНЕ</w:t>
      </w:r>
      <w:r w:rsidRPr="000977F7">
        <w:rPr>
          <w:color w:val="auto"/>
          <w:spacing w:val="-5"/>
          <w:sz w:val="20"/>
          <w:szCs w:val="20"/>
        </w:rPr>
        <w:t xml:space="preserve"> </w:t>
      </w:r>
      <w:r w:rsidRPr="000977F7">
        <w:rPr>
          <w:color w:val="auto"/>
          <w:sz w:val="20"/>
          <w:szCs w:val="20"/>
        </w:rPr>
        <w:t>ПЛАНУВАННЯ</w:t>
      </w:r>
      <w:r w:rsidRPr="000977F7">
        <w:rPr>
          <w:color w:val="auto"/>
          <w:spacing w:val="-1"/>
          <w:sz w:val="20"/>
          <w:szCs w:val="20"/>
        </w:rPr>
        <w:t xml:space="preserve"> </w:t>
      </w:r>
      <w:r w:rsidRPr="000977F7">
        <w:rPr>
          <w:b w:val="0"/>
          <w:color w:val="auto"/>
          <w:sz w:val="20"/>
          <w:szCs w:val="20"/>
        </w:rPr>
        <w:t>–</w:t>
      </w:r>
    </w:p>
    <w:p w14:paraId="4D39F4C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Метод</w:t>
      </w:r>
      <w:r w:rsidRPr="000977F7">
        <w:rPr>
          <w:rFonts w:asciiTheme="majorHAnsi" w:hAnsiTheme="majorHAnsi"/>
          <w:spacing w:val="39"/>
          <w:sz w:val="20"/>
          <w:szCs w:val="20"/>
        </w:rPr>
        <w:t xml:space="preserve"> </w:t>
      </w:r>
      <w:r w:rsidRPr="000977F7">
        <w:rPr>
          <w:rFonts w:asciiTheme="majorHAnsi" w:hAnsiTheme="majorHAnsi"/>
          <w:sz w:val="20"/>
          <w:szCs w:val="20"/>
        </w:rPr>
        <w:t>експериментальної</w:t>
      </w:r>
      <w:r w:rsidRPr="000977F7">
        <w:rPr>
          <w:rFonts w:asciiTheme="majorHAnsi" w:hAnsiTheme="majorHAnsi"/>
          <w:spacing w:val="42"/>
          <w:sz w:val="20"/>
          <w:szCs w:val="20"/>
        </w:rPr>
        <w:t xml:space="preserve"> </w:t>
      </w:r>
      <w:r w:rsidRPr="000977F7">
        <w:rPr>
          <w:rFonts w:asciiTheme="majorHAnsi" w:hAnsiTheme="majorHAnsi"/>
          <w:sz w:val="20"/>
          <w:szCs w:val="20"/>
        </w:rPr>
        <w:t>оптимізації,</w:t>
      </w:r>
      <w:r w:rsidRPr="000977F7">
        <w:rPr>
          <w:rFonts w:asciiTheme="majorHAnsi" w:hAnsiTheme="majorHAnsi"/>
          <w:spacing w:val="41"/>
          <w:sz w:val="20"/>
          <w:szCs w:val="20"/>
        </w:rPr>
        <w:t xml:space="preserve"> </w:t>
      </w:r>
      <w:r w:rsidRPr="000977F7">
        <w:rPr>
          <w:rFonts w:asciiTheme="majorHAnsi" w:hAnsiTheme="majorHAnsi"/>
          <w:sz w:val="20"/>
          <w:szCs w:val="20"/>
        </w:rPr>
        <w:t>який</w:t>
      </w:r>
      <w:r w:rsidRPr="000977F7">
        <w:rPr>
          <w:rFonts w:asciiTheme="majorHAnsi" w:hAnsiTheme="majorHAnsi"/>
          <w:spacing w:val="41"/>
          <w:sz w:val="20"/>
          <w:szCs w:val="20"/>
        </w:rPr>
        <w:t xml:space="preserve"> </w:t>
      </w:r>
      <w:r w:rsidRPr="000977F7">
        <w:rPr>
          <w:rFonts w:asciiTheme="majorHAnsi" w:hAnsiTheme="majorHAnsi"/>
          <w:sz w:val="20"/>
          <w:szCs w:val="20"/>
        </w:rPr>
        <w:t>поєднує</w:t>
      </w:r>
      <w:r w:rsidRPr="000977F7">
        <w:rPr>
          <w:rFonts w:asciiTheme="majorHAnsi" w:hAnsiTheme="majorHAnsi"/>
          <w:spacing w:val="-47"/>
          <w:sz w:val="20"/>
          <w:szCs w:val="20"/>
        </w:rPr>
        <w:t xml:space="preserve"> </w:t>
      </w:r>
      <w:r w:rsidRPr="000977F7">
        <w:rPr>
          <w:rFonts w:asciiTheme="majorHAnsi" w:hAnsiTheme="majorHAnsi"/>
          <w:sz w:val="20"/>
          <w:szCs w:val="20"/>
        </w:rPr>
        <w:t>багатократне</w:t>
      </w:r>
      <w:r w:rsidRPr="000977F7">
        <w:rPr>
          <w:rFonts w:asciiTheme="majorHAnsi" w:hAnsiTheme="majorHAnsi"/>
          <w:spacing w:val="2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23"/>
          <w:sz w:val="20"/>
          <w:szCs w:val="20"/>
        </w:rPr>
        <w:t xml:space="preserve"> </w:t>
      </w:r>
      <w:r w:rsidRPr="000977F7">
        <w:rPr>
          <w:rFonts w:asciiTheme="majorHAnsi" w:hAnsiTheme="majorHAnsi"/>
          <w:sz w:val="20"/>
          <w:szCs w:val="20"/>
        </w:rPr>
        <w:t>дрібних</w:t>
      </w:r>
      <w:r w:rsidRPr="000977F7">
        <w:rPr>
          <w:rFonts w:asciiTheme="majorHAnsi" w:hAnsiTheme="majorHAnsi"/>
          <w:spacing w:val="22"/>
          <w:sz w:val="20"/>
          <w:szCs w:val="20"/>
        </w:rPr>
        <w:t xml:space="preserve"> </w:t>
      </w:r>
      <w:r w:rsidRPr="000977F7">
        <w:rPr>
          <w:rFonts w:asciiTheme="majorHAnsi" w:hAnsiTheme="majorHAnsi"/>
          <w:sz w:val="20"/>
          <w:szCs w:val="20"/>
        </w:rPr>
        <w:t>і</w:t>
      </w:r>
      <w:r w:rsidRPr="000977F7">
        <w:rPr>
          <w:rFonts w:asciiTheme="majorHAnsi" w:hAnsiTheme="majorHAnsi"/>
          <w:spacing w:val="22"/>
          <w:sz w:val="20"/>
          <w:szCs w:val="20"/>
        </w:rPr>
        <w:t xml:space="preserve"> </w:t>
      </w:r>
      <w:r w:rsidRPr="000977F7">
        <w:rPr>
          <w:rFonts w:asciiTheme="majorHAnsi" w:hAnsiTheme="majorHAnsi"/>
          <w:sz w:val="20"/>
          <w:szCs w:val="20"/>
        </w:rPr>
        <w:t>повних</w:t>
      </w:r>
      <w:r w:rsidRPr="000977F7">
        <w:rPr>
          <w:rFonts w:asciiTheme="majorHAnsi" w:hAnsiTheme="majorHAnsi"/>
          <w:spacing w:val="19"/>
          <w:sz w:val="20"/>
          <w:szCs w:val="20"/>
        </w:rPr>
        <w:t xml:space="preserve"> </w:t>
      </w:r>
      <w:r w:rsidRPr="000977F7">
        <w:rPr>
          <w:rFonts w:asciiTheme="majorHAnsi" w:hAnsiTheme="majorHAnsi"/>
          <w:sz w:val="20"/>
          <w:szCs w:val="20"/>
        </w:rPr>
        <w:t>факторних</w:t>
      </w:r>
      <w:r w:rsidRPr="000977F7">
        <w:rPr>
          <w:rFonts w:asciiTheme="majorHAnsi" w:hAnsiTheme="majorHAnsi"/>
          <w:spacing w:val="41"/>
          <w:sz w:val="20"/>
          <w:szCs w:val="20"/>
        </w:rPr>
        <w:t xml:space="preserve"> </w:t>
      </w:r>
      <w:r w:rsidRPr="000977F7">
        <w:rPr>
          <w:rFonts w:asciiTheme="majorHAnsi" w:hAnsiTheme="majorHAnsi"/>
          <w:sz w:val="20"/>
          <w:szCs w:val="20"/>
        </w:rPr>
        <w:t>планів</w:t>
      </w:r>
      <w:r w:rsidRPr="000977F7">
        <w:rPr>
          <w:rFonts w:asciiTheme="majorHAnsi" w:hAnsiTheme="majorHAnsi"/>
          <w:spacing w:val="42"/>
          <w:sz w:val="20"/>
          <w:szCs w:val="20"/>
        </w:rPr>
        <w:t xml:space="preserve"> </w:t>
      </w:r>
      <w:r w:rsidRPr="000977F7">
        <w:rPr>
          <w:rFonts w:asciiTheme="majorHAnsi" w:hAnsiTheme="majorHAnsi"/>
          <w:sz w:val="20"/>
          <w:szCs w:val="20"/>
        </w:rPr>
        <w:t>з</w:t>
      </w:r>
      <w:r w:rsidRPr="000977F7">
        <w:rPr>
          <w:rFonts w:asciiTheme="majorHAnsi" w:hAnsiTheme="majorHAnsi"/>
          <w:spacing w:val="44"/>
          <w:sz w:val="20"/>
          <w:szCs w:val="20"/>
        </w:rPr>
        <w:t xml:space="preserve"> </w:t>
      </w:r>
      <w:r w:rsidRPr="000977F7">
        <w:rPr>
          <w:rFonts w:asciiTheme="majorHAnsi" w:hAnsiTheme="majorHAnsi"/>
          <w:sz w:val="20"/>
          <w:szCs w:val="20"/>
        </w:rPr>
        <w:t>рухом</w:t>
      </w:r>
      <w:r w:rsidRPr="000977F7">
        <w:rPr>
          <w:rFonts w:asciiTheme="majorHAnsi" w:hAnsiTheme="majorHAnsi"/>
          <w:spacing w:val="43"/>
          <w:sz w:val="20"/>
          <w:szCs w:val="20"/>
        </w:rPr>
        <w:t xml:space="preserve"> </w:t>
      </w:r>
      <w:r w:rsidRPr="000977F7">
        <w:rPr>
          <w:rFonts w:asciiTheme="majorHAnsi" w:hAnsiTheme="majorHAnsi"/>
          <w:sz w:val="20"/>
          <w:szCs w:val="20"/>
        </w:rPr>
        <w:t>за</w:t>
      </w:r>
      <w:r w:rsidRPr="000977F7">
        <w:rPr>
          <w:rFonts w:asciiTheme="majorHAnsi" w:hAnsiTheme="majorHAnsi"/>
          <w:spacing w:val="43"/>
          <w:sz w:val="20"/>
          <w:szCs w:val="20"/>
        </w:rPr>
        <w:t xml:space="preserve"> </w:t>
      </w:r>
      <w:r w:rsidRPr="000977F7">
        <w:rPr>
          <w:rFonts w:asciiTheme="majorHAnsi" w:hAnsiTheme="majorHAnsi"/>
          <w:sz w:val="20"/>
          <w:szCs w:val="20"/>
        </w:rPr>
        <w:t>градієнтом</w:t>
      </w:r>
      <w:r w:rsidRPr="000977F7">
        <w:rPr>
          <w:rFonts w:asciiTheme="majorHAnsi" w:hAnsiTheme="majorHAnsi"/>
          <w:spacing w:val="44"/>
          <w:sz w:val="20"/>
          <w:szCs w:val="20"/>
        </w:rPr>
        <w:t xml:space="preserve"> </w:t>
      </w:r>
      <w:r w:rsidRPr="000977F7">
        <w:rPr>
          <w:rFonts w:asciiTheme="majorHAnsi" w:hAnsiTheme="majorHAnsi"/>
          <w:sz w:val="20"/>
          <w:szCs w:val="20"/>
        </w:rPr>
        <w:t>функції</w:t>
      </w:r>
      <w:r w:rsidRPr="000977F7">
        <w:rPr>
          <w:rFonts w:asciiTheme="majorHAnsi" w:hAnsiTheme="majorHAnsi"/>
          <w:spacing w:val="44"/>
          <w:sz w:val="20"/>
          <w:szCs w:val="20"/>
        </w:rPr>
        <w:t xml:space="preserve"> </w:t>
      </w:r>
      <w:r w:rsidRPr="000977F7">
        <w:rPr>
          <w:rFonts w:asciiTheme="majorHAnsi" w:hAnsiTheme="majorHAnsi"/>
          <w:sz w:val="20"/>
          <w:szCs w:val="20"/>
        </w:rPr>
        <w:t>відгуку</w:t>
      </w:r>
      <w:r w:rsidRPr="000977F7">
        <w:rPr>
          <w:rFonts w:asciiTheme="majorHAnsi" w:hAnsiTheme="majorHAnsi"/>
          <w:spacing w:val="42"/>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призначений для удосконалення виробничих об’єктів</w:t>
      </w:r>
      <w:r w:rsidRPr="000977F7">
        <w:rPr>
          <w:rFonts w:asciiTheme="majorHAnsi" w:hAnsiTheme="majorHAnsi"/>
          <w:spacing w:val="1"/>
          <w:sz w:val="20"/>
          <w:szCs w:val="20"/>
        </w:rPr>
        <w:t xml:space="preserve"> </w:t>
      </w:r>
    </w:p>
    <w:p w14:paraId="4370A97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ЕКВІВАЛЕНТНА</w:t>
      </w:r>
      <w:r w:rsidRPr="000977F7">
        <w:rPr>
          <w:color w:val="auto"/>
          <w:spacing w:val="-9"/>
          <w:sz w:val="20"/>
          <w:szCs w:val="20"/>
        </w:rPr>
        <w:t xml:space="preserve"> </w:t>
      </w:r>
      <w:r w:rsidRPr="000977F7">
        <w:rPr>
          <w:color w:val="auto"/>
          <w:sz w:val="20"/>
          <w:szCs w:val="20"/>
        </w:rPr>
        <w:t>ЧАСТОТНА</w:t>
      </w:r>
      <w:r w:rsidRPr="000977F7">
        <w:rPr>
          <w:color w:val="auto"/>
          <w:spacing w:val="-8"/>
          <w:sz w:val="20"/>
          <w:szCs w:val="20"/>
        </w:rPr>
        <w:t xml:space="preserve"> </w:t>
      </w:r>
      <w:r w:rsidRPr="000977F7">
        <w:rPr>
          <w:color w:val="auto"/>
          <w:sz w:val="20"/>
          <w:szCs w:val="20"/>
        </w:rPr>
        <w:t>ПЕРЕДАВАЛЬНА</w:t>
      </w:r>
      <w:r w:rsidRPr="000977F7">
        <w:rPr>
          <w:color w:val="auto"/>
          <w:spacing w:val="-47"/>
          <w:sz w:val="20"/>
          <w:szCs w:val="20"/>
        </w:rPr>
        <w:t xml:space="preserve"> </w:t>
      </w:r>
      <w:r w:rsidRPr="000977F7">
        <w:rPr>
          <w:color w:val="auto"/>
          <w:sz w:val="20"/>
          <w:szCs w:val="20"/>
        </w:rPr>
        <w:t>ФУНКЦІЯ</w:t>
      </w:r>
      <w:r w:rsidRPr="000977F7">
        <w:rPr>
          <w:color w:val="auto"/>
          <w:spacing w:val="-1"/>
          <w:sz w:val="20"/>
          <w:szCs w:val="20"/>
        </w:rPr>
        <w:t xml:space="preserve"> </w:t>
      </w:r>
      <w:r w:rsidRPr="000977F7">
        <w:rPr>
          <w:color w:val="auto"/>
          <w:sz w:val="20"/>
          <w:szCs w:val="20"/>
        </w:rPr>
        <w:t>-</w:t>
      </w:r>
    </w:p>
    <w:p w14:paraId="54215FD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EQUIVALENT</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FREQUENCY</w:t>
      </w:r>
      <w:r w:rsidRPr="004D2D14">
        <w:rPr>
          <w:rFonts w:asciiTheme="majorHAnsi" w:hAnsiTheme="majorHAnsi"/>
          <w:spacing w:val="-10"/>
          <w:sz w:val="20"/>
          <w:szCs w:val="20"/>
          <w:lang w:val="en-US"/>
        </w:rPr>
        <w:t xml:space="preserve"> </w:t>
      </w:r>
      <w:r w:rsidRPr="004D2D14">
        <w:rPr>
          <w:rFonts w:asciiTheme="majorHAnsi" w:hAnsiTheme="majorHAnsi"/>
          <w:sz w:val="20"/>
          <w:szCs w:val="20"/>
          <w:lang w:val="en-US"/>
        </w:rPr>
        <w:t>TRANSFER</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FUNCTION –</w:t>
      </w:r>
    </w:p>
    <w:p w14:paraId="1F679F3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Частотна</w:t>
      </w:r>
      <w:r w:rsidRPr="004D2D14">
        <w:rPr>
          <w:rFonts w:asciiTheme="majorHAnsi" w:hAnsiTheme="majorHAnsi"/>
          <w:spacing w:val="1"/>
          <w:sz w:val="20"/>
          <w:szCs w:val="20"/>
          <w:lang w:val="en-US"/>
        </w:rPr>
        <w:t xml:space="preserve"> </w:t>
      </w:r>
      <w:r w:rsidRPr="000977F7">
        <w:rPr>
          <w:rFonts w:asciiTheme="majorHAnsi" w:hAnsiTheme="majorHAnsi"/>
          <w:sz w:val="20"/>
          <w:szCs w:val="20"/>
        </w:rPr>
        <w:t>передавальна</w:t>
      </w:r>
      <w:r w:rsidRPr="004D2D14">
        <w:rPr>
          <w:rFonts w:asciiTheme="majorHAnsi" w:hAnsiTheme="majorHAnsi"/>
          <w:spacing w:val="1"/>
          <w:sz w:val="20"/>
          <w:szCs w:val="20"/>
          <w:lang w:val="en-US"/>
        </w:rPr>
        <w:t xml:space="preserve"> </w:t>
      </w:r>
      <w:r w:rsidRPr="000977F7">
        <w:rPr>
          <w:rFonts w:asciiTheme="majorHAnsi" w:hAnsiTheme="majorHAnsi"/>
          <w:sz w:val="20"/>
          <w:szCs w:val="20"/>
        </w:rPr>
        <w:t>функція</w:t>
      </w:r>
      <w:r w:rsidRPr="004D2D14">
        <w:rPr>
          <w:rFonts w:asciiTheme="majorHAnsi" w:hAnsiTheme="majorHAnsi"/>
          <w:spacing w:val="1"/>
          <w:sz w:val="20"/>
          <w:szCs w:val="20"/>
          <w:lang w:val="en-US"/>
        </w:rPr>
        <w:t xml:space="preserve"> </w:t>
      </w:r>
      <w:r w:rsidRPr="000977F7">
        <w:rPr>
          <w:rFonts w:asciiTheme="majorHAnsi" w:hAnsiTheme="majorHAnsi"/>
          <w:sz w:val="20"/>
          <w:szCs w:val="20"/>
        </w:rPr>
        <w:t>деякого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лінійного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r w:rsidRPr="004D2D14">
        <w:rPr>
          <w:rFonts w:asciiTheme="majorHAnsi" w:hAnsiTheme="majorHAnsi"/>
          <w:sz w:val="20"/>
          <w:szCs w:val="20"/>
          <w:lang w:val="en-US"/>
        </w:rPr>
        <w:t xml:space="preserve">, </w:t>
      </w:r>
      <w:r w:rsidRPr="000977F7">
        <w:rPr>
          <w:rFonts w:asciiTheme="majorHAnsi" w:hAnsiTheme="majorHAnsi"/>
          <w:sz w:val="20"/>
          <w:szCs w:val="20"/>
        </w:rPr>
        <w:t>який</w:t>
      </w:r>
      <w:r w:rsidRPr="004D2D14">
        <w:rPr>
          <w:rFonts w:asciiTheme="majorHAnsi" w:hAnsiTheme="majorHAnsi"/>
          <w:sz w:val="20"/>
          <w:szCs w:val="20"/>
          <w:lang w:val="en-US"/>
        </w:rPr>
        <w:t xml:space="preserve"> </w:t>
      </w:r>
      <w:r w:rsidRPr="000977F7">
        <w:rPr>
          <w:rFonts w:asciiTheme="majorHAnsi" w:hAnsiTheme="majorHAnsi"/>
          <w:sz w:val="20"/>
          <w:szCs w:val="20"/>
        </w:rPr>
        <w:t>моделює</w:t>
      </w:r>
      <w:r w:rsidRPr="004D2D14">
        <w:rPr>
          <w:rFonts w:asciiTheme="majorHAnsi" w:hAnsiTheme="majorHAnsi"/>
          <w:sz w:val="20"/>
          <w:szCs w:val="20"/>
          <w:lang w:val="en-US"/>
        </w:rPr>
        <w:t xml:space="preserve"> </w:t>
      </w:r>
      <w:r w:rsidRPr="000977F7">
        <w:rPr>
          <w:rFonts w:asciiTheme="majorHAnsi" w:hAnsiTheme="majorHAnsi"/>
          <w:sz w:val="20"/>
          <w:szCs w:val="20"/>
        </w:rPr>
        <w:t>цей</w:t>
      </w:r>
      <w:r w:rsidRPr="004D2D14">
        <w:rPr>
          <w:rFonts w:asciiTheme="majorHAnsi" w:hAnsiTheme="majorHAnsi"/>
          <w:sz w:val="20"/>
          <w:szCs w:val="20"/>
          <w:lang w:val="en-US"/>
        </w:rPr>
        <w:t xml:space="preserve"> </w:t>
      </w:r>
      <w:r w:rsidRPr="000977F7">
        <w:rPr>
          <w:rFonts w:asciiTheme="majorHAnsi" w:hAnsiTheme="majorHAnsi"/>
          <w:sz w:val="20"/>
          <w:szCs w:val="20"/>
        </w:rPr>
        <w:t>нелінійний</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w:t>
      </w:r>
      <w:r w:rsidRPr="004D2D14">
        <w:rPr>
          <w:rFonts w:asciiTheme="majorHAnsi" w:hAnsiTheme="majorHAnsi"/>
          <w:sz w:val="20"/>
          <w:szCs w:val="20"/>
          <w:lang w:val="en-US"/>
        </w:rPr>
        <w:t xml:space="preserve"> </w:t>
      </w:r>
      <w:r w:rsidRPr="000977F7">
        <w:rPr>
          <w:rFonts w:asciiTheme="majorHAnsi" w:hAnsiTheme="majorHAnsi"/>
          <w:sz w:val="20"/>
          <w:szCs w:val="20"/>
        </w:rPr>
        <w:t>так</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w:t>
      </w:r>
      <w:r w:rsidRPr="004D2D14">
        <w:rPr>
          <w:rFonts w:asciiTheme="majorHAnsi" w:hAnsiTheme="majorHAnsi"/>
          <w:spacing w:val="1"/>
          <w:sz w:val="20"/>
          <w:szCs w:val="20"/>
          <w:lang w:val="en-US"/>
        </w:rPr>
        <w:t xml:space="preserve"> </w:t>
      </w:r>
      <w:r w:rsidRPr="000977F7">
        <w:rPr>
          <w:rFonts w:asciiTheme="majorHAnsi" w:hAnsiTheme="majorHAnsi"/>
          <w:sz w:val="20"/>
          <w:szCs w:val="20"/>
        </w:rPr>
        <w:t>певної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амплітуди</w:t>
      </w:r>
      <w:r w:rsidRPr="004D2D14">
        <w:rPr>
          <w:rFonts w:asciiTheme="majorHAnsi" w:hAnsiTheme="majorHAnsi"/>
          <w:spacing w:val="1"/>
          <w:sz w:val="20"/>
          <w:szCs w:val="20"/>
          <w:lang w:val="en-US"/>
        </w:rPr>
        <w:t xml:space="preserve"> </w:t>
      </w:r>
      <w:r w:rsidRPr="000977F7">
        <w:rPr>
          <w:rFonts w:asciiTheme="majorHAnsi" w:hAnsiTheme="majorHAnsi"/>
          <w:sz w:val="20"/>
          <w:szCs w:val="20"/>
        </w:rPr>
        <w:t>гармонічного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вхідного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діяння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амплітуда</w:t>
      </w:r>
      <w:r w:rsidRPr="004D2D14">
        <w:rPr>
          <w:rFonts w:asciiTheme="majorHAnsi" w:hAnsiTheme="majorHAnsi"/>
          <w:spacing w:val="1"/>
          <w:sz w:val="20"/>
          <w:szCs w:val="20"/>
          <w:lang w:val="en-US"/>
        </w:rPr>
        <w:t xml:space="preserve"> </w:t>
      </w:r>
      <w:r w:rsidRPr="000977F7">
        <w:rPr>
          <w:rFonts w:asciiTheme="majorHAnsi" w:hAnsiTheme="majorHAnsi"/>
          <w:sz w:val="20"/>
          <w:szCs w:val="20"/>
        </w:rPr>
        <w:t>першої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гармоніки</w:t>
      </w:r>
      <w:r w:rsidRPr="004D2D14">
        <w:rPr>
          <w:rFonts w:asciiTheme="majorHAnsi" w:hAnsiTheme="majorHAnsi"/>
          <w:spacing w:val="1"/>
          <w:sz w:val="20"/>
          <w:szCs w:val="20"/>
          <w:lang w:val="en-US"/>
        </w:rPr>
        <w:t xml:space="preserve"> </w:t>
      </w:r>
      <w:r w:rsidRPr="000977F7">
        <w:rPr>
          <w:rFonts w:asciiTheme="majorHAnsi" w:hAnsiTheme="majorHAnsi"/>
          <w:sz w:val="20"/>
          <w:szCs w:val="20"/>
        </w:rPr>
        <w:t>змінювання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параметра</w:t>
      </w:r>
      <w:r w:rsidRPr="004D2D14">
        <w:rPr>
          <w:rFonts w:asciiTheme="majorHAnsi" w:hAnsiTheme="majorHAnsi"/>
          <w:spacing w:val="1"/>
          <w:sz w:val="20"/>
          <w:szCs w:val="20"/>
          <w:lang w:val="en-US"/>
        </w:rPr>
        <w:t xml:space="preserve"> </w:t>
      </w:r>
      <w:r w:rsidRPr="000977F7">
        <w:rPr>
          <w:rFonts w:asciiTheme="majorHAnsi" w:hAnsiTheme="majorHAnsi"/>
          <w:sz w:val="20"/>
          <w:szCs w:val="20"/>
        </w:rPr>
        <w:t>нелінійного</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r w:rsidRPr="004D2D14">
        <w:rPr>
          <w:rFonts w:asciiTheme="majorHAnsi" w:hAnsiTheme="majorHAnsi"/>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всіх</w:t>
      </w:r>
      <w:r w:rsidRPr="004D2D14">
        <w:rPr>
          <w:rFonts w:asciiTheme="majorHAnsi" w:hAnsiTheme="majorHAnsi"/>
          <w:sz w:val="20"/>
          <w:szCs w:val="20"/>
          <w:lang w:val="en-US"/>
        </w:rPr>
        <w:t xml:space="preserve"> </w:t>
      </w:r>
      <w:r w:rsidRPr="000977F7">
        <w:rPr>
          <w:rFonts w:asciiTheme="majorHAnsi" w:hAnsiTheme="majorHAnsi"/>
          <w:sz w:val="20"/>
          <w:szCs w:val="20"/>
        </w:rPr>
        <w:t>частотах</w:t>
      </w:r>
      <w:r w:rsidRPr="004D2D14">
        <w:rPr>
          <w:rFonts w:asciiTheme="majorHAnsi" w:hAnsiTheme="majorHAnsi"/>
          <w:sz w:val="20"/>
          <w:szCs w:val="20"/>
          <w:lang w:val="en-US"/>
        </w:rPr>
        <w:t xml:space="preserve"> </w:t>
      </w:r>
      <w:r w:rsidRPr="000977F7">
        <w:rPr>
          <w:rFonts w:asciiTheme="majorHAnsi" w:hAnsiTheme="majorHAnsi"/>
          <w:sz w:val="20"/>
          <w:szCs w:val="20"/>
        </w:rPr>
        <w:t>дорівнює</w:t>
      </w:r>
      <w:r w:rsidRPr="004D2D14">
        <w:rPr>
          <w:rFonts w:asciiTheme="majorHAnsi" w:hAnsiTheme="majorHAnsi"/>
          <w:sz w:val="20"/>
          <w:szCs w:val="20"/>
          <w:lang w:val="en-US"/>
        </w:rPr>
        <w:t xml:space="preserve"> </w:t>
      </w:r>
      <w:r w:rsidRPr="000977F7">
        <w:rPr>
          <w:rFonts w:asciiTheme="majorHAnsi" w:hAnsiTheme="majorHAnsi"/>
          <w:sz w:val="20"/>
          <w:szCs w:val="20"/>
        </w:rPr>
        <w:t>амплітуді</w:t>
      </w:r>
      <w:r w:rsidRPr="004D2D14">
        <w:rPr>
          <w:rFonts w:asciiTheme="majorHAnsi" w:hAnsiTheme="majorHAnsi"/>
          <w:sz w:val="20"/>
          <w:szCs w:val="20"/>
          <w:lang w:val="en-US"/>
        </w:rPr>
        <w:t xml:space="preserve"> </w:t>
      </w:r>
      <w:r w:rsidRPr="000977F7">
        <w:rPr>
          <w:rFonts w:asciiTheme="majorHAnsi" w:hAnsiTheme="majorHAnsi"/>
          <w:sz w:val="20"/>
          <w:szCs w:val="20"/>
        </w:rPr>
        <w:t>змінювання</w:t>
      </w:r>
      <w:r w:rsidRPr="004D2D14">
        <w:rPr>
          <w:rFonts w:asciiTheme="majorHAnsi" w:hAnsiTheme="majorHAnsi"/>
          <w:sz w:val="20"/>
          <w:szCs w:val="20"/>
          <w:lang w:val="en-US"/>
        </w:rPr>
        <w:t xml:space="preserve"> </w:t>
      </w:r>
      <w:r w:rsidRPr="000977F7">
        <w:rPr>
          <w:rFonts w:asciiTheme="majorHAnsi" w:hAnsiTheme="majorHAnsi"/>
          <w:sz w:val="20"/>
          <w:szCs w:val="20"/>
        </w:rPr>
        <w:t>відповідного</w:t>
      </w:r>
      <w:r w:rsidRPr="004D2D14">
        <w:rPr>
          <w:rFonts w:asciiTheme="majorHAnsi" w:hAnsiTheme="majorHAnsi"/>
          <w:sz w:val="20"/>
          <w:szCs w:val="20"/>
          <w:lang w:val="en-US"/>
        </w:rPr>
        <w:t xml:space="preserve"> </w:t>
      </w:r>
      <w:r w:rsidRPr="000977F7">
        <w:rPr>
          <w:rFonts w:asciiTheme="majorHAnsi" w:hAnsiTheme="majorHAnsi"/>
          <w:sz w:val="20"/>
          <w:szCs w:val="20"/>
        </w:rPr>
        <w:t>параметра</w:t>
      </w:r>
      <w:r w:rsidRPr="004D2D14">
        <w:rPr>
          <w:rFonts w:asciiTheme="majorHAnsi" w:hAnsiTheme="majorHAnsi"/>
          <w:sz w:val="20"/>
          <w:szCs w:val="20"/>
          <w:lang w:val="en-US"/>
        </w:rPr>
        <w:t xml:space="preserve"> </w:t>
      </w:r>
      <w:r w:rsidRPr="000977F7">
        <w:rPr>
          <w:rFonts w:asciiTheme="majorHAnsi" w:hAnsiTheme="majorHAnsi"/>
          <w:sz w:val="20"/>
          <w:szCs w:val="20"/>
        </w:rPr>
        <w:t>лінійної</w:t>
      </w:r>
      <w:r w:rsidRPr="004D2D14">
        <w:rPr>
          <w:rFonts w:asciiTheme="majorHAnsi" w:hAnsiTheme="majorHAnsi"/>
          <w:sz w:val="20"/>
          <w:szCs w:val="20"/>
          <w:lang w:val="en-US"/>
        </w:rPr>
        <w:t xml:space="preserve"> </w:t>
      </w:r>
      <w:r w:rsidRPr="000977F7">
        <w:rPr>
          <w:rFonts w:asciiTheme="majorHAnsi" w:hAnsiTheme="majorHAnsi"/>
          <w:sz w:val="20"/>
          <w:szCs w:val="20"/>
        </w:rPr>
        <w:t>моделі</w:t>
      </w:r>
    </w:p>
    <w:p w14:paraId="6554CDF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16E384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5"/>
          <w:sz w:val="20"/>
          <w:szCs w:val="20"/>
        </w:rPr>
        <w:t xml:space="preserve">Еквівалентна частотна передавальна функція </w:t>
      </w:r>
      <w:r w:rsidRPr="000977F7">
        <w:rPr>
          <w:rFonts w:asciiTheme="majorHAnsi" w:hAnsiTheme="majorHAnsi"/>
          <w:spacing w:val="-4"/>
          <w:sz w:val="20"/>
          <w:szCs w:val="20"/>
        </w:rPr>
        <w:t>визначаєть</w:t>
      </w:r>
      <w:r w:rsidRPr="000977F7">
        <w:rPr>
          <w:rFonts w:asciiTheme="majorHAnsi" w:hAnsiTheme="majorHAnsi"/>
          <w:sz w:val="20"/>
          <w:szCs w:val="20"/>
        </w:rPr>
        <w:t>ся для деякої обумовленої амплітуди вхідного гармонічного діяння</w:t>
      </w:r>
    </w:p>
    <w:p w14:paraId="7C72A4F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552F33AE" w14:textId="77777777" w:rsidR="0097612F" w:rsidRPr="000977F7" w:rsidRDefault="0097612F" w:rsidP="000977F7">
      <w:pPr>
        <w:pStyle w:val="7"/>
        <w:tabs>
          <w:tab w:val="left" w:pos="284"/>
          <w:tab w:val="left" w:pos="2645"/>
          <w:tab w:val="left" w:pos="4283"/>
        </w:tabs>
        <w:spacing w:before="0" w:line="240" w:lineRule="auto"/>
        <w:ind w:left="170"/>
        <w:mirrorIndents/>
        <w:jc w:val="both"/>
        <w:rPr>
          <w:color w:val="auto"/>
          <w:sz w:val="20"/>
          <w:szCs w:val="20"/>
        </w:rPr>
      </w:pPr>
      <w:r w:rsidRPr="000977F7">
        <w:rPr>
          <w:color w:val="auto"/>
          <w:sz w:val="20"/>
          <w:szCs w:val="20"/>
        </w:rPr>
        <w:t xml:space="preserve">ЕКВІВАЛЕНТНІСТЬ РЕЗУЛЬТАТІВ </w:t>
      </w:r>
    </w:p>
    <w:p w14:paraId="0EDE7627" w14:textId="77777777" w:rsidR="0097612F" w:rsidRPr="000977F7" w:rsidRDefault="0097612F" w:rsidP="000977F7">
      <w:pPr>
        <w:pStyle w:val="7"/>
        <w:tabs>
          <w:tab w:val="left" w:pos="284"/>
          <w:tab w:val="left" w:pos="2645"/>
          <w:tab w:val="left" w:pos="4283"/>
        </w:tabs>
        <w:spacing w:before="0" w:line="240" w:lineRule="auto"/>
        <w:ind w:left="170"/>
        <w:mirrorIndents/>
        <w:jc w:val="both"/>
        <w:rPr>
          <w:color w:val="auto"/>
          <w:sz w:val="20"/>
          <w:szCs w:val="20"/>
        </w:rPr>
      </w:pPr>
      <w:r w:rsidRPr="000977F7">
        <w:rPr>
          <w:color w:val="auto"/>
          <w:spacing w:val="-1"/>
          <w:sz w:val="20"/>
          <w:szCs w:val="20"/>
        </w:rPr>
        <w:t>ОЦІНЮ</w:t>
      </w:r>
      <w:r w:rsidRPr="000977F7">
        <w:rPr>
          <w:color w:val="auto"/>
          <w:spacing w:val="-47"/>
          <w:sz w:val="20"/>
          <w:szCs w:val="20"/>
        </w:rPr>
        <w:t xml:space="preserve"> </w:t>
      </w:r>
      <w:r w:rsidRPr="000977F7">
        <w:rPr>
          <w:color w:val="auto"/>
          <w:sz w:val="20"/>
          <w:szCs w:val="20"/>
        </w:rPr>
        <w:t>ВАННЯ</w:t>
      </w:r>
      <w:r w:rsidRPr="000977F7">
        <w:rPr>
          <w:color w:val="auto"/>
          <w:spacing w:val="-1"/>
          <w:sz w:val="20"/>
          <w:szCs w:val="20"/>
        </w:rPr>
        <w:t xml:space="preserve"> </w:t>
      </w:r>
      <w:r w:rsidRPr="000977F7">
        <w:rPr>
          <w:color w:val="auto"/>
          <w:sz w:val="20"/>
          <w:szCs w:val="20"/>
        </w:rPr>
        <w:t>ВІДПОВІДНОСТІ -</w:t>
      </w:r>
    </w:p>
    <w:p w14:paraId="076764C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EQUIVALENCE;</w:t>
      </w:r>
      <w:r w:rsidRPr="004D2D14">
        <w:rPr>
          <w:rFonts w:asciiTheme="majorHAnsi" w:hAnsiTheme="majorHAnsi"/>
          <w:spacing w:val="9"/>
          <w:sz w:val="20"/>
          <w:szCs w:val="20"/>
          <w:lang w:val="en-US"/>
        </w:rPr>
        <w:t xml:space="preserve"> </w:t>
      </w:r>
      <w:r w:rsidRPr="004D2D14">
        <w:rPr>
          <w:rFonts w:asciiTheme="majorHAnsi" w:hAnsiTheme="majorHAnsi"/>
          <w:sz w:val="20"/>
          <w:szCs w:val="20"/>
          <w:lang w:val="en-US"/>
        </w:rPr>
        <w:t>EQUIVALENCE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CONFORMITY</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ASSESMENT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RESULTS-</w:t>
      </w:r>
    </w:p>
    <w:p w14:paraId="2491D90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Достатність різних результатів оцінювання відповідності для забезпечення того самого рівня впевненості</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 тих</w:t>
      </w:r>
      <w:r w:rsidRPr="000977F7">
        <w:rPr>
          <w:rFonts w:asciiTheme="majorHAnsi" w:hAnsiTheme="majorHAnsi"/>
          <w:spacing w:val="-2"/>
          <w:sz w:val="20"/>
          <w:szCs w:val="20"/>
        </w:rPr>
        <w:t xml:space="preserve"> </w:t>
      </w:r>
      <w:r w:rsidRPr="000977F7">
        <w:rPr>
          <w:rFonts w:asciiTheme="majorHAnsi" w:hAnsiTheme="majorHAnsi"/>
          <w:sz w:val="20"/>
          <w:szCs w:val="20"/>
        </w:rPr>
        <w:t>самих установлених</w:t>
      </w:r>
      <w:r w:rsidRPr="000977F7">
        <w:rPr>
          <w:rFonts w:asciiTheme="majorHAnsi" w:hAnsiTheme="majorHAnsi"/>
          <w:spacing w:val="-2"/>
          <w:sz w:val="20"/>
          <w:szCs w:val="20"/>
        </w:rPr>
        <w:t xml:space="preserve"> </w:t>
      </w:r>
      <w:r w:rsidRPr="000977F7">
        <w:rPr>
          <w:rFonts w:asciiTheme="majorHAnsi" w:hAnsiTheme="majorHAnsi"/>
          <w:sz w:val="20"/>
          <w:szCs w:val="20"/>
        </w:rPr>
        <w:t>вимог</w:t>
      </w:r>
    </w:p>
    <w:p w14:paraId="0A3F6D8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ISO/IEC</w:t>
      </w:r>
      <w:r w:rsidRPr="000977F7">
        <w:rPr>
          <w:rFonts w:asciiTheme="majorHAnsi" w:hAnsiTheme="majorHAnsi"/>
          <w:i/>
          <w:spacing w:val="-3"/>
          <w:sz w:val="20"/>
          <w:szCs w:val="20"/>
        </w:rPr>
        <w:t xml:space="preserve"> </w:t>
      </w:r>
      <w:r w:rsidRPr="000977F7">
        <w:rPr>
          <w:rFonts w:asciiTheme="majorHAnsi" w:hAnsiTheme="majorHAnsi"/>
          <w:i/>
          <w:sz w:val="20"/>
          <w:szCs w:val="20"/>
        </w:rPr>
        <w:t>17000:2007</w:t>
      </w:r>
    </w:p>
    <w:p w14:paraId="3E59D6A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ЕКОЛОГІЧНА</w:t>
      </w:r>
      <w:r w:rsidRPr="000977F7">
        <w:rPr>
          <w:color w:val="auto"/>
          <w:spacing w:val="-4"/>
          <w:sz w:val="20"/>
          <w:szCs w:val="20"/>
        </w:rPr>
        <w:t xml:space="preserve"> </w:t>
      </w:r>
      <w:r w:rsidRPr="000977F7">
        <w:rPr>
          <w:color w:val="auto"/>
          <w:sz w:val="20"/>
          <w:szCs w:val="20"/>
        </w:rPr>
        <w:t>БЕЗПЕКА –</w:t>
      </w:r>
    </w:p>
    <w:p w14:paraId="178C426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Відсутність дій, станів та процесів, які прямо чи непрямо призводять до суттєвих збитків для навколишнього природного середовища, населення та матеріальних</w:t>
      </w:r>
      <w:r w:rsidRPr="000977F7">
        <w:rPr>
          <w:rFonts w:asciiTheme="majorHAnsi" w:hAnsiTheme="majorHAnsi"/>
          <w:spacing w:val="-2"/>
          <w:sz w:val="20"/>
          <w:szCs w:val="20"/>
        </w:rPr>
        <w:t xml:space="preserve"> </w:t>
      </w:r>
      <w:r w:rsidRPr="000977F7">
        <w:rPr>
          <w:rFonts w:asciiTheme="majorHAnsi" w:hAnsiTheme="majorHAnsi"/>
          <w:sz w:val="20"/>
          <w:szCs w:val="20"/>
        </w:rPr>
        <w:t>об'єктів</w:t>
      </w:r>
    </w:p>
    <w:p w14:paraId="7ADCF1D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09369F5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ЕКОЛОГІЧНА</w:t>
      </w:r>
      <w:r w:rsidRPr="000977F7">
        <w:rPr>
          <w:color w:val="auto"/>
          <w:spacing w:val="-5"/>
          <w:sz w:val="20"/>
          <w:szCs w:val="20"/>
        </w:rPr>
        <w:t xml:space="preserve"> </w:t>
      </w:r>
      <w:r w:rsidRPr="000977F7">
        <w:rPr>
          <w:color w:val="auto"/>
          <w:sz w:val="20"/>
          <w:szCs w:val="20"/>
        </w:rPr>
        <w:t>МІСТКІСТЬ</w:t>
      </w:r>
      <w:r w:rsidRPr="000977F7">
        <w:rPr>
          <w:color w:val="auto"/>
          <w:spacing w:val="-3"/>
          <w:sz w:val="20"/>
          <w:szCs w:val="20"/>
        </w:rPr>
        <w:t xml:space="preserve"> </w:t>
      </w:r>
      <w:r w:rsidRPr="000977F7">
        <w:rPr>
          <w:color w:val="auto"/>
          <w:sz w:val="20"/>
          <w:szCs w:val="20"/>
        </w:rPr>
        <w:t>—</w:t>
      </w:r>
    </w:p>
    <w:p w14:paraId="0F8ADA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Здатність екосистеми зони впливу промислового підприємства сприймати різні види шкідливих впливів,</w:t>
      </w:r>
      <w:r w:rsidRPr="000977F7">
        <w:rPr>
          <w:rFonts w:asciiTheme="majorHAnsi" w:hAnsiTheme="majorHAnsi"/>
          <w:spacing w:val="1"/>
          <w:sz w:val="20"/>
          <w:szCs w:val="20"/>
        </w:rPr>
        <w:t xml:space="preserve"> </w:t>
      </w:r>
      <w:r w:rsidRPr="000977F7">
        <w:rPr>
          <w:rFonts w:asciiTheme="majorHAnsi" w:hAnsiTheme="majorHAnsi"/>
          <w:sz w:val="20"/>
          <w:szCs w:val="20"/>
        </w:rPr>
        <w:t>зберігаючи</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цьому</w:t>
      </w:r>
      <w:r w:rsidRPr="000977F7">
        <w:rPr>
          <w:rFonts w:asciiTheme="majorHAnsi" w:hAnsiTheme="majorHAnsi"/>
          <w:spacing w:val="-4"/>
          <w:sz w:val="20"/>
          <w:szCs w:val="20"/>
        </w:rPr>
        <w:t xml:space="preserve"> </w:t>
      </w:r>
      <w:r w:rsidRPr="000977F7">
        <w:rPr>
          <w:rFonts w:asciiTheme="majorHAnsi" w:hAnsiTheme="majorHAnsi"/>
          <w:sz w:val="20"/>
          <w:szCs w:val="20"/>
        </w:rPr>
        <w:t>свою</w:t>
      </w:r>
      <w:r w:rsidRPr="000977F7">
        <w:rPr>
          <w:rFonts w:asciiTheme="majorHAnsi" w:hAnsiTheme="majorHAnsi"/>
          <w:spacing w:val="1"/>
          <w:sz w:val="20"/>
          <w:szCs w:val="20"/>
        </w:rPr>
        <w:t xml:space="preserve"> </w:t>
      </w:r>
      <w:r w:rsidRPr="000977F7">
        <w:rPr>
          <w:rFonts w:asciiTheme="majorHAnsi" w:hAnsiTheme="majorHAnsi"/>
          <w:sz w:val="20"/>
          <w:szCs w:val="20"/>
        </w:rPr>
        <w:t>сталість</w:t>
      </w:r>
    </w:p>
    <w:p w14:paraId="5CFE145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1A5EF75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ЕКОЛОГІЧНА</w:t>
      </w:r>
      <w:r w:rsidRPr="000977F7">
        <w:rPr>
          <w:color w:val="auto"/>
          <w:spacing w:val="-4"/>
          <w:sz w:val="20"/>
          <w:szCs w:val="20"/>
        </w:rPr>
        <w:t xml:space="preserve"> </w:t>
      </w:r>
      <w:r w:rsidRPr="000977F7">
        <w:rPr>
          <w:color w:val="auto"/>
          <w:sz w:val="20"/>
          <w:szCs w:val="20"/>
        </w:rPr>
        <w:t>РІВНОВАГА</w:t>
      </w:r>
      <w:r w:rsidRPr="000977F7">
        <w:rPr>
          <w:color w:val="auto"/>
          <w:spacing w:val="-1"/>
          <w:sz w:val="20"/>
          <w:szCs w:val="20"/>
        </w:rPr>
        <w:t xml:space="preserve"> </w:t>
      </w:r>
      <w:r w:rsidRPr="000977F7">
        <w:rPr>
          <w:color w:val="auto"/>
          <w:sz w:val="20"/>
          <w:szCs w:val="20"/>
        </w:rPr>
        <w:t>–</w:t>
      </w:r>
    </w:p>
    <w:p w14:paraId="4843A51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Баланс природних компонентів, що утворюють середовище, та природних процесів, який забезпечує підтримку</w:t>
      </w:r>
      <w:r w:rsidRPr="000977F7">
        <w:rPr>
          <w:rFonts w:asciiTheme="majorHAnsi" w:hAnsiTheme="majorHAnsi"/>
          <w:spacing w:val="1"/>
          <w:sz w:val="20"/>
          <w:szCs w:val="20"/>
        </w:rPr>
        <w:t xml:space="preserve"> </w:t>
      </w:r>
      <w:r w:rsidRPr="000977F7">
        <w:rPr>
          <w:rFonts w:asciiTheme="majorHAnsi" w:hAnsiTheme="majorHAnsi"/>
          <w:sz w:val="20"/>
          <w:szCs w:val="20"/>
        </w:rPr>
        <w:t>екосистеми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якісно</w:t>
      </w:r>
      <w:r w:rsidRPr="000977F7">
        <w:rPr>
          <w:rFonts w:asciiTheme="majorHAnsi" w:hAnsiTheme="majorHAnsi"/>
          <w:spacing w:val="1"/>
          <w:sz w:val="20"/>
          <w:szCs w:val="20"/>
        </w:rPr>
        <w:t xml:space="preserve"> </w:t>
      </w:r>
      <w:r w:rsidRPr="000977F7">
        <w:rPr>
          <w:rFonts w:asciiTheme="majorHAnsi" w:hAnsiTheme="majorHAnsi"/>
          <w:sz w:val="20"/>
          <w:szCs w:val="20"/>
        </w:rPr>
        <w:t>визначеному</w:t>
      </w:r>
      <w:r w:rsidRPr="000977F7">
        <w:rPr>
          <w:rFonts w:asciiTheme="majorHAnsi" w:hAnsiTheme="majorHAnsi"/>
          <w:spacing w:val="1"/>
          <w:sz w:val="20"/>
          <w:szCs w:val="20"/>
        </w:rPr>
        <w:t xml:space="preserve"> </w:t>
      </w:r>
      <w:r w:rsidRPr="000977F7">
        <w:rPr>
          <w:rFonts w:asciiTheme="majorHAnsi" w:hAnsiTheme="majorHAnsi"/>
          <w:sz w:val="20"/>
          <w:szCs w:val="20"/>
        </w:rPr>
        <w:t>стані,</w:t>
      </w:r>
      <w:r w:rsidRPr="000977F7">
        <w:rPr>
          <w:rFonts w:asciiTheme="majorHAnsi" w:hAnsiTheme="majorHAnsi"/>
          <w:spacing w:val="1"/>
          <w:sz w:val="20"/>
          <w:szCs w:val="20"/>
        </w:rPr>
        <w:t xml:space="preserve"> </w:t>
      </w:r>
      <w:r w:rsidRPr="000977F7">
        <w:rPr>
          <w:rFonts w:asciiTheme="majorHAnsi" w:hAnsiTheme="majorHAnsi"/>
          <w:sz w:val="20"/>
          <w:szCs w:val="20"/>
        </w:rPr>
        <w:t>характерному для даної географічної місцевості та геологічного періоду</w:t>
      </w:r>
    </w:p>
    <w:p w14:paraId="6622219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466EEEA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ЕКОЛОГІЧНІ</w:t>
      </w:r>
      <w:r w:rsidRPr="000977F7">
        <w:rPr>
          <w:color w:val="auto"/>
          <w:spacing w:val="1"/>
          <w:sz w:val="20"/>
          <w:szCs w:val="20"/>
        </w:rPr>
        <w:t xml:space="preserve"> </w:t>
      </w:r>
      <w:r w:rsidRPr="000977F7">
        <w:rPr>
          <w:color w:val="auto"/>
          <w:sz w:val="20"/>
          <w:szCs w:val="20"/>
        </w:rPr>
        <w:t>ВИМОГИ</w:t>
      </w:r>
      <w:r w:rsidRPr="000977F7">
        <w:rPr>
          <w:color w:val="auto"/>
          <w:spacing w:val="1"/>
          <w:sz w:val="20"/>
          <w:szCs w:val="20"/>
        </w:rPr>
        <w:t xml:space="preserve"> </w:t>
      </w:r>
      <w:r w:rsidRPr="000977F7">
        <w:rPr>
          <w:color w:val="auto"/>
          <w:sz w:val="20"/>
          <w:szCs w:val="20"/>
        </w:rPr>
        <w:t>ДО</w:t>
      </w:r>
      <w:r w:rsidRPr="000977F7">
        <w:rPr>
          <w:color w:val="auto"/>
          <w:spacing w:val="1"/>
          <w:sz w:val="20"/>
          <w:szCs w:val="20"/>
        </w:rPr>
        <w:t xml:space="preserve"> </w:t>
      </w:r>
      <w:r w:rsidRPr="000977F7">
        <w:rPr>
          <w:color w:val="auto"/>
          <w:sz w:val="20"/>
          <w:szCs w:val="20"/>
        </w:rPr>
        <w:t>РОЗМІЩЕННЯ,</w:t>
      </w:r>
      <w:r w:rsidRPr="000977F7">
        <w:rPr>
          <w:color w:val="auto"/>
          <w:spacing w:val="-47"/>
          <w:sz w:val="20"/>
          <w:szCs w:val="20"/>
        </w:rPr>
        <w:t xml:space="preserve"> </w:t>
      </w:r>
      <w:r w:rsidRPr="000977F7">
        <w:rPr>
          <w:color w:val="auto"/>
          <w:sz w:val="20"/>
          <w:szCs w:val="20"/>
        </w:rPr>
        <w:t>ПРОЕКТУВАННЯ,</w:t>
      </w:r>
      <w:r w:rsidRPr="000977F7">
        <w:rPr>
          <w:color w:val="auto"/>
          <w:spacing w:val="1"/>
          <w:sz w:val="20"/>
          <w:szCs w:val="20"/>
        </w:rPr>
        <w:t xml:space="preserve"> </w:t>
      </w:r>
      <w:r w:rsidRPr="000977F7">
        <w:rPr>
          <w:color w:val="auto"/>
          <w:sz w:val="20"/>
          <w:szCs w:val="20"/>
        </w:rPr>
        <w:t>БУДІВНИЦТВА,</w:t>
      </w:r>
      <w:r w:rsidRPr="000977F7">
        <w:rPr>
          <w:color w:val="auto"/>
          <w:spacing w:val="1"/>
          <w:sz w:val="20"/>
          <w:szCs w:val="20"/>
        </w:rPr>
        <w:t xml:space="preserve"> </w:t>
      </w:r>
      <w:r w:rsidRPr="000977F7">
        <w:rPr>
          <w:color w:val="auto"/>
          <w:sz w:val="20"/>
          <w:szCs w:val="20"/>
        </w:rPr>
        <w:t>РЕКОНСТРУКЦІЇ,</w:t>
      </w:r>
      <w:r w:rsidRPr="000977F7">
        <w:rPr>
          <w:color w:val="auto"/>
          <w:spacing w:val="1"/>
          <w:sz w:val="20"/>
          <w:szCs w:val="20"/>
        </w:rPr>
        <w:t xml:space="preserve"> </w:t>
      </w:r>
      <w:r w:rsidRPr="000977F7">
        <w:rPr>
          <w:color w:val="auto"/>
          <w:sz w:val="20"/>
          <w:szCs w:val="20"/>
        </w:rPr>
        <w:t>ВВЕДЕННЯ</w:t>
      </w:r>
      <w:r w:rsidRPr="000977F7">
        <w:rPr>
          <w:color w:val="auto"/>
          <w:spacing w:val="1"/>
          <w:sz w:val="20"/>
          <w:szCs w:val="20"/>
        </w:rPr>
        <w:t xml:space="preserve"> </w:t>
      </w:r>
      <w:r w:rsidRPr="000977F7">
        <w:rPr>
          <w:color w:val="auto"/>
          <w:sz w:val="20"/>
          <w:szCs w:val="20"/>
        </w:rPr>
        <w:t>В ДІЮ</w:t>
      </w:r>
      <w:r w:rsidRPr="000977F7">
        <w:rPr>
          <w:color w:val="auto"/>
          <w:spacing w:val="1"/>
          <w:sz w:val="20"/>
          <w:szCs w:val="20"/>
        </w:rPr>
        <w:t xml:space="preserve"> </w:t>
      </w:r>
      <w:r w:rsidRPr="000977F7">
        <w:rPr>
          <w:color w:val="auto"/>
          <w:sz w:val="20"/>
          <w:szCs w:val="20"/>
        </w:rPr>
        <w:t>ТА ЕКСПЛУАТАЦІЇ</w:t>
      </w:r>
      <w:r w:rsidRPr="000977F7">
        <w:rPr>
          <w:color w:val="auto"/>
          <w:spacing w:val="1"/>
          <w:sz w:val="20"/>
          <w:szCs w:val="20"/>
        </w:rPr>
        <w:t xml:space="preserve"> </w:t>
      </w:r>
      <w:r w:rsidRPr="000977F7">
        <w:rPr>
          <w:color w:val="auto"/>
          <w:sz w:val="20"/>
          <w:szCs w:val="20"/>
        </w:rPr>
        <w:t>ПІДПРИЄМСТВ,</w:t>
      </w:r>
      <w:r w:rsidRPr="000977F7">
        <w:rPr>
          <w:color w:val="auto"/>
          <w:spacing w:val="1"/>
          <w:sz w:val="20"/>
          <w:szCs w:val="20"/>
        </w:rPr>
        <w:t xml:space="preserve"> </w:t>
      </w:r>
      <w:r w:rsidRPr="000977F7">
        <w:rPr>
          <w:color w:val="auto"/>
          <w:sz w:val="20"/>
          <w:szCs w:val="20"/>
        </w:rPr>
        <w:t>СПОРУД</w:t>
      </w:r>
      <w:r w:rsidRPr="000977F7">
        <w:rPr>
          <w:color w:val="auto"/>
          <w:spacing w:val="1"/>
          <w:sz w:val="20"/>
          <w:szCs w:val="20"/>
        </w:rPr>
        <w:t xml:space="preserve"> </w:t>
      </w:r>
      <w:r w:rsidRPr="000977F7">
        <w:rPr>
          <w:color w:val="auto"/>
          <w:sz w:val="20"/>
          <w:szCs w:val="20"/>
        </w:rPr>
        <w:t>ТА</w:t>
      </w:r>
      <w:r w:rsidRPr="000977F7">
        <w:rPr>
          <w:color w:val="auto"/>
          <w:spacing w:val="1"/>
          <w:sz w:val="20"/>
          <w:szCs w:val="20"/>
        </w:rPr>
        <w:t xml:space="preserve"> </w:t>
      </w:r>
      <w:r w:rsidRPr="000977F7">
        <w:rPr>
          <w:color w:val="auto"/>
          <w:sz w:val="20"/>
          <w:szCs w:val="20"/>
        </w:rPr>
        <w:t>ІНШИХ</w:t>
      </w:r>
      <w:r w:rsidRPr="000977F7">
        <w:rPr>
          <w:color w:val="auto"/>
          <w:spacing w:val="1"/>
          <w:sz w:val="20"/>
          <w:szCs w:val="20"/>
        </w:rPr>
        <w:t xml:space="preserve"> </w:t>
      </w:r>
      <w:r w:rsidRPr="000977F7">
        <w:rPr>
          <w:color w:val="auto"/>
          <w:sz w:val="20"/>
          <w:szCs w:val="20"/>
        </w:rPr>
        <w:t>ОБ'ЄКТІВ</w:t>
      </w:r>
      <w:r w:rsidRPr="000977F7">
        <w:rPr>
          <w:color w:val="auto"/>
          <w:spacing w:val="1"/>
          <w:sz w:val="20"/>
          <w:szCs w:val="20"/>
        </w:rPr>
        <w:t xml:space="preserve"> </w:t>
      </w:r>
      <w:r w:rsidRPr="000977F7">
        <w:rPr>
          <w:color w:val="auto"/>
          <w:sz w:val="20"/>
          <w:szCs w:val="20"/>
        </w:rPr>
        <w:t>–</w:t>
      </w:r>
    </w:p>
    <w:p w14:paraId="28C645E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При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проектуванні,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розміщенні,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будівництві,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введенні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нових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реконструкції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діючих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підприємств, споруд та інших об'єктів, удосконаленні існуючих і впровадженні нових технологічних процесів та</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устаткування,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також</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процесі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експлуатації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цих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об'єктів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забезпечується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екологічна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безпека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людей,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 xml:space="preserve">раціональне використання природних ресурсів, </w:t>
      </w:r>
      <w:r w:rsidRPr="004D2D14">
        <w:rPr>
          <w:rFonts w:asciiTheme="majorHAnsi" w:hAnsiTheme="majorHAnsi"/>
          <w:sz w:val="20"/>
          <w:szCs w:val="20"/>
          <w:lang w:val="uk-UA"/>
        </w:rPr>
        <w:t>додержання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нормативів шкідливих впливів на</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навколишнє</w:t>
      </w:r>
    </w:p>
    <w:p w14:paraId="5973679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природне середовище. При цьому повинні передбачатися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вловлювання, утилізація, знешкодження шкідливих речовин і відходів або повна їх ліквідація, виконання інших вимог щодо охорони навколишнього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природного середовища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здоров'я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людей.</w:t>
      </w:r>
    </w:p>
    <w:p w14:paraId="3B5A9F3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Підприємства,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установи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організації,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діяльність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яких пов'язана з шкідливим впливом на навколишнє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природне</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середовище,</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незалежно</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від часу введення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їх у дію повинні бути обладнані спорудами, устаткуванням і пристроями для очищення викидів і скидів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 їх знешкодження, зменшення впливу шкідливих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факторів, а також приладами контролю за кількістю 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складом забруднюючих речовин та за характеристиками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шкідливих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факторів.</w:t>
      </w:r>
    </w:p>
    <w:p w14:paraId="1E9AEF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Проекти господарської та іншої діяльності повинні</w:t>
      </w:r>
      <w:r w:rsidRPr="000977F7">
        <w:rPr>
          <w:rFonts w:asciiTheme="majorHAnsi" w:hAnsiTheme="majorHAnsi"/>
          <w:spacing w:val="1"/>
          <w:sz w:val="20"/>
          <w:szCs w:val="20"/>
        </w:rPr>
        <w:t xml:space="preserve"> </w:t>
      </w:r>
      <w:r w:rsidRPr="000977F7">
        <w:rPr>
          <w:rFonts w:asciiTheme="majorHAnsi" w:hAnsiTheme="majorHAnsi"/>
          <w:sz w:val="20"/>
          <w:szCs w:val="20"/>
        </w:rPr>
        <w:t>мати матеріали оцінки її впливу на навколишнє природне</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 і</w:t>
      </w:r>
      <w:r w:rsidRPr="000977F7">
        <w:rPr>
          <w:rFonts w:asciiTheme="majorHAnsi" w:hAnsiTheme="majorHAnsi"/>
          <w:spacing w:val="-2"/>
          <w:sz w:val="20"/>
          <w:szCs w:val="20"/>
        </w:rPr>
        <w:t xml:space="preserve"> </w:t>
      </w:r>
      <w:r w:rsidRPr="000977F7">
        <w:rPr>
          <w:rFonts w:asciiTheme="majorHAnsi" w:hAnsiTheme="majorHAnsi"/>
          <w:sz w:val="20"/>
          <w:szCs w:val="20"/>
        </w:rPr>
        <w:t>здоров'я</w:t>
      </w:r>
      <w:r w:rsidRPr="000977F7">
        <w:rPr>
          <w:rFonts w:asciiTheme="majorHAnsi" w:hAnsiTheme="majorHAnsi"/>
          <w:spacing w:val="2"/>
          <w:sz w:val="20"/>
          <w:szCs w:val="20"/>
        </w:rPr>
        <w:t xml:space="preserve"> </w:t>
      </w:r>
      <w:r w:rsidRPr="000977F7">
        <w:rPr>
          <w:rFonts w:asciiTheme="majorHAnsi" w:hAnsiTheme="majorHAnsi"/>
          <w:sz w:val="20"/>
          <w:szCs w:val="20"/>
        </w:rPr>
        <w:t>людей.</w:t>
      </w:r>
    </w:p>
    <w:p w14:paraId="38D478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Оцінка здійснюється з урахуванням вимог законодавства про охорону навколишнього природного середовища, екологічної ємкості даної території, стану</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місці,</w:t>
      </w:r>
      <w:r w:rsidRPr="000977F7">
        <w:rPr>
          <w:rFonts w:asciiTheme="majorHAnsi" w:hAnsiTheme="majorHAnsi"/>
          <w:spacing w:val="1"/>
          <w:sz w:val="20"/>
          <w:szCs w:val="20"/>
        </w:rPr>
        <w:t xml:space="preserve"> </w:t>
      </w:r>
      <w:r w:rsidRPr="000977F7">
        <w:rPr>
          <w:rFonts w:asciiTheme="majorHAnsi" w:hAnsiTheme="majorHAnsi"/>
          <w:sz w:val="20"/>
          <w:szCs w:val="20"/>
        </w:rPr>
        <w:t>де</w:t>
      </w:r>
      <w:r w:rsidRPr="000977F7">
        <w:rPr>
          <w:rFonts w:asciiTheme="majorHAnsi" w:hAnsiTheme="majorHAnsi"/>
          <w:spacing w:val="1"/>
          <w:sz w:val="20"/>
          <w:szCs w:val="20"/>
        </w:rPr>
        <w:t xml:space="preserve"> </w:t>
      </w:r>
      <w:r w:rsidRPr="000977F7">
        <w:rPr>
          <w:rFonts w:asciiTheme="majorHAnsi" w:hAnsiTheme="majorHAnsi"/>
          <w:sz w:val="20"/>
          <w:szCs w:val="20"/>
        </w:rPr>
        <w:t>планується розміщення об'єктів, екологічних прогнозів, перспектив соціально-економічного розвитку регіону, потужності та видів сукупного впливу шкідливих факторів та об'єктів на навколишнє природне середовище.</w:t>
      </w:r>
    </w:p>
    <w:p w14:paraId="4A2F7E2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установи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 які розміщують, проектують, будують, реконструюють, технічно переозброюють, вводять в дію підприємства, споруди та інші об'єкти, а також проводять дослідну діяльність,</w:t>
      </w:r>
      <w:r w:rsidRPr="000977F7">
        <w:rPr>
          <w:rFonts w:asciiTheme="majorHAnsi" w:hAnsiTheme="majorHAnsi"/>
          <w:spacing w:val="31"/>
          <w:sz w:val="20"/>
          <w:szCs w:val="20"/>
        </w:rPr>
        <w:t xml:space="preserve"> </w:t>
      </w:r>
      <w:r w:rsidRPr="000977F7">
        <w:rPr>
          <w:rFonts w:asciiTheme="majorHAnsi" w:hAnsiTheme="majorHAnsi"/>
          <w:sz w:val="20"/>
          <w:szCs w:val="20"/>
        </w:rPr>
        <w:t>що</w:t>
      </w:r>
      <w:r w:rsidRPr="000977F7">
        <w:rPr>
          <w:rFonts w:asciiTheme="majorHAnsi" w:hAnsiTheme="majorHAnsi"/>
          <w:spacing w:val="32"/>
          <w:sz w:val="20"/>
          <w:szCs w:val="20"/>
        </w:rPr>
        <w:t xml:space="preserve"> </w:t>
      </w:r>
      <w:r w:rsidRPr="000977F7">
        <w:rPr>
          <w:rFonts w:asciiTheme="majorHAnsi" w:hAnsiTheme="majorHAnsi"/>
          <w:sz w:val="20"/>
          <w:szCs w:val="20"/>
        </w:rPr>
        <w:t>за</w:t>
      </w:r>
      <w:r w:rsidRPr="000977F7">
        <w:rPr>
          <w:rFonts w:asciiTheme="majorHAnsi" w:hAnsiTheme="majorHAnsi"/>
          <w:spacing w:val="31"/>
          <w:sz w:val="20"/>
          <w:szCs w:val="20"/>
        </w:rPr>
        <w:t xml:space="preserve"> </w:t>
      </w:r>
      <w:r w:rsidRPr="000977F7">
        <w:rPr>
          <w:rFonts w:asciiTheme="majorHAnsi" w:hAnsiTheme="majorHAnsi"/>
          <w:sz w:val="20"/>
          <w:szCs w:val="20"/>
        </w:rPr>
        <w:t>їх</w:t>
      </w:r>
      <w:r w:rsidRPr="000977F7">
        <w:rPr>
          <w:rFonts w:asciiTheme="majorHAnsi" w:hAnsiTheme="majorHAnsi"/>
          <w:spacing w:val="31"/>
          <w:sz w:val="20"/>
          <w:szCs w:val="20"/>
        </w:rPr>
        <w:t xml:space="preserve"> </w:t>
      </w:r>
      <w:r w:rsidRPr="000977F7">
        <w:rPr>
          <w:rFonts w:asciiTheme="majorHAnsi" w:hAnsiTheme="majorHAnsi"/>
          <w:sz w:val="20"/>
          <w:szCs w:val="20"/>
        </w:rPr>
        <w:t>оцінкою</w:t>
      </w:r>
      <w:r w:rsidRPr="000977F7">
        <w:rPr>
          <w:rFonts w:asciiTheme="majorHAnsi" w:hAnsiTheme="majorHAnsi"/>
          <w:spacing w:val="34"/>
          <w:sz w:val="20"/>
          <w:szCs w:val="20"/>
        </w:rPr>
        <w:t xml:space="preserve"> </w:t>
      </w:r>
      <w:r w:rsidRPr="000977F7">
        <w:rPr>
          <w:rFonts w:asciiTheme="majorHAnsi" w:hAnsiTheme="majorHAnsi"/>
          <w:sz w:val="20"/>
          <w:szCs w:val="20"/>
        </w:rPr>
        <w:t>може</w:t>
      </w:r>
      <w:r w:rsidRPr="000977F7">
        <w:rPr>
          <w:rFonts w:asciiTheme="majorHAnsi" w:hAnsiTheme="majorHAnsi"/>
          <w:spacing w:val="31"/>
          <w:sz w:val="20"/>
          <w:szCs w:val="20"/>
        </w:rPr>
        <w:t xml:space="preserve"> </w:t>
      </w:r>
      <w:r w:rsidRPr="000977F7">
        <w:rPr>
          <w:rFonts w:asciiTheme="majorHAnsi" w:hAnsiTheme="majorHAnsi"/>
          <w:sz w:val="20"/>
          <w:szCs w:val="20"/>
        </w:rPr>
        <w:t>негативно</w:t>
      </w:r>
      <w:r w:rsidRPr="000977F7">
        <w:rPr>
          <w:rFonts w:asciiTheme="majorHAnsi" w:hAnsiTheme="majorHAnsi"/>
          <w:spacing w:val="31"/>
          <w:sz w:val="20"/>
          <w:szCs w:val="20"/>
        </w:rPr>
        <w:t xml:space="preserve"> </w:t>
      </w:r>
      <w:r w:rsidRPr="000977F7">
        <w:rPr>
          <w:rFonts w:asciiTheme="majorHAnsi" w:hAnsiTheme="majorHAnsi"/>
          <w:sz w:val="20"/>
          <w:szCs w:val="20"/>
        </w:rPr>
        <w:t>вплинути</w:t>
      </w:r>
      <w:r w:rsidRPr="000977F7">
        <w:rPr>
          <w:rFonts w:asciiTheme="majorHAnsi" w:hAnsiTheme="majorHAnsi"/>
          <w:spacing w:val="-47"/>
          <w:sz w:val="20"/>
          <w:szCs w:val="20"/>
        </w:rPr>
        <w:t xml:space="preserve"> </w:t>
      </w:r>
      <w:r w:rsidRPr="000977F7">
        <w:rPr>
          <w:rFonts w:asciiTheme="majorHAnsi" w:hAnsiTheme="majorHAnsi"/>
          <w:sz w:val="20"/>
          <w:szCs w:val="20"/>
        </w:rPr>
        <w:t>на стан навколишнього природного середовища, подають уповноваженому центральному органу спеціальної виконавчої влади з питань екології та природних ресурсів та</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органам</w:t>
      </w:r>
      <w:r w:rsidRPr="000977F7">
        <w:rPr>
          <w:rFonts w:asciiTheme="majorHAnsi" w:hAnsiTheme="majorHAnsi"/>
          <w:spacing w:val="1"/>
          <w:sz w:val="20"/>
          <w:szCs w:val="20"/>
        </w:rPr>
        <w:t xml:space="preserve"> </w:t>
      </w:r>
      <w:r w:rsidRPr="000977F7">
        <w:rPr>
          <w:rFonts w:asciiTheme="majorHAnsi" w:hAnsiTheme="majorHAnsi"/>
          <w:sz w:val="20"/>
          <w:szCs w:val="20"/>
        </w:rPr>
        <w:t>на місцях спеціальну</w:t>
      </w:r>
      <w:r w:rsidRPr="000977F7">
        <w:rPr>
          <w:rFonts w:asciiTheme="majorHAnsi" w:hAnsiTheme="majorHAnsi"/>
          <w:spacing w:val="1"/>
          <w:sz w:val="20"/>
          <w:szCs w:val="20"/>
        </w:rPr>
        <w:t xml:space="preserve"> </w:t>
      </w:r>
      <w:r w:rsidRPr="000977F7">
        <w:rPr>
          <w:rFonts w:asciiTheme="majorHAnsi" w:hAnsiTheme="majorHAnsi"/>
          <w:sz w:val="20"/>
          <w:szCs w:val="20"/>
        </w:rPr>
        <w:t>заяву</w:t>
      </w:r>
      <w:r w:rsidRPr="000977F7">
        <w:rPr>
          <w:rFonts w:asciiTheme="majorHAnsi" w:hAnsiTheme="majorHAnsi"/>
          <w:spacing w:val="-2"/>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це.</w:t>
      </w:r>
    </w:p>
    <w:p w14:paraId="1B0678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Забороняється введення в дію підприємств, споруд</w:t>
      </w:r>
      <w:r w:rsidRPr="000977F7">
        <w:rPr>
          <w:rFonts w:asciiTheme="majorHAnsi" w:hAnsiTheme="majorHAnsi"/>
          <w:spacing w:val="1"/>
          <w:sz w:val="20"/>
          <w:szCs w:val="20"/>
        </w:rPr>
        <w:t xml:space="preserve"> </w:t>
      </w:r>
      <w:r w:rsidRPr="000977F7">
        <w:rPr>
          <w:rFonts w:asciiTheme="majorHAnsi" w:hAnsiTheme="majorHAnsi"/>
          <w:sz w:val="20"/>
          <w:szCs w:val="20"/>
        </w:rPr>
        <w:t>та інших об'єктів, на яких не забезпечено в повному</w:t>
      </w:r>
      <w:r w:rsidRPr="000977F7">
        <w:rPr>
          <w:rFonts w:asciiTheme="majorHAnsi" w:hAnsiTheme="majorHAnsi"/>
          <w:spacing w:val="1"/>
          <w:sz w:val="20"/>
          <w:szCs w:val="20"/>
        </w:rPr>
        <w:t xml:space="preserve"> </w:t>
      </w:r>
      <w:r w:rsidRPr="000977F7">
        <w:rPr>
          <w:rFonts w:asciiTheme="majorHAnsi" w:hAnsiTheme="majorHAnsi"/>
          <w:sz w:val="20"/>
          <w:szCs w:val="20"/>
        </w:rPr>
        <w:t>обсязі додержання всіх екологічних вимог і виконання</w:t>
      </w:r>
      <w:r w:rsidRPr="000977F7">
        <w:rPr>
          <w:rFonts w:asciiTheme="majorHAnsi" w:hAnsiTheme="majorHAnsi"/>
          <w:spacing w:val="29"/>
          <w:sz w:val="20"/>
          <w:szCs w:val="20"/>
        </w:rPr>
        <w:t xml:space="preserve"> </w:t>
      </w:r>
      <w:r w:rsidRPr="000977F7">
        <w:rPr>
          <w:rFonts w:asciiTheme="majorHAnsi" w:hAnsiTheme="majorHAnsi"/>
          <w:sz w:val="20"/>
          <w:szCs w:val="20"/>
        </w:rPr>
        <w:t>заходів,</w:t>
      </w:r>
      <w:r w:rsidRPr="000977F7">
        <w:rPr>
          <w:rFonts w:asciiTheme="majorHAnsi" w:hAnsiTheme="majorHAnsi"/>
          <w:spacing w:val="32"/>
          <w:sz w:val="20"/>
          <w:szCs w:val="20"/>
        </w:rPr>
        <w:t xml:space="preserve"> </w:t>
      </w:r>
      <w:r w:rsidRPr="000977F7">
        <w:rPr>
          <w:rFonts w:asciiTheme="majorHAnsi" w:hAnsiTheme="majorHAnsi"/>
          <w:sz w:val="20"/>
          <w:szCs w:val="20"/>
        </w:rPr>
        <w:t>передбачених</w:t>
      </w:r>
      <w:r w:rsidRPr="000977F7">
        <w:rPr>
          <w:rFonts w:asciiTheme="majorHAnsi" w:hAnsiTheme="majorHAnsi"/>
          <w:spacing w:val="32"/>
          <w:sz w:val="20"/>
          <w:szCs w:val="20"/>
        </w:rPr>
        <w:t xml:space="preserve"> </w:t>
      </w:r>
      <w:r w:rsidRPr="000977F7">
        <w:rPr>
          <w:rFonts w:asciiTheme="majorHAnsi" w:hAnsiTheme="majorHAnsi"/>
          <w:sz w:val="20"/>
          <w:szCs w:val="20"/>
        </w:rPr>
        <w:t>у</w:t>
      </w:r>
      <w:r w:rsidRPr="000977F7">
        <w:rPr>
          <w:rFonts w:asciiTheme="majorHAnsi" w:hAnsiTheme="majorHAnsi"/>
          <w:spacing w:val="30"/>
          <w:sz w:val="20"/>
          <w:szCs w:val="20"/>
        </w:rPr>
        <w:t xml:space="preserve"> </w:t>
      </w:r>
      <w:r w:rsidRPr="000977F7">
        <w:rPr>
          <w:rFonts w:asciiTheme="majorHAnsi" w:hAnsiTheme="majorHAnsi"/>
          <w:sz w:val="20"/>
          <w:szCs w:val="20"/>
        </w:rPr>
        <w:t>проектах</w:t>
      </w:r>
      <w:r w:rsidRPr="000977F7">
        <w:rPr>
          <w:rFonts w:asciiTheme="majorHAnsi" w:hAnsiTheme="majorHAnsi"/>
          <w:spacing w:val="32"/>
          <w:sz w:val="20"/>
          <w:szCs w:val="20"/>
        </w:rPr>
        <w:t xml:space="preserve"> </w:t>
      </w:r>
      <w:r w:rsidRPr="000977F7">
        <w:rPr>
          <w:rFonts w:asciiTheme="majorHAnsi" w:hAnsiTheme="majorHAnsi"/>
          <w:sz w:val="20"/>
          <w:szCs w:val="20"/>
        </w:rPr>
        <w:t>на</w:t>
      </w:r>
      <w:r w:rsidRPr="000977F7">
        <w:rPr>
          <w:rFonts w:asciiTheme="majorHAnsi" w:hAnsiTheme="majorHAnsi"/>
          <w:spacing w:val="32"/>
          <w:sz w:val="20"/>
          <w:szCs w:val="20"/>
        </w:rPr>
        <w:t xml:space="preserve"> </w:t>
      </w:r>
      <w:r w:rsidRPr="000977F7">
        <w:rPr>
          <w:rFonts w:asciiTheme="majorHAnsi" w:hAnsiTheme="majorHAnsi"/>
          <w:sz w:val="20"/>
          <w:szCs w:val="20"/>
        </w:rPr>
        <w:t>будівництво</w:t>
      </w:r>
      <w:r w:rsidRPr="000977F7">
        <w:rPr>
          <w:rFonts w:asciiTheme="majorHAnsi" w:hAnsiTheme="majorHAnsi"/>
          <w:spacing w:val="-47"/>
          <w:sz w:val="20"/>
          <w:szCs w:val="20"/>
        </w:rPr>
        <w:t xml:space="preserve"> </w:t>
      </w:r>
      <w:r w:rsidRPr="000977F7">
        <w:rPr>
          <w:rFonts w:asciiTheme="majorHAnsi" w:hAnsiTheme="majorHAnsi"/>
          <w:sz w:val="20"/>
          <w:szCs w:val="20"/>
        </w:rPr>
        <w:t>та реконструкцію (розширення та технічне переоснащення).</w:t>
      </w:r>
    </w:p>
    <w:p w14:paraId="624F6F2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w w:val="95"/>
          <w:sz w:val="20"/>
          <w:szCs w:val="20"/>
        </w:rPr>
        <w:t>Ст. 51 закону України "Про охорону навколишнього природ</w:t>
      </w:r>
      <w:r w:rsidRPr="000977F7">
        <w:rPr>
          <w:rFonts w:asciiTheme="majorHAnsi" w:hAnsiTheme="majorHAnsi"/>
          <w:i/>
          <w:sz w:val="20"/>
          <w:szCs w:val="20"/>
        </w:rPr>
        <w:t>ного</w:t>
      </w:r>
      <w:r w:rsidRPr="000977F7">
        <w:rPr>
          <w:rFonts w:asciiTheme="majorHAnsi" w:hAnsiTheme="majorHAnsi"/>
          <w:i/>
          <w:spacing w:val="1"/>
          <w:sz w:val="20"/>
          <w:szCs w:val="20"/>
        </w:rPr>
        <w:t xml:space="preserve"> </w:t>
      </w:r>
      <w:r w:rsidRPr="000977F7">
        <w:rPr>
          <w:rFonts w:asciiTheme="majorHAnsi" w:hAnsiTheme="majorHAnsi"/>
          <w:i/>
          <w:sz w:val="20"/>
          <w:szCs w:val="20"/>
        </w:rPr>
        <w:t>середовища"</w:t>
      </w:r>
    </w:p>
    <w:p w14:paraId="1C67951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ЕКОЛОГІЧНІ</w:t>
      </w:r>
      <w:r w:rsidRPr="000977F7">
        <w:rPr>
          <w:color w:val="auto"/>
          <w:spacing w:val="-5"/>
          <w:sz w:val="20"/>
          <w:szCs w:val="20"/>
        </w:rPr>
        <w:t xml:space="preserve"> </w:t>
      </w:r>
      <w:r w:rsidRPr="000977F7">
        <w:rPr>
          <w:color w:val="auto"/>
          <w:sz w:val="20"/>
          <w:szCs w:val="20"/>
        </w:rPr>
        <w:t>РЕЦИПІЄНТИ</w:t>
      </w:r>
      <w:r w:rsidRPr="000977F7">
        <w:rPr>
          <w:color w:val="auto"/>
          <w:spacing w:val="-3"/>
          <w:sz w:val="20"/>
          <w:szCs w:val="20"/>
        </w:rPr>
        <w:t xml:space="preserve"> </w:t>
      </w:r>
      <w:r w:rsidRPr="000977F7">
        <w:rPr>
          <w:color w:val="auto"/>
          <w:sz w:val="20"/>
          <w:szCs w:val="20"/>
        </w:rPr>
        <w:t>–</w:t>
      </w:r>
    </w:p>
    <w:p w14:paraId="4CCE70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Самовідновлювані</w:t>
      </w:r>
      <w:r w:rsidRPr="000977F7">
        <w:rPr>
          <w:rFonts w:asciiTheme="majorHAnsi" w:hAnsiTheme="majorHAnsi"/>
          <w:spacing w:val="1"/>
          <w:sz w:val="20"/>
          <w:szCs w:val="20"/>
        </w:rPr>
        <w:t xml:space="preserve"> </w:t>
      </w:r>
      <w:r w:rsidRPr="000977F7">
        <w:rPr>
          <w:rFonts w:asciiTheme="majorHAnsi" w:hAnsiTheme="majorHAnsi"/>
          <w:sz w:val="20"/>
          <w:szCs w:val="20"/>
        </w:rPr>
        <w:t>біотичні</w:t>
      </w:r>
      <w:r w:rsidRPr="000977F7">
        <w:rPr>
          <w:rFonts w:asciiTheme="majorHAnsi" w:hAnsiTheme="majorHAnsi"/>
          <w:spacing w:val="1"/>
          <w:sz w:val="20"/>
          <w:szCs w:val="20"/>
        </w:rPr>
        <w:t xml:space="preserve"> </w:t>
      </w:r>
      <w:r w:rsidRPr="000977F7">
        <w:rPr>
          <w:rFonts w:asciiTheme="majorHAnsi" w:hAnsiTheme="majorHAnsi"/>
          <w:sz w:val="20"/>
          <w:szCs w:val="20"/>
        </w:rPr>
        <w:t>спільноти</w:t>
      </w:r>
      <w:r w:rsidRPr="000977F7">
        <w:rPr>
          <w:rFonts w:asciiTheme="majorHAnsi" w:hAnsiTheme="majorHAnsi"/>
          <w:spacing w:val="51"/>
          <w:sz w:val="20"/>
          <w:szCs w:val="20"/>
        </w:rPr>
        <w:t xml:space="preserve"> </w:t>
      </w:r>
      <w:r w:rsidRPr="000977F7">
        <w:rPr>
          <w:rFonts w:asciiTheme="majorHAnsi" w:hAnsiTheme="majorHAnsi"/>
          <w:sz w:val="20"/>
          <w:szCs w:val="20"/>
        </w:rPr>
        <w:t>екологічних</w:t>
      </w:r>
      <w:r w:rsidRPr="000977F7">
        <w:rPr>
          <w:rFonts w:asciiTheme="majorHAnsi" w:hAnsiTheme="majorHAnsi"/>
          <w:spacing w:val="-47"/>
          <w:sz w:val="20"/>
          <w:szCs w:val="20"/>
        </w:rPr>
        <w:t xml:space="preserve"> </w:t>
      </w:r>
      <w:r w:rsidRPr="000977F7">
        <w:rPr>
          <w:rFonts w:asciiTheme="majorHAnsi" w:hAnsiTheme="majorHAnsi"/>
          <w:sz w:val="20"/>
          <w:szCs w:val="20"/>
        </w:rPr>
        <w:t>ніш</w:t>
      </w:r>
      <w:r w:rsidRPr="000977F7">
        <w:rPr>
          <w:rFonts w:asciiTheme="majorHAnsi" w:hAnsiTheme="majorHAnsi"/>
          <w:spacing w:val="1"/>
          <w:sz w:val="20"/>
          <w:szCs w:val="20"/>
        </w:rPr>
        <w:t xml:space="preserve"> </w:t>
      </w:r>
      <w:r w:rsidRPr="000977F7">
        <w:rPr>
          <w:rFonts w:asciiTheme="majorHAnsi" w:hAnsiTheme="majorHAnsi"/>
          <w:sz w:val="20"/>
          <w:szCs w:val="20"/>
        </w:rPr>
        <w:t>різних</w:t>
      </w:r>
      <w:r w:rsidRPr="000977F7">
        <w:rPr>
          <w:rFonts w:asciiTheme="majorHAnsi" w:hAnsiTheme="majorHAnsi"/>
          <w:spacing w:val="1"/>
          <w:sz w:val="20"/>
          <w:szCs w:val="20"/>
        </w:rPr>
        <w:t xml:space="preserve"> </w:t>
      </w:r>
      <w:r w:rsidRPr="000977F7">
        <w:rPr>
          <w:rFonts w:asciiTheme="majorHAnsi" w:hAnsiTheme="majorHAnsi"/>
          <w:sz w:val="20"/>
          <w:szCs w:val="20"/>
        </w:rPr>
        <w:t>територіальних</w:t>
      </w:r>
      <w:r w:rsidRPr="000977F7">
        <w:rPr>
          <w:rFonts w:asciiTheme="majorHAnsi" w:hAnsiTheme="majorHAnsi"/>
          <w:spacing w:val="1"/>
          <w:sz w:val="20"/>
          <w:szCs w:val="20"/>
        </w:rPr>
        <w:t xml:space="preserve"> </w:t>
      </w:r>
      <w:r w:rsidRPr="000977F7">
        <w:rPr>
          <w:rFonts w:asciiTheme="majorHAnsi" w:hAnsiTheme="majorHAnsi"/>
          <w:sz w:val="20"/>
          <w:szCs w:val="20"/>
        </w:rPr>
        <w:t>рівнів,</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прямою</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47"/>
          <w:sz w:val="20"/>
          <w:szCs w:val="20"/>
        </w:rPr>
        <w:t xml:space="preserve"> </w:t>
      </w:r>
      <w:r w:rsidRPr="000977F7">
        <w:rPr>
          <w:rFonts w:asciiTheme="majorHAnsi" w:hAnsiTheme="majorHAnsi"/>
          <w:sz w:val="20"/>
          <w:szCs w:val="20"/>
        </w:rPr>
        <w:t>непрямою</w:t>
      </w:r>
      <w:r w:rsidRPr="000977F7">
        <w:rPr>
          <w:rFonts w:asciiTheme="majorHAnsi" w:hAnsiTheme="majorHAnsi"/>
          <w:spacing w:val="-1"/>
          <w:sz w:val="20"/>
          <w:szCs w:val="20"/>
        </w:rPr>
        <w:t xml:space="preserve"> </w:t>
      </w:r>
      <w:r w:rsidRPr="000977F7">
        <w:rPr>
          <w:rFonts w:asciiTheme="majorHAnsi" w:hAnsiTheme="majorHAnsi"/>
          <w:sz w:val="20"/>
          <w:szCs w:val="20"/>
        </w:rPr>
        <w:t>народногосподарською</w:t>
      </w:r>
      <w:r w:rsidRPr="000977F7">
        <w:rPr>
          <w:rFonts w:asciiTheme="majorHAnsi" w:hAnsiTheme="majorHAnsi"/>
          <w:spacing w:val="-1"/>
          <w:sz w:val="20"/>
          <w:szCs w:val="20"/>
        </w:rPr>
        <w:t xml:space="preserve"> </w:t>
      </w:r>
      <w:r w:rsidRPr="000977F7">
        <w:rPr>
          <w:rFonts w:asciiTheme="majorHAnsi" w:hAnsiTheme="majorHAnsi"/>
          <w:sz w:val="20"/>
          <w:szCs w:val="20"/>
        </w:rPr>
        <w:t>цінністю</w:t>
      </w:r>
    </w:p>
    <w:p w14:paraId="26C2FCC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2168D5B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ЕКОЛОГІЧНІСТЬ</w:t>
      </w:r>
      <w:r w:rsidRPr="000977F7">
        <w:rPr>
          <w:color w:val="auto"/>
          <w:spacing w:val="-5"/>
          <w:sz w:val="20"/>
          <w:szCs w:val="20"/>
        </w:rPr>
        <w:t xml:space="preserve"> </w:t>
      </w:r>
      <w:r w:rsidRPr="000977F7">
        <w:rPr>
          <w:color w:val="auto"/>
          <w:sz w:val="20"/>
          <w:szCs w:val="20"/>
        </w:rPr>
        <w:t>ПРОДУКЦІЇ</w:t>
      </w:r>
      <w:r w:rsidRPr="000977F7">
        <w:rPr>
          <w:color w:val="auto"/>
          <w:spacing w:val="-4"/>
          <w:sz w:val="20"/>
          <w:szCs w:val="20"/>
        </w:rPr>
        <w:t xml:space="preserve"> </w:t>
      </w:r>
      <w:r w:rsidRPr="000977F7">
        <w:rPr>
          <w:color w:val="auto"/>
          <w:sz w:val="20"/>
          <w:szCs w:val="20"/>
        </w:rPr>
        <w:t>–</w:t>
      </w:r>
    </w:p>
    <w:p w14:paraId="4DDB52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 конкретної продукції, яка виявляється в її</w:t>
      </w:r>
      <w:r w:rsidRPr="000977F7">
        <w:rPr>
          <w:rFonts w:asciiTheme="majorHAnsi" w:hAnsiTheme="majorHAnsi"/>
          <w:spacing w:val="-47"/>
          <w:sz w:val="20"/>
          <w:szCs w:val="20"/>
        </w:rPr>
        <w:t xml:space="preserve"> </w:t>
      </w:r>
      <w:r w:rsidRPr="000977F7">
        <w:rPr>
          <w:rFonts w:asciiTheme="majorHAnsi" w:hAnsiTheme="majorHAnsi"/>
          <w:sz w:val="20"/>
          <w:szCs w:val="20"/>
        </w:rPr>
        <w:t>впливі</w:t>
      </w:r>
      <w:r w:rsidRPr="000977F7">
        <w:rPr>
          <w:rFonts w:asciiTheme="majorHAnsi" w:hAnsiTheme="majorHAnsi"/>
          <w:spacing w:val="-3"/>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навколишнє</w:t>
      </w:r>
      <w:r w:rsidRPr="000977F7">
        <w:rPr>
          <w:rFonts w:asciiTheme="majorHAnsi" w:hAnsiTheme="majorHAnsi"/>
          <w:spacing w:val="-1"/>
          <w:sz w:val="20"/>
          <w:szCs w:val="20"/>
        </w:rPr>
        <w:t xml:space="preserve"> </w:t>
      </w:r>
      <w:r w:rsidRPr="000977F7">
        <w:rPr>
          <w:rFonts w:asciiTheme="majorHAnsi" w:hAnsiTheme="majorHAnsi"/>
          <w:sz w:val="20"/>
          <w:szCs w:val="20"/>
        </w:rPr>
        <w:t>природне</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w:t>
      </w:r>
    </w:p>
    <w:p w14:paraId="71E799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CFDBE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Екологічність продукції залежно від її виду характеризується поєднанням хімічного, фізичного та механічного впливу на</w:t>
      </w:r>
      <w:r w:rsidRPr="000977F7">
        <w:rPr>
          <w:rFonts w:asciiTheme="majorHAnsi" w:hAnsiTheme="majorHAnsi"/>
          <w:spacing w:val="50"/>
          <w:sz w:val="20"/>
          <w:szCs w:val="20"/>
        </w:rPr>
        <w:t xml:space="preserve"> </w:t>
      </w:r>
      <w:r w:rsidRPr="000977F7">
        <w:rPr>
          <w:rFonts w:asciiTheme="majorHAnsi" w:hAnsiTheme="majorHAnsi"/>
          <w:sz w:val="20"/>
          <w:szCs w:val="20"/>
        </w:rPr>
        <w:t>навколишнє природне середовище</w:t>
      </w:r>
      <w:r w:rsidRPr="000977F7">
        <w:rPr>
          <w:rFonts w:asciiTheme="majorHAnsi" w:hAnsiTheme="majorHAnsi"/>
          <w:spacing w:val="1"/>
          <w:sz w:val="20"/>
          <w:szCs w:val="20"/>
        </w:rPr>
        <w:t xml:space="preserve"> </w:t>
      </w:r>
      <w:r w:rsidRPr="000977F7">
        <w:rPr>
          <w:rFonts w:asciiTheme="majorHAnsi" w:hAnsiTheme="majorHAnsi"/>
          <w:sz w:val="20"/>
          <w:szCs w:val="20"/>
        </w:rPr>
        <w:t xml:space="preserve">у процесі експлуатації (споживання), </w:t>
      </w:r>
      <w:r w:rsidRPr="000977F7">
        <w:rPr>
          <w:rFonts w:asciiTheme="majorHAnsi" w:hAnsiTheme="majorHAnsi"/>
          <w:sz w:val="20"/>
          <w:szCs w:val="20"/>
        </w:rPr>
        <w:lastRenderedPageBreak/>
        <w:t>зберігання і транспортування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що виготовляється</w:t>
      </w:r>
    </w:p>
    <w:p w14:paraId="0D89098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D3F649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ЕКОЛОГО-ЕКОНОМІЧНІ ЗБИТКИ ВІД ЗАБРУДНЕННЯ</w:t>
      </w:r>
      <w:r w:rsidRPr="000977F7">
        <w:rPr>
          <w:color w:val="auto"/>
          <w:spacing w:val="-4"/>
          <w:sz w:val="20"/>
          <w:szCs w:val="20"/>
        </w:rPr>
        <w:t xml:space="preserve"> </w:t>
      </w:r>
      <w:r w:rsidRPr="000977F7">
        <w:rPr>
          <w:color w:val="auto"/>
          <w:sz w:val="20"/>
          <w:szCs w:val="20"/>
        </w:rPr>
        <w:t>НАВКОЛИШНЬОГО</w:t>
      </w:r>
      <w:r w:rsidRPr="000977F7">
        <w:rPr>
          <w:color w:val="auto"/>
          <w:spacing w:val="1"/>
          <w:sz w:val="20"/>
          <w:szCs w:val="20"/>
        </w:rPr>
        <w:t xml:space="preserve"> </w:t>
      </w:r>
      <w:r w:rsidRPr="000977F7">
        <w:rPr>
          <w:color w:val="auto"/>
          <w:sz w:val="20"/>
          <w:szCs w:val="20"/>
        </w:rPr>
        <w:t>СЕРЕДОВИЩА</w:t>
      </w:r>
      <w:r w:rsidRPr="000977F7">
        <w:rPr>
          <w:color w:val="auto"/>
          <w:spacing w:val="-3"/>
          <w:sz w:val="20"/>
          <w:szCs w:val="20"/>
        </w:rPr>
        <w:t xml:space="preserve"> </w:t>
      </w:r>
      <w:r w:rsidRPr="000977F7">
        <w:rPr>
          <w:color w:val="auto"/>
          <w:sz w:val="20"/>
          <w:szCs w:val="20"/>
        </w:rPr>
        <w:t>–</w:t>
      </w:r>
    </w:p>
    <w:p w14:paraId="6403124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Збитки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народного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господарства,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зумовлені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забрудненням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навколишнього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середовища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зменшенням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природних і промислових ресурсів зони впливу промислового підприємства, в тому числі зниження екологічної місткості, порушення екологічної рівноваги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погіршення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життєдіяльності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населення</w:t>
      </w:r>
    </w:p>
    <w:p w14:paraId="64E11FA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2B895A0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ЕКОЛОГІЧНА</w:t>
      </w:r>
      <w:r w:rsidRPr="000977F7">
        <w:rPr>
          <w:color w:val="auto"/>
          <w:spacing w:val="-4"/>
          <w:sz w:val="20"/>
          <w:szCs w:val="20"/>
        </w:rPr>
        <w:t xml:space="preserve"> </w:t>
      </w:r>
      <w:r w:rsidRPr="000977F7">
        <w:rPr>
          <w:color w:val="auto"/>
          <w:sz w:val="20"/>
          <w:szCs w:val="20"/>
        </w:rPr>
        <w:t>БЕЗПЕКА –</w:t>
      </w:r>
    </w:p>
    <w:p w14:paraId="4F4EEBF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Екологічна</w:t>
      </w:r>
      <w:r w:rsidRPr="000977F7">
        <w:rPr>
          <w:rFonts w:asciiTheme="majorHAnsi" w:hAnsiTheme="majorHAnsi"/>
          <w:spacing w:val="1"/>
          <w:sz w:val="20"/>
          <w:szCs w:val="20"/>
        </w:rPr>
        <w:t xml:space="preserve"> </w:t>
      </w:r>
      <w:r w:rsidRPr="000977F7">
        <w:rPr>
          <w:rFonts w:asciiTheme="majorHAnsi" w:hAnsiTheme="majorHAnsi"/>
          <w:sz w:val="20"/>
          <w:szCs w:val="20"/>
        </w:rPr>
        <w:t>безпека</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такий</w:t>
      </w:r>
      <w:r w:rsidRPr="000977F7">
        <w:rPr>
          <w:rFonts w:asciiTheme="majorHAnsi" w:hAnsiTheme="majorHAnsi"/>
          <w:spacing w:val="1"/>
          <w:sz w:val="20"/>
          <w:szCs w:val="20"/>
        </w:rPr>
        <w:t xml:space="preserve"> </w:t>
      </w:r>
      <w:r w:rsidRPr="000977F7">
        <w:rPr>
          <w:rFonts w:asciiTheme="majorHAnsi" w:hAnsiTheme="majorHAnsi"/>
          <w:sz w:val="20"/>
          <w:szCs w:val="20"/>
        </w:rPr>
        <w:t>стан</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якому</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забезпечується</w:t>
      </w:r>
      <w:r w:rsidRPr="000977F7">
        <w:rPr>
          <w:rFonts w:asciiTheme="majorHAnsi" w:hAnsiTheme="majorHAnsi"/>
          <w:spacing w:val="1"/>
          <w:sz w:val="20"/>
          <w:szCs w:val="20"/>
        </w:rPr>
        <w:t xml:space="preserve"> </w:t>
      </w:r>
      <w:r w:rsidRPr="000977F7">
        <w:rPr>
          <w:rFonts w:asciiTheme="majorHAnsi" w:hAnsiTheme="majorHAnsi"/>
          <w:sz w:val="20"/>
          <w:szCs w:val="20"/>
        </w:rPr>
        <w:t>попередження погіршення екологічної обстановки та</w:t>
      </w:r>
      <w:r w:rsidRPr="000977F7">
        <w:rPr>
          <w:rFonts w:asciiTheme="majorHAnsi" w:hAnsiTheme="majorHAnsi"/>
          <w:spacing w:val="1"/>
          <w:sz w:val="20"/>
          <w:szCs w:val="20"/>
        </w:rPr>
        <w:t xml:space="preserve"> </w:t>
      </w:r>
      <w:r w:rsidRPr="000977F7">
        <w:rPr>
          <w:rFonts w:asciiTheme="majorHAnsi" w:hAnsiTheme="majorHAnsi"/>
          <w:sz w:val="20"/>
          <w:szCs w:val="20"/>
        </w:rPr>
        <w:t>виникнення</w:t>
      </w:r>
      <w:r w:rsidRPr="000977F7">
        <w:rPr>
          <w:rFonts w:asciiTheme="majorHAnsi" w:hAnsiTheme="majorHAnsi"/>
          <w:spacing w:val="-2"/>
          <w:sz w:val="20"/>
          <w:szCs w:val="20"/>
        </w:rPr>
        <w:t xml:space="preserve"> </w:t>
      </w:r>
      <w:r w:rsidRPr="000977F7">
        <w:rPr>
          <w:rFonts w:asciiTheme="majorHAnsi" w:hAnsiTheme="majorHAnsi"/>
          <w:sz w:val="20"/>
          <w:szCs w:val="20"/>
        </w:rPr>
        <w:t>небезпеки</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здоров'я</w:t>
      </w:r>
      <w:r w:rsidRPr="000977F7">
        <w:rPr>
          <w:rFonts w:asciiTheme="majorHAnsi" w:hAnsiTheme="majorHAnsi"/>
          <w:spacing w:val="1"/>
          <w:sz w:val="20"/>
          <w:szCs w:val="20"/>
        </w:rPr>
        <w:t xml:space="preserve"> </w:t>
      </w:r>
      <w:r w:rsidRPr="000977F7">
        <w:rPr>
          <w:rFonts w:asciiTheme="majorHAnsi" w:hAnsiTheme="majorHAnsi"/>
          <w:sz w:val="20"/>
          <w:szCs w:val="20"/>
        </w:rPr>
        <w:t>людей.</w:t>
      </w:r>
    </w:p>
    <w:p w14:paraId="21BF82D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Екологічна безпека гарантується громадянам України здійсненням широкого комплексу взаємопов'язаних політичних, економічних, технічних, організаційних,</w:t>
      </w:r>
      <w:r w:rsidRPr="000977F7">
        <w:rPr>
          <w:rFonts w:asciiTheme="majorHAnsi" w:hAnsiTheme="majorHAnsi"/>
          <w:spacing w:val="-1"/>
          <w:sz w:val="20"/>
          <w:szCs w:val="20"/>
        </w:rPr>
        <w:t xml:space="preserve"> </w:t>
      </w:r>
      <w:r w:rsidRPr="000977F7">
        <w:rPr>
          <w:rFonts w:asciiTheme="majorHAnsi" w:hAnsiTheme="majorHAnsi"/>
          <w:sz w:val="20"/>
          <w:szCs w:val="20"/>
        </w:rPr>
        <w:t>державно</w:t>
      </w:r>
      <w:r w:rsidRPr="000977F7">
        <w:rPr>
          <w:rFonts w:asciiTheme="majorHAnsi" w:hAnsiTheme="majorHAnsi"/>
          <w:spacing w:val="1"/>
          <w:sz w:val="20"/>
          <w:szCs w:val="20"/>
        </w:rPr>
        <w:t xml:space="preserve"> </w:t>
      </w:r>
      <w:r w:rsidRPr="000977F7">
        <w:rPr>
          <w:rFonts w:asciiTheme="majorHAnsi" w:hAnsiTheme="majorHAnsi"/>
          <w:sz w:val="20"/>
          <w:szCs w:val="20"/>
        </w:rPr>
        <w:t>правових</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2"/>
          <w:sz w:val="20"/>
          <w:szCs w:val="20"/>
        </w:rPr>
        <w:t xml:space="preserve"> </w:t>
      </w:r>
      <w:r w:rsidRPr="000977F7">
        <w:rPr>
          <w:rFonts w:asciiTheme="majorHAnsi" w:hAnsiTheme="majorHAnsi"/>
          <w:sz w:val="20"/>
          <w:szCs w:val="20"/>
        </w:rPr>
        <w:t>заходів</w:t>
      </w:r>
    </w:p>
    <w:p w14:paraId="4B0BC56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w w:val="95"/>
          <w:sz w:val="20"/>
          <w:szCs w:val="20"/>
        </w:rPr>
        <w:t>Закон України "Про охорону навколишнього природ</w:t>
      </w:r>
      <w:r w:rsidRPr="000977F7">
        <w:rPr>
          <w:rFonts w:asciiTheme="majorHAnsi" w:hAnsiTheme="majorHAnsi"/>
          <w:i/>
          <w:sz w:val="20"/>
          <w:szCs w:val="20"/>
        </w:rPr>
        <w:t>ного</w:t>
      </w:r>
      <w:r w:rsidRPr="000977F7">
        <w:rPr>
          <w:rFonts w:asciiTheme="majorHAnsi" w:hAnsiTheme="majorHAnsi"/>
          <w:i/>
          <w:spacing w:val="1"/>
          <w:sz w:val="20"/>
          <w:szCs w:val="20"/>
        </w:rPr>
        <w:t xml:space="preserve"> </w:t>
      </w:r>
      <w:r w:rsidRPr="000977F7">
        <w:rPr>
          <w:rFonts w:asciiTheme="majorHAnsi" w:hAnsiTheme="majorHAnsi"/>
          <w:i/>
          <w:sz w:val="20"/>
          <w:szCs w:val="20"/>
        </w:rPr>
        <w:t>середовища"</w:t>
      </w:r>
    </w:p>
    <w:p w14:paraId="1DA0E2F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ЕКОЛОГІЧНИЙ</w:t>
      </w:r>
      <w:r w:rsidRPr="000977F7">
        <w:rPr>
          <w:color w:val="auto"/>
          <w:spacing w:val="-5"/>
          <w:sz w:val="20"/>
          <w:szCs w:val="20"/>
        </w:rPr>
        <w:t xml:space="preserve"> </w:t>
      </w:r>
      <w:r w:rsidRPr="000977F7">
        <w:rPr>
          <w:color w:val="auto"/>
          <w:sz w:val="20"/>
          <w:szCs w:val="20"/>
        </w:rPr>
        <w:t>КРИТЕРІЙ</w:t>
      </w:r>
      <w:r w:rsidRPr="000977F7">
        <w:rPr>
          <w:color w:val="auto"/>
          <w:spacing w:val="-2"/>
          <w:sz w:val="20"/>
          <w:szCs w:val="20"/>
        </w:rPr>
        <w:t xml:space="preserve"> </w:t>
      </w:r>
      <w:r w:rsidRPr="000977F7">
        <w:rPr>
          <w:color w:val="auto"/>
          <w:sz w:val="20"/>
          <w:szCs w:val="20"/>
        </w:rPr>
        <w:t>БЕЗПЕКИ</w:t>
      </w:r>
      <w:r w:rsidRPr="000977F7">
        <w:rPr>
          <w:color w:val="auto"/>
          <w:spacing w:val="-5"/>
          <w:sz w:val="20"/>
          <w:szCs w:val="20"/>
        </w:rPr>
        <w:t xml:space="preserve"> </w:t>
      </w:r>
      <w:r w:rsidRPr="000977F7">
        <w:rPr>
          <w:color w:val="auto"/>
          <w:sz w:val="20"/>
          <w:szCs w:val="20"/>
        </w:rPr>
        <w:t>—</w:t>
      </w:r>
    </w:p>
    <w:p w14:paraId="402F58A6"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Сукупність</w:t>
      </w:r>
      <w:r w:rsidRPr="000977F7">
        <w:rPr>
          <w:rFonts w:asciiTheme="majorHAnsi" w:hAnsiTheme="majorHAnsi"/>
          <w:spacing w:val="9"/>
          <w:sz w:val="20"/>
          <w:szCs w:val="20"/>
        </w:rPr>
        <w:t xml:space="preserve"> </w:t>
      </w:r>
      <w:r w:rsidRPr="000977F7">
        <w:rPr>
          <w:rFonts w:asciiTheme="majorHAnsi" w:hAnsiTheme="majorHAnsi"/>
          <w:sz w:val="20"/>
          <w:szCs w:val="20"/>
        </w:rPr>
        <w:t>ознак,</w:t>
      </w:r>
      <w:r w:rsidRPr="000977F7">
        <w:rPr>
          <w:rFonts w:asciiTheme="majorHAnsi" w:hAnsiTheme="majorHAnsi"/>
          <w:spacing w:val="9"/>
          <w:sz w:val="20"/>
          <w:szCs w:val="20"/>
        </w:rPr>
        <w:t xml:space="preserve"> </w:t>
      </w:r>
      <w:r w:rsidRPr="000977F7">
        <w:rPr>
          <w:rFonts w:asciiTheme="majorHAnsi" w:hAnsiTheme="majorHAnsi"/>
          <w:sz w:val="20"/>
          <w:szCs w:val="20"/>
        </w:rPr>
        <w:t>на</w:t>
      </w:r>
      <w:r w:rsidRPr="000977F7">
        <w:rPr>
          <w:rFonts w:asciiTheme="majorHAnsi" w:hAnsiTheme="majorHAnsi"/>
          <w:spacing w:val="9"/>
          <w:sz w:val="20"/>
          <w:szCs w:val="20"/>
        </w:rPr>
        <w:t xml:space="preserve"> </w:t>
      </w:r>
      <w:r w:rsidRPr="000977F7">
        <w:rPr>
          <w:rFonts w:asciiTheme="majorHAnsi" w:hAnsiTheme="majorHAnsi"/>
          <w:sz w:val="20"/>
          <w:szCs w:val="20"/>
        </w:rPr>
        <w:t>основі</w:t>
      </w:r>
      <w:r w:rsidRPr="000977F7">
        <w:rPr>
          <w:rFonts w:asciiTheme="majorHAnsi" w:hAnsiTheme="majorHAnsi"/>
          <w:spacing w:val="11"/>
          <w:sz w:val="20"/>
          <w:szCs w:val="20"/>
        </w:rPr>
        <w:t xml:space="preserve"> </w:t>
      </w:r>
      <w:r w:rsidRPr="000977F7">
        <w:rPr>
          <w:rFonts w:asciiTheme="majorHAnsi" w:hAnsiTheme="majorHAnsi"/>
          <w:sz w:val="20"/>
          <w:szCs w:val="20"/>
        </w:rPr>
        <w:t>яких</w:t>
      </w:r>
      <w:r w:rsidRPr="000977F7">
        <w:rPr>
          <w:rFonts w:asciiTheme="majorHAnsi" w:hAnsiTheme="majorHAnsi"/>
          <w:spacing w:val="7"/>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8"/>
          <w:sz w:val="20"/>
          <w:szCs w:val="20"/>
        </w:rPr>
        <w:t xml:space="preserve"> </w:t>
      </w:r>
      <w:r w:rsidRPr="000977F7">
        <w:rPr>
          <w:rFonts w:asciiTheme="majorHAnsi" w:hAnsiTheme="majorHAnsi"/>
          <w:sz w:val="20"/>
          <w:szCs w:val="20"/>
        </w:rPr>
        <w:t>класифікація та типологія екологічної безпеки підприємств</w:t>
      </w:r>
      <w:r w:rsidRPr="000977F7">
        <w:rPr>
          <w:rFonts w:asciiTheme="majorHAnsi" w:hAnsiTheme="majorHAnsi"/>
          <w:spacing w:val="1"/>
          <w:sz w:val="20"/>
          <w:szCs w:val="20"/>
        </w:rPr>
        <w:t xml:space="preserve"> </w:t>
      </w:r>
    </w:p>
    <w:p w14:paraId="7368A002"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2156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0FCF666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ЕКОЛОГІЧНИЙ</w:t>
      </w:r>
      <w:r w:rsidRPr="000977F7">
        <w:rPr>
          <w:color w:val="auto"/>
          <w:spacing w:val="1"/>
          <w:sz w:val="20"/>
          <w:szCs w:val="20"/>
        </w:rPr>
        <w:t xml:space="preserve"> </w:t>
      </w:r>
      <w:r w:rsidRPr="000977F7">
        <w:rPr>
          <w:color w:val="auto"/>
          <w:sz w:val="20"/>
          <w:szCs w:val="20"/>
        </w:rPr>
        <w:t>ПАСПОРТ</w:t>
      </w:r>
      <w:r w:rsidRPr="000977F7">
        <w:rPr>
          <w:color w:val="auto"/>
          <w:spacing w:val="1"/>
          <w:sz w:val="20"/>
          <w:szCs w:val="20"/>
        </w:rPr>
        <w:t xml:space="preserve"> </w:t>
      </w:r>
      <w:r w:rsidRPr="000977F7">
        <w:rPr>
          <w:color w:val="auto"/>
          <w:sz w:val="20"/>
          <w:szCs w:val="20"/>
        </w:rPr>
        <w:t>ПРОМИСЛОВОГО</w:t>
      </w:r>
      <w:r w:rsidRPr="000977F7">
        <w:rPr>
          <w:color w:val="auto"/>
          <w:spacing w:val="-47"/>
          <w:sz w:val="20"/>
          <w:szCs w:val="20"/>
        </w:rPr>
        <w:t xml:space="preserve"> </w:t>
      </w:r>
      <w:r w:rsidRPr="000977F7">
        <w:rPr>
          <w:color w:val="auto"/>
          <w:sz w:val="20"/>
          <w:szCs w:val="20"/>
        </w:rPr>
        <w:t>ПІДПРИЄМСТВА –</w:t>
      </w:r>
    </w:p>
    <w:p w14:paraId="2298A36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Нормативно-технічний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містить</w:t>
      </w:r>
      <w:r w:rsidRPr="000977F7">
        <w:rPr>
          <w:rFonts w:asciiTheme="majorHAnsi" w:hAnsiTheme="majorHAnsi"/>
          <w:spacing w:val="1"/>
          <w:sz w:val="20"/>
          <w:szCs w:val="20"/>
        </w:rPr>
        <w:t xml:space="preserve"> </w:t>
      </w:r>
      <w:r w:rsidRPr="000977F7">
        <w:rPr>
          <w:rFonts w:asciiTheme="majorHAnsi" w:hAnsiTheme="majorHAnsi"/>
          <w:sz w:val="20"/>
          <w:szCs w:val="20"/>
        </w:rPr>
        <w:t>дані</w:t>
      </w:r>
      <w:r w:rsidRPr="000977F7">
        <w:rPr>
          <w:rFonts w:asciiTheme="majorHAnsi" w:hAnsiTheme="majorHAnsi"/>
          <w:spacing w:val="-47"/>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підприємством</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r w:rsidRPr="000977F7">
        <w:rPr>
          <w:rFonts w:asciiTheme="majorHAnsi" w:hAnsiTheme="majorHAnsi"/>
          <w:spacing w:val="1"/>
          <w:sz w:val="20"/>
          <w:szCs w:val="20"/>
        </w:rPr>
        <w:t xml:space="preserve"> </w:t>
      </w:r>
      <w:r w:rsidRPr="000977F7">
        <w:rPr>
          <w:rFonts w:asciiTheme="majorHAnsi" w:hAnsiTheme="majorHAnsi"/>
          <w:sz w:val="20"/>
          <w:szCs w:val="20"/>
        </w:rPr>
        <w:t>(природних, вторинних та ін.) і визначення впливу його 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навколишнє</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w:t>
      </w:r>
    </w:p>
    <w:p w14:paraId="54C0CD4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038F0A9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ЕКОЛОГІЧНИЙ</w:t>
      </w:r>
      <w:r w:rsidRPr="000977F7">
        <w:rPr>
          <w:color w:val="auto"/>
          <w:spacing w:val="-5"/>
          <w:sz w:val="20"/>
          <w:szCs w:val="20"/>
        </w:rPr>
        <w:t xml:space="preserve"> </w:t>
      </w:r>
      <w:r w:rsidRPr="000977F7">
        <w:rPr>
          <w:color w:val="auto"/>
          <w:sz w:val="20"/>
          <w:szCs w:val="20"/>
        </w:rPr>
        <w:t>ПОКАЗНИК</w:t>
      </w:r>
      <w:r w:rsidRPr="000977F7">
        <w:rPr>
          <w:color w:val="auto"/>
          <w:spacing w:val="-3"/>
          <w:sz w:val="20"/>
          <w:szCs w:val="20"/>
        </w:rPr>
        <w:t xml:space="preserve"> </w:t>
      </w:r>
      <w:r w:rsidRPr="000977F7">
        <w:rPr>
          <w:color w:val="auto"/>
          <w:sz w:val="20"/>
          <w:szCs w:val="20"/>
        </w:rPr>
        <w:t>БЕЗПЕКИ</w:t>
      </w:r>
      <w:r w:rsidRPr="000977F7">
        <w:rPr>
          <w:color w:val="auto"/>
          <w:spacing w:val="-5"/>
          <w:sz w:val="20"/>
          <w:szCs w:val="20"/>
        </w:rPr>
        <w:t xml:space="preserve"> </w:t>
      </w:r>
      <w:r w:rsidRPr="000977F7">
        <w:rPr>
          <w:color w:val="auto"/>
          <w:sz w:val="20"/>
          <w:szCs w:val="20"/>
        </w:rPr>
        <w:t>—</w:t>
      </w:r>
    </w:p>
    <w:p w14:paraId="2196CDE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Кількісна характеристика одного чи декількох аспектів безпеки, що відображає вплив промислового 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навколишнє середовище</w:t>
      </w:r>
    </w:p>
    <w:p w14:paraId="3165D87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2B2EBE0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ЕКОЛОГІЧНИЙ</w:t>
      </w:r>
      <w:r w:rsidRPr="000977F7">
        <w:rPr>
          <w:color w:val="auto"/>
          <w:spacing w:val="-4"/>
          <w:sz w:val="20"/>
          <w:szCs w:val="20"/>
        </w:rPr>
        <w:t xml:space="preserve"> </w:t>
      </w:r>
      <w:r w:rsidRPr="000977F7">
        <w:rPr>
          <w:color w:val="auto"/>
          <w:sz w:val="20"/>
          <w:szCs w:val="20"/>
        </w:rPr>
        <w:t>РИЗИК</w:t>
      </w:r>
      <w:r w:rsidRPr="000977F7">
        <w:rPr>
          <w:color w:val="auto"/>
          <w:spacing w:val="-2"/>
          <w:sz w:val="20"/>
          <w:szCs w:val="20"/>
        </w:rPr>
        <w:t xml:space="preserve"> </w:t>
      </w:r>
      <w:r w:rsidRPr="000977F7">
        <w:rPr>
          <w:color w:val="auto"/>
          <w:sz w:val="20"/>
          <w:szCs w:val="20"/>
        </w:rPr>
        <w:t>–</w:t>
      </w:r>
    </w:p>
    <w:p w14:paraId="3B3DCA9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Імовірність негативних наслідків від сукупності шкідливих впливів на навколишнє середовище, які спричиняють</w:t>
      </w:r>
      <w:r w:rsidRPr="000977F7">
        <w:rPr>
          <w:rFonts w:asciiTheme="majorHAnsi" w:hAnsiTheme="majorHAnsi"/>
          <w:spacing w:val="1"/>
          <w:sz w:val="20"/>
          <w:szCs w:val="20"/>
        </w:rPr>
        <w:t xml:space="preserve"> </w:t>
      </w:r>
      <w:r w:rsidRPr="000977F7">
        <w:rPr>
          <w:rFonts w:asciiTheme="majorHAnsi" w:hAnsiTheme="majorHAnsi"/>
          <w:sz w:val="20"/>
          <w:szCs w:val="20"/>
        </w:rPr>
        <w:t>незворотну</w:t>
      </w:r>
      <w:r w:rsidRPr="000977F7">
        <w:rPr>
          <w:rFonts w:asciiTheme="majorHAnsi" w:hAnsiTheme="majorHAnsi"/>
          <w:spacing w:val="-2"/>
          <w:sz w:val="20"/>
          <w:szCs w:val="20"/>
        </w:rPr>
        <w:t xml:space="preserve"> </w:t>
      </w:r>
      <w:r w:rsidRPr="000977F7">
        <w:rPr>
          <w:rFonts w:asciiTheme="majorHAnsi" w:hAnsiTheme="majorHAnsi"/>
          <w:sz w:val="20"/>
          <w:szCs w:val="20"/>
        </w:rPr>
        <w:t>деградацію</w:t>
      </w:r>
      <w:r w:rsidRPr="000977F7">
        <w:rPr>
          <w:rFonts w:asciiTheme="majorHAnsi" w:hAnsiTheme="majorHAnsi"/>
          <w:spacing w:val="-2"/>
          <w:sz w:val="20"/>
          <w:szCs w:val="20"/>
        </w:rPr>
        <w:t xml:space="preserve"> </w:t>
      </w:r>
      <w:r w:rsidRPr="000977F7">
        <w:rPr>
          <w:rFonts w:asciiTheme="majorHAnsi" w:hAnsiTheme="majorHAnsi"/>
          <w:sz w:val="20"/>
          <w:szCs w:val="20"/>
        </w:rPr>
        <w:t>екосистем</w:t>
      </w:r>
    </w:p>
    <w:p w14:paraId="4C92FDB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3E1B578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ЕКОЛОГІЧНІ</w:t>
      </w:r>
      <w:r w:rsidRPr="000977F7">
        <w:rPr>
          <w:color w:val="auto"/>
          <w:spacing w:val="-5"/>
          <w:sz w:val="20"/>
          <w:szCs w:val="20"/>
        </w:rPr>
        <w:t xml:space="preserve"> </w:t>
      </w:r>
      <w:r w:rsidRPr="000977F7">
        <w:rPr>
          <w:color w:val="auto"/>
          <w:sz w:val="20"/>
          <w:szCs w:val="20"/>
        </w:rPr>
        <w:t>НОРМАТИВИ</w:t>
      </w:r>
      <w:r w:rsidRPr="000977F7">
        <w:rPr>
          <w:color w:val="auto"/>
          <w:spacing w:val="-1"/>
          <w:sz w:val="20"/>
          <w:szCs w:val="20"/>
        </w:rPr>
        <w:t xml:space="preserve"> </w:t>
      </w:r>
      <w:r w:rsidRPr="000977F7">
        <w:rPr>
          <w:color w:val="auto"/>
          <w:sz w:val="20"/>
          <w:szCs w:val="20"/>
        </w:rPr>
        <w:t>–</w:t>
      </w:r>
    </w:p>
    <w:p w14:paraId="39F9A2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Екологічні нормативи встановлюють гранично допустимі викиди та скиди у навколишнє природне середовище забруднюючих хімічних речовин, рівні допустимого шкідливого впливу на нього фізичних та</w:t>
      </w:r>
      <w:r w:rsidRPr="000977F7">
        <w:rPr>
          <w:rFonts w:asciiTheme="majorHAnsi" w:hAnsiTheme="majorHAnsi"/>
          <w:spacing w:val="1"/>
          <w:sz w:val="20"/>
          <w:szCs w:val="20"/>
        </w:rPr>
        <w:t xml:space="preserve"> </w:t>
      </w:r>
      <w:r w:rsidRPr="000977F7">
        <w:rPr>
          <w:rFonts w:asciiTheme="majorHAnsi" w:hAnsiTheme="majorHAnsi"/>
          <w:sz w:val="20"/>
          <w:szCs w:val="20"/>
        </w:rPr>
        <w:t>біологічних</w:t>
      </w:r>
      <w:r w:rsidRPr="000977F7">
        <w:rPr>
          <w:rFonts w:asciiTheme="majorHAnsi" w:hAnsiTheme="majorHAnsi"/>
          <w:spacing w:val="-2"/>
          <w:sz w:val="20"/>
          <w:szCs w:val="20"/>
        </w:rPr>
        <w:t xml:space="preserve"> </w:t>
      </w:r>
      <w:r w:rsidRPr="000977F7">
        <w:rPr>
          <w:rFonts w:asciiTheme="majorHAnsi" w:hAnsiTheme="majorHAnsi"/>
          <w:sz w:val="20"/>
          <w:szCs w:val="20"/>
        </w:rPr>
        <w:t>факторів.</w:t>
      </w:r>
    </w:p>
    <w:p w14:paraId="38EBF9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Законодавством України можуть встановлюватися</w:t>
      </w:r>
      <w:r w:rsidRPr="000977F7">
        <w:rPr>
          <w:rFonts w:asciiTheme="majorHAnsi" w:hAnsiTheme="majorHAnsi"/>
          <w:spacing w:val="1"/>
          <w:sz w:val="20"/>
          <w:szCs w:val="20"/>
        </w:rPr>
        <w:t xml:space="preserve"> </w:t>
      </w:r>
      <w:r w:rsidRPr="000977F7">
        <w:rPr>
          <w:rFonts w:asciiTheme="majorHAnsi" w:hAnsiTheme="majorHAnsi"/>
          <w:sz w:val="20"/>
          <w:szCs w:val="20"/>
        </w:rPr>
        <w:t>нормативи використання природних ресурсів та інші</w:t>
      </w:r>
      <w:r w:rsidRPr="000977F7">
        <w:rPr>
          <w:rFonts w:asciiTheme="majorHAnsi" w:hAnsiTheme="majorHAnsi"/>
          <w:spacing w:val="1"/>
          <w:sz w:val="20"/>
          <w:szCs w:val="20"/>
        </w:rPr>
        <w:t xml:space="preserve"> </w:t>
      </w:r>
      <w:r w:rsidRPr="000977F7">
        <w:rPr>
          <w:rFonts w:asciiTheme="majorHAnsi" w:hAnsiTheme="majorHAnsi"/>
          <w:sz w:val="20"/>
          <w:szCs w:val="20"/>
        </w:rPr>
        <w:t>екологічні</w:t>
      </w:r>
      <w:r w:rsidRPr="000977F7">
        <w:rPr>
          <w:rFonts w:asciiTheme="majorHAnsi" w:hAnsiTheme="majorHAnsi"/>
          <w:spacing w:val="1"/>
          <w:sz w:val="20"/>
          <w:szCs w:val="20"/>
        </w:rPr>
        <w:t xml:space="preserve"> </w:t>
      </w:r>
      <w:r w:rsidRPr="000977F7">
        <w:rPr>
          <w:rFonts w:asciiTheme="majorHAnsi" w:hAnsiTheme="majorHAnsi"/>
          <w:sz w:val="20"/>
          <w:szCs w:val="20"/>
        </w:rPr>
        <w:t>нормативи.</w:t>
      </w:r>
    </w:p>
    <w:p w14:paraId="4FC1F03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Екологічні нормативи повинні встановлюватися з</w:t>
      </w:r>
      <w:r w:rsidRPr="000977F7">
        <w:rPr>
          <w:rFonts w:asciiTheme="majorHAnsi" w:hAnsiTheme="majorHAnsi"/>
          <w:spacing w:val="1"/>
          <w:sz w:val="20"/>
          <w:szCs w:val="20"/>
        </w:rPr>
        <w:t xml:space="preserve"> </w:t>
      </w:r>
      <w:r w:rsidRPr="000977F7">
        <w:rPr>
          <w:rFonts w:asciiTheme="majorHAnsi" w:hAnsiTheme="majorHAnsi"/>
          <w:sz w:val="20"/>
          <w:szCs w:val="20"/>
        </w:rPr>
        <w:t>урахуванням вимог санітарно-гігієнічних та санітарно-протиепідемічних правил і норм, гігієнічних нормативів.</w:t>
      </w:r>
    </w:p>
    <w:p w14:paraId="5E2A07E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Нормативи</w:t>
      </w:r>
      <w:r w:rsidRPr="000977F7">
        <w:rPr>
          <w:rFonts w:asciiTheme="majorHAnsi" w:hAnsiTheme="majorHAnsi"/>
          <w:spacing w:val="1"/>
          <w:sz w:val="20"/>
          <w:szCs w:val="20"/>
        </w:rPr>
        <w:t xml:space="preserve"> </w:t>
      </w:r>
      <w:r w:rsidRPr="000977F7">
        <w:rPr>
          <w:rFonts w:asciiTheme="majorHAnsi" w:hAnsiTheme="majorHAnsi"/>
          <w:sz w:val="20"/>
          <w:szCs w:val="20"/>
        </w:rPr>
        <w:t>гранично</w:t>
      </w:r>
      <w:r w:rsidRPr="000977F7">
        <w:rPr>
          <w:rFonts w:asciiTheme="majorHAnsi" w:hAnsiTheme="majorHAnsi"/>
          <w:spacing w:val="1"/>
          <w:sz w:val="20"/>
          <w:szCs w:val="20"/>
        </w:rPr>
        <w:t xml:space="preserve"> </w:t>
      </w:r>
      <w:r w:rsidRPr="000977F7">
        <w:rPr>
          <w:rFonts w:asciiTheme="majorHAnsi" w:hAnsiTheme="majorHAnsi"/>
          <w:sz w:val="20"/>
          <w:szCs w:val="20"/>
        </w:rPr>
        <w:t>допустимих</w:t>
      </w:r>
      <w:r w:rsidRPr="000977F7">
        <w:rPr>
          <w:rFonts w:asciiTheme="majorHAnsi" w:hAnsiTheme="majorHAnsi"/>
          <w:spacing w:val="1"/>
          <w:sz w:val="20"/>
          <w:szCs w:val="20"/>
        </w:rPr>
        <w:t xml:space="preserve"> </w:t>
      </w:r>
      <w:r w:rsidRPr="000977F7">
        <w:rPr>
          <w:rFonts w:asciiTheme="majorHAnsi" w:hAnsiTheme="majorHAnsi"/>
          <w:sz w:val="20"/>
          <w:szCs w:val="20"/>
        </w:rPr>
        <w:t>концентрацій</w:t>
      </w:r>
      <w:r w:rsidRPr="000977F7">
        <w:rPr>
          <w:rFonts w:asciiTheme="majorHAnsi" w:hAnsiTheme="majorHAnsi"/>
          <w:spacing w:val="1"/>
          <w:sz w:val="20"/>
          <w:szCs w:val="20"/>
        </w:rPr>
        <w:t xml:space="preserve"> </w:t>
      </w:r>
      <w:r w:rsidRPr="000977F7">
        <w:rPr>
          <w:rFonts w:asciiTheme="majorHAnsi" w:hAnsiTheme="majorHAnsi"/>
          <w:sz w:val="20"/>
          <w:szCs w:val="20"/>
        </w:rPr>
        <w:t xml:space="preserve">забруднюючих речовин у навколишньому </w:t>
      </w:r>
      <w:r w:rsidRPr="000977F7">
        <w:rPr>
          <w:rFonts w:asciiTheme="majorHAnsi" w:hAnsiTheme="majorHAnsi"/>
          <w:sz w:val="20"/>
          <w:szCs w:val="20"/>
        </w:rPr>
        <w:t>природному</w:t>
      </w:r>
      <w:r w:rsidRPr="000977F7">
        <w:rPr>
          <w:rFonts w:asciiTheme="majorHAnsi" w:hAnsiTheme="majorHAnsi"/>
          <w:spacing w:val="32"/>
          <w:sz w:val="20"/>
          <w:szCs w:val="20"/>
        </w:rPr>
        <w:t xml:space="preserve"> </w:t>
      </w:r>
      <w:r w:rsidRPr="000977F7">
        <w:rPr>
          <w:rFonts w:asciiTheme="majorHAnsi" w:hAnsiTheme="majorHAnsi"/>
          <w:sz w:val="20"/>
          <w:szCs w:val="20"/>
        </w:rPr>
        <w:t>середовищі</w:t>
      </w:r>
      <w:r w:rsidRPr="000977F7">
        <w:rPr>
          <w:rFonts w:asciiTheme="majorHAnsi" w:hAnsiTheme="majorHAnsi"/>
          <w:spacing w:val="34"/>
          <w:sz w:val="20"/>
          <w:szCs w:val="20"/>
        </w:rPr>
        <w:t xml:space="preserve"> </w:t>
      </w:r>
      <w:r w:rsidRPr="000977F7">
        <w:rPr>
          <w:rFonts w:asciiTheme="majorHAnsi" w:hAnsiTheme="majorHAnsi"/>
          <w:sz w:val="20"/>
          <w:szCs w:val="20"/>
        </w:rPr>
        <w:t>та</w:t>
      </w:r>
      <w:r w:rsidRPr="000977F7">
        <w:rPr>
          <w:rFonts w:asciiTheme="majorHAnsi" w:hAnsiTheme="majorHAnsi"/>
          <w:spacing w:val="36"/>
          <w:sz w:val="20"/>
          <w:szCs w:val="20"/>
        </w:rPr>
        <w:t xml:space="preserve"> </w:t>
      </w:r>
      <w:r w:rsidRPr="000977F7">
        <w:rPr>
          <w:rFonts w:asciiTheme="majorHAnsi" w:hAnsiTheme="majorHAnsi"/>
          <w:sz w:val="20"/>
          <w:szCs w:val="20"/>
        </w:rPr>
        <w:t>рівні</w:t>
      </w:r>
      <w:r w:rsidRPr="000977F7">
        <w:rPr>
          <w:rFonts w:asciiTheme="majorHAnsi" w:hAnsiTheme="majorHAnsi"/>
          <w:spacing w:val="35"/>
          <w:sz w:val="20"/>
          <w:szCs w:val="20"/>
        </w:rPr>
        <w:t xml:space="preserve"> </w:t>
      </w:r>
      <w:r w:rsidRPr="000977F7">
        <w:rPr>
          <w:rFonts w:asciiTheme="majorHAnsi" w:hAnsiTheme="majorHAnsi"/>
          <w:sz w:val="20"/>
          <w:szCs w:val="20"/>
        </w:rPr>
        <w:t>шкідливих</w:t>
      </w:r>
      <w:r w:rsidRPr="000977F7">
        <w:rPr>
          <w:rFonts w:asciiTheme="majorHAnsi" w:hAnsiTheme="majorHAnsi"/>
          <w:spacing w:val="34"/>
          <w:sz w:val="20"/>
          <w:szCs w:val="20"/>
        </w:rPr>
        <w:t xml:space="preserve"> </w:t>
      </w:r>
      <w:r w:rsidRPr="000977F7">
        <w:rPr>
          <w:rFonts w:asciiTheme="majorHAnsi" w:hAnsiTheme="majorHAnsi"/>
          <w:sz w:val="20"/>
          <w:szCs w:val="20"/>
        </w:rPr>
        <w:t>фізичних</w:t>
      </w:r>
      <w:r w:rsidRPr="000977F7">
        <w:rPr>
          <w:rFonts w:asciiTheme="majorHAnsi" w:hAnsiTheme="majorHAnsi"/>
          <w:spacing w:val="36"/>
          <w:sz w:val="20"/>
          <w:szCs w:val="20"/>
        </w:rPr>
        <w:t xml:space="preserve"> </w:t>
      </w:r>
      <w:r w:rsidRPr="000977F7">
        <w:rPr>
          <w:rFonts w:asciiTheme="majorHAnsi" w:hAnsiTheme="majorHAnsi"/>
          <w:sz w:val="20"/>
          <w:szCs w:val="20"/>
        </w:rPr>
        <w:t>впливів</w:t>
      </w:r>
      <w:r w:rsidRPr="000977F7">
        <w:rPr>
          <w:rFonts w:asciiTheme="majorHAnsi" w:hAnsiTheme="majorHAnsi"/>
          <w:spacing w:val="-48"/>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нього є</w:t>
      </w:r>
      <w:r w:rsidRPr="000977F7">
        <w:rPr>
          <w:rFonts w:asciiTheme="majorHAnsi" w:hAnsiTheme="majorHAnsi"/>
          <w:spacing w:val="-2"/>
          <w:sz w:val="20"/>
          <w:szCs w:val="20"/>
        </w:rPr>
        <w:t xml:space="preserve"> </w:t>
      </w:r>
      <w:r w:rsidRPr="000977F7">
        <w:rPr>
          <w:rFonts w:asciiTheme="majorHAnsi" w:hAnsiTheme="majorHAnsi"/>
          <w:sz w:val="20"/>
          <w:szCs w:val="20"/>
        </w:rPr>
        <w:t>єдиними для всієї</w:t>
      </w:r>
      <w:r w:rsidRPr="000977F7">
        <w:rPr>
          <w:rFonts w:asciiTheme="majorHAnsi" w:hAnsiTheme="majorHAnsi"/>
          <w:spacing w:val="1"/>
          <w:sz w:val="20"/>
          <w:szCs w:val="20"/>
        </w:rPr>
        <w:t xml:space="preserve"> </w:t>
      </w:r>
      <w:r w:rsidRPr="000977F7">
        <w:rPr>
          <w:rFonts w:asciiTheme="majorHAnsi" w:hAnsiTheme="majorHAnsi"/>
          <w:sz w:val="20"/>
          <w:szCs w:val="20"/>
        </w:rPr>
        <w:t>території</w:t>
      </w:r>
      <w:r w:rsidRPr="000977F7">
        <w:rPr>
          <w:rFonts w:asciiTheme="majorHAnsi" w:hAnsiTheme="majorHAnsi"/>
          <w:spacing w:val="-3"/>
          <w:sz w:val="20"/>
          <w:szCs w:val="20"/>
        </w:rPr>
        <w:t xml:space="preserve"> </w:t>
      </w:r>
      <w:r w:rsidRPr="000977F7">
        <w:rPr>
          <w:rFonts w:asciiTheme="majorHAnsi" w:hAnsiTheme="majorHAnsi"/>
          <w:sz w:val="20"/>
          <w:szCs w:val="20"/>
        </w:rPr>
        <w:t>України.</w:t>
      </w:r>
    </w:p>
    <w:p w14:paraId="0D7F495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разі</w:t>
      </w:r>
      <w:r w:rsidRPr="000977F7">
        <w:rPr>
          <w:rFonts w:asciiTheme="majorHAnsi" w:hAnsiTheme="majorHAnsi"/>
          <w:spacing w:val="1"/>
          <w:sz w:val="20"/>
          <w:szCs w:val="20"/>
        </w:rPr>
        <w:t xml:space="preserve"> </w:t>
      </w:r>
      <w:r w:rsidRPr="000977F7">
        <w:rPr>
          <w:rFonts w:asciiTheme="majorHAnsi" w:hAnsiTheme="majorHAnsi"/>
          <w:sz w:val="20"/>
          <w:szCs w:val="20"/>
        </w:rPr>
        <w:t>необхідності</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курортних,</w:t>
      </w:r>
      <w:r w:rsidRPr="000977F7">
        <w:rPr>
          <w:rFonts w:asciiTheme="majorHAnsi" w:hAnsiTheme="majorHAnsi"/>
          <w:spacing w:val="1"/>
          <w:sz w:val="20"/>
          <w:szCs w:val="20"/>
        </w:rPr>
        <w:t xml:space="preserve"> </w:t>
      </w:r>
      <w:r w:rsidRPr="000977F7">
        <w:rPr>
          <w:rFonts w:asciiTheme="majorHAnsi" w:hAnsiTheme="majorHAnsi"/>
          <w:sz w:val="20"/>
          <w:szCs w:val="20"/>
        </w:rPr>
        <w:t>лікувально-оздоровчих, рекреаційних та інших окремих районів</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встановлюватися</w:t>
      </w:r>
      <w:r w:rsidRPr="000977F7">
        <w:rPr>
          <w:rFonts w:asciiTheme="majorHAnsi" w:hAnsiTheme="majorHAnsi"/>
          <w:spacing w:val="1"/>
          <w:sz w:val="20"/>
          <w:szCs w:val="20"/>
        </w:rPr>
        <w:t xml:space="preserve"> </w:t>
      </w:r>
      <w:r w:rsidRPr="000977F7">
        <w:rPr>
          <w:rFonts w:asciiTheme="majorHAnsi" w:hAnsiTheme="majorHAnsi"/>
          <w:sz w:val="20"/>
          <w:szCs w:val="20"/>
        </w:rPr>
        <w:t>більш</w:t>
      </w:r>
      <w:r w:rsidRPr="000977F7">
        <w:rPr>
          <w:rFonts w:asciiTheme="majorHAnsi" w:hAnsiTheme="majorHAnsi"/>
          <w:spacing w:val="1"/>
          <w:sz w:val="20"/>
          <w:szCs w:val="20"/>
        </w:rPr>
        <w:t xml:space="preserve"> </w:t>
      </w:r>
      <w:r w:rsidRPr="000977F7">
        <w:rPr>
          <w:rFonts w:asciiTheme="majorHAnsi" w:hAnsiTheme="majorHAnsi"/>
          <w:sz w:val="20"/>
          <w:szCs w:val="20"/>
        </w:rPr>
        <w:t>суворі</w:t>
      </w:r>
      <w:r w:rsidRPr="000977F7">
        <w:rPr>
          <w:rFonts w:asciiTheme="majorHAnsi" w:hAnsiTheme="majorHAnsi"/>
          <w:spacing w:val="1"/>
          <w:sz w:val="20"/>
          <w:szCs w:val="20"/>
        </w:rPr>
        <w:t xml:space="preserve"> </w:t>
      </w:r>
      <w:r w:rsidRPr="000977F7">
        <w:rPr>
          <w:rFonts w:asciiTheme="majorHAnsi" w:hAnsiTheme="majorHAnsi"/>
          <w:sz w:val="20"/>
          <w:szCs w:val="20"/>
        </w:rPr>
        <w:t>нормативи</w:t>
      </w:r>
      <w:r w:rsidRPr="000977F7">
        <w:rPr>
          <w:rFonts w:asciiTheme="majorHAnsi" w:hAnsiTheme="majorHAnsi"/>
          <w:spacing w:val="1"/>
          <w:sz w:val="20"/>
          <w:szCs w:val="20"/>
        </w:rPr>
        <w:t xml:space="preserve"> </w:t>
      </w:r>
      <w:r w:rsidRPr="000977F7">
        <w:rPr>
          <w:rFonts w:asciiTheme="majorHAnsi" w:hAnsiTheme="majorHAnsi"/>
          <w:sz w:val="20"/>
          <w:szCs w:val="20"/>
        </w:rPr>
        <w:t>гранично</w:t>
      </w:r>
      <w:r w:rsidRPr="000977F7">
        <w:rPr>
          <w:rFonts w:asciiTheme="majorHAnsi" w:hAnsiTheme="majorHAnsi"/>
          <w:spacing w:val="1"/>
          <w:sz w:val="20"/>
          <w:szCs w:val="20"/>
        </w:rPr>
        <w:t xml:space="preserve"> </w:t>
      </w:r>
      <w:r w:rsidRPr="000977F7">
        <w:rPr>
          <w:rFonts w:asciiTheme="majorHAnsi" w:hAnsiTheme="majorHAnsi"/>
          <w:sz w:val="20"/>
          <w:szCs w:val="20"/>
        </w:rPr>
        <w:t>допустимих</w:t>
      </w:r>
      <w:r w:rsidRPr="000977F7">
        <w:rPr>
          <w:rFonts w:asciiTheme="majorHAnsi" w:hAnsiTheme="majorHAnsi"/>
          <w:spacing w:val="1"/>
          <w:sz w:val="20"/>
          <w:szCs w:val="20"/>
        </w:rPr>
        <w:t xml:space="preserve"> </w:t>
      </w:r>
      <w:r w:rsidRPr="000977F7">
        <w:rPr>
          <w:rFonts w:asciiTheme="majorHAnsi" w:hAnsiTheme="majorHAnsi"/>
          <w:sz w:val="20"/>
          <w:szCs w:val="20"/>
        </w:rPr>
        <w:t>концентрацій</w:t>
      </w:r>
      <w:r w:rsidRPr="000977F7">
        <w:rPr>
          <w:rFonts w:asciiTheme="majorHAnsi" w:hAnsiTheme="majorHAnsi"/>
          <w:spacing w:val="1"/>
          <w:sz w:val="20"/>
          <w:szCs w:val="20"/>
        </w:rPr>
        <w:t xml:space="preserve"> </w:t>
      </w:r>
      <w:r w:rsidRPr="000977F7">
        <w:rPr>
          <w:rFonts w:asciiTheme="majorHAnsi" w:hAnsiTheme="majorHAnsi"/>
          <w:sz w:val="20"/>
          <w:szCs w:val="20"/>
        </w:rPr>
        <w:t>забруднюючих</w:t>
      </w:r>
      <w:r w:rsidRPr="000977F7">
        <w:rPr>
          <w:rFonts w:asciiTheme="majorHAnsi" w:hAnsiTheme="majorHAnsi"/>
          <w:spacing w:val="1"/>
          <w:sz w:val="20"/>
          <w:szCs w:val="20"/>
        </w:rPr>
        <w:t xml:space="preserve"> </w:t>
      </w:r>
      <w:r w:rsidRPr="000977F7">
        <w:rPr>
          <w:rFonts w:asciiTheme="majorHAnsi" w:hAnsiTheme="majorHAnsi"/>
          <w:sz w:val="20"/>
          <w:szCs w:val="20"/>
        </w:rPr>
        <w:t>речовин та інших шкідливих впливів на навколишнє</w:t>
      </w:r>
      <w:r w:rsidRPr="000977F7">
        <w:rPr>
          <w:rFonts w:asciiTheme="majorHAnsi" w:hAnsiTheme="majorHAnsi"/>
          <w:spacing w:val="1"/>
          <w:sz w:val="20"/>
          <w:szCs w:val="20"/>
        </w:rPr>
        <w:t xml:space="preserve"> </w:t>
      </w:r>
      <w:r w:rsidRPr="000977F7">
        <w:rPr>
          <w:rFonts w:asciiTheme="majorHAnsi" w:hAnsiTheme="majorHAnsi"/>
          <w:sz w:val="20"/>
          <w:szCs w:val="20"/>
        </w:rPr>
        <w:t>природне</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 Екологічні нормативи розробляються і вводяться в</w:t>
      </w:r>
      <w:r w:rsidRPr="000977F7">
        <w:rPr>
          <w:rFonts w:asciiTheme="majorHAnsi" w:hAnsiTheme="majorHAnsi"/>
          <w:spacing w:val="1"/>
          <w:sz w:val="20"/>
          <w:szCs w:val="20"/>
        </w:rPr>
        <w:t xml:space="preserve"> </w:t>
      </w:r>
      <w:r w:rsidRPr="000977F7">
        <w:rPr>
          <w:rFonts w:asciiTheme="majorHAnsi" w:hAnsiTheme="majorHAnsi"/>
          <w:sz w:val="20"/>
          <w:szCs w:val="20"/>
        </w:rPr>
        <w:t>дію спеціально уповноваженим центральним органом</w:t>
      </w:r>
      <w:r w:rsidRPr="000977F7">
        <w:rPr>
          <w:rFonts w:asciiTheme="majorHAnsi" w:hAnsiTheme="majorHAnsi"/>
          <w:spacing w:val="1"/>
          <w:sz w:val="20"/>
          <w:szCs w:val="20"/>
        </w:rPr>
        <w:t xml:space="preserve"> </w:t>
      </w:r>
      <w:r w:rsidRPr="000977F7">
        <w:rPr>
          <w:rFonts w:asciiTheme="majorHAnsi" w:hAnsiTheme="majorHAnsi"/>
          <w:sz w:val="20"/>
          <w:szCs w:val="20"/>
        </w:rPr>
        <w:t>виконавчої влади з питань екології та природних ресурсів та іншими уповноваженими на те державними</w:t>
      </w:r>
      <w:r w:rsidRPr="000977F7">
        <w:rPr>
          <w:rFonts w:asciiTheme="majorHAnsi" w:hAnsiTheme="majorHAnsi"/>
          <w:spacing w:val="1"/>
          <w:sz w:val="20"/>
          <w:szCs w:val="20"/>
        </w:rPr>
        <w:t xml:space="preserve"> </w:t>
      </w:r>
      <w:r w:rsidRPr="000977F7">
        <w:rPr>
          <w:rFonts w:asciiTheme="majorHAnsi" w:hAnsiTheme="majorHAnsi"/>
          <w:sz w:val="20"/>
          <w:szCs w:val="20"/>
        </w:rPr>
        <w:t>органами</w:t>
      </w:r>
      <w:r w:rsidRPr="000977F7">
        <w:rPr>
          <w:rFonts w:asciiTheme="majorHAnsi" w:hAnsiTheme="majorHAnsi"/>
          <w:spacing w:val="46"/>
          <w:sz w:val="20"/>
          <w:szCs w:val="20"/>
        </w:rPr>
        <w:t xml:space="preserve"> </w:t>
      </w:r>
      <w:r w:rsidRPr="000977F7">
        <w:rPr>
          <w:rFonts w:asciiTheme="majorHAnsi" w:hAnsiTheme="majorHAnsi"/>
          <w:sz w:val="20"/>
          <w:szCs w:val="20"/>
        </w:rPr>
        <w:t>відповідно до</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законодавства</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p>
    <w:p w14:paraId="672E8A6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w w:val="95"/>
          <w:sz w:val="20"/>
          <w:szCs w:val="20"/>
        </w:rPr>
        <w:t>Ст. 33 закону України "Про охорону навколишнього природ</w:t>
      </w:r>
      <w:r w:rsidRPr="000977F7">
        <w:rPr>
          <w:rFonts w:asciiTheme="majorHAnsi" w:hAnsiTheme="majorHAnsi"/>
          <w:i/>
          <w:sz w:val="20"/>
          <w:szCs w:val="20"/>
        </w:rPr>
        <w:t>ного</w:t>
      </w:r>
      <w:r w:rsidRPr="000977F7">
        <w:rPr>
          <w:rFonts w:asciiTheme="majorHAnsi" w:hAnsiTheme="majorHAnsi"/>
          <w:i/>
          <w:spacing w:val="1"/>
          <w:sz w:val="20"/>
          <w:szCs w:val="20"/>
        </w:rPr>
        <w:t xml:space="preserve"> </w:t>
      </w:r>
      <w:r w:rsidRPr="000977F7">
        <w:rPr>
          <w:rFonts w:asciiTheme="majorHAnsi" w:hAnsiTheme="majorHAnsi"/>
          <w:i/>
          <w:sz w:val="20"/>
          <w:szCs w:val="20"/>
        </w:rPr>
        <w:t>середовища"</w:t>
      </w:r>
    </w:p>
    <w:p w14:paraId="7F80FA9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ЕКОЛОГІЧНІ</w:t>
      </w:r>
      <w:r w:rsidRPr="000977F7">
        <w:rPr>
          <w:color w:val="auto"/>
          <w:spacing w:val="-5"/>
          <w:sz w:val="20"/>
          <w:szCs w:val="20"/>
        </w:rPr>
        <w:t xml:space="preserve"> </w:t>
      </w:r>
      <w:r w:rsidRPr="000977F7">
        <w:rPr>
          <w:color w:val="auto"/>
          <w:sz w:val="20"/>
          <w:szCs w:val="20"/>
        </w:rPr>
        <w:t>СТАНДАРТИ</w:t>
      </w:r>
      <w:r w:rsidRPr="000977F7">
        <w:rPr>
          <w:color w:val="auto"/>
          <w:spacing w:val="-1"/>
          <w:sz w:val="20"/>
          <w:szCs w:val="20"/>
        </w:rPr>
        <w:t xml:space="preserve"> </w:t>
      </w:r>
      <w:r w:rsidRPr="000977F7">
        <w:rPr>
          <w:color w:val="auto"/>
          <w:sz w:val="20"/>
          <w:szCs w:val="20"/>
        </w:rPr>
        <w:t>–</w:t>
      </w:r>
    </w:p>
    <w:p w14:paraId="121A7D4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Державні</w:t>
      </w:r>
      <w:r w:rsidRPr="000977F7">
        <w:rPr>
          <w:rFonts w:asciiTheme="majorHAnsi" w:hAnsiTheme="majorHAnsi"/>
          <w:spacing w:val="-7"/>
          <w:sz w:val="20"/>
          <w:szCs w:val="20"/>
        </w:rPr>
        <w:t xml:space="preserve"> </w:t>
      </w:r>
      <w:r w:rsidRPr="000977F7">
        <w:rPr>
          <w:rFonts w:asciiTheme="majorHAnsi" w:hAnsiTheme="majorHAnsi"/>
          <w:sz w:val="20"/>
          <w:szCs w:val="20"/>
        </w:rPr>
        <w:t>стандарти</w:t>
      </w:r>
      <w:r w:rsidRPr="000977F7">
        <w:rPr>
          <w:rFonts w:asciiTheme="majorHAnsi" w:hAnsiTheme="majorHAnsi"/>
          <w:spacing w:val="-4"/>
          <w:sz w:val="20"/>
          <w:szCs w:val="20"/>
        </w:rPr>
        <w:t xml:space="preserve"> </w:t>
      </w:r>
      <w:r w:rsidRPr="000977F7">
        <w:rPr>
          <w:rFonts w:asciiTheme="majorHAnsi" w:hAnsiTheme="majorHAnsi"/>
          <w:sz w:val="20"/>
          <w:szCs w:val="20"/>
        </w:rPr>
        <w:t>в</w:t>
      </w:r>
      <w:r w:rsidRPr="000977F7">
        <w:rPr>
          <w:rFonts w:asciiTheme="majorHAnsi" w:hAnsiTheme="majorHAnsi"/>
          <w:spacing w:val="-6"/>
          <w:sz w:val="20"/>
          <w:szCs w:val="20"/>
        </w:rPr>
        <w:t xml:space="preserve"> </w:t>
      </w:r>
      <w:r w:rsidRPr="000977F7">
        <w:rPr>
          <w:rFonts w:asciiTheme="majorHAnsi" w:hAnsiTheme="majorHAnsi"/>
          <w:sz w:val="20"/>
          <w:szCs w:val="20"/>
        </w:rPr>
        <w:t>галузі</w:t>
      </w:r>
      <w:r w:rsidRPr="000977F7">
        <w:rPr>
          <w:rFonts w:asciiTheme="majorHAnsi" w:hAnsiTheme="majorHAnsi"/>
          <w:spacing w:val="-7"/>
          <w:sz w:val="20"/>
          <w:szCs w:val="20"/>
        </w:rPr>
        <w:t xml:space="preserve"> </w:t>
      </w:r>
      <w:r w:rsidRPr="000977F7">
        <w:rPr>
          <w:rFonts w:asciiTheme="majorHAnsi" w:hAnsiTheme="majorHAnsi"/>
          <w:sz w:val="20"/>
          <w:szCs w:val="20"/>
        </w:rPr>
        <w:t>охорони</w:t>
      </w:r>
      <w:r w:rsidRPr="000977F7">
        <w:rPr>
          <w:rFonts w:asciiTheme="majorHAnsi" w:hAnsiTheme="majorHAnsi"/>
          <w:spacing w:val="-4"/>
          <w:sz w:val="20"/>
          <w:szCs w:val="20"/>
        </w:rPr>
        <w:t xml:space="preserve"> </w:t>
      </w:r>
      <w:r w:rsidRPr="000977F7">
        <w:rPr>
          <w:rFonts w:asciiTheme="majorHAnsi" w:hAnsiTheme="majorHAnsi"/>
          <w:sz w:val="20"/>
          <w:szCs w:val="20"/>
        </w:rPr>
        <w:t>навколишнього природного середовища є обов'язковими для виконання і визначають поняття і терміни, режим викорис</w:t>
      </w:r>
      <w:r w:rsidRPr="000977F7">
        <w:rPr>
          <w:rFonts w:asciiTheme="majorHAnsi" w:hAnsiTheme="majorHAnsi"/>
          <w:spacing w:val="-1"/>
          <w:sz w:val="20"/>
          <w:szCs w:val="20"/>
        </w:rPr>
        <w:t>тання</w:t>
      </w:r>
      <w:r w:rsidRPr="000977F7">
        <w:rPr>
          <w:rFonts w:asciiTheme="majorHAnsi" w:hAnsiTheme="majorHAnsi"/>
          <w:spacing w:val="-9"/>
          <w:sz w:val="20"/>
          <w:szCs w:val="20"/>
        </w:rPr>
        <w:t xml:space="preserve"> </w:t>
      </w:r>
      <w:r w:rsidRPr="000977F7">
        <w:rPr>
          <w:rFonts w:asciiTheme="majorHAnsi" w:hAnsiTheme="majorHAnsi"/>
          <w:spacing w:val="-1"/>
          <w:sz w:val="20"/>
          <w:szCs w:val="20"/>
        </w:rPr>
        <w:t>й</w:t>
      </w:r>
      <w:r w:rsidRPr="000977F7">
        <w:rPr>
          <w:rFonts w:asciiTheme="majorHAnsi" w:hAnsiTheme="majorHAnsi"/>
          <w:spacing w:val="-12"/>
          <w:sz w:val="20"/>
          <w:szCs w:val="20"/>
        </w:rPr>
        <w:t xml:space="preserve"> </w:t>
      </w:r>
      <w:r w:rsidRPr="000977F7">
        <w:rPr>
          <w:rFonts w:asciiTheme="majorHAnsi" w:hAnsiTheme="majorHAnsi"/>
          <w:spacing w:val="-1"/>
          <w:sz w:val="20"/>
          <w:szCs w:val="20"/>
        </w:rPr>
        <w:t>охорони</w:t>
      </w:r>
      <w:r w:rsidRPr="000977F7">
        <w:rPr>
          <w:rFonts w:asciiTheme="majorHAnsi" w:hAnsiTheme="majorHAnsi"/>
          <w:spacing w:val="-9"/>
          <w:sz w:val="20"/>
          <w:szCs w:val="20"/>
        </w:rPr>
        <w:t xml:space="preserve"> </w:t>
      </w:r>
      <w:r w:rsidRPr="000977F7">
        <w:rPr>
          <w:rFonts w:asciiTheme="majorHAnsi" w:hAnsiTheme="majorHAnsi"/>
          <w:spacing w:val="-1"/>
          <w:sz w:val="20"/>
          <w:szCs w:val="20"/>
        </w:rPr>
        <w:t>природних</w:t>
      </w:r>
      <w:r w:rsidRPr="000977F7">
        <w:rPr>
          <w:rFonts w:asciiTheme="majorHAnsi" w:hAnsiTheme="majorHAnsi"/>
          <w:spacing w:val="-10"/>
          <w:sz w:val="20"/>
          <w:szCs w:val="20"/>
        </w:rPr>
        <w:t xml:space="preserve"> </w:t>
      </w:r>
      <w:r w:rsidRPr="000977F7">
        <w:rPr>
          <w:rFonts w:asciiTheme="majorHAnsi" w:hAnsiTheme="majorHAnsi"/>
          <w:sz w:val="20"/>
          <w:szCs w:val="20"/>
        </w:rPr>
        <w:t>ресурсів,</w:t>
      </w:r>
      <w:r w:rsidRPr="000977F7">
        <w:rPr>
          <w:rFonts w:asciiTheme="majorHAnsi" w:hAnsiTheme="majorHAnsi"/>
          <w:spacing w:val="-10"/>
          <w:sz w:val="20"/>
          <w:szCs w:val="20"/>
        </w:rPr>
        <w:t xml:space="preserve"> </w:t>
      </w:r>
      <w:r w:rsidRPr="000977F7">
        <w:rPr>
          <w:rFonts w:asciiTheme="majorHAnsi" w:hAnsiTheme="majorHAnsi"/>
          <w:sz w:val="20"/>
          <w:szCs w:val="20"/>
        </w:rPr>
        <w:t>методи</w:t>
      </w:r>
      <w:r w:rsidRPr="000977F7">
        <w:rPr>
          <w:rFonts w:asciiTheme="majorHAnsi" w:hAnsiTheme="majorHAnsi"/>
          <w:spacing w:val="-12"/>
          <w:sz w:val="20"/>
          <w:szCs w:val="20"/>
        </w:rPr>
        <w:t xml:space="preserve"> </w:t>
      </w:r>
      <w:r w:rsidRPr="000977F7">
        <w:rPr>
          <w:rFonts w:asciiTheme="majorHAnsi" w:hAnsiTheme="majorHAnsi"/>
          <w:sz w:val="20"/>
          <w:szCs w:val="20"/>
        </w:rPr>
        <w:t>контролю</w:t>
      </w:r>
      <w:r w:rsidRPr="000977F7">
        <w:rPr>
          <w:rFonts w:asciiTheme="majorHAnsi" w:hAnsiTheme="majorHAnsi"/>
          <w:spacing w:val="-48"/>
          <w:sz w:val="20"/>
          <w:szCs w:val="20"/>
        </w:rPr>
        <w:t xml:space="preserve"> </w:t>
      </w:r>
      <w:r w:rsidRPr="000977F7">
        <w:rPr>
          <w:rFonts w:asciiTheme="majorHAnsi" w:hAnsiTheme="majorHAnsi"/>
          <w:sz w:val="20"/>
          <w:szCs w:val="20"/>
        </w:rPr>
        <w:t>за станом навколишнього природного середовища, вимоги щодо запобігання забрудненню 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3"/>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4"/>
          <w:sz w:val="20"/>
          <w:szCs w:val="20"/>
        </w:rPr>
        <w:t xml:space="preserve"> </w:t>
      </w:r>
      <w:r w:rsidRPr="000977F7">
        <w:rPr>
          <w:rFonts w:asciiTheme="majorHAnsi" w:hAnsiTheme="majorHAnsi"/>
          <w:sz w:val="20"/>
          <w:szCs w:val="20"/>
        </w:rPr>
        <w:t>інші</w:t>
      </w:r>
      <w:r w:rsidRPr="000977F7">
        <w:rPr>
          <w:rFonts w:asciiTheme="majorHAnsi" w:hAnsiTheme="majorHAnsi"/>
          <w:spacing w:val="-4"/>
          <w:sz w:val="20"/>
          <w:szCs w:val="20"/>
        </w:rPr>
        <w:t xml:space="preserve"> </w:t>
      </w:r>
      <w:r w:rsidRPr="000977F7">
        <w:rPr>
          <w:rFonts w:asciiTheme="majorHAnsi" w:hAnsiTheme="majorHAnsi"/>
          <w:sz w:val="20"/>
          <w:szCs w:val="20"/>
        </w:rPr>
        <w:t>питання,</w:t>
      </w:r>
      <w:r w:rsidRPr="000977F7">
        <w:rPr>
          <w:rFonts w:asciiTheme="majorHAnsi" w:hAnsiTheme="majorHAnsi"/>
          <w:spacing w:val="-4"/>
          <w:sz w:val="20"/>
          <w:szCs w:val="20"/>
        </w:rPr>
        <w:t xml:space="preserve"> </w:t>
      </w:r>
      <w:r w:rsidRPr="000977F7">
        <w:rPr>
          <w:rFonts w:asciiTheme="majorHAnsi" w:hAnsiTheme="majorHAnsi"/>
          <w:sz w:val="20"/>
          <w:szCs w:val="20"/>
        </w:rPr>
        <w:t>пов'язані</w:t>
      </w:r>
      <w:r w:rsidRPr="000977F7">
        <w:rPr>
          <w:rFonts w:asciiTheme="majorHAnsi" w:hAnsiTheme="majorHAnsi"/>
          <w:spacing w:val="-4"/>
          <w:sz w:val="20"/>
          <w:szCs w:val="20"/>
        </w:rPr>
        <w:t xml:space="preserve"> </w:t>
      </w:r>
      <w:r w:rsidRPr="000977F7">
        <w:rPr>
          <w:rFonts w:asciiTheme="majorHAnsi" w:hAnsiTheme="majorHAnsi"/>
          <w:sz w:val="20"/>
          <w:szCs w:val="20"/>
        </w:rPr>
        <w:t>з</w:t>
      </w:r>
      <w:r w:rsidRPr="000977F7">
        <w:rPr>
          <w:rFonts w:asciiTheme="majorHAnsi" w:hAnsiTheme="majorHAnsi"/>
          <w:spacing w:val="-4"/>
          <w:sz w:val="20"/>
          <w:szCs w:val="20"/>
        </w:rPr>
        <w:t xml:space="preserve"> </w:t>
      </w:r>
      <w:r w:rsidRPr="000977F7">
        <w:rPr>
          <w:rFonts w:asciiTheme="majorHAnsi" w:hAnsiTheme="majorHAnsi"/>
          <w:sz w:val="20"/>
          <w:szCs w:val="20"/>
        </w:rPr>
        <w:t>охороною навколишнього природного середовища та використанням природних ресурсів. Екологічні стандарти</w:t>
      </w:r>
      <w:r w:rsidRPr="000977F7">
        <w:rPr>
          <w:rFonts w:asciiTheme="majorHAnsi" w:hAnsiTheme="majorHAnsi"/>
          <w:spacing w:val="-10"/>
          <w:sz w:val="20"/>
          <w:szCs w:val="20"/>
        </w:rPr>
        <w:t xml:space="preserve"> </w:t>
      </w:r>
      <w:r w:rsidRPr="000977F7">
        <w:rPr>
          <w:rFonts w:asciiTheme="majorHAnsi" w:hAnsiTheme="majorHAnsi"/>
          <w:sz w:val="20"/>
          <w:szCs w:val="20"/>
        </w:rPr>
        <w:t>розробляються</w:t>
      </w:r>
      <w:r w:rsidRPr="000977F7">
        <w:rPr>
          <w:rFonts w:asciiTheme="majorHAnsi" w:hAnsiTheme="majorHAnsi"/>
          <w:spacing w:val="-8"/>
          <w:sz w:val="20"/>
          <w:szCs w:val="20"/>
        </w:rPr>
        <w:t xml:space="preserve"> </w:t>
      </w:r>
      <w:r w:rsidRPr="000977F7">
        <w:rPr>
          <w:rFonts w:asciiTheme="majorHAnsi" w:hAnsiTheme="majorHAnsi"/>
          <w:sz w:val="20"/>
          <w:szCs w:val="20"/>
        </w:rPr>
        <w:t>і</w:t>
      </w:r>
      <w:r w:rsidRPr="000977F7">
        <w:rPr>
          <w:rFonts w:asciiTheme="majorHAnsi" w:hAnsiTheme="majorHAnsi"/>
          <w:spacing w:val="-9"/>
          <w:sz w:val="20"/>
          <w:szCs w:val="20"/>
        </w:rPr>
        <w:t xml:space="preserve"> </w:t>
      </w:r>
      <w:r w:rsidRPr="000977F7">
        <w:rPr>
          <w:rFonts w:asciiTheme="majorHAnsi" w:hAnsiTheme="majorHAnsi"/>
          <w:sz w:val="20"/>
          <w:szCs w:val="20"/>
        </w:rPr>
        <w:t>вводяться</w:t>
      </w:r>
      <w:r w:rsidRPr="000977F7">
        <w:rPr>
          <w:rFonts w:asciiTheme="majorHAnsi" w:hAnsiTheme="majorHAnsi"/>
          <w:spacing w:val="-9"/>
          <w:sz w:val="20"/>
          <w:szCs w:val="20"/>
        </w:rPr>
        <w:t xml:space="preserve"> </w:t>
      </w:r>
      <w:r w:rsidRPr="000977F7">
        <w:rPr>
          <w:rFonts w:asciiTheme="majorHAnsi" w:hAnsiTheme="majorHAnsi"/>
          <w:sz w:val="20"/>
          <w:szCs w:val="20"/>
        </w:rPr>
        <w:t>в</w:t>
      </w:r>
      <w:r w:rsidRPr="000977F7">
        <w:rPr>
          <w:rFonts w:asciiTheme="majorHAnsi" w:hAnsiTheme="majorHAnsi"/>
          <w:spacing w:val="-9"/>
          <w:sz w:val="20"/>
          <w:szCs w:val="20"/>
        </w:rPr>
        <w:t xml:space="preserve"> </w:t>
      </w:r>
      <w:r w:rsidRPr="000977F7">
        <w:rPr>
          <w:rFonts w:asciiTheme="majorHAnsi" w:hAnsiTheme="majorHAnsi"/>
          <w:sz w:val="20"/>
          <w:szCs w:val="20"/>
        </w:rPr>
        <w:t>дію</w:t>
      </w:r>
      <w:r w:rsidRPr="000977F7">
        <w:rPr>
          <w:rFonts w:asciiTheme="majorHAnsi" w:hAnsiTheme="majorHAnsi"/>
          <w:spacing w:val="-8"/>
          <w:sz w:val="20"/>
          <w:szCs w:val="20"/>
        </w:rPr>
        <w:t xml:space="preserve"> </w:t>
      </w:r>
      <w:r w:rsidRPr="000977F7">
        <w:rPr>
          <w:rFonts w:asciiTheme="majorHAnsi" w:hAnsiTheme="majorHAnsi"/>
          <w:sz w:val="20"/>
          <w:szCs w:val="20"/>
        </w:rPr>
        <w:t>в</w:t>
      </w:r>
      <w:r w:rsidRPr="000977F7">
        <w:rPr>
          <w:rFonts w:asciiTheme="majorHAnsi" w:hAnsiTheme="majorHAnsi"/>
          <w:spacing w:val="-10"/>
          <w:sz w:val="20"/>
          <w:szCs w:val="20"/>
        </w:rPr>
        <w:t xml:space="preserve"> </w:t>
      </w:r>
      <w:r w:rsidRPr="000977F7">
        <w:rPr>
          <w:rFonts w:asciiTheme="majorHAnsi" w:hAnsiTheme="majorHAnsi"/>
          <w:sz w:val="20"/>
          <w:szCs w:val="20"/>
        </w:rPr>
        <w:t>порядку,</w:t>
      </w:r>
      <w:r w:rsidRPr="000977F7">
        <w:rPr>
          <w:rFonts w:asciiTheme="majorHAnsi" w:hAnsiTheme="majorHAnsi"/>
          <w:spacing w:val="-6"/>
          <w:sz w:val="20"/>
          <w:szCs w:val="20"/>
        </w:rPr>
        <w:t xml:space="preserve"> </w:t>
      </w:r>
      <w:r w:rsidRPr="000977F7">
        <w:rPr>
          <w:rFonts w:asciiTheme="majorHAnsi" w:hAnsiTheme="majorHAnsi"/>
          <w:sz w:val="20"/>
          <w:szCs w:val="20"/>
        </w:rPr>
        <w:t>що</w:t>
      </w:r>
      <w:r w:rsidRPr="000977F7">
        <w:rPr>
          <w:rFonts w:asciiTheme="majorHAnsi" w:hAnsiTheme="majorHAnsi"/>
          <w:spacing w:val="-8"/>
          <w:sz w:val="20"/>
          <w:szCs w:val="20"/>
        </w:rPr>
        <w:t xml:space="preserve"> </w:t>
      </w:r>
      <w:r w:rsidRPr="000977F7">
        <w:rPr>
          <w:rFonts w:asciiTheme="majorHAnsi" w:hAnsiTheme="majorHAnsi"/>
          <w:sz w:val="20"/>
          <w:szCs w:val="20"/>
        </w:rPr>
        <w:t>встановлюється</w:t>
      </w:r>
      <w:r w:rsidRPr="000977F7">
        <w:rPr>
          <w:rFonts w:asciiTheme="majorHAnsi" w:hAnsiTheme="majorHAnsi"/>
          <w:spacing w:val="-7"/>
          <w:sz w:val="20"/>
          <w:szCs w:val="20"/>
        </w:rPr>
        <w:t xml:space="preserve"> </w:t>
      </w:r>
      <w:r w:rsidRPr="000977F7">
        <w:rPr>
          <w:rFonts w:asciiTheme="majorHAnsi" w:hAnsiTheme="majorHAnsi"/>
          <w:sz w:val="20"/>
          <w:szCs w:val="20"/>
        </w:rPr>
        <w:t>законодавством</w:t>
      </w:r>
      <w:r w:rsidRPr="000977F7">
        <w:rPr>
          <w:rFonts w:asciiTheme="majorHAnsi" w:hAnsiTheme="majorHAnsi"/>
          <w:spacing w:val="-4"/>
          <w:sz w:val="20"/>
          <w:szCs w:val="20"/>
        </w:rPr>
        <w:t xml:space="preserve"> </w:t>
      </w:r>
      <w:r w:rsidRPr="000977F7">
        <w:rPr>
          <w:rFonts w:asciiTheme="majorHAnsi" w:hAnsiTheme="majorHAnsi"/>
          <w:sz w:val="20"/>
          <w:szCs w:val="20"/>
        </w:rPr>
        <w:t>України.</w:t>
      </w:r>
    </w:p>
    <w:p w14:paraId="1D43C69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w w:val="95"/>
          <w:sz w:val="20"/>
          <w:szCs w:val="20"/>
        </w:rPr>
        <w:t>Закон України "Про охорону навколишнього природ</w:t>
      </w:r>
      <w:r w:rsidRPr="000977F7">
        <w:rPr>
          <w:rFonts w:asciiTheme="majorHAnsi" w:hAnsiTheme="majorHAnsi"/>
          <w:i/>
          <w:sz w:val="20"/>
          <w:szCs w:val="20"/>
        </w:rPr>
        <w:t>ного</w:t>
      </w:r>
      <w:r w:rsidRPr="000977F7">
        <w:rPr>
          <w:rFonts w:asciiTheme="majorHAnsi" w:hAnsiTheme="majorHAnsi"/>
          <w:i/>
          <w:spacing w:val="1"/>
          <w:sz w:val="20"/>
          <w:szCs w:val="20"/>
        </w:rPr>
        <w:t xml:space="preserve"> </w:t>
      </w:r>
      <w:r w:rsidRPr="000977F7">
        <w:rPr>
          <w:rFonts w:asciiTheme="majorHAnsi" w:hAnsiTheme="majorHAnsi"/>
          <w:i/>
          <w:sz w:val="20"/>
          <w:szCs w:val="20"/>
        </w:rPr>
        <w:t>середовища"</w:t>
      </w:r>
    </w:p>
    <w:p w14:paraId="4C2717A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ЕКОНОМІЧНИЙ</w:t>
      </w:r>
      <w:r w:rsidRPr="000977F7">
        <w:rPr>
          <w:color w:val="auto"/>
          <w:spacing w:val="45"/>
          <w:sz w:val="20"/>
          <w:szCs w:val="20"/>
        </w:rPr>
        <w:t xml:space="preserve"> </w:t>
      </w:r>
      <w:r w:rsidRPr="000977F7">
        <w:rPr>
          <w:color w:val="auto"/>
          <w:sz w:val="20"/>
          <w:szCs w:val="20"/>
        </w:rPr>
        <w:t>ЗБИТОК</w:t>
      </w:r>
      <w:r w:rsidRPr="000977F7">
        <w:rPr>
          <w:color w:val="auto"/>
          <w:spacing w:val="44"/>
          <w:sz w:val="20"/>
          <w:szCs w:val="20"/>
        </w:rPr>
        <w:t xml:space="preserve"> </w:t>
      </w:r>
      <w:r w:rsidRPr="000977F7">
        <w:rPr>
          <w:color w:val="auto"/>
          <w:sz w:val="20"/>
          <w:szCs w:val="20"/>
        </w:rPr>
        <w:t>ВІД</w:t>
      </w:r>
      <w:r w:rsidRPr="000977F7">
        <w:rPr>
          <w:color w:val="auto"/>
          <w:spacing w:val="45"/>
          <w:sz w:val="20"/>
          <w:szCs w:val="20"/>
        </w:rPr>
        <w:t xml:space="preserve"> </w:t>
      </w:r>
      <w:r w:rsidRPr="000977F7">
        <w:rPr>
          <w:color w:val="auto"/>
          <w:sz w:val="20"/>
          <w:szCs w:val="20"/>
        </w:rPr>
        <w:t>ЗНИЖЕННЯ</w:t>
      </w:r>
      <w:r w:rsidRPr="000977F7">
        <w:rPr>
          <w:color w:val="auto"/>
          <w:spacing w:val="-47"/>
          <w:sz w:val="20"/>
          <w:szCs w:val="20"/>
        </w:rPr>
        <w:t xml:space="preserve"> </w:t>
      </w:r>
      <w:r w:rsidRPr="000977F7">
        <w:rPr>
          <w:color w:val="auto"/>
          <w:sz w:val="20"/>
          <w:szCs w:val="20"/>
        </w:rPr>
        <w:t>ЯКОСТІ</w:t>
      </w:r>
      <w:r w:rsidRPr="000977F7">
        <w:rPr>
          <w:color w:val="auto"/>
          <w:spacing w:val="47"/>
          <w:sz w:val="20"/>
          <w:szCs w:val="20"/>
        </w:rPr>
        <w:t xml:space="preserve"> </w:t>
      </w:r>
      <w:r w:rsidRPr="000977F7">
        <w:rPr>
          <w:color w:val="auto"/>
          <w:sz w:val="20"/>
          <w:szCs w:val="20"/>
        </w:rPr>
        <w:t>ЕЛЕКТРИЧНОЇ</w:t>
      </w:r>
      <w:r w:rsidRPr="000977F7">
        <w:rPr>
          <w:color w:val="auto"/>
          <w:spacing w:val="49"/>
          <w:sz w:val="20"/>
          <w:szCs w:val="20"/>
        </w:rPr>
        <w:t xml:space="preserve"> </w:t>
      </w:r>
      <w:r w:rsidRPr="000977F7">
        <w:rPr>
          <w:color w:val="auto"/>
          <w:sz w:val="20"/>
          <w:szCs w:val="20"/>
        </w:rPr>
        <w:t>ЕНЕРГІЇ</w:t>
      </w:r>
      <w:r w:rsidRPr="000977F7">
        <w:rPr>
          <w:color w:val="auto"/>
          <w:spacing w:val="1"/>
          <w:sz w:val="20"/>
          <w:szCs w:val="20"/>
        </w:rPr>
        <w:t xml:space="preserve"> </w:t>
      </w:r>
      <w:r w:rsidRPr="000977F7">
        <w:rPr>
          <w:color w:val="auto"/>
          <w:sz w:val="20"/>
          <w:szCs w:val="20"/>
        </w:rPr>
        <w:t>–</w:t>
      </w:r>
    </w:p>
    <w:p w14:paraId="12C3385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Виражені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вартісному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обчисленні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збитки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зниження продуктивності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 пошкодження електротехнічних пристроїв і електрообладнання, а також інші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витрати, що виникають у зв’язку з погіршенням якості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електричної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енергії</w:t>
      </w:r>
    </w:p>
    <w:p w14:paraId="6656015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ЕКОНОМІЧНІ ЗАХОДИ ЗАБЕЗПЕЧЕННЯ </w:t>
      </w:r>
    </w:p>
    <w:p w14:paraId="0C7DE08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ОХОРОНИ</w:t>
      </w:r>
      <w:r w:rsidRPr="000977F7">
        <w:rPr>
          <w:color w:val="auto"/>
          <w:spacing w:val="1"/>
          <w:sz w:val="20"/>
          <w:szCs w:val="20"/>
        </w:rPr>
        <w:t xml:space="preserve"> </w:t>
      </w:r>
      <w:r w:rsidRPr="000977F7">
        <w:rPr>
          <w:color w:val="auto"/>
          <w:sz w:val="20"/>
          <w:szCs w:val="20"/>
        </w:rPr>
        <w:t>НАВКОЛИШНЬОГО</w:t>
      </w:r>
      <w:r w:rsidRPr="000977F7">
        <w:rPr>
          <w:color w:val="auto"/>
          <w:spacing w:val="1"/>
          <w:sz w:val="20"/>
          <w:szCs w:val="20"/>
        </w:rPr>
        <w:t xml:space="preserve"> </w:t>
      </w:r>
      <w:r w:rsidRPr="000977F7">
        <w:rPr>
          <w:color w:val="auto"/>
          <w:sz w:val="20"/>
          <w:szCs w:val="20"/>
        </w:rPr>
        <w:t>ПРИРОДНОГО</w:t>
      </w:r>
      <w:r w:rsidRPr="000977F7">
        <w:rPr>
          <w:color w:val="auto"/>
          <w:spacing w:val="1"/>
          <w:sz w:val="20"/>
          <w:szCs w:val="20"/>
        </w:rPr>
        <w:t xml:space="preserve"> </w:t>
      </w:r>
      <w:r w:rsidRPr="000977F7">
        <w:rPr>
          <w:color w:val="auto"/>
          <w:sz w:val="20"/>
          <w:szCs w:val="20"/>
        </w:rPr>
        <w:t>СЕ</w:t>
      </w:r>
      <w:r w:rsidRPr="000977F7">
        <w:rPr>
          <w:color w:val="auto"/>
          <w:spacing w:val="-47"/>
          <w:sz w:val="20"/>
          <w:szCs w:val="20"/>
        </w:rPr>
        <w:t xml:space="preserve"> </w:t>
      </w:r>
      <w:r w:rsidRPr="000977F7">
        <w:rPr>
          <w:color w:val="auto"/>
          <w:sz w:val="20"/>
          <w:szCs w:val="20"/>
        </w:rPr>
        <w:t>РЕДОВИЩА –</w:t>
      </w:r>
    </w:p>
    <w:p w14:paraId="541BCC9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Економічні</w:t>
      </w:r>
      <w:r w:rsidRPr="000977F7">
        <w:rPr>
          <w:rFonts w:asciiTheme="majorHAnsi" w:hAnsiTheme="majorHAnsi"/>
          <w:spacing w:val="1"/>
          <w:sz w:val="20"/>
          <w:szCs w:val="20"/>
        </w:rPr>
        <w:t xml:space="preserve"> </w:t>
      </w:r>
      <w:r w:rsidRPr="000977F7">
        <w:rPr>
          <w:rFonts w:asciiTheme="majorHAnsi" w:hAnsiTheme="majorHAnsi"/>
          <w:sz w:val="20"/>
          <w:szCs w:val="20"/>
        </w:rPr>
        <w:t>заходи</w:t>
      </w:r>
      <w:r w:rsidRPr="000977F7">
        <w:rPr>
          <w:rFonts w:asciiTheme="majorHAnsi" w:hAnsiTheme="majorHAnsi"/>
          <w:spacing w:val="1"/>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2"/>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2"/>
          <w:sz w:val="20"/>
          <w:szCs w:val="20"/>
        </w:rPr>
        <w:t xml:space="preserve"> </w:t>
      </w:r>
      <w:r w:rsidRPr="000977F7">
        <w:rPr>
          <w:rFonts w:asciiTheme="majorHAnsi" w:hAnsiTheme="majorHAnsi"/>
          <w:sz w:val="20"/>
          <w:szCs w:val="20"/>
        </w:rPr>
        <w:t>передбачають:</w:t>
      </w:r>
    </w:p>
    <w:p w14:paraId="4985DC5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взаємозв'язок усієї управлінської, науково технічної та господарської діяльності підприємств, установ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організацій</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раціональним</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використанням</w:t>
      </w:r>
      <w:r w:rsidRPr="000977F7">
        <w:rPr>
          <w:rFonts w:asciiTheme="majorHAnsi" w:hAnsiTheme="majorHAnsi"/>
          <w:spacing w:val="1"/>
          <w:sz w:val="20"/>
          <w:szCs w:val="20"/>
        </w:rPr>
        <w:t xml:space="preserve"> </w:t>
      </w:r>
      <w:r w:rsidRPr="000977F7">
        <w:rPr>
          <w:rFonts w:asciiTheme="majorHAnsi" w:hAnsiTheme="majorHAnsi"/>
          <w:sz w:val="20"/>
          <w:szCs w:val="20"/>
        </w:rPr>
        <w:t>природних ресурсів та ефективністю заходів по охороні навколишнього природного середовища на основі</w:t>
      </w:r>
      <w:r w:rsidRPr="000977F7">
        <w:rPr>
          <w:rFonts w:asciiTheme="majorHAnsi" w:hAnsiTheme="majorHAnsi"/>
          <w:spacing w:val="-2"/>
          <w:sz w:val="20"/>
          <w:szCs w:val="20"/>
        </w:rPr>
        <w:t xml:space="preserve"> </w:t>
      </w:r>
      <w:r w:rsidRPr="000977F7">
        <w:rPr>
          <w:rFonts w:asciiTheme="majorHAnsi" w:hAnsiTheme="majorHAnsi"/>
          <w:sz w:val="20"/>
          <w:szCs w:val="20"/>
        </w:rPr>
        <w:t>економічних</w:t>
      </w:r>
      <w:r w:rsidRPr="000977F7">
        <w:rPr>
          <w:rFonts w:asciiTheme="majorHAnsi" w:hAnsiTheme="majorHAnsi"/>
          <w:spacing w:val="1"/>
          <w:sz w:val="20"/>
          <w:szCs w:val="20"/>
        </w:rPr>
        <w:t xml:space="preserve"> </w:t>
      </w:r>
      <w:r w:rsidRPr="000977F7">
        <w:rPr>
          <w:rFonts w:asciiTheme="majorHAnsi" w:hAnsiTheme="majorHAnsi"/>
          <w:sz w:val="20"/>
          <w:szCs w:val="20"/>
        </w:rPr>
        <w:t>важелів;</w:t>
      </w:r>
    </w:p>
    <w:p w14:paraId="2F628A4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 джерел фінансування заходів щодо</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3"/>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p>
    <w:p w14:paraId="725FF17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встановлення</w:t>
      </w:r>
      <w:r w:rsidRPr="000977F7">
        <w:rPr>
          <w:rFonts w:asciiTheme="majorHAnsi" w:hAnsiTheme="majorHAnsi"/>
          <w:spacing w:val="1"/>
          <w:sz w:val="20"/>
          <w:szCs w:val="20"/>
        </w:rPr>
        <w:t xml:space="preserve"> </w:t>
      </w:r>
      <w:r w:rsidRPr="000977F7">
        <w:rPr>
          <w:rFonts w:asciiTheme="majorHAnsi" w:hAnsiTheme="majorHAnsi"/>
          <w:sz w:val="20"/>
          <w:szCs w:val="20"/>
        </w:rPr>
        <w:t>лімітів</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природних</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r w:rsidRPr="000977F7">
        <w:rPr>
          <w:rFonts w:asciiTheme="majorHAnsi" w:hAnsiTheme="majorHAnsi"/>
          <w:spacing w:val="1"/>
          <w:sz w:val="20"/>
          <w:szCs w:val="20"/>
        </w:rPr>
        <w:t xml:space="preserve"> </w:t>
      </w:r>
      <w:r w:rsidRPr="000977F7">
        <w:rPr>
          <w:rFonts w:asciiTheme="majorHAnsi" w:hAnsiTheme="majorHAnsi"/>
          <w:sz w:val="20"/>
          <w:szCs w:val="20"/>
        </w:rPr>
        <w:t>скидів</w:t>
      </w:r>
      <w:r w:rsidRPr="000977F7">
        <w:rPr>
          <w:rFonts w:asciiTheme="majorHAnsi" w:hAnsiTheme="majorHAnsi"/>
          <w:spacing w:val="1"/>
          <w:sz w:val="20"/>
          <w:szCs w:val="20"/>
        </w:rPr>
        <w:t xml:space="preserve"> </w:t>
      </w:r>
      <w:r w:rsidRPr="000977F7">
        <w:rPr>
          <w:rFonts w:asciiTheme="majorHAnsi" w:hAnsiTheme="majorHAnsi"/>
          <w:sz w:val="20"/>
          <w:szCs w:val="20"/>
        </w:rPr>
        <w:t>забруднюючих</w:t>
      </w:r>
      <w:r w:rsidRPr="000977F7">
        <w:rPr>
          <w:rFonts w:asciiTheme="majorHAnsi" w:hAnsiTheme="majorHAnsi"/>
          <w:spacing w:val="1"/>
          <w:sz w:val="20"/>
          <w:szCs w:val="20"/>
        </w:rPr>
        <w:t xml:space="preserve"> </w:t>
      </w:r>
      <w:r w:rsidRPr="000977F7">
        <w:rPr>
          <w:rFonts w:asciiTheme="majorHAnsi" w:hAnsiTheme="majorHAnsi"/>
          <w:sz w:val="20"/>
          <w:szCs w:val="20"/>
        </w:rPr>
        <w:t>речовин</w:t>
      </w:r>
      <w:r w:rsidRPr="000977F7">
        <w:rPr>
          <w:rFonts w:asciiTheme="majorHAnsi" w:hAnsiTheme="majorHAnsi"/>
          <w:spacing w:val="5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навколишнє</w:t>
      </w:r>
      <w:r w:rsidRPr="000977F7">
        <w:rPr>
          <w:rFonts w:asciiTheme="majorHAnsi" w:hAnsiTheme="majorHAnsi"/>
          <w:spacing w:val="-1"/>
          <w:sz w:val="20"/>
          <w:szCs w:val="20"/>
        </w:rPr>
        <w:t xml:space="preserve"> </w:t>
      </w:r>
      <w:r w:rsidRPr="000977F7">
        <w:rPr>
          <w:rFonts w:asciiTheme="majorHAnsi" w:hAnsiTheme="majorHAnsi"/>
          <w:sz w:val="20"/>
          <w:szCs w:val="20"/>
        </w:rPr>
        <w:t>природне середовище;</w:t>
      </w:r>
    </w:p>
    <w:p w14:paraId="65BECE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встановлення ставок екологічного податку;</w:t>
      </w:r>
    </w:p>
    <w:p w14:paraId="63FD2D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д)</w:t>
      </w:r>
      <w:r w:rsidRPr="000977F7">
        <w:rPr>
          <w:rFonts w:asciiTheme="majorHAnsi" w:hAnsiTheme="majorHAnsi"/>
          <w:spacing w:val="-8"/>
          <w:sz w:val="20"/>
          <w:szCs w:val="20"/>
        </w:rPr>
        <w:t xml:space="preserve"> </w:t>
      </w:r>
      <w:r w:rsidRPr="000977F7">
        <w:rPr>
          <w:rFonts w:asciiTheme="majorHAnsi" w:hAnsiTheme="majorHAnsi"/>
          <w:spacing w:val="-1"/>
          <w:sz w:val="20"/>
          <w:szCs w:val="20"/>
        </w:rPr>
        <w:t>надання</w:t>
      </w:r>
      <w:r w:rsidRPr="000977F7">
        <w:rPr>
          <w:rFonts w:asciiTheme="majorHAnsi" w:hAnsiTheme="majorHAnsi"/>
          <w:spacing w:val="-8"/>
          <w:sz w:val="20"/>
          <w:szCs w:val="20"/>
        </w:rPr>
        <w:t xml:space="preserve"> </w:t>
      </w:r>
      <w:r w:rsidRPr="000977F7">
        <w:rPr>
          <w:rFonts w:asciiTheme="majorHAnsi" w:hAnsiTheme="majorHAnsi"/>
          <w:spacing w:val="-1"/>
          <w:sz w:val="20"/>
          <w:szCs w:val="20"/>
        </w:rPr>
        <w:t>підприємствам,</w:t>
      </w:r>
      <w:r w:rsidRPr="000977F7">
        <w:rPr>
          <w:rFonts w:asciiTheme="majorHAnsi" w:hAnsiTheme="majorHAnsi"/>
          <w:spacing w:val="-10"/>
          <w:sz w:val="20"/>
          <w:szCs w:val="20"/>
        </w:rPr>
        <w:t xml:space="preserve"> </w:t>
      </w:r>
      <w:r w:rsidRPr="000977F7">
        <w:rPr>
          <w:rFonts w:asciiTheme="majorHAnsi" w:hAnsiTheme="majorHAnsi"/>
          <w:spacing w:val="-1"/>
          <w:sz w:val="20"/>
          <w:szCs w:val="20"/>
        </w:rPr>
        <w:t>установам</w:t>
      </w:r>
      <w:r w:rsidRPr="000977F7">
        <w:rPr>
          <w:rFonts w:asciiTheme="majorHAnsi" w:hAnsiTheme="majorHAnsi"/>
          <w:spacing w:val="-9"/>
          <w:sz w:val="20"/>
          <w:szCs w:val="20"/>
        </w:rPr>
        <w:t xml:space="preserve"> </w:t>
      </w:r>
      <w:r w:rsidRPr="000977F7">
        <w:rPr>
          <w:rFonts w:asciiTheme="majorHAnsi" w:hAnsiTheme="majorHAnsi"/>
          <w:spacing w:val="-1"/>
          <w:sz w:val="20"/>
          <w:szCs w:val="20"/>
        </w:rPr>
        <w:t>і</w:t>
      </w:r>
      <w:r w:rsidRPr="000977F7">
        <w:rPr>
          <w:rFonts w:asciiTheme="majorHAnsi" w:hAnsiTheme="majorHAnsi"/>
          <w:spacing w:val="-9"/>
          <w:sz w:val="20"/>
          <w:szCs w:val="20"/>
        </w:rPr>
        <w:t xml:space="preserve"> </w:t>
      </w:r>
      <w:r w:rsidRPr="000977F7">
        <w:rPr>
          <w:rFonts w:asciiTheme="majorHAnsi" w:hAnsiTheme="majorHAnsi"/>
          <w:spacing w:val="-1"/>
          <w:sz w:val="20"/>
          <w:szCs w:val="20"/>
        </w:rPr>
        <w:t>організаціям,</w:t>
      </w:r>
      <w:r w:rsidRPr="000977F7">
        <w:rPr>
          <w:rFonts w:asciiTheme="majorHAnsi" w:hAnsiTheme="majorHAnsi"/>
          <w:spacing w:val="-48"/>
          <w:sz w:val="20"/>
          <w:szCs w:val="20"/>
        </w:rPr>
        <w:t xml:space="preserve"> </w:t>
      </w:r>
      <w:r w:rsidRPr="000977F7">
        <w:rPr>
          <w:rFonts w:asciiTheme="majorHAnsi" w:hAnsiTheme="majorHAnsi"/>
          <w:sz w:val="20"/>
          <w:szCs w:val="20"/>
        </w:rPr>
        <w:t>а також громадянам податкових, кредитних та інших</w:t>
      </w:r>
      <w:r w:rsidRPr="000977F7">
        <w:rPr>
          <w:rFonts w:asciiTheme="majorHAnsi" w:hAnsiTheme="majorHAnsi"/>
          <w:spacing w:val="1"/>
          <w:sz w:val="20"/>
          <w:szCs w:val="20"/>
        </w:rPr>
        <w:t xml:space="preserve"> </w:t>
      </w:r>
      <w:r w:rsidRPr="000977F7">
        <w:rPr>
          <w:rFonts w:asciiTheme="majorHAnsi" w:hAnsiTheme="majorHAnsi"/>
          <w:sz w:val="20"/>
          <w:szCs w:val="20"/>
        </w:rPr>
        <w:t>пільг при впровадженні ними маловідхідних, енерго- і</w:t>
      </w:r>
      <w:r w:rsidRPr="000977F7">
        <w:rPr>
          <w:rFonts w:asciiTheme="majorHAnsi" w:hAnsiTheme="majorHAnsi"/>
          <w:spacing w:val="-47"/>
          <w:sz w:val="20"/>
          <w:szCs w:val="20"/>
        </w:rPr>
        <w:t xml:space="preserve"> </w:t>
      </w:r>
      <w:r w:rsidRPr="000977F7">
        <w:rPr>
          <w:rFonts w:asciiTheme="majorHAnsi" w:hAnsiTheme="majorHAnsi"/>
          <w:spacing w:val="-1"/>
          <w:sz w:val="20"/>
          <w:szCs w:val="20"/>
        </w:rPr>
        <w:t>ресурсозберігаючих</w:t>
      </w:r>
      <w:r w:rsidRPr="000977F7">
        <w:rPr>
          <w:rFonts w:asciiTheme="majorHAnsi" w:hAnsiTheme="majorHAnsi"/>
          <w:spacing w:val="-12"/>
          <w:sz w:val="20"/>
          <w:szCs w:val="20"/>
        </w:rPr>
        <w:t xml:space="preserve"> </w:t>
      </w:r>
      <w:r w:rsidRPr="000977F7">
        <w:rPr>
          <w:rFonts w:asciiTheme="majorHAnsi" w:hAnsiTheme="majorHAnsi"/>
          <w:spacing w:val="-1"/>
          <w:sz w:val="20"/>
          <w:szCs w:val="20"/>
        </w:rPr>
        <w:t>технологій</w:t>
      </w:r>
      <w:r w:rsidRPr="000977F7">
        <w:rPr>
          <w:rFonts w:asciiTheme="majorHAnsi" w:hAnsiTheme="majorHAnsi"/>
          <w:spacing w:val="-9"/>
          <w:sz w:val="20"/>
          <w:szCs w:val="20"/>
        </w:rPr>
        <w:t xml:space="preserve"> </w:t>
      </w:r>
      <w:r w:rsidRPr="000977F7">
        <w:rPr>
          <w:rFonts w:asciiTheme="majorHAnsi" w:hAnsiTheme="majorHAnsi"/>
          <w:sz w:val="20"/>
          <w:szCs w:val="20"/>
        </w:rPr>
        <w:t>та</w:t>
      </w:r>
      <w:r w:rsidRPr="000977F7">
        <w:rPr>
          <w:rFonts w:asciiTheme="majorHAnsi" w:hAnsiTheme="majorHAnsi"/>
          <w:spacing w:val="-11"/>
          <w:sz w:val="20"/>
          <w:szCs w:val="20"/>
        </w:rPr>
        <w:t xml:space="preserve"> </w:t>
      </w:r>
      <w:r w:rsidRPr="000977F7">
        <w:rPr>
          <w:rFonts w:asciiTheme="majorHAnsi" w:hAnsiTheme="majorHAnsi"/>
          <w:sz w:val="20"/>
          <w:szCs w:val="20"/>
        </w:rPr>
        <w:t>нетрадиційних</w:t>
      </w:r>
      <w:r w:rsidRPr="000977F7">
        <w:rPr>
          <w:rFonts w:asciiTheme="majorHAnsi" w:hAnsiTheme="majorHAnsi"/>
          <w:spacing w:val="-11"/>
          <w:sz w:val="20"/>
          <w:szCs w:val="20"/>
        </w:rPr>
        <w:t xml:space="preserve"> </w:t>
      </w:r>
      <w:r w:rsidRPr="000977F7">
        <w:rPr>
          <w:rFonts w:asciiTheme="majorHAnsi" w:hAnsiTheme="majorHAnsi"/>
          <w:sz w:val="20"/>
          <w:szCs w:val="20"/>
        </w:rPr>
        <w:t>видів</w:t>
      </w:r>
      <w:r w:rsidRPr="000977F7">
        <w:rPr>
          <w:rFonts w:asciiTheme="majorHAnsi" w:hAnsiTheme="majorHAnsi"/>
          <w:spacing w:val="-48"/>
          <w:sz w:val="20"/>
          <w:szCs w:val="20"/>
        </w:rPr>
        <w:t xml:space="preserve"> </w:t>
      </w:r>
      <w:r w:rsidRPr="000977F7">
        <w:rPr>
          <w:rFonts w:asciiTheme="majorHAnsi" w:hAnsiTheme="majorHAnsi"/>
          <w:sz w:val="20"/>
          <w:szCs w:val="20"/>
        </w:rPr>
        <w:t>енергії,</w:t>
      </w:r>
      <w:r w:rsidRPr="000977F7">
        <w:rPr>
          <w:rFonts w:asciiTheme="majorHAnsi" w:hAnsiTheme="majorHAnsi"/>
          <w:spacing w:val="1"/>
          <w:sz w:val="20"/>
          <w:szCs w:val="20"/>
        </w:rPr>
        <w:t xml:space="preserve"> </w:t>
      </w:r>
      <w:r w:rsidRPr="000977F7">
        <w:rPr>
          <w:rFonts w:asciiTheme="majorHAnsi" w:hAnsiTheme="majorHAnsi"/>
          <w:sz w:val="20"/>
          <w:szCs w:val="20"/>
        </w:rPr>
        <w:t>здійсненні</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ефективних</w:t>
      </w:r>
      <w:r w:rsidRPr="000977F7">
        <w:rPr>
          <w:rFonts w:asciiTheme="majorHAnsi" w:hAnsiTheme="majorHAnsi"/>
          <w:spacing w:val="1"/>
          <w:sz w:val="20"/>
          <w:szCs w:val="20"/>
        </w:rPr>
        <w:t xml:space="preserve"> </w:t>
      </w:r>
      <w:r w:rsidRPr="000977F7">
        <w:rPr>
          <w:rFonts w:asciiTheme="majorHAnsi" w:hAnsiTheme="majorHAnsi"/>
          <w:sz w:val="20"/>
          <w:szCs w:val="20"/>
        </w:rPr>
        <w:t>заходів</w:t>
      </w:r>
      <w:r w:rsidRPr="000977F7">
        <w:rPr>
          <w:rFonts w:asciiTheme="majorHAnsi" w:hAnsiTheme="majorHAnsi"/>
          <w:spacing w:val="1"/>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13"/>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10"/>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11"/>
          <w:sz w:val="20"/>
          <w:szCs w:val="20"/>
        </w:rPr>
        <w:t xml:space="preserve"> </w:t>
      </w:r>
      <w:r w:rsidRPr="000977F7">
        <w:rPr>
          <w:rFonts w:asciiTheme="majorHAnsi" w:hAnsiTheme="majorHAnsi"/>
          <w:sz w:val="20"/>
          <w:szCs w:val="20"/>
        </w:rPr>
        <w:t>середовища;</w:t>
      </w:r>
    </w:p>
    <w:p w14:paraId="02D3C6E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е) відшкодування в установленому порядку збитків, завданих порушенням законодавства про охорону</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 природного середовища.</w:t>
      </w:r>
    </w:p>
    <w:p w14:paraId="118352A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w w:val="95"/>
          <w:sz w:val="20"/>
          <w:szCs w:val="20"/>
        </w:rPr>
        <w:t>Ст. 41 закону України "Про охорону навколишнього природ</w:t>
      </w:r>
      <w:r w:rsidRPr="000977F7">
        <w:rPr>
          <w:rFonts w:asciiTheme="majorHAnsi" w:hAnsiTheme="majorHAnsi"/>
          <w:i/>
          <w:sz w:val="20"/>
          <w:szCs w:val="20"/>
        </w:rPr>
        <w:t>ного</w:t>
      </w:r>
      <w:r w:rsidRPr="000977F7">
        <w:rPr>
          <w:rFonts w:asciiTheme="majorHAnsi" w:hAnsiTheme="majorHAnsi"/>
          <w:i/>
          <w:spacing w:val="1"/>
          <w:sz w:val="20"/>
          <w:szCs w:val="20"/>
        </w:rPr>
        <w:t xml:space="preserve"> </w:t>
      </w:r>
      <w:r w:rsidRPr="000977F7">
        <w:rPr>
          <w:rFonts w:asciiTheme="majorHAnsi" w:hAnsiTheme="majorHAnsi"/>
          <w:i/>
          <w:sz w:val="20"/>
          <w:szCs w:val="20"/>
        </w:rPr>
        <w:t>середовища"</w:t>
      </w:r>
    </w:p>
    <w:p w14:paraId="7607BC3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ЕКОНОМІЧНІ ЗБИТКИ ВІД ПОГІРШЕННЯ</w:t>
      </w:r>
      <w:r w:rsidRPr="000977F7">
        <w:rPr>
          <w:color w:val="auto"/>
          <w:spacing w:val="-47"/>
          <w:sz w:val="20"/>
          <w:szCs w:val="20"/>
        </w:rPr>
        <w:t xml:space="preserve"> </w:t>
      </w:r>
      <w:r w:rsidRPr="000977F7">
        <w:rPr>
          <w:color w:val="auto"/>
          <w:sz w:val="20"/>
          <w:szCs w:val="20"/>
        </w:rPr>
        <w:t>ЯКОСТІ</w:t>
      </w:r>
      <w:r w:rsidRPr="000977F7">
        <w:rPr>
          <w:color w:val="auto"/>
          <w:spacing w:val="-2"/>
          <w:sz w:val="20"/>
          <w:szCs w:val="20"/>
        </w:rPr>
        <w:t xml:space="preserve"> </w:t>
      </w:r>
      <w:r w:rsidRPr="000977F7">
        <w:rPr>
          <w:color w:val="auto"/>
          <w:sz w:val="20"/>
          <w:szCs w:val="20"/>
        </w:rPr>
        <w:t>ЕЛЕКТРИЧНОЇ ЕНЕРГІЇ</w:t>
      </w:r>
      <w:r w:rsidRPr="000977F7">
        <w:rPr>
          <w:color w:val="auto"/>
          <w:spacing w:val="-1"/>
          <w:sz w:val="20"/>
          <w:szCs w:val="20"/>
        </w:rPr>
        <w:t xml:space="preserve"> </w:t>
      </w:r>
      <w:r w:rsidRPr="000977F7">
        <w:rPr>
          <w:color w:val="auto"/>
          <w:sz w:val="20"/>
          <w:szCs w:val="20"/>
        </w:rPr>
        <w:t>—</w:t>
      </w:r>
    </w:p>
    <w:p w14:paraId="21CCAD7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Виражені у вартісному вигляді збитки від зниження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продуктивності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пошкодження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електротехнічних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пристроїв та електроустаткування, а також інші витрати, які виникають у зв'язку з погіршенням якості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електричної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енергії</w:t>
      </w:r>
    </w:p>
    <w:p w14:paraId="4427E1FC"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r w:rsidRPr="000977F7">
        <w:rPr>
          <w:rFonts w:asciiTheme="majorHAnsi" w:hAnsiTheme="majorHAnsi"/>
          <w:i/>
          <w:spacing w:val="1"/>
          <w:sz w:val="20"/>
          <w:szCs w:val="20"/>
        </w:rPr>
        <w:t xml:space="preserve"> </w:t>
      </w:r>
    </w:p>
    <w:p w14:paraId="4915510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ЕКСПЕРИМЕНТАЛЬНЕ ДІЯННЯ —</w:t>
      </w:r>
      <w:r w:rsidRPr="000977F7">
        <w:rPr>
          <w:rFonts w:asciiTheme="majorHAnsi" w:hAnsiTheme="majorHAnsi"/>
          <w:b/>
          <w:spacing w:val="-48"/>
          <w:sz w:val="20"/>
          <w:szCs w:val="20"/>
        </w:rPr>
        <w:t xml:space="preserve"> </w:t>
      </w:r>
      <w:r w:rsidRPr="000977F7">
        <w:rPr>
          <w:rFonts w:asciiTheme="majorHAnsi" w:hAnsiTheme="majorHAnsi"/>
          <w:sz w:val="20"/>
          <w:szCs w:val="20"/>
        </w:rPr>
        <w:t>EXPERIMENTAL</w:t>
      </w:r>
      <w:r w:rsidRPr="000977F7">
        <w:rPr>
          <w:rFonts w:asciiTheme="majorHAnsi" w:hAnsiTheme="majorHAnsi"/>
          <w:spacing w:val="-3"/>
          <w:sz w:val="20"/>
          <w:szCs w:val="20"/>
        </w:rPr>
        <w:t xml:space="preserve"> </w:t>
      </w:r>
      <w:r w:rsidRPr="000977F7">
        <w:rPr>
          <w:rFonts w:asciiTheme="majorHAnsi" w:hAnsiTheme="majorHAnsi"/>
          <w:sz w:val="20"/>
          <w:szCs w:val="20"/>
        </w:rPr>
        <w:t>EXPOSURE</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51D209CD"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Контрольований</w:t>
      </w:r>
      <w:r w:rsidRPr="000977F7">
        <w:rPr>
          <w:rFonts w:asciiTheme="majorHAnsi" w:hAnsiTheme="majorHAnsi"/>
          <w:spacing w:val="1"/>
          <w:sz w:val="20"/>
          <w:szCs w:val="20"/>
        </w:rPr>
        <w:t xml:space="preserve"> </w:t>
      </w:r>
      <w:r w:rsidRPr="000977F7">
        <w:rPr>
          <w:rFonts w:asciiTheme="majorHAnsi" w:hAnsiTheme="majorHAnsi"/>
          <w:sz w:val="20"/>
          <w:szCs w:val="20"/>
        </w:rPr>
        <w:t>вплив</w:t>
      </w:r>
      <w:r w:rsidRPr="000977F7">
        <w:rPr>
          <w:rFonts w:asciiTheme="majorHAnsi" w:hAnsiTheme="majorHAnsi"/>
          <w:spacing w:val="1"/>
          <w:sz w:val="20"/>
          <w:szCs w:val="20"/>
        </w:rPr>
        <w:t xml:space="preserve"> </w:t>
      </w:r>
      <w:r w:rsidRPr="000977F7">
        <w:rPr>
          <w:rFonts w:asciiTheme="majorHAnsi" w:hAnsiTheme="majorHAnsi"/>
          <w:sz w:val="20"/>
          <w:szCs w:val="20"/>
        </w:rPr>
        <w:t>чинників</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 на організм експериментальних тварин</w:t>
      </w:r>
      <w:r w:rsidRPr="000977F7">
        <w:rPr>
          <w:rFonts w:asciiTheme="majorHAnsi" w:hAnsiTheme="majorHAnsi"/>
          <w:spacing w:val="1"/>
          <w:sz w:val="20"/>
          <w:szCs w:val="20"/>
        </w:rPr>
        <w:t xml:space="preserve"> </w:t>
      </w:r>
    </w:p>
    <w:p w14:paraId="01CEE747"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3038</w:t>
      </w:r>
      <w:r w:rsidRPr="000977F7">
        <w:rPr>
          <w:rFonts w:asciiTheme="majorHAnsi" w:hAnsiTheme="majorHAnsi"/>
          <w:i/>
          <w:spacing w:val="2"/>
          <w:sz w:val="20"/>
          <w:szCs w:val="20"/>
        </w:rPr>
        <w:t xml:space="preserve"> </w:t>
      </w:r>
      <w:r w:rsidRPr="000977F7">
        <w:rPr>
          <w:rFonts w:asciiTheme="majorHAnsi" w:hAnsiTheme="majorHAnsi"/>
          <w:i/>
          <w:sz w:val="20"/>
          <w:szCs w:val="20"/>
        </w:rPr>
        <w:t>– 95</w:t>
      </w:r>
    </w:p>
    <w:p w14:paraId="798B2E2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ЕКСПЕРТИЗА</w:t>
      </w:r>
      <w:r w:rsidRPr="000977F7">
        <w:rPr>
          <w:color w:val="auto"/>
          <w:spacing w:val="-5"/>
          <w:sz w:val="20"/>
          <w:szCs w:val="20"/>
        </w:rPr>
        <w:t xml:space="preserve"> </w:t>
      </w:r>
      <w:r w:rsidRPr="000977F7">
        <w:rPr>
          <w:color w:val="auto"/>
          <w:sz w:val="20"/>
          <w:szCs w:val="20"/>
        </w:rPr>
        <w:t>РИЗИКІВ</w:t>
      </w:r>
      <w:r w:rsidRPr="000977F7">
        <w:rPr>
          <w:color w:val="auto"/>
          <w:spacing w:val="2"/>
          <w:sz w:val="20"/>
          <w:szCs w:val="20"/>
        </w:rPr>
        <w:t xml:space="preserve"> </w:t>
      </w:r>
      <w:r w:rsidRPr="000977F7">
        <w:rPr>
          <w:color w:val="auto"/>
          <w:sz w:val="20"/>
          <w:szCs w:val="20"/>
        </w:rPr>
        <w:t>–</w:t>
      </w:r>
    </w:p>
    <w:p w14:paraId="6B77C56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Процедура</w:t>
      </w:r>
      <w:r w:rsidRPr="000977F7">
        <w:rPr>
          <w:rFonts w:asciiTheme="majorHAnsi" w:hAnsiTheme="majorHAnsi"/>
          <w:spacing w:val="-3"/>
          <w:sz w:val="20"/>
          <w:szCs w:val="20"/>
        </w:rPr>
        <w:t xml:space="preserve"> </w:t>
      </w:r>
      <w:r w:rsidRPr="000977F7">
        <w:rPr>
          <w:rFonts w:asciiTheme="majorHAnsi" w:hAnsiTheme="majorHAnsi"/>
          <w:sz w:val="20"/>
          <w:szCs w:val="20"/>
        </w:rPr>
        <w:t>аналізу</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оцінювання</w:t>
      </w:r>
      <w:r w:rsidRPr="000977F7">
        <w:rPr>
          <w:rFonts w:asciiTheme="majorHAnsi" w:hAnsiTheme="majorHAnsi"/>
          <w:spacing w:val="-4"/>
          <w:sz w:val="20"/>
          <w:szCs w:val="20"/>
        </w:rPr>
        <w:t xml:space="preserve"> </w:t>
      </w:r>
      <w:r w:rsidRPr="000977F7">
        <w:rPr>
          <w:rFonts w:asciiTheme="majorHAnsi" w:hAnsiTheme="majorHAnsi"/>
          <w:sz w:val="20"/>
          <w:szCs w:val="20"/>
        </w:rPr>
        <w:t>ризиків</w:t>
      </w:r>
    </w:p>
    <w:p w14:paraId="6CDCC26D"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2156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r w:rsidRPr="000977F7">
        <w:rPr>
          <w:rFonts w:asciiTheme="majorHAnsi" w:hAnsiTheme="majorHAnsi"/>
          <w:i/>
          <w:spacing w:val="1"/>
          <w:sz w:val="20"/>
          <w:szCs w:val="20"/>
        </w:rPr>
        <w:t xml:space="preserve"> </w:t>
      </w:r>
    </w:p>
    <w:p w14:paraId="6C1BD0D9"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ЕКСПЛУАТАЦІЙНИЙ</w:t>
      </w:r>
      <w:r w:rsidRPr="000977F7">
        <w:rPr>
          <w:rFonts w:asciiTheme="majorHAnsi" w:hAnsiTheme="majorHAnsi"/>
          <w:b/>
          <w:spacing w:val="-13"/>
          <w:sz w:val="20"/>
          <w:szCs w:val="20"/>
        </w:rPr>
        <w:t xml:space="preserve"> </w:t>
      </w:r>
      <w:r w:rsidRPr="000977F7">
        <w:rPr>
          <w:rFonts w:asciiTheme="majorHAnsi" w:hAnsiTheme="majorHAnsi"/>
          <w:b/>
          <w:sz w:val="20"/>
          <w:szCs w:val="20"/>
        </w:rPr>
        <w:t>ПЕРСОНАЛ -</w:t>
      </w:r>
    </w:p>
    <w:p w14:paraId="0227FB6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MAINTENANCE</w:t>
      </w:r>
      <w:r w:rsidRPr="000977F7">
        <w:rPr>
          <w:rFonts w:asciiTheme="majorHAnsi" w:hAnsiTheme="majorHAnsi"/>
          <w:spacing w:val="-1"/>
          <w:sz w:val="20"/>
          <w:szCs w:val="20"/>
        </w:rPr>
        <w:t xml:space="preserve"> </w:t>
      </w:r>
      <w:r w:rsidRPr="000977F7">
        <w:rPr>
          <w:rFonts w:asciiTheme="majorHAnsi" w:hAnsiTheme="majorHAnsi"/>
          <w:sz w:val="20"/>
          <w:szCs w:val="20"/>
        </w:rPr>
        <w:t>STAFF -</w:t>
      </w:r>
    </w:p>
    <w:p w14:paraId="52E4B8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Особи,</w:t>
      </w:r>
      <w:r w:rsidRPr="000977F7">
        <w:rPr>
          <w:rFonts w:asciiTheme="majorHAnsi" w:hAnsiTheme="majorHAnsi"/>
          <w:spacing w:val="-10"/>
          <w:sz w:val="20"/>
          <w:szCs w:val="20"/>
        </w:rPr>
        <w:t xml:space="preserve"> </w:t>
      </w:r>
      <w:r w:rsidRPr="000977F7">
        <w:rPr>
          <w:rFonts w:asciiTheme="majorHAnsi" w:hAnsiTheme="majorHAnsi"/>
          <w:sz w:val="20"/>
          <w:szCs w:val="20"/>
        </w:rPr>
        <w:t>які</w:t>
      </w:r>
      <w:r w:rsidRPr="000977F7">
        <w:rPr>
          <w:rFonts w:asciiTheme="majorHAnsi" w:hAnsiTheme="majorHAnsi"/>
          <w:spacing w:val="-8"/>
          <w:sz w:val="20"/>
          <w:szCs w:val="20"/>
        </w:rPr>
        <w:t xml:space="preserve"> </w:t>
      </w:r>
      <w:r w:rsidRPr="000977F7">
        <w:rPr>
          <w:rFonts w:asciiTheme="majorHAnsi" w:hAnsiTheme="majorHAnsi"/>
          <w:sz w:val="20"/>
          <w:szCs w:val="20"/>
        </w:rPr>
        <w:t>контролюють</w:t>
      </w:r>
      <w:r w:rsidRPr="000977F7">
        <w:rPr>
          <w:rFonts w:asciiTheme="majorHAnsi" w:hAnsiTheme="majorHAnsi"/>
          <w:spacing w:val="-10"/>
          <w:sz w:val="20"/>
          <w:szCs w:val="20"/>
        </w:rPr>
        <w:t xml:space="preserve"> </w:t>
      </w:r>
      <w:r w:rsidRPr="000977F7">
        <w:rPr>
          <w:rFonts w:asciiTheme="majorHAnsi" w:hAnsiTheme="majorHAnsi"/>
          <w:sz w:val="20"/>
          <w:szCs w:val="20"/>
        </w:rPr>
        <w:t>та</w:t>
      </w:r>
      <w:r w:rsidRPr="000977F7">
        <w:rPr>
          <w:rFonts w:asciiTheme="majorHAnsi" w:hAnsiTheme="majorHAnsi"/>
          <w:spacing w:val="-7"/>
          <w:sz w:val="20"/>
          <w:szCs w:val="20"/>
        </w:rPr>
        <w:t xml:space="preserve"> </w:t>
      </w:r>
      <w:r w:rsidRPr="000977F7">
        <w:rPr>
          <w:rFonts w:asciiTheme="majorHAnsi" w:hAnsiTheme="majorHAnsi"/>
          <w:sz w:val="20"/>
          <w:szCs w:val="20"/>
        </w:rPr>
        <w:t>забезпечують</w:t>
      </w:r>
      <w:r w:rsidRPr="000977F7">
        <w:rPr>
          <w:rFonts w:asciiTheme="majorHAnsi" w:hAnsiTheme="majorHAnsi"/>
          <w:spacing w:val="-8"/>
          <w:sz w:val="20"/>
          <w:szCs w:val="20"/>
        </w:rPr>
        <w:t xml:space="preserve"> </w:t>
      </w:r>
      <w:r w:rsidRPr="000977F7">
        <w:rPr>
          <w:rFonts w:asciiTheme="majorHAnsi" w:hAnsiTheme="majorHAnsi"/>
          <w:sz w:val="20"/>
          <w:szCs w:val="20"/>
        </w:rPr>
        <w:t>правильність</w:t>
      </w:r>
      <w:r w:rsidRPr="000977F7">
        <w:rPr>
          <w:rFonts w:asciiTheme="majorHAnsi" w:hAnsiTheme="majorHAnsi"/>
          <w:spacing w:val="-48"/>
          <w:sz w:val="20"/>
          <w:szCs w:val="20"/>
        </w:rPr>
        <w:t xml:space="preserve"> </w:t>
      </w:r>
      <w:r w:rsidRPr="000977F7">
        <w:rPr>
          <w:rFonts w:asciiTheme="majorHAnsi" w:hAnsiTheme="majorHAnsi"/>
          <w:sz w:val="20"/>
          <w:szCs w:val="20"/>
        </w:rPr>
        <w:t>функціювання технічних засобів, що використовуються</w:t>
      </w:r>
      <w:r w:rsidRPr="000977F7">
        <w:rPr>
          <w:rFonts w:asciiTheme="majorHAnsi" w:hAnsiTheme="majorHAnsi"/>
          <w:spacing w:val="-4"/>
          <w:sz w:val="20"/>
          <w:szCs w:val="20"/>
        </w:rPr>
        <w:t xml:space="preserve"> </w:t>
      </w:r>
      <w:r w:rsidRPr="000977F7">
        <w:rPr>
          <w:rFonts w:asciiTheme="majorHAnsi" w:hAnsiTheme="majorHAnsi"/>
          <w:sz w:val="20"/>
          <w:szCs w:val="20"/>
        </w:rPr>
        <w:t>у</w:t>
      </w:r>
      <w:r w:rsidRPr="000977F7">
        <w:rPr>
          <w:rFonts w:asciiTheme="majorHAnsi" w:hAnsiTheme="majorHAnsi"/>
          <w:spacing w:val="-7"/>
          <w:sz w:val="20"/>
          <w:szCs w:val="20"/>
        </w:rPr>
        <w:t xml:space="preserve"> </w:t>
      </w:r>
      <w:r w:rsidRPr="000977F7">
        <w:rPr>
          <w:rFonts w:asciiTheme="majorHAnsi" w:hAnsiTheme="majorHAnsi"/>
          <w:sz w:val="20"/>
          <w:szCs w:val="20"/>
        </w:rPr>
        <w:t>технологічному</w:t>
      </w:r>
      <w:r w:rsidRPr="000977F7">
        <w:rPr>
          <w:rFonts w:asciiTheme="majorHAnsi" w:hAnsiTheme="majorHAnsi"/>
          <w:spacing w:val="-7"/>
          <w:sz w:val="20"/>
          <w:szCs w:val="20"/>
        </w:rPr>
        <w:t xml:space="preserve"> </w:t>
      </w:r>
      <w:r w:rsidRPr="000977F7">
        <w:rPr>
          <w:rFonts w:asciiTheme="majorHAnsi" w:hAnsiTheme="majorHAnsi"/>
          <w:sz w:val="20"/>
          <w:szCs w:val="20"/>
        </w:rPr>
        <w:t>процесі</w:t>
      </w:r>
    </w:p>
    <w:p w14:paraId="2B7D1F3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7A230852" w14:textId="77777777" w:rsidR="0097612F" w:rsidRPr="000977F7" w:rsidRDefault="0097612F" w:rsidP="000977F7">
      <w:pPr>
        <w:pStyle w:val="7"/>
        <w:tabs>
          <w:tab w:val="left" w:pos="284"/>
        </w:tabs>
        <w:spacing w:before="0" w:line="240" w:lineRule="auto"/>
        <w:ind w:left="170"/>
        <w:mirrorIndents/>
        <w:jc w:val="both"/>
        <w:rPr>
          <w:color w:val="auto"/>
          <w:spacing w:val="-7"/>
          <w:sz w:val="20"/>
          <w:szCs w:val="20"/>
        </w:rPr>
      </w:pPr>
      <w:r w:rsidRPr="000977F7">
        <w:rPr>
          <w:color w:val="auto"/>
          <w:sz w:val="20"/>
          <w:szCs w:val="20"/>
        </w:rPr>
        <w:t>ЕКСПЛУАТАЦІЙНИЙ</w:t>
      </w:r>
      <w:r w:rsidRPr="000977F7">
        <w:rPr>
          <w:color w:val="auto"/>
          <w:spacing w:val="-9"/>
          <w:sz w:val="20"/>
          <w:szCs w:val="20"/>
        </w:rPr>
        <w:t xml:space="preserve"> </w:t>
      </w:r>
      <w:r w:rsidRPr="000977F7">
        <w:rPr>
          <w:color w:val="auto"/>
          <w:sz w:val="20"/>
          <w:szCs w:val="20"/>
        </w:rPr>
        <w:t>РЕЖИМ</w:t>
      </w:r>
      <w:r w:rsidRPr="000977F7">
        <w:rPr>
          <w:color w:val="auto"/>
          <w:spacing w:val="-7"/>
          <w:sz w:val="20"/>
          <w:szCs w:val="20"/>
        </w:rPr>
        <w:t xml:space="preserve"> </w:t>
      </w:r>
    </w:p>
    <w:p w14:paraId="2D032A5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НАВАНТАЖУ</w:t>
      </w:r>
      <w:r w:rsidRPr="000977F7">
        <w:rPr>
          <w:color w:val="auto"/>
          <w:spacing w:val="-47"/>
          <w:sz w:val="20"/>
          <w:szCs w:val="20"/>
        </w:rPr>
        <w:t xml:space="preserve"> </w:t>
      </w:r>
      <w:r w:rsidRPr="000977F7">
        <w:rPr>
          <w:color w:val="auto"/>
          <w:sz w:val="20"/>
          <w:szCs w:val="20"/>
        </w:rPr>
        <w:t>ВАННЯ –</w:t>
      </w:r>
    </w:p>
    <w:p w14:paraId="6D7C7C3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SERVICE</w:t>
      </w:r>
      <w:r w:rsidRPr="004D2D14">
        <w:rPr>
          <w:rFonts w:asciiTheme="majorHAnsi" w:hAnsiTheme="majorHAnsi"/>
          <w:spacing w:val="-1"/>
          <w:sz w:val="20"/>
          <w:szCs w:val="20"/>
          <w:lang w:val="uk-UA"/>
        </w:rPr>
        <w:t xml:space="preserve"> </w:t>
      </w:r>
      <w:r w:rsidRPr="000977F7">
        <w:rPr>
          <w:rFonts w:asciiTheme="majorHAnsi" w:hAnsiTheme="majorHAnsi"/>
          <w:sz w:val="20"/>
          <w:szCs w:val="20"/>
        </w:rPr>
        <w:t>LOADING</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5BB6025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Режим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навантажування,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характерний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умов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експлуатації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об’єкта</w:t>
      </w:r>
    </w:p>
    <w:p w14:paraId="70841AC4"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2444</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r w:rsidRPr="004D2D14">
        <w:rPr>
          <w:rFonts w:asciiTheme="majorHAnsi" w:hAnsiTheme="majorHAnsi"/>
          <w:i/>
          <w:spacing w:val="1"/>
          <w:sz w:val="20"/>
          <w:szCs w:val="20"/>
          <w:lang w:val="uk-UA"/>
        </w:rPr>
        <w:t xml:space="preserve"> </w:t>
      </w:r>
    </w:p>
    <w:p w14:paraId="1703D1A2"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uk-UA"/>
        </w:rPr>
      </w:pPr>
      <w:r w:rsidRPr="004D2D14">
        <w:rPr>
          <w:rFonts w:asciiTheme="majorHAnsi" w:hAnsiTheme="majorHAnsi"/>
          <w:b/>
          <w:sz w:val="20"/>
          <w:szCs w:val="20"/>
          <w:lang w:val="uk-UA"/>
        </w:rPr>
        <w:t>ЕКСПЛУАТАЦІЙНІ КОРОЗІЙНІ</w:t>
      </w:r>
      <w:r w:rsidRPr="004D2D14">
        <w:rPr>
          <w:rFonts w:asciiTheme="majorHAnsi" w:hAnsiTheme="majorHAnsi"/>
          <w:b/>
          <w:spacing w:val="-48"/>
          <w:sz w:val="20"/>
          <w:szCs w:val="20"/>
          <w:lang w:val="uk-UA"/>
        </w:rPr>
        <w:t xml:space="preserve"> </w:t>
      </w:r>
      <w:r w:rsidRPr="004D2D14">
        <w:rPr>
          <w:rFonts w:asciiTheme="majorHAnsi" w:hAnsiTheme="majorHAnsi"/>
          <w:b/>
          <w:sz w:val="20"/>
          <w:szCs w:val="20"/>
          <w:lang w:val="uk-UA"/>
        </w:rPr>
        <w:t>ВИПРОБУВАННЯ</w:t>
      </w:r>
      <w:r w:rsidRPr="004D2D14">
        <w:rPr>
          <w:rFonts w:asciiTheme="majorHAnsi" w:hAnsiTheme="majorHAnsi"/>
          <w:b/>
          <w:spacing w:val="-1"/>
          <w:sz w:val="20"/>
          <w:szCs w:val="20"/>
          <w:lang w:val="uk-UA"/>
        </w:rPr>
        <w:t xml:space="preserve"> </w:t>
      </w:r>
      <w:r w:rsidRPr="004D2D14">
        <w:rPr>
          <w:rFonts w:asciiTheme="majorHAnsi" w:hAnsiTheme="majorHAnsi"/>
          <w:b/>
          <w:sz w:val="20"/>
          <w:szCs w:val="20"/>
          <w:lang w:val="uk-UA"/>
        </w:rPr>
        <w:t>–</w:t>
      </w:r>
    </w:p>
    <w:p w14:paraId="088DF43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SERVISE</w:t>
      </w:r>
      <w:r w:rsidRPr="004D2D14">
        <w:rPr>
          <w:rFonts w:asciiTheme="majorHAnsi" w:hAnsiTheme="majorHAnsi"/>
          <w:spacing w:val="-2"/>
          <w:sz w:val="20"/>
          <w:szCs w:val="20"/>
          <w:lang w:val="uk-UA"/>
        </w:rPr>
        <w:t xml:space="preserve"> </w:t>
      </w:r>
      <w:r w:rsidRPr="000977F7">
        <w:rPr>
          <w:rFonts w:asciiTheme="majorHAnsi" w:hAnsiTheme="majorHAnsi"/>
          <w:sz w:val="20"/>
          <w:szCs w:val="20"/>
        </w:rPr>
        <w:t>CORROSION</w:t>
      </w:r>
      <w:r w:rsidRPr="004D2D14">
        <w:rPr>
          <w:rFonts w:asciiTheme="majorHAnsi" w:hAnsiTheme="majorHAnsi"/>
          <w:spacing w:val="-1"/>
          <w:sz w:val="20"/>
          <w:szCs w:val="20"/>
          <w:lang w:val="uk-UA"/>
        </w:rPr>
        <w:t xml:space="preserve"> </w:t>
      </w:r>
      <w:r w:rsidRPr="000977F7">
        <w:rPr>
          <w:rFonts w:asciiTheme="majorHAnsi" w:hAnsiTheme="majorHAnsi"/>
          <w:sz w:val="20"/>
          <w:szCs w:val="20"/>
        </w:rPr>
        <w:t>TESTS</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48DEBCF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Корозійні випробування виробів, споруд, засобів захисту</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та ін.</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процесі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експлуатації</w:t>
      </w:r>
    </w:p>
    <w:p w14:paraId="2403570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3830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98</w:t>
      </w:r>
    </w:p>
    <w:p w14:paraId="2F2E431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ЕКСПЛУАТУВАЛЬНА</w:t>
      </w:r>
      <w:r w:rsidRPr="000977F7">
        <w:rPr>
          <w:color w:val="auto"/>
          <w:spacing w:val="-6"/>
          <w:sz w:val="20"/>
          <w:szCs w:val="20"/>
        </w:rPr>
        <w:t xml:space="preserve"> </w:t>
      </w:r>
      <w:r w:rsidRPr="000977F7">
        <w:rPr>
          <w:color w:val="auto"/>
          <w:sz w:val="20"/>
          <w:szCs w:val="20"/>
        </w:rPr>
        <w:t>ОРГАНІЗАЦІЯ</w:t>
      </w:r>
      <w:r w:rsidRPr="000977F7">
        <w:rPr>
          <w:color w:val="auto"/>
          <w:spacing w:val="-5"/>
          <w:sz w:val="20"/>
          <w:szCs w:val="20"/>
        </w:rPr>
        <w:t xml:space="preserve"> </w:t>
      </w:r>
      <w:r w:rsidRPr="000977F7">
        <w:rPr>
          <w:color w:val="auto"/>
          <w:sz w:val="20"/>
          <w:szCs w:val="20"/>
        </w:rPr>
        <w:t>–</w:t>
      </w:r>
    </w:p>
    <w:p w14:paraId="1CD1A9B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OPERATING</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ORGANIZATION –</w:t>
      </w:r>
    </w:p>
    <w:p w14:paraId="3269C1A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Юридична</w:t>
      </w:r>
      <w:r w:rsidRPr="004D2D14">
        <w:rPr>
          <w:rFonts w:asciiTheme="majorHAnsi" w:hAnsiTheme="majorHAnsi"/>
          <w:sz w:val="20"/>
          <w:szCs w:val="20"/>
          <w:lang w:val="en-US"/>
        </w:rPr>
        <w:t xml:space="preserve"> </w:t>
      </w:r>
      <w:r w:rsidRPr="000977F7">
        <w:rPr>
          <w:rFonts w:asciiTheme="majorHAnsi" w:hAnsiTheme="majorHAnsi"/>
          <w:sz w:val="20"/>
          <w:szCs w:val="20"/>
        </w:rPr>
        <w:t>особа</w:t>
      </w:r>
      <w:r w:rsidRPr="004D2D14">
        <w:rPr>
          <w:rFonts w:asciiTheme="majorHAnsi" w:hAnsiTheme="majorHAnsi"/>
          <w:sz w:val="20"/>
          <w:szCs w:val="20"/>
          <w:lang w:val="en-US"/>
        </w:rPr>
        <w:t xml:space="preserve">, </w:t>
      </w:r>
      <w:r w:rsidRPr="000977F7">
        <w:rPr>
          <w:rFonts w:asciiTheme="majorHAnsi" w:hAnsiTheme="majorHAnsi"/>
          <w:sz w:val="20"/>
          <w:szCs w:val="20"/>
        </w:rPr>
        <w:t>уповноважена</w:t>
      </w:r>
      <w:r w:rsidRPr="004D2D14">
        <w:rPr>
          <w:rFonts w:asciiTheme="majorHAnsi" w:hAnsiTheme="majorHAnsi"/>
          <w:sz w:val="20"/>
          <w:szCs w:val="20"/>
          <w:lang w:val="en-US"/>
        </w:rPr>
        <w:t xml:space="preserve"> </w:t>
      </w:r>
      <w:r w:rsidRPr="000977F7">
        <w:rPr>
          <w:rFonts w:asciiTheme="majorHAnsi" w:hAnsiTheme="majorHAnsi"/>
          <w:sz w:val="20"/>
          <w:szCs w:val="20"/>
        </w:rPr>
        <w:t>власником</w:t>
      </w:r>
      <w:r w:rsidRPr="004D2D14">
        <w:rPr>
          <w:rFonts w:asciiTheme="majorHAnsi" w:hAnsiTheme="majorHAnsi"/>
          <w:sz w:val="20"/>
          <w:szCs w:val="20"/>
          <w:lang w:val="en-US"/>
        </w:rPr>
        <w:t xml:space="preserve"> </w:t>
      </w:r>
      <w:r w:rsidRPr="000977F7">
        <w:rPr>
          <w:rFonts w:asciiTheme="majorHAnsi" w:hAnsiTheme="majorHAnsi"/>
          <w:sz w:val="20"/>
          <w:szCs w:val="20"/>
        </w:rPr>
        <w:t>потенційно</w:t>
      </w:r>
      <w:r w:rsidRPr="004D2D14">
        <w:rPr>
          <w:rFonts w:asciiTheme="majorHAnsi" w:hAnsiTheme="majorHAnsi"/>
          <w:sz w:val="20"/>
          <w:szCs w:val="20"/>
          <w:lang w:val="en-US"/>
        </w:rPr>
        <w:t xml:space="preserve"> </w:t>
      </w:r>
      <w:r w:rsidRPr="000977F7">
        <w:rPr>
          <w:rFonts w:asciiTheme="majorHAnsi" w:hAnsiTheme="majorHAnsi"/>
          <w:sz w:val="20"/>
          <w:szCs w:val="20"/>
        </w:rPr>
        <w:t>небезпечного</w:t>
      </w:r>
      <w:r w:rsidRPr="004D2D14">
        <w:rPr>
          <w:rFonts w:asciiTheme="majorHAnsi" w:hAnsiTheme="majorHAnsi"/>
          <w:sz w:val="20"/>
          <w:szCs w:val="20"/>
          <w:lang w:val="en-US"/>
        </w:rPr>
        <w:t xml:space="preserve"> </w:t>
      </w:r>
      <w:r w:rsidRPr="000977F7">
        <w:rPr>
          <w:rFonts w:asciiTheme="majorHAnsi" w:hAnsiTheme="majorHAnsi"/>
          <w:sz w:val="20"/>
          <w:szCs w:val="20"/>
        </w:rPr>
        <w:t>підприємства</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взяло</w:t>
      </w:r>
      <w:r w:rsidRPr="004D2D14">
        <w:rPr>
          <w:rFonts w:asciiTheme="majorHAnsi" w:hAnsiTheme="majorHAnsi"/>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себе</w:t>
      </w:r>
      <w:r w:rsidRPr="004D2D14">
        <w:rPr>
          <w:rFonts w:asciiTheme="majorHAnsi" w:hAnsiTheme="majorHAnsi"/>
          <w:sz w:val="20"/>
          <w:szCs w:val="20"/>
          <w:lang w:val="en-US"/>
        </w:rPr>
        <w:t xml:space="preserve"> </w:t>
      </w:r>
      <w:r w:rsidRPr="000977F7">
        <w:rPr>
          <w:rFonts w:asciiTheme="majorHAnsi" w:hAnsiTheme="majorHAnsi"/>
          <w:sz w:val="20"/>
          <w:szCs w:val="20"/>
        </w:rPr>
        <w:t>зобов</w:t>
      </w:r>
      <w:r w:rsidRPr="004D2D14">
        <w:rPr>
          <w:rFonts w:asciiTheme="majorHAnsi" w:hAnsiTheme="majorHAnsi"/>
          <w:sz w:val="20"/>
          <w:szCs w:val="20"/>
          <w:lang w:val="en-US"/>
        </w:rPr>
        <w:t>'</w:t>
      </w:r>
      <w:r w:rsidRPr="000977F7">
        <w:rPr>
          <w:rFonts w:asciiTheme="majorHAnsi" w:hAnsiTheme="majorHAnsi"/>
          <w:sz w:val="20"/>
          <w:szCs w:val="20"/>
        </w:rPr>
        <w:t>язання</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відповідальність</w:t>
      </w:r>
      <w:r w:rsidRPr="004D2D14">
        <w:rPr>
          <w:rFonts w:asciiTheme="majorHAnsi" w:hAnsiTheme="majorHAnsi"/>
          <w:spacing w:val="1"/>
          <w:sz w:val="20"/>
          <w:szCs w:val="20"/>
          <w:lang w:val="en-US"/>
        </w:rPr>
        <w:t xml:space="preserve"> </w:t>
      </w:r>
      <w:r w:rsidRPr="000977F7">
        <w:rPr>
          <w:rFonts w:asciiTheme="majorHAnsi" w:hAnsiTheme="majorHAnsi"/>
          <w:sz w:val="20"/>
          <w:szCs w:val="20"/>
        </w:rPr>
        <w:t>згідно</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законодавством</w:t>
      </w:r>
      <w:r w:rsidRPr="004D2D14">
        <w:rPr>
          <w:rFonts w:asciiTheme="majorHAnsi" w:hAnsiTheme="majorHAnsi"/>
          <w:sz w:val="20"/>
          <w:szCs w:val="20"/>
          <w:lang w:val="en-US"/>
        </w:rPr>
        <w:t xml:space="preserve"> </w:t>
      </w:r>
      <w:r w:rsidRPr="000977F7">
        <w:rPr>
          <w:rFonts w:asciiTheme="majorHAnsi" w:hAnsiTheme="majorHAnsi"/>
          <w:sz w:val="20"/>
          <w:szCs w:val="20"/>
        </w:rPr>
        <w:t>за</w:t>
      </w:r>
      <w:r w:rsidRPr="004D2D14">
        <w:rPr>
          <w:rFonts w:asciiTheme="majorHAnsi" w:hAnsiTheme="majorHAnsi"/>
          <w:spacing w:val="-47"/>
          <w:sz w:val="20"/>
          <w:szCs w:val="20"/>
          <w:lang w:val="en-US"/>
        </w:rPr>
        <w:t xml:space="preserve"> </w:t>
      </w:r>
      <w:r w:rsidRPr="000977F7">
        <w:rPr>
          <w:rFonts w:asciiTheme="majorHAnsi" w:hAnsiTheme="majorHAnsi"/>
          <w:sz w:val="20"/>
          <w:szCs w:val="20"/>
        </w:rPr>
        <w:t>діяльність</w:t>
      </w:r>
      <w:r w:rsidRPr="004D2D14">
        <w:rPr>
          <w:rFonts w:asciiTheme="majorHAnsi" w:hAnsiTheme="majorHAnsi"/>
          <w:sz w:val="20"/>
          <w:szCs w:val="20"/>
          <w:lang w:val="en-US"/>
        </w:rPr>
        <w:t xml:space="preserve"> </w:t>
      </w:r>
      <w:r w:rsidRPr="000977F7">
        <w:rPr>
          <w:rFonts w:asciiTheme="majorHAnsi" w:hAnsiTheme="majorHAnsi"/>
          <w:sz w:val="20"/>
          <w:szCs w:val="20"/>
        </w:rPr>
        <w:t>власними</w:t>
      </w:r>
      <w:r w:rsidRPr="004D2D14">
        <w:rPr>
          <w:rFonts w:asciiTheme="majorHAnsi" w:hAnsiTheme="majorHAnsi"/>
          <w:sz w:val="20"/>
          <w:szCs w:val="20"/>
          <w:lang w:val="en-US"/>
        </w:rPr>
        <w:t xml:space="preserve"> </w:t>
      </w:r>
      <w:r w:rsidRPr="000977F7">
        <w:rPr>
          <w:rFonts w:asciiTheme="majorHAnsi" w:hAnsiTheme="majorHAnsi"/>
          <w:sz w:val="20"/>
          <w:szCs w:val="20"/>
        </w:rPr>
        <w:t>силами</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залученням</w:t>
      </w:r>
      <w:r w:rsidRPr="004D2D14">
        <w:rPr>
          <w:rFonts w:asciiTheme="majorHAnsi" w:hAnsiTheme="majorHAnsi"/>
          <w:sz w:val="20"/>
          <w:szCs w:val="20"/>
          <w:lang w:val="en-US"/>
        </w:rPr>
        <w:t xml:space="preserve"> </w:t>
      </w:r>
      <w:r w:rsidRPr="000977F7">
        <w:rPr>
          <w:rFonts w:asciiTheme="majorHAnsi" w:hAnsiTheme="majorHAnsi"/>
          <w:sz w:val="20"/>
          <w:szCs w:val="20"/>
        </w:rPr>
        <w:t>інших</w:t>
      </w:r>
      <w:r w:rsidRPr="004D2D14">
        <w:rPr>
          <w:rFonts w:asciiTheme="majorHAnsi" w:hAnsiTheme="majorHAnsi"/>
          <w:spacing w:val="1"/>
          <w:sz w:val="20"/>
          <w:szCs w:val="20"/>
          <w:lang w:val="en-US"/>
        </w:rPr>
        <w:t xml:space="preserve"> </w:t>
      </w:r>
      <w:r w:rsidRPr="000977F7">
        <w:rPr>
          <w:rFonts w:asciiTheme="majorHAnsi" w:hAnsiTheme="majorHAnsi"/>
          <w:sz w:val="20"/>
          <w:szCs w:val="20"/>
        </w:rPr>
        <w:t>підприємств</w:t>
      </w:r>
      <w:r w:rsidRPr="004D2D14">
        <w:rPr>
          <w:rFonts w:asciiTheme="majorHAnsi" w:hAnsiTheme="majorHAnsi"/>
          <w:sz w:val="20"/>
          <w:szCs w:val="20"/>
          <w:lang w:val="en-US"/>
        </w:rPr>
        <w:t xml:space="preserve"> (</w:t>
      </w:r>
      <w:r w:rsidRPr="000977F7">
        <w:rPr>
          <w:rFonts w:asciiTheme="majorHAnsi" w:hAnsiTheme="majorHAnsi"/>
          <w:sz w:val="20"/>
          <w:szCs w:val="20"/>
        </w:rPr>
        <w:t>організацій</w:t>
      </w:r>
      <w:r w:rsidRPr="004D2D14">
        <w:rPr>
          <w:rFonts w:asciiTheme="majorHAnsi" w:hAnsiTheme="majorHAnsi"/>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всіх</w:t>
      </w:r>
      <w:r w:rsidRPr="004D2D14">
        <w:rPr>
          <w:rFonts w:asciiTheme="majorHAnsi" w:hAnsiTheme="majorHAnsi"/>
          <w:sz w:val="20"/>
          <w:szCs w:val="20"/>
          <w:lang w:val="en-US"/>
        </w:rPr>
        <w:t xml:space="preserve"> </w:t>
      </w:r>
      <w:r w:rsidRPr="000977F7">
        <w:rPr>
          <w:rFonts w:asciiTheme="majorHAnsi" w:hAnsiTheme="majorHAnsi"/>
          <w:sz w:val="20"/>
          <w:szCs w:val="20"/>
        </w:rPr>
        <w:t>етапах</w:t>
      </w:r>
      <w:r w:rsidRPr="004D2D14">
        <w:rPr>
          <w:rFonts w:asciiTheme="majorHAnsi" w:hAnsiTheme="majorHAnsi"/>
          <w:sz w:val="20"/>
          <w:szCs w:val="20"/>
          <w:lang w:val="en-US"/>
        </w:rPr>
        <w:t xml:space="preserve"> </w:t>
      </w:r>
      <w:r w:rsidRPr="000977F7">
        <w:rPr>
          <w:rFonts w:asciiTheme="majorHAnsi" w:hAnsiTheme="majorHAnsi"/>
          <w:sz w:val="20"/>
          <w:szCs w:val="20"/>
        </w:rPr>
        <w:t>циклу</w:t>
      </w:r>
      <w:r w:rsidRPr="004D2D14">
        <w:rPr>
          <w:rFonts w:asciiTheme="majorHAnsi" w:hAnsiTheme="majorHAnsi"/>
          <w:sz w:val="20"/>
          <w:szCs w:val="20"/>
          <w:lang w:val="en-US"/>
        </w:rPr>
        <w:t xml:space="preserve"> </w:t>
      </w:r>
      <w:r w:rsidRPr="000977F7">
        <w:rPr>
          <w:rFonts w:asciiTheme="majorHAnsi" w:hAnsiTheme="majorHAnsi"/>
          <w:sz w:val="20"/>
          <w:szCs w:val="20"/>
        </w:rPr>
        <w:t>існування</w:t>
      </w:r>
      <w:r w:rsidRPr="004D2D14">
        <w:rPr>
          <w:rFonts w:asciiTheme="majorHAnsi" w:hAnsiTheme="majorHAnsi"/>
          <w:sz w:val="20"/>
          <w:szCs w:val="20"/>
          <w:lang w:val="en-US"/>
        </w:rPr>
        <w:t xml:space="preserve"> </w:t>
      </w:r>
      <w:r w:rsidRPr="000977F7">
        <w:rPr>
          <w:rFonts w:asciiTheme="majorHAnsi" w:hAnsiTheme="majorHAnsi"/>
          <w:sz w:val="20"/>
          <w:szCs w:val="20"/>
        </w:rPr>
        <w:t>підприємства</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єкту</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має</w:t>
      </w:r>
      <w:r w:rsidRPr="004D2D14">
        <w:rPr>
          <w:rFonts w:asciiTheme="majorHAnsi" w:hAnsiTheme="majorHAnsi"/>
          <w:sz w:val="20"/>
          <w:szCs w:val="20"/>
          <w:lang w:val="en-US"/>
        </w:rPr>
        <w:t xml:space="preserve"> </w:t>
      </w:r>
      <w:r w:rsidRPr="000977F7">
        <w:rPr>
          <w:rFonts w:asciiTheme="majorHAnsi" w:hAnsiTheme="majorHAnsi"/>
          <w:sz w:val="20"/>
          <w:szCs w:val="20"/>
        </w:rPr>
        <w:t>дозвіл</w:t>
      </w:r>
      <w:r w:rsidRPr="004D2D14">
        <w:rPr>
          <w:rFonts w:asciiTheme="majorHAnsi" w:hAnsiTheme="majorHAnsi"/>
          <w:sz w:val="20"/>
          <w:szCs w:val="20"/>
          <w:lang w:val="en-US"/>
        </w:rPr>
        <w:t xml:space="preserve"> (</w:t>
      </w:r>
      <w:r w:rsidRPr="000977F7">
        <w:rPr>
          <w:rFonts w:asciiTheme="majorHAnsi" w:hAnsiTheme="majorHAnsi"/>
          <w:sz w:val="20"/>
          <w:szCs w:val="20"/>
        </w:rPr>
        <w:t>ліцензію</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відповідного</w:t>
      </w:r>
      <w:r w:rsidRPr="004D2D14">
        <w:rPr>
          <w:rFonts w:asciiTheme="majorHAnsi" w:hAnsiTheme="majorHAnsi"/>
          <w:sz w:val="20"/>
          <w:szCs w:val="20"/>
          <w:lang w:val="en-US"/>
        </w:rPr>
        <w:t xml:space="preserve"> </w:t>
      </w:r>
      <w:r w:rsidRPr="000977F7">
        <w:rPr>
          <w:rFonts w:asciiTheme="majorHAnsi" w:hAnsiTheme="majorHAnsi"/>
          <w:sz w:val="20"/>
          <w:szCs w:val="20"/>
        </w:rPr>
        <w:t>державного</w:t>
      </w:r>
      <w:r w:rsidRPr="004D2D14">
        <w:rPr>
          <w:rFonts w:asciiTheme="majorHAnsi" w:hAnsiTheme="majorHAnsi"/>
          <w:sz w:val="20"/>
          <w:szCs w:val="20"/>
          <w:lang w:val="en-US"/>
        </w:rPr>
        <w:t xml:space="preserve"> </w:t>
      </w:r>
      <w:r w:rsidRPr="000977F7">
        <w:rPr>
          <w:rFonts w:asciiTheme="majorHAnsi" w:hAnsiTheme="majorHAnsi"/>
          <w:sz w:val="20"/>
          <w:szCs w:val="20"/>
        </w:rPr>
        <w:t>органу</w:t>
      </w:r>
      <w:r w:rsidRPr="004D2D14">
        <w:rPr>
          <w:rFonts w:asciiTheme="majorHAnsi" w:hAnsiTheme="majorHAnsi"/>
          <w:sz w:val="20"/>
          <w:szCs w:val="20"/>
          <w:lang w:val="en-US"/>
        </w:rPr>
        <w:t xml:space="preserve"> </w:t>
      </w:r>
      <w:r w:rsidRPr="000977F7">
        <w:rPr>
          <w:rFonts w:asciiTheme="majorHAnsi" w:hAnsiTheme="majorHAnsi"/>
          <w:sz w:val="20"/>
          <w:szCs w:val="20"/>
        </w:rPr>
        <w:t>регулювання</w:t>
      </w:r>
      <w:r w:rsidRPr="004D2D14">
        <w:rPr>
          <w:rFonts w:asciiTheme="majorHAnsi" w:hAnsiTheme="majorHAnsi"/>
          <w:sz w:val="20"/>
          <w:szCs w:val="20"/>
          <w:lang w:val="en-US"/>
        </w:rPr>
        <w:t xml:space="preserve"> </w:t>
      </w:r>
      <w:r w:rsidRPr="000977F7">
        <w:rPr>
          <w:rFonts w:asciiTheme="majorHAnsi" w:hAnsiTheme="majorHAnsi"/>
          <w:sz w:val="20"/>
          <w:szCs w:val="20"/>
        </w:rPr>
        <w:t>безпеки</w:t>
      </w:r>
      <w:r w:rsidRPr="004D2D14">
        <w:rPr>
          <w:rFonts w:asciiTheme="majorHAnsi" w:hAnsiTheme="majorHAnsi"/>
          <w:spacing w:val="-47"/>
          <w:sz w:val="20"/>
          <w:szCs w:val="20"/>
          <w:lang w:val="en-US"/>
        </w:rPr>
        <w:t xml:space="preserve">         </w:t>
      </w:r>
      <w:r w:rsidRPr="000977F7">
        <w:rPr>
          <w:rFonts w:asciiTheme="majorHAnsi" w:hAnsiTheme="majorHAnsi"/>
          <w:sz w:val="20"/>
          <w:szCs w:val="20"/>
        </w:rPr>
        <w:t>на</w:t>
      </w:r>
      <w:r w:rsidRPr="004D2D14">
        <w:rPr>
          <w:rFonts w:asciiTheme="majorHAnsi" w:hAnsiTheme="majorHAnsi"/>
          <w:spacing w:val="-1"/>
          <w:sz w:val="20"/>
          <w:szCs w:val="20"/>
          <w:lang w:val="en-US"/>
        </w:rPr>
        <w:t xml:space="preserve"> </w:t>
      </w:r>
      <w:r w:rsidRPr="000977F7">
        <w:rPr>
          <w:rFonts w:asciiTheme="majorHAnsi" w:hAnsiTheme="majorHAnsi"/>
          <w:sz w:val="20"/>
          <w:szCs w:val="20"/>
        </w:rPr>
        <w:t>таку</w:t>
      </w:r>
      <w:r w:rsidRPr="004D2D14">
        <w:rPr>
          <w:rFonts w:asciiTheme="majorHAnsi" w:hAnsiTheme="majorHAnsi"/>
          <w:spacing w:val="-1"/>
          <w:sz w:val="20"/>
          <w:szCs w:val="20"/>
          <w:lang w:val="en-US"/>
        </w:rPr>
        <w:t xml:space="preserve"> </w:t>
      </w:r>
      <w:r w:rsidRPr="000977F7">
        <w:rPr>
          <w:rFonts w:asciiTheme="majorHAnsi" w:hAnsiTheme="majorHAnsi"/>
          <w:sz w:val="20"/>
          <w:szCs w:val="20"/>
        </w:rPr>
        <w:t>діяльність</w:t>
      </w:r>
    </w:p>
    <w:p w14:paraId="1E37FA0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647F421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ЕКСПОЗИЦІЯ</w:t>
      </w:r>
      <w:r w:rsidRPr="000977F7">
        <w:rPr>
          <w:color w:val="auto"/>
          <w:spacing w:val="-3"/>
          <w:sz w:val="20"/>
          <w:szCs w:val="20"/>
        </w:rPr>
        <w:t xml:space="preserve"> </w:t>
      </w:r>
      <w:r w:rsidRPr="000977F7">
        <w:rPr>
          <w:color w:val="auto"/>
          <w:sz w:val="20"/>
          <w:szCs w:val="20"/>
        </w:rPr>
        <w:t>ШУМОВОГО</w:t>
      </w:r>
      <w:r w:rsidRPr="000977F7">
        <w:rPr>
          <w:color w:val="auto"/>
          <w:spacing w:val="1"/>
          <w:sz w:val="20"/>
          <w:szCs w:val="20"/>
        </w:rPr>
        <w:t xml:space="preserve"> </w:t>
      </w:r>
      <w:r w:rsidRPr="000977F7">
        <w:rPr>
          <w:color w:val="auto"/>
          <w:sz w:val="20"/>
          <w:szCs w:val="20"/>
        </w:rPr>
        <w:t>ВПЛИВУ</w:t>
      </w:r>
      <w:r w:rsidRPr="000977F7">
        <w:rPr>
          <w:color w:val="auto"/>
          <w:spacing w:val="-4"/>
          <w:sz w:val="20"/>
          <w:szCs w:val="20"/>
        </w:rPr>
        <w:t xml:space="preserve"> </w:t>
      </w:r>
      <w:r w:rsidRPr="000977F7">
        <w:rPr>
          <w:color w:val="auto"/>
          <w:sz w:val="20"/>
          <w:szCs w:val="20"/>
        </w:rPr>
        <w:t>–</w:t>
      </w:r>
    </w:p>
    <w:p w14:paraId="011685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Звукове подразнення, яке впливає на людину в цілому </w:t>
      </w:r>
      <w:r w:rsidRPr="000977F7">
        <w:rPr>
          <w:rFonts w:asciiTheme="majorHAnsi" w:hAnsiTheme="majorHAnsi"/>
          <w:spacing w:val="-47"/>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на її</w:t>
      </w:r>
      <w:r w:rsidRPr="000977F7">
        <w:rPr>
          <w:rFonts w:asciiTheme="majorHAnsi" w:hAnsiTheme="majorHAnsi"/>
          <w:spacing w:val="-2"/>
          <w:sz w:val="20"/>
          <w:szCs w:val="20"/>
        </w:rPr>
        <w:t xml:space="preserve"> </w:t>
      </w:r>
      <w:r w:rsidRPr="000977F7">
        <w:rPr>
          <w:rFonts w:asciiTheme="majorHAnsi" w:hAnsiTheme="majorHAnsi"/>
          <w:sz w:val="20"/>
          <w:szCs w:val="20"/>
        </w:rPr>
        <w:t>вухо</w:t>
      </w:r>
      <w:r w:rsidRPr="000977F7">
        <w:rPr>
          <w:rFonts w:asciiTheme="majorHAnsi" w:hAnsiTheme="majorHAnsi"/>
          <w:spacing w:val="3"/>
          <w:sz w:val="20"/>
          <w:szCs w:val="20"/>
        </w:rPr>
        <w:t xml:space="preserve"> </w:t>
      </w:r>
      <w:r w:rsidRPr="000977F7">
        <w:rPr>
          <w:rFonts w:asciiTheme="majorHAnsi" w:hAnsiTheme="majorHAnsi"/>
          <w:sz w:val="20"/>
          <w:szCs w:val="20"/>
        </w:rPr>
        <w:t>протягом певного</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580B8A7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3038 – 95</w:t>
      </w:r>
    </w:p>
    <w:p w14:paraId="4DCBB55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ЕКСТРЕМАЛЬНИЙ</w:t>
      </w:r>
      <w:r w:rsidRPr="000977F7">
        <w:rPr>
          <w:color w:val="auto"/>
          <w:spacing w:val="44"/>
          <w:sz w:val="20"/>
          <w:szCs w:val="20"/>
        </w:rPr>
        <w:t xml:space="preserve"> </w:t>
      </w:r>
      <w:r w:rsidRPr="000977F7">
        <w:rPr>
          <w:color w:val="auto"/>
          <w:sz w:val="20"/>
          <w:szCs w:val="20"/>
        </w:rPr>
        <w:t>ВПЛИВ –</w:t>
      </w:r>
    </w:p>
    <w:p w14:paraId="1AF8EC8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Шкідливе діяння техногенних чинників, яке виникло</w:t>
      </w:r>
      <w:r w:rsidRPr="000977F7">
        <w:rPr>
          <w:rFonts w:asciiTheme="majorHAnsi" w:hAnsiTheme="majorHAnsi"/>
          <w:spacing w:val="1"/>
          <w:sz w:val="20"/>
          <w:szCs w:val="20"/>
        </w:rPr>
        <w:t xml:space="preserve"> </w:t>
      </w:r>
      <w:r w:rsidRPr="000977F7">
        <w:rPr>
          <w:rFonts w:asciiTheme="majorHAnsi" w:hAnsiTheme="majorHAnsi"/>
          <w:sz w:val="20"/>
          <w:szCs w:val="20"/>
        </w:rPr>
        <w:t>раптово і загрожує життю та здоров'ю працівників та</w:t>
      </w:r>
      <w:r w:rsidRPr="000977F7">
        <w:rPr>
          <w:rFonts w:asciiTheme="majorHAnsi" w:hAnsiTheme="majorHAnsi"/>
          <w:spacing w:val="1"/>
          <w:sz w:val="20"/>
          <w:szCs w:val="20"/>
        </w:rPr>
        <w:t xml:space="preserve"> </w:t>
      </w:r>
      <w:r w:rsidRPr="000977F7">
        <w:rPr>
          <w:rFonts w:asciiTheme="majorHAnsi" w:hAnsiTheme="majorHAnsi"/>
          <w:sz w:val="20"/>
          <w:szCs w:val="20"/>
        </w:rPr>
        <w:t>населення</w:t>
      </w:r>
    </w:p>
    <w:p w14:paraId="5A96BEA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3038 – 95</w:t>
      </w:r>
    </w:p>
    <w:p w14:paraId="641DBF3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ЕЛЕКТРИЧНІ</w:t>
      </w:r>
      <w:r w:rsidRPr="000977F7">
        <w:rPr>
          <w:color w:val="auto"/>
          <w:spacing w:val="41"/>
          <w:sz w:val="20"/>
          <w:szCs w:val="20"/>
        </w:rPr>
        <w:t xml:space="preserve"> </w:t>
      </w:r>
      <w:r w:rsidRPr="000977F7">
        <w:rPr>
          <w:color w:val="auto"/>
          <w:sz w:val="20"/>
          <w:szCs w:val="20"/>
        </w:rPr>
        <w:t>ВИПРОБУВАННЯ –</w:t>
      </w:r>
    </w:p>
    <w:p w14:paraId="643CE4E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ELECTRIC</w:t>
      </w:r>
      <w:r w:rsidRPr="000977F7">
        <w:rPr>
          <w:rFonts w:asciiTheme="majorHAnsi" w:hAnsiTheme="majorHAnsi"/>
          <w:spacing w:val="-3"/>
          <w:sz w:val="20"/>
          <w:szCs w:val="20"/>
        </w:rPr>
        <w:t xml:space="preserve"> </w:t>
      </w:r>
      <w:r w:rsidRPr="000977F7">
        <w:rPr>
          <w:rFonts w:asciiTheme="majorHAnsi" w:hAnsiTheme="majorHAnsi"/>
          <w:sz w:val="20"/>
          <w:szCs w:val="20"/>
        </w:rPr>
        <w:t>TEST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0F25BEB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вплив</w:t>
      </w:r>
      <w:r w:rsidRPr="000977F7">
        <w:rPr>
          <w:rFonts w:asciiTheme="majorHAnsi" w:hAnsiTheme="majorHAnsi"/>
          <w:spacing w:val="-4"/>
          <w:sz w:val="20"/>
          <w:szCs w:val="20"/>
        </w:rPr>
        <w:t xml:space="preserve"> </w:t>
      </w:r>
      <w:r w:rsidRPr="000977F7">
        <w:rPr>
          <w:rFonts w:asciiTheme="majorHAnsi" w:hAnsiTheme="majorHAnsi"/>
          <w:sz w:val="20"/>
          <w:szCs w:val="20"/>
        </w:rPr>
        <w:t>електричної</w:t>
      </w:r>
      <w:r w:rsidRPr="000977F7">
        <w:rPr>
          <w:rFonts w:asciiTheme="majorHAnsi" w:hAnsiTheme="majorHAnsi"/>
          <w:spacing w:val="-4"/>
          <w:sz w:val="20"/>
          <w:szCs w:val="20"/>
        </w:rPr>
        <w:t xml:space="preserve"> </w:t>
      </w:r>
      <w:r w:rsidRPr="000977F7">
        <w:rPr>
          <w:rFonts w:asciiTheme="majorHAnsi" w:hAnsiTheme="majorHAnsi"/>
          <w:sz w:val="20"/>
          <w:szCs w:val="20"/>
        </w:rPr>
        <w:t>напруги</w:t>
      </w:r>
      <w:r w:rsidRPr="000977F7">
        <w:rPr>
          <w:rFonts w:asciiTheme="majorHAnsi" w:hAnsiTheme="majorHAnsi"/>
          <w:spacing w:val="-4"/>
          <w:sz w:val="20"/>
          <w:szCs w:val="20"/>
        </w:rPr>
        <w:t xml:space="preserve"> </w:t>
      </w:r>
      <w:r w:rsidRPr="000977F7">
        <w:rPr>
          <w:rFonts w:asciiTheme="majorHAnsi" w:hAnsiTheme="majorHAnsi"/>
          <w:sz w:val="20"/>
          <w:szCs w:val="20"/>
        </w:rPr>
        <w:t>або</w:t>
      </w:r>
      <w:r w:rsidRPr="000977F7">
        <w:rPr>
          <w:rFonts w:asciiTheme="majorHAnsi" w:hAnsiTheme="majorHAnsi"/>
          <w:spacing w:val="-2"/>
          <w:sz w:val="20"/>
          <w:szCs w:val="20"/>
        </w:rPr>
        <w:t xml:space="preserve"> </w:t>
      </w:r>
      <w:r w:rsidRPr="000977F7">
        <w:rPr>
          <w:rFonts w:asciiTheme="majorHAnsi" w:hAnsiTheme="majorHAnsi"/>
          <w:sz w:val="20"/>
          <w:szCs w:val="20"/>
        </w:rPr>
        <w:t>поля</w:t>
      </w:r>
    </w:p>
    <w:p w14:paraId="3613568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ЕЛЕКТРОМАГНІТНА ЗАВАДА –</w:t>
      </w:r>
    </w:p>
    <w:p w14:paraId="1EEBCBF8"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Будь-яке електромагнітне явище, яке може призвести до погіршення функціонування обладнання. Електромагнітною завадою може бути електромагнітний шум, небажаний сигнал або зміна в самому середовищі розповсюдження</w:t>
      </w:r>
    </w:p>
    <w:p w14:paraId="56FCA8C8"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Технічний регламент з електромагнітної сумісності обладнання</w:t>
      </w:r>
    </w:p>
    <w:p w14:paraId="35E3E9A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ЕЛЕКТРОМАГНІТНІ ВИПРОБУВАННЯ-</w:t>
      </w:r>
    </w:p>
    <w:p w14:paraId="0386B1B0"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ELECTROMAGNETIC TEST –</w:t>
      </w:r>
    </w:p>
    <w:p w14:paraId="615B6B80"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Випробування на вплив електромагнітних полів</w:t>
      </w:r>
    </w:p>
    <w:p w14:paraId="0B38010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ЕЛЕКТРОННЕ ПОВІДОМЛЕННЯ –</w:t>
      </w:r>
    </w:p>
    <w:p w14:paraId="7E8CB9EA"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Інформація, надана споживачу через телекомунікаційні мережі, яка може бути у будь-який спосіб відтворена або збережена споживачем в електронному вигляді</w:t>
      </w:r>
    </w:p>
    <w:p w14:paraId="77C54BAD"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Закон України "Про захист прав споживачів"</w:t>
      </w:r>
    </w:p>
    <w:p w14:paraId="66F52DD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ЕЛЕМЕНТ</w:t>
      </w:r>
      <w:r w:rsidRPr="000977F7">
        <w:rPr>
          <w:color w:val="auto"/>
          <w:spacing w:val="43"/>
          <w:sz w:val="20"/>
          <w:szCs w:val="20"/>
        </w:rPr>
        <w:t xml:space="preserve"> </w:t>
      </w:r>
      <w:r w:rsidRPr="000977F7">
        <w:rPr>
          <w:color w:val="auto"/>
          <w:sz w:val="20"/>
          <w:szCs w:val="20"/>
        </w:rPr>
        <w:t>ТЕХНОЛОГІЧНОЇ</w:t>
      </w:r>
      <w:r w:rsidRPr="000977F7">
        <w:rPr>
          <w:color w:val="auto"/>
          <w:spacing w:val="43"/>
          <w:sz w:val="20"/>
          <w:szCs w:val="20"/>
        </w:rPr>
        <w:t xml:space="preserve"> </w:t>
      </w:r>
      <w:r w:rsidRPr="000977F7">
        <w:rPr>
          <w:color w:val="auto"/>
          <w:sz w:val="20"/>
          <w:szCs w:val="20"/>
        </w:rPr>
        <w:t>СИСТЕМИ</w:t>
      </w:r>
      <w:r w:rsidRPr="000977F7">
        <w:rPr>
          <w:color w:val="auto"/>
          <w:spacing w:val="1"/>
          <w:sz w:val="20"/>
          <w:szCs w:val="20"/>
        </w:rPr>
        <w:t xml:space="preserve"> </w:t>
      </w:r>
      <w:r w:rsidRPr="000977F7">
        <w:rPr>
          <w:color w:val="auto"/>
          <w:sz w:val="20"/>
          <w:szCs w:val="20"/>
        </w:rPr>
        <w:t>–</w:t>
      </w:r>
    </w:p>
    <w:p w14:paraId="66ECBD5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TECHNOLOGICAL</w:t>
      </w:r>
      <w:r w:rsidRPr="004D2D14">
        <w:rPr>
          <w:rFonts w:asciiTheme="majorHAnsi" w:hAnsiTheme="majorHAnsi"/>
          <w:spacing w:val="44"/>
          <w:sz w:val="20"/>
          <w:szCs w:val="20"/>
          <w:lang w:val="en-US"/>
        </w:rPr>
        <w:t xml:space="preserve"> </w:t>
      </w:r>
      <w:r w:rsidRPr="004D2D14">
        <w:rPr>
          <w:rFonts w:asciiTheme="majorHAnsi" w:hAnsiTheme="majorHAnsi"/>
          <w:sz w:val="20"/>
          <w:szCs w:val="20"/>
          <w:lang w:val="en-US"/>
        </w:rPr>
        <w:t>SYSTEM</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ELEMENT</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w:t>
      </w:r>
    </w:p>
    <w:p w14:paraId="232989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33"/>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33"/>
          <w:sz w:val="20"/>
          <w:szCs w:val="20"/>
        </w:rPr>
        <w:t xml:space="preserve"> </w:t>
      </w:r>
      <w:r w:rsidRPr="000977F7">
        <w:rPr>
          <w:rFonts w:asciiTheme="majorHAnsi" w:hAnsiTheme="majorHAnsi"/>
          <w:sz w:val="20"/>
          <w:szCs w:val="20"/>
        </w:rPr>
        <w:t>системи,</w:t>
      </w:r>
      <w:r w:rsidRPr="000977F7">
        <w:rPr>
          <w:rFonts w:asciiTheme="majorHAnsi" w:hAnsiTheme="majorHAnsi"/>
          <w:spacing w:val="33"/>
          <w:sz w:val="20"/>
          <w:szCs w:val="20"/>
        </w:rPr>
        <w:t xml:space="preserve"> </w:t>
      </w:r>
      <w:r w:rsidRPr="000977F7">
        <w:rPr>
          <w:rFonts w:asciiTheme="majorHAnsi" w:hAnsiTheme="majorHAnsi"/>
          <w:sz w:val="20"/>
          <w:szCs w:val="20"/>
        </w:rPr>
        <w:t>яку</w:t>
      </w:r>
      <w:r w:rsidRPr="000977F7">
        <w:rPr>
          <w:rFonts w:asciiTheme="majorHAnsi" w:hAnsiTheme="majorHAnsi"/>
          <w:spacing w:val="34"/>
          <w:sz w:val="20"/>
          <w:szCs w:val="20"/>
        </w:rPr>
        <w:t xml:space="preserve"> </w:t>
      </w:r>
      <w:r w:rsidRPr="000977F7">
        <w:rPr>
          <w:rFonts w:asciiTheme="majorHAnsi" w:hAnsiTheme="majorHAnsi"/>
          <w:sz w:val="20"/>
          <w:szCs w:val="20"/>
        </w:rPr>
        <w:t>умовно</w:t>
      </w:r>
      <w:r w:rsidRPr="000977F7">
        <w:rPr>
          <w:rFonts w:asciiTheme="majorHAnsi" w:hAnsiTheme="majorHAnsi"/>
          <w:spacing w:val="34"/>
          <w:sz w:val="20"/>
          <w:szCs w:val="20"/>
        </w:rPr>
        <w:t xml:space="preserve"> </w:t>
      </w:r>
      <w:r w:rsidRPr="000977F7">
        <w:rPr>
          <w:rFonts w:asciiTheme="majorHAnsi" w:hAnsiTheme="majorHAnsi"/>
          <w:sz w:val="20"/>
          <w:szCs w:val="20"/>
        </w:rPr>
        <w:t>приймають</w:t>
      </w:r>
      <w:r w:rsidRPr="000977F7">
        <w:rPr>
          <w:rFonts w:asciiTheme="majorHAnsi" w:hAnsiTheme="majorHAnsi"/>
          <w:spacing w:val="-1"/>
          <w:sz w:val="20"/>
          <w:szCs w:val="20"/>
        </w:rPr>
        <w:t xml:space="preserve"> </w:t>
      </w:r>
      <w:r w:rsidRPr="000977F7">
        <w:rPr>
          <w:rFonts w:asciiTheme="majorHAnsi" w:hAnsiTheme="majorHAnsi"/>
          <w:sz w:val="20"/>
          <w:szCs w:val="20"/>
        </w:rPr>
        <w:t>неподільною</w:t>
      </w:r>
      <w:r w:rsidRPr="000977F7">
        <w:rPr>
          <w:rFonts w:asciiTheme="majorHAnsi" w:hAnsiTheme="majorHAnsi"/>
          <w:spacing w:val="2"/>
          <w:sz w:val="20"/>
          <w:szCs w:val="20"/>
        </w:rPr>
        <w:t xml:space="preserve"> </w:t>
      </w:r>
      <w:r w:rsidRPr="000977F7">
        <w:rPr>
          <w:rFonts w:asciiTheme="majorHAnsi" w:hAnsiTheme="majorHAnsi"/>
          <w:sz w:val="20"/>
          <w:szCs w:val="20"/>
        </w:rPr>
        <w:t>на даній</w:t>
      </w:r>
      <w:r w:rsidRPr="000977F7">
        <w:rPr>
          <w:rFonts w:asciiTheme="majorHAnsi" w:hAnsiTheme="majorHAnsi"/>
          <w:spacing w:val="-2"/>
          <w:sz w:val="20"/>
          <w:szCs w:val="20"/>
        </w:rPr>
        <w:t xml:space="preserve"> </w:t>
      </w:r>
      <w:r w:rsidRPr="000977F7">
        <w:rPr>
          <w:rFonts w:asciiTheme="majorHAnsi" w:hAnsiTheme="majorHAnsi"/>
          <w:sz w:val="20"/>
          <w:szCs w:val="20"/>
        </w:rPr>
        <w:t>стадії</w:t>
      </w:r>
      <w:r w:rsidRPr="000977F7">
        <w:rPr>
          <w:rFonts w:asciiTheme="majorHAnsi" w:hAnsiTheme="majorHAnsi"/>
          <w:spacing w:val="-2"/>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аналізу</w:t>
      </w:r>
    </w:p>
    <w:p w14:paraId="0B862E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5B7015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Прикладами</w:t>
      </w:r>
      <w:r w:rsidRPr="000977F7">
        <w:rPr>
          <w:rFonts w:asciiTheme="majorHAnsi" w:hAnsiTheme="majorHAnsi"/>
          <w:spacing w:val="41"/>
          <w:sz w:val="20"/>
          <w:szCs w:val="20"/>
        </w:rPr>
        <w:t xml:space="preserve"> </w:t>
      </w:r>
      <w:r w:rsidRPr="000977F7">
        <w:rPr>
          <w:rFonts w:asciiTheme="majorHAnsi" w:hAnsiTheme="majorHAnsi"/>
          <w:sz w:val="20"/>
          <w:szCs w:val="20"/>
        </w:rPr>
        <w:t>елементів</w:t>
      </w:r>
      <w:r w:rsidRPr="000977F7">
        <w:rPr>
          <w:rFonts w:asciiTheme="majorHAnsi" w:hAnsiTheme="majorHAnsi"/>
          <w:spacing w:val="45"/>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43"/>
          <w:sz w:val="20"/>
          <w:szCs w:val="20"/>
        </w:rPr>
        <w:t xml:space="preserve"> </w:t>
      </w:r>
      <w:r w:rsidRPr="000977F7">
        <w:rPr>
          <w:rFonts w:asciiTheme="majorHAnsi" w:hAnsiTheme="majorHAnsi"/>
          <w:sz w:val="20"/>
          <w:szCs w:val="20"/>
        </w:rPr>
        <w:t>системи</w:t>
      </w:r>
      <w:r w:rsidRPr="000977F7">
        <w:rPr>
          <w:rFonts w:asciiTheme="majorHAnsi" w:hAnsiTheme="majorHAnsi"/>
          <w:spacing w:val="42"/>
          <w:sz w:val="20"/>
          <w:szCs w:val="20"/>
        </w:rPr>
        <w:t xml:space="preserve"> </w:t>
      </w:r>
      <w:r w:rsidRPr="000977F7">
        <w:rPr>
          <w:rFonts w:asciiTheme="majorHAnsi" w:hAnsiTheme="majorHAnsi"/>
          <w:sz w:val="20"/>
          <w:szCs w:val="20"/>
        </w:rPr>
        <w:t>є:</w:t>
      </w:r>
      <w:r w:rsidRPr="000977F7">
        <w:rPr>
          <w:rFonts w:asciiTheme="majorHAnsi" w:hAnsiTheme="majorHAnsi"/>
          <w:spacing w:val="42"/>
          <w:sz w:val="20"/>
          <w:szCs w:val="20"/>
        </w:rPr>
        <w:t xml:space="preserve"> </w:t>
      </w:r>
      <w:r w:rsidRPr="000977F7">
        <w:rPr>
          <w:rFonts w:asciiTheme="majorHAnsi" w:hAnsiTheme="majorHAnsi"/>
          <w:sz w:val="20"/>
          <w:szCs w:val="20"/>
        </w:rPr>
        <w:t>машина,</w:t>
      </w:r>
      <w:r w:rsidRPr="000977F7">
        <w:rPr>
          <w:rFonts w:asciiTheme="majorHAnsi" w:hAnsiTheme="majorHAnsi"/>
          <w:spacing w:val="2"/>
          <w:sz w:val="20"/>
          <w:szCs w:val="20"/>
        </w:rPr>
        <w:t xml:space="preserve"> </w:t>
      </w:r>
      <w:r w:rsidRPr="000977F7">
        <w:rPr>
          <w:rFonts w:asciiTheme="majorHAnsi" w:hAnsiTheme="majorHAnsi"/>
          <w:sz w:val="20"/>
          <w:szCs w:val="20"/>
        </w:rPr>
        <w:t>пристосування,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інструмент</w:t>
      </w:r>
    </w:p>
    <w:p w14:paraId="48BC662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2470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EA82C2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ЕКОНОМІЧНІ</w:t>
      </w:r>
      <w:r w:rsidRPr="000977F7">
        <w:rPr>
          <w:color w:val="auto"/>
          <w:spacing w:val="42"/>
          <w:sz w:val="20"/>
          <w:szCs w:val="20"/>
        </w:rPr>
        <w:t xml:space="preserve"> </w:t>
      </w:r>
      <w:r w:rsidRPr="000977F7">
        <w:rPr>
          <w:color w:val="auto"/>
          <w:sz w:val="20"/>
          <w:szCs w:val="20"/>
        </w:rPr>
        <w:t>МЕТОДИ</w:t>
      </w:r>
      <w:r w:rsidRPr="000977F7">
        <w:rPr>
          <w:color w:val="auto"/>
          <w:spacing w:val="46"/>
          <w:sz w:val="20"/>
          <w:szCs w:val="20"/>
        </w:rPr>
        <w:t xml:space="preserve"> </w:t>
      </w:r>
      <w:r w:rsidRPr="000977F7">
        <w:rPr>
          <w:color w:val="auto"/>
          <w:sz w:val="20"/>
          <w:szCs w:val="20"/>
        </w:rPr>
        <w:t>КЕРУВАННЯ –</w:t>
      </w:r>
    </w:p>
    <w:p w14:paraId="14B1C3C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 заходів непрямого впливу на колективи та</w:t>
      </w:r>
      <w:r w:rsidRPr="000977F7">
        <w:rPr>
          <w:rFonts w:asciiTheme="majorHAnsi" w:hAnsiTheme="majorHAnsi"/>
          <w:spacing w:val="1"/>
          <w:sz w:val="20"/>
          <w:szCs w:val="20"/>
        </w:rPr>
        <w:t xml:space="preserve"> </w:t>
      </w:r>
      <w:r w:rsidRPr="000977F7">
        <w:rPr>
          <w:rFonts w:asciiTheme="majorHAnsi" w:hAnsiTheme="majorHAnsi"/>
          <w:sz w:val="20"/>
          <w:szCs w:val="20"/>
        </w:rPr>
        <w:t>окремих</w:t>
      </w:r>
      <w:r w:rsidRPr="000977F7">
        <w:rPr>
          <w:rFonts w:asciiTheme="majorHAnsi" w:hAnsiTheme="majorHAnsi"/>
          <w:spacing w:val="1"/>
          <w:sz w:val="20"/>
          <w:szCs w:val="20"/>
        </w:rPr>
        <w:t xml:space="preserve"> </w:t>
      </w:r>
      <w:r w:rsidRPr="000977F7">
        <w:rPr>
          <w:rFonts w:asciiTheme="majorHAnsi" w:hAnsiTheme="majorHAnsi"/>
          <w:sz w:val="20"/>
          <w:szCs w:val="20"/>
        </w:rPr>
        <w:t>виконавців, що проявляються через систему</w:t>
      </w:r>
      <w:r w:rsidRPr="000977F7">
        <w:rPr>
          <w:rFonts w:asciiTheme="majorHAnsi" w:hAnsiTheme="majorHAnsi"/>
          <w:spacing w:val="-47"/>
          <w:sz w:val="20"/>
          <w:szCs w:val="20"/>
        </w:rPr>
        <w:t xml:space="preserve"> </w:t>
      </w:r>
      <w:r w:rsidRPr="000977F7">
        <w:rPr>
          <w:rFonts w:asciiTheme="majorHAnsi" w:hAnsiTheme="majorHAnsi"/>
          <w:sz w:val="20"/>
          <w:szCs w:val="20"/>
        </w:rPr>
        <w:t>оплати</w:t>
      </w:r>
      <w:r w:rsidRPr="000977F7">
        <w:rPr>
          <w:rFonts w:asciiTheme="majorHAnsi" w:hAnsiTheme="majorHAnsi"/>
          <w:spacing w:val="-2"/>
          <w:sz w:val="20"/>
          <w:szCs w:val="20"/>
        </w:rPr>
        <w:t xml:space="preserve"> </w:t>
      </w:r>
      <w:r w:rsidRPr="000977F7">
        <w:rPr>
          <w:rFonts w:asciiTheme="majorHAnsi" w:hAnsiTheme="majorHAnsi"/>
          <w:sz w:val="20"/>
          <w:szCs w:val="20"/>
        </w:rPr>
        <w:t>праці</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матеріальне</w:t>
      </w:r>
      <w:r w:rsidRPr="000977F7">
        <w:rPr>
          <w:rFonts w:asciiTheme="majorHAnsi" w:hAnsiTheme="majorHAnsi"/>
          <w:spacing w:val="2"/>
          <w:sz w:val="20"/>
          <w:szCs w:val="20"/>
        </w:rPr>
        <w:t xml:space="preserve"> </w:t>
      </w:r>
      <w:r w:rsidRPr="000977F7">
        <w:rPr>
          <w:rFonts w:asciiTheme="majorHAnsi" w:hAnsiTheme="majorHAnsi"/>
          <w:sz w:val="20"/>
          <w:szCs w:val="20"/>
        </w:rPr>
        <w:t>стимулювання</w:t>
      </w:r>
    </w:p>
    <w:p w14:paraId="02B0A8C0"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 94</w:t>
      </w:r>
    </w:p>
    <w:p w14:paraId="4E46801A"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bCs/>
          <w:sz w:val="20"/>
          <w:szCs w:val="20"/>
        </w:rPr>
        <w:t>ЕКСПЕРИМЕНТ –</w:t>
      </w:r>
      <w:r w:rsidRPr="000977F7">
        <w:rPr>
          <w:rFonts w:asciiTheme="majorHAnsi" w:hAnsiTheme="majorHAnsi"/>
          <w:b/>
          <w:spacing w:val="-47"/>
          <w:sz w:val="20"/>
          <w:szCs w:val="20"/>
        </w:rPr>
        <w:t xml:space="preserve"> </w:t>
      </w:r>
    </w:p>
    <w:p w14:paraId="01AD41B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EXPERIMENT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EBDB8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операцій,</w:t>
      </w:r>
      <w:r w:rsidRPr="000977F7">
        <w:rPr>
          <w:rFonts w:asciiTheme="majorHAnsi" w:hAnsiTheme="majorHAnsi"/>
          <w:spacing w:val="1"/>
          <w:sz w:val="20"/>
          <w:szCs w:val="20"/>
        </w:rPr>
        <w:t xml:space="preserve"> </w:t>
      </w:r>
      <w:r w:rsidRPr="000977F7">
        <w:rPr>
          <w:rFonts w:asciiTheme="majorHAnsi" w:hAnsiTheme="majorHAnsi"/>
          <w:sz w:val="20"/>
          <w:szCs w:val="20"/>
        </w:rPr>
        <w:t>практичних</w:t>
      </w:r>
      <w:r w:rsidRPr="000977F7">
        <w:rPr>
          <w:rFonts w:asciiTheme="majorHAnsi" w:hAnsiTheme="majorHAnsi"/>
          <w:spacing w:val="1"/>
          <w:sz w:val="20"/>
          <w:szCs w:val="20"/>
        </w:rPr>
        <w:t xml:space="preserve"> </w:t>
      </w:r>
      <w:r w:rsidRPr="000977F7">
        <w:rPr>
          <w:rFonts w:asciiTheme="majorHAnsi" w:hAnsiTheme="majorHAnsi"/>
          <w:sz w:val="20"/>
          <w:szCs w:val="20"/>
        </w:rPr>
        <w:t>дій</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спостережень, спрямованих на об’єкт з метою одержання</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2"/>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нього</w:t>
      </w:r>
    </w:p>
    <w:p w14:paraId="7F4AD6FD" w14:textId="77777777" w:rsidR="0097612F" w:rsidRPr="000977F7" w:rsidRDefault="0097612F" w:rsidP="000977F7">
      <w:pPr>
        <w:pStyle w:val="7"/>
        <w:tabs>
          <w:tab w:val="left" w:pos="284"/>
          <w:tab w:val="left" w:pos="1941"/>
          <w:tab w:val="left" w:pos="3592"/>
        </w:tabs>
        <w:spacing w:before="0" w:line="240" w:lineRule="auto"/>
        <w:ind w:left="170"/>
        <w:mirrorIndents/>
        <w:jc w:val="both"/>
        <w:rPr>
          <w:b w:val="0"/>
          <w:i/>
          <w:color w:val="auto"/>
          <w:sz w:val="20"/>
          <w:szCs w:val="20"/>
        </w:rPr>
      </w:pPr>
      <w:r w:rsidRPr="000977F7">
        <w:rPr>
          <w:b w:val="0"/>
          <w:i/>
          <w:color w:val="auto"/>
          <w:sz w:val="20"/>
          <w:szCs w:val="20"/>
        </w:rPr>
        <w:t>ДСТУ</w:t>
      </w:r>
      <w:r w:rsidRPr="000977F7">
        <w:rPr>
          <w:b w:val="0"/>
          <w:i/>
          <w:color w:val="auto"/>
          <w:spacing w:val="-1"/>
          <w:sz w:val="20"/>
          <w:szCs w:val="20"/>
        </w:rPr>
        <w:t xml:space="preserve"> </w:t>
      </w:r>
      <w:r w:rsidRPr="000977F7">
        <w:rPr>
          <w:b w:val="0"/>
          <w:i/>
          <w:color w:val="auto"/>
          <w:sz w:val="20"/>
          <w:szCs w:val="20"/>
        </w:rPr>
        <w:t>3021</w:t>
      </w:r>
      <w:r w:rsidRPr="000977F7">
        <w:rPr>
          <w:b w:val="0"/>
          <w:i/>
          <w:color w:val="auto"/>
          <w:spacing w:val="2"/>
          <w:sz w:val="20"/>
          <w:szCs w:val="20"/>
        </w:rPr>
        <w:t xml:space="preserve"> </w:t>
      </w:r>
      <w:r w:rsidRPr="000977F7">
        <w:rPr>
          <w:b w:val="0"/>
          <w:i/>
          <w:color w:val="auto"/>
          <w:sz w:val="20"/>
          <w:szCs w:val="20"/>
        </w:rPr>
        <w:t>–</w:t>
      </w:r>
      <w:r w:rsidRPr="000977F7">
        <w:rPr>
          <w:b w:val="0"/>
          <w:i/>
          <w:color w:val="auto"/>
          <w:spacing w:val="1"/>
          <w:sz w:val="20"/>
          <w:szCs w:val="20"/>
        </w:rPr>
        <w:t xml:space="preserve"> </w:t>
      </w:r>
      <w:r w:rsidRPr="000977F7">
        <w:rPr>
          <w:b w:val="0"/>
          <w:i/>
          <w:color w:val="auto"/>
          <w:sz w:val="20"/>
          <w:szCs w:val="20"/>
        </w:rPr>
        <w:t>95</w:t>
      </w:r>
    </w:p>
    <w:p w14:paraId="75269A06" w14:textId="77777777" w:rsidR="0097612F" w:rsidRPr="000977F7" w:rsidRDefault="0097612F" w:rsidP="000977F7">
      <w:pPr>
        <w:pStyle w:val="7"/>
        <w:tabs>
          <w:tab w:val="left" w:pos="284"/>
          <w:tab w:val="left" w:pos="1941"/>
          <w:tab w:val="left" w:pos="3592"/>
        </w:tabs>
        <w:spacing w:before="0" w:line="240" w:lineRule="auto"/>
        <w:ind w:left="170"/>
        <w:mirrorIndents/>
        <w:jc w:val="both"/>
        <w:rPr>
          <w:color w:val="auto"/>
          <w:sz w:val="20"/>
          <w:szCs w:val="20"/>
        </w:rPr>
      </w:pPr>
      <w:r w:rsidRPr="000977F7">
        <w:rPr>
          <w:color w:val="auto"/>
          <w:sz w:val="20"/>
          <w:szCs w:val="20"/>
        </w:rPr>
        <w:t>ЕКСПЕРИМЕНТАЛЬНЕ</w:t>
      </w:r>
      <w:r w:rsidRPr="000977F7">
        <w:rPr>
          <w:color w:val="auto"/>
          <w:spacing w:val="3"/>
          <w:sz w:val="20"/>
          <w:szCs w:val="20"/>
        </w:rPr>
        <w:t xml:space="preserve"> </w:t>
      </w:r>
      <w:r w:rsidRPr="000977F7">
        <w:rPr>
          <w:color w:val="auto"/>
          <w:sz w:val="20"/>
          <w:szCs w:val="20"/>
        </w:rPr>
        <w:t>СЕРЕДНЄ</w:t>
      </w:r>
      <w:r w:rsidRPr="000977F7">
        <w:rPr>
          <w:color w:val="auto"/>
          <w:spacing w:val="1"/>
          <w:sz w:val="20"/>
          <w:szCs w:val="20"/>
        </w:rPr>
        <w:t xml:space="preserve"> </w:t>
      </w:r>
      <w:r w:rsidRPr="000977F7">
        <w:rPr>
          <w:color w:val="auto"/>
          <w:sz w:val="20"/>
          <w:szCs w:val="20"/>
        </w:rPr>
        <w:t>КВАДРАТИЧНЕ</w:t>
      </w:r>
      <w:r w:rsidRPr="000977F7">
        <w:rPr>
          <w:color w:val="auto"/>
          <w:spacing w:val="3"/>
          <w:sz w:val="20"/>
          <w:szCs w:val="20"/>
        </w:rPr>
        <w:t xml:space="preserve"> </w:t>
      </w:r>
      <w:r w:rsidRPr="000977F7">
        <w:rPr>
          <w:color w:val="auto"/>
          <w:sz w:val="20"/>
          <w:szCs w:val="20"/>
        </w:rPr>
        <w:t>ВІДХИЛЕННЯ</w:t>
      </w:r>
      <w:r w:rsidRPr="000977F7">
        <w:rPr>
          <w:color w:val="auto"/>
          <w:spacing w:val="4"/>
          <w:sz w:val="20"/>
          <w:szCs w:val="20"/>
        </w:rPr>
        <w:t xml:space="preserve"> </w:t>
      </w:r>
      <w:r w:rsidRPr="000977F7">
        <w:rPr>
          <w:color w:val="auto"/>
          <w:sz w:val="20"/>
          <w:szCs w:val="20"/>
        </w:rPr>
        <w:t>РЕЗУЛЬТАТІВ</w:t>
      </w:r>
      <w:r w:rsidRPr="000977F7">
        <w:rPr>
          <w:color w:val="auto"/>
          <w:spacing w:val="5"/>
          <w:sz w:val="20"/>
          <w:szCs w:val="20"/>
        </w:rPr>
        <w:t xml:space="preserve"> </w:t>
      </w:r>
      <w:r w:rsidRPr="000977F7">
        <w:rPr>
          <w:color w:val="auto"/>
          <w:sz w:val="20"/>
          <w:szCs w:val="20"/>
        </w:rPr>
        <w:t>ВИМІРЮВАННЯ;</w:t>
      </w:r>
      <w:r w:rsidRPr="000977F7">
        <w:rPr>
          <w:color w:val="auto"/>
          <w:spacing w:val="2"/>
          <w:sz w:val="20"/>
          <w:szCs w:val="20"/>
        </w:rPr>
        <w:t xml:space="preserve"> </w:t>
      </w:r>
      <w:r w:rsidRPr="000977F7">
        <w:rPr>
          <w:color w:val="auto"/>
          <w:sz w:val="20"/>
          <w:szCs w:val="20"/>
        </w:rPr>
        <w:t>ВИБІРКОВЕ</w:t>
      </w:r>
      <w:r w:rsidRPr="000977F7">
        <w:rPr>
          <w:color w:val="auto"/>
          <w:spacing w:val="1"/>
          <w:sz w:val="20"/>
          <w:szCs w:val="20"/>
        </w:rPr>
        <w:t xml:space="preserve"> </w:t>
      </w:r>
      <w:r w:rsidRPr="000977F7">
        <w:rPr>
          <w:color w:val="auto"/>
          <w:sz w:val="20"/>
          <w:szCs w:val="20"/>
        </w:rPr>
        <w:t>СЕРЕДНЄ</w:t>
      </w:r>
      <w:r w:rsidRPr="000977F7">
        <w:rPr>
          <w:color w:val="auto"/>
          <w:spacing w:val="2"/>
          <w:sz w:val="20"/>
          <w:szCs w:val="20"/>
        </w:rPr>
        <w:t xml:space="preserve"> </w:t>
      </w:r>
      <w:r w:rsidRPr="000977F7">
        <w:rPr>
          <w:color w:val="auto"/>
          <w:sz w:val="20"/>
          <w:szCs w:val="20"/>
        </w:rPr>
        <w:t>КВАДРАТИЧНЕ</w:t>
      </w:r>
      <w:r w:rsidRPr="000977F7">
        <w:rPr>
          <w:color w:val="auto"/>
          <w:spacing w:val="-47"/>
          <w:sz w:val="20"/>
          <w:szCs w:val="20"/>
        </w:rPr>
        <w:t xml:space="preserve"> </w:t>
      </w:r>
      <w:r w:rsidRPr="000977F7">
        <w:rPr>
          <w:color w:val="auto"/>
          <w:sz w:val="20"/>
          <w:szCs w:val="20"/>
        </w:rPr>
        <w:t>ВІДХИЛЕННЯ РЕЗУЛЬТАТІВ ВИМІРЮВАН</w:t>
      </w:r>
      <w:r w:rsidRPr="000977F7">
        <w:rPr>
          <w:color w:val="auto"/>
          <w:spacing w:val="-47"/>
          <w:sz w:val="20"/>
          <w:szCs w:val="20"/>
        </w:rPr>
        <w:t xml:space="preserve"> </w:t>
      </w:r>
      <w:r w:rsidRPr="000977F7">
        <w:rPr>
          <w:color w:val="auto"/>
          <w:sz w:val="20"/>
          <w:szCs w:val="20"/>
        </w:rPr>
        <w:t>НЯ –</w:t>
      </w:r>
    </w:p>
    <w:p w14:paraId="64EFCA9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EXPERIMENTAL</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STANDART DEVIATION</w:t>
      </w:r>
    </w:p>
    <w:p w14:paraId="5E3C112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ЕКСПЕРИМЕНТАЛЬНИЙ</w:t>
      </w:r>
      <w:r w:rsidRPr="000977F7">
        <w:rPr>
          <w:color w:val="auto"/>
          <w:spacing w:val="-4"/>
          <w:sz w:val="20"/>
          <w:szCs w:val="20"/>
        </w:rPr>
        <w:t xml:space="preserve"> </w:t>
      </w:r>
      <w:r w:rsidRPr="000977F7">
        <w:rPr>
          <w:color w:val="auto"/>
          <w:sz w:val="20"/>
          <w:szCs w:val="20"/>
        </w:rPr>
        <w:t>ЗРАЗОК</w:t>
      </w:r>
      <w:r w:rsidRPr="000977F7">
        <w:rPr>
          <w:color w:val="auto"/>
          <w:spacing w:val="-3"/>
          <w:sz w:val="20"/>
          <w:szCs w:val="20"/>
        </w:rPr>
        <w:t xml:space="preserve"> </w:t>
      </w:r>
      <w:r w:rsidRPr="000977F7">
        <w:rPr>
          <w:color w:val="auto"/>
          <w:sz w:val="20"/>
          <w:szCs w:val="20"/>
        </w:rPr>
        <w:t>–</w:t>
      </w:r>
    </w:p>
    <w:p w14:paraId="416A8FC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Зразок продукції , який використовують для проведення дослідних випробувань і який має ознаки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передбачуваної</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w:t>
      </w:r>
    </w:p>
    <w:p w14:paraId="301BCA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524E90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Експериментальний</w:t>
      </w:r>
      <w:r w:rsidRPr="000977F7">
        <w:rPr>
          <w:rFonts w:asciiTheme="majorHAnsi" w:hAnsiTheme="majorHAnsi"/>
          <w:spacing w:val="1"/>
          <w:sz w:val="20"/>
          <w:szCs w:val="20"/>
        </w:rPr>
        <w:t xml:space="preserve"> </w:t>
      </w:r>
      <w:r w:rsidRPr="000977F7">
        <w:rPr>
          <w:rFonts w:asciiTheme="majorHAnsi" w:hAnsiTheme="majorHAnsi"/>
          <w:sz w:val="20"/>
          <w:szCs w:val="20"/>
        </w:rPr>
        <w:t>зразок</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дослідним</w:t>
      </w:r>
      <w:r w:rsidRPr="000977F7">
        <w:rPr>
          <w:rFonts w:asciiTheme="majorHAnsi" w:hAnsiTheme="majorHAnsi"/>
          <w:spacing w:val="1"/>
          <w:sz w:val="20"/>
          <w:szCs w:val="20"/>
        </w:rPr>
        <w:t xml:space="preserve"> </w:t>
      </w:r>
      <w:r w:rsidRPr="000977F7">
        <w:rPr>
          <w:rFonts w:asciiTheme="majorHAnsi" w:hAnsiTheme="majorHAnsi"/>
          <w:sz w:val="20"/>
          <w:szCs w:val="20"/>
        </w:rPr>
        <w:t>зразком</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640C0050" w14:textId="77777777" w:rsidR="0097612F" w:rsidRPr="000977F7" w:rsidRDefault="0097612F" w:rsidP="000977F7">
      <w:pPr>
        <w:tabs>
          <w:tab w:val="left" w:pos="284"/>
          <w:tab w:val="left" w:pos="2287"/>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3278 – 95</w:t>
      </w:r>
    </w:p>
    <w:p w14:paraId="3B74F04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ЕКСПЕРИМЕН ТАЛЬНИЙ МЕТОД </w:t>
      </w:r>
    </w:p>
    <w:p w14:paraId="1033A1C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ВИЗНАЧЕННЯ НАДІЙНОСТІ –</w:t>
      </w:r>
    </w:p>
    <w:p w14:paraId="27D10C2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EXPERIMENTAL</w:t>
      </w:r>
      <w:r w:rsidRPr="004D2D14">
        <w:rPr>
          <w:rFonts w:asciiTheme="majorHAnsi" w:hAnsiTheme="majorHAnsi"/>
          <w:spacing w:val="-5"/>
          <w:sz w:val="20"/>
          <w:szCs w:val="20"/>
          <w:lang w:val="uk-UA"/>
        </w:rPr>
        <w:t xml:space="preserve"> </w:t>
      </w:r>
      <w:r w:rsidRPr="000977F7">
        <w:rPr>
          <w:rFonts w:asciiTheme="majorHAnsi" w:hAnsiTheme="majorHAnsi"/>
          <w:sz w:val="20"/>
          <w:szCs w:val="20"/>
        </w:rPr>
        <w:t>DEPENDABILITY</w:t>
      </w:r>
      <w:r w:rsidRPr="004D2D14">
        <w:rPr>
          <w:rFonts w:asciiTheme="majorHAnsi" w:hAnsiTheme="majorHAnsi"/>
          <w:spacing w:val="-3"/>
          <w:sz w:val="20"/>
          <w:szCs w:val="20"/>
          <w:lang w:val="uk-UA"/>
        </w:rPr>
        <w:t xml:space="preserve"> </w:t>
      </w:r>
      <w:r w:rsidRPr="000977F7">
        <w:rPr>
          <w:rFonts w:asciiTheme="majorHAnsi" w:hAnsiTheme="majorHAnsi"/>
          <w:sz w:val="20"/>
          <w:szCs w:val="20"/>
        </w:rPr>
        <w:t>ASSESSMENT</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19CD1AD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Метод,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базується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статистичному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обробленні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даних, одержаних у випробуваннях чи в експлуатації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об’єкта</w:t>
      </w:r>
    </w:p>
    <w:p w14:paraId="6C8BE46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w:t>
      </w:r>
    </w:p>
    <w:p w14:paraId="4DC5262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pacing w:val="-1"/>
          <w:w w:val="99"/>
          <w:sz w:val="20"/>
          <w:szCs w:val="20"/>
          <w:lang w:val="uk-UA"/>
        </w:rPr>
        <w:t>Ан</w:t>
      </w:r>
      <w:r w:rsidRPr="004D2D14">
        <w:rPr>
          <w:rFonts w:asciiTheme="majorHAnsi" w:hAnsiTheme="majorHAnsi"/>
          <w:w w:val="99"/>
          <w:sz w:val="20"/>
          <w:szCs w:val="20"/>
          <w:lang w:val="uk-UA"/>
        </w:rPr>
        <w:t>а</w:t>
      </w:r>
      <w:r w:rsidRPr="004D2D14">
        <w:rPr>
          <w:rFonts w:asciiTheme="majorHAnsi" w:hAnsiTheme="majorHAnsi"/>
          <w:spacing w:val="-1"/>
          <w:w w:val="99"/>
          <w:sz w:val="20"/>
          <w:szCs w:val="20"/>
          <w:lang w:val="uk-UA"/>
        </w:rPr>
        <w:t>л</w:t>
      </w:r>
      <w:r w:rsidRPr="004D2D14">
        <w:rPr>
          <w:rFonts w:asciiTheme="majorHAnsi" w:hAnsiTheme="majorHAnsi"/>
          <w:spacing w:val="1"/>
          <w:w w:val="99"/>
          <w:sz w:val="20"/>
          <w:szCs w:val="20"/>
          <w:lang w:val="uk-UA"/>
        </w:rPr>
        <w:t>о</w:t>
      </w:r>
      <w:r w:rsidRPr="004D2D14">
        <w:rPr>
          <w:rFonts w:asciiTheme="majorHAnsi" w:hAnsiTheme="majorHAnsi"/>
          <w:spacing w:val="-1"/>
          <w:w w:val="99"/>
          <w:sz w:val="20"/>
          <w:szCs w:val="20"/>
          <w:lang w:val="uk-UA"/>
        </w:rPr>
        <w:t>гі</w:t>
      </w:r>
      <w:r w:rsidRPr="004D2D14">
        <w:rPr>
          <w:rFonts w:asciiTheme="majorHAnsi" w:hAnsiTheme="majorHAnsi"/>
          <w:spacing w:val="2"/>
          <w:w w:val="99"/>
          <w:sz w:val="20"/>
          <w:szCs w:val="20"/>
          <w:lang w:val="uk-UA"/>
        </w:rPr>
        <w:t>ч</w:t>
      </w:r>
      <w:r w:rsidRPr="004D2D14">
        <w:rPr>
          <w:rFonts w:asciiTheme="majorHAnsi" w:hAnsiTheme="majorHAnsi"/>
          <w:spacing w:val="-2"/>
          <w:w w:val="99"/>
          <w:sz w:val="20"/>
          <w:szCs w:val="20"/>
          <w:lang w:val="uk-UA"/>
        </w:rPr>
        <w:t>н</w:t>
      </w:r>
      <w:r w:rsidRPr="004D2D14">
        <w:rPr>
          <w:rFonts w:asciiTheme="majorHAnsi" w:hAnsiTheme="majorHAnsi"/>
          <w:w w:val="99"/>
          <w:sz w:val="20"/>
          <w:szCs w:val="20"/>
          <w:lang w:val="uk-UA"/>
        </w:rPr>
        <w:t>о</w:t>
      </w:r>
      <w:r w:rsidRPr="004D2D14">
        <w:rPr>
          <w:rFonts w:asciiTheme="majorHAnsi" w:hAnsiTheme="majorHAnsi"/>
          <w:sz w:val="20"/>
          <w:szCs w:val="20"/>
          <w:lang w:val="uk-UA"/>
        </w:rPr>
        <w:t xml:space="preserve"> </w:t>
      </w:r>
      <w:r w:rsidRPr="004D2D14">
        <w:rPr>
          <w:rFonts w:asciiTheme="majorHAnsi" w:hAnsiTheme="majorHAnsi"/>
          <w:spacing w:val="-1"/>
          <w:w w:val="99"/>
          <w:sz w:val="20"/>
          <w:szCs w:val="20"/>
          <w:lang w:val="uk-UA"/>
        </w:rPr>
        <w:t>т</w:t>
      </w:r>
      <w:r w:rsidRPr="004D2D14">
        <w:rPr>
          <w:rFonts w:asciiTheme="majorHAnsi" w:hAnsiTheme="majorHAnsi"/>
          <w:w w:val="99"/>
          <w:sz w:val="20"/>
          <w:szCs w:val="20"/>
          <w:lang w:val="uk-UA"/>
        </w:rPr>
        <w:t>е</w:t>
      </w:r>
      <w:r w:rsidRPr="004D2D14">
        <w:rPr>
          <w:rFonts w:asciiTheme="majorHAnsi" w:hAnsiTheme="majorHAnsi"/>
          <w:spacing w:val="1"/>
          <w:w w:val="99"/>
          <w:sz w:val="20"/>
          <w:szCs w:val="20"/>
          <w:lang w:val="uk-UA"/>
        </w:rPr>
        <w:t>рм</w:t>
      </w:r>
      <w:r w:rsidRPr="004D2D14">
        <w:rPr>
          <w:rFonts w:asciiTheme="majorHAnsi" w:hAnsiTheme="majorHAnsi"/>
          <w:w w:val="99"/>
          <w:sz w:val="20"/>
          <w:szCs w:val="20"/>
          <w:lang w:val="uk-UA"/>
        </w:rPr>
        <w:t>і</w:t>
      </w:r>
      <w:r w:rsidRPr="004D2D14">
        <w:rPr>
          <w:rFonts w:asciiTheme="majorHAnsi" w:hAnsiTheme="majorHAnsi"/>
          <w:spacing w:val="-2"/>
          <w:w w:val="99"/>
          <w:sz w:val="20"/>
          <w:szCs w:val="20"/>
          <w:lang w:val="uk-UA"/>
        </w:rPr>
        <w:t>н</w:t>
      </w:r>
      <w:r w:rsidRPr="004D2D14">
        <w:rPr>
          <w:rFonts w:asciiTheme="majorHAnsi" w:hAnsiTheme="majorHAnsi"/>
          <w:w w:val="99"/>
          <w:sz w:val="20"/>
          <w:szCs w:val="20"/>
          <w:lang w:val="uk-UA"/>
        </w:rPr>
        <w:t>ам</w:t>
      </w:r>
      <w:r w:rsidRPr="004D2D14">
        <w:rPr>
          <w:rFonts w:asciiTheme="majorHAnsi" w:hAnsiTheme="majorHAnsi"/>
          <w:sz w:val="20"/>
          <w:szCs w:val="20"/>
          <w:lang w:val="uk-UA"/>
        </w:rPr>
        <w:t xml:space="preserve"> "</w:t>
      </w:r>
      <w:r w:rsidRPr="004D2D14">
        <w:rPr>
          <w:rFonts w:asciiTheme="majorHAnsi" w:hAnsiTheme="majorHAnsi"/>
          <w:spacing w:val="1"/>
          <w:w w:val="99"/>
          <w:sz w:val="20"/>
          <w:szCs w:val="20"/>
          <w:lang w:val="uk-UA"/>
        </w:rPr>
        <w:t>ро</w:t>
      </w:r>
      <w:r w:rsidRPr="004D2D14">
        <w:rPr>
          <w:rFonts w:asciiTheme="majorHAnsi" w:hAnsiTheme="majorHAnsi"/>
          <w:spacing w:val="2"/>
          <w:w w:val="99"/>
          <w:sz w:val="20"/>
          <w:szCs w:val="20"/>
          <w:lang w:val="uk-UA"/>
        </w:rPr>
        <w:t>з</w:t>
      </w:r>
      <w:r w:rsidRPr="004D2D14">
        <w:rPr>
          <w:rFonts w:asciiTheme="majorHAnsi" w:hAnsiTheme="majorHAnsi"/>
          <w:spacing w:val="1"/>
          <w:w w:val="99"/>
          <w:sz w:val="20"/>
          <w:szCs w:val="20"/>
          <w:lang w:val="uk-UA"/>
        </w:rPr>
        <w:t>р</w:t>
      </w:r>
      <w:r w:rsidRPr="004D2D14">
        <w:rPr>
          <w:rFonts w:asciiTheme="majorHAnsi" w:hAnsiTheme="majorHAnsi"/>
          <w:w w:val="99"/>
          <w:sz w:val="20"/>
          <w:szCs w:val="20"/>
          <w:lang w:val="uk-UA"/>
        </w:rPr>
        <w:t>а</w:t>
      </w:r>
      <w:r w:rsidRPr="004D2D14">
        <w:rPr>
          <w:rFonts w:asciiTheme="majorHAnsi" w:hAnsiTheme="majorHAnsi"/>
          <w:spacing w:val="1"/>
          <w:w w:val="99"/>
          <w:sz w:val="20"/>
          <w:szCs w:val="20"/>
          <w:lang w:val="uk-UA"/>
        </w:rPr>
        <w:t>х</w:t>
      </w:r>
      <w:r w:rsidRPr="004D2D14">
        <w:rPr>
          <w:rFonts w:asciiTheme="majorHAnsi" w:hAnsiTheme="majorHAnsi"/>
          <w:spacing w:val="-2"/>
          <w:w w:val="99"/>
          <w:sz w:val="20"/>
          <w:szCs w:val="20"/>
          <w:lang w:val="uk-UA"/>
        </w:rPr>
        <w:t>ун</w:t>
      </w:r>
      <w:r w:rsidRPr="004D2D14">
        <w:rPr>
          <w:rFonts w:asciiTheme="majorHAnsi" w:hAnsiTheme="majorHAnsi"/>
          <w:spacing w:val="-1"/>
          <w:w w:val="99"/>
          <w:sz w:val="20"/>
          <w:szCs w:val="20"/>
          <w:lang w:val="uk-UA"/>
        </w:rPr>
        <w:t>к</w:t>
      </w:r>
      <w:r w:rsidRPr="004D2D14">
        <w:rPr>
          <w:rFonts w:asciiTheme="majorHAnsi" w:hAnsiTheme="majorHAnsi"/>
          <w:spacing w:val="1"/>
          <w:w w:val="99"/>
          <w:sz w:val="20"/>
          <w:szCs w:val="20"/>
          <w:lang w:val="uk-UA"/>
        </w:rPr>
        <w:t>ов</w:t>
      </w:r>
      <w:r w:rsidRPr="004D2D14">
        <w:rPr>
          <w:rFonts w:asciiTheme="majorHAnsi" w:hAnsiTheme="majorHAnsi"/>
          <w:spacing w:val="-2"/>
          <w:w w:val="99"/>
          <w:sz w:val="20"/>
          <w:szCs w:val="20"/>
          <w:lang w:val="uk-UA"/>
        </w:rPr>
        <w:t>и</w:t>
      </w:r>
      <w:r w:rsidRPr="004D2D14">
        <w:rPr>
          <w:rFonts w:asciiTheme="majorHAnsi" w:hAnsiTheme="majorHAnsi"/>
          <w:w w:val="99"/>
          <w:sz w:val="20"/>
          <w:szCs w:val="20"/>
          <w:lang w:val="uk-UA"/>
        </w:rPr>
        <w:t>й</w:t>
      </w:r>
      <w:r w:rsidRPr="004D2D14">
        <w:rPr>
          <w:rFonts w:asciiTheme="majorHAnsi" w:hAnsiTheme="majorHAnsi"/>
          <w:sz w:val="20"/>
          <w:szCs w:val="20"/>
          <w:lang w:val="uk-UA"/>
        </w:rPr>
        <w:t xml:space="preserve"> </w:t>
      </w:r>
      <w:r w:rsidRPr="004D2D14">
        <w:rPr>
          <w:rFonts w:asciiTheme="majorHAnsi" w:hAnsiTheme="majorHAnsi"/>
          <w:spacing w:val="1"/>
          <w:w w:val="99"/>
          <w:sz w:val="20"/>
          <w:szCs w:val="20"/>
          <w:lang w:val="uk-UA"/>
        </w:rPr>
        <w:t>м</w:t>
      </w:r>
      <w:r w:rsidRPr="004D2D14">
        <w:rPr>
          <w:rFonts w:asciiTheme="majorHAnsi" w:hAnsiTheme="majorHAnsi"/>
          <w:w w:val="99"/>
          <w:sz w:val="20"/>
          <w:szCs w:val="20"/>
          <w:lang w:val="uk-UA"/>
        </w:rPr>
        <w:t>етод</w:t>
      </w:r>
      <w:r w:rsidRPr="004D2D14">
        <w:rPr>
          <w:rFonts w:asciiTheme="majorHAnsi" w:hAnsiTheme="majorHAnsi"/>
          <w:sz w:val="20"/>
          <w:szCs w:val="20"/>
          <w:lang w:val="uk-UA"/>
        </w:rPr>
        <w:t xml:space="preserve"> </w:t>
      </w:r>
      <w:r w:rsidRPr="004D2D14">
        <w:rPr>
          <w:rFonts w:asciiTheme="majorHAnsi" w:hAnsiTheme="majorHAnsi"/>
          <w:spacing w:val="-1"/>
          <w:w w:val="99"/>
          <w:sz w:val="20"/>
          <w:szCs w:val="20"/>
          <w:lang w:val="uk-UA"/>
        </w:rPr>
        <w:t>в</w:t>
      </w:r>
      <w:r w:rsidRPr="004D2D14">
        <w:rPr>
          <w:rFonts w:asciiTheme="majorHAnsi" w:hAnsiTheme="majorHAnsi"/>
          <w:spacing w:val="-2"/>
          <w:w w:val="99"/>
          <w:sz w:val="20"/>
          <w:szCs w:val="20"/>
          <w:lang w:val="uk-UA"/>
        </w:rPr>
        <w:t>и</w:t>
      </w:r>
      <w:r w:rsidRPr="004D2D14">
        <w:rPr>
          <w:rFonts w:asciiTheme="majorHAnsi" w:hAnsiTheme="majorHAnsi"/>
          <w:spacing w:val="2"/>
          <w:w w:val="99"/>
          <w:sz w:val="20"/>
          <w:szCs w:val="20"/>
          <w:lang w:val="uk-UA"/>
        </w:rPr>
        <w:t>зн</w:t>
      </w:r>
      <w:r w:rsidRPr="004D2D14">
        <w:rPr>
          <w:rFonts w:asciiTheme="majorHAnsi" w:hAnsiTheme="majorHAnsi"/>
          <w:w w:val="99"/>
          <w:sz w:val="20"/>
          <w:szCs w:val="20"/>
          <w:lang w:val="uk-UA"/>
        </w:rPr>
        <w:t>аче</w:t>
      </w:r>
      <w:r w:rsidRPr="004D2D14">
        <w:rPr>
          <w:rFonts w:asciiTheme="majorHAnsi" w:hAnsiTheme="majorHAnsi"/>
          <w:spacing w:val="-1"/>
          <w:w w:val="99"/>
          <w:sz w:val="20"/>
          <w:szCs w:val="20"/>
          <w:lang w:val="uk-UA"/>
        </w:rPr>
        <w:t>н</w:t>
      </w:r>
      <w:r w:rsidRPr="004D2D14">
        <w:rPr>
          <w:rFonts w:asciiTheme="majorHAnsi" w:hAnsiTheme="majorHAnsi"/>
          <w:spacing w:val="-2"/>
          <w:w w:val="99"/>
          <w:sz w:val="20"/>
          <w:szCs w:val="20"/>
          <w:lang w:val="uk-UA"/>
        </w:rPr>
        <w:t>н</w:t>
      </w:r>
      <w:r w:rsidRPr="004D2D14">
        <w:rPr>
          <w:rFonts w:asciiTheme="majorHAnsi" w:hAnsiTheme="majorHAnsi"/>
          <w:w w:val="99"/>
          <w:sz w:val="20"/>
          <w:szCs w:val="20"/>
          <w:lang w:val="uk-UA"/>
        </w:rPr>
        <w:t>я</w:t>
      </w:r>
      <w:r w:rsidRPr="004D2D14">
        <w:rPr>
          <w:rFonts w:asciiTheme="majorHAnsi" w:hAnsiTheme="majorHAnsi"/>
          <w:spacing w:val="21"/>
          <w:sz w:val="20"/>
          <w:szCs w:val="20"/>
          <w:lang w:val="uk-UA"/>
        </w:rPr>
        <w:t xml:space="preserve"> </w:t>
      </w:r>
      <w:r w:rsidRPr="004D2D14">
        <w:rPr>
          <w:rFonts w:asciiTheme="majorHAnsi" w:hAnsiTheme="majorHAnsi"/>
          <w:spacing w:val="-2"/>
          <w:w w:val="99"/>
          <w:sz w:val="20"/>
          <w:szCs w:val="20"/>
          <w:lang w:val="uk-UA"/>
        </w:rPr>
        <w:t>н</w:t>
      </w:r>
      <w:r w:rsidRPr="004D2D14">
        <w:rPr>
          <w:rFonts w:asciiTheme="majorHAnsi" w:hAnsiTheme="majorHAnsi"/>
          <w:w w:val="99"/>
          <w:sz w:val="20"/>
          <w:szCs w:val="20"/>
          <w:lang w:val="uk-UA"/>
        </w:rPr>
        <w:t>ад</w:t>
      </w:r>
      <w:r w:rsidRPr="004D2D14">
        <w:rPr>
          <w:rFonts w:asciiTheme="majorHAnsi" w:hAnsiTheme="majorHAnsi"/>
          <w:spacing w:val="1"/>
          <w:w w:val="99"/>
          <w:sz w:val="20"/>
          <w:szCs w:val="20"/>
          <w:lang w:val="uk-UA"/>
        </w:rPr>
        <w:t>і</w:t>
      </w:r>
      <w:r w:rsidRPr="004D2D14">
        <w:rPr>
          <w:rFonts w:asciiTheme="majorHAnsi" w:hAnsiTheme="majorHAnsi"/>
          <w:spacing w:val="-2"/>
          <w:w w:val="99"/>
          <w:sz w:val="20"/>
          <w:szCs w:val="20"/>
          <w:lang w:val="uk-UA"/>
        </w:rPr>
        <w:t>йн</w:t>
      </w:r>
      <w:r w:rsidRPr="004D2D14">
        <w:rPr>
          <w:rFonts w:asciiTheme="majorHAnsi" w:hAnsiTheme="majorHAnsi"/>
          <w:spacing w:val="1"/>
          <w:w w:val="99"/>
          <w:sz w:val="20"/>
          <w:szCs w:val="20"/>
          <w:lang w:val="uk-UA"/>
        </w:rPr>
        <w:t>о</w:t>
      </w:r>
      <w:r w:rsidRPr="004D2D14">
        <w:rPr>
          <w:rFonts w:asciiTheme="majorHAnsi" w:hAnsiTheme="majorHAnsi"/>
          <w:w w:val="99"/>
          <w:sz w:val="20"/>
          <w:szCs w:val="20"/>
          <w:lang w:val="uk-UA"/>
        </w:rPr>
        <w:t>с</w:t>
      </w:r>
      <w:r w:rsidRPr="004D2D14">
        <w:rPr>
          <w:rFonts w:asciiTheme="majorHAnsi" w:hAnsiTheme="majorHAnsi"/>
          <w:spacing w:val="2"/>
          <w:w w:val="99"/>
          <w:sz w:val="20"/>
          <w:szCs w:val="20"/>
          <w:lang w:val="uk-UA"/>
        </w:rPr>
        <w:t>т</w:t>
      </w:r>
      <w:r w:rsidRPr="004D2D14">
        <w:rPr>
          <w:rFonts w:asciiTheme="majorHAnsi" w:hAnsiTheme="majorHAnsi"/>
          <w:w w:val="119"/>
          <w:sz w:val="20"/>
          <w:szCs w:val="20"/>
          <w:lang w:val="uk-UA"/>
        </w:rPr>
        <w:t>і", "</w:t>
      </w:r>
      <w:r w:rsidRPr="004D2D14">
        <w:rPr>
          <w:rFonts w:asciiTheme="majorHAnsi" w:hAnsiTheme="majorHAnsi"/>
          <w:spacing w:val="1"/>
          <w:w w:val="99"/>
          <w:sz w:val="20"/>
          <w:szCs w:val="20"/>
          <w:lang w:val="uk-UA"/>
        </w:rPr>
        <w:t>ро</w:t>
      </w:r>
      <w:r w:rsidRPr="004D2D14">
        <w:rPr>
          <w:rFonts w:asciiTheme="majorHAnsi" w:hAnsiTheme="majorHAnsi"/>
          <w:w w:val="99"/>
          <w:sz w:val="20"/>
          <w:szCs w:val="20"/>
          <w:lang w:val="uk-UA"/>
        </w:rPr>
        <w:t>з</w:t>
      </w:r>
      <w:r w:rsidRPr="004D2D14">
        <w:rPr>
          <w:rFonts w:asciiTheme="majorHAnsi" w:hAnsiTheme="majorHAnsi"/>
          <w:spacing w:val="1"/>
          <w:w w:val="99"/>
          <w:sz w:val="20"/>
          <w:szCs w:val="20"/>
          <w:lang w:val="uk-UA"/>
        </w:rPr>
        <w:t>р</w:t>
      </w:r>
      <w:r w:rsidRPr="004D2D14">
        <w:rPr>
          <w:rFonts w:asciiTheme="majorHAnsi" w:hAnsiTheme="majorHAnsi"/>
          <w:w w:val="99"/>
          <w:sz w:val="20"/>
          <w:szCs w:val="20"/>
          <w:lang w:val="uk-UA"/>
        </w:rPr>
        <w:t>а</w:t>
      </w:r>
      <w:r w:rsidRPr="004D2D14">
        <w:rPr>
          <w:rFonts w:asciiTheme="majorHAnsi" w:hAnsiTheme="majorHAnsi"/>
          <w:spacing w:val="1"/>
          <w:w w:val="99"/>
          <w:sz w:val="20"/>
          <w:szCs w:val="20"/>
          <w:lang w:val="uk-UA"/>
        </w:rPr>
        <w:t>х</w:t>
      </w:r>
      <w:r w:rsidRPr="004D2D14">
        <w:rPr>
          <w:rFonts w:asciiTheme="majorHAnsi" w:hAnsiTheme="majorHAnsi"/>
          <w:spacing w:val="-2"/>
          <w:w w:val="99"/>
          <w:sz w:val="20"/>
          <w:szCs w:val="20"/>
          <w:lang w:val="uk-UA"/>
        </w:rPr>
        <w:t>ун</w:t>
      </w:r>
      <w:r w:rsidRPr="004D2D14">
        <w:rPr>
          <w:rFonts w:asciiTheme="majorHAnsi" w:hAnsiTheme="majorHAnsi"/>
          <w:spacing w:val="-1"/>
          <w:w w:val="99"/>
          <w:sz w:val="20"/>
          <w:szCs w:val="20"/>
          <w:lang w:val="uk-UA"/>
        </w:rPr>
        <w:t>к</w:t>
      </w:r>
      <w:r w:rsidRPr="004D2D14">
        <w:rPr>
          <w:rFonts w:asciiTheme="majorHAnsi" w:hAnsiTheme="majorHAnsi"/>
          <w:spacing w:val="1"/>
          <w:w w:val="99"/>
          <w:sz w:val="20"/>
          <w:szCs w:val="20"/>
          <w:lang w:val="uk-UA"/>
        </w:rPr>
        <w:t>о</w:t>
      </w:r>
      <w:r w:rsidRPr="004D2D14">
        <w:rPr>
          <w:rFonts w:asciiTheme="majorHAnsi" w:hAnsiTheme="majorHAnsi"/>
          <w:spacing w:val="-1"/>
          <w:w w:val="99"/>
          <w:sz w:val="20"/>
          <w:szCs w:val="20"/>
          <w:lang w:val="uk-UA"/>
        </w:rPr>
        <w:t>в</w:t>
      </w:r>
      <w:r w:rsidRPr="004D2D14">
        <w:rPr>
          <w:rFonts w:asciiTheme="majorHAnsi" w:hAnsiTheme="majorHAnsi"/>
          <w:spacing w:val="5"/>
          <w:w w:val="99"/>
          <w:sz w:val="20"/>
          <w:szCs w:val="20"/>
          <w:lang w:val="uk-UA"/>
        </w:rPr>
        <w:t>о</w:t>
      </w:r>
      <w:r w:rsidRPr="004D2D14">
        <w:rPr>
          <w:rFonts w:asciiTheme="majorHAnsi" w:hAnsiTheme="majorHAnsi"/>
          <w:spacing w:val="-2"/>
          <w:w w:val="99"/>
          <w:sz w:val="20"/>
          <w:szCs w:val="20"/>
          <w:lang w:val="uk-UA"/>
        </w:rPr>
        <w:t>-</w:t>
      </w:r>
      <w:r w:rsidRPr="004D2D14">
        <w:rPr>
          <w:rFonts w:asciiTheme="majorHAnsi" w:hAnsiTheme="majorHAnsi"/>
          <w:w w:val="99"/>
          <w:sz w:val="20"/>
          <w:szCs w:val="20"/>
          <w:lang w:val="uk-UA"/>
        </w:rPr>
        <w:t>ек</w:t>
      </w:r>
      <w:r w:rsidRPr="004D2D14">
        <w:rPr>
          <w:rFonts w:asciiTheme="majorHAnsi" w:hAnsiTheme="majorHAnsi"/>
          <w:spacing w:val="2"/>
          <w:w w:val="99"/>
          <w:sz w:val="20"/>
          <w:szCs w:val="20"/>
          <w:lang w:val="uk-UA"/>
        </w:rPr>
        <w:t>с</w:t>
      </w:r>
      <w:r w:rsidRPr="004D2D14">
        <w:rPr>
          <w:rFonts w:asciiTheme="majorHAnsi" w:hAnsiTheme="majorHAnsi"/>
          <w:spacing w:val="-2"/>
          <w:w w:val="99"/>
          <w:sz w:val="20"/>
          <w:szCs w:val="20"/>
          <w:lang w:val="uk-UA"/>
        </w:rPr>
        <w:t>п</w:t>
      </w:r>
      <w:r w:rsidRPr="004D2D14">
        <w:rPr>
          <w:rFonts w:asciiTheme="majorHAnsi" w:hAnsiTheme="majorHAnsi"/>
          <w:w w:val="99"/>
          <w:sz w:val="20"/>
          <w:szCs w:val="20"/>
          <w:lang w:val="uk-UA"/>
        </w:rPr>
        <w:t>е</w:t>
      </w:r>
      <w:r w:rsidRPr="004D2D14">
        <w:rPr>
          <w:rFonts w:asciiTheme="majorHAnsi" w:hAnsiTheme="majorHAnsi"/>
          <w:spacing w:val="1"/>
          <w:w w:val="99"/>
          <w:sz w:val="20"/>
          <w:szCs w:val="20"/>
          <w:lang w:val="uk-UA"/>
        </w:rPr>
        <w:t>р</w:t>
      </w:r>
      <w:r w:rsidRPr="004D2D14">
        <w:rPr>
          <w:rFonts w:asciiTheme="majorHAnsi" w:hAnsiTheme="majorHAnsi"/>
          <w:spacing w:val="-2"/>
          <w:w w:val="99"/>
          <w:sz w:val="20"/>
          <w:szCs w:val="20"/>
          <w:lang w:val="uk-UA"/>
        </w:rPr>
        <w:t>и</w:t>
      </w:r>
      <w:r w:rsidRPr="004D2D14">
        <w:rPr>
          <w:rFonts w:asciiTheme="majorHAnsi" w:hAnsiTheme="majorHAnsi"/>
          <w:spacing w:val="1"/>
          <w:w w:val="99"/>
          <w:sz w:val="20"/>
          <w:szCs w:val="20"/>
          <w:lang w:val="uk-UA"/>
        </w:rPr>
        <w:t>м</w:t>
      </w:r>
      <w:r w:rsidRPr="004D2D14">
        <w:rPr>
          <w:rFonts w:asciiTheme="majorHAnsi" w:hAnsiTheme="majorHAnsi"/>
          <w:w w:val="99"/>
          <w:sz w:val="20"/>
          <w:szCs w:val="20"/>
          <w:lang w:val="uk-UA"/>
        </w:rPr>
        <w:t>е</w:t>
      </w:r>
      <w:r w:rsidRPr="004D2D14">
        <w:rPr>
          <w:rFonts w:asciiTheme="majorHAnsi" w:hAnsiTheme="majorHAnsi"/>
          <w:spacing w:val="1"/>
          <w:w w:val="99"/>
          <w:sz w:val="20"/>
          <w:szCs w:val="20"/>
          <w:lang w:val="uk-UA"/>
        </w:rPr>
        <w:t>н</w:t>
      </w:r>
      <w:r w:rsidRPr="004D2D14">
        <w:rPr>
          <w:rFonts w:asciiTheme="majorHAnsi" w:hAnsiTheme="majorHAnsi"/>
          <w:spacing w:val="-1"/>
          <w:w w:val="99"/>
          <w:sz w:val="20"/>
          <w:szCs w:val="20"/>
          <w:lang w:val="uk-UA"/>
        </w:rPr>
        <w:t>т</w:t>
      </w:r>
      <w:r w:rsidRPr="004D2D14">
        <w:rPr>
          <w:rFonts w:asciiTheme="majorHAnsi" w:hAnsiTheme="majorHAnsi"/>
          <w:w w:val="99"/>
          <w:sz w:val="20"/>
          <w:szCs w:val="20"/>
          <w:lang w:val="uk-UA"/>
        </w:rPr>
        <w:t>а</w:t>
      </w:r>
      <w:r w:rsidRPr="004D2D14">
        <w:rPr>
          <w:rFonts w:asciiTheme="majorHAnsi" w:hAnsiTheme="majorHAnsi"/>
          <w:spacing w:val="-1"/>
          <w:w w:val="99"/>
          <w:sz w:val="20"/>
          <w:szCs w:val="20"/>
          <w:lang w:val="uk-UA"/>
        </w:rPr>
        <w:t>л</w:t>
      </w:r>
      <w:r w:rsidRPr="004D2D14">
        <w:rPr>
          <w:rFonts w:asciiTheme="majorHAnsi" w:hAnsiTheme="majorHAnsi"/>
          <w:spacing w:val="2"/>
          <w:w w:val="99"/>
          <w:sz w:val="20"/>
          <w:szCs w:val="20"/>
          <w:lang w:val="uk-UA"/>
        </w:rPr>
        <w:t>ь</w:t>
      </w:r>
      <w:r w:rsidRPr="004D2D14">
        <w:rPr>
          <w:rFonts w:asciiTheme="majorHAnsi" w:hAnsiTheme="majorHAnsi"/>
          <w:spacing w:val="-2"/>
          <w:w w:val="99"/>
          <w:sz w:val="20"/>
          <w:szCs w:val="20"/>
          <w:lang w:val="uk-UA"/>
        </w:rPr>
        <w:t>н</w:t>
      </w:r>
      <w:r w:rsidRPr="004D2D14">
        <w:rPr>
          <w:rFonts w:asciiTheme="majorHAnsi" w:hAnsiTheme="majorHAnsi"/>
          <w:spacing w:val="1"/>
          <w:w w:val="99"/>
          <w:sz w:val="20"/>
          <w:szCs w:val="20"/>
          <w:lang w:val="uk-UA"/>
        </w:rPr>
        <w:t>и</w:t>
      </w:r>
      <w:r w:rsidRPr="004D2D14">
        <w:rPr>
          <w:rFonts w:asciiTheme="majorHAnsi" w:hAnsiTheme="majorHAnsi"/>
          <w:w w:val="99"/>
          <w:sz w:val="20"/>
          <w:szCs w:val="20"/>
          <w:lang w:val="uk-UA"/>
        </w:rPr>
        <w:t xml:space="preserve">й </w:t>
      </w:r>
      <w:r w:rsidRPr="004D2D14">
        <w:rPr>
          <w:rFonts w:asciiTheme="majorHAnsi" w:hAnsiTheme="majorHAnsi"/>
          <w:spacing w:val="1"/>
          <w:w w:val="99"/>
          <w:sz w:val="20"/>
          <w:szCs w:val="20"/>
          <w:lang w:val="uk-UA"/>
        </w:rPr>
        <w:t>м</w:t>
      </w:r>
      <w:r w:rsidRPr="004D2D14">
        <w:rPr>
          <w:rFonts w:asciiTheme="majorHAnsi" w:hAnsiTheme="majorHAnsi"/>
          <w:w w:val="99"/>
          <w:sz w:val="20"/>
          <w:szCs w:val="20"/>
          <w:lang w:val="uk-UA"/>
        </w:rPr>
        <w:t>етод</w:t>
      </w:r>
      <w:r w:rsidRPr="004D2D14">
        <w:rPr>
          <w:rFonts w:asciiTheme="majorHAnsi" w:hAnsiTheme="majorHAnsi"/>
          <w:spacing w:val="14"/>
          <w:sz w:val="20"/>
          <w:szCs w:val="20"/>
          <w:lang w:val="uk-UA"/>
        </w:rPr>
        <w:t xml:space="preserve"> </w:t>
      </w:r>
      <w:r w:rsidRPr="004D2D14">
        <w:rPr>
          <w:rFonts w:asciiTheme="majorHAnsi" w:hAnsiTheme="majorHAnsi"/>
          <w:spacing w:val="1"/>
          <w:w w:val="99"/>
          <w:sz w:val="20"/>
          <w:szCs w:val="20"/>
          <w:lang w:val="uk-UA"/>
        </w:rPr>
        <w:t>в</w:t>
      </w:r>
      <w:r w:rsidRPr="004D2D14">
        <w:rPr>
          <w:rFonts w:asciiTheme="majorHAnsi" w:hAnsiTheme="majorHAnsi"/>
          <w:spacing w:val="-2"/>
          <w:w w:val="99"/>
          <w:sz w:val="20"/>
          <w:szCs w:val="20"/>
          <w:lang w:val="uk-UA"/>
        </w:rPr>
        <w:t>и</w:t>
      </w:r>
      <w:r w:rsidRPr="004D2D14">
        <w:rPr>
          <w:rFonts w:asciiTheme="majorHAnsi" w:hAnsiTheme="majorHAnsi"/>
          <w:w w:val="99"/>
          <w:sz w:val="20"/>
          <w:szCs w:val="20"/>
          <w:lang w:val="uk-UA"/>
        </w:rPr>
        <w:t>знач</w:t>
      </w:r>
      <w:r w:rsidRPr="004D2D14">
        <w:rPr>
          <w:rFonts w:asciiTheme="majorHAnsi" w:hAnsiTheme="majorHAnsi"/>
          <w:spacing w:val="3"/>
          <w:w w:val="99"/>
          <w:sz w:val="20"/>
          <w:szCs w:val="20"/>
          <w:lang w:val="uk-UA"/>
        </w:rPr>
        <w:t>е</w:t>
      </w:r>
      <w:r w:rsidRPr="004D2D14">
        <w:rPr>
          <w:rFonts w:asciiTheme="majorHAnsi" w:hAnsiTheme="majorHAnsi"/>
          <w:spacing w:val="-2"/>
          <w:w w:val="99"/>
          <w:sz w:val="20"/>
          <w:szCs w:val="20"/>
          <w:lang w:val="uk-UA"/>
        </w:rPr>
        <w:t>н</w:t>
      </w:r>
      <w:r w:rsidRPr="004D2D14">
        <w:rPr>
          <w:rFonts w:asciiTheme="majorHAnsi" w:hAnsiTheme="majorHAnsi"/>
          <w:spacing w:val="1"/>
          <w:w w:val="99"/>
          <w:sz w:val="20"/>
          <w:szCs w:val="20"/>
          <w:lang w:val="uk-UA"/>
        </w:rPr>
        <w:t>н</w:t>
      </w:r>
      <w:r w:rsidRPr="004D2D14">
        <w:rPr>
          <w:rFonts w:asciiTheme="majorHAnsi" w:hAnsiTheme="majorHAnsi"/>
          <w:w w:val="99"/>
          <w:sz w:val="20"/>
          <w:szCs w:val="20"/>
          <w:lang w:val="uk-UA"/>
        </w:rPr>
        <w:t>я</w:t>
      </w:r>
      <w:r w:rsidRPr="004D2D14">
        <w:rPr>
          <w:rFonts w:asciiTheme="majorHAnsi" w:hAnsiTheme="majorHAnsi"/>
          <w:spacing w:val="16"/>
          <w:sz w:val="20"/>
          <w:szCs w:val="20"/>
          <w:lang w:val="uk-UA"/>
        </w:rPr>
        <w:t xml:space="preserve"> </w:t>
      </w:r>
      <w:r w:rsidRPr="004D2D14">
        <w:rPr>
          <w:rFonts w:asciiTheme="majorHAnsi" w:hAnsiTheme="majorHAnsi"/>
          <w:spacing w:val="-2"/>
          <w:w w:val="99"/>
          <w:sz w:val="20"/>
          <w:szCs w:val="20"/>
          <w:lang w:val="uk-UA"/>
        </w:rPr>
        <w:t>н</w:t>
      </w:r>
      <w:r w:rsidRPr="004D2D14">
        <w:rPr>
          <w:rFonts w:asciiTheme="majorHAnsi" w:hAnsiTheme="majorHAnsi"/>
          <w:w w:val="99"/>
          <w:sz w:val="20"/>
          <w:szCs w:val="20"/>
          <w:lang w:val="uk-UA"/>
        </w:rPr>
        <w:t>ад</w:t>
      </w:r>
      <w:r w:rsidRPr="004D2D14">
        <w:rPr>
          <w:rFonts w:asciiTheme="majorHAnsi" w:hAnsiTheme="majorHAnsi"/>
          <w:spacing w:val="2"/>
          <w:w w:val="99"/>
          <w:sz w:val="20"/>
          <w:szCs w:val="20"/>
          <w:lang w:val="uk-UA"/>
        </w:rPr>
        <w:t>і</w:t>
      </w:r>
      <w:r w:rsidRPr="004D2D14">
        <w:rPr>
          <w:rFonts w:asciiTheme="majorHAnsi" w:hAnsiTheme="majorHAnsi"/>
          <w:spacing w:val="-1"/>
          <w:w w:val="99"/>
          <w:sz w:val="20"/>
          <w:szCs w:val="20"/>
          <w:lang w:val="uk-UA"/>
        </w:rPr>
        <w:t>й</w:t>
      </w:r>
      <w:r w:rsidRPr="004D2D14">
        <w:rPr>
          <w:rFonts w:asciiTheme="majorHAnsi" w:hAnsiTheme="majorHAnsi"/>
          <w:spacing w:val="-2"/>
          <w:w w:val="99"/>
          <w:sz w:val="20"/>
          <w:szCs w:val="20"/>
          <w:lang w:val="uk-UA"/>
        </w:rPr>
        <w:t>н</w:t>
      </w:r>
      <w:r w:rsidRPr="004D2D14">
        <w:rPr>
          <w:rFonts w:asciiTheme="majorHAnsi" w:hAnsiTheme="majorHAnsi"/>
          <w:spacing w:val="1"/>
          <w:w w:val="99"/>
          <w:sz w:val="20"/>
          <w:szCs w:val="20"/>
          <w:lang w:val="uk-UA"/>
        </w:rPr>
        <w:t>о</w:t>
      </w:r>
      <w:r w:rsidRPr="004D2D14">
        <w:rPr>
          <w:rFonts w:asciiTheme="majorHAnsi" w:hAnsiTheme="majorHAnsi"/>
          <w:w w:val="99"/>
          <w:sz w:val="20"/>
          <w:szCs w:val="20"/>
          <w:lang w:val="uk-UA"/>
        </w:rPr>
        <w:t>с</w:t>
      </w:r>
      <w:r w:rsidRPr="004D2D14">
        <w:rPr>
          <w:rFonts w:asciiTheme="majorHAnsi" w:hAnsiTheme="majorHAnsi"/>
          <w:spacing w:val="2"/>
          <w:w w:val="99"/>
          <w:sz w:val="20"/>
          <w:szCs w:val="20"/>
          <w:lang w:val="uk-UA"/>
        </w:rPr>
        <w:t>т</w:t>
      </w:r>
      <w:r w:rsidRPr="004D2D14">
        <w:rPr>
          <w:rFonts w:asciiTheme="majorHAnsi" w:hAnsiTheme="majorHAnsi"/>
          <w:w w:val="128"/>
          <w:sz w:val="20"/>
          <w:szCs w:val="20"/>
          <w:lang w:val="uk-UA"/>
        </w:rPr>
        <w:t xml:space="preserve">і", </w:t>
      </w:r>
      <w:r w:rsidRPr="004D2D14">
        <w:rPr>
          <w:rFonts w:asciiTheme="majorHAnsi" w:hAnsiTheme="majorHAnsi"/>
          <w:spacing w:val="-1"/>
          <w:w w:val="99"/>
          <w:sz w:val="20"/>
          <w:szCs w:val="20"/>
          <w:lang w:val="uk-UA"/>
        </w:rPr>
        <w:t>т</w:t>
      </w:r>
      <w:r w:rsidRPr="004D2D14">
        <w:rPr>
          <w:rFonts w:asciiTheme="majorHAnsi" w:hAnsiTheme="majorHAnsi"/>
          <w:w w:val="99"/>
          <w:sz w:val="20"/>
          <w:szCs w:val="20"/>
          <w:lang w:val="uk-UA"/>
        </w:rPr>
        <w:t>а</w:t>
      </w:r>
      <w:r w:rsidRPr="004D2D14">
        <w:rPr>
          <w:rFonts w:asciiTheme="majorHAnsi" w:hAnsiTheme="majorHAnsi"/>
          <w:spacing w:val="17"/>
          <w:sz w:val="20"/>
          <w:szCs w:val="20"/>
          <w:lang w:val="uk-UA"/>
        </w:rPr>
        <w:t xml:space="preserve"> "</w:t>
      </w:r>
      <w:r w:rsidRPr="004D2D14">
        <w:rPr>
          <w:rFonts w:asciiTheme="majorHAnsi" w:hAnsiTheme="majorHAnsi"/>
          <w:spacing w:val="2"/>
          <w:w w:val="99"/>
          <w:sz w:val="20"/>
          <w:szCs w:val="20"/>
          <w:lang w:val="uk-UA"/>
        </w:rPr>
        <w:t>е</w:t>
      </w:r>
      <w:r w:rsidRPr="004D2D14">
        <w:rPr>
          <w:rFonts w:asciiTheme="majorHAnsi" w:hAnsiTheme="majorHAnsi"/>
          <w:spacing w:val="-1"/>
          <w:w w:val="99"/>
          <w:sz w:val="20"/>
          <w:szCs w:val="20"/>
          <w:lang w:val="uk-UA"/>
        </w:rPr>
        <w:t>к</w:t>
      </w:r>
      <w:r w:rsidRPr="004D2D14">
        <w:rPr>
          <w:rFonts w:asciiTheme="majorHAnsi" w:hAnsiTheme="majorHAnsi"/>
          <w:w w:val="99"/>
          <w:sz w:val="20"/>
          <w:szCs w:val="20"/>
          <w:lang w:val="uk-UA"/>
        </w:rPr>
        <w:t>с</w:t>
      </w:r>
      <w:r w:rsidRPr="004D2D14">
        <w:rPr>
          <w:rFonts w:asciiTheme="majorHAnsi" w:hAnsiTheme="majorHAnsi"/>
          <w:spacing w:val="-1"/>
          <w:w w:val="99"/>
          <w:sz w:val="20"/>
          <w:szCs w:val="20"/>
          <w:lang w:val="uk-UA"/>
        </w:rPr>
        <w:t>п</w:t>
      </w:r>
      <w:r w:rsidRPr="004D2D14">
        <w:rPr>
          <w:rFonts w:asciiTheme="majorHAnsi" w:hAnsiTheme="majorHAnsi"/>
          <w:w w:val="99"/>
          <w:sz w:val="20"/>
          <w:szCs w:val="20"/>
          <w:lang w:val="uk-UA"/>
        </w:rPr>
        <w:t>е</w:t>
      </w:r>
      <w:r w:rsidRPr="004D2D14">
        <w:rPr>
          <w:rFonts w:asciiTheme="majorHAnsi" w:hAnsiTheme="majorHAnsi"/>
          <w:spacing w:val="3"/>
          <w:w w:val="99"/>
          <w:sz w:val="20"/>
          <w:szCs w:val="20"/>
          <w:lang w:val="uk-UA"/>
        </w:rPr>
        <w:t>р</w:t>
      </w:r>
      <w:r w:rsidRPr="004D2D14">
        <w:rPr>
          <w:rFonts w:asciiTheme="majorHAnsi" w:hAnsiTheme="majorHAnsi"/>
          <w:spacing w:val="-2"/>
          <w:w w:val="99"/>
          <w:sz w:val="20"/>
          <w:szCs w:val="20"/>
          <w:lang w:val="uk-UA"/>
        </w:rPr>
        <w:t>и</w:t>
      </w:r>
      <w:r w:rsidRPr="004D2D14">
        <w:rPr>
          <w:rFonts w:asciiTheme="majorHAnsi" w:hAnsiTheme="majorHAnsi"/>
          <w:spacing w:val="1"/>
          <w:w w:val="99"/>
          <w:sz w:val="20"/>
          <w:szCs w:val="20"/>
          <w:lang w:val="uk-UA"/>
        </w:rPr>
        <w:t>м</w:t>
      </w:r>
      <w:r w:rsidRPr="004D2D14">
        <w:rPr>
          <w:rFonts w:asciiTheme="majorHAnsi" w:hAnsiTheme="majorHAnsi"/>
          <w:w w:val="99"/>
          <w:sz w:val="20"/>
          <w:szCs w:val="20"/>
          <w:lang w:val="uk-UA"/>
        </w:rPr>
        <w:t>е</w:t>
      </w:r>
      <w:r w:rsidRPr="004D2D14">
        <w:rPr>
          <w:rFonts w:asciiTheme="majorHAnsi" w:hAnsiTheme="majorHAnsi"/>
          <w:spacing w:val="-1"/>
          <w:w w:val="99"/>
          <w:sz w:val="20"/>
          <w:szCs w:val="20"/>
          <w:lang w:val="uk-UA"/>
        </w:rPr>
        <w:t>нт</w:t>
      </w:r>
      <w:r w:rsidRPr="004D2D14">
        <w:rPr>
          <w:rFonts w:asciiTheme="majorHAnsi" w:hAnsiTheme="majorHAnsi"/>
          <w:spacing w:val="2"/>
          <w:w w:val="99"/>
          <w:sz w:val="20"/>
          <w:szCs w:val="20"/>
          <w:lang w:val="uk-UA"/>
        </w:rPr>
        <w:t>а</w:t>
      </w:r>
      <w:r w:rsidRPr="004D2D14">
        <w:rPr>
          <w:rFonts w:asciiTheme="majorHAnsi" w:hAnsiTheme="majorHAnsi"/>
          <w:spacing w:val="-1"/>
          <w:w w:val="99"/>
          <w:sz w:val="20"/>
          <w:szCs w:val="20"/>
          <w:lang w:val="uk-UA"/>
        </w:rPr>
        <w:t>л</w:t>
      </w:r>
      <w:r w:rsidRPr="004D2D14">
        <w:rPr>
          <w:rFonts w:asciiTheme="majorHAnsi" w:hAnsiTheme="majorHAnsi"/>
          <w:spacing w:val="2"/>
          <w:w w:val="99"/>
          <w:sz w:val="20"/>
          <w:szCs w:val="20"/>
          <w:lang w:val="uk-UA"/>
        </w:rPr>
        <w:t>ь</w:t>
      </w:r>
      <w:r w:rsidRPr="004D2D14">
        <w:rPr>
          <w:rFonts w:asciiTheme="majorHAnsi" w:hAnsiTheme="majorHAnsi"/>
          <w:spacing w:val="-2"/>
          <w:w w:val="99"/>
          <w:sz w:val="20"/>
          <w:szCs w:val="20"/>
          <w:lang w:val="uk-UA"/>
        </w:rPr>
        <w:t>н</w:t>
      </w:r>
      <w:r w:rsidRPr="004D2D14">
        <w:rPr>
          <w:rFonts w:asciiTheme="majorHAnsi" w:hAnsiTheme="majorHAnsi"/>
          <w:spacing w:val="1"/>
          <w:w w:val="99"/>
          <w:sz w:val="20"/>
          <w:szCs w:val="20"/>
          <w:lang w:val="uk-UA"/>
        </w:rPr>
        <w:t>и</w:t>
      </w:r>
      <w:r w:rsidRPr="004D2D14">
        <w:rPr>
          <w:rFonts w:asciiTheme="majorHAnsi" w:hAnsiTheme="majorHAnsi"/>
          <w:w w:val="99"/>
          <w:sz w:val="20"/>
          <w:szCs w:val="20"/>
          <w:lang w:val="uk-UA"/>
        </w:rPr>
        <w:t xml:space="preserve">й </w:t>
      </w:r>
      <w:r w:rsidRPr="004D2D14">
        <w:rPr>
          <w:rFonts w:asciiTheme="majorHAnsi" w:hAnsiTheme="majorHAnsi"/>
          <w:sz w:val="20"/>
          <w:szCs w:val="20"/>
          <w:lang w:val="uk-UA"/>
        </w:rPr>
        <w:t>метод визначення надійності" визначають відповідні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методи</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контролю надійності</w:t>
      </w:r>
    </w:p>
    <w:p w14:paraId="1F55293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11BF429"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lastRenderedPageBreak/>
        <w:t xml:space="preserve">ЕКСПЕРИМЕНТАЛЬНИЙ ПОКАЗНИК </w:t>
      </w:r>
    </w:p>
    <w:p w14:paraId="48728B0E"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8"/>
          <w:sz w:val="20"/>
          <w:szCs w:val="20"/>
        </w:rPr>
      </w:pPr>
      <w:r w:rsidRPr="000977F7">
        <w:rPr>
          <w:rFonts w:asciiTheme="majorHAnsi" w:hAnsiTheme="majorHAnsi"/>
          <w:b/>
          <w:sz w:val="20"/>
          <w:szCs w:val="20"/>
        </w:rPr>
        <w:t>НАДІЙНОСТІ; ОЦІННИЙ ПОКАЗНИК НАДІЙНОСТІ –</w:t>
      </w:r>
      <w:r w:rsidRPr="000977F7">
        <w:rPr>
          <w:rFonts w:asciiTheme="majorHAnsi" w:hAnsiTheme="majorHAnsi"/>
          <w:b/>
          <w:spacing w:val="-48"/>
          <w:sz w:val="20"/>
          <w:szCs w:val="20"/>
        </w:rPr>
        <w:t xml:space="preserve"> </w:t>
      </w:r>
    </w:p>
    <w:p w14:paraId="6D4D80D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ESTIMATED</w:t>
      </w:r>
      <w:r w:rsidRPr="000977F7">
        <w:rPr>
          <w:rFonts w:asciiTheme="majorHAnsi" w:hAnsiTheme="majorHAnsi"/>
          <w:spacing w:val="-1"/>
          <w:sz w:val="20"/>
          <w:szCs w:val="20"/>
        </w:rPr>
        <w:t xml:space="preserve"> </w:t>
      </w:r>
      <w:r w:rsidRPr="000977F7">
        <w:rPr>
          <w:rFonts w:asciiTheme="majorHAnsi" w:hAnsiTheme="majorHAnsi"/>
          <w:sz w:val="20"/>
          <w:szCs w:val="20"/>
        </w:rPr>
        <w:t>DEPENDABILITY</w:t>
      </w:r>
      <w:r w:rsidRPr="000977F7">
        <w:rPr>
          <w:rFonts w:asciiTheme="majorHAnsi" w:hAnsiTheme="majorHAnsi"/>
          <w:spacing w:val="-1"/>
          <w:sz w:val="20"/>
          <w:szCs w:val="20"/>
        </w:rPr>
        <w:t xml:space="preserve"> </w:t>
      </w:r>
      <w:r w:rsidRPr="000977F7">
        <w:rPr>
          <w:rFonts w:asciiTheme="majorHAnsi" w:hAnsiTheme="majorHAnsi"/>
          <w:sz w:val="20"/>
          <w:szCs w:val="20"/>
        </w:rPr>
        <w:t>MEASURE</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515469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Показник надійності, точкову чи інтервальну оцінку</w:t>
      </w:r>
      <w:r w:rsidRPr="000977F7">
        <w:rPr>
          <w:rFonts w:asciiTheme="majorHAnsi" w:hAnsiTheme="majorHAnsi"/>
          <w:spacing w:val="1"/>
          <w:sz w:val="20"/>
          <w:szCs w:val="20"/>
        </w:rPr>
        <w:t xml:space="preserve"> </w:t>
      </w:r>
      <w:r w:rsidRPr="000977F7">
        <w:rPr>
          <w:rFonts w:asciiTheme="majorHAnsi" w:hAnsiTheme="majorHAnsi"/>
          <w:sz w:val="20"/>
          <w:szCs w:val="20"/>
        </w:rPr>
        <w:t>якого визначають</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даними випробувань</w:t>
      </w:r>
    </w:p>
    <w:p w14:paraId="2E4E494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C5DD57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ЕКСПЕРТ – АУДИТОР</w:t>
      </w:r>
      <w:r w:rsidRPr="000977F7">
        <w:rPr>
          <w:color w:val="auto"/>
          <w:spacing w:val="1"/>
          <w:sz w:val="20"/>
          <w:szCs w:val="20"/>
        </w:rPr>
        <w:t xml:space="preserve"> </w:t>
      </w:r>
      <w:r w:rsidRPr="000977F7">
        <w:rPr>
          <w:color w:val="auto"/>
          <w:sz w:val="20"/>
          <w:szCs w:val="20"/>
        </w:rPr>
        <w:t>(В ГАЛУЗІ СЕРТИФІКАЦІЇ) –</w:t>
      </w:r>
    </w:p>
    <w:p w14:paraId="06D28083"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8"/>
          <w:sz w:val="20"/>
          <w:szCs w:val="20"/>
        </w:rPr>
      </w:pPr>
      <w:r w:rsidRPr="000977F7">
        <w:rPr>
          <w:rFonts w:asciiTheme="majorHAnsi" w:hAnsiTheme="majorHAnsi"/>
          <w:sz w:val="20"/>
          <w:szCs w:val="20"/>
        </w:rPr>
        <w:t>Особа,</w:t>
      </w:r>
      <w:r w:rsidRPr="000977F7">
        <w:rPr>
          <w:rFonts w:asciiTheme="majorHAnsi" w:hAnsiTheme="majorHAnsi"/>
          <w:spacing w:val="-4"/>
          <w:sz w:val="20"/>
          <w:szCs w:val="20"/>
        </w:rPr>
        <w:t xml:space="preserve"> </w:t>
      </w:r>
      <w:r w:rsidRPr="000977F7">
        <w:rPr>
          <w:rFonts w:asciiTheme="majorHAnsi" w:hAnsiTheme="majorHAnsi"/>
          <w:sz w:val="20"/>
          <w:szCs w:val="20"/>
        </w:rPr>
        <w:t>яка</w:t>
      </w:r>
      <w:r w:rsidRPr="000977F7">
        <w:rPr>
          <w:rFonts w:asciiTheme="majorHAnsi" w:hAnsiTheme="majorHAnsi"/>
          <w:spacing w:val="-4"/>
          <w:sz w:val="20"/>
          <w:szCs w:val="20"/>
        </w:rPr>
        <w:t xml:space="preserve"> </w:t>
      </w:r>
      <w:r w:rsidRPr="000977F7">
        <w:rPr>
          <w:rFonts w:asciiTheme="majorHAnsi" w:hAnsiTheme="majorHAnsi"/>
          <w:sz w:val="20"/>
          <w:szCs w:val="20"/>
        </w:rPr>
        <w:t>атестована</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право</w:t>
      </w:r>
      <w:r w:rsidRPr="000977F7">
        <w:rPr>
          <w:rFonts w:asciiTheme="majorHAnsi" w:hAnsiTheme="majorHAnsi"/>
          <w:spacing w:val="-3"/>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5"/>
          <w:sz w:val="20"/>
          <w:szCs w:val="20"/>
        </w:rPr>
        <w:t xml:space="preserve"> </w:t>
      </w:r>
      <w:r w:rsidRPr="000977F7">
        <w:rPr>
          <w:rFonts w:asciiTheme="majorHAnsi" w:hAnsiTheme="majorHAnsi"/>
          <w:sz w:val="20"/>
          <w:szCs w:val="20"/>
        </w:rPr>
        <w:t>одного</w:t>
      </w:r>
      <w:r w:rsidRPr="000977F7">
        <w:rPr>
          <w:rFonts w:asciiTheme="majorHAnsi" w:hAnsiTheme="majorHAnsi"/>
          <w:spacing w:val="-3"/>
          <w:sz w:val="20"/>
          <w:szCs w:val="20"/>
        </w:rPr>
        <w:t xml:space="preserve"> </w:t>
      </w:r>
      <w:r w:rsidRPr="000977F7">
        <w:rPr>
          <w:rFonts w:asciiTheme="majorHAnsi" w:hAnsiTheme="majorHAnsi"/>
          <w:sz w:val="20"/>
          <w:szCs w:val="20"/>
        </w:rPr>
        <w:t>або</w:t>
      </w:r>
      <w:r w:rsidRPr="000977F7">
        <w:rPr>
          <w:rFonts w:asciiTheme="majorHAnsi" w:hAnsiTheme="majorHAnsi"/>
          <w:spacing w:val="-47"/>
          <w:sz w:val="20"/>
          <w:szCs w:val="20"/>
        </w:rPr>
        <w:t xml:space="preserve"> </w:t>
      </w:r>
      <w:r w:rsidRPr="000977F7">
        <w:rPr>
          <w:rFonts w:asciiTheme="majorHAnsi" w:hAnsiTheme="majorHAnsi"/>
          <w:sz w:val="20"/>
          <w:szCs w:val="20"/>
        </w:rPr>
        <w:t>декількох видів робіт в галузі сертифікації</w:t>
      </w:r>
      <w:r w:rsidRPr="000977F7">
        <w:rPr>
          <w:rFonts w:asciiTheme="majorHAnsi" w:hAnsiTheme="majorHAnsi"/>
          <w:spacing w:val="1"/>
          <w:sz w:val="20"/>
          <w:szCs w:val="20"/>
        </w:rPr>
        <w:t xml:space="preserve"> </w:t>
      </w:r>
      <w:r w:rsidRPr="000977F7">
        <w:rPr>
          <w:rFonts w:asciiTheme="majorHAnsi" w:hAnsiTheme="majorHAnsi"/>
          <w:b/>
          <w:spacing w:val="-8"/>
          <w:sz w:val="20"/>
          <w:szCs w:val="20"/>
        </w:rPr>
        <w:t>ЕКСПЕРТИЗА ТЕХНІЧНОЇ ДОКУМЕНТАЦІЇ –</w:t>
      </w:r>
    </w:p>
    <w:p w14:paraId="5498CC0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Дослідження технічної документації щодо її відповідності</w:t>
      </w:r>
      <w:r w:rsidRPr="000977F7">
        <w:rPr>
          <w:rFonts w:asciiTheme="majorHAnsi" w:hAnsiTheme="majorHAnsi"/>
          <w:spacing w:val="-2"/>
          <w:sz w:val="20"/>
          <w:szCs w:val="20"/>
        </w:rPr>
        <w:t xml:space="preserve"> </w:t>
      </w:r>
      <w:r w:rsidRPr="000977F7">
        <w:rPr>
          <w:rFonts w:asciiTheme="majorHAnsi" w:hAnsiTheme="majorHAnsi"/>
          <w:sz w:val="20"/>
          <w:szCs w:val="20"/>
        </w:rPr>
        <w:t>встановленим</w:t>
      </w:r>
      <w:r w:rsidRPr="000977F7">
        <w:rPr>
          <w:rFonts w:asciiTheme="majorHAnsi" w:hAnsiTheme="majorHAnsi"/>
          <w:spacing w:val="1"/>
          <w:sz w:val="20"/>
          <w:szCs w:val="20"/>
        </w:rPr>
        <w:t xml:space="preserve"> </w:t>
      </w:r>
      <w:r w:rsidRPr="000977F7">
        <w:rPr>
          <w:rFonts w:asciiTheme="majorHAnsi" w:hAnsiTheme="majorHAnsi"/>
          <w:sz w:val="20"/>
          <w:szCs w:val="20"/>
        </w:rPr>
        <w:t>вимогам</w:t>
      </w:r>
    </w:p>
    <w:p w14:paraId="04D6EE8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488577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Експертиза</w:t>
      </w:r>
      <w:r w:rsidRPr="000977F7">
        <w:rPr>
          <w:rFonts w:asciiTheme="majorHAnsi" w:hAnsiTheme="majorHAnsi"/>
          <w:spacing w:val="1"/>
          <w:sz w:val="20"/>
          <w:szCs w:val="20"/>
        </w:rPr>
        <w:t xml:space="preserve"> </w:t>
      </w:r>
      <w:r w:rsidRPr="000977F7">
        <w:rPr>
          <w:rFonts w:asciiTheme="majorHAnsi" w:hAnsiTheme="majorHAnsi"/>
          <w:sz w:val="20"/>
          <w:szCs w:val="20"/>
        </w:rPr>
        <w:t>технічної</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документації</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виконуватись на будь – якій стадії життєвого циклу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наприклад, експертиза споживчих властивостей, метрологічна експертиза, експертиза конструкторської</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документації, ескізного проекту, дослідно – конструкторської</w:t>
      </w:r>
      <w:r w:rsidRPr="000977F7">
        <w:rPr>
          <w:rFonts w:asciiTheme="majorHAnsi" w:hAnsiTheme="majorHAnsi"/>
          <w:spacing w:val="-2"/>
          <w:sz w:val="20"/>
          <w:szCs w:val="20"/>
        </w:rPr>
        <w:t xml:space="preserve"> </w:t>
      </w:r>
      <w:r w:rsidRPr="000977F7">
        <w:rPr>
          <w:rFonts w:asciiTheme="majorHAnsi" w:hAnsiTheme="majorHAnsi"/>
          <w:sz w:val="20"/>
          <w:szCs w:val="20"/>
        </w:rPr>
        <w:t>роботи</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3D8FC46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F6E4CE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ЕКСПЕРТ</w:t>
      </w:r>
      <w:r w:rsidRPr="000977F7">
        <w:rPr>
          <w:color w:val="auto"/>
          <w:spacing w:val="-5"/>
          <w:sz w:val="20"/>
          <w:szCs w:val="20"/>
        </w:rPr>
        <w:t xml:space="preserve"> </w:t>
      </w:r>
      <w:r w:rsidRPr="000977F7">
        <w:rPr>
          <w:color w:val="auto"/>
          <w:sz w:val="20"/>
          <w:szCs w:val="20"/>
        </w:rPr>
        <w:t>З</w:t>
      </w:r>
      <w:r w:rsidRPr="000977F7">
        <w:rPr>
          <w:color w:val="auto"/>
          <w:spacing w:val="-4"/>
          <w:sz w:val="20"/>
          <w:szCs w:val="20"/>
        </w:rPr>
        <w:t xml:space="preserve"> </w:t>
      </w:r>
      <w:r w:rsidRPr="000977F7">
        <w:rPr>
          <w:color w:val="auto"/>
          <w:sz w:val="20"/>
          <w:szCs w:val="20"/>
        </w:rPr>
        <w:t>АТЕСТАЦІЇ</w:t>
      </w:r>
      <w:r w:rsidRPr="000977F7">
        <w:rPr>
          <w:color w:val="auto"/>
          <w:spacing w:val="-3"/>
          <w:sz w:val="20"/>
          <w:szCs w:val="20"/>
        </w:rPr>
        <w:t xml:space="preserve"> </w:t>
      </w:r>
      <w:r w:rsidRPr="000977F7">
        <w:rPr>
          <w:color w:val="auto"/>
          <w:sz w:val="20"/>
          <w:szCs w:val="20"/>
        </w:rPr>
        <w:t>ЛАБОРАТОРІЇ</w:t>
      </w:r>
      <w:r w:rsidRPr="000977F7">
        <w:rPr>
          <w:color w:val="auto"/>
          <w:spacing w:val="-2"/>
          <w:sz w:val="20"/>
          <w:szCs w:val="20"/>
        </w:rPr>
        <w:t xml:space="preserve"> </w:t>
      </w:r>
      <w:r w:rsidRPr="000977F7">
        <w:rPr>
          <w:color w:val="auto"/>
          <w:sz w:val="20"/>
          <w:szCs w:val="20"/>
        </w:rPr>
        <w:t>–</w:t>
      </w:r>
    </w:p>
    <w:p w14:paraId="558A121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LABORATORY</w:t>
      </w:r>
      <w:r w:rsidRPr="004D2D14">
        <w:rPr>
          <w:rFonts w:asciiTheme="majorHAnsi" w:hAnsiTheme="majorHAnsi"/>
          <w:spacing w:val="-2"/>
          <w:sz w:val="20"/>
          <w:szCs w:val="20"/>
          <w:lang w:val="uk-UA"/>
        </w:rPr>
        <w:t xml:space="preserve"> </w:t>
      </w:r>
      <w:r w:rsidRPr="000977F7">
        <w:rPr>
          <w:rFonts w:asciiTheme="majorHAnsi" w:hAnsiTheme="majorHAnsi"/>
          <w:sz w:val="20"/>
          <w:szCs w:val="20"/>
        </w:rPr>
        <w:t>ASESSOR</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p>
    <w:p w14:paraId="2CE3D43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Особа, яка здійснює всі або деякі функції, що відносяться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до атестації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лабораторій</w:t>
      </w:r>
    </w:p>
    <w:p w14:paraId="3B512B1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ЕКСПЕРТНИЙ</w:t>
      </w:r>
      <w:r w:rsidRPr="000977F7">
        <w:rPr>
          <w:color w:val="auto"/>
          <w:spacing w:val="44"/>
          <w:sz w:val="20"/>
          <w:szCs w:val="20"/>
        </w:rPr>
        <w:t xml:space="preserve"> </w:t>
      </w:r>
      <w:r w:rsidRPr="000977F7">
        <w:rPr>
          <w:color w:val="auto"/>
          <w:sz w:val="20"/>
          <w:szCs w:val="20"/>
        </w:rPr>
        <w:t>ВИСНОВОК</w:t>
      </w:r>
      <w:r w:rsidRPr="000977F7">
        <w:rPr>
          <w:color w:val="auto"/>
          <w:spacing w:val="-2"/>
          <w:sz w:val="20"/>
          <w:szCs w:val="20"/>
        </w:rPr>
        <w:t xml:space="preserve"> </w:t>
      </w:r>
      <w:r w:rsidRPr="000977F7">
        <w:rPr>
          <w:color w:val="auto"/>
          <w:sz w:val="20"/>
          <w:szCs w:val="20"/>
        </w:rPr>
        <w:t>–</w:t>
      </w:r>
    </w:p>
    <w:p w14:paraId="33EF7E9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що містить результати проведення експертизи</w:t>
      </w:r>
    </w:p>
    <w:p w14:paraId="05D7D07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364C01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ЕКСПЕРТНИЙ МЕТОД ВИЗНАЧЕННЯ </w:t>
      </w:r>
    </w:p>
    <w:p w14:paraId="0B29226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ПОКАЗНИКІВ</w:t>
      </w:r>
      <w:r w:rsidRPr="000977F7">
        <w:rPr>
          <w:color w:val="auto"/>
          <w:spacing w:val="1"/>
          <w:sz w:val="20"/>
          <w:szCs w:val="20"/>
        </w:rPr>
        <w:t xml:space="preserve"> </w:t>
      </w:r>
      <w:r w:rsidRPr="000977F7">
        <w:rPr>
          <w:color w:val="auto"/>
          <w:sz w:val="20"/>
          <w:szCs w:val="20"/>
        </w:rPr>
        <w:t>ЯКОСТІ</w:t>
      </w:r>
      <w:r w:rsidRPr="000977F7">
        <w:rPr>
          <w:color w:val="auto"/>
          <w:spacing w:val="1"/>
          <w:sz w:val="20"/>
          <w:szCs w:val="20"/>
        </w:rPr>
        <w:t xml:space="preserve"> </w:t>
      </w:r>
      <w:r w:rsidRPr="000977F7">
        <w:rPr>
          <w:color w:val="auto"/>
          <w:sz w:val="20"/>
          <w:szCs w:val="20"/>
        </w:rPr>
        <w:t>ПРОГРАМНОГО</w:t>
      </w:r>
      <w:r w:rsidRPr="000977F7">
        <w:rPr>
          <w:color w:val="auto"/>
          <w:spacing w:val="1"/>
          <w:sz w:val="20"/>
          <w:szCs w:val="20"/>
        </w:rPr>
        <w:t xml:space="preserve"> </w:t>
      </w:r>
      <w:r w:rsidRPr="000977F7">
        <w:rPr>
          <w:color w:val="auto"/>
          <w:sz w:val="20"/>
          <w:szCs w:val="20"/>
        </w:rPr>
        <w:t>ЗАСОБУ</w:t>
      </w:r>
      <w:r w:rsidRPr="000977F7">
        <w:rPr>
          <w:color w:val="auto"/>
          <w:spacing w:val="-47"/>
          <w:sz w:val="20"/>
          <w:szCs w:val="20"/>
        </w:rPr>
        <w:t xml:space="preserve"> </w:t>
      </w:r>
      <w:r w:rsidRPr="000977F7">
        <w:rPr>
          <w:color w:val="auto"/>
          <w:sz w:val="20"/>
          <w:szCs w:val="20"/>
        </w:rPr>
        <w:t>(ПРОДУКЦІЇ) –</w:t>
      </w:r>
    </w:p>
    <w:p w14:paraId="441A3F5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визначення значень показників якості програмного засобу (продукції), що здійснюється на основі</w:t>
      </w:r>
      <w:r w:rsidRPr="000977F7">
        <w:rPr>
          <w:rFonts w:asciiTheme="majorHAnsi" w:hAnsiTheme="majorHAnsi"/>
          <w:spacing w:val="1"/>
          <w:sz w:val="20"/>
          <w:szCs w:val="20"/>
        </w:rPr>
        <w:t xml:space="preserve"> </w:t>
      </w:r>
      <w:r w:rsidRPr="000977F7">
        <w:rPr>
          <w:rFonts w:asciiTheme="majorHAnsi" w:hAnsiTheme="majorHAnsi"/>
          <w:sz w:val="20"/>
          <w:szCs w:val="20"/>
        </w:rPr>
        <w:t>рішення,</w:t>
      </w:r>
      <w:r w:rsidRPr="000977F7">
        <w:rPr>
          <w:rFonts w:asciiTheme="majorHAnsi" w:hAnsiTheme="majorHAnsi"/>
          <w:spacing w:val="-1"/>
          <w:sz w:val="20"/>
          <w:szCs w:val="20"/>
        </w:rPr>
        <w:t xml:space="preserve"> </w:t>
      </w:r>
      <w:r w:rsidRPr="000977F7">
        <w:rPr>
          <w:rFonts w:asciiTheme="majorHAnsi" w:hAnsiTheme="majorHAnsi"/>
          <w:sz w:val="20"/>
          <w:szCs w:val="20"/>
        </w:rPr>
        <w:t>яке сприймають експерти</w:t>
      </w:r>
    </w:p>
    <w:p w14:paraId="3DFC7F43"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2844</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r w:rsidRPr="004D2D14">
        <w:rPr>
          <w:rFonts w:asciiTheme="majorHAnsi" w:hAnsiTheme="majorHAnsi"/>
          <w:i/>
          <w:spacing w:val="1"/>
          <w:sz w:val="20"/>
          <w:szCs w:val="20"/>
          <w:lang w:val="en-US"/>
        </w:rPr>
        <w:t xml:space="preserve"> </w:t>
      </w:r>
    </w:p>
    <w:p w14:paraId="1AAB0FF3"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ЕКСПЛУАТАЦІЙНА</w:t>
      </w:r>
      <w:r w:rsidRPr="004D2D14">
        <w:rPr>
          <w:rFonts w:asciiTheme="majorHAnsi" w:hAnsiTheme="majorHAnsi"/>
          <w:b/>
          <w:sz w:val="20"/>
          <w:szCs w:val="20"/>
          <w:lang w:val="en-US"/>
        </w:rPr>
        <w:t xml:space="preserve"> </w:t>
      </w:r>
      <w:r w:rsidRPr="000977F7">
        <w:rPr>
          <w:rFonts w:asciiTheme="majorHAnsi" w:hAnsiTheme="majorHAnsi"/>
          <w:b/>
          <w:sz w:val="20"/>
          <w:szCs w:val="20"/>
        </w:rPr>
        <w:t>ВІДМОВА</w:t>
      </w:r>
      <w:r w:rsidRPr="004D2D14">
        <w:rPr>
          <w:rFonts w:asciiTheme="majorHAnsi" w:hAnsiTheme="majorHAnsi"/>
          <w:b/>
          <w:sz w:val="20"/>
          <w:szCs w:val="20"/>
          <w:lang w:val="en-US"/>
        </w:rPr>
        <w:t xml:space="preserve"> -</w:t>
      </w:r>
      <w:r w:rsidRPr="004D2D14">
        <w:rPr>
          <w:rFonts w:asciiTheme="majorHAnsi" w:hAnsiTheme="majorHAnsi"/>
          <w:sz w:val="20"/>
          <w:szCs w:val="20"/>
          <w:lang w:val="en-US"/>
        </w:rPr>
        <w:t>OPERATIONAL FAILURE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2F8F9241"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sz w:val="20"/>
          <w:szCs w:val="20"/>
        </w:rPr>
        <w:t>Відмова,</w:t>
      </w:r>
      <w:r w:rsidRPr="000977F7">
        <w:rPr>
          <w:rFonts w:asciiTheme="majorHAnsi" w:hAnsiTheme="majorHAnsi"/>
          <w:spacing w:val="24"/>
          <w:sz w:val="20"/>
          <w:szCs w:val="20"/>
        </w:rPr>
        <w:t xml:space="preserve"> </w:t>
      </w:r>
      <w:r w:rsidRPr="000977F7">
        <w:rPr>
          <w:rFonts w:asciiTheme="majorHAnsi" w:hAnsiTheme="majorHAnsi"/>
          <w:sz w:val="20"/>
          <w:szCs w:val="20"/>
        </w:rPr>
        <w:t>що</w:t>
      </w:r>
      <w:r w:rsidRPr="000977F7">
        <w:rPr>
          <w:rFonts w:asciiTheme="majorHAnsi" w:hAnsiTheme="majorHAnsi"/>
          <w:spacing w:val="25"/>
          <w:sz w:val="20"/>
          <w:szCs w:val="20"/>
        </w:rPr>
        <w:t xml:space="preserve"> </w:t>
      </w:r>
      <w:r w:rsidRPr="000977F7">
        <w:rPr>
          <w:rFonts w:asciiTheme="majorHAnsi" w:hAnsiTheme="majorHAnsi"/>
          <w:sz w:val="20"/>
          <w:szCs w:val="20"/>
        </w:rPr>
        <w:t>виникає</w:t>
      </w:r>
      <w:r w:rsidRPr="000977F7">
        <w:rPr>
          <w:rFonts w:asciiTheme="majorHAnsi" w:hAnsiTheme="majorHAnsi"/>
          <w:spacing w:val="26"/>
          <w:sz w:val="20"/>
          <w:szCs w:val="20"/>
        </w:rPr>
        <w:t xml:space="preserve"> </w:t>
      </w:r>
      <w:r w:rsidRPr="000977F7">
        <w:rPr>
          <w:rFonts w:asciiTheme="majorHAnsi" w:hAnsiTheme="majorHAnsi"/>
          <w:sz w:val="20"/>
          <w:szCs w:val="20"/>
        </w:rPr>
        <w:t>внаслідок</w:t>
      </w:r>
      <w:r w:rsidRPr="000977F7">
        <w:rPr>
          <w:rFonts w:asciiTheme="majorHAnsi" w:hAnsiTheme="majorHAnsi"/>
          <w:spacing w:val="23"/>
          <w:sz w:val="20"/>
          <w:szCs w:val="20"/>
        </w:rPr>
        <w:t xml:space="preserve"> </w:t>
      </w:r>
      <w:r w:rsidRPr="000977F7">
        <w:rPr>
          <w:rFonts w:asciiTheme="majorHAnsi" w:hAnsiTheme="majorHAnsi"/>
          <w:sz w:val="20"/>
          <w:szCs w:val="20"/>
        </w:rPr>
        <w:t>порушень</w:t>
      </w:r>
      <w:r w:rsidRPr="000977F7">
        <w:rPr>
          <w:rFonts w:asciiTheme="majorHAnsi" w:hAnsiTheme="majorHAnsi"/>
          <w:spacing w:val="25"/>
          <w:sz w:val="20"/>
          <w:szCs w:val="20"/>
        </w:rPr>
        <w:t xml:space="preserve"> </w:t>
      </w:r>
      <w:r w:rsidRPr="000977F7">
        <w:rPr>
          <w:rFonts w:asciiTheme="majorHAnsi" w:hAnsiTheme="majorHAnsi"/>
          <w:sz w:val="20"/>
          <w:szCs w:val="20"/>
        </w:rPr>
        <w:t>встановлених правил і (або) умов експлуатації</w:t>
      </w:r>
      <w:r w:rsidRPr="000977F7">
        <w:rPr>
          <w:rFonts w:asciiTheme="majorHAnsi" w:hAnsiTheme="majorHAnsi"/>
          <w:spacing w:val="1"/>
          <w:sz w:val="20"/>
          <w:szCs w:val="20"/>
        </w:rPr>
        <w:t xml:space="preserve"> </w:t>
      </w:r>
      <w:r w:rsidRPr="000977F7">
        <w:rPr>
          <w:rFonts w:asciiTheme="majorHAnsi" w:hAnsiTheme="majorHAnsi"/>
          <w:b/>
          <w:sz w:val="20"/>
          <w:szCs w:val="20"/>
        </w:rPr>
        <w:t>ЕКСПЛУАТАЦІЙНА</w:t>
      </w:r>
      <w:r w:rsidRPr="000977F7">
        <w:rPr>
          <w:rFonts w:asciiTheme="majorHAnsi" w:hAnsiTheme="majorHAnsi"/>
          <w:b/>
          <w:spacing w:val="-2"/>
          <w:sz w:val="20"/>
          <w:szCs w:val="20"/>
        </w:rPr>
        <w:t xml:space="preserve"> </w:t>
      </w:r>
      <w:r w:rsidRPr="000977F7">
        <w:rPr>
          <w:rFonts w:asciiTheme="majorHAnsi" w:hAnsiTheme="majorHAnsi"/>
          <w:b/>
          <w:sz w:val="20"/>
          <w:szCs w:val="20"/>
        </w:rPr>
        <w:t>ДОКУМЕНТАЦІЯ -</w:t>
      </w:r>
    </w:p>
    <w:p w14:paraId="31EA8B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Робоча документація, яка містить необхідні відомості</w:t>
      </w:r>
      <w:r w:rsidRPr="000977F7">
        <w:rPr>
          <w:rFonts w:asciiTheme="majorHAnsi" w:hAnsiTheme="majorHAnsi"/>
          <w:spacing w:val="1"/>
          <w:sz w:val="20"/>
          <w:szCs w:val="20"/>
        </w:rPr>
        <w:t xml:space="preserve"> </w:t>
      </w:r>
      <w:r w:rsidRPr="000977F7">
        <w:rPr>
          <w:rFonts w:asciiTheme="majorHAnsi" w:hAnsiTheme="majorHAnsi"/>
          <w:sz w:val="20"/>
          <w:szCs w:val="20"/>
        </w:rPr>
        <w:t>щодо раціональної експлуатації або споживання продукції</w:t>
      </w:r>
    </w:p>
    <w:p w14:paraId="0DEAF73A" w14:textId="77777777" w:rsidR="0097612F" w:rsidRPr="000977F7" w:rsidRDefault="0097612F" w:rsidP="000977F7">
      <w:pPr>
        <w:pStyle w:val="7"/>
        <w:tabs>
          <w:tab w:val="left" w:pos="284"/>
        </w:tabs>
        <w:spacing w:before="0" w:line="240" w:lineRule="auto"/>
        <w:ind w:left="170"/>
        <w:mirrorIndents/>
        <w:jc w:val="both"/>
        <w:rPr>
          <w:color w:val="auto"/>
          <w:spacing w:val="-9"/>
          <w:sz w:val="20"/>
          <w:szCs w:val="20"/>
        </w:rPr>
      </w:pPr>
      <w:r w:rsidRPr="000977F7">
        <w:rPr>
          <w:color w:val="auto"/>
          <w:sz w:val="20"/>
          <w:szCs w:val="20"/>
        </w:rPr>
        <w:t>ЕКСПЛУАТАЦІЙНА</w:t>
      </w:r>
      <w:r w:rsidRPr="000977F7">
        <w:rPr>
          <w:color w:val="auto"/>
          <w:spacing w:val="-9"/>
          <w:sz w:val="20"/>
          <w:szCs w:val="20"/>
        </w:rPr>
        <w:t xml:space="preserve"> </w:t>
      </w:r>
      <w:r w:rsidRPr="000977F7">
        <w:rPr>
          <w:color w:val="auto"/>
          <w:sz w:val="20"/>
          <w:szCs w:val="20"/>
        </w:rPr>
        <w:t>КОНСТРУКТОРСЬКА</w:t>
      </w:r>
      <w:r w:rsidRPr="000977F7">
        <w:rPr>
          <w:color w:val="auto"/>
          <w:spacing w:val="-9"/>
          <w:sz w:val="20"/>
          <w:szCs w:val="20"/>
        </w:rPr>
        <w:t xml:space="preserve"> </w:t>
      </w:r>
    </w:p>
    <w:p w14:paraId="0A1B1B6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w:t>
      </w:r>
      <w:r w:rsidRPr="000977F7">
        <w:rPr>
          <w:color w:val="auto"/>
          <w:spacing w:val="-47"/>
          <w:sz w:val="20"/>
          <w:szCs w:val="20"/>
        </w:rPr>
        <w:t xml:space="preserve"> </w:t>
      </w:r>
      <w:r w:rsidRPr="000977F7">
        <w:rPr>
          <w:color w:val="auto"/>
          <w:sz w:val="20"/>
          <w:szCs w:val="20"/>
        </w:rPr>
        <w:t>КУМЕНТАЦІЯ</w:t>
      </w:r>
      <w:r w:rsidRPr="000977F7">
        <w:rPr>
          <w:color w:val="auto"/>
          <w:spacing w:val="-1"/>
          <w:sz w:val="20"/>
          <w:szCs w:val="20"/>
        </w:rPr>
        <w:t xml:space="preserve"> </w:t>
      </w:r>
      <w:r w:rsidRPr="000977F7">
        <w:rPr>
          <w:color w:val="auto"/>
          <w:sz w:val="20"/>
          <w:szCs w:val="20"/>
        </w:rPr>
        <w:t>–</w:t>
      </w:r>
    </w:p>
    <w:p w14:paraId="4CF7F6A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Робоча</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конструкторська</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документація,</w:t>
      </w:r>
      <w:r w:rsidRPr="000977F7">
        <w:rPr>
          <w:rFonts w:asciiTheme="majorHAnsi" w:hAnsiTheme="majorHAnsi"/>
          <w:spacing w:val="51"/>
          <w:sz w:val="20"/>
          <w:szCs w:val="20"/>
        </w:rPr>
        <w:t xml:space="preserve"> </w:t>
      </w:r>
      <w:r w:rsidRPr="000977F7">
        <w:rPr>
          <w:rFonts w:asciiTheme="majorHAnsi" w:hAnsiTheme="majorHAnsi"/>
          <w:sz w:val="20"/>
          <w:szCs w:val="20"/>
        </w:rPr>
        <w:t>призначена</w:t>
      </w:r>
      <w:r w:rsidRPr="000977F7">
        <w:rPr>
          <w:rFonts w:asciiTheme="majorHAnsi" w:hAnsiTheme="majorHAnsi"/>
          <w:spacing w:val="-47"/>
          <w:sz w:val="20"/>
          <w:szCs w:val="20"/>
        </w:rPr>
        <w:t xml:space="preserve"> </w:t>
      </w:r>
      <w:r w:rsidRPr="000977F7">
        <w:rPr>
          <w:rFonts w:asciiTheme="majorHAnsi" w:hAnsiTheme="majorHAnsi"/>
          <w:sz w:val="20"/>
          <w:szCs w:val="20"/>
        </w:rPr>
        <w:t>для вивчення конструкції виробу і правил його експлуатації</w:t>
      </w:r>
    </w:p>
    <w:p w14:paraId="5FBDEDC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ЕКСПЛУАТАЦІЙНЕ</w:t>
      </w:r>
      <w:r w:rsidRPr="000977F7">
        <w:rPr>
          <w:color w:val="auto"/>
          <w:spacing w:val="-8"/>
          <w:sz w:val="20"/>
          <w:szCs w:val="20"/>
        </w:rPr>
        <w:t xml:space="preserve"> </w:t>
      </w:r>
      <w:r w:rsidRPr="000977F7">
        <w:rPr>
          <w:color w:val="auto"/>
          <w:sz w:val="20"/>
          <w:szCs w:val="20"/>
        </w:rPr>
        <w:t>ПОЛОЖЕННЯ -</w:t>
      </w:r>
    </w:p>
    <w:p w14:paraId="1458FE2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PERFORMANCE</w:t>
      </w:r>
      <w:r w:rsidRPr="000977F7">
        <w:rPr>
          <w:rFonts w:asciiTheme="majorHAnsi" w:hAnsiTheme="majorHAnsi"/>
          <w:spacing w:val="-3"/>
          <w:sz w:val="20"/>
          <w:szCs w:val="20"/>
        </w:rPr>
        <w:t xml:space="preserve"> </w:t>
      </w:r>
      <w:r w:rsidRPr="000977F7">
        <w:rPr>
          <w:rFonts w:asciiTheme="majorHAnsi" w:hAnsiTheme="majorHAnsi"/>
          <w:sz w:val="20"/>
          <w:szCs w:val="20"/>
        </w:rPr>
        <w:t>PROVISION -</w:t>
      </w:r>
    </w:p>
    <w:p w14:paraId="351C1EB3"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z w:val="20"/>
          <w:szCs w:val="20"/>
        </w:rPr>
        <w:t>Положення</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відповідність</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призначенню,</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2"/>
          <w:sz w:val="20"/>
          <w:szCs w:val="20"/>
        </w:rPr>
        <w:t xml:space="preserve"> </w:t>
      </w:r>
      <w:r w:rsidRPr="000977F7">
        <w:rPr>
          <w:rFonts w:asciiTheme="majorHAnsi" w:hAnsiTheme="majorHAnsi"/>
          <w:sz w:val="20"/>
          <w:szCs w:val="20"/>
        </w:rPr>
        <w:t>стосується поведінки продукції, процесу або послуги при їх</w:t>
      </w:r>
      <w:r w:rsidRPr="000977F7">
        <w:rPr>
          <w:rFonts w:asciiTheme="majorHAnsi" w:hAnsiTheme="majorHAnsi"/>
          <w:spacing w:val="-47"/>
          <w:sz w:val="20"/>
          <w:szCs w:val="20"/>
        </w:rPr>
        <w:t xml:space="preserve"> </w:t>
      </w:r>
      <w:r w:rsidRPr="000977F7">
        <w:rPr>
          <w:rFonts w:asciiTheme="majorHAnsi" w:hAnsiTheme="majorHAnsi"/>
          <w:sz w:val="20"/>
          <w:szCs w:val="20"/>
        </w:rPr>
        <w:t>використанні або в зв’язку з ним</w:t>
      </w:r>
      <w:r w:rsidRPr="000977F7">
        <w:rPr>
          <w:rFonts w:asciiTheme="majorHAnsi" w:hAnsiTheme="majorHAnsi"/>
          <w:spacing w:val="1"/>
          <w:sz w:val="20"/>
          <w:szCs w:val="20"/>
        </w:rPr>
        <w:t xml:space="preserve"> </w:t>
      </w:r>
      <w:r w:rsidRPr="000977F7">
        <w:rPr>
          <w:rFonts w:asciiTheme="majorHAnsi" w:hAnsiTheme="majorHAnsi"/>
          <w:b/>
          <w:sz w:val="20"/>
          <w:szCs w:val="20"/>
        </w:rPr>
        <w:t xml:space="preserve">ЕКСПЛУАТАЦІЙНИЙ </w:t>
      </w:r>
      <w:r w:rsidRPr="000977F7">
        <w:rPr>
          <w:rFonts w:asciiTheme="majorHAnsi" w:hAnsiTheme="majorHAnsi"/>
          <w:b/>
          <w:spacing w:val="-1"/>
          <w:sz w:val="20"/>
          <w:szCs w:val="20"/>
        </w:rPr>
        <w:t>КОНСТРУКТОРСЬКИЙ</w:t>
      </w:r>
      <w:r w:rsidRPr="000977F7">
        <w:rPr>
          <w:rFonts w:asciiTheme="majorHAnsi" w:hAnsiTheme="majorHAnsi"/>
          <w:b/>
          <w:spacing w:val="-47"/>
          <w:sz w:val="20"/>
          <w:szCs w:val="20"/>
        </w:rPr>
        <w:t xml:space="preserve"> </w:t>
      </w:r>
      <w:r w:rsidRPr="000977F7">
        <w:rPr>
          <w:rFonts w:asciiTheme="majorHAnsi" w:hAnsiTheme="majorHAnsi"/>
          <w:b/>
          <w:sz w:val="20"/>
          <w:szCs w:val="20"/>
        </w:rPr>
        <w:t>ДОКУМЕНТ</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12D299C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Робочий</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містить</w:t>
      </w:r>
      <w:r w:rsidRPr="000977F7">
        <w:rPr>
          <w:rFonts w:asciiTheme="majorHAnsi" w:hAnsiTheme="majorHAnsi"/>
          <w:spacing w:val="1"/>
          <w:sz w:val="20"/>
          <w:szCs w:val="20"/>
        </w:rPr>
        <w:t xml:space="preserve"> </w:t>
      </w:r>
      <w:r w:rsidRPr="000977F7">
        <w:rPr>
          <w:rFonts w:asciiTheme="majorHAnsi" w:hAnsiTheme="majorHAnsi"/>
          <w:sz w:val="20"/>
          <w:szCs w:val="20"/>
        </w:rPr>
        <w:t>настанови</w:t>
      </w:r>
      <w:r w:rsidRPr="000977F7">
        <w:rPr>
          <w:rFonts w:asciiTheme="majorHAnsi" w:hAnsiTheme="majorHAnsi"/>
          <w:spacing w:val="-3"/>
          <w:sz w:val="20"/>
          <w:szCs w:val="20"/>
        </w:rPr>
        <w:t xml:space="preserve"> </w:t>
      </w:r>
      <w:r w:rsidRPr="000977F7">
        <w:rPr>
          <w:rFonts w:asciiTheme="majorHAnsi" w:hAnsiTheme="majorHAnsi"/>
          <w:sz w:val="20"/>
          <w:szCs w:val="20"/>
        </w:rPr>
        <w:t>щодо експлуатації</w:t>
      </w:r>
      <w:r w:rsidRPr="000977F7">
        <w:rPr>
          <w:rFonts w:asciiTheme="majorHAnsi" w:hAnsiTheme="majorHAnsi"/>
          <w:spacing w:val="-2"/>
          <w:sz w:val="20"/>
          <w:szCs w:val="20"/>
        </w:rPr>
        <w:t xml:space="preserve"> </w:t>
      </w:r>
      <w:r w:rsidRPr="000977F7">
        <w:rPr>
          <w:rFonts w:asciiTheme="majorHAnsi" w:hAnsiTheme="majorHAnsi"/>
          <w:sz w:val="20"/>
          <w:szCs w:val="20"/>
        </w:rPr>
        <w:t>виробу</w:t>
      </w:r>
    </w:p>
    <w:p w14:paraId="3461946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3321</w:t>
      </w:r>
      <w:r w:rsidRPr="000977F7">
        <w:rPr>
          <w:rFonts w:asciiTheme="majorHAnsi" w:hAnsiTheme="majorHAnsi"/>
          <w:i/>
          <w:spacing w:val="2"/>
          <w:sz w:val="20"/>
          <w:szCs w:val="20"/>
        </w:rPr>
        <w:t xml:space="preserve"> </w:t>
      </w:r>
      <w:r w:rsidRPr="000977F7">
        <w:rPr>
          <w:rFonts w:asciiTheme="majorHAnsi" w:hAnsiTheme="majorHAnsi"/>
          <w:i/>
          <w:sz w:val="20"/>
          <w:szCs w:val="20"/>
        </w:rPr>
        <w:t>– 2003</w:t>
      </w:r>
    </w:p>
    <w:p w14:paraId="1E87D11F"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i/>
          <w:spacing w:val="1"/>
          <w:sz w:val="20"/>
          <w:szCs w:val="20"/>
        </w:rPr>
        <w:t xml:space="preserve"> </w:t>
      </w:r>
      <w:r w:rsidRPr="000977F7">
        <w:rPr>
          <w:rFonts w:asciiTheme="majorHAnsi" w:hAnsiTheme="majorHAnsi"/>
          <w:b/>
          <w:sz w:val="20"/>
          <w:szCs w:val="20"/>
        </w:rPr>
        <w:t>ЕКСПЛУАТАЦІЙНИЙ КОНТРОЛЬ –</w:t>
      </w:r>
      <w:r w:rsidRPr="000977F7">
        <w:rPr>
          <w:rFonts w:asciiTheme="majorHAnsi" w:hAnsiTheme="majorHAnsi"/>
          <w:b/>
          <w:spacing w:val="-47"/>
          <w:sz w:val="20"/>
          <w:szCs w:val="20"/>
        </w:rPr>
        <w:t xml:space="preserve"> </w:t>
      </w:r>
    </w:p>
    <w:p w14:paraId="5B6E5C9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FIELD</w:t>
      </w:r>
      <w:r w:rsidRPr="000977F7">
        <w:rPr>
          <w:rFonts w:asciiTheme="majorHAnsi" w:hAnsiTheme="majorHAnsi"/>
          <w:spacing w:val="49"/>
          <w:sz w:val="20"/>
          <w:szCs w:val="20"/>
        </w:rPr>
        <w:t xml:space="preserve"> </w:t>
      </w:r>
      <w:r w:rsidRPr="000977F7">
        <w:rPr>
          <w:rFonts w:asciiTheme="majorHAnsi" w:hAnsiTheme="majorHAnsi"/>
          <w:sz w:val="20"/>
          <w:szCs w:val="20"/>
        </w:rPr>
        <w:t>INSPECTION–</w:t>
      </w:r>
    </w:p>
    <w:p w14:paraId="33E2EDE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стадії</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23CCFFEC" w14:textId="77777777" w:rsidR="0097612F" w:rsidRPr="000977F7" w:rsidRDefault="0097612F" w:rsidP="000977F7">
      <w:pPr>
        <w:tabs>
          <w:tab w:val="left" w:pos="284"/>
          <w:tab w:val="left" w:pos="2780"/>
          <w:tab w:val="left" w:pos="4255"/>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A82CE24" w14:textId="77777777" w:rsidR="0097612F" w:rsidRPr="000977F7" w:rsidRDefault="0097612F" w:rsidP="000977F7">
      <w:pPr>
        <w:tabs>
          <w:tab w:val="left" w:pos="284"/>
          <w:tab w:val="left" w:pos="2780"/>
          <w:tab w:val="left" w:pos="4255"/>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 xml:space="preserve">ЕКСПЛУАТАЦІЙНИЙ ПОКАЗНИК </w:t>
      </w:r>
    </w:p>
    <w:p w14:paraId="572AE08B" w14:textId="77777777" w:rsidR="0097612F" w:rsidRPr="000977F7" w:rsidRDefault="0097612F" w:rsidP="000977F7">
      <w:pPr>
        <w:tabs>
          <w:tab w:val="left" w:pos="284"/>
          <w:tab w:val="left" w:pos="2780"/>
          <w:tab w:val="left" w:pos="4255"/>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НАДІЙ</w:t>
      </w:r>
      <w:r w:rsidRPr="000977F7">
        <w:rPr>
          <w:rFonts w:asciiTheme="majorHAnsi" w:hAnsiTheme="majorHAnsi"/>
          <w:b/>
          <w:spacing w:val="-47"/>
          <w:sz w:val="20"/>
          <w:szCs w:val="20"/>
        </w:rPr>
        <w:t xml:space="preserve"> </w:t>
      </w:r>
      <w:r w:rsidRPr="000977F7">
        <w:rPr>
          <w:rFonts w:asciiTheme="majorHAnsi" w:hAnsiTheme="majorHAnsi"/>
          <w:b/>
          <w:sz w:val="20"/>
          <w:szCs w:val="20"/>
        </w:rPr>
        <w:t>НОСТІ;</w:t>
      </w:r>
      <w:r w:rsidRPr="000977F7">
        <w:rPr>
          <w:rFonts w:asciiTheme="majorHAnsi" w:hAnsiTheme="majorHAnsi"/>
          <w:b/>
          <w:spacing w:val="9"/>
          <w:sz w:val="20"/>
          <w:szCs w:val="20"/>
        </w:rPr>
        <w:t xml:space="preserve"> </w:t>
      </w:r>
      <w:r w:rsidRPr="000977F7">
        <w:rPr>
          <w:rFonts w:asciiTheme="majorHAnsi" w:hAnsiTheme="majorHAnsi"/>
          <w:b/>
          <w:sz w:val="20"/>
          <w:szCs w:val="20"/>
        </w:rPr>
        <w:t>СПОСТЕРЕЖЕНИЙ</w:t>
      </w:r>
      <w:r w:rsidRPr="000977F7">
        <w:rPr>
          <w:rFonts w:asciiTheme="majorHAnsi" w:hAnsiTheme="majorHAnsi"/>
          <w:b/>
          <w:spacing w:val="13"/>
          <w:sz w:val="20"/>
          <w:szCs w:val="20"/>
        </w:rPr>
        <w:t xml:space="preserve"> </w:t>
      </w:r>
      <w:r w:rsidRPr="000977F7">
        <w:rPr>
          <w:rFonts w:asciiTheme="majorHAnsi" w:hAnsiTheme="majorHAnsi"/>
          <w:b/>
          <w:sz w:val="20"/>
          <w:szCs w:val="20"/>
        </w:rPr>
        <w:t>ПОКАЗНИК</w:t>
      </w:r>
      <w:r w:rsidRPr="000977F7">
        <w:rPr>
          <w:rFonts w:asciiTheme="majorHAnsi" w:hAnsiTheme="majorHAnsi"/>
          <w:b/>
          <w:spacing w:val="8"/>
          <w:sz w:val="20"/>
          <w:szCs w:val="20"/>
        </w:rPr>
        <w:t xml:space="preserve"> </w:t>
      </w:r>
      <w:r w:rsidRPr="000977F7">
        <w:rPr>
          <w:rFonts w:asciiTheme="majorHAnsi" w:hAnsiTheme="majorHAnsi"/>
          <w:b/>
          <w:sz w:val="20"/>
          <w:szCs w:val="20"/>
        </w:rPr>
        <w:t>НАДІЙНОСТІ</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22F5077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OPERATIONAL</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DEPENDABILITY</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MEASURE;</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OBSERVED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DEPENDABILITY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MEASURE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2D2B56D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Показник надійності, точкову чи інтервальну оцінку</w:t>
      </w:r>
      <w:r w:rsidRPr="000977F7">
        <w:rPr>
          <w:rFonts w:asciiTheme="majorHAnsi" w:hAnsiTheme="majorHAnsi"/>
          <w:spacing w:val="1"/>
          <w:sz w:val="20"/>
          <w:szCs w:val="20"/>
        </w:rPr>
        <w:t xml:space="preserve"> </w:t>
      </w:r>
      <w:r w:rsidRPr="000977F7">
        <w:rPr>
          <w:rFonts w:asciiTheme="majorHAnsi" w:hAnsiTheme="majorHAnsi"/>
          <w:sz w:val="20"/>
          <w:szCs w:val="20"/>
        </w:rPr>
        <w:t>якого визначають</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наслідками</w:t>
      </w:r>
      <w:r w:rsidRPr="000977F7">
        <w:rPr>
          <w:rFonts w:asciiTheme="majorHAnsi" w:hAnsiTheme="majorHAnsi"/>
          <w:spacing w:val="-2"/>
          <w:sz w:val="20"/>
          <w:szCs w:val="20"/>
        </w:rPr>
        <w:t xml:space="preserve"> </w:t>
      </w:r>
      <w:r w:rsidRPr="000977F7">
        <w:rPr>
          <w:rFonts w:asciiTheme="majorHAnsi" w:hAnsiTheme="majorHAnsi"/>
          <w:sz w:val="20"/>
          <w:szCs w:val="20"/>
        </w:rPr>
        <w:t>експлуатації</w:t>
      </w:r>
    </w:p>
    <w:p w14:paraId="72AE3E7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19EE0A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ЕКСПЛУАТАЦІЙНИЙ РЕЖИМ </w:t>
      </w:r>
    </w:p>
    <w:p w14:paraId="671C36F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НАВАНТАЖУ</w:t>
      </w:r>
      <w:r w:rsidRPr="000977F7">
        <w:rPr>
          <w:color w:val="auto"/>
          <w:spacing w:val="-47"/>
          <w:sz w:val="20"/>
          <w:szCs w:val="20"/>
        </w:rPr>
        <w:t xml:space="preserve"> </w:t>
      </w:r>
      <w:r w:rsidRPr="000977F7">
        <w:rPr>
          <w:color w:val="auto"/>
          <w:sz w:val="20"/>
          <w:szCs w:val="20"/>
        </w:rPr>
        <w:t>ВАННЯ –</w:t>
      </w:r>
    </w:p>
    <w:p w14:paraId="4075573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SERVICE</w:t>
      </w:r>
      <w:r w:rsidRPr="004D2D14">
        <w:rPr>
          <w:rFonts w:asciiTheme="majorHAnsi" w:hAnsiTheme="majorHAnsi"/>
          <w:spacing w:val="-1"/>
          <w:sz w:val="20"/>
          <w:szCs w:val="20"/>
          <w:lang w:val="uk-UA"/>
        </w:rPr>
        <w:t xml:space="preserve"> </w:t>
      </w:r>
      <w:r w:rsidRPr="000977F7">
        <w:rPr>
          <w:rFonts w:asciiTheme="majorHAnsi" w:hAnsiTheme="majorHAnsi"/>
          <w:sz w:val="20"/>
          <w:szCs w:val="20"/>
        </w:rPr>
        <w:t>LOADING</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70A0406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Режим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навантажування,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характерний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умов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експлуатації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об’єкта</w:t>
      </w:r>
    </w:p>
    <w:p w14:paraId="4ED4BF8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2824</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52C4C31C" w14:textId="77777777" w:rsidR="0097612F" w:rsidRPr="004D2D14" w:rsidRDefault="0097612F" w:rsidP="000977F7">
      <w:pPr>
        <w:tabs>
          <w:tab w:val="left" w:pos="284"/>
        </w:tabs>
        <w:spacing w:after="0" w:line="240" w:lineRule="auto"/>
        <w:ind w:left="170"/>
        <w:mirrorIndents/>
        <w:jc w:val="both"/>
        <w:rPr>
          <w:rFonts w:asciiTheme="majorHAnsi" w:hAnsiTheme="majorHAnsi"/>
          <w:spacing w:val="-47"/>
          <w:sz w:val="20"/>
          <w:szCs w:val="20"/>
          <w:lang w:val="uk-UA"/>
        </w:rPr>
      </w:pPr>
      <w:r w:rsidRPr="004D2D14">
        <w:rPr>
          <w:rFonts w:asciiTheme="majorHAnsi" w:hAnsiTheme="majorHAnsi"/>
          <w:b/>
          <w:sz w:val="20"/>
          <w:szCs w:val="20"/>
          <w:lang w:val="uk-UA"/>
        </w:rPr>
        <w:t xml:space="preserve">ЕКСПЛУАТАЦІЙНІ ВИПРОБУВАННЯ </w:t>
      </w:r>
      <w:r w:rsidRPr="004D2D14">
        <w:rPr>
          <w:rFonts w:asciiTheme="majorHAnsi" w:hAnsiTheme="majorHAnsi"/>
          <w:sz w:val="20"/>
          <w:szCs w:val="20"/>
          <w:lang w:val="uk-UA"/>
        </w:rPr>
        <w:t>–</w:t>
      </w:r>
      <w:r w:rsidRPr="004D2D14">
        <w:rPr>
          <w:rFonts w:asciiTheme="majorHAnsi" w:hAnsiTheme="majorHAnsi"/>
          <w:spacing w:val="-47"/>
          <w:sz w:val="20"/>
          <w:szCs w:val="20"/>
          <w:lang w:val="uk-UA"/>
        </w:rPr>
        <w:t xml:space="preserve"> </w:t>
      </w:r>
    </w:p>
    <w:p w14:paraId="617DE8EE"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uk-UA"/>
        </w:rPr>
      </w:pPr>
      <w:r w:rsidRPr="000977F7">
        <w:rPr>
          <w:rFonts w:asciiTheme="majorHAnsi" w:hAnsiTheme="majorHAnsi"/>
          <w:sz w:val="20"/>
          <w:szCs w:val="20"/>
        </w:rPr>
        <w:t>FIELD</w:t>
      </w:r>
      <w:r w:rsidRPr="004D2D14">
        <w:rPr>
          <w:rFonts w:asciiTheme="majorHAnsi" w:hAnsiTheme="majorHAnsi"/>
          <w:spacing w:val="49"/>
          <w:sz w:val="20"/>
          <w:szCs w:val="20"/>
          <w:lang w:val="uk-UA"/>
        </w:rPr>
        <w:t xml:space="preserve"> </w:t>
      </w:r>
      <w:r w:rsidRPr="000977F7">
        <w:rPr>
          <w:rFonts w:asciiTheme="majorHAnsi" w:hAnsiTheme="majorHAnsi"/>
          <w:sz w:val="20"/>
          <w:szCs w:val="20"/>
        </w:rPr>
        <w:t>TEST</w:t>
      </w:r>
      <w:r w:rsidRPr="004D2D14">
        <w:rPr>
          <w:rFonts w:asciiTheme="majorHAnsi" w:hAnsiTheme="majorHAnsi"/>
          <w:spacing w:val="1"/>
          <w:sz w:val="20"/>
          <w:szCs w:val="20"/>
          <w:lang w:val="uk-UA"/>
        </w:rPr>
        <w:t xml:space="preserve"> </w:t>
      </w:r>
      <w:r w:rsidRPr="004D2D14">
        <w:rPr>
          <w:rFonts w:asciiTheme="majorHAnsi" w:hAnsiTheme="majorHAnsi"/>
          <w:b/>
          <w:sz w:val="20"/>
          <w:szCs w:val="20"/>
          <w:lang w:val="uk-UA"/>
        </w:rPr>
        <w:t>–</w:t>
      </w:r>
    </w:p>
    <w:p w14:paraId="365DD18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об’єкта, що проводяться під час експлуатації</w:t>
      </w:r>
    </w:p>
    <w:p w14:paraId="483CAE9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3021 – 95</w:t>
      </w:r>
    </w:p>
    <w:p w14:paraId="5B02C2A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ЕКСПЛУАТАЦІЙНІ</w:t>
      </w:r>
      <w:r w:rsidRPr="000977F7">
        <w:rPr>
          <w:rFonts w:asciiTheme="majorHAnsi" w:hAnsiTheme="majorHAnsi"/>
          <w:b/>
          <w:spacing w:val="1"/>
          <w:sz w:val="20"/>
          <w:szCs w:val="20"/>
        </w:rPr>
        <w:t xml:space="preserve"> </w:t>
      </w:r>
      <w:r w:rsidRPr="000977F7">
        <w:rPr>
          <w:rFonts w:asciiTheme="majorHAnsi" w:hAnsiTheme="majorHAnsi"/>
          <w:b/>
          <w:sz w:val="20"/>
          <w:szCs w:val="20"/>
        </w:rPr>
        <w:t>ВИПРОБУВАННЯ</w:t>
      </w:r>
      <w:r w:rsidRPr="000977F7">
        <w:rPr>
          <w:rFonts w:asciiTheme="majorHAnsi" w:hAnsiTheme="majorHAnsi"/>
          <w:b/>
          <w:spacing w:val="1"/>
          <w:sz w:val="20"/>
          <w:szCs w:val="20"/>
        </w:rPr>
        <w:t xml:space="preserve"> </w:t>
      </w:r>
      <w:r w:rsidRPr="000977F7">
        <w:rPr>
          <w:rFonts w:asciiTheme="majorHAnsi" w:hAnsiTheme="majorHAnsi"/>
          <w:b/>
          <w:sz w:val="20"/>
          <w:szCs w:val="20"/>
        </w:rPr>
        <w:t>НА</w:t>
      </w:r>
      <w:r w:rsidRPr="000977F7">
        <w:rPr>
          <w:rFonts w:asciiTheme="majorHAnsi" w:hAnsiTheme="majorHAnsi"/>
          <w:b/>
          <w:spacing w:val="-48"/>
          <w:sz w:val="20"/>
          <w:szCs w:val="20"/>
        </w:rPr>
        <w:t xml:space="preserve"> </w:t>
      </w:r>
      <w:r w:rsidRPr="000977F7">
        <w:rPr>
          <w:rFonts w:asciiTheme="majorHAnsi" w:hAnsiTheme="majorHAnsi"/>
          <w:b/>
          <w:sz w:val="20"/>
          <w:szCs w:val="20"/>
        </w:rPr>
        <w:t>НАДІЙНІСТЬ</w:t>
      </w:r>
      <w:r w:rsidRPr="000977F7">
        <w:rPr>
          <w:rFonts w:asciiTheme="majorHAnsi" w:hAnsiTheme="majorHAnsi"/>
          <w:b/>
          <w:spacing w:val="-1"/>
          <w:sz w:val="20"/>
          <w:szCs w:val="20"/>
        </w:rPr>
        <w:t xml:space="preserve"> </w:t>
      </w:r>
      <w:r w:rsidRPr="000977F7">
        <w:rPr>
          <w:rFonts w:asciiTheme="majorHAnsi" w:hAnsiTheme="majorHAnsi"/>
          <w:sz w:val="20"/>
          <w:szCs w:val="20"/>
        </w:rPr>
        <w:t>–</w:t>
      </w:r>
    </w:p>
    <w:p w14:paraId="13F34F4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FIELD RELIABILITY</w:t>
      </w:r>
      <w:r w:rsidRPr="000977F7">
        <w:rPr>
          <w:rFonts w:asciiTheme="majorHAnsi" w:hAnsiTheme="majorHAnsi"/>
          <w:spacing w:val="-3"/>
          <w:sz w:val="20"/>
          <w:szCs w:val="20"/>
        </w:rPr>
        <w:t xml:space="preserve"> </w:t>
      </w:r>
      <w:r w:rsidRPr="000977F7">
        <w:rPr>
          <w:rFonts w:asciiTheme="majorHAnsi" w:hAnsiTheme="majorHAnsi"/>
          <w:sz w:val="20"/>
          <w:szCs w:val="20"/>
        </w:rPr>
        <w:t>TEST-</w:t>
      </w:r>
    </w:p>
    <w:p w14:paraId="7835F86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Контрольні або визначальні випробування, які проводяться в умовах експлуатації при реєстрованих режимах роботи, умовах навколишнього середовища, технічного обслуговування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вимірювань</w:t>
      </w:r>
    </w:p>
    <w:p w14:paraId="4986EFB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 – 95</w:t>
      </w:r>
    </w:p>
    <w:p w14:paraId="58A8169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FIELD</w:t>
      </w:r>
      <w:r w:rsidRPr="000977F7">
        <w:rPr>
          <w:rFonts w:asciiTheme="majorHAnsi" w:hAnsiTheme="majorHAnsi"/>
          <w:spacing w:val="-3"/>
          <w:sz w:val="20"/>
          <w:szCs w:val="20"/>
        </w:rPr>
        <w:t xml:space="preserve"> </w:t>
      </w:r>
      <w:r w:rsidRPr="000977F7">
        <w:rPr>
          <w:rFonts w:asciiTheme="majorHAnsi" w:hAnsiTheme="majorHAnsi"/>
          <w:sz w:val="20"/>
          <w:szCs w:val="20"/>
        </w:rPr>
        <w:t>DEPENDABILITY</w:t>
      </w:r>
      <w:r w:rsidRPr="000977F7">
        <w:rPr>
          <w:rFonts w:asciiTheme="majorHAnsi" w:hAnsiTheme="majorHAnsi"/>
          <w:spacing w:val="-2"/>
          <w:sz w:val="20"/>
          <w:szCs w:val="20"/>
        </w:rPr>
        <w:t xml:space="preserve"> </w:t>
      </w:r>
      <w:r w:rsidRPr="000977F7">
        <w:rPr>
          <w:rFonts w:asciiTheme="majorHAnsi" w:hAnsiTheme="majorHAnsi"/>
          <w:sz w:val="20"/>
          <w:szCs w:val="20"/>
        </w:rPr>
        <w:t>TEST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4376FB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що проводяться в умовах експлуатації</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46950EB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F61B78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ЕКСПЛУАТАЦІЙНІ</w:t>
      </w:r>
      <w:r w:rsidRPr="000977F7">
        <w:rPr>
          <w:color w:val="auto"/>
          <w:spacing w:val="-11"/>
          <w:sz w:val="20"/>
          <w:szCs w:val="20"/>
        </w:rPr>
        <w:t xml:space="preserve"> </w:t>
      </w:r>
      <w:r w:rsidRPr="000977F7">
        <w:rPr>
          <w:color w:val="auto"/>
          <w:sz w:val="20"/>
          <w:szCs w:val="20"/>
        </w:rPr>
        <w:t>МЕТОДИ</w:t>
      </w:r>
      <w:r w:rsidRPr="000977F7">
        <w:rPr>
          <w:color w:val="auto"/>
          <w:spacing w:val="-9"/>
          <w:sz w:val="20"/>
          <w:szCs w:val="20"/>
        </w:rPr>
        <w:t xml:space="preserve"> </w:t>
      </w:r>
      <w:r w:rsidRPr="000977F7">
        <w:rPr>
          <w:color w:val="auto"/>
          <w:sz w:val="20"/>
          <w:szCs w:val="20"/>
        </w:rPr>
        <w:t>ЗАБЕЗПЕЧЕННЯ</w:t>
      </w:r>
      <w:r w:rsidRPr="000977F7">
        <w:rPr>
          <w:color w:val="auto"/>
          <w:spacing w:val="-47"/>
          <w:sz w:val="20"/>
          <w:szCs w:val="20"/>
        </w:rPr>
        <w:t xml:space="preserve"> </w:t>
      </w:r>
      <w:r w:rsidRPr="000977F7">
        <w:rPr>
          <w:color w:val="auto"/>
          <w:sz w:val="20"/>
          <w:szCs w:val="20"/>
        </w:rPr>
        <w:t>НАДІЙНОСТІ</w:t>
      </w:r>
      <w:r w:rsidRPr="000977F7">
        <w:rPr>
          <w:color w:val="auto"/>
          <w:spacing w:val="-1"/>
          <w:sz w:val="20"/>
          <w:szCs w:val="20"/>
        </w:rPr>
        <w:t xml:space="preserve"> </w:t>
      </w:r>
      <w:r w:rsidRPr="000977F7">
        <w:rPr>
          <w:color w:val="auto"/>
          <w:sz w:val="20"/>
          <w:szCs w:val="20"/>
        </w:rPr>
        <w:t>–</w:t>
      </w:r>
    </w:p>
    <w:p w14:paraId="42CB83D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OPERATIONAL</w:t>
      </w:r>
      <w:r w:rsidRPr="004D2D14">
        <w:rPr>
          <w:rFonts w:asciiTheme="majorHAnsi" w:hAnsiTheme="majorHAnsi"/>
          <w:sz w:val="20"/>
          <w:szCs w:val="20"/>
          <w:lang w:val="uk-UA"/>
        </w:rPr>
        <w:t xml:space="preserve"> </w:t>
      </w:r>
      <w:r w:rsidRPr="000977F7">
        <w:rPr>
          <w:rFonts w:asciiTheme="majorHAnsi" w:hAnsiTheme="majorHAnsi"/>
          <w:sz w:val="20"/>
          <w:szCs w:val="20"/>
        </w:rPr>
        <w:t>DEPENDABILITY</w:t>
      </w:r>
      <w:r w:rsidRPr="004D2D14">
        <w:rPr>
          <w:rFonts w:asciiTheme="majorHAnsi" w:hAnsiTheme="majorHAnsi"/>
          <w:sz w:val="20"/>
          <w:szCs w:val="20"/>
          <w:lang w:val="uk-UA"/>
        </w:rPr>
        <w:t xml:space="preserve"> </w:t>
      </w:r>
      <w:r w:rsidRPr="000977F7">
        <w:rPr>
          <w:rFonts w:asciiTheme="majorHAnsi" w:hAnsiTheme="majorHAnsi"/>
          <w:sz w:val="20"/>
          <w:szCs w:val="20"/>
        </w:rPr>
        <w:t>SUPPORT</w:t>
      </w:r>
      <w:r w:rsidRPr="004D2D14">
        <w:rPr>
          <w:rFonts w:asciiTheme="majorHAnsi" w:hAnsiTheme="majorHAnsi"/>
          <w:spacing w:val="-48"/>
          <w:sz w:val="20"/>
          <w:szCs w:val="20"/>
          <w:lang w:val="uk-UA"/>
        </w:rPr>
        <w:t xml:space="preserve"> </w:t>
      </w:r>
      <w:r w:rsidRPr="000977F7">
        <w:rPr>
          <w:rFonts w:asciiTheme="majorHAnsi" w:hAnsiTheme="majorHAnsi"/>
          <w:sz w:val="20"/>
          <w:szCs w:val="20"/>
        </w:rPr>
        <w:t>M</w:t>
      </w:r>
      <w:r w:rsidRPr="004D2D14">
        <w:rPr>
          <w:rFonts w:asciiTheme="majorHAnsi" w:hAnsiTheme="majorHAnsi"/>
          <w:sz w:val="20"/>
          <w:szCs w:val="20"/>
          <w:lang w:val="uk-UA"/>
        </w:rPr>
        <w:t>Е</w:t>
      </w:r>
      <w:r w:rsidRPr="000977F7">
        <w:rPr>
          <w:rFonts w:asciiTheme="majorHAnsi" w:hAnsiTheme="majorHAnsi"/>
          <w:sz w:val="20"/>
          <w:szCs w:val="20"/>
        </w:rPr>
        <w:t>THOD</w:t>
      </w:r>
      <w:r w:rsidRPr="004D2D14">
        <w:rPr>
          <w:rFonts w:asciiTheme="majorHAnsi" w:hAnsiTheme="majorHAnsi"/>
          <w:sz w:val="20"/>
          <w:szCs w:val="20"/>
          <w:lang w:val="uk-UA"/>
        </w:rPr>
        <w:t xml:space="preserve"> –</w:t>
      </w:r>
    </w:p>
    <w:p w14:paraId="148DFDB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Методи забезпечення надійності, які застосовуються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етапі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експлуатації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об’єкта</w:t>
      </w:r>
    </w:p>
    <w:p w14:paraId="264A2B52"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uk-UA"/>
        </w:rPr>
      </w:pPr>
      <w:r w:rsidRPr="004D2D14">
        <w:rPr>
          <w:rFonts w:asciiTheme="majorHAnsi" w:hAnsiTheme="majorHAnsi"/>
          <w:i/>
          <w:sz w:val="20"/>
          <w:szCs w:val="20"/>
          <w:lang w:val="uk-UA"/>
        </w:rPr>
        <w:t>ДСТУ 2860–94</w:t>
      </w:r>
    </w:p>
    <w:p w14:paraId="066CAF3A"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uk-UA"/>
        </w:rPr>
      </w:pPr>
      <w:r w:rsidRPr="004D2D14">
        <w:rPr>
          <w:rFonts w:asciiTheme="majorHAnsi" w:hAnsiTheme="majorHAnsi"/>
          <w:b/>
          <w:sz w:val="20"/>
          <w:szCs w:val="20"/>
          <w:lang w:val="uk-UA"/>
        </w:rPr>
        <w:t>ЕКСПЛУАТАЦІЙНІ ДАНІ –</w:t>
      </w:r>
      <w:r w:rsidRPr="004D2D14">
        <w:rPr>
          <w:rFonts w:asciiTheme="majorHAnsi" w:hAnsiTheme="majorHAnsi"/>
          <w:b/>
          <w:spacing w:val="-47"/>
          <w:sz w:val="20"/>
          <w:szCs w:val="20"/>
          <w:lang w:val="uk-UA"/>
        </w:rPr>
        <w:t xml:space="preserve"> </w:t>
      </w:r>
    </w:p>
    <w:p w14:paraId="128AEDA9"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0977F7">
        <w:rPr>
          <w:rFonts w:asciiTheme="majorHAnsi" w:hAnsiTheme="majorHAnsi"/>
          <w:sz w:val="20"/>
          <w:szCs w:val="20"/>
        </w:rPr>
        <w:t>FIELD</w:t>
      </w:r>
      <w:r w:rsidRPr="004D2D14">
        <w:rPr>
          <w:rFonts w:asciiTheme="majorHAnsi" w:hAnsiTheme="majorHAnsi"/>
          <w:spacing w:val="-1"/>
          <w:sz w:val="20"/>
          <w:szCs w:val="20"/>
          <w:lang w:val="uk-UA"/>
        </w:rPr>
        <w:t xml:space="preserve"> </w:t>
      </w:r>
      <w:r w:rsidRPr="000977F7">
        <w:rPr>
          <w:rFonts w:asciiTheme="majorHAnsi" w:hAnsiTheme="majorHAnsi"/>
          <w:sz w:val="20"/>
          <w:szCs w:val="20"/>
        </w:rPr>
        <w:t>DATA</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76CC1899" w14:textId="77777777" w:rsidR="0097612F" w:rsidRPr="000977F7" w:rsidRDefault="0097612F" w:rsidP="000977F7">
      <w:pPr>
        <w:pStyle w:val="af6"/>
        <w:tabs>
          <w:tab w:val="left" w:pos="284"/>
        </w:tabs>
        <w:spacing w:after="0"/>
        <w:ind w:left="170"/>
        <w:mirrorIndents/>
        <w:jc w:val="both"/>
        <w:rPr>
          <w:rFonts w:asciiTheme="majorHAnsi" w:hAnsiTheme="majorHAnsi"/>
          <w:spacing w:val="-48"/>
          <w:sz w:val="20"/>
          <w:szCs w:val="20"/>
        </w:rPr>
      </w:pPr>
      <w:r w:rsidRPr="000977F7">
        <w:rPr>
          <w:rFonts w:asciiTheme="majorHAnsi" w:hAnsiTheme="majorHAnsi"/>
          <w:sz w:val="20"/>
          <w:szCs w:val="20"/>
        </w:rPr>
        <w:t>Результати</w:t>
      </w:r>
      <w:r w:rsidRPr="000977F7">
        <w:rPr>
          <w:rFonts w:asciiTheme="majorHAnsi" w:hAnsiTheme="majorHAnsi"/>
          <w:spacing w:val="-6"/>
          <w:sz w:val="20"/>
          <w:szCs w:val="20"/>
        </w:rPr>
        <w:t xml:space="preserve"> </w:t>
      </w:r>
      <w:r w:rsidRPr="000977F7">
        <w:rPr>
          <w:rFonts w:asciiTheme="majorHAnsi" w:hAnsiTheme="majorHAnsi"/>
          <w:sz w:val="20"/>
          <w:szCs w:val="20"/>
        </w:rPr>
        <w:t>спостережень</w:t>
      </w:r>
      <w:r w:rsidRPr="000977F7">
        <w:rPr>
          <w:rFonts w:asciiTheme="majorHAnsi" w:hAnsiTheme="majorHAnsi"/>
          <w:spacing w:val="-6"/>
          <w:sz w:val="20"/>
          <w:szCs w:val="20"/>
        </w:rPr>
        <w:t xml:space="preserve"> </w:t>
      </w:r>
      <w:r w:rsidRPr="000977F7">
        <w:rPr>
          <w:rFonts w:asciiTheme="majorHAnsi" w:hAnsiTheme="majorHAnsi"/>
          <w:sz w:val="20"/>
          <w:szCs w:val="20"/>
        </w:rPr>
        <w:t>в</w:t>
      </w:r>
      <w:r w:rsidRPr="000977F7">
        <w:rPr>
          <w:rFonts w:asciiTheme="majorHAnsi" w:hAnsiTheme="majorHAnsi"/>
          <w:spacing w:val="-3"/>
          <w:sz w:val="20"/>
          <w:szCs w:val="20"/>
        </w:rPr>
        <w:t xml:space="preserve"> </w:t>
      </w:r>
      <w:r w:rsidRPr="000977F7">
        <w:rPr>
          <w:rFonts w:asciiTheme="majorHAnsi" w:hAnsiTheme="majorHAnsi"/>
          <w:sz w:val="20"/>
          <w:szCs w:val="20"/>
        </w:rPr>
        <w:t>процесі</w:t>
      </w:r>
      <w:r w:rsidRPr="000977F7">
        <w:rPr>
          <w:rFonts w:asciiTheme="majorHAnsi" w:hAnsiTheme="majorHAnsi"/>
          <w:spacing w:val="-6"/>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48"/>
          <w:sz w:val="20"/>
          <w:szCs w:val="20"/>
        </w:rPr>
        <w:t xml:space="preserve"> </w:t>
      </w:r>
    </w:p>
    <w:p w14:paraId="0ED8AC3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95416A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Слід точно вказувати тривалість експлуатації, умови</w:t>
      </w:r>
      <w:r w:rsidRPr="000977F7">
        <w:rPr>
          <w:rFonts w:asciiTheme="majorHAnsi" w:hAnsiTheme="majorHAnsi"/>
          <w:spacing w:val="1"/>
          <w:sz w:val="20"/>
          <w:szCs w:val="20"/>
        </w:rPr>
        <w:t xml:space="preserve"> </w:t>
      </w:r>
      <w:r w:rsidRPr="000977F7">
        <w:rPr>
          <w:rFonts w:asciiTheme="majorHAnsi" w:hAnsiTheme="majorHAnsi"/>
          <w:sz w:val="20"/>
          <w:szCs w:val="20"/>
        </w:rPr>
        <w:t>навантаження і критерії відмови або безвідмовної роботи</w:t>
      </w:r>
    </w:p>
    <w:p w14:paraId="19F58F2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ЕКСПЛУАТАЦІЯ</w:t>
      </w:r>
      <w:r w:rsidRPr="000977F7">
        <w:rPr>
          <w:color w:val="auto"/>
          <w:spacing w:val="-4"/>
          <w:sz w:val="20"/>
          <w:szCs w:val="20"/>
        </w:rPr>
        <w:t xml:space="preserve"> </w:t>
      </w:r>
      <w:r w:rsidRPr="000977F7">
        <w:rPr>
          <w:color w:val="auto"/>
          <w:sz w:val="20"/>
          <w:szCs w:val="20"/>
        </w:rPr>
        <w:t>ВИРОБУ</w:t>
      </w:r>
      <w:r w:rsidRPr="000977F7">
        <w:rPr>
          <w:color w:val="auto"/>
          <w:spacing w:val="-2"/>
          <w:sz w:val="20"/>
          <w:szCs w:val="20"/>
        </w:rPr>
        <w:t xml:space="preserve"> </w:t>
      </w:r>
      <w:r w:rsidRPr="000977F7">
        <w:rPr>
          <w:color w:val="auto"/>
          <w:sz w:val="20"/>
          <w:szCs w:val="20"/>
        </w:rPr>
        <w:t>–</w:t>
      </w:r>
    </w:p>
    <w:p w14:paraId="7C81DBD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Стадія життєвого циклу продукції, на якій реалізують,</w:t>
      </w:r>
      <w:r w:rsidRPr="000977F7">
        <w:rPr>
          <w:rFonts w:asciiTheme="majorHAnsi" w:hAnsiTheme="majorHAnsi"/>
          <w:spacing w:val="-47"/>
          <w:sz w:val="20"/>
          <w:szCs w:val="20"/>
        </w:rPr>
        <w:t xml:space="preserve"> </w:t>
      </w:r>
      <w:r w:rsidRPr="000977F7">
        <w:rPr>
          <w:rFonts w:asciiTheme="majorHAnsi" w:hAnsiTheme="majorHAnsi"/>
          <w:sz w:val="20"/>
          <w:szCs w:val="20"/>
        </w:rPr>
        <w:t>підтримують</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відновляють</w:t>
      </w:r>
      <w:r w:rsidRPr="000977F7">
        <w:rPr>
          <w:rFonts w:asciiTheme="majorHAnsi" w:hAnsiTheme="majorHAnsi"/>
          <w:spacing w:val="-1"/>
          <w:sz w:val="20"/>
          <w:szCs w:val="20"/>
        </w:rPr>
        <w:t xml:space="preserve"> </w:t>
      </w:r>
      <w:r w:rsidRPr="000977F7">
        <w:rPr>
          <w:rFonts w:asciiTheme="majorHAnsi" w:hAnsiTheme="majorHAnsi"/>
          <w:sz w:val="20"/>
          <w:szCs w:val="20"/>
        </w:rPr>
        <w:t>якість</w:t>
      </w:r>
      <w:r w:rsidRPr="000977F7">
        <w:rPr>
          <w:rFonts w:asciiTheme="majorHAnsi" w:hAnsiTheme="majorHAnsi"/>
          <w:spacing w:val="-2"/>
          <w:sz w:val="20"/>
          <w:szCs w:val="20"/>
        </w:rPr>
        <w:t xml:space="preserve"> </w:t>
      </w:r>
      <w:r w:rsidRPr="000977F7">
        <w:rPr>
          <w:rFonts w:asciiTheme="majorHAnsi" w:hAnsiTheme="majorHAnsi"/>
          <w:sz w:val="20"/>
          <w:szCs w:val="20"/>
        </w:rPr>
        <w:t>виробу</w:t>
      </w:r>
    </w:p>
    <w:p w14:paraId="1CDC30B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6465D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Експлуатація</w:t>
      </w:r>
      <w:r w:rsidRPr="000977F7">
        <w:rPr>
          <w:rFonts w:asciiTheme="majorHAnsi" w:hAnsiTheme="majorHAnsi"/>
          <w:spacing w:val="35"/>
          <w:sz w:val="20"/>
          <w:szCs w:val="20"/>
        </w:rPr>
        <w:t xml:space="preserve"> </w:t>
      </w:r>
      <w:r w:rsidRPr="000977F7">
        <w:rPr>
          <w:rFonts w:asciiTheme="majorHAnsi" w:hAnsiTheme="majorHAnsi"/>
          <w:sz w:val="20"/>
          <w:szCs w:val="20"/>
        </w:rPr>
        <w:t>виробу</w:t>
      </w:r>
      <w:r w:rsidRPr="000977F7">
        <w:rPr>
          <w:rFonts w:asciiTheme="majorHAnsi" w:hAnsiTheme="majorHAnsi"/>
          <w:spacing w:val="34"/>
          <w:sz w:val="20"/>
          <w:szCs w:val="20"/>
        </w:rPr>
        <w:t xml:space="preserve"> </w:t>
      </w:r>
      <w:r w:rsidRPr="000977F7">
        <w:rPr>
          <w:rFonts w:asciiTheme="majorHAnsi" w:hAnsiTheme="majorHAnsi"/>
          <w:sz w:val="20"/>
          <w:szCs w:val="20"/>
        </w:rPr>
        <w:t>охоплює</w:t>
      </w:r>
      <w:r w:rsidRPr="000977F7">
        <w:rPr>
          <w:rFonts w:asciiTheme="majorHAnsi" w:hAnsiTheme="majorHAnsi"/>
          <w:spacing w:val="36"/>
          <w:sz w:val="20"/>
          <w:szCs w:val="20"/>
        </w:rPr>
        <w:t xml:space="preserve"> </w:t>
      </w:r>
      <w:r w:rsidRPr="000977F7">
        <w:rPr>
          <w:rFonts w:asciiTheme="majorHAnsi" w:hAnsiTheme="majorHAnsi"/>
          <w:sz w:val="20"/>
          <w:szCs w:val="20"/>
        </w:rPr>
        <w:t>у</w:t>
      </w:r>
      <w:r w:rsidRPr="000977F7">
        <w:rPr>
          <w:rFonts w:asciiTheme="majorHAnsi" w:hAnsiTheme="majorHAnsi"/>
          <w:spacing w:val="32"/>
          <w:sz w:val="20"/>
          <w:szCs w:val="20"/>
        </w:rPr>
        <w:t xml:space="preserve"> </w:t>
      </w:r>
      <w:r w:rsidRPr="000977F7">
        <w:rPr>
          <w:rFonts w:asciiTheme="majorHAnsi" w:hAnsiTheme="majorHAnsi"/>
          <w:sz w:val="20"/>
          <w:szCs w:val="20"/>
        </w:rPr>
        <w:t>загальному</w:t>
      </w:r>
      <w:r w:rsidRPr="000977F7">
        <w:rPr>
          <w:rFonts w:asciiTheme="majorHAnsi" w:hAnsiTheme="majorHAnsi"/>
          <w:spacing w:val="34"/>
          <w:sz w:val="20"/>
          <w:szCs w:val="20"/>
        </w:rPr>
        <w:t xml:space="preserve"> </w:t>
      </w:r>
      <w:r w:rsidRPr="000977F7">
        <w:rPr>
          <w:rFonts w:asciiTheme="majorHAnsi" w:hAnsiTheme="majorHAnsi"/>
          <w:sz w:val="20"/>
          <w:szCs w:val="20"/>
        </w:rPr>
        <w:t>випадку</w:t>
      </w:r>
      <w:r w:rsidRPr="000977F7">
        <w:rPr>
          <w:rFonts w:asciiTheme="majorHAnsi" w:hAnsiTheme="majorHAnsi"/>
          <w:spacing w:val="-47"/>
          <w:sz w:val="20"/>
          <w:szCs w:val="20"/>
        </w:rPr>
        <w:t xml:space="preserve"> </w:t>
      </w:r>
      <w:r w:rsidRPr="000977F7">
        <w:rPr>
          <w:rFonts w:asciiTheme="majorHAnsi" w:hAnsiTheme="majorHAnsi"/>
          <w:sz w:val="20"/>
          <w:szCs w:val="20"/>
        </w:rPr>
        <w:t>етапи</w:t>
      </w:r>
      <w:r w:rsidRPr="000977F7">
        <w:rPr>
          <w:rFonts w:asciiTheme="majorHAnsi" w:hAnsiTheme="majorHAnsi"/>
          <w:spacing w:val="12"/>
          <w:sz w:val="20"/>
          <w:szCs w:val="20"/>
        </w:rPr>
        <w:t xml:space="preserve"> </w:t>
      </w:r>
      <w:r w:rsidRPr="000977F7">
        <w:rPr>
          <w:rFonts w:asciiTheme="majorHAnsi" w:hAnsiTheme="majorHAnsi"/>
          <w:sz w:val="20"/>
          <w:szCs w:val="20"/>
        </w:rPr>
        <w:t>введення</w:t>
      </w:r>
      <w:r w:rsidRPr="000977F7">
        <w:rPr>
          <w:rFonts w:asciiTheme="majorHAnsi" w:hAnsiTheme="majorHAnsi"/>
          <w:spacing w:val="14"/>
          <w:sz w:val="20"/>
          <w:szCs w:val="20"/>
        </w:rPr>
        <w:t xml:space="preserve"> </w:t>
      </w:r>
      <w:r w:rsidRPr="000977F7">
        <w:rPr>
          <w:rFonts w:asciiTheme="majorHAnsi" w:hAnsiTheme="majorHAnsi"/>
          <w:sz w:val="20"/>
          <w:szCs w:val="20"/>
        </w:rPr>
        <w:t>в</w:t>
      </w:r>
      <w:r w:rsidRPr="000977F7">
        <w:rPr>
          <w:rFonts w:asciiTheme="majorHAnsi" w:hAnsiTheme="majorHAnsi"/>
          <w:spacing w:val="14"/>
          <w:sz w:val="20"/>
          <w:szCs w:val="20"/>
        </w:rPr>
        <w:t xml:space="preserve"> </w:t>
      </w:r>
      <w:r w:rsidRPr="000977F7">
        <w:rPr>
          <w:rFonts w:asciiTheme="majorHAnsi" w:hAnsiTheme="majorHAnsi"/>
          <w:sz w:val="20"/>
          <w:szCs w:val="20"/>
        </w:rPr>
        <w:t>експлуатацію,</w:t>
      </w:r>
      <w:r w:rsidRPr="000977F7">
        <w:rPr>
          <w:rFonts w:asciiTheme="majorHAnsi" w:hAnsiTheme="majorHAnsi"/>
          <w:spacing w:val="15"/>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3"/>
          <w:sz w:val="20"/>
          <w:szCs w:val="20"/>
        </w:rPr>
        <w:t xml:space="preserve"> </w:t>
      </w:r>
      <w:r w:rsidRPr="000977F7">
        <w:rPr>
          <w:rFonts w:asciiTheme="majorHAnsi" w:hAnsiTheme="majorHAnsi"/>
          <w:sz w:val="20"/>
          <w:szCs w:val="20"/>
        </w:rPr>
        <w:t>за</w:t>
      </w:r>
      <w:r w:rsidRPr="000977F7">
        <w:rPr>
          <w:rFonts w:asciiTheme="majorHAnsi" w:hAnsiTheme="majorHAnsi"/>
          <w:spacing w:val="15"/>
          <w:sz w:val="20"/>
          <w:szCs w:val="20"/>
        </w:rPr>
        <w:t xml:space="preserve"> </w:t>
      </w:r>
      <w:r w:rsidRPr="000977F7">
        <w:rPr>
          <w:rFonts w:asciiTheme="majorHAnsi" w:hAnsiTheme="majorHAnsi"/>
          <w:sz w:val="20"/>
          <w:szCs w:val="20"/>
        </w:rPr>
        <w:t>призначенням,</w:t>
      </w:r>
      <w:r w:rsidRPr="000977F7">
        <w:rPr>
          <w:rFonts w:asciiTheme="majorHAnsi" w:hAnsiTheme="majorHAnsi"/>
          <w:spacing w:val="34"/>
          <w:sz w:val="20"/>
          <w:szCs w:val="20"/>
        </w:rPr>
        <w:t xml:space="preserve"> </w:t>
      </w:r>
      <w:r w:rsidRPr="000977F7">
        <w:rPr>
          <w:rFonts w:asciiTheme="majorHAnsi" w:hAnsiTheme="majorHAnsi"/>
          <w:sz w:val="20"/>
          <w:szCs w:val="20"/>
        </w:rPr>
        <w:t>зберігання</w:t>
      </w:r>
      <w:r w:rsidRPr="000977F7">
        <w:rPr>
          <w:rFonts w:asciiTheme="majorHAnsi" w:hAnsiTheme="majorHAnsi"/>
          <w:spacing w:val="33"/>
          <w:sz w:val="20"/>
          <w:szCs w:val="20"/>
        </w:rPr>
        <w:t xml:space="preserve"> </w:t>
      </w:r>
      <w:r w:rsidRPr="000977F7">
        <w:rPr>
          <w:rFonts w:asciiTheme="majorHAnsi" w:hAnsiTheme="majorHAnsi"/>
          <w:sz w:val="20"/>
          <w:szCs w:val="20"/>
        </w:rPr>
        <w:t>в</w:t>
      </w:r>
      <w:r w:rsidRPr="000977F7">
        <w:rPr>
          <w:rFonts w:asciiTheme="majorHAnsi" w:hAnsiTheme="majorHAnsi"/>
          <w:spacing w:val="36"/>
          <w:sz w:val="20"/>
          <w:szCs w:val="20"/>
        </w:rPr>
        <w:t xml:space="preserve"> </w:t>
      </w:r>
      <w:r w:rsidRPr="000977F7">
        <w:rPr>
          <w:rFonts w:asciiTheme="majorHAnsi" w:hAnsiTheme="majorHAnsi"/>
          <w:sz w:val="20"/>
          <w:szCs w:val="20"/>
        </w:rPr>
        <w:t>процесі</w:t>
      </w:r>
      <w:r w:rsidRPr="000977F7">
        <w:rPr>
          <w:rFonts w:asciiTheme="majorHAnsi" w:hAnsiTheme="majorHAnsi"/>
          <w:spacing w:val="34"/>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36"/>
          <w:sz w:val="20"/>
          <w:szCs w:val="20"/>
        </w:rPr>
        <w:t xml:space="preserve"> </w:t>
      </w:r>
      <w:r w:rsidRPr="000977F7">
        <w:rPr>
          <w:rFonts w:asciiTheme="majorHAnsi" w:hAnsiTheme="majorHAnsi"/>
          <w:sz w:val="20"/>
          <w:szCs w:val="20"/>
        </w:rPr>
        <w:t>транспортування в процесі експлуатації, технічне</w:t>
      </w:r>
      <w:r w:rsidRPr="000977F7">
        <w:rPr>
          <w:rFonts w:asciiTheme="majorHAnsi" w:hAnsiTheme="majorHAnsi"/>
          <w:spacing w:val="1"/>
          <w:sz w:val="20"/>
          <w:szCs w:val="20"/>
        </w:rPr>
        <w:t xml:space="preserve"> </w:t>
      </w:r>
      <w:r w:rsidRPr="000977F7">
        <w:rPr>
          <w:rFonts w:asciiTheme="majorHAnsi" w:hAnsiTheme="majorHAnsi"/>
          <w:sz w:val="20"/>
          <w:szCs w:val="20"/>
        </w:rPr>
        <w:t>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поточний</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середній</w:t>
      </w:r>
      <w:r w:rsidRPr="000977F7">
        <w:rPr>
          <w:rFonts w:asciiTheme="majorHAnsi" w:hAnsiTheme="majorHAnsi"/>
          <w:spacing w:val="1"/>
          <w:sz w:val="20"/>
          <w:szCs w:val="20"/>
        </w:rPr>
        <w:t xml:space="preserve"> </w:t>
      </w:r>
      <w:r w:rsidRPr="000977F7">
        <w:rPr>
          <w:rFonts w:asciiTheme="majorHAnsi" w:hAnsiTheme="majorHAnsi"/>
          <w:sz w:val="20"/>
          <w:szCs w:val="20"/>
        </w:rPr>
        <w:t>ремонт,</w:t>
      </w:r>
      <w:r w:rsidRPr="000977F7">
        <w:rPr>
          <w:rFonts w:asciiTheme="majorHAnsi" w:hAnsiTheme="majorHAnsi"/>
          <w:spacing w:val="1"/>
          <w:sz w:val="20"/>
          <w:szCs w:val="20"/>
        </w:rPr>
        <w:t xml:space="preserve"> </w:t>
      </w:r>
      <w:r w:rsidRPr="000977F7">
        <w:rPr>
          <w:rFonts w:asciiTheme="majorHAnsi" w:hAnsiTheme="majorHAnsi"/>
          <w:sz w:val="20"/>
          <w:szCs w:val="20"/>
        </w:rPr>
        <w:t>припинення</w:t>
      </w:r>
      <w:r w:rsidRPr="000977F7">
        <w:rPr>
          <w:rFonts w:asciiTheme="majorHAnsi" w:hAnsiTheme="majorHAnsi"/>
          <w:spacing w:val="36"/>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37"/>
          <w:sz w:val="20"/>
          <w:szCs w:val="20"/>
        </w:rPr>
        <w:t xml:space="preserve"> </w:t>
      </w:r>
      <w:r w:rsidRPr="000977F7">
        <w:rPr>
          <w:rFonts w:asciiTheme="majorHAnsi" w:hAnsiTheme="majorHAnsi"/>
          <w:sz w:val="20"/>
          <w:szCs w:val="20"/>
        </w:rPr>
        <w:t>списання</w:t>
      </w:r>
      <w:r w:rsidRPr="000977F7">
        <w:rPr>
          <w:rFonts w:asciiTheme="majorHAnsi" w:hAnsiTheme="majorHAnsi"/>
          <w:spacing w:val="36"/>
          <w:sz w:val="20"/>
          <w:szCs w:val="20"/>
        </w:rPr>
        <w:t xml:space="preserve"> </w:t>
      </w:r>
      <w:r w:rsidRPr="000977F7">
        <w:rPr>
          <w:rFonts w:asciiTheme="majorHAnsi" w:hAnsiTheme="majorHAnsi"/>
          <w:sz w:val="20"/>
          <w:szCs w:val="20"/>
        </w:rPr>
        <w:t>(передавання,</w:t>
      </w:r>
      <w:r w:rsidRPr="000977F7">
        <w:rPr>
          <w:rFonts w:asciiTheme="majorHAnsi" w:hAnsiTheme="majorHAnsi"/>
          <w:spacing w:val="39"/>
          <w:sz w:val="20"/>
          <w:szCs w:val="20"/>
        </w:rPr>
        <w:t xml:space="preserve"> </w:t>
      </w:r>
      <w:r w:rsidRPr="000977F7">
        <w:rPr>
          <w:rFonts w:asciiTheme="majorHAnsi" w:hAnsiTheme="majorHAnsi"/>
          <w:sz w:val="20"/>
          <w:szCs w:val="20"/>
        </w:rPr>
        <w:t>утилізація,</w:t>
      </w:r>
      <w:r w:rsidRPr="000977F7">
        <w:rPr>
          <w:rFonts w:asciiTheme="majorHAnsi" w:hAnsiTheme="majorHAnsi"/>
          <w:spacing w:val="-1"/>
          <w:sz w:val="20"/>
          <w:szCs w:val="20"/>
        </w:rPr>
        <w:t xml:space="preserve"> </w:t>
      </w:r>
      <w:r w:rsidRPr="000977F7">
        <w:rPr>
          <w:rFonts w:asciiTheme="majorHAnsi" w:hAnsiTheme="majorHAnsi"/>
          <w:sz w:val="20"/>
          <w:szCs w:val="20"/>
        </w:rPr>
        <w:t>знищення</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48018C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144793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ЕКСПОРТ</w:t>
      </w:r>
      <w:r w:rsidRPr="000977F7">
        <w:rPr>
          <w:color w:val="auto"/>
          <w:spacing w:val="42"/>
          <w:sz w:val="20"/>
          <w:szCs w:val="20"/>
        </w:rPr>
        <w:t xml:space="preserve"> </w:t>
      </w:r>
      <w:r w:rsidRPr="000977F7">
        <w:rPr>
          <w:color w:val="auto"/>
          <w:sz w:val="20"/>
          <w:szCs w:val="20"/>
        </w:rPr>
        <w:t>КАПІТАЛУ –</w:t>
      </w:r>
    </w:p>
    <w:p w14:paraId="0AEB1FC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Вивезення за межі України капіталу у будь-якій формі</w:t>
      </w:r>
      <w:r w:rsidRPr="000977F7">
        <w:rPr>
          <w:rFonts w:asciiTheme="majorHAnsi" w:hAnsiTheme="majorHAnsi"/>
          <w:spacing w:val="-47"/>
          <w:sz w:val="20"/>
          <w:szCs w:val="20"/>
        </w:rPr>
        <w:t xml:space="preserve"> </w:t>
      </w:r>
      <w:r w:rsidRPr="000977F7">
        <w:rPr>
          <w:rFonts w:asciiTheme="majorHAnsi" w:hAnsiTheme="majorHAnsi"/>
          <w:sz w:val="20"/>
          <w:szCs w:val="20"/>
        </w:rPr>
        <w:t>з метою одержання прибутків від виробничої та інших</w:t>
      </w:r>
      <w:r w:rsidRPr="000977F7">
        <w:rPr>
          <w:rFonts w:asciiTheme="majorHAnsi" w:hAnsiTheme="majorHAnsi"/>
          <w:spacing w:val="-2"/>
          <w:sz w:val="20"/>
          <w:szCs w:val="20"/>
        </w:rPr>
        <w:t xml:space="preserve"> </w:t>
      </w:r>
      <w:r w:rsidRPr="000977F7">
        <w:rPr>
          <w:rFonts w:asciiTheme="majorHAnsi" w:hAnsiTheme="majorHAnsi"/>
          <w:sz w:val="20"/>
          <w:szCs w:val="20"/>
        </w:rPr>
        <w:t>форм</w:t>
      </w:r>
      <w:r w:rsidRPr="000977F7">
        <w:rPr>
          <w:rFonts w:asciiTheme="majorHAnsi" w:hAnsiTheme="majorHAnsi"/>
          <w:spacing w:val="1"/>
          <w:sz w:val="20"/>
          <w:szCs w:val="20"/>
        </w:rPr>
        <w:t xml:space="preserve"> </w:t>
      </w:r>
      <w:r w:rsidRPr="000977F7">
        <w:rPr>
          <w:rFonts w:asciiTheme="majorHAnsi" w:hAnsiTheme="majorHAnsi"/>
          <w:sz w:val="20"/>
          <w:szCs w:val="20"/>
        </w:rPr>
        <w:t>господарської</w:t>
      </w:r>
      <w:r w:rsidRPr="000977F7">
        <w:rPr>
          <w:rFonts w:asciiTheme="majorHAnsi" w:hAnsiTheme="majorHAnsi"/>
          <w:spacing w:val="-2"/>
          <w:sz w:val="20"/>
          <w:szCs w:val="20"/>
        </w:rPr>
        <w:t xml:space="preserve"> </w:t>
      </w:r>
      <w:r w:rsidRPr="000977F7">
        <w:rPr>
          <w:rFonts w:asciiTheme="majorHAnsi" w:hAnsiTheme="majorHAnsi"/>
          <w:sz w:val="20"/>
          <w:szCs w:val="20"/>
        </w:rPr>
        <w:t>діяльності</w:t>
      </w:r>
    </w:p>
    <w:p w14:paraId="792EE53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71D4E1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ЕКСПОРТ</w:t>
      </w:r>
      <w:r w:rsidRPr="000977F7">
        <w:rPr>
          <w:color w:val="auto"/>
          <w:spacing w:val="-3"/>
          <w:sz w:val="20"/>
          <w:szCs w:val="20"/>
        </w:rPr>
        <w:t xml:space="preserve"> </w:t>
      </w:r>
      <w:r w:rsidRPr="000977F7">
        <w:rPr>
          <w:color w:val="auto"/>
          <w:sz w:val="20"/>
          <w:szCs w:val="20"/>
        </w:rPr>
        <w:t>ТОВАРІВ</w:t>
      </w:r>
      <w:r w:rsidRPr="000977F7">
        <w:rPr>
          <w:color w:val="auto"/>
          <w:spacing w:val="-1"/>
          <w:sz w:val="20"/>
          <w:szCs w:val="20"/>
        </w:rPr>
        <w:t xml:space="preserve"> </w:t>
      </w:r>
      <w:r w:rsidRPr="000977F7">
        <w:rPr>
          <w:color w:val="auto"/>
          <w:sz w:val="20"/>
          <w:szCs w:val="20"/>
        </w:rPr>
        <w:t>–</w:t>
      </w:r>
    </w:p>
    <w:p w14:paraId="5A49CF26"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Продаж</w:t>
      </w:r>
      <w:r w:rsidRPr="000977F7">
        <w:rPr>
          <w:rFonts w:asciiTheme="majorHAnsi" w:hAnsiTheme="majorHAnsi"/>
          <w:spacing w:val="5"/>
          <w:sz w:val="20"/>
          <w:szCs w:val="20"/>
        </w:rPr>
        <w:t xml:space="preserve"> </w:t>
      </w:r>
      <w:r w:rsidRPr="000977F7">
        <w:rPr>
          <w:rFonts w:asciiTheme="majorHAnsi" w:hAnsiTheme="majorHAnsi"/>
          <w:sz w:val="20"/>
          <w:szCs w:val="20"/>
        </w:rPr>
        <w:t>товарів</w:t>
      </w:r>
      <w:r w:rsidRPr="000977F7">
        <w:rPr>
          <w:rFonts w:asciiTheme="majorHAnsi" w:hAnsiTheme="majorHAnsi"/>
          <w:spacing w:val="7"/>
          <w:sz w:val="20"/>
          <w:szCs w:val="20"/>
        </w:rPr>
        <w:t xml:space="preserve"> </w:t>
      </w:r>
      <w:r w:rsidRPr="000977F7">
        <w:rPr>
          <w:rFonts w:asciiTheme="majorHAnsi" w:hAnsiTheme="majorHAnsi"/>
          <w:sz w:val="20"/>
          <w:szCs w:val="20"/>
        </w:rPr>
        <w:t>іноземним</w:t>
      </w:r>
      <w:r w:rsidRPr="000977F7">
        <w:rPr>
          <w:rFonts w:asciiTheme="majorHAnsi" w:hAnsiTheme="majorHAnsi"/>
          <w:spacing w:val="8"/>
          <w:sz w:val="20"/>
          <w:szCs w:val="20"/>
        </w:rPr>
        <w:t xml:space="preserve"> </w:t>
      </w:r>
      <w:r w:rsidRPr="000977F7">
        <w:rPr>
          <w:rFonts w:asciiTheme="majorHAnsi" w:hAnsiTheme="majorHAnsi"/>
          <w:sz w:val="20"/>
          <w:szCs w:val="20"/>
        </w:rPr>
        <w:t>суб’єктам</w:t>
      </w:r>
      <w:r w:rsidRPr="000977F7">
        <w:rPr>
          <w:rFonts w:asciiTheme="majorHAnsi" w:hAnsiTheme="majorHAnsi"/>
          <w:spacing w:val="7"/>
          <w:sz w:val="20"/>
          <w:szCs w:val="20"/>
        </w:rPr>
        <w:t xml:space="preserve"> </w:t>
      </w:r>
      <w:r w:rsidRPr="000977F7">
        <w:rPr>
          <w:rFonts w:asciiTheme="majorHAnsi" w:hAnsiTheme="majorHAnsi"/>
          <w:sz w:val="20"/>
          <w:szCs w:val="20"/>
        </w:rPr>
        <w:t>господарської</w:t>
      </w:r>
      <w:r w:rsidRPr="000977F7">
        <w:rPr>
          <w:rFonts w:asciiTheme="majorHAnsi" w:hAnsiTheme="majorHAnsi"/>
          <w:spacing w:val="-47"/>
          <w:sz w:val="20"/>
          <w:szCs w:val="20"/>
        </w:rPr>
        <w:t xml:space="preserve"> </w:t>
      </w:r>
      <w:r w:rsidRPr="000977F7">
        <w:rPr>
          <w:rFonts w:asciiTheme="majorHAnsi" w:hAnsiTheme="majorHAnsi"/>
          <w:sz w:val="20"/>
          <w:szCs w:val="20"/>
        </w:rPr>
        <w:t>діяльності та вивезення товарів через митний кордон</w:t>
      </w:r>
      <w:r w:rsidRPr="000977F7">
        <w:rPr>
          <w:rFonts w:asciiTheme="majorHAnsi" w:hAnsiTheme="majorHAns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C9CDC3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ЕКСПРЕС</w:t>
      </w:r>
      <w:r w:rsidRPr="000977F7">
        <w:rPr>
          <w:color w:val="auto"/>
          <w:spacing w:val="-4"/>
          <w:sz w:val="20"/>
          <w:szCs w:val="20"/>
        </w:rPr>
        <w:t xml:space="preserve"> </w:t>
      </w:r>
      <w:r w:rsidRPr="000977F7">
        <w:rPr>
          <w:color w:val="auto"/>
          <w:sz w:val="20"/>
          <w:szCs w:val="20"/>
        </w:rPr>
        <w:t>–</w:t>
      </w:r>
      <w:r w:rsidRPr="000977F7">
        <w:rPr>
          <w:color w:val="auto"/>
          <w:spacing w:val="-2"/>
          <w:sz w:val="20"/>
          <w:szCs w:val="20"/>
        </w:rPr>
        <w:t xml:space="preserve"> </w:t>
      </w:r>
      <w:r w:rsidRPr="000977F7">
        <w:rPr>
          <w:color w:val="auto"/>
          <w:sz w:val="20"/>
          <w:szCs w:val="20"/>
        </w:rPr>
        <w:t>ДІАГНОСТУВАННЯ</w:t>
      </w:r>
      <w:r w:rsidRPr="000977F7">
        <w:rPr>
          <w:color w:val="auto"/>
          <w:spacing w:val="-1"/>
          <w:sz w:val="20"/>
          <w:szCs w:val="20"/>
        </w:rPr>
        <w:t xml:space="preserve"> </w:t>
      </w:r>
      <w:r w:rsidRPr="000977F7">
        <w:rPr>
          <w:color w:val="auto"/>
          <w:sz w:val="20"/>
          <w:szCs w:val="20"/>
        </w:rPr>
        <w:t>–</w:t>
      </w:r>
    </w:p>
    <w:p w14:paraId="08B9FE8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Діагностування</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обмеженою</w:t>
      </w:r>
      <w:r w:rsidRPr="000977F7">
        <w:rPr>
          <w:rFonts w:asciiTheme="majorHAnsi" w:hAnsiTheme="majorHAnsi"/>
          <w:spacing w:val="1"/>
          <w:sz w:val="20"/>
          <w:szCs w:val="20"/>
        </w:rPr>
        <w:t xml:space="preserve"> </w:t>
      </w:r>
      <w:r w:rsidRPr="000977F7">
        <w:rPr>
          <w:rFonts w:asciiTheme="majorHAnsi" w:hAnsiTheme="majorHAnsi"/>
          <w:sz w:val="20"/>
          <w:szCs w:val="20"/>
        </w:rPr>
        <w:t>кількістю</w:t>
      </w:r>
      <w:r w:rsidRPr="000977F7">
        <w:rPr>
          <w:rFonts w:asciiTheme="majorHAnsi" w:hAnsiTheme="majorHAnsi"/>
          <w:spacing w:val="50"/>
          <w:sz w:val="20"/>
          <w:szCs w:val="20"/>
        </w:rPr>
        <w:t xml:space="preserve"> </w:t>
      </w:r>
      <w:r w:rsidRPr="000977F7">
        <w:rPr>
          <w:rFonts w:asciiTheme="majorHAnsi" w:hAnsiTheme="majorHAnsi"/>
          <w:sz w:val="20"/>
          <w:szCs w:val="20"/>
        </w:rPr>
        <w:t>параметрів</w:t>
      </w:r>
      <w:r w:rsidRPr="000977F7">
        <w:rPr>
          <w:rFonts w:asciiTheme="majorHAnsi" w:hAnsiTheme="majorHAnsi"/>
          <w:spacing w:val="-47"/>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заздалегідь</w:t>
      </w:r>
      <w:r w:rsidRPr="000977F7">
        <w:rPr>
          <w:rFonts w:asciiTheme="majorHAnsi" w:hAnsiTheme="majorHAnsi"/>
          <w:spacing w:val="2"/>
          <w:sz w:val="20"/>
          <w:szCs w:val="20"/>
        </w:rPr>
        <w:t xml:space="preserve"> </w:t>
      </w:r>
      <w:r w:rsidRPr="000977F7">
        <w:rPr>
          <w:rFonts w:asciiTheme="majorHAnsi" w:hAnsiTheme="majorHAnsi"/>
          <w:sz w:val="20"/>
          <w:szCs w:val="20"/>
        </w:rPr>
        <w:t>установлений час</w:t>
      </w:r>
    </w:p>
    <w:p w14:paraId="6266703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EEC9CE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ЕКСПРЕСПЕРЕВІЗНИК</w:t>
      </w:r>
      <w:r w:rsidRPr="000977F7">
        <w:rPr>
          <w:color w:val="auto"/>
          <w:spacing w:val="-2"/>
          <w:sz w:val="20"/>
          <w:szCs w:val="20"/>
        </w:rPr>
        <w:t xml:space="preserve"> </w:t>
      </w:r>
      <w:r w:rsidRPr="000977F7">
        <w:rPr>
          <w:color w:val="auto"/>
          <w:sz w:val="20"/>
          <w:szCs w:val="20"/>
        </w:rPr>
        <w:t>–</w:t>
      </w:r>
    </w:p>
    <w:p w14:paraId="264CA52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Транспортна або транспортно-експедиційна компанія,</w:t>
      </w:r>
      <w:r w:rsidRPr="000977F7">
        <w:rPr>
          <w:rFonts w:asciiTheme="majorHAnsi" w:hAnsiTheme="majorHAnsi"/>
          <w:spacing w:val="-47"/>
          <w:sz w:val="20"/>
          <w:szCs w:val="20"/>
        </w:rPr>
        <w:t xml:space="preserve"> </w:t>
      </w:r>
      <w:r w:rsidRPr="000977F7">
        <w:rPr>
          <w:rFonts w:asciiTheme="majorHAnsi" w:hAnsiTheme="majorHAnsi"/>
          <w:sz w:val="20"/>
          <w:szCs w:val="20"/>
        </w:rPr>
        <w:t>створена відповідно до чинного законодавства України, що здійснює прискорене перевезення міжнародних</w:t>
      </w:r>
      <w:r w:rsidRPr="000977F7">
        <w:rPr>
          <w:rFonts w:asciiTheme="majorHAnsi" w:hAnsiTheme="majorHAnsi"/>
          <w:spacing w:val="1"/>
          <w:sz w:val="20"/>
          <w:szCs w:val="20"/>
        </w:rPr>
        <w:t xml:space="preserve"> </w:t>
      </w:r>
      <w:r w:rsidRPr="000977F7">
        <w:rPr>
          <w:rFonts w:asciiTheme="majorHAnsi" w:hAnsiTheme="majorHAnsi"/>
          <w:sz w:val="20"/>
          <w:szCs w:val="20"/>
        </w:rPr>
        <w:t>вантажів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має</w:t>
      </w:r>
      <w:r w:rsidRPr="000977F7">
        <w:rPr>
          <w:rFonts w:asciiTheme="majorHAnsi" w:hAnsiTheme="majorHAnsi"/>
          <w:spacing w:val="1"/>
          <w:sz w:val="20"/>
          <w:szCs w:val="20"/>
        </w:rPr>
        <w:t xml:space="preserve"> </w:t>
      </w:r>
      <w:r w:rsidRPr="000977F7">
        <w:rPr>
          <w:rFonts w:asciiTheme="majorHAnsi" w:hAnsiTheme="majorHAnsi"/>
          <w:sz w:val="20"/>
          <w:szCs w:val="20"/>
        </w:rPr>
        <w:t>всесвітню</w:t>
      </w:r>
      <w:r w:rsidRPr="000977F7">
        <w:rPr>
          <w:rFonts w:asciiTheme="majorHAnsi" w:hAnsiTheme="majorHAnsi"/>
          <w:spacing w:val="1"/>
          <w:sz w:val="20"/>
          <w:szCs w:val="20"/>
        </w:rPr>
        <w:t xml:space="preserve"> </w:t>
      </w:r>
      <w:r w:rsidRPr="000977F7">
        <w:rPr>
          <w:rFonts w:asciiTheme="majorHAnsi" w:hAnsiTheme="majorHAnsi"/>
          <w:sz w:val="20"/>
          <w:szCs w:val="20"/>
        </w:rPr>
        <w:t>мережу</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системою</w:t>
      </w:r>
      <w:r w:rsidRPr="000977F7">
        <w:rPr>
          <w:rFonts w:asciiTheme="majorHAnsi" w:hAnsiTheme="majorHAnsi"/>
          <w:spacing w:val="-47"/>
          <w:sz w:val="20"/>
          <w:szCs w:val="20"/>
        </w:rPr>
        <w:t xml:space="preserve"> </w:t>
      </w:r>
      <w:r w:rsidRPr="000977F7">
        <w:rPr>
          <w:rFonts w:asciiTheme="majorHAnsi" w:hAnsiTheme="majorHAnsi"/>
          <w:sz w:val="20"/>
          <w:szCs w:val="20"/>
        </w:rPr>
        <w:t>центральних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регіональних</w:t>
      </w:r>
      <w:r w:rsidRPr="000977F7">
        <w:rPr>
          <w:rFonts w:asciiTheme="majorHAnsi" w:hAnsiTheme="majorHAnsi"/>
          <w:spacing w:val="1"/>
          <w:sz w:val="20"/>
          <w:szCs w:val="20"/>
        </w:rPr>
        <w:t xml:space="preserve"> </w:t>
      </w:r>
      <w:r w:rsidRPr="000977F7">
        <w:rPr>
          <w:rFonts w:asciiTheme="majorHAnsi" w:hAnsiTheme="majorHAnsi"/>
          <w:sz w:val="20"/>
          <w:szCs w:val="20"/>
        </w:rPr>
        <w:t>сортувальних</w:t>
      </w:r>
      <w:r w:rsidRPr="000977F7">
        <w:rPr>
          <w:rFonts w:asciiTheme="majorHAnsi" w:hAnsiTheme="majorHAnsi"/>
          <w:spacing w:val="1"/>
          <w:sz w:val="20"/>
          <w:szCs w:val="20"/>
        </w:rPr>
        <w:t xml:space="preserve"> </w:t>
      </w:r>
      <w:r w:rsidRPr="000977F7">
        <w:rPr>
          <w:rFonts w:asciiTheme="majorHAnsi" w:hAnsiTheme="majorHAnsi"/>
          <w:sz w:val="20"/>
          <w:szCs w:val="20"/>
        </w:rPr>
        <w:t>станцій,</w:t>
      </w:r>
      <w:r w:rsidRPr="000977F7">
        <w:rPr>
          <w:rFonts w:asciiTheme="majorHAnsi" w:hAnsiTheme="majorHAnsi"/>
          <w:spacing w:val="-47"/>
          <w:sz w:val="20"/>
          <w:szCs w:val="20"/>
        </w:rPr>
        <w:t xml:space="preserve"> </w:t>
      </w:r>
      <w:r w:rsidRPr="000977F7">
        <w:rPr>
          <w:rFonts w:asciiTheme="majorHAnsi" w:hAnsiTheme="majorHAnsi"/>
          <w:sz w:val="20"/>
          <w:szCs w:val="20"/>
        </w:rPr>
        <w:t>комп’ютерну мережу відстеження проходження таких</w:t>
      </w:r>
      <w:r w:rsidRPr="000977F7">
        <w:rPr>
          <w:rFonts w:asciiTheme="majorHAnsi" w:hAnsiTheme="majorHAnsi"/>
          <w:spacing w:val="-47"/>
          <w:sz w:val="20"/>
          <w:szCs w:val="20"/>
        </w:rPr>
        <w:t xml:space="preserve"> </w:t>
      </w:r>
      <w:r w:rsidRPr="000977F7">
        <w:rPr>
          <w:rFonts w:asciiTheme="majorHAnsi" w:hAnsiTheme="majorHAnsi"/>
          <w:sz w:val="20"/>
          <w:szCs w:val="20"/>
        </w:rPr>
        <w:t>вантажів протягом усього часу доставки від відправника</w:t>
      </w:r>
      <w:r w:rsidRPr="000977F7">
        <w:rPr>
          <w:rFonts w:asciiTheme="majorHAnsi" w:hAnsiTheme="majorHAnsi"/>
          <w:spacing w:val="-1"/>
          <w:sz w:val="20"/>
          <w:szCs w:val="20"/>
        </w:rPr>
        <w:t xml:space="preserve"> </w:t>
      </w:r>
      <w:r w:rsidRPr="000977F7">
        <w:rPr>
          <w:rFonts w:asciiTheme="majorHAnsi" w:hAnsiTheme="majorHAnsi"/>
          <w:sz w:val="20"/>
          <w:szCs w:val="20"/>
        </w:rPr>
        <w:t>до одержувача.</w:t>
      </w:r>
    </w:p>
    <w:p w14:paraId="6568DBCD"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38"/>
          <w:sz w:val="20"/>
          <w:szCs w:val="20"/>
        </w:rPr>
      </w:pPr>
      <w:r w:rsidRPr="000977F7">
        <w:rPr>
          <w:rFonts w:asciiTheme="majorHAnsi" w:hAnsiTheme="majorHAnsi"/>
          <w:i/>
          <w:sz w:val="20"/>
          <w:szCs w:val="20"/>
        </w:rPr>
        <w:t>Митний кодекс України.</w:t>
      </w:r>
      <w:r w:rsidRPr="000977F7">
        <w:rPr>
          <w:rFonts w:asciiTheme="majorHAnsi" w:hAnsiTheme="majorHAnsi"/>
          <w:i/>
          <w:spacing w:val="-1"/>
          <w:sz w:val="20"/>
          <w:szCs w:val="20"/>
        </w:rPr>
        <w:t xml:space="preserve"> </w:t>
      </w:r>
      <w:r w:rsidRPr="000977F7">
        <w:rPr>
          <w:rFonts w:asciiTheme="majorHAnsi" w:hAnsiTheme="majorHAnsi"/>
          <w:i/>
          <w:sz w:val="20"/>
          <w:szCs w:val="20"/>
        </w:rPr>
        <w:t>Стаття</w:t>
      </w:r>
      <w:r w:rsidRPr="000977F7">
        <w:rPr>
          <w:rFonts w:asciiTheme="majorHAnsi" w:hAnsiTheme="majorHAnsi"/>
          <w:i/>
          <w:spacing w:val="1"/>
          <w:sz w:val="20"/>
          <w:szCs w:val="20"/>
        </w:rPr>
        <w:t xml:space="preserve"> </w:t>
      </w:r>
      <w:r w:rsidRPr="000977F7">
        <w:rPr>
          <w:rFonts w:asciiTheme="majorHAnsi" w:hAnsiTheme="majorHAnsi"/>
          <w:i/>
          <w:sz w:val="20"/>
          <w:szCs w:val="20"/>
        </w:rPr>
        <w:t>1</w:t>
      </w:r>
      <w:r w:rsidRPr="000977F7">
        <w:rPr>
          <w:rFonts w:asciiTheme="majorHAnsi" w:hAnsiTheme="majorHAnsi"/>
          <w:i/>
          <w:spacing w:val="1"/>
          <w:sz w:val="20"/>
          <w:szCs w:val="20"/>
        </w:rPr>
        <w:t xml:space="preserve"> </w:t>
      </w:r>
      <w:r w:rsidRPr="000977F7">
        <w:rPr>
          <w:rFonts w:asciiTheme="majorHAnsi" w:hAnsiTheme="majorHAnsi"/>
          <w:b/>
          <w:sz w:val="20"/>
          <w:szCs w:val="20"/>
        </w:rPr>
        <w:t>ЕКСТРАПОЛЬОВАНА</w:t>
      </w:r>
      <w:r w:rsidRPr="000977F7">
        <w:rPr>
          <w:rFonts w:asciiTheme="majorHAnsi" w:hAnsiTheme="majorHAnsi"/>
          <w:b/>
          <w:spacing w:val="41"/>
          <w:sz w:val="20"/>
          <w:szCs w:val="20"/>
        </w:rPr>
        <w:t xml:space="preserve"> </w:t>
      </w:r>
      <w:r w:rsidRPr="000977F7">
        <w:rPr>
          <w:rFonts w:asciiTheme="majorHAnsi" w:hAnsiTheme="majorHAnsi"/>
          <w:b/>
          <w:sz w:val="20"/>
          <w:szCs w:val="20"/>
        </w:rPr>
        <w:t>ІНТЕНСИВНІСТЬ</w:t>
      </w:r>
      <w:r w:rsidRPr="000977F7">
        <w:rPr>
          <w:rFonts w:asciiTheme="majorHAnsi" w:hAnsiTheme="majorHAnsi"/>
          <w:b/>
          <w:spacing w:val="38"/>
          <w:sz w:val="20"/>
          <w:szCs w:val="20"/>
        </w:rPr>
        <w:t xml:space="preserve"> </w:t>
      </w:r>
    </w:p>
    <w:p w14:paraId="02C53360"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ВІД</w:t>
      </w:r>
      <w:r w:rsidRPr="004D2D14">
        <w:rPr>
          <w:rFonts w:asciiTheme="majorHAnsi" w:hAnsiTheme="majorHAnsi"/>
          <w:b/>
          <w:spacing w:val="-47"/>
          <w:sz w:val="20"/>
          <w:szCs w:val="20"/>
          <w:lang w:val="en-US"/>
        </w:rPr>
        <w:t xml:space="preserve"> </w:t>
      </w:r>
      <w:r w:rsidRPr="000977F7">
        <w:rPr>
          <w:rFonts w:asciiTheme="majorHAnsi" w:hAnsiTheme="majorHAnsi"/>
          <w:b/>
          <w:sz w:val="20"/>
          <w:szCs w:val="20"/>
        </w:rPr>
        <w:t>МОВ</w:t>
      </w:r>
      <w:r w:rsidRPr="004D2D14">
        <w:rPr>
          <w:rFonts w:asciiTheme="majorHAnsi" w:hAnsiTheme="majorHAnsi"/>
          <w:b/>
          <w:spacing w:val="1"/>
          <w:sz w:val="20"/>
          <w:szCs w:val="20"/>
          <w:lang w:val="en-US"/>
        </w:rPr>
        <w:t xml:space="preserve"> </w:t>
      </w:r>
      <w:r w:rsidRPr="004D2D14">
        <w:rPr>
          <w:rFonts w:asciiTheme="majorHAnsi" w:hAnsiTheme="majorHAnsi"/>
          <w:b/>
          <w:sz w:val="20"/>
          <w:szCs w:val="20"/>
          <w:lang w:val="en-US"/>
        </w:rPr>
        <w:t>–</w:t>
      </w:r>
    </w:p>
    <w:p w14:paraId="62508C9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EXTRAPOLATED</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RATE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472D745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Інтенсивність</w:t>
      </w:r>
      <w:r w:rsidRPr="004D2D14">
        <w:rPr>
          <w:rFonts w:asciiTheme="majorHAnsi" w:hAnsiTheme="majorHAnsi"/>
          <w:sz w:val="20"/>
          <w:szCs w:val="20"/>
          <w:lang w:val="en-US"/>
        </w:rPr>
        <w:t xml:space="preserve"> </w:t>
      </w:r>
      <w:r w:rsidRPr="000977F7">
        <w:rPr>
          <w:rFonts w:asciiTheme="majorHAnsi" w:hAnsiTheme="majorHAnsi"/>
          <w:sz w:val="20"/>
          <w:szCs w:val="20"/>
        </w:rPr>
        <w:t>відмов</w:t>
      </w:r>
      <w:r w:rsidRPr="004D2D14">
        <w:rPr>
          <w:rFonts w:asciiTheme="majorHAnsi" w:hAnsiTheme="majorHAnsi"/>
          <w:sz w:val="20"/>
          <w:szCs w:val="20"/>
          <w:lang w:val="en-US"/>
        </w:rPr>
        <w:t xml:space="preserve">, </w:t>
      </w:r>
      <w:r w:rsidRPr="000977F7">
        <w:rPr>
          <w:rFonts w:asciiTheme="majorHAnsi" w:hAnsiTheme="majorHAnsi"/>
          <w:sz w:val="20"/>
          <w:szCs w:val="20"/>
        </w:rPr>
        <w:t>отримана</w:t>
      </w:r>
      <w:r w:rsidRPr="004D2D14">
        <w:rPr>
          <w:rFonts w:asciiTheme="majorHAnsi" w:hAnsiTheme="majorHAnsi"/>
          <w:sz w:val="20"/>
          <w:szCs w:val="20"/>
          <w:lang w:val="en-US"/>
        </w:rPr>
        <w:t xml:space="preserve"> </w:t>
      </w:r>
      <w:r w:rsidRPr="000977F7">
        <w:rPr>
          <w:rFonts w:asciiTheme="majorHAnsi" w:hAnsiTheme="majorHAnsi"/>
          <w:sz w:val="20"/>
          <w:szCs w:val="20"/>
        </w:rPr>
        <w:t>через</w:t>
      </w:r>
      <w:r w:rsidRPr="004D2D14">
        <w:rPr>
          <w:rFonts w:asciiTheme="majorHAnsi" w:hAnsiTheme="majorHAnsi"/>
          <w:sz w:val="20"/>
          <w:szCs w:val="20"/>
          <w:lang w:val="en-US"/>
        </w:rPr>
        <w:t xml:space="preserve"> </w:t>
      </w:r>
      <w:r w:rsidRPr="000977F7">
        <w:rPr>
          <w:rFonts w:asciiTheme="majorHAnsi" w:hAnsiTheme="majorHAnsi"/>
          <w:sz w:val="20"/>
          <w:szCs w:val="20"/>
        </w:rPr>
        <w:t>екстраполяцію</w:t>
      </w:r>
      <w:r w:rsidRPr="004D2D14">
        <w:rPr>
          <w:rFonts w:asciiTheme="majorHAnsi" w:hAnsiTheme="majorHAnsi"/>
          <w:spacing w:val="1"/>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інтерполяцію</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проміжку</w:t>
      </w:r>
      <w:r w:rsidRPr="004D2D14">
        <w:rPr>
          <w:rFonts w:asciiTheme="majorHAnsi" w:hAnsiTheme="majorHAnsi"/>
          <w:sz w:val="20"/>
          <w:szCs w:val="20"/>
          <w:lang w:val="en-US"/>
        </w:rPr>
        <w:t xml:space="preserve"> </w:t>
      </w:r>
      <w:r w:rsidRPr="000977F7">
        <w:rPr>
          <w:rFonts w:asciiTheme="majorHAnsi" w:hAnsiTheme="majorHAnsi"/>
          <w:sz w:val="20"/>
          <w:szCs w:val="20"/>
        </w:rPr>
        <w:t>часу</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умов</w:t>
      </w:r>
      <w:r w:rsidRPr="004D2D14">
        <w:rPr>
          <w:rFonts w:asciiTheme="majorHAnsi" w:hAnsiTheme="majorHAnsi"/>
          <w:sz w:val="20"/>
          <w:szCs w:val="20"/>
          <w:lang w:val="en-US"/>
        </w:rPr>
        <w:t xml:space="preserve">, </w:t>
      </w:r>
      <w:r w:rsidRPr="000977F7">
        <w:rPr>
          <w:rFonts w:asciiTheme="majorHAnsi" w:hAnsiTheme="majorHAnsi"/>
          <w:sz w:val="20"/>
          <w:szCs w:val="20"/>
        </w:rPr>
        <w:t>які</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відрізняються</w:t>
      </w:r>
      <w:r w:rsidRPr="004D2D14">
        <w:rPr>
          <w:rFonts w:asciiTheme="majorHAnsi" w:hAnsiTheme="majorHAnsi"/>
          <w:sz w:val="20"/>
          <w:szCs w:val="20"/>
          <w:lang w:val="en-US"/>
        </w:rPr>
        <w:t xml:space="preserve"> </w:t>
      </w:r>
      <w:r w:rsidRPr="000977F7">
        <w:rPr>
          <w:rFonts w:asciiTheme="majorHAnsi" w:hAnsiTheme="majorHAnsi"/>
          <w:sz w:val="20"/>
          <w:szCs w:val="20"/>
        </w:rPr>
        <w:t>від</w:t>
      </w:r>
      <w:r w:rsidRPr="004D2D14">
        <w:rPr>
          <w:rFonts w:asciiTheme="majorHAnsi" w:hAnsiTheme="majorHAnsi"/>
          <w:sz w:val="20"/>
          <w:szCs w:val="20"/>
          <w:lang w:val="en-US"/>
        </w:rPr>
        <w:t xml:space="preserve"> </w:t>
      </w:r>
      <w:r w:rsidRPr="000977F7">
        <w:rPr>
          <w:rFonts w:asciiTheme="majorHAnsi" w:hAnsiTheme="majorHAnsi"/>
          <w:sz w:val="20"/>
          <w:szCs w:val="20"/>
        </w:rPr>
        <w:t>тих</w:t>
      </w:r>
      <w:r w:rsidRPr="004D2D14">
        <w:rPr>
          <w:rFonts w:asciiTheme="majorHAnsi" w:hAnsiTheme="majorHAnsi"/>
          <w:sz w:val="20"/>
          <w:szCs w:val="20"/>
          <w:lang w:val="en-US"/>
        </w:rPr>
        <w:t xml:space="preserve">, </w:t>
      </w:r>
      <w:r w:rsidRPr="000977F7">
        <w:rPr>
          <w:rFonts w:asciiTheme="majorHAnsi" w:hAnsiTheme="majorHAnsi"/>
          <w:sz w:val="20"/>
          <w:szCs w:val="20"/>
        </w:rPr>
        <w:t>при</w:t>
      </w:r>
      <w:r w:rsidRPr="004D2D14">
        <w:rPr>
          <w:rFonts w:asciiTheme="majorHAnsi" w:hAnsiTheme="majorHAnsi"/>
          <w:sz w:val="20"/>
          <w:szCs w:val="20"/>
          <w:lang w:val="en-US"/>
        </w:rPr>
        <w:t xml:space="preserve"> </w:t>
      </w:r>
      <w:r w:rsidRPr="000977F7">
        <w:rPr>
          <w:rFonts w:asciiTheme="majorHAnsi" w:hAnsiTheme="majorHAnsi"/>
          <w:sz w:val="20"/>
          <w:szCs w:val="20"/>
        </w:rPr>
        <w:t>яких</w:t>
      </w:r>
      <w:r w:rsidRPr="004D2D14">
        <w:rPr>
          <w:rFonts w:asciiTheme="majorHAnsi" w:hAnsiTheme="majorHAnsi"/>
          <w:sz w:val="20"/>
          <w:szCs w:val="20"/>
          <w:lang w:val="en-US"/>
        </w:rPr>
        <w:t xml:space="preserve"> </w:t>
      </w:r>
      <w:r w:rsidRPr="000977F7">
        <w:rPr>
          <w:rFonts w:asciiTheme="majorHAnsi" w:hAnsiTheme="majorHAnsi"/>
          <w:sz w:val="20"/>
          <w:szCs w:val="20"/>
        </w:rPr>
        <w:t>отримана</w:t>
      </w:r>
      <w:r w:rsidRPr="004D2D14">
        <w:rPr>
          <w:rFonts w:asciiTheme="majorHAnsi" w:hAnsiTheme="majorHAnsi"/>
          <w:spacing w:val="1"/>
          <w:sz w:val="20"/>
          <w:szCs w:val="20"/>
          <w:lang w:val="en-US"/>
        </w:rPr>
        <w:t xml:space="preserve"> </w:t>
      </w:r>
      <w:r w:rsidRPr="000977F7">
        <w:rPr>
          <w:rFonts w:asciiTheme="majorHAnsi" w:hAnsiTheme="majorHAnsi"/>
          <w:sz w:val="20"/>
          <w:szCs w:val="20"/>
        </w:rPr>
        <w:t>спостережна</w:t>
      </w:r>
      <w:r w:rsidRPr="004D2D14">
        <w:rPr>
          <w:rFonts w:asciiTheme="majorHAnsi" w:hAnsiTheme="majorHAnsi"/>
          <w:spacing w:val="-1"/>
          <w:sz w:val="20"/>
          <w:szCs w:val="20"/>
          <w:lang w:val="en-US"/>
        </w:rPr>
        <w:t xml:space="preserve"> </w:t>
      </w:r>
      <w:r w:rsidRPr="000977F7">
        <w:rPr>
          <w:rFonts w:asciiTheme="majorHAnsi" w:hAnsiTheme="majorHAnsi"/>
          <w:sz w:val="20"/>
          <w:szCs w:val="20"/>
        </w:rPr>
        <w:t>або</w:t>
      </w:r>
      <w:r w:rsidRPr="004D2D14">
        <w:rPr>
          <w:rFonts w:asciiTheme="majorHAnsi" w:hAnsiTheme="majorHAnsi"/>
          <w:spacing w:val="1"/>
          <w:sz w:val="20"/>
          <w:szCs w:val="20"/>
          <w:lang w:val="en-US"/>
        </w:rPr>
        <w:t xml:space="preserve"> </w:t>
      </w:r>
      <w:r w:rsidRPr="000977F7">
        <w:rPr>
          <w:rFonts w:asciiTheme="majorHAnsi" w:hAnsiTheme="majorHAnsi"/>
          <w:sz w:val="20"/>
          <w:szCs w:val="20"/>
        </w:rPr>
        <w:t>оцінна</w:t>
      </w:r>
      <w:r w:rsidRPr="004D2D14">
        <w:rPr>
          <w:rFonts w:asciiTheme="majorHAnsi" w:hAnsiTheme="majorHAnsi"/>
          <w:spacing w:val="-1"/>
          <w:sz w:val="20"/>
          <w:szCs w:val="20"/>
          <w:lang w:val="en-US"/>
        </w:rPr>
        <w:t xml:space="preserve"> </w:t>
      </w:r>
      <w:r w:rsidRPr="000977F7">
        <w:rPr>
          <w:rFonts w:asciiTheme="majorHAnsi" w:hAnsiTheme="majorHAnsi"/>
          <w:sz w:val="20"/>
          <w:szCs w:val="20"/>
        </w:rPr>
        <w:t>інтенсивність</w:t>
      </w:r>
      <w:r w:rsidRPr="004D2D14">
        <w:rPr>
          <w:rFonts w:asciiTheme="majorHAnsi" w:hAnsiTheme="majorHAnsi"/>
          <w:sz w:val="20"/>
          <w:szCs w:val="20"/>
          <w:lang w:val="en-US"/>
        </w:rPr>
        <w:t xml:space="preserve"> </w:t>
      </w:r>
      <w:r w:rsidRPr="000977F7">
        <w:rPr>
          <w:rFonts w:asciiTheme="majorHAnsi" w:hAnsiTheme="majorHAnsi"/>
          <w:sz w:val="20"/>
          <w:szCs w:val="20"/>
        </w:rPr>
        <w:t>відмов</w:t>
      </w:r>
    </w:p>
    <w:p w14:paraId="35D4FA0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688E93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Справедливість екстраполяції повинна бути обґрунтована</w:t>
      </w:r>
    </w:p>
    <w:p w14:paraId="0D6884F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ЕКСТРАПОЛЬОВАНА</w:t>
      </w:r>
      <w:r w:rsidRPr="000977F7">
        <w:rPr>
          <w:color w:val="auto"/>
          <w:spacing w:val="-7"/>
          <w:sz w:val="20"/>
          <w:szCs w:val="20"/>
        </w:rPr>
        <w:t xml:space="preserve"> </w:t>
      </w:r>
      <w:r w:rsidRPr="000977F7">
        <w:rPr>
          <w:color w:val="auto"/>
          <w:sz w:val="20"/>
          <w:szCs w:val="20"/>
        </w:rPr>
        <w:t>НАДІЙНІСТЬ</w:t>
      </w:r>
      <w:r w:rsidRPr="000977F7">
        <w:rPr>
          <w:color w:val="auto"/>
          <w:spacing w:val="-3"/>
          <w:sz w:val="20"/>
          <w:szCs w:val="20"/>
        </w:rPr>
        <w:t xml:space="preserve"> </w:t>
      </w:r>
      <w:r w:rsidRPr="000977F7">
        <w:rPr>
          <w:color w:val="auto"/>
          <w:sz w:val="20"/>
          <w:szCs w:val="20"/>
        </w:rPr>
        <w:t>–</w:t>
      </w:r>
    </w:p>
    <w:p w14:paraId="7DC15C8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EXTRAPOLATED</w:t>
      </w:r>
      <w:r w:rsidRPr="000977F7">
        <w:rPr>
          <w:rFonts w:asciiTheme="majorHAnsi" w:hAnsiTheme="majorHAnsi"/>
          <w:spacing w:val="44"/>
          <w:sz w:val="20"/>
          <w:szCs w:val="20"/>
        </w:rPr>
        <w:t xml:space="preserve"> </w:t>
      </w:r>
      <w:r w:rsidRPr="000977F7">
        <w:rPr>
          <w:rFonts w:asciiTheme="majorHAnsi" w:hAnsiTheme="majorHAnsi"/>
          <w:sz w:val="20"/>
          <w:szCs w:val="20"/>
        </w:rPr>
        <w:t>RELIABILITY –</w:t>
      </w:r>
    </w:p>
    <w:p w14:paraId="7E07A9B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Надійність, визначена через екстраполяцію або інтерполяцію для проміжку часу і (або) умов, які відрізняються від тих, при яких отримана спостережена або</w:t>
      </w:r>
      <w:r w:rsidRPr="000977F7">
        <w:rPr>
          <w:rFonts w:asciiTheme="majorHAnsi" w:hAnsiTheme="majorHAnsi"/>
          <w:spacing w:val="1"/>
          <w:sz w:val="20"/>
          <w:szCs w:val="20"/>
        </w:rPr>
        <w:t xml:space="preserve"> </w:t>
      </w:r>
      <w:r w:rsidRPr="000977F7">
        <w:rPr>
          <w:rFonts w:asciiTheme="majorHAnsi" w:hAnsiTheme="majorHAnsi"/>
          <w:sz w:val="20"/>
          <w:szCs w:val="20"/>
        </w:rPr>
        <w:t>оцінна</w:t>
      </w:r>
      <w:r w:rsidRPr="000977F7">
        <w:rPr>
          <w:rFonts w:asciiTheme="majorHAnsi" w:hAnsiTheme="majorHAnsi"/>
          <w:spacing w:val="-1"/>
          <w:sz w:val="20"/>
          <w:szCs w:val="20"/>
        </w:rPr>
        <w:t xml:space="preserve"> </w:t>
      </w:r>
      <w:r w:rsidRPr="000977F7">
        <w:rPr>
          <w:rFonts w:asciiTheme="majorHAnsi" w:hAnsiTheme="majorHAnsi"/>
          <w:sz w:val="20"/>
          <w:szCs w:val="20"/>
        </w:rPr>
        <w:t>надійність</w:t>
      </w:r>
    </w:p>
    <w:p w14:paraId="0706C94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A6506C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Справедливість екстраполяції повинна бути обґрунтована</w:t>
      </w:r>
    </w:p>
    <w:p w14:paraId="00C2EE66" w14:textId="77777777" w:rsidR="0097612F" w:rsidRPr="000977F7" w:rsidRDefault="0097612F" w:rsidP="000977F7">
      <w:pPr>
        <w:pStyle w:val="7"/>
        <w:tabs>
          <w:tab w:val="left" w:pos="284"/>
        </w:tabs>
        <w:spacing w:before="0" w:line="240" w:lineRule="auto"/>
        <w:ind w:left="170"/>
        <w:mirrorIndents/>
        <w:jc w:val="both"/>
        <w:rPr>
          <w:color w:val="auto"/>
          <w:spacing w:val="-8"/>
          <w:sz w:val="20"/>
          <w:szCs w:val="20"/>
        </w:rPr>
      </w:pPr>
      <w:r w:rsidRPr="000977F7">
        <w:rPr>
          <w:color w:val="auto"/>
          <w:sz w:val="20"/>
          <w:szCs w:val="20"/>
        </w:rPr>
        <w:t>ЕКСТРАПОЛЬОВАНЕ</w:t>
      </w:r>
      <w:r w:rsidRPr="000977F7">
        <w:rPr>
          <w:color w:val="auto"/>
          <w:spacing w:val="-9"/>
          <w:sz w:val="20"/>
          <w:szCs w:val="20"/>
        </w:rPr>
        <w:t xml:space="preserve"> </w:t>
      </w:r>
      <w:r w:rsidRPr="000977F7">
        <w:rPr>
          <w:color w:val="auto"/>
          <w:sz w:val="20"/>
          <w:szCs w:val="20"/>
        </w:rPr>
        <w:t>СЕРЕДНЄ</w:t>
      </w:r>
      <w:r w:rsidRPr="000977F7">
        <w:rPr>
          <w:color w:val="auto"/>
          <w:spacing w:val="-8"/>
          <w:sz w:val="20"/>
          <w:szCs w:val="20"/>
        </w:rPr>
        <w:t xml:space="preserve"> </w:t>
      </w:r>
    </w:p>
    <w:p w14:paraId="51405F3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НАПРАЦЮ</w:t>
      </w:r>
      <w:r w:rsidRPr="000977F7">
        <w:rPr>
          <w:color w:val="auto"/>
          <w:spacing w:val="-47"/>
          <w:sz w:val="20"/>
          <w:szCs w:val="20"/>
        </w:rPr>
        <w:t xml:space="preserve"> </w:t>
      </w:r>
      <w:r w:rsidRPr="000977F7">
        <w:rPr>
          <w:color w:val="auto"/>
          <w:sz w:val="20"/>
          <w:szCs w:val="20"/>
        </w:rPr>
        <w:t>ВАННЯ</w:t>
      </w:r>
      <w:r w:rsidRPr="000977F7">
        <w:rPr>
          <w:color w:val="auto"/>
          <w:spacing w:val="-1"/>
          <w:sz w:val="20"/>
          <w:szCs w:val="20"/>
        </w:rPr>
        <w:t xml:space="preserve"> </w:t>
      </w:r>
      <w:r w:rsidRPr="000977F7">
        <w:rPr>
          <w:color w:val="auto"/>
          <w:sz w:val="20"/>
          <w:szCs w:val="20"/>
        </w:rPr>
        <w:t>ДО ВІДМОВИ –</w:t>
      </w:r>
    </w:p>
    <w:p w14:paraId="2D90FE72"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4D2D14">
        <w:rPr>
          <w:rFonts w:asciiTheme="majorHAnsi" w:hAnsiTheme="majorHAnsi"/>
          <w:sz w:val="20"/>
          <w:szCs w:val="20"/>
          <w:lang w:val="en-US"/>
        </w:rPr>
        <w:t>EXTRAPOLATED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MEAN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2"/>
          <w:sz w:val="20"/>
          <w:szCs w:val="20"/>
          <w:lang w:val="en-US"/>
        </w:rPr>
        <w:t xml:space="preserve"> </w:t>
      </w:r>
      <w:r w:rsidRPr="004D2D14">
        <w:rPr>
          <w:rFonts w:asciiTheme="majorHAnsi" w:hAnsiTheme="majorHAnsi"/>
          <w:b/>
          <w:sz w:val="20"/>
          <w:szCs w:val="20"/>
          <w:lang w:val="en-US"/>
        </w:rPr>
        <w:t>–</w:t>
      </w:r>
    </w:p>
    <w:p w14:paraId="2E7E3554" w14:textId="77777777" w:rsidR="0097612F" w:rsidRPr="004D2D14" w:rsidRDefault="0097612F" w:rsidP="000977F7">
      <w:pPr>
        <w:pStyle w:val="af6"/>
        <w:tabs>
          <w:tab w:val="left" w:pos="284"/>
        </w:tabs>
        <w:spacing w:after="0"/>
        <w:ind w:left="170"/>
        <w:mirrorIndents/>
        <w:jc w:val="both"/>
        <w:rPr>
          <w:rFonts w:asciiTheme="majorHAnsi" w:hAnsiTheme="majorHAnsi"/>
          <w:spacing w:val="-47"/>
          <w:sz w:val="20"/>
          <w:szCs w:val="20"/>
          <w:lang w:val="en-US"/>
        </w:rPr>
      </w:pPr>
      <w:r w:rsidRPr="000977F7">
        <w:rPr>
          <w:rFonts w:asciiTheme="majorHAnsi" w:hAnsiTheme="majorHAnsi"/>
          <w:spacing w:val="-3"/>
          <w:sz w:val="20"/>
          <w:szCs w:val="20"/>
        </w:rPr>
        <w:t>Середнє</w:t>
      </w:r>
      <w:r w:rsidRPr="004D2D14">
        <w:rPr>
          <w:rFonts w:asciiTheme="majorHAnsi" w:hAnsiTheme="majorHAnsi"/>
          <w:spacing w:val="-8"/>
          <w:sz w:val="20"/>
          <w:szCs w:val="20"/>
          <w:lang w:val="en-US"/>
        </w:rPr>
        <w:t xml:space="preserve"> </w:t>
      </w:r>
      <w:r w:rsidRPr="000977F7">
        <w:rPr>
          <w:rFonts w:asciiTheme="majorHAnsi" w:hAnsiTheme="majorHAnsi"/>
          <w:spacing w:val="-3"/>
          <w:sz w:val="20"/>
          <w:szCs w:val="20"/>
        </w:rPr>
        <w:t>напрацювання</w:t>
      </w:r>
      <w:r w:rsidRPr="004D2D14">
        <w:rPr>
          <w:rFonts w:asciiTheme="majorHAnsi" w:hAnsiTheme="majorHAnsi"/>
          <w:spacing w:val="-9"/>
          <w:sz w:val="20"/>
          <w:szCs w:val="20"/>
          <w:lang w:val="en-US"/>
        </w:rPr>
        <w:t xml:space="preserve"> </w:t>
      </w:r>
      <w:r w:rsidRPr="000977F7">
        <w:rPr>
          <w:rFonts w:asciiTheme="majorHAnsi" w:hAnsiTheme="majorHAnsi"/>
          <w:spacing w:val="-3"/>
          <w:sz w:val="20"/>
          <w:szCs w:val="20"/>
        </w:rPr>
        <w:t>до</w:t>
      </w:r>
      <w:r w:rsidRPr="004D2D14">
        <w:rPr>
          <w:rFonts w:asciiTheme="majorHAnsi" w:hAnsiTheme="majorHAnsi"/>
          <w:spacing w:val="-8"/>
          <w:sz w:val="20"/>
          <w:szCs w:val="20"/>
          <w:lang w:val="en-US"/>
        </w:rPr>
        <w:t xml:space="preserve"> </w:t>
      </w:r>
      <w:r w:rsidRPr="000977F7">
        <w:rPr>
          <w:rFonts w:asciiTheme="majorHAnsi" w:hAnsiTheme="majorHAnsi"/>
          <w:spacing w:val="-2"/>
          <w:sz w:val="20"/>
          <w:szCs w:val="20"/>
        </w:rPr>
        <w:t>відмови</w:t>
      </w:r>
      <w:r w:rsidRPr="004D2D14">
        <w:rPr>
          <w:rFonts w:asciiTheme="majorHAnsi" w:hAnsiTheme="majorHAnsi"/>
          <w:spacing w:val="-2"/>
          <w:sz w:val="20"/>
          <w:szCs w:val="20"/>
          <w:lang w:val="en-US"/>
        </w:rPr>
        <w:t>,</w:t>
      </w:r>
      <w:r w:rsidRPr="004D2D14">
        <w:rPr>
          <w:rFonts w:asciiTheme="majorHAnsi" w:hAnsiTheme="majorHAnsi"/>
          <w:spacing w:val="-10"/>
          <w:sz w:val="20"/>
          <w:szCs w:val="20"/>
          <w:lang w:val="en-US"/>
        </w:rPr>
        <w:t xml:space="preserve"> </w:t>
      </w:r>
      <w:r w:rsidRPr="000977F7">
        <w:rPr>
          <w:rFonts w:asciiTheme="majorHAnsi" w:hAnsiTheme="majorHAnsi"/>
          <w:spacing w:val="-2"/>
          <w:sz w:val="20"/>
          <w:szCs w:val="20"/>
        </w:rPr>
        <w:t>визначене</w:t>
      </w:r>
      <w:r w:rsidRPr="004D2D14">
        <w:rPr>
          <w:rFonts w:asciiTheme="majorHAnsi" w:hAnsiTheme="majorHAnsi"/>
          <w:spacing w:val="-10"/>
          <w:sz w:val="20"/>
          <w:szCs w:val="20"/>
          <w:lang w:val="en-US"/>
        </w:rPr>
        <w:t xml:space="preserve"> </w:t>
      </w:r>
      <w:r w:rsidRPr="000977F7">
        <w:rPr>
          <w:rFonts w:asciiTheme="majorHAnsi" w:hAnsiTheme="majorHAnsi"/>
          <w:spacing w:val="-2"/>
          <w:sz w:val="20"/>
          <w:szCs w:val="20"/>
        </w:rPr>
        <w:t>через</w:t>
      </w:r>
      <w:r w:rsidRPr="004D2D14">
        <w:rPr>
          <w:rFonts w:asciiTheme="majorHAnsi" w:hAnsiTheme="majorHAnsi"/>
          <w:spacing w:val="-9"/>
          <w:sz w:val="20"/>
          <w:szCs w:val="20"/>
          <w:lang w:val="en-US"/>
        </w:rPr>
        <w:t xml:space="preserve"> </w:t>
      </w:r>
      <w:r w:rsidRPr="000977F7">
        <w:rPr>
          <w:rFonts w:asciiTheme="majorHAnsi" w:hAnsiTheme="majorHAnsi"/>
          <w:spacing w:val="-2"/>
          <w:sz w:val="20"/>
          <w:szCs w:val="20"/>
        </w:rPr>
        <w:t>екс</w:t>
      </w:r>
      <w:r w:rsidRPr="000977F7">
        <w:rPr>
          <w:rFonts w:asciiTheme="majorHAnsi" w:hAnsiTheme="majorHAnsi"/>
          <w:spacing w:val="-1"/>
          <w:sz w:val="20"/>
          <w:szCs w:val="20"/>
        </w:rPr>
        <w:t>траполяцію</w:t>
      </w:r>
      <w:r w:rsidRPr="004D2D14">
        <w:rPr>
          <w:rFonts w:asciiTheme="majorHAnsi" w:hAnsiTheme="majorHAnsi"/>
          <w:spacing w:val="-11"/>
          <w:sz w:val="20"/>
          <w:szCs w:val="20"/>
          <w:lang w:val="en-US"/>
        </w:rPr>
        <w:t xml:space="preserve"> </w:t>
      </w:r>
      <w:r w:rsidRPr="000977F7">
        <w:rPr>
          <w:rFonts w:asciiTheme="majorHAnsi" w:hAnsiTheme="majorHAnsi"/>
          <w:spacing w:val="-1"/>
          <w:sz w:val="20"/>
          <w:szCs w:val="20"/>
        </w:rPr>
        <w:t>або</w:t>
      </w:r>
      <w:r w:rsidRPr="004D2D14">
        <w:rPr>
          <w:rFonts w:asciiTheme="majorHAnsi" w:hAnsiTheme="majorHAnsi"/>
          <w:spacing w:val="-7"/>
          <w:sz w:val="20"/>
          <w:szCs w:val="20"/>
          <w:lang w:val="en-US"/>
        </w:rPr>
        <w:t xml:space="preserve"> </w:t>
      </w:r>
      <w:r w:rsidRPr="000977F7">
        <w:rPr>
          <w:rFonts w:asciiTheme="majorHAnsi" w:hAnsiTheme="majorHAnsi"/>
          <w:spacing w:val="-1"/>
          <w:sz w:val="20"/>
          <w:szCs w:val="20"/>
        </w:rPr>
        <w:t>інтерполяцію</w:t>
      </w:r>
      <w:r w:rsidRPr="004D2D14">
        <w:rPr>
          <w:rFonts w:asciiTheme="majorHAnsi" w:hAnsiTheme="majorHAnsi"/>
          <w:spacing w:val="-8"/>
          <w:sz w:val="20"/>
          <w:szCs w:val="20"/>
          <w:lang w:val="en-US"/>
        </w:rPr>
        <w:t xml:space="preserve"> </w:t>
      </w:r>
      <w:r w:rsidRPr="000977F7">
        <w:rPr>
          <w:rFonts w:asciiTheme="majorHAnsi" w:hAnsiTheme="majorHAnsi"/>
          <w:sz w:val="20"/>
          <w:szCs w:val="20"/>
        </w:rPr>
        <w:t>для</w:t>
      </w:r>
      <w:r w:rsidRPr="004D2D14">
        <w:rPr>
          <w:rFonts w:asciiTheme="majorHAnsi" w:hAnsiTheme="majorHAnsi"/>
          <w:spacing w:val="-7"/>
          <w:sz w:val="20"/>
          <w:szCs w:val="20"/>
          <w:lang w:val="en-US"/>
        </w:rPr>
        <w:t xml:space="preserve"> </w:t>
      </w:r>
      <w:r w:rsidRPr="000977F7">
        <w:rPr>
          <w:rFonts w:asciiTheme="majorHAnsi" w:hAnsiTheme="majorHAnsi"/>
          <w:sz w:val="20"/>
          <w:szCs w:val="20"/>
        </w:rPr>
        <w:t>проміжку</w:t>
      </w:r>
      <w:r w:rsidRPr="004D2D14">
        <w:rPr>
          <w:rFonts w:asciiTheme="majorHAnsi" w:hAnsiTheme="majorHAnsi"/>
          <w:spacing w:val="-9"/>
          <w:sz w:val="20"/>
          <w:szCs w:val="20"/>
          <w:lang w:val="en-US"/>
        </w:rPr>
        <w:t xml:space="preserve"> </w:t>
      </w:r>
      <w:r w:rsidRPr="000977F7">
        <w:rPr>
          <w:rFonts w:asciiTheme="majorHAnsi" w:hAnsiTheme="majorHAnsi"/>
          <w:sz w:val="20"/>
          <w:szCs w:val="20"/>
        </w:rPr>
        <w:t>часу</w:t>
      </w:r>
      <w:r w:rsidRPr="004D2D14">
        <w:rPr>
          <w:rFonts w:asciiTheme="majorHAnsi" w:hAnsiTheme="majorHAnsi"/>
          <w:spacing w:val="-9"/>
          <w:sz w:val="20"/>
          <w:szCs w:val="20"/>
          <w:lang w:val="en-US"/>
        </w:rPr>
        <w:t xml:space="preserve"> </w:t>
      </w:r>
      <w:r w:rsidRPr="000977F7">
        <w:rPr>
          <w:rFonts w:asciiTheme="majorHAnsi" w:hAnsiTheme="majorHAnsi"/>
          <w:sz w:val="20"/>
          <w:szCs w:val="20"/>
        </w:rPr>
        <w:t>і</w:t>
      </w:r>
      <w:r w:rsidRPr="004D2D14">
        <w:rPr>
          <w:rFonts w:asciiTheme="majorHAnsi" w:hAnsiTheme="majorHAnsi"/>
          <w:spacing w:val="-9"/>
          <w:sz w:val="20"/>
          <w:szCs w:val="20"/>
          <w:lang w:val="en-US"/>
        </w:rPr>
        <w:t xml:space="preserve"> </w:t>
      </w:r>
      <w:r w:rsidRPr="004D2D14">
        <w:rPr>
          <w:rFonts w:asciiTheme="majorHAnsi" w:hAnsiTheme="majorHAnsi"/>
          <w:sz w:val="20"/>
          <w:szCs w:val="20"/>
          <w:lang w:val="en-US"/>
        </w:rPr>
        <w:t>(</w:t>
      </w:r>
      <w:r w:rsidRPr="000977F7">
        <w:rPr>
          <w:rFonts w:asciiTheme="majorHAnsi" w:hAnsiTheme="majorHAnsi"/>
          <w:sz w:val="20"/>
          <w:szCs w:val="20"/>
        </w:rPr>
        <w:t>або</w:t>
      </w:r>
      <w:r w:rsidRPr="004D2D14">
        <w:rPr>
          <w:rFonts w:asciiTheme="majorHAnsi" w:hAnsiTheme="majorHAnsi"/>
          <w:sz w:val="20"/>
          <w:szCs w:val="20"/>
          <w:lang w:val="en-US"/>
        </w:rPr>
        <w:t>)</w:t>
      </w:r>
      <w:r w:rsidRPr="004D2D14">
        <w:rPr>
          <w:rFonts w:asciiTheme="majorHAnsi" w:hAnsiTheme="majorHAnsi"/>
          <w:spacing w:val="-48"/>
          <w:sz w:val="20"/>
          <w:szCs w:val="20"/>
          <w:lang w:val="en-US"/>
        </w:rPr>
        <w:t xml:space="preserve"> </w:t>
      </w:r>
      <w:r w:rsidRPr="000977F7">
        <w:rPr>
          <w:rFonts w:asciiTheme="majorHAnsi" w:hAnsiTheme="majorHAnsi"/>
          <w:spacing w:val="-1"/>
          <w:sz w:val="20"/>
          <w:szCs w:val="20"/>
        </w:rPr>
        <w:t>умов</w:t>
      </w:r>
      <w:r w:rsidRPr="004D2D14">
        <w:rPr>
          <w:rFonts w:asciiTheme="majorHAnsi" w:hAnsiTheme="majorHAnsi"/>
          <w:spacing w:val="-1"/>
          <w:sz w:val="20"/>
          <w:szCs w:val="20"/>
          <w:lang w:val="en-US"/>
        </w:rPr>
        <w:t>,</w:t>
      </w:r>
      <w:r w:rsidRPr="004D2D14">
        <w:rPr>
          <w:rFonts w:asciiTheme="majorHAnsi" w:hAnsiTheme="majorHAnsi"/>
          <w:spacing w:val="-9"/>
          <w:sz w:val="20"/>
          <w:szCs w:val="20"/>
          <w:lang w:val="en-US"/>
        </w:rPr>
        <w:t xml:space="preserve"> </w:t>
      </w:r>
      <w:r w:rsidRPr="000977F7">
        <w:rPr>
          <w:rFonts w:asciiTheme="majorHAnsi" w:hAnsiTheme="majorHAnsi"/>
          <w:spacing w:val="-1"/>
          <w:sz w:val="20"/>
          <w:szCs w:val="20"/>
        </w:rPr>
        <w:t>які</w:t>
      </w:r>
      <w:r w:rsidRPr="004D2D14">
        <w:rPr>
          <w:rFonts w:asciiTheme="majorHAnsi" w:hAnsiTheme="majorHAnsi"/>
          <w:spacing w:val="-8"/>
          <w:sz w:val="20"/>
          <w:szCs w:val="20"/>
          <w:lang w:val="en-US"/>
        </w:rPr>
        <w:t xml:space="preserve"> </w:t>
      </w:r>
      <w:r w:rsidRPr="000977F7">
        <w:rPr>
          <w:rFonts w:asciiTheme="majorHAnsi" w:hAnsiTheme="majorHAnsi"/>
          <w:spacing w:val="-1"/>
          <w:sz w:val="20"/>
          <w:szCs w:val="20"/>
        </w:rPr>
        <w:t>відрізняються</w:t>
      </w:r>
      <w:r w:rsidRPr="004D2D14">
        <w:rPr>
          <w:rFonts w:asciiTheme="majorHAnsi" w:hAnsiTheme="majorHAnsi"/>
          <w:spacing w:val="-9"/>
          <w:sz w:val="20"/>
          <w:szCs w:val="20"/>
          <w:lang w:val="en-US"/>
        </w:rPr>
        <w:t xml:space="preserve"> </w:t>
      </w:r>
      <w:r w:rsidRPr="000977F7">
        <w:rPr>
          <w:rFonts w:asciiTheme="majorHAnsi" w:hAnsiTheme="majorHAnsi"/>
          <w:spacing w:val="-1"/>
          <w:sz w:val="20"/>
          <w:szCs w:val="20"/>
        </w:rPr>
        <w:t>від</w:t>
      </w:r>
      <w:r w:rsidRPr="004D2D14">
        <w:rPr>
          <w:rFonts w:asciiTheme="majorHAnsi" w:hAnsiTheme="majorHAnsi"/>
          <w:spacing w:val="-9"/>
          <w:sz w:val="20"/>
          <w:szCs w:val="20"/>
          <w:lang w:val="en-US"/>
        </w:rPr>
        <w:t xml:space="preserve"> </w:t>
      </w:r>
      <w:r w:rsidRPr="000977F7">
        <w:rPr>
          <w:rFonts w:asciiTheme="majorHAnsi" w:hAnsiTheme="majorHAnsi"/>
          <w:spacing w:val="-1"/>
          <w:sz w:val="20"/>
          <w:szCs w:val="20"/>
        </w:rPr>
        <w:t>тих</w:t>
      </w:r>
      <w:r w:rsidRPr="004D2D14">
        <w:rPr>
          <w:rFonts w:asciiTheme="majorHAnsi" w:hAnsiTheme="majorHAnsi"/>
          <w:spacing w:val="-1"/>
          <w:sz w:val="20"/>
          <w:szCs w:val="20"/>
          <w:lang w:val="en-US"/>
        </w:rPr>
        <w:t>,</w:t>
      </w:r>
      <w:r w:rsidRPr="004D2D14">
        <w:rPr>
          <w:rFonts w:asciiTheme="majorHAnsi" w:hAnsiTheme="majorHAnsi"/>
          <w:spacing w:val="-8"/>
          <w:sz w:val="20"/>
          <w:szCs w:val="20"/>
          <w:lang w:val="en-US"/>
        </w:rPr>
        <w:t xml:space="preserve"> </w:t>
      </w:r>
      <w:r w:rsidRPr="000977F7">
        <w:rPr>
          <w:rFonts w:asciiTheme="majorHAnsi" w:hAnsiTheme="majorHAnsi"/>
          <w:spacing w:val="-1"/>
          <w:sz w:val="20"/>
          <w:szCs w:val="20"/>
        </w:rPr>
        <w:t>при</w:t>
      </w:r>
      <w:r w:rsidRPr="004D2D14">
        <w:rPr>
          <w:rFonts w:asciiTheme="majorHAnsi" w:hAnsiTheme="majorHAnsi"/>
          <w:spacing w:val="-9"/>
          <w:sz w:val="20"/>
          <w:szCs w:val="20"/>
          <w:lang w:val="en-US"/>
        </w:rPr>
        <w:t xml:space="preserve"> </w:t>
      </w:r>
      <w:r w:rsidRPr="000977F7">
        <w:rPr>
          <w:rFonts w:asciiTheme="majorHAnsi" w:hAnsiTheme="majorHAnsi"/>
          <w:spacing w:val="-1"/>
          <w:sz w:val="20"/>
          <w:szCs w:val="20"/>
        </w:rPr>
        <w:t>яких</w:t>
      </w:r>
      <w:r w:rsidRPr="004D2D14">
        <w:rPr>
          <w:rFonts w:asciiTheme="majorHAnsi" w:hAnsiTheme="majorHAnsi"/>
          <w:spacing w:val="-11"/>
          <w:sz w:val="20"/>
          <w:szCs w:val="20"/>
          <w:lang w:val="en-US"/>
        </w:rPr>
        <w:t xml:space="preserve"> </w:t>
      </w:r>
      <w:r w:rsidRPr="000977F7">
        <w:rPr>
          <w:rFonts w:asciiTheme="majorHAnsi" w:hAnsiTheme="majorHAnsi"/>
          <w:spacing w:val="-1"/>
          <w:sz w:val="20"/>
          <w:szCs w:val="20"/>
        </w:rPr>
        <w:t>отримане</w:t>
      </w:r>
      <w:r w:rsidRPr="004D2D14">
        <w:rPr>
          <w:rFonts w:asciiTheme="majorHAnsi" w:hAnsiTheme="majorHAnsi"/>
          <w:spacing w:val="-8"/>
          <w:sz w:val="20"/>
          <w:szCs w:val="20"/>
          <w:lang w:val="en-US"/>
        </w:rPr>
        <w:t xml:space="preserve"> </w:t>
      </w:r>
      <w:r w:rsidRPr="000977F7">
        <w:rPr>
          <w:rFonts w:asciiTheme="majorHAnsi" w:hAnsiTheme="majorHAnsi"/>
          <w:spacing w:val="-1"/>
          <w:sz w:val="20"/>
          <w:szCs w:val="20"/>
        </w:rPr>
        <w:t>спо</w:t>
      </w:r>
      <w:r w:rsidRPr="000977F7">
        <w:rPr>
          <w:rFonts w:asciiTheme="majorHAnsi" w:hAnsiTheme="majorHAnsi"/>
          <w:spacing w:val="-4"/>
          <w:sz w:val="20"/>
          <w:szCs w:val="20"/>
        </w:rPr>
        <w:t>стережене</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або</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оцінне</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середнє</w:t>
      </w:r>
      <w:r w:rsidRPr="004D2D14">
        <w:rPr>
          <w:rFonts w:asciiTheme="majorHAnsi" w:hAnsiTheme="majorHAnsi"/>
          <w:spacing w:val="-3"/>
          <w:sz w:val="20"/>
          <w:szCs w:val="20"/>
          <w:lang w:val="en-US"/>
        </w:rPr>
        <w:t xml:space="preserve"> </w:t>
      </w:r>
      <w:r w:rsidRPr="000977F7">
        <w:rPr>
          <w:rFonts w:asciiTheme="majorHAnsi" w:hAnsiTheme="majorHAnsi"/>
          <w:spacing w:val="-4"/>
          <w:sz w:val="20"/>
          <w:szCs w:val="20"/>
        </w:rPr>
        <w:t>напрацювання</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до</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відмови</w:t>
      </w:r>
      <w:r w:rsidRPr="004D2D14">
        <w:rPr>
          <w:rFonts w:asciiTheme="majorHAnsi" w:hAnsiTheme="majorHAnsi"/>
          <w:spacing w:val="-47"/>
          <w:sz w:val="20"/>
          <w:szCs w:val="20"/>
          <w:lang w:val="en-US"/>
        </w:rPr>
        <w:t xml:space="preserve"> </w:t>
      </w:r>
    </w:p>
    <w:p w14:paraId="3AD0B02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302C3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Справедливість екстраполяції повинна бути обґрунтована</w:t>
      </w:r>
    </w:p>
    <w:p w14:paraId="4C1E5E1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ЕКСТРАПОЛЬОВАНЕ</w:t>
      </w:r>
      <w:r w:rsidRPr="000977F7">
        <w:rPr>
          <w:color w:val="auto"/>
          <w:spacing w:val="-9"/>
          <w:sz w:val="20"/>
          <w:szCs w:val="20"/>
        </w:rPr>
        <w:t xml:space="preserve"> </w:t>
      </w:r>
      <w:r w:rsidRPr="000977F7">
        <w:rPr>
          <w:color w:val="auto"/>
          <w:sz w:val="20"/>
          <w:szCs w:val="20"/>
        </w:rPr>
        <w:t>СЕРЕДНЄ</w:t>
      </w:r>
      <w:r w:rsidRPr="000977F7">
        <w:rPr>
          <w:color w:val="auto"/>
          <w:spacing w:val="-8"/>
          <w:sz w:val="20"/>
          <w:szCs w:val="20"/>
        </w:rPr>
        <w:t xml:space="preserve"> </w:t>
      </w:r>
      <w:r w:rsidRPr="000977F7">
        <w:rPr>
          <w:color w:val="auto"/>
          <w:sz w:val="20"/>
          <w:szCs w:val="20"/>
        </w:rPr>
        <w:t>НАПРАЦЮВАННЯ НА ВІДМОВУ</w:t>
      </w:r>
      <w:r w:rsidRPr="000977F7">
        <w:rPr>
          <w:color w:val="auto"/>
          <w:spacing w:val="-1"/>
          <w:sz w:val="20"/>
          <w:szCs w:val="20"/>
        </w:rPr>
        <w:t xml:space="preserve"> </w:t>
      </w:r>
      <w:r w:rsidRPr="000977F7">
        <w:rPr>
          <w:color w:val="auto"/>
          <w:sz w:val="20"/>
          <w:szCs w:val="20"/>
        </w:rPr>
        <w:t>–</w:t>
      </w:r>
    </w:p>
    <w:p w14:paraId="440BC73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EXTRAPOLATED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MEAN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BETWEEN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-FAILURES</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w:t>
      </w:r>
    </w:p>
    <w:p w14:paraId="12E620F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Середнє</w:t>
      </w:r>
      <w:r w:rsidRPr="004D2D14">
        <w:rPr>
          <w:rFonts w:asciiTheme="majorHAnsi" w:hAnsiTheme="majorHAnsi"/>
          <w:sz w:val="20"/>
          <w:szCs w:val="20"/>
          <w:lang w:val="en-US"/>
        </w:rPr>
        <w:t xml:space="preserve"> </w:t>
      </w:r>
      <w:r w:rsidRPr="000977F7">
        <w:rPr>
          <w:rFonts w:asciiTheme="majorHAnsi" w:hAnsiTheme="majorHAnsi"/>
          <w:sz w:val="20"/>
          <w:szCs w:val="20"/>
        </w:rPr>
        <w:t>напрацювання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відмову</w:t>
      </w:r>
      <w:r w:rsidRPr="004D2D14">
        <w:rPr>
          <w:rFonts w:asciiTheme="majorHAnsi" w:hAnsiTheme="majorHAnsi"/>
          <w:sz w:val="20"/>
          <w:szCs w:val="20"/>
          <w:lang w:val="en-US"/>
        </w:rPr>
        <w:t xml:space="preserve">, </w:t>
      </w:r>
      <w:r w:rsidRPr="000977F7">
        <w:rPr>
          <w:rFonts w:asciiTheme="majorHAnsi" w:hAnsiTheme="majorHAnsi"/>
          <w:sz w:val="20"/>
          <w:szCs w:val="20"/>
        </w:rPr>
        <w:t>визначене</w:t>
      </w:r>
      <w:r w:rsidRPr="004D2D14">
        <w:rPr>
          <w:rFonts w:asciiTheme="majorHAnsi" w:hAnsiTheme="majorHAnsi"/>
          <w:sz w:val="20"/>
          <w:szCs w:val="20"/>
          <w:lang w:val="en-US"/>
        </w:rPr>
        <w:t xml:space="preserve"> </w:t>
      </w:r>
      <w:r w:rsidRPr="000977F7">
        <w:rPr>
          <w:rFonts w:asciiTheme="majorHAnsi" w:hAnsiTheme="majorHAnsi"/>
          <w:sz w:val="20"/>
          <w:szCs w:val="20"/>
        </w:rPr>
        <w:t>через</w:t>
      </w:r>
      <w:r w:rsidRPr="004D2D14">
        <w:rPr>
          <w:rFonts w:asciiTheme="majorHAnsi" w:hAnsiTheme="majorHAnsi"/>
          <w:spacing w:val="1"/>
          <w:sz w:val="20"/>
          <w:szCs w:val="20"/>
          <w:lang w:val="en-US"/>
        </w:rPr>
        <w:t xml:space="preserve"> </w:t>
      </w:r>
      <w:r w:rsidRPr="000977F7">
        <w:rPr>
          <w:rFonts w:asciiTheme="majorHAnsi" w:hAnsiTheme="majorHAnsi"/>
          <w:sz w:val="20"/>
          <w:szCs w:val="20"/>
        </w:rPr>
        <w:t>екстраполяцію</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інтерполяцію</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проміжку</w:t>
      </w:r>
      <w:r w:rsidRPr="004D2D14">
        <w:rPr>
          <w:rFonts w:asciiTheme="majorHAnsi" w:hAnsiTheme="majorHAnsi"/>
          <w:sz w:val="20"/>
          <w:szCs w:val="20"/>
          <w:lang w:val="en-US"/>
        </w:rPr>
        <w:t xml:space="preserve"> </w:t>
      </w:r>
      <w:r w:rsidRPr="000977F7">
        <w:rPr>
          <w:rFonts w:asciiTheme="majorHAnsi" w:hAnsiTheme="majorHAnsi"/>
          <w:sz w:val="20"/>
          <w:szCs w:val="20"/>
        </w:rPr>
        <w:t>часу</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умов</w:t>
      </w:r>
      <w:r w:rsidRPr="004D2D14">
        <w:rPr>
          <w:rFonts w:asciiTheme="majorHAnsi" w:hAnsiTheme="majorHAnsi"/>
          <w:sz w:val="20"/>
          <w:szCs w:val="20"/>
          <w:lang w:val="en-US"/>
        </w:rPr>
        <w:t xml:space="preserve">, </w:t>
      </w:r>
      <w:r w:rsidRPr="000977F7">
        <w:rPr>
          <w:rFonts w:asciiTheme="majorHAnsi" w:hAnsiTheme="majorHAnsi"/>
          <w:sz w:val="20"/>
          <w:szCs w:val="20"/>
        </w:rPr>
        <w:t>які</w:t>
      </w:r>
      <w:r w:rsidRPr="004D2D14">
        <w:rPr>
          <w:rFonts w:asciiTheme="majorHAnsi" w:hAnsiTheme="majorHAnsi"/>
          <w:sz w:val="20"/>
          <w:szCs w:val="20"/>
          <w:lang w:val="en-US"/>
        </w:rPr>
        <w:t xml:space="preserve"> </w:t>
      </w:r>
      <w:r w:rsidRPr="000977F7">
        <w:rPr>
          <w:rFonts w:asciiTheme="majorHAnsi" w:hAnsiTheme="majorHAnsi"/>
          <w:sz w:val="20"/>
          <w:szCs w:val="20"/>
        </w:rPr>
        <w:t>відрізняються</w:t>
      </w:r>
      <w:r w:rsidRPr="004D2D14">
        <w:rPr>
          <w:rFonts w:asciiTheme="majorHAnsi" w:hAnsiTheme="majorHAnsi"/>
          <w:sz w:val="20"/>
          <w:szCs w:val="20"/>
          <w:lang w:val="en-US"/>
        </w:rPr>
        <w:t xml:space="preserve"> </w:t>
      </w:r>
      <w:r w:rsidRPr="000977F7">
        <w:rPr>
          <w:rFonts w:asciiTheme="majorHAnsi" w:hAnsiTheme="majorHAnsi"/>
          <w:sz w:val="20"/>
          <w:szCs w:val="20"/>
        </w:rPr>
        <w:t>від</w:t>
      </w:r>
      <w:r w:rsidRPr="004D2D14">
        <w:rPr>
          <w:rFonts w:asciiTheme="majorHAnsi" w:hAnsiTheme="majorHAnsi"/>
          <w:sz w:val="20"/>
          <w:szCs w:val="20"/>
          <w:lang w:val="en-US"/>
        </w:rPr>
        <w:t xml:space="preserve"> </w:t>
      </w:r>
      <w:r w:rsidRPr="000977F7">
        <w:rPr>
          <w:rFonts w:asciiTheme="majorHAnsi" w:hAnsiTheme="majorHAnsi"/>
          <w:sz w:val="20"/>
          <w:szCs w:val="20"/>
        </w:rPr>
        <w:t>тих</w:t>
      </w:r>
      <w:r w:rsidRPr="004D2D14">
        <w:rPr>
          <w:rFonts w:asciiTheme="majorHAnsi" w:hAnsiTheme="majorHAnsi"/>
          <w:sz w:val="20"/>
          <w:szCs w:val="20"/>
          <w:lang w:val="en-US"/>
        </w:rPr>
        <w:t xml:space="preserve">, </w:t>
      </w:r>
      <w:r w:rsidRPr="000977F7">
        <w:rPr>
          <w:rFonts w:asciiTheme="majorHAnsi" w:hAnsiTheme="majorHAnsi"/>
          <w:sz w:val="20"/>
          <w:szCs w:val="20"/>
        </w:rPr>
        <w:t>при</w:t>
      </w:r>
      <w:r w:rsidRPr="004D2D14">
        <w:rPr>
          <w:rFonts w:asciiTheme="majorHAnsi" w:hAnsiTheme="majorHAnsi"/>
          <w:sz w:val="20"/>
          <w:szCs w:val="20"/>
          <w:lang w:val="en-US"/>
        </w:rPr>
        <w:t xml:space="preserve"> </w:t>
      </w:r>
      <w:r w:rsidRPr="000977F7">
        <w:rPr>
          <w:rFonts w:asciiTheme="majorHAnsi" w:hAnsiTheme="majorHAnsi"/>
          <w:sz w:val="20"/>
          <w:szCs w:val="20"/>
        </w:rPr>
        <w:t>яких</w:t>
      </w:r>
      <w:r w:rsidRPr="004D2D14">
        <w:rPr>
          <w:rFonts w:asciiTheme="majorHAnsi" w:hAnsiTheme="majorHAnsi"/>
          <w:sz w:val="20"/>
          <w:szCs w:val="20"/>
          <w:lang w:val="en-US"/>
        </w:rPr>
        <w:t xml:space="preserve"> </w:t>
      </w:r>
      <w:r w:rsidRPr="000977F7">
        <w:rPr>
          <w:rFonts w:asciiTheme="majorHAnsi" w:hAnsiTheme="majorHAnsi"/>
          <w:sz w:val="20"/>
          <w:szCs w:val="20"/>
        </w:rPr>
        <w:t>отримане</w:t>
      </w:r>
      <w:r w:rsidRPr="004D2D14">
        <w:rPr>
          <w:rFonts w:asciiTheme="majorHAnsi" w:hAnsiTheme="majorHAnsi"/>
          <w:sz w:val="20"/>
          <w:szCs w:val="20"/>
          <w:lang w:val="en-US"/>
        </w:rPr>
        <w:t xml:space="preserve"> </w:t>
      </w:r>
      <w:r w:rsidRPr="000977F7">
        <w:rPr>
          <w:rFonts w:asciiTheme="majorHAnsi" w:hAnsiTheme="majorHAnsi"/>
          <w:sz w:val="20"/>
          <w:szCs w:val="20"/>
        </w:rPr>
        <w:t>спостережене</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оцінне</w:t>
      </w:r>
      <w:r w:rsidRPr="004D2D14">
        <w:rPr>
          <w:rFonts w:asciiTheme="majorHAnsi" w:hAnsiTheme="majorHAnsi"/>
          <w:sz w:val="20"/>
          <w:szCs w:val="20"/>
          <w:lang w:val="en-US"/>
        </w:rPr>
        <w:t xml:space="preserve"> </w:t>
      </w:r>
      <w:r w:rsidRPr="000977F7">
        <w:rPr>
          <w:rFonts w:asciiTheme="majorHAnsi" w:hAnsiTheme="majorHAnsi"/>
          <w:sz w:val="20"/>
          <w:szCs w:val="20"/>
        </w:rPr>
        <w:t>середнє</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напрацювання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відмову</w:t>
      </w:r>
    </w:p>
    <w:p w14:paraId="218B35A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49597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Справедливість екстраполяції повинна бути обґрунто</w:t>
      </w:r>
      <w:r w:rsidRPr="000977F7">
        <w:rPr>
          <w:rFonts w:asciiTheme="majorHAnsi" w:hAnsiTheme="majorHAnsi"/>
          <w:spacing w:val="-47"/>
          <w:sz w:val="20"/>
          <w:szCs w:val="20"/>
        </w:rPr>
        <w:t xml:space="preserve"> </w:t>
      </w:r>
      <w:r w:rsidRPr="000977F7">
        <w:rPr>
          <w:rFonts w:asciiTheme="majorHAnsi" w:hAnsiTheme="majorHAnsi"/>
          <w:sz w:val="20"/>
          <w:szCs w:val="20"/>
        </w:rPr>
        <w:t>вана</w:t>
      </w:r>
    </w:p>
    <w:p w14:paraId="29EFD77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ЕКСТРАПОЛЬОВАНИЙ ПОКАЗНИК </w:t>
      </w:r>
    </w:p>
    <w:p w14:paraId="7129FCD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НАДІЙ</w:t>
      </w:r>
      <w:r w:rsidRPr="000977F7">
        <w:rPr>
          <w:color w:val="auto"/>
          <w:spacing w:val="-47"/>
          <w:sz w:val="20"/>
          <w:szCs w:val="20"/>
        </w:rPr>
        <w:t xml:space="preserve"> </w:t>
      </w:r>
      <w:r w:rsidRPr="000977F7">
        <w:rPr>
          <w:color w:val="auto"/>
          <w:sz w:val="20"/>
          <w:szCs w:val="20"/>
        </w:rPr>
        <w:t>НОСТІ</w:t>
      </w:r>
      <w:r w:rsidRPr="000977F7">
        <w:rPr>
          <w:color w:val="auto"/>
          <w:spacing w:val="-1"/>
          <w:sz w:val="20"/>
          <w:szCs w:val="20"/>
        </w:rPr>
        <w:t xml:space="preserve"> </w:t>
      </w:r>
      <w:r w:rsidRPr="000977F7">
        <w:rPr>
          <w:color w:val="auto"/>
          <w:sz w:val="20"/>
          <w:szCs w:val="20"/>
        </w:rPr>
        <w:t>–</w:t>
      </w:r>
    </w:p>
    <w:p w14:paraId="72D6CE8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EXTRAPOLATED</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DEPENDABILITY</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MEASURE –</w:t>
      </w:r>
    </w:p>
    <w:p w14:paraId="35BDF0E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Показник</w:t>
      </w:r>
      <w:r w:rsidRPr="004D2D14">
        <w:rPr>
          <w:rFonts w:asciiTheme="majorHAnsi" w:hAnsiTheme="majorHAnsi"/>
          <w:sz w:val="20"/>
          <w:szCs w:val="20"/>
          <w:lang w:val="en-US"/>
        </w:rPr>
        <w:t xml:space="preserve"> </w:t>
      </w:r>
      <w:r w:rsidRPr="000977F7">
        <w:rPr>
          <w:rFonts w:asciiTheme="majorHAnsi" w:hAnsiTheme="majorHAnsi"/>
          <w:sz w:val="20"/>
          <w:szCs w:val="20"/>
        </w:rPr>
        <w:t>надійності</w:t>
      </w:r>
      <w:r w:rsidRPr="004D2D14">
        <w:rPr>
          <w:rFonts w:asciiTheme="majorHAnsi" w:hAnsiTheme="majorHAnsi"/>
          <w:sz w:val="20"/>
          <w:szCs w:val="20"/>
          <w:lang w:val="en-US"/>
        </w:rPr>
        <w:t xml:space="preserve">, </w:t>
      </w:r>
      <w:r w:rsidRPr="000977F7">
        <w:rPr>
          <w:rFonts w:asciiTheme="majorHAnsi" w:hAnsiTheme="majorHAnsi"/>
          <w:sz w:val="20"/>
          <w:szCs w:val="20"/>
        </w:rPr>
        <w:t>отриманий</w:t>
      </w:r>
      <w:r w:rsidRPr="004D2D14">
        <w:rPr>
          <w:rFonts w:asciiTheme="majorHAnsi" w:hAnsiTheme="majorHAnsi"/>
          <w:sz w:val="20"/>
          <w:szCs w:val="20"/>
          <w:lang w:val="en-US"/>
        </w:rPr>
        <w:t xml:space="preserve"> </w:t>
      </w:r>
      <w:r w:rsidRPr="000977F7">
        <w:rPr>
          <w:rFonts w:asciiTheme="majorHAnsi" w:hAnsiTheme="majorHAnsi"/>
          <w:sz w:val="20"/>
          <w:szCs w:val="20"/>
        </w:rPr>
        <w:t>шляхом</w:t>
      </w:r>
      <w:r w:rsidRPr="004D2D14">
        <w:rPr>
          <w:rFonts w:asciiTheme="majorHAnsi" w:hAnsiTheme="majorHAnsi"/>
          <w:sz w:val="20"/>
          <w:szCs w:val="20"/>
          <w:lang w:val="en-US"/>
        </w:rPr>
        <w:t xml:space="preserve"> </w:t>
      </w:r>
      <w:r w:rsidRPr="000977F7">
        <w:rPr>
          <w:rFonts w:asciiTheme="majorHAnsi" w:hAnsiTheme="majorHAnsi"/>
          <w:sz w:val="20"/>
          <w:szCs w:val="20"/>
        </w:rPr>
        <w:t>екстраполяції</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інтерполяції</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наробітку</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умов</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відрізняються</w:t>
      </w:r>
      <w:r w:rsidRPr="004D2D14">
        <w:rPr>
          <w:rFonts w:asciiTheme="majorHAnsi" w:hAnsiTheme="majorHAnsi"/>
          <w:sz w:val="20"/>
          <w:szCs w:val="20"/>
          <w:lang w:val="en-US"/>
        </w:rPr>
        <w:t xml:space="preserve"> </w:t>
      </w:r>
      <w:r w:rsidRPr="000977F7">
        <w:rPr>
          <w:rFonts w:asciiTheme="majorHAnsi" w:hAnsiTheme="majorHAnsi"/>
          <w:sz w:val="20"/>
          <w:szCs w:val="20"/>
        </w:rPr>
        <w:t>від</w:t>
      </w:r>
      <w:r w:rsidRPr="004D2D14">
        <w:rPr>
          <w:rFonts w:asciiTheme="majorHAnsi" w:hAnsiTheme="majorHAnsi"/>
          <w:sz w:val="20"/>
          <w:szCs w:val="20"/>
          <w:lang w:val="en-US"/>
        </w:rPr>
        <w:t xml:space="preserve"> </w:t>
      </w:r>
      <w:r w:rsidRPr="000977F7">
        <w:rPr>
          <w:rFonts w:asciiTheme="majorHAnsi" w:hAnsiTheme="majorHAnsi"/>
          <w:sz w:val="20"/>
          <w:szCs w:val="20"/>
        </w:rPr>
        <w:t>них</w:t>
      </w:r>
      <w:r w:rsidRPr="004D2D14">
        <w:rPr>
          <w:rFonts w:asciiTheme="majorHAnsi" w:hAnsiTheme="majorHAnsi"/>
          <w:sz w:val="20"/>
          <w:szCs w:val="20"/>
          <w:lang w:val="en-US"/>
        </w:rPr>
        <w:t xml:space="preserve">, </w:t>
      </w:r>
      <w:r w:rsidRPr="000977F7">
        <w:rPr>
          <w:rFonts w:asciiTheme="majorHAnsi" w:hAnsiTheme="majorHAnsi"/>
          <w:sz w:val="20"/>
          <w:szCs w:val="20"/>
        </w:rPr>
        <w:t>у</w:t>
      </w:r>
      <w:r w:rsidRPr="004D2D14">
        <w:rPr>
          <w:rFonts w:asciiTheme="majorHAnsi" w:hAnsiTheme="majorHAnsi"/>
          <w:sz w:val="20"/>
          <w:szCs w:val="20"/>
          <w:lang w:val="en-US"/>
        </w:rPr>
        <w:t xml:space="preserve"> </w:t>
      </w:r>
      <w:r w:rsidRPr="000977F7">
        <w:rPr>
          <w:rFonts w:asciiTheme="majorHAnsi" w:hAnsiTheme="majorHAnsi"/>
          <w:sz w:val="20"/>
          <w:szCs w:val="20"/>
        </w:rPr>
        <w:t>яких</w:t>
      </w:r>
      <w:r w:rsidRPr="004D2D14">
        <w:rPr>
          <w:rFonts w:asciiTheme="majorHAnsi" w:hAnsiTheme="majorHAnsi"/>
          <w:sz w:val="20"/>
          <w:szCs w:val="20"/>
          <w:lang w:val="en-US"/>
        </w:rPr>
        <w:t xml:space="preserve"> </w:t>
      </w:r>
      <w:r w:rsidRPr="000977F7">
        <w:rPr>
          <w:rFonts w:asciiTheme="majorHAnsi" w:hAnsiTheme="majorHAnsi"/>
          <w:sz w:val="20"/>
          <w:szCs w:val="20"/>
        </w:rPr>
        <w:t>отримано</w:t>
      </w:r>
      <w:r w:rsidRPr="004D2D14">
        <w:rPr>
          <w:rFonts w:asciiTheme="majorHAnsi" w:hAnsiTheme="majorHAnsi"/>
          <w:sz w:val="20"/>
          <w:szCs w:val="20"/>
          <w:lang w:val="en-US"/>
        </w:rPr>
        <w:t xml:space="preserve"> </w:t>
      </w:r>
      <w:r w:rsidRPr="000977F7">
        <w:rPr>
          <w:rFonts w:asciiTheme="majorHAnsi" w:hAnsiTheme="majorHAnsi"/>
          <w:sz w:val="20"/>
          <w:szCs w:val="20"/>
        </w:rPr>
        <w:t>спостережений</w:t>
      </w:r>
      <w:r w:rsidRPr="004D2D14">
        <w:rPr>
          <w:rFonts w:asciiTheme="majorHAnsi" w:hAnsiTheme="majorHAnsi"/>
          <w:spacing w:val="1"/>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оцінний</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показник</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надійності</w:t>
      </w:r>
    </w:p>
    <w:p w14:paraId="52CEA78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CFCC97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ЕКСТРАПОЛЬОВАНИЙ СЕРЕДНІЙ ТЕРМІН</w:t>
      </w:r>
      <w:r w:rsidRPr="000977F7">
        <w:rPr>
          <w:color w:val="auto"/>
          <w:spacing w:val="-47"/>
          <w:sz w:val="20"/>
          <w:szCs w:val="20"/>
        </w:rPr>
        <w:t xml:space="preserve"> </w:t>
      </w:r>
      <w:r w:rsidRPr="000977F7">
        <w:rPr>
          <w:color w:val="auto"/>
          <w:sz w:val="20"/>
          <w:szCs w:val="20"/>
        </w:rPr>
        <w:t>СЛУЖБИ</w:t>
      </w:r>
      <w:r w:rsidRPr="000977F7">
        <w:rPr>
          <w:color w:val="auto"/>
          <w:spacing w:val="1"/>
          <w:sz w:val="20"/>
          <w:szCs w:val="20"/>
        </w:rPr>
        <w:t xml:space="preserve"> </w:t>
      </w:r>
      <w:r w:rsidRPr="000977F7">
        <w:rPr>
          <w:color w:val="auto"/>
          <w:sz w:val="20"/>
          <w:szCs w:val="20"/>
        </w:rPr>
        <w:t>–</w:t>
      </w:r>
    </w:p>
    <w:p w14:paraId="68C8DC2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EXTRAPOLATED</w:t>
      </w:r>
      <w:r w:rsidRPr="004D2D14">
        <w:rPr>
          <w:rFonts w:asciiTheme="majorHAnsi" w:hAnsiTheme="majorHAnsi"/>
          <w:spacing w:val="-3"/>
          <w:sz w:val="20"/>
          <w:szCs w:val="20"/>
          <w:lang w:val="uk-UA"/>
        </w:rPr>
        <w:t xml:space="preserve"> </w:t>
      </w:r>
      <w:r w:rsidRPr="000977F7">
        <w:rPr>
          <w:rFonts w:asciiTheme="majorHAnsi" w:hAnsiTheme="majorHAnsi"/>
          <w:sz w:val="20"/>
          <w:szCs w:val="20"/>
        </w:rPr>
        <w:t>MEAN</w:t>
      </w:r>
      <w:r w:rsidRPr="004D2D14">
        <w:rPr>
          <w:rFonts w:asciiTheme="majorHAnsi" w:hAnsiTheme="majorHAnsi"/>
          <w:spacing w:val="-3"/>
          <w:sz w:val="20"/>
          <w:szCs w:val="20"/>
          <w:lang w:val="uk-UA"/>
        </w:rPr>
        <w:t xml:space="preserve"> </w:t>
      </w:r>
      <w:r w:rsidRPr="000977F7">
        <w:rPr>
          <w:rFonts w:asciiTheme="majorHAnsi" w:hAnsiTheme="majorHAnsi"/>
          <w:sz w:val="20"/>
          <w:szCs w:val="20"/>
        </w:rPr>
        <w:t>LIFE</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7CB19CE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Середній термін служби, визначений через екстраполяцію або інтерполяцію для умов навантаження, які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відрізняються від тих, при яких отриманий спостережений</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оцінний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середній термін</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служби</w:t>
      </w:r>
    </w:p>
    <w:p w14:paraId="44DE201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1882E7A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Справедливість екстраполяції повинна бути обґрунтована</w:t>
      </w:r>
    </w:p>
    <w:p w14:paraId="70FDD9D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ЕКСТРАПОЛЬОВАНИЙ</w:t>
      </w:r>
      <w:r w:rsidRPr="000977F7">
        <w:rPr>
          <w:color w:val="auto"/>
          <w:spacing w:val="1"/>
          <w:sz w:val="20"/>
          <w:szCs w:val="20"/>
        </w:rPr>
        <w:t xml:space="preserve"> </w:t>
      </w:r>
      <w:r w:rsidRPr="000977F7">
        <w:rPr>
          <w:color w:val="auto"/>
          <w:sz w:val="20"/>
          <w:szCs w:val="20"/>
        </w:rPr>
        <w:t>Q-ВІДСОТКОВИЙ ТЕРМІН СЛУЖБИ</w:t>
      </w:r>
      <w:r w:rsidRPr="000977F7">
        <w:rPr>
          <w:color w:val="auto"/>
          <w:spacing w:val="2"/>
          <w:sz w:val="20"/>
          <w:szCs w:val="20"/>
        </w:rPr>
        <w:t xml:space="preserve"> </w:t>
      </w:r>
      <w:r w:rsidRPr="000977F7">
        <w:rPr>
          <w:color w:val="auto"/>
          <w:sz w:val="20"/>
          <w:szCs w:val="20"/>
        </w:rPr>
        <w:t>–</w:t>
      </w:r>
    </w:p>
    <w:p w14:paraId="559A133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EXTRAPOLATED</w:t>
      </w:r>
      <w:r w:rsidRPr="004D2D14">
        <w:rPr>
          <w:rFonts w:asciiTheme="majorHAnsi" w:hAnsiTheme="majorHAnsi"/>
          <w:spacing w:val="-4"/>
          <w:sz w:val="20"/>
          <w:szCs w:val="20"/>
          <w:lang w:val="uk-UA"/>
        </w:rPr>
        <w:t xml:space="preserve"> </w:t>
      </w:r>
      <w:r w:rsidRPr="000977F7">
        <w:rPr>
          <w:rFonts w:asciiTheme="majorHAnsi" w:hAnsiTheme="majorHAnsi"/>
          <w:sz w:val="20"/>
          <w:szCs w:val="20"/>
        </w:rPr>
        <w:t>Q</w:t>
      </w:r>
      <w:r w:rsidRPr="004D2D14">
        <w:rPr>
          <w:rFonts w:asciiTheme="majorHAnsi" w:hAnsiTheme="majorHAnsi"/>
          <w:sz w:val="20"/>
          <w:szCs w:val="20"/>
          <w:lang w:val="uk-UA"/>
        </w:rPr>
        <w:t>-</w:t>
      </w:r>
      <w:r w:rsidRPr="000977F7">
        <w:rPr>
          <w:rFonts w:asciiTheme="majorHAnsi" w:hAnsiTheme="majorHAnsi"/>
          <w:sz w:val="20"/>
          <w:szCs w:val="20"/>
        </w:rPr>
        <w:t>PERCENTILE</w:t>
      </w:r>
      <w:r w:rsidRPr="004D2D14">
        <w:rPr>
          <w:rFonts w:asciiTheme="majorHAnsi" w:hAnsiTheme="majorHAnsi"/>
          <w:spacing w:val="-1"/>
          <w:sz w:val="20"/>
          <w:szCs w:val="20"/>
          <w:lang w:val="uk-UA"/>
        </w:rPr>
        <w:t xml:space="preserve"> </w:t>
      </w:r>
      <w:r w:rsidRPr="000977F7">
        <w:rPr>
          <w:rFonts w:asciiTheme="majorHAnsi" w:hAnsiTheme="majorHAnsi"/>
          <w:sz w:val="20"/>
          <w:szCs w:val="20"/>
        </w:rPr>
        <w:t>LIFE</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12DF512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Q</w:t>
      </w:r>
      <w:r w:rsidRPr="004D2D14">
        <w:rPr>
          <w:rFonts w:asciiTheme="majorHAnsi" w:hAnsiTheme="majorHAnsi"/>
          <w:sz w:val="20"/>
          <w:szCs w:val="20"/>
          <w:lang w:val="uk-UA"/>
        </w:rPr>
        <w:t>відсотковий термін служби, визначений через екстраполяцію або інтерполяцію значень спостереженого</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 xml:space="preserve">або оцінного </w:t>
      </w:r>
      <w:r w:rsidRPr="000977F7">
        <w:rPr>
          <w:rFonts w:asciiTheme="majorHAnsi" w:hAnsiTheme="majorHAnsi"/>
          <w:sz w:val="20"/>
          <w:szCs w:val="20"/>
        </w:rPr>
        <w:t>Q</w:t>
      </w:r>
      <w:r w:rsidRPr="004D2D14">
        <w:rPr>
          <w:rFonts w:asciiTheme="majorHAnsi" w:hAnsiTheme="majorHAnsi"/>
          <w:sz w:val="20"/>
          <w:szCs w:val="20"/>
          <w:lang w:val="uk-UA"/>
        </w:rPr>
        <w:t>відсоткового терміну служби, отриманого для умов навантаження, які відрізняються від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 xml:space="preserve">тих, при яких отриманий оцінний </w:t>
      </w:r>
      <w:r w:rsidRPr="000977F7">
        <w:rPr>
          <w:rFonts w:asciiTheme="majorHAnsi" w:hAnsiTheme="majorHAnsi"/>
          <w:sz w:val="20"/>
          <w:szCs w:val="20"/>
        </w:rPr>
        <w:t>Q</w:t>
      </w:r>
      <w:r w:rsidRPr="004D2D14">
        <w:rPr>
          <w:rFonts w:asciiTheme="majorHAnsi" w:hAnsiTheme="majorHAnsi"/>
          <w:sz w:val="20"/>
          <w:szCs w:val="20"/>
          <w:lang w:val="uk-UA"/>
        </w:rPr>
        <w:t>відсотковий термін</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служби, 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інших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 xml:space="preserve">значень </w:t>
      </w:r>
      <w:r w:rsidRPr="000977F7">
        <w:rPr>
          <w:rFonts w:asciiTheme="majorHAnsi" w:hAnsiTheme="majorHAnsi"/>
          <w:sz w:val="20"/>
          <w:szCs w:val="20"/>
        </w:rPr>
        <w:t>Q</w:t>
      </w:r>
    </w:p>
    <w:p w14:paraId="1C387B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DEFDB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Справедливість екстраполяції повинна бути обґрунтована</w:t>
      </w:r>
    </w:p>
    <w:p w14:paraId="35B90FB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ЕЛЕКТРИЧНА</w:t>
      </w:r>
      <w:r w:rsidRPr="000977F7">
        <w:rPr>
          <w:color w:val="auto"/>
          <w:spacing w:val="1"/>
          <w:sz w:val="20"/>
          <w:szCs w:val="20"/>
        </w:rPr>
        <w:t xml:space="preserve"> </w:t>
      </w:r>
      <w:r w:rsidRPr="000977F7">
        <w:rPr>
          <w:color w:val="auto"/>
          <w:sz w:val="20"/>
          <w:szCs w:val="20"/>
        </w:rPr>
        <w:t xml:space="preserve">(ГІДРАВЛІЧНА, </w:t>
      </w:r>
    </w:p>
    <w:p w14:paraId="179BBCD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ПНЕВМАТИЧ</w:t>
      </w:r>
      <w:r w:rsidRPr="000977F7">
        <w:rPr>
          <w:color w:val="auto"/>
          <w:spacing w:val="-47"/>
          <w:sz w:val="20"/>
          <w:szCs w:val="20"/>
        </w:rPr>
        <w:t xml:space="preserve"> </w:t>
      </w:r>
      <w:r w:rsidRPr="000977F7">
        <w:rPr>
          <w:color w:val="auto"/>
          <w:sz w:val="20"/>
          <w:szCs w:val="20"/>
        </w:rPr>
        <w:t>НА,</w:t>
      </w:r>
      <w:r w:rsidRPr="000977F7">
        <w:rPr>
          <w:color w:val="auto"/>
          <w:spacing w:val="-2"/>
          <w:sz w:val="20"/>
          <w:szCs w:val="20"/>
        </w:rPr>
        <w:t xml:space="preserve"> </w:t>
      </w:r>
      <w:r w:rsidRPr="000977F7">
        <w:rPr>
          <w:color w:val="auto"/>
          <w:sz w:val="20"/>
          <w:szCs w:val="20"/>
        </w:rPr>
        <w:t>ГАЗОВА,</w:t>
      </w:r>
      <w:r w:rsidRPr="000977F7">
        <w:rPr>
          <w:color w:val="auto"/>
          <w:spacing w:val="-1"/>
          <w:sz w:val="20"/>
          <w:szCs w:val="20"/>
        </w:rPr>
        <w:t xml:space="preserve"> </w:t>
      </w:r>
      <w:r w:rsidRPr="000977F7">
        <w:rPr>
          <w:color w:val="auto"/>
          <w:sz w:val="20"/>
          <w:szCs w:val="20"/>
        </w:rPr>
        <w:t>КІНЕМАТИЧНА)</w:t>
      </w:r>
      <w:r w:rsidRPr="000977F7">
        <w:rPr>
          <w:color w:val="auto"/>
          <w:spacing w:val="-1"/>
          <w:sz w:val="20"/>
          <w:szCs w:val="20"/>
        </w:rPr>
        <w:t xml:space="preserve"> </w:t>
      </w:r>
      <w:r w:rsidRPr="000977F7">
        <w:rPr>
          <w:color w:val="auto"/>
          <w:sz w:val="20"/>
          <w:szCs w:val="20"/>
        </w:rPr>
        <w:t>СХЕМА</w:t>
      </w:r>
      <w:r w:rsidRPr="000977F7">
        <w:rPr>
          <w:color w:val="auto"/>
          <w:spacing w:val="3"/>
          <w:sz w:val="20"/>
          <w:szCs w:val="20"/>
        </w:rPr>
        <w:t xml:space="preserve"> </w:t>
      </w:r>
      <w:r w:rsidRPr="000977F7">
        <w:rPr>
          <w:color w:val="auto"/>
          <w:sz w:val="20"/>
          <w:szCs w:val="20"/>
        </w:rPr>
        <w:t>–</w:t>
      </w:r>
    </w:p>
    <w:p w14:paraId="4CA7444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Схема, яка являє собою</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умовні графічні зображення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 позначення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електричних (гідравлічних, пневматичних, газових, механічних) складових частин виробу 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зв’язків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між</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ними</w:t>
      </w:r>
    </w:p>
    <w:p w14:paraId="47F3A4B9"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3321</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 2003</w:t>
      </w:r>
    </w:p>
    <w:p w14:paraId="69031EE0"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uk-UA"/>
        </w:rPr>
      </w:pPr>
      <w:r w:rsidRPr="004D2D14">
        <w:rPr>
          <w:rFonts w:asciiTheme="majorHAnsi" w:hAnsiTheme="majorHAnsi"/>
          <w:b/>
          <w:sz w:val="20"/>
          <w:szCs w:val="20"/>
          <w:lang w:val="uk-UA"/>
        </w:rPr>
        <w:t>ЕЛЕКТРИЧНИЙ СИГНАЛ</w:t>
      </w:r>
    </w:p>
    <w:p w14:paraId="37C47721"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0977F7">
        <w:rPr>
          <w:rFonts w:asciiTheme="majorHAnsi" w:hAnsiTheme="majorHAnsi"/>
          <w:sz w:val="20"/>
          <w:szCs w:val="20"/>
        </w:rPr>
        <w:t>ELECTRIC</w:t>
      </w:r>
      <w:r w:rsidRPr="004D2D14">
        <w:rPr>
          <w:rFonts w:asciiTheme="majorHAnsi" w:hAnsiTheme="majorHAnsi"/>
          <w:spacing w:val="-2"/>
          <w:sz w:val="20"/>
          <w:szCs w:val="20"/>
          <w:lang w:val="uk-UA"/>
        </w:rPr>
        <w:t xml:space="preserve"> </w:t>
      </w:r>
      <w:r w:rsidRPr="000977F7">
        <w:rPr>
          <w:rFonts w:asciiTheme="majorHAnsi" w:hAnsiTheme="majorHAnsi"/>
          <w:sz w:val="20"/>
          <w:szCs w:val="20"/>
        </w:rPr>
        <w:t>SIGNAL</w:t>
      </w:r>
      <w:r w:rsidRPr="004D2D14">
        <w:rPr>
          <w:rFonts w:asciiTheme="majorHAnsi" w:hAnsiTheme="majorHAnsi"/>
          <w:sz w:val="20"/>
          <w:szCs w:val="20"/>
          <w:lang w:val="uk-UA"/>
        </w:rPr>
        <w:t>-</w:t>
      </w:r>
    </w:p>
    <w:p w14:paraId="071AFB3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Сигнал у вигляді електричного діяння, дієвою величиною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якого є сила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струму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напруга</w:t>
      </w:r>
    </w:p>
    <w:p w14:paraId="312438B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3956 - 2000</w:t>
      </w:r>
    </w:p>
    <w:p w14:paraId="55A1504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51" w:name="_Hlk101695087"/>
      <w:r w:rsidRPr="000977F7">
        <w:rPr>
          <w:color w:val="auto"/>
          <w:sz w:val="20"/>
          <w:szCs w:val="20"/>
        </w:rPr>
        <w:t>ЕЛЕКТРИЧНІ</w:t>
      </w:r>
      <w:r w:rsidRPr="000977F7">
        <w:rPr>
          <w:color w:val="auto"/>
          <w:spacing w:val="-5"/>
          <w:sz w:val="20"/>
          <w:szCs w:val="20"/>
        </w:rPr>
        <w:t xml:space="preserve"> </w:t>
      </w:r>
      <w:r w:rsidRPr="000977F7">
        <w:rPr>
          <w:color w:val="auto"/>
          <w:sz w:val="20"/>
          <w:szCs w:val="20"/>
        </w:rPr>
        <w:t>ВИПРОБУВАННЯ</w:t>
      </w:r>
      <w:r w:rsidRPr="000977F7">
        <w:rPr>
          <w:color w:val="auto"/>
          <w:spacing w:val="-1"/>
          <w:sz w:val="20"/>
          <w:szCs w:val="20"/>
        </w:rPr>
        <w:t xml:space="preserve"> </w:t>
      </w:r>
      <w:r w:rsidRPr="000977F7">
        <w:rPr>
          <w:color w:val="auto"/>
          <w:sz w:val="20"/>
          <w:szCs w:val="20"/>
        </w:rPr>
        <w:t>–</w:t>
      </w:r>
    </w:p>
    <w:p w14:paraId="28916E5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ELECTRIC</w:t>
      </w:r>
      <w:r w:rsidRPr="004D2D14">
        <w:rPr>
          <w:rFonts w:asciiTheme="majorHAnsi" w:hAnsiTheme="majorHAnsi"/>
          <w:spacing w:val="-3"/>
          <w:sz w:val="20"/>
          <w:szCs w:val="20"/>
          <w:lang w:val="uk-UA"/>
        </w:rPr>
        <w:t xml:space="preserve"> </w:t>
      </w:r>
      <w:r w:rsidRPr="000977F7">
        <w:rPr>
          <w:rFonts w:asciiTheme="majorHAnsi" w:hAnsiTheme="majorHAnsi"/>
          <w:sz w:val="20"/>
          <w:szCs w:val="20"/>
        </w:rPr>
        <w:t>TEST</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p>
    <w:bookmarkEnd w:id="51"/>
    <w:p w14:paraId="6E41C79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на дію електричної напруги, струму чи</w:t>
      </w:r>
      <w:r w:rsidRPr="000977F7">
        <w:rPr>
          <w:rFonts w:asciiTheme="majorHAnsi" w:hAnsiTheme="majorHAnsi"/>
          <w:spacing w:val="1"/>
          <w:sz w:val="20"/>
          <w:szCs w:val="20"/>
        </w:rPr>
        <w:t xml:space="preserve"> </w:t>
      </w:r>
      <w:r w:rsidRPr="000977F7">
        <w:rPr>
          <w:rFonts w:asciiTheme="majorHAnsi" w:hAnsiTheme="majorHAnsi"/>
          <w:sz w:val="20"/>
          <w:szCs w:val="20"/>
        </w:rPr>
        <w:t>поля</w:t>
      </w:r>
    </w:p>
    <w:p w14:paraId="6C9274C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9969B15"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b/>
          <w:bCs/>
          <w:sz w:val="20"/>
          <w:szCs w:val="20"/>
          <w:lang w:eastAsia="ru-RU"/>
        </w:rPr>
      </w:pPr>
      <w:r w:rsidRPr="000977F7">
        <w:rPr>
          <w:rFonts w:asciiTheme="majorHAnsi" w:hAnsiTheme="majorHAnsi"/>
          <w:b/>
          <w:bCs/>
          <w:sz w:val="20"/>
          <w:szCs w:val="20"/>
          <w:lang w:eastAsia="ru-RU"/>
        </w:rPr>
        <w:t>ЕЛЕКТРОМАГНІТНА ОБСТАНОВКА –</w:t>
      </w:r>
    </w:p>
    <w:p w14:paraId="31C855A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Усі електромагнітні явища, що спостерігаються у певному місці</w:t>
      </w:r>
    </w:p>
    <w:p w14:paraId="6D8B16D9"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i/>
          <w:iCs/>
          <w:sz w:val="20"/>
          <w:szCs w:val="20"/>
          <w:lang w:eastAsia="ru-RU"/>
        </w:rPr>
      </w:pPr>
      <w:r w:rsidRPr="000977F7">
        <w:rPr>
          <w:rFonts w:asciiTheme="majorHAnsi" w:hAnsiTheme="majorHAnsi"/>
          <w:i/>
          <w:iCs/>
          <w:sz w:val="20"/>
          <w:szCs w:val="20"/>
        </w:rPr>
        <w:t>Технічний регламент з електромагнітної сумісності обладнання</w:t>
      </w:r>
    </w:p>
    <w:p w14:paraId="0BF8769A"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b/>
          <w:bCs/>
          <w:sz w:val="20"/>
          <w:szCs w:val="20"/>
          <w:lang w:eastAsia="ru-RU"/>
        </w:rPr>
        <w:t>ЕЛЕКТРОМАГНІТНА СУМІСНІСТЬ</w:t>
      </w:r>
      <w:r w:rsidRPr="000977F7">
        <w:rPr>
          <w:rFonts w:asciiTheme="majorHAnsi" w:hAnsiTheme="majorHAnsi"/>
          <w:sz w:val="20"/>
          <w:szCs w:val="20"/>
          <w:lang w:eastAsia="ru-RU"/>
        </w:rPr>
        <w:t xml:space="preserve"> -</w:t>
      </w:r>
    </w:p>
    <w:p w14:paraId="55EA977C"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Здатність обладнання задовільно функціонувати у власній електромагнітній обстановці без створення неприпустимих електромагнітних завад іншому обладнанню в такій обстановці</w:t>
      </w:r>
    </w:p>
    <w:p w14:paraId="23C249F6" w14:textId="77777777" w:rsidR="0097612F" w:rsidRPr="000977F7" w:rsidRDefault="0097612F" w:rsidP="000977F7">
      <w:pPr>
        <w:pStyle w:val="8"/>
        <w:tabs>
          <w:tab w:val="left" w:pos="284"/>
        </w:tabs>
        <w:spacing w:before="0" w:line="240" w:lineRule="auto"/>
        <w:ind w:left="170"/>
        <w:mirrorIndents/>
        <w:jc w:val="both"/>
        <w:rPr>
          <w:rFonts w:asciiTheme="majorHAnsi" w:hAnsiTheme="majorHAnsi"/>
          <w:i w:val="0"/>
          <w:iCs w:val="0"/>
        </w:rPr>
      </w:pPr>
      <w:r w:rsidRPr="000977F7">
        <w:rPr>
          <w:rFonts w:asciiTheme="majorHAnsi" w:hAnsiTheme="majorHAnsi"/>
          <w:i w:val="0"/>
          <w:iCs w:val="0"/>
        </w:rPr>
        <w:t>ЕЛЕКТРОМАГНІТНІ</w:t>
      </w:r>
      <w:r w:rsidRPr="000977F7">
        <w:rPr>
          <w:rFonts w:asciiTheme="majorHAnsi" w:hAnsiTheme="majorHAnsi"/>
          <w:i w:val="0"/>
          <w:iCs w:val="0"/>
          <w:spacing w:val="-6"/>
        </w:rPr>
        <w:t xml:space="preserve"> </w:t>
      </w:r>
      <w:r w:rsidRPr="000977F7">
        <w:rPr>
          <w:rFonts w:asciiTheme="majorHAnsi" w:hAnsiTheme="majorHAnsi"/>
          <w:i w:val="0"/>
          <w:iCs w:val="0"/>
        </w:rPr>
        <w:t>ВИПРОБУВАННЯ</w:t>
      </w:r>
      <w:r w:rsidRPr="000977F7">
        <w:rPr>
          <w:rFonts w:asciiTheme="majorHAnsi" w:hAnsiTheme="majorHAnsi"/>
          <w:i w:val="0"/>
          <w:iCs w:val="0"/>
          <w:spacing w:val="-3"/>
        </w:rPr>
        <w:t xml:space="preserve"> </w:t>
      </w:r>
      <w:r w:rsidRPr="000977F7">
        <w:rPr>
          <w:rFonts w:asciiTheme="majorHAnsi" w:hAnsiTheme="majorHAnsi"/>
          <w:i w:val="0"/>
          <w:iCs w:val="0"/>
        </w:rPr>
        <w:t>–</w:t>
      </w:r>
    </w:p>
    <w:p w14:paraId="6F9C3B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ELECTROMAGNETIC</w:t>
      </w:r>
      <w:r w:rsidRPr="000977F7">
        <w:rPr>
          <w:rFonts w:asciiTheme="majorHAnsi" w:hAnsiTheme="majorHAnsi"/>
          <w:spacing w:val="-4"/>
          <w:sz w:val="20"/>
          <w:szCs w:val="20"/>
        </w:rPr>
        <w:t xml:space="preserve"> </w:t>
      </w:r>
      <w:r w:rsidRPr="000977F7">
        <w:rPr>
          <w:rFonts w:asciiTheme="majorHAnsi" w:hAnsiTheme="majorHAnsi"/>
          <w:sz w:val="20"/>
          <w:szCs w:val="20"/>
        </w:rPr>
        <w:t>TEST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79090F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4"/>
          <w:sz w:val="20"/>
          <w:szCs w:val="20"/>
        </w:rPr>
        <w:t xml:space="preserve"> </w:t>
      </w:r>
      <w:r w:rsidRPr="000977F7">
        <w:rPr>
          <w:rFonts w:asciiTheme="majorHAnsi" w:hAnsiTheme="majorHAnsi"/>
          <w:sz w:val="20"/>
          <w:szCs w:val="20"/>
        </w:rPr>
        <w:t>дію</w:t>
      </w:r>
      <w:r w:rsidRPr="000977F7">
        <w:rPr>
          <w:rFonts w:asciiTheme="majorHAnsi" w:hAnsiTheme="majorHAnsi"/>
          <w:spacing w:val="-3"/>
          <w:sz w:val="20"/>
          <w:szCs w:val="20"/>
        </w:rPr>
        <w:t xml:space="preserve"> </w:t>
      </w:r>
      <w:r w:rsidRPr="000977F7">
        <w:rPr>
          <w:rFonts w:asciiTheme="majorHAnsi" w:hAnsiTheme="majorHAnsi"/>
          <w:sz w:val="20"/>
          <w:szCs w:val="20"/>
        </w:rPr>
        <w:t>електромагнітних</w:t>
      </w:r>
      <w:r w:rsidRPr="000977F7">
        <w:rPr>
          <w:rFonts w:asciiTheme="majorHAnsi" w:hAnsiTheme="majorHAnsi"/>
          <w:spacing w:val="-5"/>
          <w:sz w:val="20"/>
          <w:szCs w:val="20"/>
        </w:rPr>
        <w:t xml:space="preserve"> </w:t>
      </w:r>
      <w:r w:rsidRPr="000977F7">
        <w:rPr>
          <w:rFonts w:asciiTheme="majorHAnsi" w:hAnsiTheme="majorHAnsi"/>
          <w:sz w:val="20"/>
          <w:szCs w:val="20"/>
        </w:rPr>
        <w:t>полів</w:t>
      </w:r>
    </w:p>
    <w:p w14:paraId="6017556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A338D2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ЕЛЕКТРОМОНТАЖНЕ</w:t>
      </w:r>
      <w:r w:rsidRPr="000977F7">
        <w:rPr>
          <w:color w:val="auto"/>
          <w:spacing w:val="-9"/>
          <w:sz w:val="20"/>
          <w:szCs w:val="20"/>
        </w:rPr>
        <w:t xml:space="preserve"> </w:t>
      </w:r>
      <w:r w:rsidRPr="000977F7">
        <w:rPr>
          <w:color w:val="auto"/>
          <w:sz w:val="20"/>
          <w:szCs w:val="20"/>
        </w:rPr>
        <w:t>КРЕСЛЕННЯ–</w:t>
      </w:r>
    </w:p>
    <w:p w14:paraId="26BA26D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Креслення, яке містить дані, необхідні для 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електричного монтажу</w:t>
      </w:r>
      <w:r w:rsidRPr="000977F7">
        <w:rPr>
          <w:rFonts w:asciiTheme="majorHAnsi" w:hAnsiTheme="majorHAnsi"/>
          <w:spacing w:val="-4"/>
          <w:sz w:val="20"/>
          <w:szCs w:val="20"/>
        </w:rPr>
        <w:t xml:space="preserve"> </w:t>
      </w:r>
      <w:r w:rsidRPr="000977F7">
        <w:rPr>
          <w:rFonts w:asciiTheme="majorHAnsi" w:hAnsiTheme="majorHAnsi"/>
          <w:sz w:val="20"/>
          <w:szCs w:val="20"/>
        </w:rPr>
        <w:t>виробу</w:t>
      </w:r>
    </w:p>
    <w:p w14:paraId="4E71100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3321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2003</w:t>
      </w:r>
    </w:p>
    <w:p w14:paraId="6281858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ЕЛЕКТРОФІЗИЧНЕ</w:t>
      </w:r>
      <w:r w:rsidRPr="000977F7">
        <w:rPr>
          <w:color w:val="auto"/>
          <w:spacing w:val="-6"/>
          <w:sz w:val="20"/>
          <w:szCs w:val="20"/>
        </w:rPr>
        <w:t xml:space="preserve"> </w:t>
      </w:r>
      <w:r w:rsidRPr="000977F7">
        <w:rPr>
          <w:color w:val="auto"/>
          <w:sz w:val="20"/>
          <w:szCs w:val="20"/>
        </w:rPr>
        <w:t>ОБРОБЛЕННЯ</w:t>
      </w:r>
      <w:r w:rsidRPr="000977F7">
        <w:rPr>
          <w:color w:val="auto"/>
          <w:spacing w:val="-1"/>
          <w:sz w:val="20"/>
          <w:szCs w:val="20"/>
        </w:rPr>
        <w:t xml:space="preserve"> </w:t>
      </w:r>
      <w:r w:rsidRPr="000977F7">
        <w:rPr>
          <w:color w:val="auto"/>
          <w:sz w:val="20"/>
          <w:szCs w:val="20"/>
        </w:rPr>
        <w:t>–</w:t>
      </w:r>
    </w:p>
    <w:p w14:paraId="1DED99B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ELECTROPHYSICAL</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MACHINING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3F2DCD8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Оброблення</w:t>
      </w:r>
      <w:r w:rsidRPr="004D2D14">
        <w:rPr>
          <w:rFonts w:asciiTheme="majorHAnsi" w:hAnsiTheme="majorHAnsi"/>
          <w:sz w:val="20"/>
          <w:szCs w:val="20"/>
          <w:lang w:val="en-US"/>
        </w:rPr>
        <w:t xml:space="preserve">, </w:t>
      </w:r>
      <w:r w:rsidRPr="000977F7">
        <w:rPr>
          <w:rFonts w:asciiTheme="majorHAnsi" w:hAnsiTheme="majorHAnsi"/>
          <w:sz w:val="20"/>
          <w:szCs w:val="20"/>
        </w:rPr>
        <w:t>яке</w:t>
      </w:r>
      <w:r w:rsidRPr="004D2D14">
        <w:rPr>
          <w:rFonts w:asciiTheme="majorHAnsi" w:hAnsiTheme="majorHAnsi"/>
          <w:sz w:val="20"/>
          <w:szCs w:val="20"/>
          <w:lang w:val="en-US"/>
        </w:rPr>
        <w:t xml:space="preserve"> </w:t>
      </w:r>
      <w:r w:rsidRPr="000977F7">
        <w:rPr>
          <w:rFonts w:asciiTheme="majorHAnsi" w:hAnsiTheme="majorHAnsi"/>
          <w:sz w:val="20"/>
          <w:szCs w:val="20"/>
        </w:rPr>
        <w:t>полягає</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зміні</w:t>
      </w:r>
      <w:r w:rsidRPr="004D2D14">
        <w:rPr>
          <w:rFonts w:asciiTheme="majorHAnsi" w:hAnsiTheme="majorHAnsi"/>
          <w:sz w:val="20"/>
          <w:szCs w:val="20"/>
          <w:lang w:val="en-US"/>
        </w:rPr>
        <w:t xml:space="preserve"> </w:t>
      </w:r>
      <w:r w:rsidRPr="000977F7">
        <w:rPr>
          <w:rFonts w:asciiTheme="majorHAnsi" w:hAnsiTheme="majorHAnsi"/>
          <w:sz w:val="20"/>
          <w:szCs w:val="20"/>
        </w:rPr>
        <w:t>форми</w:t>
      </w:r>
      <w:r w:rsidRPr="004D2D14">
        <w:rPr>
          <w:rFonts w:asciiTheme="majorHAnsi" w:hAnsiTheme="majorHAnsi"/>
          <w:sz w:val="20"/>
          <w:szCs w:val="20"/>
          <w:lang w:val="en-US"/>
        </w:rPr>
        <w:t xml:space="preserve">, </w:t>
      </w:r>
      <w:r w:rsidRPr="000977F7">
        <w:rPr>
          <w:rFonts w:asciiTheme="majorHAnsi" w:hAnsiTheme="majorHAnsi"/>
          <w:sz w:val="20"/>
          <w:szCs w:val="20"/>
        </w:rPr>
        <w:t>розмірів</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шорсткості</w:t>
      </w:r>
      <w:r w:rsidRPr="004D2D14">
        <w:rPr>
          <w:rFonts w:asciiTheme="majorHAnsi" w:hAnsiTheme="majorHAnsi"/>
          <w:sz w:val="20"/>
          <w:szCs w:val="20"/>
          <w:lang w:val="en-US"/>
        </w:rPr>
        <w:t xml:space="preserve"> </w:t>
      </w:r>
      <w:r w:rsidRPr="000977F7">
        <w:rPr>
          <w:rFonts w:asciiTheme="majorHAnsi" w:hAnsiTheme="majorHAnsi"/>
          <w:sz w:val="20"/>
          <w:szCs w:val="20"/>
        </w:rPr>
        <w:t>поверхні</w:t>
      </w:r>
      <w:r w:rsidRPr="004D2D14">
        <w:rPr>
          <w:rFonts w:asciiTheme="majorHAnsi" w:hAnsiTheme="majorHAnsi"/>
          <w:sz w:val="20"/>
          <w:szCs w:val="20"/>
          <w:lang w:val="en-US"/>
        </w:rPr>
        <w:t xml:space="preserve"> </w:t>
      </w:r>
      <w:r w:rsidRPr="000977F7">
        <w:rPr>
          <w:rFonts w:asciiTheme="majorHAnsi" w:hAnsiTheme="majorHAnsi"/>
          <w:sz w:val="20"/>
          <w:szCs w:val="20"/>
        </w:rPr>
        <w:t>заготовки</w:t>
      </w:r>
      <w:r w:rsidRPr="004D2D14">
        <w:rPr>
          <w:rFonts w:asciiTheme="majorHAnsi" w:hAnsiTheme="majorHAnsi"/>
          <w:sz w:val="20"/>
          <w:szCs w:val="20"/>
          <w:lang w:val="en-US"/>
        </w:rPr>
        <w:t xml:space="preserve"> </w:t>
      </w:r>
      <w:r w:rsidRPr="000977F7">
        <w:rPr>
          <w:rFonts w:asciiTheme="majorHAnsi" w:hAnsiTheme="majorHAnsi"/>
          <w:sz w:val="20"/>
          <w:szCs w:val="20"/>
        </w:rPr>
        <w:t>із</w:t>
      </w:r>
      <w:r w:rsidRPr="004D2D14">
        <w:rPr>
          <w:rFonts w:asciiTheme="majorHAnsi" w:hAnsiTheme="majorHAnsi"/>
          <w:sz w:val="20"/>
          <w:szCs w:val="20"/>
          <w:lang w:val="en-US"/>
        </w:rPr>
        <w:t xml:space="preserve"> </w:t>
      </w:r>
      <w:r w:rsidRPr="000977F7">
        <w:rPr>
          <w:rFonts w:asciiTheme="majorHAnsi" w:hAnsiTheme="majorHAnsi"/>
          <w:sz w:val="20"/>
          <w:szCs w:val="20"/>
        </w:rPr>
        <w:t>застосуванням</w:t>
      </w:r>
      <w:r w:rsidRPr="004D2D14">
        <w:rPr>
          <w:rFonts w:asciiTheme="majorHAnsi" w:hAnsiTheme="majorHAnsi"/>
          <w:spacing w:val="1"/>
          <w:sz w:val="20"/>
          <w:szCs w:val="20"/>
          <w:lang w:val="en-US"/>
        </w:rPr>
        <w:t xml:space="preserve"> </w:t>
      </w:r>
      <w:r w:rsidRPr="000977F7">
        <w:rPr>
          <w:rFonts w:asciiTheme="majorHAnsi" w:hAnsiTheme="majorHAnsi"/>
          <w:sz w:val="20"/>
          <w:szCs w:val="20"/>
        </w:rPr>
        <w:t>електричних</w:t>
      </w:r>
      <w:r w:rsidRPr="004D2D14">
        <w:rPr>
          <w:rFonts w:asciiTheme="majorHAnsi" w:hAnsiTheme="majorHAnsi"/>
          <w:spacing w:val="1"/>
          <w:sz w:val="20"/>
          <w:szCs w:val="20"/>
          <w:lang w:val="en-US"/>
        </w:rPr>
        <w:t xml:space="preserve"> </w:t>
      </w:r>
      <w:r w:rsidRPr="000977F7">
        <w:rPr>
          <w:rFonts w:asciiTheme="majorHAnsi" w:hAnsiTheme="majorHAnsi"/>
          <w:sz w:val="20"/>
          <w:szCs w:val="20"/>
        </w:rPr>
        <w:t>розрядів</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магнітострикційного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ефекту</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електронного</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оптичного</w:t>
      </w:r>
      <w:r w:rsidRPr="004D2D14">
        <w:rPr>
          <w:rFonts w:asciiTheme="majorHAnsi" w:hAnsiTheme="majorHAnsi"/>
          <w:sz w:val="20"/>
          <w:szCs w:val="20"/>
          <w:lang w:val="en-US"/>
        </w:rPr>
        <w:t xml:space="preserve"> </w:t>
      </w:r>
      <w:r w:rsidRPr="000977F7">
        <w:rPr>
          <w:rFonts w:asciiTheme="majorHAnsi" w:hAnsiTheme="majorHAnsi"/>
          <w:sz w:val="20"/>
          <w:szCs w:val="20"/>
        </w:rPr>
        <w:t>опромінювання</w:t>
      </w:r>
      <w:r w:rsidRPr="004D2D14">
        <w:rPr>
          <w:rFonts w:asciiTheme="majorHAnsi" w:hAnsiTheme="majorHAnsi"/>
          <w:sz w:val="20"/>
          <w:szCs w:val="20"/>
          <w:lang w:val="en-US"/>
        </w:rPr>
        <w:t xml:space="preserve">, </w:t>
      </w:r>
      <w:r w:rsidRPr="000977F7">
        <w:rPr>
          <w:rFonts w:asciiTheme="majorHAnsi" w:hAnsiTheme="majorHAnsi"/>
          <w:sz w:val="20"/>
          <w:szCs w:val="20"/>
        </w:rPr>
        <w:t>плазмового</w:t>
      </w:r>
      <w:r w:rsidRPr="004D2D14">
        <w:rPr>
          <w:rFonts w:asciiTheme="majorHAnsi" w:hAnsiTheme="majorHAnsi"/>
          <w:sz w:val="20"/>
          <w:szCs w:val="20"/>
          <w:lang w:val="en-US"/>
        </w:rPr>
        <w:t xml:space="preserve"> </w:t>
      </w:r>
      <w:r w:rsidRPr="000977F7">
        <w:rPr>
          <w:rFonts w:asciiTheme="majorHAnsi" w:hAnsiTheme="majorHAnsi"/>
          <w:sz w:val="20"/>
          <w:szCs w:val="20"/>
        </w:rPr>
        <w:t>струменя</w:t>
      </w:r>
    </w:p>
    <w:p w14:paraId="5B319C2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2391:2010</w:t>
      </w:r>
    </w:p>
    <w:p w14:paraId="1940C9F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ЕЛЕКТРОХІМІЧНА</w:t>
      </w:r>
      <w:r w:rsidRPr="000977F7">
        <w:rPr>
          <w:color w:val="auto"/>
          <w:spacing w:val="-4"/>
          <w:sz w:val="20"/>
          <w:szCs w:val="20"/>
        </w:rPr>
        <w:t xml:space="preserve"> </w:t>
      </w:r>
      <w:r w:rsidRPr="000977F7">
        <w:rPr>
          <w:color w:val="auto"/>
          <w:sz w:val="20"/>
          <w:szCs w:val="20"/>
        </w:rPr>
        <w:t>КОРОЗІЯ</w:t>
      </w:r>
      <w:r w:rsidRPr="000977F7">
        <w:rPr>
          <w:color w:val="auto"/>
          <w:spacing w:val="-3"/>
          <w:sz w:val="20"/>
          <w:szCs w:val="20"/>
        </w:rPr>
        <w:t xml:space="preserve"> </w:t>
      </w:r>
      <w:r w:rsidRPr="000977F7">
        <w:rPr>
          <w:color w:val="auto"/>
          <w:sz w:val="20"/>
          <w:szCs w:val="20"/>
        </w:rPr>
        <w:t>–</w:t>
      </w:r>
    </w:p>
    <w:p w14:paraId="65916A0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ELECTROCHEMICAL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CORROSION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169DE2E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Взаємодія</w:t>
      </w:r>
      <w:r w:rsidRPr="004D2D14">
        <w:rPr>
          <w:rFonts w:asciiTheme="majorHAnsi" w:hAnsiTheme="majorHAnsi"/>
          <w:sz w:val="20"/>
          <w:szCs w:val="20"/>
          <w:lang w:val="en-US"/>
        </w:rPr>
        <w:t xml:space="preserve"> </w:t>
      </w:r>
      <w:r w:rsidRPr="000977F7">
        <w:rPr>
          <w:rFonts w:asciiTheme="majorHAnsi" w:hAnsiTheme="majorHAnsi"/>
          <w:sz w:val="20"/>
          <w:szCs w:val="20"/>
        </w:rPr>
        <w:t>металу</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корозивним</w:t>
      </w:r>
      <w:r w:rsidRPr="004D2D14">
        <w:rPr>
          <w:rFonts w:asciiTheme="majorHAnsi" w:hAnsiTheme="majorHAnsi"/>
          <w:sz w:val="20"/>
          <w:szCs w:val="20"/>
          <w:lang w:val="en-US"/>
        </w:rPr>
        <w:t xml:space="preserve"> </w:t>
      </w:r>
      <w:r w:rsidRPr="000977F7">
        <w:rPr>
          <w:rFonts w:asciiTheme="majorHAnsi" w:hAnsiTheme="majorHAnsi"/>
          <w:sz w:val="20"/>
          <w:szCs w:val="20"/>
        </w:rPr>
        <w:t>середовищем</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r w:rsidRPr="000977F7">
        <w:rPr>
          <w:rFonts w:asciiTheme="majorHAnsi" w:hAnsiTheme="majorHAnsi"/>
          <w:sz w:val="20"/>
          <w:szCs w:val="20"/>
        </w:rPr>
        <w:t>електролітом</w:t>
      </w:r>
      <w:r w:rsidRPr="004D2D14">
        <w:rPr>
          <w:rFonts w:asciiTheme="majorHAnsi" w:hAnsiTheme="majorHAnsi"/>
          <w:sz w:val="20"/>
          <w:szCs w:val="20"/>
          <w:lang w:val="en-US"/>
        </w:rPr>
        <w:t xml:space="preserve">, </w:t>
      </w:r>
      <w:r w:rsidRPr="000977F7">
        <w:rPr>
          <w:rFonts w:asciiTheme="majorHAnsi" w:hAnsiTheme="majorHAnsi"/>
          <w:sz w:val="20"/>
          <w:szCs w:val="20"/>
        </w:rPr>
        <w:t>вологим</w:t>
      </w:r>
      <w:r w:rsidRPr="004D2D14">
        <w:rPr>
          <w:rFonts w:asciiTheme="majorHAnsi" w:hAnsiTheme="majorHAnsi"/>
          <w:sz w:val="20"/>
          <w:szCs w:val="20"/>
          <w:lang w:val="en-US"/>
        </w:rPr>
        <w:t xml:space="preserve"> </w:t>
      </w:r>
      <w:r w:rsidRPr="000977F7">
        <w:rPr>
          <w:rFonts w:asciiTheme="majorHAnsi" w:hAnsiTheme="majorHAnsi"/>
          <w:sz w:val="20"/>
          <w:szCs w:val="20"/>
        </w:rPr>
        <w:t>газом</w:t>
      </w:r>
      <w:r w:rsidRPr="004D2D14">
        <w:rPr>
          <w:rFonts w:asciiTheme="majorHAnsi" w:hAnsiTheme="majorHAnsi"/>
          <w:sz w:val="20"/>
          <w:szCs w:val="20"/>
          <w:lang w:val="en-US"/>
        </w:rPr>
        <w:t xml:space="preserve">, </w:t>
      </w:r>
      <w:r w:rsidRPr="000977F7">
        <w:rPr>
          <w:rFonts w:asciiTheme="majorHAnsi" w:hAnsiTheme="majorHAnsi"/>
          <w:sz w:val="20"/>
          <w:szCs w:val="20"/>
        </w:rPr>
        <w:t>розтопленою</w:t>
      </w:r>
      <w:r w:rsidRPr="004D2D14">
        <w:rPr>
          <w:rFonts w:asciiTheme="majorHAnsi" w:hAnsiTheme="majorHAnsi"/>
          <w:sz w:val="20"/>
          <w:szCs w:val="20"/>
          <w:lang w:val="en-US"/>
        </w:rPr>
        <w:t xml:space="preserve"> </w:t>
      </w:r>
      <w:r w:rsidRPr="000977F7">
        <w:rPr>
          <w:rFonts w:asciiTheme="majorHAnsi" w:hAnsiTheme="majorHAnsi"/>
          <w:sz w:val="20"/>
          <w:szCs w:val="20"/>
        </w:rPr>
        <w:t>сіллю</w:t>
      </w:r>
      <w:r w:rsidRPr="004D2D14">
        <w:rPr>
          <w:rFonts w:asciiTheme="majorHAnsi" w:hAnsiTheme="majorHAnsi"/>
          <w:sz w:val="20"/>
          <w:szCs w:val="20"/>
          <w:lang w:val="en-US"/>
        </w:rPr>
        <w:t xml:space="preserve">, </w:t>
      </w:r>
      <w:r w:rsidRPr="000977F7">
        <w:rPr>
          <w:rFonts w:asciiTheme="majorHAnsi" w:hAnsiTheme="majorHAnsi"/>
          <w:sz w:val="20"/>
          <w:szCs w:val="20"/>
        </w:rPr>
        <w:t>лугом</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під</w:t>
      </w:r>
      <w:r w:rsidRPr="004D2D14">
        <w:rPr>
          <w:rFonts w:asciiTheme="majorHAnsi" w:hAnsiTheme="majorHAnsi"/>
          <w:sz w:val="20"/>
          <w:szCs w:val="20"/>
          <w:lang w:val="en-US"/>
        </w:rPr>
        <w:t xml:space="preserve"> </w:t>
      </w:r>
      <w:r w:rsidRPr="000977F7">
        <w:rPr>
          <w:rFonts w:asciiTheme="majorHAnsi" w:hAnsiTheme="majorHAnsi"/>
          <w:sz w:val="20"/>
          <w:szCs w:val="20"/>
        </w:rPr>
        <w:t>час</w:t>
      </w:r>
      <w:r w:rsidRPr="004D2D14">
        <w:rPr>
          <w:rFonts w:asciiTheme="majorHAnsi" w:hAnsiTheme="majorHAnsi"/>
          <w:sz w:val="20"/>
          <w:szCs w:val="20"/>
          <w:lang w:val="en-US"/>
        </w:rPr>
        <w:t xml:space="preserve"> </w:t>
      </w:r>
      <w:r w:rsidRPr="000977F7">
        <w:rPr>
          <w:rFonts w:asciiTheme="majorHAnsi" w:hAnsiTheme="majorHAnsi"/>
          <w:sz w:val="20"/>
          <w:szCs w:val="20"/>
        </w:rPr>
        <w:t>якої</w:t>
      </w:r>
      <w:r w:rsidRPr="004D2D14">
        <w:rPr>
          <w:rFonts w:asciiTheme="majorHAnsi" w:hAnsiTheme="majorHAnsi"/>
          <w:sz w:val="20"/>
          <w:szCs w:val="20"/>
          <w:lang w:val="en-US"/>
        </w:rPr>
        <w:t xml:space="preserve"> </w:t>
      </w:r>
      <w:r w:rsidRPr="000977F7">
        <w:rPr>
          <w:rFonts w:asciiTheme="majorHAnsi" w:hAnsiTheme="majorHAnsi"/>
          <w:sz w:val="20"/>
          <w:szCs w:val="20"/>
        </w:rPr>
        <w:t>іонізування</w:t>
      </w:r>
      <w:r w:rsidRPr="004D2D14">
        <w:rPr>
          <w:rFonts w:asciiTheme="majorHAnsi" w:hAnsiTheme="majorHAnsi"/>
          <w:sz w:val="20"/>
          <w:szCs w:val="20"/>
          <w:lang w:val="en-US"/>
        </w:rPr>
        <w:t xml:space="preserve"> </w:t>
      </w:r>
      <w:r w:rsidRPr="000977F7">
        <w:rPr>
          <w:rFonts w:asciiTheme="majorHAnsi" w:hAnsiTheme="majorHAnsi"/>
          <w:sz w:val="20"/>
          <w:szCs w:val="20"/>
        </w:rPr>
        <w:t>атомів</w:t>
      </w:r>
      <w:r w:rsidRPr="004D2D14">
        <w:rPr>
          <w:rFonts w:asciiTheme="majorHAnsi" w:hAnsiTheme="majorHAnsi"/>
          <w:sz w:val="20"/>
          <w:szCs w:val="20"/>
          <w:lang w:val="en-US"/>
        </w:rPr>
        <w:t xml:space="preserve"> </w:t>
      </w:r>
      <w:r w:rsidRPr="000977F7">
        <w:rPr>
          <w:rFonts w:asciiTheme="majorHAnsi" w:hAnsiTheme="majorHAnsi"/>
          <w:sz w:val="20"/>
          <w:szCs w:val="20"/>
        </w:rPr>
        <w:t>металу</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відновлювання</w:t>
      </w:r>
      <w:r w:rsidRPr="004D2D14">
        <w:rPr>
          <w:rFonts w:asciiTheme="majorHAnsi" w:hAnsiTheme="majorHAnsi"/>
          <w:sz w:val="20"/>
          <w:szCs w:val="20"/>
          <w:lang w:val="en-US"/>
        </w:rPr>
        <w:t xml:space="preserve"> </w:t>
      </w:r>
      <w:r w:rsidRPr="000977F7">
        <w:rPr>
          <w:rFonts w:asciiTheme="majorHAnsi" w:hAnsiTheme="majorHAnsi"/>
          <w:sz w:val="20"/>
          <w:szCs w:val="20"/>
        </w:rPr>
        <w:t>окиснювача</w:t>
      </w:r>
      <w:r w:rsidRPr="004D2D14">
        <w:rPr>
          <w:rFonts w:asciiTheme="majorHAnsi" w:hAnsiTheme="majorHAnsi"/>
          <w:sz w:val="20"/>
          <w:szCs w:val="20"/>
          <w:lang w:val="en-US"/>
        </w:rPr>
        <w:t xml:space="preserve"> </w:t>
      </w:r>
      <w:r w:rsidRPr="000977F7">
        <w:rPr>
          <w:rFonts w:asciiTheme="majorHAnsi" w:hAnsiTheme="majorHAnsi"/>
          <w:sz w:val="20"/>
          <w:szCs w:val="20"/>
        </w:rPr>
        <w:t>відбувається</w:t>
      </w:r>
      <w:r w:rsidRPr="004D2D14">
        <w:rPr>
          <w:rFonts w:asciiTheme="majorHAnsi" w:hAnsiTheme="majorHAnsi"/>
          <w:sz w:val="20"/>
          <w:szCs w:val="20"/>
          <w:lang w:val="en-US"/>
        </w:rPr>
        <w:t xml:space="preserve"> </w:t>
      </w:r>
      <w:r w:rsidRPr="000977F7">
        <w:rPr>
          <w:rFonts w:asciiTheme="majorHAnsi" w:hAnsiTheme="majorHAnsi"/>
          <w:sz w:val="20"/>
          <w:szCs w:val="20"/>
        </w:rPr>
        <w:t>окремо</w:t>
      </w:r>
      <w:r w:rsidRPr="004D2D14">
        <w:rPr>
          <w:rFonts w:asciiTheme="majorHAnsi" w:hAnsiTheme="majorHAnsi"/>
          <w:sz w:val="20"/>
          <w:szCs w:val="20"/>
          <w:lang w:val="en-US"/>
        </w:rPr>
        <w:t xml:space="preserve">, </w:t>
      </w:r>
      <w:r w:rsidRPr="000977F7">
        <w:rPr>
          <w:rFonts w:asciiTheme="majorHAnsi" w:hAnsiTheme="majorHAnsi"/>
          <w:sz w:val="20"/>
          <w:szCs w:val="20"/>
        </w:rPr>
        <w:t>а</w:t>
      </w:r>
      <w:r w:rsidRPr="004D2D14">
        <w:rPr>
          <w:rFonts w:asciiTheme="majorHAnsi" w:hAnsiTheme="majorHAnsi"/>
          <w:sz w:val="20"/>
          <w:szCs w:val="20"/>
          <w:lang w:val="en-US"/>
        </w:rPr>
        <w:t xml:space="preserve"> </w:t>
      </w:r>
      <w:r w:rsidRPr="000977F7">
        <w:rPr>
          <w:rFonts w:asciiTheme="majorHAnsi" w:hAnsiTheme="majorHAnsi"/>
          <w:sz w:val="20"/>
          <w:szCs w:val="20"/>
        </w:rPr>
        <w:t>їх</w:t>
      </w:r>
      <w:r w:rsidRPr="004D2D14">
        <w:rPr>
          <w:rFonts w:asciiTheme="majorHAnsi" w:hAnsiTheme="majorHAnsi"/>
          <w:sz w:val="20"/>
          <w:szCs w:val="20"/>
          <w:lang w:val="en-US"/>
        </w:rPr>
        <w:t xml:space="preserve"> </w:t>
      </w:r>
      <w:r w:rsidRPr="000977F7">
        <w:rPr>
          <w:rFonts w:asciiTheme="majorHAnsi" w:hAnsiTheme="majorHAnsi"/>
          <w:sz w:val="20"/>
          <w:szCs w:val="20"/>
        </w:rPr>
        <w:t>швидкості</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залежать</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w:t>
      </w:r>
      <w:r w:rsidRPr="004D2D14">
        <w:rPr>
          <w:rFonts w:asciiTheme="majorHAnsi" w:hAnsiTheme="majorHAnsi"/>
          <w:spacing w:val="-1"/>
          <w:sz w:val="20"/>
          <w:szCs w:val="20"/>
          <w:lang w:val="en-US"/>
        </w:rPr>
        <w:t xml:space="preserve"> </w:t>
      </w:r>
      <w:r w:rsidRPr="000977F7">
        <w:rPr>
          <w:rFonts w:asciiTheme="majorHAnsi" w:hAnsiTheme="majorHAnsi"/>
          <w:sz w:val="20"/>
          <w:szCs w:val="20"/>
        </w:rPr>
        <w:t>електродного</w:t>
      </w:r>
      <w:r w:rsidRPr="004D2D14">
        <w:rPr>
          <w:rFonts w:asciiTheme="majorHAnsi" w:hAnsiTheme="majorHAnsi"/>
          <w:sz w:val="20"/>
          <w:szCs w:val="20"/>
          <w:lang w:val="en-US"/>
        </w:rPr>
        <w:t xml:space="preserve"> </w:t>
      </w:r>
      <w:r w:rsidRPr="000977F7">
        <w:rPr>
          <w:rFonts w:asciiTheme="majorHAnsi" w:hAnsiTheme="majorHAnsi"/>
          <w:sz w:val="20"/>
          <w:szCs w:val="20"/>
        </w:rPr>
        <w:t>потенціалу</w:t>
      </w:r>
    </w:p>
    <w:p w14:paraId="421615D3"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3830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98</w:t>
      </w:r>
    </w:p>
    <w:p w14:paraId="6450270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ЕЛЕКТРОХІМІЧНЕ</w:t>
      </w:r>
      <w:r w:rsidRPr="000977F7">
        <w:rPr>
          <w:color w:val="auto"/>
          <w:spacing w:val="-6"/>
          <w:sz w:val="20"/>
          <w:szCs w:val="20"/>
        </w:rPr>
        <w:t xml:space="preserve"> </w:t>
      </w:r>
      <w:r w:rsidRPr="000977F7">
        <w:rPr>
          <w:color w:val="auto"/>
          <w:sz w:val="20"/>
          <w:szCs w:val="20"/>
        </w:rPr>
        <w:t>ОБРОБЛЕННЯ</w:t>
      </w:r>
      <w:r w:rsidRPr="000977F7">
        <w:rPr>
          <w:color w:val="auto"/>
          <w:spacing w:val="-3"/>
          <w:sz w:val="20"/>
          <w:szCs w:val="20"/>
        </w:rPr>
        <w:t xml:space="preserve"> </w:t>
      </w:r>
      <w:r w:rsidRPr="000977F7">
        <w:rPr>
          <w:color w:val="auto"/>
          <w:sz w:val="20"/>
          <w:szCs w:val="20"/>
        </w:rPr>
        <w:t>–</w:t>
      </w:r>
    </w:p>
    <w:p w14:paraId="71F7110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ELECTROCHEMICAL</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MACHINING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E55750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Оброблення, яке полягає в зміні форми, розмірів та</w:t>
      </w:r>
      <w:r w:rsidRPr="000977F7">
        <w:rPr>
          <w:rFonts w:asciiTheme="majorHAnsi" w:hAnsiTheme="majorHAnsi"/>
          <w:spacing w:val="1"/>
          <w:sz w:val="20"/>
          <w:szCs w:val="20"/>
        </w:rPr>
        <w:t xml:space="preserve"> </w:t>
      </w:r>
      <w:r w:rsidRPr="000977F7">
        <w:rPr>
          <w:rFonts w:asciiTheme="majorHAnsi" w:hAnsiTheme="majorHAnsi"/>
          <w:sz w:val="20"/>
          <w:szCs w:val="20"/>
        </w:rPr>
        <w:t>(чи) шорсткості поверхні заготовки внаслідок роз-</w:t>
      </w:r>
    </w:p>
    <w:p w14:paraId="1F76DF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чинення її матеріалу в електроліті під впливом електричного струму</w:t>
      </w:r>
    </w:p>
    <w:p w14:paraId="2E78D61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2391:2010</w:t>
      </w:r>
    </w:p>
    <w:p w14:paraId="6CBA387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ЕЛЕКТРОХІМІЧНИЙ</w:t>
      </w:r>
      <w:r w:rsidRPr="000977F7">
        <w:rPr>
          <w:color w:val="auto"/>
          <w:spacing w:val="-3"/>
          <w:sz w:val="20"/>
          <w:szCs w:val="20"/>
        </w:rPr>
        <w:t xml:space="preserve"> </w:t>
      </w:r>
      <w:r w:rsidRPr="000977F7">
        <w:rPr>
          <w:color w:val="auto"/>
          <w:sz w:val="20"/>
          <w:szCs w:val="20"/>
        </w:rPr>
        <w:t>ЗАХИСТ</w:t>
      </w:r>
      <w:r w:rsidRPr="000977F7">
        <w:rPr>
          <w:color w:val="auto"/>
          <w:spacing w:val="-5"/>
          <w:sz w:val="20"/>
          <w:szCs w:val="20"/>
        </w:rPr>
        <w:t xml:space="preserve"> </w:t>
      </w:r>
      <w:r w:rsidRPr="000977F7">
        <w:rPr>
          <w:color w:val="auto"/>
          <w:sz w:val="20"/>
          <w:szCs w:val="20"/>
        </w:rPr>
        <w:t>–</w:t>
      </w:r>
    </w:p>
    <w:p w14:paraId="3F1661E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ELECTROCHEMICHAL</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PROTECTION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58B7188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Захист</w:t>
      </w:r>
      <w:r w:rsidRPr="004D2D14">
        <w:rPr>
          <w:rFonts w:asciiTheme="majorHAnsi" w:hAnsiTheme="majorHAnsi"/>
          <w:sz w:val="20"/>
          <w:szCs w:val="20"/>
          <w:lang w:val="en-US"/>
        </w:rPr>
        <w:t xml:space="preserve"> </w:t>
      </w:r>
      <w:r w:rsidRPr="000977F7">
        <w:rPr>
          <w:rFonts w:asciiTheme="majorHAnsi" w:hAnsiTheme="majorHAnsi"/>
          <w:sz w:val="20"/>
          <w:szCs w:val="20"/>
        </w:rPr>
        <w:t>металу</w:t>
      </w:r>
      <w:r w:rsidRPr="004D2D14">
        <w:rPr>
          <w:rFonts w:asciiTheme="majorHAnsi" w:hAnsiTheme="majorHAnsi"/>
          <w:sz w:val="20"/>
          <w:szCs w:val="20"/>
          <w:lang w:val="en-US"/>
        </w:rPr>
        <w:t xml:space="preserve"> </w:t>
      </w:r>
      <w:r w:rsidRPr="000977F7">
        <w:rPr>
          <w:rFonts w:asciiTheme="majorHAnsi" w:hAnsiTheme="majorHAnsi"/>
          <w:sz w:val="20"/>
          <w:szCs w:val="20"/>
        </w:rPr>
        <w:t>від</w:t>
      </w:r>
      <w:r w:rsidRPr="004D2D14">
        <w:rPr>
          <w:rFonts w:asciiTheme="majorHAnsi" w:hAnsiTheme="majorHAnsi"/>
          <w:sz w:val="20"/>
          <w:szCs w:val="20"/>
          <w:lang w:val="en-US"/>
        </w:rPr>
        <w:t xml:space="preserve"> </w:t>
      </w:r>
      <w:r w:rsidRPr="000977F7">
        <w:rPr>
          <w:rFonts w:asciiTheme="majorHAnsi" w:hAnsiTheme="majorHAnsi"/>
          <w:sz w:val="20"/>
          <w:szCs w:val="20"/>
        </w:rPr>
        <w:t>корозії</w:t>
      </w:r>
      <w:r w:rsidRPr="004D2D14">
        <w:rPr>
          <w:rFonts w:asciiTheme="majorHAnsi" w:hAnsiTheme="majorHAnsi"/>
          <w:sz w:val="20"/>
          <w:szCs w:val="20"/>
          <w:lang w:val="en-US"/>
        </w:rPr>
        <w:t xml:space="preserve"> </w:t>
      </w:r>
      <w:r w:rsidRPr="000977F7">
        <w:rPr>
          <w:rFonts w:asciiTheme="majorHAnsi" w:hAnsiTheme="majorHAnsi"/>
          <w:sz w:val="20"/>
          <w:szCs w:val="20"/>
        </w:rPr>
        <w:t>регулюванням</w:t>
      </w:r>
      <w:r w:rsidRPr="004D2D14">
        <w:rPr>
          <w:rFonts w:asciiTheme="majorHAnsi" w:hAnsiTheme="majorHAnsi"/>
          <w:sz w:val="20"/>
          <w:szCs w:val="20"/>
          <w:lang w:val="en-US"/>
        </w:rPr>
        <w:t xml:space="preserve"> </w:t>
      </w:r>
      <w:r w:rsidRPr="000977F7">
        <w:rPr>
          <w:rFonts w:asciiTheme="majorHAnsi" w:hAnsiTheme="majorHAnsi"/>
          <w:sz w:val="20"/>
          <w:szCs w:val="20"/>
        </w:rPr>
        <w:t>його</w:t>
      </w:r>
      <w:r w:rsidRPr="004D2D14">
        <w:rPr>
          <w:rFonts w:asciiTheme="majorHAnsi" w:hAnsiTheme="majorHAnsi"/>
          <w:sz w:val="20"/>
          <w:szCs w:val="20"/>
          <w:lang w:val="en-US"/>
        </w:rPr>
        <w:t xml:space="preserve"> </w:t>
      </w:r>
      <w:r w:rsidRPr="000977F7">
        <w:rPr>
          <w:rFonts w:asciiTheme="majorHAnsi" w:hAnsiTheme="majorHAnsi"/>
          <w:sz w:val="20"/>
          <w:szCs w:val="20"/>
        </w:rPr>
        <w:t>потенціалу</w:t>
      </w:r>
      <w:r w:rsidRPr="004D2D14">
        <w:rPr>
          <w:rFonts w:asciiTheme="majorHAnsi" w:hAnsiTheme="majorHAnsi"/>
          <w:spacing w:val="1"/>
          <w:sz w:val="20"/>
          <w:szCs w:val="20"/>
          <w:lang w:val="en-US"/>
        </w:rPr>
        <w:t xml:space="preserve"> </w:t>
      </w:r>
      <w:r w:rsidRPr="000977F7">
        <w:rPr>
          <w:rFonts w:asciiTheme="majorHAnsi" w:hAnsiTheme="majorHAnsi"/>
          <w:sz w:val="20"/>
          <w:szCs w:val="20"/>
        </w:rPr>
        <w:t>з</w:t>
      </w:r>
      <w:r w:rsidRPr="004D2D14">
        <w:rPr>
          <w:rFonts w:asciiTheme="majorHAnsi" w:hAnsiTheme="majorHAnsi"/>
          <w:spacing w:val="1"/>
          <w:sz w:val="20"/>
          <w:szCs w:val="20"/>
          <w:lang w:val="en-US"/>
        </w:rPr>
        <w:t xml:space="preserve"> </w:t>
      </w:r>
      <w:r w:rsidRPr="000977F7">
        <w:rPr>
          <w:rFonts w:asciiTheme="majorHAnsi" w:hAnsiTheme="majorHAnsi"/>
          <w:sz w:val="20"/>
          <w:szCs w:val="20"/>
        </w:rPr>
        <w:t>допомогою</w:t>
      </w:r>
      <w:r w:rsidRPr="004D2D14">
        <w:rPr>
          <w:rFonts w:asciiTheme="majorHAnsi" w:hAnsiTheme="majorHAnsi"/>
          <w:spacing w:val="1"/>
          <w:sz w:val="20"/>
          <w:szCs w:val="20"/>
          <w:lang w:val="en-US"/>
        </w:rPr>
        <w:t xml:space="preserve"> </w:t>
      </w:r>
      <w:r w:rsidRPr="000977F7">
        <w:rPr>
          <w:rFonts w:asciiTheme="majorHAnsi" w:hAnsiTheme="majorHAnsi"/>
          <w:sz w:val="20"/>
          <w:szCs w:val="20"/>
        </w:rPr>
        <w:t>зовнішнього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джерела</w:t>
      </w:r>
      <w:r w:rsidRPr="004D2D14">
        <w:rPr>
          <w:rFonts w:asciiTheme="majorHAnsi" w:hAnsiTheme="majorHAnsi"/>
          <w:spacing w:val="1"/>
          <w:sz w:val="20"/>
          <w:szCs w:val="20"/>
          <w:lang w:val="en-US"/>
        </w:rPr>
        <w:t xml:space="preserve"> </w:t>
      </w:r>
      <w:r w:rsidRPr="000977F7">
        <w:rPr>
          <w:rFonts w:asciiTheme="majorHAnsi" w:hAnsiTheme="majorHAnsi"/>
          <w:sz w:val="20"/>
          <w:szCs w:val="20"/>
        </w:rPr>
        <w:t>струму</w:t>
      </w:r>
      <w:r w:rsidRPr="004D2D14">
        <w:rPr>
          <w:rFonts w:asciiTheme="majorHAnsi" w:hAnsiTheme="majorHAnsi"/>
          <w:spacing w:val="1"/>
          <w:sz w:val="20"/>
          <w:szCs w:val="20"/>
          <w:lang w:val="en-US"/>
        </w:rPr>
        <w:t xml:space="preserve"> </w:t>
      </w:r>
      <w:r w:rsidRPr="000977F7">
        <w:rPr>
          <w:rFonts w:asciiTheme="majorHAnsi" w:hAnsiTheme="majorHAnsi"/>
          <w:sz w:val="20"/>
          <w:szCs w:val="20"/>
        </w:rPr>
        <w:t>або</w:t>
      </w:r>
      <w:r w:rsidRPr="004D2D14">
        <w:rPr>
          <w:rFonts w:asciiTheme="majorHAnsi" w:hAnsiTheme="majorHAnsi"/>
          <w:spacing w:val="1"/>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w:t>
      </w:r>
      <w:r w:rsidRPr="000977F7">
        <w:rPr>
          <w:rFonts w:asciiTheme="majorHAnsi" w:hAnsiTheme="majorHAnsi"/>
          <w:sz w:val="20"/>
          <w:szCs w:val="20"/>
        </w:rPr>
        <w:t>єднуванням</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металом</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має</w:t>
      </w:r>
      <w:r w:rsidRPr="004D2D14">
        <w:rPr>
          <w:rFonts w:asciiTheme="majorHAnsi" w:hAnsiTheme="majorHAnsi"/>
          <w:sz w:val="20"/>
          <w:szCs w:val="20"/>
          <w:lang w:val="en-US"/>
        </w:rPr>
        <w:t xml:space="preserve"> </w:t>
      </w:r>
      <w:r w:rsidRPr="000977F7">
        <w:rPr>
          <w:rFonts w:asciiTheme="majorHAnsi" w:hAnsiTheme="majorHAnsi"/>
          <w:sz w:val="20"/>
          <w:szCs w:val="20"/>
        </w:rPr>
        <w:t>вищий</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нижчий</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потенціал</w:t>
      </w:r>
    </w:p>
    <w:p w14:paraId="03361BE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4DD8A98F"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pacing w:val="-1"/>
          <w:sz w:val="20"/>
          <w:szCs w:val="20"/>
        </w:rPr>
        <w:t xml:space="preserve">ЕЛЕМЕНТ </w:t>
      </w:r>
      <w:r w:rsidRPr="000977F7">
        <w:rPr>
          <w:rFonts w:asciiTheme="majorHAnsi" w:hAnsiTheme="majorHAnsi"/>
          <w:b/>
          <w:sz w:val="20"/>
          <w:szCs w:val="20"/>
        </w:rPr>
        <w:t>ДАНИХ</w:t>
      </w:r>
    </w:p>
    <w:p w14:paraId="0BEDA17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DATA</w:t>
      </w:r>
      <w:r w:rsidRPr="000977F7">
        <w:rPr>
          <w:rFonts w:asciiTheme="majorHAnsi" w:hAnsiTheme="majorHAnsi"/>
          <w:spacing w:val="-2"/>
          <w:sz w:val="20"/>
          <w:szCs w:val="20"/>
        </w:rPr>
        <w:t xml:space="preserve"> </w:t>
      </w:r>
      <w:r w:rsidRPr="000977F7">
        <w:rPr>
          <w:rFonts w:asciiTheme="majorHAnsi" w:hAnsiTheme="majorHAnsi"/>
          <w:sz w:val="20"/>
          <w:szCs w:val="20"/>
        </w:rPr>
        <w:t>ELEMENT-</w:t>
      </w:r>
    </w:p>
    <w:p w14:paraId="36589D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Дані, що в певному контексті розглядаються як неподільне</w:t>
      </w:r>
      <w:r w:rsidRPr="000977F7">
        <w:rPr>
          <w:rFonts w:asciiTheme="majorHAnsi" w:hAnsiTheme="majorHAnsi"/>
          <w:spacing w:val="-1"/>
          <w:sz w:val="20"/>
          <w:szCs w:val="20"/>
        </w:rPr>
        <w:t xml:space="preserve"> </w:t>
      </w:r>
      <w:r w:rsidRPr="000977F7">
        <w:rPr>
          <w:rFonts w:asciiTheme="majorHAnsi" w:hAnsiTheme="majorHAnsi"/>
          <w:sz w:val="20"/>
          <w:szCs w:val="20"/>
        </w:rPr>
        <w:t>ціле</w:t>
      </w:r>
    </w:p>
    <w:p w14:paraId="00A25C4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FBB195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Елемент даних неможливо або нема потреби розчленовувати</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складові</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конкретного</w:t>
      </w:r>
      <w:r w:rsidRPr="000977F7">
        <w:rPr>
          <w:rFonts w:asciiTheme="majorHAnsi" w:hAnsiTheme="majorHAnsi"/>
          <w:spacing w:val="1"/>
          <w:sz w:val="20"/>
          <w:szCs w:val="20"/>
        </w:rPr>
        <w:t xml:space="preserve"> </w:t>
      </w:r>
      <w:r w:rsidRPr="000977F7">
        <w:rPr>
          <w:rFonts w:asciiTheme="majorHAnsi" w:hAnsiTheme="majorHAnsi"/>
          <w:sz w:val="20"/>
          <w:szCs w:val="20"/>
        </w:rPr>
        <w:t>розглядання</w:t>
      </w:r>
    </w:p>
    <w:p w14:paraId="77C8CB2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6D261F0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ЕМІТЕНТ</w:t>
      </w:r>
      <w:r w:rsidRPr="000977F7">
        <w:rPr>
          <w:color w:val="auto"/>
          <w:spacing w:val="-4"/>
          <w:sz w:val="20"/>
          <w:szCs w:val="20"/>
        </w:rPr>
        <w:t xml:space="preserve"> </w:t>
      </w:r>
      <w:r w:rsidRPr="000977F7">
        <w:rPr>
          <w:color w:val="auto"/>
          <w:sz w:val="20"/>
          <w:szCs w:val="20"/>
        </w:rPr>
        <w:t>–</w:t>
      </w:r>
    </w:p>
    <w:p w14:paraId="6A8178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Держава, підприємство, установа, що випускає в обіг</w:t>
      </w:r>
      <w:r w:rsidRPr="000977F7">
        <w:rPr>
          <w:rFonts w:asciiTheme="majorHAnsi" w:hAnsiTheme="majorHAnsi"/>
          <w:spacing w:val="1"/>
          <w:sz w:val="20"/>
          <w:szCs w:val="20"/>
        </w:rPr>
        <w:t xml:space="preserve"> </w:t>
      </w:r>
      <w:r w:rsidRPr="000977F7">
        <w:rPr>
          <w:rFonts w:asciiTheme="majorHAnsi" w:hAnsiTheme="majorHAnsi"/>
          <w:sz w:val="20"/>
          <w:szCs w:val="20"/>
        </w:rPr>
        <w:t>грошові</w:t>
      </w:r>
      <w:r w:rsidRPr="000977F7">
        <w:rPr>
          <w:rFonts w:asciiTheme="majorHAnsi" w:hAnsiTheme="majorHAnsi"/>
          <w:spacing w:val="1"/>
          <w:sz w:val="20"/>
          <w:szCs w:val="20"/>
        </w:rPr>
        <w:t xml:space="preserve"> </w:t>
      </w:r>
      <w:r w:rsidRPr="000977F7">
        <w:rPr>
          <w:rFonts w:asciiTheme="majorHAnsi" w:hAnsiTheme="majorHAnsi"/>
          <w:sz w:val="20"/>
          <w:szCs w:val="20"/>
        </w:rPr>
        <w:t>знаки,</w:t>
      </w:r>
      <w:r w:rsidRPr="000977F7">
        <w:rPr>
          <w:rFonts w:asciiTheme="majorHAnsi" w:hAnsiTheme="majorHAnsi"/>
          <w:spacing w:val="1"/>
          <w:sz w:val="20"/>
          <w:szCs w:val="20"/>
        </w:rPr>
        <w:t xml:space="preserve"> </w:t>
      </w:r>
      <w:r w:rsidRPr="000977F7">
        <w:rPr>
          <w:rFonts w:asciiTheme="majorHAnsi" w:hAnsiTheme="majorHAnsi"/>
          <w:sz w:val="20"/>
          <w:szCs w:val="20"/>
        </w:rPr>
        <w:t>цінні</w:t>
      </w:r>
      <w:r w:rsidRPr="000977F7">
        <w:rPr>
          <w:rFonts w:asciiTheme="majorHAnsi" w:hAnsiTheme="majorHAnsi"/>
          <w:spacing w:val="1"/>
          <w:sz w:val="20"/>
          <w:szCs w:val="20"/>
        </w:rPr>
        <w:t xml:space="preserve"> </w:t>
      </w:r>
      <w:r w:rsidRPr="000977F7">
        <w:rPr>
          <w:rFonts w:asciiTheme="majorHAnsi" w:hAnsiTheme="majorHAnsi"/>
          <w:sz w:val="20"/>
          <w:szCs w:val="20"/>
        </w:rPr>
        <w:t>папери</w:t>
      </w:r>
      <w:r w:rsidRPr="000977F7">
        <w:rPr>
          <w:rFonts w:asciiTheme="majorHAnsi" w:hAnsiTheme="majorHAnsi"/>
          <w:spacing w:val="1"/>
          <w:sz w:val="20"/>
          <w:szCs w:val="20"/>
        </w:rPr>
        <w:t xml:space="preserve"> </w:t>
      </w:r>
      <w:r w:rsidRPr="000977F7">
        <w:rPr>
          <w:rFonts w:asciiTheme="majorHAnsi" w:hAnsiTheme="majorHAnsi"/>
          <w:sz w:val="20"/>
          <w:szCs w:val="20"/>
        </w:rPr>
        <w:t>платіжно-розрахункові</w:t>
      </w:r>
      <w:r w:rsidRPr="000977F7">
        <w:rPr>
          <w:rFonts w:asciiTheme="majorHAnsi" w:hAnsiTheme="majorHAnsi"/>
          <w:spacing w:val="1"/>
          <w:sz w:val="20"/>
          <w:szCs w:val="20"/>
        </w:rPr>
        <w:t xml:space="preserve"> </w:t>
      </w:r>
      <w:r w:rsidRPr="000977F7">
        <w:rPr>
          <w:rFonts w:asciiTheme="majorHAnsi" w:hAnsiTheme="majorHAnsi"/>
          <w:sz w:val="20"/>
          <w:szCs w:val="20"/>
        </w:rPr>
        <w:t>документи</w:t>
      </w:r>
    </w:p>
    <w:p w14:paraId="040A1D0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3293 - 95</w:t>
      </w:r>
    </w:p>
    <w:p w14:paraId="13078C94" w14:textId="77777777" w:rsidR="0097612F" w:rsidRPr="000977F7" w:rsidRDefault="0097612F" w:rsidP="000977F7">
      <w:pPr>
        <w:pStyle w:val="7"/>
        <w:tabs>
          <w:tab w:val="left" w:pos="284"/>
        </w:tabs>
        <w:spacing w:before="0" w:line="240" w:lineRule="auto"/>
        <w:ind w:left="170"/>
        <w:mirrorIndents/>
        <w:jc w:val="both"/>
        <w:rPr>
          <w:color w:val="auto"/>
          <w:spacing w:val="35"/>
          <w:sz w:val="20"/>
          <w:szCs w:val="20"/>
        </w:rPr>
      </w:pPr>
      <w:r w:rsidRPr="000977F7">
        <w:rPr>
          <w:color w:val="auto"/>
          <w:sz w:val="20"/>
          <w:szCs w:val="20"/>
        </w:rPr>
        <w:t>ЕПІЗОДИЧНИЙ</w:t>
      </w:r>
      <w:r w:rsidRPr="000977F7">
        <w:rPr>
          <w:color w:val="auto"/>
          <w:spacing w:val="34"/>
          <w:sz w:val="20"/>
          <w:szCs w:val="20"/>
        </w:rPr>
        <w:t xml:space="preserve"> </w:t>
      </w:r>
      <w:r w:rsidRPr="000977F7">
        <w:rPr>
          <w:color w:val="auto"/>
          <w:sz w:val="20"/>
          <w:szCs w:val="20"/>
        </w:rPr>
        <w:t>КОНТРОЛЬ</w:t>
      </w:r>
      <w:r w:rsidRPr="000977F7">
        <w:rPr>
          <w:color w:val="auto"/>
          <w:spacing w:val="36"/>
          <w:sz w:val="20"/>
          <w:szCs w:val="20"/>
        </w:rPr>
        <w:t xml:space="preserve"> </w:t>
      </w:r>
      <w:r w:rsidRPr="000977F7">
        <w:rPr>
          <w:color w:val="auto"/>
          <w:sz w:val="20"/>
          <w:szCs w:val="20"/>
        </w:rPr>
        <w:t>ЯКОСТІ</w:t>
      </w:r>
      <w:r w:rsidRPr="000977F7">
        <w:rPr>
          <w:color w:val="auto"/>
          <w:spacing w:val="35"/>
          <w:sz w:val="20"/>
          <w:szCs w:val="20"/>
        </w:rPr>
        <w:t xml:space="preserve"> </w:t>
      </w:r>
    </w:p>
    <w:p w14:paraId="23A8BBB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ЕЛЕК</w:t>
      </w:r>
      <w:r w:rsidRPr="000977F7">
        <w:rPr>
          <w:color w:val="auto"/>
          <w:spacing w:val="-47"/>
          <w:sz w:val="20"/>
          <w:szCs w:val="20"/>
        </w:rPr>
        <w:t xml:space="preserve"> </w:t>
      </w:r>
      <w:r w:rsidRPr="000977F7">
        <w:rPr>
          <w:color w:val="auto"/>
          <w:sz w:val="20"/>
          <w:szCs w:val="20"/>
        </w:rPr>
        <w:t>ТРИЧНОЇ</w:t>
      </w:r>
      <w:r w:rsidRPr="000977F7">
        <w:rPr>
          <w:color w:val="auto"/>
          <w:spacing w:val="4"/>
          <w:sz w:val="20"/>
          <w:szCs w:val="20"/>
        </w:rPr>
        <w:t xml:space="preserve"> </w:t>
      </w:r>
      <w:r w:rsidRPr="000977F7">
        <w:rPr>
          <w:color w:val="auto"/>
          <w:sz w:val="20"/>
          <w:szCs w:val="20"/>
        </w:rPr>
        <w:t>ЕНЕРГІЇ–</w:t>
      </w:r>
    </w:p>
    <w:p w14:paraId="1B3747C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 якості електричної енергії, за якого надходження</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50"/>
          <w:sz w:val="20"/>
          <w:szCs w:val="20"/>
        </w:rPr>
        <w:t xml:space="preserve"> </w:t>
      </w:r>
      <w:r w:rsidRPr="000977F7">
        <w:rPr>
          <w:rFonts w:asciiTheme="majorHAnsi" w:hAnsiTheme="majorHAnsi"/>
          <w:sz w:val="20"/>
          <w:szCs w:val="20"/>
        </w:rPr>
        <w:t>контрольовані</w:t>
      </w:r>
      <w:r w:rsidRPr="000977F7">
        <w:rPr>
          <w:rFonts w:asciiTheme="majorHAnsi" w:hAnsiTheme="majorHAnsi"/>
          <w:spacing w:val="50"/>
          <w:sz w:val="20"/>
          <w:szCs w:val="20"/>
        </w:rPr>
        <w:t xml:space="preserve"> </w:t>
      </w:r>
      <w:r w:rsidRPr="000977F7">
        <w:rPr>
          <w:rFonts w:asciiTheme="majorHAnsi" w:hAnsiTheme="majorHAnsi"/>
          <w:sz w:val="20"/>
          <w:szCs w:val="20"/>
        </w:rPr>
        <w:t>показники</w:t>
      </w:r>
      <w:r w:rsidRPr="000977F7">
        <w:rPr>
          <w:rFonts w:asciiTheme="majorHAnsi" w:hAnsiTheme="majorHAnsi"/>
          <w:spacing w:val="50"/>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їх</w:t>
      </w:r>
      <w:r w:rsidRPr="000977F7">
        <w:rPr>
          <w:rFonts w:asciiTheme="majorHAnsi" w:hAnsiTheme="majorHAnsi"/>
          <w:spacing w:val="4"/>
          <w:sz w:val="20"/>
          <w:szCs w:val="20"/>
        </w:rPr>
        <w:t xml:space="preserve"> </w:t>
      </w:r>
      <w:r w:rsidRPr="000977F7">
        <w:rPr>
          <w:rFonts w:asciiTheme="majorHAnsi" w:hAnsiTheme="majorHAnsi"/>
          <w:sz w:val="20"/>
          <w:szCs w:val="20"/>
        </w:rPr>
        <w:t>оцінка</w:t>
      </w:r>
      <w:r w:rsidRPr="000977F7">
        <w:rPr>
          <w:rFonts w:asciiTheme="majorHAnsi" w:hAnsiTheme="majorHAnsi"/>
          <w:spacing w:val="6"/>
          <w:sz w:val="20"/>
          <w:szCs w:val="20"/>
        </w:rPr>
        <w:t xml:space="preserve"> </w:t>
      </w:r>
      <w:r w:rsidRPr="000977F7">
        <w:rPr>
          <w:rFonts w:asciiTheme="majorHAnsi" w:hAnsiTheme="majorHAnsi"/>
          <w:sz w:val="20"/>
          <w:szCs w:val="20"/>
        </w:rPr>
        <w:t>відбуваються</w:t>
      </w:r>
      <w:r w:rsidRPr="000977F7">
        <w:rPr>
          <w:rFonts w:asciiTheme="majorHAnsi" w:hAnsiTheme="majorHAnsi"/>
          <w:spacing w:val="5"/>
          <w:sz w:val="20"/>
          <w:szCs w:val="20"/>
        </w:rPr>
        <w:t xml:space="preserve"> </w:t>
      </w:r>
      <w:r w:rsidRPr="000977F7">
        <w:rPr>
          <w:rFonts w:asciiTheme="majorHAnsi" w:hAnsiTheme="majorHAnsi"/>
          <w:sz w:val="20"/>
          <w:szCs w:val="20"/>
        </w:rPr>
        <w:t>за</w:t>
      </w:r>
      <w:r w:rsidRPr="000977F7">
        <w:rPr>
          <w:rFonts w:asciiTheme="majorHAnsi" w:hAnsiTheme="majorHAnsi"/>
          <w:spacing w:val="6"/>
          <w:sz w:val="20"/>
          <w:szCs w:val="20"/>
        </w:rPr>
        <w:t xml:space="preserve"> </w:t>
      </w:r>
      <w:r w:rsidRPr="000977F7">
        <w:rPr>
          <w:rFonts w:asciiTheme="majorHAnsi" w:hAnsiTheme="majorHAnsi"/>
          <w:sz w:val="20"/>
          <w:szCs w:val="20"/>
        </w:rPr>
        <w:t>потребою</w:t>
      </w:r>
    </w:p>
    <w:p w14:paraId="32C9A2BE"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9"/>
          <w:sz w:val="20"/>
          <w:szCs w:val="20"/>
        </w:rPr>
        <w:t xml:space="preserve"> </w:t>
      </w:r>
      <w:r w:rsidRPr="000977F7">
        <w:rPr>
          <w:rFonts w:asciiTheme="majorHAnsi" w:hAnsiTheme="majorHAnsi"/>
          <w:i/>
          <w:sz w:val="20"/>
          <w:szCs w:val="20"/>
        </w:rPr>
        <w:t>3466</w:t>
      </w:r>
      <w:r w:rsidRPr="000977F7">
        <w:rPr>
          <w:rFonts w:asciiTheme="majorHAnsi" w:hAnsiTheme="majorHAnsi"/>
          <w:i/>
          <w:spacing w:val="9"/>
          <w:sz w:val="20"/>
          <w:szCs w:val="20"/>
        </w:rPr>
        <w:t xml:space="preserve"> </w:t>
      </w:r>
      <w:r w:rsidRPr="000977F7">
        <w:rPr>
          <w:rFonts w:asciiTheme="majorHAnsi" w:hAnsiTheme="majorHAnsi"/>
          <w:i/>
          <w:sz w:val="20"/>
          <w:szCs w:val="20"/>
        </w:rPr>
        <w:t>–</w:t>
      </w:r>
      <w:r w:rsidRPr="000977F7">
        <w:rPr>
          <w:rFonts w:asciiTheme="majorHAnsi" w:hAnsiTheme="majorHAnsi"/>
          <w:i/>
          <w:spacing w:val="8"/>
          <w:sz w:val="20"/>
          <w:szCs w:val="20"/>
        </w:rPr>
        <w:t xml:space="preserve"> </w:t>
      </w:r>
      <w:r w:rsidRPr="000977F7">
        <w:rPr>
          <w:rFonts w:asciiTheme="majorHAnsi" w:hAnsiTheme="majorHAnsi"/>
          <w:i/>
          <w:sz w:val="20"/>
          <w:szCs w:val="20"/>
        </w:rPr>
        <w:t>96</w:t>
      </w:r>
    </w:p>
    <w:p w14:paraId="7C7519C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 якості електричної енергії, при якому надходження інформації щодо контрольованих показників і її оцінювання виконується відповідно до необхідності</w:t>
      </w:r>
    </w:p>
    <w:p w14:paraId="3369ECF0" w14:textId="77777777" w:rsidR="0097612F" w:rsidRPr="000977F7" w:rsidRDefault="0097612F" w:rsidP="000977F7">
      <w:pPr>
        <w:pStyle w:val="7"/>
        <w:tabs>
          <w:tab w:val="left" w:pos="284"/>
        </w:tabs>
        <w:spacing w:before="0" w:line="240" w:lineRule="auto"/>
        <w:ind w:left="170"/>
        <w:mirrorIndents/>
        <w:jc w:val="both"/>
        <w:rPr>
          <w:color w:val="auto"/>
          <w:spacing w:val="29"/>
          <w:sz w:val="20"/>
          <w:szCs w:val="20"/>
        </w:rPr>
      </w:pPr>
      <w:r w:rsidRPr="000977F7">
        <w:rPr>
          <w:color w:val="auto"/>
          <w:sz w:val="20"/>
          <w:szCs w:val="20"/>
        </w:rPr>
        <w:t>ЕПІДЕМІОЛОГІЯ</w:t>
      </w:r>
      <w:r w:rsidRPr="000977F7">
        <w:rPr>
          <w:color w:val="auto"/>
          <w:spacing w:val="26"/>
          <w:sz w:val="20"/>
          <w:szCs w:val="20"/>
        </w:rPr>
        <w:t xml:space="preserve"> </w:t>
      </w:r>
      <w:r w:rsidRPr="000977F7">
        <w:rPr>
          <w:color w:val="auto"/>
          <w:sz w:val="20"/>
          <w:szCs w:val="20"/>
        </w:rPr>
        <w:t>НАВКОЛИШНЬОГО</w:t>
      </w:r>
      <w:r w:rsidRPr="000977F7">
        <w:rPr>
          <w:color w:val="auto"/>
          <w:spacing w:val="29"/>
          <w:sz w:val="20"/>
          <w:szCs w:val="20"/>
        </w:rPr>
        <w:t xml:space="preserve"> </w:t>
      </w:r>
    </w:p>
    <w:p w14:paraId="01B3755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СЕРЕДОВИЩА</w:t>
      </w:r>
      <w:r w:rsidRPr="000977F7">
        <w:rPr>
          <w:color w:val="auto"/>
          <w:spacing w:val="4"/>
          <w:sz w:val="20"/>
          <w:szCs w:val="20"/>
        </w:rPr>
        <w:t xml:space="preserve"> </w:t>
      </w:r>
      <w:r w:rsidRPr="000977F7">
        <w:rPr>
          <w:color w:val="auto"/>
          <w:sz w:val="20"/>
          <w:szCs w:val="20"/>
        </w:rPr>
        <w:t>–</w:t>
      </w:r>
    </w:p>
    <w:p w14:paraId="5CA9C01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ENVIRONMENTAL</w:t>
      </w:r>
      <w:r w:rsidRPr="000977F7">
        <w:rPr>
          <w:rFonts w:asciiTheme="majorHAnsi" w:hAnsiTheme="majorHAnsi"/>
          <w:spacing w:val="17"/>
          <w:sz w:val="20"/>
          <w:szCs w:val="20"/>
        </w:rPr>
        <w:t xml:space="preserve"> </w:t>
      </w:r>
      <w:r w:rsidRPr="000977F7">
        <w:rPr>
          <w:rFonts w:asciiTheme="majorHAnsi" w:hAnsiTheme="majorHAnsi"/>
          <w:sz w:val="20"/>
          <w:szCs w:val="20"/>
        </w:rPr>
        <w:t>EPIDEMIOLOGY</w:t>
      </w:r>
      <w:r w:rsidRPr="000977F7">
        <w:rPr>
          <w:rFonts w:asciiTheme="majorHAnsi" w:hAnsiTheme="majorHAnsi"/>
          <w:spacing w:val="27"/>
          <w:sz w:val="20"/>
          <w:szCs w:val="20"/>
        </w:rPr>
        <w:t xml:space="preserve"> </w:t>
      </w:r>
      <w:r w:rsidRPr="000977F7">
        <w:rPr>
          <w:rFonts w:asciiTheme="majorHAnsi" w:hAnsiTheme="majorHAnsi"/>
          <w:sz w:val="20"/>
          <w:szCs w:val="20"/>
        </w:rPr>
        <w:t>–</w:t>
      </w:r>
    </w:p>
    <w:p w14:paraId="773ABC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Вивчення</w:t>
      </w:r>
      <w:r w:rsidRPr="000977F7">
        <w:rPr>
          <w:rFonts w:asciiTheme="majorHAnsi" w:hAnsiTheme="majorHAnsi"/>
          <w:spacing w:val="1"/>
          <w:sz w:val="20"/>
          <w:szCs w:val="20"/>
        </w:rPr>
        <w:t xml:space="preserve"> </w:t>
      </w:r>
      <w:r w:rsidRPr="000977F7">
        <w:rPr>
          <w:rFonts w:asciiTheme="majorHAnsi" w:hAnsiTheme="majorHAnsi"/>
          <w:sz w:val="20"/>
          <w:szCs w:val="20"/>
        </w:rPr>
        <w:t>стану</w:t>
      </w:r>
      <w:r w:rsidRPr="000977F7">
        <w:rPr>
          <w:rFonts w:asciiTheme="majorHAnsi" w:hAnsiTheme="majorHAnsi"/>
          <w:spacing w:val="1"/>
          <w:sz w:val="20"/>
          <w:szCs w:val="20"/>
        </w:rPr>
        <w:t xml:space="preserve"> </w:t>
      </w:r>
      <w:r w:rsidRPr="000977F7">
        <w:rPr>
          <w:rFonts w:asciiTheme="majorHAnsi" w:hAnsiTheme="majorHAnsi"/>
          <w:sz w:val="20"/>
          <w:szCs w:val="20"/>
        </w:rPr>
        <w:t>здоров'я</w:t>
      </w:r>
      <w:r w:rsidRPr="000977F7">
        <w:rPr>
          <w:rFonts w:asciiTheme="majorHAnsi" w:hAnsiTheme="majorHAnsi"/>
          <w:spacing w:val="1"/>
          <w:sz w:val="20"/>
          <w:szCs w:val="20"/>
        </w:rPr>
        <w:t xml:space="preserve"> </w:t>
      </w:r>
      <w:r w:rsidRPr="000977F7">
        <w:rPr>
          <w:rFonts w:asciiTheme="majorHAnsi" w:hAnsiTheme="majorHAnsi"/>
          <w:sz w:val="20"/>
          <w:szCs w:val="20"/>
        </w:rPr>
        <w:t>населення</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зв'язку</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забрудненням</w:t>
      </w:r>
      <w:r w:rsidRPr="000977F7">
        <w:rPr>
          <w:rFonts w:asciiTheme="majorHAnsi" w:hAnsiTheme="majorHAnsi"/>
          <w:spacing w:val="7"/>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7"/>
          <w:sz w:val="20"/>
          <w:szCs w:val="20"/>
        </w:rPr>
        <w:t xml:space="preserve"> </w:t>
      </w:r>
      <w:r w:rsidRPr="000977F7">
        <w:rPr>
          <w:rFonts w:asciiTheme="majorHAnsi" w:hAnsiTheme="majorHAnsi"/>
          <w:sz w:val="20"/>
          <w:szCs w:val="20"/>
        </w:rPr>
        <w:t>середовища</w:t>
      </w:r>
    </w:p>
    <w:p w14:paraId="236E8BA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8"/>
          <w:sz w:val="20"/>
          <w:szCs w:val="20"/>
        </w:rPr>
        <w:t xml:space="preserve"> </w:t>
      </w:r>
      <w:r w:rsidRPr="000977F7">
        <w:rPr>
          <w:rFonts w:asciiTheme="majorHAnsi" w:hAnsiTheme="majorHAnsi"/>
          <w:i/>
          <w:sz w:val="20"/>
          <w:szCs w:val="20"/>
        </w:rPr>
        <w:t>3038</w:t>
      </w:r>
      <w:r w:rsidRPr="000977F7">
        <w:rPr>
          <w:rFonts w:asciiTheme="majorHAnsi" w:hAnsiTheme="majorHAnsi"/>
          <w:i/>
          <w:spacing w:val="8"/>
          <w:sz w:val="20"/>
          <w:szCs w:val="20"/>
        </w:rPr>
        <w:t xml:space="preserve"> </w:t>
      </w:r>
      <w:r w:rsidRPr="000977F7">
        <w:rPr>
          <w:rFonts w:asciiTheme="majorHAnsi" w:hAnsiTheme="majorHAnsi"/>
          <w:i/>
          <w:sz w:val="20"/>
          <w:szCs w:val="20"/>
        </w:rPr>
        <w:t>– 95</w:t>
      </w:r>
    </w:p>
    <w:p w14:paraId="62F0E22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ЕРГОНОМІЧНІСТЬ</w:t>
      </w:r>
      <w:r w:rsidRPr="000977F7">
        <w:rPr>
          <w:color w:val="auto"/>
          <w:spacing w:val="13"/>
          <w:sz w:val="20"/>
          <w:szCs w:val="20"/>
        </w:rPr>
        <w:t xml:space="preserve"> </w:t>
      </w:r>
      <w:r w:rsidRPr="000977F7">
        <w:rPr>
          <w:color w:val="auto"/>
          <w:sz w:val="20"/>
          <w:szCs w:val="20"/>
        </w:rPr>
        <w:t>ПРОДУКЦІЇ</w:t>
      </w:r>
      <w:r w:rsidRPr="000977F7">
        <w:rPr>
          <w:color w:val="auto"/>
          <w:spacing w:val="17"/>
          <w:sz w:val="20"/>
          <w:szCs w:val="20"/>
        </w:rPr>
        <w:t xml:space="preserve"> </w:t>
      </w:r>
      <w:r w:rsidRPr="000977F7">
        <w:rPr>
          <w:color w:val="auto"/>
          <w:sz w:val="20"/>
          <w:szCs w:val="20"/>
        </w:rPr>
        <w:t>–</w:t>
      </w:r>
    </w:p>
    <w:p w14:paraId="4E21EE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 конкретної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 xml:space="preserve">яка полягає в узгодженні її технічних властивостей з </w:t>
      </w:r>
      <w:r w:rsidRPr="000977F7">
        <w:rPr>
          <w:rFonts w:asciiTheme="majorHAnsi" w:hAnsiTheme="majorHAnsi"/>
          <w:sz w:val="20"/>
          <w:szCs w:val="20"/>
        </w:rPr>
        <w:t>ергономічними</w:t>
      </w:r>
      <w:r w:rsidRPr="000977F7">
        <w:rPr>
          <w:rFonts w:asciiTheme="majorHAnsi" w:hAnsiTheme="majorHAnsi"/>
          <w:spacing w:val="1"/>
          <w:sz w:val="20"/>
          <w:szCs w:val="20"/>
        </w:rPr>
        <w:t xml:space="preserve"> </w:t>
      </w:r>
      <w:r w:rsidRPr="000977F7">
        <w:rPr>
          <w:rFonts w:asciiTheme="majorHAnsi" w:hAnsiTheme="majorHAnsi"/>
          <w:sz w:val="20"/>
          <w:szCs w:val="20"/>
        </w:rPr>
        <w:t>потребами</w:t>
      </w:r>
      <w:r w:rsidRPr="000977F7">
        <w:rPr>
          <w:rFonts w:asciiTheme="majorHAnsi" w:hAnsiTheme="majorHAnsi"/>
          <w:spacing w:val="1"/>
          <w:sz w:val="20"/>
          <w:szCs w:val="20"/>
        </w:rPr>
        <w:t xml:space="preserve"> </w:t>
      </w:r>
      <w:r w:rsidRPr="000977F7">
        <w:rPr>
          <w:rFonts w:asciiTheme="majorHAnsi" w:hAnsiTheme="majorHAnsi"/>
          <w:sz w:val="20"/>
          <w:szCs w:val="20"/>
        </w:rPr>
        <w:t>(вимогами)</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властивостями</w:t>
      </w:r>
      <w:r w:rsidRPr="000977F7">
        <w:rPr>
          <w:rFonts w:asciiTheme="majorHAnsi" w:hAnsiTheme="majorHAnsi"/>
          <w:spacing w:val="1"/>
          <w:sz w:val="20"/>
          <w:szCs w:val="20"/>
        </w:rPr>
        <w:t xml:space="preserve"> </w:t>
      </w:r>
      <w:r w:rsidRPr="000977F7">
        <w:rPr>
          <w:rFonts w:asciiTheme="majorHAnsi" w:hAnsiTheme="majorHAnsi"/>
          <w:sz w:val="20"/>
          <w:szCs w:val="20"/>
        </w:rPr>
        <w:t>людини</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користувача</w:t>
      </w:r>
      <w:r w:rsidRPr="000977F7">
        <w:rPr>
          <w:rFonts w:asciiTheme="majorHAnsi" w:hAnsiTheme="majorHAnsi"/>
          <w:spacing w:val="5"/>
          <w:sz w:val="20"/>
          <w:szCs w:val="20"/>
        </w:rPr>
        <w:t xml:space="preserve"> </w:t>
      </w:r>
      <w:r w:rsidRPr="000977F7">
        <w:rPr>
          <w:rFonts w:asciiTheme="majorHAnsi" w:hAnsiTheme="majorHAnsi"/>
          <w:sz w:val="20"/>
          <w:szCs w:val="20"/>
        </w:rPr>
        <w:t>(споживача)</w:t>
      </w:r>
    </w:p>
    <w:p w14:paraId="06C1E54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3"/>
          <w:sz w:val="20"/>
          <w:szCs w:val="20"/>
        </w:rPr>
        <w:t xml:space="preserve"> </w:t>
      </w:r>
      <w:r w:rsidRPr="000977F7">
        <w:rPr>
          <w:rFonts w:asciiTheme="majorHAnsi" w:hAnsiTheme="majorHAnsi"/>
          <w:sz w:val="20"/>
          <w:szCs w:val="20"/>
        </w:rPr>
        <w:t>р</w:t>
      </w:r>
      <w:r w:rsidRPr="000977F7">
        <w:rPr>
          <w:rFonts w:asciiTheme="majorHAnsi" w:hAnsiTheme="majorHAnsi"/>
          <w:spacing w:val="5"/>
          <w:sz w:val="20"/>
          <w:szCs w:val="20"/>
        </w:rPr>
        <w:t xml:space="preserve"> </w:t>
      </w:r>
      <w:r w:rsidRPr="000977F7">
        <w:rPr>
          <w:rFonts w:asciiTheme="majorHAnsi" w:hAnsiTheme="majorHAnsi"/>
          <w:sz w:val="20"/>
          <w:szCs w:val="20"/>
        </w:rPr>
        <w:t>и</w:t>
      </w:r>
      <w:r w:rsidRPr="000977F7">
        <w:rPr>
          <w:rFonts w:asciiTheme="majorHAnsi" w:hAnsiTheme="majorHAnsi"/>
          <w:spacing w:val="3"/>
          <w:sz w:val="20"/>
          <w:szCs w:val="20"/>
        </w:rPr>
        <w:t xml:space="preserve"> </w:t>
      </w:r>
      <w:r w:rsidRPr="000977F7">
        <w:rPr>
          <w:rFonts w:asciiTheme="majorHAnsi" w:hAnsiTheme="majorHAnsi"/>
          <w:sz w:val="20"/>
          <w:szCs w:val="20"/>
        </w:rPr>
        <w:t>м</w:t>
      </w:r>
      <w:r w:rsidRPr="000977F7">
        <w:rPr>
          <w:rFonts w:asciiTheme="majorHAnsi" w:hAnsiTheme="majorHAnsi"/>
          <w:spacing w:val="3"/>
          <w:sz w:val="20"/>
          <w:szCs w:val="20"/>
        </w:rPr>
        <w:t xml:space="preserve"> </w:t>
      </w:r>
      <w:r w:rsidRPr="000977F7">
        <w:rPr>
          <w:rFonts w:asciiTheme="majorHAnsi" w:hAnsiTheme="majorHAnsi"/>
          <w:sz w:val="20"/>
          <w:szCs w:val="20"/>
        </w:rPr>
        <w:t>і</w:t>
      </w:r>
      <w:r w:rsidRPr="000977F7">
        <w:rPr>
          <w:rFonts w:asciiTheme="majorHAnsi" w:hAnsiTheme="majorHAnsi"/>
          <w:spacing w:val="4"/>
          <w:sz w:val="20"/>
          <w:szCs w:val="20"/>
        </w:rPr>
        <w:t xml:space="preserve"> </w:t>
      </w:r>
      <w:r w:rsidRPr="000977F7">
        <w:rPr>
          <w:rFonts w:asciiTheme="majorHAnsi" w:hAnsiTheme="majorHAnsi"/>
          <w:sz w:val="20"/>
          <w:szCs w:val="20"/>
        </w:rPr>
        <w:t>т</w:t>
      </w:r>
      <w:r w:rsidRPr="000977F7">
        <w:rPr>
          <w:rFonts w:asciiTheme="majorHAnsi" w:hAnsiTheme="majorHAnsi"/>
          <w:spacing w:val="3"/>
          <w:sz w:val="20"/>
          <w:szCs w:val="20"/>
        </w:rPr>
        <w:t xml:space="preserve"> </w:t>
      </w:r>
      <w:r w:rsidRPr="000977F7">
        <w:rPr>
          <w:rFonts w:asciiTheme="majorHAnsi" w:hAnsiTheme="majorHAnsi"/>
          <w:sz w:val="20"/>
          <w:szCs w:val="20"/>
        </w:rPr>
        <w:t>к</w:t>
      </w:r>
      <w:r w:rsidRPr="000977F7">
        <w:rPr>
          <w:rFonts w:asciiTheme="majorHAnsi" w:hAnsiTheme="majorHAnsi"/>
          <w:spacing w:val="4"/>
          <w:sz w:val="20"/>
          <w:szCs w:val="20"/>
        </w:rPr>
        <w:t xml:space="preserve"> </w:t>
      </w:r>
      <w:r w:rsidRPr="000977F7">
        <w:rPr>
          <w:rFonts w:asciiTheme="majorHAnsi" w:hAnsiTheme="majorHAnsi"/>
          <w:sz w:val="20"/>
          <w:szCs w:val="20"/>
        </w:rPr>
        <w:t>а:</w:t>
      </w:r>
    </w:p>
    <w:p w14:paraId="57850AC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Ергономічність продукції характеризує систему</w:t>
      </w:r>
    </w:p>
    <w:p w14:paraId="25FAC95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"людина – продукція" і враховує комплекс гігієнічних,</w:t>
      </w:r>
      <w:r w:rsidRPr="000977F7">
        <w:rPr>
          <w:rFonts w:asciiTheme="majorHAnsi" w:hAnsiTheme="majorHAnsi"/>
          <w:spacing w:val="1"/>
          <w:sz w:val="20"/>
          <w:szCs w:val="20"/>
        </w:rPr>
        <w:t xml:space="preserve"> </w:t>
      </w:r>
      <w:r w:rsidRPr="000977F7">
        <w:rPr>
          <w:rFonts w:asciiTheme="majorHAnsi" w:hAnsiTheme="majorHAnsi"/>
          <w:sz w:val="20"/>
          <w:szCs w:val="20"/>
        </w:rPr>
        <w:t>антропологічних,</w:t>
      </w:r>
      <w:r w:rsidRPr="000977F7">
        <w:rPr>
          <w:rFonts w:asciiTheme="majorHAnsi" w:hAnsiTheme="majorHAnsi"/>
          <w:spacing w:val="1"/>
          <w:sz w:val="20"/>
          <w:szCs w:val="20"/>
        </w:rPr>
        <w:t xml:space="preserve"> </w:t>
      </w:r>
      <w:r w:rsidRPr="000977F7">
        <w:rPr>
          <w:rFonts w:asciiTheme="majorHAnsi" w:hAnsiTheme="majorHAnsi"/>
          <w:sz w:val="20"/>
          <w:szCs w:val="20"/>
        </w:rPr>
        <w:t>фізіологічних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психологічних властивостей людини, які виявляються у виробничих та</w:t>
      </w:r>
      <w:r w:rsidRPr="000977F7">
        <w:rPr>
          <w:rFonts w:asciiTheme="majorHAnsi" w:hAnsiTheme="majorHAnsi"/>
          <w:spacing w:val="1"/>
          <w:sz w:val="20"/>
          <w:szCs w:val="20"/>
        </w:rPr>
        <w:t xml:space="preserve"> </w:t>
      </w:r>
      <w:r w:rsidRPr="000977F7">
        <w:rPr>
          <w:rFonts w:asciiTheme="majorHAnsi" w:hAnsiTheme="majorHAnsi"/>
          <w:sz w:val="20"/>
          <w:szCs w:val="20"/>
        </w:rPr>
        <w:t>побутових процесах під час взаємодії її з</w:t>
      </w:r>
      <w:r w:rsidRPr="000977F7">
        <w:rPr>
          <w:rFonts w:asciiTheme="majorHAnsi" w:hAnsiTheme="majorHAnsi"/>
          <w:spacing w:val="1"/>
          <w:sz w:val="20"/>
          <w:szCs w:val="20"/>
        </w:rPr>
        <w:t xml:space="preserve"> </w:t>
      </w:r>
      <w:r w:rsidRPr="000977F7">
        <w:rPr>
          <w:rFonts w:asciiTheme="majorHAnsi" w:hAnsiTheme="majorHAnsi"/>
          <w:sz w:val="20"/>
          <w:szCs w:val="20"/>
        </w:rPr>
        <w:t>продукцією</w:t>
      </w:r>
    </w:p>
    <w:p w14:paraId="210BA531"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5"/>
          <w:sz w:val="20"/>
          <w:szCs w:val="20"/>
        </w:rPr>
        <w:t xml:space="preserve"> </w:t>
      </w:r>
      <w:r w:rsidRPr="000977F7">
        <w:rPr>
          <w:rFonts w:asciiTheme="majorHAnsi" w:hAnsiTheme="majorHAnsi"/>
          <w:i/>
          <w:sz w:val="20"/>
          <w:szCs w:val="20"/>
        </w:rPr>
        <w:t>3278</w:t>
      </w:r>
      <w:r w:rsidRPr="000977F7">
        <w:rPr>
          <w:rFonts w:asciiTheme="majorHAnsi" w:hAnsiTheme="majorHAnsi"/>
          <w:i/>
          <w:spacing w:val="6"/>
          <w:sz w:val="20"/>
          <w:szCs w:val="20"/>
        </w:rPr>
        <w:t xml:space="preserve"> </w:t>
      </w:r>
      <w:r w:rsidRPr="000977F7">
        <w:rPr>
          <w:rFonts w:asciiTheme="majorHAnsi" w:hAnsiTheme="majorHAnsi"/>
          <w:i/>
          <w:sz w:val="20"/>
          <w:szCs w:val="20"/>
        </w:rPr>
        <w:t>–</w:t>
      </w:r>
      <w:r w:rsidRPr="000977F7">
        <w:rPr>
          <w:rFonts w:asciiTheme="majorHAnsi" w:hAnsiTheme="majorHAnsi"/>
          <w:i/>
          <w:spacing w:val="4"/>
          <w:sz w:val="20"/>
          <w:szCs w:val="20"/>
        </w:rPr>
        <w:t xml:space="preserve"> </w:t>
      </w:r>
      <w:r w:rsidRPr="000977F7">
        <w:rPr>
          <w:rFonts w:asciiTheme="majorHAnsi" w:hAnsiTheme="majorHAnsi"/>
          <w:i/>
          <w:sz w:val="20"/>
          <w:szCs w:val="20"/>
        </w:rPr>
        <w:t>95</w:t>
      </w:r>
    </w:p>
    <w:p w14:paraId="56CD0950"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ЕРОЗІЙНА</w:t>
      </w:r>
      <w:r w:rsidRPr="000977F7">
        <w:rPr>
          <w:rFonts w:asciiTheme="majorHAnsi" w:hAnsiTheme="majorHAnsi"/>
          <w:b/>
          <w:spacing w:val="6"/>
          <w:sz w:val="20"/>
          <w:szCs w:val="20"/>
        </w:rPr>
        <w:t xml:space="preserve"> </w:t>
      </w:r>
      <w:r w:rsidRPr="000977F7">
        <w:rPr>
          <w:rFonts w:asciiTheme="majorHAnsi" w:hAnsiTheme="majorHAnsi"/>
          <w:b/>
          <w:sz w:val="20"/>
          <w:szCs w:val="20"/>
        </w:rPr>
        <w:t>КОРОЗІЯ</w:t>
      </w:r>
      <w:r w:rsidRPr="000977F7">
        <w:rPr>
          <w:rFonts w:asciiTheme="majorHAnsi" w:hAnsiTheme="majorHAnsi"/>
          <w:b/>
          <w:spacing w:val="11"/>
          <w:sz w:val="20"/>
          <w:szCs w:val="20"/>
        </w:rPr>
        <w:t xml:space="preserve"> </w:t>
      </w:r>
      <w:r w:rsidRPr="000977F7">
        <w:rPr>
          <w:rFonts w:asciiTheme="majorHAnsi" w:hAnsiTheme="majorHAnsi"/>
          <w:b/>
          <w:sz w:val="20"/>
          <w:szCs w:val="20"/>
        </w:rPr>
        <w:t>–</w:t>
      </w:r>
    </w:p>
    <w:p w14:paraId="12EB2AF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EROSION</w:t>
      </w:r>
      <w:r w:rsidRPr="000977F7">
        <w:rPr>
          <w:rFonts w:asciiTheme="majorHAnsi" w:hAnsiTheme="majorHAnsi"/>
          <w:spacing w:val="10"/>
          <w:sz w:val="20"/>
          <w:szCs w:val="20"/>
        </w:rPr>
        <w:t xml:space="preserve"> </w:t>
      </w:r>
      <w:r w:rsidRPr="000977F7">
        <w:rPr>
          <w:rFonts w:asciiTheme="majorHAnsi" w:hAnsiTheme="majorHAnsi"/>
          <w:sz w:val="20"/>
          <w:szCs w:val="20"/>
        </w:rPr>
        <w:t>–</w:t>
      </w:r>
      <w:r w:rsidRPr="000977F7">
        <w:rPr>
          <w:rFonts w:asciiTheme="majorHAnsi" w:hAnsiTheme="majorHAnsi"/>
          <w:spacing w:val="10"/>
          <w:sz w:val="20"/>
          <w:szCs w:val="20"/>
        </w:rPr>
        <w:t xml:space="preserve"> </w:t>
      </w:r>
      <w:r w:rsidRPr="000977F7">
        <w:rPr>
          <w:rFonts w:asciiTheme="majorHAnsi" w:hAnsiTheme="majorHAnsi"/>
          <w:sz w:val="20"/>
          <w:szCs w:val="20"/>
        </w:rPr>
        <w:t>CORROSION</w:t>
      </w:r>
      <w:r w:rsidRPr="000977F7">
        <w:rPr>
          <w:rFonts w:asciiTheme="majorHAnsi" w:hAnsiTheme="majorHAnsi"/>
          <w:spacing w:val="11"/>
          <w:sz w:val="20"/>
          <w:szCs w:val="20"/>
        </w:rPr>
        <w:t xml:space="preserve"> </w:t>
      </w:r>
      <w:r w:rsidRPr="000977F7">
        <w:rPr>
          <w:rFonts w:asciiTheme="majorHAnsi" w:hAnsiTheme="majorHAnsi"/>
          <w:sz w:val="20"/>
          <w:szCs w:val="20"/>
        </w:rPr>
        <w:t>–</w:t>
      </w:r>
    </w:p>
    <w:p w14:paraId="62DC049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Руйнування</w:t>
      </w:r>
      <w:r w:rsidRPr="000977F7">
        <w:rPr>
          <w:rFonts w:asciiTheme="majorHAnsi" w:hAnsiTheme="majorHAnsi"/>
          <w:spacing w:val="1"/>
          <w:sz w:val="20"/>
          <w:szCs w:val="20"/>
        </w:rPr>
        <w:t xml:space="preserve"> </w:t>
      </w:r>
      <w:r w:rsidRPr="000977F7">
        <w:rPr>
          <w:rFonts w:asciiTheme="majorHAnsi" w:hAnsiTheme="majorHAnsi"/>
          <w:sz w:val="20"/>
          <w:szCs w:val="20"/>
        </w:rPr>
        <w:t>поверхні</w:t>
      </w:r>
      <w:r w:rsidRPr="000977F7">
        <w:rPr>
          <w:rFonts w:asciiTheme="majorHAnsi" w:hAnsiTheme="majorHAnsi"/>
          <w:spacing w:val="1"/>
          <w:sz w:val="20"/>
          <w:szCs w:val="20"/>
        </w:rPr>
        <w:t xml:space="preserve"> </w:t>
      </w:r>
      <w:r w:rsidRPr="000977F7">
        <w:rPr>
          <w:rFonts w:asciiTheme="majorHAnsi" w:hAnsiTheme="majorHAnsi"/>
          <w:sz w:val="20"/>
          <w:szCs w:val="20"/>
        </w:rPr>
        <w:t>металу,</w:t>
      </w:r>
      <w:r w:rsidRPr="000977F7">
        <w:rPr>
          <w:rFonts w:asciiTheme="majorHAnsi" w:hAnsiTheme="majorHAnsi"/>
          <w:spacing w:val="1"/>
          <w:sz w:val="20"/>
          <w:szCs w:val="20"/>
        </w:rPr>
        <w:t xml:space="preserve"> </w:t>
      </w:r>
      <w:r w:rsidRPr="000977F7">
        <w:rPr>
          <w:rFonts w:asciiTheme="majorHAnsi" w:hAnsiTheme="majorHAnsi"/>
          <w:sz w:val="20"/>
          <w:szCs w:val="20"/>
        </w:rPr>
        <w:t>спричинене</w:t>
      </w:r>
      <w:r w:rsidRPr="000977F7">
        <w:rPr>
          <w:rFonts w:asciiTheme="majorHAnsi" w:hAnsiTheme="majorHAnsi"/>
          <w:spacing w:val="1"/>
          <w:sz w:val="20"/>
          <w:szCs w:val="20"/>
        </w:rPr>
        <w:t xml:space="preserve"> </w:t>
      </w:r>
      <w:r w:rsidRPr="000977F7">
        <w:rPr>
          <w:rFonts w:asciiTheme="majorHAnsi" w:hAnsiTheme="majorHAnsi"/>
          <w:sz w:val="20"/>
          <w:szCs w:val="20"/>
        </w:rPr>
        <w:t>одночасною</w:t>
      </w:r>
      <w:r w:rsidRPr="000977F7">
        <w:rPr>
          <w:rFonts w:asciiTheme="majorHAnsi" w:hAnsiTheme="majorHAnsi"/>
          <w:spacing w:val="1"/>
          <w:sz w:val="20"/>
          <w:szCs w:val="20"/>
        </w:rPr>
        <w:t xml:space="preserve"> </w:t>
      </w:r>
      <w:r w:rsidRPr="000977F7">
        <w:rPr>
          <w:rFonts w:asciiTheme="majorHAnsi" w:hAnsiTheme="majorHAnsi"/>
          <w:sz w:val="20"/>
          <w:szCs w:val="20"/>
        </w:rPr>
        <w:t>дією</w:t>
      </w:r>
      <w:r w:rsidRPr="000977F7">
        <w:rPr>
          <w:rFonts w:asciiTheme="majorHAnsi" w:hAnsiTheme="majorHAnsi"/>
          <w:spacing w:val="1"/>
          <w:sz w:val="20"/>
          <w:szCs w:val="20"/>
        </w:rPr>
        <w:t xml:space="preserve"> </w:t>
      </w:r>
      <w:r w:rsidRPr="000977F7">
        <w:rPr>
          <w:rFonts w:asciiTheme="majorHAnsi" w:hAnsiTheme="majorHAnsi"/>
          <w:sz w:val="20"/>
          <w:szCs w:val="20"/>
        </w:rPr>
        <w:t>механічних</w:t>
      </w:r>
      <w:r w:rsidRPr="000977F7">
        <w:rPr>
          <w:rFonts w:asciiTheme="majorHAnsi" w:hAnsiTheme="majorHAnsi"/>
          <w:spacing w:val="1"/>
          <w:sz w:val="20"/>
          <w:szCs w:val="20"/>
        </w:rPr>
        <w:t xml:space="preserve"> </w:t>
      </w:r>
      <w:r w:rsidRPr="000977F7">
        <w:rPr>
          <w:rFonts w:asciiTheme="majorHAnsi" w:hAnsiTheme="majorHAnsi"/>
          <w:sz w:val="20"/>
          <w:szCs w:val="20"/>
        </w:rPr>
        <w:t>чинників</w:t>
      </w:r>
      <w:r w:rsidRPr="000977F7">
        <w:rPr>
          <w:rFonts w:asciiTheme="majorHAnsi" w:hAnsiTheme="majorHAnsi"/>
          <w:spacing w:val="1"/>
          <w:sz w:val="20"/>
          <w:szCs w:val="20"/>
        </w:rPr>
        <w:t xml:space="preserve"> </w:t>
      </w:r>
      <w:r w:rsidRPr="000977F7">
        <w:rPr>
          <w:rFonts w:asciiTheme="majorHAnsi" w:hAnsiTheme="majorHAnsi"/>
          <w:sz w:val="20"/>
          <w:szCs w:val="20"/>
        </w:rPr>
        <w:t>(швидкоплинного</w:t>
      </w:r>
      <w:r w:rsidRPr="000977F7">
        <w:rPr>
          <w:rFonts w:asciiTheme="majorHAnsi" w:hAnsiTheme="majorHAnsi"/>
          <w:spacing w:val="1"/>
          <w:sz w:val="20"/>
          <w:szCs w:val="20"/>
        </w:rPr>
        <w:t xml:space="preserve"> </w:t>
      </w:r>
      <w:r w:rsidRPr="000977F7">
        <w:rPr>
          <w:rFonts w:asciiTheme="majorHAnsi" w:hAnsiTheme="majorHAnsi"/>
          <w:sz w:val="20"/>
          <w:szCs w:val="20"/>
        </w:rPr>
        <w:t>потоку рідини, потоку рідини з твердими частинками)</w:t>
      </w:r>
      <w:r w:rsidRPr="000977F7">
        <w:rPr>
          <w:rFonts w:asciiTheme="majorHAnsi" w:hAnsiTheme="majorHAnsi"/>
          <w:spacing w:val="5"/>
          <w:sz w:val="20"/>
          <w:szCs w:val="20"/>
        </w:rPr>
        <w:t xml:space="preserve"> </w:t>
      </w:r>
      <w:r w:rsidRPr="000977F7">
        <w:rPr>
          <w:rFonts w:asciiTheme="majorHAnsi" w:hAnsiTheme="majorHAnsi"/>
          <w:sz w:val="20"/>
          <w:szCs w:val="20"/>
        </w:rPr>
        <w:t>і</w:t>
      </w:r>
      <w:r w:rsidRPr="000977F7">
        <w:rPr>
          <w:rFonts w:asciiTheme="majorHAnsi" w:hAnsiTheme="majorHAnsi"/>
          <w:spacing w:val="4"/>
          <w:sz w:val="20"/>
          <w:szCs w:val="20"/>
        </w:rPr>
        <w:t xml:space="preserve"> </w:t>
      </w:r>
      <w:r w:rsidRPr="000977F7">
        <w:rPr>
          <w:rFonts w:asciiTheme="majorHAnsi" w:hAnsiTheme="majorHAnsi"/>
          <w:sz w:val="20"/>
          <w:szCs w:val="20"/>
        </w:rPr>
        <w:t>корозії</w:t>
      </w:r>
    </w:p>
    <w:p w14:paraId="2DA9244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9"/>
          <w:sz w:val="20"/>
          <w:szCs w:val="20"/>
        </w:rPr>
        <w:t xml:space="preserve"> </w:t>
      </w:r>
      <w:r w:rsidRPr="000977F7">
        <w:rPr>
          <w:rFonts w:asciiTheme="majorHAnsi" w:hAnsiTheme="majorHAnsi"/>
          <w:i/>
          <w:sz w:val="20"/>
          <w:szCs w:val="20"/>
        </w:rPr>
        <w:t>3830</w:t>
      </w:r>
      <w:r w:rsidRPr="000977F7">
        <w:rPr>
          <w:rFonts w:asciiTheme="majorHAnsi" w:hAnsiTheme="majorHAnsi"/>
          <w:i/>
          <w:spacing w:val="9"/>
          <w:sz w:val="20"/>
          <w:szCs w:val="20"/>
        </w:rPr>
        <w:t xml:space="preserve"> </w:t>
      </w:r>
      <w:r w:rsidRPr="000977F7">
        <w:rPr>
          <w:rFonts w:asciiTheme="majorHAnsi" w:hAnsiTheme="majorHAnsi"/>
          <w:i/>
          <w:sz w:val="20"/>
          <w:szCs w:val="20"/>
        </w:rPr>
        <w:t>–</w:t>
      </w:r>
      <w:r w:rsidRPr="000977F7">
        <w:rPr>
          <w:rFonts w:asciiTheme="majorHAnsi" w:hAnsiTheme="majorHAnsi"/>
          <w:i/>
          <w:spacing w:val="8"/>
          <w:sz w:val="20"/>
          <w:szCs w:val="20"/>
        </w:rPr>
        <w:t xml:space="preserve"> </w:t>
      </w:r>
      <w:r w:rsidRPr="000977F7">
        <w:rPr>
          <w:rFonts w:asciiTheme="majorHAnsi" w:hAnsiTheme="majorHAnsi"/>
          <w:i/>
          <w:sz w:val="20"/>
          <w:szCs w:val="20"/>
        </w:rPr>
        <w:t>98</w:t>
      </w:r>
    </w:p>
    <w:p w14:paraId="4CE137DE" w14:textId="77777777" w:rsidR="0097612F" w:rsidRPr="000977F7" w:rsidRDefault="0097612F" w:rsidP="000977F7">
      <w:pPr>
        <w:pStyle w:val="7"/>
        <w:tabs>
          <w:tab w:val="left" w:pos="284"/>
        </w:tabs>
        <w:spacing w:before="0" w:line="240" w:lineRule="auto"/>
        <w:ind w:left="170"/>
        <w:mirrorIndents/>
        <w:jc w:val="both"/>
        <w:rPr>
          <w:color w:val="auto"/>
          <w:spacing w:val="-12"/>
          <w:sz w:val="20"/>
          <w:szCs w:val="20"/>
        </w:rPr>
      </w:pPr>
      <w:r w:rsidRPr="000977F7">
        <w:rPr>
          <w:color w:val="auto"/>
          <w:spacing w:val="-12"/>
          <w:sz w:val="20"/>
          <w:szCs w:val="20"/>
        </w:rPr>
        <w:t>ЕСКІЗНИЙ КОНСТРУКТОРСЬКИЙ ДОКУМЕНТ –</w:t>
      </w:r>
    </w:p>
    <w:p w14:paraId="7729207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Креслення,</w:t>
      </w:r>
      <w:r w:rsidRPr="000977F7">
        <w:rPr>
          <w:rFonts w:asciiTheme="majorHAnsi" w:hAnsiTheme="majorHAnsi"/>
          <w:spacing w:val="1"/>
          <w:sz w:val="20"/>
          <w:szCs w:val="20"/>
        </w:rPr>
        <w:t xml:space="preserve"> </w:t>
      </w:r>
      <w:r w:rsidRPr="000977F7">
        <w:rPr>
          <w:rFonts w:asciiTheme="majorHAnsi" w:hAnsiTheme="majorHAnsi"/>
          <w:sz w:val="20"/>
          <w:szCs w:val="20"/>
        </w:rPr>
        <w:t>виконане</w:t>
      </w:r>
      <w:r w:rsidRPr="000977F7">
        <w:rPr>
          <w:rFonts w:asciiTheme="majorHAnsi" w:hAnsiTheme="majorHAnsi"/>
          <w:spacing w:val="1"/>
          <w:sz w:val="20"/>
          <w:szCs w:val="20"/>
        </w:rPr>
        <w:t xml:space="preserve"> </w:t>
      </w:r>
      <w:r w:rsidRPr="000977F7">
        <w:rPr>
          <w:rFonts w:asciiTheme="majorHAnsi" w:hAnsiTheme="majorHAnsi"/>
          <w:sz w:val="20"/>
          <w:szCs w:val="20"/>
        </w:rPr>
        <w:t>без</w:t>
      </w:r>
      <w:r w:rsidRPr="000977F7">
        <w:rPr>
          <w:rFonts w:asciiTheme="majorHAnsi" w:hAnsiTheme="majorHAnsi"/>
          <w:spacing w:val="1"/>
          <w:sz w:val="20"/>
          <w:szCs w:val="20"/>
        </w:rPr>
        <w:t xml:space="preserve"> </w:t>
      </w:r>
      <w:r w:rsidRPr="000977F7">
        <w:rPr>
          <w:rFonts w:asciiTheme="majorHAnsi" w:hAnsiTheme="majorHAnsi"/>
          <w:sz w:val="20"/>
          <w:szCs w:val="20"/>
        </w:rPr>
        <w:t>дотримання</w:t>
      </w:r>
      <w:r w:rsidRPr="000977F7">
        <w:rPr>
          <w:rFonts w:asciiTheme="majorHAnsi" w:hAnsiTheme="majorHAnsi"/>
          <w:spacing w:val="1"/>
          <w:sz w:val="20"/>
          <w:szCs w:val="20"/>
        </w:rPr>
        <w:t xml:space="preserve"> </w:t>
      </w:r>
      <w:r w:rsidRPr="000977F7">
        <w:rPr>
          <w:rFonts w:asciiTheme="majorHAnsi" w:hAnsiTheme="majorHAnsi"/>
          <w:sz w:val="20"/>
          <w:szCs w:val="20"/>
        </w:rPr>
        <w:t>масштабу</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призначене</w:t>
      </w:r>
      <w:r w:rsidRPr="000977F7">
        <w:rPr>
          <w:rFonts w:asciiTheme="majorHAnsi" w:hAnsiTheme="majorHAnsi"/>
          <w:spacing w:val="6"/>
          <w:sz w:val="20"/>
          <w:szCs w:val="20"/>
        </w:rPr>
        <w:t xml:space="preserve"> </w:t>
      </w:r>
      <w:r w:rsidRPr="000977F7">
        <w:rPr>
          <w:rFonts w:asciiTheme="majorHAnsi" w:hAnsiTheme="majorHAnsi"/>
          <w:sz w:val="20"/>
          <w:szCs w:val="20"/>
        </w:rPr>
        <w:t>для</w:t>
      </w:r>
      <w:r w:rsidRPr="000977F7">
        <w:rPr>
          <w:rFonts w:asciiTheme="majorHAnsi" w:hAnsiTheme="majorHAnsi"/>
          <w:spacing w:val="5"/>
          <w:sz w:val="20"/>
          <w:szCs w:val="20"/>
        </w:rPr>
        <w:t xml:space="preserve"> </w:t>
      </w:r>
      <w:r w:rsidRPr="000977F7">
        <w:rPr>
          <w:rFonts w:asciiTheme="majorHAnsi" w:hAnsiTheme="majorHAnsi"/>
          <w:sz w:val="20"/>
          <w:szCs w:val="20"/>
        </w:rPr>
        <w:t>разового</w:t>
      </w:r>
      <w:r w:rsidRPr="000977F7">
        <w:rPr>
          <w:rFonts w:asciiTheme="majorHAnsi" w:hAnsiTheme="majorHAnsi"/>
          <w:spacing w:val="6"/>
          <w:sz w:val="20"/>
          <w:szCs w:val="20"/>
        </w:rPr>
        <w:t xml:space="preserve"> </w:t>
      </w:r>
      <w:r w:rsidRPr="000977F7">
        <w:rPr>
          <w:rFonts w:asciiTheme="majorHAnsi" w:hAnsiTheme="majorHAnsi"/>
          <w:sz w:val="20"/>
          <w:szCs w:val="20"/>
        </w:rPr>
        <w:t>використання</w:t>
      </w:r>
    </w:p>
    <w:p w14:paraId="7FCEF60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6"/>
          <w:sz w:val="20"/>
          <w:szCs w:val="20"/>
        </w:rPr>
        <w:t xml:space="preserve"> </w:t>
      </w:r>
      <w:r w:rsidRPr="000977F7">
        <w:rPr>
          <w:rFonts w:asciiTheme="majorHAnsi" w:hAnsiTheme="majorHAnsi"/>
          <w:i/>
          <w:sz w:val="20"/>
          <w:szCs w:val="20"/>
        </w:rPr>
        <w:t>3321</w:t>
      </w:r>
      <w:r w:rsidRPr="000977F7">
        <w:rPr>
          <w:rFonts w:asciiTheme="majorHAnsi" w:hAnsiTheme="majorHAnsi"/>
          <w:i/>
          <w:spacing w:val="6"/>
          <w:sz w:val="20"/>
          <w:szCs w:val="20"/>
        </w:rPr>
        <w:t xml:space="preserve"> </w:t>
      </w:r>
      <w:r w:rsidRPr="000977F7">
        <w:rPr>
          <w:rFonts w:asciiTheme="majorHAnsi" w:hAnsiTheme="majorHAnsi"/>
          <w:i/>
          <w:sz w:val="20"/>
          <w:szCs w:val="20"/>
        </w:rPr>
        <w:t>–</w:t>
      </w:r>
      <w:r w:rsidRPr="000977F7">
        <w:rPr>
          <w:rFonts w:asciiTheme="majorHAnsi" w:hAnsiTheme="majorHAnsi"/>
          <w:i/>
          <w:spacing w:val="7"/>
          <w:sz w:val="20"/>
          <w:szCs w:val="20"/>
        </w:rPr>
        <w:t xml:space="preserve"> </w:t>
      </w:r>
      <w:r w:rsidRPr="000977F7">
        <w:rPr>
          <w:rFonts w:asciiTheme="majorHAnsi" w:hAnsiTheme="majorHAnsi"/>
          <w:i/>
          <w:sz w:val="20"/>
          <w:szCs w:val="20"/>
        </w:rPr>
        <w:t>2003</w:t>
      </w:r>
    </w:p>
    <w:p w14:paraId="41C250E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ЕСКІЗНИЙ</w:t>
      </w:r>
      <w:r w:rsidRPr="000977F7">
        <w:rPr>
          <w:color w:val="auto"/>
          <w:spacing w:val="8"/>
          <w:sz w:val="20"/>
          <w:szCs w:val="20"/>
        </w:rPr>
        <w:t xml:space="preserve"> </w:t>
      </w:r>
      <w:r w:rsidRPr="000977F7">
        <w:rPr>
          <w:color w:val="auto"/>
          <w:sz w:val="20"/>
          <w:szCs w:val="20"/>
        </w:rPr>
        <w:t>ПРОЕКТ</w:t>
      </w:r>
      <w:r w:rsidRPr="000977F7">
        <w:rPr>
          <w:color w:val="auto"/>
          <w:spacing w:val="12"/>
          <w:sz w:val="20"/>
          <w:szCs w:val="20"/>
        </w:rPr>
        <w:t xml:space="preserve"> </w:t>
      </w:r>
      <w:r w:rsidRPr="000977F7">
        <w:rPr>
          <w:color w:val="auto"/>
          <w:sz w:val="20"/>
          <w:szCs w:val="20"/>
        </w:rPr>
        <w:t>–</w:t>
      </w:r>
    </w:p>
    <w:p w14:paraId="56A765D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Проектна</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конструкторська</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документація,</w:t>
      </w:r>
      <w:r w:rsidRPr="000977F7">
        <w:rPr>
          <w:rFonts w:asciiTheme="majorHAnsi" w:hAnsiTheme="majorHAnsi"/>
          <w:spacing w:val="50"/>
          <w:sz w:val="20"/>
          <w:szCs w:val="20"/>
        </w:rPr>
        <w:t xml:space="preserve"> </w:t>
      </w:r>
      <w:r w:rsidRPr="000977F7">
        <w:rPr>
          <w:rFonts w:asciiTheme="majorHAnsi" w:hAnsiTheme="majorHAnsi"/>
          <w:sz w:val="20"/>
          <w:szCs w:val="20"/>
        </w:rPr>
        <w:t>яка</w:t>
      </w:r>
      <w:r w:rsidRPr="000977F7">
        <w:rPr>
          <w:rFonts w:asciiTheme="majorHAnsi" w:hAnsiTheme="majorHAnsi"/>
          <w:spacing w:val="50"/>
          <w:sz w:val="20"/>
          <w:szCs w:val="20"/>
        </w:rPr>
        <w:t xml:space="preserve"> </w:t>
      </w:r>
      <w:r w:rsidRPr="000977F7">
        <w:rPr>
          <w:rFonts w:asciiTheme="majorHAnsi" w:hAnsiTheme="majorHAnsi"/>
          <w:sz w:val="20"/>
          <w:szCs w:val="20"/>
        </w:rPr>
        <w:t>містить принципові конструктивні рішення і дає загальне уявлення про будову та принцип дії виробу, а також дані, що визначають його відповідність призначенню</w:t>
      </w:r>
    </w:p>
    <w:p w14:paraId="6EFAEFD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6"/>
          <w:sz w:val="20"/>
          <w:szCs w:val="20"/>
        </w:rPr>
        <w:t xml:space="preserve"> </w:t>
      </w:r>
      <w:r w:rsidRPr="000977F7">
        <w:rPr>
          <w:rFonts w:asciiTheme="majorHAnsi" w:hAnsiTheme="majorHAnsi"/>
          <w:i/>
          <w:sz w:val="20"/>
          <w:szCs w:val="20"/>
        </w:rPr>
        <w:t>3321</w:t>
      </w:r>
      <w:r w:rsidRPr="000977F7">
        <w:rPr>
          <w:rFonts w:asciiTheme="majorHAnsi" w:hAnsiTheme="majorHAnsi"/>
          <w:i/>
          <w:spacing w:val="6"/>
          <w:sz w:val="20"/>
          <w:szCs w:val="20"/>
        </w:rPr>
        <w:t xml:space="preserve"> </w:t>
      </w:r>
      <w:r w:rsidRPr="000977F7">
        <w:rPr>
          <w:rFonts w:asciiTheme="majorHAnsi" w:hAnsiTheme="majorHAnsi"/>
          <w:i/>
          <w:sz w:val="20"/>
          <w:szCs w:val="20"/>
        </w:rPr>
        <w:t>–</w:t>
      </w:r>
      <w:r w:rsidRPr="000977F7">
        <w:rPr>
          <w:rFonts w:asciiTheme="majorHAnsi" w:hAnsiTheme="majorHAnsi"/>
          <w:i/>
          <w:spacing w:val="7"/>
          <w:sz w:val="20"/>
          <w:szCs w:val="20"/>
        </w:rPr>
        <w:t xml:space="preserve"> </w:t>
      </w:r>
      <w:r w:rsidRPr="000977F7">
        <w:rPr>
          <w:rFonts w:asciiTheme="majorHAnsi" w:hAnsiTheme="majorHAnsi"/>
          <w:i/>
          <w:sz w:val="20"/>
          <w:szCs w:val="20"/>
        </w:rPr>
        <w:t>2003</w:t>
      </w:r>
    </w:p>
    <w:p w14:paraId="2BCF621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ЕСТЕТИЧНІСТЬ</w:t>
      </w:r>
      <w:r w:rsidRPr="000977F7">
        <w:rPr>
          <w:color w:val="auto"/>
          <w:spacing w:val="13"/>
          <w:sz w:val="20"/>
          <w:szCs w:val="20"/>
        </w:rPr>
        <w:t xml:space="preserve"> </w:t>
      </w:r>
      <w:r w:rsidRPr="000977F7">
        <w:rPr>
          <w:color w:val="auto"/>
          <w:sz w:val="20"/>
          <w:szCs w:val="20"/>
        </w:rPr>
        <w:t>ПРОДУКЦІЇ</w:t>
      </w:r>
      <w:r w:rsidRPr="000977F7">
        <w:rPr>
          <w:color w:val="auto"/>
          <w:spacing w:val="16"/>
          <w:sz w:val="20"/>
          <w:szCs w:val="20"/>
        </w:rPr>
        <w:t xml:space="preserve"> </w:t>
      </w:r>
      <w:r w:rsidRPr="000977F7">
        <w:rPr>
          <w:color w:val="auto"/>
          <w:sz w:val="20"/>
          <w:szCs w:val="20"/>
        </w:rPr>
        <w:t>–</w:t>
      </w:r>
    </w:p>
    <w:p w14:paraId="4DF40B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w:t>
      </w:r>
      <w:r w:rsidRPr="000977F7">
        <w:rPr>
          <w:rFonts w:asciiTheme="majorHAnsi" w:hAnsiTheme="majorHAnsi"/>
          <w:spacing w:val="1"/>
          <w:sz w:val="20"/>
          <w:szCs w:val="20"/>
        </w:rPr>
        <w:t xml:space="preserve"> </w:t>
      </w:r>
      <w:r w:rsidRPr="000977F7">
        <w:rPr>
          <w:rFonts w:asciiTheme="majorHAnsi" w:hAnsiTheme="majorHAnsi"/>
          <w:sz w:val="20"/>
          <w:szCs w:val="20"/>
        </w:rPr>
        <w:t>конкретної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характеризує</w:t>
      </w:r>
      <w:r w:rsidRPr="000977F7">
        <w:rPr>
          <w:rFonts w:asciiTheme="majorHAnsi" w:hAnsiTheme="majorHAnsi"/>
          <w:spacing w:val="1"/>
          <w:sz w:val="20"/>
          <w:szCs w:val="20"/>
        </w:rPr>
        <w:t xml:space="preserve"> </w:t>
      </w:r>
      <w:r w:rsidRPr="000977F7">
        <w:rPr>
          <w:rFonts w:asciiTheme="majorHAnsi" w:hAnsiTheme="majorHAnsi"/>
          <w:sz w:val="20"/>
          <w:szCs w:val="20"/>
        </w:rPr>
        <w:t>інформаційну</w:t>
      </w:r>
      <w:r w:rsidRPr="000977F7">
        <w:rPr>
          <w:rFonts w:asciiTheme="majorHAnsi" w:hAnsiTheme="majorHAnsi"/>
          <w:spacing w:val="1"/>
          <w:sz w:val="20"/>
          <w:szCs w:val="20"/>
        </w:rPr>
        <w:t xml:space="preserve"> </w:t>
      </w:r>
      <w:r w:rsidRPr="000977F7">
        <w:rPr>
          <w:rFonts w:asciiTheme="majorHAnsi" w:hAnsiTheme="majorHAnsi"/>
          <w:sz w:val="20"/>
          <w:szCs w:val="20"/>
        </w:rPr>
        <w:t>виразність,</w:t>
      </w:r>
      <w:r w:rsidRPr="000977F7">
        <w:rPr>
          <w:rFonts w:asciiTheme="majorHAnsi" w:hAnsiTheme="majorHAnsi"/>
          <w:spacing w:val="1"/>
          <w:sz w:val="20"/>
          <w:szCs w:val="20"/>
        </w:rPr>
        <w:t xml:space="preserve"> </w:t>
      </w:r>
      <w:r w:rsidRPr="000977F7">
        <w:rPr>
          <w:rFonts w:asciiTheme="majorHAnsi" w:hAnsiTheme="majorHAnsi"/>
          <w:sz w:val="20"/>
          <w:szCs w:val="20"/>
        </w:rPr>
        <w:t>раціональність</w:t>
      </w:r>
      <w:r w:rsidRPr="000977F7">
        <w:rPr>
          <w:rFonts w:asciiTheme="majorHAnsi" w:hAnsiTheme="majorHAnsi"/>
          <w:spacing w:val="1"/>
          <w:sz w:val="20"/>
          <w:szCs w:val="20"/>
        </w:rPr>
        <w:t xml:space="preserve"> </w:t>
      </w:r>
      <w:r w:rsidRPr="000977F7">
        <w:rPr>
          <w:rFonts w:asciiTheme="majorHAnsi" w:hAnsiTheme="majorHAnsi"/>
          <w:sz w:val="20"/>
          <w:szCs w:val="20"/>
        </w:rPr>
        <w:t>форми,</w:t>
      </w:r>
      <w:r w:rsidRPr="000977F7">
        <w:rPr>
          <w:rFonts w:asciiTheme="majorHAnsi" w:hAnsiTheme="majorHAnsi"/>
          <w:spacing w:val="1"/>
          <w:sz w:val="20"/>
          <w:szCs w:val="20"/>
        </w:rPr>
        <w:t xml:space="preserve"> </w:t>
      </w:r>
      <w:r w:rsidRPr="000977F7">
        <w:rPr>
          <w:rFonts w:asciiTheme="majorHAnsi" w:hAnsiTheme="majorHAnsi"/>
          <w:sz w:val="20"/>
          <w:szCs w:val="20"/>
        </w:rPr>
        <w:t>цілісність</w:t>
      </w:r>
      <w:r w:rsidRPr="000977F7">
        <w:rPr>
          <w:rFonts w:asciiTheme="majorHAnsi" w:hAnsiTheme="majorHAnsi"/>
          <w:spacing w:val="1"/>
          <w:sz w:val="20"/>
          <w:szCs w:val="20"/>
        </w:rPr>
        <w:t xml:space="preserve"> </w:t>
      </w:r>
      <w:r w:rsidRPr="000977F7">
        <w:rPr>
          <w:rFonts w:asciiTheme="majorHAnsi" w:hAnsiTheme="majorHAnsi"/>
          <w:sz w:val="20"/>
          <w:szCs w:val="20"/>
        </w:rPr>
        <w:t>композиції,</w:t>
      </w:r>
      <w:r w:rsidRPr="000977F7">
        <w:rPr>
          <w:rFonts w:asciiTheme="majorHAnsi" w:hAnsiTheme="majorHAnsi"/>
          <w:spacing w:val="1"/>
          <w:sz w:val="20"/>
          <w:szCs w:val="20"/>
        </w:rPr>
        <w:t xml:space="preserve"> </w:t>
      </w:r>
      <w:r w:rsidRPr="000977F7">
        <w:rPr>
          <w:rFonts w:asciiTheme="majorHAnsi" w:hAnsiTheme="majorHAnsi"/>
          <w:sz w:val="20"/>
          <w:szCs w:val="20"/>
        </w:rPr>
        <w:t>досконалість</w:t>
      </w:r>
      <w:r w:rsidRPr="000977F7">
        <w:rPr>
          <w:rFonts w:asciiTheme="majorHAnsi" w:hAnsiTheme="majorHAnsi"/>
          <w:spacing w:val="1"/>
          <w:sz w:val="20"/>
          <w:szCs w:val="20"/>
        </w:rPr>
        <w:t xml:space="preserve"> </w:t>
      </w:r>
      <w:r w:rsidRPr="000977F7">
        <w:rPr>
          <w:rFonts w:asciiTheme="majorHAnsi" w:hAnsiTheme="majorHAnsi"/>
          <w:sz w:val="20"/>
          <w:szCs w:val="20"/>
        </w:rPr>
        <w:t>виконання та</w:t>
      </w:r>
      <w:r w:rsidRPr="000977F7">
        <w:rPr>
          <w:rFonts w:asciiTheme="majorHAnsi" w:hAnsiTheme="majorHAnsi"/>
          <w:spacing w:val="1"/>
          <w:sz w:val="20"/>
          <w:szCs w:val="20"/>
        </w:rPr>
        <w:t xml:space="preserve"> </w:t>
      </w:r>
      <w:r w:rsidRPr="000977F7">
        <w:rPr>
          <w:rFonts w:asciiTheme="majorHAnsi" w:hAnsiTheme="majorHAnsi"/>
          <w:sz w:val="20"/>
          <w:szCs w:val="20"/>
        </w:rPr>
        <w:t>стабільність</w:t>
      </w:r>
      <w:r w:rsidRPr="000977F7">
        <w:rPr>
          <w:rFonts w:asciiTheme="majorHAnsi" w:hAnsiTheme="majorHAnsi"/>
          <w:spacing w:val="6"/>
          <w:sz w:val="20"/>
          <w:szCs w:val="20"/>
        </w:rPr>
        <w:t xml:space="preserve"> </w:t>
      </w:r>
      <w:r w:rsidRPr="000977F7">
        <w:rPr>
          <w:rFonts w:asciiTheme="majorHAnsi" w:hAnsiTheme="majorHAnsi"/>
          <w:sz w:val="20"/>
          <w:szCs w:val="20"/>
        </w:rPr>
        <w:t>товарного</w:t>
      </w:r>
      <w:r w:rsidRPr="000977F7">
        <w:rPr>
          <w:rFonts w:asciiTheme="majorHAnsi" w:hAnsiTheme="majorHAnsi"/>
          <w:spacing w:val="6"/>
          <w:sz w:val="20"/>
          <w:szCs w:val="20"/>
        </w:rPr>
        <w:t xml:space="preserve"> </w:t>
      </w:r>
      <w:r w:rsidRPr="000977F7">
        <w:rPr>
          <w:rFonts w:asciiTheme="majorHAnsi" w:hAnsiTheme="majorHAnsi"/>
          <w:sz w:val="20"/>
          <w:szCs w:val="20"/>
        </w:rPr>
        <w:t>вигляду</w:t>
      </w:r>
      <w:r w:rsidRPr="000977F7">
        <w:rPr>
          <w:rFonts w:asciiTheme="majorHAnsi" w:hAnsiTheme="majorHAnsi"/>
          <w:spacing w:val="4"/>
          <w:sz w:val="20"/>
          <w:szCs w:val="20"/>
        </w:rPr>
        <w:t xml:space="preserve"> </w:t>
      </w:r>
      <w:r w:rsidRPr="000977F7">
        <w:rPr>
          <w:rFonts w:asciiTheme="majorHAnsi" w:hAnsiTheme="majorHAnsi"/>
          <w:sz w:val="20"/>
          <w:szCs w:val="20"/>
        </w:rPr>
        <w:t>продукції</w:t>
      </w:r>
    </w:p>
    <w:p w14:paraId="2668A3A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7"/>
          <w:sz w:val="20"/>
          <w:szCs w:val="20"/>
          <w:lang w:val="en-US"/>
        </w:rPr>
        <w:t xml:space="preserve"> </w:t>
      </w:r>
      <w:r w:rsidRPr="004D2D14">
        <w:rPr>
          <w:rFonts w:asciiTheme="majorHAnsi" w:hAnsiTheme="majorHAnsi"/>
          <w:i/>
          <w:sz w:val="20"/>
          <w:szCs w:val="20"/>
          <w:lang w:val="en-US"/>
        </w:rPr>
        <w:t>3278</w:t>
      </w:r>
      <w:r w:rsidRPr="004D2D14">
        <w:rPr>
          <w:rFonts w:asciiTheme="majorHAnsi" w:hAnsiTheme="majorHAnsi"/>
          <w:i/>
          <w:spacing w:val="8"/>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7"/>
          <w:sz w:val="20"/>
          <w:szCs w:val="20"/>
          <w:lang w:val="en-US"/>
        </w:rPr>
        <w:t xml:space="preserve"> </w:t>
      </w:r>
      <w:r w:rsidRPr="004D2D14">
        <w:rPr>
          <w:rFonts w:asciiTheme="majorHAnsi" w:hAnsiTheme="majorHAnsi"/>
          <w:i/>
          <w:sz w:val="20"/>
          <w:szCs w:val="20"/>
          <w:lang w:val="en-US"/>
        </w:rPr>
        <w:t>95</w:t>
      </w:r>
    </w:p>
    <w:p w14:paraId="175B2C3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ЕТАЛОН</w:t>
      </w:r>
      <w:r w:rsidRPr="000977F7">
        <w:rPr>
          <w:color w:val="auto"/>
          <w:spacing w:val="9"/>
          <w:sz w:val="20"/>
          <w:szCs w:val="20"/>
        </w:rPr>
        <w:t xml:space="preserve"> </w:t>
      </w:r>
      <w:r w:rsidRPr="000977F7">
        <w:rPr>
          <w:color w:val="auto"/>
          <w:sz w:val="20"/>
          <w:szCs w:val="20"/>
        </w:rPr>
        <w:t>–</w:t>
      </w:r>
    </w:p>
    <w:p w14:paraId="1FBB043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MEASUREMENT</w:t>
      </w:r>
      <w:r w:rsidRPr="004D2D14">
        <w:rPr>
          <w:rFonts w:asciiTheme="majorHAnsi" w:hAnsiTheme="majorHAnsi"/>
          <w:spacing w:val="13"/>
          <w:sz w:val="20"/>
          <w:szCs w:val="20"/>
          <w:lang w:val="en-US"/>
        </w:rPr>
        <w:t xml:space="preserve"> </w:t>
      </w:r>
      <w:r w:rsidRPr="004D2D14">
        <w:rPr>
          <w:rFonts w:asciiTheme="majorHAnsi" w:hAnsiTheme="majorHAnsi"/>
          <w:sz w:val="20"/>
          <w:szCs w:val="20"/>
          <w:lang w:val="en-US"/>
        </w:rPr>
        <w:t>STANDART;</w:t>
      </w:r>
      <w:r w:rsidRPr="004D2D14">
        <w:rPr>
          <w:rFonts w:asciiTheme="majorHAnsi" w:hAnsiTheme="majorHAnsi"/>
          <w:spacing w:val="11"/>
          <w:sz w:val="20"/>
          <w:szCs w:val="20"/>
          <w:lang w:val="en-US"/>
        </w:rPr>
        <w:t xml:space="preserve"> </w:t>
      </w:r>
      <w:r w:rsidRPr="004D2D14">
        <w:rPr>
          <w:rFonts w:asciiTheme="majorHAnsi" w:hAnsiTheme="majorHAnsi"/>
          <w:sz w:val="20"/>
          <w:szCs w:val="20"/>
          <w:lang w:val="en-US"/>
        </w:rPr>
        <w:t>ETALON</w:t>
      </w:r>
      <w:r w:rsidRPr="004D2D14">
        <w:rPr>
          <w:rFonts w:asciiTheme="majorHAnsi" w:hAnsiTheme="majorHAnsi"/>
          <w:spacing w:val="17"/>
          <w:sz w:val="20"/>
          <w:szCs w:val="20"/>
          <w:lang w:val="en-US"/>
        </w:rPr>
        <w:t xml:space="preserve"> </w:t>
      </w:r>
      <w:r w:rsidRPr="004D2D14">
        <w:rPr>
          <w:rFonts w:asciiTheme="majorHAnsi" w:hAnsiTheme="majorHAnsi"/>
          <w:sz w:val="20"/>
          <w:szCs w:val="20"/>
          <w:lang w:val="en-US"/>
        </w:rPr>
        <w:t>–</w:t>
      </w:r>
    </w:p>
    <w:p w14:paraId="649D25C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Засіб</w:t>
      </w:r>
      <w:r w:rsidRPr="004D2D14">
        <w:rPr>
          <w:rFonts w:asciiTheme="majorHAnsi" w:hAnsiTheme="majorHAnsi"/>
          <w:sz w:val="20"/>
          <w:szCs w:val="20"/>
          <w:lang w:val="en-US"/>
        </w:rPr>
        <w:t xml:space="preserve"> </w:t>
      </w:r>
      <w:r w:rsidRPr="000977F7">
        <w:rPr>
          <w:rFonts w:asciiTheme="majorHAnsi" w:hAnsiTheme="majorHAnsi"/>
          <w:sz w:val="20"/>
          <w:szCs w:val="20"/>
        </w:rPr>
        <w:t>вимірювальної</w:t>
      </w:r>
      <w:r w:rsidRPr="004D2D14">
        <w:rPr>
          <w:rFonts w:asciiTheme="majorHAnsi" w:hAnsiTheme="majorHAnsi"/>
          <w:sz w:val="20"/>
          <w:szCs w:val="20"/>
          <w:lang w:val="en-US"/>
        </w:rPr>
        <w:t xml:space="preserve"> </w:t>
      </w:r>
      <w:r w:rsidRPr="000977F7">
        <w:rPr>
          <w:rFonts w:asciiTheme="majorHAnsi" w:hAnsiTheme="majorHAnsi"/>
          <w:sz w:val="20"/>
          <w:szCs w:val="20"/>
        </w:rPr>
        <w:t>техніки</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що</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забезпечує</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відтворення</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зберігання</w:t>
      </w:r>
      <w:r w:rsidRPr="004D2D14">
        <w:rPr>
          <w:rFonts w:asciiTheme="majorHAnsi" w:hAnsiTheme="majorHAnsi"/>
          <w:sz w:val="20"/>
          <w:szCs w:val="20"/>
          <w:lang w:val="en-US"/>
        </w:rPr>
        <w:t xml:space="preserve"> </w:t>
      </w:r>
      <w:r w:rsidRPr="000977F7">
        <w:rPr>
          <w:rFonts w:asciiTheme="majorHAnsi" w:hAnsiTheme="majorHAnsi"/>
          <w:sz w:val="20"/>
          <w:szCs w:val="20"/>
        </w:rPr>
        <w:t>одиниці</w:t>
      </w:r>
      <w:r w:rsidRPr="004D2D14">
        <w:rPr>
          <w:rFonts w:asciiTheme="majorHAnsi" w:hAnsiTheme="majorHAnsi"/>
          <w:sz w:val="20"/>
          <w:szCs w:val="20"/>
          <w:lang w:val="en-US"/>
        </w:rPr>
        <w:t xml:space="preserve"> </w:t>
      </w:r>
      <w:r w:rsidRPr="000977F7">
        <w:rPr>
          <w:rFonts w:asciiTheme="majorHAnsi" w:hAnsiTheme="majorHAnsi"/>
          <w:sz w:val="20"/>
          <w:szCs w:val="20"/>
        </w:rPr>
        <w:t>фізичної</w:t>
      </w:r>
      <w:r w:rsidRPr="004D2D14">
        <w:rPr>
          <w:rFonts w:asciiTheme="majorHAnsi" w:hAnsiTheme="majorHAnsi"/>
          <w:sz w:val="20"/>
          <w:szCs w:val="20"/>
          <w:lang w:val="en-US"/>
        </w:rPr>
        <w:t xml:space="preserve"> </w:t>
      </w:r>
      <w:r w:rsidRPr="000977F7">
        <w:rPr>
          <w:rFonts w:asciiTheme="majorHAnsi" w:hAnsiTheme="majorHAnsi"/>
          <w:sz w:val="20"/>
          <w:szCs w:val="20"/>
        </w:rPr>
        <w:t>величини</w:t>
      </w:r>
      <w:r w:rsidRPr="004D2D14">
        <w:rPr>
          <w:rFonts w:asciiTheme="majorHAnsi" w:hAnsiTheme="majorHAnsi"/>
          <w:spacing w:val="1"/>
          <w:sz w:val="20"/>
          <w:szCs w:val="20"/>
          <w:lang w:val="en-US"/>
        </w:rPr>
        <w:t xml:space="preserve"> </w:t>
      </w:r>
      <w:r w:rsidRPr="000977F7">
        <w:rPr>
          <w:rFonts w:asciiTheme="majorHAnsi" w:hAnsiTheme="majorHAnsi"/>
          <w:sz w:val="20"/>
          <w:szCs w:val="20"/>
        </w:rPr>
        <w:t>та</w:t>
      </w:r>
      <w:r w:rsidRPr="004D2D14">
        <w:rPr>
          <w:rFonts w:asciiTheme="majorHAnsi" w:hAnsiTheme="majorHAnsi"/>
          <w:spacing w:val="1"/>
          <w:sz w:val="20"/>
          <w:szCs w:val="20"/>
          <w:lang w:val="en-US"/>
        </w:rPr>
        <w:t xml:space="preserve"> </w:t>
      </w:r>
      <w:r w:rsidRPr="000977F7">
        <w:rPr>
          <w:rFonts w:asciiTheme="majorHAnsi" w:hAnsiTheme="majorHAnsi"/>
          <w:sz w:val="20"/>
          <w:szCs w:val="20"/>
        </w:rPr>
        <w:t>передавання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її</w:t>
      </w:r>
      <w:r w:rsidRPr="004D2D14">
        <w:rPr>
          <w:rFonts w:asciiTheme="majorHAnsi" w:hAnsiTheme="majorHAnsi"/>
          <w:spacing w:val="1"/>
          <w:sz w:val="20"/>
          <w:szCs w:val="20"/>
          <w:lang w:val="en-US"/>
        </w:rPr>
        <w:t xml:space="preserve"> </w:t>
      </w:r>
      <w:r w:rsidRPr="000977F7">
        <w:rPr>
          <w:rFonts w:asciiTheme="majorHAnsi" w:hAnsiTheme="majorHAnsi"/>
          <w:sz w:val="20"/>
          <w:szCs w:val="20"/>
        </w:rPr>
        <w:t>розміру</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відповідним</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засобам</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що</w:t>
      </w:r>
      <w:r w:rsidRPr="004D2D14">
        <w:rPr>
          <w:rFonts w:asciiTheme="majorHAnsi" w:hAnsiTheme="majorHAnsi"/>
          <w:spacing w:val="-47"/>
          <w:sz w:val="20"/>
          <w:szCs w:val="20"/>
          <w:lang w:val="en-US"/>
        </w:rPr>
        <w:t xml:space="preserve"> </w:t>
      </w:r>
      <w:r w:rsidRPr="000977F7">
        <w:rPr>
          <w:rFonts w:asciiTheme="majorHAnsi" w:hAnsiTheme="majorHAnsi"/>
          <w:sz w:val="20"/>
          <w:szCs w:val="20"/>
        </w:rPr>
        <w:t>стоять</w:t>
      </w:r>
      <w:r w:rsidRPr="004D2D14">
        <w:rPr>
          <w:rFonts w:asciiTheme="majorHAnsi" w:hAnsiTheme="majorHAnsi"/>
          <w:spacing w:val="1"/>
          <w:sz w:val="20"/>
          <w:szCs w:val="20"/>
          <w:lang w:val="en-US"/>
        </w:rPr>
        <w:t xml:space="preserve"> </w:t>
      </w:r>
      <w:r w:rsidRPr="000977F7">
        <w:rPr>
          <w:rFonts w:asciiTheme="majorHAnsi" w:hAnsiTheme="majorHAnsi"/>
          <w:sz w:val="20"/>
          <w:szCs w:val="20"/>
        </w:rPr>
        <w:t>нижче</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повірочною</w:t>
      </w:r>
      <w:r w:rsidRPr="004D2D14">
        <w:rPr>
          <w:rFonts w:asciiTheme="majorHAnsi" w:hAnsiTheme="majorHAnsi"/>
          <w:spacing w:val="1"/>
          <w:sz w:val="20"/>
          <w:szCs w:val="20"/>
          <w:lang w:val="en-US"/>
        </w:rPr>
        <w:t xml:space="preserve"> </w:t>
      </w:r>
      <w:r w:rsidRPr="000977F7">
        <w:rPr>
          <w:rFonts w:asciiTheme="majorHAnsi" w:hAnsiTheme="majorHAnsi"/>
          <w:sz w:val="20"/>
          <w:szCs w:val="20"/>
        </w:rPr>
        <w:t>схемою</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офіційно</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затверджений</w:t>
      </w:r>
      <w:r w:rsidRPr="004D2D14">
        <w:rPr>
          <w:rFonts w:asciiTheme="majorHAnsi" w:hAnsiTheme="majorHAnsi"/>
          <w:spacing w:val="3"/>
          <w:sz w:val="20"/>
          <w:szCs w:val="20"/>
          <w:lang w:val="en-US"/>
        </w:rPr>
        <w:t xml:space="preserve"> </w:t>
      </w:r>
      <w:r w:rsidRPr="000977F7">
        <w:rPr>
          <w:rFonts w:asciiTheme="majorHAnsi" w:hAnsiTheme="majorHAnsi"/>
          <w:sz w:val="20"/>
          <w:szCs w:val="20"/>
        </w:rPr>
        <w:t>як</w:t>
      </w:r>
      <w:r w:rsidRPr="004D2D14">
        <w:rPr>
          <w:rFonts w:asciiTheme="majorHAnsi" w:hAnsiTheme="majorHAnsi"/>
          <w:spacing w:val="4"/>
          <w:sz w:val="20"/>
          <w:szCs w:val="20"/>
          <w:lang w:val="en-US"/>
        </w:rPr>
        <w:t xml:space="preserve"> </w:t>
      </w:r>
      <w:r w:rsidRPr="000977F7">
        <w:rPr>
          <w:rFonts w:asciiTheme="majorHAnsi" w:hAnsiTheme="majorHAnsi"/>
          <w:sz w:val="20"/>
          <w:szCs w:val="20"/>
        </w:rPr>
        <w:t>еталон</w:t>
      </w:r>
    </w:p>
    <w:p w14:paraId="7BBEB91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7"/>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8"/>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7"/>
          <w:sz w:val="20"/>
          <w:szCs w:val="20"/>
          <w:lang w:val="en-US"/>
        </w:rPr>
        <w:t xml:space="preserve"> </w:t>
      </w:r>
      <w:r w:rsidRPr="004D2D14">
        <w:rPr>
          <w:rFonts w:asciiTheme="majorHAnsi" w:hAnsiTheme="majorHAnsi"/>
          <w:i/>
          <w:sz w:val="20"/>
          <w:szCs w:val="20"/>
          <w:lang w:val="en-US"/>
        </w:rPr>
        <w:t>94</w:t>
      </w:r>
    </w:p>
    <w:p w14:paraId="5ECFFFA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ЕТАЛОН</w:t>
      </w:r>
      <w:r w:rsidRPr="000977F7">
        <w:rPr>
          <w:color w:val="auto"/>
          <w:spacing w:val="-2"/>
          <w:sz w:val="20"/>
          <w:szCs w:val="20"/>
        </w:rPr>
        <w:t xml:space="preserve"> </w:t>
      </w:r>
      <w:r w:rsidRPr="000977F7">
        <w:rPr>
          <w:color w:val="auto"/>
          <w:sz w:val="20"/>
          <w:szCs w:val="20"/>
        </w:rPr>
        <w:t>–</w:t>
      </w:r>
      <w:r w:rsidRPr="000977F7">
        <w:rPr>
          <w:color w:val="auto"/>
          <w:spacing w:val="-2"/>
          <w:sz w:val="20"/>
          <w:szCs w:val="20"/>
        </w:rPr>
        <w:t xml:space="preserve"> </w:t>
      </w:r>
      <w:r w:rsidRPr="000977F7">
        <w:rPr>
          <w:color w:val="auto"/>
          <w:sz w:val="20"/>
          <w:szCs w:val="20"/>
        </w:rPr>
        <w:t>КОПІЯ</w:t>
      </w:r>
      <w:r w:rsidRPr="000977F7">
        <w:rPr>
          <w:color w:val="auto"/>
          <w:spacing w:val="-3"/>
          <w:sz w:val="20"/>
          <w:szCs w:val="20"/>
        </w:rPr>
        <w:t xml:space="preserve"> </w:t>
      </w:r>
      <w:r w:rsidRPr="000977F7">
        <w:rPr>
          <w:color w:val="auto"/>
          <w:sz w:val="20"/>
          <w:szCs w:val="20"/>
        </w:rPr>
        <w:t>-</w:t>
      </w:r>
    </w:p>
    <w:p w14:paraId="6C90529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REFERENCE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STANDART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7BDFE7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Вторинний</w:t>
      </w:r>
      <w:r w:rsidRPr="000977F7">
        <w:rPr>
          <w:rFonts w:asciiTheme="majorHAnsi" w:hAnsiTheme="majorHAnsi"/>
          <w:spacing w:val="1"/>
          <w:sz w:val="20"/>
          <w:szCs w:val="20"/>
        </w:rPr>
        <w:t xml:space="preserve"> </w:t>
      </w:r>
      <w:r w:rsidRPr="000977F7">
        <w:rPr>
          <w:rFonts w:asciiTheme="majorHAnsi" w:hAnsiTheme="majorHAnsi"/>
          <w:sz w:val="20"/>
          <w:szCs w:val="20"/>
        </w:rPr>
        <w:t>еталон,</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призначається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передавання</w:t>
      </w:r>
      <w:r w:rsidRPr="000977F7">
        <w:rPr>
          <w:rFonts w:asciiTheme="majorHAnsi" w:hAnsiTheme="majorHAnsi"/>
          <w:spacing w:val="1"/>
          <w:sz w:val="20"/>
          <w:szCs w:val="20"/>
        </w:rPr>
        <w:t xml:space="preserve"> </w:t>
      </w:r>
      <w:r w:rsidRPr="000977F7">
        <w:rPr>
          <w:rFonts w:asciiTheme="majorHAnsi" w:hAnsiTheme="majorHAnsi"/>
          <w:sz w:val="20"/>
          <w:szCs w:val="20"/>
        </w:rPr>
        <w:t>розміру</w:t>
      </w:r>
      <w:r w:rsidRPr="000977F7">
        <w:rPr>
          <w:rFonts w:asciiTheme="majorHAnsi" w:hAnsiTheme="majorHAnsi"/>
          <w:spacing w:val="1"/>
          <w:sz w:val="20"/>
          <w:szCs w:val="20"/>
        </w:rPr>
        <w:t xml:space="preserve"> </w:t>
      </w:r>
      <w:r w:rsidRPr="000977F7">
        <w:rPr>
          <w:rFonts w:asciiTheme="majorHAnsi" w:hAnsiTheme="majorHAnsi"/>
          <w:sz w:val="20"/>
          <w:szCs w:val="20"/>
        </w:rPr>
        <w:t>одиниці</w:t>
      </w:r>
      <w:r w:rsidRPr="000977F7">
        <w:rPr>
          <w:rFonts w:asciiTheme="majorHAnsi" w:hAnsiTheme="majorHAnsi"/>
          <w:spacing w:val="1"/>
          <w:sz w:val="20"/>
          <w:szCs w:val="20"/>
        </w:rPr>
        <w:t xml:space="preserve"> </w:t>
      </w:r>
      <w:r w:rsidRPr="000977F7">
        <w:rPr>
          <w:rFonts w:asciiTheme="majorHAnsi" w:hAnsiTheme="majorHAnsi"/>
          <w:sz w:val="20"/>
          <w:szCs w:val="20"/>
        </w:rPr>
        <w:t>фізичної</w:t>
      </w:r>
      <w:r w:rsidRPr="000977F7">
        <w:rPr>
          <w:rFonts w:asciiTheme="majorHAnsi" w:hAnsiTheme="majorHAnsi"/>
          <w:spacing w:val="1"/>
          <w:sz w:val="20"/>
          <w:szCs w:val="20"/>
        </w:rPr>
        <w:t xml:space="preserve"> </w:t>
      </w:r>
      <w:r w:rsidRPr="000977F7">
        <w:rPr>
          <w:rFonts w:asciiTheme="majorHAnsi" w:hAnsiTheme="majorHAnsi"/>
          <w:sz w:val="20"/>
          <w:szCs w:val="20"/>
        </w:rPr>
        <w:t>величини</w:t>
      </w:r>
      <w:r w:rsidRPr="000977F7">
        <w:rPr>
          <w:rFonts w:asciiTheme="majorHAnsi" w:hAnsiTheme="majorHAnsi"/>
          <w:spacing w:val="1"/>
          <w:sz w:val="20"/>
          <w:szCs w:val="20"/>
        </w:rPr>
        <w:t xml:space="preserve"> </w:t>
      </w:r>
      <w:r w:rsidRPr="000977F7">
        <w:rPr>
          <w:rFonts w:asciiTheme="majorHAnsi" w:hAnsiTheme="majorHAnsi"/>
          <w:sz w:val="20"/>
          <w:szCs w:val="20"/>
        </w:rPr>
        <w:t>робочим</w:t>
      </w:r>
      <w:r w:rsidRPr="000977F7">
        <w:rPr>
          <w:rFonts w:asciiTheme="majorHAnsi" w:hAnsiTheme="majorHAnsi"/>
          <w:spacing w:val="1"/>
          <w:sz w:val="20"/>
          <w:szCs w:val="20"/>
        </w:rPr>
        <w:t xml:space="preserve"> </w:t>
      </w:r>
      <w:r w:rsidRPr="000977F7">
        <w:rPr>
          <w:rFonts w:asciiTheme="majorHAnsi" w:hAnsiTheme="majorHAnsi"/>
          <w:sz w:val="20"/>
          <w:szCs w:val="20"/>
        </w:rPr>
        <w:t>еталонам</w:t>
      </w:r>
      <w:r w:rsidRPr="000977F7">
        <w:rPr>
          <w:rFonts w:asciiTheme="majorHAnsi" w:hAnsiTheme="majorHAnsi"/>
          <w:spacing w:val="-4"/>
          <w:sz w:val="20"/>
          <w:szCs w:val="20"/>
        </w:rPr>
        <w:t xml:space="preserve"> </w:t>
      </w:r>
      <w:r w:rsidRPr="000977F7">
        <w:rPr>
          <w:rFonts w:asciiTheme="majorHAnsi" w:hAnsiTheme="majorHAnsi"/>
          <w:sz w:val="20"/>
          <w:szCs w:val="20"/>
        </w:rPr>
        <w:t>(зразковим</w:t>
      </w:r>
      <w:r w:rsidRPr="000977F7">
        <w:rPr>
          <w:rFonts w:asciiTheme="majorHAnsi" w:hAnsiTheme="majorHAnsi"/>
          <w:spacing w:val="-3"/>
          <w:sz w:val="20"/>
          <w:szCs w:val="20"/>
        </w:rPr>
        <w:t xml:space="preserve"> </w:t>
      </w:r>
      <w:r w:rsidRPr="000977F7">
        <w:rPr>
          <w:rFonts w:asciiTheme="majorHAnsi" w:hAnsiTheme="majorHAnsi"/>
          <w:sz w:val="20"/>
          <w:szCs w:val="20"/>
        </w:rPr>
        <w:t>засобам</w:t>
      </w:r>
      <w:r w:rsidRPr="000977F7">
        <w:rPr>
          <w:rFonts w:asciiTheme="majorHAnsi" w:hAnsiTheme="majorHAnsi"/>
          <w:spacing w:val="-3"/>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5"/>
          <w:sz w:val="20"/>
          <w:szCs w:val="20"/>
        </w:rPr>
        <w:t xml:space="preserve"> </w:t>
      </w:r>
      <w:r w:rsidRPr="000977F7">
        <w:rPr>
          <w:rFonts w:asciiTheme="majorHAnsi" w:hAnsiTheme="majorHAnsi"/>
          <w:sz w:val="20"/>
          <w:szCs w:val="20"/>
        </w:rPr>
        <w:t>техніки)</w:t>
      </w:r>
    </w:p>
    <w:p w14:paraId="4ED711E3"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BD60D67"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b/>
          <w:sz w:val="20"/>
          <w:szCs w:val="20"/>
        </w:rPr>
        <w:t xml:space="preserve">ЕТАЛОН ПЕРЕДАВАННЯ </w:t>
      </w:r>
      <w:r w:rsidRPr="000977F7">
        <w:rPr>
          <w:rFonts w:asciiTheme="majorHAnsi" w:hAnsiTheme="majorHAnsi"/>
          <w:sz w:val="20"/>
          <w:szCs w:val="20"/>
        </w:rPr>
        <w:t>–</w:t>
      </w:r>
    </w:p>
    <w:p w14:paraId="4DCCFD6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TRANCFER</w:t>
      </w:r>
      <w:r w:rsidRPr="000977F7">
        <w:rPr>
          <w:rFonts w:asciiTheme="majorHAnsi" w:hAnsiTheme="majorHAnsi"/>
          <w:spacing w:val="-2"/>
          <w:sz w:val="20"/>
          <w:szCs w:val="20"/>
        </w:rPr>
        <w:t xml:space="preserve"> </w:t>
      </w:r>
      <w:r w:rsidRPr="000977F7">
        <w:rPr>
          <w:rFonts w:asciiTheme="majorHAnsi" w:hAnsiTheme="majorHAnsi"/>
          <w:sz w:val="20"/>
          <w:szCs w:val="20"/>
        </w:rPr>
        <w:t>STANDART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4C2198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Вторинний еталон, що призначається для взаємного</w:t>
      </w:r>
      <w:r w:rsidRPr="000977F7">
        <w:rPr>
          <w:rFonts w:asciiTheme="majorHAnsi" w:hAnsiTheme="majorHAnsi"/>
          <w:spacing w:val="1"/>
          <w:sz w:val="20"/>
          <w:szCs w:val="20"/>
        </w:rPr>
        <w:t xml:space="preserve"> </w:t>
      </w:r>
      <w:r w:rsidRPr="000977F7">
        <w:rPr>
          <w:rFonts w:asciiTheme="majorHAnsi" w:hAnsiTheme="majorHAnsi"/>
          <w:sz w:val="20"/>
          <w:szCs w:val="20"/>
        </w:rPr>
        <w:t>звіряння еталонів, які за тих чи інших обставин не</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звірені</w:t>
      </w:r>
      <w:r w:rsidRPr="000977F7">
        <w:rPr>
          <w:rFonts w:asciiTheme="majorHAnsi" w:hAnsiTheme="majorHAnsi"/>
          <w:spacing w:val="-2"/>
          <w:sz w:val="20"/>
          <w:szCs w:val="20"/>
        </w:rPr>
        <w:t xml:space="preserve"> </w:t>
      </w:r>
      <w:r w:rsidRPr="000977F7">
        <w:rPr>
          <w:rFonts w:asciiTheme="majorHAnsi" w:hAnsiTheme="majorHAnsi"/>
          <w:sz w:val="20"/>
          <w:szCs w:val="20"/>
        </w:rPr>
        <w:t>безпосередньо</w:t>
      </w:r>
    </w:p>
    <w:p w14:paraId="3FD329C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2F779B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ЕТАП</w:t>
      </w:r>
      <w:r w:rsidRPr="000977F7">
        <w:rPr>
          <w:color w:val="auto"/>
          <w:spacing w:val="1"/>
          <w:sz w:val="20"/>
          <w:szCs w:val="20"/>
        </w:rPr>
        <w:t xml:space="preserve"> </w:t>
      </w:r>
      <w:r w:rsidRPr="000977F7">
        <w:rPr>
          <w:color w:val="auto"/>
          <w:sz w:val="20"/>
          <w:szCs w:val="20"/>
        </w:rPr>
        <w:t>НАУКОВО–ДОСЛІДНОЇ</w:t>
      </w:r>
      <w:r w:rsidRPr="000977F7">
        <w:rPr>
          <w:color w:val="auto"/>
          <w:spacing w:val="1"/>
          <w:sz w:val="20"/>
          <w:szCs w:val="20"/>
        </w:rPr>
        <w:t xml:space="preserve"> </w:t>
      </w:r>
      <w:r w:rsidRPr="000977F7">
        <w:rPr>
          <w:color w:val="auto"/>
          <w:sz w:val="20"/>
          <w:szCs w:val="20"/>
        </w:rPr>
        <w:t>РОБОТИ</w:t>
      </w:r>
      <w:r w:rsidRPr="000977F7">
        <w:rPr>
          <w:color w:val="auto"/>
          <w:spacing w:val="1"/>
          <w:sz w:val="20"/>
          <w:szCs w:val="20"/>
        </w:rPr>
        <w:t xml:space="preserve"> </w:t>
      </w:r>
      <w:r w:rsidRPr="000977F7">
        <w:rPr>
          <w:color w:val="auto"/>
          <w:sz w:val="20"/>
          <w:szCs w:val="20"/>
        </w:rPr>
        <w:t>(ДОСЛІДНО–КОНСТРУКТОРСЬКОЇ</w:t>
      </w:r>
      <w:r w:rsidRPr="000977F7">
        <w:rPr>
          <w:color w:val="auto"/>
          <w:spacing w:val="1"/>
          <w:sz w:val="20"/>
          <w:szCs w:val="20"/>
        </w:rPr>
        <w:t xml:space="preserve"> </w:t>
      </w:r>
      <w:r w:rsidRPr="000977F7">
        <w:rPr>
          <w:color w:val="auto"/>
          <w:sz w:val="20"/>
          <w:szCs w:val="20"/>
        </w:rPr>
        <w:t>РОБОТИ;</w:t>
      </w:r>
      <w:r w:rsidRPr="000977F7">
        <w:rPr>
          <w:color w:val="auto"/>
          <w:spacing w:val="1"/>
          <w:sz w:val="20"/>
          <w:szCs w:val="20"/>
        </w:rPr>
        <w:t xml:space="preserve"> </w:t>
      </w:r>
      <w:r w:rsidRPr="000977F7">
        <w:rPr>
          <w:color w:val="auto"/>
          <w:sz w:val="20"/>
          <w:szCs w:val="20"/>
        </w:rPr>
        <w:t>ДОСЛІДНО–ТЕХНОЛОГІЧНОЇ</w:t>
      </w:r>
      <w:r w:rsidRPr="000977F7">
        <w:rPr>
          <w:color w:val="auto"/>
          <w:spacing w:val="-3"/>
          <w:sz w:val="20"/>
          <w:szCs w:val="20"/>
        </w:rPr>
        <w:t xml:space="preserve"> </w:t>
      </w:r>
      <w:r w:rsidRPr="000977F7">
        <w:rPr>
          <w:color w:val="auto"/>
          <w:sz w:val="20"/>
          <w:szCs w:val="20"/>
        </w:rPr>
        <w:t>РОБОТИ)</w:t>
      </w:r>
      <w:r w:rsidRPr="000977F7">
        <w:rPr>
          <w:color w:val="auto"/>
          <w:spacing w:val="2"/>
          <w:sz w:val="20"/>
          <w:szCs w:val="20"/>
        </w:rPr>
        <w:t xml:space="preserve"> </w:t>
      </w:r>
      <w:r w:rsidRPr="000977F7">
        <w:rPr>
          <w:color w:val="auto"/>
          <w:sz w:val="20"/>
          <w:szCs w:val="20"/>
        </w:rPr>
        <w:t>–</w:t>
      </w:r>
    </w:p>
    <w:p w14:paraId="0B05059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Частина науково – дослідної роботи (дослідно – конструкторської роботи, дослідно – технологічної роботи), яка є об’єктом планування та фінансування, 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якій</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виконують</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певне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завдання</w:t>
      </w:r>
    </w:p>
    <w:p w14:paraId="5AB4873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5AB316A6" w14:textId="77777777" w:rsidR="0097612F" w:rsidRPr="000977F7" w:rsidRDefault="0097612F" w:rsidP="00FD39A4">
      <w:pPr>
        <w:pStyle w:val="ac"/>
        <w:widowControl w:val="0"/>
        <w:numPr>
          <w:ilvl w:val="2"/>
          <w:numId w:val="184"/>
        </w:numPr>
        <w:tabs>
          <w:tab w:val="left" w:pos="284"/>
          <w:tab w:val="left" w:pos="66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lastRenderedPageBreak/>
        <w:t>Зміст окремих етапів та термін їх виконання встановлюють у технічному завданні на виконання науково – дослідної роботи (дослідно – конструкторської</w:t>
      </w:r>
      <w:r w:rsidRPr="000977F7">
        <w:rPr>
          <w:rFonts w:asciiTheme="majorHAnsi" w:hAnsiTheme="majorHAnsi"/>
          <w:spacing w:val="-3"/>
          <w:sz w:val="20"/>
          <w:szCs w:val="20"/>
        </w:rPr>
        <w:t xml:space="preserve"> </w:t>
      </w:r>
      <w:r w:rsidRPr="000977F7">
        <w:rPr>
          <w:rFonts w:asciiTheme="majorHAnsi" w:hAnsiTheme="majorHAnsi"/>
          <w:sz w:val="20"/>
          <w:szCs w:val="20"/>
        </w:rPr>
        <w:t>роботи;</w:t>
      </w:r>
      <w:r w:rsidRPr="000977F7">
        <w:rPr>
          <w:rFonts w:asciiTheme="majorHAnsi" w:hAnsiTheme="majorHAnsi"/>
          <w:spacing w:val="-3"/>
          <w:sz w:val="20"/>
          <w:szCs w:val="20"/>
        </w:rPr>
        <w:t xml:space="preserve"> </w:t>
      </w:r>
      <w:r w:rsidRPr="000977F7">
        <w:rPr>
          <w:rFonts w:asciiTheme="majorHAnsi" w:hAnsiTheme="majorHAnsi"/>
          <w:sz w:val="20"/>
          <w:szCs w:val="20"/>
        </w:rPr>
        <w:t>дослідно</w:t>
      </w:r>
      <w:r w:rsidRPr="000977F7">
        <w:rPr>
          <w:rFonts w:asciiTheme="majorHAnsi" w:hAnsiTheme="majorHAnsi"/>
          <w:spacing w:val="1"/>
          <w:sz w:val="20"/>
          <w:szCs w:val="20"/>
        </w:rPr>
        <w:t xml:space="preserve"> </w:t>
      </w:r>
      <w:r w:rsidRPr="000977F7">
        <w:rPr>
          <w:rFonts w:asciiTheme="majorHAnsi" w:hAnsiTheme="majorHAnsi"/>
          <w:sz w:val="20"/>
          <w:szCs w:val="20"/>
        </w:rPr>
        <w:t>– технологічної</w:t>
      </w:r>
      <w:r w:rsidRPr="000977F7">
        <w:rPr>
          <w:rFonts w:asciiTheme="majorHAnsi" w:hAnsiTheme="majorHAnsi"/>
          <w:spacing w:val="-3"/>
          <w:sz w:val="20"/>
          <w:szCs w:val="20"/>
        </w:rPr>
        <w:t xml:space="preserve"> </w:t>
      </w:r>
      <w:r w:rsidRPr="000977F7">
        <w:rPr>
          <w:rFonts w:asciiTheme="majorHAnsi" w:hAnsiTheme="majorHAnsi"/>
          <w:sz w:val="20"/>
          <w:szCs w:val="20"/>
        </w:rPr>
        <w:t>роботи)</w:t>
      </w:r>
    </w:p>
    <w:p w14:paraId="2378D2D2" w14:textId="77777777" w:rsidR="0097612F" w:rsidRPr="000977F7" w:rsidRDefault="0097612F" w:rsidP="00FD39A4">
      <w:pPr>
        <w:pStyle w:val="ac"/>
        <w:widowControl w:val="0"/>
        <w:numPr>
          <w:ilvl w:val="2"/>
          <w:numId w:val="184"/>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Етапами</w:t>
      </w:r>
      <w:r w:rsidRPr="000977F7">
        <w:rPr>
          <w:rFonts w:asciiTheme="majorHAnsi" w:hAnsiTheme="majorHAnsi"/>
          <w:spacing w:val="65"/>
          <w:sz w:val="20"/>
          <w:szCs w:val="20"/>
        </w:rPr>
        <w:t xml:space="preserve"> </w:t>
      </w:r>
      <w:r w:rsidRPr="000977F7">
        <w:rPr>
          <w:rFonts w:asciiTheme="majorHAnsi" w:hAnsiTheme="majorHAnsi"/>
          <w:sz w:val="20"/>
          <w:szCs w:val="20"/>
        </w:rPr>
        <w:t>дослідно</w:t>
      </w:r>
      <w:r w:rsidRPr="000977F7">
        <w:rPr>
          <w:rFonts w:asciiTheme="majorHAnsi" w:hAnsiTheme="majorHAnsi"/>
          <w:spacing w:val="68"/>
          <w:sz w:val="20"/>
          <w:szCs w:val="20"/>
        </w:rPr>
        <w:t xml:space="preserve"> </w:t>
      </w:r>
      <w:r w:rsidRPr="000977F7">
        <w:rPr>
          <w:rFonts w:asciiTheme="majorHAnsi" w:hAnsiTheme="majorHAnsi"/>
          <w:sz w:val="20"/>
          <w:szCs w:val="20"/>
        </w:rPr>
        <w:t>–</w:t>
      </w:r>
      <w:r w:rsidRPr="000977F7">
        <w:rPr>
          <w:rFonts w:asciiTheme="majorHAnsi" w:hAnsiTheme="majorHAnsi"/>
          <w:spacing w:val="66"/>
          <w:sz w:val="20"/>
          <w:szCs w:val="20"/>
        </w:rPr>
        <w:t xml:space="preserve"> </w:t>
      </w:r>
      <w:r w:rsidRPr="000977F7">
        <w:rPr>
          <w:rFonts w:asciiTheme="majorHAnsi" w:hAnsiTheme="majorHAnsi"/>
          <w:sz w:val="20"/>
          <w:szCs w:val="20"/>
        </w:rPr>
        <w:t>конструкторської</w:t>
      </w:r>
      <w:r w:rsidRPr="000977F7">
        <w:rPr>
          <w:rFonts w:asciiTheme="majorHAnsi" w:hAnsiTheme="majorHAnsi"/>
          <w:spacing w:val="65"/>
          <w:sz w:val="20"/>
          <w:szCs w:val="20"/>
        </w:rPr>
        <w:t xml:space="preserve"> </w:t>
      </w:r>
      <w:r w:rsidRPr="000977F7">
        <w:rPr>
          <w:rFonts w:asciiTheme="majorHAnsi" w:hAnsiTheme="majorHAnsi"/>
          <w:sz w:val="20"/>
          <w:szCs w:val="20"/>
        </w:rPr>
        <w:t>роботи</w:t>
      </w:r>
      <w:r w:rsidRPr="000977F7">
        <w:rPr>
          <w:rFonts w:asciiTheme="majorHAnsi" w:hAnsiTheme="majorHAnsi"/>
          <w:spacing w:val="63"/>
          <w:sz w:val="20"/>
          <w:szCs w:val="20"/>
        </w:rPr>
        <w:t xml:space="preserve"> </w:t>
      </w:r>
      <w:r w:rsidRPr="000977F7">
        <w:rPr>
          <w:rFonts w:asciiTheme="majorHAnsi" w:hAnsiTheme="majorHAnsi"/>
          <w:sz w:val="20"/>
          <w:szCs w:val="20"/>
        </w:rPr>
        <w:t>є:</w:t>
      </w:r>
    </w:p>
    <w:p w14:paraId="6D3C87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w w:val="99"/>
          <w:sz w:val="20"/>
          <w:szCs w:val="20"/>
        </w:rPr>
        <w:t>ес</w:t>
      </w:r>
      <w:r w:rsidRPr="000977F7">
        <w:rPr>
          <w:rFonts w:asciiTheme="majorHAnsi" w:hAnsiTheme="majorHAnsi"/>
          <w:spacing w:val="1"/>
          <w:w w:val="99"/>
          <w:sz w:val="20"/>
          <w:szCs w:val="20"/>
        </w:rPr>
        <w:t>к</w:t>
      </w:r>
      <w:r w:rsidRPr="000977F7">
        <w:rPr>
          <w:rFonts w:asciiTheme="majorHAnsi" w:hAnsiTheme="majorHAnsi"/>
          <w:w w:val="99"/>
          <w:sz w:val="20"/>
          <w:szCs w:val="20"/>
        </w:rPr>
        <w:t>із</w:t>
      </w:r>
      <w:r w:rsidRPr="000977F7">
        <w:rPr>
          <w:rFonts w:asciiTheme="majorHAnsi" w:hAnsiTheme="majorHAnsi"/>
          <w:spacing w:val="1"/>
          <w:w w:val="99"/>
          <w:sz w:val="20"/>
          <w:szCs w:val="20"/>
        </w:rPr>
        <w:t>н</w:t>
      </w:r>
      <w:r w:rsidRPr="000977F7">
        <w:rPr>
          <w:rFonts w:asciiTheme="majorHAnsi" w:hAnsiTheme="majorHAnsi"/>
          <w:spacing w:val="-2"/>
          <w:w w:val="99"/>
          <w:sz w:val="20"/>
          <w:szCs w:val="20"/>
        </w:rPr>
        <w:t>и</w:t>
      </w:r>
      <w:r w:rsidRPr="000977F7">
        <w:rPr>
          <w:rFonts w:asciiTheme="majorHAnsi" w:hAnsiTheme="majorHAnsi"/>
          <w:w w:val="99"/>
          <w:sz w:val="20"/>
          <w:szCs w:val="20"/>
        </w:rPr>
        <w:t>й</w:t>
      </w:r>
      <w:r w:rsidRPr="000977F7">
        <w:rPr>
          <w:rFonts w:asciiTheme="majorHAnsi" w:hAnsiTheme="majorHAnsi"/>
          <w:sz w:val="20"/>
          <w:szCs w:val="20"/>
        </w:rPr>
        <w:t xml:space="preserve"> </w:t>
      </w:r>
      <w:r w:rsidRPr="000977F7">
        <w:rPr>
          <w:rFonts w:asciiTheme="majorHAnsi" w:hAnsiTheme="majorHAnsi"/>
          <w:spacing w:val="-2"/>
          <w:w w:val="99"/>
          <w:sz w:val="20"/>
          <w:szCs w:val="20"/>
        </w:rPr>
        <w:t>п</w:t>
      </w:r>
      <w:r w:rsidRPr="000977F7">
        <w:rPr>
          <w:rFonts w:asciiTheme="majorHAnsi" w:hAnsiTheme="majorHAnsi"/>
          <w:spacing w:val="1"/>
          <w:w w:val="99"/>
          <w:sz w:val="20"/>
          <w:szCs w:val="20"/>
        </w:rPr>
        <w:t>ро</w:t>
      </w:r>
      <w:r w:rsidRPr="000977F7">
        <w:rPr>
          <w:rFonts w:asciiTheme="majorHAnsi" w:hAnsiTheme="majorHAnsi"/>
          <w:w w:val="99"/>
          <w:sz w:val="20"/>
          <w:szCs w:val="20"/>
        </w:rPr>
        <w:t>ек</w:t>
      </w:r>
      <w:r w:rsidRPr="000977F7">
        <w:rPr>
          <w:rFonts w:asciiTheme="majorHAnsi" w:hAnsiTheme="majorHAnsi"/>
          <w:spacing w:val="-2"/>
          <w:w w:val="99"/>
          <w:sz w:val="20"/>
          <w:szCs w:val="20"/>
        </w:rPr>
        <w:t>т</w:t>
      </w:r>
      <w:r w:rsidRPr="000977F7">
        <w:rPr>
          <w:rFonts w:asciiTheme="majorHAnsi" w:hAnsiTheme="majorHAnsi"/>
          <w:w w:val="130"/>
          <w:sz w:val="20"/>
          <w:szCs w:val="20"/>
        </w:rPr>
        <w:t>,</w:t>
      </w:r>
      <w:r w:rsidRPr="000977F7">
        <w:rPr>
          <w:rFonts w:asciiTheme="majorHAnsi" w:hAnsiTheme="majorHAnsi"/>
          <w:sz w:val="20"/>
          <w:szCs w:val="20"/>
        </w:rPr>
        <w:t xml:space="preserve"> </w:t>
      </w:r>
      <w:r w:rsidRPr="000977F7">
        <w:rPr>
          <w:rFonts w:asciiTheme="majorHAnsi" w:hAnsiTheme="majorHAnsi"/>
          <w:w w:val="76"/>
          <w:sz w:val="20"/>
          <w:szCs w:val="20"/>
        </w:rPr>
        <w:t>те</w:t>
      </w:r>
      <w:r w:rsidRPr="000977F7">
        <w:rPr>
          <w:rFonts w:asciiTheme="majorHAnsi" w:hAnsiTheme="majorHAnsi"/>
          <w:spacing w:val="1"/>
          <w:w w:val="76"/>
          <w:sz w:val="20"/>
          <w:szCs w:val="20"/>
        </w:rPr>
        <w:t>х</w:t>
      </w:r>
      <w:r w:rsidRPr="000977F7">
        <w:rPr>
          <w:rFonts w:asciiTheme="majorHAnsi" w:hAnsiTheme="majorHAnsi"/>
          <w:spacing w:val="-2"/>
          <w:w w:val="99"/>
          <w:sz w:val="20"/>
          <w:szCs w:val="20"/>
        </w:rPr>
        <w:t>н</w:t>
      </w:r>
      <w:r w:rsidRPr="000977F7">
        <w:rPr>
          <w:rFonts w:asciiTheme="majorHAnsi" w:hAnsiTheme="majorHAnsi"/>
          <w:w w:val="99"/>
          <w:sz w:val="20"/>
          <w:szCs w:val="20"/>
        </w:rPr>
        <w:t>і</w:t>
      </w:r>
      <w:r w:rsidRPr="000977F7">
        <w:rPr>
          <w:rFonts w:asciiTheme="majorHAnsi" w:hAnsiTheme="majorHAnsi"/>
          <w:spacing w:val="2"/>
          <w:w w:val="99"/>
          <w:sz w:val="20"/>
          <w:szCs w:val="20"/>
        </w:rPr>
        <w:t>ч</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и</w:t>
      </w:r>
      <w:r w:rsidRPr="000977F7">
        <w:rPr>
          <w:rFonts w:asciiTheme="majorHAnsi" w:hAnsiTheme="majorHAnsi"/>
          <w:w w:val="99"/>
          <w:sz w:val="20"/>
          <w:szCs w:val="20"/>
        </w:rPr>
        <w:t>й</w:t>
      </w:r>
      <w:r w:rsidRPr="000977F7">
        <w:rPr>
          <w:rFonts w:asciiTheme="majorHAnsi" w:hAnsiTheme="majorHAnsi"/>
          <w:sz w:val="20"/>
          <w:szCs w:val="20"/>
        </w:rPr>
        <w:t xml:space="preserve"> </w:t>
      </w:r>
      <w:r w:rsidRPr="000977F7">
        <w:rPr>
          <w:rFonts w:asciiTheme="majorHAnsi" w:hAnsiTheme="majorHAnsi"/>
          <w:spacing w:val="-2"/>
          <w:w w:val="99"/>
          <w:sz w:val="20"/>
          <w:szCs w:val="20"/>
        </w:rPr>
        <w:t>п</w:t>
      </w:r>
      <w:r w:rsidRPr="000977F7">
        <w:rPr>
          <w:rFonts w:asciiTheme="majorHAnsi" w:hAnsiTheme="majorHAnsi"/>
          <w:spacing w:val="1"/>
          <w:w w:val="99"/>
          <w:sz w:val="20"/>
          <w:szCs w:val="20"/>
        </w:rPr>
        <w:t>ро</w:t>
      </w:r>
      <w:r w:rsidRPr="000977F7">
        <w:rPr>
          <w:rFonts w:asciiTheme="majorHAnsi" w:hAnsiTheme="majorHAnsi"/>
          <w:w w:val="99"/>
          <w:sz w:val="20"/>
          <w:szCs w:val="20"/>
        </w:rPr>
        <w:t>ек</w:t>
      </w:r>
      <w:r w:rsidRPr="000977F7">
        <w:rPr>
          <w:rFonts w:asciiTheme="majorHAnsi" w:hAnsiTheme="majorHAnsi"/>
          <w:spacing w:val="-2"/>
          <w:w w:val="99"/>
          <w:sz w:val="20"/>
          <w:szCs w:val="20"/>
        </w:rPr>
        <w:t>т</w:t>
      </w:r>
      <w:r w:rsidRPr="000977F7">
        <w:rPr>
          <w:rFonts w:asciiTheme="majorHAnsi" w:hAnsiTheme="majorHAnsi"/>
          <w:w w:val="130"/>
          <w:sz w:val="20"/>
          <w:szCs w:val="20"/>
        </w:rPr>
        <w:t>,</w:t>
      </w:r>
      <w:r w:rsidRPr="000977F7">
        <w:rPr>
          <w:rFonts w:asciiTheme="majorHAnsi" w:hAnsiTheme="majorHAnsi"/>
          <w:sz w:val="20"/>
          <w:szCs w:val="20"/>
        </w:rPr>
        <w:t xml:space="preserve"> </w:t>
      </w:r>
      <w:r w:rsidRPr="000977F7">
        <w:rPr>
          <w:rFonts w:asciiTheme="majorHAnsi" w:hAnsiTheme="majorHAnsi"/>
          <w:spacing w:val="1"/>
          <w:w w:val="99"/>
          <w:sz w:val="20"/>
          <w:szCs w:val="20"/>
        </w:rPr>
        <w:t>ро</w:t>
      </w:r>
      <w:r w:rsidRPr="000977F7">
        <w:rPr>
          <w:rFonts w:asciiTheme="majorHAnsi" w:hAnsiTheme="majorHAnsi"/>
          <w:w w:val="99"/>
          <w:sz w:val="20"/>
          <w:szCs w:val="20"/>
        </w:rPr>
        <w:t>з</w:t>
      </w:r>
      <w:r w:rsidRPr="000977F7">
        <w:rPr>
          <w:rFonts w:asciiTheme="majorHAnsi" w:hAnsiTheme="majorHAnsi"/>
          <w:spacing w:val="1"/>
          <w:w w:val="99"/>
          <w:sz w:val="20"/>
          <w:szCs w:val="20"/>
        </w:rPr>
        <w:t>р</w:t>
      </w:r>
      <w:r w:rsidRPr="000977F7">
        <w:rPr>
          <w:rFonts w:asciiTheme="majorHAnsi" w:hAnsiTheme="majorHAnsi"/>
          <w:spacing w:val="5"/>
          <w:w w:val="99"/>
          <w:sz w:val="20"/>
          <w:szCs w:val="20"/>
        </w:rPr>
        <w:t>о</w:t>
      </w:r>
      <w:r w:rsidRPr="000977F7">
        <w:rPr>
          <w:rFonts w:asciiTheme="majorHAnsi" w:hAnsiTheme="majorHAnsi"/>
          <w:spacing w:val="-1"/>
          <w:w w:val="99"/>
          <w:sz w:val="20"/>
          <w:szCs w:val="20"/>
        </w:rPr>
        <w:t>б</w:t>
      </w:r>
      <w:r w:rsidRPr="000977F7">
        <w:rPr>
          <w:rFonts w:asciiTheme="majorHAnsi" w:hAnsiTheme="majorHAnsi"/>
          <w:sz w:val="20"/>
          <w:szCs w:val="20"/>
        </w:rPr>
        <w:t>лення робочої конструкторської документації для</w:t>
      </w:r>
      <w:r w:rsidRPr="000977F7">
        <w:rPr>
          <w:rFonts w:asciiTheme="majorHAnsi" w:hAnsiTheme="majorHAnsi"/>
          <w:spacing w:val="1"/>
          <w:sz w:val="20"/>
          <w:szCs w:val="20"/>
        </w:rPr>
        <w:t xml:space="preserve"> </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и</w:t>
      </w:r>
      <w:r w:rsidRPr="000977F7">
        <w:rPr>
          <w:rFonts w:asciiTheme="majorHAnsi" w:hAnsiTheme="majorHAnsi"/>
          <w:spacing w:val="-1"/>
          <w:w w:val="99"/>
          <w:sz w:val="20"/>
          <w:szCs w:val="20"/>
        </w:rPr>
        <w:t>г</w:t>
      </w:r>
      <w:r w:rsidRPr="000977F7">
        <w:rPr>
          <w:rFonts w:asciiTheme="majorHAnsi" w:hAnsiTheme="majorHAnsi"/>
          <w:w w:val="99"/>
          <w:sz w:val="20"/>
          <w:szCs w:val="20"/>
        </w:rPr>
        <w:t>о</w:t>
      </w:r>
      <w:r w:rsidRPr="000977F7">
        <w:rPr>
          <w:rFonts w:asciiTheme="majorHAnsi" w:hAnsiTheme="majorHAnsi"/>
          <w:spacing w:val="-1"/>
          <w:w w:val="99"/>
          <w:sz w:val="20"/>
          <w:szCs w:val="20"/>
        </w:rPr>
        <w:t>т</w:t>
      </w:r>
      <w:r w:rsidRPr="000977F7">
        <w:rPr>
          <w:rFonts w:asciiTheme="majorHAnsi" w:hAnsiTheme="majorHAnsi"/>
          <w:spacing w:val="1"/>
          <w:w w:val="99"/>
          <w:sz w:val="20"/>
          <w:szCs w:val="20"/>
        </w:rPr>
        <w:t>ов</w:t>
      </w:r>
      <w:r w:rsidRPr="000977F7">
        <w:rPr>
          <w:rFonts w:asciiTheme="majorHAnsi" w:hAnsiTheme="majorHAnsi"/>
          <w:spacing w:val="-1"/>
          <w:w w:val="99"/>
          <w:sz w:val="20"/>
          <w:szCs w:val="20"/>
        </w:rPr>
        <w:t>л</w:t>
      </w:r>
      <w:r w:rsidRPr="000977F7">
        <w:rPr>
          <w:rFonts w:asciiTheme="majorHAnsi" w:hAnsiTheme="majorHAnsi"/>
          <w:w w:val="99"/>
          <w:sz w:val="20"/>
          <w:szCs w:val="20"/>
        </w:rPr>
        <w:t>е</w:t>
      </w:r>
      <w:r w:rsidRPr="000977F7">
        <w:rPr>
          <w:rFonts w:asciiTheme="majorHAnsi" w:hAnsiTheme="majorHAnsi"/>
          <w:spacing w:val="1"/>
          <w:w w:val="99"/>
          <w:sz w:val="20"/>
          <w:szCs w:val="20"/>
        </w:rPr>
        <w:t>н</w:t>
      </w:r>
      <w:r w:rsidRPr="000977F7">
        <w:rPr>
          <w:rFonts w:asciiTheme="majorHAnsi" w:hAnsiTheme="majorHAnsi"/>
          <w:spacing w:val="-1"/>
          <w:w w:val="99"/>
          <w:sz w:val="20"/>
          <w:szCs w:val="20"/>
        </w:rPr>
        <w:t>н</w:t>
      </w:r>
      <w:r w:rsidRPr="000977F7">
        <w:rPr>
          <w:rFonts w:asciiTheme="majorHAnsi" w:hAnsiTheme="majorHAnsi"/>
          <w:w w:val="99"/>
          <w:sz w:val="20"/>
          <w:szCs w:val="20"/>
        </w:rPr>
        <w:t>я</w:t>
      </w:r>
      <w:r w:rsidRPr="000977F7">
        <w:rPr>
          <w:rFonts w:asciiTheme="majorHAnsi" w:hAnsiTheme="majorHAnsi"/>
          <w:sz w:val="20"/>
          <w:szCs w:val="20"/>
        </w:rPr>
        <w:t xml:space="preserve"> </w:t>
      </w:r>
      <w:r w:rsidRPr="000977F7">
        <w:rPr>
          <w:rFonts w:asciiTheme="majorHAnsi" w:hAnsiTheme="majorHAnsi"/>
          <w:w w:val="99"/>
          <w:sz w:val="20"/>
          <w:szCs w:val="20"/>
        </w:rPr>
        <w:t>дос</w:t>
      </w:r>
      <w:r w:rsidRPr="000977F7">
        <w:rPr>
          <w:rFonts w:asciiTheme="majorHAnsi" w:hAnsiTheme="majorHAnsi"/>
          <w:spacing w:val="-1"/>
          <w:w w:val="99"/>
          <w:sz w:val="20"/>
          <w:szCs w:val="20"/>
        </w:rPr>
        <w:t>л</w:t>
      </w:r>
      <w:r w:rsidRPr="000977F7">
        <w:rPr>
          <w:rFonts w:asciiTheme="majorHAnsi" w:hAnsiTheme="majorHAnsi"/>
          <w:w w:val="99"/>
          <w:sz w:val="20"/>
          <w:szCs w:val="20"/>
        </w:rPr>
        <w:t>і</w:t>
      </w:r>
      <w:r w:rsidRPr="000977F7">
        <w:rPr>
          <w:rFonts w:asciiTheme="majorHAnsi" w:hAnsiTheme="majorHAnsi"/>
          <w:spacing w:val="1"/>
          <w:w w:val="99"/>
          <w:sz w:val="20"/>
          <w:szCs w:val="20"/>
        </w:rPr>
        <w:t>д</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о</w:t>
      </w:r>
      <w:r w:rsidRPr="000977F7">
        <w:rPr>
          <w:rFonts w:asciiTheme="majorHAnsi" w:hAnsiTheme="majorHAnsi"/>
          <w:spacing w:val="-1"/>
          <w:w w:val="99"/>
          <w:sz w:val="20"/>
          <w:szCs w:val="20"/>
        </w:rPr>
        <w:t>г</w:t>
      </w:r>
      <w:r w:rsidRPr="000977F7">
        <w:rPr>
          <w:rFonts w:asciiTheme="majorHAnsi" w:hAnsiTheme="majorHAnsi"/>
          <w:w w:val="99"/>
          <w:sz w:val="20"/>
          <w:szCs w:val="20"/>
        </w:rPr>
        <w:t>о</w:t>
      </w:r>
      <w:r w:rsidRPr="000977F7">
        <w:rPr>
          <w:rFonts w:asciiTheme="majorHAnsi" w:hAnsiTheme="majorHAnsi"/>
          <w:sz w:val="20"/>
          <w:szCs w:val="20"/>
        </w:rPr>
        <w:t xml:space="preserve"> </w:t>
      </w:r>
      <w:r w:rsidRPr="000977F7">
        <w:rPr>
          <w:rFonts w:asciiTheme="majorHAnsi" w:hAnsiTheme="majorHAnsi"/>
          <w:w w:val="99"/>
          <w:sz w:val="20"/>
          <w:szCs w:val="20"/>
        </w:rPr>
        <w:t>з</w:t>
      </w:r>
      <w:r w:rsidRPr="000977F7">
        <w:rPr>
          <w:rFonts w:asciiTheme="majorHAnsi" w:hAnsiTheme="majorHAnsi"/>
          <w:spacing w:val="1"/>
          <w:w w:val="99"/>
          <w:sz w:val="20"/>
          <w:szCs w:val="20"/>
        </w:rPr>
        <w:t>р</w:t>
      </w:r>
      <w:r w:rsidRPr="000977F7">
        <w:rPr>
          <w:rFonts w:asciiTheme="majorHAnsi" w:hAnsiTheme="majorHAnsi"/>
          <w:w w:val="99"/>
          <w:sz w:val="20"/>
          <w:szCs w:val="20"/>
        </w:rPr>
        <w:t>аз</w:t>
      </w:r>
      <w:r w:rsidRPr="000977F7">
        <w:rPr>
          <w:rFonts w:asciiTheme="majorHAnsi" w:hAnsiTheme="majorHAnsi"/>
          <w:spacing w:val="-1"/>
          <w:w w:val="99"/>
          <w:sz w:val="20"/>
          <w:szCs w:val="20"/>
        </w:rPr>
        <w:t>к</w:t>
      </w:r>
      <w:r w:rsidRPr="000977F7">
        <w:rPr>
          <w:rFonts w:asciiTheme="majorHAnsi" w:hAnsiTheme="majorHAnsi"/>
          <w:w w:val="122"/>
          <w:sz w:val="20"/>
          <w:szCs w:val="20"/>
        </w:rPr>
        <w:t>а</w:t>
      </w:r>
      <w:r w:rsidRPr="000977F7">
        <w:rPr>
          <w:rFonts w:asciiTheme="majorHAnsi" w:hAnsiTheme="majorHAnsi"/>
          <w:w w:val="99"/>
          <w:sz w:val="20"/>
          <w:szCs w:val="20"/>
        </w:rPr>
        <w:t>,</w:t>
      </w:r>
      <w:r w:rsidRPr="000977F7">
        <w:rPr>
          <w:rFonts w:asciiTheme="majorHAnsi" w:hAnsiTheme="majorHAnsi"/>
          <w:sz w:val="20"/>
          <w:szCs w:val="20"/>
        </w:rPr>
        <w:t xml:space="preserve"> </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и</w:t>
      </w:r>
      <w:r w:rsidRPr="000977F7">
        <w:rPr>
          <w:rFonts w:asciiTheme="majorHAnsi" w:hAnsiTheme="majorHAnsi"/>
          <w:spacing w:val="-1"/>
          <w:w w:val="99"/>
          <w:sz w:val="20"/>
          <w:szCs w:val="20"/>
        </w:rPr>
        <w:t>г</w:t>
      </w:r>
      <w:r w:rsidRPr="000977F7">
        <w:rPr>
          <w:rFonts w:asciiTheme="majorHAnsi" w:hAnsiTheme="majorHAnsi"/>
          <w:w w:val="99"/>
          <w:sz w:val="20"/>
          <w:szCs w:val="20"/>
        </w:rPr>
        <w:t>о</w:t>
      </w:r>
      <w:r w:rsidRPr="000977F7">
        <w:rPr>
          <w:rFonts w:asciiTheme="majorHAnsi" w:hAnsiTheme="majorHAnsi"/>
          <w:spacing w:val="-1"/>
          <w:w w:val="99"/>
          <w:sz w:val="20"/>
          <w:szCs w:val="20"/>
        </w:rPr>
        <w:t>т</w:t>
      </w:r>
      <w:r w:rsidRPr="000977F7">
        <w:rPr>
          <w:rFonts w:asciiTheme="majorHAnsi" w:hAnsiTheme="majorHAnsi"/>
          <w:spacing w:val="1"/>
          <w:w w:val="99"/>
          <w:sz w:val="20"/>
          <w:szCs w:val="20"/>
        </w:rPr>
        <w:t>ов</w:t>
      </w:r>
      <w:r w:rsidRPr="000977F7">
        <w:rPr>
          <w:rFonts w:asciiTheme="majorHAnsi" w:hAnsiTheme="majorHAnsi"/>
          <w:spacing w:val="-1"/>
          <w:w w:val="99"/>
          <w:sz w:val="20"/>
          <w:szCs w:val="20"/>
        </w:rPr>
        <w:t>л</w:t>
      </w:r>
      <w:r w:rsidRPr="000977F7">
        <w:rPr>
          <w:rFonts w:asciiTheme="majorHAnsi" w:hAnsiTheme="majorHAnsi"/>
          <w:w w:val="99"/>
          <w:sz w:val="20"/>
          <w:szCs w:val="20"/>
        </w:rPr>
        <w:t>е</w:t>
      </w:r>
      <w:r w:rsidRPr="000977F7">
        <w:rPr>
          <w:rFonts w:asciiTheme="majorHAnsi" w:hAnsiTheme="majorHAnsi"/>
          <w:spacing w:val="1"/>
          <w:w w:val="99"/>
          <w:sz w:val="20"/>
          <w:szCs w:val="20"/>
        </w:rPr>
        <w:t>н</w:t>
      </w:r>
      <w:r w:rsidRPr="000977F7">
        <w:rPr>
          <w:rFonts w:asciiTheme="majorHAnsi" w:hAnsiTheme="majorHAnsi"/>
          <w:spacing w:val="-2"/>
          <w:w w:val="99"/>
          <w:sz w:val="20"/>
          <w:szCs w:val="20"/>
        </w:rPr>
        <w:t>н</w:t>
      </w:r>
      <w:r w:rsidRPr="000977F7">
        <w:rPr>
          <w:rFonts w:asciiTheme="majorHAnsi" w:hAnsiTheme="majorHAnsi"/>
          <w:w w:val="99"/>
          <w:sz w:val="20"/>
          <w:szCs w:val="20"/>
        </w:rPr>
        <w:t xml:space="preserve">я </w:t>
      </w:r>
      <w:r w:rsidRPr="000977F7">
        <w:rPr>
          <w:rFonts w:asciiTheme="majorHAnsi" w:hAnsiTheme="majorHAnsi"/>
          <w:sz w:val="20"/>
          <w:szCs w:val="20"/>
        </w:rPr>
        <w:t>дослідного зразка і проведення попередніх випробувань, проведення державних випробувань до</w:t>
      </w:r>
      <w:r w:rsidRPr="000977F7">
        <w:rPr>
          <w:rFonts w:asciiTheme="majorHAnsi" w:hAnsiTheme="majorHAnsi"/>
          <w:w w:val="99"/>
          <w:sz w:val="20"/>
          <w:szCs w:val="20"/>
        </w:rPr>
        <w:t>с</w:t>
      </w:r>
      <w:r w:rsidRPr="000977F7">
        <w:rPr>
          <w:rFonts w:asciiTheme="majorHAnsi" w:hAnsiTheme="majorHAnsi"/>
          <w:spacing w:val="-1"/>
          <w:w w:val="99"/>
          <w:sz w:val="20"/>
          <w:szCs w:val="20"/>
        </w:rPr>
        <w:t>л</w:t>
      </w:r>
      <w:r w:rsidRPr="000977F7">
        <w:rPr>
          <w:rFonts w:asciiTheme="majorHAnsi" w:hAnsiTheme="majorHAnsi"/>
          <w:w w:val="99"/>
          <w:sz w:val="20"/>
          <w:szCs w:val="20"/>
        </w:rPr>
        <w:t>і</w:t>
      </w:r>
      <w:r w:rsidRPr="000977F7">
        <w:rPr>
          <w:rFonts w:asciiTheme="majorHAnsi" w:hAnsiTheme="majorHAnsi"/>
          <w:spacing w:val="1"/>
          <w:w w:val="99"/>
          <w:sz w:val="20"/>
          <w:szCs w:val="20"/>
        </w:rPr>
        <w:t>д</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о</w:t>
      </w:r>
      <w:r w:rsidRPr="000977F7">
        <w:rPr>
          <w:rFonts w:asciiTheme="majorHAnsi" w:hAnsiTheme="majorHAnsi"/>
          <w:spacing w:val="-1"/>
          <w:w w:val="99"/>
          <w:sz w:val="20"/>
          <w:szCs w:val="20"/>
        </w:rPr>
        <w:t>г</w:t>
      </w:r>
      <w:r w:rsidRPr="000977F7">
        <w:rPr>
          <w:rFonts w:asciiTheme="majorHAnsi" w:hAnsiTheme="majorHAnsi"/>
          <w:w w:val="99"/>
          <w:sz w:val="20"/>
          <w:szCs w:val="20"/>
        </w:rPr>
        <w:t>о</w:t>
      </w:r>
      <w:r w:rsidRPr="000977F7">
        <w:rPr>
          <w:rFonts w:asciiTheme="majorHAnsi" w:hAnsiTheme="majorHAnsi"/>
          <w:sz w:val="20"/>
          <w:szCs w:val="20"/>
        </w:rPr>
        <w:t xml:space="preserve"> </w:t>
      </w:r>
      <w:r w:rsidRPr="000977F7">
        <w:rPr>
          <w:rFonts w:asciiTheme="majorHAnsi" w:hAnsiTheme="majorHAnsi"/>
          <w:w w:val="99"/>
          <w:sz w:val="20"/>
          <w:szCs w:val="20"/>
        </w:rPr>
        <w:t>з</w:t>
      </w:r>
      <w:r w:rsidRPr="000977F7">
        <w:rPr>
          <w:rFonts w:asciiTheme="majorHAnsi" w:hAnsiTheme="majorHAnsi"/>
          <w:spacing w:val="1"/>
          <w:w w:val="99"/>
          <w:sz w:val="20"/>
          <w:szCs w:val="20"/>
        </w:rPr>
        <w:t>р</w:t>
      </w:r>
      <w:r w:rsidRPr="000977F7">
        <w:rPr>
          <w:rFonts w:asciiTheme="majorHAnsi" w:hAnsiTheme="majorHAnsi"/>
          <w:w w:val="99"/>
          <w:sz w:val="20"/>
          <w:szCs w:val="20"/>
        </w:rPr>
        <w:t>аз</w:t>
      </w:r>
      <w:r w:rsidRPr="000977F7">
        <w:rPr>
          <w:rFonts w:asciiTheme="majorHAnsi" w:hAnsiTheme="majorHAnsi"/>
          <w:spacing w:val="-1"/>
          <w:w w:val="99"/>
          <w:sz w:val="20"/>
          <w:szCs w:val="20"/>
        </w:rPr>
        <w:t>к</w:t>
      </w:r>
      <w:r w:rsidRPr="000977F7">
        <w:rPr>
          <w:rFonts w:asciiTheme="majorHAnsi" w:hAnsiTheme="majorHAnsi"/>
          <w:w w:val="122"/>
          <w:sz w:val="20"/>
          <w:szCs w:val="20"/>
        </w:rPr>
        <w:t>а</w:t>
      </w:r>
      <w:r w:rsidRPr="000977F7">
        <w:rPr>
          <w:rFonts w:asciiTheme="majorHAnsi" w:hAnsiTheme="majorHAnsi"/>
          <w:w w:val="99"/>
          <w:sz w:val="20"/>
          <w:szCs w:val="20"/>
        </w:rPr>
        <w:t>,</w:t>
      </w:r>
      <w:r w:rsidRPr="000977F7">
        <w:rPr>
          <w:rFonts w:asciiTheme="majorHAnsi" w:hAnsiTheme="majorHAnsi"/>
          <w:sz w:val="20"/>
          <w:szCs w:val="20"/>
        </w:rPr>
        <w:t xml:space="preserve"> </w:t>
      </w:r>
      <w:r w:rsidRPr="000977F7">
        <w:rPr>
          <w:rFonts w:asciiTheme="majorHAnsi" w:hAnsiTheme="majorHAnsi"/>
          <w:spacing w:val="-1"/>
          <w:w w:val="99"/>
          <w:sz w:val="20"/>
          <w:szCs w:val="20"/>
        </w:rPr>
        <w:t>к</w:t>
      </w:r>
      <w:r w:rsidRPr="000977F7">
        <w:rPr>
          <w:rFonts w:asciiTheme="majorHAnsi" w:hAnsiTheme="majorHAnsi"/>
          <w:spacing w:val="1"/>
          <w:w w:val="99"/>
          <w:sz w:val="20"/>
          <w:szCs w:val="20"/>
        </w:rPr>
        <w:t>ор</w:t>
      </w:r>
      <w:r w:rsidRPr="000977F7">
        <w:rPr>
          <w:rFonts w:asciiTheme="majorHAnsi" w:hAnsiTheme="majorHAnsi"/>
          <w:spacing w:val="-2"/>
          <w:w w:val="99"/>
          <w:sz w:val="20"/>
          <w:szCs w:val="20"/>
        </w:rPr>
        <w:t>и</w:t>
      </w:r>
      <w:r w:rsidRPr="000977F7">
        <w:rPr>
          <w:rFonts w:asciiTheme="majorHAnsi" w:hAnsiTheme="majorHAnsi"/>
          <w:spacing w:val="2"/>
          <w:w w:val="99"/>
          <w:sz w:val="20"/>
          <w:szCs w:val="20"/>
        </w:rPr>
        <w:t>г</w:t>
      </w:r>
      <w:r w:rsidRPr="000977F7">
        <w:rPr>
          <w:rFonts w:asciiTheme="majorHAnsi" w:hAnsiTheme="majorHAnsi"/>
          <w:spacing w:val="-2"/>
          <w:w w:val="99"/>
          <w:sz w:val="20"/>
          <w:szCs w:val="20"/>
        </w:rPr>
        <w:t>у</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а</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н</w:t>
      </w:r>
      <w:r w:rsidRPr="000977F7">
        <w:rPr>
          <w:rFonts w:asciiTheme="majorHAnsi" w:hAnsiTheme="majorHAnsi"/>
          <w:w w:val="99"/>
          <w:sz w:val="20"/>
          <w:szCs w:val="20"/>
        </w:rPr>
        <w:t>я</w:t>
      </w:r>
      <w:r w:rsidRPr="000977F7">
        <w:rPr>
          <w:rFonts w:asciiTheme="majorHAnsi" w:hAnsiTheme="majorHAnsi"/>
          <w:sz w:val="20"/>
          <w:szCs w:val="20"/>
        </w:rPr>
        <w:t xml:space="preserve"> </w:t>
      </w:r>
      <w:r w:rsidRPr="000977F7">
        <w:rPr>
          <w:rFonts w:asciiTheme="majorHAnsi" w:hAnsiTheme="majorHAnsi"/>
          <w:spacing w:val="1"/>
          <w:w w:val="99"/>
          <w:sz w:val="20"/>
          <w:szCs w:val="20"/>
        </w:rPr>
        <w:t>ро</w:t>
      </w:r>
      <w:r w:rsidRPr="000977F7">
        <w:rPr>
          <w:rFonts w:asciiTheme="majorHAnsi" w:hAnsiTheme="majorHAnsi"/>
          <w:w w:val="99"/>
          <w:sz w:val="20"/>
          <w:szCs w:val="20"/>
        </w:rPr>
        <w:t>боч</w:t>
      </w:r>
      <w:r w:rsidRPr="000977F7">
        <w:rPr>
          <w:rFonts w:asciiTheme="majorHAnsi" w:hAnsiTheme="majorHAnsi"/>
          <w:spacing w:val="1"/>
          <w:w w:val="99"/>
          <w:sz w:val="20"/>
          <w:szCs w:val="20"/>
        </w:rPr>
        <w:t>о</w:t>
      </w:r>
      <w:r w:rsidRPr="000977F7">
        <w:rPr>
          <w:rFonts w:asciiTheme="majorHAnsi" w:hAnsiTheme="majorHAnsi"/>
          <w:w w:val="99"/>
          <w:sz w:val="20"/>
          <w:szCs w:val="20"/>
        </w:rPr>
        <w:t>ї</w:t>
      </w:r>
      <w:r w:rsidRPr="000977F7">
        <w:rPr>
          <w:rFonts w:asciiTheme="majorHAnsi" w:hAnsiTheme="majorHAnsi"/>
          <w:sz w:val="20"/>
          <w:szCs w:val="20"/>
        </w:rPr>
        <w:t xml:space="preserve"> </w:t>
      </w:r>
      <w:r w:rsidRPr="000977F7">
        <w:rPr>
          <w:rFonts w:asciiTheme="majorHAnsi" w:hAnsiTheme="majorHAnsi"/>
          <w:spacing w:val="-1"/>
          <w:w w:val="99"/>
          <w:sz w:val="20"/>
          <w:szCs w:val="20"/>
        </w:rPr>
        <w:t>к</w:t>
      </w:r>
      <w:r w:rsidRPr="000977F7">
        <w:rPr>
          <w:rFonts w:asciiTheme="majorHAnsi" w:hAnsiTheme="majorHAnsi"/>
          <w:spacing w:val="1"/>
          <w:w w:val="99"/>
          <w:sz w:val="20"/>
          <w:szCs w:val="20"/>
        </w:rPr>
        <w:t>о</w:t>
      </w:r>
      <w:r w:rsidRPr="000977F7">
        <w:rPr>
          <w:rFonts w:asciiTheme="majorHAnsi" w:hAnsiTheme="majorHAnsi"/>
          <w:spacing w:val="-2"/>
          <w:w w:val="99"/>
          <w:sz w:val="20"/>
          <w:szCs w:val="20"/>
        </w:rPr>
        <w:t>н</w:t>
      </w:r>
      <w:r w:rsidRPr="000977F7">
        <w:rPr>
          <w:rFonts w:asciiTheme="majorHAnsi" w:hAnsiTheme="majorHAnsi"/>
          <w:w w:val="99"/>
          <w:sz w:val="20"/>
          <w:szCs w:val="20"/>
        </w:rPr>
        <w:t>стр</w:t>
      </w:r>
      <w:r w:rsidRPr="000977F7">
        <w:rPr>
          <w:rFonts w:asciiTheme="majorHAnsi" w:hAnsiTheme="majorHAnsi"/>
          <w:spacing w:val="3"/>
          <w:w w:val="99"/>
          <w:sz w:val="20"/>
          <w:szCs w:val="20"/>
        </w:rPr>
        <w:t>у</w:t>
      </w:r>
      <w:r w:rsidRPr="000977F7">
        <w:rPr>
          <w:rFonts w:asciiTheme="majorHAnsi" w:hAnsiTheme="majorHAnsi"/>
          <w:spacing w:val="1"/>
          <w:w w:val="99"/>
          <w:sz w:val="20"/>
          <w:szCs w:val="20"/>
        </w:rPr>
        <w:t>к</w:t>
      </w:r>
      <w:r w:rsidRPr="000977F7">
        <w:rPr>
          <w:rFonts w:asciiTheme="majorHAnsi" w:hAnsiTheme="majorHAnsi"/>
          <w:sz w:val="20"/>
          <w:szCs w:val="20"/>
        </w:rPr>
        <w:t>торської документації та доопрацювання дослідно</w:t>
      </w:r>
      <w:r w:rsidRPr="000977F7">
        <w:rPr>
          <w:rFonts w:asciiTheme="majorHAnsi" w:hAnsiTheme="majorHAnsi"/>
          <w:spacing w:val="-47"/>
          <w:sz w:val="20"/>
          <w:szCs w:val="20"/>
        </w:rPr>
        <w:t xml:space="preserve"> </w:t>
      </w:r>
      <w:r w:rsidRPr="000977F7">
        <w:rPr>
          <w:rFonts w:asciiTheme="majorHAnsi" w:hAnsiTheme="majorHAnsi"/>
          <w:sz w:val="20"/>
          <w:szCs w:val="20"/>
        </w:rPr>
        <w:t>го</w:t>
      </w:r>
      <w:r w:rsidRPr="000977F7">
        <w:rPr>
          <w:rFonts w:asciiTheme="majorHAnsi" w:hAnsiTheme="majorHAnsi"/>
          <w:spacing w:val="1"/>
          <w:sz w:val="20"/>
          <w:szCs w:val="20"/>
        </w:rPr>
        <w:t xml:space="preserve"> </w:t>
      </w:r>
      <w:r w:rsidRPr="000977F7">
        <w:rPr>
          <w:rFonts w:asciiTheme="majorHAnsi" w:hAnsiTheme="majorHAnsi"/>
          <w:sz w:val="20"/>
          <w:szCs w:val="20"/>
        </w:rPr>
        <w:t>зразка</w:t>
      </w:r>
    </w:p>
    <w:p w14:paraId="4616B40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95</w:t>
      </w:r>
    </w:p>
    <w:p w14:paraId="70044494" w14:textId="77777777" w:rsidR="0097612F" w:rsidRPr="000977F7" w:rsidRDefault="000977F7" w:rsidP="000977F7">
      <w:pPr>
        <w:pStyle w:val="7"/>
        <w:tabs>
          <w:tab w:val="left" w:pos="284"/>
        </w:tabs>
        <w:spacing w:before="0" w:line="240" w:lineRule="auto"/>
        <w:ind w:left="170"/>
        <w:mirrorIndents/>
        <w:jc w:val="both"/>
        <w:rPr>
          <w:color w:val="auto"/>
          <w:sz w:val="20"/>
          <w:szCs w:val="20"/>
        </w:rPr>
      </w:pPr>
      <w:r>
        <w:rPr>
          <w:color w:val="auto"/>
          <w:sz w:val="20"/>
          <w:szCs w:val="20"/>
        </w:rPr>
        <w:br w:type="column"/>
      </w:r>
      <w:r w:rsidR="0097612F" w:rsidRPr="000977F7">
        <w:rPr>
          <w:color w:val="auto"/>
          <w:sz w:val="20"/>
          <w:szCs w:val="20"/>
        </w:rPr>
        <w:t>ЕТАП</w:t>
      </w:r>
      <w:r w:rsidR="0097612F" w:rsidRPr="000977F7">
        <w:rPr>
          <w:color w:val="auto"/>
          <w:spacing w:val="23"/>
          <w:sz w:val="20"/>
          <w:szCs w:val="20"/>
        </w:rPr>
        <w:t xml:space="preserve"> </w:t>
      </w:r>
      <w:r w:rsidR="0097612F" w:rsidRPr="000977F7">
        <w:rPr>
          <w:color w:val="auto"/>
          <w:sz w:val="20"/>
          <w:szCs w:val="20"/>
        </w:rPr>
        <w:t>РОЗРОБЛЕННЯ</w:t>
      </w:r>
      <w:r w:rsidR="0097612F" w:rsidRPr="000977F7">
        <w:rPr>
          <w:color w:val="auto"/>
          <w:spacing w:val="25"/>
          <w:sz w:val="20"/>
          <w:szCs w:val="20"/>
        </w:rPr>
        <w:t xml:space="preserve"> </w:t>
      </w:r>
      <w:r w:rsidR="0097612F" w:rsidRPr="000977F7">
        <w:rPr>
          <w:color w:val="auto"/>
          <w:sz w:val="20"/>
          <w:szCs w:val="20"/>
        </w:rPr>
        <w:t>КОНСТРУКТОРСЬКОЇ</w:t>
      </w:r>
      <w:r w:rsidR="0097612F" w:rsidRPr="000977F7">
        <w:rPr>
          <w:color w:val="auto"/>
          <w:spacing w:val="-47"/>
          <w:sz w:val="20"/>
          <w:szCs w:val="20"/>
        </w:rPr>
        <w:t xml:space="preserve"> </w:t>
      </w:r>
      <w:r w:rsidR="0097612F" w:rsidRPr="000977F7">
        <w:rPr>
          <w:color w:val="auto"/>
          <w:sz w:val="20"/>
          <w:szCs w:val="20"/>
        </w:rPr>
        <w:t>ДОКУМЕНТАЦІЇ–</w:t>
      </w:r>
    </w:p>
    <w:p w14:paraId="6EC7E72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Закінчена частина стадії розроблення конструкторської документації, яка стосується певного виду робіт,</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встановлених</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цієї</w:t>
      </w:r>
      <w:r w:rsidRPr="000977F7">
        <w:rPr>
          <w:rFonts w:asciiTheme="majorHAnsi" w:hAnsiTheme="majorHAnsi"/>
          <w:spacing w:val="-1"/>
          <w:sz w:val="20"/>
          <w:szCs w:val="20"/>
        </w:rPr>
        <w:t xml:space="preserve"> </w:t>
      </w:r>
      <w:r w:rsidRPr="000977F7">
        <w:rPr>
          <w:rFonts w:asciiTheme="majorHAnsi" w:hAnsiTheme="majorHAnsi"/>
          <w:sz w:val="20"/>
          <w:szCs w:val="20"/>
        </w:rPr>
        <w:t>стадії</w:t>
      </w:r>
    </w:p>
    <w:p w14:paraId="05FB0FD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0B9B9B2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ЕТИКЕТКА</w:t>
      </w:r>
      <w:r w:rsidRPr="000977F7">
        <w:rPr>
          <w:color w:val="auto"/>
          <w:spacing w:val="-3"/>
          <w:sz w:val="20"/>
          <w:szCs w:val="20"/>
        </w:rPr>
        <w:t xml:space="preserve"> </w:t>
      </w:r>
      <w:r w:rsidRPr="000977F7">
        <w:rPr>
          <w:color w:val="auto"/>
          <w:sz w:val="20"/>
          <w:szCs w:val="20"/>
        </w:rPr>
        <w:t>–</w:t>
      </w:r>
    </w:p>
    <w:p w14:paraId="6B9AE34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Експлуатаційний документ, який містить основні показники якості і технічні характеристики виробу, гарантовані</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підприємством</w:t>
      </w:r>
      <w:r w:rsidRPr="000977F7">
        <w:rPr>
          <w:rFonts w:asciiTheme="majorHAnsi" w:hAnsiTheme="majorHAnsi"/>
          <w:spacing w:val="2"/>
          <w:sz w:val="20"/>
          <w:szCs w:val="20"/>
        </w:rPr>
        <w:t xml:space="preserve"> </w:t>
      </w:r>
      <w:r w:rsidRPr="000977F7">
        <w:rPr>
          <w:rFonts w:asciiTheme="majorHAnsi" w:hAnsiTheme="majorHAnsi"/>
          <w:sz w:val="20"/>
          <w:szCs w:val="20"/>
        </w:rPr>
        <w:t>–</w:t>
      </w:r>
      <w:r w:rsidRPr="000977F7">
        <w:rPr>
          <w:rFonts w:asciiTheme="majorHAnsi" w:hAnsiTheme="majorHAnsi"/>
          <w:spacing w:val="-2"/>
          <w:sz w:val="20"/>
          <w:szCs w:val="20"/>
        </w:rPr>
        <w:t xml:space="preserve"> </w:t>
      </w:r>
      <w:r w:rsidRPr="000977F7">
        <w:rPr>
          <w:rFonts w:asciiTheme="majorHAnsi" w:hAnsiTheme="majorHAnsi"/>
          <w:sz w:val="20"/>
          <w:szCs w:val="20"/>
        </w:rPr>
        <w:t>виробником</w:t>
      </w:r>
    </w:p>
    <w:p w14:paraId="300F088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4BC6A06C"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ЕФЕКТ</w:t>
      </w:r>
      <w:r w:rsidRPr="000977F7">
        <w:rPr>
          <w:color w:val="auto"/>
          <w:spacing w:val="-4"/>
          <w:sz w:val="20"/>
          <w:szCs w:val="20"/>
        </w:rPr>
        <w:t xml:space="preserve"> </w:t>
      </w:r>
      <w:r w:rsidRPr="000977F7">
        <w:rPr>
          <w:color w:val="auto"/>
          <w:sz w:val="20"/>
          <w:szCs w:val="20"/>
        </w:rPr>
        <w:t>ВЗАЄМОДІЇ</w:t>
      </w:r>
      <w:r w:rsidRPr="000977F7">
        <w:rPr>
          <w:color w:val="auto"/>
          <w:spacing w:val="-3"/>
          <w:sz w:val="20"/>
          <w:szCs w:val="20"/>
        </w:rPr>
        <w:t xml:space="preserve"> </w:t>
      </w:r>
      <w:r w:rsidRPr="000977F7">
        <w:rPr>
          <w:color w:val="auto"/>
          <w:sz w:val="20"/>
          <w:szCs w:val="20"/>
        </w:rPr>
        <w:t>ФАКТОРІВ</w:t>
      </w:r>
      <w:r w:rsidRPr="000977F7">
        <w:rPr>
          <w:color w:val="auto"/>
          <w:spacing w:val="1"/>
          <w:sz w:val="20"/>
          <w:szCs w:val="20"/>
        </w:rPr>
        <w:t xml:space="preserve"> </w:t>
      </w:r>
      <w:r w:rsidRPr="000977F7">
        <w:rPr>
          <w:b w:val="0"/>
          <w:color w:val="auto"/>
          <w:sz w:val="20"/>
          <w:szCs w:val="20"/>
        </w:rPr>
        <w:t>–</w:t>
      </w:r>
    </w:p>
    <w:p w14:paraId="1E051B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Показник</w:t>
      </w:r>
      <w:r w:rsidRPr="000977F7">
        <w:rPr>
          <w:rFonts w:asciiTheme="majorHAnsi" w:hAnsiTheme="majorHAnsi"/>
          <w:spacing w:val="17"/>
          <w:sz w:val="20"/>
          <w:szCs w:val="20"/>
        </w:rPr>
        <w:t xml:space="preserve"> </w:t>
      </w:r>
      <w:r w:rsidRPr="000977F7">
        <w:rPr>
          <w:rFonts w:asciiTheme="majorHAnsi" w:hAnsiTheme="majorHAnsi"/>
          <w:sz w:val="20"/>
          <w:szCs w:val="20"/>
        </w:rPr>
        <w:t>залежності</w:t>
      </w:r>
      <w:r w:rsidRPr="000977F7">
        <w:rPr>
          <w:rFonts w:asciiTheme="majorHAnsi" w:hAnsiTheme="majorHAnsi"/>
          <w:spacing w:val="19"/>
          <w:sz w:val="20"/>
          <w:szCs w:val="20"/>
        </w:rPr>
        <w:t xml:space="preserve"> </w:t>
      </w:r>
      <w:r w:rsidRPr="000977F7">
        <w:rPr>
          <w:rFonts w:asciiTheme="majorHAnsi" w:hAnsiTheme="majorHAnsi"/>
          <w:sz w:val="20"/>
          <w:szCs w:val="20"/>
        </w:rPr>
        <w:t>змінювання</w:t>
      </w:r>
      <w:r w:rsidRPr="000977F7">
        <w:rPr>
          <w:rFonts w:asciiTheme="majorHAnsi" w:hAnsiTheme="majorHAnsi"/>
          <w:spacing w:val="19"/>
          <w:sz w:val="20"/>
          <w:szCs w:val="20"/>
        </w:rPr>
        <w:t xml:space="preserve"> </w:t>
      </w:r>
      <w:r w:rsidRPr="000977F7">
        <w:rPr>
          <w:rFonts w:asciiTheme="majorHAnsi" w:hAnsiTheme="majorHAnsi"/>
          <w:sz w:val="20"/>
          <w:szCs w:val="20"/>
        </w:rPr>
        <w:t>ефекту</w:t>
      </w:r>
      <w:r w:rsidRPr="000977F7">
        <w:rPr>
          <w:rFonts w:asciiTheme="majorHAnsi" w:hAnsiTheme="majorHAnsi"/>
          <w:spacing w:val="18"/>
          <w:sz w:val="20"/>
          <w:szCs w:val="20"/>
        </w:rPr>
        <w:t xml:space="preserve"> </w:t>
      </w:r>
      <w:r w:rsidRPr="000977F7">
        <w:rPr>
          <w:rFonts w:asciiTheme="majorHAnsi" w:hAnsiTheme="majorHAnsi"/>
          <w:sz w:val="20"/>
          <w:szCs w:val="20"/>
        </w:rPr>
        <w:t>одного</w:t>
      </w:r>
      <w:r w:rsidRPr="000977F7">
        <w:rPr>
          <w:rFonts w:asciiTheme="majorHAnsi" w:hAnsiTheme="majorHAnsi"/>
          <w:spacing w:val="20"/>
          <w:sz w:val="20"/>
          <w:szCs w:val="20"/>
        </w:rPr>
        <w:t xml:space="preserve"> </w:t>
      </w:r>
      <w:r w:rsidRPr="000977F7">
        <w:rPr>
          <w:rFonts w:asciiTheme="majorHAnsi" w:hAnsiTheme="majorHAnsi"/>
          <w:sz w:val="20"/>
          <w:szCs w:val="20"/>
        </w:rPr>
        <w:t>фак</w:t>
      </w:r>
      <w:r w:rsidRPr="000977F7">
        <w:rPr>
          <w:rFonts w:asciiTheme="majorHAnsi" w:hAnsiTheme="majorHAnsi"/>
          <w:spacing w:val="-47"/>
          <w:sz w:val="20"/>
          <w:szCs w:val="20"/>
        </w:rPr>
        <w:t xml:space="preserve"> </w:t>
      </w:r>
      <w:r w:rsidRPr="000977F7">
        <w:rPr>
          <w:rFonts w:asciiTheme="majorHAnsi" w:hAnsiTheme="majorHAnsi"/>
          <w:sz w:val="20"/>
          <w:szCs w:val="20"/>
        </w:rPr>
        <w:t>тора</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рівнів</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факторів</w:t>
      </w:r>
    </w:p>
    <w:p w14:paraId="44F7873E"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pacing w:val="-1"/>
          <w:sz w:val="20"/>
          <w:szCs w:val="20"/>
        </w:rPr>
        <w:t xml:space="preserve">ЕФЕКТИВНІСТЬ </w:t>
      </w:r>
      <w:r w:rsidRPr="000977F7">
        <w:rPr>
          <w:rFonts w:asciiTheme="majorHAnsi" w:hAnsiTheme="majorHAnsi"/>
          <w:b/>
          <w:sz w:val="20"/>
          <w:szCs w:val="20"/>
        </w:rPr>
        <w:t>–</w:t>
      </w:r>
      <w:r w:rsidRPr="000977F7">
        <w:rPr>
          <w:rFonts w:asciiTheme="majorHAnsi" w:hAnsiTheme="majorHAnsi"/>
          <w:b/>
          <w:spacing w:val="-47"/>
          <w:sz w:val="20"/>
          <w:szCs w:val="20"/>
        </w:rPr>
        <w:t xml:space="preserve"> </w:t>
      </w:r>
    </w:p>
    <w:p w14:paraId="670C21C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EFFICIЕNCY –</w:t>
      </w:r>
    </w:p>
    <w:p w14:paraId="57798BD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Співвідношення</w:t>
      </w:r>
      <w:r w:rsidRPr="000977F7">
        <w:rPr>
          <w:rFonts w:asciiTheme="majorHAnsi" w:hAnsiTheme="majorHAnsi"/>
          <w:spacing w:val="26"/>
          <w:sz w:val="20"/>
          <w:szCs w:val="20"/>
        </w:rPr>
        <w:t xml:space="preserve"> </w:t>
      </w:r>
      <w:r w:rsidRPr="000977F7">
        <w:rPr>
          <w:rFonts w:asciiTheme="majorHAnsi" w:hAnsiTheme="majorHAnsi"/>
          <w:sz w:val="20"/>
          <w:szCs w:val="20"/>
        </w:rPr>
        <w:t>між</w:t>
      </w:r>
      <w:r w:rsidRPr="000977F7">
        <w:rPr>
          <w:rFonts w:asciiTheme="majorHAnsi" w:hAnsiTheme="majorHAnsi"/>
          <w:spacing w:val="25"/>
          <w:sz w:val="20"/>
          <w:szCs w:val="20"/>
        </w:rPr>
        <w:t xml:space="preserve"> </w:t>
      </w:r>
      <w:r w:rsidRPr="000977F7">
        <w:rPr>
          <w:rFonts w:asciiTheme="majorHAnsi" w:hAnsiTheme="majorHAnsi"/>
          <w:sz w:val="20"/>
          <w:szCs w:val="20"/>
        </w:rPr>
        <w:t>досягненим</w:t>
      </w:r>
      <w:r w:rsidRPr="000977F7">
        <w:rPr>
          <w:rFonts w:asciiTheme="majorHAnsi" w:hAnsiTheme="majorHAnsi"/>
          <w:spacing w:val="27"/>
          <w:sz w:val="20"/>
          <w:szCs w:val="20"/>
        </w:rPr>
        <w:t xml:space="preserve"> </w:t>
      </w:r>
      <w:r w:rsidRPr="000977F7">
        <w:rPr>
          <w:rFonts w:asciiTheme="majorHAnsi" w:hAnsiTheme="majorHAnsi"/>
          <w:sz w:val="20"/>
          <w:szCs w:val="20"/>
        </w:rPr>
        <w:t>результатом</w:t>
      </w:r>
      <w:r w:rsidRPr="000977F7">
        <w:rPr>
          <w:rFonts w:asciiTheme="majorHAnsi" w:hAnsiTheme="majorHAnsi"/>
          <w:spacing w:val="28"/>
          <w:sz w:val="20"/>
          <w:szCs w:val="20"/>
        </w:rPr>
        <w:t xml:space="preserve"> </w:t>
      </w:r>
      <w:r w:rsidRPr="000977F7">
        <w:rPr>
          <w:rFonts w:asciiTheme="majorHAnsi" w:hAnsiTheme="majorHAnsi"/>
          <w:sz w:val="20"/>
          <w:szCs w:val="20"/>
        </w:rPr>
        <w:t>і</w:t>
      </w:r>
      <w:r w:rsidRPr="000977F7">
        <w:rPr>
          <w:rFonts w:asciiTheme="majorHAnsi" w:hAnsiTheme="majorHAnsi"/>
          <w:spacing w:val="25"/>
          <w:sz w:val="20"/>
          <w:szCs w:val="20"/>
        </w:rPr>
        <w:t xml:space="preserve"> </w:t>
      </w:r>
      <w:r w:rsidRPr="000977F7">
        <w:rPr>
          <w:rFonts w:asciiTheme="majorHAnsi" w:hAnsiTheme="majorHAnsi"/>
          <w:sz w:val="20"/>
          <w:szCs w:val="20"/>
        </w:rPr>
        <w:t>використаними</w:t>
      </w:r>
      <w:r w:rsidRPr="000977F7">
        <w:rPr>
          <w:rFonts w:asciiTheme="majorHAnsi" w:hAnsiTheme="majorHAnsi"/>
          <w:spacing w:val="-2"/>
          <w:sz w:val="20"/>
          <w:szCs w:val="20"/>
        </w:rPr>
        <w:t xml:space="preserve"> </w:t>
      </w:r>
      <w:r w:rsidRPr="000977F7">
        <w:rPr>
          <w:rFonts w:asciiTheme="majorHAnsi" w:hAnsiTheme="majorHAnsi"/>
          <w:sz w:val="20"/>
          <w:szCs w:val="20"/>
        </w:rPr>
        <w:t>ресурсами</w:t>
      </w:r>
    </w:p>
    <w:p w14:paraId="6CF787A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9000:2015</w:t>
      </w:r>
    </w:p>
    <w:p w14:paraId="6F1D1BB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w:t>
      </w:r>
      <w:r w:rsidRPr="000977F7">
        <w:rPr>
          <w:rFonts w:asciiTheme="majorHAnsi" w:hAnsiTheme="majorHAnsi"/>
          <w:spacing w:val="1"/>
          <w:sz w:val="20"/>
          <w:szCs w:val="20"/>
        </w:rPr>
        <w:t xml:space="preserve"> </w:t>
      </w:r>
      <w:r w:rsidRPr="000977F7">
        <w:rPr>
          <w:rFonts w:asciiTheme="majorHAnsi" w:hAnsiTheme="majorHAnsi"/>
          <w:sz w:val="20"/>
          <w:szCs w:val="20"/>
        </w:rPr>
        <w:t>між досягненим</w:t>
      </w:r>
      <w:r w:rsidRPr="000977F7">
        <w:rPr>
          <w:rFonts w:asciiTheme="majorHAnsi" w:hAnsiTheme="majorHAnsi"/>
          <w:spacing w:val="1"/>
          <w:sz w:val="20"/>
          <w:szCs w:val="20"/>
        </w:rPr>
        <w:t xml:space="preserve"> </w:t>
      </w:r>
      <w:r w:rsidRPr="000977F7">
        <w:rPr>
          <w:rFonts w:asciiTheme="majorHAnsi" w:hAnsiTheme="majorHAnsi"/>
          <w:sz w:val="20"/>
          <w:szCs w:val="20"/>
        </w:rPr>
        <w:t>результатом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використаними</w:t>
      </w:r>
      <w:r w:rsidRPr="000977F7">
        <w:rPr>
          <w:rFonts w:asciiTheme="majorHAnsi" w:hAnsiTheme="majorHAnsi"/>
          <w:spacing w:val="-2"/>
          <w:sz w:val="20"/>
          <w:szCs w:val="20"/>
        </w:rPr>
        <w:t xml:space="preserve"> </w:t>
      </w:r>
      <w:r w:rsidRPr="000977F7">
        <w:rPr>
          <w:rFonts w:asciiTheme="majorHAnsi" w:hAnsiTheme="majorHAnsi"/>
          <w:sz w:val="20"/>
          <w:szCs w:val="20"/>
        </w:rPr>
        <w:t>ресурсами</w:t>
      </w:r>
    </w:p>
    <w:p w14:paraId="4ABD1EE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ЕФЕКТИВНІСТЬ</w:t>
      </w:r>
      <w:r w:rsidRPr="000977F7">
        <w:rPr>
          <w:color w:val="auto"/>
          <w:spacing w:val="-4"/>
          <w:sz w:val="20"/>
          <w:szCs w:val="20"/>
        </w:rPr>
        <w:t xml:space="preserve"> </w:t>
      </w:r>
      <w:r w:rsidRPr="000977F7">
        <w:rPr>
          <w:color w:val="auto"/>
          <w:sz w:val="20"/>
          <w:szCs w:val="20"/>
        </w:rPr>
        <w:t>ЗАХИСТУ</w:t>
      </w:r>
      <w:r w:rsidRPr="000977F7">
        <w:rPr>
          <w:color w:val="auto"/>
          <w:spacing w:val="-2"/>
          <w:sz w:val="20"/>
          <w:szCs w:val="20"/>
        </w:rPr>
        <w:t xml:space="preserve"> </w:t>
      </w:r>
      <w:r w:rsidRPr="000977F7">
        <w:rPr>
          <w:color w:val="auto"/>
          <w:sz w:val="20"/>
          <w:szCs w:val="20"/>
        </w:rPr>
        <w:t>МЕТАЛУ</w:t>
      </w:r>
      <w:r w:rsidRPr="000977F7">
        <w:rPr>
          <w:color w:val="auto"/>
          <w:spacing w:val="-3"/>
          <w:sz w:val="20"/>
          <w:szCs w:val="20"/>
        </w:rPr>
        <w:t xml:space="preserve"> </w:t>
      </w:r>
      <w:r w:rsidRPr="000977F7">
        <w:rPr>
          <w:color w:val="auto"/>
          <w:sz w:val="20"/>
          <w:szCs w:val="20"/>
        </w:rPr>
        <w:t>–</w:t>
      </w:r>
    </w:p>
    <w:p w14:paraId="5457ABFB" w14:textId="77777777" w:rsidR="000977F7" w:rsidRPr="004D2D14"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pacing w:val="-2"/>
          <w:sz w:val="20"/>
          <w:szCs w:val="20"/>
        </w:rPr>
        <w:t>Відношення</w:t>
      </w:r>
      <w:r w:rsidRPr="000977F7">
        <w:rPr>
          <w:rFonts w:asciiTheme="majorHAnsi" w:hAnsiTheme="majorHAnsi"/>
          <w:spacing w:val="-7"/>
          <w:sz w:val="20"/>
          <w:szCs w:val="20"/>
        </w:rPr>
        <w:t xml:space="preserve"> </w:t>
      </w:r>
      <w:r w:rsidRPr="000977F7">
        <w:rPr>
          <w:rFonts w:asciiTheme="majorHAnsi" w:hAnsiTheme="majorHAnsi"/>
          <w:spacing w:val="-1"/>
          <w:sz w:val="20"/>
          <w:szCs w:val="20"/>
        </w:rPr>
        <w:t>швидкості</w:t>
      </w:r>
      <w:r w:rsidRPr="000977F7">
        <w:rPr>
          <w:rFonts w:asciiTheme="majorHAnsi" w:hAnsiTheme="majorHAnsi"/>
          <w:spacing w:val="-7"/>
          <w:sz w:val="20"/>
          <w:szCs w:val="20"/>
        </w:rPr>
        <w:t xml:space="preserve"> </w:t>
      </w:r>
      <w:r w:rsidRPr="000977F7">
        <w:rPr>
          <w:rFonts w:asciiTheme="majorHAnsi" w:hAnsiTheme="majorHAnsi"/>
          <w:spacing w:val="-1"/>
          <w:sz w:val="20"/>
          <w:szCs w:val="20"/>
        </w:rPr>
        <w:t>корозії</w:t>
      </w:r>
      <w:r w:rsidRPr="000977F7">
        <w:rPr>
          <w:rFonts w:asciiTheme="majorHAnsi" w:hAnsiTheme="majorHAnsi"/>
          <w:spacing w:val="-7"/>
          <w:sz w:val="20"/>
          <w:szCs w:val="20"/>
        </w:rPr>
        <w:t xml:space="preserve"> </w:t>
      </w:r>
      <w:r w:rsidRPr="000977F7">
        <w:rPr>
          <w:rFonts w:asciiTheme="majorHAnsi" w:hAnsiTheme="majorHAnsi"/>
          <w:spacing w:val="-1"/>
          <w:sz w:val="20"/>
          <w:szCs w:val="20"/>
        </w:rPr>
        <w:t>незахищеного</w:t>
      </w:r>
      <w:r w:rsidRPr="000977F7">
        <w:rPr>
          <w:rFonts w:asciiTheme="majorHAnsi" w:hAnsiTheme="majorHAnsi"/>
          <w:spacing w:val="-8"/>
          <w:sz w:val="20"/>
          <w:szCs w:val="20"/>
        </w:rPr>
        <w:t xml:space="preserve"> </w:t>
      </w:r>
      <w:r w:rsidRPr="000977F7">
        <w:rPr>
          <w:rFonts w:asciiTheme="majorHAnsi" w:hAnsiTheme="majorHAnsi"/>
          <w:spacing w:val="-1"/>
          <w:sz w:val="20"/>
          <w:szCs w:val="20"/>
        </w:rPr>
        <w:t>металу</w:t>
      </w:r>
      <w:r w:rsidRPr="000977F7">
        <w:rPr>
          <w:rFonts w:asciiTheme="majorHAnsi" w:hAnsiTheme="majorHAnsi"/>
          <w:spacing w:val="-9"/>
          <w:sz w:val="20"/>
          <w:szCs w:val="20"/>
        </w:rPr>
        <w:t xml:space="preserve"> </w:t>
      </w:r>
      <w:r w:rsidRPr="000977F7">
        <w:rPr>
          <w:rFonts w:asciiTheme="majorHAnsi" w:hAnsiTheme="majorHAnsi"/>
          <w:spacing w:val="-1"/>
          <w:sz w:val="20"/>
          <w:szCs w:val="20"/>
        </w:rPr>
        <w:t>до</w:t>
      </w:r>
      <w:r w:rsidRPr="000977F7">
        <w:rPr>
          <w:rFonts w:asciiTheme="majorHAnsi" w:hAnsiTheme="majorHAnsi"/>
          <w:spacing w:val="-47"/>
          <w:sz w:val="20"/>
          <w:szCs w:val="20"/>
        </w:rPr>
        <w:t xml:space="preserve"> </w:t>
      </w:r>
      <w:r w:rsidRPr="000977F7">
        <w:rPr>
          <w:rFonts w:asciiTheme="majorHAnsi" w:hAnsiTheme="majorHAnsi"/>
          <w:spacing w:val="-4"/>
          <w:sz w:val="20"/>
          <w:szCs w:val="20"/>
        </w:rPr>
        <w:t xml:space="preserve">швидкості корозії захищеного металу за однакових </w:t>
      </w:r>
      <w:r w:rsidRPr="000977F7">
        <w:rPr>
          <w:rFonts w:asciiTheme="majorHAnsi" w:hAnsiTheme="majorHAnsi"/>
          <w:spacing w:val="-3"/>
          <w:sz w:val="20"/>
          <w:szCs w:val="20"/>
        </w:rPr>
        <w:t>умов</w:t>
      </w:r>
      <w:r w:rsidRPr="000977F7">
        <w:rPr>
          <w:rFonts w:asciiTheme="majorHAnsi" w:hAnsiTheme="majorHAnsi"/>
          <w:spacing w:val="-47"/>
          <w:sz w:val="20"/>
          <w:szCs w:val="20"/>
        </w:rPr>
        <w:t xml:space="preserve"> </w:t>
      </w:r>
    </w:p>
    <w:p w14:paraId="426DA622" w14:textId="77777777" w:rsidR="000977F7"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3830</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98</w:t>
      </w:r>
    </w:p>
    <w:p w14:paraId="038B3A0D" w14:textId="77777777" w:rsidR="000977F7" w:rsidRDefault="000977F7" w:rsidP="000977F7">
      <w:pPr>
        <w:pStyle w:val="af6"/>
        <w:tabs>
          <w:tab w:val="left" w:pos="284"/>
        </w:tabs>
        <w:spacing w:after="0"/>
        <w:ind w:left="170"/>
        <w:mirrorIndents/>
        <w:jc w:val="both"/>
        <w:rPr>
          <w:rFonts w:asciiTheme="majorHAnsi" w:hAnsiTheme="majorHAnsi"/>
          <w:i/>
          <w:sz w:val="20"/>
          <w:szCs w:val="20"/>
          <w:lang w:val="en-US"/>
        </w:rPr>
        <w:sectPr w:rsidR="000977F7" w:rsidSect="000977F7">
          <w:type w:val="continuous"/>
          <w:pgSz w:w="11910" w:h="16840"/>
          <w:pgMar w:top="800" w:right="428" w:bottom="960" w:left="1000" w:header="0" w:footer="751" w:gutter="0"/>
          <w:cols w:num="2" w:space="454"/>
        </w:sectPr>
      </w:pPr>
    </w:p>
    <w:p w14:paraId="0F3EB415" w14:textId="77777777" w:rsidR="000977F7" w:rsidRDefault="000977F7" w:rsidP="000977F7">
      <w:pPr>
        <w:pStyle w:val="1"/>
        <w:tabs>
          <w:tab w:val="left" w:pos="284"/>
        </w:tabs>
        <w:spacing w:after="120" w:line="240" w:lineRule="auto"/>
        <w:ind w:left="170"/>
        <w:mirrorIndents/>
        <w:jc w:val="right"/>
        <w:rPr>
          <w:color w:val="auto"/>
          <w:w w:val="99"/>
          <w:sz w:val="24"/>
          <w:szCs w:val="24"/>
          <w:lang w:val="en-US"/>
        </w:rPr>
      </w:pPr>
    </w:p>
    <w:p w14:paraId="738F354F" w14:textId="77777777" w:rsidR="000977F7" w:rsidRPr="000F35DA" w:rsidRDefault="000977F7" w:rsidP="000F35DA">
      <w:pPr>
        <w:pStyle w:val="1"/>
        <w:rPr>
          <w:lang w:val="uk-UA"/>
        </w:rPr>
        <w:sectPr w:rsidR="000977F7" w:rsidRPr="000F35DA" w:rsidSect="000977F7">
          <w:type w:val="continuous"/>
          <w:pgSz w:w="11910" w:h="16840"/>
          <w:pgMar w:top="800" w:right="428" w:bottom="960" w:left="1000" w:header="0" w:footer="751" w:gutter="0"/>
          <w:cols w:num="2" w:space="454"/>
        </w:sectPr>
      </w:pPr>
      <w:bookmarkStart w:id="52" w:name="_Toc132629628"/>
      <w:r w:rsidRPr="000F35DA">
        <w:rPr>
          <w:lang w:val="uk-UA"/>
        </w:rPr>
        <w:t>Є</w:t>
      </w:r>
      <w:bookmarkEnd w:id="52"/>
    </w:p>
    <w:p w14:paraId="57FD13EE" w14:textId="77777777" w:rsidR="000977F7" w:rsidRDefault="000977F7" w:rsidP="000977F7">
      <w:pPr>
        <w:pStyle w:val="af6"/>
        <w:tabs>
          <w:tab w:val="left" w:pos="284"/>
        </w:tabs>
        <w:spacing w:after="0"/>
        <w:ind w:left="170"/>
        <w:mirrorIndents/>
        <w:jc w:val="both"/>
        <w:rPr>
          <w:rFonts w:asciiTheme="majorHAnsi" w:hAnsiTheme="majorHAnsi"/>
          <w:i/>
          <w:sz w:val="20"/>
          <w:szCs w:val="20"/>
          <w:lang w:val="en-US"/>
        </w:rPr>
      </w:pPr>
    </w:p>
    <w:p w14:paraId="22F27199" w14:textId="77777777" w:rsidR="000977F7" w:rsidRPr="000977F7" w:rsidRDefault="000977F7" w:rsidP="000977F7">
      <w:pPr>
        <w:pStyle w:val="af6"/>
        <w:tabs>
          <w:tab w:val="left" w:pos="284"/>
        </w:tabs>
        <w:spacing w:after="0"/>
        <w:ind w:left="170"/>
        <w:mirrorIndents/>
        <w:jc w:val="both"/>
        <w:rPr>
          <w:rFonts w:asciiTheme="majorHAnsi" w:hAnsiTheme="majorHAnsi"/>
          <w:b/>
          <w:bCs/>
          <w:sz w:val="20"/>
          <w:szCs w:val="20"/>
          <w:lang w:val="en-US"/>
        </w:rPr>
      </w:pPr>
      <w:r w:rsidRPr="000977F7">
        <w:rPr>
          <w:rFonts w:asciiTheme="majorHAnsi" w:hAnsiTheme="majorHAnsi"/>
          <w:b/>
          <w:bCs/>
          <w:sz w:val="20"/>
          <w:szCs w:val="20"/>
        </w:rPr>
        <w:t>ЄДНІСТЬ</w:t>
      </w:r>
      <w:r w:rsidRPr="000977F7">
        <w:rPr>
          <w:rFonts w:asciiTheme="majorHAnsi" w:hAnsiTheme="majorHAnsi"/>
          <w:b/>
          <w:bCs/>
          <w:spacing w:val="-3"/>
          <w:sz w:val="20"/>
          <w:szCs w:val="20"/>
          <w:lang w:val="en-US"/>
        </w:rPr>
        <w:t xml:space="preserve"> </w:t>
      </w:r>
      <w:r w:rsidRPr="000977F7">
        <w:rPr>
          <w:rFonts w:asciiTheme="majorHAnsi" w:hAnsiTheme="majorHAnsi"/>
          <w:b/>
          <w:bCs/>
          <w:sz w:val="20"/>
          <w:szCs w:val="20"/>
        </w:rPr>
        <w:t>ВИМІРЮВАНЬ</w:t>
      </w:r>
      <w:r w:rsidRPr="000977F7">
        <w:rPr>
          <w:rFonts w:asciiTheme="majorHAnsi" w:hAnsiTheme="majorHAnsi"/>
          <w:b/>
          <w:bCs/>
          <w:spacing w:val="-2"/>
          <w:sz w:val="20"/>
          <w:szCs w:val="20"/>
          <w:lang w:val="en-US"/>
        </w:rPr>
        <w:t xml:space="preserve"> </w:t>
      </w:r>
      <w:r w:rsidRPr="000977F7">
        <w:rPr>
          <w:rFonts w:asciiTheme="majorHAnsi" w:hAnsiTheme="majorHAnsi"/>
          <w:b/>
          <w:bCs/>
          <w:sz w:val="20"/>
          <w:szCs w:val="20"/>
          <w:lang w:val="en-US"/>
        </w:rPr>
        <w:t>–</w:t>
      </w:r>
    </w:p>
    <w:p w14:paraId="49FCAFC8" w14:textId="77777777" w:rsidR="000977F7" w:rsidRPr="000977F7" w:rsidRDefault="000977F7"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lang w:val="en-US"/>
        </w:rPr>
        <w:t>UNIFORMITY</w:t>
      </w:r>
      <w:r w:rsidRPr="000977F7">
        <w:rPr>
          <w:rFonts w:asciiTheme="majorHAnsi" w:hAnsiTheme="majorHAnsi"/>
          <w:spacing w:val="-1"/>
          <w:sz w:val="20"/>
          <w:szCs w:val="20"/>
          <w:lang w:val="en-US"/>
        </w:rPr>
        <w:t xml:space="preserve"> </w:t>
      </w:r>
      <w:r w:rsidRPr="000977F7">
        <w:rPr>
          <w:rFonts w:asciiTheme="majorHAnsi" w:hAnsiTheme="majorHAnsi"/>
          <w:sz w:val="20"/>
          <w:szCs w:val="20"/>
          <w:lang w:val="en-US"/>
        </w:rPr>
        <w:t>OF</w:t>
      </w:r>
      <w:r w:rsidRPr="000977F7">
        <w:rPr>
          <w:rFonts w:asciiTheme="majorHAnsi" w:hAnsiTheme="majorHAnsi"/>
          <w:spacing w:val="-2"/>
          <w:sz w:val="20"/>
          <w:szCs w:val="20"/>
          <w:lang w:val="en-US"/>
        </w:rPr>
        <w:t xml:space="preserve"> </w:t>
      </w:r>
      <w:r w:rsidRPr="000977F7">
        <w:rPr>
          <w:rFonts w:asciiTheme="majorHAnsi" w:hAnsiTheme="majorHAnsi"/>
          <w:sz w:val="20"/>
          <w:szCs w:val="20"/>
          <w:lang w:val="en-US"/>
        </w:rPr>
        <w:t>MEASUREMENTS</w:t>
      </w:r>
      <w:r w:rsidRPr="000977F7">
        <w:rPr>
          <w:rFonts w:asciiTheme="majorHAnsi" w:hAnsiTheme="majorHAnsi"/>
          <w:spacing w:val="1"/>
          <w:sz w:val="20"/>
          <w:szCs w:val="20"/>
          <w:lang w:val="en-US"/>
        </w:rPr>
        <w:t xml:space="preserve"> </w:t>
      </w:r>
      <w:r w:rsidRPr="000977F7">
        <w:rPr>
          <w:rFonts w:asciiTheme="majorHAnsi" w:hAnsiTheme="majorHAnsi"/>
          <w:sz w:val="20"/>
          <w:szCs w:val="20"/>
          <w:lang w:val="en-US"/>
        </w:rPr>
        <w:t>–</w:t>
      </w:r>
    </w:p>
    <w:p w14:paraId="7DF06425" w14:textId="77777777" w:rsidR="000977F7" w:rsidRPr="000977F7" w:rsidRDefault="000977F7"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Стан вимірювань, за якого їх результати виражаються </w:t>
      </w:r>
      <w:r w:rsidRPr="000977F7">
        <w:rPr>
          <w:rFonts w:asciiTheme="majorHAnsi" w:hAnsiTheme="majorHAnsi"/>
          <w:spacing w:val="-47"/>
          <w:sz w:val="20"/>
          <w:szCs w:val="20"/>
        </w:rPr>
        <w:t xml:space="preserve">   </w:t>
      </w:r>
      <w:r w:rsidRPr="000977F7">
        <w:rPr>
          <w:rFonts w:asciiTheme="majorHAnsi" w:hAnsiTheme="majorHAnsi"/>
          <w:sz w:val="20"/>
          <w:szCs w:val="20"/>
        </w:rPr>
        <w:t>в</w:t>
      </w:r>
      <w:r w:rsidRPr="000977F7">
        <w:rPr>
          <w:rFonts w:asciiTheme="majorHAnsi" w:hAnsiTheme="majorHAnsi"/>
          <w:spacing w:val="24"/>
          <w:sz w:val="20"/>
          <w:szCs w:val="20"/>
        </w:rPr>
        <w:t xml:space="preserve"> </w:t>
      </w:r>
      <w:r w:rsidRPr="000977F7">
        <w:rPr>
          <w:rFonts w:asciiTheme="majorHAnsi" w:hAnsiTheme="majorHAnsi"/>
          <w:sz w:val="20"/>
          <w:szCs w:val="20"/>
        </w:rPr>
        <w:t>узаконених</w:t>
      </w:r>
      <w:r w:rsidRPr="000977F7">
        <w:rPr>
          <w:rFonts w:asciiTheme="majorHAnsi" w:hAnsiTheme="majorHAnsi"/>
          <w:spacing w:val="21"/>
          <w:sz w:val="20"/>
          <w:szCs w:val="20"/>
        </w:rPr>
        <w:t xml:space="preserve"> </w:t>
      </w:r>
      <w:r w:rsidRPr="000977F7">
        <w:rPr>
          <w:rFonts w:asciiTheme="majorHAnsi" w:hAnsiTheme="majorHAnsi"/>
          <w:sz w:val="20"/>
          <w:szCs w:val="20"/>
        </w:rPr>
        <w:t>одиницях</w:t>
      </w:r>
      <w:r w:rsidRPr="000977F7">
        <w:rPr>
          <w:rFonts w:asciiTheme="majorHAnsi" w:hAnsiTheme="majorHAnsi"/>
          <w:spacing w:val="21"/>
          <w:sz w:val="20"/>
          <w:szCs w:val="20"/>
        </w:rPr>
        <w:t xml:space="preserve"> </w:t>
      </w:r>
      <w:r w:rsidRPr="000977F7">
        <w:rPr>
          <w:rFonts w:asciiTheme="majorHAnsi" w:hAnsiTheme="majorHAnsi"/>
          <w:sz w:val="20"/>
          <w:szCs w:val="20"/>
        </w:rPr>
        <w:t>і</w:t>
      </w:r>
      <w:r w:rsidRPr="000977F7">
        <w:rPr>
          <w:rFonts w:asciiTheme="majorHAnsi" w:hAnsiTheme="majorHAnsi"/>
          <w:spacing w:val="24"/>
          <w:sz w:val="20"/>
          <w:szCs w:val="20"/>
        </w:rPr>
        <w:t xml:space="preserve"> </w:t>
      </w:r>
      <w:r w:rsidRPr="000977F7">
        <w:rPr>
          <w:rFonts w:asciiTheme="majorHAnsi" w:hAnsiTheme="majorHAnsi"/>
          <w:sz w:val="20"/>
          <w:szCs w:val="20"/>
        </w:rPr>
        <w:t>похибки</w:t>
      </w:r>
      <w:r w:rsidRPr="000977F7">
        <w:rPr>
          <w:rFonts w:asciiTheme="majorHAnsi" w:hAnsiTheme="majorHAnsi"/>
          <w:spacing w:val="23"/>
          <w:sz w:val="20"/>
          <w:szCs w:val="20"/>
        </w:rPr>
        <w:t xml:space="preserve"> </w:t>
      </w:r>
      <w:r w:rsidRPr="000977F7">
        <w:rPr>
          <w:rFonts w:asciiTheme="majorHAnsi" w:hAnsiTheme="majorHAnsi"/>
          <w:sz w:val="20"/>
          <w:szCs w:val="20"/>
        </w:rPr>
        <w:t>вимірювань</w:t>
      </w:r>
      <w:r w:rsidRPr="000977F7">
        <w:rPr>
          <w:rFonts w:asciiTheme="majorHAnsi" w:hAnsiTheme="majorHAnsi"/>
          <w:spacing w:val="25"/>
          <w:sz w:val="20"/>
          <w:szCs w:val="20"/>
        </w:rPr>
        <w:t xml:space="preserve"> </w:t>
      </w:r>
      <w:r w:rsidRPr="000977F7">
        <w:rPr>
          <w:rFonts w:asciiTheme="majorHAnsi" w:hAnsiTheme="majorHAnsi"/>
          <w:sz w:val="20"/>
          <w:szCs w:val="20"/>
        </w:rPr>
        <w:t xml:space="preserve">відомі </w:t>
      </w:r>
      <w:r w:rsidRPr="000977F7">
        <w:rPr>
          <w:rFonts w:asciiTheme="majorHAnsi" w:hAnsiTheme="majorHAnsi"/>
          <w:spacing w:val="-48"/>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заданою ймовірністю</w:t>
      </w:r>
    </w:p>
    <w:p w14:paraId="0A3ECD24" w14:textId="77777777" w:rsidR="000977F7" w:rsidRPr="000977F7" w:rsidRDefault="000977F7"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6508E8F" w14:textId="77777777" w:rsidR="000977F7" w:rsidRPr="000977F7" w:rsidRDefault="000977F7"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ЄДИНОНАЧАЛЬНІСТЬ</w:t>
      </w:r>
      <w:r w:rsidRPr="000977F7">
        <w:rPr>
          <w:color w:val="auto"/>
          <w:spacing w:val="-5"/>
          <w:sz w:val="20"/>
          <w:szCs w:val="20"/>
        </w:rPr>
        <w:t xml:space="preserve"> </w:t>
      </w:r>
      <w:r w:rsidRPr="000977F7">
        <w:rPr>
          <w:color w:val="auto"/>
          <w:sz w:val="20"/>
          <w:szCs w:val="20"/>
        </w:rPr>
        <w:t>–</w:t>
      </w:r>
    </w:p>
    <w:p w14:paraId="7B79CB6D" w14:textId="77777777" w:rsidR="000977F7" w:rsidRPr="000977F7" w:rsidRDefault="000977F7"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Принцип керування, що проявляється в одноособовому</w:t>
      </w:r>
      <w:r w:rsidRPr="000977F7">
        <w:rPr>
          <w:rFonts w:asciiTheme="majorHAnsi" w:hAnsiTheme="majorHAnsi"/>
          <w:spacing w:val="38"/>
          <w:sz w:val="20"/>
          <w:szCs w:val="20"/>
        </w:rPr>
        <w:t xml:space="preserve"> </w:t>
      </w:r>
      <w:r w:rsidRPr="000977F7">
        <w:rPr>
          <w:rFonts w:asciiTheme="majorHAnsi" w:hAnsiTheme="majorHAnsi"/>
          <w:sz w:val="20"/>
          <w:szCs w:val="20"/>
        </w:rPr>
        <w:t>прийнятті</w:t>
      </w:r>
      <w:r w:rsidRPr="000977F7">
        <w:rPr>
          <w:rFonts w:asciiTheme="majorHAnsi" w:hAnsiTheme="majorHAnsi"/>
          <w:spacing w:val="40"/>
          <w:sz w:val="20"/>
          <w:szCs w:val="20"/>
        </w:rPr>
        <w:t xml:space="preserve"> </w:t>
      </w:r>
      <w:r w:rsidRPr="000977F7">
        <w:rPr>
          <w:rFonts w:asciiTheme="majorHAnsi" w:hAnsiTheme="majorHAnsi"/>
          <w:sz w:val="20"/>
          <w:szCs w:val="20"/>
        </w:rPr>
        <w:t>керівником</w:t>
      </w:r>
      <w:r w:rsidRPr="000977F7">
        <w:rPr>
          <w:rFonts w:asciiTheme="majorHAnsi" w:hAnsiTheme="majorHAnsi"/>
          <w:spacing w:val="40"/>
          <w:sz w:val="20"/>
          <w:szCs w:val="20"/>
        </w:rPr>
        <w:t xml:space="preserve"> </w:t>
      </w:r>
      <w:r w:rsidRPr="000977F7">
        <w:rPr>
          <w:rFonts w:asciiTheme="majorHAnsi" w:hAnsiTheme="majorHAnsi"/>
          <w:sz w:val="20"/>
          <w:szCs w:val="20"/>
        </w:rPr>
        <w:t>керівних</w:t>
      </w:r>
      <w:r w:rsidRPr="000977F7">
        <w:rPr>
          <w:rFonts w:asciiTheme="majorHAnsi" w:hAnsiTheme="majorHAnsi"/>
          <w:spacing w:val="39"/>
          <w:sz w:val="20"/>
          <w:szCs w:val="20"/>
        </w:rPr>
        <w:t xml:space="preserve"> </w:t>
      </w:r>
      <w:r w:rsidRPr="000977F7">
        <w:rPr>
          <w:rFonts w:asciiTheme="majorHAnsi" w:hAnsiTheme="majorHAnsi"/>
          <w:sz w:val="20"/>
          <w:szCs w:val="20"/>
        </w:rPr>
        <w:t>та</w:t>
      </w:r>
      <w:r w:rsidRPr="000977F7">
        <w:rPr>
          <w:rFonts w:asciiTheme="majorHAnsi" w:hAnsiTheme="majorHAnsi"/>
          <w:spacing w:val="42"/>
          <w:sz w:val="20"/>
          <w:szCs w:val="20"/>
        </w:rPr>
        <w:t xml:space="preserve"> </w:t>
      </w:r>
      <w:r w:rsidRPr="000977F7">
        <w:rPr>
          <w:rFonts w:asciiTheme="majorHAnsi" w:hAnsiTheme="majorHAnsi"/>
          <w:sz w:val="20"/>
          <w:szCs w:val="20"/>
        </w:rPr>
        <w:t>управлінських рішень</w:t>
      </w:r>
      <w:r w:rsidRPr="000977F7">
        <w:rPr>
          <w:rFonts w:asciiTheme="majorHAnsi" w:hAnsiTheme="majorHAnsi"/>
          <w:spacing w:val="17"/>
          <w:sz w:val="20"/>
          <w:szCs w:val="20"/>
        </w:rPr>
        <w:t xml:space="preserve"> </w:t>
      </w:r>
      <w:r w:rsidRPr="000977F7">
        <w:rPr>
          <w:rFonts w:asciiTheme="majorHAnsi" w:hAnsiTheme="majorHAnsi"/>
          <w:sz w:val="20"/>
          <w:szCs w:val="20"/>
        </w:rPr>
        <w:t>і</w:t>
      </w:r>
      <w:r w:rsidRPr="000977F7">
        <w:rPr>
          <w:rFonts w:asciiTheme="majorHAnsi" w:hAnsiTheme="majorHAnsi"/>
          <w:spacing w:val="17"/>
          <w:sz w:val="20"/>
          <w:szCs w:val="20"/>
        </w:rPr>
        <w:t xml:space="preserve"> </w:t>
      </w:r>
      <w:r w:rsidRPr="000977F7">
        <w:rPr>
          <w:rFonts w:asciiTheme="majorHAnsi" w:hAnsiTheme="majorHAnsi"/>
          <w:sz w:val="20"/>
          <w:szCs w:val="20"/>
        </w:rPr>
        <w:t>персональній</w:t>
      </w:r>
      <w:r w:rsidRPr="000977F7">
        <w:rPr>
          <w:rFonts w:asciiTheme="majorHAnsi" w:hAnsiTheme="majorHAnsi"/>
          <w:spacing w:val="19"/>
          <w:sz w:val="20"/>
          <w:szCs w:val="20"/>
        </w:rPr>
        <w:t xml:space="preserve"> </w:t>
      </w:r>
      <w:r w:rsidRPr="000977F7">
        <w:rPr>
          <w:rFonts w:asciiTheme="majorHAnsi" w:hAnsiTheme="majorHAnsi"/>
          <w:sz w:val="20"/>
          <w:szCs w:val="20"/>
        </w:rPr>
        <w:t>відповідальності</w:t>
      </w:r>
      <w:r w:rsidRPr="000977F7">
        <w:rPr>
          <w:rFonts w:asciiTheme="majorHAnsi" w:hAnsiTheme="majorHAnsi"/>
          <w:spacing w:val="17"/>
          <w:sz w:val="20"/>
          <w:szCs w:val="20"/>
        </w:rPr>
        <w:t xml:space="preserve"> </w:t>
      </w:r>
      <w:r w:rsidRPr="000977F7">
        <w:rPr>
          <w:rFonts w:asciiTheme="majorHAnsi" w:hAnsiTheme="majorHAnsi"/>
          <w:sz w:val="20"/>
          <w:szCs w:val="20"/>
        </w:rPr>
        <w:t>за</w:t>
      </w:r>
      <w:r w:rsidRPr="000977F7">
        <w:rPr>
          <w:rFonts w:asciiTheme="majorHAnsi" w:hAnsiTheme="majorHAnsi"/>
          <w:spacing w:val="18"/>
          <w:sz w:val="20"/>
          <w:szCs w:val="20"/>
        </w:rPr>
        <w:t xml:space="preserve"> </w:t>
      </w:r>
      <w:r w:rsidRPr="000977F7">
        <w:rPr>
          <w:rFonts w:asciiTheme="majorHAnsi" w:hAnsiTheme="majorHAnsi"/>
          <w:sz w:val="20"/>
          <w:szCs w:val="20"/>
        </w:rPr>
        <w:t>результати</w:t>
      </w:r>
      <w:r w:rsidRPr="000977F7">
        <w:rPr>
          <w:rFonts w:asciiTheme="majorHAnsi" w:hAnsiTheme="majorHAnsi"/>
          <w:spacing w:val="-47"/>
          <w:sz w:val="20"/>
          <w:szCs w:val="20"/>
        </w:rPr>
        <w:t xml:space="preserve"> </w:t>
      </w:r>
      <w:r w:rsidRPr="000977F7">
        <w:rPr>
          <w:rFonts w:asciiTheme="majorHAnsi" w:hAnsiTheme="majorHAnsi"/>
          <w:sz w:val="20"/>
          <w:szCs w:val="20"/>
        </w:rPr>
        <w:t>діяльності</w:t>
      </w:r>
    </w:p>
    <w:p w14:paraId="0A7E1FBE" w14:textId="77777777" w:rsidR="000977F7" w:rsidRPr="000977F7" w:rsidRDefault="000977F7" w:rsidP="000977F7">
      <w:pPr>
        <w:tabs>
          <w:tab w:val="left" w:pos="284"/>
        </w:tabs>
        <w:spacing w:after="0" w:line="240" w:lineRule="auto"/>
        <w:ind w:left="170"/>
        <w:mirrorIndents/>
        <w:jc w:val="both"/>
        <w:rPr>
          <w:rFonts w:asciiTheme="majorHAnsi" w:hAnsiTheme="majorHAnsi"/>
          <w:i/>
          <w:sz w:val="20"/>
          <w:szCs w:val="20"/>
        </w:rPr>
        <w:sectPr w:rsidR="000977F7" w:rsidRPr="000977F7" w:rsidSect="000977F7">
          <w:type w:val="continuous"/>
          <w:pgSz w:w="11910" w:h="16840"/>
          <w:pgMar w:top="800" w:right="428" w:bottom="960" w:left="1000" w:header="0" w:footer="751" w:gutter="0"/>
          <w:cols w:num="2" w:space="454"/>
        </w:sect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3947B57" w14:textId="77777777" w:rsidR="000977F7" w:rsidRPr="004D2D14" w:rsidRDefault="000977F7" w:rsidP="000977F7">
      <w:pPr>
        <w:pStyle w:val="af6"/>
        <w:tabs>
          <w:tab w:val="left" w:pos="284"/>
        </w:tabs>
        <w:spacing w:after="0"/>
        <w:ind w:left="170"/>
        <w:mirrorIndents/>
        <w:jc w:val="both"/>
        <w:rPr>
          <w:rFonts w:asciiTheme="majorHAnsi" w:hAnsiTheme="majorHAnsi"/>
          <w:i/>
          <w:sz w:val="20"/>
          <w:szCs w:val="20"/>
        </w:rPr>
      </w:pPr>
    </w:p>
    <w:p w14:paraId="124C7EBE" w14:textId="77777777" w:rsidR="000977F7" w:rsidRPr="004D2D14" w:rsidRDefault="000977F7" w:rsidP="000977F7">
      <w:pPr>
        <w:pStyle w:val="af6"/>
        <w:tabs>
          <w:tab w:val="left" w:pos="284"/>
        </w:tabs>
        <w:spacing w:after="0"/>
        <w:ind w:left="170"/>
        <w:mirrorIndents/>
        <w:jc w:val="both"/>
        <w:rPr>
          <w:rFonts w:asciiTheme="majorHAnsi" w:hAnsiTheme="majorHAnsi"/>
          <w:i/>
          <w:sz w:val="20"/>
          <w:szCs w:val="20"/>
        </w:rPr>
      </w:pPr>
    </w:p>
    <w:p w14:paraId="1BA6F31A" w14:textId="77777777" w:rsidR="000977F7" w:rsidRPr="004D2D14" w:rsidRDefault="000977F7" w:rsidP="000977F7">
      <w:pPr>
        <w:pStyle w:val="af6"/>
        <w:tabs>
          <w:tab w:val="left" w:pos="284"/>
        </w:tabs>
        <w:spacing w:after="0"/>
        <w:ind w:left="170"/>
        <w:mirrorIndents/>
        <w:jc w:val="both"/>
        <w:rPr>
          <w:rFonts w:asciiTheme="majorHAnsi" w:hAnsiTheme="majorHAnsi"/>
          <w:i/>
          <w:sz w:val="20"/>
          <w:szCs w:val="20"/>
        </w:rPr>
        <w:sectPr w:rsidR="000977F7" w:rsidRPr="004D2D14" w:rsidSect="000977F7">
          <w:type w:val="continuous"/>
          <w:pgSz w:w="11910" w:h="16840"/>
          <w:pgMar w:top="800" w:right="428" w:bottom="960" w:left="1000" w:header="0" w:footer="751" w:gutter="0"/>
          <w:cols w:num="2" w:space="454"/>
        </w:sectPr>
      </w:pPr>
    </w:p>
    <w:p w14:paraId="6EC8E922" w14:textId="77777777" w:rsidR="0097612F" w:rsidRPr="000F35DA" w:rsidRDefault="0097612F" w:rsidP="000F35DA">
      <w:pPr>
        <w:pStyle w:val="1"/>
        <w:rPr>
          <w:lang w:val="uk-UA"/>
        </w:rPr>
        <w:sectPr w:rsidR="0097612F" w:rsidRPr="000F35DA" w:rsidSect="000977F7">
          <w:pgSz w:w="11910" w:h="16840"/>
          <w:pgMar w:top="800" w:right="428" w:bottom="960" w:left="1000" w:header="0" w:footer="751" w:gutter="0"/>
          <w:cols w:num="2" w:space="454"/>
        </w:sectPr>
      </w:pPr>
      <w:bookmarkStart w:id="53" w:name="_Toc132629629"/>
      <w:r w:rsidRPr="000F35DA">
        <w:rPr>
          <w:lang w:val="uk-UA"/>
        </w:rPr>
        <w:lastRenderedPageBreak/>
        <w:t>Ж</w:t>
      </w:r>
      <w:bookmarkEnd w:id="53"/>
    </w:p>
    <w:p w14:paraId="2CA4C28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ЖАРОТРИВКІСТЬ</w:t>
      </w:r>
      <w:r w:rsidRPr="000977F7">
        <w:rPr>
          <w:color w:val="auto"/>
          <w:spacing w:val="-4"/>
          <w:sz w:val="20"/>
          <w:szCs w:val="20"/>
        </w:rPr>
        <w:t xml:space="preserve"> </w:t>
      </w:r>
      <w:r w:rsidRPr="000977F7">
        <w:rPr>
          <w:color w:val="auto"/>
          <w:sz w:val="20"/>
          <w:szCs w:val="20"/>
        </w:rPr>
        <w:t>–</w:t>
      </w:r>
    </w:p>
    <w:p w14:paraId="47C679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Здатність металу чинити опір корозійній дії газів за</w:t>
      </w:r>
      <w:r w:rsidRPr="000977F7">
        <w:rPr>
          <w:rFonts w:asciiTheme="majorHAnsi" w:hAnsiTheme="majorHAnsi"/>
          <w:spacing w:val="1"/>
          <w:sz w:val="20"/>
          <w:szCs w:val="20"/>
        </w:rPr>
        <w:t xml:space="preserve"> </w:t>
      </w:r>
      <w:r w:rsidRPr="000977F7">
        <w:rPr>
          <w:rFonts w:asciiTheme="majorHAnsi" w:hAnsiTheme="majorHAnsi"/>
          <w:sz w:val="20"/>
          <w:szCs w:val="20"/>
        </w:rPr>
        <w:t>високих температур</w:t>
      </w:r>
    </w:p>
    <w:p w14:paraId="243B6406"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 98</w:t>
      </w:r>
      <w:r w:rsidRPr="000977F7">
        <w:rPr>
          <w:rFonts w:asciiTheme="majorHAnsi" w:hAnsiTheme="majorHAnsi"/>
          <w:i/>
          <w:spacing w:val="1"/>
          <w:sz w:val="20"/>
          <w:szCs w:val="20"/>
        </w:rPr>
        <w:t xml:space="preserve"> </w:t>
      </w:r>
    </w:p>
    <w:p w14:paraId="1578F6A6"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ЖИВУЧІСТЬ –</w:t>
      </w:r>
    </w:p>
    <w:p w14:paraId="5C9B082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pacing w:val="-1"/>
          <w:sz w:val="20"/>
          <w:szCs w:val="20"/>
        </w:rPr>
        <w:t>SURVAIVBILITY</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4295D0A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зберігати</w:t>
      </w:r>
      <w:r w:rsidRPr="000977F7">
        <w:rPr>
          <w:rFonts w:asciiTheme="majorHAnsi" w:hAnsiTheme="majorHAnsi"/>
          <w:spacing w:val="1"/>
          <w:sz w:val="20"/>
          <w:szCs w:val="20"/>
        </w:rPr>
        <w:t xml:space="preserve"> </w:t>
      </w:r>
      <w:r w:rsidRPr="000977F7">
        <w:rPr>
          <w:rFonts w:asciiTheme="majorHAnsi" w:hAnsiTheme="majorHAnsi"/>
          <w:sz w:val="20"/>
          <w:szCs w:val="20"/>
        </w:rPr>
        <w:t>обмежену</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працездатність в умовах зовнішніх діянь, що призводять до відмов</w:t>
      </w:r>
      <w:r w:rsidRPr="000977F7">
        <w:rPr>
          <w:rFonts w:asciiTheme="majorHAnsi" w:hAnsiTheme="majorHAnsi"/>
          <w:spacing w:val="-2"/>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складових</w:t>
      </w:r>
      <w:r w:rsidRPr="000977F7">
        <w:rPr>
          <w:rFonts w:asciiTheme="majorHAnsi" w:hAnsiTheme="majorHAnsi"/>
          <w:spacing w:val="-1"/>
          <w:sz w:val="20"/>
          <w:szCs w:val="20"/>
        </w:rPr>
        <w:t xml:space="preserve"> </w:t>
      </w:r>
      <w:r w:rsidRPr="000977F7">
        <w:rPr>
          <w:rFonts w:asciiTheme="majorHAnsi" w:hAnsiTheme="majorHAnsi"/>
          <w:sz w:val="20"/>
          <w:szCs w:val="20"/>
        </w:rPr>
        <w:t>частин</w:t>
      </w:r>
    </w:p>
    <w:p w14:paraId="0872B8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411E1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Живучість</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характеризує</w:t>
      </w:r>
      <w:r w:rsidRPr="000977F7">
        <w:rPr>
          <w:rFonts w:asciiTheme="majorHAnsi" w:hAnsiTheme="majorHAnsi"/>
          <w:spacing w:val="1"/>
          <w:sz w:val="20"/>
          <w:szCs w:val="20"/>
        </w:rPr>
        <w:t xml:space="preserve"> </w:t>
      </w:r>
      <w:r w:rsidRPr="000977F7">
        <w:rPr>
          <w:rFonts w:asciiTheme="majorHAnsi" w:hAnsiTheme="majorHAnsi"/>
          <w:sz w:val="20"/>
          <w:szCs w:val="20"/>
        </w:rPr>
        <w:t>властивість</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протистояти</w:t>
      </w:r>
      <w:r w:rsidRPr="000977F7">
        <w:rPr>
          <w:rFonts w:asciiTheme="majorHAnsi" w:hAnsiTheme="majorHAnsi"/>
          <w:spacing w:val="-2"/>
          <w:sz w:val="20"/>
          <w:szCs w:val="20"/>
        </w:rPr>
        <w:t xml:space="preserve"> </w:t>
      </w:r>
      <w:r w:rsidRPr="000977F7">
        <w:rPr>
          <w:rFonts w:asciiTheme="majorHAnsi" w:hAnsiTheme="majorHAnsi"/>
          <w:sz w:val="20"/>
          <w:szCs w:val="20"/>
        </w:rPr>
        <w:t>розвитку</w:t>
      </w:r>
      <w:r w:rsidRPr="000977F7">
        <w:rPr>
          <w:rFonts w:asciiTheme="majorHAnsi" w:hAnsiTheme="majorHAnsi"/>
          <w:spacing w:val="-1"/>
          <w:sz w:val="20"/>
          <w:szCs w:val="20"/>
        </w:rPr>
        <w:t xml:space="preserve"> </w:t>
      </w:r>
      <w:r w:rsidRPr="000977F7">
        <w:rPr>
          <w:rFonts w:asciiTheme="majorHAnsi" w:hAnsiTheme="majorHAnsi"/>
          <w:sz w:val="20"/>
          <w:szCs w:val="20"/>
        </w:rPr>
        <w:t>критичних відмов</w:t>
      </w:r>
      <w:r w:rsidRPr="000977F7">
        <w:rPr>
          <w:rFonts w:asciiTheme="majorHAnsi" w:hAnsiTheme="majorHAnsi"/>
          <w:spacing w:val="-1"/>
          <w:sz w:val="20"/>
          <w:szCs w:val="20"/>
        </w:rPr>
        <w:t xml:space="preserve"> </w:t>
      </w:r>
      <w:r w:rsidRPr="000977F7">
        <w:rPr>
          <w:rFonts w:asciiTheme="majorHAnsi" w:hAnsiTheme="majorHAnsi"/>
          <w:sz w:val="20"/>
          <w:szCs w:val="20"/>
        </w:rPr>
        <w:t>при будь-яких умовах експлуатації, включаючи і ті, що не</w:t>
      </w:r>
      <w:r w:rsidRPr="000977F7">
        <w:rPr>
          <w:rFonts w:asciiTheme="majorHAnsi" w:hAnsiTheme="majorHAnsi"/>
          <w:spacing w:val="1"/>
          <w:sz w:val="20"/>
          <w:szCs w:val="20"/>
        </w:rPr>
        <w:t xml:space="preserve"> </w:t>
      </w:r>
      <w:r w:rsidRPr="000977F7">
        <w:rPr>
          <w:rFonts w:asciiTheme="majorHAnsi" w:hAnsiTheme="majorHAnsi"/>
          <w:sz w:val="20"/>
          <w:szCs w:val="20"/>
        </w:rPr>
        <w:t>передбачені</w:t>
      </w:r>
      <w:r w:rsidRPr="000977F7">
        <w:rPr>
          <w:rFonts w:asciiTheme="majorHAnsi" w:hAnsiTheme="majorHAnsi"/>
          <w:spacing w:val="-2"/>
          <w:sz w:val="20"/>
          <w:szCs w:val="20"/>
        </w:rPr>
        <w:t xml:space="preserve"> </w:t>
      </w:r>
      <w:r w:rsidRPr="000977F7">
        <w:rPr>
          <w:rFonts w:asciiTheme="majorHAnsi" w:hAnsiTheme="majorHAnsi"/>
          <w:sz w:val="20"/>
          <w:szCs w:val="20"/>
        </w:rPr>
        <w:t>документацією</w:t>
      </w:r>
    </w:p>
    <w:p w14:paraId="2CF6B64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2860 –94</w:t>
      </w:r>
    </w:p>
    <w:p w14:paraId="0FBCD03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ЖИВУЧІСТЬ</w:t>
      </w:r>
      <w:r w:rsidRPr="000977F7">
        <w:rPr>
          <w:color w:val="auto"/>
          <w:spacing w:val="-5"/>
          <w:sz w:val="20"/>
          <w:szCs w:val="20"/>
        </w:rPr>
        <w:t xml:space="preserve"> </w:t>
      </w:r>
      <w:r w:rsidRPr="000977F7">
        <w:rPr>
          <w:color w:val="auto"/>
          <w:sz w:val="20"/>
          <w:szCs w:val="20"/>
        </w:rPr>
        <w:t>ОБ’ЄКТА</w:t>
      </w:r>
      <w:r w:rsidRPr="000977F7">
        <w:rPr>
          <w:color w:val="auto"/>
          <w:spacing w:val="-4"/>
          <w:sz w:val="20"/>
          <w:szCs w:val="20"/>
        </w:rPr>
        <w:t xml:space="preserve"> </w:t>
      </w:r>
      <w:r w:rsidRPr="000977F7">
        <w:rPr>
          <w:color w:val="auto"/>
          <w:sz w:val="20"/>
          <w:szCs w:val="20"/>
        </w:rPr>
        <w:t>(ЗРАЗКА)</w:t>
      </w:r>
      <w:r w:rsidRPr="000977F7">
        <w:rPr>
          <w:color w:val="auto"/>
          <w:spacing w:val="-3"/>
          <w:sz w:val="20"/>
          <w:szCs w:val="20"/>
        </w:rPr>
        <w:t xml:space="preserve"> </w:t>
      </w:r>
      <w:r w:rsidRPr="000977F7">
        <w:rPr>
          <w:color w:val="auto"/>
          <w:sz w:val="20"/>
          <w:szCs w:val="20"/>
        </w:rPr>
        <w:t>–</w:t>
      </w:r>
    </w:p>
    <w:p w14:paraId="598B92F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DURABILITY</w:t>
      </w:r>
      <w:r w:rsidRPr="000977F7">
        <w:rPr>
          <w:rFonts w:asciiTheme="majorHAnsi" w:hAnsiTheme="majorHAnsi"/>
          <w:spacing w:val="-3"/>
          <w:sz w:val="20"/>
          <w:szCs w:val="20"/>
        </w:rPr>
        <w:t xml:space="preserve"> </w:t>
      </w:r>
      <w:r w:rsidRPr="000977F7">
        <w:rPr>
          <w:rFonts w:asciiTheme="majorHAnsi" w:hAnsiTheme="majorHAnsi"/>
          <w:sz w:val="20"/>
          <w:szCs w:val="20"/>
        </w:rPr>
        <w:t>OBJECT –</w:t>
      </w:r>
    </w:p>
    <w:p w14:paraId="5A91B2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Стадія втоми від моменту утворення втомної тріщини</w:t>
      </w:r>
      <w:r w:rsidRPr="000977F7">
        <w:rPr>
          <w:rFonts w:asciiTheme="majorHAnsi" w:hAnsiTheme="majorHAnsi"/>
          <w:spacing w:val="-47"/>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граничного</w:t>
      </w:r>
      <w:r w:rsidRPr="000977F7">
        <w:rPr>
          <w:rFonts w:asciiTheme="majorHAnsi" w:hAnsiTheme="majorHAnsi"/>
          <w:spacing w:val="1"/>
          <w:sz w:val="20"/>
          <w:szCs w:val="20"/>
        </w:rPr>
        <w:t xml:space="preserve"> </w:t>
      </w:r>
      <w:r w:rsidRPr="000977F7">
        <w:rPr>
          <w:rFonts w:asciiTheme="majorHAnsi" w:hAnsiTheme="majorHAnsi"/>
          <w:sz w:val="20"/>
          <w:szCs w:val="20"/>
        </w:rPr>
        <w:t>стану</w:t>
      </w:r>
      <w:r w:rsidRPr="000977F7">
        <w:rPr>
          <w:rFonts w:asciiTheme="majorHAnsi" w:hAnsiTheme="majorHAnsi"/>
          <w:spacing w:val="-5"/>
          <w:sz w:val="20"/>
          <w:szCs w:val="20"/>
        </w:rPr>
        <w:t xml:space="preserve"> </w:t>
      </w:r>
      <w:r w:rsidRPr="000977F7">
        <w:rPr>
          <w:rFonts w:asciiTheme="majorHAnsi" w:hAnsiTheme="majorHAnsi"/>
          <w:sz w:val="20"/>
          <w:szCs w:val="20"/>
        </w:rPr>
        <w:t>об’єкта</w:t>
      </w:r>
      <w:r w:rsidRPr="000977F7">
        <w:rPr>
          <w:rFonts w:asciiTheme="majorHAnsi" w:hAnsiTheme="majorHAnsi"/>
          <w:spacing w:val="2"/>
          <w:sz w:val="20"/>
          <w:szCs w:val="20"/>
        </w:rPr>
        <w:t xml:space="preserve"> </w:t>
      </w:r>
      <w:r w:rsidRPr="000977F7">
        <w:rPr>
          <w:rFonts w:asciiTheme="majorHAnsi" w:hAnsiTheme="majorHAnsi"/>
          <w:sz w:val="20"/>
          <w:szCs w:val="20"/>
        </w:rPr>
        <w:t>(зразка)</w:t>
      </w:r>
    </w:p>
    <w:p w14:paraId="2285F8C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8A4F57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ЖИТТЄВИЙ ЦИКЛ ПРОГРАМНОГО</w:t>
      </w:r>
      <w:r w:rsidRPr="000977F7">
        <w:rPr>
          <w:color w:val="auto"/>
          <w:spacing w:val="-47"/>
          <w:sz w:val="20"/>
          <w:szCs w:val="20"/>
        </w:rPr>
        <w:t xml:space="preserve"> </w:t>
      </w:r>
      <w:r w:rsidRPr="000977F7">
        <w:rPr>
          <w:color w:val="auto"/>
          <w:sz w:val="20"/>
          <w:szCs w:val="20"/>
        </w:rPr>
        <w:t xml:space="preserve">ЗАСОБУ </w:t>
      </w:r>
    </w:p>
    <w:p w14:paraId="3B6A42B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SOFTWARE</w:t>
      </w:r>
      <w:r w:rsidRPr="000977F7">
        <w:rPr>
          <w:rFonts w:asciiTheme="majorHAnsi" w:hAnsiTheme="majorHAnsi"/>
          <w:spacing w:val="-1"/>
          <w:sz w:val="20"/>
          <w:szCs w:val="20"/>
        </w:rPr>
        <w:t xml:space="preserve"> </w:t>
      </w:r>
      <w:r w:rsidRPr="000977F7">
        <w:rPr>
          <w:rFonts w:asciiTheme="majorHAnsi" w:hAnsiTheme="majorHAnsi"/>
          <w:sz w:val="20"/>
          <w:szCs w:val="20"/>
        </w:rPr>
        <w:t>LIFECYCLE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68DD71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окремих етапів робіт, що проводяться у</w:t>
      </w:r>
      <w:r w:rsidRPr="000977F7">
        <w:rPr>
          <w:rFonts w:asciiTheme="majorHAnsi" w:hAnsiTheme="majorHAnsi"/>
          <w:spacing w:val="1"/>
          <w:sz w:val="20"/>
          <w:szCs w:val="20"/>
        </w:rPr>
        <w:t xml:space="preserve"> </w:t>
      </w:r>
      <w:r w:rsidRPr="000977F7">
        <w:rPr>
          <w:rFonts w:asciiTheme="majorHAnsi" w:hAnsiTheme="majorHAnsi"/>
          <w:sz w:val="20"/>
          <w:szCs w:val="20"/>
        </w:rPr>
        <w:t>заданому порядку протягом періоду часу, який починається</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вирішення</w:t>
      </w:r>
      <w:r w:rsidRPr="000977F7">
        <w:rPr>
          <w:rFonts w:asciiTheme="majorHAnsi" w:hAnsiTheme="majorHAnsi"/>
          <w:spacing w:val="1"/>
          <w:sz w:val="20"/>
          <w:szCs w:val="20"/>
        </w:rPr>
        <w:t xml:space="preserve"> </w:t>
      </w:r>
      <w:r w:rsidRPr="000977F7">
        <w:rPr>
          <w:rFonts w:asciiTheme="majorHAnsi" w:hAnsiTheme="majorHAnsi"/>
          <w:sz w:val="20"/>
          <w:szCs w:val="20"/>
        </w:rPr>
        <w:t>питання</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w:t>
      </w:r>
      <w:r w:rsidRPr="000977F7">
        <w:rPr>
          <w:rFonts w:asciiTheme="majorHAnsi" w:hAnsiTheme="majorHAnsi"/>
          <w:spacing w:val="1"/>
          <w:sz w:val="20"/>
          <w:szCs w:val="20"/>
        </w:rPr>
        <w:t xml:space="preserve"> </w:t>
      </w:r>
      <w:r w:rsidRPr="000977F7">
        <w:rPr>
          <w:rFonts w:asciiTheme="majorHAnsi" w:hAnsiTheme="majorHAnsi"/>
          <w:sz w:val="20"/>
          <w:szCs w:val="20"/>
        </w:rPr>
        <w:t>програмного засобу і закінчується припиненням використання</w:t>
      </w:r>
      <w:r w:rsidRPr="000977F7">
        <w:rPr>
          <w:rFonts w:asciiTheme="majorHAnsi" w:hAnsiTheme="majorHAnsi"/>
          <w:spacing w:val="-2"/>
          <w:sz w:val="20"/>
          <w:szCs w:val="20"/>
        </w:rPr>
        <w:t xml:space="preserve"> </w:t>
      </w:r>
      <w:r w:rsidRPr="000977F7">
        <w:rPr>
          <w:rFonts w:asciiTheme="majorHAnsi" w:hAnsiTheme="majorHAnsi"/>
          <w:sz w:val="20"/>
          <w:szCs w:val="20"/>
        </w:rPr>
        <w:t>програмного</w:t>
      </w:r>
      <w:r w:rsidRPr="000977F7">
        <w:rPr>
          <w:rFonts w:asciiTheme="majorHAnsi" w:hAnsiTheme="majorHAnsi"/>
          <w:spacing w:val="1"/>
          <w:sz w:val="20"/>
          <w:szCs w:val="20"/>
        </w:rPr>
        <w:t xml:space="preserve"> </w:t>
      </w:r>
      <w:r w:rsidRPr="000977F7">
        <w:rPr>
          <w:rFonts w:asciiTheme="majorHAnsi" w:hAnsiTheme="majorHAnsi"/>
          <w:sz w:val="20"/>
          <w:szCs w:val="20"/>
        </w:rPr>
        <w:t>засобу</w:t>
      </w:r>
    </w:p>
    <w:p w14:paraId="3A82910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E02D8E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ЖИТТЄВИЙ</w:t>
      </w:r>
      <w:r w:rsidRPr="000977F7">
        <w:rPr>
          <w:color w:val="auto"/>
          <w:spacing w:val="-2"/>
          <w:sz w:val="20"/>
          <w:szCs w:val="20"/>
        </w:rPr>
        <w:t xml:space="preserve"> </w:t>
      </w:r>
      <w:r w:rsidRPr="000977F7">
        <w:rPr>
          <w:color w:val="auto"/>
          <w:sz w:val="20"/>
          <w:szCs w:val="20"/>
        </w:rPr>
        <w:t>ЦИКЛ</w:t>
      </w:r>
      <w:r w:rsidRPr="000977F7">
        <w:rPr>
          <w:color w:val="auto"/>
          <w:spacing w:val="-3"/>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0E48704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LIFE</w:t>
      </w:r>
      <w:r w:rsidRPr="000977F7">
        <w:rPr>
          <w:rFonts w:asciiTheme="majorHAnsi" w:hAnsiTheme="majorHAnsi"/>
          <w:spacing w:val="-3"/>
          <w:sz w:val="20"/>
          <w:szCs w:val="20"/>
        </w:rPr>
        <w:t xml:space="preserve"> </w:t>
      </w:r>
      <w:r w:rsidRPr="000977F7">
        <w:rPr>
          <w:rFonts w:asciiTheme="majorHAnsi" w:hAnsiTheme="majorHAnsi"/>
          <w:sz w:val="20"/>
          <w:szCs w:val="20"/>
        </w:rPr>
        <w:t>CYCLE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C07795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взаємопов’язаних</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r w:rsidRPr="000977F7">
        <w:rPr>
          <w:rFonts w:asciiTheme="majorHAnsi" w:hAnsiTheme="majorHAnsi"/>
          <w:spacing w:val="1"/>
          <w:sz w:val="20"/>
          <w:szCs w:val="20"/>
        </w:rPr>
        <w:t xml:space="preserve"> </w:t>
      </w:r>
      <w:r w:rsidRPr="000977F7">
        <w:rPr>
          <w:rFonts w:asciiTheme="majorHAnsi" w:hAnsiTheme="majorHAnsi"/>
          <w:sz w:val="20"/>
          <w:szCs w:val="20"/>
        </w:rPr>
        <w:t>послідовної</w:t>
      </w:r>
      <w:r w:rsidRPr="000977F7">
        <w:rPr>
          <w:rFonts w:asciiTheme="majorHAnsi" w:hAnsiTheme="majorHAnsi"/>
          <w:spacing w:val="1"/>
          <w:sz w:val="20"/>
          <w:szCs w:val="20"/>
        </w:rPr>
        <w:t xml:space="preserve"> </w:t>
      </w:r>
      <w:r w:rsidRPr="000977F7">
        <w:rPr>
          <w:rFonts w:asciiTheme="majorHAnsi" w:hAnsiTheme="majorHAnsi"/>
          <w:sz w:val="20"/>
          <w:szCs w:val="20"/>
        </w:rPr>
        <w:t>зміни стану продукції від початку дослідження та обґрунтування розроблення до припинення експлуатації</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2"/>
          <w:sz w:val="20"/>
          <w:szCs w:val="20"/>
        </w:rPr>
        <w:t xml:space="preserve"> </w:t>
      </w:r>
      <w:r w:rsidRPr="000977F7">
        <w:rPr>
          <w:rFonts w:asciiTheme="majorHAnsi" w:hAnsiTheme="majorHAnsi"/>
          <w:sz w:val="20"/>
          <w:szCs w:val="20"/>
        </w:rPr>
        <w:t>(зберігання)</w:t>
      </w:r>
      <w:r w:rsidRPr="000977F7">
        <w:rPr>
          <w:rFonts w:asciiTheme="majorHAnsi" w:hAnsiTheme="majorHAnsi"/>
          <w:spacing w:val="-1"/>
          <w:sz w:val="20"/>
          <w:szCs w:val="20"/>
        </w:rPr>
        <w:t xml:space="preserve"> </w:t>
      </w:r>
      <w:r w:rsidRPr="000977F7">
        <w:rPr>
          <w:rFonts w:asciiTheme="majorHAnsi" w:hAnsiTheme="majorHAnsi"/>
          <w:sz w:val="20"/>
          <w:szCs w:val="20"/>
        </w:rPr>
        <w:t>матеріалу</w:t>
      </w:r>
    </w:p>
    <w:p w14:paraId="15C768A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 Поняття</w:t>
      </w:r>
      <w:r w:rsidRPr="000977F7">
        <w:rPr>
          <w:rFonts w:asciiTheme="majorHAnsi" w:hAnsiTheme="majorHAnsi"/>
          <w:spacing w:val="1"/>
          <w:sz w:val="20"/>
          <w:szCs w:val="20"/>
        </w:rPr>
        <w:t xml:space="preserve"> </w:t>
      </w:r>
      <w:r w:rsidRPr="000977F7">
        <w:rPr>
          <w:rFonts w:asciiTheme="majorHAnsi" w:hAnsiTheme="majorHAnsi"/>
          <w:sz w:val="20"/>
          <w:szCs w:val="20"/>
        </w:rPr>
        <w:t>життєвого</w:t>
      </w:r>
      <w:r w:rsidRPr="000977F7">
        <w:rPr>
          <w:rFonts w:asciiTheme="majorHAnsi" w:hAnsiTheme="majorHAnsi"/>
          <w:spacing w:val="1"/>
          <w:sz w:val="20"/>
          <w:szCs w:val="20"/>
        </w:rPr>
        <w:t xml:space="preserve"> </w:t>
      </w:r>
      <w:r w:rsidRPr="000977F7">
        <w:rPr>
          <w:rFonts w:asciiTheme="majorHAnsi" w:hAnsiTheme="majorHAnsi"/>
          <w:sz w:val="20"/>
          <w:szCs w:val="20"/>
        </w:rPr>
        <w:t>циклу</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стосується</w:t>
      </w:r>
      <w:r w:rsidRPr="000977F7">
        <w:rPr>
          <w:rFonts w:asciiTheme="majorHAnsi" w:hAnsiTheme="majorHAnsi"/>
          <w:spacing w:val="1"/>
          <w:sz w:val="20"/>
          <w:szCs w:val="20"/>
        </w:rPr>
        <w:t xml:space="preserve"> </w:t>
      </w:r>
      <w:r w:rsidRPr="000977F7">
        <w:rPr>
          <w:rFonts w:asciiTheme="majorHAnsi" w:hAnsiTheme="majorHAnsi"/>
          <w:sz w:val="20"/>
          <w:szCs w:val="20"/>
        </w:rPr>
        <w:t>всієї сукупності одиниць продукції однієї назви та</w:t>
      </w:r>
      <w:r w:rsidRPr="000977F7">
        <w:rPr>
          <w:rFonts w:asciiTheme="majorHAnsi" w:hAnsiTheme="majorHAnsi"/>
          <w:spacing w:val="-47"/>
          <w:sz w:val="20"/>
          <w:szCs w:val="20"/>
        </w:rPr>
        <w:t xml:space="preserve">            </w:t>
      </w:r>
      <w:r w:rsidRPr="000977F7">
        <w:rPr>
          <w:rFonts w:asciiTheme="majorHAnsi" w:hAnsiTheme="majorHAnsi"/>
          <w:sz w:val="20"/>
          <w:szCs w:val="20"/>
        </w:rPr>
        <w:t>одного позначення</w:t>
      </w:r>
    </w:p>
    <w:p w14:paraId="1E07C623" w14:textId="77777777" w:rsidR="0097612F" w:rsidRPr="000977F7" w:rsidRDefault="0097612F" w:rsidP="00FD39A4">
      <w:pPr>
        <w:pStyle w:val="ac"/>
        <w:widowControl w:val="0"/>
        <w:numPr>
          <w:ilvl w:val="0"/>
          <w:numId w:val="183"/>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Умовно вважають, що на початкових стадіях життєвого</w:t>
      </w:r>
      <w:r w:rsidRPr="000977F7">
        <w:rPr>
          <w:rFonts w:asciiTheme="majorHAnsi" w:hAnsiTheme="majorHAnsi"/>
          <w:spacing w:val="1"/>
          <w:sz w:val="20"/>
          <w:szCs w:val="20"/>
        </w:rPr>
        <w:t xml:space="preserve"> </w:t>
      </w:r>
      <w:r w:rsidRPr="000977F7">
        <w:rPr>
          <w:rFonts w:asciiTheme="majorHAnsi" w:hAnsiTheme="majorHAnsi"/>
          <w:sz w:val="20"/>
          <w:szCs w:val="20"/>
        </w:rPr>
        <w:t>циклу продукція</w:t>
      </w:r>
      <w:r w:rsidRPr="000977F7">
        <w:rPr>
          <w:rFonts w:asciiTheme="majorHAnsi" w:hAnsiTheme="majorHAnsi"/>
          <w:spacing w:val="1"/>
          <w:sz w:val="20"/>
          <w:szCs w:val="20"/>
        </w:rPr>
        <w:t xml:space="preserve"> </w:t>
      </w:r>
      <w:r w:rsidRPr="000977F7">
        <w:rPr>
          <w:rFonts w:asciiTheme="majorHAnsi" w:hAnsiTheme="majorHAnsi"/>
          <w:sz w:val="20"/>
          <w:szCs w:val="20"/>
        </w:rPr>
        <w:t>існує</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задум,</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 завдання, розроблювана технічна документація, макети, експериментальні та дослідні</w:t>
      </w:r>
      <w:r w:rsidRPr="000977F7">
        <w:rPr>
          <w:rFonts w:asciiTheme="majorHAnsi" w:hAnsiTheme="majorHAnsi"/>
          <w:spacing w:val="1"/>
          <w:sz w:val="20"/>
          <w:szCs w:val="20"/>
        </w:rPr>
        <w:t xml:space="preserve"> </w:t>
      </w:r>
      <w:r w:rsidRPr="000977F7">
        <w:rPr>
          <w:rFonts w:asciiTheme="majorHAnsi" w:hAnsiTheme="majorHAnsi"/>
          <w:sz w:val="20"/>
          <w:szCs w:val="20"/>
        </w:rPr>
        <w:t>зразки</w:t>
      </w:r>
      <w:r w:rsidRPr="000977F7">
        <w:rPr>
          <w:rFonts w:asciiTheme="majorHAnsi" w:hAnsiTheme="majorHAnsi"/>
          <w:spacing w:val="-2"/>
          <w:sz w:val="20"/>
          <w:szCs w:val="20"/>
        </w:rPr>
        <w:t xml:space="preserve"> </w:t>
      </w:r>
      <w:r w:rsidRPr="000977F7">
        <w:rPr>
          <w:rFonts w:asciiTheme="majorHAnsi" w:hAnsiTheme="majorHAnsi"/>
          <w:sz w:val="20"/>
          <w:szCs w:val="20"/>
        </w:rPr>
        <w:t>тощо</w:t>
      </w:r>
    </w:p>
    <w:p w14:paraId="2B48E7E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6F59C2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ЖИТТЄВИЙ</w:t>
      </w:r>
      <w:r w:rsidRPr="000977F7">
        <w:rPr>
          <w:color w:val="auto"/>
          <w:spacing w:val="-2"/>
          <w:sz w:val="20"/>
          <w:szCs w:val="20"/>
        </w:rPr>
        <w:t xml:space="preserve"> </w:t>
      </w:r>
      <w:r w:rsidRPr="000977F7">
        <w:rPr>
          <w:color w:val="auto"/>
          <w:sz w:val="20"/>
          <w:szCs w:val="20"/>
        </w:rPr>
        <w:t>ЦИКЛ</w:t>
      </w:r>
      <w:r w:rsidRPr="000977F7">
        <w:rPr>
          <w:color w:val="auto"/>
          <w:spacing w:val="-4"/>
          <w:sz w:val="20"/>
          <w:szCs w:val="20"/>
        </w:rPr>
        <w:t xml:space="preserve"> </w:t>
      </w:r>
      <w:r w:rsidRPr="000977F7">
        <w:rPr>
          <w:color w:val="auto"/>
          <w:sz w:val="20"/>
          <w:szCs w:val="20"/>
        </w:rPr>
        <w:t>ТОВАРУ –</w:t>
      </w:r>
    </w:p>
    <w:p w14:paraId="37745B1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Період,</w:t>
      </w:r>
      <w:r w:rsidRPr="000977F7">
        <w:rPr>
          <w:rFonts w:asciiTheme="majorHAnsi" w:hAnsiTheme="majorHAnsi"/>
          <w:spacing w:val="-4"/>
          <w:sz w:val="20"/>
          <w:szCs w:val="20"/>
        </w:rPr>
        <w:t xml:space="preserve"> </w:t>
      </w:r>
      <w:r w:rsidRPr="000977F7">
        <w:rPr>
          <w:rFonts w:asciiTheme="majorHAnsi" w:hAnsiTheme="majorHAnsi"/>
          <w:sz w:val="20"/>
          <w:szCs w:val="20"/>
        </w:rPr>
        <w:t>протягом</w:t>
      </w:r>
      <w:r w:rsidRPr="000977F7">
        <w:rPr>
          <w:rFonts w:asciiTheme="majorHAnsi" w:hAnsiTheme="majorHAnsi"/>
          <w:spacing w:val="-3"/>
          <w:sz w:val="20"/>
          <w:szCs w:val="20"/>
        </w:rPr>
        <w:t xml:space="preserve"> </w:t>
      </w:r>
      <w:r w:rsidRPr="000977F7">
        <w:rPr>
          <w:rFonts w:asciiTheme="majorHAnsi" w:hAnsiTheme="majorHAnsi"/>
          <w:sz w:val="20"/>
          <w:szCs w:val="20"/>
        </w:rPr>
        <w:t>якого</w:t>
      </w:r>
      <w:r w:rsidRPr="000977F7">
        <w:rPr>
          <w:rFonts w:asciiTheme="majorHAnsi" w:hAnsiTheme="majorHAnsi"/>
          <w:spacing w:val="-2"/>
          <w:sz w:val="20"/>
          <w:szCs w:val="20"/>
        </w:rPr>
        <w:t xml:space="preserve"> </w:t>
      </w:r>
      <w:r w:rsidRPr="000977F7">
        <w:rPr>
          <w:rFonts w:asciiTheme="majorHAnsi" w:hAnsiTheme="majorHAnsi"/>
          <w:sz w:val="20"/>
          <w:szCs w:val="20"/>
        </w:rPr>
        <w:t>товар</w:t>
      </w:r>
      <w:r w:rsidRPr="000977F7">
        <w:rPr>
          <w:rFonts w:asciiTheme="majorHAnsi" w:hAnsiTheme="majorHAnsi"/>
          <w:spacing w:val="-3"/>
          <w:sz w:val="20"/>
          <w:szCs w:val="20"/>
        </w:rPr>
        <w:t xml:space="preserve"> </w:t>
      </w:r>
      <w:r w:rsidRPr="000977F7">
        <w:rPr>
          <w:rFonts w:asciiTheme="majorHAnsi" w:hAnsiTheme="majorHAnsi"/>
          <w:sz w:val="20"/>
          <w:szCs w:val="20"/>
        </w:rPr>
        <w:t>знаходиться</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ринку</w:t>
      </w:r>
    </w:p>
    <w:p w14:paraId="05D72972"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3294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2A5DB4B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ЖОРСТКІСТЬ</w:t>
      </w:r>
      <w:r w:rsidRPr="000977F7">
        <w:rPr>
          <w:color w:val="auto"/>
          <w:spacing w:val="-4"/>
          <w:sz w:val="20"/>
          <w:szCs w:val="20"/>
        </w:rPr>
        <w:t xml:space="preserve"> </w:t>
      </w:r>
      <w:r w:rsidRPr="000977F7">
        <w:rPr>
          <w:color w:val="auto"/>
          <w:sz w:val="20"/>
          <w:szCs w:val="20"/>
        </w:rPr>
        <w:t>ВИПРОБНОЇ</w:t>
      </w:r>
      <w:r w:rsidRPr="000977F7">
        <w:rPr>
          <w:color w:val="auto"/>
          <w:spacing w:val="-5"/>
          <w:sz w:val="20"/>
          <w:szCs w:val="20"/>
        </w:rPr>
        <w:t xml:space="preserve"> </w:t>
      </w:r>
      <w:r w:rsidRPr="000977F7">
        <w:rPr>
          <w:color w:val="auto"/>
          <w:sz w:val="20"/>
          <w:szCs w:val="20"/>
        </w:rPr>
        <w:t>МАШИНИ</w:t>
      </w:r>
      <w:r w:rsidRPr="000977F7">
        <w:rPr>
          <w:color w:val="auto"/>
          <w:spacing w:val="-2"/>
          <w:sz w:val="20"/>
          <w:szCs w:val="20"/>
        </w:rPr>
        <w:t xml:space="preserve"> </w:t>
      </w:r>
      <w:r w:rsidRPr="000977F7">
        <w:rPr>
          <w:color w:val="auto"/>
          <w:sz w:val="20"/>
          <w:szCs w:val="20"/>
        </w:rPr>
        <w:t>–</w:t>
      </w:r>
    </w:p>
    <w:p w14:paraId="67EA69B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RIGIDITY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THE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TESTING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MACHINE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26E70C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Характеристика</w:t>
      </w:r>
      <w:r w:rsidRPr="000977F7">
        <w:rPr>
          <w:rFonts w:asciiTheme="majorHAnsi" w:hAnsiTheme="majorHAnsi"/>
          <w:spacing w:val="1"/>
          <w:sz w:val="20"/>
          <w:szCs w:val="20"/>
        </w:rPr>
        <w:t xml:space="preserve"> </w:t>
      </w:r>
      <w:r w:rsidRPr="000977F7">
        <w:rPr>
          <w:rFonts w:asciiTheme="majorHAnsi" w:hAnsiTheme="majorHAnsi"/>
          <w:sz w:val="20"/>
          <w:szCs w:val="20"/>
        </w:rPr>
        <w:t>пружних</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властивостей</w:t>
      </w:r>
      <w:r w:rsidRPr="000977F7">
        <w:rPr>
          <w:rFonts w:asciiTheme="majorHAnsi" w:hAnsiTheme="majorHAnsi"/>
          <w:spacing w:val="1"/>
          <w:sz w:val="20"/>
          <w:szCs w:val="20"/>
        </w:rPr>
        <w:t xml:space="preserve"> </w:t>
      </w:r>
      <w:r w:rsidRPr="000977F7">
        <w:rPr>
          <w:rFonts w:asciiTheme="majorHAnsi" w:hAnsiTheme="majorHAnsi"/>
          <w:sz w:val="20"/>
          <w:szCs w:val="20"/>
        </w:rPr>
        <w:t>машини,</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47"/>
          <w:sz w:val="20"/>
          <w:szCs w:val="20"/>
        </w:rPr>
        <w:t xml:space="preserve"> </w:t>
      </w:r>
      <w:r w:rsidRPr="000977F7">
        <w:rPr>
          <w:rFonts w:asciiTheme="majorHAnsi" w:hAnsiTheme="majorHAnsi"/>
          <w:sz w:val="20"/>
          <w:szCs w:val="20"/>
        </w:rPr>
        <w:t>вимірюється відношенням зусилля до сумарного пружного</w:t>
      </w:r>
      <w:r w:rsidRPr="000977F7">
        <w:rPr>
          <w:rFonts w:asciiTheme="majorHAnsi" w:hAnsiTheme="majorHAnsi"/>
          <w:spacing w:val="1"/>
          <w:sz w:val="20"/>
          <w:szCs w:val="20"/>
        </w:rPr>
        <w:t xml:space="preserve"> </w:t>
      </w:r>
      <w:r w:rsidRPr="000977F7">
        <w:rPr>
          <w:rFonts w:asciiTheme="majorHAnsi" w:hAnsiTheme="majorHAnsi"/>
          <w:sz w:val="20"/>
          <w:szCs w:val="20"/>
        </w:rPr>
        <w:t>зміщення</w:t>
      </w:r>
      <w:r w:rsidRPr="000977F7">
        <w:rPr>
          <w:rFonts w:asciiTheme="majorHAnsi" w:hAnsiTheme="majorHAnsi"/>
          <w:spacing w:val="1"/>
          <w:sz w:val="20"/>
          <w:szCs w:val="20"/>
        </w:rPr>
        <w:t xml:space="preserve"> </w:t>
      </w:r>
      <w:r w:rsidRPr="000977F7">
        <w:rPr>
          <w:rFonts w:asciiTheme="majorHAnsi" w:hAnsiTheme="majorHAnsi"/>
          <w:sz w:val="20"/>
          <w:szCs w:val="20"/>
        </w:rPr>
        <w:t>частин</w:t>
      </w:r>
      <w:r w:rsidRPr="000977F7">
        <w:rPr>
          <w:rFonts w:asciiTheme="majorHAnsi" w:hAnsiTheme="majorHAnsi"/>
          <w:spacing w:val="1"/>
          <w:sz w:val="20"/>
          <w:szCs w:val="20"/>
        </w:rPr>
        <w:t xml:space="preserve"> </w:t>
      </w:r>
      <w:r w:rsidRPr="000977F7">
        <w:rPr>
          <w:rFonts w:asciiTheme="majorHAnsi" w:hAnsiTheme="majorHAnsi"/>
          <w:sz w:val="20"/>
          <w:szCs w:val="20"/>
        </w:rPr>
        <w:t>силового</w:t>
      </w:r>
      <w:r w:rsidRPr="000977F7">
        <w:rPr>
          <w:rFonts w:asciiTheme="majorHAnsi" w:hAnsiTheme="majorHAnsi"/>
          <w:spacing w:val="1"/>
          <w:sz w:val="20"/>
          <w:szCs w:val="20"/>
        </w:rPr>
        <w:t xml:space="preserve"> </w:t>
      </w:r>
      <w:r w:rsidRPr="000977F7">
        <w:rPr>
          <w:rFonts w:asciiTheme="majorHAnsi" w:hAnsiTheme="majorHAnsi"/>
          <w:sz w:val="20"/>
          <w:szCs w:val="20"/>
        </w:rPr>
        <w:t>ланцюга</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навантажування</w:t>
      </w:r>
    </w:p>
    <w:p w14:paraId="08E8438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2824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5172906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ЖОРСТКИЙ</w:t>
      </w:r>
      <w:r w:rsidRPr="000977F7">
        <w:rPr>
          <w:color w:val="auto"/>
          <w:spacing w:val="-10"/>
          <w:sz w:val="20"/>
          <w:szCs w:val="20"/>
        </w:rPr>
        <w:t xml:space="preserve"> </w:t>
      </w:r>
      <w:r w:rsidRPr="000977F7">
        <w:rPr>
          <w:color w:val="auto"/>
          <w:sz w:val="20"/>
          <w:szCs w:val="20"/>
        </w:rPr>
        <w:t>РЕЖИМ</w:t>
      </w:r>
      <w:r w:rsidRPr="000977F7">
        <w:rPr>
          <w:color w:val="auto"/>
          <w:spacing w:val="-7"/>
          <w:sz w:val="20"/>
          <w:szCs w:val="20"/>
        </w:rPr>
        <w:t xml:space="preserve"> </w:t>
      </w:r>
      <w:r w:rsidRPr="000977F7">
        <w:rPr>
          <w:color w:val="auto"/>
          <w:sz w:val="20"/>
          <w:szCs w:val="20"/>
        </w:rPr>
        <w:t>НАВАНТАЖУВАННЯ;</w:t>
      </w:r>
      <w:r w:rsidRPr="000977F7">
        <w:rPr>
          <w:color w:val="auto"/>
          <w:spacing w:val="-47"/>
          <w:sz w:val="20"/>
          <w:szCs w:val="20"/>
        </w:rPr>
        <w:t xml:space="preserve"> </w:t>
      </w:r>
      <w:r w:rsidRPr="000977F7">
        <w:rPr>
          <w:color w:val="auto"/>
          <w:sz w:val="20"/>
          <w:szCs w:val="20"/>
        </w:rPr>
        <w:t>ЖОРСТКЕ</w:t>
      </w:r>
      <w:r w:rsidRPr="000977F7">
        <w:rPr>
          <w:color w:val="auto"/>
          <w:spacing w:val="-2"/>
          <w:sz w:val="20"/>
          <w:szCs w:val="20"/>
        </w:rPr>
        <w:t xml:space="preserve"> </w:t>
      </w:r>
      <w:r w:rsidRPr="000977F7">
        <w:rPr>
          <w:color w:val="auto"/>
          <w:sz w:val="20"/>
          <w:szCs w:val="20"/>
        </w:rPr>
        <w:t>НАВАНТАЖУВАННЯ</w:t>
      </w:r>
      <w:r w:rsidRPr="000977F7">
        <w:rPr>
          <w:color w:val="auto"/>
          <w:spacing w:val="1"/>
          <w:sz w:val="20"/>
          <w:szCs w:val="20"/>
        </w:rPr>
        <w:t xml:space="preserve"> </w:t>
      </w:r>
      <w:r w:rsidRPr="000977F7">
        <w:rPr>
          <w:color w:val="auto"/>
          <w:sz w:val="20"/>
          <w:szCs w:val="20"/>
        </w:rPr>
        <w:t>–</w:t>
      </w:r>
    </w:p>
    <w:p w14:paraId="331B299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STRAIN</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r w:rsidRPr="004D2D14">
        <w:rPr>
          <w:rFonts w:asciiTheme="majorHAnsi" w:hAnsiTheme="majorHAnsi"/>
          <w:spacing w:val="-1"/>
          <w:sz w:val="20"/>
          <w:szCs w:val="20"/>
          <w:lang w:val="uk-UA"/>
        </w:rPr>
        <w:t xml:space="preserve"> </w:t>
      </w:r>
      <w:r w:rsidRPr="000977F7">
        <w:rPr>
          <w:rFonts w:asciiTheme="majorHAnsi" w:hAnsiTheme="majorHAnsi"/>
          <w:sz w:val="20"/>
          <w:szCs w:val="20"/>
        </w:rPr>
        <w:t>CONTROLLED</w:t>
      </w:r>
      <w:r w:rsidRPr="004D2D14">
        <w:rPr>
          <w:rFonts w:asciiTheme="majorHAnsi" w:hAnsiTheme="majorHAnsi"/>
          <w:spacing w:val="-1"/>
          <w:sz w:val="20"/>
          <w:szCs w:val="20"/>
          <w:lang w:val="uk-UA"/>
        </w:rPr>
        <w:t xml:space="preserve"> </w:t>
      </w:r>
      <w:r w:rsidRPr="000977F7">
        <w:rPr>
          <w:rFonts w:asciiTheme="majorHAnsi" w:hAnsiTheme="majorHAnsi"/>
          <w:sz w:val="20"/>
          <w:szCs w:val="20"/>
        </w:rPr>
        <w:t>LOADING</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3416919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Режим навантажування, що забезпечує задану залежність зміни деформації (переміщень) об’єкта від часу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іншого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параметра</w:t>
      </w:r>
    </w:p>
    <w:p w14:paraId="60DB451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2824</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56F7306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ЖУРНАЛ</w:t>
      </w:r>
      <w:r w:rsidRPr="000977F7">
        <w:rPr>
          <w:color w:val="auto"/>
          <w:spacing w:val="-6"/>
          <w:sz w:val="20"/>
          <w:szCs w:val="20"/>
        </w:rPr>
        <w:t xml:space="preserve"> </w:t>
      </w:r>
      <w:r w:rsidRPr="000977F7">
        <w:rPr>
          <w:color w:val="auto"/>
          <w:sz w:val="20"/>
          <w:szCs w:val="20"/>
        </w:rPr>
        <w:t>АВТОРСЬКОГО</w:t>
      </w:r>
      <w:r w:rsidRPr="000977F7">
        <w:rPr>
          <w:color w:val="auto"/>
          <w:spacing w:val="-4"/>
          <w:sz w:val="20"/>
          <w:szCs w:val="20"/>
        </w:rPr>
        <w:t xml:space="preserve"> </w:t>
      </w:r>
      <w:r w:rsidRPr="000977F7">
        <w:rPr>
          <w:color w:val="auto"/>
          <w:sz w:val="20"/>
          <w:szCs w:val="20"/>
        </w:rPr>
        <w:t>НАГЛЯДУ-</w:t>
      </w:r>
    </w:p>
    <w:p w14:paraId="64094C4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Документ, в якому фіксуються виявлені в процесі авторського нагляду відступи від технічної документації</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і містяться пропозиції щодо їх усунення для наступної</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реалізації підприємством</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виготовлювачем</w:t>
      </w:r>
    </w:p>
    <w:p w14:paraId="53BFACE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ЖУРНАЛ</w:t>
      </w:r>
      <w:r w:rsidRPr="000977F7">
        <w:rPr>
          <w:color w:val="auto"/>
          <w:spacing w:val="1"/>
          <w:sz w:val="20"/>
          <w:szCs w:val="20"/>
        </w:rPr>
        <w:t xml:space="preserve"> </w:t>
      </w:r>
      <w:r w:rsidRPr="000977F7">
        <w:rPr>
          <w:color w:val="auto"/>
          <w:sz w:val="20"/>
          <w:szCs w:val="20"/>
        </w:rPr>
        <w:t>ЗМІН КОНСТРУКТОРСЬКИХ (ТЕХНОЛОГІЧНИХ)</w:t>
      </w:r>
      <w:r w:rsidRPr="000977F7">
        <w:rPr>
          <w:color w:val="auto"/>
          <w:spacing w:val="-1"/>
          <w:sz w:val="20"/>
          <w:szCs w:val="20"/>
        </w:rPr>
        <w:t xml:space="preserve"> </w:t>
      </w:r>
      <w:r w:rsidRPr="000977F7">
        <w:rPr>
          <w:color w:val="auto"/>
          <w:sz w:val="20"/>
          <w:szCs w:val="20"/>
        </w:rPr>
        <w:t>ДОКУМЕНТІВ</w:t>
      </w:r>
      <w:r w:rsidRPr="000977F7">
        <w:rPr>
          <w:color w:val="auto"/>
          <w:spacing w:val="3"/>
          <w:sz w:val="20"/>
          <w:szCs w:val="20"/>
        </w:rPr>
        <w:t xml:space="preserve"> </w:t>
      </w:r>
      <w:r w:rsidRPr="000977F7">
        <w:rPr>
          <w:color w:val="auto"/>
          <w:sz w:val="20"/>
          <w:szCs w:val="20"/>
        </w:rPr>
        <w:t>–</w:t>
      </w:r>
    </w:p>
    <w:p w14:paraId="7B5949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який містить відомості, необхідні для внесення змін у копії конструкторських документів, що</w:t>
      </w:r>
      <w:r w:rsidRPr="000977F7">
        <w:rPr>
          <w:rFonts w:asciiTheme="majorHAnsi" w:hAnsiTheme="majorHAnsi"/>
          <w:spacing w:val="1"/>
          <w:sz w:val="20"/>
          <w:szCs w:val="20"/>
        </w:rPr>
        <w:t xml:space="preserve"> </w:t>
      </w:r>
      <w:r w:rsidRPr="000977F7">
        <w:rPr>
          <w:rFonts w:asciiTheme="majorHAnsi" w:hAnsiTheme="majorHAnsi"/>
          <w:sz w:val="20"/>
          <w:szCs w:val="20"/>
        </w:rPr>
        <w:t>перебувають у виробництві, без виписку повідомлення</w:t>
      </w:r>
      <w:r w:rsidRPr="000977F7">
        <w:rPr>
          <w:rFonts w:asciiTheme="majorHAnsi" w:hAnsiTheme="majorHAnsi"/>
          <w:spacing w:val="-2"/>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зміни</w:t>
      </w:r>
    </w:p>
    <w:p w14:paraId="2B5917B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sectPr w:rsidR="0097612F" w:rsidRPr="000977F7" w:rsidSect="000977F7">
          <w:type w:val="continuous"/>
          <w:pgSz w:w="11910" w:h="16840"/>
          <w:pgMar w:top="800" w:right="428" w:bottom="960" w:left="1000" w:header="0" w:footer="751" w:gutter="0"/>
          <w:cols w:num="2" w:space="454"/>
        </w:sect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3321 -</w:t>
      </w:r>
      <w:r w:rsidRPr="000977F7">
        <w:rPr>
          <w:rFonts w:asciiTheme="majorHAnsi" w:hAnsiTheme="majorHAnsi"/>
          <w:i/>
          <w:spacing w:val="1"/>
          <w:sz w:val="20"/>
          <w:szCs w:val="20"/>
        </w:rPr>
        <w:t xml:space="preserve"> </w:t>
      </w:r>
      <w:r w:rsidRPr="000977F7">
        <w:rPr>
          <w:rFonts w:asciiTheme="majorHAnsi" w:hAnsiTheme="majorHAnsi"/>
          <w:sz w:val="20"/>
          <w:szCs w:val="20"/>
        </w:rPr>
        <w:t>2003</w:t>
      </w:r>
    </w:p>
    <w:p w14:paraId="13EFB5B4" w14:textId="77777777" w:rsidR="0097612F" w:rsidRPr="000F35DA" w:rsidRDefault="0097612F" w:rsidP="000F35DA">
      <w:pPr>
        <w:pStyle w:val="1"/>
        <w:rPr>
          <w:lang w:val="uk-UA"/>
        </w:rPr>
        <w:sectPr w:rsidR="0097612F" w:rsidRPr="000F35DA" w:rsidSect="000977F7">
          <w:pgSz w:w="11910" w:h="16840"/>
          <w:pgMar w:top="800" w:right="428" w:bottom="960" w:left="1000" w:header="0" w:footer="751" w:gutter="0"/>
          <w:cols w:num="2" w:space="454"/>
        </w:sectPr>
      </w:pPr>
      <w:bookmarkStart w:id="54" w:name="_Toc132629630"/>
      <w:r w:rsidRPr="000F35DA">
        <w:rPr>
          <w:lang w:val="uk-UA"/>
        </w:rPr>
        <w:lastRenderedPageBreak/>
        <w:t>З</w:t>
      </w:r>
      <w:bookmarkEnd w:id="54"/>
    </w:p>
    <w:p w14:paraId="6E1A754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ЗАБЕЗПЕЧЕННЯ</w:t>
      </w:r>
      <w:r w:rsidRPr="000977F7">
        <w:rPr>
          <w:color w:val="auto"/>
          <w:spacing w:val="-5"/>
          <w:sz w:val="20"/>
          <w:szCs w:val="20"/>
        </w:rPr>
        <w:t xml:space="preserve"> </w:t>
      </w:r>
      <w:r w:rsidRPr="000977F7">
        <w:rPr>
          <w:color w:val="auto"/>
          <w:sz w:val="20"/>
          <w:szCs w:val="20"/>
        </w:rPr>
        <w:t>БЕЗПЕЧНОСТІ</w:t>
      </w:r>
      <w:r w:rsidRPr="000977F7">
        <w:rPr>
          <w:color w:val="auto"/>
          <w:spacing w:val="-5"/>
          <w:sz w:val="20"/>
          <w:szCs w:val="20"/>
        </w:rPr>
        <w:t xml:space="preserve"> </w:t>
      </w:r>
      <w:r w:rsidRPr="000977F7">
        <w:rPr>
          <w:color w:val="auto"/>
          <w:sz w:val="20"/>
          <w:szCs w:val="20"/>
        </w:rPr>
        <w:t>—</w:t>
      </w:r>
    </w:p>
    <w:p w14:paraId="081242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SAFETY</w:t>
      </w:r>
      <w:r w:rsidRPr="000977F7">
        <w:rPr>
          <w:rFonts w:asciiTheme="majorHAnsi" w:hAnsiTheme="majorHAnsi"/>
          <w:spacing w:val="-3"/>
          <w:sz w:val="20"/>
          <w:szCs w:val="20"/>
        </w:rPr>
        <w:t xml:space="preserve"> </w:t>
      </w:r>
      <w:r w:rsidRPr="000977F7">
        <w:rPr>
          <w:rFonts w:asciiTheme="majorHAnsi" w:hAnsiTheme="majorHAnsi"/>
          <w:sz w:val="20"/>
          <w:szCs w:val="20"/>
        </w:rPr>
        <w:t>ENSURING</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F8EA9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 заходів, що вживаються виробниками, розповсюджувачами, органами державного ринкового нагляду з метою забезпечення відповідності продукції, що введена в обіг на ринку України, загальній вимозі щодо безпечності нехарчової продукції</w:t>
      </w:r>
    </w:p>
    <w:p w14:paraId="5F06B4E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 1 закону України "Про загальну безпечність нехарчової продукції"</w:t>
      </w:r>
    </w:p>
    <w:p w14:paraId="1F5606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Управління ризиком протягом усього циклу існування підприємства (об'єкта) відповідно до обраного (установленого) критерію сукупного ризику всіх потенційних небезпек, що ініціюються промисловим</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підприємством</w:t>
      </w:r>
    </w:p>
    <w:p w14:paraId="423EE37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2156</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93</w:t>
      </w:r>
    </w:p>
    <w:p w14:paraId="01A94997"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ЗАБЕЗПЕЧЕННЯ</w:t>
      </w:r>
      <w:r w:rsidRPr="004D2D14">
        <w:rPr>
          <w:rFonts w:asciiTheme="majorHAnsi" w:hAnsiTheme="majorHAnsi"/>
          <w:b/>
          <w:spacing w:val="-7"/>
          <w:sz w:val="20"/>
          <w:szCs w:val="20"/>
          <w:lang w:val="en-US"/>
        </w:rPr>
        <w:t xml:space="preserve"> </w:t>
      </w:r>
      <w:r w:rsidRPr="000977F7">
        <w:rPr>
          <w:rFonts w:asciiTheme="majorHAnsi" w:hAnsiTheme="majorHAnsi"/>
          <w:b/>
          <w:sz w:val="20"/>
          <w:szCs w:val="20"/>
        </w:rPr>
        <w:t>ВІДПОВІДНОСТІ</w:t>
      </w:r>
      <w:r w:rsidRPr="004D2D14">
        <w:rPr>
          <w:rFonts w:asciiTheme="majorHAnsi" w:hAnsiTheme="majorHAnsi"/>
          <w:b/>
          <w:spacing w:val="-5"/>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ASSURANCE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CONFORMITY –</w:t>
      </w:r>
    </w:p>
    <w:p w14:paraId="5678D4E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Процедура, результатом якої є заява, що дає впевненість у тому, що продукція, процес чи послуга відповідають</w:t>
      </w:r>
      <w:r w:rsidRPr="000977F7">
        <w:rPr>
          <w:rFonts w:asciiTheme="majorHAnsi" w:hAnsiTheme="majorHAnsi"/>
          <w:spacing w:val="-1"/>
          <w:sz w:val="20"/>
          <w:szCs w:val="20"/>
        </w:rPr>
        <w:t xml:space="preserve"> </w:t>
      </w:r>
      <w:r w:rsidRPr="000977F7">
        <w:rPr>
          <w:rFonts w:asciiTheme="majorHAnsi" w:hAnsiTheme="majorHAnsi"/>
          <w:sz w:val="20"/>
          <w:szCs w:val="20"/>
        </w:rPr>
        <w:t>заданим</w:t>
      </w:r>
      <w:r w:rsidRPr="000977F7">
        <w:rPr>
          <w:rFonts w:asciiTheme="majorHAnsi" w:hAnsiTheme="majorHAnsi"/>
          <w:spacing w:val="1"/>
          <w:sz w:val="20"/>
          <w:szCs w:val="20"/>
        </w:rPr>
        <w:t xml:space="preserve"> </w:t>
      </w:r>
      <w:r w:rsidRPr="000977F7">
        <w:rPr>
          <w:rFonts w:asciiTheme="majorHAnsi" w:hAnsiTheme="majorHAnsi"/>
          <w:sz w:val="20"/>
          <w:szCs w:val="20"/>
        </w:rPr>
        <w:t>вимогам</w:t>
      </w:r>
    </w:p>
    <w:p w14:paraId="748CCB2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85B958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5"/>
          <w:sz w:val="20"/>
          <w:szCs w:val="20"/>
        </w:rPr>
        <w:t xml:space="preserve">Стосовно до продукції така заява може </w:t>
      </w:r>
      <w:r w:rsidRPr="000977F7">
        <w:rPr>
          <w:rFonts w:asciiTheme="majorHAnsi" w:hAnsiTheme="majorHAnsi"/>
          <w:spacing w:val="-4"/>
          <w:sz w:val="20"/>
          <w:szCs w:val="20"/>
        </w:rPr>
        <w:t>мати форму доку</w:t>
      </w:r>
      <w:r w:rsidRPr="000977F7">
        <w:rPr>
          <w:rFonts w:asciiTheme="majorHAnsi" w:hAnsiTheme="majorHAnsi"/>
          <w:spacing w:val="-5"/>
          <w:sz w:val="20"/>
          <w:szCs w:val="20"/>
        </w:rPr>
        <w:t xml:space="preserve">мента, </w:t>
      </w:r>
      <w:r w:rsidRPr="000977F7">
        <w:rPr>
          <w:rFonts w:asciiTheme="majorHAnsi" w:hAnsiTheme="majorHAnsi"/>
          <w:spacing w:val="-4"/>
          <w:sz w:val="20"/>
          <w:szCs w:val="20"/>
        </w:rPr>
        <w:t>ярлика чи іншого еквівалентного засобу. Вона мо</w:t>
      </w:r>
      <w:r w:rsidRPr="000977F7">
        <w:rPr>
          <w:rFonts w:asciiTheme="majorHAnsi" w:hAnsiTheme="majorHAnsi"/>
          <w:spacing w:val="-48"/>
          <w:sz w:val="20"/>
          <w:szCs w:val="20"/>
        </w:rPr>
        <w:t xml:space="preserve"> </w:t>
      </w:r>
      <w:r w:rsidRPr="000977F7">
        <w:rPr>
          <w:rFonts w:asciiTheme="majorHAnsi" w:hAnsiTheme="majorHAnsi"/>
          <w:spacing w:val="-5"/>
          <w:sz w:val="20"/>
          <w:szCs w:val="20"/>
        </w:rPr>
        <w:t>же бути надрукована у повідомленні, каталозі, накладній,</w:t>
      </w:r>
      <w:r w:rsidRPr="000977F7">
        <w:rPr>
          <w:rFonts w:asciiTheme="majorHAnsi" w:hAnsiTheme="majorHAnsi"/>
          <w:spacing w:val="-47"/>
          <w:sz w:val="20"/>
          <w:szCs w:val="20"/>
        </w:rPr>
        <w:t xml:space="preserve"> </w:t>
      </w:r>
      <w:r w:rsidRPr="000977F7">
        <w:rPr>
          <w:rFonts w:asciiTheme="majorHAnsi" w:hAnsiTheme="majorHAnsi"/>
          <w:spacing w:val="-6"/>
          <w:sz w:val="20"/>
          <w:szCs w:val="20"/>
        </w:rPr>
        <w:t>інструкції</w:t>
      </w:r>
      <w:r w:rsidRPr="000977F7">
        <w:rPr>
          <w:rFonts w:asciiTheme="majorHAnsi" w:hAnsiTheme="majorHAnsi"/>
          <w:spacing w:val="-12"/>
          <w:sz w:val="20"/>
          <w:szCs w:val="20"/>
        </w:rPr>
        <w:t xml:space="preserve"> </w:t>
      </w:r>
      <w:r w:rsidRPr="000977F7">
        <w:rPr>
          <w:rFonts w:asciiTheme="majorHAnsi" w:hAnsiTheme="majorHAnsi"/>
          <w:spacing w:val="-6"/>
          <w:sz w:val="20"/>
          <w:szCs w:val="20"/>
        </w:rPr>
        <w:t>з</w:t>
      </w:r>
      <w:r w:rsidRPr="000977F7">
        <w:rPr>
          <w:rFonts w:asciiTheme="majorHAnsi" w:hAnsiTheme="majorHAnsi"/>
          <w:spacing w:val="-14"/>
          <w:sz w:val="20"/>
          <w:szCs w:val="20"/>
        </w:rPr>
        <w:t xml:space="preserve"> </w:t>
      </w:r>
      <w:r w:rsidRPr="000977F7">
        <w:rPr>
          <w:rFonts w:asciiTheme="majorHAnsi" w:hAnsiTheme="majorHAnsi"/>
          <w:spacing w:val="-6"/>
          <w:sz w:val="20"/>
          <w:szCs w:val="20"/>
        </w:rPr>
        <w:t>експлуатації</w:t>
      </w:r>
      <w:r w:rsidRPr="000977F7">
        <w:rPr>
          <w:rFonts w:asciiTheme="majorHAnsi" w:hAnsiTheme="majorHAnsi"/>
          <w:spacing w:val="-12"/>
          <w:sz w:val="20"/>
          <w:szCs w:val="20"/>
        </w:rPr>
        <w:t xml:space="preserve"> </w:t>
      </w:r>
      <w:r w:rsidRPr="000977F7">
        <w:rPr>
          <w:rFonts w:asciiTheme="majorHAnsi" w:hAnsiTheme="majorHAnsi"/>
          <w:spacing w:val="-6"/>
          <w:sz w:val="20"/>
          <w:szCs w:val="20"/>
        </w:rPr>
        <w:t>тощо,</w:t>
      </w:r>
      <w:r w:rsidRPr="000977F7">
        <w:rPr>
          <w:rFonts w:asciiTheme="majorHAnsi" w:hAnsiTheme="majorHAnsi"/>
          <w:spacing w:val="-10"/>
          <w:sz w:val="20"/>
          <w:szCs w:val="20"/>
        </w:rPr>
        <w:t xml:space="preserve"> </w:t>
      </w:r>
      <w:r w:rsidRPr="000977F7">
        <w:rPr>
          <w:rFonts w:asciiTheme="majorHAnsi" w:hAnsiTheme="majorHAnsi"/>
          <w:spacing w:val="-6"/>
          <w:sz w:val="20"/>
          <w:szCs w:val="20"/>
        </w:rPr>
        <w:t>які</w:t>
      </w:r>
      <w:r w:rsidRPr="000977F7">
        <w:rPr>
          <w:rFonts w:asciiTheme="majorHAnsi" w:hAnsiTheme="majorHAnsi"/>
          <w:spacing w:val="-12"/>
          <w:sz w:val="20"/>
          <w:szCs w:val="20"/>
        </w:rPr>
        <w:t xml:space="preserve"> </w:t>
      </w:r>
      <w:r w:rsidRPr="000977F7">
        <w:rPr>
          <w:rFonts w:asciiTheme="majorHAnsi" w:hAnsiTheme="majorHAnsi"/>
          <w:spacing w:val="-5"/>
          <w:sz w:val="20"/>
          <w:szCs w:val="20"/>
        </w:rPr>
        <w:t>стосуються</w:t>
      </w:r>
      <w:r w:rsidRPr="000977F7">
        <w:rPr>
          <w:rFonts w:asciiTheme="majorHAnsi" w:hAnsiTheme="majorHAnsi"/>
          <w:spacing w:val="-12"/>
          <w:sz w:val="20"/>
          <w:szCs w:val="20"/>
        </w:rPr>
        <w:t xml:space="preserve"> </w:t>
      </w:r>
      <w:r w:rsidRPr="000977F7">
        <w:rPr>
          <w:rFonts w:asciiTheme="majorHAnsi" w:hAnsiTheme="majorHAnsi"/>
          <w:spacing w:val="-5"/>
          <w:sz w:val="20"/>
          <w:szCs w:val="20"/>
        </w:rPr>
        <w:t>продукції</w:t>
      </w:r>
    </w:p>
    <w:p w14:paraId="4C84329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ЗАБЕЗПЕЧЕННЯ</w:t>
      </w:r>
      <w:r w:rsidRPr="000977F7">
        <w:rPr>
          <w:color w:val="auto"/>
          <w:spacing w:val="44"/>
          <w:sz w:val="20"/>
          <w:szCs w:val="20"/>
        </w:rPr>
        <w:t xml:space="preserve"> </w:t>
      </w:r>
      <w:r w:rsidRPr="000977F7">
        <w:rPr>
          <w:color w:val="auto"/>
          <w:sz w:val="20"/>
          <w:szCs w:val="20"/>
        </w:rPr>
        <w:t>ЄДНОСТІ</w:t>
      </w:r>
      <w:r w:rsidRPr="000977F7">
        <w:rPr>
          <w:color w:val="auto"/>
          <w:spacing w:val="43"/>
          <w:sz w:val="20"/>
          <w:szCs w:val="20"/>
        </w:rPr>
        <w:t xml:space="preserve"> </w:t>
      </w:r>
      <w:r w:rsidRPr="000977F7">
        <w:rPr>
          <w:color w:val="auto"/>
          <w:sz w:val="20"/>
          <w:szCs w:val="20"/>
        </w:rPr>
        <w:t>ВИМІРЮВАНЬ</w:t>
      </w:r>
      <w:r w:rsidRPr="000977F7">
        <w:rPr>
          <w:color w:val="auto"/>
          <w:spacing w:val="1"/>
          <w:sz w:val="20"/>
          <w:szCs w:val="20"/>
        </w:rPr>
        <w:t xml:space="preserve"> </w:t>
      </w:r>
      <w:r w:rsidRPr="000977F7">
        <w:rPr>
          <w:color w:val="auto"/>
          <w:sz w:val="20"/>
          <w:szCs w:val="20"/>
        </w:rPr>
        <w:t>–</w:t>
      </w:r>
    </w:p>
    <w:p w14:paraId="0695767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Діяльність, яка спрямована на досягнення і підтримку</w:t>
      </w:r>
      <w:r w:rsidRPr="000977F7">
        <w:rPr>
          <w:rFonts w:asciiTheme="majorHAnsi" w:hAnsiTheme="majorHAnsi"/>
          <w:spacing w:val="1"/>
          <w:sz w:val="20"/>
          <w:szCs w:val="20"/>
        </w:rPr>
        <w:t xml:space="preserve"> </w:t>
      </w:r>
      <w:r w:rsidRPr="000977F7">
        <w:rPr>
          <w:rFonts w:asciiTheme="majorHAnsi" w:hAnsiTheme="majorHAnsi"/>
          <w:sz w:val="20"/>
          <w:szCs w:val="20"/>
        </w:rPr>
        <w:t>єдності</w:t>
      </w:r>
      <w:r w:rsidRPr="000977F7">
        <w:rPr>
          <w:rFonts w:asciiTheme="majorHAnsi" w:hAnsiTheme="majorHAnsi"/>
          <w:spacing w:val="-2"/>
          <w:sz w:val="20"/>
          <w:szCs w:val="20"/>
        </w:rPr>
        <w:t xml:space="preserve"> </w:t>
      </w:r>
      <w:r w:rsidRPr="000977F7">
        <w:rPr>
          <w:rFonts w:asciiTheme="majorHAnsi" w:hAnsiTheme="majorHAnsi"/>
          <w:sz w:val="20"/>
          <w:szCs w:val="20"/>
        </w:rPr>
        <w:t>вимірювань</w:t>
      </w:r>
    </w:p>
    <w:p w14:paraId="2EEE822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2681 - 94</w:t>
      </w:r>
    </w:p>
    <w:p w14:paraId="0F0310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 науково – технічних та організаційних заходів, методів і засобів, спрямованих на досягнення</w:t>
      </w:r>
      <w:r w:rsidRPr="000977F7">
        <w:rPr>
          <w:rFonts w:asciiTheme="majorHAnsi" w:hAnsiTheme="majorHAnsi"/>
          <w:spacing w:val="1"/>
          <w:sz w:val="20"/>
          <w:szCs w:val="20"/>
        </w:rPr>
        <w:t xml:space="preserve"> </w:t>
      </w:r>
      <w:r w:rsidRPr="000977F7">
        <w:rPr>
          <w:rFonts w:asciiTheme="majorHAnsi" w:hAnsiTheme="majorHAnsi"/>
          <w:sz w:val="20"/>
          <w:szCs w:val="20"/>
        </w:rPr>
        <w:t>потрібних точності, відтворюваності і (чи) вірогідності</w:t>
      </w:r>
      <w:r w:rsidRPr="000977F7">
        <w:rPr>
          <w:rFonts w:asciiTheme="majorHAnsi" w:hAnsiTheme="majorHAnsi"/>
          <w:spacing w:val="-2"/>
          <w:sz w:val="20"/>
          <w:szCs w:val="20"/>
        </w:rPr>
        <w:t xml:space="preserve"> </w:t>
      </w:r>
      <w:r w:rsidRPr="000977F7">
        <w:rPr>
          <w:rFonts w:asciiTheme="majorHAnsi" w:hAnsiTheme="majorHAnsi"/>
          <w:sz w:val="20"/>
          <w:szCs w:val="20"/>
        </w:rPr>
        <w:t>результатів</w:t>
      </w:r>
      <w:r w:rsidRPr="000977F7">
        <w:rPr>
          <w:rFonts w:asciiTheme="majorHAnsi" w:hAnsiTheme="majorHAnsi"/>
          <w:spacing w:val="-2"/>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038D35F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3021 – 95</w:t>
      </w:r>
    </w:p>
    <w:p w14:paraId="5B5C4F5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ЗАБЕЗПЕЧЕННЯ ЯКОСТІ ПРОГРАМНОГО ЗАСОБУ –</w:t>
      </w:r>
    </w:p>
    <w:p w14:paraId="7F5CE48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SOFTWARE</w:t>
      </w:r>
      <w:r w:rsidRPr="004D2D14">
        <w:rPr>
          <w:rFonts w:asciiTheme="majorHAnsi" w:hAnsiTheme="majorHAnsi"/>
          <w:spacing w:val="-3"/>
          <w:sz w:val="20"/>
          <w:szCs w:val="20"/>
          <w:lang w:val="uk-UA"/>
        </w:rPr>
        <w:t xml:space="preserve"> </w:t>
      </w:r>
      <w:r w:rsidRPr="000977F7">
        <w:rPr>
          <w:rFonts w:asciiTheme="majorHAnsi" w:hAnsiTheme="majorHAnsi"/>
          <w:sz w:val="20"/>
          <w:szCs w:val="20"/>
        </w:rPr>
        <w:t>QUALITY</w:t>
      </w:r>
      <w:r w:rsidRPr="004D2D14">
        <w:rPr>
          <w:rFonts w:asciiTheme="majorHAnsi" w:hAnsiTheme="majorHAnsi"/>
          <w:spacing w:val="-3"/>
          <w:sz w:val="20"/>
          <w:szCs w:val="20"/>
          <w:lang w:val="uk-UA"/>
        </w:rPr>
        <w:t xml:space="preserve"> </w:t>
      </w:r>
      <w:r w:rsidRPr="000977F7">
        <w:rPr>
          <w:rFonts w:asciiTheme="majorHAnsi" w:hAnsiTheme="majorHAnsi"/>
          <w:sz w:val="20"/>
          <w:szCs w:val="20"/>
        </w:rPr>
        <w:t>ASSURANCE</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29B79E5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Сукупність дій, які плануються та систематично виконуються,</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необхідних для забезпечення впевненості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 тому, що програмний засіб задовольняє встановленим вимогам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 якості.</w:t>
      </w:r>
    </w:p>
    <w:p w14:paraId="0441D87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2844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6D19AF1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ЗАБЕЗПЕЧУВАННЯ</w:t>
      </w:r>
      <w:r w:rsidRPr="000977F7">
        <w:rPr>
          <w:color w:val="auto"/>
          <w:spacing w:val="-7"/>
          <w:sz w:val="20"/>
          <w:szCs w:val="20"/>
        </w:rPr>
        <w:t xml:space="preserve"> </w:t>
      </w:r>
      <w:r w:rsidRPr="000977F7">
        <w:rPr>
          <w:color w:val="auto"/>
          <w:sz w:val="20"/>
          <w:szCs w:val="20"/>
        </w:rPr>
        <w:t>ЯКОСТІ -</w:t>
      </w:r>
    </w:p>
    <w:p w14:paraId="0D5F9E4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QUALITY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ASSURANCE -</w:t>
      </w:r>
    </w:p>
    <w:p w14:paraId="28474922"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iCs/>
          <w:sz w:val="20"/>
          <w:szCs w:val="20"/>
        </w:rPr>
        <w:t>Складова частина управління якістю зосереджена на</w:t>
      </w:r>
      <w:r w:rsidRPr="000977F7">
        <w:rPr>
          <w:rFonts w:asciiTheme="majorHAnsi" w:hAnsiTheme="majorHAnsi"/>
          <w:iCs/>
          <w:spacing w:val="-47"/>
          <w:sz w:val="20"/>
          <w:szCs w:val="20"/>
        </w:rPr>
        <w:t xml:space="preserve"> </w:t>
      </w:r>
      <w:r w:rsidRPr="000977F7">
        <w:rPr>
          <w:rFonts w:asciiTheme="majorHAnsi" w:hAnsiTheme="majorHAnsi"/>
          <w:iCs/>
          <w:sz w:val="20"/>
          <w:szCs w:val="20"/>
        </w:rPr>
        <w:t>створюванні</w:t>
      </w:r>
      <w:r w:rsidRPr="000977F7">
        <w:rPr>
          <w:rFonts w:asciiTheme="majorHAnsi" w:hAnsiTheme="majorHAnsi"/>
          <w:iCs/>
          <w:spacing w:val="-3"/>
          <w:sz w:val="20"/>
          <w:szCs w:val="20"/>
        </w:rPr>
        <w:t xml:space="preserve"> </w:t>
      </w:r>
      <w:r w:rsidRPr="000977F7">
        <w:rPr>
          <w:rFonts w:asciiTheme="majorHAnsi" w:hAnsiTheme="majorHAnsi"/>
          <w:iCs/>
          <w:sz w:val="20"/>
          <w:szCs w:val="20"/>
        </w:rPr>
        <w:t>впевненості</w:t>
      </w:r>
      <w:r w:rsidRPr="000977F7">
        <w:rPr>
          <w:rFonts w:asciiTheme="majorHAnsi" w:hAnsiTheme="majorHAnsi"/>
          <w:iCs/>
          <w:spacing w:val="-2"/>
          <w:sz w:val="20"/>
          <w:szCs w:val="20"/>
        </w:rPr>
        <w:t xml:space="preserve"> </w:t>
      </w:r>
      <w:r w:rsidRPr="000977F7">
        <w:rPr>
          <w:rFonts w:asciiTheme="majorHAnsi" w:hAnsiTheme="majorHAnsi"/>
          <w:iCs/>
          <w:sz w:val="20"/>
          <w:szCs w:val="20"/>
        </w:rPr>
        <w:t>в</w:t>
      </w:r>
      <w:r w:rsidRPr="000977F7">
        <w:rPr>
          <w:rFonts w:asciiTheme="majorHAnsi" w:hAnsiTheme="majorHAnsi"/>
          <w:iCs/>
          <w:spacing w:val="1"/>
          <w:sz w:val="20"/>
          <w:szCs w:val="20"/>
        </w:rPr>
        <w:t xml:space="preserve"> </w:t>
      </w:r>
      <w:r w:rsidRPr="000977F7">
        <w:rPr>
          <w:rFonts w:asciiTheme="majorHAnsi" w:hAnsiTheme="majorHAnsi"/>
          <w:iCs/>
          <w:sz w:val="20"/>
          <w:szCs w:val="20"/>
        </w:rPr>
        <w:t>тому,</w:t>
      </w:r>
      <w:r w:rsidRPr="000977F7">
        <w:rPr>
          <w:rFonts w:asciiTheme="majorHAnsi" w:hAnsiTheme="majorHAnsi"/>
          <w:iCs/>
          <w:spacing w:val="-1"/>
          <w:sz w:val="20"/>
          <w:szCs w:val="20"/>
        </w:rPr>
        <w:t xml:space="preserve"> </w:t>
      </w:r>
      <w:r w:rsidRPr="000977F7">
        <w:rPr>
          <w:rFonts w:asciiTheme="majorHAnsi" w:hAnsiTheme="majorHAnsi"/>
          <w:iCs/>
          <w:sz w:val="20"/>
          <w:szCs w:val="20"/>
        </w:rPr>
        <w:t>що</w:t>
      </w:r>
      <w:r w:rsidRPr="000977F7">
        <w:rPr>
          <w:rFonts w:asciiTheme="majorHAnsi" w:hAnsiTheme="majorHAnsi"/>
          <w:iCs/>
          <w:spacing w:val="1"/>
          <w:sz w:val="20"/>
          <w:szCs w:val="20"/>
        </w:rPr>
        <w:t xml:space="preserve"> </w:t>
      </w:r>
      <w:r w:rsidRPr="000977F7">
        <w:rPr>
          <w:rFonts w:asciiTheme="majorHAnsi" w:hAnsiTheme="majorHAnsi"/>
          <w:iCs/>
          <w:sz w:val="20"/>
          <w:szCs w:val="20"/>
        </w:rPr>
        <w:t>вимоги</w:t>
      </w:r>
      <w:r w:rsidRPr="000977F7">
        <w:rPr>
          <w:rFonts w:asciiTheme="majorHAnsi" w:hAnsiTheme="majorHAnsi"/>
          <w:iCs/>
          <w:spacing w:val="-1"/>
          <w:sz w:val="20"/>
          <w:szCs w:val="20"/>
        </w:rPr>
        <w:t xml:space="preserve"> </w:t>
      </w:r>
      <w:r w:rsidRPr="000977F7">
        <w:rPr>
          <w:rFonts w:asciiTheme="majorHAnsi" w:hAnsiTheme="majorHAnsi"/>
          <w:iCs/>
          <w:sz w:val="20"/>
          <w:szCs w:val="20"/>
        </w:rPr>
        <w:t>щодо</w:t>
      </w:r>
    </w:p>
    <w:p w14:paraId="51CD5A31"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iCs/>
          <w:sz w:val="20"/>
          <w:szCs w:val="20"/>
        </w:rPr>
        <w:t>якості буде виконано</w:t>
      </w:r>
    </w:p>
    <w:p w14:paraId="4E09F68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6F433BA8" w14:textId="77777777" w:rsidR="0097612F" w:rsidRPr="000977F7" w:rsidRDefault="0097612F" w:rsidP="000977F7">
      <w:pPr>
        <w:pStyle w:val="7"/>
        <w:tabs>
          <w:tab w:val="left" w:pos="284"/>
        </w:tabs>
        <w:spacing w:before="0" w:line="240" w:lineRule="auto"/>
        <w:ind w:left="170"/>
        <w:mirrorIndents/>
        <w:jc w:val="both"/>
        <w:rPr>
          <w:color w:val="auto"/>
          <w:spacing w:val="-8"/>
          <w:sz w:val="20"/>
          <w:szCs w:val="20"/>
        </w:rPr>
      </w:pPr>
      <w:r w:rsidRPr="000977F7">
        <w:rPr>
          <w:color w:val="auto"/>
          <w:spacing w:val="-8"/>
          <w:sz w:val="20"/>
          <w:szCs w:val="20"/>
        </w:rPr>
        <w:t>ЗАБРУДНЕННЯ АТМОСФЕРНОГО ПОВІТРЯ –</w:t>
      </w:r>
    </w:p>
    <w:p w14:paraId="0154991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CONTAMINATION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ATMOSPHERE –</w:t>
      </w:r>
    </w:p>
    <w:p w14:paraId="2581C0F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Привнесення</w:t>
      </w:r>
      <w:r w:rsidRPr="004D2D14">
        <w:rPr>
          <w:rFonts w:asciiTheme="majorHAnsi" w:hAnsiTheme="majorHAnsi"/>
          <w:sz w:val="20"/>
          <w:szCs w:val="20"/>
          <w:lang w:val="en-US"/>
        </w:rPr>
        <w:t xml:space="preserve"> </w:t>
      </w:r>
      <w:r w:rsidRPr="000977F7">
        <w:rPr>
          <w:rFonts w:asciiTheme="majorHAnsi" w:hAnsiTheme="majorHAnsi"/>
          <w:sz w:val="20"/>
          <w:szCs w:val="20"/>
        </w:rPr>
        <w:t>у</w:t>
      </w:r>
      <w:r w:rsidRPr="004D2D14">
        <w:rPr>
          <w:rFonts w:asciiTheme="majorHAnsi" w:hAnsiTheme="majorHAnsi"/>
          <w:sz w:val="20"/>
          <w:szCs w:val="20"/>
          <w:lang w:val="en-US"/>
        </w:rPr>
        <w:t xml:space="preserve"> </w:t>
      </w:r>
      <w:r w:rsidRPr="000977F7">
        <w:rPr>
          <w:rFonts w:asciiTheme="majorHAnsi" w:hAnsiTheme="majorHAnsi"/>
          <w:sz w:val="20"/>
          <w:szCs w:val="20"/>
        </w:rPr>
        <w:t>повітря</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утворення</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ньому</w:t>
      </w:r>
      <w:r w:rsidRPr="004D2D14">
        <w:rPr>
          <w:rFonts w:asciiTheme="majorHAnsi" w:hAnsiTheme="majorHAnsi"/>
          <w:sz w:val="20"/>
          <w:szCs w:val="20"/>
          <w:lang w:val="en-US"/>
        </w:rPr>
        <w:t xml:space="preserve"> </w:t>
      </w:r>
      <w:r w:rsidRPr="000977F7">
        <w:rPr>
          <w:rFonts w:asciiTheme="majorHAnsi" w:hAnsiTheme="majorHAnsi"/>
          <w:sz w:val="20"/>
          <w:szCs w:val="20"/>
        </w:rPr>
        <w:t>фізичних</w:t>
      </w:r>
      <w:r w:rsidRPr="004D2D14">
        <w:rPr>
          <w:rFonts w:asciiTheme="majorHAnsi" w:hAnsiTheme="majorHAnsi"/>
          <w:sz w:val="20"/>
          <w:szCs w:val="20"/>
          <w:lang w:val="en-US"/>
        </w:rPr>
        <w:t xml:space="preserve"> </w:t>
      </w:r>
      <w:r w:rsidRPr="000977F7">
        <w:rPr>
          <w:rFonts w:asciiTheme="majorHAnsi" w:hAnsiTheme="majorHAnsi"/>
          <w:sz w:val="20"/>
          <w:szCs w:val="20"/>
        </w:rPr>
        <w:t>агентів</w:t>
      </w:r>
      <w:r w:rsidRPr="004D2D14">
        <w:rPr>
          <w:rFonts w:asciiTheme="majorHAnsi" w:hAnsiTheme="majorHAnsi"/>
          <w:sz w:val="20"/>
          <w:szCs w:val="20"/>
          <w:lang w:val="en-US"/>
        </w:rPr>
        <w:t xml:space="preserve">, </w:t>
      </w:r>
      <w:r w:rsidRPr="000977F7">
        <w:rPr>
          <w:rFonts w:asciiTheme="majorHAnsi" w:hAnsiTheme="majorHAnsi"/>
          <w:sz w:val="20"/>
          <w:szCs w:val="20"/>
        </w:rPr>
        <w:t>хімічних</w:t>
      </w:r>
      <w:r w:rsidRPr="004D2D14">
        <w:rPr>
          <w:rFonts w:asciiTheme="majorHAnsi" w:hAnsiTheme="majorHAnsi"/>
          <w:sz w:val="20"/>
          <w:szCs w:val="20"/>
          <w:lang w:val="en-US"/>
        </w:rPr>
        <w:t xml:space="preserve"> </w:t>
      </w:r>
      <w:r w:rsidRPr="000977F7">
        <w:rPr>
          <w:rFonts w:asciiTheme="majorHAnsi" w:hAnsiTheme="majorHAnsi"/>
          <w:sz w:val="20"/>
          <w:szCs w:val="20"/>
        </w:rPr>
        <w:t>речовин</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організмів</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негативно</w:t>
      </w:r>
      <w:r w:rsidRPr="004D2D14">
        <w:rPr>
          <w:rFonts w:asciiTheme="majorHAnsi" w:hAnsiTheme="majorHAnsi"/>
          <w:sz w:val="20"/>
          <w:szCs w:val="20"/>
          <w:lang w:val="en-US"/>
        </w:rPr>
        <w:t xml:space="preserve"> </w:t>
      </w:r>
      <w:r w:rsidRPr="000977F7">
        <w:rPr>
          <w:rFonts w:asciiTheme="majorHAnsi" w:hAnsiTheme="majorHAnsi"/>
          <w:sz w:val="20"/>
          <w:szCs w:val="20"/>
        </w:rPr>
        <w:t>впливають</w:t>
      </w:r>
      <w:r w:rsidRPr="004D2D14">
        <w:rPr>
          <w:rFonts w:asciiTheme="majorHAnsi" w:hAnsiTheme="majorHAnsi"/>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життєдіяльність</w:t>
      </w:r>
      <w:r w:rsidRPr="004D2D14">
        <w:rPr>
          <w:rFonts w:asciiTheme="majorHAnsi" w:hAnsiTheme="majorHAnsi"/>
          <w:sz w:val="20"/>
          <w:szCs w:val="20"/>
          <w:lang w:val="en-US"/>
        </w:rPr>
        <w:t xml:space="preserve"> </w:t>
      </w:r>
      <w:r w:rsidRPr="000977F7">
        <w:rPr>
          <w:rFonts w:asciiTheme="majorHAnsi" w:hAnsiTheme="majorHAnsi"/>
          <w:sz w:val="20"/>
          <w:szCs w:val="20"/>
        </w:rPr>
        <w:t>людини</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завдають</w:t>
      </w:r>
      <w:r w:rsidRPr="004D2D14">
        <w:rPr>
          <w:rFonts w:asciiTheme="majorHAnsi" w:hAnsiTheme="majorHAnsi"/>
          <w:spacing w:val="-1"/>
          <w:sz w:val="20"/>
          <w:szCs w:val="20"/>
          <w:lang w:val="en-US"/>
        </w:rPr>
        <w:t xml:space="preserve"> </w:t>
      </w:r>
      <w:r w:rsidRPr="000977F7">
        <w:rPr>
          <w:rFonts w:asciiTheme="majorHAnsi" w:hAnsiTheme="majorHAnsi"/>
          <w:sz w:val="20"/>
          <w:szCs w:val="20"/>
        </w:rPr>
        <w:t>шкоди</w:t>
      </w:r>
      <w:r w:rsidRPr="004D2D14">
        <w:rPr>
          <w:rFonts w:asciiTheme="majorHAnsi" w:hAnsiTheme="majorHAnsi"/>
          <w:spacing w:val="-2"/>
          <w:sz w:val="20"/>
          <w:szCs w:val="20"/>
          <w:lang w:val="en-US"/>
        </w:rPr>
        <w:t xml:space="preserve"> </w:t>
      </w:r>
      <w:r w:rsidRPr="000977F7">
        <w:rPr>
          <w:rFonts w:asciiTheme="majorHAnsi" w:hAnsiTheme="majorHAnsi"/>
          <w:sz w:val="20"/>
          <w:szCs w:val="20"/>
        </w:rPr>
        <w:t>матеріальним</w:t>
      </w:r>
      <w:r w:rsidRPr="004D2D14">
        <w:rPr>
          <w:rFonts w:asciiTheme="majorHAnsi" w:hAnsiTheme="majorHAnsi"/>
          <w:spacing w:val="3"/>
          <w:sz w:val="20"/>
          <w:szCs w:val="20"/>
          <w:lang w:val="en-US"/>
        </w:rPr>
        <w:t xml:space="preserve"> </w:t>
      </w:r>
      <w:r w:rsidRPr="000977F7">
        <w:rPr>
          <w:rFonts w:asciiTheme="majorHAnsi" w:hAnsiTheme="majorHAnsi"/>
          <w:sz w:val="20"/>
          <w:szCs w:val="20"/>
        </w:rPr>
        <w:t>цінностям</w:t>
      </w:r>
    </w:p>
    <w:p w14:paraId="7DD50472"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2156</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93</w:t>
      </w:r>
    </w:p>
    <w:p w14:paraId="701875A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ЗАБРУДНЕННЯ</w:t>
      </w:r>
      <w:r w:rsidRPr="000977F7">
        <w:rPr>
          <w:color w:val="auto"/>
          <w:spacing w:val="-4"/>
          <w:sz w:val="20"/>
          <w:szCs w:val="20"/>
        </w:rPr>
        <w:t xml:space="preserve"> </w:t>
      </w:r>
      <w:r w:rsidRPr="000977F7">
        <w:rPr>
          <w:color w:val="auto"/>
          <w:sz w:val="20"/>
          <w:szCs w:val="20"/>
        </w:rPr>
        <w:t>ҐРУНТОВОГО</w:t>
      </w:r>
      <w:r w:rsidRPr="000977F7">
        <w:rPr>
          <w:color w:val="auto"/>
          <w:spacing w:val="-3"/>
          <w:sz w:val="20"/>
          <w:szCs w:val="20"/>
        </w:rPr>
        <w:t xml:space="preserve"> </w:t>
      </w:r>
      <w:r w:rsidRPr="000977F7">
        <w:rPr>
          <w:color w:val="auto"/>
          <w:sz w:val="20"/>
          <w:szCs w:val="20"/>
        </w:rPr>
        <w:t>ПОКРОВУ</w:t>
      </w:r>
      <w:r w:rsidRPr="000977F7">
        <w:rPr>
          <w:color w:val="auto"/>
          <w:spacing w:val="-3"/>
          <w:sz w:val="20"/>
          <w:szCs w:val="20"/>
        </w:rPr>
        <w:t xml:space="preserve"> </w:t>
      </w:r>
      <w:r w:rsidRPr="000977F7">
        <w:rPr>
          <w:color w:val="auto"/>
          <w:sz w:val="20"/>
          <w:szCs w:val="20"/>
        </w:rPr>
        <w:t>–</w:t>
      </w:r>
    </w:p>
    <w:p w14:paraId="756636A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SOIL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CONTAMINATION –</w:t>
      </w:r>
    </w:p>
    <w:p w14:paraId="6D4B53F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Привнесення</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виникнення</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ґрунті</w:t>
      </w:r>
      <w:r w:rsidRPr="004D2D14">
        <w:rPr>
          <w:rFonts w:asciiTheme="majorHAnsi" w:hAnsiTheme="majorHAnsi"/>
          <w:sz w:val="20"/>
          <w:szCs w:val="20"/>
          <w:lang w:val="en-US"/>
        </w:rPr>
        <w:t xml:space="preserve"> </w:t>
      </w:r>
      <w:r w:rsidRPr="000977F7">
        <w:rPr>
          <w:rFonts w:asciiTheme="majorHAnsi" w:hAnsiTheme="majorHAnsi"/>
          <w:sz w:val="20"/>
          <w:szCs w:val="20"/>
        </w:rPr>
        <w:t>нових</w:t>
      </w:r>
      <w:r w:rsidRPr="004D2D14">
        <w:rPr>
          <w:rFonts w:asciiTheme="majorHAnsi" w:hAnsiTheme="majorHAnsi"/>
          <w:sz w:val="20"/>
          <w:szCs w:val="20"/>
          <w:lang w:val="en-US"/>
        </w:rPr>
        <w:t xml:space="preserve"> </w:t>
      </w:r>
      <w:r w:rsidRPr="000977F7">
        <w:rPr>
          <w:rFonts w:asciiTheme="majorHAnsi" w:hAnsiTheme="majorHAnsi"/>
          <w:sz w:val="20"/>
          <w:szCs w:val="20"/>
        </w:rPr>
        <w:t>звичайно</w:t>
      </w:r>
      <w:r w:rsidRPr="004D2D14">
        <w:rPr>
          <w:rFonts w:asciiTheme="majorHAnsi" w:hAnsiTheme="majorHAnsi"/>
          <w:spacing w:val="-47"/>
          <w:sz w:val="20"/>
          <w:szCs w:val="20"/>
          <w:lang w:val="en-US"/>
        </w:rPr>
        <w:t xml:space="preserve"> </w:t>
      </w:r>
      <w:r w:rsidRPr="000977F7">
        <w:rPr>
          <w:rFonts w:asciiTheme="majorHAnsi" w:hAnsiTheme="majorHAnsi"/>
          <w:sz w:val="20"/>
          <w:szCs w:val="20"/>
        </w:rPr>
        <w:t>не</w:t>
      </w:r>
      <w:r w:rsidRPr="004D2D14">
        <w:rPr>
          <w:rFonts w:asciiTheme="majorHAnsi" w:hAnsiTheme="majorHAnsi"/>
          <w:sz w:val="20"/>
          <w:szCs w:val="20"/>
          <w:lang w:val="en-US"/>
        </w:rPr>
        <w:t xml:space="preserve"> </w:t>
      </w:r>
      <w:r w:rsidRPr="000977F7">
        <w:rPr>
          <w:rFonts w:asciiTheme="majorHAnsi" w:hAnsiTheme="majorHAnsi"/>
          <w:sz w:val="20"/>
          <w:szCs w:val="20"/>
        </w:rPr>
        <w:t>характерних</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нього</w:t>
      </w:r>
      <w:r w:rsidRPr="004D2D14">
        <w:rPr>
          <w:rFonts w:asciiTheme="majorHAnsi" w:hAnsiTheme="majorHAnsi"/>
          <w:sz w:val="20"/>
          <w:szCs w:val="20"/>
          <w:lang w:val="en-US"/>
        </w:rPr>
        <w:t xml:space="preserve"> </w:t>
      </w:r>
      <w:r w:rsidRPr="000977F7">
        <w:rPr>
          <w:rFonts w:asciiTheme="majorHAnsi" w:hAnsiTheme="majorHAnsi"/>
          <w:sz w:val="20"/>
          <w:szCs w:val="20"/>
        </w:rPr>
        <w:t>фізичних</w:t>
      </w:r>
      <w:r w:rsidRPr="004D2D14">
        <w:rPr>
          <w:rFonts w:asciiTheme="majorHAnsi" w:hAnsiTheme="majorHAnsi"/>
          <w:sz w:val="20"/>
          <w:szCs w:val="20"/>
          <w:lang w:val="en-US"/>
        </w:rPr>
        <w:t xml:space="preserve">, </w:t>
      </w:r>
      <w:r w:rsidRPr="000977F7">
        <w:rPr>
          <w:rFonts w:asciiTheme="majorHAnsi" w:hAnsiTheme="majorHAnsi"/>
          <w:sz w:val="20"/>
          <w:szCs w:val="20"/>
        </w:rPr>
        <w:t>хімічних</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біологічних</w:t>
      </w:r>
      <w:r w:rsidRPr="004D2D14">
        <w:rPr>
          <w:rFonts w:asciiTheme="majorHAnsi" w:hAnsiTheme="majorHAnsi"/>
          <w:sz w:val="20"/>
          <w:szCs w:val="20"/>
          <w:lang w:val="en-US"/>
        </w:rPr>
        <w:t xml:space="preserve"> </w:t>
      </w:r>
      <w:r w:rsidRPr="000977F7">
        <w:rPr>
          <w:rFonts w:asciiTheme="majorHAnsi" w:hAnsiTheme="majorHAnsi"/>
          <w:sz w:val="20"/>
          <w:szCs w:val="20"/>
        </w:rPr>
        <w:t>агентів</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перевищення</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часі</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розглядається</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середньо</w:t>
      </w:r>
      <w:r w:rsidRPr="004D2D14">
        <w:rPr>
          <w:rFonts w:asciiTheme="majorHAnsi" w:hAnsiTheme="majorHAnsi"/>
          <w:sz w:val="20"/>
          <w:szCs w:val="20"/>
          <w:lang w:val="en-US"/>
        </w:rPr>
        <w:t>-</w:t>
      </w:r>
      <w:r w:rsidRPr="000977F7">
        <w:rPr>
          <w:rFonts w:asciiTheme="majorHAnsi" w:hAnsiTheme="majorHAnsi"/>
          <w:sz w:val="20"/>
          <w:szCs w:val="20"/>
        </w:rPr>
        <w:t>багаторічного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рівня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концентрації</w:t>
      </w:r>
      <w:r w:rsidRPr="004D2D14">
        <w:rPr>
          <w:rFonts w:asciiTheme="majorHAnsi" w:hAnsiTheme="majorHAnsi"/>
          <w:spacing w:val="-47"/>
          <w:sz w:val="20"/>
          <w:szCs w:val="20"/>
          <w:lang w:val="en-US"/>
        </w:rPr>
        <w:t xml:space="preserve"> </w:t>
      </w:r>
      <w:r w:rsidRPr="000977F7">
        <w:rPr>
          <w:rFonts w:asciiTheme="majorHAnsi" w:hAnsiTheme="majorHAnsi"/>
          <w:sz w:val="20"/>
          <w:szCs w:val="20"/>
        </w:rPr>
        <w:t>перелічених</w:t>
      </w:r>
      <w:r w:rsidRPr="004D2D14">
        <w:rPr>
          <w:rFonts w:asciiTheme="majorHAnsi" w:hAnsiTheme="majorHAnsi"/>
          <w:spacing w:val="-2"/>
          <w:sz w:val="20"/>
          <w:szCs w:val="20"/>
          <w:lang w:val="en-US"/>
        </w:rPr>
        <w:t xml:space="preserve"> </w:t>
      </w:r>
      <w:r w:rsidRPr="000977F7">
        <w:rPr>
          <w:rFonts w:asciiTheme="majorHAnsi" w:hAnsiTheme="majorHAnsi"/>
          <w:sz w:val="20"/>
          <w:szCs w:val="20"/>
        </w:rPr>
        <w:t>агентів</w:t>
      </w:r>
    </w:p>
    <w:p w14:paraId="7DE05C6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2346C8F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ЗАБРУДНЕННЯ</w:t>
      </w:r>
      <w:r w:rsidRPr="000977F7">
        <w:rPr>
          <w:color w:val="auto"/>
          <w:spacing w:val="1"/>
          <w:sz w:val="20"/>
          <w:szCs w:val="20"/>
        </w:rPr>
        <w:t xml:space="preserve"> </w:t>
      </w:r>
      <w:r w:rsidRPr="000977F7">
        <w:rPr>
          <w:color w:val="auto"/>
          <w:sz w:val="20"/>
          <w:szCs w:val="20"/>
        </w:rPr>
        <w:t>ПОВЕРХНЕВИХ</w:t>
      </w:r>
      <w:r w:rsidRPr="000977F7">
        <w:rPr>
          <w:color w:val="auto"/>
          <w:spacing w:val="1"/>
          <w:sz w:val="20"/>
          <w:szCs w:val="20"/>
        </w:rPr>
        <w:t xml:space="preserve"> </w:t>
      </w:r>
      <w:r w:rsidRPr="000977F7">
        <w:rPr>
          <w:color w:val="auto"/>
          <w:sz w:val="20"/>
          <w:szCs w:val="20"/>
        </w:rPr>
        <w:t>ТА ПІДЗЕМ</w:t>
      </w:r>
      <w:r w:rsidRPr="000977F7">
        <w:rPr>
          <w:color w:val="auto"/>
          <w:spacing w:val="-47"/>
          <w:sz w:val="20"/>
          <w:szCs w:val="20"/>
        </w:rPr>
        <w:t xml:space="preserve"> </w:t>
      </w:r>
      <w:r w:rsidRPr="000977F7">
        <w:rPr>
          <w:color w:val="auto"/>
          <w:sz w:val="20"/>
          <w:szCs w:val="20"/>
        </w:rPr>
        <w:t>НИХ</w:t>
      </w:r>
      <w:r w:rsidRPr="000977F7">
        <w:rPr>
          <w:color w:val="auto"/>
          <w:spacing w:val="-1"/>
          <w:sz w:val="20"/>
          <w:szCs w:val="20"/>
        </w:rPr>
        <w:t xml:space="preserve"> </w:t>
      </w:r>
      <w:r w:rsidRPr="000977F7">
        <w:rPr>
          <w:color w:val="auto"/>
          <w:sz w:val="20"/>
          <w:szCs w:val="20"/>
        </w:rPr>
        <w:t>ВОД</w:t>
      </w:r>
      <w:r w:rsidRPr="000977F7">
        <w:rPr>
          <w:color w:val="auto"/>
          <w:spacing w:val="1"/>
          <w:sz w:val="20"/>
          <w:szCs w:val="20"/>
        </w:rPr>
        <w:t xml:space="preserve"> </w:t>
      </w:r>
      <w:r w:rsidRPr="000977F7">
        <w:rPr>
          <w:color w:val="auto"/>
          <w:sz w:val="20"/>
          <w:szCs w:val="20"/>
        </w:rPr>
        <w:t>—</w:t>
      </w:r>
    </w:p>
    <w:p w14:paraId="6D999A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Привнесення</w:t>
      </w:r>
      <w:r w:rsidRPr="000977F7">
        <w:rPr>
          <w:rFonts w:asciiTheme="majorHAnsi" w:hAnsiTheme="majorHAnsi"/>
          <w:spacing w:val="1"/>
          <w:sz w:val="20"/>
          <w:szCs w:val="20"/>
        </w:rPr>
        <w:t xml:space="preserve"> </w:t>
      </w:r>
      <w:r w:rsidRPr="000977F7">
        <w:rPr>
          <w:rFonts w:asciiTheme="majorHAnsi" w:hAnsiTheme="majorHAnsi"/>
          <w:sz w:val="20"/>
          <w:szCs w:val="20"/>
        </w:rPr>
        <w:t>у воду або</w:t>
      </w:r>
      <w:r w:rsidRPr="000977F7">
        <w:rPr>
          <w:rFonts w:asciiTheme="majorHAnsi" w:hAnsiTheme="majorHAnsi"/>
          <w:spacing w:val="1"/>
          <w:sz w:val="20"/>
          <w:szCs w:val="20"/>
        </w:rPr>
        <w:t xml:space="preserve"> </w:t>
      </w:r>
      <w:r w:rsidRPr="000977F7">
        <w:rPr>
          <w:rFonts w:asciiTheme="majorHAnsi" w:hAnsiTheme="majorHAnsi"/>
          <w:sz w:val="20"/>
          <w:szCs w:val="20"/>
        </w:rPr>
        <w:t>утворення в</w:t>
      </w:r>
      <w:r w:rsidRPr="000977F7">
        <w:rPr>
          <w:rFonts w:asciiTheme="majorHAnsi" w:hAnsiTheme="majorHAnsi"/>
          <w:spacing w:val="1"/>
          <w:sz w:val="20"/>
          <w:szCs w:val="20"/>
        </w:rPr>
        <w:t xml:space="preserve"> </w:t>
      </w:r>
      <w:r w:rsidRPr="000977F7">
        <w:rPr>
          <w:rFonts w:asciiTheme="majorHAnsi" w:hAnsiTheme="majorHAnsi"/>
          <w:sz w:val="20"/>
          <w:szCs w:val="20"/>
        </w:rPr>
        <w:t>ній фізичних,</w:t>
      </w:r>
      <w:r w:rsidRPr="000977F7">
        <w:rPr>
          <w:rFonts w:asciiTheme="majorHAnsi" w:hAnsiTheme="majorHAnsi"/>
          <w:spacing w:val="1"/>
          <w:sz w:val="20"/>
          <w:szCs w:val="20"/>
        </w:rPr>
        <w:t xml:space="preserve"> </w:t>
      </w:r>
      <w:r w:rsidRPr="000977F7">
        <w:rPr>
          <w:rFonts w:asciiTheme="majorHAnsi" w:hAnsiTheme="majorHAnsi"/>
          <w:sz w:val="20"/>
          <w:szCs w:val="20"/>
        </w:rPr>
        <w:t>хімічних</w:t>
      </w:r>
      <w:r w:rsidRPr="000977F7">
        <w:rPr>
          <w:rFonts w:asciiTheme="majorHAnsi" w:hAnsiTheme="majorHAnsi"/>
          <w:spacing w:val="22"/>
          <w:sz w:val="20"/>
          <w:szCs w:val="20"/>
        </w:rPr>
        <w:t xml:space="preserve"> </w:t>
      </w:r>
      <w:r w:rsidRPr="000977F7">
        <w:rPr>
          <w:rFonts w:asciiTheme="majorHAnsi" w:hAnsiTheme="majorHAnsi"/>
          <w:sz w:val="20"/>
          <w:szCs w:val="20"/>
        </w:rPr>
        <w:t>чи</w:t>
      </w:r>
      <w:r w:rsidRPr="000977F7">
        <w:rPr>
          <w:rFonts w:asciiTheme="majorHAnsi" w:hAnsiTheme="majorHAnsi"/>
          <w:spacing w:val="24"/>
          <w:sz w:val="20"/>
          <w:szCs w:val="20"/>
        </w:rPr>
        <w:t xml:space="preserve"> </w:t>
      </w:r>
      <w:r w:rsidRPr="000977F7">
        <w:rPr>
          <w:rFonts w:asciiTheme="majorHAnsi" w:hAnsiTheme="majorHAnsi"/>
          <w:sz w:val="20"/>
          <w:szCs w:val="20"/>
        </w:rPr>
        <w:t>біологічних</w:t>
      </w:r>
      <w:r w:rsidRPr="000977F7">
        <w:rPr>
          <w:rFonts w:asciiTheme="majorHAnsi" w:hAnsiTheme="majorHAnsi"/>
          <w:spacing w:val="24"/>
          <w:sz w:val="20"/>
          <w:szCs w:val="20"/>
        </w:rPr>
        <w:t xml:space="preserve"> </w:t>
      </w:r>
      <w:r w:rsidRPr="000977F7">
        <w:rPr>
          <w:rFonts w:asciiTheme="majorHAnsi" w:hAnsiTheme="majorHAnsi"/>
          <w:sz w:val="20"/>
          <w:szCs w:val="20"/>
        </w:rPr>
        <w:t>агентів,</w:t>
      </w:r>
      <w:r w:rsidRPr="000977F7">
        <w:rPr>
          <w:rFonts w:asciiTheme="majorHAnsi" w:hAnsiTheme="majorHAnsi"/>
          <w:spacing w:val="23"/>
          <w:sz w:val="20"/>
          <w:szCs w:val="20"/>
        </w:rPr>
        <w:t xml:space="preserve"> </w:t>
      </w:r>
      <w:r w:rsidRPr="000977F7">
        <w:rPr>
          <w:rFonts w:asciiTheme="majorHAnsi" w:hAnsiTheme="majorHAnsi"/>
          <w:sz w:val="20"/>
          <w:szCs w:val="20"/>
        </w:rPr>
        <w:t>що</w:t>
      </w:r>
      <w:r w:rsidRPr="000977F7">
        <w:rPr>
          <w:rFonts w:asciiTheme="majorHAnsi" w:hAnsiTheme="majorHAnsi"/>
          <w:spacing w:val="24"/>
          <w:sz w:val="20"/>
          <w:szCs w:val="20"/>
        </w:rPr>
        <w:t xml:space="preserve"> </w:t>
      </w:r>
      <w:r w:rsidRPr="000977F7">
        <w:rPr>
          <w:rFonts w:asciiTheme="majorHAnsi" w:hAnsiTheme="majorHAnsi"/>
          <w:sz w:val="20"/>
          <w:szCs w:val="20"/>
        </w:rPr>
        <w:t>негативно</w:t>
      </w:r>
      <w:r w:rsidRPr="000977F7">
        <w:rPr>
          <w:rFonts w:asciiTheme="majorHAnsi" w:hAnsiTheme="majorHAnsi"/>
          <w:spacing w:val="25"/>
          <w:sz w:val="20"/>
          <w:szCs w:val="20"/>
        </w:rPr>
        <w:t xml:space="preserve"> </w:t>
      </w:r>
      <w:r w:rsidRPr="000977F7">
        <w:rPr>
          <w:rFonts w:asciiTheme="majorHAnsi" w:hAnsiTheme="majorHAnsi"/>
          <w:sz w:val="20"/>
          <w:szCs w:val="20"/>
        </w:rPr>
        <w:t>впливають на середовище проживання або завдають шкоди</w:t>
      </w:r>
      <w:r w:rsidRPr="000977F7">
        <w:rPr>
          <w:rFonts w:asciiTheme="majorHAnsi" w:hAnsiTheme="majorHAnsi"/>
          <w:spacing w:val="-3"/>
          <w:sz w:val="20"/>
          <w:szCs w:val="20"/>
        </w:rPr>
        <w:t xml:space="preserve"> </w:t>
      </w:r>
      <w:r w:rsidRPr="000977F7">
        <w:rPr>
          <w:rFonts w:asciiTheme="majorHAnsi" w:hAnsiTheme="majorHAnsi"/>
          <w:sz w:val="20"/>
          <w:szCs w:val="20"/>
        </w:rPr>
        <w:t>матеріальним</w:t>
      </w:r>
      <w:r w:rsidRPr="000977F7">
        <w:rPr>
          <w:rFonts w:asciiTheme="majorHAnsi" w:hAnsiTheme="majorHAnsi"/>
          <w:spacing w:val="1"/>
          <w:sz w:val="20"/>
          <w:szCs w:val="20"/>
        </w:rPr>
        <w:t xml:space="preserve"> </w:t>
      </w:r>
      <w:r w:rsidRPr="000977F7">
        <w:rPr>
          <w:rFonts w:asciiTheme="majorHAnsi" w:hAnsiTheme="majorHAnsi"/>
          <w:sz w:val="20"/>
          <w:szCs w:val="20"/>
        </w:rPr>
        <w:t>цінностям</w:t>
      </w:r>
    </w:p>
    <w:p w14:paraId="38D4A53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50D2AA1C"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b/>
          <w:bCs/>
          <w:sz w:val="20"/>
          <w:szCs w:val="20"/>
          <w:lang w:eastAsia="ru-RU"/>
        </w:rPr>
        <w:t>ЗАВАДОСТІЙКІСТЬ</w:t>
      </w:r>
      <w:r w:rsidRPr="000977F7">
        <w:rPr>
          <w:rFonts w:asciiTheme="majorHAnsi" w:hAnsiTheme="majorHAnsi"/>
          <w:sz w:val="20"/>
          <w:szCs w:val="20"/>
          <w:lang w:eastAsia="ru-RU"/>
        </w:rPr>
        <w:t xml:space="preserve"> –</w:t>
      </w:r>
    </w:p>
    <w:p w14:paraId="3CD4D56E"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Здатність обладнання функціонувати за призначенням без погіршення характеристик за наявності електромагнітних завад</w:t>
      </w:r>
    </w:p>
    <w:p w14:paraId="4C0CADF5"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iCs/>
          <w:sz w:val="20"/>
          <w:szCs w:val="20"/>
          <w:lang w:eastAsia="ru-RU"/>
        </w:rPr>
        <w:t>Технічний регламент з електромагнітної сумісності обладнання</w:t>
      </w:r>
    </w:p>
    <w:p w14:paraId="1D7A776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ЗАВДАННЯ КОНТРОЛЮ</w:t>
      </w:r>
      <w:r w:rsidRPr="000977F7">
        <w:rPr>
          <w:color w:val="auto"/>
          <w:spacing w:val="1"/>
          <w:sz w:val="20"/>
          <w:szCs w:val="20"/>
        </w:rPr>
        <w:t xml:space="preserve"> </w:t>
      </w:r>
      <w:r w:rsidRPr="000977F7">
        <w:rPr>
          <w:color w:val="auto"/>
          <w:sz w:val="20"/>
          <w:szCs w:val="20"/>
        </w:rPr>
        <w:t>В</w:t>
      </w:r>
      <w:r w:rsidRPr="000977F7">
        <w:rPr>
          <w:color w:val="auto"/>
          <w:spacing w:val="1"/>
          <w:sz w:val="20"/>
          <w:szCs w:val="20"/>
        </w:rPr>
        <w:t xml:space="preserve"> </w:t>
      </w:r>
      <w:r w:rsidRPr="000977F7">
        <w:rPr>
          <w:color w:val="auto"/>
          <w:sz w:val="20"/>
          <w:szCs w:val="20"/>
        </w:rPr>
        <w:t>ГАЛУЗІ ОХОРОНИ</w:t>
      </w:r>
      <w:r w:rsidRPr="000977F7">
        <w:rPr>
          <w:color w:val="auto"/>
          <w:spacing w:val="-47"/>
          <w:sz w:val="20"/>
          <w:szCs w:val="20"/>
        </w:rPr>
        <w:t xml:space="preserve"> </w:t>
      </w:r>
      <w:r w:rsidRPr="000977F7">
        <w:rPr>
          <w:color w:val="auto"/>
          <w:sz w:val="20"/>
          <w:szCs w:val="20"/>
        </w:rPr>
        <w:t>НАВКОЛИШНЬОГО</w:t>
      </w:r>
      <w:r w:rsidRPr="000977F7">
        <w:rPr>
          <w:color w:val="auto"/>
          <w:spacing w:val="1"/>
          <w:sz w:val="20"/>
          <w:szCs w:val="20"/>
        </w:rPr>
        <w:t xml:space="preserve"> </w:t>
      </w:r>
      <w:r w:rsidRPr="000977F7">
        <w:rPr>
          <w:color w:val="auto"/>
          <w:sz w:val="20"/>
          <w:szCs w:val="20"/>
        </w:rPr>
        <w:t xml:space="preserve">ПРИРОДНОГО </w:t>
      </w:r>
    </w:p>
    <w:p w14:paraId="7E439DB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СЕРЕДОВИЩА</w:t>
      </w:r>
      <w:r w:rsidRPr="000977F7">
        <w:rPr>
          <w:color w:val="auto"/>
          <w:spacing w:val="-1"/>
          <w:sz w:val="20"/>
          <w:szCs w:val="20"/>
        </w:rPr>
        <w:t xml:space="preserve"> </w:t>
      </w:r>
      <w:r w:rsidRPr="000977F7">
        <w:rPr>
          <w:color w:val="auto"/>
          <w:sz w:val="20"/>
          <w:szCs w:val="20"/>
        </w:rPr>
        <w:t>–</w:t>
      </w:r>
    </w:p>
    <w:p w14:paraId="0306FDA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Завдання контролю у галузі охорони 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полягають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забезпеченні</w:t>
      </w:r>
      <w:r w:rsidRPr="000977F7">
        <w:rPr>
          <w:rFonts w:asciiTheme="majorHAnsi" w:hAnsiTheme="majorHAnsi"/>
          <w:spacing w:val="1"/>
          <w:sz w:val="20"/>
          <w:szCs w:val="20"/>
        </w:rPr>
        <w:t xml:space="preserve"> </w:t>
      </w:r>
      <w:r w:rsidRPr="000977F7">
        <w:rPr>
          <w:rFonts w:asciiTheme="majorHAnsi" w:hAnsiTheme="majorHAnsi"/>
          <w:sz w:val="20"/>
          <w:szCs w:val="20"/>
        </w:rPr>
        <w:t>додержання вимог законодавства про охорону навколишнього природного середовища всіма державними</w:t>
      </w:r>
      <w:r w:rsidRPr="000977F7">
        <w:rPr>
          <w:rFonts w:asciiTheme="majorHAnsi" w:hAnsiTheme="majorHAnsi"/>
          <w:spacing w:val="1"/>
          <w:sz w:val="20"/>
          <w:szCs w:val="20"/>
        </w:rPr>
        <w:t xml:space="preserve"> </w:t>
      </w:r>
      <w:r w:rsidRPr="000977F7">
        <w:rPr>
          <w:rFonts w:asciiTheme="majorHAnsi" w:hAnsiTheme="majorHAnsi"/>
          <w:sz w:val="20"/>
          <w:szCs w:val="20"/>
        </w:rPr>
        <w:t>органами, підприємствами, установами</w:t>
      </w:r>
      <w:r w:rsidRPr="000977F7">
        <w:rPr>
          <w:rFonts w:asciiTheme="majorHAnsi" w:hAnsiTheme="majorHAnsi"/>
          <w:spacing w:val="1"/>
          <w:sz w:val="20"/>
          <w:szCs w:val="20"/>
        </w:rPr>
        <w:t xml:space="preserve"> </w:t>
      </w:r>
      <w:r w:rsidRPr="000977F7">
        <w:rPr>
          <w:rFonts w:asciiTheme="majorHAnsi" w:hAnsiTheme="majorHAnsi"/>
          <w:sz w:val="20"/>
          <w:szCs w:val="20"/>
        </w:rPr>
        <w:t>та організаціями,</w:t>
      </w:r>
      <w:r w:rsidRPr="000977F7">
        <w:rPr>
          <w:rFonts w:asciiTheme="majorHAnsi" w:hAnsiTheme="majorHAnsi"/>
          <w:spacing w:val="1"/>
          <w:sz w:val="20"/>
          <w:szCs w:val="20"/>
        </w:rPr>
        <w:t xml:space="preserve"> </w:t>
      </w:r>
      <w:r w:rsidRPr="000977F7">
        <w:rPr>
          <w:rFonts w:asciiTheme="majorHAnsi" w:hAnsiTheme="majorHAnsi"/>
          <w:sz w:val="20"/>
          <w:szCs w:val="20"/>
        </w:rPr>
        <w:t>незалежно від форм власності і підпорядкування,</w:t>
      </w:r>
      <w:r w:rsidRPr="000977F7">
        <w:rPr>
          <w:rFonts w:asciiTheme="majorHAnsi" w:hAnsiTheme="majorHAnsi"/>
          <w:spacing w:val="-1"/>
          <w:sz w:val="20"/>
          <w:szCs w:val="20"/>
        </w:rPr>
        <w:t xml:space="preserve"> </w:t>
      </w:r>
      <w:r w:rsidRPr="000977F7">
        <w:rPr>
          <w:rFonts w:asciiTheme="majorHAnsi" w:hAnsiTheme="majorHAnsi"/>
          <w:sz w:val="20"/>
          <w:szCs w:val="20"/>
        </w:rPr>
        <w:t>а також</w:t>
      </w:r>
      <w:r w:rsidRPr="000977F7">
        <w:rPr>
          <w:rFonts w:asciiTheme="majorHAnsi" w:hAnsiTheme="majorHAnsi"/>
          <w:spacing w:val="-1"/>
          <w:sz w:val="20"/>
          <w:szCs w:val="20"/>
        </w:rPr>
        <w:t xml:space="preserve"> </w:t>
      </w:r>
      <w:r w:rsidRPr="000977F7">
        <w:rPr>
          <w:rFonts w:asciiTheme="majorHAnsi" w:hAnsiTheme="majorHAnsi"/>
          <w:sz w:val="20"/>
          <w:szCs w:val="20"/>
        </w:rPr>
        <w:t>громадянами.</w:t>
      </w:r>
    </w:p>
    <w:p w14:paraId="3E3EC1A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w w:val="95"/>
          <w:sz w:val="20"/>
          <w:szCs w:val="20"/>
        </w:rPr>
        <w:t>СТ. 34 закону України "Про охорону навколишнього природ</w:t>
      </w:r>
      <w:r w:rsidRPr="000977F7">
        <w:rPr>
          <w:rFonts w:asciiTheme="majorHAnsi" w:hAnsiTheme="majorHAnsi"/>
          <w:i/>
          <w:sz w:val="20"/>
          <w:szCs w:val="20"/>
        </w:rPr>
        <w:t>ного</w:t>
      </w:r>
      <w:r w:rsidRPr="000977F7">
        <w:rPr>
          <w:rFonts w:asciiTheme="majorHAnsi" w:hAnsiTheme="majorHAnsi"/>
          <w:i/>
          <w:spacing w:val="1"/>
          <w:sz w:val="20"/>
          <w:szCs w:val="20"/>
        </w:rPr>
        <w:t xml:space="preserve"> </w:t>
      </w:r>
      <w:r w:rsidRPr="000977F7">
        <w:rPr>
          <w:rFonts w:asciiTheme="majorHAnsi" w:hAnsiTheme="majorHAnsi"/>
          <w:i/>
          <w:sz w:val="20"/>
          <w:szCs w:val="20"/>
        </w:rPr>
        <w:t>середовища"‖</w:t>
      </w:r>
    </w:p>
    <w:p w14:paraId="0898A59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ЗАВДАННЯ СТАНДАРТИЗАЦІЇ І НОРМУВАННЯ В ГАЛУЗІ ОХОРОНИ НАВКОЛИШНЬОГО</w:t>
      </w:r>
      <w:r w:rsidRPr="000977F7">
        <w:rPr>
          <w:color w:val="auto"/>
          <w:spacing w:val="1"/>
          <w:sz w:val="20"/>
          <w:szCs w:val="20"/>
        </w:rPr>
        <w:t xml:space="preserve"> </w:t>
      </w:r>
      <w:r w:rsidRPr="000977F7">
        <w:rPr>
          <w:color w:val="auto"/>
          <w:sz w:val="20"/>
          <w:szCs w:val="20"/>
        </w:rPr>
        <w:t>ПРИРОДНОГО</w:t>
      </w:r>
      <w:r w:rsidRPr="000977F7">
        <w:rPr>
          <w:color w:val="auto"/>
          <w:spacing w:val="1"/>
          <w:sz w:val="20"/>
          <w:szCs w:val="20"/>
        </w:rPr>
        <w:t xml:space="preserve"> </w:t>
      </w:r>
      <w:r w:rsidRPr="000977F7">
        <w:rPr>
          <w:color w:val="auto"/>
          <w:sz w:val="20"/>
          <w:szCs w:val="20"/>
        </w:rPr>
        <w:t>СЕРЕДОВИЩА</w:t>
      </w:r>
      <w:r w:rsidRPr="000977F7">
        <w:rPr>
          <w:color w:val="auto"/>
          <w:spacing w:val="-1"/>
          <w:sz w:val="20"/>
          <w:szCs w:val="20"/>
        </w:rPr>
        <w:t xml:space="preserve"> </w:t>
      </w:r>
      <w:r w:rsidRPr="000977F7">
        <w:rPr>
          <w:color w:val="auto"/>
          <w:sz w:val="20"/>
          <w:szCs w:val="20"/>
        </w:rPr>
        <w:t>–</w:t>
      </w:r>
    </w:p>
    <w:p w14:paraId="6314CA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Екологічна стандартизація і</w:t>
      </w:r>
      <w:r w:rsidRPr="000977F7">
        <w:rPr>
          <w:rFonts w:asciiTheme="majorHAnsi" w:hAnsiTheme="majorHAnsi"/>
          <w:spacing w:val="50"/>
          <w:sz w:val="20"/>
          <w:szCs w:val="20"/>
        </w:rPr>
        <w:t xml:space="preserve"> </w:t>
      </w:r>
      <w:r w:rsidRPr="000977F7">
        <w:rPr>
          <w:rFonts w:asciiTheme="majorHAnsi" w:hAnsiTheme="majorHAnsi"/>
          <w:sz w:val="20"/>
          <w:szCs w:val="20"/>
        </w:rPr>
        <w:t>нормування проводяться</w:t>
      </w:r>
      <w:r w:rsidRPr="000977F7">
        <w:rPr>
          <w:rFonts w:asciiTheme="majorHAnsi" w:hAnsiTheme="majorHAnsi"/>
          <w:spacing w:val="1"/>
          <w:sz w:val="20"/>
          <w:szCs w:val="20"/>
        </w:rPr>
        <w:t xml:space="preserve"> </w:t>
      </w:r>
      <w:r w:rsidRPr="000977F7">
        <w:rPr>
          <w:rFonts w:asciiTheme="majorHAnsi" w:hAnsiTheme="majorHAnsi"/>
          <w:sz w:val="20"/>
          <w:szCs w:val="20"/>
        </w:rPr>
        <w:t>з метою встановлення комплексу обов'язкових норм,</w:t>
      </w:r>
      <w:r w:rsidRPr="000977F7">
        <w:rPr>
          <w:rFonts w:asciiTheme="majorHAnsi" w:hAnsiTheme="majorHAnsi"/>
          <w:spacing w:val="1"/>
          <w:sz w:val="20"/>
          <w:szCs w:val="20"/>
        </w:rPr>
        <w:t xml:space="preserve"> </w:t>
      </w:r>
      <w:r w:rsidRPr="000977F7">
        <w:rPr>
          <w:rFonts w:asciiTheme="majorHAnsi" w:hAnsiTheme="majorHAnsi"/>
          <w:sz w:val="20"/>
          <w:szCs w:val="20"/>
        </w:rPr>
        <w:t>правил, вимог щодо охорони навколишнього природного середовища,</w:t>
      </w:r>
      <w:r w:rsidRPr="000977F7">
        <w:rPr>
          <w:rFonts w:asciiTheme="majorHAnsi" w:hAnsiTheme="majorHAnsi"/>
          <w:spacing w:val="50"/>
          <w:sz w:val="20"/>
          <w:szCs w:val="20"/>
        </w:rPr>
        <w:t xml:space="preserve"> </w:t>
      </w:r>
      <w:r w:rsidRPr="000977F7">
        <w:rPr>
          <w:rFonts w:asciiTheme="majorHAnsi" w:hAnsiTheme="majorHAnsi"/>
          <w:sz w:val="20"/>
          <w:szCs w:val="20"/>
        </w:rPr>
        <w:t>використання природних ресурсів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2"/>
          <w:sz w:val="20"/>
          <w:szCs w:val="20"/>
        </w:rPr>
        <w:t xml:space="preserve"> </w:t>
      </w:r>
      <w:r w:rsidRPr="000977F7">
        <w:rPr>
          <w:rFonts w:asciiTheme="majorHAnsi" w:hAnsiTheme="majorHAnsi"/>
          <w:sz w:val="20"/>
          <w:szCs w:val="20"/>
        </w:rPr>
        <w:t>екологічної</w:t>
      </w:r>
      <w:r w:rsidRPr="000977F7">
        <w:rPr>
          <w:rFonts w:asciiTheme="majorHAnsi" w:hAnsiTheme="majorHAnsi"/>
          <w:spacing w:val="-1"/>
          <w:sz w:val="20"/>
          <w:szCs w:val="20"/>
        </w:rPr>
        <w:t xml:space="preserve"> </w:t>
      </w:r>
      <w:r w:rsidRPr="000977F7">
        <w:rPr>
          <w:rFonts w:asciiTheme="majorHAnsi" w:hAnsiTheme="majorHAnsi"/>
          <w:sz w:val="20"/>
          <w:szCs w:val="20"/>
        </w:rPr>
        <w:t>безпеки.</w:t>
      </w:r>
    </w:p>
    <w:p w14:paraId="2FB5D30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w w:val="95"/>
          <w:sz w:val="20"/>
          <w:szCs w:val="20"/>
        </w:rPr>
        <w:t>Ст. 1 закону України "Про охорону навколишнього природ</w:t>
      </w:r>
      <w:r w:rsidRPr="000977F7">
        <w:rPr>
          <w:rFonts w:asciiTheme="majorHAnsi" w:hAnsiTheme="majorHAnsi"/>
          <w:i/>
          <w:sz w:val="20"/>
          <w:szCs w:val="20"/>
        </w:rPr>
        <w:t>ного</w:t>
      </w:r>
      <w:r w:rsidRPr="000977F7">
        <w:rPr>
          <w:rFonts w:asciiTheme="majorHAnsi" w:hAnsiTheme="majorHAnsi"/>
          <w:i/>
          <w:spacing w:val="1"/>
          <w:sz w:val="20"/>
          <w:szCs w:val="20"/>
        </w:rPr>
        <w:t xml:space="preserve"> </w:t>
      </w:r>
      <w:r w:rsidRPr="000977F7">
        <w:rPr>
          <w:rFonts w:asciiTheme="majorHAnsi" w:hAnsiTheme="majorHAnsi"/>
          <w:i/>
          <w:sz w:val="20"/>
          <w:szCs w:val="20"/>
        </w:rPr>
        <w:t>середовища"‖</w:t>
      </w:r>
    </w:p>
    <w:p w14:paraId="6D6C726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ЗАВДАННЯ</w:t>
      </w:r>
      <w:r w:rsidRPr="000977F7">
        <w:rPr>
          <w:color w:val="auto"/>
          <w:spacing w:val="-4"/>
          <w:sz w:val="20"/>
          <w:szCs w:val="20"/>
        </w:rPr>
        <w:t xml:space="preserve"> </w:t>
      </w:r>
      <w:r w:rsidRPr="000977F7">
        <w:rPr>
          <w:color w:val="auto"/>
          <w:sz w:val="20"/>
          <w:szCs w:val="20"/>
        </w:rPr>
        <w:t>ТЕХНІЧНЕ-</w:t>
      </w:r>
    </w:p>
    <w:p w14:paraId="746CC2B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Стадія</w:t>
      </w:r>
      <w:r w:rsidRPr="000977F7">
        <w:rPr>
          <w:rFonts w:asciiTheme="majorHAnsi" w:hAnsiTheme="majorHAnsi"/>
          <w:spacing w:val="1"/>
          <w:sz w:val="20"/>
          <w:szCs w:val="20"/>
        </w:rPr>
        <w:t xml:space="preserve"> </w:t>
      </w:r>
      <w:r w:rsidRPr="000977F7">
        <w:rPr>
          <w:rFonts w:asciiTheme="majorHAnsi" w:hAnsiTheme="majorHAnsi"/>
          <w:sz w:val="20"/>
          <w:szCs w:val="20"/>
        </w:rPr>
        <w:t>розробки</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конструкторської</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документації,</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якій установлюють призначення, технічні та економічні</w:t>
      </w:r>
      <w:r w:rsidRPr="000977F7">
        <w:rPr>
          <w:rFonts w:asciiTheme="majorHAnsi" w:hAnsiTheme="majorHAnsi"/>
          <w:spacing w:val="-2"/>
          <w:sz w:val="20"/>
          <w:szCs w:val="20"/>
        </w:rPr>
        <w:t xml:space="preserve"> </w:t>
      </w:r>
      <w:r w:rsidRPr="000977F7">
        <w:rPr>
          <w:rFonts w:asciiTheme="majorHAnsi" w:hAnsiTheme="majorHAnsi"/>
          <w:sz w:val="20"/>
          <w:szCs w:val="20"/>
        </w:rPr>
        <w:t>характеристики</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показники</w:t>
      </w:r>
      <w:r w:rsidRPr="000977F7">
        <w:rPr>
          <w:rFonts w:asciiTheme="majorHAnsi" w:hAnsiTheme="majorHAnsi"/>
          <w:spacing w:val="-2"/>
          <w:sz w:val="20"/>
          <w:szCs w:val="20"/>
        </w:rPr>
        <w:t xml:space="preserve"> </w:t>
      </w:r>
      <w:r w:rsidRPr="000977F7">
        <w:rPr>
          <w:rFonts w:asciiTheme="majorHAnsi" w:hAnsiTheme="majorHAnsi"/>
          <w:sz w:val="20"/>
          <w:szCs w:val="20"/>
        </w:rPr>
        <w:t>якості</w:t>
      </w:r>
      <w:r w:rsidRPr="000977F7">
        <w:rPr>
          <w:rFonts w:asciiTheme="majorHAnsi" w:hAnsiTheme="majorHAnsi"/>
          <w:spacing w:val="-2"/>
          <w:sz w:val="20"/>
          <w:szCs w:val="20"/>
        </w:rPr>
        <w:t xml:space="preserve"> </w:t>
      </w:r>
      <w:r w:rsidRPr="000977F7">
        <w:rPr>
          <w:rFonts w:asciiTheme="majorHAnsi" w:hAnsiTheme="majorHAnsi"/>
          <w:sz w:val="20"/>
          <w:szCs w:val="20"/>
        </w:rPr>
        <w:t>виробу</w:t>
      </w:r>
    </w:p>
    <w:p w14:paraId="0B779BD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ЗАВДАННЯ ТЕХНОЛОГІЧНОГО ПІДГОТОВЛЕННЯ</w:t>
      </w:r>
      <w:r w:rsidRPr="000977F7">
        <w:rPr>
          <w:color w:val="auto"/>
          <w:spacing w:val="-1"/>
          <w:sz w:val="20"/>
          <w:szCs w:val="20"/>
        </w:rPr>
        <w:t xml:space="preserve"> </w:t>
      </w:r>
      <w:r w:rsidRPr="000977F7">
        <w:rPr>
          <w:color w:val="auto"/>
          <w:sz w:val="20"/>
          <w:szCs w:val="20"/>
        </w:rPr>
        <w:t>ВИРОБНИЦТВА –</w:t>
      </w:r>
    </w:p>
    <w:p w14:paraId="06A320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Закінчена частина робіт у складі певної функції технологічного підготовлення</w:t>
      </w:r>
      <w:r w:rsidRPr="000977F7">
        <w:rPr>
          <w:rFonts w:asciiTheme="majorHAnsi" w:hAnsiTheme="majorHAnsi"/>
          <w:spacing w:val="-2"/>
          <w:sz w:val="20"/>
          <w:szCs w:val="20"/>
        </w:rPr>
        <w:t xml:space="preserve"> </w:t>
      </w:r>
      <w:r w:rsidRPr="000977F7">
        <w:rPr>
          <w:rFonts w:asciiTheme="majorHAnsi" w:hAnsiTheme="majorHAnsi"/>
          <w:sz w:val="20"/>
          <w:szCs w:val="20"/>
        </w:rPr>
        <w:t>виробництва</w:t>
      </w:r>
    </w:p>
    <w:p w14:paraId="3B26EAC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F09693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ЗАГАЛЬНА</w:t>
      </w:r>
      <w:r w:rsidRPr="000977F7">
        <w:rPr>
          <w:color w:val="auto"/>
          <w:spacing w:val="-4"/>
          <w:sz w:val="20"/>
          <w:szCs w:val="20"/>
        </w:rPr>
        <w:t xml:space="preserve"> </w:t>
      </w:r>
      <w:r w:rsidRPr="000977F7">
        <w:rPr>
          <w:color w:val="auto"/>
          <w:sz w:val="20"/>
          <w:szCs w:val="20"/>
        </w:rPr>
        <w:t>НАСТАНОВА</w:t>
      </w:r>
      <w:r w:rsidRPr="000977F7">
        <w:rPr>
          <w:color w:val="auto"/>
          <w:spacing w:val="-3"/>
          <w:sz w:val="20"/>
          <w:szCs w:val="20"/>
        </w:rPr>
        <w:t xml:space="preserve"> </w:t>
      </w:r>
      <w:r w:rsidRPr="000977F7">
        <w:rPr>
          <w:color w:val="auto"/>
          <w:sz w:val="20"/>
          <w:szCs w:val="20"/>
        </w:rPr>
        <w:t>З РЕМОНТУ</w:t>
      </w:r>
      <w:r w:rsidRPr="000977F7">
        <w:rPr>
          <w:color w:val="auto"/>
          <w:spacing w:val="-2"/>
          <w:sz w:val="20"/>
          <w:szCs w:val="20"/>
        </w:rPr>
        <w:t xml:space="preserve"> </w:t>
      </w:r>
      <w:r w:rsidRPr="000977F7">
        <w:rPr>
          <w:color w:val="auto"/>
          <w:sz w:val="20"/>
          <w:szCs w:val="20"/>
        </w:rPr>
        <w:t>–</w:t>
      </w:r>
    </w:p>
    <w:p w14:paraId="0715970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Документ на ремонт, який містить загальні вказівки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щодо організації і технології ремонту, правила і порядок підготовлення та проведення технічно й економічно доцільного ремонту виробу, загальні технічні вимоги, значення показників і норми, яким повинні задовольняти вироби після ремонту, правила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 порядок випробувань, консервації, транспортування і зберігання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після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ремонту</w:t>
      </w:r>
    </w:p>
    <w:p w14:paraId="624ED42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ЗАГАЛЬНА СИСТЕМА ТЕХНІЧНОГО ДІАГНОСТУВАННЯ-</w:t>
      </w:r>
    </w:p>
    <w:p w14:paraId="052DF7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діагностування, об’єктом якого є виріб в цілому</w:t>
      </w:r>
      <w:r w:rsidRPr="000977F7">
        <w:rPr>
          <w:rFonts w:asciiTheme="majorHAnsi" w:hAnsiTheme="majorHAnsi"/>
          <w:spacing w:val="-5"/>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заготовка</w:t>
      </w:r>
    </w:p>
    <w:p w14:paraId="4F852A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 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2CEB08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 об’єкта діагностування загальної системи діагностування можуть входити засоби діагностування локальних</w:t>
      </w:r>
      <w:r w:rsidRPr="000977F7">
        <w:rPr>
          <w:rFonts w:asciiTheme="majorHAnsi" w:hAnsiTheme="majorHAnsi"/>
          <w:spacing w:val="-2"/>
          <w:sz w:val="20"/>
          <w:szCs w:val="20"/>
        </w:rPr>
        <w:t xml:space="preserve"> </w:t>
      </w:r>
      <w:r w:rsidRPr="000977F7">
        <w:rPr>
          <w:rFonts w:asciiTheme="majorHAnsi" w:hAnsiTheme="majorHAnsi"/>
          <w:sz w:val="20"/>
          <w:szCs w:val="20"/>
        </w:rPr>
        <w:t>систем</w:t>
      </w:r>
      <w:r w:rsidRPr="000977F7">
        <w:rPr>
          <w:rFonts w:asciiTheme="majorHAnsi" w:hAnsiTheme="majorHAnsi"/>
          <w:spacing w:val="1"/>
          <w:sz w:val="20"/>
          <w:szCs w:val="20"/>
        </w:rPr>
        <w:t xml:space="preserve"> </w:t>
      </w:r>
      <w:r w:rsidRPr="000977F7">
        <w:rPr>
          <w:rFonts w:asciiTheme="majorHAnsi" w:hAnsiTheme="majorHAnsi"/>
          <w:sz w:val="20"/>
          <w:szCs w:val="20"/>
        </w:rPr>
        <w:t>діагностування</w:t>
      </w:r>
    </w:p>
    <w:p w14:paraId="0E581B7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ЗАГАЛЬНА</w:t>
      </w:r>
      <w:r w:rsidRPr="000977F7">
        <w:rPr>
          <w:color w:val="auto"/>
          <w:spacing w:val="-3"/>
          <w:sz w:val="20"/>
          <w:szCs w:val="20"/>
        </w:rPr>
        <w:t xml:space="preserve"> </w:t>
      </w:r>
      <w:r w:rsidRPr="000977F7">
        <w:rPr>
          <w:color w:val="auto"/>
          <w:sz w:val="20"/>
          <w:szCs w:val="20"/>
        </w:rPr>
        <w:t>СХЕМА</w:t>
      </w:r>
      <w:r w:rsidRPr="000977F7">
        <w:rPr>
          <w:color w:val="auto"/>
          <w:spacing w:val="-1"/>
          <w:sz w:val="20"/>
          <w:szCs w:val="20"/>
        </w:rPr>
        <w:t xml:space="preserve"> </w:t>
      </w:r>
      <w:r w:rsidRPr="000977F7">
        <w:rPr>
          <w:color w:val="auto"/>
          <w:sz w:val="20"/>
          <w:szCs w:val="20"/>
        </w:rPr>
        <w:t>–</w:t>
      </w:r>
    </w:p>
    <w:p w14:paraId="652282F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Схема,</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показує</w:t>
      </w:r>
      <w:r w:rsidRPr="000977F7">
        <w:rPr>
          <w:rFonts w:asciiTheme="majorHAnsi" w:hAnsiTheme="majorHAnsi"/>
          <w:spacing w:val="1"/>
          <w:sz w:val="20"/>
          <w:szCs w:val="20"/>
        </w:rPr>
        <w:t xml:space="preserve"> </w:t>
      </w:r>
      <w:r w:rsidRPr="000977F7">
        <w:rPr>
          <w:rFonts w:asciiTheme="majorHAnsi" w:hAnsiTheme="majorHAnsi"/>
          <w:sz w:val="20"/>
          <w:szCs w:val="20"/>
        </w:rPr>
        <w:t>складові</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r w:rsidRPr="000977F7">
        <w:rPr>
          <w:rFonts w:asciiTheme="majorHAnsi" w:hAnsiTheme="majorHAnsi"/>
          <w:spacing w:val="1"/>
          <w:sz w:val="20"/>
          <w:szCs w:val="20"/>
        </w:rPr>
        <w:t xml:space="preserve"> </w:t>
      </w:r>
      <w:r w:rsidRPr="000977F7">
        <w:rPr>
          <w:rFonts w:asciiTheme="majorHAnsi" w:hAnsiTheme="majorHAnsi"/>
          <w:sz w:val="20"/>
          <w:szCs w:val="20"/>
        </w:rPr>
        <w:t>комплексу</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з’єднання</w:t>
      </w:r>
      <w:r w:rsidRPr="000977F7">
        <w:rPr>
          <w:rFonts w:asciiTheme="majorHAnsi" w:hAnsiTheme="majorHAnsi"/>
          <w:spacing w:val="-2"/>
          <w:sz w:val="20"/>
          <w:szCs w:val="20"/>
        </w:rPr>
        <w:t xml:space="preserve"> </w:t>
      </w:r>
      <w:r w:rsidRPr="000977F7">
        <w:rPr>
          <w:rFonts w:asciiTheme="majorHAnsi" w:hAnsiTheme="majorHAnsi"/>
          <w:sz w:val="20"/>
          <w:szCs w:val="20"/>
        </w:rPr>
        <w:t>їх</w:t>
      </w:r>
      <w:r w:rsidRPr="000977F7">
        <w:rPr>
          <w:rFonts w:asciiTheme="majorHAnsi" w:hAnsiTheme="majorHAnsi"/>
          <w:spacing w:val="-2"/>
          <w:sz w:val="20"/>
          <w:szCs w:val="20"/>
        </w:rPr>
        <w:t xml:space="preserve"> </w:t>
      </w:r>
      <w:r w:rsidRPr="000977F7">
        <w:rPr>
          <w:rFonts w:asciiTheme="majorHAnsi" w:hAnsiTheme="majorHAnsi"/>
          <w:sz w:val="20"/>
          <w:szCs w:val="20"/>
        </w:rPr>
        <w:t>між</w:t>
      </w:r>
      <w:r w:rsidRPr="000977F7">
        <w:rPr>
          <w:rFonts w:asciiTheme="majorHAnsi" w:hAnsiTheme="majorHAnsi"/>
          <w:spacing w:val="-1"/>
          <w:sz w:val="20"/>
          <w:szCs w:val="20"/>
        </w:rPr>
        <w:t xml:space="preserve"> </w:t>
      </w:r>
      <w:r w:rsidRPr="000977F7">
        <w:rPr>
          <w:rFonts w:asciiTheme="majorHAnsi" w:hAnsiTheme="majorHAnsi"/>
          <w:sz w:val="20"/>
          <w:szCs w:val="20"/>
        </w:rPr>
        <w:t>собою</w:t>
      </w:r>
      <w:r w:rsidRPr="000977F7">
        <w:rPr>
          <w:rFonts w:asciiTheme="majorHAnsi" w:hAnsiTheme="majorHAnsi"/>
          <w:spacing w:val="-1"/>
          <w:sz w:val="20"/>
          <w:szCs w:val="20"/>
        </w:rPr>
        <w:t xml:space="preserve"> </w:t>
      </w:r>
      <w:r w:rsidRPr="000977F7">
        <w:rPr>
          <w:rFonts w:asciiTheme="majorHAnsi" w:hAnsiTheme="majorHAnsi"/>
          <w:sz w:val="20"/>
          <w:szCs w:val="20"/>
        </w:rPr>
        <w:t>на місці</w:t>
      </w:r>
      <w:r w:rsidRPr="000977F7">
        <w:rPr>
          <w:rFonts w:asciiTheme="majorHAnsi" w:hAnsiTheme="majorHAnsi"/>
          <w:spacing w:val="-2"/>
          <w:sz w:val="20"/>
          <w:szCs w:val="20"/>
        </w:rPr>
        <w:t xml:space="preserve"> </w:t>
      </w:r>
      <w:r w:rsidRPr="000977F7">
        <w:rPr>
          <w:rFonts w:asciiTheme="majorHAnsi" w:hAnsiTheme="majorHAnsi"/>
          <w:sz w:val="20"/>
          <w:szCs w:val="20"/>
        </w:rPr>
        <w:t>експлуатації</w:t>
      </w:r>
    </w:p>
    <w:p w14:paraId="780621C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xml:space="preserve">– </w:t>
      </w:r>
      <w:r w:rsidRPr="000977F7">
        <w:rPr>
          <w:rFonts w:asciiTheme="majorHAnsi" w:hAnsiTheme="majorHAnsi"/>
          <w:sz w:val="20"/>
          <w:szCs w:val="20"/>
        </w:rPr>
        <w:t>2003</w:t>
      </w:r>
    </w:p>
    <w:p w14:paraId="1E4BB5E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ЗАГАЛЬНА</w:t>
      </w:r>
      <w:r w:rsidRPr="000977F7">
        <w:rPr>
          <w:color w:val="auto"/>
          <w:spacing w:val="-4"/>
          <w:sz w:val="20"/>
          <w:szCs w:val="20"/>
        </w:rPr>
        <w:t xml:space="preserve"> </w:t>
      </w:r>
      <w:r w:rsidRPr="000977F7">
        <w:rPr>
          <w:color w:val="auto"/>
          <w:sz w:val="20"/>
          <w:szCs w:val="20"/>
        </w:rPr>
        <w:t>ФУНКЦІЯ</w:t>
      </w:r>
      <w:r w:rsidRPr="000977F7">
        <w:rPr>
          <w:color w:val="auto"/>
          <w:spacing w:val="-4"/>
          <w:sz w:val="20"/>
          <w:szCs w:val="20"/>
        </w:rPr>
        <w:t xml:space="preserve"> </w:t>
      </w:r>
      <w:r w:rsidRPr="000977F7">
        <w:rPr>
          <w:color w:val="auto"/>
          <w:sz w:val="20"/>
          <w:szCs w:val="20"/>
        </w:rPr>
        <w:t>КЕРУВАННЯ</w:t>
      </w:r>
      <w:r w:rsidRPr="000977F7">
        <w:rPr>
          <w:color w:val="auto"/>
          <w:spacing w:val="-1"/>
          <w:sz w:val="20"/>
          <w:szCs w:val="20"/>
        </w:rPr>
        <w:t xml:space="preserve"> </w:t>
      </w:r>
      <w:r w:rsidRPr="000977F7">
        <w:rPr>
          <w:color w:val="auto"/>
          <w:sz w:val="20"/>
          <w:szCs w:val="20"/>
        </w:rPr>
        <w:t>–</w:t>
      </w:r>
    </w:p>
    <w:p w14:paraId="598E1F4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 керування, що здійснюється у кожній виробничій</w:t>
      </w:r>
      <w:r w:rsidRPr="000977F7">
        <w:rPr>
          <w:rFonts w:asciiTheme="majorHAnsi" w:hAnsiTheme="majorHAnsi"/>
          <w:spacing w:val="-2"/>
          <w:sz w:val="20"/>
          <w:szCs w:val="20"/>
        </w:rPr>
        <w:t xml:space="preserve"> </w:t>
      </w:r>
      <w:r w:rsidRPr="000977F7">
        <w:rPr>
          <w:rFonts w:asciiTheme="majorHAnsi" w:hAnsiTheme="majorHAnsi"/>
          <w:sz w:val="20"/>
          <w:szCs w:val="20"/>
        </w:rPr>
        <w:t>системі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на будь</w:t>
      </w:r>
      <w:r w:rsidRPr="000977F7">
        <w:rPr>
          <w:rFonts w:asciiTheme="majorHAnsi" w:hAnsiTheme="majorHAnsi"/>
          <w:spacing w:val="2"/>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якому</w:t>
      </w:r>
      <w:r w:rsidRPr="000977F7">
        <w:rPr>
          <w:rFonts w:asciiTheme="majorHAnsi" w:hAnsiTheme="majorHAnsi"/>
          <w:spacing w:val="-4"/>
          <w:sz w:val="20"/>
          <w:szCs w:val="20"/>
        </w:rPr>
        <w:t xml:space="preserve"> </w:t>
      </w:r>
      <w:r w:rsidRPr="000977F7">
        <w:rPr>
          <w:rFonts w:asciiTheme="majorHAnsi" w:hAnsiTheme="majorHAnsi"/>
          <w:sz w:val="20"/>
          <w:szCs w:val="20"/>
        </w:rPr>
        <w:t>рівні</w:t>
      </w:r>
    </w:p>
    <w:p w14:paraId="3C52E81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39FB4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Загальні функції, до яких належать планування, організація, регулювання, контроль та облік, забезпечують</w:t>
      </w:r>
      <w:r w:rsidRPr="000977F7">
        <w:rPr>
          <w:rFonts w:asciiTheme="majorHAnsi" w:hAnsiTheme="majorHAnsi"/>
          <w:spacing w:val="-47"/>
          <w:sz w:val="20"/>
          <w:szCs w:val="20"/>
        </w:rPr>
        <w:t xml:space="preserve"> </w:t>
      </w:r>
      <w:r w:rsidRPr="000977F7">
        <w:rPr>
          <w:rFonts w:asciiTheme="majorHAnsi" w:hAnsiTheme="majorHAnsi"/>
          <w:sz w:val="20"/>
          <w:szCs w:val="20"/>
        </w:rPr>
        <w:t>керованість і залишаються незмінними під час реалізації</w:t>
      </w:r>
      <w:r w:rsidRPr="000977F7">
        <w:rPr>
          <w:rFonts w:asciiTheme="majorHAnsi" w:hAnsiTheme="majorHAnsi"/>
          <w:spacing w:val="-2"/>
          <w:sz w:val="20"/>
          <w:szCs w:val="20"/>
        </w:rPr>
        <w:t xml:space="preserve"> </w:t>
      </w:r>
      <w:r w:rsidRPr="000977F7">
        <w:rPr>
          <w:rFonts w:asciiTheme="majorHAnsi" w:hAnsiTheme="majorHAnsi"/>
          <w:sz w:val="20"/>
          <w:szCs w:val="20"/>
        </w:rPr>
        <w:t>конкретних</w:t>
      </w:r>
      <w:r w:rsidRPr="000977F7">
        <w:rPr>
          <w:rFonts w:asciiTheme="majorHAnsi" w:hAnsiTheme="majorHAnsi"/>
          <w:spacing w:val="-1"/>
          <w:sz w:val="20"/>
          <w:szCs w:val="20"/>
        </w:rPr>
        <w:t xml:space="preserve"> </w:t>
      </w:r>
      <w:r w:rsidRPr="000977F7">
        <w:rPr>
          <w:rFonts w:asciiTheme="majorHAnsi" w:hAnsiTheme="majorHAnsi"/>
          <w:sz w:val="20"/>
          <w:szCs w:val="20"/>
        </w:rPr>
        <w:t>функцій</w:t>
      </w:r>
      <w:r w:rsidRPr="000977F7">
        <w:rPr>
          <w:rFonts w:asciiTheme="majorHAnsi" w:hAnsiTheme="majorHAnsi"/>
          <w:spacing w:val="-2"/>
          <w:sz w:val="20"/>
          <w:szCs w:val="20"/>
        </w:rPr>
        <w:t xml:space="preserve"> </w:t>
      </w:r>
      <w:r w:rsidRPr="000977F7">
        <w:rPr>
          <w:rFonts w:asciiTheme="majorHAnsi" w:hAnsiTheme="majorHAnsi"/>
          <w:sz w:val="20"/>
          <w:szCs w:val="20"/>
        </w:rPr>
        <w:t>керування</w:t>
      </w:r>
    </w:p>
    <w:p w14:paraId="30D7627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1E8A99F"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 xml:space="preserve">ЗАГАЛЬНЕ КЕРІВНИЦТВО ЯКІСТЮ; АДМІНІСТРАТИВНЕ УПРАВЛІННЯ </w:t>
      </w:r>
    </w:p>
    <w:p w14:paraId="65C01C6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ЯКІСТЮ –</w:t>
      </w:r>
      <w:r w:rsidRPr="000977F7">
        <w:rPr>
          <w:rFonts w:asciiTheme="majorHAnsi" w:hAnsiTheme="majorHAnsi"/>
          <w:b/>
          <w:spacing w:val="1"/>
          <w:sz w:val="20"/>
          <w:szCs w:val="20"/>
        </w:rPr>
        <w:t xml:space="preserve"> </w:t>
      </w:r>
      <w:r w:rsidRPr="000977F7">
        <w:rPr>
          <w:rFonts w:asciiTheme="majorHAnsi" w:hAnsiTheme="majorHAnsi"/>
          <w:sz w:val="20"/>
          <w:szCs w:val="20"/>
        </w:rPr>
        <w:t>QUALITY</w:t>
      </w:r>
      <w:r w:rsidRPr="000977F7">
        <w:rPr>
          <w:rFonts w:asciiTheme="majorHAnsi" w:hAnsiTheme="majorHAnsi"/>
          <w:spacing w:val="-1"/>
          <w:sz w:val="20"/>
          <w:szCs w:val="20"/>
        </w:rPr>
        <w:t xml:space="preserve"> </w:t>
      </w:r>
      <w:r w:rsidRPr="000977F7">
        <w:rPr>
          <w:rFonts w:asciiTheme="majorHAnsi" w:hAnsiTheme="majorHAnsi"/>
          <w:sz w:val="20"/>
          <w:szCs w:val="20"/>
        </w:rPr>
        <w:t>MANAGEMENT</w:t>
      </w:r>
      <w:r w:rsidRPr="000977F7">
        <w:rPr>
          <w:rFonts w:asciiTheme="majorHAnsi" w:hAnsiTheme="majorHAnsi"/>
          <w:spacing w:val="6"/>
          <w:sz w:val="20"/>
          <w:szCs w:val="20"/>
        </w:rPr>
        <w:t xml:space="preserve"> </w:t>
      </w:r>
      <w:r w:rsidRPr="000977F7">
        <w:rPr>
          <w:rFonts w:asciiTheme="majorHAnsi" w:hAnsiTheme="majorHAnsi"/>
          <w:sz w:val="20"/>
          <w:szCs w:val="20"/>
        </w:rPr>
        <w:t>–</w:t>
      </w:r>
    </w:p>
    <w:p w14:paraId="160EFE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Ті аспекти загальної функції управління, які визначають</w:t>
      </w:r>
      <w:r w:rsidRPr="000977F7">
        <w:rPr>
          <w:rFonts w:asciiTheme="majorHAnsi" w:hAnsiTheme="majorHAnsi"/>
          <w:spacing w:val="1"/>
          <w:sz w:val="20"/>
          <w:szCs w:val="20"/>
        </w:rPr>
        <w:t xml:space="preserve"> </w:t>
      </w:r>
      <w:r w:rsidRPr="000977F7">
        <w:rPr>
          <w:rFonts w:asciiTheme="majorHAnsi" w:hAnsiTheme="majorHAnsi"/>
          <w:sz w:val="20"/>
          <w:szCs w:val="20"/>
        </w:rPr>
        <w:t>політику</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галузі</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мету</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відповідальність, а також здійснюють їх за допомогою таких засобів, як планування якості, управління якістю, забезпечення</w:t>
      </w:r>
      <w:r w:rsidRPr="000977F7">
        <w:rPr>
          <w:rFonts w:asciiTheme="majorHAnsi" w:hAnsiTheme="majorHAnsi"/>
          <w:spacing w:val="-2"/>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рамках</w:t>
      </w:r>
      <w:r w:rsidRPr="000977F7">
        <w:rPr>
          <w:rFonts w:asciiTheme="majorHAnsi" w:hAnsiTheme="majorHAnsi"/>
          <w:spacing w:val="-2"/>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p>
    <w:p w14:paraId="584D09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1E70F32C" w14:textId="77777777" w:rsidR="0097612F" w:rsidRPr="000977F7" w:rsidRDefault="0097612F" w:rsidP="00FD39A4">
      <w:pPr>
        <w:pStyle w:val="ac"/>
        <w:widowControl w:val="0"/>
        <w:numPr>
          <w:ilvl w:val="1"/>
          <w:numId w:val="183"/>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Зобов’язання</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загального</w:t>
      </w:r>
      <w:r w:rsidRPr="000977F7">
        <w:rPr>
          <w:rFonts w:asciiTheme="majorHAnsi" w:hAnsiTheme="majorHAnsi"/>
          <w:spacing w:val="1"/>
          <w:sz w:val="20"/>
          <w:szCs w:val="20"/>
        </w:rPr>
        <w:t xml:space="preserve"> </w:t>
      </w:r>
      <w:r w:rsidRPr="000977F7">
        <w:rPr>
          <w:rFonts w:asciiTheme="majorHAnsi" w:hAnsiTheme="majorHAnsi"/>
          <w:sz w:val="20"/>
          <w:szCs w:val="20"/>
        </w:rPr>
        <w:t>керівництва</w:t>
      </w:r>
      <w:r w:rsidRPr="000977F7">
        <w:rPr>
          <w:rFonts w:asciiTheme="majorHAnsi" w:hAnsiTheme="majorHAnsi"/>
          <w:spacing w:val="1"/>
          <w:sz w:val="20"/>
          <w:szCs w:val="20"/>
        </w:rPr>
        <w:t xml:space="preserve"> </w:t>
      </w:r>
      <w:r w:rsidRPr="000977F7">
        <w:rPr>
          <w:rFonts w:asciiTheme="majorHAnsi" w:hAnsiTheme="majorHAnsi"/>
          <w:sz w:val="20"/>
          <w:szCs w:val="20"/>
        </w:rPr>
        <w:t>якістю</w:t>
      </w:r>
      <w:r w:rsidRPr="000977F7">
        <w:rPr>
          <w:rFonts w:asciiTheme="majorHAnsi" w:hAnsiTheme="majorHAnsi"/>
          <w:spacing w:val="1"/>
          <w:sz w:val="20"/>
          <w:szCs w:val="20"/>
        </w:rPr>
        <w:t xml:space="preserve"> </w:t>
      </w:r>
      <w:r w:rsidRPr="000977F7">
        <w:rPr>
          <w:rFonts w:asciiTheme="majorHAnsi" w:hAnsiTheme="majorHAnsi"/>
          <w:sz w:val="20"/>
          <w:szCs w:val="20"/>
        </w:rPr>
        <w:t>лежать на всіх рівнях управління, але управляти</w:t>
      </w:r>
      <w:r w:rsidRPr="000977F7">
        <w:rPr>
          <w:rFonts w:asciiTheme="majorHAnsi" w:hAnsiTheme="majorHAnsi"/>
          <w:spacing w:val="1"/>
          <w:sz w:val="20"/>
          <w:szCs w:val="20"/>
        </w:rPr>
        <w:t xml:space="preserve"> </w:t>
      </w:r>
      <w:r w:rsidRPr="000977F7">
        <w:rPr>
          <w:rFonts w:asciiTheme="majorHAnsi" w:hAnsiTheme="majorHAnsi"/>
          <w:sz w:val="20"/>
          <w:szCs w:val="20"/>
        </w:rPr>
        <w:t>ними повинно вище керівництво. До загального</w:t>
      </w:r>
      <w:r w:rsidRPr="000977F7">
        <w:rPr>
          <w:rFonts w:asciiTheme="majorHAnsi" w:hAnsiTheme="majorHAnsi"/>
          <w:spacing w:val="1"/>
          <w:sz w:val="20"/>
          <w:szCs w:val="20"/>
        </w:rPr>
        <w:t xml:space="preserve"> </w:t>
      </w:r>
      <w:r w:rsidRPr="000977F7">
        <w:rPr>
          <w:rFonts w:asciiTheme="majorHAnsi" w:hAnsiTheme="majorHAnsi"/>
          <w:sz w:val="20"/>
          <w:szCs w:val="20"/>
        </w:rPr>
        <w:t>керівництва якістю залучаються всі члени організації</w:t>
      </w:r>
    </w:p>
    <w:p w14:paraId="6E2DA9C3" w14:textId="77777777" w:rsidR="0097612F" w:rsidRPr="000977F7" w:rsidRDefault="0097612F" w:rsidP="00FD39A4">
      <w:pPr>
        <w:pStyle w:val="ac"/>
        <w:widowControl w:val="0"/>
        <w:numPr>
          <w:ilvl w:val="1"/>
          <w:numId w:val="183"/>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загальному керівництві</w:t>
      </w:r>
      <w:r w:rsidRPr="000977F7">
        <w:rPr>
          <w:rFonts w:asciiTheme="majorHAnsi" w:hAnsiTheme="majorHAnsi"/>
          <w:spacing w:val="1"/>
          <w:sz w:val="20"/>
          <w:szCs w:val="20"/>
        </w:rPr>
        <w:t xml:space="preserve"> </w:t>
      </w:r>
      <w:r w:rsidRPr="000977F7">
        <w:rPr>
          <w:rFonts w:asciiTheme="majorHAnsi" w:hAnsiTheme="majorHAnsi"/>
          <w:sz w:val="20"/>
          <w:szCs w:val="20"/>
        </w:rPr>
        <w:t>якістю</w:t>
      </w:r>
      <w:r w:rsidRPr="000977F7">
        <w:rPr>
          <w:rFonts w:asciiTheme="majorHAnsi" w:hAnsiTheme="majorHAnsi"/>
          <w:spacing w:val="1"/>
          <w:sz w:val="20"/>
          <w:szCs w:val="20"/>
        </w:rPr>
        <w:t xml:space="preserve"> </w:t>
      </w:r>
      <w:r w:rsidRPr="000977F7">
        <w:rPr>
          <w:rFonts w:asciiTheme="majorHAnsi" w:hAnsiTheme="majorHAnsi"/>
          <w:sz w:val="20"/>
          <w:szCs w:val="20"/>
        </w:rPr>
        <w:t>акцент</w:t>
      </w:r>
      <w:r w:rsidRPr="000977F7">
        <w:rPr>
          <w:rFonts w:asciiTheme="majorHAnsi" w:hAnsiTheme="majorHAnsi"/>
          <w:spacing w:val="1"/>
          <w:sz w:val="20"/>
          <w:szCs w:val="20"/>
        </w:rPr>
        <w:t xml:space="preserve"> </w:t>
      </w:r>
      <w:r w:rsidRPr="000977F7">
        <w:rPr>
          <w:rFonts w:asciiTheme="majorHAnsi" w:hAnsiTheme="majorHAnsi"/>
          <w:sz w:val="20"/>
          <w:szCs w:val="20"/>
        </w:rPr>
        <w:t>робиться</w:t>
      </w:r>
      <w:r w:rsidRPr="000977F7">
        <w:rPr>
          <w:rFonts w:asciiTheme="majorHAnsi" w:hAnsiTheme="majorHAnsi"/>
          <w:spacing w:val="-2"/>
          <w:sz w:val="20"/>
          <w:szCs w:val="20"/>
        </w:rPr>
        <w:t xml:space="preserve"> </w:t>
      </w:r>
      <w:r w:rsidRPr="000977F7">
        <w:rPr>
          <w:rFonts w:asciiTheme="majorHAnsi" w:hAnsiTheme="majorHAnsi"/>
          <w:sz w:val="20"/>
          <w:szCs w:val="20"/>
        </w:rPr>
        <w:t>на економічні</w:t>
      </w:r>
      <w:r w:rsidRPr="000977F7">
        <w:rPr>
          <w:rFonts w:asciiTheme="majorHAnsi" w:hAnsiTheme="majorHAnsi"/>
          <w:spacing w:val="-1"/>
          <w:sz w:val="20"/>
          <w:szCs w:val="20"/>
        </w:rPr>
        <w:t xml:space="preserve"> </w:t>
      </w:r>
      <w:r w:rsidRPr="000977F7">
        <w:rPr>
          <w:rFonts w:asciiTheme="majorHAnsi" w:hAnsiTheme="majorHAnsi"/>
          <w:sz w:val="20"/>
          <w:szCs w:val="20"/>
        </w:rPr>
        <w:t>аспекти</w:t>
      </w:r>
    </w:p>
    <w:p w14:paraId="68D68251"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ЗАГАЛЬНЕ</w:t>
      </w:r>
      <w:r w:rsidRPr="004D2D14">
        <w:rPr>
          <w:rFonts w:asciiTheme="majorHAnsi" w:hAnsiTheme="majorHAnsi"/>
          <w:b/>
          <w:spacing w:val="-6"/>
          <w:sz w:val="20"/>
          <w:szCs w:val="20"/>
          <w:lang w:val="en-US"/>
        </w:rPr>
        <w:t xml:space="preserve"> </w:t>
      </w:r>
      <w:r w:rsidRPr="000977F7">
        <w:rPr>
          <w:rFonts w:asciiTheme="majorHAnsi" w:hAnsiTheme="majorHAnsi"/>
          <w:b/>
          <w:sz w:val="20"/>
          <w:szCs w:val="20"/>
        </w:rPr>
        <w:t>ПОСИЛАННЯ</w:t>
      </w:r>
      <w:r w:rsidRPr="004D2D14">
        <w:rPr>
          <w:rFonts w:asciiTheme="majorHAnsi" w:hAnsiTheme="majorHAnsi"/>
          <w:b/>
          <w:spacing w:val="-5"/>
          <w:sz w:val="20"/>
          <w:szCs w:val="20"/>
          <w:lang w:val="en-US"/>
        </w:rPr>
        <w:t xml:space="preserve"> </w:t>
      </w:r>
      <w:r w:rsidRPr="000977F7">
        <w:rPr>
          <w:rFonts w:asciiTheme="majorHAnsi" w:hAnsiTheme="majorHAnsi"/>
          <w:b/>
          <w:sz w:val="20"/>
          <w:szCs w:val="20"/>
        </w:rPr>
        <w:t>НА</w:t>
      </w:r>
      <w:r w:rsidRPr="004D2D14">
        <w:rPr>
          <w:rFonts w:asciiTheme="majorHAnsi" w:hAnsiTheme="majorHAnsi"/>
          <w:b/>
          <w:spacing w:val="-5"/>
          <w:sz w:val="20"/>
          <w:szCs w:val="20"/>
          <w:lang w:val="en-US"/>
        </w:rPr>
        <w:t xml:space="preserve"> </w:t>
      </w:r>
      <w:r w:rsidRPr="000977F7">
        <w:rPr>
          <w:rFonts w:asciiTheme="majorHAnsi" w:hAnsiTheme="majorHAnsi"/>
          <w:b/>
          <w:sz w:val="20"/>
          <w:szCs w:val="20"/>
        </w:rPr>
        <w:t>СТАНДАРТИ</w:t>
      </w:r>
      <w:r w:rsidRPr="004D2D14">
        <w:rPr>
          <w:rFonts w:asciiTheme="majorHAnsi" w:hAnsiTheme="majorHAnsi"/>
          <w:b/>
          <w:spacing w:val="-1"/>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GENERAL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REFERENCE TO</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STANDARDS -</w:t>
      </w:r>
    </w:p>
    <w:p w14:paraId="08524D9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Посилання на стандарти, яке позначає всі стандарти,</w:t>
      </w:r>
      <w:r w:rsidRPr="000977F7">
        <w:rPr>
          <w:rFonts w:asciiTheme="majorHAnsi" w:hAnsiTheme="majorHAnsi"/>
          <w:spacing w:val="1"/>
          <w:sz w:val="20"/>
          <w:szCs w:val="20"/>
        </w:rPr>
        <w:t xml:space="preserve"> </w:t>
      </w:r>
      <w:r w:rsidRPr="000977F7">
        <w:rPr>
          <w:rFonts w:asciiTheme="majorHAnsi" w:hAnsiTheme="majorHAnsi"/>
          <w:sz w:val="20"/>
          <w:szCs w:val="20"/>
        </w:rPr>
        <w:t>прийняті</w:t>
      </w:r>
      <w:r w:rsidRPr="000977F7">
        <w:rPr>
          <w:rFonts w:asciiTheme="majorHAnsi" w:hAnsiTheme="majorHAnsi"/>
          <w:spacing w:val="1"/>
          <w:sz w:val="20"/>
          <w:szCs w:val="20"/>
        </w:rPr>
        <w:t xml:space="preserve"> </w:t>
      </w:r>
      <w:r w:rsidRPr="000977F7">
        <w:rPr>
          <w:rFonts w:asciiTheme="majorHAnsi" w:hAnsiTheme="majorHAnsi"/>
          <w:sz w:val="20"/>
          <w:szCs w:val="20"/>
        </w:rPr>
        <w:t>конкретним</w:t>
      </w:r>
      <w:r w:rsidRPr="000977F7">
        <w:rPr>
          <w:rFonts w:asciiTheme="majorHAnsi" w:hAnsiTheme="majorHAnsi"/>
          <w:spacing w:val="1"/>
          <w:sz w:val="20"/>
          <w:szCs w:val="20"/>
        </w:rPr>
        <w:t xml:space="preserve"> </w:t>
      </w:r>
      <w:r w:rsidRPr="000977F7">
        <w:rPr>
          <w:rFonts w:asciiTheme="majorHAnsi" w:hAnsiTheme="majorHAnsi"/>
          <w:sz w:val="20"/>
          <w:szCs w:val="20"/>
        </w:rPr>
        <w:t>органом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визначеній</w:t>
      </w:r>
      <w:r w:rsidRPr="000977F7">
        <w:rPr>
          <w:rFonts w:asciiTheme="majorHAnsi" w:hAnsiTheme="majorHAnsi"/>
          <w:spacing w:val="1"/>
          <w:sz w:val="20"/>
          <w:szCs w:val="20"/>
        </w:rPr>
        <w:t xml:space="preserve"> </w:t>
      </w:r>
      <w:r w:rsidRPr="000977F7">
        <w:rPr>
          <w:rFonts w:asciiTheme="majorHAnsi" w:hAnsiTheme="majorHAnsi"/>
          <w:sz w:val="20"/>
          <w:szCs w:val="20"/>
        </w:rPr>
        <w:t>галузі,</w:t>
      </w:r>
      <w:r w:rsidRPr="000977F7">
        <w:rPr>
          <w:rFonts w:asciiTheme="majorHAnsi" w:hAnsiTheme="majorHAnsi"/>
          <w:spacing w:val="-1"/>
          <w:sz w:val="20"/>
          <w:szCs w:val="20"/>
        </w:rPr>
        <w:t xml:space="preserve"> </w:t>
      </w:r>
      <w:r w:rsidRPr="000977F7">
        <w:rPr>
          <w:rFonts w:asciiTheme="majorHAnsi" w:hAnsiTheme="majorHAnsi"/>
          <w:sz w:val="20"/>
          <w:szCs w:val="20"/>
        </w:rPr>
        <w:t>без</w:t>
      </w:r>
      <w:r w:rsidRPr="000977F7">
        <w:rPr>
          <w:rFonts w:asciiTheme="majorHAnsi" w:hAnsiTheme="majorHAnsi"/>
          <w:spacing w:val="-1"/>
          <w:sz w:val="20"/>
          <w:szCs w:val="20"/>
        </w:rPr>
        <w:t xml:space="preserve"> </w:t>
      </w:r>
      <w:r w:rsidRPr="000977F7">
        <w:rPr>
          <w:rFonts w:asciiTheme="majorHAnsi" w:hAnsiTheme="majorHAnsi"/>
          <w:sz w:val="20"/>
          <w:szCs w:val="20"/>
        </w:rPr>
        <w:t>ідентифікації</w:t>
      </w:r>
      <w:r w:rsidRPr="000977F7">
        <w:rPr>
          <w:rFonts w:asciiTheme="majorHAnsi" w:hAnsiTheme="majorHAnsi"/>
          <w:spacing w:val="-2"/>
          <w:sz w:val="20"/>
          <w:szCs w:val="20"/>
        </w:rPr>
        <w:t xml:space="preserve"> </w:t>
      </w:r>
      <w:r w:rsidRPr="000977F7">
        <w:rPr>
          <w:rFonts w:asciiTheme="majorHAnsi" w:hAnsiTheme="majorHAnsi"/>
          <w:sz w:val="20"/>
          <w:szCs w:val="20"/>
        </w:rPr>
        <w:t>кожного з</w:t>
      </w:r>
      <w:r w:rsidRPr="000977F7">
        <w:rPr>
          <w:rFonts w:asciiTheme="majorHAnsi" w:hAnsiTheme="majorHAnsi"/>
          <w:spacing w:val="-1"/>
          <w:sz w:val="20"/>
          <w:szCs w:val="20"/>
        </w:rPr>
        <w:t xml:space="preserve"> </w:t>
      </w:r>
      <w:r w:rsidRPr="000977F7">
        <w:rPr>
          <w:rFonts w:asciiTheme="majorHAnsi" w:hAnsiTheme="majorHAnsi"/>
          <w:sz w:val="20"/>
          <w:szCs w:val="20"/>
        </w:rPr>
        <w:t>них окремо</w:t>
      </w:r>
    </w:p>
    <w:p w14:paraId="587796D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b w:val="0"/>
          <w:color w:val="auto"/>
          <w:sz w:val="20"/>
          <w:szCs w:val="20"/>
        </w:rPr>
        <w:t>.</w:t>
      </w:r>
      <w:r w:rsidRPr="000977F7">
        <w:rPr>
          <w:color w:val="auto"/>
          <w:sz w:val="20"/>
          <w:szCs w:val="20"/>
        </w:rPr>
        <w:t>ЗАГАЛЬНЕ</w:t>
      </w:r>
      <w:r w:rsidRPr="000977F7">
        <w:rPr>
          <w:color w:val="auto"/>
          <w:spacing w:val="-5"/>
          <w:sz w:val="20"/>
          <w:szCs w:val="20"/>
        </w:rPr>
        <w:t xml:space="preserve"> </w:t>
      </w:r>
      <w:r w:rsidRPr="000977F7">
        <w:rPr>
          <w:color w:val="auto"/>
          <w:sz w:val="20"/>
          <w:szCs w:val="20"/>
        </w:rPr>
        <w:t>РЕЗЕРВУВАННЯ</w:t>
      </w:r>
      <w:r w:rsidRPr="000977F7">
        <w:rPr>
          <w:color w:val="auto"/>
          <w:spacing w:val="-1"/>
          <w:sz w:val="20"/>
          <w:szCs w:val="20"/>
        </w:rPr>
        <w:t xml:space="preserve"> </w:t>
      </w:r>
      <w:r w:rsidRPr="000977F7">
        <w:rPr>
          <w:color w:val="auto"/>
          <w:sz w:val="20"/>
          <w:szCs w:val="20"/>
        </w:rPr>
        <w:t>–</w:t>
      </w:r>
    </w:p>
    <w:p w14:paraId="7EE268A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WHOLE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SYSTEM</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REDUNDANCY –</w:t>
      </w:r>
    </w:p>
    <w:p w14:paraId="4ED6CC5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Резервування,</w:t>
      </w:r>
      <w:r w:rsidRPr="000977F7">
        <w:rPr>
          <w:rFonts w:asciiTheme="majorHAnsi" w:hAnsiTheme="majorHAnsi"/>
          <w:spacing w:val="-3"/>
          <w:sz w:val="20"/>
          <w:szCs w:val="20"/>
        </w:rPr>
        <w:t xml:space="preserve"> </w:t>
      </w:r>
      <w:r w:rsidRPr="000977F7">
        <w:rPr>
          <w:rFonts w:asciiTheme="majorHAnsi" w:hAnsiTheme="majorHAnsi"/>
          <w:sz w:val="20"/>
          <w:szCs w:val="20"/>
        </w:rPr>
        <w:t>в</w:t>
      </w:r>
      <w:r w:rsidRPr="000977F7">
        <w:rPr>
          <w:rFonts w:asciiTheme="majorHAnsi" w:hAnsiTheme="majorHAnsi"/>
          <w:spacing w:val="-3"/>
          <w:sz w:val="20"/>
          <w:szCs w:val="20"/>
        </w:rPr>
        <w:t xml:space="preserve"> </w:t>
      </w:r>
      <w:r w:rsidRPr="000977F7">
        <w:rPr>
          <w:rFonts w:asciiTheme="majorHAnsi" w:hAnsiTheme="majorHAnsi"/>
          <w:sz w:val="20"/>
          <w:szCs w:val="20"/>
        </w:rPr>
        <w:t>якому</w:t>
      </w:r>
      <w:r w:rsidRPr="000977F7">
        <w:rPr>
          <w:rFonts w:asciiTheme="majorHAnsi" w:hAnsiTheme="majorHAnsi"/>
          <w:spacing w:val="-6"/>
          <w:sz w:val="20"/>
          <w:szCs w:val="20"/>
        </w:rPr>
        <w:t xml:space="preserve"> </w:t>
      </w:r>
      <w:r w:rsidRPr="000977F7">
        <w:rPr>
          <w:rFonts w:asciiTheme="majorHAnsi" w:hAnsiTheme="majorHAnsi"/>
          <w:sz w:val="20"/>
          <w:szCs w:val="20"/>
        </w:rPr>
        <w:t>резервується</w:t>
      </w:r>
      <w:r w:rsidRPr="000977F7">
        <w:rPr>
          <w:rFonts w:asciiTheme="majorHAnsi" w:hAnsiTheme="majorHAnsi"/>
          <w:spacing w:val="-4"/>
          <w:sz w:val="20"/>
          <w:szCs w:val="20"/>
        </w:rPr>
        <w:t xml:space="preserve"> </w:t>
      </w:r>
      <w:r w:rsidRPr="000977F7">
        <w:rPr>
          <w:rFonts w:asciiTheme="majorHAnsi" w:hAnsiTheme="majorHAnsi"/>
          <w:sz w:val="20"/>
          <w:szCs w:val="20"/>
        </w:rPr>
        <w:t>об’єкт</w:t>
      </w:r>
      <w:r w:rsidRPr="000977F7">
        <w:rPr>
          <w:rFonts w:asciiTheme="majorHAnsi" w:hAnsiTheme="majorHAnsi"/>
          <w:spacing w:val="-3"/>
          <w:sz w:val="20"/>
          <w:szCs w:val="20"/>
        </w:rPr>
        <w:t xml:space="preserve"> </w:t>
      </w:r>
      <w:r w:rsidRPr="000977F7">
        <w:rPr>
          <w:rFonts w:asciiTheme="majorHAnsi" w:hAnsiTheme="majorHAnsi"/>
          <w:sz w:val="20"/>
          <w:szCs w:val="20"/>
        </w:rPr>
        <w:t>в</w:t>
      </w:r>
      <w:r w:rsidRPr="000977F7">
        <w:rPr>
          <w:rFonts w:asciiTheme="majorHAnsi" w:hAnsiTheme="majorHAnsi"/>
          <w:spacing w:val="3"/>
          <w:sz w:val="20"/>
          <w:szCs w:val="20"/>
        </w:rPr>
        <w:t xml:space="preserve"> </w:t>
      </w:r>
      <w:r w:rsidRPr="000977F7">
        <w:rPr>
          <w:rFonts w:asciiTheme="majorHAnsi" w:hAnsiTheme="majorHAnsi"/>
          <w:sz w:val="20"/>
          <w:szCs w:val="20"/>
        </w:rPr>
        <w:t>цілому</w:t>
      </w:r>
    </w:p>
    <w:p w14:paraId="216A7D5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D56B0D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ЗАГАЛЬНЕ</w:t>
      </w:r>
      <w:r w:rsidRPr="000977F7">
        <w:rPr>
          <w:color w:val="auto"/>
          <w:spacing w:val="-4"/>
          <w:sz w:val="20"/>
          <w:szCs w:val="20"/>
        </w:rPr>
        <w:t xml:space="preserve"> </w:t>
      </w:r>
      <w:r w:rsidRPr="000977F7">
        <w:rPr>
          <w:color w:val="auto"/>
          <w:sz w:val="20"/>
          <w:szCs w:val="20"/>
        </w:rPr>
        <w:t>УПРАВЛІННЯ</w:t>
      </w:r>
      <w:r w:rsidRPr="000977F7">
        <w:rPr>
          <w:color w:val="auto"/>
          <w:spacing w:val="-1"/>
          <w:sz w:val="20"/>
          <w:szCs w:val="20"/>
        </w:rPr>
        <w:t xml:space="preserve"> </w:t>
      </w:r>
      <w:r w:rsidRPr="000977F7">
        <w:rPr>
          <w:color w:val="auto"/>
          <w:sz w:val="20"/>
          <w:szCs w:val="20"/>
        </w:rPr>
        <w:t>–</w:t>
      </w:r>
    </w:p>
    <w:p w14:paraId="51CA2F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Обширна галузь, що стосується будь-якого управління на підприємстві. Серед інших питань воно включає:</w:t>
      </w:r>
    </w:p>
    <w:p w14:paraId="54949D79" w14:textId="77777777" w:rsidR="0097612F" w:rsidRPr="000977F7" w:rsidRDefault="0097612F" w:rsidP="00FD39A4">
      <w:pPr>
        <w:pStyle w:val="ac"/>
        <w:widowControl w:val="0"/>
        <w:numPr>
          <w:ilvl w:val="0"/>
          <w:numId w:val="182"/>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фінансування та облік, продаж і маркетинг, дослідження</w:t>
      </w:r>
      <w:r w:rsidRPr="000977F7">
        <w:rPr>
          <w:rFonts w:asciiTheme="majorHAnsi" w:hAnsiTheme="majorHAnsi"/>
          <w:spacing w:val="-1"/>
          <w:sz w:val="20"/>
          <w:szCs w:val="20"/>
        </w:rPr>
        <w:t xml:space="preserve"> </w:t>
      </w:r>
      <w:r w:rsidRPr="000977F7">
        <w:rPr>
          <w:rFonts w:asciiTheme="majorHAnsi" w:hAnsiTheme="majorHAnsi"/>
          <w:sz w:val="20"/>
          <w:szCs w:val="20"/>
        </w:rPr>
        <w:t>й</w:t>
      </w:r>
      <w:r w:rsidRPr="000977F7">
        <w:rPr>
          <w:rFonts w:asciiTheme="majorHAnsi" w:hAnsiTheme="majorHAnsi"/>
          <w:spacing w:val="-2"/>
          <w:sz w:val="20"/>
          <w:szCs w:val="20"/>
        </w:rPr>
        <w:t xml:space="preserve"> </w:t>
      </w:r>
      <w:r w:rsidRPr="000977F7">
        <w:rPr>
          <w:rFonts w:asciiTheme="majorHAnsi" w:hAnsiTheme="majorHAnsi"/>
          <w:sz w:val="20"/>
          <w:szCs w:val="20"/>
        </w:rPr>
        <w:t>розробку,</w:t>
      </w:r>
      <w:r w:rsidRPr="000977F7">
        <w:rPr>
          <w:rFonts w:asciiTheme="majorHAnsi" w:hAnsiTheme="majorHAnsi"/>
          <w:spacing w:val="-2"/>
          <w:sz w:val="20"/>
          <w:szCs w:val="20"/>
        </w:rPr>
        <w:t xml:space="preserve"> </w:t>
      </w:r>
      <w:r w:rsidRPr="000977F7">
        <w:rPr>
          <w:rFonts w:asciiTheme="majorHAnsi" w:hAnsiTheme="majorHAnsi"/>
          <w:sz w:val="20"/>
          <w:szCs w:val="20"/>
        </w:rPr>
        <w:t>виробництво</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розподіл;</w:t>
      </w:r>
    </w:p>
    <w:p w14:paraId="646A14AE" w14:textId="77777777" w:rsidR="0097612F" w:rsidRPr="000977F7" w:rsidRDefault="0097612F" w:rsidP="00FD39A4">
      <w:pPr>
        <w:pStyle w:val="ac"/>
        <w:widowControl w:val="0"/>
        <w:numPr>
          <w:ilvl w:val="0"/>
          <w:numId w:val="182"/>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стратегічне,</w:t>
      </w:r>
      <w:r w:rsidRPr="000977F7">
        <w:rPr>
          <w:rFonts w:asciiTheme="majorHAnsi" w:hAnsiTheme="majorHAnsi"/>
          <w:spacing w:val="-5"/>
          <w:sz w:val="20"/>
          <w:szCs w:val="20"/>
        </w:rPr>
        <w:t xml:space="preserve"> </w:t>
      </w:r>
      <w:r w:rsidRPr="000977F7">
        <w:rPr>
          <w:rFonts w:asciiTheme="majorHAnsi" w:hAnsiTheme="majorHAnsi"/>
          <w:sz w:val="20"/>
          <w:szCs w:val="20"/>
        </w:rPr>
        <w:t>тактичне</w:t>
      </w:r>
      <w:r w:rsidRPr="000977F7">
        <w:rPr>
          <w:rFonts w:asciiTheme="majorHAnsi" w:hAnsiTheme="majorHAnsi"/>
          <w:spacing w:val="-1"/>
          <w:sz w:val="20"/>
          <w:szCs w:val="20"/>
        </w:rPr>
        <w:t xml:space="preserve"> </w:t>
      </w:r>
      <w:r w:rsidRPr="000977F7">
        <w:rPr>
          <w:rFonts w:asciiTheme="majorHAnsi" w:hAnsiTheme="majorHAnsi"/>
          <w:sz w:val="20"/>
          <w:szCs w:val="20"/>
        </w:rPr>
        <w:t>й</w:t>
      </w:r>
      <w:r w:rsidRPr="000977F7">
        <w:rPr>
          <w:rFonts w:asciiTheme="majorHAnsi" w:hAnsiTheme="majorHAnsi"/>
          <w:spacing w:val="-5"/>
          <w:sz w:val="20"/>
          <w:szCs w:val="20"/>
        </w:rPr>
        <w:t xml:space="preserve"> </w:t>
      </w:r>
      <w:r w:rsidRPr="000977F7">
        <w:rPr>
          <w:rFonts w:asciiTheme="majorHAnsi" w:hAnsiTheme="majorHAnsi"/>
          <w:sz w:val="20"/>
          <w:szCs w:val="20"/>
        </w:rPr>
        <w:t>оперативне</w:t>
      </w:r>
      <w:r w:rsidRPr="000977F7">
        <w:rPr>
          <w:rFonts w:asciiTheme="majorHAnsi" w:hAnsiTheme="majorHAnsi"/>
          <w:spacing w:val="-4"/>
          <w:sz w:val="20"/>
          <w:szCs w:val="20"/>
        </w:rPr>
        <w:t xml:space="preserve"> </w:t>
      </w:r>
      <w:r w:rsidRPr="000977F7">
        <w:rPr>
          <w:rFonts w:asciiTheme="majorHAnsi" w:hAnsiTheme="majorHAnsi"/>
          <w:sz w:val="20"/>
          <w:szCs w:val="20"/>
        </w:rPr>
        <w:t>планування;</w:t>
      </w:r>
    </w:p>
    <w:p w14:paraId="54A83C5D" w14:textId="77777777" w:rsidR="0097612F" w:rsidRPr="000977F7" w:rsidRDefault="0097612F" w:rsidP="00FD39A4">
      <w:pPr>
        <w:pStyle w:val="ac"/>
        <w:widowControl w:val="0"/>
        <w:numPr>
          <w:ilvl w:val="0"/>
          <w:numId w:val="182"/>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організаційні структури, організаційну поведінку,</w:t>
      </w:r>
      <w:r w:rsidRPr="000977F7">
        <w:rPr>
          <w:rFonts w:asciiTheme="majorHAnsi" w:hAnsiTheme="majorHAnsi"/>
          <w:spacing w:val="-47"/>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персоналом,</w:t>
      </w:r>
      <w:r w:rsidRPr="000977F7">
        <w:rPr>
          <w:rFonts w:asciiTheme="majorHAnsi" w:hAnsiTheme="majorHAnsi"/>
          <w:spacing w:val="1"/>
          <w:sz w:val="20"/>
          <w:szCs w:val="20"/>
        </w:rPr>
        <w:t xml:space="preserve"> </w:t>
      </w:r>
      <w:r w:rsidRPr="000977F7">
        <w:rPr>
          <w:rFonts w:asciiTheme="majorHAnsi" w:hAnsiTheme="majorHAnsi"/>
          <w:sz w:val="20"/>
          <w:szCs w:val="20"/>
        </w:rPr>
        <w:t>питання</w:t>
      </w:r>
      <w:r w:rsidRPr="000977F7">
        <w:rPr>
          <w:rFonts w:asciiTheme="majorHAnsi" w:hAnsiTheme="majorHAnsi"/>
          <w:spacing w:val="1"/>
          <w:sz w:val="20"/>
          <w:szCs w:val="20"/>
        </w:rPr>
        <w:t xml:space="preserve"> </w:t>
      </w:r>
      <w:r w:rsidRPr="000977F7">
        <w:rPr>
          <w:rFonts w:asciiTheme="majorHAnsi" w:hAnsiTheme="majorHAnsi"/>
          <w:sz w:val="20"/>
          <w:szCs w:val="20"/>
        </w:rPr>
        <w:t>компенсації,</w:t>
      </w:r>
      <w:r w:rsidRPr="000977F7">
        <w:rPr>
          <w:rFonts w:asciiTheme="majorHAnsi" w:hAnsiTheme="majorHAnsi"/>
          <w:spacing w:val="1"/>
          <w:sz w:val="20"/>
          <w:szCs w:val="20"/>
        </w:rPr>
        <w:t xml:space="preserve"> </w:t>
      </w:r>
      <w:r w:rsidRPr="000977F7">
        <w:rPr>
          <w:rFonts w:asciiTheme="majorHAnsi" w:hAnsiTheme="majorHAnsi"/>
          <w:sz w:val="20"/>
          <w:szCs w:val="20"/>
        </w:rPr>
        <w:t>прибутки,</w:t>
      </w:r>
      <w:r w:rsidRPr="000977F7">
        <w:rPr>
          <w:rFonts w:asciiTheme="majorHAnsi" w:hAnsiTheme="majorHAnsi"/>
          <w:spacing w:val="1"/>
          <w:sz w:val="20"/>
          <w:szCs w:val="20"/>
        </w:rPr>
        <w:t xml:space="preserve"> </w:t>
      </w:r>
      <w:r w:rsidRPr="000977F7">
        <w:rPr>
          <w:rFonts w:asciiTheme="majorHAnsi" w:hAnsiTheme="majorHAnsi"/>
          <w:sz w:val="20"/>
          <w:szCs w:val="20"/>
        </w:rPr>
        <w:t>кар’єри;</w:t>
      </w:r>
    </w:p>
    <w:p w14:paraId="55209DDE" w14:textId="77777777" w:rsidR="0097612F" w:rsidRPr="000977F7" w:rsidRDefault="0097612F" w:rsidP="00FD39A4">
      <w:pPr>
        <w:pStyle w:val="ac"/>
        <w:widowControl w:val="0"/>
        <w:numPr>
          <w:ilvl w:val="0"/>
          <w:numId w:val="182"/>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управління робочими зв’язками з використанням</w:t>
      </w:r>
      <w:r w:rsidRPr="000977F7">
        <w:rPr>
          <w:rFonts w:asciiTheme="majorHAnsi" w:hAnsiTheme="majorHAnsi"/>
          <w:spacing w:val="1"/>
          <w:sz w:val="20"/>
          <w:szCs w:val="20"/>
        </w:rPr>
        <w:t xml:space="preserve"> </w:t>
      </w:r>
      <w:r w:rsidRPr="000977F7">
        <w:rPr>
          <w:rFonts w:asciiTheme="majorHAnsi" w:hAnsiTheme="majorHAnsi"/>
          <w:sz w:val="20"/>
          <w:szCs w:val="20"/>
        </w:rPr>
        <w:t>мотивації,</w:t>
      </w:r>
      <w:r w:rsidRPr="000977F7">
        <w:rPr>
          <w:rFonts w:asciiTheme="majorHAnsi" w:hAnsiTheme="majorHAnsi"/>
          <w:spacing w:val="1"/>
          <w:sz w:val="20"/>
          <w:szCs w:val="20"/>
        </w:rPr>
        <w:t xml:space="preserve"> </w:t>
      </w:r>
      <w:r w:rsidRPr="000977F7">
        <w:rPr>
          <w:rFonts w:asciiTheme="majorHAnsi" w:hAnsiTheme="majorHAnsi"/>
          <w:sz w:val="20"/>
          <w:szCs w:val="20"/>
        </w:rPr>
        <w:t>делегування</w:t>
      </w:r>
      <w:r w:rsidRPr="000977F7">
        <w:rPr>
          <w:rFonts w:asciiTheme="majorHAnsi" w:hAnsiTheme="majorHAnsi"/>
          <w:spacing w:val="1"/>
          <w:sz w:val="20"/>
          <w:szCs w:val="20"/>
        </w:rPr>
        <w:t xml:space="preserve"> </w:t>
      </w:r>
      <w:r w:rsidRPr="000977F7">
        <w:rPr>
          <w:rFonts w:asciiTheme="majorHAnsi" w:hAnsiTheme="majorHAnsi"/>
          <w:sz w:val="20"/>
          <w:szCs w:val="20"/>
        </w:rPr>
        <w:t>повноважень,</w:t>
      </w:r>
      <w:r w:rsidRPr="000977F7">
        <w:rPr>
          <w:rFonts w:asciiTheme="majorHAnsi" w:hAnsiTheme="majorHAnsi"/>
          <w:spacing w:val="1"/>
          <w:sz w:val="20"/>
          <w:szCs w:val="20"/>
        </w:rPr>
        <w:t xml:space="preserve"> </w:t>
      </w:r>
      <w:r w:rsidRPr="000977F7">
        <w:rPr>
          <w:rFonts w:asciiTheme="majorHAnsi" w:hAnsiTheme="majorHAnsi"/>
          <w:sz w:val="20"/>
          <w:szCs w:val="20"/>
        </w:rPr>
        <w:t>нагляду,</w:t>
      </w:r>
      <w:r w:rsidRPr="000977F7">
        <w:rPr>
          <w:rFonts w:asciiTheme="majorHAnsi" w:hAnsiTheme="majorHAnsi"/>
          <w:spacing w:val="1"/>
          <w:sz w:val="20"/>
          <w:szCs w:val="20"/>
        </w:rPr>
        <w:t xml:space="preserve"> </w:t>
      </w:r>
      <w:r w:rsidRPr="000977F7">
        <w:rPr>
          <w:rFonts w:asciiTheme="majorHAnsi" w:hAnsiTheme="majorHAnsi"/>
          <w:sz w:val="20"/>
          <w:szCs w:val="20"/>
        </w:rPr>
        <w:t>створення</w:t>
      </w:r>
      <w:r w:rsidRPr="000977F7">
        <w:rPr>
          <w:rFonts w:asciiTheme="majorHAnsi" w:hAnsiTheme="majorHAnsi"/>
          <w:spacing w:val="1"/>
          <w:sz w:val="20"/>
          <w:szCs w:val="20"/>
        </w:rPr>
        <w:t xml:space="preserve"> </w:t>
      </w:r>
      <w:r w:rsidRPr="000977F7">
        <w:rPr>
          <w:rFonts w:asciiTheme="majorHAnsi" w:hAnsiTheme="majorHAnsi"/>
          <w:sz w:val="20"/>
          <w:szCs w:val="20"/>
        </w:rPr>
        <w:t>команди,</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конфліктами,</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2"/>
          <w:sz w:val="20"/>
          <w:szCs w:val="20"/>
        </w:rPr>
        <w:t xml:space="preserve"> </w:t>
      </w:r>
      <w:r w:rsidRPr="000977F7">
        <w:rPr>
          <w:rFonts w:asciiTheme="majorHAnsi" w:hAnsiTheme="majorHAnsi"/>
          <w:sz w:val="20"/>
          <w:szCs w:val="20"/>
        </w:rPr>
        <w:t>іншими</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технологіями;</w:t>
      </w:r>
    </w:p>
    <w:p w14:paraId="5F551E92" w14:textId="77777777" w:rsidR="0097612F" w:rsidRPr="000977F7" w:rsidRDefault="0097612F" w:rsidP="00FD39A4">
      <w:pPr>
        <w:pStyle w:val="ac"/>
        <w:widowControl w:val="0"/>
        <w:numPr>
          <w:ilvl w:val="0"/>
          <w:numId w:val="182"/>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самоврядування,</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особистим</w:t>
      </w:r>
      <w:r w:rsidRPr="000977F7">
        <w:rPr>
          <w:rFonts w:asciiTheme="majorHAnsi" w:hAnsiTheme="majorHAnsi"/>
          <w:spacing w:val="1"/>
          <w:sz w:val="20"/>
          <w:szCs w:val="20"/>
        </w:rPr>
        <w:t xml:space="preserve"> </w:t>
      </w:r>
      <w:r w:rsidRPr="000977F7">
        <w:rPr>
          <w:rFonts w:asciiTheme="majorHAnsi" w:hAnsiTheme="majorHAnsi"/>
          <w:sz w:val="20"/>
          <w:szCs w:val="20"/>
        </w:rPr>
        <w:t>часом,</w:t>
      </w:r>
      <w:r w:rsidRPr="000977F7">
        <w:rPr>
          <w:rFonts w:asciiTheme="majorHAnsi" w:hAnsiTheme="majorHAnsi"/>
          <w:spacing w:val="-47"/>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2"/>
          <w:sz w:val="20"/>
          <w:szCs w:val="20"/>
        </w:rPr>
        <w:t xml:space="preserve"> </w:t>
      </w:r>
      <w:r w:rsidRPr="000977F7">
        <w:rPr>
          <w:rFonts w:asciiTheme="majorHAnsi" w:hAnsiTheme="majorHAnsi"/>
          <w:sz w:val="20"/>
          <w:szCs w:val="20"/>
        </w:rPr>
        <w:t>стресами</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5F82A77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Кер.</w:t>
      </w:r>
      <w:r w:rsidRPr="000977F7">
        <w:rPr>
          <w:rFonts w:asciiTheme="majorHAnsi" w:hAnsiTheme="majorHAnsi"/>
          <w:i/>
          <w:spacing w:val="-3"/>
          <w:sz w:val="20"/>
          <w:szCs w:val="20"/>
        </w:rPr>
        <w:t xml:space="preserve"> </w:t>
      </w:r>
      <w:r w:rsidRPr="000977F7">
        <w:rPr>
          <w:rFonts w:asciiTheme="majorHAnsi" w:hAnsiTheme="majorHAnsi"/>
          <w:i/>
          <w:sz w:val="20"/>
          <w:szCs w:val="20"/>
        </w:rPr>
        <w:t>проектн.</w:t>
      </w:r>
      <w:r w:rsidRPr="000977F7">
        <w:rPr>
          <w:rFonts w:asciiTheme="majorHAnsi" w:hAnsiTheme="majorHAnsi"/>
          <w:i/>
          <w:spacing w:val="-3"/>
          <w:sz w:val="20"/>
          <w:szCs w:val="20"/>
        </w:rPr>
        <w:t xml:space="preserve"> </w:t>
      </w:r>
      <w:r w:rsidRPr="000977F7">
        <w:rPr>
          <w:rFonts w:asciiTheme="majorHAnsi" w:hAnsiTheme="majorHAnsi"/>
          <w:i/>
          <w:sz w:val="20"/>
          <w:szCs w:val="20"/>
        </w:rPr>
        <w:t>менедж</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ту.</w:t>
      </w:r>
    </w:p>
    <w:p w14:paraId="325F9E0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ЗАГАЛЬНІ ТЕХНІЧНІ УМОВИ НА КАПІТАЛЬНИЙ ТА</w:t>
      </w:r>
      <w:r w:rsidRPr="000977F7">
        <w:rPr>
          <w:color w:val="auto"/>
          <w:spacing w:val="-1"/>
          <w:sz w:val="20"/>
          <w:szCs w:val="20"/>
        </w:rPr>
        <w:t xml:space="preserve"> </w:t>
      </w:r>
      <w:r w:rsidRPr="000977F7">
        <w:rPr>
          <w:color w:val="auto"/>
          <w:sz w:val="20"/>
          <w:szCs w:val="20"/>
        </w:rPr>
        <w:t>(ЧИ) СЕРЕДНІЙ</w:t>
      </w:r>
      <w:r w:rsidRPr="000977F7">
        <w:rPr>
          <w:color w:val="auto"/>
          <w:spacing w:val="2"/>
          <w:sz w:val="20"/>
          <w:szCs w:val="20"/>
        </w:rPr>
        <w:t xml:space="preserve"> </w:t>
      </w:r>
      <w:r w:rsidRPr="000977F7">
        <w:rPr>
          <w:color w:val="auto"/>
          <w:sz w:val="20"/>
          <w:szCs w:val="20"/>
        </w:rPr>
        <w:t>РЕМОНТ</w:t>
      </w:r>
      <w:r w:rsidRPr="000977F7">
        <w:rPr>
          <w:color w:val="auto"/>
          <w:spacing w:val="3"/>
          <w:sz w:val="20"/>
          <w:szCs w:val="20"/>
        </w:rPr>
        <w:t xml:space="preserve"> </w:t>
      </w:r>
    </w:p>
    <w:p w14:paraId="193E60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на ремонт, який містить загальні технічні</w:t>
      </w:r>
      <w:r w:rsidRPr="000977F7">
        <w:rPr>
          <w:rFonts w:asciiTheme="majorHAnsi" w:hAnsiTheme="majorHAnsi"/>
          <w:spacing w:val="1"/>
          <w:sz w:val="20"/>
          <w:szCs w:val="20"/>
        </w:rPr>
        <w:t xml:space="preserve"> </w:t>
      </w:r>
      <w:r w:rsidRPr="000977F7">
        <w:rPr>
          <w:rFonts w:asciiTheme="majorHAnsi" w:hAnsiTheme="majorHAnsi"/>
          <w:sz w:val="20"/>
          <w:szCs w:val="20"/>
        </w:rPr>
        <w:t>вимоги, показники і норми, яким повинні відповідати</w:t>
      </w:r>
      <w:r w:rsidRPr="000977F7">
        <w:rPr>
          <w:rFonts w:asciiTheme="majorHAnsi" w:hAnsiTheme="majorHAnsi"/>
          <w:spacing w:val="1"/>
          <w:sz w:val="20"/>
          <w:szCs w:val="20"/>
        </w:rPr>
        <w:t xml:space="preserve"> </w:t>
      </w:r>
      <w:r w:rsidRPr="000977F7">
        <w:rPr>
          <w:rFonts w:asciiTheme="majorHAnsi" w:hAnsiTheme="majorHAnsi"/>
          <w:sz w:val="20"/>
          <w:szCs w:val="20"/>
        </w:rPr>
        <w:t>всі вироби після капітального та (чи) середнього ремонту</w:t>
      </w:r>
    </w:p>
    <w:p w14:paraId="0918B9D7"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3321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xml:space="preserve">– </w:t>
      </w:r>
      <w:r w:rsidRPr="004D2D14">
        <w:rPr>
          <w:rFonts w:asciiTheme="majorHAnsi" w:hAnsiTheme="majorHAnsi"/>
          <w:sz w:val="20"/>
          <w:szCs w:val="20"/>
          <w:lang w:val="en-US"/>
        </w:rPr>
        <w:t>2003</w:t>
      </w:r>
    </w:p>
    <w:p w14:paraId="149E35DD"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ЗАГАЛЬНОТЕХНІЧНИЙ</w:t>
      </w:r>
      <w:r w:rsidRPr="004D2D14">
        <w:rPr>
          <w:rFonts w:asciiTheme="majorHAnsi" w:hAnsiTheme="majorHAnsi"/>
          <w:b/>
          <w:spacing w:val="-7"/>
          <w:sz w:val="20"/>
          <w:szCs w:val="20"/>
          <w:lang w:val="en-US"/>
        </w:rPr>
        <w:t xml:space="preserve"> </w:t>
      </w:r>
      <w:r w:rsidRPr="000977F7">
        <w:rPr>
          <w:rFonts w:asciiTheme="majorHAnsi" w:hAnsiTheme="majorHAnsi"/>
          <w:b/>
          <w:sz w:val="20"/>
          <w:szCs w:val="20"/>
        </w:rPr>
        <w:t>СТАНДАРТ</w:t>
      </w:r>
      <w:r w:rsidRPr="004D2D14">
        <w:rPr>
          <w:rFonts w:asciiTheme="majorHAnsi" w:hAnsiTheme="majorHAnsi"/>
          <w:b/>
          <w:spacing w:val="-6"/>
          <w:sz w:val="20"/>
          <w:szCs w:val="20"/>
          <w:lang w:val="en-US"/>
        </w:rPr>
        <w:t xml:space="preserve"> </w:t>
      </w:r>
      <w:r w:rsidRPr="004D2D14">
        <w:rPr>
          <w:rFonts w:asciiTheme="majorHAnsi" w:hAnsiTheme="majorHAnsi"/>
          <w:sz w:val="20"/>
          <w:szCs w:val="20"/>
          <w:lang w:val="en-US"/>
        </w:rPr>
        <w:t>–</w:t>
      </w:r>
    </w:p>
    <w:p w14:paraId="14852113"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GENERAL</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ENGINEERING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STANDARD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52529BC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Стандарт</w:t>
      </w:r>
      <w:r w:rsidRPr="004D2D14">
        <w:rPr>
          <w:rFonts w:asciiTheme="majorHAnsi" w:hAnsiTheme="majorHAnsi"/>
          <w:sz w:val="20"/>
          <w:szCs w:val="20"/>
          <w:lang w:val="en-US"/>
        </w:rPr>
        <w:t xml:space="preserve">, </w:t>
      </w:r>
      <w:r w:rsidRPr="000977F7">
        <w:rPr>
          <w:rFonts w:asciiTheme="majorHAnsi" w:hAnsiTheme="majorHAnsi"/>
          <w:sz w:val="20"/>
          <w:szCs w:val="20"/>
        </w:rPr>
        <w:t>який</w:t>
      </w:r>
      <w:r w:rsidRPr="004D2D14">
        <w:rPr>
          <w:rFonts w:asciiTheme="majorHAnsi" w:hAnsiTheme="majorHAnsi"/>
          <w:sz w:val="20"/>
          <w:szCs w:val="20"/>
          <w:lang w:val="en-US"/>
        </w:rPr>
        <w:t xml:space="preserve"> </w:t>
      </w:r>
      <w:r w:rsidRPr="000977F7">
        <w:rPr>
          <w:rFonts w:asciiTheme="majorHAnsi" w:hAnsiTheme="majorHAnsi"/>
          <w:sz w:val="20"/>
          <w:szCs w:val="20"/>
        </w:rPr>
        <w:t>визначає</w:t>
      </w:r>
      <w:r w:rsidRPr="004D2D14">
        <w:rPr>
          <w:rFonts w:asciiTheme="majorHAnsi" w:hAnsiTheme="majorHAnsi"/>
          <w:sz w:val="20"/>
          <w:szCs w:val="20"/>
          <w:lang w:val="en-US"/>
        </w:rPr>
        <w:t xml:space="preserve"> </w:t>
      </w:r>
      <w:r w:rsidRPr="000977F7">
        <w:rPr>
          <w:rFonts w:asciiTheme="majorHAnsi" w:hAnsiTheme="majorHAnsi"/>
          <w:sz w:val="20"/>
          <w:szCs w:val="20"/>
        </w:rPr>
        <w:t>вимоги</w:t>
      </w:r>
      <w:r w:rsidRPr="004D2D14">
        <w:rPr>
          <w:rFonts w:asciiTheme="majorHAnsi" w:hAnsiTheme="majorHAnsi"/>
          <w:sz w:val="20"/>
          <w:szCs w:val="20"/>
          <w:lang w:val="en-US"/>
        </w:rPr>
        <w:t xml:space="preserve"> </w:t>
      </w:r>
      <w:r w:rsidRPr="000977F7">
        <w:rPr>
          <w:rFonts w:asciiTheme="majorHAnsi" w:hAnsiTheme="majorHAnsi"/>
          <w:sz w:val="20"/>
          <w:szCs w:val="20"/>
        </w:rPr>
        <w:t>до</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єктів</w:t>
      </w:r>
      <w:r w:rsidRPr="004D2D14">
        <w:rPr>
          <w:rFonts w:asciiTheme="majorHAnsi" w:hAnsiTheme="majorHAnsi"/>
          <w:sz w:val="20"/>
          <w:szCs w:val="20"/>
          <w:lang w:val="en-US"/>
        </w:rPr>
        <w:t xml:space="preserve"> </w:t>
      </w:r>
      <w:r w:rsidRPr="000977F7">
        <w:rPr>
          <w:rFonts w:asciiTheme="majorHAnsi" w:hAnsiTheme="majorHAnsi"/>
          <w:sz w:val="20"/>
          <w:szCs w:val="20"/>
        </w:rPr>
        <w:t>загальнотехнічного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застосування</w:t>
      </w:r>
      <w:r w:rsidRPr="004D2D14">
        <w:rPr>
          <w:rFonts w:asciiTheme="majorHAnsi" w:hAnsiTheme="majorHAnsi"/>
          <w:sz w:val="20"/>
          <w:szCs w:val="20"/>
          <w:lang w:val="en-US"/>
        </w:rPr>
        <w:t xml:space="preserve">, </w:t>
      </w:r>
      <w:r w:rsidRPr="000977F7">
        <w:rPr>
          <w:rFonts w:asciiTheme="majorHAnsi" w:hAnsiTheme="majorHAnsi"/>
          <w:sz w:val="20"/>
          <w:szCs w:val="20"/>
        </w:rPr>
        <w:t>забезпечує</w:t>
      </w:r>
      <w:r w:rsidRPr="004D2D14">
        <w:rPr>
          <w:rFonts w:asciiTheme="majorHAnsi" w:hAnsiTheme="majorHAnsi"/>
          <w:spacing w:val="50"/>
          <w:sz w:val="20"/>
          <w:szCs w:val="20"/>
          <w:lang w:val="en-US"/>
        </w:rPr>
        <w:t xml:space="preserve"> </w:t>
      </w:r>
      <w:r w:rsidRPr="000977F7">
        <w:rPr>
          <w:rFonts w:asciiTheme="majorHAnsi" w:hAnsiTheme="majorHAnsi"/>
          <w:sz w:val="20"/>
          <w:szCs w:val="20"/>
        </w:rPr>
        <w:t>технічну</w:t>
      </w:r>
      <w:r w:rsidRPr="004D2D14">
        <w:rPr>
          <w:rFonts w:asciiTheme="majorHAnsi" w:hAnsiTheme="majorHAnsi"/>
          <w:sz w:val="20"/>
          <w:szCs w:val="20"/>
          <w:lang w:val="en-US"/>
        </w:rPr>
        <w:t xml:space="preserve"> </w:t>
      </w:r>
      <w:r w:rsidRPr="000977F7">
        <w:rPr>
          <w:rFonts w:asciiTheme="majorHAnsi" w:hAnsiTheme="majorHAnsi"/>
          <w:sz w:val="20"/>
          <w:szCs w:val="20"/>
        </w:rPr>
        <w:t>єдність</w:t>
      </w:r>
      <w:r w:rsidRPr="004D2D14">
        <w:rPr>
          <w:rFonts w:asciiTheme="majorHAnsi" w:hAnsiTheme="majorHAnsi"/>
          <w:spacing w:val="-48"/>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взаємозв</w:t>
      </w:r>
      <w:r w:rsidRPr="004D2D14">
        <w:rPr>
          <w:rFonts w:asciiTheme="majorHAnsi" w:hAnsiTheme="majorHAnsi"/>
          <w:sz w:val="20"/>
          <w:szCs w:val="20"/>
          <w:lang w:val="en-US"/>
        </w:rPr>
        <w:t>’</w:t>
      </w:r>
      <w:r w:rsidRPr="000977F7">
        <w:rPr>
          <w:rFonts w:asciiTheme="majorHAnsi" w:hAnsiTheme="majorHAnsi"/>
          <w:sz w:val="20"/>
          <w:szCs w:val="20"/>
        </w:rPr>
        <w:t>язок</w:t>
      </w:r>
      <w:r w:rsidRPr="004D2D14">
        <w:rPr>
          <w:rFonts w:asciiTheme="majorHAnsi" w:hAnsiTheme="majorHAnsi"/>
          <w:sz w:val="20"/>
          <w:szCs w:val="20"/>
          <w:lang w:val="en-US"/>
        </w:rPr>
        <w:t xml:space="preserve"> </w:t>
      </w:r>
      <w:r w:rsidRPr="000977F7">
        <w:rPr>
          <w:rFonts w:asciiTheme="majorHAnsi" w:hAnsiTheme="majorHAnsi"/>
          <w:sz w:val="20"/>
          <w:szCs w:val="20"/>
        </w:rPr>
        <w:t>різних</w:t>
      </w:r>
      <w:r w:rsidRPr="004D2D14">
        <w:rPr>
          <w:rFonts w:asciiTheme="majorHAnsi" w:hAnsiTheme="majorHAnsi"/>
          <w:sz w:val="20"/>
          <w:szCs w:val="20"/>
          <w:lang w:val="en-US"/>
        </w:rPr>
        <w:t xml:space="preserve"> </w:t>
      </w:r>
      <w:r w:rsidRPr="000977F7">
        <w:rPr>
          <w:rFonts w:asciiTheme="majorHAnsi" w:hAnsiTheme="majorHAnsi"/>
          <w:sz w:val="20"/>
          <w:szCs w:val="20"/>
        </w:rPr>
        <w:t>галузей</w:t>
      </w:r>
      <w:r w:rsidRPr="004D2D14">
        <w:rPr>
          <w:rFonts w:asciiTheme="majorHAnsi" w:hAnsiTheme="majorHAnsi"/>
          <w:sz w:val="20"/>
          <w:szCs w:val="20"/>
          <w:lang w:val="en-US"/>
        </w:rPr>
        <w:t xml:space="preserve"> </w:t>
      </w:r>
      <w:r w:rsidRPr="000977F7">
        <w:rPr>
          <w:rFonts w:asciiTheme="majorHAnsi" w:hAnsiTheme="majorHAnsi"/>
          <w:sz w:val="20"/>
          <w:szCs w:val="20"/>
        </w:rPr>
        <w:t>науки</w:t>
      </w:r>
      <w:r w:rsidRPr="004D2D14">
        <w:rPr>
          <w:rFonts w:asciiTheme="majorHAnsi" w:hAnsiTheme="majorHAnsi"/>
          <w:sz w:val="20"/>
          <w:szCs w:val="20"/>
          <w:lang w:val="en-US"/>
        </w:rPr>
        <w:t xml:space="preserve">, </w:t>
      </w:r>
      <w:r w:rsidRPr="000977F7">
        <w:rPr>
          <w:rFonts w:asciiTheme="majorHAnsi" w:hAnsiTheme="majorHAnsi"/>
          <w:sz w:val="20"/>
          <w:szCs w:val="20"/>
        </w:rPr>
        <w:t>техніки</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виробництва</w:t>
      </w:r>
      <w:r w:rsidRPr="004D2D14">
        <w:rPr>
          <w:rFonts w:asciiTheme="majorHAnsi" w:hAnsiTheme="majorHAnsi"/>
          <w:sz w:val="20"/>
          <w:szCs w:val="20"/>
          <w:lang w:val="en-US"/>
        </w:rPr>
        <w:t xml:space="preserve"> (</w:t>
      </w:r>
      <w:r w:rsidRPr="000977F7">
        <w:rPr>
          <w:rFonts w:asciiTheme="majorHAnsi" w:hAnsiTheme="majorHAnsi"/>
          <w:sz w:val="20"/>
          <w:szCs w:val="20"/>
        </w:rPr>
        <w:t>одиниці</w:t>
      </w:r>
      <w:r w:rsidRPr="004D2D14">
        <w:rPr>
          <w:rFonts w:asciiTheme="majorHAnsi" w:hAnsiTheme="majorHAnsi"/>
          <w:sz w:val="20"/>
          <w:szCs w:val="20"/>
          <w:lang w:val="en-US"/>
        </w:rPr>
        <w:t xml:space="preserve"> </w:t>
      </w:r>
      <w:r w:rsidRPr="000977F7">
        <w:rPr>
          <w:rFonts w:asciiTheme="majorHAnsi" w:hAnsiTheme="majorHAnsi"/>
          <w:sz w:val="20"/>
          <w:szCs w:val="20"/>
        </w:rPr>
        <w:t>фізичних</w:t>
      </w:r>
      <w:r w:rsidRPr="004D2D14">
        <w:rPr>
          <w:rFonts w:asciiTheme="majorHAnsi" w:hAnsiTheme="majorHAnsi"/>
          <w:sz w:val="20"/>
          <w:szCs w:val="20"/>
          <w:lang w:val="en-US"/>
        </w:rPr>
        <w:t xml:space="preserve"> </w:t>
      </w:r>
      <w:r w:rsidRPr="000977F7">
        <w:rPr>
          <w:rFonts w:asciiTheme="majorHAnsi" w:hAnsiTheme="majorHAnsi"/>
          <w:sz w:val="20"/>
          <w:szCs w:val="20"/>
        </w:rPr>
        <w:t>величин</w:t>
      </w:r>
      <w:r w:rsidRPr="004D2D14">
        <w:rPr>
          <w:rFonts w:asciiTheme="majorHAnsi" w:hAnsiTheme="majorHAnsi"/>
          <w:sz w:val="20"/>
          <w:szCs w:val="20"/>
          <w:lang w:val="en-US"/>
        </w:rPr>
        <w:t xml:space="preserve">, </w:t>
      </w:r>
      <w:r w:rsidRPr="000977F7">
        <w:rPr>
          <w:rFonts w:asciiTheme="majorHAnsi" w:hAnsiTheme="majorHAnsi"/>
          <w:sz w:val="20"/>
          <w:szCs w:val="20"/>
        </w:rPr>
        <w:t>точність</w:t>
      </w:r>
      <w:r w:rsidRPr="004D2D14">
        <w:rPr>
          <w:rFonts w:asciiTheme="majorHAnsi" w:hAnsiTheme="majorHAnsi"/>
          <w:sz w:val="20"/>
          <w:szCs w:val="20"/>
          <w:lang w:val="en-US"/>
        </w:rPr>
        <w:t xml:space="preserve"> </w:t>
      </w:r>
      <w:r w:rsidRPr="000977F7">
        <w:rPr>
          <w:rFonts w:asciiTheme="majorHAnsi" w:hAnsiTheme="majorHAnsi"/>
          <w:sz w:val="20"/>
          <w:szCs w:val="20"/>
        </w:rPr>
        <w:t>вимірювань</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допуски</w:t>
      </w:r>
      <w:r w:rsidRPr="004D2D14">
        <w:rPr>
          <w:rFonts w:asciiTheme="majorHAnsi" w:hAnsiTheme="majorHAnsi"/>
          <w:spacing w:val="-1"/>
          <w:sz w:val="20"/>
          <w:szCs w:val="20"/>
          <w:lang w:val="en-US"/>
        </w:rPr>
        <w:t xml:space="preserve"> </w:t>
      </w:r>
      <w:r w:rsidRPr="000977F7">
        <w:rPr>
          <w:rFonts w:asciiTheme="majorHAnsi" w:hAnsiTheme="majorHAnsi"/>
          <w:sz w:val="20"/>
          <w:szCs w:val="20"/>
        </w:rPr>
        <w:t>і</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посадки</w:t>
      </w:r>
      <w:r w:rsidRPr="004D2D14">
        <w:rPr>
          <w:rFonts w:asciiTheme="majorHAnsi" w:hAnsiTheme="majorHAnsi"/>
          <w:spacing w:val="-2"/>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ін</w:t>
      </w:r>
      <w:r w:rsidRPr="004D2D14">
        <w:rPr>
          <w:rFonts w:asciiTheme="majorHAnsi" w:hAnsiTheme="majorHAnsi"/>
          <w:sz w:val="20"/>
          <w:szCs w:val="20"/>
          <w:lang w:val="en-US"/>
        </w:rPr>
        <w:t>.)</w:t>
      </w:r>
    </w:p>
    <w:p w14:paraId="4630401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ЗАГАЛЬНОТОКСИЧНЕ</w:t>
      </w:r>
      <w:r w:rsidRPr="000977F7">
        <w:rPr>
          <w:color w:val="auto"/>
          <w:spacing w:val="-6"/>
          <w:sz w:val="20"/>
          <w:szCs w:val="20"/>
        </w:rPr>
        <w:t xml:space="preserve"> </w:t>
      </w:r>
      <w:r w:rsidRPr="000977F7">
        <w:rPr>
          <w:color w:val="auto"/>
          <w:sz w:val="20"/>
          <w:szCs w:val="20"/>
        </w:rPr>
        <w:t>ДІЯННЯ</w:t>
      </w:r>
      <w:r w:rsidRPr="000977F7">
        <w:rPr>
          <w:color w:val="auto"/>
          <w:spacing w:val="-3"/>
          <w:sz w:val="20"/>
          <w:szCs w:val="20"/>
        </w:rPr>
        <w:t xml:space="preserve"> </w:t>
      </w:r>
      <w:r w:rsidRPr="000977F7">
        <w:rPr>
          <w:color w:val="auto"/>
          <w:sz w:val="20"/>
          <w:szCs w:val="20"/>
        </w:rPr>
        <w:t>—</w:t>
      </w:r>
    </w:p>
    <w:p w14:paraId="4417C82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SYSTEMIC</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EFFECT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5F65C46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Зміни</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ряді</w:t>
      </w:r>
      <w:r w:rsidRPr="004D2D14">
        <w:rPr>
          <w:rFonts w:asciiTheme="majorHAnsi" w:hAnsiTheme="majorHAnsi"/>
          <w:sz w:val="20"/>
          <w:szCs w:val="20"/>
          <w:lang w:val="en-US"/>
        </w:rPr>
        <w:t xml:space="preserve"> </w:t>
      </w:r>
      <w:r w:rsidRPr="000977F7">
        <w:rPr>
          <w:rFonts w:asciiTheme="majorHAnsi" w:hAnsiTheme="majorHAnsi"/>
          <w:sz w:val="20"/>
          <w:szCs w:val="20"/>
        </w:rPr>
        <w:t>органів</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систем</w:t>
      </w:r>
      <w:r w:rsidRPr="004D2D14">
        <w:rPr>
          <w:rFonts w:asciiTheme="majorHAnsi" w:hAnsiTheme="majorHAnsi"/>
          <w:sz w:val="20"/>
          <w:szCs w:val="20"/>
          <w:lang w:val="en-US"/>
        </w:rPr>
        <w:t xml:space="preserve"> </w:t>
      </w:r>
      <w:r w:rsidRPr="000977F7">
        <w:rPr>
          <w:rFonts w:asciiTheme="majorHAnsi" w:hAnsiTheme="majorHAnsi"/>
          <w:sz w:val="20"/>
          <w:szCs w:val="20"/>
        </w:rPr>
        <w:t>організму</w:t>
      </w:r>
      <w:r w:rsidRPr="004D2D14">
        <w:rPr>
          <w:rFonts w:asciiTheme="majorHAnsi" w:hAnsiTheme="majorHAnsi"/>
          <w:sz w:val="20"/>
          <w:szCs w:val="20"/>
          <w:lang w:val="en-US"/>
        </w:rPr>
        <w:t xml:space="preserve"> </w:t>
      </w:r>
      <w:r w:rsidRPr="000977F7">
        <w:rPr>
          <w:rFonts w:asciiTheme="majorHAnsi" w:hAnsiTheme="majorHAnsi"/>
          <w:sz w:val="20"/>
          <w:szCs w:val="20"/>
        </w:rPr>
        <w:t>під</w:t>
      </w:r>
      <w:r w:rsidRPr="004D2D14">
        <w:rPr>
          <w:rFonts w:asciiTheme="majorHAnsi" w:hAnsiTheme="majorHAnsi"/>
          <w:sz w:val="20"/>
          <w:szCs w:val="20"/>
          <w:lang w:val="en-US"/>
        </w:rPr>
        <w:t xml:space="preserve"> </w:t>
      </w:r>
      <w:r w:rsidRPr="000977F7">
        <w:rPr>
          <w:rFonts w:asciiTheme="majorHAnsi" w:hAnsiTheme="majorHAnsi"/>
          <w:sz w:val="20"/>
          <w:szCs w:val="20"/>
        </w:rPr>
        <w:t>дією</w:t>
      </w:r>
      <w:r w:rsidRPr="004D2D14">
        <w:rPr>
          <w:rFonts w:asciiTheme="majorHAnsi" w:hAnsiTheme="majorHAnsi"/>
          <w:sz w:val="20"/>
          <w:szCs w:val="20"/>
          <w:lang w:val="en-US"/>
        </w:rPr>
        <w:t xml:space="preserve"> </w:t>
      </w:r>
      <w:r w:rsidRPr="000977F7">
        <w:rPr>
          <w:rFonts w:asciiTheme="majorHAnsi" w:hAnsiTheme="majorHAnsi"/>
          <w:sz w:val="20"/>
          <w:szCs w:val="20"/>
        </w:rPr>
        <w:t>отруйних</w:t>
      </w:r>
      <w:r w:rsidRPr="004D2D14">
        <w:rPr>
          <w:rFonts w:asciiTheme="majorHAnsi" w:hAnsiTheme="majorHAnsi"/>
          <w:sz w:val="20"/>
          <w:szCs w:val="20"/>
          <w:lang w:val="en-US"/>
        </w:rPr>
        <w:t xml:space="preserve"> </w:t>
      </w:r>
      <w:r w:rsidRPr="000977F7">
        <w:rPr>
          <w:rFonts w:asciiTheme="majorHAnsi" w:hAnsiTheme="majorHAnsi"/>
          <w:sz w:val="20"/>
          <w:szCs w:val="20"/>
        </w:rPr>
        <w:t>речовин</w:t>
      </w:r>
      <w:r w:rsidRPr="004D2D14">
        <w:rPr>
          <w:rFonts w:asciiTheme="majorHAnsi" w:hAnsiTheme="majorHAnsi"/>
          <w:sz w:val="20"/>
          <w:szCs w:val="20"/>
          <w:lang w:val="en-US"/>
        </w:rPr>
        <w:t xml:space="preserve">, </w:t>
      </w:r>
      <w:r w:rsidRPr="000977F7">
        <w:rPr>
          <w:rFonts w:asciiTheme="majorHAnsi" w:hAnsiTheme="majorHAnsi"/>
          <w:sz w:val="20"/>
          <w:szCs w:val="20"/>
        </w:rPr>
        <w:t>які</w:t>
      </w:r>
      <w:r w:rsidRPr="004D2D14">
        <w:rPr>
          <w:rFonts w:asciiTheme="majorHAnsi" w:hAnsiTheme="majorHAnsi"/>
          <w:sz w:val="20"/>
          <w:szCs w:val="20"/>
          <w:lang w:val="en-US"/>
        </w:rPr>
        <w:t xml:space="preserve"> </w:t>
      </w:r>
      <w:r w:rsidRPr="000977F7">
        <w:rPr>
          <w:rFonts w:asciiTheme="majorHAnsi" w:hAnsiTheme="majorHAnsi"/>
          <w:sz w:val="20"/>
          <w:szCs w:val="20"/>
        </w:rPr>
        <w:t>виникають</w:t>
      </w:r>
      <w:r w:rsidRPr="004D2D14">
        <w:rPr>
          <w:rFonts w:asciiTheme="majorHAnsi" w:hAnsiTheme="majorHAnsi"/>
          <w:sz w:val="20"/>
          <w:szCs w:val="20"/>
          <w:lang w:val="en-US"/>
        </w:rPr>
        <w:t xml:space="preserve"> </w:t>
      </w:r>
      <w:r w:rsidRPr="000977F7">
        <w:rPr>
          <w:rFonts w:asciiTheme="majorHAnsi" w:hAnsiTheme="majorHAnsi"/>
          <w:sz w:val="20"/>
          <w:szCs w:val="20"/>
        </w:rPr>
        <w:t>одночасно</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однаково</w:t>
      </w:r>
      <w:r w:rsidRPr="004D2D14">
        <w:rPr>
          <w:rFonts w:asciiTheme="majorHAnsi" w:hAnsiTheme="majorHAnsi"/>
          <w:spacing w:val="1"/>
          <w:sz w:val="20"/>
          <w:szCs w:val="20"/>
          <w:lang w:val="en-US"/>
        </w:rPr>
        <w:t xml:space="preserve"> </w:t>
      </w:r>
      <w:r w:rsidRPr="000977F7">
        <w:rPr>
          <w:rFonts w:asciiTheme="majorHAnsi" w:hAnsiTheme="majorHAnsi"/>
          <w:sz w:val="20"/>
          <w:szCs w:val="20"/>
        </w:rPr>
        <w:t>небезпечні</w:t>
      </w:r>
      <w:r w:rsidRPr="004D2D14">
        <w:rPr>
          <w:rFonts w:asciiTheme="majorHAnsi" w:hAnsiTheme="majorHAnsi"/>
          <w:spacing w:val="-2"/>
          <w:sz w:val="20"/>
          <w:szCs w:val="20"/>
          <w:lang w:val="en-US"/>
        </w:rPr>
        <w:t xml:space="preserve"> </w:t>
      </w:r>
      <w:r w:rsidRPr="000977F7">
        <w:rPr>
          <w:rFonts w:asciiTheme="majorHAnsi" w:hAnsiTheme="majorHAnsi"/>
          <w:sz w:val="20"/>
          <w:szCs w:val="20"/>
        </w:rPr>
        <w:t>для</w:t>
      </w:r>
      <w:r w:rsidRPr="004D2D14">
        <w:rPr>
          <w:rFonts w:asciiTheme="majorHAnsi" w:hAnsiTheme="majorHAnsi"/>
          <w:spacing w:val="2"/>
          <w:sz w:val="20"/>
          <w:szCs w:val="20"/>
          <w:lang w:val="en-US"/>
        </w:rPr>
        <w:t xml:space="preserve"> </w:t>
      </w:r>
      <w:r w:rsidRPr="000977F7">
        <w:rPr>
          <w:rFonts w:asciiTheme="majorHAnsi" w:hAnsiTheme="majorHAnsi"/>
          <w:sz w:val="20"/>
          <w:szCs w:val="20"/>
        </w:rPr>
        <w:t>нього</w:t>
      </w:r>
    </w:p>
    <w:p w14:paraId="5E2B72A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3038</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43DAAAC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ЗАГОЛОВОК</w:t>
      </w:r>
      <w:r w:rsidRPr="000977F7">
        <w:rPr>
          <w:color w:val="auto"/>
          <w:spacing w:val="-5"/>
          <w:sz w:val="20"/>
          <w:szCs w:val="20"/>
        </w:rPr>
        <w:t xml:space="preserve"> </w:t>
      </w:r>
      <w:r w:rsidRPr="000977F7">
        <w:rPr>
          <w:color w:val="auto"/>
          <w:sz w:val="20"/>
          <w:szCs w:val="20"/>
        </w:rPr>
        <w:t>СТАНДАРТУ</w:t>
      </w:r>
      <w:r w:rsidRPr="000977F7">
        <w:rPr>
          <w:color w:val="auto"/>
          <w:spacing w:val="-1"/>
          <w:sz w:val="20"/>
          <w:szCs w:val="20"/>
        </w:rPr>
        <w:t xml:space="preserve"> </w:t>
      </w:r>
      <w:r w:rsidRPr="000977F7">
        <w:rPr>
          <w:color w:val="auto"/>
          <w:sz w:val="20"/>
          <w:szCs w:val="20"/>
        </w:rPr>
        <w:t>–</w:t>
      </w:r>
    </w:p>
    <w:p w14:paraId="36D6E8B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MAIN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FART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THE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TITLE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STANDARD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6DAA8C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Основна частина назви стандарту, в якій наведені необхідні</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достатні</w:t>
      </w:r>
      <w:r w:rsidRPr="000977F7">
        <w:rPr>
          <w:rFonts w:asciiTheme="majorHAnsi" w:hAnsiTheme="majorHAnsi"/>
          <w:spacing w:val="1"/>
          <w:sz w:val="20"/>
          <w:szCs w:val="20"/>
        </w:rPr>
        <w:t xml:space="preserve"> </w:t>
      </w:r>
      <w:r w:rsidRPr="000977F7">
        <w:rPr>
          <w:rFonts w:asciiTheme="majorHAnsi" w:hAnsiTheme="majorHAnsi"/>
          <w:sz w:val="20"/>
          <w:szCs w:val="20"/>
        </w:rPr>
        <w:t>ознаки,</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відрізняють</w:t>
      </w:r>
      <w:r w:rsidRPr="000977F7">
        <w:rPr>
          <w:rFonts w:asciiTheme="majorHAnsi" w:hAnsiTheme="majorHAnsi"/>
          <w:spacing w:val="50"/>
          <w:sz w:val="20"/>
          <w:szCs w:val="20"/>
        </w:rPr>
        <w:t xml:space="preserve"> </w:t>
      </w:r>
      <w:r w:rsidRPr="000977F7">
        <w:rPr>
          <w:rFonts w:asciiTheme="majorHAnsi" w:hAnsiTheme="majorHAnsi"/>
          <w:sz w:val="20"/>
          <w:szCs w:val="20"/>
        </w:rPr>
        <w:t>даний</w:t>
      </w:r>
      <w:r w:rsidRPr="000977F7">
        <w:rPr>
          <w:rFonts w:asciiTheme="majorHAnsi" w:hAnsiTheme="majorHAnsi"/>
          <w:spacing w:val="1"/>
          <w:sz w:val="20"/>
          <w:szCs w:val="20"/>
        </w:rPr>
        <w:t xml:space="preserve"> </w:t>
      </w:r>
      <w:r w:rsidRPr="000977F7">
        <w:rPr>
          <w:rFonts w:asciiTheme="majorHAnsi" w:hAnsiTheme="majorHAnsi"/>
          <w:sz w:val="20"/>
          <w:szCs w:val="20"/>
        </w:rPr>
        <w:t>об’єкт</w:t>
      </w:r>
      <w:r w:rsidRPr="000977F7">
        <w:rPr>
          <w:rFonts w:asciiTheme="majorHAnsi" w:hAnsiTheme="majorHAnsi"/>
          <w:spacing w:val="-2"/>
          <w:sz w:val="20"/>
          <w:szCs w:val="20"/>
        </w:rPr>
        <w:t xml:space="preserve"> </w:t>
      </w:r>
      <w:r w:rsidRPr="000977F7">
        <w:rPr>
          <w:rFonts w:asciiTheme="majorHAnsi" w:hAnsiTheme="majorHAnsi"/>
          <w:sz w:val="20"/>
          <w:szCs w:val="20"/>
        </w:rPr>
        <w:t>від</w:t>
      </w:r>
      <w:r w:rsidRPr="000977F7">
        <w:rPr>
          <w:rFonts w:asciiTheme="majorHAnsi" w:hAnsiTheme="majorHAnsi"/>
          <w:spacing w:val="-2"/>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об’єктів</w:t>
      </w:r>
      <w:r w:rsidRPr="000977F7">
        <w:rPr>
          <w:rFonts w:asciiTheme="majorHAnsi" w:hAnsiTheme="majorHAnsi"/>
          <w:spacing w:val="-2"/>
          <w:sz w:val="20"/>
          <w:szCs w:val="20"/>
        </w:rPr>
        <w:t xml:space="preserve"> </w:t>
      </w:r>
      <w:r w:rsidRPr="000977F7">
        <w:rPr>
          <w:rFonts w:asciiTheme="majorHAnsi" w:hAnsiTheme="majorHAnsi"/>
          <w:sz w:val="20"/>
          <w:szCs w:val="20"/>
        </w:rPr>
        <w:t>стандартизації</w:t>
      </w:r>
    </w:p>
    <w:p w14:paraId="42DAD4B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ЗАГОТОВКА</w:t>
      </w:r>
      <w:r w:rsidRPr="000977F7">
        <w:rPr>
          <w:color w:val="auto"/>
          <w:spacing w:val="-3"/>
          <w:sz w:val="20"/>
          <w:szCs w:val="20"/>
        </w:rPr>
        <w:t xml:space="preserve"> </w:t>
      </w:r>
      <w:r w:rsidRPr="000977F7">
        <w:rPr>
          <w:color w:val="auto"/>
          <w:sz w:val="20"/>
          <w:szCs w:val="20"/>
        </w:rPr>
        <w:t>–</w:t>
      </w:r>
    </w:p>
    <w:p w14:paraId="601E7E1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BLANK</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0CD71E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Предмет праці, з якого шляхом зміни форми, розмірів,</w:t>
      </w:r>
      <w:r w:rsidRPr="000977F7">
        <w:rPr>
          <w:rFonts w:asciiTheme="majorHAnsi" w:hAnsiTheme="majorHAnsi"/>
          <w:spacing w:val="-47"/>
          <w:sz w:val="20"/>
          <w:szCs w:val="20"/>
        </w:rPr>
        <w:t xml:space="preserve"> </w:t>
      </w:r>
      <w:r w:rsidRPr="000977F7">
        <w:rPr>
          <w:rFonts w:asciiTheme="majorHAnsi" w:hAnsiTheme="majorHAnsi"/>
          <w:sz w:val="20"/>
          <w:szCs w:val="20"/>
        </w:rPr>
        <w:t xml:space="preserve">властивостей поверхні та (чи) матеріалу виготовляють </w:t>
      </w:r>
      <w:r w:rsidRPr="000977F7">
        <w:rPr>
          <w:rFonts w:asciiTheme="majorHAnsi" w:hAnsiTheme="majorHAnsi"/>
          <w:spacing w:val="-47"/>
          <w:sz w:val="20"/>
          <w:szCs w:val="20"/>
        </w:rPr>
        <w:t xml:space="preserve"> </w:t>
      </w:r>
      <w:r w:rsidRPr="000977F7">
        <w:rPr>
          <w:rFonts w:asciiTheme="majorHAnsi" w:hAnsiTheme="majorHAnsi"/>
          <w:sz w:val="20"/>
          <w:szCs w:val="20"/>
        </w:rPr>
        <w:t>деталь</w:t>
      </w:r>
    </w:p>
    <w:p w14:paraId="33A6DF4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2391:2010</w:t>
      </w:r>
    </w:p>
    <w:p w14:paraId="23D1B67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ЗАДАВАЛЬНЕ</w:t>
      </w:r>
      <w:r w:rsidRPr="000977F7">
        <w:rPr>
          <w:color w:val="auto"/>
          <w:spacing w:val="-5"/>
          <w:sz w:val="20"/>
          <w:szCs w:val="20"/>
        </w:rPr>
        <w:t xml:space="preserve"> </w:t>
      </w:r>
      <w:r w:rsidRPr="000977F7">
        <w:rPr>
          <w:color w:val="auto"/>
          <w:sz w:val="20"/>
          <w:szCs w:val="20"/>
        </w:rPr>
        <w:t>ДІЯННЯ -</w:t>
      </w:r>
    </w:p>
    <w:p w14:paraId="3F51A1C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SETTING</w:t>
      </w:r>
      <w:r w:rsidRPr="000977F7">
        <w:rPr>
          <w:rFonts w:asciiTheme="majorHAnsi" w:hAnsiTheme="majorHAnsi"/>
          <w:spacing w:val="-2"/>
          <w:sz w:val="20"/>
          <w:szCs w:val="20"/>
        </w:rPr>
        <w:t xml:space="preserve"> </w:t>
      </w:r>
      <w:r w:rsidRPr="000977F7">
        <w:rPr>
          <w:rFonts w:asciiTheme="majorHAnsi" w:hAnsiTheme="majorHAnsi"/>
          <w:sz w:val="20"/>
          <w:szCs w:val="20"/>
        </w:rPr>
        <w:t>ACTION -</w:t>
      </w:r>
    </w:p>
    <w:p w14:paraId="39B787F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Діяння на керівний об’єкт, організоване, щоб вказати</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змінити</w:t>
      </w:r>
      <w:r w:rsidRPr="000977F7">
        <w:rPr>
          <w:rFonts w:asciiTheme="majorHAnsi" w:hAnsiTheme="majorHAnsi"/>
          <w:spacing w:val="-1"/>
          <w:sz w:val="20"/>
          <w:szCs w:val="20"/>
        </w:rPr>
        <w:t xml:space="preserve"> </w:t>
      </w:r>
      <w:r w:rsidRPr="000977F7">
        <w:rPr>
          <w:rFonts w:asciiTheme="majorHAnsi" w:hAnsiTheme="majorHAnsi"/>
          <w:sz w:val="20"/>
          <w:szCs w:val="20"/>
        </w:rPr>
        <w:t>мету</w:t>
      </w:r>
      <w:r w:rsidRPr="000977F7">
        <w:rPr>
          <w:rFonts w:asciiTheme="majorHAnsi" w:hAnsiTheme="majorHAnsi"/>
          <w:spacing w:val="-1"/>
          <w:sz w:val="20"/>
          <w:szCs w:val="20"/>
        </w:rPr>
        <w:t xml:space="preserve"> </w:t>
      </w:r>
      <w:r w:rsidRPr="000977F7">
        <w:rPr>
          <w:rFonts w:asciiTheme="majorHAnsi" w:hAnsiTheme="majorHAnsi"/>
          <w:sz w:val="20"/>
          <w:szCs w:val="20"/>
        </w:rPr>
        <w:t>керування</w:t>
      </w:r>
    </w:p>
    <w:p w14:paraId="50E7C53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668537C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ЗАДАВАЛЬНИЙ</w:t>
      </w:r>
      <w:r w:rsidRPr="000977F7">
        <w:rPr>
          <w:color w:val="auto"/>
          <w:spacing w:val="-4"/>
          <w:sz w:val="20"/>
          <w:szCs w:val="20"/>
        </w:rPr>
        <w:t xml:space="preserve"> </w:t>
      </w:r>
      <w:r w:rsidRPr="000977F7">
        <w:rPr>
          <w:color w:val="auto"/>
          <w:sz w:val="20"/>
          <w:szCs w:val="20"/>
        </w:rPr>
        <w:t>СИГНАЛ-</w:t>
      </w:r>
    </w:p>
    <w:p w14:paraId="1FB8B51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SETING</w:t>
      </w:r>
      <w:r w:rsidRPr="000977F7">
        <w:rPr>
          <w:rFonts w:asciiTheme="majorHAnsi" w:hAnsiTheme="majorHAnsi"/>
          <w:spacing w:val="-2"/>
          <w:sz w:val="20"/>
          <w:szCs w:val="20"/>
        </w:rPr>
        <w:t xml:space="preserve"> </w:t>
      </w:r>
      <w:r w:rsidRPr="000977F7">
        <w:rPr>
          <w:rFonts w:asciiTheme="majorHAnsi" w:hAnsiTheme="majorHAnsi"/>
          <w:sz w:val="20"/>
          <w:szCs w:val="20"/>
        </w:rPr>
        <w:t>SIGNAL-</w:t>
      </w:r>
    </w:p>
    <w:p w14:paraId="0C08F6C0"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Сигнал,</w:t>
      </w:r>
      <w:r w:rsidRPr="000977F7">
        <w:rPr>
          <w:rFonts w:asciiTheme="majorHAnsi" w:hAnsiTheme="majorHAnsi"/>
          <w:spacing w:val="2"/>
          <w:sz w:val="20"/>
          <w:szCs w:val="20"/>
        </w:rPr>
        <w:t xml:space="preserve"> </w:t>
      </w:r>
      <w:r w:rsidRPr="000977F7">
        <w:rPr>
          <w:rFonts w:asciiTheme="majorHAnsi" w:hAnsiTheme="majorHAnsi"/>
          <w:sz w:val="20"/>
          <w:szCs w:val="20"/>
        </w:rPr>
        <w:t>який</w:t>
      </w:r>
      <w:r w:rsidRPr="000977F7">
        <w:rPr>
          <w:rFonts w:asciiTheme="majorHAnsi" w:hAnsiTheme="majorHAnsi"/>
          <w:spacing w:val="3"/>
          <w:sz w:val="20"/>
          <w:szCs w:val="20"/>
        </w:rPr>
        <w:t xml:space="preserve"> </w:t>
      </w:r>
      <w:r w:rsidRPr="000977F7">
        <w:rPr>
          <w:rFonts w:asciiTheme="majorHAnsi" w:hAnsiTheme="majorHAnsi"/>
          <w:sz w:val="20"/>
          <w:szCs w:val="20"/>
        </w:rPr>
        <w:t>пересилає</w:t>
      </w:r>
      <w:r w:rsidRPr="000977F7">
        <w:rPr>
          <w:rFonts w:asciiTheme="majorHAnsi" w:hAnsiTheme="majorHAnsi"/>
          <w:spacing w:val="4"/>
          <w:sz w:val="20"/>
          <w:szCs w:val="20"/>
        </w:rPr>
        <w:t xml:space="preserve"> </w:t>
      </w:r>
      <w:r w:rsidRPr="000977F7">
        <w:rPr>
          <w:rFonts w:asciiTheme="majorHAnsi" w:hAnsiTheme="majorHAnsi"/>
          <w:sz w:val="20"/>
          <w:szCs w:val="20"/>
        </w:rPr>
        <w:t>дані</w:t>
      </w:r>
      <w:r w:rsidRPr="000977F7">
        <w:rPr>
          <w:rFonts w:asciiTheme="majorHAnsi" w:hAnsiTheme="majorHAnsi"/>
          <w:spacing w:val="4"/>
          <w:sz w:val="20"/>
          <w:szCs w:val="20"/>
        </w:rPr>
        <w:t xml:space="preserve"> </w:t>
      </w:r>
      <w:r w:rsidRPr="000977F7">
        <w:rPr>
          <w:rFonts w:asciiTheme="majorHAnsi" w:hAnsiTheme="majorHAnsi"/>
          <w:sz w:val="20"/>
          <w:szCs w:val="20"/>
        </w:rPr>
        <w:t>про</w:t>
      </w:r>
      <w:r w:rsidRPr="000977F7">
        <w:rPr>
          <w:rFonts w:asciiTheme="majorHAnsi" w:hAnsiTheme="majorHAnsi"/>
          <w:spacing w:val="3"/>
          <w:sz w:val="20"/>
          <w:szCs w:val="20"/>
        </w:rPr>
        <w:t xml:space="preserve"> </w:t>
      </w:r>
      <w:r w:rsidRPr="000977F7">
        <w:rPr>
          <w:rFonts w:asciiTheme="majorHAnsi" w:hAnsiTheme="majorHAnsi"/>
          <w:sz w:val="20"/>
          <w:szCs w:val="20"/>
        </w:rPr>
        <w:t>мету</w:t>
      </w:r>
      <w:r w:rsidRPr="000977F7">
        <w:rPr>
          <w:rFonts w:asciiTheme="majorHAnsi" w:hAnsiTheme="majorHAnsi"/>
          <w:spacing w:val="1"/>
          <w:sz w:val="20"/>
          <w:szCs w:val="20"/>
        </w:rPr>
        <w:t xml:space="preserve"> </w:t>
      </w:r>
      <w:r w:rsidRPr="000977F7">
        <w:rPr>
          <w:rFonts w:asciiTheme="majorHAnsi" w:hAnsiTheme="majorHAnsi"/>
          <w:sz w:val="20"/>
          <w:szCs w:val="20"/>
        </w:rPr>
        <w:t>керування:</w:t>
      </w:r>
      <w:r w:rsidRPr="000977F7">
        <w:rPr>
          <w:rFonts w:asciiTheme="majorHAnsi" w:hAnsiTheme="majorHAnsi"/>
          <w:spacing w:val="1"/>
          <w:sz w:val="20"/>
          <w:szCs w:val="20"/>
        </w:rPr>
        <w:t xml:space="preserve"> </w:t>
      </w:r>
      <w:r w:rsidRPr="000977F7">
        <w:rPr>
          <w:rFonts w:asciiTheme="majorHAnsi" w:hAnsiTheme="majorHAnsi"/>
          <w:sz w:val="20"/>
          <w:szCs w:val="20"/>
        </w:rPr>
        <w:t>задає</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співвідношення</w:t>
      </w:r>
      <w:r w:rsidRPr="000977F7">
        <w:rPr>
          <w:rFonts w:asciiTheme="majorHAnsi" w:hAnsiTheme="majorHAnsi"/>
          <w:spacing w:val="1"/>
          <w:sz w:val="20"/>
          <w:szCs w:val="20"/>
        </w:rPr>
        <w:t xml:space="preserve"> </w:t>
      </w:r>
      <w:r w:rsidRPr="000977F7">
        <w:rPr>
          <w:rFonts w:asciiTheme="majorHAnsi" w:hAnsiTheme="majorHAnsi"/>
          <w:sz w:val="20"/>
          <w:szCs w:val="20"/>
        </w:rPr>
        <w:t>значень</w:t>
      </w:r>
      <w:r w:rsidRPr="000977F7">
        <w:rPr>
          <w:rFonts w:asciiTheme="majorHAnsi" w:hAnsiTheme="majorHAnsi"/>
          <w:spacing w:val="1"/>
          <w:sz w:val="20"/>
          <w:szCs w:val="20"/>
        </w:rPr>
        <w:t xml:space="preserve"> </w:t>
      </w:r>
      <w:r w:rsidRPr="000977F7">
        <w:rPr>
          <w:rFonts w:asciiTheme="majorHAnsi" w:hAnsiTheme="majorHAnsi"/>
          <w:sz w:val="20"/>
          <w:szCs w:val="20"/>
        </w:rPr>
        <w:t>параметрів</w:t>
      </w:r>
      <w:r w:rsidRPr="000977F7">
        <w:rPr>
          <w:rFonts w:asciiTheme="majorHAnsi" w:hAnsiTheme="majorHAnsi"/>
          <w:spacing w:val="1"/>
          <w:sz w:val="20"/>
          <w:szCs w:val="20"/>
        </w:rPr>
        <w:t xml:space="preserve"> </w:t>
      </w:r>
      <w:r w:rsidRPr="000977F7">
        <w:rPr>
          <w:rFonts w:asciiTheme="majorHAnsi" w:hAnsiTheme="majorHAnsi"/>
          <w:sz w:val="20"/>
          <w:szCs w:val="20"/>
        </w:rPr>
        <w:t>керованого</w:t>
      </w:r>
      <w:r w:rsidRPr="000977F7">
        <w:rPr>
          <w:rFonts w:asciiTheme="majorHAnsi" w:hAnsiTheme="majorHAnsi"/>
          <w:spacing w:val="7"/>
          <w:sz w:val="20"/>
          <w:szCs w:val="20"/>
        </w:rPr>
        <w:t xml:space="preserve"> </w:t>
      </w:r>
      <w:r w:rsidRPr="000977F7">
        <w:rPr>
          <w:rFonts w:asciiTheme="majorHAnsi" w:hAnsiTheme="majorHAnsi"/>
          <w:sz w:val="20"/>
          <w:szCs w:val="20"/>
        </w:rPr>
        <w:t>об’єкта</w:t>
      </w:r>
      <w:r w:rsidRPr="000977F7">
        <w:rPr>
          <w:rFonts w:asciiTheme="majorHAnsi" w:hAnsiTheme="majorHAnsi"/>
          <w:spacing w:val="7"/>
          <w:sz w:val="20"/>
          <w:szCs w:val="20"/>
        </w:rPr>
        <w:t xml:space="preserve"> </w:t>
      </w:r>
      <w:r w:rsidRPr="000977F7">
        <w:rPr>
          <w:rFonts w:asciiTheme="majorHAnsi" w:hAnsiTheme="majorHAnsi"/>
          <w:sz w:val="20"/>
          <w:szCs w:val="20"/>
        </w:rPr>
        <w:t>та</w:t>
      </w:r>
      <w:r w:rsidRPr="000977F7">
        <w:rPr>
          <w:rFonts w:asciiTheme="majorHAnsi" w:hAnsiTheme="majorHAnsi"/>
          <w:spacing w:val="6"/>
          <w:sz w:val="20"/>
          <w:szCs w:val="20"/>
        </w:rPr>
        <w:t xml:space="preserve"> </w:t>
      </w:r>
      <w:r w:rsidRPr="000977F7">
        <w:rPr>
          <w:rFonts w:asciiTheme="majorHAnsi" w:hAnsiTheme="majorHAnsi"/>
          <w:sz w:val="20"/>
          <w:szCs w:val="20"/>
        </w:rPr>
        <w:t>(або)</w:t>
      </w:r>
      <w:r w:rsidRPr="000977F7">
        <w:rPr>
          <w:rFonts w:asciiTheme="majorHAnsi" w:hAnsiTheme="majorHAnsi"/>
          <w:spacing w:val="7"/>
          <w:sz w:val="20"/>
          <w:szCs w:val="20"/>
        </w:rPr>
        <w:t xml:space="preserve"> </w:t>
      </w:r>
      <w:r w:rsidRPr="000977F7">
        <w:rPr>
          <w:rFonts w:asciiTheme="majorHAnsi" w:hAnsiTheme="majorHAnsi"/>
          <w:sz w:val="20"/>
          <w:szCs w:val="20"/>
        </w:rPr>
        <w:t>їх</w:t>
      </w:r>
      <w:r w:rsidRPr="000977F7">
        <w:rPr>
          <w:rFonts w:asciiTheme="majorHAnsi" w:hAnsiTheme="majorHAnsi"/>
          <w:spacing w:val="4"/>
          <w:sz w:val="20"/>
          <w:szCs w:val="20"/>
        </w:rPr>
        <w:t xml:space="preserve"> </w:t>
      </w:r>
      <w:r w:rsidRPr="000977F7">
        <w:rPr>
          <w:rFonts w:asciiTheme="majorHAnsi" w:hAnsiTheme="majorHAnsi"/>
          <w:sz w:val="20"/>
          <w:szCs w:val="20"/>
        </w:rPr>
        <w:t>змінювання</w:t>
      </w:r>
      <w:r w:rsidRPr="000977F7">
        <w:rPr>
          <w:rFonts w:asciiTheme="majorHAnsi" w:hAnsiTheme="majorHAnsi"/>
          <w:spacing w:val="9"/>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часі</w:t>
      </w:r>
    </w:p>
    <w:p w14:paraId="4EEED5B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3956 - 2000</w:t>
      </w:r>
    </w:p>
    <w:p w14:paraId="3B8A205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ЗАДАНІ ВИМОГИ –</w:t>
      </w:r>
    </w:p>
    <w:p w14:paraId="3D07159A"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Заявлені потреби чи очікування, які зафіксовані в технічних регламентах, стандартах, технічних специфікаціях або в інший спосіб</w:t>
      </w:r>
    </w:p>
    <w:p w14:paraId="53D47BA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 закону України "Про технічні регламенти та оцінку відповідності"</w:t>
      </w:r>
    </w:p>
    <w:p w14:paraId="199987A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ЗАДАНИЙ</w:t>
      </w:r>
      <w:r w:rsidRPr="000977F7">
        <w:rPr>
          <w:color w:val="auto"/>
          <w:spacing w:val="-4"/>
          <w:sz w:val="20"/>
          <w:szCs w:val="20"/>
        </w:rPr>
        <w:t xml:space="preserve"> </w:t>
      </w:r>
      <w:r w:rsidRPr="000977F7">
        <w:rPr>
          <w:color w:val="auto"/>
          <w:sz w:val="20"/>
          <w:szCs w:val="20"/>
        </w:rPr>
        <w:t>ПОКАЗНИК</w:t>
      </w:r>
      <w:r w:rsidRPr="000977F7">
        <w:rPr>
          <w:color w:val="auto"/>
          <w:spacing w:val="-5"/>
          <w:sz w:val="20"/>
          <w:szCs w:val="20"/>
        </w:rPr>
        <w:t xml:space="preserve"> </w:t>
      </w:r>
      <w:r w:rsidRPr="000977F7">
        <w:rPr>
          <w:color w:val="auto"/>
          <w:sz w:val="20"/>
          <w:szCs w:val="20"/>
        </w:rPr>
        <w:t>НАДІЙНОСТІ</w:t>
      </w:r>
      <w:r w:rsidRPr="000977F7">
        <w:rPr>
          <w:color w:val="auto"/>
          <w:spacing w:val="-2"/>
          <w:sz w:val="20"/>
          <w:szCs w:val="20"/>
        </w:rPr>
        <w:t xml:space="preserve"> </w:t>
      </w:r>
      <w:r w:rsidRPr="000977F7">
        <w:rPr>
          <w:color w:val="auto"/>
          <w:sz w:val="20"/>
          <w:szCs w:val="20"/>
        </w:rPr>
        <w:t>–</w:t>
      </w:r>
    </w:p>
    <w:p w14:paraId="31F6939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SET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DEPENDABILITY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MEASURE –</w:t>
      </w:r>
    </w:p>
    <w:p w14:paraId="5B8829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Числове значення нормованого показника надійності,</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встановлене</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технічному</w:t>
      </w:r>
      <w:r w:rsidRPr="000977F7">
        <w:rPr>
          <w:rFonts w:asciiTheme="majorHAnsi" w:hAnsiTheme="majorHAnsi"/>
          <w:spacing w:val="1"/>
          <w:sz w:val="20"/>
          <w:szCs w:val="20"/>
        </w:rPr>
        <w:t xml:space="preserve"> </w:t>
      </w:r>
      <w:r w:rsidRPr="000977F7">
        <w:rPr>
          <w:rFonts w:asciiTheme="majorHAnsi" w:hAnsiTheme="majorHAnsi"/>
          <w:sz w:val="20"/>
          <w:szCs w:val="20"/>
        </w:rPr>
        <w:t>завданні</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розроблений</w:t>
      </w:r>
      <w:r w:rsidRPr="000977F7">
        <w:rPr>
          <w:rFonts w:asciiTheme="majorHAnsi" w:hAnsiTheme="majorHAnsi"/>
          <w:spacing w:val="1"/>
          <w:sz w:val="20"/>
          <w:szCs w:val="20"/>
        </w:rPr>
        <w:t xml:space="preserve"> </w:t>
      </w:r>
      <w:r w:rsidRPr="000977F7">
        <w:rPr>
          <w:rFonts w:asciiTheme="majorHAnsi" w:hAnsiTheme="majorHAnsi"/>
          <w:sz w:val="20"/>
          <w:szCs w:val="20"/>
        </w:rPr>
        <w:t>виріб</w:t>
      </w:r>
    </w:p>
    <w:p w14:paraId="11B938B4"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09C11BF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ЗАДАЧА</w:t>
      </w:r>
      <w:r w:rsidRPr="000977F7">
        <w:rPr>
          <w:color w:val="auto"/>
          <w:spacing w:val="-4"/>
          <w:sz w:val="20"/>
          <w:szCs w:val="20"/>
        </w:rPr>
        <w:t xml:space="preserve"> </w:t>
      </w:r>
      <w:r w:rsidRPr="000977F7">
        <w:rPr>
          <w:color w:val="auto"/>
          <w:sz w:val="20"/>
          <w:szCs w:val="20"/>
        </w:rPr>
        <w:t>ВИМІРЮВАННЯ-</w:t>
      </w:r>
    </w:p>
    <w:p w14:paraId="5059E27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MEASUREMENT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TASK-</w:t>
      </w:r>
    </w:p>
    <w:p w14:paraId="2352AB8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Задача</w:t>
      </w:r>
      <w:r w:rsidRPr="004D2D14">
        <w:rPr>
          <w:rFonts w:asciiTheme="majorHAnsi" w:hAnsiTheme="majorHAnsi"/>
          <w:sz w:val="20"/>
          <w:szCs w:val="20"/>
          <w:lang w:val="en-US"/>
        </w:rPr>
        <w:t xml:space="preserve">, </w:t>
      </w:r>
      <w:r w:rsidRPr="000977F7">
        <w:rPr>
          <w:rFonts w:asciiTheme="majorHAnsi" w:hAnsiTheme="majorHAnsi"/>
          <w:sz w:val="20"/>
          <w:szCs w:val="20"/>
        </w:rPr>
        <w:t>яка</w:t>
      </w:r>
      <w:r w:rsidRPr="004D2D14">
        <w:rPr>
          <w:rFonts w:asciiTheme="majorHAnsi" w:hAnsiTheme="majorHAnsi"/>
          <w:sz w:val="20"/>
          <w:szCs w:val="20"/>
          <w:lang w:val="en-US"/>
        </w:rPr>
        <w:t xml:space="preserve"> </w:t>
      </w:r>
      <w:r w:rsidRPr="000977F7">
        <w:rPr>
          <w:rFonts w:asciiTheme="majorHAnsi" w:hAnsiTheme="majorHAnsi"/>
          <w:sz w:val="20"/>
          <w:szCs w:val="20"/>
        </w:rPr>
        <w:t>полягає</w:t>
      </w:r>
      <w:r w:rsidRPr="004D2D14">
        <w:rPr>
          <w:rFonts w:asciiTheme="majorHAnsi" w:hAnsiTheme="majorHAnsi"/>
          <w:sz w:val="20"/>
          <w:szCs w:val="20"/>
          <w:lang w:val="en-US"/>
        </w:rPr>
        <w:t xml:space="preserve"> </w:t>
      </w:r>
      <w:r w:rsidRPr="000977F7">
        <w:rPr>
          <w:rFonts w:asciiTheme="majorHAnsi" w:hAnsiTheme="majorHAnsi"/>
          <w:sz w:val="20"/>
          <w:szCs w:val="20"/>
        </w:rPr>
        <w:t>у</w:t>
      </w:r>
      <w:r w:rsidRPr="004D2D14">
        <w:rPr>
          <w:rFonts w:asciiTheme="majorHAnsi" w:hAnsiTheme="majorHAnsi"/>
          <w:sz w:val="20"/>
          <w:szCs w:val="20"/>
          <w:lang w:val="en-US"/>
        </w:rPr>
        <w:t xml:space="preserve"> </w:t>
      </w:r>
      <w:r w:rsidRPr="000977F7">
        <w:rPr>
          <w:rFonts w:asciiTheme="majorHAnsi" w:hAnsiTheme="majorHAnsi"/>
          <w:sz w:val="20"/>
          <w:szCs w:val="20"/>
        </w:rPr>
        <w:t>кількісній</w:t>
      </w:r>
      <w:r w:rsidRPr="004D2D14">
        <w:rPr>
          <w:rFonts w:asciiTheme="majorHAnsi" w:hAnsiTheme="majorHAnsi"/>
          <w:sz w:val="20"/>
          <w:szCs w:val="20"/>
          <w:lang w:val="en-US"/>
        </w:rPr>
        <w:t xml:space="preserve"> </w:t>
      </w:r>
      <w:r w:rsidRPr="000977F7">
        <w:rPr>
          <w:rFonts w:asciiTheme="majorHAnsi" w:hAnsiTheme="majorHAnsi"/>
          <w:sz w:val="20"/>
          <w:szCs w:val="20"/>
        </w:rPr>
        <w:t>оцінці</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необхідною</w:t>
      </w:r>
      <w:r w:rsidRPr="004D2D14">
        <w:rPr>
          <w:rFonts w:asciiTheme="majorHAnsi" w:hAnsiTheme="majorHAnsi"/>
          <w:spacing w:val="1"/>
          <w:sz w:val="20"/>
          <w:szCs w:val="20"/>
          <w:lang w:val="en-US"/>
        </w:rPr>
        <w:t xml:space="preserve"> </w:t>
      </w:r>
      <w:r w:rsidRPr="000977F7">
        <w:rPr>
          <w:rFonts w:asciiTheme="majorHAnsi" w:hAnsiTheme="majorHAnsi"/>
          <w:sz w:val="20"/>
          <w:szCs w:val="20"/>
        </w:rPr>
        <w:t>точністю</w:t>
      </w:r>
      <w:r w:rsidRPr="004D2D14">
        <w:rPr>
          <w:rFonts w:asciiTheme="majorHAnsi" w:hAnsiTheme="majorHAnsi"/>
          <w:sz w:val="20"/>
          <w:szCs w:val="20"/>
          <w:lang w:val="en-US"/>
        </w:rPr>
        <w:t xml:space="preserve"> </w:t>
      </w:r>
      <w:r w:rsidRPr="000977F7">
        <w:rPr>
          <w:rFonts w:asciiTheme="majorHAnsi" w:hAnsiTheme="majorHAnsi"/>
          <w:sz w:val="20"/>
          <w:szCs w:val="20"/>
        </w:rPr>
        <w:t>певної</w:t>
      </w:r>
      <w:r w:rsidRPr="004D2D14">
        <w:rPr>
          <w:rFonts w:asciiTheme="majorHAnsi" w:hAnsiTheme="majorHAnsi"/>
          <w:sz w:val="20"/>
          <w:szCs w:val="20"/>
          <w:lang w:val="en-US"/>
        </w:rPr>
        <w:t xml:space="preserve"> </w:t>
      </w:r>
      <w:r w:rsidRPr="000977F7">
        <w:rPr>
          <w:rFonts w:asciiTheme="majorHAnsi" w:hAnsiTheme="majorHAnsi"/>
          <w:sz w:val="20"/>
          <w:szCs w:val="20"/>
        </w:rPr>
        <w:t>властивості</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процесу</w:t>
      </w:r>
      <w:r w:rsidRPr="004D2D14">
        <w:rPr>
          <w:rFonts w:asciiTheme="majorHAnsi" w:hAnsiTheme="majorHAnsi"/>
          <w:sz w:val="20"/>
          <w:szCs w:val="20"/>
          <w:lang w:val="en-US"/>
        </w:rPr>
        <w:t xml:space="preserve"> </w:t>
      </w:r>
      <w:r w:rsidRPr="000977F7">
        <w:rPr>
          <w:rFonts w:asciiTheme="majorHAnsi" w:hAnsiTheme="majorHAnsi"/>
          <w:sz w:val="20"/>
          <w:szCs w:val="20"/>
        </w:rPr>
        <w:t>на</w:t>
      </w:r>
      <w:r w:rsidRPr="004D2D14">
        <w:rPr>
          <w:rFonts w:asciiTheme="majorHAnsi" w:hAnsiTheme="majorHAnsi"/>
          <w:spacing w:val="1"/>
          <w:sz w:val="20"/>
          <w:szCs w:val="20"/>
          <w:lang w:val="en-US"/>
        </w:rPr>
        <w:t xml:space="preserve"> </w:t>
      </w:r>
      <w:r w:rsidRPr="000977F7">
        <w:rPr>
          <w:rFonts w:asciiTheme="majorHAnsi" w:hAnsiTheme="majorHAnsi"/>
          <w:sz w:val="20"/>
          <w:szCs w:val="20"/>
        </w:rPr>
        <w:t>підставі</w:t>
      </w:r>
      <w:r w:rsidRPr="004D2D14">
        <w:rPr>
          <w:rFonts w:asciiTheme="majorHAnsi" w:hAnsiTheme="majorHAnsi"/>
          <w:sz w:val="20"/>
          <w:szCs w:val="20"/>
          <w:lang w:val="en-US"/>
        </w:rPr>
        <w:t xml:space="preserve"> </w:t>
      </w:r>
      <w:r w:rsidRPr="000977F7">
        <w:rPr>
          <w:rFonts w:asciiTheme="majorHAnsi" w:hAnsiTheme="majorHAnsi"/>
          <w:sz w:val="20"/>
          <w:szCs w:val="20"/>
        </w:rPr>
        <w:t>вимірюваних</w:t>
      </w:r>
      <w:r w:rsidRPr="004D2D14">
        <w:rPr>
          <w:rFonts w:asciiTheme="majorHAnsi" w:hAnsiTheme="majorHAnsi"/>
          <w:sz w:val="20"/>
          <w:szCs w:val="20"/>
          <w:lang w:val="en-US"/>
        </w:rPr>
        <w:t xml:space="preserve"> </w:t>
      </w:r>
      <w:r w:rsidRPr="000977F7">
        <w:rPr>
          <w:rFonts w:asciiTheme="majorHAnsi" w:hAnsiTheme="majorHAnsi"/>
          <w:sz w:val="20"/>
          <w:szCs w:val="20"/>
        </w:rPr>
        <w:t>фізичних</w:t>
      </w:r>
      <w:r w:rsidRPr="004D2D14">
        <w:rPr>
          <w:rFonts w:asciiTheme="majorHAnsi" w:hAnsiTheme="majorHAnsi"/>
          <w:sz w:val="20"/>
          <w:szCs w:val="20"/>
          <w:lang w:val="en-US"/>
        </w:rPr>
        <w:t xml:space="preserve"> </w:t>
      </w:r>
      <w:r w:rsidRPr="000977F7">
        <w:rPr>
          <w:rFonts w:asciiTheme="majorHAnsi" w:hAnsiTheme="majorHAnsi"/>
          <w:sz w:val="20"/>
          <w:szCs w:val="20"/>
        </w:rPr>
        <w:t>величин</w:t>
      </w:r>
      <w:r w:rsidRPr="004D2D14">
        <w:rPr>
          <w:rFonts w:asciiTheme="majorHAnsi" w:hAnsiTheme="majorHAnsi"/>
          <w:sz w:val="20"/>
          <w:szCs w:val="20"/>
          <w:lang w:val="en-US"/>
        </w:rPr>
        <w:t xml:space="preserve"> (</w:t>
      </w:r>
      <w:r w:rsidRPr="000977F7">
        <w:rPr>
          <w:rFonts w:asciiTheme="majorHAnsi" w:hAnsiTheme="majorHAnsi"/>
          <w:sz w:val="20"/>
          <w:szCs w:val="20"/>
        </w:rPr>
        <w:t>параметрів</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w:t>
      </w:r>
      <w:r w:rsidRPr="004D2D14">
        <w:rPr>
          <w:rFonts w:asciiTheme="majorHAnsi" w:hAnsiTheme="majorHAnsi"/>
          <w:spacing w:val="-2"/>
          <w:sz w:val="20"/>
          <w:szCs w:val="20"/>
          <w:lang w:val="en-US"/>
        </w:rPr>
        <w:t xml:space="preserve"> </w:t>
      </w:r>
      <w:r w:rsidRPr="000977F7">
        <w:rPr>
          <w:rFonts w:asciiTheme="majorHAnsi" w:hAnsiTheme="majorHAnsi"/>
          <w:sz w:val="20"/>
          <w:szCs w:val="20"/>
        </w:rPr>
        <w:t>яких</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залежить</w:t>
      </w:r>
      <w:r w:rsidRPr="004D2D14">
        <w:rPr>
          <w:rFonts w:asciiTheme="majorHAnsi" w:hAnsiTheme="majorHAnsi"/>
          <w:sz w:val="20"/>
          <w:szCs w:val="20"/>
          <w:lang w:val="en-US"/>
        </w:rPr>
        <w:t xml:space="preserve"> </w:t>
      </w:r>
      <w:r w:rsidRPr="000977F7">
        <w:rPr>
          <w:rFonts w:asciiTheme="majorHAnsi" w:hAnsiTheme="majorHAnsi"/>
          <w:sz w:val="20"/>
          <w:szCs w:val="20"/>
        </w:rPr>
        <w:t>ця</w:t>
      </w:r>
      <w:r w:rsidRPr="004D2D14">
        <w:rPr>
          <w:rFonts w:asciiTheme="majorHAnsi" w:hAnsiTheme="majorHAnsi"/>
          <w:spacing w:val="-2"/>
          <w:sz w:val="20"/>
          <w:szCs w:val="20"/>
          <w:lang w:val="en-US"/>
        </w:rPr>
        <w:t xml:space="preserve"> </w:t>
      </w:r>
      <w:r w:rsidRPr="000977F7">
        <w:rPr>
          <w:rFonts w:asciiTheme="majorHAnsi" w:hAnsiTheme="majorHAnsi"/>
          <w:sz w:val="20"/>
          <w:szCs w:val="20"/>
        </w:rPr>
        <w:t>властивість</w:t>
      </w:r>
    </w:p>
    <w:p w14:paraId="358A426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1421B798" w14:textId="77777777" w:rsidR="0097612F" w:rsidRPr="000977F7" w:rsidRDefault="0097612F" w:rsidP="000977F7">
      <w:pPr>
        <w:pStyle w:val="7"/>
        <w:tabs>
          <w:tab w:val="left" w:pos="284"/>
          <w:tab w:val="left" w:pos="1386"/>
          <w:tab w:val="left" w:pos="2872"/>
          <w:tab w:val="left" w:pos="3333"/>
        </w:tabs>
        <w:spacing w:before="0" w:line="240" w:lineRule="auto"/>
        <w:ind w:left="170"/>
        <w:mirrorIndents/>
        <w:jc w:val="both"/>
        <w:rPr>
          <w:b w:val="0"/>
          <w:color w:val="auto"/>
          <w:sz w:val="20"/>
          <w:szCs w:val="20"/>
        </w:rPr>
      </w:pPr>
      <w:r w:rsidRPr="000977F7">
        <w:rPr>
          <w:color w:val="auto"/>
          <w:sz w:val="20"/>
          <w:szCs w:val="20"/>
        </w:rPr>
        <w:lastRenderedPageBreak/>
        <w:t xml:space="preserve">ЗАДАЧА КОНТРОЛЮ (У </w:t>
      </w:r>
      <w:r w:rsidRPr="000977F7">
        <w:rPr>
          <w:color w:val="auto"/>
          <w:spacing w:val="-1"/>
          <w:sz w:val="20"/>
          <w:szCs w:val="20"/>
        </w:rPr>
        <w:t>ПРОМИСЛОВИХ</w:t>
      </w:r>
      <w:r w:rsidRPr="000977F7">
        <w:rPr>
          <w:color w:val="auto"/>
          <w:spacing w:val="-47"/>
          <w:sz w:val="20"/>
          <w:szCs w:val="20"/>
        </w:rPr>
        <w:t xml:space="preserve"> </w:t>
      </w:r>
      <w:r w:rsidRPr="000977F7">
        <w:rPr>
          <w:color w:val="auto"/>
          <w:sz w:val="20"/>
          <w:szCs w:val="20"/>
        </w:rPr>
        <w:t>ПРОЦЕСАХ)</w:t>
      </w:r>
      <w:r w:rsidRPr="000977F7">
        <w:rPr>
          <w:b w:val="0"/>
          <w:color w:val="auto"/>
          <w:sz w:val="20"/>
          <w:szCs w:val="20"/>
        </w:rPr>
        <w:t>-</w:t>
      </w:r>
    </w:p>
    <w:p w14:paraId="6C8CFDB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INSPECTION</w:t>
      </w:r>
      <w:r w:rsidRPr="004D2D14">
        <w:rPr>
          <w:rFonts w:asciiTheme="majorHAnsi" w:hAnsiTheme="majorHAnsi"/>
          <w:spacing w:val="-4"/>
          <w:sz w:val="20"/>
          <w:szCs w:val="20"/>
          <w:lang w:val="uk-UA"/>
        </w:rPr>
        <w:t xml:space="preserve"> </w:t>
      </w:r>
      <w:r w:rsidRPr="000977F7">
        <w:rPr>
          <w:rFonts w:asciiTheme="majorHAnsi" w:hAnsiTheme="majorHAnsi"/>
          <w:sz w:val="20"/>
          <w:szCs w:val="20"/>
        </w:rPr>
        <w:t>TASK</w:t>
      </w:r>
      <w:r w:rsidRPr="004D2D14">
        <w:rPr>
          <w:rFonts w:asciiTheme="majorHAnsi" w:hAnsiTheme="majorHAnsi"/>
          <w:sz w:val="20"/>
          <w:szCs w:val="20"/>
          <w:lang w:val="uk-UA"/>
        </w:rPr>
        <w:t>-</w:t>
      </w:r>
    </w:p>
    <w:p w14:paraId="77EE117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Задача, зміст якої полягає в отримуванні відомостей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 фактичний стан та функціювання об’єкта, а також</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 xml:space="preserve">у виявленні відхилень параметрів від заданих та </w:t>
      </w:r>
    </w:p>
    <w:p w14:paraId="0322220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допу</w:t>
      </w:r>
      <w:r w:rsidRPr="000977F7">
        <w:rPr>
          <w:rFonts w:asciiTheme="majorHAnsi" w:hAnsiTheme="majorHAnsi"/>
          <w:spacing w:val="-47"/>
          <w:sz w:val="20"/>
          <w:szCs w:val="20"/>
        </w:rPr>
        <w:t xml:space="preserve"> </w:t>
      </w:r>
      <w:r w:rsidRPr="000977F7">
        <w:rPr>
          <w:rFonts w:asciiTheme="majorHAnsi" w:hAnsiTheme="majorHAnsi"/>
          <w:sz w:val="20"/>
          <w:szCs w:val="20"/>
        </w:rPr>
        <w:t>стимих</w:t>
      </w:r>
      <w:r w:rsidRPr="000977F7">
        <w:rPr>
          <w:rFonts w:asciiTheme="majorHAnsi" w:hAnsiTheme="majorHAnsi"/>
          <w:spacing w:val="-2"/>
          <w:sz w:val="20"/>
          <w:szCs w:val="20"/>
        </w:rPr>
        <w:t xml:space="preserve"> </w:t>
      </w:r>
      <w:r w:rsidRPr="000977F7">
        <w:rPr>
          <w:rFonts w:asciiTheme="majorHAnsi" w:hAnsiTheme="majorHAnsi"/>
          <w:sz w:val="20"/>
          <w:szCs w:val="20"/>
        </w:rPr>
        <w:t>значень</w:t>
      </w:r>
    </w:p>
    <w:p w14:paraId="4F7F7DB8"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2"/>
          <w:sz w:val="20"/>
          <w:szCs w:val="20"/>
        </w:rPr>
        <w:t xml:space="preserve"> </w:t>
      </w:r>
      <w:r w:rsidRPr="000977F7">
        <w:rPr>
          <w:rFonts w:asciiTheme="majorHAnsi" w:hAnsiTheme="majorHAnsi"/>
          <w:i/>
          <w:iCs/>
          <w:sz w:val="20"/>
          <w:szCs w:val="20"/>
        </w:rPr>
        <w:t>3956 - 2000</w:t>
      </w:r>
    </w:p>
    <w:p w14:paraId="6906D14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ЗАДІЛ</w:t>
      </w:r>
      <w:r w:rsidRPr="000977F7">
        <w:rPr>
          <w:color w:val="auto"/>
          <w:spacing w:val="-2"/>
          <w:sz w:val="20"/>
          <w:szCs w:val="20"/>
        </w:rPr>
        <w:t xml:space="preserve"> </w:t>
      </w:r>
      <w:r w:rsidRPr="000977F7">
        <w:rPr>
          <w:color w:val="auto"/>
          <w:sz w:val="20"/>
          <w:szCs w:val="20"/>
        </w:rPr>
        <w:t>–</w:t>
      </w:r>
    </w:p>
    <w:p w14:paraId="4596EAE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Сукупність напівфабрикатів, що перебувають на різних стадіях процесу виготовлення продукції і забезпечують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безперебійність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виробництва</w:t>
      </w:r>
    </w:p>
    <w:p w14:paraId="49BD970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957A07E"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ЗАДОВОЛЕНІСТЬ</w:t>
      </w:r>
      <w:r w:rsidRPr="000977F7">
        <w:rPr>
          <w:color w:val="auto"/>
          <w:spacing w:val="-5"/>
          <w:sz w:val="20"/>
          <w:szCs w:val="20"/>
        </w:rPr>
        <w:t xml:space="preserve"> </w:t>
      </w:r>
      <w:r w:rsidRPr="000977F7">
        <w:rPr>
          <w:color w:val="auto"/>
          <w:sz w:val="20"/>
          <w:szCs w:val="20"/>
        </w:rPr>
        <w:t>ЗАМОВНИКА</w:t>
      </w:r>
      <w:r w:rsidRPr="000977F7">
        <w:rPr>
          <w:color w:val="auto"/>
          <w:spacing w:val="-2"/>
          <w:sz w:val="20"/>
          <w:szCs w:val="20"/>
        </w:rPr>
        <w:t xml:space="preserve"> </w:t>
      </w:r>
      <w:r w:rsidRPr="000977F7">
        <w:rPr>
          <w:b w:val="0"/>
          <w:color w:val="auto"/>
          <w:sz w:val="20"/>
          <w:szCs w:val="20"/>
        </w:rPr>
        <w:t>–</w:t>
      </w:r>
    </w:p>
    <w:p w14:paraId="01B4B7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провадити моніторинг того, як</w:t>
      </w:r>
      <w:r w:rsidRPr="000977F7">
        <w:rPr>
          <w:rFonts w:asciiTheme="majorHAnsi" w:hAnsiTheme="majorHAnsi"/>
          <w:spacing w:val="1"/>
          <w:sz w:val="20"/>
          <w:szCs w:val="20"/>
        </w:rPr>
        <w:t xml:space="preserve"> </w:t>
      </w:r>
      <w:r w:rsidRPr="000977F7">
        <w:rPr>
          <w:rFonts w:asciiTheme="majorHAnsi" w:hAnsiTheme="majorHAnsi"/>
          <w:sz w:val="20"/>
          <w:szCs w:val="20"/>
        </w:rPr>
        <w:t>замовники</w:t>
      </w:r>
      <w:r w:rsidRPr="000977F7">
        <w:rPr>
          <w:rFonts w:asciiTheme="majorHAnsi" w:hAnsiTheme="majorHAnsi"/>
          <w:spacing w:val="1"/>
          <w:sz w:val="20"/>
          <w:szCs w:val="20"/>
        </w:rPr>
        <w:t xml:space="preserve"> </w:t>
      </w:r>
      <w:r w:rsidRPr="000977F7">
        <w:rPr>
          <w:rFonts w:asciiTheme="majorHAnsi" w:hAnsiTheme="majorHAnsi"/>
          <w:sz w:val="20"/>
          <w:szCs w:val="20"/>
        </w:rPr>
        <w:t>сприймають</w:t>
      </w:r>
      <w:r w:rsidRPr="000977F7">
        <w:rPr>
          <w:rFonts w:asciiTheme="majorHAnsi" w:hAnsiTheme="majorHAnsi"/>
          <w:spacing w:val="1"/>
          <w:sz w:val="20"/>
          <w:szCs w:val="20"/>
        </w:rPr>
        <w:t xml:space="preserve"> </w:t>
      </w:r>
      <w:r w:rsidRPr="000977F7">
        <w:rPr>
          <w:rFonts w:asciiTheme="majorHAnsi" w:hAnsiTheme="majorHAnsi"/>
          <w:sz w:val="20"/>
          <w:szCs w:val="20"/>
        </w:rPr>
        <w:t>ступінь</w:t>
      </w:r>
      <w:r w:rsidRPr="000977F7">
        <w:rPr>
          <w:rFonts w:asciiTheme="majorHAnsi" w:hAnsiTheme="majorHAnsi"/>
          <w:spacing w:val="1"/>
          <w:sz w:val="20"/>
          <w:szCs w:val="20"/>
        </w:rPr>
        <w:t xml:space="preserve"> </w:t>
      </w:r>
      <w:r w:rsidRPr="000977F7">
        <w:rPr>
          <w:rFonts w:asciiTheme="majorHAnsi" w:hAnsiTheme="majorHAnsi"/>
          <w:sz w:val="20"/>
          <w:szCs w:val="20"/>
        </w:rPr>
        <w:t>задоволення</w:t>
      </w:r>
      <w:r w:rsidRPr="000977F7">
        <w:rPr>
          <w:rFonts w:asciiTheme="majorHAnsi" w:hAnsiTheme="majorHAnsi"/>
          <w:spacing w:val="1"/>
          <w:sz w:val="20"/>
          <w:szCs w:val="20"/>
        </w:rPr>
        <w:t xml:space="preserve"> </w:t>
      </w:r>
      <w:r w:rsidRPr="000977F7">
        <w:rPr>
          <w:rFonts w:asciiTheme="majorHAnsi" w:hAnsiTheme="majorHAnsi"/>
          <w:sz w:val="20"/>
          <w:szCs w:val="20"/>
        </w:rPr>
        <w:t>їхніх</w:t>
      </w:r>
      <w:r w:rsidRPr="000977F7">
        <w:rPr>
          <w:rFonts w:asciiTheme="majorHAnsi" w:hAnsiTheme="majorHAnsi"/>
          <w:spacing w:val="1"/>
          <w:sz w:val="20"/>
          <w:szCs w:val="20"/>
        </w:rPr>
        <w:t xml:space="preserve"> </w:t>
      </w:r>
      <w:r w:rsidRPr="000977F7">
        <w:rPr>
          <w:rFonts w:asciiTheme="majorHAnsi" w:hAnsiTheme="majorHAnsi"/>
          <w:sz w:val="20"/>
          <w:szCs w:val="20"/>
        </w:rPr>
        <w:t>потреб</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очікувань.</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повинна</w:t>
      </w:r>
      <w:r w:rsidRPr="000977F7">
        <w:rPr>
          <w:rFonts w:asciiTheme="majorHAnsi" w:hAnsiTheme="majorHAnsi"/>
          <w:spacing w:val="1"/>
          <w:sz w:val="20"/>
          <w:szCs w:val="20"/>
        </w:rPr>
        <w:t xml:space="preserve"> </w:t>
      </w:r>
      <w:r w:rsidRPr="000977F7">
        <w:rPr>
          <w:rFonts w:asciiTheme="majorHAnsi" w:hAnsiTheme="majorHAnsi"/>
          <w:sz w:val="20"/>
          <w:szCs w:val="20"/>
        </w:rPr>
        <w:t>визначити</w:t>
      </w:r>
      <w:r w:rsidRPr="000977F7">
        <w:rPr>
          <w:rFonts w:asciiTheme="majorHAnsi" w:hAnsiTheme="majorHAnsi"/>
          <w:spacing w:val="1"/>
          <w:sz w:val="20"/>
          <w:szCs w:val="20"/>
        </w:rPr>
        <w:t xml:space="preserve"> </w:t>
      </w:r>
      <w:r w:rsidRPr="000977F7">
        <w:rPr>
          <w:rFonts w:asciiTheme="majorHAnsi" w:hAnsiTheme="majorHAnsi"/>
          <w:sz w:val="20"/>
          <w:szCs w:val="20"/>
        </w:rPr>
        <w:t>методи отримання, моніторингу та аналізування цієї</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інформації.</w:t>
      </w:r>
    </w:p>
    <w:p w14:paraId="0CDF26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 р и м і т к а: Приклади моніторингу сприйняття замовниками можуть охоплювати опитування замовників, відгуки замовників стосовно наданих продукції та</w:t>
      </w:r>
      <w:r w:rsidRPr="000977F7">
        <w:rPr>
          <w:rFonts w:asciiTheme="majorHAnsi" w:hAnsiTheme="majorHAnsi"/>
          <w:spacing w:val="-47"/>
          <w:sz w:val="20"/>
          <w:szCs w:val="20"/>
        </w:rPr>
        <w:t xml:space="preserve"> </w:t>
      </w:r>
      <w:r w:rsidRPr="000977F7">
        <w:rPr>
          <w:rFonts w:asciiTheme="majorHAnsi" w:hAnsiTheme="majorHAnsi"/>
          <w:sz w:val="20"/>
          <w:szCs w:val="20"/>
        </w:rPr>
        <w:t>послуг,</w:t>
      </w:r>
      <w:r w:rsidRPr="000977F7">
        <w:rPr>
          <w:rFonts w:asciiTheme="majorHAnsi" w:hAnsiTheme="majorHAnsi"/>
          <w:spacing w:val="1"/>
          <w:sz w:val="20"/>
          <w:szCs w:val="20"/>
        </w:rPr>
        <w:t xml:space="preserve"> </w:t>
      </w:r>
      <w:r w:rsidRPr="000977F7">
        <w:rPr>
          <w:rFonts w:asciiTheme="majorHAnsi" w:hAnsiTheme="majorHAnsi"/>
          <w:sz w:val="20"/>
          <w:szCs w:val="20"/>
        </w:rPr>
        <w:t>зустріч</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замовниками,</w:t>
      </w:r>
      <w:r w:rsidRPr="000977F7">
        <w:rPr>
          <w:rFonts w:asciiTheme="majorHAnsi" w:hAnsiTheme="majorHAnsi"/>
          <w:spacing w:val="1"/>
          <w:sz w:val="20"/>
          <w:szCs w:val="20"/>
        </w:rPr>
        <w:t xml:space="preserve"> </w:t>
      </w:r>
      <w:r w:rsidRPr="000977F7">
        <w:rPr>
          <w:rFonts w:asciiTheme="majorHAnsi" w:hAnsiTheme="majorHAnsi"/>
          <w:sz w:val="20"/>
          <w:szCs w:val="20"/>
        </w:rPr>
        <w:t>аналізування</w:t>
      </w:r>
      <w:r w:rsidRPr="000977F7">
        <w:rPr>
          <w:rFonts w:asciiTheme="majorHAnsi" w:hAnsiTheme="majorHAnsi"/>
          <w:spacing w:val="1"/>
          <w:sz w:val="20"/>
          <w:szCs w:val="20"/>
        </w:rPr>
        <w:t xml:space="preserve"> </w:t>
      </w:r>
      <w:r w:rsidRPr="000977F7">
        <w:rPr>
          <w:rFonts w:asciiTheme="majorHAnsi" w:hAnsiTheme="majorHAnsi"/>
          <w:sz w:val="20"/>
          <w:szCs w:val="20"/>
        </w:rPr>
        <w:t>частки</w:t>
      </w:r>
      <w:r w:rsidRPr="000977F7">
        <w:rPr>
          <w:rFonts w:asciiTheme="majorHAnsi" w:hAnsiTheme="majorHAnsi"/>
          <w:spacing w:val="-47"/>
          <w:sz w:val="20"/>
          <w:szCs w:val="20"/>
        </w:rPr>
        <w:t xml:space="preserve"> </w:t>
      </w:r>
      <w:r w:rsidRPr="000977F7">
        <w:rPr>
          <w:rFonts w:asciiTheme="majorHAnsi" w:hAnsiTheme="majorHAnsi"/>
          <w:sz w:val="20"/>
          <w:szCs w:val="20"/>
        </w:rPr>
        <w:t>ринку, схвальні відгуки, претензії протягом гарантійного</w:t>
      </w:r>
      <w:r w:rsidRPr="000977F7">
        <w:rPr>
          <w:rFonts w:asciiTheme="majorHAnsi" w:hAnsiTheme="majorHAnsi"/>
          <w:spacing w:val="-1"/>
          <w:sz w:val="20"/>
          <w:szCs w:val="20"/>
        </w:rPr>
        <w:t xml:space="preserve"> </w:t>
      </w:r>
      <w:r w:rsidRPr="000977F7">
        <w:rPr>
          <w:rFonts w:asciiTheme="majorHAnsi" w:hAnsiTheme="majorHAnsi"/>
          <w:sz w:val="20"/>
          <w:szCs w:val="20"/>
        </w:rPr>
        <w:t>строку</w:t>
      </w:r>
      <w:r w:rsidRPr="000977F7">
        <w:rPr>
          <w:rFonts w:asciiTheme="majorHAnsi" w:hAnsiTheme="majorHAnsi"/>
          <w:spacing w:val="-5"/>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звіти</w:t>
      </w:r>
      <w:r w:rsidRPr="000977F7">
        <w:rPr>
          <w:rFonts w:asciiTheme="majorHAnsi" w:hAnsiTheme="majorHAnsi"/>
          <w:spacing w:val="-2"/>
          <w:sz w:val="20"/>
          <w:szCs w:val="20"/>
        </w:rPr>
        <w:t xml:space="preserve"> </w:t>
      </w:r>
      <w:r w:rsidRPr="000977F7">
        <w:rPr>
          <w:rFonts w:asciiTheme="majorHAnsi" w:hAnsiTheme="majorHAnsi"/>
          <w:sz w:val="20"/>
          <w:szCs w:val="20"/>
        </w:rPr>
        <w:t>розповсюджувачів</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67E1098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9001 - 2015</w:t>
      </w:r>
    </w:p>
    <w:p w14:paraId="3F3661B6"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ЗАДОКУМЕНТОВАНА</w:t>
      </w:r>
      <w:r w:rsidRPr="000977F7">
        <w:rPr>
          <w:color w:val="auto"/>
          <w:spacing w:val="-5"/>
          <w:sz w:val="20"/>
          <w:szCs w:val="20"/>
        </w:rPr>
        <w:t xml:space="preserve"> </w:t>
      </w:r>
      <w:r w:rsidRPr="000977F7">
        <w:rPr>
          <w:color w:val="auto"/>
          <w:sz w:val="20"/>
          <w:szCs w:val="20"/>
        </w:rPr>
        <w:t>ІНФОРМАЦІЯ</w:t>
      </w:r>
      <w:r w:rsidRPr="000977F7">
        <w:rPr>
          <w:color w:val="auto"/>
          <w:spacing w:val="-3"/>
          <w:sz w:val="20"/>
          <w:szCs w:val="20"/>
        </w:rPr>
        <w:t xml:space="preserve"> </w:t>
      </w:r>
      <w:r w:rsidRPr="000977F7">
        <w:rPr>
          <w:b w:val="0"/>
          <w:color w:val="auto"/>
          <w:sz w:val="20"/>
          <w:szCs w:val="20"/>
        </w:rPr>
        <w:t>–</w:t>
      </w:r>
    </w:p>
    <w:p w14:paraId="244F551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Загальні</w:t>
      </w:r>
      <w:r w:rsidRPr="000977F7">
        <w:rPr>
          <w:rFonts w:asciiTheme="majorHAnsi" w:hAnsiTheme="majorHAnsi"/>
          <w:spacing w:val="-3"/>
          <w:sz w:val="20"/>
          <w:szCs w:val="20"/>
        </w:rPr>
        <w:t xml:space="preserve"> </w:t>
      </w:r>
      <w:r w:rsidRPr="000977F7">
        <w:rPr>
          <w:rFonts w:asciiTheme="majorHAnsi" w:hAnsiTheme="majorHAnsi"/>
          <w:sz w:val="20"/>
          <w:szCs w:val="20"/>
        </w:rPr>
        <w:t>положення</w:t>
      </w:r>
    </w:p>
    <w:p w14:paraId="1280224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Потрібно,</w:t>
      </w:r>
      <w:r w:rsidRPr="000977F7">
        <w:rPr>
          <w:rFonts w:asciiTheme="majorHAnsi" w:hAnsiTheme="majorHAnsi"/>
          <w:spacing w:val="-5"/>
          <w:sz w:val="20"/>
          <w:szCs w:val="20"/>
        </w:rPr>
        <w:t xml:space="preserve"> </w:t>
      </w:r>
      <w:r w:rsidRPr="000977F7">
        <w:rPr>
          <w:rFonts w:asciiTheme="majorHAnsi" w:hAnsiTheme="majorHAnsi"/>
          <w:sz w:val="20"/>
          <w:szCs w:val="20"/>
        </w:rPr>
        <w:t>щоб</w:t>
      </w:r>
      <w:r w:rsidRPr="000977F7">
        <w:rPr>
          <w:rFonts w:asciiTheme="majorHAnsi" w:hAnsiTheme="majorHAnsi"/>
          <w:spacing w:val="-3"/>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5"/>
          <w:sz w:val="20"/>
          <w:szCs w:val="20"/>
        </w:rPr>
        <w:t xml:space="preserve"> </w:t>
      </w:r>
      <w:r w:rsidRPr="000977F7">
        <w:rPr>
          <w:rFonts w:asciiTheme="majorHAnsi" w:hAnsiTheme="majorHAnsi"/>
          <w:sz w:val="20"/>
          <w:szCs w:val="20"/>
        </w:rPr>
        <w:t>якістю</w:t>
      </w:r>
      <w:r w:rsidRPr="000977F7">
        <w:rPr>
          <w:rFonts w:asciiTheme="majorHAnsi" w:hAnsiTheme="majorHAnsi"/>
          <w:spacing w:val="-4"/>
          <w:sz w:val="20"/>
          <w:szCs w:val="20"/>
        </w:rPr>
        <w:t xml:space="preserve"> </w:t>
      </w:r>
      <w:r w:rsidRPr="000977F7">
        <w:rPr>
          <w:rFonts w:asciiTheme="majorHAnsi" w:hAnsiTheme="majorHAnsi"/>
          <w:sz w:val="20"/>
          <w:szCs w:val="20"/>
        </w:rPr>
        <w:t>охоплювала</w:t>
      </w:r>
    </w:p>
    <w:p w14:paraId="58AEFBB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3"/>
          <w:sz w:val="20"/>
          <w:szCs w:val="20"/>
        </w:rPr>
        <w:t xml:space="preserve"> </w:t>
      </w:r>
      <w:r w:rsidRPr="000977F7">
        <w:rPr>
          <w:rFonts w:asciiTheme="majorHAnsi" w:hAnsiTheme="majorHAnsi"/>
          <w:sz w:val="20"/>
          <w:szCs w:val="20"/>
        </w:rPr>
        <w:t>задокументовану</w:t>
      </w:r>
      <w:r w:rsidRPr="000977F7">
        <w:rPr>
          <w:rFonts w:asciiTheme="majorHAnsi" w:hAnsiTheme="majorHAnsi"/>
          <w:spacing w:val="-5"/>
          <w:sz w:val="20"/>
          <w:szCs w:val="20"/>
        </w:rPr>
        <w:t xml:space="preserve"> </w:t>
      </w:r>
      <w:r w:rsidRPr="000977F7">
        <w:rPr>
          <w:rFonts w:asciiTheme="majorHAnsi" w:hAnsiTheme="majorHAnsi"/>
          <w:sz w:val="20"/>
          <w:szCs w:val="20"/>
        </w:rPr>
        <w:t>інформацію,</w:t>
      </w:r>
      <w:r w:rsidRPr="000977F7">
        <w:rPr>
          <w:rFonts w:asciiTheme="majorHAnsi" w:hAnsiTheme="majorHAnsi"/>
          <w:spacing w:val="-4"/>
          <w:sz w:val="20"/>
          <w:szCs w:val="20"/>
        </w:rPr>
        <w:t xml:space="preserve"> </w:t>
      </w:r>
      <w:r w:rsidRPr="000977F7">
        <w:rPr>
          <w:rFonts w:asciiTheme="majorHAnsi" w:hAnsiTheme="majorHAnsi"/>
          <w:sz w:val="20"/>
          <w:szCs w:val="20"/>
        </w:rPr>
        <w:t>яку</w:t>
      </w:r>
      <w:r w:rsidRPr="000977F7">
        <w:rPr>
          <w:rFonts w:asciiTheme="majorHAnsi" w:hAnsiTheme="majorHAnsi"/>
          <w:spacing w:val="-5"/>
          <w:sz w:val="20"/>
          <w:szCs w:val="20"/>
        </w:rPr>
        <w:t xml:space="preserve"> </w:t>
      </w:r>
      <w:r w:rsidRPr="000977F7">
        <w:rPr>
          <w:rFonts w:asciiTheme="majorHAnsi" w:hAnsiTheme="majorHAnsi"/>
          <w:sz w:val="20"/>
          <w:szCs w:val="20"/>
        </w:rPr>
        <w:t>потребує</w:t>
      </w:r>
      <w:r w:rsidRPr="000977F7">
        <w:rPr>
          <w:rFonts w:asciiTheme="majorHAnsi" w:hAnsiTheme="majorHAnsi"/>
          <w:spacing w:val="-1"/>
          <w:sz w:val="20"/>
          <w:szCs w:val="20"/>
        </w:rPr>
        <w:t xml:space="preserve"> </w:t>
      </w:r>
      <w:r w:rsidRPr="000977F7">
        <w:rPr>
          <w:rFonts w:asciiTheme="majorHAnsi" w:hAnsiTheme="majorHAnsi"/>
          <w:sz w:val="20"/>
          <w:szCs w:val="20"/>
        </w:rPr>
        <w:t>цей</w:t>
      </w:r>
      <w:r w:rsidRPr="000977F7">
        <w:rPr>
          <w:rFonts w:asciiTheme="majorHAnsi" w:hAnsiTheme="majorHAnsi"/>
          <w:spacing w:val="-47"/>
          <w:sz w:val="20"/>
          <w:szCs w:val="20"/>
        </w:rPr>
        <w:t xml:space="preserve"> </w:t>
      </w:r>
      <w:r w:rsidRPr="000977F7">
        <w:rPr>
          <w:rFonts w:asciiTheme="majorHAnsi" w:hAnsiTheme="majorHAnsi"/>
          <w:sz w:val="20"/>
          <w:szCs w:val="20"/>
        </w:rPr>
        <w:t>стандарт;</w:t>
      </w:r>
    </w:p>
    <w:p w14:paraId="4BFB8F18" w14:textId="77777777" w:rsidR="0097612F" w:rsidRPr="000977F7" w:rsidRDefault="0097612F" w:rsidP="00FD39A4">
      <w:pPr>
        <w:pStyle w:val="ac"/>
        <w:widowControl w:val="0"/>
        <w:numPr>
          <w:ilvl w:val="0"/>
          <w:numId w:val="181"/>
        </w:numPr>
        <w:tabs>
          <w:tab w:val="left" w:pos="284"/>
          <w:tab w:val="left" w:pos="65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задокументовану інформацію, яку організація вважає необхідною для результативності системи управління</w:t>
      </w:r>
      <w:r w:rsidRPr="000977F7">
        <w:rPr>
          <w:rFonts w:asciiTheme="majorHAnsi" w:hAnsiTheme="majorHAnsi"/>
          <w:spacing w:val="-2"/>
          <w:sz w:val="20"/>
          <w:szCs w:val="20"/>
        </w:rPr>
        <w:t xml:space="preserve"> </w:t>
      </w:r>
      <w:r w:rsidRPr="000977F7">
        <w:rPr>
          <w:rFonts w:asciiTheme="majorHAnsi" w:hAnsiTheme="majorHAnsi"/>
          <w:sz w:val="20"/>
          <w:szCs w:val="20"/>
        </w:rPr>
        <w:t>якістю.</w:t>
      </w:r>
    </w:p>
    <w:p w14:paraId="0CAD6F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 р и м і т к а: Обсяг задокументованої інформації для</w:t>
      </w:r>
      <w:r w:rsidRPr="000977F7">
        <w:rPr>
          <w:rFonts w:asciiTheme="majorHAnsi" w:hAnsiTheme="majorHAnsi"/>
          <w:spacing w:val="-47"/>
          <w:sz w:val="20"/>
          <w:szCs w:val="20"/>
        </w:rPr>
        <w:t xml:space="preserve"> </w:t>
      </w:r>
      <w:r w:rsidRPr="000977F7">
        <w:rPr>
          <w:rFonts w:asciiTheme="majorHAnsi" w:hAnsiTheme="majorHAnsi"/>
          <w:sz w:val="20"/>
          <w:szCs w:val="20"/>
        </w:rPr>
        <w:t>системи</w:t>
      </w:r>
      <w:r w:rsidRPr="000977F7">
        <w:rPr>
          <w:rFonts w:asciiTheme="majorHAnsi" w:hAnsiTheme="majorHAnsi"/>
          <w:spacing w:val="-2"/>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3"/>
          <w:sz w:val="20"/>
          <w:szCs w:val="20"/>
        </w:rPr>
        <w:t xml:space="preserve"> </w:t>
      </w:r>
      <w:r w:rsidRPr="000977F7">
        <w:rPr>
          <w:rFonts w:asciiTheme="majorHAnsi" w:hAnsiTheme="majorHAnsi"/>
          <w:sz w:val="20"/>
          <w:szCs w:val="20"/>
        </w:rPr>
        <w:t>якістю</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3"/>
          <w:sz w:val="20"/>
          <w:szCs w:val="20"/>
        </w:rPr>
        <w:t xml:space="preserve"> </w:t>
      </w:r>
      <w:r w:rsidRPr="000977F7">
        <w:rPr>
          <w:rFonts w:asciiTheme="majorHAnsi" w:hAnsiTheme="majorHAnsi"/>
          <w:sz w:val="20"/>
          <w:szCs w:val="20"/>
        </w:rPr>
        <w:t>різних</w:t>
      </w:r>
      <w:r w:rsidRPr="000977F7">
        <w:rPr>
          <w:rFonts w:asciiTheme="majorHAnsi" w:hAnsiTheme="majorHAnsi"/>
          <w:spacing w:val="-3"/>
          <w:sz w:val="20"/>
          <w:szCs w:val="20"/>
        </w:rPr>
        <w:t xml:space="preserve"> </w:t>
      </w:r>
      <w:r w:rsidRPr="000977F7">
        <w:rPr>
          <w:rFonts w:asciiTheme="majorHAnsi" w:hAnsiTheme="majorHAnsi"/>
          <w:sz w:val="20"/>
          <w:szCs w:val="20"/>
        </w:rPr>
        <w:t>організаціях</w:t>
      </w:r>
      <w:r w:rsidRPr="000977F7">
        <w:rPr>
          <w:rFonts w:asciiTheme="majorHAnsi" w:hAnsiTheme="majorHAnsi"/>
          <w:spacing w:val="-3"/>
          <w:sz w:val="20"/>
          <w:szCs w:val="20"/>
        </w:rPr>
        <w:t xml:space="preserve"> </w:t>
      </w:r>
      <w:r w:rsidRPr="000977F7">
        <w:rPr>
          <w:rFonts w:asciiTheme="majorHAnsi" w:hAnsiTheme="majorHAnsi"/>
          <w:sz w:val="20"/>
          <w:szCs w:val="20"/>
        </w:rPr>
        <w:t>може</w:t>
      </w:r>
      <w:r w:rsidRPr="000977F7">
        <w:rPr>
          <w:rFonts w:asciiTheme="majorHAnsi" w:hAnsiTheme="majorHAnsi"/>
          <w:spacing w:val="-48"/>
          <w:sz w:val="20"/>
          <w:szCs w:val="20"/>
        </w:rPr>
        <w:t xml:space="preserve"> </w:t>
      </w:r>
      <w:r w:rsidRPr="000977F7">
        <w:rPr>
          <w:rFonts w:asciiTheme="majorHAnsi" w:hAnsiTheme="majorHAnsi"/>
          <w:sz w:val="20"/>
          <w:szCs w:val="20"/>
        </w:rPr>
        <w:t>бути</w:t>
      </w:r>
      <w:r w:rsidRPr="000977F7">
        <w:rPr>
          <w:rFonts w:asciiTheme="majorHAnsi" w:hAnsiTheme="majorHAnsi"/>
          <w:spacing w:val="-2"/>
          <w:sz w:val="20"/>
          <w:szCs w:val="20"/>
        </w:rPr>
        <w:t xml:space="preserve"> </w:t>
      </w:r>
      <w:r w:rsidRPr="000977F7">
        <w:rPr>
          <w:rFonts w:asciiTheme="majorHAnsi" w:hAnsiTheme="majorHAnsi"/>
          <w:sz w:val="20"/>
          <w:szCs w:val="20"/>
        </w:rPr>
        <w:t>різним</w:t>
      </w:r>
      <w:r w:rsidRPr="000977F7">
        <w:rPr>
          <w:rFonts w:asciiTheme="majorHAnsi" w:hAnsiTheme="majorHAnsi"/>
          <w:spacing w:val="1"/>
          <w:sz w:val="20"/>
          <w:szCs w:val="20"/>
        </w:rPr>
        <w:t xml:space="preserve"> </w:t>
      </w:r>
      <w:r w:rsidRPr="000977F7">
        <w:rPr>
          <w:rFonts w:asciiTheme="majorHAnsi" w:hAnsiTheme="majorHAnsi"/>
          <w:sz w:val="20"/>
          <w:szCs w:val="20"/>
        </w:rPr>
        <w:t>залежно</w:t>
      </w:r>
      <w:r w:rsidRPr="000977F7">
        <w:rPr>
          <w:rFonts w:asciiTheme="majorHAnsi" w:hAnsiTheme="majorHAnsi"/>
          <w:spacing w:val="1"/>
          <w:sz w:val="20"/>
          <w:szCs w:val="20"/>
        </w:rPr>
        <w:t xml:space="preserve"> </w:t>
      </w:r>
      <w:r w:rsidRPr="000977F7">
        <w:rPr>
          <w:rFonts w:asciiTheme="majorHAnsi" w:hAnsiTheme="majorHAnsi"/>
          <w:sz w:val="20"/>
          <w:szCs w:val="20"/>
        </w:rPr>
        <w:t>від</w:t>
      </w:r>
    </w:p>
    <w:p w14:paraId="74AD7EA4" w14:textId="77777777" w:rsidR="0097612F" w:rsidRPr="000977F7" w:rsidRDefault="0097612F" w:rsidP="00FD39A4">
      <w:pPr>
        <w:pStyle w:val="ac"/>
        <w:widowControl w:val="0"/>
        <w:numPr>
          <w:ilvl w:val="1"/>
          <w:numId w:val="181"/>
        </w:numPr>
        <w:tabs>
          <w:tab w:val="left" w:pos="284"/>
          <w:tab w:val="left" w:pos="114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Розміру організації, її виду діяльності, її процесів,</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p>
    <w:p w14:paraId="3EE05BF4" w14:textId="77777777" w:rsidR="0097612F" w:rsidRPr="000977F7" w:rsidRDefault="0097612F" w:rsidP="00FD39A4">
      <w:pPr>
        <w:pStyle w:val="ac"/>
        <w:widowControl w:val="0"/>
        <w:numPr>
          <w:ilvl w:val="1"/>
          <w:numId w:val="181"/>
        </w:numPr>
        <w:tabs>
          <w:tab w:val="left" w:pos="284"/>
          <w:tab w:val="left" w:pos="114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Складності</w:t>
      </w:r>
      <w:r w:rsidRPr="000977F7">
        <w:rPr>
          <w:rFonts w:asciiTheme="majorHAnsi" w:hAnsiTheme="majorHAnsi"/>
          <w:spacing w:val="-4"/>
          <w:sz w:val="20"/>
          <w:szCs w:val="20"/>
        </w:rPr>
        <w:t xml:space="preserve"> </w:t>
      </w:r>
      <w:r w:rsidRPr="000977F7">
        <w:rPr>
          <w:rFonts w:asciiTheme="majorHAnsi" w:hAnsiTheme="majorHAnsi"/>
          <w:sz w:val="20"/>
          <w:szCs w:val="20"/>
        </w:rPr>
        <w:t>процесів</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4"/>
          <w:sz w:val="20"/>
          <w:szCs w:val="20"/>
        </w:rPr>
        <w:t xml:space="preserve"> </w:t>
      </w:r>
      <w:r w:rsidRPr="000977F7">
        <w:rPr>
          <w:rFonts w:asciiTheme="majorHAnsi" w:hAnsiTheme="majorHAnsi"/>
          <w:sz w:val="20"/>
          <w:szCs w:val="20"/>
        </w:rPr>
        <w:t>їхніх</w:t>
      </w:r>
      <w:r w:rsidRPr="000977F7">
        <w:rPr>
          <w:rFonts w:asciiTheme="majorHAnsi" w:hAnsiTheme="majorHAnsi"/>
          <w:spacing w:val="-2"/>
          <w:sz w:val="20"/>
          <w:szCs w:val="20"/>
        </w:rPr>
        <w:t xml:space="preserve"> </w:t>
      </w:r>
      <w:r w:rsidRPr="000977F7">
        <w:rPr>
          <w:rFonts w:asciiTheme="majorHAnsi" w:hAnsiTheme="majorHAnsi"/>
          <w:sz w:val="20"/>
          <w:szCs w:val="20"/>
        </w:rPr>
        <w:t>взаємодій;</w:t>
      </w:r>
    </w:p>
    <w:p w14:paraId="40347B94" w14:textId="77777777" w:rsidR="0097612F" w:rsidRPr="000977F7" w:rsidRDefault="0097612F" w:rsidP="00FD39A4">
      <w:pPr>
        <w:pStyle w:val="ac"/>
        <w:widowControl w:val="0"/>
        <w:numPr>
          <w:ilvl w:val="0"/>
          <w:numId w:val="180"/>
        </w:numPr>
        <w:tabs>
          <w:tab w:val="left" w:pos="284"/>
          <w:tab w:val="left" w:pos="44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Компетентності</w:t>
      </w:r>
      <w:r w:rsidRPr="000977F7">
        <w:rPr>
          <w:rFonts w:asciiTheme="majorHAnsi" w:hAnsiTheme="majorHAnsi"/>
          <w:spacing w:val="-7"/>
          <w:sz w:val="20"/>
          <w:szCs w:val="20"/>
        </w:rPr>
        <w:t xml:space="preserve"> </w:t>
      </w:r>
      <w:r w:rsidRPr="000977F7">
        <w:rPr>
          <w:rFonts w:asciiTheme="majorHAnsi" w:hAnsiTheme="majorHAnsi"/>
          <w:sz w:val="20"/>
          <w:szCs w:val="20"/>
        </w:rPr>
        <w:t>персоналу.</w:t>
      </w:r>
    </w:p>
    <w:p w14:paraId="3875B1BC" w14:textId="77777777" w:rsidR="0097612F" w:rsidRPr="000977F7" w:rsidRDefault="0097612F" w:rsidP="00FD39A4">
      <w:pPr>
        <w:pStyle w:val="7"/>
        <w:keepNext w:val="0"/>
        <w:keepLines w:val="0"/>
        <w:widowControl w:val="0"/>
        <w:numPr>
          <w:ilvl w:val="0"/>
          <w:numId w:val="180"/>
        </w:numPr>
        <w:tabs>
          <w:tab w:val="left" w:pos="284"/>
          <w:tab w:val="left" w:pos="532"/>
        </w:tabs>
        <w:autoSpaceDE w:val="0"/>
        <w:autoSpaceDN w:val="0"/>
        <w:spacing w:before="0" w:line="240" w:lineRule="auto"/>
        <w:ind w:left="170" w:firstLine="0"/>
        <w:mirrorIndents/>
        <w:jc w:val="both"/>
        <w:rPr>
          <w:color w:val="auto"/>
          <w:sz w:val="20"/>
          <w:szCs w:val="20"/>
        </w:rPr>
      </w:pPr>
      <w:r w:rsidRPr="000977F7">
        <w:rPr>
          <w:color w:val="auto"/>
          <w:sz w:val="20"/>
          <w:szCs w:val="20"/>
        </w:rPr>
        <w:t>Створювання</w:t>
      </w:r>
      <w:r w:rsidRPr="000977F7">
        <w:rPr>
          <w:color w:val="auto"/>
          <w:spacing w:val="-4"/>
          <w:sz w:val="20"/>
          <w:szCs w:val="20"/>
        </w:rPr>
        <w:t xml:space="preserve"> </w:t>
      </w:r>
      <w:r w:rsidRPr="000977F7">
        <w:rPr>
          <w:color w:val="auto"/>
          <w:sz w:val="20"/>
          <w:szCs w:val="20"/>
        </w:rPr>
        <w:t>та</w:t>
      </w:r>
      <w:r w:rsidRPr="000977F7">
        <w:rPr>
          <w:color w:val="auto"/>
          <w:spacing w:val="-3"/>
          <w:sz w:val="20"/>
          <w:szCs w:val="20"/>
        </w:rPr>
        <w:t xml:space="preserve"> </w:t>
      </w:r>
      <w:r w:rsidRPr="000977F7">
        <w:rPr>
          <w:color w:val="auto"/>
          <w:sz w:val="20"/>
          <w:szCs w:val="20"/>
        </w:rPr>
        <w:t>актуалізація</w:t>
      </w:r>
    </w:p>
    <w:p w14:paraId="1630526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 час створювання та актуалізування задокументованої інформації організація повинна забезпечувати</w:t>
      </w:r>
      <w:r w:rsidRPr="000977F7">
        <w:rPr>
          <w:rFonts w:asciiTheme="majorHAnsi" w:hAnsiTheme="majorHAnsi"/>
          <w:spacing w:val="1"/>
          <w:sz w:val="20"/>
          <w:szCs w:val="20"/>
        </w:rPr>
        <w:t xml:space="preserve"> </w:t>
      </w:r>
      <w:r w:rsidRPr="000977F7">
        <w:rPr>
          <w:rFonts w:asciiTheme="majorHAnsi" w:hAnsiTheme="majorHAnsi"/>
          <w:sz w:val="20"/>
          <w:szCs w:val="20"/>
        </w:rPr>
        <w:t>а) належні ідентифікацію та опис (наприклад, назва,</w:t>
      </w:r>
      <w:r w:rsidRPr="000977F7">
        <w:rPr>
          <w:rFonts w:asciiTheme="majorHAnsi" w:hAnsiTheme="majorHAnsi"/>
          <w:spacing w:val="1"/>
          <w:sz w:val="20"/>
          <w:szCs w:val="20"/>
        </w:rPr>
        <w:t xml:space="preserve"> </w:t>
      </w:r>
      <w:r w:rsidRPr="000977F7">
        <w:rPr>
          <w:rFonts w:asciiTheme="majorHAnsi" w:hAnsiTheme="majorHAnsi"/>
          <w:sz w:val="20"/>
          <w:szCs w:val="20"/>
        </w:rPr>
        <w:t>дата, автор, номер для</w:t>
      </w:r>
      <w:r w:rsidRPr="000977F7">
        <w:rPr>
          <w:rFonts w:asciiTheme="majorHAnsi" w:hAnsiTheme="majorHAnsi"/>
          <w:spacing w:val="2"/>
          <w:sz w:val="20"/>
          <w:szCs w:val="20"/>
        </w:rPr>
        <w:t xml:space="preserve"> </w:t>
      </w:r>
      <w:r w:rsidRPr="000977F7">
        <w:rPr>
          <w:rFonts w:asciiTheme="majorHAnsi" w:hAnsiTheme="majorHAnsi"/>
          <w:sz w:val="20"/>
          <w:szCs w:val="20"/>
        </w:rPr>
        <w:t>посилання);</w:t>
      </w:r>
    </w:p>
    <w:p w14:paraId="56D578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 належні формат (наприклад, мова, версія програмного продукту, графічні зображення) і носії (наприклад,</w:t>
      </w:r>
      <w:r w:rsidRPr="000977F7">
        <w:rPr>
          <w:rFonts w:asciiTheme="majorHAnsi" w:hAnsiTheme="majorHAnsi"/>
          <w:spacing w:val="2"/>
          <w:sz w:val="20"/>
          <w:szCs w:val="20"/>
        </w:rPr>
        <w:t xml:space="preserve"> </w:t>
      </w:r>
      <w:r w:rsidRPr="000977F7">
        <w:rPr>
          <w:rFonts w:asciiTheme="majorHAnsi" w:hAnsiTheme="majorHAnsi"/>
          <w:sz w:val="20"/>
          <w:szCs w:val="20"/>
        </w:rPr>
        <w:t>паперовий, електронній);</w:t>
      </w:r>
    </w:p>
    <w:p w14:paraId="568387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 належні аналізування та схвалення з погляду придатності</w:t>
      </w:r>
      <w:r w:rsidRPr="000977F7">
        <w:rPr>
          <w:rFonts w:asciiTheme="majorHAnsi" w:hAnsiTheme="majorHAnsi"/>
          <w:spacing w:val="-2"/>
          <w:sz w:val="20"/>
          <w:szCs w:val="20"/>
        </w:rPr>
        <w:t xml:space="preserve"> </w:t>
      </w:r>
      <w:r w:rsidRPr="000977F7">
        <w:rPr>
          <w:rFonts w:asciiTheme="majorHAnsi" w:hAnsiTheme="majorHAnsi"/>
          <w:sz w:val="20"/>
          <w:szCs w:val="20"/>
        </w:rPr>
        <w:t>та адекватності</w:t>
      </w:r>
    </w:p>
    <w:p w14:paraId="0EF01142"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ISO 9001 - 2015</w:t>
      </w:r>
      <w:r w:rsidRPr="000977F7">
        <w:rPr>
          <w:rFonts w:asciiTheme="majorHAnsi" w:hAnsiTheme="majorHAnsi"/>
          <w:i/>
          <w:spacing w:val="1"/>
          <w:sz w:val="20"/>
          <w:szCs w:val="20"/>
        </w:rPr>
        <w:t xml:space="preserve"> </w:t>
      </w:r>
    </w:p>
    <w:p w14:paraId="2AD2D99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b/>
          <w:bCs/>
          <w:sz w:val="20"/>
          <w:szCs w:val="20"/>
          <w:shd w:val="clear" w:color="auto" w:fill="FFFFFF"/>
        </w:rPr>
        <w:t>ЗАІНТЕРЕСОВАНА СТОРОНА</w:t>
      </w:r>
      <w:r w:rsidRPr="000977F7">
        <w:rPr>
          <w:rFonts w:asciiTheme="majorHAnsi" w:hAnsiTheme="majorHAnsi"/>
          <w:sz w:val="20"/>
          <w:szCs w:val="20"/>
          <w:shd w:val="clear" w:color="auto" w:fill="FFFFFF"/>
        </w:rPr>
        <w:t xml:space="preserve"> –</w:t>
      </w:r>
    </w:p>
    <w:p w14:paraId="75F203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 xml:space="preserve">Будь-яка фізична чи юридична особа або громадське об’єднання без статусу юридичної особи (резидент чи нерезидент України), що має безпосередній або опосередкований інтерес стосовно діяльності з розроблення, прийняття та застосування технічних регламентів і передбачених ними процедур оцінки </w:t>
      </w:r>
      <w:r w:rsidRPr="000977F7">
        <w:rPr>
          <w:rFonts w:asciiTheme="majorHAnsi" w:hAnsiTheme="majorHAnsi"/>
          <w:sz w:val="20"/>
          <w:szCs w:val="20"/>
          <w:shd w:val="clear" w:color="auto" w:fill="FFFFFF"/>
        </w:rPr>
        <w:t>відповідності та/або використання результатів оцінки відповідності вимогам технічних регламентів</w:t>
      </w:r>
    </w:p>
    <w:p w14:paraId="6077151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bookmarkStart w:id="55" w:name="_Hlk103166126"/>
      <w:r w:rsidRPr="000977F7">
        <w:rPr>
          <w:rFonts w:asciiTheme="majorHAnsi" w:hAnsiTheme="majorHAnsi"/>
          <w:i/>
          <w:sz w:val="20"/>
          <w:szCs w:val="20"/>
        </w:rPr>
        <w:t>Ст. 1 закону України "Про технічні регламенти та оцінку відповідності"</w:t>
      </w:r>
    </w:p>
    <w:bookmarkEnd w:id="55"/>
    <w:p w14:paraId="53720B1F"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ЗАЙНЯТИЙ</w:t>
      </w:r>
      <w:r w:rsidRPr="000977F7">
        <w:rPr>
          <w:rFonts w:asciiTheme="majorHAnsi" w:hAnsiTheme="majorHAnsi"/>
          <w:b/>
          <w:spacing w:val="-5"/>
          <w:sz w:val="20"/>
          <w:szCs w:val="20"/>
        </w:rPr>
        <w:t xml:space="preserve"> </w:t>
      </w:r>
      <w:r w:rsidRPr="000977F7">
        <w:rPr>
          <w:rFonts w:asciiTheme="majorHAnsi" w:hAnsiTheme="majorHAnsi"/>
          <w:b/>
          <w:sz w:val="20"/>
          <w:szCs w:val="20"/>
        </w:rPr>
        <w:t>СТАН</w:t>
      </w:r>
      <w:r w:rsidRPr="000977F7">
        <w:rPr>
          <w:rFonts w:asciiTheme="majorHAnsi" w:hAnsiTheme="majorHAnsi"/>
          <w:b/>
          <w:spacing w:val="-4"/>
          <w:sz w:val="20"/>
          <w:szCs w:val="20"/>
        </w:rPr>
        <w:t xml:space="preserve"> </w:t>
      </w:r>
      <w:r w:rsidRPr="000977F7">
        <w:rPr>
          <w:rFonts w:asciiTheme="majorHAnsi" w:hAnsiTheme="majorHAnsi"/>
          <w:b/>
          <w:sz w:val="20"/>
          <w:szCs w:val="20"/>
        </w:rPr>
        <w:t>–</w:t>
      </w:r>
      <w:r w:rsidRPr="000977F7">
        <w:rPr>
          <w:rFonts w:asciiTheme="majorHAnsi" w:hAnsiTheme="majorHAnsi"/>
          <w:b/>
          <w:spacing w:val="-47"/>
          <w:sz w:val="20"/>
          <w:szCs w:val="20"/>
        </w:rPr>
        <w:t xml:space="preserve"> </w:t>
      </w:r>
    </w:p>
    <w:p w14:paraId="59217B5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BUSY</w:t>
      </w:r>
      <w:r w:rsidRPr="000977F7">
        <w:rPr>
          <w:rFonts w:asciiTheme="majorHAnsi" w:hAnsiTheme="majorHAnsi"/>
          <w:spacing w:val="-1"/>
          <w:sz w:val="20"/>
          <w:szCs w:val="20"/>
        </w:rPr>
        <w:t xml:space="preserve"> </w:t>
      </w:r>
      <w:r w:rsidRPr="000977F7">
        <w:rPr>
          <w:rFonts w:asciiTheme="majorHAnsi" w:hAnsiTheme="majorHAnsi"/>
          <w:sz w:val="20"/>
          <w:szCs w:val="20"/>
        </w:rPr>
        <w:t>STATE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48521E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 об’єкта, в якому він виконує потрібну для споживача функцію і тому недоступний для інших споживачів</w:t>
      </w:r>
    </w:p>
    <w:p w14:paraId="3272735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2391:2010</w:t>
      </w:r>
    </w:p>
    <w:p w14:paraId="6BBF6A9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ЗАКОН</w:t>
      </w:r>
      <w:r w:rsidRPr="000977F7">
        <w:rPr>
          <w:color w:val="auto"/>
          <w:spacing w:val="-4"/>
          <w:sz w:val="20"/>
          <w:szCs w:val="20"/>
        </w:rPr>
        <w:t xml:space="preserve"> </w:t>
      </w:r>
      <w:r w:rsidRPr="000977F7">
        <w:rPr>
          <w:color w:val="auto"/>
          <w:sz w:val="20"/>
          <w:szCs w:val="20"/>
        </w:rPr>
        <w:t>КЕРУВАННЯ -</w:t>
      </w:r>
    </w:p>
    <w:p w14:paraId="2969974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CONTROL</w:t>
      </w:r>
      <w:r w:rsidRPr="000977F7">
        <w:rPr>
          <w:rFonts w:asciiTheme="majorHAnsi" w:hAnsiTheme="majorHAnsi"/>
          <w:spacing w:val="-3"/>
          <w:sz w:val="20"/>
          <w:szCs w:val="20"/>
        </w:rPr>
        <w:t xml:space="preserve"> </w:t>
      </w:r>
      <w:r w:rsidRPr="000977F7">
        <w:rPr>
          <w:rFonts w:asciiTheme="majorHAnsi" w:hAnsiTheme="majorHAnsi"/>
          <w:sz w:val="20"/>
          <w:szCs w:val="20"/>
        </w:rPr>
        <w:t>LAW -</w:t>
      </w:r>
    </w:p>
    <w:p w14:paraId="52DD1F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Залежність</w:t>
      </w:r>
      <w:r w:rsidRPr="000977F7">
        <w:rPr>
          <w:rFonts w:asciiTheme="majorHAnsi" w:hAnsiTheme="majorHAnsi"/>
          <w:spacing w:val="-5"/>
          <w:sz w:val="20"/>
          <w:szCs w:val="20"/>
        </w:rPr>
        <w:t xml:space="preserve"> </w:t>
      </w:r>
      <w:r w:rsidRPr="000977F7">
        <w:rPr>
          <w:rFonts w:asciiTheme="majorHAnsi" w:hAnsiTheme="majorHAnsi"/>
          <w:sz w:val="20"/>
          <w:szCs w:val="20"/>
        </w:rPr>
        <w:t>між</w:t>
      </w:r>
      <w:r w:rsidRPr="000977F7">
        <w:rPr>
          <w:rFonts w:asciiTheme="majorHAnsi" w:hAnsiTheme="majorHAnsi"/>
          <w:spacing w:val="-4"/>
          <w:sz w:val="20"/>
          <w:szCs w:val="20"/>
        </w:rPr>
        <w:t xml:space="preserve"> </w:t>
      </w:r>
      <w:r w:rsidRPr="000977F7">
        <w:rPr>
          <w:rFonts w:asciiTheme="majorHAnsi" w:hAnsiTheme="majorHAnsi"/>
          <w:sz w:val="20"/>
          <w:szCs w:val="20"/>
        </w:rPr>
        <w:t>задавальними</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керівними</w:t>
      </w:r>
      <w:r w:rsidRPr="000977F7">
        <w:rPr>
          <w:rFonts w:asciiTheme="majorHAnsi" w:hAnsiTheme="majorHAnsi"/>
          <w:spacing w:val="-4"/>
          <w:sz w:val="20"/>
          <w:szCs w:val="20"/>
        </w:rPr>
        <w:t xml:space="preserve"> </w:t>
      </w:r>
      <w:r w:rsidRPr="000977F7">
        <w:rPr>
          <w:rFonts w:asciiTheme="majorHAnsi" w:hAnsiTheme="majorHAnsi"/>
          <w:sz w:val="20"/>
          <w:szCs w:val="20"/>
        </w:rPr>
        <w:t>діяннями</w:t>
      </w:r>
      <w:r w:rsidRPr="000977F7">
        <w:rPr>
          <w:rFonts w:asciiTheme="majorHAnsi" w:hAnsiTheme="majorHAnsi"/>
          <w:spacing w:val="-47"/>
          <w:sz w:val="20"/>
          <w:szCs w:val="20"/>
        </w:rPr>
        <w:t xml:space="preserve"> </w:t>
      </w:r>
      <w:r w:rsidRPr="000977F7">
        <w:rPr>
          <w:rFonts w:asciiTheme="majorHAnsi" w:hAnsiTheme="majorHAnsi"/>
          <w:sz w:val="20"/>
          <w:szCs w:val="20"/>
        </w:rPr>
        <w:t>ДСТУ 3956 - 2000</w:t>
      </w:r>
    </w:p>
    <w:p w14:paraId="081572D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ЗАКОН</w:t>
      </w:r>
      <w:r w:rsidRPr="000977F7">
        <w:rPr>
          <w:color w:val="auto"/>
          <w:spacing w:val="-3"/>
          <w:sz w:val="20"/>
          <w:szCs w:val="20"/>
        </w:rPr>
        <w:t xml:space="preserve"> </w:t>
      </w:r>
      <w:r w:rsidRPr="000977F7">
        <w:rPr>
          <w:color w:val="auto"/>
          <w:sz w:val="20"/>
          <w:szCs w:val="20"/>
        </w:rPr>
        <w:t>НАВАНТАЖУВАННЯ</w:t>
      </w:r>
      <w:r w:rsidRPr="000977F7">
        <w:rPr>
          <w:color w:val="auto"/>
          <w:spacing w:val="-1"/>
          <w:sz w:val="20"/>
          <w:szCs w:val="20"/>
        </w:rPr>
        <w:t xml:space="preserve"> </w:t>
      </w:r>
      <w:r w:rsidRPr="000977F7">
        <w:rPr>
          <w:color w:val="auto"/>
          <w:sz w:val="20"/>
          <w:szCs w:val="20"/>
        </w:rPr>
        <w:t>—</w:t>
      </w:r>
    </w:p>
    <w:p w14:paraId="39E2612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FORM</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LOADING;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STREES</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SEQUENCE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3CB66CA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Функція,</w:t>
      </w:r>
      <w:r w:rsidRPr="000977F7">
        <w:rPr>
          <w:rFonts w:asciiTheme="majorHAnsi" w:hAnsiTheme="majorHAnsi"/>
          <w:spacing w:val="-4"/>
          <w:sz w:val="20"/>
          <w:szCs w:val="20"/>
        </w:rPr>
        <w:t xml:space="preserve"> </w:t>
      </w:r>
      <w:r w:rsidRPr="000977F7">
        <w:rPr>
          <w:rFonts w:asciiTheme="majorHAnsi" w:hAnsiTheme="majorHAnsi"/>
          <w:sz w:val="20"/>
          <w:szCs w:val="20"/>
        </w:rPr>
        <w:t>щo</w:t>
      </w:r>
      <w:r w:rsidRPr="000977F7">
        <w:rPr>
          <w:rFonts w:asciiTheme="majorHAnsi" w:hAnsiTheme="majorHAnsi"/>
          <w:spacing w:val="-2"/>
          <w:sz w:val="20"/>
          <w:szCs w:val="20"/>
        </w:rPr>
        <w:t xml:space="preserve"> </w:t>
      </w:r>
      <w:r w:rsidRPr="000977F7">
        <w:rPr>
          <w:rFonts w:asciiTheme="majorHAnsi" w:hAnsiTheme="majorHAnsi"/>
          <w:sz w:val="20"/>
          <w:szCs w:val="20"/>
        </w:rPr>
        <w:t>описує</w:t>
      </w:r>
      <w:r w:rsidRPr="000977F7">
        <w:rPr>
          <w:rFonts w:asciiTheme="majorHAnsi" w:hAnsiTheme="majorHAnsi"/>
          <w:spacing w:val="-3"/>
          <w:sz w:val="20"/>
          <w:szCs w:val="20"/>
        </w:rPr>
        <w:t xml:space="preserve"> </w:t>
      </w:r>
      <w:r w:rsidRPr="000977F7">
        <w:rPr>
          <w:rFonts w:asciiTheme="majorHAnsi" w:hAnsiTheme="majorHAnsi"/>
          <w:sz w:val="20"/>
          <w:szCs w:val="20"/>
        </w:rPr>
        <w:t>змінювання</w:t>
      </w:r>
      <w:r w:rsidRPr="000977F7">
        <w:rPr>
          <w:rFonts w:asciiTheme="majorHAnsi" w:hAnsiTheme="majorHAnsi"/>
          <w:spacing w:val="-5"/>
          <w:sz w:val="20"/>
          <w:szCs w:val="20"/>
        </w:rPr>
        <w:t xml:space="preserve"> </w:t>
      </w:r>
      <w:r w:rsidRPr="000977F7">
        <w:rPr>
          <w:rFonts w:asciiTheme="majorHAnsi" w:hAnsiTheme="majorHAnsi"/>
          <w:sz w:val="20"/>
          <w:szCs w:val="20"/>
        </w:rPr>
        <w:t>навантаження</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часі</w:t>
      </w:r>
    </w:p>
    <w:p w14:paraId="3D73788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1E35A17"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shd w:val="clear" w:color="auto" w:fill="FFFFFF"/>
        </w:rPr>
      </w:pPr>
      <w:r w:rsidRPr="000977F7">
        <w:rPr>
          <w:rFonts w:asciiTheme="majorHAnsi" w:hAnsiTheme="majorHAnsi"/>
          <w:b/>
          <w:bCs/>
          <w:sz w:val="20"/>
          <w:szCs w:val="20"/>
          <w:shd w:val="clear" w:color="auto" w:fill="FFFFFF"/>
        </w:rPr>
        <w:t>ЗАКОНОДАВСТВО ЄВРОПЕЙСЬКОГО СОЮЗУ ЩОДО ГАРМОНІЗАЦІЇ –</w:t>
      </w:r>
    </w:p>
    <w:p w14:paraId="5A03DA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Будь-які акти законодавства Європейського Союзу, що гармонізують умови впровадження продукції на ринок</w:t>
      </w:r>
    </w:p>
    <w:p w14:paraId="60E9132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 закону України "Про технічні регламенти та оцінку відповідності"</w:t>
      </w:r>
    </w:p>
    <w:p w14:paraId="688FFBF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ЗАКОНОДАВЧА</w:t>
      </w:r>
      <w:r w:rsidRPr="000977F7">
        <w:rPr>
          <w:color w:val="auto"/>
          <w:spacing w:val="-4"/>
          <w:sz w:val="20"/>
          <w:szCs w:val="20"/>
        </w:rPr>
        <w:t xml:space="preserve"> </w:t>
      </w:r>
      <w:r w:rsidRPr="000977F7">
        <w:rPr>
          <w:color w:val="auto"/>
          <w:sz w:val="20"/>
          <w:szCs w:val="20"/>
        </w:rPr>
        <w:t>ВИМОГА</w:t>
      </w:r>
      <w:r w:rsidRPr="000977F7">
        <w:rPr>
          <w:color w:val="auto"/>
          <w:spacing w:val="-1"/>
          <w:sz w:val="20"/>
          <w:szCs w:val="20"/>
        </w:rPr>
        <w:t xml:space="preserve"> </w:t>
      </w:r>
      <w:r w:rsidRPr="000977F7">
        <w:rPr>
          <w:color w:val="auto"/>
          <w:sz w:val="20"/>
          <w:szCs w:val="20"/>
        </w:rPr>
        <w:t>–</w:t>
      </w:r>
    </w:p>
    <w:p w14:paraId="76C1C27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STATUTORY</w:t>
      </w:r>
      <w:r w:rsidRPr="000977F7">
        <w:rPr>
          <w:rFonts w:asciiTheme="majorHAnsi" w:hAnsiTheme="majorHAnsi"/>
          <w:spacing w:val="-3"/>
          <w:sz w:val="20"/>
          <w:szCs w:val="20"/>
        </w:rPr>
        <w:t xml:space="preserve"> </w:t>
      </w:r>
      <w:r w:rsidRPr="000977F7">
        <w:rPr>
          <w:rFonts w:asciiTheme="majorHAnsi" w:hAnsiTheme="majorHAnsi"/>
          <w:sz w:val="20"/>
          <w:szCs w:val="20"/>
        </w:rPr>
        <w:t>REQUIREMENT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024E2E9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Обов’язкова вимога, установлена законодавчим</w:t>
      </w:r>
      <w:r w:rsidRPr="000977F7">
        <w:rPr>
          <w:rFonts w:asciiTheme="majorHAnsi" w:hAnsiTheme="majorHAnsi"/>
          <w:spacing w:val="-2"/>
          <w:sz w:val="20"/>
          <w:szCs w:val="20"/>
        </w:rPr>
        <w:t xml:space="preserve"> </w:t>
      </w:r>
      <w:r w:rsidRPr="000977F7">
        <w:rPr>
          <w:rFonts w:asciiTheme="majorHAnsi" w:hAnsiTheme="majorHAnsi"/>
          <w:sz w:val="20"/>
          <w:szCs w:val="20"/>
        </w:rPr>
        <w:t>органом</w:t>
      </w:r>
    </w:p>
    <w:p w14:paraId="0C5F1FB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385091C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ЗАКОНОДАВЧА</w:t>
      </w:r>
      <w:r w:rsidRPr="000977F7">
        <w:rPr>
          <w:color w:val="auto"/>
          <w:spacing w:val="-4"/>
          <w:sz w:val="20"/>
          <w:szCs w:val="20"/>
        </w:rPr>
        <w:t xml:space="preserve"> </w:t>
      </w:r>
      <w:r w:rsidRPr="000977F7">
        <w:rPr>
          <w:color w:val="auto"/>
          <w:sz w:val="20"/>
          <w:szCs w:val="20"/>
        </w:rPr>
        <w:t>МЕТРОЛОГІЯ</w:t>
      </w:r>
      <w:r w:rsidRPr="000977F7">
        <w:rPr>
          <w:color w:val="auto"/>
          <w:spacing w:val="-2"/>
          <w:sz w:val="20"/>
          <w:szCs w:val="20"/>
        </w:rPr>
        <w:t xml:space="preserve"> </w:t>
      </w:r>
      <w:r w:rsidRPr="000977F7">
        <w:rPr>
          <w:color w:val="auto"/>
          <w:sz w:val="20"/>
          <w:szCs w:val="20"/>
        </w:rPr>
        <w:t>–</w:t>
      </w:r>
    </w:p>
    <w:p w14:paraId="05F5C8D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LEGAL</w:t>
      </w:r>
      <w:r w:rsidRPr="000977F7">
        <w:rPr>
          <w:rFonts w:asciiTheme="majorHAnsi" w:hAnsiTheme="majorHAnsi"/>
          <w:spacing w:val="-4"/>
          <w:sz w:val="20"/>
          <w:szCs w:val="20"/>
        </w:rPr>
        <w:t xml:space="preserve"> </w:t>
      </w:r>
      <w:r w:rsidRPr="000977F7">
        <w:rPr>
          <w:rFonts w:asciiTheme="majorHAnsi" w:hAnsiTheme="majorHAnsi"/>
          <w:sz w:val="20"/>
          <w:szCs w:val="20"/>
        </w:rPr>
        <w:t>METROLOGY –</w:t>
      </w:r>
    </w:p>
    <w:p w14:paraId="4126C23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метрології, що містить законодавчі акти, правила, вимоги та норми, які регламентуються і контролюються державою для забезпечення єдності вимірювань</w:t>
      </w:r>
    </w:p>
    <w:p w14:paraId="06F47C5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C53B5D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ЗАКРІПЛЕННЯ</w:t>
      </w:r>
      <w:r w:rsidRPr="000977F7">
        <w:rPr>
          <w:color w:val="auto"/>
          <w:spacing w:val="-4"/>
          <w:sz w:val="20"/>
          <w:szCs w:val="20"/>
        </w:rPr>
        <w:t xml:space="preserve"> </w:t>
      </w:r>
      <w:r w:rsidRPr="000977F7">
        <w:rPr>
          <w:color w:val="auto"/>
          <w:sz w:val="20"/>
          <w:szCs w:val="20"/>
        </w:rPr>
        <w:t>–</w:t>
      </w:r>
    </w:p>
    <w:p w14:paraId="627463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СLAMPING</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61F06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Прикладання сил чи пари сил до предмета праці для</w:t>
      </w:r>
      <w:r w:rsidRPr="000977F7">
        <w:rPr>
          <w:rFonts w:asciiTheme="majorHAnsi" w:hAnsiTheme="majorHAnsi"/>
          <w:spacing w:val="1"/>
          <w:sz w:val="20"/>
          <w:szCs w:val="20"/>
        </w:rPr>
        <w:t xml:space="preserve"> </w:t>
      </w:r>
      <w:r w:rsidRPr="000977F7">
        <w:rPr>
          <w:rFonts w:asciiTheme="majorHAnsi" w:hAnsiTheme="majorHAnsi"/>
          <w:sz w:val="20"/>
          <w:szCs w:val="20"/>
        </w:rPr>
        <w:t>забезпечення незмінності його положення, досягнутого під</w:t>
      </w:r>
      <w:r w:rsidRPr="000977F7">
        <w:rPr>
          <w:rFonts w:asciiTheme="majorHAnsi" w:hAnsiTheme="majorHAnsi"/>
          <w:spacing w:val="-1"/>
          <w:sz w:val="20"/>
          <w:szCs w:val="20"/>
        </w:rPr>
        <w:t xml:space="preserve"> </w:t>
      </w:r>
      <w:r w:rsidRPr="000977F7">
        <w:rPr>
          <w:rFonts w:asciiTheme="majorHAnsi" w:hAnsiTheme="majorHAnsi"/>
          <w:sz w:val="20"/>
          <w:szCs w:val="20"/>
        </w:rPr>
        <w:t>час базування.</w:t>
      </w:r>
    </w:p>
    <w:p w14:paraId="0F36517F"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2391:2010</w:t>
      </w:r>
    </w:p>
    <w:p w14:paraId="31E135A7" w14:textId="77777777" w:rsidR="0097612F" w:rsidRPr="004D2D14" w:rsidRDefault="0097612F" w:rsidP="000977F7">
      <w:pPr>
        <w:tabs>
          <w:tab w:val="left" w:pos="284"/>
        </w:tabs>
        <w:spacing w:after="0" w:line="240" w:lineRule="auto"/>
        <w:ind w:left="170"/>
        <w:mirrorIndents/>
        <w:jc w:val="both"/>
        <w:rPr>
          <w:rFonts w:asciiTheme="majorHAnsi" w:hAnsiTheme="majorHAnsi"/>
          <w:spacing w:val="1"/>
          <w:sz w:val="20"/>
          <w:szCs w:val="20"/>
          <w:lang w:val="en-US"/>
        </w:rPr>
      </w:pPr>
      <w:r w:rsidRPr="000977F7">
        <w:rPr>
          <w:rFonts w:asciiTheme="majorHAnsi" w:hAnsiTheme="majorHAnsi"/>
          <w:b/>
          <w:sz w:val="20"/>
          <w:szCs w:val="20"/>
        </w:rPr>
        <w:t>ЗАЛЕЖНА</w:t>
      </w:r>
      <w:r w:rsidRPr="004D2D14">
        <w:rPr>
          <w:rFonts w:asciiTheme="majorHAnsi" w:hAnsiTheme="majorHAnsi"/>
          <w:b/>
          <w:sz w:val="20"/>
          <w:szCs w:val="20"/>
          <w:lang w:val="en-US"/>
        </w:rPr>
        <w:t xml:space="preserve"> </w:t>
      </w:r>
      <w:r w:rsidRPr="000977F7">
        <w:rPr>
          <w:rFonts w:asciiTheme="majorHAnsi" w:hAnsiTheme="majorHAnsi"/>
          <w:b/>
          <w:sz w:val="20"/>
          <w:szCs w:val="20"/>
        </w:rPr>
        <w:t>ВІДМОВА</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p>
    <w:p w14:paraId="27D40A35"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SECONDARY</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w:t>
      </w:r>
    </w:p>
    <w:p w14:paraId="0C98521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 об’єкта, спричинена прямо чи непрямо відмовою</w:t>
      </w:r>
      <w:r w:rsidRPr="000977F7">
        <w:rPr>
          <w:rFonts w:asciiTheme="majorHAnsi" w:hAnsiTheme="majorHAnsi"/>
          <w:spacing w:val="-1"/>
          <w:sz w:val="20"/>
          <w:szCs w:val="20"/>
        </w:rPr>
        <w:t xml:space="preserve"> </w:t>
      </w:r>
      <w:r w:rsidRPr="000977F7">
        <w:rPr>
          <w:rFonts w:asciiTheme="majorHAnsi" w:hAnsiTheme="majorHAnsi"/>
          <w:sz w:val="20"/>
          <w:szCs w:val="20"/>
        </w:rPr>
        <w:t>або несправністю іншого об’єкта</w:t>
      </w:r>
    </w:p>
    <w:p w14:paraId="4A9331F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BF0041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ЗАЛИШКОВА</w:t>
      </w:r>
      <w:r w:rsidRPr="000977F7">
        <w:rPr>
          <w:color w:val="auto"/>
          <w:spacing w:val="-4"/>
          <w:sz w:val="20"/>
          <w:szCs w:val="20"/>
        </w:rPr>
        <w:t xml:space="preserve"> </w:t>
      </w:r>
      <w:r w:rsidRPr="000977F7">
        <w:rPr>
          <w:color w:val="auto"/>
          <w:sz w:val="20"/>
          <w:szCs w:val="20"/>
        </w:rPr>
        <w:t>ДЕФОРМАЦІЯ</w:t>
      </w:r>
      <w:r w:rsidRPr="000977F7">
        <w:rPr>
          <w:color w:val="auto"/>
          <w:spacing w:val="-2"/>
          <w:sz w:val="20"/>
          <w:szCs w:val="20"/>
        </w:rPr>
        <w:t xml:space="preserve"> </w:t>
      </w:r>
      <w:r w:rsidRPr="000977F7">
        <w:rPr>
          <w:color w:val="auto"/>
          <w:sz w:val="20"/>
          <w:szCs w:val="20"/>
        </w:rPr>
        <w:t>–</w:t>
      </w:r>
    </w:p>
    <w:p w14:paraId="11D9541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RESIDUAL</w:t>
      </w:r>
      <w:r w:rsidRPr="000977F7">
        <w:rPr>
          <w:rFonts w:asciiTheme="majorHAnsi" w:hAnsiTheme="majorHAnsi"/>
          <w:spacing w:val="-4"/>
          <w:sz w:val="20"/>
          <w:szCs w:val="20"/>
        </w:rPr>
        <w:t xml:space="preserve"> </w:t>
      </w:r>
      <w:r w:rsidRPr="000977F7">
        <w:rPr>
          <w:rFonts w:asciiTheme="majorHAnsi" w:hAnsiTheme="majorHAnsi"/>
          <w:sz w:val="20"/>
          <w:szCs w:val="20"/>
        </w:rPr>
        <w:t>STRAIN –</w:t>
      </w:r>
    </w:p>
    <w:p w14:paraId="597B2A7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Деформація, що залишається після усунення навантаження,</w:t>
      </w:r>
      <w:r w:rsidRPr="000977F7">
        <w:rPr>
          <w:rFonts w:asciiTheme="majorHAnsi" w:hAnsiTheme="majorHAnsi"/>
          <w:spacing w:val="-1"/>
          <w:sz w:val="20"/>
          <w:szCs w:val="20"/>
        </w:rPr>
        <w:t xml:space="preserve"> </w:t>
      </w:r>
      <w:r w:rsidRPr="000977F7">
        <w:rPr>
          <w:rFonts w:asciiTheme="majorHAnsi" w:hAnsiTheme="majorHAnsi"/>
          <w:sz w:val="20"/>
          <w:szCs w:val="20"/>
        </w:rPr>
        <w:t>яке її</w:t>
      </w:r>
      <w:r w:rsidRPr="000977F7">
        <w:rPr>
          <w:rFonts w:asciiTheme="majorHAnsi" w:hAnsiTheme="majorHAnsi"/>
          <w:spacing w:val="-1"/>
          <w:sz w:val="20"/>
          <w:szCs w:val="20"/>
        </w:rPr>
        <w:t xml:space="preserve"> </w:t>
      </w:r>
      <w:r w:rsidRPr="000977F7">
        <w:rPr>
          <w:rFonts w:asciiTheme="majorHAnsi" w:hAnsiTheme="majorHAnsi"/>
          <w:sz w:val="20"/>
          <w:szCs w:val="20"/>
        </w:rPr>
        <w:t>викликало</w:t>
      </w:r>
    </w:p>
    <w:p w14:paraId="65187DE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7A2F7F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ЗАЛИШКОВИЙ</w:t>
      </w:r>
      <w:r w:rsidRPr="000977F7">
        <w:rPr>
          <w:color w:val="auto"/>
          <w:spacing w:val="-4"/>
          <w:sz w:val="20"/>
          <w:szCs w:val="20"/>
        </w:rPr>
        <w:t xml:space="preserve"> </w:t>
      </w:r>
      <w:r w:rsidRPr="000977F7">
        <w:rPr>
          <w:color w:val="auto"/>
          <w:sz w:val="20"/>
          <w:szCs w:val="20"/>
        </w:rPr>
        <w:t>РЕСУРС</w:t>
      </w:r>
      <w:r w:rsidRPr="000977F7">
        <w:rPr>
          <w:color w:val="auto"/>
          <w:spacing w:val="1"/>
          <w:sz w:val="20"/>
          <w:szCs w:val="20"/>
        </w:rPr>
        <w:t xml:space="preserve"> </w:t>
      </w:r>
      <w:r w:rsidRPr="000977F7">
        <w:rPr>
          <w:color w:val="auto"/>
          <w:sz w:val="20"/>
          <w:szCs w:val="20"/>
        </w:rPr>
        <w:t>–</w:t>
      </w:r>
    </w:p>
    <w:p w14:paraId="42105C0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RESIDUAL</w:t>
      </w:r>
      <w:r w:rsidRPr="000977F7">
        <w:rPr>
          <w:rFonts w:asciiTheme="majorHAnsi" w:hAnsiTheme="majorHAnsi"/>
          <w:spacing w:val="-2"/>
          <w:sz w:val="20"/>
          <w:szCs w:val="20"/>
        </w:rPr>
        <w:t xml:space="preserve"> </w:t>
      </w:r>
      <w:r w:rsidRPr="000977F7">
        <w:rPr>
          <w:rFonts w:asciiTheme="majorHAnsi" w:hAnsiTheme="majorHAnsi"/>
          <w:sz w:val="20"/>
          <w:szCs w:val="20"/>
        </w:rPr>
        <w:t>LIFE –</w:t>
      </w:r>
    </w:p>
    <w:p w14:paraId="08A8794E"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Сумарний</w:t>
      </w:r>
      <w:r w:rsidRPr="000977F7">
        <w:rPr>
          <w:rFonts w:asciiTheme="majorHAnsi" w:hAnsiTheme="majorHAnsi"/>
          <w:spacing w:val="1"/>
          <w:sz w:val="20"/>
          <w:szCs w:val="20"/>
        </w:rPr>
        <w:t xml:space="preserve"> </w:t>
      </w:r>
      <w:r w:rsidRPr="000977F7">
        <w:rPr>
          <w:rFonts w:asciiTheme="majorHAnsi" w:hAnsiTheme="majorHAnsi"/>
          <w:sz w:val="20"/>
          <w:szCs w:val="20"/>
        </w:rPr>
        <w:t>наробіток</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моменту</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47"/>
          <w:sz w:val="20"/>
          <w:szCs w:val="20"/>
        </w:rPr>
        <w:t xml:space="preserve"> </w:t>
      </w:r>
      <w:r w:rsidRPr="000977F7">
        <w:rPr>
          <w:rFonts w:asciiTheme="majorHAnsi" w:hAnsiTheme="majorHAnsi"/>
          <w:sz w:val="20"/>
          <w:szCs w:val="20"/>
        </w:rPr>
        <w:t>його технічного стану до переходу в граничний стан</w:t>
      </w:r>
      <w:r w:rsidRPr="000977F7">
        <w:rPr>
          <w:rFonts w:asciiTheme="majorHAnsi" w:hAnsiTheme="majorHAns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2424E3F" w14:textId="77777777" w:rsidR="0097612F" w:rsidRPr="000977F7" w:rsidRDefault="0097612F" w:rsidP="000977F7">
      <w:pPr>
        <w:pStyle w:val="af6"/>
        <w:tabs>
          <w:tab w:val="left" w:pos="284"/>
        </w:tabs>
        <w:spacing w:after="0"/>
        <w:ind w:left="170"/>
        <w:mirrorIndents/>
        <w:jc w:val="both"/>
        <w:rPr>
          <w:rFonts w:asciiTheme="majorHAnsi" w:hAnsiTheme="majorHAnsi"/>
          <w:b/>
          <w:bCs/>
          <w:iCs/>
          <w:sz w:val="20"/>
          <w:szCs w:val="20"/>
        </w:rPr>
      </w:pPr>
      <w:bookmarkStart w:id="56" w:name="_Hlk103657557"/>
      <w:r w:rsidRPr="000977F7">
        <w:rPr>
          <w:rFonts w:asciiTheme="majorHAnsi" w:hAnsiTheme="majorHAnsi"/>
          <w:b/>
          <w:bCs/>
          <w:iCs/>
          <w:sz w:val="20"/>
          <w:szCs w:val="20"/>
        </w:rPr>
        <w:t>ЗАЛИШКОВИЙ РИЗИК –</w:t>
      </w:r>
    </w:p>
    <w:p w14:paraId="04C0A779" w14:textId="77777777" w:rsidR="0097612F" w:rsidRPr="000977F7" w:rsidRDefault="0097612F" w:rsidP="000977F7">
      <w:pPr>
        <w:pStyle w:val="af6"/>
        <w:tabs>
          <w:tab w:val="left" w:pos="284"/>
        </w:tabs>
        <w:spacing w:after="0"/>
        <w:ind w:left="170"/>
        <w:mirrorIndents/>
        <w:jc w:val="both"/>
        <w:rPr>
          <w:rFonts w:asciiTheme="majorHAnsi" w:hAnsiTheme="majorHAnsi"/>
          <w:iCs/>
          <w:sz w:val="20"/>
          <w:szCs w:val="20"/>
        </w:rPr>
      </w:pPr>
      <w:r w:rsidRPr="000977F7">
        <w:rPr>
          <w:rFonts w:asciiTheme="majorHAnsi" w:hAnsiTheme="majorHAnsi"/>
          <w:iCs/>
          <w:sz w:val="20"/>
          <w:szCs w:val="20"/>
        </w:rPr>
        <w:t>RESIDUAL RISK -</w:t>
      </w:r>
    </w:p>
    <w:bookmarkEnd w:id="56"/>
    <w:p w14:paraId="6DE585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Ризик, що залишається після вжиття захисних заходів. Примітка 1. У цьому стандарті розрізняють:</w:t>
      </w:r>
    </w:p>
    <w:p w14:paraId="19434B1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 залишковий ризик після прийняття захисних засобів проектантом;</w:t>
      </w:r>
    </w:p>
    <w:p w14:paraId="45A3E1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залишковий ризик після прийняття всіх захисних заходів.</w:t>
      </w:r>
    </w:p>
    <w:p w14:paraId="3B10F3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Примітка 2. Див. також рисунок 2 </w:t>
      </w:r>
    </w:p>
    <w:p w14:paraId="145F48AC"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2673B88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ЗАМІЩУВАЛЬНЕ</w:t>
      </w:r>
      <w:r w:rsidRPr="000977F7">
        <w:rPr>
          <w:color w:val="auto"/>
          <w:spacing w:val="-5"/>
          <w:sz w:val="20"/>
          <w:szCs w:val="20"/>
        </w:rPr>
        <w:t xml:space="preserve"> </w:t>
      </w:r>
      <w:r w:rsidRPr="000977F7">
        <w:rPr>
          <w:color w:val="auto"/>
          <w:sz w:val="20"/>
          <w:szCs w:val="20"/>
        </w:rPr>
        <w:t>РЕЗЕРВУВАННЯ</w:t>
      </w:r>
      <w:r w:rsidRPr="000977F7">
        <w:rPr>
          <w:color w:val="auto"/>
          <w:spacing w:val="-1"/>
          <w:sz w:val="20"/>
          <w:szCs w:val="20"/>
        </w:rPr>
        <w:t xml:space="preserve"> </w:t>
      </w:r>
      <w:r w:rsidRPr="000977F7">
        <w:rPr>
          <w:color w:val="auto"/>
          <w:sz w:val="20"/>
          <w:szCs w:val="20"/>
        </w:rPr>
        <w:t>–</w:t>
      </w:r>
    </w:p>
    <w:p w14:paraId="407A651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STANDBY</w:t>
      </w:r>
      <w:r w:rsidRPr="000977F7">
        <w:rPr>
          <w:rFonts w:asciiTheme="majorHAnsi" w:hAnsiTheme="majorHAnsi"/>
          <w:spacing w:val="-3"/>
          <w:sz w:val="20"/>
          <w:szCs w:val="20"/>
        </w:rPr>
        <w:t xml:space="preserve"> </w:t>
      </w:r>
      <w:r w:rsidRPr="000977F7">
        <w:rPr>
          <w:rFonts w:asciiTheme="majorHAnsi" w:hAnsiTheme="majorHAnsi"/>
          <w:sz w:val="20"/>
          <w:szCs w:val="20"/>
        </w:rPr>
        <w:t>REDUNDANCY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285D61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Резервування,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якому</w:t>
      </w:r>
      <w:r w:rsidRPr="000977F7">
        <w:rPr>
          <w:rFonts w:asciiTheme="majorHAnsi" w:hAnsiTheme="majorHAnsi"/>
          <w:spacing w:val="1"/>
          <w:sz w:val="20"/>
          <w:szCs w:val="20"/>
        </w:rPr>
        <w:t xml:space="preserve"> </w:t>
      </w:r>
      <w:r w:rsidRPr="000977F7">
        <w:rPr>
          <w:rFonts w:asciiTheme="majorHAnsi" w:hAnsiTheme="majorHAnsi"/>
          <w:sz w:val="20"/>
          <w:szCs w:val="20"/>
        </w:rPr>
        <w:t>функції</w:t>
      </w:r>
      <w:r w:rsidRPr="000977F7">
        <w:rPr>
          <w:rFonts w:asciiTheme="majorHAnsi" w:hAnsiTheme="majorHAnsi"/>
          <w:spacing w:val="1"/>
          <w:sz w:val="20"/>
          <w:szCs w:val="20"/>
        </w:rPr>
        <w:t xml:space="preserve"> </w:t>
      </w:r>
      <w:r w:rsidRPr="000977F7">
        <w:rPr>
          <w:rFonts w:asciiTheme="majorHAnsi" w:hAnsiTheme="majorHAnsi"/>
          <w:sz w:val="20"/>
          <w:szCs w:val="20"/>
        </w:rPr>
        <w:t>основного</w:t>
      </w:r>
      <w:r w:rsidRPr="000977F7">
        <w:rPr>
          <w:rFonts w:asciiTheme="majorHAnsi" w:hAnsiTheme="majorHAnsi"/>
          <w:spacing w:val="1"/>
          <w:sz w:val="20"/>
          <w:szCs w:val="20"/>
        </w:rPr>
        <w:t xml:space="preserve"> </w:t>
      </w:r>
      <w:r w:rsidRPr="000977F7">
        <w:rPr>
          <w:rFonts w:asciiTheme="majorHAnsi" w:hAnsiTheme="majorHAnsi"/>
          <w:sz w:val="20"/>
          <w:szCs w:val="20"/>
        </w:rPr>
        <w:t>елемента</w:t>
      </w:r>
      <w:r w:rsidRPr="000977F7">
        <w:rPr>
          <w:rFonts w:asciiTheme="majorHAnsi" w:hAnsiTheme="majorHAnsi"/>
          <w:spacing w:val="1"/>
          <w:sz w:val="20"/>
          <w:szCs w:val="20"/>
        </w:rPr>
        <w:t xml:space="preserve"> </w:t>
      </w:r>
      <w:r w:rsidRPr="000977F7">
        <w:rPr>
          <w:rFonts w:asciiTheme="majorHAnsi" w:hAnsiTheme="majorHAnsi"/>
          <w:sz w:val="20"/>
          <w:szCs w:val="20"/>
        </w:rPr>
        <w:t>передаються резервному тільки після відмови основного елемента</w:t>
      </w:r>
    </w:p>
    <w:p w14:paraId="5373E27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FC2BC9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ЗАМОВЛЕННЯ-НАРЯД НА СТВОРЕННЯ НОВОЇ</w:t>
      </w:r>
      <w:r w:rsidRPr="000977F7">
        <w:rPr>
          <w:color w:val="auto"/>
          <w:spacing w:val="-47"/>
          <w:sz w:val="20"/>
          <w:szCs w:val="20"/>
        </w:rPr>
        <w:t xml:space="preserve"> </w:t>
      </w:r>
      <w:r w:rsidRPr="000977F7">
        <w:rPr>
          <w:color w:val="auto"/>
          <w:sz w:val="20"/>
          <w:szCs w:val="20"/>
        </w:rPr>
        <w:t>ПРОДУКЦІЇ -</w:t>
      </w:r>
    </w:p>
    <w:p w14:paraId="0CCA389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Програмний плановий документ, який визначає зміст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робіт із створення, освоєння та впровадження нової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техніки від наукових досліджень до практичного використання результатів, виконавців, терміни та кошторисну вартість їх виконання, джерела фінансування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матеріального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заохочування,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кінцеві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результати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робіт</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та їх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ефективність</w:t>
      </w:r>
    </w:p>
    <w:p w14:paraId="44E9A7C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ЗАМОВНИК -</w:t>
      </w:r>
    </w:p>
    <w:p w14:paraId="52D5B270" w14:textId="77777777" w:rsidR="0097612F" w:rsidRPr="004D2D14" w:rsidRDefault="0097612F" w:rsidP="000977F7">
      <w:pPr>
        <w:tabs>
          <w:tab w:val="left" w:pos="284"/>
        </w:tabs>
        <w:spacing w:after="0" w:line="240" w:lineRule="auto"/>
        <w:ind w:left="170"/>
        <w:mirrorIndents/>
        <w:jc w:val="both"/>
        <w:rPr>
          <w:rFonts w:asciiTheme="majorHAnsi" w:hAnsiTheme="majorHAnsi"/>
          <w:iCs/>
          <w:sz w:val="20"/>
          <w:szCs w:val="20"/>
          <w:lang w:val="uk-UA"/>
        </w:rPr>
      </w:pPr>
      <w:r w:rsidRPr="000977F7">
        <w:rPr>
          <w:rFonts w:asciiTheme="majorHAnsi" w:hAnsiTheme="majorHAnsi"/>
          <w:iCs/>
          <w:sz w:val="20"/>
          <w:szCs w:val="20"/>
        </w:rPr>
        <w:t>CUSTOMER</w:t>
      </w:r>
      <w:r w:rsidRPr="004D2D14">
        <w:rPr>
          <w:rFonts w:asciiTheme="majorHAnsi" w:hAnsiTheme="majorHAnsi"/>
          <w:iCs/>
          <w:sz w:val="20"/>
          <w:szCs w:val="20"/>
          <w:lang w:val="uk-UA"/>
        </w:rPr>
        <w:t xml:space="preserve"> -</w:t>
      </w:r>
    </w:p>
    <w:p w14:paraId="6B2B6148" w14:textId="77777777" w:rsidR="0097612F" w:rsidRPr="004D2D14" w:rsidRDefault="0097612F" w:rsidP="000977F7">
      <w:pPr>
        <w:pStyle w:val="af6"/>
        <w:tabs>
          <w:tab w:val="left" w:pos="284"/>
        </w:tabs>
        <w:spacing w:after="0"/>
        <w:ind w:left="170"/>
        <w:mirrorIndents/>
        <w:jc w:val="both"/>
        <w:rPr>
          <w:rFonts w:asciiTheme="majorHAnsi" w:hAnsiTheme="majorHAnsi"/>
          <w:b/>
          <w:i/>
          <w:sz w:val="20"/>
          <w:szCs w:val="20"/>
          <w:lang w:val="uk-UA"/>
        </w:rPr>
      </w:pPr>
      <w:r w:rsidRPr="004D2D14">
        <w:rPr>
          <w:rFonts w:asciiTheme="majorHAnsi" w:hAnsiTheme="majorHAnsi"/>
          <w:sz w:val="20"/>
          <w:szCs w:val="20"/>
          <w:lang w:val="uk-UA"/>
        </w:rPr>
        <w:t>Особа</w:t>
      </w:r>
      <w:r w:rsidRPr="004D2D14">
        <w:rPr>
          <w:rFonts w:asciiTheme="majorHAnsi" w:hAnsiTheme="majorHAnsi"/>
          <w:spacing w:val="17"/>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організація,</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яка</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може</w:t>
      </w:r>
      <w:r w:rsidRPr="004D2D14">
        <w:rPr>
          <w:rFonts w:asciiTheme="majorHAnsi" w:hAnsiTheme="majorHAnsi"/>
          <w:spacing w:val="17"/>
          <w:sz w:val="20"/>
          <w:szCs w:val="20"/>
          <w:lang w:val="uk-UA"/>
        </w:rPr>
        <w:t xml:space="preserve"> </w:t>
      </w:r>
      <w:r w:rsidRPr="004D2D14">
        <w:rPr>
          <w:rFonts w:asciiTheme="majorHAnsi" w:hAnsiTheme="majorHAnsi"/>
          <w:sz w:val="20"/>
          <w:szCs w:val="20"/>
          <w:lang w:val="uk-UA"/>
        </w:rPr>
        <w:t>отримати</w:t>
      </w:r>
      <w:r w:rsidRPr="004D2D14">
        <w:rPr>
          <w:rFonts w:asciiTheme="majorHAnsi" w:hAnsiTheme="majorHAnsi"/>
          <w:spacing w:val="17"/>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отримує</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продукцію</w:t>
      </w:r>
      <w:r w:rsidRPr="004D2D14">
        <w:rPr>
          <w:rFonts w:asciiTheme="majorHAnsi" w:hAnsiTheme="majorHAnsi"/>
          <w:spacing w:val="24"/>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25"/>
          <w:sz w:val="20"/>
          <w:szCs w:val="20"/>
          <w:lang w:val="uk-UA"/>
        </w:rPr>
        <w:t xml:space="preserve"> </w:t>
      </w:r>
      <w:r w:rsidRPr="004D2D14">
        <w:rPr>
          <w:rFonts w:asciiTheme="majorHAnsi" w:hAnsiTheme="majorHAnsi"/>
          <w:sz w:val="20"/>
          <w:szCs w:val="20"/>
          <w:lang w:val="uk-UA"/>
        </w:rPr>
        <w:t>послугу,</w:t>
      </w:r>
      <w:r w:rsidRPr="004D2D14">
        <w:rPr>
          <w:rFonts w:asciiTheme="majorHAnsi" w:hAnsiTheme="majorHAnsi"/>
          <w:spacing w:val="27"/>
          <w:sz w:val="20"/>
          <w:szCs w:val="20"/>
          <w:lang w:val="uk-UA"/>
        </w:rPr>
        <w:t xml:space="preserve"> </w:t>
      </w:r>
      <w:r w:rsidRPr="004D2D14">
        <w:rPr>
          <w:rFonts w:asciiTheme="majorHAnsi" w:hAnsiTheme="majorHAnsi"/>
          <w:sz w:val="20"/>
          <w:szCs w:val="20"/>
          <w:lang w:val="uk-UA"/>
        </w:rPr>
        <w:t>призначену</w:t>
      </w:r>
      <w:r w:rsidRPr="004D2D14">
        <w:rPr>
          <w:rFonts w:asciiTheme="majorHAnsi" w:hAnsiTheme="majorHAnsi"/>
          <w:spacing w:val="22"/>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26"/>
          <w:sz w:val="20"/>
          <w:szCs w:val="20"/>
          <w:lang w:val="uk-UA"/>
        </w:rPr>
        <w:t xml:space="preserve"> </w:t>
      </w:r>
      <w:r w:rsidRPr="004D2D14">
        <w:rPr>
          <w:rFonts w:asciiTheme="majorHAnsi" w:hAnsiTheme="majorHAnsi"/>
          <w:sz w:val="20"/>
          <w:szCs w:val="20"/>
          <w:lang w:val="uk-UA"/>
        </w:rPr>
        <w:t>цієї</w:t>
      </w:r>
      <w:r w:rsidRPr="004D2D14">
        <w:rPr>
          <w:rFonts w:asciiTheme="majorHAnsi" w:hAnsiTheme="majorHAnsi"/>
          <w:spacing w:val="23"/>
          <w:sz w:val="20"/>
          <w:szCs w:val="20"/>
          <w:lang w:val="uk-UA"/>
        </w:rPr>
        <w:t xml:space="preserve"> </w:t>
      </w:r>
      <w:r w:rsidRPr="004D2D14">
        <w:rPr>
          <w:rFonts w:asciiTheme="majorHAnsi" w:hAnsiTheme="majorHAnsi"/>
          <w:sz w:val="20"/>
          <w:szCs w:val="20"/>
          <w:lang w:val="uk-UA"/>
        </w:rPr>
        <w:t>особи</w:t>
      </w:r>
      <w:r w:rsidRPr="004D2D14">
        <w:rPr>
          <w:rFonts w:asciiTheme="majorHAnsi" w:hAnsiTheme="majorHAnsi"/>
          <w:spacing w:val="23"/>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організації, або яку потребує ця особа чи організація.</w:t>
      </w:r>
      <w:r w:rsidRPr="004D2D14">
        <w:rPr>
          <w:rFonts w:asciiTheme="majorHAnsi" w:hAnsiTheme="majorHAnsi"/>
          <w:spacing w:val="1"/>
          <w:sz w:val="20"/>
          <w:szCs w:val="20"/>
          <w:lang w:val="uk-UA"/>
        </w:rPr>
        <w:t xml:space="preserve"> </w:t>
      </w:r>
      <w:r w:rsidRPr="004D2D14">
        <w:rPr>
          <w:rFonts w:asciiTheme="majorHAnsi" w:hAnsiTheme="majorHAnsi"/>
          <w:i/>
          <w:sz w:val="20"/>
          <w:szCs w:val="20"/>
          <w:lang w:val="uk-UA"/>
        </w:rPr>
        <w:t>Приклади</w:t>
      </w:r>
      <w:r w:rsidRPr="004D2D14">
        <w:rPr>
          <w:rFonts w:asciiTheme="majorHAnsi" w:hAnsiTheme="majorHAnsi"/>
          <w:b/>
          <w:i/>
          <w:sz w:val="20"/>
          <w:szCs w:val="20"/>
          <w:lang w:val="uk-UA"/>
        </w:rPr>
        <w:t>.</w:t>
      </w:r>
    </w:p>
    <w:p w14:paraId="7A3FE4E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Споживач,</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клієнт,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кінцевий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користувач;</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роздрібний</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торговець, одержувач продукції чи послуги від внутрішнього</w:t>
      </w:r>
      <w:r w:rsidRPr="004D2D14">
        <w:rPr>
          <w:rFonts w:asciiTheme="majorHAnsi" w:hAnsiTheme="majorHAnsi"/>
          <w:spacing w:val="1"/>
          <w:sz w:val="20"/>
          <w:szCs w:val="20"/>
          <w:lang w:val="uk-UA"/>
        </w:rPr>
        <w:t xml:space="preserve"> </w:t>
      </w:r>
      <w:r w:rsidRPr="000977F7">
        <w:rPr>
          <w:rFonts w:asciiTheme="majorHAnsi" w:hAnsiTheme="majorHAnsi"/>
          <w:sz w:val="20"/>
          <w:szCs w:val="20"/>
        </w:rPr>
        <w:t>n</w:t>
      </w:r>
      <w:r w:rsidRPr="004D2D14">
        <w:rPr>
          <w:rFonts w:asciiTheme="majorHAnsi" w:hAnsiTheme="majorHAnsi"/>
          <w:sz w:val="20"/>
          <w:szCs w:val="20"/>
          <w:lang w:val="uk-UA"/>
        </w:rPr>
        <w:t>роц</w:t>
      </w:r>
      <w:r w:rsidRPr="000977F7">
        <w:rPr>
          <w:rFonts w:asciiTheme="majorHAnsi" w:hAnsiTheme="majorHAnsi"/>
          <w:sz w:val="20"/>
          <w:szCs w:val="20"/>
        </w:rPr>
        <w:t>ec</w:t>
      </w:r>
      <w:r w:rsidRPr="004D2D14">
        <w:rPr>
          <w:rFonts w:asciiTheme="majorHAnsi" w:hAnsiTheme="majorHAnsi"/>
          <w:sz w:val="20"/>
          <w:szCs w:val="20"/>
          <w:lang w:val="uk-UA"/>
        </w:rPr>
        <w:t>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вигодоодержувач</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(бенефіціар)</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покупець.</w:t>
      </w:r>
    </w:p>
    <w:p w14:paraId="003CE1A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Стосовно організації замовник може бути</w:t>
      </w:r>
      <w:r w:rsidRPr="000977F7">
        <w:rPr>
          <w:rFonts w:asciiTheme="majorHAnsi" w:hAnsiTheme="majorHAnsi"/>
          <w:spacing w:val="1"/>
          <w:sz w:val="20"/>
          <w:szCs w:val="20"/>
        </w:rPr>
        <w:t xml:space="preserve"> </w:t>
      </w:r>
      <w:r w:rsidRPr="000977F7">
        <w:rPr>
          <w:rFonts w:asciiTheme="majorHAnsi" w:hAnsiTheme="majorHAnsi"/>
          <w:sz w:val="20"/>
          <w:szCs w:val="20"/>
        </w:rPr>
        <w:t>внутрішнім або</w:t>
      </w:r>
      <w:r w:rsidRPr="000977F7">
        <w:rPr>
          <w:rFonts w:asciiTheme="majorHAnsi" w:hAnsiTheme="majorHAnsi"/>
          <w:spacing w:val="1"/>
          <w:sz w:val="20"/>
          <w:szCs w:val="20"/>
        </w:rPr>
        <w:t xml:space="preserve"> </w:t>
      </w:r>
      <w:r w:rsidRPr="000977F7">
        <w:rPr>
          <w:rFonts w:asciiTheme="majorHAnsi" w:hAnsiTheme="majorHAnsi"/>
          <w:sz w:val="20"/>
          <w:szCs w:val="20"/>
        </w:rPr>
        <w:t>зовнішнім</w:t>
      </w:r>
    </w:p>
    <w:p w14:paraId="3AA9DA5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ISO</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9000:2015</w:t>
      </w:r>
    </w:p>
    <w:p w14:paraId="212A6CE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ЗАМОВНИК</w:t>
      </w:r>
      <w:r w:rsidRPr="000977F7">
        <w:rPr>
          <w:color w:val="auto"/>
          <w:spacing w:val="-4"/>
          <w:sz w:val="20"/>
          <w:szCs w:val="20"/>
        </w:rPr>
        <w:t xml:space="preserve"> </w:t>
      </w:r>
      <w:r w:rsidRPr="000977F7">
        <w:rPr>
          <w:color w:val="auto"/>
          <w:sz w:val="20"/>
          <w:szCs w:val="20"/>
        </w:rPr>
        <w:t>АУДИТУ</w:t>
      </w:r>
      <w:r w:rsidRPr="000977F7">
        <w:rPr>
          <w:color w:val="auto"/>
          <w:spacing w:val="-1"/>
          <w:sz w:val="20"/>
          <w:szCs w:val="20"/>
        </w:rPr>
        <w:t xml:space="preserve"> </w:t>
      </w:r>
      <w:r w:rsidRPr="000977F7">
        <w:rPr>
          <w:color w:val="auto"/>
          <w:sz w:val="20"/>
          <w:szCs w:val="20"/>
        </w:rPr>
        <w:t>–</w:t>
      </w:r>
    </w:p>
    <w:p w14:paraId="73A01F8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AUDIT CLIENT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60E72A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43"/>
          <w:sz w:val="20"/>
          <w:szCs w:val="20"/>
        </w:rPr>
        <w:t xml:space="preserve"> </w:t>
      </w:r>
      <w:r w:rsidRPr="000977F7">
        <w:rPr>
          <w:rFonts w:asciiTheme="majorHAnsi" w:hAnsiTheme="majorHAnsi"/>
          <w:sz w:val="20"/>
          <w:szCs w:val="20"/>
        </w:rPr>
        <w:t>чи</w:t>
      </w:r>
      <w:r w:rsidRPr="000977F7">
        <w:rPr>
          <w:rFonts w:asciiTheme="majorHAnsi" w:hAnsiTheme="majorHAnsi"/>
          <w:spacing w:val="44"/>
          <w:sz w:val="20"/>
          <w:szCs w:val="20"/>
        </w:rPr>
        <w:t xml:space="preserve"> </w:t>
      </w:r>
      <w:r w:rsidRPr="000977F7">
        <w:rPr>
          <w:rFonts w:asciiTheme="majorHAnsi" w:hAnsiTheme="majorHAnsi"/>
          <w:sz w:val="20"/>
          <w:szCs w:val="20"/>
        </w:rPr>
        <w:t>особа,</w:t>
      </w:r>
      <w:r w:rsidRPr="000977F7">
        <w:rPr>
          <w:rFonts w:asciiTheme="majorHAnsi" w:hAnsiTheme="majorHAnsi"/>
          <w:spacing w:val="44"/>
          <w:sz w:val="20"/>
          <w:szCs w:val="20"/>
        </w:rPr>
        <w:t xml:space="preserve"> </w:t>
      </w:r>
      <w:r w:rsidRPr="000977F7">
        <w:rPr>
          <w:rFonts w:asciiTheme="majorHAnsi" w:hAnsiTheme="majorHAnsi"/>
          <w:sz w:val="20"/>
          <w:szCs w:val="20"/>
        </w:rPr>
        <w:t>яка</w:t>
      </w:r>
      <w:r w:rsidRPr="000977F7">
        <w:rPr>
          <w:rFonts w:asciiTheme="majorHAnsi" w:hAnsiTheme="majorHAnsi"/>
          <w:spacing w:val="48"/>
          <w:sz w:val="20"/>
          <w:szCs w:val="20"/>
        </w:rPr>
        <w:t xml:space="preserve"> </w:t>
      </w:r>
      <w:r w:rsidRPr="000977F7">
        <w:rPr>
          <w:rFonts w:asciiTheme="majorHAnsi" w:hAnsiTheme="majorHAnsi"/>
          <w:sz w:val="20"/>
          <w:szCs w:val="20"/>
        </w:rPr>
        <w:t>подає</w:t>
      </w:r>
      <w:r w:rsidRPr="000977F7">
        <w:rPr>
          <w:rFonts w:asciiTheme="majorHAnsi" w:hAnsiTheme="majorHAnsi"/>
          <w:spacing w:val="44"/>
          <w:sz w:val="20"/>
          <w:szCs w:val="20"/>
        </w:rPr>
        <w:t xml:space="preserve"> </w:t>
      </w:r>
      <w:r w:rsidRPr="000977F7">
        <w:rPr>
          <w:rFonts w:asciiTheme="majorHAnsi" w:hAnsiTheme="majorHAnsi"/>
          <w:sz w:val="20"/>
          <w:szCs w:val="20"/>
        </w:rPr>
        <w:t>заявку</w:t>
      </w:r>
      <w:r w:rsidRPr="000977F7">
        <w:rPr>
          <w:rFonts w:asciiTheme="majorHAnsi" w:hAnsiTheme="majorHAnsi"/>
          <w:spacing w:val="46"/>
          <w:sz w:val="20"/>
          <w:szCs w:val="20"/>
        </w:rPr>
        <w:t xml:space="preserve"> </w:t>
      </w:r>
      <w:r w:rsidRPr="000977F7">
        <w:rPr>
          <w:rFonts w:asciiTheme="majorHAnsi" w:hAnsiTheme="majorHAnsi"/>
          <w:sz w:val="20"/>
          <w:szCs w:val="20"/>
        </w:rPr>
        <w:t>на</w:t>
      </w:r>
      <w:r w:rsidRPr="000977F7">
        <w:rPr>
          <w:rFonts w:asciiTheme="majorHAnsi" w:hAnsiTheme="majorHAnsi"/>
          <w:spacing w:val="45"/>
          <w:sz w:val="20"/>
          <w:szCs w:val="20"/>
        </w:rPr>
        <w:t xml:space="preserve"> </w:t>
      </w:r>
      <w:r w:rsidRPr="000977F7">
        <w:rPr>
          <w:rFonts w:asciiTheme="majorHAnsi" w:hAnsiTheme="majorHAnsi"/>
          <w:sz w:val="20"/>
          <w:szCs w:val="20"/>
        </w:rPr>
        <w:t xml:space="preserve">проведення </w:t>
      </w:r>
      <w:r w:rsidRPr="000977F7">
        <w:rPr>
          <w:rFonts w:asciiTheme="majorHAnsi" w:hAnsiTheme="majorHAnsi"/>
          <w:spacing w:val="-47"/>
          <w:sz w:val="20"/>
          <w:szCs w:val="20"/>
        </w:rPr>
        <w:t xml:space="preserve"> </w:t>
      </w:r>
      <w:r w:rsidRPr="000977F7">
        <w:rPr>
          <w:rFonts w:asciiTheme="majorHAnsi" w:hAnsiTheme="majorHAnsi"/>
          <w:sz w:val="20"/>
          <w:szCs w:val="20"/>
        </w:rPr>
        <w:t>аудиту</w:t>
      </w:r>
    </w:p>
    <w:p w14:paraId="1F67BE7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9000:2015</w:t>
      </w:r>
    </w:p>
    <w:p w14:paraId="6A029D5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ЗАМОВНИК</w:t>
      </w:r>
      <w:r w:rsidRPr="000977F7">
        <w:rPr>
          <w:color w:val="auto"/>
          <w:spacing w:val="-3"/>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015A0E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Фізична</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юридична</w:t>
      </w:r>
      <w:r w:rsidRPr="000977F7">
        <w:rPr>
          <w:rFonts w:asciiTheme="majorHAnsi" w:hAnsiTheme="majorHAnsi"/>
          <w:spacing w:val="1"/>
          <w:sz w:val="20"/>
          <w:szCs w:val="20"/>
        </w:rPr>
        <w:t xml:space="preserve"> </w:t>
      </w:r>
      <w:r w:rsidRPr="000977F7">
        <w:rPr>
          <w:rFonts w:asciiTheme="majorHAnsi" w:hAnsiTheme="majorHAnsi"/>
          <w:sz w:val="20"/>
          <w:szCs w:val="20"/>
        </w:rPr>
        <w:t>особа,</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замовлення</w:t>
      </w:r>
      <w:r w:rsidRPr="000977F7">
        <w:rPr>
          <w:rFonts w:asciiTheme="majorHAnsi" w:hAnsiTheme="majorHAnsi"/>
          <w:spacing w:val="1"/>
          <w:sz w:val="20"/>
          <w:szCs w:val="20"/>
        </w:rPr>
        <w:t xml:space="preserve"> </w:t>
      </w:r>
      <w:r w:rsidRPr="000977F7">
        <w:rPr>
          <w:rFonts w:asciiTheme="majorHAnsi" w:hAnsiTheme="majorHAnsi"/>
          <w:sz w:val="20"/>
          <w:szCs w:val="20"/>
        </w:rPr>
        <w:t>якої</w:t>
      </w:r>
      <w:r w:rsidRPr="000977F7">
        <w:rPr>
          <w:rFonts w:asciiTheme="majorHAnsi" w:hAnsiTheme="majorHAnsi"/>
          <w:spacing w:val="1"/>
          <w:sz w:val="20"/>
          <w:szCs w:val="20"/>
        </w:rPr>
        <w:t xml:space="preserve"> </w:t>
      </w:r>
      <w:r w:rsidRPr="000977F7">
        <w:rPr>
          <w:rFonts w:asciiTheme="majorHAnsi" w:hAnsiTheme="majorHAnsi"/>
          <w:sz w:val="20"/>
          <w:szCs w:val="20"/>
        </w:rPr>
        <w:t>здійснюється створення, виробництво та (або) постачання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76DFE2A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60784A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ЗАПАСНА</w:t>
      </w:r>
      <w:r w:rsidRPr="000977F7">
        <w:rPr>
          <w:color w:val="auto"/>
          <w:spacing w:val="-3"/>
          <w:sz w:val="20"/>
          <w:szCs w:val="20"/>
        </w:rPr>
        <w:t xml:space="preserve"> </w:t>
      </w:r>
      <w:r w:rsidRPr="000977F7">
        <w:rPr>
          <w:color w:val="auto"/>
          <w:sz w:val="20"/>
          <w:szCs w:val="20"/>
        </w:rPr>
        <w:t>ЧАСТИНА</w:t>
      </w:r>
      <w:r w:rsidRPr="000977F7">
        <w:rPr>
          <w:color w:val="auto"/>
          <w:spacing w:val="-2"/>
          <w:sz w:val="20"/>
          <w:szCs w:val="20"/>
        </w:rPr>
        <w:t xml:space="preserve"> </w:t>
      </w:r>
      <w:r w:rsidRPr="000977F7">
        <w:rPr>
          <w:color w:val="auto"/>
          <w:sz w:val="20"/>
          <w:szCs w:val="20"/>
        </w:rPr>
        <w:t>–</w:t>
      </w:r>
    </w:p>
    <w:p w14:paraId="6979BC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Заздалегідь придбана чи виготовлена складова частина устаткування, призначена для заміни такої ж частини, що перебуває в експлуатації, з метою підтримання або відновлення справності чи працездатності</w:t>
      </w:r>
      <w:r w:rsidRPr="000977F7">
        <w:rPr>
          <w:rFonts w:asciiTheme="majorHAnsi" w:hAnsiTheme="majorHAnsi"/>
          <w:spacing w:val="1"/>
          <w:sz w:val="20"/>
          <w:szCs w:val="20"/>
        </w:rPr>
        <w:t xml:space="preserve"> </w:t>
      </w:r>
      <w:r w:rsidRPr="000977F7">
        <w:rPr>
          <w:rFonts w:asciiTheme="majorHAnsi" w:hAnsiTheme="majorHAnsi"/>
          <w:sz w:val="20"/>
          <w:szCs w:val="20"/>
        </w:rPr>
        <w:t>устаткування</w:t>
      </w:r>
    </w:p>
    <w:p w14:paraId="7E2F814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F7F831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ЗАПАСНА</w:t>
      </w:r>
      <w:r w:rsidRPr="000977F7">
        <w:rPr>
          <w:color w:val="auto"/>
          <w:spacing w:val="-3"/>
          <w:sz w:val="20"/>
          <w:szCs w:val="20"/>
        </w:rPr>
        <w:t xml:space="preserve"> </w:t>
      </w:r>
      <w:r w:rsidRPr="000977F7">
        <w:rPr>
          <w:color w:val="auto"/>
          <w:sz w:val="20"/>
          <w:szCs w:val="20"/>
        </w:rPr>
        <w:t>ЧАСТИНА</w:t>
      </w:r>
      <w:r w:rsidRPr="000977F7">
        <w:rPr>
          <w:color w:val="auto"/>
          <w:spacing w:val="-3"/>
          <w:sz w:val="20"/>
          <w:szCs w:val="20"/>
        </w:rPr>
        <w:t xml:space="preserve"> </w:t>
      </w:r>
      <w:r w:rsidRPr="000977F7">
        <w:rPr>
          <w:color w:val="auto"/>
          <w:sz w:val="20"/>
          <w:szCs w:val="20"/>
        </w:rPr>
        <w:t>ВИРОБУ–</w:t>
      </w:r>
    </w:p>
    <w:p w14:paraId="59D504C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Складова частина виробу, призначена для заміни такої самої частини, що перебувала в експлуатації, для</w:t>
      </w:r>
      <w:r w:rsidRPr="000977F7">
        <w:rPr>
          <w:rFonts w:asciiTheme="majorHAnsi" w:hAnsiTheme="majorHAnsi"/>
          <w:spacing w:val="1"/>
          <w:sz w:val="20"/>
          <w:szCs w:val="20"/>
        </w:rPr>
        <w:t xml:space="preserve"> </w:t>
      </w:r>
      <w:r w:rsidRPr="000977F7">
        <w:rPr>
          <w:rFonts w:asciiTheme="majorHAnsi" w:hAnsiTheme="majorHAnsi"/>
          <w:sz w:val="20"/>
          <w:szCs w:val="20"/>
        </w:rPr>
        <w:t>підтримання або відновлення справності чи роботоздатності</w:t>
      </w:r>
      <w:r w:rsidRPr="000977F7">
        <w:rPr>
          <w:rFonts w:asciiTheme="majorHAnsi" w:hAnsiTheme="majorHAnsi"/>
          <w:spacing w:val="-2"/>
          <w:sz w:val="20"/>
          <w:szCs w:val="20"/>
        </w:rPr>
        <w:t xml:space="preserve"> </w:t>
      </w:r>
      <w:r w:rsidRPr="000977F7">
        <w:rPr>
          <w:rFonts w:asciiTheme="majorHAnsi" w:hAnsiTheme="majorHAnsi"/>
          <w:sz w:val="20"/>
          <w:szCs w:val="20"/>
        </w:rPr>
        <w:t>виробу</w:t>
      </w:r>
    </w:p>
    <w:p w14:paraId="5C248CF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95</w:t>
      </w:r>
    </w:p>
    <w:p w14:paraId="0141080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ЗАПИТИ</w:t>
      </w:r>
      <w:r w:rsidRPr="000977F7">
        <w:rPr>
          <w:color w:val="auto"/>
          <w:spacing w:val="-2"/>
          <w:sz w:val="20"/>
          <w:szCs w:val="20"/>
        </w:rPr>
        <w:t xml:space="preserve"> </w:t>
      </w:r>
      <w:r w:rsidRPr="000977F7">
        <w:rPr>
          <w:color w:val="auto"/>
          <w:sz w:val="20"/>
          <w:szCs w:val="20"/>
        </w:rPr>
        <w:t>НА</w:t>
      </w:r>
      <w:r w:rsidRPr="000977F7">
        <w:rPr>
          <w:color w:val="auto"/>
          <w:spacing w:val="-2"/>
          <w:sz w:val="20"/>
          <w:szCs w:val="20"/>
        </w:rPr>
        <w:t xml:space="preserve"> </w:t>
      </w:r>
      <w:r w:rsidRPr="000977F7">
        <w:rPr>
          <w:color w:val="auto"/>
          <w:sz w:val="20"/>
          <w:szCs w:val="20"/>
        </w:rPr>
        <w:t>ЗМІНИ</w:t>
      </w:r>
      <w:r w:rsidRPr="000977F7">
        <w:rPr>
          <w:color w:val="auto"/>
          <w:spacing w:val="-5"/>
          <w:sz w:val="20"/>
          <w:szCs w:val="20"/>
        </w:rPr>
        <w:t xml:space="preserve"> </w:t>
      </w:r>
      <w:r w:rsidRPr="000977F7">
        <w:rPr>
          <w:color w:val="auto"/>
          <w:sz w:val="20"/>
          <w:szCs w:val="20"/>
        </w:rPr>
        <w:t>ПРОЕКТУ</w:t>
      </w:r>
      <w:r w:rsidRPr="000977F7">
        <w:rPr>
          <w:color w:val="auto"/>
          <w:spacing w:val="1"/>
          <w:sz w:val="20"/>
          <w:szCs w:val="20"/>
        </w:rPr>
        <w:t xml:space="preserve"> </w:t>
      </w:r>
      <w:r w:rsidRPr="000977F7">
        <w:rPr>
          <w:color w:val="auto"/>
          <w:sz w:val="20"/>
          <w:szCs w:val="20"/>
        </w:rPr>
        <w:t>–</w:t>
      </w:r>
    </w:p>
    <w:p w14:paraId="36DD804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4D2D14">
        <w:rPr>
          <w:rFonts w:asciiTheme="majorHAnsi" w:hAnsiTheme="majorHAnsi"/>
          <w:sz w:val="20"/>
          <w:szCs w:val="20"/>
          <w:lang w:val="uk-UA"/>
        </w:rPr>
        <w:t>Запити на зміну можуть бути подані у багатьох формах – усній чи письмовій,</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прямій чи непрямій, такі,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 викликаються зовні чи зсередини, обов’язкові 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необов’язкові.</w:t>
      </w:r>
      <w:r w:rsidRPr="004D2D14">
        <w:rPr>
          <w:rFonts w:asciiTheme="majorHAnsi" w:hAnsiTheme="majorHAnsi"/>
          <w:spacing w:val="1"/>
          <w:sz w:val="20"/>
          <w:szCs w:val="20"/>
          <w:lang w:val="uk-UA"/>
        </w:rPr>
        <w:t xml:space="preserve"> </w:t>
      </w:r>
      <w:r w:rsidRPr="000977F7">
        <w:rPr>
          <w:rFonts w:asciiTheme="majorHAnsi" w:hAnsiTheme="majorHAnsi"/>
          <w:sz w:val="20"/>
          <w:szCs w:val="20"/>
        </w:rPr>
        <w:t>Зміни</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зажадати</w:t>
      </w:r>
      <w:r w:rsidRPr="000977F7">
        <w:rPr>
          <w:rFonts w:asciiTheme="majorHAnsi" w:hAnsiTheme="majorHAnsi"/>
          <w:spacing w:val="1"/>
          <w:sz w:val="20"/>
          <w:szCs w:val="20"/>
        </w:rPr>
        <w:t xml:space="preserve"> </w:t>
      </w:r>
      <w:r w:rsidRPr="000977F7">
        <w:rPr>
          <w:rFonts w:asciiTheme="majorHAnsi" w:hAnsiTheme="majorHAnsi"/>
          <w:sz w:val="20"/>
          <w:szCs w:val="20"/>
        </w:rPr>
        <w:t>розширення</w:t>
      </w:r>
      <w:r w:rsidRPr="000977F7">
        <w:rPr>
          <w:rFonts w:asciiTheme="majorHAnsi" w:hAnsiTheme="majorHAnsi"/>
          <w:spacing w:val="1"/>
          <w:sz w:val="20"/>
          <w:szCs w:val="20"/>
        </w:rPr>
        <w:t xml:space="preserve"> </w:t>
      </w:r>
      <w:r w:rsidRPr="000977F7">
        <w:rPr>
          <w:rFonts w:asciiTheme="majorHAnsi" w:hAnsiTheme="majorHAnsi"/>
          <w:sz w:val="20"/>
          <w:szCs w:val="20"/>
        </w:rPr>
        <w:t>змісту чи його скорочення. Більшість запитів на зміни</w:t>
      </w:r>
      <w:r w:rsidRPr="000977F7">
        <w:rPr>
          <w:rFonts w:asciiTheme="majorHAnsi" w:hAnsiTheme="majorHAnsi"/>
          <w:spacing w:val="-47"/>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результатом:</w:t>
      </w:r>
    </w:p>
    <w:p w14:paraId="6A901E08" w14:textId="77777777" w:rsidR="0097612F" w:rsidRPr="000977F7" w:rsidRDefault="0097612F" w:rsidP="00FD39A4">
      <w:pPr>
        <w:pStyle w:val="ac"/>
        <w:widowControl w:val="0"/>
        <w:numPr>
          <w:ilvl w:val="1"/>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зовнішньої</w:t>
      </w:r>
      <w:r w:rsidRPr="000977F7">
        <w:rPr>
          <w:rFonts w:asciiTheme="majorHAnsi" w:hAnsiTheme="majorHAnsi"/>
          <w:spacing w:val="1"/>
          <w:sz w:val="20"/>
          <w:szCs w:val="20"/>
        </w:rPr>
        <w:t xml:space="preserve"> </w:t>
      </w:r>
      <w:r w:rsidRPr="000977F7">
        <w:rPr>
          <w:rFonts w:asciiTheme="majorHAnsi" w:hAnsiTheme="majorHAnsi"/>
          <w:sz w:val="20"/>
          <w:szCs w:val="20"/>
        </w:rPr>
        <w:t>події</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зміна</w:t>
      </w:r>
      <w:r w:rsidRPr="000977F7">
        <w:rPr>
          <w:rFonts w:asciiTheme="majorHAnsi" w:hAnsiTheme="majorHAnsi"/>
          <w:spacing w:val="1"/>
          <w:sz w:val="20"/>
          <w:szCs w:val="20"/>
        </w:rPr>
        <w:t xml:space="preserve"> </w:t>
      </w:r>
      <w:r w:rsidRPr="000977F7">
        <w:rPr>
          <w:rFonts w:asciiTheme="majorHAnsi" w:hAnsiTheme="majorHAnsi"/>
          <w:sz w:val="20"/>
          <w:szCs w:val="20"/>
        </w:rPr>
        <w:t>урядових</w:t>
      </w:r>
      <w:r w:rsidRPr="000977F7">
        <w:rPr>
          <w:rFonts w:asciiTheme="majorHAnsi" w:hAnsiTheme="majorHAnsi"/>
          <w:spacing w:val="1"/>
          <w:sz w:val="20"/>
          <w:szCs w:val="20"/>
        </w:rPr>
        <w:t xml:space="preserve"> </w:t>
      </w:r>
      <w:r w:rsidRPr="000977F7">
        <w:rPr>
          <w:rFonts w:asciiTheme="majorHAnsi" w:hAnsiTheme="majorHAnsi"/>
          <w:sz w:val="20"/>
          <w:szCs w:val="20"/>
        </w:rPr>
        <w:t>норм);</w:t>
      </w:r>
    </w:p>
    <w:p w14:paraId="35DCFB37" w14:textId="77777777" w:rsidR="0097612F" w:rsidRPr="000977F7" w:rsidRDefault="0097612F" w:rsidP="00FD39A4">
      <w:pPr>
        <w:pStyle w:val="ac"/>
        <w:widowControl w:val="0"/>
        <w:numPr>
          <w:ilvl w:val="1"/>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похибки або пропуску у визначенні змісту продукту (наприклад, похибка, зв’язана з тим, що не</w:t>
      </w:r>
      <w:r w:rsidRPr="000977F7">
        <w:rPr>
          <w:rFonts w:asciiTheme="majorHAnsi" w:hAnsiTheme="majorHAnsi"/>
          <w:spacing w:val="1"/>
          <w:sz w:val="20"/>
          <w:szCs w:val="20"/>
        </w:rPr>
        <w:t xml:space="preserve"> </w:t>
      </w:r>
      <w:r w:rsidRPr="000977F7">
        <w:rPr>
          <w:rFonts w:asciiTheme="majorHAnsi" w:hAnsiTheme="majorHAnsi"/>
          <w:sz w:val="20"/>
          <w:szCs w:val="20"/>
        </w:rPr>
        <w:t>була</w:t>
      </w:r>
      <w:r w:rsidRPr="000977F7">
        <w:rPr>
          <w:rFonts w:asciiTheme="majorHAnsi" w:hAnsiTheme="majorHAnsi"/>
          <w:spacing w:val="-2"/>
          <w:sz w:val="20"/>
          <w:szCs w:val="20"/>
        </w:rPr>
        <w:t xml:space="preserve"> </w:t>
      </w:r>
      <w:r w:rsidRPr="000977F7">
        <w:rPr>
          <w:rFonts w:asciiTheme="majorHAnsi" w:hAnsiTheme="majorHAnsi"/>
          <w:sz w:val="20"/>
          <w:szCs w:val="20"/>
        </w:rPr>
        <w:t>включена</w:t>
      </w:r>
      <w:r w:rsidRPr="000977F7">
        <w:rPr>
          <w:rFonts w:asciiTheme="majorHAnsi" w:hAnsiTheme="majorHAnsi"/>
          <w:spacing w:val="-1"/>
          <w:sz w:val="20"/>
          <w:szCs w:val="20"/>
        </w:rPr>
        <w:t xml:space="preserve"> </w:t>
      </w:r>
      <w:r w:rsidRPr="000977F7">
        <w:rPr>
          <w:rFonts w:asciiTheme="majorHAnsi" w:hAnsiTheme="majorHAnsi"/>
          <w:sz w:val="20"/>
          <w:szCs w:val="20"/>
        </w:rPr>
        <w:t>необхідна</w:t>
      </w:r>
      <w:r w:rsidRPr="000977F7">
        <w:rPr>
          <w:rFonts w:asciiTheme="majorHAnsi" w:hAnsiTheme="majorHAnsi"/>
          <w:spacing w:val="-2"/>
          <w:sz w:val="20"/>
          <w:szCs w:val="20"/>
        </w:rPr>
        <w:t xml:space="preserve"> </w:t>
      </w:r>
      <w:r w:rsidRPr="000977F7">
        <w:rPr>
          <w:rFonts w:asciiTheme="majorHAnsi" w:hAnsiTheme="majorHAnsi"/>
          <w:sz w:val="20"/>
          <w:szCs w:val="20"/>
        </w:rPr>
        <w:t>характеристика);</w:t>
      </w:r>
    </w:p>
    <w:p w14:paraId="799E2C71" w14:textId="77777777" w:rsidR="0097612F" w:rsidRPr="000977F7" w:rsidRDefault="0097612F" w:rsidP="00FD39A4">
      <w:pPr>
        <w:pStyle w:val="ac"/>
        <w:widowControl w:val="0"/>
        <w:numPr>
          <w:ilvl w:val="1"/>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похибки або пропуску у визначенні змісту проекту;</w:t>
      </w:r>
    </w:p>
    <w:p w14:paraId="441BE57C" w14:textId="77777777" w:rsidR="0097612F" w:rsidRPr="000977F7" w:rsidRDefault="0097612F" w:rsidP="00FD39A4">
      <w:pPr>
        <w:pStyle w:val="ac"/>
        <w:widowControl w:val="0"/>
        <w:numPr>
          <w:ilvl w:val="1"/>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зміни</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величин</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рахунок</w:t>
      </w:r>
      <w:r w:rsidRPr="000977F7">
        <w:rPr>
          <w:rFonts w:asciiTheme="majorHAnsi" w:hAnsiTheme="majorHAnsi"/>
          <w:spacing w:val="-47"/>
          <w:sz w:val="20"/>
          <w:szCs w:val="20"/>
        </w:rPr>
        <w:t xml:space="preserve"> </w:t>
      </w:r>
      <w:r w:rsidRPr="000977F7">
        <w:rPr>
          <w:rFonts w:asciiTheme="majorHAnsi" w:hAnsiTheme="majorHAnsi"/>
          <w:sz w:val="20"/>
          <w:szCs w:val="20"/>
        </w:rPr>
        <w:t>зменшення вартості технологій, які були недоступні</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той</w:t>
      </w:r>
      <w:r w:rsidRPr="000977F7">
        <w:rPr>
          <w:rFonts w:asciiTheme="majorHAnsi" w:hAnsiTheme="majorHAnsi"/>
          <w:spacing w:val="-2"/>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коли</w:t>
      </w:r>
      <w:r w:rsidRPr="000977F7">
        <w:rPr>
          <w:rFonts w:asciiTheme="majorHAnsi" w:hAnsiTheme="majorHAnsi"/>
          <w:spacing w:val="-2"/>
          <w:sz w:val="20"/>
          <w:szCs w:val="20"/>
        </w:rPr>
        <w:t xml:space="preserve"> </w:t>
      </w:r>
      <w:r w:rsidRPr="000977F7">
        <w:rPr>
          <w:rFonts w:asciiTheme="majorHAnsi" w:hAnsiTheme="majorHAnsi"/>
          <w:sz w:val="20"/>
          <w:szCs w:val="20"/>
        </w:rPr>
        <w:t>складали</w:t>
      </w:r>
      <w:r w:rsidRPr="000977F7">
        <w:rPr>
          <w:rFonts w:asciiTheme="majorHAnsi" w:hAnsiTheme="majorHAnsi"/>
          <w:spacing w:val="-1"/>
          <w:sz w:val="20"/>
          <w:szCs w:val="20"/>
        </w:rPr>
        <w:t xml:space="preserve"> </w:t>
      </w:r>
      <w:r w:rsidRPr="000977F7">
        <w:rPr>
          <w:rFonts w:asciiTheme="majorHAnsi" w:hAnsiTheme="majorHAnsi"/>
          <w:sz w:val="20"/>
          <w:szCs w:val="20"/>
        </w:rPr>
        <w:t>зміст</w:t>
      </w:r>
      <w:r w:rsidRPr="000977F7">
        <w:rPr>
          <w:rFonts w:asciiTheme="majorHAnsi" w:hAnsiTheme="majorHAnsi"/>
          <w:spacing w:val="-2"/>
          <w:sz w:val="20"/>
          <w:szCs w:val="20"/>
        </w:rPr>
        <w:t xml:space="preserve"> </w:t>
      </w:r>
      <w:r w:rsidRPr="000977F7">
        <w:rPr>
          <w:rFonts w:asciiTheme="majorHAnsi" w:hAnsiTheme="majorHAnsi"/>
          <w:sz w:val="20"/>
          <w:szCs w:val="20"/>
        </w:rPr>
        <w:t>проекту)</w:t>
      </w:r>
    </w:p>
    <w:p w14:paraId="7D3F986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Кер.</w:t>
      </w:r>
      <w:r w:rsidRPr="000977F7">
        <w:rPr>
          <w:rFonts w:asciiTheme="majorHAnsi" w:hAnsiTheme="majorHAnsi"/>
          <w:i/>
          <w:spacing w:val="-2"/>
          <w:sz w:val="20"/>
          <w:szCs w:val="20"/>
        </w:rPr>
        <w:t xml:space="preserve"> </w:t>
      </w:r>
      <w:r w:rsidRPr="000977F7">
        <w:rPr>
          <w:rFonts w:asciiTheme="majorHAnsi" w:hAnsiTheme="majorHAnsi"/>
          <w:i/>
          <w:sz w:val="20"/>
          <w:szCs w:val="20"/>
        </w:rPr>
        <w:t>проектн.</w:t>
      </w:r>
      <w:r w:rsidRPr="000977F7">
        <w:rPr>
          <w:rFonts w:asciiTheme="majorHAnsi" w:hAnsiTheme="majorHAnsi"/>
          <w:i/>
          <w:spacing w:val="-1"/>
          <w:sz w:val="20"/>
          <w:szCs w:val="20"/>
        </w:rPr>
        <w:t xml:space="preserve"> </w:t>
      </w:r>
      <w:r w:rsidRPr="000977F7">
        <w:rPr>
          <w:rFonts w:asciiTheme="majorHAnsi" w:hAnsiTheme="majorHAnsi"/>
          <w:i/>
          <w:sz w:val="20"/>
          <w:szCs w:val="20"/>
        </w:rPr>
        <w:t>Менедж</w:t>
      </w:r>
      <w:r w:rsidRPr="000977F7">
        <w:rPr>
          <w:rFonts w:asciiTheme="majorHAnsi" w:hAnsiTheme="majorHAnsi"/>
          <w:i/>
          <w:spacing w:val="-1"/>
          <w:sz w:val="20"/>
          <w:szCs w:val="20"/>
        </w:rPr>
        <w:t xml:space="preserve"> </w:t>
      </w:r>
      <w:r w:rsidRPr="000977F7">
        <w:rPr>
          <w:rFonts w:asciiTheme="majorHAnsi" w:hAnsiTheme="majorHAnsi"/>
          <w:i/>
          <w:sz w:val="20"/>
          <w:szCs w:val="20"/>
        </w:rPr>
        <w:t>– ту.</w:t>
      </w:r>
    </w:p>
    <w:p w14:paraId="0BC6261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ЗАПОБІГАННЯ</w:t>
      </w:r>
      <w:r w:rsidRPr="000977F7">
        <w:rPr>
          <w:color w:val="auto"/>
          <w:spacing w:val="15"/>
          <w:sz w:val="20"/>
          <w:szCs w:val="20"/>
        </w:rPr>
        <w:t xml:space="preserve"> </w:t>
      </w:r>
      <w:r w:rsidRPr="000977F7">
        <w:rPr>
          <w:color w:val="auto"/>
          <w:sz w:val="20"/>
          <w:szCs w:val="20"/>
        </w:rPr>
        <w:t>АВАРІЯМ</w:t>
      </w:r>
      <w:r w:rsidRPr="000977F7">
        <w:rPr>
          <w:color w:val="auto"/>
          <w:spacing w:val="18"/>
          <w:sz w:val="20"/>
          <w:szCs w:val="20"/>
        </w:rPr>
        <w:t xml:space="preserve"> </w:t>
      </w:r>
      <w:r w:rsidRPr="000977F7">
        <w:rPr>
          <w:color w:val="auto"/>
          <w:sz w:val="20"/>
          <w:szCs w:val="20"/>
        </w:rPr>
        <w:t>І</w:t>
      </w:r>
      <w:r w:rsidRPr="000977F7">
        <w:rPr>
          <w:color w:val="auto"/>
          <w:spacing w:val="14"/>
          <w:sz w:val="20"/>
          <w:szCs w:val="20"/>
        </w:rPr>
        <w:t xml:space="preserve"> </w:t>
      </w:r>
      <w:r w:rsidRPr="000977F7">
        <w:rPr>
          <w:color w:val="auto"/>
          <w:sz w:val="20"/>
          <w:szCs w:val="20"/>
        </w:rPr>
        <w:t>ЛІКВІДАЦІЯ</w:t>
      </w:r>
      <w:r w:rsidRPr="000977F7">
        <w:rPr>
          <w:color w:val="auto"/>
          <w:spacing w:val="17"/>
          <w:sz w:val="20"/>
          <w:szCs w:val="20"/>
        </w:rPr>
        <w:t xml:space="preserve"> </w:t>
      </w:r>
      <w:r w:rsidRPr="000977F7">
        <w:rPr>
          <w:color w:val="auto"/>
          <w:sz w:val="20"/>
          <w:szCs w:val="20"/>
        </w:rPr>
        <w:t>ЇХ</w:t>
      </w:r>
      <w:r w:rsidRPr="000977F7">
        <w:rPr>
          <w:color w:val="auto"/>
          <w:spacing w:val="-47"/>
          <w:sz w:val="20"/>
          <w:szCs w:val="20"/>
        </w:rPr>
        <w:t xml:space="preserve"> </w:t>
      </w:r>
      <w:r w:rsidRPr="000977F7">
        <w:rPr>
          <w:color w:val="auto"/>
          <w:sz w:val="20"/>
          <w:szCs w:val="20"/>
        </w:rPr>
        <w:t>ШКІДЛИВИХ</w:t>
      </w:r>
      <w:r w:rsidRPr="000977F7">
        <w:rPr>
          <w:color w:val="auto"/>
          <w:spacing w:val="-2"/>
          <w:sz w:val="20"/>
          <w:szCs w:val="20"/>
        </w:rPr>
        <w:t xml:space="preserve"> </w:t>
      </w:r>
      <w:r w:rsidRPr="000977F7">
        <w:rPr>
          <w:color w:val="auto"/>
          <w:sz w:val="20"/>
          <w:szCs w:val="20"/>
        </w:rPr>
        <w:t>ЕКОЛОГІЧНИХ</w:t>
      </w:r>
      <w:r w:rsidRPr="000977F7">
        <w:rPr>
          <w:color w:val="auto"/>
          <w:spacing w:val="-2"/>
          <w:sz w:val="20"/>
          <w:szCs w:val="20"/>
        </w:rPr>
        <w:t xml:space="preserve"> </w:t>
      </w:r>
      <w:r w:rsidRPr="000977F7">
        <w:rPr>
          <w:color w:val="auto"/>
          <w:sz w:val="20"/>
          <w:szCs w:val="20"/>
        </w:rPr>
        <w:t>НАСЛІДКІВ</w:t>
      </w:r>
      <w:r w:rsidRPr="000977F7">
        <w:rPr>
          <w:color w:val="auto"/>
          <w:spacing w:val="3"/>
          <w:sz w:val="20"/>
          <w:szCs w:val="20"/>
        </w:rPr>
        <w:t xml:space="preserve"> </w:t>
      </w:r>
      <w:r w:rsidRPr="000977F7">
        <w:rPr>
          <w:color w:val="auto"/>
          <w:sz w:val="20"/>
          <w:szCs w:val="20"/>
        </w:rPr>
        <w:t>–</w:t>
      </w:r>
    </w:p>
    <w:p w14:paraId="4BAF503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При проектуванні й експлуатації господарських 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інших об'єктів, діяльність яких може шкідливо впливати на навколишнє природне середовище, розробляються</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здійснюються</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заходи</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щодо</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запобігання</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аваріям, а також ліквідації їх шкідливих екологічних наслідків.</w:t>
      </w:r>
    </w:p>
    <w:p w14:paraId="1FA41E8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Центральний орган виконавчої влади, що реалізує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державну політику з промислової безпеки, і центральний орган виконавчої влади, що реалізує державну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політику у сфері безпеки використання ядерної енергії, спільно з центральним органом виконавчої влади,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 реалізує державну політику із здійснення державного нагляду (контролю) у сфері охорони навколишнього природного середовища, раціонального використання, відтворення і охорони природних ресурсів,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систематично проводять перевірки стану екологічно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небезпечних об'єктів та виконання відповідних заходів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і вимог</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щодо їх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безпечної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експлуатації.</w:t>
      </w:r>
    </w:p>
    <w:p w14:paraId="7632DEE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Перелік екологічно небезпечних об'єктів визначається центральним органом виконавчої влади, що забезпечує формування державної політики у сфері охорони</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 природного середовища.</w:t>
      </w:r>
    </w:p>
    <w:p w14:paraId="189E2B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разі аварії, що спричинила забруднення навколишнього природного середовища, підприємства, установи, організації зобов'язані негайно приступити до</w:t>
      </w:r>
      <w:r w:rsidRPr="000977F7">
        <w:rPr>
          <w:rFonts w:asciiTheme="majorHAnsi" w:hAnsiTheme="majorHAnsi"/>
          <w:spacing w:val="1"/>
          <w:sz w:val="20"/>
          <w:szCs w:val="20"/>
        </w:rPr>
        <w:t xml:space="preserve"> </w:t>
      </w:r>
      <w:r w:rsidRPr="000977F7">
        <w:rPr>
          <w:rFonts w:asciiTheme="majorHAnsi" w:hAnsiTheme="majorHAnsi"/>
          <w:sz w:val="20"/>
          <w:szCs w:val="20"/>
        </w:rPr>
        <w:t>ліквідації її наслідків. Одночасно посадові особи або</w:t>
      </w:r>
      <w:r w:rsidRPr="000977F7">
        <w:rPr>
          <w:rFonts w:asciiTheme="majorHAnsi" w:hAnsiTheme="majorHAnsi"/>
          <w:spacing w:val="1"/>
          <w:sz w:val="20"/>
          <w:szCs w:val="20"/>
        </w:rPr>
        <w:t xml:space="preserve"> </w:t>
      </w:r>
      <w:r w:rsidRPr="000977F7">
        <w:rPr>
          <w:rFonts w:asciiTheme="majorHAnsi" w:hAnsiTheme="majorHAnsi"/>
          <w:sz w:val="20"/>
          <w:szCs w:val="20"/>
        </w:rPr>
        <w:t>власники підприємств, керівники установ і організацій зобов'язані повідомляти про аварію і заходи, вжиті</w:t>
      </w:r>
      <w:r w:rsidRPr="000977F7">
        <w:rPr>
          <w:rFonts w:asciiTheme="majorHAnsi" w:hAnsiTheme="majorHAnsi"/>
          <w:spacing w:val="-47"/>
          <w:sz w:val="20"/>
          <w:szCs w:val="20"/>
        </w:rPr>
        <w:t xml:space="preserve"> </w:t>
      </w:r>
      <w:r w:rsidRPr="000977F7">
        <w:rPr>
          <w:rFonts w:asciiTheme="majorHAnsi" w:hAnsiTheme="majorHAnsi"/>
          <w:sz w:val="20"/>
          <w:szCs w:val="20"/>
        </w:rPr>
        <w:t>для</w:t>
      </w:r>
      <w:r w:rsidRPr="000977F7">
        <w:rPr>
          <w:rFonts w:asciiTheme="majorHAnsi" w:hAnsiTheme="majorHAnsi"/>
          <w:spacing w:val="9"/>
          <w:sz w:val="20"/>
          <w:szCs w:val="20"/>
        </w:rPr>
        <w:t xml:space="preserve"> </w:t>
      </w:r>
      <w:r w:rsidRPr="000977F7">
        <w:rPr>
          <w:rFonts w:asciiTheme="majorHAnsi" w:hAnsiTheme="majorHAnsi"/>
          <w:sz w:val="20"/>
          <w:szCs w:val="20"/>
        </w:rPr>
        <w:t>ліквідації</w:t>
      </w:r>
      <w:r w:rsidRPr="000977F7">
        <w:rPr>
          <w:rFonts w:asciiTheme="majorHAnsi" w:hAnsiTheme="majorHAnsi"/>
          <w:spacing w:val="8"/>
          <w:sz w:val="20"/>
          <w:szCs w:val="20"/>
        </w:rPr>
        <w:t xml:space="preserve"> </w:t>
      </w:r>
      <w:r w:rsidRPr="000977F7">
        <w:rPr>
          <w:rFonts w:asciiTheme="majorHAnsi" w:hAnsiTheme="majorHAnsi"/>
          <w:sz w:val="20"/>
          <w:szCs w:val="20"/>
        </w:rPr>
        <w:t>її</w:t>
      </w:r>
      <w:r w:rsidRPr="000977F7">
        <w:rPr>
          <w:rFonts w:asciiTheme="majorHAnsi" w:hAnsiTheme="majorHAnsi"/>
          <w:spacing w:val="9"/>
          <w:sz w:val="20"/>
          <w:szCs w:val="20"/>
        </w:rPr>
        <w:t xml:space="preserve"> </w:t>
      </w:r>
      <w:r w:rsidRPr="000977F7">
        <w:rPr>
          <w:rFonts w:asciiTheme="majorHAnsi" w:hAnsiTheme="majorHAnsi"/>
          <w:sz w:val="20"/>
          <w:szCs w:val="20"/>
        </w:rPr>
        <w:t>наслідків,</w:t>
      </w:r>
      <w:r w:rsidRPr="000977F7">
        <w:rPr>
          <w:rFonts w:asciiTheme="majorHAnsi" w:hAnsiTheme="majorHAnsi"/>
          <w:spacing w:val="11"/>
          <w:sz w:val="20"/>
          <w:szCs w:val="20"/>
        </w:rPr>
        <w:t xml:space="preserve"> </w:t>
      </w:r>
      <w:r w:rsidRPr="000977F7">
        <w:rPr>
          <w:rFonts w:asciiTheme="majorHAnsi" w:hAnsiTheme="majorHAnsi"/>
          <w:sz w:val="20"/>
          <w:szCs w:val="20"/>
        </w:rPr>
        <w:t>виконавчому</w:t>
      </w:r>
      <w:r w:rsidRPr="000977F7">
        <w:rPr>
          <w:rFonts w:asciiTheme="majorHAnsi" w:hAnsiTheme="majorHAnsi"/>
          <w:spacing w:val="4"/>
          <w:sz w:val="20"/>
          <w:szCs w:val="20"/>
        </w:rPr>
        <w:t xml:space="preserve"> </w:t>
      </w:r>
      <w:r w:rsidRPr="000977F7">
        <w:rPr>
          <w:rFonts w:asciiTheme="majorHAnsi" w:hAnsiTheme="majorHAnsi"/>
          <w:sz w:val="20"/>
          <w:szCs w:val="20"/>
        </w:rPr>
        <w:t>комітету</w:t>
      </w:r>
      <w:r w:rsidRPr="000977F7">
        <w:rPr>
          <w:rFonts w:asciiTheme="majorHAnsi" w:hAnsiTheme="majorHAnsi"/>
          <w:spacing w:val="7"/>
          <w:sz w:val="20"/>
          <w:szCs w:val="20"/>
        </w:rPr>
        <w:t xml:space="preserve"> </w:t>
      </w:r>
      <w:r w:rsidRPr="000977F7">
        <w:rPr>
          <w:rFonts w:asciiTheme="majorHAnsi" w:hAnsiTheme="majorHAnsi"/>
          <w:sz w:val="20"/>
          <w:szCs w:val="20"/>
        </w:rPr>
        <w:t>сільської,</w:t>
      </w:r>
      <w:r w:rsidRPr="000977F7">
        <w:rPr>
          <w:rFonts w:asciiTheme="majorHAnsi" w:hAnsiTheme="majorHAnsi"/>
          <w:spacing w:val="1"/>
          <w:sz w:val="20"/>
          <w:szCs w:val="20"/>
        </w:rPr>
        <w:t xml:space="preserve"> </w:t>
      </w:r>
      <w:r w:rsidRPr="000977F7">
        <w:rPr>
          <w:rFonts w:asciiTheme="majorHAnsi" w:hAnsiTheme="majorHAnsi"/>
          <w:sz w:val="20"/>
          <w:szCs w:val="20"/>
        </w:rPr>
        <w:t>селищної,</w:t>
      </w:r>
      <w:r w:rsidRPr="000977F7">
        <w:rPr>
          <w:rFonts w:asciiTheme="majorHAnsi" w:hAnsiTheme="majorHAnsi"/>
          <w:spacing w:val="1"/>
          <w:sz w:val="20"/>
          <w:szCs w:val="20"/>
        </w:rPr>
        <w:t xml:space="preserve"> </w:t>
      </w:r>
      <w:r w:rsidRPr="000977F7">
        <w:rPr>
          <w:rFonts w:asciiTheme="majorHAnsi" w:hAnsiTheme="majorHAnsi"/>
          <w:sz w:val="20"/>
          <w:szCs w:val="20"/>
        </w:rPr>
        <w:t>міської</w:t>
      </w:r>
      <w:r w:rsidRPr="000977F7">
        <w:rPr>
          <w:rFonts w:asciiTheme="majorHAnsi" w:hAnsiTheme="majorHAnsi"/>
          <w:spacing w:val="1"/>
          <w:sz w:val="20"/>
          <w:szCs w:val="20"/>
        </w:rPr>
        <w:t xml:space="preserve"> </w:t>
      </w:r>
      <w:r w:rsidRPr="000977F7">
        <w:rPr>
          <w:rFonts w:asciiTheme="majorHAnsi" w:hAnsiTheme="majorHAnsi"/>
          <w:sz w:val="20"/>
          <w:szCs w:val="20"/>
        </w:rPr>
        <w:t>ради,</w:t>
      </w:r>
      <w:r w:rsidRPr="000977F7">
        <w:rPr>
          <w:rFonts w:asciiTheme="majorHAnsi" w:hAnsiTheme="majorHAnsi"/>
          <w:spacing w:val="1"/>
          <w:sz w:val="20"/>
          <w:szCs w:val="20"/>
        </w:rPr>
        <w:t xml:space="preserve"> </w:t>
      </w:r>
      <w:r w:rsidRPr="000977F7">
        <w:rPr>
          <w:rFonts w:asciiTheme="majorHAnsi" w:hAnsiTheme="majorHAnsi"/>
          <w:sz w:val="20"/>
          <w:szCs w:val="20"/>
        </w:rPr>
        <w:t>центральному органу</w:t>
      </w:r>
      <w:r w:rsidRPr="000977F7">
        <w:rPr>
          <w:rFonts w:asciiTheme="majorHAnsi" w:hAnsiTheme="majorHAnsi"/>
          <w:spacing w:val="1"/>
          <w:sz w:val="20"/>
          <w:szCs w:val="20"/>
        </w:rPr>
        <w:t xml:space="preserve"> </w:t>
      </w:r>
      <w:r w:rsidRPr="000977F7">
        <w:rPr>
          <w:rFonts w:asciiTheme="majorHAnsi" w:hAnsiTheme="majorHAnsi"/>
          <w:sz w:val="20"/>
          <w:szCs w:val="20"/>
        </w:rPr>
        <w:t>виконавчої влади, що забезпечує реалізацію державної політики у сфері санітарного та епідемічного благополуччя населення, відповідній обласній, Київській,</w:t>
      </w:r>
      <w:r w:rsidRPr="000977F7">
        <w:rPr>
          <w:rFonts w:asciiTheme="majorHAnsi" w:hAnsiTheme="majorHAnsi"/>
          <w:spacing w:val="-47"/>
          <w:sz w:val="20"/>
          <w:szCs w:val="20"/>
        </w:rPr>
        <w:t xml:space="preserve"> </w:t>
      </w:r>
      <w:r w:rsidRPr="000977F7">
        <w:rPr>
          <w:rFonts w:asciiTheme="majorHAnsi" w:hAnsiTheme="majorHAnsi"/>
          <w:sz w:val="20"/>
          <w:szCs w:val="20"/>
        </w:rPr>
        <w:t>Севастопольській міській державній адміністрації,</w:t>
      </w:r>
      <w:r w:rsidRPr="000977F7">
        <w:rPr>
          <w:rFonts w:asciiTheme="majorHAnsi" w:hAnsiTheme="majorHAnsi"/>
          <w:spacing w:val="50"/>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території</w:t>
      </w:r>
      <w:r w:rsidRPr="000977F7">
        <w:rPr>
          <w:rFonts w:asciiTheme="majorHAnsi" w:hAnsiTheme="majorHAnsi"/>
          <w:spacing w:val="1"/>
          <w:sz w:val="20"/>
          <w:szCs w:val="20"/>
        </w:rPr>
        <w:t xml:space="preserve"> </w:t>
      </w:r>
      <w:r w:rsidRPr="000977F7">
        <w:rPr>
          <w:rFonts w:asciiTheme="majorHAnsi" w:hAnsiTheme="majorHAnsi"/>
          <w:sz w:val="20"/>
          <w:szCs w:val="20"/>
        </w:rPr>
        <w:t>Автономної</w:t>
      </w:r>
      <w:r w:rsidRPr="000977F7">
        <w:rPr>
          <w:rFonts w:asciiTheme="majorHAnsi" w:hAnsiTheme="majorHAnsi"/>
          <w:spacing w:val="1"/>
          <w:sz w:val="20"/>
          <w:szCs w:val="20"/>
        </w:rPr>
        <w:t xml:space="preserve"> </w:t>
      </w:r>
      <w:r w:rsidRPr="000977F7">
        <w:rPr>
          <w:rFonts w:asciiTheme="majorHAnsi" w:hAnsiTheme="majorHAnsi"/>
          <w:sz w:val="20"/>
          <w:szCs w:val="20"/>
        </w:rPr>
        <w:t>Республіки</w:t>
      </w:r>
      <w:r w:rsidRPr="000977F7">
        <w:rPr>
          <w:rFonts w:asciiTheme="majorHAnsi" w:hAnsiTheme="majorHAnsi"/>
          <w:spacing w:val="1"/>
          <w:sz w:val="20"/>
          <w:szCs w:val="20"/>
        </w:rPr>
        <w:t xml:space="preserve"> </w:t>
      </w:r>
      <w:r w:rsidRPr="000977F7">
        <w:rPr>
          <w:rFonts w:asciiTheme="majorHAnsi" w:hAnsiTheme="majorHAnsi"/>
          <w:sz w:val="20"/>
          <w:szCs w:val="20"/>
        </w:rPr>
        <w:t>Крим</w:t>
      </w:r>
      <w:r w:rsidRPr="000977F7">
        <w:rPr>
          <w:rFonts w:asciiTheme="majorHAnsi" w:hAnsiTheme="majorHAnsi"/>
          <w:spacing w:val="1"/>
          <w:sz w:val="20"/>
          <w:szCs w:val="20"/>
        </w:rPr>
        <w:t xml:space="preserve"> </w:t>
      </w:r>
      <w:r w:rsidRPr="000977F7">
        <w:rPr>
          <w:rFonts w:asciiTheme="majorHAnsi" w:hAnsiTheme="majorHAnsi"/>
          <w:sz w:val="20"/>
          <w:szCs w:val="20"/>
        </w:rPr>
        <w:t>органу</w:t>
      </w:r>
      <w:r w:rsidRPr="000977F7">
        <w:rPr>
          <w:rFonts w:asciiTheme="majorHAnsi" w:hAnsiTheme="majorHAnsi"/>
          <w:spacing w:val="1"/>
          <w:sz w:val="20"/>
          <w:szCs w:val="20"/>
        </w:rPr>
        <w:t xml:space="preserve"> </w:t>
      </w:r>
      <w:r w:rsidRPr="000977F7">
        <w:rPr>
          <w:rFonts w:asciiTheme="majorHAnsi" w:hAnsiTheme="majorHAnsi"/>
          <w:sz w:val="20"/>
          <w:szCs w:val="20"/>
        </w:rPr>
        <w:t>виконавчої влади Автономної Республіки Крим з питань охорони навколишнього природного 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населенню.</w:t>
      </w:r>
    </w:p>
    <w:p w14:paraId="0707B4B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Закон України</w:t>
      </w:r>
      <w:r w:rsidRPr="000977F7">
        <w:rPr>
          <w:rFonts w:asciiTheme="majorHAnsi" w:hAnsiTheme="majorHAnsi"/>
          <w:i/>
          <w:spacing w:val="1"/>
          <w:sz w:val="20"/>
          <w:szCs w:val="20"/>
        </w:rPr>
        <w:t xml:space="preserve"> </w:t>
      </w:r>
      <w:r w:rsidRPr="000977F7">
        <w:rPr>
          <w:rFonts w:asciiTheme="majorHAnsi" w:hAnsiTheme="majorHAnsi"/>
          <w:i/>
          <w:sz w:val="20"/>
          <w:szCs w:val="20"/>
        </w:rPr>
        <w:t>«Про охорону навколишнього природного середовища»</w:t>
      </w:r>
    </w:p>
    <w:p w14:paraId="4DAC518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ЗАПОБІЖНА</w:t>
      </w:r>
      <w:r w:rsidRPr="000977F7">
        <w:rPr>
          <w:color w:val="auto"/>
          <w:spacing w:val="-3"/>
          <w:sz w:val="20"/>
          <w:szCs w:val="20"/>
        </w:rPr>
        <w:t xml:space="preserve"> </w:t>
      </w:r>
      <w:r w:rsidRPr="000977F7">
        <w:rPr>
          <w:color w:val="auto"/>
          <w:sz w:val="20"/>
          <w:szCs w:val="20"/>
        </w:rPr>
        <w:t>ДІЯ</w:t>
      </w:r>
      <w:r w:rsidRPr="000977F7">
        <w:rPr>
          <w:color w:val="auto"/>
          <w:spacing w:val="-1"/>
          <w:sz w:val="20"/>
          <w:szCs w:val="20"/>
        </w:rPr>
        <w:t xml:space="preserve"> </w:t>
      </w:r>
      <w:r w:rsidRPr="000977F7">
        <w:rPr>
          <w:color w:val="auto"/>
          <w:sz w:val="20"/>
          <w:szCs w:val="20"/>
        </w:rPr>
        <w:t>–</w:t>
      </w:r>
    </w:p>
    <w:p w14:paraId="66C096B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PREVENTIVE</w:t>
      </w:r>
      <w:r w:rsidRPr="000977F7">
        <w:rPr>
          <w:rFonts w:asciiTheme="majorHAnsi" w:hAnsiTheme="majorHAnsi"/>
          <w:spacing w:val="-3"/>
          <w:sz w:val="20"/>
          <w:szCs w:val="20"/>
        </w:rPr>
        <w:t xml:space="preserve"> </w:t>
      </w:r>
      <w:r w:rsidRPr="000977F7">
        <w:rPr>
          <w:rFonts w:asciiTheme="majorHAnsi" w:hAnsiTheme="majorHAnsi"/>
          <w:sz w:val="20"/>
          <w:szCs w:val="20"/>
        </w:rPr>
        <w:t>ACTION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562A8D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 яку виконують, щоб усунути причину потенційної</w:t>
      </w:r>
      <w:r w:rsidRPr="000977F7">
        <w:rPr>
          <w:rFonts w:asciiTheme="majorHAnsi" w:hAnsiTheme="majorHAnsi"/>
          <w:spacing w:val="1"/>
          <w:sz w:val="20"/>
          <w:szCs w:val="20"/>
        </w:rPr>
        <w:t xml:space="preserve"> </w:t>
      </w:r>
      <w:r w:rsidRPr="000977F7">
        <w:rPr>
          <w:rFonts w:asciiTheme="majorHAnsi" w:hAnsiTheme="majorHAnsi"/>
          <w:sz w:val="20"/>
          <w:szCs w:val="20"/>
        </w:rPr>
        <w:t>невідповідності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іншої</w:t>
      </w:r>
      <w:r w:rsidRPr="000977F7">
        <w:rPr>
          <w:rFonts w:asciiTheme="majorHAnsi" w:hAnsiTheme="majorHAnsi"/>
          <w:spacing w:val="1"/>
          <w:sz w:val="20"/>
          <w:szCs w:val="20"/>
        </w:rPr>
        <w:t xml:space="preserve"> </w:t>
      </w:r>
      <w:r w:rsidRPr="000977F7">
        <w:rPr>
          <w:rFonts w:asciiTheme="majorHAnsi" w:hAnsiTheme="majorHAnsi"/>
          <w:sz w:val="20"/>
          <w:szCs w:val="20"/>
        </w:rPr>
        <w:t>потенційно</w:t>
      </w:r>
      <w:r w:rsidRPr="000977F7">
        <w:rPr>
          <w:rFonts w:asciiTheme="majorHAnsi" w:hAnsiTheme="majorHAnsi"/>
          <w:spacing w:val="1"/>
          <w:sz w:val="20"/>
          <w:szCs w:val="20"/>
        </w:rPr>
        <w:t xml:space="preserve"> </w:t>
      </w:r>
      <w:r w:rsidRPr="000977F7">
        <w:rPr>
          <w:rFonts w:asciiTheme="majorHAnsi" w:hAnsiTheme="majorHAnsi"/>
          <w:sz w:val="20"/>
          <w:szCs w:val="20"/>
        </w:rPr>
        <w:t>небажаної</w:t>
      </w:r>
      <w:r w:rsidRPr="000977F7">
        <w:rPr>
          <w:rFonts w:asciiTheme="majorHAnsi" w:hAnsiTheme="majorHAnsi"/>
          <w:spacing w:val="1"/>
          <w:sz w:val="20"/>
          <w:szCs w:val="20"/>
        </w:rPr>
        <w:t xml:space="preserve"> </w:t>
      </w:r>
      <w:r w:rsidRPr="000977F7">
        <w:rPr>
          <w:rFonts w:asciiTheme="majorHAnsi" w:hAnsiTheme="majorHAnsi"/>
          <w:sz w:val="20"/>
          <w:szCs w:val="20"/>
        </w:rPr>
        <w:t>ситуації.</w:t>
      </w:r>
    </w:p>
    <w:p w14:paraId="34F35E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Примітка</w:t>
      </w:r>
      <w:r w:rsidRPr="000977F7">
        <w:rPr>
          <w:rFonts w:asciiTheme="majorHAnsi" w:hAnsiTheme="majorHAnsi"/>
          <w:spacing w:val="1"/>
          <w:sz w:val="20"/>
          <w:szCs w:val="20"/>
        </w:rPr>
        <w:t xml:space="preserve"> </w:t>
      </w:r>
      <w:r w:rsidRPr="000977F7">
        <w:rPr>
          <w:rFonts w:asciiTheme="majorHAnsi" w:hAnsiTheme="majorHAnsi"/>
          <w:sz w:val="20"/>
          <w:szCs w:val="20"/>
        </w:rPr>
        <w:t>1.</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кілька</w:t>
      </w:r>
      <w:r w:rsidRPr="000977F7">
        <w:rPr>
          <w:rFonts w:asciiTheme="majorHAnsi" w:hAnsiTheme="majorHAnsi"/>
          <w:spacing w:val="1"/>
          <w:sz w:val="20"/>
          <w:szCs w:val="20"/>
        </w:rPr>
        <w:t xml:space="preserve"> </w:t>
      </w:r>
      <w:r w:rsidRPr="000977F7">
        <w:rPr>
          <w:rFonts w:asciiTheme="majorHAnsi" w:hAnsiTheme="majorHAnsi"/>
          <w:sz w:val="20"/>
          <w:szCs w:val="20"/>
        </w:rPr>
        <w:t>причин</w:t>
      </w:r>
      <w:r w:rsidRPr="000977F7">
        <w:rPr>
          <w:rFonts w:asciiTheme="majorHAnsi" w:hAnsiTheme="majorHAnsi"/>
          <w:spacing w:val="1"/>
          <w:sz w:val="20"/>
          <w:szCs w:val="20"/>
        </w:rPr>
        <w:t xml:space="preserve"> </w:t>
      </w:r>
      <w:r w:rsidRPr="000977F7">
        <w:rPr>
          <w:rFonts w:asciiTheme="majorHAnsi" w:hAnsiTheme="majorHAnsi"/>
          <w:sz w:val="20"/>
          <w:szCs w:val="20"/>
        </w:rPr>
        <w:t>виникнення</w:t>
      </w:r>
      <w:r w:rsidRPr="000977F7">
        <w:rPr>
          <w:rFonts w:asciiTheme="majorHAnsi" w:hAnsiTheme="majorHAnsi"/>
          <w:spacing w:val="1"/>
          <w:sz w:val="20"/>
          <w:szCs w:val="20"/>
        </w:rPr>
        <w:t xml:space="preserve"> </w:t>
      </w:r>
      <w:r w:rsidRPr="000977F7">
        <w:rPr>
          <w:rFonts w:asciiTheme="majorHAnsi" w:hAnsiTheme="majorHAnsi"/>
          <w:sz w:val="20"/>
          <w:szCs w:val="20"/>
        </w:rPr>
        <w:t>потенційної невідповідності.</w:t>
      </w:r>
    </w:p>
    <w:p w14:paraId="778D6D6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2. Запобіжну дію виконують, щоб запобігти</w:t>
      </w:r>
      <w:r w:rsidRPr="000977F7">
        <w:rPr>
          <w:rFonts w:asciiTheme="majorHAnsi" w:hAnsiTheme="majorHAnsi"/>
          <w:spacing w:val="1"/>
          <w:sz w:val="20"/>
          <w:szCs w:val="20"/>
        </w:rPr>
        <w:t xml:space="preserve"> </w:t>
      </w:r>
      <w:r w:rsidRPr="000977F7">
        <w:rPr>
          <w:rFonts w:asciiTheme="majorHAnsi" w:hAnsiTheme="majorHAnsi"/>
          <w:sz w:val="20"/>
          <w:szCs w:val="20"/>
        </w:rPr>
        <w:t>виникненню</w:t>
      </w:r>
      <w:r w:rsidRPr="000977F7">
        <w:rPr>
          <w:rFonts w:asciiTheme="majorHAnsi" w:hAnsiTheme="majorHAnsi"/>
          <w:spacing w:val="1"/>
          <w:sz w:val="20"/>
          <w:szCs w:val="20"/>
        </w:rPr>
        <w:t xml:space="preserve"> </w:t>
      </w:r>
      <w:r w:rsidRPr="000977F7">
        <w:rPr>
          <w:rFonts w:asciiTheme="majorHAnsi" w:hAnsiTheme="majorHAnsi"/>
          <w:sz w:val="20"/>
          <w:szCs w:val="20"/>
        </w:rPr>
        <w:t>події,</w:t>
      </w:r>
      <w:r w:rsidRPr="000977F7">
        <w:rPr>
          <w:rFonts w:asciiTheme="majorHAnsi" w:hAnsiTheme="majorHAnsi"/>
          <w:spacing w:val="1"/>
          <w:sz w:val="20"/>
          <w:szCs w:val="20"/>
        </w:rPr>
        <w:t xml:space="preserve"> </w:t>
      </w:r>
      <w:r w:rsidRPr="000977F7">
        <w:rPr>
          <w:rFonts w:asciiTheme="majorHAnsi" w:hAnsiTheme="majorHAnsi"/>
          <w:sz w:val="20"/>
          <w:szCs w:val="20"/>
        </w:rPr>
        <w:t>тоді</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коригувальну дію</w:t>
      </w:r>
      <w:r w:rsidRPr="000977F7">
        <w:rPr>
          <w:rFonts w:asciiTheme="majorHAnsi" w:hAnsiTheme="majorHAnsi"/>
          <w:spacing w:val="1"/>
          <w:sz w:val="20"/>
          <w:szCs w:val="20"/>
        </w:rPr>
        <w:t xml:space="preserve"> </w:t>
      </w:r>
      <w:r w:rsidRPr="000977F7">
        <w:rPr>
          <w:rFonts w:asciiTheme="majorHAnsi" w:hAnsiTheme="majorHAnsi"/>
          <w:sz w:val="20"/>
          <w:szCs w:val="20"/>
        </w:rPr>
        <w:t>щоб</w:t>
      </w:r>
      <w:r w:rsidRPr="000977F7">
        <w:rPr>
          <w:rFonts w:asciiTheme="majorHAnsi" w:hAnsiTheme="majorHAnsi"/>
          <w:spacing w:val="1"/>
          <w:sz w:val="20"/>
          <w:szCs w:val="20"/>
        </w:rPr>
        <w:t xml:space="preserve"> </w:t>
      </w:r>
      <w:r w:rsidRPr="000977F7">
        <w:rPr>
          <w:rFonts w:asciiTheme="majorHAnsi" w:hAnsiTheme="majorHAnsi"/>
          <w:sz w:val="20"/>
          <w:szCs w:val="20"/>
        </w:rPr>
        <w:t>запобігти</w:t>
      </w:r>
      <w:r w:rsidRPr="000977F7">
        <w:rPr>
          <w:rFonts w:asciiTheme="majorHAnsi" w:hAnsiTheme="majorHAnsi"/>
          <w:spacing w:val="-1"/>
          <w:sz w:val="20"/>
          <w:szCs w:val="20"/>
        </w:rPr>
        <w:t xml:space="preserve"> </w:t>
      </w:r>
      <w:r w:rsidRPr="000977F7">
        <w:rPr>
          <w:rFonts w:asciiTheme="majorHAnsi" w:hAnsiTheme="majorHAnsi"/>
          <w:sz w:val="20"/>
          <w:szCs w:val="20"/>
        </w:rPr>
        <w:t>повторному</w:t>
      </w:r>
      <w:r w:rsidRPr="000977F7">
        <w:rPr>
          <w:rFonts w:asciiTheme="majorHAnsi" w:hAnsiTheme="majorHAnsi"/>
          <w:spacing w:val="-4"/>
          <w:sz w:val="20"/>
          <w:szCs w:val="20"/>
        </w:rPr>
        <w:t xml:space="preserve"> </w:t>
      </w:r>
      <w:r w:rsidRPr="000977F7">
        <w:rPr>
          <w:rFonts w:asciiTheme="majorHAnsi" w:hAnsiTheme="majorHAnsi"/>
          <w:sz w:val="20"/>
          <w:szCs w:val="20"/>
        </w:rPr>
        <w:t>виникненню</w:t>
      </w:r>
      <w:r w:rsidRPr="000977F7">
        <w:rPr>
          <w:rFonts w:asciiTheme="majorHAnsi" w:hAnsiTheme="majorHAnsi"/>
          <w:spacing w:val="1"/>
          <w:sz w:val="20"/>
          <w:szCs w:val="20"/>
        </w:rPr>
        <w:t xml:space="preserve"> </w:t>
      </w:r>
      <w:r w:rsidRPr="000977F7">
        <w:rPr>
          <w:rFonts w:asciiTheme="majorHAnsi" w:hAnsiTheme="majorHAnsi"/>
          <w:sz w:val="20"/>
          <w:szCs w:val="20"/>
        </w:rPr>
        <w:t>події</w:t>
      </w:r>
    </w:p>
    <w:p w14:paraId="07AA26C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259ED34C"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bookmarkStart w:id="57" w:name="_Hlk103744094"/>
      <w:r w:rsidRPr="000977F7">
        <w:rPr>
          <w:rFonts w:asciiTheme="majorHAnsi" w:hAnsiTheme="majorHAnsi"/>
          <w:b/>
          <w:bCs/>
          <w:iCs/>
          <w:sz w:val="20"/>
          <w:szCs w:val="20"/>
        </w:rPr>
        <w:t>ЗАПОБІЖНИЙ ПРИСТРЙ -</w:t>
      </w:r>
    </w:p>
    <w:p w14:paraId="591CE220"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iCs/>
          <w:sz w:val="20"/>
          <w:szCs w:val="20"/>
        </w:rPr>
        <w:t xml:space="preserve">IMPEDING DEVICE </w:t>
      </w:r>
      <w:bookmarkEnd w:id="57"/>
      <w:r w:rsidRPr="000977F7">
        <w:rPr>
          <w:rFonts w:asciiTheme="majorHAnsi" w:hAnsiTheme="majorHAnsi"/>
          <w:iCs/>
          <w:sz w:val="20"/>
          <w:szCs w:val="20"/>
        </w:rPr>
        <w:t>–</w:t>
      </w:r>
    </w:p>
    <w:p w14:paraId="441BC57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Будь-яка фізична перешкода, наприклад, невисокий бар’єр, поруччя, який не запобігає повністю доступу в небезпечну зону, але зменшує змогу потрапляння до неї, утворюючи перешкоду для вільного доступу </w:t>
      </w:r>
    </w:p>
    <w:p w14:paraId="7872FF8E"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6EC2D38F"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lang w:eastAsia="ru-RU"/>
        </w:rPr>
      </w:pPr>
      <w:r w:rsidRPr="000977F7">
        <w:rPr>
          <w:rFonts w:asciiTheme="majorHAnsi" w:hAnsiTheme="majorHAnsi"/>
          <w:b/>
          <w:bCs/>
          <w:sz w:val="20"/>
          <w:szCs w:val="20"/>
          <w:lang w:eastAsia="ru-RU"/>
        </w:rPr>
        <w:t>ЗАПОБІЖНІ ПРИСТРОЇ –</w:t>
      </w:r>
    </w:p>
    <w:p w14:paraId="433B013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Пристрої, призначені для захисту обладнання, що працює під тиском, у разі перевищення припустимих параметрів, у тому числі пристрої для безпосереднього обмеження тиску, зокрема запобіжні клапани, розривні мембрани, гнучкі стрижні, керовані системи аварійного скидання тиску та обмежувальні пристрої, які своєю дією приводять у дію коригувальні пристрої або спричиняють відключення або відсікання, такі як перемикачі тиску, температури чи рівня робочого середовища, а також засоби вимірювальної техніки та регулювальні пристрої</w:t>
      </w:r>
    </w:p>
    <w:p w14:paraId="49AAAD5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Технічний регламент обладнання, що працює під тиском</w:t>
      </w:r>
    </w:p>
    <w:p w14:paraId="33C7CC73" w14:textId="77777777" w:rsidR="0097612F" w:rsidRPr="000977F7" w:rsidRDefault="0097612F" w:rsidP="000977F7">
      <w:pPr>
        <w:pStyle w:val="7"/>
        <w:tabs>
          <w:tab w:val="left" w:pos="284"/>
        </w:tabs>
        <w:spacing w:before="0" w:line="240" w:lineRule="auto"/>
        <w:ind w:left="170"/>
        <w:mirrorIndents/>
        <w:jc w:val="both"/>
        <w:rPr>
          <w:i/>
          <w:color w:val="auto"/>
          <w:sz w:val="20"/>
          <w:szCs w:val="20"/>
        </w:rPr>
      </w:pPr>
      <w:r w:rsidRPr="000977F7">
        <w:rPr>
          <w:color w:val="auto"/>
          <w:sz w:val="20"/>
          <w:szCs w:val="20"/>
        </w:rPr>
        <w:t>ЗАПРОВАДЖЕННЯ СИСТЕМИ УПРАВЛІННЯ</w:t>
      </w:r>
      <w:r w:rsidRPr="000977F7">
        <w:rPr>
          <w:color w:val="auto"/>
          <w:spacing w:val="-47"/>
          <w:sz w:val="20"/>
          <w:szCs w:val="20"/>
        </w:rPr>
        <w:t xml:space="preserve"> </w:t>
      </w:r>
      <w:r w:rsidRPr="000977F7">
        <w:rPr>
          <w:color w:val="auto"/>
          <w:sz w:val="20"/>
          <w:szCs w:val="20"/>
        </w:rPr>
        <w:t>ЯКІСТЮ</w:t>
      </w:r>
      <w:r w:rsidRPr="000977F7">
        <w:rPr>
          <w:color w:val="auto"/>
          <w:spacing w:val="-2"/>
          <w:sz w:val="20"/>
          <w:szCs w:val="20"/>
        </w:rPr>
        <w:t xml:space="preserve"> </w:t>
      </w:r>
      <w:r w:rsidRPr="000977F7">
        <w:rPr>
          <w:i/>
          <w:color w:val="auto"/>
          <w:sz w:val="20"/>
          <w:szCs w:val="20"/>
        </w:rPr>
        <w:t>–</w:t>
      </w:r>
    </w:p>
    <w:p w14:paraId="12FB315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QUALITY</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MANAGEMENT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SYSTEM</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 xml:space="preserve">REALIZATION </w:t>
      </w:r>
      <w:r w:rsidRPr="004D2D14">
        <w:rPr>
          <w:rFonts w:asciiTheme="majorHAnsi" w:hAnsiTheme="majorHAnsi"/>
          <w:w w:val="99"/>
          <w:sz w:val="20"/>
          <w:szCs w:val="20"/>
          <w:lang w:val="en-US"/>
        </w:rPr>
        <w:t>–</w:t>
      </w:r>
    </w:p>
    <w:p w14:paraId="499FCC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 наслідок процесу розроблення, документування,</w:t>
      </w:r>
      <w:r w:rsidRPr="000977F7">
        <w:rPr>
          <w:rFonts w:asciiTheme="majorHAnsi" w:hAnsiTheme="majorHAnsi"/>
          <w:spacing w:val="2"/>
          <w:sz w:val="20"/>
          <w:szCs w:val="20"/>
        </w:rPr>
        <w:t xml:space="preserve"> </w:t>
      </w:r>
      <w:r w:rsidRPr="000977F7">
        <w:rPr>
          <w:rFonts w:asciiTheme="majorHAnsi" w:hAnsiTheme="majorHAnsi"/>
          <w:sz w:val="20"/>
          <w:szCs w:val="20"/>
        </w:rPr>
        <w:t>уведення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дію,</w:t>
      </w:r>
      <w:r w:rsidRPr="000977F7">
        <w:rPr>
          <w:rFonts w:asciiTheme="majorHAnsi" w:hAnsiTheme="majorHAnsi"/>
          <w:spacing w:val="3"/>
          <w:sz w:val="20"/>
          <w:szCs w:val="20"/>
        </w:rPr>
        <w:t xml:space="preserve"> </w:t>
      </w:r>
      <w:r w:rsidRPr="000977F7">
        <w:rPr>
          <w:rFonts w:asciiTheme="majorHAnsi" w:hAnsiTheme="majorHAnsi"/>
          <w:sz w:val="20"/>
          <w:szCs w:val="20"/>
        </w:rPr>
        <w:t>підтримування та постійного поліпшування системи управління</w:t>
      </w:r>
      <w:r w:rsidRPr="000977F7">
        <w:rPr>
          <w:rFonts w:asciiTheme="majorHAnsi" w:hAnsiTheme="majorHAnsi"/>
          <w:spacing w:val="-2"/>
          <w:sz w:val="20"/>
          <w:szCs w:val="20"/>
        </w:rPr>
        <w:t xml:space="preserve"> </w:t>
      </w:r>
      <w:r w:rsidRPr="000977F7">
        <w:rPr>
          <w:rFonts w:asciiTheme="majorHAnsi" w:hAnsiTheme="majorHAnsi"/>
          <w:sz w:val="20"/>
          <w:szCs w:val="20"/>
        </w:rPr>
        <w:t>якістю</w:t>
      </w:r>
    </w:p>
    <w:p w14:paraId="1278805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9000:2015</w:t>
      </w:r>
    </w:p>
    <w:p w14:paraId="33E162E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ЗАРЕЄСТРОВАНИЙ ПРОМИСЛОВИЙ ЗРАЗОК –</w:t>
      </w:r>
    </w:p>
    <w:p w14:paraId="689B0536"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Промисловий зразок, відомості про який занесено до Реєстру і на який видано свідоцтво;</w:t>
      </w:r>
    </w:p>
    <w:p w14:paraId="1E23E0A8"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охорону прав на промислові зразки"</w:t>
      </w:r>
    </w:p>
    <w:p w14:paraId="616E400E"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ЗАСВІДЧЕННЯ</w:t>
      </w:r>
      <w:r w:rsidRPr="004D2D14">
        <w:rPr>
          <w:rFonts w:asciiTheme="majorHAnsi" w:hAnsiTheme="majorHAnsi"/>
          <w:b/>
          <w:sz w:val="20"/>
          <w:szCs w:val="20"/>
          <w:lang w:val="en-US"/>
        </w:rPr>
        <w:t xml:space="preserve"> </w:t>
      </w:r>
      <w:r w:rsidRPr="000977F7">
        <w:rPr>
          <w:rFonts w:asciiTheme="majorHAnsi" w:hAnsiTheme="majorHAnsi"/>
          <w:b/>
          <w:sz w:val="20"/>
          <w:szCs w:val="20"/>
        </w:rPr>
        <w:t>ВІДПОВІДНОСТІ</w:t>
      </w:r>
      <w:r w:rsidRPr="004D2D14">
        <w:rPr>
          <w:rFonts w:asciiTheme="majorHAnsi" w:hAnsiTheme="majorHAnsi"/>
          <w:b/>
          <w:spacing w:val="1"/>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ATESTATION</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CONFORMITY -</w:t>
      </w:r>
    </w:p>
    <w:p w14:paraId="5D9C4DA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 випробувальної лабораторії третьої сторони, яка</w:t>
      </w:r>
      <w:r w:rsidRPr="000977F7">
        <w:rPr>
          <w:rFonts w:asciiTheme="majorHAnsi" w:hAnsiTheme="majorHAnsi"/>
          <w:spacing w:val="1"/>
          <w:sz w:val="20"/>
          <w:szCs w:val="20"/>
        </w:rPr>
        <w:t xml:space="preserve"> </w:t>
      </w:r>
      <w:r w:rsidRPr="000977F7">
        <w:rPr>
          <w:rFonts w:asciiTheme="majorHAnsi" w:hAnsiTheme="majorHAnsi"/>
          <w:sz w:val="20"/>
          <w:szCs w:val="20"/>
        </w:rPr>
        <w:t>доводить,</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конкретний</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випробуваний</w:t>
      </w:r>
      <w:r w:rsidRPr="000977F7">
        <w:rPr>
          <w:rFonts w:asciiTheme="majorHAnsi" w:hAnsiTheme="majorHAnsi"/>
          <w:spacing w:val="1"/>
          <w:sz w:val="20"/>
          <w:szCs w:val="20"/>
        </w:rPr>
        <w:t xml:space="preserve"> </w:t>
      </w:r>
      <w:r w:rsidRPr="000977F7">
        <w:rPr>
          <w:rFonts w:asciiTheme="majorHAnsi" w:hAnsiTheme="majorHAnsi"/>
          <w:sz w:val="20"/>
          <w:szCs w:val="20"/>
        </w:rPr>
        <w:t>зразок</w:t>
      </w:r>
      <w:r w:rsidRPr="000977F7">
        <w:rPr>
          <w:rFonts w:asciiTheme="majorHAnsi" w:hAnsiTheme="majorHAnsi"/>
          <w:spacing w:val="1"/>
          <w:sz w:val="20"/>
          <w:szCs w:val="20"/>
        </w:rPr>
        <w:t xml:space="preserve"> </w:t>
      </w:r>
      <w:r w:rsidRPr="000977F7">
        <w:rPr>
          <w:rFonts w:asciiTheme="majorHAnsi" w:hAnsiTheme="majorHAnsi"/>
          <w:sz w:val="20"/>
          <w:szCs w:val="20"/>
        </w:rPr>
        <w:t>відповідає</w:t>
      </w:r>
      <w:r w:rsidRPr="000977F7">
        <w:rPr>
          <w:rFonts w:asciiTheme="majorHAnsi" w:hAnsiTheme="majorHAnsi"/>
          <w:spacing w:val="1"/>
          <w:sz w:val="20"/>
          <w:szCs w:val="20"/>
        </w:rPr>
        <w:t xml:space="preserve"> </w:t>
      </w:r>
      <w:r w:rsidRPr="000977F7">
        <w:rPr>
          <w:rFonts w:asciiTheme="majorHAnsi" w:hAnsiTheme="majorHAnsi"/>
          <w:sz w:val="20"/>
          <w:szCs w:val="20"/>
        </w:rPr>
        <w:t>конкретному</w:t>
      </w:r>
      <w:r w:rsidRPr="000977F7">
        <w:rPr>
          <w:rFonts w:asciiTheme="majorHAnsi" w:hAnsiTheme="majorHAnsi"/>
          <w:spacing w:val="1"/>
          <w:sz w:val="20"/>
          <w:szCs w:val="20"/>
        </w:rPr>
        <w:t xml:space="preserve"> </w:t>
      </w:r>
      <w:r w:rsidRPr="000977F7">
        <w:rPr>
          <w:rFonts w:asciiTheme="majorHAnsi" w:hAnsiTheme="majorHAnsi"/>
          <w:sz w:val="20"/>
          <w:szCs w:val="20"/>
        </w:rPr>
        <w:t>стандарту</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іншому</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нормативному</w:t>
      </w:r>
      <w:r w:rsidRPr="000977F7">
        <w:rPr>
          <w:rFonts w:asciiTheme="majorHAnsi" w:hAnsiTheme="majorHAnsi"/>
          <w:spacing w:val="1"/>
          <w:sz w:val="20"/>
          <w:szCs w:val="20"/>
        </w:rPr>
        <w:t xml:space="preserve"> </w:t>
      </w:r>
      <w:r w:rsidRPr="000977F7">
        <w:rPr>
          <w:rFonts w:asciiTheme="majorHAnsi" w:hAnsiTheme="majorHAnsi"/>
          <w:sz w:val="20"/>
          <w:szCs w:val="20"/>
        </w:rPr>
        <w:t>документу</w:t>
      </w:r>
    </w:p>
    <w:p w14:paraId="505CB19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ЗАСІБ</w:t>
      </w:r>
      <w:r w:rsidRPr="000977F7">
        <w:rPr>
          <w:color w:val="auto"/>
          <w:spacing w:val="11"/>
          <w:sz w:val="20"/>
          <w:szCs w:val="20"/>
        </w:rPr>
        <w:t xml:space="preserve"> </w:t>
      </w:r>
      <w:r w:rsidRPr="000977F7">
        <w:rPr>
          <w:color w:val="auto"/>
          <w:sz w:val="20"/>
          <w:szCs w:val="20"/>
        </w:rPr>
        <w:t>ВИМІРЮВАЛЬНОЇ</w:t>
      </w:r>
      <w:r w:rsidRPr="000977F7">
        <w:rPr>
          <w:color w:val="auto"/>
          <w:spacing w:val="9"/>
          <w:sz w:val="20"/>
          <w:szCs w:val="20"/>
        </w:rPr>
        <w:t xml:space="preserve"> </w:t>
      </w:r>
      <w:r w:rsidRPr="000977F7">
        <w:rPr>
          <w:color w:val="auto"/>
          <w:sz w:val="20"/>
          <w:szCs w:val="20"/>
        </w:rPr>
        <w:t>ТЕХНІКИ</w:t>
      </w:r>
      <w:r w:rsidRPr="000977F7">
        <w:rPr>
          <w:color w:val="auto"/>
          <w:spacing w:val="18"/>
          <w:sz w:val="20"/>
          <w:szCs w:val="20"/>
        </w:rPr>
        <w:t xml:space="preserve"> </w:t>
      </w:r>
      <w:r w:rsidRPr="000977F7">
        <w:rPr>
          <w:color w:val="auto"/>
          <w:sz w:val="20"/>
          <w:szCs w:val="20"/>
        </w:rPr>
        <w:t>–</w:t>
      </w:r>
    </w:p>
    <w:p w14:paraId="0F162C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Технічний</w:t>
      </w:r>
      <w:r w:rsidRPr="000977F7">
        <w:rPr>
          <w:rFonts w:asciiTheme="majorHAnsi" w:hAnsiTheme="majorHAnsi"/>
          <w:spacing w:val="1"/>
          <w:sz w:val="20"/>
          <w:szCs w:val="20"/>
        </w:rPr>
        <w:t xml:space="preserve"> </w:t>
      </w:r>
      <w:r w:rsidRPr="000977F7">
        <w:rPr>
          <w:rFonts w:asciiTheme="majorHAnsi" w:hAnsiTheme="majorHAnsi"/>
          <w:sz w:val="20"/>
          <w:szCs w:val="20"/>
        </w:rPr>
        <w:t>засіб,</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застосовується</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вимірювань і має нормовані метрологічні характеристики</w:t>
      </w:r>
    </w:p>
    <w:p w14:paraId="60C63A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3"/>
          <w:sz w:val="20"/>
          <w:szCs w:val="20"/>
        </w:rPr>
        <w:t xml:space="preserve"> </w:t>
      </w:r>
      <w:r w:rsidRPr="000977F7">
        <w:rPr>
          <w:rFonts w:asciiTheme="majorHAnsi" w:hAnsiTheme="majorHAnsi"/>
          <w:sz w:val="20"/>
          <w:szCs w:val="20"/>
        </w:rPr>
        <w:t>р</w:t>
      </w:r>
      <w:r w:rsidRPr="000977F7">
        <w:rPr>
          <w:rFonts w:asciiTheme="majorHAnsi" w:hAnsiTheme="majorHAnsi"/>
          <w:spacing w:val="5"/>
          <w:sz w:val="20"/>
          <w:szCs w:val="20"/>
        </w:rPr>
        <w:t xml:space="preserve"> </w:t>
      </w:r>
      <w:r w:rsidRPr="000977F7">
        <w:rPr>
          <w:rFonts w:asciiTheme="majorHAnsi" w:hAnsiTheme="majorHAnsi"/>
          <w:sz w:val="20"/>
          <w:szCs w:val="20"/>
        </w:rPr>
        <w:t>и</w:t>
      </w:r>
      <w:r w:rsidRPr="000977F7">
        <w:rPr>
          <w:rFonts w:asciiTheme="majorHAnsi" w:hAnsiTheme="majorHAnsi"/>
          <w:spacing w:val="3"/>
          <w:sz w:val="20"/>
          <w:szCs w:val="20"/>
        </w:rPr>
        <w:t xml:space="preserve"> </w:t>
      </w:r>
      <w:r w:rsidRPr="000977F7">
        <w:rPr>
          <w:rFonts w:asciiTheme="majorHAnsi" w:hAnsiTheme="majorHAnsi"/>
          <w:sz w:val="20"/>
          <w:szCs w:val="20"/>
        </w:rPr>
        <w:t>м</w:t>
      </w:r>
      <w:r w:rsidRPr="000977F7">
        <w:rPr>
          <w:rFonts w:asciiTheme="majorHAnsi" w:hAnsiTheme="majorHAnsi"/>
          <w:spacing w:val="3"/>
          <w:sz w:val="20"/>
          <w:szCs w:val="20"/>
        </w:rPr>
        <w:t xml:space="preserve"> </w:t>
      </w:r>
      <w:r w:rsidRPr="000977F7">
        <w:rPr>
          <w:rFonts w:asciiTheme="majorHAnsi" w:hAnsiTheme="majorHAnsi"/>
          <w:sz w:val="20"/>
          <w:szCs w:val="20"/>
        </w:rPr>
        <w:t>і</w:t>
      </w:r>
      <w:r w:rsidRPr="000977F7">
        <w:rPr>
          <w:rFonts w:asciiTheme="majorHAnsi" w:hAnsiTheme="majorHAnsi"/>
          <w:spacing w:val="4"/>
          <w:sz w:val="20"/>
          <w:szCs w:val="20"/>
        </w:rPr>
        <w:t xml:space="preserve"> </w:t>
      </w:r>
      <w:r w:rsidRPr="000977F7">
        <w:rPr>
          <w:rFonts w:asciiTheme="majorHAnsi" w:hAnsiTheme="majorHAnsi"/>
          <w:sz w:val="20"/>
          <w:szCs w:val="20"/>
        </w:rPr>
        <w:t>т</w:t>
      </w:r>
      <w:r w:rsidRPr="000977F7">
        <w:rPr>
          <w:rFonts w:asciiTheme="majorHAnsi" w:hAnsiTheme="majorHAnsi"/>
          <w:spacing w:val="4"/>
          <w:sz w:val="20"/>
          <w:szCs w:val="20"/>
        </w:rPr>
        <w:t xml:space="preserve"> </w:t>
      </w:r>
      <w:r w:rsidRPr="000977F7">
        <w:rPr>
          <w:rFonts w:asciiTheme="majorHAnsi" w:hAnsiTheme="majorHAnsi"/>
          <w:sz w:val="20"/>
          <w:szCs w:val="20"/>
        </w:rPr>
        <w:t>к</w:t>
      </w:r>
      <w:r w:rsidRPr="000977F7">
        <w:rPr>
          <w:rFonts w:asciiTheme="majorHAnsi" w:hAnsiTheme="majorHAnsi"/>
          <w:spacing w:val="4"/>
          <w:sz w:val="20"/>
          <w:szCs w:val="20"/>
        </w:rPr>
        <w:t xml:space="preserve"> </w:t>
      </w:r>
      <w:r w:rsidRPr="000977F7">
        <w:rPr>
          <w:rFonts w:asciiTheme="majorHAnsi" w:hAnsiTheme="majorHAnsi"/>
          <w:sz w:val="20"/>
          <w:szCs w:val="20"/>
        </w:rPr>
        <w:t>а:</w:t>
      </w:r>
    </w:p>
    <w:p w14:paraId="2FC393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 засобів вимірювальної техніки відносяться засоби</w:t>
      </w:r>
      <w:r w:rsidRPr="000977F7">
        <w:rPr>
          <w:rFonts w:asciiTheme="majorHAnsi" w:hAnsiTheme="majorHAnsi"/>
          <w:spacing w:val="1"/>
          <w:sz w:val="20"/>
          <w:szCs w:val="20"/>
        </w:rPr>
        <w:t xml:space="preserve"> </w:t>
      </w:r>
      <w:r w:rsidRPr="000977F7">
        <w:rPr>
          <w:rFonts w:asciiTheme="majorHAnsi" w:hAnsiTheme="majorHAnsi"/>
          <w:sz w:val="20"/>
          <w:szCs w:val="20"/>
        </w:rPr>
        <w:t>вимірювань</w:t>
      </w:r>
      <w:r w:rsidRPr="000977F7">
        <w:rPr>
          <w:rFonts w:asciiTheme="majorHAnsi" w:hAnsiTheme="majorHAnsi"/>
          <w:spacing w:val="6"/>
          <w:sz w:val="20"/>
          <w:szCs w:val="20"/>
        </w:rPr>
        <w:t xml:space="preserve"> </w:t>
      </w:r>
      <w:r w:rsidRPr="000977F7">
        <w:rPr>
          <w:rFonts w:asciiTheme="majorHAnsi" w:hAnsiTheme="majorHAnsi"/>
          <w:sz w:val="20"/>
          <w:szCs w:val="20"/>
        </w:rPr>
        <w:t>та</w:t>
      </w:r>
      <w:r w:rsidRPr="000977F7">
        <w:rPr>
          <w:rFonts w:asciiTheme="majorHAnsi" w:hAnsiTheme="majorHAnsi"/>
          <w:spacing w:val="6"/>
          <w:sz w:val="20"/>
          <w:szCs w:val="20"/>
        </w:rPr>
        <w:t xml:space="preserve"> </w:t>
      </w:r>
      <w:r w:rsidRPr="000977F7">
        <w:rPr>
          <w:rFonts w:asciiTheme="majorHAnsi" w:hAnsiTheme="majorHAnsi"/>
          <w:sz w:val="20"/>
          <w:szCs w:val="20"/>
        </w:rPr>
        <w:t>вимірювальні</w:t>
      </w:r>
      <w:r w:rsidRPr="000977F7">
        <w:rPr>
          <w:rFonts w:asciiTheme="majorHAnsi" w:hAnsiTheme="majorHAnsi"/>
          <w:spacing w:val="6"/>
          <w:sz w:val="20"/>
          <w:szCs w:val="20"/>
        </w:rPr>
        <w:t xml:space="preserve"> </w:t>
      </w:r>
      <w:r w:rsidRPr="000977F7">
        <w:rPr>
          <w:rFonts w:asciiTheme="majorHAnsi" w:hAnsiTheme="majorHAnsi"/>
          <w:sz w:val="20"/>
          <w:szCs w:val="20"/>
        </w:rPr>
        <w:t>пристрої</w:t>
      </w:r>
    </w:p>
    <w:p w14:paraId="7D0E7403"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7"/>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8"/>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7"/>
          <w:sz w:val="20"/>
          <w:szCs w:val="20"/>
          <w:lang w:val="en-US"/>
        </w:rPr>
        <w:t xml:space="preserve"> </w:t>
      </w:r>
      <w:r w:rsidRPr="004D2D14">
        <w:rPr>
          <w:rFonts w:asciiTheme="majorHAnsi" w:hAnsiTheme="majorHAnsi"/>
          <w:i/>
          <w:sz w:val="20"/>
          <w:szCs w:val="20"/>
          <w:lang w:val="en-US"/>
        </w:rPr>
        <w:t>94</w:t>
      </w:r>
    </w:p>
    <w:p w14:paraId="2E85888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ЗАСІБ</w:t>
      </w:r>
      <w:r w:rsidRPr="000977F7">
        <w:rPr>
          <w:color w:val="auto"/>
          <w:spacing w:val="10"/>
          <w:sz w:val="20"/>
          <w:szCs w:val="20"/>
        </w:rPr>
        <w:t xml:space="preserve"> </w:t>
      </w:r>
      <w:r w:rsidRPr="000977F7">
        <w:rPr>
          <w:color w:val="auto"/>
          <w:sz w:val="20"/>
          <w:szCs w:val="20"/>
        </w:rPr>
        <w:t>ВИМІРЮВАНЬ</w:t>
      </w:r>
      <w:r w:rsidRPr="000977F7">
        <w:rPr>
          <w:color w:val="auto"/>
          <w:spacing w:val="12"/>
          <w:sz w:val="20"/>
          <w:szCs w:val="20"/>
        </w:rPr>
        <w:t xml:space="preserve"> </w:t>
      </w:r>
      <w:r w:rsidRPr="000977F7">
        <w:rPr>
          <w:color w:val="auto"/>
          <w:sz w:val="20"/>
          <w:szCs w:val="20"/>
        </w:rPr>
        <w:t>–</w:t>
      </w:r>
    </w:p>
    <w:p w14:paraId="53D3A38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MEASURING</w:t>
      </w:r>
      <w:r w:rsidRPr="004D2D14">
        <w:rPr>
          <w:rFonts w:asciiTheme="majorHAnsi" w:hAnsiTheme="majorHAnsi"/>
          <w:spacing w:val="10"/>
          <w:sz w:val="20"/>
          <w:szCs w:val="20"/>
          <w:lang w:val="en-US"/>
        </w:rPr>
        <w:t xml:space="preserve"> </w:t>
      </w:r>
      <w:r w:rsidRPr="004D2D14">
        <w:rPr>
          <w:rFonts w:asciiTheme="majorHAnsi" w:hAnsiTheme="majorHAnsi"/>
          <w:sz w:val="20"/>
          <w:szCs w:val="20"/>
          <w:lang w:val="en-US"/>
        </w:rPr>
        <w:t>INSTRUMENT</w:t>
      </w:r>
      <w:r w:rsidRPr="004D2D14">
        <w:rPr>
          <w:rFonts w:asciiTheme="majorHAnsi" w:hAnsiTheme="majorHAnsi"/>
          <w:spacing w:val="16"/>
          <w:sz w:val="20"/>
          <w:szCs w:val="20"/>
          <w:lang w:val="en-US"/>
        </w:rPr>
        <w:t xml:space="preserve"> </w:t>
      </w:r>
      <w:r w:rsidRPr="004D2D14">
        <w:rPr>
          <w:rFonts w:asciiTheme="majorHAnsi" w:hAnsiTheme="majorHAnsi"/>
          <w:sz w:val="20"/>
          <w:szCs w:val="20"/>
          <w:lang w:val="en-US"/>
        </w:rPr>
        <w:t>–</w:t>
      </w:r>
    </w:p>
    <w:p w14:paraId="7935F90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Засіб</w:t>
      </w:r>
      <w:r w:rsidRPr="004D2D14">
        <w:rPr>
          <w:rFonts w:asciiTheme="majorHAnsi" w:hAnsiTheme="majorHAnsi"/>
          <w:sz w:val="20"/>
          <w:szCs w:val="20"/>
          <w:lang w:val="en-US"/>
        </w:rPr>
        <w:t xml:space="preserve"> </w:t>
      </w:r>
      <w:r w:rsidRPr="000977F7">
        <w:rPr>
          <w:rFonts w:asciiTheme="majorHAnsi" w:hAnsiTheme="majorHAnsi"/>
          <w:sz w:val="20"/>
          <w:szCs w:val="20"/>
        </w:rPr>
        <w:t>вимірювальної</w:t>
      </w:r>
      <w:r w:rsidRPr="004D2D14">
        <w:rPr>
          <w:rFonts w:asciiTheme="majorHAnsi" w:hAnsiTheme="majorHAnsi"/>
          <w:sz w:val="20"/>
          <w:szCs w:val="20"/>
          <w:lang w:val="en-US"/>
        </w:rPr>
        <w:t xml:space="preserve"> </w:t>
      </w:r>
      <w:r w:rsidRPr="000977F7">
        <w:rPr>
          <w:rFonts w:asciiTheme="majorHAnsi" w:hAnsiTheme="majorHAnsi"/>
          <w:sz w:val="20"/>
          <w:szCs w:val="20"/>
        </w:rPr>
        <w:t>техніки</w:t>
      </w:r>
      <w:r w:rsidRPr="004D2D14">
        <w:rPr>
          <w:rFonts w:asciiTheme="majorHAnsi" w:hAnsiTheme="majorHAnsi"/>
          <w:sz w:val="20"/>
          <w:szCs w:val="20"/>
          <w:lang w:val="en-US"/>
        </w:rPr>
        <w:t xml:space="preserve">, </w:t>
      </w:r>
      <w:r w:rsidRPr="000977F7">
        <w:rPr>
          <w:rFonts w:asciiTheme="majorHAnsi" w:hAnsiTheme="majorHAnsi"/>
          <w:sz w:val="20"/>
          <w:szCs w:val="20"/>
        </w:rPr>
        <w:t>який</w:t>
      </w:r>
      <w:r w:rsidRPr="004D2D14">
        <w:rPr>
          <w:rFonts w:asciiTheme="majorHAnsi" w:hAnsiTheme="majorHAnsi"/>
          <w:sz w:val="20"/>
          <w:szCs w:val="20"/>
          <w:lang w:val="en-US"/>
        </w:rPr>
        <w:t xml:space="preserve"> </w:t>
      </w:r>
      <w:r w:rsidRPr="000977F7">
        <w:rPr>
          <w:rFonts w:asciiTheme="majorHAnsi" w:hAnsiTheme="majorHAnsi"/>
          <w:sz w:val="20"/>
          <w:szCs w:val="20"/>
        </w:rPr>
        <w:t>реалізує</w:t>
      </w:r>
      <w:r w:rsidRPr="004D2D14">
        <w:rPr>
          <w:rFonts w:asciiTheme="majorHAnsi" w:hAnsiTheme="majorHAnsi"/>
          <w:sz w:val="20"/>
          <w:szCs w:val="20"/>
          <w:lang w:val="en-US"/>
        </w:rPr>
        <w:t xml:space="preserve"> </w:t>
      </w:r>
      <w:r w:rsidRPr="000977F7">
        <w:rPr>
          <w:rFonts w:asciiTheme="majorHAnsi" w:hAnsiTheme="majorHAnsi"/>
          <w:sz w:val="20"/>
          <w:szCs w:val="20"/>
        </w:rPr>
        <w:t>процедуру</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вимірювань</w:t>
      </w:r>
    </w:p>
    <w:p w14:paraId="269FE3E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3"/>
          <w:sz w:val="20"/>
          <w:szCs w:val="20"/>
        </w:rPr>
        <w:t xml:space="preserve"> </w:t>
      </w:r>
      <w:r w:rsidRPr="000977F7">
        <w:rPr>
          <w:rFonts w:asciiTheme="majorHAnsi" w:hAnsiTheme="majorHAnsi"/>
          <w:sz w:val="20"/>
          <w:szCs w:val="20"/>
        </w:rPr>
        <w:t>р</w:t>
      </w:r>
      <w:r w:rsidRPr="000977F7">
        <w:rPr>
          <w:rFonts w:asciiTheme="majorHAnsi" w:hAnsiTheme="majorHAnsi"/>
          <w:spacing w:val="5"/>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3"/>
          <w:sz w:val="20"/>
          <w:szCs w:val="20"/>
        </w:rPr>
        <w:t xml:space="preserve"> </w:t>
      </w:r>
      <w:r w:rsidRPr="000977F7">
        <w:rPr>
          <w:rFonts w:asciiTheme="majorHAnsi" w:hAnsiTheme="majorHAnsi"/>
          <w:sz w:val="20"/>
          <w:szCs w:val="20"/>
        </w:rPr>
        <w:t>і</w:t>
      </w:r>
      <w:r w:rsidRPr="000977F7">
        <w:rPr>
          <w:rFonts w:asciiTheme="majorHAnsi" w:hAnsiTheme="majorHAnsi"/>
          <w:spacing w:val="4"/>
          <w:sz w:val="20"/>
          <w:szCs w:val="20"/>
        </w:rPr>
        <w:t xml:space="preserve"> </w:t>
      </w:r>
      <w:r w:rsidRPr="000977F7">
        <w:rPr>
          <w:rFonts w:asciiTheme="majorHAnsi" w:hAnsiTheme="majorHAnsi"/>
          <w:sz w:val="20"/>
          <w:szCs w:val="20"/>
        </w:rPr>
        <w:t>т</w:t>
      </w:r>
      <w:r w:rsidRPr="000977F7">
        <w:rPr>
          <w:rFonts w:asciiTheme="majorHAnsi" w:hAnsiTheme="majorHAnsi"/>
          <w:spacing w:val="3"/>
          <w:sz w:val="20"/>
          <w:szCs w:val="20"/>
        </w:rPr>
        <w:t xml:space="preserve"> </w:t>
      </w:r>
      <w:r w:rsidRPr="000977F7">
        <w:rPr>
          <w:rFonts w:asciiTheme="majorHAnsi" w:hAnsiTheme="majorHAnsi"/>
          <w:sz w:val="20"/>
          <w:szCs w:val="20"/>
        </w:rPr>
        <w:t>к</w:t>
      </w:r>
      <w:r w:rsidRPr="000977F7">
        <w:rPr>
          <w:rFonts w:asciiTheme="majorHAnsi" w:hAnsiTheme="majorHAnsi"/>
          <w:spacing w:val="4"/>
          <w:sz w:val="20"/>
          <w:szCs w:val="20"/>
        </w:rPr>
        <w:t xml:space="preserve"> </w:t>
      </w:r>
      <w:r w:rsidRPr="000977F7">
        <w:rPr>
          <w:rFonts w:asciiTheme="majorHAnsi" w:hAnsiTheme="majorHAnsi"/>
          <w:sz w:val="20"/>
          <w:szCs w:val="20"/>
        </w:rPr>
        <w:t>и:</w:t>
      </w:r>
    </w:p>
    <w:p w14:paraId="5EF6E4B7" w14:textId="77777777" w:rsidR="0097612F" w:rsidRPr="000977F7" w:rsidRDefault="0097612F" w:rsidP="00FD39A4">
      <w:pPr>
        <w:pStyle w:val="ac"/>
        <w:widowControl w:val="0"/>
        <w:numPr>
          <w:ilvl w:val="0"/>
          <w:numId w:val="179"/>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 засобів вимірювань відносяться кодові засоби</w:t>
      </w:r>
      <w:r w:rsidRPr="000977F7">
        <w:rPr>
          <w:rFonts w:asciiTheme="majorHAnsi" w:hAnsiTheme="majorHAnsi"/>
          <w:spacing w:val="1"/>
          <w:sz w:val="20"/>
          <w:szCs w:val="20"/>
        </w:rPr>
        <w:t xml:space="preserve"> </w:t>
      </w:r>
      <w:r w:rsidRPr="000977F7">
        <w:rPr>
          <w:rFonts w:asciiTheme="majorHAnsi" w:hAnsiTheme="majorHAnsi"/>
          <w:sz w:val="20"/>
          <w:szCs w:val="20"/>
        </w:rPr>
        <w:t>вимірювань,</w:t>
      </w:r>
      <w:r w:rsidRPr="000977F7">
        <w:rPr>
          <w:rFonts w:asciiTheme="majorHAnsi" w:hAnsiTheme="majorHAnsi"/>
          <w:spacing w:val="1"/>
          <w:sz w:val="20"/>
          <w:szCs w:val="20"/>
        </w:rPr>
        <w:t xml:space="preserve"> </w:t>
      </w:r>
      <w:r w:rsidRPr="000977F7">
        <w:rPr>
          <w:rFonts w:asciiTheme="majorHAnsi" w:hAnsiTheme="majorHAnsi"/>
          <w:sz w:val="20"/>
          <w:szCs w:val="20"/>
        </w:rPr>
        <w:t>реєструвальні</w:t>
      </w:r>
      <w:r w:rsidRPr="000977F7">
        <w:rPr>
          <w:rFonts w:asciiTheme="majorHAnsi" w:hAnsiTheme="majorHAnsi"/>
          <w:spacing w:val="1"/>
          <w:sz w:val="20"/>
          <w:szCs w:val="20"/>
        </w:rPr>
        <w:t xml:space="preserve"> </w:t>
      </w:r>
      <w:r w:rsidRPr="000977F7">
        <w:rPr>
          <w:rFonts w:asciiTheme="majorHAnsi" w:hAnsiTheme="majorHAnsi"/>
          <w:sz w:val="20"/>
          <w:szCs w:val="20"/>
        </w:rPr>
        <w:t>засоби</w:t>
      </w:r>
      <w:r w:rsidRPr="000977F7">
        <w:rPr>
          <w:rFonts w:asciiTheme="majorHAnsi" w:hAnsiTheme="majorHAnsi"/>
          <w:spacing w:val="1"/>
          <w:sz w:val="20"/>
          <w:szCs w:val="20"/>
        </w:rPr>
        <w:t xml:space="preserve"> </w:t>
      </w:r>
      <w:r w:rsidRPr="000977F7">
        <w:rPr>
          <w:rFonts w:asciiTheme="majorHAnsi" w:hAnsiTheme="majorHAnsi"/>
          <w:sz w:val="20"/>
          <w:szCs w:val="20"/>
        </w:rPr>
        <w:t>вимірювань,</w:t>
      </w:r>
      <w:r w:rsidRPr="000977F7">
        <w:rPr>
          <w:rFonts w:asciiTheme="majorHAnsi" w:hAnsiTheme="majorHAnsi"/>
          <w:spacing w:val="1"/>
          <w:sz w:val="20"/>
          <w:szCs w:val="20"/>
        </w:rPr>
        <w:t xml:space="preserve"> </w:t>
      </w:r>
      <w:r w:rsidRPr="000977F7">
        <w:rPr>
          <w:rFonts w:asciiTheme="majorHAnsi" w:hAnsiTheme="majorHAnsi"/>
          <w:sz w:val="20"/>
          <w:szCs w:val="20"/>
        </w:rPr>
        <w:t>вимірювальні</w:t>
      </w:r>
      <w:r w:rsidRPr="000977F7">
        <w:rPr>
          <w:rFonts w:asciiTheme="majorHAnsi" w:hAnsiTheme="majorHAnsi"/>
          <w:spacing w:val="1"/>
          <w:sz w:val="20"/>
          <w:szCs w:val="20"/>
        </w:rPr>
        <w:t xml:space="preserve"> </w:t>
      </w:r>
      <w:r w:rsidRPr="000977F7">
        <w:rPr>
          <w:rFonts w:asciiTheme="majorHAnsi" w:hAnsiTheme="majorHAnsi"/>
          <w:sz w:val="20"/>
          <w:szCs w:val="20"/>
        </w:rPr>
        <w:t>прилади,</w:t>
      </w:r>
      <w:r w:rsidRPr="000977F7">
        <w:rPr>
          <w:rFonts w:asciiTheme="majorHAnsi" w:hAnsiTheme="majorHAnsi"/>
          <w:spacing w:val="1"/>
          <w:sz w:val="20"/>
          <w:szCs w:val="20"/>
        </w:rPr>
        <w:t xml:space="preserve"> </w:t>
      </w:r>
      <w:r w:rsidRPr="000977F7">
        <w:rPr>
          <w:rFonts w:asciiTheme="majorHAnsi" w:hAnsiTheme="majorHAnsi"/>
          <w:sz w:val="20"/>
          <w:szCs w:val="20"/>
        </w:rPr>
        <w:t>вимірювальні</w:t>
      </w:r>
      <w:r w:rsidRPr="000977F7">
        <w:rPr>
          <w:rFonts w:asciiTheme="majorHAnsi" w:hAnsiTheme="majorHAnsi"/>
          <w:spacing w:val="1"/>
          <w:sz w:val="20"/>
          <w:szCs w:val="20"/>
        </w:rPr>
        <w:t xml:space="preserve"> </w:t>
      </w:r>
      <w:r w:rsidRPr="000977F7">
        <w:rPr>
          <w:rFonts w:asciiTheme="majorHAnsi" w:hAnsiTheme="majorHAnsi"/>
          <w:sz w:val="20"/>
          <w:szCs w:val="20"/>
        </w:rPr>
        <w:t>канали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вимірювальні</w:t>
      </w:r>
      <w:r w:rsidRPr="000977F7">
        <w:rPr>
          <w:rFonts w:asciiTheme="majorHAnsi" w:hAnsiTheme="majorHAnsi"/>
          <w:spacing w:val="4"/>
          <w:sz w:val="20"/>
          <w:szCs w:val="20"/>
        </w:rPr>
        <w:t xml:space="preserve"> </w:t>
      </w:r>
      <w:r w:rsidRPr="000977F7">
        <w:rPr>
          <w:rFonts w:asciiTheme="majorHAnsi" w:hAnsiTheme="majorHAnsi"/>
          <w:sz w:val="20"/>
          <w:szCs w:val="20"/>
        </w:rPr>
        <w:t>системи</w:t>
      </w:r>
    </w:p>
    <w:p w14:paraId="40B12B7A" w14:textId="77777777" w:rsidR="0097612F" w:rsidRPr="000977F7" w:rsidRDefault="0097612F" w:rsidP="00FD39A4">
      <w:pPr>
        <w:pStyle w:val="ac"/>
        <w:widowControl w:val="0"/>
        <w:numPr>
          <w:ilvl w:val="0"/>
          <w:numId w:val="179"/>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Засіб вимірювань реалізує в ідеальному випадку</w:t>
      </w:r>
      <w:r w:rsidRPr="000977F7">
        <w:rPr>
          <w:rFonts w:asciiTheme="majorHAnsi" w:hAnsiTheme="majorHAnsi"/>
          <w:spacing w:val="1"/>
          <w:sz w:val="20"/>
          <w:szCs w:val="20"/>
        </w:rPr>
        <w:t xml:space="preserve"> </w:t>
      </w:r>
      <w:r w:rsidRPr="000977F7">
        <w:rPr>
          <w:rFonts w:asciiTheme="majorHAnsi" w:hAnsiTheme="majorHAnsi"/>
          <w:sz w:val="20"/>
          <w:szCs w:val="20"/>
        </w:rPr>
        <w:t>лінійну залежність між значеннями вимірюваної</w:t>
      </w:r>
      <w:r w:rsidRPr="000977F7">
        <w:rPr>
          <w:rFonts w:asciiTheme="majorHAnsi" w:hAnsiTheme="majorHAnsi"/>
          <w:spacing w:val="1"/>
          <w:sz w:val="20"/>
          <w:szCs w:val="20"/>
        </w:rPr>
        <w:t xml:space="preserve"> </w:t>
      </w:r>
      <w:r w:rsidRPr="000977F7">
        <w:rPr>
          <w:rFonts w:asciiTheme="majorHAnsi" w:hAnsiTheme="majorHAnsi"/>
          <w:sz w:val="20"/>
          <w:szCs w:val="20"/>
        </w:rPr>
        <w:t>величини</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7"/>
          <w:sz w:val="20"/>
          <w:szCs w:val="20"/>
        </w:rPr>
        <w:t xml:space="preserve"> </w:t>
      </w:r>
      <w:r w:rsidRPr="000977F7">
        <w:rPr>
          <w:rFonts w:asciiTheme="majorHAnsi" w:hAnsiTheme="majorHAnsi"/>
          <w:sz w:val="20"/>
          <w:szCs w:val="20"/>
        </w:rPr>
        <w:t>її</w:t>
      </w:r>
      <w:r w:rsidRPr="000977F7">
        <w:rPr>
          <w:rFonts w:asciiTheme="majorHAnsi" w:hAnsiTheme="majorHAnsi"/>
          <w:spacing w:val="6"/>
          <w:sz w:val="20"/>
          <w:szCs w:val="20"/>
        </w:rPr>
        <w:t xml:space="preserve"> </w:t>
      </w:r>
      <w:r w:rsidRPr="000977F7">
        <w:rPr>
          <w:rFonts w:asciiTheme="majorHAnsi" w:hAnsiTheme="majorHAnsi"/>
          <w:sz w:val="20"/>
          <w:szCs w:val="20"/>
        </w:rPr>
        <w:t>відповідними</w:t>
      </w:r>
      <w:r w:rsidRPr="000977F7">
        <w:rPr>
          <w:rFonts w:asciiTheme="majorHAnsi" w:hAnsiTheme="majorHAnsi"/>
          <w:spacing w:val="5"/>
          <w:sz w:val="20"/>
          <w:szCs w:val="20"/>
        </w:rPr>
        <w:t xml:space="preserve"> </w:t>
      </w:r>
      <w:r w:rsidRPr="000977F7">
        <w:rPr>
          <w:rFonts w:asciiTheme="majorHAnsi" w:hAnsiTheme="majorHAnsi"/>
          <w:sz w:val="20"/>
          <w:szCs w:val="20"/>
        </w:rPr>
        <w:t>розмірами</w:t>
      </w:r>
    </w:p>
    <w:p w14:paraId="67DDCFD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7"/>
          <w:sz w:val="20"/>
          <w:szCs w:val="20"/>
        </w:rPr>
        <w:t xml:space="preserve"> </w:t>
      </w:r>
      <w:r w:rsidRPr="000977F7">
        <w:rPr>
          <w:rFonts w:asciiTheme="majorHAnsi" w:hAnsiTheme="majorHAnsi"/>
          <w:i/>
          <w:sz w:val="20"/>
          <w:szCs w:val="20"/>
        </w:rPr>
        <w:t>2681</w:t>
      </w:r>
      <w:r w:rsidRPr="000977F7">
        <w:rPr>
          <w:rFonts w:asciiTheme="majorHAnsi" w:hAnsiTheme="majorHAnsi"/>
          <w:i/>
          <w:spacing w:val="8"/>
          <w:sz w:val="20"/>
          <w:szCs w:val="20"/>
        </w:rPr>
        <w:t xml:space="preserve"> </w:t>
      </w:r>
      <w:r w:rsidRPr="000977F7">
        <w:rPr>
          <w:rFonts w:asciiTheme="majorHAnsi" w:hAnsiTheme="majorHAnsi"/>
          <w:i/>
          <w:sz w:val="20"/>
          <w:szCs w:val="20"/>
        </w:rPr>
        <w:t>–</w:t>
      </w:r>
      <w:r w:rsidRPr="000977F7">
        <w:rPr>
          <w:rFonts w:asciiTheme="majorHAnsi" w:hAnsiTheme="majorHAnsi"/>
          <w:i/>
          <w:spacing w:val="7"/>
          <w:sz w:val="20"/>
          <w:szCs w:val="20"/>
        </w:rPr>
        <w:t xml:space="preserve"> </w:t>
      </w:r>
      <w:r w:rsidRPr="000977F7">
        <w:rPr>
          <w:rFonts w:asciiTheme="majorHAnsi" w:hAnsiTheme="majorHAnsi"/>
          <w:i/>
          <w:sz w:val="20"/>
          <w:szCs w:val="20"/>
        </w:rPr>
        <w:t>94</w:t>
      </w:r>
    </w:p>
    <w:p w14:paraId="437B7A3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ЗАСІБ</w:t>
      </w:r>
      <w:r w:rsidRPr="000977F7">
        <w:rPr>
          <w:color w:val="auto"/>
          <w:spacing w:val="11"/>
          <w:sz w:val="20"/>
          <w:szCs w:val="20"/>
        </w:rPr>
        <w:t xml:space="preserve"> </w:t>
      </w:r>
      <w:r w:rsidRPr="000977F7">
        <w:rPr>
          <w:color w:val="auto"/>
          <w:sz w:val="20"/>
          <w:szCs w:val="20"/>
        </w:rPr>
        <w:t>ВИПРОБУВАНЬ</w:t>
      </w:r>
      <w:r w:rsidRPr="000977F7">
        <w:rPr>
          <w:color w:val="auto"/>
          <w:spacing w:val="13"/>
          <w:sz w:val="20"/>
          <w:szCs w:val="20"/>
        </w:rPr>
        <w:t xml:space="preserve"> </w:t>
      </w:r>
      <w:r w:rsidRPr="000977F7">
        <w:rPr>
          <w:color w:val="auto"/>
          <w:sz w:val="20"/>
          <w:szCs w:val="20"/>
        </w:rPr>
        <w:t>–</w:t>
      </w:r>
    </w:p>
    <w:p w14:paraId="730C8D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TEST</w:t>
      </w:r>
      <w:r w:rsidRPr="000977F7">
        <w:rPr>
          <w:rFonts w:asciiTheme="majorHAnsi" w:hAnsiTheme="majorHAnsi"/>
          <w:spacing w:val="9"/>
          <w:sz w:val="20"/>
          <w:szCs w:val="20"/>
        </w:rPr>
        <w:t xml:space="preserve"> </w:t>
      </w:r>
      <w:r w:rsidRPr="000977F7">
        <w:rPr>
          <w:rFonts w:asciiTheme="majorHAnsi" w:hAnsiTheme="majorHAnsi"/>
          <w:sz w:val="20"/>
          <w:szCs w:val="20"/>
        </w:rPr>
        <w:t>MEANS</w:t>
      </w:r>
      <w:r w:rsidRPr="000977F7">
        <w:rPr>
          <w:rFonts w:asciiTheme="majorHAnsi" w:hAnsiTheme="majorHAnsi"/>
          <w:spacing w:val="7"/>
          <w:sz w:val="20"/>
          <w:szCs w:val="20"/>
        </w:rPr>
        <w:t xml:space="preserve"> </w:t>
      </w:r>
      <w:r w:rsidRPr="000977F7">
        <w:rPr>
          <w:rFonts w:asciiTheme="majorHAnsi" w:hAnsiTheme="majorHAnsi"/>
          <w:sz w:val="20"/>
          <w:szCs w:val="20"/>
        </w:rPr>
        <w:t>–</w:t>
      </w:r>
    </w:p>
    <w:p w14:paraId="43A2712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Технічний</w:t>
      </w:r>
      <w:r w:rsidRPr="000977F7">
        <w:rPr>
          <w:rFonts w:asciiTheme="majorHAnsi" w:hAnsiTheme="majorHAnsi"/>
          <w:spacing w:val="23"/>
          <w:sz w:val="20"/>
          <w:szCs w:val="20"/>
        </w:rPr>
        <w:t xml:space="preserve"> </w:t>
      </w:r>
      <w:r w:rsidRPr="000977F7">
        <w:rPr>
          <w:rFonts w:asciiTheme="majorHAnsi" w:hAnsiTheme="majorHAnsi"/>
          <w:sz w:val="20"/>
          <w:szCs w:val="20"/>
        </w:rPr>
        <w:t>пристрій,</w:t>
      </w:r>
      <w:r w:rsidRPr="000977F7">
        <w:rPr>
          <w:rFonts w:asciiTheme="majorHAnsi" w:hAnsiTheme="majorHAnsi"/>
          <w:spacing w:val="24"/>
          <w:sz w:val="20"/>
          <w:szCs w:val="20"/>
        </w:rPr>
        <w:t xml:space="preserve"> </w:t>
      </w:r>
      <w:r w:rsidRPr="000977F7">
        <w:rPr>
          <w:rFonts w:asciiTheme="majorHAnsi" w:hAnsiTheme="majorHAnsi"/>
          <w:sz w:val="20"/>
          <w:szCs w:val="20"/>
        </w:rPr>
        <w:t>речовина</w:t>
      </w:r>
      <w:r w:rsidRPr="000977F7">
        <w:rPr>
          <w:rFonts w:asciiTheme="majorHAnsi" w:hAnsiTheme="majorHAnsi"/>
          <w:spacing w:val="24"/>
          <w:sz w:val="20"/>
          <w:szCs w:val="20"/>
        </w:rPr>
        <w:t xml:space="preserve"> </w:t>
      </w:r>
      <w:r w:rsidRPr="000977F7">
        <w:rPr>
          <w:rFonts w:asciiTheme="majorHAnsi" w:hAnsiTheme="majorHAnsi"/>
          <w:sz w:val="20"/>
          <w:szCs w:val="20"/>
        </w:rPr>
        <w:t>і</w:t>
      </w:r>
      <w:r w:rsidRPr="000977F7">
        <w:rPr>
          <w:rFonts w:asciiTheme="majorHAnsi" w:hAnsiTheme="majorHAnsi"/>
          <w:spacing w:val="23"/>
          <w:sz w:val="20"/>
          <w:szCs w:val="20"/>
        </w:rPr>
        <w:t xml:space="preserve"> </w:t>
      </w:r>
      <w:r w:rsidRPr="000977F7">
        <w:rPr>
          <w:rFonts w:asciiTheme="majorHAnsi" w:hAnsiTheme="majorHAnsi"/>
          <w:sz w:val="20"/>
          <w:szCs w:val="20"/>
        </w:rPr>
        <w:t>(чи)</w:t>
      </w:r>
      <w:r w:rsidRPr="000977F7">
        <w:rPr>
          <w:rFonts w:asciiTheme="majorHAnsi" w:hAnsiTheme="majorHAnsi"/>
          <w:spacing w:val="24"/>
          <w:sz w:val="20"/>
          <w:szCs w:val="20"/>
        </w:rPr>
        <w:t xml:space="preserve"> </w:t>
      </w:r>
      <w:r w:rsidRPr="000977F7">
        <w:rPr>
          <w:rFonts w:asciiTheme="majorHAnsi" w:hAnsiTheme="majorHAnsi"/>
          <w:sz w:val="20"/>
          <w:szCs w:val="20"/>
        </w:rPr>
        <w:t>матеріал</w:t>
      </w:r>
      <w:r w:rsidRPr="000977F7">
        <w:rPr>
          <w:rFonts w:asciiTheme="majorHAnsi" w:hAnsiTheme="majorHAnsi"/>
          <w:spacing w:val="23"/>
          <w:sz w:val="20"/>
          <w:szCs w:val="20"/>
        </w:rPr>
        <w:t xml:space="preserve"> </w:t>
      </w:r>
      <w:r w:rsidRPr="000977F7">
        <w:rPr>
          <w:rFonts w:asciiTheme="majorHAnsi" w:hAnsiTheme="majorHAnsi"/>
          <w:sz w:val="20"/>
          <w:szCs w:val="20"/>
        </w:rPr>
        <w:t>для</w:t>
      </w:r>
      <w:r w:rsidRPr="000977F7">
        <w:rPr>
          <w:rFonts w:asciiTheme="majorHAnsi" w:hAnsiTheme="majorHAnsi"/>
          <w:spacing w:val="-47"/>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4"/>
          <w:sz w:val="20"/>
          <w:szCs w:val="20"/>
        </w:rPr>
        <w:t xml:space="preserve"> </w:t>
      </w:r>
      <w:r w:rsidRPr="000977F7">
        <w:rPr>
          <w:rFonts w:asciiTheme="majorHAnsi" w:hAnsiTheme="majorHAnsi"/>
          <w:sz w:val="20"/>
          <w:szCs w:val="20"/>
        </w:rPr>
        <w:t>випробувань</w:t>
      </w:r>
    </w:p>
    <w:p w14:paraId="49DB647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6"/>
          <w:sz w:val="20"/>
          <w:szCs w:val="20"/>
          <w:lang w:val="en-US"/>
        </w:rPr>
        <w:t xml:space="preserve"> </w:t>
      </w:r>
      <w:r w:rsidRPr="004D2D14">
        <w:rPr>
          <w:rFonts w:asciiTheme="majorHAnsi" w:hAnsiTheme="majorHAnsi"/>
          <w:i/>
          <w:sz w:val="20"/>
          <w:szCs w:val="20"/>
          <w:lang w:val="en-US"/>
        </w:rPr>
        <w:t>3021</w:t>
      </w:r>
      <w:r w:rsidRPr="004D2D14">
        <w:rPr>
          <w:rFonts w:asciiTheme="majorHAnsi" w:hAnsiTheme="majorHAnsi"/>
          <w:i/>
          <w:spacing w:val="7"/>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6"/>
          <w:sz w:val="20"/>
          <w:szCs w:val="20"/>
          <w:lang w:val="en-US"/>
        </w:rPr>
        <w:t xml:space="preserve"> </w:t>
      </w:r>
      <w:r w:rsidRPr="004D2D14">
        <w:rPr>
          <w:rFonts w:asciiTheme="majorHAnsi" w:hAnsiTheme="majorHAnsi"/>
          <w:i/>
          <w:sz w:val="20"/>
          <w:szCs w:val="20"/>
          <w:lang w:val="en-US"/>
        </w:rPr>
        <w:t>95;</w:t>
      </w:r>
      <w:r w:rsidRPr="004D2D14">
        <w:rPr>
          <w:rFonts w:asciiTheme="majorHAnsi" w:hAnsiTheme="majorHAnsi"/>
          <w:i/>
          <w:spacing w:val="13"/>
          <w:sz w:val="20"/>
          <w:szCs w:val="20"/>
          <w:lang w:val="en-US"/>
        </w:rPr>
        <w:t xml:space="preserve"> </w:t>
      </w:r>
      <w:r w:rsidRPr="000977F7">
        <w:rPr>
          <w:rFonts w:asciiTheme="majorHAnsi" w:hAnsiTheme="majorHAnsi"/>
          <w:i/>
          <w:sz w:val="20"/>
          <w:szCs w:val="20"/>
        </w:rPr>
        <w:t>ДСТУ</w:t>
      </w:r>
      <w:r w:rsidRPr="004D2D14">
        <w:rPr>
          <w:rFonts w:asciiTheme="majorHAnsi" w:hAnsiTheme="majorHAnsi"/>
          <w:i/>
          <w:spacing w:val="4"/>
          <w:sz w:val="20"/>
          <w:szCs w:val="20"/>
          <w:lang w:val="en-US"/>
        </w:rPr>
        <w:t xml:space="preserve"> </w:t>
      </w:r>
      <w:r w:rsidRPr="004D2D14">
        <w:rPr>
          <w:rFonts w:asciiTheme="majorHAnsi" w:hAnsiTheme="majorHAnsi"/>
          <w:i/>
          <w:sz w:val="20"/>
          <w:szCs w:val="20"/>
          <w:lang w:val="en-US"/>
        </w:rPr>
        <w:t>2824</w:t>
      </w:r>
      <w:r w:rsidRPr="004D2D14">
        <w:rPr>
          <w:rFonts w:asciiTheme="majorHAnsi" w:hAnsiTheme="majorHAnsi"/>
          <w:i/>
          <w:spacing w:val="1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6"/>
          <w:sz w:val="20"/>
          <w:szCs w:val="20"/>
          <w:lang w:val="en-US"/>
        </w:rPr>
        <w:t xml:space="preserve"> </w:t>
      </w:r>
      <w:r w:rsidRPr="004D2D14">
        <w:rPr>
          <w:rFonts w:asciiTheme="majorHAnsi" w:hAnsiTheme="majorHAnsi"/>
          <w:i/>
          <w:sz w:val="20"/>
          <w:szCs w:val="20"/>
          <w:lang w:val="en-US"/>
        </w:rPr>
        <w:t>94</w:t>
      </w:r>
    </w:p>
    <w:p w14:paraId="00AB1DA1" w14:textId="77777777" w:rsidR="0097612F" w:rsidRPr="004D2D14" w:rsidRDefault="0097612F" w:rsidP="000977F7">
      <w:pPr>
        <w:tabs>
          <w:tab w:val="left" w:pos="284"/>
        </w:tabs>
        <w:spacing w:after="0" w:line="240" w:lineRule="auto"/>
        <w:ind w:left="170"/>
        <w:mirrorIndents/>
        <w:jc w:val="both"/>
        <w:rPr>
          <w:rFonts w:asciiTheme="majorHAnsi" w:hAnsiTheme="majorHAnsi"/>
          <w:b/>
          <w:bCs/>
          <w:sz w:val="20"/>
          <w:szCs w:val="20"/>
          <w:lang w:val="en-US"/>
        </w:rPr>
      </w:pPr>
      <w:r w:rsidRPr="000977F7">
        <w:rPr>
          <w:rFonts w:asciiTheme="majorHAnsi" w:hAnsiTheme="majorHAnsi"/>
          <w:b/>
          <w:bCs/>
          <w:sz w:val="20"/>
          <w:szCs w:val="20"/>
        </w:rPr>
        <w:t>ЗАСІБ</w:t>
      </w:r>
      <w:r w:rsidRPr="004D2D14">
        <w:rPr>
          <w:rFonts w:asciiTheme="majorHAnsi" w:hAnsiTheme="majorHAnsi"/>
          <w:b/>
          <w:bCs/>
          <w:spacing w:val="12"/>
          <w:sz w:val="20"/>
          <w:szCs w:val="20"/>
          <w:lang w:val="en-US"/>
        </w:rPr>
        <w:t xml:space="preserve"> </w:t>
      </w:r>
      <w:r w:rsidRPr="000977F7">
        <w:rPr>
          <w:rFonts w:asciiTheme="majorHAnsi" w:hAnsiTheme="majorHAnsi"/>
          <w:b/>
          <w:bCs/>
          <w:sz w:val="20"/>
          <w:szCs w:val="20"/>
        </w:rPr>
        <w:t>КОНТРОЛЮ</w:t>
      </w:r>
      <w:r w:rsidRPr="004D2D14">
        <w:rPr>
          <w:rFonts w:asciiTheme="majorHAnsi" w:hAnsiTheme="majorHAnsi"/>
          <w:b/>
          <w:bCs/>
          <w:spacing w:val="14"/>
          <w:sz w:val="20"/>
          <w:szCs w:val="20"/>
          <w:lang w:val="en-US"/>
        </w:rPr>
        <w:t xml:space="preserve"> </w:t>
      </w:r>
      <w:r w:rsidRPr="004D2D14">
        <w:rPr>
          <w:rFonts w:asciiTheme="majorHAnsi" w:hAnsiTheme="majorHAnsi"/>
          <w:b/>
          <w:bCs/>
          <w:sz w:val="20"/>
          <w:szCs w:val="20"/>
          <w:lang w:val="en-US"/>
        </w:rPr>
        <w:t>–</w:t>
      </w:r>
    </w:p>
    <w:p w14:paraId="3F9C538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INSPECTION</w:t>
      </w:r>
      <w:r w:rsidRPr="004D2D14">
        <w:rPr>
          <w:rFonts w:asciiTheme="majorHAnsi" w:hAnsiTheme="majorHAnsi"/>
          <w:spacing w:val="12"/>
          <w:sz w:val="20"/>
          <w:szCs w:val="20"/>
          <w:lang w:val="en-US"/>
        </w:rPr>
        <w:t xml:space="preserve"> </w:t>
      </w:r>
      <w:r w:rsidRPr="004D2D14">
        <w:rPr>
          <w:rFonts w:asciiTheme="majorHAnsi" w:hAnsiTheme="majorHAnsi"/>
          <w:sz w:val="20"/>
          <w:szCs w:val="20"/>
          <w:lang w:val="en-US"/>
        </w:rPr>
        <w:t>MEANS</w:t>
      </w:r>
      <w:r w:rsidRPr="004D2D14">
        <w:rPr>
          <w:rFonts w:asciiTheme="majorHAnsi" w:hAnsiTheme="majorHAnsi"/>
          <w:spacing w:val="15"/>
          <w:sz w:val="20"/>
          <w:szCs w:val="20"/>
          <w:lang w:val="en-US"/>
        </w:rPr>
        <w:t xml:space="preserve"> </w:t>
      </w:r>
      <w:r w:rsidRPr="004D2D14">
        <w:rPr>
          <w:rFonts w:asciiTheme="majorHAnsi" w:hAnsiTheme="majorHAnsi"/>
          <w:sz w:val="20"/>
          <w:szCs w:val="20"/>
          <w:lang w:val="en-US"/>
        </w:rPr>
        <w:t>–</w:t>
      </w:r>
    </w:p>
    <w:p w14:paraId="6B3D11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Технічний</w:t>
      </w:r>
      <w:r w:rsidRPr="000977F7">
        <w:rPr>
          <w:rFonts w:asciiTheme="majorHAnsi" w:hAnsiTheme="majorHAnsi"/>
          <w:spacing w:val="1"/>
          <w:sz w:val="20"/>
          <w:szCs w:val="20"/>
        </w:rPr>
        <w:t xml:space="preserve"> </w:t>
      </w:r>
      <w:r w:rsidRPr="000977F7">
        <w:rPr>
          <w:rFonts w:asciiTheme="majorHAnsi" w:hAnsiTheme="majorHAnsi"/>
          <w:sz w:val="20"/>
          <w:szCs w:val="20"/>
        </w:rPr>
        <w:t>пристрій,</w:t>
      </w:r>
      <w:r w:rsidRPr="000977F7">
        <w:rPr>
          <w:rFonts w:asciiTheme="majorHAnsi" w:hAnsiTheme="majorHAnsi"/>
          <w:spacing w:val="1"/>
          <w:sz w:val="20"/>
          <w:szCs w:val="20"/>
        </w:rPr>
        <w:t xml:space="preserve"> </w:t>
      </w:r>
      <w:r w:rsidRPr="000977F7">
        <w:rPr>
          <w:rFonts w:asciiTheme="majorHAnsi" w:hAnsiTheme="majorHAnsi"/>
          <w:sz w:val="20"/>
          <w:szCs w:val="20"/>
        </w:rPr>
        <w:t>речовина</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матеріал</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4"/>
          <w:sz w:val="20"/>
          <w:szCs w:val="20"/>
        </w:rPr>
        <w:t xml:space="preserve"> </w:t>
      </w:r>
      <w:r w:rsidRPr="000977F7">
        <w:rPr>
          <w:rFonts w:asciiTheme="majorHAnsi" w:hAnsiTheme="majorHAnsi"/>
          <w:sz w:val="20"/>
          <w:szCs w:val="20"/>
        </w:rPr>
        <w:t>контролю</w:t>
      </w:r>
    </w:p>
    <w:p w14:paraId="20DCD30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9"/>
          <w:sz w:val="20"/>
          <w:szCs w:val="20"/>
        </w:rPr>
        <w:t xml:space="preserve"> </w:t>
      </w:r>
      <w:r w:rsidRPr="000977F7">
        <w:rPr>
          <w:rFonts w:asciiTheme="majorHAnsi" w:hAnsiTheme="majorHAnsi"/>
          <w:i/>
          <w:sz w:val="20"/>
          <w:szCs w:val="20"/>
        </w:rPr>
        <w:t>3021</w:t>
      </w:r>
      <w:r w:rsidRPr="000977F7">
        <w:rPr>
          <w:rFonts w:asciiTheme="majorHAnsi" w:hAnsiTheme="majorHAnsi"/>
          <w:i/>
          <w:spacing w:val="10"/>
          <w:sz w:val="20"/>
          <w:szCs w:val="20"/>
        </w:rPr>
        <w:t xml:space="preserve"> </w:t>
      </w:r>
      <w:r w:rsidRPr="000977F7">
        <w:rPr>
          <w:rFonts w:asciiTheme="majorHAnsi" w:hAnsiTheme="majorHAnsi"/>
          <w:i/>
          <w:sz w:val="20"/>
          <w:szCs w:val="20"/>
        </w:rPr>
        <w:t>–</w:t>
      </w:r>
      <w:r w:rsidRPr="000977F7">
        <w:rPr>
          <w:rFonts w:asciiTheme="majorHAnsi" w:hAnsiTheme="majorHAnsi"/>
          <w:i/>
          <w:spacing w:val="9"/>
          <w:sz w:val="20"/>
          <w:szCs w:val="20"/>
        </w:rPr>
        <w:t xml:space="preserve"> </w:t>
      </w:r>
      <w:r w:rsidRPr="000977F7">
        <w:rPr>
          <w:rFonts w:asciiTheme="majorHAnsi" w:hAnsiTheme="majorHAnsi"/>
          <w:i/>
          <w:sz w:val="20"/>
          <w:szCs w:val="20"/>
        </w:rPr>
        <w:t>95</w:t>
      </w:r>
    </w:p>
    <w:p w14:paraId="5299571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ЗАСІБ</w:t>
      </w:r>
      <w:r w:rsidRPr="000977F7">
        <w:rPr>
          <w:color w:val="auto"/>
          <w:spacing w:val="12"/>
          <w:sz w:val="20"/>
          <w:szCs w:val="20"/>
        </w:rPr>
        <w:t xml:space="preserve"> </w:t>
      </w:r>
      <w:r w:rsidRPr="000977F7">
        <w:rPr>
          <w:color w:val="auto"/>
          <w:sz w:val="20"/>
          <w:szCs w:val="20"/>
        </w:rPr>
        <w:t>НЕРУЙНІВНОГО</w:t>
      </w:r>
      <w:r w:rsidRPr="000977F7">
        <w:rPr>
          <w:color w:val="auto"/>
          <w:spacing w:val="10"/>
          <w:sz w:val="20"/>
          <w:szCs w:val="20"/>
        </w:rPr>
        <w:t xml:space="preserve"> </w:t>
      </w:r>
      <w:r w:rsidRPr="000977F7">
        <w:rPr>
          <w:color w:val="auto"/>
          <w:sz w:val="20"/>
          <w:szCs w:val="20"/>
        </w:rPr>
        <w:t>КОНТРОЛЮ</w:t>
      </w:r>
      <w:r w:rsidRPr="000977F7">
        <w:rPr>
          <w:color w:val="auto"/>
          <w:spacing w:val="16"/>
          <w:sz w:val="20"/>
          <w:szCs w:val="20"/>
        </w:rPr>
        <w:t xml:space="preserve"> </w:t>
      </w:r>
      <w:r w:rsidRPr="000977F7">
        <w:rPr>
          <w:color w:val="auto"/>
          <w:sz w:val="20"/>
          <w:szCs w:val="20"/>
        </w:rPr>
        <w:t>–</w:t>
      </w:r>
    </w:p>
    <w:p w14:paraId="5FAEDE2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TEST</w:t>
      </w:r>
      <w:r w:rsidRPr="000977F7">
        <w:rPr>
          <w:rFonts w:asciiTheme="majorHAnsi" w:hAnsiTheme="majorHAnsi"/>
          <w:spacing w:val="11"/>
          <w:sz w:val="20"/>
          <w:szCs w:val="20"/>
        </w:rPr>
        <w:t xml:space="preserve"> </w:t>
      </w:r>
      <w:r w:rsidRPr="000977F7">
        <w:rPr>
          <w:rFonts w:asciiTheme="majorHAnsi" w:hAnsiTheme="majorHAnsi"/>
          <w:sz w:val="20"/>
          <w:szCs w:val="20"/>
        </w:rPr>
        <w:t>EQUIPMENT</w:t>
      </w:r>
      <w:r w:rsidRPr="000977F7">
        <w:rPr>
          <w:rFonts w:asciiTheme="majorHAnsi" w:hAnsiTheme="majorHAnsi"/>
          <w:spacing w:val="11"/>
          <w:sz w:val="20"/>
          <w:szCs w:val="20"/>
        </w:rPr>
        <w:t xml:space="preserve"> </w:t>
      </w:r>
      <w:r w:rsidRPr="000977F7">
        <w:rPr>
          <w:rFonts w:asciiTheme="majorHAnsi" w:hAnsiTheme="majorHAnsi"/>
          <w:sz w:val="20"/>
          <w:szCs w:val="20"/>
        </w:rPr>
        <w:t>–</w:t>
      </w:r>
    </w:p>
    <w:p w14:paraId="528C6A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Технічний</w:t>
      </w:r>
      <w:r w:rsidRPr="000977F7">
        <w:rPr>
          <w:rFonts w:asciiTheme="majorHAnsi" w:hAnsiTheme="majorHAnsi"/>
          <w:spacing w:val="1"/>
          <w:sz w:val="20"/>
          <w:szCs w:val="20"/>
        </w:rPr>
        <w:t xml:space="preserve"> </w:t>
      </w:r>
      <w:r w:rsidRPr="000977F7">
        <w:rPr>
          <w:rFonts w:asciiTheme="majorHAnsi" w:hAnsiTheme="majorHAnsi"/>
          <w:sz w:val="20"/>
          <w:szCs w:val="20"/>
        </w:rPr>
        <w:t>пристрій,</w:t>
      </w:r>
      <w:r w:rsidRPr="000977F7">
        <w:rPr>
          <w:rFonts w:asciiTheme="majorHAnsi" w:hAnsiTheme="majorHAnsi"/>
          <w:spacing w:val="1"/>
          <w:sz w:val="20"/>
          <w:szCs w:val="20"/>
        </w:rPr>
        <w:t xml:space="preserve"> </w:t>
      </w:r>
      <w:r w:rsidRPr="000977F7">
        <w:rPr>
          <w:rFonts w:asciiTheme="majorHAnsi" w:hAnsiTheme="majorHAnsi"/>
          <w:sz w:val="20"/>
          <w:szCs w:val="20"/>
        </w:rPr>
        <w:t>речовина</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матеріал</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47"/>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5"/>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6"/>
          <w:sz w:val="20"/>
          <w:szCs w:val="20"/>
        </w:rPr>
        <w:t xml:space="preserve"> </w:t>
      </w:r>
      <w:r w:rsidRPr="000977F7">
        <w:rPr>
          <w:rFonts w:asciiTheme="majorHAnsi" w:hAnsiTheme="majorHAnsi"/>
          <w:sz w:val="20"/>
          <w:szCs w:val="20"/>
        </w:rPr>
        <w:t>контролю</w:t>
      </w:r>
    </w:p>
    <w:p w14:paraId="6FDDF05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2"/>
          <w:sz w:val="20"/>
          <w:szCs w:val="20"/>
        </w:rPr>
        <w:t xml:space="preserve"> </w:t>
      </w:r>
      <w:r w:rsidRPr="000977F7">
        <w:rPr>
          <w:rFonts w:asciiTheme="majorHAnsi" w:hAnsiTheme="majorHAnsi"/>
          <w:i/>
          <w:sz w:val="20"/>
          <w:szCs w:val="20"/>
        </w:rPr>
        <w:t>2865 - 94</w:t>
      </w:r>
    </w:p>
    <w:p w14:paraId="305AE70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ЗАСІБ</w:t>
      </w:r>
      <w:r w:rsidRPr="000977F7">
        <w:rPr>
          <w:color w:val="auto"/>
          <w:spacing w:val="-6"/>
          <w:sz w:val="20"/>
          <w:szCs w:val="20"/>
        </w:rPr>
        <w:t xml:space="preserve"> </w:t>
      </w:r>
      <w:r w:rsidRPr="000977F7">
        <w:rPr>
          <w:color w:val="auto"/>
          <w:sz w:val="20"/>
          <w:szCs w:val="20"/>
        </w:rPr>
        <w:t>ТЕХНІЧНОГО</w:t>
      </w:r>
      <w:r w:rsidRPr="000977F7">
        <w:rPr>
          <w:color w:val="auto"/>
          <w:spacing w:val="-3"/>
          <w:sz w:val="20"/>
          <w:szCs w:val="20"/>
        </w:rPr>
        <w:t xml:space="preserve"> </w:t>
      </w:r>
      <w:r w:rsidRPr="000977F7">
        <w:rPr>
          <w:color w:val="auto"/>
          <w:sz w:val="20"/>
          <w:szCs w:val="20"/>
        </w:rPr>
        <w:t>ДІАГНОСТУВАННЯ</w:t>
      </w:r>
      <w:r w:rsidRPr="000977F7">
        <w:rPr>
          <w:color w:val="auto"/>
          <w:spacing w:val="-2"/>
          <w:sz w:val="20"/>
          <w:szCs w:val="20"/>
        </w:rPr>
        <w:t xml:space="preserve"> </w:t>
      </w:r>
      <w:r w:rsidRPr="000977F7">
        <w:rPr>
          <w:color w:val="auto"/>
          <w:sz w:val="20"/>
          <w:szCs w:val="20"/>
        </w:rPr>
        <w:t>–</w:t>
      </w:r>
    </w:p>
    <w:p w14:paraId="2A5E60F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TECHNICAL</w:t>
      </w:r>
      <w:r w:rsidRPr="000977F7">
        <w:rPr>
          <w:rFonts w:asciiTheme="majorHAnsi" w:hAnsiTheme="majorHAnsi"/>
          <w:spacing w:val="-3"/>
          <w:sz w:val="20"/>
          <w:szCs w:val="20"/>
        </w:rPr>
        <w:t xml:space="preserve"> </w:t>
      </w:r>
      <w:r w:rsidRPr="000977F7">
        <w:rPr>
          <w:rFonts w:asciiTheme="majorHAnsi" w:hAnsiTheme="majorHAnsi"/>
          <w:sz w:val="20"/>
          <w:szCs w:val="20"/>
        </w:rPr>
        <w:t>DIAGNOSIS</w:t>
      </w:r>
      <w:r w:rsidRPr="000977F7">
        <w:rPr>
          <w:rFonts w:asciiTheme="majorHAnsi" w:hAnsiTheme="majorHAnsi"/>
          <w:spacing w:val="-2"/>
          <w:sz w:val="20"/>
          <w:szCs w:val="20"/>
        </w:rPr>
        <w:t xml:space="preserve"> </w:t>
      </w:r>
      <w:r w:rsidRPr="000977F7">
        <w:rPr>
          <w:rFonts w:asciiTheme="majorHAnsi" w:hAnsiTheme="majorHAnsi"/>
          <w:sz w:val="20"/>
          <w:szCs w:val="20"/>
        </w:rPr>
        <w:t>EQUIPMENT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01B9F67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Апаратура та програми, за допомогою яких здійснюється</w:t>
      </w:r>
      <w:r w:rsidRPr="000977F7">
        <w:rPr>
          <w:rFonts w:asciiTheme="majorHAnsi" w:hAnsiTheme="majorHAnsi"/>
          <w:spacing w:val="-2"/>
          <w:sz w:val="20"/>
          <w:szCs w:val="20"/>
        </w:rPr>
        <w:t xml:space="preserve"> </w:t>
      </w:r>
      <w:r w:rsidRPr="000977F7">
        <w:rPr>
          <w:rFonts w:asciiTheme="majorHAnsi" w:hAnsiTheme="majorHAnsi"/>
          <w:sz w:val="20"/>
          <w:szCs w:val="20"/>
        </w:rPr>
        <w:t>діагностування</w:t>
      </w:r>
    </w:p>
    <w:p w14:paraId="5631D35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085270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ЗАСОБИ</w:t>
      </w:r>
      <w:r w:rsidRPr="000977F7">
        <w:rPr>
          <w:color w:val="auto"/>
          <w:spacing w:val="-3"/>
          <w:sz w:val="20"/>
          <w:szCs w:val="20"/>
        </w:rPr>
        <w:t xml:space="preserve"> </w:t>
      </w:r>
      <w:r w:rsidRPr="000977F7">
        <w:rPr>
          <w:color w:val="auto"/>
          <w:sz w:val="20"/>
          <w:szCs w:val="20"/>
        </w:rPr>
        <w:t>ВИРОБНИЦТВА</w:t>
      </w:r>
      <w:r w:rsidRPr="000977F7">
        <w:rPr>
          <w:color w:val="auto"/>
          <w:spacing w:val="-3"/>
          <w:sz w:val="20"/>
          <w:szCs w:val="20"/>
        </w:rPr>
        <w:t xml:space="preserve"> </w:t>
      </w:r>
      <w:r w:rsidRPr="000977F7">
        <w:rPr>
          <w:color w:val="auto"/>
          <w:sz w:val="20"/>
          <w:szCs w:val="20"/>
        </w:rPr>
        <w:t>–</w:t>
      </w:r>
    </w:p>
    <w:p w14:paraId="1F36ABB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засобів і предметів праці, що їх використовують у процесі виготовлення продукції, виконання</w:t>
      </w:r>
      <w:r w:rsidRPr="000977F7">
        <w:rPr>
          <w:rFonts w:asciiTheme="majorHAnsi" w:hAnsiTheme="majorHAnsi"/>
          <w:spacing w:val="-47"/>
          <w:sz w:val="20"/>
          <w:szCs w:val="20"/>
        </w:rPr>
        <w:t xml:space="preserve"> </w:t>
      </w:r>
      <w:r w:rsidRPr="000977F7">
        <w:rPr>
          <w:rFonts w:asciiTheme="majorHAnsi" w:hAnsiTheme="majorHAnsi"/>
          <w:sz w:val="20"/>
          <w:szCs w:val="20"/>
        </w:rPr>
        <w:t>робіт</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надання</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p>
    <w:p w14:paraId="0F65FDC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6C53F3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ЗАСОБИ ДИСТАНЦІЙНОГО ЗВ'ЯЗКУ –</w:t>
      </w:r>
    </w:p>
    <w:p w14:paraId="6815FF5C"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Телекомунікаційні мережі, поштовий зв'язок, телебачення, інформаційні мережі, зокрема Інтернет, які можуть використовуватися для укладення договорів на відстані</w:t>
      </w:r>
    </w:p>
    <w:p w14:paraId="2EF24DFB"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Закон України "Про захист прав споживачів"</w:t>
      </w:r>
    </w:p>
    <w:p w14:paraId="20A65CB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ЗАСОБИ</w:t>
      </w:r>
      <w:r w:rsidRPr="000977F7">
        <w:rPr>
          <w:color w:val="auto"/>
          <w:spacing w:val="-4"/>
          <w:sz w:val="20"/>
          <w:szCs w:val="20"/>
        </w:rPr>
        <w:t xml:space="preserve"> </w:t>
      </w:r>
      <w:r w:rsidRPr="000977F7">
        <w:rPr>
          <w:color w:val="auto"/>
          <w:sz w:val="20"/>
          <w:szCs w:val="20"/>
        </w:rPr>
        <w:t>КЕРУВАННЯ</w:t>
      </w:r>
      <w:r w:rsidRPr="000977F7">
        <w:rPr>
          <w:color w:val="auto"/>
          <w:spacing w:val="-2"/>
          <w:sz w:val="20"/>
          <w:szCs w:val="20"/>
        </w:rPr>
        <w:t xml:space="preserve"> </w:t>
      </w:r>
      <w:r w:rsidRPr="000977F7">
        <w:rPr>
          <w:color w:val="auto"/>
          <w:sz w:val="20"/>
          <w:szCs w:val="20"/>
        </w:rPr>
        <w:t>–</w:t>
      </w:r>
    </w:p>
    <w:p w14:paraId="293EC93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Технічні засоби, призначені для механізації й автоматизації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керівних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інженерно</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 технічних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робіт</w:t>
      </w:r>
    </w:p>
    <w:p w14:paraId="68BA37C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w:t>
      </w:r>
    </w:p>
    <w:p w14:paraId="4AFB476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Засоби керування складаються із телефонної, радіо та</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телевізійної техніки зв’язку, обчислювальної техніки,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оргтехніки</w:t>
      </w:r>
    </w:p>
    <w:p w14:paraId="24EF206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4BAA4B4" w14:textId="77777777" w:rsidR="0097612F" w:rsidRPr="000977F7" w:rsidRDefault="0097612F" w:rsidP="000977F7">
      <w:pPr>
        <w:pStyle w:val="7"/>
        <w:tabs>
          <w:tab w:val="left" w:pos="284"/>
        </w:tabs>
        <w:spacing w:before="0" w:line="240" w:lineRule="auto"/>
        <w:ind w:left="170"/>
        <w:mirrorIndents/>
        <w:jc w:val="both"/>
        <w:rPr>
          <w:color w:val="auto"/>
          <w:spacing w:val="11"/>
          <w:sz w:val="20"/>
          <w:szCs w:val="20"/>
        </w:rPr>
      </w:pPr>
      <w:r w:rsidRPr="000977F7">
        <w:rPr>
          <w:color w:val="auto"/>
          <w:sz w:val="20"/>
          <w:szCs w:val="20"/>
        </w:rPr>
        <w:t>ЗАСОБИ</w:t>
      </w:r>
      <w:r w:rsidRPr="000977F7">
        <w:rPr>
          <w:color w:val="auto"/>
          <w:spacing w:val="9"/>
          <w:sz w:val="20"/>
          <w:szCs w:val="20"/>
        </w:rPr>
        <w:t xml:space="preserve"> </w:t>
      </w:r>
      <w:r w:rsidRPr="000977F7">
        <w:rPr>
          <w:color w:val="auto"/>
          <w:sz w:val="20"/>
          <w:szCs w:val="20"/>
        </w:rPr>
        <w:t>КОНТРОЛЮ</w:t>
      </w:r>
      <w:r w:rsidRPr="000977F7">
        <w:rPr>
          <w:color w:val="auto"/>
          <w:spacing w:val="7"/>
          <w:sz w:val="20"/>
          <w:szCs w:val="20"/>
        </w:rPr>
        <w:t xml:space="preserve"> </w:t>
      </w:r>
      <w:r w:rsidRPr="000977F7">
        <w:rPr>
          <w:color w:val="auto"/>
          <w:sz w:val="20"/>
          <w:szCs w:val="20"/>
        </w:rPr>
        <w:t>ПРОЕКТУВАННЯ</w:t>
      </w:r>
      <w:r w:rsidRPr="000977F7">
        <w:rPr>
          <w:color w:val="auto"/>
          <w:spacing w:val="10"/>
          <w:sz w:val="20"/>
          <w:szCs w:val="20"/>
        </w:rPr>
        <w:t xml:space="preserve"> </w:t>
      </w:r>
      <w:r w:rsidRPr="000977F7">
        <w:rPr>
          <w:color w:val="auto"/>
          <w:sz w:val="20"/>
          <w:szCs w:val="20"/>
        </w:rPr>
        <w:t>ТА</w:t>
      </w:r>
      <w:r w:rsidRPr="000977F7">
        <w:rPr>
          <w:color w:val="auto"/>
          <w:spacing w:val="11"/>
          <w:sz w:val="20"/>
          <w:szCs w:val="20"/>
        </w:rPr>
        <w:t xml:space="preserve"> </w:t>
      </w:r>
    </w:p>
    <w:p w14:paraId="074D30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w:t>
      </w:r>
      <w:r w:rsidRPr="000977F7">
        <w:rPr>
          <w:color w:val="auto"/>
          <w:spacing w:val="-47"/>
          <w:sz w:val="20"/>
          <w:szCs w:val="20"/>
        </w:rPr>
        <w:t xml:space="preserve"> </w:t>
      </w:r>
      <w:r w:rsidRPr="000977F7">
        <w:rPr>
          <w:color w:val="auto"/>
          <w:sz w:val="20"/>
          <w:szCs w:val="20"/>
        </w:rPr>
        <w:t>ЗРОБЛЕННЯ –</w:t>
      </w:r>
    </w:p>
    <w:p w14:paraId="375CF1B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застосовувати засоби контролю</w:t>
      </w:r>
      <w:r w:rsidRPr="000977F7">
        <w:rPr>
          <w:rFonts w:asciiTheme="majorHAnsi" w:hAnsiTheme="majorHAnsi"/>
          <w:spacing w:val="1"/>
          <w:sz w:val="20"/>
          <w:szCs w:val="20"/>
        </w:rPr>
        <w:t xml:space="preserve"> </w:t>
      </w:r>
      <w:r w:rsidRPr="000977F7">
        <w:rPr>
          <w:rFonts w:asciiTheme="majorHAnsi" w:hAnsiTheme="majorHAnsi"/>
          <w:sz w:val="20"/>
          <w:szCs w:val="20"/>
        </w:rPr>
        <w:t>до процесу проектування та розроблення, щоб забезпечити</w:t>
      </w:r>
    </w:p>
    <w:p w14:paraId="03B2B0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3"/>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4"/>
          <w:sz w:val="20"/>
          <w:szCs w:val="20"/>
        </w:rPr>
        <w:t xml:space="preserve"> </w:t>
      </w:r>
      <w:r w:rsidRPr="000977F7">
        <w:rPr>
          <w:rFonts w:asciiTheme="majorHAnsi" w:hAnsiTheme="majorHAnsi"/>
          <w:sz w:val="20"/>
          <w:szCs w:val="20"/>
        </w:rPr>
        <w:t>результатів,</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2"/>
          <w:sz w:val="20"/>
          <w:szCs w:val="20"/>
        </w:rPr>
        <w:t xml:space="preserve"> </w:t>
      </w:r>
      <w:r w:rsidRPr="000977F7">
        <w:rPr>
          <w:rFonts w:asciiTheme="majorHAnsi" w:hAnsiTheme="majorHAnsi"/>
          <w:sz w:val="20"/>
          <w:szCs w:val="20"/>
        </w:rPr>
        <w:t>їх</w:t>
      </w:r>
      <w:r w:rsidRPr="000977F7">
        <w:rPr>
          <w:rFonts w:asciiTheme="majorHAnsi" w:hAnsiTheme="majorHAnsi"/>
          <w:spacing w:val="-5"/>
          <w:sz w:val="20"/>
          <w:szCs w:val="20"/>
        </w:rPr>
        <w:t xml:space="preserve"> </w:t>
      </w:r>
      <w:r w:rsidRPr="000977F7">
        <w:rPr>
          <w:rFonts w:asciiTheme="majorHAnsi" w:hAnsiTheme="majorHAnsi"/>
          <w:sz w:val="20"/>
          <w:szCs w:val="20"/>
        </w:rPr>
        <w:t>досягатимуть;</w:t>
      </w:r>
    </w:p>
    <w:p w14:paraId="792484F2" w14:textId="77777777" w:rsidR="0097612F" w:rsidRPr="000977F7" w:rsidRDefault="0097612F" w:rsidP="00FD39A4">
      <w:pPr>
        <w:pStyle w:val="ac"/>
        <w:widowControl w:val="0"/>
        <w:numPr>
          <w:ilvl w:val="0"/>
          <w:numId w:val="178"/>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аналізування, щоб оцінювати здатність результатів</w:t>
      </w:r>
      <w:r w:rsidRPr="000977F7">
        <w:rPr>
          <w:rFonts w:asciiTheme="majorHAnsi" w:hAnsiTheme="majorHAnsi"/>
          <w:spacing w:val="1"/>
          <w:sz w:val="20"/>
          <w:szCs w:val="20"/>
        </w:rPr>
        <w:t xml:space="preserve"> </w:t>
      </w:r>
      <w:r w:rsidRPr="000977F7">
        <w:rPr>
          <w:rFonts w:asciiTheme="majorHAnsi" w:hAnsiTheme="majorHAnsi"/>
          <w:sz w:val="20"/>
          <w:szCs w:val="20"/>
        </w:rPr>
        <w:t>проектування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розроблення</w:t>
      </w:r>
      <w:r w:rsidRPr="000977F7">
        <w:rPr>
          <w:rFonts w:asciiTheme="majorHAnsi" w:hAnsiTheme="majorHAnsi"/>
          <w:spacing w:val="-3"/>
          <w:sz w:val="20"/>
          <w:szCs w:val="20"/>
        </w:rPr>
        <w:t xml:space="preserve"> </w:t>
      </w:r>
      <w:r w:rsidRPr="000977F7">
        <w:rPr>
          <w:rFonts w:asciiTheme="majorHAnsi" w:hAnsiTheme="majorHAnsi"/>
          <w:sz w:val="20"/>
          <w:szCs w:val="20"/>
        </w:rPr>
        <w:t>задовольняти</w:t>
      </w:r>
      <w:r w:rsidRPr="000977F7">
        <w:rPr>
          <w:rFonts w:asciiTheme="majorHAnsi" w:hAnsiTheme="majorHAnsi"/>
          <w:spacing w:val="-4"/>
          <w:sz w:val="20"/>
          <w:szCs w:val="20"/>
        </w:rPr>
        <w:t xml:space="preserve"> </w:t>
      </w:r>
      <w:r w:rsidRPr="000977F7">
        <w:rPr>
          <w:rFonts w:asciiTheme="majorHAnsi" w:hAnsiTheme="majorHAnsi"/>
          <w:sz w:val="20"/>
          <w:szCs w:val="20"/>
        </w:rPr>
        <w:t>вимоги;</w:t>
      </w:r>
    </w:p>
    <w:p w14:paraId="090D3BB7" w14:textId="77777777" w:rsidR="0097612F" w:rsidRPr="000977F7" w:rsidRDefault="0097612F" w:rsidP="00FD39A4">
      <w:pPr>
        <w:pStyle w:val="ac"/>
        <w:widowControl w:val="0"/>
        <w:numPr>
          <w:ilvl w:val="0"/>
          <w:numId w:val="178"/>
        </w:numPr>
        <w:tabs>
          <w:tab w:val="left" w:pos="284"/>
          <w:tab w:val="left" w:pos="70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робіт</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перевірення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гарантування</w:t>
      </w:r>
      <w:r w:rsidRPr="000977F7">
        <w:rPr>
          <w:rFonts w:asciiTheme="majorHAnsi" w:hAnsiTheme="majorHAnsi"/>
          <w:spacing w:val="-47"/>
          <w:sz w:val="20"/>
          <w:szCs w:val="20"/>
        </w:rPr>
        <w:t xml:space="preserve"> </w:t>
      </w:r>
      <w:r w:rsidRPr="000977F7">
        <w:rPr>
          <w:rFonts w:asciiTheme="majorHAnsi" w:hAnsiTheme="majorHAnsi"/>
          <w:sz w:val="20"/>
          <w:szCs w:val="20"/>
        </w:rPr>
        <w:t>того,</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вихідні</w:t>
      </w:r>
      <w:r w:rsidRPr="000977F7">
        <w:rPr>
          <w:rFonts w:asciiTheme="majorHAnsi" w:hAnsiTheme="majorHAnsi"/>
          <w:spacing w:val="1"/>
          <w:sz w:val="20"/>
          <w:szCs w:val="20"/>
        </w:rPr>
        <w:t xml:space="preserve"> </w:t>
      </w:r>
      <w:r w:rsidRPr="000977F7">
        <w:rPr>
          <w:rFonts w:asciiTheme="majorHAnsi" w:hAnsiTheme="majorHAnsi"/>
          <w:sz w:val="20"/>
          <w:szCs w:val="20"/>
        </w:rPr>
        <w:t>дані</w:t>
      </w:r>
      <w:r w:rsidRPr="000977F7">
        <w:rPr>
          <w:rFonts w:asciiTheme="majorHAnsi" w:hAnsiTheme="majorHAnsi"/>
          <w:spacing w:val="1"/>
          <w:sz w:val="20"/>
          <w:szCs w:val="20"/>
        </w:rPr>
        <w:t xml:space="preserve"> </w:t>
      </w:r>
      <w:r w:rsidRPr="000977F7">
        <w:rPr>
          <w:rFonts w:asciiTheme="majorHAnsi" w:hAnsiTheme="majorHAnsi"/>
          <w:sz w:val="20"/>
          <w:szCs w:val="20"/>
        </w:rPr>
        <w:t>проектування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w:t>
      </w:r>
      <w:r w:rsidRPr="000977F7">
        <w:rPr>
          <w:rFonts w:asciiTheme="majorHAnsi" w:hAnsiTheme="majorHAnsi"/>
          <w:spacing w:val="-47"/>
          <w:sz w:val="20"/>
          <w:szCs w:val="20"/>
        </w:rPr>
        <w:t xml:space="preserve"> </w:t>
      </w:r>
      <w:r w:rsidRPr="000977F7">
        <w:rPr>
          <w:rFonts w:asciiTheme="majorHAnsi" w:hAnsiTheme="majorHAnsi"/>
          <w:sz w:val="20"/>
          <w:szCs w:val="20"/>
        </w:rPr>
        <w:t>задовольняють</w:t>
      </w:r>
      <w:r w:rsidRPr="000977F7">
        <w:rPr>
          <w:rFonts w:asciiTheme="majorHAnsi" w:hAnsiTheme="majorHAnsi"/>
          <w:spacing w:val="-1"/>
          <w:sz w:val="20"/>
          <w:szCs w:val="20"/>
        </w:rPr>
        <w:t xml:space="preserve"> </w:t>
      </w:r>
      <w:r w:rsidRPr="000977F7">
        <w:rPr>
          <w:rFonts w:asciiTheme="majorHAnsi" w:hAnsiTheme="majorHAnsi"/>
          <w:sz w:val="20"/>
          <w:szCs w:val="20"/>
        </w:rPr>
        <w:t>вхідні</w:t>
      </w:r>
      <w:r w:rsidRPr="000977F7">
        <w:rPr>
          <w:rFonts w:asciiTheme="majorHAnsi" w:hAnsiTheme="majorHAnsi"/>
          <w:spacing w:val="2"/>
          <w:sz w:val="20"/>
          <w:szCs w:val="20"/>
        </w:rPr>
        <w:t xml:space="preserve"> </w:t>
      </w:r>
      <w:r w:rsidRPr="000977F7">
        <w:rPr>
          <w:rFonts w:asciiTheme="majorHAnsi" w:hAnsiTheme="majorHAnsi"/>
          <w:sz w:val="20"/>
          <w:szCs w:val="20"/>
        </w:rPr>
        <w:t>вимоги;</w:t>
      </w:r>
    </w:p>
    <w:p w14:paraId="5BB8A270" w14:textId="77777777" w:rsidR="0097612F" w:rsidRPr="000977F7" w:rsidRDefault="0097612F" w:rsidP="00FD39A4">
      <w:pPr>
        <w:pStyle w:val="ac"/>
        <w:widowControl w:val="0"/>
        <w:numPr>
          <w:ilvl w:val="0"/>
          <w:numId w:val="178"/>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виконання робіт із затвердження для гарантування</w:t>
      </w:r>
      <w:r w:rsidRPr="000977F7">
        <w:rPr>
          <w:rFonts w:asciiTheme="majorHAnsi" w:hAnsiTheme="majorHAnsi"/>
          <w:spacing w:val="1"/>
          <w:sz w:val="20"/>
          <w:szCs w:val="20"/>
        </w:rPr>
        <w:t xml:space="preserve"> </w:t>
      </w:r>
      <w:r w:rsidRPr="000977F7">
        <w:rPr>
          <w:rFonts w:asciiTheme="majorHAnsi" w:hAnsiTheme="majorHAnsi"/>
          <w:sz w:val="20"/>
          <w:szCs w:val="20"/>
        </w:rPr>
        <w:t>того, що готова продукція та послуги задовольняють</w:t>
      </w:r>
      <w:r w:rsidRPr="000977F7">
        <w:rPr>
          <w:rFonts w:asciiTheme="majorHAnsi" w:hAnsiTheme="majorHAnsi"/>
          <w:spacing w:val="1"/>
          <w:sz w:val="20"/>
          <w:szCs w:val="20"/>
        </w:rPr>
        <w:t xml:space="preserve"> </w:t>
      </w:r>
      <w:r w:rsidRPr="000977F7">
        <w:rPr>
          <w:rFonts w:asciiTheme="majorHAnsi" w:hAnsiTheme="majorHAnsi"/>
          <w:sz w:val="20"/>
          <w:szCs w:val="20"/>
        </w:rPr>
        <w:t>вимоги щодо встановленого застосування чи передбаченого використання;</w:t>
      </w:r>
    </w:p>
    <w:p w14:paraId="553C7D0D" w14:textId="77777777" w:rsidR="0097612F" w:rsidRPr="000977F7" w:rsidRDefault="0097612F" w:rsidP="00FD39A4">
      <w:pPr>
        <w:pStyle w:val="ac"/>
        <w:widowControl w:val="0"/>
        <w:numPr>
          <w:ilvl w:val="0"/>
          <w:numId w:val="178"/>
        </w:numPr>
        <w:tabs>
          <w:tab w:val="left" w:pos="284"/>
          <w:tab w:val="left" w:pos="66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виконання будь-яких необхідних дій стосовно проблем, визначених під час аналізування чи виконання</w:t>
      </w:r>
      <w:r w:rsidRPr="000977F7">
        <w:rPr>
          <w:rFonts w:asciiTheme="majorHAnsi" w:hAnsiTheme="majorHAnsi"/>
          <w:spacing w:val="1"/>
          <w:sz w:val="20"/>
          <w:szCs w:val="20"/>
        </w:rPr>
        <w:t xml:space="preserve"> </w:t>
      </w:r>
      <w:r w:rsidRPr="000977F7">
        <w:rPr>
          <w:rFonts w:asciiTheme="majorHAnsi" w:hAnsiTheme="majorHAnsi"/>
          <w:sz w:val="20"/>
          <w:szCs w:val="20"/>
        </w:rPr>
        <w:t>робіт</w:t>
      </w:r>
      <w:r w:rsidRPr="000977F7">
        <w:rPr>
          <w:rFonts w:asciiTheme="majorHAnsi" w:hAnsiTheme="majorHAnsi"/>
          <w:spacing w:val="-2"/>
          <w:sz w:val="20"/>
          <w:szCs w:val="20"/>
        </w:rPr>
        <w:t xml:space="preserve"> </w:t>
      </w:r>
      <w:r w:rsidRPr="000977F7">
        <w:rPr>
          <w:rFonts w:asciiTheme="majorHAnsi" w:hAnsiTheme="majorHAnsi"/>
          <w:sz w:val="20"/>
          <w:szCs w:val="20"/>
        </w:rPr>
        <w:t>з перевірення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затвердження;</w:t>
      </w:r>
    </w:p>
    <w:p w14:paraId="0C9637D0" w14:textId="77777777" w:rsidR="0097612F" w:rsidRPr="000977F7" w:rsidRDefault="0097612F" w:rsidP="00FD39A4">
      <w:pPr>
        <w:pStyle w:val="ac"/>
        <w:widowControl w:val="0"/>
        <w:numPr>
          <w:ilvl w:val="0"/>
          <w:numId w:val="178"/>
        </w:numPr>
        <w:tabs>
          <w:tab w:val="left" w:pos="284"/>
          <w:tab w:val="left" w:pos="68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lastRenderedPageBreak/>
        <w:t>зберігання</w:t>
      </w:r>
      <w:r w:rsidRPr="000977F7">
        <w:rPr>
          <w:rFonts w:asciiTheme="majorHAnsi" w:hAnsiTheme="majorHAnsi"/>
          <w:spacing w:val="1"/>
          <w:sz w:val="20"/>
          <w:szCs w:val="20"/>
        </w:rPr>
        <w:t xml:space="preserve"> </w:t>
      </w:r>
      <w:r w:rsidRPr="000977F7">
        <w:rPr>
          <w:rFonts w:asciiTheme="majorHAnsi" w:hAnsiTheme="majorHAnsi"/>
          <w:sz w:val="20"/>
          <w:szCs w:val="20"/>
        </w:rPr>
        <w:t>задокументованої</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1"/>
          <w:sz w:val="20"/>
          <w:szCs w:val="20"/>
        </w:rPr>
        <w:t xml:space="preserve"> </w:t>
      </w:r>
      <w:r w:rsidRPr="000977F7">
        <w:rPr>
          <w:rFonts w:asciiTheme="majorHAnsi" w:hAnsiTheme="majorHAnsi"/>
          <w:sz w:val="20"/>
          <w:szCs w:val="20"/>
        </w:rPr>
        <w:t>стосовно</w:t>
      </w:r>
      <w:r w:rsidRPr="000977F7">
        <w:rPr>
          <w:rFonts w:asciiTheme="majorHAnsi" w:hAnsiTheme="majorHAnsi"/>
          <w:spacing w:val="-47"/>
          <w:sz w:val="20"/>
          <w:szCs w:val="20"/>
        </w:rPr>
        <w:t xml:space="preserve"> </w:t>
      </w:r>
      <w:r w:rsidRPr="000977F7">
        <w:rPr>
          <w:rFonts w:asciiTheme="majorHAnsi" w:hAnsiTheme="majorHAnsi"/>
          <w:sz w:val="20"/>
          <w:szCs w:val="20"/>
        </w:rPr>
        <w:t>цих</w:t>
      </w:r>
      <w:r w:rsidRPr="000977F7">
        <w:rPr>
          <w:rFonts w:asciiTheme="majorHAnsi" w:hAnsiTheme="majorHAnsi"/>
          <w:spacing w:val="-2"/>
          <w:sz w:val="20"/>
          <w:szCs w:val="20"/>
        </w:rPr>
        <w:t xml:space="preserve"> </w:t>
      </w:r>
      <w:r w:rsidRPr="000977F7">
        <w:rPr>
          <w:rFonts w:asciiTheme="majorHAnsi" w:hAnsiTheme="majorHAnsi"/>
          <w:sz w:val="20"/>
          <w:szCs w:val="20"/>
        </w:rPr>
        <w:t>робіт.</w:t>
      </w:r>
    </w:p>
    <w:p w14:paraId="79E7E3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 р и м і т к а: Аналізування, перевірення та затвердження</w:t>
      </w:r>
      <w:r w:rsidRPr="000977F7">
        <w:rPr>
          <w:rFonts w:asciiTheme="majorHAnsi" w:hAnsiTheme="majorHAnsi"/>
          <w:spacing w:val="1"/>
          <w:sz w:val="20"/>
          <w:szCs w:val="20"/>
        </w:rPr>
        <w:t xml:space="preserve"> </w:t>
      </w:r>
      <w:r w:rsidRPr="000977F7">
        <w:rPr>
          <w:rFonts w:asciiTheme="majorHAnsi" w:hAnsiTheme="majorHAnsi"/>
          <w:sz w:val="20"/>
          <w:szCs w:val="20"/>
        </w:rPr>
        <w:t>проектування/проекту</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розроблення/розробки мають різні цілі. Їх може бути проведено</w:t>
      </w:r>
      <w:r w:rsidRPr="000977F7">
        <w:rPr>
          <w:rFonts w:asciiTheme="majorHAnsi" w:hAnsiTheme="majorHAnsi"/>
          <w:spacing w:val="1"/>
          <w:sz w:val="20"/>
          <w:szCs w:val="20"/>
        </w:rPr>
        <w:t xml:space="preserve"> </w:t>
      </w:r>
      <w:r w:rsidRPr="000977F7">
        <w:rPr>
          <w:rFonts w:asciiTheme="majorHAnsi" w:hAnsiTheme="majorHAnsi"/>
          <w:sz w:val="20"/>
          <w:szCs w:val="20"/>
        </w:rPr>
        <w:t>окремо чи за будь-якого поєднання в спосіб, придатний</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p>
    <w:p w14:paraId="500053A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37962D9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ЗАСОБИ</w:t>
      </w:r>
      <w:r w:rsidRPr="000977F7">
        <w:rPr>
          <w:color w:val="auto"/>
          <w:spacing w:val="-2"/>
          <w:sz w:val="20"/>
          <w:szCs w:val="20"/>
        </w:rPr>
        <w:t xml:space="preserve"> </w:t>
      </w:r>
      <w:r w:rsidRPr="000977F7">
        <w:rPr>
          <w:color w:val="auto"/>
          <w:sz w:val="20"/>
          <w:szCs w:val="20"/>
        </w:rPr>
        <w:t>ПРАЦІ</w:t>
      </w:r>
      <w:r w:rsidRPr="000977F7">
        <w:rPr>
          <w:color w:val="auto"/>
          <w:spacing w:val="-2"/>
          <w:sz w:val="20"/>
          <w:szCs w:val="20"/>
        </w:rPr>
        <w:t xml:space="preserve"> </w:t>
      </w:r>
      <w:r w:rsidRPr="000977F7">
        <w:rPr>
          <w:color w:val="auto"/>
          <w:sz w:val="20"/>
          <w:szCs w:val="20"/>
        </w:rPr>
        <w:t>–</w:t>
      </w:r>
    </w:p>
    <w:p w14:paraId="175F163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Матеріальні</w:t>
      </w:r>
      <w:r w:rsidRPr="000977F7">
        <w:rPr>
          <w:rFonts w:asciiTheme="majorHAnsi" w:hAnsiTheme="majorHAnsi"/>
          <w:spacing w:val="1"/>
          <w:sz w:val="20"/>
          <w:szCs w:val="20"/>
        </w:rPr>
        <w:t xml:space="preserve"> </w:t>
      </w:r>
      <w:r w:rsidRPr="000977F7">
        <w:rPr>
          <w:rFonts w:asciiTheme="majorHAnsi" w:hAnsiTheme="majorHAnsi"/>
          <w:sz w:val="20"/>
          <w:szCs w:val="20"/>
        </w:rPr>
        <w:t>об’єкти,</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допомогою</w:t>
      </w:r>
      <w:r w:rsidRPr="000977F7">
        <w:rPr>
          <w:rFonts w:asciiTheme="majorHAnsi" w:hAnsiTheme="majorHAnsi"/>
          <w:spacing w:val="1"/>
          <w:sz w:val="20"/>
          <w:szCs w:val="20"/>
        </w:rPr>
        <w:t xml:space="preserve"> </w:t>
      </w:r>
      <w:r w:rsidRPr="000977F7">
        <w:rPr>
          <w:rFonts w:asciiTheme="majorHAnsi" w:hAnsiTheme="majorHAnsi"/>
          <w:sz w:val="20"/>
          <w:szCs w:val="20"/>
        </w:rPr>
        <w:t>яких</w:t>
      </w:r>
      <w:r w:rsidRPr="000977F7">
        <w:rPr>
          <w:rFonts w:asciiTheme="majorHAnsi" w:hAnsiTheme="majorHAnsi"/>
          <w:spacing w:val="1"/>
          <w:sz w:val="20"/>
          <w:szCs w:val="20"/>
        </w:rPr>
        <w:t xml:space="preserve"> </w:t>
      </w:r>
      <w:r w:rsidRPr="000977F7">
        <w:rPr>
          <w:rFonts w:asciiTheme="majorHAnsi" w:hAnsiTheme="majorHAnsi"/>
          <w:sz w:val="20"/>
          <w:szCs w:val="20"/>
        </w:rPr>
        <w:t>предмети</w:t>
      </w:r>
      <w:r w:rsidRPr="000977F7">
        <w:rPr>
          <w:rFonts w:asciiTheme="majorHAnsi" w:hAnsiTheme="majorHAnsi"/>
          <w:spacing w:val="1"/>
          <w:sz w:val="20"/>
          <w:szCs w:val="20"/>
        </w:rPr>
        <w:t xml:space="preserve"> </w:t>
      </w:r>
      <w:r w:rsidRPr="000977F7">
        <w:rPr>
          <w:rFonts w:asciiTheme="majorHAnsi" w:hAnsiTheme="majorHAnsi"/>
          <w:sz w:val="20"/>
          <w:szCs w:val="20"/>
        </w:rPr>
        <w:t>праці перетворюються на готову продукцію в процесі</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p>
    <w:p w14:paraId="35E38C6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58E182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ЗАСОБИ</w:t>
      </w:r>
      <w:r w:rsidRPr="000977F7">
        <w:rPr>
          <w:color w:val="auto"/>
          <w:spacing w:val="-8"/>
          <w:sz w:val="20"/>
          <w:szCs w:val="20"/>
        </w:rPr>
        <w:t xml:space="preserve"> </w:t>
      </w:r>
      <w:r w:rsidRPr="000977F7">
        <w:rPr>
          <w:color w:val="auto"/>
          <w:sz w:val="20"/>
          <w:szCs w:val="20"/>
        </w:rPr>
        <w:t>ТЕХНІЧНОГО</w:t>
      </w:r>
      <w:r w:rsidRPr="000977F7">
        <w:rPr>
          <w:color w:val="auto"/>
          <w:spacing w:val="-8"/>
          <w:sz w:val="20"/>
          <w:szCs w:val="20"/>
        </w:rPr>
        <w:t xml:space="preserve"> </w:t>
      </w:r>
      <w:r w:rsidRPr="000977F7">
        <w:rPr>
          <w:color w:val="auto"/>
          <w:sz w:val="20"/>
          <w:szCs w:val="20"/>
        </w:rPr>
        <w:t>ОБСЛУГОВУВАННЯ</w:t>
      </w:r>
      <w:r w:rsidRPr="000977F7">
        <w:rPr>
          <w:color w:val="auto"/>
          <w:spacing w:val="-47"/>
          <w:sz w:val="20"/>
          <w:szCs w:val="20"/>
        </w:rPr>
        <w:t xml:space="preserve"> </w:t>
      </w:r>
      <w:r w:rsidRPr="000977F7">
        <w:rPr>
          <w:color w:val="auto"/>
          <w:sz w:val="20"/>
          <w:szCs w:val="20"/>
        </w:rPr>
        <w:t>(РЕМОНТУ,</w:t>
      </w:r>
      <w:r w:rsidRPr="000977F7">
        <w:rPr>
          <w:color w:val="auto"/>
          <w:spacing w:val="-1"/>
          <w:sz w:val="20"/>
          <w:szCs w:val="20"/>
        </w:rPr>
        <w:t xml:space="preserve"> </w:t>
      </w:r>
      <w:r w:rsidRPr="000977F7">
        <w:rPr>
          <w:color w:val="auto"/>
          <w:sz w:val="20"/>
          <w:szCs w:val="20"/>
        </w:rPr>
        <w:t>ДІАГНОСТИКИ)</w:t>
      </w:r>
      <w:r w:rsidRPr="000977F7">
        <w:rPr>
          <w:color w:val="auto"/>
          <w:spacing w:val="3"/>
          <w:sz w:val="20"/>
          <w:szCs w:val="20"/>
        </w:rPr>
        <w:t xml:space="preserve"> </w:t>
      </w:r>
      <w:r w:rsidRPr="000977F7">
        <w:rPr>
          <w:color w:val="auto"/>
          <w:sz w:val="20"/>
          <w:szCs w:val="20"/>
        </w:rPr>
        <w:t>–</w:t>
      </w:r>
    </w:p>
    <w:p w14:paraId="67411D47"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Засоби технологічного оснащення і споруди, призначені для виконання технічного обслуговування (ремонту,</w:t>
      </w:r>
      <w:r w:rsidRPr="000977F7">
        <w:rPr>
          <w:b w:val="0"/>
          <w:bCs/>
          <w:color w:val="auto"/>
          <w:spacing w:val="-1"/>
          <w:sz w:val="20"/>
          <w:szCs w:val="20"/>
        </w:rPr>
        <w:t xml:space="preserve"> </w:t>
      </w:r>
      <w:r w:rsidRPr="000977F7">
        <w:rPr>
          <w:b w:val="0"/>
          <w:bCs/>
          <w:color w:val="auto"/>
          <w:sz w:val="20"/>
          <w:szCs w:val="20"/>
        </w:rPr>
        <w:t>діагностики)</w:t>
      </w:r>
    </w:p>
    <w:p w14:paraId="480D24E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ЗАСОБИ ТЕХНОЛОГІЧНОГО</w:t>
      </w:r>
      <w:r w:rsidRPr="000977F7">
        <w:rPr>
          <w:color w:val="auto"/>
          <w:spacing w:val="-47"/>
          <w:sz w:val="20"/>
          <w:szCs w:val="20"/>
        </w:rPr>
        <w:t xml:space="preserve"> </w:t>
      </w:r>
      <w:r w:rsidRPr="000977F7">
        <w:rPr>
          <w:color w:val="auto"/>
          <w:sz w:val="20"/>
          <w:szCs w:val="20"/>
        </w:rPr>
        <w:t>СПОРЯДЖЕННЯ –</w:t>
      </w:r>
    </w:p>
    <w:p w14:paraId="3B4D92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знарядь виробництва, необхідних для виконання</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p>
    <w:p w14:paraId="29F177E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2391:2010;</w:t>
      </w:r>
      <w:r w:rsidRPr="000977F7">
        <w:rPr>
          <w:rFonts w:asciiTheme="majorHAnsi" w:hAnsiTheme="majorHAnsi"/>
          <w:i/>
          <w:spacing w:val="-3"/>
          <w:sz w:val="20"/>
          <w:szCs w:val="20"/>
        </w:rPr>
        <w:t xml:space="preserve"> </w:t>
      </w: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2974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F917EA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ЗАСТАРІЛА</w:t>
      </w:r>
      <w:r w:rsidRPr="000977F7">
        <w:rPr>
          <w:color w:val="auto"/>
          <w:spacing w:val="-4"/>
          <w:sz w:val="20"/>
          <w:szCs w:val="20"/>
        </w:rPr>
        <w:t xml:space="preserve"> </w:t>
      </w:r>
      <w:r w:rsidRPr="000977F7">
        <w:rPr>
          <w:color w:val="auto"/>
          <w:sz w:val="20"/>
          <w:szCs w:val="20"/>
        </w:rPr>
        <w:t>ПРОДУКЦІЯ</w:t>
      </w:r>
      <w:r w:rsidRPr="000977F7">
        <w:rPr>
          <w:color w:val="auto"/>
          <w:spacing w:val="-1"/>
          <w:sz w:val="20"/>
          <w:szCs w:val="20"/>
        </w:rPr>
        <w:t xml:space="preserve"> </w:t>
      </w:r>
      <w:r w:rsidRPr="000977F7">
        <w:rPr>
          <w:color w:val="auto"/>
          <w:sz w:val="20"/>
          <w:szCs w:val="20"/>
        </w:rPr>
        <w:t>–</w:t>
      </w:r>
    </w:p>
    <w:p w14:paraId="7BB5C8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 показники якості якої, перестали відповідати вимогам</w:t>
      </w:r>
      <w:r w:rsidRPr="000977F7">
        <w:rPr>
          <w:rFonts w:asciiTheme="majorHAnsi" w:hAnsiTheme="majorHAnsi"/>
          <w:spacing w:val="1"/>
          <w:sz w:val="20"/>
          <w:szCs w:val="20"/>
        </w:rPr>
        <w:t xml:space="preserve"> </w:t>
      </w:r>
      <w:r w:rsidRPr="000977F7">
        <w:rPr>
          <w:rFonts w:asciiTheme="majorHAnsi" w:hAnsiTheme="majorHAnsi"/>
          <w:sz w:val="20"/>
          <w:szCs w:val="20"/>
        </w:rPr>
        <w:t>чинних</w:t>
      </w:r>
      <w:r w:rsidRPr="000977F7">
        <w:rPr>
          <w:rFonts w:asciiTheme="majorHAnsi" w:hAnsiTheme="majorHAnsi"/>
          <w:spacing w:val="-1"/>
          <w:sz w:val="20"/>
          <w:szCs w:val="20"/>
        </w:rPr>
        <w:t xml:space="preserve"> </w:t>
      </w:r>
      <w:r w:rsidRPr="000977F7">
        <w:rPr>
          <w:rFonts w:asciiTheme="majorHAnsi" w:hAnsiTheme="majorHAnsi"/>
          <w:sz w:val="20"/>
          <w:szCs w:val="20"/>
        </w:rPr>
        <w:t>стандартів</w:t>
      </w:r>
    </w:p>
    <w:p w14:paraId="07C7A73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1658C9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ЗАСТОСОВАНИЙ</w:t>
      </w:r>
      <w:r w:rsidRPr="000977F7">
        <w:rPr>
          <w:color w:val="auto"/>
          <w:spacing w:val="-3"/>
          <w:sz w:val="20"/>
          <w:szCs w:val="20"/>
        </w:rPr>
        <w:t xml:space="preserve"> </w:t>
      </w:r>
      <w:r w:rsidRPr="000977F7">
        <w:rPr>
          <w:color w:val="auto"/>
          <w:sz w:val="20"/>
          <w:szCs w:val="20"/>
        </w:rPr>
        <w:t>ВИРІБ</w:t>
      </w:r>
      <w:r w:rsidRPr="000977F7">
        <w:rPr>
          <w:color w:val="auto"/>
          <w:spacing w:val="-1"/>
          <w:sz w:val="20"/>
          <w:szCs w:val="20"/>
        </w:rPr>
        <w:t xml:space="preserve"> </w:t>
      </w:r>
      <w:r w:rsidRPr="000977F7">
        <w:rPr>
          <w:color w:val="auto"/>
          <w:sz w:val="20"/>
          <w:szCs w:val="20"/>
        </w:rPr>
        <w:t>–</w:t>
      </w:r>
    </w:p>
    <w:p w14:paraId="7FD05B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 розроблений раніше</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використовуваний</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конструкторській</w:t>
      </w:r>
      <w:r w:rsidRPr="000977F7">
        <w:rPr>
          <w:rFonts w:asciiTheme="majorHAnsi" w:hAnsiTheme="majorHAnsi"/>
          <w:spacing w:val="-2"/>
          <w:sz w:val="20"/>
          <w:szCs w:val="20"/>
        </w:rPr>
        <w:t xml:space="preserve"> </w:t>
      </w:r>
      <w:r w:rsidRPr="000977F7">
        <w:rPr>
          <w:rFonts w:asciiTheme="majorHAnsi" w:hAnsiTheme="majorHAnsi"/>
          <w:sz w:val="20"/>
          <w:szCs w:val="20"/>
        </w:rPr>
        <w:t>документації</w:t>
      </w:r>
      <w:r w:rsidRPr="000977F7">
        <w:rPr>
          <w:rFonts w:asciiTheme="majorHAnsi" w:hAnsiTheme="majorHAnsi"/>
          <w:spacing w:val="-2"/>
          <w:sz w:val="20"/>
          <w:szCs w:val="20"/>
        </w:rPr>
        <w:t xml:space="preserve"> </w:t>
      </w:r>
      <w:r w:rsidRPr="000977F7">
        <w:rPr>
          <w:rFonts w:asciiTheme="majorHAnsi" w:hAnsiTheme="majorHAnsi"/>
          <w:sz w:val="20"/>
          <w:szCs w:val="20"/>
        </w:rPr>
        <w:t>іншого виробу</w:t>
      </w:r>
    </w:p>
    <w:p w14:paraId="774E1A6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58" w:name="_Hlk103665689"/>
      <w:r w:rsidRPr="000977F7">
        <w:rPr>
          <w:color w:val="auto"/>
          <w:sz w:val="20"/>
          <w:szCs w:val="20"/>
        </w:rPr>
        <w:t>ЗАСТОСУВАННЯ МАШИНИ ЗА ПРИЗНАЧЕННЯМ –</w:t>
      </w:r>
    </w:p>
    <w:p w14:paraId="0A581254"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INTENDED USE -</w:t>
      </w:r>
    </w:p>
    <w:bookmarkEnd w:id="58"/>
    <w:p w14:paraId="6FC3CE72"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Використання машин відповідно до інформації, наведеної в інструкціях;</w:t>
      </w:r>
    </w:p>
    <w:p w14:paraId="45D3D284"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Технічний регламент безпеки машин</w:t>
      </w:r>
    </w:p>
    <w:p w14:paraId="6A3FE96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Використання машини відповідно до інформації для користувача, наведеної в інструкціях </w:t>
      </w:r>
    </w:p>
    <w:p w14:paraId="30E9A08F" w14:textId="77777777" w:rsidR="0097612F" w:rsidRPr="000977F7" w:rsidRDefault="0097612F" w:rsidP="000977F7">
      <w:pPr>
        <w:pStyle w:val="af6"/>
        <w:tabs>
          <w:tab w:val="left" w:pos="284"/>
        </w:tabs>
        <w:spacing w:after="0"/>
        <w:ind w:left="170"/>
        <w:mirrorIndents/>
        <w:jc w:val="both"/>
        <w:rPr>
          <w:rFonts w:asciiTheme="majorHAnsi" w:hAnsiTheme="majorHAnsi"/>
          <w:b/>
          <w:bCs/>
          <w:i/>
          <w:iCs/>
          <w:sz w:val="20"/>
          <w:szCs w:val="20"/>
        </w:rPr>
      </w:pPr>
      <w:r w:rsidRPr="000977F7">
        <w:rPr>
          <w:rFonts w:asciiTheme="majorHAnsi" w:hAnsiTheme="majorHAnsi"/>
          <w:i/>
          <w:iCs/>
          <w:sz w:val="20"/>
          <w:szCs w:val="20"/>
        </w:rPr>
        <w:t>ДСТУ EN ISO 12100:2016</w:t>
      </w:r>
    </w:p>
    <w:p w14:paraId="0DC151C3"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bookmarkStart w:id="59" w:name="_Hlk103225467"/>
      <w:r w:rsidRPr="000977F7">
        <w:rPr>
          <w:color w:val="auto"/>
          <w:sz w:val="20"/>
          <w:szCs w:val="20"/>
        </w:rPr>
        <w:t>ЗАСТОСУВАННЯ</w:t>
      </w:r>
      <w:bookmarkEnd w:id="59"/>
      <w:r w:rsidRPr="000977F7">
        <w:rPr>
          <w:color w:val="auto"/>
          <w:spacing w:val="1"/>
          <w:sz w:val="20"/>
          <w:szCs w:val="20"/>
        </w:rPr>
        <w:t xml:space="preserve"> </w:t>
      </w:r>
      <w:r w:rsidRPr="000977F7">
        <w:rPr>
          <w:color w:val="auto"/>
          <w:sz w:val="20"/>
          <w:szCs w:val="20"/>
        </w:rPr>
        <w:t>НАЦІОНАЛЬНИХ</w:t>
      </w:r>
      <w:r w:rsidRPr="000977F7">
        <w:rPr>
          <w:color w:val="auto"/>
          <w:spacing w:val="1"/>
          <w:sz w:val="20"/>
          <w:szCs w:val="20"/>
        </w:rPr>
        <w:t xml:space="preserve"> </w:t>
      </w:r>
      <w:r w:rsidRPr="000977F7">
        <w:rPr>
          <w:color w:val="auto"/>
          <w:sz w:val="20"/>
          <w:szCs w:val="20"/>
        </w:rPr>
        <w:t>СТАНДАРТІВ</w:t>
      </w:r>
      <w:r w:rsidRPr="000977F7">
        <w:rPr>
          <w:color w:val="auto"/>
          <w:spacing w:val="-2"/>
          <w:sz w:val="20"/>
          <w:szCs w:val="20"/>
        </w:rPr>
        <w:t xml:space="preserve"> </w:t>
      </w:r>
      <w:r w:rsidRPr="000977F7">
        <w:rPr>
          <w:color w:val="auto"/>
          <w:sz w:val="20"/>
          <w:szCs w:val="20"/>
        </w:rPr>
        <w:t>ТА</w:t>
      </w:r>
      <w:r w:rsidRPr="000977F7">
        <w:rPr>
          <w:color w:val="auto"/>
          <w:spacing w:val="-2"/>
          <w:sz w:val="20"/>
          <w:szCs w:val="20"/>
        </w:rPr>
        <w:t xml:space="preserve"> </w:t>
      </w:r>
      <w:r w:rsidRPr="000977F7">
        <w:rPr>
          <w:color w:val="auto"/>
          <w:sz w:val="20"/>
          <w:szCs w:val="20"/>
        </w:rPr>
        <w:t>КОДЕКСІВ</w:t>
      </w:r>
      <w:r w:rsidRPr="000977F7">
        <w:rPr>
          <w:color w:val="auto"/>
          <w:spacing w:val="-1"/>
          <w:sz w:val="20"/>
          <w:szCs w:val="20"/>
        </w:rPr>
        <w:t xml:space="preserve"> </w:t>
      </w:r>
      <w:r w:rsidRPr="000977F7">
        <w:rPr>
          <w:color w:val="auto"/>
          <w:sz w:val="20"/>
          <w:szCs w:val="20"/>
        </w:rPr>
        <w:t>УСТАЛЕНОЇ</w:t>
      </w:r>
      <w:r w:rsidRPr="000977F7">
        <w:rPr>
          <w:color w:val="auto"/>
          <w:spacing w:val="-3"/>
          <w:sz w:val="20"/>
          <w:szCs w:val="20"/>
        </w:rPr>
        <w:t xml:space="preserve"> </w:t>
      </w:r>
      <w:r w:rsidRPr="000977F7">
        <w:rPr>
          <w:color w:val="auto"/>
          <w:sz w:val="20"/>
          <w:szCs w:val="20"/>
        </w:rPr>
        <w:t>ПРАКТИКИ</w:t>
      </w:r>
      <w:r w:rsidRPr="000977F7">
        <w:rPr>
          <w:color w:val="auto"/>
          <w:spacing w:val="2"/>
          <w:sz w:val="20"/>
          <w:szCs w:val="20"/>
        </w:rPr>
        <w:t xml:space="preserve"> </w:t>
      </w:r>
      <w:r w:rsidRPr="000977F7">
        <w:rPr>
          <w:b w:val="0"/>
          <w:color w:val="auto"/>
          <w:sz w:val="20"/>
          <w:szCs w:val="20"/>
        </w:rPr>
        <w:t>-</w:t>
      </w:r>
    </w:p>
    <w:p w14:paraId="4C6A681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Національні стандарти та кодекси усталеної практики</w:t>
      </w:r>
      <w:r w:rsidRPr="000977F7">
        <w:rPr>
          <w:rFonts w:asciiTheme="majorHAnsi" w:hAnsiTheme="majorHAnsi"/>
          <w:spacing w:val="-47"/>
          <w:sz w:val="20"/>
          <w:szCs w:val="20"/>
        </w:rPr>
        <w:t xml:space="preserve"> </w:t>
      </w:r>
      <w:r w:rsidRPr="000977F7">
        <w:rPr>
          <w:rFonts w:asciiTheme="majorHAnsi" w:hAnsiTheme="majorHAnsi"/>
          <w:sz w:val="20"/>
          <w:szCs w:val="20"/>
        </w:rPr>
        <w:t>застосовуються безпосередньо чи шляхом посилання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них</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документах.</w:t>
      </w:r>
    </w:p>
    <w:p w14:paraId="2927909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Національні стандарти та кодекси усталеної практики застосовуються на добровільній основі, крім випадків, якщо обов’язковість їх застосування встановлена </w:t>
      </w:r>
      <w:r w:rsidRPr="000977F7">
        <w:rPr>
          <w:rFonts w:asciiTheme="majorHAnsi" w:hAnsiTheme="majorHAnsi"/>
          <w:spacing w:val="-47"/>
          <w:sz w:val="20"/>
          <w:szCs w:val="20"/>
        </w:rPr>
        <w:t xml:space="preserve"> </w:t>
      </w:r>
      <w:r w:rsidRPr="000977F7">
        <w:rPr>
          <w:rFonts w:asciiTheme="majorHAnsi" w:hAnsiTheme="majorHAnsi"/>
          <w:sz w:val="20"/>
          <w:szCs w:val="20"/>
        </w:rPr>
        <w:t>нормативно-правовими</w:t>
      </w:r>
      <w:r w:rsidRPr="000977F7">
        <w:rPr>
          <w:rFonts w:asciiTheme="majorHAnsi" w:hAnsiTheme="majorHAnsi"/>
          <w:spacing w:val="-2"/>
          <w:sz w:val="20"/>
          <w:szCs w:val="20"/>
        </w:rPr>
        <w:t xml:space="preserve"> </w:t>
      </w:r>
      <w:r w:rsidRPr="000977F7">
        <w:rPr>
          <w:rFonts w:asciiTheme="majorHAnsi" w:hAnsiTheme="majorHAnsi"/>
          <w:sz w:val="20"/>
          <w:szCs w:val="20"/>
        </w:rPr>
        <w:t>актами.</w:t>
      </w:r>
    </w:p>
    <w:p w14:paraId="6DE3F6E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Національний орган стандартизації забезпечує розміщення на офіційному веб-сайті текстів національних</w:t>
      </w:r>
      <w:r w:rsidRPr="000977F7">
        <w:rPr>
          <w:rFonts w:asciiTheme="majorHAnsi" w:hAnsiTheme="majorHAnsi"/>
          <w:spacing w:val="1"/>
          <w:sz w:val="20"/>
          <w:szCs w:val="20"/>
        </w:rPr>
        <w:t xml:space="preserve"> </w:t>
      </w:r>
      <w:r w:rsidRPr="000977F7">
        <w:rPr>
          <w:rFonts w:asciiTheme="majorHAnsi" w:hAnsiTheme="majorHAnsi"/>
          <w:sz w:val="20"/>
          <w:szCs w:val="20"/>
        </w:rPr>
        <w:t>стандартів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кодексів</w:t>
      </w:r>
      <w:r w:rsidRPr="000977F7">
        <w:rPr>
          <w:rFonts w:asciiTheme="majorHAnsi" w:hAnsiTheme="majorHAnsi"/>
          <w:spacing w:val="1"/>
          <w:sz w:val="20"/>
          <w:szCs w:val="20"/>
        </w:rPr>
        <w:t xml:space="preserve"> </w:t>
      </w:r>
      <w:r w:rsidRPr="000977F7">
        <w:rPr>
          <w:rFonts w:asciiTheme="majorHAnsi" w:hAnsiTheme="majorHAnsi"/>
          <w:sz w:val="20"/>
          <w:szCs w:val="20"/>
        </w:rPr>
        <w:t>усталеної</w:t>
      </w:r>
      <w:r w:rsidRPr="000977F7">
        <w:rPr>
          <w:rFonts w:asciiTheme="majorHAnsi" w:hAnsiTheme="majorHAnsi"/>
          <w:spacing w:val="1"/>
          <w:sz w:val="20"/>
          <w:szCs w:val="20"/>
        </w:rPr>
        <w:t xml:space="preserve"> </w:t>
      </w:r>
      <w:r w:rsidRPr="000977F7">
        <w:rPr>
          <w:rFonts w:asciiTheme="majorHAnsi" w:hAnsiTheme="majorHAnsi"/>
          <w:sz w:val="20"/>
          <w:szCs w:val="20"/>
        </w:rPr>
        <w:t>практики,</w:t>
      </w:r>
      <w:r w:rsidRPr="000977F7">
        <w:rPr>
          <w:rFonts w:asciiTheme="majorHAnsi" w:hAnsiTheme="majorHAnsi"/>
          <w:spacing w:val="1"/>
          <w:sz w:val="20"/>
          <w:szCs w:val="20"/>
        </w:rPr>
        <w:t xml:space="preserve"> </w:t>
      </w:r>
      <w:r w:rsidRPr="000977F7">
        <w:rPr>
          <w:rFonts w:asciiTheme="majorHAnsi" w:hAnsiTheme="majorHAnsi"/>
          <w:sz w:val="20"/>
          <w:szCs w:val="20"/>
        </w:rPr>
        <w:t>обов’язковість застосування яких установлена нормативно-правовими актами, не пізніше ніж через 30 календарних днів з дня офіційного опублікування таких</w:t>
      </w:r>
      <w:r w:rsidRPr="000977F7">
        <w:rPr>
          <w:rFonts w:asciiTheme="majorHAnsi" w:hAnsiTheme="majorHAnsi"/>
          <w:spacing w:val="1"/>
          <w:sz w:val="20"/>
          <w:szCs w:val="20"/>
        </w:rPr>
        <w:t xml:space="preserve"> </w:t>
      </w:r>
      <w:r w:rsidRPr="000977F7">
        <w:rPr>
          <w:rFonts w:asciiTheme="majorHAnsi" w:hAnsiTheme="majorHAnsi"/>
          <w:sz w:val="20"/>
          <w:szCs w:val="20"/>
        </w:rPr>
        <w:t>актів з безоплатним доступом до зазначених національних</w:t>
      </w:r>
      <w:r w:rsidRPr="000977F7">
        <w:rPr>
          <w:rFonts w:asciiTheme="majorHAnsi" w:hAnsiTheme="majorHAnsi"/>
          <w:spacing w:val="-3"/>
          <w:sz w:val="20"/>
          <w:szCs w:val="20"/>
        </w:rPr>
        <w:t xml:space="preserve"> </w:t>
      </w:r>
      <w:r w:rsidRPr="000977F7">
        <w:rPr>
          <w:rFonts w:asciiTheme="majorHAnsi" w:hAnsiTheme="majorHAnsi"/>
          <w:sz w:val="20"/>
          <w:szCs w:val="20"/>
        </w:rPr>
        <w:t>стандартів та</w:t>
      </w:r>
      <w:r w:rsidRPr="000977F7">
        <w:rPr>
          <w:rFonts w:asciiTheme="majorHAnsi" w:hAnsiTheme="majorHAnsi"/>
          <w:spacing w:val="-1"/>
          <w:sz w:val="20"/>
          <w:szCs w:val="20"/>
        </w:rPr>
        <w:t xml:space="preserve"> </w:t>
      </w:r>
      <w:r w:rsidRPr="000977F7">
        <w:rPr>
          <w:rFonts w:asciiTheme="majorHAnsi" w:hAnsiTheme="majorHAnsi"/>
          <w:sz w:val="20"/>
          <w:szCs w:val="20"/>
        </w:rPr>
        <w:t>кодексів</w:t>
      </w:r>
      <w:r w:rsidRPr="000977F7">
        <w:rPr>
          <w:rFonts w:asciiTheme="majorHAnsi" w:hAnsiTheme="majorHAnsi"/>
          <w:spacing w:val="2"/>
          <w:sz w:val="20"/>
          <w:szCs w:val="20"/>
        </w:rPr>
        <w:t xml:space="preserve"> </w:t>
      </w:r>
      <w:r w:rsidRPr="000977F7">
        <w:rPr>
          <w:rFonts w:asciiTheme="majorHAnsi" w:hAnsiTheme="majorHAnsi"/>
          <w:sz w:val="20"/>
          <w:szCs w:val="20"/>
        </w:rPr>
        <w:t>усталеної</w:t>
      </w:r>
      <w:r w:rsidRPr="000977F7">
        <w:rPr>
          <w:rFonts w:asciiTheme="majorHAnsi" w:hAnsiTheme="majorHAnsi"/>
          <w:spacing w:val="-3"/>
          <w:sz w:val="20"/>
          <w:szCs w:val="20"/>
        </w:rPr>
        <w:t xml:space="preserve"> </w:t>
      </w:r>
      <w:r w:rsidRPr="000977F7">
        <w:rPr>
          <w:rFonts w:asciiTheme="majorHAnsi" w:hAnsiTheme="majorHAnsi"/>
          <w:sz w:val="20"/>
          <w:szCs w:val="20"/>
        </w:rPr>
        <w:t>практики.</w:t>
      </w:r>
    </w:p>
    <w:p w14:paraId="5D84FA2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Центральний орган виконавчої влади, що забезпечує</w:t>
      </w:r>
      <w:r w:rsidRPr="000977F7">
        <w:rPr>
          <w:rFonts w:asciiTheme="majorHAnsi" w:hAnsiTheme="majorHAnsi"/>
          <w:spacing w:val="1"/>
          <w:sz w:val="20"/>
          <w:szCs w:val="20"/>
        </w:rPr>
        <w:t xml:space="preserve"> </w:t>
      </w:r>
      <w:r w:rsidRPr="000977F7">
        <w:rPr>
          <w:rFonts w:asciiTheme="majorHAnsi" w:hAnsiTheme="majorHAnsi"/>
          <w:sz w:val="20"/>
          <w:szCs w:val="20"/>
        </w:rPr>
        <w:t>формування державної політики з питань національної безпеки у воєнній сфері, сфері оборони і військового</w:t>
      </w:r>
      <w:r w:rsidRPr="000977F7">
        <w:rPr>
          <w:rFonts w:asciiTheme="majorHAnsi" w:hAnsiTheme="majorHAnsi"/>
          <w:spacing w:val="1"/>
          <w:sz w:val="20"/>
          <w:szCs w:val="20"/>
        </w:rPr>
        <w:t xml:space="preserve"> </w:t>
      </w:r>
      <w:r w:rsidRPr="000977F7">
        <w:rPr>
          <w:rFonts w:asciiTheme="majorHAnsi" w:hAnsiTheme="majorHAnsi"/>
          <w:sz w:val="20"/>
          <w:szCs w:val="20"/>
        </w:rPr>
        <w:t>будівництва,</w:t>
      </w:r>
      <w:r w:rsidRPr="000977F7">
        <w:rPr>
          <w:rFonts w:asciiTheme="majorHAnsi" w:hAnsiTheme="majorHAnsi"/>
          <w:spacing w:val="1"/>
          <w:sz w:val="20"/>
          <w:szCs w:val="20"/>
        </w:rPr>
        <w:t xml:space="preserve"> </w:t>
      </w:r>
      <w:r w:rsidRPr="000977F7">
        <w:rPr>
          <w:rFonts w:asciiTheme="majorHAnsi" w:hAnsiTheme="majorHAnsi"/>
          <w:sz w:val="20"/>
          <w:szCs w:val="20"/>
        </w:rPr>
        <w:t>враховуючи</w:t>
      </w:r>
      <w:r w:rsidRPr="000977F7">
        <w:rPr>
          <w:rFonts w:asciiTheme="majorHAnsi" w:hAnsiTheme="majorHAnsi"/>
          <w:spacing w:val="1"/>
          <w:sz w:val="20"/>
          <w:szCs w:val="20"/>
        </w:rPr>
        <w:t xml:space="preserve"> </w:t>
      </w:r>
      <w:r w:rsidRPr="000977F7">
        <w:rPr>
          <w:rFonts w:asciiTheme="majorHAnsi" w:hAnsiTheme="majorHAnsi"/>
          <w:sz w:val="20"/>
          <w:szCs w:val="20"/>
        </w:rPr>
        <w:t>особливості</w:t>
      </w:r>
      <w:r w:rsidRPr="000977F7">
        <w:rPr>
          <w:rFonts w:asciiTheme="majorHAnsi" w:hAnsiTheme="majorHAnsi"/>
          <w:spacing w:val="51"/>
          <w:sz w:val="20"/>
          <w:szCs w:val="20"/>
        </w:rPr>
        <w:t xml:space="preserve"> </w:t>
      </w:r>
      <w:r w:rsidRPr="000977F7">
        <w:rPr>
          <w:rFonts w:asciiTheme="majorHAnsi" w:hAnsiTheme="majorHAnsi"/>
          <w:sz w:val="20"/>
          <w:szCs w:val="20"/>
        </w:rPr>
        <w:t>таких</w:t>
      </w:r>
      <w:r w:rsidRPr="000977F7">
        <w:rPr>
          <w:rFonts w:asciiTheme="majorHAnsi" w:hAnsiTheme="majorHAnsi"/>
          <w:spacing w:val="1"/>
          <w:sz w:val="20"/>
          <w:szCs w:val="20"/>
        </w:rPr>
        <w:t xml:space="preserve"> </w:t>
      </w:r>
      <w:r w:rsidRPr="000977F7">
        <w:rPr>
          <w:rFonts w:asciiTheme="majorHAnsi" w:hAnsiTheme="majorHAnsi"/>
          <w:sz w:val="20"/>
          <w:szCs w:val="20"/>
        </w:rPr>
        <w:t>сфер,</w:t>
      </w:r>
      <w:r w:rsidRPr="000977F7">
        <w:rPr>
          <w:rFonts w:asciiTheme="majorHAnsi" w:hAnsiTheme="majorHAnsi"/>
          <w:spacing w:val="1"/>
          <w:sz w:val="20"/>
          <w:szCs w:val="20"/>
        </w:rPr>
        <w:t xml:space="preserve"> </w:t>
      </w:r>
      <w:r w:rsidRPr="000977F7">
        <w:rPr>
          <w:rFonts w:asciiTheme="majorHAnsi" w:hAnsiTheme="majorHAnsi"/>
          <w:sz w:val="20"/>
          <w:szCs w:val="20"/>
        </w:rPr>
        <w:t>визначає</w:t>
      </w:r>
      <w:r w:rsidRPr="000977F7">
        <w:rPr>
          <w:rFonts w:asciiTheme="majorHAnsi" w:hAnsiTheme="majorHAnsi"/>
          <w:spacing w:val="1"/>
          <w:sz w:val="20"/>
          <w:szCs w:val="20"/>
        </w:rPr>
        <w:t xml:space="preserve"> </w:t>
      </w:r>
      <w:r w:rsidRPr="000977F7">
        <w:rPr>
          <w:rFonts w:asciiTheme="majorHAnsi" w:hAnsiTheme="majorHAnsi"/>
          <w:sz w:val="20"/>
          <w:szCs w:val="20"/>
        </w:rPr>
        <w:t>порядок</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національних</w:t>
      </w:r>
      <w:r w:rsidRPr="000977F7">
        <w:rPr>
          <w:rFonts w:asciiTheme="majorHAnsi" w:hAnsiTheme="majorHAnsi"/>
          <w:spacing w:val="1"/>
          <w:sz w:val="20"/>
          <w:szCs w:val="20"/>
        </w:rPr>
        <w:t xml:space="preserve"> </w:t>
      </w:r>
      <w:r w:rsidRPr="000977F7">
        <w:rPr>
          <w:rFonts w:asciiTheme="majorHAnsi" w:hAnsiTheme="majorHAnsi"/>
          <w:sz w:val="20"/>
          <w:szCs w:val="20"/>
        </w:rPr>
        <w:t xml:space="preserve">стандартів та кодексів усталеної </w:t>
      </w:r>
      <w:r w:rsidRPr="000977F7">
        <w:rPr>
          <w:rFonts w:asciiTheme="majorHAnsi" w:hAnsiTheme="majorHAnsi"/>
          <w:sz w:val="20"/>
          <w:szCs w:val="20"/>
        </w:rPr>
        <w:t>практики для забезпечення потреб оборони України відповідно до покладених</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нього</w:t>
      </w:r>
      <w:r w:rsidRPr="000977F7">
        <w:rPr>
          <w:rFonts w:asciiTheme="majorHAnsi" w:hAnsiTheme="majorHAnsi"/>
          <w:spacing w:val="1"/>
          <w:sz w:val="20"/>
          <w:szCs w:val="20"/>
        </w:rPr>
        <w:t xml:space="preserve"> </w:t>
      </w:r>
      <w:r w:rsidRPr="000977F7">
        <w:rPr>
          <w:rFonts w:asciiTheme="majorHAnsi" w:hAnsiTheme="majorHAnsi"/>
          <w:sz w:val="20"/>
          <w:szCs w:val="20"/>
        </w:rPr>
        <w:t>завдань.</w:t>
      </w:r>
    </w:p>
    <w:p w14:paraId="517C8C9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Ст.23</w:t>
      </w:r>
      <w:r w:rsidRPr="000977F7">
        <w:rPr>
          <w:rFonts w:asciiTheme="majorHAnsi" w:hAnsiTheme="majorHAnsi"/>
          <w:i/>
          <w:spacing w:val="-2"/>
          <w:sz w:val="20"/>
          <w:szCs w:val="20"/>
        </w:rPr>
        <w:t xml:space="preserve"> </w:t>
      </w:r>
      <w:r w:rsidRPr="000977F7">
        <w:rPr>
          <w:rFonts w:asciiTheme="majorHAnsi" w:hAnsiTheme="majorHAnsi"/>
          <w:i/>
          <w:sz w:val="20"/>
          <w:szCs w:val="20"/>
        </w:rPr>
        <w:t>закону</w:t>
      </w:r>
      <w:r w:rsidRPr="000977F7">
        <w:rPr>
          <w:rFonts w:asciiTheme="majorHAnsi" w:hAnsiTheme="majorHAnsi"/>
          <w:i/>
          <w:spacing w:val="-4"/>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3"/>
          <w:sz w:val="20"/>
          <w:szCs w:val="20"/>
        </w:rPr>
        <w:t xml:space="preserve"> "</w:t>
      </w:r>
      <w:r w:rsidRPr="000977F7">
        <w:rPr>
          <w:rFonts w:asciiTheme="majorHAnsi" w:hAnsiTheme="majorHAnsi"/>
          <w:i/>
          <w:sz w:val="20"/>
          <w:szCs w:val="20"/>
        </w:rPr>
        <w:t>Про</w:t>
      </w:r>
      <w:r w:rsidRPr="000977F7">
        <w:rPr>
          <w:rFonts w:asciiTheme="majorHAnsi" w:hAnsiTheme="majorHAnsi"/>
          <w:i/>
          <w:spacing w:val="-4"/>
          <w:sz w:val="20"/>
          <w:szCs w:val="20"/>
        </w:rPr>
        <w:t xml:space="preserve"> </w:t>
      </w:r>
      <w:r w:rsidRPr="000977F7">
        <w:rPr>
          <w:rFonts w:asciiTheme="majorHAnsi" w:hAnsiTheme="majorHAnsi"/>
          <w:i/>
          <w:sz w:val="20"/>
          <w:szCs w:val="20"/>
        </w:rPr>
        <w:t>стандартизацію"</w:t>
      </w:r>
    </w:p>
    <w:p w14:paraId="322A7D6F"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ЗАСТОСУВАННЯ НОРМАТИВНОГО ДОКУМЕНТА</w:t>
      </w:r>
      <w:r w:rsidRPr="000977F7">
        <w:rPr>
          <w:color w:val="auto"/>
          <w:spacing w:val="-1"/>
          <w:sz w:val="20"/>
          <w:szCs w:val="20"/>
        </w:rPr>
        <w:t xml:space="preserve"> </w:t>
      </w:r>
      <w:r w:rsidRPr="000977F7">
        <w:rPr>
          <w:b w:val="0"/>
          <w:color w:val="auto"/>
          <w:sz w:val="20"/>
          <w:szCs w:val="20"/>
        </w:rPr>
        <w:t>–</w:t>
      </w:r>
    </w:p>
    <w:p w14:paraId="231AD97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APPLICATION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 A</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NORMATIVE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DOCUMENT</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5815E2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Використання будь-якого нормативного документа у</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виробництві,</w:t>
      </w:r>
      <w:r w:rsidRPr="000977F7">
        <w:rPr>
          <w:rFonts w:asciiTheme="majorHAnsi" w:hAnsiTheme="majorHAnsi"/>
          <w:spacing w:val="1"/>
          <w:sz w:val="20"/>
          <w:szCs w:val="20"/>
        </w:rPr>
        <w:t xml:space="preserve"> </w:t>
      </w:r>
      <w:r w:rsidRPr="000977F7">
        <w:rPr>
          <w:rFonts w:asciiTheme="majorHAnsi" w:hAnsiTheme="majorHAnsi"/>
          <w:sz w:val="20"/>
          <w:szCs w:val="20"/>
        </w:rPr>
        <w:t>торгівлі</w:t>
      </w:r>
      <w:r w:rsidRPr="000977F7">
        <w:rPr>
          <w:rFonts w:asciiTheme="majorHAnsi" w:hAnsiTheme="majorHAnsi"/>
          <w:spacing w:val="-1"/>
          <w:sz w:val="20"/>
          <w:szCs w:val="20"/>
        </w:rPr>
        <w:t xml:space="preserve"> </w:t>
      </w:r>
      <w:r w:rsidRPr="000977F7">
        <w:rPr>
          <w:rFonts w:asciiTheme="majorHAnsi" w:hAnsiTheme="majorHAnsi"/>
          <w:sz w:val="20"/>
          <w:szCs w:val="20"/>
        </w:rPr>
        <w:t>і ін.</w:t>
      </w:r>
    </w:p>
    <w:p w14:paraId="5A8FF5E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ЗАСТОСУВАННЯ</w:t>
      </w:r>
      <w:r w:rsidRPr="000977F7">
        <w:rPr>
          <w:color w:val="auto"/>
          <w:spacing w:val="-6"/>
          <w:sz w:val="20"/>
          <w:szCs w:val="20"/>
        </w:rPr>
        <w:t xml:space="preserve"> </w:t>
      </w:r>
      <w:r w:rsidRPr="000977F7">
        <w:rPr>
          <w:color w:val="auto"/>
          <w:sz w:val="20"/>
          <w:szCs w:val="20"/>
        </w:rPr>
        <w:t>ЦИКЛУ</w:t>
      </w:r>
      <w:r w:rsidRPr="000977F7">
        <w:rPr>
          <w:color w:val="auto"/>
          <w:spacing w:val="-5"/>
          <w:sz w:val="20"/>
          <w:szCs w:val="20"/>
        </w:rPr>
        <w:t xml:space="preserve"> </w:t>
      </w:r>
      <w:r w:rsidRPr="000977F7">
        <w:rPr>
          <w:color w:val="auto"/>
          <w:sz w:val="20"/>
          <w:szCs w:val="20"/>
        </w:rPr>
        <w:t>ПОЛІПШЕННЯ</w:t>
      </w:r>
      <w:r w:rsidRPr="000977F7">
        <w:rPr>
          <w:color w:val="auto"/>
          <w:spacing w:val="-2"/>
          <w:sz w:val="20"/>
          <w:szCs w:val="20"/>
        </w:rPr>
        <w:t xml:space="preserve"> </w:t>
      </w:r>
      <w:r w:rsidRPr="000977F7">
        <w:rPr>
          <w:color w:val="auto"/>
          <w:sz w:val="20"/>
          <w:szCs w:val="20"/>
        </w:rPr>
        <w:t>–</w:t>
      </w:r>
    </w:p>
    <w:p w14:paraId="5FD9A5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Постійним поліпшенням називають дії, які здійснюються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підвищення</w:t>
      </w:r>
      <w:r w:rsidRPr="000977F7">
        <w:rPr>
          <w:rFonts w:asciiTheme="majorHAnsi" w:hAnsiTheme="majorHAnsi"/>
          <w:spacing w:val="1"/>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w:t>
      </w:r>
      <w:r w:rsidRPr="000977F7">
        <w:rPr>
          <w:rFonts w:asciiTheme="majorHAnsi" w:hAnsiTheme="majorHAnsi"/>
          <w:spacing w:val="-47"/>
          <w:sz w:val="20"/>
          <w:szCs w:val="20"/>
        </w:rPr>
        <w:t xml:space="preserve"> </w:t>
      </w:r>
      <w:r w:rsidRPr="000977F7">
        <w:rPr>
          <w:rFonts w:asciiTheme="majorHAnsi" w:hAnsiTheme="majorHAnsi"/>
          <w:sz w:val="20"/>
          <w:szCs w:val="20"/>
        </w:rPr>
        <w:t>продукції і (або) підсилення результативності та ефективності процесів, які застосовуються для її 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поставки.</w:t>
      </w:r>
      <w:r w:rsidRPr="000977F7">
        <w:rPr>
          <w:rFonts w:asciiTheme="majorHAnsi" w:hAnsiTheme="majorHAnsi"/>
          <w:spacing w:val="1"/>
          <w:sz w:val="20"/>
          <w:szCs w:val="20"/>
        </w:rPr>
        <w:t xml:space="preserve"> </w:t>
      </w:r>
      <w:r w:rsidRPr="000977F7">
        <w:rPr>
          <w:rFonts w:asciiTheme="majorHAnsi" w:hAnsiTheme="majorHAnsi"/>
          <w:sz w:val="20"/>
          <w:szCs w:val="20"/>
        </w:rPr>
        <w:t>Цикл процесу поліпшення</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включати:</w:t>
      </w:r>
    </w:p>
    <w:p w14:paraId="3BBA0E6D" w14:textId="77777777" w:rsidR="0097612F" w:rsidRPr="000977F7" w:rsidRDefault="0097612F" w:rsidP="00FD39A4">
      <w:pPr>
        <w:pStyle w:val="ac"/>
        <w:widowControl w:val="0"/>
        <w:numPr>
          <w:ilvl w:val="0"/>
          <w:numId w:val="177"/>
        </w:numPr>
        <w:tabs>
          <w:tab w:val="left" w:pos="284"/>
          <w:tab w:val="left" w:pos="677"/>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визначення,</w:t>
      </w:r>
      <w:r w:rsidRPr="000977F7">
        <w:rPr>
          <w:rFonts w:asciiTheme="majorHAnsi" w:hAnsiTheme="majorHAnsi"/>
          <w:spacing w:val="-4"/>
          <w:sz w:val="20"/>
          <w:szCs w:val="20"/>
        </w:rPr>
        <w:t xml:space="preserve"> </w:t>
      </w:r>
      <w:r w:rsidRPr="000977F7">
        <w:rPr>
          <w:rFonts w:asciiTheme="majorHAnsi" w:hAnsiTheme="majorHAnsi"/>
          <w:sz w:val="20"/>
          <w:szCs w:val="20"/>
        </w:rPr>
        <w:t>оцінка</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4"/>
          <w:sz w:val="20"/>
          <w:szCs w:val="20"/>
        </w:rPr>
        <w:t xml:space="preserve"> </w:t>
      </w:r>
      <w:r w:rsidRPr="000977F7">
        <w:rPr>
          <w:rFonts w:asciiTheme="majorHAnsi" w:hAnsiTheme="majorHAnsi"/>
          <w:sz w:val="20"/>
          <w:szCs w:val="20"/>
        </w:rPr>
        <w:t>аналіз</w:t>
      </w:r>
      <w:r w:rsidRPr="000977F7">
        <w:rPr>
          <w:rFonts w:asciiTheme="majorHAnsi" w:hAnsiTheme="majorHAnsi"/>
          <w:spacing w:val="-2"/>
          <w:sz w:val="20"/>
          <w:szCs w:val="20"/>
        </w:rPr>
        <w:t xml:space="preserve"> </w:t>
      </w:r>
      <w:r w:rsidRPr="000977F7">
        <w:rPr>
          <w:rFonts w:asciiTheme="majorHAnsi" w:hAnsiTheme="majorHAnsi"/>
          <w:sz w:val="20"/>
          <w:szCs w:val="20"/>
        </w:rPr>
        <w:t>існуючої</w:t>
      </w:r>
      <w:r w:rsidRPr="000977F7">
        <w:rPr>
          <w:rFonts w:asciiTheme="majorHAnsi" w:hAnsiTheme="majorHAnsi"/>
          <w:spacing w:val="-5"/>
          <w:sz w:val="20"/>
          <w:szCs w:val="20"/>
        </w:rPr>
        <w:t xml:space="preserve"> </w:t>
      </w:r>
      <w:r w:rsidRPr="000977F7">
        <w:rPr>
          <w:rFonts w:asciiTheme="majorHAnsi" w:hAnsiTheme="majorHAnsi"/>
          <w:sz w:val="20"/>
          <w:szCs w:val="20"/>
        </w:rPr>
        <w:t>ситуації;</w:t>
      </w:r>
    </w:p>
    <w:p w14:paraId="6BC82F7B" w14:textId="77777777" w:rsidR="0097612F" w:rsidRPr="000977F7" w:rsidRDefault="0097612F" w:rsidP="00FD39A4">
      <w:pPr>
        <w:pStyle w:val="ac"/>
        <w:widowControl w:val="0"/>
        <w:numPr>
          <w:ilvl w:val="0"/>
          <w:numId w:val="177"/>
        </w:numPr>
        <w:tabs>
          <w:tab w:val="left" w:pos="284"/>
          <w:tab w:val="left" w:pos="677"/>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встановлення</w:t>
      </w:r>
      <w:r w:rsidRPr="000977F7">
        <w:rPr>
          <w:rFonts w:asciiTheme="majorHAnsi" w:hAnsiTheme="majorHAnsi"/>
          <w:spacing w:val="-5"/>
          <w:sz w:val="20"/>
          <w:szCs w:val="20"/>
        </w:rPr>
        <w:t xml:space="preserve"> </w:t>
      </w:r>
      <w:r w:rsidRPr="000977F7">
        <w:rPr>
          <w:rFonts w:asciiTheme="majorHAnsi" w:hAnsiTheme="majorHAnsi"/>
          <w:sz w:val="20"/>
          <w:szCs w:val="20"/>
        </w:rPr>
        <w:t>мети</w:t>
      </w:r>
      <w:r w:rsidRPr="000977F7">
        <w:rPr>
          <w:rFonts w:asciiTheme="majorHAnsi" w:hAnsiTheme="majorHAnsi"/>
          <w:spacing w:val="-4"/>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поліпшення</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79D27140" w14:textId="77777777" w:rsidR="0097612F" w:rsidRPr="000977F7" w:rsidRDefault="0097612F" w:rsidP="00FD39A4">
      <w:pPr>
        <w:pStyle w:val="ac"/>
        <w:widowControl w:val="0"/>
        <w:numPr>
          <w:ilvl w:val="0"/>
          <w:numId w:val="177"/>
        </w:numPr>
        <w:tabs>
          <w:tab w:val="left" w:pos="284"/>
          <w:tab w:val="left" w:pos="677"/>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пошук</w:t>
      </w:r>
      <w:r w:rsidRPr="000977F7">
        <w:rPr>
          <w:rFonts w:asciiTheme="majorHAnsi" w:hAnsiTheme="majorHAnsi"/>
          <w:spacing w:val="-5"/>
          <w:sz w:val="20"/>
          <w:szCs w:val="20"/>
        </w:rPr>
        <w:t xml:space="preserve"> </w:t>
      </w:r>
      <w:r w:rsidRPr="000977F7">
        <w:rPr>
          <w:rFonts w:asciiTheme="majorHAnsi" w:hAnsiTheme="majorHAnsi"/>
          <w:sz w:val="20"/>
          <w:szCs w:val="20"/>
        </w:rPr>
        <w:t>можливих</w:t>
      </w:r>
      <w:r w:rsidRPr="000977F7">
        <w:rPr>
          <w:rFonts w:asciiTheme="majorHAnsi" w:hAnsiTheme="majorHAnsi"/>
          <w:spacing w:val="-4"/>
          <w:sz w:val="20"/>
          <w:szCs w:val="20"/>
        </w:rPr>
        <w:t xml:space="preserve"> </w:t>
      </w:r>
      <w:r w:rsidRPr="000977F7">
        <w:rPr>
          <w:rFonts w:asciiTheme="majorHAnsi" w:hAnsiTheme="majorHAnsi"/>
          <w:sz w:val="20"/>
          <w:szCs w:val="20"/>
        </w:rPr>
        <w:t>рішень;</w:t>
      </w:r>
    </w:p>
    <w:p w14:paraId="194F8FED" w14:textId="77777777" w:rsidR="0097612F" w:rsidRPr="000977F7" w:rsidRDefault="0097612F" w:rsidP="00FD39A4">
      <w:pPr>
        <w:pStyle w:val="ac"/>
        <w:widowControl w:val="0"/>
        <w:numPr>
          <w:ilvl w:val="0"/>
          <w:numId w:val="177"/>
        </w:numPr>
        <w:tabs>
          <w:tab w:val="left" w:pos="284"/>
          <w:tab w:val="left" w:pos="677"/>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оцінка</w:t>
      </w:r>
      <w:r w:rsidRPr="000977F7">
        <w:rPr>
          <w:rFonts w:asciiTheme="majorHAnsi" w:hAnsiTheme="majorHAnsi"/>
          <w:spacing w:val="-3"/>
          <w:sz w:val="20"/>
          <w:szCs w:val="20"/>
        </w:rPr>
        <w:t xml:space="preserve"> </w:t>
      </w:r>
      <w:r w:rsidRPr="000977F7">
        <w:rPr>
          <w:rFonts w:asciiTheme="majorHAnsi" w:hAnsiTheme="majorHAnsi"/>
          <w:sz w:val="20"/>
          <w:szCs w:val="20"/>
        </w:rPr>
        <w:t>цих</w:t>
      </w:r>
      <w:r w:rsidRPr="000977F7">
        <w:rPr>
          <w:rFonts w:asciiTheme="majorHAnsi" w:hAnsiTheme="majorHAnsi"/>
          <w:spacing w:val="-4"/>
          <w:sz w:val="20"/>
          <w:szCs w:val="20"/>
        </w:rPr>
        <w:t xml:space="preserve"> </w:t>
      </w:r>
      <w:r w:rsidRPr="000977F7">
        <w:rPr>
          <w:rFonts w:asciiTheme="majorHAnsi" w:hAnsiTheme="majorHAnsi"/>
          <w:sz w:val="20"/>
          <w:szCs w:val="20"/>
        </w:rPr>
        <w:t>рішень;</w:t>
      </w:r>
    </w:p>
    <w:p w14:paraId="1C512B53" w14:textId="77777777" w:rsidR="0097612F" w:rsidRPr="000977F7" w:rsidRDefault="0097612F" w:rsidP="00FD39A4">
      <w:pPr>
        <w:pStyle w:val="ac"/>
        <w:widowControl w:val="0"/>
        <w:numPr>
          <w:ilvl w:val="0"/>
          <w:numId w:val="177"/>
        </w:numPr>
        <w:tabs>
          <w:tab w:val="left" w:pos="284"/>
          <w:tab w:val="left" w:pos="677"/>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виконання</w:t>
      </w:r>
      <w:r w:rsidRPr="000977F7">
        <w:rPr>
          <w:rFonts w:asciiTheme="majorHAnsi" w:hAnsiTheme="majorHAnsi"/>
          <w:spacing w:val="-6"/>
          <w:sz w:val="20"/>
          <w:szCs w:val="20"/>
        </w:rPr>
        <w:t xml:space="preserve"> </w:t>
      </w:r>
      <w:r w:rsidRPr="000977F7">
        <w:rPr>
          <w:rFonts w:asciiTheme="majorHAnsi" w:hAnsiTheme="majorHAnsi"/>
          <w:sz w:val="20"/>
          <w:szCs w:val="20"/>
        </w:rPr>
        <w:t>вибраного</w:t>
      </w:r>
      <w:r w:rsidRPr="000977F7">
        <w:rPr>
          <w:rFonts w:asciiTheme="majorHAnsi" w:hAnsiTheme="majorHAnsi"/>
          <w:spacing w:val="-4"/>
          <w:sz w:val="20"/>
          <w:szCs w:val="20"/>
        </w:rPr>
        <w:t xml:space="preserve"> </w:t>
      </w:r>
      <w:r w:rsidRPr="000977F7">
        <w:rPr>
          <w:rFonts w:asciiTheme="majorHAnsi" w:hAnsiTheme="majorHAnsi"/>
          <w:sz w:val="20"/>
          <w:szCs w:val="20"/>
        </w:rPr>
        <w:t>рішення;</w:t>
      </w:r>
    </w:p>
    <w:p w14:paraId="70F7D9C7" w14:textId="77777777" w:rsidR="0097612F" w:rsidRPr="000977F7" w:rsidRDefault="0097612F" w:rsidP="00FD39A4">
      <w:pPr>
        <w:pStyle w:val="ac"/>
        <w:widowControl w:val="0"/>
        <w:numPr>
          <w:ilvl w:val="0"/>
          <w:numId w:val="177"/>
        </w:numPr>
        <w:tabs>
          <w:tab w:val="left" w:pos="284"/>
          <w:tab w:val="left" w:pos="677"/>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оцінка,</w:t>
      </w:r>
      <w:r w:rsidRPr="000977F7">
        <w:rPr>
          <w:rFonts w:asciiTheme="majorHAnsi" w:hAnsiTheme="majorHAnsi"/>
          <w:spacing w:val="-3"/>
          <w:sz w:val="20"/>
          <w:szCs w:val="20"/>
        </w:rPr>
        <w:t xml:space="preserve"> </w:t>
      </w:r>
      <w:r w:rsidRPr="000977F7">
        <w:rPr>
          <w:rFonts w:asciiTheme="majorHAnsi" w:hAnsiTheme="majorHAnsi"/>
          <w:sz w:val="20"/>
          <w:szCs w:val="20"/>
        </w:rPr>
        <w:t>верифікація</w:t>
      </w:r>
      <w:r w:rsidRPr="000977F7">
        <w:rPr>
          <w:rFonts w:asciiTheme="majorHAnsi" w:hAnsiTheme="majorHAnsi"/>
          <w:spacing w:val="-5"/>
          <w:sz w:val="20"/>
          <w:szCs w:val="20"/>
        </w:rPr>
        <w:t xml:space="preserve"> </w:t>
      </w:r>
      <w:r w:rsidRPr="000977F7">
        <w:rPr>
          <w:rFonts w:asciiTheme="majorHAnsi" w:hAnsiTheme="majorHAnsi"/>
          <w:sz w:val="20"/>
          <w:szCs w:val="20"/>
        </w:rPr>
        <w:t>та</w:t>
      </w:r>
      <w:r w:rsidRPr="000977F7">
        <w:rPr>
          <w:rFonts w:asciiTheme="majorHAnsi" w:hAnsiTheme="majorHAnsi"/>
          <w:spacing w:val="-4"/>
          <w:sz w:val="20"/>
          <w:szCs w:val="20"/>
        </w:rPr>
        <w:t xml:space="preserve"> </w:t>
      </w:r>
      <w:r w:rsidRPr="000977F7">
        <w:rPr>
          <w:rFonts w:asciiTheme="majorHAnsi" w:hAnsiTheme="majorHAnsi"/>
          <w:sz w:val="20"/>
          <w:szCs w:val="20"/>
        </w:rPr>
        <w:t>аналіз</w:t>
      </w:r>
      <w:r w:rsidRPr="000977F7">
        <w:rPr>
          <w:rFonts w:asciiTheme="majorHAnsi" w:hAnsiTheme="majorHAnsi"/>
          <w:spacing w:val="-4"/>
          <w:sz w:val="20"/>
          <w:szCs w:val="20"/>
        </w:rPr>
        <w:t xml:space="preserve"> </w:t>
      </w:r>
      <w:r w:rsidRPr="000977F7">
        <w:rPr>
          <w:rFonts w:asciiTheme="majorHAnsi" w:hAnsiTheme="majorHAnsi"/>
          <w:sz w:val="20"/>
          <w:szCs w:val="20"/>
        </w:rPr>
        <w:t>виконання;</w:t>
      </w:r>
    </w:p>
    <w:p w14:paraId="6F6AA432" w14:textId="77777777" w:rsidR="0097612F" w:rsidRPr="000977F7" w:rsidRDefault="0097612F" w:rsidP="00FD39A4">
      <w:pPr>
        <w:pStyle w:val="ac"/>
        <w:widowControl w:val="0"/>
        <w:numPr>
          <w:ilvl w:val="0"/>
          <w:numId w:val="177"/>
        </w:numPr>
        <w:tabs>
          <w:tab w:val="left" w:pos="284"/>
          <w:tab w:val="left" w:pos="677"/>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регламентація</w:t>
      </w:r>
      <w:r w:rsidRPr="000977F7">
        <w:rPr>
          <w:rFonts w:asciiTheme="majorHAnsi" w:hAnsiTheme="majorHAnsi"/>
          <w:spacing w:val="-5"/>
          <w:sz w:val="20"/>
          <w:szCs w:val="20"/>
        </w:rPr>
        <w:t xml:space="preserve"> </w:t>
      </w:r>
      <w:r w:rsidRPr="000977F7">
        <w:rPr>
          <w:rFonts w:asciiTheme="majorHAnsi" w:hAnsiTheme="majorHAnsi"/>
          <w:sz w:val="20"/>
          <w:szCs w:val="20"/>
        </w:rPr>
        <w:t>змін.</w:t>
      </w:r>
    </w:p>
    <w:p w14:paraId="692A0A9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Поліпшення</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постійними</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передбачають</w:t>
      </w:r>
      <w:r w:rsidRPr="000977F7">
        <w:rPr>
          <w:rFonts w:asciiTheme="majorHAnsi" w:hAnsiTheme="majorHAnsi"/>
          <w:spacing w:val="1"/>
          <w:sz w:val="20"/>
          <w:szCs w:val="20"/>
        </w:rPr>
        <w:t xml:space="preserve"> </w:t>
      </w:r>
      <w:r w:rsidRPr="000977F7">
        <w:rPr>
          <w:rFonts w:asciiTheme="majorHAnsi" w:hAnsiTheme="majorHAnsi"/>
          <w:sz w:val="20"/>
          <w:szCs w:val="20"/>
        </w:rPr>
        <w:t>отримання остаточних рішень. Результати аналізуються, у</w:t>
      </w:r>
      <w:r w:rsidRPr="000977F7">
        <w:rPr>
          <w:rFonts w:asciiTheme="majorHAnsi" w:hAnsiTheme="majorHAnsi"/>
          <w:spacing w:val="1"/>
          <w:sz w:val="20"/>
          <w:szCs w:val="20"/>
        </w:rPr>
        <w:t xml:space="preserve"> </w:t>
      </w:r>
      <w:r w:rsidRPr="000977F7">
        <w:rPr>
          <w:rFonts w:asciiTheme="majorHAnsi" w:hAnsiTheme="majorHAnsi"/>
          <w:sz w:val="20"/>
          <w:szCs w:val="20"/>
        </w:rPr>
        <w:t>випадку</w:t>
      </w:r>
      <w:r w:rsidRPr="000977F7">
        <w:rPr>
          <w:rFonts w:asciiTheme="majorHAnsi" w:hAnsiTheme="majorHAnsi"/>
          <w:spacing w:val="8"/>
          <w:sz w:val="20"/>
          <w:szCs w:val="20"/>
        </w:rPr>
        <w:t xml:space="preserve"> </w:t>
      </w:r>
      <w:r w:rsidRPr="000977F7">
        <w:rPr>
          <w:rFonts w:asciiTheme="majorHAnsi" w:hAnsiTheme="majorHAnsi"/>
          <w:sz w:val="20"/>
          <w:szCs w:val="20"/>
        </w:rPr>
        <w:t>необхідності</w:t>
      </w:r>
      <w:r w:rsidRPr="000977F7">
        <w:rPr>
          <w:rFonts w:asciiTheme="majorHAnsi" w:hAnsiTheme="majorHAnsi"/>
          <w:spacing w:val="9"/>
          <w:sz w:val="20"/>
          <w:szCs w:val="20"/>
        </w:rPr>
        <w:t xml:space="preserve"> </w:t>
      </w:r>
      <w:r w:rsidRPr="000977F7">
        <w:rPr>
          <w:rFonts w:asciiTheme="majorHAnsi" w:hAnsiTheme="majorHAnsi"/>
          <w:sz w:val="20"/>
          <w:szCs w:val="20"/>
        </w:rPr>
        <w:t>визначаються</w:t>
      </w:r>
      <w:r w:rsidRPr="000977F7">
        <w:rPr>
          <w:rFonts w:asciiTheme="majorHAnsi" w:hAnsiTheme="majorHAnsi"/>
          <w:spacing w:val="7"/>
          <w:sz w:val="20"/>
          <w:szCs w:val="20"/>
        </w:rPr>
        <w:t xml:space="preserve"> </w:t>
      </w:r>
      <w:r w:rsidRPr="000977F7">
        <w:rPr>
          <w:rFonts w:asciiTheme="majorHAnsi" w:hAnsiTheme="majorHAnsi"/>
          <w:sz w:val="20"/>
          <w:szCs w:val="20"/>
        </w:rPr>
        <w:t>можливості</w:t>
      </w:r>
      <w:r w:rsidRPr="000977F7">
        <w:rPr>
          <w:rFonts w:asciiTheme="majorHAnsi" w:hAnsiTheme="majorHAnsi"/>
          <w:spacing w:val="9"/>
          <w:sz w:val="20"/>
          <w:szCs w:val="20"/>
        </w:rPr>
        <w:t xml:space="preserve"> </w:t>
      </w:r>
      <w:r w:rsidRPr="000977F7">
        <w:rPr>
          <w:rFonts w:asciiTheme="majorHAnsi" w:hAnsiTheme="majorHAnsi"/>
          <w:sz w:val="20"/>
          <w:szCs w:val="20"/>
        </w:rPr>
        <w:t>поліпшення. Аудити, зворотній зв’язок від споживача і</w:t>
      </w:r>
      <w:r w:rsidRPr="000977F7">
        <w:rPr>
          <w:rFonts w:asciiTheme="majorHAnsi" w:hAnsiTheme="majorHAnsi"/>
          <w:spacing w:val="1"/>
          <w:sz w:val="20"/>
          <w:szCs w:val="20"/>
        </w:rPr>
        <w:t xml:space="preserve"> </w:t>
      </w:r>
      <w:r w:rsidRPr="000977F7">
        <w:rPr>
          <w:rFonts w:asciiTheme="majorHAnsi" w:hAnsiTheme="majorHAnsi"/>
          <w:sz w:val="20"/>
          <w:szCs w:val="20"/>
        </w:rPr>
        <w:t>аналіз</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менеджменту</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1"/>
          <w:sz w:val="20"/>
          <w:szCs w:val="20"/>
        </w:rPr>
        <w:t xml:space="preserve"> </w:t>
      </w:r>
      <w:r w:rsidRPr="000977F7">
        <w:rPr>
          <w:rFonts w:asciiTheme="majorHAnsi" w:hAnsiTheme="majorHAnsi"/>
          <w:sz w:val="20"/>
          <w:szCs w:val="20"/>
        </w:rPr>
        <w:t>виявити</w:t>
      </w:r>
      <w:r w:rsidRPr="000977F7">
        <w:rPr>
          <w:rFonts w:asciiTheme="majorHAnsi" w:hAnsiTheme="majorHAnsi"/>
          <w:spacing w:val="-2"/>
          <w:sz w:val="20"/>
          <w:szCs w:val="20"/>
        </w:rPr>
        <w:t xml:space="preserve"> </w:t>
      </w:r>
      <w:r w:rsidRPr="000977F7">
        <w:rPr>
          <w:rFonts w:asciiTheme="majorHAnsi" w:hAnsiTheme="majorHAnsi"/>
          <w:sz w:val="20"/>
          <w:szCs w:val="20"/>
        </w:rPr>
        <w:t>можливості.</w:t>
      </w:r>
    </w:p>
    <w:p w14:paraId="0CE47F5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w w:val="99"/>
          <w:sz w:val="20"/>
          <w:szCs w:val="20"/>
        </w:rPr>
        <w:t>Ци</w:t>
      </w:r>
      <w:r w:rsidRPr="000977F7">
        <w:rPr>
          <w:rFonts w:asciiTheme="majorHAnsi" w:hAnsiTheme="majorHAnsi"/>
          <w:spacing w:val="1"/>
          <w:w w:val="99"/>
          <w:sz w:val="20"/>
          <w:szCs w:val="20"/>
        </w:rPr>
        <w:t>к</w:t>
      </w:r>
      <w:r w:rsidRPr="000977F7">
        <w:rPr>
          <w:rFonts w:asciiTheme="majorHAnsi" w:hAnsiTheme="majorHAnsi"/>
          <w:w w:val="99"/>
          <w:sz w:val="20"/>
          <w:szCs w:val="20"/>
        </w:rPr>
        <w:t>л</w:t>
      </w:r>
      <w:r w:rsidRPr="000977F7">
        <w:rPr>
          <w:rFonts w:asciiTheme="majorHAnsi" w:hAnsiTheme="majorHAnsi"/>
          <w:sz w:val="20"/>
          <w:szCs w:val="20"/>
        </w:rPr>
        <w:t xml:space="preserve"> </w:t>
      </w:r>
      <w:r w:rsidRPr="000977F7">
        <w:rPr>
          <w:rFonts w:asciiTheme="majorHAnsi" w:hAnsiTheme="majorHAnsi"/>
          <w:spacing w:val="-2"/>
          <w:w w:val="99"/>
          <w:sz w:val="20"/>
          <w:szCs w:val="20"/>
        </w:rPr>
        <w:t>п</w:t>
      </w:r>
      <w:r w:rsidRPr="000977F7">
        <w:rPr>
          <w:rFonts w:asciiTheme="majorHAnsi" w:hAnsiTheme="majorHAnsi"/>
          <w:spacing w:val="1"/>
          <w:w w:val="99"/>
          <w:sz w:val="20"/>
          <w:szCs w:val="20"/>
        </w:rPr>
        <w:t>о</w:t>
      </w:r>
      <w:r w:rsidRPr="000977F7">
        <w:rPr>
          <w:rFonts w:asciiTheme="majorHAnsi" w:hAnsiTheme="majorHAnsi"/>
          <w:spacing w:val="-1"/>
          <w:w w:val="99"/>
          <w:sz w:val="20"/>
          <w:szCs w:val="20"/>
        </w:rPr>
        <w:t>л</w:t>
      </w:r>
      <w:r w:rsidRPr="000977F7">
        <w:rPr>
          <w:rFonts w:asciiTheme="majorHAnsi" w:hAnsiTheme="majorHAnsi"/>
          <w:spacing w:val="2"/>
          <w:w w:val="99"/>
          <w:sz w:val="20"/>
          <w:szCs w:val="20"/>
        </w:rPr>
        <w:t>і</w:t>
      </w:r>
      <w:r w:rsidRPr="000977F7">
        <w:rPr>
          <w:rFonts w:asciiTheme="majorHAnsi" w:hAnsiTheme="majorHAnsi"/>
          <w:spacing w:val="-2"/>
          <w:w w:val="99"/>
          <w:sz w:val="20"/>
          <w:szCs w:val="20"/>
        </w:rPr>
        <w:t>п</w:t>
      </w:r>
      <w:r w:rsidRPr="000977F7">
        <w:rPr>
          <w:rFonts w:asciiTheme="majorHAnsi" w:hAnsiTheme="majorHAnsi"/>
          <w:w w:val="99"/>
          <w:sz w:val="20"/>
          <w:szCs w:val="20"/>
        </w:rPr>
        <w:t>ш</w:t>
      </w:r>
      <w:r w:rsidRPr="000977F7">
        <w:rPr>
          <w:rFonts w:asciiTheme="majorHAnsi" w:hAnsiTheme="majorHAnsi"/>
          <w:spacing w:val="2"/>
          <w:w w:val="99"/>
          <w:sz w:val="20"/>
          <w:szCs w:val="20"/>
        </w:rPr>
        <w:t>е</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н</w:t>
      </w:r>
      <w:r w:rsidRPr="000977F7">
        <w:rPr>
          <w:rFonts w:asciiTheme="majorHAnsi" w:hAnsiTheme="majorHAnsi"/>
          <w:w w:val="99"/>
          <w:sz w:val="20"/>
          <w:szCs w:val="20"/>
        </w:rPr>
        <w:t>я</w:t>
      </w:r>
      <w:r w:rsidRPr="000977F7">
        <w:rPr>
          <w:rFonts w:asciiTheme="majorHAnsi" w:hAnsiTheme="majorHAnsi"/>
          <w:sz w:val="20"/>
          <w:szCs w:val="20"/>
        </w:rPr>
        <w:t xml:space="preserve"> </w:t>
      </w:r>
      <w:r w:rsidRPr="000977F7">
        <w:rPr>
          <w:rFonts w:asciiTheme="majorHAnsi" w:hAnsiTheme="majorHAnsi"/>
          <w:spacing w:val="2"/>
          <w:w w:val="99"/>
          <w:sz w:val="20"/>
          <w:szCs w:val="20"/>
        </w:rPr>
        <w:t>Ш</w:t>
      </w:r>
      <w:r w:rsidRPr="000977F7">
        <w:rPr>
          <w:rFonts w:asciiTheme="majorHAnsi" w:hAnsiTheme="majorHAnsi"/>
          <w:spacing w:val="-2"/>
          <w:w w:val="99"/>
          <w:sz w:val="20"/>
          <w:szCs w:val="20"/>
        </w:rPr>
        <w:t>ух</w:t>
      </w:r>
      <w:r w:rsidRPr="000977F7">
        <w:rPr>
          <w:rFonts w:asciiTheme="majorHAnsi" w:hAnsiTheme="majorHAnsi"/>
          <w:w w:val="99"/>
          <w:sz w:val="20"/>
          <w:szCs w:val="20"/>
        </w:rPr>
        <w:t>а</w:t>
      </w:r>
      <w:r w:rsidRPr="000977F7">
        <w:rPr>
          <w:rFonts w:asciiTheme="majorHAnsi" w:hAnsiTheme="majorHAnsi"/>
          <w:spacing w:val="1"/>
          <w:w w:val="99"/>
          <w:sz w:val="20"/>
          <w:szCs w:val="20"/>
        </w:rPr>
        <w:t>р</w:t>
      </w:r>
      <w:r w:rsidRPr="000977F7">
        <w:rPr>
          <w:rFonts w:asciiTheme="majorHAnsi" w:hAnsiTheme="majorHAnsi"/>
          <w:spacing w:val="-1"/>
          <w:w w:val="99"/>
          <w:sz w:val="20"/>
          <w:szCs w:val="20"/>
        </w:rPr>
        <w:t>т</w:t>
      </w:r>
      <w:r w:rsidRPr="000977F7">
        <w:rPr>
          <w:rFonts w:asciiTheme="majorHAnsi" w:hAnsiTheme="majorHAnsi"/>
          <w:w w:val="99"/>
          <w:sz w:val="20"/>
          <w:szCs w:val="20"/>
        </w:rPr>
        <w:t>а</w:t>
      </w:r>
      <w:r w:rsidRPr="000977F7">
        <w:rPr>
          <w:rFonts w:asciiTheme="majorHAnsi" w:hAnsiTheme="majorHAnsi"/>
          <w:sz w:val="20"/>
          <w:szCs w:val="20"/>
        </w:rPr>
        <w:t xml:space="preserve"> </w:t>
      </w:r>
      <w:r w:rsidRPr="000977F7">
        <w:rPr>
          <w:rFonts w:asciiTheme="majorHAnsi" w:hAnsiTheme="majorHAnsi"/>
          <w:w w:val="99"/>
          <w:sz w:val="20"/>
          <w:szCs w:val="20"/>
        </w:rPr>
        <w:t>–</w:t>
      </w:r>
      <w:r w:rsidRPr="000977F7">
        <w:rPr>
          <w:rFonts w:asciiTheme="majorHAnsi" w:hAnsiTheme="majorHAnsi"/>
          <w:sz w:val="20"/>
          <w:szCs w:val="20"/>
        </w:rPr>
        <w:t xml:space="preserve"> </w:t>
      </w:r>
      <w:r w:rsidRPr="000977F7">
        <w:rPr>
          <w:rFonts w:asciiTheme="majorHAnsi" w:hAnsiTheme="majorHAnsi"/>
          <w:w w:val="99"/>
          <w:sz w:val="20"/>
          <w:szCs w:val="20"/>
        </w:rPr>
        <w:t>Д</w:t>
      </w:r>
      <w:r w:rsidRPr="000977F7">
        <w:rPr>
          <w:rFonts w:asciiTheme="majorHAnsi" w:hAnsiTheme="majorHAnsi"/>
          <w:spacing w:val="-2"/>
          <w:w w:val="99"/>
          <w:sz w:val="20"/>
          <w:szCs w:val="20"/>
        </w:rPr>
        <w:t>е</w:t>
      </w:r>
      <w:r w:rsidRPr="000977F7">
        <w:rPr>
          <w:rFonts w:asciiTheme="majorHAnsi" w:hAnsiTheme="majorHAnsi"/>
          <w:spacing w:val="1"/>
          <w:w w:val="99"/>
          <w:sz w:val="20"/>
          <w:szCs w:val="20"/>
        </w:rPr>
        <w:t>м</w:t>
      </w:r>
      <w:r w:rsidRPr="000977F7">
        <w:rPr>
          <w:rFonts w:asciiTheme="majorHAnsi" w:hAnsiTheme="majorHAnsi"/>
          <w:spacing w:val="-2"/>
          <w:w w:val="99"/>
          <w:sz w:val="20"/>
          <w:szCs w:val="20"/>
        </w:rPr>
        <w:t>ин</w:t>
      </w:r>
      <w:r w:rsidRPr="000977F7">
        <w:rPr>
          <w:rFonts w:asciiTheme="majorHAnsi" w:hAnsiTheme="majorHAnsi"/>
          <w:spacing w:val="-1"/>
          <w:w w:val="99"/>
          <w:sz w:val="20"/>
          <w:szCs w:val="20"/>
        </w:rPr>
        <w:t>г</w:t>
      </w:r>
      <w:r w:rsidRPr="000977F7">
        <w:rPr>
          <w:rFonts w:asciiTheme="majorHAnsi" w:hAnsiTheme="majorHAnsi"/>
          <w:w w:val="99"/>
          <w:sz w:val="20"/>
          <w:szCs w:val="20"/>
        </w:rPr>
        <w:t>а</w:t>
      </w:r>
      <w:r w:rsidRPr="000977F7">
        <w:rPr>
          <w:rFonts w:asciiTheme="majorHAnsi" w:hAnsiTheme="majorHAnsi"/>
          <w:sz w:val="20"/>
          <w:szCs w:val="20"/>
        </w:rPr>
        <w:t xml:space="preserve"> </w:t>
      </w:r>
      <w:r w:rsidRPr="000977F7">
        <w:rPr>
          <w:rFonts w:asciiTheme="majorHAnsi" w:hAnsiTheme="majorHAnsi"/>
          <w:spacing w:val="-2"/>
          <w:w w:val="44"/>
          <w:sz w:val="20"/>
          <w:szCs w:val="20"/>
        </w:rPr>
        <w:t>―</w:t>
      </w:r>
      <w:r w:rsidRPr="000977F7">
        <w:rPr>
          <w:rFonts w:asciiTheme="majorHAnsi" w:hAnsiTheme="majorHAnsi"/>
          <w:spacing w:val="1"/>
          <w:w w:val="99"/>
          <w:sz w:val="20"/>
          <w:szCs w:val="20"/>
        </w:rPr>
        <w:t>P</w:t>
      </w:r>
      <w:r w:rsidRPr="000977F7">
        <w:rPr>
          <w:rFonts w:asciiTheme="majorHAnsi" w:hAnsiTheme="majorHAnsi"/>
          <w:w w:val="99"/>
          <w:sz w:val="20"/>
          <w:szCs w:val="20"/>
        </w:rPr>
        <w:t>lan</w:t>
      </w:r>
      <w:r w:rsidRPr="000977F7">
        <w:rPr>
          <w:rFonts w:asciiTheme="majorHAnsi" w:hAnsiTheme="majorHAnsi"/>
          <w:sz w:val="20"/>
          <w:szCs w:val="20"/>
        </w:rPr>
        <w:t xml:space="preserve"> </w:t>
      </w:r>
      <w:r w:rsidRPr="000977F7">
        <w:rPr>
          <w:rFonts w:asciiTheme="majorHAnsi" w:hAnsiTheme="majorHAnsi"/>
          <w:w w:val="99"/>
          <w:sz w:val="20"/>
          <w:szCs w:val="20"/>
        </w:rPr>
        <w:t>–</w:t>
      </w:r>
      <w:r w:rsidRPr="000977F7">
        <w:rPr>
          <w:rFonts w:asciiTheme="majorHAnsi" w:hAnsiTheme="majorHAnsi"/>
          <w:sz w:val="20"/>
          <w:szCs w:val="20"/>
        </w:rPr>
        <w:t xml:space="preserve"> </w:t>
      </w:r>
      <w:r w:rsidRPr="000977F7">
        <w:rPr>
          <w:rFonts w:asciiTheme="majorHAnsi" w:hAnsiTheme="majorHAnsi"/>
          <w:w w:val="99"/>
          <w:sz w:val="20"/>
          <w:szCs w:val="20"/>
        </w:rPr>
        <w:t>Do</w:t>
      </w:r>
      <w:r w:rsidRPr="000977F7">
        <w:rPr>
          <w:rFonts w:asciiTheme="majorHAnsi" w:hAnsiTheme="majorHAnsi"/>
          <w:sz w:val="20"/>
          <w:szCs w:val="20"/>
        </w:rPr>
        <w:t xml:space="preserve"> </w:t>
      </w:r>
      <w:r w:rsidRPr="000977F7">
        <w:rPr>
          <w:rFonts w:asciiTheme="majorHAnsi" w:hAnsiTheme="majorHAnsi"/>
          <w:w w:val="99"/>
          <w:sz w:val="20"/>
          <w:szCs w:val="20"/>
        </w:rPr>
        <w:t xml:space="preserve">– </w:t>
      </w:r>
      <w:r w:rsidRPr="000977F7">
        <w:rPr>
          <w:rFonts w:asciiTheme="majorHAnsi" w:hAnsiTheme="majorHAnsi"/>
          <w:sz w:val="20"/>
          <w:szCs w:val="20"/>
        </w:rPr>
        <w:t>Check</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Act</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прикладом</w:t>
      </w:r>
      <w:r w:rsidRPr="000977F7">
        <w:rPr>
          <w:rFonts w:asciiTheme="majorHAnsi" w:hAnsiTheme="majorHAnsi"/>
          <w:spacing w:val="1"/>
          <w:sz w:val="20"/>
          <w:szCs w:val="20"/>
        </w:rPr>
        <w:t xml:space="preserve"> </w:t>
      </w:r>
      <w:r w:rsidRPr="000977F7">
        <w:rPr>
          <w:rFonts w:asciiTheme="majorHAnsi" w:hAnsiTheme="majorHAnsi"/>
          <w:sz w:val="20"/>
          <w:szCs w:val="20"/>
        </w:rPr>
        <w:t>циклу</w:t>
      </w:r>
      <w:r w:rsidRPr="000977F7">
        <w:rPr>
          <w:rFonts w:asciiTheme="majorHAnsi" w:hAnsiTheme="majorHAnsi"/>
          <w:spacing w:val="1"/>
          <w:sz w:val="20"/>
          <w:szCs w:val="20"/>
        </w:rPr>
        <w:t xml:space="preserve"> </w:t>
      </w:r>
      <w:r w:rsidRPr="000977F7">
        <w:rPr>
          <w:rFonts w:asciiTheme="majorHAnsi" w:hAnsiTheme="majorHAnsi"/>
          <w:sz w:val="20"/>
          <w:szCs w:val="20"/>
        </w:rPr>
        <w:t>поліпшення.</w:t>
      </w:r>
      <w:r w:rsidRPr="000977F7">
        <w:rPr>
          <w:rFonts w:asciiTheme="majorHAnsi" w:hAnsiTheme="majorHAnsi"/>
          <w:spacing w:val="1"/>
          <w:sz w:val="20"/>
          <w:szCs w:val="20"/>
        </w:rPr>
        <w:t xml:space="preserve"> </w:t>
      </w:r>
      <w:r w:rsidRPr="000977F7">
        <w:rPr>
          <w:rFonts w:asciiTheme="majorHAnsi" w:hAnsiTheme="majorHAnsi"/>
          <w:sz w:val="20"/>
          <w:szCs w:val="20"/>
        </w:rPr>
        <w:t>Він</w:t>
      </w:r>
      <w:r w:rsidRPr="000977F7">
        <w:rPr>
          <w:rFonts w:asciiTheme="majorHAnsi" w:hAnsiTheme="majorHAnsi"/>
          <w:spacing w:val="1"/>
          <w:sz w:val="20"/>
          <w:szCs w:val="20"/>
        </w:rPr>
        <w:t xml:space="preserve"> </w:t>
      </w:r>
      <w:r w:rsidRPr="000977F7">
        <w:rPr>
          <w:rFonts w:asciiTheme="majorHAnsi" w:hAnsiTheme="majorHAnsi"/>
          <w:sz w:val="20"/>
          <w:szCs w:val="20"/>
        </w:rPr>
        <w:t>наведений у вигляді колеса, щоб підкреслити безперервну,</w:t>
      </w:r>
      <w:r w:rsidRPr="000977F7">
        <w:rPr>
          <w:rFonts w:asciiTheme="majorHAnsi" w:hAnsiTheme="majorHAnsi"/>
          <w:spacing w:val="-1"/>
          <w:sz w:val="20"/>
          <w:szCs w:val="20"/>
        </w:rPr>
        <w:t xml:space="preserve"> </w:t>
      </w:r>
      <w:r w:rsidRPr="000977F7">
        <w:rPr>
          <w:rFonts w:asciiTheme="majorHAnsi" w:hAnsiTheme="majorHAnsi"/>
          <w:sz w:val="20"/>
          <w:szCs w:val="20"/>
        </w:rPr>
        <w:t>циклічну</w:t>
      </w:r>
      <w:r w:rsidRPr="000977F7">
        <w:rPr>
          <w:rFonts w:asciiTheme="majorHAnsi" w:hAnsiTheme="majorHAnsi"/>
          <w:spacing w:val="-2"/>
          <w:sz w:val="20"/>
          <w:szCs w:val="20"/>
        </w:rPr>
        <w:t xml:space="preserve"> </w:t>
      </w:r>
      <w:r w:rsidRPr="000977F7">
        <w:rPr>
          <w:rFonts w:asciiTheme="majorHAnsi" w:hAnsiTheme="majorHAnsi"/>
          <w:sz w:val="20"/>
          <w:szCs w:val="20"/>
        </w:rPr>
        <w:t>природу</w:t>
      </w:r>
      <w:r w:rsidRPr="000977F7">
        <w:rPr>
          <w:rFonts w:asciiTheme="majorHAnsi" w:hAnsiTheme="majorHAnsi"/>
          <w:spacing w:val="-2"/>
          <w:sz w:val="20"/>
          <w:szCs w:val="20"/>
        </w:rPr>
        <w:t xml:space="preserve"> </w:t>
      </w:r>
      <w:r w:rsidRPr="000977F7">
        <w:rPr>
          <w:rFonts w:asciiTheme="majorHAnsi" w:hAnsiTheme="majorHAnsi"/>
          <w:sz w:val="20"/>
          <w:szCs w:val="20"/>
        </w:rPr>
        <w:t>процесу</w:t>
      </w:r>
      <w:r w:rsidRPr="000977F7">
        <w:rPr>
          <w:rFonts w:asciiTheme="majorHAnsi" w:hAnsiTheme="majorHAnsi"/>
          <w:spacing w:val="-5"/>
          <w:sz w:val="20"/>
          <w:szCs w:val="20"/>
        </w:rPr>
        <w:t xml:space="preserve"> </w:t>
      </w:r>
      <w:r w:rsidRPr="000977F7">
        <w:rPr>
          <w:rFonts w:asciiTheme="majorHAnsi" w:hAnsiTheme="majorHAnsi"/>
          <w:sz w:val="20"/>
          <w:szCs w:val="20"/>
        </w:rPr>
        <w:t>поліпшення</w:t>
      </w:r>
    </w:p>
    <w:p w14:paraId="34F639E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ЗАТВЕРДЖЕННЯ;</w:t>
      </w:r>
      <w:r w:rsidRPr="000977F7">
        <w:rPr>
          <w:color w:val="auto"/>
          <w:spacing w:val="-3"/>
          <w:sz w:val="20"/>
          <w:szCs w:val="20"/>
        </w:rPr>
        <w:t xml:space="preserve"> </w:t>
      </w:r>
      <w:r w:rsidRPr="000977F7">
        <w:rPr>
          <w:color w:val="auto"/>
          <w:sz w:val="20"/>
          <w:szCs w:val="20"/>
        </w:rPr>
        <w:t>ВАЛІДАЦІЯ</w:t>
      </w:r>
      <w:r w:rsidRPr="000977F7">
        <w:rPr>
          <w:color w:val="auto"/>
          <w:spacing w:val="-4"/>
          <w:sz w:val="20"/>
          <w:szCs w:val="20"/>
        </w:rPr>
        <w:t xml:space="preserve"> </w:t>
      </w:r>
      <w:r w:rsidRPr="000977F7">
        <w:rPr>
          <w:color w:val="auto"/>
          <w:sz w:val="20"/>
          <w:szCs w:val="20"/>
        </w:rPr>
        <w:t>-</w:t>
      </w:r>
    </w:p>
    <w:p w14:paraId="6518DC3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VALIDATION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05C5F14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Підтвердження</w:t>
      </w:r>
      <w:r w:rsidRPr="000977F7">
        <w:rPr>
          <w:rFonts w:asciiTheme="majorHAnsi" w:hAnsiTheme="majorHAnsi"/>
          <w:spacing w:val="1"/>
          <w:sz w:val="20"/>
          <w:szCs w:val="20"/>
        </w:rPr>
        <w:t xml:space="preserve"> </w:t>
      </w:r>
      <w:r w:rsidRPr="000977F7">
        <w:rPr>
          <w:rFonts w:asciiTheme="majorHAnsi" w:hAnsiTheme="majorHAnsi"/>
          <w:sz w:val="20"/>
          <w:szCs w:val="20"/>
        </w:rPr>
        <w:t>наданням</w:t>
      </w:r>
      <w:r w:rsidRPr="000977F7">
        <w:rPr>
          <w:rFonts w:asciiTheme="majorHAnsi" w:hAnsiTheme="majorHAnsi"/>
          <w:spacing w:val="1"/>
          <w:sz w:val="20"/>
          <w:szCs w:val="20"/>
        </w:rPr>
        <w:t xml:space="preserve"> </w:t>
      </w:r>
      <w:r w:rsidRPr="000977F7">
        <w:rPr>
          <w:rFonts w:asciiTheme="majorHAnsi" w:hAnsiTheme="majorHAnsi"/>
          <w:sz w:val="20"/>
          <w:szCs w:val="20"/>
        </w:rPr>
        <w:t>об’єктивного</w:t>
      </w:r>
      <w:r w:rsidRPr="000977F7">
        <w:rPr>
          <w:rFonts w:asciiTheme="majorHAnsi" w:hAnsiTheme="majorHAnsi"/>
          <w:spacing w:val="1"/>
          <w:sz w:val="20"/>
          <w:szCs w:val="20"/>
        </w:rPr>
        <w:t xml:space="preserve"> </w:t>
      </w:r>
      <w:r w:rsidRPr="000977F7">
        <w:rPr>
          <w:rFonts w:asciiTheme="majorHAnsi" w:hAnsiTheme="majorHAnsi"/>
          <w:sz w:val="20"/>
          <w:szCs w:val="20"/>
        </w:rPr>
        <w:t>доказу,</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вимоги щодо конкретного передбаченого використання</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виконано.</w:t>
      </w:r>
    </w:p>
    <w:p w14:paraId="15C5A7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Об’єктивний доказ, потрібний для</w:t>
      </w:r>
      <w:r w:rsidRPr="000977F7">
        <w:rPr>
          <w:rFonts w:asciiTheme="majorHAnsi" w:hAnsiTheme="majorHAnsi"/>
          <w:spacing w:val="1"/>
          <w:sz w:val="20"/>
          <w:szCs w:val="20"/>
        </w:rPr>
        <w:t xml:space="preserve"> </w:t>
      </w:r>
      <w:r w:rsidRPr="000977F7">
        <w:rPr>
          <w:rFonts w:asciiTheme="majorHAnsi" w:hAnsiTheme="majorHAnsi"/>
          <w:sz w:val="20"/>
          <w:szCs w:val="20"/>
        </w:rPr>
        <w:t>перевіряння,</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результатом</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інших форм визначання, зокрема виконання альтернативних</w:t>
      </w:r>
      <w:r w:rsidRPr="000977F7">
        <w:rPr>
          <w:rFonts w:asciiTheme="majorHAnsi" w:hAnsiTheme="majorHAnsi"/>
          <w:spacing w:val="-3"/>
          <w:sz w:val="20"/>
          <w:szCs w:val="20"/>
        </w:rPr>
        <w:t xml:space="preserve"> </w:t>
      </w:r>
      <w:r w:rsidRPr="000977F7">
        <w:rPr>
          <w:rFonts w:asciiTheme="majorHAnsi" w:hAnsiTheme="majorHAnsi"/>
          <w:sz w:val="20"/>
          <w:szCs w:val="20"/>
        </w:rPr>
        <w:t>обчислень</w:t>
      </w:r>
      <w:r w:rsidRPr="000977F7">
        <w:rPr>
          <w:rFonts w:asciiTheme="majorHAnsi" w:hAnsiTheme="majorHAnsi"/>
          <w:spacing w:val="-1"/>
          <w:sz w:val="20"/>
          <w:szCs w:val="20"/>
        </w:rPr>
        <w:t xml:space="preserve"> </w:t>
      </w:r>
      <w:r w:rsidRPr="000977F7">
        <w:rPr>
          <w:rFonts w:asciiTheme="majorHAnsi" w:hAnsiTheme="majorHAnsi"/>
          <w:sz w:val="20"/>
          <w:szCs w:val="20"/>
        </w:rPr>
        <w:t>або аналізування</w:t>
      </w:r>
      <w:r w:rsidRPr="000977F7">
        <w:rPr>
          <w:rFonts w:asciiTheme="majorHAnsi" w:hAnsiTheme="majorHAnsi"/>
          <w:spacing w:val="-3"/>
          <w:sz w:val="20"/>
          <w:szCs w:val="20"/>
        </w:rPr>
        <w:t xml:space="preserve"> </w:t>
      </w:r>
      <w:r w:rsidRPr="000977F7">
        <w:rPr>
          <w:rFonts w:asciiTheme="majorHAnsi" w:hAnsiTheme="majorHAnsi"/>
          <w:sz w:val="20"/>
          <w:szCs w:val="20"/>
        </w:rPr>
        <w:t>документів.</w:t>
      </w:r>
    </w:p>
    <w:p w14:paraId="5AA9664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2. Слово "затверджено" використовують для</w:t>
      </w:r>
      <w:r w:rsidRPr="000977F7">
        <w:rPr>
          <w:rFonts w:asciiTheme="majorHAnsi" w:hAnsiTheme="majorHAnsi"/>
          <w:spacing w:val="-47"/>
          <w:sz w:val="20"/>
          <w:szCs w:val="20"/>
        </w:rPr>
        <w:t xml:space="preserve"> </w:t>
      </w:r>
      <w:r w:rsidRPr="000977F7">
        <w:rPr>
          <w:rFonts w:asciiTheme="majorHAnsi" w:hAnsiTheme="majorHAnsi"/>
          <w:sz w:val="20"/>
          <w:szCs w:val="20"/>
        </w:rPr>
        <w:t>позначення</w:t>
      </w:r>
      <w:r w:rsidRPr="000977F7">
        <w:rPr>
          <w:rFonts w:asciiTheme="majorHAnsi" w:hAnsiTheme="majorHAnsi"/>
          <w:spacing w:val="-2"/>
          <w:sz w:val="20"/>
          <w:szCs w:val="20"/>
        </w:rPr>
        <w:t xml:space="preserve"> </w:t>
      </w:r>
      <w:r w:rsidRPr="000977F7">
        <w:rPr>
          <w:rFonts w:asciiTheme="majorHAnsi" w:hAnsiTheme="majorHAnsi"/>
          <w:sz w:val="20"/>
          <w:szCs w:val="20"/>
        </w:rPr>
        <w:t>відповідного</w:t>
      </w:r>
      <w:r w:rsidRPr="000977F7">
        <w:rPr>
          <w:rFonts w:asciiTheme="majorHAnsi" w:hAnsiTheme="majorHAnsi"/>
          <w:spacing w:val="1"/>
          <w:sz w:val="20"/>
          <w:szCs w:val="20"/>
        </w:rPr>
        <w:t xml:space="preserve"> </w:t>
      </w:r>
      <w:r w:rsidRPr="000977F7">
        <w:rPr>
          <w:rFonts w:asciiTheme="majorHAnsi" w:hAnsiTheme="majorHAnsi"/>
          <w:sz w:val="20"/>
          <w:szCs w:val="20"/>
        </w:rPr>
        <w:t>статусу.</w:t>
      </w:r>
    </w:p>
    <w:p w14:paraId="2FC5314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1"/>
          <w:sz w:val="20"/>
          <w:szCs w:val="20"/>
        </w:rPr>
        <w:t xml:space="preserve"> </w:t>
      </w:r>
      <w:r w:rsidRPr="000977F7">
        <w:rPr>
          <w:rFonts w:asciiTheme="majorHAnsi" w:hAnsiTheme="majorHAnsi"/>
          <w:sz w:val="20"/>
          <w:szCs w:val="20"/>
        </w:rPr>
        <w:t>3.</w:t>
      </w:r>
      <w:r w:rsidRPr="000977F7">
        <w:rPr>
          <w:rFonts w:asciiTheme="majorHAnsi" w:hAnsiTheme="majorHAnsi"/>
          <w:spacing w:val="1"/>
          <w:sz w:val="20"/>
          <w:szCs w:val="20"/>
        </w:rPr>
        <w:t xml:space="preserve"> </w:t>
      </w:r>
      <w:r w:rsidRPr="000977F7">
        <w:rPr>
          <w:rFonts w:asciiTheme="majorHAnsi" w:hAnsiTheme="majorHAnsi"/>
          <w:sz w:val="20"/>
          <w:szCs w:val="20"/>
        </w:rPr>
        <w:t>Умови</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затвердження</w:t>
      </w:r>
      <w:r w:rsidRPr="000977F7">
        <w:rPr>
          <w:rFonts w:asciiTheme="majorHAnsi" w:hAnsiTheme="majorHAnsi"/>
          <w:spacing w:val="-47"/>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2"/>
          <w:sz w:val="20"/>
          <w:szCs w:val="20"/>
        </w:rPr>
        <w:t xml:space="preserve"> </w:t>
      </w:r>
      <w:r w:rsidRPr="000977F7">
        <w:rPr>
          <w:rFonts w:asciiTheme="majorHAnsi" w:hAnsiTheme="majorHAnsi"/>
          <w:sz w:val="20"/>
          <w:szCs w:val="20"/>
        </w:rPr>
        <w:t>реальними</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змодельованими</w:t>
      </w:r>
    </w:p>
    <w:p w14:paraId="3AFFF37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082CF0E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Підтвердження</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допомогою</w:t>
      </w:r>
      <w:r w:rsidRPr="000977F7">
        <w:rPr>
          <w:rFonts w:asciiTheme="majorHAnsi" w:hAnsiTheme="majorHAnsi"/>
          <w:spacing w:val="1"/>
          <w:sz w:val="20"/>
          <w:szCs w:val="20"/>
        </w:rPr>
        <w:t xml:space="preserve"> </w:t>
      </w:r>
      <w:r w:rsidRPr="000977F7">
        <w:rPr>
          <w:rFonts w:asciiTheme="majorHAnsi" w:hAnsiTheme="majorHAnsi"/>
          <w:sz w:val="20"/>
          <w:szCs w:val="20"/>
        </w:rPr>
        <w:t>експертизи</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подання</w:t>
      </w:r>
      <w:r w:rsidRPr="000977F7">
        <w:rPr>
          <w:rFonts w:asciiTheme="majorHAnsi" w:hAnsiTheme="majorHAnsi"/>
          <w:spacing w:val="-47"/>
          <w:sz w:val="20"/>
          <w:szCs w:val="20"/>
        </w:rPr>
        <w:t xml:space="preserve"> </w:t>
      </w:r>
      <w:r w:rsidRPr="000977F7">
        <w:rPr>
          <w:rFonts w:asciiTheme="majorHAnsi" w:hAnsiTheme="majorHAnsi"/>
          <w:sz w:val="20"/>
          <w:szCs w:val="20"/>
        </w:rPr>
        <w:t>об’єктивного</w:t>
      </w:r>
      <w:r w:rsidRPr="000977F7">
        <w:rPr>
          <w:rFonts w:asciiTheme="majorHAnsi" w:hAnsiTheme="majorHAnsi"/>
          <w:spacing w:val="1"/>
          <w:sz w:val="20"/>
          <w:szCs w:val="20"/>
        </w:rPr>
        <w:t xml:space="preserve"> </w:t>
      </w:r>
      <w:r w:rsidRPr="000977F7">
        <w:rPr>
          <w:rFonts w:asciiTheme="majorHAnsi" w:hAnsiTheme="majorHAnsi"/>
          <w:sz w:val="20"/>
          <w:szCs w:val="20"/>
        </w:rPr>
        <w:t>доказу</w:t>
      </w:r>
      <w:r w:rsidRPr="000977F7">
        <w:rPr>
          <w:rFonts w:asciiTheme="majorHAnsi" w:hAnsiTheme="majorHAnsi"/>
          <w:spacing w:val="1"/>
          <w:sz w:val="20"/>
          <w:szCs w:val="20"/>
        </w:rPr>
        <w:t xml:space="preserve"> </w:t>
      </w:r>
      <w:r w:rsidRPr="000977F7">
        <w:rPr>
          <w:rFonts w:asciiTheme="majorHAnsi" w:hAnsiTheme="majorHAnsi"/>
          <w:sz w:val="20"/>
          <w:szCs w:val="20"/>
        </w:rPr>
        <w:t>дотримання</w:t>
      </w:r>
      <w:r w:rsidRPr="000977F7">
        <w:rPr>
          <w:rFonts w:asciiTheme="majorHAnsi" w:hAnsiTheme="majorHAnsi"/>
          <w:spacing w:val="1"/>
          <w:sz w:val="20"/>
          <w:szCs w:val="20"/>
        </w:rPr>
        <w:t xml:space="preserve"> </w:t>
      </w:r>
      <w:r w:rsidRPr="000977F7">
        <w:rPr>
          <w:rFonts w:asciiTheme="majorHAnsi" w:hAnsiTheme="majorHAnsi"/>
          <w:sz w:val="20"/>
          <w:szCs w:val="20"/>
        </w:rPr>
        <w:t>особливих</w:t>
      </w:r>
      <w:r w:rsidRPr="000977F7">
        <w:rPr>
          <w:rFonts w:asciiTheme="majorHAnsi" w:hAnsiTheme="majorHAnsi"/>
          <w:spacing w:val="1"/>
          <w:sz w:val="20"/>
          <w:szCs w:val="20"/>
        </w:rPr>
        <w:t xml:space="preserve"> </w:t>
      </w:r>
      <w:r w:rsidRPr="000977F7">
        <w:rPr>
          <w:rFonts w:asciiTheme="majorHAnsi" w:hAnsiTheme="majorHAnsi"/>
          <w:sz w:val="20"/>
          <w:szCs w:val="20"/>
        </w:rPr>
        <w:t>вимог,</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призначених</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конкретного використання</w:t>
      </w:r>
    </w:p>
    <w:p w14:paraId="3F23B13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5752E4F2" w14:textId="77777777" w:rsidR="0097612F" w:rsidRPr="000977F7" w:rsidRDefault="0097612F" w:rsidP="00FD39A4">
      <w:pPr>
        <w:pStyle w:val="ac"/>
        <w:widowControl w:val="0"/>
        <w:numPr>
          <w:ilvl w:val="0"/>
          <w:numId w:val="176"/>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Під час проектування і розроблення затвердження</w:t>
      </w:r>
      <w:r w:rsidRPr="000977F7">
        <w:rPr>
          <w:rFonts w:asciiTheme="majorHAnsi" w:hAnsiTheme="majorHAnsi"/>
          <w:spacing w:val="-47"/>
          <w:sz w:val="20"/>
          <w:szCs w:val="20"/>
        </w:rPr>
        <w:t xml:space="preserve"> </w:t>
      </w:r>
      <w:r w:rsidRPr="000977F7">
        <w:rPr>
          <w:rFonts w:asciiTheme="majorHAnsi" w:hAnsiTheme="majorHAnsi"/>
          <w:sz w:val="20"/>
          <w:szCs w:val="20"/>
        </w:rPr>
        <w:t>означає проведення експертизи продукції для визначення</w:t>
      </w:r>
      <w:r w:rsidRPr="000977F7">
        <w:rPr>
          <w:rFonts w:asciiTheme="majorHAnsi" w:hAnsiTheme="majorHAnsi"/>
          <w:spacing w:val="-3"/>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2"/>
          <w:sz w:val="20"/>
          <w:szCs w:val="20"/>
        </w:rPr>
        <w:t xml:space="preserve"> </w:t>
      </w:r>
      <w:r w:rsidRPr="000977F7">
        <w:rPr>
          <w:rFonts w:asciiTheme="majorHAnsi" w:hAnsiTheme="majorHAnsi"/>
          <w:sz w:val="20"/>
          <w:szCs w:val="20"/>
        </w:rPr>
        <w:t>потребам</w:t>
      </w:r>
      <w:r w:rsidRPr="000977F7">
        <w:rPr>
          <w:rFonts w:asciiTheme="majorHAnsi" w:hAnsiTheme="majorHAnsi"/>
          <w:spacing w:val="-1"/>
          <w:sz w:val="20"/>
          <w:szCs w:val="20"/>
        </w:rPr>
        <w:t xml:space="preserve"> </w:t>
      </w:r>
      <w:r w:rsidRPr="000977F7">
        <w:rPr>
          <w:rFonts w:asciiTheme="majorHAnsi" w:hAnsiTheme="majorHAnsi"/>
          <w:sz w:val="20"/>
          <w:szCs w:val="20"/>
        </w:rPr>
        <w:t>споживача.</w:t>
      </w:r>
    </w:p>
    <w:p w14:paraId="222600D1" w14:textId="77777777" w:rsidR="0097612F" w:rsidRPr="000977F7" w:rsidRDefault="0097612F" w:rsidP="00FD39A4">
      <w:pPr>
        <w:pStyle w:val="ac"/>
        <w:widowControl w:val="0"/>
        <w:numPr>
          <w:ilvl w:val="0"/>
          <w:numId w:val="176"/>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Затвердження здебільшого виконують для кінцевої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певних</w:t>
      </w:r>
      <w:r w:rsidRPr="000977F7">
        <w:rPr>
          <w:rFonts w:asciiTheme="majorHAnsi" w:hAnsiTheme="majorHAnsi"/>
          <w:spacing w:val="1"/>
          <w:sz w:val="20"/>
          <w:szCs w:val="20"/>
        </w:rPr>
        <w:t xml:space="preserve"> </w:t>
      </w:r>
      <w:r w:rsidRPr="000977F7">
        <w:rPr>
          <w:rFonts w:asciiTheme="majorHAnsi" w:hAnsiTheme="majorHAnsi"/>
          <w:sz w:val="20"/>
          <w:szCs w:val="20"/>
        </w:rPr>
        <w:t>умовах</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47"/>
          <w:sz w:val="20"/>
          <w:szCs w:val="20"/>
        </w:rPr>
        <w:t xml:space="preserve"> </w:t>
      </w:r>
      <w:r w:rsidRPr="000977F7">
        <w:rPr>
          <w:rFonts w:asciiTheme="majorHAnsi" w:hAnsiTheme="majorHAnsi"/>
          <w:sz w:val="20"/>
          <w:szCs w:val="20"/>
        </w:rPr>
        <w:t>Воно може бути необхідним і на попередніх стадіях.</w:t>
      </w:r>
    </w:p>
    <w:p w14:paraId="26FA10CB" w14:textId="77777777" w:rsidR="0097612F" w:rsidRPr="000977F7" w:rsidRDefault="0097612F" w:rsidP="00FD39A4">
      <w:pPr>
        <w:pStyle w:val="ac"/>
        <w:widowControl w:val="0"/>
        <w:numPr>
          <w:ilvl w:val="0"/>
          <w:numId w:val="176"/>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pacing w:val="3"/>
          <w:w w:val="99"/>
          <w:sz w:val="20"/>
          <w:szCs w:val="20"/>
        </w:rPr>
        <w:t>Т</w:t>
      </w:r>
      <w:r w:rsidRPr="000977F7">
        <w:rPr>
          <w:rFonts w:asciiTheme="majorHAnsi" w:hAnsiTheme="majorHAnsi"/>
          <w:w w:val="99"/>
          <w:sz w:val="20"/>
          <w:szCs w:val="20"/>
        </w:rPr>
        <w:t>е</w:t>
      </w:r>
      <w:r w:rsidRPr="000977F7">
        <w:rPr>
          <w:rFonts w:asciiTheme="majorHAnsi" w:hAnsiTheme="majorHAnsi"/>
          <w:spacing w:val="-1"/>
          <w:w w:val="99"/>
          <w:sz w:val="20"/>
          <w:szCs w:val="20"/>
        </w:rPr>
        <w:t>р</w:t>
      </w:r>
      <w:r w:rsidRPr="000977F7">
        <w:rPr>
          <w:rFonts w:asciiTheme="majorHAnsi" w:hAnsiTheme="majorHAnsi"/>
          <w:spacing w:val="1"/>
          <w:w w:val="99"/>
          <w:sz w:val="20"/>
          <w:szCs w:val="20"/>
        </w:rPr>
        <w:t>м</w:t>
      </w:r>
      <w:r w:rsidRPr="000977F7">
        <w:rPr>
          <w:rFonts w:asciiTheme="majorHAnsi" w:hAnsiTheme="majorHAnsi"/>
          <w:w w:val="99"/>
          <w:sz w:val="20"/>
          <w:szCs w:val="20"/>
        </w:rPr>
        <w:t>ін</w:t>
      </w:r>
      <w:r w:rsidRPr="000977F7">
        <w:rPr>
          <w:rFonts w:asciiTheme="majorHAnsi" w:hAnsiTheme="majorHAnsi"/>
          <w:sz w:val="20"/>
          <w:szCs w:val="20"/>
        </w:rPr>
        <w:t xml:space="preserve"> </w:t>
      </w:r>
      <w:r w:rsidRPr="000977F7">
        <w:rPr>
          <w:rFonts w:asciiTheme="majorHAnsi" w:hAnsiTheme="majorHAnsi"/>
          <w:spacing w:val="-2"/>
          <w:w w:val="44"/>
          <w:sz w:val="20"/>
          <w:szCs w:val="20"/>
        </w:rPr>
        <w:t>―</w:t>
      </w:r>
      <w:r w:rsidRPr="000977F7">
        <w:rPr>
          <w:rFonts w:asciiTheme="majorHAnsi" w:hAnsiTheme="majorHAnsi"/>
          <w:w w:val="99"/>
          <w:sz w:val="20"/>
          <w:szCs w:val="20"/>
        </w:rPr>
        <w:t>з</w:t>
      </w:r>
      <w:r w:rsidRPr="000977F7">
        <w:rPr>
          <w:rFonts w:asciiTheme="majorHAnsi" w:hAnsiTheme="majorHAnsi"/>
          <w:spacing w:val="2"/>
          <w:w w:val="99"/>
          <w:sz w:val="20"/>
          <w:szCs w:val="20"/>
        </w:rPr>
        <w:t>а</w:t>
      </w:r>
      <w:r w:rsidRPr="000977F7">
        <w:rPr>
          <w:rFonts w:asciiTheme="majorHAnsi" w:hAnsiTheme="majorHAnsi"/>
          <w:spacing w:val="-1"/>
          <w:w w:val="99"/>
          <w:sz w:val="20"/>
          <w:szCs w:val="20"/>
        </w:rPr>
        <w:t>тве</w:t>
      </w:r>
      <w:r w:rsidRPr="000977F7">
        <w:rPr>
          <w:rFonts w:asciiTheme="majorHAnsi" w:hAnsiTheme="majorHAnsi"/>
          <w:w w:val="99"/>
          <w:sz w:val="20"/>
          <w:szCs w:val="20"/>
        </w:rPr>
        <w:t>р</w:t>
      </w:r>
      <w:r w:rsidRPr="000977F7">
        <w:rPr>
          <w:rFonts w:asciiTheme="majorHAnsi" w:hAnsiTheme="majorHAnsi"/>
          <w:spacing w:val="1"/>
          <w:w w:val="99"/>
          <w:sz w:val="20"/>
          <w:szCs w:val="20"/>
        </w:rPr>
        <w:t>д</w:t>
      </w:r>
      <w:r w:rsidRPr="000977F7">
        <w:rPr>
          <w:rFonts w:asciiTheme="majorHAnsi" w:hAnsiTheme="majorHAnsi"/>
          <w:spacing w:val="-1"/>
          <w:w w:val="99"/>
          <w:sz w:val="20"/>
          <w:szCs w:val="20"/>
        </w:rPr>
        <w:t>ж</w:t>
      </w:r>
      <w:r w:rsidRPr="000977F7">
        <w:rPr>
          <w:rFonts w:asciiTheme="majorHAnsi" w:hAnsiTheme="majorHAnsi"/>
          <w:w w:val="99"/>
          <w:sz w:val="20"/>
          <w:szCs w:val="20"/>
        </w:rPr>
        <w:t>е</w:t>
      </w:r>
      <w:r w:rsidRPr="000977F7">
        <w:rPr>
          <w:rFonts w:asciiTheme="majorHAnsi" w:hAnsiTheme="majorHAnsi"/>
          <w:spacing w:val="-1"/>
          <w:w w:val="99"/>
          <w:sz w:val="20"/>
          <w:szCs w:val="20"/>
        </w:rPr>
        <w:t>н</w:t>
      </w:r>
      <w:r w:rsidRPr="000977F7">
        <w:rPr>
          <w:rFonts w:asciiTheme="majorHAnsi" w:hAnsiTheme="majorHAnsi"/>
          <w:w w:val="99"/>
          <w:sz w:val="20"/>
          <w:szCs w:val="20"/>
        </w:rPr>
        <w:t>о</w:t>
      </w:r>
      <w:r w:rsidRPr="000977F7">
        <w:rPr>
          <w:rFonts w:asciiTheme="majorHAnsi" w:hAnsiTheme="majorHAnsi"/>
          <w:sz w:val="20"/>
          <w:szCs w:val="20"/>
        </w:rPr>
        <w:t xml:space="preserve"> </w:t>
      </w:r>
      <w:r w:rsidRPr="000977F7">
        <w:rPr>
          <w:rFonts w:asciiTheme="majorHAnsi" w:hAnsiTheme="majorHAnsi"/>
          <w:w w:val="99"/>
          <w:sz w:val="20"/>
          <w:szCs w:val="20"/>
        </w:rPr>
        <w:t>за</w:t>
      </w:r>
      <w:r w:rsidRPr="000977F7">
        <w:rPr>
          <w:rFonts w:asciiTheme="majorHAnsi" w:hAnsiTheme="majorHAnsi"/>
          <w:spacing w:val="2"/>
          <w:w w:val="99"/>
          <w:sz w:val="20"/>
          <w:szCs w:val="20"/>
        </w:rPr>
        <w:t>с</w:t>
      </w:r>
      <w:r w:rsidRPr="000977F7">
        <w:rPr>
          <w:rFonts w:asciiTheme="majorHAnsi" w:hAnsiTheme="majorHAnsi"/>
          <w:spacing w:val="-1"/>
          <w:w w:val="99"/>
          <w:sz w:val="20"/>
          <w:szCs w:val="20"/>
        </w:rPr>
        <w:t>т</w:t>
      </w:r>
      <w:r w:rsidRPr="000977F7">
        <w:rPr>
          <w:rFonts w:asciiTheme="majorHAnsi" w:hAnsiTheme="majorHAnsi"/>
          <w:spacing w:val="1"/>
          <w:w w:val="99"/>
          <w:sz w:val="20"/>
          <w:szCs w:val="20"/>
        </w:rPr>
        <w:t>о</w:t>
      </w:r>
      <w:r w:rsidRPr="000977F7">
        <w:rPr>
          <w:rFonts w:asciiTheme="majorHAnsi" w:hAnsiTheme="majorHAnsi"/>
          <w:w w:val="99"/>
          <w:sz w:val="20"/>
          <w:szCs w:val="20"/>
        </w:rPr>
        <w:t>с</w:t>
      </w:r>
      <w:r w:rsidRPr="000977F7">
        <w:rPr>
          <w:rFonts w:asciiTheme="majorHAnsi" w:hAnsiTheme="majorHAnsi"/>
          <w:spacing w:val="1"/>
          <w:w w:val="99"/>
          <w:sz w:val="20"/>
          <w:szCs w:val="20"/>
        </w:rPr>
        <w:t>ов</w:t>
      </w:r>
      <w:r w:rsidRPr="000977F7">
        <w:rPr>
          <w:rFonts w:asciiTheme="majorHAnsi" w:hAnsiTheme="majorHAnsi"/>
          <w:spacing w:val="-4"/>
          <w:w w:val="99"/>
          <w:sz w:val="20"/>
          <w:szCs w:val="20"/>
        </w:rPr>
        <w:t>у</w:t>
      </w:r>
      <w:r w:rsidRPr="000977F7">
        <w:rPr>
          <w:rFonts w:asciiTheme="majorHAnsi" w:hAnsiTheme="majorHAnsi"/>
          <w:spacing w:val="-1"/>
          <w:w w:val="99"/>
          <w:sz w:val="20"/>
          <w:szCs w:val="20"/>
        </w:rPr>
        <w:t>ют</w:t>
      </w:r>
      <w:r w:rsidRPr="000977F7">
        <w:rPr>
          <w:rFonts w:asciiTheme="majorHAnsi" w:hAnsiTheme="majorHAnsi"/>
          <w:w w:val="99"/>
          <w:sz w:val="20"/>
          <w:szCs w:val="20"/>
        </w:rPr>
        <w:t>ь</w:t>
      </w:r>
      <w:r w:rsidRPr="000977F7">
        <w:rPr>
          <w:rFonts w:asciiTheme="majorHAnsi" w:hAnsiTheme="majorHAnsi"/>
          <w:sz w:val="20"/>
          <w:szCs w:val="20"/>
        </w:rPr>
        <w:t xml:space="preserve"> </w:t>
      </w:r>
      <w:r w:rsidRPr="000977F7">
        <w:rPr>
          <w:rFonts w:asciiTheme="majorHAnsi" w:hAnsiTheme="majorHAnsi"/>
          <w:spacing w:val="1"/>
          <w:w w:val="99"/>
          <w:sz w:val="20"/>
          <w:szCs w:val="20"/>
        </w:rPr>
        <w:t>д</w:t>
      </w:r>
      <w:r w:rsidRPr="000977F7">
        <w:rPr>
          <w:rFonts w:asciiTheme="majorHAnsi" w:hAnsiTheme="majorHAnsi"/>
          <w:spacing w:val="-1"/>
          <w:w w:val="99"/>
          <w:sz w:val="20"/>
          <w:szCs w:val="20"/>
        </w:rPr>
        <w:t>л</w:t>
      </w:r>
      <w:r w:rsidRPr="000977F7">
        <w:rPr>
          <w:rFonts w:asciiTheme="majorHAnsi" w:hAnsiTheme="majorHAnsi"/>
          <w:w w:val="99"/>
          <w:sz w:val="20"/>
          <w:szCs w:val="20"/>
        </w:rPr>
        <w:t>я</w:t>
      </w:r>
      <w:r w:rsidRPr="000977F7">
        <w:rPr>
          <w:rFonts w:asciiTheme="majorHAnsi" w:hAnsiTheme="majorHAnsi"/>
          <w:sz w:val="20"/>
          <w:szCs w:val="20"/>
        </w:rPr>
        <w:t xml:space="preserve"> </w:t>
      </w:r>
      <w:r w:rsidRPr="000977F7">
        <w:rPr>
          <w:rFonts w:asciiTheme="majorHAnsi" w:hAnsiTheme="majorHAnsi"/>
          <w:spacing w:val="-2"/>
          <w:w w:val="99"/>
          <w:sz w:val="20"/>
          <w:szCs w:val="20"/>
        </w:rPr>
        <w:t>п</w:t>
      </w:r>
      <w:r w:rsidRPr="000977F7">
        <w:rPr>
          <w:rFonts w:asciiTheme="majorHAnsi" w:hAnsiTheme="majorHAnsi"/>
          <w:spacing w:val="1"/>
          <w:w w:val="99"/>
          <w:sz w:val="20"/>
          <w:szCs w:val="20"/>
        </w:rPr>
        <w:t>о</w:t>
      </w:r>
      <w:r w:rsidRPr="000977F7">
        <w:rPr>
          <w:rFonts w:asciiTheme="majorHAnsi" w:hAnsiTheme="majorHAnsi"/>
          <w:w w:val="99"/>
          <w:sz w:val="20"/>
          <w:szCs w:val="20"/>
        </w:rPr>
        <w:t>з</w:t>
      </w:r>
      <w:r w:rsidRPr="000977F7">
        <w:rPr>
          <w:rFonts w:asciiTheme="majorHAnsi" w:hAnsiTheme="majorHAnsi"/>
          <w:spacing w:val="3"/>
          <w:w w:val="99"/>
          <w:sz w:val="20"/>
          <w:szCs w:val="20"/>
        </w:rPr>
        <w:t>н</w:t>
      </w:r>
      <w:r w:rsidRPr="000977F7">
        <w:rPr>
          <w:rFonts w:asciiTheme="majorHAnsi" w:hAnsiTheme="majorHAnsi"/>
          <w:spacing w:val="2"/>
          <w:w w:val="99"/>
          <w:sz w:val="20"/>
          <w:szCs w:val="20"/>
        </w:rPr>
        <w:t>а</w:t>
      </w:r>
      <w:r w:rsidRPr="000977F7">
        <w:rPr>
          <w:rFonts w:asciiTheme="majorHAnsi" w:hAnsiTheme="majorHAnsi"/>
          <w:w w:val="105"/>
          <w:sz w:val="20"/>
          <w:szCs w:val="20"/>
        </w:rPr>
        <w:t>чення</w:t>
      </w:r>
      <w:r w:rsidRPr="000977F7">
        <w:rPr>
          <w:rFonts w:asciiTheme="majorHAnsi" w:hAnsiTheme="majorHAnsi"/>
          <w:spacing w:val="-4"/>
          <w:w w:val="105"/>
          <w:sz w:val="20"/>
          <w:szCs w:val="20"/>
        </w:rPr>
        <w:t xml:space="preserve"> </w:t>
      </w:r>
      <w:r w:rsidRPr="000977F7">
        <w:rPr>
          <w:rFonts w:asciiTheme="majorHAnsi" w:hAnsiTheme="majorHAnsi"/>
          <w:w w:val="105"/>
          <w:sz w:val="20"/>
          <w:szCs w:val="20"/>
        </w:rPr>
        <w:t>відповідного</w:t>
      </w:r>
      <w:r w:rsidRPr="000977F7">
        <w:rPr>
          <w:rFonts w:asciiTheme="majorHAnsi" w:hAnsiTheme="majorHAnsi"/>
          <w:spacing w:val="-5"/>
          <w:w w:val="105"/>
          <w:sz w:val="20"/>
          <w:szCs w:val="20"/>
        </w:rPr>
        <w:t xml:space="preserve"> </w:t>
      </w:r>
      <w:r w:rsidRPr="000977F7">
        <w:rPr>
          <w:rFonts w:asciiTheme="majorHAnsi" w:hAnsiTheme="majorHAnsi"/>
          <w:w w:val="105"/>
          <w:sz w:val="20"/>
          <w:szCs w:val="20"/>
        </w:rPr>
        <w:t>статусу.</w:t>
      </w:r>
    </w:p>
    <w:p w14:paraId="6262FE6E" w14:textId="77777777" w:rsidR="0097612F" w:rsidRPr="000977F7" w:rsidRDefault="0097612F" w:rsidP="00FD39A4">
      <w:pPr>
        <w:pStyle w:val="ac"/>
        <w:widowControl w:val="0"/>
        <w:numPr>
          <w:ilvl w:val="0"/>
          <w:numId w:val="176"/>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Можна</w:t>
      </w:r>
      <w:r w:rsidRPr="000977F7">
        <w:rPr>
          <w:rFonts w:asciiTheme="majorHAnsi" w:hAnsiTheme="majorHAnsi"/>
          <w:spacing w:val="1"/>
          <w:sz w:val="20"/>
          <w:szCs w:val="20"/>
        </w:rPr>
        <w:t xml:space="preserve"> </w:t>
      </w:r>
      <w:r w:rsidRPr="000977F7">
        <w:rPr>
          <w:rFonts w:asciiTheme="majorHAnsi" w:hAnsiTheme="majorHAnsi"/>
          <w:sz w:val="20"/>
          <w:szCs w:val="20"/>
        </w:rPr>
        <w:t>виконувати</w:t>
      </w:r>
      <w:r w:rsidRPr="000977F7">
        <w:rPr>
          <w:rFonts w:asciiTheme="majorHAnsi" w:hAnsiTheme="majorHAnsi"/>
          <w:spacing w:val="1"/>
          <w:sz w:val="20"/>
          <w:szCs w:val="20"/>
        </w:rPr>
        <w:t xml:space="preserve"> </w:t>
      </w:r>
      <w:r w:rsidRPr="000977F7">
        <w:rPr>
          <w:rFonts w:asciiTheme="majorHAnsi" w:hAnsiTheme="majorHAnsi"/>
          <w:sz w:val="20"/>
          <w:szCs w:val="20"/>
        </w:rPr>
        <w:t>багаторазові</w:t>
      </w:r>
      <w:r w:rsidRPr="000977F7">
        <w:rPr>
          <w:rFonts w:asciiTheme="majorHAnsi" w:hAnsiTheme="majorHAnsi"/>
          <w:spacing w:val="1"/>
          <w:sz w:val="20"/>
          <w:szCs w:val="20"/>
        </w:rPr>
        <w:t xml:space="preserve"> </w:t>
      </w:r>
      <w:r w:rsidRPr="000977F7">
        <w:rPr>
          <w:rFonts w:asciiTheme="majorHAnsi" w:hAnsiTheme="majorHAnsi"/>
          <w:sz w:val="20"/>
          <w:szCs w:val="20"/>
        </w:rPr>
        <w:t>затвердження,</w:t>
      </w:r>
      <w:r w:rsidRPr="000977F7">
        <w:rPr>
          <w:rFonts w:asciiTheme="majorHAnsi" w:hAnsiTheme="majorHAnsi"/>
          <w:spacing w:val="1"/>
          <w:sz w:val="20"/>
          <w:szCs w:val="20"/>
        </w:rPr>
        <w:t xml:space="preserve"> </w:t>
      </w:r>
      <w:r w:rsidRPr="000977F7">
        <w:rPr>
          <w:rFonts w:asciiTheme="majorHAnsi" w:hAnsiTheme="majorHAnsi"/>
          <w:sz w:val="20"/>
          <w:szCs w:val="20"/>
        </w:rPr>
        <w:t>якщо передбачається</w:t>
      </w:r>
      <w:r w:rsidRPr="000977F7">
        <w:rPr>
          <w:rFonts w:asciiTheme="majorHAnsi" w:hAnsiTheme="majorHAnsi"/>
          <w:spacing w:val="-2"/>
          <w:sz w:val="20"/>
          <w:szCs w:val="20"/>
        </w:rPr>
        <w:t xml:space="preserve"> </w:t>
      </w:r>
      <w:r w:rsidRPr="000977F7">
        <w:rPr>
          <w:rFonts w:asciiTheme="majorHAnsi" w:hAnsiTheme="majorHAnsi"/>
          <w:sz w:val="20"/>
          <w:szCs w:val="20"/>
        </w:rPr>
        <w:t>різне</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p>
    <w:p w14:paraId="0AC7B521"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lastRenderedPageBreak/>
        <w:t>ЗАТВЕРДЖЕННЯ</w:t>
      </w:r>
      <w:r w:rsidRPr="000977F7">
        <w:rPr>
          <w:color w:val="auto"/>
          <w:spacing w:val="20"/>
          <w:sz w:val="20"/>
          <w:szCs w:val="20"/>
        </w:rPr>
        <w:t xml:space="preserve"> </w:t>
      </w:r>
      <w:r w:rsidRPr="000977F7">
        <w:rPr>
          <w:color w:val="auto"/>
          <w:sz w:val="20"/>
          <w:szCs w:val="20"/>
        </w:rPr>
        <w:t>(ПРОДУКЦІЇ,</w:t>
      </w:r>
      <w:r w:rsidRPr="000977F7">
        <w:rPr>
          <w:color w:val="auto"/>
          <w:spacing w:val="21"/>
          <w:sz w:val="20"/>
          <w:szCs w:val="20"/>
        </w:rPr>
        <w:t xml:space="preserve"> </w:t>
      </w:r>
      <w:r w:rsidRPr="000977F7">
        <w:rPr>
          <w:color w:val="auto"/>
          <w:sz w:val="20"/>
          <w:szCs w:val="20"/>
        </w:rPr>
        <w:t>ПРОЦЕСУ</w:t>
      </w:r>
      <w:r w:rsidRPr="000977F7">
        <w:rPr>
          <w:color w:val="auto"/>
          <w:spacing w:val="26"/>
          <w:sz w:val="20"/>
          <w:szCs w:val="20"/>
        </w:rPr>
        <w:t xml:space="preserve"> </w:t>
      </w:r>
      <w:r w:rsidRPr="000977F7">
        <w:rPr>
          <w:color w:val="auto"/>
          <w:sz w:val="20"/>
          <w:szCs w:val="20"/>
        </w:rPr>
        <w:t>ЧИ</w:t>
      </w:r>
      <w:r w:rsidRPr="000977F7">
        <w:rPr>
          <w:color w:val="auto"/>
          <w:spacing w:val="-47"/>
          <w:sz w:val="20"/>
          <w:szCs w:val="20"/>
        </w:rPr>
        <w:t xml:space="preserve"> </w:t>
      </w:r>
      <w:r w:rsidRPr="000977F7">
        <w:rPr>
          <w:color w:val="auto"/>
          <w:sz w:val="20"/>
          <w:szCs w:val="20"/>
        </w:rPr>
        <w:t>ПОСЛУГИ)</w:t>
      </w:r>
      <w:r w:rsidRPr="000977F7">
        <w:rPr>
          <w:color w:val="auto"/>
          <w:spacing w:val="1"/>
          <w:sz w:val="20"/>
          <w:szCs w:val="20"/>
        </w:rPr>
        <w:t xml:space="preserve"> </w:t>
      </w:r>
      <w:r w:rsidRPr="000977F7">
        <w:rPr>
          <w:b w:val="0"/>
          <w:color w:val="auto"/>
          <w:sz w:val="20"/>
          <w:szCs w:val="20"/>
        </w:rPr>
        <w:t>–</w:t>
      </w:r>
    </w:p>
    <w:p w14:paraId="2A7C6D6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APPROVAL</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027F08E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Дозвіл на вихід продукції, процесу чи послуги на ринок чи на їх використання за заданим призначенням</w:t>
      </w:r>
      <w:r w:rsidRPr="000977F7">
        <w:rPr>
          <w:rFonts w:asciiTheme="majorHAnsi" w:hAnsiTheme="majorHAnsi"/>
          <w:spacing w:val="1"/>
          <w:sz w:val="20"/>
          <w:szCs w:val="20"/>
        </w:rPr>
        <w:t xml:space="preserve"> </w:t>
      </w:r>
      <w:r w:rsidRPr="000977F7">
        <w:rPr>
          <w:rFonts w:asciiTheme="majorHAnsi" w:hAnsiTheme="majorHAnsi"/>
          <w:sz w:val="20"/>
          <w:szCs w:val="20"/>
        </w:rPr>
        <w:t>або за заданими</w:t>
      </w:r>
      <w:r w:rsidRPr="000977F7">
        <w:rPr>
          <w:rFonts w:asciiTheme="majorHAnsi" w:hAnsiTheme="majorHAnsi"/>
          <w:spacing w:val="1"/>
          <w:sz w:val="20"/>
          <w:szCs w:val="20"/>
        </w:rPr>
        <w:t xml:space="preserve"> </w:t>
      </w:r>
      <w:r w:rsidRPr="000977F7">
        <w:rPr>
          <w:rFonts w:asciiTheme="majorHAnsi" w:hAnsiTheme="majorHAnsi"/>
          <w:sz w:val="20"/>
          <w:szCs w:val="20"/>
        </w:rPr>
        <w:t>умовами</w:t>
      </w:r>
    </w:p>
    <w:p w14:paraId="5E84532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ЗАТВЕРДЖЕННЯ</w:t>
      </w:r>
      <w:r w:rsidRPr="000977F7">
        <w:rPr>
          <w:rFonts w:asciiTheme="majorHAnsi" w:hAnsiTheme="majorHAnsi"/>
          <w:b/>
          <w:spacing w:val="34"/>
          <w:sz w:val="20"/>
          <w:szCs w:val="20"/>
        </w:rPr>
        <w:t xml:space="preserve"> </w:t>
      </w:r>
      <w:r w:rsidRPr="000977F7">
        <w:rPr>
          <w:rFonts w:asciiTheme="majorHAnsi" w:hAnsiTheme="majorHAnsi"/>
          <w:b/>
          <w:sz w:val="20"/>
          <w:szCs w:val="20"/>
        </w:rPr>
        <w:t>(ПРОДУКЦІЇ)</w:t>
      </w:r>
      <w:r w:rsidRPr="000977F7">
        <w:rPr>
          <w:rFonts w:asciiTheme="majorHAnsi" w:hAnsiTheme="majorHAnsi"/>
          <w:b/>
          <w:spacing w:val="36"/>
          <w:sz w:val="20"/>
          <w:szCs w:val="20"/>
        </w:rPr>
        <w:t xml:space="preserve"> </w:t>
      </w:r>
      <w:r w:rsidRPr="000977F7">
        <w:rPr>
          <w:rFonts w:asciiTheme="majorHAnsi" w:hAnsiTheme="majorHAnsi"/>
          <w:b/>
          <w:sz w:val="20"/>
          <w:szCs w:val="20"/>
        </w:rPr>
        <w:t>ЗА</w:t>
      </w:r>
      <w:r w:rsidRPr="000977F7">
        <w:rPr>
          <w:rFonts w:asciiTheme="majorHAnsi" w:hAnsiTheme="majorHAnsi"/>
          <w:b/>
          <w:spacing w:val="38"/>
          <w:sz w:val="20"/>
          <w:szCs w:val="20"/>
        </w:rPr>
        <w:t xml:space="preserve"> </w:t>
      </w:r>
      <w:r w:rsidRPr="000977F7">
        <w:rPr>
          <w:rFonts w:asciiTheme="majorHAnsi" w:hAnsiTheme="majorHAnsi"/>
          <w:b/>
          <w:sz w:val="20"/>
          <w:szCs w:val="20"/>
        </w:rPr>
        <w:t>ЗРАЗКОМ</w:t>
      </w:r>
      <w:r w:rsidRPr="000977F7">
        <w:rPr>
          <w:rFonts w:asciiTheme="majorHAnsi" w:hAnsiTheme="majorHAnsi"/>
          <w:b/>
          <w:spacing w:val="40"/>
          <w:sz w:val="20"/>
          <w:szCs w:val="20"/>
        </w:rPr>
        <w:t xml:space="preserve"> </w:t>
      </w:r>
      <w:r w:rsidRPr="000977F7">
        <w:rPr>
          <w:rFonts w:asciiTheme="majorHAnsi" w:hAnsiTheme="majorHAnsi"/>
          <w:sz w:val="20"/>
          <w:szCs w:val="20"/>
        </w:rPr>
        <w:t>–</w:t>
      </w:r>
      <w:r w:rsidRPr="000977F7">
        <w:rPr>
          <w:rFonts w:asciiTheme="majorHAnsi" w:hAnsiTheme="majorHAnsi"/>
          <w:spacing w:val="-47"/>
          <w:sz w:val="20"/>
          <w:szCs w:val="20"/>
        </w:rPr>
        <w:t xml:space="preserve"> </w:t>
      </w:r>
      <w:r w:rsidRPr="000977F7">
        <w:rPr>
          <w:rFonts w:asciiTheme="majorHAnsi" w:hAnsiTheme="majorHAnsi"/>
          <w:sz w:val="20"/>
          <w:szCs w:val="20"/>
        </w:rPr>
        <w:t>TYPE</w:t>
      </w:r>
      <w:r w:rsidRPr="000977F7">
        <w:rPr>
          <w:rFonts w:asciiTheme="majorHAnsi" w:hAnsiTheme="majorHAnsi"/>
          <w:spacing w:val="-1"/>
          <w:sz w:val="20"/>
          <w:szCs w:val="20"/>
        </w:rPr>
        <w:t xml:space="preserve"> </w:t>
      </w:r>
      <w:r w:rsidRPr="000977F7">
        <w:rPr>
          <w:rFonts w:asciiTheme="majorHAnsi" w:hAnsiTheme="majorHAnsi"/>
          <w:sz w:val="20"/>
          <w:szCs w:val="20"/>
        </w:rPr>
        <w:t>APPROVAL –</w:t>
      </w:r>
    </w:p>
    <w:p w14:paraId="157656C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Затвердження продукції на підставі її оцінювання за</w:t>
      </w:r>
      <w:r w:rsidRPr="000977F7">
        <w:rPr>
          <w:rFonts w:asciiTheme="majorHAnsi" w:hAnsiTheme="majorHAnsi"/>
          <w:spacing w:val="1"/>
          <w:sz w:val="20"/>
          <w:szCs w:val="20"/>
        </w:rPr>
        <w:t xml:space="preserve"> </w:t>
      </w:r>
      <w:r w:rsidRPr="000977F7">
        <w:rPr>
          <w:rFonts w:asciiTheme="majorHAnsi" w:hAnsiTheme="majorHAnsi"/>
          <w:sz w:val="20"/>
          <w:szCs w:val="20"/>
        </w:rPr>
        <w:t>зразком</w:t>
      </w:r>
    </w:p>
    <w:p w14:paraId="77EC2B2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ЗАХИСНА</w:t>
      </w:r>
      <w:r w:rsidRPr="000977F7">
        <w:rPr>
          <w:color w:val="auto"/>
          <w:spacing w:val="-5"/>
          <w:sz w:val="20"/>
          <w:szCs w:val="20"/>
        </w:rPr>
        <w:t xml:space="preserve"> </w:t>
      </w:r>
      <w:r w:rsidRPr="000977F7">
        <w:rPr>
          <w:color w:val="auto"/>
          <w:sz w:val="20"/>
          <w:szCs w:val="20"/>
        </w:rPr>
        <w:t>АТМОСФЕРА —</w:t>
      </w:r>
    </w:p>
    <w:p w14:paraId="3A40FBC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PROTECTIVE</w:t>
      </w:r>
      <w:r w:rsidRPr="000977F7">
        <w:rPr>
          <w:rFonts w:asciiTheme="majorHAnsi" w:hAnsiTheme="majorHAnsi"/>
          <w:spacing w:val="-4"/>
          <w:sz w:val="20"/>
          <w:szCs w:val="20"/>
        </w:rPr>
        <w:t xml:space="preserve"> </w:t>
      </w:r>
      <w:r w:rsidRPr="000977F7">
        <w:rPr>
          <w:rFonts w:asciiTheme="majorHAnsi" w:hAnsiTheme="majorHAnsi"/>
          <w:sz w:val="20"/>
          <w:szCs w:val="20"/>
        </w:rPr>
        <w:t>ATMOSPHERE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A0784D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Штучно створена атмосфера в замкненому просторі з</w:t>
      </w:r>
      <w:r w:rsidRPr="000977F7">
        <w:rPr>
          <w:rFonts w:asciiTheme="majorHAnsi" w:hAnsiTheme="majorHAnsi"/>
          <w:spacing w:val="1"/>
          <w:sz w:val="20"/>
          <w:szCs w:val="20"/>
        </w:rPr>
        <w:t xml:space="preserve"> </w:t>
      </w:r>
      <w:r w:rsidRPr="000977F7">
        <w:rPr>
          <w:rFonts w:asciiTheme="majorHAnsi" w:hAnsiTheme="majorHAnsi"/>
          <w:sz w:val="20"/>
          <w:szCs w:val="20"/>
        </w:rPr>
        <w:t>метою</w:t>
      </w:r>
      <w:r w:rsidRPr="000977F7">
        <w:rPr>
          <w:rFonts w:asciiTheme="majorHAnsi" w:hAnsiTheme="majorHAnsi"/>
          <w:spacing w:val="-1"/>
          <w:sz w:val="20"/>
          <w:szCs w:val="20"/>
        </w:rPr>
        <w:t xml:space="preserve"> </w:t>
      </w:r>
      <w:r w:rsidRPr="000977F7">
        <w:rPr>
          <w:rFonts w:asciiTheme="majorHAnsi" w:hAnsiTheme="majorHAnsi"/>
          <w:sz w:val="20"/>
          <w:szCs w:val="20"/>
        </w:rPr>
        <w:t>захищення</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корозії</w:t>
      </w:r>
    </w:p>
    <w:p w14:paraId="3D7F0E02"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3830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98</w:t>
      </w:r>
    </w:p>
    <w:p w14:paraId="4E49328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ЗАХИСНА</w:t>
      </w:r>
      <w:r w:rsidRPr="000977F7">
        <w:rPr>
          <w:color w:val="auto"/>
          <w:spacing w:val="-3"/>
          <w:sz w:val="20"/>
          <w:szCs w:val="20"/>
        </w:rPr>
        <w:t xml:space="preserve"> </w:t>
      </w:r>
      <w:r w:rsidRPr="000977F7">
        <w:rPr>
          <w:color w:val="auto"/>
          <w:sz w:val="20"/>
          <w:szCs w:val="20"/>
        </w:rPr>
        <w:t>ГУСТИНА</w:t>
      </w:r>
      <w:r w:rsidRPr="000977F7">
        <w:rPr>
          <w:color w:val="auto"/>
          <w:spacing w:val="-3"/>
          <w:sz w:val="20"/>
          <w:szCs w:val="20"/>
        </w:rPr>
        <w:t xml:space="preserve"> </w:t>
      </w:r>
      <w:r w:rsidRPr="000977F7">
        <w:rPr>
          <w:color w:val="auto"/>
          <w:sz w:val="20"/>
          <w:szCs w:val="20"/>
        </w:rPr>
        <w:t>СТРУМУ</w:t>
      </w:r>
      <w:r w:rsidRPr="000977F7">
        <w:rPr>
          <w:color w:val="auto"/>
          <w:spacing w:val="-3"/>
          <w:sz w:val="20"/>
          <w:szCs w:val="20"/>
        </w:rPr>
        <w:t xml:space="preserve"> </w:t>
      </w:r>
      <w:r w:rsidRPr="000977F7">
        <w:rPr>
          <w:color w:val="auto"/>
          <w:sz w:val="20"/>
          <w:szCs w:val="20"/>
        </w:rPr>
        <w:t>—</w:t>
      </w:r>
    </w:p>
    <w:p w14:paraId="692429A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PROTECTIVE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CURRENT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DENSITY –</w:t>
      </w:r>
    </w:p>
    <w:p w14:paraId="2B5FBA60"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Густина</w:t>
      </w:r>
      <w:r w:rsidRPr="000977F7">
        <w:rPr>
          <w:rFonts w:asciiTheme="majorHAnsi" w:hAnsiTheme="majorHAnsi"/>
          <w:spacing w:val="46"/>
          <w:sz w:val="20"/>
          <w:szCs w:val="20"/>
        </w:rPr>
        <w:t xml:space="preserve"> </w:t>
      </w:r>
      <w:r w:rsidRPr="000977F7">
        <w:rPr>
          <w:rFonts w:asciiTheme="majorHAnsi" w:hAnsiTheme="majorHAnsi"/>
          <w:sz w:val="20"/>
          <w:szCs w:val="20"/>
        </w:rPr>
        <w:t>електричного</w:t>
      </w:r>
      <w:r w:rsidRPr="000977F7">
        <w:rPr>
          <w:rFonts w:asciiTheme="majorHAnsi" w:hAnsiTheme="majorHAnsi"/>
          <w:spacing w:val="46"/>
          <w:sz w:val="20"/>
          <w:szCs w:val="20"/>
        </w:rPr>
        <w:t xml:space="preserve"> </w:t>
      </w:r>
      <w:r w:rsidRPr="000977F7">
        <w:rPr>
          <w:rFonts w:asciiTheme="majorHAnsi" w:hAnsiTheme="majorHAnsi"/>
          <w:sz w:val="20"/>
          <w:szCs w:val="20"/>
        </w:rPr>
        <w:t>струму,</w:t>
      </w:r>
      <w:r w:rsidRPr="000977F7">
        <w:rPr>
          <w:rFonts w:asciiTheme="majorHAnsi" w:hAnsiTheme="majorHAnsi"/>
          <w:spacing w:val="47"/>
          <w:sz w:val="20"/>
          <w:szCs w:val="20"/>
        </w:rPr>
        <w:t xml:space="preserve"> </w:t>
      </w:r>
      <w:r w:rsidRPr="000977F7">
        <w:rPr>
          <w:rFonts w:asciiTheme="majorHAnsi" w:hAnsiTheme="majorHAnsi"/>
          <w:sz w:val="20"/>
          <w:szCs w:val="20"/>
        </w:rPr>
        <w:t>що</w:t>
      </w:r>
      <w:r w:rsidRPr="000977F7">
        <w:rPr>
          <w:rFonts w:asciiTheme="majorHAnsi" w:hAnsiTheme="majorHAnsi"/>
          <w:spacing w:val="46"/>
          <w:sz w:val="20"/>
          <w:szCs w:val="20"/>
        </w:rPr>
        <w:t xml:space="preserve"> </w:t>
      </w:r>
      <w:r w:rsidRPr="000977F7">
        <w:rPr>
          <w:rFonts w:asciiTheme="majorHAnsi" w:hAnsiTheme="majorHAnsi"/>
          <w:sz w:val="20"/>
          <w:szCs w:val="20"/>
        </w:rPr>
        <w:t>тече</w:t>
      </w:r>
      <w:r w:rsidRPr="000977F7">
        <w:rPr>
          <w:rFonts w:asciiTheme="majorHAnsi" w:hAnsiTheme="majorHAnsi"/>
          <w:spacing w:val="47"/>
          <w:sz w:val="20"/>
          <w:szCs w:val="20"/>
        </w:rPr>
        <w:t xml:space="preserve"> </w:t>
      </w:r>
      <w:r w:rsidRPr="000977F7">
        <w:rPr>
          <w:rFonts w:asciiTheme="majorHAnsi" w:hAnsiTheme="majorHAnsi"/>
          <w:sz w:val="20"/>
          <w:szCs w:val="20"/>
        </w:rPr>
        <w:t>до</w:t>
      </w:r>
      <w:r w:rsidRPr="000977F7">
        <w:rPr>
          <w:rFonts w:asciiTheme="majorHAnsi" w:hAnsiTheme="majorHAnsi"/>
          <w:spacing w:val="46"/>
          <w:sz w:val="20"/>
          <w:szCs w:val="20"/>
        </w:rPr>
        <w:t xml:space="preserve"> </w:t>
      </w:r>
      <w:r w:rsidRPr="000977F7">
        <w:rPr>
          <w:rFonts w:asciiTheme="majorHAnsi" w:hAnsiTheme="majorHAnsi"/>
          <w:sz w:val="20"/>
          <w:szCs w:val="20"/>
        </w:rPr>
        <w:t>поверхні</w:t>
      </w:r>
      <w:r w:rsidRPr="000977F7">
        <w:rPr>
          <w:rFonts w:asciiTheme="majorHAnsi" w:hAnsiTheme="majorHAnsi"/>
          <w:spacing w:val="-47"/>
          <w:sz w:val="20"/>
          <w:szCs w:val="20"/>
        </w:rPr>
        <w:t xml:space="preserve"> </w:t>
      </w:r>
      <w:r w:rsidRPr="000977F7">
        <w:rPr>
          <w:rFonts w:asciiTheme="majorHAnsi" w:hAnsiTheme="majorHAnsi"/>
          <w:sz w:val="20"/>
          <w:szCs w:val="20"/>
        </w:rPr>
        <w:t>металу</w:t>
      </w:r>
      <w:r w:rsidRPr="000977F7">
        <w:rPr>
          <w:rFonts w:asciiTheme="majorHAnsi" w:hAnsiTheme="majorHAnsi"/>
          <w:spacing w:val="4"/>
          <w:sz w:val="20"/>
          <w:szCs w:val="20"/>
        </w:rPr>
        <w:t xml:space="preserve"> </w:t>
      </w:r>
      <w:r w:rsidRPr="000977F7">
        <w:rPr>
          <w:rFonts w:asciiTheme="majorHAnsi" w:hAnsiTheme="majorHAnsi"/>
          <w:sz w:val="20"/>
          <w:szCs w:val="20"/>
        </w:rPr>
        <w:t>або</w:t>
      </w:r>
      <w:r w:rsidRPr="000977F7">
        <w:rPr>
          <w:rFonts w:asciiTheme="majorHAnsi" w:hAnsiTheme="majorHAnsi"/>
          <w:spacing w:val="9"/>
          <w:sz w:val="20"/>
          <w:szCs w:val="20"/>
        </w:rPr>
        <w:t xml:space="preserve"> </w:t>
      </w:r>
      <w:r w:rsidRPr="000977F7">
        <w:rPr>
          <w:rFonts w:asciiTheme="majorHAnsi" w:hAnsiTheme="majorHAnsi"/>
          <w:sz w:val="20"/>
          <w:szCs w:val="20"/>
        </w:rPr>
        <w:t>від</w:t>
      </w:r>
      <w:r w:rsidRPr="000977F7">
        <w:rPr>
          <w:rFonts w:asciiTheme="majorHAnsi" w:hAnsiTheme="majorHAnsi"/>
          <w:spacing w:val="11"/>
          <w:sz w:val="20"/>
          <w:szCs w:val="20"/>
        </w:rPr>
        <w:t xml:space="preserve"> </w:t>
      </w:r>
      <w:r w:rsidRPr="000977F7">
        <w:rPr>
          <w:rFonts w:asciiTheme="majorHAnsi" w:hAnsiTheme="majorHAnsi"/>
          <w:sz w:val="20"/>
          <w:szCs w:val="20"/>
        </w:rPr>
        <w:t>неї,</w:t>
      </w:r>
      <w:r w:rsidRPr="000977F7">
        <w:rPr>
          <w:rFonts w:asciiTheme="majorHAnsi" w:hAnsiTheme="majorHAnsi"/>
          <w:spacing w:val="11"/>
          <w:sz w:val="20"/>
          <w:szCs w:val="20"/>
        </w:rPr>
        <w:t xml:space="preserve"> </w:t>
      </w:r>
      <w:r w:rsidRPr="000977F7">
        <w:rPr>
          <w:rFonts w:asciiTheme="majorHAnsi" w:hAnsiTheme="majorHAnsi"/>
          <w:sz w:val="20"/>
          <w:szCs w:val="20"/>
        </w:rPr>
        <w:t>необхідна</w:t>
      </w:r>
      <w:r w:rsidRPr="000977F7">
        <w:rPr>
          <w:rFonts w:asciiTheme="majorHAnsi" w:hAnsiTheme="majorHAnsi"/>
          <w:spacing w:val="9"/>
          <w:sz w:val="20"/>
          <w:szCs w:val="20"/>
        </w:rPr>
        <w:t xml:space="preserve"> </w:t>
      </w:r>
      <w:r w:rsidRPr="000977F7">
        <w:rPr>
          <w:rFonts w:asciiTheme="majorHAnsi" w:hAnsiTheme="majorHAnsi"/>
          <w:sz w:val="20"/>
          <w:szCs w:val="20"/>
        </w:rPr>
        <w:t>для</w:t>
      </w:r>
      <w:r w:rsidRPr="000977F7">
        <w:rPr>
          <w:rFonts w:asciiTheme="majorHAnsi" w:hAnsiTheme="majorHAnsi"/>
          <w:spacing w:val="10"/>
          <w:sz w:val="20"/>
          <w:szCs w:val="20"/>
        </w:rPr>
        <w:t xml:space="preserve"> </w:t>
      </w:r>
      <w:r w:rsidRPr="000977F7">
        <w:rPr>
          <w:rFonts w:asciiTheme="majorHAnsi" w:hAnsiTheme="majorHAnsi"/>
          <w:sz w:val="20"/>
          <w:szCs w:val="20"/>
        </w:rPr>
        <w:t>підтримування</w:t>
      </w:r>
      <w:r w:rsidRPr="000977F7">
        <w:rPr>
          <w:rFonts w:asciiTheme="majorHAnsi" w:hAnsiTheme="majorHAnsi"/>
          <w:spacing w:val="10"/>
          <w:sz w:val="20"/>
          <w:szCs w:val="20"/>
        </w:rPr>
        <w:t xml:space="preserve"> </w:t>
      </w:r>
      <w:r w:rsidRPr="000977F7">
        <w:rPr>
          <w:rFonts w:asciiTheme="majorHAnsi" w:hAnsiTheme="majorHAnsi"/>
          <w:sz w:val="20"/>
          <w:szCs w:val="20"/>
        </w:rPr>
        <w:t>його</w:t>
      </w:r>
      <w:r w:rsidRPr="000977F7">
        <w:rPr>
          <w:rFonts w:asciiTheme="majorHAnsi" w:hAnsiTheme="majorHAnsi"/>
          <w:spacing w:val="-47"/>
          <w:sz w:val="20"/>
          <w:szCs w:val="20"/>
        </w:rPr>
        <w:t xml:space="preserve"> </w:t>
      </w:r>
      <w:r w:rsidRPr="000977F7">
        <w:rPr>
          <w:rFonts w:asciiTheme="majorHAnsi" w:hAnsiTheme="majorHAnsi"/>
          <w:sz w:val="20"/>
          <w:szCs w:val="20"/>
        </w:rPr>
        <w:t>потенціалу корозії в діапазоні захисного потенціалу</w:t>
      </w:r>
      <w:r w:rsidRPr="000977F7">
        <w:rPr>
          <w:rFonts w:asciiTheme="majorHAnsi" w:hAnsiTheme="majorHAns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127DB74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ЗАХИСНА</w:t>
      </w:r>
      <w:r w:rsidRPr="000977F7">
        <w:rPr>
          <w:color w:val="auto"/>
          <w:spacing w:val="-4"/>
          <w:sz w:val="20"/>
          <w:szCs w:val="20"/>
        </w:rPr>
        <w:t xml:space="preserve"> </w:t>
      </w:r>
      <w:r w:rsidRPr="000977F7">
        <w:rPr>
          <w:color w:val="auto"/>
          <w:sz w:val="20"/>
          <w:szCs w:val="20"/>
        </w:rPr>
        <w:t>ПЛІВКА</w:t>
      </w:r>
      <w:r w:rsidRPr="000977F7">
        <w:rPr>
          <w:color w:val="auto"/>
          <w:spacing w:val="-3"/>
          <w:sz w:val="20"/>
          <w:szCs w:val="20"/>
        </w:rPr>
        <w:t xml:space="preserve"> </w:t>
      </w:r>
      <w:r w:rsidRPr="000977F7">
        <w:rPr>
          <w:color w:val="auto"/>
          <w:sz w:val="20"/>
          <w:szCs w:val="20"/>
        </w:rPr>
        <w:t>—</w:t>
      </w:r>
    </w:p>
    <w:p w14:paraId="7BEC5C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Плівка, що утворюється на металі в природних умовах внаслідок його взаємодії з корозивним середовищем або штучного хімічного чи електрохімічного обробляння</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утруднює</w:t>
      </w:r>
      <w:r w:rsidRPr="000977F7">
        <w:rPr>
          <w:rFonts w:asciiTheme="majorHAnsi" w:hAnsiTheme="majorHAnsi"/>
          <w:spacing w:val="-1"/>
          <w:sz w:val="20"/>
          <w:szCs w:val="20"/>
        </w:rPr>
        <w:t xml:space="preserve"> </w:t>
      </w:r>
      <w:r w:rsidRPr="000977F7">
        <w:rPr>
          <w:rFonts w:asciiTheme="majorHAnsi" w:hAnsiTheme="majorHAnsi"/>
          <w:sz w:val="20"/>
          <w:szCs w:val="20"/>
        </w:rPr>
        <w:t>процес</w:t>
      </w:r>
      <w:r w:rsidRPr="000977F7">
        <w:rPr>
          <w:rFonts w:asciiTheme="majorHAnsi" w:hAnsiTheme="majorHAnsi"/>
          <w:spacing w:val="3"/>
          <w:sz w:val="20"/>
          <w:szCs w:val="20"/>
        </w:rPr>
        <w:t xml:space="preserve"> </w:t>
      </w:r>
      <w:r w:rsidRPr="000977F7">
        <w:rPr>
          <w:rFonts w:asciiTheme="majorHAnsi" w:hAnsiTheme="majorHAnsi"/>
          <w:sz w:val="20"/>
          <w:szCs w:val="20"/>
        </w:rPr>
        <w:t>корозії</w:t>
      </w:r>
    </w:p>
    <w:p w14:paraId="35AA7DC8"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3830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98</w:t>
      </w:r>
    </w:p>
    <w:p w14:paraId="68A82DB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ЗАХИСНЕ</w:t>
      </w:r>
      <w:r w:rsidRPr="000977F7">
        <w:rPr>
          <w:color w:val="auto"/>
          <w:spacing w:val="-8"/>
          <w:sz w:val="20"/>
          <w:szCs w:val="20"/>
        </w:rPr>
        <w:t xml:space="preserve"> </w:t>
      </w:r>
      <w:r w:rsidRPr="000977F7">
        <w:rPr>
          <w:color w:val="auto"/>
          <w:sz w:val="20"/>
          <w:szCs w:val="20"/>
        </w:rPr>
        <w:t>ПОКРИТТЯ</w:t>
      </w:r>
      <w:r w:rsidRPr="000977F7">
        <w:rPr>
          <w:color w:val="auto"/>
          <w:spacing w:val="-4"/>
          <w:sz w:val="20"/>
          <w:szCs w:val="20"/>
        </w:rPr>
        <w:t xml:space="preserve"> </w:t>
      </w:r>
      <w:r w:rsidRPr="000977F7">
        <w:rPr>
          <w:color w:val="auto"/>
          <w:sz w:val="20"/>
          <w:szCs w:val="20"/>
        </w:rPr>
        <w:t>–</w:t>
      </w:r>
    </w:p>
    <w:p w14:paraId="16EE609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PROTECTIVE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COATING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51FCEAB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Штучно створений шар на поверхні металу, призначений</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захисту</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корозії</w:t>
      </w:r>
    </w:p>
    <w:p w14:paraId="6EC4F7C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15622E7D"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bookmarkStart w:id="60" w:name="_Hlk103668052"/>
      <w:r w:rsidRPr="000977F7">
        <w:rPr>
          <w:rFonts w:asciiTheme="majorHAnsi" w:hAnsiTheme="majorHAnsi"/>
          <w:b/>
          <w:bCs/>
          <w:iCs/>
          <w:sz w:val="20"/>
          <w:szCs w:val="20"/>
        </w:rPr>
        <w:t>ЗАХИСНИЙ ЗАСІБ –</w:t>
      </w:r>
    </w:p>
    <w:p w14:paraId="729E36DE"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iCs/>
          <w:sz w:val="20"/>
          <w:szCs w:val="20"/>
        </w:rPr>
        <w:t>SAFEGUARD -</w:t>
      </w:r>
    </w:p>
    <w:bookmarkEnd w:id="60"/>
    <w:p w14:paraId="3AABCB1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Огорожа чи запобіжний пристрій </w:t>
      </w:r>
    </w:p>
    <w:p w14:paraId="6B9B6003"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42BF3C70"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bookmarkStart w:id="61" w:name="_Hlk103661177"/>
      <w:r w:rsidRPr="000977F7">
        <w:rPr>
          <w:rFonts w:asciiTheme="majorHAnsi" w:hAnsiTheme="majorHAnsi"/>
          <w:b/>
          <w:bCs/>
          <w:iCs/>
          <w:sz w:val="20"/>
          <w:szCs w:val="20"/>
        </w:rPr>
        <w:t>ЗАХИСНИЙ ЗАХІД –</w:t>
      </w:r>
    </w:p>
    <w:p w14:paraId="3D7E7D8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PROTEKTIV MEASURE –</w:t>
      </w:r>
    </w:p>
    <w:bookmarkEnd w:id="61"/>
    <w:p w14:paraId="38A1E8D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Захід, призначений для зменшення ризику, упроваджений: — проектантом (безпечна конструкція, захисні пристрої та додаткові запобіжні засоби, інформація для користувача) та/або — користувачем (організація: безпечні робочі операції, нагляд, системи дозволу; установлення та використання додаткових захисних пристроїв; використання індивідуального захисного устаткування, навчання).</w:t>
      </w:r>
    </w:p>
    <w:p w14:paraId="366EBA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Примітка. Див. рисунок 2 </w:t>
      </w:r>
    </w:p>
    <w:p w14:paraId="50E284C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iCs/>
          <w:sz w:val="20"/>
          <w:szCs w:val="20"/>
        </w:rPr>
        <w:t>ДСТУ EN ISO 12100:2016</w:t>
      </w:r>
    </w:p>
    <w:p w14:paraId="1D0D1DB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62" w:name="_Hlk103225998"/>
      <w:r w:rsidRPr="000977F7">
        <w:rPr>
          <w:color w:val="auto"/>
          <w:sz w:val="20"/>
          <w:szCs w:val="20"/>
        </w:rPr>
        <w:t>ЗАХИСНИЙ</w:t>
      </w:r>
      <w:r w:rsidRPr="000977F7">
        <w:rPr>
          <w:color w:val="auto"/>
          <w:spacing w:val="-3"/>
          <w:sz w:val="20"/>
          <w:szCs w:val="20"/>
        </w:rPr>
        <w:t xml:space="preserve"> </w:t>
      </w:r>
      <w:bookmarkEnd w:id="62"/>
      <w:r w:rsidRPr="000977F7">
        <w:rPr>
          <w:color w:val="auto"/>
          <w:sz w:val="20"/>
          <w:szCs w:val="20"/>
        </w:rPr>
        <w:t>ПОТЕНЦІАЛ</w:t>
      </w:r>
      <w:r w:rsidRPr="000977F7">
        <w:rPr>
          <w:color w:val="auto"/>
          <w:spacing w:val="-2"/>
          <w:sz w:val="20"/>
          <w:szCs w:val="20"/>
        </w:rPr>
        <w:t xml:space="preserve"> </w:t>
      </w:r>
      <w:r w:rsidRPr="000977F7">
        <w:rPr>
          <w:color w:val="auto"/>
          <w:sz w:val="20"/>
          <w:szCs w:val="20"/>
        </w:rPr>
        <w:t>–</w:t>
      </w:r>
    </w:p>
    <w:p w14:paraId="1B39B1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PROTECTIVE</w:t>
      </w:r>
      <w:r w:rsidRPr="000977F7">
        <w:rPr>
          <w:rFonts w:asciiTheme="majorHAnsi" w:hAnsiTheme="majorHAnsi"/>
          <w:spacing w:val="-6"/>
          <w:sz w:val="20"/>
          <w:szCs w:val="20"/>
        </w:rPr>
        <w:t xml:space="preserve"> </w:t>
      </w:r>
      <w:r w:rsidRPr="000977F7">
        <w:rPr>
          <w:rFonts w:asciiTheme="majorHAnsi" w:hAnsiTheme="majorHAnsi"/>
          <w:sz w:val="20"/>
          <w:szCs w:val="20"/>
        </w:rPr>
        <w:t>POTENTIAL</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F52A25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6"/>
          <w:sz w:val="20"/>
          <w:szCs w:val="20"/>
        </w:rPr>
        <w:t>Потенціал</w:t>
      </w:r>
      <w:r w:rsidRPr="000977F7">
        <w:rPr>
          <w:rFonts w:asciiTheme="majorHAnsi" w:hAnsiTheme="majorHAnsi"/>
          <w:spacing w:val="-15"/>
          <w:sz w:val="20"/>
          <w:szCs w:val="20"/>
        </w:rPr>
        <w:t xml:space="preserve"> </w:t>
      </w:r>
      <w:r w:rsidRPr="000977F7">
        <w:rPr>
          <w:rFonts w:asciiTheme="majorHAnsi" w:hAnsiTheme="majorHAnsi"/>
          <w:spacing w:val="-6"/>
          <w:sz w:val="20"/>
          <w:szCs w:val="20"/>
        </w:rPr>
        <w:t>металу,</w:t>
      </w:r>
      <w:r w:rsidRPr="000977F7">
        <w:rPr>
          <w:rFonts w:asciiTheme="majorHAnsi" w:hAnsiTheme="majorHAnsi"/>
          <w:spacing w:val="-8"/>
          <w:sz w:val="20"/>
          <w:szCs w:val="20"/>
        </w:rPr>
        <w:t xml:space="preserve"> </w:t>
      </w:r>
      <w:r w:rsidRPr="000977F7">
        <w:rPr>
          <w:rFonts w:asciiTheme="majorHAnsi" w:hAnsiTheme="majorHAnsi"/>
          <w:spacing w:val="-6"/>
          <w:sz w:val="20"/>
          <w:szCs w:val="20"/>
        </w:rPr>
        <w:t>що</w:t>
      </w:r>
      <w:r w:rsidRPr="000977F7">
        <w:rPr>
          <w:rFonts w:asciiTheme="majorHAnsi" w:hAnsiTheme="majorHAnsi"/>
          <w:spacing w:val="-10"/>
          <w:sz w:val="20"/>
          <w:szCs w:val="20"/>
        </w:rPr>
        <w:t xml:space="preserve"> </w:t>
      </w:r>
      <w:r w:rsidRPr="000977F7">
        <w:rPr>
          <w:rFonts w:asciiTheme="majorHAnsi" w:hAnsiTheme="majorHAnsi"/>
          <w:spacing w:val="-6"/>
          <w:sz w:val="20"/>
          <w:szCs w:val="20"/>
        </w:rPr>
        <w:t>забезпечує</w:t>
      </w:r>
      <w:r w:rsidRPr="000977F7">
        <w:rPr>
          <w:rFonts w:asciiTheme="majorHAnsi" w:hAnsiTheme="majorHAnsi"/>
          <w:spacing w:val="-10"/>
          <w:sz w:val="20"/>
          <w:szCs w:val="20"/>
        </w:rPr>
        <w:t xml:space="preserve"> </w:t>
      </w:r>
      <w:r w:rsidRPr="000977F7">
        <w:rPr>
          <w:rFonts w:asciiTheme="majorHAnsi" w:hAnsiTheme="majorHAnsi"/>
          <w:spacing w:val="-5"/>
          <w:sz w:val="20"/>
          <w:szCs w:val="20"/>
        </w:rPr>
        <w:t>певний</w:t>
      </w:r>
      <w:r w:rsidRPr="000977F7">
        <w:rPr>
          <w:rFonts w:asciiTheme="majorHAnsi" w:hAnsiTheme="majorHAnsi"/>
          <w:spacing w:val="-12"/>
          <w:sz w:val="20"/>
          <w:szCs w:val="20"/>
        </w:rPr>
        <w:t xml:space="preserve"> </w:t>
      </w:r>
      <w:r w:rsidRPr="000977F7">
        <w:rPr>
          <w:rFonts w:asciiTheme="majorHAnsi" w:hAnsiTheme="majorHAnsi"/>
          <w:spacing w:val="-5"/>
          <w:sz w:val="20"/>
          <w:szCs w:val="20"/>
        </w:rPr>
        <w:t>захисний</w:t>
      </w:r>
      <w:r w:rsidRPr="000977F7">
        <w:rPr>
          <w:rFonts w:asciiTheme="majorHAnsi" w:hAnsiTheme="majorHAnsi"/>
          <w:spacing w:val="-12"/>
          <w:sz w:val="20"/>
          <w:szCs w:val="20"/>
        </w:rPr>
        <w:t xml:space="preserve"> </w:t>
      </w:r>
      <w:r w:rsidRPr="000977F7">
        <w:rPr>
          <w:rFonts w:asciiTheme="majorHAnsi" w:hAnsiTheme="majorHAnsi"/>
          <w:spacing w:val="-5"/>
          <w:sz w:val="20"/>
          <w:szCs w:val="20"/>
        </w:rPr>
        <w:t>ефект</w:t>
      </w:r>
    </w:p>
    <w:p w14:paraId="702A001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1652B6E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ЗАХИСНИЙ ПРИСТРІЙ –</w:t>
      </w:r>
    </w:p>
    <w:p w14:paraId="7E3F33BF"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Пристрій (крім огорожі), який зменшує ризик самостійно або в комбінації з огорожею</w:t>
      </w:r>
    </w:p>
    <w:p w14:paraId="59B12E4E"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Технічний регламент безпеки машин</w:t>
      </w:r>
    </w:p>
    <w:p w14:paraId="7D4A535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ЗАХИСНІ</w:t>
      </w:r>
      <w:r w:rsidRPr="000977F7">
        <w:rPr>
          <w:color w:val="auto"/>
          <w:spacing w:val="-5"/>
          <w:sz w:val="20"/>
          <w:szCs w:val="20"/>
        </w:rPr>
        <w:t xml:space="preserve"> </w:t>
      </w:r>
      <w:r w:rsidRPr="000977F7">
        <w:rPr>
          <w:color w:val="auto"/>
          <w:sz w:val="20"/>
          <w:szCs w:val="20"/>
        </w:rPr>
        <w:t>ЗАСТЕРЕЖЕННЯ</w:t>
      </w:r>
      <w:r w:rsidRPr="000977F7">
        <w:rPr>
          <w:color w:val="auto"/>
          <w:spacing w:val="-1"/>
          <w:sz w:val="20"/>
          <w:szCs w:val="20"/>
        </w:rPr>
        <w:t xml:space="preserve"> </w:t>
      </w:r>
      <w:r w:rsidRPr="000977F7">
        <w:rPr>
          <w:color w:val="auto"/>
          <w:sz w:val="20"/>
          <w:szCs w:val="20"/>
        </w:rPr>
        <w:t>–</w:t>
      </w:r>
    </w:p>
    <w:p w14:paraId="276CAEEA"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Особливі</w:t>
      </w:r>
      <w:r w:rsidRPr="000977F7">
        <w:rPr>
          <w:rFonts w:asciiTheme="majorHAnsi" w:hAnsiTheme="majorHAnsi"/>
          <w:spacing w:val="40"/>
          <w:sz w:val="20"/>
          <w:szCs w:val="20"/>
        </w:rPr>
        <w:t xml:space="preserve"> </w:t>
      </w:r>
      <w:r w:rsidRPr="000977F7">
        <w:rPr>
          <w:rFonts w:asciiTheme="majorHAnsi" w:hAnsiTheme="majorHAnsi"/>
          <w:sz w:val="20"/>
          <w:szCs w:val="20"/>
        </w:rPr>
        <w:t>умови,</w:t>
      </w:r>
      <w:r w:rsidRPr="000977F7">
        <w:rPr>
          <w:rFonts w:asciiTheme="majorHAnsi" w:hAnsiTheme="majorHAnsi"/>
          <w:spacing w:val="39"/>
          <w:sz w:val="20"/>
          <w:szCs w:val="20"/>
        </w:rPr>
        <w:t xml:space="preserve"> </w:t>
      </w:r>
      <w:r w:rsidRPr="000977F7">
        <w:rPr>
          <w:rFonts w:asciiTheme="majorHAnsi" w:hAnsiTheme="majorHAnsi"/>
          <w:sz w:val="20"/>
          <w:szCs w:val="20"/>
        </w:rPr>
        <w:t>що</w:t>
      </w:r>
      <w:r w:rsidRPr="000977F7">
        <w:rPr>
          <w:rFonts w:asciiTheme="majorHAnsi" w:hAnsiTheme="majorHAnsi"/>
          <w:spacing w:val="40"/>
          <w:sz w:val="20"/>
          <w:szCs w:val="20"/>
        </w:rPr>
        <w:t xml:space="preserve"> </w:t>
      </w:r>
      <w:r w:rsidRPr="000977F7">
        <w:rPr>
          <w:rFonts w:asciiTheme="majorHAnsi" w:hAnsiTheme="majorHAnsi"/>
          <w:sz w:val="20"/>
          <w:szCs w:val="20"/>
        </w:rPr>
        <w:t>припускають</w:t>
      </w:r>
      <w:r w:rsidRPr="000977F7">
        <w:rPr>
          <w:rFonts w:asciiTheme="majorHAnsi" w:hAnsiTheme="majorHAnsi"/>
          <w:spacing w:val="40"/>
          <w:sz w:val="20"/>
          <w:szCs w:val="20"/>
        </w:rPr>
        <w:t xml:space="preserve"> </w:t>
      </w:r>
      <w:r w:rsidRPr="000977F7">
        <w:rPr>
          <w:rFonts w:asciiTheme="majorHAnsi" w:hAnsiTheme="majorHAnsi"/>
          <w:sz w:val="20"/>
          <w:szCs w:val="20"/>
        </w:rPr>
        <w:t>можливість</w:t>
      </w:r>
      <w:r w:rsidRPr="000977F7">
        <w:rPr>
          <w:rFonts w:asciiTheme="majorHAnsi" w:hAnsiTheme="majorHAnsi"/>
          <w:spacing w:val="39"/>
          <w:sz w:val="20"/>
          <w:szCs w:val="20"/>
        </w:rPr>
        <w:t xml:space="preserve"> </w:t>
      </w:r>
      <w:r w:rsidRPr="000977F7">
        <w:rPr>
          <w:rFonts w:asciiTheme="majorHAnsi" w:hAnsiTheme="majorHAnsi"/>
          <w:sz w:val="20"/>
          <w:szCs w:val="20"/>
        </w:rPr>
        <w:t>зміни</w:t>
      </w:r>
      <w:r w:rsidRPr="000977F7">
        <w:rPr>
          <w:rFonts w:asciiTheme="majorHAnsi" w:hAnsiTheme="majorHAnsi"/>
          <w:spacing w:val="-47"/>
          <w:sz w:val="20"/>
          <w:szCs w:val="20"/>
        </w:rPr>
        <w:t xml:space="preserve"> </w:t>
      </w:r>
      <w:r w:rsidRPr="000977F7">
        <w:rPr>
          <w:rFonts w:asciiTheme="majorHAnsi" w:hAnsiTheme="majorHAnsi"/>
          <w:sz w:val="20"/>
          <w:szCs w:val="20"/>
        </w:rPr>
        <w:t>початкових умов договору в процесі його виконання</w:t>
      </w:r>
      <w:r w:rsidRPr="000977F7">
        <w:rPr>
          <w:rFonts w:asciiTheme="majorHAnsi" w:hAnsiTheme="majorHAnsi"/>
          <w:spacing w:val="1"/>
          <w:sz w:val="20"/>
          <w:szCs w:val="20"/>
        </w:rPr>
        <w:t xml:space="preserve"> </w:t>
      </w:r>
    </w:p>
    <w:p w14:paraId="0F7F0D5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ДСТУ</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3293 - 95</w:t>
      </w:r>
    </w:p>
    <w:p w14:paraId="1830982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ЗАХИСТ</w:t>
      </w:r>
      <w:r w:rsidRPr="000977F7">
        <w:rPr>
          <w:color w:val="auto"/>
          <w:spacing w:val="-4"/>
          <w:sz w:val="20"/>
          <w:szCs w:val="20"/>
        </w:rPr>
        <w:t xml:space="preserve"> </w:t>
      </w:r>
      <w:r w:rsidRPr="000977F7">
        <w:rPr>
          <w:color w:val="auto"/>
          <w:sz w:val="20"/>
          <w:szCs w:val="20"/>
        </w:rPr>
        <w:t>ВІД</w:t>
      </w:r>
      <w:r w:rsidRPr="000977F7">
        <w:rPr>
          <w:color w:val="auto"/>
          <w:spacing w:val="-4"/>
          <w:sz w:val="20"/>
          <w:szCs w:val="20"/>
        </w:rPr>
        <w:t xml:space="preserve"> </w:t>
      </w:r>
      <w:r w:rsidRPr="000977F7">
        <w:rPr>
          <w:color w:val="auto"/>
          <w:sz w:val="20"/>
          <w:szCs w:val="20"/>
        </w:rPr>
        <w:t>ПОМИЛКИ</w:t>
      </w:r>
    </w:p>
    <w:p w14:paraId="1B4900A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ERROR</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PROTECTION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5AABF31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Дії для перевірки правильності виконання попередніх</w:t>
      </w:r>
      <w:r w:rsidRPr="000977F7">
        <w:rPr>
          <w:rFonts w:asciiTheme="majorHAnsi" w:hAnsiTheme="majorHAnsi"/>
          <w:spacing w:val="1"/>
          <w:sz w:val="20"/>
          <w:szCs w:val="20"/>
        </w:rPr>
        <w:t xml:space="preserve"> </w:t>
      </w:r>
      <w:r w:rsidRPr="000977F7">
        <w:rPr>
          <w:rFonts w:asciiTheme="majorHAnsi" w:hAnsiTheme="majorHAnsi"/>
          <w:sz w:val="20"/>
          <w:szCs w:val="20"/>
        </w:rPr>
        <w:t>операцій</w:t>
      </w:r>
    </w:p>
    <w:p w14:paraId="119AB2EC"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ISO/IEC 2382:2017</w:t>
      </w:r>
      <w:r w:rsidRPr="000977F7">
        <w:rPr>
          <w:rFonts w:asciiTheme="majorHAnsi" w:hAnsiTheme="majorHAnsi"/>
          <w:i/>
          <w:spacing w:val="-47"/>
          <w:sz w:val="20"/>
          <w:szCs w:val="20"/>
        </w:rPr>
        <w:t xml:space="preserve"> </w:t>
      </w:r>
    </w:p>
    <w:p w14:paraId="76CEC639"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ЗАХИСТ ПРОДУКЦІЇ –</w:t>
      </w:r>
    </w:p>
    <w:p w14:paraId="7597654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PRODUCT</w:t>
      </w:r>
      <w:r w:rsidRPr="000977F7">
        <w:rPr>
          <w:rFonts w:asciiTheme="majorHAnsi" w:hAnsiTheme="majorHAnsi"/>
          <w:spacing w:val="-1"/>
          <w:sz w:val="20"/>
          <w:szCs w:val="20"/>
        </w:rPr>
        <w:t xml:space="preserve"> </w:t>
      </w:r>
      <w:r w:rsidRPr="000977F7">
        <w:rPr>
          <w:rFonts w:asciiTheme="majorHAnsi" w:hAnsiTheme="majorHAnsi"/>
          <w:sz w:val="20"/>
          <w:szCs w:val="20"/>
        </w:rPr>
        <w:t>PROTECTION –</w:t>
      </w:r>
    </w:p>
    <w:p w14:paraId="4C15364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Охорона продукції від впливу кліматичних та інших</w:t>
      </w:r>
      <w:r w:rsidRPr="000977F7">
        <w:rPr>
          <w:rFonts w:asciiTheme="majorHAnsi" w:hAnsiTheme="majorHAnsi"/>
          <w:spacing w:val="1"/>
          <w:sz w:val="20"/>
          <w:szCs w:val="20"/>
        </w:rPr>
        <w:t xml:space="preserve"> </w:t>
      </w:r>
      <w:r w:rsidRPr="000977F7">
        <w:rPr>
          <w:rFonts w:asciiTheme="majorHAnsi" w:hAnsiTheme="majorHAnsi"/>
          <w:sz w:val="20"/>
          <w:szCs w:val="20"/>
        </w:rPr>
        <w:t>несприятливих</w:t>
      </w:r>
      <w:r w:rsidRPr="000977F7">
        <w:rPr>
          <w:rFonts w:asciiTheme="majorHAnsi" w:hAnsiTheme="majorHAnsi"/>
          <w:spacing w:val="1"/>
          <w:sz w:val="20"/>
          <w:szCs w:val="20"/>
        </w:rPr>
        <w:t xml:space="preserve"> </w:t>
      </w:r>
      <w:r w:rsidRPr="000977F7">
        <w:rPr>
          <w:rFonts w:asciiTheme="majorHAnsi" w:hAnsiTheme="majorHAnsi"/>
          <w:sz w:val="20"/>
          <w:szCs w:val="20"/>
        </w:rPr>
        <w:t>чинників</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процесі</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47"/>
          <w:sz w:val="20"/>
          <w:szCs w:val="20"/>
        </w:rPr>
        <w:t xml:space="preserve"> </w:t>
      </w:r>
      <w:r w:rsidRPr="000977F7">
        <w:rPr>
          <w:rFonts w:asciiTheme="majorHAnsi" w:hAnsiTheme="majorHAnsi"/>
          <w:sz w:val="20"/>
          <w:szCs w:val="20"/>
        </w:rPr>
        <w:t>транспортування</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зберігання</w:t>
      </w:r>
    </w:p>
    <w:p w14:paraId="64D0016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w:t>
      </w:r>
    </w:p>
    <w:p w14:paraId="1AD2D4C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ЗАХИЩЕНІСТЬ</w:t>
      </w:r>
      <w:r w:rsidRPr="000977F7">
        <w:rPr>
          <w:color w:val="auto"/>
          <w:spacing w:val="-5"/>
          <w:sz w:val="20"/>
          <w:szCs w:val="20"/>
        </w:rPr>
        <w:t xml:space="preserve"> </w:t>
      </w:r>
      <w:r w:rsidRPr="000977F7">
        <w:rPr>
          <w:color w:val="auto"/>
          <w:sz w:val="20"/>
          <w:szCs w:val="20"/>
        </w:rPr>
        <w:t>ПРОДУКЦІЇ</w:t>
      </w:r>
      <w:r w:rsidRPr="000977F7">
        <w:rPr>
          <w:color w:val="auto"/>
          <w:spacing w:val="-3"/>
          <w:sz w:val="20"/>
          <w:szCs w:val="20"/>
        </w:rPr>
        <w:t xml:space="preserve"> </w:t>
      </w:r>
      <w:r w:rsidRPr="000977F7">
        <w:rPr>
          <w:color w:val="auto"/>
          <w:sz w:val="20"/>
          <w:szCs w:val="20"/>
        </w:rPr>
        <w:t>–</w:t>
      </w:r>
    </w:p>
    <w:p w14:paraId="253A13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3"/>
          <w:sz w:val="20"/>
          <w:szCs w:val="20"/>
        </w:rPr>
        <w:t xml:space="preserve">Властивості конкретної продукції, які характеризують </w:t>
      </w:r>
      <w:r w:rsidRPr="000977F7">
        <w:rPr>
          <w:rFonts w:asciiTheme="majorHAnsi" w:hAnsiTheme="majorHAnsi"/>
          <w:spacing w:val="-2"/>
          <w:sz w:val="20"/>
          <w:szCs w:val="20"/>
        </w:rPr>
        <w:t>її</w:t>
      </w:r>
      <w:r w:rsidRPr="000977F7">
        <w:rPr>
          <w:rFonts w:asciiTheme="majorHAnsi" w:hAnsiTheme="majorHAnsi"/>
          <w:spacing w:val="-47"/>
          <w:sz w:val="20"/>
          <w:szCs w:val="20"/>
        </w:rPr>
        <w:t xml:space="preserve"> </w:t>
      </w:r>
      <w:r w:rsidRPr="000977F7">
        <w:rPr>
          <w:rFonts w:asciiTheme="majorHAnsi" w:hAnsiTheme="majorHAnsi"/>
          <w:spacing w:val="-6"/>
          <w:sz w:val="20"/>
          <w:szCs w:val="20"/>
        </w:rPr>
        <w:t xml:space="preserve">здатність протистояти впливу різних несприятливих </w:t>
      </w:r>
      <w:r w:rsidRPr="000977F7">
        <w:rPr>
          <w:rFonts w:asciiTheme="majorHAnsi" w:hAnsiTheme="majorHAnsi"/>
          <w:spacing w:val="-5"/>
          <w:sz w:val="20"/>
          <w:szCs w:val="20"/>
        </w:rPr>
        <w:t>умов</w:t>
      </w:r>
      <w:r w:rsidRPr="000977F7">
        <w:rPr>
          <w:rFonts w:asciiTheme="majorHAnsi" w:hAnsiTheme="majorHAnsi"/>
          <w:spacing w:val="-4"/>
          <w:sz w:val="20"/>
          <w:szCs w:val="20"/>
        </w:rPr>
        <w:t xml:space="preserve"> </w:t>
      </w: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004AE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Залежно від виду продукції розрізняють захищеність</w:t>
      </w:r>
      <w:r w:rsidRPr="000977F7">
        <w:rPr>
          <w:rFonts w:asciiTheme="majorHAnsi" w:hAnsiTheme="majorHAnsi"/>
          <w:spacing w:val="1"/>
          <w:sz w:val="20"/>
          <w:szCs w:val="20"/>
        </w:rPr>
        <w:t xml:space="preserve"> </w:t>
      </w:r>
      <w:r w:rsidRPr="000977F7">
        <w:rPr>
          <w:rFonts w:asciiTheme="majorHAnsi" w:hAnsiTheme="majorHAnsi"/>
          <w:sz w:val="20"/>
          <w:szCs w:val="20"/>
        </w:rPr>
        <w:t>продукції від проникнення пилу, вологи, від впливу</w:t>
      </w:r>
      <w:r w:rsidRPr="000977F7">
        <w:rPr>
          <w:rFonts w:asciiTheme="majorHAnsi" w:hAnsiTheme="majorHAnsi"/>
          <w:spacing w:val="1"/>
          <w:sz w:val="20"/>
          <w:szCs w:val="20"/>
        </w:rPr>
        <w:t xml:space="preserve"> </w:t>
      </w:r>
      <w:r w:rsidRPr="000977F7">
        <w:rPr>
          <w:rFonts w:asciiTheme="majorHAnsi" w:hAnsiTheme="majorHAnsi"/>
          <w:sz w:val="20"/>
          <w:szCs w:val="20"/>
        </w:rPr>
        <w:t>високої температури, електромагнітних та іонізованих</w:t>
      </w:r>
      <w:r w:rsidRPr="000977F7">
        <w:rPr>
          <w:rFonts w:asciiTheme="majorHAnsi" w:hAnsiTheme="majorHAnsi"/>
          <w:spacing w:val="-47"/>
          <w:sz w:val="20"/>
          <w:szCs w:val="20"/>
        </w:rPr>
        <w:t xml:space="preserve"> </w:t>
      </w:r>
      <w:r w:rsidRPr="000977F7">
        <w:rPr>
          <w:rFonts w:asciiTheme="majorHAnsi" w:hAnsiTheme="majorHAnsi"/>
          <w:sz w:val="20"/>
          <w:szCs w:val="20"/>
        </w:rPr>
        <w:t>випромінювань</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0EB298C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49D08B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ЗАХОРОНЕНЯ</w:t>
      </w:r>
      <w:r w:rsidRPr="000977F7">
        <w:rPr>
          <w:color w:val="auto"/>
          <w:spacing w:val="-4"/>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4764A5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BURIAL</w:t>
      </w:r>
      <w:r w:rsidRPr="000977F7">
        <w:rPr>
          <w:rFonts w:asciiTheme="majorHAnsi" w:hAnsiTheme="majorHAnsi"/>
          <w:spacing w:val="-3"/>
          <w:sz w:val="20"/>
          <w:szCs w:val="20"/>
        </w:rPr>
        <w:t xml:space="preserve"> </w:t>
      </w:r>
      <w:r w:rsidRPr="000977F7">
        <w:rPr>
          <w:rFonts w:asciiTheme="majorHAnsi" w:hAnsiTheme="majorHAnsi"/>
          <w:sz w:val="20"/>
          <w:szCs w:val="20"/>
        </w:rPr>
        <w:t>OF</w:t>
      </w:r>
      <w:r w:rsidRPr="000977F7">
        <w:rPr>
          <w:rFonts w:asciiTheme="majorHAnsi" w:hAnsiTheme="majorHAnsi"/>
          <w:spacing w:val="-2"/>
          <w:sz w:val="20"/>
          <w:szCs w:val="20"/>
        </w:rPr>
        <w:t xml:space="preserve"> </w:t>
      </w:r>
      <w:r w:rsidRPr="000977F7">
        <w:rPr>
          <w:rFonts w:asciiTheme="majorHAnsi" w:hAnsiTheme="majorHAnsi"/>
          <w:sz w:val="20"/>
          <w:szCs w:val="20"/>
        </w:rPr>
        <w:t>PRODUCTS –</w:t>
      </w:r>
    </w:p>
    <w:p w14:paraId="7B1B04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Видалення продукції у певні сховища, яке не передбачає</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повторного використання</w:t>
      </w:r>
    </w:p>
    <w:p w14:paraId="568F87F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3278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B5EDE6C" w14:textId="77777777" w:rsidR="0097612F" w:rsidRPr="000977F7" w:rsidRDefault="0097612F" w:rsidP="000977F7">
      <w:pPr>
        <w:pStyle w:val="7"/>
        <w:tabs>
          <w:tab w:val="left" w:pos="284"/>
        </w:tabs>
        <w:spacing w:before="0" w:line="240" w:lineRule="auto"/>
        <w:ind w:left="170"/>
        <w:mirrorIndents/>
        <w:jc w:val="both"/>
        <w:rPr>
          <w:b w:val="0"/>
          <w:i/>
          <w:color w:val="auto"/>
          <w:sz w:val="20"/>
          <w:szCs w:val="20"/>
        </w:rPr>
      </w:pPr>
      <w:r w:rsidRPr="000977F7">
        <w:rPr>
          <w:color w:val="auto"/>
          <w:sz w:val="20"/>
          <w:szCs w:val="20"/>
        </w:rPr>
        <w:t>ЗАЦІКАВЛЕНА</w:t>
      </w:r>
      <w:r w:rsidRPr="000977F7">
        <w:rPr>
          <w:color w:val="auto"/>
          <w:spacing w:val="1"/>
          <w:sz w:val="20"/>
          <w:szCs w:val="20"/>
        </w:rPr>
        <w:t xml:space="preserve"> </w:t>
      </w:r>
      <w:r w:rsidRPr="000977F7">
        <w:rPr>
          <w:color w:val="auto"/>
          <w:sz w:val="20"/>
          <w:szCs w:val="20"/>
        </w:rPr>
        <w:t>СТОРОНА;</w:t>
      </w:r>
      <w:r w:rsidRPr="000977F7">
        <w:rPr>
          <w:color w:val="auto"/>
          <w:spacing w:val="1"/>
          <w:sz w:val="20"/>
          <w:szCs w:val="20"/>
        </w:rPr>
        <w:t xml:space="preserve"> </w:t>
      </w:r>
      <w:r w:rsidRPr="000977F7">
        <w:rPr>
          <w:color w:val="auto"/>
          <w:sz w:val="20"/>
          <w:szCs w:val="20"/>
        </w:rPr>
        <w:t>ПРИЧЕТНА</w:t>
      </w:r>
      <w:r w:rsidRPr="000977F7">
        <w:rPr>
          <w:color w:val="auto"/>
          <w:spacing w:val="1"/>
          <w:sz w:val="20"/>
          <w:szCs w:val="20"/>
        </w:rPr>
        <w:t xml:space="preserve"> </w:t>
      </w:r>
      <w:r w:rsidRPr="000977F7">
        <w:rPr>
          <w:color w:val="auto"/>
          <w:sz w:val="20"/>
          <w:szCs w:val="20"/>
        </w:rPr>
        <w:t>СТОРОНА</w:t>
      </w:r>
      <w:r w:rsidRPr="000977F7">
        <w:rPr>
          <w:b w:val="0"/>
          <w:i/>
          <w:color w:val="auto"/>
          <w:sz w:val="20"/>
          <w:szCs w:val="20"/>
        </w:rPr>
        <w:t>-</w:t>
      </w:r>
    </w:p>
    <w:p w14:paraId="6187C613" w14:textId="77777777" w:rsidR="0097612F" w:rsidRPr="004D2D14" w:rsidRDefault="0097612F" w:rsidP="000977F7">
      <w:pPr>
        <w:pStyle w:val="af6"/>
        <w:tabs>
          <w:tab w:val="left" w:pos="284"/>
        </w:tabs>
        <w:spacing w:after="0"/>
        <w:ind w:left="170"/>
        <w:mirrorIndents/>
        <w:jc w:val="both"/>
        <w:rPr>
          <w:rFonts w:asciiTheme="majorHAnsi" w:hAnsiTheme="majorHAnsi"/>
          <w:b/>
          <w:i/>
          <w:sz w:val="20"/>
          <w:szCs w:val="20"/>
          <w:lang w:val="uk-UA"/>
        </w:rPr>
      </w:pPr>
      <w:r w:rsidRPr="000977F7">
        <w:rPr>
          <w:rFonts w:asciiTheme="majorHAnsi" w:hAnsiTheme="majorHAnsi"/>
          <w:sz w:val="20"/>
          <w:szCs w:val="20"/>
        </w:rPr>
        <w:t>INTERESTED</w:t>
      </w:r>
      <w:r w:rsidRPr="004D2D14">
        <w:rPr>
          <w:rFonts w:asciiTheme="majorHAnsi" w:hAnsiTheme="majorHAnsi"/>
          <w:spacing w:val="-3"/>
          <w:sz w:val="20"/>
          <w:szCs w:val="20"/>
          <w:lang w:val="uk-UA"/>
        </w:rPr>
        <w:t xml:space="preserve"> </w:t>
      </w:r>
      <w:r w:rsidRPr="000977F7">
        <w:rPr>
          <w:rFonts w:asciiTheme="majorHAnsi" w:hAnsiTheme="majorHAnsi"/>
          <w:sz w:val="20"/>
          <w:szCs w:val="20"/>
        </w:rPr>
        <w:t>PARTY</w:t>
      </w:r>
      <w:r w:rsidRPr="004D2D14">
        <w:rPr>
          <w:rFonts w:asciiTheme="majorHAnsi" w:hAnsiTheme="majorHAnsi"/>
          <w:b/>
          <w:i/>
          <w:sz w:val="20"/>
          <w:szCs w:val="20"/>
          <w:lang w:val="uk-UA"/>
        </w:rPr>
        <w:t>;</w:t>
      </w:r>
      <w:r w:rsidRPr="004D2D14">
        <w:rPr>
          <w:rFonts w:asciiTheme="majorHAnsi" w:hAnsiTheme="majorHAnsi"/>
          <w:b/>
          <w:i/>
          <w:spacing w:val="46"/>
          <w:sz w:val="20"/>
          <w:szCs w:val="20"/>
          <w:lang w:val="uk-UA"/>
        </w:rPr>
        <w:t xml:space="preserve"> </w:t>
      </w:r>
      <w:r w:rsidRPr="000977F7">
        <w:rPr>
          <w:rFonts w:asciiTheme="majorHAnsi" w:hAnsiTheme="majorHAnsi"/>
          <w:sz w:val="20"/>
          <w:szCs w:val="20"/>
        </w:rPr>
        <w:t>STAKEHOLDER</w:t>
      </w:r>
      <w:r w:rsidRPr="004D2D14">
        <w:rPr>
          <w:rFonts w:asciiTheme="majorHAnsi" w:hAnsiTheme="majorHAnsi"/>
          <w:spacing w:val="-3"/>
          <w:sz w:val="20"/>
          <w:szCs w:val="20"/>
          <w:lang w:val="uk-UA"/>
        </w:rPr>
        <w:t xml:space="preserve"> </w:t>
      </w:r>
      <w:r w:rsidRPr="004D2D14">
        <w:rPr>
          <w:rFonts w:asciiTheme="majorHAnsi" w:hAnsiTheme="majorHAnsi"/>
          <w:b/>
          <w:i/>
          <w:sz w:val="20"/>
          <w:szCs w:val="20"/>
          <w:lang w:val="uk-UA"/>
        </w:rPr>
        <w:t>–</w:t>
      </w:r>
    </w:p>
    <w:p w14:paraId="30C6B5D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Особа чи організація, яка може вплинути на рішення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 діяльність, піддана впливу, чи сприймає себе такою,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 піддана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впливу</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рішень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 діяльності.</w:t>
      </w:r>
    </w:p>
    <w:p w14:paraId="523C06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Приклади.</w:t>
      </w:r>
    </w:p>
    <w:p w14:paraId="63C7AD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Замовники, власники, персонал організації, </w:t>
      </w:r>
      <w:r w:rsidRPr="000977F7">
        <w:rPr>
          <w:rFonts w:asciiTheme="majorHAnsi" w:hAnsiTheme="majorHAnsi"/>
          <w:sz w:val="20"/>
          <w:szCs w:val="20"/>
          <w:u w:val="single"/>
        </w:rPr>
        <w:t>постачальники</w:t>
      </w:r>
      <w:r w:rsidRPr="000977F7">
        <w:rPr>
          <w:rFonts w:asciiTheme="majorHAnsi" w:hAnsiTheme="majorHAnsi"/>
          <w:sz w:val="20"/>
          <w:szCs w:val="20"/>
        </w:rPr>
        <w:t>, банкіри, регуляторні органи, спілки, партнери</w:t>
      </w:r>
      <w:r w:rsidRPr="000977F7">
        <w:rPr>
          <w:rFonts w:asciiTheme="majorHAnsi" w:hAnsiTheme="majorHAnsi"/>
          <w:spacing w:val="-47"/>
          <w:sz w:val="20"/>
          <w:szCs w:val="20"/>
        </w:rPr>
        <w:t xml:space="preserve"> </w:t>
      </w:r>
      <w:r w:rsidRPr="000977F7">
        <w:rPr>
          <w:rFonts w:asciiTheme="majorHAnsi" w:hAnsiTheme="majorHAnsi"/>
          <w:sz w:val="20"/>
          <w:szCs w:val="20"/>
        </w:rPr>
        <w:t>чи суспільство, це можуть бути також конкуренти чи</w:t>
      </w:r>
      <w:r w:rsidRPr="000977F7">
        <w:rPr>
          <w:rFonts w:asciiTheme="majorHAnsi" w:hAnsiTheme="majorHAnsi"/>
          <w:spacing w:val="1"/>
          <w:sz w:val="20"/>
          <w:szCs w:val="20"/>
        </w:rPr>
        <w:t xml:space="preserve"> </w:t>
      </w:r>
      <w:r w:rsidRPr="000977F7">
        <w:rPr>
          <w:rFonts w:asciiTheme="majorHAnsi" w:hAnsiTheme="majorHAnsi"/>
          <w:sz w:val="20"/>
          <w:szCs w:val="20"/>
        </w:rPr>
        <w:t>опозиційні</w:t>
      </w:r>
      <w:r w:rsidRPr="000977F7">
        <w:rPr>
          <w:rFonts w:asciiTheme="majorHAnsi" w:hAnsiTheme="majorHAnsi"/>
          <w:spacing w:val="-2"/>
          <w:sz w:val="20"/>
          <w:szCs w:val="20"/>
        </w:rPr>
        <w:t xml:space="preserve"> </w:t>
      </w:r>
      <w:r w:rsidRPr="000977F7">
        <w:rPr>
          <w:rFonts w:asciiTheme="majorHAnsi" w:hAnsiTheme="majorHAnsi"/>
          <w:sz w:val="20"/>
          <w:szCs w:val="20"/>
        </w:rPr>
        <w:t>групи</w:t>
      </w:r>
      <w:r w:rsidRPr="000977F7">
        <w:rPr>
          <w:rFonts w:asciiTheme="majorHAnsi" w:hAnsiTheme="majorHAnsi"/>
          <w:spacing w:val="-1"/>
          <w:sz w:val="20"/>
          <w:szCs w:val="20"/>
        </w:rPr>
        <w:t xml:space="preserve"> </w:t>
      </w:r>
      <w:r w:rsidRPr="000977F7">
        <w:rPr>
          <w:rFonts w:asciiTheme="majorHAnsi" w:hAnsiTheme="majorHAnsi"/>
          <w:sz w:val="20"/>
          <w:szCs w:val="20"/>
        </w:rPr>
        <w:t>тиску.</w:t>
      </w:r>
    </w:p>
    <w:p w14:paraId="7E4D287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9000:2015</w:t>
      </w:r>
    </w:p>
    <w:p w14:paraId="711739D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Особа із своїм інтересом або група, яка має визначену</w:t>
      </w:r>
      <w:r w:rsidRPr="000977F7">
        <w:rPr>
          <w:rFonts w:asciiTheme="majorHAnsi" w:hAnsiTheme="majorHAnsi"/>
          <w:spacing w:val="1"/>
          <w:sz w:val="20"/>
          <w:szCs w:val="20"/>
        </w:rPr>
        <w:t xml:space="preserve"> </w:t>
      </w:r>
      <w:r w:rsidRPr="000977F7">
        <w:rPr>
          <w:rFonts w:asciiTheme="majorHAnsi" w:hAnsiTheme="majorHAnsi"/>
          <w:sz w:val="20"/>
          <w:szCs w:val="20"/>
        </w:rPr>
        <w:t>зацікавленість</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успіху</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споживачі, власники, наймані робітники, постачальники і</w:t>
      </w:r>
      <w:r w:rsidRPr="000977F7">
        <w:rPr>
          <w:rFonts w:asciiTheme="majorHAnsi" w:hAnsiTheme="majorHAnsi"/>
          <w:spacing w:val="-47"/>
          <w:sz w:val="20"/>
          <w:szCs w:val="20"/>
        </w:rPr>
        <w:t xml:space="preserve">       </w:t>
      </w:r>
      <w:r w:rsidRPr="000977F7">
        <w:rPr>
          <w:rFonts w:asciiTheme="majorHAnsi" w:hAnsiTheme="majorHAnsi"/>
          <w:sz w:val="20"/>
          <w:szCs w:val="20"/>
        </w:rPr>
        <w:t>суспільство)</w:t>
      </w:r>
    </w:p>
    <w:p w14:paraId="2314009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167A64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Група може обмежуватися організацією або групою</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організацій</w:t>
      </w:r>
    </w:p>
    <w:p w14:paraId="1063C512" w14:textId="77777777" w:rsidR="0097612F" w:rsidRPr="000977F7" w:rsidRDefault="0097612F" w:rsidP="000977F7">
      <w:pPr>
        <w:pStyle w:val="7"/>
        <w:tabs>
          <w:tab w:val="left" w:pos="284"/>
        </w:tabs>
        <w:spacing w:before="0" w:line="240" w:lineRule="auto"/>
        <w:ind w:left="170"/>
        <w:mirrorIndents/>
        <w:jc w:val="both"/>
        <w:rPr>
          <w:b w:val="0"/>
          <w:i/>
          <w:color w:val="auto"/>
          <w:sz w:val="20"/>
          <w:szCs w:val="20"/>
        </w:rPr>
      </w:pPr>
      <w:r w:rsidRPr="000977F7">
        <w:rPr>
          <w:color w:val="auto"/>
          <w:sz w:val="20"/>
          <w:szCs w:val="20"/>
        </w:rPr>
        <w:t>ЗАЦІКАВЛЕНІ</w:t>
      </w:r>
      <w:r w:rsidRPr="000977F7">
        <w:rPr>
          <w:color w:val="auto"/>
          <w:spacing w:val="-6"/>
          <w:sz w:val="20"/>
          <w:szCs w:val="20"/>
        </w:rPr>
        <w:t xml:space="preserve"> </w:t>
      </w:r>
      <w:r w:rsidRPr="000977F7">
        <w:rPr>
          <w:color w:val="auto"/>
          <w:sz w:val="20"/>
          <w:szCs w:val="20"/>
        </w:rPr>
        <w:t>СТОРОНИ</w:t>
      </w:r>
      <w:r w:rsidRPr="000977F7">
        <w:rPr>
          <w:color w:val="auto"/>
          <w:spacing w:val="-4"/>
          <w:sz w:val="20"/>
          <w:szCs w:val="20"/>
        </w:rPr>
        <w:t xml:space="preserve"> </w:t>
      </w:r>
      <w:r w:rsidRPr="000977F7">
        <w:rPr>
          <w:color w:val="auto"/>
          <w:sz w:val="20"/>
          <w:szCs w:val="20"/>
        </w:rPr>
        <w:t>ПРОЕКТУ</w:t>
      </w:r>
      <w:r w:rsidRPr="000977F7">
        <w:rPr>
          <w:color w:val="auto"/>
          <w:spacing w:val="-1"/>
          <w:sz w:val="20"/>
          <w:szCs w:val="20"/>
        </w:rPr>
        <w:t xml:space="preserve"> </w:t>
      </w:r>
      <w:r w:rsidRPr="000977F7">
        <w:rPr>
          <w:b w:val="0"/>
          <w:i/>
          <w:color w:val="auto"/>
          <w:sz w:val="20"/>
          <w:szCs w:val="20"/>
        </w:rPr>
        <w:t>–</w:t>
      </w:r>
    </w:p>
    <w:p w14:paraId="5E8C08F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Окремі особи й організації, які активно залучені</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проекту,</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ті,</w:t>
      </w:r>
      <w:r w:rsidRPr="000977F7">
        <w:rPr>
          <w:rFonts w:asciiTheme="majorHAnsi" w:hAnsiTheme="majorHAnsi"/>
          <w:spacing w:val="1"/>
          <w:sz w:val="20"/>
          <w:szCs w:val="20"/>
        </w:rPr>
        <w:t xml:space="preserve"> </w:t>
      </w:r>
      <w:r w:rsidRPr="000977F7">
        <w:rPr>
          <w:rFonts w:asciiTheme="majorHAnsi" w:hAnsiTheme="majorHAnsi"/>
          <w:sz w:val="20"/>
          <w:szCs w:val="20"/>
        </w:rPr>
        <w:t>чиї</w:t>
      </w:r>
      <w:r w:rsidRPr="000977F7">
        <w:rPr>
          <w:rFonts w:asciiTheme="majorHAnsi" w:hAnsiTheme="majorHAnsi"/>
          <w:spacing w:val="1"/>
          <w:sz w:val="20"/>
          <w:szCs w:val="20"/>
        </w:rPr>
        <w:t xml:space="preserve"> </w:t>
      </w:r>
      <w:r w:rsidRPr="000977F7">
        <w:rPr>
          <w:rFonts w:asciiTheme="majorHAnsi" w:hAnsiTheme="majorHAnsi"/>
          <w:sz w:val="20"/>
          <w:szCs w:val="20"/>
        </w:rPr>
        <w:t>інтереси</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позитивно</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47"/>
          <w:sz w:val="20"/>
          <w:szCs w:val="20"/>
        </w:rPr>
        <w:t xml:space="preserve"> </w:t>
      </w:r>
      <w:r w:rsidRPr="000977F7">
        <w:rPr>
          <w:rFonts w:asciiTheme="majorHAnsi" w:hAnsiTheme="majorHAnsi"/>
          <w:sz w:val="20"/>
          <w:szCs w:val="20"/>
        </w:rPr>
        <w:t>негативно</w:t>
      </w:r>
      <w:r w:rsidRPr="000977F7">
        <w:rPr>
          <w:rFonts w:asciiTheme="majorHAnsi" w:hAnsiTheme="majorHAnsi"/>
          <w:spacing w:val="26"/>
          <w:sz w:val="20"/>
          <w:szCs w:val="20"/>
        </w:rPr>
        <w:t xml:space="preserve"> </w:t>
      </w:r>
      <w:r w:rsidRPr="000977F7">
        <w:rPr>
          <w:rFonts w:asciiTheme="majorHAnsi" w:hAnsiTheme="majorHAnsi"/>
          <w:sz w:val="20"/>
          <w:szCs w:val="20"/>
        </w:rPr>
        <w:t>вплинути</w:t>
      </w:r>
      <w:r w:rsidRPr="000977F7">
        <w:rPr>
          <w:rFonts w:asciiTheme="majorHAnsi" w:hAnsiTheme="majorHAnsi"/>
          <w:spacing w:val="27"/>
          <w:sz w:val="20"/>
          <w:szCs w:val="20"/>
        </w:rPr>
        <w:t xml:space="preserve"> </w:t>
      </w:r>
      <w:r w:rsidRPr="000977F7">
        <w:rPr>
          <w:rFonts w:asciiTheme="majorHAnsi" w:hAnsiTheme="majorHAnsi"/>
          <w:sz w:val="20"/>
          <w:szCs w:val="20"/>
        </w:rPr>
        <w:t>на</w:t>
      </w:r>
      <w:r w:rsidRPr="000977F7">
        <w:rPr>
          <w:rFonts w:asciiTheme="majorHAnsi" w:hAnsiTheme="majorHAnsi"/>
          <w:spacing w:val="25"/>
          <w:sz w:val="20"/>
          <w:szCs w:val="20"/>
        </w:rPr>
        <w:t xml:space="preserve"> </w:t>
      </w:r>
      <w:r w:rsidRPr="000977F7">
        <w:rPr>
          <w:rFonts w:asciiTheme="majorHAnsi" w:hAnsiTheme="majorHAnsi"/>
          <w:sz w:val="20"/>
          <w:szCs w:val="20"/>
        </w:rPr>
        <w:t>результат</w:t>
      </w:r>
      <w:r w:rsidRPr="000977F7">
        <w:rPr>
          <w:rFonts w:asciiTheme="majorHAnsi" w:hAnsiTheme="majorHAnsi"/>
          <w:spacing w:val="28"/>
          <w:sz w:val="20"/>
          <w:szCs w:val="20"/>
        </w:rPr>
        <w:t xml:space="preserve"> </w:t>
      </w:r>
      <w:r w:rsidRPr="000977F7">
        <w:rPr>
          <w:rFonts w:asciiTheme="majorHAnsi" w:hAnsiTheme="majorHAnsi"/>
          <w:sz w:val="20"/>
          <w:szCs w:val="20"/>
        </w:rPr>
        <w:t>виконання</w:t>
      </w:r>
      <w:r w:rsidRPr="000977F7">
        <w:rPr>
          <w:rFonts w:asciiTheme="majorHAnsi" w:hAnsiTheme="majorHAnsi"/>
          <w:spacing w:val="28"/>
          <w:sz w:val="20"/>
          <w:szCs w:val="20"/>
        </w:rPr>
        <w:t xml:space="preserve"> </w:t>
      </w:r>
      <w:r w:rsidRPr="000977F7">
        <w:rPr>
          <w:rFonts w:asciiTheme="majorHAnsi" w:hAnsiTheme="majorHAnsi"/>
          <w:sz w:val="20"/>
          <w:szCs w:val="20"/>
        </w:rPr>
        <w:t>проекту або на успішне його завершення. Основними зацікавленими</w:t>
      </w:r>
      <w:r w:rsidRPr="000977F7">
        <w:rPr>
          <w:rFonts w:asciiTheme="majorHAnsi" w:hAnsiTheme="majorHAnsi"/>
          <w:spacing w:val="-2"/>
          <w:sz w:val="20"/>
          <w:szCs w:val="20"/>
        </w:rPr>
        <w:t xml:space="preserve"> </w:t>
      </w:r>
      <w:r w:rsidRPr="000977F7">
        <w:rPr>
          <w:rFonts w:asciiTheme="majorHAnsi" w:hAnsiTheme="majorHAnsi"/>
          <w:sz w:val="20"/>
          <w:szCs w:val="20"/>
        </w:rPr>
        <w:t>особами</w:t>
      </w:r>
      <w:r w:rsidRPr="000977F7">
        <w:rPr>
          <w:rFonts w:asciiTheme="majorHAnsi" w:hAnsiTheme="majorHAnsi"/>
          <w:spacing w:val="-1"/>
          <w:sz w:val="20"/>
          <w:szCs w:val="20"/>
        </w:rPr>
        <w:t xml:space="preserve"> </w:t>
      </w:r>
      <w:r w:rsidRPr="000977F7">
        <w:rPr>
          <w:rFonts w:asciiTheme="majorHAnsi" w:hAnsiTheme="majorHAnsi"/>
          <w:sz w:val="20"/>
          <w:szCs w:val="20"/>
        </w:rPr>
        <w:t>по</w:t>
      </w:r>
      <w:r w:rsidRPr="000977F7">
        <w:rPr>
          <w:rFonts w:asciiTheme="majorHAnsi" w:hAnsiTheme="majorHAnsi"/>
          <w:spacing w:val="1"/>
          <w:sz w:val="20"/>
          <w:szCs w:val="20"/>
        </w:rPr>
        <w:t xml:space="preserve"> </w:t>
      </w:r>
      <w:r w:rsidRPr="000977F7">
        <w:rPr>
          <w:rFonts w:asciiTheme="majorHAnsi" w:hAnsiTheme="majorHAnsi"/>
          <w:sz w:val="20"/>
          <w:szCs w:val="20"/>
        </w:rPr>
        <w:t>кожному</w:t>
      </w:r>
      <w:r w:rsidRPr="000977F7">
        <w:rPr>
          <w:rFonts w:asciiTheme="majorHAnsi" w:hAnsiTheme="majorHAnsi"/>
          <w:spacing w:val="-2"/>
          <w:sz w:val="20"/>
          <w:szCs w:val="20"/>
        </w:rPr>
        <w:t xml:space="preserve"> </w:t>
      </w:r>
      <w:r w:rsidRPr="000977F7">
        <w:rPr>
          <w:rFonts w:asciiTheme="majorHAnsi" w:hAnsiTheme="majorHAnsi"/>
          <w:sz w:val="20"/>
          <w:szCs w:val="20"/>
        </w:rPr>
        <w:t>проекту</w:t>
      </w:r>
      <w:r w:rsidRPr="000977F7">
        <w:rPr>
          <w:rFonts w:asciiTheme="majorHAnsi" w:hAnsiTheme="majorHAnsi"/>
          <w:spacing w:val="-1"/>
          <w:sz w:val="20"/>
          <w:szCs w:val="20"/>
        </w:rPr>
        <w:t xml:space="preserve"> </w:t>
      </w:r>
      <w:r w:rsidRPr="000977F7">
        <w:rPr>
          <w:rFonts w:asciiTheme="majorHAnsi" w:hAnsiTheme="majorHAnsi"/>
          <w:sz w:val="20"/>
          <w:szCs w:val="20"/>
        </w:rPr>
        <w:t>є:</w:t>
      </w:r>
    </w:p>
    <w:p w14:paraId="3D420716" w14:textId="77777777" w:rsidR="0097612F" w:rsidRPr="000977F7" w:rsidRDefault="0097612F" w:rsidP="00FD39A4">
      <w:pPr>
        <w:pStyle w:val="ac"/>
        <w:widowControl w:val="0"/>
        <w:numPr>
          <w:ilvl w:val="1"/>
          <w:numId w:val="177"/>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Менеджер проекту – окрема особа, яка відповідає</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2"/>
          <w:sz w:val="20"/>
          <w:szCs w:val="20"/>
        </w:rPr>
        <w:t xml:space="preserve"> </w:t>
      </w:r>
      <w:r w:rsidRPr="000977F7">
        <w:rPr>
          <w:rFonts w:asciiTheme="majorHAnsi" w:hAnsiTheme="majorHAnsi"/>
          <w:sz w:val="20"/>
          <w:szCs w:val="20"/>
        </w:rPr>
        <w:t>проектами;</w:t>
      </w:r>
    </w:p>
    <w:p w14:paraId="2916B8C6" w14:textId="77777777" w:rsidR="0097612F" w:rsidRPr="000977F7" w:rsidRDefault="0097612F" w:rsidP="00FD39A4">
      <w:pPr>
        <w:pStyle w:val="ac"/>
        <w:widowControl w:val="0"/>
        <w:numPr>
          <w:ilvl w:val="1"/>
          <w:numId w:val="177"/>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Споживач – окрема особа або організація, що використовує</w:t>
      </w:r>
      <w:r w:rsidRPr="000977F7">
        <w:rPr>
          <w:rFonts w:asciiTheme="majorHAnsi" w:hAnsiTheme="majorHAnsi"/>
          <w:spacing w:val="2"/>
          <w:sz w:val="20"/>
          <w:szCs w:val="20"/>
        </w:rPr>
        <w:t xml:space="preserve"> </w:t>
      </w:r>
      <w:r w:rsidRPr="000977F7">
        <w:rPr>
          <w:rFonts w:asciiTheme="majorHAnsi" w:hAnsiTheme="majorHAnsi"/>
          <w:sz w:val="20"/>
          <w:szCs w:val="20"/>
        </w:rPr>
        <w:t>продукт</w:t>
      </w:r>
      <w:r w:rsidRPr="000977F7">
        <w:rPr>
          <w:rFonts w:asciiTheme="majorHAnsi" w:hAnsiTheme="majorHAnsi"/>
          <w:spacing w:val="-1"/>
          <w:sz w:val="20"/>
          <w:szCs w:val="20"/>
        </w:rPr>
        <w:t xml:space="preserve"> </w:t>
      </w:r>
      <w:r w:rsidRPr="000977F7">
        <w:rPr>
          <w:rFonts w:asciiTheme="majorHAnsi" w:hAnsiTheme="majorHAnsi"/>
          <w:sz w:val="20"/>
          <w:szCs w:val="20"/>
        </w:rPr>
        <w:t>проекту;</w:t>
      </w:r>
    </w:p>
    <w:p w14:paraId="67BB5F57" w14:textId="77777777" w:rsidR="0097612F" w:rsidRPr="000977F7" w:rsidRDefault="0097612F" w:rsidP="00FD39A4">
      <w:pPr>
        <w:pStyle w:val="ac"/>
        <w:widowControl w:val="0"/>
        <w:numPr>
          <w:ilvl w:val="1"/>
          <w:numId w:val="177"/>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Виконавча організація – підприємство, більшість</w:t>
      </w:r>
      <w:r w:rsidRPr="000977F7">
        <w:rPr>
          <w:rFonts w:asciiTheme="majorHAnsi" w:hAnsiTheme="majorHAnsi"/>
          <w:spacing w:val="1"/>
          <w:sz w:val="20"/>
          <w:szCs w:val="20"/>
        </w:rPr>
        <w:t xml:space="preserve"> </w:t>
      </w:r>
      <w:r w:rsidRPr="000977F7">
        <w:rPr>
          <w:rFonts w:asciiTheme="majorHAnsi" w:hAnsiTheme="majorHAnsi"/>
          <w:sz w:val="20"/>
          <w:szCs w:val="20"/>
        </w:rPr>
        <w:t>працівників якої залучені до роботи з 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проекту;</w:t>
      </w:r>
    </w:p>
    <w:p w14:paraId="1A457D86" w14:textId="77777777" w:rsidR="0097612F" w:rsidRPr="000977F7" w:rsidRDefault="0097612F" w:rsidP="00FD39A4">
      <w:pPr>
        <w:pStyle w:val="ac"/>
        <w:widowControl w:val="0"/>
        <w:numPr>
          <w:ilvl w:val="1"/>
          <w:numId w:val="177"/>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інвестор – окрема особа чи група осіб в організації (яка виконує проект), що вкладає фінанси в</w:t>
      </w:r>
      <w:r w:rsidRPr="000977F7">
        <w:rPr>
          <w:rFonts w:asciiTheme="majorHAnsi" w:hAnsiTheme="majorHAnsi"/>
          <w:spacing w:val="1"/>
          <w:sz w:val="20"/>
          <w:szCs w:val="20"/>
        </w:rPr>
        <w:t xml:space="preserve"> </w:t>
      </w:r>
      <w:r w:rsidRPr="000977F7">
        <w:rPr>
          <w:rFonts w:asciiTheme="majorHAnsi" w:hAnsiTheme="majorHAnsi"/>
          <w:sz w:val="20"/>
          <w:szCs w:val="20"/>
        </w:rPr>
        <w:t>проект</w:t>
      </w:r>
      <w:r w:rsidRPr="000977F7">
        <w:rPr>
          <w:rFonts w:asciiTheme="majorHAnsi" w:hAnsiTheme="majorHAnsi"/>
          <w:spacing w:val="-2"/>
          <w:sz w:val="20"/>
          <w:szCs w:val="20"/>
        </w:rPr>
        <w:t xml:space="preserve"> </w:t>
      </w:r>
      <w:r w:rsidRPr="000977F7">
        <w:rPr>
          <w:rFonts w:asciiTheme="majorHAnsi" w:hAnsiTheme="majorHAnsi"/>
          <w:sz w:val="20"/>
          <w:szCs w:val="20"/>
        </w:rPr>
        <w:t>готівкою</w:t>
      </w:r>
      <w:r w:rsidRPr="000977F7">
        <w:rPr>
          <w:rFonts w:asciiTheme="majorHAnsi" w:hAnsiTheme="majorHAnsi"/>
          <w:spacing w:val="-1"/>
          <w:sz w:val="20"/>
          <w:szCs w:val="20"/>
        </w:rPr>
        <w:t xml:space="preserve"> </w:t>
      </w:r>
      <w:r w:rsidRPr="000977F7">
        <w:rPr>
          <w:rFonts w:asciiTheme="majorHAnsi" w:hAnsiTheme="majorHAnsi"/>
          <w:sz w:val="20"/>
          <w:szCs w:val="20"/>
        </w:rPr>
        <w:t>або в</w:t>
      </w:r>
      <w:r w:rsidRPr="000977F7">
        <w:rPr>
          <w:rFonts w:asciiTheme="majorHAnsi" w:hAnsiTheme="majorHAnsi"/>
          <w:spacing w:val="-2"/>
          <w:sz w:val="20"/>
          <w:szCs w:val="20"/>
        </w:rPr>
        <w:t xml:space="preserve"> </w:t>
      </w:r>
      <w:r w:rsidRPr="000977F7">
        <w:rPr>
          <w:rFonts w:asciiTheme="majorHAnsi" w:hAnsiTheme="majorHAnsi"/>
          <w:sz w:val="20"/>
          <w:szCs w:val="20"/>
        </w:rPr>
        <w:t>будь</w:t>
      </w:r>
      <w:r w:rsidRPr="000977F7">
        <w:rPr>
          <w:rFonts w:asciiTheme="majorHAnsi" w:hAnsiTheme="majorHAnsi"/>
          <w:spacing w:val="3"/>
          <w:sz w:val="20"/>
          <w:szCs w:val="20"/>
        </w:rPr>
        <w:t xml:space="preserve"> </w:t>
      </w:r>
      <w:r w:rsidRPr="000977F7">
        <w:rPr>
          <w:rFonts w:asciiTheme="majorHAnsi" w:hAnsiTheme="majorHAnsi"/>
          <w:sz w:val="20"/>
          <w:szCs w:val="20"/>
        </w:rPr>
        <w:t>– якій</w:t>
      </w:r>
      <w:r w:rsidRPr="000977F7">
        <w:rPr>
          <w:rFonts w:asciiTheme="majorHAnsi" w:hAnsiTheme="majorHAnsi"/>
          <w:spacing w:val="-2"/>
          <w:sz w:val="20"/>
          <w:szCs w:val="20"/>
        </w:rPr>
        <w:t xml:space="preserve"> </w:t>
      </w:r>
      <w:r w:rsidRPr="000977F7">
        <w:rPr>
          <w:rFonts w:asciiTheme="majorHAnsi" w:hAnsiTheme="majorHAnsi"/>
          <w:sz w:val="20"/>
          <w:szCs w:val="20"/>
        </w:rPr>
        <w:t>іншій</w:t>
      </w:r>
      <w:r w:rsidRPr="000977F7">
        <w:rPr>
          <w:rFonts w:asciiTheme="majorHAnsi" w:hAnsiTheme="majorHAnsi"/>
          <w:spacing w:val="-2"/>
          <w:sz w:val="20"/>
          <w:szCs w:val="20"/>
        </w:rPr>
        <w:t xml:space="preserve"> </w:t>
      </w:r>
      <w:r w:rsidRPr="000977F7">
        <w:rPr>
          <w:rFonts w:asciiTheme="majorHAnsi" w:hAnsiTheme="majorHAnsi"/>
          <w:sz w:val="20"/>
          <w:szCs w:val="20"/>
        </w:rPr>
        <w:t>формі;</w:t>
      </w:r>
    </w:p>
    <w:p w14:paraId="76ED4D40" w14:textId="77777777" w:rsidR="0097612F" w:rsidRPr="000977F7" w:rsidRDefault="0097612F" w:rsidP="00FD39A4">
      <w:pPr>
        <w:pStyle w:val="ac"/>
        <w:widowControl w:val="0"/>
        <w:numPr>
          <w:ilvl w:val="1"/>
          <w:numId w:val="177"/>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інші – внутрішні і зовнішні, власники та інвестори, постачальники та підрядчики, члени команди</w:t>
      </w:r>
      <w:r w:rsidRPr="000977F7">
        <w:rPr>
          <w:rFonts w:asciiTheme="majorHAnsi" w:hAnsiTheme="majorHAnsi"/>
          <w:spacing w:val="1"/>
          <w:sz w:val="20"/>
          <w:szCs w:val="20"/>
        </w:rPr>
        <w:t xml:space="preserve"> </w:t>
      </w:r>
      <w:r w:rsidRPr="000977F7">
        <w:rPr>
          <w:rFonts w:asciiTheme="majorHAnsi" w:hAnsiTheme="majorHAnsi"/>
          <w:sz w:val="20"/>
          <w:szCs w:val="20"/>
        </w:rPr>
        <w:t>проекту та їх сім’ї,</w:t>
      </w:r>
      <w:r w:rsidRPr="000977F7">
        <w:rPr>
          <w:rFonts w:asciiTheme="majorHAnsi" w:hAnsiTheme="majorHAnsi"/>
          <w:spacing w:val="1"/>
          <w:sz w:val="20"/>
          <w:szCs w:val="20"/>
        </w:rPr>
        <w:t xml:space="preserve"> </w:t>
      </w:r>
      <w:r w:rsidRPr="000977F7">
        <w:rPr>
          <w:rFonts w:asciiTheme="majorHAnsi" w:hAnsiTheme="majorHAnsi"/>
          <w:sz w:val="20"/>
          <w:szCs w:val="20"/>
        </w:rPr>
        <w:t>урядові організації і засоби</w:t>
      </w:r>
      <w:r w:rsidRPr="000977F7">
        <w:rPr>
          <w:rFonts w:asciiTheme="majorHAnsi" w:hAnsiTheme="majorHAnsi"/>
          <w:spacing w:val="1"/>
          <w:sz w:val="20"/>
          <w:szCs w:val="20"/>
        </w:rPr>
        <w:t xml:space="preserve"> </w:t>
      </w:r>
      <w:r w:rsidRPr="000977F7">
        <w:rPr>
          <w:rFonts w:asciiTheme="majorHAnsi" w:hAnsiTheme="majorHAnsi"/>
          <w:sz w:val="20"/>
          <w:szCs w:val="20"/>
        </w:rPr>
        <w:t>масової інформації, окремі громадяни, тимчасово</w:t>
      </w:r>
      <w:r w:rsidRPr="000977F7">
        <w:rPr>
          <w:rFonts w:asciiTheme="majorHAnsi" w:hAnsiTheme="majorHAnsi"/>
          <w:spacing w:val="1"/>
          <w:sz w:val="20"/>
          <w:szCs w:val="20"/>
        </w:rPr>
        <w:t xml:space="preserve"> </w:t>
      </w:r>
      <w:r w:rsidRPr="000977F7">
        <w:rPr>
          <w:rFonts w:asciiTheme="majorHAnsi" w:hAnsiTheme="majorHAnsi"/>
          <w:sz w:val="20"/>
          <w:szCs w:val="20"/>
        </w:rPr>
        <w:t xml:space="preserve">або </w:t>
      </w:r>
      <w:r w:rsidRPr="000977F7">
        <w:rPr>
          <w:rFonts w:asciiTheme="majorHAnsi" w:hAnsiTheme="majorHAnsi"/>
          <w:sz w:val="20"/>
          <w:szCs w:val="20"/>
        </w:rPr>
        <w:lastRenderedPageBreak/>
        <w:t>постійно лобуючі організації, а також усе суспільство</w:t>
      </w:r>
      <w:r w:rsidRPr="000977F7">
        <w:rPr>
          <w:rFonts w:asciiTheme="majorHAnsi" w:hAnsiTheme="majorHAnsi"/>
          <w:spacing w:val="-1"/>
          <w:sz w:val="20"/>
          <w:szCs w:val="20"/>
        </w:rPr>
        <w:t xml:space="preserve"> </w:t>
      </w:r>
      <w:r w:rsidRPr="000977F7">
        <w:rPr>
          <w:rFonts w:asciiTheme="majorHAnsi" w:hAnsiTheme="majorHAnsi"/>
          <w:sz w:val="20"/>
          <w:szCs w:val="20"/>
        </w:rPr>
        <w:t>загалом</w:t>
      </w:r>
    </w:p>
    <w:p w14:paraId="08B98CB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Кер.</w:t>
      </w:r>
      <w:r w:rsidRPr="000977F7">
        <w:rPr>
          <w:rFonts w:asciiTheme="majorHAnsi" w:hAnsiTheme="majorHAnsi"/>
          <w:i/>
          <w:spacing w:val="-3"/>
          <w:sz w:val="20"/>
          <w:szCs w:val="20"/>
        </w:rPr>
        <w:t xml:space="preserve"> </w:t>
      </w:r>
      <w:r w:rsidRPr="000977F7">
        <w:rPr>
          <w:rFonts w:asciiTheme="majorHAnsi" w:hAnsiTheme="majorHAnsi"/>
          <w:i/>
          <w:sz w:val="20"/>
          <w:szCs w:val="20"/>
        </w:rPr>
        <w:t>Проектн.</w:t>
      </w:r>
      <w:r w:rsidRPr="000977F7">
        <w:rPr>
          <w:rFonts w:asciiTheme="majorHAnsi" w:hAnsiTheme="majorHAnsi"/>
          <w:i/>
          <w:spacing w:val="-2"/>
          <w:sz w:val="20"/>
          <w:szCs w:val="20"/>
        </w:rPr>
        <w:t xml:space="preserve"> </w:t>
      </w:r>
      <w:r w:rsidRPr="000977F7">
        <w:rPr>
          <w:rFonts w:asciiTheme="majorHAnsi" w:hAnsiTheme="majorHAnsi"/>
          <w:i/>
          <w:sz w:val="20"/>
          <w:szCs w:val="20"/>
        </w:rPr>
        <w:t>Менедж</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ту.</w:t>
      </w:r>
    </w:p>
    <w:p w14:paraId="5157CA5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ЗАЯВА ПОСТАЧАЛЬНИКА ПРО </w:t>
      </w:r>
    </w:p>
    <w:p w14:paraId="2FFACD4A"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ВІДПОВІД</w:t>
      </w:r>
      <w:r w:rsidRPr="000977F7">
        <w:rPr>
          <w:color w:val="auto"/>
          <w:spacing w:val="-47"/>
          <w:sz w:val="20"/>
          <w:szCs w:val="20"/>
        </w:rPr>
        <w:t xml:space="preserve"> </w:t>
      </w:r>
      <w:r w:rsidRPr="000977F7">
        <w:rPr>
          <w:color w:val="auto"/>
          <w:sz w:val="20"/>
          <w:szCs w:val="20"/>
        </w:rPr>
        <w:t>НІСТЬ</w:t>
      </w:r>
      <w:r w:rsidRPr="000977F7">
        <w:rPr>
          <w:b w:val="0"/>
          <w:color w:val="auto"/>
          <w:sz w:val="20"/>
          <w:szCs w:val="20"/>
        </w:rPr>
        <w:t>–</w:t>
      </w:r>
    </w:p>
    <w:p w14:paraId="43A26D9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SAPPLIER</w:t>
      </w:r>
      <w:r w:rsidRPr="004D2D14">
        <w:rPr>
          <w:rFonts w:asciiTheme="majorHAnsi" w:hAnsiTheme="majorHAnsi"/>
          <w:sz w:val="20"/>
          <w:szCs w:val="20"/>
          <w:lang w:val="uk-UA"/>
        </w:rPr>
        <w:t>’</w:t>
      </w:r>
      <w:r w:rsidRPr="000977F7">
        <w:rPr>
          <w:rFonts w:asciiTheme="majorHAnsi" w:hAnsiTheme="majorHAnsi"/>
          <w:sz w:val="20"/>
          <w:szCs w:val="20"/>
        </w:rPr>
        <w:t>S</w:t>
      </w:r>
      <w:r w:rsidRPr="004D2D14">
        <w:rPr>
          <w:rFonts w:asciiTheme="majorHAnsi" w:hAnsiTheme="majorHAnsi"/>
          <w:spacing w:val="-3"/>
          <w:sz w:val="20"/>
          <w:szCs w:val="20"/>
          <w:lang w:val="uk-UA"/>
        </w:rPr>
        <w:t xml:space="preserve"> </w:t>
      </w:r>
      <w:r w:rsidRPr="000977F7">
        <w:rPr>
          <w:rFonts w:asciiTheme="majorHAnsi" w:hAnsiTheme="majorHAnsi"/>
          <w:sz w:val="20"/>
          <w:szCs w:val="20"/>
        </w:rPr>
        <w:t>DECLARATION</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4954292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Процедура, за допомогою якої постачальник дає письмову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гарантію,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процес</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послуга</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відповідають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заданим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вимогам</w:t>
      </w:r>
    </w:p>
    <w:p w14:paraId="3CBBA67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5ED1EC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Для уникнення плутанини не потрібно використову</w:t>
      </w:r>
      <w:r w:rsidRPr="000977F7">
        <w:rPr>
          <w:rFonts w:asciiTheme="majorHAnsi" w:hAnsiTheme="majorHAnsi"/>
          <w:spacing w:val="-1"/>
          <w:w w:val="99"/>
          <w:sz w:val="20"/>
          <w:szCs w:val="20"/>
        </w:rPr>
        <w:t>ват</w:t>
      </w:r>
      <w:r w:rsidRPr="000977F7">
        <w:rPr>
          <w:rFonts w:asciiTheme="majorHAnsi" w:hAnsiTheme="majorHAnsi"/>
          <w:w w:val="99"/>
          <w:sz w:val="20"/>
          <w:szCs w:val="20"/>
        </w:rPr>
        <w:t>и</w:t>
      </w:r>
      <w:r w:rsidRPr="000977F7">
        <w:rPr>
          <w:rFonts w:asciiTheme="majorHAnsi" w:hAnsiTheme="majorHAnsi"/>
          <w:spacing w:val="1"/>
          <w:sz w:val="20"/>
          <w:szCs w:val="20"/>
        </w:rPr>
        <w:t xml:space="preserve"> </w:t>
      </w:r>
      <w:r w:rsidRPr="000977F7">
        <w:rPr>
          <w:rFonts w:asciiTheme="majorHAnsi" w:hAnsiTheme="majorHAnsi"/>
          <w:spacing w:val="-1"/>
          <w:w w:val="99"/>
          <w:sz w:val="20"/>
          <w:szCs w:val="20"/>
        </w:rPr>
        <w:t>т</w:t>
      </w:r>
      <w:r w:rsidRPr="000977F7">
        <w:rPr>
          <w:rFonts w:asciiTheme="majorHAnsi" w:hAnsiTheme="majorHAnsi"/>
          <w:w w:val="99"/>
          <w:sz w:val="20"/>
          <w:szCs w:val="20"/>
        </w:rPr>
        <w:t>е</w:t>
      </w:r>
      <w:r w:rsidRPr="000977F7">
        <w:rPr>
          <w:rFonts w:asciiTheme="majorHAnsi" w:hAnsiTheme="majorHAnsi"/>
          <w:spacing w:val="1"/>
          <w:w w:val="99"/>
          <w:sz w:val="20"/>
          <w:szCs w:val="20"/>
        </w:rPr>
        <w:t>рм</w:t>
      </w:r>
      <w:r w:rsidRPr="000977F7">
        <w:rPr>
          <w:rFonts w:asciiTheme="majorHAnsi" w:hAnsiTheme="majorHAnsi"/>
          <w:w w:val="99"/>
          <w:sz w:val="20"/>
          <w:szCs w:val="20"/>
        </w:rPr>
        <w:t>ін</w:t>
      </w:r>
      <w:r w:rsidRPr="000977F7">
        <w:rPr>
          <w:rFonts w:asciiTheme="majorHAnsi" w:hAnsiTheme="majorHAnsi"/>
          <w:spacing w:val="1"/>
          <w:sz w:val="20"/>
          <w:szCs w:val="20"/>
        </w:rPr>
        <w:t xml:space="preserve"> "</w:t>
      </w:r>
      <w:r w:rsidRPr="000977F7">
        <w:rPr>
          <w:rFonts w:asciiTheme="majorHAnsi" w:hAnsiTheme="majorHAnsi"/>
          <w:w w:val="99"/>
          <w:sz w:val="20"/>
          <w:szCs w:val="20"/>
        </w:rPr>
        <w:t>са</w:t>
      </w:r>
      <w:r w:rsidRPr="000977F7">
        <w:rPr>
          <w:rFonts w:asciiTheme="majorHAnsi" w:hAnsiTheme="majorHAnsi"/>
          <w:spacing w:val="1"/>
          <w:w w:val="99"/>
          <w:sz w:val="20"/>
          <w:szCs w:val="20"/>
        </w:rPr>
        <w:t>мо</w:t>
      </w:r>
      <w:r w:rsidRPr="000977F7">
        <w:rPr>
          <w:rFonts w:asciiTheme="majorHAnsi" w:hAnsiTheme="majorHAnsi"/>
          <w:w w:val="99"/>
          <w:sz w:val="20"/>
          <w:szCs w:val="20"/>
        </w:rPr>
        <w:t>се</w:t>
      </w:r>
      <w:r w:rsidRPr="000977F7">
        <w:rPr>
          <w:rFonts w:asciiTheme="majorHAnsi" w:hAnsiTheme="majorHAnsi"/>
          <w:spacing w:val="1"/>
          <w:w w:val="99"/>
          <w:sz w:val="20"/>
          <w:szCs w:val="20"/>
        </w:rPr>
        <w:t>р</w:t>
      </w:r>
      <w:r w:rsidRPr="000977F7">
        <w:rPr>
          <w:rFonts w:asciiTheme="majorHAnsi" w:hAnsiTheme="majorHAnsi"/>
          <w:spacing w:val="-1"/>
          <w:w w:val="99"/>
          <w:sz w:val="20"/>
          <w:szCs w:val="20"/>
        </w:rPr>
        <w:t>т</w:t>
      </w:r>
      <w:r w:rsidRPr="000977F7">
        <w:rPr>
          <w:rFonts w:asciiTheme="majorHAnsi" w:hAnsiTheme="majorHAnsi"/>
          <w:spacing w:val="-2"/>
          <w:w w:val="99"/>
          <w:sz w:val="20"/>
          <w:szCs w:val="20"/>
        </w:rPr>
        <w:t>и</w:t>
      </w:r>
      <w:r w:rsidRPr="000977F7">
        <w:rPr>
          <w:rFonts w:asciiTheme="majorHAnsi" w:hAnsiTheme="majorHAnsi"/>
          <w:w w:val="99"/>
          <w:sz w:val="20"/>
          <w:szCs w:val="20"/>
        </w:rPr>
        <w:t>фік</w:t>
      </w:r>
      <w:r w:rsidRPr="000977F7">
        <w:rPr>
          <w:rFonts w:asciiTheme="majorHAnsi" w:hAnsiTheme="majorHAnsi"/>
          <w:spacing w:val="2"/>
          <w:w w:val="99"/>
          <w:sz w:val="20"/>
          <w:szCs w:val="20"/>
        </w:rPr>
        <w:t>а</w:t>
      </w:r>
      <w:r w:rsidRPr="000977F7">
        <w:rPr>
          <w:rFonts w:asciiTheme="majorHAnsi" w:hAnsiTheme="majorHAnsi"/>
          <w:spacing w:val="-2"/>
          <w:w w:val="99"/>
          <w:sz w:val="20"/>
          <w:szCs w:val="20"/>
        </w:rPr>
        <w:t>ц</w:t>
      </w:r>
      <w:r w:rsidRPr="000977F7">
        <w:rPr>
          <w:rFonts w:asciiTheme="majorHAnsi" w:hAnsiTheme="majorHAnsi"/>
          <w:w w:val="99"/>
          <w:sz w:val="20"/>
          <w:szCs w:val="20"/>
        </w:rPr>
        <w:t>і</w:t>
      </w:r>
      <w:r w:rsidRPr="000977F7">
        <w:rPr>
          <w:rFonts w:asciiTheme="majorHAnsi" w:hAnsiTheme="majorHAnsi"/>
          <w:spacing w:val="-1"/>
          <w:w w:val="99"/>
          <w:sz w:val="20"/>
          <w:szCs w:val="20"/>
        </w:rPr>
        <w:t>я"</w:t>
      </w:r>
    </w:p>
    <w:p w14:paraId="74C1CCE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ЗАЯВА</w:t>
      </w:r>
      <w:r w:rsidRPr="000977F7">
        <w:rPr>
          <w:color w:val="auto"/>
          <w:spacing w:val="-4"/>
          <w:sz w:val="20"/>
          <w:szCs w:val="20"/>
        </w:rPr>
        <w:t xml:space="preserve"> </w:t>
      </w:r>
      <w:r w:rsidRPr="000977F7">
        <w:rPr>
          <w:color w:val="auto"/>
          <w:sz w:val="20"/>
          <w:szCs w:val="20"/>
        </w:rPr>
        <w:t>ПРО</w:t>
      </w:r>
      <w:r w:rsidRPr="000977F7">
        <w:rPr>
          <w:color w:val="auto"/>
          <w:spacing w:val="-2"/>
          <w:sz w:val="20"/>
          <w:szCs w:val="20"/>
        </w:rPr>
        <w:t xml:space="preserve"> </w:t>
      </w:r>
      <w:r w:rsidRPr="000977F7">
        <w:rPr>
          <w:color w:val="auto"/>
          <w:sz w:val="20"/>
          <w:szCs w:val="20"/>
        </w:rPr>
        <w:t>ВІДПОВІДНІСТЬ -</w:t>
      </w:r>
    </w:p>
    <w:p w14:paraId="49DF486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DECLARATION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CONFORMITY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15E9B37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Заява постачальника під його повну відповідальність</w:t>
      </w:r>
      <w:r w:rsidRPr="000977F7">
        <w:rPr>
          <w:rFonts w:asciiTheme="majorHAnsi" w:hAnsiTheme="majorHAnsi"/>
          <w:spacing w:val="1"/>
          <w:sz w:val="20"/>
          <w:szCs w:val="20"/>
        </w:rPr>
        <w:t xml:space="preserve"> </w:t>
      </w:r>
      <w:r w:rsidRPr="000977F7">
        <w:rPr>
          <w:rFonts w:asciiTheme="majorHAnsi" w:hAnsiTheme="majorHAnsi"/>
          <w:sz w:val="20"/>
          <w:szCs w:val="20"/>
        </w:rPr>
        <w:t>про те, що продукція, процес або послуга відповідають конкретному стандарту або іншому нормативному</w:t>
      </w:r>
      <w:r w:rsidRPr="000977F7">
        <w:rPr>
          <w:rFonts w:asciiTheme="majorHAnsi" w:hAnsiTheme="majorHAnsi"/>
          <w:spacing w:val="-2"/>
          <w:sz w:val="20"/>
          <w:szCs w:val="20"/>
        </w:rPr>
        <w:t xml:space="preserve"> </w:t>
      </w:r>
      <w:r w:rsidRPr="000977F7">
        <w:rPr>
          <w:rFonts w:asciiTheme="majorHAnsi" w:hAnsiTheme="majorHAnsi"/>
          <w:sz w:val="20"/>
          <w:szCs w:val="20"/>
        </w:rPr>
        <w:t>документу</w:t>
      </w:r>
    </w:p>
    <w:p w14:paraId="4197D05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ЗАЯВКА –</w:t>
      </w:r>
    </w:p>
    <w:p w14:paraId="781FDB0A"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Сукупність документів, необхідних для державної реєстрації промислового зразка</w:t>
      </w:r>
    </w:p>
    <w:p w14:paraId="7922F522"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охорону прав на промислові зразки"</w:t>
      </w:r>
    </w:p>
    <w:p w14:paraId="4D2305C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ЗАЯВКА</w:t>
      </w:r>
      <w:r w:rsidRPr="000977F7">
        <w:rPr>
          <w:color w:val="auto"/>
          <w:spacing w:val="49"/>
          <w:sz w:val="20"/>
          <w:szCs w:val="20"/>
        </w:rPr>
        <w:t xml:space="preserve"> </w:t>
      </w:r>
      <w:r w:rsidRPr="000977F7">
        <w:rPr>
          <w:color w:val="auto"/>
          <w:sz w:val="20"/>
          <w:szCs w:val="20"/>
        </w:rPr>
        <w:t>НА</w:t>
      </w:r>
      <w:r w:rsidRPr="000977F7">
        <w:rPr>
          <w:color w:val="auto"/>
          <w:spacing w:val="1"/>
          <w:sz w:val="20"/>
          <w:szCs w:val="20"/>
        </w:rPr>
        <w:t xml:space="preserve"> </w:t>
      </w:r>
      <w:r w:rsidRPr="000977F7">
        <w:rPr>
          <w:color w:val="auto"/>
          <w:sz w:val="20"/>
          <w:szCs w:val="20"/>
        </w:rPr>
        <w:t>РОЗРОБКУ</w:t>
      </w:r>
      <w:r w:rsidRPr="000977F7">
        <w:rPr>
          <w:color w:val="auto"/>
          <w:spacing w:val="3"/>
          <w:sz w:val="20"/>
          <w:szCs w:val="20"/>
        </w:rPr>
        <w:t xml:space="preserve"> </w:t>
      </w:r>
      <w:r w:rsidRPr="000977F7">
        <w:rPr>
          <w:color w:val="auto"/>
          <w:sz w:val="20"/>
          <w:szCs w:val="20"/>
        </w:rPr>
        <w:t>ТА</w:t>
      </w:r>
      <w:r w:rsidRPr="000977F7">
        <w:rPr>
          <w:color w:val="auto"/>
          <w:spacing w:val="1"/>
          <w:sz w:val="20"/>
          <w:szCs w:val="20"/>
        </w:rPr>
        <w:t xml:space="preserve"> </w:t>
      </w:r>
      <w:r w:rsidRPr="000977F7">
        <w:rPr>
          <w:color w:val="auto"/>
          <w:sz w:val="20"/>
          <w:szCs w:val="20"/>
        </w:rPr>
        <w:t>ОСВОЄННЯ</w:t>
      </w:r>
      <w:r w:rsidRPr="000977F7">
        <w:rPr>
          <w:color w:val="auto"/>
          <w:spacing w:val="1"/>
          <w:sz w:val="20"/>
          <w:szCs w:val="20"/>
        </w:rPr>
        <w:t xml:space="preserve"> </w:t>
      </w:r>
      <w:r w:rsidRPr="000977F7">
        <w:rPr>
          <w:color w:val="auto"/>
          <w:sz w:val="20"/>
          <w:szCs w:val="20"/>
        </w:rPr>
        <w:t>ПРОДУКЦІЇ-</w:t>
      </w:r>
    </w:p>
    <w:p w14:paraId="53A15079"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Вихідний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технічний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документ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замовника,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містить</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пропозиції</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про</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розробку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освоєння</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виробництві</w:t>
      </w:r>
      <w:r w:rsidRPr="004D2D14">
        <w:rPr>
          <w:rFonts w:asciiTheme="majorHAnsi" w:hAnsiTheme="majorHAnsi"/>
          <w:spacing w:val="43"/>
          <w:sz w:val="20"/>
          <w:szCs w:val="20"/>
          <w:lang w:val="uk-UA"/>
        </w:rPr>
        <w:t xml:space="preserve"> </w:t>
      </w:r>
      <w:r w:rsidRPr="004D2D14">
        <w:rPr>
          <w:rFonts w:asciiTheme="majorHAnsi" w:hAnsiTheme="majorHAnsi"/>
          <w:sz w:val="20"/>
          <w:szCs w:val="20"/>
          <w:lang w:val="uk-UA"/>
        </w:rPr>
        <w:t>необхідної</w:t>
      </w:r>
      <w:r w:rsidRPr="004D2D14">
        <w:rPr>
          <w:rFonts w:asciiTheme="majorHAnsi" w:hAnsiTheme="majorHAnsi"/>
          <w:spacing w:val="43"/>
          <w:sz w:val="20"/>
          <w:szCs w:val="20"/>
          <w:lang w:val="uk-UA"/>
        </w:rPr>
        <w:t xml:space="preserve"> </w:t>
      </w:r>
      <w:r w:rsidRPr="004D2D14">
        <w:rPr>
          <w:rFonts w:asciiTheme="majorHAnsi" w:hAnsiTheme="majorHAnsi"/>
          <w:sz w:val="20"/>
          <w:szCs w:val="20"/>
          <w:lang w:val="uk-UA"/>
        </w:rPr>
        <w:t>йому</w:t>
      </w:r>
      <w:r w:rsidRPr="004D2D14">
        <w:rPr>
          <w:rFonts w:asciiTheme="majorHAnsi" w:hAnsiTheme="majorHAnsi"/>
          <w:spacing w:val="43"/>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44"/>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45"/>
          <w:sz w:val="20"/>
          <w:szCs w:val="20"/>
          <w:lang w:val="uk-UA"/>
        </w:rPr>
        <w:t xml:space="preserve"> </w:t>
      </w:r>
      <w:r w:rsidRPr="004D2D14">
        <w:rPr>
          <w:rFonts w:asciiTheme="majorHAnsi" w:hAnsiTheme="majorHAnsi"/>
          <w:sz w:val="20"/>
          <w:szCs w:val="20"/>
          <w:lang w:val="uk-UA"/>
        </w:rPr>
        <w:t>тому</w:t>
      </w:r>
      <w:r w:rsidRPr="004D2D14">
        <w:rPr>
          <w:rFonts w:asciiTheme="majorHAnsi" w:hAnsiTheme="majorHAnsi"/>
          <w:spacing w:val="41"/>
          <w:sz w:val="20"/>
          <w:szCs w:val="20"/>
          <w:lang w:val="uk-UA"/>
        </w:rPr>
        <w:t xml:space="preserve"> </w:t>
      </w:r>
      <w:r w:rsidRPr="004D2D14">
        <w:rPr>
          <w:rFonts w:asciiTheme="majorHAnsi" w:hAnsiTheme="majorHAnsi"/>
          <w:sz w:val="20"/>
          <w:szCs w:val="20"/>
          <w:lang w:val="uk-UA"/>
        </w:rPr>
        <w:t>числі</w:t>
      </w:r>
      <w:r w:rsidRPr="004D2D14">
        <w:rPr>
          <w:rFonts w:asciiTheme="majorHAnsi" w:hAnsiTheme="majorHAnsi"/>
          <w:spacing w:val="43"/>
          <w:sz w:val="20"/>
          <w:szCs w:val="20"/>
          <w:lang w:val="uk-UA"/>
        </w:rPr>
        <w:t xml:space="preserve"> </w:t>
      </w:r>
      <w:r w:rsidRPr="004D2D14">
        <w:rPr>
          <w:rFonts w:asciiTheme="majorHAnsi" w:hAnsiTheme="majorHAnsi"/>
          <w:sz w:val="20"/>
          <w:szCs w:val="20"/>
          <w:lang w:val="uk-UA"/>
        </w:rPr>
        <w:t>терміни</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проведення</w:t>
      </w:r>
      <w:r w:rsidRPr="004D2D14">
        <w:rPr>
          <w:rFonts w:asciiTheme="majorHAnsi" w:hAnsiTheme="majorHAnsi"/>
          <w:spacing w:val="31"/>
          <w:sz w:val="20"/>
          <w:szCs w:val="20"/>
          <w:lang w:val="uk-UA"/>
        </w:rPr>
        <w:t xml:space="preserve"> </w:t>
      </w:r>
      <w:r w:rsidRPr="004D2D14">
        <w:rPr>
          <w:rFonts w:asciiTheme="majorHAnsi" w:hAnsiTheme="majorHAnsi"/>
          <w:sz w:val="20"/>
          <w:szCs w:val="20"/>
          <w:lang w:val="uk-UA"/>
        </w:rPr>
        <w:t>цих</w:t>
      </w:r>
      <w:r w:rsidRPr="004D2D14">
        <w:rPr>
          <w:rFonts w:asciiTheme="majorHAnsi" w:hAnsiTheme="majorHAnsi"/>
          <w:spacing w:val="31"/>
          <w:sz w:val="20"/>
          <w:szCs w:val="20"/>
          <w:lang w:val="uk-UA"/>
        </w:rPr>
        <w:t xml:space="preserve"> </w:t>
      </w:r>
      <w:r w:rsidRPr="004D2D14">
        <w:rPr>
          <w:rFonts w:asciiTheme="majorHAnsi" w:hAnsiTheme="majorHAnsi"/>
          <w:sz w:val="20"/>
          <w:szCs w:val="20"/>
          <w:lang w:val="uk-UA"/>
        </w:rPr>
        <w:t>робіт,</w:t>
      </w:r>
      <w:r w:rsidRPr="004D2D14">
        <w:rPr>
          <w:rFonts w:asciiTheme="majorHAnsi" w:hAnsiTheme="majorHAnsi"/>
          <w:spacing w:val="33"/>
          <w:sz w:val="20"/>
          <w:szCs w:val="20"/>
          <w:lang w:val="uk-UA"/>
        </w:rPr>
        <w:t xml:space="preserve"> </w:t>
      </w:r>
      <w:r w:rsidRPr="004D2D14">
        <w:rPr>
          <w:rFonts w:asciiTheme="majorHAnsi" w:hAnsiTheme="majorHAnsi"/>
          <w:sz w:val="20"/>
          <w:szCs w:val="20"/>
          <w:lang w:val="uk-UA"/>
        </w:rPr>
        <w:t>техніко-економічні</w:t>
      </w:r>
      <w:r w:rsidRPr="004D2D14">
        <w:rPr>
          <w:rFonts w:asciiTheme="majorHAnsi" w:hAnsiTheme="majorHAnsi"/>
          <w:spacing w:val="31"/>
          <w:sz w:val="20"/>
          <w:szCs w:val="20"/>
          <w:lang w:val="uk-UA"/>
        </w:rPr>
        <w:t xml:space="preserve"> </w:t>
      </w:r>
      <w:r w:rsidRPr="004D2D14">
        <w:rPr>
          <w:rFonts w:asciiTheme="majorHAnsi" w:hAnsiTheme="majorHAnsi"/>
          <w:sz w:val="20"/>
          <w:szCs w:val="20"/>
          <w:lang w:val="uk-UA"/>
        </w:rPr>
        <w:t>вимоги</w:t>
      </w:r>
      <w:r w:rsidRPr="004D2D14">
        <w:rPr>
          <w:rFonts w:asciiTheme="majorHAnsi" w:hAnsiTheme="majorHAnsi"/>
          <w:spacing w:val="29"/>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продукції, яка замовляється, та обсяги її виробництва</w:t>
      </w:r>
      <w:r w:rsidRPr="004D2D14">
        <w:rPr>
          <w:rFonts w:asciiTheme="majorHAnsi" w:hAnsiTheme="majorHAnsi"/>
          <w:spacing w:val="1"/>
          <w:sz w:val="20"/>
          <w:szCs w:val="20"/>
          <w:lang w:val="uk-UA"/>
        </w:rPr>
        <w:t xml:space="preserve"> </w:t>
      </w:r>
    </w:p>
    <w:p w14:paraId="6E99201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ЗАЯВНИК –</w:t>
      </w:r>
    </w:p>
    <w:p w14:paraId="03715FBD"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Особа, яка подала заявку чи набула прав заявника в іншому встановленому законом порядку</w:t>
      </w:r>
    </w:p>
    <w:p w14:paraId="2F72847E"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охорону прав на промислові зразки"</w:t>
      </w:r>
    </w:p>
    <w:p w14:paraId="57519D6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b/>
          <w:sz w:val="20"/>
          <w:szCs w:val="20"/>
        </w:rPr>
        <w:t>ЗАЯВНИК</w:t>
      </w:r>
      <w:r w:rsidRPr="004D2D14">
        <w:rPr>
          <w:rFonts w:asciiTheme="majorHAnsi" w:hAnsiTheme="majorHAnsi"/>
          <w:b/>
          <w:i/>
          <w:iCs/>
          <w:sz w:val="20"/>
          <w:szCs w:val="20"/>
          <w:lang w:val="en-US"/>
        </w:rPr>
        <w:t xml:space="preserve"> </w:t>
      </w:r>
      <w:r w:rsidRPr="004D2D14">
        <w:rPr>
          <w:rFonts w:asciiTheme="majorHAnsi" w:hAnsiTheme="majorHAnsi"/>
          <w:b/>
          <w:sz w:val="20"/>
          <w:szCs w:val="20"/>
          <w:lang w:val="en-US"/>
        </w:rPr>
        <w:t>(</w:t>
      </w:r>
      <w:r w:rsidRPr="000977F7">
        <w:rPr>
          <w:rFonts w:asciiTheme="majorHAnsi" w:hAnsiTheme="majorHAnsi"/>
          <w:b/>
          <w:sz w:val="20"/>
          <w:szCs w:val="20"/>
        </w:rPr>
        <w:t>В</w:t>
      </w:r>
      <w:r w:rsidRPr="004D2D14">
        <w:rPr>
          <w:rFonts w:asciiTheme="majorHAnsi" w:hAnsiTheme="majorHAnsi"/>
          <w:b/>
          <w:sz w:val="20"/>
          <w:szCs w:val="20"/>
          <w:lang w:val="en-US"/>
        </w:rPr>
        <w:t xml:space="preserve"> </w:t>
      </w:r>
      <w:r w:rsidRPr="000977F7">
        <w:rPr>
          <w:rFonts w:asciiTheme="majorHAnsi" w:hAnsiTheme="majorHAnsi"/>
          <w:b/>
          <w:sz w:val="20"/>
          <w:szCs w:val="20"/>
        </w:rPr>
        <w:t>ГАЛУЗІ</w:t>
      </w:r>
      <w:r w:rsidRPr="004D2D14">
        <w:rPr>
          <w:rFonts w:asciiTheme="majorHAnsi" w:hAnsiTheme="majorHAnsi"/>
          <w:b/>
          <w:sz w:val="20"/>
          <w:szCs w:val="20"/>
          <w:lang w:val="en-US"/>
        </w:rPr>
        <w:t xml:space="preserve"> </w:t>
      </w:r>
      <w:r w:rsidRPr="000977F7">
        <w:rPr>
          <w:rFonts w:asciiTheme="majorHAnsi" w:hAnsiTheme="majorHAnsi"/>
          <w:b/>
          <w:sz w:val="20"/>
          <w:szCs w:val="20"/>
        </w:rPr>
        <w:t>СЕРТИФІКАЦІЇ</w:t>
      </w:r>
      <w:r w:rsidRPr="004D2D14">
        <w:rPr>
          <w:rFonts w:asciiTheme="majorHAnsi" w:hAnsiTheme="majorHAnsi"/>
          <w:b/>
          <w:sz w:val="20"/>
          <w:szCs w:val="20"/>
          <w:lang w:val="en-US"/>
        </w:rPr>
        <w:t>) –</w:t>
      </w:r>
      <w:r w:rsidRPr="004D2D14">
        <w:rPr>
          <w:rFonts w:asciiTheme="majorHAnsi" w:hAnsiTheme="majorHAnsi"/>
          <w:sz w:val="20"/>
          <w:szCs w:val="20"/>
          <w:lang w:val="en-US"/>
        </w:rPr>
        <w:t>APPLICANT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(FOR</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CERTIFICATION)</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71106B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Особа або орган, які звернулися для одержання відповідного свідоцтва</w:t>
      </w:r>
      <w:r w:rsidRPr="000977F7">
        <w:rPr>
          <w:rFonts w:asciiTheme="majorHAnsi" w:hAnsiTheme="majorHAnsi"/>
          <w:spacing w:val="-2"/>
          <w:sz w:val="20"/>
          <w:szCs w:val="20"/>
        </w:rPr>
        <w:t xml:space="preserve"> </w:t>
      </w:r>
      <w:r w:rsidRPr="000977F7">
        <w:rPr>
          <w:rFonts w:asciiTheme="majorHAnsi" w:hAnsiTheme="majorHAnsi"/>
          <w:sz w:val="20"/>
          <w:szCs w:val="20"/>
        </w:rPr>
        <w:t>від</w:t>
      </w:r>
      <w:r w:rsidRPr="000977F7">
        <w:rPr>
          <w:rFonts w:asciiTheme="majorHAnsi" w:hAnsiTheme="majorHAnsi"/>
          <w:spacing w:val="-2"/>
          <w:sz w:val="20"/>
          <w:szCs w:val="20"/>
        </w:rPr>
        <w:t xml:space="preserve"> </w:t>
      </w:r>
      <w:r w:rsidRPr="000977F7">
        <w:rPr>
          <w:rFonts w:asciiTheme="majorHAnsi" w:hAnsiTheme="majorHAnsi"/>
          <w:sz w:val="20"/>
          <w:szCs w:val="20"/>
        </w:rPr>
        <w:t>органу</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сертифікації</w:t>
      </w:r>
    </w:p>
    <w:p w14:paraId="1DEAD4B7"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ЗБЕРЕЖЕННЯ</w:t>
      </w:r>
      <w:r w:rsidRPr="000977F7">
        <w:rPr>
          <w:color w:val="auto"/>
          <w:spacing w:val="-3"/>
          <w:sz w:val="20"/>
          <w:szCs w:val="20"/>
        </w:rPr>
        <w:t xml:space="preserve"> </w:t>
      </w:r>
      <w:r w:rsidRPr="000977F7">
        <w:rPr>
          <w:b w:val="0"/>
          <w:color w:val="auto"/>
          <w:sz w:val="20"/>
          <w:szCs w:val="20"/>
        </w:rPr>
        <w:t>–</w:t>
      </w:r>
    </w:p>
    <w:p w14:paraId="54EF308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забезпечувати збереження виходів</w:t>
      </w:r>
      <w:r w:rsidRPr="000977F7">
        <w:rPr>
          <w:rFonts w:asciiTheme="majorHAnsi" w:hAnsiTheme="majorHAnsi"/>
          <w:spacing w:val="12"/>
          <w:sz w:val="20"/>
          <w:szCs w:val="20"/>
        </w:rPr>
        <w:t xml:space="preserve"> </w:t>
      </w:r>
      <w:r w:rsidRPr="000977F7">
        <w:rPr>
          <w:rFonts w:asciiTheme="majorHAnsi" w:hAnsiTheme="majorHAnsi"/>
          <w:sz w:val="20"/>
          <w:szCs w:val="20"/>
        </w:rPr>
        <w:t>під</w:t>
      </w:r>
      <w:r w:rsidRPr="000977F7">
        <w:rPr>
          <w:rFonts w:asciiTheme="majorHAnsi" w:hAnsiTheme="majorHAnsi"/>
          <w:spacing w:val="9"/>
          <w:sz w:val="20"/>
          <w:szCs w:val="20"/>
        </w:rPr>
        <w:t xml:space="preserve"> </w:t>
      </w:r>
      <w:r w:rsidRPr="000977F7">
        <w:rPr>
          <w:rFonts w:asciiTheme="majorHAnsi" w:hAnsiTheme="majorHAnsi"/>
          <w:sz w:val="20"/>
          <w:szCs w:val="20"/>
        </w:rPr>
        <w:t>час</w:t>
      </w:r>
      <w:r w:rsidRPr="000977F7">
        <w:rPr>
          <w:rFonts w:asciiTheme="majorHAnsi" w:hAnsiTheme="majorHAnsi"/>
          <w:spacing w:val="13"/>
          <w:sz w:val="20"/>
          <w:szCs w:val="20"/>
        </w:rPr>
        <w:t xml:space="preserve"> </w:t>
      </w:r>
      <w:r w:rsidRPr="000977F7">
        <w:rPr>
          <w:rFonts w:asciiTheme="majorHAnsi" w:hAnsiTheme="majorHAnsi"/>
          <w:sz w:val="20"/>
          <w:szCs w:val="20"/>
        </w:rPr>
        <w:t>виготовлення</w:t>
      </w:r>
      <w:r w:rsidRPr="000977F7">
        <w:rPr>
          <w:rFonts w:asciiTheme="majorHAnsi" w:hAnsiTheme="majorHAnsi"/>
          <w:spacing w:val="10"/>
          <w:sz w:val="20"/>
          <w:szCs w:val="20"/>
        </w:rPr>
        <w:t xml:space="preserve"> </w:t>
      </w:r>
      <w:r w:rsidRPr="000977F7">
        <w:rPr>
          <w:rFonts w:asciiTheme="majorHAnsi" w:hAnsiTheme="majorHAnsi"/>
          <w:sz w:val="20"/>
          <w:szCs w:val="20"/>
        </w:rPr>
        <w:t>продукції</w:t>
      </w:r>
      <w:r w:rsidRPr="000977F7">
        <w:rPr>
          <w:rFonts w:asciiTheme="majorHAnsi" w:hAnsiTheme="majorHAnsi"/>
          <w:spacing w:val="12"/>
          <w:sz w:val="20"/>
          <w:szCs w:val="20"/>
        </w:rPr>
        <w:t xml:space="preserve"> </w:t>
      </w:r>
      <w:r w:rsidRPr="000977F7">
        <w:rPr>
          <w:rFonts w:asciiTheme="majorHAnsi" w:hAnsiTheme="majorHAnsi"/>
          <w:sz w:val="20"/>
          <w:szCs w:val="20"/>
        </w:rPr>
        <w:t>та</w:t>
      </w:r>
      <w:r w:rsidRPr="000977F7">
        <w:rPr>
          <w:rFonts w:asciiTheme="majorHAnsi" w:hAnsiTheme="majorHAnsi"/>
          <w:spacing w:val="11"/>
          <w:sz w:val="20"/>
          <w:szCs w:val="20"/>
        </w:rPr>
        <w:t xml:space="preserve"> </w:t>
      </w:r>
      <w:r w:rsidRPr="000977F7">
        <w:rPr>
          <w:rFonts w:asciiTheme="majorHAnsi" w:hAnsiTheme="majorHAnsi"/>
          <w:sz w:val="20"/>
          <w:szCs w:val="20"/>
        </w:rPr>
        <w:t>надання</w:t>
      </w:r>
      <w:r w:rsidRPr="000977F7">
        <w:rPr>
          <w:rFonts w:asciiTheme="majorHAnsi" w:hAnsiTheme="majorHAnsi"/>
          <w:spacing w:val="12"/>
          <w:sz w:val="20"/>
          <w:szCs w:val="20"/>
        </w:rPr>
        <w:t xml:space="preserve"> </w:t>
      </w:r>
      <w:r w:rsidRPr="000977F7">
        <w:rPr>
          <w:rFonts w:asciiTheme="majorHAnsi" w:hAnsiTheme="majorHAnsi"/>
          <w:sz w:val="20"/>
          <w:szCs w:val="20"/>
        </w:rPr>
        <w:t>послуг</w:t>
      </w:r>
      <w:r w:rsidRPr="000977F7">
        <w:rPr>
          <w:rFonts w:asciiTheme="majorHAnsi" w:hAnsiTheme="majorHAnsi"/>
          <w:spacing w:val="-47"/>
          <w:sz w:val="20"/>
          <w:szCs w:val="20"/>
        </w:rPr>
        <w:t xml:space="preserve"> </w:t>
      </w:r>
      <w:r w:rsidRPr="000977F7">
        <w:rPr>
          <w:rFonts w:asciiTheme="majorHAnsi" w:hAnsiTheme="majorHAnsi"/>
          <w:sz w:val="20"/>
          <w:szCs w:val="20"/>
        </w:rPr>
        <w:t>у ступінь, необхідний для забезпечення 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вимогам.</w:t>
      </w:r>
    </w:p>
    <w:p w14:paraId="772629F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 р и м і т к а: Збереження може охоплювати ідентифікування, вантажні роботи, запобігання забрудненню, пакування, зберігання, передавання чи транспортування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захист.</w:t>
      </w:r>
    </w:p>
    <w:p w14:paraId="0E2426D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9001 - 2015</w:t>
      </w:r>
    </w:p>
    <w:p w14:paraId="1BF3F98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ЗБЕРЕЖУВАНІСТЬ</w:t>
      </w:r>
      <w:r w:rsidRPr="000977F7">
        <w:rPr>
          <w:color w:val="auto"/>
          <w:spacing w:val="-3"/>
          <w:sz w:val="20"/>
          <w:szCs w:val="20"/>
        </w:rPr>
        <w:t xml:space="preserve"> </w:t>
      </w:r>
      <w:r w:rsidRPr="000977F7">
        <w:rPr>
          <w:color w:val="auto"/>
          <w:sz w:val="20"/>
          <w:szCs w:val="20"/>
        </w:rPr>
        <w:t>–</w:t>
      </w:r>
    </w:p>
    <w:p w14:paraId="79B8729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STORABILITY</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4107CF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 об’єкта зберігати в заданих межах значення</w:t>
      </w:r>
      <w:r w:rsidRPr="000977F7">
        <w:rPr>
          <w:rFonts w:asciiTheme="majorHAnsi" w:hAnsiTheme="majorHAnsi"/>
          <w:spacing w:val="1"/>
          <w:sz w:val="20"/>
          <w:szCs w:val="20"/>
        </w:rPr>
        <w:t xml:space="preserve"> </w:t>
      </w:r>
      <w:r w:rsidRPr="000977F7">
        <w:rPr>
          <w:rFonts w:asciiTheme="majorHAnsi" w:hAnsiTheme="majorHAnsi"/>
          <w:sz w:val="20"/>
          <w:szCs w:val="20"/>
        </w:rPr>
        <w:t>параметрів,</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характеризують</w:t>
      </w:r>
      <w:r w:rsidRPr="000977F7">
        <w:rPr>
          <w:rFonts w:asciiTheme="majorHAnsi" w:hAnsiTheme="majorHAnsi"/>
          <w:spacing w:val="1"/>
          <w:sz w:val="20"/>
          <w:szCs w:val="20"/>
        </w:rPr>
        <w:t xml:space="preserve"> </w:t>
      </w:r>
      <w:r w:rsidRPr="000977F7">
        <w:rPr>
          <w:rFonts w:asciiTheme="majorHAnsi" w:hAnsiTheme="majorHAnsi"/>
          <w:sz w:val="20"/>
          <w:szCs w:val="20"/>
        </w:rPr>
        <w:t>здатність</w:t>
      </w:r>
      <w:r w:rsidRPr="000977F7">
        <w:rPr>
          <w:rFonts w:asciiTheme="majorHAnsi" w:hAnsiTheme="majorHAnsi"/>
          <w:spacing w:val="1"/>
          <w:sz w:val="20"/>
          <w:szCs w:val="20"/>
        </w:rPr>
        <w:t xml:space="preserve"> </w:t>
      </w:r>
      <w:r w:rsidRPr="000977F7">
        <w:rPr>
          <w:rFonts w:asciiTheme="majorHAnsi" w:hAnsiTheme="majorHAnsi"/>
          <w:sz w:val="20"/>
          <w:szCs w:val="20"/>
        </w:rPr>
        <w:t>об’єкта виконувати потрібні функції під час і після</w:t>
      </w:r>
      <w:r w:rsidRPr="000977F7">
        <w:rPr>
          <w:rFonts w:asciiTheme="majorHAnsi" w:hAnsiTheme="majorHAnsi"/>
          <w:spacing w:val="1"/>
          <w:sz w:val="20"/>
          <w:szCs w:val="20"/>
        </w:rPr>
        <w:t xml:space="preserve"> </w:t>
      </w:r>
      <w:r w:rsidRPr="000977F7">
        <w:rPr>
          <w:rFonts w:asciiTheme="majorHAnsi" w:hAnsiTheme="majorHAnsi"/>
          <w:sz w:val="20"/>
          <w:szCs w:val="20"/>
        </w:rPr>
        <w:t>зберігання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транспортування</w:t>
      </w:r>
    </w:p>
    <w:p w14:paraId="77980565"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2634 –</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 94</w:t>
      </w:r>
    </w:p>
    <w:p w14:paraId="1E13EDD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ЗБЕРІГАННЯ</w:t>
      </w:r>
      <w:r w:rsidRPr="000977F7">
        <w:rPr>
          <w:color w:val="auto"/>
          <w:spacing w:val="-4"/>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7D9794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Утримування продукції в місцях її розміщення відповідно до встановлених</w:t>
      </w:r>
      <w:r w:rsidRPr="000977F7">
        <w:rPr>
          <w:rFonts w:asciiTheme="majorHAnsi" w:hAnsiTheme="majorHAnsi"/>
          <w:spacing w:val="-1"/>
          <w:sz w:val="20"/>
          <w:szCs w:val="20"/>
        </w:rPr>
        <w:t xml:space="preserve"> </w:t>
      </w:r>
      <w:r w:rsidRPr="000977F7">
        <w:rPr>
          <w:rFonts w:asciiTheme="majorHAnsi" w:hAnsiTheme="majorHAnsi"/>
          <w:sz w:val="20"/>
          <w:szCs w:val="20"/>
        </w:rPr>
        <w:t>правил</w:t>
      </w:r>
    </w:p>
    <w:p w14:paraId="3B285B4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6425A9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ЗБИТКИ ВІД ЗНИЖЕННЯ ЯКОСТІ ЕЛЕКТРИЧ</w:t>
      </w:r>
      <w:r w:rsidRPr="000977F7">
        <w:rPr>
          <w:color w:val="auto"/>
          <w:spacing w:val="-47"/>
          <w:sz w:val="20"/>
          <w:szCs w:val="20"/>
        </w:rPr>
        <w:t xml:space="preserve"> </w:t>
      </w:r>
      <w:r w:rsidRPr="000977F7">
        <w:rPr>
          <w:color w:val="auto"/>
          <w:sz w:val="20"/>
          <w:szCs w:val="20"/>
        </w:rPr>
        <w:t>НОЇ</w:t>
      </w:r>
      <w:r w:rsidRPr="000977F7">
        <w:rPr>
          <w:color w:val="auto"/>
          <w:spacing w:val="-2"/>
          <w:sz w:val="20"/>
          <w:szCs w:val="20"/>
        </w:rPr>
        <w:t xml:space="preserve"> </w:t>
      </w:r>
      <w:r w:rsidRPr="000977F7">
        <w:rPr>
          <w:color w:val="auto"/>
          <w:sz w:val="20"/>
          <w:szCs w:val="20"/>
        </w:rPr>
        <w:t>ЕНЕРГІЇ –</w:t>
      </w:r>
    </w:p>
    <w:p w14:paraId="0A99CAE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Всі види негативних наслідків, що виникають в роботі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системи електропостачання, споживачів і приймальників при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погіршенні</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якості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електричної</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енергії</w:t>
      </w:r>
    </w:p>
    <w:p w14:paraId="490A431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ЗБИТКИ</w:t>
      </w:r>
      <w:r w:rsidRPr="000977F7">
        <w:rPr>
          <w:color w:val="auto"/>
          <w:spacing w:val="1"/>
          <w:sz w:val="20"/>
          <w:szCs w:val="20"/>
        </w:rPr>
        <w:t xml:space="preserve"> </w:t>
      </w:r>
      <w:r w:rsidRPr="000977F7">
        <w:rPr>
          <w:color w:val="auto"/>
          <w:sz w:val="20"/>
          <w:szCs w:val="20"/>
        </w:rPr>
        <w:t xml:space="preserve">ВІД ПОГІРШЕННЯ ЯКОСТІ </w:t>
      </w:r>
    </w:p>
    <w:p w14:paraId="29BD435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ЕЛЕКТРИЧНОЇ</w:t>
      </w:r>
      <w:r w:rsidRPr="000977F7">
        <w:rPr>
          <w:color w:val="auto"/>
          <w:spacing w:val="-2"/>
          <w:sz w:val="20"/>
          <w:szCs w:val="20"/>
        </w:rPr>
        <w:t xml:space="preserve"> </w:t>
      </w:r>
      <w:r w:rsidRPr="000977F7">
        <w:rPr>
          <w:color w:val="auto"/>
          <w:sz w:val="20"/>
          <w:szCs w:val="20"/>
        </w:rPr>
        <w:t>ЕНЕРГІЇ</w:t>
      </w:r>
      <w:r w:rsidRPr="000977F7">
        <w:rPr>
          <w:color w:val="auto"/>
          <w:spacing w:val="-1"/>
          <w:sz w:val="20"/>
          <w:szCs w:val="20"/>
        </w:rPr>
        <w:t xml:space="preserve"> </w:t>
      </w:r>
      <w:r w:rsidRPr="000977F7">
        <w:rPr>
          <w:color w:val="auto"/>
          <w:sz w:val="20"/>
          <w:szCs w:val="20"/>
        </w:rPr>
        <w:t>—</w:t>
      </w:r>
    </w:p>
    <w:p w14:paraId="5CCC52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Усі види негативних наслідків, які виникають у  роботі</w:t>
      </w:r>
      <w:r w:rsidRPr="000977F7">
        <w:rPr>
          <w:rFonts w:asciiTheme="majorHAnsi" w:hAnsiTheme="majorHAnsi"/>
          <w:spacing w:val="-47"/>
          <w:sz w:val="20"/>
          <w:szCs w:val="20"/>
        </w:rPr>
        <w:t xml:space="preserve">         </w:t>
      </w:r>
      <w:r w:rsidRPr="000977F7">
        <w:rPr>
          <w:rFonts w:asciiTheme="majorHAnsi" w:hAnsiTheme="majorHAnsi"/>
          <w:sz w:val="20"/>
          <w:szCs w:val="20"/>
        </w:rPr>
        <w:t xml:space="preserve">  електропостачальних  систем, споживачів та приймачів</w:t>
      </w:r>
      <w:r w:rsidRPr="000977F7">
        <w:rPr>
          <w:rFonts w:asciiTheme="majorHAnsi" w:hAnsiTheme="majorHAnsi"/>
          <w:spacing w:val="-3"/>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разі</w:t>
      </w:r>
      <w:r w:rsidRPr="000977F7">
        <w:rPr>
          <w:rFonts w:asciiTheme="majorHAnsi" w:hAnsiTheme="majorHAnsi"/>
          <w:spacing w:val="-2"/>
          <w:sz w:val="20"/>
          <w:szCs w:val="20"/>
        </w:rPr>
        <w:t xml:space="preserve"> </w:t>
      </w:r>
      <w:r w:rsidRPr="000977F7">
        <w:rPr>
          <w:rFonts w:asciiTheme="majorHAnsi" w:hAnsiTheme="majorHAnsi"/>
          <w:sz w:val="20"/>
          <w:szCs w:val="20"/>
        </w:rPr>
        <w:t>погіршення</w:t>
      </w:r>
      <w:r w:rsidRPr="000977F7">
        <w:rPr>
          <w:rFonts w:asciiTheme="majorHAnsi" w:hAnsiTheme="majorHAnsi"/>
          <w:spacing w:val="-2"/>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електричної</w:t>
      </w:r>
      <w:r w:rsidRPr="000977F7">
        <w:rPr>
          <w:rFonts w:asciiTheme="majorHAnsi" w:hAnsiTheme="majorHAnsi"/>
          <w:spacing w:val="-2"/>
          <w:sz w:val="20"/>
          <w:szCs w:val="20"/>
        </w:rPr>
        <w:t xml:space="preserve"> </w:t>
      </w:r>
      <w:r w:rsidRPr="000977F7">
        <w:rPr>
          <w:rFonts w:asciiTheme="majorHAnsi" w:hAnsiTheme="majorHAnsi"/>
          <w:sz w:val="20"/>
          <w:szCs w:val="20"/>
        </w:rPr>
        <w:t>енергії</w:t>
      </w:r>
    </w:p>
    <w:p w14:paraId="2584897B"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3466</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96</w:t>
      </w:r>
    </w:p>
    <w:p w14:paraId="689AFCE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ЗБІЖНІСТЬ</w:t>
      </w:r>
      <w:r w:rsidRPr="000977F7">
        <w:rPr>
          <w:color w:val="auto"/>
          <w:spacing w:val="-5"/>
          <w:sz w:val="20"/>
          <w:szCs w:val="20"/>
        </w:rPr>
        <w:t xml:space="preserve"> </w:t>
      </w:r>
      <w:r w:rsidRPr="000977F7">
        <w:rPr>
          <w:color w:val="auto"/>
          <w:sz w:val="20"/>
          <w:szCs w:val="20"/>
        </w:rPr>
        <w:t>РЕЗУЛЬТАТІВ</w:t>
      </w:r>
      <w:r w:rsidRPr="000977F7">
        <w:rPr>
          <w:color w:val="auto"/>
          <w:spacing w:val="-3"/>
          <w:sz w:val="20"/>
          <w:szCs w:val="20"/>
        </w:rPr>
        <w:t xml:space="preserve"> </w:t>
      </w:r>
      <w:r w:rsidRPr="000977F7">
        <w:rPr>
          <w:color w:val="auto"/>
          <w:sz w:val="20"/>
          <w:szCs w:val="20"/>
        </w:rPr>
        <w:t>ВИМІРЮВАНЬ</w:t>
      </w:r>
      <w:r w:rsidRPr="000977F7">
        <w:rPr>
          <w:color w:val="auto"/>
          <w:spacing w:val="-1"/>
          <w:sz w:val="20"/>
          <w:szCs w:val="20"/>
        </w:rPr>
        <w:t xml:space="preserve"> </w:t>
      </w:r>
      <w:r w:rsidRPr="000977F7">
        <w:rPr>
          <w:color w:val="auto"/>
          <w:sz w:val="20"/>
          <w:szCs w:val="20"/>
        </w:rPr>
        <w:t>–</w:t>
      </w:r>
    </w:p>
    <w:p w14:paraId="1CE47C1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REPEATABILITY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MEASUREMENTS –</w:t>
      </w:r>
    </w:p>
    <w:p w14:paraId="047845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Характеристика</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вимірювань,</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відображає</w:t>
      </w:r>
      <w:r w:rsidRPr="000977F7">
        <w:rPr>
          <w:rFonts w:asciiTheme="majorHAnsi" w:hAnsiTheme="majorHAnsi"/>
          <w:spacing w:val="1"/>
          <w:sz w:val="20"/>
          <w:szCs w:val="20"/>
        </w:rPr>
        <w:t xml:space="preserve"> </w:t>
      </w:r>
      <w:r w:rsidRPr="000977F7">
        <w:rPr>
          <w:rFonts w:asciiTheme="majorHAnsi" w:hAnsiTheme="majorHAnsi"/>
          <w:sz w:val="20"/>
          <w:szCs w:val="20"/>
        </w:rPr>
        <w:t>близькість повторних результатів вимірювань однієї й</w:t>
      </w:r>
      <w:r w:rsidRPr="000977F7">
        <w:rPr>
          <w:rFonts w:asciiTheme="majorHAnsi" w:hAnsiTheme="majorHAnsi"/>
          <w:spacing w:val="-47"/>
          <w:sz w:val="20"/>
          <w:szCs w:val="20"/>
        </w:rPr>
        <w:t xml:space="preserve"> </w:t>
      </w:r>
      <w:r w:rsidRPr="000977F7">
        <w:rPr>
          <w:rFonts w:asciiTheme="majorHAnsi" w:hAnsiTheme="majorHAnsi"/>
          <w:sz w:val="20"/>
          <w:szCs w:val="20"/>
        </w:rPr>
        <w:t>тієї</w:t>
      </w:r>
      <w:r w:rsidRPr="000977F7">
        <w:rPr>
          <w:rFonts w:asciiTheme="majorHAnsi" w:hAnsiTheme="majorHAnsi"/>
          <w:spacing w:val="-2"/>
          <w:sz w:val="20"/>
          <w:szCs w:val="20"/>
        </w:rPr>
        <w:t xml:space="preserve"> </w:t>
      </w:r>
      <w:r w:rsidRPr="000977F7">
        <w:rPr>
          <w:rFonts w:asciiTheme="majorHAnsi" w:hAnsiTheme="majorHAnsi"/>
          <w:sz w:val="20"/>
          <w:szCs w:val="20"/>
        </w:rPr>
        <w:t>ж</w:t>
      </w:r>
      <w:r w:rsidRPr="000977F7">
        <w:rPr>
          <w:rFonts w:asciiTheme="majorHAnsi" w:hAnsiTheme="majorHAnsi"/>
          <w:spacing w:val="-2"/>
          <w:sz w:val="20"/>
          <w:szCs w:val="20"/>
        </w:rPr>
        <w:t xml:space="preserve"> </w:t>
      </w:r>
      <w:r w:rsidRPr="000977F7">
        <w:rPr>
          <w:rFonts w:asciiTheme="majorHAnsi" w:hAnsiTheme="majorHAnsi"/>
          <w:sz w:val="20"/>
          <w:szCs w:val="20"/>
        </w:rPr>
        <w:t>величини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однакових</w:t>
      </w:r>
      <w:r w:rsidRPr="000977F7">
        <w:rPr>
          <w:rFonts w:asciiTheme="majorHAnsi" w:hAnsiTheme="majorHAnsi"/>
          <w:spacing w:val="3"/>
          <w:sz w:val="20"/>
          <w:szCs w:val="20"/>
        </w:rPr>
        <w:t xml:space="preserve"> </w:t>
      </w:r>
      <w:r w:rsidRPr="000977F7">
        <w:rPr>
          <w:rFonts w:asciiTheme="majorHAnsi" w:hAnsiTheme="majorHAnsi"/>
          <w:sz w:val="20"/>
          <w:szCs w:val="20"/>
        </w:rPr>
        <w:t>умовах</w:t>
      </w:r>
    </w:p>
    <w:p w14:paraId="1509A2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2DA07F2E" w14:textId="77777777" w:rsidR="0097612F" w:rsidRPr="000977F7" w:rsidRDefault="0097612F" w:rsidP="00FD39A4">
      <w:pPr>
        <w:pStyle w:val="ac"/>
        <w:widowControl w:val="0"/>
        <w:numPr>
          <w:ilvl w:val="0"/>
          <w:numId w:val="175"/>
        </w:numPr>
        <w:tabs>
          <w:tab w:val="left" w:pos="284"/>
          <w:tab w:val="left" w:pos="67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Збіжність</w:t>
      </w:r>
      <w:r w:rsidRPr="000977F7">
        <w:rPr>
          <w:rFonts w:asciiTheme="majorHAnsi" w:hAnsiTheme="majorHAnsi"/>
          <w:spacing w:val="1"/>
          <w:sz w:val="20"/>
          <w:szCs w:val="20"/>
        </w:rPr>
        <w:t xml:space="preserve"> </w:t>
      </w:r>
      <w:r w:rsidRPr="000977F7">
        <w:rPr>
          <w:rFonts w:asciiTheme="majorHAnsi" w:hAnsiTheme="majorHAnsi"/>
          <w:sz w:val="20"/>
          <w:szCs w:val="20"/>
        </w:rPr>
        <w:t>результатів</w:t>
      </w:r>
      <w:r w:rsidRPr="000977F7">
        <w:rPr>
          <w:rFonts w:asciiTheme="majorHAnsi" w:hAnsiTheme="majorHAnsi"/>
          <w:spacing w:val="1"/>
          <w:sz w:val="20"/>
          <w:szCs w:val="20"/>
        </w:rPr>
        <w:t xml:space="preserve"> </w:t>
      </w:r>
      <w:r w:rsidRPr="000977F7">
        <w:rPr>
          <w:rFonts w:asciiTheme="majorHAnsi" w:hAnsiTheme="majorHAnsi"/>
          <w:sz w:val="20"/>
          <w:szCs w:val="20"/>
        </w:rPr>
        <w:t>вимірювань</w:t>
      </w:r>
      <w:r w:rsidRPr="000977F7">
        <w:rPr>
          <w:rFonts w:asciiTheme="majorHAnsi" w:hAnsiTheme="majorHAnsi"/>
          <w:spacing w:val="1"/>
          <w:sz w:val="20"/>
          <w:szCs w:val="20"/>
        </w:rPr>
        <w:t xml:space="preserve"> </w:t>
      </w:r>
      <w:r w:rsidRPr="000977F7">
        <w:rPr>
          <w:rFonts w:asciiTheme="majorHAnsi" w:hAnsiTheme="majorHAnsi"/>
          <w:sz w:val="20"/>
          <w:szCs w:val="20"/>
        </w:rPr>
        <w:t>відображає</w:t>
      </w:r>
      <w:r w:rsidRPr="000977F7">
        <w:rPr>
          <w:rFonts w:asciiTheme="majorHAnsi" w:hAnsiTheme="majorHAnsi"/>
          <w:spacing w:val="1"/>
          <w:sz w:val="20"/>
          <w:szCs w:val="20"/>
        </w:rPr>
        <w:t xml:space="preserve"> </w:t>
      </w:r>
      <w:r w:rsidRPr="000977F7">
        <w:rPr>
          <w:rFonts w:asciiTheme="majorHAnsi" w:hAnsiTheme="majorHAnsi"/>
          <w:sz w:val="20"/>
          <w:szCs w:val="20"/>
        </w:rPr>
        <w:t>близькість</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нуля</w:t>
      </w:r>
      <w:r w:rsidRPr="000977F7">
        <w:rPr>
          <w:rFonts w:asciiTheme="majorHAnsi" w:hAnsiTheme="majorHAnsi"/>
          <w:spacing w:val="-1"/>
          <w:sz w:val="20"/>
          <w:szCs w:val="20"/>
        </w:rPr>
        <w:t xml:space="preserve"> </w:t>
      </w:r>
      <w:r w:rsidRPr="000977F7">
        <w:rPr>
          <w:rFonts w:asciiTheme="majorHAnsi" w:hAnsiTheme="majorHAnsi"/>
          <w:sz w:val="20"/>
          <w:szCs w:val="20"/>
        </w:rPr>
        <w:t>випадкової</w:t>
      </w:r>
      <w:r w:rsidRPr="000977F7">
        <w:rPr>
          <w:rFonts w:asciiTheme="majorHAnsi" w:hAnsiTheme="majorHAnsi"/>
          <w:spacing w:val="-2"/>
          <w:sz w:val="20"/>
          <w:szCs w:val="20"/>
        </w:rPr>
        <w:t xml:space="preserve"> </w:t>
      </w:r>
      <w:r w:rsidRPr="000977F7">
        <w:rPr>
          <w:rFonts w:asciiTheme="majorHAnsi" w:hAnsiTheme="majorHAnsi"/>
          <w:sz w:val="20"/>
          <w:szCs w:val="20"/>
        </w:rPr>
        <w:t>похибки</w:t>
      </w:r>
    </w:p>
    <w:p w14:paraId="013BDCD5" w14:textId="77777777" w:rsidR="0097612F" w:rsidRPr="000977F7" w:rsidRDefault="0097612F" w:rsidP="00FD39A4">
      <w:pPr>
        <w:pStyle w:val="ac"/>
        <w:widowControl w:val="0"/>
        <w:numPr>
          <w:ilvl w:val="0"/>
          <w:numId w:val="175"/>
        </w:numPr>
        <w:tabs>
          <w:tab w:val="left" w:pos="284"/>
          <w:tab w:val="left" w:pos="67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Збіжність може бути оцінена кількісно дисперсією</w:t>
      </w:r>
      <w:r w:rsidRPr="000977F7">
        <w:rPr>
          <w:rFonts w:asciiTheme="majorHAnsi" w:hAnsiTheme="majorHAnsi"/>
          <w:spacing w:val="-1"/>
          <w:sz w:val="20"/>
          <w:szCs w:val="20"/>
        </w:rPr>
        <w:t xml:space="preserve"> </w:t>
      </w:r>
      <w:r w:rsidRPr="000977F7">
        <w:rPr>
          <w:rFonts w:asciiTheme="majorHAnsi" w:hAnsiTheme="majorHAnsi"/>
          <w:sz w:val="20"/>
          <w:szCs w:val="20"/>
        </w:rPr>
        <w:t>результатів</w:t>
      </w:r>
      <w:r w:rsidRPr="000977F7">
        <w:rPr>
          <w:rFonts w:asciiTheme="majorHAnsi" w:hAnsiTheme="majorHAnsi"/>
          <w:spacing w:val="-1"/>
          <w:sz w:val="20"/>
          <w:szCs w:val="20"/>
        </w:rPr>
        <w:t xml:space="preserve"> </w:t>
      </w:r>
      <w:r w:rsidRPr="000977F7">
        <w:rPr>
          <w:rFonts w:asciiTheme="majorHAnsi" w:hAnsiTheme="majorHAnsi"/>
          <w:sz w:val="20"/>
          <w:szCs w:val="20"/>
        </w:rPr>
        <w:t>вимірювань</w:t>
      </w:r>
    </w:p>
    <w:p w14:paraId="7093980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93CAE7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63" w:name="_Hlk103747359"/>
      <w:r w:rsidRPr="000977F7">
        <w:rPr>
          <w:color w:val="auto"/>
          <w:sz w:val="20"/>
          <w:szCs w:val="20"/>
        </w:rPr>
        <w:t>ЗБІЙ</w:t>
      </w:r>
      <w:r w:rsidRPr="000977F7">
        <w:rPr>
          <w:color w:val="auto"/>
          <w:spacing w:val="-1"/>
          <w:sz w:val="20"/>
          <w:szCs w:val="20"/>
        </w:rPr>
        <w:t xml:space="preserve"> </w:t>
      </w:r>
      <w:r w:rsidRPr="000977F7">
        <w:rPr>
          <w:color w:val="auto"/>
          <w:sz w:val="20"/>
          <w:szCs w:val="20"/>
        </w:rPr>
        <w:t>–</w:t>
      </w:r>
    </w:p>
    <w:p w14:paraId="57FE1A1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FAILURE –</w:t>
      </w:r>
    </w:p>
    <w:bookmarkEnd w:id="63"/>
    <w:p w14:paraId="4A3CD9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Призупинення здатності об’єкта виконувати потрібну функцію.</w:t>
      </w:r>
    </w:p>
    <w:p w14:paraId="1B768C9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Збій призводить до несправності об’єкта. Примітка 2. «Збій»  це подія, яка на відміну від «несправності» є станом.</w:t>
      </w:r>
    </w:p>
    <w:p w14:paraId="2DFC948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Примітка 3. Наведена концепція не стосується об’єктів, що складаються лише з програмного забезпечення. </w:t>
      </w:r>
    </w:p>
    <w:p w14:paraId="4DDA31A4"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46AF48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INTERRUPTION -</w:t>
      </w:r>
    </w:p>
    <w:p w14:paraId="4D7A745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Самоусувна відмова або одноразова відмова, яку незначним втручанням</w:t>
      </w:r>
      <w:r w:rsidRPr="000977F7">
        <w:rPr>
          <w:rFonts w:asciiTheme="majorHAnsi" w:hAnsiTheme="majorHAnsi"/>
          <w:spacing w:val="2"/>
          <w:sz w:val="20"/>
          <w:szCs w:val="20"/>
        </w:rPr>
        <w:t xml:space="preserve"> </w:t>
      </w:r>
      <w:r w:rsidRPr="000977F7">
        <w:rPr>
          <w:rFonts w:asciiTheme="majorHAnsi" w:hAnsiTheme="majorHAnsi"/>
          <w:sz w:val="20"/>
          <w:szCs w:val="20"/>
        </w:rPr>
        <w:t>усуває</w:t>
      </w:r>
      <w:r w:rsidRPr="000977F7">
        <w:rPr>
          <w:rFonts w:asciiTheme="majorHAnsi" w:hAnsiTheme="majorHAnsi"/>
          <w:spacing w:val="2"/>
          <w:sz w:val="20"/>
          <w:szCs w:val="20"/>
        </w:rPr>
        <w:t xml:space="preserve"> </w:t>
      </w:r>
      <w:r w:rsidRPr="000977F7">
        <w:rPr>
          <w:rFonts w:asciiTheme="majorHAnsi" w:hAnsiTheme="majorHAnsi"/>
          <w:sz w:val="20"/>
          <w:szCs w:val="20"/>
        </w:rPr>
        <w:t>оператор</w:t>
      </w:r>
    </w:p>
    <w:p w14:paraId="6DCEC37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02C8D9C"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bookmarkStart w:id="64" w:name="_Hlk103672738"/>
      <w:r w:rsidRPr="000977F7">
        <w:rPr>
          <w:rFonts w:asciiTheme="majorHAnsi" w:hAnsiTheme="majorHAnsi"/>
          <w:b/>
          <w:bCs/>
          <w:sz w:val="20"/>
          <w:szCs w:val="20"/>
        </w:rPr>
        <w:t>ЗБЛОКОВАНА ОГОРОЖА –</w:t>
      </w:r>
    </w:p>
    <w:p w14:paraId="38415F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bookmarkStart w:id="65" w:name="_Hlk103672834"/>
      <w:bookmarkEnd w:id="64"/>
      <w:r w:rsidRPr="000977F7">
        <w:rPr>
          <w:rFonts w:asciiTheme="majorHAnsi" w:hAnsiTheme="majorHAnsi"/>
          <w:sz w:val="20"/>
          <w:szCs w:val="20"/>
        </w:rPr>
        <w:t>INTERLOCKING GUARD -</w:t>
      </w:r>
    </w:p>
    <w:bookmarkEnd w:id="65"/>
    <w:p w14:paraId="3EEB5D7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Огорожа, з’єднана з блокувальним пристроєм у такий спосіб, що за участю системи керування машиною здійснюються такі функції:</w:t>
      </w:r>
    </w:p>
    <w:p w14:paraId="666C737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небезпечні функції машини, «охоплені» огорожею, не можуть здійснюватися, доки огорожу не зачинено;</w:t>
      </w:r>
    </w:p>
    <w:p w14:paraId="69969E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якщо огорожу відчинено, у разі подання команди на виконання небезпечних функцій машини надається команда на зупинення; та</w:t>
      </w:r>
    </w:p>
    <w:p w14:paraId="52387D4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 якщо огорожу зачинено та заблоковано, небезпечні функції машини, «охоплені» огорожею, можуть здійснюватися (закриття огорожі само по собі не призводить до вмикання небезпечних функцій машини). </w:t>
      </w:r>
    </w:p>
    <w:p w14:paraId="5C2B02BB"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79149606"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ЗБЛОКОВАНА ОГОРОЖА ТА ЗАПИРАННЯ ОГОРОЖІ –</w:t>
      </w:r>
    </w:p>
    <w:p w14:paraId="25CC591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INTER</w:t>
      </w:r>
      <w:bookmarkStart w:id="66" w:name="_Hlk103672956"/>
      <w:r w:rsidRPr="004D2D14">
        <w:rPr>
          <w:rFonts w:asciiTheme="majorHAnsi" w:hAnsiTheme="majorHAnsi"/>
          <w:sz w:val="20"/>
          <w:szCs w:val="20"/>
          <w:lang w:val="en-US"/>
        </w:rPr>
        <w:t>LOCKING</w:t>
      </w:r>
      <w:bookmarkEnd w:id="66"/>
      <w:r w:rsidRPr="004D2D14">
        <w:rPr>
          <w:rFonts w:asciiTheme="majorHAnsi" w:hAnsiTheme="majorHAnsi"/>
          <w:sz w:val="20"/>
          <w:szCs w:val="20"/>
          <w:lang w:val="en-US"/>
        </w:rPr>
        <w:t xml:space="preserve"> GUARD  WITH GUARD LOCKING -</w:t>
      </w:r>
    </w:p>
    <w:p w14:paraId="2B81C8C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Огорожа</w:t>
      </w:r>
      <w:r w:rsidRPr="004D2D14">
        <w:rPr>
          <w:rFonts w:asciiTheme="majorHAnsi" w:hAnsiTheme="majorHAnsi"/>
          <w:sz w:val="20"/>
          <w:szCs w:val="20"/>
          <w:lang w:val="en-US"/>
        </w:rPr>
        <w:t xml:space="preserve">, </w:t>
      </w:r>
      <w:r w:rsidRPr="000977F7">
        <w:rPr>
          <w:rFonts w:asciiTheme="majorHAnsi" w:hAnsiTheme="majorHAnsi"/>
          <w:sz w:val="20"/>
          <w:szCs w:val="20"/>
        </w:rPr>
        <w:t>пов</w:t>
      </w:r>
      <w:r w:rsidRPr="004D2D14">
        <w:rPr>
          <w:rFonts w:asciiTheme="majorHAnsi" w:hAnsiTheme="majorHAnsi"/>
          <w:sz w:val="20"/>
          <w:szCs w:val="20"/>
          <w:lang w:val="en-US"/>
        </w:rPr>
        <w:t>’</w:t>
      </w:r>
      <w:r w:rsidRPr="000977F7">
        <w:rPr>
          <w:rFonts w:asciiTheme="majorHAnsi" w:hAnsiTheme="majorHAnsi"/>
          <w:sz w:val="20"/>
          <w:szCs w:val="20"/>
        </w:rPr>
        <w:t>язана</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блокувальним</w:t>
      </w:r>
      <w:r w:rsidRPr="004D2D14">
        <w:rPr>
          <w:rFonts w:asciiTheme="majorHAnsi" w:hAnsiTheme="majorHAnsi"/>
          <w:sz w:val="20"/>
          <w:szCs w:val="20"/>
          <w:lang w:val="en-US"/>
        </w:rPr>
        <w:t xml:space="preserve"> </w:t>
      </w:r>
      <w:r w:rsidRPr="000977F7">
        <w:rPr>
          <w:rFonts w:asciiTheme="majorHAnsi" w:hAnsiTheme="majorHAnsi"/>
          <w:sz w:val="20"/>
          <w:szCs w:val="20"/>
        </w:rPr>
        <w:t>пристроєм</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пристроєм</w:t>
      </w:r>
      <w:r w:rsidRPr="004D2D14">
        <w:rPr>
          <w:rFonts w:asciiTheme="majorHAnsi" w:hAnsiTheme="majorHAnsi"/>
          <w:sz w:val="20"/>
          <w:szCs w:val="20"/>
          <w:lang w:val="en-US"/>
        </w:rPr>
        <w:t xml:space="preserve"> </w:t>
      </w:r>
      <w:r w:rsidRPr="000977F7">
        <w:rPr>
          <w:rFonts w:asciiTheme="majorHAnsi" w:hAnsiTheme="majorHAnsi"/>
          <w:sz w:val="20"/>
          <w:szCs w:val="20"/>
        </w:rPr>
        <w:t>запирання</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такий</w:t>
      </w:r>
      <w:r w:rsidRPr="004D2D14">
        <w:rPr>
          <w:rFonts w:asciiTheme="majorHAnsi" w:hAnsiTheme="majorHAnsi"/>
          <w:sz w:val="20"/>
          <w:szCs w:val="20"/>
          <w:lang w:val="en-US"/>
        </w:rPr>
        <w:t xml:space="preserve"> </w:t>
      </w:r>
      <w:r w:rsidRPr="000977F7">
        <w:rPr>
          <w:rFonts w:asciiTheme="majorHAnsi" w:hAnsiTheme="majorHAnsi"/>
          <w:sz w:val="20"/>
          <w:szCs w:val="20"/>
        </w:rPr>
        <w:t>спосіб</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за</w:t>
      </w:r>
      <w:r w:rsidRPr="004D2D14">
        <w:rPr>
          <w:rFonts w:asciiTheme="majorHAnsi" w:hAnsiTheme="majorHAnsi"/>
          <w:sz w:val="20"/>
          <w:szCs w:val="20"/>
          <w:lang w:val="en-US"/>
        </w:rPr>
        <w:t xml:space="preserve"> </w:t>
      </w:r>
      <w:r w:rsidRPr="000977F7">
        <w:rPr>
          <w:rFonts w:asciiTheme="majorHAnsi" w:hAnsiTheme="majorHAnsi"/>
          <w:sz w:val="20"/>
          <w:szCs w:val="20"/>
        </w:rPr>
        <w:t>участю</w:t>
      </w:r>
      <w:r w:rsidRPr="004D2D14">
        <w:rPr>
          <w:rFonts w:asciiTheme="majorHAnsi" w:hAnsiTheme="majorHAnsi"/>
          <w:sz w:val="20"/>
          <w:szCs w:val="20"/>
          <w:lang w:val="en-US"/>
        </w:rPr>
        <w:t xml:space="preserve"> </w:t>
      </w:r>
      <w:r w:rsidRPr="000977F7">
        <w:rPr>
          <w:rFonts w:asciiTheme="majorHAnsi" w:hAnsiTheme="majorHAnsi"/>
          <w:sz w:val="20"/>
          <w:szCs w:val="20"/>
        </w:rPr>
        <w:t>системи</w:t>
      </w:r>
      <w:r w:rsidRPr="004D2D14">
        <w:rPr>
          <w:rFonts w:asciiTheme="majorHAnsi" w:hAnsiTheme="majorHAnsi"/>
          <w:sz w:val="20"/>
          <w:szCs w:val="20"/>
          <w:lang w:val="en-US"/>
        </w:rPr>
        <w:t xml:space="preserve"> </w:t>
      </w:r>
      <w:r w:rsidRPr="000977F7">
        <w:rPr>
          <w:rFonts w:asciiTheme="majorHAnsi" w:hAnsiTheme="majorHAnsi"/>
          <w:sz w:val="20"/>
          <w:szCs w:val="20"/>
        </w:rPr>
        <w:t>керування</w:t>
      </w:r>
      <w:r w:rsidRPr="004D2D14">
        <w:rPr>
          <w:rFonts w:asciiTheme="majorHAnsi" w:hAnsiTheme="majorHAnsi"/>
          <w:sz w:val="20"/>
          <w:szCs w:val="20"/>
          <w:lang w:val="en-US"/>
        </w:rPr>
        <w:t xml:space="preserve"> </w:t>
      </w:r>
      <w:r w:rsidRPr="000977F7">
        <w:rPr>
          <w:rFonts w:asciiTheme="majorHAnsi" w:hAnsiTheme="majorHAnsi"/>
          <w:sz w:val="20"/>
          <w:szCs w:val="20"/>
        </w:rPr>
        <w:t>машини</w:t>
      </w:r>
      <w:r w:rsidRPr="004D2D14">
        <w:rPr>
          <w:rFonts w:asciiTheme="majorHAnsi" w:hAnsiTheme="majorHAnsi"/>
          <w:sz w:val="20"/>
          <w:szCs w:val="20"/>
          <w:lang w:val="en-US"/>
        </w:rPr>
        <w:t xml:space="preserve">, </w:t>
      </w:r>
      <w:r w:rsidRPr="000977F7">
        <w:rPr>
          <w:rFonts w:asciiTheme="majorHAnsi" w:hAnsiTheme="majorHAnsi"/>
          <w:sz w:val="20"/>
          <w:szCs w:val="20"/>
        </w:rPr>
        <w:t>здійснюються</w:t>
      </w:r>
      <w:r w:rsidRPr="004D2D14">
        <w:rPr>
          <w:rFonts w:asciiTheme="majorHAnsi" w:hAnsiTheme="majorHAnsi"/>
          <w:sz w:val="20"/>
          <w:szCs w:val="20"/>
          <w:lang w:val="en-US"/>
        </w:rPr>
        <w:t xml:space="preserve"> </w:t>
      </w:r>
      <w:r w:rsidRPr="000977F7">
        <w:rPr>
          <w:rFonts w:asciiTheme="majorHAnsi" w:hAnsiTheme="majorHAnsi"/>
          <w:sz w:val="20"/>
          <w:szCs w:val="20"/>
        </w:rPr>
        <w:t>такі</w:t>
      </w:r>
      <w:r w:rsidRPr="004D2D14">
        <w:rPr>
          <w:rFonts w:asciiTheme="majorHAnsi" w:hAnsiTheme="majorHAnsi"/>
          <w:sz w:val="20"/>
          <w:szCs w:val="20"/>
          <w:lang w:val="en-US"/>
        </w:rPr>
        <w:t xml:space="preserve"> </w:t>
      </w:r>
      <w:r w:rsidRPr="000977F7">
        <w:rPr>
          <w:rFonts w:asciiTheme="majorHAnsi" w:hAnsiTheme="majorHAnsi"/>
          <w:sz w:val="20"/>
          <w:szCs w:val="20"/>
        </w:rPr>
        <w:t>функції</w:t>
      </w:r>
      <w:r w:rsidRPr="004D2D14">
        <w:rPr>
          <w:rFonts w:asciiTheme="majorHAnsi" w:hAnsiTheme="majorHAnsi"/>
          <w:sz w:val="20"/>
          <w:szCs w:val="20"/>
          <w:lang w:val="en-US"/>
        </w:rPr>
        <w:t xml:space="preserve">: — </w:t>
      </w:r>
      <w:r w:rsidRPr="000977F7">
        <w:rPr>
          <w:rFonts w:asciiTheme="majorHAnsi" w:hAnsiTheme="majorHAnsi"/>
          <w:sz w:val="20"/>
          <w:szCs w:val="20"/>
        </w:rPr>
        <w:t>небезпечні</w:t>
      </w:r>
      <w:r w:rsidRPr="004D2D14">
        <w:rPr>
          <w:rFonts w:asciiTheme="majorHAnsi" w:hAnsiTheme="majorHAnsi"/>
          <w:sz w:val="20"/>
          <w:szCs w:val="20"/>
          <w:lang w:val="en-US"/>
        </w:rPr>
        <w:t xml:space="preserve"> </w:t>
      </w:r>
      <w:r w:rsidRPr="000977F7">
        <w:rPr>
          <w:rFonts w:asciiTheme="majorHAnsi" w:hAnsiTheme="majorHAnsi"/>
          <w:sz w:val="20"/>
          <w:szCs w:val="20"/>
        </w:rPr>
        <w:t>функції</w:t>
      </w:r>
      <w:r w:rsidRPr="004D2D14">
        <w:rPr>
          <w:rFonts w:asciiTheme="majorHAnsi" w:hAnsiTheme="majorHAnsi"/>
          <w:sz w:val="20"/>
          <w:szCs w:val="20"/>
          <w:lang w:val="en-US"/>
        </w:rPr>
        <w:t xml:space="preserve"> </w:t>
      </w:r>
      <w:r w:rsidRPr="000977F7">
        <w:rPr>
          <w:rFonts w:asciiTheme="majorHAnsi" w:hAnsiTheme="majorHAnsi"/>
          <w:sz w:val="20"/>
          <w:szCs w:val="20"/>
        </w:rPr>
        <w:t>машини</w:t>
      </w:r>
      <w:r w:rsidRPr="004D2D14">
        <w:rPr>
          <w:rFonts w:asciiTheme="majorHAnsi" w:hAnsiTheme="majorHAnsi"/>
          <w:sz w:val="20"/>
          <w:szCs w:val="20"/>
          <w:lang w:val="en-US"/>
        </w:rPr>
        <w:t>, «</w:t>
      </w:r>
      <w:r w:rsidRPr="000977F7">
        <w:rPr>
          <w:rFonts w:asciiTheme="majorHAnsi" w:hAnsiTheme="majorHAnsi"/>
          <w:sz w:val="20"/>
          <w:szCs w:val="20"/>
        </w:rPr>
        <w:t>охоплені</w:t>
      </w:r>
      <w:r w:rsidRPr="004D2D14">
        <w:rPr>
          <w:rFonts w:asciiTheme="majorHAnsi" w:hAnsiTheme="majorHAnsi"/>
          <w:sz w:val="20"/>
          <w:szCs w:val="20"/>
          <w:lang w:val="en-US"/>
        </w:rPr>
        <w:t xml:space="preserve">» </w:t>
      </w:r>
      <w:r w:rsidRPr="000977F7">
        <w:rPr>
          <w:rFonts w:asciiTheme="majorHAnsi" w:hAnsiTheme="majorHAnsi"/>
          <w:sz w:val="20"/>
          <w:szCs w:val="20"/>
        </w:rPr>
        <w:lastRenderedPageBreak/>
        <w:t>огорожею</w:t>
      </w:r>
      <w:r w:rsidRPr="004D2D14">
        <w:rPr>
          <w:rFonts w:asciiTheme="majorHAnsi" w:hAnsiTheme="majorHAnsi"/>
          <w:sz w:val="20"/>
          <w:szCs w:val="20"/>
          <w:lang w:val="en-US"/>
        </w:rPr>
        <w:t xml:space="preserve">, </w:t>
      </w:r>
      <w:r w:rsidRPr="000977F7">
        <w:rPr>
          <w:rFonts w:asciiTheme="majorHAnsi" w:hAnsiTheme="majorHAnsi"/>
          <w:sz w:val="20"/>
          <w:szCs w:val="20"/>
        </w:rPr>
        <w:t>не</w:t>
      </w:r>
      <w:r w:rsidRPr="004D2D14">
        <w:rPr>
          <w:rFonts w:asciiTheme="majorHAnsi" w:hAnsiTheme="majorHAnsi"/>
          <w:sz w:val="20"/>
          <w:szCs w:val="20"/>
          <w:lang w:val="en-US"/>
        </w:rPr>
        <w:t xml:space="preserve"> </w:t>
      </w:r>
      <w:r w:rsidRPr="000977F7">
        <w:rPr>
          <w:rFonts w:asciiTheme="majorHAnsi" w:hAnsiTheme="majorHAnsi"/>
          <w:sz w:val="20"/>
          <w:szCs w:val="20"/>
        </w:rPr>
        <w:t>можуть</w:t>
      </w:r>
      <w:r w:rsidRPr="004D2D14">
        <w:rPr>
          <w:rFonts w:asciiTheme="majorHAnsi" w:hAnsiTheme="majorHAnsi"/>
          <w:sz w:val="20"/>
          <w:szCs w:val="20"/>
          <w:lang w:val="en-US"/>
        </w:rPr>
        <w:t xml:space="preserve"> </w:t>
      </w:r>
      <w:r w:rsidRPr="000977F7">
        <w:rPr>
          <w:rFonts w:asciiTheme="majorHAnsi" w:hAnsiTheme="majorHAnsi"/>
          <w:sz w:val="20"/>
          <w:szCs w:val="20"/>
        </w:rPr>
        <w:t>здійснюватися</w:t>
      </w:r>
      <w:r w:rsidRPr="004D2D14">
        <w:rPr>
          <w:rFonts w:asciiTheme="majorHAnsi" w:hAnsiTheme="majorHAnsi"/>
          <w:sz w:val="20"/>
          <w:szCs w:val="20"/>
          <w:lang w:val="en-US"/>
        </w:rPr>
        <w:t xml:space="preserve">, </w:t>
      </w:r>
      <w:r w:rsidRPr="000977F7">
        <w:rPr>
          <w:rFonts w:asciiTheme="majorHAnsi" w:hAnsiTheme="majorHAnsi"/>
          <w:sz w:val="20"/>
          <w:szCs w:val="20"/>
        </w:rPr>
        <w:t>доки</w:t>
      </w:r>
      <w:r w:rsidRPr="004D2D14">
        <w:rPr>
          <w:rFonts w:asciiTheme="majorHAnsi" w:hAnsiTheme="majorHAnsi"/>
          <w:sz w:val="20"/>
          <w:szCs w:val="20"/>
          <w:lang w:val="en-US"/>
        </w:rPr>
        <w:t xml:space="preserve"> </w:t>
      </w:r>
      <w:r w:rsidRPr="000977F7">
        <w:rPr>
          <w:rFonts w:asciiTheme="majorHAnsi" w:hAnsiTheme="majorHAnsi"/>
          <w:sz w:val="20"/>
          <w:szCs w:val="20"/>
        </w:rPr>
        <w:t>не</w:t>
      </w:r>
      <w:r w:rsidRPr="004D2D14">
        <w:rPr>
          <w:rFonts w:asciiTheme="majorHAnsi" w:hAnsiTheme="majorHAnsi"/>
          <w:sz w:val="20"/>
          <w:szCs w:val="20"/>
          <w:lang w:val="en-US"/>
        </w:rPr>
        <w:t xml:space="preserve"> </w:t>
      </w:r>
      <w:r w:rsidRPr="000977F7">
        <w:rPr>
          <w:rFonts w:asciiTheme="majorHAnsi" w:hAnsiTheme="majorHAnsi"/>
          <w:sz w:val="20"/>
          <w:szCs w:val="20"/>
        </w:rPr>
        <w:t>відбулося</w:t>
      </w:r>
      <w:r w:rsidRPr="004D2D14">
        <w:rPr>
          <w:rFonts w:asciiTheme="majorHAnsi" w:hAnsiTheme="majorHAnsi"/>
          <w:sz w:val="20"/>
          <w:szCs w:val="20"/>
          <w:lang w:val="en-US"/>
        </w:rPr>
        <w:t xml:space="preserve"> </w:t>
      </w:r>
      <w:r w:rsidRPr="000977F7">
        <w:rPr>
          <w:rFonts w:asciiTheme="majorHAnsi" w:hAnsiTheme="majorHAnsi"/>
          <w:sz w:val="20"/>
          <w:szCs w:val="20"/>
        </w:rPr>
        <w:t>закриття</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запирання</w:t>
      </w:r>
      <w:r w:rsidRPr="004D2D14">
        <w:rPr>
          <w:rFonts w:asciiTheme="majorHAnsi" w:hAnsiTheme="majorHAnsi"/>
          <w:sz w:val="20"/>
          <w:szCs w:val="20"/>
          <w:lang w:val="en-US"/>
        </w:rPr>
        <w:t xml:space="preserve"> </w:t>
      </w:r>
      <w:r w:rsidRPr="000977F7">
        <w:rPr>
          <w:rFonts w:asciiTheme="majorHAnsi" w:hAnsiTheme="majorHAnsi"/>
          <w:sz w:val="20"/>
          <w:szCs w:val="20"/>
        </w:rPr>
        <w:t>огорожі</w:t>
      </w:r>
      <w:r w:rsidRPr="004D2D14">
        <w:rPr>
          <w:rFonts w:asciiTheme="majorHAnsi" w:hAnsiTheme="majorHAnsi"/>
          <w:sz w:val="20"/>
          <w:szCs w:val="20"/>
          <w:lang w:val="en-US"/>
        </w:rPr>
        <w:t>;</w:t>
      </w:r>
    </w:p>
    <w:p w14:paraId="2D01425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зачинення та запирання огорожі тривають, доки не зникає ризик, спричинений небезпечними функціями машини, «охопленими» огорожею;</w:t>
      </w:r>
    </w:p>
    <w:p w14:paraId="245A72E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 за умови зачинення та запирання огорожі небезпечні функції машини, «охоплені» огорожею, можуть здійснюватися (зачинення та запирання огорожі самі по собі не призводять до вмикання небезпечних функцій машини </w:t>
      </w:r>
    </w:p>
    <w:p w14:paraId="3CF6A7FD"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5D9764D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
          <w:bCs/>
          <w:sz w:val="20"/>
          <w:szCs w:val="20"/>
        </w:rPr>
        <w:t>ЗБЛОКОВАНА ОГОРОЖА ПУСКОВОЮ ФУНКЦІЄЮ, КЕРУВАЛЬНА ОГОРОЖА -</w:t>
      </w:r>
    </w:p>
    <w:p w14:paraId="14051E7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INTERLOCK</w:t>
      </w:r>
      <w:bookmarkStart w:id="67" w:name="_Hlk103691846"/>
      <w:r w:rsidRPr="004D2D14">
        <w:rPr>
          <w:rFonts w:asciiTheme="majorHAnsi" w:hAnsiTheme="majorHAnsi"/>
          <w:sz w:val="20"/>
          <w:szCs w:val="20"/>
          <w:lang w:val="en-US"/>
        </w:rPr>
        <w:t>I</w:t>
      </w:r>
      <w:bookmarkEnd w:id="67"/>
      <w:r w:rsidRPr="004D2D14">
        <w:rPr>
          <w:rFonts w:asciiTheme="majorHAnsi" w:hAnsiTheme="majorHAnsi"/>
          <w:sz w:val="20"/>
          <w:szCs w:val="20"/>
          <w:lang w:val="en-US"/>
        </w:rPr>
        <w:t>NG GUARD WITH A START FUNCTION, CONTROL GUARD –</w:t>
      </w:r>
    </w:p>
    <w:p w14:paraId="236FA80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Особлива конструкція зблокованої огорожі, яка після зачинення подає команду на вмикання небезпечних функцій машини, без використання окремої пускової системи</w:t>
      </w:r>
    </w:p>
    <w:p w14:paraId="0D8F0A97"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4395ECBE"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bookmarkStart w:id="68" w:name="_Hlk103748732"/>
      <w:bookmarkStart w:id="69" w:name="_Hlk103749462"/>
      <w:r w:rsidRPr="000977F7">
        <w:rPr>
          <w:rFonts w:asciiTheme="majorHAnsi" w:hAnsiTheme="majorHAnsi"/>
          <w:b/>
          <w:bCs/>
          <w:sz w:val="20"/>
          <w:szCs w:val="20"/>
        </w:rPr>
        <w:t>ЗБОЇ</w:t>
      </w:r>
      <w:bookmarkEnd w:id="68"/>
      <w:r w:rsidRPr="000977F7">
        <w:rPr>
          <w:rFonts w:asciiTheme="majorHAnsi" w:hAnsiTheme="majorHAnsi"/>
          <w:b/>
          <w:bCs/>
          <w:sz w:val="20"/>
          <w:szCs w:val="20"/>
        </w:rPr>
        <w:t xml:space="preserve"> ВІД ЗАГАЛЬНОЇ ПРИЧИНИ –</w:t>
      </w:r>
    </w:p>
    <w:p w14:paraId="69A7FD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bookmarkStart w:id="70" w:name="_Hlk103749019"/>
      <w:r w:rsidRPr="000977F7">
        <w:rPr>
          <w:rFonts w:asciiTheme="majorHAnsi" w:hAnsiTheme="majorHAnsi"/>
          <w:sz w:val="20"/>
          <w:szCs w:val="20"/>
        </w:rPr>
        <w:t xml:space="preserve">COMMON CAUSE FAILURE </w:t>
      </w:r>
      <w:bookmarkEnd w:id="70"/>
      <w:r w:rsidRPr="000977F7">
        <w:rPr>
          <w:rFonts w:asciiTheme="majorHAnsi" w:hAnsiTheme="majorHAnsi"/>
          <w:sz w:val="20"/>
          <w:szCs w:val="20"/>
        </w:rPr>
        <w:t>–</w:t>
      </w:r>
    </w:p>
    <w:bookmarkEnd w:id="69"/>
    <w:p w14:paraId="6CA5C49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Збої різних об’єктів, спричинені однією подією, крім випадку, коли кожен з таких збоїв є наслідком попереднього.</w:t>
      </w:r>
    </w:p>
    <w:p w14:paraId="2E74594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Збої від загальної причини не треба плутати зі збоями загального характеру</w:t>
      </w:r>
    </w:p>
    <w:p w14:paraId="4092EDDC"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5FBBF9AC"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bookmarkStart w:id="71" w:name="_Hlk103749705"/>
      <w:r w:rsidRPr="000977F7">
        <w:rPr>
          <w:rFonts w:asciiTheme="majorHAnsi" w:hAnsiTheme="majorHAnsi"/>
          <w:b/>
          <w:bCs/>
          <w:sz w:val="20"/>
          <w:szCs w:val="20"/>
        </w:rPr>
        <w:t>ЗБОЇ АГАЛЬНОГО ХАРАКТЕРУ –</w:t>
      </w:r>
    </w:p>
    <w:p w14:paraId="496612C7"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sz w:val="20"/>
          <w:szCs w:val="20"/>
        </w:rPr>
        <w:t>COMMON MODE FAILURE -</w:t>
      </w:r>
    </w:p>
    <w:bookmarkEnd w:id="71"/>
    <w:p w14:paraId="6BEB27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Збої об’єктів, пов’язані з однаковим типом несправності.</w:t>
      </w:r>
    </w:p>
    <w:p w14:paraId="374C81C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Примітка. Збої загального характеру не треба плутати зі збоями від спільної причини, оскільки збої загального характеру можуть походити від різних причин </w:t>
      </w:r>
    </w:p>
    <w:p w14:paraId="0D1AD768"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59C661C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ЗБУРЕНИЙ</w:t>
      </w:r>
      <w:r w:rsidRPr="000977F7">
        <w:rPr>
          <w:color w:val="auto"/>
          <w:spacing w:val="-8"/>
          <w:sz w:val="20"/>
          <w:szCs w:val="20"/>
        </w:rPr>
        <w:t xml:space="preserve"> </w:t>
      </w:r>
      <w:r w:rsidRPr="000977F7">
        <w:rPr>
          <w:color w:val="auto"/>
          <w:sz w:val="20"/>
          <w:szCs w:val="20"/>
        </w:rPr>
        <w:t>ПРОЦЕС -</w:t>
      </w:r>
    </w:p>
    <w:p w14:paraId="2AA22DE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DISTURBED</w:t>
      </w:r>
      <w:r w:rsidRPr="004D2D14">
        <w:rPr>
          <w:rFonts w:asciiTheme="majorHAnsi" w:hAnsiTheme="majorHAnsi"/>
          <w:spacing w:val="-5"/>
          <w:sz w:val="20"/>
          <w:szCs w:val="20"/>
          <w:lang w:val="uk-UA"/>
        </w:rPr>
        <w:t xml:space="preserve"> </w:t>
      </w:r>
      <w:r w:rsidRPr="000977F7">
        <w:rPr>
          <w:rFonts w:asciiTheme="majorHAnsi" w:hAnsiTheme="majorHAnsi"/>
          <w:sz w:val="20"/>
          <w:szCs w:val="20"/>
        </w:rPr>
        <w:t>PROCESS</w:t>
      </w:r>
      <w:r w:rsidRPr="004D2D14">
        <w:rPr>
          <w:rFonts w:asciiTheme="majorHAnsi" w:hAnsiTheme="majorHAnsi"/>
          <w:sz w:val="20"/>
          <w:szCs w:val="20"/>
          <w:lang w:val="uk-UA"/>
        </w:rPr>
        <w:t xml:space="preserve"> -</w:t>
      </w:r>
    </w:p>
    <w:p w14:paraId="2AC8584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Процес, що відбувається в об’єкті під час дії збурення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безпосередньо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після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нього</w:t>
      </w:r>
    </w:p>
    <w:p w14:paraId="62F06A32" w14:textId="77777777" w:rsidR="0097612F" w:rsidRPr="004D2D14" w:rsidRDefault="0097612F" w:rsidP="000977F7">
      <w:pPr>
        <w:pStyle w:val="af6"/>
        <w:tabs>
          <w:tab w:val="left" w:pos="284"/>
        </w:tabs>
        <w:spacing w:after="0"/>
        <w:ind w:left="170"/>
        <w:mirrorIndents/>
        <w:jc w:val="both"/>
        <w:rPr>
          <w:rFonts w:asciiTheme="majorHAnsi" w:hAnsiTheme="majorHAnsi"/>
          <w:i/>
          <w:iCs/>
          <w:sz w:val="20"/>
          <w:szCs w:val="20"/>
          <w:lang w:val="uk-UA"/>
        </w:rPr>
      </w:pPr>
      <w:r w:rsidRPr="004D2D14">
        <w:rPr>
          <w:rFonts w:asciiTheme="majorHAnsi" w:hAnsiTheme="majorHAnsi"/>
          <w:i/>
          <w:iCs/>
          <w:sz w:val="20"/>
          <w:szCs w:val="20"/>
          <w:lang w:val="uk-UA"/>
        </w:rPr>
        <w:t>ДСТУ</w:t>
      </w:r>
      <w:r w:rsidRPr="004D2D14">
        <w:rPr>
          <w:rFonts w:asciiTheme="majorHAnsi" w:hAnsiTheme="majorHAnsi"/>
          <w:i/>
          <w:iCs/>
          <w:spacing w:val="-2"/>
          <w:sz w:val="20"/>
          <w:szCs w:val="20"/>
          <w:lang w:val="uk-UA"/>
        </w:rPr>
        <w:t xml:space="preserve"> </w:t>
      </w:r>
      <w:r w:rsidRPr="004D2D14">
        <w:rPr>
          <w:rFonts w:asciiTheme="majorHAnsi" w:hAnsiTheme="majorHAnsi"/>
          <w:i/>
          <w:iCs/>
          <w:sz w:val="20"/>
          <w:szCs w:val="20"/>
          <w:lang w:val="uk-UA"/>
        </w:rPr>
        <w:t>3956 - 2000</w:t>
      </w:r>
    </w:p>
    <w:p w14:paraId="3C26F36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ЗБУРЮВАННЯ</w:t>
      </w:r>
      <w:r w:rsidRPr="000977F7">
        <w:rPr>
          <w:color w:val="auto"/>
          <w:spacing w:val="-4"/>
          <w:sz w:val="20"/>
          <w:szCs w:val="20"/>
        </w:rPr>
        <w:t xml:space="preserve"> </w:t>
      </w:r>
      <w:r w:rsidRPr="000977F7">
        <w:rPr>
          <w:color w:val="auto"/>
          <w:sz w:val="20"/>
          <w:szCs w:val="20"/>
        </w:rPr>
        <w:t>(ЗБУРЕННЯ) -</w:t>
      </w:r>
    </w:p>
    <w:p w14:paraId="3D549E3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DISTURBANCE</w:t>
      </w:r>
      <w:r w:rsidRPr="004D2D14">
        <w:rPr>
          <w:rFonts w:asciiTheme="majorHAnsi" w:hAnsiTheme="majorHAnsi"/>
          <w:sz w:val="20"/>
          <w:szCs w:val="20"/>
          <w:lang w:val="uk-UA"/>
        </w:rPr>
        <w:t xml:space="preserve"> -</w:t>
      </w:r>
    </w:p>
    <w:p w14:paraId="7245AD97"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Діяння</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(подіяння)</w:t>
      </w:r>
      <w:r w:rsidRPr="004D2D14">
        <w:rPr>
          <w:rFonts w:asciiTheme="majorHAnsi" w:hAnsiTheme="majorHAnsi"/>
          <w:spacing w:val="19"/>
          <w:sz w:val="20"/>
          <w:szCs w:val="20"/>
          <w:lang w:val="uk-UA"/>
        </w:rPr>
        <w:t xml:space="preserve"> </w:t>
      </w:r>
      <w:r w:rsidRPr="004D2D14">
        <w:rPr>
          <w:rFonts w:asciiTheme="majorHAnsi" w:hAnsiTheme="majorHAnsi"/>
          <w:sz w:val="20"/>
          <w:szCs w:val="20"/>
          <w:lang w:val="uk-UA"/>
        </w:rPr>
        <w:t>зовні</w:t>
      </w:r>
      <w:r w:rsidRPr="004D2D14">
        <w:rPr>
          <w:rFonts w:asciiTheme="majorHAnsi" w:hAnsiTheme="majorHAnsi"/>
          <w:spacing w:val="2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9"/>
          <w:sz w:val="20"/>
          <w:szCs w:val="20"/>
          <w:lang w:val="uk-UA"/>
        </w:rPr>
        <w:t xml:space="preserve"> </w:t>
      </w:r>
      <w:r w:rsidRPr="004D2D14">
        <w:rPr>
          <w:rFonts w:asciiTheme="majorHAnsi" w:hAnsiTheme="majorHAnsi"/>
          <w:sz w:val="20"/>
          <w:szCs w:val="20"/>
          <w:lang w:val="uk-UA"/>
        </w:rPr>
        <w:t>керований</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21"/>
          <w:sz w:val="20"/>
          <w:szCs w:val="20"/>
          <w:lang w:val="uk-UA"/>
        </w:rPr>
        <w:t xml:space="preserve"> </w:t>
      </w:r>
      <w:r w:rsidRPr="004D2D14">
        <w:rPr>
          <w:rFonts w:asciiTheme="majorHAnsi" w:hAnsiTheme="majorHAnsi"/>
          <w:sz w:val="20"/>
          <w:szCs w:val="20"/>
          <w:lang w:val="uk-UA"/>
        </w:rPr>
        <w:t>керівний</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об’єкт, яке перешкоджає досягненню мети керування</w:t>
      </w:r>
      <w:r w:rsidRPr="004D2D14">
        <w:rPr>
          <w:rFonts w:asciiTheme="majorHAnsi" w:hAnsiTheme="majorHAnsi"/>
          <w:spacing w:val="1"/>
          <w:sz w:val="20"/>
          <w:szCs w:val="20"/>
          <w:lang w:val="uk-UA"/>
        </w:rPr>
        <w:t xml:space="preserve"> </w:t>
      </w:r>
    </w:p>
    <w:p w14:paraId="76217A5B"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1"/>
          <w:sz w:val="20"/>
          <w:szCs w:val="20"/>
        </w:rPr>
        <w:t xml:space="preserve"> </w:t>
      </w:r>
      <w:r w:rsidRPr="000977F7">
        <w:rPr>
          <w:rFonts w:asciiTheme="majorHAnsi" w:hAnsiTheme="majorHAnsi"/>
          <w:i/>
          <w:iCs/>
          <w:sz w:val="20"/>
          <w:szCs w:val="20"/>
        </w:rPr>
        <w:t>3956 - 2000</w:t>
      </w:r>
    </w:p>
    <w:p w14:paraId="7D5FE2A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ЗБУТ</w:t>
      </w:r>
      <w:r w:rsidRPr="000977F7">
        <w:rPr>
          <w:color w:val="auto"/>
          <w:spacing w:val="-3"/>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6287FD2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Постачання продукції підприємствам – споживачам та</w:t>
      </w:r>
      <w:r w:rsidRPr="000977F7">
        <w:rPr>
          <w:rFonts w:asciiTheme="majorHAnsi" w:hAnsiTheme="majorHAnsi"/>
          <w:spacing w:val="-47"/>
          <w:sz w:val="20"/>
          <w:szCs w:val="20"/>
        </w:rPr>
        <w:t xml:space="preserve"> </w:t>
      </w:r>
      <w:r w:rsidRPr="000977F7">
        <w:rPr>
          <w:rFonts w:asciiTheme="majorHAnsi" w:hAnsiTheme="majorHAnsi"/>
          <w:sz w:val="20"/>
          <w:szCs w:val="20"/>
        </w:rPr>
        <w:t>(або) торговельній мережі відповідно до умов договорів</w:t>
      </w:r>
    </w:p>
    <w:p w14:paraId="1607E08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73DF56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ЗВАРЮВАННЯ</w:t>
      </w:r>
      <w:r w:rsidRPr="000977F7">
        <w:rPr>
          <w:color w:val="auto"/>
          <w:spacing w:val="-3"/>
          <w:sz w:val="20"/>
          <w:szCs w:val="20"/>
        </w:rPr>
        <w:t xml:space="preserve"> </w:t>
      </w:r>
      <w:r w:rsidRPr="000977F7">
        <w:rPr>
          <w:color w:val="auto"/>
          <w:sz w:val="20"/>
          <w:szCs w:val="20"/>
        </w:rPr>
        <w:t>–</w:t>
      </w:r>
    </w:p>
    <w:p w14:paraId="2EFB95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WELDING</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04B58EC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Одержання нерознімних з’єднань шляхом утворення</w:t>
      </w:r>
      <w:r w:rsidRPr="000977F7">
        <w:rPr>
          <w:rFonts w:asciiTheme="majorHAnsi" w:hAnsiTheme="majorHAnsi"/>
          <w:spacing w:val="1"/>
          <w:sz w:val="20"/>
          <w:szCs w:val="20"/>
        </w:rPr>
        <w:t xml:space="preserve"> </w:t>
      </w:r>
      <w:r w:rsidRPr="000977F7">
        <w:rPr>
          <w:rFonts w:asciiTheme="majorHAnsi" w:hAnsiTheme="majorHAnsi"/>
          <w:sz w:val="20"/>
          <w:szCs w:val="20"/>
        </w:rPr>
        <w:t>міжатомних</w:t>
      </w:r>
      <w:r w:rsidRPr="000977F7">
        <w:rPr>
          <w:rFonts w:asciiTheme="majorHAnsi" w:hAnsiTheme="majorHAnsi"/>
          <w:spacing w:val="1"/>
          <w:sz w:val="20"/>
          <w:szCs w:val="20"/>
        </w:rPr>
        <w:t xml:space="preserve"> </w:t>
      </w:r>
      <w:r w:rsidRPr="000977F7">
        <w:rPr>
          <w:rFonts w:asciiTheme="majorHAnsi" w:hAnsiTheme="majorHAnsi"/>
          <w:sz w:val="20"/>
          <w:szCs w:val="20"/>
        </w:rPr>
        <w:t>зв’язків між з’єднуваними частинами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процесі їх нагрівання і (чи) пластичного деформування</w:t>
      </w:r>
    </w:p>
    <w:p w14:paraId="44345FC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2391:2010</w:t>
      </w:r>
    </w:p>
    <w:p w14:paraId="284A770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Аргонодугове</w:t>
      </w:r>
      <w:r w:rsidRPr="000977F7">
        <w:rPr>
          <w:rFonts w:asciiTheme="majorHAnsi" w:hAnsiTheme="majorHAnsi"/>
          <w:spacing w:val="26"/>
          <w:sz w:val="20"/>
          <w:szCs w:val="20"/>
        </w:rPr>
        <w:t xml:space="preserve"> </w:t>
      </w:r>
      <w:r w:rsidRPr="000977F7">
        <w:rPr>
          <w:rFonts w:asciiTheme="majorHAnsi" w:hAnsiTheme="majorHAnsi"/>
          <w:sz w:val="20"/>
          <w:szCs w:val="20"/>
        </w:rPr>
        <w:t>дугове</w:t>
      </w:r>
      <w:r w:rsidRPr="000977F7">
        <w:rPr>
          <w:rFonts w:asciiTheme="majorHAnsi" w:hAnsiTheme="majorHAnsi"/>
          <w:spacing w:val="23"/>
          <w:sz w:val="20"/>
          <w:szCs w:val="20"/>
        </w:rPr>
        <w:t xml:space="preserve"> </w:t>
      </w:r>
      <w:r w:rsidRPr="000977F7">
        <w:rPr>
          <w:rFonts w:asciiTheme="majorHAnsi" w:hAnsiTheme="majorHAnsi"/>
          <w:sz w:val="20"/>
          <w:szCs w:val="20"/>
        </w:rPr>
        <w:t>зварювання,</w:t>
      </w:r>
      <w:r w:rsidRPr="000977F7">
        <w:rPr>
          <w:rFonts w:asciiTheme="majorHAnsi" w:hAnsiTheme="majorHAnsi"/>
          <w:spacing w:val="26"/>
          <w:sz w:val="20"/>
          <w:szCs w:val="20"/>
        </w:rPr>
        <w:t xml:space="preserve"> </w:t>
      </w:r>
      <w:r w:rsidRPr="000977F7">
        <w:rPr>
          <w:rFonts w:asciiTheme="majorHAnsi" w:hAnsiTheme="majorHAnsi"/>
          <w:sz w:val="20"/>
          <w:szCs w:val="20"/>
        </w:rPr>
        <w:t>при</w:t>
      </w:r>
      <w:r w:rsidRPr="000977F7">
        <w:rPr>
          <w:rFonts w:asciiTheme="majorHAnsi" w:hAnsiTheme="majorHAnsi"/>
          <w:spacing w:val="25"/>
          <w:sz w:val="20"/>
          <w:szCs w:val="20"/>
        </w:rPr>
        <w:t xml:space="preserve"> </w:t>
      </w:r>
      <w:r w:rsidRPr="000977F7">
        <w:rPr>
          <w:rFonts w:asciiTheme="majorHAnsi" w:hAnsiTheme="majorHAnsi"/>
          <w:sz w:val="20"/>
          <w:szCs w:val="20"/>
        </w:rPr>
        <w:t>якому</w:t>
      </w:r>
      <w:r w:rsidRPr="000977F7">
        <w:rPr>
          <w:rFonts w:asciiTheme="majorHAnsi" w:hAnsiTheme="majorHAnsi"/>
          <w:spacing w:val="22"/>
          <w:sz w:val="20"/>
          <w:szCs w:val="20"/>
        </w:rPr>
        <w:t xml:space="preserve"> </w:t>
      </w:r>
      <w:r w:rsidRPr="000977F7">
        <w:rPr>
          <w:rFonts w:asciiTheme="majorHAnsi" w:hAnsiTheme="majorHAnsi"/>
          <w:sz w:val="20"/>
          <w:szCs w:val="20"/>
        </w:rPr>
        <w:t>як</w:t>
      </w:r>
      <w:r w:rsidRPr="000977F7">
        <w:rPr>
          <w:rFonts w:asciiTheme="majorHAnsi" w:hAnsiTheme="majorHAnsi"/>
          <w:spacing w:val="24"/>
          <w:sz w:val="20"/>
          <w:szCs w:val="20"/>
        </w:rPr>
        <w:t xml:space="preserve"> </w:t>
      </w:r>
      <w:r w:rsidRPr="000977F7">
        <w:rPr>
          <w:rFonts w:asciiTheme="majorHAnsi" w:hAnsiTheme="majorHAnsi"/>
          <w:sz w:val="20"/>
          <w:szCs w:val="20"/>
        </w:rPr>
        <w:t>захисний</w:t>
      </w:r>
      <w:r w:rsidRPr="000977F7">
        <w:rPr>
          <w:rFonts w:asciiTheme="majorHAnsi" w:hAnsiTheme="majorHAnsi"/>
          <w:spacing w:val="-2"/>
          <w:sz w:val="20"/>
          <w:szCs w:val="20"/>
        </w:rPr>
        <w:t xml:space="preserve"> </w:t>
      </w:r>
      <w:r w:rsidRPr="000977F7">
        <w:rPr>
          <w:rFonts w:asciiTheme="majorHAnsi" w:hAnsiTheme="majorHAnsi"/>
          <w:sz w:val="20"/>
          <w:szCs w:val="20"/>
        </w:rPr>
        <w:t>газ</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використовується</w:t>
      </w:r>
      <w:r w:rsidRPr="000977F7">
        <w:rPr>
          <w:rFonts w:asciiTheme="majorHAnsi" w:hAnsiTheme="majorHAnsi"/>
          <w:spacing w:val="-1"/>
          <w:sz w:val="20"/>
          <w:szCs w:val="20"/>
        </w:rPr>
        <w:t xml:space="preserve"> </w:t>
      </w:r>
      <w:r w:rsidRPr="000977F7">
        <w:rPr>
          <w:rFonts w:asciiTheme="majorHAnsi" w:hAnsiTheme="majorHAnsi"/>
          <w:sz w:val="20"/>
          <w:szCs w:val="20"/>
        </w:rPr>
        <w:t>аргон</w:t>
      </w:r>
    </w:p>
    <w:p w14:paraId="4BC55A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Багатодугове</w:t>
      </w:r>
      <w:r w:rsidRPr="000977F7">
        <w:rPr>
          <w:rFonts w:asciiTheme="majorHAnsi" w:hAnsiTheme="majorHAnsi"/>
          <w:spacing w:val="38"/>
          <w:sz w:val="20"/>
          <w:szCs w:val="20"/>
        </w:rPr>
        <w:t xml:space="preserve"> </w:t>
      </w:r>
      <w:r w:rsidRPr="000977F7">
        <w:rPr>
          <w:rFonts w:asciiTheme="majorHAnsi" w:hAnsiTheme="majorHAnsi"/>
          <w:sz w:val="20"/>
          <w:szCs w:val="20"/>
        </w:rPr>
        <w:t>дугове</w:t>
      </w:r>
      <w:r w:rsidRPr="000977F7">
        <w:rPr>
          <w:rFonts w:asciiTheme="majorHAnsi" w:hAnsiTheme="majorHAnsi"/>
          <w:spacing w:val="34"/>
          <w:sz w:val="20"/>
          <w:szCs w:val="20"/>
        </w:rPr>
        <w:t xml:space="preserve"> </w:t>
      </w:r>
      <w:r w:rsidRPr="000977F7">
        <w:rPr>
          <w:rFonts w:asciiTheme="majorHAnsi" w:hAnsiTheme="majorHAnsi"/>
          <w:sz w:val="20"/>
          <w:szCs w:val="20"/>
        </w:rPr>
        <w:t>зварювання,</w:t>
      </w:r>
      <w:r w:rsidRPr="000977F7">
        <w:rPr>
          <w:rFonts w:asciiTheme="majorHAnsi" w:hAnsiTheme="majorHAnsi"/>
          <w:spacing w:val="38"/>
          <w:sz w:val="20"/>
          <w:szCs w:val="20"/>
        </w:rPr>
        <w:t xml:space="preserve"> </w:t>
      </w:r>
      <w:r w:rsidRPr="000977F7">
        <w:rPr>
          <w:rFonts w:asciiTheme="majorHAnsi" w:hAnsiTheme="majorHAnsi"/>
          <w:sz w:val="20"/>
          <w:szCs w:val="20"/>
        </w:rPr>
        <w:t>при</w:t>
      </w:r>
      <w:r w:rsidRPr="000977F7">
        <w:rPr>
          <w:rFonts w:asciiTheme="majorHAnsi" w:hAnsiTheme="majorHAnsi"/>
          <w:spacing w:val="36"/>
          <w:sz w:val="20"/>
          <w:szCs w:val="20"/>
        </w:rPr>
        <w:t xml:space="preserve"> </w:t>
      </w:r>
      <w:r w:rsidRPr="000977F7">
        <w:rPr>
          <w:rFonts w:asciiTheme="majorHAnsi" w:hAnsiTheme="majorHAnsi"/>
          <w:sz w:val="20"/>
          <w:szCs w:val="20"/>
        </w:rPr>
        <w:t>якому</w:t>
      </w:r>
      <w:r w:rsidRPr="000977F7">
        <w:rPr>
          <w:rFonts w:asciiTheme="majorHAnsi" w:hAnsiTheme="majorHAnsi"/>
          <w:spacing w:val="34"/>
          <w:sz w:val="20"/>
          <w:szCs w:val="20"/>
        </w:rPr>
        <w:t xml:space="preserve"> </w:t>
      </w:r>
      <w:r w:rsidRPr="000977F7">
        <w:rPr>
          <w:rFonts w:asciiTheme="majorHAnsi" w:hAnsiTheme="majorHAnsi"/>
          <w:sz w:val="20"/>
          <w:szCs w:val="20"/>
        </w:rPr>
        <w:t>нагрівання</w:t>
      </w:r>
      <w:r w:rsidRPr="000977F7">
        <w:rPr>
          <w:rFonts w:asciiTheme="majorHAnsi" w:hAnsiTheme="majorHAnsi"/>
          <w:spacing w:val="26"/>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30"/>
          <w:sz w:val="20"/>
          <w:szCs w:val="20"/>
        </w:rPr>
        <w:t xml:space="preserve"> </w:t>
      </w:r>
      <w:r w:rsidRPr="000977F7">
        <w:rPr>
          <w:rFonts w:asciiTheme="majorHAnsi" w:hAnsiTheme="majorHAnsi"/>
          <w:sz w:val="20"/>
          <w:szCs w:val="20"/>
        </w:rPr>
        <w:t>одночасно</w:t>
      </w:r>
      <w:r w:rsidRPr="000977F7">
        <w:rPr>
          <w:rFonts w:asciiTheme="majorHAnsi" w:hAnsiTheme="majorHAnsi"/>
          <w:spacing w:val="29"/>
          <w:sz w:val="20"/>
          <w:szCs w:val="20"/>
        </w:rPr>
        <w:t xml:space="preserve"> </w:t>
      </w:r>
      <w:r w:rsidRPr="000977F7">
        <w:rPr>
          <w:rFonts w:asciiTheme="majorHAnsi" w:hAnsiTheme="majorHAnsi"/>
          <w:sz w:val="20"/>
          <w:szCs w:val="20"/>
        </w:rPr>
        <w:t>більше</w:t>
      </w:r>
      <w:r w:rsidRPr="000977F7">
        <w:rPr>
          <w:rFonts w:asciiTheme="majorHAnsi" w:hAnsiTheme="majorHAnsi"/>
          <w:spacing w:val="28"/>
          <w:sz w:val="20"/>
          <w:szCs w:val="20"/>
        </w:rPr>
        <w:t xml:space="preserve"> </w:t>
      </w:r>
      <w:r w:rsidRPr="000977F7">
        <w:rPr>
          <w:rFonts w:asciiTheme="majorHAnsi" w:hAnsiTheme="majorHAnsi"/>
          <w:sz w:val="20"/>
          <w:szCs w:val="20"/>
        </w:rPr>
        <w:t>ніж</w:t>
      </w:r>
      <w:r w:rsidRPr="000977F7">
        <w:rPr>
          <w:rFonts w:asciiTheme="majorHAnsi" w:hAnsiTheme="majorHAnsi"/>
          <w:spacing w:val="29"/>
          <w:sz w:val="20"/>
          <w:szCs w:val="20"/>
        </w:rPr>
        <w:t xml:space="preserve"> </w:t>
      </w:r>
      <w:r w:rsidRPr="000977F7">
        <w:rPr>
          <w:rFonts w:asciiTheme="majorHAnsi" w:hAnsiTheme="majorHAnsi"/>
          <w:sz w:val="20"/>
          <w:szCs w:val="20"/>
        </w:rPr>
        <w:t>двома</w:t>
      </w:r>
      <w:r w:rsidRPr="000977F7">
        <w:rPr>
          <w:rFonts w:asciiTheme="majorHAnsi" w:hAnsiTheme="majorHAnsi"/>
          <w:spacing w:val="28"/>
          <w:sz w:val="20"/>
          <w:szCs w:val="20"/>
        </w:rPr>
        <w:t xml:space="preserve"> </w:t>
      </w:r>
      <w:r w:rsidRPr="000977F7">
        <w:rPr>
          <w:rFonts w:asciiTheme="majorHAnsi" w:hAnsiTheme="majorHAnsi"/>
          <w:sz w:val="20"/>
          <w:szCs w:val="20"/>
        </w:rPr>
        <w:t>дугами з роздільним живленням їх током</w:t>
      </w:r>
      <w:r w:rsidRPr="000977F7">
        <w:rPr>
          <w:rFonts w:asciiTheme="majorHAnsi" w:hAnsiTheme="majorHAnsi"/>
          <w:spacing w:val="1"/>
          <w:sz w:val="20"/>
          <w:szCs w:val="20"/>
        </w:rPr>
        <w:t xml:space="preserve"> </w:t>
      </w:r>
      <w:r w:rsidRPr="000977F7">
        <w:rPr>
          <w:rFonts w:asciiTheme="majorHAnsi" w:hAnsiTheme="majorHAnsi"/>
          <w:sz w:val="20"/>
          <w:szCs w:val="20"/>
        </w:rPr>
        <w:t>Багатоелектродне</w:t>
      </w:r>
      <w:r w:rsidRPr="000977F7">
        <w:rPr>
          <w:rFonts w:asciiTheme="majorHAnsi" w:hAnsiTheme="majorHAnsi"/>
          <w:spacing w:val="27"/>
          <w:sz w:val="20"/>
          <w:szCs w:val="20"/>
        </w:rPr>
        <w:t xml:space="preserve"> </w:t>
      </w:r>
      <w:r w:rsidRPr="000977F7">
        <w:rPr>
          <w:rFonts w:asciiTheme="majorHAnsi" w:hAnsiTheme="majorHAnsi"/>
          <w:sz w:val="20"/>
          <w:szCs w:val="20"/>
        </w:rPr>
        <w:t>дугове</w:t>
      </w:r>
      <w:r w:rsidRPr="000977F7">
        <w:rPr>
          <w:rFonts w:asciiTheme="majorHAnsi" w:hAnsiTheme="majorHAnsi"/>
          <w:spacing w:val="28"/>
          <w:sz w:val="20"/>
          <w:szCs w:val="20"/>
        </w:rPr>
        <w:t xml:space="preserve"> </w:t>
      </w:r>
      <w:r w:rsidRPr="000977F7">
        <w:rPr>
          <w:rFonts w:asciiTheme="majorHAnsi" w:hAnsiTheme="majorHAnsi"/>
          <w:sz w:val="20"/>
          <w:szCs w:val="20"/>
        </w:rPr>
        <w:t>зварювання,</w:t>
      </w:r>
      <w:r w:rsidRPr="000977F7">
        <w:rPr>
          <w:rFonts w:asciiTheme="majorHAnsi" w:hAnsiTheme="majorHAnsi"/>
          <w:spacing w:val="26"/>
          <w:sz w:val="20"/>
          <w:szCs w:val="20"/>
        </w:rPr>
        <w:t xml:space="preserve"> </w:t>
      </w:r>
      <w:r w:rsidRPr="000977F7">
        <w:rPr>
          <w:rFonts w:asciiTheme="majorHAnsi" w:hAnsiTheme="majorHAnsi"/>
          <w:sz w:val="20"/>
          <w:szCs w:val="20"/>
        </w:rPr>
        <w:t>при</w:t>
      </w:r>
      <w:r w:rsidRPr="000977F7">
        <w:rPr>
          <w:rFonts w:asciiTheme="majorHAnsi" w:hAnsiTheme="majorHAnsi"/>
          <w:spacing w:val="25"/>
          <w:sz w:val="20"/>
          <w:szCs w:val="20"/>
        </w:rPr>
        <w:t xml:space="preserve"> </w:t>
      </w:r>
      <w:r w:rsidRPr="000977F7">
        <w:rPr>
          <w:rFonts w:asciiTheme="majorHAnsi" w:hAnsiTheme="majorHAnsi"/>
          <w:sz w:val="20"/>
          <w:szCs w:val="20"/>
        </w:rPr>
        <w:t>якому</w:t>
      </w:r>
      <w:r w:rsidRPr="000977F7">
        <w:rPr>
          <w:rFonts w:asciiTheme="majorHAnsi" w:hAnsiTheme="majorHAnsi"/>
          <w:spacing w:val="-47"/>
          <w:sz w:val="20"/>
          <w:szCs w:val="20"/>
        </w:rPr>
        <w:t xml:space="preserve"> </w:t>
      </w:r>
      <w:r w:rsidRPr="000977F7">
        <w:rPr>
          <w:rFonts w:asciiTheme="majorHAnsi" w:hAnsiTheme="majorHAnsi"/>
          <w:sz w:val="20"/>
          <w:szCs w:val="20"/>
        </w:rPr>
        <w:t>нагрівання</w:t>
      </w:r>
      <w:r w:rsidRPr="000977F7">
        <w:rPr>
          <w:rFonts w:asciiTheme="majorHAnsi" w:hAnsiTheme="majorHAnsi"/>
          <w:spacing w:val="10"/>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9"/>
          <w:sz w:val="20"/>
          <w:szCs w:val="20"/>
        </w:rPr>
        <w:t xml:space="preserve"> </w:t>
      </w:r>
      <w:r w:rsidRPr="000977F7">
        <w:rPr>
          <w:rFonts w:asciiTheme="majorHAnsi" w:hAnsiTheme="majorHAnsi"/>
          <w:sz w:val="20"/>
          <w:szCs w:val="20"/>
        </w:rPr>
        <w:t>одночасно</w:t>
      </w:r>
      <w:r w:rsidRPr="000977F7">
        <w:rPr>
          <w:rFonts w:asciiTheme="majorHAnsi" w:hAnsiTheme="majorHAnsi"/>
          <w:spacing w:val="10"/>
          <w:sz w:val="20"/>
          <w:szCs w:val="20"/>
        </w:rPr>
        <w:t xml:space="preserve"> </w:t>
      </w:r>
      <w:r w:rsidRPr="000977F7">
        <w:rPr>
          <w:rFonts w:asciiTheme="majorHAnsi" w:hAnsiTheme="majorHAnsi"/>
          <w:sz w:val="20"/>
          <w:szCs w:val="20"/>
        </w:rPr>
        <w:t>більше</w:t>
      </w:r>
      <w:r w:rsidRPr="000977F7">
        <w:rPr>
          <w:rFonts w:asciiTheme="majorHAnsi" w:hAnsiTheme="majorHAnsi"/>
          <w:spacing w:val="11"/>
          <w:sz w:val="20"/>
          <w:szCs w:val="20"/>
        </w:rPr>
        <w:t xml:space="preserve"> </w:t>
      </w:r>
      <w:r w:rsidRPr="000977F7">
        <w:rPr>
          <w:rFonts w:asciiTheme="majorHAnsi" w:hAnsiTheme="majorHAnsi"/>
          <w:sz w:val="20"/>
          <w:szCs w:val="20"/>
        </w:rPr>
        <w:t>ніж</w:t>
      </w:r>
      <w:r w:rsidRPr="000977F7">
        <w:rPr>
          <w:rFonts w:asciiTheme="majorHAnsi" w:hAnsiTheme="majorHAnsi"/>
          <w:spacing w:val="10"/>
          <w:sz w:val="20"/>
          <w:szCs w:val="20"/>
        </w:rPr>
        <w:t xml:space="preserve"> </w:t>
      </w:r>
      <w:r w:rsidRPr="000977F7">
        <w:rPr>
          <w:rFonts w:asciiTheme="majorHAnsi" w:hAnsiTheme="majorHAnsi"/>
          <w:sz w:val="20"/>
          <w:szCs w:val="20"/>
        </w:rPr>
        <w:t xml:space="preserve">двома </w:t>
      </w:r>
      <w:r w:rsidRPr="000977F7">
        <w:rPr>
          <w:rFonts w:asciiTheme="majorHAnsi" w:hAnsiTheme="majorHAnsi"/>
          <w:spacing w:val="-47"/>
          <w:sz w:val="20"/>
          <w:szCs w:val="20"/>
        </w:rPr>
        <w:t xml:space="preserve"> </w:t>
      </w:r>
      <w:r w:rsidRPr="000977F7">
        <w:rPr>
          <w:rFonts w:asciiTheme="majorHAnsi" w:hAnsiTheme="majorHAnsi"/>
          <w:sz w:val="20"/>
          <w:szCs w:val="20"/>
        </w:rPr>
        <w:t>електродами</w:t>
      </w:r>
      <w:r w:rsidRPr="000977F7">
        <w:rPr>
          <w:rFonts w:asciiTheme="majorHAnsi" w:hAnsiTheme="majorHAnsi"/>
          <w:spacing w:val="-2"/>
          <w:sz w:val="20"/>
          <w:szCs w:val="20"/>
        </w:rPr>
        <w:t xml:space="preserve"> </w:t>
      </w:r>
      <w:r w:rsidRPr="000977F7">
        <w:rPr>
          <w:rFonts w:asciiTheme="majorHAnsi" w:hAnsiTheme="majorHAnsi"/>
          <w:sz w:val="20"/>
          <w:szCs w:val="20"/>
        </w:rPr>
        <w:t>із загальним підводом</w:t>
      </w:r>
      <w:r w:rsidRPr="000977F7">
        <w:rPr>
          <w:rFonts w:asciiTheme="majorHAnsi" w:hAnsiTheme="majorHAnsi"/>
          <w:spacing w:val="1"/>
          <w:sz w:val="20"/>
          <w:szCs w:val="20"/>
        </w:rPr>
        <w:t xml:space="preserve"> </w:t>
      </w:r>
      <w:r w:rsidRPr="000977F7">
        <w:rPr>
          <w:rFonts w:asciiTheme="majorHAnsi" w:hAnsiTheme="majorHAnsi"/>
          <w:sz w:val="20"/>
          <w:szCs w:val="20"/>
        </w:rPr>
        <w:t>струму</w:t>
      </w:r>
    </w:p>
    <w:p w14:paraId="6D385B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Багатоточкове</w:t>
      </w:r>
      <w:r w:rsidRPr="000977F7">
        <w:rPr>
          <w:rFonts w:asciiTheme="majorHAnsi" w:hAnsiTheme="majorHAnsi"/>
          <w:spacing w:val="26"/>
          <w:sz w:val="20"/>
          <w:szCs w:val="20"/>
        </w:rPr>
        <w:t xml:space="preserve"> </w:t>
      </w:r>
      <w:r w:rsidRPr="000977F7">
        <w:rPr>
          <w:rFonts w:asciiTheme="majorHAnsi" w:hAnsiTheme="majorHAnsi"/>
          <w:sz w:val="20"/>
          <w:szCs w:val="20"/>
        </w:rPr>
        <w:t>контактне</w:t>
      </w:r>
      <w:r w:rsidRPr="000977F7">
        <w:rPr>
          <w:rFonts w:asciiTheme="majorHAnsi" w:hAnsiTheme="majorHAnsi"/>
          <w:spacing w:val="27"/>
          <w:sz w:val="20"/>
          <w:szCs w:val="20"/>
        </w:rPr>
        <w:t xml:space="preserve"> </w:t>
      </w:r>
      <w:r w:rsidRPr="000977F7">
        <w:rPr>
          <w:rFonts w:asciiTheme="majorHAnsi" w:hAnsiTheme="majorHAnsi"/>
          <w:sz w:val="20"/>
          <w:szCs w:val="20"/>
        </w:rPr>
        <w:t>зварювання,</w:t>
      </w:r>
      <w:r w:rsidRPr="000977F7">
        <w:rPr>
          <w:rFonts w:asciiTheme="majorHAnsi" w:hAnsiTheme="majorHAnsi"/>
          <w:spacing w:val="26"/>
          <w:sz w:val="20"/>
          <w:szCs w:val="20"/>
        </w:rPr>
        <w:t xml:space="preserve"> </w:t>
      </w:r>
      <w:r w:rsidRPr="000977F7">
        <w:rPr>
          <w:rFonts w:asciiTheme="majorHAnsi" w:hAnsiTheme="majorHAnsi"/>
          <w:sz w:val="20"/>
          <w:szCs w:val="20"/>
        </w:rPr>
        <w:t>при</w:t>
      </w:r>
      <w:r w:rsidRPr="000977F7">
        <w:rPr>
          <w:rFonts w:asciiTheme="majorHAnsi" w:hAnsiTheme="majorHAnsi"/>
          <w:spacing w:val="25"/>
          <w:sz w:val="20"/>
          <w:szCs w:val="20"/>
        </w:rPr>
        <w:t xml:space="preserve"> </w:t>
      </w:r>
      <w:r w:rsidRPr="000977F7">
        <w:rPr>
          <w:rFonts w:asciiTheme="majorHAnsi" w:hAnsiTheme="majorHAnsi"/>
          <w:sz w:val="20"/>
          <w:szCs w:val="20"/>
        </w:rPr>
        <w:t>якому</w:t>
      </w:r>
      <w:r w:rsidRPr="000977F7">
        <w:rPr>
          <w:rFonts w:asciiTheme="majorHAnsi" w:hAnsiTheme="majorHAnsi"/>
          <w:spacing w:val="22"/>
          <w:sz w:val="20"/>
          <w:szCs w:val="20"/>
        </w:rPr>
        <w:t xml:space="preserve"> </w:t>
      </w:r>
      <w:r w:rsidRPr="000977F7">
        <w:rPr>
          <w:rFonts w:asciiTheme="majorHAnsi" w:hAnsiTheme="majorHAnsi"/>
          <w:sz w:val="20"/>
          <w:szCs w:val="20"/>
        </w:rPr>
        <w:t>за</w:t>
      </w:r>
      <w:r w:rsidRPr="000977F7">
        <w:rPr>
          <w:rFonts w:asciiTheme="majorHAnsi" w:hAnsiTheme="majorHAnsi"/>
          <w:spacing w:val="-47"/>
          <w:sz w:val="20"/>
          <w:szCs w:val="20"/>
        </w:rPr>
        <w:t xml:space="preserve"> </w:t>
      </w:r>
      <w:r w:rsidRPr="000977F7">
        <w:rPr>
          <w:rFonts w:asciiTheme="majorHAnsi" w:hAnsiTheme="majorHAnsi"/>
          <w:sz w:val="20"/>
          <w:szCs w:val="20"/>
        </w:rPr>
        <w:t>один цикл</w:t>
      </w:r>
      <w:r w:rsidRPr="000977F7">
        <w:rPr>
          <w:rFonts w:asciiTheme="majorHAnsi" w:hAnsiTheme="majorHAnsi"/>
          <w:spacing w:val="-1"/>
          <w:sz w:val="20"/>
          <w:szCs w:val="20"/>
        </w:rPr>
        <w:t xml:space="preserve"> </w:t>
      </w:r>
      <w:r w:rsidRPr="000977F7">
        <w:rPr>
          <w:rFonts w:asciiTheme="majorHAnsi" w:hAnsiTheme="majorHAnsi"/>
          <w:sz w:val="20"/>
          <w:szCs w:val="20"/>
        </w:rPr>
        <w:t>зварюється</w:t>
      </w:r>
      <w:r w:rsidRPr="000977F7">
        <w:rPr>
          <w:rFonts w:asciiTheme="majorHAnsi" w:hAnsiTheme="majorHAnsi"/>
          <w:spacing w:val="-2"/>
          <w:sz w:val="20"/>
          <w:szCs w:val="20"/>
        </w:rPr>
        <w:t xml:space="preserve"> </w:t>
      </w:r>
      <w:r w:rsidRPr="000977F7">
        <w:rPr>
          <w:rFonts w:asciiTheme="majorHAnsi" w:hAnsiTheme="majorHAnsi"/>
          <w:sz w:val="20"/>
          <w:szCs w:val="20"/>
        </w:rPr>
        <w:t>декілька</w:t>
      </w:r>
      <w:r w:rsidRPr="000977F7">
        <w:rPr>
          <w:rFonts w:asciiTheme="majorHAnsi" w:hAnsiTheme="majorHAnsi"/>
          <w:spacing w:val="-1"/>
          <w:sz w:val="20"/>
          <w:szCs w:val="20"/>
        </w:rPr>
        <w:t xml:space="preserve"> </w:t>
      </w:r>
      <w:r w:rsidRPr="000977F7">
        <w:rPr>
          <w:rFonts w:asciiTheme="majorHAnsi" w:hAnsiTheme="majorHAnsi"/>
          <w:sz w:val="20"/>
          <w:szCs w:val="20"/>
        </w:rPr>
        <w:t>точок</w:t>
      </w:r>
    </w:p>
    <w:p w14:paraId="260FF5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Блоками</w:t>
      </w:r>
      <w:r w:rsidRPr="000977F7">
        <w:rPr>
          <w:rFonts w:asciiTheme="majorHAnsi" w:hAnsiTheme="majorHAnsi"/>
          <w:spacing w:val="11"/>
          <w:sz w:val="20"/>
          <w:szCs w:val="20"/>
        </w:rPr>
        <w:t xml:space="preserve"> </w:t>
      </w:r>
      <w:r w:rsidRPr="000977F7">
        <w:rPr>
          <w:rFonts w:asciiTheme="majorHAnsi" w:hAnsiTheme="majorHAnsi"/>
          <w:sz w:val="20"/>
          <w:szCs w:val="20"/>
        </w:rPr>
        <w:t>зворотньоступінчасте</w:t>
      </w:r>
      <w:r w:rsidRPr="000977F7">
        <w:rPr>
          <w:rFonts w:asciiTheme="majorHAnsi" w:hAnsiTheme="majorHAnsi"/>
          <w:spacing w:val="9"/>
          <w:sz w:val="20"/>
          <w:szCs w:val="20"/>
        </w:rPr>
        <w:t xml:space="preserve"> </w:t>
      </w:r>
      <w:r w:rsidRPr="000977F7">
        <w:rPr>
          <w:rFonts w:asciiTheme="majorHAnsi" w:hAnsiTheme="majorHAnsi"/>
          <w:sz w:val="20"/>
          <w:szCs w:val="20"/>
        </w:rPr>
        <w:t>зварювання,</w:t>
      </w:r>
      <w:r w:rsidRPr="000977F7">
        <w:rPr>
          <w:rFonts w:asciiTheme="majorHAnsi" w:hAnsiTheme="majorHAnsi"/>
          <w:spacing w:val="11"/>
          <w:sz w:val="20"/>
          <w:szCs w:val="20"/>
        </w:rPr>
        <w:t xml:space="preserve"> </w:t>
      </w:r>
      <w:r w:rsidRPr="000977F7">
        <w:rPr>
          <w:rFonts w:asciiTheme="majorHAnsi" w:hAnsiTheme="majorHAnsi"/>
          <w:sz w:val="20"/>
          <w:szCs w:val="20"/>
        </w:rPr>
        <w:t>при</w:t>
      </w:r>
      <w:r w:rsidRPr="000977F7">
        <w:rPr>
          <w:rFonts w:asciiTheme="majorHAnsi" w:hAnsiTheme="majorHAnsi"/>
          <w:spacing w:val="-47"/>
          <w:sz w:val="20"/>
          <w:szCs w:val="20"/>
        </w:rPr>
        <w:t xml:space="preserve"> </w:t>
      </w:r>
      <w:r w:rsidRPr="000977F7">
        <w:rPr>
          <w:rFonts w:asciiTheme="majorHAnsi" w:hAnsiTheme="majorHAnsi"/>
          <w:sz w:val="20"/>
          <w:szCs w:val="20"/>
        </w:rPr>
        <w:t>якому</w:t>
      </w:r>
      <w:r w:rsidRPr="000977F7">
        <w:rPr>
          <w:rFonts w:asciiTheme="majorHAnsi" w:hAnsiTheme="majorHAnsi"/>
          <w:spacing w:val="23"/>
          <w:sz w:val="20"/>
          <w:szCs w:val="20"/>
        </w:rPr>
        <w:t xml:space="preserve"> </w:t>
      </w:r>
      <w:r w:rsidRPr="000977F7">
        <w:rPr>
          <w:rFonts w:asciiTheme="majorHAnsi" w:hAnsiTheme="majorHAnsi"/>
          <w:sz w:val="20"/>
          <w:szCs w:val="20"/>
        </w:rPr>
        <w:t>багатошаровий</w:t>
      </w:r>
      <w:r w:rsidRPr="000977F7">
        <w:rPr>
          <w:rFonts w:asciiTheme="majorHAnsi" w:hAnsiTheme="majorHAnsi"/>
          <w:spacing w:val="23"/>
          <w:sz w:val="20"/>
          <w:szCs w:val="20"/>
        </w:rPr>
        <w:t xml:space="preserve"> </w:t>
      </w:r>
      <w:r w:rsidRPr="000977F7">
        <w:rPr>
          <w:rFonts w:asciiTheme="majorHAnsi" w:hAnsiTheme="majorHAnsi"/>
          <w:sz w:val="20"/>
          <w:szCs w:val="20"/>
        </w:rPr>
        <w:t>шов</w:t>
      </w:r>
      <w:r w:rsidRPr="000977F7">
        <w:rPr>
          <w:rFonts w:asciiTheme="majorHAnsi" w:hAnsiTheme="majorHAnsi"/>
          <w:spacing w:val="28"/>
          <w:sz w:val="20"/>
          <w:szCs w:val="20"/>
        </w:rPr>
        <w:t xml:space="preserve"> </w:t>
      </w:r>
      <w:r w:rsidRPr="000977F7">
        <w:rPr>
          <w:rFonts w:asciiTheme="majorHAnsi" w:hAnsiTheme="majorHAnsi"/>
          <w:sz w:val="20"/>
          <w:szCs w:val="20"/>
        </w:rPr>
        <w:t>виконується</w:t>
      </w:r>
      <w:r w:rsidRPr="000977F7">
        <w:rPr>
          <w:rFonts w:asciiTheme="majorHAnsi" w:hAnsiTheme="majorHAnsi"/>
          <w:spacing w:val="24"/>
          <w:sz w:val="20"/>
          <w:szCs w:val="20"/>
        </w:rPr>
        <w:t xml:space="preserve"> </w:t>
      </w:r>
      <w:r w:rsidRPr="000977F7">
        <w:rPr>
          <w:rFonts w:asciiTheme="majorHAnsi" w:hAnsiTheme="majorHAnsi"/>
          <w:sz w:val="20"/>
          <w:szCs w:val="20"/>
        </w:rPr>
        <w:t>окремими</w:t>
      </w:r>
      <w:r w:rsidRPr="000977F7">
        <w:rPr>
          <w:rFonts w:asciiTheme="majorHAnsi" w:hAnsiTheme="majorHAnsi"/>
          <w:spacing w:val="23"/>
          <w:sz w:val="20"/>
          <w:szCs w:val="20"/>
        </w:rPr>
        <w:t xml:space="preserve"> </w:t>
      </w:r>
      <w:r w:rsidRPr="000977F7">
        <w:rPr>
          <w:rFonts w:asciiTheme="majorHAnsi" w:hAnsiTheme="majorHAnsi"/>
          <w:sz w:val="20"/>
          <w:szCs w:val="20"/>
        </w:rPr>
        <w:t>ділянками з повним заповненням кожного з них</w:t>
      </w:r>
      <w:r w:rsidRPr="000977F7">
        <w:rPr>
          <w:rFonts w:asciiTheme="majorHAnsi" w:hAnsiTheme="majorHAnsi"/>
          <w:spacing w:val="1"/>
          <w:sz w:val="20"/>
          <w:szCs w:val="20"/>
        </w:rPr>
        <w:t xml:space="preserve"> </w:t>
      </w:r>
      <w:r w:rsidRPr="000977F7">
        <w:rPr>
          <w:rFonts w:asciiTheme="majorHAnsi" w:hAnsiTheme="majorHAnsi"/>
          <w:sz w:val="20"/>
          <w:szCs w:val="20"/>
        </w:rPr>
        <w:t>Вибухом-з</w:t>
      </w:r>
      <w:r w:rsidRPr="000977F7">
        <w:rPr>
          <w:rFonts w:asciiTheme="majorHAnsi" w:hAnsiTheme="majorHAnsi"/>
          <w:spacing w:val="3"/>
          <w:sz w:val="20"/>
          <w:szCs w:val="20"/>
        </w:rPr>
        <w:t xml:space="preserve"> </w:t>
      </w:r>
      <w:r w:rsidRPr="000977F7">
        <w:rPr>
          <w:rFonts w:asciiTheme="majorHAnsi" w:hAnsiTheme="majorHAnsi"/>
          <w:sz w:val="20"/>
          <w:szCs w:val="20"/>
        </w:rPr>
        <w:t>використанням</w:t>
      </w:r>
      <w:r w:rsidRPr="000977F7">
        <w:rPr>
          <w:rFonts w:asciiTheme="majorHAnsi" w:hAnsiTheme="majorHAnsi"/>
          <w:spacing w:val="3"/>
          <w:sz w:val="20"/>
          <w:szCs w:val="20"/>
        </w:rPr>
        <w:t xml:space="preserve"> </w:t>
      </w:r>
      <w:r w:rsidRPr="000977F7">
        <w:rPr>
          <w:rFonts w:asciiTheme="majorHAnsi" w:hAnsiTheme="majorHAnsi"/>
          <w:sz w:val="20"/>
          <w:szCs w:val="20"/>
        </w:rPr>
        <w:t>тиску,</w:t>
      </w:r>
      <w:r w:rsidRPr="000977F7">
        <w:rPr>
          <w:rFonts w:asciiTheme="majorHAnsi" w:hAnsiTheme="majorHAnsi"/>
          <w:spacing w:val="3"/>
          <w:sz w:val="20"/>
          <w:szCs w:val="20"/>
        </w:rPr>
        <w:t xml:space="preserve"> </w:t>
      </w:r>
      <w:r w:rsidRPr="000977F7">
        <w:rPr>
          <w:rFonts w:asciiTheme="majorHAnsi" w:hAnsiTheme="majorHAnsi"/>
          <w:sz w:val="20"/>
          <w:szCs w:val="20"/>
        </w:rPr>
        <w:t>при</w:t>
      </w:r>
      <w:r w:rsidRPr="000977F7">
        <w:rPr>
          <w:rFonts w:asciiTheme="majorHAnsi" w:hAnsiTheme="majorHAnsi"/>
          <w:spacing w:val="2"/>
          <w:sz w:val="20"/>
          <w:szCs w:val="20"/>
        </w:rPr>
        <w:t xml:space="preserve"> </w:t>
      </w:r>
      <w:r w:rsidRPr="000977F7">
        <w:rPr>
          <w:rFonts w:asciiTheme="majorHAnsi" w:hAnsiTheme="majorHAnsi"/>
          <w:sz w:val="20"/>
          <w:szCs w:val="20"/>
        </w:rPr>
        <w:t>якому</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єднання</w:t>
      </w:r>
      <w:r w:rsidRPr="000977F7">
        <w:rPr>
          <w:rFonts w:asciiTheme="majorHAnsi" w:hAnsiTheme="majorHAnsi"/>
          <w:spacing w:val="-47"/>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10"/>
          <w:sz w:val="20"/>
          <w:szCs w:val="20"/>
        </w:rPr>
        <w:t xml:space="preserve"> </w:t>
      </w:r>
      <w:r w:rsidRPr="000977F7">
        <w:rPr>
          <w:rFonts w:asciiTheme="majorHAnsi" w:hAnsiTheme="majorHAnsi"/>
          <w:sz w:val="20"/>
          <w:szCs w:val="20"/>
        </w:rPr>
        <w:t>як</w:t>
      </w:r>
      <w:r w:rsidRPr="000977F7">
        <w:rPr>
          <w:rFonts w:asciiTheme="majorHAnsi" w:hAnsiTheme="majorHAnsi"/>
          <w:spacing w:val="6"/>
          <w:sz w:val="20"/>
          <w:szCs w:val="20"/>
        </w:rPr>
        <w:t xml:space="preserve"> </w:t>
      </w:r>
      <w:r w:rsidRPr="000977F7">
        <w:rPr>
          <w:rFonts w:asciiTheme="majorHAnsi" w:hAnsiTheme="majorHAnsi"/>
          <w:sz w:val="20"/>
          <w:szCs w:val="20"/>
        </w:rPr>
        <w:t>результат</w:t>
      </w:r>
      <w:r w:rsidRPr="000977F7">
        <w:rPr>
          <w:rFonts w:asciiTheme="majorHAnsi" w:hAnsiTheme="majorHAnsi"/>
          <w:spacing w:val="9"/>
          <w:sz w:val="20"/>
          <w:szCs w:val="20"/>
        </w:rPr>
        <w:t xml:space="preserve"> </w:t>
      </w:r>
      <w:r w:rsidRPr="000977F7">
        <w:rPr>
          <w:rFonts w:asciiTheme="majorHAnsi" w:hAnsiTheme="majorHAnsi"/>
          <w:sz w:val="20"/>
          <w:szCs w:val="20"/>
        </w:rPr>
        <w:t>викликаного</w:t>
      </w:r>
      <w:r w:rsidRPr="000977F7">
        <w:rPr>
          <w:rFonts w:asciiTheme="majorHAnsi" w:hAnsiTheme="majorHAnsi"/>
          <w:spacing w:val="9"/>
          <w:sz w:val="20"/>
          <w:szCs w:val="20"/>
        </w:rPr>
        <w:t xml:space="preserve"> </w:t>
      </w:r>
      <w:r w:rsidRPr="000977F7">
        <w:rPr>
          <w:rFonts w:asciiTheme="majorHAnsi" w:hAnsiTheme="majorHAnsi"/>
          <w:sz w:val="20"/>
          <w:szCs w:val="20"/>
        </w:rPr>
        <w:t>вибухом</w:t>
      </w:r>
      <w:r w:rsidRPr="000977F7">
        <w:rPr>
          <w:rFonts w:asciiTheme="majorHAnsi" w:hAnsiTheme="majorHAnsi"/>
          <w:spacing w:val="9"/>
          <w:sz w:val="20"/>
          <w:szCs w:val="20"/>
        </w:rPr>
        <w:t xml:space="preserve"> </w:t>
      </w:r>
      <w:r w:rsidRPr="000977F7">
        <w:rPr>
          <w:rFonts w:asciiTheme="majorHAnsi" w:hAnsiTheme="majorHAnsi"/>
          <w:sz w:val="20"/>
          <w:szCs w:val="20"/>
        </w:rPr>
        <w:t>співудару</w:t>
      </w:r>
      <w:r w:rsidRPr="000977F7">
        <w:rPr>
          <w:rFonts w:asciiTheme="majorHAnsi" w:hAnsiTheme="majorHAnsi"/>
          <w:spacing w:val="-5"/>
          <w:sz w:val="20"/>
          <w:szCs w:val="20"/>
        </w:rPr>
        <w:t xml:space="preserve"> </w:t>
      </w:r>
      <w:r w:rsidRPr="000977F7">
        <w:rPr>
          <w:rFonts w:asciiTheme="majorHAnsi" w:hAnsiTheme="majorHAnsi"/>
          <w:sz w:val="20"/>
          <w:szCs w:val="20"/>
        </w:rPr>
        <w:t>зварюваних</w:t>
      </w:r>
      <w:r w:rsidRPr="000977F7">
        <w:rPr>
          <w:rFonts w:asciiTheme="majorHAnsi" w:hAnsiTheme="majorHAnsi"/>
          <w:spacing w:val="-1"/>
          <w:sz w:val="20"/>
          <w:szCs w:val="20"/>
        </w:rPr>
        <w:t xml:space="preserve"> </w:t>
      </w:r>
      <w:r w:rsidRPr="000977F7">
        <w:rPr>
          <w:rFonts w:asciiTheme="majorHAnsi" w:hAnsiTheme="majorHAnsi"/>
          <w:sz w:val="20"/>
          <w:szCs w:val="20"/>
        </w:rPr>
        <w:t>частин</w:t>
      </w:r>
    </w:p>
    <w:p w14:paraId="4D396D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Вібродугове</w:t>
      </w:r>
      <w:r w:rsidRPr="000977F7">
        <w:rPr>
          <w:rFonts w:asciiTheme="majorHAnsi" w:hAnsiTheme="majorHAnsi"/>
          <w:spacing w:val="1"/>
          <w:sz w:val="20"/>
          <w:szCs w:val="20"/>
        </w:rPr>
        <w:t xml:space="preserve"> </w:t>
      </w:r>
      <w:r w:rsidRPr="000977F7">
        <w:rPr>
          <w:rFonts w:asciiTheme="majorHAnsi" w:hAnsiTheme="majorHAnsi"/>
          <w:sz w:val="20"/>
          <w:szCs w:val="20"/>
        </w:rPr>
        <w:t>дугове</w:t>
      </w:r>
      <w:r w:rsidRPr="000977F7">
        <w:rPr>
          <w:rFonts w:asciiTheme="majorHAnsi" w:hAnsiTheme="majorHAnsi"/>
          <w:spacing w:val="1"/>
          <w:sz w:val="20"/>
          <w:szCs w:val="20"/>
        </w:rPr>
        <w:t xml:space="preserve"> </w:t>
      </w:r>
      <w:r w:rsidRPr="000977F7">
        <w:rPr>
          <w:rFonts w:asciiTheme="majorHAnsi" w:hAnsiTheme="majorHAnsi"/>
          <w:sz w:val="20"/>
          <w:szCs w:val="20"/>
        </w:rPr>
        <w:t>зварювання</w:t>
      </w:r>
      <w:r w:rsidRPr="000977F7">
        <w:rPr>
          <w:rFonts w:asciiTheme="majorHAnsi" w:hAnsiTheme="majorHAnsi"/>
          <w:spacing w:val="1"/>
          <w:sz w:val="20"/>
          <w:szCs w:val="20"/>
        </w:rPr>
        <w:t xml:space="preserve"> </w:t>
      </w:r>
      <w:r w:rsidRPr="000977F7">
        <w:rPr>
          <w:rFonts w:asciiTheme="majorHAnsi" w:hAnsiTheme="majorHAnsi"/>
          <w:sz w:val="20"/>
          <w:szCs w:val="20"/>
        </w:rPr>
        <w:t>електродом,</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47"/>
          <w:sz w:val="20"/>
          <w:szCs w:val="20"/>
        </w:rPr>
        <w:t xml:space="preserve"> </w:t>
      </w:r>
      <w:r w:rsidRPr="000977F7">
        <w:rPr>
          <w:rFonts w:asciiTheme="majorHAnsi" w:hAnsiTheme="majorHAnsi"/>
          <w:sz w:val="20"/>
          <w:szCs w:val="20"/>
        </w:rPr>
        <w:t>плавиться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вібрує,</w:t>
      </w:r>
      <w:r w:rsidRPr="000977F7">
        <w:rPr>
          <w:rFonts w:asciiTheme="majorHAnsi" w:hAnsiTheme="majorHAnsi"/>
          <w:spacing w:val="1"/>
          <w:sz w:val="20"/>
          <w:szCs w:val="20"/>
        </w:rPr>
        <w:t xml:space="preserve"> </w:t>
      </w:r>
      <w:r w:rsidRPr="000977F7">
        <w:rPr>
          <w:rFonts w:asciiTheme="majorHAnsi" w:hAnsiTheme="majorHAnsi"/>
          <w:sz w:val="20"/>
          <w:szCs w:val="20"/>
        </w:rPr>
        <w:t>внаслідок</w:t>
      </w:r>
      <w:r w:rsidRPr="000977F7">
        <w:rPr>
          <w:rFonts w:asciiTheme="majorHAnsi" w:hAnsiTheme="majorHAnsi"/>
          <w:spacing w:val="1"/>
          <w:sz w:val="20"/>
          <w:szCs w:val="20"/>
        </w:rPr>
        <w:t xml:space="preserve"> </w:t>
      </w:r>
      <w:r w:rsidRPr="000977F7">
        <w:rPr>
          <w:rFonts w:asciiTheme="majorHAnsi" w:hAnsiTheme="majorHAnsi"/>
          <w:sz w:val="20"/>
          <w:szCs w:val="20"/>
        </w:rPr>
        <w:t>чого</w:t>
      </w:r>
      <w:r w:rsidRPr="000977F7">
        <w:rPr>
          <w:rFonts w:asciiTheme="majorHAnsi" w:hAnsiTheme="majorHAnsi"/>
          <w:spacing w:val="1"/>
          <w:sz w:val="20"/>
          <w:szCs w:val="20"/>
        </w:rPr>
        <w:t xml:space="preserve"> </w:t>
      </w:r>
      <w:r w:rsidRPr="000977F7">
        <w:rPr>
          <w:rFonts w:asciiTheme="majorHAnsi" w:hAnsiTheme="majorHAnsi"/>
          <w:sz w:val="20"/>
          <w:szCs w:val="20"/>
        </w:rPr>
        <w:t>дугові</w:t>
      </w:r>
      <w:r w:rsidRPr="000977F7">
        <w:rPr>
          <w:rFonts w:asciiTheme="majorHAnsi" w:hAnsiTheme="majorHAnsi"/>
          <w:spacing w:val="1"/>
          <w:sz w:val="20"/>
          <w:szCs w:val="20"/>
        </w:rPr>
        <w:t xml:space="preserve"> </w:t>
      </w:r>
      <w:r w:rsidRPr="000977F7">
        <w:rPr>
          <w:rFonts w:asciiTheme="majorHAnsi" w:hAnsiTheme="majorHAnsi"/>
          <w:sz w:val="20"/>
          <w:szCs w:val="20"/>
        </w:rPr>
        <w:t>розряди</w:t>
      </w:r>
      <w:r w:rsidRPr="000977F7">
        <w:rPr>
          <w:rFonts w:asciiTheme="majorHAnsi" w:hAnsiTheme="majorHAnsi"/>
          <w:spacing w:val="-47"/>
          <w:sz w:val="20"/>
          <w:szCs w:val="20"/>
        </w:rPr>
        <w:t xml:space="preserve"> </w:t>
      </w:r>
      <w:r w:rsidRPr="000977F7">
        <w:rPr>
          <w:rFonts w:asciiTheme="majorHAnsi" w:hAnsiTheme="majorHAnsi"/>
          <w:sz w:val="20"/>
          <w:szCs w:val="20"/>
        </w:rPr>
        <w:t>чергуються</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короткими</w:t>
      </w:r>
      <w:r w:rsidRPr="000977F7">
        <w:rPr>
          <w:rFonts w:asciiTheme="majorHAnsi" w:hAnsiTheme="majorHAnsi"/>
          <w:spacing w:val="-1"/>
          <w:sz w:val="20"/>
          <w:szCs w:val="20"/>
        </w:rPr>
        <w:t xml:space="preserve"> </w:t>
      </w:r>
      <w:r w:rsidRPr="000977F7">
        <w:rPr>
          <w:rFonts w:asciiTheme="majorHAnsi" w:hAnsiTheme="majorHAnsi"/>
          <w:sz w:val="20"/>
          <w:szCs w:val="20"/>
        </w:rPr>
        <w:t>замиканнями</w:t>
      </w:r>
    </w:p>
    <w:p w14:paraId="2F3A4A3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контрольованій</w:t>
      </w:r>
      <w:r w:rsidRPr="000977F7">
        <w:rPr>
          <w:rFonts w:asciiTheme="majorHAnsi" w:hAnsiTheme="majorHAnsi"/>
          <w:spacing w:val="1"/>
          <w:sz w:val="20"/>
          <w:szCs w:val="20"/>
        </w:rPr>
        <w:t xml:space="preserve"> </w:t>
      </w:r>
      <w:r w:rsidRPr="000977F7">
        <w:rPr>
          <w:rFonts w:asciiTheme="majorHAnsi" w:hAnsiTheme="majorHAnsi"/>
          <w:sz w:val="20"/>
          <w:szCs w:val="20"/>
        </w:rPr>
        <w:t>атмосфері-здійснюється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камері,</w:t>
      </w:r>
      <w:r w:rsidRPr="000977F7">
        <w:rPr>
          <w:rFonts w:asciiTheme="majorHAnsi" w:hAnsiTheme="majorHAnsi"/>
          <w:spacing w:val="-47"/>
          <w:sz w:val="20"/>
          <w:szCs w:val="20"/>
        </w:rPr>
        <w:t xml:space="preserve"> </w:t>
      </w:r>
      <w:r w:rsidRPr="000977F7">
        <w:rPr>
          <w:rFonts w:asciiTheme="majorHAnsi" w:hAnsiTheme="majorHAnsi"/>
          <w:sz w:val="20"/>
          <w:szCs w:val="20"/>
        </w:rPr>
        <w:t>заповненій</w:t>
      </w:r>
      <w:r w:rsidRPr="000977F7">
        <w:rPr>
          <w:rFonts w:asciiTheme="majorHAnsi" w:hAnsiTheme="majorHAnsi"/>
          <w:spacing w:val="-2"/>
          <w:sz w:val="20"/>
          <w:szCs w:val="20"/>
        </w:rPr>
        <w:t xml:space="preserve"> </w:t>
      </w:r>
      <w:r w:rsidRPr="000977F7">
        <w:rPr>
          <w:rFonts w:asciiTheme="majorHAnsi" w:hAnsiTheme="majorHAnsi"/>
          <w:sz w:val="20"/>
          <w:szCs w:val="20"/>
        </w:rPr>
        <w:t>газом</w:t>
      </w:r>
      <w:r w:rsidRPr="000977F7">
        <w:rPr>
          <w:rFonts w:asciiTheme="majorHAnsi" w:hAnsiTheme="majorHAnsi"/>
          <w:spacing w:val="1"/>
          <w:sz w:val="20"/>
          <w:szCs w:val="20"/>
        </w:rPr>
        <w:t xml:space="preserve"> </w:t>
      </w:r>
      <w:r w:rsidRPr="000977F7">
        <w:rPr>
          <w:rFonts w:asciiTheme="majorHAnsi" w:hAnsiTheme="majorHAnsi"/>
          <w:sz w:val="20"/>
          <w:szCs w:val="20"/>
        </w:rPr>
        <w:t>необхідного складу</w:t>
      </w:r>
    </w:p>
    <w:p w14:paraId="6A3E70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Врозкид-зварювальний</w:t>
      </w:r>
      <w:r w:rsidRPr="000977F7">
        <w:rPr>
          <w:rFonts w:asciiTheme="majorHAnsi" w:hAnsiTheme="majorHAnsi"/>
          <w:spacing w:val="15"/>
          <w:sz w:val="20"/>
          <w:szCs w:val="20"/>
        </w:rPr>
        <w:t xml:space="preserve"> </w:t>
      </w:r>
      <w:r w:rsidRPr="000977F7">
        <w:rPr>
          <w:rFonts w:asciiTheme="majorHAnsi" w:hAnsiTheme="majorHAnsi"/>
          <w:sz w:val="20"/>
          <w:szCs w:val="20"/>
        </w:rPr>
        <w:t>шов</w:t>
      </w:r>
      <w:r w:rsidRPr="000977F7">
        <w:rPr>
          <w:rFonts w:asciiTheme="majorHAnsi" w:hAnsiTheme="majorHAnsi"/>
          <w:spacing w:val="13"/>
          <w:sz w:val="20"/>
          <w:szCs w:val="20"/>
        </w:rPr>
        <w:t xml:space="preserve"> </w:t>
      </w:r>
      <w:r w:rsidRPr="000977F7">
        <w:rPr>
          <w:rFonts w:asciiTheme="majorHAnsi" w:hAnsiTheme="majorHAnsi"/>
          <w:sz w:val="20"/>
          <w:szCs w:val="20"/>
        </w:rPr>
        <w:t>виконується</w:t>
      </w:r>
      <w:r w:rsidRPr="000977F7">
        <w:rPr>
          <w:rFonts w:asciiTheme="majorHAnsi" w:hAnsiTheme="majorHAnsi"/>
          <w:spacing w:val="15"/>
          <w:sz w:val="20"/>
          <w:szCs w:val="20"/>
        </w:rPr>
        <w:t xml:space="preserve"> </w:t>
      </w:r>
      <w:r w:rsidRPr="000977F7">
        <w:rPr>
          <w:rFonts w:asciiTheme="majorHAnsi" w:hAnsiTheme="majorHAnsi"/>
          <w:sz w:val="20"/>
          <w:szCs w:val="20"/>
        </w:rPr>
        <w:t>ділянками,</w:t>
      </w:r>
      <w:r w:rsidRPr="000977F7">
        <w:rPr>
          <w:rFonts w:asciiTheme="majorHAnsi" w:hAnsiTheme="majorHAnsi"/>
          <w:spacing w:val="-47"/>
          <w:sz w:val="20"/>
          <w:szCs w:val="20"/>
        </w:rPr>
        <w:t xml:space="preserve"> </w:t>
      </w:r>
      <w:r w:rsidRPr="000977F7">
        <w:rPr>
          <w:rFonts w:asciiTheme="majorHAnsi" w:hAnsiTheme="majorHAnsi"/>
          <w:sz w:val="20"/>
          <w:szCs w:val="20"/>
        </w:rPr>
        <w:t>розташованими в різних місцях за його довжиною</w:t>
      </w:r>
      <w:r w:rsidRPr="000977F7">
        <w:rPr>
          <w:rFonts w:asciiTheme="majorHAnsi" w:hAnsiTheme="majorHAnsi"/>
          <w:spacing w:val="1"/>
          <w:sz w:val="20"/>
          <w:szCs w:val="20"/>
        </w:rPr>
        <w:t xml:space="preserve"> </w:t>
      </w:r>
      <w:r w:rsidRPr="000977F7">
        <w:rPr>
          <w:rFonts w:asciiTheme="majorHAnsi" w:hAnsiTheme="majorHAnsi"/>
          <w:sz w:val="20"/>
          <w:szCs w:val="20"/>
        </w:rPr>
        <w:t>Високочастотне-із</w:t>
      </w:r>
      <w:r w:rsidRPr="000977F7">
        <w:rPr>
          <w:rFonts w:asciiTheme="majorHAnsi" w:hAnsiTheme="majorHAnsi"/>
          <w:spacing w:val="20"/>
          <w:sz w:val="20"/>
          <w:szCs w:val="20"/>
        </w:rPr>
        <w:t xml:space="preserve"> </w:t>
      </w:r>
      <w:r w:rsidRPr="000977F7">
        <w:rPr>
          <w:rFonts w:asciiTheme="majorHAnsi" w:hAnsiTheme="majorHAnsi"/>
          <w:sz w:val="20"/>
          <w:szCs w:val="20"/>
        </w:rPr>
        <w:t>застосуванням</w:t>
      </w:r>
      <w:r w:rsidRPr="000977F7">
        <w:rPr>
          <w:rFonts w:asciiTheme="majorHAnsi" w:hAnsiTheme="majorHAnsi"/>
          <w:spacing w:val="21"/>
          <w:sz w:val="20"/>
          <w:szCs w:val="20"/>
        </w:rPr>
        <w:t xml:space="preserve"> </w:t>
      </w:r>
      <w:r w:rsidRPr="000977F7">
        <w:rPr>
          <w:rFonts w:asciiTheme="majorHAnsi" w:hAnsiTheme="majorHAnsi"/>
          <w:sz w:val="20"/>
          <w:szCs w:val="20"/>
        </w:rPr>
        <w:t>тиску,</w:t>
      </w:r>
      <w:r w:rsidRPr="000977F7">
        <w:rPr>
          <w:rFonts w:asciiTheme="majorHAnsi" w:hAnsiTheme="majorHAnsi"/>
          <w:spacing w:val="21"/>
          <w:sz w:val="20"/>
          <w:szCs w:val="20"/>
        </w:rPr>
        <w:t xml:space="preserve"> </w:t>
      </w:r>
      <w:r w:rsidRPr="000977F7">
        <w:rPr>
          <w:rFonts w:asciiTheme="majorHAnsi" w:hAnsiTheme="majorHAnsi"/>
          <w:sz w:val="20"/>
          <w:szCs w:val="20"/>
        </w:rPr>
        <w:t>при</w:t>
      </w:r>
      <w:r w:rsidRPr="000977F7">
        <w:rPr>
          <w:rFonts w:asciiTheme="majorHAnsi" w:hAnsiTheme="majorHAnsi"/>
          <w:spacing w:val="19"/>
          <w:sz w:val="20"/>
          <w:szCs w:val="20"/>
        </w:rPr>
        <w:t xml:space="preserve"> </w:t>
      </w:r>
      <w:r w:rsidRPr="000977F7">
        <w:rPr>
          <w:rFonts w:asciiTheme="majorHAnsi" w:hAnsiTheme="majorHAnsi"/>
          <w:sz w:val="20"/>
          <w:szCs w:val="20"/>
        </w:rPr>
        <w:t>якому</w:t>
      </w:r>
      <w:r w:rsidRPr="000977F7">
        <w:rPr>
          <w:rFonts w:asciiTheme="majorHAnsi" w:hAnsiTheme="majorHAnsi"/>
          <w:spacing w:val="-47"/>
          <w:sz w:val="20"/>
          <w:szCs w:val="20"/>
        </w:rPr>
        <w:t xml:space="preserve"> </w:t>
      </w:r>
      <w:r w:rsidRPr="000977F7">
        <w:rPr>
          <w:rFonts w:asciiTheme="majorHAnsi" w:hAnsiTheme="majorHAnsi"/>
          <w:sz w:val="20"/>
          <w:szCs w:val="20"/>
        </w:rPr>
        <w:t>нагрівання здійснюється струмами високої частоти</w:t>
      </w:r>
      <w:r w:rsidRPr="000977F7">
        <w:rPr>
          <w:rFonts w:asciiTheme="majorHAnsi" w:hAnsiTheme="majorHAnsi"/>
          <w:spacing w:val="1"/>
          <w:sz w:val="20"/>
          <w:szCs w:val="20"/>
        </w:rPr>
        <w:t xml:space="preserve"> </w:t>
      </w:r>
      <w:r w:rsidRPr="000977F7">
        <w:rPr>
          <w:rFonts w:asciiTheme="majorHAnsi" w:hAnsiTheme="majorHAnsi"/>
          <w:sz w:val="20"/>
          <w:szCs w:val="20"/>
        </w:rPr>
        <w:t>Газове-зварювання</w:t>
      </w:r>
      <w:r w:rsidRPr="000977F7">
        <w:rPr>
          <w:rFonts w:asciiTheme="majorHAnsi" w:hAnsiTheme="majorHAnsi"/>
          <w:spacing w:val="3"/>
          <w:sz w:val="20"/>
          <w:szCs w:val="20"/>
        </w:rPr>
        <w:t xml:space="preserve"> </w:t>
      </w:r>
      <w:r w:rsidRPr="000977F7">
        <w:rPr>
          <w:rFonts w:asciiTheme="majorHAnsi" w:hAnsiTheme="majorHAnsi"/>
          <w:sz w:val="20"/>
          <w:szCs w:val="20"/>
        </w:rPr>
        <w:t>плавленням,</w:t>
      </w:r>
      <w:r w:rsidRPr="000977F7">
        <w:rPr>
          <w:rFonts w:asciiTheme="majorHAnsi" w:hAnsiTheme="majorHAnsi"/>
          <w:spacing w:val="2"/>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якому</w:t>
      </w:r>
      <w:r w:rsidRPr="000977F7">
        <w:rPr>
          <w:rFonts w:asciiTheme="majorHAnsi" w:hAnsiTheme="majorHAnsi"/>
          <w:spacing w:val="-1"/>
          <w:sz w:val="20"/>
          <w:szCs w:val="20"/>
        </w:rPr>
        <w:t xml:space="preserve"> </w:t>
      </w:r>
      <w:r w:rsidRPr="000977F7">
        <w:rPr>
          <w:rFonts w:asciiTheme="majorHAnsi" w:hAnsiTheme="majorHAnsi"/>
          <w:sz w:val="20"/>
          <w:szCs w:val="20"/>
        </w:rPr>
        <w:t>нагрівання</w:t>
      </w:r>
      <w:r w:rsidRPr="000977F7">
        <w:rPr>
          <w:rFonts w:asciiTheme="majorHAnsi" w:hAnsiTheme="majorHAnsi"/>
          <w:spacing w:val="-47"/>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9"/>
          <w:sz w:val="20"/>
          <w:szCs w:val="20"/>
        </w:rPr>
        <w:t xml:space="preserve"> </w:t>
      </w:r>
      <w:r w:rsidRPr="000977F7">
        <w:rPr>
          <w:rFonts w:asciiTheme="majorHAnsi" w:hAnsiTheme="majorHAnsi"/>
          <w:sz w:val="20"/>
          <w:szCs w:val="20"/>
        </w:rPr>
        <w:t>за</w:t>
      </w:r>
      <w:r w:rsidRPr="000977F7">
        <w:rPr>
          <w:rFonts w:asciiTheme="majorHAnsi" w:hAnsiTheme="majorHAnsi"/>
          <w:spacing w:val="10"/>
          <w:sz w:val="20"/>
          <w:szCs w:val="20"/>
        </w:rPr>
        <w:t xml:space="preserve"> </w:t>
      </w:r>
      <w:r w:rsidRPr="000977F7">
        <w:rPr>
          <w:rFonts w:asciiTheme="majorHAnsi" w:hAnsiTheme="majorHAnsi"/>
          <w:sz w:val="20"/>
          <w:szCs w:val="20"/>
        </w:rPr>
        <w:t>рахунок</w:t>
      </w:r>
      <w:r w:rsidRPr="000977F7">
        <w:rPr>
          <w:rFonts w:asciiTheme="majorHAnsi" w:hAnsiTheme="majorHAnsi"/>
          <w:spacing w:val="9"/>
          <w:sz w:val="20"/>
          <w:szCs w:val="20"/>
        </w:rPr>
        <w:t xml:space="preserve"> </w:t>
      </w:r>
      <w:r w:rsidRPr="000977F7">
        <w:rPr>
          <w:rFonts w:asciiTheme="majorHAnsi" w:hAnsiTheme="majorHAnsi"/>
          <w:sz w:val="20"/>
          <w:szCs w:val="20"/>
        </w:rPr>
        <w:t>тепла</w:t>
      </w:r>
      <w:r w:rsidRPr="000977F7">
        <w:rPr>
          <w:rFonts w:asciiTheme="majorHAnsi" w:hAnsiTheme="majorHAnsi"/>
          <w:spacing w:val="11"/>
          <w:sz w:val="20"/>
          <w:szCs w:val="20"/>
        </w:rPr>
        <w:t xml:space="preserve"> </w:t>
      </w:r>
      <w:r w:rsidRPr="000977F7">
        <w:rPr>
          <w:rFonts w:asciiTheme="majorHAnsi" w:hAnsiTheme="majorHAnsi"/>
          <w:sz w:val="20"/>
          <w:szCs w:val="20"/>
        </w:rPr>
        <w:t>високотемпературного</w:t>
      </w:r>
      <w:r w:rsidRPr="000977F7">
        <w:rPr>
          <w:rFonts w:asciiTheme="majorHAnsi" w:hAnsiTheme="majorHAnsi"/>
          <w:spacing w:val="-47"/>
          <w:sz w:val="20"/>
          <w:szCs w:val="20"/>
        </w:rPr>
        <w:t xml:space="preserve"> </w:t>
      </w:r>
      <w:r w:rsidRPr="000977F7">
        <w:rPr>
          <w:rFonts w:asciiTheme="majorHAnsi" w:hAnsiTheme="majorHAnsi"/>
          <w:sz w:val="20"/>
          <w:szCs w:val="20"/>
        </w:rPr>
        <w:t>газового полум’я</w:t>
      </w:r>
    </w:p>
    <w:p w14:paraId="788031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Газопресове-зварювання</w:t>
      </w:r>
      <w:r w:rsidRPr="000977F7">
        <w:rPr>
          <w:rFonts w:asciiTheme="majorHAnsi" w:hAnsiTheme="majorHAnsi"/>
          <w:spacing w:val="1"/>
          <w:sz w:val="20"/>
          <w:szCs w:val="20"/>
        </w:rPr>
        <w:t xml:space="preserve"> </w:t>
      </w:r>
      <w:r w:rsidRPr="000977F7">
        <w:rPr>
          <w:rFonts w:asciiTheme="majorHAnsi" w:hAnsiTheme="majorHAnsi"/>
          <w:sz w:val="20"/>
          <w:szCs w:val="20"/>
        </w:rPr>
        <w:t>тиском,</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якому</w:t>
      </w:r>
      <w:r w:rsidRPr="000977F7">
        <w:rPr>
          <w:rFonts w:asciiTheme="majorHAnsi" w:hAnsiTheme="majorHAnsi"/>
          <w:spacing w:val="1"/>
          <w:sz w:val="20"/>
          <w:szCs w:val="20"/>
        </w:rPr>
        <w:t xml:space="preserve"> </w:t>
      </w:r>
      <w:r w:rsidRPr="000977F7">
        <w:rPr>
          <w:rFonts w:asciiTheme="majorHAnsi" w:hAnsiTheme="majorHAnsi"/>
          <w:sz w:val="20"/>
          <w:szCs w:val="20"/>
        </w:rPr>
        <w:t>нагріті</w:t>
      </w:r>
      <w:r w:rsidRPr="000977F7">
        <w:rPr>
          <w:rFonts w:asciiTheme="majorHAnsi" w:hAnsiTheme="majorHAnsi"/>
          <w:spacing w:val="1"/>
          <w:sz w:val="20"/>
          <w:szCs w:val="20"/>
        </w:rPr>
        <w:t xml:space="preserve"> </w:t>
      </w:r>
      <w:r w:rsidRPr="000977F7">
        <w:rPr>
          <w:rFonts w:asciiTheme="majorHAnsi" w:hAnsiTheme="majorHAnsi"/>
          <w:sz w:val="20"/>
          <w:szCs w:val="20"/>
        </w:rPr>
        <w:t>газовим</w:t>
      </w:r>
      <w:r w:rsidRPr="000977F7">
        <w:rPr>
          <w:rFonts w:asciiTheme="majorHAnsi" w:hAnsiTheme="majorHAnsi"/>
          <w:spacing w:val="1"/>
          <w:sz w:val="20"/>
          <w:szCs w:val="20"/>
        </w:rPr>
        <w:t xml:space="preserve"> </w:t>
      </w:r>
      <w:r w:rsidRPr="000977F7">
        <w:rPr>
          <w:rFonts w:asciiTheme="majorHAnsi" w:hAnsiTheme="majorHAnsi"/>
          <w:sz w:val="20"/>
          <w:szCs w:val="20"/>
        </w:rPr>
        <w:t>полум’ям</w:t>
      </w:r>
      <w:r w:rsidRPr="000977F7">
        <w:rPr>
          <w:rFonts w:asciiTheme="majorHAnsi" w:hAnsiTheme="majorHAnsi"/>
          <w:spacing w:val="1"/>
          <w:sz w:val="20"/>
          <w:szCs w:val="20"/>
        </w:rPr>
        <w:t xml:space="preserve"> </w:t>
      </w:r>
      <w:r w:rsidRPr="000977F7">
        <w:rPr>
          <w:rFonts w:asciiTheme="majorHAnsi" w:hAnsiTheme="majorHAnsi"/>
          <w:sz w:val="20"/>
          <w:szCs w:val="20"/>
        </w:rPr>
        <w:t>поверхні</w:t>
      </w:r>
      <w:r w:rsidRPr="000977F7">
        <w:rPr>
          <w:rFonts w:asciiTheme="majorHAnsi" w:hAnsiTheme="majorHAnsi"/>
          <w:spacing w:val="1"/>
          <w:sz w:val="20"/>
          <w:szCs w:val="20"/>
        </w:rPr>
        <w:t xml:space="preserve"> </w:t>
      </w:r>
      <w:r w:rsidRPr="000977F7">
        <w:rPr>
          <w:rFonts w:asciiTheme="majorHAnsi" w:hAnsiTheme="majorHAnsi"/>
          <w:sz w:val="20"/>
          <w:szCs w:val="20"/>
        </w:rPr>
        <w:t>з’єднуваних</w:t>
      </w:r>
      <w:r w:rsidRPr="000977F7">
        <w:rPr>
          <w:rFonts w:asciiTheme="majorHAnsi" w:hAnsiTheme="majorHAnsi"/>
          <w:spacing w:val="1"/>
          <w:sz w:val="20"/>
          <w:szCs w:val="20"/>
        </w:rPr>
        <w:t xml:space="preserve"> </w:t>
      </w:r>
      <w:r w:rsidRPr="000977F7">
        <w:rPr>
          <w:rFonts w:asciiTheme="majorHAnsi" w:hAnsiTheme="majorHAnsi"/>
          <w:sz w:val="20"/>
          <w:szCs w:val="20"/>
        </w:rPr>
        <w:t>заготовок</w:t>
      </w:r>
      <w:r w:rsidRPr="000977F7">
        <w:rPr>
          <w:rFonts w:asciiTheme="majorHAnsi" w:hAnsiTheme="majorHAnsi"/>
          <w:spacing w:val="1"/>
          <w:sz w:val="20"/>
          <w:szCs w:val="20"/>
        </w:rPr>
        <w:t xml:space="preserve"> </w:t>
      </w:r>
      <w:r w:rsidRPr="000977F7">
        <w:rPr>
          <w:rFonts w:asciiTheme="majorHAnsi" w:hAnsiTheme="majorHAnsi"/>
          <w:sz w:val="20"/>
          <w:szCs w:val="20"/>
        </w:rPr>
        <w:t>стискують</w:t>
      </w:r>
      <w:r w:rsidRPr="000977F7">
        <w:rPr>
          <w:rFonts w:asciiTheme="majorHAnsi" w:hAnsiTheme="majorHAnsi"/>
          <w:spacing w:val="-1"/>
          <w:sz w:val="20"/>
          <w:szCs w:val="20"/>
        </w:rPr>
        <w:t xml:space="preserve"> </w:t>
      </w:r>
      <w:r w:rsidRPr="000977F7">
        <w:rPr>
          <w:rFonts w:asciiTheme="majorHAnsi" w:hAnsiTheme="majorHAnsi"/>
          <w:sz w:val="20"/>
          <w:szCs w:val="20"/>
        </w:rPr>
        <w:t>з силою</w:t>
      </w:r>
    </w:p>
    <w:p w14:paraId="68F16AE9"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Двухдугове</w:t>
      </w:r>
      <w:r w:rsidRPr="000977F7">
        <w:rPr>
          <w:rFonts w:asciiTheme="majorHAnsi" w:hAnsiTheme="majorHAnsi"/>
          <w:spacing w:val="12"/>
          <w:sz w:val="20"/>
          <w:szCs w:val="20"/>
        </w:rPr>
        <w:t xml:space="preserve"> </w:t>
      </w:r>
      <w:r w:rsidRPr="000977F7">
        <w:rPr>
          <w:rFonts w:asciiTheme="majorHAnsi" w:hAnsiTheme="majorHAnsi"/>
          <w:sz w:val="20"/>
          <w:szCs w:val="20"/>
        </w:rPr>
        <w:t>дугове</w:t>
      </w:r>
      <w:r w:rsidRPr="000977F7">
        <w:rPr>
          <w:rFonts w:asciiTheme="majorHAnsi" w:hAnsiTheme="majorHAnsi"/>
          <w:spacing w:val="11"/>
          <w:sz w:val="20"/>
          <w:szCs w:val="20"/>
        </w:rPr>
        <w:t xml:space="preserve"> </w:t>
      </w:r>
      <w:r w:rsidRPr="000977F7">
        <w:rPr>
          <w:rFonts w:asciiTheme="majorHAnsi" w:hAnsiTheme="majorHAnsi"/>
          <w:sz w:val="20"/>
          <w:szCs w:val="20"/>
        </w:rPr>
        <w:t>зварювання,</w:t>
      </w:r>
      <w:r w:rsidRPr="000977F7">
        <w:rPr>
          <w:rFonts w:asciiTheme="majorHAnsi" w:hAnsiTheme="majorHAnsi"/>
          <w:spacing w:val="9"/>
          <w:sz w:val="20"/>
          <w:szCs w:val="20"/>
        </w:rPr>
        <w:t xml:space="preserve"> </w:t>
      </w:r>
      <w:r w:rsidRPr="000977F7">
        <w:rPr>
          <w:rFonts w:asciiTheme="majorHAnsi" w:hAnsiTheme="majorHAnsi"/>
          <w:sz w:val="20"/>
          <w:szCs w:val="20"/>
        </w:rPr>
        <w:t>при</w:t>
      </w:r>
      <w:r w:rsidRPr="000977F7">
        <w:rPr>
          <w:rFonts w:asciiTheme="majorHAnsi" w:hAnsiTheme="majorHAnsi"/>
          <w:spacing w:val="10"/>
          <w:sz w:val="20"/>
          <w:szCs w:val="20"/>
        </w:rPr>
        <w:t xml:space="preserve"> </w:t>
      </w:r>
      <w:r w:rsidRPr="000977F7">
        <w:rPr>
          <w:rFonts w:asciiTheme="majorHAnsi" w:hAnsiTheme="majorHAnsi"/>
          <w:sz w:val="20"/>
          <w:szCs w:val="20"/>
        </w:rPr>
        <w:t>якому</w:t>
      </w:r>
      <w:r w:rsidRPr="000977F7">
        <w:rPr>
          <w:rFonts w:asciiTheme="majorHAnsi" w:hAnsiTheme="majorHAnsi"/>
          <w:spacing w:val="6"/>
          <w:sz w:val="20"/>
          <w:szCs w:val="20"/>
        </w:rPr>
        <w:t xml:space="preserve"> </w:t>
      </w:r>
      <w:r w:rsidRPr="000977F7">
        <w:rPr>
          <w:rFonts w:asciiTheme="majorHAnsi" w:hAnsiTheme="majorHAnsi"/>
          <w:sz w:val="20"/>
          <w:szCs w:val="20"/>
        </w:rPr>
        <w:t>нагрівання</w:t>
      </w:r>
      <w:r w:rsidRPr="000977F7">
        <w:rPr>
          <w:rFonts w:asciiTheme="majorHAnsi" w:hAnsiTheme="majorHAnsi"/>
          <w:spacing w:val="1"/>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1"/>
          <w:sz w:val="20"/>
          <w:szCs w:val="20"/>
        </w:rPr>
        <w:t xml:space="preserve"> </w:t>
      </w:r>
      <w:r w:rsidRPr="000977F7">
        <w:rPr>
          <w:rFonts w:asciiTheme="majorHAnsi" w:hAnsiTheme="majorHAnsi"/>
          <w:sz w:val="20"/>
          <w:szCs w:val="20"/>
        </w:rPr>
        <w:t>одночасно</w:t>
      </w:r>
      <w:r w:rsidRPr="000977F7">
        <w:rPr>
          <w:rFonts w:asciiTheme="majorHAnsi" w:hAnsiTheme="majorHAnsi"/>
          <w:spacing w:val="1"/>
          <w:sz w:val="20"/>
          <w:szCs w:val="20"/>
        </w:rPr>
        <w:t xml:space="preserve"> </w:t>
      </w:r>
      <w:r w:rsidRPr="000977F7">
        <w:rPr>
          <w:rFonts w:asciiTheme="majorHAnsi" w:hAnsiTheme="majorHAnsi"/>
          <w:sz w:val="20"/>
          <w:szCs w:val="20"/>
        </w:rPr>
        <w:t>двома</w:t>
      </w:r>
      <w:r w:rsidRPr="000977F7">
        <w:rPr>
          <w:rFonts w:asciiTheme="majorHAnsi" w:hAnsiTheme="majorHAnsi"/>
          <w:spacing w:val="1"/>
          <w:sz w:val="20"/>
          <w:szCs w:val="20"/>
        </w:rPr>
        <w:t xml:space="preserve"> </w:t>
      </w:r>
      <w:r w:rsidRPr="000977F7">
        <w:rPr>
          <w:rFonts w:asciiTheme="majorHAnsi" w:hAnsiTheme="majorHAnsi"/>
          <w:sz w:val="20"/>
          <w:szCs w:val="20"/>
        </w:rPr>
        <w:t>дугами з</w:t>
      </w:r>
      <w:r w:rsidRPr="000977F7">
        <w:rPr>
          <w:rFonts w:asciiTheme="majorHAnsi" w:hAnsiTheme="majorHAnsi"/>
          <w:spacing w:val="1"/>
          <w:sz w:val="20"/>
          <w:szCs w:val="20"/>
        </w:rPr>
        <w:t xml:space="preserve"> </w:t>
      </w:r>
      <w:r w:rsidRPr="000977F7">
        <w:rPr>
          <w:rFonts w:asciiTheme="majorHAnsi" w:hAnsiTheme="majorHAnsi"/>
          <w:sz w:val="20"/>
          <w:szCs w:val="20"/>
        </w:rPr>
        <w:t>розділь</w:t>
      </w:r>
      <w:r w:rsidRPr="000977F7">
        <w:rPr>
          <w:rFonts w:asciiTheme="majorHAnsi" w:hAnsiTheme="majorHAnsi"/>
          <w:spacing w:val="-47"/>
          <w:sz w:val="20"/>
          <w:szCs w:val="20"/>
        </w:rPr>
        <w:t xml:space="preserve"> </w:t>
      </w:r>
      <w:r w:rsidRPr="000977F7">
        <w:rPr>
          <w:rFonts w:asciiTheme="majorHAnsi" w:hAnsiTheme="majorHAnsi"/>
          <w:sz w:val="20"/>
          <w:szCs w:val="20"/>
        </w:rPr>
        <w:t>ним живленням їх електричним струмом</w:t>
      </w:r>
      <w:r w:rsidRPr="000977F7">
        <w:rPr>
          <w:rFonts w:asciiTheme="majorHAnsi" w:hAnsiTheme="majorHAnsi"/>
          <w:spacing w:val="1"/>
          <w:sz w:val="20"/>
          <w:szCs w:val="20"/>
        </w:rPr>
        <w:t xml:space="preserve"> </w:t>
      </w:r>
    </w:p>
    <w:p w14:paraId="109F4F2E"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Двухелектродне</w:t>
      </w:r>
      <w:r w:rsidRPr="000977F7">
        <w:rPr>
          <w:rFonts w:asciiTheme="majorHAnsi" w:hAnsiTheme="majorHAnsi"/>
          <w:spacing w:val="1"/>
          <w:sz w:val="20"/>
          <w:szCs w:val="20"/>
        </w:rPr>
        <w:t xml:space="preserve"> </w:t>
      </w:r>
      <w:r w:rsidRPr="000977F7">
        <w:rPr>
          <w:rFonts w:asciiTheme="majorHAnsi" w:hAnsiTheme="majorHAnsi"/>
          <w:sz w:val="20"/>
          <w:szCs w:val="20"/>
        </w:rPr>
        <w:t>дугове</w:t>
      </w:r>
      <w:r w:rsidRPr="000977F7">
        <w:rPr>
          <w:rFonts w:asciiTheme="majorHAnsi" w:hAnsiTheme="majorHAnsi"/>
          <w:spacing w:val="1"/>
          <w:sz w:val="20"/>
          <w:szCs w:val="20"/>
        </w:rPr>
        <w:t xml:space="preserve"> </w:t>
      </w:r>
      <w:r w:rsidRPr="000977F7">
        <w:rPr>
          <w:rFonts w:asciiTheme="majorHAnsi" w:hAnsiTheme="majorHAnsi"/>
          <w:sz w:val="20"/>
          <w:szCs w:val="20"/>
        </w:rPr>
        <w:t>зварювання,</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якому нагрівання</w:t>
      </w:r>
      <w:r w:rsidRPr="000977F7">
        <w:rPr>
          <w:rFonts w:asciiTheme="majorHAnsi" w:hAnsiTheme="majorHAnsi"/>
          <w:spacing w:val="25"/>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28"/>
          <w:sz w:val="20"/>
          <w:szCs w:val="20"/>
        </w:rPr>
        <w:t xml:space="preserve"> </w:t>
      </w:r>
      <w:r w:rsidRPr="000977F7">
        <w:rPr>
          <w:rFonts w:asciiTheme="majorHAnsi" w:hAnsiTheme="majorHAnsi"/>
          <w:sz w:val="20"/>
          <w:szCs w:val="20"/>
        </w:rPr>
        <w:t>одночасно</w:t>
      </w:r>
      <w:r w:rsidRPr="000977F7">
        <w:rPr>
          <w:rFonts w:asciiTheme="majorHAnsi" w:hAnsiTheme="majorHAnsi"/>
          <w:spacing w:val="27"/>
          <w:sz w:val="20"/>
          <w:szCs w:val="20"/>
        </w:rPr>
        <w:t xml:space="preserve"> </w:t>
      </w:r>
      <w:r w:rsidRPr="000977F7">
        <w:rPr>
          <w:rFonts w:asciiTheme="majorHAnsi" w:hAnsiTheme="majorHAnsi"/>
          <w:sz w:val="20"/>
          <w:szCs w:val="20"/>
        </w:rPr>
        <w:t>двома</w:t>
      </w:r>
      <w:r w:rsidRPr="000977F7">
        <w:rPr>
          <w:rFonts w:asciiTheme="majorHAnsi" w:hAnsiTheme="majorHAnsi"/>
          <w:spacing w:val="26"/>
          <w:sz w:val="20"/>
          <w:szCs w:val="20"/>
        </w:rPr>
        <w:t xml:space="preserve"> </w:t>
      </w:r>
      <w:r w:rsidRPr="000977F7">
        <w:rPr>
          <w:rFonts w:asciiTheme="majorHAnsi" w:hAnsiTheme="majorHAnsi"/>
          <w:sz w:val="20"/>
          <w:szCs w:val="20"/>
        </w:rPr>
        <w:t>електродами</w:t>
      </w:r>
      <w:r w:rsidRPr="000977F7">
        <w:rPr>
          <w:rFonts w:asciiTheme="majorHAnsi" w:hAnsiTheme="majorHAnsi"/>
          <w:spacing w:val="-47"/>
          <w:sz w:val="20"/>
          <w:szCs w:val="20"/>
        </w:rPr>
        <w:t xml:space="preserve"> </w:t>
      </w:r>
      <w:r w:rsidRPr="000977F7">
        <w:rPr>
          <w:rFonts w:asciiTheme="majorHAnsi" w:hAnsiTheme="majorHAnsi"/>
          <w:sz w:val="20"/>
          <w:szCs w:val="20"/>
        </w:rPr>
        <w:t>із загальним підводом зварювального струму</w:t>
      </w:r>
      <w:r w:rsidRPr="000977F7">
        <w:rPr>
          <w:rFonts w:asciiTheme="majorHAnsi" w:hAnsiTheme="majorHAnsi"/>
          <w:spacing w:val="1"/>
          <w:sz w:val="20"/>
          <w:szCs w:val="20"/>
        </w:rPr>
        <w:t xml:space="preserve"> </w:t>
      </w:r>
    </w:p>
    <w:p w14:paraId="4AAD45B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Дифузійне-зварювання</w:t>
      </w:r>
      <w:r w:rsidRPr="000977F7">
        <w:rPr>
          <w:rFonts w:asciiTheme="majorHAnsi" w:hAnsiTheme="majorHAnsi"/>
          <w:spacing w:val="11"/>
          <w:sz w:val="20"/>
          <w:szCs w:val="20"/>
        </w:rPr>
        <w:t xml:space="preserve"> </w:t>
      </w:r>
      <w:r w:rsidRPr="000977F7">
        <w:rPr>
          <w:rFonts w:asciiTheme="majorHAnsi" w:hAnsiTheme="majorHAnsi"/>
          <w:sz w:val="20"/>
          <w:szCs w:val="20"/>
        </w:rPr>
        <w:t>тиском,</w:t>
      </w:r>
      <w:r w:rsidRPr="000977F7">
        <w:rPr>
          <w:rFonts w:asciiTheme="majorHAnsi" w:hAnsiTheme="majorHAnsi"/>
          <w:spacing w:val="12"/>
          <w:sz w:val="20"/>
          <w:szCs w:val="20"/>
        </w:rPr>
        <w:t xml:space="preserve"> </w:t>
      </w:r>
      <w:r w:rsidRPr="000977F7">
        <w:rPr>
          <w:rFonts w:asciiTheme="majorHAnsi" w:hAnsiTheme="majorHAnsi"/>
          <w:sz w:val="20"/>
          <w:szCs w:val="20"/>
        </w:rPr>
        <w:t>яке</w:t>
      </w:r>
      <w:r w:rsidRPr="000977F7">
        <w:rPr>
          <w:rFonts w:asciiTheme="majorHAnsi" w:hAnsiTheme="majorHAnsi"/>
          <w:spacing w:val="12"/>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11"/>
          <w:sz w:val="20"/>
          <w:szCs w:val="20"/>
        </w:rPr>
        <w:t xml:space="preserve"> </w:t>
      </w:r>
      <w:r w:rsidRPr="000977F7">
        <w:rPr>
          <w:rFonts w:asciiTheme="majorHAnsi" w:hAnsiTheme="majorHAnsi"/>
          <w:sz w:val="20"/>
          <w:szCs w:val="20"/>
        </w:rPr>
        <w:t>за</w:t>
      </w:r>
      <w:r w:rsidRPr="000977F7">
        <w:rPr>
          <w:rFonts w:asciiTheme="majorHAnsi" w:hAnsiTheme="majorHAnsi"/>
          <w:spacing w:val="-47"/>
          <w:sz w:val="20"/>
          <w:szCs w:val="20"/>
        </w:rPr>
        <w:t xml:space="preserve"> </w:t>
      </w:r>
      <w:r w:rsidRPr="000977F7">
        <w:rPr>
          <w:rFonts w:asciiTheme="majorHAnsi" w:hAnsiTheme="majorHAnsi"/>
          <w:sz w:val="20"/>
          <w:szCs w:val="20"/>
        </w:rPr>
        <w:t>рахунок</w:t>
      </w:r>
      <w:r w:rsidRPr="000977F7">
        <w:rPr>
          <w:rFonts w:asciiTheme="majorHAnsi" w:hAnsiTheme="majorHAnsi"/>
          <w:spacing w:val="32"/>
          <w:sz w:val="20"/>
          <w:szCs w:val="20"/>
        </w:rPr>
        <w:t xml:space="preserve"> </w:t>
      </w:r>
      <w:r w:rsidRPr="000977F7">
        <w:rPr>
          <w:rFonts w:asciiTheme="majorHAnsi" w:hAnsiTheme="majorHAnsi"/>
          <w:sz w:val="20"/>
          <w:szCs w:val="20"/>
        </w:rPr>
        <w:t>взаємної</w:t>
      </w:r>
      <w:r w:rsidRPr="000977F7">
        <w:rPr>
          <w:rFonts w:asciiTheme="majorHAnsi" w:hAnsiTheme="majorHAnsi"/>
          <w:spacing w:val="35"/>
          <w:sz w:val="20"/>
          <w:szCs w:val="20"/>
        </w:rPr>
        <w:t xml:space="preserve"> </w:t>
      </w:r>
      <w:r w:rsidRPr="000977F7">
        <w:rPr>
          <w:rFonts w:asciiTheme="majorHAnsi" w:hAnsiTheme="majorHAnsi"/>
          <w:sz w:val="20"/>
          <w:szCs w:val="20"/>
        </w:rPr>
        <w:t>дифузії</w:t>
      </w:r>
      <w:r w:rsidRPr="000977F7">
        <w:rPr>
          <w:rFonts w:asciiTheme="majorHAnsi" w:hAnsiTheme="majorHAnsi"/>
          <w:spacing w:val="35"/>
          <w:sz w:val="20"/>
          <w:szCs w:val="20"/>
        </w:rPr>
        <w:t xml:space="preserve"> </w:t>
      </w:r>
      <w:r w:rsidRPr="000977F7">
        <w:rPr>
          <w:rFonts w:asciiTheme="majorHAnsi" w:hAnsiTheme="majorHAnsi"/>
          <w:sz w:val="20"/>
          <w:szCs w:val="20"/>
        </w:rPr>
        <w:t>атомів</w:t>
      </w:r>
      <w:r w:rsidRPr="000977F7">
        <w:rPr>
          <w:rFonts w:asciiTheme="majorHAnsi" w:hAnsiTheme="majorHAnsi"/>
          <w:spacing w:val="32"/>
          <w:sz w:val="20"/>
          <w:szCs w:val="20"/>
        </w:rPr>
        <w:t xml:space="preserve"> </w:t>
      </w:r>
      <w:r w:rsidRPr="000977F7">
        <w:rPr>
          <w:rFonts w:asciiTheme="majorHAnsi" w:hAnsiTheme="majorHAnsi"/>
          <w:sz w:val="20"/>
          <w:szCs w:val="20"/>
        </w:rPr>
        <w:t>в</w:t>
      </w:r>
      <w:r w:rsidRPr="000977F7">
        <w:rPr>
          <w:rFonts w:asciiTheme="majorHAnsi" w:hAnsiTheme="majorHAnsi"/>
          <w:spacing w:val="36"/>
          <w:sz w:val="20"/>
          <w:szCs w:val="20"/>
        </w:rPr>
        <w:t xml:space="preserve"> </w:t>
      </w:r>
      <w:r w:rsidRPr="000977F7">
        <w:rPr>
          <w:rFonts w:asciiTheme="majorHAnsi" w:hAnsiTheme="majorHAnsi"/>
          <w:sz w:val="20"/>
          <w:szCs w:val="20"/>
        </w:rPr>
        <w:t>тонких</w:t>
      </w:r>
      <w:r w:rsidRPr="000977F7">
        <w:rPr>
          <w:rFonts w:asciiTheme="majorHAnsi" w:hAnsiTheme="majorHAnsi"/>
          <w:spacing w:val="34"/>
          <w:sz w:val="20"/>
          <w:szCs w:val="20"/>
        </w:rPr>
        <w:t xml:space="preserve"> </w:t>
      </w:r>
      <w:r w:rsidRPr="000977F7">
        <w:rPr>
          <w:rFonts w:asciiTheme="majorHAnsi" w:hAnsiTheme="majorHAnsi"/>
          <w:sz w:val="20"/>
          <w:szCs w:val="20"/>
        </w:rPr>
        <w:t>поверхневих</w:t>
      </w:r>
      <w:r w:rsidRPr="000977F7">
        <w:rPr>
          <w:rFonts w:asciiTheme="majorHAnsi" w:hAnsiTheme="majorHAnsi"/>
          <w:spacing w:val="-2"/>
          <w:sz w:val="20"/>
          <w:szCs w:val="20"/>
        </w:rPr>
        <w:t xml:space="preserve"> </w:t>
      </w:r>
      <w:r w:rsidRPr="000977F7">
        <w:rPr>
          <w:rFonts w:asciiTheme="majorHAnsi" w:hAnsiTheme="majorHAnsi"/>
          <w:sz w:val="20"/>
          <w:szCs w:val="20"/>
        </w:rPr>
        <w:t>шарах</w:t>
      </w:r>
      <w:r w:rsidRPr="000977F7">
        <w:rPr>
          <w:rFonts w:asciiTheme="majorHAnsi" w:hAnsiTheme="majorHAnsi"/>
          <w:spacing w:val="-1"/>
          <w:sz w:val="20"/>
          <w:szCs w:val="20"/>
        </w:rPr>
        <w:t xml:space="preserve"> </w:t>
      </w:r>
      <w:r w:rsidRPr="000977F7">
        <w:rPr>
          <w:rFonts w:asciiTheme="majorHAnsi" w:hAnsiTheme="majorHAnsi"/>
          <w:sz w:val="20"/>
          <w:szCs w:val="20"/>
        </w:rPr>
        <w:t>контактуючих</w:t>
      </w:r>
      <w:r w:rsidRPr="000977F7">
        <w:rPr>
          <w:rFonts w:asciiTheme="majorHAnsi" w:hAnsiTheme="majorHAnsi"/>
          <w:spacing w:val="-1"/>
          <w:sz w:val="20"/>
          <w:szCs w:val="20"/>
        </w:rPr>
        <w:t xml:space="preserve"> </w:t>
      </w:r>
      <w:r w:rsidRPr="000977F7">
        <w:rPr>
          <w:rFonts w:asciiTheme="majorHAnsi" w:hAnsiTheme="majorHAnsi"/>
          <w:sz w:val="20"/>
          <w:szCs w:val="20"/>
        </w:rPr>
        <w:t>частин</w:t>
      </w:r>
    </w:p>
    <w:p w14:paraId="74586B8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Дугове-зварювання</w:t>
      </w:r>
      <w:r w:rsidRPr="000977F7">
        <w:rPr>
          <w:rFonts w:asciiTheme="majorHAnsi" w:hAnsiTheme="majorHAnsi"/>
          <w:spacing w:val="27"/>
          <w:sz w:val="20"/>
          <w:szCs w:val="20"/>
        </w:rPr>
        <w:t xml:space="preserve"> </w:t>
      </w:r>
      <w:r w:rsidRPr="000977F7">
        <w:rPr>
          <w:rFonts w:asciiTheme="majorHAnsi" w:hAnsiTheme="majorHAnsi"/>
          <w:sz w:val="20"/>
          <w:szCs w:val="20"/>
        </w:rPr>
        <w:t>плавленням,</w:t>
      </w:r>
      <w:r w:rsidRPr="000977F7">
        <w:rPr>
          <w:rFonts w:asciiTheme="majorHAnsi" w:hAnsiTheme="majorHAnsi"/>
          <w:spacing w:val="29"/>
          <w:sz w:val="20"/>
          <w:szCs w:val="20"/>
        </w:rPr>
        <w:t xml:space="preserve"> </w:t>
      </w:r>
      <w:r w:rsidRPr="000977F7">
        <w:rPr>
          <w:rFonts w:asciiTheme="majorHAnsi" w:hAnsiTheme="majorHAnsi"/>
          <w:sz w:val="20"/>
          <w:szCs w:val="20"/>
        </w:rPr>
        <w:t>при</w:t>
      </w:r>
      <w:r w:rsidRPr="000977F7">
        <w:rPr>
          <w:rFonts w:asciiTheme="majorHAnsi" w:hAnsiTheme="majorHAnsi"/>
          <w:spacing w:val="27"/>
          <w:sz w:val="20"/>
          <w:szCs w:val="20"/>
        </w:rPr>
        <w:t xml:space="preserve"> </w:t>
      </w:r>
      <w:r w:rsidRPr="000977F7">
        <w:rPr>
          <w:rFonts w:asciiTheme="majorHAnsi" w:hAnsiTheme="majorHAnsi"/>
          <w:sz w:val="20"/>
          <w:szCs w:val="20"/>
        </w:rPr>
        <w:t>якому</w:t>
      </w:r>
      <w:r w:rsidRPr="000977F7">
        <w:rPr>
          <w:rFonts w:asciiTheme="majorHAnsi" w:hAnsiTheme="majorHAnsi"/>
          <w:spacing w:val="28"/>
          <w:sz w:val="20"/>
          <w:szCs w:val="20"/>
        </w:rPr>
        <w:t xml:space="preserve"> </w:t>
      </w:r>
      <w:r w:rsidRPr="000977F7">
        <w:rPr>
          <w:rFonts w:asciiTheme="majorHAnsi" w:hAnsiTheme="majorHAnsi"/>
          <w:sz w:val="20"/>
          <w:szCs w:val="20"/>
        </w:rPr>
        <w:t>нагріван</w:t>
      </w:r>
      <w:r w:rsidRPr="000977F7">
        <w:rPr>
          <w:rFonts w:asciiTheme="majorHAnsi" w:hAnsiTheme="majorHAnsi"/>
          <w:spacing w:val="-47"/>
          <w:sz w:val="20"/>
          <w:szCs w:val="20"/>
        </w:rPr>
        <w:t xml:space="preserve"> </w:t>
      </w:r>
      <w:r w:rsidRPr="000977F7">
        <w:rPr>
          <w:rFonts w:asciiTheme="majorHAnsi" w:hAnsiTheme="majorHAnsi"/>
          <w:sz w:val="20"/>
          <w:szCs w:val="20"/>
        </w:rPr>
        <w:t>ня</w:t>
      </w:r>
      <w:r w:rsidRPr="000977F7">
        <w:rPr>
          <w:rFonts w:asciiTheme="majorHAnsi" w:hAnsiTheme="majorHAnsi"/>
          <w:spacing w:val="-2"/>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2"/>
          <w:sz w:val="20"/>
          <w:szCs w:val="20"/>
        </w:rPr>
        <w:t xml:space="preserve"> </w:t>
      </w:r>
      <w:r w:rsidRPr="000977F7">
        <w:rPr>
          <w:rFonts w:asciiTheme="majorHAnsi" w:hAnsiTheme="majorHAnsi"/>
          <w:sz w:val="20"/>
          <w:szCs w:val="20"/>
        </w:rPr>
        <w:t>електричною дугою</w:t>
      </w:r>
    </w:p>
    <w:p w14:paraId="7F22D3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Дугове в захисному газі-дугове зварювання, при якому дуга та розплавлений метал, а в деяких випадках і</w:t>
      </w:r>
      <w:r w:rsidRPr="000977F7">
        <w:rPr>
          <w:rFonts w:asciiTheme="majorHAnsi" w:hAnsiTheme="majorHAnsi"/>
          <w:spacing w:val="1"/>
          <w:sz w:val="20"/>
          <w:szCs w:val="20"/>
        </w:rPr>
        <w:t xml:space="preserve"> </w:t>
      </w:r>
      <w:r w:rsidRPr="000977F7">
        <w:rPr>
          <w:rFonts w:asciiTheme="majorHAnsi" w:hAnsiTheme="majorHAnsi"/>
          <w:sz w:val="20"/>
          <w:szCs w:val="20"/>
        </w:rPr>
        <w:t>охолоджуючийся шов, знаходяться в захисному газі,</w:t>
      </w:r>
      <w:r w:rsidRPr="000977F7">
        <w:rPr>
          <w:rFonts w:asciiTheme="majorHAnsi" w:hAnsiTheme="majorHAnsi"/>
          <w:spacing w:val="1"/>
          <w:sz w:val="20"/>
          <w:szCs w:val="20"/>
        </w:rPr>
        <w:t xml:space="preserve"> </w:t>
      </w:r>
      <w:r w:rsidRPr="000977F7">
        <w:rPr>
          <w:rFonts w:asciiTheme="majorHAnsi" w:hAnsiTheme="majorHAnsi"/>
          <w:sz w:val="20"/>
          <w:szCs w:val="20"/>
        </w:rPr>
        <w:t>який подається в зону зварювання за допомогою спеціальних пристроїв</w:t>
      </w:r>
    </w:p>
    <w:p w14:paraId="761A54B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Дугове</w:t>
      </w:r>
      <w:r w:rsidRPr="000977F7">
        <w:rPr>
          <w:rFonts w:asciiTheme="majorHAnsi" w:hAnsiTheme="majorHAnsi"/>
          <w:spacing w:val="1"/>
          <w:sz w:val="20"/>
          <w:szCs w:val="20"/>
        </w:rPr>
        <w:t xml:space="preserve"> </w:t>
      </w:r>
      <w:r w:rsidRPr="000977F7">
        <w:rPr>
          <w:rFonts w:asciiTheme="majorHAnsi" w:hAnsiTheme="majorHAnsi"/>
          <w:sz w:val="20"/>
          <w:szCs w:val="20"/>
        </w:rPr>
        <w:t>у вуглекислому газі-дугове зварювання, при</w:t>
      </w:r>
      <w:r w:rsidRPr="000977F7">
        <w:rPr>
          <w:rFonts w:asciiTheme="majorHAnsi" w:hAnsiTheme="majorHAnsi"/>
          <w:spacing w:val="1"/>
          <w:sz w:val="20"/>
          <w:szCs w:val="20"/>
        </w:rPr>
        <w:t xml:space="preserve"> </w:t>
      </w:r>
      <w:r w:rsidRPr="000977F7">
        <w:rPr>
          <w:rFonts w:asciiTheme="majorHAnsi" w:hAnsiTheme="majorHAnsi"/>
          <w:sz w:val="20"/>
          <w:szCs w:val="20"/>
        </w:rPr>
        <w:t>якому як захисний газ використовується вуглекислий</w:t>
      </w:r>
      <w:r w:rsidRPr="000977F7">
        <w:rPr>
          <w:rFonts w:asciiTheme="majorHAnsi" w:hAnsiTheme="majorHAnsi"/>
          <w:spacing w:val="1"/>
          <w:sz w:val="20"/>
          <w:szCs w:val="20"/>
        </w:rPr>
        <w:t xml:space="preserve"> </w:t>
      </w:r>
      <w:r w:rsidRPr="000977F7">
        <w:rPr>
          <w:rFonts w:asciiTheme="majorHAnsi" w:hAnsiTheme="majorHAnsi"/>
          <w:sz w:val="20"/>
          <w:szCs w:val="20"/>
        </w:rPr>
        <w:t>газ</w:t>
      </w:r>
    </w:p>
    <w:p w14:paraId="6B31970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Дугове неплавким електродом дугове зварювання,</w:t>
      </w:r>
      <w:r w:rsidRPr="000977F7">
        <w:rPr>
          <w:rFonts w:asciiTheme="majorHAnsi" w:hAnsiTheme="majorHAnsi"/>
          <w:spacing w:val="1"/>
          <w:sz w:val="20"/>
          <w:szCs w:val="20"/>
        </w:rPr>
        <w:t xml:space="preserve"> </w:t>
      </w:r>
      <w:r w:rsidRPr="000977F7">
        <w:rPr>
          <w:rFonts w:asciiTheme="majorHAnsi" w:hAnsiTheme="majorHAnsi"/>
          <w:sz w:val="20"/>
          <w:szCs w:val="20"/>
        </w:rPr>
        <w:t>яке виконується неплавким при зварюванні електродом</w:t>
      </w:r>
    </w:p>
    <w:p w14:paraId="687B9C3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Дугове плавким електродом дугове зварювання електродом,</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плавиться</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зварюванні</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виконує</w:t>
      </w:r>
      <w:r w:rsidRPr="000977F7">
        <w:rPr>
          <w:rFonts w:asciiTheme="majorHAnsi" w:hAnsiTheme="majorHAnsi"/>
          <w:spacing w:val="-47"/>
          <w:sz w:val="20"/>
          <w:szCs w:val="20"/>
        </w:rPr>
        <w:t xml:space="preserve"> </w:t>
      </w:r>
      <w:r w:rsidRPr="000977F7">
        <w:rPr>
          <w:rFonts w:asciiTheme="majorHAnsi" w:hAnsiTheme="majorHAnsi"/>
          <w:sz w:val="20"/>
          <w:szCs w:val="20"/>
        </w:rPr>
        <w:t>роль</w:t>
      </w:r>
      <w:r w:rsidRPr="000977F7">
        <w:rPr>
          <w:rFonts w:asciiTheme="majorHAnsi" w:hAnsiTheme="majorHAnsi"/>
          <w:spacing w:val="-1"/>
          <w:sz w:val="20"/>
          <w:szCs w:val="20"/>
        </w:rPr>
        <w:t xml:space="preserve"> </w:t>
      </w:r>
      <w:r w:rsidRPr="000977F7">
        <w:rPr>
          <w:rFonts w:asciiTheme="majorHAnsi" w:hAnsiTheme="majorHAnsi"/>
          <w:sz w:val="20"/>
          <w:szCs w:val="20"/>
        </w:rPr>
        <w:t>присадочного</w:t>
      </w:r>
      <w:r w:rsidRPr="000977F7">
        <w:rPr>
          <w:rFonts w:asciiTheme="majorHAnsi" w:hAnsiTheme="majorHAnsi"/>
          <w:spacing w:val="1"/>
          <w:sz w:val="20"/>
          <w:szCs w:val="20"/>
        </w:rPr>
        <w:t xml:space="preserve"> </w:t>
      </w:r>
      <w:r w:rsidRPr="000977F7">
        <w:rPr>
          <w:rFonts w:asciiTheme="majorHAnsi" w:hAnsiTheme="majorHAnsi"/>
          <w:sz w:val="20"/>
          <w:szCs w:val="20"/>
        </w:rPr>
        <w:t>матеріалу</w:t>
      </w:r>
    </w:p>
    <w:p w14:paraId="6924DE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Дугове</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флюсом-дугове</w:t>
      </w:r>
      <w:r w:rsidRPr="000977F7">
        <w:rPr>
          <w:rFonts w:asciiTheme="majorHAnsi" w:hAnsiTheme="majorHAnsi"/>
          <w:spacing w:val="1"/>
          <w:sz w:val="20"/>
          <w:szCs w:val="20"/>
        </w:rPr>
        <w:t xml:space="preserve"> </w:t>
      </w:r>
      <w:r w:rsidRPr="000977F7">
        <w:rPr>
          <w:rFonts w:asciiTheme="majorHAnsi" w:hAnsiTheme="majorHAnsi"/>
          <w:sz w:val="20"/>
          <w:szCs w:val="20"/>
        </w:rPr>
        <w:t>зварювання,</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якому</w:t>
      </w:r>
      <w:r w:rsidRPr="000977F7">
        <w:rPr>
          <w:rFonts w:asciiTheme="majorHAnsi" w:hAnsiTheme="majorHAnsi"/>
          <w:spacing w:val="1"/>
          <w:sz w:val="20"/>
          <w:szCs w:val="20"/>
        </w:rPr>
        <w:t xml:space="preserve"> </w:t>
      </w:r>
      <w:r w:rsidRPr="000977F7">
        <w:rPr>
          <w:rFonts w:asciiTheme="majorHAnsi" w:hAnsiTheme="majorHAnsi"/>
          <w:sz w:val="20"/>
          <w:szCs w:val="20"/>
        </w:rPr>
        <w:t>дуга</w:t>
      </w:r>
      <w:r w:rsidRPr="000977F7">
        <w:rPr>
          <w:rFonts w:asciiTheme="majorHAnsi" w:hAnsiTheme="majorHAnsi"/>
          <w:spacing w:val="-2"/>
          <w:sz w:val="20"/>
          <w:szCs w:val="20"/>
        </w:rPr>
        <w:t xml:space="preserve"> </w:t>
      </w:r>
      <w:r w:rsidRPr="000977F7">
        <w:rPr>
          <w:rFonts w:asciiTheme="majorHAnsi" w:hAnsiTheme="majorHAnsi"/>
          <w:sz w:val="20"/>
          <w:szCs w:val="20"/>
        </w:rPr>
        <w:t>горить</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2"/>
          <w:sz w:val="20"/>
          <w:szCs w:val="20"/>
        </w:rPr>
        <w:t xml:space="preserve"> </w:t>
      </w:r>
      <w:r w:rsidRPr="000977F7">
        <w:rPr>
          <w:rFonts w:asciiTheme="majorHAnsi" w:hAnsiTheme="majorHAnsi"/>
          <w:sz w:val="20"/>
          <w:szCs w:val="20"/>
        </w:rPr>
        <w:t>шаром зварювального флюса</w:t>
      </w:r>
    </w:p>
    <w:p w14:paraId="467872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Дугове по флюсу-дугове зварювання, при якому на</w:t>
      </w:r>
      <w:r w:rsidRPr="000977F7">
        <w:rPr>
          <w:rFonts w:asciiTheme="majorHAnsi" w:hAnsiTheme="majorHAnsi"/>
          <w:spacing w:val="1"/>
          <w:sz w:val="20"/>
          <w:szCs w:val="20"/>
        </w:rPr>
        <w:t xml:space="preserve"> </w:t>
      </w:r>
      <w:r w:rsidRPr="000977F7">
        <w:rPr>
          <w:rFonts w:asciiTheme="majorHAnsi" w:hAnsiTheme="majorHAnsi"/>
          <w:sz w:val="20"/>
          <w:szCs w:val="20"/>
        </w:rPr>
        <w:t>зварювані</w:t>
      </w:r>
      <w:r w:rsidRPr="000977F7">
        <w:rPr>
          <w:rFonts w:asciiTheme="majorHAnsi" w:hAnsiTheme="majorHAnsi"/>
          <w:spacing w:val="1"/>
          <w:sz w:val="20"/>
          <w:szCs w:val="20"/>
        </w:rPr>
        <w:t xml:space="preserve"> </w:t>
      </w:r>
      <w:r w:rsidRPr="000977F7">
        <w:rPr>
          <w:rFonts w:asciiTheme="majorHAnsi" w:hAnsiTheme="majorHAnsi"/>
          <w:sz w:val="20"/>
          <w:szCs w:val="20"/>
        </w:rPr>
        <w:t>кромки</w:t>
      </w:r>
      <w:r w:rsidRPr="000977F7">
        <w:rPr>
          <w:rFonts w:asciiTheme="majorHAnsi" w:hAnsiTheme="majorHAnsi"/>
          <w:spacing w:val="1"/>
          <w:sz w:val="20"/>
          <w:szCs w:val="20"/>
        </w:rPr>
        <w:t xml:space="preserve"> </w:t>
      </w:r>
      <w:r w:rsidRPr="000977F7">
        <w:rPr>
          <w:rFonts w:asciiTheme="majorHAnsi" w:hAnsiTheme="majorHAnsi"/>
          <w:sz w:val="20"/>
          <w:szCs w:val="20"/>
        </w:rPr>
        <w:t>наноситься</w:t>
      </w:r>
      <w:r w:rsidRPr="000977F7">
        <w:rPr>
          <w:rFonts w:asciiTheme="majorHAnsi" w:hAnsiTheme="majorHAnsi"/>
          <w:spacing w:val="1"/>
          <w:sz w:val="20"/>
          <w:szCs w:val="20"/>
        </w:rPr>
        <w:t xml:space="preserve"> </w:t>
      </w:r>
      <w:r w:rsidRPr="000977F7">
        <w:rPr>
          <w:rFonts w:asciiTheme="majorHAnsi" w:hAnsiTheme="majorHAnsi"/>
          <w:sz w:val="20"/>
          <w:szCs w:val="20"/>
        </w:rPr>
        <w:t>шар</w:t>
      </w:r>
      <w:r w:rsidRPr="000977F7">
        <w:rPr>
          <w:rFonts w:asciiTheme="majorHAnsi" w:hAnsiTheme="majorHAnsi"/>
          <w:spacing w:val="1"/>
          <w:sz w:val="20"/>
          <w:szCs w:val="20"/>
        </w:rPr>
        <w:t xml:space="preserve"> </w:t>
      </w:r>
      <w:r w:rsidRPr="000977F7">
        <w:rPr>
          <w:rFonts w:asciiTheme="majorHAnsi" w:hAnsiTheme="majorHAnsi"/>
          <w:sz w:val="20"/>
          <w:szCs w:val="20"/>
        </w:rPr>
        <w:t>флюса,</w:t>
      </w:r>
      <w:r w:rsidRPr="000977F7">
        <w:rPr>
          <w:rFonts w:asciiTheme="majorHAnsi" w:hAnsiTheme="majorHAnsi"/>
          <w:spacing w:val="1"/>
          <w:sz w:val="20"/>
          <w:szCs w:val="20"/>
        </w:rPr>
        <w:t xml:space="preserve"> </w:t>
      </w:r>
      <w:r w:rsidRPr="000977F7">
        <w:rPr>
          <w:rFonts w:asciiTheme="majorHAnsi" w:hAnsiTheme="majorHAnsi"/>
          <w:sz w:val="20"/>
          <w:szCs w:val="20"/>
        </w:rPr>
        <w:t>товщина</w:t>
      </w:r>
      <w:r w:rsidRPr="000977F7">
        <w:rPr>
          <w:rFonts w:asciiTheme="majorHAnsi" w:hAnsiTheme="majorHAnsi"/>
          <w:spacing w:val="-47"/>
          <w:sz w:val="20"/>
          <w:szCs w:val="20"/>
        </w:rPr>
        <w:t xml:space="preserve">       </w:t>
      </w:r>
      <w:r w:rsidRPr="000977F7">
        <w:rPr>
          <w:rFonts w:asciiTheme="majorHAnsi" w:hAnsiTheme="majorHAnsi"/>
          <w:sz w:val="20"/>
          <w:szCs w:val="20"/>
        </w:rPr>
        <w:t>якого менше за дуговий</w:t>
      </w:r>
      <w:r w:rsidRPr="000977F7">
        <w:rPr>
          <w:rFonts w:asciiTheme="majorHAnsi" w:hAnsiTheme="majorHAnsi"/>
          <w:spacing w:val="-2"/>
          <w:sz w:val="20"/>
          <w:szCs w:val="20"/>
        </w:rPr>
        <w:t xml:space="preserve"> </w:t>
      </w:r>
      <w:r w:rsidRPr="000977F7">
        <w:rPr>
          <w:rFonts w:asciiTheme="majorHAnsi" w:hAnsiTheme="majorHAnsi"/>
          <w:sz w:val="20"/>
          <w:szCs w:val="20"/>
        </w:rPr>
        <w:t>проміжок</w:t>
      </w:r>
    </w:p>
    <w:p w14:paraId="15DD97D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Електронно-струменеве-зварювання</w:t>
      </w:r>
      <w:r w:rsidRPr="000977F7">
        <w:rPr>
          <w:rFonts w:asciiTheme="majorHAnsi" w:hAnsiTheme="majorHAnsi"/>
          <w:spacing w:val="1"/>
          <w:sz w:val="20"/>
          <w:szCs w:val="20"/>
        </w:rPr>
        <w:t xml:space="preserve"> </w:t>
      </w:r>
      <w:r w:rsidRPr="000977F7">
        <w:rPr>
          <w:rFonts w:asciiTheme="majorHAnsi" w:hAnsiTheme="majorHAnsi"/>
          <w:sz w:val="20"/>
          <w:szCs w:val="20"/>
        </w:rPr>
        <w:t>плавлінням,</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47"/>
          <w:sz w:val="20"/>
          <w:szCs w:val="20"/>
        </w:rPr>
        <w:t xml:space="preserve"> </w:t>
      </w:r>
      <w:r w:rsidRPr="000977F7">
        <w:rPr>
          <w:rFonts w:asciiTheme="majorHAnsi" w:hAnsiTheme="majorHAnsi"/>
          <w:sz w:val="20"/>
          <w:szCs w:val="20"/>
        </w:rPr>
        <w:t>якому нагрівання здійснюється енергією прискорених</w:t>
      </w:r>
      <w:r w:rsidRPr="000977F7">
        <w:rPr>
          <w:rFonts w:asciiTheme="majorHAnsi" w:hAnsiTheme="majorHAnsi"/>
          <w:spacing w:val="-47"/>
          <w:sz w:val="20"/>
          <w:szCs w:val="20"/>
        </w:rPr>
        <w:t xml:space="preserve"> </w:t>
      </w:r>
      <w:r w:rsidRPr="000977F7">
        <w:rPr>
          <w:rFonts w:asciiTheme="majorHAnsi" w:hAnsiTheme="majorHAnsi"/>
          <w:sz w:val="20"/>
          <w:szCs w:val="20"/>
        </w:rPr>
        <w:t>електронів</w:t>
      </w:r>
    </w:p>
    <w:p w14:paraId="7116A6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Електрошлакове-зварювання</w:t>
      </w:r>
      <w:r w:rsidRPr="000977F7">
        <w:rPr>
          <w:rFonts w:asciiTheme="majorHAnsi" w:hAnsiTheme="majorHAnsi"/>
          <w:spacing w:val="1"/>
          <w:sz w:val="20"/>
          <w:szCs w:val="20"/>
        </w:rPr>
        <w:t xml:space="preserve"> </w:t>
      </w:r>
      <w:r w:rsidRPr="000977F7">
        <w:rPr>
          <w:rFonts w:asciiTheme="majorHAnsi" w:hAnsiTheme="majorHAnsi"/>
          <w:sz w:val="20"/>
          <w:szCs w:val="20"/>
        </w:rPr>
        <w:t>плавлінням,</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якому</w:t>
      </w:r>
      <w:r w:rsidRPr="000977F7">
        <w:rPr>
          <w:rFonts w:asciiTheme="majorHAnsi" w:hAnsiTheme="majorHAnsi"/>
          <w:spacing w:val="-47"/>
          <w:sz w:val="20"/>
          <w:szCs w:val="20"/>
        </w:rPr>
        <w:t xml:space="preserve"> </w:t>
      </w:r>
      <w:r w:rsidRPr="000977F7">
        <w:rPr>
          <w:rFonts w:asciiTheme="majorHAnsi" w:hAnsiTheme="majorHAnsi"/>
          <w:sz w:val="20"/>
          <w:szCs w:val="20"/>
        </w:rPr>
        <w:t>основний та електродний метали розплавляються за</w:t>
      </w:r>
      <w:r w:rsidRPr="000977F7">
        <w:rPr>
          <w:rFonts w:asciiTheme="majorHAnsi" w:hAnsiTheme="majorHAnsi"/>
          <w:spacing w:val="1"/>
          <w:sz w:val="20"/>
          <w:szCs w:val="20"/>
        </w:rPr>
        <w:t xml:space="preserve"> </w:t>
      </w:r>
      <w:r w:rsidRPr="000977F7">
        <w:rPr>
          <w:rFonts w:asciiTheme="majorHAnsi" w:hAnsiTheme="majorHAnsi"/>
          <w:sz w:val="20"/>
          <w:szCs w:val="20"/>
        </w:rPr>
        <w:lastRenderedPageBreak/>
        <w:t>рахунок</w:t>
      </w:r>
      <w:r w:rsidRPr="000977F7">
        <w:rPr>
          <w:rFonts w:asciiTheme="majorHAnsi" w:hAnsiTheme="majorHAnsi"/>
          <w:spacing w:val="1"/>
          <w:sz w:val="20"/>
          <w:szCs w:val="20"/>
        </w:rPr>
        <w:t xml:space="preserve"> </w:t>
      </w:r>
      <w:r w:rsidRPr="000977F7">
        <w:rPr>
          <w:rFonts w:asciiTheme="majorHAnsi" w:hAnsiTheme="majorHAnsi"/>
          <w:sz w:val="20"/>
          <w:szCs w:val="20"/>
        </w:rPr>
        <w:t>тепла,</w:t>
      </w:r>
      <w:r w:rsidRPr="000977F7">
        <w:rPr>
          <w:rFonts w:asciiTheme="majorHAnsi" w:hAnsiTheme="majorHAnsi"/>
          <w:spacing w:val="1"/>
          <w:sz w:val="20"/>
          <w:szCs w:val="20"/>
        </w:rPr>
        <w:t xml:space="preserve"> </w:t>
      </w:r>
      <w:r w:rsidRPr="000977F7">
        <w:rPr>
          <w:rFonts w:asciiTheme="majorHAnsi" w:hAnsiTheme="majorHAnsi"/>
          <w:sz w:val="20"/>
          <w:szCs w:val="20"/>
        </w:rPr>
        <w:t>яке</w:t>
      </w:r>
      <w:r w:rsidRPr="000977F7">
        <w:rPr>
          <w:rFonts w:asciiTheme="majorHAnsi" w:hAnsiTheme="majorHAnsi"/>
          <w:spacing w:val="1"/>
          <w:sz w:val="20"/>
          <w:szCs w:val="20"/>
        </w:rPr>
        <w:t xml:space="preserve"> </w:t>
      </w:r>
      <w:r w:rsidRPr="000977F7">
        <w:rPr>
          <w:rFonts w:asciiTheme="majorHAnsi" w:hAnsiTheme="majorHAnsi"/>
          <w:sz w:val="20"/>
          <w:szCs w:val="20"/>
        </w:rPr>
        <w:t>виділяється</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проходженні</w:t>
      </w:r>
      <w:r w:rsidRPr="000977F7">
        <w:rPr>
          <w:rFonts w:asciiTheme="majorHAnsi" w:hAnsiTheme="majorHAnsi"/>
          <w:spacing w:val="-47"/>
          <w:sz w:val="20"/>
          <w:szCs w:val="20"/>
        </w:rPr>
        <w:t xml:space="preserve"> </w:t>
      </w:r>
      <w:r w:rsidRPr="000977F7">
        <w:rPr>
          <w:rFonts w:asciiTheme="majorHAnsi" w:hAnsiTheme="majorHAnsi"/>
          <w:sz w:val="20"/>
          <w:szCs w:val="20"/>
        </w:rPr>
        <w:t>струму</w:t>
      </w:r>
      <w:r w:rsidRPr="000977F7">
        <w:rPr>
          <w:rFonts w:asciiTheme="majorHAnsi" w:hAnsiTheme="majorHAnsi"/>
          <w:spacing w:val="-5"/>
          <w:sz w:val="20"/>
          <w:szCs w:val="20"/>
        </w:rPr>
        <w:t xml:space="preserve"> </w:t>
      </w:r>
      <w:r w:rsidRPr="000977F7">
        <w:rPr>
          <w:rFonts w:asciiTheme="majorHAnsi" w:hAnsiTheme="majorHAnsi"/>
          <w:sz w:val="20"/>
          <w:szCs w:val="20"/>
        </w:rPr>
        <w:t>через шлакову</w:t>
      </w:r>
      <w:r w:rsidRPr="000977F7">
        <w:rPr>
          <w:rFonts w:asciiTheme="majorHAnsi" w:hAnsiTheme="majorHAnsi"/>
          <w:spacing w:val="-4"/>
          <w:sz w:val="20"/>
          <w:szCs w:val="20"/>
        </w:rPr>
        <w:t xml:space="preserve"> </w:t>
      </w:r>
      <w:r w:rsidRPr="000977F7">
        <w:rPr>
          <w:rFonts w:asciiTheme="majorHAnsi" w:hAnsiTheme="majorHAnsi"/>
          <w:sz w:val="20"/>
          <w:szCs w:val="20"/>
        </w:rPr>
        <w:t>ванну</w:t>
      </w:r>
    </w:p>
    <w:p w14:paraId="0D0D2A8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Імпульсно-дугове-дугове зварювання, при якому дуга</w:t>
      </w:r>
      <w:r w:rsidRPr="000977F7">
        <w:rPr>
          <w:rFonts w:asciiTheme="majorHAnsi" w:hAnsiTheme="majorHAnsi"/>
          <w:spacing w:val="1"/>
          <w:sz w:val="20"/>
          <w:szCs w:val="20"/>
        </w:rPr>
        <w:t xml:space="preserve"> </w:t>
      </w:r>
      <w:r w:rsidRPr="000977F7">
        <w:rPr>
          <w:rFonts w:asciiTheme="majorHAnsi" w:hAnsiTheme="majorHAnsi"/>
          <w:sz w:val="20"/>
          <w:szCs w:val="20"/>
        </w:rPr>
        <w:t>додатково живиться імпульсними струмами за заданою</w:t>
      </w:r>
      <w:r w:rsidRPr="000977F7">
        <w:rPr>
          <w:rFonts w:asciiTheme="majorHAnsi" w:hAnsiTheme="majorHAnsi"/>
          <w:spacing w:val="-1"/>
          <w:sz w:val="20"/>
          <w:szCs w:val="20"/>
        </w:rPr>
        <w:t xml:space="preserve"> </w:t>
      </w:r>
      <w:r w:rsidRPr="000977F7">
        <w:rPr>
          <w:rFonts w:asciiTheme="majorHAnsi" w:hAnsiTheme="majorHAnsi"/>
          <w:sz w:val="20"/>
          <w:szCs w:val="20"/>
        </w:rPr>
        <w:t>програмою</w:t>
      </w:r>
    </w:p>
    <w:p w14:paraId="4D248130"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Каскадом-кожна</w:t>
      </w:r>
      <w:r w:rsidRPr="000977F7">
        <w:rPr>
          <w:rFonts w:asciiTheme="majorHAnsi" w:hAnsiTheme="majorHAnsi"/>
          <w:spacing w:val="50"/>
          <w:sz w:val="20"/>
          <w:szCs w:val="20"/>
        </w:rPr>
        <w:t xml:space="preserve"> </w:t>
      </w:r>
      <w:r w:rsidRPr="000977F7">
        <w:rPr>
          <w:rFonts w:asciiTheme="majorHAnsi" w:hAnsiTheme="majorHAnsi"/>
          <w:sz w:val="20"/>
          <w:szCs w:val="20"/>
        </w:rPr>
        <w:t>наступна</w:t>
      </w:r>
      <w:r w:rsidRPr="000977F7">
        <w:rPr>
          <w:rFonts w:asciiTheme="majorHAnsi" w:hAnsiTheme="majorHAnsi"/>
          <w:spacing w:val="2"/>
          <w:sz w:val="20"/>
          <w:szCs w:val="20"/>
        </w:rPr>
        <w:t xml:space="preserve"> </w:t>
      </w:r>
      <w:r w:rsidRPr="000977F7">
        <w:rPr>
          <w:rFonts w:asciiTheme="majorHAnsi" w:hAnsiTheme="majorHAnsi"/>
          <w:sz w:val="20"/>
          <w:szCs w:val="20"/>
        </w:rPr>
        <w:t>ділянка</w:t>
      </w:r>
      <w:r w:rsidRPr="000977F7">
        <w:rPr>
          <w:rFonts w:asciiTheme="majorHAnsi" w:hAnsiTheme="majorHAnsi"/>
          <w:spacing w:val="50"/>
          <w:sz w:val="20"/>
          <w:szCs w:val="20"/>
        </w:rPr>
        <w:t xml:space="preserve"> </w:t>
      </w:r>
      <w:r w:rsidRPr="000977F7">
        <w:rPr>
          <w:rFonts w:asciiTheme="majorHAnsi" w:hAnsiTheme="majorHAnsi"/>
          <w:sz w:val="20"/>
          <w:szCs w:val="20"/>
        </w:rPr>
        <w:t>багатошарового</w:t>
      </w:r>
      <w:r w:rsidRPr="000977F7">
        <w:rPr>
          <w:rFonts w:asciiTheme="majorHAnsi" w:hAnsiTheme="majorHAnsi"/>
          <w:spacing w:val="-47"/>
          <w:sz w:val="20"/>
          <w:szCs w:val="20"/>
        </w:rPr>
        <w:t xml:space="preserve"> </w:t>
      </w:r>
      <w:r w:rsidRPr="000977F7">
        <w:rPr>
          <w:rFonts w:asciiTheme="majorHAnsi" w:hAnsiTheme="majorHAnsi"/>
          <w:sz w:val="20"/>
          <w:szCs w:val="20"/>
        </w:rPr>
        <w:t>шва перекриває всю попередню ділянку або її частину</w:t>
      </w:r>
      <w:r w:rsidRPr="000977F7">
        <w:rPr>
          <w:rFonts w:asciiTheme="majorHAnsi" w:hAnsiTheme="majorHAnsi"/>
          <w:spacing w:val="-47"/>
          <w:sz w:val="20"/>
          <w:szCs w:val="20"/>
        </w:rPr>
        <w:t xml:space="preserve"> </w:t>
      </w:r>
      <w:r w:rsidRPr="000977F7">
        <w:rPr>
          <w:rFonts w:asciiTheme="majorHAnsi" w:hAnsiTheme="majorHAnsi"/>
          <w:sz w:val="20"/>
          <w:szCs w:val="20"/>
        </w:rPr>
        <w:t>Конденсаторне-контактне</w:t>
      </w:r>
      <w:r w:rsidRPr="000977F7">
        <w:rPr>
          <w:rFonts w:asciiTheme="majorHAnsi" w:hAnsiTheme="majorHAnsi"/>
          <w:spacing w:val="87"/>
          <w:sz w:val="20"/>
          <w:szCs w:val="20"/>
        </w:rPr>
        <w:t xml:space="preserve"> </w:t>
      </w:r>
      <w:r w:rsidRPr="000977F7">
        <w:rPr>
          <w:rFonts w:asciiTheme="majorHAnsi" w:hAnsiTheme="majorHAnsi"/>
          <w:sz w:val="20"/>
          <w:szCs w:val="20"/>
        </w:rPr>
        <w:t>зварювання, при якому</w:t>
      </w:r>
      <w:r w:rsidRPr="000977F7">
        <w:rPr>
          <w:rFonts w:asciiTheme="majorHAnsi" w:hAnsiTheme="majorHAnsi"/>
          <w:spacing w:val="-47"/>
          <w:sz w:val="20"/>
          <w:szCs w:val="20"/>
        </w:rPr>
        <w:t xml:space="preserve"> </w:t>
      </w:r>
    </w:p>
    <w:p w14:paraId="0C7CDE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w:t>
      </w:r>
      <w:r w:rsidRPr="000977F7">
        <w:rPr>
          <w:rFonts w:asciiTheme="majorHAnsi" w:hAnsiTheme="majorHAnsi"/>
          <w:spacing w:val="-3"/>
          <w:sz w:val="20"/>
          <w:szCs w:val="20"/>
        </w:rPr>
        <w:t xml:space="preserve"> </w:t>
      </w:r>
      <w:r w:rsidRPr="000977F7">
        <w:rPr>
          <w:rFonts w:asciiTheme="majorHAnsi" w:hAnsiTheme="majorHAnsi"/>
          <w:sz w:val="20"/>
          <w:szCs w:val="20"/>
        </w:rPr>
        <w:t>єднання</w:t>
      </w:r>
      <w:r w:rsidRPr="000977F7">
        <w:rPr>
          <w:rFonts w:asciiTheme="majorHAnsi" w:hAnsiTheme="majorHAnsi"/>
          <w:spacing w:val="3"/>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4"/>
          <w:sz w:val="20"/>
          <w:szCs w:val="20"/>
        </w:rPr>
        <w:t xml:space="preserve"> </w:t>
      </w:r>
      <w:r w:rsidRPr="000977F7">
        <w:rPr>
          <w:rFonts w:asciiTheme="majorHAnsi" w:hAnsiTheme="majorHAnsi"/>
          <w:sz w:val="20"/>
          <w:szCs w:val="20"/>
        </w:rPr>
        <w:t>за</w:t>
      </w:r>
      <w:r w:rsidRPr="000977F7">
        <w:rPr>
          <w:rFonts w:asciiTheme="majorHAnsi" w:hAnsiTheme="majorHAnsi"/>
          <w:spacing w:val="4"/>
          <w:sz w:val="20"/>
          <w:szCs w:val="20"/>
        </w:rPr>
        <w:t xml:space="preserve"> </w:t>
      </w:r>
      <w:r w:rsidRPr="000977F7">
        <w:rPr>
          <w:rFonts w:asciiTheme="majorHAnsi" w:hAnsiTheme="majorHAnsi"/>
          <w:sz w:val="20"/>
          <w:szCs w:val="20"/>
        </w:rPr>
        <w:t>рахунок</w:t>
      </w:r>
      <w:r w:rsidRPr="000977F7">
        <w:rPr>
          <w:rFonts w:asciiTheme="majorHAnsi" w:hAnsiTheme="majorHAnsi"/>
          <w:spacing w:val="6"/>
          <w:sz w:val="20"/>
          <w:szCs w:val="20"/>
        </w:rPr>
        <w:t xml:space="preserve"> </w:t>
      </w:r>
      <w:r w:rsidRPr="000977F7">
        <w:rPr>
          <w:rFonts w:asciiTheme="majorHAnsi" w:hAnsiTheme="majorHAnsi"/>
          <w:sz w:val="20"/>
          <w:szCs w:val="20"/>
        </w:rPr>
        <w:t>накопиченої</w:t>
      </w:r>
      <w:r w:rsidRPr="000977F7">
        <w:rPr>
          <w:rFonts w:asciiTheme="majorHAnsi" w:hAnsiTheme="majorHAnsi"/>
          <w:spacing w:val="5"/>
          <w:sz w:val="20"/>
          <w:szCs w:val="20"/>
        </w:rPr>
        <w:t xml:space="preserve"> </w:t>
      </w:r>
      <w:r w:rsidRPr="000977F7">
        <w:rPr>
          <w:rFonts w:asciiTheme="majorHAnsi" w:hAnsiTheme="majorHAnsi"/>
          <w:sz w:val="20"/>
          <w:szCs w:val="20"/>
        </w:rPr>
        <w:t>в</w:t>
      </w:r>
      <w:r w:rsidRPr="000977F7">
        <w:rPr>
          <w:rFonts w:asciiTheme="majorHAnsi" w:hAnsiTheme="majorHAnsi"/>
          <w:spacing w:val="6"/>
          <w:sz w:val="20"/>
          <w:szCs w:val="20"/>
        </w:rPr>
        <w:t xml:space="preserve"> </w:t>
      </w:r>
      <w:r w:rsidRPr="000977F7">
        <w:rPr>
          <w:rFonts w:asciiTheme="majorHAnsi" w:hAnsiTheme="majorHAnsi"/>
          <w:sz w:val="20"/>
          <w:szCs w:val="20"/>
        </w:rPr>
        <w:t>конденсаторній</w:t>
      </w:r>
      <w:r w:rsidRPr="000977F7">
        <w:rPr>
          <w:rFonts w:asciiTheme="majorHAnsi" w:hAnsiTheme="majorHAnsi"/>
          <w:spacing w:val="11"/>
          <w:sz w:val="20"/>
          <w:szCs w:val="20"/>
        </w:rPr>
        <w:t xml:space="preserve"> </w:t>
      </w:r>
      <w:r w:rsidRPr="000977F7">
        <w:rPr>
          <w:rFonts w:asciiTheme="majorHAnsi" w:hAnsiTheme="majorHAnsi"/>
          <w:sz w:val="20"/>
          <w:szCs w:val="20"/>
        </w:rPr>
        <w:t>батареї</w:t>
      </w:r>
      <w:r w:rsidRPr="000977F7">
        <w:rPr>
          <w:rFonts w:asciiTheme="majorHAnsi" w:hAnsiTheme="majorHAnsi"/>
          <w:spacing w:val="10"/>
          <w:sz w:val="20"/>
          <w:szCs w:val="20"/>
        </w:rPr>
        <w:t xml:space="preserve"> </w:t>
      </w:r>
      <w:r w:rsidRPr="000977F7">
        <w:rPr>
          <w:rFonts w:asciiTheme="majorHAnsi" w:hAnsiTheme="majorHAnsi"/>
          <w:sz w:val="20"/>
          <w:szCs w:val="20"/>
        </w:rPr>
        <w:t>електричної</w:t>
      </w:r>
      <w:r w:rsidRPr="000977F7">
        <w:rPr>
          <w:rFonts w:asciiTheme="majorHAnsi" w:hAnsiTheme="majorHAnsi"/>
          <w:spacing w:val="10"/>
          <w:sz w:val="20"/>
          <w:szCs w:val="20"/>
        </w:rPr>
        <w:t xml:space="preserve"> </w:t>
      </w:r>
      <w:r w:rsidRPr="000977F7">
        <w:rPr>
          <w:rFonts w:asciiTheme="majorHAnsi" w:hAnsiTheme="majorHAnsi"/>
          <w:sz w:val="20"/>
          <w:szCs w:val="20"/>
        </w:rPr>
        <w:t>енергії</w:t>
      </w:r>
      <w:r w:rsidRPr="000977F7">
        <w:rPr>
          <w:rFonts w:asciiTheme="majorHAnsi" w:hAnsiTheme="majorHAnsi"/>
          <w:spacing w:val="12"/>
          <w:sz w:val="20"/>
          <w:szCs w:val="20"/>
        </w:rPr>
        <w:t xml:space="preserve"> </w:t>
      </w:r>
      <w:r w:rsidRPr="000977F7">
        <w:rPr>
          <w:rFonts w:asciiTheme="majorHAnsi" w:hAnsiTheme="majorHAnsi"/>
          <w:sz w:val="20"/>
          <w:szCs w:val="20"/>
        </w:rPr>
        <w:t>та</w:t>
      </w:r>
      <w:r w:rsidRPr="000977F7">
        <w:rPr>
          <w:rFonts w:asciiTheme="majorHAnsi" w:hAnsiTheme="majorHAnsi"/>
          <w:spacing w:val="11"/>
          <w:sz w:val="20"/>
          <w:szCs w:val="20"/>
        </w:rPr>
        <w:t xml:space="preserve"> </w:t>
      </w:r>
      <w:r w:rsidRPr="000977F7">
        <w:rPr>
          <w:rFonts w:asciiTheme="majorHAnsi" w:hAnsiTheme="majorHAnsi"/>
          <w:sz w:val="20"/>
          <w:szCs w:val="20"/>
        </w:rPr>
        <w:t>короткочасного її використання на операцію зварювання</w:t>
      </w:r>
      <w:r w:rsidRPr="000977F7">
        <w:rPr>
          <w:rFonts w:asciiTheme="majorHAnsi" w:hAnsiTheme="majorHAnsi"/>
          <w:spacing w:val="1"/>
          <w:sz w:val="20"/>
          <w:szCs w:val="20"/>
        </w:rPr>
        <w:t xml:space="preserve"> </w:t>
      </w:r>
      <w:r w:rsidRPr="000977F7">
        <w:rPr>
          <w:rFonts w:asciiTheme="majorHAnsi" w:hAnsiTheme="majorHAnsi"/>
          <w:sz w:val="20"/>
          <w:szCs w:val="20"/>
        </w:rPr>
        <w:t>Контактне-зварювання</w:t>
      </w:r>
      <w:r w:rsidRPr="000977F7">
        <w:rPr>
          <w:rFonts w:asciiTheme="majorHAnsi" w:hAnsiTheme="majorHAnsi"/>
          <w:spacing w:val="1"/>
          <w:sz w:val="20"/>
          <w:szCs w:val="20"/>
        </w:rPr>
        <w:t xml:space="preserve"> </w:t>
      </w:r>
      <w:r w:rsidRPr="000977F7">
        <w:rPr>
          <w:rFonts w:asciiTheme="majorHAnsi" w:hAnsiTheme="majorHAnsi"/>
          <w:sz w:val="20"/>
          <w:szCs w:val="20"/>
        </w:rPr>
        <w:t>тиском</w:t>
      </w:r>
      <w:r w:rsidRPr="000977F7">
        <w:rPr>
          <w:rFonts w:asciiTheme="majorHAnsi" w:hAnsiTheme="majorHAnsi"/>
          <w:spacing w:val="3"/>
          <w:sz w:val="20"/>
          <w:szCs w:val="20"/>
        </w:rPr>
        <w:t xml:space="preserve"> </w:t>
      </w:r>
      <w:r w:rsidRPr="000977F7">
        <w:rPr>
          <w:rFonts w:asciiTheme="majorHAnsi" w:hAnsiTheme="majorHAnsi"/>
          <w:sz w:val="20"/>
          <w:szCs w:val="20"/>
        </w:rPr>
        <w:t>з</w:t>
      </w:r>
      <w:r w:rsidRPr="000977F7">
        <w:rPr>
          <w:rFonts w:asciiTheme="majorHAnsi" w:hAnsiTheme="majorHAnsi"/>
          <w:spacing w:val="3"/>
          <w:sz w:val="20"/>
          <w:szCs w:val="20"/>
        </w:rPr>
        <w:t xml:space="preserve"> </w:t>
      </w:r>
      <w:r w:rsidRPr="000977F7">
        <w:rPr>
          <w:rFonts w:asciiTheme="majorHAnsi" w:hAnsiTheme="majorHAnsi"/>
          <w:sz w:val="20"/>
          <w:szCs w:val="20"/>
        </w:rPr>
        <w:t>короткочасним</w:t>
      </w:r>
      <w:r w:rsidRPr="000977F7">
        <w:rPr>
          <w:rFonts w:asciiTheme="majorHAnsi" w:hAnsiTheme="majorHAnsi"/>
          <w:spacing w:val="3"/>
          <w:sz w:val="20"/>
          <w:szCs w:val="20"/>
        </w:rPr>
        <w:t xml:space="preserve"> </w:t>
      </w:r>
      <w:r w:rsidRPr="000977F7">
        <w:rPr>
          <w:rFonts w:asciiTheme="majorHAnsi" w:hAnsiTheme="majorHAnsi"/>
          <w:sz w:val="20"/>
          <w:szCs w:val="20"/>
        </w:rPr>
        <w:t>нагріванням</w:t>
      </w:r>
      <w:r w:rsidRPr="000977F7">
        <w:rPr>
          <w:rFonts w:asciiTheme="majorHAnsi" w:hAnsiTheme="majorHAnsi"/>
          <w:spacing w:val="1"/>
          <w:sz w:val="20"/>
          <w:szCs w:val="20"/>
        </w:rPr>
        <w:t xml:space="preserve"> </w:t>
      </w:r>
      <w:r w:rsidRPr="000977F7">
        <w:rPr>
          <w:rFonts w:asciiTheme="majorHAnsi" w:hAnsiTheme="majorHAnsi"/>
          <w:sz w:val="20"/>
          <w:szCs w:val="20"/>
        </w:rPr>
        <w:t>місця з</w:t>
      </w:r>
      <w:r w:rsidRPr="000977F7">
        <w:rPr>
          <w:rFonts w:asciiTheme="majorHAnsi" w:hAnsiTheme="majorHAnsi"/>
          <w:spacing w:val="-1"/>
          <w:sz w:val="20"/>
          <w:szCs w:val="20"/>
        </w:rPr>
        <w:t xml:space="preserve"> </w:t>
      </w:r>
      <w:r w:rsidRPr="000977F7">
        <w:rPr>
          <w:rFonts w:asciiTheme="majorHAnsi" w:hAnsiTheme="majorHAnsi"/>
          <w:sz w:val="20"/>
          <w:szCs w:val="20"/>
        </w:rPr>
        <w:t>єднання, з</w:t>
      </w:r>
      <w:r w:rsidRPr="000977F7">
        <w:rPr>
          <w:rFonts w:asciiTheme="majorHAnsi" w:hAnsiTheme="majorHAnsi"/>
          <w:spacing w:val="1"/>
          <w:sz w:val="20"/>
          <w:szCs w:val="20"/>
        </w:rPr>
        <w:t xml:space="preserve"> </w:t>
      </w:r>
      <w:r w:rsidRPr="000977F7">
        <w:rPr>
          <w:rFonts w:asciiTheme="majorHAnsi" w:hAnsiTheme="majorHAnsi"/>
          <w:sz w:val="20"/>
          <w:szCs w:val="20"/>
        </w:rPr>
        <w:t>оплавлюванням</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без ньо</w:t>
      </w:r>
      <w:r w:rsidRPr="000977F7">
        <w:rPr>
          <w:rFonts w:asciiTheme="majorHAnsi" w:hAnsiTheme="majorHAnsi"/>
          <w:spacing w:val="-47"/>
          <w:sz w:val="20"/>
          <w:szCs w:val="20"/>
        </w:rPr>
        <w:t xml:space="preserve"> </w:t>
      </w:r>
      <w:r w:rsidRPr="000977F7">
        <w:rPr>
          <w:rFonts w:asciiTheme="majorHAnsi" w:hAnsiTheme="majorHAnsi"/>
          <w:sz w:val="20"/>
          <w:szCs w:val="20"/>
        </w:rPr>
        <w:t>го,</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з осаджуванням розігрітих</w:t>
      </w:r>
      <w:r w:rsidRPr="000977F7">
        <w:rPr>
          <w:rFonts w:asciiTheme="majorHAnsi" w:hAnsiTheme="majorHAnsi"/>
          <w:spacing w:val="-2"/>
          <w:sz w:val="20"/>
          <w:szCs w:val="20"/>
        </w:rPr>
        <w:t xml:space="preserve"> </w:t>
      </w:r>
      <w:r w:rsidRPr="000977F7">
        <w:rPr>
          <w:rFonts w:asciiTheme="majorHAnsi" w:hAnsiTheme="majorHAnsi"/>
          <w:sz w:val="20"/>
          <w:szCs w:val="20"/>
        </w:rPr>
        <w:t>заготовок</w:t>
      </w:r>
    </w:p>
    <w:p w14:paraId="2D74EE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noProof/>
          <w:sz w:val="20"/>
          <w:szCs w:val="20"/>
        </w:rPr>
        <w:drawing>
          <wp:anchor distT="0" distB="0" distL="0" distR="0" simplePos="0" relativeHeight="251667456" behindDoc="1" locked="0" layoutInCell="1" allowOverlap="1" wp14:anchorId="1C3834FB" wp14:editId="33554CA3">
            <wp:simplePos x="0" y="0"/>
            <wp:positionH relativeFrom="page">
              <wp:posOffset>4165980</wp:posOffset>
            </wp:positionH>
            <wp:positionV relativeFrom="paragraph">
              <wp:posOffset>-893369</wp:posOffset>
            </wp:positionV>
            <wp:extent cx="64008" cy="155448"/>
            <wp:effectExtent l="0" t="0" r="0" b="0"/>
            <wp:wrapNone/>
            <wp:docPr id="18"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27.png"/>
                    <pic:cNvPicPr/>
                  </pic:nvPicPr>
                  <pic:blipFill>
                    <a:blip r:embed="rId18" cstate="print"/>
                    <a:stretch>
                      <a:fillRect/>
                    </a:stretch>
                  </pic:blipFill>
                  <pic:spPr>
                    <a:xfrm>
                      <a:off x="0" y="0"/>
                      <a:ext cx="64008" cy="155448"/>
                    </a:xfrm>
                    <a:prstGeom prst="rect">
                      <a:avLst/>
                    </a:prstGeom>
                  </pic:spPr>
                </pic:pic>
              </a:graphicData>
            </a:graphic>
          </wp:anchor>
        </w:drawing>
      </w:r>
      <w:r w:rsidRPr="000977F7">
        <w:rPr>
          <w:rFonts w:asciiTheme="majorHAnsi" w:hAnsiTheme="majorHAnsi"/>
          <w:noProof/>
          <w:sz w:val="20"/>
          <w:szCs w:val="20"/>
        </w:rPr>
        <w:drawing>
          <wp:anchor distT="0" distB="0" distL="0" distR="0" simplePos="0" relativeHeight="251668480" behindDoc="1" locked="0" layoutInCell="1" allowOverlap="1" wp14:anchorId="6A69DFAE" wp14:editId="7AB70793">
            <wp:simplePos x="0" y="0"/>
            <wp:positionH relativeFrom="page">
              <wp:posOffset>4920360</wp:posOffset>
            </wp:positionH>
            <wp:positionV relativeFrom="paragraph">
              <wp:posOffset>-299009</wp:posOffset>
            </wp:positionV>
            <wp:extent cx="64008" cy="155448"/>
            <wp:effectExtent l="0" t="0" r="0" b="0"/>
            <wp:wrapNone/>
            <wp:docPr id="20"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27.png"/>
                    <pic:cNvPicPr/>
                  </pic:nvPicPr>
                  <pic:blipFill>
                    <a:blip r:embed="rId18" cstate="print"/>
                    <a:stretch>
                      <a:fillRect/>
                    </a:stretch>
                  </pic:blipFill>
                  <pic:spPr>
                    <a:xfrm>
                      <a:off x="0" y="0"/>
                      <a:ext cx="64008" cy="155448"/>
                    </a:xfrm>
                    <a:prstGeom prst="rect">
                      <a:avLst/>
                    </a:prstGeom>
                  </pic:spPr>
                </pic:pic>
              </a:graphicData>
            </a:graphic>
          </wp:anchor>
        </w:drawing>
      </w:r>
      <w:r w:rsidRPr="000977F7">
        <w:rPr>
          <w:rFonts w:asciiTheme="majorHAnsi" w:hAnsiTheme="majorHAnsi"/>
          <w:sz w:val="20"/>
          <w:szCs w:val="20"/>
        </w:rPr>
        <w:t>Ковальське-пічне зварювання, при якому осаджування виконується ударами молота або натисканням преса</w:t>
      </w:r>
    </w:p>
    <w:p w14:paraId="79E0FB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Лазерне-зварювання плавленням, при якому для нагрівання</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використовується</w:t>
      </w:r>
      <w:r w:rsidRPr="000977F7">
        <w:rPr>
          <w:rFonts w:asciiTheme="majorHAnsi" w:hAnsiTheme="majorHAnsi"/>
          <w:spacing w:val="1"/>
          <w:sz w:val="20"/>
          <w:szCs w:val="20"/>
        </w:rPr>
        <w:t xml:space="preserve"> </w:t>
      </w:r>
      <w:r w:rsidRPr="000977F7">
        <w:rPr>
          <w:rFonts w:asciiTheme="majorHAnsi" w:hAnsiTheme="majorHAnsi"/>
          <w:sz w:val="20"/>
          <w:szCs w:val="20"/>
        </w:rPr>
        <w:t>енергія</w:t>
      </w:r>
      <w:r w:rsidRPr="000977F7">
        <w:rPr>
          <w:rFonts w:asciiTheme="majorHAnsi" w:hAnsiTheme="majorHAnsi"/>
          <w:spacing w:val="1"/>
          <w:sz w:val="20"/>
          <w:szCs w:val="20"/>
        </w:rPr>
        <w:t xml:space="preserve"> </w:t>
      </w:r>
      <w:r w:rsidRPr="000977F7">
        <w:rPr>
          <w:rFonts w:asciiTheme="majorHAnsi" w:hAnsiTheme="majorHAnsi"/>
          <w:sz w:val="20"/>
          <w:szCs w:val="20"/>
        </w:rPr>
        <w:t>випромінювання</w:t>
      </w:r>
      <w:r w:rsidRPr="000977F7">
        <w:rPr>
          <w:rFonts w:asciiTheme="majorHAnsi" w:hAnsiTheme="majorHAnsi"/>
          <w:spacing w:val="1"/>
          <w:sz w:val="20"/>
          <w:szCs w:val="20"/>
        </w:rPr>
        <w:t xml:space="preserve"> </w:t>
      </w:r>
      <w:r w:rsidRPr="000977F7">
        <w:rPr>
          <w:rFonts w:asciiTheme="majorHAnsi" w:hAnsiTheme="majorHAnsi"/>
          <w:sz w:val="20"/>
          <w:szCs w:val="20"/>
        </w:rPr>
        <w:t>лазера</w:t>
      </w:r>
    </w:p>
    <w:p w14:paraId="4725D2D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Лежачим електродом-дугове зварювання , при якому</w:t>
      </w:r>
      <w:r w:rsidRPr="000977F7">
        <w:rPr>
          <w:rFonts w:asciiTheme="majorHAnsi" w:hAnsiTheme="majorHAnsi"/>
          <w:spacing w:val="1"/>
          <w:sz w:val="20"/>
          <w:szCs w:val="20"/>
        </w:rPr>
        <w:t xml:space="preserve"> </w:t>
      </w:r>
      <w:r w:rsidRPr="000977F7">
        <w:rPr>
          <w:rFonts w:asciiTheme="majorHAnsi" w:hAnsiTheme="majorHAnsi"/>
          <w:sz w:val="20"/>
          <w:szCs w:val="20"/>
        </w:rPr>
        <w:t>нерухомий</w:t>
      </w:r>
      <w:r w:rsidRPr="000977F7">
        <w:rPr>
          <w:rFonts w:asciiTheme="majorHAnsi" w:hAnsiTheme="majorHAnsi"/>
          <w:spacing w:val="1"/>
          <w:sz w:val="20"/>
          <w:szCs w:val="20"/>
        </w:rPr>
        <w:t xml:space="preserve"> </w:t>
      </w:r>
      <w:r w:rsidRPr="000977F7">
        <w:rPr>
          <w:rFonts w:asciiTheme="majorHAnsi" w:hAnsiTheme="majorHAnsi"/>
          <w:sz w:val="20"/>
          <w:szCs w:val="20"/>
        </w:rPr>
        <w:t>покритий електрод укладається вподовж</w:t>
      </w:r>
      <w:r w:rsidRPr="000977F7">
        <w:rPr>
          <w:rFonts w:asciiTheme="majorHAnsi" w:hAnsiTheme="majorHAnsi"/>
          <w:spacing w:val="1"/>
          <w:sz w:val="20"/>
          <w:szCs w:val="20"/>
        </w:rPr>
        <w:t xml:space="preserve"> </w:t>
      </w:r>
      <w:r w:rsidRPr="000977F7">
        <w:rPr>
          <w:rFonts w:asciiTheme="majorHAnsi" w:hAnsiTheme="majorHAnsi"/>
          <w:sz w:val="20"/>
          <w:szCs w:val="20"/>
        </w:rPr>
        <w:t>зварюваних кромок, а дуга переміщується за розплавленням</w:t>
      </w:r>
      <w:r w:rsidRPr="000977F7">
        <w:rPr>
          <w:rFonts w:asciiTheme="majorHAnsi" w:hAnsiTheme="majorHAnsi"/>
          <w:spacing w:val="-1"/>
          <w:sz w:val="20"/>
          <w:szCs w:val="20"/>
        </w:rPr>
        <w:t xml:space="preserve"> </w:t>
      </w:r>
      <w:r w:rsidRPr="000977F7">
        <w:rPr>
          <w:rFonts w:asciiTheme="majorHAnsi" w:hAnsiTheme="majorHAnsi"/>
          <w:sz w:val="20"/>
          <w:szCs w:val="20"/>
        </w:rPr>
        <w:t>електрода</w:t>
      </w:r>
    </w:p>
    <w:p w14:paraId="1115FB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Магнітно-імпульсне-зварювання</w:t>
      </w:r>
      <w:r w:rsidRPr="000977F7">
        <w:rPr>
          <w:rFonts w:asciiTheme="majorHAnsi" w:hAnsiTheme="majorHAnsi"/>
          <w:spacing w:val="1"/>
          <w:sz w:val="20"/>
          <w:szCs w:val="20"/>
        </w:rPr>
        <w:t xml:space="preserve"> </w:t>
      </w:r>
      <w:r w:rsidRPr="000977F7">
        <w:rPr>
          <w:rFonts w:asciiTheme="majorHAnsi" w:hAnsiTheme="majorHAnsi"/>
          <w:sz w:val="20"/>
          <w:szCs w:val="20"/>
        </w:rPr>
        <w:t>тиском,</w:t>
      </w:r>
      <w:r w:rsidRPr="000977F7">
        <w:rPr>
          <w:rFonts w:asciiTheme="majorHAnsi" w:hAnsiTheme="majorHAnsi"/>
          <w:spacing w:val="1"/>
          <w:sz w:val="20"/>
          <w:szCs w:val="20"/>
        </w:rPr>
        <w:t xml:space="preserve"> </w:t>
      </w:r>
      <w:r w:rsidRPr="000977F7">
        <w:rPr>
          <w:rFonts w:asciiTheme="majorHAnsi" w:hAnsiTheme="majorHAnsi"/>
          <w:sz w:val="20"/>
          <w:szCs w:val="20"/>
        </w:rPr>
        <w:t>створеним</w:t>
      </w:r>
      <w:r w:rsidRPr="000977F7">
        <w:rPr>
          <w:rFonts w:asciiTheme="majorHAnsi" w:hAnsiTheme="majorHAnsi"/>
          <w:spacing w:val="1"/>
          <w:sz w:val="20"/>
          <w:szCs w:val="20"/>
        </w:rPr>
        <w:t xml:space="preserve"> </w:t>
      </w:r>
      <w:r w:rsidRPr="000977F7">
        <w:rPr>
          <w:rFonts w:asciiTheme="majorHAnsi" w:hAnsiTheme="majorHAnsi"/>
          <w:sz w:val="20"/>
          <w:szCs w:val="20"/>
        </w:rPr>
        <w:t>імпульсом сильного</w:t>
      </w:r>
      <w:r w:rsidRPr="000977F7">
        <w:rPr>
          <w:rFonts w:asciiTheme="majorHAnsi" w:hAnsiTheme="majorHAnsi"/>
          <w:spacing w:val="1"/>
          <w:sz w:val="20"/>
          <w:szCs w:val="20"/>
        </w:rPr>
        <w:t xml:space="preserve"> </w:t>
      </w:r>
      <w:r w:rsidRPr="000977F7">
        <w:rPr>
          <w:rFonts w:asciiTheme="majorHAnsi" w:hAnsiTheme="majorHAnsi"/>
          <w:sz w:val="20"/>
          <w:szCs w:val="20"/>
        </w:rPr>
        <w:t>магнітного поля</w:t>
      </w:r>
    </w:p>
    <w:p w14:paraId="13504B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Радіочастотне-поверхні</w:t>
      </w:r>
      <w:r w:rsidRPr="000977F7">
        <w:rPr>
          <w:rFonts w:asciiTheme="majorHAnsi" w:hAnsiTheme="majorHAnsi"/>
          <w:spacing w:val="1"/>
          <w:sz w:val="20"/>
          <w:szCs w:val="20"/>
        </w:rPr>
        <w:t xml:space="preserve"> </w:t>
      </w:r>
      <w:r w:rsidRPr="000977F7">
        <w:rPr>
          <w:rFonts w:asciiTheme="majorHAnsi" w:hAnsiTheme="majorHAnsi"/>
          <w:sz w:val="20"/>
          <w:szCs w:val="20"/>
        </w:rPr>
        <w:t>зварюваних</w:t>
      </w:r>
      <w:r w:rsidRPr="000977F7">
        <w:rPr>
          <w:rFonts w:asciiTheme="majorHAnsi" w:hAnsiTheme="majorHAnsi"/>
          <w:spacing w:val="1"/>
          <w:sz w:val="20"/>
          <w:szCs w:val="20"/>
        </w:rPr>
        <w:t xml:space="preserve"> </w:t>
      </w:r>
      <w:r w:rsidRPr="000977F7">
        <w:rPr>
          <w:rFonts w:asciiTheme="majorHAnsi" w:hAnsiTheme="majorHAnsi"/>
          <w:sz w:val="20"/>
          <w:szCs w:val="20"/>
        </w:rPr>
        <w:t>кромок</w:t>
      </w:r>
      <w:r w:rsidRPr="000977F7">
        <w:rPr>
          <w:rFonts w:asciiTheme="majorHAnsi" w:hAnsiTheme="majorHAnsi"/>
          <w:spacing w:val="1"/>
          <w:sz w:val="20"/>
          <w:szCs w:val="20"/>
        </w:rPr>
        <w:t xml:space="preserve"> </w:t>
      </w:r>
      <w:r w:rsidRPr="000977F7">
        <w:rPr>
          <w:rFonts w:asciiTheme="majorHAnsi" w:hAnsiTheme="majorHAnsi"/>
          <w:sz w:val="20"/>
          <w:szCs w:val="20"/>
        </w:rPr>
        <w:t>нагріваються до оплавлення струмами високої частоти, а потім стискаються</w:t>
      </w:r>
      <w:r w:rsidRPr="000977F7">
        <w:rPr>
          <w:rFonts w:asciiTheme="majorHAnsi" w:hAnsiTheme="majorHAnsi"/>
          <w:spacing w:val="-2"/>
          <w:sz w:val="20"/>
          <w:szCs w:val="20"/>
        </w:rPr>
        <w:t xml:space="preserve"> </w:t>
      </w:r>
      <w:r w:rsidRPr="000977F7">
        <w:rPr>
          <w:rFonts w:asciiTheme="majorHAnsi" w:hAnsiTheme="majorHAnsi"/>
          <w:sz w:val="20"/>
          <w:szCs w:val="20"/>
        </w:rPr>
        <w:t>роликами, що обертаються</w:t>
      </w:r>
    </w:p>
    <w:p w14:paraId="0A73FD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Рельєфне контактне-контактне зварювання, при якому</w:t>
      </w:r>
      <w:r w:rsidRPr="000977F7">
        <w:rPr>
          <w:rFonts w:asciiTheme="majorHAnsi" w:hAnsiTheme="majorHAnsi"/>
          <w:spacing w:val="-47"/>
          <w:sz w:val="20"/>
          <w:szCs w:val="20"/>
        </w:rPr>
        <w:t xml:space="preserve"> </w:t>
      </w:r>
      <w:r w:rsidRPr="000977F7">
        <w:rPr>
          <w:rFonts w:asciiTheme="majorHAnsi" w:hAnsiTheme="majorHAnsi"/>
          <w:sz w:val="20"/>
          <w:szCs w:val="20"/>
        </w:rPr>
        <w:t>місця зварювання визначаються заздалегідь підготованими</w:t>
      </w:r>
      <w:r w:rsidRPr="000977F7">
        <w:rPr>
          <w:rFonts w:asciiTheme="majorHAnsi" w:hAnsiTheme="majorHAnsi"/>
          <w:spacing w:val="-2"/>
          <w:sz w:val="20"/>
          <w:szCs w:val="20"/>
        </w:rPr>
        <w:t xml:space="preserve"> </w:t>
      </w:r>
      <w:r w:rsidRPr="000977F7">
        <w:rPr>
          <w:rFonts w:asciiTheme="majorHAnsi" w:hAnsiTheme="majorHAnsi"/>
          <w:sz w:val="20"/>
          <w:szCs w:val="20"/>
        </w:rPr>
        <w:t>виступами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заготовці</w:t>
      </w:r>
    </w:p>
    <w:p w14:paraId="1EC3515B"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Стикове-контактне</w:t>
      </w:r>
      <w:r w:rsidRPr="000977F7">
        <w:rPr>
          <w:rFonts w:asciiTheme="majorHAnsi" w:hAnsiTheme="majorHAnsi"/>
          <w:spacing w:val="25"/>
          <w:sz w:val="20"/>
          <w:szCs w:val="20"/>
        </w:rPr>
        <w:t xml:space="preserve"> </w:t>
      </w:r>
      <w:r w:rsidRPr="000977F7">
        <w:rPr>
          <w:rFonts w:asciiTheme="majorHAnsi" w:hAnsiTheme="majorHAnsi"/>
          <w:sz w:val="20"/>
          <w:szCs w:val="20"/>
        </w:rPr>
        <w:t>зварювання,</w:t>
      </w:r>
      <w:r w:rsidRPr="000977F7">
        <w:rPr>
          <w:rFonts w:asciiTheme="majorHAnsi" w:hAnsiTheme="majorHAnsi"/>
          <w:spacing w:val="26"/>
          <w:sz w:val="20"/>
          <w:szCs w:val="20"/>
        </w:rPr>
        <w:t xml:space="preserve"> </w:t>
      </w:r>
      <w:r w:rsidRPr="000977F7">
        <w:rPr>
          <w:rFonts w:asciiTheme="majorHAnsi" w:hAnsiTheme="majorHAnsi"/>
          <w:sz w:val="20"/>
          <w:szCs w:val="20"/>
        </w:rPr>
        <w:t>при</w:t>
      </w:r>
      <w:r w:rsidRPr="000977F7">
        <w:rPr>
          <w:rFonts w:asciiTheme="majorHAnsi" w:hAnsiTheme="majorHAnsi"/>
          <w:spacing w:val="27"/>
          <w:sz w:val="20"/>
          <w:szCs w:val="20"/>
        </w:rPr>
        <w:t xml:space="preserve"> </w:t>
      </w:r>
      <w:r w:rsidRPr="000977F7">
        <w:rPr>
          <w:rFonts w:asciiTheme="majorHAnsi" w:hAnsiTheme="majorHAnsi"/>
          <w:sz w:val="20"/>
          <w:szCs w:val="20"/>
        </w:rPr>
        <w:t>якому</w:t>
      </w:r>
      <w:r w:rsidRPr="000977F7">
        <w:rPr>
          <w:rFonts w:asciiTheme="majorHAnsi" w:hAnsiTheme="majorHAnsi"/>
          <w:spacing w:val="25"/>
          <w:sz w:val="20"/>
          <w:szCs w:val="20"/>
        </w:rPr>
        <w:t xml:space="preserve"> </w:t>
      </w:r>
      <w:r w:rsidRPr="000977F7">
        <w:rPr>
          <w:rFonts w:asciiTheme="majorHAnsi" w:hAnsiTheme="majorHAnsi"/>
          <w:sz w:val="20"/>
          <w:szCs w:val="20"/>
        </w:rPr>
        <w:t>заготовки</w:t>
      </w:r>
      <w:r w:rsidRPr="000977F7">
        <w:rPr>
          <w:rFonts w:asciiTheme="majorHAnsi" w:hAnsiTheme="majorHAnsi"/>
          <w:spacing w:val="-47"/>
          <w:sz w:val="20"/>
          <w:szCs w:val="20"/>
        </w:rPr>
        <w:t xml:space="preserve"> </w:t>
      </w:r>
      <w:r w:rsidRPr="000977F7">
        <w:rPr>
          <w:rFonts w:asciiTheme="majorHAnsi" w:hAnsiTheme="majorHAnsi"/>
          <w:sz w:val="20"/>
          <w:szCs w:val="20"/>
        </w:rPr>
        <w:t>зварюються по всій поверхні прилягання торців</w:t>
      </w:r>
      <w:r w:rsidRPr="000977F7">
        <w:rPr>
          <w:rFonts w:asciiTheme="majorHAnsi" w:hAnsiTheme="majorHAnsi"/>
          <w:spacing w:val="1"/>
          <w:sz w:val="20"/>
          <w:szCs w:val="20"/>
        </w:rPr>
        <w:t xml:space="preserve"> </w:t>
      </w:r>
    </w:p>
    <w:p w14:paraId="4614CC8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Термітне-для</w:t>
      </w:r>
      <w:r w:rsidRPr="000977F7">
        <w:rPr>
          <w:rFonts w:asciiTheme="majorHAnsi" w:hAnsiTheme="majorHAnsi"/>
          <w:spacing w:val="4"/>
          <w:sz w:val="20"/>
          <w:szCs w:val="20"/>
        </w:rPr>
        <w:t xml:space="preserve"> </w:t>
      </w:r>
      <w:r w:rsidRPr="000977F7">
        <w:rPr>
          <w:rFonts w:asciiTheme="majorHAnsi" w:hAnsiTheme="majorHAnsi"/>
          <w:sz w:val="20"/>
          <w:szCs w:val="20"/>
        </w:rPr>
        <w:t>нагрівання</w:t>
      </w:r>
      <w:r w:rsidRPr="000977F7">
        <w:rPr>
          <w:rFonts w:asciiTheme="majorHAnsi" w:hAnsiTheme="majorHAnsi"/>
          <w:spacing w:val="6"/>
          <w:sz w:val="20"/>
          <w:szCs w:val="20"/>
        </w:rPr>
        <w:t xml:space="preserve"> </w:t>
      </w:r>
      <w:r w:rsidRPr="000977F7">
        <w:rPr>
          <w:rFonts w:asciiTheme="majorHAnsi" w:hAnsiTheme="majorHAnsi"/>
          <w:sz w:val="20"/>
          <w:szCs w:val="20"/>
        </w:rPr>
        <w:t>використовується</w:t>
      </w:r>
      <w:r w:rsidRPr="000977F7">
        <w:rPr>
          <w:rFonts w:asciiTheme="majorHAnsi" w:hAnsiTheme="majorHAnsi"/>
          <w:spacing w:val="2"/>
          <w:sz w:val="20"/>
          <w:szCs w:val="20"/>
        </w:rPr>
        <w:t xml:space="preserve"> </w:t>
      </w:r>
      <w:r w:rsidRPr="000977F7">
        <w:rPr>
          <w:rFonts w:asciiTheme="majorHAnsi" w:hAnsiTheme="majorHAnsi"/>
          <w:sz w:val="20"/>
          <w:szCs w:val="20"/>
        </w:rPr>
        <w:t xml:space="preserve">енергія </w:t>
      </w:r>
      <w:r w:rsidRPr="000977F7">
        <w:rPr>
          <w:rFonts w:asciiTheme="majorHAnsi" w:hAnsiTheme="majorHAnsi"/>
          <w:spacing w:val="-47"/>
          <w:sz w:val="20"/>
          <w:szCs w:val="20"/>
        </w:rPr>
        <w:t xml:space="preserve"> </w:t>
      </w:r>
      <w:r w:rsidRPr="000977F7">
        <w:rPr>
          <w:rFonts w:asciiTheme="majorHAnsi" w:hAnsiTheme="majorHAnsi"/>
          <w:sz w:val="20"/>
          <w:szCs w:val="20"/>
        </w:rPr>
        <w:t>горіння</w:t>
      </w:r>
      <w:r w:rsidRPr="000977F7">
        <w:rPr>
          <w:rFonts w:asciiTheme="majorHAnsi" w:hAnsiTheme="majorHAnsi"/>
          <w:spacing w:val="-2"/>
          <w:sz w:val="20"/>
          <w:szCs w:val="20"/>
        </w:rPr>
        <w:t xml:space="preserve"> </w:t>
      </w:r>
      <w:r w:rsidRPr="000977F7">
        <w:rPr>
          <w:rFonts w:asciiTheme="majorHAnsi" w:hAnsiTheme="majorHAnsi"/>
          <w:sz w:val="20"/>
          <w:szCs w:val="20"/>
        </w:rPr>
        <w:t>термітної</w:t>
      </w:r>
      <w:r w:rsidRPr="000977F7">
        <w:rPr>
          <w:rFonts w:asciiTheme="majorHAnsi" w:hAnsiTheme="majorHAnsi"/>
          <w:spacing w:val="-1"/>
          <w:sz w:val="20"/>
          <w:szCs w:val="20"/>
        </w:rPr>
        <w:t xml:space="preserve"> </w:t>
      </w:r>
      <w:r w:rsidRPr="000977F7">
        <w:rPr>
          <w:rFonts w:asciiTheme="majorHAnsi" w:hAnsiTheme="majorHAnsi"/>
          <w:sz w:val="20"/>
          <w:szCs w:val="20"/>
        </w:rPr>
        <w:t>суміші</w:t>
      </w:r>
    </w:p>
    <w:p w14:paraId="26F720ED"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Тертям-зварювання</w:t>
      </w:r>
      <w:r w:rsidRPr="000977F7">
        <w:rPr>
          <w:rFonts w:asciiTheme="majorHAnsi" w:hAnsiTheme="majorHAnsi"/>
          <w:spacing w:val="41"/>
          <w:sz w:val="20"/>
          <w:szCs w:val="20"/>
        </w:rPr>
        <w:t xml:space="preserve"> </w:t>
      </w:r>
      <w:r w:rsidRPr="000977F7">
        <w:rPr>
          <w:rFonts w:asciiTheme="majorHAnsi" w:hAnsiTheme="majorHAnsi"/>
          <w:sz w:val="20"/>
          <w:szCs w:val="20"/>
        </w:rPr>
        <w:t>тиском,</w:t>
      </w:r>
      <w:r w:rsidRPr="000977F7">
        <w:rPr>
          <w:rFonts w:asciiTheme="majorHAnsi" w:hAnsiTheme="majorHAnsi"/>
          <w:spacing w:val="42"/>
          <w:sz w:val="20"/>
          <w:szCs w:val="20"/>
        </w:rPr>
        <w:t xml:space="preserve"> </w:t>
      </w:r>
      <w:r w:rsidRPr="000977F7">
        <w:rPr>
          <w:rFonts w:asciiTheme="majorHAnsi" w:hAnsiTheme="majorHAnsi"/>
          <w:sz w:val="20"/>
          <w:szCs w:val="20"/>
        </w:rPr>
        <w:t>при</w:t>
      </w:r>
      <w:r w:rsidRPr="000977F7">
        <w:rPr>
          <w:rFonts w:asciiTheme="majorHAnsi" w:hAnsiTheme="majorHAnsi"/>
          <w:spacing w:val="41"/>
          <w:sz w:val="20"/>
          <w:szCs w:val="20"/>
        </w:rPr>
        <w:t xml:space="preserve"> </w:t>
      </w:r>
      <w:r w:rsidRPr="000977F7">
        <w:rPr>
          <w:rFonts w:asciiTheme="majorHAnsi" w:hAnsiTheme="majorHAnsi"/>
          <w:sz w:val="20"/>
          <w:szCs w:val="20"/>
        </w:rPr>
        <w:t>якому</w:t>
      </w:r>
      <w:r w:rsidRPr="000977F7">
        <w:rPr>
          <w:rFonts w:asciiTheme="majorHAnsi" w:hAnsiTheme="majorHAnsi"/>
          <w:spacing w:val="38"/>
          <w:sz w:val="20"/>
          <w:szCs w:val="20"/>
        </w:rPr>
        <w:t xml:space="preserve"> </w:t>
      </w:r>
      <w:r w:rsidRPr="000977F7">
        <w:rPr>
          <w:rFonts w:asciiTheme="majorHAnsi" w:hAnsiTheme="majorHAnsi"/>
          <w:sz w:val="20"/>
          <w:szCs w:val="20"/>
        </w:rPr>
        <w:t xml:space="preserve">нагрівання </w:t>
      </w:r>
      <w:r w:rsidRPr="000977F7">
        <w:rPr>
          <w:rFonts w:asciiTheme="majorHAnsi" w:hAnsiTheme="majorHAnsi"/>
          <w:spacing w:val="-47"/>
          <w:sz w:val="20"/>
          <w:szCs w:val="20"/>
        </w:rPr>
        <w:t xml:space="preserve"> </w:t>
      </w:r>
      <w:r w:rsidRPr="000977F7">
        <w:rPr>
          <w:rFonts w:asciiTheme="majorHAnsi" w:hAnsiTheme="majorHAnsi"/>
          <w:sz w:val="20"/>
          <w:szCs w:val="20"/>
        </w:rPr>
        <w:t>поверхневих</w:t>
      </w:r>
      <w:r w:rsidRPr="000977F7">
        <w:rPr>
          <w:rFonts w:asciiTheme="majorHAnsi" w:hAnsiTheme="majorHAnsi"/>
          <w:spacing w:val="14"/>
          <w:sz w:val="20"/>
          <w:szCs w:val="20"/>
        </w:rPr>
        <w:t xml:space="preserve"> </w:t>
      </w:r>
      <w:r w:rsidRPr="000977F7">
        <w:rPr>
          <w:rFonts w:asciiTheme="majorHAnsi" w:hAnsiTheme="majorHAnsi"/>
          <w:sz w:val="20"/>
          <w:szCs w:val="20"/>
        </w:rPr>
        <w:t>шарів</w:t>
      </w:r>
      <w:r w:rsidRPr="000977F7">
        <w:rPr>
          <w:rFonts w:asciiTheme="majorHAnsi" w:hAnsiTheme="majorHAnsi"/>
          <w:spacing w:val="13"/>
          <w:sz w:val="20"/>
          <w:szCs w:val="20"/>
        </w:rPr>
        <w:t xml:space="preserve"> </w:t>
      </w:r>
      <w:r w:rsidRPr="000977F7">
        <w:rPr>
          <w:rFonts w:asciiTheme="majorHAnsi" w:hAnsiTheme="majorHAnsi"/>
          <w:sz w:val="20"/>
          <w:szCs w:val="20"/>
        </w:rPr>
        <w:t>металу</w:t>
      </w:r>
      <w:r w:rsidRPr="000977F7">
        <w:rPr>
          <w:rFonts w:asciiTheme="majorHAnsi" w:hAnsiTheme="majorHAnsi"/>
          <w:spacing w:val="12"/>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13"/>
          <w:sz w:val="20"/>
          <w:szCs w:val="20"/>
        </w:rPr>
        <w:t xml:space="preserve"> </w:t>
      </w:r>
      <w:r w:rsidRPr="000977F7">
        <w:rPr>
          <w:rFonts w:asciiTheme="majorHAnsi" w:hAnsiTheme="majorHAnsi"/>
          <w:sz w:val="20"/>
          <w:szCs w:val="20"/>
        </w:rPr>
        <w:t>роботою</w:t>
      </w:r>
      <w:r w:rsidRPr="000977F7">
        <w:rPr>
          <w:rFonts w:asciiTheme="majorHAnsi" w:hAnsiTheme="majorHAnsi"/>
          <w:spacing w:val="14"/>
          <w:sz w:val="20"/>
          <w:szCs w:val="20"/>
        </w:rPr>
        <w:t xml:space="preserve"> </w:t>
      </w:r>
      <w:r w:rsidRPr="000977F7">
        <w:rPr>
          <w:rFonts w:asciiTheme="majorHAnsi" w:hAnsiTheme="majorHAnsi"/>
          <w:sz w:val="20"/>
          <w:szCs w:val="20"/>
        </w:rPr>
        <w:t>сил</w:t>
      </w:r>
      <w:r w:rsidRPr="000977F7">
        <w:rPr>
          <w:rFonts w:asciiTheme="majorHAnsi" w:hAnsiTheme="majorHAnsi"/>
          <w:spacing w:val="-47"/>
          <w:sz w:val="20"/>
          <w:szCs w:val="20"/>
        </w:rPr>
        <w:t xml:space="preserve">  </w:t>
      </w:r>
      <w:r w:rsidRPr="000977F7">
        <w:rPr>
          <w:rFonts w:asciiTheme="majorHAnsi" w:hAnsiTheme="majorHAnsi"/>
          <w:sz w:val="20"/>
          <w:szCs w:val="20"/>
        </w:rPr>
        <w:t>тертя,</w:t>
      </w:r>
      <w:r w:rsidRPr="000977F7">
        <w:rPr>
          <w:rFonts w:asciiTheme="majorHAnsi" w:hAnsiTheme="majorHAnsi"/>
          <w:spacing w:val="21"/>
          <w:sz w:val="20"/>
          <w:szCs w:val="20"/>
        </w:rPr>
        <w:t xml:space="preserve"> </w:t>
      </w:r>
      <w:r w:rsidRPr="000977F7">
        <w:rPr>
          <w:rFonts w:asciiTheme="majorHAnsi" w:hAnsiTheme="majorHAnsi"/>
          <w:sz w:val="20"/>
          <w:szCs w:val="20"/>
        </w:rPr>
        <w:t>які</w:t>
      </w:r>
      <w:r w:rsidRPr="000977F7">
        <w:rPr>
          <w:rFonts w:asciiTheme="majorHAnsi" w:hAnsiTheme="majorHAnsi"/>
          <w:spacing w:val="21"/>
          <w:sz w:val="20"/>
          <w:szCs w:val="20"/>
        </w:rPr>
        <w:t xml:space="preserve"> </w:t>
      </w:r>
      <w:r w:rsidRPr="000977F7">
        <w:rPr>
          <w:rFonts w:asciiTheme="majorHAnsi" w:hAnsiTheme="majorHAnsi"/>
          <w:sz w:val="20"/>
          <w:szCs w:val="20"/>
        </w:rPr>
        <w:t>виникають</w:t>
      </w:r>
      <w:r w:rsidRPr="000977F7">
        <w:rPr>
          <w:rFonts w:asciiTheme="majorHAnsi" w:hAnsiTheme="majorHAnsi"/>
          <w:spacing w:val="24"/>
          <w:sz w:val="20"/>
          <w:szCs w:val="20"/>
        </w:rPr>
        <w:t xml:space="preserve"> </w:t>
      </w:r>
      <w:r w:rsidRPr="000977F7">
        <w:rPr>
          <w:rFonts w:asciiTheme="majorHAnsi" w:hAnsiTheme="majorHAnsi"/>
          <w:sz w:val="20"/>
          <w:szCs w:val="20"/>
        </w:rPr>
        <w:t>при</w:t>
      </w:r>
      <w:r w:rsidRPr="000977F7">
        <w:rPr>
          <w:rFonts w:asciiTheme="majorHAnsi" w:hAnsiTheme="majorHAnsi"/>
          <w:spacing w:val="22"/>
          <w:sz w:val="20"/>
          <w:szCs w:val="20"/>
        </w:rPr>
        <w:t xml:space="preserve"> </w:t>
      </w:r>
      <w:r w:rsidRPr="000977F7">
        <w:rPr>
          <w:rFonts w:asciiTheme="majorHAnsi" w:hAnsiTheme="majorHAnsi"/>
          <w:sz w:val="20"/>
          <w:szCs w:val="20"/>
        </w:rPr>
        <w:t>відносному</w:t>
      </w:r>
      <w:r w:rsidRPr="000977F7">
        <w:rPr>
          <w:rFonts w:asciiTheme="majorHAnsi" w:hAnsiTheme="majorHAnsi"/>
          <w:spacing w:val="20"/>
          <w:sz w:val="20"/>
          <w:szCs w:val="20"/>
        </w:rPr>
        <w:t xml:space="preserve"> </w:t>
      </w:r>
      <w:r w:rsidRPr="000977F7">
        <w:rPr>
          <w:rFonts w:asciiTheme="majorHAnsi" w:hAnsiTheme="majorHAnsi"/>
          <w:sz w:val="20"/>
          <w:szCs w:val="20"/>
        </w:rPr>
        <w:t xml:space="preserve">переміщенні </w:t>
      </w:r>
      <w:r w:rsidRPr="000977F7">
        <w:rPr>
          <w:rFonts w:asciiTheme="majorHAnsi" w:hAnsiTheme="majorHAnsi"/>
          <w:spacing w:val="-47"/>
          <w:sz w:val="20"/>
          <w:szCs w:val="20"/>
        </w:rPr>
        <w:t xml:space="preserve"> </w:t>
      </w:r>
      <w:r w:rsidRPr="000977F7">
        <w:rPr>
          <w:rFonts w:asciiTheme="majorHAnsi" w:hAnsiTheme="majorHAnsi"/>
          <w:sz w:val="20"/>
          <w:szCs w:val="20"/>
        </w:rPr>
        <w:t>зварювальних заготовок, стиснутих осьовою силою</w:t>
      </w:r>
      <w:r w:rsidRPr="000977F7">
        <w:rPr>
          <w:rFonts w:asciiTheme="majorHAnsi" w:hAnsiTheme="majorHAnsi"/>
          <w:spacing w:val="1"/>
          <w:sz w:val="20"/>
          <w:szCs w:val="20"/>
        </w:rPr>
        <w:t xml:space="preserve"> </w:t>
      </w:r>
    </w:p>
    <w:p w14:paraId="71B6DB5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Тиском-із</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застосуванням</w:t>
      </w:r>
      <w:r w:rsidRPr="000977F7">
        <w:rPr>
          <w:rFonts w:asciiTheme="majorHAnsi" w:hAnsiTheme="majorHAnsi"/>
          <w:spacing w:val="1"/>
          <w:sz w:val="20"/>
          <w:szCs w:val="20"/>
        </w:rPr>
        <w:t xml:space="preserve"> </w:t>
      </w:r>
      <w:r w:rsidRPr="000977F7">
        <w:rPr>
          <w:rFonts w:asciiTheme="majorHAnsi" w:hAnsiTheme="majorHAnsi"/>
          <w:sz w:val="20"/>
          <w:szCs w:val="20"/>
        </w:rPr>
        <w:t>великого</w:t>
      </w:r>
      <w:r w:rsidRPr="000977F7">
        <w:rPr>
          <w:rFonts w:asciiTheme="majorHAnsi" w:hAnsiTheme="majorHAnsi"/>
          <w:spacing w:val="1"/>
          <w:sz w:val="20"/>
          <w:szCs w:val="20"/>
        </w:rPr>
        <w:t xml:space="preserve"> </w:t>
      </w:r>
      <w:r w:rsidRPr="000977F7">
        <w:rPr>
          <w:rFonts w:asciiTheme="majorHAnsi" w:hAnsiTheme="majorHAnsi"/>
          <w:sz w:val="20"/>
          <w:szCs w:val="20"/>
        </w:rPr>
        <w:t>тиску,</w:t>
      </w:r>
      <w:r w:rsidRPr="000977F7">
        <w:rPr>
          <w:rFonts w:asciiTheme="majorHAnsi" w:hAnsiTheme="majorHAnsi"/>
          <w:spacing w:val="1"/>
          <w:sz w:val="20"/>
          <w:szCs w:val="20"/>
        </w:rPr>
        <w:t xml:space="preserve"> </w:t>
      </w:r>
      <w:r w:rsidRPr="000977F7">
        <w:rPr>
          <w:rFonts w:asciiTheme="majorHAnsi" w:hAnsiTheme="majorHAnsi"/>
          <w:sz w:val="20"/>
          <w:szCs w:val="20"/>
        </w:rPr>
        <w:t>яке</w:t>
      </w:r>
      <w:r w:rsidRPr="000977F7">
        <w:rPr>
          <w:rFonts w:asciiTheme="majorHAnsi" w:hAnsiTheme="majorHAnsi"/>
          <w:spacing w:val="1"/>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23"/>
          <w:sz w:val="20"/>
          <w:szCs w:val="20"/>
        </w:rPr>
        <w:t xml:space="preserve"> </w:t>
      </w:r>
      <w:r w:rsidRPr="000977F7">
        <w:rPr>
          <w:rFonts w:asciiTheme="majorHAnsi" w:hAnsiTheme="majorHAnsi"/>
          <w:sz w:val="20"/>
          <w:szCs w:val="20"/>
        </w:rPr>
        <w:t>за</w:t>
      </w:r>
      <w:r w:rsidRPr="000977F7">
        <w:rPr>
          <w:rFonts w:asciiTheme="majorHAnsi" w:hAnsiTheme="majorHAnsi"/>
          <w:spacing w:val="23"/>
          <w:sz w:val="20"/>
          <w:szCs w:val="20"/>
        </w:rPr>
        <w:t xml:space="preserve"> </w:t>
      </w:r>
      <w:r w:rsidRPr="000977F7">
        <w:rPr>
          <w:rFonts w:asciiTheme="majorHAnsi" w:hAnsiTheme="majorHAnsi"/>
          <w:sz w:val="20"/>
          <w:szCs w:val="20"/>
        </w:rPr>
        <w:t>рахунок</w:t>
      </w:r>
      <w:r w:rsidRPr="000977F7">
        <w:rPr>
          <w:rFonts w:asciiTheme="majorHAnsi" w:hAnsiTheme="majorHAnsi"/>
          <w:spacing w:val="21"/>
          <w:sz w:val="20"/>
          <w:szCs w:val="20"/>
        </w:rPr>
        <w:t xml:space="preserve"> </w:t>
      </w:r>
      <w:r w:rsidRPr="000977F7">
        <w:rPr>
          <w:rFonts w:asciiTheme="majorHAnsi" w:hAnsiTheme="majorHAnsi"/>
          <w:sz w:val="20"/>
          <w:szCs w:val="20"/>
        </w:rPr>
        <w:t>сумісного</w:t>
      </w:r>
      <w:r w:rsidRPr="000977F7">
        <w:rPr>
          <w:rFonts w:asciiTheme="majorHAnsi" w:hAnsiTheme="majorHAnsi"/>
          <w:spacing w:val="23"/>
          <w:sz w:val="20"/>
          <w:szCs w:val="20"/>
        </w:rPr>
        <w:t xml:space="preserve"> </w:t>
      </w:r>
      <w:r w:rsidRPr="000977F7">
        <w:rPr>
          <w:rFonts w:asciiTheme="majorHAnsi" w:hAnsiTheme="majorHAnsi"/>
          <w:sz w:val="20"/>
          <w:szCs w:val="20"/>
        </w:rPr>
        <w:t>пластичного</w:t>
      </w:r>
      <w:r w:rsidRPr="000977F7">
        <w:rPr>
          <w:rFonts w:asciiTheme="majorHAnsi" w:hAnsiTheme="majorHAnsi"/>
          <w:spacing w:val="26"/>
          <w:sz w:val="20"/>
          <w:szCs w:val="20"/>
        </w:rPr>
        <w:t xml:space="preserve"> </w:t>
      </w:r>
      <w:r w:rsidRPr="000977F7">
        <w:rPr>
          <w:rFonts w:asciiTheme="majorHAnsi" w:hAnsiTheme="majorHAnsi"/>
          <w:sz w:val="20"/>
          <w:szCs w:val="20"/>
        </w:rPr>
        <w:t>деформування</w:t>
      </w:r>
      <w:r w:rsidRPr="000977F7">
        <w:rPr>
          <w:rFonts w:asciiTheme="majorHAnsi" w:hAnsiTheme="majorHAnsi"/>
          <w:spacing w:val="-2"/>
          <w:sz w:val="20"/>
          <w:szCs w:val="20"/>
        </w:rPr>
        <w:t xml:space="preserve"> </w:t>
      </w:r>
      <w:r w:rsidRPr="000977F7">
        <w:rPr>
          <w:rFonts w:asciiTheme="majorHAnsi" w:hAnsiTheme="majorHAnsi"/>
          <w:sz w:val="20"/>
          <w:szCs w:val="20"/>
        </w:rPr>
        <w:t>з’єднуваних</w:t>
      </w:r>
      <w:r w:rsidRPr="000977F7">
        <w:rPr>
          <w:rFonts w:asciiTheme="majorHAnsi" w:hAnsiTheme="majorHAnsi"/>
          <w:spacing w:val="-2"/>
          <w:sz w:val="20"/>
          <w:szCs w:val="20"/>
        </w:rPr>
        <w:t xml:space="preserve"> </w:t>
      </w:r>
      <w:r w:rsidRPr="000977F7">
        <w:rPr>
          <w:rFonts w:asciiTheme="majorHAnsi" w:hAnsiTheme="majorHAnsi"/>
          <w:sz w:val="20"/>
          <w:szCs w:val="20"/>
        </w:rPr>
        <w:t>частин в</w:t>
      </w:r>
      <w:r w:rsidRPr="000977F7">
        <w:rPr>
          <w:rFonts w:asciiTheme="majorHAnsi" w:hAnsiTheme="majorHAnsi"/>
          <w:spacing w:val="-1"/>
          <w:sz w:val="20"/>
          <w:szCs w:val="20"/>
        </w:rPr>
        <w:t xml:space="preserve"> </w:t>
      </w:r>
      <w:r w:rsidRPr="000977F7">
        <w:rPr>
          <w:rFonts w:asciiTheme="majorHAnsi" w:hAnsiTheme="majorHAnsi"/>
          <w:sz w:val="20"/>
          <w:szCs w:val="20"/>
        </w:rPr>
        <w:t>холодному</w:t>
      </w:r>
      <w:r w:rsidRPr="000977F7">
        <w:rPr>
          <w:rFonts w:asciiTheme="majorHAnsi" w:hAnsiTheme="majorHAnsi"/>
          <w:spacing w:val="-5"/>
          <w:sz w:val="20"/>
          <w:szCs w:val="20"/>
        </w:rPr>
        <w:t xml:space="preserve"> </w:t>
      </w:r>
      <w:r w:rsidRPr="000977F7">
        <w:rPr>
          <w:rFonts w:asciiTheme="majorHAnsi" w:hAnsiTheme="majorHAnsi"/>
          <w:sz w:val="20"/>
          <w:szCs w:val="20"/>
        </w:rPr>
        <w:t>стані</w:t>
      </w:r>
    </w:p>
    <w:p w14:paraId="0F08AD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Точкове-зварювані</w:t>
      </w:r>
      <w:r w:rsidRPr="000977F7">
        <w:rPr>
          <w:rFonts w:asciiTheme="majorHAnsi" w:hAnsiTheme="majorHAnsi"/>
          <w:spacing w:val="34"/>
          <w:sz w:val="20"/>
          <w:szCs w:val="20"/>
        </w:rPr>
        <w:t xml:space="preserve"> </w:t>
      </w:r>
      <w:r w:rsidRPr="000977F7">
        <w:rPr>
          <w:rFonts w:asciiTheme="majorHAnsi" w:hAnsiTheme="majorHAnsi"/>
          <w:sz w:val="20"/>
          <w:szCs w:val="20"/>
        </w:rPr>
        <w:t>вироби</w:t>
      </w:r>
      <w:r w:rsidRPr="000977F7">
        <w:rPr>
          <w:rFonts w:asciiTheme="majorHAnsi" w:hAnsiTheme="majorHAnsi"/>
          <w:spacing w:val="33"/>
          <w:sz w:val="20"/>
          <w:szCs w:val="20"/>
        </w:rPr>
        <w:t xml:space="preserve"> </w:t>
      </w:r>
      <w:r w:rsidRPr="000977F7">
        <w:rPr>
          <w:rFonts w:asciiTheme="majorHAnsi" w:hAnsiTheme="majorHAnsi"/>
          <w:sz w:val="20"/>
          <w:szCs w:val="20"/>
        </w:rPr>
        <w:t>з’єднуються</w:t>
      </w:r>
      <w:r w:rsidRPr="000977F7">
        <w:rPr>
          <w:rFonts w:asciiTheme="majorHAnsi" w:hAnsiTheme="majorHAnsi"/>
          <w:spacing w:val="34"/>
          <w:sz w:val="20"/>
          <w:szCs w:val="20"/>
        </w:rPr>
        <w:t xml:space="preserve"> </w:t>
      </w:r>
      <w:r w:rsidRPr="000977F7">
        <w:rPr>
          <w:rFonts w:asciiTheme="majorHAnsi" w:hAnsiTheme="majorHAnsi"/>
          <w:sz w:val="20"/>
          <w:szCs w:val="20"/>
        </w:rPr>
        <w:t>між</w:t>
      </w:r>
      <w:r w:rsidRPr="000977F7">
        <w:rPr>
          <w:rFonts w:asciiTheme="majorHAnsi" w:hAnsiTheme="majorHAnsi"/>
          <w:spacing w:val="33"/>
          <w:sz w:val="20"/>
          <w:szCs w:val="20"/>
        </w:rPr>
        <w:t xml:space="preserve"> </w:t>
      </w:r>
      <w:r w:rsidRPr="000977F7">
        <w:rPr>
          <w:rFonts w:asciiTheme="majorHAnsi" w:hAnsiTheme="majorHAnsi"/>
          <w:sz w:val="20"/>
          <w:szCs w:val="20"/>
        </w:rPr>
        <w:t>собою</w:t>
      </w:r>
      <w:r w:rsidRPr="000977F7">
        <w:rPr>
          <w:rFonts w:asciiTheme="majorHAnsi" w:hAnsiTheme="majorHAnsi"/>
          <w:spacing w:val="34"/>
          <w:sz w:val="20"/>
          <w:szCs w:val="20"/>
        </w:rPr>
        <w:t xml:space="preserve"> </w:t>
      </w:r>
      <w:r w:rsidRPr="000977F7">
        <w:rPr>
          <w:rFonts w:asciiTheme="majorHAnsi" w:hAnsiTheme="majorHAnsi"/>
          <w:sz w:val="20"/>
          <w:szCs w:val="20"/>
        </w:rPr>
        <w:t>в</w:t>
      </w:r>
      <w:r w:rsidRPr="000977F7">
        <w:rPr>
          <w:rFonts w:asciiTheme="majorHAnsi" w:hAnsiTheme="majorHAnsi"/>
          <w:spacing w:val="-47"/>
          <w:sz w:val="20"/>
          <w:szCs w:val="20"/>
        </w:rPr>
        <w:t xml:space="preserve"> </w:t>
      </w:r>
      <w:r w:rsidRPr="000977F7">
        <w:rPr>
          <w:rFonts w:asciiTheme="majorHAnsi" w:hAnsiTheme="majorHAnsi"/>
          <w:sz w:val="20"/>
          <w:szCs w:val="20"/>
        </w:rPr>
        <w:t>окремих</w:t>
      </w:r>
      <w:r w:rsidRPr="000977F7">
        <w:rPr>
          <w:rFonts w:asciiTheme="majorHAnsi" w:hAnsiTheme="majorHAnsi"/>
          <w:spacing w:val="-2"/>
          <w:sz w:val="20"/>
          <w:szCs w:val="20"/>
        </w:rPr>
        <w:t xml:space="preserve"> </w:t>
      </w:r>
      <w:r w:rsidRPr="000977F7">
        <w:rPr>
          <w:rFonts w:asciiTheme="majorHAnsi" w:hAnsiTheme="majorHAnsi"/>
          <w:sz w:val="20"/>
          <w:szCs w:val="20"/>
        </w:rPr>
        <w:t>точках</w:t>
      </w:r>
    </w:p>
    <w:p w14:paraId="5AF904D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Ультразвукове-зварювання тиском, яке здійснюється</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впливом</w:t>
      </w:r>
      <w:r w:rsidRPr="000977F7">
        <w:rPr>
          <w:rFonts w:asciiTheme="majorHAnsi" w:hAnsiTheme="majorHAnsi"/>
          <w:spacing w:val="1"/>
          <w:sz w:val="20"/>
          <w:szCs w:val="20"/>
        </w:rPr>
        <w:t xml:space="preserve"> </w:t>
      </w:r>
      <w:r w:rsidRPr="000977F7">
        <w:rPr>
          <w:rFonts w:asciiTheme="majorHAnsi" w:hAnsiTheme="majorHAnsi"/>
          <w:sz w:val="20"/>
          <w:szCs w:val="20"/>
        </w:rPr>
        <w:t>ультразвукових</w:t>
      </w:r>
      <w:r w:rsidRPr="000977F7">
        <w:rPr>
          <w:rFonts w:asciiTheme="majorHAnsi" w:hAnsiTheme="majorHAnsi"/>
          <w:spacing w:val="1"/>
          <w:sz w:val="20"/>
          <w:szCs w:val="20"/>
        </w:rPr>
        <w:t xml:space="preserve"> </w:t>
      </w:r>
      <w:r w:rsidRPr="000977F7">
        <w:rPr>
          <w:rFonts w:asciiTheme="majorHAnsi" w:hAnsiTheme="majorHAnsi"/>
          <w:sz w:val="20"/>
          <w:szCs w:val="20"/>
        </w:rPr>
        <w:t>коливань,</w:t>
      </w:r>
      <w:r w:rsidRPr="000977F7">
        <w:rPr>
          <w:rFonts w:asciiTheme="majorHAnsi" w:hAnsiTheme="majorHAnsi"/>
          <w:spacing w:val="1"/>
          <w:sz w:val="20"/>
          <w:szCs w:val="20"/>
        </w:rPr>
        <w:t xml:space="preserve"> </w:t>
      </w:r>
      <w:r w:rsidRPr="000977F7">
        <w:rPr>
          <w:rFonts w:asciiTheme="majorHAnsi" w:hAnsiTheme="majorHAnsi"/>
          <w:sz w:val="20"/>
          <w:szCs w:val="20"/>
        </w:rPr>
        <w:t>які викликають механічні коливання стиснутих осьовою силою</w:t>
      </w:r>
      <w:r w:rsidRPr="000977F7">
        <w:rPr>
          <w:rFonts w:asciiTheme="majorHAnsi" w:hAnsiTheme="majorHAnsi"/>
          <w:spacing w:val="1"/>
          <w:sz w:val="20"/>
          <w:szCs w:val="20"/>
        </w:rPr>
        <w:t xml:space="preserve"> </w:t>
      </w:r>
      <w:r w:rsidRPr="000977F7">
        <w:rPr>
          <w:rFonts w:asciiTheme="majorHAnsi" w:hAnsiTheme="majorHAnsi"/>
          <w:sz w:val="20"/>
          <w:szCs w:val="20"/>
        </w:rPr>
        <w:t>заготовок</w:t>
      </w:r>
      <w:r w:rsidRPr="000977F7">
        <w:rPr>
          <w:rFonts w:asciiTheme="majorHAnsi" w:hAnsiTheme="majorHAnsi"/>
          <w:spacing w:val="-2"/>
          <w:sz w:val="20"/>
          <w:szCs w:val="20"/>
        </w:rPr>
        <w:t xml:space="preserve"> </w:t>
      </w:r>
      <w:r w:rsidRPr="000977F7">
        <w:rPr>
          <w:rFonts w:asciiTheme="majorHAnsi" w:hAnsiTheme="majorHAnsi"/>
          <w:sz w:val="20"/>
          <w:szCs w:val="20"/>
        </w:rPr>
        <w:t>та їх</w:t>
      </w:r>
      <w:r w:rsidRPr="000977F7">
        <w:rPr>
          <w:rFonts w:asciiTheme="majorHAnsi" w:hAnsiTheme="majorHAnsi"/>
          <w:spacing w:val="1"/>
          <w:sz w:val="20"/>
          <w:szCs w:val="20"/>
        </w:rPr>
        <w:t xml:space="preserve"> </w:t>
      </w:r>
      <w:r w:rsidRPr="000977F7">
        <w:rPr>
          <w:rFonts w:asciiTheme="majorHAnsi" w:hAnsiTheme="majorHAnsi"/>
          <w:sz w:val="20"/>
          <w:szCs w:val="20"/>
        </w:rPr>
        <w:t>нагрівання</w:t>
      </w:r>
    </w:p>
    <w:p w14:paraId="1E3AF3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noProof/>
          <w:sz w:val="20"/>
          <w:szCs w:val="20"/>
        </w:rPr>
        <w:drawing>
          <wp:anchor distT="0" distB="0" distL="0" distR="0" simplePos="0" relativeHeight="251669504" behindDoc="1" locked="0" layoutInCell="1" allowOverlap="1" wp14:anchorId="5AAA8BC9" wp14:editId="5BC181BF">
            <wp:simplePos x="0" y="0"/>
            <wp:positionH relativeFrom="page">
              <wp:posOffset>4165980</wp:posOffset>
            </wp:positionH>
            <wp:positionV relativeFrom="paragraph">
              <wp:posOffset>149046</wp:posOffset>
            </wp:positionV>
            <wp:extent cx="64008" cy="155448"/>
            <wp:effectExtent l="0" t="0" r="0" b="0"/>
            <wp:wrapNone/>
            <wp:docPr id="22"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27.png"/>
                    <pic:cNvPicPr/>
                  </pic:nvPicPr>
                  <pic:blipFill>
                    <a:blip r:embed="rId18" cstate="print"/>
                    <a:stretch>
                      <a:fillRect/>
                    </a:stretch>
                  </pic:blipFill>
                  <pic:spPr>
                    <a:xfrm>
                      <a:off x="0" y="0"/>
                      <a:ext cx="64008" cy="155448"/>
                    </a:xfrm>
                    <a:prstGeom prst="rect">
                      <a:avLst/>
                    </a:prstGeom>
                  </pic:spPr>
                </pic:pic>
              </a:graphicData>
            </a:graphic>
          </wp:anchor>
        </w:drawing>
      </w:r>
      <w:r w:rsidRPr="000977F7">
        <w:rPr>
          <w:rFonts w:asciiTheme="majorHAnsi" w:hAnsiTheme="majorHAnsi"/>
          <w:sz w:val="20"/>
          <w:szCs w:val="20"/>
        </w:rPr>
        <w:t>Шовне</w:t>
      </w:r>
      <w:r w:rsidRPr="000977F7">
        <w:rPr>
          <w:rFonts w:asciiTheme="majorHAnsi" w:hAnsiTheme="majorHAnsi"/>
          <w:spacing w:val="1"/>
          <w:sz w:val="20"/>
          <w:szCs w:val="20"/>
        </w:rPr>
        <w:t xml:space="preserve"> </w:t>
      </w:r>
      <w:r w:rsidRPr="000977F7">
        <w:rPr>
          <w:rFonts w:asciiTheme="majorHAnsi" w:hAnsiTheme="majorHAnsi"/>
          <w:sz w:val="20"/>
          <w:szCs w:val="20"/>
        </w:rPr>
        <w:t>контактне-контактне</w:t>
      </w:r>
      <w:r w:rsidRPr="000977F7">
        <w:rPr>
          <w:rFonts w:asciiTheme="majorHAnsi" w:hAnsiTheme="majorHAnsi"/>
          <w:spacing w:val="50"/>
          <w:sz w:val="20"/>
          <w:szCs w:val="20"/>
        </w:rPr>
        <w:t xml:space="preserve"> </w:t>
      </w:r>
      <w:r w:rsidRPr="000977F7">
        <w:rPr>
          <w:rFonts w:asciiTheme="majorHAnsi" w:hAnsiTheme="majorHAnsi"/>
          <w:sz w:val="20"/>
          <w:szCs w:val="20"/>
        </w:rPr>
        <w:t>зварювання,</w:t>
      </w:r>
      <w:r w:rsidRPr="000977F7">
        <w:rPr>
          <w:rFonts w:asciiTheme="majorHAnsi" w:hAnsiTheme="majorHAnsi"/>
          <w:spacing w:val="50"/>
          <w:sz w:val="20"/>
          <w:szCs w:val="20"/>
        </w:rPr>
        <w:t xml:space="preserve"> </w:t>
      </w:r>
      <w:r w:rsidRPr="000977F7">
        <w:rPr>
          <w:rFonts w:asciiTheme="majorHAnsi" w:hAnsiTheme="majorHAnsi"/>
          <w:sz w:val="20"/>
          <w:szCs w:val="20"/>
        </w:rPr>
        <w:t>при</w:t>
      </w:r>
      <w:r w:rsidRPr="000977F7">
        <w:rPr>
          <w:rFonts w:asciiTheme="majorHAnsi" w:hAnsiTheme="majorHAnsi"/>
          <w:spacing w:val="50"/>
          <w:sz w:val="20"/>
          <w:szCs w:val="20"/>
        </w:rPr>
        <w:t xml:space="preserve"> </w:t>
      </w:r>
      <w:r w:rsidRPr="000977F7">
        <w:rPr>
          <w:rFonts w:asciiTheme="majorHAnsi" w:hAnsiTheme="majorHAnsi"/>
          <w:sz w:val="20"/>
          <w:szCs w:val="20"/>
        </w:rPr>
        <w:t>якому</w:t>
      </w:r>
      <w:r w:rsidRPr="000977F7">
        <w:rPr>
          <w:rFonts w:asciiTheme="majorHAnsi" w:hAnsiTheme="majorHAnsi"/>
          <w:spacing w:val="-47"/>
          <w:sz w:val="20"/>
          <w:szCs w:val="20"/>
        </w:rPr>
        <w:t xml:space="preserve"> </w:t>
      </w:r>
      <w:r w:rsidRPr="000977F7">
        <w:rPr>
          <w:rFonts w:asciiTheme="majorHAnsi" w:hAnsiTheme="majorHAnsi"/>
          <w:sz w:val="20"/>
          <w:szCs w:val="20"/>
        </w:rPr>
        <w:t>з єднання зварюваних частин здійснюється між електродами (рамками), що обертаються,</w:t>
      </w:r>
      <w:r w:rsidRPr="000977F7">
        <w:rPr>
          <w:rFonts w:asciiTheme="majorHAnsi" w:hAnsiTheme="majorHAnsi"/>
          <w:spacing w:val="50"/>
          <w:sz w:val="20"/>
          <w:szCs w:val="20"/>
        </w:rPr>
        <w:t xml:space="preserve"> </w:t>
      </w:r>
      <w:r w:rsidRPr="000977F7">
        <w:rPr>
          <w:rFonts w:asciiTheme="majorHAnsi" w:hAnsiTheme="majorHAnsi"/>
          <w:sz w:val="20"/>
          <w:szCs w:val="20"/>
        </w:rPr>
        <w:t>підводять струм</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передають зусилля</w:t>
      </w:r>
      <w:r w:rsidRPr="000977F7">
        <w:rPr>
          <w:rFonts w:asciiTheme="majorHAnsi" w:hAnsiTheme="majorHAnsi"/>
          <w:spacing w:val="-1"/>
          <w:sz w:val="20"/>
          <w:szCs w:val="20"/>
        </w:rPr>
        <w:t xml:space="preserve"> </w:t>
      </w:r>
      <w:r w:rsidRPr="000977F7">
        <w:rPr>
          <w:rFonts w:asciiTheme="majorHAnsi" w:hAnsiTheme="majorHAnsi"/>
          <w:sz w:val="20"/>
          <w:szCs w:val="20"/>
        </w:rPr>
        <w:t>стиску</w:t>
      </w:r>
    </w:p>
    <w:p w14:paraId="56A08329"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en-US"/>
        </w:rPr>
      </w:pPr>
      <w:bookmarkStart w:id="72" w:name="_Hlk101097603"/>
      <w:r w:rsidRPr="000977F7">
        <w:rPr>
          <w:rFonts w:asciiTheme="majorHAnsi" w:hAnsiTheme="majorHAnsi"/>
          <w:b/>
          <w:sz w:val="20"/>
          <w:szCs w:val="20"/>
        </w:rPr>
        <w:t>ЗВЕДЕНА</w:t>
      </w:r>
      <w:r w:rsidRPr="004D2D14">
        <w:rPr>
          <w:rFonts w:asciiTheme="majorHAnsi" w:hAnsiTheme="majorHAnsi"/>
          <w:b/>
          <w:sz w:val="20"/>
          <w:szCs w:val="20"/>
          <w:lang w:val="en-US"/>
        </w:rPr>
        <w:t xml:space="preserve"> </w:t>
      </w:r>
      <w:r w:rsidRPr="000977F7">
        <w:rPr>
          <w:rFonts w:asciiTheme="majorHAnsi" w:hAnsiTheme="majorHAnsi"/>
          <w:b/>
          <w:sz w:val="20"/>
          <w:szCs w:val="20"/>
        </w:rPr>
        <w:t>ПОХИБКА</w:t>
      </w:r>
      <w:r w:rsidRPr="004D2D14">
        <w:rPr>
          <w:rFonts w:asciiTheme="majorHAnsi" w:hAnsiTheme="majorHAnsi"/>
          <w:b/>
          <w:sz w:val="20"/>
          <w:szCs w:val="20"/>
          <w:lang w:val="en-US"/>
        </w:rPr>
        <w:t xml:space="preserve"> </w:t>
      </w:r>
      <w:r w:rsidRPr="000977F7">
        <w:rPr>
          <w:rFonts w:asciiTheme="majorHAnsi" w:hAnsiTheme="majorHAnsi"/>
          <w:b/>
          <w:sz w:val="20"/>
          <w:szCs w:val="20"/>
        </w:rPr>
        <w:t>ЗАСОБУ</w:t>
      </w:r>
      <w:r w:rsidRPr="004D2D14">
        <w:rPr>
          <w:rFonts w:asciiTheme="majorHAnsi" w:hAnsiTheme="majorHAnsi"/>
          <w:b/>
          <w:sz w:val="20"/>
          <w:szCs w:val="20"/>
          <w:lang w:val="en-US"/>
        </w:rPr>
        <w:t xml:space="preserve"> </w:t>
      </w:r>
      <w:r w:rsidRPr="000977F7">
        <w:rPr>
          <w:rFonts w:asciiTheme="majorHAnsi" w:hAnsiTheme="majorHAnsi"/>
          <w:b/>
          <w:sz w:val="20"/>
          <w:szCs w:val="20"/>
        </w:rPr>
        <w:t>ВИМІРЮВАНЬ</w:t>
      </w:r>
      <w:r w:rsidRPr="004D2D14">
        <w:rPr>
          <w:rFonts w:asciiTheme="majorHAnsi" w:hAnsiTheme="majorHAnsi"/>
          <w:b/>
          <w:sz w:val="20"/>
          <w:szCs w:val="20"/>
          <w:lang w:val="en-US"/>
        </w:rPr>
        <w:t xml:space="preserve"> –</w:t>
      </w:r>
      <w:r w:rsidRPr="004D2D14">
        <w:rPr>
          <w:rFonts w:asciiTheme="majorHAnsi" w:hAnsiTheme="majorHAnsi"/>
          <w:b/>
          <w:spacing w:val="-47"/>
          <w:sz w:val="20"/>
          <w:szCs w:val="20"/>
          <w:lang w:val="en-US"/>
        </w:rPr>
        <w:t xml:space="preserve"> </w:t>
      </w:r>
    </w:p>
    <w:p w14:paraId="66D48D6A"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FIDUCIAL ERROR OF A MEASURING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INSTRUMENT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bookmarkEnd w:id="72"/>
    <w:p w14:paraId="03420D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w:t>
      </w:r>
      <w:r w:rsidRPr="000977F7">
        <w:rPr>
          <w:rFonts w:asciiTheme="majorHAnsi" w:hAnsiTheme="majorHAnsi"/>
          <w:spacing w:val="35"/>
          <w:sz w:val="20"/>
          <w:szCs w:val="20"/>
        </w:rPr>
        <w:t xml:space="preserve"> </w:t>
      </w:r>
      <w:r w:rsidRPr="000977F7">
        <w:rPr>
          <w:rFonts w:asciiTheme="majorHAnsi" w:hAnsiTheme="majorHAnsi"/>
          <w:sz w:val="20"/>
          <w:szCs w:val="20"/>
        </w:rPr>
        <w:t>абсолютної</w:t>
      </w:r>
      <w:r w:rsidRPr="000977F7">
        <w:rPr>
          <w:rFonts w:asciiTheme="majorHAnsi" w:hAnsiTheme="majorHAnsi"/>
          <w:spacing w:val="36"/>
          <w:sz w:val="20"/>
          <w:szCs w:val="20"/>
        </w:rPr>
        <w:t xml:space="preserve"> </w:t>
      </w:r>
      <w:r w:rsidRPr="000977F7">
        <w:rPr>
          <w:rFonts w:asciiTheme="majorHAnsi" w:hAnsiTheme="majorHAnsi"/>
          <w:sz w:val="20"/>
          <w:szCs w:val="20"/>
        </w:rPr>
        <w:t>похибки</w:t>
      </w:r>
      <w:r w:rsidRPr="000977F7">
        <w:rPr>
          <w:rFonts w:asciiTheme="majorHAnsi" w:hAnsiTheme="majorHAnsi"/>
          <w:spacing w:val="36"/>
          <w:sz w:val="20"/>
          <w:szCs w:val="20"/>
        </w:rPr>
        <w:t xml:space="preserve"> </w:t>
      </w:r>
      <w:r w:rsidRPr="000977F7">
        <w:rPr>
          <w:rFonts w:asciiTheme="majorHAnsi" w:hAnsiTheme="majorHAnsi"/>
          <w:sz w:val="20"/>
          <w:szCs w:val="20"/>
        </w:rPr>
        <w:t>засобу</w:t>
      </w:r>
      <w:r w:rsidRPr="000977F7">
        <w:rPr>
          <w:rFonts w:asciiTheme="majorHAnsi" w:hAnsiTheme="majorHAnsi"/>
          <w:spacing w:val="32"/>
          <w:sz w:val="20"/>
          <w:szCs w:val="20"/>
        </w:rPr>
        <w:t xml:space="preserve"> </w:t>
      </w:r>
      <w:r w:rsidRPr="000977F7">
        <w:rPr>
          <w:rFonts w:asciiTheme="majorHAnsi" w:hAnsiTheme="majorHAnsi"/>
          <w:sz w:val="20"/>
          <w:szCs w:val="20"/>
        </w:rPr>
        <w:t>вимірювань</w:t>
      </w:r>
      <w:r w:rsidRPr="000977F7">
        <w:rPr>
          <w:rFonts w:asciiTheme="majorHAnsi" w:hAnsiTheme="majorHAnsi"/>
          <w:spacing w:val="-47"/>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нормованого</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p>
    <w:p w14:paraId="1805FF9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92C41C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Нормованим</w:t>
      </w:r>
      <w:r w:rsidRPr="000977F7">
        <w:rPr>
          <w:rFonts w:asciiTheme="majorHAnsi" w:hAnsiTheme="majorHAnsi"/>
          <w:spacing w:val="1"/>
          <w:sz w:val="20"/>
          <w:szCs w:val="20"/>
        </w:rPr>
        <w:t xml:space="preserve"> </w:t>
      </w:r>
      <w:r w:rsidRPr="000977F7">
        <w:rPr>
          <w:rFonts w:asciiTheme="majorHAnsi" w:hAnsiTheme="majorHAnsi"/>
          <w:sz w:val="20"/>
          <w:szCs w:val="20"/>
        </w:rPr>
        <w:t>значенням називають</w:t>
      </w:r>
      <w:r w:rsidRPr="000977F7">
        <w:rPr>
          <w:rFonts w:asciiTheme="majorHAnsi" w:hAnsiTheme="majorHAnsi"/>
          <w:spacing w:val="1"/>
          <w:sz w:val="20"/>
          <w:szCs w:val="20"/>
        </w:rPr>
        <w:t xml:space="preserve"> </w:t>
      </w:r>
      <w:r w:rsidRPr="000977F7">
        <w:rPr>
          <w:rFonts w:asciiTheme="majorHAnsi" w:hAnsiTheme="majorHAnsi"/>
          <w:sz w:val="20"/>
          <w:szCs w:val="20"/>
        </w:rPr>
        <w:t>умовно</w:t>
      </w:r>
      <w:r w:rsidRPr="000977F7">
        <w:rPr>
          <w:rFonts w:asciiTheme="majorHAnsi" w:hAnsiTheme="majorHAnsi"/>
          <w:spacing w:val="1"/>
          <w:sz w:val="20"/>
          <w:szCs w:val="20"/>
        </w:rPr>
        <w:t xml:space="preserve"> </w:t>
      </w:r>
      <w:r w:rsidRPr="000977F7">
        <w:rPr>
          <w:rFonts w:asciiTheme="majorHAnsi" w:hAnsiTheme="majorHAnsi"/>
          <w:sz w:val="20"/>
          <w:szCs w:val="20"/>
        </w:rPr>
        <w:t>прийняте</w:t>
      </w:r>
      <w:r w:rsidRPr="000977F7">
        <w:rPr>
          <w:rFonts w:asciiTheme="majorHAnsi" w:hAnsiTheme="majorHAnsi"/>
          <w:spacing w:val="-47"/>
          <w:sz w:val="20"/>
          <w:szCs w:val="20"/>
        </w:rPr>
        <w:t xml:space="preserve"> </w:t>
      </w:r>
      <w:r w:rsidRPr="000977F7">
        <w:rPr>
          <w:rFonts w:asciiTheme="majorHAnsi" w:hAnsiTheme="majorHAnsi"/>
          <w:sz w:val="20"/>
          <w:szCs w:val="20"/>
        </w:rPr>
        <w:t>значення</w:t>
      </w:r>
      <w:r w:rsidRPr="000977F7">
        <w:rPr>
          <w:rFonts w:asciiTheme="majorHAnsi" w:hAnsiTheme="majorHAnsi"/>
          <w:spacing w:val="-2"/>
          <w:sz w:val="20"/>
          <w:szCs w:val="20"/>
        </w:rPr>
        <w:t xml:space="preserve"> </w:t>
      </w:r>
      <w:r w:rsidRPr="000977F7">
        <w:rPr>
          <w:rFonts w:asciiTheme="majorHAnsi" w:hAnsiTheme="majorHAnsi"/>
          <w:sz w:val="20"/>
          <w:szCs w:val="20"/>
        </w:rPr>
        <w:t>фізичної</w:t>
      </w:r>
      <w:r w:rsidRPr="000977F7">
        <w:rPr>
          <w:rFonts w:asciiTheme="majorHAnsi" w:hAnsiTheme="majorHAnsi"/>
          <w:spacing w:val="-1"/>
          <w:sz w:val="20"/>
          <w:szCs w:val="20"/>
        </w:rPr>
        <w:t xml:space="preserve"> </w:t>
      </w:r>
      <w:r w:rsidRPr="000977F7">
        <w:rPr>
          <w:rFonts w:asciiTheme="majorHAnsi" w:hAnsiTheme="majorHAnsi"/>
          <w:sz w:val="20"/>
          <w:szCs w:val="20"/>
        </w:rPr>
        <w:t>величини</w:t>
      </w:r>
    </w:p>
    <w:p w14:paraId="71E3E6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Приклад:</w:t>
      </w:r>
    </w:p>
    <w:p w14:paraId="4F0419B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w:t>
      </w:r>
      <w:r w:rsidRPr="000977F7">
        <w:rPr>
          <w:rFonts w:asciiTheme="majorHAnsi" w:hAnsiTheme="majorHAnsi"/>
          <w:spacing w:val="32"/>
          <w:sz w:val="20"/>
          <w:szCs w:val="20"/>
        </w:rPr>
        <w:t xml:space="preserve"> </w:t>
      </w:r>
      <w:r w:rsidRPr="000977F7">
        <w:rPr>
          <w:rFonts w:asciiTheme="majorHAnsi" w:hAnsiTheme="majorHAnsi"/>
          <w:sz w:val="20"/>
          <w:szCs w:val="20"/>
        </w:rPr>
        <w:t>нормоване</w:t>
      </w:r>
      <w:r w:rsidRPr="000977F7">
        <w:rPr>
          <w:rFonts w:asciiTheme="majorHAnsi" w:hAnsiTheme="majorHAnsi"/>
          <w:spacing w:val="32"/>
          <w:sz w:val="20"/>
          <w:szCs w:val="20"/>
        </w:rPr>
        <w:t xml:space="preserve"> </w:t>
      </w:r>
      <w:r w:rsidRPr="000977F7">
        <w:rPr>
          <w:rFonts w:asciiTheme="majorHAnsi" w:hAnsiTheme="majorHAnsi"/>
          <w:sz w:val="20"/>
          <w:szCs w:val="20"/>
        </w:rPr>
        <w:t>значення</w:t>
      </w:r>
      <w:r w:rsidRPr="000977F7">
        <w:rPr>
          <w:rFonts w:asciiTheme="majorHAnsi" w:hAnsiTheme="majorHAnsi"/>
          <w:spacing w:val="34"/>
          <w:sz w:val="20"/>
          <w:szCs w:val="20"/>
        </w:rPr>
        <w:t xml:space="preserve"> </w:t>
      </w:r>
      <w:r w:rsidRPr="000977F7">
        <w:rPr>
          <w:rFonts w:asciiTheme="majorHAnsi" w:hAnsiTheme="majorHAnsi"/>
          <w:sz w:val="20"/>
          <w:szCs w:val="20"/>
        </w:rPr>
        <w:t>приймають</w:t>
      </w:r>
      <w:r w:rsidRPr="000977F7">
        <w:rPr>
          <w:rFonts w:asciiTheme="majorHAnsi" w:hAnsiTheme="majorHAnsi"/>
          <w:spacing w:val="37"/>
          <w:sz w:val="20"/>
          <w:szCs w:val="20"/>
        </w:rPr>
        <w:t xml:space="preserve"> </w:t>
      </w:r>
      <w:r w:rsidRPr="000977F7">
        <w:rPr>
          <w:rFonts w:asciiTheme="majorHAnsi" w:hAnsiTheme="majorHAnsi"/>
          <w:sz w:val="20"/>
          <w:szCs w:val="20"/>
        </w:rPr>
        <w:t>кінцеве</w:t>
      </w:r>
      <w:r w:rsidRPr="000977F7">
        <w:rPr>
          <w:rFonts w:asciiTheme="majorHAnsi" w:hAnsiTheme="majorHAnsi"/>
          <w:spacing w:val="34"/>
          <w:sz w:val="20"/>
          <w:szCs w:val="20"/>
        </w:rPr>
        <w:t xml:space="preserve"> </w:t>
      </w:r>
      <w:r w:rsidRPr="000977F7">
        <w:rPr>
          <w:rFonts w:asciiTheme="majorHAnsi" w:hAnsiTheme="majorHAnsi"/>
          <w:sz w:val="20"/>
          <w:szCs w:val="20"/>
        </w:rPr>
        <w:t>значення</w:t>
      </w:r>
      <w:r w:rsidRPr="000977F7">
        <w:rPr>
          <w:rFonts w:asciiTheme="majorHAnsi" w:hAnsiTheme="majorHAnsi"/>
          <w:spacing w:val="-47"/>
          <w:sz w:val="20"/>
          <w:szCs w:val="20"/>
        </w:rPr>
        <w:t xml:space="preserve"> </w:t>
      </w:r>
      <w:r w:rsidRPr="000977F7">
        <w:rPr>
          <w:rFonts w:asciiTheme="majorHAnsi" w:hAnsiTheme="majorHAnsi"/>
          <w:sz w:val="20"/>
          <w:szCs w:val="20"/>
        </w:rPr>
        <w:t>діапазону</w:t>
      </w:r>
      <w:r w:rsidRPr="000977F7">
        <w:rPr>
          <w:rFonts w:asciiTheme="majorHAnsi" w:hAnsiTheme="majorHAnsi"/>
          <w:spacing w:val="-2"/>
          <w:sz w:val="20"/>
          <w:szCs w:val="20"/>
        </w:rPr>
        <w:t xml:space="preserve"> </w:t>
      </w:r>
      <w:r w:rsidRPr="000977F7">
        <w:rPr>
          <w:rFonts w:asciiTheme="majorHAnsi" w:hAnsiTheme="majorHAnsi"/>
          <w:sz w:val="20"/>
          <w:szCs w:val="20"/>
        </w:rPr>
        <w:t>вимірювань</w:t>
      </w:r>
    </w:p>
    <w:p w14:paraId="6B5C130B"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 – 94</w:t>
      </w:r>
    </w:p>
    <w:p w14:paraId="46536D5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ЗВІД</w:t>
      </w:r>
      <w:r w:rsidRPr="000977F7">
        <w:rPr>
          <w:color w:val="auto"/>
          <w:spacing w:val="-3"/>
          <w:sz w:val="20"/>
          <w:szCs w:val="20"/>
        </w:rPr>
        <w:t xml:space="preserve"> </w:t>
      </w:r>
      <w:r w:rsidRPr="000977F7">
        <w:rPr>
          <w:color w:val="auto"/>
          <w:sz w:val="20"/>
          <w:szCs w:val="20"/>
        </w:rPr>
        <w:t>ПРАВИЛ –</w:t>
      </w:r>
    </w:p>
    <w:p w14:paraId="0997065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CODE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PRACTICE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01DA05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що рекомендує технічні правила або процедури</w:t>
      </w:r>
      <w:r w:rsidRPr="000977F7">
        <w:rPr>
          <w:rFonts w:asciiTheme="majorHAnsi" w:hAnsiTheme="majorHAnsi"/>
          <w:spacing w:val="1"/>
          <w:sz w:val="20"/>
          <w:szCs w:val="20"/>
        </w:rPr>
        <w:t xml:space="preserve"> </w:t>
      </w:r>
      <w:r w:rsidRPr="000977F7">
        <w:rPr>
          <w:rFonts w:asciiTheme="majorHAnsi" w:hAnsiTheme="majorHAnsi"/>
          <w:sz w:val="20"/>
          <w:szCs w:val="20"/>
        </w:rPr>
        <w:t>проектування, виготовлення, монтажу, 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1"/>
          <w:sz w:val="20"/>
          <w:szCs w:val="20"/>
        </w:rPr>
        <w:t xml:space="preserve"> </w:t>
      </w:r>
      <w:r w:rsidRPr="000977F7">
        <w:rPr>
          <w:rFonts w:asciiTheme="majorHAnsi" w:hAnsiTheme="majorHAnsi"/>
          <w:sz w:val="20"/>
          <w:szCs w:val="20"/>
        </w:rPr>
        <w:t>обладнання,</w:t>
      </w:r>
      <w:r w:rsidRPr="000977F7">
        <w:rPr>
          <w:rFonts w:asciiTheme="majorHAnsi" w:hAnsiTheme="majorHAnsi"/>
          <w:spacing w:val="-47"/>
          <w:sz w:val="20"/>
          <w:szCs w:val="20"/>
        </w:rPr>
        <w:t xml:space="preserve"> </w:t>
      </w:r>
      <w:r w:rsidRPr="000977F7">
        <w:rPr>
          <w:rFonts w:asciiTheme="majorHAnsi" w:hAnsiTheme="majorHAnsi"/>
          <w:sz w:val="20"/>
          <w:szCs w:val="20"/>
        </w:rPr>
        <w:t>установок,</w:t>
      </w:r>
      <w:r w:rsidRPr="000977F7">
        <w:rPr>
          <w:rFonts w:asciiTheme="majorHAnsi" w:hAnsiTheme="majorHAnsi"/>
          <w:spacing w:val="-1"/>
          <w:sz w:val="20"/>
          <w:szCs w:val="20"/>
        </w:rPr>
        <w:t xml:space="preserve"> </w:t>
      </w:r>
      <w:r w:rsidRPr="000977F7">
        <w:rPr>
          <w:rFonts w:asciiTheme="majorHAnsi" w:hAnsiTheme="majorHAnsi"/>
          <w:sz w:val="20"/>
          <w:szCs w:val="20"/>
        </w:rPr>
        <w:t>конструкцій</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виробів</w:t>
      </w:r>
    </w:p>
    <w:p w14:paraId="2403833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5CD2E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Звід правил може бути стандартом, частиною стандарту</w:t>
      </w:r>
      <w:r w:rsidRPr="000977F7">
        <w:rPr>
          <w:rFonts w:asciiTheme="majorHAnsi" w:hAnsiTheme="majorHAnsi"/>
          <w:spacing w:val="-5"/>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самостійним</w:t>
      </w:r>
      <w:r w:rsidRPr="000977F7">
        <w:rPr>
          <w:rFonts w:asciiTheme="majorHAnsi" w:hAnsiTheme="majorHAnsi"/>
          <w:spacing w:val="1"/>
          <w:sz w:val="20"/>
          <w:szCs w:val="20"/>
        </w:rPr>
        <w:t xml:space="preserve"> </w:t>
      </w:r>
      <w:r w:rsidRPr="000977F7">
        <w:rPr>
          <w:rFonts w:asciiTheme="majorHAnsi" w:hAnsiTheme="majorHAnsi"/>
          <w:sz w:val="20"/>
          <w:szCs w:val="20"/>
        </w:rPr>
        <w:t>документом</w:t>
      </w:r>
    </w:p>
    <w:p w14:paraId="1B8DD3B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ЗВІРЕННЯ</w:t>
      </w:r>
      <w:r w:rsidRPr="000977F7">
        <w:rPr>
          <w:color w:val="auto"/>
          <w:spacing w:val="-9"/>
          <w:sz w:val="20"/>
          <w:szCs w:val="20"/>
        </w:rPr>
        <w:t xml:space="preserve"> </w:t>
      </w:r>
      <w:r w:rsidRPr="000977F7">
        <w:rPr>
          <w:color w:val="auto"/>
          <w:sz w:val="20"/>
          <w:szCs w:val="20"/>
        </w:rPr>
        <w:t>ЗАСОБУ</w:t>
      </w:r>
      <w:r w:rsidRPr="000977F7">
        <w:rPr>
          <w:color w:val="auto"/>
          <w:spacing w:val="-8"/>
          <w:sz w:val="20"/>
          <w:szCs w:val="20"/>
        </w:rPr>
        <w:t xml:space="preserve"> </w:t>
      </w:r>
      <w:r w:rsidRPr="000977F7">
        <w:rPr>
          <w:color w:val="auto"/>
          <w:sz w:val="20"/>
          <w:szCs w:val="20"/>
        </w:rPr>
        <w:t>ВИМІРЮВАЛЬНОЇ</w:t>
      </w:r>
      <w:r w:rsidRPr="000977F7">
        <w:rPr>
          <w:color w:val="auto"/>
          <w:spacing w:val="-47"/>
          <w:sz w:val="20"/>
          <w:szCs w:val="20"/>
        </w:rPr>
        <w:t xml:space="preserve"> </w:t>
      </w:r>
      <w:r w:rsidRPr="000977F7">
        <w:rPr>
          <w:color w:val="auto"/>
          <w:sz w:val="20"/>
          <w:szCs w:val="20"/>
        </w:rPr>
        <w:t>ТЕХНІКИ –</w:t>
      </w:r>
    </w:p>
    <w:p w14:paraId="2B003EB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VERIFICATION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BY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SAMPLING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4371E80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Порівняння</w:t>
      </w:r>
      <w:r w:rsidRPr="004D2D14">
        <w:rPr>
          <w:rFonts w:asciiTheme="majorHAnsi" w:hAnsiTheme="majorHAnsi"/>
          <w:sz w:val="20"/>
          <w:szCs w:val="20"/>
          <w:lang w:val="en-US"/>
        </w:rPr>
        <w:t xml:space="preserve"> </w:t>
      </w:r>
      <w:r w:rsidRPr="000977F7">
        <w:rPr>
          <w:rFonts w:asciiTheme="majorHAnsi" w:hAnsiTheme="majorHAnsi"/>
          <w:sz w:val="20"/>
          <w:szCs w:val="20"/>
        </w:rPr>
        <w:t>засобу</w:t>
      </w:r>
      <w:r w:rsidRPr="004D2D14">
        <w:rPr>
          <w:rFonts w:asciiTheme="majorHAnsi" w:hAnsiTheme="majorHAnsi"/>
          <w:sz w:val="20"/>
          <w:szCs w:val="20"/>
          <w:lang w:val="en-US"/>
        </w:rPr>
        <w:t xml:space="preserve"> </w:t>
      </w:r>
      <w:r w:rsidRPr="000977F7">
        <w:rPr>
          <w:rFonts w:asciiTheme="majorHAnsi" w:hAnsiTheme="majorHAnsi"/>
          <w:sz w:val="20"/>
          <w:szCs w:val="20"/>
        </w:rPr>
        <w:t>вимірювальної</w:t>
      </w:r>
      <w:r w:rsidRPr="004D2D14">
        <w:rPr>
          <w:rFonts w:asciiTheme="majorHAnsi" w:hAnsiTheme="majorHAnsi"/>
          <w:sz w:val="20"/>
          <w:szCs w:val="20"/>
          <w:lang w:val="en-US"/>
        </w:rPr>
        <w:t xml:space="preserve"> </w:t>
      </w:r>
      <w:r w:rsidRPr="000977F7">
        <w:rPr>
          <w:rFonts w:asciiTheme="majorHAnsi" w:hAnsiTheme="majorHAnsi"/>
          <w:sz w:val="20"/>
          <w:szCs w:val="20"/>
        </w:rPr>
        <w:t>техніки</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еталоном</w:t>
      </w:r>
      <w:r w:rsidRPr="004D2D14">
        <w:rPr>
          <w:rFonts w:asciiTheme="majorHAnsi" w:hAnsiTheme="majorHAnsi"/>
          <w:spacing w:val="1"/>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зразковим</w:t>
      </w:r>
      <w:r w:rsidRPr="004D2D14">
        <w:rPr>
          <w:rFonts w:asciiTheme="majorHAnsi" w:hAnsiTheme="majorHAnsi"/>
          <w:sz w:val="20"/>
          <w:szCs w:val="20"/>
          <w:lang w:val="en-US"/>
        </w:rPr>
        <w:t xml:space="preserve"> </w:t>
      </w:r>
      <w:r w:rsidRPr="000977F7">
        <w:rPr>
          <w:rFonts w:asciiTheme="majorHAnsi" w:hAnsiTheme="majorHAnsi"/>
          <w:sz w:val="20"/>
          <w:szCs w:val="20"/>
        </w:rPr>
        <w:t>засобом</w:t>
      </w:r>
      <w:r w:rsidRPr="004D2D14">
        <w:rPr>
          <w:rFonts w:asciiTheme="majorHAnsi" w:hAnsiTheme="majorHAnsi"/>
          <w:sz w:val="20"/>
          <w:szCs w:val="20"/>
          <w:lang w:val="en-US"/>
        </w:rPr>
        <w:t xml:space="preserve"> </w:t>
      </w:r>
      <w:r w:rsidRPr="000977F7">
        <w:rPr>
          <w:rFonts w:asciiTheme="majorHAnsi" w:hAnsiTheme="majorHAnsi"/>
          <w:sz w:val="20"/>
          <w:szCs w:val="20"/>
        </w:rPr>
        <w:t>вимірювальної</w:t>
      </w:r>
      <w:r w:rsidRPr="004D2D14">
        <w:rPr>
          <w:rFonts w:asciiTheme="majorHAnsi" w:hAnsiTheme="majorHAnsi"/>
          <w:sz w:val="20"/>
          <w:szCs w:val="20"/>
          <w:lang w:val="en-US"/>
        </w:rPr>
        <w:t xml:space="preserve"> </w:t>
      </w:r>
      <w:r w:rsidRPr="000977F7">
        <w:rPr>
          <w:rFonts w:asciiTheme="majorHAnsi" w:hAnsiTheme="majorHAnsi"/>
          <w:sz w:val="20"/>
          <w:szCs w:val="20"/>
        </w:rPr>
        <w:t>техніки</w:t>
      </w:r>
      <w:r w:rsidRPr="004D2D14">
        <w:rPr>
          <w:rFonts w:asciiTheme="majorHAnsi" w:hAnsiTheme="majorHAnsi"/>
          <w:sz w:val="20"/>
          <w:szCs w:val="20"/>
          <w:lang w:val="en-US"/>
        </w:rPr>
        <w:t xml:space="preserve"> </w:t>
      </w:r>
      <w:r w:rsidRPr="000977F7">
        <w:rPr>
          <w:rFonts w:asciiTheme="majorHAnsi" w:hAnsiTheme="majorHAnsi"/>
          <w:sz w:val="20"/>
          <w:szCs w:val="20"/>
        </w:rPr>
        <w:t>того</w:t>
      </w:r>
      <w:r w:rsidRPr="004D2D14">
        <w:rPr>
          <w:rFonts w:asciiTheme="majorHAnsi" w:hAnsiTheme="majorHAnsi"/>
          <w:sz w:val="20"/>
          <w:szCs w:val="20"/>
          <w:lang w:val="en-US"/>
        </w:rPr>
        <w:t xml:space="preserve"> </w:t>
      </w:r>
      <w:r w:rsidRPr="000977F7">
        <w:rPr>
          <w:rFonts w:asciiTheme="majorHAnsi" w:hAnsiTheme="majorHAnsi"/>
          <w:sz w:val="20"/>
          <w:szCs w:val="20"/>
        </w:rPr>
        <w:t>ж</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виду</w:t>
      </w:r>
      <w:r w:rsidRPr="004D2D14">
        <w:rPr>
          <w:rFonts w:asciiTheme="majorHAnsi" w:hAnsiTheme="majorHAnsi"/>
          <w:sz w:val="20"/>
          <w:szCs w:val="20"/>
          <w:lang w:val="en-US"/>
        </w:rPr>
        <w:t xml:space="preserve"> (</w:t>
      </w:r>
      <w:r w:rsidRPr="000977F7">
        <w:rPr>
          <w:rFonts w:asciiTheme="majorHAnsi" w:hAnsiTheme="majorHAnsi"/>
          <w:sz w:val="20"/>
          <w:szCs w:val="20"/>
        </w:rPr>
        <w:t>міри</w:t>
      </w:r>
      <w:r w:rsidRPr="004D2D14">
        <w:rPr>
          <w:rFonts w:asciiTheme="majorHAnsi" w:hAnsiTheme="majorHAnsi"/>
          <w:sz w:val="20"/>
          <w:szCs w:val="20"/>
          <w:lang w:val="en-US"/>
        </w:rPr>
        <w:t xml:space="preserve"> </w:t>
      </w:r>
      <w:r w:rsidRPr="000977F7">
        <w:rPr>
          <w:rFonts w:asciiTheme="majorHAnsi" w:hAnsiTheme="majorHAnsi"/>
          <w:sz w:val="20"/>
          <w:szCs w:val="20"/>
        </w:rPr>
        <w:t>замірою</w:t>
      </w:r>
      <w:r w:rsidRPr="004D2D14">
        <w:rPr>
          <w:rFonts w:asciiTheme="majorHAnsi" w:hAnsiTheme="majorHAnsi"/>
          <w:sz w:val="20"/>
          <w:szCs w:val="20"/>
          <w:lang w:val="en-US"/>
        </w:rPr>
        <w:t xml:space="preserve">, </w:t>
      </w:r>
      <w:r w:rsidRPr="000977F7">
        <w:rPr>
          <w:rFonts w:asciiTheme="majorHAnsi" w:hAnsiTheme="majorHAnsi"/>
          <w:sz w:val="20"/>
          <w:szCs w:val="20"/>
        </w:rPr>
        <w:t>вимірювального</w:t>
      </w:r>
      <w:r w:rsidRPr="004D2D14">
        <w:rPr>
          <w:rFonts w:asciiTheme="majorHAnsi" w:hAnsiTheme="majorHAnsi"/>
          <w:sz w:val="20"/>
          <w:szCs w:val="20"/>
          <w:lang w:val="en-US"/>
        </w:rPr>
        <w:t xml:space="preserve"> </w:t>
      </w:r>
      <w:r w:rsidRPr="000977F7">
        <w:rPr>
          <w:rFonts w:asciiTheme="majorHAnsi" w:hAnsiTheme="majorHAnsi"/>
          <w:sz w:val="20"/>
          <w:szCs w:val="20"/>
        </w:rPr>
        <w:t>приладу</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вимірювальним</w:t>
      </w:r>
      <w:r w:rsidRPr="004D2D14">
        <w:rPr>
          <w:rFonts w:asciiTheme="majorHAnsi" w:hAnsiTheme="majorHAnsi"/>
          <w:sz w:val="20"/>
          <w:szCs w:val="20"/>
          <w:lang w:val="en-US"/>
        </w:rPr>
        <w:t xml:space="preserve"> </w:t>
      </w:r>
      <w:r w:rsidRPr="000977F7">
        <w:rPr>
          <w:rFonts w:asciiTheme="majorHAnsi" w:hAnsiTheme="majorHAnsi"/>
          <w:sz w:val="20"/>
          <w:szCs w:val="20"/>
        </w:rPr>
        <w:t>приладом</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визначення</w:t>
      </w:r>
      <w:r w:rsidRPr="004D2D14">
        <w:rPr>
          <w:rFonts w:asciiTheme="majorHAnsi" w:hAnsiTheme="majorHAnsi"/>
          <w:sz w:val="20"/>
          <w:szCs w:val="20"/>
          <w:lang w:val="en-US"/>
        </w:rPr>
        <w:t xml:space="preserve"> </w:t>
      </w:r>
      <w:r w:rsidRPr="000977F7">
        <w:rPr>
          <w:rFonts w:asciiTheme="majorHAnsi" w:hAnsiTheme="majorHAnsi"/>
          <w:sz w:val="20"/>
          <w:szCs w:val="20"/>
        </w:rPr>
        <w:t>систематичної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похибки</w:t>
      </w:r>
    </w:p>
    <w:p w14:paraId="03DEA185"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2681 - 94</w:t>
      </w:r>
    </w:p>
    <w:p w14:paraId="0EE72A6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ЗВІТ ПРО ВИПРОБУВАННЯ ПРОГРАМНОГО</w:t>
      </w:r>
      <w:r w:rsidRPr="000977F7">
        <w:rPr>
          <w:color w:val="auto"/>
          <w:spacing w:val="-47"/>
          <w:sz w:val="20"/>
          <w:szCs w:val="20"/>
        </w:rPr>
        <w:t xml:space="preserve"> </w:t>
      </w:r>
      <w:r w:rsidRPr="000977F7">
        <w:rPr>
          <w:color w:val="auto"/>
          <w:sz w:val="20"/>
          <w:szCs w:val="20"/>
        </w:rPr>
        <w:t>ЗАСОБУ –</w:t>
      </w:r>
    </w:p>
    <w:p w14:paraId="5552AF5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SOFTWARE</w:t>
      </w:r>
      <w:r w:rsidRPr="000977F7">
        <w:rPr>
          <w:rFonts w:asciiTheme="majorHAnsi" w:hAnsiTheme="majorHAnsi"/>
          <w:spacing w:val="-3"/>
          <w:sz w:val="20"/>
          <w:szCs w:val="20"/>
        </w:rPr>
        <w:t xml:space="preserve"> </w:t>
      </w:r>
      <w:r w:rsidRPr="000977F7">
        <w:rPr>
          <w:rFonts w:asciiTheme="majorHAnsi" w:hAnsiTheme="majorHAnsi"/>
          <w:sz w:val="20"/>
          <w:szCs w:val="20"/>
        </w:rPr>
        <w:t>TEST</w:t>
      </w:r>
      <w:r w:rsidRPr="000977F7">
        <w:rPr>
          <w:rFonts w:asciiTheme="majorHAnsi" w:hAnsiTheme="majorHAnsi"/>
          <w:spacing w:val="-1"/>
          <w:sz w:val="20"/>
          <w:szCs w:val="20"/>
        </w:rPr>
        <w:t xml:space="preserve"> </w:t>
      </w:r>
      <w:r w:rsidRPr="000977F7">
        <w:rPr>
          <w:rFonts w:asciiTheme="majorHAnsi" w:hAnsiTheme="majorHAnsi"/>
          <w:sz w:val="20"/>
          <w:szCs w:val="20"/>
        </w:rPr>
        <w:t>REPORT –</w:t>
      </w:r>
    </w:p>
    <w:p w14:paraId="601EB650"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Документ,</w:t>
      </w:r>
      <w:r w:rsidRPr="000977F7">
        <w:rPr>
          <w:rFonts w:asciiTheme="majorHAnsi" w:hAnsiTheme="majorHAnsi"/>
          <w:spacing w:val="49"/>
          <w:sz w:val="20"/>
          <w:szCs w:val="20"/>
        </w:rPr>
        <w:t xml:space="preserve"> </w:t>
      </w:r>
      <w:r w:rsidRPr="000977F7">
        <w:rPr>
          <w:rFonts w:asciiTheme="majorHAnsi" w:hAnsiTheme="majorHAnsi"/>
          <w:sz w:val="20"/>
          <w:szCs w:val="20"/>
        </w:rPr>
        <w:t>що</w:t>
      </w:r>
      <w:r w:rsidRPr="000977F7">
        <w:rPr>
          <w:rFonts w:asciiTheme="majorHAnsi" w:hAnsiTheme="majorHAnsi"/>
          <w:spacing w:val="47"/>
          <w:sz w:val="20"/>
          <w:szCs w:val="20"/>
        </w:rPr>
        <w:t xml:space="preserve"> </w:t>
      </w:r>
      <w:r w:rsidRPr="000977F7">
        <w:rPr>
          <w:rFonts w:asciiTheme="majorHAnsi" w:hAnsiTheme="majorHAnsi"/>
          <w:sz w:val="20"/>
          <w:szCs w:val="20"/>
        </w:rPr>
        <w:t>містить</w:t>
      </w:r>
      <w:r w:rsidRPr="000977F7">
        <w:rPr>
          <w:rFonts w:asciiTheme="majorHAnsi" w:hAnsiTheme="majorHAnsi"/>
          <w:spacing w:val="47"/>
          <w:sz w:val="20"/>
          <w:szCs w:val="20"/>
        </w:rPr>
        <w:t xml:space="preserve"> </w:t>
      </w:r>
      <w:r w:rsidRPr="000977F7">
        <w:rPr>
          <w:rFonts w:asciiTheme="majorHAnsi" w:hAnsiTheme="majorHAnsi"/>
          <w:sz w:val="20"/>
          <w:szCs w:val="20"/>
        </w:rPr>
        <w:t>опис</w:t>
      </w:r>
      <w:r w:rsidRPr="000977F7">
        <w:rPr>
          <w:rFonts w:asciiTheme="majorHAnsi" w:hAnsiTheme="majorHAnsi"/>
          <w:spacing w:val="49"/>
          <w:sz w:val="20"/>
          <w:szCs w:val="20"/>
        </w:rPr>
        <w:t xml:space="preserve"> </w:t>
      </w:r>
      <w:r w:rsidRPr="000977F7">
        <w:rPr>
          <w:rFonts w:asciiTheme="majorHAnsi" w:hAnsiTheme="majorHAnsi"/>
          <w:sz w:val="20"/>
          <w:szCs w:val="20"/>
        </w:rPr>
        <w:t>умов</w:t>
      </w:r>
      <w:r w:rsidRPr="000977F7">
        <w:rPr>
          <w:rFonts w:asciiTheme="majorHAnsi" w:hAnsiTheme="majorHAnsi"/>
          <w:spacing w:val="46"/>
          <w:sz w:val="20"/>
          <w:szCs w:val="20"/>
        </w:rPr>
        <w:t xml:space="preserve"> </w:t>
      </w:r>
      <w:r w:rsidRPr="000977F7">
        <w:rPr>
          <w:rFonts w:asciiTheme="majorHAnsi" w:hAnsiTheme="majorHAnsi"/>
          <w:sz w:val="20"/>
          <w:szCs w:val="20"/>
        </w:rPr>
        <w:t>та</w:t>
      </w:r>
      <w:r w:rsidRPr="000977F7">
        <w:rPr>
          <w:rFonts w:asciiTheme="majorHAnsi" w:hAnsiTheme="majorHAnsi"/>
          <w:spacing w:val="46"/>
          <w:sz w:val="20"/>
          <w:szCs w:val="20"/>
        </w:rPr>
        <w:t xml:space="preserve"> </w:t>
      </w:r>
      <w:r w:rsidRPr="000977F7">
        <w:rPr>
          <w:rFonts w:asciiTheme="majorHAnsi" w:hAnsiTheme="majorHAnsi"/>
          <w:sz w:val="20"/>
          <w:szCs w:val="20"/>
        </w:rPr>
        <w:t>результати</w:t>
      </w:r>
      <w:r w:rsidRPr="000977F7">
        <w:rPr>
          <w:rFonts w:asciiTheme="majorHAnsi" w:hAnsiTheme="majorHAnsi"/>
          <w:spacing w:val="46"/>
          <w:sz w:val="20"/>
          <w:szCs w:val="20"/>
        </w:rPr>
        <w:t xml:space="preserve"> </w:t>
      </w:r>
      <w:r w:rsidRPr="000977F7">
        <w:rPr>
          <w:rFonts w:asciiTheme="majorHAnsi" w:hAnsiTheme="majorHAnsi"/>
          <w:sz w:val="20"/>
          <w:szCs w:val="20"/>
        </w:rPr>
        <w:t>випробування,</w:t>
      </w:r>
      <w:r w:rsidRPr="000977F7">
        <w:rPr>
          <w:rFonts w:asciiTheme="majorHAnsi" w:hAnsiTheme="majorHAnsi"/>
          <w:spacing w:val="6"/>
          <w:sz w:val="20"/>
          <w:szCs w:val="20"/>
        </w:rPr>
        <w:t xml:space="preserve"> </w:t>
      </w:r>
      <w:r w:rsidRPr="000977F7">
        <w:rPr>
          <w:rFonts w:asciiTheme="majorHAnsi" w:hAnsiTheme="majorHAnsi"/>
          <w:sz w:val="20"/>
          <w:szCs w:val="20"/>
        </w:rPr>
        <w:t>а</w:t>
      </w:r>
      <w:r w:rsidRPr="000977F7">
        <w:rPr>
          <w:rFonts w:asciiTheme="majorHAnsi" w:hAnsiTheme="majorHAnsi"/>
          <w:spacing w:val="6"/>
          <w:sz w:val="20"/>
          <w:szCs w:val="20"/>
        </w:rPr>
        <w:t xml:space="preserve"> </w:t>
      </w:r>
      <w:r w:rsidRPr="000977F7">
        <w:rPr>
          <w:rFonts w:asciiTheme="majorHAnsi" w:hAnsiTheme="majorHAnsi"/>
          <w:sz w:val="20"/>
          <w:szCs w:val="20"/>
        </w:rPr>
        <w:t>також</w:t>
      </w:r>
      <w:r w:rsidRPr="000977F7">
        <w:rPr>
          <w:rFonts w:asciiTheme="majorHAnsi" w:hAnsiTheme="majorHAnsi"/>
          <w:spacing w:val="5"/>
          <w:sz w:val="20"/>
          <w:szCs w:val="20"/>
        </w:rPr>
        <w:t xml:space="preserve"> </w:t>
      </w:r>
      <w:r w:rsidRPr="000977F7">
        <w:rPr>
          <w:rFonts w:asciiTheme="majorHAnsi" w:hAnsiTheme="majorHAnsi"/>
          <w:sz w:val="20"/>
          <w:szCs w:val="20"/>
        </w:rPr>
        <w:t>іншу</w:t>
      </w:r>
      <w:r w:rsidRPr="000977F7">
        <w:rPr>
          <w:rFonts w:asciiTheme="majorHAnsi" w:hAnsiTheme="majorHAnsi"/>
          <w:spacing w:val="6"/>
          <w:sz w:val="20"/>
          <w:szCs w:val="20"/>
        </w:rPr>
        <w:t xml:space="preserve"> </w:t>
      </w:r>
      <w:r w:rsidRPr="000977F7">
        <w:rPr>
          <w:rFonts w:asciiTheme="majorHAnsi" w:hAnsiTheme="majorHAnsi"/>
          <w:sz w:val="20"/>
          <w:szCs w:val="20"/>
        </w:rPr>
        <w:t>інформацію,</w:t>
      </w:r>
      <w:r w:rsidRPr="000977F7">
        <w:rPr>
          <w:rFonts w:asciiTheme="majorHAnsi" w:hAnsiTheme="majorHAnsi"/>
          <w:spacing w:val="6"/>
          <w:sz w:val="20"/>
          <w:szCs w:val="20"/>
        </w:rPr>
        <w:t xml:space="preserve"> </w:t>
      </w:r>
      <w:r w:rsidRPr="000977F7">
        <w:rPr>
          <w:rFonts w:asciiTheme="majorHAnsi" w:hAnsiTheme="majorHAnsi"/>
          <w:sz w:val="20"/>
          <w:szCs w:val="20"/>
        </w:rPr>
        <w:t>яка</w:t>
      </w:r>
      <w:r w:rsidRPr="000977F7">
        <w:rPr>
          <w:rFonts w:asciiTheme="majorHAnsi" w:hAnsiTheme="majorHAnsi"/>
          <w:spacing w:val="7"/>
          <w:sz w:val="20"/>
          <w:szCs w:val="20"/>
        </w:rPr>
        <w:t xml:space="preserve"> </w:t>
      </w:r>
      <w:r w:rsidRPr="000977F7">
        <w:rPr>
          <w:rFonts w:asciiTheme="majorHAnsi" w:hAnsiTheme="majorHAnsi"/>
          <w:sz w:val="20"/>
          <w:szCs w:val="20"/>
        </w:rPr>
        <w:t>стосується</w:t>
      </w:r>
      <w:r w:rsidRPr="000977F7">
        <w:rPr>
          <w:rFonts w:asciiTheme="majorHAnsi" w:hAnsiTheme="majorHAnsi"/>
          <w:spacing w:val="-47"/>
          <w:sz w:val="20"/>
          <w:szCs w:val="20"/>
        </w:rPr>
        <w:t xml:space="preserve"> </w:t>
      </w:r>
      <w:r w:rsidRPr="000977F7">
        <w:rPr>
          <w:rFonts w:asciiTheme="majorHAnsi" w:hAnsiTheme="majorHAnsi"/>
          <w:sz w:val="20"/>
          <w:szCs w:val="20"/>
        </w:rPr>
        <w:t>випробувань, достатню для їх повторного проведення</w:t>
      </w:r>
      <w:r w:rsidRPr="000977F7">
        <w:rPr>
          <w:rFonts w:asciiTheme="majorHAnsi" w:hAnsiTheme="majorHAnsi"/>
          <w:spacing w:val="1"/>
          <w:sz w:val="20"/>
          <w:szCs w:val="20"/>
        </w:rPr>
        <w:t xml:space="preserve"> </w:t>
      </w:r>
    </w:p>
    <w:p w14:paraId="1544FCF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2844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2AA85A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ЗВІТ,</w:t>
      </w:r>
      <w:r w:rsidRPr="000977F7">
        <w:rPr>
          <w:color w:val="auto"/>
          <w:spacing w:val="-4"/>
          <w:sz w:val="20"/>
          <w:szCs w:val="20"/>
        </w:rPr>
        <w:t xml:space="preserve"> </w:t>
      </w:r>
      <w:r w:rsidRPr="000977F7">
        <w:rPr>
          <w:color w:val="auto"/>
          <w:sz w:val="20"/>
          <w:szCs w:val="20"/>
        </w:rPr>
        <w:t>ПРОТОКОЛ,</w:t>
      </w:r>
      <w:r w:rsidRPr="000977F7">
        <w:rPr>
          <w:color w:val="auto"/>
          <w:spacing w:val="-3"/>
          <w:sz w:val="20"/>
          <w:szCs w:val="20"/>
        </w:rPr>
        <w:t xml:space="preserve"> </w:t>
      </w:r>
      <w:r w:rsidRPr="000977F7">
        <w:rPr>
          <w:color w:val="auto"/>
          <w:sz w:val="20"/>
          <w:szCs w:val="20"/>
        </w:rPr>
        <w:t>ЗАПИС –</w:t>
      </w:r>
    </w:p>
    <w:p w14:paraId="32D50D7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RECORD</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32715203"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Документ,</w:t>
      </w:r>
      <w:r w:rsidRPr="000977F7">
        <w:rPr>
          <w:rFonts w:asciiTheme="majorHAnsi" w:hAnsiTheme="majorHAnsi"/>
          <w:spacing w:val="-5"/>
          <w:sz w:val="20"/>
          <w:szCs w:val="20"/>
        </w:rPr>
        <w:t xml:space="preserve"> </w:t>
      </w:r>
      <w:r w:rsidRPr="000977F7">
        <w:rPr>
          <w:rFonts w:asciiTheme="majorHAnsi" w:hAnsiTheme="majorHAnsi"/>
          <w:sz w:val="20"/>
          <w:szCs w:val="20"/>
        </w:rPr>
        <w:t>який</w:t>
      </w:r>
      <w:r w:rsidRPr="000977F7">
        <w:rPr>
          <w:rFonts w:asciiTheme="majorHAnsi" w:hAnsiTheme="majorHAnsi"/>
          <w:spacing w:val="-6"/>
          <w:sz w:val="20"/>
          <w:szCs w:val="20"/>
        </w:rPr>
        <w:t xml:space="preserve"> </w:t>
      </w:r>
      <w:r w:rsidRPr="000977F7">
        <w:rPr>
          <w:rFonts w:asciiTheme="majorHAnsi" w:hAnsiTheme="majorHAnsi"/>
          <w:sz w:val="20"/>
          <w:szCs w:val="20"/>
        </w:rPr>
        <w:t>містить</w:t>
      </w:r>
      <w:r w:rsidRPr="000977F7">
        <w:rPr>
          <w:rFonts w:asciiTheme="majorHAnsi" w:hAnsiTheme="majorHAnsi"/>
          <w:spacing w:val="-4"/>
          <w:sz w:val="20"/>
          <w:szCs w:val="20"/>
        </w:rPr>
        <w:t xml:space="preserve"> </w:t>
      </w:r>
      <w:r w:rsidRPr="000977F7">
        <w:rPr>
          <w:rFonts w:asciiTheme="majorHAnsi" w:hAnsiTheme="majorHAnsi"/>
          <w:sz w:val="20"/>
          <w:szCs w:val="20"/>
        </w:rPr>
        <w:t>об’єктивний</w:t>
      </w:r>
      <w:r w:rsidRPr="000977F7">
        <w:rPr>
          <w:rFonts w:asciiTheme="majorHAnsi" w:hAnsiTheme="majorHAnsi"/>
          <w:spacing w:val="-4"/>
          <w:sz w:val="20"/>
          <w:szCs w:val="20"/>
        </w:rPr>
        <w:t xml:space="preserve"> </w:t>
      </w:r>
      <w:r w:rsidRPr="000977F7">
        <w:rPr>
          <w:rFonts w:asciiTheme="majorHAnsi" w:hAnsiTheme="majorHAnsi"/>
          <w:sz w:val="20"/>
          <w:szCs w:val="20"/>
        </w:rPr>
        <w:t>доказ</w:t>
      </w:r>
      <w:r w:rsidRPr="000977F7">
        <w:rPr>
          <w:rFonts w:asciiTheme="majorHAnsi" w:hAnsiTheme="majorHAnsi"/>
          <w:spacing w:val="-47"/>
          <w:sz w:val="20"/>
          <w:szCs w:val="20"/>
        </w:rPr>
        <w:t xml:space="preserve"> </w:t>
      </w:r>
    </w:p>
    <w:p w14:paraId="40640C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9328CC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Звіти утворюють спеціальну групу документів. Деякі</w:t>
      </w:r>
      <w:r w:rsidRPr="000977F7">
        <w:rPr>
          <w:rFonts w:asciiTheme="majorHAnsi" w:hAnsiTheme="majorHAnsi"/>
          <w:spacing w:val="1"/>
          <w:sz w:val="20"/>
          <w:szCs w:val="20"/>
        </w:rPr>
        <w:t xml:space="preserve"> </w:t>
      </w:r>
      <w:r w:rsidRPr="000977F7">
        <w:rPr>
          <w:rFonts w:asciiTheme="majorHAnsi" w:hAnsiTheme="majorHAnsi"/>
          <w:sz w:val="20"/>
          <w:szCs w:val="20"/>
        </w:rPr>
        <w:t>вимоги, які відносяться до документів, застосовні до</w:t>
      </w:r>
      <w:r w:rsidRPr="000977F7">
        <w:rPr>
          <w:rFonts w:asciiTheme="majorHAnsi" w:hAnsiTheme="majorHAnsi"/>
          <w:spacing w:val="1"/>
          <w:sz w:val="20"/>
          <w:szCs w:val="20"/>
        </w:rPr>
        <w:t xml:space="preserve"> </w:t>
      </w:r>
      <w:r w:rsidRPr="000977F7">
        <w:rPr>
          <w:rFonts w:asciiTheme="majorHAnsi" w:hAnsiTheme="majorHAnsi"/>
          <w:sz w:val="20"/>
          <w:szCs w:val="20"/>
        </w:rPr>
        <w:t>них, такі як необхідність бути розбірливим, інші види</w:t>
      </w:r>
      <w:r w:rsidRPr="000977F7">
        <w:rPr>
          <w:rFonts w:asciiTheme="majorHAnsi" w:hAnsiTheme="majorHAnsi"/>
          <w:spacing w:val="1"/>
          <w:sz w:val="20"/>
          <w:szCs w:val="20"/>
        </w:rPr>
        <w:t xml:space="preserve"> </w:t>
      </w:r>
      <w:r w:rsidRPr="000977F7">
        <w:rPr>
          <w:rFonts w:asciiTheme="majorHAnsi" w:hAnsiTheme="majorHAnsi"/>
          <w:sz w:val="20"/>
          <w:szCs w:val="20"/>
        </w:rPr>
        <w:t>звітів</w:t>
      </w:r>
      <w:r w:rsidRPr="000977F7">
        <w:rPr>
          <w:rFonts w:asciiTheme="majorHAnsi" w:hAnsiTheme="majorHAnsi"/>
          <w:spacing w:val="-3"/>
          <w:sz w:val="20"/>
          <w:szCs w:val="20"/>
        </w:rPr>
        <w:t xml:space="preserve"> </w:t>
      </w:r>
      <w:r w:rsidRPr="000977F7">
        <w:rPr>
          <w:rFonts w:asciiTheme="majorHAnsi" w:hAnsiTheme="majorHAnsi"/>
          <w:sz w:val="20"/>
          <w:szCs w:val="20"/>
        </w:rPr>
        <w:t>містять</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2"/>
          <w:sz w:val="20"/>
          <w:szCs w:val="20"/>
        </w:rPr>
        <w:t xml:space="preserve"> </w:t>
      </w:r>
      <w:r w:rsidRPr="000977F7">
        <w:rPr>
          <w:rFonts w:asciiTheme="majorHAnsi" w:hAnsiTheme="majorHAnsi"/>
          <w:sz w:val="20"/>
          <w:szCs w:val="20"/>
        </w:rPr>
        <w:t>власний,</w:t>
      </w:r>
      <w:r w:rsidRPr="000977F7">
        <w:rPr>
          <w:rFonts w:asciiTheme="majorHAnsi" w:hAnsiTheme="majorHAnsi"/>
          <w:spacing w:val="-1"/>
          <w:sz w:val="20"/>
          <w:szCs w:val="20"/>
        </w:rPr>
        <w:t xml:space="preserve"> </w:t>
      </w:r>
      <w:r w:rsidRPr="000977F7">
        <w:rPr>
          <w:rFonts w:asciiTheme="majorHAnsi" w:hAnsiTheme="majorHAnsi"/>
          <w:sz w:val="20"/>
          <w:szCs w:val="20"/>
        </w:rPr>
        <w:t>спеціальний набір</w:t>
      </w:r>
      <w:r w:rsidRPr="000977F7">
        <w:rPr>
          <w:rFonts w:asciiTheme="majorHAnsi" w:hAnsiTheme="majorHAnsi"/>
          <w:spacing w:val="-1"/>
          <w:sz w:val="20"/>
          <w:szCs w:val="20"/>
        </w:rPr>
        <w:t xml:space="preserve"> </w:t>
      </w:r>
      <w:r w:rsidRPr="000977F7">
        <w:rPr>
          <w:rFonts w:asciiTheme="majorHAnsi" w:hAnsiTheme="majorHAnsi"/>
          <w:sz w:val="20"/>
          <w:szCs w:val="20"/>
        </w:rPr>
        <w:t>вимог</w:t>
      </w:r>
    </w:p>
    <w:p w14:paraId="034EB37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ЗВІТИ</w:t>
      </w:r>
      <w:r w:rsidRPr="000977F7">
        <w:rPr>
          <w:color w:val="auto"/>
          <w:spacing w:val="-2"/>
          <w:sz w:val="20"/>
          <w:szCs w:val="20"/>
        </w:rPr>
        <w:t xml:space="preserve"> </w:t>
      </w:r>
      <w:r w:rsidRPr="000977F7">
        <w:rPr>
          <w:color w:val="auto"/>
          <w:sz w:val="20"/>
          <w:szCs w:val="20"/>
        </w:rPr>
        <w:t>З</w:t>
      </w:r>
      <w:r w:rsidRPr="000977F7">
        <w:rPr>
          <w:color w:val="auto"/>
          <w:spacing w:val="-2"/>
          <w:sz w:val="20"/>
          <w:szCs w:val="20"/>
        </w:rPr>
        <w:t xml:space="preserve"> </w:t>
      </w:r>
      <w:r w:rsidRPr="000977F7">
        <w:rPr>
          <w:color w:val="auto"/>
          <w:sz w:val="20"/>
          <w:szCs w:val="20"/>
        </w:rPr>
        <w:t>ЯКОСТІ</w:t>
      </w:r>
      <w:r w:rsidRPr="000977F7">
        <w:rPr>
          <w:color w:val="auto"/>
          <w:spacing w:val="-2"/>
          <w:sz w:val="20"/>
          <w:szCs w:val="20"/>
        </w:rPr>
        <w:t xml:space="preserve"> </w:t>
      </w:r>
      <w:r w:rsidRPr="000977F7">
        <w:rPr>
          <w:color w:val="auto"/>
          <w:sz w:val="20"/>
          <w:szCs w:val="20"/>
        </w:rPr>
        <w:t>–</w:t>
      </w:r>
    </w:p>
    <w:p w14:paraId="7D48810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QUALITY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RECORD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618BA3DE"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Звіт,</w:t>
      </w:r>
      <w:r w:rsidRPr="000977F7">
        <w:rPr>
          <w:rFonts w:asciiTheme="majorHAnsi" w:hAnsiTheme="majorHAnsi"/>
          <w:spacing w:val="-5"/>
          <w:sz w:val="20"/>
          <w:szCs w:val="20"/>
        </w:rPr>
        <w:t xml:space="preserve"> </w:t>
      </w:r>
      <w:r w:rsidRPr="000977F7">
        <w:rPr>
          <w:rFonts w:asciiTheme="majorHAnsi" w:hAnsiTheme="majorHAnsi"/>
          <w:sz w:val="20"/>
          <w:szCs w:val="20"/>
        </w:rPr>
        <w:t>що</w:t>
      </w:r>
      <w:r w:rsidRPr="000977F7">
        <w:rPr>
          <w:rFonts w:asciiTheme="majorHAnsi" w:hAnsiTheme="majorHAnsi"/>
          <w:spacing w:val="-3"/>
          <w:sz w:val="20"/>
          <w:szCs w:val="20"/>
        </w:rPr>
        <w:t xml:space="preserve"> </w:t>
      </w:r>
      <w:r w:rsidRPr="000977F7">
        <w:rPr>
          <w:rFonts w:asciiTheme="majorHAnsi" w:hAnsiTheme="majorHAnsi"/>
          <w:sz w:val="20"/>
          <w:szCs w:val="20"/>
        </w:rPr>
        <w:t>стосується</w:t>
      </w:r>
      <w:r w:rsidRPr="000977F7">
        <w:rPr>
          <w:rFonts w:asciiTheme="majorHAnsi" w:hAnsiTheme="majorHAnsi"/>
          <w:spacing w:val="-5"/>
          <w:sz w:val="20"/>
          <w:szCs w:val="20"/>
        </w:rPr>
        <w:t xml:space="preserve"> </w:t>
      </w:r>
      <w:r w:rsidRPr="000977F7">
        <w:rPr>
          <w:rFonts w:asciiTheme="majorHAnsi" w:hAnsiTheme="majorHAnsi"/>
          <w:sz w:val="20"/>
          <w:szCs w:val="20"/>
        </w:rPr>
        <w:t>якості</w:t>
      </w:r>
      <w:r w:rsidRPr="000977F7">
        <w:rPr>
          <w:rFonts w:asciiTheme="majorHAnsi" w:hAnsiTheme="majorHAnsi"/>
          <w:spacing w:val="-47"/>
          <w:sz w:val="20"/>
          <w:szCs w:val="20"/>
        </w:rPr>
        <w:t xml:space="preserve"> </w:t>
      </w:r>
    </w:p>
    <w:p w14:paraId="451A6BD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1A7078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Звіти</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застосовуватися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забезпечення демонстрації, простежуваності і доказу при верифікації,</w:t>
      </w:r>
      <w:r w:rsidRPr="000977F7">
        <w:rPr>
          <w:rFonts w:asciiTheme="majorHAnsi" w:hAnsiTheme="majorHAnsi"/>
          <w:spacing w:val="-2"/>
          <w:sz w:val="20"/>
          <w:szCs w:val="20"/>
        </w:rPr>
        <w:t xml:space="preserve"> </w:t>
      </w:r>
      <w:r w:rsidRPr="000977F7">
        <w:rPr>
          <w:rFonts w:asciiTheme="majorHAnsi" w:hAnsiTheme="majorHAnsi"/>
          <w:sz w:val="20"/>
          <w:szCs w:val="20"/>
        </w:rPr>
        <w:t>превентивній дії</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коригувальній дії</w:t>
      </w:r>
    </w:p>
    <w:p w14:paraId="1FD9387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ЗВОРОТНИЙ</w:t>
      </w:r>
      <w:r w:rsidRPr="000977F7">
        <w:rPr>
          <w:color w:val="auto"/>
          <w:spacing w:val="-2"/>
          <w:sz w:val="20"/>
          <w:szCs w:val="20"/>
        </w:rPr>
        <w:t xml:space="preserve"> </w:t>
      </w:r>
      <w:r w:rsidRPr="000977F7">
        <w:rPr>
          <w:color w:val="auto"/>
          <w:sz w:val="20"/>
          <w:szCs w:val="20"/>
        </w:rPr>
        <w:t>ЗВ’ЯЗОК –</w:t>
      </w:r>
    </w:p>
    <w:p w14:paraId="6B56EB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FEEDBACK</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009418B7"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Думки,</w:t>
      </w:r>
      <w:r w:rsidRPr="000977F7">
        <w:rPr>
          <w:rFonts w:asciiTheme="majorHAnsi" w:hAnsiTheme="majorHAnsi"/>
          <w:spacing w:val="41"/>
          <w:sz w:val="20"/>
          <w:szCs w:val="20"/>
        </w:rPr>
        <w:t xml:space="preserve"> </w:t>
      </w:r>
      <w:r w:rsidRPr="000977F7">
        <w:rPr>
          <w:rFonts w:asciiTheme="majorHAnsi" w:hAnsiTheme="majorHAnsi"/>
          <w:sz w:val="20"/>
          <w:szCs w:val="20"/>
        </w:rPr>
        <w:t>зауваги</w:t>
      </w:r>
      <w:r w:rsidRPr="000977F7">
        <w:rPr>
          <w:rFonts w:asciiTheme="majorHAnsi" w:hAnsiTheme="majorHAnsi"/>
          <w:spacing w:val="40"/>
          <w:sz w:val="20"/>
          <w:szCs w:val="20"/>
        </w:rPr>
        <w:t xml:space="preserve"> </w:t>
      </w:r>
      <w:r w:rsidRPr="000977F7">
        <w:rPr>
          <w:rFonts w:asciiTheme="majorHAnsi" w:hAnsiTheme="majorHAnsi"/>
          <w:sz w:val="20"/>
          <w:szCs w:val="20"/>
        </w:rPr>
        <w:t>та</w:t>
      </w:r>
      <w:r w:rsidRPr="000977F7">
        <w:rPr>
          <w:rFonts w:asciiTheme="majorHAnsi" w:hAnsiTheme="majorHAnsi"/>
          <w:spacing w:val="42"/>
          <w:sz w:val="20"/>
          <w:szCs w:val="20"/>
        </w:rPr>
        <w:t xml:space="preserve"> </w:t>
      </w:r>
      <w:r w:rsidRPr="000977F7">
        <w:rPr>
          <w:rFonts w:asciiTheme="majorHAnsi" w:hAnsiTheme="majorHAnsi"/>
          <w:sz w:val="20"/>
          <w:szCs w:val="20"/>
        </w:rPr>
        <w:t>висловлення</w:t>
      </w:r>
      <w:r w:rsidRPr="000977F7">
        <w:rPr>
          <w:rFonts w:asciiTheme="majorHAnsi" w:hAnsiTheme="majorHAnsi"/>
          <w:spacing w:val="40"/>
          <w:sz w:val="20"/>
          <w:szCs w:val="20"/>
        </w:rPr>
        <w:t xml:space="preserve"> </w:t>
      </w:r>
      <w:r w:rsidRPr="000977F7">
        <w:rPr>
          <w:rFonts w:asciiTheme="majorHAnsi" w:hAnsiTheme="majorHAnsi"/>
          <w:sz w:val="20"/>
          <w:szCs w:val="20"/>
        </w:rPr>
        <w:t>зацікавленості</w:t>
      </w:r>
      <w:r w:rsidRPr="000977F7">
        <w:rPr>
          <w:rFonts w:asciiTheme="majorHAnsi" w:hAnsiTheme="majorHAnsi"/>
          <w:spacing w:val="41"/>
          <w:sz w:val="20"/>
          <w:szCs w:val="20"/>
        </w:rPr>
        <w:t xml:space="preserve"> </w:t>
      </w:r>
      <w:r w:rsidRPr="000977F7">
        <w:rPr>
          <w:rFonts w:asciiTheme="majorHAnsi" w:hAnsiTheme="majorHAnsi"/>
          <w:sz w:val="20"/>
          <w:szCs w:val="20"/>
        </w:rPr>
        <w:t>щодо</w:t>
      </w:r>
      <w:r w:rsidRPr="000977F7">
        <w:rPr>
          <w:rFonts w:asciiTheme="majorHAnsi" w:hAnsiTheme="majorHAnsi"/>
          <w:spacing w:val="-47"/>
          <w:sz w:val="20"/>
          <w:szCs w:val="20"/>
        </w:rPr>
        <w:t xml:space="preserve"> </w:t>
      </w:r>
      <w:r w:rsidRPr="000977F7">
        <w:rPr>
          <w:rFonts w:asciiTheme="majorHAnsi" w:hAnsiTheme="majorHAnsi"/>
          <w:sz w:val="20"/>
          <w:szCs w:val="20"/>
        </w:rPr>
        <w:t>продукції, послуги чи процесу розглядання скарг</w:t>
      </w:r>
      <w:r w:rsidRPr="000977F7">
        <w:rPr>
          <w:rFonts w:asciiTheme="majorHAnsi" w:hAnsiTheme="majorHAnsi"/>
          <w:spacing w:val="1"/>
          <w:sz w:val="20"/>
          <w:szCs w:val="20"/>
        </w:rPr>
        <w:t xml:space="preserve"> </w:t>
      </w:r>
    </w:p>
    <w:p w14:paraId="4C84C7EC"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ISO 9000:2015</w:t>
      </w:r>
    </w:p>
    <w:p w14:paraId="1CF67F5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ЗГИНАЛЬНИЙ</w:t>
      </w:r>
      <w:r w:rsidRPr="000977F7">
        <w:rPr>
          <w:color w:val="auto"/>
          <w:spacing w:val="-5"/>
          <w:sz w:val="20"/>
          <w:szCs w:val="20"/>
        </w:rPr>
        <w:t xml:space="preserve"> </w:t>
      </w:r>
      <w:r w:rsidRPr="000977F7">
        <w:rPr>
          <w:color w:val="auto"/>
          <w:sz w:val="20"/>
          <w:szCs w:val="20"/>
        </w:rPr>
        <w:t>МОМЕНТ</w:t>
      </w:r>
      <w:r w:rsidRPr="000977F7">
        <w:rPr>
          <w:color w:val="auto"/>
          <w:spacing w:val="-4"/>
          <w:sz w:val="20"/>
          <w:szCs w:val="20"/>
        </w:rPr>
        <w:t xml:space="preserve"> </w:t>
      </w:r>
      <w:r w:rsidRPr="000977F7">
        <w:rPr>
          <w:color w:val="auto"/>
          <w:sz w:val="20"/>
          <w:szCs w:val="20"/>
        </w:rPr>
        <w:t>–</w:t>
      </w:r>
    </w:p>
    <w:p w14:paraId="378084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BENDING</w:t>
      </w:r>
      <w:r w:rsidRPr="000977F7">
        <w:rPr>
          <w:rFonts w:asciiTheme="majorHAnsi" w:hAnsiTheme="majorHAnsi"/>
          <w:spacing w:val="-2"/>
          <w:sz w:val="20"/>
          <w:szCs w:val="20"/>
        </w:rPr>
        <w:t xml:space="preserve"> </w:t>
      </w:r>
      <w:r w:rsidRPr="000977F7">
        <w:rPr>
          <w:rFonts w:asciiTheme="majorHAnsi" w:hAnsiTheme="majorHAnsi"/>
          <w:sz w:val="20"/>
          <w:szCs w:val="20"/>
        </w:rPr>
        <w:t>MOMENT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58589C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Момент внутрішніх сил у перерізі об’єкта відносно</w:t>
      </w:r>
      <w:r w:rsidRPr="000977F7">
        <w:rPr>
          <w:rFonts w:asciiTheme="majorHAnsi" w:hAnsiTheme="majorHAnsi"/>
          <w:spacing w:val="1"/>
          <w:sz w:val="20"/>
          <w:szCs w:val="20"/>
        </w:rPr>
        <w:t xml:space="preserve"> </w:t>
      </w:r>
      <w:r w:rsidRPr="000977F7">
        <w:rPr>
          <w:rFonts w:asciiTheme="majorHAnsi" w:hAnsiTheme="majorHAnsi"/>
          <w:sz w:val="20"/>
          <w:szCs w:val="20"/>
        </w:rPr>
        <w:t>осі,</w:t>
      </w:r>
      <w:r w:rsidRPr="000977F7">
        <w:rPr>
          <w:rFonts w:asciiTheme="majorHAnsi" w:hAnsiTheme="majorHAnsi"/>
          <w:spacing w:val="-1"/>
          <w:sz w:val="20"/>
          <w:szCs w:val="20"/>
        </w:rPr>
        <w:t xml:space="preserve"> </w:t>
      </w:r>
      <w:r w:rsidRPr="000977F7">
        <w:rPr>
          <w:rFonts w:asciiTheme="majorHAnsi" w:hAnsiTheme="majorHAnsi"/>
          <w:sz w:val="20"/>
          <w:szCs w:val="20"/>
        </w:rPr>
        <w:t>заданої</w:t>
      </w:r>
      <w:r w:rsidRPr="000977F7">
        <w:rPr>
          <w:rFonts w:asciiTheme="majorHAnsi" w:hAnsiTheme="majorHAnsi"/>
          <w:spacing w:val="-1"/>
          <w:sz w:val="20"/>
          <w:szCs w:val="20"/>
        </w:rPr>
        <w:t xml:space="preserve"> </w:t>
      </w:r>
      <w:r w:rsidRPr="000977F7">
        <w:rPr>
          <w:rFonts w:asciiTheme="majorHAnsi" w:hAnsiTheme="majorHAnsi"/>
          <w:sz w:val="20"/>
          <w:szCs w:val="20"/>
        </w:rPr>
        <w:t>в площині</w:t>
      </w:r>
      <w:r w:rsidRPr="000977F7">
        <w:rPr>
          <w:rFonts w:asciiTheme="majorHAnsi" w:hAnsiTheme="majorHAnsi"/>
          <w:spacing w:val="-1"/>
          <w:sz w:val="20"/>
          <w:szCs w:val="20"/>
        </w:rPr>
        <w:t xml:space="preserve"> </w:t>
      </w:r>
      <w:r w:rsidRPr="000977F7">
        <w:rPr>
          <w:rFonts w:asciiTheme="majorHAnsi" w:hAnsiTheme="majorHAnsi"/>
          <w:sz w:val="20"/>
          <w:szCs w:val="20"/>
        </w:rPr>
        <w:t>перерізу</w:t>
      </w:r>
    </w:p>
    <w:p w14:paraId="5A6D710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395CFD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ЗГОДА</w:t>
      </w:r>
      <w:r w:rsidRPr="000977F7">
        <w:rPr>
          <w:color w:val="auto"/>
          <w:spacing w:val="-2"/>
          <w:sz w:val="20"/>
          <w:szCs w:val="20"/>
        </w:rPr>
        <w:t xml:space="preserve"> </w:t>
      </w:r>
      <w:r w:rsidRPr="000977F7">
        <w:rPr>
          <w:color w:val="auto"/>
          <w:sz w:val="20"/>
          <w:szCs w:val="20"/>
        </w:rPr>
        <w:t>–</w:t>
      </w:r>
    </w:p>
    <w:p w14:paraId="1554459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Прийняття в цілому, що передбачує відсутність суттєвих розбіжностей у більшості зацікавлених сторін по</w:t>
      </w:r>
      <w:r w:rsidRPr="000977F7">
        <w:rPr>
          <w:rFonts w:asciiTheme="majorHAnsi" w:hAnsiTheme="majorHAnsi"/>
          <w:spacing w:val="1"/>
          <w:sz w:val="20"/>
          <w:szCs w:val="20"/>
        </w:rPr>
        <w:t xml:space="preserve"> </w:t>
      </w:r>
      <w:r w:rsidRPr="000977F7">
        <w:rPr>
          <w:rFonts w:asciiTheme="majorHAnsi" w:hAnsiTheme="majorHAnsi"/>
          <w:sz w:val="20"/>
          <w:szCs w:val="20"/>
        </w:rPr>
        <w:t>суттєвим питанням</w:t>
      </w:r>
    </w:p>
    <w:p w14:paraId="5CFDEEA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ЗДАТНІСТЬ -</w:t>
      </w:r>
    </w:p>
    <w:p w14:paraId="14B90C6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CAPABILITY</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1A1DAAC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Можливість об’єкта випускати продукцію, яка відповідає</w:t>
      </w:r>
      <w:r w:rsidRPr="000977F7">
        <w:rPr>
          <w:rFonts w:asciiTheme="majorHAnsi" w:hAnsiTheme="majorHAnsi"/>
          <w:spacing w:val="-1"/>
          <w:sz w:val="20"/>
          <w:szCs w:val="20"/>
        </w:rPr>
        <w:t xml:space="preserve"> </w:t>
      </w:r>
      <w:r w:rsidRPr="000977F7">
        <w:rPr>
          <w:rFonts w:asciiTheme="majorHAnsi" w:hAnsiTheme="majorHAnsi"/>
          <w:sz w:val="20"/>
          <w:szCs w:val="20"/>
        </w:rPr>
        <w:t>вимозі до даної</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7F2E5D1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ЗЕНКЕРУВАННЯ -</w:t>
      </w:r>
    </w:p>
    <w:p w14:paraId="30B5A39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Чистова обробка отворів для підвищення їх точності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зменшення</w:t>
      </w:r>
      <w:r w:rsidRPr="000977F7">
        <w:rPr>
          <w:rFonts w:asciiTheme="majorHAnsi" w:hAnsiTheme="majorHAnsi"/>
          <w:spacing w:val="-1"/>
          <w:sz w:val="20"/>
          <w:szCs w:val="20"/>
        </w:rPr>
        <w:t xml:space="preserve"> </w:t>
      </w:r>
      <w:r w:rsidRPr="000977F7">
        <w:rPr>
          <w:rFonts w:asciiTheme="majorHAnsi" w:hAnsiTheme="majorHAnsi"/>
          <w:sz w:val="20"/>
          <w:szCs w:val="20"/>
        </w:rPr>
        <w:t>шорсткості</w:t>
      </w:r>
    </w:p>
    <w:p w14:paraId="435234F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ЗЕНКУВАННЯ -</w:t>
      </w:r>
    </w:p>
    <w:p w14:paraId="43C6E8C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Обробка</w:t>
      </w:r>
      <w:r w:rsidRPr="000977F7">
        <w:rPr>
          <w:rFonts w:asciiTheme="majorHAnsi" w:hAnsiTheme="majorHAnsi"/>
          <w:spacing w:val="12"/>
          <w:sz w:val="20"/>
          <w:szCs w:val="20"/>
        </w:rPr>
        <w:t xml:space="preserve"> </w:t>
      </w:r>
      <w:r w:rsidRPr="000977F7">
        <w:rPr>
          <w:rFonts w:asciiTheme="majorHAnsi" w:hAnsiTheme="majorHAnsi"/>
          <w:sz w:val="20"/>
          <w:szCs w:val="20"/>
        </w:rPr>
        <w:t>різанням</w:t>
      </w:r>
      <w:r w:rsidRPr="000977F7">
        <w:rPr>
          <w:rFonts w:asciiTheme="majorHAnsi" w:hAnsiTheme="majorHAnsi"/>
          <w:spacing w:val="11"/>
          <w:sz w:val="20"/>
          <w:szCs w:val="20"/>
        </w:rPr>
        <w:t xml:space="preserve"> </w:t>
      </w:r>
      <w:r w:rsidRPr="000977F7">
        <w:rPr>
          <w:rFonts w:asciiTheme="majorHAnsi" w:hAnsiTheme="majorHAnsi"/>
          <w:sz w:val="20"/>
          <w:szCs w:val="20"/>
        </w:rPr>
        <w:t>для</w:t>
      </w:r>
      <w:r w:rsidRPr="000977F7">
        <w:rPr>
          <w:rFonts w:asciiTheme="majorHAnsi" w:hAnsiTheme="majorHAnsi"/>
          <w:spacing w:val="12"/>
          <w:sz w:val="20"/>
          <w:szCs w:val="20"/>
        </w:rPr>
        <w:t xml:space="preserve"> </w:t>
      </w:r>
      <w:r w:rsidRPr="000977F7">
        <w:rPr>
          <w:rFonts w:asciiTheme="majorHAnsi" w:hAnsiTheme="majorHAnsi"/>
          <w:sz w:val="20"/>
          <w:szCs w:val="20"/>
        </w:rPr>
        <w:t>отримання</w:t>
      </w:r>
      <w:r w:rsidRPr="000977F7">
        <w:rPr>
          <w:rFonts w:asciiTheme="majorHAnsi" w:hAnsiTheme="majorHAnsi"/>
          <w:spacing w:val="13"/>
          <w:sz w:val="20"/>
          <w:szCs w:val="20"/>
        </w:rPr>
        <w:t xml:space="preserve"> </w:t>
      </w:r>
      <w:r w:rsidRPr="000977F7">
        <w:rPr>
          <w:rFonts w:asciiTheme="majorHAnsi" w:hAnsiTheme="majorHAnsi"/>
          <w:sz w:val="20"/>
          <w:szCs w:val="20"/>
        </w:rPr>
        <w:t>конічних</w:t>
      </w:r>
      <w:r w:rsidRPr="000977F7">
        <w:rPr>
          <w:rFonts w:asciiTheme="majorHAnsi" w:hAnsiTheme="majorHAnsi"/>
          <w:spacing w:val="11"/>
          <w:sz w:val="20"/>
          <w:szCs w:val="20"/>
        </w:rPr>
        <w:t xml:space="preserve"> </w:t>
      </w:r>
      <w:r w:rsidRPr="000977F7">
        <w:rPr>
          <w:rFonts w:asciiTheme="majorHAnsi" w:hAnsiTheme="majorHAnsi"/>
          <w:sz w:val="20"/>
          <w:szCs w:val="20"/>
        </w:rPr>
        <w:t>та</w:t>
      </w:r>
      <w:r w:rsidRPr="000977F7">
        <w:rPr>
          <w:rFonts w:asciiTheme="majorHAnsi" w:hAnsiTheme="majorHAnsi"/>
          <w:spacing w:val="12"/>
          <w:sz w:val="20"/>
          <w:szCs w:val="20"/>
        </w:rPr>
        <w:t xml:space="preserve"> </w:t>
      </w:r>
      <w:r w:rsidRPr="000977F7">
        <w:rPr>
          <w:rFonts w:asciiTheme="majorHAnsi" w:hAnsiTheme="majorHAnsi"/>
          <w:sz w:val="20"/>
          <w:szCs w:val="20"/>
        </w:rPr>
        <w:t>циліндричних</w:t>
      </w:r>
      <w:r w:rsidRPr="000977F7">
        <w:rPr>
          <w:rFonts w:asciiTheme="majorHAnsi" w:hAnsiTheme="majorHAnsi"/>
          <w:spacing w:val="1"/>
          <w:sz w:val="20"/>
          <w:szCs w:val="20"/>
        </w:rPr>
        <w:t xml:space="preserve"> </w:t>
      </w:r>
      <w:r w:rsidRPr="000977F7">
        <w:rPr>
          <w:rFonts w:asciiTheme="majorHAnsi" w:hAnsiTheme="majorHAnsi"/>
          <w:sz w:val="20"/>
          <w:szCs w:val="20"/>
        </w:rPr>
        <w:t>поглиблень,</w:t>
      </w:r>
      <w:r w:rsidRPr="000977F7">
        <w:rPr>
          <w:rFonts w:asciiTheme="majorHAnsi" w:hAnsiTheme="majorHAnsi"/>
          <w:spacing w:val="2"/>
          <w:sz w:val="20"/>
          <w:szCs w:val="20"/>
        </w:rPr>
        <w:t xml:space="preserve"> </w:t>
      </w:r>
      <w:r w:rsidRPr="000977F7">
        <w:rPr>
          <w:rFonts w:asciiTheme="majorHAnsi" w:hAnsiTheme="majorHAnsi"/>
          <w:sz w:val="20"/>
          <w:szCs w:val="20"/>
        </w:rPr>
        <w:t>опорних</w:t>
      </w:r>
      <w:r w:rsidRPr="000977F7">
        <w:rPr>
          <w:rFonts w:asciiTheme="majorHAnsi" w:hAnsiTheme="majorHAnsi"/>
          <w:spacing w:val="2"/>
          <w:sz w:val="20"/>
          <w:szCs w:val="20"/>
        </w:rPr>
        <w:t xml:space="preserve"> </w:t>
      </w:r>
      <w:r w:rsidRPr="000977F7">
        <w:rPr>
          <w:rFonts w:asciiTheme="majorHAnsi" w:hAnsiTheme="majorHAnsi"/>
          <w:sz w:val="20"/>
          <w:szCs w:val="20"/>
        </w:rPr>
        <w:t>площ</w:t>
      </w:r>
      <w:r w:rsidRPr="000977F7">
        <w:rPr>
          <w:rFonts w:asciiTheme="majorHAnsi" w:hAnsiTheme="majorHAnsi"/>
          <w:spacing w:val="2"/>
          <w:sz w:val="20"/>
          <w:szCs w:val="20"/>
        </w:rPr>
        <w:t xml:space="preserve"> </w:t>
      </w:r>
      <w:r w:rsidRPr="000977F7">
        <w:rPr>
          <w:rFonts w:asciiTheme="majorHAnsi" w:hAnsiTheme="majorHAnsi"/>
          <w:sz w:val="20"/>
          <w:szCs w:val="20"/>
        </w:rPr>
        <w:t>навкруги</w:t>
      </w:r>
      <w:r w:rsidRPr="000977F7">
        <w:rPr>
          <w:rFonts w:asciiTheme="majorHAnsi" w:hAnsiTheme="majorHAnsi"/>
          <w:spacing w:val="2"/>
          <w:sz w:val="20"/>
          <w:szCs w:val="20"/>
        </w:rPr>
        <w:t xml:space="preserve"> </w:t>
      </w:r>
      <w:r w:rsidRPr="000977F7">
        <w:rPr>
          <w:rFonts w:asciiTheme="majorHAnsi" w:hAnsiTheme="majorHAnsi"/>
          <w:sz w:val="20"/>
          <w:szCs w:val="20"/>
        </w:rPr>
        <w:t>отворів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фасок</w:t>
      </w:r>
      <w:r w:rsidRPr="000977F7">
        <w:rPr>
          <w:rFonts w:asciiTheme="majorHAnsi" w:hAnsiTheme="majorHAnsi"/>
          <w:spacing w:val="-1"/>
          <w:sz w:val="20"/>
          <w:szCs w:val="20"/>
        </w:rPr>
        <w:t xml:space="preserve"> </w:t>
      </w:r>
      <w:r w:rsidRPr="000977F7">
        <w:rPr>
          <w:rFonts w:asciiTheme="majorHAnsi" w:hAnsiTheme="majorHAnsi"/>
          <w:sz w:val="20"/>
          <w:szCs w:val="20"/>
        </w:rPr>
        <w:t>центрових</w:t>
      </w:r>
      <w:r w:rsidRPr="000977F7">
        <w:rPr>
          <w:rFonts w:asciiTheme="majorHAnsi" w:hAnsiTheme="majorHAnsi"/>
          <w:spacing w:val="-1"/>
          <w:sz w:val="20"/>
          <w:szCs w:val="20"/>
        </w:rPr>
        <w:t xml:space="preserve"> </w:t>
      </w:r>
      <w:r w:rsidRPr="000977F7">
        <w:rPr>
          <w:rFonts w:asciiTheme="majorHAnsi" w:hAnsiTheme="majorHAnsi"/>
          <w:sz w:val="20"/>
          <w:szCs w:val="20"/>
        </w:rPr>
        <w:t>отворів</w:t>
      </w:r>
    </w:p>
    <w:p w14:paraId="40DC2C13"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ЗІРКОВЕ</w:t>
      </w:r>
      <w:r w:rsidRPr="000977F7">
        <w:rPr>
          <w:rFonts w:asciiTheme="majorHAnsi" w:hAnsiTheme="majorHAnsi"/>
          <w:b/>
          <w:bCs/>
          <w:spacing w:val="-5"/>
          <w:sz w:val="20"/>
          <w:szCs w:val="20"/>
        </w:rPr>
        <w:t xml:space="preserve"> </w:t>
      </w:r>
      <w:r w:rsidRPr="000977F7">
        <w:rPr>
          <w:rFonts w:asciiTheme="majorHAnsi" w:hAnsiTheme="majorHAnsi"/>
          <w:b/>
          <w:bCs/>
          <w:sz w:val="20"/>
          <w:szCs w:val="20"/>
        </w:rPr>
        <w:t>ПЛЕЧЕ</w:t>
      </w:r>
      <w:r w:rsidRPr="000977F7">
        <w:rPr>
          <w:rFonts w:asciiTheme="majorHAnsi" w:hAnsiTheme="majorHAnsi"/>
          <w:b/>
          <w:bCs/>
          <w:spacing w:val="-3"/>
          <w:sz w:val="20"/>
          <w:szCs w:val="20"/>
        </w:rPr>
        <w:t xml:space="preserve"> </w:t>
      </w:r>
      <w:r w:rsidRPr="000977F7">
        <w:rPr>
          <w:rFonts w:asciiTheme="majorHAnsi" w:hAnsiTheme="majorHAnsi"/>
          <w:b/>
          <w:bCs/>
          <w:sz w:val="20"/>
          <w:szCs w:val="20"/>
        </w:rPr>
        <w:t>–</w:t>
      </w:r>
    </w:p>
    <w:p w14:paraId="5993A75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Відстань</w:t>
      </w:r>
      <w:r w:rsidRPr="000977F7">
        <w:rPr>
          <w:rFonts w:asciiTheme="majorHAnsi" w:hAnsiTheme="majorHAnsi"/>
          <w:spacing w:val="1"/>
          <w:sz w:val="20"/>
          <w:szCs w:val="20"/>
        </w:rPr>
        <w:t xml:space="preserve"> </w:t>
      </w:r>
      <w:r w:rsidRPr="000977F7">
        <w:rPr>
          <w:rFonts w:asciiTheme="majorHAnsi" w:hAnsiTheme="majorHAnsi"/>
          <w:sz w:val="20"/>
          <w:szCs w:val="20"/>
        </w:rPr>
        <w:t>між центральною</w:t>
      </w:r>
      <w:r w:rsidRPr="000977F7">
        <w:rPr>
          <w:rFonts w:asciiTheme="majorHAnsi" w:hAnsiTheme="majorHAnsi"/>
          <w:spacing w:val="1"/>
          <w:sz w:val="20"/>
          <w:szCs w:val="20"/>
        </w:rPr>
        <w:t xml:space="preserve"> </w:t>
      </w:r>
      <w:r w:rsidRPr="000977F7">
        <w:rPr>
          <w:rFonts w:asciiTheme="majorHAnsi" w:hAnsiTheme="majorHAnsi"/>
          <w:sz w:val="20"/>
          <w:szCs w:val="20"/>
        </w:rPr>
        <w:t>і зірковою</w:t>
      </w:r>
      <w:r w:rsidRPr="000977F7">
        <w:rPr>
          <w:rFonts w:asciiTheme="majorHAnsi" w:hAnsiTheme="majorHAnsi"/>
          <w:spacing w:val="1"/>
          <w:sz w:val="20"/>
          <w:szCs w:val="20"/>
        </w:rPr>
        <w:t xml:space="preserve"> </w:t>
      </w:r>
      <w:r w:rsidRPr="000977F7">
        <w:rPr>
          <w:rFonts w:asciiTheme="majorHAnsi" w:hAnsiTheme="majorHAnsi"/>
          <w:sz w:val="20"/>
          <w:szCs w:val="20"/>
        </w:rPr>
        <w:t>точкою</w:t>
      </w:r>
      <w:r w:rsidRPr="000977F7">
        <w:rPr>
          <w:rFonts w:asciiTheme="majorHAnsi" w:hAnsiTheme="majorHAnsi"/>
          <w:spacing w:val="1"/>
          <w:sz w:val="20"/>
          <w:szCs w:val="20"/>
        </w:rPr>
        <w:t xml:space="preserve"> </w:t>
      </w:r>
      <w:r w:rsidRPr="000977F7">
        <w:rPr>
          <w:rFonts w:asciiTheme="majorHAnsi" w:hAnsiTheme="majorHAnsi"/>
          <w:sz w:val="20"/>
          <w:szCs w:val="20"/>
        </w:rPr>
        <w:t>плану</w:t>
      </w:r>
      <w:r w:rsidRPr="000977F7">
        <w:rPr>
          <w:rFonts w:asciiTheme="majorHAnsi" w:hAnsiTheme="majorHAnsi"/>
          <w:spacing w:val="-47"/>
          <w:sz w:val="20"/>
          <w:szCs w:val="20"/>
        </w:rPr>
        <w:t xml:space="preserve"> </w:t>
      </w:r>
      <w:r w:rsidRPr="000977F7">
        <w:rPr>
          <w:rFonts w:asciiTheme="majorHAnsi" w:hAnsiTheme="majorHAnsi"/>
          <w:sz w:val="20"/>
          <w:szCs w:val="20"/>
        </w:rPr>
        <w:t>другого порядку</w:t>
      </w:r>
    </w:p>
    <w:p w14:paraId="1086ED8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ЗІРКОВА</w:t>
      </w:r>
      <w:r w:rsidRPr="000977F7">
        <w:rPr>
          <w:color w:val="auto"/>
          <w:spacing w:val="-2"/>
          <w:sz w:val="20"/>
          <w:szCs w:val="20"/>
        </w:rPr>
        <w:t xml:space="preserve"> </w:t>
      </w:r>
      <w:r w:rsidRPr="000977F7">
        <w:rPr>
          <w:color w:val="auto"/>
          <w:sz w:val="20"/>
          <w:szCs w:val="20"/>
        </w:rPr>
        <w:t>ТОЧКА</w:t>
      </w:r>
      <w:r w:rsidRPr="000977F7">
        <w:rPr>
          <w:color w:val="auto"/>
          <w:spacing w:val="-3"/>
          <w:sz w:val="20"/>
          <w:szCs w:val="20"/>
        </w:rPr>
        <w:t xml:space="preserve"> </w:t>
      </w:r>
      <w:r w:rsidRPr="000977F7">
        <w:rPr>
          <w:color w:val="auto"/>
          <w:sz w:val="20"/>
          <w:szCs w:val="20"/>
        </w:rPr>
        <w:t>ПЛАНУ –</w:t>
      </w:r>
    </w:p>
    <w:p w14:paraId="235212E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Точка</w:t>
      </w:r>
      <w:r w:rsidRPr="000977F7">
        <w:rPr>
          <w:rFonts w:asciiTheme="majorHAnsi" w:hAnsiTheme="majorHAnsi"/>
          <w:spacing w:val="21"/>
          <w:sz w:val="20"/>
          <w:szCs w:val="20"/>
        </w:rPr>
        <w:t xml:space="preserve"> </w:t>
      </w:r>
      <w:r w:rsidRPr="000977F7">
        <w:rPr>
          <w:rFonts w:asciiTheme="majorHAnsi" w:hAnsiTheme="majorHAnsi"/>
          <w:sz w:val="20"/>
          <w:szCs w:val="20"/>
        </w:rPr>
        <w:t>плану</w:t>
      </w:r>
      <w:r w:rsidRPr="000977F7">
        <w:rPr>
          <w:rFonts w:asciiTheme="majorHAnsi" w:hAnsiTheme="majorHAnsi"/>
          <w:spacing w:val="20"/>
          <w:sz w:val="20"/>
          <w:szCs w:val="20"/>
        </w:rPr>
        <w:t xml:space="preserve"> </w:t>
      </w:r>
      <w:r w:rsidRPr="000977F7">
        <w:rPr>
          <w:rFonts w:asciiTheme="majorHAnsi" w:hAnsiTheme="majorHAnsi"/>
          <w:sz w:val="20"/>
          <w:szCs w:val="20"/>
        </w:rPr>
        <w:t>другого</w:t>
      </w:r>
      <w:r w:rsidRPr="000977F7">
        <w:rPr>
          <w:rFonts w:asciiTheme="majorHAnsi" w:hAnsiTheme="majorHAnsi"/>
          <w:spacing w:val="24"/>
          <w:sz w:val="20"/>
          <w:szCs w:val="20"/>
        </w:rPr>
        <w:t xml:space="preserve"> </w:t>
      </w:r>
      <w:r w:rsidRPr="000977F7">
        <w:rPr>
          <w:rFonts w:asciiTheme="majorHAnsi" w:hAnsiTheme="majorHAnsi"/>
          <w:sz w:val="20"/>
          <w:szCs w:val="20"/>
        </w:rPr>
        <w:t>порядку,</w:t>
      </w:r>
      <w:r w:rsidRPr="000977F7">
        <w:rPr>
          <w:rFonts w:asciiTheme="majorHAnsi" w:hAnsiTheme="majorHAnsi"/>
          <w:spacing w:val="21"/>
          <w:sz w:val="20"/>
          <w:szCs w:val="20"/>
        </w:rPr>
        <w:t xml:space="preserve"> </w:t>
      </w:r>
      <w:r w:rsidRPr="000977F7">
        <w:rPr>
          <w:rFonts w:asciiTheme="majorHAnsi" w:hAnsiTheme="majorHAnsi"/>
          <w:sz w:val="20"/>
          <w:szCs w:val="20"/>
        </w:rPr>
        <w:t>що</w:t>
      </w:r>
      <w:r w:rsidRPr="000977F7">
        <w:rPr>
          <w:rFonts w:asciiTheme="majorHAnsi" w:hAnsiTheme="majorHAnsi"/>
          <w:spacing w:val="23"/>
          <w:sz w:val="20"/>
          <w:szCs w:val="20"/>
        </w:rPr>
        <w:t xml:space="preserve"> </w:t>
      </w:r>
      <w:r w:rsidRPr="000977F7">
        <w:rPr>
          <w:rFonts w:asciiTheme="majorHAnsi" w:hAnsiTheme="majorHAnsi"/>
          <w:sz w:val="20"/>
          <w:szCs w:val="20"/>
        </w:rPr>
        <w:t>лежить</w:t>
      </w:r>
      <w:r w:rsidRPr="000977F7">
        <w:rPr>
          <w:rFonts w:asciiTheme="majorHAnsi" w:hAnsiTheme="majorHAnsi"/>
          <w:spacing w:val="23"/>
          <w:sz w:val="20"/>
          <w:szCs w:val="20"/>
        </w:rPr>
        <w:t xml:space="preserve"> </w:t>
      </w:r>
      <w:r w:rsidRPr="000977F7">
        <w:rPr>
          <w:rFonts w:asciiTheme="majorHAnsi" w:hAnsiTheme="majorHAnsi"/>
          <w:sz w:val="20"/>
          <w:szCs w:val="20"/>
        </w:rPr>
        <w:t>на</w:t>
      </w:r>
      <w:r w:rsidRPr="000977F7">
        <w:rPr>
          <w:rFonts w:asciiTheme="majorHAnsi" w:hAnsiTheme="majorHAnsi"/>
          <w:spacing w:val="22"/>
          <w:sz w:val="20"/>
          <w:szCs w:val="20"/>
        </w:rPr>
        <w:t xml:space="preserve"> </w:t>
      </w:r>
      <w:r w:rsidRPr="000977F7">
        <w:rPr>
          <w:rFonts w:asciiTheme="majorHAnsi" w:hAnsiTheme="majorHAnsi"/>
          <w:sz w:val="20"/>
          <w:szCs w:val="20"/>
        </w:rPr>
        <w:t>координатній</w:t>
      </w:r>
      <w:r w:rsidRPr="000977F7">
        <w:rPr>
          <w:rFonts w:asciiTheme="majorHAnsi" w:hAnsiTheme="majorHAnsi"/>
          <w:spacing w:val="-2"/>
          <w:sz w:val="20"/>
          <w:szCs w:val="20"/>
        </w:rPr>
        <w:t xml:space="preserve"> </w:t>
      </w:r>
      <w:r w:rsidRPr="000977F7">
        <w:rPr>
          <w:rFonts w:asciiTheme="majorHAnsi" w:hAnsiTheme="majorHAnsi"/>
          <w:sz w:val="20"/>
          <w:szCs w:val="20"/>
        </w:rPr>
        <w:t>осі в</w:t>
      </w:r>
      <w:r w:rsidRPr="000977F7">
        <w:rPr>
          <w:rFonts w:asciiTheme="majorHAnsi" w:hAnsiTheme="majorHAnsi"/>
          <w:spacing w:val="-1"/>
          <w:sz w:val="20"/>
          <w:szCs w:val="20"/>
        </w:rPr>
        <w:t xml:space="preserve"> </w:t>
      </w:r>
      <w:r w:rsidRPr="000977F7">
        <w:rPr>
          <w:rFonts w:asciiTheme="majorHAnsi" w:hAnsiTheme="majorHAnsi"/>
          <w:sz w:val="20"/>
          <w:szCs w:val="20"/>
        </w:rPr>
        <w:t>факторному</w:t>
      </w:r>
      <w:r w:rsidRPr="000977F7">
        <w:rPr>
          <w:rFonts w:asciiTheme="majorHAnsi" w:hAnsiTheme="majorHAnsi"/>
          <w:spacing w:val="-5"/>
          <w:sz w:val="20"/>
          <w:szCs w:val="20"/>
        </w:rPr>
        <w:t xml:space="preserve"> </w:t>
      </w:r>
      <w:r w:rsidRPr="000977F7">
        <w:rPr>
          <w:rFonts w:asciiTheme="majorHAnsi" w:hAnsiTheme="majorHAnsi"/>
          <w:sz w:val="20"/>
          <w:szCs w:val="20"/>
        </w:rPr>
        <w:t>середовищі</w:t>
      </w:r>
    </w:p>
    <w:p w14:paraId="1EAB113D"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ЗМІНА –</w:t>
      </w:r>
    </w:p>
    <w:p w14:paraId="23C1204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AMENDMENT</w:t>
      </w:r>
      <w:r w:rsidRPr="000977F7">
        <w:rPr>
          <w:rFonts w:asciiTheme="majorHAnsi" w:hAnsiTheme="majorHAnsi"/>
          <w:spacing w:val="-11"/>
          <w:sz w:val="20"/>
          <w:szCs w:val="20"/>
        </w:rPr>
        <w:t xml:space="preserve"> </w:t>
      </w:r>
      <w:r w:rsidRPr="000977F7">
        <w:rPr>
          <w:rFonts w:asciiTheme="majorHAnsi" w:hAnsiTheme="majorHAnsi"/>
          <w:sz w:val="20"/>
          <w:szCs w:val="20"/>
        </w:rPr>
        <w:t>–</w:t>
      </w:r>
    </w:p>
    <w:p w14:paraId="4300632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Модифікація,</w:t>
      </w:r>
      <w:r w:rsidRPr="000977F7">
        <w:rPr>
          <w:rFonts w:asciiTheme="majorHAnsi" w:hAnsiTheme="majorHAnsi"/>
          <w:spacing w:val="8"/>
          <w:sz w:val="20"/>
          <w:szCs w:val="20"/>
        </w:rPr>
        <w:t xml:space="preserve"> </w:t>
      </w:r>
      <w:r w:rsidRPr="000977F7">
        <w:rPr>
          <w:rFonts w:asciiTheme="majorHAnsi" w:hAnsiTheme="majorHAnsi"/>
          <w:sz w:val="20"/>
          <w:szCs w:val="20"/>
        </w:rPr>
        <w:t>доповнення</w:t>
      </w:r>
      <w:r w:rsidRPr="000977F7">
        <w:rPr>
          <w:rFonts w:asciiTheme="majorHAnsi" w:hAnsiTheme="majorHAnsi"/>
          <w:spacing w:val="8"/>
          <w:sz w:val="20"/>
          <w:szCs w:val="20"/>
        </w:rPr>
        <w:t xml:space="preserve"> </w:t>
      </w:r>
      <w:r w:rsidRPr="000977F7">
        <w:rPr>
          <w:rFonts w:asciiTheme="majorHAnsi" w:hAnsiTheme="majorHAnsi"/>
          <w:sz w:val="20"/>
          <w:szCs w:val="20"/>
        </w:rPr>
        <w:t>або</w:t>
      </w:r>
      <w:r w:rsidRPr="000977F7">
        <w:rPr>
          <w:rFonts w:asciiTheme="majorHAnsi" w:hAnsiTheme="majorHAnsi"/>
          <w:spacing w:val="9"/>
          <w:sz w:val="20"/>
          <w:szCs w:val="20"/>
        </w:rPr>
        <w:t xml:space="preserve"> </w:t>
      </w:r>
      <w:r w:rsidRPr="000977F7">
        <w:rPr>
          <w:rFonts w:asciiTheme="majorHAnsi" w:hAnsiTheme="majorHAnsi"/>
          <w:sz w:val="20"/>
          <w:szCs w:val="20"/>
        </w:rPr>
        <w:t>виключення</w:t>
      </w:r>
      <w:r w:rsidRPr="000977F7">
        <w:rPr>
          <w:rFonts w:asciiTheme="majorHAnsi" w:hAnsiTheme="majorHAnsi"/>
          <w:spacing w:val="8"/>
          <w:sz w:val="20"/>
          <w:szCs w:val="20"/>
        </w:rPr>
        <w:t xml:space="preserve"> </w:t>
      </w:r>
      <w:r w:rsidRPr="000977F7">
        <w:rPr>
          <w:rFonts w:asciiTheme="majorHAnsi" w:hAnsiTheme="majorHAnsi"/>
          <w:sz w:val="20"/>
          <w:szCs w:val="20"/>
        </w:rPr>
        <w:t>визначених</w:t>
      </w:r>
      <w:r w:rsidRPr="000977F7">
        <w:rPr>
          <w:rFonts w:asciiTheme="majorHAnsi" w:hAnsiTheme="majorHAnsi"/>
          <w:spacing w:val="-2"/>
          <w:sz w:val="20"/>
          <w:szCs w:val="20"/>
        </w:rPr>
        <w:t xml:space="preserve"> </w:t>
      </w:r>
      <w:r w:rsidRPr="000977F7">
        <w:rPr>
          <w:rFonts w:asciiTheme="majorHAnsi" w:hAnsiTheme="majorHAnsi"/>
          <w:sz w:val="20"/>
          <w:szCs w:val="20"/>
        </w:rPr>
        <w:t>фрагментів</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нормативного документа</w:t>
      </w:r>
    </w:p>
    <w:p w14:paraId="00E9298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 :</w:t>
      </w:r>
    </w:p>
    <w:p w14:paraId="0BEA45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Результати</w:t>
      </w:r>
      <w:r w:rsidRPr="000977F7">
        <w:rPr>
          <w:rFonts w:asciiTheme="majorHAnsi" w:hAnsiTheme="majorHAnsi"/>
          <w:spacing w:val="-11"/>
          <w:sz w:val="20"/>
          <w:szCs w:val="20"/>
        </w:rPr>
        <w:t xml:space="preserve"> </w:t>
      </w:r>
      <w:r w:rsidRPr="000977F7">
        <w:rPr>
          <w:rFonts w:asciiTheme="majorHAnsi" w:hAnsiTheme="majorHAnsi"/>
          <w:spacing w:val="-1"/>
          <w:sz w:val="20"/>
          <w:szCs w:val="20"/>
        </w:rPr>
        <w:t>зміни</w:t>
      </w:r>
      <w:r w:rsidRPr="000977F7">
        <w:rPr>
          <w:rFonts w:asciiTheme="majorHAnsi" w:hAnsiTheme="majorHAnsi"/>
          <w:spacing w:val="-9"/>
          <w:sz w:val="20"/>
          <w:szCs w:val="20"/>
        </w:rPr>
        <w:t xml:space="preserve"> </w:t>
      </w:r>
      <w:r w:rsidRPr="000977F7">
        <w:rPr>
          <w:rFonts w:asciiTheme="majorHAnsi" w:hAnsiTheme="majorHAnsi"/>
          <w:sz w:val="20"/>
          <w:szCs w:val="20"/>
        </w:rPr>
        <w:t>звичайно</w:t>
      </w:r>
      <w:r w:rsidRPr="000977F7">
        <w:rPr>
          <w:rFonts w:asciiTheme="majorHAnsi" w:hAnsiTheme="majorHAnsi"/>
          <w:spacing w:val="-9"/>
          <w:sz w:val="20"/>
          <w:szCs w:val="20"/>
        </w:rPr>
        <w:t xml:space="preserve"> </w:t>
      </w:r>
      <w:r w:rsidRPr="000977F7">
        <w:rPr>
          <w:rFonts w:asciiTheme="majorHAnsi" w:hAnsiTheme="majorHAnsi"/>
          <w:sz w:val="20"/>
          <w:szCs w:val="20"/>
        </w:rPr>
        <w:t>надаються</w:t>
      </w:r>
      <w:r w:rsidRPr="000977F7">
        <w:rPr>
          <w:rFonts w:asciiTheme="majorHAnsi" w:hAnsiTheme="majorHAnsi"/>
          <w:spacing w:val="-10"/>
          <w:sz w:val="20"/>
          <w:szCs w:val="20"/>
        </w:rPr>
        <w:t xml:space="preserve"> </w:t>
      </w:r>
      <w:r w:rsidRPr="000977F7">
        <w:rPr>
          <w:rFonts w:asciiTheme="majorHAnsi" w:hAnsiTheme="majorHAnsi"/>
          <w:sz w:val="20"/>
          <w:szCs w:val="20"/>
        </w:rPr>
        <w:t>шляхом</w:t>
      </w:r>
      <w:r w:rsidRPr="000977F7">
        <w:rPr>
          <w:rFonts w:asciiTheme="majorHAnsi" w:hAnsiTheme="majorHAnsi"/>
          <w:spacing w:val="-7"/>
          <w:sz w:val="20"/>
          <w:szCs w:val="20"/>
        </w:rPr>
        <w:t xml:space="preserve"> </w:t>
      </w:r>
      <w:r w:rsidRPr="000977F7">
        <w:rPr>
          <w:rFonts w:asciiTheme="majorHAnsi" w:hAnsiTheme="majorHAnsi"/>
          <w:sz w:val="20"/>
          <w:szCs w:val="20"/>
        </w:rPr>
        <w:t>публіка</w:t>
      </w:r>
      <w:r w:rsidRPr="000977F7">
        <w:rPr>
          <w:rFonts w:asciiTheme="majorHAnsi" w:hAnsiTheme="majorHAnsi"/>
          <w:spacing w:val="-1"/>
          <w:sz w:val="20"/>
          <w:szCs w:val="20"/>
        </w:rPr>
        <w:t>ції</w:t>
      </w:r>
      <w:r w:rsidRPr="000977F7">
        <w:rPr>
          <w:rFonts w:asciiTheme="majorHAnsi" w:hAnsiTheme="majorHAnsi"/>
          <w:spacing w:val="-12"/>
          <w:sz w:val="20"/>
          <w:szCs w:val="20"/>
        </w:rPr>
        <w:t xml:space="preserve"> </w:t>
      </w:r>
      <w:r w:rsidRPr="000977F7">
        <w:rPr>
          <w:rFonts w:asciiTheme="majorHAnsi" w:hAnsiTheme="majorHAnsi"/>
          <w:spacing w:val="-1"/>
          <w:sz w:val="20"/>
          <w:szCs w:val="20"/>
        </w:rPr>
        <w:t>окремого</w:t>
      </w:r>
      <w:r w:rsidRPr="000977F7">
        <w:rPr>
          <w:rFonts w:asciiTheme="majorHAnsi" w:hAnsiTheme="majorHAnsi"/>
          <w:spacing w:val="-8"/>
          <w:sz w:val="20"/>
          <w:szCs w:val="20"/>
        </w:rPr>
        <w:t xml:space="preserve"> </w:t>
      </w:r>
      <w:r w:rsidRPr="000977F7">
        <w:rPr>
          <w:rFonts w:asciiTheme="majorHAnsi" w:hAnsiTheme="majorHAnsi"/>
          <w:spacing w:val="-1"/>
          <w:sz w:val="20"/>
          <w:szCs w:val="20"/>
        </w:rPr>
        <w:t>листка</w:t>
      </w:r>
      <w:r w:rsidRPr="000977F7">
        <w:rPr>
          <w:rFonts w:asciiTheme="majorHAnsi" w:hAnsiTheme="majorHAnsi"/>
          <w:spacing w:val="-10"/>
          <w:sz w:val="20"/>
          <w:szCs w:val="20"/>
        </w:rPr>
        <w:t xml:space="preserve"> </w:t>
      </w:r>
      <w:r w:rsidRPr="000977F7">
        <w:rPr>
          <w:rFonts w:asciiTheme="majorHAnsi" w:hAnsiTheme="majorHAnsi"/>
          <w:spacing w:val="-1"/>
          <w:sz w:val="20"/>
          <w:szCs w:val="20"/>
        </w:rPr>
        <w:t>змін</w:t>
      </w:r>
      <w:r w:rsidRPr="000977F7">
        <w:rPr>
          <w:rFonts w:asciiTheme="majorHAnsi" w:hAnsiTheme="majorHAnsi"/>
          <w:spacing w:val="-11"/>
          <w:sz w:val="20"/>
          <w:szCs w:val="20"/>
        </w:rPr>
        <w:t xml:space="preserve"> </w:t>
      </w:r>
      <w:r w:rsidRPr="000977F7">
        <w:rPr>
          <w:rFonts w:asciiTheme="majorHAnsi" w:hAnsiTheme="majorHAnsi"/>
          <w:sz w:val="20"/>
          <w:szCs w:val="20"/>
        </w:rPr>
        <w:t>до</w:t>
      </w:r>
      <w:r w:rsidRPr="000977F7">
        <w:rPr>
          <w:rFonts w:asciiTheme="majorHAnsi" w:hAnsiTheme="majorHAnsi"/>
          <w:spacing w:val="-10"/>
          <w:sz w:val="20"/>
          <w:szCs w:val="20"/>
        </w:rPr>
        <w:t xml:space="preserve"> </w:t>
      </w:r>
      <w:r w:rsidRPr="000977F7">
        <w:rPr>
          <w:rFonts w:asciiTheme="majorHAnsi" w:hAnsiTheme="majorHAnsi"/>
          <w:sz w:val="20"/>
          <w:szCs w:val="20"/>
        </w:rPr>
        <w:t>нормативного</w:t>
      </w:r>
      <w:r w:rsidRPr="000977F7">
        <w:rPr>
          <w:rFonts w:asciiTheme="majorHAnsi" w:hAnsiTheme="majorHAnsi"/>
          <w:spacing w:val="-11"/>
          <w:sz w:val="20"/>
          <w:szCs w:val="20"/>
        </w:rPr>
        <w:t xml:space="preserve"> </w:t>
      </w:r>
      <w:r w:rsidRPr="000977F7">
        <w:rPr>
          <w:rFonts w:asciiTheme="majorHAnsi" w:hAnsiTheme="majorHAnsi"/>
          <w:sz w:val="20"/>
          <w:szCs w:val="20"/>
        </w:rPr>
        <w:t>документу</w:t>
      </w:r>
    </w:p>
    <w:p w14:paraId="357D1BE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ЗМІНА</w:t>
      </w:r>
      <w:r w:rsidRPr="000977F7">
        <w:rPr>
          <w:color w:val="auto"/>
          <w:spacing w:val="-8"/>
          <w:sz w:val="20"/>
          <w:szCs w:val="20"/>
        </w:rPr>
        <w:t xml:space="preserve"> </w:t>
      </w:r>
      <w:r w:rsidRPr="000977F7">
        <w:rPr>
          <w:color w:val="auto"/>
          <w:sz w:val="20"/>
          <w:szCs w:val="20"/>
        </w:rPr>
        <w:t>ДОКУМЕНТА -</w:t>
      </w:r>
    </w:p>
    <w:p w14:paraId="1BA56FE3"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Будь-яке</w:t>
      </w:r>
      <w:r w:rsidRPr="000977F7">
        <w:rPr>
          <w:rFonts w:asciiTheme="majorHAnsi" w:hAnsiTheme="majorHAnsi"/>
          <w:spacing w:val="35"/>
          <w:sz w:val="20"/>
          <w:szCs w:val="20"/>
        </w:rPr>
        <w:t xml:space="preserve"> </w:t>
      </w:r>
      <w:r w:rsidRPr="000977F7">
        <w:rPr>
          <w:rFonts w:asciiTheme="majorHAnsi" w:hAnsiTheme="majorHAnsi"/>
          <w:sz w:val="20"/>
          <w:szCs w:val="20"/>
        </w:rPr>
        <w:t>виправлення</w:t>
      </w:r>
      <w:r w:rsidRPr="000977F7">
        <w:rPr>
          <w:rFonts w:asciiTheme="majorHAnsi" w:hAnsiTheme="majorHAnsi"/>
          <w:spacing w:val="34"/>
          <w:sz w:val="20"/>
          <w:szCs w:val="20"/>
        </w:rPr>
        <w:t xml:space="preserve"> </w:t>
      </w:r>
      <w:r w:rsidRPr="000977F7">
        <w:rPr>
          <w:rFonts w:asciiTheme="majorHAnsi" w:hAnsiTheme="majorHAnsi"/>
          <w:sz w:val="20"/>
          <w:szCs w:val="20"/>
        </w:rPr>
        <w:t>документа,</w:t>
      </w:r>
      <w:r w:rsidRPr="000977F7">
        <w:rPr>
          <w:rFonts w:asciiTheme="majorHAnsi" w:hAnsiTheme="majorHAnsi"/>
          <w:spacing w:val="35"/>
          <w:sz w:val="20"/>
          <w:szCs w:val="20"/>
        </w:rPr>
        <w:t xml:space="preserve"> </w:t>
      </w:r>
      <w:r w:rsidRPr="000977F7">
        <w:rPr>
          <w:rFonts w:asciiTheme="majorHAnsi" w:hAnsiTheme="majorHAnsi"/>
          <w:sz w:val="20"/>
          <w:szCs w:val="20"/>
        </w:rPr>
        <w:t>вилучення</w:t>
      </w:r>
      <w:r w:rsidRPr="000977F7">
        <w:rPr>
          <w:rFonts w:asciiTheme="majorHAnsi" w:hAnsiTheme="majorHAnsi"/>
          <w:spacing w:val="34"/>
          <w:sz w:val="20"/>
          <w:szCs w:val="20"/>
        </w:rPr>
        <w:t xml:space="preserve"> </w:t>
      </w:r>
      <w:r w:rsidRPr="000977F7">
        <w:rPr>
          <w:rFonts w:asciiTheme="majorHAnsi" w:hAnsiTheme="majorHAnsi"/>
          <w:sz w:val="20"/>
          <w:szCs w:val="20"/>
        </w:rPr>
        <w:t>або</w:t>
      </w:r>
      <w:r w:rsidRPr="000977F7">
        <w:rPr>
          <w:rFonts w:asciiTheme="majorHAnsi" w:hAnsiTheme="majorHAnsi"/>
          <w:spacing w:val="35"/>
          <w:sz w:val="20"/>
          <w:szCs w:val="20"/>
        </w:rPr>
        <w:t xml:space="preserve"> </w:t>
      </w:r>
      <w:r w:rsidRPr="000977F7">
        <w:rPr>
          <w:rFonts w:asciiTheme="majorHAnsi" w:hAnsiTheme="majorHAnsi"/>
          <w:sz w:val="20"/>
          <w:szCs w:val="20"/>
        </w:rPr>
        <w:t>додання</w:t>
      </w:r>
      <w:r w:rsidRPr="000977F7">
        <w:rPr>
          <w:rFonts w:asciiTheme="majorHAnsi" w:hAnsiTheme="majorHAnsi"/>
          <w:spacing w:val="39"/>
          <w:sz w:val="20"/>
          <w:szCs w:val="20"/>
        </w:rPr>
        <w:t xml:space="preserve"> </w:t>
      </w:r>
      <w:r w:rsidRPr="000977F7">
        <w:rPr>
          <w:rFonts w:asciiTheme="majorHAnsi" w:hAnsiTheme="majorHAnsi"/>
          <w:sz w:val="20"/>
          <w:szCs w:val="20"/>
        </w:rPr>
        <w:t>до</w:t>
      </w:r>
      <w:r w:rsidRPr="000977F7">
        <w:rPr>
          <w:rFonts w:asciiTheme="majorHAnsi" w:hAnsiTheme="majorHAnsi"/>
          <w:spacing w:val="37"/>
          <w:sz w:val="20"/>
          <w:szCs w:val="20"/>
        </w:rPr>
        <w:t xml:space="preserve"> </w:t>
      </w:r>
      <w:r w:rsidRPr="000977F7">
        <w:rPr>
          <w:rFonts w:asciiTheme="majorHAnsi" w:hAnsiTheme="majorHAnsi"/>
          <w:sz w:val="20"/>
          <w:szCs w:val="20"/>
        </w:rPr>
        <w:t>нього</w:t>
      </w:r>
      <w:r w:rsidRPr="000977F7">
        <w:rPr>
          <w:rFonts w:asciiTheme="majorHAnsi" w:hAnsiTheme="majorHAnsi"/>
          <w:spacing w:val="38"/>
          <w:sz w:val="20"/>
          <w:szCs w:val="20"/>
        </w:rPr>
        <w:t xml:space="preserve"> </w:t>
      </w:r>
      <w:r w:rsidRPr="000977F7">
        <w:rPr>
          <w:rFonts w:asciiTheme="majorHAnsi" w:hAnsiTheme="majorHAnsi"/>
          <w:sz w:val="20"/>
          <w:szCs w:val="20"/>
        </w:rPr>
        <w:t>будь-яких</w:t>
      </w:r>
      <w:r w:rsidRPr="000977F7">
        <w:rPr>
          <w:rFonts w:asciiTheme="majorHAnsi" w:hAnsiTheme="majorHAnsi"/>
          <w:spacing w:val="39"/>
          <w:sz w:val="20"/>
          <w:szCs w:val="20"/>
        </w:rPr>
        <w:t xml:space="preserve"> </w:t>
      </w:r>
      <w:r w:rsidRPr="000977F7">
        <w:rPr>
          <w:rFonts w:asciiTheme="majorHAnsi" w:hAnsiTheme="majorHAnsi"/>
          <w:sz w:val="20"/>
          <w:szCs w:val="20"/>
        </w:rPr>
        <w:t>даних,</w:t>
      </w:r>
      <w:r w:rsidRPr="000977F7">
        <w:rPr>
          <w:rFonts w:asciiTheme="majorHAnsi" w:hAnsiTheme="majorHAnsi"/>
          <w:spacing w:val="39"/>
          <w:sz w:val="20"/>
          <w:szCs w:val="20"/>
        </w:rPr>
        <w:t xml:space="preserve"> </w:t>
      </w:r>
      <w:r w:rsidRPr="000977F7">
        <w:rPr>
          <w:rFonts w:asciiTheme="majorHAnsi" w:hAnsiTheme="majorHAnsi"/>
          <w:sz w:val="20"/>
          <w:szCs w:val="20"/>
        </w:rPr>
        <w:t>яке</w:t>
      </w:r>
      <w:r w:rsidRPr="000977F7">
        <w:rPr>
          <w:rFonts w:asciiTheme="majorHAnsi" w:hAnsiTheme="majorHAnsi"/>
          <w:spacing w:val="39"/>
          <w:sz w:val="20"/>
          <w:szCs w:val="20"/>
        </w:rPr>
        <w:t xml:space="preserve"> </w:t>
      </w:r>
      <w:r w:rsidRPr="000977F7">
        <w:rPr>
          <w:rFonts w:asciiTheme="majorHAnsi" w:hAnsiTheme="majorHAnsi"/>
          <w:sz w:val="20"/>
          <w:szCs w:val="20"/>
        </w:rPr>
        <w:t>проводиться</w:t>
      </w:r>
      <w:r w:rsidRPr="000977F7">
        <w:rPr>
          <w:rFonts w:asciiTheme="majorHAnsi" w:hAnsiTheme="majorHAnsi"/>
          <w:spacing w:val="40"/>
          <w:sz w:val="20"/>
          <w:szCs w:val="20"/>
        </w:rPr>
        <w:t xml:space="preserve"> </w:t>
      </w:r>
      <w:r w:rsidRPr="000977F7">
        <w:rPr>
          <w:rFonts w:asciiTheme="majorHAnsi" w:hAnsiTheme="majorHAnsi"/>
          <w:sz w:val="20"/>
          <w:szCs w:val="20"/>
        </w:rPr>
        <w:t>у</w:t>
      </w:r>
      <w:r w:rsidRPr="000977F7">
        <w:rPr>
          <w:rFonts w:asciiTheme="majorHAnsi" w:hAnsiTheme="majorHAnsi"/>
          <w:spacing w:val="-47"/>
          <w:sz w:val="20"/>
          <w:szCs w:val="20"/>
        </w:rPr>
        <w:t xml:space="preserve"> </w:t>
      </w:r>
      <w:r w:rsidRPr="000977F7">
        <w:rPr>
          <w:rFonts w:asciiTheme="majorHAnsi" w:hAnsiTheme="majorHAnsi"/>
          <w:sz w:val="20"/>
          <w:szCs w:val="20"/>
        </w:rPr>
        <w:t>встановленому</w:t>
      </w:r>
      <w:r w:rsidRPr="000977F7">
        <w:rPr>
          <w:rFonts w:asciiTheme="majorHAnsi" w:hAnsiTheme="majorHAnsi"/>
          <w:spacing w:val="28"/>
          <w:sz w:val="20"/>
          <w:szCs w:val="20"/>
        </w:rPr>
        <w:t xml:space="preserve"> </w:t>
      </w:r>
      <w:r w:rsidRPr="000977F7">
        <w:rPr>
          <w:rFonts w:asciiTheme="majorHAnsi" w:hAnsiTheme="majorHAnsi"/>
          <w:sz w:val="20"/>
          <w:szCs w:val="20"/>
        </w:rPr>
        <w:t>порядку</w:t>
      </w:r>
      <w:r w:rsidRPr="000977F7">
        <w:rPr>
          <w:rFonts w:asciiTheme="majorHAnsi" w:hAnsiTheme="majorHAnsi"/>
          <w:spacing w:val="31"/>
          <w:sz w:val="20"/>
          <w:szCs w:val="20"/>
        </w:rPr>
        <w:t xml:space="preserve"> </w:t>
      </w:r>
      <w:r w:rsidRPr="000977F7">
        <w:rPr>
          <w:rFonts w:asciiTheme="majorHAnsi" w:hAnsiTheme="majorHAnsi"/>
          <w:sz w:val="20"/>
          <w:szCs w:val="20"/>
        </w:rPr>
        <w:t>без</w:t>
      </w:r>
      <w:r w:rsidRPr="000977F7">
        <w:rPr>
          <w:rFonts w:asciiTheme="majorHAnsi" w:hAnsiTheme="majorHAnsi"/>
          <w:spacing w:val="35"/>
          <w:sz w:val="20"/>
          <w:szCs w:val="20"/>
        </w:rPr>
        <w:t xml:space="preserve"> </w:t>
      </w:r>
      <w:r w:rsidRPr="000977F7">
        <w:rPr>
          <w:rFonts w:asciiTheme="majorHAnsi" w:hAnsiTheme="majorHAnsi"/>
          <w:sz w:val="20"/>
          <w:szCs w:val="20"/>
        </w:rPr>
        <w:t>зміни</w:t>
      </w:r>
      <w:r w:rsidRPr="000977F7">
        <w:rPr>
          <w:rFonts w:asciiTheme="majorHAnsi" w:hAnsiTheme="majorHAnsi"/>
          <w:spacing w:val="34"/>
          <w:sz w:val="20"/>
          <w:szCs w:val="20"/>
        </w:rPr>
        <w:t xml:space="preserve"> </w:t>
      </w:r>
      <w:r w:rsidRPr="000977F7">
        <w:rPr>
          <w:rFonts w:asciiTheme="majorHAnsi" w:hAnsiTheme="majorHAnsi"/>
          <w:sz w:val="20"/>
          <w:szCs w:val="20"/>
        </w:rPr>
        <w:t>позначення</w:t>
      </w:r>
      <w:r w:rsidRPr="000977F7">
        <w:rPr>
          <w:rFonts w:asciiTheme="majorHAnsi" w:hAnsiTheme="majorHAnsi"/>
          <w:spacing w:val="32"/>
          <w:sz w:val="20"/>
          <w:szCs w:val="20"/>
        </w:rPr>
        <w:t xml:space="preserve"> </w:t>
      </w:r>
      <w:r w:rsidRPr="000977F7">
        <w:rPr>
          <w:rFonts w:asciiTheme="majorHAnsi" w:hAnsiTheme="majorHAnsi"/>
          <w:sz w:val="20"/>
          <w:szCs w:val="20"/>
        </w:rPr>
        <w:t>із</w:t>
      </w:r>
      <w:r w:rsidRPr="000977F7">
        <w:rPr>
          <w:rFonts w:asciiTheme="majorHAnsi" w:hAnsiTheme="majorHAnsi"/>
          <w:spacing w:val="33"/>
          <w:sz w:val="20"/>
          <w:szCs w:val="20"/>
        </w:rPr>
        <w:t xml:space="preserve"> </w:t>
      </w:r>
      <w:r w:rsidRPr="000977F7">
        <w:rPr>
          <w:rFonts w:asciiTheme="majorHAnsi" w:hAnsiTheme="majorHAnsi"/>
          <w:sz w:val="20"/>
          <w:szCs w:val="20"/>
        </w:rPr>
        <w:t>збереженням правового статусу зміненого документа</w:t>
      </w:r>
      <w:r w:rsidRPr="000977F7">
        <w:rPr>
          <w:rFonts w:asciiTheme="majorHAnsi" w:hAnsiTheme="majorHAnsi"/>
          <w:spacing w:val="1"/>
          <w:sz w:val="20"/>
          <w:szCs w:val="20"/>
        </w:rPr>
        <w:t xml:space="preserve"> </w:t>
      </w:r>
    </w:p>
    <w:p w14:paraId="34C22158"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0977F7">
        <w:rPr>
          <w:rFonts w:asciiTheme="majorHAnsi" w:hAnsiTheme="majorHAnsi"/>
          <w:b/>
          <w:sz w:val="20"/>
          <w:szCs w:val="20"/>
        </w:rPr>
        <w:t>ЗМІНА</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СТАНДАРТУ</w:t>
      </w:r>
      <w:r w:rsidRPr="004D2D14">
        <w:rPr>
          <w:rFonts w:asciiTheme="majorHAnsi" w:hAnsiTheme="majorHAnsi"/>
          <w:b/>
          <w:spacing w:val="2"/>
          <w:sz w:val="20"/>
          <w:szCs w:val="20"/>
          <w:lang w:val="en-US"/>
        </w:rPr>
        <w:t xml:space="preserve"> </w:t>
      </w:r>
      <w:r w:rsidRPr="004D2D14">
        <w:rPr>
          <w:rFonts w:asciiTheme="majorHAnsi" w:hAnsiTheme="majorHAnsi"/>
          <w:b/>
          <w:sz w:val="20"/>
          <w:szCs w:val="20"/>
          <w:lang w:val="en-US"/>
        </w:rPr>
        <w:t>–</w:t>
      </w:r>
    </w:p>
    <w:p w14:paraId="16860A8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AMENDMENT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STANDARD –</w:t>
      </w:r>
    </w:p>
    <w:p w14:paraId="2F4FBE6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Внесення до стандарту уточнень, що не стосуються</w:t>
      </w:r>
      <w:r w:rsidRPr="000977F7">
        <w:rPr>
          <w:rFonts w:asciiTheme="majorHAnsi" w:hAnsiTheme="majorHAnsi"/>
          <w:spacing w:val="1"/>
          <w:sz w:val="20"/>
          <w:szCs w:val="20"/>
        </w:rPr>
        <w:t xml:space="preserve"> </w:t>
      </w:r>
      <w:r w:rsidRPr="000977F7">
        <w:rPr>
          <w:rFonts w:asciiTheme="majorHAnsi" w:hAnsiTheme="majorHAnsi"/>
          <w:sz w:val="20"/>
          <w:szCs w:val="20"/>
        </w:rPr>
        <w:t>основних вимог, не зачіпають значного об’єму змісту</w:t>
      </w:r>
      <w:r w:rsidRPr="000977F7">
        <w:rPr>
          <w:rFonts w:asciiTheme="majorHAnsi" w:hAnsiTheme="majorHAnsi"/>
          <w:spacing w:val="1"/>
          <w:sz w:val="20"/>
          <w:szCs w:val="20"/>
        </w:rPr>
        <w:t xml:space="preserve"> </w:t>
      </w:r>
      <w:r w:rsidRPr="000977F7">
        <w:rPr>
          <w:rFonts w:asciiTheme="majorHAnsi" w:hAnsiTheme="majorHAnsi"/>
          <w:sz w:val="20"/>
          <w:szCs w:val="20"/>
        </w:rPr>
        <w:t>стандарту і не потребують його переробки в плановому порядку; позначення стандарту при цьому не змінюється</w:t>
      </w:r>
    </w:p>
    <w:p w14:paraId="214866F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ЗМІНИ</w:t>
      </w:r>
      <w:r w:rsidRPr="000977F7">
        <w:rPr>
          <w:color w:val="auto"/>
          <w:spacing w:val="-3"/>
          <w:sz w:val="20"/>
          <w:szCs w:val="20"/>
        </w:rPr>
        <w:t xml:space="preserve"> </w:t>
      </w:r>
      <w:r w:rsidRPr="000977F7">
        <w:rPr>
          <w:color w:val="auto"/>
          <w:sz w:val="20"/>
          <w:szCs w:val="20"/>
        </w:rPr>
        <w:t>В</w:t>
      </w:r>
      <w:r w:rsidRPr="000977F7">
        <w:rPr>
          <w:color w:val="auto"/>
          <w:spacing w:val="-1"/>
          <w:sz w:val="20"/>
          <w:szCs w:val="20"/>
        </w:rPr>
        <w:t xml:space="preserve"> </w:t>
      </w:r>
      <w:r w:rsidRPr="000977F7">
        <w:rPr>
          <w:color w:val="auto"/>
          <w:sz w:val="20"/>
          <w:szCs w:val="20"/>
        </w:rPr>
        <w:t>ПРОЕКТІ</w:t>
      </w:r>
      <w:r w:rsidRPr="000977F7">
        <w:rPr>
          <w:color w:val="auto"/>
          <w:spacing w:val="-2"/>
          <w:sz w:val="20"/>
          <w:szCs w:val="20"/>
        </w:rPr>
        <w:t xml:space="preserve"> </w:t>
      </w:r>
      <w:r w:rsidRPr="000977F7">
        <w:rPr>
          <w:color w:val="auto"/>
          <w:sz w:val="20"/>
          <w:szCs w:val="20"/>
        </w:rPr>
        <w:t>ТА</w:t>
      </w:r>
      <w:r w:rsidRPr="000977F7">
        <w:rPr>
          <w:color w:val="auto"/>
          <w:spacing w:val="-2"/>
          <w:sz w:val="20"/>
          <w:szCs w:val="20"/>
        </w:rPr>
        <w:t xml:space="preserve"> </w:t>
      </w:r>
      <w:r w:rsidRPr="000977F7">
        <w:rPr>
          <w:color w:val="auto"/>
          <w:sz w:val="20"/>
          <w:szCs w:val="20"/>
        </w:rPr>
        <w:t>РОЗРОБЦІ –</w:t>
      </w:r>
    </w:p>
    <w:p w14:paraId="71A1BF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ідентифікувати, критично аналізувати та контролювати зміни, що їх вносять під час</w:t>
      </w:r>
      <w:r w:rsidRPr="000977F7">
        <w:rPr>
          <w:rFonts w:asciiTheme="majorHAnsi" w:hAnsiTheme="majorHAnsi"/>
          <w:spacing w:val="1"/>
          <w:sz w:val="20"/>
          <w:szCs w:val="20"/>
        </w:rPr>
        <w:t xml:space="preserve"> </w:t>
      </w:r>
      <w:r w:rsidRPr="000977F7">
        <w:rPr>
          <w:rFonts w:asciiTheme="majorHAnsi" w:hAnsiTheme="majorHAnsi"/>
          <w:sz w:val="20"/>
          <w:szCs w:val="20"/>
        </w:rPr>
        <w:t>проектування та розробляння продукції та послуг чи в</w:t>
      </w:r>
      <w:r w:rsidRPr="000977F7">
        <w:rPr>
          <w:rFonts w:asciiTheme="majorHAnsi" w:hAnsiTheme="majorHAnsi"/>
          <w:spacing w:val="-47"/>
          <w:sz w:val="20"/>
          <w:szCs w:val="20"/>
        </w:rPr>
        <w:t xml:space="preserve"> </w:t>
      </w:r>
      <w:r w:rsidRPr="000977F7">
        <w:rPr>
          <w:rFonts w:asciiTheme="majorHAnsi" w:hAnsiTheme="majorHAnsi"/>
          <w:sz w:val="20"/>
          <w:szCs w:val="20"/>
        </w:rPr>
        <w:t>подальшому, у ступінь, необхідний для забезпечення</w:t>
      </w:r>
      <w:r w:rsidRPr="000977F7">
        <w:rPr>
          <w:rFonts w:asciiTheme="majorHAnsi" w:hAnsiTheme="majorHAnsi"/>
          <w:spacing w:val="1"/>
          <w:sz w:val="20"/>
          <w:szCs w:val="20"/>
        </w:rPr>
        <w:t xml:space="preserve"> </w:t>
      </w:r>
      <w:r w:rsidRPr="000977F7">
        <w:rPr>
          <w:rFonts w:asciiTheme="majorHAnsi" w:hAnsiTheme="majorHAnsi"/>
          <w:sz w:val="20"/>
          <w:szCs w:val="20"/>
        </w:rPr>
        <w:t>того, щоб</w:t>
      </w:r>
      <w:r w:rsidRPr="000977F7">
        <w:rPr>
          <w:rFonts w:asciiTheme="majorHAnsi" w:hAnsiTheme="majorHAnsi"/>
          <w:spacing w:val="1"/>
          <w:sz w:val="20"/>
          <w:szCs w:val="20"/>
        </w:rPr>
        <w:t xml:space="preserve"> </w:t>
      </w:r>
      <w:r w:rsidRPr="000977F7">
        <w:rPr>
          <w:rFonts w:asciiTheme="majorHAnsi" w:hAnsiTheme="majorHAnsi"/>
          <w:sz w:val="20"/>
          <w:szCs w:val="20"/>
        </w:rPr>
        <w:t>уникати негативного впливу на відповідність</w:t>
      </w:r>
      <w:r w:rsidRPr="000977F7">
        <w:rPr>
          <w:rFonts w:asciiTheme="majorHAnsi" w:hAnsiTheme="majorHAnsi"/>
          <w:spacing w:val="-2"/>
          <w:sz w:val="20"/>
          <w:szCs w:val="20"/>
        </w:rPr>
        <w:t xml:space="preserve"> </w:t>
      </w:r>
      <w:r w:rsidRPr="000977F7">
        <w:rPr>
          <w:rFonts w:asciiTheme="majorHAnsi" w:hAnsiTheme="majorHAnsi"/>
          <w:sz w:val="20"/>
          <w:szCs w:val="20"/>
        </w:rPr>
        <w:t>вимогам.</w:t>
      </w:r>
    </w:p>
    <w:p w14:paraId="654737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зберігати задокументовану інформації</w:t>
      </w:r>
      <w:r w:rsidRPr="000977F7">
        <w:rPr>
          <w:rFonts w:asciiTheme="majorHAnsi" w:hAnsiTheme="majorHAnsi"/>
          <w:spacing w:val="-2"/>
          <w:sz w:val="20"/>
          <w:szCs w:val="20"/>
        </w:rPr>
        <w:t xml:space="preserve"> </w:t>
      </w:r>
      <w:r w:rsidRPr="000977F7">
        <w:rPr>
          <w:rFonts w:asciiTheme="majorHAnsi" w:hAnsiTheme="majorHAnsi"/>
          <w:sz w:val="20"/>
          <w:szCs w:val="20"/>
        </w:rPr>
        <w:t>щодо</w:t>
      </w:r>
    </w:p>
    <w:p w14:paraId="781B580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змін</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3"/>
          <w:sz w:val="20"/>
          <w:szCs w:val="20"/>
        </w:rPr>
        <w:t xml:space="preserve"> </w:t>
      </w:r>
      <w:r w:rsidRPr="000977F7">
        <w:rPr>
          <w:rFonts w:asciiTheme="majorHAnsi" w:hAnsiTheme="majorHAnsi"/>
          <w:sz w:val="20"/>
          <w:szCs w:val="20"/>
        </w:rPr>
        <w:t>проекті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розробці;</w:t>
      </w:r>
    </w:p>
    <w:p w14:paraId="4C0D4A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 результатів аналізування;</w:t>
      </w:r>
    </w:p>
    <w:p w14:paraId="34DECD6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48"/>
          <w:sz w:val="20"/>
          <w:szCs w:val="20"/>
        </w:rPr>
        <w:t xml:space="preserve"> </w:t>
      </w:r>
      <w:r w:rsidRPr="000977F7">
        <w:rPr>
          <w:rFonts w:asciiTheme="majorHAnsi" w:hAnsiTheme="majorHAnsi"/>
          <w:sz w:val="20"/>
          <w:szCs w:val="20"/>
        </w:rPr>
        <w:t>с) санкціювання</w:t>
      </w:r>
      <w:r w:rsidRPr="000977F7">
        <w:rPr>
          <w:rFonts w:asciiTheme="majorHAnsi" w:hAnsiTheme="majorHAnsi"/>
          <w:spacing w:val="-2"/>
          <w:sz w:val="20"/>
          <w:szCs w:val="20"/>
        </w:rPr>
        <w:t xml:space="preserve"> </w:t>
      </w:r>
      <w:r w:rsidRPr="000977F7">
        <w:rPr>
          <w:rFonts w:asciiTheme="majorHAnsi" w:hAnsiTheme="majorHAnsi"/>
          <w:sz w:val="20"/>
          <w:szCs w:val="20"/>
        </w:rPr>
        <w:t>змін;</w:t>
      </w:r>
    </w:p>
    <w:p w14:paraId="627BE6B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w:t>
      </w:r>
      <w:r w:rsidRPr="000977F7">
        <w:rPr>
          <w:rFonts w:asciiTheme="majorHAnsi" w:hAnsiTheme="majorHAnsi"/>
          <w:spacing w:val="31"/>
          <w:sz w:val="20"/>
          <w:szCs w:val="20"/>
        </w:rPr>
        <w:t xml:space="preserve"> </w:t>
      </w:r>
      <w:r w:rsidRPr="000977F7">
        <w:rPr>
          <w:rFonts w:asciiTheme="majorHAnsi" w:hAnsiTheme="majorHAnsi"/>
          <w:sz w:val="20"/>
          <w:szCs w:val="20"/>
        </w:rPr>
        <w:t>дій,</w:t>
      </w:r>
      <w:r w:rsidRPr="000977F7">
        <w:rPr>
          <w:rFonts w:asciiTheme="majorHAnsi" w:hAnsiTheme="majorHAnsi"/>
          <w:spacing w:val="31"/>
          <w:sz w:val="20"/>
          <w:szCs w:val="20"/>
        </w:rPr>
        <w:t xml:space="preserve"> </w:t>
      </w:r>
      <w:r w:rsidRPr="000977F7">
        <w:rPr>
          <w:rFonts w:asciiTheme="majorHAnsi" w:hAnsiTheme="majorHAnsi"/>
          <w:sz w:val="20"/>
          <w:szCs w:val="20"/>
        </w:rPr>
        <w:t>виконаних</w:t>
      </w:r>
      <w:r w:rsidRPr="000977F7">
        <w:rPr>
          <w:rFonts w:asciiTheme="majorHAnsi" w:hAnsiTheme="majorHAnsi"/>
          <w:spacing w:val="30"/>
          <w:sz w:val="20"/>
          <w:szCs w:val="20"/>
        </w:rPr>
        <w:t xml:space="preserve"> </w:t>
      </w:r>
      <w:r w:rsidRPr="000977F7">
        <w:rPr>
          <w:rFonts w:asciiTheme="majorHAnsi" w:hAnsiTheme="majorHAnsi"/>
          <w:sz w:val="20"/>
          <w:szCs w:val="20"/>
        </w:rPr>
        <w:t>для</w:t>
      </w:r>
      <w:r w:rsidRPr="000977F7">
        <w:rPr>
          <w:rFonts w:asciiTheme="majorHAnsi" w:hAnsiTheme="majorHAnsi"/>
          <w:spacing w:val="30"/>
          <w:sz w:val="20"/>
          <w:szCs w:val="20"/>
        </w:rPr>
        <w:t xml:space="preserve"> </w:t>
      </w:r>
      <w:r w:rsidRPr="000977F7">
        <w:rPr>
          <w:rFonts w:asciiTheme="majorHAnsi" w:hAnsiTheme="majorHAnsi"/>
          <w:sz w:val="20"/>
          <w:szCs w:val="20"/>
        </w:rPr>
        <w:t>запобігання</w:t>
      </w:r>
      <w:r w:rsidRPr="000977F7">
        <w:rPr>
          <w:rFonts w:asciiTheme="majorHAnsi" w:hAnsiTheme="majorHAnsi"/>
          <w:spacing w:val="30"/>
          <w:sz w:val="20"/>
          <w:szCs w:val="20"/>
        </w:rPr>
        <w:t xml:space="preserve"> </w:t>
      </w:r>
      <w:r w:rsidRPr="000977F7">
        <w:rPr>
          <w:rFonts w:asciiTheme="majorHAnsi" w:hAnsiTheme="majorHAnsi"/>
          <w:sz w:val="20"/>
          <w:szCs w:val="20"/>
        </w:rPr>
        <w:t>несприятливим</w:t>
      </w:r>
      <w:r w:rsidRPr="000977F7">
        <w:rPr>
          <w:rFonts w:asciiTheme="majorHAnsi" w:hAnsiTheme="majorHAnsi"/>
          <w:spacing w:val="-47"/>
          <w:sz w:val="20"/>
          <w:szCs w:val="20"/>
        </w:rPr>
        <w:t xml:space="preserve"> </w:t>
      </w:r>
      <w:r w:rsidRPr="000977F7">
        <w:rPr>
          <w:rFonts w:asciiTheme="majorHAnsi" w:hAnsiTheme="majorHAnsi"/>
          <w:sz w:val="20"/>
          <w:szCs w:val="20"/>
        </w:rPr>
        <w:t>впливам.</w:t>
      </w:r>
    </w:p>
    <w:p w14:paraId="464E56E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466837F4" w14:textId="77777777" w:rsidR="0097612F" w:rsidRPr="000977F7" w:rsidRDefault="0097612F" w:rsidP="000977F7">
      <w:pPr>
        <w:pStyle w:val="7"/>
        <w:tabs>
          <w:tab w:val="left" w:pos="284"/>
        </w:tabs>
        <w:spacing w:before="0" w:line="240" w:lineRule="auto"/>
        <w:ind w:left="170"/>
        <w:mirrorIndents/>
        <w:jc w:val="both"/>
        <w:rPr>
          <w:color w:val="auto"/>
          <w:spacing w:val="23"/>
          <w:sz w:val="20"/>
          <w:szCs w:val="20"/>
        </w:rPr>
      </w:pPr>
      <w:r w:rsidRPr="000977F7">
        <w:rPr>
          <w:color w:val="auto"/>
          <w:sz w:val="20"/>
          <w:szCs w:val="20"/>
        </w:rPr>
        <w:t>ЗМІНИ</w:t>
      </w:r>
      <w:r w:rsidRPr="000977F7">
        <w:rPr>
          <w:color w:val="auto"/>
          <w:spacing w:val="22"/>
          <w:sz w:val="20"/>
          <w:szCs w:val="20"/>
        </w:rPr>
        <w:t xml:space="preserve"> </w:t>
      </w:r>
      <w:r w:rsidRPr="000977F7">
        <w:rPr>
          <w:color w:val="auto"/>
          <w:sz w:val="20"/>
          <w:szCs w:val="20"/>
        </w:rPr>
        <w:t>ДО</w:t>
      </w:r>
      <w:r w:rsidRPr="000977F7">
        <w:rPr>
          <w:color w:val="auto"/>
          <w:spacing w:val="21"/>
          <w:sz w:val="20"/>
          <w:szCs w:val="20"/>
        </w:rPr>
        <w:t xml:space="preserve"> </w:t>
      </w:r>
      <w:r w:rsidRPr="000977F7">
        <w:rPr>
          <w:color w:val="auto"/>
          <w:sz w:val="20"/>
          <w:szCs w:val="20"/>
        </w:rPr>
        <w:t>ВИМОГ</w:t>
      </w:r>
      <w:r w:rsidRPr="000977F7">
        <w:rPr>
          <w:color w:val="auto"/>
          <w:spacing w:val="22"/>
          <w:sz w:val="20"/>
          <w:szCs w:val="20"/>
        </w:rPr>
        <w:t xml:space="preserve"> </w:t>
      </w:r>
      <w:r w:rsidRPr="000977F7">
        <w:rPr>
          <w:color w:val="auto"/>
          <w:sz w:val="20"/>
          <w:szCs w:val="20"/>
        </w:rPr>
        <w:t>ЩОДО</w:t>
      </w:r>
      <w:r w:rsidRPr="000977F7">
        <w:rPr>
          <w:color w:val="auto"/>
          <w:spacing w:val="23"/>
          <w:sz w:val="20"/>
          <w:szCs w:val="20"/>
        </w:rPr>
        <w:t xml:space="preserve"> </w:t>
      </w:r>
      <w:r w:rsidRPr="000977F7">
        <w:rPr>
          <w:color w:val="auto"/>
          <w:sz w:val="20"/>
          <w:szCs w:val="20"/>
        </w:rPr>
        <w:t>ПРОДУКЦІЇ</w:t>
      </w:r>
      <w:r w:rsidRPr="000977F7">
        <w:rPr>
          <w:color w:val="auto"/>
          <w:spacing w:val="23"/>
          <w:sz w:val="20"/>
          <w:szCs w:val="20"/>
        </w:rPr>
        <w:t xml:space="preserve"> </w:t>
      </w:r>
      <w:r w:rsidRPr="000977F7">
        <w:rPr>
          <w:color w:val="auto"/>
          <w:sz w:val="20"/>
          <w:szCs w:val="20"/>
        </w:rPr>
        <w:t>ТА</w:t>
      </w:r>
      <w:r w:rsidRPr="000977F7">
        <w:rPr>
          <w:color w:val="auto"/>
          <w:spacing w:val="23"/>
          <w:sz w:val="20"/>
          <w:szCs w:val="20"/>
        </w:rPr>
        <w:t xml:space="preserve"> </w:t>
      </w:r>
    </w:p>
    <w:p w14:paraId="27375E4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w:t>
      </w:r>
      <w:r w:rsidRPr="000977F7">
        <w:rPr>
          <w:color w:val="auto"/>
          <w:spacing w:val="-47"/>
          <w:sz w:val="20"/>
          <w:szCs w:val="20"/>
        </w:rPr>
        <w:t xml:space="preserve"> </w:t>
      </w:r>
      <w:r w:rsidRPr="000977F7">
        <w:rPr>
          <w:color w:val="auto"/>
          <w:sz w:val="20"/>
          <w:szCs w:val="20"/>
        </w:rPr>
        <w:t>СЛУГ –</w:t>
      </w:r>
    </w:p>
    <w:p w14:paraId="1228FDC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Якщо вимоги до продукції та послуг змінено, організація повинна забезпечити внесення змін до відповідної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задокументованої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інформації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ознайомлення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відповідного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персоналу</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із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зміненими</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вимогами.</w:t>
      </w:r>
    </w:p>
    <w:p w14:paraId="499C53F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0D4D3B8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ЗМІННА СИСТЕМАТИЧНА ПОХИБКА ВИРОБЛЕННЯ</w:t>
      </w:r>
      <w:r w:rsidRPr="000977F7">
        <w:rPr>
          <w:color w:val="auto"/>
          <w:spacing w:val="-1"/>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66F1E1B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VARIABLE SYSTEMATIC ERROR OF PRODUCTS</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FABRICATION –</w:t>
      </w:r>
    </w:p>
    <w:p w14:paraId="686C24DB" w14:textId="77777777" w:rsidR="0097612F" w:rsidRPr="000977F7" w:rsidRDefault="0097612F" w:rsidP="000977F7">
      <w:pPr>
        <w:pStyle w:val="af6"/>
        <w:tabs>
          <w:tab w:val="left" w:pos="284"/>
          <w:tab w:val="left" w:pos="3718"/>
        </w:tabs>
        <w:spacing w:after="0"/>
        <w:ind w:left="170"/>
        <w:mirrorIndents/>
        <w:jc w:val="both"/>
        <w:rPr>
          <w:rFonts w:asciiTheme="majorHAnsi" w:hAnsiTheme="majorHAnsi"/>
          <w:i/>
          <w:sz w:val="20"/>
          <w:szCs w:val="20"/>
        </w:rPr>
      </w:pPr>
      <w:r w:rsidRPr="000977F7">
        <w:rPr>
          <w:rFonts w:asciiTheme="majorHAnsi" w:hAnsiTheme="majorHAnsi"/>
          <w:sz w:val="20"/>
          <w:szCs w:val="20"/>
        </w:rPr>
        <w:t>Систематична</w:t>
      </w:r>
      <w:r w:rsidRPr="000977F7">
        <w:rPr>
          <w:rFonts w:asciiTheme="majorHAnsi" w:hAnsiTheme="majorHAnsi"/>
          <w:spacing w:val="68"/>
          <w:sz w:val="20"/>
          <w:szCs w:val="20"/>
        </w:rPr>
        <w:t xml:space="preserve"> </w:t>
      </w:r>
      <w:r w:rsidRPr="000977F7">
        <w:rPr>
          <w:rFonts w:asciiTheme="majorHAnsi" w:hAnsiTheme="majorHAnsi"/>
          <w:sz w:val="20"/>
          <w:szCs w:val="20"/>
        </w:rPr>
        <w:t>похибка</w:t>
      </w:r>
      <w:r w:rsidRPr="000977F7">
        <w:rPr>
          <w:rFonts w:asciiTheme="majorHAnsi" w:hAnsiTheme="majorHAnsi"/>
          <w:spacing w:val="67"/>
          <w:sz w:val="20"/>
          <w:szCs w:val="20"/>
        </w:rPr>
        <w:t xml:space="preserve"> </w:t>
      </w:r>
      <w:r w:rsidRPr="000977F7">
        <w:rPr>
          <w:rFonts w:asciiTheme="majorHAnsi" w:hAnsiTheme="majorHAnsi"/>
          <w:sz w:val="20"/>
          <w:szCs w:val="20"/>
        </w:rPr>
        <w:t>вироблення продукції,</w:t>
      </w:r>
      <w:r w:rsidRPr="000977F7">
        <w:rPr>
          <w:rFonts w:asciiTheme="majorHAnsi" w:hAnsiTheme="majorHAnsi"/>
          <w:spacing w:val="8"/>
          <w:sz w:val="20"/>
          <w:szCs w:val="20"/>
        </w:rPr>
        <w:t xml:space="preserve"> </w:t>
      </w:r>
      <w:r w:rsidRPr="000977F7">
        <w:rPr>
          <w:rFonts w:asciiTheme="majorHAnsi" w:hAnsiTheme="majorHAnsi"/>
          <w:sz w:val="20"/>
          <w:szCs w:val="20"/>
        </w:rPr>
        <w:t>яка</w:t>
      </w:r>
      <w:r w:rsidRPr="000977F7">
        <w:rPr>
          <w:rFonts w:asciiTheme="majorHAnsi" w:hAnsiTheme="majorHAnsi"/>
          <w:spacing w:val="-47"/>
          <w:sz w:val="20"/>
          <w:szCs w:val="20"/>
        </w:rPr>
        <w:t xml:space="preserve"> </w:t>
      </w:r>
      <w:r w:rsidRPr="000977F7">
        <w:rPr>
          <w:rFonts w:asciiTheme="majorHAnsi" w:hAnsiTheme="majorHAnsi"/>
          <w:sz w:val="20"/>
          <w:szCs w:val="20"/>
        </w:rPr>
        <w:t>закономірно змінюється за модулем та (чи) знаком</w:t>
      </w:r>
      <w:r w:rsidRPr="000977F7">
        <w:rPr>
          <w:rFonts w:asciiTheme="majorHAnsi" w:hAnsiTheme="majorHAns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3514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17CED26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ЗМІННІ</w:t>
      </w:r>
      <w:r w:rsidRPr="000977F7">
        <w:rPr>
          <w:color w:val="auto"/>
          <w:spacing w:val="-4"/>
          <w:sz w:val="20"/>
          <w:szCs w:val="20"/>
        </w:rPr>
        <w:t xml:space="preserve"> </w:t>
      </w:r>
      <w:r w:rsidRPr="000977F7">
        <w:rPr>
          <w:color w:val="auto"/>
          <w:sz w:val="20"/>
          <w:szCs w:val="20"/>
        </w:rPr>
        <w:t>ДАНІ</w:t>
      </w:r>
      <w:r w:rsidRPr="000977F7">
        <w:rPr>
          <w:color w:val="auto"/>
          <w:spacing w:val="-3"/>
          <w:sz w:val="20"/>
          <w:szCs w:val="20"/>
        </w:rPr>
        <w:t xml:space="preserve"> </w:t>
      </w:r>
      <w:r w:rsidRPr="000977F7">
        <w:rPr>
          <w:color w:val="auto"/>
          <w:sz w:val="20"/>
          <w:szCs w:val="20"/>
        </w:rPr>
        <w:t>ВИКОНАННЯ –</w:t>
      </w:r>
    </w:p>
    <w:p w14:paraId="746B9CE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Інформація</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виробів,</w:t>
      </w:r>
      <w:r w:rsidRPr="000977F7">
        <w:rPr>
          <w:rFonts w:asciiTheme="majorHAnsi" w:hAnsiTheme="majorHAnsi"/>
          <w:spacing w:val="1"/>
          <w:sz w:val="20"/>
          <w:szCs w:val="20"/>
        </w:rPr>
        <w:t xml:space="preserve"> </w:t>
      </w:r>
      <w:r w:rsidRPr="000977F7">
        <w:rPr>
          <w:rFonts w:asciiTheme="majorHAnsi" w:hAnsiTheme="majorHAnsi"/>
          <w:sz w:val="20"/>
          <w:szCs w:val="20"/>
        </w:rPr>
        <w:t>неоднакова</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47"/>
          <w:sz w:val="20"/>
          <w:szCs w:val="20"/>
        </w:rPr>
        <w:t xml:space="preserve"> </w:t>
      </w:r>
      <w:r w:rsidRPr="000977F7">
        <w:rPr>
          <w:rFonts w:asciiTheme="majorHAnsi" w:hAnsiTheme="majorHAnsi"/>
          <w:sz w:val="20"/>
          <w:szCs w:val="20"/>
        </w:rPr>
        <w:t>групи</w:t>
      </w:r>
      <w:r w:rsidRPr="000977F7">
        <w:rPr>
          <w:rFonts w:asciiTheme="majorHAnsi" w:hAnsiTheme="majorHAnsi"/>
          <w:spacing w:val="-2"/>
          <w:sz w:val="20"/>
          <w:szCs w:val="20"/>
        </w:rPr>
        <w:t xml:space="preserve"> </w:t>
      </w:r>
      <w:r w:rsidRPr="000977F7">
        <w:rPr>
          <w:rFonts w:asciiTheme="majorHAnsi" w:hAnsiTheme="majorHAnsi"/>
          <w:sz w:val="20"/>
          <w:szCs w:val="20"/>
        </w:rPr>
        <w:t>виробів</w:t>
      </w:r>
    </w:p>
    <w:p w14:paraId="5F6E323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21883C2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ЗМІСТ</w:t>
      </w:r>
      <w:r w:rsidRPr="000977F7">
        <w:rPr>
          <w:color w:val="auto"/>
          <w:spacing w:val="-6"/>
          <w:sz w:val="20"/>
          <w:szCs w:val="20"/>
        </w:rPr>
        <w:t xml:space="preserve"> </w:t>
      </w:r>
      <w:r w:rsidRPr="000977F7">
        <w:rPr>
          <w:color w:val="auto"/>
          <w:sz w:val="20"/>
          <w:szCs w:val="20"/>
        </w:rPr>
        <w:t>МІЖДЕРЖАВНИХ</w:t>
      </w:r>
      <w:r w:rsidRPr="000977F7">
        <w:rPr>
          <w:color w:val="auto"/>
          <w:spacing w:val="-3"/>
          <w:sz w:val="20"/>
          <w:szCs w:val="20"/>
        </w:rPr>
        <w:t xml:space="preserve"> </w:t>
      </w:r>
      <w:r w:rsidRPr="000977F7">
        <w:rPr>
          <w:color w:val="auto"/>
          <w:sz w:val="20"/>
          <w:szCs w:val="20"/>
        </w:rPr>
        <w:t>СТАНДАРТІВ –</w:t>
      </w:r>
    </w:p>
    <w:p w14:paraId="02792A9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w:t>
      </w:r>
      <w:r w:rsidRPr="000977F7">
        <w:rPr>
          <w:rFonts w:asciiTheme="majorHAnsi" w:hAnsiTheme="majorHAnsi"/>
          <w:spacing w:val="-2"/>
          <w:sz w:val="20"/>
          <w:szCs w:val="20"/>
        </w:rPr>
        <w:t xml:space="preserve"> </w:t>
      </w:r>
      <w:r w:rsidRPr="000977F7">
        <w:rPr>
          <w:rFonts w:asciiTheme="majorHAnsi" w:hAnsiTheme="majorHAnsi"/>
          <w:sz w:val="20"/>
          <w:szCs w:val="20"/>
        </w:rPr>
        <w:t>міждержавних</w:t>
      </w:r>
      <w:r w:rsidRPr="000977F7">
        <w:rPr>
          <w:rFonts w:asciiTheme="majorHAnsi" w:hAnsiTheme="majorHAnsi"/>
          <w:spacing w:val="-4"/>
          <w:sz w:val="20"/>
          <w:szCs w:val="20"/>
        </w:rPr>
        <w:t xml:space="preserve"> </w:t>
      </w:r>
      <w:r w:rsidRPr="000977F7">
        <w:rPr>
          <w:rFonts w:asciiTheme="majorHAnsi" w:hAnsiTheme="majorHAnsi"/>
          <w:sz w:val="20"/>
          <w:szCs w:val="20"/>
        </w:rPr>
        <w:t>стандартів</w:t>
      </w:r>
      <w:r w:rsidRPr="000977F7">
        <w:rPr>
          <w:rFonts w:asciiTheme="majorHAnsi" w:hAnsiTheme="majorHAnsi"/>
          <w:spacing w:val="-3"/>
          <w:sz w:val="20"/>
          <w:szCs w:val="20"/>
        </w:rPr>
        <w:t xml:space="preserve"> </w:t>
      </w:r>
      <w:r w:rsidRPr="000977F7">
        <w:rPr>
          <w:rFonts w:asciiTheme="majorHAnsi" w:hAnsiTheme="majorHAnsi"/>
          <w:sz w:val="20"/>
          <w:szCs w:val="20"/>
        </w:rPr>
        <w:t>включають:</w:t>
      </w:r>
    </w:p>
    <w:p w14:paraId="7D62DA8F" w14:textId="77777777" w:rsidR="0097612F" w:rsidRPr="000977F7" w:rsidRDefault="0097612F" w:rsidP="00FD39A4">
      <w:pPr>
        <w:pStyle w:val="ac"/>
        <w:widowControl w:val="0"/>
        <w:numPr>
          <w:ilvl w:val="0"/>
          <w:numId w:val="17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вимоги до якості продукції, які забезпечують їх</w:t>
      </w:r>
      <w:r w:rsidRPr="000977F7">
        <w:rPr>
          <w:rFonts w:asciiTheme="majorHAnsi" w:hAnsiTheme="majorHAnsi"/>
          <w:spacing w:val="1"/>
          <w:sz w:val="20"/>
          <w:szCs w:val="20"/>
        </w:rPr>
        <w:t xml:space="preserve"> </w:t>
      </w:r>
      <w:r w:rsidRPr="000977F7">
        <w:rPr>
          <w:rFonts w:asciiTheme="majorHAnsi" w:hAnsiTheme="majorHAnsi"/>
          <w:sz w:val="20"/>
          <w:szCs w:val="20"/>
        </w:rPr>
        <w:t>безпеку для життя, здоров’я і майна, охорону навколишнього середовища;</w:t>
      </w:r>
    </w:p>
    <w:p w14:paraId="546790A5" w14:textId="77777777" w:rsidR="0097612F" w:rsidRPr="000977F7" w:rsidRDefault="0097612F" w:rsidP="00FD39A4">
      <w:pPr>
        <w:pStyle w:val="ac"/>
        <w:widowControl w:val="0"/>
        <w:numPr>
          <w:ilvl w:val="0"/>
          <w:numId w:val="17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вимоги</w:t>
      </w:r>
      <w:r w:rsidRPr="000977F7">
        <w:rPr>
          <w:rFonts w:asciiTheme="majorHAnsi" w:hAnsiTheme="majorHAnsi"/>
          <w:spacing w:val="-4"/>
          <w:sz w:val="20"/>
          <w:szCs w:val="20"/>
        </w:rPr>
        <w:t xml:space="preserve"> </w:t>
      </w:r>
      <w:r w:rsidRPr="000977F7">
        <w:rPr>
          <w:rFonts w:asciiTheme="majorHAnsi" w:hAnsiTheme="majorHAnsi"/>
          <w:sz w:val="20"/>
          <w:szCs w:val="20"/>
        </w:rPr>
        <w:t>техніки</w:t>
      </w:r>
      <w:r w:rsidRPr="000977F7">
        <w:rPr>
          <w:rFonts w:asciiTheme="majorHAnsi" w:hAnsiTheme="majorHAnsi"/>
          <w:spacing w:val="-4"/>
          <w:sz w:val="20"/>
          <w:szCs w:val="20"/>
        </w:rPr>
        <w:t xml:space="preserve"> </w:t>
      </w:r>
      <w:r w:rsidRPr="000977F7">
        <w:rPr>
          <w:rFonts w:asciiTheme="majorHAnsi" w:hAnsiTheme="majorHAnsi"/>
          <w:sz w:val="20"/>
          <w:szCs w:val="20"/>
        </w:rPr>
        <w:t>безпеки</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виробничої</w:t>
      </w:r>
      <w:r w:rsidRPr="000977F7">
        <w:rPr>
          <w:rFonts w:asciiTheme="majorHAnsi" w:hAnsiTheme="majorHAnsi"/>
          <w:spacing w:val="-4"/>
          <w:sz w:val="20"/>
          <w:szCs w:val="20"/>
        </w:rPr>
        <w:t xml:space="preserve"> </w:t>
      </w:r>
      <w:r w:rsidRPr="000977F7">
        <w:rPr>
          <w:rFonts w:asciiTheme="majorHAnsi" w:hAnsiTheme="majorHAnsi"/>
          <w:sz w:val="20"/>
          <w:szCs w:val="20"/>
        </w:rPr>
        <w:t>санітарії;</w:t>
      </w:r>
    </w:p>
    <w:p w14:paraId="2424DBB1" w14:textId="77777777" w:rsidR="0097612F" w:rsidRPr="000977F7" w:rsidRDefault="0097612F" w:rsidP="00FD39A4">
      <w:pPr>
        <w:pStyle w:val="ac"/>
        <w:widowControl w:val="0"/>
        <w:numPr>
          <w:ilvl w:val="0"/>
          <w:numId w:val="17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вимоги до сумісності та взаємозамінності продукції;</w:t>
      </w:r>
    </w:p>
    <w:p w14:paraId="350CCF4C" w14:textId="77777777" w:rsidR="0097612F" w:rsidRPr="000977F7" w:rsidRDefault="0097612F" w:rsidP="00FD39A4">
      <w:pPr>
        <w:pStyle w:val="ac"/>
        <w:widowControl w:val="0"/>
        <w:numPr>
          <w:ilvl w:val="0"/>
          <w:numId w:val="17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параметричні</w:t>
      </w:r>
      <w:r w:rsidRPr="000977F7">
        <w:rPr>
          <w:rFonts w:asciiTheme="majorHAnsi" w:hAnsiTheme="majorHAnsi"/>
          <w:spacing w:val="-5"/>
          <w:sz w:val="20"/>
          <w:szCs w:val="20"/>
        </w:rPr>
        <w:t xml:space="preserve"> </w:t>
      </w:r>
      <w:r w:rsidRPr="000977F7">
        <w:rPr>
          <w:rFonts w:asciiTheme="majorHAnsi" w:hAnsiTheme="majorHAnsi"/>
          <w:sz w:val="20"/>
          <w:szCs w:val="20"/>
        </w:rPr>
        <w:t>ряди</w:t>
      </w:r>
      <w:r w:rsidRPr="000977F7">
        <w:rPr>
          <w:rFonts w:asciiTheme="majorHAnsi" w:hAnsiTheme="majorHAnsi"/>
          <w:spacing w:val="-6"/>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типові</w:t>
      </w:r>
      <w:r w:rsidRPr="000977F7">
        <w:rPr>
          <w:rFonts w:asciiTheme="majorHAnsi" w:hAnsiTheme="majorHAnsi"/>
          <w:spacing w:val="-3"/>
          <w:sz w:val="20"/>
          <w:szCs w:val="20"/>
        </w:rPr>
        <w:t xml:space="preserve"> </w:t>
      </w:r>
      <w:r w:rsidRPr="000977F7">
        <w:rPr>
          <w:rFonts w:asciiTheme="majorHAnsi" w:hAnsiTheme="majorHAnsi"/>
          <w:sz w:val="20"/>
          <w:szCs w:val="20"/>
        </w:rPr>
        <w:t>конструкції</w:t>
      </w:r>
      <w:r w:rsidRPr="000977F7">
        <w:rPr>
          <w:rFonts w:asciiTheme="majorHAnsi" w:hAnsiTheme="majorHAnsi"/>
          <w:spacing w:val="-4"/>
          <w:sz w:val="20"/>
          <w:szCs w:val="20"/>
        </w:rPr>
        <w:t xml:space="preserve"> </w:t>
      </w:r>
      <w:r w:rsidRPr="000977F7">
        <w:rPr>
          <w:rFonts w:asciiTheme="majorHAnsi" w:hAnsiTheme="majorHAnsi"/>
          <w:sz w:val="20"/>
          <w:szCs w:val="20"/>
        </w:rPr>
        <w:t>виробів;</w:t>
      </w:r>
    </w:p>
    <w:p w14:paraId="477960B7" w14:textId="77777777" w:rsidR="0097612F" w:rsidRPr="000977F7" w:rsidRDefault="0097612F" w:rsidP="00FD39A4">
      <w:pPr>
        <w:pStyle w:val="ac"/>
        <w:widowControl w:val="0"/>
        <w:numPr>
          <w:ilvl w:val="0"/>
          <w:numId w:val="17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основні</w:t>
      </w:r>
      <w:r w:rsidRPr="000977F7">
        <w:rPr>
          <w:rFonts w:asciiTheme="majorHAnsi" w:hAnsiTheme="majorHAnsi"/>
          <w:spacing w:val="1"/>
          <w:sz w:val="20"/>
          <w:szCs w:val="20"/>
        </w:rPr>
        <w:t xml:space="preserve"> </w:t>
      </w:r>
      <w:r w:rsidRPr="000977F7">
        <w:rPr>
          <w:rFonts w:asciiTheme="majorHAnsi" w:hAnsiTheme="majorHAnsi"/>
          <w:sz w:val="20"/>
          <w:szCs w:val="20"/>
        </w:rPr>
        <w:t>споживчі</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(експлуатаційні)</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властивості</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пакування,</w:t>
      </w:r>
      <w:r w:rsidRPr="000977F7">
        <w:rPr>
          <w:rFonts w:asciiTheme="majorHAnsi" w:hAnsiTheme="majorHAnsi"/>
          <w:spacing w:val="1"/>
          <w:sz w:val="20"/>
          <w:szCs w:val="20"/>
        </w:rPr>
        <w:t xml:space="preserve"> </w:t>
      </w:r>
      <w:r w:rsidRPr="000977F7">
        <w:rPr>
          <w:rFonts w:asciiTheme="majorHAnsi" w:hAnsiTheme="majorHAnsi"/>
          <w:sz w:val="20"/>
          <w:szCs w:val="20"/>
        </w:rPr>
        <w:t>маркування,</w:t>
      </w:r>
      <w:r w:rsidRPr="000977F7">
        <w:rPr>
          <w:rFonts w:asciiTheme="majorHAnsi" w:hAnsiTheme="majorHAnsi"/>
          <w:spacing w:val="-47"/>
          <w:sz w:val="20"/>
          <w:szCs w:val="20"/>
        </w:rPr>
        <w:t xml:space="preserve"> </w:t>
      </w:r>
      <w:r w:rsidRPr="000977F7">
        <w:rPr>
          <w:rFonts w:asciiTheme="majorHAnsi" w:hAnsiTheme="majorHAnsi"/>
          <w:sz w:val="20"/>
          <w:szCs w:val="20"/>
        </w:rPr>
        <w:t>транспортування,</w:t>
      </w:r>
      <w:r w:rsidRPr="000977F7">
        <w:rPr>
          <w:rFonts w:asciiTheme="majorHAnsi" w:hAnsiTheme="majorHAnsi"/>
          <w:spacing w:val="1"/>
          <w:sz w:val="20"/>
          <w:szCs w:val="20"/>
        </w:rPr>
        <w:t xml:space="preserve"> </w:t>
      </w:r>
      <w:r w:rsidRPr="000977F7">
        <w:rPr>
          <w:rFonts w:asciiTheme="majorHAnsi" w:hAnsiTheme="majorHAnsi"/>
          <w:sz w:val="20"/>
          <w:szCs w:val="20"/>
        </w:rPr>
        <w:t>зберігання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утилізація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1680189C" w14:textId="77777777" w:rsidR="0097612F" w:rsidRPr="000977F7" w:rsidRDefault="0097612F" w:rsidP="00FD39A4">
      <w:pPr>
        <w:pStyle w:val="ac"/>
        <w:widowControl w:val="0"/>
        <w:numPr>
          <w:ilvl w:val="0"/>
          <w:numId w:val="17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методи</w:t>
      </w:r>
      <w:r w:rsidRPr="000977F7">
        <w:rPr>
          <w:rFonts w:asciiTheme="majorHAnsi" w:hAnsiTheme="majorHAnsi"/>
          <w:spacing w:val="-5"/>
          <w:sz w:val="20"/>
          <w:szCs w:val="20"/>
        </w:rPr>
        <w:t xml:space="preserve"> </w:t>
      </w:r>
      <w:r w:rsidRPr="000977F7">
        <w:rPr>
          <w:rFonts w:asciiTheme="majorHAnsi" w:hAnsiTheme="majorHAnsi"/>
          <w:sz w:val="20"/>
          <w:szCs w:val="20"/>
        </w:rPr>
        <w:t>контролю</w:t>
      </w:r>
      <w:r w:rsidRPr="000977F7">
        <w:rPr>
          <w:rFonts w:asciiTheme="majorHAnsi" w:hAnsiTheme="majorHAnsi"/>
          <w:spacing w:val="-2"/>
          <w:sz w:val="20"/>
          <w:szCs w:val="20"/>
        </w:rPr>
        <w:t xml:space="preserve"> </w:t>
      </w:r>
      <w:r w:rsidRPr="000977F7">
        <w:rPr>
          <w:rFonts w:asciiTheme="majorHAnsi" w:hAnsiTheme="majorHAnsi"/>
          <w:sz w:val="20"/>
          <w:szCs w:val="20"/>
        </w:rPr>
        <w:t>вимог</w:t>
      </w:r>
      <w:r w:rsidRPr="000977F7">
        <w:rPr>
          <w:rFonts w:asciiTheme="majorHAnsi" w:hAnsiTheme="majorHAnsi"/>
          <w:spacing w:val="-3"/>
          <w:sz w:val="20"/>
          <w:szCs w:val="20"/>
        </w:rPr>
        <w:t xml:space="preserve"> </w:t>
      </w:r>
      <w:r w:rsidRPr="000977F7">
        <w:rPr>
          <w:rFonts w:asciiTheme="majorHAnsi" w:hAnsiTheme="majorHAnsi"/>
          <w:sz w:val="20"/>
          <w:szCs w:val="20"/>
        </w:rPr>
        <w:t>до</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4B3CE121" w14:textId="77777777" w:rsidR="0097612F" w:rsidRPr="000977F7" w:rsidRDefault="0097612F" w:rsidP="00FD39A4">
      <w:pPr>
        <w:pStyle w:val="ac"/>
        <w:widowControl w:val="0"/>
        <w:numPr>
          <w:ilvl w:val="0"/>
          <w:numId w:val="17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забезпечують</w:t>
      </w:r>
      <w:r w:rsidRPr="000977F7">
        <w:rPr>
          <w:rFonts w:asciiTheme="majorHAnsi" w:hAnsiTheme="majorHAnsi"/>
          <w:spacing w:val="1"/>
          <w:sz w:val="20"/>
          <w:szCs w:val="20"/>
        </w:rPr>
        <w:t xml:space="preserve"> </w:t>
      </w:r>
      <w:r w:rsidRPr="000977F7">
        <w:rPr>
          <w:rFonts w:asciiTheme="majorHAnsi" w:hAnsiTheme="majorHAnsi"/>
          <w:sz w:val="20"/>
          <w:szCs w:val="20"/>
        </w:rPr>
        <w:t>технічну</w:t>
      </w:r>
      <w:r w:rsidRPr="000977F7">
        <w:rPr>
          <w:rFonts w:asciiTheme="majorHAnsi" w:hAnsiTheme="majorHAnsi"/>
          <w:spacing w:val="1"/>
          <w:sz w:val="20"/>
          <w:szCs w:val="20"/>
        </w:rPr>
        <w:t xml:space="preserve"> </w:t>
      </w:r>
      <w:r w:rsidRPr="000977F7">
        <w:rPr>
          <w:rFonts w:asciiTheme="majorHAnsi" w:hAnsiTheme="majorHAnsi"/>
          <w:sz w:val="20"/>
          <w:szCs w:val="20"/>
        </w:rPr>
        <w:t>єдність</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розробці, виробництві, експлуатації (застосуванні) та надання послуг, в тому числі, правила оформлення технічної документації, допуски та посадки, терміни, визначення та позначення, метрологічні</w:t>
      </w:r>
      <w:r w:rsidRPr="000977F7">
        <w:rPr>
          <w:rFonts w:asciiTheme="majorHAnsi" w:hAnsiTheme="majorHAnsi"/>
          <w:spacing w:val="-3"/>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інші</w:t>
      </w:r>
      <w:r w:rsidRPr="000977F7">
        <w:rPr>
          <w:rFonts w:asciiTheme="majorHAnsi" w:hAnsiTheme="majorHAnsi"/>
          <w:spacing w:val="-2"/>
          <w:sz w:val="20"/>
          <w:szCs w:val="20"/>
        </w:rPr>
        <w:t xml:space="preserve"> </w:t>
      </w:r>
      <w:r w:rsidRPr="000977F7">
        <w:rPr>
          <w:rFonts w:asciiTheme="majorHAnsi" w:hAnsiTheme="majorHAnsi"/>
          <w:sz w:val="20"/>
          <w:szCs w:val="20"/>
        </w:rPr>
        <w:t>загальнотехнічні</w:t>
      </w:r>
      <w:r w:rsidRPr="000977F7">
        <w:rPr>
          <w:rFonts w:asciiTheme="majorHAnsi" w:hAnsiTheme="majorHAnsi"/>
          <w:spacing w:val="-3"/>
          <w:sz w:val="20"/>
          <w:szCs w:val="20"/>
        </w:rPr>
        <w:t xml:space="preserve"> </w:t>
      </w:r>
      <w:r w:rsidRPr="000977F7">
        <w:rPr>
          <w:rFonts w:asciiTheme="majorHAnsi" w:hAnsiTheme="majorHAnsi"/>
          <w:sz w:val="20"/>
          <w:szCs w:val="20"/>
        </w:rPr>
        <w:t>правила</w:t>
      </w:r>
      <w:r w:rsidRPr="000977F7">
        <w:rPr>
          <w:rFonts w:asciiTheme="majorHAnsi" w:hAnsiTheme="majorHAnsi"/>
          <w:spacing w:val="-2"/>
          <w:sz w:val="20"/>
          <w:szCs w:val="20"/>
        </w:rPr>
        <w:t xml:space="preserve"> </w:t>
      </w:r>
      <w:r w:rsidRPr="000977F7">
        <w:rPr>
          <w:rFonts w:asciiTheme="majorHAnsi" w:hAnsiTheme="majorHAnsi"/>
          <w:sz w:val="20"/>
          <w:szCs w:val="20"/>
        </w:rPr>
        <w:t>і норми;</w:t>
      </w:r>
    </w:p>
    <w:p w14:paraId="79957B43" w14:textId="77777777" w:rsidR="0097612F" w:rsidRPr="000977F7" w:rsidRDefault="0097612F" w:rsidP="00FD39A4">
      <w:pPr>
        <w:pStyle w:val="ac"/>
        <w:widowControl w:val="0"/>
        <w:numPr>
          <w:ilvl w:val="0"/>
          <w:numId w:val="17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правила</w:t>
      </w:r>
      <w:r w:rsidRPr="000977F7">
        <w:rPr>
          <w:rFonts w:asciiTheme="majorHAnsi" w:hAnsiTheme="majorHAnsi"/>
          <w:spacing w:val="-4"/>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5"/>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76A6B618" w14:textId="77777777" w:rsidR="0097612F" w:rsidRPr="000977F7" w:rsidRDefault="0097612F" w:rsidP="00FD39A4">
      <w:pPr>
        <w:pStyle w:val="ac"/>
        <w:widowControl w:val="0"/>
        <w:numPr>
          <w:ilvl w:val="0"/>
          <w:numId w:val="17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вимоги щодо зберігання та раціонального 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усіх</w:t>
      </w:r>
      <w:r w:rsidRPr="000977F7">
        <w:rPr>
          <w:rFonts w:asciiTheme="majorHAnsi" w:hAnsiTheme="majorHAnsi"/>
          <w:spacing w:val="-1"/>
          <w:sz w:val="20"/>
          <w:szCs w:val="20"/>
        </w:rPr>
        <w:t xml:space="preserve"> </w:t>
      </w:r>
      <w:r w:rsidRPr="000977F7">
        <w:rPr>
          <w:rFonts w:asciiTheme="majorHAnsi" w:hAnsiTheme="majorHAnsi"/>
          <w:sz w:val="20"/>
          <w:szCs w:val="20"/>
        </w:rPr>
        <w:t>видів</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p>
    <w:p w14:paraId="74A4A13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ЗМІШАНА</w:t>
      </w:r>
      <w:r w:rsidRPr="000977F7">
        <w:rPr>
          <w:color w:val="auto"/>
          <w:spacing w:val="-3"/>
          <w:sz w:val="20"/>
          <w:szCs w:val="20"/>
        </w:rPr>
        <w:t xml:space="preserve"> </w:t>
      </w:r>
      <w:r w:rsidRPr="000977F7">
        <w:rPr>
          <w:color w:val="auto"/>
          <w:sz w:val="20"/>
          <w:szCs w:val="20"/>
        </w:rPr>
        <w:t>ФОРМА</w:t>
      </w:r>
      <w:r w:rsidRPr="000977F7">
        <w:rPr>
          <w:color w:val="auto"/>
          <w:spacing w:val="-3"/>
          <w:sz w:val="20"/>
          <w:szCs w:val="20"/>
        </w:rPr>
        <w:t xml:space="preserve"> </w:t>
      </w:r>
      <w:r w:rsidRPr="000977F7">
        <w:rPr>
          <w:color w:val="auto"/>
          <w:sz w:val="20"/>
          <w:szCs w:val="20"/>
        </w:rPr>
        <w:t>РЕМОНТУ –</w:t>
      </w:r>
    </w:p>
    <w:p w14:paraId="6AC8B2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ремонту, за якої поруч із децентралізованою формою на підприємстві існують спеціалізовані</w:t>
      </w:r>
      <w:r w:rsidRPr="000977F7">
        <w:rPr>
          <w:rFonts w:asciiTheme="majorHAnsi" w:hAnsiTheme="majorHAnsi"/>
          <w:spacing w:val="1"/>
          <w:sz w:val="20"/>
          <w:szCs w:val="20"/>
        </w:rPr>
        <w:t xml:space="preserve"> </w:t>
      </w:r>
      <w:r w:rsidRPr="000977F7">
        <w:rPr>
          <w:rFonts w:asciiTheme="majorHAnsi" w:hAnsiTheme="majorHAnsi"/>
          <w:sz w:val="20"/>
          <w:szCs w:val="20"/>
        </w:rPr>
        <w:t>ремонтні</w:t>
      </w:r>
      <w:r w:rsidRPr="000977F7">
        <w:rPr>
          <w:rFonts w:asciiTheme="majorHAnsi" w:hAnsiTheme="majorHAnsi"/>
          <w:spacing w:val="-2"/>
          <w:sz w:val="20"/>
          <w:szCs w:val="20"/>
        </w:rPr>
        <w:t xml:space="preserve"> </w:t>
      </w:r>
      <w:r w:rsidRPr="000977F7">
        <w:rPr>
          <w:rFonts w:asciiTheme="majorHAnsi" w:hAnsiTheme="majorHAnsi"/>
          <w:sz w:val="20"/>
          <w:szCs w:val="20"/>
        </w:rPr>
        <w:t>підрозділи</w:t>
      </w:r>
    </w:p>
    <w:p w14:paraId="308753D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2A79D3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ЗМІЩЕННЯ</w:t>
      </w:r>
      <w:r w:rsidRPr="000977F7">
        <w:rPr>
          <w:color w:val="auto"/>
          <w:spacing w:val="-5"/>
          <w:sz w:val="20"/>
          <w:szCs w:val="20"/>
        </w:rPr>
        <w:t xml:space="preserve"> </w:t>
      </w:r>
      <w:r w:rsidRPr="000977F7">
        <w:rPr>
          <w:color w:val="auto"/>
          <w:sz w:val="20"/>
          <w:szCs w:val="20"/>
        </w:rPr>
        <w:t>НЕЙТРАЛІ —</w:t>
      </w:r>
    </w:p>
    <w:p w14:paraId="03483A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Відмінність потенціалу нейтралі електропостачальної</w:t>
      </w:r>
      <w:r w:rsidRPr="000977F7">
        <w:rPr>
          <w:rFonts w:asciiTheme="majorHAnsi" w:hAnsiTheme="majorHAnsi"/>
          <w:spacing w:val="1"/>
          <w:sz w:val="20"/>
          <w:szCs w:val="20"/>
        </w:rPr>
        <w:t xml:space="preserve"> </w:t>
      </w:r>
      <w:r w:rsidRPr="000977F7">
        <w:rPr>
          <w:rFonts w:asciiTheme="majorHAnsi" w:hAnsiTheme="majorHAnsi"/>
          <w:sz w:val="20"/>
          <w:szCs w:val="20"/>
        </w:rPr>
        <w:t>системи від потенціалу землі чи уземленого корпусу</w:t>
      </w:r>
      <w:r w:rsidRPr="000977F7">
        <w:rPr>
          <w:rFonts w:asciiTheme="majorHAnsi" w:hAnsiTheme="majorHAnsi"/>
          <w:spacing w:val="1"/>
          <w:sz w:val="20"/>
          <w:szCs w:val="20"/>
        </w:rPr>
        <w:t xml:space="preserve"> </w:t>
      </w:r>
      <w:r w:rsidRPr="000977F7">
        <w:rPr>
          <w:rFonts w:asciiTheme="majorHAnsi" w:hAnsiTheme="majorHAnsi"/>
          <w:sz w:val="20"/>
          <w:szCs w:val="20"/>
        </w:rPr>
        <w:t>електротехнічного обладнання</w:t>
      </w:r>
    </w:p>
    <w:p w14:paraId="04F2641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61F662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b/>
          <w:bCs/>
          <w:sz w:val="20"/>
          <w:szCs w:val="20"/>
          <w:shd w:val="clear" w:color="auto" w:fill="FFFFFF"/>
        </w:rPr>
        <w:t>ЗНАК ВІДПОВІДНОСТІ ТЕХНІЧНИМ РЕГЛАМЕНТАМ</w:t>
      </w:r>
      <w:r w:rsidRPr="000977F7">
        <w:rPr>
          <w:rFonts w:asciiTheme="majorHAnsi" w:hAnsiTheme="majorHAnsi"/>
          <w:sz w:val="20"/>
          <w:szCs w:val="20"/>
          <w:shd w:val="clear" w:color="auto" w:fill="FFFFFF"/>
        </w:rPr>
        <w:t xml:space="preserve"> –</w:t>
      </w:r>
    </w:p>
    <w:p w14:paraId="4440107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Маркування, за допомогою якого виробник вказує, що продукція відповідає застосовним вимогам, визначеним у технічних регламентах, якими передбачене нанесення цього маркування;</w:t>
      </w:r>
    </w:p>
    <w:p w14:paraId="68C569B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bookmarkStart w:id="73" w:name="_Hlk103178272"/>
      <w:r w:rsidRPr="000977F7">
        <w:rPr>
          <w:rFonts w:asciiTheme="majorHAnsi" w:hAnsiTheme="majorHAnsi"/>
          <w:i/>
          <w:sz w:val="20"/>
          <w:szCs w:val="20"/>
        </w:rPr>
        <w:t>Закон України "Про технічні регламенти та оцінку відповідності"</w:t>
      </w:r>
    </w:p>
    <w:p w14:paraId="7876922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bookmarkStart w:id="74" w:name="_Hlk103231580"/>
      <w:r w:rsidRPr="000977F7">
        <w:rPr>
          <w:rFonts w:asciiTheme="majorHAnsi" w:hAnsiTheme="majorHAnsi"/>
          <w:i/>
          <w:sz w:val="20"/>
          <w:szCs w:val="20"/>
        </w:rPr>
        <w:t>Технічний регламент безпеки машин</w:t>
      </w:r>
    </w:p>
    <w:p w14:paraId="77D21D8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Маркування, за допомогою якого монтажник або виробник вказує, що ліфт або компонент безпеки для ліфтів відповідає вимогам, які застосовуються до такого ліфта або компонента і визначені в технічних регламентах, якими передбачене нанесення цього маркування</w:t>
      </w:r>
    </w:p>
    <w:p w14:paraId="52C50217"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ліфтів і компонентів безпеки для ліфтів</w:t>
      </w:r>
    </w:p>
    <w:p w14:paraId="6AEE120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 xml:space="preserve">Маркування, за допомогою якого виробник вказує, що апаратура відповідає вимогам, які </w:t>
      </w:r>
      <w:r w:rsidRPr="000977F7">
        <w:rPr>
          <w:rFonts w:asciiTheme="majorHAnsi" w:hAnsiTheme="majorHAnsi"/>
          <w:sz w:val="20"/>
          <w:szCs w:val="20"/>
          <w:lang w:eastAsia="ru-RU"/>
        </w:rPr>
        <w:lastRenderedPageBreak/>
        <w:t>застосовуються до зазначеної апаратури та визначені в технічних регламентах, якими передбачене нанесення цього маркування</w:t>
      </w:r>
    </w:p>
    <w:p w14:paraId="4A36A967"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з електромагнітної сумісності обладнання</w:t>
      </w:r>
    </w:p>
    <w:p w14:paraId="2E0DAED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Маркування, за допомогою якого виробник вказує, що обладнання, що працює під тиском, або агрегат відповідають вимогам, які застосовуються до них і визначені в технічних регламентах, якими передбачене нанесення такого маркування</w:t>
      </w:r>
    </w:p>
    <w:p w14:paraId="5DF9EA9D"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lang w:eastAsia="ru-RU"/>
        </w:rPr>
      </w:pPr>
      <w:r w:rsidRPr="000977F7">
        <w:rPr>
          <w:rFonts w:asciiTheme="majorHAnsi" w:hAnsiTheme="majorHAnsi"/>
          <w:i/>
          <w:iCs/>
          <w:sz w:val="20"/>
          <w:szCs w:val="20"/>
          <w:lang w:eastAsia="ru-RU"/>
        </w:rPr>
        <w:t>Технічний регламент обладнання, що працює під тиском</w:t>
      </w:r>
    </w:p>
    <w:bookmarkEnd w:id="73"/>
    <w:bookmarkEnd w:id="74"/>
    <w:p w14:paraId="57AA67D1" w14:textId="77777777" w:rsidR="0097612F" w:rsidRPr="000977F7" w:rsidRDefault="0097612F" w:rsidP="000977F7">
      <w:pPr>
        <w:pStyle w:val="7"/>
        <w:tabs>
          <w:tab w:val="left" w:pos="284"/>
        </w:tabs>
        <w:spacing w:before="0" w:line="240" w:lineRule="auto"/>
        <w:ind w:left="170"/>
        <w:mirrorIndents/>
        <w:jc w:val="both"/>
        <w:rPr>
          <w:color w:val="auto"/>
          <w:spacing w:val="-3"/>
          <w:sz w:val="20"/>
          <w:szCs w:val="20"/>
        </w:rPr>
      </w:pPr>
      <w:r w:rsidRPr="000977F7">
        <w:rPr>
          <w:color w:val="auto"/>
          <w:sz w:val="20"/>
          <w:szCs w:val="20"/>
        </w:rPr>
        <w:t>ЗНАК</w:t>
      </w:r>
      <w:r w:rsidRPr="000977F7">
        <w:rPr>
          <w:color w:val="auto"/>
          <w:spacing w:val="-6"/>
          <w:sz w:val="20"/>
          <w:szCs w:val="20"/>
        </w:rPr>
        <w:t xml:space="preserve"> </w:t>
      </w:r>
      <w:r w:rsidRPr="000977F7">
        <w:rPr>
          <w:color w:val="auto"/>
          <w:sz w:val="20"/>
          <w:szCs w:val="20"/>
        </w:rPr>
        <w:t>ВІДПОВІДНОСТІ</w:t>
      </w:r>
      <w:r w:rsidRPr="000977F7">
        <w:rPr>
          <w:color w:val="auto"/>
          <w:spacing w:val="-6"/>
          <w:sz w:val="20"/>
          <w:szCs w:val="20"/>
        </w:rPr>
        <w:t xml:space="preserve"> </w:t>
      </w:r>
      <w:r w:rsidRPr="000977F7">
        <w:rPr>
          <w:color w:val="auto"/>
          <w:sz w:val="20"/>
          <w:szCs w:val="20"/>
        </w:rPr>
        <w:t>(В</w:t>
      </w:r>
      <w:r w:rsidRPr="000977F7">
        <w:rPr>
          <w:color w:val="auto"/>
          <w:spacing w:val="-5"/>
          <w:sz w:val="20"/>
          <w:szCs w:val="20"/>
        </w:rPr>
        <w:t xml:space="preserve"> </w:t>
      </w:r>
      <w:r w:rsidRPr="000977F7">
        <w:rPr>
          <w:color w:val="auto"/>
          <w:sz w:val="20"/>
          <w:szCs w:val="20"/>
        </w:rPr>
        <w:t>ГАЛУЗІ</w:t>
      </w:r>
      <w:r w:rsidRPr="000977F7">
        <w:rPr>
          <w:color w:val="auto"/>
          <w:spacing w:val="-3"/>
          <w:sz w:val="20"/>
          <w:szCs w:val="20"/>
        </w:rPr>
        <w:t xml:space="preserve"> </w:t>
      </w:r>
    </w:p>
    <w:p w14:paraId="3F5DB483"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СЕРТИФІ</w:t>
      </w:r>
      <w:r w:rsidRPr="000977F7">
        <w:rPr>
          <w:color w:val="auto"/>
          <w:spacing w:val="-47"/>
          <w:sz w:val="20"/>
          <w:szCs w:val="20"/>
        </w:rPr>
        <w:t xml:space="preserve"> </w:t>
      </w:r>
      <w:r w:rsidRPr="000977F7">
        <w:rPr>
          <w:color w:val="auto"/>
          <w:sz w:val="20"/>
          <w:szCs w:val="20"/>
        </w:rPr>
        <w:t xml:space="preserve">КАЦІЇ) </w:t>
      </w:r>
      <w:r w:rsidRPr="000977F7">
        <w:rPr>
          <w:b w:val="0"/>
          <w:color w:val="auto"/>
          <w:sz w:val="20"/>
          <w:szCs w:val="20"/>
        </w:rPr>
        <w:t>–</w:t>
      </w:r>
    </w:p>
    <w:p w14:paraId="08E2DB8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MARK</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CONFORMITY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(FOR</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CERTIFICATION)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020CD7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Захищений в установленому порядку знак, який використаний</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виданий</w:t>
      </w:r>
      <w:r w:rsidRPr="000977F7">
        <w:rPr>
          <w:rFonts w:asciiTheme="majorHAnsi" w:hAnsiTheme="majorHAnsi"/>
          <w:spacing w:val="1"/>
          <w:sz w:val="20"/>
          <w:szCs w:val="20"/>
        </w:rPr>
        <w:t xml:space="preserve"> </w:t>
      </w:r>
      <w:r w:rsidRPr="000977F7">
        <w:rPr>
          <w:rFonts w:asciiTheme="majorHAnsi" w:hAnsiTheme="majorHAnsi"/>
          <w:sz w:val="20"/>
          <w:szCs w:val="20"/>
        </w:rPr>
        <w:t>згідно</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правилами</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сертифікації, який вказує, що забезпечується необхідна впевненість у тому, що дана продукція, процес чи</w:t>
      </w:r>
      <w:r w:rsidRPr="000977F7">
        <w:rPr>
          <w:rFonts w:asciiTheme="majorHAnsi" w:hAnsiTheme="majorHAnsi"/>
          <w:spacing w:val="1"/>
          <w:sz w:val="20"/>
          <w:szCs w:val="20"/>
        </w:rPr>
        <w:t xml:space="preserve"> </w:t>
      </w:r>
      <w:r w:rsidRPr="000977F7">
        <w:rPr>
          <w:rFonts w:asciiTheme="majorHAnsi" w:hAnsiTheme="majorHAnsi"/>
          <w:sz w:val="20"/>
          <w:szCs w:val="20"/>
        </w:rPr>
        <w:t>послуга</w:t>
      </w:r>
      <w:r w:rsidRPr="000977F7">
        <w:rPr>
          <w:rFonts w:asciiTheme="majorHAnsi" w:hAnsiTheme="majorHAnsi"/>
          <w:spacing w:val="1"/>
          <w:sz w:val="20"/>
          <w:szCs w:val="20"/>
        </w:rPr>
        <w:t xml:space="preserve"> </w:t>
      </w:r>
      <w:r w:rsidRPr="000977F7">
        <w:rPr>
          <w:rFonts w:asciiTheme="majorHAnsi" w:hAnsiTheme="majorHAnsi"/>
          <w:sz w:val="20"/>
          <w:szCs w:val="20"/>
        </w:rPr>
        <w:t>відповідають</w:t>
      </w:r>
      <w:r w:rsidRPr="000977F7">
        <w:rPr>
          <w:rFonts w:asciiTheme="majorHAnsi" w:hAnsiTheme="majorHAnsi"/>
          <w:spacing w:val="1"/>
          <w:sz w:val="20"/>
          <w:szCs w:val="20"/>
        </w:rPr>
        <w:t xml:space="preserve"> </w:t>
      </w:r>
      <w:r w:rsidRPr="000977F7">
        <w:rPr>
          <w:rFonts w:asciiTheme="majorHAnsi" w:hAnsiTheme="majorHAnsi"/>
          <w:sz w:val="20"/>
          <w:szCs w:val="20"/>
        </w:rPr>
        <w:t>конкретному</w:t>
      </w:r>
      <w:r w:rsidRPr="000977F7">
        <w:rPr>
          <w:rFonts w:asciiTheme="majorHAnsi" w:hAnsiTheme="majorHAnsi"/>
          <w:spacing w:val="1"/>
          <w:sz w:val="20"/>
          <w:szCs w:val="20"/>
        </w:rPr>
        <w:t xml:space="preserve"> </w:t>
      </w:r>
      <w:r w:rsidRPr="000977F7">
        <w:rPr>
          <w:rFonts w:asciiTheme="majorHAnsi" w:hAnsiTheme="majorHAnsi"/>
          <w:sz w:val="20"/>
          <w:szCs w:val="20"/>
        </w:rPr>
        <w:t>стандартові</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іншому</w:t>
      </w:r>
      <w:r w:rsidRPr="000977F7">
        <w:rPr>
          <w:rFonts w:asciiTheme="majorHAnsi" w:hAnsiTheme="majorHAnsi"/>
          <w:spacing w:val="-5"/>
          <w:sz w:val="20"/>
          <w:szCs w:val="20"/>
        </w:rPr>
        <w:t xml:space="preserve"> </w:t>
      </w:r>
      <w:r w:rsidRPr="000977F7">
        <w:rPr>
          <w:rFonts w:asciiTheme="majorHAnsi" w:hAnsiTheme="majorHAnsi"/>
          <w:sz w:val="20"/>
          <w:szCs w:val="20"/>
        </w:rPr>
        <w:t>нормативному</w:t>
      </w:r>
      <w:r w:rsidRPr="000977F7">
        <w:rPr>
          <w:rFonts w:asciiTheme="majorHAnsi" w:hAnsiTheme="majorHAnsi"/>
          <w:spacing w:val="-1"/>
          <w:sz w:val="20"/>
          <w:szCs w:val="20"/>
        </w:rPr>
        <w:t xml:space="preserve"> </w:t>
      </w:r>
      <w:r w:rsidRPr="000977F7">
        <w:rPr>
          <w:rFonts w:asciiTheme="majorHAnsi" w:hAnsiTheme="majorHAnsi"/>
          <w:sz w:val="20"/>
          <w:szCs w:val="20"/>
        </w:rPr>
        <w:t>документу</w:t>
      </w:r>
    </w:p>
    <w:p w14:paraId="41AEADED"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ЗНАННЯ</w:t>
      </w:r>
      <w:r w:rsidRPr="000977F7">
        <w:rPr>
          <w:color w:val="auto"/>
          <w:spacing w:val="-4"/>
          <w:sz w:val="20"/>
          <w:szCs w:val="20"/>
        </w:rPr>
        <w:t xml:space="preserve"> </w:t>
      </w:r>
      <w:r w:rsidRPr="000977F7">
        <w:rPr>
          <w:color w:val="auto"/>
          <w:sz w:val="20"/>
          <w:szCs w:val="20"/>
        </w:rPr>
        <w:t>ОРГАНІЗАЦІЇ</w:t>
      </w:r>
      <w:r w:rsidRPr="000977F7">
        <w:rPr>
          <w:color w:val="auto"/>
          <w:spacing w:val="-2"/>
          <w:sz w:val="20"/>
          <w:szCs w:val="20"/>
        </w:rPr>
        <w:t xml:space="preserve"> </w:t>
      </w:r>
      <w:r w:rsidRPr="000977F7">
        <w:rPr>
          <w:b w:val="0"/>
          <w:color w:val="auto"/>
          <w:sz w:val="20"/>
          <w:szCs w:val="20"/>
        </w:rPr>
        <w:t>–</w:t>
      </w:r>
    </w:p>
    <w:p w14:paraId="65533E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визначити знання, необхідні для</w:t>
      </w:r>
      <w:r w:rsidRPr="000977F7">
        <w:rPr>
          <w:rFonts w:asciiTheme="majorHAnsi" w:hAnsiTheme="majorHAnsi"/>
          <w:spacing w:val="1"/>
          <w:sz w:val="20"/>
          <w:szCs w:val="20"/>
        </w:rPr>
        <w:t xml:space="preserve"> </w:t>
      </w:r>
      <w:r w:rsidRPr="000977F7">
        <w:rPr>
          <w:rFonts w:asciiTheme="majorHAnsi" w:hAnsiTheme="majorHAnsi"/>
          <w:sz w:val="20"/>
          <w:szCs w:val="20"/>
        </w:rPr>
        <w:t>функціювання її процесів і досягнення 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 послуг.</w:t>
      </w:r>
    </w:p>
    <w:p w14:paraId="4586515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Потрібно,</w:t>
      </w:r>
      <w:r w:rsidRPr="000977F7">
        <w:rPr>
          <w:rFonts w:asciiTheme="majorHAnsi" w:hAnsiTheme="majorHAnsi"/>
          <w:spacing w:val="1"/>
          <w:sz w:val="20"/>
          <w:szCs w:val="20"/>
        </w:rPr>
        <w:t xml:space="preserve"> </w:t>
      </w:r>
      <w:r w:rsidRPr="000977F7">
        <w:rPr>
          <w:rFonts w:asciiTheme="majorHAnsi" w:hAnsiTheme="majorHAnsi"/>
          <w:sz w:val="20"/>
          <w:szCs w:val="20"/>
        </w:rPr>
        <w:t>щоб</w:t>
      </w:r>
      <w:r w:rsidRPr="000977F7">
        <w:rPr>
          <w:rFonts w:asciiTheme="majorHAnsi" w:hAnsiTheme="majorHAnsi"/>
          <w:spacing w:val="1"/>
          <w:sz w:val="20"/>
          <w:szCs w:val="20"/>
        </w:rPr>
        <w:t xml:space="preserve"> </w:t>
      </w:r>
      <w:r w:rsidRPr="000977F7">
        <w:rPr>
          <w:rFonts w:asciiTheme="majorHAnsi" w:hAnsiTheme="majorHAnsi"/>
          <w:sz w:val="20"/>
          <w:szCs w:val="20"/>
        </w:rPr>
        <w:t>ці</w:t>
      </w:r>
      <w:r w:rsidRPr="000977F7">
        <w:rPr>
          <w:rFonts w:asciiTheme="majorHAnsi" w:hAnsiTheme="majorHAnsi"/>
          <w:spacing w:val="1"/>
          <w:sz w:val="20"/>
          <w:szCs w:val="20"/>
        </w:rPr>
        <w:t xml:space="preserve"> </w:t>
      </w:r>
      <w:r w:rsidRPr="000977F7">
        <w:rPr>
          <w:rFonts w:asciiTheme="majorHAnsi" w:hAnsiTheme="majorHAnsi"/>
          <w:sz w:val="20"/>
          <w:szCs w:val="20"/>
        </w:rPr>
        <w:t>знання</w:t>
      </w:r>
      <w:r w:rsidRPr="000977F7">
        <w:rPr>
          <w:rFonts w:asciiTheme="majorHAnsi" w:hAnsiTheme="majorHAnsi"/>
          <w:spacing w:val="1"/>
          <w:sz w:val="20"/>
          <w:szCs w:val="20"/>
        </w:rPr>
        <w:t xml:space="preserve"> </w:t>
      </w:r>
      <w:r w:rsidRPr="000977F7">
        <w:rPr>
          <w:rFonts w:asciiTheme="majorHAnsi" w:hAnsiTheme="majorHAnsi"/>
          <w:sz w:val="20"/>
          <w:szCs w:val="20"/>
        </w:rPr>
        <w:t>були</w:t>
      </w:r>
      <w:r w:rsidRPr="000977F7">
        <w:rPr>
          <w:rFonts w:asciiTheme="majorHAnsi" w:hAnsiTheme="majorHAnsi"/>
          <w:spacing w:val="1"/>
          <w:sz w:val="20"/>
          <w:szCs w:val="20"/>
        </w:rPr>
        <w:t xml:space="preserve"> </w:t>
      </w:r>
      <w:r w:rsidRPr="000977F7">
        <w:rPr>
          <w:rFonts w:asciiTheme="majorHAnsi" w:hAnsiTheme="majorHAnsi"/>
          <w:sz w:val="20"/>
          <w:szCs w:val="20"/>
        </w:rPr>
        <w:t>актуалізованими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доступними</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потрібному</w:t>
      </w:r>
      <w:r w:rsidRPr="000977F7">
        <w:rPr>
          <w:rFonts w:asciiTheme="majorHAnsi" w:hAnsiTheme="majorHAnsi"/>
          <w:spacing w:val="-4"/>
          <w:sz w:val="20"/>
          <w:szCs w:val="20"/>
        </w:rPr>
        <w:t xml:space="preserve"> </w:t>
      </w:r>
      <w:r w:rsidRPr="000977F7">
        <w:rPr>
          <w:rFonts w:asciiTheme="majorHAnsi" w:hAnsiTheme="majorHAnsi"/>
          <w:sz w:val="20"/>
          <w:szCs w:val="20"/>
        </w:rPr>
        <w:t>обсязі.</w:t>
      </w:r>
    </w:p>
    <w:p w14:paraId="4CEA77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Щоб реагувати на змінення потреб і тенденцій, організація повинна враховувати свої поточні знання та</w:t>
      </w:r>
      <w:r w:rsidRPr="000977F7">
        <w:rPr>
          <w:rFonts w:asciiTheme="majorHAnsi" w:hAnsiTheme="majorHAnsi"/>
          <w:spacing w:val="1"/>
          <w:sz w:val="20"/>
          <w:szCs w:val="20"/>
        </w:rPr>
        <w:t xml:space="preserve"> </w:t>
      </w:r>
      <w:r w:rsidRPr="000977F7">
        <w:rPr>
          <w:rFonts w:asciiTheme="majorHAnsi" w:hAnsiTheme="majorHAnsi"/>
          <w:sz w:val="20"/>
          <w:szCs w:val="20"/>
        </w:rPr>
        <w:t>визначити, як набувати будь-які необхідні додаткові</w:t>
      </w:r>
      <w:r w:rsidRPr="000977F7">
        <w:rPr>
          <w:rFonts w:asciiTheme="majorHAnsi" w:hAnsiTheme="majorHAnsi"/>
          <w:spacing w:val="1"/>
          <w:sz w:val="20"/>
          <w:szCs w:val="20"/>
        </w:rPr>
        <w:t xml:space="preserve"> </w:t>
      </w:r>
      <w:r w:rsidRPr="000977F7">
        <w:rPr>
          <w:rFonts w:asciiTheme="majorHAnsi" w:hAnsiTheme="majorHAnsi"/>
          <w:sz w:val="20"/>
          <w:szCs w:val="20"/>
        </w:rPr>
        <w:t>знання чи отримати доступ до них і потрібного оновлення.</w:t>
      </w:r>
    </w:p>
    <w:p w14:paraId="59E42E6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3"/>
          <w:sz w:val="20"/>
          <w:szCs w:val="20"/>
        </w:rPr>
        <w:t xml:space="preserve"> </w:t>
      </w:r>
      <w:r w:rsidRPr="000977F7">
        <w:rPr>
          <w:rFonts w:asciiTheme="majorHAnsi" w:hAnsiTheme="majorHAnsi"/>
          <w:sz w:val="20"/>
          <w:szCs w:val="20"/>
        </w:rPr>
        <w:t>р</w:t>
      </w:r>
      <w:r w:rsidRPr="000977F7">
        <w:rPr>
          <w:rFonts w:asciiTheme="majorHAnsi" w:hAnsiTheme="majorHAnsi"/>
          <w:spacing w:val="4"/>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5"/>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3"/>
          <w:sz w:val="20"/>
          <w:szCs w:val="20"/>
        </w:rPr>
        <w:t xml:space="preserve"> </w:t>
      </w:r>
      <w:r w:rsidRPr="000977F7">
        <w:rPr>
          <w:rFonts w:asciiTheme="majorHAnsi" w:hAnsiTheme="majorHAnsi"/>
          <w:sz w:val="20"/>
          <w:szCs w:val="20"/>
        </w:rPr>
        <w:t>к</w:t>
      </w:r>
      <w:r w:rsidRPr="000977F7">
        <w:rPr>
          <w:rFonts w:asciiTheme="majorHAnsi" w:hAnsiTheme="majorHAnsi"/>
          <w:spacing w:val="3"/>
          <w:sz w:val="20"/>
          <w:szCs w:val="20"/>
        </w:rPr>
        <w:t xml:space="preserve"> </w:t>
      </w:r>
      <w:r w:rsidRPr="000977F7">
        <w:rPr>
          <w:rFonts w:asciiTheme="majorHAnsi" w:hAnsiTheme="majorHAnsi"/>
          <w:sz w:val="20"/>
          <w:szCs w:val="20"/>
        </w:rPr>
        <w:t>а</w:t>
      </w:r>
      <w:r w:rsidRPr="000977F7">
        <w:rPr>
          <w:rFonts w:asciiTheme="majorHAnsi" w:hAnsiTheme="majorHAnsi"/>
          <w:spacing w:val="7"/>
          <w:sz w:val="20"/>
          <w:szCs w:val="20"/>
        </w:rPr>
        <w:t xml:space="preserve"> </w:t>
      </w:r>
      <w:r w:rsidRPr="000977F7">
        <w:rPr>
          <w:rFonts w:asciiTheme="majorHAnsi" w:hAnsiTheme="majorHAnsi"/>
          <w:sz w:val="20"/>
          <w:szCs w:val="20"/>
        </w:rPr>
        <w:t>1:</w:t>
      </w:r>
      <w:r w:rsidRPr="000977F7">
        <w:rPr>
          <w:rFonts w:asciiTheme="majorHAnsi" w:hAnsiTheme="majorHAnsi"/>
          <w:spacing w:val="3"/>
          <w:sz w:val="20"/>
          <w:szCs w:val="20"/>
        </w:rPr>
        <w:t xml:space="preserve"> </w:t>
      </w:r>
      <w:r w:rsidRPr="000977F7">
        <w:rPr>
          <w:rFonts w:asciiTheme="majorHAnsi" w:hAnsiTheme="majorHAnsi"/>
          <w:sz w:val="20"/>
          <w:szCs w:val="20"/>
        </w:rPr>
        <w:t>Знання</w:t>
      </w:r>
      <w:r w:rsidRPr="000977F7">
        <w:rPr>
          <w:rFonts w:asciiTheme="majorHAnsi" w:hAnsiTheme="majorHAnsi"/>
          <w:spacing w:val="2"/>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7"/>
          <w:sz w:val="20"/>
          <w:szCs w:val="20"/>
        </w:rPr>
        <w:t xml:space="preserve"> </w:t>
      </w:r>
      <w:r w:rsidRPr="000977F7">
        <w:rPr>
          <w:rFonts w:asciiTheme="majorHAnsi" w:hAnsiTheme="majorHAnsi"/>
          <w:sz w:val="20"/>
          <w:szCs w:val="20"/>
        </w:rPr>
        <w:t>–</w:t>
      </w:r>
      <w:r w:rsidRPr="000977F7">
        <w:rPr>
          <w:rFonts w:asciiTheme="majorHAnsi" w:hAnsiTheme="majorHAnsi"/>
          <w:spacing w:val="5"/>
          <w:sz w:val="20"/>
          <w:szCs w:val="20"/>
        </w:rPr>
        <w:t xml:space="preserve"> </w:t>
      </w:r>
      <w:r w:rsidRPr="000977F7">
        <w:rPr>
          <w:rFonts w:asciiTheme="majorHAnsi" w:hAnsiTheme="majorHAnsi"/>
          <w:sz w:val="20"/>
          <w:szCs w:val="20"/>
        </w:rPr>
        <w:t>це</w:t>
      </w:r>
      <w:r w:rsidRPr="000977F7">
        <w:rPr>
          <w:rFonts w:asciiTheme="majorHAnsi" w:hAnsiTheme="majorHAnsi"/>
          <w:spacing w:val="4"/>
          <w:sz w:val="20"/>
          <w:szCs w:val="20"/>
        </w:rPr>
        <w:t xml:space="preserve"> </w:t>
      </w:r>
      <w:r w:rsidRPr="000977F7">
        <w:rPr>
          <w:rFonts w:asciiTheme="majorHAnsi" w:hAnsiTheme="majorHAnsi"/>
          <w:sz w:val="20"/>
          <w:szCs w:val="20"/>
        </w:rPr>
        <w:t>знання,</w:t>
      </w:r>
      <w:r w:rsidRPr="000977F7">
        <w:rPr>
          <w:rFonts w:asciiTheme="majorHAnsi" w:hAnsiTheme="majorHAnsi"/>
          <w:spacing w:val="3"/>
          <w:sz w:val="20"/>
          <w:szCs w:val="20"/>
        </w:rPr>
        <w:t xml:space="preserve"> </w:t>
      </w:r>
      <w:r w:rsidRPr="000977F7">
        <w:rPr>
          <w:rFonts w:asciiTheme="majorHAnsi" w:hAnsiTheme="majorHAnsi"/>
          <w:sz w:val="20"/>
          <w:szCs w:val="20"/>
        </w:rPr>
        <w:t>специфічні</w:t>
      </w:r>
      <w:r w:rsidRPr="000977F7">
        <w:rPr>
          <w:rFonts w:asciiTheme="majorHAnsi" w:hAnsiTheme="majorHAnsi"/>
          <w:spacing w:val="27"/>
          <w:sz w:val="20"/>
          <w:szCs w:val="20"/>
        </w:rPr>
        <w:t xml:space="preserve"> </w:t>
      </w:r>
      <w:r w:rsidRPr="000977F7">
        <w:rPr>
          <w:rFonts w:asciiTheme="majorHAnsi" w:hAnsiTheme="majorHAnsi"/>
          <w:sz w:val="20"/>
          <w:szCs w:val="20"/>
        </w:rPr>
        <w:t>для</w:t>
      </w:r>
      <w:r w:rsidRPr="000977F7">
        <w:rPr>
          <w:rFonts w:asciiTheme="majorHAnsi" w:hAnsiTheme="majorHAnsi"/>
          <w:spacing w:val="26"/>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28"/>
          <w:sz w:val="20"/>
          <w:szCs w:val="20"/>
        </w:rPr>
        <w:t xml:space="preserve"> </w:t>
      </w:r>
      <w:r w:rsidRPr="000977F7">
        <w:rPr>
          <w:rFonts w:asciiTheme="majorHAnsi" w:hAnsiTheme="majorHAnsi"/>
          <w:sz w:val="20"/>
          <w:szCs w:val="20"/>
        </w:rPr>
        <w:t>їх</w:t>
      </w:r>
      <w:r w:rsidRPr="000977F7">
        <w:rPr>
          <w:rFonts w:asciiTheme="majorHAnsi" w:hAnsiTheme="majorHAnsi"/>
          <w:spacing w:val="28"/>
          <w:sz w:val="20"/>
          <w:szCs w:val="20"/>
        </w:rPr>
        <w:t xml:space="preserve"> </w:t>
      </w:r>
      <w:r w:rsidRPr="000977F7">
        <w:rPr>
          <w:rFonts w:asciiTheme="majorHAnsi" w:hAnsiTheme="majorHAnsi"/>
          <w:sz w:val="20"/>
          <w:szCs w:val="20"/>
        </w:rPr>
        <w:t>зазвичай</w:t>
      </w:r>
      <w:r w:rsidRPr="000977F7">
        <w:rPr>
          <w:rFonts w:asciiTheme="majorHAnsi" w:hAnsiTheme="majorHAnsi"/>
          <w:spacing w:val="27"/>
          <w:sz w:val="20"/>
          <w:szCs w:val="20"/>
        </w:rPr>
        <w:t xml:space="preserve"> </w:t>
      </w:r>
      <w:r w:rsidRPr="000977F7">
        <w:rPr>
          <w:rFonts w:asciiTheme="majorHAnsi" w:hAnsiTheme="majorHAnsi"/>
          <w:sz w:val="20"/>
          <w:szCs w:val="20"/>
        </w:rPr>
        <w:t>набувають</w:t>
      </w:r>
      <w:r w:rsidRPr="000977F7">
        <w:rPr>
          <w:rFonts w:asciiTheme="majorHAnsi" w:hAnsiTheme="majorHAnsi"/>
          <w:spacing w:val="27"/>
          <w:sz w:val="20"/>
          <w:szCs w:val="20"/>
        </w:rPr>
        <w:t xml:space="preserve"> </w:t>
      </w:r>
      <w:r w:rsidRPr="000977F7">
        <w:rPr>
          <w:rFonts w:asciiTheme="majorHAnsi" w:hAnsiTheme="majorHAnsi"/>
          <w:sz w:val="20"/>
          <w:szCs w:val="20"/>
        </w:rPr>
        <w:t>через</w:t>
      </w:r>
      <w:r w:rsidRPr="000977F7">
        <w:rPr>
          <w:rFonts w:asciiTheme="majorHAnsi" w:hAnsiTheme="majorHAnsi"/>
          <w:spacing w:val="-47"/>
          <w:sz w:val="20"/>
          <w:szCs w:val="20"/>
        </w:rPr>
        <w:t xml:space="preserve"> </w:t>
      </w:r>
      <w:r w:rsidRPr="000977F7">
        <w:rPr>
          <w:rFonts w:asciiTheme="majorHAnsi" w:hAnsiTheme="majorHAnsi"/>
          <w:sz w:val="20"/>
          <w:szCs w:val="20"/>
        </w:rPr>
        <w:t>досвід.</w:t>
      </w:r>
      <w:r w:rsidRPr="000977F7">
        <w:rPr>
          <w:rFonts w:asciiTheme="majorHAnsi" w:hAnsiTheme="majorHAnsi"/>
          <w:spacing w:val="9"/>
          <w:sz w:val="20"/>
          <w:szCs w:val="20"/>
        </w:rPr>
        <w:t xml:space="preserve"> </w:t>
      </w:r>
      <w:r w:rsidRPr="000977F7">
        <w:rPr>
          <w:rFonts w:asciiTheme="majorHAnsi" w:hAnsiTheme="majorHAnsi"/>
          <w:sz w:val="20"/>
          <w:szCs w:val="20"/>
        </w:rPr>
        <w:t>Йдеться</w:t>
      </w:r>
      <w:r w:rsidRPr="000977F7">
        <w:rPr>
          <w:rFonts w:asciiTheme="majorHAnsi" w:hAnsiTheme="majorHAnsi"/>
          <w:spacing w:val="12"/>
          <w:sz w:val="20"/>
          <w:szCs w:val="20"/>
        </w:rPr>
        <w:t xml:space="preserve"> </w:t>
      </w:r>
      <w:r w:rsidRPr="000977F7">
        <w:rPr>
          <w:rFonts w:asciiTheme="majorHAnsi" w:hAnsiTheme="majorHAnsi"/>
          <w:sz w:val="20"/>
          <w:szCs w:val="20"/>
        </w:rPr>
        <w:t>про</w:t>
      </w:r>
      <w:r w:rsidRPr="000977F7">
        <w:rPr>
          <w:rFonts w:asciiTheme="majorHAnsi" w:hAnsiTheme="majorHAnsi"/>
          <w:spacing w:val="10"/>
          <w:sz w:val="20"/>
          <w:szCs w:val="20"/>
        </w:rPr>
        <w:t xml:space="preserve"> </w:t>
      </w:r>
      <w:r w:rsidRPr="000977F7">
        <w:rPr>
          <w:rFonts w:asciiTheme="majorHAnsi" w:hAnsiTheme="majorHAnsi"/>
          <w:sz w:val="20"/>
          <w:szCs w:val="20"/>
        </w:rPr>
        <w:t>інформацію,</w:t>
      </w:r>
      <w:r w:rsidRPr="000977F7">
        <w:rPr>
          <w:rFonts w:asciiTheme="majorHAnsi" w:hAnsiTheme="majorHAnsi"/>
          <w:spacing w:val="11"/>
          <w:sz w:val="20"/>
          <w:szCs w:val="20"/>
        </w:rPr>
        <w:t xml:space="preserve"> </w:t>
      </w:r>
      <w:r w:rsidRPr="000977F7">
        <w:rPr>
          <w:rFonts w:asciiTheme="majorHAnsi" w:hAnsiTheme="majorHAnsi"/>
          <w:sz w:val="20"/>
          <w:szCs w:val="20"/>
        </w:rPr>
        <w:t>яку</w:t>
      </w:r>
      <w:r w:rsidRPr="000977F7">
        <w:rPr>
          <w:rFonts w:asciiTheme="majorHAnsi" w:hAnsiTheme="majorHAnsi"/>
          <w:spacing w:val="8"/>
          <w:sz w:val="20"/>
          <w:szCs w:val="20"/>
        </w:rPr>
        <w:t xml:space="preserve"> </w:t>
      </w:r>
      <w:r w:rsidRPr="000977F7">
        <w:rPr>
          <w:rFonts w:asciiTheme="majorHAnsi" w:hAnsiTheme="majorHAnsi"/>
          <w:sz w:val="20"/>
          <w:szCs w:val="20"/>
        </w:rPr>
        <w:t>використовують</w:t>
      </w:r>
      <w:r w:rsidRPr="000977F7">
        <w:rPr>
          <w:rFonts w:asciiTheme="majorHAnsi" w:hAnsiTheme="majorHAnsi"/>
          <w:spacing w:val="-47"/>
          <w:sz w:val="20"/>
          <w:szCs w:val="20"/>
        </w:rPr>
        <w:t xml:space="preserve"> </w:t>
      </w:r>
      <w:r w:rsidRPr="000977F7">
        <w:rPr>
          <w:rFonts w:asciiTheme="majorHAnsi" w:hAnsiTheme="majorHAnsi"/>
          <w:sz w:val="20"/>
          <w:szCs w:val="20"/>
        </w:rPr>
        <w:t>та якою обмінюються, щоб досягти цілей 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2"/>
          <w:sz w:val="20"/>
          <w:szCs w:val="20"/>
        </w:rPr>
        <w:t xml:space="preserve"> </w:t>
      </w:r>
      <w:r w:rsidRPr="000977F7">
        <w:rPr>
          <w:rFonts w:asciiTheme="majorHAnsi" w:hAnsiTheme="majorHAnsi"/>
          <w:sz w:val="20"/>
          <w:szCs w:val="20"/>
        </w:rPr>
        <w:t>и м</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3"/>
          <w:sz w:val="20"/>
          <w:szCs w:val="20"/>
        </w:rPr>
        <w:t xml:space="preserve"> </w:t>
      </w:r>
      <w:r w:rsidRPr="000977F7">
        <w:rPr>
          <w:rFonts w:asciiTheme="majorHAnsi" w:hAnsiTheme="majorHAnsi"/>
          <w:sz w:val="20"/>
          <w:szCs w:val="20"/>
        </w:rPr>
        <w:t>к а</w:t>
      </w:r>
      <w:r w:rsidRPr="000977F7">
        <w:rPr>
          <w:rFonts w:asciiTheme="majorHAnsi" w:hAnsiTheme="majorHAnsi"/>
          <w:spacing w:val="5"/>
          <w:sz w:val="20"/>
          <w:szCs w:val="20"/>
        </w:rPr>
        <w:t xml:space="preserve"> </w:t>
      </w:r>
      <w:r w:rsidRPr="000977F7">
        <w:rPr>
          <w:rFonts w:asciiTheme="majorHAnsi" w:hAnsiTheme="majorHAnsi"/>
          <w:sz w:val="20"/>
          <w:szCs w:val="20"/>
        </w:rPr>
        <w:t>2:</w:t>
      </w:r>
      <w:r w:rsidRPr="000977F7">
        <w:rPr>
          <w:rFonts w:asciiTheme="majorHAnsi" w:hAnsiTheme="majorHAnsi"/>
          <w:spacing w:val="8"/>
          <w:sz w:val="20"/>
          <w:szCs w:val="20"/>
        </w:rPr>
        <w:t xml:space="preserve"> </w:t>
      </w:r>
      <w:r w:rsidRPr="000977F7">
        <w:rPr>
          <w:rFonts w:asciiTheme="majorHAnsi" w:hAnsiTheme="majorHAnsi"/>
          <w:sz w:val="20"/>
          <w:szCs w:val="20"/>
        </w:rPr>
        <w:t>Основою</w:t>
      </w:r>
      <w:r w:rsidRPr="000977F7">
        <w:rPr>
          <w:rFonts w:asciiTheme="majorHAnsi" w:hAnsiTheme="majorHAnsi"/>
          <w:spacing w:val="1"/>
          <w:sz w:val="20"/>
          <w:szCs w:val="20"/>
        </w:rPr>
        <w:t xml:space="preserve"> </w:t>
      </w:r>
      <w:r w:rsidRPr="000977F7">
        <w:rPr>
          <w:rFonts w:asciiTheme="majorHAnsi" w:hAnsiTheme="majorHAnsi"/>
          <w:sz w:val="20"/>
          <w:szCs w:val="20"/>
        </w:rPr>
        <w:t>знань</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бути</w:t>
      </w:r>
    </w:p>
    <w:p w14:paraId="21D481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внутрішні</w:t>
      </w:r>
      <w:r w:rsidRPr="000977F7">
        <w:rPr>
          <w:rFonts w:asciiTheme="majorHAnsi" w:hAnsiTheme="majorHAnsi"/>
          <w:spacing w:val="1"/>
          <w:sz w:val="20"/>
          <w:szCs w:val="20"/>
        </w:rPr>
        <w:t xml:space="preserve"> </w:t>
      </w:r>
      <w:r w:rsidRPr="000977F7">
        <w:rPr>
          <w:rFonts w:asciiTheme="majorHAnsi" w:hAnsiTheme="majorHAnsi"/>
          <w:sz w:val="20"/>
          <w:szCs w:val="20"/>
        </w:rPr>
        <w:t>ресурси</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інтелектуальна</w:t>
      </w:r>
      <w:r w:rsidRPr="000977F7">
        <w:rPr>
          <w:rFonts w:asciiTheme="majorHAnsi" w:hAnsiTheme="majorHAnsi"/>
          <w:spacing w:val="1"/>
          <w:sz w:val="20"/>
          <w:szCs w:val="20"/>
        </w:rPr>
        <w:t xml:space="preserve"> </w:t>
      </w:r>
      <w:r w:rsidRPr="000977F7">
        <w:rPr>
          <w:rFonts w:asciiTheme="majorHAnsi" w:hAnsiTheme="majorHAnsi"/>
          <w:sz w:val="20"/>
          <w:szCs w:val="20"/>
        </w:rPr>
        <w:t>власність; знання, набуті через досвід; уроки, засвоєні</w:t>
      </w:r>
      <w:r w:rsidRPr="000977F7">
        <w:rPr>
          <w:rFonts w:asciiTheme="majorHAnsi" w:hAnsiTheme="majorHAnsi"/>
          <w:spacing w:val="-47"/>
          <w:sz w:val="20"/>
          <w:szCs w:val="20"/>
        </w:rPr>
        <w:t xml:space="preserve"> </w:t>
      </w:r>
      <w:r w:rsidRPr="000977F7">
        <w:rPr>
          <w:rFonts w:asciiTheme="majorHAnsi" w:hAnsiTheme="majorHAnsi"/>
          <w:sz w:val="20"/>
          <w:szCs w:val="20"/>
        </w:rPr>
        <w:t>з невдач і успішних проектів; здобуття та спільного</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47"/>
          <w:sz w:val="20"/>
          <w:szCs w:val="20"/>
        </w:rPr>
        <w:t xml:space="preserve"> </w:t>
      </w:r>
      <w:r w:rsidRPr="000977F7">
        <w:rPr>
          <w:rFonts w:asciiTheme="majorHAnsi" w:hAnsiTheme="majorHAnsi"/>
          <w:sz w:val="20"/>
          <w:szCs w:val="20"/>
        </w:rPr>
        <w:t>не</w:t>
      </w:r>
      <w:r w:rsidRPr="000977F7">
        <w:rPr>
          <w:rFonts w:asciiTheme="majorHAnsi" w:hAnsiTheme="majorHAnsi"/>
          <w:spacing w:val="47"/>
          <w:sz w:val="20"/>
          <w:szCs w:val="20"/>
        </w:rPr>
        <w:t xml:space="preserve"> </w:t>
      </w:r>
      <w:r w:rsidRPr="000977F7">
        <w:rPr>
          <w:rFonts w:asciiTheme="majorHAnsi" w:hAnsiTheme="majorHAnsi"/>
          <w:sz w:val="20"/>
          <w:szCs w:val="20"/>
        </w:rPr>
        <w:t>задокументованих</w:t>
      </w:r>
      <w:r w:rsidRPr="000977F7">
        <w:rPr>
          <w:rFonts w:asciiTheme="majorHAnsi" w:hAnsiTheme="majorHAnsi"/>
          <w:spacing w:val="45"/>
          <w:sz w:val="20"/>
          <w:szCs w:val="20"/>
        </w:rPr>
        <w:t xml:space="preserve"> </w:t>
      </w:r>
      <w:r w:rsidRPr="000977F7">
        <w:rPr>
          <w:rFonts w:asciiTheme="majorHAnsi" w:hAnsiTheme="majorHAnsi"/>
          <w:sz w:val="20"/>
          <w:szCs w:val="20"/>
        </w:rPr>
        <w:t>знань</w:t>
      </w:r>
      <w:r w:rsidRPr="000977F7">
        <w:rPr>
          <w:rFonts w:asciiTheme="majorHAnsi" w:hAnsiTheme="majorHAnsi"/>
          <w:spacing w:val="48"/>
          <w:sz w:val="20"/>
          <w:szCs w:val="20"/>
        </w:rPr>
        <w:t xml:space="preserve"> </w:t>
      </w:r>
      <w:r w:rsidRPr="000977F7">
        <w:rPr>
          <w:rFonts w:asciiTheme="majorHAnsi" w:hAnsiTheme="majorHAnsi"/>
          <w:sz w:val="20"/>
          <w:szCs w:val="20"/>
        </w:rPr>
        <w:t>і</w:t>
      </w:r>
      <w:r w:rsidRPr="000977F7">
        <w:rPr>
          <w:rFonts w:asciiTheme="majorHAnsi" w:hAnsiTheme="majorHAnsi"/>
          <w:spacing w:val="46"/>
          <w:sz w:val="20"/>
          <w:szCs w:val="20"/>
        </w:rPr>
        <w:t xml:space="preserve"> </w:t>
      </w:r>
      <w:r w:rsidRPr="000977F7">
        <w:rPr>
          <w:rFonts w:asciiTheme="majorHAnsi" w:hAnsiTheme="majorHAnsi"/>
          <w:sz w:val="20"/>
          <w:szCs w:val="20"/>
        </w:rPr>
        <w:t>досвіду;результати поліпшень у процесах, продукції та послугах);</w:t>
      </w:r>
    </w:p>
    <w:p w14:paraId="707FB16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 зовнішні ресурси (наприклад, стандарти, наукова</w:t>
      </w:r>
      <w:r w:rsidRPr="000977F7">
        <w:rPr>
          <w:rFonts w:asciiTheme="majorHAnsi" w:hAnsiTheme="majorHAnsi"/>
          <w:spacing w:val="1"/>
          <w:sz w:val="20"/>
          <w:szCs w:val="20"/>
        </w:rPr>
        <w:t xml:space="preserve"> </w:t>
      </w:r>
      <w:r w:rsidRPr="000977F7">
        <w:rPr>
          <w:rFonts w:asciiTheme="majorHAnsi" w:hAnsiTheme="majorHAnsi"/>
          <w:sz w:val="20"/>
          <w:szCs w:val="20"/>
        </w:rPr>
        <w:t>спільнота, конференції, отримання знань від замовників</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зовнішніх</w:t>
      </w:r>
      <w:r w:rsidRPr="000977F7">
        <w:rPr>
          <w:rFonts w:asciiTheme="majorHAnsi" w:hAnsiTheme="majorHAnsi"/>
          <w:spacing w:val="-2"/>
          <w:sz w:val="20"/>
          <w:szCs w:val="20"/>
        </w:rPr>
        <w:t xml:space="preserve"> </w:t>
      </w:r>
      <w:r w:rsidRPr="000977F7">
        <w:rPr>
          <w:rFonts w:asciiTheme="majorHAnsi" w:hAnsiTheme="majorHAnsi"/>
          <w:sz w:val="20"/>
          <w:szCs w:val="20"/>
        </w:rPr>
        <w:t>постачальників).</w:t>
      </w:r>
    </w:p>
    <w:p w14:paraId="6DC570F1"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ISO</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9001 - 2015</w:t>
      </w:r>
    </w:p>
    <w:p w14:paraId="4A8AB42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ЗНАЧЕННЯ</w:t>
      </w:r>
      <w:r w:rsidRPr="000977F7">
        <w:rPr>
          <w:color w:val="auto"/>
          <w:spacing w:val="-5"/>
          <w:sz w:val="20"/>
          <w:szCs w:val="20"/>
        </w:rPr>
        <w:t xml:space="preserve"> </w:t>
      </w:r>
      <w:r w:rsidRPr="000977F7">
        <w:rPr>
          <w:color w:val="auto"/>
          <w:sz w:val="20"/>
          <w:szCs w:val="20"/>
        </w:rPr>
        <w:t>ПАРАМЕТРА-</w:t>
      </w:r>
    </w:p>
    <w:p w14:paraId="462D231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VALUE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PARAMETER-</w:t>
      </w:r>
    </w:p>
    <w:p w14:paraId="4CA7FFA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Кількісна оцінка параметра, яка збігається із значенням</w:t>
      </w:r>
      <w:r w:rsidRPr="000977F7">
        <w:rPr>
          <w:rFonts w:asciiTheme="majorHAnsi" w:hAnsiTheme="majorHAnsi"/>
          <w:spacing w:val="-2"/>
          <w:sz w:val="20"/>
          <w:szCs w:val="20"/>
        </w:rPr>
        <w:t xml:space="preserve"> </w:t>
      </w:r>
      <w:r w:rsidRPr="000977F7">
        <w:rPr>
          <w:rFonts w:asciiTheme="majorHAnsi" w:hAnsiTheme="majorHAnsi"/>
          <w:sz w:val="20"/>
          <w:szCs w:val="20"/>
        </w:rPr>
        <w:t>фізичної</w:t>
      </w:r>
      <w:r w:rsidRPr="000977F7">
        <w:rPr>
          <w:rFonts w:asciiTheme="majorHAnsi" w:hAnsiTheme="majorHAnsi"/>
          <w:spacing w:val="-2"/>
          <w:sz w:val="20"/>
          <w:szCs w:val="20"/>
        </w:rPr>
        <w:t xml:space="preserve"> </w:t>
      </w:r>
      <w:r w:rsidRPr="000977F7">
        <w:rPr>
          <w:rFonts w:asciiTheme="majorHAnsi" w:hAnsiTheme="majorHAnsi"/>
          <w:sz w:val="20"/>
          <w:szCs w:val="20"/>
        </w:rPr>
        <w:t>величини,</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його характеризує</w:t>
      </w:r>
    </w:p>
    <w:p w14:paraId="64084C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D7B884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 фізичної величини відображається у вигляді</w:t>
      </w:r>
      <w:r w:rsidRPr="000977F7">
        <w:rPr>
          <w:rFonts w:asciiTheme="majorHAnsi" w:hAnsiTheme="majorHAnsi"/>
          <w:spacing w:val="-47"/>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числового</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позначенням</w:t>
      </w:r>
      <w:r w:rsidRPr="000977F7">
        <w:rPr>
          <w:rFonts w:asciiTheme="majorHAnsi" w:hAnsiTheme="majorHAnsi"/>
          <w:spacing w:val="1"/>
          <w:sz w:val="20"/>
          <w:szCs w:val="20"/>
        </w:rPr>
        <w:t xml:space="preserve"> </w:t>
      </w:r>
      <w:r w:rsidRPr="000977F7">
        <w:rPr>
          <w:rFonts w:asciiTheme="majorHAnsi" w:hAnsiTheme="majorHAnsi"/>
          <w:sz w:val="20"/>
          <w:szCs w:val="20"/>
        </w:rPr>
        <w:t>одиниці</w:t>
      </w:r>
      <w:r w:rsidRPr="000977F7">
        <w:rPr>
          <w:rFonts w:asciiTheme="majorHAnsi" w:hAnsiTheme="majorHAnsi"/>
          <w:spacing w:val="1"/>
          <w:sz w:val="20"/>
          <w:szCs w:val="20"/>
        </w:rPr>
        <w:t xml:space="preserve"> </w:t>
      </w:r>
      <w:r w:rsidRPr="000977F7">
        <w:rPr>
          <w:rFonts w:asciiTheme="majorHAnsi" w:hAnsiTheme="majorHAnsi"/>
          <w:sz w:val="20"/>
          <w:szCs w:val="20"/>
        </w:rPr>
        <w:t>цієї</w:t>
      </w:r>
      <w:r w:rsidRPr="000977F7">
        <w:rPr>
          <w:rFonts w:asciiTheme="majorHAnsi" w:hAnsiTheme="majorHAnsi"/>
          <w:spacing w:val="1"/>
          <w:sz w:val="20"/>
          <w:szCs w:val="20"/>
        </w:rPr>
        <w:t xml:space="preserve"> </w:t>
      </w:r>
      <w:r w:rsidRPr="000977F7">
        <w:rPr>
          <w:rFonts w:asciiTheme="majorHAnsi" w:hAnsiTheme="majorHAnsi"/>
          <w:sz w:val="20"/>
          <w:szCs w:val="20"/>
        </w:rPr>
        <w:t>фізичної</w:t>
      </w:r>
      <w:r w:rsidRPr="000977F7">
        <w:rPr>
          <w:rFonts w:asciiTheme="majorHAnsi" w:hAnsiTheme="majorHAnsi"/>
          <w:spacing w:val="-2"/>
          <w:sz w:val="20"/>
          <w:szCs w:val="20"/>
        </w:rPr>
        <w:t xml:space="preserve"> </w:t>
      </w:r>
      <w:r w:rsidRPr="000977F7">
        <w:rPr>
          <w:rFonts w:asciiTheme="majorHAnsi" w:hAnsiTheme="majorHAnsi"/>
          <w:sz w:val="20"/>
          <w:szCs w:val="20"/>
        </w:rPr>
        <w:t>величини</w:t>
      </w:r>
    </w:p>
    <w:p w14:paraId="7727A20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3956 - 2000</w:t>
      </w:r>
    </w:p>
    <w:p w14:paraId="46807E2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ЗНАЧЕННЯ</w:t>
      </w:r>
      <w:r w:rsidRPr="000977F7">
        <w:rPr>
          <w:color w:val="auto"/>
          <w:spacing w:val="-3"/>
          <w:sz w:val="20"/>
          <w:szCs w:val="20"/>
        </w:rPr>
        <w:t xml:space="preserve"> </w:t>
      </w:r>
      <w:r w:rsidRPr="000977F7">
        <w:rPr>
          <w:color w:val="auto"/>
          <w:sz w:val="20"/>
          <w:szCs w:val="20"/>
        </w:rPr>
        <w:t>ФІЗИЧНОЇ</w:t>
      </w:r>
      <w:r w:rsidRPr="000977F7">
        <w:rPr>
          <w:color w:val="auto"/>
          <w:spacing w:val="-4"/>
          <w:sz w:val="20"/>
          <w:szCs w:val="20"/>
        </w:rPr>
        <w:t xml:space="preserve"> </w:t>
      </w:r>
      <w:r w:rsidRPr="000977F7">
        <w:rPr>
          <w:color w:val="auto"/>
          <w:sz w:val="20"/>
          <w:szCs w:val="20"/>
        </w:rPr>
        <w:t>ВЕЛИЧИНИ-</w:t>
      </w:r>
    </w:p>
    <w:p w14:paraId="4A7559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VALUE</w:t>
      </w:r>
      <w:r w:rsidRPr="000977F7">
        <w:rPr>
          <w:rFonts w:asciiTheme="majorHAnsi" w:hAnsiTheme="majorHAnsi"/>
          <w:spacing w:val="-1"/>
          <w:sz w:val="20"/>
          <w:szCs w:val="20"/>
        </w:rPr>
        <w:t xml:space="preserve"> </w:t>
      </w:r>
      <w:r w:rsidRPr="000977F7">
        <w:rPr>
          <w:rFonts w:asciiTheme="majorHAnsi" w:hAnsiTheme="majorHAnsi"/>
          <w:sz w:val="20"/>
          <w:szCs w:val="20"/>
        </w:rPr>
        <w:t>OF</w:t>
      </w:r>
      <w:r w:rsidRPr="000977F7">
        <w:rPr>
          <w:rFonts w:asciiTheme="majorHAnsi" w:hAnsiTheme="majorHAnsi"/>
          <w:spacing w:val="-2"/>
          <w:sz w:val="20"/>
          <w:szCs w:val="20"/>
        </w:rPr>
        <w:t xml:space="preserve"> </w:t>
      </w:r>
      <w:r w:rsidRPr="000977F7">
        <w:rPr>
          <w:rFonts w:asciiTheme="majorHAnsi" w:hAnsiTheme="majorHAnsi"/>
          <w:sz w:val="20"/>
          <w:szCs w:val="20"/>
        </w:rPr>
        <w:t>QUANTITY-</w:t>
      </w:r>
    </w:p>
    <w:p w14:paraId="12FEB0D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Відображення фізичної величини у вигляді числового</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2"/>
          <w:sz w:val="20"/>
          <w:szCs w:val="20"/>
        </w:rPr>
        <w:t xml:space="preserve"> </w:t>
      </w:r>
      <w:r w:rsidRPr="000977F7">
        <w:rPr>
          <w:rFonts w:asciiTheme="majorHAnsi" w:hAnsiTheme="majorHAnsi"/>
          <w:sz w:val="20"/>
          <w:szCs w:val="20"/>
        </w:rPr>
        <w:t>величини</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позначенням</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одиниці</w:t>
      </w:r>
    </w:p>
    <w:p w14:paraId="4FD41F1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17BAC6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 слід використовувати словосполучення "вимірювання значення величини" тому, що значення величини</w:t>
      </w:r>
      <w:r w:rsidRPr="000977F7">
        <w:rPr>
          <w:rFonts w:asciiTheme="majorHAnsi" w:hAnsiTheme="majorHAnsi"/>
          <w:spacing w:val="-2"/>
          <w:sz w:val="20"/>
          <w:szCs w:val="20"/>
        </w:rPr>
        <w:t xml:space="preserve"> </w:t>
      </w:r>
      <w:r w:rsidRPr="000977F7">
        <w:rPr>
          <w:rFonts w:asciiTheme="majorHAnsi" w:hAnsiTheme="majorHAnsi"/>
          <w:sz w:val="20"/>
          <w:szCs w:val="20"/>
        </w:rPr>
        <w:t>–це</w:t>
      </w:r>
      <w:r w:rsidRPr="000977F7">
        <w:rPr>
          <w:rFonts w:asciiTheme="majorHAnsi" w:hAnsiTheme="majorHAnsi"/>
          <w:spacing w:val="-1"/>
          <w:sz w:val="20"/>
          <w:szCs w:val="20"/>
        </w:rPr>
        <w:t xml:space="preserve"> </w:t>
      </w:r>
      <w:r w:rsidRPr="000977F7">
        <w:rPr>
          <w:rFonts w:asciiTheme="majorHAnsi" w:hAnsiTheme="majorHAnsi"/>
          <w:sz w:val="20"/>
          <w:szCs w:val="20"/>
        </w:rPr>
        <w:t>результат</w:t>
      </w:r>
      <w:r w:rsidRPr="000977F7">
        <w:rPr>
          <w:rFonts w:asciiTheme="majorHAnsi" w:hAnsiTheme="majorHAnsi"/>
          <w:spacing w:val="-2"/>
          <w:sz w:val="20"/>
          <w:szCs w:val="20"/>
        </w:rPr>
        <w:t xml:space="preserve"> </w:t>
      </w:r>
      <w:r w:rsidRPr="000977F7">
        <w:rPr>
          <w:rFonts w:asciiTheme="majorHAnsi" w:hAnsiTheme="majorHAnsi"/>
          <w:sz w:val="20"/>
          <w:szCs w:val="20"/>
        </w:rPr>
        <w:t>закінченого вимірювання</w:t>
      </w:r>
    </w:p>
    <w:p w14:paraId="735909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Приклад:</w:t>
      </w:r>
    </w:p>
    <w:p w14:paraId="39D7B9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1.</w:t>
      </w:r>
      <w:r w:rsidRPr="000977F7">
        <w:rPr>
          <w:rFonts w:asciiTheme="majorHAnsi" w:hAnsiTheme="majorHAnsi"/>
          <w:spacing w:val="48"/>
          <w:sz w:val="20"/>
          <w:szCs w:val="20"/>
        </w:rPr>
        <w:t xml:space="preserve"> </w:t>
      </w:r>
      <w:r w:rsidRPr="000977F7">
        <w:rPr>
          <w:rFonts w:asciiTheme="majorHAnsi" w:hAnsiTheme="majorHAnsi"/>
          <w:sz w:val="20"/>
          <w:szCs w:val="20"/>
        </w:rPr>
        <w:t>15м</w:t>
      </w:r>
    </w:p>
    <w:p w14:paraId="23E331D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2.</w:t>
      </w:r>
      <w:r w:rsidRPr="000977F7">
        <w:rPr>
          <w:rFonts w:asciiTheme="majorHAnsi" w:hAnsiTheme="majorHAnsi"/>
          <w:spacing w:val="49"/>
          <w:sz w:val="20"/>
          <w:szCs w:val="20"/>
        </w:rPr>
        <w:t xml:space="preserve"> </w:t>
      </w:r>
      <w:r w:rsidRPr="000977F7">
        <w:rPr>
          <w:rFonts w:asciiTheme="majorHAnsi" w:hAnsiTheme="majorHAnsi"/>
          <w:sz w:val="20"/>
          <w:szCs w:val="20"/>
        </w:rPr>
        <w:t>112м</w:t>
      </w:r>
    </w:p>
    <w:p w14:paraId="5DFAEFB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2681 - 84</w:t>
      </w:r>
    </w:p>
    <w:p w14:paraId="7ECA788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ЗНЕВУГЛЕЦЬОВАНИЙ</w:t>
      </w:r>
      <w:r w:rsidRPr="000977F7">
        <w:rPr>
          <w:color w:val="auto"/>
          <w:spacing w:val="-4"/>
          <w:sz w:val="20"/>
          <w:szCs w:val="20"/>
        </w:rPr>
        <w:t xml:space="preserve"> </w:t>
      </w:r>
      <w:r w:rsidRPr="000977F7">
        <w:rPr>
          <w:color w:val="auto"/>
          <w:sz w:val="20"/>
          <w:szCs w:val="20"/>
        </w:rPr>
        <w:t>ШАР</w:t>
      </w:r>
      <w:r w:rsidRPr="000977F7">
        <w:rPr>
          <w:color w:val="auto"/>
          <w:spacing w:val="-2"/>
          <w:sz w:val="20"/>
          <w:szCs w:val="20"/>
        </w:rPr>
        <w:t xml:space="preserve"> </w:t>
      </w:r>
      <w:r w:rsidRPr="000977F7">
        <w:rPr>
          <w:color w:val="auto"/>
          <w:sz w:val="20"/>
          <w:szCs w:val="20"/>
        </w:rPr>
        <w:t>—</w:t>
      </w:r>
    </w:p>
    <w:p w14:paraId="387E85F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Поверхневий шар сталі або чавуну, що частково (або</w:t>
      </w:r>
      <w:r w:rsidRPr="000977F7">
        <w:rPr>
          <w:rFonts w:asciiTheme="majorHAnsi" w:hAnsiTheme="majorHAnsi"/>
          <w:spacing w:val="1"/>
          <w:sz w:val="20"/>
          <w:szCs w:val="20"/>
        </w:rPr>
        <w:t xml:space="preserve"> </w:t>
      </w:r>
      <w:r w:rsidRPr="000977F7">
        <w:rPr>
          <w:rFonts w:asciiTheme="majorHAnsi" w:hAnsiTheme="majorHAnsi"/>
          <w:sz w:val="20"/>
          <w:szCs w:val="20"/>
        </w:rPr>
        <w:t>повністю) втратив вуглець через взаємодію з корозивним середовищем</w:t>
      </w:r>
    </w:p>
    <w:p w14:paraId="68E74EE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0CCA771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ЗНЕЦИНКОВУВАННЯ</w:t>
      </w:r>
      <w:r w:rsidRPr="000977F7">
        <w:rPr>
          <w:color w:val="auto"/>
          <w:spacing w:val="-5"/>
          <w:sz w:val="20"/>
          <w:szCs w:val="20"/>
        </w:rPr>
        <w:t xml:space="preserve"> </w:t>
      </w:r>
      <w:r w:rsidRPr="000977F7">
        <w:rPr>
          <w:color w:val="auto"/>
          <w:sz w:val="20"/>
          <w:szCs w:val="20"/>
        </w:rPr>
        <w:t>ЛАТУНІ</w:t>
      </w:r>
      <w:r w:rsidRPr="000977F7">
        <w:rPr>
          <w:color w:val="auto"/>
          <w:spacing w:val="-6"/>
          <w:sz w:val="20"/>
          <w:szCs w:val="20"/>
        </w:rPr>
        <w:t xml:space="preserve"> </w:t>
      </w:r>
      <w:r w:rsidRPr="000977F7">
        <w:rPr>
          <w:color w:val="auto"/>
          <w:sz w:val="20"/>
          <w:szCs w:val="20"/>
        </w:rPr>
        <w:t>–</w:t>
      </w:r>
    </w:p>
    <w:p w14:paraId="4E4692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DEZINCONISATION</w:t>
      </w:r>
      <w:r w:rsidRPr="000977F7">
        <w:rPr>
          <w:rFonts w:asciiTheme="majorHAnsi" w:hAnsiTheme="majorHAnsi"/>
          <w:spacing w:val="-2"/>
          <w:sz w:val="20"/>
          <w:szCs w:val="20"/>
        </w:rPr>
        <w:t xml:space="preserve"> </w:t>
      </w:r>
      <w:r w:rsidRPr="000977F7">
        <w:rPr>
          <w:rFonts w:asciiTheme="majorHAnsi" w:hAnsiTheme="majorHAnsi"/>
          <w:sz w:val="20"/>
          <w:szCs w:val="20"/>
        </w:rPr>
        <w:t>OF</w:t>
      </w:r>
      <w:r w:rsidRPr="000977F7">
        <w:rPr>
          <w:rFonts w:asciiTheme="majorHAnsi" w:hAnsiTheme="majorHAnsi"/>
          <w:spacing w:val="-3"/>
          <w:sz w:val="20"/>
          <w:szCs w:val="20"/>
        </w:rPr>
        <w:t xml:space="preserve"> </w:t>
      </w:r>
      <w:r w:rsidRPr="000977F7">
        <w:rPr>
          <w:rFonts w:asciiTheme="majorHAnsi" w:hAnsiTheme="majorHAnsi"/>
          <w:sz w:val="20"/>
          <w:szCs w:val="20"/>
        </w:rPr>
        <w:t>BRASS –</w:t>
      </w:r>
    </w:p>
    <w:p w14:paraId="0479C0B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Вибіркова</w:t>
      </w:r>
      <w:r w:rsidRPr="000977F7">
        <w:rPr>
          <w:rFonts w:asciiTheme="majorHAnsi" w:hAnsiTheme="majorHAnsi"/>
          <w:spacing w:val="1"/>
          <w:sz w:val="20"/>
          <w:szCs w:val="20"/>
        </w:rPr>
        <w:t xml:space="preserve"> </w:t>
      </w:r>
      <w:r w:rsidRPr="000977F7">
        <w:rPr>
          <w:rFonts w:asciiTheme="majorHAnsi" w:hAnsiTheme="majorHAnsi"/>
          <w:sz w:val="20"/>
          <w:szCs w:val="20"/>
        </w:rPr>
        <w:t>корозія</w:t>
      </w:r>
      <w:r w:rsidRPr="000977F7">
        <w:rPr>
          <w:rFonts w:asciiTheme="majorHAnsi" w:hAnsiTheme="majorHAnsi"/>
          <w:spacing w:val="1"/>
          <w:sz w:val="20"/>
          <w:szCs w:val="20"/>
        </w:rPr>
        <w:t xml:space="preserve"> </w:t>
      </w:r>
      <w:r w:rsidRPr="000977F7">
        <w:rPr>
          <w:rFonts w:asciiTheme="majorHAnsi" w:hAnsiTheme="majorHAnsi"/>
          <w:sz w:val="20"/>
          <w:szCs w:val="20"/>
        </w:rPr>
        <w:t>латуні,</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викликає</w:t>
      </w:r>
      <w:r w:rsidRPr="000977F7">
        <w:rPr>
          <w:rFonts w:asciiTheme="majorHAnsi" w:hAnsiTheme="majorHAnsi"/>
          <w:spacing w:val="1"/>
          <w:sz w:val="20"/>
          <w:szCs w:val="20"/>
        </w:rPr>
        <w:t xml:space="preserve"> </w:t>
      </w:r>
      <w:r w:rsidRPr="000977F7">
        <w:rPr>
          <w:rFonts w:asciiTheme="majorHAnsi" w:hAnsiTheme="majorHAnsi"/>
          <w:sz w:val="20"/>
          <w:szCs w:val="20"/>
        </w:rPr>
        <w:t>збіднення</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47"/>
          <w:sz w:val="20"/>
          <w:szCs w:val="20"/>
        </w:rPr>
        <w:t xml:space="preserve"> </w:t>
      </w:r>
      <w:r w:rsidRPr="000977F7">
        <w:rPr>
          <w:rFonts w:asciiTheme="majorHAnsi" w:hAnsiTheme="majorHAnsi"/>
          <w:sz w:val="20"/>
          <w:szCs w:val="20"/>
        </w:rPr>
        <w:t>цинком та утворення на поверхні губчастого мідного</w:t>
      </w:r>
      <w:r w:rsidRPr="000977F7">
        <w:rPr>
          <w:rFonts w:asciiTheme="majorHAnsi" w:hAnsiTheme="majorHAnsi"/>
          <w:spacing w:val="1"/>
          <w:sz w:val="20"/>
          <w:szCs w:val="20"/>
        </w:rPr>
        <w:t xml:space="preserve"> </w:t>
      </w:r>
      <w:r w:rsidRPr="000977F7">
        <w:rPr>
          <w:rFonts w:asciiTheme="majorHAnsi" w:hAnsiTheme="majorHAnsi"/>
          <w:sz w:val="20"/>
          <w:szCs w:val="20"/>
        </w:rPr>
        <w:t>осаду</w:t>
      </w:r>
    </w:p>
    <w:p w14:paraId="4DE255CA"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3830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98</w:t>
      </w:r>
    </w:p>
    <w:p w14:paraId="7F01FA2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ЗМІННА</w:t>
      </w:r>
      <w:r w:rsidRPr="000977F7">
        <w:rPr>
          <w:color w:val="auto"/>
          <w:spacing w:val="-3"/>
          <w:sz w:val="20"/>
          <w:szCs w:val="20"/>
        </w:rPr>
        <w:t xml:space="preserve"> </w:t>
      </w:r>
      <w:r w:rsidRPr="000977F7">
        <w:rPr>
          <w:color w:val="auto"/>
          <w:sz w:val="20"/>
          <w:szCs w:val="20"/>
        </w:rPr>
        <w:t>ДІЄВА</w:t>
      </w:r>
      <w:r w:rsidRPr="000977F7">
        <w:rPr>
          <w:color w:val="auto"/>
          <w:spacing w:val="-3"/>
          <w:sz w:val="20"/>
          <w:szCs w:val="20"/>
        </w:rPr>
        <w:t xml:space="preserve"> </w:t>
      </w:r>
      <w:r w:rsidRPr="000977F7">
        <w:rPr>
          <w:color w:val="auto"/>
          <w:sz w:val="20"/>
          <w:szCs w:val="20"/>
        </w:rPr>
        <w:t>ВЕЛИЧИНА-</w:t>
      </w:r>
    </w:p>
    <w:p w14:paraId="09E686D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CHANGABLE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ACTING</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VALUE-</w:t>
      </w:r>
    </w:p>
    <w:p w14:paraId="6BD04D8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Дієва величина, усереднене значення якої визначене</w:t>
      </w:r>
      <w:r w:rsidRPr="000977F7">
        <w:rPr>
          <w:rFonts w:asciiTheme="majorHAnsi" w:hAnsiTheme="majorHAnsi"/>
          <w:spacing w:val="1"/>
          <w:sz w:val="20"/>
          <w:szCs w:val="20"/>
        </w:rPr>
        <w:t xml:space="preserve"> </w:t>
      </w:r>
      <w:r w:rsidRPr="000977F7">
        <w:rPr>
          <w:rFonts w:asciiTheme="majorHAnsi" w:hAnsiTheme="majorHAnsi"/>
          <w:sz w:val="20"/>
          <w:szCs w:val="20"/>
        </w:rPr>
        <w:t>згідно з деяким правилом на заданому часовому інтервалі,</w:t>
      </w:r>
      <w:r w:rsidRPr="000977F7">
        <w:rPr>
          <w:rFonts w:asciiTheme="majorHAnsi" w:hAnsiTheme="majorHAnsi"/>
          <w:spacing w:val="1"/>
          <w:sz w:val="20"/>
          <w:szCs w:val="20"/>
        </w:rPr>
        <w:t xml:space="preserve"> </w:t>
      </w:r>
      <w:r w:rsidRPr="000977F7">
        <w:rPr>
          <w:rFonts w:asciiTheme="majorHAnsi" w:hAnsiTheme="majorHAnsi"/>
          <w:sz w:val="20"/>
          <w:szCs w:val="20"/>
        </w:rPr>
        <w:t>набуває</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характеристики</w:t>
      </w:r>
      <w:r w:rsidRPr="000977F7">
        <w:rPr>
          <w:rFonts w:asciiTheme="majorHAnsi" w:hAnsiTheme="majorHAnsi"/>
          <w:spacing w:val="1"/>
          <w:sz w:val="20"/>
          <w:szCs w:val="20"/>
        </w:rPr>
        <w:t xml:space="preserve"> </w:t>
      </w:r>
      <w:r w:rsidRPr="000977F7">
        <w:rPr>
          <w:rFonts w:asciiTheme="majorHAnsi" w:hAnsiTheme="majorHAnsi"/>
          <w:sz w:val="20"/>
          <w:szCs w:val="20"/>
        </w:rPr>
        <w:t>діяння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всіх</w:t>
      </w:r>
      <w:r w:rsidRPr="000977F7">
        <w:rPr>
          <w:rFonts w:asciiTheme="majorHAnsi" w:hAnsiTheme="majorHAnsi"/>
          <w:spacing w:val="-3"/>
          <w:sz w:val="20"/>
          <w:szCs w:val="20"/>
        </w:rPr>
        <w:t xml:space="preserve"> </w:t>
      </w:r>
      <w:r w:rsidRPr="000977F7">
        <w:rPr>
          <w:rFonts w:asciiTheme="majorHAnsi" w:hAnsiTheme="majorHAnsi"/>
          <w:sz w:val="20"/>
          <w:szCs w:val="20"/>
        </w:rPr>
        <w:t>моментів</w:t>
      </w:r>
      <w:r w:rsidRPr="000977F7">
        <w:rPr>
          <w:rFonts w:asciiTheme="majorHAnsi" w:hAnsiTheme="majorHAnsi"/>
          <w:spacing w:val="1"/>
          <w:sz w:val="20"/>
          <w:szCs w:val="20"/>
        </w:rPr>
        <w:t xml:space="preserve"> </w:t>
      </w:r>
      <w:r w:rsidRPr="000977F7">
        <w:rPr>
          <w:rFonts w:asciiTheme="majorHAnsi" w:hAnsiTheme="majorHAnsi"/>
          <w:sz w:val="20"/>
          <w:szCs w:val="20"/>
        </w:rPr>
        <w:t>усередині</w:t>
      </w:r>
      <w:r w:rsidRPr="000977F7">
        <w:rPr>
          <w:rFonts w:asciiTheme="majorHAnsi" w:hAnsiTheme="majorHAnsi"/>
          <w:spacing w:val="-1"/>
          <w:sz w:val="20"/>
          <w:szCs w:val="20"/>
        </w:rPr>
        <w:t xml:space="preserve"> </w:t>
      </w:r>
      <w:r w:rsidRPr="000977F7">
        <w:rPr>
          <w:rFonts w:asciiTheme="majorHAnsi" w:hAnsiTheme="majorHAnsi"/>
          <w:sz w:val="20"/>
          <w:szCs w:val="20"/>
        </w:rPr>
        <w:t>цього інтервалу</w:t>
      </w:r>
    </w:p>
    <w:p w14:paraId="313C442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700FB13B" w14:textId="77777777" w:rsidR="0097612F" w:rsidRPr="000977F7" w:rsidRDefault="0097612F" w:rsidP="00FD39A4">
      <w:pPr>
        <w:pStyle w:val="ac"/>
        <w:widowControl w:val="0"/>
        <w:numPr>
          <w:ilvl w:val="0"/>
          <w:numId w:val="173"/>
        </w:numPr>
        <w:tabs>
          <w:tab w:val="left" w:pos="284"/>
          <w:tab w:val="left" w:pos="53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Такими величинами є, наприклад, частота обертання, імпульс сили, напруга змінного струму, інтенсивність</w:t>
      </w:r>
      <w:r w:rsidRPr="000977F7">
        <w:rPr>
          <w:rFonts w:asciiTheme="majorHAnsi" w:hAnsiTheme="majorHAnsi"/>
          <w:spacing w:val="-2"/>
          <w:sz w:val="20"/>
          <w:szCs w:val="20"/>
        </w:rPr>
        <w:t xml:space="preserve"> </w:t>
      </w:r>
      <w:r w:rsidRPr="000977F7">
        <w:rPr>
          <w:rFonts w:asciiTheme="majorHAnsi" w:hAnsiTheme="majorHAnsi"/>
          <w:sz w:val="20"/>
          <w:szCs w:val="20"/>
        </w:rPr>
        <w:t>звуку</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250F2A8F" w14:textId="77777777" w:rsidR="0097612F" w:rsidRPr="000977F7" w:rsidRDefault="0097612F" w:rsidP="00FD39A4">
      <w:pPr>
        <w:pStyle w:val="ac"/>
        <w:widowControl w:val="0"/>
        <w:numPr>
          <w:ilvl w:val="0"/>
          <w:numId w:val="173"/>
        </w:numPr>
        <w:tabs>
          <w:tab w:val="left" w:pos="284"/>
          <w:tab w:val="left" w:pos="547"/>
        </w:tabs>
        <w:autoSpaceDE w:val="0"/>
        <w:autoSpaceDN w:val="0"/>
        <w:spacing w:after="0" w:line="240" w:lineRule="auto"/>
        <w:ind w:left="170" w:firstLine="0"/>
        <w:contextualSpacing w:val="0"/>
        <w:mirrorIndents/>
        <w:jc w:val="both"/>
        <w:rPr>
          <w:rFonts w:asciiTheme="majorHAnsi" w:hAnsiTheme="majorHAnsi"/>
          <w:i/>
          <w:sz w:val="20"/>
          <w:szCs w:val="20"/>
        </w:rPr>
      </w:pPr>
      <w:r w:rsidRPr="000977F7">
        <w:rPr>
          <w:rFonts w:asciiTheme="majorHAnsi" w:hAnsiTheme="majorHAnsi"/>
          <w:sz w:val="20"/>
          <w:szCs w:val="20"/>
        </w:rPr>
        <w:t>Змінна</w:t>
      </w:r>
      <w:r w:rsidRPr="000977F7">
        <w:rPr>
          <w:rFonts w:asciiTheme="majorHAnsi" w:hAnsiTheme="majorHAnsi"/>
          <w:spacing w:val="7"/>
          <w:sz w:val="20"/>
          <w:szCs w:val="20"/>
        </w:rPr>
        <w:t xml:space="preserve"> </w:t>
      </w:r>
      <w:r w:rsidRPr="000977F7">
        <w:rPr>
          <w:rFonts w:asciiTheme="majorHAnsi" w:hAnsiTheme="majorHAnsi"/>
          <w:sz w:val="20"/>
          <w:szCs w:val="20"/>
        </w:rPr>
        <w:t>дієва</w:t>
      </w:r>
      <w:r w:rsidRPr="000977F7">
        <w:rPr>
          <w:rFonts w:asciiTheme="majorHAnsi" w:hAnsiTheme="majorHAnsi"/>
          <w:spacing w:val="5"/>
          <w:sz w:val="20"/>
          <w:szCs w:val="20"/>
        </w:rPr>
        <w:t xml:space="preserve"> </w:t>
      </w:r>
      <w:r w:rsidRPr="000977F7">
        <w:rPr>
          <w:rFonts w:asciiTheme="majorHAnsi" w:hAnsiTheme="majorHAnsi"/>
          <w:sz w:val="20"/>
          <w:szCs w:val="20"/>
        </w:rPr>
        <w:t>величина</w:t>
      </w:r>
      <w:r w:rsidRPr="000977F7">
        <w:rPr>
          <w:rFonts w:asciiTheme="majorHAnsi" w:hAnsiTheme="majorHAnsi"/>
          <w:spacing w:val="5"/>
          <w:sz w:val="20"/>
          <w:szCs w:val="20"/>
        </w:rPr>
        <w:t xml:space="preserve"> </w:t>
      </w:r>
      <w:r w:rsidRPr="000977F7">
        <w:rPr>
          <w:rFonts w:asciiTheme="majorHAnsi" w:hAnsiTheme="majorHAnsi"/>
          <w:sz w:val="20"/>
          <w:szCs w:val="20"/>
        </w:rPr>
        <w:t>може</w:t>
      </w:r>
      <w:r w:rsidRPr="000977F7">
        <w:rPr>
          <w:rFonts w:asciiTheme="majorHAnsi" w:hAnsiTheme="majorHAnsi"/>
          <w:spacing w:val="8"/>
          <w:sz w:val="20"/>
          <w:szCs w:val="20"/>
        </w:rPr>
        <w:t xml:space="preserve"> </w:t>
      </w:r>
      <w:r w:rsidRPr="000977F7">
        <w:rPr>
          <w:rFonts w:asciiTheme="majorHAnsi" w:hAnsiTheme="majorHAnsi"/>
          <w:sz w:val="20"/>
          <w:szCs w:val="20"/>
        </w:rPr>
        <w:t>кількісно</w:t>
      </w:r>
      <w:r w:rsidRPr="000977F7">
        <w:rPr>
          <w:rFonts w:asciiTheme="majorHAnsi" w:hAnsiTheme="majorHAnsi"/>
          <w:spacing w:val="7"/>
          <w:sz w:val="20"/>
          <w:szCs w:val="20"/>
        </w:rPr>
        <w:t xml:space="preserve"> </w:t>
      </w:r>
      <w:r w:rsidRPr="000977F7">
        <w:rPr>
          <w:rFonts w:asciiTheme="majorHAnsi" w:hAnsiTheme="majorHAnsi"/>
          <w:sz w:val="20"/>
          <w:szCs w:val="20"/>
        </w:rPr>
        <w:t>характеризуватись ефективним, амплітудним або середнім значен</w:t>
      </w:r>
      <w:r w:rsidRPr="000977F7">
        <w:rPr>
          <w:rFonts w:asciiTheme="majorHAnsi" w:hAnsiTheme="majorHAnsi"/>
          <w:spacing w:val="-47"/>
          <w:sz w:val="20"/>
          <w:szCs w:val="20"/>
        </w:rPr>
        <w:t xml:space="preserve"> </w:t>
      </w:r>
      <w:r w:rsidRPr="000977F7">
        <w:rPr>
          <w:rFonts w:asciiTheme="majorHAnsi" w:hAnsiTheme="majorHAnsi"/>
          <w:sz w:val="20"/>
          <w:szCs w:val="20"/>
        </w:rPr>
        <w:t>ням, які визначаються на інтервалі, що дорівнює пері</w:t>
      </w:r>
      <w:r w:rsidRPr="000977F7">
        <w:rPr>
          <w:rFonts w:asciiTheme="majorHAnsi" w:hAnsiTheme="majorHAnsi"/>
          <w:spacing w:val="-2"/>
          <w:sz w:val="20"/>
          <w:szCs w:val="20"/>
        </w:rPr>
        <w:t>оду</w:t>
      </w:r>
      <w:r w:rsidRPr="000977F7">
        <w:rPr>
          <w:rFonts w:asciiTheme="majorHAnsi" w:hAnsiTheme="majorHAnsi"/>
          <w:spacing w:val="-11"/>
          <w:sz w:val="20"/>
          <w:szCs w:val="20"/>
        </w:rPr>
        <w:t xml:space="preserve"> </w:t>
      </w:r>
      <w:r w:rsidRPr="000977F7">
        <w:rPr>
          <w:rFonts w:asciiTheme="majorHAnsi" w:hAnsiTheme="majorHAnsi"/>
          <w:spacing w:val="-2"/>
          <w:sz w:val="20"/>
          <w:szCs w:val="20"/>
        </w:rPr>
        <w:t>або половині</w:t>
      </w:r>
      <w:r w:rsidRPr="000977F7">
        <w:rPr>
          <w:rFonts w:asciiTheme="majorHAnsi" w:hAnsiTheme="majorHAnsi"/>
          <w:spacing w:val="-7"/>
          <w:sz w:val="20"/>
          <w:szCs w:val="20"/>
        </w:rPr>
        <w:t xml:space="preserve"> </w:t>
      </w:r>
      <w:r w:rsidRPr="000977F7">
        <w:rPr>
          <w:rFonts w:asciiTheme="majorHAnsi" w:hAnsiTheme="majorHAnsi"/>
          <w:spacing w:val="-2"/>
          <w:sz w:val="20"/>
          <w:szCs w:val="20"/>
        </w:rPr>
        <w:t>періоду</w:t>
      </w:r>
      <w:r w:rsidRPr="000977F7">
        <w:rPr>
          <w:rFonts w:asciiTheme="majorHAnsi" w:hAnsiTheme="majorHAnsi"/>
          <w:spacing w:val="-8"/>
          <w:sz w:val="20"/>
          <w:szCs w:val="20"/>
        </w:rPr>
        <w:t xml:space="preserve"> </w:t>
      </w:r>
      <w:r w:rsidRPr="000977F7">
        <w:rPr>
          <w:rFonts w:asciiTheme="majorHAnsi" w:hAnsiTheme="majorHAnsi"/>
          <w:spacing w:val="-2"/>
          <w:sz w:val="20"/>
          <w:szCs w:val="20"/>
        </w:rPr>
        <w:t>зміни</w:t>
      </w:r>
      <w:r w:rsidRPr="000977F7">
        <w:rPr>
          <w:rFonts w:asciiTheme="majorHAnsi" w:hAnsiTheme="majorHAnsi"/>
          <w:spacing w:val="-7"/>
          <w:sz w:val="20"/>
          <w:szCs w:val="20"/>
        </w:rPr>
        <w:t xml:space="preserve"> </w:t>
      </w:r>
      <w:r w:rsidRPr="000977F7">
        <w:rPr>
          <w:rFonts w:asciiTheme="majorHAnsi" w:hAnsiTheme="majorHAnsi"/>
          <w:spacing w:val="-2"/>
          <w:sz w:val="20"/>
          <w:szCs w:val="20"/>
        </w:rPr>
        <w:t>миттєвого</w:t>
      </w:r>
      <w:r w:rsidRPr="000977F7">
        <w:rPr>
          <w:rFonts w:asciiTheme="majorHAnsi" w:hAnsiTheme="majorHAnsi"/>
          <w:spacing w:val="-6"/>
          <w:sz w:val="20"/>
          <w:szCs w:val="20"/>
        </w:rPr>
        <w:t xml:space="preserve"> </w:t>
      </w:r>
      <w:r w:rsidRPr="000977F7">
        <w:rPr>
          <w:rFonts w:asciiTheme="majorHAnsi" w:hAnsiTheme="majorHAnsi"/>
          <w:spacing w:val="-1"/>
          <w:sz w:val="20"/>
          <w:szCs w:val="20"/>
        </w:rPr>
        <w:t>значення</w:t>
      </w:r>
      <w:r w:rsidRPr="000977F7">
        <w:rPr>
          <w:rFonts w:asciiTheme="majorHAnsi" w:hAnsiTheme="majorHAnsi"/>
          <w:spacing w:val="-4"/>
          <w:sz w:val="20"/>
          <w:szCs w:val="20"/>
        </w:rPr>
        <w:t xml:space="preserve"> </w:t>
      </w:r>
      <w:r w:rsidRPr="000977F7">
        <w:rPr>
          <w:rFonts w:asciiTheme="majorHAnsi" w:hAnsiTheme="majorHAnsi"/>
          <w:spacing w:val="-1"/>
          <w:sz w:val="20"/>
          <w:szCs w:val="20"/>
        </w:rPr>
        <w:t>цієї</w:t>
      </w:r>
      <w:r w:rsidRPr="000977F7">
        <w:rPr>
          <w:rFonts w:asciiTheme="majorHAnsi" w:hAnsiTheme="majorHAnsi"/>
          <w:spacing w:val="-47"/>
          <w:sz w:val="20"/>
          <w:szCs w:val="20"/>
        </w:rPr>
        <w:t xml:space="preserve"> </w:t>
      </w:r>
      <w:r w:rsidRPr="000977F7">
        <w:rPr>
          <w:rFonts w:asciiTheme="majorHAnsi" w:hAnsiTheme="majorHAnsi"/>
          <w:sz w:val="20"/>
          <w:szCs w:val="20"/>
        </w:rPr>
        <w:t>величини.</w:t>
      </w:r>
      <w:r w:rsidRPr="000977F7">
        <w:rPr>
          <w:rFonts w:asciiTheme="majorHAnsi" w:hAnsiTheme="majorHAnsi"/>
          <w:spacing w:val="6"/>
          <w:sz w:val="20"/>
          <w:szCs w:val="20"/>
        </w:rPr>
        <w:t xml:space="preserve"> </w:t>
      </w:r>
      <w:r w:rsidRPr="000977F7">
        <w:rPr>
          <w:rFonts w:asciiTheme="majorHAnsi" w:hAnsiTheme="majorHAnsi"/>
          <w:sz w:val="20"/>
          <w:szCs w:val="20"/>
        </w:rPr>
        <w:t>Інші</w:t>
      </w:r>
      <w:r w:rsidRPr="000977F7">
        <w:rPr>
          <w:rFonts w:asciiTheme="majorHAnsi" w:hAnsiTheme="majorHAnsi"/>
          <w:spacing w:val="7"/>
          <w:sz w:val="20"/>
          <w:szCs w:val="20"/>
        </w:rPr>
        <w:t xml:space="preserve"> </w:t>
      </w:r>
      <w:r w:rsidRPr="000977F7">
        <w:rPr>
          <w:rFonts w:asciiTheme="majorHAnsi" w:hAnsiTheme="majorHAnsi"/>
          <w:sz w:val="20"/>
          <w:szCs w:val="20"/>
        </w:rPr>
        <w:t>ознаки</w:t>
      </w:r>
      <w:r w:rsidRPr="000977F7">
        <w:rPr>
          <w:rFonts w:asciiTheme="majorHAnsi" w:hAnsiTheme="majorHAnsi"/>
          <w:spacing w:val="7"/>
          <w:sz w:val="20"/>
          <w:szCs w:val="20"/>
        </w:rPr>
        <w:t xml:space="preserve"> </w:t>
      </w:r>
      <w:r w:rsidRPr="000977F7">
        <w:rPr>
          <w:rFonts w:asciiTheme="majorHAnsi" w:hAnsiTheme="majorHAnsi"/>
          <w:sz w:val="20"/>
          <w:szCs w:val="20"/>
        </w:rPr>
        <w:t>та</w:t>
      </w:r>
      <w:r w:rsidRPr="000977F7">
        <w:rPr>
          <w:rFonts w:asciiTheme="majorHAnsi" w:hAnsiTheme="majorHAnsi"/>
          <w:spacing w:val="9"/>
          <w:sz w:val="20"/>
          <w:szCs w:val="20"/>
        </w:rPr>
        <w:t xml:space="preserve"> </w:t>
      </w:r>
      <w:r w:rsidRPr="000977F7">
        <w:rPr>
          <w:rFonts w:asciiTheme="majorHAnsi" w:hAnsiTheme="majorHAnsi"/>
          <w:sz w:val="20"/>
          <w:szCs w:val="20"/>
        </w:rPr>
        <w:t>параметри</w:t>
      </w:r>
      <w:r w:rsidRPr="000977F7">
        <w:rPr>
          <w:rFonts w:asciiTheme="majorHAnsi" w:hAnsiTheme="majorHAnsi"/>
          <w:spacing w:val="6"/>
          <w:sz w:val="20"/>
          <w:szCs w:val="20"/>
        </w:rPr>
        <w:t xml:space="preserve"> </w:t>
      </w:r>
      <w:r w:rsidRPr="000977F7">
        <w:rPr>
          <w:rFonts w:asciiTheme="majorHAnsi" w:hAnsiTheme="majorHAnsi"/>
          <w:sz w:val="20"/>
          <w:szCs w:val="20"/>
        </w:rPr>
        <w:t>змінної</w:t>
      </w:r>
      <w:r w:rsidRPr="000977F7">
        <w:rPr>
          <w:rFonts w:asciiTheme="majorHAnsi" w:hAnsiTheme="majorHAnsi"/>
          <w:spacing w:val="8"/>
          <w:sz w:val="20"/>
          <w:szCs w:val="20"/>
        </w:rPr>
        <w:t xml:space="preserve"> </w:t>
      </w:r>
      <w:r w:rsidRPr="000977F7">
        <w:rPr>
          <w:rFonts w:asciiTheme="majorHAnsi" w:hAnsiTheme="majorHAnsi"/>
          <w:sz w:val="20"/>
          <w:szCs w:val="20"/>
        </w:rPr>
        <w:t>дієвої</w:t>
      </w:r>
      <w:r w:rsidRPr="000977F7">
        <w:rPr>
          <w:rFonts w:asciiTheme="majorHAnsi" w:hAnsiTheme="majorHAnsi"/>
          <w:spacing w:val="7"/>
          <w:sz w:val="20"/>
          <w:szCs w:val="20"/>
        </w:rPr>
        <w:t xml:space="preserve"> </w:t>
      </w:r>
      <w:r w:rsidRPr="000977F7">
        <w:rPr>
          <w:rFonts w:asciiTheme="majorHAnsi" w:hAnsiTheme="majorHAnsi"/>
          <w:sz w:val="20"/>
          <w:szCs w:val="20"/>
        </w:rPr>
        <w:t>величини</w:t>
      </w:r>
      <w:r w:rsidRPr="000977F7">
        <w:rPr>
          <w:rFonts w:asciiTheme="majorHAnsi" w:hAnsiTheme="majorHAnsi"/>
          <w:spacing w:val="6"/>
          <w:sz w:val="20"/>
          <w:szCs w:val="20"/>
        </w:rPr>
        <w:t xml:space="preserve"> </w:t>
      </w:r>
      <w:r w:rsidRPr="000977F7">
        <w:rPr>
          <w:rFonts w:asciiTheme="majorHAnsi" w:hAnsiTheme="majorHAnsi"/>
          <w:sz w:val="20"/>
          <w:szCs w:val="20"/>
        </w:rPr>
        <w:t>(форма,</w:t>
      </w:r>
      <w:r w:rsidRPr="000977F7">
        <w:rPr>
          <w:rFonts w:asciiTheme="majorHAnsi" w:hAnsiTheme="majorHAnsi"/>
          <w:spacing w:val="8"/>
          <w:sz w:val="20"/>
          <w:szCs w:val="20"/>
        </w:rPr>
        <w:t xml:space="preserve"> </w:t>
      </w:r>
      <w:r w:rsidRPr="000977F7">
        <w:rPr>
          <w:rFonts w:asciiTheme="majorHAnsi" w:hAnsiTheme="majorHAnsi"/>
          <w:sz w:val="20"/>
          <w:szCs w:val="20"/>
        </w:rPr>
        <w:t>частота,</w:t>
      </w:r>
      <w:r w:rsidRPr="000977F7">
        <w:rPr>
          <w:rFonts w:asciiTheme="majorHAnsi" w:hAnsiTheme="majorHAnsi"/>
          <w:spacing w:val="8"/>
          <w:sz w:val="20"/>
          <w:szCs w:val="20"/>
        </w:rPr>
        <w:t xml:space="preserve"> </w:t>
      </w:r>
      <w:r w:rsidRPr="000977F7">
        <w:rPr>
          <w:rFonts w:asciiTheme="majorHAnsi" w:hAnsiTheme="majorHAnsi"/>
          <w:sz w:val="20"/>
          <w:szCs w:val="20"/>
        </w:rPr>
        <w:t>спектральний</w:t>
      </w:r>
      <w:r w:rsidRPr="000977F7">
        <w:rPr>
          <w:rFonts w:asciiTheme="majorHAnsi" w:hAnsiTheme="majorHAnsi"/>
          <w:spacing w:val="6"/>
          <w:sz w:val="20"/>
          <w:szCs w:val="20"/>
        </w:rPr>
        <w:t xml:space="preserve"> </w:t>
      </w:r>
      <w:r w:rsidRPr="000977F7">
        <w:rPr>
          <w:rFonts w:asciiTheme="majorHAnsi" w:hAnsiTheme="majorHAnsi"/>
          <w:sz w:val="20"/>
          <w:szCs w:val="20"/>
        </w:rPr>
        <w:t>склад</w:t>
      </w:r>
      <w:r w:rsidRPr="000977F7">
        <w:rPr>
          <w:rFonts w:asciiTheme="majorHAnsi" w:hAnsiTheme="majorHAnsi"/>
          <w:spacing w:val="7"/>
          <w:sz w:val="20"/>
          <w:szCs w:val="20"/>
        </w:rPr>
        <w:t xml:space="preserve"> </w:t>
      </w:r>
      <w:r w:rsidRPr="000977F7">
        <w:rPr>
          <w:rFonts w:asciiTheme="majorHAnsi" w:hAnsiTheme="majorHAnsi"/>
          <w:sz w:val="20"/>
          <w:szCs w:val="20"/>
        </w:rPr>
        <w:t>тощо)</w:t>
      </w:r>
      <w:r w:rsidRPr="000977F7">
        <w:rPr>
          <w:rFonts w:asciiTheme="majorHAnsi" w:hAnsiTheme="majorHAnsi"/>
          <w:spacing w:val="-47"/>
          <w:sz w:val="20"/>
          <w:szCs w:val="20"/>
        </w:rPr>
        <w:t xml:space="preserve"> </w:t>
      </w:r>
      <w:r w:rsidRPr="000977F7">
        <w:rPr>
          <w:rFonts w:asciiTheme="majorHAnsi" w:hAnsiTheme="majorHAnsi"/>
          <w:spacing w:val="-1"/>
          <w:sz w:val="20"/>
          <w:szCs w:val="20"/>
        </w:rPr>
        <w:t xml:space="preserve">можуть розглядатись як якісні характеристики </w:t>
      </w:r>
      <w:r w:rsidRPr="000977F7">
        <w:rPr>
          <w:rFonts w:asciiTheme="majorHAnsi" w:hAnsiTheme="majorHAnsi"/>
          <w:sz w:val="20"/>
          <w:szCs w:val="20"/>
        </w:rPr>
        <w:t>діяння</w:t>
      </w:r>
      <w:r w:rsidRPr="000977F7">
        <w:rPr>
          <w:rFonts w:asciiTheme="majorHAnsi" w:hAnsiTheme="majorHAnsi"/>
          <w:spacing w:val="1"/>
          <w:sz w:val="20"/>
          <w:szCs w:val="20"/>
        </w:rPr>
        <w:t xml:space="preserve"> </w:t>
      </w:r>
    </w:p>
    <w:p w14:paraId="51E068D2" w14:textId="77777777" w:rsidR="0097612F" w:rsidRPr="000977F7" w:rsidRDefault="0097612F" w:rsidP="000977F7">
      <w:pPr>
        <w:pStyle w:val="ac"/>
        <w:tabs>
          <w:tab w:val="left" w:pos="284"/>
          <w:tab w:val="left" w:pos="547"/>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3956 - 2000</w:t>
      </w:r>
    </w:p>
    <w:p w14:paraId="292214F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ЗМІШАНЕ</w:t>
      </w:r>
      <w:r w:rsidRPr="000977F7">
        <w:rPr>
          <w:color w:val="auto"/>
          <w:spacing w:val="-4"/>
          <w:sz w:val="20"/>
          <w:szCs w:val="20"/>
        </w:rPr>
        <w:t xml:space="preserve"> </w:t>
      </w:r>
      <w:r w:rsidRPr="000977F7">
        <w:rPr>
          <w:color w:val="auto"/>
          <w:sz w:val="20"/>
          <w:szCs w:val="20"/>
        </w:rPr>
        <w:t>РЕЗЕРВУВАННЯ</w:t>
      </w:r>
      <w:r w:rsidRPr="000977F7">
        <w:rPr>
          <w:color w:val="auto"/>
          <w:spacing w:val="-2"/>
          <w:sz w:val="20"/>
          <w:szCs w:val="20"/>
        </w:rPr>
        <w:t xml:space="preserve"> </w:t>
      </w:r>
      <w:r w:rsidRPr="000977F7">
        <w:rPr>
          <w:color w:val="auto"/>
          <w:sz w:val="20"/>
          <w:szCs w:val="20"/>
        </w:rPr>
        <w:t>–</w:t>
      </w:r>
    </w:p>
    <w:p w14:paraId="1B8ADE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СOMBINED</w:t>
      </w:r>
      <w:r w:rsidRPr="000977F7">
        <w:rPr>
          <w:rFonts w:asciiTheme="majorHAnsi" w:hAnsiTheme="majorHAnsi"/>
          <w:spacing w:val="-4"/>
          <w:sz w:val="20"/>
          <w:szCs w:val="20"/>
        </w:rPr>
        <w:t xml:space="preserve"> </w:t>
      </w:r>
      <w:r w:rsidRPr="000977F7">
        <w:rPr>
          <w:rFonts w:asciiTheme="majorHAnsi" w:hAnsiTheme="majorHAnsi"/>
          <w:sz w:val="20"/>
          <w:szCs w:val="20"/>
        </w:rPr>
        <w:t>REDUNDANCY –</w:t>
      </w:r>
    </w:p>
    <w:p w14:paraId="3989E3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Поєднання</w:t>
      </w:r>
      <w:r w:rsidRPr="000977F7">
        <w:rPr>
          <w:rFonts w:asciiTheme="majorHAnsi" w:hAnsiTheme="majorHAnsi"/>
          <w:spacing w:val="22"/>
          <w:sz w:val="20"/>
          <w:szCs w:val="20"/>
        </w:rPr>
        <w:t xml:space="preserve"> </w:t>
      </w:r>
      <w:r w:rsidRPr="000977F7">
        <w:rPr>
          <w:rFonts w:asciiTheme="majorHAnsi" w:hAnsiTheme="majorHAnsi"/>
          <w:sz w:val="20"/>
          <w:szCs w:val="20"/>
        </w:rPr>
        <w:t>різних</w:t>
      </w:r>
      <w:r w:rsidRPr="000977F7">
        <w:rPr>
          <w:rFonts w:asciiTheme="majorHAnsi" w:hAnsiTheme="majorHAnsi"/>
          <w:spacing w:val="21"/>
          <w:sz w:val="20"/>
          <w:szCs w:val="20"/>
        </w:rPr>
        <w:t xml:space="preserve"> </w:t>
      </w:r>
      <w:r w:rsidRPr="000977F7">
        <w:rPr>
          <w:rFonts w:asciiTheme="majorHAnsi" w:hAnsiTheme="majorHAnsi"/>
          <w:sz w:val="20"/>
          <w:szCs w:val="20"/>
        </w:rPr>
        <w:t>видів</w:t>
      </w:r>
      <w:r w:rsidRPr="000977F7">
        <w:rPr>
          <w:rFonts w:asciiTheme="majorHAnsi" w:hAnsiTheme="majorHAnsi"/>
          <w:spacing w:val="24"/>
          <w:sz w:val="20"/>
          <w:szCs w:val="20"/>
        </w:rPr>
        <w:t xml:space="preserve"> </w:t>
      </w:r>
      <w:r w:rsidRPr="000977F7">
        <w:rPr>
          <w:rFonts w:asciiTheme="majorHAnsi" w:hAnsiTheme="majorHAnsi"/>
          <w:sz w:val="20"/>
          <w:szCs w:val="20"/>
        </w:rPr>
        <w:t>резервування</w:t>
      </w:r>
      <w:r w:rsidRPr="000977F7">
        <w:rPr>
          <w:rFonts w:asciiTheme="majorHAnsi" w:hAnsiTheme="majorHAnsi"/>
          <w:spacing w:val="22"/>
          <w:sz w:val="20"/>
          <w:szCs w:val="20"/>
        </w:rPr>
        <w:t xml:space="preserve"> </w:t>
      </w:r>
      <w:r w:rsidRPr="000977F7">
        <w:rPr>
          <w:rFonts w:asciiTheme="majorHAnsi" w:hAnsiTheme="majorHAnsi"/>
          <w:sz w:val="20"/>
          <w:szCs w:val="20"/>
        </w:rPr>
        <w:t>в</w:t>
      </w:r>
      <w:r w:rsidRPr="000977F7">
        <w:rPr>
          <w:rFonts w:asciiTheme="majorHAnsi" w:hAnsiTheme="majorHAnsi"/>
          <w:spacing w:val="22"/>
          <w:sz w:val="20"/>
          <w:szCs w:val="20"/>
        </w:rPr>
        <w:t xml:space="preserve"> </w:t>
      </w:r>
      <w:r w:rsidRPr="000977F7">
        <w:rPr>
          <w:rFonts w:asciiTheme="majorHAnsi" w:hAnsiTheme="majorHAnsi"/>
          <w:sz w:val="20"/>
          <w:szCs w:val="20"/>
        </w:rPr>
        <w:t>одному</w:t>
      </w:r>
      <w:r w:rsidRPr="000977F7">
        <w:rPr>
          <w:rFonts w:asciiTheme="majorHAnsi" w:hAnsiTheme="majorHAnsi"/>
          <w:spacing w:val="-47"/>
          <w:sz w:val="20"/>
          <w:szCs w:val="20"/>
        </w:rPr>
        <w:t xml:space="preserve"> </w:t>
      </w:r>
      <w:r w:rsidRPr="000977F7">
        <w:rPr>
          <w:rFonts w:asciiTheme="majorHAnsi" w:hAnsiTheme="majorHAnsi"/>
          <w:sz w:val="20"/>
          <w:szCs w:val="20"/>
        </w:rPr>
        <w:t>об’єкті</w:t>
      </w:r>
    </w:p>
    <w:p w14:paraId="79E2E84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2860 - 94</w:t>
      </w:r>
    </w:p>
    <w:p w14:paraId="10F4DE2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ЗНАЧНА</w:t>
      </w:r>
      <w:r w:rsidRPr="000977F7">
        <w:rPr>
          <w:color w:val="auto"/>
          <w:spacing w:val="-2"/>
          <w:sz w:val="20"/>
          <w:szCs w:val="20"/>
        </w:rPr>
        <w:t xml:space="preserve"> </w:t>
      </w:r>
      <w:r w:rsidRPr="000977F7">
        <w:rPr>
          <w:color w:val="auto"/>
          <w:sz w:val="20"/>
          <w:szCs w:val="20"/>
        </w:rPr>
        <w:t>ВІДМОВА</w:t>
      </w:r>
      <w:r w:rsidRPr="000977F7">
        <w:rPr>
          <w:color w:val="auto"/>
          <w:spacing w:val="-1"/>
          <w:sz w:val="20"/>
          <w:szCs w:val="20"/>
        </w:rPr>
        <w:t xml:space="preserve"> </w:t>
      </w:r>
      <w:r w:rsidRPr="000977F7">
        <w:rPr>
          <w:color w:val="auto"/>
          <w:sz w:val="20"/>
          <w:szCs w:val="20"/>
        </w:rPr>
        <w:t>–</w:t>
      </w:r>
    </w:p>
    <w:p w14:paraId="1CFC592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MAJOR</w:t>
      </w:r>
      <w:r w:rsidRPr="000977F7">
        <w:rPr>
          <w:rFonts w:asciiTheme="majorHAnsi" w:hAnsiTheme="majorHAnsi"/>
          <w:spacing w:val="-2"/>
          <w:sz w:val="20"/>
          <w:szCs w:val="20"/>
        </w:rPr>
        <w:t xml:space="preserve"> </w:t>
      </w:r>
      <w:r w:rsidRPr="000977F7">
        <w:rPr>
          <w:rFonts w:asciiTheme="majorHAnsi" w:hAnsiTheme="majorHAnsi"/>
          <w:sz w:val="20"/>
          <w:szCs w:val="20"/>
        </w:rPr>
        <w:t>FAILURE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17F55A8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 котра не є критичною, але може викликати</w:t>
      </w:r>
      <w:r w:rsidRPr="000977F7">
        <w:rPr>
          <w:rFonts w:asciiTheme="majorHAnsi" w:hAnsiTheme="majorHAnsi"/>
          <w:spacing w:val="1"/>
          <w:sz w:val="20"/>
          <w:szCs w:val="20"/>
        </w:rPr>
        <w:t xml:space="preserve"> </w:t>
      </w:r>
      <w:r w:rsidRPr="000977F7">
        <w:rPr>
          <w:rFonts w:asciiTheme="majorHAnsi" w:hAnsiTheme="majorHAnsi"/>
          <w:sz w:val="20"/>
          <w:szCs w:val="20"/>
        </w:rPr>
        <w:t>зниження</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властивості</w:t>
      </w:r>
      <w:r w:rsidRPr="000977F7">
        <w:rPr>
          <w:rFonts w:asciiTheme="majorHAnsi" w:hAnsiTheme="majorHAnsi"/>
          <w:spacing w:val="1"/>
          <w:sz w:val="20"/>
          <w:szCs w:val="20"/>
        </w:rPr>
        <w:t xml:space="preserve"> </w:t>
      </w:r>
      <w:r w:rsidRPr="000977F7">
        <w:rPr>
          <w:rFonts w:asciiTheme="majorHAnsi" w:hAnsiTheme="majorHAnsi"/>
          <w:sz w:val="20"/>
          <w:szCs w:val="20"/>
        </w:rPr>
        <w:t>більш</w:t>
      </w:r>
      <w:r w:rsidRPr="000977F7">
        <w:rPr>
          <w:rFonts w:asciiTheme="majorHAnsi" w:hAnsiTheme="majorHAnsi"/>
          <w:spacing w:val="1"/>
          <w:sz w:val="20"/>
          <w:szCs w:val="20"/>
        </w:rPr>
        <w:t xml:space="preserve"> </w:t>
      </w:r>
      <w:r w:rsidRPr="000977F7">
        <w:rPr>
          <w:rFonts w:asciiTheme="majorHAnsi" w:hAnsiTheme="majorHAnsi"/>
          <w:sz w:val="20"/>
          <w:szCs w:val="20"/>
        </w:rPr>
        <w:t>складного</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виконанні</w:t>
      </w:r>
      <w:r w:rsidRPr="000977F7">
        <w:rPr>
          <w:rFonts w:asciiTheme="majorHAnsi" w:hAnsiTheme="majorHAnsi"/>
          <w:spacing w:val="-2"/>
          <w:sz w:val="20"/>
          <w:szCs w:val="20"/>
        </w:rPr>
        <w:t xml:space="preserve"> </w:t>
      </w:r>
      <w:r w:rsidRPr="000977F7">
        <w:rPr>
          <w:rFonts w:asciiTheme="majorHAnsi" w:hAnsiTheme="majorHAnsi"/>
          <w:sz w:val="20"/>
          <w:szCs w:val="20"/>
        </w:rPr>
        <w:t>потрібної</w:t>
      </w:r>
      <w:r w:rsidRPr="000977F7">
        <w:rPr>
          <w:rFonts w:asciiTheme="majorHAnsi" w:hAnsiTheme="majorHAnsi"/>
          <w:spacing w:val="-1"/>
          <w:sz w:val="20"/>
          <w:szCs w:val="20"/>
        </w:rPr>
        <w:t xml:space="preserve"> </w:t>
      </w:r>
      <w:r w:rsidRPr="000977F7">
        <w:rPr>
          <w:rFonts w:asciiTheme="majorHAnsi" w:hAnsiTheme="majorHAnsi"/>
          <w:sz w:val="20"/>
          <w:szCs w:val="20"/>
        </w:rPr>
        <w:t>функції</w:t>
      </w:r>
    </w:p>
    <w:p w14:paraId="3A9FB93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ЗНАЧНА</w:t>
      </w:r>
      <w:r w:rsidRPr="000977F7">
        <w:rPr>
          <w:color w:val="auto"/>
          <w:spacing w:val="-4"/>
          <w:sz w:val="20"/>
          <w:szCs w:val="20"/>
        </w:rPr>
        <w:t xml:space="preserve"> </w:t>
      </w:r>
      <w:r w:rsidRPr="000977F7">
        <w:rPr>
          <w:color w:val="auto"/>
          <w:sz w:val="20"/>
          <w:szCs w:val="20"/>
        </w:rPr>
        <w:t>НЕСПРАВНІСТЬ</w:t>
      </w:r>
      <w:r w:rsidRPr="000977F7">
        <w:rPr>
          <w:color w:val="auto"/>
          <w:spacing w:val="-2"/>
          <w:sz w:val="20"/>
          <w:szCs w:val="20"/>
        </w:rPr>
        <w:t xml:space="preserve"> </w:t>
      </w:r>
      <w:r w:rsidRPr="000977F7">
        <w:rPr>
          <w:color w:val="auto"/>
          <w:sz w:val="20"/>
          <w:szCs w:val="20"/>
        </w:rPr>
        <w:t>–</w:t>
      </w:r>
    </w:p>
    <w:p w14:paraId="1C90BB8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MAJOR</w:t>
      </w:r>
      <w:r w:rsidRPr="000977F7">
        <w:rPr>
          <w:rFonts w:asciiTheme="majorHAnsi" w:hAnsiTheme="majorHAnsi"/>
          <w:spacing w:val="-1"/>
          <w:sz w:val="20"/>
          <w:szCs w:val="20"/>
        </w:rPr>
        <w:t xml:space="preserve"> </w:t>
      </w:r>
      <w:r w:rsidRPr="000977F7">
        <w:rPr>
          <w:rFonts w:asciiTheme="majorHAnsi" w:hAnsiTheme="majorHAnsi"/>
          <w:sz w:val="20"/>
          <w:szCs w:val="20"/>
        </w:rPr>
        <w:t>FAULT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77740B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Несправність, що порушує хоча б одну з потрібних</w:t>
      </w:r>
      <w:r w:rsidRPr="000977F7">
        <w:rPr>
          <w:rFonts w:asciiTheme="majorHAnsi" w:hAnsiTheme="majorHAnsi"/>
          <w:spacing w:val="1"/>
          <w:sz w:val="20"/>
          <w:szCs w:val="20"/>
        </w:rPr>
        <w:t xml:space="preserve"> </w:t>
      </w:r>
      <w:r w:rsidRPr="000977F7">
        <w:rPr>
          <w:rFonts w:asciiTheme="majorHAnsi" w:hAnsiTheme="majorHAnsi"/>
          <w:sz w:val="20"/>
          <w:szCs w:val="20"/>
        </w:rPr>
        <w:t>функцій</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p>
    <w:p w14:paraId="34FADDC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171A52B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ЗНАЧНИЙ</w:t>
      </w:r>
      <w:r w:rsidRPr="000977F7">
        <w:rPr>
          <w:color w:val="auto"/>
          <w:spacing w:val="-2"/>
          <w:sz w:val="20"/>
          <w:szCs w:val="20"/>
        </w:rPr>
        <w:t xml:space="preserve"> </w:t>
      </w:r>
      <w:r w:rsidRPr="000977F7">
        <w:rPr>
          <w:color w:val="auto"/>
          <w:sz w:val="20"/>
          <w:szCs w:val="20"/>
        </w:rPr>
        <w:t>ДЕФЕКТ</w:t>
      </w:r>
      <w:r w:rsidRPr="000977F7">
        <w:rPr>
          <w:color w:val="auto"/>
          <w:spacing w:val="-2"/>
          <w:sz w:val="20"/>
          <w:szCs w:val="20"/>
        </w:rPr>
        <w:t xml:space="preserve"> </w:t>
      </w:r>
      <w:r w:rsidRPr="000977F7">
        <w:rPr>
          <w:color w:val="auto"/>
          <w:sz w:val="20"/>
          <w:szCs w:val="20"/>
        </w:rPr>
        <w:t>–</w:t>
      </w:r>
    </w:p>
    <w:p w14:paraId="67E3036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MAJOR</w:t>
      </w:r>
      <w:r w:rsidRPr="000977F7">
        <w:rPr>
          <w:rFonts w:asciiTheme="majorHAnsi" w:hAnsiTheme="majorHAnsi"/>
          <w:spacing w:val="-1"/>
          <w:sz w:val="20"/>
          <w:szCs w:val="20"/>
        </w:rPr>
        <w:t xml:space="preserve"> </w:t>
      </w:r>
      <w:r w:rsidRPr="000977F7">
        <w:rPr>
          <w:rFonts w:asciiTheme="majorHAnsi" w:hAnsiTheme="majorHAnsi"/>
          <w:sz w:val="20"/>
          <w:szCs w:val="20"/>
        </w:rPr>
        <w:t>DEFECT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B065B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Дефект, який суттєво впливає на використання продукції за призначенням і (або) на її довговічність, але</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є критичним</w:t>
      </w:r>
    </w:p>
    <w:p w14:paraId="0DF55DA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ЗНАЧУЩА</w:t>
      </w:r>
      <w:r w:rsidRPr="000977F7">
        <w:rPr>
          <w:color w:val="auto"/>
          <w:spacing w:val="-4"/>
          <w:sz w:val="20"/>
          <w:szCs w:val="20"/>
        </w:rPr>
        <w:t xml:space="preserve"> </w:t>
      </w:r>
      <w:r w:rsidRPr="000977F7">
        <w:rPr>
          <w:color w:val="auto"/>
          <w:sz w:val="20"/>
          <w:szCs w:val="20"/>
        </w:rPr>
        <w:t>ПОЗИЦІЯ</w:t>
      </w:r>
      <w:r w:rsidRPr="000977F7">
        <w:rPr>
          <w:color w:val="auto"/>
          <w:spacing w:val="-1"/>
          <w:sz w:val="20"/>
          <w:szCs w:val="20"/>
        </w:rPr>
        <w:t xml:space="preserve"> </w:t>
      </w:r>
      <w:r w:rsidRPr="000977F7">
        <w:rPr>
          <w:color w:val="auto"/>
          <w:sz w:val="20"/>
          <w:szCs w:val="20"/>
        </w:rPr>
        <w:t>-</w:t>
      </w:r>
    </w:p>
    <w:p w14:paraId="1917357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SIGNIFUING</w:t>
      </w:r>
      <w:r w:rsidRPr="000977F7">
        <w:rPr>
          <w:rFonts w:asciiTheme="majorHAnsi" w:hAnsiTheme="majorHAnsi"/>
          <w:spacing w:val="-2"/>
          <w:sz w:val="20"/>
          <w:szCs w:val="20"/>
        </w:rPr>
        <w:t xml:space="preserve"> </w:t>
      </w:r>
      <w:r w:rsidRPr="000977F7">
        <w:rPr>
          <w:rFonts w:asciiTheme="majorHAnsi" w:hAnsiTheme="majorHAnsi"/>
          <w:sz w:val="20"/>
          <w:szCs w:val="20"/>
        </w:rPr>
        <w:t>POSITION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A6B405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Місце, яке може займати символ у ряді інших символів та яке може ідентифікуватися порядковим номером або</w:t>
      </w:r>
      <w:r w:rsidRPr="000977F7">
        <w:rPr>
          <w:rFonts w:asciiTheme="majorHAnsi" w:hAnsiTheme="majorHAnsi"/>
          <w:spacing w:val="1"/>
          <w:sz w:val="20"/>
          <w:szCs w:val="20"/>
        </w:rPr>
        <w:t xml:space="preserve"> </w:t>
      </w:r>
      <w:r w:rsidRPr="000977F7">
        <w:rPr>
          <w:rFonts w:asciiTheme="majorHAnsi" w:hAnsiTheme="majorHAnsi"/>
          <w:sz w:val="20"/>
          <w:szCs w:val="20"/>
        </w:rPr>
        <w:t>іншим</w:t>
      </w:r>
      <w:r w:rsidRPr="000977F7">
        <w:rPr>
          <w:rFonts w:asciiTheme="majorHAnsi" w:hAnsiTheme="majorHAnsi"/>
          <w:spacing w:val="1"/>
          <w:sz w:val="20"/>
          <w:szCs w:val="20"/>
        </w:rPr>
        <w:t xml:space="preserve"> </w:t>
      </w:r>
      <w:r w:rsidRPr="000977F7">
        <w:rPr>
          <w:rFonts w:asciiTheme="majorHAnsi" w:hAnsiTheme="majorHAnsi"/>
          <w:sz w:val="20"/>
          <w:szCs w:val="20"/>
        </w:rPr>
        <w:t>способом</w:t>
      </w:r>
    </w:p>
    <w:p w14:paraId="6F8F49B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3956 - 2000</w:t>
      </w:r>
    </w:p>
    <w:p w14:paraId="670B55E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ЗНИЖЕНА</w:t>
      </w:r>
      <w:r w:rsidRPr="000977F7">
        <w:rPr>
          <w:color w:val="auto"/>
          <w:spacing w:val="-3"/>
          <w:sz w:val="20"/>
          <w:szCs w:val="20"/>
        </w:rPr>
        <w:t xml:space="preserve"> </w:t>
      </w:r>
      <w:r w:rsidRPr="000977F7">
        <w:rPr>
          <w:color w:val="auto"/>
          <w:sz w:val="20"/>
          <w:szCs w:val="20"/>
        </w:rPr>
        <w:t>НАПРУГА</w:t>
      </w:r>
      <w:r w:rsidRPr="000977F7">
        <w:rPr>
          <w:color w:val="auto"/>
          <w:spacing w:val="-1"/>
          <w:sz w:val="20"/>
          <w:szCs w:val="20"/>
        </w:rPr>
        <w:t xml:space="preserve"> </w:t>
      </w:r>
      <w:r w:rsidRPr="000977F7">
        <w:rPr>
          <w:color w:val="auto"/>
          <w:sz w:val="20"/>
          <w:szCs w:val="20"/>
        </w:rPr>
        <w:t>–</w:t>
      </w:r>
    </w:p>
    <w:p w14:paraId="38EB851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Напруга, значення якої менше припустимого для нормальної роботи електротехнічних пристроїв та електрообладнання</w:t>
      </w:r>
    </w:p>
    <w:p w14:paraId="3E5E8F9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4CB75677"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8"/>
          <w:sz w:val="20"/>
          <w:szCs w:val="20"/>
        </w:rPr>
      </w:pPr>
      <w:r w:rsidRPr="000977F7">
        <w:rPr>
          <w:rFonts w:asciiTheme="majorHAnsi" w:hAnsiTheme="majorHAnsi"/>
          <w:b/>
          <w:sz w:val="20"/>
          <w:szCs w:val="20"/>
        </w:rPr>
        <w:t xml:space="preserve">ЗНИЖЕННЯ РІВНЯ ЯКОСТІ </w:t>
      </w:r>
      <w:r w:rsidRPr="000977F7">
        <w:rPr>
          <w:rFonts w:asciiTheme="majorHAnsi" w:hAnsiTheme="majorHAnsi"/>
          <w:sz w:val="20"/>
          <w:szCs w:val="20"/>
        </w:rPr>
        <w:t>–</w:t>
      </w:r>
      <w:r w:rsidRPr="000977F7">
        <w:rPr>
          <w:rFonts w:asciiTheme="majorHAnsi" w:hAnsiTheme="majorHAnsi"/>
          <w:spacing w:val="-48"/>
          <w:sz w:val="20"/>
          <w:szCs w:val="20"/>
        </w:rPr>
        <w:t xml:space="preserve"> </w:t>
      </w:r>
    </w:p>
    <w:p w14:paraId="307CFF6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REGRADE -</w:t>
      </w:r>
    </w:p>
    <w:p w14:paraId="465FDD87" w14:textId="77777777" w:rsidR="0097612F" w:rsidRPr="000977F7" w:rsidRDefault="0097612F" w:rsidP="000977F7">
      <w:pPr>
        <w:pStyle w:val="4"/>
        <w:tabs>
          <w:tab w:val="left" w:pos="284"/>
        </w:tabs>
        <w:spacing w:line="240" w:lineRule="auto"/>
        <w:ind w:left="170"/>
        <w:mirrorIndents/>
        <w:jc w:val="both"/>
        <w:rPr>
          <w:color w:val="auto"/>
          <w:sz w:val="20"/>
          <w:szCs w:val="20"/>
        </w:rPr>
      </w:pPr>
      <w:bookmarkStart w:id="75" w:name="_Toc132629631"/>
      <w:r w:rsidRPr="000977F7">
        <w:rPr>
          <w:color w:val="auto"/>
          <w:sz w:val="20"/>
          <w:szCs w:val="20"/>
        </w:rPr>
        <w:t>Змінювання рівня якості невідповідної продукції чи послуги, щоб зробити її відповідною вимогам, які відрізняються від початко</w:t>
      </w:r>
      <w:r w:rsidRPr="000977F7">
        <w:rPr>
          <w:color w:val="auto"/>
          <w:spacing w:val="-57"/>
          <w:sz w:val="20"/>
          <w:szCs w:val="20"/>
        </w:rPr>
        <w:t xml:space="preserve"> </w:t>
      </w:r>
      <w:r w:rsidRPr="000977F7">
        <w:rPr>
          <w:color w:val="auto"/>
          <w:sz w:val="20"/>
          <w:szCs w:val="20"/>
        </w:rPr>
        <w:t>во</w:t>
      </w:r>
      <w:r w:rsidRPr="000977F7">
        <w:rPr>
          <w:color w:val="auto"/>
          <w:spacing w:val="-2"/>
          <w:sz w:val="20"/>
          <w:szCs w:val="20"/>
        </w:rPr>
        <w:t xml:space="preserve"> </w:t>
      </w:r>
      <w:r w:rsidRPr="000977F7">
        <w:rPr>
          <w:color w:val="auto"/>
          <w:sz w:val="20"/>
          <w:szCs w:val="20"/>
        </w:rPr>
        <w:t>встановлених</w:t>
      </w:r>
      <w:bookmarkEnd w:id="75"/>
    </w:p>
    <w:p w14:paraId="66C2513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ISO</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9000:2015</w:t>
      </w:r>
    </w:p>
    <w:p w14:paraId="47B2AEA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ЗНИЖЕННЯ</w:t>
      </w:r>
      <w:r w:rsidRPr="000977F7">
        <w:rPr>
          <w:color w:val="auto"/>
          <w:spacing w:val="-3"/>
          <w:sz w:val="20"/>
          <w:szCs w:val="20"/>
        </w:rPr>
        <w:t xml:space="preserve"> </w:t>
      </w:r>
      <w:r w:rsidRPr="000977F7">
        <w:rPr>
          <w:color w:val="auto"/>
          <w:sz w:val="20"/>
          <w:szCs w:val="20"/>
        </w:rPr>
        <w:t>ЧАСТОТИ —</w:t>
      </w:r>
    </w:p>
    <w:p w14:paraId="2CE235CC"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4D2D14">
        <w:rPr>
          <w:rFonts w:asciiTheme="majorHAnsi" w:hAnsiTheme="majorHAnsi"/>
          <w:sz w:val="20"/>
          <w:szCs w:val="20"/>
          <w:lang w:val="en-US"/>
        </w:rPr>
        <w:t>FREQUENCY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REDUCTION</w:t>
      </w:r>
      <w:r w:rsidRPr="004D2D14">
        <w:rPr>
          <w:rFonts w:asciiTheme="majorHAnsi" w:hAnsiTheme="majorHAnsi"/>
          <w:spacing w:val="-2"/>
          <w:sz w:val="20"/>
          <w:szCs w:val="20"/>
          <w:lang w:val="en-US"/>
        </w:rPr>
        <w:t xml:space="preserve"> </w:t>
      </w:r>
      <w:r w:rsidRPr="004D2D14">
        <w:rPr>
          <w:rFonts w:asciiTheme="majorHAnsi" w:hAnsiTheme="majorHAnsi"/>
          <w:b/>
          <w:sz w:val="20"/>
          <w:szCs w:val="20"/>
          <w:lang w:val="en-US"/>
        </w:rPr>
        <w:t>—</w:t>
      </w:r>
    </w:p>
    <w:p w14:paraId="7D36AE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Відхилення</w:t>
      </w:r>
      <w:r w:rsidRPr="000977F7">
        <w:rPr>
          <w:rFonts w:asciiTheme="majorHAnsi" w:hAnsiTheme="majorHAnsi"/>
          <w:spacing w:val="1"/>
          <w:sz w:val="20"/>
          <w:szCs w:val="20"/>
        </w:rPr>
        <w:t xml:space="preserve"> </w:t>
      </w:r>
      <w:r w:rsidRPr="000977F7">
        <w:rPr>
          <w:rFonts w:asciiTheme="majorHAnsi" w:hAnsiTheme="majorHAnsi"/>
          <w:sz w:val="20"/>
          <w:szCs w:val="20"/>
        </w:rPr>
        <w:t>частоти</w:t>
      </w:r>
      <w:r w:rsidRPr="000977F7">
        <w:rPr>
          <w:rFonts w:asciiTheme="majorHAnsi" w:hAnsiTheme="majorHAnsi"/>
          <w:spacing w:val="1"/>
          <w:sz w:val="20"/>
          <w:szCs w:val="20"/>
        </w:rPr>
        <w:t xml:space="preserve"> </w:t>
      </w:r>
      <w:r w:rsidRPr="000977F7">
        <w:rPr>
          <w:rFonts w:asciiTheme="majorHAnsi" w:hAnsiTheme="majorHAnsi"/>
          <w:sz w:val="20"/>
          <w:szCs w:val="20"/>
        </w:rPr>
        <w:t>нижче</w:t>
      </w:r>
      <w:r w:rsidRPr="000977F7">
        <w:rPr>
          <w:rFonts w:asciiTheme="majorHAnsi" w:hAnsiTheme="majorHAnsi"/>
          <w:spacing w:val="1"/>
          <w:sz w:val="20"/>
          <w:szCs w:val="20"/>
        </w:rPr>
        <w:t xml:space="preserve"> </w:t>
      </w:r>
      <w:r w:rsidRPr="000977F7">
        <w:rPr>
          <w:rFonts w:asciiTheme="majorHAnsi" w:hAnsiTheme="majorHAnsi"/>
          <w:sz w:val="20"/>
          <w:szCs w:val="20"/>
        </w:rPr>
        <w:t>номінальної</w:t>
      </w:r>
      <w:r w:rsidRPr="000977F7">
        <w:rPr>
          <w:rFonts w:asciiTheme="majorHAnsi" w:hAnsiTheme="majorHAnsi"/>
          <w:spacing w:val="1"/>
          <w:sz w:val="20"/>
          <w:szCs w:val="20"/>
        </w:rPr>
        <w:t xml:space="preserve"> </w:t>
      </w:r>
      <w:r w:rsidRPr="000977F7">
        <w:rPr>
          <w:rFonts w:asciiTheme="majorHAnsi" w:hAnsiTheme="majorHAnsi"/>
          <w:sz w:val="20"/>
          <w:szCs w:val="20"/>
        </w:rPr>
        <w:t>впродовж</w:t>
      </w:r>
      <w:r w:rsidRPr="000977F7">
        <w:rPr>
          <w:rFonts w:asciiTheme="majorHAnsi" w:hAnsiTheme="majorHAnsi"/>
          <w:spacing w:val="-47"/>
          <w:sz w:val="20"/>
          <w:szCs w:val="20"/>
        </w:rPr>
        <w:t xml:space="preserve"> </w:t>
      </w:r>
      <w:r w:rsidRPr="000977F7">
        <w:rPr>
          <w:rFonts w:asciiTheme="majorHAnsi" w:hAnsiTheme="majorHAnsi"/>
          <w:sz w:val="20"/>
          <w:szCs w:val="20"/>
        </w:rPr>
        <w:t>тривалого</w:t>
      </w:r>
      <w:r w:rsidRPr="000977F7">
        <w:rPr>
          <w:rFonts w:asciiTheme="majorHAnsi" w:hAnsiTheme="majorHAnsi"/>
          <w:spacing w:val="1"/>
          <w:sz w:val="20"/>
          <w:szCs w:val="20"/>
        </w:rPr>
        <w:t xml:space="preserve"> </w:t>
      </w:r>
      <w:r w:rsidRPr="000977F7">
        <w:rPr>
          <w:rFonts w:asciiTheme="majorHAnsi" w:hAnsiTheme="majorHAnsi"/>
          <w:sz w:val="20"/>
          <w:szCs w:val="20"/>
        </w:rPr>
        <w:t>періоду</w:t>
      </w:r>
      <w:r w:rsidRPr="000977F7">
        <w:rPr>
          <w:rFonts w:asciiTheme="majorHAnsi" w:hAnsiTheme="majorHAnsi"/>
          <w:spacing w:val="1"/>
          <w:sz w:val="20"/>
          <w:szCs w:val="20"/>
        </w:rPr>
        <w:t xml:space="preserve"> </w:t>
      </w:r>
      <w:r w:rsidRPr="000977F7">
        <w:rPr>
          <w:rFonts w:asciiTheme="majorHAnsi" w:hAnsiTheme="majorHAnsi"/>
          <w:sz w:val="20"/>
          <w:szCs w:val="20"/>
        </w:rPr>
        <w:t>часу,</w:t>
      </w:r>
      <w:r w:rsidRPr="000977F7">
        <w:rPr>
          <w:rFonts w:asciiTheme="majorHAnsi" w:hAnsiTheme="majorHAnsi"/>
          <w:spacing w:val="1"/>
          <w:sz w:val="20"/>
          <w:szCs w:val="20"/>
        </w:rPr>
        <w:t xml:space="preserve"> </w:t>
      </w:r>
      <w:r w:rsidRPr="000977F7">
        <w:rPr>
          <w:rFonts w:asciiTheme="majorHAnsi" w:hAnsiTheme="majorHAnsi"/>
          <w:sz w:val="20"/>
          <w:szCs w:val="20"/>
        </w:rPr>
        <w:t>головним</w:t>
      </w:r>
      <w:r w:rsidRPr="000977F7">
        <w:rPr>
          <w:rFonts w:asciiTheme="majorHAnsi" w:hAnsiTheme="majorHAnsi"/>
          <w:spacing w:val="1"/>
          <w:sz w:val="20"/>
          <w:szCs w:val="20"/>
        </w:rPr>
        <w:t xml:space="preserve"> </w:t>
      </w:r>
      <w:r w:rsidRPr="000977F7">
        <w:rPr>
          <w:rFonts w:asciiTheme="majorHAnsi" w:hAnsiTheme="majorHAnsi"/>
          <w:sz w:val="20"/>
          <w:szCs w:val="20"/>
        </w:rPr>
        <w:t>чином</w:t>
      </w:r>
      <w:r w:rsidRPr="000977F7">
        <w:rPr>
          <w:rFonts w:asciiTheme="majorHAnsi" w:hAnsiTheme="majorHAnsi"/>
          <w:spacing w:val="1"/>
          <w:sz w:val="20"/>
          <w:szCs w:val="20"/>
        </w:rPr>
        <w:t xml:space="preserve"> </w:t>
      </w:r>
      <w:r w:rsidRPr="000977F7">
        <w:rPr>
          <w:rFonts w:asciiTheme="majorHAnsi" w:hAnsiTheme="majorHAnsi"/>
          <w:sz w:val="20"/>
          <w:szCs w:val="20"/>
        </w:rPr>
        <w:t>внаслідок</w:t>
      </w:r>
      <w:r w:rsidRPr="000977F7">
        <w:rPr>
          <w:rFonts w:asciiTheme="majorHAnsi" w:hAnsiTheme="majorHAnsi"/>
          <w:spacing w:val="-47"/>
          <w:sz w:val="20"/>
          <w:szCs w:val="20"/>
        </w:rPr>
        <w:t xml:space="preserve"> </w:t>
      </w:r>
      <w:r w:rsidRPr="000977F7">
        <w:rPr>
          <w:rFonts w:asciiTheme="majorHAnsi" w:hAnsiTheme="majorHAnsi"/>
          <w:sz w:val="20"/>
          <w:szCs w:val="20"/>
        </w:rPr>
        <w:t>перевантаження</w:t>
      </w:r>
      <w:r w:rsidRPr="000977F7">
        <w:rPr>
          <w:rFonts w:asciiTheme="majorHAnsi" w:hAnsiTheme="majorHAnsi"/>
          <w:spacing w:val="-2"/>
          <w:sz w:val="20"/>
          <w:szCs w:val="20"/>
        </w:rPr>
        <w:t xml:space="preserve"> </w:t>
      </w:r>
      <w:r w:rsidRPr="000977F7">
        <w:rPr>
          <w:rFonts w:asciiTheme="majorHAnsi" w:hAnsiTheme="majorHAnsi"/>
          <w:sz w:val="20"/>
          <w:szCs w:val="20"/>
        </w:rPr>
        <w:t>енергетичної</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p>
    <w:p w14:paraId="35DAB4D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3466</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96</w:t>
      </w:r>
    </w:p>
    <w:p w14:paraId="2258AC3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ЗНИКНЕННЯ</w:t>
      </w:r>
      <w:r w:rsidRPr="000977F7">
        <w:rPr>
          <w:color w:val="auto"/>
          <w:spacing w:val="-4"/>
          <w:sz w:val="20"/>
          <w:szCs w:val="20"/>
        </w:rPr>
        <w:t xml:space="preserve"> </w:t>
      </w:r>
      <w:r w:rsidRPr="000977F7">
        <w:rPr>
          <w:color w:val="auto"/>
          <w:sz w:val="20"/>
          <w:szCs w:val="20"/>
        </w:rPr>
        <w:t>НАПРУГИ –</w:t>
      </w:r>
    </w:p>
    <w:p w14:paraId="3ED2B8F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LOSS</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VOLTAGE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350E4A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Зниження напруги до нуля у будь-якій точці електропостачальної</w:t>
      </w:r>
      <w:r w:rsidRPr="000977F7">
        <w:rPr>
          <w:rFonts w:asciiTheme="majorHAnsi" w:hAnsiTheme="majorHAnsi"/>
          <w:spacing w:val="-2"/>
          <w:sz w:val="20"/>
          <w:szCs w:val="20"/>
        </w:rPr>
        <w:t xml:space="preserve"> </w:t>
      </w:r>
      <w:r w:rsidRPr="000977F7">
        <w:rPr>
          <w:rFonts w:asciiTheme="majorHAnsi" w:hAnsiTheme="majorHAnsi"/>
          <w:sz w:val="20"/>
          <w:szCs w:val="20"/>
        </w:rPr>
        <w:t>системи</w:t>
      </w:r>
    </w:p>
    <w:p w14:paraId="00556C2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68220E6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ЗНИЩЕННЯ</w:t>
      </w:r>
      <w:r w:rsidRPr="000977F7">
        <w:rPr>
          <w:color w:val="auto"/>
          <w:spacing w:val="-3"/>
          <w:sz w:val="20"/>
          <w:szCs w:val="20"/>
        </w:rPr>
        <w:t xml:space="preserve"> </w:t>
      </w:r>
      <w:r w:rsidRPr="000977F7">
        <w:rPr>
          <w:color w:val="auto"/>
          <w:sz w:val="20"/>
          <w:szCs w:val="20"/>
        </w:rPr>
        <w:t>ПРОДУКЦІЇ –</w:t>
      </w:r>
    </w:p>
    <w:p w14:paraId="7D90164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Припинення існування продукції шляхом поділу її на</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будь</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якою</w:t>
      </w:r>
      <w:r w:rsidRPr="000977F7">
        <w:rPr>
          <w:rFonts w:asciiTheme="majorHAnsi" w:hAnsiTheme="majorHAnsi"/>
          <w:spacing w:val="1"/>
          <w:sz w:val="20"/>
          <w:szCs w:val="20"/>
        </w:rPr>
        <w:t xml:space="preserve"> </w:t>
      </w:r>
      <w:r w:rsidRPr="000977F7">
        <w:rPr>
          <w:rFonts w:asciiTheme="majorHAnsi" w:hAnsiTheme="majorHAnsi"/>
          <w:sz w:val="20"/>
          <w:szCs w:val="20"/>
        </w:rPr>
        <w:t>іншою</w:t>
      </w:r>
      <w:r w:rsidRPr="000977F7">
        <w:rPr>
          <w:rFonts w:asciiTheme="majorHAnsi" w:hAnsiTheme="majorHAnsi"/>
          <w:spacing w:val="1"/>
          <w:sz w:val="20"/>
          <w:szCs w:val="20"/>
        </w:rPr>
        <w:t xml:space="preserve"> </w:t>
      </w:r>
      <w:r w:rsidRPr="000977F7">
        <w:rPr>
          <w:rFonts w:asciiTheme="majorHAnsi" w:hAnsiTheme="majorHAnsi"/>
          <w:sz w:val="20"/>
          <w:szCs w:val="20"/>
        </w:rPr>
        <w:t>визначеною</w:t>
      </w:r>
      <w:r w:rsidRPr="000977F7">
        <w:rPr>
          <w:rFonts w:asciiTheme="majorHAnsi" w:hAnsiTheme="majorHAnsi"/>
          <w:spacing w:val="1"/>
          <w:sz w:val="20"/>
          <w:szCs w:val="20"/>
        </w:rPr>
        <w:t xml:space="preserve"> </w:t>
      </w:r>
      <w:r w:rsidRPr="000977F7">
        <w:rPr>
          <w:rFonts w:asciiTheme="majorHAnsi" w:hAnsiTheme="majorHAnsi"/>
          <w:sz w:val="20"/>
          <w:szCs w:val="20"/>
        </w:rPr>
        <w:t>дією,</w:t>
      </w:r>
      <w:r w:rsidRPr="000977F7">
        <w:rPr>
          <w:rFonts w:asciiTheme="majorHAnsi" w:hAnsiTheme="majorHAnsi"/>
          <w:spacing w:val="-47"/>
          <w:sz w:val="20"/>
          <w:szCs w:val="20"/>
        </w:rPr>
        <w:t xml:space="preserve"> </w:t>
      </w:r>
      <w:r w:rsidRPr="000977F7">
        <w:rPr>
          <w:rFonts w:asciiTheme="majorHAnsi" w:hAnsiTheme="majorHAnsi"/>
          <w:sz w:val="20"/>
          <w:szCs w:val="20"/>
        </w:rPr>
        <w:t>спрямованою на зміну її геометричної форми, фізичної структури, хімічного складу чи стану речовини із</w:t>
      </w:r>
      <w:r w:rsidRPr="000977F7">
        <w:rPr>
          <w:rFonts w:asciiTheme="majorHAnsi" w:hAnsiTheme="majorHAnsi"/>
          <w:spacing w:val="1"/>
          <w:sz w:val="20"/>
          <w:szCs w:val="20"/>
        </w:rPr>
        <w:t xml:space="preserve"> </w:t>
      </w:r>
      <w:r w:rsidRPr="000977F7">
        <w:rPr>
          <w:rFonts w:asciiTheme="majorHAnsi" w:hAnsiTheme="majorHAnsi"/>
          <w:sz w:val="20"/>
          <w:szCs w:val="20"/>
        </w:rPr>
        <w:t>забезпеченням безпеки для життя та здоров’я людей і</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3"/>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p>
    <w:p w14:paraId="1BB4AB1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D147BD3"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Поділ</w:t>
      </w:r>
      <w:r w:rsidRPr="000977F7">
        <w:rPr>
          <w:rFonts w:asciiTheme="majorHAnsi" w:hAnsiTheme="majorHAnsi"/>
          <w:spacing w:val="10"/>
          <w:sz w:val="20"/>
          <w:szCs w:val="20"/>
        </w:rPr>
        <w:t xml:space="preserve"> </w:t>
      </w:r>
      <w:r w:rsidRPr="000977F7">
        <w:rPr>
          <w:rFonts w:asciiTheme="majorHAnsi" w:hAnsiTheme="majorHAnsi"/>
          <w:sz w:val="20"/>
          <w:szCs w:val="20"/>
        </w:rPr>
        <w:t>виробів</w:t>
      </w:r>
      <w:r w:rsidRPr="000977F7">
        <w:rPr>
          <w:rFonts w:asciiTheme="majorHAnsi" w:hAnsiTheme="majorHAnsi"/>
          <w:spacing w:val="14"/>
          <w:sz w:val="20"/>
          <w:szCs w:val="20"/>
        </w:rPr>
        <w:t xml:space="preserve"> </w:t>
      </w:r>
      <w:r w:rsidRPr="000977F7">
        <w:rPr>
          <w:rFonts w:asciiTheme="majorHAnsi" w:hAnsiTheme="majorHAnsi"/>
          <w:sz w:val="20"/>
          <w:szCs w:val="20"/>
        </w:rPr>
        <w:t>у</w:t>
      </w:r>
      <w:r w:rsidRPr="000977F7">
        <w:rPr>
          <w:rFonts w:asciiTheme="majorHAnsi" w:hAnsiTheme="majorHAnsi"/>
          <w:spacing w:val="8"/>
          <w:sz w:val="20"/>
          <w:szCs w:val="20"/>
        </w:rPr>
        <w:t xml:space="preserve"> </w:t>
      </w:r>
      <w:r w:rsidRPr="000977F7">
        <w:rPr>
          <w:rFonts w:asciiTheme="majorHAnsi" w:hAnsiTheme="majorHAnsi"/>
          <w:sz w:val="20"/>
          <w:szCs w:val="20"/>
        </w:rPr>
        <w:t>процесі</w:t>
      </w:r>
      <w:r w:rsidRPr="000977F7">
        <w:rPr>
          <w:rFonts w:asciiTheme="majorHAnsi" w:hAnsiTheme="majorHAnsi"/>
          <w:spacing w:val="12"/>
          <w:sz w:val="20"/>
          <w:szCs w:val="20"/>
        </w:rPr>
        <w:t xml:space="preserve"> </w:t>
      </w:r>
      <w:r w:rsidRPr="000977F7">
        <w:rPr>
          <w:rFonts w:asciiTheme="majorHAnsi" w:hAnsiTheme="majorHAnsi"/>
          <w:sz w:val="20"/>
          <w:szCs w:val="20"/>
        </w:rPr>
        <w:t>їх</w:t>
      </w:r>
      <w:r w:rsidRPr="000977F7">
        <w:rPr>
          <w:rFonts w:asciiTheme="majorHAnsi" w:hAnsiTheme="majorHAnsi"/>
          <w:spacing w:val="11"/>
          <w:sz w:val="20"/>
          <w:szCs w:val="20"/>
        </w:rPr>
        <w:t xml:space="preserve"> </w:t>
      </w:r>
      <w:r w:rsidRPr="000977F7">
        <w:rPr>
          <w:rFonts w:asciiTheme="majorHAnsi" w:hAnsiTheme="majorHAnsi"/>
          <w:sz w:val="20"/>
          <w:szCs w:val="20"/>
        </w:rPr>
        <w:t>демонтажу</w:t>
      </w:r>
      <w:r w:rsidRPr="000977F7">
        <w:rPr>
          <w:rFonts w:asciiTheme="majorHAnsi" w:hAnsiTheme="majorHAnsi"/>
          <w:spacing w:val="11"/>
          <w:sz w:val="20"/>
          <w:szCs w:val="20"/>
        </w:rPr>
        <w:t xml:space="preserve"> </w:t>
      </w:r>
      <w:r w:rsidRPr="000977F7">
        <w:rPr>
          <w:rFonts w:asciiTheme="majorHAnsi" w:hAnsiTheme="majorHAnsi"/>
          <w:sz w:val="20"/>
          <w:szCs w:val="20"/>
        </w:rPr>
        <w:t>на</w:t>
      </w:r>
      <w:r w:rsidRPr="000977F7">
        <w:rPr>
          <w:rFonts w:asciiTheme="majorHAnsi" w:hAnsiTheme="majorHAnsi"/>
          <w:spacing w:val="10"/>
          <w:sz w:val="20"/>
          <w:szCs w:val="20"/>
        </w:rPr>
        <w:t xml:space="preserve"> </w:t>
      </w:r>
      <w:r w:rsidRPr="000977F7">
        <w:rPr>
          <w:rFonts w:asciiTheme="majorHAnsi" w:hAnsiTheme="majorHAnsi"/>
          <w:sz w:val="20"/>
          <w:szCs w:val="20"/>
        </w:rPr>
        <w:t>складові</w:t>
      </w:r>
      <w:r w:rsidRPr="000977F7">
        <w:rPr>
          <w:rFonts w:asciiTheme="majorHAnsi" w:hAnsiTheme="majorHAnsi"/>
          <w:spacing w:val="11"/>
          <w:sz w:val="20"/>
          <w:szCs w:val="20"/>
        </w:rPr>
        <w:t xml:space="preserve"> </w:t>
      </w:r>
      <w:r w:rsidRPr="000977F7">
        <w:rPr>
          <w:rFonts w:asciiTheme="majorHAnsi" w:hAnsiTheme="majorHAnsi"/>
          <w:sz w:val="20"/>
          <w:szCs w:val="20"/>
        </w:rPr>
        <w:t>деталі, складальні одиниці (вузли) не є їх знищенням</w:t>
      </w:r>
      <w:r w:rsidRPr="000977F7">
        <w:rPr>
          <w:rFonts w:asciiTheme="majorHAnsi" w:hAnsiTheme="majorHAnsi"/>
          <w:spacing w:val="1"/>
          <w:sz w:val="20"/>
          <w:szCs w:val="20"/>
        </w:rPr>
        <w:t xml:space="preserve"> </w:t>
      </w:r>
    </w:p>
    <w:p w14:paraId="15DF5221"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35E74D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ЗНОСОСТІЙКІСТЬ</w:t>
      </w:r>
      <w:r w:rsidRPr="000977F7">
        <w:rPr>
          <w:color w:val="auto"/>
          <w:spacing w:val="-12"/>
          <w:sz w:val="20"/>
          <w:szCs w:val="20"/>
        </w:rPr>
        <w:t xml:space="preserve"> </w:t>
      </w:r>
      <w:r w:rsidRPr="000977F7">
        <w:rPr>
          <w:color w:val="auto"/>
          <w:sz w:val="20"/>
          <w:szCs w:val="20"/>
        </w:rPr>
        <w:t>–</w:t>
      </w:r>
    </w:p>
    <w:p w14:paraId="49B5F09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WEAR</w:t>
      </w:r>
      <w:r w:rsidRPr="000977F7">
        <w:rPr>
          <w:rFonts w:asciiTheme="majorHAnsi" w:hAnsiTheme="majorHAnsi"/>
          <w:spacing w:val="-5"/>
          <w:sz w:val="20"/>
          <w:szCs w:val="20"/>
        </w:rPr>
        <w:t xml:space="preserve"> </w:t>
      </w:r>
      <w:r w:rsidRPr="000977F7">
        <w:rPr>
          <w:rFonts w:asciiTheme="majorHAnsi" w:hAnsiTheme="majorHAnsi"/>
          <w:sz w:val="20"/>
          <w:szCs w:val="20"/>
        </w:rPr>
        <w:t>RESISTANCE</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63DBB46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w:t>
      </w:r>
      <w:r w:rsidRPr="000977F7">
        <w:rPr>
          <w:rFonts w:asciiTheme="majorHAnsi" w:hAnsiTheme="majorHAnsi"/>
          <w:spacing w:val="1"/>
          <w:sz w:val="20"/>
          <w:szCs w:val="20"/>
        </w:rPr>
        <w:t xml:space="preserve"> </w:t>
      </w:r>
      <w:r w:rsidRPr="000977F7">
        <w:rPr>
          <w:rFonts w:asciiTheme="majorHAnsi" w:hAnsiTheme="majorHAnsi"/>
          <w:sz w:val="20"/>
          <w:szCs w:val="20"/>
        </w:rPr>
        <w:t>матеріалу</w:t>
      </w:r>
      <w:r w:rsidRPr="000977F7">
        <w:rPr>
          <w:rFonts w:asciiTheme="majorHAnsi" w:hAnsiTheme="majorHAnsi"/>
          <w:spacing w:val="1"/>
          <w:sz w:val="20"/>
          <w:szCs w:val="20"/>
        </w:rPr>
        <w:t xml:space="preserve"> </w:t>
      </w:r>
      <w:r w:rsidRPr="000977F7">
        <w:rPr>
          <w:rFonts w:asciiTheme="majorHAnsi" w:hAnsiTheme="majorHAnsi"/>
          <w:sz w:val="20"/>
          <w:szCs w:val="20"/>
        </w:rPr>
        <w:t>чинити</w:t>
      </w:r>
      <w:r w:rsidRPr="000977F7">
        <w:rPr>
          <w:rFonts w:asciiTheme="majorHAnsi" w:hAnsiTheme="majorHAnsi"/>
          <w:spacing w:val="1"/>
          <w:sz w:val="20"/>
          <w:szCs w:val="20"/>
        </w:rPr>
        <w:t xml:space="preserve"> </w:t>
      </w:r>
      <w:r w:rsidRPr="000977F7">
        <w:rPr>
          <w:rFonts w:asciiTheme="majorHAnsi" w:hAnsiTheme="majorHAnsi"/>
          <w:sz w:val="20"/>
          <w:szCs w:val="20"/>
        </w:rPr>
        <w:t>опір</w:t>
      </w:r>
      <w:r w:rsidRPr="000977F7">
        <w:rPr>
          <w:rFonts w:asciiTheme="majorHAnsi" w:hAnsiTheme="majorHAnsi"/>
          <w:spacing w:val="1"/>
          <w:sz w:val="20"/>
          <w:szCs w:val="20"/>
        </w:rPr>
        <w:t xml:space="preserve"> </w:t>
      </w:r>
      <w:r w:rsidRPr="000977F7">
        <w:rPr>
          <w:rFonts w:asciiTheme="majorHAnsi" w:hAnsiTheme="majorHAnsi"/>
          <w:sz w:val="20"/>
          <w:szCs w:val="20"/>
        </w:rPr>
        <w:t>зношуванню</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визначених</w:t>
      </w:r>
      <w:r w:rsidRPr="000977F7">
        <w:rPr>
          <w:rFonts w:asciiTheme="majorHAnsi" w:hAnsiTheme="majorHAnsi"/>
          <w:spacing w:val="1"/>
          <w:sz w:val="20"/>
          <w:szCs w:val="20"/>
        </w:rPr>
        <w:t xml:space="preserve"> </w:t>
      </w:r>
      <w:r w:rsidRPr="000977F7">
        <w:rPr>
          <w:rFonts w:asciiTheme="majorHAnsi" w:hAnsiTheme="majorHAnsi"/>
          <w:sz w:val="20"/>
          <w:szCs w:val="20"/>
        </w:rPr>
        <w:t>умов</w:t>
      </w:r>
      <w:r w:rsidRPr="000977F7">
        <w:rPr>
          <w:rFonts w:asciiTheme="majorHAnsi" w:hAnsiTheme="majorHAnsi"/>
          <w:spacing w:val="1"/>
          <w:sz w:val="20"/>
          <w:szCs w:val="20"/>
        </w:rPr>
        <w:t xml:space="preserve"> </w:t>
      </w:r>
      <w:r w:rsidRPr="000977F7">
        <w:rPr>
          <w:rFonts w:asciiTheme="majorHAnsi" w:hAnsiTheme="majorHAnsi"/>
          <w:sz w:val="20"/>
          <w:szCs w:val="20"/>
        </w:rPr>
        <w:t>тертя,</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оцінюється</w:t>
      </w:r>
      <w:r w:rsidRPr="000977F7">
        <w:rPr>
          <w:rFonts w:asciiTheme="majorHAnsi" w:hAnsiTheme="majorHAnsi"/>
          <w:spacing w:val="1"/>
          <w:sz w:val="20"/>
          <w:szCs w:val="20"/>
        </w:rPr>
        <w:t xml:space="preserve"> </w:t>
      </w:r>
      <w:r w:rsidRPr="000977F7">
        <w:rPr>
          <w:rFonts w:asciiTheme="majorHAnsi" w:hAnsiTheme="majorHAnsi"/>
          <w:sz w:val="20"/>
          <w:szCs w:val="20"/>
        </w:rPr>
        <w:t>величиною,</w:t>
      </w:r>
      <w:r w:rsidRPr="000977F7">
        <w:rPr>
          <w:rFonts w:asciiTheme="majorHAnsi" w:hAnsiTheme="majorHAnsi"/>
          <w:spacing w:val="-47"/>
          <w:sz w:val="20"/>
          <w:szCs w:val="20"/>
        </w:rPr>
        <w:t xml:space="preserve"> </w:t>
      </w:r>
      <w:r w:rsidRPr="000977F7">
        <w:rPr>
          <w:rFonts w:asciiTheme="majorHAnsi" w:hAnsiTheme="majorHAnsi"/>
          <w:sz w:val="20"/>
          <w:szCs w:val="20"/>
        </w:rPr>
        <w:t>зворотною</w:t>
      </w:r>
      <w:r w:rsidRPr="000977F7">
        <w:rPr>
          <w:rFonts w:asciiTheme="majorHAnsi" w:hAnsiTheme="majorHAnsi"/>
          <w:spacing w:val="1"/>
          <w:sz w:val="20"/>
          <w:szCs w:val="20"/>
        </w:rPr>
        <w:t xml:space="preserve"> </w:t>
      </w:r>
      <w:r w:rsidRPr="000977F7">
        <w:rPr>
          <w:rFonts w:asciiTheme="majorHAnsi" w:hAnsiTheme="majorHAnsi"/>
          <w:sz w:val="20"/>
          <w:szCs w:val="20"/>
        </w:rPr>
        <w:t>швидкості</w:t>
      </w:r>
      <w:r w:rsidRPr="000977F7">
        <w:rPr>
          <w:rFonts w:asciiTheme="majorHAnsi" w:hAnsiTheme="majorHAnsi"/>
          <w:spacing w:val="1"/>
          <w:sz w:val="20"/>
          <w:szCs w:val="20"/>
        </w:rPr>
        <w:t xml:space="preserve"> </w:t>
      </w:r>
      <w:r w:rsidRPr="000977F7">
        <w:rPr>
          <w:rFonts w:asciiTheme="majorHAnsi" w:hAnsiTheme="majorHAnsi"/>
          <w:sz w:val="20"/>
          <w:szCs w:val="20"/>
        </w:rPr>
        <w:t>зношування</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інтенсивності</w:t>
      </w:r>
      <w:r w:rsidRPr="000977F7">
        <w:rPr>
          <w:rFonts w:asciiTheme="majorHAnsi" w:hAnsiTheme="majorHAnsi"/>
          <w:spacing w:val="1"/>
          <w:sz w:val="20"/>
          <w:szCs w:val="20"/>
        </w:rPr>
        <w:t xml:space="preserve"> </w:t>
      </w:r>
      <w:r w:rsidRPr="000977F7">
        <w:rPr>
          <w:rFonts w:asciiTheme="majorHAnsi" w:hAnsiTheme="majorHAnsi"/>
          <w:sz w:val="20"/>
          <w:szCs w:val="20"/>
        </w:rPr>
        <w:t>зношування</w:t>
      </w:r>
    </w:p>
    <w:p w14:paraId="7EA5EF8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EE2C26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ЗНОШУВАННЯ</w:t>
      </w:r>
      <w:r w:rsidRPr="000977F7">
        <w:rPr>
          <w:color w:val="auto"/>
          <w:spacing w:val="-7"/>
          <w:sz w:val="20"/>
          <w:szCs w:val="20"/>
        </w:rPr>
        <w:t xml:space="preserve"> </w:t>
      </w:r>
      <w:r w:rsidRPr="000977F7">
        <w:rPr>
          <w:color w:val="auto"/>
          <w:sz w:val="20"/>
          <w:szCs w:val="20"/>
        </w:rPr>
        <w:t>–</w:t>
      </w:r>
    </w:p>
    <w:p w14:paraId="1C495B8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WEAR</w:t>
      </w:r>
      <w:r w:rsidRPr="000977F7">
        <w:rPr>
          <w:rFonts w:asciiTheme="majorHAnsi" w:hAnsiTheme="majorHAnsi"/>
          <w:spacing w:val="-5"/>
          <w:sz w:val="20"/>
          <w:szCs w:val="20"/>
        </w:rPr>
        <w:t xml:space="preserve"> </w:t>
      </w:r>
      <w:r w:rsidRPr="000977F7">
        <w:rPr>
          <w:rFonts w:asciiTheme="majorHAnsi" w:hAnsiTheme="majorHAnsi"/>
          <w:sz w:val="20"/>
          <w:szCs w:val="20"/>
        </w:rPr>
        <w:t>PROCESS</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454885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w:t>
      </w:r>
      <w:r w:rsidRPr="000977F7">
        <w:rPr>
          <w:rFonts w:asciiTheme="majorHAnsi" w:hAnsiTheme="majorHAnsi"/>
          <w:spacing w:val="1"/>
          <w:sz w:val="20"/>
          <w:szCs w:val="20"/>
        </w:rPr>
        <w:t xml:space="preserve"> </w:t>
      </w:r>
      <w:r w:rsidRPr="000977F7">
        <w:rPr>
          <w:rFonts w:asciiTheme="majorHAnsi" w:hAnsiTheme="majorHAnsi"/>
          <w:sz w:val="20"/>
          <w:szCs w:val="20"/>
        </w:rPr>
        <w:t>руйнування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відокремлення</w:t>
      </w:r>
      <w:r w:rsidRPr="000977F7">
        <w:rPr>
          <w:rFonts w:asciiTheme="majorHAnsi" w:hAnsiTheme="majorHAnsi"/>
          <w:spacing w:val="1"/>
          <w:sz w:val="20"/>
          <w:szCs w:val="20"/>
        </w:rPr>
        <w:t xml:space="preserve"> </w:t>
      </w:r>
      <w:r w:rsidRPr="000977F7">
        <w:rPr>
          <w:rFonts w:asciiTheme="majorHAnsi" w:hAnsiTheme="majorHAnsi"/>
          <w:sz w:val="20"/>
          <w:szCs w:val="20"/>
        </w:rPr>
        <w:t>матеріалу</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47"/>
          <w:sz w:val="20"/>
          <w:szCs w:val="20"/>
        </w:rPr>
        <w:t xml:space="preserve"> </w:t>
      </w:r>
      <w:r w:rsidRPr="000977F7">
        <w:rPr>
          <w:rFonts w:asciiTheme="majorHAnsi" w:hAnsiTheme="majorHAnsi"/>
          <w:sz w:val="20"/>
          <w:szCs w:val="20"/>
        </w:rPr>
        <w:t>поверхні</w:t>
      </w:r>
      <w:r w:rsidRPr="000977F7">
        <w:rPr>
          <w:rFonts w:asciiTheme="majorHAnsi" w:hAnsiTheme="majorHAnsi"/>
          <w:spacing w:val="1"/>
          <w:sz w:val="20"/>
          <w:szCs w:val="20"/>
        </w:rPr>
        <w:t xml:space="preserve"> </w:t>
      </w:r>
      <w:r w:rsidRPr="000977F7">
        <w:rPr>
          <w:rFonts w:asciiTheme="majorHAnsi" w:hAnsiTheme="majorHAnsi"/>
          <w:sz w:val="20"/>
          <w:szCs w:val="20"/>
        </w:rPr>
        <w:t>твердого</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нагромадження в</w:t>
      </w:r>
      <w:r w:rsidRPr="000977F7">
        <w:rPr>
          <w:rFonts w:asciiTheme="majorHAnsi" w:hAnsiTheme="majorHAnsi"/>
          <w:spacing w:val="1"/>
          <w:sz w:val="20"/>
          <w:szCs w:val="20"/>
        </w:rPr>
        <w:t xml:space="preserve"> </w:t>
      </w:r>
      <w:r w:rsidRPr="000977F7">
        <w:rPr>
          <w:rFonts w:asciiTheme="majorHAnsi" w:hAnsiTheme="majorHAnsi"/>
          <w:sz w:val="20"/>
          <w:szCs w:val="20"/>
        </w:rPr>
        <w:t>ньому</w:t>
      </w:r>
      <w:r w:rsidRPr="000977F7">
        <w:rPr>
          <w:rFonts w:asciiTheme="majorHAnsi" w:hAnsiTheme="majorHAnsi"/>
          <w:spacing w:val="1"/>
          <w:sz w:val="20"/>
          <w:szCs w:val="20"/>
        </w:rPr>
        <w:t xml:space="preserve"> </w:t>
      </w:r>
      <w:r w:rsidRPr="000977F7">
        <w:rPr>
          <w:rFonts w:asciiTheme="majorHAnsi" w:hAnsiTheme="majorHAnsi"/>
          <w:sz w:val="20"/>
          <w:szCs w:val="20"/>
        </w:rPr>
        <w:t>залишкових</w:t>
      </w:r>
      <w:r w:rsidRPr="000977F7">
        <w:rPr>
          <w:rFonts w:asciiTheme="majorHAnsi" w:hAnsiTheme="majorHAnsi"/>
          <w:spacing w:val="1"/>
          <w:sz w:val="20"/>
          <w:szCs w:val="20"/>
        </w:rPr>
        <w:t xml:space="preserve"> </w:t>
      </w:r>
      <w:r w:rsidRPr="000977F7">
        <w:rPr>
          <w:rFonts w:asciiTheme="majorHAnsi" w:hAnsiTheme="majorHAnsi"/>
          <w:sz w:val="20"/>
          <w:szCs w:val="20"/>
        </w:rPr>
        <w:t>деформацій</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тертя,</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виявляється у поступовому змінюванні розмірів і (чи)</w:t>
      </w:r>
      <w:r w:rsidRPr="000977F7">
        <w:rPr>
          <w:rFonts w:asciiTheme="majorHAnsi" w:hAnsiTheme="majorHAnsi"/>
          <w:spacing w:val="1"/>
          <w:sz w:val="20"/>
          <w:szCs w:val="20"/>
        </w:rPr>
        <w:t xml:space="preserve"> </w:t>
      </w:r>
      <w:r w:rsidRPr="000977F7">
        <w:rPr>
          <w:rFonts w:asciiTheme="majorHAnsi" w:hAnsiTheme="majorHAnsi"/>
          <w:sz w:val="20"/>
          <w:szCs w:val="20"/>
        </w:rPr>
        <w:t>форм об’єкта</w:t>
      </w:r>
    </w:p>
    <w:p w14:paraId="0A44178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14737E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ЗНЯТТЯ</w:t>
      </w:r>
      <w:r w:rsidRPr="000977F7">
        <w:rPr>
          <w:color w:val="auto"/>
          <w:spacing w:val="-3"/>
          <w:sz w:val="20"/>
          <w:szCs w:val="20"/>
        </w:rPr>
        <w:t xml:space="preserve"> </w:t>
      </w:r>
      <w:r w:rsidRPr="000977F7">
        <w:rPr>
          <w:color w:val="auto"/>
          <w:sz w:val="20"/>
          <w:szCs w:val="20"/>
        </w:rPr>
        <w:t>ПРОДУКЦІЇ</w:t>
      </w:r>
      <w:r w:rsidRPr="000977F7">
        <w:rPr>
          <w:color w:val="auto"/>
          <w:spacing w:val="-4"/>
          <w:sz w:val="20"/>
          <w:szCs w:val="20"/>
        </w:rPr>
        <w:t xml:space="preserve"> </w:t>
      </w:r>
      <w:r w:rsidRPr="000977F7">
        <w:rPr>
          <w:color w:val="auto"/>
          <w:sz w:val="20"/>
          <w:szCs w:val="20"/>
        </w:rPr>
        <w:t>З</w:t>
      </w:r>
      <w:r w:rsidRPr="000977F7">
        <w:rPr>
          <w:color w:val="auto"/>
          <w:spacing w:val="-2"/>
          <w:sz w:val="20"/>
          <w:szCs w:val="20"/>
        </w:rPr>
        <w:t xml:space="preserve"> </w:t>
      </w:r>
      <w:r w:rsidRPr="000977F7">
        <w:rPr>
          <w:color w:val="auto"/>
          <w:sz w:val="20"/>
          <w:szCs w:val="20"/>
        </w:rPr>
        <w:t>ВИРОБНИЦТВА</w:t>
      </w:r>
      <w:r w:rsidRPr="000977F7">
        <w:rPr>
          <w:color w:val="auto"/>
          <w:spacing w:val="1"/>
          <w:sz w:val="20"/>
          <w:szCs w:val="20"/>
        </w:rPr>
        <w:t xml:space="preserve"> </w:t>
      </w:r>
      <w:r w:rsidRPr="000977F7">
        <w:rPr>
          <w:color w:val="auto"/>
          <w:sz w:val="20"/>
          <w:szCs w:val="20"/>
        </w:rPr>
        <w:t>–</w:t>
      </w:r>
    </w:p>
    <w:p w14:paraId="5438C36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заходів щодо припинення виготовлення та</w:t>
      </w:r>
      <w:r w:rsidRPr="000977F7">
        <w:rPr>
          <w:rFonts w:asciiTheme="majorHAnsi" w:hAnsiTheme="majorHAnsi"/>
          <w:spacing w:val="-47"/>
          <w:sz w:val="20"/>
          <w:szCs w:val="20"/>
        </w:rPr>
        <w:t xml:space="preserve"> </w:t>
      </w:r>
      <w:r w:rsidRPr="000977F7">
        <w:rPr>
          <w:rFonts w:asciiTheme="majorHAnsi" w:hAnsiTheme="majorHAnsi"/>
          <w:sz w:val="20"/>
          <w:szCs w:val="20"/>
        </w:rPr>
        <w:t>постачання</w:t>
      </w:r>
      <w:r w:rsidRPr="000977F7">
        <w:rPr>
          <w:rFonts w:asciiTheme="majorHAnsi" w:hAnsiTheme="majorHAnsi"/>
          <w:spacing w:val="-2"/>
          <w:sz w:val="20"/>
          <w:szCs w:val="20"/>
        </w:rPr>
        <w:t xml:space="preserve"> </w:t>
      </w:r>
      <w:r w:rsidRPr="000977F7">
        <w:rPr>
          <w:rFonts w:asciiTheme="majorHAnsi" w:hAnsiTheme="majorHAnsi"/>
          <w:sz w:val="20"/>
          <w:szCs w:val="20"/>
        </w:rPr>
        <w:t>конкретної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20AC431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3278 –95</w:t>
      </w:r>
    </w:p>
    <w:p w14:paraId="0B95D36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ЗНЯТТЯ</w:t>
      </w:r>
      <w:r w:rsidRPr="000977F7">
        <w:rPr>
          <w:color w:val="auto"/>
          <w:spacing w:val="-5"/>
          <w:sz w:val="20"/>
          <w:szCs w:val="20"/>
        </w:rPr>
        <w:t xml:space="preserve"> </w:t>
      </w:r>
      <w:r w:rsidRPr="000977F7">
        <w:rPr>
          <w:color w:val="auto"/>
          <w:sz w:val="20"/>
          <w:szCs w:val="20"/>
        </w:rPr>
        <w:t>З</w:t>
      </w:r>
      <w:r w:rsidRPr="000977F7">
        <w:rPr>
          <w:color w:val="auto"/>
          <w:spacing w:val="-1"/>
          <w:sz w:val="20"/>
          <w:szCs w:val="20"/>
        </w:rPr>
        <w:t xml:space="preserve"> </w:t>
      </w:r>
      <w:r w:rsidRPr="000977F7">
        <w:rPr>
          <w:color w:val="auto"/>
          <w:sz w:val="20"/>
          <w:szCs w:val="20"/>
        </w:rPr>
        <w:t>ЕКСПЛУАТАЦІЇ-</w:t>
      </w:r>
    </w:p>
    <w:p w14:paraId="0DDC8D7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Подія, яка фіксує неможливість або недоцільність подальшого використання за призначенням та ремонту</w:t>
      </w:r>
      <w:r w:rsidRPr="000977F7">
        <w:rPr>
          <w:rFonts w:asciiTheme="majorHAnsi" w:hAnsiTheme="majorHAnsi"/>
          <w:spacing w:val="1"/>
          <w:sz w:val="20"/>
          <w:szCs w:val="20"/>
        </w:rPr>
        <w:t xml:space="preserve"> </w:t>
      </w:r>
      <w:r w:rsidRPr="000977F7">
        <w:rPr>
          <w:rFonts w:asciiTheme="majorHAnsi" w:hAnsiTheme="majorHAnsi"/>
          <w:sz w:val="20"/>
          <w:szCs w:val="20"/>
        </w:rPr>
        <w:t>виробу і документально оформлена в установленому</w:t>
      </w:r>
      <w:r w:rsidRPr="000977F7">
        <w:rPr>
          <w:rFonts w:asciiTheme="majorHAnsi" w:hAnsiTheme="majorHAnsi"/>
          <w:spacing w:val="1"/>
          <w:sz w:val="20"/>
          <w:szCs w:val="20"/>
        </w:rPr>
        <w:t xml:space="preserve"> </w:t>
      </w:r>
      <w:r w:rsidRPr="000977F7">
        <w:rPr>
          <w:rFonts w:asciiTheme="majorHAnsi" w:hAnsiTheme="majorHAnsi"/>
          <w:sz w:val="20"/>
          <w:szCs w:val="20"/>
        </w:rPr>
        <w:t>порядку</w:t>
      </w:r>
    </w:p>
    <w:p w14:paraId="612B965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ЗОВНІШНЄ</w:t>
      </w:r>
      <w:r w:rsidRPr="000977F7">
        <w:rPr>
          <w:color w:val="auto"/>
          <w:spacing w:val="-5"/>
          <w:sz w:val="20"/>
          <w:szCs w:val="20"/>
        </w:rPr>
        <w:t xml:space="preserve"> </w:t>
      </w:r>
      <w:r w:rsidRPr="000977F7">
        <w:rPr>
          <w:color w:val="auto"/>
          <w:sz w:val="20"/>
          <w:szCs w:val="20"/>
        </w:rPr>
        <w:t>ДІЯННЯ-</w:t>
      </w:r>
    </w:p>
    <w:p w14:paraId="6032B94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EXTERNAL</w:t>
      </w:r>
      <w:r w:rsidRPr="000977F7">
        <w:rPr>
          <w:rFonts w:asciiTheme="majorHAnsi" w:hAnsiTheme="majorHAnsi"/>
          <w:spacing w:val="-2"/>
          <w:sz w:val="20"/>
          <w:szCs w:val="20"/>
        </w:rPr>
        <w:t xml:space="preserve"> </w:t>
      </w:r>
      <w:r w:rsidRPr="000977F7">
        <w:rPr>
          <w:rFonts w:asciiTheme="majorHAnsi" w:hAnsiTheme="majorHAnsi"/>
          <w:sz w:val="20"/>
          <w:szCs w:val="20"/>
        </w:rPr>
        <w:t>ACTION-</w:t>
      </w:r>
    </w:p>
    <w:p w14:paraId="14FBC6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Діяння на об’єкт з боку іншого або інших об’єктів</w:t>
      </w:r>
      <w:r w:rsidRPr="000977F7">
        <w:rPr>
          <w:rFonts w:asciiTheme="majorHAnsi" w:hAnsiTheme="majorHAnsi"/>
          <w:spacing w:val="1"/>
          <w:sz w:val="20"/>
          <w:szCs w:val="20"/>
        </w:rPr>
        <w:t xml:space="preserve"> </w:t>
      </w:r>
      <w:r w:rsidRPr="000977F7">
        <w:rPr>
          <w:rFonts w:asciiTheme="majorHAnsi" w:hAnsiTheme="majorHAnsi"/>
          <w:sz w:val="20"/>
          <w:szCs w:val="20"/>
        </w:rPr>
        <w:t>зовнішнього середовища</w:t>
      </w:r>
    </w:p>
    <w:p w14:paraId="19F306B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3956 - 2000</w:t>
      </w:r>
    </w:p>
    <w:p w14:paraId="1B562BD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ЗОВНІШНЄ</w:t>
      </w:r>
      <w:r w:rsidRPr="000977F7">
        <w:rPr>
          <w:color w:val="auto"/>
          <w:spacing w:val="-6"/>
          <w:sz w:val="20"/>
          <w:szCs w:val="20"/>
        </w:rPr>
        <w:t xml:space="preserve"> </w:t>
      </w:r>
      <w:r w:rsidRPr="000977F7">
        <w:rPr>
          <w:color w:val="auto"/>
          <w:sz w:val="20"/>
          <w:szCs w:val="20"/>
        </w:rPr>
        <w:t>СЕРЕДОВИЩЕ-</w:t>
      </w:r>
    </w:p>
    <w:p w14:paraId="53DBE2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ENVIRONMENT-</w:t>
      </w:r>
    </w:p>
    <w:p w14:paraId="359669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Середовище об’єкта, яке може впливати на його влас</w:t>
      </w:r>
      <w:r w:rsidRPr="000977F7">
        <w:rPr>
          <w:rFonts w:asciiTheme="majorHAnsi" w:hAnsiTheme="majorHAnsi"/>
          <w:spacing w:val="-47"/>
          <w:sz w:val="20"/>
          <w:szCs w:val="20"/>
        </w:rPr>
        <w:t xml:space="preserve"> </w:t>
      </w:r>
      <w:r w:rsidRPr="000977F7">
        <w:rPr>
          <w:rFonts w:asciiTheme="majorHAnsi" w:hAnsiTheme="majorHAnsi"/>
          <w:sz w:val="20"/>
          <w:szCs w:val="20"/>
        </w:rPr>
        <w:t>тивості</w:t>
      </w:r>
    </w:p>
    <w:p w14:paraId="6659D1C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3956 - 2000</w:t>
      </w:r>
    </w:p>
    <w:p w14:paraId="1ED1925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ЗОВНІШНІ</w:t>
      </w:r>
      <w:r w:rsidRPr="000977F7">
        <w:rPr>
          <w:color w:val="auto"/>
          <w:spacing w:val="-4"/>
          <w:sz w:val="20"/>
          <w:szCs w:val="20"/>
        </w:rPr>
        <w:t xml:space="preserve"> </w:t>
      </w:r>
      <w:r w:rsidRPr="000977F7">
        <w:rPr>
          <w:color w:val="auto"/>
          <w:sz w:val="20"/>
          <w:szCs w:val="20"/>
        </w:rPr>
        <w:t>ЧИННИКИ</w:t>
      </w:r>
      <w:r w:rsidRPr="000977F7">
        <w:rPr>
          <w:color w:val="auto"/>
          <w:spacing w:val="-2"/>
          <w:sz w:val="20"/>
          <w:szCs w:val="20"/>
        </w:rPr>
        <w:t xml:space="preserve"> </w:t>
      </w:r>
      <w:r w:rsidRPr="000977F7">
        <w:rPr>
          <w:color w:val="auto"/>
          <w:sz w:val="20"/>
          <w:szCs w:val="20"/>
        </w:rPr>
        <w:t>КОРОЗІЇ</w:t>
      </w:r>
      <w:r w:rsidRPr="000977F7">
        <w:rPr>
          <w:color w:val="auto"/>
          <w:spacing w:val="-4"/>
          <w:sz w:val="20"/>
          <w:szCs w:val="20"/>
        </w:rPr>
        <w:t xml:space="preserve"> </w:t>
      </w:r>
      <w:r w:rsidRPr="000977F7">
        <w:rPr>
          <w:color w:val="auto"/>
          <w:sz w:val="20"/>
          <w:szCs w:val="20"/>
        </w:rPr>
        <w:t>—</w:t>
      </w:r>
    </w:p>
    <w:p w14:paraId="68E6EA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Чинники, які впливають на швидкість, вид корозії та</w:t>
      </w:r>
      <w:r w:rsidRPr="000977F7">
        <w:rPr>
          <w:rFonts w:asciiTheme="majorHAnsi" w:hAnsiTheme="majorHAnsi"/>
          <w:spacing w:val="1"/>
          <w:sz w:val="20"/>
          <w:szCs w:val="20"/>
        </w:rPr>
        <w:t xml:space="preserve"> </w:t>
      </w:r>
      <w:r w:rsidRPr="000977F7">
        <w:rPr>
          <w:rFonts w:asciiTheme="majorHAnsi" w:hAnsiTheme="majorHAnsi"/>
          <w:sz w:val="20"/>
          <w:szCs w:val="20"/>
        </w:rPr>
        <w:t>зумовлені корозивним середовищем (склад, температура, тиск середовища, швидкість руху металу відносно середовища тощо)</w:t>
      </w:r>
    </w:p>
    <w:p w14:paraId="7DCA3E8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52CD46D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ЗОВНІШНІЙ ЗАСІБ ТЕХНІЧНОГО ДІАГНОСТУВАННЯ –</w:t>
      </w:r>
    </w:p>
    <w:p w14:paraId="282272F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OFF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VECHICLE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DIAGNOSTIC</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EQUIPMENT;</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STATION –</w:t>
      </w:r>
    </w:p>
    <w:p w14:paraId="4CA0C8D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Засіб діагностування, виконаний конструктивно відокремленим від</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4F46B86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71D1365" w14:textId="77777777" w:rsidR="0097612F" w:rsidRPr="000977F7" w:rsidRDefault="0097612F" w:rsidP="000977F7">
      <w:pPr>
        <w:pStyle w:val="7"/>
        <w:tabs>
          <w:tab w:val="left" w:pos="284"/>
        </w:tabs>
        <w:spacing w:before="0" w:line="240" w:lineRule="auto"/>
        <w:ind w:left="170"/>
        <w:mirrorIndents/>
        <w:jc w:val="both"/>
        <w:rPr>
          <w:i/>
          <w:color w:val="auto"/>
          <w:sz w:val="20"/>
          <w:szCs w:val="20"/>
        </w:rPr>
      </w:pPr>
      <w:r w:rsidRPr="000977F7">
        <w:rPr>
          <w:color w:val="auto"/>
          <w:sz w:val="20"/>
          <w:szCs w:val="20"/>
        </w:rPr>
        <w:t>ЗОВНІШНІЙ</w:t>
      </w:r>
      <w:r w:rsidRPr="000977F7">
        <w:rPr>
          <w:color w:val="auto"/>
          <w:spacing w:val="30"/>
          <w:sz w:val="20"/>
          <w:szCs w:val="20"/>
        </w:rPr>
        <w:t xml:space="preserve"> </w:t>
      </w:r>
      <w:r w:rsidRPr="000977F7">
        <w:rPr>
          <w:color w:val="auto"/>
          <w:sz w:val="20"/>
          <w:szCs w:val="20"/>
        </w:rPr>
        <w:t>ПОСТАЧАЛЬНИК;</w:t>
      </w:r>
      <w:r w:rsidRPr="000977F7">
        <w:rPr>
          <w:color w:val="auto"/>
          <w:spacing w:val="29"/>
          <w:sz w:val="20"/>
          <w:szCs w:val="20"/>
        </w:rPr>
        <w:t xml:space="preserve"> </w:t>
      </w:r>
      <w:r w:rsidRPr="000977F7">
        <w:rPr>
          <w:color w:val="auto"/>
          <w:sz w:val="20"/>
          <w:szCs w:val="20"/>
        </w:rPr>
        <w:t>ЗОВНІШНІЙ</w:t>
      </w:r>
      <w:r w:rsidRPr="000977F7">
        <w:rPr>
          <w:color w:val="auto"/>
          <w:spacing w:val="-47"/>
          <w:sz w:val="20"/>
          <w:szCs w:val="20"/>
        </w:rPr>
        <w:t xml:space="preserve"> </w:t>
      </w:r>
      <w:r w:rsidRPr="000977F7">
        <w:rPr>
          <w:color w:val="auto"/>
          <w:sz w:val="20"/>
          <w:szCs w:val="20"/>
        </w:rPr>
        <w:t>ПРОВАЙДЕР</w:t>
      </w:r>
      <w:r w:rsidRPr="000977F7">
        <w:rPr>
          <w:color w:val="auto"/>
          <w:spacing w:val="1"/>
          <w:sz w:val="20"/>
          <w:szCs w:val="20"/>
        </w:rPr>
        <w:t xml:space="preserve"> </w:t>
      </w:r>
      <w:r w:rsidRPr="000977F7">
        <w:rPr>
          <w:i/>
          <w:color w:val="auto"/>
          <w:sz w:val="20"/>
          <w:szCs w:val="20"/>
        </w:rPr>
        <w:t>–</w:t>
      </w:r>
    </w:p>
    <w:p w14:paraId="617DEA9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EXTERNAL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SUPPLIER;</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EXTERNAL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PROVIDER-</w:t>
      </w:r>
    </w:p>
    <w:p w14:paraId="369CDD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Постачальник</w:t>
      </w:r>
      <w:r w:rsidRPr="004D2D14">
        <w:rPr>
          <w:rFonts w:asciiTheme="majorHAnsi" w:hAnsiTheme="majorHAnsi"/>
          <w:sz w:val="20"/>
          <w:szCs w:val="20"/>
          <w:lang w:val="en-US"/>
        </w:rPr>
        <w:t xml:space="preserve">, </w:t>
      </w:r>
      <w:r w:rsidRPr="000977F7">
        <w:rPr>
          <w:rFonts w:asciiTheme="majorHAnsi" w:hAnsiTheme="majorHAnsi"/>
          <w:sz w:val="20"/>
          <w:szCs w:val="20"/>
        </w:rPr>
        <w:t>який</w:t>
      </w:r>
      <w:r w:rsidRPr="004D2D14">
        <w:rPr>
          <w:rFonts w:asciiTheme="majorHAnsi" w:hAnsiTheme="majorHAnsi"/>
          <w:sz w:val="20"/>
          <w:szCs w:val="20"/>
          <w:lang w:val="en-US"/>
        </w:rPr>
        <w:t xml:space="preserve"> </w:t>
      </w:r>
      <w:r w:rsidRPr="000977F7">
        <w:rPr>
          <w:rFonts w:asciiTheme="majorHAnsi" w:hAnsiTheme="majorHAnsi"/>
          <w:sz w:val="20"/>
          <w:szCs w:val="20"/>
        </w:rPr>
        <w:t>не</w:t>
      </w:r>
      <w:r w:rsidRPr="004D2D14">
        <w:rPr>
          <w:rFonts w:asciiTheme="majorHAnsi" w:hAnsiTheme="majorHAnsi"/>
          <w:sz w:val="20"/>
          <w:szCs w:val="20"/>
          <w:lang w:val="en-US"/>
        </w:rPr>
        <w:t xml:space="preserve"> </w:t>
      </w:r>
      <w:r w:rsidRPr="000977F7">
        <w:rPr>
          <w:rFonts w:asciiTheme="majorHAnsi" w:hAnsiTheme="majorHAnsi"/>
          <w:sz w:val="20"/>
          <w:szCs w:val="20"/>
        </w:rPr>
        <w:t>є</w:t>
      </w:r>
      <w:r w:rsidRPr="004D2D14">
        <w:rPr>
          <w:rFonts w:asciiTheme="majorHAnsi" w:hAnsiTheme="majorHAnsi"/>
          <w:sz w:val="20"/>
          <w:szCs w:val="20"/>
          <w:lang w:val="en-US"/>
        </w:rPr>
        <w:t xml:space="preserve"> </w:t>
      </w:r>
      <w:r w:rsidRPr="000977F7">
        <w:rPr>
          <w:rFonts w:asciiTheme="majorHAnsi" w:hAnsiTheme="majorHAnsi"/>
          <w:sz w:val="20"/>
          <w:szCs w:val="20"/>
        </w:rPr>
        <w:t>частиною</w:t>
      </w:r>
      <w:r w:rsidRPr="004D2D14">
        <w:rPr>
          <w:rFonts w:asciiTheme="majorHAnsi" w:hAnsiTheme="majorHAnsi"/>
          <w:sz w:val="20"/>
          <w:szCs w:val="20"/>
          <w:lang w:val="en-US"/>
        </w:rPr>
        <w:t xml:space="preserve"> </w:t>
      </w:r>
      <w:r w:rsidRPr="000977F7">
        <w:rPr>
          <w:rFonts w:asciiTheme="majorHAnsi" w:hAnsiTheme="majorHAnsi"/>
          <w:sz w:val="20"/>
          <w:szCs w:val="20"/>
        </w:rPr>
        <w:t>організації</w:t>
      </w:r>
      <w:r w:rsidRPr="004D2D14">
        <w:rPr>
          <w:rFonts w:asciiTheme="majorHAnsi" w:hAnsiTheme="majorHAnsi"/>
          <w:sz w:val="20"/>
          <w:szCs w:val="20"/>
          <w:lang w:val="en-US"/>
        </w:rPr>
        <w:t>.</w:t>
      </w:r>
      <w:r w:rsidRPr="004D2D14">
        <w:rPr>
          <w:rFonts w:asciiTheme="majorHAnsi" w:hAnsiTheme="majorHAnsi"/>
          <w:spacing w:val="-48"/>
          <w:sz w:val="20"/>
          <w:szCs w:val="20"/>
          <w:lang w:val="en-US"/>
        </w:rPr>
        <w:t xml:space="preserve"> </w:t>
      </w:r>
      <w:r w:rsidRPr="000977F7">
        <w:rPr>
          <w:rFonts w:asciiTheme="majorHAnsi" w:hAnsiTheme="majorHAnsi"/>
          <w:sz w:val="20"/>
          <w:szCs w:val="20"/>
        </w:rPr>
        <w:t>Приклади.</w:t>
      </w:r>
    </w:p>
    <w:p w14:paraId="3AFA7C61"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z w:val="20"/>
          <w:szCs w:val="20"/>
        </w:rPr>
        <w:t>Виробник,</w:t>
      </w:r>
      <w:r w:rsidRPr="000977F7">
        <w:rPr>
          <w:rFonts w:asciiTheme="majorHAnsi" w:hAnsiTheme="majorHAnsi"/>
          <w:spacing w:val="4"/>
          <w:sz w:val="20"/>
          <w:szCs w:val="20"/>
        </w:rPr>
        <w:t xml:space="preserve"> </w:t>
      </w:r>
      <w:r w:rsidRPr="000977F7">
        <w:rPr>
          <w:rFonts w:asciiTheme="majorHAnsi" w:hAnsiTheme="majorHAnsi"/>
          <w:sz w:val="20"/>
          <w:szCs w:val="20"/>
        </w:rPr>
        <w:t>дистриб'ютор,</w:t>
      </w:r>
      <w:r w:rsidRPr="000977F7">
        <w:rPr>
          <w:rFonts w:asciiTheme="majorHAnsi" w:hAnsiTheme="majorHAnsi"/>
          <w:spacing w:val="4"/>
          <w:sz w:val="20"/>
          <w:szCs w:val="20"/>
        </w:rPr>
        <w:t xml:space="preserve"> </w:t>
      </w:r>
      <w:r w:rsidRPr="000977F7">
        <w:rPr>
          <w:rFonts w:asciiTheme="majorHAnsi" w:hAnsiTheme="majorHAnsi"/>
          <w:sz w:val="20"/>
          <w:szCs w:val="20"/>
        </w:rPr>
        <w:t>роздрібний</w:t>
      </w:r>
      <w:r w:rsidRPr="000977F7">
        <w:rPr>
          <w:rFonts w:asciiTheme="majorHAnsi" w:hAnsiTheme="majorHAnsi"/>
          <w:spacing w:val="5"/>
          <w:sz w:val="20"/>
          <w:szCs w:val="20"/>
        </w:rPr>
        <w:t xml:space="preserve"> </w:t>
      </w:r>
      <w:r w:rsidRPr="000977F7">
        <w:rPr>
          <w:rFonts w:asciiTheme="majorHAnsi" w:hAnsiTheme="majorHAnsi"/>
          <w:sz w:val="20"/>
          <w:szCs w:val="20"/>
        </w:rPr>
        <w:t>продавець</w:t>
      </w:r>
      <w:r w:rsidRPr="000977F7">
        <w:rPr>
          <w:rFonts w:asciiTheme="majorHAnsi" w:hAnsiTheme="majorHAnsi"/>
          <w:spacing w:val="4"/>
          <w:sz w:val="20"/>
          <w:szCs w:val="20"/>
        </w:rPr>
        <w:t xml:space="preserve"> </w:t>
      </w:r>
      <w:r w:rsidRPr="000977F7">
        <w:rPr>
          <w:rFonts w:asciiTheme="majorHAnsi" w:hAnsiTheme="majorHAnsi"/>
          <w:sz w:val="20"/>
          <w:szCs w:val="20"/>
        </w:rPr>
        <w:t>або</w:t>
      </w:r>
      <w:r w:rsidRPr="000977F7">
        <w:rPr>
          <w:rFonts w:asciiTheme="majorHAnsi" w:hAnsiTheme="majorHAnsi"/>
          <w:spacing w:val="-47"/>
          <w:sz w:val="20"/>
          <w:szCs w:val="20"/>
        </w:rPr>
        <w:t xml:space="preserve"> </w:t>
      </w:r>
      <w:r w:rsidRPr="000977F7">
        <w:rPr>
          <w:rFonts w:asciiTheme="majorHAnsi" w:hAnsiTheme="majorHAnsi"/>
          <w:sz w:val="20"/>
          <w:szCs w:val="20"/>
        </w:rPr>
        <w:t>агент</w:t>
      </w:r>
      <w:r w:rsidRPr="000977F7">
        <w:rPr>
          <w:rFonts w:asciiTheme="majorHAnsi" w:hAnsiTheme="majorHAnsi"/>
          <w:spacing w:val="-2"/>
          <w:sz w:val="20"/>
          <w:szCs w:val="20"/>
        </w:rPr>
        <w:t xml:space="preserve"> </w:t>
      </w:r>
      <w:r w:rsidRPr="000977F7">
        <w:rPr>
          <w:rFonts w:asciiTheme="majorHAnsi" w:hAnsiTheme="majorHAnsi"/>
          <w:sz w:val="20"/>
          <w:szCs w:val="20"/>
        </w:rPr>
        <w:t>з продажу</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послуги</w:t>
      </w:r>
      <w:r w:rsidRPr="000977F7">
        <w:rPr>
          <w:rFonts w:asciiTheme="majorHAnsi" w:hAnsiTheme="majorHAnsi"/>
          <w:spacing w:val="-2"/>
          <w:sz w:val="20"/>
          <w:szCs w:val="20"/>
        </w:rPr>
        <w:t xml:space="preserve"> </w:t>
      </w:r>
      <w:r w:rsidRPr="000977F7">
        <w:rPr>
          <w:rFonts w:asciiTheme="majorHAnsi" w:hAnsiTheme="majorHAnsi"/>
          <w:b/>
          <w:sz w:val="20"/>
          <w:szCs w:val="20"/>
        </w:rPr>
        <w:t>.</w:t>
      </w:r>
    </w:p>
    <w:p w14:paraId="36826051"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ISO</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9001:2015</w:t>
      </w:r>
    </w:p>
    <w:p w14:paraId="42B5DD6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ЗОВНІШНІЙ</w:t>
      </w:r>
      <w:r w:rsidRPr="000977F7">
        <w:rPr>
          <w:color w:val="auto"/>
          <w:spacing w:val="-4"/>
          <w:sz w:val="20"/>
          <w:szCs w:val="20"/>
        </w:rPr>
        <w:t xml:space="preserve"> </w:t>
      </w:r>
      <w:r w:rsidRPr="000977F7">
        <w:rPr>
          <w:color w:val="auto"/>
          <w:sz w:val="20"/>
          <w:szCs w:val="20"/>
        </w:rPr>
        <w:t>СИГНАЛ-</w:t>
      </w:r>
    </w:p>
    <w:p w14:paraId="55FC0B1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EXTERNAL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SIGNAL-</w:t>
      </w:r>
    </w:p>
    <w:p w14:paraId="41434F0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прикладено</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боку</w:t>
      </w:r>
      <w:r w:rsidRPr="000977F7">
        <w:rPr>
          <w:rFonts w:asciiTheme="majorHAnsi" w:hAnsiTheme="majorHAnsi"/>
          <w:spacing w:val="1"/>
          <w:sz w:val="20"/>
          <w:szCs w:val="20"/>
        </w:rPr>
        <w:t xml:space="preserve"> </w:t>
      </w:r>
      <w:r w:rsidRPr="000977F7">
        <w:rPr>
          <w:rFonts w:asciiTheme="majorHAnsi" w:hAnsiTheme="majorHAnsi"/>
          <w:sz w:val="20"/>
          <w:szCs w:val="20"/>
        </w:rPr>
        <w:t>іншого</w:t>
      </w:r>
      <w:r w:rsidRPr="000977F7">
        <w:rPr>
          <w:rFonts w:asciiTheme="majorHAnsi" w:hAnsiTheme="majorHAnsi"/>
          <w:spacing w:val="-47"/>
          <w:sz w:val="20"/>
          <w:szCs w:val="20"/>
        </w:rPr>
        <w:t xml:space="preserve"> </w:t>
      </w:r>
      <w:r w:rsidRPr="000977F7">
        <w:rPr>
          <w:rFonts w:asciiTheme="majorHAnsi" w:hAnsiTheme="majorHAnsi"/>
          <w:sz w:val="20"/>
          <w:szCs w:val="20"/>
        </w:rPr>
        <w:t>об’єкта</w:t>
      </w:r>
    </w:p>
    <w:p w14:paraId="4E3C4E5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3956 - 2000</w:t>
      </w:r>
    </w:p>
    <w:p w14:paraId="7A95FDF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ЗОВНІШНЯ</w:t>
      </w:r>
      <w:r w:rsidRPr="000977F7">
        <w:rPr>
          <w:color w:val="auto"/>
          <w:spacing w:val="-3"/>
          <w:sz w:val="20"/>
          <w:szCs w:val="20"/>
        </w:rPr>
        <w:t xml:space="preserve"> </w:t>
      </w:r>
      <w:r w:rsidRPr="000977F7">
        <w:rPr>
          <w:color w:val="auto"/>
          <w:sz w:val="20"/>
          <w:szCs w:val="20"/>
        </w:rPr>
        <w:t>ЗАВАДА</w:t>
      </w:r>
      <w:r w:rsidRPr="000977F7">
        <w:rPr>
          <w:color w:val="auto"/>
          <w:spacing w:val="-1"/>
          <w:sz w:val="20"/>
          <w:szCs w:val="20"/>
        </w:rPr>
        <w:t xml:space="preserve"> </w:t>
      </w:r>
      <w:r w:rsidRPr="000977F7">
        <w:rPr>
          <w:color w:val="auto"/>
          <w:sz w:val="20"/>
          <w:szCs w:val="20"/>
        </w:rPr>
        <w:t>–</w:t>
      </w:r>
    </w:p>
    <w:p w14:paraId="673C42C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EXTERNAL</w:t>
      </w:r>
      <w:r w:rsidRPr="000977F7">
        <w:rPr>
          <w:rFonts w:asciiTheme="majorHAnsi" w:hAnsiTheme="majorHAnsi"/>
          <w:spacing w:val="-4"/>
          <w:sz w:val="20"/>
          <w:szCs w:val="20"/>
        </w:rPr>
        <w:t xml:space="preserve"> </w:t>
      </w:r>
      <w:r w:rsidRPr="000977F7">
        <w:rPr>
          <w:rFonts w:asciiTheme="majorHAnsi" w:hAnsiTheme="majorHAnsi"/>
          <w:sz w:val="20"/>
          <w:szCs w:val="20"/>
        </w:rPr>
        <w:t>NOISE –</w:t>
      </w:r>
    </w:p>
    <w:p w14:paraId="0DDA64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Завада</w:t>
      </w:r>
      <w:r w:rsidRPr="000977F7">
        <w:rPr>
          <w:rFonts w:asciiTheme="majorHAnsi" w:hAnsiTheme="majorHAnsi"/>
          <w:spacing w:val="13"/>
          <w:sz w:val="20"/>
          <w:szCs w:val="20"/>
        </w:rPr>
        <w:t xml:space="preserve"> </w:t>
      </w:r>
      <w:r w:rsidRPr="000977F7">
        <w:rPr>
          <w:rFonts w:asciiTheme="majorHAnsi" w:hAnsiTheme="majorHAnsi"/>
          <w:sz w:val="20"/>
          <w:szCs w:val="20"/>
        </w:rPr>
        <w:t>обчислювальній</w:t>
      </w:r>
      <w:r w:rsidRPr="000977F7">
        <w:rPr>
          <w:rFonts w:asciiTheme="majorHAnsi" w:hAnsiTheme="majorHAnsi"/>
          <w:spacing w:val="13"/>
          <w:sz w:val="20"/>
          <w:szCs w:val="20"/>
        </w:rPr>
        <w:t xml:space="preserve"> </w:t>
      </w:r>
      <w:r w:rsidRPr="000977F7">
        <w:rPr>
          <w:rFonts w:asciiTheme="majorHAnsi" w:hAnsiTheme="majorHAnsi"/>
          <w:sz w:val="20"/>
          <w:szCs w:val="20"/>
        </w:rPr>
        <w:t>машині,</w:t>
      </w:r>
      <w:r w:rsidRPr="000977F7">
        <w:rPr>
          <w:rFonts w:asciiTheme="majorHAnsi" w:hAnsiTheme="majorHAnsi"/>
          <w:spacing w:val="15"/>
          <w:sz w:val="20"/>
          <w:szCs w:val="20"/>
        </w:rPr>
        <w:t xml:space="preserve"> </w:t>
      </w:r>
      <w:r w:rsidRPr="000977F7">
        <w:rPr>
          <w:rFonts w:asciiTheme="majorHAnsi" w:hAnsiTheme="majorHAnsi"/>
          <w:sz w:val="20"/>
          <w:szCs w:val="20"/>
        </w:rPr>
        <w:t>джерело</w:t>
      </w:r>
      <w:r w:rsidRPr="000977F7">
        <w:rPr>
          <w:rFonts w:asciiTheme="majorHAnsi" w:hAnsiTheme="majorHAnsi"/>
          <w:spacing w:val="13"/>
          <w:sz w:val="20"/>
          <w:szCs w:val="20"/>
        </w:rPr>
        <w:t xml:space="preserve"> </w:t>
      </w:r>
      <w:r w:rsidRPr="000977F7">
        <w:rPr>
          <w:rFonts w:asciiTheme="majorHAnsi" w:hAnsiTheme="majorHAnsi"/>
          <w:sz w:val="20"/>
          <w:szCs w:val="20"/>
        </w:rPr>
        <w:t>якої</w:t>
      </w:r>
      <w:r w:rsidRPr="000977F7">
        <w:rPr>
          <w:rFonts w:asciiTheme="majorHAnsi" w:hAnsiTheme="majorHAnsi"/>
          <w:spacing w:val="15"/>
          <w:sz w:val="20"/>
          <w:szCs w:val="20"/>
        </w:rPr>
        <w:t xml:space="preserve"> </w:t>
      </w:r>
      <w:r w:rsidRPr="000977F7">
        <w:rPr>
          <w:rFonts w:asciiTheme="majorHAnsi" w:hAnsiTheme="majorHAnsi"/>
          <w:sz w:val="20"/>
          <w:szCs w:val="20"/>
        </w:rPr>
        <w:t>не</w:t>
      </w:r>
      <w:r w:rsidRPr="000977F7">
        <w:rPr>
          <w:rFonts w:asciiTheme="majorHAnsi" w:hAnsiTheme="majorHAnsi"/>
          <w:spacing w:val="13"/>
          <w:sz w:val="20"/>
          <w:szCs w:val="20"/>
        </w:rPr>
        <w:t xml:space="preserve"> </w:t>
      </w:r>
      <w:r w:rsidRPr="000977F7">
        <w:rPr>
          <w:rFonts w:asciiTheme="majorHAnsi" w:hAnsiTheme="majorHAnsi"/>
          <w:sz w:val="20"/>
          <w:szCs w:val="20"/>
        </w:rPr>
        <w:t>є</w:t>
      </w:r>
      <w:r w:rsidRPr="000977F7">
        <w:rPr>
          <w:rFonts w:asciiTheme="majorHAnsi" w:hAnsiTheme="majorHAnsi"/>
          <w:spacing w:val="-47"/>
          <w:sz w:val="20"/>
          <w:szCs w:val="20"/>
        </w:rPr>
        <w:t xml:space="preserve"> </w:t>
      </w:r>
      <w:r w:rsidRPr="000977F7">
        <w:rPr>
          <w:rFonts w:asciiTheme="majorHAnsi" w:hAnsiTheme="majorHAnsi"/>
          <w:sz w:val="20"/>
          <w:szCs w:val="20"/>
        </w:rPr>
        <w:t>частиною</w:t>
      </w:r>
      <w:r w:rsidRPr="000977F7">
        <w:rPr>
          <w:rFonts w:asciiTheme="majorHAnsi" w:hAnsiTheme="majorHAnsi"/>
          <w:spacing w:val="-1"/>
          <w:sz w:val="20"/>
          <w:szCs w:val="20"/>
        </w:rPr>
        <w:t xml:space="preserve"> </w:t>
      </w:r>
      <w:r w:rsidRPr="000977F7">
        <w:rPr>
          <w:rFonts w:asciiTheme="majorHAnsi" w:hAnsiTheme="majorHAnsi"/>
          <w:sz w:val="20"/>
          <w:szCs w:val="20"/>
        </w:rPr>
        <w:t>обчислювальної</w:t>
      </w:r>
      <w:r w:rsidRPr="000977F7">
        <w:rPr>
          <w:rFonts w:asciiTheme="majorHAnsi" w:hAnsiTheme="majorHAnsi"/>
          <w:spacing w:val="-1"/>
          <w:sz w:val="20"/>
          <w:szCs w:val="20"/>
        </w:rPr>
        <w:t xml:space="preserve"> </w:t>
      </w:r>
      <w:r w:rsidRPr="000977F7">
        <w:rPr>
          <w:rFonts w:asciiTheme="majorHAnsi" w:hAnsiTheme="majorHAnsi"/>
          <w:sz w:val="20"/>
          <w:szCs w:val="20"/>
        </w:rPr>
        <w:t>машини</w:t>
      </w:r>
    </w:p>
    <w:p w14:paraId="0E42A9D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ISO/IEC2382:2017</w:t>
      </w:r>
    </w:p>
    <w:p w14:paraId="2E7A17C9"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ЗОВНІШНЯ</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СИЛА</w:t>
      </w:r>
      <w:r w:rsidRPr="004D2D14">
        <w:rPr>
          <w:rFonts w:asciiTheme="majorHAnsi" w:hAnsiTheme="majorHAnsi"/>
          <w:b/>
          <w:spacing w:val="1"/>
          <w:sz w:val="20"/>
          <w:szCs w:val="20"/>
          <w:lang w:val="en-US"/>
        </w:rPr>
        <w:t xml:space="preserve"> </w:t>
      </w:r>
      <w:r w:rsidRPr="004D2D14">
        <w:rPr>
          <w:rFonts w:asciiTheme="majorHAnsi" w:hAnsiTheme="majorHAnsi"/>
          <w:b/>
          <w:sz w:val="20"/>
          <w:szCs w:val="20"/>
          <w:lang w:val="en-US"/>
        </w:rPr>
        <w:t>–</w:t>
      </w:r>
      <w:r w:rsidRPr="004D2D14">
        <w:rPr>
          <w:rFonts w:asciiTheme="majorHAnsi" w:hAnsiTheme="majorHAnsi"/>
          <w:b/>
          <w:spacing w:val="1"/>
          <w:sz w:val="20"/>
          <w:szCs w:val="20"/>
          <w:lang w:val="en-US"/>
        </w:rPr>
        <w:t xml:space="preserve"> </w:t>
      </w:r>
      <w:r w:rsidRPr="004D2D14">
        <w:rPr>
          <w:rFonts w:asciiTheme="majorHAnsi" w:hAnsiTheme="majorHAnsi"/>
          <w:sz w:val="20"/>
          <w:szCs w:val="20"/>
          <w:lang w:val="en-US"/>
        </w:rPr>
        <w:t>EXTERNAL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FORCE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1CEF57D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Механічна</w:t>
      </w:r>
      <w:r w:rsidRPr="004D2D14">
        <w:rPr>
          <w:rFonts w:asciiTheme="majorHAnsi" w:hAnsiTheme="majorHAnsi"/>
          <w:spacing w:val="40"/>
          <w:sz w:val="20"/>
          <w:szCs w:val="20"/>
          <w:lang w:val="en-US"/>
        </w:rPr>
        <w:t xml:space="preserve"> </w:t>
      </w:r>
      <w:r w:rsidRPr="000977F7">
        <w:rPr>
          <w:rFonts w:asciiTheme="majorHAnsi" w:hAnsiTheme="majorHAnsi"/>
          <w:sz w:val="20"/>
          <w:szCs w:val="20"/>
        </w:rPr>
        <w:t>дія</w:t>
      </w:r>
      <w:r w:rsidRPr="004D2D14">
        <w:rPr>
          <w:rFonts w:asciiTheme="majorHAnsi" w:hAnsiTheme="majorHAnsi"/>
          <w:spacing w:val="40"/>
          <w:sz w:val="20"/>
          <w:szCs w:val="20"/>
          <w:lang w:val="en-US"/>
        </w:rPr>
        <w:t xml:space="preserve"> </w:t>
      </w:r>
      <w:r w:rsidRPr="000977F7">
        <w:rPr>
          <w:rFonts w:asciiTheme="majorHAnsi" w:hAnsiTheme="majorHAnsi"/>
          <w:sz w:val="20"/>
          <w:szCs w:val="20"/>
        </w:rPr>
        <w:t>на</w:t>
      </w:r>
      <w:r w:rsidRPr="004D2D14">
        <w:rPr>
          <w:rFonts w:asciiTheme="majorHAnsi" w:hAnsiTheme="majorHAnsi"/>
          <w:spacing w:val="41"/>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w:t>
      </w:r>
      <w:r w:rsidRPr="004D2D14">
        <w:rPr>
          <w:rFonts w:asciiTheme="majorHAnsi" w:hAnsiTheme="majorHAnsi"/>
          <w:spacing w:val="40"/>
          <w:sz w:val="20"/>
          <w:szCs w:val="20"/>
          <w:lang w:val="en-US"/>
        </w:rPr>
        <w:t xml:space="preserve"> </w:t>
      </w:r>
      <w:r w:rsidRPr="000977F7">
        <w:rPr>
          <w:rFonts w:asciiTheme="majorHAnsi" w:hAnsiTheme="majorHAnsi"/>
          <w:sz w:val="20"/>
          <w:szCs w:val="20"/>
        </w:rPr>
        <w:t>розрахунку</w:t>
      </w:r>
      <w:r w:rsidRPr="004D2D14">
        <w:rPr>
          <w:rFonts w:asciiTheme="majorHAnsi" w:hAnsiTheme="majorHAnsi"/>
          <w:spacing w:val="37"/>
          <w:sz w:val="20"/>
          <w:szCs w:val="20"/>
          <w:lang w:val="en-US"/>
        </w:rPr>
        <w:t xml:space="preserve"> </w:t>
      </w:r>
      <w:r w:rsidRPr="000977F7">
        <w:rPr>
          <w:rFonts w:asciiTheme="majorHAnsi" w:hAnsiTheme="majorHAnsi"/>
          <w:sz w:val="20"/>
          <w:szCs w:val="20"/>
        </w:rPr>
        <w:t>з</w:t>
      </w:r>
      <w:r w:rsidRPr="004D2D14">
        <w:rPr>
          <w:rFonts w:asciiTheme="majorHAnsi" w:hAnsiTheme="majorHAnsi"/>
          <w:spacing w:val="44"/>
          <w:sz w:val="20"/>
          <w:szCs w:val="20"/>
          <w:lang w:val="en-US"/>
        </w:rPr>
        <w:t xml:space="preserve"> </w:t>
      </w:r>
      <w:r w:rsidRPr="000977F7">
        <w:rPr>
          <w:rFonts w:asciiTheme="majorHAnsi" w:hAnsiTheme="majorHAnsi"/>
          <w:sz w:val="20"/>
          <w:szCs w:val="20"/>
        </w:rPr>
        <w:t>боку</w:t>
      </w:r>
      <w:r w:rsidRPr="004D2D14">
        <w:rPr>
          <w:rFonts w:asciiTheme="majorHAnsi" w:hAnsiTheme="majorHAnsi"/>
          <w:spacing w:val="37"/>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r w:rsidRPr="000977F7">
        <w:rPr>
          <w:rFonts w:asciiTheme="majorHAnsi" w:hAnsiTheme="majorHAnsi"/>
          <w:sz w:val="20"/>
          <w:szCs w:val="20"/>
        </w:rPr>
        <w:t>усуненого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під</w:t>
      </w:r>
      <w:r w:rsidRPr="004D2D14">
        <w:rPr>
          <w:rFonts w:asciiTheme="majorHAnsi" w:hAnsiTheme="majorHAnsi"/>
          <w:spacing w:val="-2"/>
          <w:sz w:val="20"/>
          <w:szCs w:val="20"/>
          <w:lang w:val="en-US"/>
        </w:rPr>
        <w:t xml:space="preserve"> </w:t>
      </w:r>
      <w:r w:rsidRPr="000977F7">
        <w:rPr>
          <w:rFonts w:asciiTheme="majorHAnsi" w:hAnsiTheme="majorHAnsi"/>
          <w:sz w:val="20"/>
          <w:szCs w:val="20"/>
        </w:rPr>
        <w:t>час</w:t>
      </w:r>
      <w:r w:rsidRPr="004D2D14">
        <w:rPr>
          <w:rFonts w:asciiTheme="majorHAnsi" w:hAnsiTheme="majorHAnsi"/>
          <w:spacing w:val="-1"/>
          <w:sz w:val="20"/>
          <w:szCs w:val="20"/>
          <w:lang w:val="en-US"/>
        </w:rPr>
        <w:t xml:space="preserve"> </w:t>
      </w:r>
      <w:r w:rsidRPr="000977F7">
        <w:rPr>
          <w:rFonts w:asciiTheme="majorHAnsi" w:hAnsiTheme="majorHAnsi"/>
          <w:sz w:val="20"/>
          <w:szCs w:val="20"/>
        </w:rPr>
        <w:t>розрахункової</w:t>
      </w:r>
      <w:r w:rsidRPr="004D2D14">
        <w:rPr>
          <w:rFonts w:asciiTheme="majorHAnsi" w:hAnsiTheme="majorHAnsi"/>
          <w:spacing w:val="-2"/>
          <w:sz w:val="20"/>
          <w:szCs w:val="20"/>
          <w:lang w:val="en-US"/>
        </w:rPr>
        <w:t xml:space="preserve"> </w:t>
      </w:r>
      <w:r w:rsidRPr="000977F7">
        <w:rPr>
          <w:rFonts w:asciiTheme="majorHAnsi" w:hAnsiTheme="majorHAnsi"/>
          <w:sz w:val="20"/>
          <w:szCs w:val="20"/>
        </w:rPr>
        <w:t>схематизації</w:t>
      </w:r>
    </w:p>
    <w:p w14:paraId="250949B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2825</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705EBCD0" w14:textId="77777777" w:rsidR="0097612F" w:rsidRPr="004D2D14" w:rsidRDefault="0097612F" w:rsidP="000977F7">
      <w:pPr>
        <w:tabs>
          <w:tab w:val="left" w:pos="284"/>
        </w:tabs>
        <w:spacing w:after="0" w:line="240" w:lineRule="auto"/>
        <w:ind w:left="170"/>
        <w:mirrorIndents/>
        <w:jc w:val="both"/>
        <w:rPr>
          <w:rFonts w:asciiTheme="majorHAnsi" w:hAnsiTheme="majorHAnsi"/>
          <w:b/>
          <w:bCs/>
          <w:sz w:val="20"/>
          <w:szCs w:val="20"/>
          <w:lang w:val="en-US"/>
        </w:rPr>
      </w:pPr>
      <w:r w:rsidRPr="000977F7">
        <w:rPr>
          <w:rFonts w:asciiTheme="majorHAnsi" w:hAnsiTheme="majorHAnsi"/>
          <w:b/>
          <w:bCs/>
          <w:sz w:val="20"/>
          <w:szCs w:val="20"/>
        </w:rPr>
        <w:t>ЗОВНІШНЯ</w:t>
      </w:r>
      <w:r w:rsidRPr="004D2D14">
        <w:rPr>
          <w:rFonts w:asciiTheme="majorHAnsi" w:hAnsiTheme="majorHAnsi"/>
          <w:b/>
          <w:bCs/>
          <w:spacing w:val="-4"/>
          <w:sz w:val="20"/>
          <w:szCs w:val="20"/>
          <w:lang w:val="en-US"/>
        </w:rPr>
        <w:t xml:space="preserve"> </w:t>
      </w:r>
      <w:r w:rsidRPr="000977F7">
        <w:rPr>
          <w:rFonts w:asciiTheme="majorHAnsi" w:hAnsiTheme="majorHAnsi"/>
          <w:b/>
          <w:bCs/>
          <w:sz w:val="20"/>
          <w:szCs w:val="20"/>
        </w:rPr>
        <w:t>ТОРГІВЛЯ</w:t>
      </w:r>
      <w:r w:rsidRPr="004D2D14">
        <w:rPr>
          <w:rFonts w:asciiTheme="majorHAnsi" w:hAnsiTheme="majorHAnsi"/>
          <w:b/>
          <w:bCs/>
          <w:spacing w:val="-1"/>
          <w:sz w:val="20"/>
          <w:szCs w:val="20"/>
          <w:lang w:val="en-US"/>
        </w:rPr>
        <w:t xml:space="preserve"> </w:t>
      </w:r>
      <w:r w:rsidRPr="004D2D14">
        <w:rPr>
          <w:rFonts w:asciiTheme="majorHAnsi" w:hAnsiTheme="majorHAnsi"/>
          <w:b/>
          <w:bCs/>
          <w:sz w:val="20"/>
          <w:szCs w:val="20"/>
          <w:lang w:val="en-US"/>
        </w:rPr>
        <w:t>–</w:t>
      </w:r>
    </w:p>
    <w:p w14:paraId="7D7E59A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Торгівля</w:t>
      </w:r>
      <w:r w:rsidRPr="004D2D14">
        <w:rPr>
          <w:rFonts w:asciiTheme="majorHAnsi" w:hAnsiTheme="majorHAnsi"/>
          <w:spacing w:val="43"/>
          <w:sz w:val="20"/>
          <w:szCs w:val="20"/>
          <w:lang w:val="en-US"/>
        </w:rPr>
        <w:t xml:space="preserve"> </w:t>
      </w:r>
      <w:r w:rsidRPr="000977F7">
        <w:rPr>
          <w:rFonts w:asciiTheme="majorHAnsi" w:hAnsiTheme="majorHAnsi"/>
          <w:sz w:val="20"/>
          <w:szCs w:val="20"/>
        </w:rPr>
        <w:t>між</w:t>
      </w:r>
      <w:r w:rsidRPr="004D2D14">
        <w:rPr>
          <w:rFonts w:asciiTheme="majorHAnsi" w:hAnsiTheme="majorHAnsi"/>
          <w:spacing w:val="45"/>
          <w:sz w:val="20"/>
          <w:szCs w:val="20"/>
          <w:lang w:val="en-US"/>
        </w:rPr>
        <w:t xml:space="preserve"> </w:t>
      </w:r>
      <w:r w:rsidRPr="000977F7">
        <w:rPr>
          <w:rFonts w:asciiTheme="majorHAnsi" w:hAnsiTheme="majorHAnsi"/>
          <w:sz w:val="20"/>
          <w:szCs w:val="20"/>
        </w:rPr>
        <w:t>країнами</w:t>
      </w:r>
      <w:r w:rsidRPr="004D2D14">
        <w:rPr>
          <w:rFonts w:asciiTheme="majorHAnsi" w:hAnsiTheme="majorHAnsi"/>
          <w:sz w:val="20"/>
          <w:szCs w:val="20"/>
          <w:lang w:val="en-US"/>
        </w:rPr>
        <w:t>,</w:t>
      </w:r>
      <w:r w:rsidRPr="004D2D14">
        <w:rPr>
          <w:rFonts w:asciiTheme="majorHAnsi" w:hAnsiTheme="majorHAnsi"/>
          <w:spacing w:val="45"/>
          <w:sz w:val="20"/>
          <w:szCs w:val="20"/>
          <w:lang w:val="en-US"/>
        </w:rPr>
        <w:t xml:space="preserve"> </w:t>
      </w:r>
      <w:r w:rsidRPr="000977F7">
        <w:rPr>
          <w:rFonts w:asciiTheme="majorHAnsi" w:hAnsiTheme="majorHAnsi"/>
          <w:sz w:val="20"/>
          <w:szCs w:val="20"/>
        </w:rPr>
        <w:t>що</w:t>
      </w:r>
      <w:r w:rsidRPr="004D2D14">
        <w:rPr>
          <w:rFonts w:asciiTheme="majorHAnsi" w:hAnsiTheme="majorHAnsi"/>
          <w:spacing w:val="45"/>
          <w:sz w:val="20"/>
          <w:szCs w:val="20"/>
          <w:lang w:val="en-US"/>
        </w:rPr>
        <w:t xml:space="preserve"> </w:t>
      </w:r>
      <w:r w:rsidRPr="000977F7">
        <w:rPr>
          <w:rFonts w:asciiTheme="majorHAnsi" w:hAnsiTheme="majorHAnsi"/>
          <w:sz w:val="20"/>
          <w:szCs w:val="20"/>
        </w:rPr>
        <w:t>складається</w:t>
      </w:r>
      <w:r w:rsidRPr="004D2D14">
        <w:rPr>
          <w:rFonts w:asciiTheme="majorHAnsi" w:hAnsiTheme="majorHAnsi"/>
          <w:spacing w:val="44"/>
          <w:sz w:val="20"/>
          <w:szCs w:val="20"/>
          <w:lang w:val="en-US"/>
        </w:rPr>
        <w:t xml:space="preserve"> </w:t>
      </w:r>
      <w:r w:rsidRPr="000977F7">
        <w:rPr>
          <w:rFonts w:asciiTheme="majorHAnsi" w:hAnsiTheme="majorHAnsi"/>
          <w:sz w:val="20"/>
          <w:szCs w:val="20"/>
        </w:rPr>
        <w:t>з</w:t>
      </w:r>
      <w:r w:rsidRPr="004D2D14">
        <w:rPr>
          <w:rFonts w:asciiTheme="majorHAnsi" w:hAnsiTheme="majorHAnsi"/>
          <w:spacing w:val="44"/>
          <w:sz w:val="20"/>
          <w:szCs w:val="20"/>
          <w:lang w:val="en-US"/>
        </w:rPr>
        <w:t xml:space="preserve"> </w:t>
      </w:r>
      <w:r w:rsidRPr="000977F7">
        <w:rPr>
          <w:rFonts w:asciiTheme="majorHAnsi" w:hAnsiTheme="majorHAnsi"/>
          <w:sz w:val="20"/>
          <w:szCs w:val="20"/>
        </w:rPr>
        <w:t>вивезення</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w:t>
      </w:r>
      <w:r w:rsidRPr="000977F7">
        <w:rPr>
          <w:rFonts w:asciiTheme="majorHAnsi" w:hAnsiTheme="majorHAnsi"/>
          <w:sz w:val="20"/>
          <w:szCs w:val="20"/>
        </w:rPr>
        <w:t>експорту</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ввезення</w:t>
      </w:r>
      <w:r w:rsidRPr="004D2D14">
        <w:rPr>
          <w:rFonts w:asciiTheme="majorHAnsi" w:hAnsiTheme="majorHAnsi"/>
          <w:sz w:val="20"/>
          <w:szCs w:val="20"/>
          <w:lang w:val="en-US"/>
        </w:rPr>
        <w:t xml:space="preserve"> (</w:t>
      </w:r>
      <w:r w:rsidRPr="000977F7">
        <w:rPr>
          <w:rFonts w:asciiTheme="majorHAnsi" w:hAnsiTheme="majorHAnsi"/>
          <w:sz w:val="20"/>
          <w:szCs w:val="20"/>
        </w:rPr>
        <w:t>імпорту</w:t>
      </w:r>
      <w:r w:rsidRPr="004D2D14">
        <w:rPr>
          <w:rFonts w:asciiTheme="majorHAnsi" w:hAnsiTheme="majorHAnsi"/>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послуг</w:t>
      </w:r>
    </w:p>
    <w:p w14:paraId="7341DFF0"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3293</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4138E1A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ЗОВНІШНЬОЕКОНОМІЧНА</w:t>
      </w:r>
      <w:r w:rsidRPr="000977F7">
        <w:rPr>
          <w:color w:val="auto"/>
          <w:spacing w:val="-6"/>
          <w:sz w:val="20"/>
          <w:szCs w:val="20"/>
        </w:rPr>
        <w:t xml:space="preserve"> </w:t>
      </w:r>
      <w:r w:rsidRPr="000977F7">
        <w:rPr>
          <w:color w:val="auto"/>
          <w:sz w:val="20"/>
          <w:szCs w:val="20"/>
        </w:rPr>
        <w:t>ДІЯЛЬНІСТЬ</w:t>
      </w:r>
      <w:r w:rsidRPr="000977F7">
        <w:rPr>
          <w:color w:val="auto"/>
          <w:spacing w:val="-3"/>
          <w:sz w:val="20"/>
          <w:szCs w:val="20"/>
        </w:rPr>
        <w:t xml:space="preserve"> </w:t>
      </w:r>
      <w:r w:rsidRPr="000977F7">
        <w:rPr>
          <w:color w:val="auto"/>
          <w:sz w:val="20"/>
          <w:szCs w:val="20"/>
        </w:rPr>
        <w:t>–</w:t>
      </w:r>
    </w:p>
    <w:p w14:paraId="3E360AC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Діяльність</w:t>
      </w:r>
      <w:r w:rsidRPr="004D2D14">
        <w:rPr>
          <w:rFonts w:asciiTheme="majorHAnsi" w:hAnsiTheme="majorHAnsi"/>
          <w:sz w:val="20"/>
          <w:szCs w:val="20"/>
          <w:lang w:val="en-US"/>
        </w:rPr>
        <w:t xml:space="preserve"> </w:t>
      </w:r>
      <w:r w:rsidRPr="000977F7">
        <w:rPr>
          <w:rFonts w:asciiTheme="majorHAnsi" w:hAnsiTheme="majorHAnsi"/>
          <w:sz w:val="20"/>
          <w:szCs w:val="20"/>
        </w:rPr>
        <w:t>суб</w:t>
      </w:r>
      <w:r w:rsidRPr="004D2D14">
        <w:rPr>
          <w:rFonts w:asciiTheme="majorHAnsi" w:hAnsiTheme="majorHAnsi"/>
          <w:sz w:val="20"/>
          <w:szCs w:val="20"/>
          <w:lang w:val="en-US"/>
        </w:rPr>
        <w:t>’</w:t>
      </w:r>
      <w:r w:rsidRPr="000977F7">
        <w:rPr>
          <w:rFonts w:asciiTheme="majorHAnsi" w:hAnsiTheme="majorHAnsi"/>
          <w:sz w:val="20"/>
          <w:szCs w:val="20"/>
        </w:rPr>
        <w:t>єктів</w:t>
      </w:r>
      <w:r w:rsidRPr="004D2D14">
        <w:rPr>
          <w:rFonts w:asciiTheme="majorHAnsi" w:hAnsiTheme="majorHAnsi"/>
          <w:sz w:val="20"/>
          <w:szCs w:val="20"/>
          <w:lang w:val="en-US"/>
        </w:rPr>
        <w:t xml:space="preserve"> </w:t>
      </w:r>
      <w:r w:rsidRPr="000977F7">
        <w:rPr>
          <w:rFonts w:asciiTheme="majorHAnsi" w:hAnsiTheme="majorHAnsi"/>
          <w:sz w:val="20"/>
          <w:szCs w:val="20"/>
        </w:rPr>
        <w:t>господарської</w:t>
      </w:r>
      <w:r w:rsidRPr="004D2D14">
        <w:rPr>
          <w:rFonts w:asciiTheme="majorHAnsi" w:hAnsiTheme="majorHAnsi"/>
          <w:sz w:val="20"/>
          <w:szCs w:val="20"/>
          <w:lang w:val="en-US"/>
        </w:rPr>
        <w:t xml:space="preserve"> </w:t>
      </w:r>
      <w:r w:rsidRPr="000977F7">
        <w:rPr>
          <w:rFonts w:asciiTheme="majorHAnsi" w:hAnsiTheme="majorHAnsi"/>
          <w:sz w:val="20"/>
          <w:szCs w:val="20"/>
        </w:rPr>
        <w:t>діяльності</w:t>
      </w:r>
      <w:r w:rsidRPr="004D2D14">
        <w:rPr>
          <w:rFonts w:asciiTheme="majorHAnsi" w:hAnsiTheme="majorHAnsi"/>
          <w:sz w:val="20"/>
          <w:szCs w:val="20"/>
          <w:lang w:val="en-US"/>
        </w:rPr>
        <w:t xml:space="preserve"> </w:t>
      </w:r>
      <w:r w:rsidRPr="000977F7">
        <w:rPr>
          <w:rFonts w:asciiTheme="majorHAnsi" w:hAnsiTheme="majorHAnsi"/>
          <w:sz w:val="20"/>
          <w:szCs w:val="20"/>
        </w:rPr>
        <w:t>України</w:t>
      </w:r>
      <w:r w:rsidRPr="004D2D14">
        <w:rPr>
          <w:rFonts w:asciiTheme="majorHAnsi" w:hAnsiTheme="majorHAnsi"/>
          <w:spacing w:val="-47"/>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іноземних</w:t>
      </w:r>
      <w:r w:rsidRPr="004D2D14">
        <w:rPr>
          <w:rFonts w:asciiTheme="majorHAnsi" w:hAnsiTheme="majorHAnsi"/>
          <w:sz w:val="20"/>
          <w:szCs w:val="20"/>
          <w:lang w:val="en-US"/>
        </w:rPr>
        <w:t xml:space="preserve"> </w:t>
      </w:r>
      <w:r w:rsidRPr="000977F7">
        <w:rPr>
          <w:rFonts w:asciiTheme="majorHAnsi" w:hAnsiTheme="majorHAnsi"/>
          <w:sz w:val="20"/>
          <w:szCs w:val="20"/>
        </w:rPr>
        <w:t>суб</w:t>
      </w:r>
      <w:r w:rsidRPr="004D2D14">
        <w:rPr>
          <w:rFonts w:asciiTheme="majorHAnsi" w:hAnsiTheme="majorHAnsi"/>
          <w:sz w:val="20"/>
          <w:szCs w:val="20"/>
          <w:lang w:val="en-US"/>
        </w:rPr>
        <w:t>’</w:t>
      </w:r>
      <w:r w:rsidRPr="000977F7">
        <w:rPr>
          <w:rFonts w:asciiTheme="majorHAnsi" w:hAnsiTheme="majorHAnsi"/>
          <w:sz w:val="20"/>
          <w:szCs w:val="20"/>
        </w:rPr>
        <w:t>єктів</w:t>
      </w:r>
      <w:r w:rsidRPr="004D2D14">
        <w:rPr>
          <w:rFonts w:asciiTheme="majorHAnsi" w:hAnsiTheme="majorHAnsi"/>
          <w:sz w:val="20"/>
          <w:szCs w:val="20"/>
          <w:lang w:val="en-US"/>
        </w:rPr>
        <w:t xml:space="preserve"> </w:t>
      </w:r>
      <w:r w:rsidRPr="000977F7">
        <w:rPr>
          <w:rFonts w:asciiTheme="majorHAnsi" w:hAnsiTheme="majorHAnsi"/>
          <w:sz w:val="20"/>
          <w:szCs w:val="20"/>
        </w:rPr>
        <w:t>господарської</w:t>
      </w:r>
      <w:r w:rsidRPr="004D2D14">
        <w:rPr>
          <w:rFonts w:asciiTheme="majorHAnsi" w:hAnsiTheme="majorHAnsi"/>
          <w:sz w:val="20"/>
          <w:szCs w:val="20"/>
          <w:lang w:val="en-US"/>
        </w:rPr>
        <w:t xml:space="preserve"> </w:t>
      </w:r>
      <w:r w:rsidRPr="000977F7">
        <w:rPr>
          <w:rFonts w:asciiTheme="majorHAnsi" w:hAnsiTheme="majorHAnsi"/>
          <w:sz w:val="20"/>
          <w:szCs w:val="20"/>
        </w:rPr>
        <w:t>діяльності</w:t>
      </w:r>
      <w:r w:rsidRPr="004D2D14">
        <w:rPr>
          <w:rFonts w:asciiTheme="majorHAnsi" w:hAnsiTheme="majorHAnsi"/>
          <w:sz w:val="20"/>
          <w:szCs w:val="20"/>
          <w:lang w:val="en-US"/>
        </w:rPr>
        <w:t xml:space="preserve">, </w:t>
      </w:r>
      <w:r w:rsidRPr="000977F7">
        <w:rPr>
          <w:rFonts w:asciiTheme="majorHAnsi" w:hAnsiTheme="majorHAnsi"/>
          <w:sz w:val="20"/>
          <w:szCs w:val="20"/>
        </w:rPr>
        <w:t>побудована</w:t>
      </w:r>
      <w:r w:rsidRPr="004D2D14">
        <w:rPr>
          <w:rFonts w:asciiTheme="majorHAnsi" w:hAnsiTheme="majorHAnsi"/>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взаємовідносинах</w:t>
      </w:r>
      <w:r w:rsidRPr="004D2D14">
        <w:rPr>
          <w:rFonts w:asciiTheme="majorHAnsi" w:hAnsiTheme="majorHAnsi"/>
          <w:sz w:val="20"/>
          <w:szCs w:val="20"/>
          <w:lang w:val="en-US"/>
        </w:rPr>
        <w:t xml:space="preserve"> </w:t>
      </w:r>
      <w:r w:rsidRPr="000977F7">
        <w:rPr>
          <w:rFonts w:asciiTheme="majorHAnsi" w:hAnsiTheme="majorHAnsi"/>
          <w:sz w:val="20"/>
          <w:szCs w:val="20"/>
        </w:rPr>
        <w:t>між</w:t>
      </w:r>
      <w:r w:rsidRPr="004D2D14">
        <w:rPr>
          <w:rFonts w:asciiTheme="majorHAnsi" w:hAnsiTheme="majorHAnsi"/>
          <w:sz w:val="20"/>
          <w:szCs w:val="20"/>
          <w:lang w:val="en-US"/>
        </w:rPr>
        <w:t xml:space="preserve"> </w:t>
      </w:r>
      <w:r w:rsidRPr="000977F7">
        <w:rPr>
          <w:rFonts w:asciiTheme="majorHAnsi" w:hAnsiTheme="majorHAnsi"/>
          <w:sz w:val="20"/>
          <w:szCs w:val="20"/>
        </w:rPr>
        <w:t>ними</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має</w:t>
      </w:r>
      <w:r w:rsidRPr="004D2D14">
        <w:rPr>
          <w:rFonts w:asciiTheme="majorHAnsi" w:hAnsiTheme="majorHAnsi"/>
          <w:sz w:val="20"/>
          <w:szCs w:val="20"/>
          <w:lang w:val="en-US"/>
        </w:rPr>
        <w:t xml:space="preserve"> </w:t>
      </w:r>
      <w:r w:rsidRPr="000977F7">
        <w:rPr>
          <w:rFonts w:asciiTheme="majorHAnsi" w:hAnsiTheme="majorHAnsi"/>
          <w:sz w:val="20"/>
          <w:szCs w:val="20"/>
        </w:rPr>
        <w:t>місце</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w:t>
      </w:r>
      <w:r w:rsidRPr="004D2D14">
        <w:rPr>
          <w:rFonts w:asciiTheme="majorHAnsi" w:hAnsiTheme="majorHAnsi"/>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території</w:t>
      </w:r>
      <w:r w:rsidRPr="004D2D14">
        <w:rPr>
          <w:rFonts w:asciiTheme="majorHAnsi" w:hAnsiTheme="majorHAnsi"/>
          <w:spacing w:val="-2"/>
          <w:sz w:val="20"/>
          <w:szCs w:val="20"/>
          <w:lang w:val="en-US"/>
        </w:rPr>
        <w:t xml:space="preserve"> </w:t>
      </w:r>
      <w:r w:rsidRPr="000977F7">
        <w:rPr>
          <w:rFonts w:asciiTheme="majorHAnsi" w:hAnsiTheme="majorHAnsi"/>
          <w:sz w:val="20"/>
          <w:szCs w:val="20"/>
        </w:rPr>
        <w:t>України</w:t>
      </w:r>
      <w:r w:rsidRPr="004D2D14">
        <w:rPr>
          <w:rFonts w:asciiTheme="majorHAnsi" w:hAnsiTheme="majorHAnsi"/>
          <w:sz w:val="20"/>
          <w:szCs w:val="20"/>
          <w:lang w:val="en-US"/>
        </w:rPr>
        <w:t xml:space="preserve">, </w:t>
      </w:r>
      <w:r w:rsidRPr="000977F7">
        <w:rPr>
          <w:rFonts w:asciiTheme="majorHAnsi" w:hAnsiTheme="majorHAnsi"/>
          <w:sz w:val="20"/>
          <w:szCs w:val="20"/>
        </w:rPr>
        <w:t>так</w:t>
      </w:r>
      <w:r w:rsidRPr="004D2D14">
        <w:rPr>
          <w:rFonts w:asciiTheme="majorHAnsi" w:hAnsiTheme="majorHAnsi"/>
          <w:spacing w:val="-2"/>
          <w:sz w:val="20"/>
          <w:szCs w:val="20"/>
          <w:lang w:val="en-US"/>
        </w:rPr>
        <w:t xml:space="preserve"> </w:t>
      </w:r>
      <w:r w:rsidRPr="000977F7">
        <w:rPr>
          <w:rFonts w:asciiTheme="majorHAnsi" w:hAnsiTheme="majorHAnsi"/>
          <w:sz w:val="20"/>
          <w:szCs w:val="20"/>
        </w:rPr>
        <w:t>і</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w:t>
      </w:r>
      <w:r w:rsidRPr="004D2D14">
        <w:rPr>
          <w:rFonts w:asciiTheme="majorHAnsi" w:hAnsiTheme="majorHAnsi"/>
          <w:spacing w:val="-1"/>
          <w:sz w:val="20"/>
          <w:szCs w:val="20"/>
          <w:lang w:val="en-US"/>
        </w:rPr>
        <w:t xml:space="preserve"> </w:t>
      </w:r>
      <w:r w:rsidRPr="000977F7">
        <w:rPr>
          <w:rFonts w:asciiTheme="majorHAnsi" w:hAnsiTheme="majorHAnsi"/>
          <w:sz w:val="20"/>
          <w:szCs w:val="20"/>
        </w:rPr>
        <w:t>її</w:t>
      </w:r>
      <w:r w:rsidRPr="004D2D14">
        <w:rPr>
          <w:rFonts w:asciiTheme="majorHAnsi" w:hAnsiTheme="majorHAnsi"/>
          <w:spacing w:val="-1"/>
          <w:sz w:val="20"/>
          <w:szCs w:val="20"/>
          <w:lang w:val="en-US"/>
        </w:rPr>
        <w:t xml:space="preserve"> </w:t>
      </w:r>
      <w:r w:rsidRPr="000977F7">
        <w:rPr>
          <w:rFonts w:asciiTheme="majorHAnsi" w:hAnsiTheme="majorHAnsi"/>
          <w:sz w:val="20"/>
          <w:szCs w:val="20"/>
        </w:rPr>
        <w:t>межами</w:t>
      </w:r>
    </w:p>
    <w:p w14:paraId="3A47595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3293</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5E3B468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ЗОВНІШНЬОЕКОНОМІЧНИЙ ДОГОВІР </w:t>
      </w:r>
    </w:p>
    <w:p w14:paraId="230DA6C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(КОНТРАКТ) –</w:t>
      </w:r>
    </w:p>
    <w:p w14:paraId="5DC3CBD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Матеріально</w:t>
      </w:r>
      <w:r w:rsidRPr="004D2D14">
        <w:rPr>
          <w:rFonts w:asciiTheme="majorHAnsi" w:hAnsiTheme="majorHAnsi"/>
          <w:spacing w:val="1"/>
          <w:sz w:val="20"/>
          <w:szCs w:val="20"/>
          <w:lang w:val="en-US"/>
        </w:rPr>
        <w:t xml:space="preserve"> </w:t>
      </w:r>
      <w:r w:rsidRPr="000977F7">
        <w:rPr>
          <w:rFonts w:asciiTheme="majorHAnsi" w:hAnsiTheme="majorHAnsi"/>
          <w:sz w:val="20"/>
          <w:szCs w:val="20"/>
        </w:rPr>
        <w:t>оформлена</w:t>
      </w:r>
      <w:r w:rsidRPr="004D2D14">
        <w:rPr>
          <w:rFonts w:asciiTheme="majorHAnsi" w:hAnsiTheme="majorHAnsi"/>
          <w:spacing w:val="1"/>
          <w:sz w:val="20"/>
          <w:szCs w:val="20"/>
          <w:lang w:val="en-US"/>
        </w:rPr>
        <w:t xml:space="preserve"> </w:t>
      </w:r>
      <w:r w:rsidRPr="000977F7">
        <w:rPr>
          <w:rFonts w:asciiTheme="majorHAnsi" w:hAnsiTheme="majorHAnsi"/>
          <w:sz w:val="20"/>
          <w:szCs w:val="20"/>
        </w:rPr>
        <w:t>угода</w:t>
      </w:r>
      <w:r w:rsidRPr="004D2D14">
        <w:rPr>
          <w:rFonts w:asciiTheme="majorHAnsi" w:hAnsiTheme="majorHAnsi"/>
          <w:spacing w:val="1"/>
          <w:sz w:val="20"/>
          <w:szCs w:val="20"/>
          <w:lang w:val="en-US"/>
        </w:rPr>
        <w:t xml:space="preserve"> </w:t>
      </w:r>
      <w:r w:rsidRPr="000977F7">
        <w:rPr>
          <w:rFonts w:asciiTheme="majorHAnsi" w:hAnsiTheme="majorHAnsi"/>
          <w:sz w:val="20"/>
          <w:szCs w:val="20"/>
        </w:rPr>
        <w:t>двох</w:t>
      </w:r>
      <w:r w:rsidRPr="004D2D14">
        <w:rPr>
          <w:rFonts w:asciiTheme="majorHAnsi" w:hAnsiTheme="majorHAnsi"/>
          <w:spacing w:val="1"/>
          <w:sz w:val="20"/>
          <w:szCs w:val="20"/>
          <w:lang w:val="en-US"/>
        </w:rPr>
        <w:t xml:space="preserve"> </w:t>
      </w:r>
      <w:r w:rsidRPr="000977F7">
        <w:rPr>
          <w:rFonts w:asciiTheme="majorHAnsi" w:hAnsiTheme="majorHAnsi"/>
          <w:sz w:val="20"/>
          <w:szCs w:val="20"/>
        </w:rPr>
        <w:t>або</w:t>
      </w:r>
      <w:r w:rsidRPr="004D2D14">
        <w:rPr>
          <w:rFonts w:asciiTheme="majorHAnsi" w:hAnsiTheme="majorHAnsi"/>
          <w:spacing w:val="1"/>
          <w:sz w:val="20"/>
          <w:szCs w:val="20"/>
          <w:lang w:val="en-US"/>
        </w:rPr>
        <w:t xml:space="preserve"> </w:t>
      </w:r>
      <w:r w:rsidRPr="000977F7">
        <w:rPr>
          <w:rFonts w:asciiTheme="majorHAnsi" w:hAnsiTheme="majorHAnsi"/>
          <w:sz w:val="20"/>
          <w:szCs w:val="20"/>
        </w:rPr>
        <w:t>більше</w:t>
      </w:r>
      <w:r w:rsidRPr="004D2D14">
        <w:rPr>
          <w:rFonts w:asciiTheme="majorHAnsi" w:hAnsiTheme="majorHAnsi"/>
          <w:spacing w:val="1"/>
          <w:sz w:val="20"/>
          <w:szCs w:val="20"/>
          <w:lang w:val="en-US"/>
        </w:rPr>
        <w:t xml:space="preserve"> </w:t>
      </w:r>
      <w:r w:rsidRPr="000977F7">
        <w:rPr>
          <w:rFonts w:asciiTheme="majorHAnsi" w:hAnsiTheme="majorHAnsi"/>
          <w:sz w:val="20"/>
          <w:szCs w:val="20"/>
        </w:rPr>
        <w:t>суб</w:t>
      </w:r>
      <w:r w:rsidRPr="004D2D14">
        <w:rPr>
          <w:rFonts w:asciiTheme="majorHAnsi" w:hAnsiTheme="majorHAnsi"/>
          <w:sz w:val="20"/>
          <w:szCs w:val="20"/>
          <w:lang w:val="en-US"/>
        </w:rPr>
        <w:t>’</w:t>
      </w:r>
      <w:r w:rsidRPr="000977F7">
        <w:rPr>
          <w:rFonts w:asciiTheme="majorHAnsi" w:hAnsiTheme="majorHAnsi"/>
          <w:sz w:val="20"/>
          <w:szCs w:val="20"/>
        </w:rPr>
        <w:t>єктів</w:t>
      </w:r>
      <w:r w:rsidRPr="004D2D14">
        <w:rPr>
          <w:rFonts w:asciiTheme="majorHAnsi" w:hAnsiTheme="majorHAnsi"/>
          <w:spacing w:val="1"/>
          <w:sz w:val="20"/>
          <w:szCs w:val="20"/>
          <w:lang w:val="en-US"/>
        </w:rPr>
        <w:t xml:space="preserve"> </w:t>
      </w:r>
      <w:r w:rsidRPr="000977F7">
        <w:rPr>
          <w:rFonts w:asciiTheme="majorHAnsi" w:hAnsiTheme="majorHAnsi"/>
          <w:sz w:val="20"/>
          <w:szCs w:val="20"/>
        </w:rPr>
        <w:t>зовнішньоекономічної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діяльності</w:t>
      </w:r>
      <w:r w:rsidRPr="004D2D14">
        <w:rPr>
          <w:rFonts w:asciiTheme="majorHAnsi" w:hAnsiTheme="majorHAnsi"/>
          <w:spacing w:val="1"/>
          <w:sz w:val="20"/>
          <w:szCs w:val="20"/>
          <w:lang w:val="en-US"/>
        </w:rPr>
        <w:t xml:space="preserve"> </w:t>
      </w:r>
      <w:r w:rsidRPr="000977F7">
        <w:rPr>
          <w:rFonts w:asciiTheme="majorHAnsi" w:hAnsiTheme="majorHAnsi"/>
          <w:sz w:val="20"/>
          <w:szCs w:val="20"/>
        </w:rPr>
        <w:t>та</w:t>
      </w:r>
      <w:r w:rsidRPr="004D2D14">
        <w:rPr>
          <w:rFonts w:asciiTheme="majorHAnsi" w:hAnsiTheme="majorHAnsi"/>
          <w:spacing w:val="1"/>
          <w:sz w:val="20"/>
          <w:szCs w:val="20"/>
          <w:lang w:val="en-US"/>
        </w:rPr>
        <w:t xml:space="preserve"> </w:t>
      </w:r>
      <w:r w:rsidRPr="000977F7">
        <w:rPr>
          <w:rFonts w:asciiTheme="majorHAnsi" w:hAnsiTheme="majorHAnsi"/>
          <w:sz w:val="20"/>
          <w:szCs w:val="20"/>
        </w:rPr>
        <w:t>їхніх</w:t>
      </w:r>
      <w:r w:rsidRPr="004D2D14">
        <w:rPr>
          <w:rFonts w:asciiTheme="majorHAnsi" w:hAnsiTheme="majorHAnsi"/>
          <w:spacing w:val="1"/>
          <w:sz w:val="20"/>
          <w:szCs w:val="20"/>
          <w:lang w:val="en-US"/>
        </w:rPr>
        <w:t xml:space="preserve"> </w:t>
      </w:r>
      <w:r w:rsidRPr="000977F7">
        <w:rPr>
          <w:rFonts w:asciiTheme="majorHAnsi" w:hAnsiTheme="majorHAnsi"/>
          <w:sz w:val="20"/>
          <w:szCs w:val="20"/>
        </w:rPr>
        <w:t>іноземних</w:t>
      </w:r>
      <w:r w:rsidRPr="004D2D14">
        <w:rPr>
          <w:rFonts w:asciiTheme="majorHAnsi" w:hAnsiTheme="majorHAnsi"/>
          <w:sz w:val="20"/>
          <w:szCs w:val="20"/>
          <w:lang w:val="en-US"/>
        </w:rPr>
        <w:t xml:space="preserve"> </w:t>
      </w:r>
      <w:r w:rsidRPr="000977F7">
        <w:rPr>
          <w:rFonts w:asciiTheme="majorHAnsi" w:hAnsiTheme="majorHAnsi"/>
          <w:sz w:val="20"/>
          <w:szCs w:val="20"/>
        </w:rPr>
        <w:t>контрагентів</w:t>
      </w:r>
      <w:r w:rsidRPr="004D2D14">
        <w:rPr>
          <w:rFonts w:asciiTheme="majorHAnsi" w:hAnsiTheme="majorHAnsi"/>
          <w:sz w:val="20"/>
          <w:szCs w:val="20"/>
          <w:lang w:val="en-US"/>
        </w:rPr>
        <w:t xml:space="preserve">, </w:t>
      </w:r>
      <w:r w:rsidRPr="000977F7">
        <w:rPr>
          <w:rFonts w:asciiTheme="majorHAnsi" w:hAnsiTheme="majorHAnsi"/>
          <w:sz w:val="20"/>
          <w:szCs w:val="20"/>
        </w:rPr>
        <w:t>спрямована</w:t>
      </w:r>
      <w:r w:rsidRPr="004D2D14">
        <w:rPr>
          <w:rFonts w:asciiTheme="majorHAnsi" w:hAnsiTheme="majorHAnsi"/>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встановлення</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зміну</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припинення</w:t>
      </w:r>
      <w:r w:rsidRPr="004D2D14">
        <w:rPr>
          <w:rFonts w:asciiTheme="majorHAnsi" w:hAnsiTheme="majorHAnsi"/>
          <w:sz w:val="20"/>
          <w:szCs w:val="20"/>
          <w:lang w:val="en-US"/>
        </w:rPr>
        <w:t xml:space="preserve"> </w:t>
      </w:r>
      <w:r w:rsidRPr="000977F7">
        <w:rPr>
          <w:rFonts w:asciiTheme="majorHAnsi" w:hAnsiTheme="majorHAnsi"/>
          <w:sz w:val="20"/>
          <w:szCs w:val="20"/>
        </w:rPr>
        <w:t>їх</w:t>
      </w:r>
      <w:r w:rsidRPr="004D2D14">
        <w:rPr>
          <w:rFonts w:asciiTheme="majorHAnsi" w:hAnsiTheme="majorHAnsi"/>
          <w:sz w:val="20"/>
          <w:szCs w:val="20"/>
          <w:lang w:val="en-US"/>
        </w:rPr>
        <w:t xml:space="preserve"> </w:t>
      </w:r>
      <w:r w:rsidRPr="000977F7">
        <w:rPr>
          <w:rFonts w:asciiTheme="majorHAnsi" w:hAnsiTheme="majorHAnsi"/>
          <w:sz w:val="20"/>
          <w:szCs w:val="20"/>
        </w:rPr>
        <w:t>взаємних</w:t>
      </w:r>
      <w:r w:rsidRPr="004D2D14">
        <w:rPr>
          <w:rFonts w:asciiTheme="majorHAnsi" w:hAnsiTheme="majorHAnsi"/>
          <w:sz w:val="20"/>
          <w:szCs w:val="20"/>
          <w:lang w:val="en-US"/>
        </w:rPr>
        <w:t xml:space="preserve"> </w:t>
      </w:r>
      <w:r w:rsidRPr="000977F7">
        <w:rPr>
          <w:rFonts w:asciiTheme="majorHAnsi" w:hAnsiTheme="majorHAnsi"/>
          <w:sz w:val="20"/>
          <w:szCs w:val="20"/>
        </w:rPr>
        <w:t>зобов</w:t>
      </w:r>
      <w:r w:rsidRPr="004D2D14">
        <w:rPr>
          <w:rFonts w:asciiTheme="majorHAnsi" w:hAnsiTheme="majorHAnsi"/>
          <w:sz w:val="20"/>
          <w:szCs w:val="20"/>
          <w:lang w:val="en-US"/>
        </w:rPr>
        <w:t>’</w:t>
      </w:r>
      <w:r w:rsidRPr="000977F7">
        <w:rPr>
          <w:rFonts w:asciiTheme="majorHAnsi" w:hAnsiTheme="majorHAnsi"/>
          <w:sz w:val="20"/>
          <w:szCs w:val="20"/>
        </w:rPr>
        <w:t>язань</w:t>
      </w:r>
      <w:r w:rsidRPr="004D2D14">
        <w:rPr>
          <w:rFonts w:asciiTheme="majorHAnsi" w:hAnsiTheme="majorHAnsi"/>
          <w:sz w:val="20"/>
          <w:szCs w:val="20"/>
          <w:lang w:val="en-US"/>
        </w:rPr>
        <w:t xml:space="preserve"> </w:t>
      </w:r>
      <w:r w:rsidRPr="000977F7">
        <w:rPr>
          <w:rFonts w:asciiTheme="majorHAnsi" w:hAnsiTheme="majorHAnsi"/>
          <w:sz w:val="20"/>
          <w:szCs w:val="20"/>
        </w:rPr>
        <w:t>у</w:t>
      </w:r>
      <w:r w:rsidRPr="004D2D14">
        <w:rPr>
          <w:rFonts w:asciiTheme="majorHAnsi" w:hAnsiTheme="majorHAnsi"/>
          <w:sz w:val="20"/>
          <w:szCs w:val="20"/>
          <w:lang w:val="en-US"/>
        </w:rPr>
        <w:t xml:space="preserve"> </w:t>
      </w:r>
      <w:r w:rsidRPr="000977F7">
        <w:rPr>
          <w:rFonts w:asciiTheme="majorHAnsi" w:hAnsiTheme="majorHAnsi"/>
          <w:sz w:val="20"/>
          <w:szCs w:val="20"/>
        </w:rPr>
        <w:t>зовнішньо</w:t>
      </w:r>
      <w:r w:rsidRPr="004D2D14">
        <w:rPr>
          <w:rFonts w:asciiTheme="majorHAnsi" w:hAnsiTheme="majorHAnsi"/>
          <w:sz w:val="20"/>
          <w:szCs w:val="20"/>
          <w:lang w:val="en-US"/>
        </w:rPr>
        <w:t xml:space="preserve"> </w:t>
      </w:r>
      <w:r w:rsidRPr="000977F7">
        <w:rPr>
          <w:rFonts w:asciiTheme="majorHAnsi" w:hAnsiTheme="majorHAnsi"/>
          <w:sz w:val="20"/>
          <w:szCs w:val="20"/>
        </w:rPr>
        <w:t>економічній</w:t>
      </w:r>
      <w:r w:rsidRPr="004D2D14">
        <w:rPr>
          <w:rFonts w:asciiTheme="majorHAnsi" w:hAnsiTheme="majorHAnsi"/>
          <w:spacing w:val="-2"/>
          <w:sz w:val="20"/>
          <w:szCs w:val="20"/>
          <w:lang w:val="en-US"/>
        </w:rPr>
        <w:t xml:space="preserve"> </w:t>
      </w:r>
      <w:r w:rsidRPr="000977F7">
        <w:rPr>
          <w:rFonts w:asciiTheme="majorHAnsi" w:hAnsiTheme="majorHAnsi"/>
          <w:sz w:val="20"/>
          <w:szCs w:val="20"/>
        </w:rPr>
        <w:t>діяльності</w:t>
      </w:r>
    </w:p>
    <w:p w14:paraId="3B6F4BF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lastRenderedPageBreak/>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7C16B2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ЗОВНІШНЬОТОРГОВЕЛЬНІ</w:t>
      </w:r>
      <w:r w:rsidRPr="000977F7">
        <w:rPr>
          <w:color w:val="auto"/>
          <w:spacing w:val="-7"/>
          <w:sz w:val="20"/>
          <w:szCs w:val="20"/>
        </w:rPr>
        <w:t xml:space="preserve"> </w:t>
      </w:r>
      <w:r w:rsidRPr="000977F7">
        <w:rPr>
          <w:color w:val="auto"/>
          <w:sz w:val="20"/>
          <w:szCs w:val="20"/>
        </w:rPr>
        <w:t>ОПЕРАЦІЇ</w:t>
      </w:r>
      <w:r w:rsidRPr="000977F7">
        <w:rPr>
          <w:color w:val="auto"/>
          <w:spacing w:val="-4"/>
          <w:sz w:val="20"/>
          <w:szCs w:val="20"/>
        </w:rPr>
        <w:t xml:space="preserve"> </w:t>
      </w:r>
      <w:r w:rsidRPr="000977F7">
        <w:rPr>
          <w:color w:val="auto"/>
          <w:sz w:val="20"/>
          <w:szCs w:val="20"/>
        </w:rPr>
        <w:t>–</w:t>
      </w:r>
    </w:p>
    <w:p w14:paraId="123810F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форм конкретних комерційних взаємодій</w:t>
      </w:r>
      <w:r w:rsidRPr="000977F7">
        <w:rPr>
          <w:rFonts w:asciiTheme="majorHAnsi" w:hAnsiTheme="majorHAnsi"/>
          <w:spacing w:val="1"/>
          <w:sz w:val="20"/>
          <w:szCs w:val="20"/>
        </w:rPr>
        <w:t xml:space="preserve"> </w:t>
      </w:r>
      <w:r w:rsidRPr="000977F7">
        <w:rPr>
          <w:rFonts w:asciiTheme="majorHAnsi" w:hAnsiTheme="majorHAnsi"/>
          <w:sz w:val="20"/>
          <w:szCs w:val="20"/>
        </w:rPr>
        <w:t>між</w:t>
      </w:r>
      <w:r w:rsidRPr="000977F7">
        <w:rPr>
          <w:rFonts w:asciiTheme="majorHAnsi" w:hAnsiTheme="majorHAnsi"/>
          <w:spacing w:val="-2"/>
          <w:sz w:val="20"/>
          <w:szCs w:val="20"/>
        </w:rPr>
        <w:t xml:space="preserve"> </w:t>
      </w:r>
      <w:r w:rsidRPr="000977F7">
        <w:rPr>
          <w:rFonts w:asciiTheme="majorHAnsi" w:hAnsiTheme="majorHAnsi"/>
          <w:sz w:val="20"/>
          <w:szCs w:val="20"/>
        </w:rPr>
        <w:t>іноземними</w:t>
      </w:r>
      <w:r w:rsidRPr="000977F7">
        <w:rPr>
          <w:rFonts w:asciiTheme="majorHAnsi" w:hAnsiTheme="majorHAnsi"/>
          <w:spacing w:val="-1"/>
          <w:sz w:val="20"/>
          <w:szCs w:val="20"/>
        </w:rPr>
        <w:t xml:space="preserve"> </w:t>
      </w:r>
      <w:r w:rsidRPr="000977F7">
        <w:rPr>
          <w:rFonts w:asciiTheme="majorHAnsi" w:hAnsiTheme="majorHAnsi"/>
          <w:sz w:val="20"/>
          <w:szCs w:val="20"/>
        </w:rPr>
        <w:t>партнерами</w:t>
      </w:r>
    </w:p>
    <w:p w14:paraId="0BEF486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75B9FA4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ЗОНА ВПЛИВУ ПРОМИСЛОВОГО </w:t>
      </w:r>
    </w:p>
    <w:p w14:paraId="7AC4361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ПІДПРИЄМ</w:t>
      </w:r>
      <w:r w:rsidRPr="000977F7">
        <w:rPr>
          <w:color w:val="auto"/>
          <w:spacing w:val="-47"/>
          <w:sz w:val="20"/>
          <w:szCs w:val="20"/>
        </w:rPr>
        <w:t xml:space="preserve"> </w:t>
      </w:r>
      <w:r w:rsidRPr="000977F7">
        <w:rPr>
          <w:color w:val="auto"/>
          <w:sz w:val="20"/>
          <w:szCs w:val="20"/>
        </w:rPr>
        <w:t>СТВА</w:t>
      </w:r>
      <w:r w:rsidRPr="000977F7">
        <w:rPr>
          <w:color w:val="auto"/>
          <w:spacing w:val="-1"/>
          <w:sz w:val="20"/>
          <w:szCs w:val="20"/>
        </w:rPr>
        <w:t xml:space="preserve"> </w:t>
      </w:r>
      <w:r w:rsidRPr="000977F7">
        <w:rPr>
          <w:color w:val="auto"/>
          <w:sz w:val="20"/>
          <w:szCs w:val="20"/>
        </w:rPr>
        <w:t>–</w:t>
      </w:r>
    </w:p>
    <w:p w14:paraId="545CBDC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Зона, у межах якої виявляються екологічні збурення в</w:t>
      </w:r>
      <w:r w:rsidRPr="000977F7">
        <w:rPr>
          <w:rFonts w:asciiTheme="majorHAnsi" w:hAnsiTheme="majorHAnsi"/>
          <w:spacing w:val="-47"/>
          <w:sz w:val="20"/>
          <w:szCs w:val="20"/>
        </w:rPr>
        <w:t xml:space="preserve"> </w:t>
      </w:r>
      <w:r w:rsidRPr="000977F7">
        <w:rPr>
          <w:rFonts w:asciiTheme="majorHAnsi" w:hAnsiTheme="majorHAnsi"/>
          <w:sz w:val="20"/>
          <w:szCs w:val="20"/>
        </w:rPr>
        <w:t>навколишньому</w:t>
      </w:r>
      <w:r w:rsidRPr="000977F7">
        <w:rPr>
          <w:rFonts w:asciiTheme="majorHAnsi" w:hAnsiTheme="majorHAnsi"/>
          <w:spacing w:val="-5"/>
          <w:sz w:val="20"/>
          <w:szCs w:val="20"/>
        </w:rPr>
        <w:t xml:space="preserve"> </w:t>
      </w:r>
      <w:r w:rsidRPr="000977F7">
        <w:rPr>
          <w:rFonts w:asciiTheme="majorHAnsi" w:hAnsiTheme="majorHAnsi"/>
          <w:sz w:val="20"/>
          <w:szCs w:val="20"/>
        </w:rPr>
        <w:t>середовищі</w:t>
      </w:r>
    </w:p>
    <w:p w14:paraId="04E9E4B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1BF7533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ЗОНА</w:t>
      </w:r>
      <w:r w:rsidRPr="000977F7">
        <w:rPr>
          <w:color w:val="auto"/>
          <w:spacing w:val="-2"/>
          <w:sz w:val="20"/>
          <w:szCs w:val="20"/>
        </w:rPr>
        <w:t xml:space="preserve"> </w:t>
      </w:r>
      <w:r w:rsidRPr="000977F7">
        <w:rPr>
          <w:color w:val="auto"/>
          <w:sz w:val="20"/>
          <w:szCs w:val="20"/>
        </w:rPr>
        <w:t>ДОЛОМУ</w:t>
      </w:r>
      <w:r w:rsidRPr="000977F7">
        <w:rPr>
          <w:color w:val="auto"/>
          <w:spacing w:val="-1"/>
          <w:sz w:val="20"/>
          <w:szCs w:val="20"/>
        </w:rPr>
        <w:t xml:space="preserve"> </w:t>
      </w:r>
      <w:r w:rsidRPr="000977F7">
        <w:rPr>
          <w:color w:val="auto"/>
          <w:sz w:val="20"/>
          <w:szCs w:val="20"/>
        </w:rPr>
        <w:t>–</w:t>
      </w:r>
    </w:p>
    <w:p w14:paraId="7A4105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RUPTURE –</w:t>
      </w:r>
    </w:p>
    <w:p w14:paraId="2B6CB9C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втомного зламу, що виникає на завершальній</w:t>
      </w:r>
      <w:r w:rsidRPr="000977F7">
        <w:rPr>
          <w:rFonts w:asciiTheme="majorHAnsi" w:hAnsiTheme="majorHAnsi"/>
          <w:spacing w:val="-47"/>
          <w:sz w:val="20"/>
          <w:szCs w:val="20"/>
        </w:rPr>
        <w:t xml:space="preserve"> </w:t>
      </w:r>
      <w:r w:rsidRPr="000977F7">
        <w:rPr>
          <w:rFonts w:asciiTheme="majorHAnsi" w:hAnsiTheme="majorHAnsi"/>
          <w:sz w:val="20"/>
          <w:szCs w:val="20"/>
        </w:rPr>
        <w:t>стадії</w:t>
      </w:r>
      <w:r w:rsidRPr="000977F7">
        <w:rPr>
          <w:rFonts w:asciiTheme="majorHAnsi" w:hAnsiTheme="majorHAnsi"/>
          <w:spacing w:val="-2"/>
          <w:sz w:val="20"/>
          <w:szCs w:val="20"/>
        </w:rPr>
        <w:t xml:space="preserve"> </w:t>
      </w:r>
      <w:r w:rsidRPr="000977F7">
        <w:rPr>
          <w:rFonts w:asciiTheme="majorHAnsi" w:hAnsiTheme="majorHAnsi"/>
          <w:sz w:val="20"/>
          <w:szCs w:val="20"/>
        </w:rPr>
        <w:t>руйнування</w:t>
      </w:r>
      <w:r w:rsidRPr="000977F7">
        <w:rPr>
          <w:rFonts w:asciiTheme="majorHAnsi" w:hAnsiTheme="majorHAnsi"/>
          <w:spacing w:val="-1"/>
          <w:sz w:val="20"/>
          <w:szCs w:val="20"/>
        </w:rPr>
        <w:t xml:space="preserve"> </w:t>
      </w:r>
      <w:r w:rsidRPr="000977F7">
        <w:rPr>
          <w:rFonts w:asciiTheme="majorHAnsi" w:hAnsiTheme="majorHAnsi"/>
          <w:sz w:val="20"/>
          <w:szCs w:val="20"/>
        </w:rPr>
        <w:t>через</w:t>
      </w:r>
      <w:r w:rsidRPr="000977F7">
        <w:rPr>
          <w:rFonts w:asciiTheme="majorHAnsi" w:hAnsiTheme="majorHAnsi"/>
          <w:spacing w:val="-1"/>
          <w:sz w:val="20"/>
          <w:szCs w:val="20"/>
        </w:rPr>
        <w:t xml:space="preserve"> </w:t>
      </w:r>
      <w:r w:rsidRPr="000977F7">
        <w:rPr>
          <w:rFonts w:asciiTheme="majorHAnsi" w:hAnsiTheme="majorHAnsi"/>
          <w:sz w:val="20"/>
          <w:szCs w:val="20"/>
        </w:rPr>
        <w:t>нестачу</w:t>
      </w:r>
      <w:r w:rsidRPr="000977F7">
        <w:rPr>
          <w:rFonts w:asciiTheme="majorHAnsi" w:hAnsiTheme="majorHAnsi"/>
          <w:spacing w:val="-4"/>
          <w:sz w:val="20"/>
          <w:szCs w:val="20"/>
        </w:rPr>
        <w:t xml:space="preserve"> </w:t>
      </w:r>
      <w:r w:rsidRPr="000977F7">
        <w:rPr>
          <w:rFonts w:asciiTheme="majorHAnsi" w:hAnsiTheme="majorHAnsi"/>
          <w:sz w:val="20"/>
          <w:szCs w:val="20"/>
        </w:rPr>
        <w:t>міцності</w:t>
      </w:r>
    </w:p>
    <w:p w14:paraId="051F647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05D7E3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ЗОНА ЗАБРУДНЕННЯ ПРОМИСЛОВОГО </w:t>
      </w:r>
    </w:p>
    <w:p w14:paraId="3DC0208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ПІД</w:t>
      </w:r>
      <w:r w:rsidRPr="000977F7">
        <w:rPr>
          <w:color w:val="auto"/>
          <w:spacing w:val="-48"/>
          <w:sz w:val="20"/>
          <w:szCs w:val="20"/>
        </w:rPr>
        <w:t xml:space="preserve"> </w:t>
      </w:r>
      <w:r w:rsidRPr="000977F7">
        <w:rPr>
          <w:color w:val="auto"/>
          <w:sz w:val="20"/>
          <w:szCs w:val="20"/>
        </w:rPr>
        <w:t>ПРИЄМСТВА —</w:t>
      </w:r>
    </w:p>
    <w:p w14:paraId="0EABDFD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Територія навколо джерела забруднення, в межах якої</w:t>
      </w:r>
      <w:r w:rsidRPr="000977F7">
        <w:rPr>
          <w:rFonts w:asciiTheme="majorHAnsi" w:hAnsiTheme="majorHAnsi"/>
          <w:spacing w:val="-47"/>
          <w:sz w:val="20"/>
          <w:szCs w:val="20"/>
        </w:rPr>
        <w:t xml:space="preserve"> </w:t>
      </w:r>
      <w:r w:rsidRPr="000977F7">
        <w:rPr>
          <w:rFonts w:asciiTheme="majorHAnsi" w:hAnsiTheme="majorHAnsi"/>
          <w:sz w:val="20"/>
          <w:szCs w:val="20"/>
        </w:rPr>
        <w:t>приземний</w:t>
      </w:r>
      <w:r w:rsidRPr="000977F7">
        <w:rPr>
          <w:rFonts w:asciiTheme="majorHAnsi" w:hAnsiTheme="majorHAnsi"/>
          <w:spacing w:val="1"/>
          <w:sz w:val="20"/>
          <w:szCs w:val="20"/>
        </w:rPr>
        <w:t xml:space="preserve"> </w:t>
      </w:r>
      <w:r w:rsidRPr="000977F7">
        <w:rPr>
          <w:rFonts w:asciiTheme="majorHAnsi" w:hAnsiTheme="majorHAnsi"/>
          <w:sz w:val="20"/>
          <w:szCs w:val="20"/>
        </w:rPr>
        <w:t>шар</w:t>
      </w:r>
      <w:r w:rsidRPr="000977F7">
        <w:rPr>
          <w:rFonts w:asciiTheme="majorHAnsi" w:hAnsiTheme="majorHAnsi"/>
          <w:spacing w:val="1"/>
          <w:sz w:val="20"/>
          <w:szCs w:val="20"/>
        </w:rPr>
        <w:t xml:space="preserve"> </w:t>
      </w:r>
      <w:r w:rsidRPr="000977F7">
        <w:rPr>
          <w:rFonts w:asciiTheme="majorHAnsi" w:hAnsiTheme="majorHAnsi"/>
          <w:sz w:val="20"/>
          <w:szCs w:val="20"/>
        </w:rPr>
        <w:t>атмосферного</w:t>
      </w:r>
      <w:r w:rsidRPr="000977F7">
        <w:rPr>
          <w:rFonts w:asciiTheme="majorHAnsi" w:hAnsiTheme="majorHAnsi"/>
          <w:spacing w:val="1"/>
          <w:sz w:val="20"/>
          <w:szCs w:val="20"/>
        </w:rPr>
        <w:t xml:space="preserve"> </w:t>
      </w:r>
      <w:r w:rsidRPr="000977F7">
        <w:rPr>
          <w:rFonts w:asciiTheme="majorHAnsi" w:hAnsiTheme="majorHAnsi"/>
          <w:sz w:val="20"/>
          <w:szCs w:val="20"/>
        </w:rPr>
        <w:t>повітря</w:t>
      </w:r>
      <w:r w:rsidRPr="000977F7">
        <w:rPr>
          <w:rFonts w:asciiTheme="majorHAnsi" w:hAnsiTheme="majorHAnsi"/>
          <w:spacing w:val="1"/>
          <w:sz w:val="20"/>
          <w:szCs w:val="20"/>
        </w:rPr>
        <w:t xml:space="preserve"> </w:t>
      </w:r>
      <w:r w:rsidRPr="000977F7">
        <w:rPr>
          <w:rFonts w:asciiTheme="majorHAnsi" w:hAnsiTheme="majorHAnsi"/>
          <w:sz w:val="20"/>
          <w:szCs w:val="20"/>
        </w:rPr>
        <w:t>забруднений</w:t>
      </w:r>
      <w:r w:rsidRPr="000977F7">
        <w:rPr>
          <w:rFonts w:asciiTheme="majorHAnsi" w:hAnsiTheme="majorHAnsi"/>
          <w:spacing w:val="1"/>
          <w:sz w:val="20"/>
          <w:szCs w:val="20"/>
        </w:rPr>
        <w:t xml:space="preserve"> </w:t>
      </w:r>
      <w:r w:rsidRPr="000977F7">
        <w:rPr>
          <w:rFonts w:asciiTheme="majorHAnsi" w:hAnsiTheme="majorHAnsi"/>
          <w:sz w:val="20"/>
          <w:szCs w:val="20"/>
        </w:rPr>
        <w:t>шкідливими речовинами, що містяться в промислових</w:t>
      </w:r>
      <w:r w:rsidRPr="000977F7">
        <w:rPr>
          <w:rFonts w:asciiTheme="majorHAnsi" w:hAnsiTheme="majorHAnsi"/>
          <w:spacing w:val="-47"/>
          <w:sz w:val="20"/>
          <w:szCs w:val="20"/>
        </w:rPr>
        <w:t xml:space="preserve"> </w:t>
      </w:r>
      <w:r w:rsidRPr="000977F7">
        <w:rPr>
          <w:rFonts w:asciiTheme="majorHAnsi" w:hAnsiTheme="majorHAnsi"/>
          <w:sz w:val="20"/>
          <w:szCs w:val="20"/>
        </w:rPr>
        <w:t>викидах у концентраціях, які перевищують допустимі</w:t>
      </w:r>
      <w:r w:rsidRPr="000977F7">
        <w:rPr>
          <w:rFonts w:asciiTheme="majorHAnsi" w:hAnsiTheme="majorHAnsi"/>
          <w:spacing w:val="1"/>
          <w:sz w:val="20"/>
          <w:szCs w:val="20"/>
        </w:rPr>
        <w:t xml:space="preserve"> </w:t>
      </w:r>
      <w:r w:rsidRPr="000977F7">
        <w:rPr>
          <w:rFonts w:asciiTheme="majorHAnsi" w:hAnsiTheme="majorHAnsi"/>
          <w:sz w:val="20"/>
          <w:szCs w:val="20"/>
        </w:rPr>
        <w:t>норми</w:t>
      </w:r>
    </w:p>
    <w:p w14:paraId="72B7E37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139D752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ЗОНА</w:t>
      </w:r>
      <w:r w:rsidRPr="000977F7">
        <w:rPr>
          <w:color w:val="auto"/>
          <w:spacing w:val="-6"/>
          <w:sz w:val="20"/>
          <w:szCs w:val="20"/>
        </w:rPr>
        <w:t xml:space="preserve"> </w:t>
      </w:r>
      <w:r w:rsidRPr="000977F7">
        <w:rPr>
          <w:color w:val="auto"/>
          <w:sz w:val="20"/>
          <w:szCs w:val="20"/>
        </w:rPr>
        <w:t>МИТНОГО</w:t>
      </w:r>
      <w:r w:rsidRPr="000977F7">
        <w:rPr>
          <w:color w:val="auto"/>
          <w:spacing w:val="-2"/>
          <w:sz w:val="20"/>
          <w:szCs w:val="20"/>
        </w:rPr>
        <w:t xml:space="preserve"> </w:t>
      </w:r>
      <w:r w:rsidRPr="000977F7">
        <w:rPr>
          <w:color w:val="auto"/>
          <w:sz w:val="20"/>
          <w:szCs w:val="20"/>
        </w:rPr>
        <w:t>КОНТРОЛЮ -</w:t>
      </w:r>
    </w:p>
    <w:p w14:paraId="1AA4A3B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Місце, визначене митними органами в пунктах пропуску через митний кордон України або в інших місцях митної території України, в межах якого митні</w:t>
      </w:r>
      <w:r w:rsidRPr="000977F7">
        <w:rPr>
          <w:rFonts w:asciiTheme="majorHAnsi" w:hAnsiTheme="majorHAnsi"/>
          <w:spacing w:val="1"/>
          <w:sz w:val="20"/>
          <w:szCs w:val="20"/>
        </w:rPr>
        <w:t xml:space="preserve"> </w:t>
      </w:r>
      <w:r w:rsidRPr="000977F7">
        <w:rPr>
          <w:rFonts w:asciiTheme="majorHAnsi" w:hAnsiTheme="majorHAnsi"/>
          <w:sz w:val="20"/>
          <w:szCs w:val="20"/>
        </w:rPr>
        <w:t>органи</w:t>
      </w:r>
      <w:r w:rsidRPr="000977F7">
        <w:rPr>
          <w:rFonts w:asciiTheme="majorHAnsi" w:hAnsiTheme="majorHAnsi"/>
          <w:spacing w:val="-2"/>
          <w:sz w:val="20"/>
          <w:szCs w:val="20"/>
        </w:rPr>
        <w:t xml:space="preserve"> </w:t>
      </w:r>
      <w:r w:rsidRPr="000977F7">
        <w:rPr>
          <w:rFonts w:asciiTheme="majorHAnsi" w:hAnsiTheme="majorHAnsi"/>
          <w:sz w:val="20"/>
          <w:szCs w:val="20"/>
        </w:rPr>
        <w:t>здійснюють митні</w:t>
      </w:r>
      <w:r w:rsidRPr="000977F7">
        <w:rPr>
          <w:rFonts w:asciiTheme="majorHAnsi" w:hAnsiTheme="majorHAnsi"/>
          <w:spacing w:val="-2"/>
          <w:sz w:val="20"/>
          <w:szCs w:val="20"/>
        </w:rPr>
        <w:t xml:space="preserve"> </w:t>
      </w:r>
      <w:r w:rsidRPr="000977F7">
        <w:rPr>
          <w:rFonts w:asciiTheme="majorHAnsi" w:hAnsiTheme="majorHAnsi"/>
          <w:sz w:val="20"/>
          <w:szCs w:val="20"/>
        </w:rPr>
        <w:t>процедури</w:t>
      </w:r>
    </w:p>
    <w:p w14:paraId="3928E2E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 кодекс України.</w:t>
      </w:r>
    </w:p>
    <w:p w14:paraId="70952F00"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pacing w:val="-1"/>
          <w:sz w:val="20"/>
          <w:szCs w:val="20"/>
        </w:rPr>
        <w:t>ЗОНА НАСИЧЕНОСТІ -</w:t>
      </w:r>
    </w:p>
    <w:p w14:paraId="2638FB9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SATURATIONE</w:t>
      </w:r>
      <w:r w:rsidRPr="000977F7">
        <w:rPr>
          <w:rFonts w:asciiTheme="majorHAnsi" w:hAnsiTheme="majorHAnsi"/>
          <w:spacing w:val="-1"/>
          <w:sz w:val="20"/>
          <w:szCs w:val="20"/>
        </w:rPr>
        <w:t xml:space="preserve"> </w:t>
      </w:r>
      <w:r w:rsidRPr="000977F7">
        <w:rPr>
          <w:rFonts w:asciiTheme="majorHAnsi" w:hAnsiTheme="majorHAnsi"/>
          <w:sz w:val="20"/>
          <w:szCs w:val="20"/>
        </w:rPr>
        <w:t>ZONE -</w:t>
      </w:r>
    </w:p>
    <w:p w14:paraId="73190C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статичної характеристики, що відповідає обмеженому з одного боку діапазону змінювання вхідної</w:t>
      </w:r>
      <w:r w:rsidRPr="000977F7">
        <w:rPr>
          <w:rFonts w:asciiTheme="majorHAnsi" w:hAnsiTheme="majorHAnsi"/>
          <w:spacing w:val="1"/>
          <w:sz w:val="20"/>
          <w:szCs w:val="20"/>
        </w:rPr>
        <w:t xml:space="preserve"> </w:t>
      </w:r>
      <w:r w:rsidRPr="000977F7">
        <w:rPr>
          <w:rFonts w:asciiTheme="majorHAnsi" w:hAnsiTheme="majorHAnsi"/>
          <w:sz w:val="20"/>
          <w:szCs w:val="20"/>
        </w:rPr>
        <w:t>величини,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якій</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вихідної</w:t>
      </w:r>
      <w:r w:rsidRPr="000977F7">
        <w:rPr>
          <w:rFonts w:asciiTheme="majorHAnsi" w:hAnsiTheme="majorHAnsi"/>
          <w:spacing w:val="1"/>
          <w:sz w:val="20"/>
          <w:szCs w:val="20"/>
        </w:rPr>
        <w:t xml:space="preserve"> </w:t>
      </w:r>
      <w:r w:rsidRPr="000977F7">
        <w:rPr>
          <w:rFonts w:asciiTheme="majorHAnsi" w:hAnsiTheme="majorHAnsi"/>
          <w:sz w:val="20"/>
          <w:szCs w:val="20"/>
        </w:rPr>
        <w:t>величини</w:t>
      </w:r>
      <w:r w:rsidRPr="000977F7">
        <w:rPr>
          <w:rFonts w:asciiTheme="majorHAnsi" w:hAnsiTheme="majorHAnsi"/>
          <w:spacing w:val="1"/>
          <w:sz w:val="20"/>
          <w:szCs w:val="20"/>
        </w:rPr>
        <w:t xml:space="preserve"> </w:t>
      </w:r>
      <w:r w:rsidRPr="000977F7">
        <w:rPr>
          <w:rFonts w:asciiTheme="majorHAnsi" w:hAnsiTheme="majorHAnsi"/>
          <w:sz w:val="20"/>
          <w:szCs w:val="20"/>
        </w:rPr>
        <w:t>практично не змінюється</w:t>
      </w:r>
    </w:p>
    <w:p w14:paraId="22F9B92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3956 - 2000</w:t>
      </w:r>
    </w:p>
    <w:p w14:paraId="61408BE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ЗОНА</w:t>
      </w:r>
      <w:r w:rsidRPr="000977F7">
        <w:rPr>
          <w:color w:val="auto"/>
          <w:spacing w:val="-5"/>
          <w:sz w:val="20"/>
          <w:szCs w:val="20"/>
        </w:rPr>
        <w:t xml:space="preserve"> </w:t>
      </w:r>
      <w:r w:rsidRPr="000977F7">
        <w:rPr>
          <w:color w:val="auto"/>
          <w:sz w:val="20"/>
          <w:szCs w:val="20"/>
        </w:rPr>
        <w:t>НЕОДНОЗНАЧНОСТІ -</w:t>
      </w:r>
    </w:p>
    <w:p w14:paraId="0443A6A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AMBIGUITY</w:t>
      </w:r>
      <w:r w:rsidRPr="000977F7">
        <w:rPr>
          <w:rFonts w:asciiTheme="majorHAnsi" w:hAnsiTheme="majorHAnsi"/>
          <w:spacing w:val="-2"/>
          <w:sz w:val="20"/>
          <w:szCs w:val="20"/>
        </w:rPr>
        <w:t xml:space="preserve"> </w:t>
      </w:r>
      <w:r w:rsidRPr="000977F7">
        <w:rPr>
          <w:rFonts w:asciiTheme="majorHAnsi" w:hAnsiTheme="majorHAnsi"/>
          <w:sz w:val="20"/>
          <w:szCs w:val="20"/>
        </w:rPr>
        <w:t>ZONE -</w:t>
      </w:r>
    </w:p>
    <w:p w14:paraId="325D6C6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статичної характеристики, що відповідає обмеженому з двох боків діапазону змінювання вхідної</w:t>
      </w:r>
      <w:r w:rsidRPr="000977F7">
        <w:rPr>
          <w:rFonts w:asciiTheme="majorHAnsi" w:hAnsiTheme="majorHAnsi"/>
          <w:spacing w:val="1"/>
          <w:sz w:val="20"/>
          <w:szCs w:val="20"/>
        </w:rPr>
        <w:t xml:space="preserve"> </w:t>
      </w:r>
      <w:r w:rsidRPr="000977F7">
        <w:rPr>
          <w:rFonts w:asciiTheme="majorHAnsi" w:hAnsiTheme="majorHAnsi"/>
          <w:sz w:val="20"/>
          <w:szCs w:val="20"/>
        </w:rPr>
        <w:t>величини, в якій кожному значенню вхідної величини</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відповідати</w:t>
      </w:r>
      <w:r w:rsidRPr="000977F7">
        <w:rPr>
          <w:rFonts w:asciiTheme="majorHAnsi" w:hAnsiTheme="majorHAnsi"/>
          <w:spacing w:val="1"/>
          <w:sz w:val="20"/>
          <w:szCs w:val="20"/>
        </w:rPr>
        <w:t xml:space="preserve"> </w:t>
      </w:r>
      <w:r w:rsidRPr="000977F7">
        <w:rPr>
          <w:rFonts w:asciiTheme="majorHAnsi" w:hAnsiTheme="majorHAnsi"/>
          <w:sz w:val="20"/>
          <w:szCs w:val="20"/>
        </w:rPr>
        <w:t>більше</w:t>
      </w:r>
      <w:r w:rsidRPr="000977F7">
        <w:rPr>
          <w:rFonts w:asciiTheme="majorHAnsi" w:hAnsiTheme="majorHAnsi"/>
          <w:spacing w:val="1"/>
          <w:sz w:val="20"/>
          <w:szCs w:val="20"/>
        </w:rPr>
        <w:t xml:space="preserve"> </w:t>
      </w:r>
      <w:r w:rsidRPr="000977F7">
        <w:rPr>
          <w:rFonts w:asciiTheme="majorHAnsi" w:hAnsiTheme="majorHAnsi"/>
          <w:sz w:val="20"/>
          <w:szCs w:val="20"/>
        </w:rPr>
        <w:t>одного</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вихідної</w:t>
      </w:r>
      <w:r w:rsidRPr="000977F7">
        <w:rPr>
          <w:rFonts w:asciiTheme="majorHAnsi" w:hAnsiTheme="majorHAnsi"/>
          <w:spacing w:val="1"/>
          <w:sz w:val="20"/>
          <w:szCs w:val="20"/>
        </w:rPr>
        <w:t xml:space="preserve"> </w:t>
      </w:r>
      <w:r w:rsidRPr="000977F7">
        <w:rPr>
          <w:rFonts w:asciiTheme="majorHAnsi" w:hAnsiTheme="majorHAnsi"/>
          <w:sz w:val="20"/>
          <w:szCs w:val="20"/>
        </w:rPr>
        <w:t>величини</w:t>
      </w:r>
    </w:p>
    <w:p w14:paraId="4514581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3956 - 2000</w:t>
      </w:r>
    </w:p>
    <w:p w14:paraId="3883B4A2" w14:textId="77777777" w:rsidR="0097612F" w:rsidRPr="000977F7" w:rsidRDefault="0097612F" w:rsidP="000977F7">
      <w:pPr>
        <w:pStyle w:val="7"/>
        <w:tabs>
          <w:tab w:val="left" w:pos="284"/>
        </w:tabs>
        <w:spacing w:before="0" w:line="240" w:lineRule="auto"/>
        <w:ind w:left="170"/>
        <w:mirrorIndents/>
        <w:jc w:val="both"/>
        <w:rPr>
          <w:color w:val="auto"/>
          <w:spacing w:val="41"/>
          <w:sz w:val="20"/>
          <w:szCs w:val="20"/>
        </w:rPr>
      </w:pPr>
      <w:r w:rsidRPr="000977F7">
        <w:rPr>
          <w:color w:val="auto"/>
          <w:sz w:val="20"/>
          <w:szCs w:val="20"/>
        </w:rPr>
        <w:t>ЗОНА</w:t>
      </w:r>
      <w:r w:rsidRPr="000977F7">
        <w:rPr>
          <w:color w:val="auto"/>
          <w:spacing w:val="40"/>
          <w:sz w:val="20"/>
          <w:szCs w:val="20"/>
        </w:rPr>
        <w:t xml:space="preserve"> </w:t>
      </w:r>
      <w:r w:rsidRPr="000977F7">
        <w:rPr>
          <w:color w:val="auto"/>
          <w:sz w:val="20"/>
          <w:szCs w:val="20"/>
        </w:rPr>
        <w:t>НЕЧУТЛИВОСТІ</w:t>
      </w:r>
      <w:r w:rsidRPr="000977F7">
        <w:rPr>
          <w:color w:val="auto"/>
          <w:spacing w:val="42"/>
          <w:sz w:val="20"/>
          <w:szCs w:val="20"/>
        </w:rPr>
        <w:t xml:space="preserve"> </w:t>
      </w:r>
      <w:r w:rsidRPr="000977F7">
        <w:rPr>
          <w:color w:val="auto"/>
          <w:sz w:val="20"/>
          <w:szCs w:val="20"/>
        </w:rPr>
        <w:t>(ЗАСОБУ</w:t>
      </w:r>
      <w:r w:rsidRPr="000977F7">
        <w:rPr>
          <w:color w:val="auto"/>
          <w:spacing w:val="41"/>
          <w:sz w:val="20"/>
          <w:szCs w:val="20"/>
        </w:rPr>
        <w:t xml:space="preserve"> </w:t>
      </w:r>
    </w:p>
    <w:p w14:paraId="2FB57BA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ВИМІРЮ</w:t>
      </w:r>
      <w:r w:rsidRPr="000977F7">
        <w:rPr>
          <w:color w:val="auto"/>
          <w:spacing w:val="-47"/>
          <w:sz w:val="20"/>
          <w:szCs w:val="20"/>
        </w:rPr>
        <w:t xml:space="preserve"> </w:t>
      </w:r>
      <w:r w:rsidRPr="000977F7">
        <w:rPr>
          <w:color w:val="auto"/>
          <w:sz w:val="20"/>
          <w:szCs w:val="20"/>
        </w:rPr>
        <w:t>ВАНЬ) –</w:t>
      </w:r>
    </w:p>
    <w:p w14:paraId="60547B9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DEAD</w:t>
      </w:r>
      <w:r w:rsidRPr="004D2D14">
        <w:rPr>
          <w:rFonts w:asciiTheme="majorHAnsi" w:hAnsiTheme="majorHAnsi"/>
          <w:spacing w:val="-4"/>
          <w:sz w:val="20"/>
          <w:szCs w:val="20"/>
          <w:lang w:val="uk-UA"/>
        </w:rPr>
        <w:t xml:space="preserve"> </w:t>
      </w:r>
      <w:r w:rsidRPr="000977F7">
        <w:rPr>
          <w:rFonts w:asciiTheme="majorHAnsi" w:hAnsiTheme="majorHAnsi"/>
          <w:sz w:val="20"/>
          <w:szCs w:val="20"/>
        </w:rPr>
        <w:t>BAND</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w:t>
      </w:r>
    </w:p>
    <w:p w14:paraId="24175C1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Діапазон значень вимірюваної величини, в межах якого її зміни не викликають зміни показу засобу вимірювань</w:t>
      </w:r>
    </w:p>
    <w:p w14:paraId="2F34328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2681</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00830E8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ЗОНА</w:t>
      </w:r>
      <w:r w:rsidRPr="000977F7">
        <w:rPr>
          <w:color w:val="auto"/>
          <w:spacing w:val="-4"/>
          <w:sz w:val="20"/>
          <w:szCs w:val="20"/>
        </w:rPr>
        <w:t xml:space="preserve"> </w:t>
      </w:r>
      <w:r w:rsidRPr="000977F7">
        <w:rPr>
          <w:color w:val="auto"/>
          <w:sz w:val="20"/>
          <w:szCs w:val="20"/>
        </w:rPr>
        <w:t>СПОСТЕРЕЖЕННЯ</w:t>
      </w:r>
      <w:r w:rsidRPr="000977F7">
        <w:rPr>
          <w:color w:val="auto"/>
          <w:spacing w:val="-1"/>
          <w:sz w:val="20"/>
          <w:szCs w:val="20"/>
        </w:rPr>
        <w:t xml:space="preserve"> </w:t>
      </w:r>
      <w:r w:rsidRPr="000977F7">
        <w:rPr>
          <w:color w:val="auto"/>
          <w:sz w:val="20"/>
          <w:szCs w:val="20"/>
        </w:rPr>
        <w:t>—</w:t>
      </w:r>
    </w:p>
    <w:p w14:paraId="3ED2293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Територія навколо потенційно небезпечного промислового підприємства, що встановлюється проектною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документацією відповідно до державних нормативних</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документів, в межах якої протягом усього циклу існування цього підприємства експлуатуюча його організація і державні органи зобов'язані вести контроль за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екологічною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ситуацією</w:t>
      </w:r>
    </w:p>
    <w:p w14:paraId="1F82FAD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7EDDFEB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ЗОНА</w:t>
      </w:r>
      <w:r w:rsidRPr="000977F7">
        <w:rPr>
          <w:color w:val="auto"/>
          <w:spacing w:val="-5"/>
          <w:sz w:val="20"/>
          <w:szCs w:val="20"/>
        </w:rPr>
        <w:t xml:space="preserve"> </w:t>
      </w:r>
      <w:r w:rsidRPr="000977F7">
        <w:rPr>
          <w:color w:val="auto"/>
          <w:sz w:val="20"/>
          <w:szCs w:val="20"/>
        </w:rPr>
        <w:t>СПРОЩЕНОГО</w:t>
      </w:r>
      <w:r w:rsidRPr="000977F7">
        <w:rPr>
          <w:color w:val="auto"/>
          <w:spacing w:val="-6"/>
          <w:sz w:val="20"/>
          <w:szCs w:val="20"/>
        </w:rPr>
        <w:t xml:space="preserve"> </w:t>
      </w:r>
      <w:r w:rsidRPr="000977F7">
        <w:rPr>
          <w:color w:val="auto"/>
          <w:sz w:val="20"/>
          <w:szCs w:val="20"/>
        </w:rPr>
        <w:t>МИТНОГО</w:t>
      </w:r>
      <w:r w:rsidRPr="000977F7">
        <w:rPr>
          <w:color w:val="auto"/>
          <w:spacing w:val="-3"/>
          <w:sz w:val="20"/>
          <w:szCs w:val="20"/>
        </w:rPr>
        <w:t xml:space="preserve"> </w:t>
      </w:r>
      <w:r w:rsidRPr="000977F7">
        <w:rPr>
          <w:color w:val="auto"/>
          <w:sz w:val="20"/>
          <w:szCs w:val="20"/>
        </w:rPr>
        <w:t>КОНТРОЛЮ-</w:t>
      </w:r>
    </w:p>
    <w:p w14:paraId="2580BE6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зони митного контролю з належними технічним</w:t>
      </w:r>
      <w:r w:rsidRPr="000977F7">
        <w:rPr>
          <w:rFonts w:asciiTheme="majorHAnsi" w:hAnsiTheme="majorHAnsi"/>
          <w:spacing w:val="1"/>
          <w:sz w:val="20"/>
          <w:szCs w:val="20"/>
        </w:rPr>
        <w:t xml:space="preserve"> </w:t>
      </w:r>
      <w:r w:rsidRPr="000977F7">
        <w:rPr>
          <w:rFonts w:asciiTheme="majorHAnsi" w:hAnsiTheme="majorHAnsi"/>
          <w:sz w:val="20"/>
          <w:szCs w:val="20"/>
        </w:rPr>
        <w:t>та інформаційним обладнанням для здійснення</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спрощеному</w:t>
      </w:r>
      <w:r w:rsidRPr="000977F7">
        <w:rPr>
          <w:rFonts w:asciiTheme="majorHAnsi" w:hAnsiTheme="majorHAnsi"/>
          <w:spacing w:val="-1"/>
          <w:sz w:val="20"/>
          <w:szCs w:val="20"/>
        </w:rPr>
        <w:t xml:space="preserve"> </w:t>
      </w:r>
      <w:r w:rsidRPr="000977F7">
        <w:rPr>
          <w:rFonts w:asciiTheme="majorHAnsi" w:hAnsiTheme="majorHAnsi"/>
          <w:sz w:val="20"/>
          <w:szCs w:val="20"/>
        </w:rPr>
        <w:t>порядку</w:t>
      </w:r>
    </w:p>
    <w:p w14:paraId="5715DAE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w:t>
      </w:r>
      <w:r w:rsidRPr="000977F7">
        <w:rPr>
          <w:rFonts w:asciiTheme="majorHAnsi" w:hAnsiTheme="majorHAnsi"/>
          <w:i/>
          <w:spacing w:val="-2"/>
          <w:sz w:val="20"/>
          <w:szCs w:val="20"/>
        </w:rPr>
        <w:t xml:space="preserve"> </w:t>
      </w:r>
      <w:r w:rsidRPr="000977F7">
        <w:rPr>
          <w:rFonts w:asciiTheme="majorHAnsi" w:hAnsiTheme="majorHAnsi"/>
          <w:i/>
          <w:sz w:val="20"/>
          <w:szCs w:val="20"/>
        </w:rPr>
        <w:t>кодекс</w:t>
      </w:r>
      <w:r w:rsidRPr="000977F7">
        <w:rPr>
          <w:rFonts w:asciiTheme="majorHAnsi" w:hAnsiTheme="majorHAnsi"/>
          <w:i/>
          <w:spacing w:val="-3"/>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3"/>
          <w:sz w:val="20"/>
          <w:szCs w:val="20"/>
        </w:rPr>
        <w:t xml:space="preserve"> </w:t>
      </w:r>
      <w:r w:rsidRPr="000977F7">
        <w:rPr>
          <w:rFonts w:asciiTheme="majorHAnsi" w:hAnsiTheme="majorHAnsi"/>
          <w:i/>
          <w:sz w:val="20"/>
          <w:szCs w:val="20"/>
        </w:rPr>
        <w:t>Стаття</w:t>
      </w:r>
      <w:r w:rsidRPr="000977F7">
        <w:rPr>
          <w:rFonts w:asciiTheme="majorHAnsi" w:hAnsiTheme="majorHAnsi"/>
          <w:i/>
          <w:spacing w:val="-2"/>
          <w:sz w:val="20"/>
          <w:szCs w:val="20"/>
        </w:rPr>
        <w:t xml:space="preserve"> </w:t>
      </w:r>
      <w:r w:rsidRPr="000977F7">
        <w:rPr>
          <w:rFonts w:asciiTheme="majorHAnsi" w:hAnsiTheme="majorHAnsi"/>
          <w:i/>
          <w:sz w:val="20"/>
          <w:szCs w:val="20"/>
        </w:rPr>
        <w:t>1</w:t>
      </w:r>
    </w:p>
    <w:p w14:paraId="7C7C779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ЗОСЕРЕДЖЕНА</w:t>
      </w:r>
      <w:r w:rsidRPr="000977F7">
        <w:rPr>
          <w:color w:val="auto"/>
          <w:spacing w:val="-3"/>
          <w:sz w:val="20"/>
          <w:szCs w:val="20"/>
        </w:rPr>
        <w:t xml:space="preserve"> </w:t>
      </w:r>
      <w:r w:rsidRPr="000977F7">
        <w:rPr>
          <w:color w:val="auto"/>
          <w:sz w:val="20"/>
          <w:szCs w:val="20"/>
        </w:rPr>
        <w:t>СИЛА</w:t>
      </w:r>
      <w:r w:rsidRPr="000977F7">
        <w:rPr>
          <w:color w:val="auto"/>
          <w:spacing w:val="-1"/>
          <w:sz w:val="20"/>
          <w:szCs w:val="20"/>
        </w:rPr>
        <w:t xml:space="preserve"> </w:t>
      </w:r>
      <w:r w:rsidRPr="000977F7">
        <w:rPr>
          <w:color w:val="auto"/>
          <w:sz w:val="20"/>
          <w:szCs w:val="20"/>
        </w:rPr>
        <w:t>–</w:t>
      </w:r>
    </w:p>
    <w:p w14:paraId="4E0485E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POINT</w:t>
      </w:r>
      <w:r w:rsidRPr="004D2D14">
        <w:rPr>
          <w:rFonts w:asciiTheme="majorHAnsi" w:hAnsiTheme="majorHAnsi"/>
          <w:sz w:val="20"/>
          <w:szCs w:val="20"/>
          <w:lang w:val="uk-UA"/>
        </w:rPr>
        <w:t xml:space="preserve"> </w:t>
      </w:r>
      <w:r w:rsidRPr="000977F7">
        <w:rPr>
          <w:rFonts w:asciiTheme="majorHAnsi" w:hAnsiTheme="majorHAnsi"/>
          <w:sz w:val="20"/>
          <w:szCs w:val="20"/>
        </w:rPr>
        <w:t>FORCE</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1E9151E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Зовнішня сила, площа або об’єм дії якої під час схематизації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замінюють точкою</w:t>
      </w:r>
    </w:p>
    <w:p w14:paraId="4800994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noProof/>
          <w:sz w:val="20"/>
          <w:szCs w:val="20"/>
          <w:lang w:eastAsia="ru-RU"/>
        </w:rPr>
        <w:drawing>
          <wp:anchor distT="0" distB="0" distL="0" distR="0" simplePos="0" relativeHeight="251670528" behindDoc="1" locked="0" layoutInCell="1" allowOverlap="1" wp14:anchorId="299B7386" wp14:editId="4BABAE2D">
            <wp:simplePos x="0" y="0"/>
            <wp:positionH relativeFrom="page">
              <wp:posOffset>5428234</wp:posOffset>
            </wp:positionH>
            <wp:positionV relativeFrom="paragraph">
              <wp:posOffset>151205</wp:posOffset>
            </wp:positionV>
            <wp:extent cx="64008" cy="155448"/>
            <wp:effectExtent l="0" t="0" r="0" b="0"/>
            <wp:wrapNone/>
            <wp:docPr id="24"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27.png"/>
                    <pic:cNvPicPr/>
                  </pic:nvPicPr>
                  <pic:blipFill>
                    <a:blip r:embed="rId18" cstate="print"/>
                    <a:stretch>
                      <a:fillRect/>
                    </a:stretch>
                  </pic:blipFill>
                  <pic:spPr>
                    <a:xfrm>
                      <a:off x="0" y="0"/>
                      <a:ext cx="64008" cy="155448"/>
                    </a:xfrm>
                    <a:prstGeom prst="rect">
                      <a:avLst/>
                    </a:prstGeom>
                  </pic:spPr>
                </pic:pic>
              </a:graphicData>
            </a:graphic>
          </wp:anchor>
        </w:drawing>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A04609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ЗОСЕРЕДЖЕНИЙ</w:t>
      </w:r>
      <w:r w:rsidRPr="000977F7">
        <w:rPr>
          <w:color w:val="auto"/>
          <w:spacing w:val="-3"/>
          <w:sz w:val="20"/>
          <w:szCs w:val="20"/>
        </w:rPr>
        <w:t xml:space="preserve"> </w:t>
      </w:r>
      <w:r w:rsidRPr="000977F7">
        <w:rPr>
          <w:color w:val="auto"/>
          <w:sz w:val="20"/>
          <w:szCs w:val="20"/>
        </w:rPr>
        <w:t>ОБ</w:t>
      </w:r>
      <w:r w:rsidRPr="000977F7">
        <w:rPr>
          <w:color w:val="auto"/>
          <w:spacing w:val="-2"/>
          <w:sz w:val="20"/>
          <w:szCs w:val="20"/>
        </w:rPr>
        <w:t xml:space="preserve"> </w:t>
      </w:r>
      <w:r w:rsidRPr="000977F7">
        <w:rPr>
          <w:color w:val="auto"/>
          <w:sz w:val="20"/>
          <w:szCs w:val="20"/>
        </w:rPr>
        <w:t>ЄКТ-</w:t>
      </w:r>
    </w:p>
    <w:p w14:paraId="74FAD5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LUMPED</w:t>
      </w:r>
      <w:r w:rsidRPr="000977F7">
        <w:rPr>
          <w:rFonts w:asciiTheme="majorHAnsi" w:hAnsiTheme="majorHAnsi"/>
          <w:spacing w:val="-2"/>
          <w:sz w:val="20"/>
          <w:szCs w:val="20"/>
        </w:rPr>
        <w:t xml:space="preserve"> </w:t>
      </w:r>
      <w:r w:rsidRPr="000977F7">
        <w:rPr>
          <w:rFonts w:asciiTheme="majorHAnsi" w:hAnsiTheme="majorHAnsi"/>
          <w:sz w:val="20"/>
          <w:szCs w:val="20"/>
        </w:rPr>
        <w:t>OBJECT-</w:t>
      </w:r>
    </w:p>
    <w:p w14:paraId="55E8FBD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Об’єкт, відстані між компонентами якого не є істотні </w:t>
      </w:r>
      <w:r w:rsidRPr="000977F7">
        <w:rPr>
          <w:rFonts w:asciiTheme="majorHAnsi" w:hAnsiTheme="majorHAnsi"/>
          <w:spacing w:val="-48"/>
          <w:sz w:val="20"/>
          <w:szCs w:val="20"/>
        </w:rPr>
        <w:t xml:space="preserve"> </w:t>
      </w:r>
      <w:r w:rsidRPr="000977F7">
        <w:rPr>
          <w:rFonts w:asciiTheme="majorHAnsi" w:hAnsiTheme="majorHAnsi"/>
          <w:sz w:val="20"/>
          <w:szCs w:val="20"/>
        </w:rPr>
        <w:t>для організації та функціювання систем керування,</w:t>
      </w:r>
      <w:r w:rsidRPr="000977F7">
        <w:rPr>
          <w:rFonts w:asciiTheme="majorHAnsi" w:hAnsiTheme="majorHAnsi"/>
          <w:spacing w:val="1"/>
          <w:sz w:val="20"/>
          <w:szCs w:val="20"/>
        </w:rPr>
        <w:t xml:space="preserve"> </w:t>
      </w:r>
      <w:r w:rsidRPr="000977F7">
        <w:rPr>
          <w:rFonts w:asciiTheme="majorHAnsi" w:hAnsiTheme="majorHAnsi"/>
          <w:sz w:val="20"/>
          <w:szCs w:val="20"/>
        </w:rPr>
        <w:t>діагностування,</w:t>
      </w:r>
      <w:r w:rsidRPr="000977F7">
        <w:rPr>
          <w:rFonts w:asciiTheme="majorHAnsi" w:hAnsiTheme="majorHAnsi"/>
          <w:spacing w:val="-1"/>
          <w:sz w:val="20"/>
          <w:szCs w:val="20"/>
        </w:rPr>
        <w:t xml:space="preserve"> </w:t>
      </w:r>
      <w:r w:rsidRPr="000977F7">
        <w:rPr>
          <w:rFonts w:asciiTheme="majorHAnsi" w:hAnsiTheme="majorHAnsi"/>
          <w:sz w:val="20"/>
          <w:szCs w:val="20"/>
        </w:rPr>
        <w:t>контролювання</w:t>
      </w:r>
    </w:p>
    <w:p w14:paraId="6612C71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3956 - 2000</w:t>
      </w:r>
    </w:p>
    <w:p w14:paraId="796BAE1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ЗПРОГНОЗОВАНИЙ ПОКАЗНИК</w:t>
      </w:r>
      <w:r w:rsidRPr="000977F7">
        <w:rPr>
          <w:color w:val="auto"/>
          <w:spacing w:val="-48"/>
          <w:sz w:val="20"/>
          <w:szCs w:val="20"/>
        </w:rPr>
        <w:t xml:space="preserve"> </w:t>
      </w:r>
      <w:r w:rsidRPr="000977F7">
        <w:rPr>
          <w:color w:val="auto"/>
          <w:sz w:val="20"/>
          <w:szCs w:val="20"/>
        </w:rPr>
        <w:t>НАДІЙНОСТІ</w:t>
      </w:r>
      <w:r w:rsidRPr="000977F7">
        <w:rPr>
          <w:color w:val="auto"/>
          <w:spacing w:val="-2"/>
          <w:sz w:val="20"/>
          <w:szCs w:val="20"/>
        </w:rPr>
        <w:t xml:space="preserve"> </w:t>
      </w:r>
      <w:r w:rsidRPr="000977F7">
        <w:rPr>
          <w:color w:val="auto"/>
          <w:sz w:val="20"/>
          <w:szCs w:val="20"/>
        </w:rPr>
        <w:t>–</w:t>
      </w:r>
    </w:p>
    <w:p w14:paraId="33029D2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PREDICTED</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DEPENDABILITY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MEASURE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06545B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Показник</w:t>
      </w:r>
      <w:r w:rsidRPr="000977F7">
        <w:rPr>
          <w:rFonts w:asciiTheme="majorHAnsi" w:hAnsiTheme="majorHAnsi"/>
          <w:spacing w:val="1"/>
          <w:sz w:val="20"/>
          <w:szCs w:val="20"/>
        </w:rPr>
        <w:t xml:space="preserve"> </w:t>
      </w:r>
      <w:r w:rsidRPr="000977F7">
        <w:rPr>
          <w:rFonts w:asciiTheme="majorHAnsi" w:hAnsiTheme="majorHAnsi"/>
          <w:sz w:val="20"/>
          <w:szCs w:val="20"/>
        </w:rPr>
        <w:t>надійності,</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розрахований</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основі</w:t>
      </w:r>
      <w:r w:rsidRPr="000977F7">
        <w:rPr>
          <w:rFonts w:asciiTheme="majorHAnsi" w:hAnsiTheme="majorHAnsi"/>
          <w:spacing w:val="1"/>
          <w:sz w:val="20"/>
          <w:szCs w:val="20"/>
        </w:rPr>
        <w:t xml:space="preserve"> </w:t>
      </w:r>
      <w:r w:rsidRPr="000977F7">
        <w:rPr>
          <w:rFonts w:asciiTheme="majorHAnsi" w:hAnsiTheme="majorHAnsi"/>
          <w:sz w:val="20"/>
          <w:szCs w:val="20"/>
        </w:rPr>
        <w:t>спостережених, оцінених чи екстрапольованих показників надійності для частин об’єкту у заданих умовах</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експлуатації з врахуванням особливостей конструкції</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6D4178A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 94</w:t>
      </w:r>
    </w:p>
    <w:p w14:paraId="03BE097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ЗРАЗКОВИЙ</w:t>
      </w:r>
      <w:r w:rsidRPr="000977F7">
        <w:rPr>
          <w:color w:val="auto"/>
          <w:spacing w:val="-8"/>
          <w:sz w:val="20"/>
          <w:szCs w:val="20"/>
        </w:rPr>
        <w:t xml:space="preserve"> </w:t>
      </w:r>
      <w:r w:rsidRPr="000977F7">
        <w:rPr>
          <w:color w:val="auto"/>
          <w:sz w:val="20"/>
          <w:szCs w:val="20"/>
        </w:rPr>
        <w:t>ЗАСІБ</w:t>
      </w:r>
      <w:r w:rsidRPr="000977F7">
        <w:rPr>
          <w:color w:val="auto"/>
          <w:spacing w:val="-10"/>
          <w:sz w:val="20"/>
          <w:szCs w:val="20"/>
        </w:rPr>
        <w:t xml:space="preserve"> </w:t>
      </w:r>
      <w:r w:rsidRPr="000977F7">
        <w:rPr>
          <w:color w:val="auto"/>
          <w:sz w:val="20"/>
          <w:szCs w:val="20"/>
        </w:rPr>
        <w:t>ВИМІРЮВАЛЬНОЇ</w:t>
      </w:r>
      <w:r w:rsidRPr="000977F7">
        <w:rPr>
          <w:color w:val="auto"/>
          <w:spacing w:val="-47"/>
          <w:sz w:val="20"/>
          <w:szCs w:val="20"/>
        </w:rPr>
        <w:t xml:space="preserve"> </w:t>
      </w:r>
      <w:r w:rsidRPr="000977F7">
        <w:rPr>
          <w:color w:val="auto"/>
          <w:sz w:val="20"/>
          <w:szCs w:val="20"/>
        </w:rPr>
        <w:t>ТЕХНІКИ –</w:t>
      </w:r>
    </w:p>
    <w:p w14:paraId="2C7DE4A3"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Засіб</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вимірювальної</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техніки</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(засіб</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вимірювань),</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який</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служить</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повірки</w:t>
      </w:r>
      <w:r w:rsidRPr="004D2D14">
        <w:rPr>
          <w:rFonts w:asciiTheme="majorHAnsi" w:hAnsiTheme="majorHAnsi"/>
          <w:spacing w:val="17"/>
          <w:sz w:val="20"/>
          <w:szCs w:val="20"/>
          <w:lang w:val="uk-UA"/>
        </w:rPr>
        <w:t xml:space="preserve"> </w:t>
      </w:r>
      <w:r w:rsidRPr="004D2D14">
        <w:rPr>
          <w:rFonts w:asciiTheme="majorHAnsi" w:hAnsiTheme="majorHAnsi"/>
          <w:sz w:val="20"/>
          <w:szCs w:val="20"/>
          <w:lang w:val="uk-UA"/>
        </w:rPr>
        <w:t>інших</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засобів</w:t>
      </w:r>
      <w:r w:rsidRPr="004D2D14">
        <w:rPr>
          <w:rFonts w:asciiTheme="majorHAnsi" w:hAnsiTheme="majorHAnsi"/>
          <w:spacing w:val="17"/>
          <w:sz w:val="20"/>
          <w:szCs w:val="20"/>
          <w:lang w:val="uk-UA"/>
        </w:rPr>
        <w:t xml:space="preserve"> </w:t>
      </w:r>
      <w:r w:rsidRPr="004D2D14">
        <w:rPr>
          <w:rFonts w:asciiTheme="majorHAnsi" w:hAnsiTheme="majorHAnsi"/>
          <w:sz w:val="20"/>
          <w:szCs w:val="20"/>
          <w:lang w:val="uk-UA"/>
        </w:rPr>
        <w:t>вимірювальної</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техніки (вимірювання) і затвердження як зразковий</w:t>
      </w:r>
      <w:r w:rsidRPr="004D2D14">
        <w:rPr>
          <w:rFonts w:asciiTheme="majorHAnsi" w:hAnsiTheme="majorHAnsi"/>
          <w:spacing w:val="1"/>
          <w:sz w:val="20"/>
          <w:szCs w:val="20"/>
          <w:lang w:val="uk-UA"/>
        </w:rPr>
        <w:t xml:space="preserve"> </w:t>
      </w:r>
    </w:p>
    <w:p w14:paraId="74B902D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8AF438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ЗРАЗКОВИЙ</w:t>
      </w:r>
      <w:r w:rsidRPr="000977F7">
        <w:rPr>
          <w:color w:val="auto"/>
          <w:spacing w:val="-3"/>
          <w:sz w:val="20"/>
          <w:szCs w:val="20"/>
        </w:rPr>
        <w:t xml:space="preserve"> </w:t>
      </w:r>
      <w:r w:rsidRPr="000977F7">
        <w:rPr>
          <w:color w:val="auto"/>
          <w:sz w:val="20"/>
          <w:szCs w:val="20"/>
        </w:rPr>
        <w:t>СИГНАЛ –</w:t>
      </w:r>
    </w:p>
    <w:p w14:paraId="76BE864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Вимірювальний сигнал, один чи декілька параметрів</w:t>
      </w:r>
      <w:r w:rsidRPr="000977F7">
        <w:rPr>
          <w:rFonts w:asciiTheme="majorHAnsi" w:hAnsiTheme="majorHAnsi"/>
          <w:spacing w:val="1"/>
          <w:sz w:val="20"/>
          <w:szCs w:val="20"/>
        </w:rPr>
        <w:t xml:space="preserve"> </w:t>
      </w:r>
      <w:r w:rsidRPr="000977F7">
        <w:rPr>
          <w:rFonts w:asciiTheme="majorHAnsi" w:hAnsiTheme="majorHAnsi"/>
          <w:sz w:val="20"/>
          <w:szCs w:val="20"/>
        </w:rPr>
        <w:t>якого мають задане значення</w:t>
      </w:r>
    </w:p>
    <w:p w14:paraId="0631615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F6F94C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ЗРАЗОК</w:t>
      </w:r>
      <w:r w:rsidRPr="000977F7">
        <w:rPr>
          <w:color w:val="auto"/>
          <w:spacing w:val="-5"/>
          <w:sz w:val="20"/>
          <w:szCs w:val="20"/>
        </w:rPr>
        <w:t xml:space="preserve"> </w:t>
      </w:r>
      <w:r w:rsidRPr="000977F7">
        <w:rPr>
          <w:color w:val="auto"/>
          <w:sz w:val="20"/>
          <w:szCs w:val="20"/>
        </w:rPr>
        <w:t>ДЛЯ</w:t>
      </w:r>
      <w:r w:rsidRPr="000977F7">
        <w:rPr>
          <w:color w:val="auto"/>
          <w:spacing w:val="-3"/>
          <w:sz w:val="20"/>
          <w:szCs w:val="20"/>
        </w:rPr>
        <w:t xml:space="preserve"> </w:t>
      </w:r>
      <w:r w:rsidRPr="000977F7">
        <w:rPr>
          <w:color w:val="auto"/>
          <w:sz w:val="20"/>
          <w:szCs w:val="20"/>
        </w:rPr>
        <w:t>ВИПРОБУВАНЬ</w:t>
      </w:r>
      <w:r w:rsidRPr="000977F7">
        <w:rPr>
          <w:color w:val="auto"/>
          <w:spacing w:val="-1"/>
          <w:sz w:val="20"/>
          <w:szCs w:val="20"/>
        </w:rPr>
        <w:t xml:space="preserve"> </w:t>
      </w:r>
      <w:r w:rsidRPr="000977F7">
        <w:rPr>
          <w:color w:val="auto"/>
          <w:sz w:val="20"/>
          <w:szCs w:val="20"/>
        </w:rPr>
        <w:t>–</w:t>
      </w:r>
    </w:p>
    <w:p w14:paraId="66AB78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TEST</w:t>
      </w:r>
      <w:r w:rsidRPr="000977F7">
        <w:rPr>
          <w:rFonts w:asciiTheme="majorHAnsi" w:hAnsiTheme="majorHAnsi"/>
          <w:spacing w:val="1"/>
          <w:sz w:val="20"/>
          <w:szCs w:val="20"/>
        </w:rPr>
        <w:t xml:space="preserve"> </w:t>
      </w:r>
      <w:r w:rsidRPr="000977F7">
        <w:rPr>
          <w:rFonts w:asciiTheme="majorHAnsi" w:hAnsiTheme="majorHAnsi"/>
          <w:sz w:val="20"/>
          <w:szCs w:val="20"/>
        </w:rPr>
        <w:t>SPECIMEN –</w:t>
      </w:r>
    </w:p>
    <w:p w14:paraId="5B2D2C2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 чи її частина, або проба, що</w:t>
      </w:r>
      <w:r w:rsidRPr="000977F7">
        <w:rPr>
          <w:rFonts w:asciiTheme="majorHAnsi" w:hAnsiTheme="majorHAnsi"/>
          <w:spacing w:val="1"/>
          <w:sz w:val="20"/>
          <w:szCs w:val="20"/>
        </w:rPr>
        <w:t xml:space="preserve"> </w:t>
      </w:r>
      <w:r w:rsidRPr="000977F7">
        <w:rPr>
          <w:rFonts w:asciiTheme="majorHAnsi" w:hAnsiTheme="majorHAnsi"/>
          <w:sz w:val="20"/>
          <w:szCs w:val="20"/>
        </w:rPr>
        <w:t>безпосередньо</w:t>
      </w:r>
      <w:r w:rsidRPr="000977F7">
        <w:rPr>
          <w:rFonts w:asciiTheme="majorHAnsi" w:hAnsiTheme="majorHAnsi"/>
          <w:spacing w:val="-47"/>
          <w:sz w:val="20"/>
          <w:szCs w:val="20"/>
        </w:rPr>
        <w:t xml:space="preserve"> </w:t>
      </w:r>
      <w:r w:rsidRPr="000977F7">
        <w:rPr>
          <w:rFonts w:asciiTheme="majorHAnsi" w:hAnsiTheme="majorHAnsi"/>
          <w:sz w:val="20"/>
          <w:szCs w:val="20"/>
        </w:rPr>
        <w:t>підлягає</w:t>
      </w:r>
      <w:r w:rsidRPr="000977F7">
        <w:rPr>
          <w:rFonts w:asciiTheme="majorHAnsi" w:hAnsiTheme="majorHAnsi"/>
          <w:spacing w:val="-1"/>
          <w:sz w:val="20"/>
          <w:szCs w:val="20"/>
        </w:rPr>
        <w:t xml:space="preserve"> </w:t>
      </w:r>
      <w:r w:rsidRPr="000977F7">
        <w:rPr>
          <w:rFonts w:asciiTheme="majorHAnsi" w:hAnsiTheme="majorHAnsi"/>
          <w:sz w:val="20"/>
          <w:szCs w:val="20"/>
        </w:rPr>
        <w:t>експерименту</w:t>
      </w:r>
      <w:r w:rsidRPr="000977F7">
        <w:rPr>
          <w:rFonts w:asciiTheme="majorHAnsi" w:hAnsiTheme="majorHAnsi"/>
          <w:spacing w:val="-2"/>
          <w:sz w:val="20"/>
          <w:szCs w:val="20"/>
        </w:rPr>
        <w:t xml:space="preserve"> </w:t>
      </w:r>
      <w:r w:rsidRPr="000977F7">
        <w:rPr>
          <w:rFonts w:asciiTheme="majorHAnsi" w:hAnsiTheme="majorHAnsi"/>
          <w:sz w:val="20"/>
          <w:szCs w:val="20"/>
        </w:rPr>
        <w:t>під</w:t>
      </w:r>
      <w:r w:rsidRPr="000977F7">
        <w:rPr>
          <w:rFonts w:asciiTheme="majorHAnsi" w:hAnsiTheme="majorHAnsi"/>
          <w:spacing w:val="48"/>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p>
    <w:p w14:paraId="6F04F3D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2C0C81F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SPECIMEN;</w:t>
      </w:r>
      <w:r w:rsidRPr="000977F7">
        <w:rPr>
          <w:rFonts w:asciiTheme="majorHAnsi" w:hAnsiTheme="majorHAnsi"/>
          <w:spacing w:val="-1"/>
          <w:sz w:val="20"/>
          <w:szCs w:val="20"/>
        </w:rPr>
        <w:t xml:space="preserve"> </w:t>
      </w:r>
      <w:r w:rsidRPr="000977F7">
        <w:rPr>
          <w:rFonts w:asciiTheme="majorHAnsi" w:hAnsiTheme="majorHAnsi"/>
          <w:sz w:val="20"/>
          <w:szCs w:val="20"/>
        </w:rPr>
        <w:t>TEST</w:t>
      </w:r>
      <w:r w:rsidRPr="000977F7">
        <w:rPr>
          <w:rFonts w:asciiTheme="majorHAnsi" w:hAnsiTheme="majorHAnsi"/>
          <w:spacing w:val="-1"/>
          <w:sz w:val="20"/>
          <w:szCs w:val="20"/>
        </w:rPr>
        <w:t xml:space="preserve"> </w:t>
      </w:r>
      <w:r w:rsidRPr="000977F7">
        <w:rPr>
          <w:rFonts w:asciiTheme="majorHAnsi" w:hAnsiTheme="majorHAnsi"/>
          <w:sz w:val="20"/>
          <w:szCs w:val="20"/>
        </w:rPr>
        <w:t>PIECE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6E28D0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 чи її частина, або проба, що безпосередньо</w:t>
      </w:r>
      <w:r w:rsidRPr="000977F7">
        <w:rPr>
          <w:rFonts w:asciiTheme="majorHAnsi" w:hAnsiTheme="majorHAnsi"/>
          <w:spacing w:val="1"/>
          <w:sz w:val="20"/>
          <w:szCs w:val="20"/>
        </w:rPr>
        <w:t xml:space="preserve"> </w:t>
      </w:r>
      <w:r w:rsidRPr="000977F7">
        <w:rPr>
          <w:rFonts w:asciiTheme="majorHAnsi" w:hAnsiTheme="majorHAnsi"/>
          <w:sz w:val="20"/>
          <w:szCs w:val="20"/>
        </w:rPr>
        <w:t>підлягає</w:t>
      </w:r>
      <w:r w:rsidRPr="000977F7">
        <w:rPr>
          <w:rFonts w:asciiTheme="majorHAnsi" w:hAnsiTheme="majorHAnsi"/>
          <w:spacing w:val="-1"/>
          <w:sz w:val="20"/>
          <w:szCs w:val="20"/>
        </w:rPr>
        <w:t xml:space="preserve"> </w:t>
      </w:r>
      <w:r w:rsidRPr="000977F7">
        <w:rPr>
          <w:rFonts w:asciiTheme="majorHAnsi" w:hAnsiTheme="majorHAnsi"/>
          <w:sz w:val="20"/>
          <w:szCs w:val="20"/>
        </w:rPr>
        <w:t>експерименту</w:t>
      </w:r>
      <w:r w:rsidRPr="000977F7">
        <w:rPr>
          <w:rFonts w:asciiTheme="majorHAnsi" w:hAnsiTheme="majorHAnsi"/>
          <w:spacing w:val="-2"/>
          <w:sz w:val="20"/>
          <w:szCs w:val="20"/>
        </w:rPr>
        <w:t xml:space="preserve"> </w:t>
      </w:r>
      <w:r w:rsidRPr="000977F7">
        <w:rPr>
          <w:rFonts w:asciiTheme="majorHAnsi" w:hAnsiTheme="majorHAnsi"/>
          <w:sz w:val="20"/>
          <w:szCs w:val="20"/>
        </w:rPr>
        <w:t>під</w:t>
      </w:r>
      <w:r w:rsidRPr="000977F7">
        <w:rPr>
          <w:rFonts w:asciiTheme="majorHAnsi" w:hAnsiTheme="majorHAnsi"/>
          <w:spacing w:val="-2"/>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p>
    <w:p w14:paraId="6C4893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37495622" w14:textId="77777777" w:rsidR="0097612F" w:rsidRPr="000977F7" w:rsidRDefault="0097612F" w:rsidP="00FD39A4">
      <w:pPr>
        <w:pStyle w:val="ac"/>
        <w:widowControl w:val="0"/>
        <w:numPr>
          <w:ilvl w:val="0"/>
          <w:numId w:val="172"/>
        </w:numPr>
        <w:tabs>
          <w:tab w:val="left" w:pos="284"/>
          <w:tab w:val="left" w:pos="67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Зразки для випробувань мають відповідати нормативно – технічній документації на даний вид</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 і загальним правилам добору проб,</w:t>
      </w:r>
      <w:r w:rsidRPr="000977F7">
        <w:rPr>
          <w:rFonts w:asciiTheme="majorHAnsi" w:hAnsiTheme="majorHAnsi"/>
          <w:spacing w:val="1"/>
          <w:sz w:val="20"/>
          <w:szCs w:val="20"/>
        </w:rPr>
        <w:t xml:space="preserve"> </w:t>
      </w:r>
      <w:r w:rsidRPr="000977F7">
        <w:rPr>
          <w:rFonts w:asciiTheme="majorHAnsi" w:hAnsiTheme="majorHAnsi"/>
          <w:sz w:val="20"/>
          <w:szCs w:val="20"/>
        </w:rPr>
        <w:t>заготовок</w:t>
      </w:r>
      <w:r w:rsidRPr="000977F7">
        <w:rPr>
          <w:rFonts w:asciiTheme="majorHAnsi" w:hAnsiTheme="majorHAnsi"/>
          <w:spacing w:val="43"/>
          <w:sz w:val="20"/>
          <w:szCs w:val="20"/>
        </w:rPr>
        <w:t xml:space="preserve"> </w:t>
      </w:r>
      <w:r w:rsidRPr="000977F7">
        <w:rPr>
          <w:rFonts w:asciiTheme="majorHAnsi" w:hAnsiTheme="majorHAnsi"/>
          <w:sz w:val="20"/>
          <w:szCs w:val="20"/>
        </w:rPr>
        <w:t>та</w:t>
      </w:r>
      <w:r w:rsidRPr="000977F7">
        <w:rPr>
          <w:rFonts w:asciiTheme="majorHAnsi" w:hAnsiTheme="majorHAnsi"/>
          <w:spacing w:val="43"/>
          <w:sz w:val="20"/>
          <w:szCs w:val="20"/>
        </w:rPr>
        <w:t xml:space="preserve"> </w:t>
      </w:r>
      <w:r w:rsidRPr="000977F7">
        <w:rPr>
          <w:rFonts w:asciiTheme="majorHAnsi" w:hAnsiTheme="majorHAnsi"/>
          <w:sz w:val="20"/>
          <w:szCs w:val="20"/>
        </w:rPr>
        <w:t>зразків.</w:t>
      </w:r>
      <w:r w:rsidRPr="000977F7">
        <w:rPr>
          <w:rFonts w:asciiTheme="majorHAnsi" w:hAnsiTheme="majorHAnsi"/>
          <w:spacing w:val="44"/>
          <w:sz w:val="20"/>
          <w:szCs w:val="20"/>
        </w:rPr>
        <w:t xml:space="preserve"> </w:t>
      </w:r>
      <w:r w:rsidRPr="000977F7">
        <w:rPr>
          <w:rFonts w:asciiTheme="majorHAnsi" w:hAnsiTheme="majorHAnsi"/>
          <w:sz w:val="20"/>
          <w:szCs w:val="20"/>
        </w:rPr>
        <w:t>В</w:t>
      </w:r>
      <w:r w:rsidRPr="000977F7">
        <w:rPr>
          <w:rFonts w:asciiTheme="majorHAnsi" w:hAnsiTheme="majorHAnsi"/>
          <w:spacing w:val="45"/>
          <w:sz w:val="20"/>
          <w:szCs w:val="20"/>
        </w:rPr>
        <w:t xml:space="preserve"> </w:t>
      </w:r>
      <w:r w:rsidRPr="000977F7">
        <w:rPr>
          <w:rFonts w:asciiTheme="majorHAnsi" w:hAnsiTheme="majorHAnsi"/>
          <w:sz w:val="20"/>
          <w:szCs w:val="20"/>
        </w:rPr>
        <w:t>обґрунтованих</w:t>
      </w:r>
      <w:r w:rsidRPr="000977F7">
        <w:rPr>
          <w:rFonts w:asciiTheme="majorHAnsi" w:hAnsiTheme="majorHAnsi"/>
          <w:spacing w:val="43"/>
          <w:sz w:val="20"/>
          <w:szCs w:val="20"/>
        </w:rPr>
        <w:t xml:space="preserve"> </w:t>
      </w:r>
      <w:r w:rsidRPr="000977F7">
        <w:rPr>
          <w:rFonts w:asciiTheme="majorHAnsi" w:hAnsiTheme="majorHAnsi"/>
          <w:sz w:val="20"/>
          <w:szCs w:val="20"/>
        </w:rPr>
        <w:t>випадках виняток можуть становити зразки для дослідницьких випробувань.</w:t>
      </w:r>
    </w:p>
    <w:p w14:paraId="137A34FD" w14:textId="77777777" w:rsidR="0097612F" w:rsidRPr="000977F7" w:rsidRDefault="0097612F" w:rsidP="00FD39A4">
      <w:pPr>
        <w:pStyle w:val="ac"/>
        <w:widowControl w:val="0"/>
        <w:numPr>
          <w:ilvl w:val="0"/>
          <w:numId w:val="172"/>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Зразком для випробувань може служити продукція</w:t>
      </w:r>
      <w:r w:rsidRPr="000977F7">
        <w:rPr>
          <w:rFonts w:asciiTheme="majorHAnsi" w:hAnsiTheme="majorHAnsi"/>
          <w:spacing w:val="1"/>
          <w:sz w:val="20"/>
          <w:szCs w:val="20"/>
        </w:rPr>
        <w:t xml:space="preserve"> </w:t>
      </w:r>
      <w:r w:rsidRPr="000977F7">
        <w:rPr>
          <w:rFonts w:asciiTheme="majorHAnsi" w:hAnsiTheme="majorHAnsi"/>
          <w:sz w:val="20"/>
          <w:szCs w:val="20"/>
        </w:rPr>
        <w:t>після</w:t>
      </w:r>
      <w:r w:rsidRPr="000977F7">
        <w:rPr>
          <w:rFonts w:asciiTheme="majorHAnsi" w:hAnsiTheme="majorHAnsi"/>
          <w:spacing w:val="1"/>
          <w:sz w:val="20"/>
          <w:szCs w:val="20"/>
        </w:rPr>
        <w:t xml:space="preserve"> </w:t>
      </w:r>
      <w:r w:rsidRPr="000977F7">
        <w:rPr>
          <w:rFonts w:asciiTheme="majorHAnsi" w:hAnsiTheme="majorHAnsi"/>
          <w:sz w:val="20"/>
          <w:szCs w:val="20"/>
        </w:rPr>
        <w:t>перероблення</w:t>
      </w:r>
      <w:r w:rsidRPr="000977F7">
        <w:rPr>
          <w:rFonts w:asciiTheme="majorHAnsi" w:hAnsiTheme="majorHAnsi"/>
          <w:spacing w:val="1"/>
          <w:sz w:val="20"/>
          <w:szCs w:val="20"/>
        </w:rPr>
        <w:t xml:space="preserve"> </w:t>
      </w:r>
      <w:r w:rsidRPr="000977F7">
        <w:rPr>
          <w:rFonts w:asciiTheme="majorHAnsi" w:hAnsiTheme="majorHAnsi"/>
          <w:sz w:val="20"/>
          <w:szCs w:val="20"/>
        </w:rPr>
        <w:t>(оброблення),</w:t>
      </w:r>
      <w:r w:rsidRPr="000977F7">
        <w:rPr>
          <w:rFonts w:asciiTheme="majorHAnsi" w:hAnsiTheme="majorHAnsi"/>
          <w:spacing w:val="1"/>
          <w:sz w:val="20"/>
          <w:szCs w:val="20"/>
        </w:rPr>
        <w:t xml:space="preserve"> </w:t>
      </w:r>
      <w:r w:rsidRPr="000977F7">
        <w:rPr>
          <w:rFonts w:asciiTheme="majorHAnsi" w:hAnsiTheme="majorHAnsi"/>
          <w:sz w:val="20"/>
          <w:szCs w:val="20"/>
        </w:rPr>
        <w:t>штучнi</w:t>
      </w:r>
      <w:r w:rsidRPr="000977F7">
        <w:rPr>
          <w:rFonts w:asciiTheme="majorHAnsi" w:hAnsiTheme="majorHAnsi"/>
          <w:spacing w:val="1"/>
          <w:sz w:val="20"/>
          <w:szCs w:val="20"/>
        </w:rPr>
        <w:t xml:space="preserve"> </w:t>
      </w:r>
      <w:r w:rsidRPr="000977F7">
        <w:rPr>
          <w:rFonts w:asciiTheme="majorHAnsi" w:hAnsiTheme="majorHAnsi"/>
          <w:sz w:val="20"/>
          <w:szCs w:val="20"/>
        </w:rPr>
        <w:t>й</w:t>
      </w:r>
      <w:r w:rsidRPr="000977F7">
        <w:rPr>
          <w:rFonts w:asciiTheme="majorHAnsi" w:hAnsiTheme="majorHAnsi"/>
          <w:spacing w:val="1"/>
          <w:sz w:val="20"/>
          <w:szCs w:val="20"/>
        </w:rPr>
        <w:t xml:space="preserve"> </w:t>
      </w:r>
      <w:r w:rsidRPr="000977F7">
        <w:rPr>
          <w:rFonts w:asciiTheme="majorHAnsi" w:hAnsiTheme="majorHAnsi"/>
          <w:sz w:val="20"/>
          <w:szCs w:val="20"/>
        </w:rPr>
        <w:t>природні</w:t>
      </w:r>
      <w:r w:rsidRPr="000977F7">
        <w:rPr>
          <w:rFonts w:asciiTheme="majorHAnsi" w:hAnsiTheme="majorHAnsi"/>
          <w:spacing w:val="1"/>
          <w:sz w:val="20"/>
          <w:szCs w:val="20"/>
        </w:rPr>
        <w:t xml:space="preserve"> </w:t>
      </w:r>
      <w:r w:rsidRPr="000977F7">
        <w:rPr>
          <w:rFonts w:asciiTheme="majorHAnsi" w:hAnsiTheme="majorHAnsi"/>
          <w:sz w:val="20"/>
          <w:szCs w:val="20"/>
        </w:rPr>
        <w:t>тверді</w:t>
      </w:r>
      <w:r w:rsidRPr="000977F7">
        <w:rPr>
          <w:rFonts w:asciiTheme="majorHAnsi" w:hAnsiTheme="majorHAnsi"/>
          <w:spacing w:val="-1"/>
          <w:sz w:val="20"/>
          <w:szCs w:val="20"/>
        </w:rPr>
        <w:t xml:space="preserve"> </w:t>
      </w:r>
      <w:r w:rsidRPr="000977F7">
        <w:rPr>
          <w:rFonts w:asciiTheme="majorHAnsi" w:hAnsiTheme="majorHAnsi"/>
          <w:sz w:val="20"/>
          <w:szCs w:val="20"/>
        </w:rPr>
        <w:t>тіла</w:t>
      </w:r>
    </w:p>
    <w:p w14:paraId="524F913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182095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ЗРАЗОК</w:t>
      </w:r>
      <w:r w:rsidRPr="000977F7">
        <w:rPr>
          <w:color w:val="auto"/>
          <w:spacing w:val="-4"/>
          <w:sz w:val="20"/>
          <w:szCs w:val="20"/>
        </w:rPr>
        <w:t xml:space="preserve"> </w:t>
      </w:r>
      <w:r w:rsidRPr="000977F7">
        <w:rPr>
          <w:color w:val="auto"/>
          <w:sz w:val="20"/>
          <w:szCs w:val="20"/>
        </w:rPr>
        <w:t>ВИРОБУ –</w:t>
      </w:r>
    </w:p>
    <w:p w14:paraId="04AD81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Представник</w:t>
      </w:r>
      <w:r w:rsidRPr="000977F7">
        <w:rPr>
          <w:rFonts w:asciiTheme="majorHAnsi" w:hAnsiTheme="majorHAnsi"/>
          <w:spacing w:val="1"/>
          <w:sz w:val="20"/>
          <w:szCs w:val="20"/>
        </w:rPr>
        <w:t xml:space="preserve"> </w:t>
      </w:r>
      <w:r w:rsidRPr="000977F7">
        <w:rPr>
          <w:rFonts w:asciiTheme="majorHAnsi" w:hAnsiTheme="majorHAnsi"/>
          <w:sz w:val="20"/>
          <w:szCs w:val="20"/>
        </w:rPr>
        <w:t>групи</w:t>
      </w:r>
      <w:r w:rsidRPr="000977F7">
        <w:rPr>
          <w:rFonts w:asciiTheme="majorHAnsi" w:hAnsiTheme="majorHAnsi"/>
          <w:spacing w:val="1"/>
          <w:sz w:val="20"/>
          <w:szCs w:val="20"/>
        </w:rPr>
        <w:t xml:space="preserve"> </w:t>
      </w:r>
      <w:r w:rsidRPr="000977F7">
        <w:rPr>
          <w:rFonts w:asciiTheme="majorHAnsi" w:hAnsiTheme="majorHAnsi"/>
          <w:sz w:val="20"/>
          <w:szCs w:val="20"/>
        </w:rPr>
        <w:t>виробів</w:t>
      </w:r>
      <w:r w:rsidRPr="000977F7">
        <w:rPr>
          <w:rFonts w:asciiTheme="majorHAnsi" w:hAnsiTheme="majorHAnsi"/>
          <w:spacing w:val="1"/>
          <w:sz w:val="20"/>
          <w:szCs w:val="20"/>
        </w:rPr>
        <w:t xml:space="preserve"> </w:t>
      </w:r>
      <w:r w:rsidRPr="000977F7">
        <w:rPr>
          <w:rFonts w:asciiTheme="majorHAnsi" w:hAnsiTheme="majorHAnsi"/>
          <w:sz w:val="20"/>
          <w:szCs w:val="20"/>
        </w:rPr>
        <w:t>одного</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однакової конструкції, який використовують для дослідження,</w:t>
      </w:r>
      <w:r w:rsidRPr="000977F7">
        <w:rPr>
          <w:rFonts w:asciiTheme="majorHAnsi" w:hAnsiTheme="majorHAnsi"/>
          <w:spacing w:val="-1"/>
          <w:sz w:val="20"/>
          <w:szCs w:val="20"/>
        </w:rPr>
        <w:t xml:space="preserve"> </w:t>
      </w:r>
      <w:r w:rsidRPr="000977F7">
        <w:rPr>
          <w:rFonts w:asciiTheme="majorHAnsi" w:hAnsiTheme="majorHAnsi"/>
          <w:sz w:val="20"/>
          <w:szCs w:val="20"/>
        </w:rPr>
        <w:t>контролю чи</w:t>
      </w:r>
      <w:r w:rsidRPr="000977F7">
        <w:rPr>
          <w:rFonts w:asciiTheme="majorHAnsi" w:hAnsiTheme="majorHAnsi"/>
          <w:spacing w:val="-2"/>
          <w:sz w:val="20"/>
          <w:szCs w:val="20"/>
        </w:rPr>
        <w:t xml:space="preserve"> </w:t>
      </w:r>
      <w:r w:rsidRPr="000977F7">
        <w:rPr>
          <w:rFonts w:asciiTheme="majorHAnsi" w:hAnsiTheme="majorHAnsi"/>
          <w:sz w:val="20"/>
          <w:szCs w:val="20"/>
        </w:rPr>
        <w:t>оцінки</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p>
    <w:p w14:paraId="0F4F355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ЗРАЗОК</w:t>
      </w:r>
      <w:r w:rsidRPr="000977F7">
        <w:rPr>
          <w:color w:val="auto"/>
          <w:spacing w:val="-4"/>
          <w:sz w:val="20"/>
          <w:szCs w:val="20"/>
        </w:rPr>
        <w:t xml:space="preserve"> </w:t>
      </w:r>
      <w:r w:rsidRPr="000977F7">
        <w:rPr>
          <w:color w:val="auto"/>
          <w:sz w:val="20"/>
          <w:szCs w:val="20"/>
        </w:rPr>
        <w:t>ДЛЯ</w:t>
      </w:r>
      <w:r w:rsidRPr="000977F7">
        <w:rPr>
          <w:color w:val="auto"/>
          <w:spacing w:val="-3"/>
          <w:sz w:val="20"/>
          <w:szCs w:val="20"/>
        </w:rPr>
        <w:t xml:space="preserve"> </w:t>
      </w:r>
      <w:r w:rsidRPr="000977F7">
        <w:rPr>
          <w:color w:val="auto"/>
          <w:sz w:val="20"/>
          <w:szCs w:val="20"/>
        </w:rPr>
        <w:t>ВИПРОБУВАНЬ</w:t>
      </w:r>
      <w:r w:rsidRPr="000977F7">
        <w:rPr>
          <w:color w:val="auto"/>
          <w:spacing w:val="-2"/>
          <w:sz w:val="20"/>
          <w:szCs w:val="20"/>
        </w:rPr>
        <w:t xml:space="preserve"> </w:t>
      </w:r>
      <w:r w:rsidRPr="000977F7">
        <w:rPr>
          <w:color w:val="auto"/>
          <w:sz w:val="20"/>
          <w:szCs w:val="20"/>
        </w:rPr>
        <w:t>–</w:t>
      </w:r>
    </w:p>
    <w:p w14:paraId="6CBD486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SPECIMENT;</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TEST PIECE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348E96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 чи її частина, або проба, що безпосередньо</w:t>
      </w:r>
      <w:r w:rsidRPr="000977F7">
        <w:rPr>
          <w:rFonts w:asciiTheme="majorHAnsi" w:hAnsiTheme="majorHAnsi"/>
          <w:spacing w:val="1"/>
          <w:sz w:val="20"/>
          <w:szCs w:val="20"/>
        </w:rPr>
        <w:t xml:space="preserve"> </w:t>
      </w:r>
      <w:r w:rsidRPr="000977F7">
        <w:rPr>
          <w:rFonts w:asciiTheme="majorHAnsi" w:hAnsiTheme="majorHAnsi"/>
          <w:sz w:val="20"/>
          <w:szCs w:val="20"/>
        </w:rPr>
        <w:t>підлягає</w:t>
      </w:r>
      <w:r w:rsidRPr="000977F7">
        <w:rPr>
          <w:rFonts w:asciiTheme="majorHAnsi" w:hAnsiTheme="majorHAnsi"/>
          <w:spacing w:val="-1"/>
          <w:sz w:val="20"/>
          <w:szCs w:val="20"/>
        </w:rPr>
        <w:t xml:space="preserve"> </w:t>
      </w:r>
      <w:r w:rsidRPr="000977F7">
        <w:rPr>
          <w:rFonts w:asciiTheme="majorHAnsi" w:hAnsiTheme="majorHAnsi"/>
          <w:sz w:val="20"/>
          <w:szCs w:val="20"/>
        </w:rPr>
        <w:t>експерименту</w:t>
      </w:r>
      <w:r w:rsidRPr="000977F7">
        <w:rPr>
          <w:rFonts w:asciiTheme="majorHAnsi" w:hAnsiTheme="majorHAnsi"/>
          <w:spacing w:val="-2"/>
          <w:sz w:val="20"/>
          <w:szCs w:val="20"/>
        </w:rPr>
        <w:t xml:space="preserve"> </w:t>
      </w:r>
      <w:r w:rsidRPr="000977F7">
        <w:rPr>
          <w:rFonts w:asciiTheme="majorHAnsi" w:hAnsiTheme="majorHAnsi"/>
          <w:sz w:val="20"/>
          <w:szCs w:val="20"/>
        </w:rPr>
        <w:t>під</w:t>
      </w:r>
      <w:r w:rsidRPr="000977F7">
        <w:rPr>
          <w:rFonts w:asciiTheme="majorHAnsi" w:hAnsiTheme="majorHAnsi"/>
          <w:spacing w:val="-2"/>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p>
    <w:p w14:paraId="5D407B9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DD1BE2D"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lastRenderedPageBreak/>
        <w:t xml:space="preserve">ЗРАЗОК ДЛЯ СЕРТИФІКАЦІЙНИХ ВИПРОБУВАНЬ </w:t>
      </w:r>
      <w:r w:rsidRPr="000977F7">
        <w:rPr>
          <w:b w:val="0"/>
          <w:color w:val="auto"/>
          <w:sz w:val="20"/>
          <w:szCs w:val="20"/>
        </w:rPr>
        <w:t>–</w:t>
      </w:r>
    </w:p>
    <w:p w14:paraId="42797CE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CERTIFICATION</w:t>
      </w:r>
      <w:r w:rsidRPr="004D2D14">
        <w:rPr>
          <w:rFonts w:asciiTheme="majorHAnsi" w:hAnsiTheme="majorHAnsi"/>
          <w:spacing w:val="-4"/>
          <w:sz w:val="20"/>
          <w:szCs w:val="20"/>
          <w:lang w:val="uk-UA"/>
        </w:rPr>
        <w:t xml:space="preserve"> </w:t>
      </w:r>
      <w:r w:rsidRPr="000977F7">
        <w:rPr>
          <w:rFonts w:asciiTheme="majorHAnsi" w:hAnsiTheme="majorHAnsi"/>
          <w:sz w:val="20"/>
          <w:szCs w:val="20"/>
        </w:rPr>
        <w:t>TEST</w:t>
      </w:r>
      <w:r w:rsidRPr="004D2D14">
        <w:rPr>
          <w:rFonts w:asciiTheme="majorHAnsi" w:hAnsiTheme="majorHAnsi"/>
          <w:spacing w:val="-2"/>
          <w:sz w:val="20"/>
          <w:szCs w:val="20"/>
          <w:lang w:val="uk-UA"/>
        </w:rPr>
        <w:t xml:space="preserve"> </w:t>
      </w:r>
      <w:r w:rsidRPr="000977F7">
        <w:rPr>
          <w:rFonts w:asciiTheme="majorHAnsi" w:hAnsiTheme="majorHAnsi"/>
          <w:sz w:val="20"/>
          <w:szCs w:val="20"/>
        </w:rPr>
        <w:t>SPECIMEN</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49BA228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Одиниця продукції, її частина чи проба, призначена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 проведення</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сертифікаційних випробувань</w:t>
      </w:r>
    </w:p>
    <w:p w14:paraId="04CB891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F57B88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ЗРАЗОК</w:t>
      </w:r>
      <w:r w:rsidRPr="000977F7">
        <w:rPr>
          <w:color w:val="auto"/>
          <w:spacing w:val="-3"/>
          <w:sz w:val="20"/>
          <w:szCs w:val="20"/>
        </w:rPr>
        <w:t xml:space="preserve"> </w:t>
      </w:r>
      <w:r w:rsidRPr="000977F7">
        <w:rPr>
          <w:color w:val="auto"/>
          <w:sz w:val="20"/>
          <w:szCs w:val="20"/>
        </w:rPr>
        <w:t>–</w:t>
      </w:r>
      <w:r w:rsidRPr="000977F7">
        <w:rPr>
          <w:color w:val="auto"/>
          <w:spacing w:val="-3"/>
          <w:sz w:val="20"/>
          <w:szCs w:val="20"/>
        </w:rPr>
        <w:t xml:space="preserve"> </w:t>
      </w:r>
      <w:r w:rsidRPr="000977F7">
        <w:rPr>
          <w:color w:val="auto"/>
          <w:sz w:val="20"/>
          <w:szCs w:val="20"/>
        </w:rPr>
        <w:t>ЕТАЛОН -</w:t>
      </w:r>
    </w:p>
    <w:p w14:paraId="334E3C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Зразок продукції, затверджений в установленому порядку та призначений для порівняння з ним продукції,</w:t>
      </w:r>
      <w:r w:rsidRPr="000977F7">
        <w:rPr>
          <w:rFonts w:asciiTheme="majorHAnsi" w:hAnsiTheme="majorHAnsi"/>
          <w:spacing w:val="-47"/>
          <w:sz w:val="20"/>
          <w:szCs w:val="20"/>
        </w:rPr>
        <w:t xml:space="preserve"> </w:t>
      </w:r>
      <w:r w:rsidRPr="000977F7">
        <w:rPr>
          <w:rFonts w:asciiTheme="majorHAnsi" w:hAnsiTheme="majorHAnsi"/>
          <w:sz w:val="20"/>
          <w:szCs w:val="20"/>
        </w:rPr>
        <w:t>яку</w:t>
      </w:r>
      <w:r w:rsidRPr="000977F7">
        <w:rPr>
          <w:rFonts w:asciiTheme="majorHAnsi" w:hAnsiTheme="majorHAnsi"/>
          <w:spacing w:val="-2"/>
          <w:sz w:val="20"/>
          <w:szCs w:val="20"/>
        </w:rPr>
        <w:t xml:space="preserve"> </w:t>
      </w:r>
      <w:r w:rsidRPr="000977F7">
        <w:rPr>
          <w:rFonts w:asciiTheme="majorHAnsi" w:hAnsiTheme="majorHAnsi"/>
          <w:sz w:val="20"/>
          <w:szCs w:val="20"/>
        </w:rPr>
        <w:t>випускають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процесі</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p>
    <w:p w14:paraId="5B629CF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12D365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Зразок</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(покриття,</w:t>
      </w:r>
      <w:r w:rsidRPr="000977F7">
        <w:rPr>
          <w:rFonts w:asciiTheme="majorHAnsi" w:hAnsiTheme="majorHAnsi"/>
          <w:spacing w:val="1"/>
          <w:sz w:val="20"/>
          <w:szCs w:val="20"/>
        </w:rPr>
        <w:t xml:space="preserve"> </w:t>
      </w:r>
      <w:r w:rsidRPr="000977F7">
        <w:rPr>
          <w:rFonts w:asciiTheme="majorHAnsi" w:hAnsiTheme="majorHAnsi"/>
          <w:sz w:val="20"/>
          <w:szCs w:val="20"/>
        </w:rPr>
        <w:t>матеріалу,</w:t>
      </w:r>
      <w:r w:rsidRPr="000977F7">
        <w:rPr>
          <w:rFonts w:asciiTheme="majorHAnsi" w:hAnsiTheme="majorHAnsi"/>
          <w:spacing w:val="1"/>
          <w:sz w:val="20"/>
          <w:szCs w:val="20"/>
        </w:rPr>
        <w:t xml:space="preserve"> </w:t>
      </w:r>
      <w:r w:rsidRPr="000977F7">
        <w:rPr>
          <w:rFonts w:asciiTheme="majorHAnsi" w:hAnsiTheme="majorHAnsi"/>
          <w:sz w:val="20"/>
          <w:szCs w:val="20"/>
        </w:rPr>
        <w:t>обробленої</w:t>
      </w:r>
      <w:r w:rsidRPr="000977F7">
        <w:rPr>
          <w:rFonts w:asciiTheme="majorHAnsi" w:hAnsiTheme="majorHAnsi"/>
          <w:spacing w:val="1"/>
          <w:sz w:val="20"/>
          <w:szCs w:val="20"/>
        </w:rPr>
        <w:t xml:space="preserve"> </w:t>
      </w:r>
      <w:r w:rsidRPr="000977F7">
        <w:rPr>
          <w:rFonts w:asciiTheme="majorHAnsi" w:hAnsiTheme="majorHAnsi"/>
          <w:sz w:val="20"/>
          <w:szCs w:val="20"/>
        </w:rPr>
        <w:t>поверхні), затверджений в установленому порядку і</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призначений</w:t>
      </w:r>
      <w:r w:rsidRPr="000977F7">
        <w:rPr>
          <w:rFonts w:asciiTheme="majorHAnsi" w:hAnsiTheme="majorHAnsi"/>
          <w:spacing w:val="6"/>
          <w:sz w:val="20"/>
          <w:szCs w:val="20"/>
        </w:rPr>
        <w:t xml:space="preserve"> </w:t>
      </w:r>
      <w:r w:rsidRPr="000977F7">
        <w:rPr>
          <w:rFonts w:asciiTheme="majorHAnsi" w:hAnsiTheme="majorHAnsi"/>
          <w:sz w:val="20"/>
          <w:szCs w:val="20"/>
        </w:rPr>
        <w:t>для</w:t>
      </w:r>
      <w:r w:rsidRPr="000977F7">
        <w:rPr>
          <w:rFonts w:asciiTheme="majorHAnsi" w:hAnsiTheme="majorHAnsi"/>
          <w:spacing w:val="7"/>
          <w:sz w:val="20"/>
          <w:szCs w:val="20"/>
        </w:rPr>
        <w:t xml:space="preserve"> </w:t>
      </w:r>
      <w:r w:rsidRPr="000977F7">
        <w:rPr>
          <w:rFonts w:asciiTheme="majorHAnsi" w:hAnsiTheme="majorHAnsi"/>
          <w:sz w:val="20"/>
          <w:szCs w:val="20"/>
        </w:rPr>
        <w:t>порівняння</w:t>
      </w:r>
      <w:r w:rsidRPr="000977F7">
        <w:rPr>
          <w:rFonts w:asciiTheme="majorHAnsi" w:hAnsiTheme="majorHAnsi"/>
          <w:spacing w:val="5"/>
          <w:sz w:val="20"/>
          <w:szCs w:val="20"/>
        </w:rPr>
        <w:t xml:space="preserve"> </w:t>
      </w:r>
      <w:r w:rsidRPr="000977F7">
        <w:rPr>
          <w:rFonts w:asciiTheme="majorHAnsi" w:hAnsiTheme="majorHAnsi"/>
          <w:sz w:val="20"/>
          <w:szCs w:val="20"/>
        </w:rPr>
        <w:t>з</w:t>
      </w:r>
      <w:r w:rsidRPr="000977F7">
        <w:rPr>
          <w:rFonts w:asciiTheme="majorHAnsi" w:hAnsiTheme="majorHAnsi"/>
          <w:spacing w:val="6"/>
          <w:sz w:val="20"/>
          <w:szCs w:val="20"/>
        </w:rPr>
        <w:t xml:space="preserve"> </w:t>
      </w:r>
      <w:r w:rsidRPr="000977F7">
        <w:rPr>
          <w:rFonts w:asciiTheme="majorHAnsi" w:hAnsiTheme="majorHAnsi"/>
          <w:sz w:val="20"/>
          <w:szCs w:val="20"/>
        </w:rPr>
        <w:t>ним</w:t>
      </w:r>
      <w:r w:rsidRPr="000977F7">
        <w:rPr>
          <w:rFonts w:asciiTheme="majorHAnsi" w:hAnsiTheme="majorHAnsi"/>
          <w:spacing w:val="6"/>
          <w:sz w:val="20"/>
          <w:szCs w:val="20"/>
        </w:rPr>
        <w:t xml:space="preserve"> </w:t>
      </w:r>
      <w:r w:rsidRPr="000977F7">
        <w:rPr>
          <w:rFonts w:asciiTheme="majorHAnsi" w:hAnsiTheme="majorHAnsi"/>
          <w:sz w:val="20"/>
          <w:szCs w:val="20"/>
        </w:rPr>
        <w:t>одиниць</w:t>
      </w:r>
      <w:r w:rsidRPr="000977F7">
        <w:rPr>
          <w:rFonts w:asciiTheme="majorHAnsi" w:hAnsiTheme="majorHAnsi"/>
          <w:spacing w:val="6"/>
          <w:sz w:val="20"/>
          <w:szCs w:val="20"/>
        </w:rPr>
        <w:t xml:space="preserve"> </w:t>
      </w:r>
      <w:r w:rsidRPr="000977F7">
        <w:rPr>
          <w:rFonts w:asciiTheme="majorHAnsi" w:hAnsiTheme="majorHAnsi"/>
          <w:sz w:val="20"/>
          <w:szCs w:val="20"/>
        </w:rPr>
        <w:t>продукції при виготовленні, випробуваннях, прийманні та поставці</w:t>
      </w:r>
    </w:p>
    <w:p w14:paraId="6E8B0D7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ЗРАЗОК-МОДЕЛЬ -</w:t>
      </w:r>
    </w:p>
    <w:p w14:paraId="679132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Зразок виробу, затверджений в установленому порядку і призначений для виконання згідно з ним індивідуальних замовлень населення на виготовлення таких</w:t>
      </w:r>
      <w:r w:rsidRPr="000977F7">
        <w:rPr>
          <w:rFonts w:asciiTheme="majorHAnsi" w:hAnsiTheme="majorHAnsi"/>
          <w:spacing w:val="1"/>
          <w:sz w:val="20"/>
          <w:szCs w:val="20"/>
        </w:rPr>
        <w:t xml:space="preserve"> </w:t>
      </w:r>
      <w:r w:rsidRPr="000977F7">
        <w:rPr>
          <w:rFonts w:asciiTheme="majorHAnsi" w:hAnsiTheme="majorHAnsi"/>
          <w:sz w:val="20"/>
          <w:szCs w:val="20"/>
        </w:rPr>
        <w:t>виробів</w:t>
      </w:r>
    </w:p>
    <w:p w14:paraId="48466F1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ЗРАЗОК</w:t>
      </w:r>
      <w:r w:rsidRPr="000977F7">
        <w:rPr>
          <w:color w:val="auto"/>
          <w:spacing w:val="-5"/>
          <w:sz w:val="20"/>
          <w:szCs w:val="20"/>
        </w:rPr>
        <w:t xml:space="preserve"> </w:t>
      </w:r>
      <w:r w:rsidRPr="000977F7">
        <w:rPr>
          <w:color w:val="auto"/>
          <w:sz w:val="20"/>
          <w:szCs w:val="20"/>
        </w:rPr>
        <w:t>ПРОДУКЦІЇ</w:t>
      </w:r>
      <w:r w:rsidRPr="000977F7">
        <w:rPr>
          <w:color w:val="auto"/>
          <w:spacing w:val="-3"/>
          <w:sz w:val="20"/>
          <w:szCs w:val="20"/>
        </w:rPr>
        <w:t xml:space="preserve"> </w:t>
      </w:r>
      <w:r w:rsidRPr="000977F7">
        <w:rPr>
          <w:color w:val="auto"/>
          <w:sz w:val="20"/>
          <w:szCs w:val="20"/>
        </w:rPr>
        <w:t>–</w:t>
      </w:r>
    </w:p>
    <w:p w14:paraId="51213DA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Одиниця конкретної продукції,</w:t>
      </w:r>
      <w:r w:rsidRPr="000977F7">
        <w:rPr>
          <w:rFonts w:asciiTheme="majorHAnsi" w:hAnsiTheme="majorHAnsi"/>
          <w:spacing w:val="50"/>
          <w:sz w:val="20"/>
          <w:szCs w:val="20"/>
        </w:rPr>
        <w:t xml:space="preserve"> </w:t>
      </w:r>
      <w:r w:rsidRPr="000977F7">
        <w:rPr>
          <w:rFonts w:asciiTheme="majorHAnsi" w:hAnsiTheme="majorHAnsi"/>
          <w:sz w:val="20"/>
          <w:szCs w:val="20"/>
        </w:rPr>
        <w:t>яку використовують</w:t>
      </w:r>
      <w:r w:rsidRPr="000977F7">
        <w:rPr>
          <w:rFonts w:asciiTheme="majorHAnsi" w:hAnsiTheme="majorHAnsi"/>
          <w:spacing w:val="1"/>
          <w:sz w:val="20"/>
          <w:szCs w:val="20"/>
        </w:rPr>
        <w:t xml:space="preserve"> </w:t>
      </w:r>
      <w:r w:rsidRPr="000977F7">
        <w:rPr>
          <w:rFonts w:asciiTheme="majorHAnsi" w:hAnsiTheme="majorHAnsi"/>
          <w:sz w:val="20"/>
          <w:szCs w:val="20"/>
        </w:rPr>
        <w:t>як представника цієї продукції у процесі досліджень,</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оцінювання</w:t>
      </w:r>
    </w:p>
    <w:p w14:paraId="0347A15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E044BE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ЗРОСТАННЯ БЕЗВІДМОВНОСТІ;</w:t>
      </w:r>
      <w:r w:rsidRPr="000977F7">
        <w:rPr>
          <w:rFonts w:asciiTheme="majorHAnsi" w:hAnsiTheme="majorHAnsi"/>
          <w:b/>
          <w:spacing w:val="1"/>
          <w:sz w:val="20"/>
          <w:szCs w:val="20"/>
        </w:rPr>
        <w:t xml:space="preserve"> </w:t>
      </w:r>
      <w:r w:rsidRPr="000977F7">
        <w:rPr>
          <w:rFonts w:asciiTheme="majorHAnsi" w:hAnsiTheme="majorHAnsi"/>
          <w:b/>
          <w:sz w:val="20"/>
          <w:szCs w:val="20"/>
        </w:rPr>
        <w:t>ПІДВИЩЕННЯ БЕЗВІДМОВНОСТІ –</w:t>
      </w:r>
      <w:r w:rsidRPr="000977F7">
        <w:rPr>
          <w:rFonts w:asciiTheme="majorHAnsi" w:hAnsiTheme="majorHAnsi"/>
          <w:b/>
          <w:spacing w:val="-47"/>
          <w:sz w:val="20"/>
          <w:szCs w:val="20"/>
        </w:rPr>
        <w:t xml:space="preserve"> </w:t>
      </w:r>
      <w:r w:rsidRPr="000977F7">
        <w:rPr>
          <w:rFonts w:asciiTheme="majorHAnsi" w:hAnsiTheme="majorHAnsi"/>
          <w:sz w:val="20"/>
          <w:szCs w:val="20"/>
        </w:rPr>
        <w:t>RELIABILITY</w:t>
      </w:r>
      <w:r w:rsidRPr="000977F7">
        <w:rPr>
          <w:rFonts w:asciiTheme="majorHAnsi" w:hAnsiTheme="majorHAnsi"/>
          <w:spacing w:val="-1"/>
          <w:sz w:val="20"/>
          <w:szCs w:val="20"/>
        </w:rPr>
        <w:t xml:space="preserve"> </w:t>
      </w:r>
      <w:r w:rsidRPr="000977F7">
        <w:rPr>
          <w:rFonts w:asciiTheme="majorHAnsi" w:hAnsiTheme="majorHAnsi"/>
          <w:sz w:val="20"/>
          <w:szCs w:val="20"/>
        </w:rPr>
        <w:t>GROWTH –</w:t>
      </w:r>
    </w:p>
    <w:p w14:paraId="35E004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 прогресуючого покращення показників без-</w:t>
      </w:r>
    </w:p>
    <w:p w14:paraId="6E16CCF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відмовності</w:t>
      </w:r>
      <w:r w:rsidRPr="000977F7">
        <w:rPr>
          <w:rFonts w:asciiTheme="majorHAnsi" w:hAnsiTheme="majorHAnsi"/>
          <w:spacing w:val="-2"/>
          <w:sz w:val="20"/>
          <w:szCs w:val="20"/>
        </w:rPr>
        <w:t xml:space="preserve"> </w:t>
      </w:r>
      <w:r w:rsidRPr="000977F7">
        <w:rPr>
          <w:rFonts w:asciiTheme="majorHAnsi" w:hAnsiTheme="majorHAnsi"/>
          <w:sz w:val="20"/>
          <w:szCs w:val="20"/>
        </w:rPr>
        <w:t>об’єкта з часом</w:t>
      </w:r>
    </w:p>
    <w:p w14:paraId="7BC149B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 94</w:t>
      </w:r>
    </w:p>
    <w:p w14:paraId="4135B73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ЗРІЗАНИЙ</w:t>
      </w:r>
      <w:r w:rsidRPr="000977F7">
        <w:rPr>
          <w:color w:val="auto"/>
          <w:spacing w:val="-2"/>
          <w:sz w:val="20"/>
          <w:szCs w:val="20"/>
        </w:rPr>
        <w:t xml:space="preserve"> </w:t>
      </w:r>
      <w:r w:rsidRPr="000977F7">
        <w:rPr>
          <w:color w:val="auto"/>
          <w:sz w:val="20"/>
          <w:szCs w:val="20"/>
        </w:rPr>
        <w:t>ЗАКОН</w:t>
      </w:r>
      <w:r w:rsidRPr="000977F7">
        <w:rPr>
          <w:color w:val="auto"/>
          <w:spacing w:val="-2"/>
          <w:sz w:val="20"/>
          <w:szCs w:val="20"/>
        </w:rPr>
        <w:t xml:space="preserve"> </w:t>
      </w:r>
      <w:r w:rsidRPr="000977F7">
        <w:rPr>
          <w:color w:val="auto"/>
          <w:sz w:val="20"/>
          <w:szCs w:val="20"/>
        </w:rPr>
        <w:t>РОЗПОДІЛУ</w:t>
      </w:r>
      <w:r w:rsidRPr="000977F7">
        <w:rPr>
          <w:color w:val="auto"/>
          <w:spacing w:val="-2"/>
          <w:sz w:val="20"/>
          <w:szCs w:val="20"/>
        </w:rPr>
        <w:t xml:space="preserve"> </w:t>
      </w:r>
      <w:r w:rsidRPr="000977F7">
        <w:rPr>
          <w:color w:val="auto"/>
          <w:sz w:val="20"/>
          <w:szCs w:val="20"/>
        </w:rPr>
        <w:t>–</w:t>
      </w:r>
    </w:p>
    <w:p w14:paraId="44C37D3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Закон</w:t>
      </w:r>
      <w:r w:rsidRPr="000977F7">
        <w:rPr>
          <w:rFonts w:asciiTheme="majorHAnsi" w:hAnsiTheme="majorHAnsi"/>
          <w:spacing w:val="1"/>
          <w:sz w:val="20"/>
          <w:szCs w:val="20"/>
        </w:rPr>
        <w:t xml:space="preserve"> </w:t>
      </w:r>
      <w:r w:rsidRPr="000977F7">
        <w:rPr>
          <w:rFonts w:asciiTheme="majorHAnsi" w:hAnsiTheme="majorHAnsi"/>
          <w:sz w:val="20"/>
          <w:szCs w:val="20"/>
        </w:rPr>
        <w:t>розподілу,</w:t>
      </w:r>
      <w:r w:rsidRPr="000977F7">
        <w:rPr>
          <w:rFonts w:asciiTheme="majorHAnsi" w:hAnsiTheme="majorHAnsi"/>
          <w:spacing w:val="1"/>
          <w:sz w:val="20"/>
          <w:szCs w:val="20"/>
        </w:rPr>
        <w:t xml:space="preserve"> </w:t>
      </w:r>
      <w:r w:rsidRPr="000977F7">
        <w:rPr>
          <w:rFonts w:asciiTheme="majorHAnsi" w:hAnsiTheme="majorHAnsi"/>
          <w:sz w:val="20"/>
          <w:szCs w:val="20"/>
        </w:rPr>
        <w:t>одержаний</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початкового</w:t>
      </w:r>
      <w:r w:rsidRPr="000977F7">
        <w:rPr>
          <w:rFonts w:asciiTheme="majorHAnsi" w:hAnsiTheme="majorHAnsi"/>
          <w:spacing w:val="1"/>
          <w:sz w:val="20"/>
          <w:szCs w:val="20"/>
        </w:rPr>
        <w:t xml:space="preserve"> </w:t>
      </w:r>
      <w:r w:rsidRPr="000977F7">
        <w:rPr>
          <w:rFonts w:asciiTheme="majorHAnsi" w:hAnsiTheme="majorHAnsi"/>
          <w:sz w:val="20"/>
          <w:szCs w:val="20"/>
        </w:rPr>
        <w:t>закону</w:t>
      </w:r>
      <w:r w:rsidRPr="000977F7">
        <w:rPr>
          <w:rFonts w:asciiTheme="majorHAnsi" w:hAnsiTheme="majorHAnsi"/>
          <w:spacing w:val="1"/>
          <w:sz w:val="20"/>
          <w:szCs w:val="20"/>
        </w:rPr>
        <w:t xml:space="preserve"> </w:t>
      </w:r>
      <w:r w:rsidRPr="000977F7">
        <w:rPr>
          <w:rFonts w:asciiTheme="majorHAnsi" w:hAnsiTheme="majorHAnsi"/>
          <w:sz w:val="20"/>
          <w:szCs w:val="20"/>
        </w:rPr>
        <w:t>методом відкидання частини області визначення випадкової величини і відповідного нормування функції</w:t>
      </w:r>
      <w:r w:rsidRPr="000977F7">
        <w:rPr>
          <w:rFonts w:asciiTheme="majorHAnsi" w:hAnsiTheme="majorHAnsi"/>
          <w:spacing w:val="-47"/>
          <w:sz w:val="20"/>
          <w:szCs w:val="20"/>
        </w:rPr>
        <w:t xml:space="preserve">                   </w:t>
      </w:r>
      <w:r w:rsidRPr="000977F7">
        <w:rPr>
          <w:rFonts w:asciiTheme="majorHAnsi" w:hAnsiTheme="majorHAnsi"/>
          <w:sz w:val="20"/>
          <w:szCs w:val="20"/>
        </w:rPr>
        <w:t>щільності</w:t>
      </w:r>
      <w:r w:rsidRPr="000977F7">
        <w:rPr>
          <w:rFonts w:asciiTheme="majorHAnsi" w:hAnsiTheme="majorHAnsi"/>
          <w:spacing w:val="-2"/>
          <w:sz w:val="20"/>
          <w:szCs w:val="20"/>
        </w:rPr>
        <w:t xml:space="preserve"> </w:t>
      </w:r>
      <w:r w:rsidRPr="000977F7">
        <w:rPr>
          <w:rFonts w:asciiTheme="majorHAnsi" w:hAnsiTheme="majorHAnsi"/>
          <w:sz w:val="20"/>
          <w:szCs w:val="20"/>
        </w:rPr>
        <w:t>імовірності</w:t>
      </w:r>
    </w:p>
    <w:p w14:paraId="1AA6BF6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A0AB7C1"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bookmarkStart w:id="76" w:name="_Hlk103613885"/>
      <w:r w:rsidRPr="000977F7">
        <w:rPr>
          <w:rFonts w:asciiTheme="majorHAnsi" w:hAnsiTheme="majorHAnsi"/>
          <w:b/>
          <w:bCs/>
          <w:iCs/>
          <w:sz w:val="20"/>
          <w:szCs w:val="20"/>
        </w:rPr>
        <w:t>ЗРУЧНІСТЬ ВИКОРИСТАННЯ –</w:t>
      </w:r>
    </w:p>
    <w:p w14:paraId="583823F4"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iCs/>
          <w:sz w:val="20"/>
          <w:szCs w:val="20"/>
        </w:rPr>
        <w:t>USABILITY –</w:t>
      </w:r>
    </w:p>
    <w:bookmarkEnd w:id="76"/>
    <w:p w14:paraId="7CC8345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Можливість легкого використання машини, зокрема завдяки її властивостям або характеристикам, які сприяють легкому зрозумінню її функцій </w:t>
      </w:r>
    </w:p>
    <w:p w14:paraId="278D9CC4"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7EC3E20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ЗУСТРІЧНЕ</w:t>
      </w:r>
      <w:r w:rsidRPr="000977F7">
        <w:rPr>
          <w:color w:val="auto"/>
          <w:spacing w:val="-4"/>
          <w:sz w:val="20"/>
          <w:szCs w:val="20"/>
        </w:rPr>
        <w:t xml:space="preserve"> </w:t>
      </w:r>
      <w:r w:rsidRPr="000977F7">
        <w:rPr>
          <w:color w:val="auto"/>
          <w:sz w:val="20"/>
          <w:szCs w:val="20"/>
        </w:rPr>
        <w:t>РЕГУЛЮВАННЯ</w:t>
      </w:r>
      <w:r w:rsidRPr="000977F7">
        <w:rPr>
          <w:color w:val="auto"/>
          <w:spacing w:val="-3"/>
          <w:sz w:val="20"/>
          <w:szCs w:val="20"/>
        </w:rPr>
        <w:t xml:space="preserve"> </w:t>
      </w:r>
      <w:r w:rsidRPr="000977F7">
        <w:rPr>
          <w:color w:val="auto"/>
          <w:sz w:val="20"/>
          <w:szCs w:val="20"/>
        </w:rPr>
        <w:t>НАПРУГИ</w:t>
      </w:r>
      <w:r w:rsidRPr="000977F7">
        <w:rPr>
          <w:color w:val="auto"/>
          <w:spacing w:val="-2"/>
          <w:sz w:val="20"/>
          <w:szCs w:val="20"/>
        </w:rPr>
        <w:t xml:space="preserve"> </w:t>
      </w:r>
      <w:r w:rsidRPr="000977F7">
        <w:rPr>
          <w:color w:val="auto"/>
          <w:sz w:val="20"/>
          <w:szCs w:val="20"/>
        </w:rPr>
        <w:t>—</w:t>
      </w:r>
    </w:p>
    <w:p w14:paraId="3BC3ADD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Регулювання напруги, за якого вона підвищується із</w:t>
      </w:r>
      <w:r w:rsidRPr="000977F7">
        <w:rPr>
          <w:rFonts w:asciiTheme="majorHAnsi" w:hAnsiTheme="majorHAnsi"/>
          <w:spacing w:val="1"/>
          <w:sz w:val="20"/>
          <w:szCs w:val="20"/>
        </w:rPr>
        <w:t xml:space="preserve"> </w:t>
      </w:r>
      <w:r w:rsidRPr="000977F7">
        <w:rPr>
          <w:rFonts w:asciiTheme="majorHAnsi" w:hAnsiTheme="majorHAnsi"/>
          <w:sz w:val="20"/>
          <w:szCs w:val="20"/>
        </w:rPr>
        <w:t>збільшенням навантаження і знижується в разі його</w:t>
      </w:r>
      <w:r w:rsidRPr="000977F7">
        <w:rPr>
          <w:rFonts w:asciiTheme="majorHAnsi" w:hAnsiTheme="majorHAnsi"/>
          <w:spacing w:val="1"/>
          <w:sz w:val="20"/>
          <w:szCs w:val="20"/>
        </w:rPr>
        <w:t xml:space="preserve"> </w:t>
      </w:r>
      <w:r w:rsidRPr="000977F7">
        <w:rPr>
          <w:rFonts w:asciiTheme="majorHAnsi" w:hAnsiTheme="majorHAnsi"/>
          <w:sz w:val="20"/>
          <w:szCs w:val="20"/>
        </w:rPr>
        <w:t>зменшення</w:t>
      </w:r>
    </w:p>
    <w:p w14:paraId="5CF0F60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sectPr w:rsidR="0097612F" w:rsidRPr="000977F7" w:rsidSect="000977F7">
          <w:type w:val="continuous"/>
          <w:pgSz w:w="11910" w:h="16840"/>
          <w:pgMar w:top="800" w:right="428" w:bottom="960" w:left="1000" w:header="0" w:footer="751" w:gutter="0"/>
          <w:cols w:num="2" w:space="454"/>
        </w:sect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231B8473" w14:textId="77777777" w:rsidR="0097612F" w:rsidRPr="000F35DA" w:rsidRDefault="0097612F" w:rsidP="000F35DA">
      <w:pPr>
        <w:pStyle w:val="1"/>
        <w:rPr>
          <w:lang w:val="uk-UA"/>
        </w:rPr>
        <w:sectPr w:rsidR="0097612F" w:rsidRPr="000F35DA" w:rsidSect="000977F7">
          <w:pgSz w:w="11910" w:h="16840"/>
          <w:pgMar w:top="800" w:right="380" w:bottom="960" w:left="1000" w:header="0" w:footer="751" w:gutter="0"/>
          <w:cols w:num="2" w:space="454"/>
        </w:sectPr>
      </w:pPr>
      <w:bookmarkStart w:id="77" w:name="_Toc132629632"/>
      <w:r w:rsidRPr="000F35DA">
        <w:rPr>
          <w:lang w:val="uk-UA"/>
        </w:rPr>
        <w:lastRenderedPageBreak/>
        <w:t>І</w:t>
      </w:r>
      <w:bookmarkEnd w:id="77"/>
    </w:p>
    <w:p w14:paraId="71B4E6B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ІДЕАЛЬНИЙ ТОВАР –</w:t>
      </w:r>
    </w:p>
    <w:p w14:paraId="4403405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Конкретний</w:t>
      </w:r>
      <w:r w:rsidRPr="000977F7">
        <w:rPr>
          <w:rFonts w:asciiTheme="majorHAnsi" w:hAnsiTheme="majorHAnsi"/>
          <w:spacing w:val="44"/>
          <w:sz w:val="20"/>
          <w:szCs w:val="20"/>
        </w:rPr>
        <w:t xml:space="preserve"> </w:t>
      </w:r>
      <w:r w:rsidRPr="000977F7">
        <w:rPr>
          <w:rFonts w:asciiTheme="majorHAnsi" w:hAnsiTheme="majorHAnsi"/>
          <w:sz w:val="20"/>
          <w:szCs w:val="20"/>
        </w:rPr>
        <w:t>товар,</w:t>
      </w:r>
      <w:r w:rsidRPr="000977F7">
        <w:rPr>
          <w:rFonts w:asciiTheme="majorHAnsi" w:hAnsiTheme="majorHAnsi"/>
          <w:spacing w:val="47"/>
          <w:sz w:val="20"/>
          <w:szCs w:val="20"/>
        </w:rPr>
        <w:t xml:space="preserve"> </w:t>
      </w:r>
      <w:r w:rsidRPr="000977F7">
        <w:rPr>
          <w:rFonts w:asciiTheme="majorHAnsi" w:hAnsiTheme="majorHAnsi"/>
          <w:sz w:val="20"/>
          <w:szCs w:val="20"/>
        </w:rPr>
        <w:t>здатний</w:t>
      </w:r>
      <w:r w:rsidRPr="000977F7">
        <w:rPr>
          <w:rFonts w:asciiTheme="majorHAnsi" w:hAnsiTheme="majorHAnsi"/>
          <w:spacing w:val="47"/>
          <w:sz w:val="20"/>
          <w:szCs w:val="20"/>
        </w:rPr>
        <w:t xml:space="preserve"> </w:t>
      </w:r>
      <w:r w:rsidRPr="000977F7">
        <w:rPr>
          <w:rFonts w:asciiTheme="majorHAnsi" w:hAnsiTheme="majorHAnsi"/>
          <w:sz w:val="20"/>
          <w:szCs w:val="20"/>
        </w:rPr>
        <w:t>задовольнити</w:t>
      </w:r>
      <w:r w:rsidRPr="000977F7">
        <w:rPr>
          <w:rFonts w:asciiTheme="majorHAnsi" w:hAnsiTheme="majorHAnsi"/>
          <w:spacing w:val="44"/>
          <w:sz w:val="20"/>
          <w:szCs w:val="20"/>
        </w:rPr>
        <w:t xml:space="preserve"> </w:t>
      </w:r>
      <w:r w:rsidRPr="000977F7">
        <w:rPr>
          <w:rFonts w:asciiTheme="majorHAnsi" w:hAnsiTheme="majorHAnsi"/>
          <w:sz w:val="20"/>
          <w:szCs w:val="20"/>
        </w:rPr>
        <w:t>конкретну</w:t>
      </w:r>
      <w:r w:rsidRPr="000977F7">
        <w:rPr>
          <w:rFonts w:asciiTheme="majorHAnsi" w:hAnsiTheme="majorHAnsi"/>
          <w:spacing w:val="-47"/>
          <w:sz w:val="20"/>
          <w:szCs w:val="20"/>
        </w:rPr>
        <w:t xml:space="preserve">             </w:t>
      </w:r>
      <w:r w:rsidRPr="000977F7">
        <w:rPr>
          <w:rFonts w:asciiTheme="majorHAnsi" w:hAnsiTheme="majorHAnsi"/>
          <w:sz w:val="20"/>
          <w:szCs w:val="20"/>
        </w:rPr>
        <w:t>людську</w:t>
      </w:r>
      <w:r w:rsidRPr="000977F7">
        <w:rPr>
          <w:rFonts w:asciiTheme="majorHAnsi" w:hAnsiTheme="majorHAnsi"/>
          <w:spacing w:val="-2"/>
          <w:sz w:val="20"/>
          <w:szCs w:val="20"/>
        </w:rPr>
        <w:t xml:space="preserve"> </w:t>
      </w:r>
      <w:r w:rsidRPr="000977F7">
        <w:rPr>
          <w:rFonts w:asciiTheme="majorHAnsi" w:hAnsiTheme="majorHAnsi"/>
          <w:sz w:val="20"/>
          <w:szCs w:val="20"/>
        </w:rPr>
        <w:t>потребу</w:t>
      </w:r>
    </w:p>
    <w:p w14:paraId="4BC7FEE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289DD3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ІДЕНТИФІКАЦІЯ</w:t>
      </w:r>
      <w:r w:rsidRPr="000977F7">
        <w:rPr>
          <w:color w:val="auto"/>
          <w:spacing w:val="-3"/>
          <w:sz w:val="20"/>
          <w:szCs w:val="20"/>
        </w:rPr>
        <w:t xml:space="preserve"> </w:t>
      </w:r>
      <w:r w:rsidRPr="000977F7">
        <w:rPr>
          <w:color w:val="auto"/>
          <w:sz w:val="20"/>
          <w:szCs w:val="20"/>
        </w:rPr>
        <w:t>НЕБЕЗПЕК</w:t>
      </w:r>
      <w:r w:rsidRPr="000977F7">
        <w:rPr>
          <w:color w:val="auto"/>
          <w:spacing w:val="-4"/>
          <w:sz w:val="20"/>
          <w:szCs w:val="20"/>
        </w:rPr>
        <w:t xml:space="preserve"> </w:t>
      </w:r>
      <w:r w:rsidRPr="000977F7">
        <w:rPr>
          <w:color w:val="auto"/>
          <w:sz w:val="20"/>
          <w:szCs w:val="20"/>
        </w:rPr>
        <w:t>–</w:t>
      </w:r>
    </w:p>
    <w:p w14:paraId="0DF7B0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Встановлення</w:t>
      </w:r>
      <w:r w:rsidRPr="000977F7">
        <w:rPr>
          <w:rFonts w:asciiTheme="majorHAnsi" w:hAnsiTheme="majorHAnsi"/>
          <w:spacing w:val="8"/>
          <w:sz w:val="20"/>
          <w:szCs w:val="20"/>
        </w:rPr>
        <w:t xml:space="preserve"> </w:t>
      </w:r>
      <w:r w:rsidRPr="000977F7">
        <w:rPr>
          <w:rFonts w:asciiTheme="majorHAnsi" w:hAnsiTheme="majorHAnsi"/>
          <w:sz w:val="20"/>
          <w:szCs w:val="20"/>
        </w:rPr>
        <w:t>для</w:t>
      </w:r>
      <w:r w:rsidRPr="000977F7">
        <w:rPr>
          <w:rFonts w:asciiTheme="majorHAnsi" w:hAnsiTheme="majorHAnsi"/>
          <w:spacing w:val="10"/>
          <w:sz w:val="20"/>
          <w:szCs w:val="20"/>
        </w:rPr>
        <w:t xml:space="preserve"> </w:t>
      </w:r>
      <w:r w:rsidRPr="000977F7">
        <w:rPr>
          <w:rFonts w:asciiTheme="majorHAnsi" w:hAnsiTheme="majorHAnsi"/>
          <w:sz w:val="20"/>
          <w:szCs w:val="20"/>
        </w:rPr>
        <w:t>кожної</w:t>
      </w:r>
      <w:r w:rsidRPr="000977F7">
        <w:rPr>
          <w:rFonts w:asciiTheme="majorHAnsi" w:hAnsiTheme="majorHAnsi"/>
          <w:spacing w:val="13"/>
          <w:sz w:val="20"/>
          <w:szCs w:val="20"/>
        </w:rPr>
        <w:t xml:space="preserve"> </w:t>
      </w:r>
      <w:r w:rsidRPr="000977F7">
        <w:rPr>
          <w:rFonts w:asciiTheme="majorHAnsi" w:hAnsiTheme="majorHAnsi"/>
          <w:i/>
          <w:sz w:val="20"/>
          <w:szCs w:val="20"/>
        </w:rPr>
        <w:t>з</w:t>
      </w:r>
      <w:r w:rsidRPr="000977F7">
        <w:rPr>
          <w:rFonts w:asciiTheme="majorHAnsi" w:hAnsiTheme="majorHAnsi"/>
          <w:i/>
          <w:spacing w:val="10"/>
          <w:sz w:val="20"/>
          <w:szCs w:val="20"/>
        </w:rPr>
        <w:t xml:space="preserve"> </w:t>
      </w:r>
      <w:r w:rsidRPr="000977F7">
        <w:rPr>
          <w:rFonts w:asciiTheme="majorHAnsi" w:hAnsiTheme="majorHAnsi"/>
          <w:sz w:val="20"/>
          <w:szCs w:val="20"/>
        </w:rPr>
        <w:t>потенційних</w:t>
      </w:r>
      <w:r w:rsidRPr="000977F7">
        <w:rPr>
          <w:rFonts w:asciiTheme="majorHAnsi" w:hAnsiTheme="majorHAnsi"/>
          <w:spacing w:val="7"/>
          <w:sz w:val="20"/>
          <w:szCs w:val="20"/>
        </w:rPr>
        <w:t xml:space="preserve"> </w:t>
      </w:r>
      <w:r w:rsidRPr="000977F7">
        <w:rPr>
          <w:rFonts w:asciiTheme="majorHAnsi" w:hAnsiTheme="majorHAnsi"/>
          <w:sz w:val="20"/>
          <w:szCs w:val="20"/>
        </w:rPr>
        <w:t>небезпек,</w:t>
      </w:r>
      <w:r w:rsidRPr="000977F7">
        <w:rPr>
          <w:rFonts w:asciiTheme="majorHAnsi" w:hAnsiTheme="majorHAnsi"/>
          <w:spacing w:val="9"/>
          <w:sz w:val="20"/>
          <w:szCs w:val="20"/>
        </w:rPr>
        <w:t xml:space="preserve"> </w:t>
      </w:r>
      <w:r w:rsidRPr="000977F7">
        <w:rPr>
          <w:rFonts w:asciiTheme="majorHAnsi" w:hAnsiTheme="majorHAnsi"/>
          <w:sz w:val="20"/>
          <w:szCs w:val="20"/>
        </w:rPr>
        <w:t xml:space="preserve">що </w:t>
      </w:r>
      <w:r w:rsidRPr="000977F7">
        <w:rPr>
          <w:rFonts w:asciiTheme="majorHAnsi" w:hAnsiTheme="majorHAnsi"/>
          <w:spacing w:val="-47"/>
          <w:sz w:val="20"/>
          <w:szCs w:val="20"/>
        </w:rPr>
        <w:t xml:space="preserve"> </w:t>
      </w:r>
      <w:r w:rsidRPr="000977F7">
        <w:rPr>
          <w:rFonts w:asciiTheme="majorHAnsi" w:hAnsiTheme="majorHAnsi"/>
          <w:sz w:val="20"/>
          <w:szCs w:val="20"/>
        </w:rPr>
        <w:t>ініціюються</w:t>
      </w:r>
      <w:r w:rsidRPr="000977F7">
        <w:rPr>
          <w:rFonts w:asciiTheme="majorHAnsi" w:hAnsiTheme="majorHAnsi"/>
          <w:spacing w:val="-2"/>
          <w:sz w:val="20"/>
          <w:szCs w:val="20"/>
        </w:rPr>
        <w:t xml:space="preserve"> </w:t>
      </w:r>
      <w:r w:rsidRPr="000977F7">
        <w:rPr>
          <w:rFonts w:asciiTheme="majorHAnsi" w:hAnsiTheme="majorHAnsi"/>
          <w:sz w:val="20"/>
          <w:szCs w:val="20"/>
        </w:rPr>
        <w:t>підприємством:</w:t>
      </w:r>
    </w:p>
    <w:p w14:paraId="724419E0" w14:textId="77777777" w:rsidR="0097612F" w:rsidRPr="000977F7" w:rsidRDefault="0097612F" w:rsidP="00FD39A4">
      <w:pPr>
        <w:pStyle w:val="ac"/>
        <w:widowControl w:val="0"/>
        <w:numPr>
          <w:ilvl w:val="1"/>
          <w:numId w:val="172"/>
        </w:numPr>
        <w:tabs>
          <w:tab w:val="left" w:pos="284"/>
          <w:tab w:val="left" w:pos="9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подій,</w:t>
      </w:r>
      <w:r w:rsidRPr="000977F7">
        <w:rPr>
          <w:rFonts w:asciiTheme="majorHAnsi" w:hAnsiTheme="majorHAnsi"/>
          <w:spacing w:val="2"/>
          <w:sz w:val="20"/>
          <w:szCs w:val="20"/>
        </w:rPr>
        <w:t xml:space="preserve"> </w:t>
      </w:r>
      <w:r w:rsidRPr="000977F7">
        <w:rPr>
          <w:rFonts w:asciiTheme="majorHAnsi" w:hAnsiTheme="majorHAnsi"/>
          <w:sz w:val="20"/>
          <w:szCs w:val="20"/>
        </w:rPr>
        <w:t>що</w:t>
      </w:r>
      <w:r w:rsidRPr="000977F7">
        <w:rPr>
          <w:rFonts w:asciiTheme="majorHAnsi" w:hAnsiTheme="majorHAnsi"/>
          <w:spacing w:val="4"/>
          <w:sz w:val="20"/>
          <w:szCs w:val="20"/>
        </w:rPr>
        <w:t xml:space="preserve"> </w:t>
      </w:r>
      <w:r w:rsidRPr="000977F7">
        <w:rPr>
          <w:rFonts w:asciiTheme="majorHAnsi" w:hAnsiTheme="majorHAnsi"/>
          <w:sz w:val="20"/>
          <w:szCs w:val="20"/>
        </w:rPr>
        <w:t>ініціюють</w:t>
      </w:r>
      <w:r w:rsidRPr="000977F7">
        <w:rPr>
          <w:rFonts w:asciiTheme="majorHAnsi" w:hAnsiTheme="majorHAnsi"/>
          <w:spacing w:val="2"/>
          <w:sz w:val="20"/>
          <w:szCs w:val="20"/>
        </w:rPr>
        <w:t xml:space="preserve"> </w:t>
      </w:r>
      <w:r w:rsidRPr="000977F7">
        <w:rPr>
          <w:rFonts w:asciiTheme="majorHAnsi" w:hAnsiTheme="majorHAnsi"/>
          <w:sz w:val="20"/>
          <w:szCs w:val="20"/>
        </w:rPr>
        <w:t>небезпеку,</w:t>
      </w:r>
      <w:r w:rsidRPr="000977F7">
        <w:rPr>
          <w:rFonts w:asciiTheme="majorHAnsi" w:hAnsiTheme="majorHAnsi"/>
          <w:spacing w:val="3"/>
          <w:sz w:val="20"/>
          <w:szCs w:val="20"/>
        </w:rPr>
        <w:t xml:space="preserve"> </w:t>
      </w:r>
      <w:r w:rsidRPr="000977F7">
        <w:rPr>
          <w:rFonts w:asciiTheme="majorHAnsi" w:hAnsiTheme="majorHAnsi"/>
          <w:sz w:val="20"/>
          <w:szCs w:val="20"/>
        </w:rPr>
        <w:t>та</w:t>
      </w:r>
      <w:r w:rsidRPr="000977F7">
        <w:rPr>
          <w:rFonts w:asciiTheme="majorHAnsi" w:hAnsiTheme="majorHAnsi"/>
          <w:spacing w:val="5"/>
          <w:sz w:val="20"/>
          <w:szCs w:val="20"/>
        </w:rPr>
        <w:t xml:space="preserve"> </w:t>
      </w:r>
      <w:r w:rsidRPr="000977F7">
        <w:rPr>
          <w:rFonts w:asciiTheme="majorHAnsi" w:hAnsiTheme="majorHAnsi"/>
          <w:sz w:val="20"/>
          <w:szCs w:val="20"/>
        </w:rPr>
        <w:t>умов</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реалізації;</w:t>
      </w:r>
    </w:p>
    <w:p w14:paraId="39A190B3" w14:textId="77777777" w:rsidR="0097612F" w:rsidRPr="000977F7" w:rsidRDefault="0097612F" w:rsidP="00FD39A4">
      <w:pPr>
        <w:pStyle w:val="ac"/>
        <w:widowControl w:val="0"/>
        <w:numPr>
          <w:ilvl w:val="1"/>
          <w:numId w:val="172"/>
        </w:numPr>
        <w:tabs>
          <w:tab w:val="left" w:pos="284"/>
          <w:tab w:val="left" w:pos="94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імовірності</w:t>
      </w:r>
      <w:r w:rsidRPr="000977F7">
        <w:rPr>
          <w:rFonts w:asciiTheme="majorHAnsi" w:hAnsiTheme="majorHAnsi"/>
          <w:spacing w:val="-7"/>
          <w:sz w:val="20"/>
          <w:szCs w:val="20"/>
        </w:rPr>
        <w:t xml:space="preserve"> </w:t>
      </w:r>
      <w:r w:rsidRPr="000977F7">
        <w:rPr>
          <w:rFonts w:asciiTheme="majorHAnsi" w:hAnsiTheme="majorHAnsi"/>
          <w:sz w:val="20"/>
          <w:szCs w:val="20"/>
        </w:rPr>
        <w:t>виникнення;</w:t>
      </w:r>
    </w:p>
    <w:p w14:paraId="0638F348" w14:textId="77777777" w:rsidR="0097612F" w:rsidRPr="000977F7" w:rsidRDefault="0097612F" w:rsidP="00FD39A4">
      <w:pPr>
        <w:pStyle w:val="ac"/>
        <w:widowControl w:val="0"/>
        <w:numPr>
          <w:ilvl w:val="1"/>
          <w:numId w:val="172"/>
        </w:numPr>
        <w:tabs>
          <w:tab w:val="left" w:pos="284"/>
          <w:tab w:val="left" w:pos="94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джерела;</w:t>
      </w:r>
    </w:p>
    <w:p w14:paraId="51D9B2E0" w14:textId="77777777" w:rsidR="0097612F" w:rsidRPr="000977F7" w:rsidRDefault="0097612F" w:rsidP="00FD39A4">
      <w:pPr>
        <w:pStyle w:val="ac"/>
        <w:widowControl w:val="0"/>
        <w:numPr>
          <w:ilvl w:val="1"/>
          <w:numId w:val="172"/>
        </w:numPr>
        <w:tabs>
          <w:tab w:val="left" w:pos="284"/>
          <w:tab w:val="left" w:pos="94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реципієнтів</w:t>
      </w:r>
      <w:r w:rsidRPr="000977F7">
        <w:rPr>
          <w:rFonts w:asciiTheme="majorHAnsi" w:hAnsiTheme="majorHAnsi"/>
          <w:spacing w:val="-5"/>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природи</w:t>
      </w:r>
      <w:r w:rsidRPr="000977F7">
        <w:rPr>
          <w:rFonts w:asciiTheme="majorHAnsi" w:hAnsiTheme="majorHAnsi"/>
          <w:spacing w:val="-3"/>
          <w:sz w:val="20"/>
          <w:szCs w:val="20"/>
        </w:rPr>
        <w:t xml:space="preserve"> </w:t>
      </w:r>
      <w:r w:rsidRPr="000977F7">
        <w:rPr>
          <w:rFonts w:asciiTheme="majorHAnsi" w:hAnsiTheme="majorHAnsi"/>
          <w:sz w:val="20"/>
          <w:szCs w:val="20"/>
        </w:rPr>
        <w:t>впливу</w:t>
      </w:r>
      <w:r w:rsidRPr="000977F7">
        <w:rPr>
          <w:rFonts w:asciiTheme="majorHAnsi" w:hAnsiTheme="majorHAnsi"/>
          <w:spacing w:val="-5"/>
          <w:sz w:val="20"/>
          <w:szCs w:val="20"/>
        </w:rPr>
        <w:t xml:space="preserve"> </w:t>
      </w:r>
      <w:r w:rsidRPr="000977F7">
        <w:rPr>
          <w:rFonts w:asciiTheme="majorHAnsi" w:hAnsiTheme="majorHAnsi"/>
          <w:sz w:val="20"/>
          <w:szCs w:val="20"/>
        </w:rPr>
        <w:t>нa</w:t>
      </w:r>
      <w:r w:rsidRPr="000977F7">
        <w:rPr>
          <w:rFonts w:asciiTheme="majorHAnsi" w:hAnsiTheme="majorHAnsi"/>
          <w:spacing w:val="-1"/>
          <w:sz w:val="20"/>
          <w:szCs w:val="20"/>
        </w:rPr>
        <w:t xml:space="preserve"> </w:t>
      </w:r>
      <w:r w:rsidRPr="000977F7">
        <w:rPr>
          <w:rFonts w:asciiTheme="majorHAnsi" w:hAnsiTheme="majorHAnsi"/>
          <w:sz w:val="20"/>
          <w:szCs w:val="20"/>
        </w:rPr>
        <w:t>них;</w:t>
      </w:r>
    </w:p>
    <w:p w14:paraId="27B00B2D" w14:textId="77777777" w:rsidR="0097612F" w:rsidRPr="000977F7" w:rsidRDefault="0097612F" w:rsidP="00FD39A4">
      <w:pPr>
        <w:pStyle w:val="ac"/>
        <w:widowControl w:val="0"/>
        <w:numPr>
          <w:ilvl w:val="1"/>
          <w:numId w:val="172"/>
        </w:numPr>
        <w:tabs>
          <w:tab w:val="left" w:pos="284"/>
          <w:tab w:val="left" w:pos="93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характеру та засобу виміру (кількісного вираження)</w:t>
      </w:r>
      <w:r w:rsidRPr="000977F7">
        <w:rPr>
          <w:rFonts w:asciiTheme="majorHAnsi" w:hAnsiTheme="majorHAnsi"/>
          <w:spacing w:val="-4"/>
          <w:sz w:val="20"/>
          <w:szCs w:val="20"/>
        </w:rPr>
        <w:t xml:space="preserve"> </w:t>
      </w:r>
      <w:r w:rsidRPr="000977F7">
        <w:rPr>
          <w:rFonts w:asciiTheme="majorHAnsi" w:hAnsiTheme="majorHAnsi"/>
          <w:sz w:val="20"/>
          <w:szCs w:val="20"/>
        </w:rPr>
        <w:t>ступеня</w:t>
      </w:r>
      <w:r w:rsidRPr="000977F7">
        <w:rPr>
          <w:rFonts w:asciiTheme="majorHAnsi" w:hAnsiTheme="majorHAnsi"/>
          <w:spacing w:val="-4"/>
          <w:sz w:val="20"/>
          <w:szCs w:val="20"/>
        </w:rPr>
        <w:t xml:space="preserve"> </w:t>
      </w:r>
      <w:r w:rsidRPr="000977F7">
        <w:rPr>
          <w:rFonts w:asciiTheme="majorHAnsi" w:hAnsiTheme="majorHAnsi"/>
          <w:sz w:val="20"/>
          <w:szCs w:val="20"/>
        </w:rPr>
        <w:t>впливу</w:t>
      </w:r>
      <w:r w:rsidRPr="000977F7">
        <w:rPr>
          <w:rFonts w:asciiTheme="majorHAnsi" w:hAnsiTheme="majorHAnsi"/>
          <w:spacing w:val="-7"/>
          <w:sz w:val="20"/>
          <w:szCs w:val="20"/>
        </w:rPr>
        <w:t xml:space="preserve"> </w:t>
      </w:r>
      <w:r w:rsidRPr="000977F7">
        <w:rPr>
          <w:rFonts w:asciiTheme="majorHAnsi" w:hAnsiTheme="majorHAnsi"/>
          <w:sz w:val="20"/>
          <w:szCs w:val="20"/>
        </w:rPr>
        <w:t>(критичності</w:t>
      </w:r>
      <w:r w:rsidRPr="000977F7">
        <w:rPr>
          <w:rFonts w:asciiTheme="majorHAnsi" w:hAnsiTheme="majorHAnsi"/>
          <w:spacing w:val="-5"/>
          <w:sz w:val="20"/>
          <w:szCs w:val="20"/>
        </w:rPr>
        <w:t xml:space="preserve"> </w:t>
      </w:r>
      <w:r w:rsidRPr="000977F7">
        <w:rPr>
          <w:rFonts w:asciiTheme="majorHAnsi" w:hAnsiTheme="majorHAnsi"/>
          <w:sz w:val="20"/>
          <w:szCs w:val="20"/>
        </w:rPr>
        <w:t>небезпеки);</w:t>
      </w:r>
    </w:p>
    <w:p w14:paraId="27A981FC" w14:textId="77777777" w:rsidR="0097612F" w:rsidRPr="000977F7" w:rsidRDefault="0097612F" w:rsidP="00FD39A4">
      <w:pPr>
        <w:pStyle w:val="ac"/>
        <w:widowControl w:val="0"/>
        <w:numPr>
          <w:ilvl w:val="1"/>
          <w:numId w:val="172"/>
        </w:numPr>
        <w:tabs>
          <w:tab w:val="left" w:pos="284"/>
          <w:tab w:val="left" w:pos="97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сукупності факторів, що збільшують або зменшують імовірність реалізації потенційної небезпеки, а</w:t>
      </w:r>
      <w:r w:rsidRPr="000977F7">
        <w:rPr>
          <w:rFonts w:asciiTheme="majorHAnsi" w:hAnsiTheme="majorHAnsi"/>
          <w:spacing w:val="-47"/>
          <w:sz w:val="20"/>
          <w:szCs w:val="20"/>
        </w:rPr>
        <w:t xml:space="preserve"> </w:t>
      </w:r>
      <w:r w:rsidRPr="000977F7">
        <w:rPr>
          <w:rFonts w:asciiTheme="majorHAnsi" w:hAnsiTheme="majorHAnsi"/>
          <w:sz w:val="20"/>
          <w:szCs w:val="20"/>
        </w:rPr>
        <w:t>також факторів, що посилюють або послаблюють її</w:t>
      </w:r>
      <w:r w:rsidRPr="000977F7">
        <w:rPr>
          <w:rFonts w:asciiTheme="majorHAnsi" w:hAnsiTheme="majorHAnsi"/>
          <w:spacing w:val="1"/>
          <w:sz w:val="20"/>
          <w:szCs w:val="20"/>
        </w:rPr>
        <w:t xml:space="preserve"> </w:t>
      </w:r>
      <w:r w:rsidRPr="000977F7">
        <w:rPr>
          <w:rFonts w:asciiTheme="majorHAnsi" w:hAnsiTheme="majorHAnsi"/>
          <w:sz w:val="20"/>
          <w:szCs w:val="20"/>
        </w:rPr>
        <w:t>негативні</w:t>
      </w:r>
      <w:r w:rsidRPr="000977F7">
        <w:rPr>
          <w:rFonts w:asciiTheme="majorHAnsi" w:hAnsiTheme="majorHAnsi"/>
          <w:spacing w:val="-2"/>
          <w:sz w:val="20"/>
          <w:szCs w:val="20"/>
        </w:rPr>
        <w:t xml:space="preserve"> </w:t>
      </w:r>
      <w:r w:rsidRPr="000977F7">
        <w:rPr>
          <w:rFonts w:asciiTheme="majorHAnsi" w:hAnsiTheme="majorHAnsi"/>
          <w:sz w:val="20"/>
          <w:szCs w:val="20"/>
        </w:rPr>
        <w:t>наслідки</w:t>
      </w:r>
    </w:p>
    <w:p w14:paraId="2CEC62B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0393A28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ІДЕНТИФІКАЦІЯ</w:t>
      </w:r>
      <w:r w:rsidRPr="000977F7">
        <w:rPr>
          <w:color w:val="auto"/>
          <w:spacing w:val="-5"/>
          <w:sz w:val="20"/>
          <w:szCs w:val="20"/>
        </w:rPr>
        <w:t xml:space="preserve"> </w:t>
      </w:r>
      <w:r w:rsidRPr="000977F7">
        <w:rPr>
          <w:color w:val="auto"/>
          <w:sz w:val="20"/>
          <w:szCs w:val="20"/>
        </w:rPr>
        <w:t>ПРОДУКЦІЇ</w:t>
      </w:r>
      <w:r w:rsidRPr="000977F7">
        <w:rPr>
          <w:color w:val="auto"/>
          <w:spacing w:val="-3"/>
          <w:sz w:val="20"/>
          <w:szCs w:val="20"/>
        </w:rPr>
        <w:t xml:space="preserve"> </w:t>
      </w:r>
      <w:r w:rsidRPr="000977F7">
        <w:rPr>
          <w:color w:val="auto"/>
          <w:sz w:val="20"/>
          <w:szCs w:val="20"/>
        </w:rPr>
        <w:t>–</w:t>
      </w:r>
    </w:p>
    <w:p w14:paraId="51CE062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IDENTIFICATION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7CEF77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Процедура, що передбачає маркування та етикетування сировини, матеріалів, комплектувальних виробів,</w:t>
      </w:r>
      <w:r w:rsidRPr="000977F7">
        <w:rPr>
          <w:rFonts w:asciiTheme="majorHAnsi" w:hAnsiTheme="majorHAnsi"/>
          <w:spacing w:val="1"/>
          <w:sz w:val="20"/>
          <w:szCs w:val="20"/>
        </w:rPr>
        <w:t xml:space="preserve"> </w:t>
      </w:r>
      <w:r w:rsidRPr="000977F7">
        <w:rPr>
          <w:rFonts w:asciiTheme="majorHAnsi" w:hAnsiTheme="majorHAnsi"/>
          <w:sz w:val="20"/>
          <w:szCs w:val="20"/>
        </w:rPr>
        <w:t>готової продукції, а</w:t>
      </w:r>
      <w:r w:rsidRPr="000977F7">
        <w:rPr>
          <w:rFonts w:asciiTheme="majorHAnsi" w:hAnsiTheme="majorHAnsi"/>
          <w:spacing w:val="1"/>
          <w:sz w:val="20"/>
          <w:szCs w:val="20"/>
        </w:rPr>
        <w:t xml:space="preserve"> </w:t>
      </w:r>
      <w:r w:rsidRPr="000977F7">
        <w:rPr>
          <w:rFonts w:asciiTheme="majorHAnsi" w:hAnsiTheme="majorHAnsi"/>
          <w:sz w:val="20"/>
          <w:szCs w:val="20"/>
        </w:rPr>
        <w:t>також технічної документації</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метою виявлення можливих причин браку виготовленої продукції або дефектів виробничих і технологічних</w:t>
      </w:r>
      <w:r w:rsidRPr="000977F7">
        <w:rPr>
          <w:rFonts w:asciiTheme="majorHAnsi" w:hAnsiTheme="majorHAnsi"/>
          <w:spacing w:val="-2"/>
          <w:sz w:val="20"/>
          <w:szCs w:val="20"/>
        </w:rPr>
        <w:t xml:space="preserve"> </w:t>
      </w:r>
      <w:r w:rsidRPr="000977F7">
        <w:rPr>
          <w:rFonts w:asciiTheme="majorHAnsi" w:hAnsiTheme="majorHAnsi"/>
          <w:sz w:val="20"/>
          <w:szCs w:val="20"/>
        </w:rPr>
        <w:t>процесів</w:t>
      </w:r>
    </w:p>
    <w:p w14:paraId="09F835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1239603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Ідентифікація необхідна на всіх етапах 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постачання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монтажу</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3E2D3B1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84150D3"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ІДЕНТИФІКАЦІЯ</w:t>
      </w:r>
      <w:r w:rsidRPr="000977F7">
        <w:rPr>
          <w:color w:val="auto"/>
          <w:spacing w:val="-4"/>
          <w:sz w:val="20"/>
          <w:szCs w:val="20"/>
        </w:rPr>
        <w:t xml:space="preserve"> </w:t>
      </w:r>
      <w:r w:rsidRPr="000977F7">
        <w:rPr>
          <w:color w:val="auto"/>
          <w:sz w:val="20"/>
          <w:szCs w:val="20"/>
        </w:rPr>
        <w:t>ТА</w:t>
      </w:r>
      <w:r w:rsidRPr="000977F7">
        <w:rPr>
          <w:color w:val="auto"/>
          <w:spacing w:val="-3"/>
          <w:sz w:val="20"/>
          <w:szCs w:val="20"/>
        </w:rPr>
        <w:t xml:space="preserve"> </w:t>
      </w:r>
      <w:r w:rsidRPr="000977F7">
        <w:rPr>
          <w:color w:val="auto"/>
          <w:sz w:val="20"/>
          <w:szCs w:val="20"/>
        </w:rPr>
        <w:t>ПРОСТЕЖУВАНІСТЬ</w:t>
      </w:r>
      <w:r w:rsidRPr="000977F7">
        <w:rPr>
          <w:color w:val="auto"/>
          <w:spacing w:val="-4"/>
          <w:sz w:val="20"/>
          <w:szCs w:val="20"/>
        </w:rPr>
        <w:t xml:space="preserve"> </w:t>
      </w:r>
      <w:r w:rsidRPr="000977F7">
        <w:rPr>
          <w:b w:val="0"/>
          <w:color w:val="auto"/>
          <w:sz w:val="20"/>
          <w:szCs w:val="20"/>
        </w:rPr>
        <w:t>–</w:t>
      </w:r>
    </w:p>
    <w:p w14:paraId="2CC69C9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використовувати придатні засоби</w:t>
      </w:r>
      <w:r w:rsidRPr="000977F7">
        <w:rPr>
          <w:rFonts w:asciiTheme="majorHAnsi" w:hAnsiTheme="majorHAnsi"/>
          <w:spacing w:val="1"/>
          <w:sz w:val="20"/>
          <w:szCs w:val="20"/>
        </w:rPr>
        <w:t xml:space="preserve"> </w:t>
      </w:r>
      <w:r w:rsidRPr="000977F7">
        <w:rPr>
          <w:rFonts w:asciiTheme="majorHAnsi" w:hAnsiTheme="majorHAnsi"/>
          <w:sz w:val="20"/>
          <w:szCs w:val="20"/>
        </w:rPr>
        <w:t>для ідентифікування</w:t>
      </w:r>
      <w:r w:rsidRPr="000977F7">
        <w:rPr>
          <w:rFonts w:asciiTheme="majorHAnsi" w:hAnsiTheme="majorHAnsi"/>
          <w:spacing w:val="1"/>
          <w:sz w:val="20"/>
          <w:szCs w:val="20"/>
        </w:rPr>
        <w:t xml:space="preserve"> </w:t>
      </w:r>
      <w:r w:rsidRPr="000977F7">
        <w:rPr>
          <w:rFonts w:asciiTheme="majorHAnsi" w:hAnsiTheme="majorHAnsi"/>
          <w:sz w:val="20"/>
          <w:szCs w:val="20"/>
        </w:rPr>
        <w:t>виходів,</w:t>
      </w:r>
      <w:r w:rsidRPr="000977F7">
        <w:rPr>
          <w:rFonts w:asciiTheme="majorHAnsi" w:hAnsiTheme="majorHAnsi"/>
          <w:spacing w:val="1"/>
          <w:sz w:val="20"/>
          <w:szCs w:val="20"/>
        </w:rPr>
        <w:t xml:space="preserve"> </w:t>
      </w:r>
      <w:r w:rsidRPr="000977F7">
        <w:rPr>
          <w:rFonts w:asciiTheme="majorHAnsi" w:hAnsiTheme="majorHAnsi"/>
          <w:sz w:val="20"/>
          <w:szCs w:val="20"/>
        </w:rPr>
        <w:t>коли це</w:t>
      </w:r>
      <w:r w:rsidRPr="000977F7">
        <w:rPr>
          <w:rFonts w:asciiTheme="majorHAnsi" w:hAnsiTheme="majorHAnsi"/>
          <w:spacing w:val="50"/>
          <w:sz w:val="20"/>
          <w:szCs w:val="20"/>
        </w:rPr>
        <w:t xml:space="preserve"> </w:t>
      </w:r>
      <w:r w:rsidRPr="000977F7">
        <w:rPr>
          <w:rFonts w:asciiTheme="majorHAnsi" w:hAnsiTheme="majorHAnsi"/>
          <w:sz w:val="20"/>
          <w:szCs w:val="20"/>
        </w:rPr>
        <w:t>необхідно</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4"/>
          <w:sz w:val="20"/>
          <w:szCs w:val="20"/>
        </w:rPr>
        <w:t xml:space="preserve"> </w:t>
      </w:r>
      <w:r w:rsidRPr="000977F7">
        <w:rPr>
          <w:rFonts w:asciiTheme="majorHAnsi" w:hAnsiTheme="majorHAnsi"/>
          <w:sz w:val="20"/>
          <w:szCs w:val="20"/>
        </w:rPr>
        <w:t>забезпечення відповідності</w:t>
      </w:r>
      <w:r w:rsidRPr="000977F7">
        <w:rPr>
          <w:rFonts w:asciiTheme="majorHAnsi" w:hAnsiTheme="majorHAnsi"/>
          <w:spacing w:val="-4"/>
          <w:sz w:val="20"/>
          <w:szCs w:val="20"/>
        </w:rPr>
        <w:t xml:space="preserve"> </w:t>
      </w:r>
      <w:r w:rsidRPr="000977F7">
        <w:rPr>
          <w:rFonts w:asciiTheme="majorHAnsi" w:hAnsiTheme="majorHAnsi"/>
          <w:sz w:val="20"/>
          <w:szCs w:val="20"/>
        </w:rPr>
        <w:t>продукції</w:t>
      </w:r>
      <w:r w:rsidRPr="000977F7">
        <w:rPr>
          <w:rFonts w:asciiTheme="majorHAnsi" w:hAnsiTheme="majorHAnsi"/>
          <w:spacing w:val="-3"/>
          <w:sz w:val="20"/>
          <w:szCs w:val="20"/>
        </w:rPr>
        <w:t xml:space="preserve"> </w:t>
      </w:r>
      <w:r w:rsidRPr="000977F7">
        <w:rPr>
          <w:rFonts w:asciiTheme="majorHAnsi" w:hAnsiTheme="majorHAnsi"/>
          <w:sz w:val="20"/>
          <w:szCs w:val="20"/>
        </w:rPr>
        <w:t>та</w:t>
      </w:r>
      <w:r w:rsidRPr="000977F7">
        <w:rPr>
          <w:rFonts w:asciiTheme="majorHAnsi" w:hAnsiTheme="majorHAnsi"/>
          <w:spacing w:val="-4"/>
          <w:sz w:val="20"/>
          <w:szCs w:val="20"/>
        </w:rPr>
        <w:t xml:space="preserve"> </w:t>
      </w:r>
      <w:r w:rsidRPr="000977F7">
        <w:rPr>
          <w:rFonts w:asciiTheme="majorHAnsi" w:hAnsiTheme="majorHAnsi"/>
          <w:sz w:val="20"/>
          <w:szCs w:val="20"/>
        </w:rPr>
        <w:t>послуг.</w:t>
      </w:r>
    </w:p>
    <w:p w14:paraId="5A7178C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ідентифікувати статус виходів</w:t>
      </w:r>
      <w:r w:rsidRPr="000977F7">
        <w:rPr>
          <w:rFonts w:asciiTheme="majorHAnsi" w:hAnsiTheme="majorHAnsi"/>
          <w:spacing w:val="1"/>
          <w:sz w:val="20"/>
          <w:szCs w:val="20"/>
        </w:rPr>
        <w:t xml:space="preserve"> </w:t>
      </w:r>
      <w:r w:rsidRPr="000977F7">
        <w:rPr>
          <w:rFonts w:asciiTheme="majorHAnsi" w:hAnsiTheme="majorHAnsi"/>
          <w:sz w:val="20"/>
          <w:szCs w:val="20"/>
        </w:rPr>
        <w:t>стосовно вимог щодо моніторингу та вимірювання на</w:t>
      </w:r>
      <w:r w:rsidRPr="000977F7">
        <w:rPr>
          <w:rFonts w:asciiTheme="majorHAnsi" w:hAnsiTheme="majorHAnsi"/>
          <w:spacing w:val="1"/>
          <w:sz w:val="20"/>
          <w:szCs w:val="20"/>
        </w:rPr>
        <w:t xml:space="preserve"> </w:t>
      </w:r>
      <w:r w:rsidRPr="000977F7">
        <w:rPr>
          <w:rFonts w:asciiTheme="majorHAnsi" w:hAnsiTheme="majorHAnsi"/>
          <w:sz w:val="20"/>
          <w:szCs w:val="20"/>
        </w:rPr>
        <w:t>всіх стадіях виготовлення продукції та надання послуг.</w:t>
      </w:r>
    </w:p>
    <w:p w14:paraId="4E33988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контролювати однозначну ідентифікацію</w:t>
      </w:r>
      <w:r w:rsidRPr="000977F7">
        <w:rPr>
          <w:rFonts w:asciiTheme="majorHAnsi" w:hAnsiTheme="majorHAnsi"/>
          <w:spacing w:val="11"/>
          <w:sz w:val="20"/>
          <w:szCs w:val="20"/>
        </w:rPr>
        <w:t xml:space="preserve"> </w:t>
      </w:r>
      <w:r w:rsidRPr="000977F7">
        <w:rPr>
          <w:rFonts w:asciiTheme="majorHAnsi" w:hAnsiTheme="majorHAnsi"/>
          <w:sz w:val="20"/>
          <w:szCs w:val="20"/>
        </w:rPr>
        <w:t>виходів,</w:t>
      </w:r>
      <w:r w:rsidRPr="000977F7">
        <w:rPr>
          <w:rFonts w:asciiTheme="majorHAnsi" w:hAnsiTheme="majorHAnsi"/>
          <w:spacing w:val="13"/>
          <w:sz w:val="20"/>
          <w:szCs w:val="20"/>
        </w:rPr>
        <w:t xml:space="preserve"> </w:t>
      </w:r>
      <w:r w:rsidRPr="000977F7">
        <w:rPr>
          <w:rFonts w:asciiTheme="majorHAnsi" w:hAnsiTheme="majorHAnsi"/>
          <w:sz w:val="20"/>
          <w:szCs w:val="20"/>
        </w:rPr>
        <w:t>якщо</w:t>
      </w:r>
      <w:r w:rsidRPr="000977F7">
        <w:rPr>
          <w:rFonts w:asciiTheme="majorHAnsi" w:hAnsiTheme="majorHAnsi"/>
          <w:spacing w:val="13"/>
          <w:sz w:val="20"/>
          <w:szCs w:val="20"/>
        </w:rPr>
        <w:t xml:space="preserve"> </w:t>
      </w:r>
      <w:r w:rsidRPr="000977F7">
        <w:rPr>
          <w:rFonts w:asciiTheme="majorHAnsi" w:hAnsiTheme="majorHAnsi"/>
          <w:sz w:val="20"/>
          <w:szCs w:val="20"/>
        </w:rPr>
        <w:t>простежуваність</w:t>
      </w:r>
      <w:r w:rsidRPr="000977F7">
        <w:rPr>
          <w:rFonts w:asciiTheme="majorHAnsi" w:hAnsiTheme="majorHAnsi"/>
          <w:spacing w:val="13"/>
          <w:sz w:val="20"/>
          <w:szCs w:val="20"/>
        </w:rPr>
        <w:t xml:space="preserve"> </w:t>
      </w:r>
      <w:r w:rsidRPr="000977F7">
        <w:rPr>
          <w:rFonts w:asciiTheme="majorHAnsi" w:hAnsiTheme="majorHAnsi"/>
          <w:sz w:val="20"/>
          <w:szCs w:val="20"/>
        </w:rPr>
        <w:t>є</w:t>
      </w:r>
      <w:r w:rsidRPr="000977F7">
        <w:rPr>
          <w:rFonts w:asciiTheme="majorHAnsi" w:hAnsiTheme="majorHAnsi"/>
          <w:spacing w:val="12"/>
          <w:sz w:val="20"/>
          <w:szCs w:val="20"/>
        </w:rPr>
        <w:t xml:space="preserve"> </w:t>
      </w:r>
      <w:r w:rsidRPr="000977F7">
        <w:rPr>
          <w:rFonts w:asciiTheme="majorHAnsi" w:hAnsiTheme="majorHAnsi"/>
          <w:sz w:val="20"/>
          <w:szCs w:val="20"/>
        </w:rPr>
        <w:t>вимогою,</w:t>
      </w:r>
      <w:r w:rsidRPr="000977F7">
        <w:rPr>
          <w:rFonts w:asciiTheme="majorHAnsi" w:hAnsiTheme="majorHAnsi"/>
          <w:spacing w:val="-47"/>
          <w:sz w:val="20"/>
          <w:szCs w:val="20"/>
        </w:rPr>
        <w:t xml:space="preserve"> </w:t>
      </w:r>
      <w:r w:rsidRPr="000977F7">
        <w:rPr>
          <w:rFonts w:asciiTheme="majorHAnsi" w:hAnsiTheme="majorHAnsi"/>
          <w:sz w:val="20"/>
          <w:szCs w:val="20"/>
        </w:rPr>
        <w:t>а також повинна зберігати задокументовану інформацію,</w:t>
      </w:r>
      <w:r w:rsidRPr="000977F7">
        <w:rPr>
          <w:rFonts w:asciiTheme="majorHAnsi" w:hAnsiTheme="majorHAnsi"/>
          <w:spacing w:val="-3"/>
          <w:sz w:val="20"/>
          <w:szCs w:val="20"/>
        </w:rPr>
        <w:t xml:space="preserve"> </w:t>
      </w:r>
      <w:r w:rsidRPr="000977F7">
        <w:rPr>
          <w:rFonts w:asciiTheme="majorHAnsi" w:hAnsiTheme="majorHAnsi"/>
          <w:sz w:val="20"/>
          <w:szCs w:val="20"/>
        </w:rPr>
        <w:t>необхідну</w:t>
      </w:r>
      <w:r w:rsidRPr="000977F7">
        <w:rPr>
          <w:rFonts w:asciiTheme="majorHAnsi" w:hAnsiTheme="majorHAnsi"/>
          <w:spacing w:val="-4"/>
          <w:sz w:val="20"/>
          <w:szCs w:val="20"/>
        </w:rPr>
        <w:t xml:space="preserve"> </w:t>
      </w:r>
      <w:r w:rsidRPr="000977F7">
        <w:rPr>
          <w:rFonts w:asciiTheme="majorHAnsi" w:hAnsiTheme="majorHAnsi"/>
          <w:sz w:val="20"/>
          <w:szCs w:val="20"/>
        </w:rPr>
        <w:t>для уможливлення</w:t>
      </w:r>
      <w:r w:rsidRPr="000977F7">
        <w:rPr>
          <w:rFonts w:asciiTheme="majorHAnsi" w:hAnsiTheme="majorHAnsi"/>
          <w:spacing w:val="-1"/>
          <w:sz w:val="20"/>
          <w:szCs w:val="20"/>
        </w:rPr>
        <w:t xml:space="preserve"> </w:t>
      </w:r>
      <w:r w:rsidRPr="000977F7">
        <w:rPr>
          <w:rFonts w:asciiTheme="majorHAnsi" w:hAnsiTheme="majorHAnsi"/>
          <w:sz w:val="20"/>
          <w:szCs w:val="20"/>
        </w:rPr>
        <w:t>простежуваності.</w:t>
      </w:r>
    </w:p>
    <w:p w14:paraId="2C6E4C6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ISO</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9001 - 2015</w:t>
      </w:r>
    </w:p>
    <w:p w14:paraId="1E75E67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ІДЕНТИЧНІ</w:t>
      </w:r>
      <w:r w:rsidRPr="000977F7">
        <w:rPr>
          <w:color w:val="auto"/>
          <w:spacing w:val="-4"/>
          <w:sz w:val="20"/>
          <w:szCs w:val="20"/>
        </w:rPr>
        <w:t xml:space="preserve"> </w:t>
      </w:r>
      <w:r w:rsidRPr="000977F7">
        <w:rPr>
          <w:color w:val="auto"/>
          <w:sz w:val="20"/>
          <w:szCs w:val="20"/>
        </w:rPr>
        <w:t>СТАНДАРТИ</w:t>
      </w:r>
      <w:r w:rsidRPr="000977F7">
        <w:rPr>
          <w:color w:val="auto"/>
          <w:spacing w:val="1"/>
          <w:sz w:val="20"/>
          <w:szCs w:val="20"/>
        </w:rPr>
        <w:t xml:space="preserve"> </w:t>
      </w:r>
      <w:r w:rsidRPr="000977F7">
        <w:rPr>
          <w:color w:val="auto"/>
          <w:sz w:val="20"/>
          <w:szCs w:val="20"/>
        </w:rPr>
        <w:t>–</w:t>
      </w:r>
    </w:p>
    <w:p w14:paraId="2C16E49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IDENTICAL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STANDARDS –</w:t>
      </w:r>
    </w:p>
    <w:p w14:paraId="054BE5F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Гармонізовані</w:t>
      </w:r>
      <w:r w:rsidRPr="000977F7">
        <w:rPr>
          <w:rFonts w:asciiTheme="majorHAnsi" w:hAnsiTheme="majorHAnsi"/>
          <w:spacing w:val="20"/>
          <w:sz w:val="20"/>
          <w:szCs w:val="20"/>
        </w:rPr>
        <w:t xml:space="preserve"> </w:t>
      </w:r>
      <w:r w:rsidRPr="000977F7">
        <w:rPr>
          <w:rFonts w:asciiTheme="majorHAnsi" w:hAnsiTheme="majorHAnsi"/>
          <w:sz w:val="20"/>
          <w:szCs w:val="20"/>
        </w:rPr>
        <w:t>стандарти,</w:t>
      </w:r>
      <w:r w:rsidRPr="000977F7">
        <w:rPr>
          <w:rFonts w:asciiTheme="majorHAnsi" w:hAnsiTheme="majorHAnsi"/>
          <w:spacing w:val="21"/>
          <w:sz w:val="20"/>
          <w:szCs w:val="20"/>
        </w:rPr>
        <w:t xml:space="preserve"> </w:t>
      </w:r>
      <w:r w:rsidRPr="000977F7">
        <w:rPr>
          <w:rFonts w:asciiTheme="majorHAnsi" w:hAnsiTheme="majorHAnsi"/>
          <w:sz w:val="20"/>
          <w:szCs w:val="20"/>
        </w:rPr>
        <w:t>ідентичні</w:t>
      </w:r>
      <w:r w:rsidRPr="000977F7">
        <w:rPr>
          <w:rFonts w:asciiTheme="majorHAnsi" w:hAnsiTheme="majorHAnsi"/>
          <w:spacing w:val="21"/>
          <w:sz w:val="20"/>
          <w:szCs w:val="20"/>
        </w:rPr>
        <w:t xml:space="preserve"> </w:t>
      </w:r>
      <w:r w:rsidRPr="000977F7">
        <w:rPr>
          <w:rFonts w:asciiTheme="majorHAnsi" w:hAnsiTheme="majorHAnsi"/>
          <w:sz w:val="20"/>
          <w:szCs w:val="20"/>
        </w:rPr>
        <w:t>за</w:t>
      </w:r>
      <w:r w:rsidRPr="000977F7">
        <w:rPr>
          <w:rFonts w:asciiTheme="majorHAnsi" w:hAnsiTheme="majorHAnsi"/>
          <w:spacing w:val="21"/>
          <w:sz w:val="20"/>
          <w:szCs w:val="20"/>
        </w:rPr>
        <w:t xml:space="preserve"> </w:t>
      </w:r>
      <w:r w:rsidRPr="000977F7">
        <w:rPr>
          <w:rFonts w:asciiTheme="majorHAnsi" w:hAnsiTheme="majorHAnsi"/>
          <w:sz w:val="20"/>
          <w:szCs w:val="20"/>
        </w:rPr>
        <w:t>змістом</w:t>
      </w:r>
      <w:r w:rsidRPr="000977F7">
        <w:rPr>
          <w:rFonts w:asciiTheme="majorHAnsi" w:hAnsiTheme="majorHAnsi"/>
          <w:spacing w:val="22"/>
          <w:sz w:val="20"/>
          <w:szCs w:val="20"/>
        </w:rPr>
        <w:t xml:space="preserve"> </w:t>
      </w:r>
      <w:r w:rsidRPr="000977F7">
        <w:rPr>
          <w:rFonts w:asciiTheme="majorHAnsi" w:hAnsiTheme="majorHAnsi"/>
          <w:sz w:val="20"/>
          <w:szCs w:val="20"/>
        </w:rPr>
        <w:t>та</w:t>
      </w:r>
      <w:r w:rsidRPr="000977F7">
        <w:rPr>
          <w:rFonts w:asciiTheme="majorHAnsi" w:hAnsiTheme="majorHAnsi"/>
          <w:spacing w:val="20"/>
          <w:sz w:val="20"/>
          <w:szCs w:val="20"/>
        </w:rPr>
        <w:t xml:space="preserve"> </w:t>
      </w:r>
      <w:r w:rsidRPr="000977F7">
        <w:rPr>
          <w:rFonts w:asciiTheme="majorHAnsi" w:hAnsiTheme="majorHAnsi"/>
          <w:sz w:val="20"/>
          <w:szCs w:val="20"/>
        </w:rPr>
        <w:t>формою</w:t>
      </w:r>
      <w:r w:rsidRPr="000977F7">
        <w:rPr>
          <w:rFonts w:asciiTheme="majorHAnsi" w:hAnsiTheme="majorHAnsi"/>
          <w:spacing w:val="-1"/>
          <w:sz w:val="20"/>
          <w:szCs w:val="20"/>
        </w:rPr>
        <w:t xml:space="preserve"> </w:t>
      </w:r>
      <w:r w:rsidRPr="000977F7">
        <w:rPr>
          <w:rFonts w:asciiTheme="majorHAnsi" w:hAnsiTheme="majorHAnsi"/>
          <w:sz w:val="20"/>
          <w:szCs w:val="20"/>
        </w:rPr>
        <w:t>надання</w:t>
      </w:r>
    </w:p>
    <w:p w14:paraId="4BC149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и:</w:t>
      </w:r>
    </w:p>
    <w:p w14:paraId="511F7D7C" w14:textId="77777777" w:rsidR="0097612F" w:rsidRPr="000977F7" w:rsidRDefault="0097612F" w:rsidP="00FD39A4">
      <w:pPr>
        <w:pStyle w:val="ac"/>
        <w:widowControl w:val="0"/>
        <w:numPr>
          <w:ilvl w:val="0"/>
          <w:numId w:val="171"/>
        </w:numPr>
        <w:tabs>
          <w:tab w:val="left" w:pos="284"/>
          <w:tab w:val="left" w:pos="800"/>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Позначення</w:t>
      </w:r>
      <w:r w:rsidRPr="000977F7">
        <w:rPr>
          <w:rFonts w:asciiTheme="majorHAnsi" w:hAnsiTheme="majorHAnsi"/>
          <w:spacing w:val="-4"/>
          <w:sz w:val="20"/>
          <w:szCs w:val="20"/>
        </w:rPr>
        <w:t xml:space="preserve"> </w:t>
      </w:r>
      <w:r w:rsidRPr="000977F7">
        <w:rPr>
          <w:rFonts w:asciiTheme="majorHAnsi" w:hAnsiTheme="majorHAnsi"/>
          <w:sz w:val="20"/>
          <w:szCs w:val="20"/>
        </w:rPr>
        <w:t>стандартів</w:t>
      </w:r>
      <w:r w:rsidRPr="000977F7">
        <w:rPr>
          <w:rFonts w:asciiTheme="majorHAnsi" w:hAnsiTheme="majorHAnsi"/>
          <w:spacing w:val="-4"/>
          <w:sz w:val="20"/>
          <w:szCs w:val="20"/>
        </w:rPr>
        <w:t xml:space="preserve"> </w:t>
      </w:r>
      <w:r w:rsidRPr="000977F7">
        <w:rPr>
          <w:rFonts w:asciiTheme="majorHAnsi" w:hAnsiTheme="majorHAnsi"/>
          <w:sz w:val="20"/>
          <w:szCs w:val="20"/>
        </w:rPr>
        <w:t>можуть</w:t>
      </w:r>
      <w:r w:rsidRPr="000977F7">
        <w:rPr>
          <w:rFonts w:asciiTheme="majorHAnsi" w:hAnsiTheme="majorHAnsi"/>
          <w:spacing w:val="-3"/>
          <w:sz w:val="20"/>
          <w:szCs w:val="20"/>
        </w:rPr>
        <w:t xml:space="preserve"> </w:t>
      </w:r>
      <w:r w:rsidRPr="000977F7">
        <w:rPr>
          <w:rFonts w:asciiTheme="majorHAnsi" w:hAnsiTheme="majorHAnsi"/>
          <w:sz w:val="20"/>
          <w:szCs w:val="20"/>
        </w:rPr>
        <w:t>бути</w:t>
      </w:r>
      <w:r w:rsidRPr="000977F7">
        <w:rPr>
          <w:rFonts w:asciiTheme="majorHAnsi" w:hAnsiTheme="majorHAnsi"/>
          <w:spacing w:val="-4"/>
          <w:sz w:val="20"/>
          <w:szCs w:val="20"/>
        </w:rPr>
        <w:t xml:space="preserve"> </w:t>
      </w:r>
      <w:r w:rsidRPr="000977F7">
        <w:rPr>
          <w:rFonts w:asciiTheme="majorHAnsi" w:hAnsiTheme="majorHAnsi"/>
          <w:sz w:val="20"/>
          <w:szCs w:val="20"/>
        </w:rPr>
        <w:t>різними</w:t>
      </w:r>
    </w:p>
    <w:p w14:paraId="401DD99C" w14:textId="77777777" w:rsidR="0097612F" w:rsidRPr="000977F7" w:rsidRDefault="0097612F" w:rsidP="00FD39A4">
      <w:pPr>
        <w:pStyle w:val="ac"/>
        <w:widowControl w:val="0"/>
        <w:numPr>
          <w:ilvl w:val="0"/>
          <w:numId w:val="171"/>
        </w:numPr>
        <w:tabs>
          <w:tab w:val="left" w:pos="284"/>
          <w:tab w:val="left" w:pos="800"/>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w:t>
      </w:r>
      <w:r w:rsidRPr="000977F7">
        <w:rPr>
          <w:rFonts w:asciiTheme="majorHAnsi" w:hAnsiTheme="majorHAnsi"/>
          <w:spacing w:val="15"/>
          <w:sz w:val="20"/>
          <w:szCs w:val="20"/>
        </w:rPr>
        <w:t xml:space="preserve"> </w:t>
      </w:r>
      <w:r w:rsidRPr="000977F7">
        <w:rPr>
          <w:rFonts w:asciiTheme="majorHAnsi" w:hAnsiTheme="majorHAnsi"/>
          <w:sz w:val="20"/>
          <w:szCs w:val="20"/>
        </w:rPr>
        <w:t>різних</w:t>
      </w:r>
      <w:r w:rsidRPr="000977F7">
        <w:rPr>
          <w:rFonts w:asciiTheme="majorHAnsi" w:hAnsiTheme="majorHAnsi"/>
          <w:spacing w:val="14"/>
          <w:sz w:val="20"/>
          <w:szCs w:val="20"/>
        </w:rPr>
        <w:t xml:space="preserve"> </w:t>
      </w:r>
      <w:r w:rsidRPr="000977F7">
        <w:rPr>
          <w:rFonts w:asciiTheme="majorHAnsi" w:hAnsiTheme="majorHAnsi"/>
          <w:sz w:val="20"/>
          <w:szCs w:val="20"/>
        </w:rPr>
        <w:t>мовах</w:t>
      </w:r>
      <w:r w:rsidRPr="000977F7">
        <w:rPr>
          <w:rFonts w:asciiTheme="majorHAnsi" w:hAnsiTheme="majorHAnsi"/>
          <w:spacing w:val="16"/>
          <w:sz w:val="20"/>
          <w:szCs w:val="20"/>
        </w:rPr>
        <w:t xml:space="preserve"> </w:t>
      </w:r>
      <w:r w:rsidRPr="000977F7">
        <w:rPr>
          <w:rFonts w:asciiTheme="majorHAnsi" w:hAnsiTheme="majorHAnsi"/>
          <w:sz w:val="20"/>
          <w:szCs w:val="20"/>
        </w:rPr>
        <w:t>такі</w:t>
      </w:r>
      <w:r w:rsidRPr="000977F7">
        <w:rPr>
          <w:rFonts w:asciiTheme="majorHAnsi" w:hAnsiTheme="majorHAnsi"/>
          <w:spacing w:val="15"/>
          <w:sz w:val="20"/>
          <w:szCs w:val="20"/>
        </w:rPr>
        <w:t xml:space="preserve"> </w:t>
      </w:r>
      <w:r w:rsidRPr="000977F7">
        <w:rPr>
          <w:rFonts w:asciiTheme="majorHAnsi" w:hAnsiTheme="majorHAnsi"/>
          <w:sz w:val="20"/>
          <w:szCs w:val="20"/>
        </w:rPr>
        <w:t>стандарти</w:t>
      </w:r>
      <w:r w:rsidRPr="000977F7">
        <w:rPr>
          <w:rFonts w:asciiTheme="majorHAnsi" w:hAnsiTheme="majorHAnsi"/>
          <w:spacing w:val="14"/>
          <w:sz w:val="20"/>
          <w:szCs w:val="20"/>
        </w:rPr>
        <w:t xml:space="preserve"> </w:t>
      </w:r>
      <w:r w:rsidRPr="000977F7">
        <w:rPr>
          <w:rFonts w:asciiTheme="majorHAnsi" w:hAnsiTheme="majorHAnsi"/>
          <w:sz w:val="20"/>
          <w:szCs w:val="20"/>
        </w:rPr>
        <w:t>є</w:t>
      </w:r>
      <w:r w:rsidRPr="000977F7">
        <w:rPr>
          <w:rFonts w:asciiTheme="majorHAnsi" w:hAnsiTheme="majorHAnsi"/>
          <w:spacing w:val="16"/>
          <w:sz w:val="20"/>
          <w:szCs w:val="20"/>
        </w:rPr>
        <w:t xml:space="preserve"> </w:t>
      </w:r>
      <w:r w:rsidRPr="000977F7">
        <w:rPr>
          <w:rFonts w:asciiTheme="majorHAnsi" w:hAnsiTheme="majorHAnsi"/>
          <w:sz w:val="20"/>
          <w:szCs w:val="20"/>
        </w:rPr>
        <w:t>точними</w:t>
      </w:r>
      <w:r w:rsidRPr="000977F7">
        <w:rPr>
          <w:rFonts w:asciiTheme="majorHAnsi" w:hAnsiTheme="majorHAnsi"/>
          <w:spacing w:val="17"/>
          <w:sz w:val="20"/>
          <w:szCs w:val="20"/>
        </w:rPr>
        <w:t xml:space="preserve"> </w:t>
      </w:r>
      <w:r w:rsidRPr="000977F7">
        <w:rPr>
          <w:rFonts w:asciiTheme="majorHAnsi" w:hAnsiTheme="majorHAnsi"/>
          <w:sz w:val="20"/>
          <w:szCs w:val="20"/>
        </w:rPr>
        <w:t>перекладами</w:t>
      </w:r>
    </w:p>
    <w:p w14:paraId="54320E2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ІМІТАЦІЙНА</w:t>
      </w:r>
      <w:r w:rsidRPr="000977F7">
        <w:rPr>
          <w:color w:val="auto"/>
          <w:spacing w:val="-4"/>
          <w:sz w:val="20"/>
          <w:szCs w:val="20"/>
        </w:rPr>
        <w:t xml:space="preserve"> </w:t>
      </w:r>
      <w:r w:rsidRPr="000977F7">
        <w:rPr>
          <w:color w:val="auto"/>
          <w:sz w:val="20"/>
          <w:szCs w:val="20"/>
        </w:rPr>
        <w:t>МОДЕЛЬ -</w:t>
      </w:r>
    </w:p>
    <w:p w14:paraId="1F56289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IMITATION</w:t>
      </w:r>
      <w:r w:rsidRPr="000977F7">
        <w:rPr>
          <w:rFonts w:asciiTheme="majorHAnsi" w:hAnsiTheme="majorHAnsi"/>
          <w:spacing w:val="-2"/>
          <w:sz w:val="20"/>
          <w:szCs w:val="20"/>
        </w:rPr>
        <w:t xml:space="preserve"> </w:t>
      </w:r>
      <w:r w:rsidRPr="000977F7">
        <w:rPr>
          <w:rFonts w:asciiTheme="majorHAnsi" w:hAnsiTheme="majorHAnsi"/>
          <w:sz w:val="20"/>
          <w:szCs w:val="20"/>
        </w:rPr>
        <w:t>MODEL -</w:t>
      </w:r>
    </w:p>
    <w:p w14:paraId="475FFF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 або процес, властивості якого в певному розумінні відповідають означеним властивостям модельованого об’єкта або</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p>
    <w:p w14:paraId="48E13D82"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3956 - 2000</w:t>
      </w:r>
    </w:p>
    <w:p w14:paraId="04018902" w14:textId="137DC258"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ІМІТА</w:t>
      </w:r>
      <w:r w:rsidR="000F35DA">
        <w:rPr>
          <w:rFonts w:asciiTheme="majorHAnsi" w:hAnsiTheme="majorHAnsi"/>
          <w:b/>
          <w:sz w:val="20"/>
          <w:szCs w:val="20"/>
          <w:lang w:val="uk-UA"/>
        </w:rPr>
        <w:t>Ц</w:t>
      </w:r>
      <w:r w:rsidRPr="000977F7">
        <w:rPr>
          <w:rFonts w:asciiTheme="majorHAnsi" w:hAnsiTheme="majorHAnsi"/>
          <w:b/>
          <w:sz w:val="20"/>
          <w:szCs w:val="20"/>
        </w:rPr>
        <w:t>ІЙНЕ</w:t>
      </w:r>
      <w:r w:rsidRPr="004D2D14">
        <w:rPr>
          <w:rFonts w:asciiTheme="majorHAnsi" w:hAnsiTheme="majorHAnsi"/>
          <w:b/>
          <w:sz w:val="20"/>
          <w:szCs w:val="20"/>
          <w:lang w:val="en-US"/>
        </w:rPr>
        <w:t xml:space="preserve"> </w:t>
      </w:r>
      <w:r w:rsidRPr="000977F7">
        <w:rPr>
          <w:rFonts w:asciiTheme="majorHAnsi" w:hAnsiTheme="majorHAnsi"/>
          <w:b/>
          <w:sz w:val="20"/>
          <w:szCs w:val="20"/>
        </w:rPr>
        <w:t>ДІЯННЯ</w:t>
      </w:r>
      <w:r w:rsidRPr="004D2D14">
        <w:rPr>
          <w:rFonts w:asciiTheme="majorHAnsi" w:hAnsiTheme="majorHAnsi"/>
          <w:b/>
          <w:sz w:val="20"/>
          <w:szCs w:val="20"/>
          <w:lang w:val="en-US"/>
        </w:rPr>
        <w:t xml:space="preserve"> -</w:t>
      </w:r>
    </w:p>
    <w:p w14:paraId="49F1D0F7"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IMITABLE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ACTION -</w:t>
      </w:r>
    </w:p>
    <w:p w14:paraId="5CEA794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Діяння , що , як передбачається , може привести до</w:t>
      </w:r>
      <w:r w:rsidRPr="000977F7">
        <w:rPr>
          <w:rFonts w:asciiTheme="majorHAnsi" w:hAnsiTheme="majorHAnsi"/>
          <w:spacing w:val="1"/>
          <w:sz w:val="20"/>
          <w:szCs w:val="20"/>
        </w:rPr>
        <w:t xml:space="preserve"> </w:t>
      </w:r>
      <w:r w:rsidRPr="000977F7">
        <w:rPr>
          <w:rFonts w:asciiTheme="majorHAnsi" w:hAnsiTheme="majorHAnsi"/>
          <w:sz w:val="20"/>
          <w:szCs w:val="20"/>
        </w:rPr>
        <w:t>такого</w:t>
      </w:r>
      <w:r w:rsidRPr="000977F7">
        <w:rPr>
          <w:rFonts w:asciiTheme="majorHAnsi" w:hAnsiTheme="majorHAnsi"/>
          <w:spacing w:val="1"/>
          <w:sz w:val="20"/>
          <w:szCs w:val="20"/>
        </w:rPr>
        <w:t xml:space="preserve"> </w:t>
      </w:r>
      <w:r w:rsidRPr="000977F7">
        <w:rPr>
          <w:rFonts w:asciiTheme="majorHAnsi" w:hAnsiTheme="majorHAnsi"/>
          <w:sz w:val="20"/>
          <w:szCs w:val="20"/>
        </w:rPr>
        <w:t>ж</w:t>
      </w:r>
      <w:r w:rsidRPr="000977F7">
        <w:rPr>
          <w:rFonts w:asciiTheme="majorHAnsi" w:hAnsiTheme="majorHAnsi"/>
          <w:spacing w:val="1"/>
          <w:sz w:val="20"/>
          <w:szCs w:val="20"/>
        </w:rPr>
        <w:t xml:space="preserve"> </w:t>
      </w:r>
      <w:r w:rsidRPr="000977F7">
        <w:rPr>
          <w:rFonts w:asciiTheme="majorHAnsi" w:hAnsiTheme="majorHAnsi"/>
          <w:sz w:val="20"/>
          <w:szCs w:val="20"/>
        </w:rPr>
        <w:t>змінювання</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властивостей</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стану</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й</w:t>
      </w:r>
      <w:r w:rsidRPr="000977F7">
        <w:rPr>
          <w:rFonts w:asciiTheme="majorHAnsi" w:hAnsiTheme="majorHAnsi"/>
          <w:spacing w:val="-2"/>
          <w:sz w:val="20"/>
          <w:szCs w:val="20"/>
        </w:rPr>
        <w:t xml:space="preserve"> </w:t>
      </w:r>
      <w:r w:rsidRPr="000977F7">
        <w:rPr>
          <w:rFonts w:asciiTheme="majorHAnsi" w:hAnsiTheme="majorHAnsi"/>
          <w:sz w:val="20"/>
          <w:szCs w:val="20"/>
        </w:rPr>
        <w:t>імітоване</w:t>
      </w:r>
      <w:r w:rsidRPr="000977F7">
        <w:rPr>
          <w:rFonts w:asciiTheme="majorHAnsi" w:hAnsiTheme="majorHAnsi"/>
          <w:spacing w:val="2"/>
          <w:sz w:val="20"/>
          <w:szCs w:val="20"/>
        </w:rPr>
        <w:t xml:space="preserve"> </w:t>
      </w:r>
      <w:r w:rsidRPr="000977F7">
        <w:rPr>
          <w:rFonts w:asciiTheme="majorHAnsi" w:hAnsiTheme="majorHAnsi"/>
          <w:sz w:val="20"/>
          <w:szCs w:val="20"/>
        </w:rPr>
        <w:t>ним</w:t>
      </w:r>
      <w:r w:rsidRPr="000977F7">
        <w:rPr>
          <w:rFonts w:asciiTheme="majorHAnsi" w:hAnsiTheme="majorHAnsi"/>
          <w:spacing w:val="3"/>
          <w:sz w:val="20"/>
          <w:szCs w:val="20"/>
        </w:rPr>
        <w:t xml:space="preserve"> </w:t>
      </w:r>
      <w:r w:rsidRPr="000977F7">
        <w:rPr>
          <w:rFonts w:asciiTheme="majorHAnsi" w:hAnsiTheme="majorHAnsi"/>
          <w:sz w:val="20"/>
          <w:szCs w:val="20"/>
        </w:rPr>
        <w:t>діяння.</w:t>
      </w:r>
    </w:p>
    <w:p w14:paraId="2A3AB78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299FE57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ІМОВІРНІСТЬ</w:t>
      </w:r>
      <w:r w:rsidRPr="000977F7">
        <w:rPr>
          <w:color w:val="auto"/>
          <w:spacing w:val="-8"/>
          <w:sz w:val="20"/>
          <w:szCs w:val="20"/>
        </w:rPr>
        <w:t xml:space="preserve"> </w:t>
      </w:r>
      <w:r w:rsidRPr="000977F7">
        <w:rPr>
          <w:color w:val="auto"/>
          <w:sz w:val="20"/>
          <w:szCs w:val="20"/>
        </w:rPr>
        <w:t>БЕЗВІДМОВНОЇ</w:t>
      </w:r>
      <w:r w:rsidRPr="000977F7">
        <w:rPr>
          <w:color w:val="auto"/>
          <w:spacing w:val="-9"/>
          <w:sz w:val="20"/>
          <w:szCs w:val="20"/>
        </w:rPr>
        <w:t xml:space="preserve"> </w:t>
      </w:r>
      <w:r w:rsidRPr="000977F7">
        <w:rPr>
          <w:color w:val="auto"/>
          <w:sz w:val="20"/>
          <w:szCs w:val="20"/>
        </w:rPr>
        <w:t>РОБОТИ</w:t>
      </w:r>
      <w:r w:rsidRPr="000977F7">
        <w:rPr>
          <w:color w:val="auto"/>
          <w:spacing w:val="-47"/>
          <w:sz w:val="20"/>
          <w:szCs w:val="20"/>
        </w:rPr>
        <w:t xml:space="preserve"> </w:t>
      </w:r>
      <w:r w:rsidRPr="000977F7">
        <w:rPr>
          <w:color w:val="auto"/>
          <w:sz w:val="20"/>
          <w:szCs w:val="20"/>
        </w:rPr>
        <w:t>R(t</w:t>
      </w:r>
      <w:r w:rsidRPr="000977F7">
        <w:rPr>
          <w:color w:val="auto"/>
          <w:sz w:val="20"/>
          <w:szCs w:val="20"/>
          <w:vertAlign w:val="subscript"/>
        </w:rPr>
        <w:t>1</w:t>
      </w:r>
      <w:r w:rsidRPr="000977F7">
        <w:rPr>
          <w:color w:val="auto"/>
          <w:spacing w:val="-1"/>
          <w:sz w:val="20"/>
          <w:szCs w:val="20"/>
        </w:rPr>
        <w:t xml:space="preserve"> </w:t>
      </w:r>
      <w:r w:rsidRPr="000977F7">
        <w:rPr>
          <w:color w:val="auto"/>
          <w:sz w:val="20"/>
          <w:szCs w:val="20"/>
        </w:rPr>
        <w:t>t</w:t>
      </w:r>
      <w:r w:rsidRPr="000977F7">
        <w:rPr>
          <w:color w:val="auto"/>
          <w:sz w:val="20"/>
          <w:szCs w:val="20"/>
          <w:vertAlign w:val="subscript"/>
        </w:rPr>
        <w:t>2</w:t>
      </w:r>
      <w:r w:rsidRPr="000977F7">
        <w:rPr>
          <w:color w:val="auto"/>
          <w:sz w:val="20"/>
          <w:szCs w:val="20"/>
        </w:rPr>
        <w:t>)</w:t>
      </w:r>
      <w:r w:rsidRPr="000977F7">
        <w:rPr>
          <w:color w:val="auto"/>
          <w:spacing w:val="1"/>
          <w:sz w:val="20"/>
          <w:szCs w:val="20"/>
        </w:rPr>
        <w:t xml:space="preserve"> </w:t>
      </w:r>
      <w:r w:rsidRPr="000977F7">
        <w:rPr>
          <w:color w:val="auto"/>
          <w:sz w:val="20"/>
          <w:szCs w:val="20"/>
        </w:rPr>
        <w:t>–</w:t>
      </w:r>
    </w:p>
    <w:p w14:paraId="76324F1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RELIABILITY</w:t>
      </w:r>
      <w:r w:rsidRPr="004D2D14">
        <w:rPr>
          <w:rFonts w:asciiTheme="majorHAnsi" w:hAnsiTheme="majorHAnsi"/>
          <w:spacing w:val="-3"/>
          <w:sz w:val="20"/>
          <w:szCs w:val="20"/>
          <w:lang w:val="uk-UA"/>
        </w:rPr>
        <w:t xml:space="preserve"> </w:t>
      </w:r>
      <w:r w:rsidRPr="000977F7">
        <w:rPr>
          <w:rFonts w:asciiTheme="majorHAnsi" w:hAnsiTheme="majorHAnsi"/>
          <w:sz w:val="20"/>
          <w:szCs w:val="20"/>
        </w:rPr>
        <w:t>FUNCTION</w:t>
      </w:r>
      <w:r w:rsidRPr="004D2D14">
        <w:rPr>
          <w:rFonts w:asciiTheme="majorHAnsi" w:hAnsiTheme="majorHAnsi"/>
          <w:sz w:val="20"/>
          <w:szCs w:val="20"/>
          <w:lang w:val="uk-UA"/>
        </w:rPr>
        <w:t>;</w:t>
      </w:r>
      <w:r w:rsidRPr="004D2D14">
        <w:rPr>
          <w:rFonts w:asciiTheme="majorHAnsi" w:hAnsiTheme="majorHAnsi"/>
          <w:spacing w:val="-2"/>
          <w:sz w:val="20"/>
          <w:szCs w:val="20"/>
          <w:lang w:val="uk-UA"/>
        </w:rPr>
        <w:t xml:space="preserve"> </w:t>
      </w:r>
      <w:r w:rsidRPr="000977F7">
        <w:rPr>
          <w:rFonts w:asciiTheme="majorHAnsi" w:hAnsiTheme="majorHAnsi"/>
          <w:sz w:val="20"/>
          <w:szCs w:val="20"/>
        </w:rPr>
        <w:t>SURVIVAL</w:t>
      </w:r>
      <w:r w:rsidRPr="004D2D14">
        <w:rPr>
          <w:rFonts w:asciiTheme="majorHAnsi" w:hAnsiTheme="majorHAnsi"/>
          <w:spacing w:val="-2"/>
          <w:sz w:val="20"/>
          <w:szCs w:val="20"/>
          <w:lang w:val="uk-UA"/>
        </w:rPr>
        <w:t xml:space="preserve"> </w:t>
      </w:r>
      <w:r w:rsidRPr="000977F7">
        <w:rPr>
          <w:rFonts w:asciiTheme="majorHAnsi" w:hAnsiTheme="majorHAnsi"/>
          <w:sz w:val="20"/>
          <w:szCs w:val="20"/>
        </w:rPr>
        <w:t>FUNCTION</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0310BE7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Імовірність</w:t>
      </w:r>
      <w:r w:rsidRPr="004D2D14">
        <w:rPr>
          <w:rFonts w:asciiTheme="majorHAnsi" w:hAnsiTheme="majorHAnsi"/>
          <w:spacing w:val="26"/>
          <w:sz w:val="20"/>
          <w:szCs w:val="20"/>
          <w:lang w:val="uk-UA"/>
        </w:rPr>
        <w:t xml:space="preserve"> </w:t>
      </w:r>
      <w:r w:rsidRPr="004D2D14">
        <w:rPr>
          <w:rFonts w:asciiTheme="majorHAnsi" w:hAnsiTheme="majorHAnsi"/>
          <w:sz w:val="20"/>
          <w:szCs w:val="20"/>
          <w:lang w:val="uk-UA"/>
        </w:rPr>
        <w:t>того,</w:t>
      </w:r>
      <w:r w:rsidRPr="004D2D14">
        <w:rPr>
          <w:rFonts w:asciiTheme="majorHAnsi" w:hAnsiTheme="majorHAnsi"/>
          <w:spacing w:val="26"/>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30"/>
          <w:sz w:val="20"/>
          <w:szCs w:val="20"/>
          <w:lang w:val="uk-UA"/>
        </w:rPr>
        <w:t xml:space="preserve"> </w:t>
      </w:r>
      <w:r w:rsidRPr="004D2D14">
        <w:rPr>
          <w:rFonts w:asciiTheme="majorHAnsi" w:hAnsiTheme="majorHAnsi"/>
          <w:sz w:val="20"/>
          <w:szCs w:val="20"/>
          <w:lang w:val="uk-UA"/>
        </w:rPr>
        <w:t>протягом</w:t>
      </w:r>
      <w:r w:rsidRPr="004D2D14">
        <w:rPr>
          <w:rFonts w:asciiTheme="majorHAnsi" w:hAnsiTheme="majorHAnsi"/>
          <w:spacing w:val="27"/>
          <w:sz w:val="20"/>
          <w:szCs w:val="20"/>
          <w:lang w:val="uk-UA"/>
        </w:rPr>
        <w:t xml:space="preserve"> </w:t>
      </w:r>
      <w:r w:rsidRPr="004D2D14">
        <w:rPr>
          <w:rFonts w:asciiTheme="majorHAnsi" w:hAnsiTheme="majorHAnsi"/>
          <w:sz w:val="20"/>
          <w:szCs w:val="20"/>
          <w:lang w:val="uk-UA"/>
        </w:rPr>
        <w:t>заданого</w:t>
      </w:r>
      <w:r w:rsidRPr="004D2D14">
        <w:rPr>
          <w:rFonts w:asciiTheme="majorHAnsi" w:hAnsiTheme="majorHAnsi"/>
          <w:spacing w:val="29"/>
          <w:sz w:val="20"/>
          <w:szCs w:val="20"/>
          <w:lang w:val="uk-UA"/>
        </w:rPr>
        <w:t xml:space="preserve"> </w:t>
      </w:r>
      <w:r w:rsidRPr="004D2D14">
        <w:rPr>
          <w:rFonts w:asciiTheme="majorHAnsi" w:hAnsiTheme="majorHAnsi"/>
          <w:sz w:val="20"/>
          <w:szCs w:val="20"/>
          <w:lang w:val="uk-UA"/>
        </w:rPr>
        <w:t>наробітку</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відмова</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об’єкта не</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виникне</w:t>
      </w:r>
    </w:p>
    <w:p w14:paraId="346762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D405378"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Звичайно</w:t>
      </w:r>
      <w:r w:rsidRPr="000977F7">
        <w:rPr>
          <w:rFonts w:asciiTheme="majorHAnsi" w:hAnsiTheme="majorHAnsi"/>
          <w:spacing w:val="12"/>
          <w:sz w:val="20"/>
          <w:szCs w:val="20"/>
        </w:rPr>
        <w:t xml:space="preserve"> </w:t>
      </w:r>
      <w:r w:rsidRPr="000977F7">
        <w:rPr>
          <w:rFonts w:asciiTheme="majorHAnsi" w:hAnsiTheme="majorHAnsi"/>
          <w:sz w:val="20"/>
          <w:szCs w:val="20"/>
        </w:rPr>
        <w:t>вважають,</w:t>
      </w:r>
      <w:r w:rsidRPr="000977F7">
        <w:rPr>
          <w:rFonts w:asciiTheme="majorHAnsi" w:hAnsiTheme="majorHAnsi"/>
          <w:spacing w:val="11"/>
          <w:sz w:val="20"/>
          <w:szCs w:val="20"/>
        </w:rPr>
        <w:t xml:space="preserve"> </w:t>
      </w:r>
      <w:r w:rsidRPr="000977F7">
        <w:rPr>
          <w:rFonts w:asciiTheme="majorHAnsi" w:hAnsiTheme="majorHAnsi"/>
          <w:sz w:val="20"/>
          <w:szCs w:val="20"/>
        </w:rPr>
        <w:t>що</w:t>
      </w:r>
      <w:r w:rsidRPr="000977F7">
        <w:rPr>
          <w:rFonts w:asciiTheme="majorHAnsi" w:hAnsiTheme="majorHAnsi"/>
          <w:spacing w:val="16"/>
          <w:sz w:val="20"/>
          <w:szCs w:val="20"/>
        </w:rPr>
        <w:t xml:space="preserve"> </w:t>
      </w:r>
      <w:r w:rsidRPr="000977F7">
        <w:rPr>
          <w:rFonts w:asciiTheme="majorHAnsi" w:hAnsiTheme="majorHAnsi"/>
          <w:sz w:val="20"/>
          <w:szCs w:val="20"/>
        </w:rPr>
        <w:t>на</w:t>
      </w:r>
      <w:r w:rsidRPr="000977F7">
        <w:rPr>
          <w:rFonts w:asciiTheme="majorHAnsi" w:hAnsiTheme="majorHAnsi"/>
          <w:spacing w:val="14"/>
          <w:sz w:val="20"/>
          <w:szCs w:val="20"/>
        </w:rPr>
        <w:t xml:space="preserve"> </w:t>
      </w:r>
      <w:r w:rsidRPr="000977F7">
        <w:rPr>
          <w:rFonts w:asciiTheme="majorHAnsi" w:hAnsiTheme="majorHAnsi"/>
          <w:sz w:val="20"/>
          <w:szCs w:val="20"/>
        </w:rPr>
        <w:t>початку</w:t>
      </w:r>
      <w:r w:rsidRPr="000977F7">
        <w:rPr>
          <w:rFonts w:asciiTheme="majorHAnsi" w:hAnsiTheme="majorHAnsi"/>
          <w:spacing w:val="10"/>
          <w:sz w:val="20"/>
          <w:szCs w:val="20"/>
        </w:rPr>
        <w:t xml:space="preserve"> </w:t>
      </w:r>
      <w:r w:rsidRPr="000977F7">
        <w:rPr>
          <w:rFonts w:asciiTheme="majorHAnsi" w:hAnsiTheme="majorHAnsi"/>
          <w:sz w:val="20"/>
          <w:szCs w:val="20"/>
        </w:rPr>
        <w:t>інтервалу</w:t>
      </w:r>
      <w:r w:rsidRPr="000977F7">
        <w:rPr>
          <w:rFonts w:asciiTheme="majorHAnsi" w:hAnsiTheme="majorHAnsi"/>
          <w:spacing w:val="8"/>
          <w:sz w:val="20"/>
          <w:szCs w:val="20"/>
        </w:rPr>
        <w:t xml:space="preserve"> </w:t>
      </w:r>
      <w:r w:rsidRPr="000977F7">
        <w:rPr>
          <w:rFonts w:asciiTheme="majorHAnsi" w:hAnsiTheme="majorHAnsi"/>
          <w:sz w:val="20"/>
          <w:szCs w:val="20"/>
        </w:rPr>
        <w:t>часу</w:t>
      </w:r>
      <w:r w:rsidRPr="000977F7">
        <w:rPr>
          <w:rFonts w:asciiTheme="majorHAnsi" w:hAnsiTheme="majorHAnsi"/>
          <w:spacing w:val="10"/>
          <w:sz w:val="20"/>
          <w:szCs w:val="20"/>
        </w:rPr>
        <w:t xml:space="preserve"> </w:t>
      </w:r>
      <w:r w:rsidRPr="000977F7">
        <w:rPr>
          <w:rFonts w:asciiTheme="majorHAnsi" w:hAnsiTheme="majorHAnsi"/>
          <w:sz w:val="20"/>
          <w:szCs w:val="20"/>
        </w:rPr>
        <w:t>чи</w:t>
      </w:r>
      <w:r w:rsidRPr="000977F7">
        <w:rPr>
          <w:rFonts w:asciiTheme="majorHAnsi" w:hAnsiTheme="majorHAnsi"/>
          <w:spacing w:val="-47"/>
          <w:sz w:val="20"/>
          <w:szCs w:val="20"/>
        </w:rPr>
        <w:t xml:space="preserve"> </w:t>
      </w:r>
      <w:r w:rsidRPr="000977F7">
        <w:rPr>
          <w:rFonts w:asciiTheme="majorHAnsi" w:hAnsiTheme="majorHAnsi"/>
          <w:sz w:val="20"/>
          <w:szCs w:val="20"/>
        </w:rPr>
        <w:t>наробітку об’єкт у змозі виконувати потрібні функції</w:t>
      </w:r>
      <w:r w:rsidRPr="000977F7">
        <w:rPr>
          <w:rFonts w:asciiTheme="majorHAnsi" w:hAnsiTheme="majorHAns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7CF194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Імовірність того, що в межах заданого наробітку (на</w:t>
      </w:r>
      <w:r w:rsidRPr="000977F7">
        <w:rPr>
          <w:rFonts w:asciiTheme="majorHAnsi" w:hAnsiTheme="majorHAnsi"/>
          <w:spacing w:val="1"/>
          <w:sz w:val="20"/>
          <w:szCs w:val="20"/>
        </w:rPr>
        <w:t xml:space="preserve"> </w:t>
      </w:r>
      <w:r w:rsidRPr="000977F7">
        <w:rPr>
          <w:rFonts w:asciiTheme="majorHAnsi" w:hAnsiTheme="majorHAnsi"/>
          <w:sz w:val="20"/>
          <w:szCs w:val="20"/>
        </w:rPr>
        <w:t>інтервалі</w:t>
      </w:r>
      <w:r w:rsidRPr="000977F7">
        <w:rPr>
          <w:rFonts w:asciiTheme="majorHAnsi" w:hAnsiTheme="majorHAnsi"/>
          <w:spacing w:val="-2"/>
          <w:sz w:val="20"/>
          <w:szCs w:val="20"/>
        </w:rPr>
        <w:t xml:space="preserve"> </w:t>
      </w:r>
      <w:r w:rsidRPr="000977F7">
        <w:rPr>
          <w:rFonts w:asciiTheme="majorHAnsi" w:hAnsiTheme="majorHAnsi"/>
          <w:sz w:val="20"/>
          <w:szCs w:val="20"/>
        </w:rPr>
        <w:t>часу</w:t>
      </w:r>
      <w:r w:rsidRPr="000977F7">
        <w:rPr>
          <w:rFonts w:asciiTheme="majorHAnsi" w:hAnsiTheme="majorHAnsi"/>
          <w:spacing w:val="-5"/>
          <w:sz w:val="20"/>
          <w:szCs w:val="20"/>
        </w:rPr>
        <w:t xml:space="preserve"> </w:t>
      </w:r>
      <w:r w:rsidRPr="000977F7">
        <w:rPr>
          <w:rFonts w:asciiTheme="majorHAnsi" w:hAnsiTheme="majorHAnsi"/>
          <w:sz w:val="20"/>
          <w:szCs w:val="20"/>
        </w:rPr>
        <w:t>0,t)</w:t>
      </w:r>
      <w:r w:rsidRPr="000977F7">
        <w:rPr>
          <w:rFonts w:asciiTheme="majorHAnsi" w:hAnsiTheme="majorHAnsi"/>
          <w:spacing w:val="-1"/>
          <w:sz w:val="20"/>
          <w:szCs w:val="20"/>
        </w:rPr>
        <w:t xml:space="preserve"> </w:t>
      </w:r>
      <w:r w:rsidRPr="000977F7">
        <w:rPr>
          <w:rFonts w:asciiTheme="majorHAnsi" w:hAnsiTheme="majorHAnsi"/>
          <w:sz w:val="20"/>
          <w:szCs w:val="20"/>
        </w:rPr>
        <w:t>відмова</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5"/>
          <w:sz w:val="20"/>
          <w:szCs w:val="20"/>
        </w:rPr>
        <w:t xml:space="preserve"> </w:t>
      </w:r>
      <w:r w:rsidRPr="000977F7">
        <w:rPr>
          <w:rFonts w:asciiTheme="majorHAnsi" w:hAnsiTheme="majorHAnsi"/>
          <w:sz w:val="20"/>
          <w:szCs w:val="20"/>
        </w:rPr>
        <w:t>не</w:t>
      </w:r>
      <w:r w:rsidRPr="000977F7">
        <w:rPr>
          <w:rFonts w:asciiTheme="majorHAnsi" w:hAnsiTheme="majorHAnsi"/>
          <w:spacing w:val="2"/>
          <w:sz w:val="20"/>
          <w:szCs w:val="20"/>
        </w:rPr>
        <w:t xml:space="preserve"> </w:t>
      </w:r>
      <w:r w:rsidRPr="000977F7">
        <w:rPr>
          <w:rFonts w:asciiTheme="majorHAnsi" w:hAnsiTheme="majorHAnsi"/>
          <w:sz w:val="20"/>
          <w:szCs w:val="20"/>
        </w:rPr>
        <w:t>виникне</w:t>
      </w:r>
    </w:p>
    <w:p w14:paraId="4F09AE3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2634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16CF2E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b w:val="0"/>
          <w:color w:val="auto"/>
          <w:sz w:val="20"/>
          <w:szCs w:val="20"/>
        </w:rPr>
        <w:t>І</w:t>
      </w:r>
      <w:r w:rsidRPr="000977F7">
        <w:rPr>
          <w:color w:val="auto"/>
          <w:sz w:val="20"/>
          <w:szCs w:val="20"/>
        </w:rPr>
        <w:t xml:space="preserve">МОВІРНІСТЬ БЕЗВІДМОВНОЇ РОБОТИ </w:t>
      </w:r>
    </w:p>
    <w:p w14:paraId="0BB07FD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w:t>
      </w:r>
      <w:r w:rsidRPr="000977F7">
        <w:rPr>
          <w:color w:val="auto"/>
          <w:spacing w:val="-47"/>
          <w:sz w:val="20"/>
          <w:szCs w:val="20"/>
        </w:rPr>
        <w:t xml:space="preserve"> </w:t>
      </w:r>
      <w:r w:rsidRPr="000977F7">
        <w:rPr>
          <w:color w:val="auto"/>
          <w:sz w:val="20"/>
          <w:szCs w:val="20"/>
        </w:rPr>
        <w:t>НОЛОГІЧНОЇ СИСТЕМИ ЗА ПАРАМЕТРАМИ</w:t>
      </w:r>
      <w:r w:rsidRPr="000977F7">
        <w:rPr>
          <w:color w:val="auto"/>
          <w:spacing w:val="-47"/>
          <w:sz w:val="20"/>
          <w:szCs w:val="20"/>
        </w:rPr>
        <w:t xml:space="preserve">    </w:t>
      </w:r>
      <w:r w:rsidRPr="000977F7">
        <w:rPr>
          <w:color w:val="auto"/>
          <w:sz w:val="20"/>
          <w:szCs w:val="20"/>
        </w:rPr>
        <w:t>ПРОДУКЦІЇ (ПАРАМЕТРАМИ ПРОДУКТИВНОСТІ,</w:t>
      </w:r>
      <w:r w:rsidRPr="000977F7">
        <w:rPr>
          <w:color w:val="auto"/>
          <w:spacing w:val="-1"/>
          <w:sz w:val="20"/>
          <w:szCs w:val="20"/>
        </w:rPr>
        <w:t xml:space="preserve"> </w:t>
      </w:r>
      <w:r w:rsidRPr="000977F7">
        <w:rPr>
          <w:color w:val="auto"/>
          <w:sz w:val="20"/>
          <w:szCs w:val="20"/>
        </w:rPr>
        <w:t>ВИТРАТ)</w:t>
      </w:r>
      <w:r w:rsidRPr="000977F7">
        <w:rPr>
          <w:color w:val="auto"/>
          <w:spacing w:val="2"/>
          <w:sz w:val="20"/>
          <w:szCs w:val="20"/>
        </w:rPr>
        <w:t xml:space="preserve"> </w:t>
      </w:r>
      <w:r w:rsidRPr="000977F7">
        <w:rPr>
          <w:color w:val="auto"/>
          <w:sz w:val="20"/>
          <w:szCs w:val="20"/>
        </w:rPr>
        <w:t>–</w:t>
      </w:r>
    </w:p>
    <w:p w14:paraId="0D24F36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PROBABILITY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NOFAILURE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OPERATION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TECHNOLOGICAL</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SYSTEM</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R</w:t>
      </w:r>
      <w:r w:rsidRPr="000977F7">
        <w:rPr>
          <w:rFonts w:asciiTheme="majorHAnsi" w:hAnsiTheme="majorHAnsi"/>
          <w:sz w:val="20"/>
          <w:szCs w:val="20"/>
        </w:rPr>
        <w:t>Е</w:t>
      </w:r>
      <w:r w:rsidRPr="004D2D14">
        <w:rPr>
          <w:rFonts w:asciiTheme="majorHAnsi" w:hAnsiTheme="majorHAnsi"/>
          <w:sz w:val="20"/>
          <w:szCs w:val="20"/>
          <w:lang w:val="en-US"/>
        </w:rPr>
        <w:t>LATED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PRODUCTS</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PARAMETRES</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(OUT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PUT,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COST)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5D99CAB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Імовірність того, що в межах заданого наробітку не</w:t>
      </w:r>
      <w:r w:rsidRPr="000977F7">
        <w:rPr>
          <w:rFonts w:asciiTheme="majorHAnsi" w:hAnsiTheme="majorHAnsi"/>
          <w:spacing w:val="1"/>
          <w:sz w:val="20"/>
          <w:szCs w:val="20"/>
        </w:rPr>
        <w:t xml:space="preserve"> </w:t>
      </w:r>
      <w:r w:rsidRPr="000977F7">
        <w:rPr>
          <w:rFonts w:asciiTheme="majorHAnsi" w:hAnsiTheme="majorHAnsi"/>
          <w:sz w:val="20"/>
          <w:szCs w:val="20"/>
        </w:rPr>
        <w:t>станеться відмови технологічної системи за параметрами виготовлюваної продукції (параметрами продуктивності,</w:t>
      </w:r>
      <w:r w:rsidRPr="000977F7">
        <w:rPr>
          <w:rFonts w:asciiTheme="majorHAnsi" w:hAnsiTheme="majorHAnsi"/>
          <w:spacing w:val="-1"/>
          <w:sz w:val="20"/>
          <w:szCs w:val="20"/>
        </w:rPr>
        <w:t xml:space="preserve"> </w:t>
      </w:r>
      <w:r w:rsidRPr="000977F7">
        <w:rPr>
          <w:rFonts w:asciiTheme="majorHAnsi" w:hAnsiTheme="majorHAnsi"/>
          <w:sz w:val="20"/>
          <w:szCs w:val="20"/>
        </w:rPr>
        <w:t>витратами)</w:t>
      </w:r>
    </w:p>
    <w:p w14:paraId="7003DA8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48"/>
          <w:sz w:val="20"/>
          <w:szCs w:val="20"/>
        </w:rPr>
        <w:t xml:space="preserve"> </w:t>
      </w:r>
      <w:r w:rsidRPr="000977F7">
        <w:rPr>
          <w:rFonts w:asciiTheme="majorHAnsi" w:hAnsiTheme="majorHAnsi"/>
          <w:i/>
          <w:sz w:val="20"/>
          <w:szCs w:val="20"/>
        </w:rPr>
        <w:t>2470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5EE432E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ІМОВІРНІСТЬ ВИКОНАННЯ </w:t>
      </w:r>
    </w:p>
    <w:p w14:paraId="7381C67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ПОЗАПЛАНОВО</w:t>
      </w:r>
      <w:r w:rsidRPr="000977F7">
        <w:rPr>
          <w:color w:val="auto"/>
          <w:spacing w:val="-47"/>
          <w:sz w:val="20"/>
          <w:szCs w:val="20"/>
        </w:rPr>
        <w:t xml:space="preserve"> </w:t>
      </w:r>
      <w:r w:rsidRPr="000977F7">
        <w:rPr>
          <w:color w:val="auto"/>
          <w:sz w:val="20"/>
          <w:szCs w:val="20"/>
        </w:rPr>
        <w:t>ГО</w:t>
      </w:r>
      <w:r w:rsidRPr="000977F7">
        <w:rPr>
          <w:color w:val="auto"/>
          <w:spacing w:val="-3"/>
          <w:sz w:val="20"/>
          <w:szCs w:val="20"/>
        </w:rPr>
        <w:t xml:space="preserve"> </w:t>
      </w:r>
      <w:r w:rsidRPr="000977F7">
        <w:rPr>
          <w:color w:val="auto"/>
          <w:sz w:val="20"/>
          <w:szCs w:val="20"/>
        </w:rPr>
        <w:t>КАПІТАЛЬНОГО</w:t>
      </w:r>
      <w:r w:rsidRPr="000977F7">
        <w:rPr>
          <w:color w:val="auto"/>
          <w:spacing w:val="-2"/>
          <w:sz w:val="20"/>
          <w:szCs w:val="20"/>
        </w:rPr>
        <w:t xml:space="preserve"> </w:t>
      </w:r>
      <w:r w:rsidRPr="000977F7">
        <w:rPr>
          <w:color w:val="auto"/>
          <w:sz w:val="20"/>
          <w:szCs w:val="20"/>
        </w:rPr>
        <w:t>РЕМОНТУ</w:t>
      </w:r>
      <w:r w:rsidRPr="000977F7">
        <w:rPr>
          <w:color w:val="auto"/>
          <w:spacing w:val="-4"/>
          <w:sz w:val="20"/>
          <w:szCs w:val="20"/>
        </w:rPr>
        <w:t xml:space="preserve"> </w:t>
      </w:r>
      <w:r w:rsidRPr="000977F7">
        <w:rPr>
          <w:color w:val="auto"/>
          <w:sz w:val="20"/>
          <w:szCs w:val="20"/>
        </w:rPr>
        <w:t>ПРОТЯГОМ</w:t>
      </w:r>
    </w:p>
    <w:p w14:paraId="54A7E1C7"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ЗАДАНОГО</w:t>
      </w:r>
      <w:r w:rsidRPr="000977F7">
        <w:rPr>
          <w:rFonts w:asciiTheme="majorHAnsi" w:hAnsiTheme="majorHAnsi"/>
          <w:b/>
          <w:spacing w:val="-2"/>
          <w:sz w:val="20"/>
          <w:szCs w:val="20"/>
        </w:rPr>
        <w:t xml:space="preserve"> </w:t>
      </w:r>
      <w:r w:rsidRPr="000977F7">
        <w:rPr>
          <w:rFonts w:asciiTheme="majorHAnsi" w:hAnsiTheme="majorHAnsi"/>
          <w:b/>
          <w:sz w:val="20"/>
          <w:szCs w:val="20"/>
        </w:rPr>
        <w:t>ЧАСУ</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478D769E"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Імовірність</w:t>
      </w:r>
      <w:r w:rsidRPr="000977F7">
        <w:rPr>
          <w:rFonts w:asciiTheme="majorHAnsi" w:hAnsiTheme="majorHAnsi"/>
          <w:spacing w:val="1"/>
          <w:sz w:val="20"/>
          <w:szCs w:val="20"/>
        </w:rPr>
        <w:t xml:space="preserve"> </w:t>
      </w:r>
      <w:r w:rsidRPr="000977F7">
        <w:rPr>
          <w:rFonts w:asciiTheme="majorHAnsi" w:hAnsiTheme="majorHAnsi"/>
          <w:sz w:val="20"/>
          <w:szCs w:val="20"/>
        </w:rPr>
        <w:t>того,</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позапланового</w:t>
      </w:r>
      <w:r w:rsidRPr="000977F7">
        <w:rPr>
          <w:rFonts w:asciiTheme="majorHAnsi" w:hAnsiTheme="majorHAnsi"/>
          <w:spacing w:val="1"/>
          <w:sz w:val="20"/>
          <w:szCs w:val="20"/>
        </w:rPr>
        <w:t xml:space="preserve"> </w:t>
      </w:r>
      <w:r w:rsidRPr="000977F7">
        <w:rPr>
          <w:rFonts w:asciiTheme="majorHAnsi" w:hAnsiTheme="majorHAnsi"/>
          <w:sz w:val="20"/>
          <w:szCs w:val="20"/>
        </w:rPr>
        <w:t>капітального ремонту об’єкта не перевищить заданого</w:t>
      </w:r>
      <w:r w:rsidRPr="000977F7">
        <w:rPr>
          <w:rFonts w:asciiTheme="majorHAnsi" w:hAnsiTheme="majorHAnsi"/>
          <w:spacing w:val="-47"/>
          <w:sz w:val="20"/>
          <w:szCs w:val="20"/>
        </w:rPr>
        <w:t xml:space="preserve"> </w:t>
      </w:r>
    </w:p>
    <w:p w14:paraId="190C77B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E5AA6E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 заданим часом розуміють задану оперативну тривалість</w:t>
      </w:r>
    </w:p>
    <w:p w14:paraId="46C13DC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ІМОВІРНІСТЬ ВИКОНАННЯ </w:t>
      </w:r>
    </w:p>
    <w:p w14:paraId="7E6B3FD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ПОЗАПЛАНОВО</w:t>
      </w:r>
      <w:r w:rsidRPr="000977F7">
        <w:rPr>
          <w:color w:val="auto"/>
          <w:spacing w:val="-47"/>
          <w:sz w:val="20"/>
          <w:szCs w:val="20"/>
        </w:rPr>
        <w:t xml:space="preserve"> </w:t>
      </w:r>
      <w:r w:rsidRPr="000977F7">
        <w:rPr>
          <w:color w:val="auto"/>
          <w:sz w:val="20"/>
          <w:szCs w:val="20"/>
        </w:rPr>
        <w:t>ГО ПОТОЧНОГО РЕМОНТУ ПРОТЯГОМ ЗАДАНОГО ЧАСУ</w:t>
      </w:r>
      <w:r w:rsidRPr="000977F7">
        <w:rPr>
          <w:color w:val="auto"/>
          <w:spacing w:val="1"/>
          <w:sz w:val="20"/>
          <w:szCs w:val="20"/>
        </w:rPr>
        <w:t xml:space="preserve"> </w:t>
      </w:r>
      <w:r w:rsidRPr="000977F7">
        <w:rPr>
          <w:color w:val="auto"/>
          <w:sz w:val="20"/>
          <w:szCs w:val="20"/>
        </w:rPr>
        <w:t>–</w:t>
      </w:r>
    </w:p>
    <w:p w14:paraId="737E4CA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Імовірність</w:t>
      </w:r>
      <w:r w:rsidRPr="000977F7">
        <w:rPr>
          <w:rFonts w:asciiTheme="majorHAnsi" w:hAnsiTheme="majorHAnsi"/>
          <w:spacing w:val="10"/>
          <w:sz w:val="20"/>
          <w:szCs w:val="20"/>
        </w:rPr>
        <w:t xml:space="preserve"> </w:t>
      </w:r>
      <w:r w:rsidRPr="000977F7">
        <w:rPr>
          <w:rFonts w:asciiTheme="majorHAnsi" w:hAnsiTheme="majorHAnsi"/>
          <w:sz w:val="20"/>
          <w:szCs w:val="20"/>
        </w:rPr>
        <w:t>того,</w:t>
      </w:r>
      <w:r w:rsidRPr="000977F7">
        <w:rPr>
          <w:rFonts w:asciiTheme="majorHAnsi" w:hAnsiTheme="majorHAnsi"/>
          <w:spacing w:val="11"/>
          <w:sz w:val="20"/>
          <w:szCs w:val="20"/>
        </w:rPr>
        <w:t xml:space="preserve"> </w:t>
      </w:r>
      <w:r w:rsidRPr="000977F7">
        <w:rPr>
          <w:rFonts w:asciiTheme="majorHAnsi" w:hAnsiTheme="majorHAnsi"/>
          <w:sz w:val="20"/>
          <w:szCs w:val="20"/>
        </w:rPr>
        <w:t>що</w:t>
      </w:r>
      <w:r w:rsidRPr="000977F7">
        <w:rPr>
          <w:rFonts w:asciiTheme="majorHAnsi" w:hAnsiTheme="majorHAnsi"/>
          <w:spacing w:val="12"/>
          <w:sz w:val="20"/>
          <w:szCs w:val="20"/>
        </w:rPr>
        <w:t xml:space="preserve"> </w:t>
      </w:r>
      <w:r w:rsidRPr="000977F7">
        <w:rPr>
          <w:rFonts w:asciiTheme="majorHAnsi" w:hAnsiTheme="majorHAnsi"/>
          <w:sz w:val="20"/>
          <w:szCs w:val="20"/>
        </w:rPr>
        <w:t>час</w:t>
      </w:r>
      <w:r w:rsidRPr="000977F7">
        <w:rPr>
          <w:rFonts w:asciiTheme="majorHAnsi" w:hAnsiTheme="majorHAnsi"/>
          <w:spacing w:val="10"/>
          <w:sz w:val="20"/>
          <w:szCs w:val="20"/>
        </w:rPr>
        <w:t xml:space="preserve"> </w:t>
      </w:r>
      <w:r w:rsidRPr="000977F7">
        <w:rPr>
          <w:rFonts w:asciiTheme="majorHAnsi" w:hAnsiTheme="majorHAnsi"/>
          <w:sz w:val="20"/>
          <w:szCs w:val="20"/>
        </w:rPr>
        <w:t>виконання</w:t>
      </w:r>
      <w:r w:rsidRPr="000977F7">
        <w:rPr>
          <w:rFonts w:asciiTheme="majorHAnsi" w:hAnsiTheme="majorHAnsi"/>
          <w:spacing w:val="11"/>
          <w:sz w:val="20"/>
          <w:szCs w:val="20"/>
        </w:rPr>
        <w:t xml:space="preserve"> </w:t>
      </w:r>
      <w:r w:rsidRPr="000977F7">
        <w:rPr>
          <w:rFonts w:asciiTheme="majorHAnsi" w:hAnsiTheme="majorHAnsi"/>
          <w:sz w:val="20"/>
          <w:szCs w:val="20"/>
        </w:rPr>
        <w:t>поточного</w:t>
      </w:r>
      <w:r w:rsidRPr="000977F7">
        <w:rPr>
          <w:rFonts w:asciiTheme="majorHAnsi" w:hAnsiTheme="majorHAnsi"/>
          <w:spacing w:val="11"/>
          <w:sz w:val="20"/>
          <w:szCs w:val="20"/>
        </w:rPr>
        <w:t xml:space="preserve"> </w:t>
      </w:r>
      <w:r w:rsidRPr="000977F7">
        <w:rPr>
          <w:rFonts w:asciiTheme="majorHAnsi" w:hAnsiTheme="majorHAnsi"/>
          <w:sz w:val="20"/>
          <w:szCs w:val="20"/>
        </w:rPr>
        <w:t>ремонту</w:t>
      </w:r>
      <w:r w:rsidRPr="000977F7">
        <w:rPr>
          <w:rFonts w:asciiTheme="majorHAnsi" w:hAnsiTheme="majorHAnsi"/>
          <w:spacing w:val="-5"/>
          <w:sz w:val="20"/>
          <w:szCs w:val="20"/>
        </w:rPr>
        <w:t xml:space="preserve"> </w:t>
      </w:r>
      <w:r w:rsidRPr="000977F7">
        <w:rPr>
          <w:rFonts w:asciiTheme="majorHAnsi" w:hAnsiTheme="majorHAnsi"/>
          <w:sz w:val="20"/>
          <w:szCs w:val="20"/>
        </w:rPr>
        <w:t>об’єкта</w:t>
      </w:r>
      <w:r w:rsidRPr="000977F7">
        <w:rPr>
          <w:rFonts w:asciiTheme="majorHAnsi" w:hAnsiTheme="majorHAnsi"/>
          <w:spacing w:val="3"/>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перевищить заданого</w:t>
      </w:r>
    </w:p>
    <w:p w14:paraId="4F4F088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606A1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w:t>
      </w:r>
      <w:r w:rsidRPr="000977F7">
        <w:rPr>
          <w:rFonts w:asciiTheme="majorHAnsi" w:hAnsiTheme="majorHAnsi"/>
          <w:spacing w:val="10"/>
          <w:sz w:val="20"/>
          <w:szCs w:val="20"/>
        </w:rPr>
        <w:t xml:space="preserve"> </w:t>
      </w:r>
      <w:r w:rsidRPr="000977F7">
        <w:rPr>
          <w:rFonts w:asciiTheme="majorHAnsi" w:hAnsiTheme="majorHAnsi"/>
          <w:sz w:val="20"/>
          <w:szCs w:val="20"/>
        </w:rPr>
        <w:t>заданим</w:t>
      </w:r>
      <w:r w:rsidRPr="000977F7">
        <w:rPr>
          <w:rFonts w:asciiTheme="majorHAnsi" w:hAnsiTheme="majorHAnsi"/>
          <w:spacing w:val="12"/>
          <w:sz w:val="20"/>
          <w:szCs w:val="20"/>
        </w:rPr>
        <w:t xml:space="preserve"> </w:t>
      </w:r>
      <w:r w:rsidRPr="000977F7">
        <w:rPr>
          <w:rFonts w:asciiTheme="majorHAnsi" w:hAnsiTheme="majorHAnsi"/>
          <w:sz w:val="20"/>
          <w:szCs w:val="20"/>
        </w:rPr>
        <w:t>часом</w:t>
      </w:r>
      <w:r w:rsidRPr="000977F7">
        <w:rPr>
          <w:rFonts w:asciiTheme="majorHAnsi" w:hAnsiTheme="majorHAnsi"/>
          <w:spacing w:val="12"/>
          <w:sz w:val="20"/>
          <w:szCs w:val="20"/>
        </w:rPr>
        <w:t xml:space="preserve"> </w:t>
      </w:r>
      <w:r w:rsidRPr="000977F7">
        <w:rPr>
          <w:rFonts w:asciiTheme="majorHAnsi" w:hAnsiTheme="majorHAnsi"/>
          <w:sz w:val="20"/>
          <w:szCs w:val="20"/>
        </w:rPr>
        <w:t>розуміють</w:t>
      </w:r>
      <w:r w:rsidRPr="000977F7">
        <w:rPr>
          <w:rFonts w:asciiTheme="majorHAnsi" w:hAnsiTheme="majorHAnsi"/>
          <w:spacing w:val="11"/>
          <w:sz w:val="20"/>
          <w:szCs w:val="20"/>
        </w:rPr>
        <w:t xml:space="preserve"> </w:t>
      </w:r>
      <w:r w:rsidRPr="000977F7">
        <w:rPr>
          <w:rFonts w:asciiTheme="majorHAnsi" w:hAnsiTheme="majorHAnsi"/>
          <w:sz w:val="20"/>
          <w:szCs w:val="20"/>
        </w:rPr>
        <w:t>задану</w:t>
      </w:r>
      <w:r w:rsidRPr="000977F7">
        <w:rPr>
          <w:rFonts w:asciiTheme="majorHAnsi" w:hAnsiTheme="majorHAnsi"/>
          <w:spacing w:val="9"/>
          <w:sz w:val="20"/>
          <w:szCs w:val="20"/>
        </w:rPr>
        <w:t xml:space="preserve"> </w:t>
      </w:r>
      <w:r w:rsidRPr="000977F7">
        <w:rPr>
          <w:rFonts w:asciiTheme="majorHAnsi" w:hAnsiTheme="majorHAnsi"/>
          <w:sz w:val="20"/>
          <w:szCs w:val="20"/>
        </w:rPr>
        <w:t>оперативну</w:t>
      </w:r>
      <w:r w:rsidRPr="000977F7">
        <w:rPr>
          <w:rFonts w:asciiTheme="majorHAnsi" w:hAnsiTheme="majorHAnsi"/>
          <w:spacing w:val="12"/>
          <w:sz w:val="20"/>
          <w:szCs w:val="20"/>
        </w:rPr>
        <w:t xml:space="preserve"> </w:t>
      </w:r>
      <w:r w:rsidRPr="000977F7">
        <w:rPr>
          <w:rFonts w:asciiTheme="majorHAnsi" w:hAnsiTheme="majorHAnsi"/>
          <w:sz w:val="20"/>
          <w:szCs w:val="20"/>
        </w:rPr>
        <w:t>тривалість</w:t>
      </w:r>
    </w:p>
    <w:p w14:paraId="6761DA1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ІМОВІРНІСТЬ ВИКОНАННЯ </w:t>
      </w:r>
    </w:p>
    <w:p w14:paraId="2FF7AA2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ТЕХНОЛОГІЧ</w:t>
      </w:r>
      <w:r w:rsidRPr="000977F7">
        <w:rPr>
          <w:color w:val="auto"/>
          <w:spacing w:val="-48"/>
          <w:sz w:val="20"/>
          <w:szCs w:val="20"/>
        </w:rPr>
        <w:t xml:space="preserve"> </w:t>
      </w:r>
      <w:r w:rsidRPr="000977F7">
        <w:rPr>
          <w:color w:val="auto"/>
          <w:sz w:val="20"/>
          <w:szCs w:val="20"/>
        </w:rPr>
        <w:t>НОЮ</w:t>
      </w:r>
      <w:r w:rsidRPr="000977F7">
        <w:rPr>
          <w:color w:val="auto"/>
          <w:spacing w:val="-2"/>
          <w:sz w:val="20"/>
          <w:szCs w:val="20"/>
        </w:rPr>
        <w:t xml:space="preserve"> </w:t>
      </w:r>
      <w:r w:rsidRPr="000977F7">
        <w:rPr>
          <w:color w:val="auto"/>
          <w:sz w:val="20"/>
          <w:szCs w:val="20"/>
        </w:rPr>
        <w:t>СИСТЕМОЮ</w:t>
      </w:r>
      <w:r w:rsidRPr="000977F7">
        <w:rPr>
          <w:color w:val="auto"/>
          <w:spacing w:val="-1"/>
          <w:sz w:val="20"/>
          <w:szCs w:val="20"/>
        </w:rPr>
        <w:t xml:space="preserve"> </w:t>
      </w:r>
      <w:r w:rsidRPr="000977F7">
        <w:rPr>
          <w:color w:val="auto"/>
          <w:sz w:val="20"/>
          <w:szCs w:val="20"/>
        </w:rPr>
        <w:t>ЗАВДАННЯ</w:t>
      </w:r>
      <w:r w:rsidRPr="000977F7">
        <w:rPr>
          <w:color w:val="auto"/>
          <w:spacing w:val="2"/>
          <w:sz w:val="20"/>
          <w:szCs w:val="20"/>
        </w:rPr>
        <w:t xml:space="preserve"> </w:t>
      </w:r>
      <w:r w:rsidRPr="000977F7">
        <w:rPr>
          <w:color w:val="auto"/>
          <w:sz w:val="20"/>
          <w:szCs w:val="20"/>
        </w:rPr>
        <w:t>–</w:t>
      </w:r>
    </w:p>
    <w:p w14:paraId="4B4743D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PROBABILITY</w:t>
      </w:r>
      <w:r w:rsidRPr="004D2D14">
        <w:rPr>
          <w:rFonts w:asciiTheme="majorHAnsi" w:hAnsiTheme="majorHAnsi"/>
          <w:spacing w:val="1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3"/>
          <w:sz w:val="20"/>
          <w:szCs w:val="20"/>
          <w:lang w:val="en-US"/>
        </w:rPr>
        <w:t xml:space="preserve"> </w:t>
      </w:r>
      <w:r w:rsidRPr="004D2D14">
        <w:rPr>
          <w:rFonts w:asciiTheme="majorHAnsi" w:hAnsiTheme="majorHAnsi"/>
          <w:sz w:val="20"/>
          <w:szCs w:val="20"/>
          <w:lang w:val="en-US"/>
        </w:rPr>
        <w:t>ACHIEVEMENT</w:t>
      </w:r>
      <w:r w:rsidRPr="004D2D14">
        <w:rPr>
          <w:rFonts w:asciiTheme="majorHAnsi" w:hAnsiTheme="majorHAnsi"/>
          <w:spacing w:val="14"/>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1"/>
          <w:sz w:val="20"/>
          <w:szCs w:val="20"/>
          <w:lang w:val="en-US"/>
        </w:rPr>
        <w:t xml:space="preserve"> </w:t>
      </w:r>
      <w:r w:rsidRPr="004D2D14">
        <w:rPr>
          <w:rFonts w:asciiTheme="majorHAnsi" w:hAnsiTheme="majorHAnsi"/>
          <w:sz w:val="20"/>
          <w:szCs w:val="20"/>
          <w:lang w:val="en-US"/>
        </w:rPr>
        <w:t>GOAL</w:t>
      </w:r>
      <w:r w:rsidRPr="004D2D14">
        <w:rPr>
          <w:rFonts w:asciiTheme="majorHAnsi" w:hAnsiTheme="majorHAnsi"/>
          <w:spacing w:val="9"/>
          <w:sz w:val="20"/>
          <w:szCs w:val="20"/>
          <w:lang w:val="en-US"/>
        </w:rPr>
        <w:t xml:space="preserve"> </w:t>
      </w:r>
      <w:r w:rsidRPr="004D2D14">
        <w:rPr>
          <w:rFonts w:asciiTheme="majorHAnsi" w:hAnsiTheme="majorHAnsi"/>
          <w:sz w:val="20"/>
          <w:szCs w:val="20"/>
          <w:lang w:val="en-US"/>
        </w:rPr>
        <w:t>BY</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TECHNOLOGICAL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SYSTEM</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0801F58F" w14:textId="77777777" w:rsidR="0097612F" w:rsidRPr="004D2D14" w:rsidRDefault="0097612F" w:rsidP="000977F7">
      <w:pPr>
        <w:pStyle w:val="af6"/>
        <w:tabs>
          <w:tab w:val="left" w:pos="284"/>
        </w:tabs>
        <w:spacing w:after="0"/>
        <w:ind w:left="170"/>
        <w:mirrorIndents/>
        <w:jc w:val="both"/>
        <w:rPr>
          <w:rFonts w:asciiTheme="majorHAnsi" w:hAnsiTheme="majorHAnsi"/>
          <w:spacing w:val="1"/>
          <w:w w:val="95"/>
          <w:sz w:val="20"/>
          <w:szCs w:val="20"/>
          <w:lang w:val="en-US"/>
        </w:rPr>
      </w:pPr>
      <w:r w:rsidRPr="000977F7">
        <w:rPr>
          <w:rFonts w:asciiTheme="majorHAnsi" w:hAnsiTheme="majorHAnsi"/>
          <w:spacing w:val="-1"/>
          <w:sz w:val="20"/>
          <w:szCs w:val="20"/>
        </w:rPr>
        <w:t>Імовірність</w:t>
      </w:r>
      <w:r w:rsidRPr="004D2D14">
        <w:rPr>
          <w:rFonts w:asciiTheme="majorHAnsi" w:hAnsiTheme="majorHAnsi"/>
          <w:spacing w:val="-5"/>
          <w:sz w:val="20"/>
          <w:szCs w:val="20"/>
          <w:lang w:val="en-US"/>
        </w:rPr>
        <w:t xml:space="preserve"> </w:t>
      </w:r>
      <w:r w:rsidRPr="000977F7">
        <w:rPr>
          <w:rFonts w:asciiTheme="majorHAnsi" w:hAnsiTheme="majorHAnsi"/>
          <w:spacing w:val="-1"/>
          <w:sz w:val="20"/>
          <w:szCs w:val="20"/>
        </w:rPr>
        <w:t>того</w:t>
      </w:r>
      <w:r w:rsidRPr="004D2D14">
        <w:rPr>
          <w:rFonts w:asciiTheme="majorHAnsi" w:hAnsiTheme="majorHAnsi"/>
          <w:spacing w:val="-1"/>
          <w:sz w:val="20"/>
          <w:szCs w:val="20"/>
          <w:lang w:val="en-US"/>
        </w:rPr>
        <w:t>,</w:t>
      </w:r>
      <w:r w:rsidRPr="004D2D14">
        <w:rPr>
          <w:rFonts w:asciiTheme="majorHAnsi" w:hAnsiTheme="majorHAnsi"/>
          <w:spacing w:val="-5"/>
          <w:sz w:val="20"/>
          <w:szCs w:val="20"/>
          <w:lang w:val="en-US"/>
        </w:rPr>
        <w:t xml:space="preserve"> </w:t>
      </w:r>
      <w:r w:rsidRPr="000977F7">
        <w:rPr>
          <w:rFonts w:asciiTheme="majorHAnsi" w:hAnsiTheme="majorHAnsi"/>
          <w:spacing w:val="-1"/>
          <w:sz w:val="20"/>
          <w:szCs w:val="20"/>
        </w:rPr>
        <w:t>що</w:t>
      </w:r>
      <w:r w:rsidRPr="004D2D14">
        <w:rPr>
          <w:rFonts w:asciiTheme="majorHAnsi" w:hAnsiTheme="majorHAnsi"/>
          <w:spacing w:val="-5"/>
          <w:sz w:val="20"/>
          <w:szCs w:val="20"/>
          <w:lang w:val="en-US"/>
        </w:rPr>
        <w:t xml:space="preserve"> </w:t>
      </w:r>
      <w:r w:rsidRPr="000977F7">
        <w:rPr>
          <w:rFonts w:asciiTheme="majorHAnsi" w:hAnsiTheme="majorHAnsi"/>
          <w:spacing w:val="-1"/>
          <w:sz w:val="20"/>
          <w:szCs w:val="20"/>
        </w:rPr>
        <w:t>обсяг</w:t>
      </w:r>
      <w:r w:rsidRPr="004D2D14">
        <w:rPr>
          <w:rFonts w:asciiTheme="majorHAnsi" w:hAnsiTheme="majorHAnsi"/>
          <w:spacing w:val="-4"/>
          <w:sz w:val="20"/>
          <w:szCs w:val="20"/>
          <w:lang w:val="en-US"/>
        </w:rPr>
        <w:t xml:space="preserve"> </w:t>
      </w:r>
      <w:r w:rsidRPr="000977F7">
        <w:rPr>
          <w:rFonts w:asciiTheme="majorHAnsi" w:hAnsiTheme="majorHAnsi"/>
          <w:spacing w:val="-1"/>
          <w:sz w:val="20"/>
          <w:szCs w:val="20"/>
        </w:rPr>
        <w:t>випуску</w:t>
      </w:r>
      <w:r w:rsidRPr="004D2D14">
        <w:rPr>
          <w:rFonts w:asciiTheme="majorHAnsi" w:hAnsiTheme="majorHAnsi"/>
          <w:spacing w:val="-4"/>
          <w:sz w:val="20"/>
          <w:szCs w:val="20"/>
          <w:lang w:val="en-US"/>
        </w:rPr>
        <w:t xml:space="preserve"> </w:t>
      </w:r>
      <w:r w:rsidRPr="000977F7">
        <w:rPr>
          <w:rFonts w:asciiTheme="majorHAnsi" w:hAnsiTheme="majorHAnsi"/>
          <w:sz w:val="20"/>
          <w:szCs w:val="20"/>
        </w:rPr>
        <w:t>технологічною</w:t>
      </w:r>
      <w:r w:rsidRPr="004D2D14">
        <w:rPr>
          <w:rFonts w:asciiTheme="majorHAnsi" w:hAnsiTheme="majorHAnsi"/>
          <w:spacing w:val="-6"/>
          <w:sz w:val="20"/>
          <w:szCs w:val="20"/>
          <w:lang w:val="en-US"/>
        </w:rPr>
        <w:t xml:space="preserve"> </w:t>
      </w:r>
      <w:r w:rsidRPr="000977F7">
        <w:rPr>
          <w:rFonts w:asciiTheme="majorHAnsi" w:hAnsiTheme="majorHAnsi"/>
          <w:sz w:val="20"/>
          <w:szCs w:val="20"/>
        </w:rPr>
        <w:t>сис</w:t>
      </w:r>
      <w:r w:rsidRPr="000977F7">
        <w:rPr>
          <w:rFonts w:asciiTheme="majorHAnsi" w:hAnsiTheme="majorHAnsi"/>
          <w:spacing w:val="-4"/>
          <w:sz w:val="20"/>
          <w:szCs w:val="20"/>
        </w:rPr>
        <w:t>темою</w:t>
      </w:r>
      <w:r w:rsidRPr="004D2D14">
        <w:rPr>
          <w:rFonts w:asciiTheme="majorHAnsi" w:hAnsiTheme="majorHAnsi"/>
          <w:spacing w:val="-9"/>
          <w:sz w:val="20"/>
          <w:szCs w:val="20"/>
          <w:lang w:val="en-US"/>
        </w:rPr>
        <w:t xml:space="preserve"> </w:t>
      </w:r>
      <w:r w:rsidRPr="000977F7">
        <w:rPr>
          <w:rFonts w:asciiTheme="majorHAnsi" w:hAnsiTheme="majorHAnsi"/>
          <w:spacing w:val="-4"/>
          <w:sz w:val="20"/>
          <w:szCs w:val="20"/>
        </w:rPr>
        <w:t>придатної</w:t>
      </w:r>
      <w:r w:rsidRPr="004D2D14">
        <w:rPr>
          <w:rFonts w:asciiTheme="majorHAnsi" w:hAnsiTheme="majorHAnsi"/>
          <w:spacing w:val="-6"/>
          <w:sz w:val="20"/>
          <w:szCs w:val="20"/>
          <w:lang w:val="en-US"/>
        </w:rPr>
        <w:t xml:space="preserve"> </w:t>
      </w:r>
      <w:r w:rsidRPr="000977F7">
        <w:rPr>
          <w:rFonts w:asciiTheme="majorHAnsi" w:hAnsiTheme="majorHAnsi"/>
          <w:spacing w:val="-4"/>
          <w:sz w:val="20"/>
          <w:szCs w:val="20"/>
        </w:rPr>
        <w:t>продукції</w:t>
      </w:r>
      <w:r w:rsidRPr="004D2D14">
        <w:rPr>
          <w:rFonts w:asciiTheme="majorHAnsi" w:hAnsiTheme="majorHAnsi"/>
          <w:spacing w:val="-9"/>
          <w:sz w:val="20"/>
          <w:szCs w:val="20"/>
          <w:lang w:val="en-US"/>
        </w:rPr>
        <w:t xml:space="preserve"> </w:t>
      </w:r>
      <w:r w:rsidRPr="000977F7">
        <w:rPr>
          <w:rFonts w:asciiTheme="majorHAnsi" w:hAnsiTheme="majorHAnsi"/>
          <w:spacing w:val="-4"/>
          <w:sz w:val="20"/>
          <w:szCs w:val="20"/>
        </w:rPr>
        <w:t>та</w:t>
      </w:r>
      <w:r w:rsidRPr="004D2D14">
        <w:rPr>
          <w:rFonts w:asciiTheme="majorHAnsi" w:hAnsiTheme="majorHAnsi"/>
          <w:spacing w:val="-8"/>
          <w:sz w:val="20"/>
          <w:szCs w:val="20"/>
          <w:lang w:val="en-US"/>
        </w:rPr>
        <w:t xml:space="preserve"> </w:t>
      </w:r>
      <w:r w:rsidRPr="000977F7">
        <w:rPr>
          <w:rFonts w:asciiTheme="majorHAnsi" w:hAnsiTheme="majorHAnsi"/>
          <w:spacing w:val="-3"/>
          <w:sz w:val="20"/>
          <w:szCs w:val="20"/>
        </w:rPr>
        <w:t>витрати</w:t>
      </w:r>
      <w:r w:rsidRPr="004D2D14">
        <w:rPr>
          <w:rFonts w:asciiTheme="majorHAnsi" w:hAnsiTheme="majorHAnsi"/>
          <w:spacing w:val="-9"/>
          <w:sz w:val="20"/>
          <w:szCs w:val="20"/>
          <w:lang w:val="en-US"/>
        </w:rPr>
        <w:t xml:space="preserve"> </w:t>
      </w:r>
      <w:r w:rsidRPr="000977F7">
        <w:rPr>
          <w:rFonts w:asciiTheme="majorHAnsi" w:hAnsiTheme="majorHAnsi"/>
          <w:spacing w:val="-3"/>
          <w:sz w:val="20"/>
          <w:szCs w:val="20"/>
        </w:rPr>
        <w:t>на</w:t>
      </w:r>
      <w:r w:rsidRPr="004D2D14">
        <w:rPr>
          <w:rFonts w:asciiTheme="majorHAnsi" w:hAnsiTheme="majorHAnsi"/>
          <w:spacing w:val="-9"/>
          <w:sz w:val="20"/>
          <w:szCs w:val="20"/>
          <w:lang w:val="en-US"/>
        </w:rPr>
        <w:t xml:space="preserve"> </w:t>
      </w:r>
      <w:r w:rsidRPr="000977F7">
        <w:rPr>
          <w:rFonts w:asciiTheme="majorHAnsi" w:hAnsiTheme="majorHAnsi"/>
          <w:spacing w:val="-3"/>
          <w:sz w:val="20"/>
          <w:szCs w:val="20"/>
        </w:rPr>
        <w:t>її</w:t>
      </w:r>
      <w:r w:rsidRPr="004D2D14">
        <w:rPr>
          <w:rFonts w:asciiTheme="majorHAnsi" w:hAnsiTheme="majorHAnsi"/>
          <w:spacing w:val="-8"/>
          <w:sz w:val="20"/>
          <w:szCs w:val="20"/>
          <w:lang w:val="en-US"/>
        </w:rPr>
        <w:t xml:space="preserve"> </w:t>
      </w:r>
      <w:r w:rsidRPr="000977F7">
        <w:rPr>
          <w:rFonts w:asciiTheme="majorHAnsi" w:hAnsiTheme="majorHAnsi"/>
          <w:spacing w:val="-3"/>
          <w:sz w:val="20"/>
          <w:szCs w:val="20"/>
        </w:rPr>
        <w:t>виготовлення</w:t>
      </w:r>
      <w:r w:rsidRPr="004D2D14">
        <w:rPr>
          <w:rFonts w:asciiTheme="majorHAnsi" w:hAnsiTheme="majorHAnsi"/>
          <w:spacing w:val="-47"/>
          <w:sz w:val="20"/>
          <w:szCs w:val="20"/>
          <w:lang w:val="en-US"/>
        </w:rPr>
        <w:t xml:space="preserve"> </w:t>
      </w:r>
      <w:r w:rsidRPr="000977F7">
        <w:rPr>
          <w:rFonts w:asciiTheme="majorHAnsi" w:hAnsiTheme="majorHAnsi"/>
          <w:spacing w:val="-1"/>
          <w:sz w:val="20"/>
          <w:szCs w:val="20"/>
        </w:rPr>
        <w:t>за</w:t>
      </w:r>
      <w:r w:rsidRPr="004D2D14">
        <w:rPr>
          <w:rFonts w:asciiTheme="majorHAnsi" w:hAnsiTheme="majorHAnsi"/>
          <w:spacing w:val="1"/>
          <w:sz w:val="20"/>
          <w:szCs w:val="20"/>
          <w:lang w:val="en-US"/>
        </w:rPr>
        <w:t xml:space="preserve"> </w:t>
      </w:r>
      <w:r w:rsidRPr="000977F7">
        <w:rPr>
          <w:rFonts w:asciiTheme="majorHAnsi" w:hAnsiTheme="majorHAnsi"/>
          <w:sz w:val="20"/>
          <w:szCs w:val="20"/>
        </w:rPr>
        <w:t>розглядуваний</w:t>
      </w:r>
      <w:r w:rsidRPr="004D2D14">
        <w:rPr>
          <w:rFonts w:asciiTheme="majorHAnsi" w:hAnsiTheme="majorHAnsi"/>
          <w:spacing w:val="1"/>
          <w:sz w:val="20"/>
          <w:szCs w:val="20"/>
          <w:lang w:val="en-US"/>
        </w:rPr>
        <w:t xml:space="preserve"> </w:t>
      </w:r>
      <w:r w:rsidRPr="000977F7">
        <w:rPr>
          <w:rFonts w:asciiTheme="majorHAnsi" w:hAnsiTheme="majorHAnsi"/>
          <w:sz w:val="20"/>
          <w:szCs w:val="20"/>
        </w:rPr>
        <w:t>інтервал</w:t>
      </w:r>
      <w:r w:rsidRPr="004D2D14">
        <w:rPr>
          <w:rFonts w:asciiTheme="majorHAnsi" w:hAnsiTheme="majorHAnsi"/>
          <w:sz w:val="20"/>
          <w:szCs w:val="20"/>
          <w:lang w:val="en-US"/>
        </w:rPr>
        <w:t xml:space="preserve"> </w:t>
      </w:r>
      <w:r w:rsidRPr="000977F7">
        <w:rPr>
          <w:rFonts w:asciiTheme="majorHAnsi" w:hAnsiTheme="majorHAnsi"/>
          <w:sz w:val="20"/>
          <w:szCs w:val="20"/>
        </w:rPr>
        <w:t>часу</w:t>
      </w:r>
      <w:r w:rsidRPr="004D2D14">
        <w:rPr>
          <w:rFonts w:asciiTheme="majorHAnsi" w:hAnsiTheme="majorHAnsi"/>
          <w:sz w:val="20"/>
          <w:szCs w:val="20"/>
          <w:lang w:val="en-US"/>
        </w:rPr>
        <w:t xml:space="preserve"> </w:t>
      </w:r>
      <w:r w:rsidRPr="000977F7">
        <w:rPr>
          <w:rFonts w:asciiTheme="majorHAnsi" w:hAnsiTheme="majorHAnsi"/>
          <w:sz w:val="20"/>
          <w:szCs w:val="20"/>
        </w:rPr>
        <w:t>будуть</w:t>
      </w:r>
      <w:r w:rsidRPr="004D2D14">
        <w:rPr>
          <w:rFonts w:asciiTheme="majorHAnsi" w:hAnsiTheme="majorHAnsi"/>
          <w:spacing w:val="2"/>
          <w:sz w:val="20"/>
          <w:szCs w:val="20"/>
          <w:lang w:val="en-US"/>
        </w:rPr>
        <w:t xml:space="preserve"> </w:t>
      </w:r>
      <w:r w:rsidRPr="000977F7">
        <w:rPr>
          <w:rFonts w:asciiTheme="majorHAnsi" w:hAnsiTheme="majorHAnsi"/>
          <w:sz w:val="20"/>
          <w:szCs w:val="20"/>
        </w:rPr>
        <w:t>відповідати</w:t>
      </w:r>
      <w:r w:rsidRPr="004D2D14">
        <w:rPr>
          <w:rFonts w:asciiTheme="majorHAnsi" w:hAnsiTheme="majorHAnsi"/>
          <w:sz w:val="20"/>
          <w:szCs w:val="20"/>
          <w:lang w:val="en-US"/>
        </w:rPr>
        <w:t xml:space="preserve"> </w:t>
      </w:r>
      <w:r w:rsidRPr="000977F7">
        <w:rPr>
          <w:rFonts w:asciiTheme="majorHAnsi" w:hAnsiTheme="majorHAnsi"/>
          <w:sz w:val="20"/>
          <w:szCs w:val="20"/>
        </w:rPr>
        <w:t>ви</w:t>
      </w:r>
      <w:r w:rsidRPr="000977F7">
        <w:rPr>
          <w:rFonts w:asciiTheme="majorHAnsi" w:hAnsiTheme="majorHAnsi"/>
          <w:w w:val="95"/>
          <w:sz w:val="20"/>
          <w:szCs w:val="20"/>
        </w:rPr>
        <w:t>могам</w:t>
      </w:r>
      <w:r w:rsidRPr="004D2D14">
        <w:rPr>
          <w:rFonts w:asciiTheme="majorHAnsi" w:hAnsiTheme="majorHAnsi"/>
          <w:w w:val="95"/>
          <w:sz w:val="20"/>
          <w:szCs w:val="20"/>
          <w:lang w:val="en-US"/>
        </w:rPr>
        <w:t xml:space="preserve"> </w:t>
      </w:r>
      <w:r w:rsidRPr="000977F7">
        <w:rPr>
          <w:rFonts w:asciiTheme="majorHAnsi" w:hAnsiTheme="majorHAnsi"/>
          <w:w w:val="95"/>
          <w:sz w:val="20"/>
          <w:szCs w:val="20"/>
        </w:rPr>
        <w:t>конструкторської</w:t>
      </w:r>
      <w:r w:rsidRPr="004D2D14">
        <w:rPr>
          <w:rFonts w:asciiTheme="majorHAnsi" w:hAnsiTheme="majorHAnsi"/>
          <w:w w:val="95"/>
          <w:sz w:val="20"/>
          <w:szCs w:val="20"/>
          <w:lang w:val="en-US"/>
        </w:rPr>
        <w:t xml:space="preserve"> </w:t>
      </w:r>
      <w:r w:rsidRPr="000977F7">
        <w:rPr>
          <w:rFonts w:asciiTheme="majorHAnsi" w:hAnsiTheme="majorHAnsi"/>
          <w:w w:val="95"/>
          <w:sz w:val="20"/>
          <w:szCs w:val="20"/>
        </w:rPr>
        <w:t>та</w:t>
      </w:r>
      <w:r w:rsidRPr="004D2D14">
        <w:rPr>
          <w:rFonts w:asciiTheme="majorHAnsi" w:hAnsiTheme="majorHAnsi"/>
          <w:w w:val="95"/>
          <w:sz w:val="20"/>
          <w:szCs w:val="20"/>
          <w:lang w:val="en-US"/>
        </w:rPr>
        <w:t xml:space="preserve"> </w:t>
      </w:r>
      <w:r w:rsidRPr="000977F7">
        <w:rPr>
          <w:rFonts w:asciiTheme="majorHAnsi" w:hAnsiTheme="majorHAnsi"/>
          <w:w w:val="95"/>
          <w:sz w:val="20"/>
          <w:szCs w:val="20"/>
        </w:rPr>
        <w:t>технологічної</w:t>
      </w:r>
      <w:r w:rsidRPr="004D2D14">
        <w:rPr>
          <w:rFonts w:asciiTheme="majorHAnsi" w:hAnsiTheme="majorHAnsi"/>
          <w:w w:val="95"/>
          <w:sz w:val="20"/>
          <w:szCs w:val="20"/>
          <w:lang w:val="en-US"/>
        </w:rPr>
        <w:t xml:space="preserve"> </w:t>
      </w:r>
      <w:r w:rsidRPr="000977F7">
        <w:rPr>
          <w:rFonts w:asciiTheme="majorHAnsi" w:hAnsiTheme="majorHAnsi"/>
          <w:w w:val="95"/>
          <w:sz w:val="20"/>
          <w:szCs w:val="20"/>
        </w:rPr>
        <w:t>документації</w:t>
      </w:r>
      <w:r w:rsidRPr="004D2D14">
        <w:rPr>
          <w:rFonts w:asciiTheme="majorHAnsi" w:hAnsiTheme="majorHAnsi"/>
          <w:spacing w:val="1"/>
          <w:w w:val="95"/>
          <w:sz w:val="20"/>
          <w:szCs w:val="20"/>
          <w:lang w:val="en-US"/>
        </w:rPr>
        <w:t xml:space="preserve"> </w:t>
      </w:r>
    </w:p>
    <w:p w14:paraId="4E3624B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2470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E2C9D4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 xml:space="preserve">ІМОВІРНІСТЬ ВИКОНАННЯ </w:t>
      </w:r>
    </w:p>
    <w:p w14:paraId="6099E01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ТЕХНОЛОГІЧНОЮ</w:t>
      </w:r>
      <w:r w:rsidRPr="000977F7">
        <w:rPr>
          <w:color w:val="auto"/>
          <w:spacing w:val="-5"/>
          <w:sz w:val="20"/>
          <w:szCs w:val="20"/>
        </w:rPr>
        <w:t xml:space="preserve"> </w:t>
      </w:r>
      <w:r w:rsidRPr="000977F7">
        <w:rPr>
          <w:color w:val="auto"/>
          <w:sz w:val="20"/>
          <w:szCs w:val="20"/>
        </w:rPr>
        <w:t>СИСТЕМОЮ</w:t>
      </w:r>
      <w:r w:rsidRPr="000977F7">
        <w:rPr>
          <w:color w:val="auto"/>
          <w:spacing w:val="-5"/>
          <w:sz w:val="20"/>
          <w:szCs w:val="20"/>
        </w:rPr>
        <w:t xml:space="preserve"> </w:t>
      </w:r>
      <w:r w:rsidRPr="000977F7">
        <w:rPr>
          <w:color w:val="auto"/>
          <w:sz w:val="20"/>
          <w:szCs w:val="20"/>
        </w:rPr>
        <w:t>ЗАВДАННЯ</w:t>
      </w:r>
      <w:r w:rsidRPr="000977F7">
        <w:rPr>
          <w:color w:val="auto"/>
          <w:spacing w:val="-4"/>
          <w:sz w:val="20"/>
          <w:szCs w:val="20"/>
        </w:rPr>
        <w:t xml:space="preserve"> </w:t>
      </w:r>
      <w:r w:rsidRPr="000977F7">
        <w:rPr>
          <w:color w:val="auto"/>
          <w:sz w:val="20"/>
          <w:szCs w:val="20"/>
        </w:rPr>
        <w:t>ЗА</w:t>
      </w:r>
      <w:r w:rsidRPr="000977F7">
        <w:rPr>
          <w:color w:val="auto"/>
          <w:spacing w:val="-4"/>
          <w:sz w:val="20"/>
          <w:szCs w:val="20"/>
        </w:rPr>
        <w:t xml:space="preserve"> </w:t>
      </w:r>
      <w:r w:rsidRPr="000977F7">
        <w:rPr>
          <w:color w:val="auto"/>
          <w:sz w:val="20"/>
          <w:szCs w:val="20"/>
        </w:rPr>
        <w:t>ОБСЯГОМ</w:t>
      </w:r>
      <w:r w:rsidRPr="000977F7">
        <w:rPr>
          <w:color w:val="auto"/>
          <w:spacing w:val="-47"/>
          <w:sz w:val="20"/>
          <w:szCs w:val="20"/>
        </w:rPr>
        <w:t xml:space="preserve">   </w:t>
      </w:r>
      <w:r w:rsidRPr="000977F7">
        <w:rPr>
          <w:color w:val="auto"/>
          <w:sz w:val="20"/>
          <w:szCs w:val="20"/>
        </w:rPr>
        <w:t>ВИПУСКУ</w:t>
      </w:r>
      <w:r w:rsidRPr="000977F7">
        <w:rPr>
          <w:color w:val="auto"/>
          <w:spacing w:val="-1"/>
          <w:sz w:val="20"/>
          <w:szCs w:val="20"/>
        </w:rPr>
        <w:t xml:space="preserve"> </w:t>
      </w:r>
      <w:r w:rsidRPr="000977F7">
        <w:rPr>
          <w:color w:val="auto"/>
          <w:sz w:val="20"/>
          <w:szCs w:val="20"/>
        </w:rPr>
        <w:t>–</w:t>
      </w:r>
    </w:p>
    <w:p w14:paraId="0A35C60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PROBABILITY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ACHIEVEMENT 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GOAL</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BY</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TECHNOLOGICAL SYSTEM AS RELATED TO</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OUTPUT -</w:t>
      </w:r>
    </w:p>
    <w:p w14:paraId="4BFA592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Імовірність</w:t>
      </w:r>
      <w:r w:rsidRPr="000977F7">
        <w:rPr>
          <w:rFonts w:asciiTheme="majorHAnsi" w:hAnsiTheme="majorHAnsi"/>
          <w:spacing w:val="1"/>
          <w:sz w:val="20"/>
          <w:szCs w:val="20"/>
        </w:rPr>
        <w:t xml:space="preserve"> </w:t>
      </w:r>
      <w:r w:rsidRPr="000977F7">
        <w:rPr>
          <w:rFonts w:asciiTheme="majorHAnsi" w:hAnsiTheme="majorHAnsi"/>
          <w:sz w:val="20"/>
          <w:szCs w:val="20"/>
        </w:rPr>
        <w:t>того,</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обсяг</w:t>
      </w:r>
      <w:r w:rsidRPr="000977F7">
        <w:rPr>
          <w:rFonts w:asciiTheme="majorHAnsi" w:hAnsiTheme="majorHAnsi"/>
          <w:spacing w:val="1"/>
          <w:sz w:val="20"/>
          <w:szCs w:val="20"/>
        </w:rPr>
        <w:t xml:space="preserve"> </w:t>
      </w:r>
      <w:r w:rsidRPr="000977F7">
        <w:rPr>
          <w:rFonts w:asciiTheme="majorHAnsi" w:hAnsiTheme="majorHAnsi"/>
          <w:sz w:val="20"/>
          <w:szCs w:val="20"/>
        </w:rPr>
        <w:t>випуску</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технологічною</w:t>
      </w:r>
      <w:r w:rsidRPr="000977F7">
        <w:rPr>
          <w:rFonts w:asciiTheme="majorHAnsi" w:hAnsiTheme="majorHAnsi"/>
          <w:spacing w:val="1"/>
          <w:sz w:val="20"/>
          <w:szCs w:val="20"/>
        </w:rPr>
        <w:t xml:space="preserve"> </w:t>
      </w:r>
      <w:r w:rsidRPr="000977F7">
        <w:rPr>
          <w:rFonts w:asciiTheme="majorHAnsi" w:hAnsiTheme="majorHAnsi"/>
          <w:sz w:val="20"/>
          <w:szCs w:val="20"/>
        </w:rPr>
        <w:t>сиcтемою придатної продукції за розглядуваний інтервал</w:t>
      </w:r>
      <w:r w:rsidRPr="000977F7">
        <w:rPr>
          <w:rFonts w:asciiTheme="majorHAnsi" w:hAnsiTheme="majorHAnsi"/>
          <w:spacing w:val="-2"/>
          <w:sz w:val="20"/>
          <w:szCs w:val="20"/>
        </w:rPr>
        <w:t xml:space="preserve"> </w:t>
      </w:r>
      <w:r w:rsidRPr="000977F7">
        <w:rPr>
          <w:rFonts w:asciiTheme="majorHAnsi" w:hAnsiTheme="majorHAnsi"/>
          <w:sz w:val="20"/>
          <w:szCs w:val="20"/>
        </w:rPr>
        <w:t>часу,</w:t>
      </w:r>
      <w:r w:rsidRPr="000977F7">
        <w:rPr>
          <w:rFonts w:asciiTheme="majorHAnsi" w:hAnsiTheme="majorHAnsi"/>
          <w:spacing w:val="-1"/>
          <w:sz w:val="20"/>
          <w:szCs w:val="20"/>
        </w:rPr>
        <w:t xml:space="preserve"> </w:t>
      </w:r>
      <w:r w:rsidRPr="000977F7">
        <w:rPr>
          <w:rFonts w:asciiTheme="majorHAnsi" w:hAnsiTheme="majorHAnsi"/>
          <w:sz w:val="20"/>
          <w:szCs w:val="20"/>
        </w:rPr>
        <w:t>буде</w:t>
      </w:r>
      <w:r w:rsidRPr="000977F7">
        <w:rPr>
          <w:rFonts w:asciiTheme="majorHAnsi" w:hAnsiTheme="majorHAnsi"/>
          <w:spacing w:val="2"/>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менше від</w:t>
      </w:r>
      <w:r w:rsidRPr="000977F7">
        <w:rPr>
          <w:rFonts w:asciiTheme="majorHAnsi" w:hAnsiTheme="majorHAnsi"/>
          <w:spacing w:val="-2"/>
          <w:sz w:val="20"/>
          <w:szCs w:val="20"/>
        </w:rPr>
        <w:t xml:space="preserve"> </w:t>
      </w:r>
      <w:r w:rsidRPr="000977F7">
        <w:rPr>
          <w:rFonts w:asciiTheme="majorHAnsi" w:hAnsiTheme="majorHAnsi"/>
          <w:sz w:val="20"/>
          <w:szCs w:val="20"/>
        </w:rPr>
        <w:t>заданого</w:t>
      </w:r>
    </w:p>
    <w:p w14:paraId="5E39FA0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2470 – 94</w:t>
      </w:r>
    </w:p>
    <w:p w14:paraId="713939A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78" w:name="_Hlk101239924"/>
      <w:r w:rsidRPr="000977F7">
        <w:rPr>
          <w:color w:val="auto"/>
          <w:sz w:val="20"/>
          <w:szCs w:val="20"/>
        </w:rPr>
        <w:t>ІМОВІРНІСТЬ</w:t>
      </w:r>
      <w:r w:rsidRPr="000977F7">
        <w:rPr>
          <w:color w:val="auto"/>
          <w:spacing w:val="-4"/>
          <w:sz w:val="20"/>
          <w:szCs w:val="20"/>
        </w:rPr>
        <w:t xml:space="preserve"> </w:t>
      </w:r>
      <w:r w:rsidRPr="000977F7">
        <w:rPr>
          <w:color w:val="auto"/>
          <w:sz w:val="20"/>
          <w:szCs w:val="20"/>
        </w:rPr>
        <w:t>ЗРУЙНУВАННЯ</w:t>
      </w:r>
      <w:r w:rsidRPr="000977F7">
        <w:rPr>
          <w:color w:val="auto"/>
          <w:spacing w:val="-2"/>
          <w:sz w:val="20"/>
          <w:szCs w:val="20"/>
        </w:rPr>
        <w:t xml:space="preserve"> </w:t>
      </w:r>
      <w:r w:rsidRPr="000977F7">
        <w:rPr>
          <w:color w:val="auto"/>
          <w:sz w:val="20"/>
          <w:szCs w:val="20"/>
        </w:rPr>
        <w:t>–</w:t>
      </w:r>
    </w:p>
    <w:p w14:paraId="3B6693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FAILURE</w:t>
      </w:r>
      <w:r w:rsidRPr="000977F7">
        <w:rPr>
          <w:rFonts w:asciiTheme="majorHAnsi" w:hAnsiTheme="majorHAnsi"/>
          <w:spacing w:val="-4"/>
          <w:sz w:val="20"/>
          <w:szCs w:val="20"/>
        </w:rPr>
        <w:t xml:space="preserve"> </w:t>
      </w:r>
      <w:r w:rsidRPr="000977F7">
        <w:rPr>
          <w:rFonts w:asciiTheme="majorHAnsi" w:hAnsiTheme="majorHAnsi"/>
          <w:sz w:val="20"/>
          <w:szCs w:val="20"/>
        </w:rPr>
        <w:t>PROBABILITY –</w:t>
      </w:r>
    </w:p>
    <w:bookmarkEnd w:id="78"/>
    <w:p w14:paraId="694736C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Імовірність того, що за певної кількості циклів навантажування об’єктів відбудеться його зруйнування чи</w:t>
      </w:r>
      <w:r w:rsidRPr="000977F7">
        <w:rPr>
          <w:rFonts w:asciiTheme="majorHAnsi" w:hAnsiTheme="majorHAnsi"/>
          <w:spacing w:val="1"/>
          <w:sz w:val="20"/>
          <w:szCs w:val="20"/>
        </w:rPr>
        <w:t xml:space="preserve"> </w:t>
      </w:r>
      <w:r w:rsidRPr="000977F7">
        <w:rPr>
          <w:rFonts w:asciiTheme="majorHAnsi" w:hAnsiTheme="majorHAnsi"/>
          <w:sz w:val="20"/>
          <w:szCs w:val="20"/>
        </w:rPr>
        <w:t>з’явиться</w:t>
      </w:r>
      <w:r w:rsidRPr="000977F7">
        <w:rPr>
          <w:rFonts w:asciiTheme="majorHAnsi" w:hAnsiTheme="majorHAnsi"/>
          <w:spacing w:val="-2"/>
          <w:sz w:val="20"/>
          <w:szCs w:val="20"/>
        </w:rPr>
        <w:t xml:space="preserve"> </w:t>
      </w:r>
      <w:r w:rsidRPr="000977F7">
        <w:rPr>
          <w:rFonts w:asciiTheme="majorHAnsi" w:hAnsiTheme="majorHAnsi"/>
          <w:sz w:val="20"/>
          <w:szCs w:val="20"/>
        </w:rPr>
        <w:t>втомна</w:t>
      </w:r>
      <w:r w:rsidRPr="000977F7">
        <w:rPr>
          <w:rFonts w:asciiTheme="majorHAnsi" w:hAnsiTheme="majorHAnsi"/>
          <w:spacing w:val="2"/>
          <w:sz w:val="20"/>
          <w:szCs w:val="20"/>
        </w:rPr>
        <w:t xml:space="preserve"> </w:t>
      </w:r>
      <w:r w:rsidRPr="000977F7">
        <w:rPr>
          <w:rFonts w:asciiTheme="majorHAnsi" w:hAnsiTheme="majorHAnsi"/>
          <w:sz w:val="20"/>
          <w:szCs w:val="20"/>
        </w:rPr>
        <w:t>тріщина</w:t>
      </w:r>
      <w:r w:rsidRPr="000977F7">
        <w:rPr>
          <w:rFonts w:asciiTheme="majorHAnsi" w:hAnsiTheme="majorHAnsi"/>
          <w:spacing w:val="-1"/>
          <w:sz w:val="20"/>
          <w:szCs w:val="20"/>
        </w:rPr>
        <w:t xml:space="preserve"> </w:t>
      </w:r>
      <w:r w:rsidRPr="000977F7">
        <w:rPr>
          <w:rFonts w:asciiTheme="majorHAnsi" w:hAnsiTheme="majorHAnsi"/>
          <w:sz w:val="20"/>
          <w:szCs w:val="20"/>
        </w:rPr>
        <w:t>певного розміру</w:t>
      </w:r>
    </w:p>
    <w:p w14:paraId="6C0D7E8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2444 – 94</w:t>
      </w:r>
    </w:p>
    <w:p w14:paraId="5CBB11A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ІМОВІРНІСТЬ</w:t>
      </w:r>
      <w:r w:rsidRPr="000977F7">
        <w:rPr>
          <w:color w:val="auto"/>
          <w:spacing w:val="-4"/>
          <w:sz w:val="20"/>
          <w:szCs w:val="20"/>
        </w:rPr>
        <w:t xml:space="preserve"> </w:t>
      </w:r>
      <w:r w:rsidRPr="000977F7">
        <w:rPr>
          <w:color w:val="auto"/>
          <w:sz w:val="20"/>
          <w:szCs w:val="20"/>
        </w:rPr>
        <w:t>ВІДНОВЛЕННЯ</w:t>
      </w:r>
      <w:r w:rsidRPr="000977F7">
        <w:rPr>
          <w:color w:val="auto"/>
          <w:spacing w:val="-4"/>
          <w:sz w:val="20"/>
          <w:szCs w:val="20"/>
        </w:rPr>
        <w:t xml:space="preserve"> </w:t>
      </w:r>
      <w:r w:rsidRPr="000977F7">
        <w:rPr>
          <w:color w:val="auto"/>
          <w:sz w:val="20"/>
          <w:szCs w:val="20"/>
        </w:rPr>
        <w:t>M(t) –</w:t>
      </w:r>
    </w:p>
    <w:p w14:paraId="0F9FFD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Імовірність</w:t>
      </w:r>
      <w:r w:rsidRPr="000977F7">
        <w:rPr>
          <w:rFonts w:asciiTheme="majorHAnsi" w:hAnsiTheme="majorHAnsi"/>
          <w:spacing w:val="38"/>
          <w:sz w:val="20"/>
          <w:szCs w:val="20"/>
        </w:rPr>
        <w:t xml:space="preserve"> </w:t>
      </w:r>
      <w:r w:rsidRPr="000977F7">
        <w:rPr>
          <w:rFonts w:asciiTheme="majorHAnsi" w:hAnsiTheme="majorHAnsi"/>
          <w:sz w:val="20"/>
          <w:szCs w:val="20"/>
        </w:rPr>
        <w:t>того,</w:t>
      </w:r>
      <w:r w:rsidRPr="000977F7">
        <w:rPr>
          <w:rFonts w:asciiTheme="majorHAnsi" w:hAnsiTheme="majorHAnsi"/>
          <w:spacing w:val="39"/>
          <w:sz w:val="20"/>
          <w:szCs w:val="20"/>
        </w:rPr>
        <w:t xml:space="preserve"> </w:t>
      </w:r>
      <w:r w:rsidRPr="000977F7">
        <w:rPr>
          <w:rFonts w:asciiTheme="majorHAnsi" w:hAnsiTheme="majorHAnsi"/>
          <w:sz w:val="20"/>
          <w:szCs w:val="20"/>
        </w:rPr>
        <w:t>що</w:t>
      </w:r>
      <w:r w:rsidRPr="000977F7">
        <w:rPr>
          <w:rFonts w:asciiTheme="majorHAnsi" w:hAnsiTheme="majorHAnsi"/>
          <w:spacing w:val="40"/>
          <w:sz w:val="20"/>
          <w:szCs w:val="20"/>
        </w:rPr>
        <w:t xml:space="preserve"> </w:t>
      </w:r>
      <w:r w:rsidRPr="000977F7">
        <w:rPr>
          <w:rFonts w:asciiTheme="majorHAnsi" w:hAnsiTheme="majorHAnsi"/>
          <w:sz w:val="20"/>
          <w:szCs w:val="20"/>
        </w:rPr>
        <w:t>час</w:t>
      </w:r>
      <w:r w:rsidRPr="000977F7">
        <w:rPr>
          <w:rFonts w:asciiTheme="majorHAnsi" w:hAnsiTheme="majorHAnsi"/>
          <w:spacing w:val="39"/>
          <w:sz w:val="20"/>
          <w:szCs w:val="20"/>
        </w:rPr>
        <w:t xml:space="preserve"> </w:t>
      </w:r>
      <w:r w:rsidRPr="000977F7">
        <w:rPr>
          <w:rFonts w:asciiTheme="majorHAnsi" w:hAnsiTheme="majorHAnsi"/>
          <w:sz w:val="20"/>
          <w:szCs w:val="20"/>
        </w:rPr>
        <w:t>відновлення</w:t>
      </w:r>
      <w:r w:rsidRPr="000977F7">
        <w:rPr>
          <w:rFonts w:asciiTheme="majorHAnsi" w:hAnsiTheme="majorHAnsi"/>
          <w:spacing w:val="41"/>
          <w:sz w:val="20"/>
          <w:szCs w:val="20"/>
        </w:rPr>
        <w:t xml:space="preserve"> </w:t>
      </w:r>
      <w:r w:rsidRPr="000977F7">
        <w:rPr>
          <w:rFonts w:asciiTheme="majorHAnsi" w:hAnsiTheme="majorHAnsi"/>
          <w:sz w:val="20"/>
          <w:szCs w:val="20"/>
        </w:rPr>
        <w:t>працездатного стану</w:t>
      </w:r>
      <w:r w:rsidRPr="000977F7">
        <w:rPr>
          <w:rFonts w:asciiTheme="majorHAnsi" w:hAnsiTheme="majorHAnsi"/>
          <w:spacing w:val="-5"/>
          <w:sz w:val="20"/>
          <w:szCs w:val="20"/>
        </w:rPr>
        <w:t xml:space="preserve"> </w:t>
      </w:r>
      <w:r w:rsidRPr="000977F7">
        <w:rPr>
          <w:rFonts w:asciiTheme="majorHAnsi" w:hAnsiTheme="majorHAnsi"/>
          <w:sz w:val="20"/>
          <w:szCs w:val="20"/>
        </w:rPr>
        <w:t>об’єкта</w:t>
      </w:r>
      <w:r w:rsidRPr="000977F7">
        <w:rPr>
          <w:rFonts w:asciiTheme="majorHAnsi" w:hAnsiTheme="majorHAnsi"/>
          <w:spacing w:val="-4"/>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перевищить</w:t>
      </w:r>
      <w:r w:rsidRPr="000977F7">
        <w:rPr>
          <w:rFonts w:asciiTheme="majorHAnsi" w:hAnsiTheme="majorHAnsi"/>
          <w:spacing w:val="-3"/>
          <w:sz w:val="20"/>
          <w:szCs w:val="20"/>
        </w:rPr>
        <w:t xml:space="preserve"> </w:t>
      </w:r>
      <w:r w:rsidRPr="000977F7">
        <w:rPr>
          <w:rFonts w:asciiTheme="majorHAnsi" w:hAnsiTheme="majorHAnsi"/>
          <w:sz w:val="20"/>
          <w:szCs w:val="20"/>
        </w:rPr>
        <w:t>заданого</w:t>
      </w:r>
      <w:r w:rsidRPr="000977F7">
        <w:rPr>
          <w:rFonts w:asciiTheme="majorHAnsi" w:hAnsiTheme="majorHAnsi"/>
          <w:spacing w:val="-3"/>
          <w:sz w:val="20"/>
          <w:szCs w:val="20"/>
        </w:rPr>
        <w:t xml:space="preserve"> </w:t>
      </w:r>
      <w:r w:rsidRPr="000977F7">
        <w:rPr>
          <w:rFonts w:asciiTheme="majorHAnsi" w:hAnsiTheme="majorHAnsi"/>
          <w:sz w:val="20"/>
          <w:szCs w:val="20"/>
        </w:rPr>
        <w:t>значення</w:t>
      </w:r>
    </w:p>
    <w:p w14:paraId="07C21BD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ІМОВІРНІСТЬ</w:t>
      </w:r>
      <w:r w:rsidRPr="000977F7">
        <w:rPr>
          <w:color w:val="auto"/>
          <w:spacing w:val="-3"/>
          <w:sz w:val="20"/>
          <w:szCs w:val="20"/>
        </w:rPr>
        <w:t xml:space="preserve"> </w:t>
      </w:r>
      <w:r w:rsidRPr="000977F7">
        <w:rPr>
          <w:color w:val="auto"/>
          <w:sz w:val="20"/>
          <w:szCs w:val="20"/>
        </w:rPr>
        <w:t>ВІДМОВИ</w:t>
      </w:r>
      <w:r w:rsidRPr="000977F7">
        <w:rPr>
          <w:color w:val="auto"/>
          <w:spacing w:val="47"/>
          <w:sz w:val="20"/>
          <w:szCs w:val="20"/>
        </w:rPr>
        <w:t xml:space="preserve"> </w:t>
      </w:r>
      <w:r w:rsidRPr="000977F7">
        <w:rPr>
          <w:color w:val="auto"/>
          <w:sz w:val="20"/>
          <w:szCs w:val="20"/>
        </w:rPr>
        <w:t>–</w:t>
      </w:r>
    </w:p>
    <w:p w14:paraId="3CB3FB4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PROBABILITY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FAILURE –</w:t>
      </w:r>
    </w:p>
    <w:p w14:paraId="5FBB8E4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Імовірність</w:t>
      </w:r>
      <w:r w:rsidRPr="000977F7">
        <w:rPr>
          <w:rFonts w:asciiTheme="majorHAnsi" w:hAnsiTheme="majorHAnsi"/>
          <w:spacing w:val="23"/>
          <w:sz w:val="20"/>
          <w:szCs w:val="20"/>
        </w:rPr>
        <w:t xml:space="preserve"> </w:t>
      </w:r>
      <w:r w:rsidRPr="000977F7">
        <w:rPr>
          <w:rFonts w:asciiTheme="majorHAnsi" w:hAnsiTheme="majorHAnsi"/>
          <w:sz w:val="20"/>
          <w:szCs w:val="20"/>
        </w:rPr>
        <w:t>того,</w:t>
      </w:r>
      <w:r w:rsidRPr="000977F7">
        <w:rPr>
          <w:rFonts w:asciiTheme="majorHAnsi" w:hAnsiTheme="majorHAnsi"/>
          <w:spacing w:val="25"/>
          <w:sz w:val="20"/>
          <w:szCs w:val="20"/>
        </w:rPr>
        <w:t xml:space="preserve"> </w:t>
      </w:r>
      <w:r w:rsidRPr="000977F7">
        <w:rPr>
          <w:rFonts w:asciiTheme="majorHAnsi" w:hAnsiTheme="majorHAnsi"/>
          <w:sz w:val="20"/>
          <w:szCs w:val="20"/>
        </w:rPr>
        <w:t>що</w:t>
      </w:r>
      <w:r w:rsidRPr="000977F7">
        <w:rPr>
          <w:rFonts w:asciiTheme="majorHAnsi" w:hAnsiTheme="majorHAnsi"/>
          <w:spacing w:val="25"/>
          <w:sz w:val="20"/>
          <w:szCs w:val="20"/>
        </w:rPr>
        <w:t xml:space="preserve"> </w:t>
      </w:r>
      <w:r w:rsidRPr="000977F7">
        <w:rPr>
          <w:rFonts w:asciiTheme="majorHAnsi" w:hAnsiTheme="majorHAnsi"/>
          <w:sz w:val="20"/>
          <w:szCs w:val="20"/>
        </w:rPr>
        <w:t>в</w:t>
      </w:r>
      <w:r w:rsidRPr="000977F7">
        <w:rPr>
          <w:rFonts w:asciiTheme="majorHAnsi" w:hAnsiTheme="majorHAnsi"/>
          <w:spacing w:val="24"/>
          <w:sz w:val="20"/>
          <w:szCs w:val="20"/>
        </w:rPr>
        <w:t xml:space="preserve"> </w:t>
      </w:r>
      <w:r w:rsidRPr="000977F7">
        <w:rPr>
          <w:rFonts w:asciiTheme="majorHAnsi" w:hAnsiTheme="majorHAnsi"/>
          <w:sz w:val="20"/>
          <w:szCs w:val="20"/>
        </w:rPr>
        <w:t>заданому</w:t>
      </w:r>
      <w:r w:rsidRPr="000977F7">
        <w:rPr>
          <w:rFonts w:asciiTheme="majorHAnsi" w:hAnsiTheme="majorHAnsi"/>
          <w:spacing w:val="20"/>
          <w:sz w:val="20"/>
          <w:szCs w:val="20"/>
        </w:rPr>
        <w:t xml:space="preserve"> </w:t>
      </w:r>
      <w:r w:rsidRPr="000977F7">
        <w:rPr>
          <w:rFonts w:asciiTheme="majorHAnsi" w:hAnsiTheme="majorHAnsi"/>
          <w:sz w:val="20"/>
          <w:szCs w:val="20"/>
        </w:rPr>
        <w:t>інтервалі</w:t>
      </w:r>
      <w:r w:rsidRPr="000977F7">
        <w:rPr>
          <w:rFonts w:asciiTheme="majorHAnsi" w:hAnsiTheme="majorHAnsi"/>
          <w:spacing w:val="24"/>
          <w:sz w:val="20"/>
          <w:szCs w:val="20"/>
        </w:rPr>
        <w:t xml:space="preserve"> </w:t>
      </w:r>
      <w:r w:rsidRPr="000977F7">
        <w:rPr>
          <w:rFonts w:asciiTheme="majorHAnsi" w:hAnsiTheme="majorHAnsi"/>
          <w:sz w:val="20"/>
          <w:szCs w:val="20"/>
        </w:rPr>
        <w:t>часу</w:t>
      </w:r>
      <w:r w:rsidRPr="000977F7">
        <w:rPr>
          <w:rFonts w:asciiTheme="majorHAnsi" w:hAnsiTheme="majorHAnsi"/>
          <w:spacing w:val="21"/>
          <w:sz w:val="20"/>
          <w:szCs w:val="20"/>
        </w:rPr>
        <w:t xml:space="preserve"> </w:t>
      </w:r>
      <w:r w:rsidRPr="000977F7">
        <w:rPr>
          <w:rFonts w:asciiTheme="majorHAnsi" w:hAnsiTheme="majorHAnsi"/>
          <w:sz w:val="20"/>
          <w:szCs w:val="20"/>
        </w:rPr>
        <w:t>або</w:t>
      </w:r>
      <w:r w:rsidRPr="000977F7">
        <w:rPr>
          <w:rFonts w:asciiTheme="majorHAnsi" w:hAnsiTheme="majorHAnsi"/>
          <w:spacing w:val="25"/>
          <w:sz w:val="20"/>
          <w:szCs w:val="20"/>
        </w:rPr>
        <w:t xml:space="preserve"> </w:t>
      </w:r>
      <w:r w:rsidRPr="000977F7">
        <w:rPr>
          <w:rFonts w:asciiTheme="majorHAnsi" w:hAnsiTheme="majorHAnsi"/>
          <w:sz w:val="20"/>
          <w:szCs w:val="20"/>
        </w:rPr>
        <w:t>в</w:t>
      </w:r>
      <w:r w:rsidRPr="000977F7">
        <w:rPr>
          <w:rFonts w:asciiTheme="majorHAnsi" w:hAnsiTheme="majorHAnsi"/>
          <w:spacing w:val="-47"/>
          <w:sz w:val="20"/>
          <w:szCs w:val="20"/>
        </w:rPr>
        <w:t xml:space="preserve"> </w:t>
      </w:r>
      <w:r w:rsidRPr="000977F7">
        <w:rPr>
          <w:rFonts w:asciiTheme="majorHAnsi" w:hAnsiTheme="majorHAnsi"/>
          <w:sz w:val="20"/>
          <w:szCs w:val="20"/>
        </w:rPr>
        <w:t>межах заданого напрацювання виникне відмова</w:t>
      </w:r>
    </w:p>
    <w:p w14:paraId="394E68E7"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 xml:space="preserve">ІМОВІРНІСТЬ ВІДСУТНОСТІ </w:t>
      </w:r>
    </w:p>
    <w:p w14:paraId="101B2C5B"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sz w:val="20"/>
          <w:szCs w:val="20"/>
        </w:rPr>
        <w:t>(НЕВИНИКНЕННЯ)</w:t>
      </w:r>
      <w:r w:rsidRPr="000977F7">
        <w:rPr>
          <w:rFonts w:asciiTheme="majorHAnsi" w:hAnsiTheme="majorHAnsi"/>
          <w:b/>
          <w:spacing w:val="-1"/>
          <w:sz w:val="20"/>
          <w:szCs w:val="20"/>
        </w:rPr>
        <w:t xml:space="preserve"> </w:t>
      </w:r>
      <w:r w:rsidRPr="000977F7">
        <w:rPr>
          <w:rFonts w:asciiTheme="majorHAnsi" w:hAnsiTheme="majorHAnsi"/>
          <w:b/>
          <w:sz w:val="20"/>
          <w:szCs w:val="20"/>
        </w:rPr>
        <w:t>АВАРІЇ</w:t>
      </w:r>
      <w:r w:rsidRPr="000977F7">
        <w:rPr>
          <w:rFonts w:asciiTheme="majorHAnsi" w:hAnsiTheme="majorHAnsi"/>
          <w:b/>
          <w:spacing w:val="-2"/>
          <w:sz w:val="20"/>
          <w:szCs w:val="20"/>
        </w:rPr>
        <w:t xml:space="preserve"> </w:t>
      </w:r>
      <w:r w:rsidRPr="000977F7">
        <w:rPr>
          <w:rFonts w:asciiTheme="majorHAnsi" w:hAnsiTheme="majorHAnsi"/>
          <w:b/>
          <w:sz w:val="20"/>
          <w:szCs w:val="20"/>
        </w:rPr>
        <w:t>І-ГО ВИДУ</w:t>
      </w:r>
      <w:r w:rsidRPr="000977F7">
        <w:rPr>
          <w:rFonts w:asciiTheme="majorHAnsi" w:hAnsiTheme="majorHAnsi"/>
          <w:b/>
          <w:spacing w:val="-2"/>
          <w:sz w:val="20"/>
          <w:szCs w:val="20"/>
        </w:rPr>
        <w:t xml:space="preserve"> </w:t>
      </w:r>
      <w:r w:rsidRPr="000977F7">
        <w:rPr>
          <w:rFonts w:asciiTheme="majorHAnsi" w:hAnsiTheme="majorHAnsi"/>
          <w:b/>
          <w:sz w:val="20"/>
          <w:szCs w:val="20"/>
        </w:rPr>
        <w:t>ЗА</w:t>
      </w:r>
      <w:r w:rsidRPr="000977F7">
        <w:rPr>
          <w:rFonts w:asciiTheme="majorHAnsi" w:hAnsiTheme="majorHAnsi"/>
          <w:b/>
          <w:spacing w:val="-1"/>
          <w:sz w:val="20"/>
          <w:szCs w:val="20"/>
        </w:rPr>
        <w:t xml:space="preserve"> </w:t>
      </w:r>
      <w:r w:rsidRPr="000977F7">
        <w:rPr>
          <w:rFonts w:asciiTheme="majorHAnsi" w:hAnsiTheme="majorHAnsi"/>
          <w:b/>
          <w:sz w:val="20"/>
          <w:szCs w:val="20"/>
        </w:rPr>
        <w:t xml:space="preserve">НОРМАЛЬНИХ </w:t>
      </w:r>
      <w:r w:rsidRPr="000977F7">
        <w:rPr>
          <w:rFonts w:asciiTheme="majorHAnsi" w:hAnsiTheme="majorHAnsi"/>
          <w:b/>
          <w:bCs/>
          <w:sz w:val="20"/>
          <w:szCs w:val="20"/>
        </w:rPr>
        <w:t>УМОВ</w:t>
      </w:r>
      <w:r w:rsidRPr="000977F7">
        <w:rPr>
          <w:rFonts w:asciiTheme="majorHAnsi" w:hAnsiTheme="majorHAnsi"/>
          <w:b/>
          <w:bCs/>
          <w:spacing w:val="-4"/>
          <w:sz w:val="20"/>
          <w:szCs w:val="20"/>
        </w:rPr>
        <w:t xml:space="preserve"> </w:t>
      </w:r>
      <w:r w:rsidRPr="000977F7">
        <w:rPr>
          <w:rFonts w:asciiTheme="majorHAnsi" w:hAnsiTheme="majorHAnsi"/>
          <w:b/>
          <w:bCs/>
          <w:sz w:val="20"/>
          <w:szCs w:val="20"/>
        </w:rPr>
        <w:t>ФУНКЦІОНУВАННЯ</w:t>
      </w:r>
      <w:r w:rsidRPr="000977F7">
        <w:rPr>
          <w:rFonts w:asciiTheme="majorHAnsi" w:hAnsiTheme="majorHAnsi"/>
          <w:b/>
          <w:bCs/>
          <w:spacing w:val="-1"/>
          <w:sz w:val="20"/>
          <w:szCs w:val="20"/>
        </w:rPr>
        <w:t xml:space="preserve"> </w:t>
      </w:r>
      <w:r w:rsidRPr="000977F7">
        <w:rPr>
          <w:rFonts w:asciiTheme="majorHAnsi" w:hAnsiTheme="majorHAnsi"/>
          <w:b/>
          <w:bCs/>
          <w:sz w:val="20"/>
          <w:szCs w:val="20"/>
        </w:rPr>
        <w:t>ОБ'ЄКТА</w:t>
      </w:r>
      <w:r w:rsidRPr="000977F7">
        <w:rPr>
          <w:rFonts w:asciiTheme="majorHAnsi" w:hAnsiTheme="majorHAnsi"/>
          <w:b/>
          <w:bCs/>
          <w:spacing w:val="-4"/>
          <w:sz w:val="20"/>
          <w:szCs w:val="20"/>
        </w:rPr>
        <w:t xml:space="preserve"> </w:t>
      </w:r>
      <w:r w:rsidRPr="000977F7">
        <w:rPr>
          <w:rFonts w:asciiTheme="majorHAnsi" w:hAnsiTheme="majorHAnsi"/>
          <w:b/>
          <w:bCs/>
          <w:sz w:val="20"/>
          <w:szCs w:val="20"/>
        </w:rPr>
        <w:t>—</w:t>
      </w:r>
    </w:p>
    <w:p w14:paraId="7D8148A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Імовірність того, що в межах заданого інтервалу аварія і-го виду за нормальних умов функціонування</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не виникне</w:t>
      </w:r>
    </w:p>
    <w:p w14:paraId="63CCB48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3F35E60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ІМОВІРНІСТЬ ВІДСУТНОСТІ (НЕВИНИКНЕННЯ) АВАРІЇ І-ГО ВИДУ ПІД ЧАС ВПЛИВУ НА</w:t>
      </w:r>
      <w:r w:rsidRPr="000977F7">
        <w:rPr>
          <w:color w:val="auto"/>
          <w:spacing w:val="1"/>
          <w:sz w:val="20"/>
          <w:szCs w:val="20"/>
        </w:rPr>
        <w:t xml:space="preserve"> </w:t>
      </w:r>
      <w:r w:rsidRPr="000977F7">
        <w:rPr>
          <w:color w:val="auto"/>
          <w:sz w:val="20"/>
          <w:szCs w:val="20"/>
        </w:rPr>
        <w:t>ОБ'ЄКТ</w:t>
      </w:r>
      <w:r w:rsidRPr="000977F7">
        <w:rPr>
          <w:color w:val="auto"/>
          <w:spacing w:val="-7"/>
          <w:sz w:val="20"/>
          <w:szCs w:val="20"/>
        </w:rPr>
        <w:t xml:space="preserve"> </w:t>
      </w:r>
      <w:r w:rsidRPr="000977F7">
        <w:rPr>
          <w:color w:val="auto"/>
          <w:sz w:val="20"/>
          <w:szCs w:val="20"/>
        </w:rPr>
        <w:t>J-ГO</w:t>
      </w:r>
      <w:r w:rsidRPr="000977F7">
        <w:rPr>
          <w:color w:val="auto"/>
          <w:spacing w:val="-4"/>
          <w:sz w:val="20"/>
          <w:szCs w:val="20"/>
        </w:rPr>
        <w:t xml:space="preserve"> </w:t>
      </w:r>
      <w:r w:rsidRPr="000977F7">
        <w:rPr>
          <w:color w:val="auto"/>
          <w:sz w:val="20"/>
          <w:szCs w:val="20"/>
        </w:rPr>
        <w:t>ЕКСТРЕМАЛЬНОГО</w:t>
      </w:r>
      <w:r w:rsidRPr="000977F7">
        <w:rPr>
          <w:color w:val="auto"/>
          <w:spacing w:val="-5"/>
          <w:sz w:val="20"/>
          <w:szCs w:val="20"/>
        </w:rPr>
        <w:t xml:space="preserve"> </w:t>
      </w:r>
      <w:r w:rsidRPr="000977F7">
        <w:rPr>
          <w:color w:val="auto"/>
          <w:sz w:val="20"/>
          <w:szCs w:val="20"/>
        </w:rPr>
        <w:t>ФАКТОРА</w:t>
      </w:r>
      <w:r w:rsidRPr="000977F7">
        <w:rPr>
          <w:color w:val="auto"/>
          <w:spacing w:val="-6"/>
          <w:sz w:val="20"/>
          <w:szCs w:val="20"/>
        </w:rPr>
        <w:t xml:space="preserve"> </w:t>
      </w:r>
      <w:r w:rsidRPr="000977F7">
        <w:rPr>
          <w:color w:val="auto"/>
          <w:sz w:val="20"/>
          <w:szCs w:val="20"/>
        </w:rPr>
        <w:t>—</w:t>
      </w:r>
    </w:p>
    <w:p w14:paraId="11C6454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Імовірність того, що в межах заданого інтервалу часу</w:t>
      </w:r>
      <w:r w:rsidRPr="000977F7">
        <w:rPr>
          <w:rFonts w:asciiTheme="majorHAnsi" w:hAnsiTheme="majorHAnsi"/>
          <w:spacing w:val="1"/>
          <w:sz w:val="20"/>
          <w:szCs w:val="20"/>
        </w:rPr>
        <w:t xml:space="preserve"> </w:t>
      </w:r>
      <w:r w:rsidRPr="000977F7">
        <w:rPr>
          <w:rFonts w:asciiTheme="majorHAnsi" w:hAnsiTheme="majorHAnsi"/>
          <w:sz w:val="20"/>
          <w:szCs w:val="20"/>
        </w:rPr>
        <w:t>аварія і-го виду під час впливу на об'єкт j-гo екстремального фактора не виникне</w:t>
      </w:r>
    </w:p>
    <w:p w14:paraId="7E5B969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1AAE1A9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ІМОВІРНІСТЬ</w:t>
      </w:r>
      <w:r w:rsidRPr="000977F7">
        <w:rPr>
          <w:color w:val="auto"/>
          <w:spacing w:val="-8"/>
          <w:sz w:val="20"/>
          <w:szCs w:val="20"/>
        </w:rPr>
        <w:t xml:space="preserve"> </w:t>
      </w:r>
      <w:r w:rsidRPr="000977F7">
        <w:rPr>
          <w:color w:val="auto"/>
          <w:sz w:val="20"/>
          <w:szCs w:val="20"/>
        </w:rPr>
        <w:t>ДОТРИМАННЯ</w:t>
      </w:r>
      <w:r w:rsidRPr="000977F7">
        <w:rPr>
          <w:color w:val="auto"/>
          <w:spacing w:val="-8"/>
          <w:sz w:val="20"/>
          <w:szCs w:val="20"/>
        </w:rPr>
        <w:t xml:space="preserve"> </w:t>
      </w:r>
      <w:r w:rsidRPr="000977F7">
        <w:rPr>
          <w:color w:val="auto"/>
          <w:sz w:val="20"/>
          <w:szCs w:val="20"/>
        </w:rPr>
        <w:t>НОРМАТИВУ</w:t>
      </w:r>
      <w:r w:rsidRPr="000977F7">
        <w:rPr>
          <w:color w:val="auto"/>
          <w:spacing w:val="-47"/>
          <w:sz w:val="20"/>
          <w:szCs w:val="20"/>
        </w:rPr>
        <w:t xml:space="preserve"> </w:t>
      </w:r>
      <w:r w:rsidRPr="000977F7">
        <w:rPr>
          <w:color w:val="auto"/>
          <w:sz w:val="20"/>
          <w:szCs w:val="20"/>
        </w:rPr>
        <w:t>БРАКУ</w:t>
      </w:r>
      <w:r w:rsidRPr="000977F7">
        <w:rPr>
          <w:color w:val="auto"/>
          <w:spacing w:val="-1"/>
          <w:sz w:val="20"/>
          <w:szCs w:val="20"/>
        </w:rPr>
        <w:t xml:space="preserve"> </w:t>
      </w:r>
      <w:r w:rsidRPr="000977F7">
        <w:rPr>
          <w:color w:val="auto"/>
          <w:sz w:val="20"/>
          <w:szCs w:val="20"/>
        </w:rPr>
        <w:t>–</w:t>
      </w:r>
    </w:p>
    <w:p w14:paraId="243F01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Імовірність того, що значення коефіцієнта браку не</w:t>
      </w:r>
      <w:r w:rsidRPr="000977F7">
        <w:rPr>
          <w:rFonts w:asciiTheme="majorHAnsi" w:hAnsiTheme="majorHAnsi"/>
          <w:spacing w:val="1"/>
          <w:sz w:val="20"/>
          <w:szCs w:val="20"/>
        </w:rPr>
        <w:t xml:space="preserve"> </w:t>
      </w:r>
      <w:r w:rsidRPr="000977F7">
        <w:rPr>
          <w:rFonts w:asciiTheme="majorHAnsi" w:hAnsiTheme="majorHAnsi"/>
          <w:sz w:val="20"/>
          <w:szCs w:val="20"/>
        </w:rPr>
        <w:t>перевищить</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нормативного</w:t>
      </w:r>
      <w:r w:rsidRPr="000977F7">
        <w:rPr>
          <w:rFonts w:asciiTheme="majorHAnsi" w:hAnsiTheme="majorHAnsi"/>
          <w:spacing w:val="1"/>
          <w:sz w:val="20"/>
          <w:szCs w:val="20"/>
        </w:rPr>
        <w:t xml:space="preserve"> </w:t>
      </w:r>
      <w:r w:rsidRPr="000977F7">
        <w:rPr>
          <w:rFonts w:asciiTheme="majorHAnsi" w:hAnsiTheme="majorHAnsi"/>
          <w:sz w:val="20"/>
          <w:szCs w:val="20"/>
        </w:rPr>
        <w:t>(техніко-економічно</w:t>
      </w:r>
      <w:r w:rsidRPr="000977F7">
        <w:rPr>
          <w:rFonts w:asciiTheme="majorHAnsi" w:hAnsiTheme="majorHAnsi"/>
          <w:spacing w:val="1"/>
          <w:sz w:val="20"/>
          <w:szCs w:val="20"/>
        </w:rPr>
        <w:t xml:space="preserve"> </w:t>
      </w:r>
      <w:r w:rsidRPr="000977F7">
        <w:rPr>
          <w:rFonts w:asciiTheme="majorHAnsi" w:hAnsiTheme="majorHAnsi"/>
          <w:sz w:val="20"/>
          <w:szCs w:val="20"/>
        </w:rPr>
        <w:t>обґрунтованого)</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p>
    <w:p w14:paraId="203B959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2470 - 94</w:t>
      </w:r>
    </w:p>
    <w:p w14:paraId="28E7479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ІМОВІРНІСТЬ ДОТРИМАННЯ НОРМАТИВУ</w:t>
      </w:r>
      <w:r w:rsidRPr="000977F7">
        <w:rPr>
          <w:color w:val="auto"/>
          <w:spacing w:val="1"/>
          <w:sz w:val="20"/>
          <w:szCs w:val="20"/>
        </w:rPr>
        <w:t xml:space="preserve"> </w:t>
      </w:r>
      <w:r w:rsidRPr="000977F7">
        <w:rPr>
          <w:color w:val="auto"/>
          <w:sz w:val="20"/>
          <w:szCs w:val="20"/>
        </w:rPr>
        <w:t>ДЕФЕКТНОСТІ</w:t>
      </w:r>
      <w:r w:rsidRPr="000977F7">
        <w:rPr>
          <w:color w:val="auto"/>
          <w:spacing w:val="-9"/>
          <w:sz w:val="20"/>
          <w:szCs w:val="20"/>
        </w:rPr>
        <w:t xml:space="preserve"> </w:t>
      </w:r>
      <w:r w:rsidRPr="000977F7">
        <w:rPr>
          <w:color w:val="auto"/>
          <w:sz w:val="20"/>
          <w:szCs w:val="20"/>
        </w:rPr>
        <w:t>ТЕХНОЛОГІЧНОЇ</w:t>
      </w:r>
      <w:r w:rsidRPr="000977F7">
        <w:rPr>
          <w:color w:val="auto"/>
          <w:spacing w:val="-9"/>
          <w:sz w:val="20"/>
          <w:szCs w:val="20"/>
        </w:rPr>
        <w:t xml:space="preserve"> </w:t>
      </w:r>
      <w:r w:rsidRPr="000977F7">
        <w:rPr>
          <w:color w:val="auto"/>
          <w:sz w:val="20"/>
          <w:szCs w:val="20"/>
        </w:rPr>
        <w:t>СИСТЕМИ</w:t>
      </w:r>
      <w:r w:rsidRPr="000977F7">
        <w:rPr>
          <w:color w:val="auto"/>
          <w:spacing w:val="-47"/>
          <w:sz w:val="20"/>
          <w:szCs w:val="20"/>
        </w:rPr>
        <w:t xml:space="preserve"> </w:t>
      </w:r>
      <w:r w:rsidRPr="000977F7">
        <w:rPr>
          <w:color w:val="auto"/>
          <w:sz w:val="20"/>
          <w:szCs w:val="20"/>
        </w:rPr>
        <w:t xml:space="preserve">ОПЕРАЦІЇ (ПРОЦЕСУ, ВИРОБНИЧОГО </w:t>
      </w:r>
    </w:p>
    <w:p w14:paraId="4BB1E4A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ПІДРОЗДІЛУ,</w:t>
      </w:r>
      <w:r w:rsidRPr="000977F7">
        <w:rPr>
          <w:color w:val="auto"/>
          <w:spacing w:val="-1"/>
          <w:sz w:val="20"/>
          <w:szCs w:val="20"/>
        </w:rPr>
        <w:t xml:space="preserve"> </w:t>
      </w:r>
      <w:r w:rsidRPr="000977F7">
        <w:rPr>
          <w:color w:val="auto"/>
          <w:sz w:val="20"/>
          <w:szCs w:val="20"/>
        </w:rPr>
        <w:t>ПІДПРИЄМСТВА)</w:t>
      </w:r>
      <w:r w:rsidRPr="000977F7">
        <w:rPr>
          <w:color w:val="auto"/>
          <w:spacing w:val="2"/>
          <w:sz w:val="20"/>
          <w:szCs w:val="20"/>
        </w:rPr>
        <w:t xml:space="preserve"> </w:t>
      </w:r>
      <w:r w:rsidRPr="000977F7">
        <w:rPr>
          <w:color w:val="auto"/>
          <w:sz w:val="20"/>
          <w:szCs w:val="20"/>
        </w:rPr>
        <w:t>–</w:t>
      </w:r>
    </w:p>
    <w:p w14:paraId="029E16D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Імовірність того, що значення коефіцієнта дефектності технологічної системи операції (процесу, виробничого підрозділу, підприємства) не перевищить нормативного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(техніко-економічного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обґрунтованого)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значення</w:t>
      </w:r>
    </w:p>
    <w:p w14:paraId="05DE073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2470 - 94</w:t>
      </w:r>
    </w:p>
    <w:p w14:paraId="31C7F17F" w14:textId="77777777" w:rsidR="0097612F" w:rsidRPr="000977F7" w:rsidRDefault="0097612F" w:rsidP="000977F7">
      <w:pPr>
        <w:pStyle w:val="7"/>
        <w:tabs>
          <w:tab w:val="left" w:pos="284"/>
          <w:tab w:val="left" w:pos="2047"/>
          <w:tab w:val="left" w:pos="3750"/>
        </w:tabs>
        <w:spacing w:before="0" w:line="240" w:lineRule="auto"/>
        <w:ind w:left="170"/>
        <w:mirrorIndents/>
        <w:jc w:val="both"/>
        <w:rPr>
          <w:color w:val="auto"/>
          <w:sz w:val="20"/>
          <w:szCs w:val="20"/>
        </w:rPr>
      </w:pPr>
      <w:r w:rsidRPr="000977F7">
        <w:rPr>
          <w:color w:val="auto"/>
          <w:sz w:val="20"/>
          <w:szCs w:val="20"/>
        </w:rPr>
        <w:t xml:space="preserve">ІМОВІРНІСТЬ ДОТРИМАННЯ </w:t>
      </w:r>
      <w:r w:rsidRPr="000977F7">
        <w:rPr>
          <w:color w:val="auto"/>
          <w:spacing w:val="-1"/>
          <w:sz w:val="20"/>
          <w:szCs w:val="20"/>
        </w:rPr>
        <w:t>НОРМАТИВУ</w:t>
      </w:r>
      <w:r w:rsidRPr="000977F7">
        <w:rPr>
          <w:color w:val="auto"/>
          <w:spacing w:val="-47"/>
          <w:sz w:val="20"/>
          <w:szCs w:val="20"/>
        </w:rPr>
        <w:t xml:space="preserve"> </w:t>
      </w:r>
      <w:r w:rsidRPr="000977F7">
        <w:rPr>
          <w:color w:val="auto"/>
          <w:sz w:val="20"/>
          <w:szCs w:val="20"/>
        </w:rPr>
        <w:t>ЗДАНОЇ</w:t>
      </w:r>
      <w:r w:rsidRPr="000977F7">
        <w:rPr>
          <w:color w:val="auto"/>
          <w:spacing w:val="-4"/>
          <w:sz w:val="20"/>
          <w:szCs w:val="20"/>
        </w:rPr>
        <w:t xml:space="preserve"> </w:t>
      </w:r>
      <w:r w:rsidRPr="000977F7">
        <w:rPr>
          <w:color w:val="auto"/>
          <w:sz w:val="20"/>
          <w:szCs w:val="20"/>
        </w:rPr>
        <w:t>ПРОДУКЦІЇ</w:t>
      </w:r>
      <w:r w:rsidRPr="000977F7">
        <w:rPr>
          <w:color w:val="auto"/>
          <w:spacing w:val="-3"/>
          <w:sz w:val="20"/>
          <w:szCs w:val="20"/>
        </w:rPr>
        <w:t xml:space="preserve"> </w:t>
      </w:r>
      <w:r w:rsidRPr="000977F7">
        <w:rPr>
          <w:color w:val="auto"/>
          <w:sz w:val="20"/>
          <w:szCs w:val="20"/>
        </w:rPr>
        <w:t>З</w:t>
      </w:r>
      <w:r w:rsidRPr="000977F7">
        <w:rPr>
          <w:color w:val="auto"/>
          <w:spacing w:val="-3"/>
          <w:sz w:val="20"/>
          <w:szCs w:val="20"/>
        </w:rPr>
        <w:t xml:space="preserve"> </w:t>
      </w:r>
      <w:r w:rsidRPr="000977F7">
        <w:rPr>
          <w:color w:val="auto"/>
          <w:sz w:val="20"/>
          <w:szCs w:val="20"/>
        </w:rPr>
        <w:t>ПЕРШОГО</w:t>
      </w:r>
      <w:r w:rsidRPr="000977F7">
        <w:rPr>
          <w:color w:val="auto"/>
          <w:spacing w:val="-1"/>
          <w:sz w:val="20"/>
          <w:szCs w:val="20"/>
        </w:rPr>
        <w:t xml:space="preserve"> </w:t>
      </w:r>
      <w:r w:rsidRPr="000977F7">
        <w:rPr>
          <w:color w:val="auto"/>
          <w:sz w:val="20"/>
          <w:szCs w:val="20"/>
        </w:rPr>
        <w:t>ПОДАННЯ</w:t>
      </w:r>
      <w:r w:rsidRPr="000977F7">
        <w:rPr>
          <w:color w:val="auto"/>
          <w:spacing w:val="1"/>
          <w:sz w:val="20"/>
          <w:szCs w:val="20"/>
        </w:rPr>
        <w:t xml:space="preserve"> </w:t>
      </w:r>
      <w:r w:rsidRPr="000977F7">
        <w:rPr>
          <w:color w:val="auto"/>
          <w:sz w:val="20"/>
          <w:szCs w:val="20"/>
        </w:rPr>
        <w:t>–</w:t>
      </w:r>
    </w:p>
    <w:p w14:paraId="5E887329" w14:textId="77777777" w:rsidR="0097612F" w:rsidRPr="000977F7" w:rsidRDefault="0097612F" w:rsidP="000977F7">
      <w:pPr>
        <w:pStyle w:val="7"/>
        <w:tabs>
          <w:tab w:val="left" w:pos="284"/>
        </w:tabs>
        <w:spacing w:before="0" w:line="240" w:lineRule="auto"/>
        <w:ind w:left="170"/>
        <w:mirrorIndents/>
        <w:jc w:val="both"/>
        <w:rPr>
          <w:b w:val="0"/>
          <w:bCs/>
          <w:color w:val="auto"/>
          <w:spacing w:val="1"/>
          <w:sz w:val="20"/>
          <w:szCs w:val="20"/>
        </w:rPr>
      </w:pPr>
      <w:r w:rsidRPr="000977F7">
        <w:rPr>
          <w:b w:val="0"/>
          <w:bCs/>
          <w:color w:val="auto"/>
          <w:sz w:val="20"/>
          <w:szCs w:val="20"/>
        </w:rPr>
        <w:t>Імовірність</w:t>
      </w:r>
      <w:r w:rsidRPr="000977F7">
        <w:rPr>
          <w:b w:val="0"/>
          <w:bCs/>
          <w:color w:val="auto"/>
          <w:spacing w:val="18"/>
          <w:sz w:val="20"/>
          <w:szCs w:val="20"/>
        </w:rPr>
        <w:t xml:space="preserve"> </w:t>
      </w:r>
      <w:r w:rsidRPr="000977F7">
        <w:rPr>
          <w:b w:val="0"/>
          <w:bCs/>
          <w:color w:val="auto"/>
          <w:sz w:val="20"/>
          <w:szCs w:val="20"/>
        </w:rPr>
        <w:t>того,</w:t>
      </w:r>
      <w:r w:rsidRPr="000977F7">
        <w:rPr>
          <w:b w:val="0"/>
          <w:bCs/>
          <w:color w:val="auto"/>
          <w:spacing w:val="19"/>
          <w:sz w:val="20"/>
          <w:szCs w:val="20"/>
        </w:rPr>
        <w:t xml:space="preserve"> </w:t>
      </w:r>
      <w:r w:rsidRPr="000977F7">
        <w:rPr>
          <w:b w:val="0"/>
          <w:bCs/>
          <w:color w:val="auto"/>
          <w:sz w:val="20"/>
          <w:szCs w:val="20"/>
        </w:rPr>
        <w:t>що</w:t>
      </w:r>
      <w:r w:rsidRPr="000977F7">
        <w:rPr>
          <w:b w:val="0"/>
          <w:bCs/>
          <w:color w:val="auto"/>
          <w:spacing w:val="20"/>
          <w:sz w:val="20"/>
          <w:szCs w:val="20"/>
        </w:rPr>
        <w:t xml:space="preserve"> </w:t>
      </w:r>
      <w:r w:rsidRPr="000977F7">
        <w:rPr>
          <w:b w:val="0"/>
          <w:bCs/>
          <w:color w:val="auto"/>
          <w:sz w:val="20"/>
          <w:szCs w:val="20"/>
        </w:rPr>
        <w:t>значення</w:t>
      </w:r>
      <w:r w:rsidRPr="000977F7">
        <w:rPr>
          <w:b w:val="0"/>
          <w:bCs/>
          <w:color w:val="auto"/>
          <w:spacing w:val="18"/>
          <w:sz w:val="20"/>
          <w:szCs w:val="20"/>
        </w:rPr>
        <w:t xml:space="preserve"> </w:t>
      </w:r>
      <w:r w:rsidRPr="000977F7">
        <w:rPr>
          <w:b w:val="0"/>
          <w:bCs/>
          <w:color w:val="auto"/>
          <w:sz w:val="20"/>
          <w:szCs w:val="20"/>
        </w:rPr>
        <w:t>відсотку</w:t>
      </w:r>
      <w:r w:rsidRPr="000977F7">
        <w:rPr>
          <w:b w:val="0"/>
          <w:bCs/>
          <w:color w:val="auto"/>
          <w:spacing w:val="18"/>
          <w:sz w:val="20"/>
          <w:szCs w:val="20"/>
        </w:rPr>
        <w:t xml:space="preserve"> </w:t>
      </w:r>
      <w:r w:rsidRPr="000977F7">
        <w:rPr>
          <w:b w:val="0"/>
          <w:bCs/>
          <w:color w:val="auto"/>
          <w:sz w:val="20"/>
          <w:szCs w:val="20"/>
        </w:rPr>
        <w:t>зданої</w:t>
      </w:r>
      <w:r w:rsidRPr="000977F7">
        <w:rPr>
          <w:b w:val="0"/>
          <w:bCs/>
          <w:color w:val="auto"/>
          <w:spacing w:val="18"/>
          <w:sz w:val="20"/>
          <w:szCs w:val="20"/>
        </w:rPr>
        <w:t xml:space="preserve"> </w:t>
      </w:r>
      <w:r w:rsidRPr="000977F7">
        <w:rPr>
          <w:b w:val="0"/>
          <w:bCs/>
          <w:color w:val="auto"/>
          <w:sz w:val="20"/>
          <w:szCs w:val="20"/>
        </w:rPr>
        <w:t>продукції</w:t>
      </w:r>
      <w:r w:rsidRPr="000977F7">
        <w:rPr>
          <w:b w:val="0"/>
          <w:bCs/>
          <w:color w:val="auto"/>
          <w:spacing w:val="16"/>
          <w:sz w:val="20"/>
          <w:szCs w:val="20"/>
        </w:rPr>
        <w:t xml:space="preserve"> </w:t>
      </w:r>
      <w:r w:rsidRPr="000977F7">
        <w:rPr>
          <w:b w:val="0"/>
          <w:bCs/>
          <w:color w:val="auto"/>
          <w:sz w:val="20"/>
          <w:szCs w:val="20"/>
        </w:rPr>
        <w:t>з</w:t>
      </w:r>
      <w:r w:rsidRPr="000977F7">
        <w:rPr>
          <w:b w:val="0"/>
          <w:bCs/>
          <w:color w:val="auto"/>
          <w:spacing w:val="18"/>
          <w:sz w:val="20"/>
          <w:szCs w:val="20"/>
        </w:rPr>
        <w:t xml:space="preserve"> </w:t>
      </w:r>
      <w:r w:rsidRPr="000977F7">
        <w:rPr>
          <w:b w:val="0"/>
          <w:bCs/>
          <w:color w:val="auto"/>
          <w:sz w:val="20"/>
          <w:szCs w:val="20"/>
        </w:rPr>
        <w:t>першого</w:t>
      </w:r>
      <w:r w:rsidRPr="000977F7">
        <w:rPr>
          <w:b w:val="0"/>
          <w:bCs/>
          <w:color w:val="auto"/>
          <w:spacing w:val="18"/>
          <w:sz w:val="20"/>
          <w:szCs w:val="20"/>
        </w:rPr>
        <w:t xml:space="preserve"> </w:t>
      </w:r>
      <w:r w:rsidRPr="000977F7">
        <w:rPr>
          <w:b w:val="0"/>
          <w:bCs/>
          <w:color w:val="auto"/>
          <w:sz w:val="20"/>
          <w:szCs w:val="20"/>
        </w:rPr>
        <w:t>подання</w:t>
      </w:r>
      <w:r w:rsidRPr="000977F7">
        <w:rPr>
          <w:b w:val="0"/>
          <w:bCs/>
          <w:color w:val="auto"/>
          <w:spacing w:val="17"/>
          <w:sz w:val="20"/>
          <w:szCs w:val="20"/>
        </w:rPr>
        <w:t xml:space="preserve"> </w:t>
      </w:r>
      <w:r w:rsidRPr="000977F7">
        <w:rPr>
          <w:b w:val="0"/>
          <w:bCs/>
          <w:color w:val="auto"/>
          <w:sz w:val="20"/>
          <w:szCs w:val="20"/>
        </w:rPr>
        <w:t>буде</w:t>
      </w:r>
      <w:r w:rsidRPr="000977F7">
        <w:rPr>
          <w:b w:val="0"/>
          <w:bCs/>
          <w:color w:val="auto"/>
          <w:spacing w:val="18"/>
          <w:sz w:val="20"/>
          <w:szCs w:val="20"/>
        </w:rPr>
        <w:t xml:space="preserve"> </w:t>
      </w:r>
      <w:r w:rsidRPr="000977F7">
        <w:rPr>
          <w:b w:val="0"/>
          <w:bCs/>
          <w:color w:val="auto"/>
          <w:sz w:val="20"/>
          <w:szCs w:val="20"/>
        </w:rPr>
        <w:t>не</w:t>
      </w:r>
      <w:r w:rsidRPr="000977F7">
        <w:rPr>
          <w:b w:val="0"/>
          <w:bCs/>
          <w:color w:val="auto"/>
          <w:spacing w:val="18"/>
          <w:sz w:val="20"/>
          <w:szCs w:val="20"/>
        </w:rPr>
        <w:t xml:space="preserve"> </w:t>
      </w:r>
      <w:r w:rsidRPr="000977F7">
        <w:rPr>
          <w:b w:val="0"/>
          <w:bCs/>
          <w:color w:val="auto"/>
          <w:sz w:val="20"/>
          <w:szCs w:val="20"/>
        </w:rPr>
        <w:t>менше</w:t>
      </w:r>
      <w:r w:rsidRPr="000977F7">
        <w:rPr>
          <w:b w:val="0"/>
          <w:bCs/>
          <w:color w:val="auto"/>
          <w:spacing w:val="18"/>
          <w:sz w:val="20"/>
          <w:szCs w:val="20"/>
        </w:rPr>
        <w:t xml:space="preserve"> </w:t>
      </w:r>
      <w:r w:rsidRPr="000977F7">
        <w:rPr>
          <w:b w:val="0"/>
          <w:bCs/>
          <w:color w:val="auto"/>
          <w:sz w:val="20"/>
          <w:szCs w:val="20"/>
        </w:rPr>
        <w:t>нормативного</w:t>
      </w:r>
      <w:r w:rsidRPr="000977F7">
        <w:rPr>
          <w:b w:val="0"/>
          <w:bCs/>
          <w:color w:val="auto"/>
          <w:spacing w:val="-47"/>
          <w:sz w:val="20"/>
          <w:szCs w:val="20"/>
        </w:rPr>
        <w:t xml:space="preserve"> </w:t>
      </w:r>
      <w:r w:rsidRPr="000977F7">
        <w:rPr>
          <w:b w:val="0"/>
          <w:bCs/>
          <w:color w:val="auto"/>
          <w:sz w:val="20"/>
          <w:szCs w:val="20"/>
        </w:rPr>
        <w:t>(техніко-економічного обґрунтованого) значення</w:t>
      </w:r>
      <w:r w:rsidRPr="000977F7">
        <w:rPr>
          <w:b w:val="0"/>
          <w:bCs/>
          <w:color w:val="auto"/>
          <w:spacing w:val="1"/>
          <w:sz w:val="20"/>
          <w:szCs w:val="20"/>
        </w:rPr>
        <w:t xml:space="preserve"> </w:t>
      </w:r>
    </w:p>
    <w:p w14:paraId="33B6DB47" w14:textId="77777777" w:rsidR="0097612F" w:rsidRPr="000977F7" w:rsidRDefault="0097612F" w:rsidP="000977F7">
      <w:pPr>
        <w:pStyle w:val="7"/>
        <w:tabs>
          <w:tab w:val="left" w:pos="284"/>
        </w:tabs>
        <w:spacing w:before="0" w:line="240" w:lineRule="auto"/>
        <w:ind w:left="170"/>
        <w:mirrorIndents/>
        <w:jc w:val="both"/>
        <w:rPr>
          <w:b w:val="0"/>
          <w:bCs/>
          <w:i/>
          <w:color w:val="auto"/>
          <w:sz w:val="20"/>
          <w:szCs w:val="20"/>
        </w:rPr>
      </w:pPr>
      <w:r w:rsidRPr="000977F7">
        <w:rPr>
          <w:b w:val="0"/>
          <w:bCs/>
          <w:i/>
          <w:color w:val="auto"/>
          <w:sz w:val="20"/>
          <w:szCs w:val="20"/>
        </w:rPr>
        <w:t>ДСТУ 2470 - 94</w:t>
      </w:r>
    </w:p>
    <w:p w14:paraId="0906F9D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ІМОВІРНІСТЬ</w:t>
      </w:r>
      <w:r w:rsidRPr="000977F7">
        <w:rPr>
          <w:color w:val="auto"/>
          <w:spacing w:val="-8"/>
          <w:sz w:val="20"/>
          <w:szCs w:val="20"/>
        </w:rPr>
        <w:t xml:space="preserve"> </w:t>
      </w:r>
      <w:r w:rsidRPr="000977F7">
        <w:rPr>
          <w:color w:val="auto"/>
          <w:sz w:val="20"/>
          <w:szCs w:val="20"/>
        </w:rPr>
        <w:t>ДОТРИМАННЯ</w:t>
      </w:r>
      <w:r w:rsidRPr="000977F7">
        <w:rPr>
          <w:color w:val="auto"/>
          <w:spacing w:val="-8"/>
          <w:sz w:val="20"/>
          <w:szCs w:val="20"/>
        </w:rPr>
        <w:t xml:space="preserve"> </w:t>
      </w:r>
      <w:r w:rsidRPr="000977F7">
        <w:rPr>
          <w:color w:val="auto"/>
          <w:sz w:val="20"/>
          <w:szCs w:val="20"/>
        </w:rPr>
        <w:t>НОРМАТИВУ</w:t>
      </w:r>
      <w:r w:rsidRPr="000977F7">
        <w:rPr>
          <w:color w:val="auto"/>
          <w:spacing w:val="-47"/>
          <w:sz w:val="20"/>
          <w:szCs w:val="20"/>
        </w:rPr>
        <w:t xml:space="preserve"> </w:t>
      </w:r>
      <w:r w:rsidRPr="000977F7">
        <w:rPr>
          <w:color w:val="auto"/>
          <w:sz w:val="20"/>
          <w:szCs w:val="20"/>
        </w:rPr>
        <w:t>ПОВЕРНЕННЯ</w:t>
      </w:r>
      <w:r w:rsidRPr="000977F7">
        <w:rPr>
          <w:color w:val="auto"/>
          <w:spacing w:val="-1"/>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6BAAF4FB" w14:textId="77777777" w:rsidR="0097612F" w:rsidRPr="000977F7" w:rsidRDefault="0097612F" w:rsidP="000977F7">
      <w:pPr>
        <w:pStyle w:val="7"/>
        <w:tabs>
          <w:tab w:val="left" w:pos="284"/>
        </w:tabs>
        <w:spacing w:before="0" w:line="240" w:lineRule="auto"/>
        <w:ind w:left="170"/>
        <w:mirrorIndents/>
        <w:jc w:val="both"/>
        <w:rPr>
          <w:b w:val="0"/>
          <w:bCs/>
          <w:i/>
          <w:color w:val="auto"/>
          <w:sz w:val="20"/>
          <w:szCs w:val="20"/>
        </w:rPr>
      </w:pPr>
      <w:r w:rsidRPr="000977F7">
        <w:rPr>
          <w:b w:val="0"/>
          <w:bCs/>
          <w:i/>
          <w:color w:val="auto"/>
          <w:sz w:val="20"/>
          <w:szCs w:val="20"/>
        </w:rPr>
        <w:t>ДСТУ</w:t>
      </w:r>
      <w:r w:rsidRPr="000977F7">
        <w:rPr>
          <w:b w:val="0"/>
          <w:bCs/>
          <w:i/>
          <w:color w:val="auto"/>
          <w:spacing w:val="-3"/>
          <w:sz w:val="20"/>
          <w:szCs w:val="20"/>
        </w:rPr>
        <w:t xml:space="preserve"> </w:t>
      </w:r>
      <w:r w:rsidRPr="000977F7">
        <w:rPr>
          <w:b w:val="0"/>
          <w:bCs/>
          <w:i/>
          <w:color w:val="auto"/>
          <w:sz w:val="20"/>
          <w:szCs w:val="20"/>
        </w:rPr>
        <w:t>2860</w:t>
      </w:r>
      <w:r w:rsidRPr="000977F7">
        <w:rPr>
          <w:b w:val="0"/>
          <w:bCs/>
          <w:i/>
          <w:color w:val="auto"/>
          <w:spacing w:val="-1"/>
          <w:sz w:val="20"/>
          <w:szCs w:val="20"/>
        </w:rPr>
        <w:t xml:space="preserve"> </w:t>
      </w:r>
      <w:r w:rsidRPr="000977F7">
        <w:rPr>
          <w:b w:val="0"/>
          <w:bCs/>
          <w:i/>
          <w:color w:val="auto"/>
          <w:sz w:val="20"/>
          <w:szCs w:val="20"/>
        </w:rPr>
        <w:t>–</w:t>
      </w:r>
      <w:r w:rsidRPr="000977F7">
        <w:rPr>
          <w:b w:val="0"/>
          <w:bCs/>
          <w:i/>
          <w:color w:val="auto"/>
          <w:spacing w:val="-2"/>
          <w:sz w:val="20"/>
          <w:szCs w:val="20"/>
        </w:rPr>
        <w:t xml:space="preserve"> </w:t>
      </w:r>
      <w:r w:rsidRPr="000977F7">
        <w:rPr>
          <w:b w:val="0"/>
          <w:bCs/>
          <w:i/>
          <w:color w:val="auto"/>
          <w:sz w:val="20"/>
          <w:szCs w:val="20"/>
        </w:rPr>
        <w:t>94</w:t>
      </w:r>
    </w:p>
    <w:p w14:paraId="18853F8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ІМОВІРНІСТЬ УСПІШНОГО ПЕРЕХОДУ НА</w:t>
      </w:r>
      <w:r w:rsidRPr="000977F7">
        <w:rPr>
          <w:color w:val="auto"/>
          <w:spacing w:val="-48"/>
          <w:sz w:val="20"/>
          <w:szCs w:val="20"/>
        </w:rPr>
        <w:t xml:space="preserve"> </w:t>
      </w:r>
      <w:r w:rsidRPr="000977F7">
        <w:rPr>
          <w:color w:val="auto"/>
          <w:sz w:val="20"/>
          <w:szCs w:val="20"/>
        </w:rPr>
        <w:t>РЕЗЕРВ</w:t>
      </w:r>
      <w:r w:rsidRPr="000977F7">
        <w:rPr>
          <w:color w:val="auto"/>
          <w:spacing w:val="1"/>
          <w:sz w:val="20"/>
          <w:szCs w:val="20"/>
        </w:rPr>
        <w:t xml:space="preserve"> </w:t>
      </w:r>
      <w:r w:rsidRPr="000977F7">
        <w:rPr>
          <w:color w:val="auto"/>
          <w:sz w:val="20"/>
          <w:szCs w:val="20"/>
        </w:rPr>
        <w:t>–</w:t>
      </w:r>
    </w:p>
    <w:p w14:paraId="4AE2680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PROBABILITY</w:t>
      </w:r>
      <w:r w:rsidRPr="004D2D14">
        <w:rPr>
          <w:rFonts w:asciiTheme="majorHAnsi" w:hAnsiTheme="majorHAnsi"/>
          <w:sz w:val="20"/>
          <w:szCs w:val="20"/>
          <w:lang w:val="uk-UA"/>
        </w:rPr>
        <w:t xml:space="preserve"> </w:t>
      </w:r>
      <w:r w:rsidRPr="000977F7">
        <w:rPr>
          <w:rFonts w:asciiTheme="majorHAnsi" w:hAnsiTheme="majorHAnsi"/>
          <w:sz w:val="20"/>
          <w:szCs w:val="20"/>
        </w:rPr>
        <w:t>OF</w:t>
      </w:r>
      <w:r w:rsidRPr="004D2D14">
        <w:rPr>
          <w:rFonts w:asciiTheme="majorHAnsi" w:hAnsiTheme="majorHAnsi"/>
          <w:sz w:val="20"/>
          <w:szCs w:val="20"/>
          <w:lang w:val="uk-UA"/>
        </w:rPr>
        <w:t xml:space="preserve"> </w:t>
      </w:r>
      <w:r w:rsidRPr="000977F7">
        <w:rPr>
          <w:rFonts w:asciiTheme="majorHAnsi" w:hAnsiTheme="majorHAnsi"/>
          <w:sz w:val="20"/>
          <w:szCs w:val="20"/>
        </w:rPr>
        <w:t>SUCCESSFUL</w:t>
      </w:r>
      <w:r w:rsidRPr="004D2D14">
        <w:rPr>
          <w:rFonts w:asciiTheme="majorHAnsi" w:hAnsiTheme="majorHAnsi"/>
          <w:spacing w:val="-47"/>
          <w:sz w:val="20"/>
          <w:szCs w:val="20"/>
          <w:lang w:val="uk-UA"/>
        </w:rPr>
        <w:t xml:space="preserve"> </w:t>
      </w:r>
      <w:r w:rsidRPr="000977F7">
        <w:rPr>
          <w:rFonts w:asciiTheme="majorHAnsi" w:hAnsiTheme="majorHAnsi"/>
          <w:sz w:val="20"/>
          <w:szCs w:val="20"/>
        </w:rPr>
        <w:t>REDUNDADANCY</w:t>
      </w:r>
      <w:r w:rsidRPr="004D2D14">
        <w:rPr>
          <w:rFonts w:asciiTheme="majorHAnsi" w:hAnsiTheme="majorHAnsi"/>
          <w:sz w:val="20"/>
          <w:szCs w:val="20"/>
          <w:lang w:val="uk-UA"/>
        </w:rPr>
        <w:t xml:space="preserve"> –</w:t>
      </w:r>
    </w:p>
    <w:p w14:paraId="6ABD6314"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Імовірність того, що перехід на резерв відбудеться без</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відмови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об’єкта,</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тобто</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відбудеться</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за</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час,</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який</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не</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перевищує</w:t>
      </w:r>
      <w:r w:rsidRPr="004D2D14">
        <w:rPr>
          <w:rFonts w:asciiTheme="majorHAnsi" w:hAnsiTheme="majorHAnsi"/>
          <w:spacing w:val="13"/>
          <w:sz w:val="20"/>
          <w:szCs w:val="20"/>
          <w:lang w:val="uk-UA"/>
        </w:rPr>
        <w:t xml:space="preserve"> </w:t>
      </w:r>
      <w:r w:rsidRPr="004D2D14">
        <w:rPr>
          <w:rFonts w:asciiTheme="majorHAnsi" w:hAnsiTheme="majorHAnsi"/>
          <w:sz w:val="20"/>
          <w:szCs w:val="20"/>
          <w:lang w:val="uk-UA"/>
        </w:rPr>
        <w:t>допустимого</w:t>
      </w:r>
      <w:r w:rsidRPr="004D2D14">
        <w:rPr>
          <w:rFonts w:asciiTheme="majorHAnsi" w:hAnsiTheme="majorHAnsi"/>
          <w:spacing w:val="14"/>
          <w:sz w:val="20"/>
          <w:szCs w:val="20"/>
          <w:lang w:val="uk-UA"/>
        </w:rPr>
        <w:t xml:space="preserve"> </w:t>
      </w:r>
      <w:r w:rsidRPr="004D2D14">
        <w:rPr>
          <w:rFonts w:asciiTheme="majorHAnsi" w:hAnsiTheme="majorHAnsi"/>
          <w:sz w:val="20"/>
          <w:szCs w:val="20"/>
          <w:lang w:val="uk-UA"/>
        </w:rPr>
        <w:t>значення</w:t>
      </w:r>
      <w:r w:rsidRPr="004D2D14">
        <w:rPr>
          <w:rFonts w:asciiTheme="majorHAnsi" w:hAnsiTheme="majorHAnsi"/>
          <w:spacing w:val="14"/>
          <w:sz w:val="20"/>
          <w:szCs w:val="20"/>
          <w:lang w:val="uk-UA"/>
        </w:rPr>
        <w:t xml:space="preserve"> </w:t>
      </w:r>
      <w:r w:rsidRPr="004D2D14">
        <w:rPr>
          <w:rFonts w:asciiTheme="majorHAnsi" w:hAnsiTheme="majorHAnsi"/>
          <w:sz w:val="20"/>
          <w:szCs w:val="20"/>
          <w:lang w:val="uk-UA"/>
        </w:rPr>
        <w:t>перерви</w:t>
      </w:r>
      <w:r w:rsidRPr="004D2D14">
        <w:rPr>
          <w:rFonts w:asciiTheme="majorHAnsi" w:hAnsiTheme="majorHAnsi"/>
          <w:spacing w:val="14"/>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функціонуванні та (чи) без зниження якості функціонування</w:t>
      </w:r>
      <w:r w:rsidRPr="004D2D14">
        <w:rPr>
          <w:rFonts w:asciiTheme="majorHAnsi" w:hAnsiTheme="majorHAnsi"/>
          <w:spacing w:val="1"/>
          <w:sz w:val="20"/>
          <w:szCs w:val="20"/>
          <w:lang w:val="uk-UA"/>
        </w:rPr>
        <w:t xml:space="preserve"> </w:t>
      </w:r>
    </w:p>
    <w:p w14:paraId="7E8ED93E"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9311DB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ІМОВІРНІСТЬ ХИБНОЇ ВІДМОВИ </w:t>
      </w:r>
    </w:p>
    <w:p w14:paraId="7C4D57B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(НЕСПРАВ</w:t>
      </w:r>
      <w:r w:rsidRPr="000977F7">
        <w:rPr>
          <w:color w:val="auto"/>
          <w:spacing w:val="-47"/>
          <w:sz w:val="20"/>
          <w:szCs w:val="20"/>
        </w:rPr>
        <w:t xml:space="preserve"> </w:t>
      </w:r>
      <w:r w:rsidRPr="000977F7">
        <w:rPr>
          <w:color w:val="auto"/>
          <w:sz w:val="20"/>
          <w:szCs w:val="20"/>
        </w:rPr>
        <w:t>НОСТІ) ПІД ЧАС ДІАГНОСТУВАННЯ (КОНТРОЛЮ) –</w:t>
      </w:r>
    </w:p>
    <w:p w14:paraId="3E2B9CD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Умовна імовірність того, що справний (працездатний)</w:t>
      </w:r>
      <w:r w:rsidRPr="000977F7">
        <w:rPr>
          <w:rFonts w:asciiTheme="majorHAnsi" w:hAnsiTheme="majorHAnsi"/>
          <w:spacing w:val="-47"/>
          <w:sz w:val="20"/>
          <w:szCs w:val="20"/>
        </w:rPr>
        <w:t xml:space="preserve"> </w:t>
      </w:r>
      <w:r w:rsidRPr="000977F7">
        <w:rPr>
          <w:rFonts w:asciiTheme="majorHAnsi" w:hAnsiTheme="majorHAnsi"/>
          <w:sz w:val="20"/>
          <w:szCs w:val="20"/>
        </w:rPr>
        <w:t>об’єкт</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результаті</w:t>
      </w:r>
      <w:r w:rsidRPr="000977F7">
        <w:rPr>
          <w:rFonts w:asciiTheme="majorHAnsi" w:hAnsiTheme="majorHAnsi"/>
          <w:spacing w:val="1"/>
          <w:sz w:val="20"/>
          <w:szCs w:val="20"/>
        </w:rPr>
        <w:t xml:space="preserve"> </w:t>
      </w:r>
      <w:r w:rsidRPr="000977F7">
        <w:rPr>
          <w:rFonts w:asciiTheme="majorHAnsi" w:hAnsiTheme="majorHAnsi"/>
          <w:sz w:val="20"/>
          <w:szCs w:val="20"/>
        </w:rPr>
        <w:t>діагностування</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виявиться</w:t>
      </w:r>
      <w:r w:rsidRPr="000977F7">
        <w:rPr>
          <w:rFonts w:asciiTheme="majorHAnsi" w:hAnsiTheme="majorHAnsi"/>
          <w:spacing w:val="-2"/>
          <w:sz w:val="20"/>
          <w:szCs w:val="20"/>
        </w:rPr>
        <w:t xml:space="preserve"> </w:t>
      </w:r>
      <w:r w:rsidRPr="000977F7">
        <w:rPr>
          <w:rFonts w:asciiTheme="majorHAnsi" w:hAnsiTheme="majorHAnsi"/>
          <w:sz w:val="20"/>
          <w:szCs w:val="20"/>
        </w:rPr>
        <w:t>несправним (непрацездатним)</w:t>
      </w:r>
    </w:p>
    <w:p w14:paraId="2A2DB4E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682145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ІМПОРТ</w:t>
      </w:r>
      <w:r w:rsidRPr="000977F7">
        <w:rPr>
          <w:color w:val="auto"/>
          <w:spacing w:val="-4"/>
          <w:sz w:val="20"/>
          <w:szCs w:val="20"/>
        </w:rPr>
        <w:t xml:space="preserve"> </w:t>
      </w:r>
      <w:r w:rsidRPr="000977F7">
        <w:rPr>
          <w:color w:val="auto"/>
          <w:sz w:val="20"/>
          <w:szCs w:val="20"/>
        </w:rPr>
        <w:t>ТОВАРІВ</w:t>
      </w:r>
      <w:r w:rsidRPr="000977F7">
        <w:rPr>
          <w:color w:val="auto"/>
          <w:spacing w:val="1"/>
          <w:sz w:val="20"/>
          <w:szCs w:val="20"/>
        </w:rPr>
        <w:t xml:space="preserve"> </w:t>
      </w:r>
      <w:r w:rsidRPr="000977F7">
        <w:rPr>
          <w:color w:val="auto"/>
          <w:sz w:val="20"/>
          <w:szCs w:val="20"/>
        </w:rPr>
        <w:t>–</w:t>
      </w:r>
    </w:p>
    <w:p w14:paraId="3752B18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Закупка в іноземних суб’єктів зовнішньоекономічної</w:t>
      </w:r>
      <w:r w:rsidRPr="000977F7">
        <w:rPr>
          <w:rFonts w:asciiTheme="majorHAnsi" w:hAnsiTheme="majorHAnsi"/>
          <w:spacing w:val="1"/>
          <w:sz w:val="20"/>
          <w:szCs w:val="20"/>
        </w:rPr>
        <w:t xml:space="preserve"> </w:t>
      </w:r>
      <w:r w:rsidRPr="000977F7">
        <w:rPr>
          <w:rFonts w:asciiTheme="majorHAnsi" w:hAnsiTheme="majorHAnsi"/>
          <w:sz w:val="20"/>
          <w:szCs w:val="20"/>
        </w:rPr>
        <w:t>діяльності товарів та їх ввезення на територію України, включаючи закупку товарів, призначених для власного споживання установами та організаціями України,</w:t>
      </w:r>
      <w:r w:rsidRPr="000977F7">
        <w:rPr>
          <w:rFonts w:asciiTheme="majorHAnsi" w:hAnsiTheme="majorHAnsi"/>
          <w:spacing w:val="-1"/>
          <w:sz w:val="20"/>
          <w:szCs w:val="20"/>
        </w:rPr>
        <w:t xml:space="preserve"> </w:t>
      </w:r>
      <w:r w:rsidRPr="000977F7">
        <w:rPr>
          <w:rFonts w:asciiTheme="majorHAnsi" w:hAnsiTheme="majorHAnsi"/>
          <w:sz w:val="20"/>
          <w:szCs w:val="20"/>
        </w:rPr>
        <w:t>розташованими</w:t>
      </w:r>
      <w:r w:rsidRPr="000977F7">
        <w:rPr>
          <w:rFonts w:asciiTheme="majorHAnsi" w:hAnsiTheme="majorHAnsi"/>
          <w:spacing w:val="-1"/>
          <w:sz w:val="20"/>
          <w:szCs w:val="20"/>
        </w:rPr>
        <w:t xml:space="preserve"> </w:t>
      </w:r>
      <w:r w:rsidRPr="000977F7">
        <w:rPr>
          <w:rFonts w:asciiTheme="majorHAnsi" w:hAnsiTheme="majorHAnsi"/>
          <w:sz w:val="20"/>
          <w:szCs w:val="20"/>
        </w:rPr>
        <w:t>за її</w:t>
      </w:r>
      <w:r w:rsidRPr="000977F7">
        <w:rPr>
          <w:rFonts w:asciiTheme="majorHAnsi" w:hAnsiTheme="majorHAnsi"/>
          <w:spacing w:val="-1"/>
          <w:sz w:val="20"/>
          <w:szCs w:val="20"/>
        </w:rPr>
        <w:t xml:space="preserve"> </w:t>
      </w:r>
      <w:r w:rsidRPr="000977F7">
        <w:rPr>
          <w:rFonts w:asciiTheme="majorHAnsi" w:hAnsiTheme="majorHAnsi"/>
          <w:sz w:val="20"/>
          <w:szCs w:val="20"/>
        </w:rPr>
        <w:t>межами</w:t>
      </w:r>
    </w:p>
    <w:p w14:paraId="7A709DA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D5C9F7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ІМПОРТЕР –</w:t>
      </w:r>
    </w:p>
    <w:p w14:paraId="755EF1BF"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bookmarkStart w:id="79" w:name="_Hlk103499105"/>
      <w:r w:rsidRPr="000977F7">
        <w:rPr>
          <w:b w:val="0"/>
          <w:bCs/>
          <w:color w:val="auto"/>
          <w:sz w:val="20"/>
          <w:szCs w:val="20"/>
        </w:rPr>
        <w:t xml:space="preserve">Будь-яка фізична </w:t>
      </w:r>
      <w:bookmarkEnd w:id="79"/>
      <w:r w:rsidRPr="000977F7">
        <w:rPr>
          <w:b w:val="0"/>
          <w:bCs/>
          <w:color w:val="auto"/>
          <w:sz w:val="20"/>
          <w:szCs w:val="20"/>
        </w:rPr>
        <w:t>чи юридична особа резидент України, яка вводить в обіг на ринку України продукцію походженням з іншої країни</w:t>
      </w:r>
    </w:p>
    <w:p w14:paraId="566D11D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Закон України "Про технічні регламенти та оцінку відповідності"</w:t>
      </w:r>
    </w:p>
    <w:p w14:paraId="31523CD9"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У разі, якщо виготовлювачем продукції є фізична чи юридична особа нерезидент України, яка не має свого уповноваженого представника в Україні</w:t>
      </w:r>
    </w:p>
    <w:p w14:paraId="3AF51F35"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Закон України "Про загальну безпечність нехарчової продукції"</w:t>
      </w:r>
    </w:p>
    <w:p w14:paraId="68BB0DF1"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Будь-яка фізична чи юридична особа резидент</w:t>
      </w:r>
      <w:r w:rsidRPr="000977F7">
        <w:rPr>
          <w:color w:val="auto"/>
          <w:sz w:val="20"/>
          <w:szCs w:val="20"/>
        </w:rPr>
        <w:t xml:space="preserve"> </w:t>
      </w:r>
      <w:r w:rsidRPr="000977F7">
        <w:rPr>
          <w:b w:val="0"/>
          <w:bCs/>
          <w:color w:val="auto"/>
          <w:sz w:val="20"/>
          <w:szCs w:val="20"/>
        </w:rPr>
        <w:t>України, що вводить в обіг на ринку України компонент безпеки для ліфтів походженням з іншої країни</w:t>
      </w:r>
    </w:p>
    <w:p w14:paraId="6B12C0A6"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Технічний регламент ліфтів і компонентів безпеки для ліфтів</w:t>
      </w:r>
    </w:p>
    <w:p w14:paraId="497581F0"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Будь-яка фізична чи юридична особа резидент України, яка вводить в обіг на ринку України апаратуру походженням з іншої країни</w:t>
      </w:r>
    </w:p>
    <w:p w14:paraId="3C06A1BD"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Технічний регламент з електромагнітної сумісності обладнання</w:t>
      </w:r>
    </w:p>
    <w:p w14:paraId="6577A96C"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Фізична чи юридична особа резидент України, що вводить в обіг на ринку України обладнання, що працює під тиском, або агрегати походженням з іншої країни</w:t>
      </w:r>
    </w:p>
    <w:p w14:paraId="3AAB854D"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Технічний регламент обладнання, що працює під тиском</w:t>
      </w:r>
    </w:p>
    <w:p w14:paraId="6125B87B"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 xml:space="preserve">ІМПУЛЬС НАПРУГИ В </w:t>
      </w:r>
    </w:p>
    <w:p w14:paraId="7F233AE5"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b/>
          <w:sz w:val="20"/>
          <w:szCs w:val="20"/>
          <w:lang w:eastAsia="ru-RU"/>
        </w:rPr>
      </w:pPr>
      <w:r w:rsidRPr="000977F7">
        <w:rPr>
          <w:rFonts w:asciiTheme="majorHAnsi" w:hAnsiTheme="majorHAnsi"/>
          <w:b/>
          <w:sz w:val="20"/>
          <w:szCs w:val="20"/>
        </w:rPr>
        <w:t>ЕЛЕКТРОПОСТАЧАЛЬНІЙ СИСТЕМІ -</w:t>
      </w:r>
    </w:p>
    <w:p w14:paraId="059758D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VOLTAGE</w:t>
      </w:r>
      <w:r w:rsidRPr="000977F7">
        <w:rPr>
          <w:rFonts w:asciiTheme="majorHAnsi" w:hAnsiTheme="majorHAnsi"/>
          <w:spacing w:val="-2"/>
          <w:sz w:val="20"/>
          <w:szCs w:val="20"/>
        </w:rPr>
        <w:t xml:space="preserve"> </w:t>
      </w:r>
      <w:r w:rsidRPr="000977F7">
        <w:rPr>
          <w:rFonts w:asciiTheme="majorHAnsi" w:hAnsiTheme="majorHAnsi"/>
          <w:sz w:val="20"/>
          <w:szCs w:val="20"/>
        </w:rPr>
        <w:t>IMPULSE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A379DC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Різка</w:t>
      </w:r>
      <w:r w:rsidRPr="000977F7">
        <w:rPr>
          <w:rFonts w:asciiTheme="majorHAnsi" w:hAnsiTheme="majorHAnsi"/>
          <w:spacing w:val="1"/>
          <w:sz w:val="20"/>
          <w:szCs w:val="20"/>
        </w:rPr>
        <w:t xml:space="preserve"> </w:t>
      </w:r>
      <w:r w:rsidRPr="000977F7">
        <w:rPr>
          <w:rFonts w:asciiTheme="majorHAnsi" w:hAnsiTheme="majorHAnsi"/>
          <w:sz w:val="20"/>
          <w:szCs w:val="20"/>
        </w:rPr>
        <w:t>зміна</w:t>
      </w:r>
      <w:r w:rsidRPr="000977F7">
        <w:rPr>
          <w:rFonts w:asciiTheme="majorHAnsi" w:hAnsiTheme="majorHAnsi"/>
          <w:spacing w:val="1"/>
          <w:sz w:val="20"/>
          <w:szCs w:val="20"/>
        </w:rPr>
        <w:t xml:space="preserve"> </w:t>
      </w:r>
      <w:r w:rsidRPr="000977F7">
        <w:rPr>
          <w:rFonts w:asciiTheme="majorHAnsi" w:hAnsiTheme="majorHAnsi"/>
          <w:sz w:val="20"/>
          <w:szCs w:val="20"/>
        </w:rPr>
        <w:t>напруги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електропостачальній</w:t>
      </w:r>
      <w:r w:rsidRPr="000977F7">
        <w:rPr>
          <w:rFonts w:asciiTheme="majorHAnsi" w:hAnsiTheme="majorHAnsi"/>
          <w:spacing w:val="50"/>
          <w:sz w:val="20"/>
          <w:szCs w:val="20"/>
        </w:rPr>
        <w:t xml:space="preserve"> </w:t>
      </w:r>
      <w:r w:rsidRPr="000977F7">
        <w:rPr>
          <w:rFonts w:asciiTheme="majorHAnsi" w:hAnsiTheme="majorHAnsi"/>
          <w:sz w:val="20"/>
          <w:szCs w:val="20"/>
        </w:rPr>
        <w:t>системі,</w:t>
      </w:r>
      <w:r w:rsidRPr="000977F7">
        <w:rPr>
          <w:rFonts w:asciiTheme="majorHAnsi" w:hAnsiTheme="majorHAnsi"/>
          <w:spacing w:val="-47"/>
          <w:sz w:val="20"/>
          <w:szCs w:val="20"/>
        </w:rPr>
        <w:t xml:space="preserve"> </w:t>
      </w:r>
      <w:r w:rsidRPr="000977F7">
        <w:rPr>
          <w:rFonts w:asciiTheme="majorHAnsi" w:hAnsiTheme="majorHAnsi"/>
          <w:sz w:val="20"/>
          <w:szCs w:val="20"/>
        </w:rPr>
        <w:t>яка триває короткий інтервал часу відносно певного</w:t>
      </w:r>
      <w:r w:rsidRPr="000977F7">
        <w:rPr>
          <w:rFonts w:asciiTheme="majorHAnsi" w:hAnsiTheme="majorHAnsi"/>
          <w:spacing w:val="1"/>
          <w:sz w:val="20"/>
          <w:szCs w:val="20"/>
        </w:rPr>
        <w:t xml:space="preserve"> </w:t>
      </w:r>
      <w:r w:rsidRPr="000977F7">
        <w:rPr>
          <w:rFonts w:asciiTheme="majorHAnsi" w:hAnsiTheme="majorHAnsi"/>
          <w:sz w:val="20"/>
          <w:szCs w:val="20"/>
        </w:rPr>
        <w:t>інтервалу</w:t>
      </w:r>
      <w:r w:rsidRPr="000977F7">
        <w:rPr>
          <w:rFonts w:asciiTheme="majorHAnsi" w:hAnsiTheme="majorHAnsi"/>
          <w:spacing w:val="-5"/>
          <w:sz w:val="20"/>
          <w:szCs w:val="20"/>
        </w:rPr>
        <w:t xml:space="preserve"> </w:t>
      </w:r>
      <w:r w:rsidRPr="000977F7">
        <w:rPr>
          <w:rFonts w:asciiTheme="majorHAnsi" w:hAnsiTheme="majorHAnsi"/>
          <w:sz w:val="20"/>
          <w:szCs w:val="20"/>
        </w:rPr>
        <w:t>часу.</w:t>
      </w:r>
    </w:p>
    <w:p w14:paraId="62AB955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6B8CBBC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Імпульс напруги виникає під час комутаційних операцій,</w:t>
      </w:r>
      <w:r w:rsidRPr="000977F7">
        <w:rPr>
          <w:rFonts w:asciiTheme="majorHAnsi" w:hAnsiTheme="majorHAnsi"/>
          <w:spacing w:val="-1"/>
          <w:sz w:val="20"/>
          <w:szCs w:val="20"/>
        </w:rPr>
        <w:t xml:space="preserve"> </w:t>
      </w:r>
      <w:r w:rsidRPr="000977F7">
        <w:rPr>
          <w:rFonts w:asciiTheme="majorHAnsi" w:hAnsiTheme="majorHAnsi"/>
          <w:sz w:val="20"/>
          <w:szCs w:val="20"/>
        </w:rPr>
        <w:t>грозових явищ тощо</w:t>
      </w:r>
    </w:p>
    <w:p w14:paraId="110C188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1815FA7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ІМПУЛЬСНА</w:t>
      </w:r>
      <w:r w:rsidRPr="000977F7">
        <w:rPr>
          <w:color w:val="auto"/>
          <w:spacing w:val="-8"/>
          <w:sz w:val="20"/>
          <w:szCs w:val="20"/>
        </w:rPr>
        <w:t xml:space="preserve"> </w:t>
      </w:r>
      <w:r w:rsidRPr="000977F7">
        <w:rPr>
          <w:color w:val="auto"/>
          <w:sz w:val="20"/>
          <w:szCs w:val="20"/>
        </w:rPr>
        <w:t>ХАРАКТЕРИСТИКА –</w:t>
      </w:r>
    </w:p>
    <w:p w14:paraId="1E357D25" w14:textId="77777777" w:rsidR="0097612F" w:rsidRPr="000977F7" w:rsidRDefault="0097612F" w:rsidP="000977F7">
      <w:pPr>
        <w:pStyle w:val="af6"/>
        <w:tabs>
          <w:tab w:val="left" w:pos="284"/>
        </w:tabs>
        <w:spacing w:after="0"/>
        <w:ind w:left="170"/>
        <w:mirrorIndents/>
        <w:jc w:val="both"/>
        <w:rPr>
          <w:rFonts w:asciiTheme="majorHAnsi" w:hAnsiTheme="majorHAnsi"/>
          <w:b/>
          <w:i/>
          <w:sz w:val="20"/>
          <w:szCs w:val="20"/>
        </w:rPr>
      </w:pPr>
      <w:r w:rsidRPr="000977F7">
        <w:rPr>
          <w:rFonts w:asciiTheme="majorHAnsi" w:hAnsiTheme="majorHAnsi"/>
          <w:sz w:val="20"/>
          <w:szCs w:val="20"/>
        </w:rPr>
        <w:t>IMPULSE</w:t>
      </w:r>
      <w:r w:rsidRPr="000977F7">
        <w:rPr>
          <w:rFonts w:asciiTheme="majorHAnsi" w:hAnsiTheme="majorHAnsi"/>
          <w:spacing w:val="-3"/>
          <w:sz w:val="20"/>
          <w:szCs w:val="20"/>
        </w:rPr>
        <w:t xml:space="preserve"> </w:t>
      </w:r>
      <w:r w:rsidRPr="000977F7">
        <w:rPr>
          <w:rFonts w:asciiTheme="majorHAnsi" w:hAnsiTheme="majorHAnsi"/>
          <w:sz w:val="20"/>
          <w:szCs w:val="20"/>
        </w:rPr>
        <w:t xml:space="preserve">RESPONSE </w:t>
      </w:r>
      <w:r w:rsidRPr="000977F7">
        <w:rPr>
          <w:rFonts w:asciiTheme="majorHAnsi" w:hAnsiTheme="majorHAnsi"/>
          <w:b/>
          <w:i/>
          <w:sz w:val="20"/>
          <w:szCs w:val="20"/>
        </w:rPr>
        <w:t>–</w:t>
      </w:r>
    </w:p>
    <w:p w14:paraId="050EC1D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Часова</w:t>
      </w:r>
      <w:r w:rsidRPr="000977F7">
        <w:rPr>
          <w:rFonts w:asciiTheme="majorHAnsi" w:hAnsiTheme="majorHAnsi"/>
          <w:spacing w:val="35"/>
          <w:sz w:val="20"/>
          <w:szCs w:val="20"/>
        </w:rPr>
        <w:t xml:space="preserve"> </w:t>
      </w:r>
      <w:r w:rsidRPr="000977F7">
        <w:rPr>
          <w:rFonts w:asciiTheme="majorHAnsi" w:hAnsiTheme="majorHAnsi"/>
          <w:sz w:val="20"/>
          <w:szCs w:val="20"/>
        </w:rPr>
        <w:t>характеристика</w:t>
      </w:r>
      <w:r w:rsidRPr="000977F7">
        <w:rPr>
          <w:rFonts w:asciiTheme="majorHAnsi" w:hAnsiTheme="majorHAnsi"/>
          <w:spacing w:val="36"/>
          <w:sz w:val="20"/>
          <w:szCs w:val="20"/>
        </w:rPr>
        <w:t xml:space="preserve"> </w:t>
      </w:r>
      <w:r w:rsidRPr="000977F7">
        <w:rPr>
          <w:rFonts w:asciiTheme="majorHAnsi" w:hAnsiTheme="majorHAnsi"/>
          <w:sz w:val="20"/>
          <w:szCs w:val="20"/>
        </w:rPr>
        <w:t>лінійного</w:t>
      </w:r>
      <w:r w:rsidRPr="000977F7">
        <w:rPr>
          <w:rFonts w:asciiTheme="majorHAnsi" w:hAnsiTheme="majorHAnsi"/>
          <w:spacing w:val="37"/>
          <w:sz w:val="20"/>
          <w:szCs w:val="20"/>
        </w:rPr>
        <w:t xml:space="preserve"> </w:t>
      </w:r>
      <w:r w:rsidRPr="000977F7">
        <w:rPr>
          <w:rFonts w:asciiTheme="majorHAnsi" w:hAnsiTheme="majorHAnsi"/>
          <w:sz w:val="20"/>
          <w:szCs w:val="20"/>
        </w:rPr>
        <w:t>об’єкта</w:t>
      </w:r>
      <w:r w:rsidRPr="000977F7">
        <w:rPr>
          <w:rFonts w:asciiTheme="majorHAnsi" w:hAnsiTheme="majorHAnsi"/>
          <w:spacing w:val="36"/>
          <w:sz w:val="20"/>
          <w:szCs w:val="20"/>
        </w:rPr>
        <w:t xml:space="preserve"> </w:t>
      </w:r>
      <w:r w:rsidRPr="000977F7">
        <w:rPr>
          <w:rFonts w:asciiTheme="majorHAnsi" w:hAnsiTheme="majorHAnsi"/>
          <w:sz w:val="20"/>
          <w:szCs w:val="20"/>
        </w:rPr>
        <w:t>в</w:t>
      </w:r>
      <w:r w:rsidRPr="000977F7">
        <w:rPr>
          <w:rFonts w:asciiTheme="majorHAnsi" w:hAnsiTheme="majorHAnsi"/>
          <w:spacing w:val="35"/>
          <w:sz w:val="20"/>
          <w:szCs w:val="20"/>
        </w:rPr>
        <w:t xml:space="preserve"> </w:t>
      </w:r>
      <w:r w:rsidRPr="000977F7">
        <w:rPr>
          <w:rFonts w:asciiTheme="majorHAnsi" w:hAnsiTheme="majorHAnsi"/>
          <w:sz w:val="20"/>
          <w:szCs w:val="20"/>
        </w:rPr>
        <w:t>разі</w:t>
      </w:r>
      <w:r w:rsidRPr="000977F7">
        <w:rPr>
          <w:rFonts w:asciiTheme="majorHAnsi" w:hAnsiTheme="majorHAnsi"/>
          <w:spacing w:val="36"/>
          <w:sz w:val="20"/>
          <w:szCs w:val="20"/>
        </w:rPr>
        <w:t xml:space="preserve"> </w:t>
      </w:r>
      <w:r w:rsidRPr="000977F7">
        <w:rPr>
          <w:rFonts w:asciiTheme="majorHAnsi" w:hAnsiTheme="majorHAnsi"/>
          <w:sz w:val="20"/>
          <w:szCs w:val="20"/>
        </w:rPr>
        <w:t>поодинокої</w:t>
      </w:r>
      <w:r w:rsidRPr="000977F7">
        <w:rPr>
          <w:rFonts w:asciiTheme="majorHAnsi" w:hAnsiTheme="majorHAnsi"/>
          <w:spacing w:val="-2"/>
          <w:sz w:val="20"/>
          <w:szCs w:val="20"/>
        </w:rPr>
        <w:t xml:space="preserve"> </w:t>
      </w:r>
      <w:r w:rsidRPr="000977F7">
        <w:rPr>
          <w:rFonts w:asciiTheme="majorHAnsi" w:hAnsiTheme="majorHAnsi"/>
          <w:sz w:val="20"/>
          <w:szCs w:val="20"/>
        </w:rPr>
        <w:t>імпульсної</w:t>
      </w:r>
      <w:r w:rsidRPr="000977F7">
        <w:rPr>
          <w:rFonts w:asciiTheme="majorHAnsi" w:hAnsiTheme="majorHAnsi"/>
          <w:spacing w:val="-2"/>
          <w:sz w:val="20"/>
          <w:szCs w:val="20"/>
        </w:rPr>
        <w:t xml:space="preserve"> </w:t>
      </w:r>
      <w:r w:rsidRPr="000977F7">
        <w:rPr>
          <w:rFonts w:asciiTheme="majorHAnsi" w:hAnsiTheme="majorHAnsi"/>
          <w:sz w:val="20"/>
          <w:szCs w:val="20"/>
        </w:rPr>
        <w:t>зміни вхідного діяння</w:t>
      </w:r>
    </w:p>
    <w:p w14:paraId="222F47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ACF01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Імпульсна</w:t>
      </w:r>
      <w:r w:rsidRPr="000977F7">
        <w:rPr>
          <w:rFonts w:asciiTheme="majorHAnsi" w:hAnsiTheme="majorHAnsi"/>
          <w:spacing w:val="47"/>
          <w:sz w:val="20"/>
          <w:szCs w:val="20"/>
        </w:rPr>
        <w:t xml:space="preserve"> </w:t>
      </w:r>
      <w:r w:rsidRPr="000977F7">
        <w:rPr>
          <w:rFonts w:asciiTheme="majorHAnsi" w:hAnsiTheme="majorHAnsi"/>
          <w:sz w:val="20"/>
          <w:szCs w:val="20"/>
        </w:rPr>
        <w:t>характеристика</w:t>
      </w:r>
      <w:r w:rsidRPr="000977F7">
        <w:rPr>
          <w:rFonts w:asciiTheme="majorHAnsi" w:hAnsiTheme="majorHAnsi"/>
          <w:spacing w:val="49"/>
          <w:sz w:val="20"/>
          <w:szCs w:val="20"/>
        </w:rPr>
        <w:t xml:space="preserve"> </w:t>
      </w:r>
      <w:r w:rsidRPr="000977F7">
        <w:rPr>
          <w:rFonts w:asciiTheme="majorHAnsi" w:hAnsiTheme="majorHAnsi"/>
          <w:sz w:val="20"/>
          <w:szCs w:val="20"/>
        </w:rPr>
        <w:t>є</w:t>
      </w:r>
      <w:r w:rsidRPr="000977F7">
        <w:rPr>
          <w:rFonts w:asciiTheme="majorHAnsi" w:hAnsiTheme="majorHAnsi"/>
          <w:spacing w:val="44"/>
          <w:sz w:val="20"/>
          <w:szCs w:val="20"/>
        </w:rPr>
        <w:t xml:space="preserve"> </w:t>
      </w:r>
      <w:r w:rsidRPr="000977F7">
        <w:rPr>
          <w:rFonts w:asciiTheme="majorHAnsi" w:hAnsiTheme="majorHAnsi"/>
          <w:sz w:val="20"/>
          <w:szCs w:val="20"/>
        </w:rPr>
        <w:t>похідною</w:t>
      </w:r>
      <w:r w:rsidRPr="000977F7">
        <w:rPr>
          <w:rFonts w:asciiTheme="majorHAnsi" w:hAnsiTheme="majorHAnsi"/>
          <w:spacing w:val="46"/>
          <w:sz w:val="20"/>
          <w:szCs w:val="20"/>
        </w:rPr>
        <w:t xml:space="preserve"> </w:t>
      </w:r>
      <w:r w:rsidRPr="000977F7">
        <w:rPr>
          <w:rFonts w:asciiTheme="majorHAnsi" w:hAnsiTheme="majorHAnsi"/>
          <w:sz w:val="20"/>
          <w:szCs w:val="20"/>
        </w:rPr>
        <w:t>за</w:t>
      </w:r>
      <w:r w:rsidRPr="000977F7">
        <w:rPr>
          <w:rFonts w:asciiTheme="majorHAnsi" w:hAnsiTheme="majorHAnsi"/>
          <w:spacing w:val="44"/>
          <w:sz w:val="20"/>
          <w:szCs w:val="20"/>
        </w:rPr>
        <w:t xml:space="preserve"> </w:t>
      </w:r>
      <w:r w:rsidRPr="000977F7">
        <w:rPr>
          <w:rFonts w:asciiTheme="majorHAnsi" w:hAnsiTheme="majorHAnsi"/>
          <w:sz w:val="20"/>
          <w:szCs w:val="20"/>
        </w:rPr>
        <w:t>часом</w:t>
      </w:r>
      <w:r w:rsidRPr="000977F7">
        <w:rPr>
          <w:rFonts w:asciiTheme="majorHAnsi" w:hAnsiTheme="majorHAnsi"/>
          <w:spacing w:val="45"/>
          <w:sz w:val="20"/>
          <w:szCs w:val="20"/>
        </w:rPr>
        <w:t xml:space="preserve"> </w:t>
      </w:r>
      <w:r w:rsidRPr="000977F7">
        <w:rPr>
          <w:rFonts w:asciiTheme="majorHAnsi" w:hAnsiTheme="majorHAnsi"/>
          <w:sz w:val="20"/>
          <w:szCs w:val="20"/>
        </w:rPr>
        <w:t>від</w:t>
      </w:r>
      <w:r w:rsidRPr="000977F7">
        <w:rPr>
          <w:rFonts w:asciiTheme="majorHAnsi" w:hAnsiTheme="majorHAnsi"/>
          <w:spacing w:val="-47"/>
          <w:sz w:val="20"/>
          <w:szCs w:val="20"/>
        </w:rPr>
        <w:t xml:space="preserve"> </w:t>
      </w:r>
      <w:r w:rsidRPr="000977F7">
        <w:rPr>
          <w:rFonts w:asciiTheme="majorHAnsi" w:hAnsiTheme="majorHAnsi"/>
          <w:sz w:val="20"/>
          <w:szCs w:val="20"/>
        </w:rPr>
        <w:t>перехідної</w:t>
      </w:r>
      <w:r w:rsidRPr="000977F7">
        <w:rPr>
          <w:rFonts w:asciiTheme="majorHAnsi" w:hAnsiTheme="majorHAnsi"/>
          <w:spacing w:val="-2"/>
          <w:sz w:val="20"/>
          <w:szCs w:val="20"/>
        </w:rPr>
        <w:t xml:space="preserve"> </w:t>
      </w:r>
      <w:r w:rsidRPr="000977F7">
        <w:rPr>
          <w:rFonts w:asciiTheme="majorHAnsi" w:hAnsiTheme="majorHAnsi"/>
          <w:sz w:val="20"/>
          <w:szCs w:val="20"/>
        </w:rPr>
        <w:t>характеристики</w:t>
      </w:r>
    </w:p>
    <w:p w14:paraId="427B815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3956 - 2000</w:t>
      </w:r>
    </w:p>
    <w:p w14:paraId="171E083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ІМПУЛЬСНЕ</w:t>
      </w:r>
      <w:r w:rsidRPr="000977F7">
        <w:rPr>
          <w:color w:val="auto"/>
          <w:spacing w:val="-5"/>
          <w:sz w:val="20"/>
          <w:szCs w:val="20"/>
        </w:rPr>
        <w:t xml:space="preserve"> </w:t>
      </w:r>
      <w:r w:rsidRPr="000977F7">
        <w:rPr>
          <w:color w:val="auto"/>
          <w:sz w:val="20"/>
          <w:szCs w:val="20"/>
        </w:rPr>
        <w:t>ДІЯННЯ –</w:t>
      </w:r>
    </w:p>
    <w:p w14:paraId="762E6B3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IMPULSE</w:t>
      </w:r>
      <w:r w:rsidRPr="000977F7">
        <w:rPr>
          <w:rFonts w:asciiTheme="majorHAnsi" w:hAnsiTheme="majorHAnsi"/>
          <w:spacing w:val="-2"/>
          <w:sz w:val="20"/>
          <w:szCs w:val="20"/>
        </w:rPr>
        <w:t xml:space="preserve"> </w:t>
      </w:r>
      <w:r w:rsidRPr="000977F7">
        <w:rPr>
          <w:rFonts w:asciiTheme="majorHAnsi" w:hAnsiTheme="majorHAnsi"/>
          <w:sz w:val="20"/>
          <w:szCs w:val="20"/>
        </w:rPr>
        <w:t>ACTION –</w:t>
      </w:r>
    </w:p>
    <w:p w14:paraId="6DD313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Діяння, дієва величина якого змінюється на деякому</w:t>
      </w:r>
      <w:r w:rsidRPr="000977F7">
        <w:rPr>
          <w:rFonts w:asciiTheme="majorHAnsi" w:hAnsiTheme="majorHAnsi"/>
          <w:spacing w:val="1"/>
          <w:sz w:val="20"/>
          <w:szCs w:val="20"/>
        </w:rPr>
        <w:t xml:space="preserve"> </w:t>
      </w:r>
      <w:r w:rsidRPr="000977F7">
        <w:rPr>
          <w:rFonts w:asciiTheme="majorHAnsi" w:hAnsiTheme="majorHAnsi"/>
          <w:sz w:val="20"/>
          <w:szCs w:val="20"/>
        </w:rPr>
        <w:t>відносно короткому інтервалі часу, а її значення за</w:t>
      </w:r>
      <w:r w:rsidRPr="000977F7">
        <w:rPr>
          <w:rFonts w:asciiTheme="majorHAnsi" w:hAnsiTheme="majorHAnsi"/>
          <w:spacing w:val="1"/>
          <w:sz w:val="20"/>
          <w:szCs w:val="20"/>
        </w:rPr>
        <w:t xml:space="preserve"> </w:t>
      </w:r>
      <w:r w:rsidRPr="000977F7">
        <w:rPr>
          <w:rFonts w:asciiTheme="majorHAnsi" w:hAnsiTheme="majorHAnsi"/>
          <w:sz w:val="20"/>
          <w:szCs w:val="20"/>
        </w:rPr>
        <w:t>межами цього інтервалу не перевищують встановленого порогового</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p>
    <w:p w14:paraId="55A5302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3D351D3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ІМПУЛЬСНИЙ</w:t>
      </w:r>
      <w:r w:rsidRPr="000977F7">
        <w:rPr>
          <w:color w:val="auto"/>
          <w:spacing w:val="-4"/>
          <w:sz w:val="20"/>
          <w:szCs w:val="20"/>
        </w:rPr>
        <w:t xml:space="preserve"> </w:t>
      </w:r>
      <w:r w:rsidRPr="000977F7">
        <w:rPr>
          <w:color w:val="auto"/>
          <w:sz w:val="20"/>
          <w:szCs w:val="20"/>
        </w:rPr>
        <w:t>СИГНАЛ –</w:t>
      </w:r>
    </w:p>
    <w:p w14:paraId="39AE80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IMPULSE</w:t>
      </w:r>
      <w:r w:rsidRPr="000977F7">
        <w:rPr>
          <w:rFonts w:asciiTheme="majorHAnsi" w:hAnsiTheme="majorHAnsi"/>
          <w:spacing w:val="-3"/>
          <w:sz w:val="20"/>
          <w:szCs w:val="20"/>
        </w:rPr>
        <w:t xml:space="preserve"> </w:t>
      </w:r>
      <w:r w:rsidRPr="000977F7">
        <w:rPr>
          <w:rFonts w:asciiTheme="majorHAnsi" w:hAnsiTheme="majorHAnsi"/>
          <w:sz w:val="20"/>
          <w:szCs w:val="20"/>
        </w:rPr>
        <w:t>SIGNAL –</w:t>
      </w:r>
    </w:p>
    <w:p w14:paraId="768B4170"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Сигнал</w:t>
      </w:r>
      <w:r w:rsidRPr="000977F7">
        <w:rPr>
          <w:rFonts w:asciiTheme="majorHAnsi" w:hAnsiTheme="majorHAnsi"/>
          <w:spacing w:val="-3"/>
          <w:sz w:val="20"/>
          <w:szCs w:val="20"/>
        </w:rPr>
        <w:t xml:space="preserve"> </w:t>
      </w:r>
      <w:r w:rsidRPr="000977F7">
        <w:rPr>
          <w:rFonts w:asciiTheme="majorHAnsi" w:hAnsiTheme="majorHAnsi"/>
          <w:sz w:val="20"/>
          <w:szCs w:val="20"/>
        </w:rPr>
        <w:t>у</w:t>
      </w:r>
      <w:r w:rsidRPr="000977F7">
        <w:rPr>
          <w:rFonts w:asciiTheme="majorHAnsi" w:hAnsiTheme="majorHAnsi"/>
          <w:spacing w:val="-8"/>
          <w:sz w:val="20"/>
          <w:szCs w:val="20"/>
        </w:rPr>
        <w:t xml:space="preserve"> </w:t>
      </w:r>
      <w:r w:rsidRPr="000977F7">
        <w:rPr>
          <w:rFonts w:asciiTheme="majorHAnsi" w:hAnsiTheme="majorHAnsi"/>
          <w:sz w:val="20"/>
          <w:szCs w:val="20"/>
        </w:rPr>
        <w:t>вигляді</w:t>
      </w:r>
      <w:r w:rsidRPr="000977F7">
        <w:rPr>
          <w:rFonts w:asciiTheme="majorHAnsi" w:hAnsiTheme="majorHAnsi"/>
          <w:spacing w:val="-5"/>
          <w:sz w:val="20"/>
          <w:szCs w:val="20"/>
        </w:rPr>
        <w:t xml:space="preserve"> </w:t>
      </w:r>
      <w:r w:rsidRPr="000977F7">
        <w:rPr>
          <w:rFonts w:asciiTheme="majorHAnsi" w:hAnsiTheme="majorHAnsi"/>
          <w:sz w:val="20"/>
          <w:szCs w:val="20"/>
        </w:rPr>
        <w:t>імпульсного</w:t>
      </w:r>
      <w:r w:rsidRPr="000977F7">
        <w:rPr>
          <w:rFonts w:asciiTheme="majorHAnsi" w:hAnsiTheme="majorHAnsi"/>
          <w:spacing w:val="-3"/>
          <w:sz w:val="20"/>
          <w:szCs w:val="20"/>
        </w:rPr>
        <w:t xml:space="preserve"> </w:t>
      </w:r>
      <w:r w:rsidRPr="000977F7">
        <w:rPr>
          <w:rFonts w:asciiTheme="majorHAnsi" w:hAnsiTheme="majorHAnsi"/>
          <w:sz w:val="20"/>
          <w:szCs w:val="20"/>
        </w:rPr>
        <w:t>діяння</w:t>
      </w:r>
      <w:r w:rsidRPr="000977F7">
        <w:rPr>
          <w:rFonts w:asciiTheme="majorHAnsi" w:hAnsiTheme="majorHAnsi"/>
          <w:spacing w:val="-47"/>
          <w:sz w:val="20"/>
          <w:szCs w:val="20"/>
        </w:rPr>
        <w:t xml:space="preserve"> </w:t>
      </w:r>
    </w:p>
    <w:p w14:paraId="575A68A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26E08B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Відрізняють</w:t>
      </w:r>
      <w:r w:rsidRPr="000977F7">
        <w:rPr>
          <w:rFonts w:asciiTheme="majorHAnsi" w:hAnsiTheme="majorHAnsi"/>
          <w:spacing w:val="7"/>
          <w:sz w:val="20"/>
          <w:szCs w:val="20"/>
        </w:rPr>
        <w:t xml:space="preserve"> </w:t>
      </w:r>
      <w:r w:rsidRPr="000977F7">
        <w:rPr>
          <w:rFonts w:asciiTheme="majorHAnsi" w:hAnsiTheme="majorHAnsi"/>
          <w:sz w:val="20"/>
          <w:szCs w:val="20"/>
        </w:rPr>
        <w:t>імпульсні</w:t>
      </w:r>
      <w:r w:rsidRPr="000977F7">
        <w:rPr>
          <w:rFonts w:asciiTheme="majorHAnsi" w:hAnsiTheme="majorHAnsi"/>
          <w:spacing w:val="8"/>
          <w:sz w:val="20"/>
          <w:szCs w:val="20"/>
        </w:rPr>
        <w:t xml:space="preserve"> </w:t>
      </w:r>
      <w:r w:rsidRPr="000977F7">
        <w:rPr>
          <w:rFonts w:asciiTheme="majorHAnsi" w:hAnsiTheme="majorHAnsi"/>
          <w:sz w:val="20"/>
          <w:szCs w:val="20"/>
        </w:rPr>
        <w:t>сигнали</w:t>
      </w:r>
      <w:r w:rsidRPr="000977F7">
        <w:rPr>
          <w:rFonts w:asciiTheme="majorHAnsi" w:hAnsiTheme="majorHAnsi"/>
          <w:spacing w:val="8"/>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вигляді</w:t>
      </w:r>
      <w:r w:rsidRPr="000977F7">
        <w:rPr>
          <w:rFonts w:asciiTheme="majorHAnsi" w:hAnsiTheme="majorHAnsi"/>
          <w:spacing w:val="10"/>
          <w:sz w:val="20"/>
          <w:szCs w:val="20"/>
        </w:rPr>
        <w:t xml:space="preserve"> </w:t>
      </w:r>
      <w:r w:rsidRPr="000977F7">
        <w:rPr>
          <w:rFonts w:asciiTheme="majorHAnsi" w:hAnsiTheme="majorHAnsi"/>
          <w:sz w:val="20"/>
          <w:szCs w:val="20"/>
        </w:rPr>
        <w:t>поодиноких</w:t>
      </w:r>
      <w:r w:rsidRPr="000977F7">
        <w:rPr>
          <w:rFonts w:asciiTheme="majorHAnsi" w:hAnsiTheme="majorHAnsi"/>
          <w:spacing w:val="-47"/>
          <w:sz w:val="20"/>
          <w:szCs w:val="20"/>
        </w:rPr>
        <w:t xml:space="preserve"> </w:t>
      </w:r>
      <w:r w:rsidRPr="000977F7">
        <w:rPr>
          <w:rFonts w:asciiTheme="majorHAnsi" w:hAnsiTheme="majorHAnsi"/>
          <w:sz w:val="20"/>
          <w:szCs w:val="20"/>
        </w:rPr>
        <w:t>або повторюваних</w:t>
      </w:r>
      <w:r w:rsidRPr="000977F7">
        <w:rPr>
          <w:rFonts w:asciiTheme="majorHAnsi" w:hAnsiTheme="majorHAnsi"/>
          <w:spacing w:val="-1"/>
          <w:sz w:val="20"/>
          <w:szCs w:val="20"/>
        </w:rPr>
        <w:t xml:space="preserve"> </w:t>
      </w:r>
      <w:r w:rsidRPr="000977F7">
        <w:rPr>
          <w:rFonts w:asciiTheme="majorHAnsi" w:hAnsiTheme="majorHAnsi"/>
          <w:sz w:val="20"/>
          <w:szCs w:val="20"/>
        </w:rPr>
        <w:t>імпульсів</w:t>
      </w:r>
    </w:p>
    <w:p w14:paraId="12512ED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4F7EF08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ІНВЕНТАРНА</w:t>
      </w:r>
      <w:r w:rsidRPr="000977F7">
        <w:rPr>
          <w:color w:val="auto"/>
          <w:spacing w:val="-5"/>
          <w:sz w:val="20"/>
          <w:szCs w:val="20"/>
        </w:rPr>
        <w:t xml:space="preserve"> </w:t>
      </w:r>
      <w:r w:rsidRPr="000977F7">
        <w:rPr>
          <w:color w:val="auto"/>
          <w:sz w:val="20"/>
          <w:szCs w:val="20"/>
        </w:rPr>
        <w:t>КНИГА</w:t>
      </w:r>
      <w:r w:rsidRPr="000977F7">
        <w:rPr>
          <w:color w:val="auto"/>
          <w:spacing w:val="-5"/>
          <w:sz w:val="20"/>
          <w:szCs w:val="20"/>
        </w:rPr>
        <w:t xml:space="preserve"> </w:t>
      </w:r>
      <w:r w:rsidRPr="000977F7">
        <w:rPr>
          <w:color w:val="auto"/>
          <w:sz w:val="20"/>
          <w:szCs w:val="20"/>
        </w:rPr>
        <w:t>ДУБЛИКАТІВ –</w:t>
      </w:r>
    </w:p>
    <w:p w14:paraId="53DF5A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призначений для реєстрації й обліку дублікатів</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конструкторських</w:t>
      </w:r>
      <w:r w:rsidRPr="000977F7">
        <w:rPr>
          <w:rFonts w:asciiTheme="majorHAnsi" w:hAnsiTheme="majorHAnsi"/>
          <w:spacing w:val="1"/>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1"/>
          <w:sz w:val="20"/>
          <w:szCs w:val="20"/>
        </w:rPr>
        <w:t xml:space="preserve"> </w:t>
      </w:r>
      <w:r w:rsidRPr="000977F7">
        <w:rPr>
          <w:rFonts w:asciiTheme="majorHAnsi" w:hAnsiTheme="majorHAnsi"/>
          <w:sz w:val="20"/>
          <w:szCs w:val="20"/>
        </w:rPr>
        <w:t>прийнятих</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зберігання</w:t>
      </w:r>
    </w:p>
    <w:p w14:paraId="3A9F649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0FE4013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ІНВЕНТАРНА</w:t>
      </w:r>
      <w:r w:rsidRPr="000977F7">
        <w:rPr>
          <w:color w:val="auto"/>
          <w:spacing w:val="-4"/>
          <w:sz w:val="20"/>
          <w:szCs w:val="20"/>
        </w:rPr>
        <w:t xml:space="preserve"> </w:t>
      </w:r>
      <w:r w:rsidRPr="000977F7">
        <w:rPr>
          <w:color w:val="auto"/>
          <w:sz w:val="20"/>
          <w:szCs w:val="20"/>
        </w:rPr>
        <w:t>КНИГА</w:t>
      </w:r>
      <w:r w:rsidRPr="000977F7">
        <w:rPr>
          <w:color w:val="auto"/>
          <w:spacing w:val="-4"/>
          <w:sz w:val="20"/>
          <w:szCs w:val="20"/>
        </w:rPr>
        <w:t xml:space="preserve"> </w:t>
      </w:r>
      <w:r w:rsidRPr="000977F7">
        <w:rPr>
          <w:color w:val="auto"/>
          <w:sz w:val="20"/>
          <w:szCs w:val="20"/>
        </w:rPr>
        <w:t>КОПІЙ –</w:t>
      </w:r>
    </w:p>
    <w:p w14:paraId="390FE34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призначений для реєстрації й обліку копій</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конструкторських</w:t>
      </w:r>
      <w:r w:rsidRPr="000977F7">
        <w:rPr>
          <w:rFonts w:asciiTheme="majorHAnsi" w:hAnsiTheme="majorHAnsi"/>
          <w:spacing w:val="1"/>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1"/>
          <w:sz w:val="20"/>
          <w:szCs w:val="20"/>
        </w:rPr>
        <w:t xml:space="preserve"> </w:t>
      </w:r>
      <w:r w:rsidRPr="000977F7">
        <w:rPr>
          <w:rFonts w:asciiTheme="majorHAnsi" w:hAnsiTheme="majorHAnsi"/>
          <w:sz w:val="20"/>
          <w:szCs w:val="20"/>
        </w:rPr>
        <w:t>одержаних</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47"/>
          <w:sz w:val="20"/>
          <w:szCs w:val="20"/>
        </w:rPr>
        <w:t xml:space="preserve"> </w:t>
      </w:r>
      <w:r w:rsidRPr="000977F7">
        <w:rPr>
          <w:rFonts w:asciiTheme="majorHAnsi" w:hAnsiTheme="majorHAnsi"/>
          <w:sz w:val="20"/>
          <w:szCs w:val="20"/>
        </w:rPr>
        <w:t>підприємств</w:t>
      </w:r>
    </w:p>
    <w:p w14:paraId="318E6F5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4052029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ІНВЕНТАРНА</w:t>
      </w:r>
      <w:r w:rsidRPr="000977F7">
        <w:rPr>
          <w:color w:val="auto"/>
          <w:spacing w:val="-5"/>
          <w:sz w:val="20"/>
          <w:szCs w:val="20"/>
        </w:rPr>
        <w:t xml:space="preserve"> </w:t>
      </w:r>
      <w:r w:rsidRPr="000977F7">
        <w:rPr>
          <w:color w:val="auto"/>
          <w:sz w:val="20"/>
          <w:szCs w:val="20"/>
        </w:rPr>
        <w:t>КНИГА</w:t>
      </w:r>
      <w:r w:rsidRPr="000977F7">
        <w:rPr>
          <w:color w:val="auto"/>
          <w:spacing w:val="-4"/>
          <w:sz w:val="20"/>
          <w:szCs w:val="20"/>
        </w:rPr>
        <w:t xml:space="preserve"> </w:t>
      </w:r>
      <w:r w:rsidRPr="000977F7">
        <w:rPr>
          <w:color w:val="auto"/>
          <w:sz w:val="20"/>
          <w:szCs w:val="20"/>
        </w:rPr>
        <w:t>ПРАВДНИКІВ –</w:t>
      </w:r>
    </w:p>
    <w:p w14:paraId="253A5E9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призначений для реєстрації й обліку правдників</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конструкторських</w:t>
      </w:r>
      <w:r w:rsidRPr="000977F7">
        <w:rPr>
          <w:rFonts w:asciiTheme="majorHAnsi" w:hAnsiTheme="majorHAnsi"/>
          <w:spacing w:val="1"/>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1"/>
          <w:sz w:val="20"/>
          <w:szCs w:val="20"/>
        </w:rPr>
        <w:t xml:space="preserve"> </w:t>
      </w:r>
      <w:r w:rsidRPr="000977F7">
        <w:rPr>
          <w:rFonts w:asciiTheme="majorHAnsi" w:hAnsiTheme="majorHAnsi"/>
          <w:sz w:val="20"/>
          <w:szCs w:val="20"/>
        </w:rPr>
        <w:t>прийнятих</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зберігання</w:t>
      </w:r>
    </w:p>
    <w:p w14:paraId="4B4B3A0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1FFE8F84" w14:textId="77777777" w:rsidR="0097612F" w:rsidRPr="000977F7" w:rsidRDefault="0097612F" w:rsidP="000977F7">
      <w:pPr>
        <w:pStyle w:val="7"/>
        <w:tabs>
          <w:tab w:val="left" w:pos="284"/>
        </w:tabs>
        <w:spacing w:before="0" w:line="240" w:lineRule="auto"/>
        <w:ind w:left="170"/>
        <w:mirrorIndents/>
        <w:jc w:val="both"/>
        <w:rPr>
          <w:b w:val="0"/>
          <w:i/>
          <w:color w:val="auto"/>
          <w:sz w:val="20"/>
          <w:szCs w:val="20"/>
        </w:rPr>
      </w:pPr>
      <w:r w:rsidRPr="000977F7">
        <w:rPr>
          <w:color w:val="auto"/>
          <w:sz w:val="20"/>
          <w:szCs w:val="20"/>
        </w:rPr>
        <w:t>ІНВЕСТИЦІЙНА</w:t>
      </w:r>
      <w:r w:rsidRPr="000977F7">
        <w:rPr>
          <w:color w:val="auto"/>
          <w:spacing w:val="-5"/>
          <w:sz w:val="20"/>
          <w:szCs w:val="20"/>
        </w:rPr>
        <w:t xml:space="preserve"> </w:t>
      </w:r>
      <w:r w:rsidRPr="000977F7">
        <w:rPr>
          <w:color w:val="auto"/>
          <w:sz w:val="20"/>
          <w:szCs w:val="20"/>
        </w:rPr>
        <w:t>СПІВПРАЦЯ</w:t>
      </w:r>
      <w:r w:rsidRPr="000977F7">
        <w:rPr>
          <w:color w:val="auto"/>
          <w:spacing w:val="-1"/>
          <w:sz w:val="20"/>
          <w:szCs w:val="20"/>
        </w:rPr>
        <w:t xml:space="preserve"> </w:t>
      </w:r>
      <w:r w:rsidRPr="000977F7">
        <w:rPr>
          <w:b w:val="0"/>
          <w:i/>
          <w:color w:val="auto"/>
          <w:sz w:val="20"/>
          <w:szCs w:val="20"/>
        </w:rPr>
        <w:t>–</w:t>
      </w:r>
    </w:p>
    <w:p w14:paraId="03D4746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Вид міжнародних економічних відносин, метою якого</w:t>
      </w:r>
      <w:r w:rsidRPr="000977F7">
        <w:rPr>
          <w:rFonts w:asciiTheme="majorHAnsi" w:hAnsiTheme="majorHAnsi"/>
          <w:spacing w:val="-47"/>
          <w:sz w:val="20"/>
          <w:szCs w:val="20"/>
        </w:rPr>
        <w:t xml:space="preserve"> </w:t>
      </w:r>
      <w:r w:rsidRPr="000977F7">
        <w:rPr>
          <w:rFonts w:asciiTheme="majorHAnsi" w:hAnsiTheme="majorHAnsi"/>
          <w:sz w:val="20"/>
          <w:szCs w:val="20"/>
        </w:rPr>
        <w:t>є раціональний розподіл ресурсів, досягнення державами більш високих результатів в економіці за рахунок використання переваг участі у міжнародному розподілі праці, оновленні технологічної структури суспільного виробництва</w:t>
      </w:r>
    </w:p>
    <w:p w14:paraId="0883394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D398E7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ІНВЕСТИЦІЯ</w:t>
      </w:r>
      <w:r w:rsidRPr="000977F7">
        <w:rPr>
          <w:color w:val="auto"/>
          <w:spacing w:val="-5"/>
          <w:sz w:val="20"/>
          <w:szCs w:val="20"/>
        </w:rPr>
        <w:t xml:space="preserve"> </w:t>
      </w:r>
      <w:r w:rsidRPr="000977F7">
        <w:rPr>
          <w:color w:val="auto"/>
          <w:sz w:val="20"/>
          <w:szCs w:val="20"/>
        </w:rPr>
        <w:t>–</w:t>
      </w:r>
    </w:p>
    <w:p w14:paraId="141C63F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Довготермінове укладання капіталу в яке-небудь підприємство, справу, різні галузі господарства з метою</w:t>
      </w:r>
      <w:r w:rsidRPr="000977F7">
        <w:rPr>
          <w:rFonts w:asciiTheme="majorHAnsi" w:hAnsiTheme="majorHAnsi"/>
          <w:spacing w:val="1"/>
          <w:sz w:val="20"/>
          <w:szCs w:val="20"/>
        </w:rPr>
        <w:t xml:space="preserve"> </w:t>
      </w:r>
      <w:r w:rsidRPr="000977F7">
        <w:rPr>
          <w:rFonts w:asciiTheme="majorHAnsi" w:hAnsiTheme="majorHAnsi"/>
          <w:sz w:val="20"/>
          <w:szCs w:val="20"/>
        </w:rPr>
        <w:t>отримання</w:t>
      </w:r>
      <w:r w:rsidRPr="000977F7">
        <w:rPr>
          <w:rFonts w:asciiTheme="majorHAnsi" w:hAnsiTheme="majorHAnsi"/>
          <w:spacing w:val="-2"/>
          <w:sz w:val="20"/>
          <w:szCs w:val="20"/>
        </w:rPr>
        <w:t xml:space="preserve"> </w:t>
      </w:r>
      <w:r w:rsidRPr="000977F7">
        <w:rPr>
          <w:rFonts w:asciiTheme="majorHAnsi" w:hAnsiTheme="majorHAnsi"/>
          <w:sz w:val="20"/>
          <w:szCs w:val="20"/>
        </w:rPr>
        <w:t>прибутку</w:t>
      </w:r>
    </w:p>
    <w:p w14:paraId="2034060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w:t>
      </w:r>
      <w:r w:rsidRPr="000977F7">
        <w:rPr>
          <w:rFonts w:asciiTheme="majorHAnsi" w:hAnsiTheme="majorHAnsi"/>
          <w:i/>
          <w:spacing w:val="2"/>
          <w:sz w:val="20"/>
          <w:szCs w:val="20"/>
        </w:rPr>
        <w:t xml:space="preserve"> </w:t>
      </w:r>
      <w:r w:rsidRPr="000977F7">
        <w:rPr>
          <w:rFonts w:asciiTheme="majorHAnsi" w:hAnsiTheme="majorHAnsi"/>
          <w:i/>
          <w:sz w:val="20"/>
          <w:szCs w:val="20"/>
        </w:rPr>
        <w:t>– 95</w:t>
      </w:r>
    </w:p>
    <w:p w14:paraId="06D7E15C"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ІНГІБІТОР КОРОЗІЇ —</w:t>
      </w:r>
    </w:p>
    <w:p w14:paraId="22ED3D5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CORROSION</w:t>
      </w:r>
      <w:r w:rsidRPr="000977F7">
        <w:rPr>
          <w:rFonts w:asciiTheme="majorHAnsi" w:hAnsiTheme="majorHAnsi"/>
          <w:spacing w:val="-8"/>
          <w:sz w:val="20"/>
          <w:szCs w:val="20"/>
        </w:rPr>
        <w:t xml:space="preserve"> </w:t>
      </w:r>
      <w:r w:rsidRPr="000977F7">
        <w:rPr>
          <w:rFonts w:asciiTheme="majorHAnsi" w:hAnsiTheme="majorHAnsi"/>
          <w:sz w:val="20"/>
          <w:szCs w:val="20"/>
        </w:rPr>
        <w:t>INHIBITOR</w:t>
      </w:r>
      <w:r w:rsidRPr="000977F7">
        <w:rPr>
          <w:rFonts w:asciiTheme="majorHAnsi" w:hAnsiTheme="majorHAnsi"/>
          <w:spacing w:val="-6"/>
          <w:sz w:val="20"/>
          <w:szCs w:val="20"/>
        </w:rPr>
        <w:t xml:space="preserve"> </w:t>
      </w:r>
      <w:r w:rsidRPr="000977F7">
        <w:rPr>
          <w:rFonts w:asciiTheme="majorHAnsi" w:hAnsiTheme="majorHAnsi"/>
          <w:sz w:val="20"/>
          <w:szCs w:val="20"/>
        </w:rPr>
        <w:t>–</w:t>
      </w:r>
    </w:p>
    <w:p w14:paraId="0257384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Речовина,</w:t>
      </w:r>
      <w:r w:rsidRPr="000977F7">
        <w:rPr>
          <w:rFonts w:asciiTheme="majorHAnsi" w:hAnsiTheme="majorHAnsi"/>
          <w:spacing w:val="28"/>
          <w:sz w:val="20"/>
          <w:szCs w:val="20"/>
        </w:rPr>
        <w:t xml:space="preserve"> </w:t>
      </w:r>
      <w:r w:rsidRPr="000977F7">
        <w:rPr>
          <w:rFonts w:asciiTheme="majorHAnsi" w:hAnsiTheme="majorHAnsi"/>
          <w:sz w:val="20"/>
          <w:szCs w:val="20"/>
        </w:rPr>
        <w:t>яка</w:t>
      </w:r>
      <w:r w:rsidRPr="000977F7">
        <w:rPr>
          <w:rFonts w:asciiTheme="majorHAnsi" w:hAnsiTheme="majorHAnsi"/>
          <w:spacing w:val="30"/>
          <w:sz w:val="20"/>
          <w:szCs w:val="20"/>
        </w:rPr>
        <w:t xml:space="preserve"> </w:t>
      </w:r>
      <w:r w:rsidRPr="000977F7">
        <w:rPr>
          <w:rFonts w:asciiTheme="majorHAnsi" w:hAnsiTheme="majorHAnsi"/>
          <w:sz w:val="20"/>
          <w:szCs w:val="20"/>
        </w:rPr>
        <w:t>у</w:t>
      </w:r>
      <w:r w:rsidRPr="000977F7">
        <w:rPr>
          <w:rFonts w:asciiTheme="majorHAnsi" w:hAnsiTheme="majorHAnsi"/>
          <w:spacing w:val="26"/>
          <w:sz w:val="20"/>
          <w:szCs w:val="20"/>
        </w:rPr>
        <w:t xml:space="preserve"> </w:t>
      </w:r>
      <w:r w:rsidRPr="000977F7">
        <w:rPr>
          <w:rFonts w:asciiTheme="majorHAnsi" w:hAnsiTheme="majorHAnsi"/>
          <w:sz w:val="20"/>
          <w:szCs w:val="20"/>
        </w:rPr>
        <w:t>разі</w:t>
      </w:r>
      <w:r w:rsidRPr="000977F7">
        <w:rPr>
          <w:rFonts w:asciiTheme="majorHAnsi" w:hAnsiTheme="majorHAnsi"/>
          <w:spacing w:val="31"/>
          <w:sz w:val="20"/>
          <w:szCs w:val="20"/>
        </w:rPr>
        <w:t xml:space="preserve"> </w:t>
      </w:r>
      <w:r w:rsidRPr="000977F7">
        <w:rPr>
          <w:rFonts w:asciiTheme="majorHAnsi" w:hAnsiTheme="majorHAnsi"/>
          <w:sz w:val="20"/>
          <w:szCs w:val="20"/>
        </w:rPr>
        <w:t>її</w:t>
      </w:r>
      <w:r w:rsidRPr="000977F7">
        <w:rPr>
          <w:rFonts w:asciiTheme="majorHAnsi" w:hAnsiTheme="majorHAnsi"/>
          <w:spacing w:val="30"/>
          <w:sz w:val="20"/>
          <w:szCs w:val="20"/>
        </w:rPr>
        <w:t xml:space="preserve"> </w:t>
      </w:r>
      <w:r w:rsidRPr="000977F7">
        <w:rPr>
          <w:rFonts w:asciiTheme="majorHAnsi" w:hAnsiTheme="majorHAnsi"/>
          <w:sz w:val="20"/>
          <w:szCs w:val="20"/>
        </w:rPr>
        <w:t>введення</w:t>
      </w:r>
      <w:r w:rsidRPr="000977F7">
        <w:rPr>
          <w:rFonts w:asciiTheme="majorHAnsi" w:hAnsiTheme="majorHAnsi"/>
          <w:spacing w:val="27"/>
          <w:sz w:val="20"/>
          <w:szCs w:val="20"/>
        </w:rPr>
        <w:t xml:space="preserve"> </w:t>
      </w:r>
      <w:r w:rsidRPr="000977F7">
        <w:rPr>
          <w:rFonts w:asciiTheme="majorHAnsi" w:hAnsiTheme="majorHAnsi"/>
          <w:sz w:val="20"/>
          <w:szCs w:val="20"/>
        </w:rPr>
        <w:t>в</w:t>
      </w:r>
      <w:r w:rsidRPr="000977F7">
        <w:rPr>
          <w:rFonts w:asciiTheme="majorHAnsi" w:hAnsiTheme="majorHAnsi"/>
          <w:spacing w:val="29"/>
          <w:sz w:val="20"/>
          <w:szCs w:val="20"/>
        </w:rPr>
        <w:t xml:space="preserve"> </w:t>
      </w:r>
      <w:r w:rsidRPr="000977F7">
        <w:rPr>
          <w:rFonts w:asciiTheme="majorHAnsi" w:hAnsiTheme="majorHAnsi"/>
          <w:sz w:val="20"/>
          <w:szCs w:val="20"/>
        </w:rPr>
        <w:t>корозивне</w:t>
      </w:r>
      <w:r w:rsidRPr="000977F7">
        <w:rPr>
          <w:rFonts w:asciiTheme="majorHAnsi" w:hAnsiTheme="majorHAnsi"/>
          <w:spacing w:val="29"/>
          <w:sz w:val="20"/>
          <w:szCs w:val="20"/>
        </w:rPr>
        <w:t xml:space="preserve"> </w:t>
      </w:r>
      <w:r w:rsidRPr="000977F7">
        <w:rPr>
          <w:rFonts w:asciiTheme="majorHAnsi" w:hAnsiTheme="majorHAnsi"/>
          <w:sz w:val="20"/>
          <w:szCs w:val="20"/>
        </w:rPr>
        <w:t>середовище</w:t>
      </w:r>
      <w:r w:rsidRPr="000977F7">
        <w:rPr>
          <w:rFonts w:asciiTheme="majorHAnsi" w:hAnsiTheme="majorHAnsi"/>
          <w:spacing w:val="2"/>
          <w:sz w:val="20"/>
          <w:szCs w:val="20"/>
        </w:rPr>
        <w:t xml:space="preserve"> </w:t>
      </w:r>
      <w:r w:rsidRPr="000977F7">
        <w:rPr>
          <w:rFonts w:asciiTheme="majorHAnsi" w:hAnsiTheme="majorHAnsi"/>
          <w:sz w:val="20"/>
          <w:szCs w:val="20"/>
        </w:rPr>
        <w:t>помітно знижує</w:t>
      </w:r>
      <w:r w:rsidRPr="000977F7">
        <w:rPr>
          <w:rFonts w:asciiTheme="majorHAnsi" w:hAnsiTheme="majorHAnsi"/>
          <w:spacing w:val="-1"/>
          <w:sz w:val="20"/>
          <w:szCs w:val="20"/>
        </w:rPr>
        <w:t xml:space="preserve"> </w:t>
      </w:r>
      <w:r w:rsidRPr="000977F7">
        <w:rPr>
          <w:rFonts w:asciiTheme="majorHAnsi" w:hAnsiTheme="majorHAnsi"/>
          <w:sz w:val="20"/>
          <w:szCs w:val="20"/>
        </w:rPr>
        <w:t>швидкість</w:t>
      </w:r>
      <w:r w:rsidRPr="000977F7">
        <w:rPr>
          <w:rFonts w:asciiTheme="majorHAnsi" w:hAnsiTheme="majorHAnsi"/>
          <w:spacing w:val="-2"/>
          <w:sz w:val="20"/>
          <w:szCs w:val="20"/>
        </w:rPr>
        <w:t xml:space="preserve"> </w:t>
      </w:r>
      <w:r w:rsidRPr="000977F7">
        <w:rPr>
          <w:rFonts w:asciiTheme="majorHAnsi" w:hAnsiTheme="majorHAnsi"/>
          <w:sz w:val="20"/>
          <w:szCs w:val="20"/>
        </w:rPr>
        <w:t>корозії</w:t>
      </w:r>
      <w:r w:rsidRPr="000977F7">
        <w:rPr>
          <w:rFonts w:asciiTheme="majorHAnsi" w:hAnsiTheme="majorHAnsi"/>
          <w:spacing w:val="-1"/>
          <w:sz w:val="20"/>
          <w:szCs w:val="20"/>
        </w:rPr>
        <w:t xml:space="preserve"> </w:t>
      </w:r>
      <w:r w:rsidRPr="000977F7">
        <w:rPr>
          <w:rFonts w:asciiTheme="majorHAnsi" w:hAnsiTheme="majorHAnsi"/>
          <w:sz w:val="20"/>
          <w:szCs w:val="20"/>
        </w:rPr>
        <w:t>металу</w:t>
      </w:r>
    </w:p>
    <w:p w14:paraId="6716D76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7253766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ІНГІБУВАННЯ</w:t>
      </w:r>
      <w:r w:rsidRPr="000977F7">
        <w:rPr>
          <w:color w:val="auto"/>
          <w:spacing w:val="44"/>
          <w:sz w:val="20"/>
          <w:szCs w:val="20"/>
        </w:rPr>
        <w:t xml:space="preserve"> </w:t>
      </w:r>
      <w:r w:rsidRPr="000977F7">
        <w:rPr>
          <w:color w:val="auto"/>
          <w:sz w:val="20"/>
          <w:szCs w:val="20"/>
        </w:rPr>
        <w:t>—</w:t>
      </w:r>
    </w:p>
    <w:p w14:paraId="06F2E77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Протикорозійний захист, що його здійснюють застосуванням</w:t>
      </w:r>
      <w:r w:rsidRPr="000977F7">
        <w:rPr>
          <w:rFonts w:asciiTheme="majorHAnsi" w:hAnsiTheme="majorHAnsi"/>
          <w:spacing w:val="-1"/>
          <w:sz w:val="20"/>
          <w:szCs w:val="20"/>
        </w:rPr>
        <w:t xml:space="preserve"> </w:t>
      </w:r>
      <w:r w:rsidRPr="000977F7">
        <w:rPr>
          <w:rFonts w:asciiTheme="majorHAnsi" w:hAnsiTheme="majorHAnsi"/>
          <w:sz w:val="20"/>
          <w:szCs w:val="20"/>
        </w:rPr>
        <w:t>інгібіторів</w:t>
      </w:r>
      <w:r w:rsidRPr="000977F7">
        <w:rPr>
          <w:rFonts w:asciiTheme="majorHAnsi" w:hAnsiTheme="majorHAnsi"/>
          <w:spacing w:val="-1"/>
          <w:sz w:val="20"/>
          <w:szCs w:val="20"/>
        </w:rPr>
        <w:t xml:space="preserve"> </w:t>
      </w:r>
      <w:r w:rsidRPr="000977F7">
        <w:rPr>
          <w:rFonts w:asciiTheme="majorHAnsi" w:hAnsiTheme="majorHAnsi"/>
          <w:sz w:val="20"/>
          <w:szCs w:val="20"/>
        </w:rPr>
        <w:t>корозії</w:t>
      </w:r>
    </w:p>
    <w:p w14:paraId="2FA5F4E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 – 98</w:t>
      </w:r>
    </w:p>
    <w:p w14:paraId="0CB2134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w w:val="95"/>
          <w:sz w:val="20"/>
          <w:szCs w:val="20"/>
        </w:rPr>
        <w:t>ІНДИКАТИВНЕ</w:t>
      </w:r>
      <w:r w:rsidRPr="000977F7">
        <w:rPr>
          <w:color w:val="auto"/>
          <w:spacing w:val="16"/>
          <w:w w:val="95"/>
          <w:sz w:val="20"/>
          <w:szCs w:val="20"/>
        </w:rPr>
        <w:t xml:space="preserve"> </w:t>
      </w:r>
      <w:r w:rsidRPr="000977F7">
        <w:rPr>
          <w:color w:val="auto"/>
          <w:w w:val="95"/>
          <w:sz w:val="20"/>
          <w:szCs w:val="20"/>
        </w:rPr>
        <w:t>ПОСИЛАННЯ</w:t>
      </w:r>
      <w:r w:rsidRPr="000977F7">
        <w:rPr>
          <w:color w:val="auto"/>
          <w:spacing w:val="18"/>
          <w:w w:val="95"/>
          <w:sz w:val="20"/>
          <w:szCs w:val="20"/>
        </w:rPr>
        <w:t xml:space="preserve"> </w:t>
      </w:r>
      <w:r w:rsidRPr="000977F7">
        <w:rPr>
          <w:color w:val="auto"/>
          <w:w w:val="95"/>
          <w:sz w:val="20"/>
          <w:szCs w:val="20"/>
        </w:rPr>
        <w:t>(НА</w:t>
      </w:r>
      <w:r w:rsidRPr="000977F7">
        <w:rPr>
          <w:color w:val="auto"/>
          <w:spacing w:val="18"/>
          <w:w w:val="95"/>
          <w:sz w:val="20"/>
          <w:szCs w:val="20"/>
        </w:rPr>
        <w:t xml:space="preserve"> </w:t>
      </w:r>
      <w:r w:rsidRPr="000977F7">
        <w:rPr>
          <w:color w:val="auto"/>
          <w:w w:val="95"/>
          <w:sz w:val="20"/>
          <w:szCs w:val="20"/>
        </w:rPr>
        <w:t>СТАНДАРТИ)</w:t>
      </w:r>
      <w:r w:rsidRPr="000977F7">
        <w:rPr>
          <w:color w:val="auto"/>
          <w:spacing w:val="19"/>
          <w:w w:val="95"/>
          <w:sz w:val="20"/>
          <w:szCs w:val="20"/>
        </w:rPr>
        <w:t xml:space="preserve"> </w:t>
      </w:r>
      <w:r w:rsidRPr="000977F7">
        <w:rPr>
          <w:color w:val="auto"/>
          <w:w w:val="95"/>
          <w:sz w:val="20"/>
          <w:szCs w:val="20"/>
        </w:rPr>
        <w:t>–</w:t>
      </w:r>
    </w:p>
    <w:p w14:paraId="269927F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INDICATIVE</w:t>
      </w:r>
      <w:r w:rsidRPr="004D2D14">
        <w:rPr>
          <w:rFonts w:asciiTheme="majorHAnsi" w:hAnsiTheme="majorHAnsi"/>
          <w:spacing w:val="-3"/>
          <w:sz w:val="20"/>
          <w:szCs w:val="20"/>
          <w:lang w:val="uk-UA"/>
        </w:rPr>
        <w:t xml:space="preserve"> </w:t>
      </w:r>
      <w:r w:rsidRPr="000977F7">
        <w:rPr>
          <w:rFonts w:asciiTheme="majorHAnsi" w:hAnsiTheme="majorHAnsi"/>
          <w:sz w:val="20"/>
          <w:szCs w:val="20"/>
        </w:rPr>
        <w:t>REFERENCE</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r w:rsidRPr="000977F7">
        <w:rPr>
          <w:rFonts w:asciiTheme="majorHAnsi" w:hAnsiTheme="majorHAnsi"/>
          <w:sz w:val="20"/>
          <w:szCs w:val="20"/>
        </w:rPr>
        <w:t>TO</w:t>
      </w:r>
      <w:r w:rsidRPr="004D2D14">
        <w:rPr>
          <w:rFonts w:asciiTheme="majorHAnsi" w:hAnsiTheme="majorHAnsi"/>
          <w:spacing w:val="-3"/>
          <w:sz w:val="20"/>
          <w:szCs w:val="20"/>
          <w:lang w:val="uk-UA"/>
        </w:rPr>
        <w:t xml:space="preserve"> </w:t>
      </w:r>
      <w:r w:rsidRPr="000977F7">
        <w:rPr>
          <w:rFonts w:asciiTheme="majorHAnsi" w:hAnsiTheme="majorHAnsi"/>
          <w:sz w:val="20"/>
          <w:szCs w:val="20"/>
        </w:rPr>
        <w:t>STANDARDS</w:t>
      </w:r>
      <w:r w:rsidRPr="004D2D14">
        <w:rPr>
          <w:rFonts w:asciiTheme="majorHAnsi" w:hAnsiTheme="majorHAnsi"/>
          <w:sz w:val="20"/>
          <w:szCs w:val="20"/>
          <w:lang w:val="uk-UA"/>
        </w:rPr>
        <w:t>)</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5C9FCF0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Посилання на стандарти, яке зазначає те, що один із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шляхів досягнення відповідності визначеним вимогам</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технічного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регламенту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дотримання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стандартів,</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які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посилаються</w:t>
      </w:r>
    </w:p>
    <w:p w14:paraId="79D7242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D91C9DF"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Індикативне</w:t>
      </w:r>
      <w:r w:rsidRPr="000977F7">
        <w:rPr>
          <w:rFonts w:asciiTheme="majorHAnsi" w:hAnsiTheme="majorHAnsi"/>
          <w:spacing w:val="16"/>
          <w:sz w:val="20"/>
          <w:szCs w:val="20"/>
        </w:rPr>
        <w:t xml:space="preserve"> </w:t>
      </w:r>
      <w:r w:rsidRPr="000977F7">
        <w:rPr>
          <w:rFonts w:asciiTheme="majorHAnsi" w:hAnsiTheme="majorHAnsi"/>
          <w:sz w:val="20"/>
          <w:szCs w:val="20"/>
        </w:rPr>
        <w:t>посилання</w:t>
      </w:r>
      <w:r w:rsidRPr="000977F7">
        <w:rPr>
          <w:rFonts w:asciiTheme="majorHAnsi" w:hAnsiTheme="majorHAnsi"/>
          <w:spacing w:val="18"/>
          <w:sz w:val="20"/>
          <w:szCs w:val="20"/>
        </w:rPr>
        <w:t xml:space="preserve"> </w:t>
      </w:r>
      <w:r w:rsidRPr="000977F7">
        <w:rPr>
          <w:rFonts w:asciiTheme="majorHAnsi" w:hAnsiTheme="majorHAnsi"/>
          <w:sz w:val="20"/>
          <w:szCs w:val="20"/>
        </w:rPr>
        <w:t>на</w:t>
      </w:r>
      <w:r w:rsidRPr="000977F7">
        <w:rPr>
          <w:rFonts w:asciiTheme="majorHAnsi" w:hAnsiTheme="majorHAnsi"/>
          <w:spacing w:val="16"/>
          <w:sz w:val="20"/>
          <w:szCs w:val="20"/>
        </w:rPr>
        <w:t xml:space="preserve"> </w:t>
      </w:r>
      <w:r w:rsidRPr="000977F7">
        <w:rPr>
          <w:rFonts w:asciiTheme="majorHAnsi" w:hAnsiTheme="majorHAnsi"/>
          <w:sz w:val="20"/>
          <w:szCs w:val="20"/>
        </w:rPr>
        <w:t>стандарти</w:t>
      </w:r>
      <w:r w:rsidRPr="000977F7">
        <w:rPr>
          <w:rFonts w:asciiTheme="majorHAnsi" w:hAnsiTheme="majorHAnsi"/>
          <w:spacing w:val="16"/>
          <w:sz w:val="20"/>
          <w:szCs w:val="20"/>
        </w:rPr>
        <w:t xml:space="preserve"> </w:t>
      </w:r>
      <w:r w:rsidRPr="000977F7">
        <w:rPr>
          <w:rFonts w:asciiTheme="majorHAnsi" w:hAnsiTheme="majorHAnsi"/>
          <w:sz w:val="20"/>
          <w:szCs w:val="20"/>
        </w:rPr>
        <w:t>є</w:t>
      </w:r>
      <w:r w:rsidRPr="000977F7">
        <w:rPr>
          <w:rFonts w:asciiTheme="majorHAnsi" w:hAnsiTheme="majorHAnsi"/>
          <w:spacing w:val="17"/>
          <w:sz w:val="20"/>
          <w:szCs w:val="20"/>
        </w:rPr>
        <w:t xml:space="preserve"> </w:t>
      </w:r>
      <w:r w:rsidRPr="000977F7">
        <w:rPr>
          <w:rFonts w:asciiTheme="majorHAnsi" w:hAnsiTheme="majorHAnsi"/>
          <w:sz w:val="20"/>
          <w:szCs w:val="20"/>
        </w:rPr>
        <w:t>формою</w:t>
      </w:r>
      <w:r w:rsidRPr="000977F7">
        <w:rPr>
          <w:rFonts w:asciiTheme="majorHAnsi" w:hAnsiTheme="majorHAnsi"/>
          <w:spacing w:val="16"/>
          <w:sz w:val="20"/>
          <w:szCs w:val="20"/>
        </w:rPr>
        <w:t xml:space="preserve"> </w:t>
      </w:r>
      <w:r w:rsidRPr="000977F7">
        <w:rPr>
          <w:rFonts w:asciiTheme="majorHAnsi" w:hAnsiTheme="majorHAnsi"/>
          <w:sz w:val="20"/>
          <w:szCs w:val="20"/>
        </w:rPr>
        <w:t>положення, яке направлене на досягнення відповідності</w:t>
      </w:r>
      <w:r w:rsidRPr="000977F7">
        <w:rPr>
          <w:rFonts w:asciiTheme="majorHAnsi" w:hAnsiTheme="majorHAnsi"/>
          <w:spacing w:val="1"/>
          <w:sz w:val="20"/>
          <w:szCs w:val="20"/>
        </w:rPr>
        <w:t xml:space="preserve"> </w:t>
      </w:r>
    </w:p>
    <w:p w14:paraId="6CFA5FBA"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ІНДИКАТОР –</w:t>
      </w:r>
    </w:p>
    <w:p w14:paraId="5C375C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DETECTOR</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2D5434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6"/>
          <w:sz w:val="20"/>
          <w:szCs w:val="20"/>
        </w:rPr>
        <w:t>Пристрій або</w:t>
      </w:r>
      <w:r w:rsidRPr="000977F7">
        <w:rPr>
          <w:rFonts w:asciiTheme="majorHAnsi" w:hAnsiTheme="majorHAnsi"/>
          <w:spacing w:val="-4"/>
          <w:sz w:val="20"/>
          <w:szCs w:val="20"/>
        </w:rPr>
        <w:t xml:space="preserve"> </w:t>
      </w:r>
      <w:r w:rsidRPr="000977F7">
        <w:rPr>
          <w:rFonts w:asciiTheme="majorHAnsi" w:hAnsiTheme="majorHAnsi"/>
          <w:spacing w:val="-6"/>
          <w:sz w:val="20"/>
          <w:szCs w:val="20"/>
        </w:rPr>
        <w:t>речовина,</w:t>
      </w:r>
      <w:r w:rsidRPr="000977F7">
        <w:rPr>
          <w:rFonts w:asciiTheme="majorHAnsi" w:hAnsiTheme="majorHAnsi"/>
          <w:spacing w:val="-3"/>
          <w:sz w:val="20"/>
          <w:szCs w:val="20"/>
        </w:rPr>
        <w:t xml:space="preserve"> </w:t>
      </w:r>
      <w:r w:rsidRPr="000977F7">
        <w:rPr>
          <w:rFonts w:asciiTheme="majorHAnsi" w:hAnsiTheme="majorHAnsi"/>
          <w:spacing w:val="-6"/>
          <w:sz w:val="20"/>
          <w:szCs w:val="20"/>
        </w:rPr>
        <w:t>які</w:t>
      </w:r>
      <w:r w:rsidRPr="000977F7">
        <w:rPr>
          <w:rFonts w:asciiTheme="majorHAnsi" w:hAnsiTheme="majorHAnsi"/>
          <w:spacing w:val="-5"/>
          <w:sz w:val="20"/>
          <w:szCs w:val="20"/>
        </w:rPr>
        <w:t xml:space="preserve"> </w:t>
      </w:r>
      <w:r w:rsidRPr="000977F7">
        <w:rPr>
          <w:rFonts w:asciiTheme="majorHAnsi" w:hAnsiTheme="majorHAnsi"/>
          <w:spacing w:val="-6"/>
          <w:sz w:val="20"/>
          <w:szCs w:val="20"/>
        </w:rPr>
        <w:t>за</w:t>
      </w:r>
      <w:r w:rsidRPr="000977F7">
        <w:rPr>
          <w:rFonts w:asciiTheme="majorHAnsi" w:hAnsiTheme="majorHAnsi"/>
          <w:spacing w:val="-1"/>
          <w:sz w:val="20"/>
          <w:szCs w:val="20"/>
        </w:rPr>
        <w:t xml:space="preserve"> </w:t>
      </w:r>
      <w:r w:rsidRPr="000977F7">
        <w:rPr>
          <w:rFonts w:asciiTheme="majorHAnsi" w:hAnsiTheme="majorHAnsi"/>
          <w:spacing w:val="-6"/>
          <w:sz w:val="20"/>
          <w:szCs w:val="20"/>
        </w:rPr>
        <w:t>наявності</w:t>
      </w:r>
      <w:r w:rsidRPr="000977F7">
        <w:rPr>
          <w:rFonts w:asciiTheme="majorHAnsi" w:hAnsiTheme="majorHAnsi"/>
          <w:spacing w:val="-5"/>
          <w:sz w:val="20"/>
          <w:szCs w:val="20"/>
        </w:rPr>
        <w:t xml:space="preserve"> певної</w:t>
      </w:r>
      <w:r w:rsidRPr="000977F7">
        <w:rPr>
          <w:rFonts w:asciiTheme="majorHAnsi" w:hAnsiTheme="majorHAnsi"/>
          <w:spacing w:val="-2"/>
          <w:sz w:val="20"/>
          <w:szCs w:val="20"/>
        </w:rPr>
        <w:t xml:space="preserve"> </w:t>
      </w:r>
      <w:r w:rsidRPr="000977F7">
        <w:rPr>
          <w:rFonts w:asciiTheme="majorHAnsi" w:hAnsiTheme="majorHAnsi"/>
          <w:spacing w:val="-5"/>
          <w:sz w:val="20"/>
          <w:szCs w:val="20"/>
        </w:rPr>
        <w:t>властивос</w:t>
      </w:r>
      <w:r w:rsidRPr="000977F7">
        <w:rPr>
          <w:rFonts w:asciiTheme="majorHAnsi" w:hAnsiTheme="majorHAnsi"/>
          <w:spacing w:val="-6"/>
          <w:sz w:val="20"/>
          <w:szCs w:val="20"/>
        </w:rPr>
        <w:t>ті</w:t>
      </w:r>
      <w:r w:rsidRPr="000977F7">
        <w:rPr>
          <w:rFonts w:asciiTheme="majorHAnsi" w:hAnsiTheme="majorHAnsi"/>
          <w:spacing w:val="-15"/>
          <w:sz w:val="20"/>
          <w:szCs w:val="20"/>
        </w:rPr>
        <w:t xml:space="preserve"> </w:t>
      </w:r>
      <w:r w:rsidRPr="000977F7">
        <w:rPr>
          <w:rFonts w:asciiTheme="majorHAnsi" w:hAnsiTheme="majorHAnsi"/>
          <w:spacing w:val="-6"/>
          <w:sz w:val="20"/>
          <w:szCs w:val="20"/>
        </w:rPr>
        <w:t>об’єкта</w:t>
      </w:r>
      <w:r w:rsidRPr="000977F7">
        <w:rPr>
          <w:rFonts w:asciiTheme="majorHAnsi" w:hAnsiTheme="majorHAnsi"/>
          <w:spacing w:val="-12"/>
          <w:sz w:val="20"/>
          <w:szCs w:val="20"/>
        </w:rPr>
        <w:t xml:space="preserve"> </w:t>
      </w:r>
      <w:r w:rsidRPr="000977F7">
        <w:rPr>
          <w:rFonts w:asciiTheme="majorHAnsi" w:hAnsiTheme="majorHAnsi"/>
          <w:spacing w:val="-6"/>
          <w:sz w:val="20"/>
          <w:szCs w:val="20"/>
        </w:rPr>
        <w:t>або</w:t>
      </w:r>
      <w:r w:rsidRPr="000977F7">
        <w:rPr>
          <w:rFonts w:asciiTheme="majorHAnsi" w:hAnsiTheme="majorHAnsi"/>
          <w:spacing w:val="-11"/>
          <w:sz w:val="20"/>
          <w:szCs w:val="20"/>
        </w:rPr>
        <w:t xml:space="preserve"> </w:t>
      </w:r>
      <w:r w:rsidRPr="000977F7">
        <w:rPr>
          <w:rFonts w:asciiTheme="majorHAnsi" w:hAnsiTheme="majorHAnsi"/>
          <w:spacing w:val="-6"/>
          <w:sz w:val="20"/>
          <w:szCs w:val="20"/>
        </w:rPr>
        <w:t>явища</w:t>
      </w:r>
      <w:r w:rsidRPr="000977F7">
        <w:rPr>
          <w:rFonts w:asciiTheme="majorHAnsi" w:hAnsiTheme="majorHAnsi"/>
          <w:spacing w:val="-11"/>
          <w:sz w:val="20"/>
          <w:szCs w:val="20"/>
        </w:rPr>
        <w:t xml:space="preserve"> </w:t>
      </w:r>
      <w:r w:rsidRPr="000977F7">
        <w:rPr>
          <w:rFonts w:asciiTheme="majorHAnsi" w:hAnsiTheme="majorHAnsi"/>
          <w:spacing w:val="-5"/>
          <w:sz w:val="20"/>
          <w:szCs w:val="20"/>
        </w:rPr>
        <w:t>створюють</w:t>
      </w:r>
      <w:r w:rsidRPr="000977F7">
        <w:rPr>
          <w:rFonts w:asciiTheme="majorHAnsi" w:hAnsiTheme="majorHAnsi"/>
          <w:spacing w:val="-12"/>
          <w:sz w:val="20"/>
          <w:szCs w:val="20"/>
        </w:rPr>
        <w:t xml:space="preserve"> </w:t>
      </w:r>
      <w:r w:rsidRPr="000977F7">
        <w:rPr>
          <w:rFonts w:asciiTheme="majorHAnsi" w:hAnsiTheme="majorHAnsi"/>
          <w:spacing w:val="-5"/>
          <w:sz w:val="20"/>
          <w:szCs w:val="20"/>
        </w:rPr>
        <w:t>сигнал</w:t>
      </w:r>
      <w:r w:rsidRPr="000977F7">
        <w:rPr>
          <w:rFonts w:asciiTheme="majorHAnsi" w:hAnsiTheme="majorHAnsi"/>
          <w:spacing w:val="-13"/>
          <w:sz w:val="20"/>
          <w:szCs w:val="20"/>
        </w:rPr>
        <w:t xml:space="preserve"> </w:t>
      </w:r>
      <w:r w:rsidRPr="000977F7">
        <w:rPr>
          <w:rFonts w:asciiTheme="majorHAnsi" w:hAnsiTheme="majorHAnsi"/>
          <w:spacing w:val="-5"/>
          <w:sz w:val="20"/>
          <w:szCs w:val="20"/>
        </w:rPr>
        <w:t>інформації</w:t>
      </w:r>
      <w:r w:rsidRPr="000977F7">
        <w:rPr>
          <w:rFonts w:asciiTheme="majorHAnsi" w:hAnsiTheme="majorHAnsi"/>
          <w:spacing w:val="-12"/>
          <w:sz w:val="20"/>
          <w:szCs w:val="20"/>
        </w:rPr>
        <w:t xml:space="preserve"> </w:t>
      </w:r>
      <w:r w:rsidRPr="000977F7">
        <w:rPr>
          <w:rFonts w:asciiTheme="majorHAnsi" w:hAnsiTheme="majorHAnsi"/>
          <w:spacing w:val="-5"/>
          <w:sz w:val="20"/>
          <w:szCs w:val="20"/>
        </w:rPr>
        <w:t>про</w:t>
      </w:r>
      <w:r w:rsidRPr="000977F7">
        <w:rPr>
          <w:rFonts w:asciiTheme="majorHAnsi" w:hAnsiTheme="majorHAnsi"/>
          <w:spacing w:val="-10"/>
          <w:sz w:val="20"/>
          <w:szCs w:val="20"/>
        </w:rPr>
        <w:t xml:space="preserve"> </w:t>
      </w:r>
      <w:r w:rsidRPr="000977F7">
        <w:rPr>
          <w:rFonts w:asciiTheme="majorHAnsi" w:hAnsiTheme="majorHAnsi"/>
          <w:spacing w:val="-5"/>
          <w:sz w:val="20"/>
          <w:szCs w:val="20"/>
        </w:rPr>
        <w:t>це</w:t>
      </w:r>
    </w:p>
    <w:p w14:paraId="5A8237C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и:</w:t>
      </w:r>
    </w:p>
    <w:p w14:paraId="50A3CB34" w14:textId="77777777" w:rsidR="0097612F" w:rsidRPr="000977F7" w:rsidRDefault="0097612F" w:rsidP="00FD39A4">
      <w:pPr>
        <w:pStyle w:val="ac"/>
        <w:widowControl w:val="0"/>
        <w:numPr>
          <w:ilvl w:val="0"/>
          <w:numId w:val="170"/>
        </w:numPr>
        <w:tabs>
          <w:tab w:val="left" w:pos="284"/>
          <w:tab w:val="left" w:pos="618"/>
          <w:tab w:val="left" w:pos="61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Індикатори</w:t>
      </w:r>
      <w:r w:rsidRPr="000977F7">
        <w:rPr>
          <w:rFonts w:asciiTheme="majorHAnsi" w:hAnsiTheme="majorHAnsi"/>
          <w:spacing w:val="41"/>
          <w:sz w:val="20"/>
          <w:szCs w:val="20"/>
        </w:rPr>
        <w:t xml:space="preserve"> </w:t>
      </w:r>
      <w:r w:rsidRPr="000977F7">
        <w:rPr>
          <w:rFonts w:asciiTheme="majorHAnsi" w:hAnsiTheme="majorHAnsi"/>
          <w:sz w:val="20"/>
          <w:szCs w:val="20"/>
        </w:rPr>
        <w:t>не</w:t>
      </w:r>
      <w:r w:rsidRPr="000977F7">
        <w:rPr>
          <w:rFonts w:asciiTheme="majorHAnsi" w:hAnsiTheme="majorHAnsi"/>
          <w:spacing w:val="40"/>
          <w:sz w:val="20"/>
          <w:szCs w:val="20"/>
        </w:rPr>
        <w:t xml:space="preserve"> </w:t>
      </w:r>
      <w:r w:rsidRPr="000977F7">
        <w:rPr>
          <w:rFonts w:asciiTheme="majorHAnsi" w:hAnsiTheme="majorHAnsi"/>
          <w:sz w:val="20"/>
          <w:szCs w:val="20"/>
        </w:rPr>
        <w:t>відносяться</w:t>
      </w:r>
      <w:r w:rsidRPr="000977F7">
        <w:rPr>
          <w:rFonts w:asciiTheme="majorHAnsi" w:hAnsiTheme="majorHAnsi"/>
          <w:spacing w:val="43"/>
          <w:sz w:val="20"/>
          <w:szCs w:val="20"/>
        </w:rPr>
        <w:t xml:space="preserve"> </w:t>
      </w:r>
      <w:r w:rsidRPr="000977F7">
        <w:rPr>
          <w:rFonts w:asciiTheme="majorHAnsi" w:hAnsiTheme="majorHAnsi"/>
          <w:sz w:val="20"/>
          <w:szCs w:val="20"/>
        </w:rPr>
        <w:t>до</w:t>
      </w:r>
      <w:r w:rsidRPr="000977F7">
        <w:rPr>
          <w:rFonts w:asciiTheme="majorHAnsi" w:hAnsiTheme="majorHAnsi"/>
          <w:spacing w:val="40"/>
          <w:sz w:val="20"/>
          <w:szCs w:val="20"/>
        </w:rPr>
        <w:t xml:space="preserve"> </w:t>
      </w:r>
      <w:r w:rsidRPr="000977F7">
        <w:rPr>
          <w:rFonts w:asciiTheme="majorHAnsi" w:hAnsiTheme="majorHAnsi"/>
          <w:sz w:val="20"/>
          <w:szCs w:val="20"/>
        </w:rPr>
        <w:t>засобів</w:t>
      </w:r>
      <w:r w:rsidRPr="000977F7">
        <w:rPr>
          <w:rFonts w:asciiTheme="majorHAnsi" w:hAnsiTheme="majorHAnsi"/>
          <w:spacing w:val="40"/>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2"/>
          <w:sz w:val="20"/>
          <w:szCs w:val="20"/>
        </w:rPr>
        <w:t xml:space="preserve"> </w:t>
      </w:r>
      <w:r w:rsidRPr="000977F7">
        <w:rPr>
          <w:rFonts w:asciiTheme="majorHAnsi" w:hAnsiTheme="majorHAnsi"/>
          <w:sz w:val="20"/>
          <w:szCs w:val="20"/>
        </w:rPr>
        <w:t>техніки</w:t>
      </w:r>
    </w:p>
    <w:p w14:paraId="36B75CE9" w14:textId="77777777" w:rsidR="0097612F" w:rsidRPr="000977F7" w:rsidRDefault="0097612F" w:rsidP="00FD39A4">
      <w:pPr>
        <w:pStyle w:val="ac"/>
        <w:widowControl w:val="0"/>
        <w:numPr>
          <w:ilvl w:val="0"/>
          <w:numId w:val="170"/>
        </w:numPr>
        <w:tabs>
          <w:tab w:val="left" w:pos="284"/>
          <w:tab w:val="left" w:pos="618"/>
          <w:tab w:val="left" w:pos="61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Засоби</w:t>
      </w:r>
      <w:r w:rsidRPr="000977F7">
        <w:rPr>
          <w:rFonts w:asciiTheme="majorHAnsi" w:hAnsiTheme="majorHAnsi"/>
          <w:spacing w:val="7"/>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12"/>
          <w:sz w:val="20"/>
          <w:szCs w:val="20"/>
        </w:rPr>
        <w:t xml:space="preserve"> </w:t>
      </w:r>
      <w:r w:rsidRPr="000977F7">
        <w:rPr>
          <w:rFonts w:asciiTheme="majorHAnsi" w:hAnsiTheme="majorHAnsi"/>
          <w:sz w:val="20"/>
          <w:szCs w:val="20"/>
        </w:rPr>
        <w:t>техніки</w:t>
      </w:r>
      <w:r w:rsidRPr="000977F7">
        <w:rPr>
          <w:rFonts w:asciiTheme="majorHAnsi" w:hAnsiTheme="majorHAnsi"/>
          <w:spacing w:val="8"/>
          <w:sz w:val="20"/>
          <w:szCs w:val="20"/>
        </w:rPr>
        <w:t xml:space="preserve"> </w:t>
      </w:r>
      <w:r w:rsidRPr="000977F7">
        <w:rPr>
          <w:rFonts w:asciiTheme="majorHAnsi" w:hAnsiTheme="majorHAnsi"/>
          <w:sz w:val="20"/>
          <w:szCs w:val="20"/>
        </w:rPr>
        <w:t>можуть</w:t>
      </w:r>
      <w:r w:rsidRPr="000977F7">
        <w:rPr>
          <w:rFonts w:asciiTheme="majorHAnsi" w:hAnsiTheme="majorHAnsi"/>
          <w:spacing w:val="10"/>
          <w:sz w:val="20"/>
          <w:szCs w:val="20"/>
        </w:rPr>
        <w:t xml:space="preserve"> </w:t>
      </w:r>
      <w:r w:rsidRPr="000977F7">
        <w:rPr>
          <w:rFonts w:asciiTheme="majorHAnsi" w:hAnsiTheme="majorHAnsi"/>
          <w:sz w:val="20"/>
          <w:szCs w:val="20"/>
        </w:rPr>
        <w:t>бути</w:t>
      </w:r>
      <w:r w:rsidRPr="000977F7">
        <w:rPr>
          <w:rFonts w:asciiTheme="majorHAnsi" w:hAnsiTheme="majorHAnsi"/>
          <w:spacing w:val="11"/>
          <w:sz w:val="20"/>
          <w:szCs w:val="20"/>
        </w:rPr>
        <w:t xml:space="preserve"> </w:t>
      </w:r>
      <w:r w:rsidRPr="000977F7">
        <w:rPr>
          <w:rFonts w:asciiTheme="majorHAnsi" w:hAnsiTheme="majorHAnsi"/>
          <w:sz w:val="20"/>
          <w:szCs w:val="20"/>
        </w:rPr>
        <w:t>використані</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індикатори</w:t>
      </w:r>
    </w:p>
    <w:p w14:paraId="33743A60"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CF045A7"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ІНСПЕКТУВАННЯ –</w:t>
      </w:r>
    </w:p>
    <w:p w14:paraId="78ACC3C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INSPECTION –</w:t>
      </w:r>
    </w:p>
    <w:p w14:paraId="16E068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Перевірка продукції, процесу, послуги чи установки або їх проекту та визначення їх відповідності конкретним вимогам або, на основі професійного судження, загальним вимогам</w:t>
      </w:r>
    </w:p>
    <w:p w14:paraId="3A20D4A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bookmarkStart w:id="80" w:name="_Hlk103179595"/>
      <w:r w:rsidRPr="000977F7">
        <w:rPr>
          <w:rFonts w:asciiTheme="majorHAnsi" w:hAnsiTheme="majorHAnsi"/>
          <w:i/>
          <w:sz w:val="20"/>
          <w:szCs w:val="20"/>
        </w:rPr>
        <w:t>Закон України "Про технічні регламенти та оцінку відповідності"</w:t>
      </w:r>
    </w:p>
    <w:p w14:paraId="188A677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EN ISO/IEC 17020:2019</w:t>
      </w:r>
    </w:p>
    <w:bookmarkEnd w:id="80"/>
    <w:p w14:paraId="10AF98B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Визначання відповідності установленим вимогам.</w:t>
      </w:r>
    </w:p>
    <w:p w14:paraId="3B83956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Примітка 1. Якщо результат інспектування</w:t>
      </w:r>
      <w:r w:rsidRPr="000977F7">
        <w:rPr>
          <w:rFonts w:asciiTheme="majorHAnsi" w:hAnsiTheme="majorHAnsi"/>
          <w:spacing w:val="1"/>
          <w:sz w:val="20"/>
          <w:szCs w:val="20"/>
        </w:rPr>
        <w:t xml:space="preserve"> </w:t>
      </w:r>
      <w:r w:rsidRPr="000977F7">
        <w:rPr>
          <w:rFonts w:asciiTheme="majorHAnsi" w:hAnsiTheme="majorHAnsi"/>
          <w:sz w:val="20"/>
          <w:szCs w:val="20"/>
        </w:rPr>
        <w:t>свідчить про відповідність, це може бути використано</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цілей</w:t>
      </w:r>
      <w:r w:rsidRPr="000977F7">
        <w:rPr>
          <w:rFonts w:asciiTheme="majorHAnsi" w:hAnsiTheme="majorHAnsi"/>
          <w:spacing w:val="1"/>
          <w:sz w:val="20"/>
          <w:szCs w:val="20"/>
        </w:rPr>
        <w:t xml:space="preserve"> </w:t>
      </w:r>
      <w:r w:rsidRPr="000977F7">
        <w:rPr>
          <w:rFonts w:asciiTheme="majorHAnsi" w:hAnsiTheme="majorHAnsi"/>
          <w:sz w:val="20"/>
          <w:szCs w:val="20"/>
        </w:rPr>
        <w:t>перевіряння.</w:t>
      </w:r>
    </w:p>
    <w:p w14:paraId="42085FB9" w14:textId="77777777" w:rsidR="0097612F" w:rsidRPr="000977F7" w:rsidRDefault="0097612F" w:rsidP="000977F7">
      <w:pPr>
        <w:pStyle w:val="4"/>
        <w:tabs>
          <w:tab w:val="left" w:pos="284"/>
        </w:tabs>
        <w:spacing w:line="240" w:lineRule="auto"/>
        <w:ind w:left="170"/>
        <w:mirrorIndents/>
        <w:jc w:val="both"/>
        <w:rPr>
          <w:color w:val="auto"/>
          <w:sz w:val="20"/>
          <w:szCs w:val="20"/>
        </w:rPr>
      </w:pPr>
      <w:bookmarkStart w:id="81" w:name="_Toc132629633"/>
      <w:r w:rsidRPr="000977F7">
        <w:rPr>
          <w:color w:val="auto"/>
          <w:sz w:val="20"/>
          <w:szCs w:val="20"/>
        </w:rPr>
        <w:t>Примітка 2. Результат інспектування може</w:t>
      </w:r>
      <w:r w:rsidRPr="000977F7">
        <w:rPr>
          <w:color w:val="auto"/>
          <w:spacing w:val="-57"/>
          <w:sz w:val="20"/>
          <w:szCs w:val="20"/>
        </w:rPr>
        <w:t xml:space="preserve"> </w:t>
      </w:r>
      <w:r w:rsidRPr="000977F7">
        <w:rPr>
          <w:color w:val="auto"/>
          <w:sz w:val="20"/>
          <w:szCs w:val="20"/>
        </w:rPr>
        <w:t>свідчити про відповідність або ступінь відповідності.</w:t>
      </w:r>
      <w:bookmarkEnd w:id="81"/>
    </w:p>
    <w:p w14:paraId="564D0FFA" w14:textId="77777777" w:rsidR="0097612F" w:rsidRPr="000977F7" w:rsidRDefault="0097612F" w:rsidP="000977F7">
      <w:pPr>
        <w:pStyle w:val="5"/>
        <w:tabs>
          <w:tab w:val="left" w:pos="284"/>
        </w:tabs>
        <w:ind w:left="170"/>
        <w:mirrorIndents/>
        <w:jc w:val="both"/>
        <w:rPr>
          <w:rFonts w:asciiTheme="majorHAnsi" w:hAnsiTheme="majorHAnsi"/>
          <w:sz w:val="20"/>
          <w:szCs w:val="20"/>
        </w:rPr>
      </w:pPr>
      <w:r w:rsidRPr="000977F7">
        <w:rPr>
          <w:rFonts w:asciiTheme="majorHAnsi" w:hAnsiTheme="majorHAnsi"/>
          <w:sz w:val="20"/>
          <w:szCs w:val="20"/>
        </w:rPr>
        <w:t>ДСТУ</w:t>
      </w:r>
      <w:r w:rsidRPr="000977F7">
        <w:rPr>
          <w:rFonts w:asciiTheme="majorHAnsi" w:hAnsiTheme="majorHAnsi"/>
          <w:spacing w:val="-1"/>
          <w:sz w:val="20"/>
          <w:szCs w:val="20"/>
        </w:rPr>
        <w:t xml:space="preserve"> </w:t>
      </w:r>
      <w:r w:rsidRPr="000977F7">
        <w:rPr>
          <w:rFonts w:asciiTheme="majorHAnsi" w:hAnsiTheme="majorHAnsi"/>
          <w:sz w:val="20"/>
          <w:szCs w:val="20"/>
        </w:rPr>
        <w:t>ISO</w:t>
      </w:r>
      <w:r w:rsidRPr="000977F7">
        <w:rPr>
          <w:rFonts w:asciiTheme="majorHAnsi" w:hAnsiTheme="majorHAnsi"/>
          <w:spacing w:val="-2"/>
          <w:sz w:val="20"/>
          <w:szCs w:val="20"/>
        </w:rPr>
        <w:t xml:space="preserve"> </w:t>
      </w:r>
      <w:r w:rsidRPr="000977F7">
        <w:rPr>
          <w:rFonts w:asciiTheme="majorHAnsi" w:hAnsiTheme="majorHAnsi"/>
          <w:sz w:val="20"/>
          <w:szCs w:val="20"/>
        </w:rPr>
        <w:t>9000:2015</w:t>
      </w:r>
    </w:p>
    <w:p w14:paraId="656AC68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ІНЕРТНЕ</w:t>
      </w:r>
      <w:r w:rsidRPr="000977F7">
        <w:rPr>
          <w:color w:val="auto"/>
          <w:spacing w:val="-4"/>
          <w:sz w:val="20"/>
          <w:szCs w:val="20"/>
        </w:rPr>
        <w:t xml:space="preserve"> </w:t>
      </w:r>
      <w:r w:rsidRPr="000977F7">
        <w:rPr>
          <w:color w:val="auto"/>
          <w:sz w:val="20"/>
          <w:szCs w:val="20"/>
        </w:rPr>
        <w:t>СЕРЕДОВИЩЕ</w:t>
      </w:r>
      <w:r w:rsidRPr="000977F7">
        <w:rPr>
          <w:color w:val="auto"/>
          <w:spacing w:val="1"/>
          <w:sz w:val="20"/>
          <w:szCs w:val="20"/>
        </w:rPr>
        <w:t xml:space="preserve"> </w:t>
      </w:r>
      <w:r w:rsidRPr="000977F7">
        <w:rPr>
          <w:color w:val="auto"/>
          <w:sz w:val="20"/>
          <w:szCs w:val="20"/>
        </w:rPr>
        <w:t>—</w:t>
      </w:r>
    </w:p>
    <w:p w14:paraId="4C4E372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Газове</w:t>
      </w:r>
      <w:r w:rsidRPr="000977F7">
        <w:rPr>
          <w:rFonts w:asciiTheme="majorHAnsi" w:hAnsiTheme="majorHAnsi"/>
          <w:spacing w:val="-4"/>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рідке</w:t>
      </w:r>
      <w:r w:rsidRPr="000977F7">
        <w:rPr>
          <w:rFonts w:asciiTheme="majorHAnsi" w:hAnsiTheme="majorHAnsi"/>
          <w:spacing w:val="-2"/>
          <w:sz w:val="20"/>
          <w:szCs w:val="20"/>
        </w:rPr>
        <w:t xml:space="preserve"> </w:t>
      </w:r>
      <w:r w:rsidRPr="000977F7">
        <w:rPr>
          <w:rFonts w:asciiTheme="majorHAnsi" w:hAnsiTheme="majorHAnsi"/>
          <w:sz w:val="20"/>
          <w:szCs w:val="20"/>
        </w:rPr>
        <w:t>середовище,</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2"/>
          <w:sz w:val="20"/>
          <w:szCs w:val="20"/>
        </w:rPr>
        <w:t xml:space="preserve"> </w:t>
      </w:r>
      <w:r w:rsidRPr="000977F7">
        <w:rPr>
          <w:rFonts w:asciiTheme="majorHAnsi" w:hAnsiTheme="majorHAnsi"/>
          <w:sz w:val="20"/>
          <w:szCs w:val="20"/>
        </w:rPr>
        <w:t>не</w:t>
      </w:r>
      <w:r w:rsidRPr="000977F7">
        <w:rPr>
          <w:rFonts w:asciiTheme="majorHAnsi" w:hAnsiTheme="majorHAnsi"/>
          <w:spacing w:val="-2"/>
          <w:sz w:val="20"/>
          <w:szCs w:val="20"/>
        </w:rPr>
        <w:t xml:space="preserve"> </w:t>
      </w:r>
      <w:r w:rsidRPr="000977F7">
        <w:rPr>
          <w:rFonts w:asciiTheme="majorHAnsi" w:hAnsiTheme="majorHAnsi"/>
          <w:sz w:val="20"/>
          <w:szCs w:val="20"/>
        </w:rPr>
        <w:t>взаємодіє</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2"/>
          <w:sz w:val="20"/>
          <w:szCs w:val="20"/>
        </w:rPr>
        <w:t xml:space="preserve"> </w:t>
      </w:r>
      <w:r w:rsidRPr="000977F7">
        <w:rPr>
          <w:rFonts w:asciiTheme="majorHAnsi" w:hAnsiTheme="majorHAnsi"/>
          <w:sz w:val="20"/>
          <w:szCs w:val="20"/>
        </w:rPr>
        <w:t>металом</w:t>
      </w:r>
    </w:p>
    <w:p w14:paraId="6FA6A968"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3830</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98</w:t>
      </w:r>
    </w:p>
    <w:p w14:paraId="67BDFD9B"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ІНЕРЦІЙНИЙ</w:t>
      </w:r>
      <w:r w:rsidRPr="004D2D14">
        <w:rPr>
          <w:rFonts w:asciiTheme="majorHAnsi" w:hAnsiTheme="majorHAnsi"/>
          <w:b/>
          <w:sz w:val="20"/>
          <w:szCs w:val="20"/>
          <w:lang w:val="en-US"/>
        </w:rPr>
        <w:t xml:space="preserve"> </w:t>
      </w:r>
      <w:r w:rsidRPr="000977F7">
        <w:rPr>
          <w:rFonts w:asciiTheme="majorHAnsi" w:hAnsiTheme="majorHAnsi"/>
          <w:b/>
          <w:sz w:val="20"/>
          <w:szCs w:val="20"/>
        </w:rPr>
        <w:t>ОБ</w:t>
      </w:r>
      <w:r w:rsidRPr="004D2D14">
        <w:rPr>
          <w:rFonts w:asciiTheme="majorHAnsi" w:hAnsiTheme="majorHAnsi"/>
          <w:b/>
          <w:sz w:val="20"/>
          <w:szCs w:val="20"/>
          <w:lang w:val="en-US"/>
        </w:rPr>
        <w:t>’</w:t>
      </w:r>
      <w:r w:rsidRPr="000977F7">
        <w:rPr>
          <w:rFonts w:asciiTheme="majorHAnsi" w:hAnsiTheme="majorHAnsi"/>
          <w:b/>
          <w:sz w:val="20"/>
          <w:szCs w:val="20"/>
        </w:rPr>
        <w:t>ЄКТ</w:t>
      </w:r>
      <w:r w:rsidRPr="004D2D14">
        <w:rPr>
          <w:rFonts w:asciiTheme="majorHAnsi" w:hAnsiTheme="majorHAnsi"/>
          <w:b/>
          <w:sz w:val="20"/>
          <w:szCs w:val="20"/>
          <w:lang w:val="en-US"/>
        </w:rPr>
        <w:t xml:space="preserve"> -</w:t>
      </w:r>
    </w:p>
    <w:p w14:paraId="7EB702D7"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INERTIAL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OBJECT -</w:t>
      </w:r>
    </w:p>
    <w:p w14:paraId="4DF4E2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 у математичній моделі якого, значення залежних змінних величин у кожний момент часу визначається значеннями незалежних змінних величин у цей</w:t>
      </w:r>
      <w:r w:rsidRPr="000977F7">
        <w:rPr>
          <w:rFonts w:asciiTheme="majorHAnsi" w:hAnsiTheme="majorHAnsi"/>
          <w:spacing w:val="1"/>
          <w:sz w:val="20"/>
          <w:szCs w:val="20"/>
        </w:rPr>
        <w:t xml:space="preserve"> </w:t>
      </w:r>
      <w:r w:rsidRPr="000977F7">
        <w:rPr>
          <w:rFonts w:asciiTheme="majorHAnsi" w:hAnsiTheme="majorHAnsi"/>
          <w:sz w:val="20"/>
          <w:szCs w:val="20"/>
        </w:rPr>
        <w:t>самий</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попередній</w:t>
      </w:r>
      <w:r w:rsidRPr="000977F7">
        <w:rPr>
          <w:rFonts w:asciiTheme="majorHAnsi" w:hAnsiTheme="majorHAnsi"/>
          <w:spacing w:val="-1"/>
          <w:sz w:val="20"/>
          <w:szCs w:val="20"/>
        </w:rPr>
        <w:t xml:space="preserve"> </w:t>
      </w:r>
      <w:r w:rsidRPr="000977F7">
        <w:rPr>
          <w:rFonts w:asciiTheme="majorHAnsi" w:hAnsiTheme="majorHAnsi"/>
          <w:sz w:val="20"/>
          <w:szCs w:val="20"/>
        </w:rPr>
        <w:t>момент</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46A7CD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E856C7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Математична модель інерційного об’єкта з дискретною множиною станів може бути зображена у вигляді</w:t>
      </w:r>
      <w:r w:rsidRPr="000977F7">
        <w:rPr>
          <w:rFonts w:asciiTheme="majorHAnsi" w:hAnsiTheme="majorHAnsi"/>
          <w:spacing w:val="1"/>
          <w:sz w:val="20"/>
          <w:szCs w:val="20"/>
        </w:rPr>
        <w:t xml:space="preserve"> </w:t>
      </w:r>
      <w:r w:rsidRPr="000977F7">
        <w:rPr>
          <w:rFonts w:asciiTheme="majorHAnsi" w:hAnsiTheme="majorHAnsi"/>
          <w:sz w:val="20"/>
          <w:szCs w:val="20"/>
        </w:rPr>
        <w:t>дискретного</w:t>
      </w:r>
      <w:r w:rsidRPr="000977F7">
        <w:rPr>
          <w:rFonts w:asciiTheme="majorHAnsi" w:hAnsiTheme="majorHAnsi"/>
          <w:spacing w:val="1"/>
          <w:sz w:val="20"/>
          <w:szCs w:val="20"/>
        </w:rPr>
        <w:t xml:space="preserve"> </w:t>
      </w:r>
      <w:r w:rsidRPr="000977F7">
        <w:rPr>
          <w:rFonts w:asciiTheme="majorHAnsi" w:hAnsiTheme="majorHAnsi"/>
          <w:sz w:val="20"/>
          <w:szCs w:val="20"/>
        </w:rPr>
        <w:t>автомата</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пам’яттю,</w:t>
      </w:r>
      <w:r w:rsidRPr="000977F7">
        <w:rPr>
          <w:rFonts w:asciiTheme="majorHAnsi" w:hAnsiTheme="majorHAnsi"/>
          <w:spacing w:val="1"/>
          <w:sz w:val="20"/>
          <w:szCs w:val="20"/>
        </w:rPr>
        <w:t xml:space="preserve"> </w:t>
      </w:r>
      <w:r w:rsidRPr="000977F7">
        <w:rPr>
          <w:rFonts w:asciiTheme="majorHAnsi" w:hAnsiTheme="majorHAnsi"/>
          <w:sz w:val="20"/>
          <w:szCs w:val="20"/>
        </w:rPr>
        <w:t>безінерційного</w:t>
      </w:r>
      <w:r w:rsidRPr="000977F7">
        <w:rPr>
          <w:rFonts w:asciiTheme="majorHAnsi" w:hAnsiTheme="majorHAnsi"/>
          <w:spacing w:val="1"/>
          <w:sz w:val="20"/>
          <w:szCs w:val="20"/>
        </w:rPr>
        <w:t xml:space="preserve"> </w:t>
      </w:r>
      <w:r w:rsidRPr="000977F7">
        <w:rPr>
          <w:rFonts w:asciiTheme="majorHAnsi" w:hAnsiTheme="majorHAnsi"/>
          <w:sz w:val="20"/>
          <w:szCs w:val="20"/>
        </w:rPr>
        <w:t>об’єкта з неперервною множиною станів диференціальними</w:t>
      </w:r>
      <w:r w:rsidRPr="000977F7">
        <w:rPr>
          <w:rFonts w:asciiTheme="majorHAnsi" w:hAnsiTheme="majorHAnsi"/>
          <w:spacing w:val="-2"/>
          <w:sz w:val="20"/>
          <w:szCs w:val="20"/>
        </w:rPr>
        <w:t xml:space="preserve"> </w:t>
      </w:r>
      <w:r w:rsidRPr="000977F7">
        <w:rPr>
          <w:rFonts w:asciiTheme="majorHAnsi" w:hAnsiTheme="majorHAnsi"/>
          <w:sz w:val="20"/>
          <w:szCs w:val="20"/>
        </w:rPr>
        <w:t>рівняннями</w:t>
      </w:r>
    </w:p>
    <w:p w14:paraId="4FA0088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4974B67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ІНІЦІАЛІЗАЦІЯ</w:t>
      </w:r>
      <w:r w:rsidRPr="000977F7">
        <w:rPr>
          <w:color w:val="auto"/>
          <w:spacing w:val="-5"/>
          <w:sz w:val="20"/>
          <w:szCs w:val="20"/>
        </w:rPr>
        <w:t xml:space="preserve"> </w:t>
      </w:r>
      <w:r w:rsidRPr="000977F7">
        <w:rPr>
          <w:color w:val="auto"/>
          <w:sz w:val="20"/>
          <w:szCs w:val="20"/>
        </w:rPr>
        <w:t>ПРОЕКТУ</w:t>
      </w:r>
      <w:r w:rsidRPr="000977F7">
        <w:rPr>
          <w:color w:val="auto"/>
          <w:spacing w:val="-1"/>
          <w:sz w:val="20"/>
          <w:szCs w:val="20"/>
        </w:rPr>
        <w:t xml:space="preserve"> </w:t>
      </w:r>
      <w:r w:rsidRPr="000977F7">
        <w:rPr>
          <w:color w:val="auto"/>
          <w:sz w:val="20"/>
          <w:szCs w:val="20"/>
        </w:rPr>
        <w:t>–</w:t>
      </w:r>
    </w:p>
    <w:p w14:paraId="1D895B7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 формального визнання того, що новий проект</w:t>
      </w:r>
      <w:r w:rsidRPr="000977F7">
        <w:rPr>
          <w:rFonts w:asciiTheme="majorHAnsi" w:hAnsiTheme="majorHAnsi"/>
          <w:spacing w:val="1"/>
          <w:sz w:val="20"/>
          <w:szCs w:val="20"/>
        </w:rPr>
        <w:t xml:space="preserve"> </w:t>
      </w:r>
      <w:r w:rsidRPr="000977F7">
        <w:rPr>
          <w:rFonts w:asciiTheme="majorHAnsi" w:hAnsiTheme="majorHAnsi"/>
          <w:sz w:val="20"/>
          <w:szCs w:val="20"/>
        </w:rPr>
        <w:t xml:space="preserve">існує, або того, що існуючий проект повинен продовжуватися до своєї наступної фази. Цей </w:t>
      </w:r>
      <w:r w:rsidRPr="000977F7">
        <w:rPr>
          <w:rFonts w:asciiTheme="majorHAnsi" w:hAnsiTheme="majorHAnsi"/>
          <w:sz w:val="20"/>
          <w:szCs w:val="20"/>
        </w:rPr>
        <w:lastRenderedPageBreak/>
        <w:t>формальний</w:t>
      </w:r>
      <w:r w:rsidRPr="000977F7">
        <w:rPr>
          <w:rFonts w:asciiTheme="majorHAnsi" w:hAnsiTheme="majorHAnsi"/>
          <w:spacing w:val="1"/>
          <w:sz w:val="20"/>
          <w:szCs w:val="20"/>
        </w:rPr>
        <w:t xml:space="preserve"> </w:t>
      </w:r>
      <w:r w:rsidRPr="000977F7">
        <w:rPr>
          <w:rFonts w:asciiTheme="majorHAnsi" w:hAnsiTheme="majorHAnsi"/>
          <w:sz w:val="20"/>
          <w:szCs w:val="20"/>
        </w:rPr>
        <w:t>запуск проекту зв’язує</w:t>
      </w:r>
      <w:r w:rsidRPr="000977F7">
        <w:rPr>
          <w:rFonts w:asciiTheme="majorHAnsi" w:hAnsiTheme="majorHAnsi"/>
          <w:spacing w:val="1"/>
          <w:sz w:val="20"/>
          <w:szCs w:val="20"/>
        </w:rPr>
        <w:t xml:space="preserve"> </w:t>
      </w:r>
      <w:r w:rsidRPr="000977F7">
        <w:rPr>
          <w:rFonts w:asciiTheme="majorHAnsi" w:hAnsiTheme="majorHAnsi"/>
          <w:sz w:val="20"/>
          <w:szCs w:val="20"/>
        </w:rPr>
        <w:t>проект з</w:t>
      </w:r>
      <w:r w:rsidRPr="000977F7">
        <w:rPr>
          <w:rFonts w:asciiTheme="majorHAnsi" w:hAnsiTheme="majorHAnsi"/>
          <w:spacing w:val="1"/>
          <w:sz w:val="20"/>
          <w:szCs w:val="20"/>
        </w:rPr>
        <w:t xml:space="preserve"> </w:t>
      </w:r>
      <w:r w:rsidRPr="000977F7">
        <w:rPr>
          <w:rFonts w:asciiTheme="majorHAnsi" w:hAnsiTheme="majorHAnsi"/>
          <w:sz w:val="20"/>
          <w:szCs w:val="20"/>
        </w:rPr>
        <w:t>поточною роботою</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 що виконує проект. У деяких організаціях</w:t>
      </w:r>
      <w:r w:rsidRPr="000977F7">
        <w:rPr>
          <w:rFonts w:asciiTheme="majorHAnsi" w:hAnsiTheme="majorHAnsi"/>
          <w:spacing w:val="1"/>
          <w:sz w:val="20"/>
          <w:szCs w:val="20"/>
        </w:rPr>
        <w:t xml:space="preserve"> </w:t>
      </w:r>
      <w:r w:rsidRPr="000977F7">
        <w:rPr>
          <w:rFonts w:asciiTheme="majorHAnsi" w:hAnsiTheme="majorHAnsi"/>
          <w:sz w:val="20"/>
          <w:szCs w:val="20"/>
        </w:rPr>
        <w:t>проект формально не запускається доти, поки не затверджена</w:t>
      </w:r>
      <w:r w:rsidRPr="000977F7">
        <w:rPr>
          <w:rFonts w:asciiTheme="majorHAnsi" w:hAnsiTheme="majorHAnsi"/>
          <w:spacing w:val="1"/>
          <w:sz w:val="20"/>
          <w:szCs w:val="20"/>
        </w:rPr>
        <w:t xml:space="preserve"> </w:t>
      </w:r>
      <w:r w:rsidRPr="000977F7">
        <w:rPr>
          <w:rFonts w:asciiTheme="majorHAnsi" w:hAnsiTheme="majorHAnsi"/>
          <w:sz w:val="20"/>
          <w:szCs w:val="20"/>
        </w:rPr>
        <w:t>стадія</w:t>
      </w:r>
      <w:r w:rsidRPr="000977F7">
        <w:rPr>
          <w:rFonts w:asciiTheme="majorHAnsi" w:hAnsiTheme="majorHAnsi"/>
          <w:spacing w:val="1"/>
          <w:sz w:val="20"/>
          <w:szCs w:val="20"/>
        </w:rPr>
        <w:t xml:space="preserve"> </w:t>
      </w:r>
      <w:r w:rsidRPr="000977F7">
        <w:rPr>
          <w:rFonts w:asciiTheme="majorHAnsi" w:hAnsiTheme="majorHAnsi"/>
          <w:sz w:val="20"/>
          <w:szCs w:val="20"/>
        </w:rPr>
        <w:t>підготовки</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техніко-економічного</w:t>
      </w:r>
      <w:r w:rsidRPr="000977F7">
        <w:rPr>
          <w:rFonts w:asciiTheme="majorHAnsi" w:hAnsiTheme="majorHAnsi"/>
          <w:spacing w:val="1"/>
          <w:sz w:val="20"/>
          <w:szCs w:val="20"/>
        </w:rPr>
        <w:t xml:space="preserve"> </w:t>
      </w:r>
      <w:r w:rsidRPr="000977F7">
        <w:rPr>
          <w:rFonts w:asciiTheme="majorHAnsi" w:hAnsiTheme="majorHAnsi"/>
          <w:sz w:val="20"/>
          <w:szCs w:val="20"/>
        </w:rPr>
        <w:t>обґрунтування,</w:t>
      </w:r>
      <w:r w:rsidRPr="000977F7">
        <w:rPr>
          <w:rFonts w:asciiTheme="majorHAnsi" w:hAnsiTheme="majorHAnsi"/>
          <w:spacing w:val="1"/>
          <w:sz w:val="20"/>
          <w:szCs w:val="20"/>
        </w:rPr>
        <w:t xml:space="preserve"> </w:t>
      </w:r>
      <w:r w:rsidRPr="000977F7">
        <w:rPr>
          <w:rFonts w:asciiTheme="majorHAnsi" w:hAnsiTheme="majorHAnsi"/>
          <w:sz w:val="20"/>
          <w:szCs w:val="20"/>
        </w:rPr>
        <w:t>підготовчий</w:t>
      </w:r>
      <w:r w:rsidRPr="000977F7">
        <w:rPr>
          <w:rFonts w:asciiTheme="majorHAnsi" w:hAnsiTheme="majorHAnsi"/>
          <w:spacing w:val="1"/>
          <w:sz w:val="20"/>
          <w:szCs w:val="20"/>
        </w:rPr>
        <w:t xml:space="preserve"> </w:t>
      </w:r>
      <w:r w:rsidRPr="000977F7">
        <w:rPr>
          <w:rFonts w:asciiTheme="majorHAnsi" w:hAnsiTheme="majorHAnsi"/>
          <w:sz w:val="20"/>
          <w:szCs w:val="20"/>
        </w:rPr>
        <w:t>план</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деякі інші еквівалентні форми аналізу, що були запущені окремо. Деякі типи проектів, особливо проекти з</w:t>
      </w:r>
      <w:r w:rsidRPr="000977F7">
        <w:rPr>
          <w:rFonts w:asciiTheme="majorHAnsi" w:hAnsiTheme="majorHAnsi"/>
          <w:spacing w:val="1"/>
          <w:sz w:val="20"/>
          <w:szCs w:val="20"/>
        </w:rPr>
        <w:t xml:space="preserve"> </w:t>
      </w:r>
      <w:r w:rsidRPr="000977F7">
        <w:rPr>
          <w:rFonts w:asciiTheme="majorHAnsi" w:hAnsiTheme="majorHAnsi"/>
          <w:sz w:val="20"/>
          <w:szCs w:val="20"/>
        </w:rPr>
        <w:t>внутрішнього</w:t>
      </w:r>
      <w:r w:rsidRPr="000977F7">
        <w:rPr>
          <w:rFonts w:asciiTheme="majorHAnsi" w:hAnsiTheme="majorHAnsi"/>
          <w:spacing w:val="1"/>
          <w:sz w:val="20"/>
          <w:szCs w:val="20"/>
        </w:rPr>
        <w:t xml:space="preserve"> </w:t>
      </w:r>
      <w:r w:rsidRPr="000977F7">
        <w:rPr>
          <w:rFonts w:asciiTheme="majorHAnsi" w:hAnsiTheme="majorHAnsi"/>
          <w:sz w:val="20"/>
          <w:szCs w:val="20"/>
        </w:rPr>
        <w:t>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розробки</w:t>
      </w:r>
      <w:r w:rsidRPr="000977F7">
        <w:rPr>
          <w:rFonts w:asciiTheme="majorHAnsi" w:hAnsiTheme="majorHAnsi"/>
          <w:spacing w:val="1"/>
          <w:sz w:val="20"/>
          <w:szCs w:val="20"/>
        </w:rPr>
        <w:t xml:space="preserve"> </w:t>
      </w:r>
      <w:r w:rsidRPr="000977F7">
        <w:rPr>
          <w:rFonts w:asciiTheme="majorHAnsi" w:hAnsiTheme="majorHAnsi"/>
          <w:sz w:val="20"/>
          <w:szCs w:val="20"/>
        </w:rPr>
        <w:t>нового</w:t>
      </w:r>
      <w:r w:rsidRPr="000977F7">
        <w:rPr>
          <w:rFonts w:asciiTheme="majorHAnsi" w:hAnsiTheme="majorHAnsi"/>
          <w:spacing w:val="1"/>
          <w:sz w:val="20"/>
          <w:szCs w:val="20"/>
        </w:rPr>
        <w:t xml:space="preserve"> </w:t>
      </w:r>
      <w:r w:rsidRPr="000977F7">
        <w:rPr>
          <w:rFonts w:asciiTheme="majorHAnsi" w:hAnsiTheme="majorHAnsi"/>
          <w:sz w:val="20"/>
          <w:szCs w:val="20"/>
        </w:rPr>
        <w:t>продукту, спочатку запускаються неформально і виконується</w:t>
      </w:r>
      <w:r w:rsidRPr="000977F7">
        <w:rPr>
          <w:rFonts w:asciiTheme="majorHAnsi" w:hAnsiTheme="majorHAnsi"/>
          <w:spacing w:val="1"/>
          <w:sz w:val="20"/>
          <w:szCs w:val="20"/>
        </w:rPr>
        <w:t xml:space="preserve"> </w:t>
      </w:r>
      <w:r w:rsidRPr="000977F7">
        <w:rPr>
          <w:rFonts w:asciiTheme="majorHAnsi" w:hAnsiTheme="majorHAnsi"/>
          <w:sz w:val="20"/>
          <w:szCs w:val="20"/>
        </w:rPr>
        <w:t>тільки</w:t>
      </w:r>
      <w:r w:rsidRPr="000977F7">
        <w:rPr>
          <w:rFonts w:asciiTheme="majorHAnsi" w:hAnsiTheme="majorHAnsi"/>
          <w:spacing w:val="1"/>
          <w:sz w:val="20"/>
          <w:szCs w:val="20"/>
        </w:rPr>
        <w:t xml:space="preserve"> </w:t>
      </w:r>
      <w:r w:rsidRPr="000977F7">
        <w:rPr>
          <w:rFonts w:asciiTheme="majorHAnsi" w:hAnsiTheme="majorHAnsi"/>
          <w:sz w:val="20"/>
          <w:szCs w:val="20"/>
        </w:rPr>
        <w:t>деякий</w:t>
      </w:r>
      <w:r w:rsidRPr="000977F7">
        <w:rPr>
          <w:rFonts w:asciiTheme="majorHAnsi" w:hAnsiTheme="majorHAnsi"/>
          <w:spacing w:val="1"/>
          <w:sz w:val="20"/>
          <w:szCs w:val="20"/>
        </w:rPr>
        <w:t xml:space="preserve"> </w:t>
      </w:r>
      <w:r w:rsidRPr="000977F7">
        <w:rPr>
          <w:rFonts w:asciiTheme="majorHAnsi" w:hAnsiTheme="majorHAnsi"/>
          <w:sz w:val="20"/>
          <w:szCs w:val="20"/>
        </w:rPr>
        <w:t>обмежений</w:t>
      </w:r>
      <w:r w:rsidRPr="000977F7">
        <w:rPr>
          <w:rFonts w:asciiTheme="majorHAnsi" w:hAnsiTheme="majorHAnsi"/>
          <w:spacing w:val="1"/>
          <w:sz w:val="20"/>
          <w:szCs w:val="20"/>
        </w:rPr>
        <w:t xml:space="preserve"> </w:t>
      </w:r>
      <w:r w:rsidRPr="000977F7">
        <w:rPr>
          <w:rFonts w:asciiTheme="majorHAnsi" w:hAnsiTheme="majorHAnsi"/>
          <w:sz w:val="20"/>
          <w:szCs w:val="20"/>
        </w:rPr>
        <w:t>обсяг</w:t>
      </w:r>
      <w:r w:rsidRPr="000977F7">
        <w:rPr>
          <w:rFonts w:asciiTheme="majorHAnsi" w:hAnsiTheme="majorHAnsi"/>
          <w:spacing w:val="50"/>
          <w:sz w:val="20"/>
          <w:szCs w:val="20"/>
        </w:rPr>
        <w:t xml:space="preserve"> </w:t>
      </w:r>
      <w:r w:rsidRPr="000977F7">
        <w:rPr>
          <w:rFonts w:asciiTheme="majorHAnsi" w:hAnsiTheme="majorHAnsi"/>
          <w:sz w:val="20"/>
          <w:szCs w:val="20"/>
        </w:rPr>
        <w:t>роботи,</w:t>
      </w:r>
      <w:r w:rsidRPr="000977F7">
        <w:rPr>
          <w:rFonts w:asciiTheme="majorHAnsi" w:hAnsiTheme="majorHAnsi"/>
          <w:spacing w:val="1"/>
          <w:sz w:val="20"/>
          <w:szCs w:val="20"/>
        </w:rPr>
        <w:t xml:space="preserve"> </w:t>
      </w:r>
      <w:r w:rsidRPr="000977F7">
        <w:rPr>
          <w:rFonts w:asciiTheme="majorHAnsi" w:hAnsiTheme="majorHAnsi"/>
          <w:sz w:val="20"/>
          <w:szCs w:val="20"/>
        </w:rPr>
        <w:t>щоб забезпечити твердження, необхідне для формального</w:t>
      </w:r>
      <w:r w:rsidRPr="000977F7">
        <w:rPr>
          <w:rFonts w:asciiTheme="majorHAnsi" w:hAnsiTheme="majorHAnsi"/>
          <w:spacing w:val="1"/>
          <w:sz w:val="20"/>
          <w:szCs w:val="20"/>
        </w:rPr>
        <w:t xml:space="preserve"> </w:t>
      </w:r>
      <w:r w:rsidRPr="000977F7">
        <w:rPr>
          <w:rFonts w:asciiTheme="majorHAnsi" w:hAnsiTheme="majorHAnsi"/>
          <w:sz w:val="20"/>
          <w:szCs w:val="20"/>
        </w:rPr>
        <w:t>запуску.</w:t>
      </w:r>
      <w:r w:rsidRPr="000977F7">
        <w:rPr>
          <w:rFonts w:asciiTheme="majorHAnsi" w:hAnsiTheme="majorHAnsi"/>
          <w:spacing w:val="1"/>
          <w:sz w:val="20"/>
          <w:szCs w:val="20"/>
        </w:rPr>
        <w:t xml:space="preserve"> </w:t>
      </w:r>
      <w:r w:rsidRPr="000977F7">
        <w:rPr>
          <w:rFonts w:asciiTheme="majorHAnsi" w:hAnsiTheme="majorHAnsi"/>
          <w:sz w:val="20"/>
          <w:szCs w:val="20"/>
        </w:rPr>
        <w:t>Проекти</w:t>
      </w:r>
      <w:r w:rsidRPr="000977F7">
        <w:rPr>
          <w:rFonts w:asciiTheme="majorHAnsi" w:hAnsiTheme="majorHAnsi"/>
          <w:spacing w:val="1"/>
          <w:sz w:val="20"/>
          <w:szCs w:val="20"/>
        </w:rPr>
        <w:t xml:space="preserve"> </w:t>
      </w:r>
      <w:r w:rsidRPr="000977F7">
        <w:rPr>
          <w:rFonts w:asciiTheme="majorHAnsi" w:hAnsiTheme="majorHAnsi"/>
          <w:sz w:val="20"/>
          <w:szCs w:val="20"/>
        </w:rPr>
        <w:t>затверджуються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основі</w:t>
      </w:r>
      <w:r w:rsidRPr="000977F7">
        <w:rPr>
          <w:rFonts w:asciiTheme="majorHAnsi" w:hAnsiTheme="majorHAnsi"/>
          <w:spacing w:val="-47"/>
          <w:sz w:val="20"/>
          <w:szCs w:val="20"/>
        </w:rPr>
        <w:t xml:space="preserve"> </w:t>
      </w:r>
      <w:r w:rsidRPr="000977F7">
        <w:rPr>
          <w:rFonts w:asciiTheme="majorHAnsi" w:hAnsiTheme="majorHAnsi"/>
          <w:sz w:val="20"/>
          <w:szCs w:val="20"/>
        </w:rPr>
        <w:t>одного чи</w:t>
      </w:r>
      <w:r w:rsidRPr="000977F7">
        <w:rPr>
          <w:rFonts w:asciiTheme="majorHAnsi" w:hAnsiTheme="majorHAnsi"/>
          <w:spacing w:val="-1"/>
          <w:sz w:val="20"/>
          <w:szCs w:val="20"/>
        </w:rPr>
        <w:t xml:space="preserve"> </w:t>
      </w:r>
      <w:r w:rsidRPr="000977F7">
        <w:rPr>
          <w:rFonts w:asciiTheme="majorHAnsi" w:hAnsiTheme="majorHAnsi"/>
          <w:sz w:val="20"/>
          <w:szCs w:val="20"/>
        </w:rPr>
        <w:t>більше</w:t>
      </w:r>
      <w:r w:rsidRPr="000977F7">
        <w:rPr>
          <w:rFonts w:asciiTheme="majorHAnsi" w:hAnsiTheme="majorHAnsi"/>
          <w:spacing w:val="-1"/>
          <w:sz w:val="20"/>
          <w:szCs w:val="20"/>
        </w:rPr>
        <w:t xml:space="preserve"> </w:t>
      </w:r>
      <w:r w:rsidRPr="000977F7">
        <w:rPr>
          <w:rFonts w:asciiTheme="majorHAnsi" w:hAnsiTheme="majorHAnsi"/>
          <w:sz w:val="20"/>
          <w:szCs w:val="20"/>
        </w:rPr>
        <w:t>з таких</w:t>
      </w:r>
      <w:r w:rsidRPr="000977F7">
        <w:rPr>
          <w:rFonts w:asciiTheme="majorHAnsi" w:hAnsiTheme="majorHAnsi"/>
          <w:spacing w:val="-1"/>
          <w:sz w:val="20"/>
          <w:szCs w:val="20"/>
        </w:rPr>
        <w:t xml:space="preserve"> </w:t>
      </w:r>
      <w:r w:rsidRPr="000977F7">
        <w:rPr>
          <w:rFonts w:asciiTheme="majorHAnsi" w:hAnsiTheme="majorHAnsi"/>
          <w:sz w:val="20"/>
          <w:szCs w:val="20"/>
        </w:rPr>
        <w:t>стимулів:</w:t>
      </w:r>
    </w:p>
    <w:p w14:paraId="3985877E" w14:textId="77777777" w:rsidR="0097612F" w:rsidRPr="000977F7" w:rsidRDefault="0097612F" w:rsidP="00FD39A4">
      <w:pPr>
        <w:pStyle w:val="ac"/>
        <w:widowControl w:val="0"/>
        <w:numPr>
          <w:ilvl w:val="1"/>
          <w:numId w:val="180"/>
        </w:numPr>
        <w:tabs>
          <w:tab w:val="left" w:pos="284"/>
          <w:tab w:val="left" w:pos="618"/>
          <w:tab w:val="left" w:pos="61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ринковий</w:t>
      </w:r>
      <w:r w:rsidRPr="000977F7">
        <w:rPr>
          <w:rFonts w:asciiTheme="majorHAnsi" w:hAnsiTheme="majorHAnsi"/>
          <w:spacing w:val="-6"/>
          <w:sz w:val="20"/>
          <w:szCs w:val="20"/>
        </w:rPr>
        <w:t xml:space="preserve"> </w:t>
      </w:r>
      <w:r w:rsidRPr="000977F7">
        <w:rPr>
          <w:rFonts w:asciiTheme="majorHAnsi" w:hAnsiTheme="majorHAnsi"/>
          <w:sz w:val="20"/>
          <w:szCs w:val="20"/>
        </w:rPr>
        <w:t>попит;</w:t>
      </w:r>
    </w:p>
    <w:p w14:paraId="52ABC244" w14:textId="77777777" w:rsidR="0097612F" w:rsidRPr="000977F7" w:rsidRDefault="0097612F" w:rsidP="00FD39A4">
      <w:pPr>
        <w:pStyle w:val="ac"/>
        <w:widowControl w:val="0"/>
        <w:numPr>
          <w:ilvl w:val="1"/>
          <w:numId w:val="180"/>
        </w:numPr>
        <w:tabs>
          <w:tab w:val="left" w:pos="284"/>
          <w:tab w:val="left" w:pos="618"/>
          <w:tab w:val="left" w:pos="61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комерційна</w:t>
      </w:r>
      <w:r w:rsidRPr="000977F7">
        <w:rPr>
          <w:rFonts w:asciiTheme="majorHAnsi" w:hAnsiTheme="majorHAnsi"/>
          <w:spacing w:val="-4"/>
          <w:sz w:val="20"/>
          <w:szCs w:val="20"/>
        </w:rPr>
        <w:t xml:space="preserve"> </w:t>
      </w:r>
      <w:r w:rsidRPr="000977F7">
        <w:rPr>
          <w:rFonts w:asciiTheme="majorHAnsi" w:hAnsiTheme="majorHAnsi"/>
          <w:sz w:val="20"/>
          <w:szCs w:val="20"/>
        </w:rPr>
        <w:t>потреба;</w:t>
      </w:r>
    </w:p>
    <w:p w14:paraId="22488E36" w14:textId="77777777" w:rsidR="0097612F" w:rsidRPr="000977F7" w:rsidRDefault="0097612F" w:rsidP="00FD39A4">
      <w:pPr>
        <w:pStyle w:val="ac"/>
        <w:widowControl w:val="0"/>
        <w:numPr>
          <w:ilvl w:val="1"/>
          <w:numId w:val="180"/>
        </w:numPr>
        <w:tabs>
          <w:tab w:val="left" w:pos="284"/>
          <w:tab w:val="left" w:pos="618"/>
          <w:tab w:val="left" w:pos="61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споживчий</w:t>
      </w:r>
      <w:r w:rsidRPr="000977F7">
        <w:rPr>
          <w:rFonts w:asciiTheme="majorHAnsi" w:hAnsiTheme="majorHAnsi"/>
          <w:spacing w:val="-5"/>
          <w:sz w:val="20"/>
          <w:szCs w:val="20"/>
        </w:rPr>
        <w:t xml:space="preserve"> </w:t>
      </w:r>
      <w:r w:rsidRPr="000977F7">
        <w:rPr>
          <w:rFonts w:asciiTheme="majorHAnsi" w:hAnsiTheme="majorHAnsi"/>
          <w:sz w:val="20"/>
          <w:szCs w:val="20"/>
        </w:rPr>
        <w:t>запит;</w:t>
      </w:r>
    </w:p>
    <w:p w14:paraId="5484697C" w14:textId="77777777" w:rsidR="0097612F" w:rsidRPr="000977F7" w:rsidRDefault="0097612F" w:rsidP="00FD39A4">
      <w:pPr>
        <w:pStyle w:val="ac"/>
        <w:widowControl w:val="0"/>
        <w:numPr>
          <w:ilvl w:val="1"/>
          <w:numId w:val="180"/>
        </w:numPr>
        <w:tabs>
          <w:tab w:val="left" w:pos="284"/>
          <w:tab w:val="left" w:pos="618"/>
          <w:tab w:val="left" w:pos="61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технологічне</w:t>
      </w:r>
      <w:r w:rsidRPr="000977F7">
        <w:rPr>
          <w:rFonts w:asciiTheme="majorHAnsi" w:hAnsiTheme="majorHAnsi"/>
          <w:spacing w:val="-4"/>
          <w:sz w:val="20"/>
          <w:szCs w:val="20"/>
        </w:rPr>
        <w:t xml:space="preserve"> </w:t>
      </w:r>
      <w:r w:rsidRPr="000977F7">
        <w:rPr>
          <w:rFonts w:asciiTheme="majorHAnsi" w:hAnsiTheme="majorHAnsi"/>
          <w:sz w:val="20"/>
          <w:szCs w:val="20"/>
        </w:rPr>
        <w:t>просування;</w:t>
      </w:r>
    </w:p>
    <w:p w14:paraId="76CF98E7" w14:textId="77777777" w:rsidR="0097612F" w:rsidRPr="000977F7" w:rsidRDefault="0097612F" w:rsidP="00FD39A4">
      <w:pPr>
        <w:pStyle w:val="ac"/>
        <w:widowControl w:val="0"/>
        <w:numPr>
          <w:ilvl w:val="1"/>
          <w:numId w:val="180"/>
        </w:numPr>
        <w:tabs>
          <w:tab w:val="left" w:pos="284"/>
          <w:tab w:val="left" w:pos="618"/>
          <w:tab w:val="left" w:pos="61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юридичні</w:t>
      </w:r>
      <w:r w:rsidRPr="000977F7">
        <w:rPr>
          <w:rFonts w:asciiTheme="majorHAnsi" w:hAnsiTheme="majorHAnsi"/>
          <w:spacing w:val="-6"/>
          <w:sz w:val="20"/>
          <w:szCs w:val="20"/>
        </w:rPr>
        <w:t xml:space="preserve"> </w:t>
      </w:r>
      <w:r w:rsidRPr="000977F7">
        <w:rPr>
          <w:rFonts w:asciiTheme="majorHAnsi" w:hAnsiTheme="majorHAnsi"/>
          <w:sz w:val="20"/>
          <w:szCs w:val="20"/>
        </w:rPr>
        <w:t>вимоги</w:t>
      </w:r>
    </w:p>
    <w:p w14:paraId="1529D47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sz w:val="20"/>
          <w:szCs w:val="20"/>
        </w:rPr>
        <w:t>«</w:t>
      </w:r>
      <w:r w:rsidRPr="000977F7">
        <w:rPr>
          <w:rFonts w:asciiTheme="majorHAnsi" w:hAnsiTheme="majorHAnsi"/>
          <w:i/>
          <w:sz w:val="20"/>
          <w:szCs w:val="20"/>
        </w:rPr>
        <w:t>Кер. проектн. менеджм.-ту»</w:t>
      </w:r>
    </w:p>
    <w:p w14:paraId="00C8F7D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pacing w:val="-47"/>
          <w:sz w:val="20"/>
          <w:szCs w:val="20"/>
        </w:rPr>
        <w:t xml:space="preserve"> </w:t>
      </w:r>
      <w:r w:rsidRPr="000977F7">
        <w:rPr>
          <w:rFonts w:asciiTheme="majorHAnsi" w:hAnsiTheme="majorHAnsi"/>
          <w:b/>
          <w:sz w:val="20"/>
          <w:szCs w:val="20"/>
        </w:rPr>
        <w:t>ІННОВАЦІЯ</w:t>
      </w:r>
      <w:r w:rsidRPr="000977F7">
        <w:rPr>
          <w:rFonts w:asciiTheme="majorHAnsi" w:hAnsiTheme="majorHAnsi"/>
          <w:b/>
          <w:spacing w:val="7"/>
          <w:sz w:val="20"/>
          <w:szCs w:val="20"/>
        </w:rPr>
        <w:t xml:space="preserve"> </w:t>
      </w:r>
      <w:r w:rsidRPr="000977F7">
        <w:rPr>
          <w:rFonts w:asciiTheme="majorHAnsi" w:hAnsiTheme="majorHAnsi"/>
          <w:b/>
          <w:sz w:val="20"/>
          <w:szCs w:val="20"/>
        </w:rPr>
        <w:t>–</w:t>
      </w:r>
      <w:r w:rsidRPr="000977F7">
        <w:rPr>
          <w:rFonts w:asciiTheme="majorHAnsi" w:hAnsiTheme="majorHAnsi"/>
          <w:b/>
          <w:spacing w:val="1"/>
          <w:sz w:val="20"/>
          <w:szCs w:val="20"/>
        </w:rPr>
        <w:t xml:space="preserve"> </w:t>
      </w:r>
      <w:r w:rsidRPr="000977F7">
        <w:rPr>
          <w:rFonts w:asciiTheme="majorHAnsi" w:hAnsiTheme="majorHAnsi"/>
          <w:sz w:val="20"/>
          <w:szCs w:val="20"/>
        </w:rPr>
        <w:t>INNOVATION -</w:t>
      </w:r>
    </w:p>
    <w:p w14:paraId="38D954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Новий або змінений об’єкт, що отримує чи перерозподіляє</w:t>
      </w:r>
      <w:r w:rsidRPr="000977F7">
        <w:rPr>
          <w:rFonts w:asciiTheme="majorHAnsi" w:hAnsiTheme="majorHAnsi"/>
          <w:spacing w:val="1"/>
          <w:sz w:val="20"/>
          <w:szCs w:val="20"/>
        </w:rPr>
        <w:t xml:space="preserve"> </w:t>
      </w:r>
      <w:r w:rsidRPr="000977F7">
        <w:rPr>
          <w:rFonts w:asciiTheme="majorHAnsi" w:hAnsiTheme="majorHAnsi"/>
          <w:sz w:val="20"/>
          <w:szCs w:val="20"/>
        </w:rPr>
        <w:t>цінність.</w:t>
      </w:r>
    </w:p>
    <w:p w14:paraId="048B27A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Роботами, результатом яких</w:t>
      </w:r>
      <w:r w:rsidRPr="000977F7">
        <w:rPr>
          <w:rFonts w:asciiTheme="majorHAnsi" w:hAnsiTheme="majorHAnsi"/>
          <w:spacing w:val="1"/>
          <w:sz w:val="20"/>
          <w:szCs w:val="20"/>
        </w:rPr>
        <w:t xml:space="preserve"> </w:t>
      </w:r>
      <w:r w:rsidRPr="000977F7">
        <w:rPr>
          <w:rFonts w:asciiTheme="majorHAnsi" w:hAnsiTheme="majorHAnsi"/>
          <w:sz w:val="20"/>
          <w:szCs w:val="20"/>
        </w:rPr>
        <w:t>є інновації,</w:t>
      </w:r>
      <w:r w:rsidRPr="000977F7">
        <w:rPr>
          <w:rFonts w:asciiTheme="majorHAnsi" w:hAnsiTheme="majorHAnsi"/>
          <w:spacing w:val="1"/>
          <w:sz w:val="20"/>
          <w:szCs w:val="20"/>
        </w:rPr>
        <w:t xml:space="preserve"> </w:t>
      </w:r>
      <w:r w:rsidRPr="000977F7">
        <w:rPr>
          <w:rFonts w:asciiTheme="majorHAnsi" w:hAnsiTheme="majorHAnsi"/>
          <w:sz w:val="20"/>
          <w:szCs w:val="20"/>
        </w:rPr>
        <w:t>зазвичай</w:t>
      </w:r>
      <w:r w:rsidRPr="000977F7">
        <w:rPr>
          <w:rFonts w:asciiTheme="majorHAnsi" w:hAnsiTheme="majorHAnsi"/>
          <w:spacing w:val="1"/>
          <w:sz w:val="20"/>
          <w:szCs w:val="20"/>
        </w:rPr>
        <w:t xml:space="preserve"> </w:t>
      </w:r>
      <w:r w:rsidRPr="000977F7">
        <w:rPr>
          <w:rFonts w:asciiTheme="majorHAnsi" w:hAnsiTheme="majorHAnsi"/>
          <w:sz w:val="20"/>
          <w:szCs w:val="20"/>
        </w:rPr>
        <w:t>керують.</w:t>
      </w:r>
    </w:p>
    <w:p w14:paraId="697C708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2. Інновація звичайно значна за своїм ефектом.</w:t>
      </w:r>
    </w:p>
    <w:p w14:paraId="65F6D75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49B02A0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ІНОЗЕМНА</w:t>
      </w:r>
      <w:r w:rsidRPr="000977F7">
        <w:rPr>
          <w:color w:val="auto"/>
          <w:spacing w:val="-4"/>
          <w:sz w:val="20"/>
          <w:szCs w:val="20"/>
        </w:rPr>
        <w:t xml:space="preserve"> </w:t>
      </w:r>
      <w:r w:rsidRPr="000977F7">
        <w:rPr>
          <w:color w:val="auto"/>
          <w:sz w:val="20"/>
          <w:szCs w:val="20"/>
        </w:rPr>
        <w:t>ВАЛЮТА</w:t>
      </w:r>
      <w:r w:rsidRPr="000977F7">
        <w:rPr>
          <w:color w:val="auto"/>
          <w:spacing w:val="-2"/>
          <w:sz w:val="20"/>
          <w:szCs w:val="20"/>
        </w:rPr>
        <w:t xml:space="preserve"> </w:t>
      </w:r>
      <w:r w:rsidRPr="000977F7">
        <w:rPr>
          <w:color w:val="auto"/>
          <w:sz w:val="20"/>
          <w:szCs w:val="20"/>
        </w:rPr>
        <w:t>–</w:t>
      </w:r>
    </w:p>
    <w:p w14:paraId="064A21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Іноземні грошові знаки у вигляді банкнотів, казначейських білетів, монет, що перебувають в обігу та є законним платіжним засобом на території відповідної</w:t>
      </w:r>
      <w:r w:rsidRPr="000977F7">
        <w:rPr>
          <w:rFonts w:asciiTheme="majorHAnsi" w:hAnsiTheme="majorHAnsi"/>
          <w:spacing w:val="1"/>
          <w:sz w:val="20"/>
          <w:szCs w:val="20"/>
        </w:rPr>
        <w:t xml:space="preserve"> </w:t>
      </w:r>
      <w:r w:rsidRPr="000977F7">
        <w:rPr>
          <w:rFonts w:asciiTheme="majorHAnsi" w:hAnsiTheme="majorHAnsi"/>
          <w:sz w:val="20"/>
          <w:szCs w:val="20"/>
        </w:rPr>
        <w:t>іноземної</w:t>
      </w:r>
      <w:r w:rsidRPr="000977F7">
        <w:rPr>
          <w:rFonts w:asciiTheme="majorHAnsi" w:hAnsiTheme="majorHAnsi"/>
          <w:spacing w:val="33"/>
          <w:sz w:val="20"/>
          <w:szCs w:val="20"/>
        </w:rPr>
        <w:t xml:space="preserve"> </w:t>
      </w:r>
      <w:r w:rsidRPr="000977F7">
        <w:rPr>
          <w:rFonts w:asciiTheme="majorHAnsi" w:hAnsiTheme="majorHAnsi"/>
          <w:sz w:val="20"/>
          <w:szCs w:val="20"/>
        </w:rPr>
        <w:t>держави,</w:t>
      </w:r>
      <w:r w:rsidRPr="000977F7">
        <w:rPr>
          <w:rFonts w:asciiTheme="majorHAnsi" w:hAnsiTheme="majorHAnsi"/>
          <w:spacing w:val="33"/>
          <w:sz w:val="20"/>
          <w:szCs w:val="20"/>
        </w:rPr>
        <w:t xml:space="preserve"> </w:t>
      </w:r>
      <w:r w:rsidRPr="000977F7">
        <w:rPr>
          <w:rFonts w:asciiTheme="majorHAnsi" w:hAnsiTheme="majorHAnsi"/>
          <w:sz w:val="20"/>
          <w:szCs w:val="20"/>
        </w:rPr>
        <w:t>а</w:t>
      </w:r>
      <w:r w:rsidRPr="000977F7">
        <w:rPr>
          <w:rFonts w:asciiTheme="majorHAnsi" w:hAnsiTheme="majorHAnsi"/>
          <w:spacing w:val="33"/>
          <w:sz w:val="20"/>
          <w:szCs w:val="20"/>
        </w:rPr>
        <w:t xml:space="preserve"> </w:t>
      </w:r>
      <w:r w:rsidRPr="000977F7">
        <w:rPr>
          <w:rFonts w:asciiTheme="majorHAnsi" w:hAnsiTheme="majorHAnsi"/>
          <w:sz w:val="20"/>
          <w:szCs w:val="20"/>
        </w:rPr>
        <w:t>також</w:t>
      </w:r>
      <w:r w:rsidRPr="000977F7">
        <w:rPr>
          <w:rFonts w:asciiTheme="majorHAnsi" w:hAnsiTheme="majorHAnsi"/>
          <w:spacing w:val="33"/>
          <w:sz w:val="20"/>
          <w:szCs w:val="20"/>
        </w:rPr>
        <w:t xml:space="preserve"> </w:t>
      </w:r>
      <w:r w:rsidRPr="000977F7">
        <w:rPr>
          <w:rFonts w:asciiTheme="majorHAnsi" w:hAnsiTheme="majorHAnsi"/>
          <w:sz w:val="20"/>
          <w:szCs w:val="20"/>
        </w:rPr>
        <w:t>вилучені</w:t>
      </w:r>
      <w:r w:rsidRPr="000977F7">
        <w:rPr>
          <w:rFonts w:asciiTheme="majorHAnsi" w:hAnsiTheme="majorHAnsi"/>
          <w:spacing w:val="33"/>
          <w:sz w:val="20"/>
          <w:szCs w:val="20"/>
        </w:rPr>
        <w:t xml:space="preserve"> </w:t>
      </w:r>
      <w:r w:rsidRPr="000977F7">
        <w:rPr>
          <w:rFonts w:asciiTheme="majorHAnsi" w:hAnsiTheme="majorHAnsi"/>
          <w:sz w:val="20"/>
          <w:szCs w:val="20"/>
        </w:rPr>
        <w:t>з</w:t>
      </w:r>
      <w:r w:rsidRPr="000977F7">
        <w:rPr>
          <w:rFonts w:asciiTheme="majorHAnsi" w:hAnsiTheme="majorHAnsi"/>
          <w:spacing w:val="33"/>
          <w:sz w:val="20"/>
          <w:szCs w:val="20"/>
        </w:rPr>
        <w:t xml:space="preserve"> </w:t>
      </w:r>
      <w:r w:rsidRPr="000977F7">
        <w:rPr>
          <w:rFonts w:asciiTheme="majorHAnsi" w:hAnsiTheme="majorHAnsi"/>
          <w:sz w:val="20"/>
          <w:szCs w:val="20"/>
        </w:rPr>
        <w:t>обігу,</w:t>
      </w:r>
      <w:r w:rsidRPr="000977F7">
        <w:rPr>
          <w:rFonts w:asciiTheme="majorHAnsi" w:hAnsiTheme="majorHAnsi"/>
          <w:spacing w:val="33"/>
          <w:sz w:val="20"/>
          <w:szCs w:val="20"/>
        </w:rPr>
        <w:t xml:space="preserve"> </w:t>
      </w:r>
      <w:r w:rsidRPr="000977F7">
        <w:rPr>
          <w:rFonts w:asciiTheme="majorHAnsi" w:hAnsiTheme="majorHAnsi"/>
          <w:sz w:val="20"/>
          <w:szCs w:val="20"/>
        </w:rPr>
        <w:t>або</w:t>
      </w:r>
      <w:r w:rsidRPr="000977F7">
        <w:rPr>
          <w:rFonts w:asciiTheme="majorHAnsi" w:hAnsiTheme="majorHAnsi"/>
          <w:spacing w:val="34"/>
          <w:sz w:val="20"/>
          <w:szCs w:val="20"/>
        </w:rPr>
        <w:t xml:space="preserve"> </w:t>
      </w:r>
      <w:r w:rsidRPr="000977F7">
        <w:rPr>
          <w:rFonts w:asciiTheme="majorHAnsi" w:hAnsiTheme="majorHAnsi"/>
          <w:sz w:val="20"/>
          <w:szCs w:val="20"/>
        </w:rPr>
        <w:t>ті,</w:t>
      </w:r>
      <w:r w:rsidRPr="000977F7">
        <w:rPr>
          <w:rFonts w:asciiTheme="majorHAnsi" w:hAnsiTheme="majorHAnsi"/>
          <w:spacing w:val="-47"/>
          <w:sz w:val="20"/>
          <w:szCs w:val="20"/>
        </w:rPr>
        <w:t xml:space="preserve"> </w:t>
      </w:r>
      <w:r w:rsidRPr="000977F7">
        <w:rPr>
          <w:rFonts w:asciiTheme="majorHAnsi" w:hAnsiTheme="majorHAnsi"/>
          <w:sz w:val="20"/>
          <w:szCs w:val="20"/>
        </w:rPr>
        <w:t>що вилучаються з нього , але підлягають обміну на</w:t>
      </w:r>
      <w:r w:rsidRPr="000977F7">
        <w:rPr>
          <w:rFonts w:asciiTheme="majorHAnsi" w:hAnsiTheme="majorHAnsi"/>
          <w:spacing w:val="1"/>
          <w:sz w:val="20"/>
          <w:szCs w:val="20"/>
        </w:rPr>
        <w:t xml:space="preserve"> </w:t>
      </w:r>
      <w:r w:rsidRPr="000977F7">
        <w:rPr>
          <w:rFonts w:asciiTheme="majorHAnsi" w:hAnsiTheme="majorHAnsi"/>
          <w:sz w:val="20"/>
          <w:szCs w:val="20"/>
        </w:rPr>
        <w:t>грошові знаки, які перебувають в обігу, кошти у грошових</w:t>
      </w:r>
      <w:r w:rsidRPr="000977F7">
        <w:rPr>
          <w:rFonts w:asciiTheme="majorHAnsi" w:hAnsiTheme="majorHAnsi"/>
          <w:spacing w:val="1"/>
          <w:sz w:val="20"/>
          <w:szCs w:val="20"/>
        </w:rPr>
        <w:t xml:space="preserve"> </w:t>
      </w:r>
      <w:r w:rsidRPr="000977F7">
        <w:rPr>
          <w:rFonts w:asciiTheme="majorHAnsi" w:hAnsiTheme="majorHAnsi"/>
          <w:sz w:val="20"/>
          <w:szCs w:val="20"/>
        </w:rPr>
        <w:t>одиницях</w:t>
      </w:r>
      <w:r w:rsidRPr="000977F7">
        <w:rPr>
          <w:rFonts w:asciiTheme="majorHAnsi" w:hAnsiTheme="majorHAnsi"/>
          <w:spacing w:val="1"/>
          <w:sz w:val="20"/>
          <w:szCs w:val="20"/>
        </w:rPr>
        <w:t xml:space="preserve"> </w:t>
      </w:r>
      <w:r w:rsidRPr="000977F7">
        <w:rPr>
          <w:rFonts w:asciiTheme="majorHAnsi" w:hAnsiTheme="majorHAnsi"/>
          <w:sz w:val="20"/>
          <w:szCs w:val="20"/>
        </w:rPr>
        <w:t>іноземних</w:t>
      </w:r>
      <w:r w:rsidRPr="000977F7">
        <w:rPr>
          <w:rFonts w:asciiTheme="majorHAnsi" w:hAnsiTheme="majorHAnsi"/>
          <w:spacing w:val="1"/>
          <w:sz w:val="20"/>
          <w:szCs w:val="20"/>
        </w:rPr>
        <w:t xml:space="preserve"> </w:t>
      </w:r>
      <w:r w:rsidRPr="000977F7">
        <w:rPr>
          <w:rFonts w:asciiTheme="majorHAnsi" w:hAnsiTheme="majorHAnsi"/>
          <w:sz w:val="20"/>
          <w:szCs w:val="20"/>
        </w:rPr>
        <w:t>держав</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міжнародних</w:t>
      </w:r>
      <w:r w:rsidRPr="000977F7">
        <w:rPr>
          <w:rFonts w:asciiTheme="majorHAnsi" w:hAnsiTheme="majorHAnsi"/>
          <w:spacing w:val="1"/>
          <w:sz w:val="20"/>
          <w:szCs w:val="20"/>
        </w:rPr>
        <w:t xml:space="preserve"> </w:t>
      </w:r>
      <w:r w:rsidRPr="000977F7">
        <w:rPr>
          <w:rFonts w:asciiTheme="majorHAnsi" w:hAnsiTheme="majorHAnsi"/>
          <w:sz w:val="20"/>
          <w:szCs w:val="20"/>
        </w:rPr>
        <w:t>розрахункових одиницях, що перебувають на рахунках або вносяться до банківських та інших кредитнофінансових установ</w:t>
      </w:r>
      <w:r w:rsidRPr="000977F7">
        <w:rPr>
          <w:rFonts w:asciiTheme="majorHAnsi" w:hAnsiTheme="majorHAnsi"/>
          <w:spacing w:val="-1"/>
          <w:sz w:val="20"/>
          <w:szCs w:val="20"/>
        </w:rPr>
        <w:t xml:space="preserve"> </w:t>
      </w:r>
      <w:r w:rsidRPr="000977F7">
        <w:rPr>
          <w:rFonts w:asciiTheme="majorHAnsi" w:hAnsiTheme="majorHAnsi"/>
          <w:sz w:val="20"/>
          <w:szCs w:val="20"/>
        </w:rPr>
        <w:t>за межами</w:t>
      </w:r>
      <w:r w:rsidRPr="000977F7">
        <w:rPr>
          <w:rFonts w:asciiTheme="majorHAnsi" w:hAnsiTheme="majorHAnsi"/>
          <w:spacing w:val="-2"/>
          <w:sz w:val="20"/>
          <w:szCs w:val="20"/>
        </w:rPr>
        <w:t xml:space="preserve"> </w:t>
      </w:r>
      <w:r w:rsidRPr="000977F7">
        <w:rPr>
          <w:rFonts w:asciiTheme="majorHAnsi" w:hAnsiTheme="majorHAnsi"/>
          <w:sz w:val="20"/>
          <w:szCs w:val="20"/>
        </w:rPr>
        <w:t>України</w:t>
      </w:r>
    </w:p>
    <w:p w14:paraId="65003ABF"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1"/>
          <w:sz w:val="20"/>
          <w:szCs w:val="20"/>
        </w:rPr>
        <w:t xml:space="preserve"> </w:t>
      </w:r>
      <w:r w:rsidRPr="000977F7">
        <w:rPr>
          <w:rFonts w:asciiTheme="majorHAnsi" w:hAnsiTheme="majorHAnsi"/>
          <w:i/>
          <w:iCs/>
          <w:sz w:val="20"/>
          <w:szCs w:val="20"/>
        </w:rPr>
        <w:t>3293</w:t>
      </w:r>
      <w:r w:rsidRPr="000977F7">
        <w:rPr>
          <w:rFonts w:asciiTheme="majorHAnsi" w:hAnsiTheme="majorHAnsi"/>
          <w:i/>
          <w:iCs/>
          <w:spacing w:val="-1"/>
          <w:sz w:val="20"/>
          <w:szCs w:val="20"/>
        </w:rPr>
        <w:t xml:space="preserve"> </w:t>
      </w:r>
      <w:r w:rsidRPr="000977F7">
        <w:rPr>
          <w:rFonts w:asciiTheme="majorHAnsi" w:hAnsiTheme="majorHAnsi"/>
          <w:i/>
          <w:iCs/>
          <w:sz w:val="20"/>
          <w:szCs w:val="20"/>
        </w:rPr>
        <w:t>–</w:t>
      </w:r>
      <w:r w:rsidRPr="000977F7">
        <w:rPr>
          <w:rFonts w:asciiTheme="majorHAnsi" w:hAnsiTheme="majorHAnsi"/>
          <w:i/>
          <w:iCs/>
          <w:spacing w:val="1"/>
          <w:sz w:val="20"/>
          <w:szCs w:val="20"/>
        </w:rPr>
        <w:t xml:space="preserve"> </w:t>
      </w:r>
      <w:r w:rsidRPr="000977F7">
        <w:rPr>
          <w:rFonts w:asciiTheme="majorHAnsi" w:hAnsiTheme="majorHAnsi"/>
          <w:i/>
          <w:iCs/>
          <w:sz w:val="20"/>
          <w:szCs w:val="20"/>
        </w:rPr>
        <w:t>95</w:t>
      </w:r>
    </w:p>
    <w:p w14:paraId="54DA99D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ІНОЗЕМНІ</w:t>
      </w:r>
      <w:r w:rsidRPr="000977F7">
        <w:rPr>
          <w:color w:val="auto"/>
          <w:spacing w:val="-5"/>
          <w:sz w:val="20"/>
          <w:szCs w:val="20"/>
        </w:rPr>
        <w:t xml:space="preserve"> </w:t>
      </w:r>
      <w:r w:rsidRPr="000977F7">
        <w:rPr>
          <w:color w:val="auto"/>
          <w:sz w:val="20"/>
          <w:szCs w:val="20"/>
        </w:rPr>
        <w:t>ІНВЕСТИЦІЇ –</w:t>
      </w:r>
    </w:p>
    <w:p w14:paraId="614C888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Усі види майнових та інтелектуальних цінностей, що</w:t>
      </w:r>
      <w:r w:rsidRPr="000977F7">
        <w:rPr>
          <w:rFonts w:asciiTheme="majorHAnsi" w:hAnsiTheme="majorHAnsi"/>
          <w:spacing w:val="1"/>
          <w:sz w:val="20"/>
          <w:szCs w:val="20"/>
        </w:rPr>
        <w:t xml:space="preserve"> </w:t>
      </w:r>
      <w:r w:rsidRPr="000977F7">
        <w:rPr>
          <w:rFonts w:asciiTheme="majorHAnsi" w:hAnsiTheme="majorHAnsi"/>
          <w:sz w:val="20"/>
          <w:szCs w:val="20"/>
        </w:rPr>
        <w:t>вкладаються</w:t>
      </w:r>
      <w:r w:rsidRPr="000977F7">
        <w:rPr>
          <w:rFonts w:asciiTheme="majorHAnsi" w:hAnsiTheme="majorHAnsi"/>
          <w:spacing w:val="1"/>
          <w:sz w:val="20"/>
          <w:szCs w:val="20"/>
        </w:rPr>
        <w:t xml:space="preserve"> </w:t>
      </w:r>
      <w:r w:rsidRPr="000977F7">
        <w:rPr>
          <w:rFonts w:asciiTheme="majorHAnsi" w:hAnsiTheme="majorHAnsi"/>
          <w:sz w:val="20"/>
          <w:szCs w:val="20"/>
        </w:rPr>
        <w:t>іноземними</w:t>
      </w:r>
      <w:r w:rsidRPr="000977F7">
        <w:rPr>
          <w:rFonts w:asciiTheme="majorHAnsi" w:hAnsiTheme="majorHAnsi"/>
          <w:spacing w:val="1"/>
          <w:sz w:val="20"/>
          <w:szCs w:val="20"/>
        </w:rPr>
        <w:t xml:space="preserve"> </w:t>
      </w:r>
      <w:r w:rsidRPr="000977F7">
        <w:rPr>
          <w:rFonts w:asciiTheme="majorHAnsi" w:hAnsiTheme="majorHAnsi"/>
          <w:sz w:val="20"/>
          <w:szCs w:val="20"/>
        </w:rPr>
        <w:t>суб’єктами</w:t>
      </w:r>
      <w:r w:rsidRPr="000977F7">
        <w:rPr>
          <w:rFonts w:asciiTheme="majorHAnsi" w:hAnsiTheme="majorHAnsi"/>
          <w:spacing w:val="1"/>
          <w:sz w:val="20"/>
          <w:szCs w:val="20"/>
        </w:rPr>
        <w:t xml:space="preserve"> </w:t>
      </w:r>
      <w:r w:rsidRPr="000977F7">
        <w:rPr>
          <w:rFonts w:asciiTheme="majorHAnsi" w:hAnsiTheme="majorHAnsi"/>
          <w:sz w:val="20"/>
          <w:szCs w:val="20"/>
        </w:rPr>
        <w:t>господарської</w:t>
      </w:r>
      <w:r w:rsidRPr="000977F7">
        <w:rPr>
          <w:rFonts w:asciiTheme="majorHAnsi" w:hAnsiTheme="majorHAnsi"/>
          <w:spacing w:val="1"/>
          <w:sz w:val="20"/>
          <w:szCs w:val="20"/>
        </w:rPr>
        <w:t xml:space="preserve"> </w:t>
      </w:r>
      <w:r w:rsidRPr="000977F7">
        <w:rPr>
          <w:rFonts w:asciiTheme="majorHAnsi" w:hAnsiTheme="majorHAnsi"/>
          <w:sz w:val="20"/>
          <w:szCs w:val="20"/>
        </w:rPr>
        <w:t>діяльності в Україні, внаслідок чого утворюється прибуток</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досягається</w:t>
      </w:r>
      <w:r w:rsidRPr="000977F7">
        <w:rPr>
          <w:rFonts w:asciiTheme="majorHAnsi" w:hAnsiTheme="majorHAnsi"/>
          <w:spacing w:val="-2"/>
          <w:sz w:val="20"/>
          <w:szCs w:val="20"/>
        </w:rPr>
        <w:t xml:space="preserve"> </w:t>
      </w:r>
      <w:r w:rsidRPr="000977F7">
        <w:rPr>
          <w:rFonts w:asciiTheme="majorHAnsi" w:hAnsiTheme="majorHAnsi"/>
          <w:sz w:val="20"/>
          <w:szCs w:val="20"/>
        </w:rPr>
        <w:t>соціальний</w:t>
      </w:r>
      <w:r w:rsidRPr="000977F7">
        <w:rPr>
          <w:rFonts w:asciiTheme="majorHAnsi" w:hAnsiTheme="majorHAnsi"/>
          <w:spacing w:val="-1"/>
          <w:sz w:val="20"/>
          <w:szCs w:val="20"/>
        </w:rPr>
        <w:t xml:space="preserve"> </w:t>
      </w:r>
      <w:r w:rsidRPr="000977F7">
        <w:rPr>
          <w:rFonts w:asciiTheme="majorHAnsi" w:hAnsiTheme="majorHAnsi"/>
          <w:sz w:val="20"/>
          <w:szCs w:val="20"/>
        </w:rPr>
        <w:t>ефект</w:t>
      </w:r>
    </w:p>
    <w:p w14:paraId="501E5817"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1"/>
          <w:sz w:val="20"/>
          <w:szCs w:val="20"/>
        </w:rPr>
        <w:t xml:space="preserve"> </w:t>
      </w:r>
      <w:r w:rsidRPr="000977F7">
        <w:rPr>
          <w:rFonts w:asciiTheme="majorHAnsi" w:hAnsiTheme="majorHAnsi"/>
          <w:i/>
          <w:iCs/>
          <w:sz w:val="20"/>
          <w:szCs w:val="20"/>
        </w:rPr>
        <w:t>3293</w:t>
      </w:r>
      <w:r w:rsidRPr="000977F7">
        <w:rPr>
          <w:rFonts w:asciiTheme="majorHAnsi" w:hAnsiTheme="majorHAnsi"/>
          <w:i/>
          <w:iCs/>
          <w:spacing w:val="-1"/>
          <w:sz w:val="20"/>
          <w:szCs w:val="20"/>
        </w:rPr>
        <w:t xml:space="preserve"> </w:t>
      </w:r>
      <w:r w:rsidRPr="000977F7">
        <w:rPr>
          <w:rFonts w:asciiTheme="majorHAnsi" w:hAnsiTheme="majorHAnsi"/>
          <w:i/>
          <w:iCs/>
          <w:sz w:val="20"/>
          <w:szCs w:val="20"/>
        </w:rPr>
        <w:t>–</w:t>
      </w:r>
      <w:r w:rsidRPr="000977F7">
        <w:rPr>
          <w:rFonts w:asciiTheme="majorHAnsi" w:hAnsiTheme="majorHAnsi"/>
          <w:i/>
          <w:iCs/>
          <w:spacing w:val="1"/>
          <w:sz w:val="20"/>
          <w:szCs w:val="20"/>
        </w:rPr>
        <w:t xml:space="preserve"> </w:t>
      </w:r>
      <w:r w:rsidRPr="000977F7">
        <w:rPr>
          <w:rFonts w:asciiTheme="majorHAnsi" w:hAnsiTheme="majorHAnsi"/>
          <w:i/>
          <w:iCs/>
          <w:sz w:val="20"/>
          <w:szCs w:val="20"/>
        </w:rPr>
        <w:t>95</w:t>
      </w:r>
    </w:p>
    <w:p w14:paraId="37265B4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ІНОЗЕМНІ СУБ’ЄКТИ ГОСПОДАРСЬКОЇ ДІЯЛЬНОСТІ</w:t>
      </w:r>
      <w:r w:rsidRPr="000977F7">
        <w:rPr>
          <w:color w:val="auto"/>
          <w:spacing w:val="-1"/>
          <w:sz w:val="20"/>
          <w:szCs w:val="20"/>
        </w:rPr>
        <w:t xml:space="preserve"> </w:t>
      </w:r>
      <w:r w:rsidRPr="000977F7">
        <w:rPr>
          <w:color w:val="auto"/>
          <w:sz w:val="20"/>
          <w:szCs w:val="20"/>
        </w:rPr>
        <w:t>–</w:t>
      </w:r>
    </w:p>
    <w:p w14:paraId="55885C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Суб’єкти господарської діяльності, що мають постійне місце знаходження або постійне місце проживання</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межами</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p>
    <w:p w14:paraId="6B3E6874"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1"/>
          <w:sz w:val="20"/>
          <w:szCs w:val="20"/>
        </w:rPr>
        <w:t xml:space="preserve"> </w:t>
      </w:r>
      <w:r w:rsidRPr="000977F7">
        <w:rPr>
          <w:rFonts w:asciiTheme="majorHAnsi" w:hAnsiTheme="majorHAnsi"/>
          <w:i/>
          <w:iCs/>
          <w:sz w:val="20"/>
          <w:szCs w:val="20"/>
        </w:rPr>
        <w:t>3293</w:t>
      </w:r>
      <w:r w:rsidRPr="000977F7">
        <w:rPr>
          <w:rFonts w:asciiTheme="majorHAnsi" w:hAnsiTheme="majorHAnsi"/>
          <w:i/>
          <w:iCs/>
          <w:spacing w:val="-1"/>
          <w:sz w:val="20"/>
          <w:szCs w:val="20"/>
        </w:rPr>
        <w:t xml:space="preserve"> </w:t>
      </w:r>
      <w:r w:rsidRPr="000977F7">
        <w:rPr>
          <w:rFonts w:asciiTheme="majorHAnsi" w:hAnsiTheme="majorHAnsi"/>
          <w:i/>
          <w:iCs/>
          <w:sz w:val="20"/>
          <w:szCs w:val="20"/>
        </w:rPr>
        <w:t>–</w:t>
      </w:r>
      <w:r w:rsidRPr="000977F7">
        <w:rPr>
          <w:rFonts w:asciiTheme="majorHAnsi" w:hAnsiTheme="majorHAnsi"/>
          <w:i/>
          <w:iCs/>
          <w:spacing w:val="1"/>
          <w:sz w:val="20"/>
          <w:szCs w:val="20"/>
        </w:rPr>
        <w:t xml:space="preserve"> </w:t>
      </w:r>
      <w:r w:rsidRPr="000977F7">
        <w:rPr>
          <w:rFonts w:asciiTheme="majorHAnsi" w:hAnsiTheme="majorHAnsi"/>
          <w:i/>
          <w:iCs/>
          <w:sz w:val="20"/>
          <w:szCs w:val="20"/>
        </w:rPr>
        <w:t>95</w:t>
      </w:r>
    </w:p>
    <w:p w14:paraId="543A1F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Перевіряння</w:t>
      </w:r>
      <w:r w:rsidRPr="000977F7">
        <w:rPr>
          <w:rFonts w:asciiTheme="majorHAnsi" w:hAnsiTheme="majorHAnsi"/>
          <w:spacing w:val="1"/>
          <w:sz w:val="20"/>
          <w:szCs w:val="20"/>
        </w:rPr>
        <w:t xml:space="preserve"> </w:t>
      </w:r>
      <w:r w:rsidRPr="000977F7">
        <w:rPr>
          <w:rFonts w:asciiTheme="majorHAnsi" w:hAnsiTheme="majorHAnsi"/>
          <w:sz w:val="20"/>
          <w:szCs w:val="20"/>
        </w:rPr>
        <w:t>проектної</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документації</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продукцію,</w:t>
      </w:r>
      <w:r w:rsidRPr="000977F7">
        <w:rPr>
          <w:rFonts w:asciiTheme="majorHAnsi" w:hAnsiTheme="majorHAnsi"/>
          <w:spacing w:val="1"/>
          <w:sz w:val="20"/>
          <w:szCs w:val="20"/>
        </w:rPr>
        <w:t xml:space="preserve"> </w:t>
      </w:r>
      <w:r w:rsidRPr="000977F7">
        <w:rPr>
          <w:rFonts w:asciiTheme="majorHAnsi" w:hAnsiTheme="majorHAnsi"/>
          <w:sz w:val="20"/>
          <w:szCs w:val="20"/>
        </w:rPr>
        <w:t>продукції, процесу установлювання чи монтування й</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 їхньої відповідності встановленим вимогам</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основі</w:t>
      </w:r>
      <w:r w:rsidRPr="000977F7">
        <w:rPr>
          <w:rFonts w:asciiTheme="majorHAnsi" w:hAnsiTheme="majorHAnsi"/>
          <w:spacing w:val="1"/>
          <w:sz w:val="20"/>
          <w:szCs w:val="20"/>
        </w:rPr>
        <w:t xml:space="preserve"> </w:t>
      </w:r>
      <w:r w:rsidRPr="000977F7">
        <w:rPr>
          <w:rFonts w:asciiTheme="majorHAnsi" w:hAnsiTheme="majorHAnsi"/>
          <w:sz w:val="20"/>
          <w:szCs w:val="20"/>
        </w:rPr>
        <w:t>професійного</w:t>
      </w:r>
      <w:r w:rsidRPr="000977F7">
        <w:rPr>
          <w:rFonts w:asciiTheme="majorHAnsi" w:hAnsiTheme="majorHAnsi"/>
          <w:spacing w:val="1"/>
          <w:sz w:val="20"/>
          <w:szCs w:val="20"/>
        </w:rPr>
        <w:t xml:space="preserve"> </w:t>
      </w:r>
      <w:r w:rsidRPr="000977F7">
        <w:rPr>
          <w:rFonts w:asciiTheme="majorHAnsi" w:hAnsiTheme="majorHAnsi"/>
          <w:sz w:val="20"/>
          <w:szCs w:val="20"/>
        </w:rPr>
        <w:t>оцінювання, загальним вимогам.</w:t>
      </w:r>
    </w:p>
    <w:p w14:paraId="54C537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 р и</w:t>
      </w:r>
      <w:r w:rsidRPr="000977F7">
        <w:rPr>
          <w:rFonts w:asciiTheme="majorHAnsi" w:hAnsiTheme="majorHAnsi"/>
          <w:spacing w:val="1"/>
          <w:sz w:val="20"/>
          <w:szCs w:val="20"/>
        </w:rPr>
        <w:t xml:space="preserve"> </w:t>
      </w:r>
      <w:r w:rsidRPr="000977F7">
        <w:rPr>
          <w:rFonts w:asciiTheme="majorHAnsi" w:hAnsiTheme="majorHAnsi"/>
          <w:sz w:val="20"/>
          <w:szCs w:val="20"/>
        </w:rPr>
        <w:t>м і т к а. Інспектування процесу може охоплювати перевіряння персоналу, устатковання, технології та</w:t>
      </w:r>
      <w:r w:rsidRPr="000977F7">
        <w:rPr>
          <w:rFonts w:asciiTheme="majorHAnsi" w:hAnsiTheme="majorHAnsi"/>
          <w:spacing w:val="-47"/>
          <w:sz w:val="20"/>
          <w:szCs w:val="20"/>
        </w:rPr>
        <w:t xml:space="preserve"> </w:t>
      </w:r>
      <w:r w:rsidRPr="000977F7">
        <w:rPr>
          <w:rFonts w:asciiTheme="majorHAnsi" w:hAnsiTheme="majorHAnsi"/>
          <w:sz w:val="20"/>
          <w:szCs w:val="20"/>
        </w:rPr>
        <w:t>методології</w:t>
      </w:r>
    </w:p>
    <w:p w14:paraId="2CE24E7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
          <w:sz w:val="20"/>
          <w:szCs w:val="20"/>
        </w:rPr>
        <w:t>ДСТУ</w:t>
      </w:r>
      <w:r w:rsidRPr="000977F7">
        <w:rPr>
          <w:rFonts w:asciiTheme="majorHAnsi" w:hAnsiTheme="majorHAnsi"/>
          <w:i/>
          <w:spacing w:val="-7"/>
          <w:sz w:val="20"/>
          <w:szCs w:val="20"/>
        </w:rPr>
        <w:t xml:space="preserve"> </w:t>
      </w:r>
      <w:r w:rsidRPr="000977F7">
        <w:rPr>
          <w:rFonts w:asciiTheme="majorHAnsi" w:hAnsiTheme="majorHAnsi"/>
          <w:i/>
          <w:spacing w:val="-1"/>
          <w:sz w:val="20"/>
          <w:szCs w:val="20"/>
        </w:rPr>
        <w:t>ISO/IEC</w:t>
      </w:r>
      <w:r w:rsidRPr="000977F7">
        <w:rPr>
          <w:rFonts w:asciiTheme="majorHAnsi" w:hAnsiTheme="majorHAnsi"/>
          <w:i/>
          <w:spacing w:val="-11"/>
          <w:sz w:val="20"/>
          <w:szCs w:val="20"/>
        </w:rPr>
        <w:t xml:space="preserve"> </w:t>
      </w:r>
      <w:r w:rsidRPr="000977F7">
        <w:rPr>
          <w:rFonts w:asciiTheme="majorHAnsi" w:hAnsiTheme="majorHAnsi"/>
          <w:i/>
          <w:spacing w:val="-1"/>
          <w:sz w:val="20"/>
          <w:szCs w:val="20"/>
        </w:rPr>
        <w:t>17000:2007</w:t>
      </w:r>
    </w:p>
    <w:p w14:paraId="00E980B5" w14:textId="77777777" w:rsidR="0097612F" w:rsidRPr="000977F7" w:rsidRDefault="0097612F" w:rsidP="000977F7">
      <w:pPr>
        <w:pStyle w:val="7"/>
        <w:tabs>
          <w:tab w:val="left" w:pos="284"/>
        </w:tabs>
        <w:spacing w:before="0" w:line="240" w:lineRule="auto"/>
        <w:ind w:left="170"/>
        <w:mirrorIndents/>
        <w:jc w:val="both"/>
        <w:rPr>
          <w:color w:val="auto"/>
          <w:spacing w:val="-5"/>
          <w:sz w:val="20"/>
          <w:szCs w:val="20"/>
        </w:rPr>
      </w:pPr>
      <w:r w:rsidRPr="000977F7">
        <w:rPr>
          <w:color w:val="auto"/>
          <w:sz w:val="20"/>
          <w:szCs w:val="20"/>
        </w:rPr>
        <w:t>ІНСПЕКЦІЙНА</w:t>
      </w:r>
      <w:r w:rsidRPr="000977F7">
        <w:rPr>
          <w:color w:val="auto"/>
          <w:spacing w:val="-7"/>
          <w:sz w:val="20"/>
          <w:szCs w:val="20"/>
        </w:rPr>
        <w:t xml:space="preserve"> </w:t>
      </w:r>
      <w:r w:rsidRPr="000977F7">
        <w:rPr>
          <w:color w:val="auto"/>
          <w:sz w:val="20"/>
          <w:szCs w:val="20"/>
        </w:rPr>
        <w:t>ПОВІРКА</w:t>
      </w:r>
      <w:r w:rsidRPr="000977F7">
        <w:rPr>
          <w:color w:val="auto"/>
          <w:spacing w:val="-8"/>
          <w:sz w:val="20"/>
          <w:szCs w:val="20"/>
        </w:rPr>
        <w:t xml:space="preserve"> </w:t>
      </w:r>
      <w:r w:rsidRPr="000977F7">
        <w:rPr>
          <w:color w:val="auto"/>
          <w:sz w:val="20"/>
          <w:szCs w:val="20"/>
        </w:rPr>
        <w:t>ЗАСОБІВ</w:t>
      </w:r>
      <w:r w:rsidRPr="000977F7">
        <w:rPr>
          <w:color w:val="auto"/>
          <w:spacing w:val="-5"/>
          <w:sz w:val="20"/>
          <w:szCs w:val="20"/>
        </w:rPr>
        <w:t xml:space="preserve"> </w:t>
      </w:r>
    </w:p>
    <w:p w14:paraId="18FB3FD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ВИМІРЮ</w:t>
      </w:r>
      <w:r w:rsidRPr="000977F7">
        <w:rPr>
          <w:color w:val="auto"/>
          <w:spacing w:val="-47"/>
          <w:sz w:val="20"/>
          <w:szCs w:val="20"/>
        </w:rPr>
        <w:t xml:space="preserve"> </w:t>
      </w:r>
      <w:r w:rsidRPr="000977F7">
        <w:rPr>
          <w:color w:val="auto"/>
          <w:sz w:val="20"/>
          <w:szCs w:val="20"/>
        </w:rPr>
        <w:t>ВАЛЬНОЇ</w:t>
      </w:r>
      <w:r w:rsidRPr="000977F7">
        <w:rPr>
          <w:color w:val="auto"/>
          <w:spacing w:val="-2"/>
          <w:sz w:val="20"/>
          <w:szCs w:val="20"/>
        </w:rPr>
        <w:t xml:space="preserve"> </w:t>
      </w:r>
      <w:r w:rsidRPr="000977F7">
        <w:rPr>
          <w:color w:val="auto"/>
          <w:sz w:val="20"/>
          <w:szCs w:val="20"/>
        </w:rPr>
        <w:t>ТЕХНІКИ</w:t>
      </w:r>
      <w:r w:rsidRPr="000977F7">
        <w:rPr>
          <w:color w:val="auto"/>
          <w:spacing w:val="1"/>
          <w:sz w:val="20"/>
          <w:szCs w:val="20"/>
        </w:rPr>
        <w:t xml:space="preserve"> </w:t>
      </w:r>
      <w:r w:rsidRPr="000977F7">
        <w:rPr>
          <w:color w:val="auto"/>
          <w:sz w:val="20"/>
          <w:szCs w:val="20"/>
        </w:rPr>
        <w:t>–</w:t>
      </w:r>
    </w:p>
    <w:p w14:paraId="79CC519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Повірка засобів вимірювальної техніки, яку виконують,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здійснюючи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державний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нагляд</w:t>
      </w:r>
    </w:p>
    <w:p w14:paraId="2E635F05" w14:textId="77777777" w:rsidR="0097612F" w:rsidRPr="004D2D14" w:rsidRDefault="0097612F" w:rsidP="000977F7">
      <w:pPr>
        <w:tabs>
          <w:tab w:val="left" w:pos="284"/>
        </w:tabs>
        <w:spacing w:after="0" w:line="240" w:lineRule="auto"/>
        <w:ind w:left="170"/>
        <w:mirrorIndents/>
        <w:jc w:val="both"/>
        <w:rPr>
          <w:rFonts w:asciiTheme="majorHAnsi" w:hAnsiTheme="majorHAnsi"/>
          <w:spacing w:val="1"/>
          <w:sz w:val="20"/>
          <w:szCs w:val="20"/>
          <w:lang w:val="en-US"/>
        </w:rPr>
      </w:pPr>
      <w:r w:rsidRPr="000977F7">
        <w:rPr>
          <w:rFonts w:asciiTheme="majorHAnsi" w:hAnsiTheme="majorHAnsi"/>
          <w:i/>
          <w:iCs/>
          <w:sz w:val="20"/>
          <w:szCs w:val="20"/>
        </w:rPr>
        <w:t>ДСТУ</w:t>
      </w:r>
      <w:r w:rsidRPr="004D2D14">
        <w:rPr>
          <w:rFonts w:asciiTheme="majorHAnsi" w:hAnsiTheme="majorHAnsi"/>
          <w:i/>
          <w:iCs/>
          <w:sz w:val="20"/>
          <w:szCs w:val="20"/>
          <w:lang w:val="en-US"/>
        </w:rPr>
        <w:t xml:space="preserve"> 2681 – 94</w:t>
      </w:r>
    </w:p>
    <w:p w14:paraId="35410B6C"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en-US"/>
        </w:rPr>
      </w:pPr>
      <w:r w:rsidRPr="000977F7">
        <w:rPr>
          <w:rFonts w:asciiTheme="majorHAnsi" w:hAnsiTheme="majorHAnsi"/>
          <w:b/>
          <w:sz w:val="20"/>
          <w:szCs w:val="20"/>
        </w:rPr>
        <w:t>ІНСПЕКЦІЙНИЙ</w:t>
      </w:r>
      <w:r w:rsidRPr="004D2D14">
        <w:rPr>
          <w:rFonts w:asciiTheme="majorHAnsi" w:hAnsiTheme="majorHAnsi"/>
          <w:b/>
          <w:sz w:val="20"/>
          <w:szCs w:val="20"/>
          <w:lang w:val="en-US"/>
        </w:rPr>
        <w:t xml:space="preserve"> </w:t>
      </w:r>
      <w:r w:rsidRPr="000977F7">
        <w:rPr>
          <w:rFonts w:asciiTheme="majorHAnsi" w:hAnsiTheme="majorHAnsi"/>
          <w:b/>
          <w:sz w:val="20"/>
          <w:szCs w:val="20"/>
        </w:rPr>
        <w:t>КОНТРОЛЬ</w:t>
      </w:r>
      <w:r w:rsidRPr="004D2D14">
        <w:rPr>
          <w:rFonts w:asciiTheme="majorHAnsi" w:hAnsiTheme="majorHAnsi"/>
          <w:b/>
          <w:sz w:val="20"/>
          <w:szCs w:val="20"/>
          <w:lang w:val="en-US"/>
        </w:rPr>
        <w:t xml:space="preserve"> –</w:t>
      </w:r>
      <w:r w:rsidRPr="004D2D14">
        <w:rPr>
          <w:rFonts w:asciiTheme="majorHAnsi" w:hAnsiTheme="majorHAnsi"/>
          <w:b/>
          <w:spacing w:val="-47"/>
          <w:sz w:val="20"/>
          <w:szCs w:val="20"/>
          <w:lang w:val="en-US"/>
        </w:rPr>
        <w:t xml:space="preserve"> </w:t>
      </w:r>
    </w:p>
    <w:p w14:paraId="1B600873"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INSPECTION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CHECK-UP</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4E30F1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 що здійснюється уповноваженими особами</w:t>
      </w:r>
      <w:r w:rsidRPr="000977F7">
        <w:rPr>
          <w:rFonts w:asciiTheme="majorHAnsi" w:hAnsiTheme="majorHAnsi"/>
          <w:spacing w:val="-47"/>
          <w:sz w:val="20"/>
          <w:szCs w:val="20"/>
        </w:rPr>
        <w:t xml:space="preserve"> </w:t>
      </w:r>
      <w:r w:rsidRPr="000977F7">
        <w:rPr>
          <w:rFonts w:asciiTheme="majorHAnsi" w:hAnsiTheme="majorHAnsi"/>
          <w:sz w:val="20"/>
          <w:szCs w:val="20"/>
        </w:rPr>
        <w:t>з метою перевірки ефективності контролю, що проводився</w:t>
      </w:r>
      <w:r w:rsidRPr="000977F7">
        <w:rPr>
          <w:rFonts w:asciiTheme="majorHAnsi" w:hAnsiTheme="majorHAnsi"/>
          <w:spacing w:val="-2"/>
          <w:sz w:val="20"/>
          <w:szCs w:val="20"/>
        </w:rPr>
        <w:t xml:space="preserve"> </w:t>
      </w:r>
      <w:r w:rsidRPr="000977F7">
        <w:rPr>
          <w:rFonts w:asciiTheme="majorHAnsi" w:hAnsiTheme="majorHAnsi"/>
          <w:sz w:val="20"/>
          <w:szCs w:val="20"/>
        </w:rPr>
        <w:t>раніше</w:t>
      </w:r>
    </w:p>
    <w:p w14:paraId="46BDFC3F"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1"/>
          <w:sz w:val="20"/>
          <w:szCs w:val="20"/>
        </w:rPr>
        <w:t xml:space="preserve"> </w:t>
      </w:r>
      <w:r w:rsidRPr="000977F7">
        <w:rPr>
          <w:rFonts w:asciiTheme="majorHAnsi" w:hAnsiTheme="majorHAnsi"/>
          <w:i/>
          <w:iCs/>
          <w:sz w:val="20"/>
          <w:szCs w:val="20"/>
        </w:rPr>
        <w:t>3021</w:t>
      </w:r>
      <w:r w:rsidRPr="000977F7">
        <w:rPr>
          <w:rFonts w:asciiTheme="majorHAnsi" w:hAnsiTheme="majorHAnsi"/>
          <w:i/>
          <w:iCs/>
          <w:spacing w:val="-1"/>
          <w:sz w:val="20"/>
          <w:szCs w:val="20"/>
        </w:rPr>
        <w:t xml:space="preserve"> </w:t>
      </w:r>
      <w:r w:rsidRPr="000977F7">
        <w:rPr>
          <w:rFonts w:asciiTheme="majorHAnsi" w:hAnsiTheme="majorHAnsi"/>
          <w:i/>
          <w:iCs/>
          <w:sz w:val="20"/>
          <w:szCs w:val="20"/>
        </w:rPr>
        <w:t>–</w:t>
      </w:r>
      <w:r w:rsidRPr="000977F7">
        <w:rPr>
          <w:rFonts w:asciiTheme="majorHAnsi" w:hAnsiTheme="majorHAnsi"/>
          <w:i/>
          <w:iCs/>
          <w:spacing w:val="1"/>
          <w:sz w:val="20"/>
          <w:szCs w:val="20"/>
        </w:rPr>
        <w:t xml:space="preserve"> </w:t>
      </w:r>
      <w:r w:rsidRPr="000977F7">
        <w:rPr>
          <w:rFonts w:asciiTheme="majorHAnsi" w:hAnsiTheme="majorHAnsi"/>
          <w:i/>
          <w:iCs/>
          <w:sz w:val="20"/>
          <w:szCs w:val="20"/>
        </w:rPr>
        <w:t>95</w:t>
      </w:r>
    </w:p>
    <w:p w14:paraId="0182CCFD" w14:textId="77777777" w:rsidR="0097612F" w:rsidRPr="000977F7" w:rsidRDefault="0097612F" w:rsidP="000977F7">
      <w:pPr>
        <w:pStyle w:val="af6"/>
        <w:tabs>
          <w:tab w:val="left" w:pos="284"/>
        </w:tabs>
        <w:spacing w:after="0"/>
        <w:ind w:left="170"/>
        <w:mirrorIndents/>
        <w:jc w:val="both"/>
        <w:rPr>
          <w:rFonts w:asciiTheme="majorHAnsi" w:hAnsiTheme="majorHAnsi"/>
          <w:b/>
          <w:spacing w:val="-47"/>
          <w:sz w:val="20"/>
          <w:szCs w:val="20"/>
        </w:rPr>
      </w:pPr>
      <w:r w:rsidRPr="000977F7">
        <w:rPr>
          <w:rFonts w:asciiTheme="majorHAnsi" w:hAnsiTheme="majorHAnsi"/>
          <w:b/>
          <w:sz w:val="20"/>
          <w:szCs w:val="20"/>
        </w:rPr>
        <w:t>ІНСПЕКЦІЙНІ ВИПРОБУВАННЯ –</w:t>
      </w:r>
      <w:r w:rsidRPr="000977F7">
        <w:rPr>
          <w:rFonts w:asciiTheme="majorHAnsi" w:hAnsiTheme="majorHAnsi"/>
          <w:b/>
          <w:spacing w:val="-47"/>
          <w:sz w:val="20"/>
          <w:szCs w:val="20"/>
        </w:rPr>
        <w:t xml:space="preserve"> </w:t>
      </w:r>
    </w:p>
    <w:p w14:paraId="11FEC00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INSPECTION</w:t>
      </w:r>
      <w:r w:rsidRPr="000977F7">
        <w:rPr>
          <w:rFonts w:asciiTheme="majorHAnsi" w:hAnsiTheme="majorHAnsi"/>
          <w:spacing w:val="-3"/>
          <w:sz w:val="20"/>
          <w:szCs w:val="20"/>
        </w:rPr>
        <w:t xml:space="preserve"> </w:t>
      </w:r>
      <w:r w:rsidRPr="000977F7">
        <w:rPr>
          <w:rFonts w:asciiTheme="majorHAnsi" w:hAnsiTheme="majorHAnsi"/>
          <w:sz w:val="20"/>
          <w:szCs w:val="20"/>
        </w:rPr>
        <w:t>TEST</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751AB12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Контрольні випробування установлених видів виготовлюваної продукції, що проводяться спеціально уповноваженими організаціями у вибірковому порядку з</w:t>
      </w:r>
      <w:r w:rsidRPr="000977F7">
        <w:rPr>
          <w:rFonts w:asciiTheme="majorHAnsi" w:hAnsiTheme="majorHAnsi"/>
          <w:spacing w:val="1"/>
          <w:sz w:val="20"/>
          <w:szCs w:val="20"/>
        </w:rPr>
        <w:t xml:space="preserve"> </w:t>
      </w:r>
      <w:r w:rsidRPr="000977F7">
        <w:rPr>
          <w:rFonts w:asciiTheme="majorHAnsi" w:hAnsiTheme="majorHAnsi"/>
          <w:sz w:val="20"/>
          <w:szCs w:val="20"/>
        </w:rPr>
        <w:t>метою</w:t>
      </w:r>
      <w:r w:rsidRPr="000977F7">
        <w:rPr>
          <w:rFonts w:asciiTheme="majorHAnsi" w:hAnsiTheme="majorHAnsi"/>
          <w:spacing w:val="-1"/>
          <w:sz w:val="20"/>
          <w:szCs w:val="20"/>
        </w:rPr>
        <w:t xml:space="preserve"> </w:t>
      </w:r>
      <w:r w:rsidRPr="000977F7">
        <w:rPr>
          <w:rFonts w:asciiTheme="majorHAnsi" w:hAnsiTheme="majorHAnsi"/>
          <w:sz w:val="20"/>
          <w:szCs w:val="20"/>
        </w:rPr>
        <w:t>контролю стабільності</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1C0A0E6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8D650C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ІНСПЕКЦІЯ</w:t>
      </w:r>
      <w:r w:rsidRPr="000977F7">
        <w:rPr>
          <w:color w:val="auto"/>
          <w:spacing w:val="-5"/>
          <w:sz w:val="20"/>
          <w:szCs w:val="20"/>
        </w:rPr>
        <w:t xml:space="preserve"> </w:t>
      </w:r>
      <w:r w:rsidRPr="000977F7">
        <w:rPr>
          <w:color w:val="auto"/>
          <w:sz w:val="20"/>
          <w:szCs w:val="20"/>
        </w:rPr>
        <w:t>ПРОЕКТУ-</w:t>
      </w:r>
    </w:p>
    <w:p w14:paraId="60E54B8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Інспекція включає роботи, такі як вимірювання, перевірку та тестування, здійснювані для визначення того,</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задовольняють</w:t>
      </w:r>
      <w:r w:rsidRPr="000977F7">
        <w:rPr>
          <w:rFonts w:asciiTheme="majorHAnsi" w:hAnsiTheme="majorHAnsi"/>
          <w:spacing w:val="1"/>
          <w:sz w:val="20"/>
          <w:szCs w:val="20"/>
        </w:rPr>
        <w:t xml:space="preserve"> </w:t>
      </w:r>
      <w:r w:rsidRPr="000977F7">
        <w:rPr>
          <w:rFonts w:asciiTheme="majorHAnsi" w:hAnsiTheme="majorHAnsi"/>
          <w:sz w:val="20"/>
          <w:szCs w:val="20"/>
        </w:rPr>
        <w:t>результати</w:t>
      </w:r>
      <w:r w:rsidRPr="000977F7">
        <w:rPr>
          <w:rFonts w:asciiTheme="majorHAnsi" w:hAnsiTheme="majorHAnsi"/>
          <w:spacing w:val="1"/>
          <w:sz w:val="20"/>
          <w:szCs w:val="20"/>
        </w:rPr>
        <w:t xml:space="preserve"> </w:t>
      </w:r>
      <w:r w:rsidRPr="000977F7">
        <w:rPr>
          <w:rFonts w:asciiTheme="majorHAnsi" w:hAnsiTheme="majorHAnsi"/>
          <w:sz w:val="20"/>
          <w:szCs w:val="20"/>
        </w:rPr>
        <w:t>проекту</w:t>
      </w:r>
      <w:r w:rsidRPr="000977F7">
        <w:rPr>
          <w:rFonts w:asciiTheme="majorHAnsi" w:hAnsiTheme="majorHAnsi"/>
          <w:spacing w:val="1"/>
          <w:sz w:val="20"/>
          <w:szCs w:val="20"/>
        </w:rPr>
        <w:t xml:space="preserve"> </w:t>
      </w:r>
      <w:r w:rsidRPr="000977F7">
        <w:rPr>
          <w:rFonts w:asciiTheme="majorHAnsi" w:hAnsiTheme="majorHAnsi"/>
          <w:sz w:val="20"/>
          <w:szCs w:val="20"/>
        </w:rPr>
        <w:t>вимогам,</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ставляться до нього. Інспекції в деяких прикладних</w:t>
      </w:r>
      <w:r w:rsidRPr="000977F7">
        <w:rPr>
          <w:rFonts w:asciiTheme="majorHAnsi" w:hAnsiTheme="majorHAnsi"/>
          <w:spacing w:val="1"/>
          <w:sz w:val="20"/>
          <w:szCs w:val="20"/>
        </w:rPr>
        <w:t xml:space="preserve"> </w:t>
      </w:r>
      <w:r w:rsidRPr="000977F7">
        <w:rPr>
          <w:rFonts w:asciiTheme="majorHAnsi" w:hAnsiTheme="majorHAnsi"/>
          <w:sz w:val="20"/>
          <w:szCs w:val="20"/>
        </w:rPr>
        <w:t>сферах ще називають переглядами продукту, аудитами</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критичним</w:t>
      </w:r>
      <w:r w:rsidRPr="000977F7">
        <w:rPr>
          <w:rFonts w:asciiTheme="majorHAnsi" w:hAnsiTheme="majorHAnsi"/>
          <w:spacing w:val="1"/>
          <w:sz w:val="20"/>
          <w:szCs w:val="20"/>
        </w:rPr>
        <w:t xml:space="preserve"> </w:t>
      </w:r>
      <w:r w:rsidRPr="000977F7">
        <w:rPr>
          <w:rFonts w:asciiTheme="majorHAnsi" w:hAnsiTheme="majorHAnsi"/>
          <w:sz w:val="20"/>
          <w:szCs w:val="20"/>
        </w:rPr>
        <w:t>аналізом.</w:t>
      </w:r>
    </w:p>
    <w:p w14:paraId="578ED86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w w:val="105"/>
          <w:sz w:val="20"/>
          <w:szCs w:val="20"/>
        </w:rPr>
        <w:t>Кер.проектн.</w:t>
      </w:r>
      <w:r w:rsidRPr="000977F7">
        <w:rPr>
          <w:rFonts w:asciiTheme="majorHAnsi" w:hAnsiTheme="majorHAnsi"/>
          <w:i/>
          <w:spacing w:val="-9"/>
          <w:w w:val="105"/>
          <w:sz w:val="20"/>
          <w:szCs w:val="20"/>
        </w:rPr>
        <w:t xml:space="preserve"> </w:t>
      </w:r>
      <w:r w:rsidRPr="000977F7">
        <w:rPr>
          <w:rFonts w:asciiTheme="majorHAnsi" w:hAnsiTheme="majorHAnsi"/>
          <w:i/>
          <w:w w:val="105"/>
          <w:sz w:val="20"/>
          <w:szCs w:val="20"/>
        </w:rPr>
        <w:t>менеджм.-ту</w:t>
      </w:r>
    </w:p>
    <w:p w14:paraId="1E10ABE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ІНСТРУМЕНТАЛЬНА ДОСТОВІРНІСТЬ КОН-Т</w:t>
      </w:r>
      <w:r w:rsidRPr="000977F7">
        <w:rPr>
          <w:color w:val="auto"/>
          <w:spacing w:val="-48"/>
          <w:sz w:val="20"/>
          <w:szCs w:val="20"/>
        </w:rPr>
        <w:t xml:space="preserve"> </w:t>
      </w:r>
      <w:r w:rsidRPr="000977F7">
        <w:rPr>
          <w:color w:val="auto"/>
          <w:sz w:val="20"/>
          <w:szCs w:val="20"/>
        </w:rPr>
        <w:t>РОЛЮ</w:t>
      </w:r>
      <w:r w:rsidRPr="000977F7">
        <w:rPr>
          <w:color w:val="auto"/>
          <w:spacing w:val="-1"/>
          <w:sz w:val="20"/>
          <w:szCs w:val="20"/>
        </w:rPr>
        <w:t xml:space="preserve"> </w:t>
      </w:r>
      <w:r w:rsidRPr="000977F7">
        <w:rPr>
          <w:color w:val="auto"/>
          <w:sz w:val="20"/>
          <w:szCs w:val="20"/>
        </w:rPr>
        <w:t>–</w:t>
      </w:r>
    </w:p>
    <w:p w14:paraId="009F978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Складова</w:t>
      </w:r>
      <w:r w:rsidRPr="000977F7">
        <w:rPr>
          <w:rFonts w:asciiTheme="majorHAnsi" w:hAnsiTheme="majorHAnsi"/>
          <w:spacing w:val="1"/>
          <w:sz w:val="20"/>
          <w:szCs w:val="20"/>
        </w:rPr>
        <w:t xml:space="preserve"> </w:t>
      </w:r>
      <w:r w:rsidRPr="000977F7">
        <w:rPr>
          <w:rFonts w:asciiTheme="majorHAnsi" w:hAnsiTheme="majorHAnsi"/>
          <w:sz w:val="20"/>
          <w:szCs w:val="20"/>
        </w:rPr>
        <w:t>достовірності</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визначається</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властивостями</w:t>
      </w:r>
      <w:r w:rsidRPr="000977F7">
        <w:rPr>
          <w:rFonts w:asciiTheme="majorHAnsi" w:hAnsiTheme="majorHAnsi"/>
          <w:spacing w:val="1"/>
          <w:sz w:val="20"/>
          <w:szCs w:val="20"/>
        </w:rPr>
        <w:t xml:space="preserve"> </w:t>
      </w:r>
      <w:r w:rsidRPr="000977F7">
        <w:rPr>
          <w:rFonts w:asciiTheme="majorHAnsi" w:hAnsiTheme="majorHAnsi"/>
          <w:sz w:val="20"/>
          <w:szCs w:val="20"/>
        </w:rPr>
        <w:t>імовірності</w:t>
      </w:r>
      <w:r w:rsidRPr="000977F7">
        <w:rPr>
          <w:rFonts w:asciiTheme="majorHAnsi" w:hAnsiTheme="majorHAnsi"/>
          <w:spacing w:val="1"/>
          <w:sz w:val="20"/>
          <w:szCs w:val="20"/>
        </w:rPr>
        <w:t xml:space="preserve"> </w:t>
      </w:r>
      <w:r w:rsidRPr="000977F7">
        <w:rPr>
          <w:rFonts w:asciiTheme="majorHAnsi" w:hAnsiTheme="majorHAnsi"/>
          <w:sz w:val="20"/>
          <w:szCs w:val="20"/>
        </w:rPr>
        <w:t>контурів</w:t>
      </w:r>
      <w:r w:rsidRPr="000977F7">
        <w:rPr>
          <w:rFonts w:asciiTheme="majorHAnsi" w:hAnsiTheme="majorHAnsi"/>
          <w:spacing w:val="1"/>
          <w:sz w:val="20"/>
          <w:szCs w:val="20"/>
        </w:rPr>
        <w:t xml:space="preserve"> </w:t>
      </w:r>
      <w:r w:rsidRPr="000977F7">
        <w:rPr>
          <w:rFonts w:asciiTheme="majorHAnsi" w:hAnsiTheme="majorHAnsi"/>
          <w:sz w:val="20"/>
          <w:szCs w:val="20"/>
        </w:rPr>
        <w:t>параметрів</w:t>
      </w:r>
      <w:r w:rsidRPr="000977F7">
        <w:rPr>
          <w:rFonts w:asciiTheme="majorHAnsi" w:hAnsiTheme="majorHAnsi"/>
          <w:spacing w:val="1"/>
          <w:sz w:val="20"/>
          <w:szCs w:val="20"/>
        </w:rPr>
        <w:t xml:space="preserve"> </w:t>
      </w:r>
      <w:r w:rsidRPr="000977F7">
        <w:rPr>
          <w:rFonts w:asciiTheme="majorHAnsi" w:hAnsiTheme="majorHAnsi"/>
          <w:sz w:val="20"/>
          <w:szCs w:val="20"/>
        </w:rPr>
        <w:t>сигналів, що контролюються, та видом алгоритму перевірки</w:t>
      </w:r>
      <w:r w:rsidRPr="000977F7">
        <w:rPr>
          <w:rFonts w:asciiTheme="majorHAnsi" w:hAnsiTheme="majorHAnsi"/>
          <w:spacing w:val="-2"/>
          <w:sz w:val="20"/>
          <w:szCs w:val="20"/>
        </w:rPr>
        <w:t xml:space="preserve"> </w:t>
      </w:r>
      <w:r w:rsidRPr="000977F7">
        <w:rPr>
          <w:rFonts w:asciiTheme="majorHAnsi" w:hAnsiTheme="majorHAnsi"/>
          <w:sz w:val="20"/>
          <w:szCs w:val="20"/>
        </w:rPr>
        <w:t>результату</w:t>
      </w:r>
      <w:r w:rsidRPr="000977F7">
        <w:rPr>
          <w:rFonts w:asciiTheme="majorHAnsi" w:hAnsiTheme="majorHAnsi"/>
          <w:spacing w:val="-2"/>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кожного</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p>
    <w:p w14:paraId="058420D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ІНСТРУМЕНТАЛЬНА ПОХИБКА ВИМІРЮВАННЯ -</w:t>
      </w:r>
    </w:p>
    <w:p w14:paraId="38ED48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INSTRUMENTAL</w:t>
      </w:r>
      <w:r w:rsidRPr="000977F7">
        <w:rPr>
          <w:rFonts w:asciiTheme="majorHAnsi" w:hAnsiTheme="majorHAnsi"/>
          <w:spacing w:val="-5"/>
          <w:sz w:val="20"/>
          <w:szCs w:val="20"/>
        </w:rPr>
        <w:t xml:space="preserve"> </w:t>
      </w:r>
      <w:r w:rsidRPr="000977F7">
        <w:rPr>
          <w:rFonts w:asciiTheme="majorHAnsi" w:hAnsiTheme="majorHAnsi"/>
          <w:sz w:val="20"/>
          <w:szCs w:val="20"/>
        </w:rPr>
        <w:t>ERROR –</w:t>
      </w:r>
    </w:p>
    <w:p w14:paraId="01F3EA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Складова похибки вимірювання, зумовлена властивостями</w:t>
      </w:r>
      <w:r w:rsidRPr="000977F7">
        <w:rPr>
          <w:rFonts w:asciiTheme="majorHAnsi" w:hAnsiTheme="majorHAnsi"/>
          <w:spacing w:val="-2"/>
          <w:sz w:val="20"/>
          <w:szCs w:val="20"/>
        </w:rPr>
        <w:t xml:space="preserve"> </w:t>
      </w:r>
      <w:r w:rsidRPr="000977F7">
        <w:rPr>
          <w:rFonts w:asciiTheme="majorHAnsi" w:hAnsiTheme="majorHAnsi"/>
          <w:sz w:val="20"/>
          <w:szCs w:val="20"/>
        </w:rPr>
        <w:t>засобів</w:t>
      </w:r>
      <w:r w:rsidRPr="000977F7">
        <w:rPr>
          <w:rFonts w:asciiTheme="majorHAnsi" w:hAnsiTheme="majorHAnsi"/>
          <w:spacing w:val="2"/>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1"/>
          <w:sz w:val="20"/>
          <w:szCs w:val="20"/>
        </w:rPr>
        <w:t xml:space="preserve"> </w:t>
      </w:r>
      <w:r w:rsidRPr="000977F7">
        <w:rPr>
          <w:rFonts w:asciiTheme="majorHAnsi" w:hAnsiTheme="majorHAnsi"/>
          <w:sz w:val="20"/>
          <w:szCs w:val="20"/>
        </w:rPr>
        <w:t>техніки</w:t>
      </w:r>
    </w:p>
    <w:p w14:paraId="0587E8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A00993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Інструментальна похибка складається з похибки засобів</w:t>
      </w:r>
      <w:r w:rsidRPr="000977F7">
        <w:rPr>
          <w:rFonts w:asciiTheme="majorHAnsi" w:hAnsiTheme="majorHAnsi"/>
          <w:spacing w:val="7"/>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8"/>
          <w:sz w:val="20"/>
          <w:szCs w:val="20"/>
        </w:rPr>
        <w:t xml:space="preserve"> </w:t>
      </w:r>
      <w:r w:rsidRPr="000977F7">
        <w:rPr>
          <w:rFonts w:asciiTheme="majorHAnsi" w:hAnsiTheme="majorHAnsi"/>
          <w:sz w:val="20"/>
          <w:szCs w:val="20"/>
        </w:rPr>
        <w:t>техніки</w:t>
      </w:r>
      <w:r w:rsidRPr="000977F7">
        <w:rPr>
          <w:rFonts w:asciiTheme="majorHAnsi" w:hAnsiTheme="majorHAnsi"/>
          <w:spacing w:val="6"/>
          <w:sz w:val="20"/>
          <w:szCs w:val="20"/>
        </w:rPr>
        <w:t xml:space="preserve"> </w:t>
      </w:r>
      <w:r w:rsidRPr="000977F7">
        <w:rPr>
          <w:rFonts w:asciiTheme="majorHAnsi" w:hAnsiTheme="majorHAnsi"/>
          <w:sz w:val="20"/>
          <w:szCs w:val="20"/>
        </w:rPr>
        <w:t>та</w:t>
      </w:r>
      <w:r w:rsidRPr="000977F7">
        <w:rPr>
          <w:rFonts w:asciiTheme="majorHAnsi" w:hAnsiTheme="majorHAnsi"/>
          <w:spacing w:val="7"/>
          <w:sz w:val="20"/>
          <w:szCs w:val="20"/>
        </w:rPr>
        <w:t xml:space="preserve"> </w:t>
      </w:r>
      <w:r w:rsidRPr="000977F7">
        <w:rPr>
          <w:rFonts w:asciiTheme="majorHAnsi" w:hAnsiTheme="majorHAnsi"/>
          <w:sz w:val="20"/>
          <w:szCs w:val="20"/>
        </w:rPr>
        <w:t>похибки</w:t>
      </w:r>
      <w:r w:rsidRPr="000977F7">
        <w:rPr>
          <w:rFonts w:asciiTheme="majorHAnsi" w:hAnsiTheme="majorHAnsi"/>
          <w:spacing w:val="6"/>
          <w:sz w:val="20"/>
          <w:szCs w:val="20"/>
        </w:rPr>
        <w:t xml:space="preserve"> </w:t>
      </w:r>
      <w:r w:rsidRPr="000977F7">
        <w:rPr>
          <w:rFonts w:asciiTheme="majorHAnsi" w:hAnsiTheme="majorHAnsi"/>
          <w:sz w:val="20"/>
          <w:szCs w:val="20"/>
        </w:rPr>
        <w:t>від</w:t>
      </w:r>
      <w:r w:rsidRPr="000977F7">
        <w:rPr>
          <w:rFonts w:asciiTheme="majorHAnsi" w:hAnsiTheme="majorHAnsi"/>
          <w:spacing w:val="8"/>
          <w:sz w:val="20"/>
          <w:szCs w:val="20"/>
        </w:rPr>
        <w:t xml:space="preserve"> </w:t>
      </w:r>
      <w:r w:rsidRPr="000977F7">
        <w:rPr>
          <w:rFonts w:asciiTheme="majorHAnsi" w:hAnsiTheme="majorHAnsi"/>
          <w:sz w:val="20"/>
          <w:szCs w:val="20"/>
        </w:rPr>
        <w:t>їх</w:t>
      </w:r>
      <w:r w:rsidRPr="000977F7">
        <w:rPr>
          <w:rFonts w:asciiTheme="majorHAnsi" w:hAnsiTheme="majorHAnsi"/>
          <w:spacing w:val="5"/>
          <w:sz w:val="20"/>
          <w:szCs w:val="20"/>
        </w:rPr>
        <w:t xml:space="preserve"> </w:t>
      </w:r>
      <w:r w:rsidRPr="000977F7">
        <w:rPr>
          <w:rFonts w:asciiTheme="majorHAnsi" w:hAnsiTheme="majorHAnsi"/>
          <w:sz w:val="20"/>
          <w:szCs w:val="20"/>
        </w:rPr>
        <w:t>взаємодії</w:t>
      </w:r>
      <w:r w:rsidRPr="000977F7">
        <w:rPr>
          <w:rFonts w:asciiTheme="majorHAnsi" w:hAnsiTheme="majorHAnsi"/>
          <w:spacing w:val="-48"/>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об’єктом</w:t>
      </w:r>
      <w:r w:rsidRPr="000977F7">
        <w:rPr>
          <w:rFonts w:asciiTheme="majorHAnsi" w:hAnsiTheme="majorHAnsi"/>
          <w:spacing w:val="1"/>
          <w:sz w:val="20"/>
          <w:szCs w:val="20"/>
        </w:rPr>
        <w:t xml:space="preserve"> </w:t>
      </w:r>
      <w:r w:rsidRPr="000977F7">
        <w:rPr>
          <w:rFonts w:asciiTheme="majorHAnsi" w:hAnsiTheme="majorHAnsi"/>
          <w:sz w:val="20"/>
          <w:szCs w:val="20"/>
        </w:rPr>
        <w:t>вимірювання</w:t>
      </w:r>
    </w:p>
    <w:p w14:paraId="14034CE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DAB359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ІНСТРУМЕНТАЛЬНЕ</w:t>
      </w:r>
      <w:r w:rsidRPr="000977F7">
        <w:rPr>
          <w:color w:val="auto"/>
          <w:spacing w:val="-6"/>
          <w:sz w:val="20"/>
          <w:szCs w:val="20"/>
        </w:rPr>
        <w:t xml:space="preserve"> </w:t>
      </w:r>
      <w:r w:rsidRPr="000977F7">
        <w:rPr>
          <w:color w:val="auto"/>
          <w:sz w:val="20"/>
          <w:szCs w:val="20"/>
        </w:rPr>
        <w:t>ВИРОБНИЦТВО –</w:t>
      </w:r>
    </w:p>
    <w:p w14:paraId="0C3356EB"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Виробництво</w:t>
      </w:r>
      <w:r w:rsidRPr="000977F7">
        <w:rPr>
          <w:rFonts w:asciiTheme="majorHAnsi" w:hAnsiTheme="majorHAnsi"/>
          <w:spacing w:val="-9"/>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9"/>
          <w:sz w:val="20"/>
          <w:szCs w:val="20"/>
        </w:rPr>
        <w:t xml:space="preserve"> </w:t>
      </w:r>
      <w:r w:rsidRPr="000977F7">
        <w:rPr>
          <w:rFonts w:asciiTheme="majorHAnsi" w:hAnsiTheme="majorHAnsi"/>
          <w:sz w:val="20"/>
          <w:szCs w:val="20"/>
        </w:rPr>
        <w:t>оснащення</w:t>
      </w:r>
      <w:r w:rsidRPr="000977F7">
        <w:rPr>
          <w:rFonts w:asciiTheme="majorHAnsi" w:hAnsiTheme="majorHAnsi"/>
          <w:spacing w:val="-47"/>
          <w:sz w:val="20"/>
          <w:szCs w:val="20"/>
        </w:rPr>
        <w:t xml:space="preserve"> </w:t>
      </w:r>
    </w:p>
    <w:p w14:paraId="289A3B4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FE0FE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Інструментальне</w:t>
      </w:r>
      <w:r w:rsidRPr="000977F7">
        <w:rPr>
          <w:rFonts w:asciiTheme="majorHAnsi" w:hAnsiTheme="majorHAnsi"/>
          <w:spacing w:val="18"/>
          <w:sz w:val="20"/>
          <w:szCs w:val="20"/>
        </w:rPr>
        <w:t xml:space="preserve"> </w:t>
      </w:r>
      <w:r w:rsidRPr="000977F7">
        <w:rPr>
          <w:rFonts w:asciiTheme="majorHAnsi" w:hAnsiTheme="majorHAnsi"/>
          <w:sz w:val="20"/>
          <w:szCs w:val="20"/>
        </w:rPr>
        <w:t>виробництво</w:t>
      </w:r>
      <w:r w:rsidRPr="000977F7">
        <w:rPr>
          <w:rFonts w:asciiTheme="majorHAnsi" w:hAnsiTheme="majorHAnsi"/>
          <w:spacing w:val="21"/>
          <w:sz w:val="20"/>
          <w:szCs w:val="20"/>
        </w:rPr>
        <w:t xml:space="preserve"> </w:t>
      </w:r>
      <w:r w:rsidRPr="000977F7">
        <w:rPr>
          <w:rFonts w:asciiTheme="majorHAnsi" w:hAnsiTheme="majorHAnsi"/>
          <w:sz w:val="20"/>
          <w:szCs w:val="20"/>
        </w:rPr>
        <w:t>–</w:t>
      </w:r>
      <w:r w:rsidRPr="000977F7">
        <w:rPr>
          <w:rFonts w:asciiTheme="majorHAnsi" w:hAnsiTheme="majorHAnsi"/>
          <w:spacing w:val="20"/>
          <w:sz w:val="20"/>
          <w:szCs w:val="20"/>
        </w:rPr>
        <w:t xml:space="preserve"> </w:t>
      </w:r>
      <w:r w:rsidRPr="000977F7">
        <w:rPr>
          <w:rFonts w:asciiTheme="majorHAnsi" w:hAnsiTheme="majorHAnsi"/>
          <w:sz w:val="20"/>
          <w:szCs w:val="20"/>
        </w:rPr>
        <w:t>один</w:t>
      </w:r>
      <w:r w:rsidRPr="000977F7">
        <w:rPr>
          <w:rFonts w:asciiTheme="majorHAnsi" w:hAnsiTheme="majorHAnsi"/>
          <w:spacing w:val="16"/>
          <w:sz w:val="20"/>
          <w:szCs w:val="20"/>
        </w:rPr>
        <w:t xml:space="preserve"> </w:t>
      </w:r>
      <w:r w:rsidRPr="000977F7">
        <w:rPr>
          <w:rFonts w:asciiTheme="majorHAnsi" w:hAnsiTheme="majorHAnsi"/>
          <w:sz w:val="20"/>
          <w:szCs w:val="20"/>
        </w:rPr>
        <w:t>з</w:t>
      </w:r>
      <w:r w:rsidRPr="000977F7">
        <w:rPr>
          <w:rFonts w:asciiTheme="majorHAnsi" w:hAnsiTheme="majorHAnsi"/>
          <w:spacing w:val="20"/>
          <w:sz w:val="20"/>
          <w:szCs w:val="20"/>
        </w:rPr>
        <w:t xml:space="preserve"> </w:t>
      </w:r>
      <w:r w:rsidRPr="000977F7">
        <w:rPr>
          <w:rFonts w:asciiTheme="majorHAnsi" w:hAnsiTheme="majorHAnsi"/>
          <w:sz w:val="20"/>
          <w:szCs w:val="20"/>
        </w:rPr>
        <w:t>видів</w:t>
      </w:r>
      <w:r w:rsidRPr="000977F7">
        <w:rPr>
          <w:rFonts w:asciiTheme="majorHAnsi" w:hAnsiTheme="majorHAnsi"/>
          <w:spacing w:val="20"/>
          <w:sz w:val="20"/>
          <w:szCs w:val="20"/>
        </w:rPr>
        <w:t xml:space="preserve"> </w:t>
      </w:r>
      <w:r w:rsidRPr="000977F7">
        <w:rPr>
          <w:rFonts w:asciiTheme="majorHAnsi" w:hAnsiTheme="majorHAnsi"/>
          <w:sz w:val="20"/>
          <w:szCs w:val="20"/>
        </w:rPr>
        <w:t>допоміжного виробництва</w:t>
      </w:r>
    </w:p>
    <w:p w14:paraId="3597955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2794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349A1B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ІНСТРУМЕНТАЛЬНЕ</w:t>
      </w:r>
      <w:r w:rsidRPr="000977F7">
        <w:rPr>
          <w:color w:val="auto"/>
          <w:spacing w:val="-7"/>
          <w:sz w:val="20"/>
          <w:szCs w:val="20"/>
        </w:rPr>
        <w:t xml:space="preserve"> </w:t>
      </w:r>
      <w:r w:rsidRPr="000977F7">
        <w:rPr>
          <w:color w:val="auto"/>
          <w:sz w:val="20"/>
          <w:szCs w:val="20"/>
        </w:rPr>
        <w:t>ГОСПОДАРСТВО</w:t>
      </w:r>
      <w:r w:rsidRPr="000977F7">
        <w:rPr>
          <w:color w:val="auto"/>
          <w:spacing w:val="-1"/>
          <w:sz w:val="20"/>
          <w:szCs w:val="20"/>
        </w:rPr>
        <w:t xml:space="preserve"> </w:t>
      </w:r>
      <w:r w:rsidRPr="000977F7">
        <w:rPr>
          <w:color w:val="auto"/>
          <w:sz w:val="20"/>
          <w:szCs w:val="20"/>
        </w:rPr>
        <w:t>–</w:t>
      </w:r>
    </w:p>
    <w:p w14:paraId="0ACDEB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загальнозаводських та цехових підрозділів, зайнятих виготовленням, відновленням і ремонтом інструменту та технологічного оснащення, їх обліком, зберіганням та розподілом між цехами та робочими</w:t>
      </w:r>
      <w:r w:rsidRPr="000977F7">
        <w:rPr>
          <w:rFonts w:asciiTheme="majorHAnsi" w:hAnsiTheme="majorHAnsi"/>
          <w:spacing w:val="-2"/>
          <w:sz w:val="20"/>
          <w:szCs w:val="20"/>
        </w:rPr>
        <w:t xml:space="preserve"> </w:t>
      </w:r>
      <w:r w:rsidRPr="000977F7">
        <w:rPr>
          <w:rFonts w:asciiTheme="majorHAnsi" w:hAnsiTheme="majorHAnsi"/>
          <w:sz w:val="20"/>
          <w:szCs w:val="20"/>
        </w:rPr>
        <w:t>місцями</w:t>
      </w:r>
    </w:p>
    <w:p w14:paraId="18D56CE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4EBEFB6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Залежно</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номенклатури</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масштабів</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 інструментальні підрозділи можуть бути</w:t>
      </w:r>
      <w:r w:rsidRPr="000977F7">
        <w:rPr>
          <w:rFonts w:asciiTheme="majorHAnsi" w:hAnsiTheme="majorHAnsi"/>
          <w:spacing w:val="-47"/>
          <w:sz w:val="20"/>
          <w:szCs w:val="20"/>
        </w:rPr>
        <w:t xml:space="preserve"> </w:t>
      </w:r>
      <w:r w:rsidRPr="000977F7">
        <w:rPr>
          <w:rFonts w:asciiTheme="majorHAnsi" w:hAnsiTheme="majorHAnsi"/>
          <w:sz w:val="20"/>
          <w:szCs w:val="20"/>
        </w:rPr>
        <w:t>спеціалізованими</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2"/>
          <w:sz w:val="20"/>
          <w:szCs w:val="20"/>
        </w:rPr>
        <w:t xml:space="preserve"> </w:t>
      </w:r>
      <w:r w:rsidRPr="000977F7">
        <w:rPr>
          <w:rFonts w:asciiTheme="majorHAnsi" w:hAnsiTheme="majorHAnsi"/>
          <w:sz w:val="20"/>
          <w:szCs w:val="20"/>
        </w:rPr>
        <w:t>універсальними</w:t>
      </w:r>
    </w:p>
    <w:p w14:paraId="0FC0A94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2960 – 94</w:t>
      </w:r>
    </w:p>
    <w:p w14:paraId="6D2B5F29"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ІНСТРУКЦІЯ –</w:t>
      </w:r>
      <w:r w:rsidRPr="000977F7">
        <w:rPr>
          <w:rFonts w:asciiTheme="majorHAnsi" w:hAnsiTheme="majorHAnsi"/>
          <w:b/>
          <w:spacing w:val="-47"/>
          <w:sz w:val="20"/>
          <w:szCs w:val="20"/>
        </w:rPr>
        <w:t xml:space="preserve"> </w:t>
      </w:r>
    </w:p>
    <w:p w14:paraId="33EE9B9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INSTRUCTION</w:t>
      </w:r>
      <w:r w:rsidRPr="000977F7">
        <w:rPr>
          <w:rFonts w:asciiTheme="majorHAnsi" w:hAnsiTheme="majorHAnsi"/>
          <w:spacing w:val="-11"/>
          <w:sz w:val="20"/>
          <w:szCs w:val="20"/>
        </w:rPr>
        <w:t xml:space="preserve"> </w:t>
      </w:r>
      <w:r w:rsidRPr="000977F7">
        <w:rPr>
          <w:rFonts w:asciiTheme="majorHAnsi" w:hAnsiTheme="majorHAnsi"/>
          <w:sz w:val="20"/>
          <w:szCs w:val="20"/>
        </w:rPr>
        <w:t>–</w:t>
      </w:r>
    </w:p>
    <w:p w14:paraId="63D38E5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Текстовий</w:t>
      </w:r>
      <w:r w:rsidRPr="000977F7">
        <w:rPr>
          <w:rFonts w:asciiTheme="majorHAnsi" w:hAnsiTheme="majorHAnsi"/>
          <w:spacing w:val="25"/>
          <w:sz w:val="20"/>
          <w:szCs w:val="20"/>
        </w:rPr>
        <w:t xml:space="preserve"> </w:t>
      </w:r>
      <w:r w:rsidRPr="000977F7">
        <w:rPr>
          <w:rFonts w:asciiTheme="majorHAnsi" w:hAnsiTheme="majorHAnsi"/>
          <w:sz w:val="20"/>
          <w:szCs w:val="20"/>
        </w:rPr>
        <w:t>конструкторський</w:t>
      </w:r>
      <w:r w:rsidRPr="000977F7">
        <w:rPr>
          <w:rFonts w:asciiTheme="majorHAnsi" w:hAnsiTheme="majorHAnsi"/>
          <w:spacing w:val="25"/>
          <w:sz w:val="20"/>
          <w:szCs w:val="20"/>
        </w:rPr>
        <w:t xml:space="preserve"> </w:t>
      </w:r>
      <w:r w:rsidRPr="000977F7">
        <w:rPr>
          <w:rFonts w:asciiTheme="majorHAnsi" w:hAnsiTheme="majorHAnsi"/>
          <w:sz w:val="20"/>
          <w:szCs w:val="20"/>
        </w:rPr>
        <w:t>документ,</w:t>
      </w:r>
      <w:r w:rsidRPr="000977F7">
        <w:rPr>
          <w:rFonts w:asciiTheme="majorHAnsi" w:hAnsiTheme="majorHAnsi"/>
          <w:spacing w:val="30"/>
          <w:sz w:val="20"/>
          <w:szCs w:val="20"/>
        </w:rPr>
        <w:t xml:space="preserve"> </w:t>
      </w:r>
      <w:r w:rsidRPr="000977F7">
        <w:rPr>
          <w:rFonts w:asciiTheme="majorHAnsi" w:hAnsiTheme="majorHAnsi"/>
          <w:sz w:val="20"/>
          <w:szCs w:val="20"/>
        </w:rPr>
        <w:t>який</w:t>
      </w:r>
      <w:r w:rsidRPr="000977F7">
        <w:rPr>
          <w:rFonts w:asciiTheme="majorHAnsi" w:hAnsiTheme="majorHAnsi"/>
          <w:spacing w:val="25"/>
          <w:sz w:val="20"/>
          <w:szCs w:val="20"/>
        </w:rPr>
        <w:t xml:space="preserve"> </w:t>
      </w:r>
      <w:r w:rsidRPr="000977F7">
        <w:rPr>
          <w:rFonts w:asciiTheme="majorHAnsi" w:hAnsiTheme="majorHAnsi"/>
          <w:sz w:val="20"/>
          <w:szCs w:val="20"/>
        </w:rPr>
        <w:t>містить</w:t>
      </w:r>
      <w:r w:rsidRPr="000977F7">
        <w:rPr>
          <w:rFonts w:asciiTheme="majorHAnsi" w:hAnsiTheme="majorHAnsi"/>
          <w:spacing w:val="-47"/>
          <w:sz w:val="20"/>
          <w:szCs w:val="20"/>
        </w:rPr>
        <w:t xml:space="preserve"> </w:t>
      </w:r>
      <w:r w:rsidRPr="000977F7">
        <w:rPr>
          <w:rFonts w:asciiTheme="majorHAnsi" w:hAnsiTheme="majorHAnsi"/>
          <w:sz w:val="20"/>
          <w:szCs w:val="20"/>
        </w:rPr>
        <w:t>вказівки</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правила</w:t>
      </w:r>
      <w:r w:rsidRPr="000977F7">
        <w:rPr>
          <w:rFonts w:asciiTheme="majorHAnsi" w:hAnsiTheme="majorHAnsi"/>
          <w:spacing w:val="-1"/>
          <w:sz w:val="20"/>
          <w:szCs w:val="20"/>
        </w:rPr>
        <w:t xml:space="preserve"> </w:t>
      </w:r>
      <w:r w:rsidRPr="000977F7">
        <w:rPr>
          <w:rFonts w:asciiTheme="majorHAnsi" w:hAnsiTheme="majorHAnsi"/>
          <w:sz w:val="20"/>
          <w:szCs w:val="20"/>
        </w:rPr>
        <w:t>щодо виготовлення</w:t>
      </w:r>
      <w:r w:rsidRPr="000977F7">
        <w:rPr>
          <w:rFonts w:asciiTheme="majorHAnsi" w:hAnsiTheme="majorHAnsi"/>
          <w:spacing w:val="-2"/>
          <w:sz w:val="20"/>
          <w:szCs w:val="20"/>
        </w:rPr>
        <w:t xml:space="preserve"> </w:t>
      </w:r>
      <w:r w:rsidRPr="000977F7">
        <w:rPr>
          <w:rFonts w:asciiTheme="majorHAnsi" w:hAnsiTheme="majorHAnsi"/>
          <w:sz w:val="20"/>
          <w:szCs w:val="20"/>
        </w:rPr>
        <w:t>виробу</w:t>
      </w:r>
    </w:p>
    <w:p w14:paraId="4608E9C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5EFCBA3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ІНСТРУКЦІЯ</w:t>
      </w:r>
      <w:r w:rsidRPr="000977F7">
        <w:rPr>
          <w:color w:val="auto"/>
          <w:spacing w:val="-4"/>
          <w:sz w:val="20"/>
          <w:szCs w:val="20"/>
        </w:rPr>
        <w:t xml:space="preserve"> </w:t>
      </w:r>
      <w:r w:rsidRPr="000977F7">
        <w:rPr>
          <w:color w:val="auto"/>
          <w:sz w:val="20"/>
          <w:szCs w:val="20"/>
        </w:rPr>
        <w:t>З</w:t>
      </w:r>
      <w:r w:rsidRPr="000977F7">
        <w:rPr>
          <w:color w:val="auto"/>
          <w:spacing w:val="-4"/>
          <w:sz w:val="20"/>
          <w:szCs w:val="20"/>
        </w:rPr>
        <w:t xml:space="preserve"> </w:t>
      </w:r>
      <w:r w:rsidRPr="000977F7">
        <w:rPr>
          <w:color w:val="auto"/>
          <w:sz w:val="20"/>
          <w:szCs w:val="20"/>
        </w:rPr>
        <w:t>ЕКСПЛУАТАЦІЇ</w:t>
      </w:r>
      <w:r w:rsidRPr="000977F7">
        <w:rPr>
          <w:color w:val="auto"/>
          <w:spacing w:val="-3"/>
          <w:sz w:val="20"/>
          <w:szCs w:val="20"/>
        </w:rPr>
        <w:t xml:space="preserve"> </w:t>
      </w:r>
      <w:r w:rsidRPr="000977F7">
        <w:rPr>
          <w:color w:val="auto"/>
          <w:sz w:val="20"/>
          <w:szCs w:val="20"/>
        </w:rPr>
        <w:t>–</w:t>
      </w:r>
    </w:p>
    <w:p w14:paraId="20811B7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Експлуатаційний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містить</w:t>
      </w:r>
      <w:r w:rsidRPr="000977F7">
        <w:rPr>
          <w:rFonts w:asciiTheme="majorHAnsi" w:hAnsiTheme="majorHAnsi"/>
          <w:spacing w:val="1"/>
          <w:sz w:val="20"/>
          <w:szCs w:val="20"/>
        </w:rPr>
        <w:t xml:space="preserve"> </w:t>
      </w:r>
      <w:r w:rsidRPr="000977F7">
        <w:rPr>
          <w:rFonts w:asciiTheme="majorHAnsi" w:hAnsiTheme="majorHAnsi"/>
          <w:sz w:val="20"/>
          <w:szCs w:val="20"/>
        </w:rPr>
        <w:t>правила</w:t>
      </w:r>
      <w:r w:rsidRPr="000977F7">
        <w:rPr>
          <w:rFonts w:asciiTheme="majorHAnsi" w:hAnsiTheme="majorHAnsi"/>
          <w:spacing w:val="1"/>
          <w:sz w:val="20"/>
          <w:szCs w:val="20"/>
        </w:rPr>
        <w:t xml:space="preserve"> </w:t>
      </w:r>
      <w:r w:rsidRPr="000977F7">
        <w:rPr>
          <w:rFonts w:asciiTheme="majorHAnsi" w:hAnsiTheme="majorHAnsi"/>
          <w:sz w:val="20"/>
          <w:szCs w:val="20"/>
        </w:rPr>
        <w:t>поводження з виробом під час його зберігання, транспортування,</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підтримання</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постійній</w:t>
      </w:r>
      <w:r w:rsidRPr="000977F7">
        <w:rPr>
          <w:rFonts w:asciiTheme="majorHAnsi" w:hAnsiTheme="majorHAnsi"/>
          <w:spacing w:val="1"/>
          <w:sz w:val="20"/>
          <w:szCs w:val="20"/>
        </w:rPr>
        <w:t xml:space="preserve"> </w:t>
      </w:r>
      <w:r w:rsidRPr="000977F7">
        <w:rPr>
          <w:rFonts w:asciiTheme="majorHAnsi" w:hAnsiTheme="majorHAnsi"/>
          <w:sz w:val="20"/>
          <w:szCs w:val="20"/>
        </w:rPr>
        <w:t>готовності</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50"/>
          <w:sz w:val="20"/>
          <w:szCs w:val="20"/>
        </w:rPr>
        <w:t xml:space="preserve"> </w:t>
      </w:r>
      <w:r w:rsidRPr="000977F7">
        <w:rPr>
          <w:rFonts w:asciiTheme="majorHAnsi" w:hAnsiTheme="majorHAnsi"/>
          <w:sz w:val="20"/>
          <w:szCs w:val="20"/>
        </w:rPr>
        <w:t>використання</w:t>
      </w:r>
    </w:p>
    <w:p w14:paraId="14084AC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1D2968E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ІНСТРУКЦІЯ З МОНТАЖУ, ПУСКУ, </w:t>
      </w:r>
    </w:p>
    <w:p w14:paraId="58A9E04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РЕГУЛЮВАННЯ ТА ОБКАТУВАННЯ ВИРОБУ (НА МІС</w:t>
      </w:r>
      <w:r w:rsidRPr="000977F7">
        <w:rPr>
          <w:color w:val="auto"/>
          <w:spacing w:val="-47"/>
          <w:sz w:val="20"/>
          <w:szCs w:val="20"/>
        </w:rPr>
        <w:t xml:space="preserve"> </w:t>
      </w:r>
      <w:r w:rsidRPr="000977F7">
        <w:rPr>
          <w:color w:val="auto"/>
          <w:sz w:val="20"/>
          <w:szCs w:val="20"/>
        </w:rPr>
        <w:t>ЦІ</w:t>
      </w:r>
      <w:r w:rsidRPr="000977F7">
        <w:rPr>
          <w:color w:val="auto"/>
          <w:spacing w:val="-2"/>
          <w:sz w:val="20"/>
          <w:szCs w:val="20"/>
        </w:rPr>
        <w:t xml:space="preserve"> </w:t>
      </w:r>
      <w:r w:rsidRPr="000977F7">
        <w:rPr>
          <w:color w:val="auto"/>
          <w:sz w:val="20"/>
          <w:szCs w:val="20"/>
        </w:rPr>
        <w:t>ЙОГО</w:t>
      </w:r>
      <w:r w:rsidRPr="000977F7">
        <w:rPr>
          <w:color w:val="auto"/>
          <w:spacing w:val="1"/>
          <w:sz w:val="20"/>
          <w:szCs w:val="20"/>
        </w:rPr>
        <w:t xml:space="preserve"> </w:t>
      </w:r>
      <w:r w:rsidRPr="000977F7">
        <w:rPr>
          <w:color w:val="auto"/>
          <w:sz w:val="20"/>
          <w:szCs w:val="20"/>
        </w:rPr>
        <w:t>ЕКСПЛУАТАЦІЇ)</w:t>
      </w:r>
      <w:r w:rsidRPr="000977F7">
        <w:rPr>
          <w:color w:val="auto"/>
          <w:spacing w:val="2"/>
          <w:sz w:val="20"/>
          <w:szCs w:val="20"/>
        </w:rPr>
        <w:t xml:space="preserve"> </w:t>
      </w:r>
      <w:r w:rsidRPr="000977F7">
        <w:rPr>
          <w:color w:val="auto"/>
          <w:sz w:val="20"/>
          <w:szCs w:val="20"/>
        </w:rPr>
        <w:t>–</w:t>
      </w:r>
    </w:p>
    <w:p w14:paraId="080EAB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Експлуатаційний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містить</w:t>
      </w:r>
      <w:r w:rsidRPr="000977F7">
        <w:rPr>
          <w:rFonts w:asciiTheme="majorHAnsi" w:hAnsiTheme="majorHAnsi"/>
          <w:spacing w:val="1"/>
          <w:sz w:val="20"/>
          <w:szCs w:val="20"/>
        </w:rPr>
        <w:t xml:space="preserve"> </w:t>
      </w:r>
      <w:r w:rsidRPr="000977F7">
        <w:rPr>
          <w:rFonts w:asciiTheme="majorHAnsi" w:hAnsiTheme="majorHAnsi"/>
          <w:sz w:val="20"/>
          <w:szCs w:val="20"/>
        </w:rPr>
        <w:t>правила,</w:t>
      </w:r>
      <w:r w:rsidRPr="000977F7">
        <w:rPr>
          <w:rFonts w:asciiTheme="majorHAnsi" w:hAnsiTheme="majorHAnsi"/>
          <w:spacing w:val="1"/>
          <w:sz w:val="20"/>
          <w:szCs w:val="20"/>
        </w:rPr>
        <w:t xml:space="preserve"> </w:t>
      </w:r>
      <w:r w:rsidRPr="000977F7">
        <w:rPr>
          <w:rFonts w:asciiTheme="majorHAnsi" w:hAnsiTheme="majorHAnsi"/>
          <w:sz w:val="20"/>
          <w:szCs w:val="20"/>
        </w:rPr>
        <w:t>порядок підготовлення і виконання монтажу, налагодження, пуску, регулювання, обкатування та здавання</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2"/>
          <w:sz w:val="20"/>
          <w:szCs w:val="20"/>
        </w:rPr>
        <w:t xml:space="preserve"> </w:t>
      </w:r>
      <w:r w:rsidRPr="000977F7">
        <w:rPr>
          <w:rFonts w:asciiTheme="majorHAnsi" w:hAnsiTheme="majorHAnsi"/>
          <w:sz w:val="20"/>
          <w:szCs w:val="20"/>
        </w:rPr>
        <w:t>на місці</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експлуатації</w:t>
      </w:r>
    </w:p>
    <w:p w14:paraId="35E5DD7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xml:space="preserve">– </w:t>
      </w:r>
      <w:r w:rsidRPr="000977F7">
        <w:rPr>
          <w:rFonts w:asciiTheme="majorHAnsi" w:hAnsiTheme="majorHAnsi"/>
          <w:sz w:val="20"/>
          <w:szCs w:val="20"/>
        </w:rPr>
        <w:t>2003</w:t>
      </w:r>
    </w:p>
    <w:p w14:paraId="4E6EE810" w14:textId="77777777" w:rsidR="0097612F" w:rsidRPr="000977F7" w:rsidRDefault="0097612F" w:rsidP="000977F7">
      <w:pPr>
        <w:pStyle w:val="7"/>
        <w:tabs>
          <w:tab w:val="left" w:pos="284"/>
        </w:tabs>
        <w:spacing w:before="0" w:line="240" w:lineRule="auto"/>
        <w:ind w:left="170"/>
        <w:mirrorIndents/>
        <w:jc w:val="both"/>
        <w:rPr>
          <w:color w:val="auto"/>
          <w:spacing w:val="21"/>
          <w:sz w:val="20"/>
          <w:szCs w:val="20"/>
        </w:rPr>
      </w:pPr>
      <w:r w:rsidRPr="000977F7">
        <w:rPr>
          <w:color w:val="auto"/>
          <w:sz w:val="20"/>
          <w:szCs w:val="20"/>
        </w:rPr>
        <w:t>ІНСТРУКЦІЯ</w:t>
      </w:r>
      <w:r w:rsidRPr="000977F7">
        <w:rPr>
          <w:color w:val="auto"/>
          <w:spacing w:val="20"/>
          <w:sz w:val="20"/>
          <w:szCs w:val="20"/>
        </w:rPr>
        <w:t xml:space="preserve"> </w:t>
      </w:r>
      <w:r w:rsidRPr="000977F7">
        <w:rPr>
          <w:color w:val="auto"/>
          <w:sz w:val="20"/>
          <w:szCs w:val="20"/>
        </w:rPr>
        <w:t>З</w:t>
      </w:r>
      <w:r w:rsidRPr="000977F7">
        <w:rPr>
          <w:color w:val="auto"/>
          <w:spacing w:val="22"/>
          <w:sz w:val="20"/>
          <w:szCs w:val="20"/>
        </w:rPr>
        <w:t xml:space="preserve"> </w:t>
      </w:r>
      <w:r w:rsidRPr="000977F7">
        <w:rPr>
          <w:color w:val="auto"/>
          <w:sz w:val="20"/>
          <w:szCs w:val="20"/>
        </w:rPr>
        <w:t>ТЕХНІЧНОГО</w:t>
      </w:r>
      <w:r w:rsidRPr="000977F7">
        <w:rPr>
          <w:color w:val="auto"/>
          <w:spacing w:val="21"/>
          <w:sz w:val="20"/>
          <w:szCs w:val="20"/>
        </w:rPr>
        <w:t xml:space="preserve"> </w:t>
      </w:r>
    </w:p>
    <w:p w14:paraId="0FC99D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ОБСЛУГОВУ</w:t>
      </w:r>
      <w:r w:rsidRPr="000977F7">
        <w:rPr>
          <w:color w:val="auto"/>
          <w:spacing w:val="-47"/>
          <w:sz w:val="20"/>
          <w:szCs w:val="20"/>
        </w:rPr>
        <w:t xml:space="preserve"> </w:t>
      </w:r>
      <w:r w:rsidRPr="000977F7">
        <w:rPr>
          <w:color w:val="auto"/>
          <w:sz w:val="20"/>
          <w:szCs w:val="20"/>
        </w:rPr>
        <w:t>ВАННЯ –</w:t>
      </w:r>
    </w:p>
    <w:p w14:paraId="44BE7C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Експлуатаційний документ, який містить єдині правила технічного обслуговування виробу і його складових</w:t>
      </w:r>
      <w:r w:rsidRPr="000977F7">
        <w:rPr>
          <w:rFonts w:asciiTheme="majorHAnsi" w:hAnsiTheme="majorHAnsi"/>
          <w:spacing w:val="-2"/>
          <w:sz w:val="20"/>
          <w:szCs w:val="20"/>
        </w:rPr>
        <w:t xml:space="preserve"> </w:t>
      </w:r>
      <w:r w:rsidRPr="000977F7">
        <w:rPr>
          <w:rFonts w:asciiTheme="majorHAnsi" w:hAnsiTheme="majorHAnsi"/>
          <w:sz w:val="20"/>
          <w:szCs w:val="20"/>
        </w:rPr>
        <w:t>частин</w:t>
      </w:r>
    </w:p>
    <w:p w14:paraId="5AC69D69"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3321</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2003</w:t>
      </w:r>
      <w:r w:rsidRPr="004D2D14">
        <w:rPr>
          <w:rFonts w:asciiTheme="majorHAnsi" w:hAnsiTheme="majorHAnsi"/>
          <w:i/>
          <w:spacing w:val="1"/>
          <w:sz w:val="20"/>
          <w:szCs w:val="20"/>
          <w:lang w:val="en-US"/>
        </w:rPr>
        <w:t xml:space="preserve"> </w:t>
      </w:r>
    </w:p>
    <w:p w14:paraId="1091B64A"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ІНТЕГРАЛЬНЕ</w:t>
      </w:r>
      <w:r w:rsidRPr="004D2D14">
        <w:rPr>
          <w:rFonts w:asciiTheme="majorHAnsi" w:hAnsiTheme="majorHAnsi"/>
          <w:b/>
          <w:sz w:val="20"/>
          <w:szCs w:val="20"/>
          <w:lang w:val="en-US"/>
        </w:rPr>
        <w:t xml:space="preserve"> </w:t>
      </w:r>
      <w:r w:rsidRPr="000977F7">
        <w:rPr>
          <w:rFonts w:asciiTheme="majorHAnsi" w:hAnsiTheme="majorHAnsi"/>
          <w:b/>
          <w:sz w:val="20"/>
          <w:szCs w:val="20"/>
        </w:rPr>
        <w:t>ДІЯННЯ</w:t>
      </w:r>
      <w:r w:rsidRPr="004D2D14">
        <w:rPr>
          <w:rFonts w:asciiTheme="majorHAnsi" w:hAnsiTheme="majorHAnsi"/>
          <w:b/>
          <w:sz w:val="20"/>
          <w:szCs w:val="20"/>
          <w:lang w:val="en-US"/>
        </w:rPr>
        <w:t xml:space="preserve"> –</w:t>
      </w:r>
    </w:p>
    <w:p w14:paraId="410AF300"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INTEGRAL ACTION -</w:t>
      </w:r>
    </w:p>
    <w:p w14:paraId="48A3A595" w14:textId="27429919" w:rsidR="0097612F" w:rsidRPr="00297070" w:rsidRDefault="0097612F" w:rsidP="000F35DA">
      <w:pPr>
        <w:pStyle w:val="af6"/>
        <w:tabs>
          <w:tab w:val="left" w:pos="284"/>
        </w:tabs>
        <w:spacing w:after="0"/>
        <w:ind w:left="170"/>
        <w:mirrorIndents/>
        <w:jc w:val="both"/>
        <w:rPr>
          <w:rFonts w:asciiTheme="majorHAnsi" w:hAnsiTheme="majorHAnsi"/>
          <w:i/>
          <w:sz w:val="20"/>
          <w:szCs w:val="20"/>
          <w:lang w:val="uk-UA"/>
        </w:rPr>
      </w:pPr>
      <w:r w:rsidRPr="000977F7">
        <w:rPr>
          <w:rFonts w:asciiTheme="majorHAnsi" w:hAnsiTheme="majorHAnsi"/>
          <w:sz w:val="20"/>
          <w:szCs w:val="20"/>
        </w:rPr>
        <w:t>Діяння, основним параметром якого є інтеграл у часі</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2"/>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дієвої</w:t>
      </w:r>
      <w:r w:rsidRPr="000977F7">
        <w:rPr>
          <w:rFonts w:asciiTheme="majorHAnsi" w:hAnsiTheme="majorHAnsi"/>
          <w:spacing w:val="-1"/>
          <w:sz w:val="20"/>
          <w:szCs w:val="20"/>
        </w:rPr>
        <w:t xml:space="preserve"> </w:t>
      </w:r>
      <w:r w:rsidRPr="000977F7">
        <w:rPr>
          <w:rFonts w:asciiTheme="majorHAnsi" w:hAnsiTheme="majorHAnsi"/>
          <w:sz w:val="20"/>
          <w:szCs w:val="20"/>
        </w:rPr>
        <w:t>величини</w:t>
      </w:r>
      <w:r w:rsidR="000F35DA">
        <w:rPr>
          <w:rFonts w:asciiTheme="majorHAnsi" w:hAnsiTheme="majorHAnsi"/>
          <w:sz w:val="20"/>
          <w:szCs w:val="20"/>
          <w:lang w:val="uk-UA"/>
        </w:rPr>
        <w:t xml:space="preserve">. </w:t>
      </w:r>
      <w:r w:rsidRPr="00297070">
        <w:rPr>
          <w:rFonts w:asciiTheme="majorHAnsi" w:hAnsiTheme="majorHAnsi"/>
          <w:i/>
          <w:sz w:val="20"/>
          <w:szCs w:val="20"/>
          <w:lang w:val="uk-UA"/>
        </w:rPr>
        <w:t>ДСТУ</w:t>
      </w:r>
      <w:r w:rsidRPr="00297070">
        <w:rPr>
          <w:rFonts w:asciiTheme="majorHAnsi" w:hAnsiTheme="majorHAnsi"/>
          <w:i/>
          <w:spacing w:val="-2"/>
          <w:sz w:val="20"/>
          <w:szCs w:val="20"/>
          <w:lang w:val="uk-UA"/>
        </w:rPr>
        <w:t xml:space="preserve"> </w:t>
      </w:r>
      <w:r w:rsidRPr="00297070">
        <w:rPr>
          <w:rFonts w:asciiTheme="majorHAnsi" w:hAnsiTheme="majorHAnsi"/>
          <w:i/>
          <w:sz w:val="20"/>
          <w:szCs w:val="20"/>
          <w:lang w:val="uk-UA"/>
        </w:rPr>
        <w:t>3956 - 2000</w:t>
      </w:r>
    </w:p>
    <w:p w14:paraId="4914223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ІНТЕГРАЛЬНИЙ ПОКАЗНИК ЯКОСТІ </w:t>
      </w:r>
    </w:p>
    <w:p w14:paraId="24707C3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ПРОДУ</w:t>
      </w:r>
      <w:r w:rsidRPr="000977F7">
        <w:rPr>
          <w:color w:val="auto"/>
          <w:spacing w:val="-48"/>
          <w:sz w:val="20"/>
          <w:szCs w:val="20"/>
        </w:rPr>
        <w:t xml:space="preserve"> </w:t>
      </w:r>
      <w:r w:rsidRPr="000977F7">
        <w:rPr>
          <w:color w:val="auto"/>
          <w:sz w:val="20"/>
          <w:szCs w:val="20"/>
        </w:rPr>
        <w:t>КЦІЇ</w:t>
      </w:r>
      <w:r w:rsidRPr="000977F7">
        <w:rPr>
          <w:color w:val="auto"/>
          <w:spacing w:val="-2"/>
          <w:sz w:val="20"/>
          <w:szCs w:val="20"/>
        </w:rPr>
        <w:t xml:space="preserve"> </w:t>
      </w:r>
      <w:r w:rsidRPr="000977F7">
        <w:rPr>
          <w:color w:val="auto"/>
          <w:sz w:val="20"/>
          <w:szCs w:val="20"/>
        </w:rPr>
        <w:t>-</w:t>
      </w:r>
    </w:p>
    <w:p w14:paraId="0A59BEE5"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Показник</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якості</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14"/>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3"/>
          <w:sz w:val="20"/>
          <w:szCs w:val="20"/>
          <w:lang w:val="uk-UA"/>
        </w:rPr>
        <w:t xml:space="preserve"> </w:t>
      </w:r>
      <w:r w:rsidRPr="004D2D14">
        <w:rPr>
          <w:rFonts w:asciiTheme="majorHAnsi" w:hAnsiTheme="majorHAnsi"/>
          <w:sz w:val="20"/>
          <w:szCs w:val="20"/>
          <w:lang w:val="uk-UA"/>
        </w:rPr>
        <w:t>визначається</w:t>
      </w:r>
      <w:r w:rsidRPr="004D2D14">
        <w:rPr>
          <w:rFonts w:asciiTheme="majorHAnsi" w:hAnsiTheme="majorHAnsi"/>
          <w:spacing w:val="13"/>
          <w:sz w:val="20"/>
          <w:szCs w:val="20"/>
          <w:lang w:val="uk-UA"/>
        </w:rPr>
        <w:t xml:space="preserve"> </w:t>
      </w:r>
      <w:r w:rsidRPr="004D2D14">
        <w:rPr>
          <w:rFonts w:asciiTheme="majorHAnsi" w:hAnsiTheme="majorHAnsi"/>
          <w:sz w:val="20"/>
          <w:szCs w:val="20"/>
          <w:lang w:val="uk-UA"/>
        </w:rPr>
        <w:t>відношенням</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сумарного</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корисного</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ефекту</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від</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експлуатації</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37"/>
          <w:sz w:val="20"/>
          <w:szCs w:val="20"/>
          <w:lang w:val="uk-UA"/>
        </w:rPr>
        <w:t xml:space="preserve"> </w:t>
      </w:r>
      <w:r w:rsidRPr="004D2D14">
        <w:rPr>
          <w:rFonts w:asciiTheme="majorHAnsi" w:hAnsiTheme="majorHAnsi"/>
          <w:sz w:val="20"/>
          <w:szCs w:val="20"/>
          <w:lang w:val="uk-UA"/>
        </w:rPr>
        <w:t>споживання</w:t>
      </w:r>
      <w:r w:rsidRPr="004D2D14">
        <w:rPr>
          <w:rFonts w:asciiTheme="majorHAnsi" w:hAnsiTheme="majorHAnsi"/>
          <w:spacing w:val="40"/>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42"/>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38"/>
          <w:sz w:val="20"/>
          <w:szCs w:val="20"/>
          <w:lang w:val="uk-UA"/>
        </w:rPr>
        <w:t xml:space="preserve"> </w:t>
      </w:r>
      <w:r w:rsidRPr="004D2D14">
        <w:rPr>
          <w:rFonts w:asciiTheme="majorHAnsi" w:hAnsiTheme="majorHAnsi"/>
          <w:sz w:val="20"/>
          <w:szCs w:val="20"/>
          <w:lang w:val="uk-UA"/>
        </w:rPr>
        <w:t>сумарних</w:t>
      </w:r>
      <w:r w:rsidRPr="004D2D14">
        <w:rPr>
          <w:rFonts w:asciiTheme="majorHAnsi" w:hAnsiTheme="majorHAnsi"/>
          <w:spacing w:val="39"/>
          <w:sz w:val="20"/>
          <w:szCs w:val="20"/>
          <w:lang w:val="uk-UA"/>
        </w:rPr>
        <w:t xml:space="preserve"> </w:t>
      </w:r>
      <w:r w:rsidRPr="004D2D14">
        <w:rPr>
          <w:rFonts w:asciiTheme="majorHAnsi" w:hAnsiTheme="majorHAnsi"/>
          <w:sz w:val="20"/>
          <w:szCs w:val="20"/>
          <w:lang w:val="uk-UA"/>
        </w:rPr>
        <w:t>витрат</w:t>
      </w:r>
      <w:r w:rsidRPr="004D2D14">
        <w:rPr>
          <w:rFonts w:asciiTheme="majorHAnsi" w:hAnsiTheme="majorHAnsi"/>
          <w:spacing w:val="39"/>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38"/>
          <w:sz w:val="20"/>
          <w:szCs w:val="20"/>
          <w:lang w:val="uk-UA"/>
        </w:rPr>
        <w:t xml:space="preserve"> </w:t>
      </w:r>
      <w:r w:rsidRPr="004D2D14">
        <w:rPr>
          <w:rFonts w:asciiTheme="majorHAnsi" w:hAnsiTheme="majorHAnsi"/>
          <w:sz w:val="20"/>
          <w:szCs w:val="20"/>
          <w:lang w:val="uk-UA"/>
        </w:rPr>
        <w:t>її</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створення та експлуатацію або споживання</w:t>
      </w:r>
      <w:r w:rsidRPr="004D2D14">
        <w:rPr>
          <w:rFonts w:asciiTheme="majorHAnsi" w:hAnsiTheme="majorHAnsi"/>
          <w:spacing w:val="1"/>
          <w:sz w:val="20"/>
          <w:szCs w:val="20"/>
          <w:lang w:val="uk-UA"/>
        </w:rPr>
        <w:t xml:space="preserve"> </w:t>
      </w:r>
    </w:p>
    <w:p w14:paraId="2FFD0F2A"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uk-UA"/>
        </w:rPr>
      </w:pPr>
      <w:r w:rsidRPr="004D2D14">
        <w:rPr>
          <w:rFonts w:asciiTheme="majorHAnsi" w:hAnsiTheme="majorHAnsi"/>
          <w:b/>
          <w:sz w:val="20"/>
          <w:szCs w:val="20"/>
          <w:lang w:val="uk-UA"/>
        </w:rPr>
        <w:t>ІНТЕГРОВАНА</w:t>
      </w:r>
      <w:r w:rsidRPr="004D2D14">
        <w:rPr>
          <w:rFonts w:asciiTheme="majorHAnsi" w:hAnsiTheme="majorHAnsi"/>
          <w:b/>
          <w:spacing w:val="-1"/>
          <w:sz w:val="20"/>
          <w:szCs w:val="20"/>
          <w:lang w:val="uk-UA"/>
        </w:rPr>
        <w:t xml:space="preserve"> </w:t>
      </w:r>
      <w:r w:rsidRPr="004D2D14">
        <w:rPr>
          <w:rFonts w:asciiTheme="majorHAnsi" w:hAnsiTheme="majorHAnsi"/>
          <w:b/>
          <w:sz w:val="20"/>
          <w:szCs w:val="20"/>
          <w:lang w:val="uk-UA"/>
        </w:rPr>
        <w:t>АВТОМАТИЗОВАНА</w:t>
      </w:r>
    </w:p>
    <w:p w14:paraId="1A3B8C0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СИСТЕМА</w:t>
      </w:r>
      <w:r w:rsidRPr="000977F7">
        <w:rPr>
          <w:color w:val="auto"/>
          <w:spacing w:val="-2"/>
          <w:sz w:val="20"/>
          <w:szCs w:val="20"/>
        </w:rPr>
        <w:t xml:space="preserve"> </w:t>
      </w:r>
      <w:r w:rsidRPr="000977F7">
        <w:rPr>
          <w:color w:val="auto"/>
          <w:sz w:val="20"/>
          <w:szCs w:val="20"/>
        </w:rPr>
        <w:t>(ІАС) –</w:t>
      </w:r>
    </w:p>
    <w:p w14:paraId="7977FD9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Сукупність двох і більше взаємопов’язаних автоматизованих</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систем,</w:t>
      </w:r>
      <w:r w:rsidRPr="004D2D14">
        <w:rPr>
          <w:rFonts w:asciiTheme="majorHAnsi" w:hAnsiTheme="majorHAnsi"/>
          <w:spacing w:val="14"/>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якій</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функціювання</w:t>
      </w:r>
      <w:r w:rsidRPr="004D2D14">
        <w:rPr>
          <w:rFonts w:asciiTheme="majorHAnsi" w:hAnsiTheme="majorHAnsi"/>
          <w:spacing w:val="15"/>
          <w:sz w:val="20"/>
          <w:szCs w:val="20"/>
          <w:lang w:val="uk-UA"/>
        </w:rPr>
        <w:t xml:space="preserve"> </w:t>
      </w:r>
      <w:r w:rsidRPr="004D2D14">
        <w:rPr>
          <w:rFonts w:asciiTheme="majorHAnsi" w:hAnsiTheme="majorHAnsi"/>
          <w:sz w:val="20"/>
          <w:szCs w:val="20"/>
          <w:lang w:val="uk-UA"/>
        </w:rPr>
        <w:t>однієї</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(кількох)</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з них залежить від результатів функціювання іншої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(інших) так, що цю сукупність можна розглядати як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єдину</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автоматизовану</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систему</w:t>
      </w:r>
    </w:p>
    <w:p w14:paraId="0B47D51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2226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DC74B7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b w:val="0"/>
          <w:color w:val="auto"/>
          <w:sz w:val="20"/>
          <w:szCs w:val="20"/>
        </w:rPr>
        <w:t>І</w:t>
      </w:r>
      <w:r w:rsidRPr="000977F7">
        <w:rPr>
          <w:color w:val="auto"/>
          <w:sz w:val="20"/>
          <w:szCs w:val="20"/>
        </w:rPr>
        <w:t>НТЕНСИВНІСТЬ</w:t>
      </w:r>
      <w:r w:rsidRPr="000977F7">
        <w:rPr>
          <w:color w:val="auto"/>
          <w:spacing w:val="-4"/>
          <w:sz w:val="20"/>
          <w:szCs w:val="20"/>
        </w:rPr>
        <w:t xml:space="preserve"> </w:t>
      </w:r>
      <w:r w:rsidRPr="000977F7">
        <w:rPr>
          <w:color w:val="auto"/>
          <w:sz w:val="20"/>
          <w:szCs w:val="20"/>
        </w:rPr>
        <w:t>АВАРІЙ</w:t>
      </w:r>
      <w:r w:rsidRPr="000977F7">
        <w:rPr>
          <w:color w:val="auto"/>
          <w:spacing w:val="-1"/>
          <w:sz w:val="20"/>
          <w:szCs w:val="20"/>
        </w:rPr>
        <w:t xml:space="preserve"> </w:t>
      </w:r>
      <w:r w:rsidRPr="000977F7">
        <w:rPr>
          <w:color w:val="auto"/>
          <w:sz w:val="20"/>
          <w:szCs w:val="20"/>
        </w:rPr>
        <w:t>І-ГО</w:t>
      </w:r>
      <w:r w:rsidRPr="000977F7">
        <w:rPr>
          <w:color w:val="auto"/>
          <w:spacing w:val="-3"/>
          <w:sz w:val="20"/>
          <w:szCs w:val="20"/>
        </w:rPr>
        <w:t xml:space="preserve"> </w:t>
      </w:r>
      <w:r w:rsidRPr="000977F7">
        <w:rPr>
          <w:color w:val="auto"/>
          <w:sz w:val="20"/>
          <w:szCs w:val="20"/>
        </w:rPr>
        <w:t>ВИДУ</w:t>
      </w:r>
      <w:r w:rsidRPr="000977F7">
        <w:rPr>
          <w:color w:val="auto"/>
          <w:spacing w:val="-3"/>
          <w:sz w:val="20"/>
          <w:szCs w:val="20"/>
        </w:rPr>
        <w:t xml:space="preserve"> </w:t>
      </w:r>
      <w:r w:rsidRPr="000977F7">
        <w:rPr>
          <w:color w:val="auto"/>
          <w:sz w:val="20"/>
          <w:szCs w:val="20"/>
        </w:rPr>
        <w:t>—</w:t>
      </w:r>
    </w:p>
    <w:p w14:paraId="41A617B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Умовна щільність імовірності виникнення аварії і-го</w:t>
      </w:r>
      <w:r w:rsidRPr="000977F7">
        <w:rPr>
          <w:rFonts w:asciiTheme="majorHAnsi" w:hAnsiTheme="majorHAnsi"/>
          <w:spacing w:val="1"/>
          <w:sz w:val="20"/>
          <w:szCs w:val="20"/>
        </w:rPr>
        <w:t xml:space="preserve"> </w:t>
      </w:r>
      <w:r w:rsidRPr="000977F7">
        <w:rPr>
          <w:rFonts w:asciiTheme="majorHAnsi" w:hAnsiTheme="majorHAnsi"/>
          <w:sz w:val="20"/>
          <w:szCs w:val="20"/>
        </w:rPr>
        <w:t>виду, яка визначається за умови, що до моменту часу,</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2"/>
          <w:sz w:val="20"/>
          <w:szCs w:val="20"/>
        </w:rPr>
        <w:t xml:space="preserve"> </w:t>
      </w:r>
      <w:r w:rsidRPr="000977F7">
        <w:rPr>
          <w:rFonts w:asciiTheme="majorHAnsi" w:hAnsiTheme="majorHAnsi"/>
          <w:sz w:val="20"/>
          <w:szCs w:val="20"/>
        </w:rPr>
        <w:t>розглядається,</w:t>
      </w:r>
      <w:r w:rsidRPr="000977F7">
        <w:rPr>
          <w:rFonts w:asciiTheme="majorHAnsi" w:hAnsiTheme="majorHAnsi"/>
          <w:spacing w:val="-1"/>
          <w:sz w:val="20"/>
          <w:szCs w:val="20"/>
        </w:rPr>
        <w:t xml:space="preserve"> </w:t>
      </w:r>
      <w:r w:rsidRPr="000977F7">
        <w:rPr>
          <w:rFonts w:asciiTheme="majorHAnsi" w:hAnsiTheme="majorHAnsi"/>
          <w:sz w:val="20"/>
          <w:szCs w:val="20"/>
        </w:rPr>
        <w:t>аварії</w:t>
      </w:r>
      <w:r w:rsidRPr="000977F7">
        <w:rPr>
          <w:rFonts w:asciiTheme="majorHAnsi" w:hAnsiTheme="majorHAnsi"/>
          <w:spacing w:val="-1"/>
          <w:sz w:val="20"/>
          <w:szCs w:val="20"/>
        </w:rPr>
        <w:t xml:space="preserve"> </w:t>
      </w:r>
      <w:r w:rsidRPr="000977F7">
        <w:rPr>
          <w:rFonts w:asciiTheme="majorHAnsi" w:hAnsiTheme="majorHAnsi"/>
          <w:sz w:val="20"/>
          <w:szCs w:val="20"/>
        </w:rPr>
        <w:t>і-го виду</w:t>
      </w:r>
      <w:r w:rsidRPr="000977F7">
        <w:rPr>
          <w:rFonts w:asciiTheme="majorHAnsi" w:hAnsiTheme="majorHAnsi"/>
          <w:spacing w:val="-2"/>
          <w:sz w:val="20"/>
          <w:szCs w:val="20"/>
        </w:rPr>
        <w:t xml:space="preserve"> </w:t>
      </w:r>
      <w:r w:rsidRPr="000977F7">
        <w:rPr>
          <w:rFonts w:asciiTheme="majorHAnsi" w:hAnsiTheme="majorHAnsi"/>
          <w:sz w:val="20"/>
          <w:szCs w:val="20"/>
        </w:rPr>
        <w:t>не було</w:t>
      </w:r>
    </w:p>
    <w:p w14:paraId="1BE80C3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noProof/>
          <w:sz w:val="20"/>
          <w:szCs w:val="20"/>
          <w:lang w:eastAsia="ru-RU"/>
        </w:rPr>
        <w:drawing>
          <wp:anchor distT="0" distB="0" distL="0" distR="0" simplePos="0" relativeHeight="251691008" behindDoc="1" locked="0" layoutInCell="1" allowOverlap="1" wp14:anchorId="1445CDAA" wp14:editId="54EFBA03">
            <wp:simplePos x="0" y="0"/>
            <wp:positionH relativeFrom="page">
              <wp:posOffset>2603626</wp:posOffset>
            </wp:positionH>
            <wp:positionV relativeFrom="paragraph">
              <wp:posOffset>152094</wp:posOffset>
            </wp:positionV>
            <wp:extent cx="143256" cy="155448"/>
            <wp:effectExtent l="0" t="0" r="0" b="0"/>
            <wp:wrapNone/>
            <wp:docPr id="26" name="image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39.png"/>
                    <pic:cNvPicPr/>
                  </pic:nvPicPr>
                  <pic:blipFill>
                    <a:blip r:embed="rId19" cstate="print"/>
                    <a:stretch>
                      <a:fillRect/>
                    </a:stretch>
                  </pic:blipFill>
                  <pic:spPr>
                    <a:xfrm>
                      <a:off x="0" y="0"/>
                      <a:ext cx="143256" cy="155448"/>
                    </a:xfrm>
                    <a:prstGeom prst="rect">
                      <a:avLst/>
                    </a:prstGeom>
                  </pic:spPr>
                </pic:pic>
              </a:graphicData>
            </a:graphic>
          </wp:anchor>
        </w:drawing>
      </w: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2156</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93</w:t>
      </w:r>
    </w:p>
    <w:p w14:paraId="302959D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ІНТЕНСИВНІСТЬ</w:t>
      </w:r>
      <w:r w:rsidRPr="000977F7">
        <w:rPr>
          <w:color w:val="auto"/>
          <w:spacing w:val="-2"/>
          <w:sz w:val="20"/>
          <w:szCs w:val="20"/>
        </w:rPr>
        <w:t xml:space="preserve"> </w:t>
      </w:r>
      <w:r w:rsidRPr="000977F7">
        <w:rPr>
          <w:color w:val="auto"/>
          <w:sz w:val="20"/>
          <w:szCs w:val="20"/>
        </w:rPr>
        <w:t>ВІДМОВ</w:t>
      </w:r>
      <w:r w:rsidRPr="000977F7">
        <w:rPr>
          <w:color w:val="auto"/>
          <w:spacing w:val="60"/>
          <w:sz w:val="20"/>
          <w:szCs w:val="20"/>
        </w:rPr>
        <w:t xml:space="preserve"> </w:t>
      </w:r>
      <w:r w:rsidRPr="000977F7">
        <w:rPr>
          <w:color w:val="auto"/>
          <w:sz w:val="20"/>
          <w:szCs w:val="20"/>
        </w:rPr>
        <w:t>t</w:t>
      </w:r>
      <w:r w:rsidRPr="000977F7">
        <w:rPr>
          <w:color w:val="auto"/>
          <w:spacing w:val="-1"/>
          <w:sz w:val="20"/>
          <w:szCs w:val="20"/>
        </w:rPr>
        <w:t xml:space="preserve"> </w:t>
      </w:r>
      <w:r w:rsidRPr="000977F7">
        <w:rPr>
          <w:color w:val="auto"/>
          <w:sz w:val="20"/>
          <w:szCs w:val="20"/>
        </w:rPr>
        <w:t>–</w:t>
      </w:r>
    </w:p>
    <w:p w14:paraId="3D679DD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FAILURE</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RATE;</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INSTANTANEOUS</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RATE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4B1EFE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Умовна</w:t>
      </w:r>
      <w:r w:rsidRPr="000977F7">
        <w:rPr>
          <w:rFonts w:asciiTheme="majorHAnsi" w:hAnsiTheme="majorHAnsi"/>
          <w:spacing w:val="1"/>
          <w:sz w:val="20"/>
          <w:szCs w:val="20"/>
        </w:rPr>
        <w:t xml:space="preserve"> </w:t>
      </w:r>
      <w:r w:rsidRPr="000977F7">
        <w:rPr>
          <w:rFonts w:asciiTheme="majorHAnsi" w:hAnsiTheme="majorHAnsi"/>
          <w:sz w:val="20"/>
          <w:szCs w:val="20"/>
        </w:rPr>
        <w:t>густина</w:t>
      </w:r>
      <w:r w:rsidRPr="000977F7">
        <w:rPr>
          <w:rFonts w:asciiTheme="majorHAnsi" w:hAnsiTheme="majorHAnsi"/>
          <w:spacing w:val="1"/>
          <w:sz w:val="20"/>
          <w:szCs w:val="20"/>
        </w:rPr>
        <w:t xml:space="preserve"> </w:t>
      </w:r>
      <w:r w:rsidRPr="000977F7">
        <w:rPr>
          <w:rFonts w:asciiTheme="majorHAnsi" w:hAnsiTheme="majorHAnsi"/>
          <w:sz w:val="20"/>
          <w:szCs w:val="20"/>
        </w:rPr>
        <w:t>імовірності</w:t>
      </w:r>
      <w:r w:rsidRPr="000977F7">
        <w:rPr>
          <w:rFonts w:asciiTheme="majorHAnsi" w:hAnsiTheme="majorHAnsi"/>
          <w:spacing w:val="1"/>
          <w:sz w:val="20"/>
          <w:szCs w:val="20"/>
        </w:rPr>
        <w:t xml:space="preserve"> </w:t>
      </w:r>
      <w:r w:rsidRPr="000977F7">
        <w:rPr>
          <w:rFonts w:asciiTheme="majorHAnsi" w:hAnsiTheme="majorHAnsi"/>
          <w:sz w:val="20"/>
          <w:szCs w:val="20"/>
        </w:rPr>
        <w:t>виникнення</w:t>
      </w:r>
      <w:r w:rsidRPr="000977F7">
        <w:rPr>
          <w:rFonts w:asciiTheme="majorHAnsi" w:hAnsiTheme="majorHAnsi"/>
          <w:spacing w:val="1"/>
          <w:sz w:val="20"/>
          <w:szCs w:val="20"/>
        </w:rPr>
        <w:t xml:space="preserve"> </w:t>
      </w:r>
      <w:r w:rsidRPr="000977F7">
        <w:rPr>
          <w:rFonts w:asciiTheme="majorHAnsi" w:hAnsiTheme="majorHAnsi"/>
          <w:sz w:val="20"/>
          <w:szCs w:val="20"/>
        </w:rPr>
        <w:t>відмови</w:t>
      </w:r>
      <w:r w:rsidRPr="000977F7">
        <w:rPr>
          <w:rFonts w:asciiTheme="majorHAnsi" w:hAnsiTheme="majorHAnsi"/>
          <w:spacing w:val="1"/>
          <w:sz w:val="20"/>
          <w:szCs w:val="20"/>
        </w:rPr>
        <w:t xml:space="preserve"> </w:t>
      </w:r>
      <w:r w:rsidRPr="000977F7">
        <w:rPr>
          <w:rFonts w:asciiTheme="majorHAnsi" w:hAnsiTheme="majorHAnsi"/>
          <w:sz w:val="20"/>
          <w:szCs w:val="20"/>
        </w:rPr>
        <w:t>об’єкта, яка визначається за умови, що до цього моменту</w:t>
      </w:r>
      <w:r w:rsidRPr="000977F7">
        <w:rPr>
          <w:rFonts w:asciiTheme="majorHAnsi" w:hAnsiTheme="majorHAnsi"/>
          <w:spacing w:val="-2"/>
          <w:sz w:val="20"/>
          <w:szCs w:val="20"/>
        </w:rPr>
        <w:t xml:space="preserve"> </w:t>
      </w:r>
      <w:r w:rsidRPr="000977F7">
        <w:rPr>
          <w:rFonts w:asciiTheme="majorHAnsi" w:hAnsiTheme="majorHAnsi"/>
          <w:sz w:val="20"/>
          <w:szCs w:val="20"/>
        </w:rPr>
        <w:t>відмова</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2"/>
          <w:sz w:val="20"/>
          <w:szCs w:val="20"/>
        </w:rPr>
        <w:t xml:space="preserve"> </w:t>
      </w:r>
      <w:r w:rsidRPr="000977F7">
        <w:rPr>
          <w:rFonts w:asciiTheme="majorHAnsi" w:hAnsiTheme="majorHAnsi"/>
          <w:sz w:val="20"/>
          <w:szCs w:val="20"/>
        </w:rPr>
        <w:t>виникла</w:t>
      </w:r>
    </w:p>
    <w:p w14:paraId="7F1DD8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7016E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Інтенсивність</w:t>
      </w:r>
      <w:r w:rsidRPr="000977F7">
        <w:rPr>
          <w:rFonts w:asciiTheme="majorHAnsi" w:hAnsiTheme="majorHAnsi"/>
          <w:spacing w:val="1"/>
          <w:sz w:val="20"/>
          <w:szCs w:val="20"/>
        </w:rPr>
        <w:t xml:space="preserve"> </w:t>
      </w:r>
      <w:r w:rsidRPr="000977F7">
        <w:rPr>
          <w:rFonts w:asciiTheme="majorHAnsi" w:hAnsiTheme="majorHAnsi"/>
          <w:sz w:val="20"/>
          <w:szCs w:val="20"/>
        </w:rPr>
        <w:t>відмов</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показником</w:t>
      </w:r>
      <w:r w:rsidRPr="000977F7">
        <w:rPr>
          <w:rFonts w:asciiTheme="majorHAnsi" w:hAnsiTheme="majorHAnsi"/>
          <w:spacing w:val="1"/>
          <w:sz w:val="20"/>
          <w:szCs w:val="20"/>
        </w:rPr>
        <w:t xml:space="preserve"> </w:t>
      </w:r>
      <w:r w:rsidRPr="000977F7">
        <w:rPr>
          <w:rFonts w:asciiTheme="majorHAnsi" w:hAnsiTheme="majorHAnsi"/>
          <w:sz w:val="20"/>
          <w:szCs w:val="20"/>
        </w:rPr>
        <w:t>безвідмовності</w:t>
      </w:r>
      <w:r w:rsidRPr="000977F7">
        <w:rPr>
          <w:rFonts w:asciiTheme="majorHAnsi" w:hAnsiTheme="majorHAnsi"/>
          <w:spacing w:val="1"/>
          <w:sz w:val="20"/>
          <w:szCs w:val="20"/>
        </w:rPr>
        <w:t xml:space="preserve"> </w:t>
      </w:r>
      <w:r w:rsidRPr="000977F7">
        <w:rPr>
          <w:rFonts w:asciiTheme="majorHAnsi" w:hAnsiTheme="majorHAnsi"/>
          <w:sz w:val="20"/>
          <w:szCs w:val="20"/>
        </w:rPr>
        <w:t>неремонтуємих</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невідновлюваних</w:t>
      </w:r>
      <w:r w:rsidRPr="000977F7">
        <w:rPr>
          <w:rFonts w:asciiTheme="majorHAnsi" w:hAnsiTheme="majorHAnsi"/>
          <w:spacing w:val="-2"/>
          <w:sz w:val="20"/>
          <w:szCs w:val="20"/>
        </w:rPr>
        <w:t xml:space="preserve"> </w:t>
      </w:r>
      <w:r w:rsidRPr="000977F7">
        <w:rPr>
          <w:rFonts w:asciiTheme="majorHAnsi" w:hAnsiTheme="majorHAnsi"/>
          <w:sz w:val="20"/>
          <w:szCs w:val="20"/>
        </w:rPr>
        <w:t>об’єктів</w:t>
      </w:r>
    </w:p>
    <w:p w14:paraId="4CE9B5E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 94</w:t>
      </w:r>
    </w:p>
    <w:p w14:paraId="3CF3822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Умовна</w:t>
      </w:r>
      <w:r w:rsidRPr="000977F7">
        <w:rPr>
          <w:rFonts w:asciiTheme="majorHAnsi" w:hAnsiTheme="majorHAnsi"/>
          <w:spacing w:val="1"/>
          <w:sz w:val="20"/>
          <w:szCs w:val="20"/>
        </w:rPr>
        <w:t xml:space="preserve"> </w:t>
      </w:r>
      <w:r w:rsidRPr="000977F7">
        <w:rPr>
          <w:rFonts w:asciiTheme="majorHAnsi" w:hAnsiTheme="majorHAnsi"/>
          <w:sz w:val="20"/>
          <w:szCs w:val="20"/>
        </w:rPr>
        <w:t>густина</w:t>
      </w:r>
      <w:r w:rsidRPr="000977F7">
        <w:rPr>
          <w:rFonts w:asciiTheme="majorHAnsi" w:hAnsiTheme="majorHAnsi"/>
          <w:spacing w:val="1"/>
          <w:sz w:val="20"/>
          <w:szCs w:val="20"/>
        </w:rPr>
        <w:t xml:space="preserve"> </w:t>
      </w:r>
      <w:r w:rsidRPr="000977F7">
        <w:rPr>
          <w:rFonts w:asciiTheme="majorHAnsi" w:hAnsiTheme="majorHAnsi"/>
          <w:sz w:val="20"/>
          <w:szCs w:val="20"/>
        </w:rPr>
        <w:t>імовірності</w:t>
      </w:r>
      <w:r w:rsidRPr="000977F7">
        <w:rPr>
          <w:rFonts w:asciiTheme="majorHAnsi" w:hAnsiTheme="majorHAnsi"/>
          <w:spacing w:val="1"/>
          <w:sz w:val="20"/>
          <w:szCs w:val="20"/>
        </w:rPr>
        <w:t xml:space="preserve"> </w:t>
      </w:r>
      <w:r w:rsidRPr="000977F7">
        <w:rPr>
          <w:rFonts w:asciiTheme="majorHAnsi" w:hAnsiTheme="majorHAnsi"/>
          <w:sz w:val="20"/>
          <w:szCs w:val="20"/>
        </w:rPr>
        <w:t>виникнення</w:t>
      </w:r>
      <w:r w:rsidRPr="000977F7">
        <w:rPr>
          <w:rFonts w:asciiTheme="majorHAnsi" w:hAnsiTheme="majorHAnsi"/>
          <w:spacing w:val="1"/>
          <w:sz w:val="20"/>
          <w:szCs w:val="20"/>
        </w:rPr>
        <w:t xml:space="preserve"> </w:t>
      </w:r>
      <w:r w:rsidRPr="000977F7">
        <w:rPr>
          <w:rFonts w:asciiTheme="majorHAnsi" w:hAnsiTheme="majorHAnsi"/>
          <w:sz w:val="20"/>
          <w:szCs w:val="20"/>
        </w:rPr>
        <w:t>відмови</w:t>
      </w:r>
      <w:r w:rsidRPr="000977F7">
        <w:rPr>
          <w:rFonts w:asciiTheme="majorHAnsi" w:hAnsiTheme="majorHAnsi"/>
          <w:spacing w:val="1"/>
          <w:sz w:val="20"/>
          <w:szCs w:val="20"/>
        </w:rPr>
        <w:t xml:space="preserve"> </w:t>
      </w:r>
      <w:r w:rsidRPr="000977F7">
        <w:rPr>
          <w:rFonts w:asciiTheme="majorHAnsi" w:hAnsiTheme="majorHAnsi"/>
          <w:sz w:val="20"/>
          <w:szCs w:val="20"/>
        </w:rPr>
        <w:t>об’єкта, яка визначається за умови, що до цього моменту</w:t>
      </w:r>
      <w:r w:rsidRPr="000977F7">
        <w:rPr>
          <w:rFonts w:asciiTheme="majorHAnsi" w:hAnsiTheme="majorHAnsi"/>
          <w:spacing w:val="-2"/>
          <w:sz w:val="20"/>
          <w:szCs w:val="20"/>
        </w:rPr>
        <w:t xml:space="preserve"> </w:t>
      </w:r>
      <w:r w:rsidRPr="000977F7">
        <w:rPr>
          <w:rFonts w:asciiTheme="majorHAnsi" w:hAnsiTheme="majorHAnsi"/>
          <w:sz w:val="20"/>
          <w:szCs w:val="20"/>
        </w:rPr>
        <w:t>відмова</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2"/>
          <w:sz w:val="20"/>
          <w:szCs w:val="20"/>
        </w:rPr>
        <w:t xml:space="preserve"> </w:t>
      </w:r>
      <w:r w:rsidRPr="000977F7">
        <w:rPr>
          <w:rFonts w:asciiTheme="majorHAnsi" w:hAnsiTheme="majorHAnsi"/>
          <w:sz w:val="20"/>
          <w:szCs w:val="20"/>
        </w:rPr>
        <w:t>виникла</w:t>
      </w:r>
    </w:p>
    <w:p w14:paraId="64D5175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noProof/>
          <w:sz w:val="20"/>
          <w:szCs w:val="20"/>
          <w:lang w:eastAsia="ru-RU"/>
        </w:rPr>
        <w:drawing>
          <wp:anchor distT="0" distB="0" distL="0" distR="0" simplePos="0" relativeHeight="251692032" behindDoc="1" locked="0" layoutInCell="1" allowOverlap="1" wp14:anchorId="0BBFFB55" wp14:editId="5F19911E">
            <wp:simplePos x="0" y="0"/>
            <wp:positionH relativeFrom="page">
              <wp:posOffset>3051682</wp:posOffset>
            </wp:positionH>
            <wp:positionV relativeFrom="paragraph">
              <wp:posOffset>152094</wp:posOffset>
            </wp:positionV>
            <wp:extent cx="143256" cy="155448"/>
            <wp:effectExtent l="0" t="0" r="0" b="0"/>
            <wp:wrapNone/>
            <wp:docPr id="27" name="image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40.png"/>
                    <pic:cNvPicPr/>
                  </pic:nvPicPr>
                  <pic:blipFill>
                    <a:blip r:embed="rId20" cstate="print"/>
                    <a:stretch>
                      <a:fillRect/>
                    </a:stretch>
                  </pic:blipFill>
                  <pic:spPr>
                    <a:xfrm>
                      <a:off x="0" y="0"/>
                      <a:ext cx="143256" cy="155448"/>
                    </a:xfrm>
                    <a:prstGeom prst="rect">
                      <a:avLst/>
                    </a:prstGeom>
                  </pic:spPr>
                </pic:pic>
              </a:graphicData>
            </a:graphic>
          </wp:anchor>
        </w:drawing>
      </w: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2634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5DEC4FA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82" w:name="_Hlk102281508"/>
      <w:r w:rsidRPr="000977F7">
        <w:rPr>
          <w:color w:val="auto"/>
          <w:sz w:val="20"/>
          <w:szCs w:val="20"/>
        </w:rPr>
        <w:t>ІНТЕНСИВНІСТЬ</w:t>
      </w:r>
      <w:r w:rsidRPr="000977F7">
        <w:rPr>
          <w:color w:val="auto"/>
          <w:spacing w:val="-3"/>
          <w:sz w:val="20"/>
          <w:szCs w:val="20"/>
        </w:rPr>
        <w:t xml:space="preserve"> </w:t>
      </w:r>
      <w:r w:rsidRPr="000977F7">
        <w:rPr>
          <w:color w:val="auto"/>
          <w:sz w:val="20"/>
          <w:szCs w:val="20"/>
        </w:rPr>
        <w:t>ВІДНОВЛЕННЯ</w:t>
      </w:r>
      <w:r w:rsidRPr="000977F7">
        <w:rPr>
          <w:color w:val="auto"/>
          <w:spacing w:val="58"/>
          <w:sz w:val="20"/>
          <w:szCs w:val="20"/>
        </w:rPr>
        <w:t xml:space="preserve"> </w:t>
      </w:r>
      <w:r w:rsidRPr="000977F7">
        <w:rPr>
          <w:color w:val="auto"/>
          <w:sz w:val="20"/>
          <w:szCs w:val="20"/>
        </w:rPr>
        <w:t>(t)</w:t>
      </w:r>
      <w:r w:rsidRPr="000977F7">
        <w:rPr>
          <w:color w:val="auto"/>
          <w:spacing w:val="-1"/>
          <w:sz w:val="20"/>
          <w:szCs w:val="20"/>
        </w:rPr>
        <w:t xml:space="preserve"> </w:t>
      </w:r>
      <w:r w:rsidRPr="000977F7">
        <w:rPr>
          <w:color w:val="auto"/>
          <w:sz w:val="20"/>
          <w:szCs w:val="20"/>
        </w:rPr>
        <w:t>–</w:t>
      </w:r>
    </w:p>
    <w:p w14:paraId="4DB8693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ISTANTANEOUS</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REPAIR</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RATE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bookmarkEnd w:id="82"/>
    <w:p w14:paraId="36AA7CD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Умовна</w:t>
      </w:r>
      <w:r w:rsidRPr="000977F7">
        <w:rPr>
          <w:rFonts w:asciiTheme="majorHAnsi" w:hAnsiTheme="majorHAnsi"/>
          <w:spacing w:val="1"/>
          <w:sz w:val="20"/>
          <w:szCs w:val="20"/>
        </w:rPr>
        <w:t xml:space="preserve"> </w:t>
      </w:r>
      <w:r w:rsidRPr="000977F7">
        <w:rPr>
          <w:rFonts w:asciiTheme="majorHAnsi" w:hAnsiTheme="majorHAnsi"/>
          <w:sz w:val="20"/>
          <w:szCs w:val="20"/>
        </w:rPr>
        <w:t>густина</w:t>
      </w:r>
      <w:r w:rsidRPr="000977F7">
        <w:rPr>
          <w:rFonts w:asciiTheme="majorHAnsi" w:hAnsiTheme="majorHAnsi"/>
          <w:spacing w:val="1"/>
          <w:sz w:val="20"/>
          <w:szCs w:val="20"/>
        </w:rPr>
        <w:t xml:space="preserve"> </w:t>
      </w:r>
      <w:r w:rsidRPr="000977F7">
        <w:rPr>
          <w:rFonts w:asciiTheme="majorHAnsi" w:hAnsiTheme="majorHAnsi"/>
          <w:sz w:val="20"/>
          <w:szCs w:val="20"/>
        </w:rPr>
        <w:t>імовірності</w:t>
      </w:r>
      <w:r w:rsidRPr="000977F7">
        <w:rPr>
          <w:rFonts w:asciiTheme="majorHAnsi" w:hAnsiTheme="majorHAnsi"/>
          <w:spacing w:val="1"/>
          <w:sz w:val="20"/>
          <w:szCs w:val="20"/>
        </w:rPr>
        <w:t xml:space="preserve"> </w:t>
      </w:r>
      <w:r w:rsidRPr="000977F7">
        <w:rPr>
          <w:rFonts w:asciiTheme="majorHAnsi" w:hAnsiTheme="majorHAnsi"/>
          <w:sz w:val="20"/>
          <w:szCs w:val="20"/>
        </w:rPr>
        <w:t>відновлення</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працездатності об’єкта, визначена для одного моменту часу, за</w:t>
      </w:r>
      <w:r w:rsidRPr="000977F7">
        <w:rPr>
          <w:rFonts w:asciiTheme="majorHAnsi" w:hAnsiTheme="majorHAnsi"/>
          <w:spacing w:val="1"/>
          <w:sz w:val="20"/>
          <w:szCs w:val="20"/>
        </w:rPr>
        <w:t xml:space="preserve"> </w:t>
      </w:r>
      <w:r w:rsidRPr="000977F7">
        <w:rPr>
          <w:rFonts w:asciiTheme="majorHAnsi" w:hAnsiTheme="majorHAnsi"/>
          <w:sz w:val="20"/>
          <w:szCs w:val="20"/>
        </w:rPr>
        <w:t>умовою, що до цього моменту відновлення не завершилося</w:t>
      </w:r>
    </w:p>
    <w:p w14:paraId="45840D9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60AFAC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ІНТЕРВАЛ</w:t>
      </w:r>
      <w:r w:rsidRPr="000977F7">
        <w:rPr>
          <w:color w:val="auto"/>
          <w:spacing w:val="-5"/>
          <w:sz w:val="20"/>
          <w:szCs w:val="20"/>
        </w:rPr>
        <w:t xml:space="preserve"> </w:t>
      </w:r>
      <w:r w:rsidRPr="000977F7">
        <w:rPr>
          <w:color w:val="auto"/>
          <w:sz w:val="20"/>
          <w:szCs w:val="20"/>
        </w:rPr>
        <w:t>ВАРІЮВАННЯ</w:t>
      </w:r>
      <w:r w:rsidRPr="000977F7">
        <w:rPr>
          <w:color w:val="auto"/>
          <w:spacing w:val="-5"/>
          <w:sz w:val="20"/>
          <w:szCs w:val="20"/>
        </w:rPr>
        <w:t xml:space="preserve"> </w:t>
      </w:r>
      <w:r w:rsidRPr="000977F7">
        <w:rPr>
          <w:color w:val="auto"/>
          <w:sz w:val="20"/>
          <w:szCs w:val="20"/>
        </w:rPr>
        <w:t>ФАКТОРА</w:t>
      </w:r>
      <w:r w:rsidRPr="000977F7">
        <w:rPr>
          <w:color w:val="auto"/>
          <w:spacing w:val="-2"/>
          <w:sz w:val="20"/>
          <w:szCs w:val="20"/>
        </w:rPr>
        <w:t xml:space="preserve"> </w:t>
      </w:r>
      <w:r w:rsidRPr="000977F7">
        <w:rPr>
          <w:color w:val="auto"/>
          <w:sz w:val="20"/>
          <w:szCs w:val="20"/>
        </w:rPr>
        <w:t>–</w:t>
      </w:r>
    </w:p>
    <w:p w14:paraId="1E438DB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Половина</w:t>
      </w:r>
      <w:r w:rsidRPr="000977F7">
        <w:rPr>
          <w:rFonts w:asciiTheme="majorHAnsi" w:hAnsiTheme="majorHAnsi"/>
          <w:spacing w:val="-3"/>
          <w:sz w:val="20"/>
          <w:szCs w:val="20"/>
        </w:rPr>
        <w:t xml:space="preserve"> </w:t>
      </w:r>
      <w:r w:rsidRPr="000977F7">
        <w:rPr>
          <w:rFonts w:asciiTheme="majorHAnsi" w:hAnsiTheme="majorHAnsi"/>
          <w:sz w:val="20"/>
          <w:szCs w:val="20"/>
        </w:rPr>
        <w:t>розмаху</w:t>
      </w:r>
      <w:r w:rsidRPr="000977F7">
        <w:rPr>
          <w:rFonts w:asciiTheme="majorHAnsi" w:hAnsiTheme="majorHAnsi"/>
          <w:spacing w:val="-7"/>
          <w:sz w:val="20"/>
          <w:szCs w:val="20"/>
        </w:rPr>
        <w:t xml:space="preserve"> </w:t>
      </w:r>
      <w:r w:rsidRPr="000977F7">
        <w:rPr>
          <w:rFonts w:asciiTheme="majorHAnsi" w:hAnsiTheme="majorHAnsi"/>
          <w:sz w:val="20"/>
          <w:szCs w:val="20"/>
        </w:rPr>
        <w:t>варіювання</w:t>
      </w:r>
      <w:r w:rsidRPr="000977F7">
        <w:rPr>
          <w:rFonts w:asciiTheme="majorHAnsi" w:hAnsiTheme="majorHAnsi"/>
          <w:spacing w:val="-4"/>
          <w:sz w:val="20"/>
          <w:szCs w:val="20"/>
        </w:rPr>
        <w:t xml:space="preserve"> </w:t>
      </w:r>
      <w:r w:rsidRPr="000977F7">
        <w:rPr>
          <w:rFonts w:asciiTheme="majorHAnsi" w:hAnsiTheme="majorHAnsi"/>
          <w:sz w:val="20"/>
          <w:szCs w:val="20"/>
        </w:rPr>
        <w:t>фактора</w:t>
      </w:r>
    </w:p>
    <w:p w14:paraId="20A0953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ІНТЕРВАЛ</w:t>
      </w:r>
      <w:r w:rsidRPr="000977F7">
        <w:rPr>
          <w:color w:val="auto"/>
          <w:spacing w:val="-4"/>
          <w:sz w:val="20"/>
          <w:szCs w:val="20"/>
        </w:rPr>
        <w:t xml:space="preserve"> </w:t>
      </w:r>
      <w:r w:rsidRPr="000977F7">
        <w:rPr>
          <w:color w:val="auto"/>
          <w:sz w:val="20"/>
          <w:szCs w:val="20"/>
        </w:rPr>
        <w:t>МІЖ</w:t>
      </w:r>
      <w:r w:rsidRPr="000977F7">
        <w:rPr>
          <w:color w:val="auto"/>
          <w:spacing w:val="-6"/>
          <w:sz w:val="20"/>
          <w:szCs w:val="20"/>
        </w:rPr>
        <w:t xml:space="preserve"> </w:t>
      </w:r>
      <w:r w:rsidRPr="000977F7">
        <w:rPr>
          <w:color w:val="auto"/>
          <w:sz w:val="20"/>
          <w:szCs w:val="20"/>
        </w:rPr>
        <w:t>ЗМІНАМИ</w:t>
      </w:r>
      <w:r w:rsidRPr="000977F7">
        <w:rPr>
          <w:color w:val="auto"/>
          <w:spacing w:val="-1"/>
          <w:sz w:val="20"/>
          <w:szCs w:val="20"/>
        </w:rPr>
        <w:t xml:space="preserve"> </w:t>
      </w:r>
      <w:r w:rsidRPr="000977F7">
        <w:rPr>
          <w:color w:val="auto"/>
          <w:sz w:val="20"/>
          <w:szCs w:val="20"/>
        </w:rPr>
        <w:t>НАПРУГИ</w:t>
      </w:r>
      <w:r w:rsidRPr="000977F7">
        <w:rPr>
          <w:color w:val="auto"/>
          <w:spacing w:val="-1"/>
          <w:sz w:val="20"/>
          <w:szCs w:val="20"/>
        </w:rPr>
        <w:t xml:space="preserve"> </w:t>
      </w:r>
      <w:r w:rsidRPr="000977F7">
        <w:rPr>
          <w:color w:val="auto"/>
          <w:sz w:val="20"/>
          <w:szCs w:val="20"/>
        </w:rPr>
        <w:t>—</w:t>
      </w:r>
    </w:p>
    <w:p w14:paraId="4B8898B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Інтервал часу від початку попередньої зміни напруги</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початку</w:t>
      </w:r>
      <w:r w:rsidRPr="000977F7">
        <w:rPr>
          <w:rFonts w:asciiTheme="majorHAnsi" w:hAnsiTheme="majorHAnsi"/>
          <w:spacing w:val="-1"/>
          <w:sz w:val="20"/>
          <w:szCs w:val="20"/>
        </w:rPr>
        <w:t xml:space="preserve"> </w:t>
      </w:r>
      <w:r w:rsidRPr="000977F7">
        <w:rPr>
          <w:rFonts w:asciiTheme="majorHAnsi" w:hAnsiTheme="majorHAnsi"/>
          <w:sz w:val="20"/>
          <w:szCs w:val="20"/>
        </w:rPr>
        <w:t>наступної</w:t>
      </w:r>
    </w:p>
    <w:p w14:paraId="5256D654"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3466</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96</w:t>
      </w:r>
    </w:p>
    <w:p w14:paraId="6869436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ІНТЕРМІТУВАЛЬНЕ</w:t>
      </w:r>
      <w:r w:rsidRPr="000977F7">
        <w:rPr>
          <w:color w:val="auto"/>
          <w:spacing w:val="-4"/>
          <w:sz w:val="20"/>
          <w:szCs w:val="20"/>
        </w:rPr>
        <w:t xml:space="preserve"> </w:t>
      </w:r>
      <w:r w:rsidRPr="000977F7">
        <w:rPr>
          <w:color w:val="auto"/>
          <w:sz w:val="20"/>
          <w:szCs w:val="20"/>
        </w:rPr>
        <w:t>ДІЯННЯ</w:t>
      </w:r>
      <w:r w:rsidRPr="000977F7">
        <w:rPr>
          <w:color w:val="auto"/>
          <w:spacing w:val="-3"/>
          <w:sz w:val="20"/>
          <w:szCs w:val="20"/>
        </w:rPr>
        <w:t xml:space="preserve"> </w:t>
      </w:r>
      <w:r w:rsidRPr="000977F7">
        <w:rPr>
          <w:color w:val="auto"/>
          <w:sz w:val="20"/>
          <w:szCs w:val="20"/>
        </w:rPr>
        <w:t>—</w:t>
      </w:r>
    </w:p>
    <w:p w14:paraId="294BE66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INTERMITTENT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EFFECT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5FD25C9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Чергування</w:t>
      </w:r>
      <w:r w:rsidRPr="004D2D14">
        <w:rPr>
          <w:rFonts w:asciiTheme="majorHAnsi" w:hAnsiTheme="majorHAnsi"/>
          <w:sz w:val="20"/>
          <w:szCs w:val="20"/>
          <w:lang w:val="en-US"/>
        </w:rPr>
        <w:t xml:space="preserve"> </w:t>
      </w:r>
      <w:r w:rsidRPr="000977F7">
        <w:rPr>
          <w:rFonts w:asciiTheme="majorHAnsi" w:hAnsiTheme="majorHAnsi"/>
          <w:sz w:val="20"/>
          <w:szCs w:val="20"/>
        </w:rPr>
        <w:t>періодів</w:t>
      </w:r>
      <w:r w:rsidRPr="004D2D14">
        <w:rPr>
          <w:rFonts w:asciiTheme="majorHAnsi" w:hAnsiTheme="majorHAnsi"/>
          <w:sz w:val="20"/>
          <w:szCs w:val="20"/>
          <w:lang w:val="en-US"/>
        </w:rPr>
        <w:t xml:space="preserve"> </w:t>
      </w:r>
      <w:r w:rsidRPr="000977F7">
        <w:rPr>
          <w:rFonts w:asciiTheme="majorHAnsi" w:hAnsiTheme="majorHAnsi"/>
          <w:sz w:val="20"/>
          <w:szCs w:val="20"/>
        </w:rPr>
        <w:t>діяння</w:t>
      </w:r>
      <w:r w:rsidRPr="004D2D14">
        <w:rPr>
          <w:rFonts w:asciiTheme="majorHAnsi" w:hAnsiTheme="majorHAnsi"/>
          <w:sz w:val="20"/>
          <w:szCs w:val="20"/>
          <w:lang w:val="en-US"/>
        </w:rPr>
        <w:t xml:space="preserve"> </w:t>
      </w:r>
      <w:r w:rsidRPr="000977F7">
        <w:rPr>
          <w:rFonts w:asciiTheme="majorHAnsi" w:hAnsiTheme="majorHAnsi"/>
          <w:sz w:val="20"/>
          <w:szCs w:val="20"/>
        </w:rPr>
        <w:t>речовини</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одних</w:t>
      </w:r>
      <w:r w:rsidRPr="004D2D14">
        <w:rPr>
          <w:rFonts w:asciiTheme="majorHAnsi" w:hAnsiTheme="majorHAnsi"/>
          <w:sz w:val="20"/>
          <w:szCs w:val="20"/>
          <w:lang w:val="en-US"/>
        </w:rPr>
        <w:t xml:space="preserve"> </w:t>
      </w:r>
      <w:r w:rsidRPr="000977F7">
        <w:rPr>
          <w:rFonts w:asciiTheme="majorHAnsi" w:hAnsiTheme="majorHAnsi"/>
          <w:sz w:val="20"/>
          <w:szCs w:val="20"/>
        </w:rPr>
        <w:t>концентраціях</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pacing w:val="1"/>
          <w:sz w:val="20"/>
          <w:szCs w:val="20"/>
          <w:lang w:val="en-US"/>
        </w:rPr>
        <w:t xml:space="preserve"> </w:t>
      </w:r>
      <w:r w:rsidRPr="000977F7">
        <w:rPr>
          <w:rFonts w:asciiTheme="majorHAnsi" w:hAnsiTheme="majorHAnsi"/>
          <w:sz w:val="20"/>
          <w:szCs w:val="20"/>
        </w:rPr>
        <w:t>періодами</w:t>
      </w:r>
      <w:r w:rsidRPr="004D2D14">
        <w:rPr>
          <w:rFonts w:asciiTheme="majorHAnsi" w:hAnsiTheme="majorHAnsi"/>
          <w:sz w:val="20"/>
          <w:szCs w:val="20"/>
          <w:lang w:val="en-US"/>
        </w:rPr>
        <w:t xml:space="preserve"> </w:t>
      </w:r>
      <w:r w:rsidRPr="000977F7">
        <w:rPr>
          <w:rFonts w:asciiTheme="majorHAnsi" w:hAnsiTheme="majorHAnsi"/>
          <w:sz w:val="20"/>
          <w:szCs w:val="20"/>
        </w:rPr>
        <w:t>діяння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її</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інших</w:t>
      </w:r>
      <w:r w:rsidRPr="004D2D14">
        <w:rPr>
          <w:rFonts w:asciiTheme="majorHAnsi" w:hAnsiTheme="majorHAnsi"/>
          <w:spacing w:val="50"/>
          <w:sz w:val="20"/>
          <w:szCs w:val="20"/>
          <w:lang w:val="en-US"/>
        </w:rPr>
        <w:t xml:space="preserve"> </w:t>
      </w:r>
      <w:r w:rsidRPr="000977F7">
        <w:rPr>
          <w:rFonts w:asciiTheme="majorHAnsi" w:hAnsiTheme="majorHAnsi"/>
          <w:sz w:val="20"/>
          <w:szCs w:val="20"/>
        </w:rPr>
        <w:t>концентраціях</w:t>
      </w:r>
      <w:r w:rsidRPr="004D2D14">
        <w:rPr>
          <w:rFonts w:asciiTheme="majorHAnsi" w:hAnsiTheme="majorHAnsi"/>
          <w:spacing w:val="1"/>
          <w:sz w:val="20"/>
          <w:szCs w:val="20"/>
          <w:lang w:val="en-US"/>
        </w:rPr>
        <w:t xml:space="preserve"> </w:t>
      </w:r>
      <w:r w:rsidRPr="000977F7">
        <w:rPr>
          <w:rFonts w:asciiTheme="majorHAnsi" w:hAnsiTheme="majorHAnsi"/>
          <w:sz w:val="20"/>
          <w:szCs w:val="20"/>
        </w:rPr>
        <w:t>чи</w:t>
      </w:r>
      <w:r w:rsidRPr="004D2D14">
        <w:rPr>
          <w:rFonts w:asciiTheme="majorHAnsi" w:hAnsiTheme="majorHAnsi"/>
          <w:spacing w:val="-2"/>
          <w:sz w:val="20"/>
          <w:szCs w:val="20"/>
          <w:lang w:val="en-US"/>
        </w:rPr>
        <w:t xml:space="preserve"> </w:t>
      </w:r>
      <w:r w:rsidRPr="000977F7">
        <w:rPr>
          <w:rFonts w:asciiTheme="majorHAnsi" w:hAnsiTheme="majorHAnsi"/>
          <w:sz w:val="20"/>
          <w:szCs w:val="20"/>
        </w:rPr>
        <w:t>з</w:t>
      </w:r>
      <w:r w:rsidRPr="004D2D14">
        <w:rPr>
          <w:rFonts w:asciiTheme="majorHAnsi" w:hAnsiTheme="majorHAnsi"/>
          <w:spacing w:val="-1"/>
          <w:sz w:val="20"/>
          <w:szCs w:val="20"/>
          <w:lang w:val="en-US"/>
        </w:rPr>
        <w:t xml:space="preserve"> </w:t>
      </w:r>
      <w:r w:rsidRPr="000977F7">
        <w:rPr>
          <w:rFonts w:asciiTheme="majorHAnsi" w:hAnsiTheme="majorHAnsi"/>
          <w:sz w:val="20"/>
          <w:szCs w:val="20"/>
        </w:rPr>
        <w:t>періодами</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повної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відсутності</w:t>
      </w:r>
      <w:r w:rsidRPr="004D2D14">
        <w:rPr>
          <w:rFonts w:asciiTheme="majorHAnsi" w:hAnsiTheme="majorHAnsi"/>
          <w:spacing w:val="-2"/>
          <w:sz w:val="20"/>
          <w:szCs w:val="20"/>
          <w:lang w:val="en-US"/>
        </w:rPr>
        <w:t xml:space="preserve"> </w:t>
      </w:r>
      <w:r w:rsidRPr="000977F7">
        <w:rPr>
          <w:rFonts w:asciiTheme="majorHAnsi" w:hAnsiTheme="majorHAnsi"/>
          <w:sz w:val="20"/>
          <w:szCs w:val="20"/>
        </w:rPr>
        <w:t>її</w:t>
      </w:r>
      <w:r w:rsidRPr="004D2D14">
        <w:rPr>
          <w:rFonts w:asciiTheme="majorHAnsi" w:hAnsiTheme="majorHAnsi"/>
          <w:spacing w:val="-1"/>
          <w:sz w:val="20"/>
          <w:szCs w:val="20"/>
          <w:lang w:val="en-US"/>
        </w:rPr>
        <w:t xml:space="preserve"> </w:t>
      </w:r>
      <w:r w:rsidRPr="000977F7">
        <w:rPr>
          <w:rFonts w:asciiTheme="majorHAnsi" w:hAnsiTheme="majorHAnsi"/>
          <w:sz w:val="20"/>
          <w:szCs w:val="20"/>
        </w:rPr>
        <w:t>діяння</w:t>
      </w:r>
    </w:p>
    <w:p w14:paraId="2437445B"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3038 – 95</w:t>
      </w:r>
    </w:p>
    <w:p w14:paraId="77462AAD"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en-US"/>
        </w:rPr>
      </w:pPr>
      <w:r w:rsidRPr="004D2D14">
        <w:rPr>
          <w:rFonts w:asciiTheme="majorHAnsi" w:hAnsiTheme="majorHAnsi"/>
          <w:i/>
          <w:spacing w:val="-47"/>
          <w:sz w:val="20"/>
          <w:szCs w:val="20"/>
          <w:lang w:val="en-US"/>
        </w:rPr>
        <w:t xml:space="preserve"> </w:t>
      </w:r>
      <w:r w:rsidRPr="000977F7">
        <w:rPr>
          <w:rFonts w:asciiTheme="majorHAnsi" w:hAnsiTheme="majorHAnsi"/>
          <w:b/>
          <w:sz w:val="20"/>
          <w:szCs w:val="20"/>
        </w:rPr>
        <w:t>ІНТЕРФЕЙС</w:t>
      </w:r>
      <w:r w:rsidRPr="004D2D14">
        <w:rPr>
          <w:rFonts w:asciiTheme="majorHAnsi" w:hAnsiTheme="majorHAnsi"/>
          <w:b/>
          <w:sz w:val="20"/>
          <w:szCs w:val="20"/>
          <w:lang w:val="en-US"/>
        </w:rPr>
        <w:t xml:space="preserve"> –</w:t>
      </w:r>
      <w:r w:rsidRPr="004D2D14">
        <w:rPr>
          <w:rFonts w:asciiTheme="majorHAnsi" w:hAnsiTheme="majorHAnsi"/>
          <w:b/>
          <w:spacing w:val="-47"/>
          <w:sz w:val="20"/>
          <w:szCs w:val="20"/>
          <w:lang w:val="en-US"/>
        </w:rPr>
        <w:t xml:space="preserve"> </w:t>
      </w:r>
    </w:p>
    <w:p w14:paraId="59E023F6"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INTERFACE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06D06A9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Спільна</w:t>
      </w:r>
      <w:r w:rsidRPr="004D2D14">
        <w:rPr>
          <w:rFonts w:asciiTheme="majorHAnsi" w:hAnsiTheme="majorHAnsi"/>
          <w:spacing w:val="22"/>
          <w:sz w:val="20"/>
          <w:szCs w:val="20"/>
          <w:lang w:val="en-US"/>
        </w:rPr>
        <w:t xml:space="preserve"> </w:t>
      </w:r>
      <w:r w:rsidRPr="000977F7">
        <w:rPr>
          <w:rFonts w:asciiTheme="majorHAnsi" w:hAnsiTheme="majorHAnsi"/>
          <w:sz w:val="20"/>
          <w:szCs w:val="20"/>
        </w:rPr>
        <w:t>межа</w:t>
      </w:r>
      <w:r w:rsidRPr="004D2D14">
        <w:rPr>
          <w:rFonts w:asciiTheme="majorHAnsi" w:hAnsiTheme="majorHAnsi"/>
          <w:spacing w:val="23"/>
          <w:sz w:val="20"/>
          <w:szCs w:val="20"/>
          <w:lang w:val="en-US"/>
        </w:rPr>
        <w:t xml:space="preserve"> </w:t>
      </w:r>
      <w:r w:rsidRPr="000977F7">
        <w:rPr>
          <w:rFonts w:asciiTheme="majorHAnsi" w:hAnsiTheme="majorHAnsi"/>
          <w:sz w:val="20"/>
          <w:szCs w:val="20"/>
        </w:rPr>
        <w:t>двох</w:t>
      </w:r>
      <w:r w:rsidRPr="004D2D14">
        <w:rPr>
          <w:rFonts w:asciiTheme="majorHAnsi" w:hAnsiTheme="majorHAnsi"/>
          <w:spacing w:val="20"/>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єктів</w:t>
      </w:r>
      <w:r w:rsidRPr="004D2D14">
        <w:rPr>
          <w:rFonts w:asciiTheme="majorHAnsi" w:hAnsiTheme="majorHAnsi"/>
          <w:sz w:val="20"/>
          <w:szCs w:val="20"/>
          <w:lang w:val="en-US"/>
        </w:rPr>
        <w:t>,</w:t>
      </w:r>
      <w:r w:rsidRPr="004D2D14">
        <w:rPr>
          <w:rFonts w:asciiTheme="majorHAnsi" w:hAnsiTheme="majorHAnsi"/>
          <w:spacing w:val="23"/>
          <w:sz w:val="20"/>
          <w:szCs w:val="20"/>
          <w:lang w:val="en-US"/>
        </w:rPr>
        <w:t xml:space="preserve"> </w:t>
      </w:r>
      <w:r w:rsidRPr="000977F7">
        <w:rPr>
          <w:rFonts w:asciiTheme="majorHAnsi" w:hAnsiTheme="majorHAnsi"/>
          <w:sz w:val="20"/>
          <w:szCs w:val="20"/>
        </w:rPr>
        <w:t>взаємодія</w:t>
      </w:r>
      <w:r w:rsidRPr="004D2D14">
        <w:rPr>
          <w:rFonts w:asciiTheme="majorHAnsi" w:hAnsiTheme="majorHAnsi"/>
          <w:spacing w:val="21"/>
          <w:sz w:val="20"/>
          <w:szCs w:val="20"/>
          <w:lang w:val="en-US"/>
        </w:rPr>
        <w:t xml:space="preserve"> </w:t>
      </w:r>
      <w:r w:rsidRPr="000977F7">
        <w:rPr>
          <w:rFonts w:asciiTheme="majorHAnsi" w:hAnsiTheme="majorHAnsi"/>
          <w:sz w:val="20"/>
          <w:szCs w:val="20"/>
        </w:rPr>
        <w:t>через</w:t>
      </w:r>
      <w:r w:rsidRPr="004D2D14">
        <w:rPr>
          <w:rFonts w:asciiTheme="majorHAnsi" w:hAnsiTheme="majorHAnsi"/>
          <w:spacing w:val="23"/>
          <w:sz w:val="20"/>
          <w:szCs w:val="20"/>
          <w:lang w:val="en-US"/>
        </w:rPr>
        <w:t xml:space="preserve"> </w:t>
      </w:r>
      <w:r w:rsidRPr="000977F7">
        <w:rPr>
          <w:rFonts w:asciiTheme="majorHAnsi" w:hAnsiTheme="majorHAnsi"/>
          <w:sz w:val="20"/>
          <w:szCs w:val="20"/>
        </w:rPr>
        <w:t>яку</w:t>
      </w:r>
      <w:r w:rsidRPr="004D2D14">
        <w:rPr>
          <w:rFonts w:asciiTheme="majorHAnsi" w:hAnsiTheme="majorHAnsi"/>
          <w:spacing w:val="21"/>
          <w:sz w:val="20"/>
          <w:szCs w:val="20"/>
          <w:lang w:val="en-US"/>
        </w:rPr>
        <w:t xml:space="preserve"> </w:t>
      </w:r>
      <w:r w:rsidRPr="000977F7">
        <w:rPr>
          <w:rFonts w:asciiTheme="majorHAnsi" w:hAnsiTheme="majorHAnsi"/>
          <w:sz w:val="20"/>
          <w:szCs w:val="20"/>
        </w:rPr>
        <w:t>ціл</w:t>
      </w:r>
      <w:r w:rsidRPr="004D2D14">
        <w:rPr>
          <w:rFonts w:asciiTheme="majorHAnsi" w:hAnsiTheme="majorHAnsi"/>
          <w:spacing w:val="-47"/>
          <w:sz w:val="20"/>
          <w:szCs w:val="20"/>
          <w:lang w:val="en-US"/>
        </w:rPr>
        <w:t xml:space="preserve"> </w:t>
      </w:r>
      <w:r w:rsidRPr="000977F7">
        <w:rPr>
          <w:rFonts w:asciiTheme="majorHAnsi" w:hAnsiTheme="majorHAnsi"/>
          <w:sz w:val="20"/>
          <w:szCs w:val="20"/>
        </w:rPr>
        <w:t>ком</w:t>
      </w:r>
      <w:r w:rsidRPr="004D2D14">
        <w:rPr>
          <w:rFonts w:asciiTheme="majorHAnsi" w:hAnsiTheme="majorHAnsi"/>
          <w:sz w:val="20"/>
          <w:szCs w:val="20"/>
          <w:lang w:val="en-US"/>
        </w:rPr>
        <w:t xml:space="preserve"> </w:t>
      </w:r>
      <w:r w:rsidRPr="000977F7">
        <w:rPr>
          <w:rFonts w:asciiTheme="majorHAnsi" w:hAnsiTheme="majorHAnsi"/>
          <w:sz w:val="20"/>
          <w:szCs w:val="20"/>
        </w:rPr>
        <w:t>визначена</w:t>
      </w:r>
    </w:p>
    <w:p w14:paraId="0496BF2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П</w:t>
      </w:r>
      <w:r w:rsidRPr="004D2D14">
        <w:rPr>
          <w:rFonts w:asciiTheme="majorHAnsi" w:hAnsiTheme="majorHAnsi"/>
          <w:spacing w:val="-1"/>
          <w:sz w:val="20"/>
          <w:szCs w:val="20"/>
          <w:lang w:val="en-US"/>
        </w:rPr>
        <w:t xml:space="preserve"> </w:t>
      </w:r>
      <w:r w:rsidRPr="000977F7">
        <w:rPr>
          <w:rFonts w:asciiTheme="majorHAnsi" w:hAnsiTheme="majorHAnsi"/>
          <w:sz w:val="20"/>
          <w:szCs w:val="20"/>
        </w:rPr>
        <w:t>р</w:t>
      </w:r>
      <w:r w:rsidRPr="004D2D14">
        <w:rPr>
          <w:rFonts w:asciiTheme="majorHAnsi" w:hAnsiTheme="majorHAnsi"/>
          <w:spacing w:val="1"/>
          <w:sz w:val="20"/>
          <w:szCs w:val="20"/>
          <w:lang w:val="en-US"/>
        </w:rPr>
        <w:t xml:space="preserve"> </w:t>
      </w:r>
      <w:r w:rsidRPr="000977F7">
        <w:rPr>
          <w:rFonts w:asciiTheme="majorHAnsi" w:hAnsiTheme="majorHAnsi"/>
          <w:sz w:val="20"/>
          <w:szCs w:val="20"/>
        </w:rPr>
        <w:t>и</w:t>
      </w:r>
      <w:r w:rsidRPr="004D2D14">
        <w:rPr>
          <w:rFonts w:asciiTheme="majorHAnsi" w:hAnsiTheme="majorHAnsi"/>
          <w:spacing w:val="-2"/>
          <w:sz w:val="20"/>
          <w:szCs w:val="20"/>
          <w:lang w:val="en-US"/>
        </w:rPr>
        <w:t xml:space="preserve"> </w:t>
      </w:r>
      <w:r w:rsidRPr="000977F7">
        <w:rPr>
          <w:rFonts w:asciiTheme="majorHAnsi" w:hAnsiTheme="majorHAnsi"/>
          <w:sz w:val="20"/>
          <w:szCs w:val="20"/>
        </w:rPr>
        <w:t>м</w:t>
      </w:r>
      <w:r w:rsidRPr="004D2D14">
        <w:rPr>
          <w:rFonts w:asciiTheme="majorHAnsi" w:hAnsiTheme="majorHAnsi"/>
          <w:spacing w:val="1"/>
          <w:sz w:val="20"/>
          <w:szCs w:val="20"/>
          <w:lang w:val="en-US"/>
        </w:rPr>
        <w:t xml:space="preserve"> </w:t>
      </w:r>
      <w:r w:rsidRPr="000977F7">
        <w:rPr>
          <w:rFonts w:asciiTheme="majorHAnsi" w:hAnsiTheme="majorHAnsi"/>
          <w:sz w:val="20"/>
          <w:szCs w:val="20"/>
        </w:rPr>
        <w:t>і</w:t>
      </w:r>
      <w:r w:rsidRPr="004D2D14">
        <w:rPr>
          <w:rFonts w:asciiTheme="majorHAnsi" w:hAnsiTheme="majorHAnsi"/>
          <w:spacing w:val="-2"/>
          <w:sz w:val="20"/>
          <w:szCs w:val="20"/>
          <w:lang w:val="en-US"/>
        </w:rPr>
        <w:t xml:space="preserve"> </w:t>
      </w:r>
      <w:r w:rsidRPr="000977F7">
        <w:rPr>
          <w:rFonts w:asciiTheme="majorHAnsi" w:hAnsiTheme="majorHAnsi"/>
          <w:sz w:val="20"/>
          <w:szCs w:val="20"/>
        </w:rPr>
        <w:t>т</w:t>
      </w:r>
      <w:r w:rsidRPr="004D2D14">
        <w:rPr>
          <w:rFonts w:asciiTheme="majorHAnsi" w:hAnsiTheme="majorHAnsi"/>
          <w:spacing w:val="-1"/>
          <w:sz w:val="20"/>
          <w:szCs w:val="20"/>
          <w:lang w:val="en-US"/>
        </w:rPr>
        <w:t xml:space="preserve"> </w:t>
      </w:r>
      <w:r w:rsidRPr="000977F7">
        <w:rPr>
          <w:rFonts w:asciiTheme="majorHAnsi" w:hAnsiTheme="majorHAnsi"/>
          <w:sz w:val="20"/>
          <w:szCs w:val="20"/>
        </w:rPr>
        <w:t>к</w:t>
      </w:r>
      <w:r w:rsidRPr="004D2D14">
        <w:rPr>
          <w:rFonts w:asciiTheme="majorHAnsi" w:hAnsiTheme="majorHAnsi"/>
          <w:spacing w:val="-2"/>
          <w:sz w:val="20"/>
          <w:szCs w:val="20"/>
          <w:lang w:val="en-US"/>
        </w:rPr>
        <w:t xml:space="preserve"> </w:t>
      </w:r>
      <w:r w:rsidRPr="000977F7">
        <w:rPr>
          <w:rFonts w:asciiTheme="majorHAnsi" w:hAnsiTheme="majorHAnsi"/>
          <w:sz w:val="20"/>
          <w:szCs w:val="20"/>
        </w:rPr>
        <w:t>а</w:t>
      </w:r>
      <w:r w:rsidRPr="004D2D14">
        <w:rPr>
          <w:rFonts w:asciiTheme="majorHAnsi" w:hAnsiTheme="majorHAnsi"/>
          <w:sz w:val="20"/>
          <w:szCs w:val="20"/>
          <w:lang w:val="en-US"/>
        </w:rPr>
        <w:t>:</w:t>
      </w:r>
    </w:p>
    <w:p w14:paraId="262F5AB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Інтерфейс</w:t>
      </w:r>
      <w:r w:rsidRPr="004D2D14">
        <w:rPr>
          <w:rFonts w:asciiTheme="majorHAnsi" w:hAnsiTheme="majorHAnsi"/>
          <w:sz w:val="20"/>
          <w:szCs w:val="20"/>
          <w:lang w:val="en-US"/>
        </w:rPr>
        <w:t xml:space="preserve"> </w:t>
      </w:r>
      <w:r w:rsidRPr="000977F7">
        <w:rPr>
          <w:rFonts w:asciiTheme="majorHAnsi" w:hAnsiTheme="majorHAnsi"/>
          <w:sz w:val="20"/>
          <w:szCs w:val="20"/>
        </w:rPr>
        <w:t>регламентує</w:t>
      </w:r>
      <w:r w:rsidRPr="004D2D14">
        <w:rPr>
          <w:rFonts w:asciiTheme="majorHAnsi" w:hAnsiTheme="majorHAnsi"/>
          <w:sz w:val="20"/>
          <w:szCs w:val="20"/>
          <w:lang w:val="en-US"/>
        </w:rPr>
        <w:t xml:space="preserve"> </w:t>
      </w:r>
      <w:r w:rsidRPr="000977F7">
        <w:rPr>
          <w:rFonts w:asciiTheme="majorHAnsi" w:hAnsiTheme="majorHAnsi"/>
          <w:sz w:val="20"/>
          <w:szCs w:val="20"/>
        </w:rPr>
        <w:t>сукупність</w:t>
      </w:r>
      <w:r w:rsidRPr="004D2D14">
        <w:rPr>
          <w:rFonts w:asciiTheme="majorHAnsi" w:hAnsiTheme="majorHAnsi"/>
          <w:sz w:val="20"/>
          <w:szCs w:val="20"/>
          <w:lang w:val="en-US"/>
        </w:rPr>
        <w:t xml:space="preserve"> </w:t>
      </w:r>
      <w:r w:rsidRPr="000977F7">
        <w:rPr>
          <w:rFonts w:asciiTheme="majorHAnsi" w:hAnsiTheme="majorHAnsi"/>
          <w:sz w:val="20"/>
          <w:szCs w:val="20"/>
        </w:rPr>
        <w:t>правил</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вимог</w:t>
      </w:r>
      <w:r w:rsidRPr="004D2D14">
        <w:rPr>
          <w:rFonts w:asciiTheme="majorHAnsi" w:hAnsiTheme="majorHAnsi"/>
          <w:sz w:val="20"/>
          <w:szCs w:val="20"/>
          <w:lang w:val="en-US"/>
        </w:rPr>
        <w:t xml:space="preserve"> </w:t>
      </w:r>
      <w:r w:rsidRPr="000977F7">
        <w:rPr>
          <w:rFonts w:asciiTheme="majorHAnsi" w:hAnsiTheme="majorHAnsi"/>
          <w:sz w:val="20"/>
          <w:szCs w:val="20"/>
        </w:rPr>
        <w:t>до</w:t>
      </w:r>
      <w:r w:rsidRPr="004D2D14">
        <w:rPr>
          <w:rFonts w:asciiTheme="majorHAnsi" w:hAnsiTheme="majorHAnsi"/>
          <w:spacing w:val="1"/>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єктів</w:t>
      </w:r>
      <w:r w:rsidRPr="004D2D14">
        <w:rPr>
          <w:rFonts w:asciiTheme="majorHAnsi" w:hAnsiTheme="majorHAnsi"/>
          <w:spacing w:val="-6"/>
          <w:sz w:val="20"/>
          <w:szCs w:val="20"/>
          <w:lang w:val="en-US"/>
        </w:rPr>
        <w:t xml:space="preserve"> </w:t>
      </w:r>
      <w:r w:rsidRPr="000977F7">
        <w:rPr>
          <w:rFonts w:asciiTheme="majorHAnsi" w:hAnsiTheme="majorHAnsi"/>
          <w:sz w:val="20"/>
          <w:szCs w:val="20"/>
        </w:rPr>
        <w:t>які</w:t>
      </w:r>
      <w:r w:rsidRPr="004D2D14">
        <w:rPr>
          <w:rFonts w:asciiTheme="majorHAnsi" w:hAnsiTheme="majorHAnsi"/>
          <w:spacing w:val="-5"/>
          <w:sz w:val="20"/>
          <w:szCs w:val="20"/>
          <w:lang w:val="en-US"/>
        </w:rPr>
        <w:t xml:space="preserve"> </w:t>
      </w:r>
      <w:r w:rsidRPr="000977F7">
        <w:rPr>
          <w:rFonts w:asciiTheme="majorHAnsi" w:hAnsiTheme="majorHAnsi"/>
          <w:sz w:val="20"/>
          <w:szCs w:val="20"/>
        </w:rPr>
        <w:t>забезпечують</w:t>
      </w:r>
      <w:r w:rsidRPr="004D2D14">
        <w:rPr>
          <w:rFonts w:asciiTheme="majorHAnsi" w:hAnsiTheme="majorHAnsi"/>
          <w:spacing w:val="-4"/>
          <w:sz w:val="20"/>
          <w:szCs w:val="20"/>
          <w:lang w:val="en-US"/>
        </w:rPr>
        <w:t xml:space="preserve"> </w:t>
      </w:r>
      <w:r w:rsidRPr="000977F7">
        <w:rPr>
          <w:rFonts w:asciiTheme="majorHAnsi" w:hAnsiTheme="majorHAnsi"/>
          <w:sz w:val="20"/>
          <w:szCs w:val="20"/>
        </w:rPr>
        <w:t>можливість</w:t>
      </w:r>
      <w:r w:rsidRPr="004D2D14">
        <w:rPr>
          <w:rFonts w:asciiTheme="majorHAnsi" w:hAnsiTheme="majorHAnsi"/>
          <w:spacing w:val="-3"/>
          <w:sz w:val="20"/>
          <w:szCs w:val="20"/>
          <w:lang w:val="en-US"/>
        </w:rPr>
        <w:t xml:space="preserve"> </w:t>
      </w:r>
      <w:r w:rsidRPr="000977F7">
        <w:rPr>
          <w:rFonts w:asciiTheme="majorHAnsi" w:hAnsiTheme="majorHAnsi"/>
          <w:sz w:val="20"/>
          <w:szCs w:val="20"/>
        </w:rPr>
        <w:t>та</w:t>
      </w:r>
      <w:r w:rsidRPr="004D2D14">
        <w:rPr>
          <w:rFonts w:asciiTheme="majorHAnsi" w:hAnsiTheme="majorHAnsi"/>
          <w:spacing w:val="-4"/>
          <w:sz w:val="20"/>
          <w:szCs w:val="20"/>
          <w:lang w:val="en-US"/>
        </w:rPr>
        <w:t xml:space="preserve"> </w:t>
      </w:r>
      <w:r w:rsidRPr="000977F7">
        <w:rPr>
          <w:rFonts w:asciiTheme="majorHAnsi" w:hAnsiTheme="majorHAnsi"/>
          <w:sz w:val="20"/>
          <w:szCs w:val="20"/>
        </w:rPr>
        <w:t>ефективність</w:t>
      </w:r>
      <w:r w:rsidRPr="004D2D14">
        <w:rPr>
          <w:rFonts w:asciiTheme="majorHAnsi" w:hAnsiTheme="majorHAnsi"/>
          <w:spacing w:val="-47"/>
          <w:sz w:val="20"/>
          <w:szCs w:val="20"/>
          <w:lang w:val="en-US"/>
        </w:rPr>
        <w:t xml:space="preserve"> </w:t>
      </w:r>
      <w:r w:rsidRPr="000977F7">
        <w:rPr>
          <w:rFonts w:asciiTheme="majorHAnsi" w:hAnsiTheme="majorHAnsi"/>
          <w:sz w:val="20"/>
          <w:szCs w:val="20"/>
        </w:rPr>
        <w:t>їхньої</w:t>
      </w:r>
      <w:r w:rsidRPr="004D2D14">
        <w:rPr>
          <w:rFonts w:asciiTheme="majorHAnsi" w:hAnsiTheme="majorHAnsi"/>
          <w:spacing w:val="-2"/>
          <w:sz w:val="20"/>
          <w:szCs w:val="20"/>
          <w:lang w:val="en-US"/>
        </w:rPr>
        <w:t xml:space="preserve"> </w:t>
      </w:r>
      <w:r w:rsidRPr="000977F7">
        <w:rPr>
          <w:rFonts w:asciiTheme="majorHAnsi" w:hAnsiTheme="majorHAnsi"/>
          <w:sz w:val="20"/>
          <w:szCs w:val="20"/>
        </w:rPr>
        <w:t>взаємодії</w:t>
      </w:r>
      <w:r w:rsidRPr="004D2D14">
        <w:rPr>
          <w:rFonts w:asciiTheme="majorHAnsi" w:hAnsiTheme="majorHAnsi"/>
          <w:spacing w:val="-1"/>
          <w:sz w:val="20"/>
          <w:szCs w:val="20"/>
          <w:lang w:val="en-US"/>
        </w:rPr>
        <w:t xml:space="preserve"> </w:t>
      </w:r>
      <w:r w:rsidRPr="000977F7">
        <w:rPr>
          <w:rFonts w:asciiTheme="majorHAnsi" w:hAnsiTheme="majorHAnsi"/>
          <w:sz w:val="20"/>
          <w:szCs w:val="20"/>
        </w:rPr>
        <w:t>через</w:t>
      </w:r>
      <w:r w:rsidRPr="004D2D14">
        <w:rPr>
          <w:rFonts w:asciiTheme="majorHAnsi" w:hAnsiTheme="majorHAnsi"/>
          <w:sz w:val="20"/>
          <w:szCs w:val="20"/>
          <w:lang w:val="en-US"/>
        </w:rPr>
        <w:t xml:space="preserve"> </w:t>
      </w:r>
      <w:r w:rsidRPr="000977F7">
        <w:rPr>
          <w:rFonts w:asciiTheme="majorHAnsi" w:hAnsiTheme="majorHAnsi"/>
          <w:sz w:val="20"/>
          <w:szCs w:val="20"/>
        </w:rPr>
        <w:t>спільну</w:t>
      </w:r>
      <w:r w:rsidRPr="004D2D14">
        <w:rPr>
          <w:rFonts w:asciiTheme="majorHAnsi" w:hAnsiTheme="majorHAnsi"/>
          <w:spacing w:val="-2"/>
          <w:sz w:val="20"/>
          <w:szCs w:val="20"/>
          <w:lang w:val="en-US"/>
        </w:rPr>
        <w:t xml:space="preserve"> </w:t>
      </w:r>
      <w:r w:rsidRPr="000977F7">
        <w:rPr>
          <w:rFonts w:asciiTheme="majorHAnsi" w:hAnsiTheme="majorHAnsi"/>
          <w:sz w:val="20"/>
          <w:szCs w:val="20"/>
        </w:rPr>
        <w:t>межу</w:t>
      </w:r>
    </w:p>
    <w:p w14:paraId="01B8C0E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3956 - 2000</w:t>
      </w:r>
    </w:p>
    <w:p w14:paraId="27CD394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ІНТЕРФЕЙС</w:t>
      </w:r>
      <w:r w:rsidRPr="000977F7">
        <w:rPr>
          <w:color w:val="auto"/>
          <w:spacing w:val="-4"/>
          <w:sz w:val="20"/>
          <w:szCs w:val="20"/>
        </w:rPr>
        <w:t xml:space="preserve"> </w:t>
      </w:r>
      <w:r w:rsidRPr="000977F7">
        <w:rPr>
          <w:color w:val="auto"/>
          <w:sz w:val="20"/>
          <w:szCs w:val="20"/>
        </w:rPr>
        <w:t>ВВЕДЕННЯ–ВИВЕДЕННЯ</w:t>
      </w:r>
      <w:r w:rsidRPr="000977F7">
        <w:rPr>
          <w:color w:val="auto"/>
          <w:spacing w:val="-3"/>
          <w:sz w:val="20"/>
          <w:szCs w:val="20"/>
        </w:rPr>
        <w:t xml:space="preserve"> </w:t>
      </w:r>
      <w:r w:rsidRPr="000977F7">
        <w:rPr>
          <w:color w:val="auto"/>
          <w:sz w:val="20"/>
          <w:szCs w:val="20"/>
        </w:rPr>
        <w:t>–</w:t>
      </w:r>
    </w:p>
    <w:p w14:paraId="071A5C9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INPUT–OUTPUT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INTERFACE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430D9EBE" w14:textId="084F1338" w:rsidR="0097612F" w:rsidRPr="00297070" w:rsidRDefault="0097612F" w:rsidP="000F35DA">
      <w:pPr>
        <w:pStyle w:val="af6"/>
        <w:tabs>
          <w:tab w:val="left" w:pos="284"/>
        </w:tabs>
        <w:spacing w:after="0"/>
        <w:ind w:left="170"/>
        <w:mirrorIndents/>
        <w:jc w:val="both"/>
        <w:rPr>
          <w:rFonts w:asciiTheme="majorHAnsi" w:hAnsiTheme="majorHAnsi"/>
          <w:i/>
          <w:spacing w:val="1"/>
          <w:sz w:val="20"/>
          <w:szCs w:val="20"/>
          <w:lang w:val="uk-UA"/>
        </w:rPr>
      </w:pPr>
      <w:r w:rsidRPr="000977F7">
        <w:rPr>
          <w:rFonts w:asciiTheme="majorHAnsi" w:hAnsiTheme="majorHAnsi"/>
          <w:sz w:val="20"/>
          <w:szCs w:val="20"/>
        </w:rPr>
        <w:t>Інформаційний інтерфейс, орієнтований на обмін даними між компонентами системи керування та</w:t>
      </w:r>
      <w:r w:rsidRPr="000977F7">
        <w:rPr>
          <w:rFonts w:asciiTheme="majorHAnsi" w:hAnsiTheme="majorHAnsi"/>
          <w:spacing w:val="1"/>
          <w:sz w:val="20"/>
          <w:szCs w:val="20"/>
        </w:rPr>
        <w:t xml:space="preserve"> </w:t>
      </w:r>
      <w:r w:rsidRPr="000977F7">
        <w:rPr>
          <w:rFonts w:asciiTheme="majorHAnsi" w:hAnsiTheme="majorHAnsi"/>
          <w:sz w:val="20"/>
          <w:szCs w:val="20"/>
        </w:rPr>
        <w:t>об’єктом або об’єктами, що не входять у склад цієї</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000F35DA">
        <w:rPr>
          <w:rFonts w:asciiTheme="majorHAnsi" w:hAnsiTheme="majorHAnsi"/>
          <w:sz w:val="20"/>
          <w:szCs w:val="20"/>
          <w:lang w:val="uk-UA"/>
        </w:rPr>
        <w:t xml:space="preserve">. </w:t>
      </w:r>
      <w:r w:rsidRPr="00297070">
        <w:rPr>
          <w:rFonts w:asciiTheme="majorHAnsi" w:hAnsiTheme="majorHAnsi"/>
          <w:i/>
          <w:sz w:val="20"/>
          <w:szCs w:val="20"/>
          <w:lang w:val="uk-UA"/>
        </w:rPr>
        <w:t>ДСТУ 3956 - 2000</w:t>
      </w:r>
    </w:p>
    <w:p w14:paraId="7C8FB1E4" w14:textId="77777777" w:rsidR="0097612F" w:rsidRPr="00297070" w:rsidRDefault="0097612F" w:rsidP="000977F7">
      <w:pPr>
        <w:tabs>
          <w:tab w:val="left" w:pos="284"/>
        </w:tabs>
        <w:spacing w:after="0" w:line="240" w:lineRule="auto"/>
        <w:ind w:left="170"/>
        <w:mirrorIndents/>
        <w:jc w:val="both"/>
        <w:rPr>
          <w:rFonts w:asciiTheme="majorHAnsi" w:hAnsiTheme="majorHAnsi"/>
          <w:b/>
          <w:spacing w:val="-47"/>
          <w:sz w:val="20"/>
          <w:szCs w:val="20"/>
          <w:lang w:val="uk-UA"/>
        </w:rPr>
      </w:pPr>
      <w:r w:rsidRPr="00297070">
        <w:rPr>
          <w:rFonts w:asciiTheme="majorHAnsi" w:hAnsiTheme="majorHAnsi"/>
          <w:b/>
          <w:sz w:val="20"/>
          <w:szCs w:val="20"/>
          <w:lang w:val="uk-UA"/>
        </w:rPr>
        <w:t>ІНТЕРФЕЙСНИЙ СИГНАЛ –</w:t>
      </w:r>
      <w:r w:rsidRPr="00297070">
        <w:rPr>
          <w:rFonts w:asciiTheme="majorHAnsi" w:hAnsiTheme="majorHAnsi"/>
          <w:b/>
          <w:spacing w:val="-47"/>
          <w:sz w:val="20"/>
          <w:szCs w:val="20"/>
          <w:lang w:val="uk-UA"/>
        </w:rPr>
        <w:t xml:space="preserve"> </w:t>
      </w:r>
    </w:p>
    <w:p w14:paraId="2FA873FC" w14:textId="77777777" w:rsidR="0097612F" w:rsidRPr="00297070" w:rsidRDefault="0097612F" w:rsidP="000977F7">
      <w:pPr>
        <w:tabs>
          <w:tab w:val="left" w:pos="284"/>
        </w:tabs>
        <w:spacing w:after="0" w:line="240" w:lineRule="auto"/>
        <w:ind w:left="170"/>
        <w:mirrorIndents/>
        <w:jc w:val="both"/>
        <w:rPr>
          <w:rFonts w:asciiTheme="majorHAnsi" w:hAnsiTheme="majorHAnsi"/>
          <w:b/>
          <w:sz w:val="20"/>
          <w:szCs w:val="20"/>
          <w:lang w:val="uk-UA"/>
        </w:rPr>
      </w:pPr>
      <w:r w:rsidRPr="000977F7">
        <w:rPr>
          <w:rFonts w:asciiTheme="majorHAnsi" w:hAnsiTheme="majorHAnsi"/>
          <w:sz w:val="20"/>
          <w:szCs w:val="20"/>
        </w:rPr>
        <w:t>INTERFACE</w:t>
      </w:r>
      <w:r w:rsidRPr="00297070">
        <w:rPr>
          <w:rFonts w:asciiTheme="majorHAnsi" w:hAnsiTheme="majorHAnsi"/>
          <w:spacing w:val="2"/>
          <w:sz w:val="20"/>
          <w:szCs w:val="20"/>
          <w:lang w:val="uk-UA"/>
        </w:rPr>
        <w:t xml:space="preserve"> </w:t>
      </w:r>
      <w:r w:rsidRPr="000977F7">
        <w:rPr>
          <w:rFonts w:asciiTheme="majorHAnsi" w:hAnsiTheme="majorHAnsi"/>
          <w:sz w:val="20"/>
          <w:szCs w:val="20"/>
        </w:rPr>
        <w:t>SIGNAL</w:t>
      </w:r>
      <w:r w:rsidRPr="00297070">
        <w:rPr>
          <w:rFonts w:asciiTheme="majorHAnsi" w:hAnsiTheme="majorHAnsi"/>
          <w:spacing w:val="-1"/>
          <w:sz w:val="20"/>
          <w:szCs w:val="20"/>
          <w:lang w:val="uk-UA"/>
        </w:rPr>
        <w:t xml:space="preserve"> </w:t>
      </w:r>
      <w:r w:rsidRPr="00297070">
        <w:rPr>
          <w:rFonts w:asciiTheme="majorHAnsi" w:hAnsiTheme="majorHAnsi"/>
          <w:b/>
          <w:sz w:val="20"/>
          <w:szCs w:val="20"/>
          <w:lang w:val="uk-UA"/>
        </w:rPr>
        <w:t>–</w:t>
      </w:r>
    </w:p>
    <w:p w14:paraId="6C7663A2" w14:textId="77777777" w:rsidR="0097612F" w:rsidRPr="00297070" w:rsidRDefault="0097612F" w:rsidP="000977F7">
      <w:pPr>
        <w:pStyle w:val="af6"/>
        <w:tabs>
          <w:tab w:val="left" w:pos="284"/>
        </w:tabs>
        <w:spacing w:after="0"/>
        <w:ind w:left="170"/>
        <w:mirrorIndents/>
        <w:jc w:val="both"/>
        <w:rPr>
          <w:rFonts w:asciiTheme="majorHAnsi" w:hAnsiTheme="majorHAnsi"/>
          <w:sz w:val="20"/>
          <w:szCs w:val="20"/>
          <w:lang w:val="uk-UA"/>
        </w:rPr>
      </w:pPr>
      <w:r w:rsidRPr="00297070">
        <w:rPr>
          <w:rFonts w:asciiTheme="majorHAnsi" w:hAnsiTheme="majorHAnsi"/>
          <w:sz w:val="20"/>
          <w:szCs w:val="20"/>
          <w:lang w:val="uk-UA"/>
        </w:rPr>
        <w:t>Сигнал, який входить до складу регламентованої сукупності сигналів будь-якого інформаційного інтерфейсу</w:t>
      </w:r>
    </w:p>
    <w:p w14:paraId="14D93CE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3886782" w14:textId="24BECE19" w:rsidR="0097612F" w:rsidRPr="00297070" w:rsidRDefault="0097612F" w:rsidP="000F35DA">
      <w:pPr>
        <w:pStyle w:val="af6"/>
        <w:tabs>
          <w:tab w:val="left" w:pos="284"/>
        </w:tabs>
        <w:spacing w:after="0"/>
        <w:ind w:left="170"/>
        <w:mirrorIndents/>
        <w:jc w:val="both"/>
        <w:rPr>
          <w:rFonts w:asciiTheme="majorHAnsi" w:hAnsiTheme="majorHAnsi"/>
          <w:i/>
          <w:sz w:val="20"/>
          <w:szCs w:val="20"/>
          <w:lang w:val="uk-UA"/>
        </w:rPr>
      </w:pPr>
      <w:r w:rsidRPr="000977F7">
        <w:rPr>
          <w:rFonts w:asciiTheme="majorHAnsi" w:hAnsiTheme="majorHAnsi"/>
          <w:sz w:val="20"/>
          <w:szCs w:val="20"/>
        </w:rPr>
        <w:t>Складений</w:t>
      </w:r>
      <w:r w:rsidRPr="000977F7">
        <w:rPr>
          <w:rFonts w:asciiTheme="majorHAnsi" w:hAnsiTheme="majorHAnsi"/>
          <w:spacing w:val="1"/>
          <w:sz w:val="20"/>
          <w:szCs w:val="20"/>
        </w:rPr>
        <w:t xml:space="preserve"> </w:t>
      </w:r>
      <w:r w:rsidRPr="000977F7">
        <w:rPr>
          <w:rFonts w:asciiTheme="majorHAnsi" w:hAnsiTheme="majorHAnsi"/>
          <w:sz w:val="20"/>
          <w:szCs w:val="20"/>
        </w:rPr>
        <w:t>сигнал</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включати</w:t>
      </w:r>
      <w:r w:rsidRPr="000977F7">
        <w:rPr>
          <w:rFonts w:asciiTheme="majorHAnsi" w:hAnsiTheme="majorHAnsi"/>
          <w:spacing w:val="1"/>
          <w:sz w:val="20"/>
          <w:szCs w:val="20"/>
        </w:rPr>
        <w:t xml:space="preserve"> </w:t>
      </w:r>
      <w:r w:rsidRPr="000977F7">
        <w:rPr>
          <w:rFonts w:asciiTheme="majorHAnsi" w:hAnsiTheme="majorHAnsi"/>
          <w:sz w:val="20"/>
          <w:szCs w:val="20"/>
        </w:rPr>
        <w:t>кілька</w:t>
      </w:r>
      <w:r w:rsidRPr="000977F7">
        <w:rPr>
          <w:rFonts w:asciiTheme="majorHAnsi" w:hAnsiTheme="majorHAnsi"/>
          <w:spacing w:val="1"/>
          <w:sz w:val="20"/>
          <w:szCs w:val="20"/>
        </w:rPr>
        <w:t xml:space="preserve"> </w:t>
      </w:r>
      <w:r w:rsidRPr="000977F7">
        <w:rPr>
          <w:rFonts w:asciiTheme="majorHAnsi" w:hAnsiTheme="majorHAnsi"/>
          <w:sz w:val="20"/>
          <w:szCs w:val="20"/>
        </w:rPr>
        <w:t>інтерфейс</w:t>
      </w:r>
      <w:r w:rsidRPr="000977F7">
        <w:rPr>
          <w:rFonts w:asciiTheme="majorHAnsi" w:hAnsiTheme="majorHAnsi"/>
          <w:spacing w:val="-47"/>
          <w:sz w:val="20"/>
          <w:szCs w:val="20"/>
        </w:rPr>
        <w:t xml:space="preserve"> </w:t>
      </w:r>
      <w:r w:rsidRPr="000977F7">
        <w:rPr>
          <w:rFonts w:asciiTheme="majorHAnsi" w:hAnsiTheme="majorHAnsi"/>
          <w:sz w:val="20"/>
          <w:szCs w:val="20"/>
        </w:rPr>
        <w:t>них сигналів або всю сукупність інтерфейсних сигналів</w:t>
      </w:r>
      <w:r w:rsidR="000F35DA">
        <w:rPr>
          <w:rFonts w:asciiTheme="majorHAnsi" w:hAnsiTheme="majorHAnsi"/>
          <w:sz w:val="20"/>
          <w:szCs w:val="20"/>
          <w:lang w:val="uk-UA"/>
        </w:rPr>
        <w:t xml:space="preserve">. </w:t>
      </w:r>
      <w:r w:rsidRPr="00297070">
        <w:rPr>
          <w:rFonts w:asciiTheme="majorHAnsi" w:hAnsiTheme="majorHAnsi"/>
          <w:i/>
          <w:sz w:val="20"/>
          <w:szCs w:val="20"/>
          <w:lang w:val="uk-UA"/>
        </w:rPr>
        <w:t>ДСТУ</w:t>
      </w:r>
      <w:r w:rsidRPr="00297070">
        <w:rPr>
          <w:rFonts w:asciiTheme="majorHAnsi" w:hAnsiTheme="majorHAnsi"/>
          <w:i/>
          <w:spacing w:val="-2"/>
          <w:sz w:val="20"/>
          <w:szCs w:val="20"/>
          <w:lang w:val="uk-UA"/>
        </w:rPr>
        <w:t xml:space="preserve"> </w:t>
      </w:r>
      <w:r w:rsidRPr="00297070">
        <w:rPr>
          <w:rFonts w:asciiTheme="majorHAnsi" w:hAnsiTheme="majorHAnsi"/>
          <w:i/>
          <w:sz w:val="20"/>
          <w:szCs w:val="20"/>
          <w:lang w:val="uk-UA"/>
        </w:rPr>
        <w:t>3956 - 2000</w:t>
      </w:r>
    </w:p>
    <w:p w14:paraId="12F7AE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83" w:name="_Hlk101016858"/>
      <w:r w:rsidRPr="000977F7">
        <w:rPr>
          <w:color w:val="auto"/>
          <w:sz w:val="20"/>
          <w:szCs w:val="20"/>
        </w:rPr>
        <w:t>ІНФОРМАТИВНА</w:t>
      </w:r>
      <w:r w:rsidRPr="000977F7">
        <w:rPr>
          <w:color w:val="auto"/>
          <w:spacing w:val="-5"/>
          <w:sz w:val="20"/>
          <w:szCs w:val="20"/>
        </w:rPr>
        <w:t xml:space="preserve"> </w:t>
      </w:r>
      <w:r w:rsidRPr="000977F7">
        <w:rPr>
          <w:color w:val="auto"/>
          <w:sz w:val="20"/>
          <w:szCs w:val="20"/>
        </w:rPr>
        <w:t>ОЗНАКА</w:t>
      </w:r>
      <w:r w:rsidRPr="000977F7">
        <w:rPr>
          <w:color w:val="auto"/>
          <w:spacing w:val="-5"/>
          <w:sz w:val="20"/>
          <w:szCs w:val="20"/>
        </w:rPr>
        <w:t xml:space="preserve"> </w:t>
      </w:r>
      <w:r w:rsidRPr="000977F7">
        <w:rPr>
          <w:color w:val="auto"/>
          <w:sz w:val="20"/>
          <w:szCs w:val="20"/>
        </w:rPr>
        <w:t>СИГНАЛУ</w:t>
      </w:r>
      <w:r w:rsidRPr="000977F7">
        <w:rPr>
          <w:color w:val="auto"/>
          <w:spacing w:val="-1"/>
          <w:sz w:val="20"/>
          <w:szCs w:val="20"/>
        </w:rPr>
        <w:t xml:space="preserve"> </w:t>
      </w:r>
      <w:r w:rsidRPr="000977F7">
        <w:rPr>
          <w:color w:val="auto"/>
          <w:sz w:val="20"/>
          <w:szCs w:val="20"/>
        </w:rPr>
        <w:t>–</w:t>
      </w:r>
    </w:p>
    <w:p w14:paraId="4300BB56" w14:textId="77777777" w:rsidR="0097612F" w:rsidRPr="00297070" w:rsidRDefault="0097612F" w:rsidP="000977F7">
      <w:pPr>
        <w:pStyle w:val="af6"/>
        <w:tabs>
          <w:tab w:val="left" w:pos="284"/>
        </w:tabs>
        <w:spacing w:after="0"/>
        <w:ind w:left="170"/>
        <w:mirrorIndents/>
        <w:jc w:val="both"/>
        <w:rPr>
          <w:rFonts w:asciiTheme="majorHAnsi" w:hAnsiTheme="majorHAnsi"/>
          <w:b/>
          <w:sz w:val="20"/>
          <w:szCs w:val="20"/>
          <w:lang w:val="uk-UA"/>
        </w:rPr>
      </w:pPr>
      <w:r w:rsidRPr="004D2D14">
        <w:rPr>
          <w:rFonts w:asciiTheme="majorHAnsi" w:hAnsiTheme="majorHAnsi"/>
          <w:sz w:val="20"/>
          <w:szCs w:val="20"/>
          <w:lang w:val="en-US"/>
        </w:rPr>
        <w:t>INFORMATIVE</w:t>
      </w:r>
      <w:r w:rsidRPr="00297070">
        <w:rPr>
          <w:rFonts w:asciiTheme="majorHAnsi" w:hAnsiTheme="majorHAnsi"/>
          <w:spacing w:val="-3"/>
          <w:sz w:val="20"/>
          <w:szCs w:val="20"/>
          <w:lang w:val="uk-UA"/>
        </w:rPr>
        <w:t xml:space="preserve"> </w:t>
      </w:r>
      <w:r w:rsidRPr="004D2D14">
        <w:rPr>
          <w:rFonts w:asciiTheme="majorHAnsi" w:hAnsiTheme="majorHAnsi"/>
          <w:sz w:val="20"/>
          <w:szCs w:val="20"/>
          <w:lang w:val="en-US"/>
        </w:rPr>
        <w:t>SIGNAL</w:t>
      </w:r>
      <w:r w:rsidRPr="00297070">
        <w:rPr>
          <w:rFonts w:asciiTheme="majorHAnsi" w:hAnsiTheme="majorHAnsi"/>
          <w:spacing w:val="-3"/>
          <w:sz w:val="20"/>
          <w:szCs w:val="20"/>
          <w:lang w:val="uk-UA"/>
        </w:rPr>
        <w:t xml:space="preserve"> </w:t>
      </w:r>
      <w:r w:rsidRPr="004D2D14">
        <w:rPr>
          <w:rFonts w:asciiTheme="majorHAnsi" w:hAnsiTheme="majorHAnsi"/>
          <w:sz w:val="20"/>
          <w:szCs w:val="20"/>
          <w:lang w:val="en-US"/>
        </w:rPr>
        <w:t>FEATURE</w:t>
      </w:r>
      <w:r w:rsidRPr="00297070">
        <w:rPr>
          <w:rFonts w:asciiTheme="majorHAnsi" w:hAnsiTheme="majorHAnsi"/>
          <w:sz w:val="20"/>
          <w:szCs w:val="20"/>
          <w:lang w:val="uk-UA"/>
        </w:rPr>
        <w:t xml:space="preserve"> </w:t>
      </w:r>
      <w:r w:rsidRPr="00297070">
        <w:rPr>
          <w:rFonts w:asciiTheme="majorHAnsi" w:hAnsiTheme="majorHAnsi"/>
          <w:b/>
          <w:sz w:val="20"/>
          <w:szCs w:val="20"/>
          <w:lang w:val="uk-UA"/>
        </w:rPr>
        <w:t>–</w:t>
      </w:r>
    </w:p>
    <w:bookmarkEnd w:id="83"/>
    <w:p w14:paraId="0E1F9827" w14:textId="77777777" w:rsidR="0097612F" w:rsidRPr="00297070" w:rsidRDefault="0097612F" w:rsidP="000977F7">
      <w:pPr>
        <w:pStyle w:val="af6"/>
        <w:tabs>
          <w:tab w:val="left" w:pos="284"/>
        </w:tabs>
        <w:spacing w:after="0"/>
        <w:ind w:left="170"/>
        <w:mirrorIndents/>
        <w:jc w:val="both"/>
        <w:rPr>
          <w:rFonts w:asciiTheme="majorHAnsi" w:hAnsiTheme="majorHAnsi"/>
          <w:sz w:val="20"/>
          <w:szCs w:val="20"/>
          <w:lang w:val="uk-UA"/>
        </w:rPr>
      </w:pPr>
      <w:r w:rsidRPr="00297070">
        <w:rPr>
          <w:rFonts w:asciiTheme="majorHAnsi" w:hAnsiTheme="majorHAnsi"/>
          <w:sz w:val="20"/>
          <w:szCs w:val="20"/>
          <w:lang w:val="uk-UA"/>
        </w:rPr>
        <w:t>Ознака діяння, яка використовується для подавання</w:t>
      </w:r>
      <w:r w:rsidRPr="00297070">
        <w:rPr>
          <w:rFonts w:asciiTheme="majorHAnsi" w:hAnsiTheme="majorHAnsi"/>
          <w:spacing w:val="1"/>
          <w:sz w:val="20"/>
          <w:szCs w:val="20"/>
          <w:lang w:val="uk-UA"/>
        </w:rPr>
        <w:t xml:space="preserve"> </w:t>
      </w:r>
      <w:r w:rsidRPr="00297070">
        <w:rPr>
          <w:rFonts w:asciiTheme="majorHAnsi" w:hAnsiTheme="majorHAnsi"/>
          <w:sz w:val="20"/>
          <w:szCs w:val="20"/>
          <w:lang w:val="uk-UA"/>
        </w:rPr>
        <w:t>даних,</w:t>
      </w:r>
      <w:r w:rsidRPr="00297070">
        <w:rPr>
          <w:rFonts w:asciiTheme="majorHAnsi" w:hAnsiTheme="majorHAnsi"/>
          <w:spacing w:val="-1"/>
          <w:sz w:val="20"/>
          <w:szCs w:val="20"/>
          <w:lang w:val="uk-UA"/>
        </w:rPr>
        <w:t xml:space="preserve"> </w:t>
      </w:r>
      <w:r w:rsidRPr="00297070">
        <w:rPr>
          <w:rFonts w:asciiTheme="majorHAnsi" w:hAnsiTheme="majorHAnsi"/>
          <w:sz w:val="20"/>
          <w:szCs w:val="20"/>
          <w:lang w:val="uk-UA"/>
        </w:rPr>
        <w:t>що</w:t>
      </w:r>
      <w:r w:rsidRPr="00297070">
        <w:rPr>
          <w:rFonts w:asciiTheme="majorHAnsi" w:hAnsiTheme="majorHAnsi"/>
          <w:spacing w:val="1"/>
          <w:sz w:val="20"/>
          <w:szCs w:val="20"/>
          <w:lang w:val="uk-UA"/>
        </w:rPr>
        <w:t xml:space="preserve"> </w:t>
      </w:r>
      <w:r w:rsidRPr="00297070">
        <w:rPr>
          <w:rFonts w:asciiTheme="majorHAnsi" w:hAnsiTheme="majorHAnsi"/>
          <w:sz w:val="20"/>
          <w:szCs w:val="20"/>
          <w:lang w:val="uk-UA"/>
        </w:rPr>
        <w:t>їх</w:t>
      </w:r>
      <w:r w:rsidRPr="00297070">
        <w:rPr>
          <w:rFonts w:asciiTheme="majorHAnsi" w:hAnsiTheme="majorHAnsi"/>
          <w:spacing w:val="1"/>
          <w:sz w:val="20"/>
          <w:szCs w:val="20"/>
          <w:lang w:val="uk-UA"/>
        </w:rPr>
        <w:t xml:space="preserve"> </w:t>
      </w:r>
      <w:r w:rsidRPr="00297070">
        <w:rPr>
          <w:rFonts w:asciiTheme="majorHAnsi" w:hAnsiTheme="majorHAnsi"/>
          <w:sz w:val="20"/>
          <w:szCs w:val="20"/>
          <w:lang w:val="uk-UA"/>
        </w:rPr>
        <w:t>пересилають</w:t>
      </w:r>
    </w:p>
    <w:p w14:paraId="6D1CD5B3" w14:textId="77777777" w:rsidR="0097612F" w:rsidRPr="00297070" w:rsidRDefault="0097612F" w:rsidP="000977F7">
      <w:pPr>
        <w:pStyle w:val="af6"/>
        <w:tabs>
          <w:tab w:val="left" w:pos="284"/>
        </w:tabs>
        <w:spacing w:after="0"/>
        <w:ind w:left="170"/>
        <w:mirrorIndents/>
        <w:jc w:val="both"/>
        <w:rPr>
          <w:rFonts w:asciiTheme="majorHAnsi" w:hAnsiTheme="majorHAnsi"/>
          <w:sz w:val="20"/>
          <w:szCs w:val="20"/>
          <w:lang w:val="uk-UA"/>
        </w:rPr>
      </w:pPr>
      <w:r w:rsidRPr="00297070">
        <w:rPr>
          <w:rFonts w:asciiTheme="majorHAnsi" w:hAnsiTheme="majorHAnsi"/>
          <w:sz w:val="20"/>
          <w:szCs w:val="20"/>
          <w:lang w:val="uk-UA"/>
        </w:rPr>
        <w:t>П</w:t>
      </w:r>
      <w:r w:rsidRPr="00297070">
        <w:rPr>
          <w:rFonts w:asciiTheme="majorHAnsi" w:hAnsiTheme="majorHAnsi"/>
          <w:spacing w:val="-1"/>
          <w:sz w:val="20"/>
          <w:szCs w:val="20"/>
          <w:lang w:val="uk-UA"/>
        </w:rPr>
        <w:t xml:space="preserve"> </w:t>
      </w:r>
      <w:r w:rsidRPr="00297070">
        <w:rPr>
          <w:rFonts w:asciiTheme="majorHAnsi" w:hAnsiTheme="majorHAnsi"/>
          <w:sz w:val="20"/>
          <w:szCs w:val="20"/>
          <w:lang w:val="uk-UA"/>
        </w:rPr>
        <w:t>р</w:t>
      </w:r>
      <w:r w:rsidRPr="00297070">
        <w:rPr>
          <w:rFonts w:asciiTheme="majorHAnsi" w:hAnsiTheme="majorHAnsi"/>
          <w:spacing w:val="1"/>
          <w:sz w:val="20"/>
          <w:szCs w:val="20"/>
          <w:lang w:val="uk-UA"/>
        </w:rPr>
        <w:t xml:space="preserve"> </w:t>
      </w:r>
      <w:r w:rsidRPr="00297070">
        <w:rPr>
          <w:rFonts w:asciiTheme="majorHAnsi" w:hAnsiTheme="majorHAnsi"/>
          <w:sz w:val="20"/>
          <w:szCs w:val="20"/>
          <w:lang w:val="uk-UA"/>
        </w:rPr>
        <w:t>и</w:t>
      </w:r>
      <w:r w:rsidRPr="00297070">
        <w:rPr>
          <w:rFonts w:asciiTheme="majorHAnsi" w:hAnsiTheme="majorHAnsi"/>
          <w:spacing w:val="-2"/>
          <w:sz w:val="20"/>
          <w:szCs w:val="20"/>
          <w:lang w:val="uk-UA"/>
        </w:rPr>
        <w:t xml:space="preserve"> </w:t>
      </w:r>
      <w:r w:rsidRPr="00297070">
        <w:rPr>
          <w:rFonts w:asciiTheme="majorHAnsi" w:hAnsiTheme="majorHAnsi"/>
          <w:sz w:val="20"/>
          <w:szCs w:val="20"/>
          <w:lang w:val="uk-UA"/>
        </w:rPr>
        <w:t>м</w:t>
      </w:r>
      <w:r w:rsidRPr="00297070">
        <w:rPr>
          <w:rFonts w:asciiTheme="majorHAnsi" w:hAnsiTheme="majorHAnsi"/>
          <w:spacing w:val="1"/>
          <w:sz w:val="20"/>
          <w:szCs w:val="20"/>
          <w:lang w:val="uk-UA"/>
        </w:rPr>
        <w:t xml:space="preserve"> </w:t>
      </w:r>
      <w:r w:rsidRPr="00297070">
        <w:rPr>
          <w:rFonts w:asciiTheme="majorHAnsi" w:hAnsiTheme="majorHAnsi"/>
          <w:sz w:val="20"/>
          <w:szCs w:val="20"/>
          <w:lang w:val="uk-UA"/>
        </w:rPr>
        <w:t>і</w:t>
      </w:r>
      <w:r w:rsidRPr="00297070">
        <w:rPr>
          <w:rFonts w:asciiTheme="majorHAnsi" w:hAnsiTheme="majorHAnsi"/>
          <w:spacing w:val="-2"/>
          <w:sz w:val="20"/>
          <w:szCs w:val="20"/>
          <w:lang w:val="uk-UA"/>
        </w:rPr>
        <w:t xml:space="preserve"> </w:t>
      </w:r>
      <w:r w:rsidRPr="00297070">
        <w:rPr>
          <w:rFonts w:asciiTheme="majorHAnsi" w:hAnsiTheme="majorHAnsi"/>
          <w:sz w:val="20"/>
          <w:szCs w:val="20"/>
          <w:lang w:val="uk-UA"/>
        </w:rPr>
        <w:t>т</w:t>
      </w:r>
      <w:r w:rsidRPr="00297070">
        <w:rPr>
          <w:rFonts w:asciiTheme="majorHAnsi" w:hAnsiTheme="majorHAnsi"/>
          <w:spacing w:val="-1"/>
          <w:sz w:val="20"/>
          <w:szCs w:val="20"/>
          <w:lang w:val="uk-UA"/>
        </w:rPr>
        <w:t xml:space="preserve"> </w:t>
      </w:r>
      <w:r w:rsidRPr="00297070">
        <w:rPr>
          <w:rFonts w:asciiTheme="majorHAnsi" w:hAnsiTheme="majorHAnsi"/>
          <w:sz w:val="20"/>
          <w:szCs w:val="20"/>
          <w:lang w:val="uk-UA"/>
        </w:rPr>
        <w:t>к</w:t>
      </w:r>
      <w:r w:rsidRPr="00297070">
        <w:rPr>
          <w:rFonts w:asciiTheme="majorHAnsi" w:hAnsiTheme="majorHAnsi"/>
          <w:spacing w:val="-1"/>
          <w:sz w:val="20"/>
          <w:szCs w:val="20"/>
          <w:lang w:val="uk-UA"/>
        </w:rPr>
        <w:t xml:space="preserve"> </w:t>
      </w:r>
      <w:r w:rsidRPr="00297070">
        <w:rPr>
          <w:rFonts w:asciiTheme="majorHAnsi" w:hAnsiTheme="majorHAnsi"/>
          <w:sz w:val="20"/>
          <w:szCs w:val="20"/>
          <w:lang w:val="uk-UA"/>
        </w:rPr>
        <w:t>а:</w:t>
      </w:r>
    </w:p>
    <w:p w14:paraId="063F2373" w14:textId="77777777" w:rsidR="0097612F" w:rsidRPr="00297070" w:rsidRDefault="0097612F" w:rsidP="000977F7">
      <w:pPr>
        <w:pStyle w:val="af6"/>
        <w:tabs>
          <w:tab w:val="left" w:pos="284"/>
        </w:tabs>
        <w:spacing w:after="0"/>
        <w:ind w:left="170"/>
        <w:mirrorIndents/>
        <w:jc w:val="both"/>
        <w:rPr>
          <w:rFonts w:asciiTheme="majorHAnsi" w:hAnsiTheme="majorHAnsi"/>
          <w:sz w:val="20"/>
          <w:szCs w:val="20"/>
          <w:lang w:val="uk-UA"/>
        </w:rPr>
      </w:pPr>
      <w:r w:rsidRPr="00297070">
        <w:rPr>
          <w:rFonts w:asciiTheme="majorHAnsi" w:hAnsiTheme="majorHAnsi"/>
          <w:spacing w:val="-1"/>
          <w:w w:val="99"/>
          <w:sz w:val="20"/>
          <w:szCs w:val="20"/>
          <w:lang w:val="uk-UA"/>
        </w:rPr>
        <w:t>П</w:t>
      </w:r>
      <w:r w:rsidRPr="00297070">
        <w:rPr>
          <w:rFonts w:asciiTheme="majorHAnsi" w:hAnsiTheme="majorHAnsi"/>
          <w:spacing w:val="1"/>
          <w:w w:val="99"/>
          <w:sz w:val="20"/>
          <w:szCs w:val="20"/>
          <w:lang w:val="uk-UA"/>
        </w:rPr>
        <w:t>р</w:t>
      </w:r>
      <w:r w:rsidRPr="00297070">
        <w:rPr>
          <w:rFonts w:asciiTheme="majorHAnsi" w:hAnsiTheme="majorHAnsi"/>
          <w:spacing w:val="-2"/>
          <w:w w:val="99"/>
          <w:sz w:val="20"/>
          <w:szCs w:val="20"/>
          <w:lang w:val="uk-UA"/>
        </w:rPr>
        <w:t>и</w:t>
      </w:r>
      <w:r w:rsidRPr="00297070">
        <w:rPr>
          <w:rFonts w:asciiTheme="majorHAnsi" w:hAnsiTheme="majorHAnsi"/>
          <w:spacing w:val="1"/>
          <w:w w:val="99"/>
          <w:sz w:val="20"/>
          <w:szCs w:val="20"/>
          <w:lang w:val="uk-UA"/>
        </w:rPr>
        <w:t>к</w:t>
      </w:r>
      <w:r w:rsidRPr="00297070">
        <w:rPr>
          <w:rFonts w:asciiTheme="majorHAnsi" w:hAnsiTheme="majorHAnsi"/>
          <w:spacing w:val="-1"/>
          <w:w w:val="99"/>
          <w:sz w:val="20"/>
          <w:szCs w:val="20"/>
          <w:lang w:val="uk-UA"/>
        </w:rPr>
        <w:t>л</w:t>
      </w:r>
      <w:r w:rsidRPr="00297070">
        <w:rPr>
          <w:rFonts w:asciiTheme="majorHAnsi" w:hAnsiTheme="majorHAnsi"/>
          <w:w w:val="99"/>
          <w:sz w:val="20"/>
          <w:szCs w:val="20"/>
          <w:lang w:val="uk-UA"/>
        </w:rPr>
        <w:t>ад</w:t>
      </w:r>
      <w:r w:rsidRPr="00297070">
        <w:rPr>
          <w:rFonts w:asciiTheme="majorHAnsi" w:hAnsiTheme="majorHAnsi"/>
          <w:sz w:val="20"/>
          <w:szCs w:val="20"/>
          <w:lang w:val="uk-UA"/>
        </w:rPr>
        <w:t xml:space="preserve"> </w:t>
      </w:r>
      <w:r w:rsidRPr="00297070">
        <w:rPr>
          <w:rFonts w:asciiTheme="majorHAnsi" w:hAnsiTheme="majorHAnsi"/>
          <w:spacing w:val="-19"/>
          <w:sz w:val="20"/>
          <w:szCs w:val="20"/>
          <w:lang w:val="uk-UA"/>
        </w:rPr>
        <w:t xml:space="preserve"> </w:t>
      </w:r>
      <w:r w:rsidRPr="00297070">
        <w:rPr>
          <w:rFonts w:asciiTheme="majorHAnsi" w:hAnsiTheme="majorHAnsi"/>
          <w:w w:val="99"/>
          <w:sz w:val="20"/>
          <w:szCs w:val="20"/>
          <w:lang w:val="uk-UA"/>
        </w:rPr>
        <w:t>і</w:t>
      </w:r>
      <w:r w:rsidRPr="00297070">
        <w:rPr>
          <w:rFonts w:asciiTheme="majorHAnsi" w:hAnsiTheme="majorHAnsi"/>
          <w:spacing w:val="-2"/>
          <w:w w:val="99"/>
          <w:sz w:val="20"/>
          <w:szCs w:val="20"/>
          <w:lang w:val="uk-UA"/>
        </w:rPr>
        <w:t>н</w:t>
      </w:r>
      <w:r w:rsidRPr="00297070">
        <w:rPr>
          <w:rFonts w:asciiTheme="majorHAnsi" w:hAnsiTheme="majorHAnsi"/>
          <w:w w:val="99"/>
          <w:sz w:val="20"/>
          <w:szCs w:val="20"/>
          <w:lang w:val="uk-UA"/>
        </w:rPr>
        <w:t>ф</w:t>
      </w:r>
      <w:r w:rsidRPr="00297070">
        <w:rPr>
          <w:rFonts w:asciiTheme="majorHAnsi" w:hAnsiTheme="majorHAnsi"/>
          <w:spacing w:val="1"/>
          <w:w w:val="99"/>
          <w:sz w:val="20"/>
          <w:szCs w:val="20"/>
          <w:lang w:val="uk-UA"/>
        </w:rPr>
        <w:t>орм</w:t>
      </w:r>
      <w:r w:rsidRPr="00297070">
        <w:rPr>
          <w:rFonts w:asciiTheme="majorHAnsi" w:hAnsiTheme="majorHAnsi"/>
          <w:w w:val="99"/>
          <w:sz w:val="20"/>
          <w:szCs w:val="20"/>
          <w:lang w:val="uk-UA"/>
        </w:rPr>
        <w:t>ат</w:t>
      </w:r>
      <w:r w:rsidRPr="00297070">
        <w:rPr>
          <w:rFonts w:asciiTheme="majorHAnsi" w:hAnsiTheme="majorHAnsi"/>
          <w:spacing w:val="1"/>
          <w:w w:val="99"/>
          <w:sz w:val="20"/>
          <w:szCs w:val="20"/>
          <w:lang w:val="uk-UA"/>
        </w:rPr>
        <w:t>и</w:t>
      </w:r>
      <w:r w:rsidRPr="00297070">
        <w:rPr>
          <w:rFonts w:asciiTheme="majorHAnsi" w:hAnsiTheme="majorHAnsi"/>
          <w:spacing w:val="-1"/>
          <w:w w:val="99"/>
          <w:sz w:val="20"/>
          <w:szCs w:val="20"/>
          <w:lang w:val="uk-UA"/>
        </w:rPr>
        <w:t>в</w:t>
      </w:r>
      <w:r w:rsidRPr="00297070">
        <w:rPr>
          <w:rFonts w:asciiTheme="majorHAnsi" w:hAnsiTheme="majorHAnsi"/>
          <w:spacing w:val="-2"/>
          <w:w w:val="99"/>
          <w:sz w:val="20"/>
          <w:szCs w:val="20"/>
          <w:lang w:val="uk-UA"/>
        </w:rPr>
        <w:t>н</w:t>
      </w:r>
      <w:r w:rsidRPr="00297070">
        <w:rPr>
          <w:rFonts w:asciiTheme="majorHAnsi" w:hAnsiTheme="majorHAnsi"/>
          <w:spacing w:val="1"/>
          <w:w w:val="99"/>
          <w:sz w:val="20"/>
          <w:szCs w:val="20"/>
          <w:lang w:val="uk-UA"/>
        </w:rPr>
        <w:t>о</w:t>
      </w:r>
      <w:r w:rsidRPr="00297070">
        <w:rPr>
          <w:rFonts w:asciiTheme="majorHAnsi" w:hAnsiTheme="majorHAnsi"/>
          <w:w w:val="99"/>
          <w:sz w:val="20"/>
          <w:szCs w:val="20"/>
          <w:lang w:val="uk-UA"/>
        </w:rPr>
        <w:t>ї</w:t>
      </w:r>
      <w:r w:rsidRPr="00297070">
        <w:rPr>
          <w:rFonts w:asciiTheme="majorHAnsi" w:hAnsiTheme="majorHAnsi"/>
          <w:sz w:val="20"/>
          <w:szCs w:val="20"/>
          <w:lang w:val="uk-UA"/>
        </w:rPr>
        <w:t xml:space="preserve"> </w:t>
      </w:r>
      <w:r w:rsidRPr="00297070">
        <w:rPr>
          <w:rFonts w:asciiTheme="majorHAnsi" w:hAnsiTheme="majorHAnsi"/>
          <w:spacing w:val="-19"/>
          <w:sz w:val="20"/>
          <w:szCs w:val="20"/>
          <w:lang w:val="uk-UA"/>
        </w:rPr>
        <w:t xml:space="preserve"> </w:t>
      </w:r>
      <w:r w:rsidRPr="00297070">
        <w:rPr>
          <w:rFonts w:asciiTheme="majorHAnsi" w:hAnsiTheme="majorHAnsi"/>
          <w:spacing w:val="1"/>
          <w:w w:val="99"/>
          <w:sz w:val="20"/>
          <w:szCs w:val="20"/>
          <w:lang w:val="uk-UA"/>
        </w:rPr>
        <w:t>о</w:t>
      </w:r>
      <w:r w:rsidRPr="00297070">
        <w:rPr>
          <w:rFonts w:asciiTheme="majorHAnsi" w:hAnsiTheme="majorHAnsi"/>
          <w:w w:val="99"/>
          <w:sz w:val="20"/>
          <w:szCs w:val="20"/>
          <w:lang w:val="uk-UA"/>
        </w:rPr>
        <w:t>з</w:t>
      </w:r>
      <w:r w:rsidRPr="00297070">
        <w:rPr>
          <w:rFonts w:asciiTheme="majorHAnsi" w:hAnsiTheme="majorHAnsi"/>
          <w:spacing w:val="1"/>
          <w:w w:val="99"/>
          <w:sz w:val="20"/>
          <w:szCs w:val="20"/>
          <w:lang w:val="uk-UA"/>
        </w:rPr>
        <w:t>н</w:t>
      </w:r>
      <w:r w:rsidRPr="00297070">
        <w:rPr>
          <w:rFonts w:asciiTheme="majorHAnsi" w:hAnsiTheme="majorHAnsi"/>
          <w:w w:val="99"/>
          <w:sz w:val="20"/>
          <w:szCs w:val="20"/>
          <w:lang w:val="uk-UA"/>
        </w:rPr>
        <w:t>аки</w:t>
      </w:r>
      <w:r w:rsidRPr="00297070">
        <w:rPr>
          <w:rFonts w:asciiTheme="majorHAnsi" w:hAnsiTheme="majorHAnsi"/>
          <w:sz w:val="20"/>
          <w:szCs w:val="20"/>
          <w:lang w:val="uk-UA"/>
        </w:rPr>
        <w:t xml:space="preserve"> </w:t>
      </w:r>
      <w:r w:rsidRPr="00297070">
        <w:rPr>
          <w:rFonts w:asciiTheme="majorHAnsi" w:hAnsiTheme="majorHAnsi"/>
          <w:spacing w:val="-18"/>
          <w:sz w:val="20"/>
          <w:szCs w:val="20"/>
          <w:lang w:val="uk-UA"/>
        </w:rPr>
        <w:t xml:space="preserve"> </w:t>
      </w:r>
      <w:r w:rsidRPr="00297070">
        <w:rPr>
          <w:rFonts w:asciiTheme="majorHAnsi" w:hAnsiTheme="majorHAnsi"/>
          <w:w w:val="99"/>
          <w:sz w:val="20"/>
          <w:szCs w:val="20"/>
          <w:lang w:val="uk-UA"/>
        </w:rPr>
        <w:t>–</w:t>
      </w:r>
      <w:r w:rsidRPr="00297070">
        <w:rPr>
          <w:rFonts w:asciiTheme="majorHAnsi" w:hAnsiTheme="majorHAnsi"/>
          <w:sz w:val="20"/>
          <w:szCs w:val="20"/>
          <w:lang w:val="uk-UA"/>
        </w:rPr>
        <w:t xml:space="preserve"> </w:t>
      </w:r>
      <w:r w:rsidRPr="00297070">
        <w:rPr>
          <w:rFonts w:asciiTheme="majorHAnsi" w:hAnsiTheme="majorHAnsi"/>
          <w:spacing w:val="-18"/>
          <w:sz w:val="20"/>
          <w:szCs w:val="20"/>
          <w:lang w:val="uk-UA"/>
        </w:rPr>
        <w:t xml:space="preserve"> </w:t>
      </w:r>
      <w:r w:rsidRPr="00297070">
        <w:rPr>
          <w:rFonts w:asciiTheme="majorHAnsi" w:hAnsiTheme="majorHAnsi"/>
          <w:spacing w:val="-2"/>
          <w:w w:val="44"/>
          <w:sz w:val="20"/>
          <w:szCs w:val="20"/>
          <w:lang w:val="uk-UA"/>
        </w:rPr>
        <w:t>―</w:t>
      </w:r>
      <w:r w:rsidRPr="00297070">
        <w:rPr>
          <w:rFonts w:asciiTheme="majorHAnsi" w:hAnsiTheme="majorHAnsi"/>
          <w:spacing w:val="1"/>
          <w:w w:val="99"/>
          <w:sz w:val="20"/>
          <w:szCs w:val="20"/>
          <w:lang w:val="uk-UA"/>
        </w:rPr>
        <w:t>н</w:t>
      </w:r>
      <w:r w:rsidRPr="00297070">
        <w:rPr>
          <w:rFonts w:asciiTheme="majorHAnsi" w:hAnsiTheme="majorHAnsi"/>
          <w:spacing w:val="-2"/>
          <w:w w:val="99"/>
          <w:sz w:val="20"/>
          <w:szCs w:val="20"/>
          <w:lang w:val="uk-UA"/>
        </w:rPr>
        <w:t>и</w:t>
      </w:r>
      <w:r w:rsidRPr="00297070">
        <w:rPr>
          <w:rFonts w:asciiTheme="majorHAnsi" w:hAnsiTheme="majorHAnsi"/>
          <w:w w:val="99"/>
          <w:sz w:val="20"/>
          <w:szCs w:val="20"/>
          <w:lang w:val="uk-UA"/>
        </w:rPr>
        <w:t>зь</w:t>
      </w:r>
      <w:r w:rsidRPr="00297070">
        <w:rPr>
          <w:rFonts w:asciiTheme="majorHAnsi" w:hAnsiTheme="majorHAnsi"/>
          <w:spacing w:val="1"/>
          <w:w w:val="99"/>
          <w:sz w:val="20"/>
          <w:szCs w:val="20"/>
          <w:lang w:val="uk-UA"/>
        </w:rPr>
        <w:t>ки</w:t>
      </w:r>
      <w:r w:rsidRPr="00297070">
        <w:rPr>
          <w:rFonts w:asciiTheme="majorHAnsi" w:hAnsiTheme="majorHAnsi"/>
          <w:spacing w:val="-2"/>
          <w:w w:val="99"/>
          <w:sz w:val="20"/>
          <w:szCs w:val="20"/>
          <w:lang w:val="uk-UA"/>
        </w:rPr>
        <w:t>й</w:t>
      </w:r>
      <w:r w:rsidRPr="00297070">
        <w:rPr>
          <w:rFonts w:asciiTheme="majorHAnsi" w:hAnsiTheme="majorHAnsi"/>
          <w:sz w:val="20"/>
          <w:szCs w:val="20"/>
          <w:lang w:val="uk-UA"/>
        </w:rPr>
        <w:t xml:space="preserve"> </w:t>
      </w:r>
      <w:r w:rsidRPr="00297070">
        <w:rPr>
          <w:rFonts w:asciiTheme="majorHAnsi" w:hAnsiTheme="majorHAnsi"/>
          <w:spacing w:val="-19"/>
          <w:sz w:val="20"/>
          <w:szCs w:val="20"/>
          <w:lang w:val="uk-UA"/>
        </w:rPr>
        <w:t xml:space="preserve"> </w:t>
      </w:r>
      <w:r w:rsidRPr="00297070">
        <w:rPr>
          <w:rFonts w:asciiTheme="majorHAnsi" w:hAnsiTheme="majorHAnsi"/>
          <w:w w:val="99"/>
          <w:sz w:val="20"/>
          <w:szCs w:val="20"/>
          <w:lang w:val="uk-UA"/>
        </w:rPr>
        <w:t>або</w:t>
      </w:r>
      <w:r w:rsidRPr="00297070">
        <w:rPr>
          <w:rFonts w:asciiTheme="majorHAnsi" w:hAnsiTheme="majorHAnsi"/>
          <w:sz w:val="20"/>
          <w:szCs w:val="20"/>
          <w:lang w:val="uk-UA"/>
        </w:rPr>
        <w:t xml:space="preserve"> </w:t>
      </w:r>
      <w:r w:rsidRPr="00297070">
        <w:rPr>
          <w:rFonts w:asciiTheme="majorHAnsi" w:hAnsiTheme="majorHAnsi"/>
          <w:spacing w:val="-18"/>
          <w:sz w:val="20"/>
          <w:szCs w:val="20"/>
          <w:lang w:val="uk-UA"/>
        </w:rPr>
        <w:t xml:space="preserve"> </w:t>
      </w:r>
      <w:r w:rsidRPr="00297070">
        <w:rPr>
          <w:rFonts w:asciiTheme="majorHAnsi" w:hAnsiTheme="majorHAnsi"/>
          <w:spacing w:val="-2"/>
          <w:w w:val="44"/>
          <w:sz w:val="20"/>
          <w:szCs w:val="20"/>
          <w:lang w:val="uk-UA"/>
        </w:rPr>
        <w:t>―</w:t>
      </w:r>
      <w:r w:rsidRPr="00297070">
        <w:rPr>
          <w:rFonts w:asciiTheme="majorHAnsi" w:hAnsiTheme="majorHAnsi"/>
          <w:spacing w:val="3"/>
          <w:w w:val="99"/>
          <w:sz w:val="20"/>
          <w:szCs w:val="20"/>
          <w:lang w:val="uk-UA"/>
        </w:rPr>
        <w:t>в</w:t>
      </w:r>
      <w:r w:rsidRPr="00297070">
        <w:rPr>
          <w:rFonts w:asciiTheme="majorHAnsi" w:hAnsiTheme="majorHAnsi"/>
          <w:spacing w:val="-1"/>
          <w:w w:val="99"/>
          <w:sz w:val="20"/>
          <w:szCs w:val="20"/>
          <w:lang w:val="uk-UA"/>
        </w:rPr>
        <w:t>и</w:t>
      </w:r>
      <w:r w:rsidRPr="00297070">
        <w:rPr>
          <w:rFonts w:asciiTheme="majorHAnsi" w:hAnsiTheme="majorHAnsi"/>
          <w:sz w:val="20"/>
          <w:szCs w:val="20"/>
          <w:lang w:val="uk-UA"/>
        </w:rPr>
        <w:t>сокий рівні постійного струму, які становлять циф</w:t>
      </w:r>
      <w:r w:rsidRPr="00297070">
        <w:rPr>
          <w:rFonts w:asciiTheme="majorHAnsi" w:hAnsiTheme="majorHAnsi"/>
          <w:spacing w:val="1"/>
          <w:w w:val="99"/>
          <w:sz w:val="20"/>
          <w:szCs w:val="20"/>
          <w:lang w:val="uk-UA"/>
        </w:rPr>
        <w:t>ро</w:t>
      </w:r>
      <w:r w:rsidRPr="00297070">
        <w:rPr>
          <w:rFonts w:asciiTheme="majorHAnsi" w:hAnsiTheme="majorHAnsi"/>
          <w:spacing w:val="-1"/>
          <w:w w:val="99"/>
          <w:sz w:val="20"/>
          <w:szCs w:val="20"/>
          <w:lang w:val="uk-UA"/>
        </w:rPr>
        <w:t>в</w:t>
      </w:r>
      <w:r w:rsidRPr="00297070">
        <w:rPr>
          <w:rFonts w:asciiTheme="majorHAnsi" w:hAnsiTheme="majorHAnsi"/>
          <w:w w:val="99"/>
          <w:sz w:val="20"/>
          <w:szCs w:val="20"/>
          <w:lang w:val="uk-UA"/>
        </w:rPr>
        <w:t>і</w:t>
      </w:r>
      <w:r w:rsidRPr="00297070">
        <w:rPr>
          <w:rFonts w:asciiTheme="majorHAnsi" w:hAnsiTheme="majorHAnsi"/>
          <w:spacing w:val="6"/>
          <w:sz w:val="20"/>
          <w:szCs w:val="20"/>
          <w:lang w:val="uk-UA"/>
        </w:rPr>
        <w:t xml:space="preserve"> </w:t>
      </w:r>
      <w:r w:rsidRPr="00297070">
        <w:rPr>
          <w:rFonts w:asciiTheme="majorHAnsi" w:hAnsiTheme="majorHAnsi"/>
          <w:w w:val="99"/>
          <w:sz w:val="20"/>
          <w:szCs w:val="20"/>
          <w:lang w:val="uk-UA"/>
        </w:rPr>
        <w:t>зна</w:t>
      </w:r>
      <w:r w:rsidRPr="00297070">
        <w:rPr>
          <w:rFonts w:asciiTheme="majorHAnsi" w:hAnsiTheme="majorHAnsi"/>
          <w:spacing w:val="1"/>
          <w:w w:val="99"/>
          <w:sz w:val="20"/>
          <w:szCs w:val="20"/>
          <w:lang w:val="uk-UA"/>
        </w:rPr>
        <w:t>к</w:t>
      </w:r>
      <w:r w:rsidRPr="00297070">
        <w:rPr>
          <w:rFonts w:asciiTheme="majorHAnsi" w:hAnsiTheme="majorHAnsi"/>
          <w:w w:val="99"/>
          <w:sz w:val="20"/>
          <w:szCs w:val="20"/>
          <w:lang w:val="uk-UA"/>
        </w:rPr>
        <w:t>и</w:t>
      </w:r>
      <w:r w:rsidRPr="00297070">
        <w:rPr>
          <w:rFonts w:asciiTheme="majorHAnsi" w:hAnsiTheme="majorHAnsi"/>
          <w:spacing w:val="6"/>
          <w:sz w:val="20"/>
          <w:szCs w:val="20"/>
          <w:lang w:val="uk-UA"/>
        </w:rPr>
        <w:t xml:space="preserve"> </w:t>
      </w:r>
      <w:r w:rsidRPr="00297070">
        <w:rPr>
          <w:rFonts w:asciiTheme="majorHAnsi" w:hAnsiTheme="majorHAnsi"/>
          <w:spacing w:val="2"/>
          <w:w w:val="99"/>
          <w:sz w:val="20"/>
          <w:szCs w:val="20"/>
          <w:lang w:val="uk-UA"/>
        </w:rPr>
        <w:t>(</w:t>
      </w:r>
      <w:r w:rsidRPr="00297070">
        <w:rPr>
          <w:rFonts w:asciiTheme="majorHAnsi" w:hAnsiTheme="majorHAnsi"/>
          <w:spacing w:val="-2"/>
          <w:w w:val="44"/>
          <w:sz w:val="20"/>
          <w:szCs w:val="20"/>
          <w:lang w:val="uk-UA"/>
        </w:rPr>
        <w:t>―</w:t>
      </w:r>
      <w:r w:rsidRPr="00297070">
        <w:rPr>
          <w:rFonts w:asciiTheme="majorHAnsi" w:hAnsiTheme="majorHAnsi"/>
          <w:spacing w:val="1"/>
          <w:w w:val="99"/>
          <w:sz w:val="20"/>
          <w:szCs w:val="20"/>
          <w:lang w:val="uk-UA"/>
        </w:rPr>
        <w:t>0</w:t>
      </w:r>
      <w:r w:rsidRPr="00297070">
        <w:rPr>
          <w:rFonts w:asciiTheme="majorHAnsi" w:hAnsiTheme="majorHAnsi"/>
          <w:spacing w:val="7"/>
          <w:sz w:val="20"/>
          <w:szCs w:val="20"/>
          <w:lang w:val="uk-UA"/>
        </w:rPr>
        <w:t xml:space="preserve"> </w:t>
      </w:r>
      <w:r w:rsidRPr="00297070">
        <w:rPr>
          <w:rFonts w:asciiTheme="majorHAnsi" w:hAnsiTheme="majorHAnsi"/>
          <w:w w:val="99"/>
          <w:sz w:val="20"/>
          <w:szCs w:val="20"/>
          <w:lang w:val="uk-UA"/>
        </w:rPr>
        <w:t>або</w:t>
      </w:r>
      <w:r w:rsidRPr="00297070">
        <w:rPr>
          <w:rFonts w:asciiTheme="majorHAnsi" w:hAnsiTheme="majorHAnsi"/>
          <w:spacing w:val="10"/>
          <w:sz w:val="20"/>
          <w:szCs w:val="20"/>
          <w:lang w:val="uk-UA"/>
        </w:rPr>
        <w:t xml:space="preserve"> </w:t>
      </w:r>
      <w:r w:rsidRPr="00297070">
        <w:rPr>
          <w:rFonts w:asciiTheme="majorHAnsi" w:hAnsiTheme="majorHAnsi"/>
          <w:spacing w:val="-2"/>
          <w:w w:val="44"/>
          <w:sz w:val="20"/>
          <w:szCs w:val="20"/>
          <w:lang w:val="uk-UA"/>
        </w:rPr>
        <w:t>―</w:t>
      </w:r>
      <w:r w:rsidRPr="00297070">
        <w:rPr>
          <w:rFonts w:asciiTheme="majorHAnsi" w:hAnsiTheme="majorHAnsi"/>
          <w:spacing w:val="1"/>
          <w:w w:val="99"/>
          <w:sz w:val="20"/>
          <w:szCs w:val="20"/>
          <w:lang w:val="uk-UA"/>
        </w:rPr>
        <w:t>1</w:t>
      </w:r>
      <w:r w:rsidRPr="00297070">
        <w:rPr>
          <w:rFonts w:asciiTheme="majorHAnsi" w:hAnsiTheme="majorHAnsi"/>
          <w:w w:val="126"/>
          <w:sz w:val="20"/>
          <w:szCs w:val="20"/>
          <w:lang w:val="uk-UA"/>
        </w:rPr>
        <w:t>)</w:t>
      </w:r>
      <w:r w:rsidRPr="00297070">
        <w:rPr>
          <w:rFonts w:asciiTheme="majorHAnsi" w:hAnsiTheme="majorHAnsi"/>
          <w:spacing w:val="10"/>
          <w:sz w:val="20"/>
          <w:szCs w:val="20"/>
          <w:lang w:val="uk-UA"/>
        </w:rPr>
        <w:t xml:space="preserve"> </w:t>
      </w:r>
      <w:r w:rsidRPr="00297070">
        <w:rPr>
          <w:rFonts w:asciiTheme="majorHAnsi" w:hAnsiTheme="majorHAnsi"/>
          <w:spacing w:val="-2"/>
          <w:w w:val="99"/>
          <w:sz w:val="20"/>
          <w:szCs w:val="20"/>
          <w:lang w:val="uk-UA"/>
        </w:rPr>
        <w:t>п</w:t>
      </w:r>
      <w:r w:rsidRPr="00297070">
        <w:rPr>
          <w:rFonts w:asciiTheme="majorHAnsi" w:hAnsiTheme="majorHAnsi"/>
          <w:spacing w:val="1"/>
          <w:w w:val="99"/>
          <w:sz w:val="20"/>
          <w:szCs w:val="20"/>
          <w:lang w:val="uk-UA"/>
        </w:rPr>
        <w:t>р</w:t>
      </w:r>
      <w:r w:rsidRPr="00297070">
        <w:rPr>
          <w:rFonts w:asciiTheme="majorHAnsi" w:hAnsiTheme="majorHAnsi"/>
          <w:w w:val="99"/>
          <w:sz w:val="20"/>
          <w:szCs w:val="20"/>
          <w:lang w:val="uk-UA"/>
        </w:rPr>
        <w:t>и</w:t>
      </w:r>
      <w:r w:rsidRPr="00297070">
        <w:rPr>
          <w:rFonts w:asciiTheme="majorHAnsi" w:hAnsiTheme="majorHAnsi"/>
          <w:spacing w:val="8"/>
          <w:sz w:val="20"/>
          <w:szCs w:val="20"/>
          <w:lang w:val="uk-UA"/>
        </w:rPr>
        <w:t xml:space="preserve"> д</w:t>
      </w:r>
      <w:r w:rsidRPr="00297070">
        <w:rPr>
          <w:rFonts w:asciiTheme="majorHAnsi" w:hAnsiTheme="majorHAnsi"/>
          <w:spacing w:val="-1"/>
          <w:w w:val="99"/>
          <w:sz w:val="20"/>
          <w:szCs w:val="20"/>
          <w:lang w:val="uk-UA"/>
        </w:rPr>
        <w:t>ві</w:t>
      </w:r>
      <w:r w:rsidRPr="00297070">
        <w:rPr>
          <w:rFonts w:asciiTheme="majorHAnsi" w:hAnsiTheme="majorHAnsi"/>
          <w:spacing w:val="1"/>
          <w:w w:val="99"/>
          <w:sz w:val="20"/>
          <w:szCs w:val="20"/>
          <w:lang w:val="uk-UA"/>
        </w:rPr>
        <w:t>й</w:t>
      </w:r>
      <w:r w:rsidRPr="00297070">
        <w:rPr>
          <w:rFonts w:asciiTheme="majorHAnsi" w:hAnsiTheme="majorHAnsi"/>
          <w:spacing w:val="-1"/>
          <w:w w:val="99"/>
          <w:sz w:val="20"/>
          <w:szCs w:val="20"/>
          <w:lang w:val="uk-UA"/>
        </w:rPr>
        <w:t>к</w:t>
      </w:r>
      <w:r w:rsidRPr="00297070">
        <w:rPr>
          <w:rFonts w:asciiTheme="majorHAnsi" w:hAnsiTheme="majorHAnsi"/>
          <w:spacing w:val="1"/>
          <w:w w:val="99"/>
          <w:sz w:val="20"/>
          <w:szCs w:val="20"/>
          <w:lang w:val="uk-UA"/>
        </w:rPr>
        <w:t>о</w:t>
      </w:r>
      <w:r w:rsidRPr="00297070">
        <w:rPr>
          <w:rFonts w:asciiTheme="majorHAnsi" w:hAnsiTheme="majorHAnsi"/>
          <w:spacing w:val="-1"/>
          <w:w w:val="99"/>
          <w:sz w:val="20"/>
          <w:szCs w:val="20"/>
          <w:lang w:val="uk-UA"/>
        </w:rPr>
        <w:t>в</w:t>
      </w:r>
      <w:r w:rsidRPr="00297070">
        <w:rPr>
          <w:rFonts w:asciiTheme="majorHAnsi" w:hAnsiTheme="majorHAnsi"/>
          <w:w w:val="99"/>
          <w:sz w:val="20"/>
          <w:szCs w:val="20"/>
          <w:lang w:val="uk-UA"/>
        </w:rPr>
        <w:t>о</w:t>
      </w:r>
      <w:r w:rsidRPr="00297070">
        <w:rPr>
          <w:rFonts w:asciiTheme="majorHAnsi" w:hAnsiTheme="majorHAnsi"/>
          <w:spacing w:val="3"/>
          <w:w w:val="99"/>
          <w:sz w:val="20"/>
          <w:szCs w:val="20"/>
          <w:lang w:val="uk-UA"/>
        </w:rPr>
        <w:t>м</w:t>
      </w:r>
      <w:r w:rsidRPr="00297070">
        <w:rPr>
          <w:rFonts w:asciiTheme="majorHAnsi" w:hAnsiTheme="majorHAnsi"/>
          <w:w w:val="99"/>
          <w:sz w:val="20"/>
          <w:szCs w:val="20"/>
          <w:lang w:val="uk-UA"/>
        </w:rPr>
        <w:t>у</w:t>
      </w:r>
      <w:r w:rsidRPr="00297070">
        <w:rPr>
          <w:rFonts w:asciiTheme="majorHAnsi" w:hAnsiTheme="majorHAnsi"/>
          <w:spacing w:val="6"/>
          <w:sz w:val="20"/>
          <w:szCs w:val="20"/>
          <w:lang w:val="uk-UA"/>
        </w:rPr>
        <w:t xml:space="preserve"> </w:t>
      </w:r>
      <w:r w:rsidRPr="00297070">
        <w:rPr>
          <w:rFonts w:asciiTheme="majorHAnsi" w:hAnsiTheme="majorHAnsi"/>
          <w:spacing w:val="-1"/>
          <w:w w:val="99"/>
          <w:sz w:val="20"/>
          <w:szCs w:val="20"/>
          <w:lang w:val="uk-UA"/>
        </w:rPr>
        <w:t>к</w:t>
      </w:r>
      <w:r w:rsidRPr="00297070">
        <w:rPr>
          <w:rFonts w:asciiTheme="majorHAnsi" w:hAnsiTheme="majorHAnsi"/>
          <w:spacing w:val="1"/>
          <w:w w:val="99"/>
          <w:sz w:val="20"/>
          <w:szCs w:val="20"/>
          <w:lang w:val="uk-UA"/>
        </w:rPr>
        <w:t>од</w:t>
      </w:r>
      <w:r w:rsidRPr="00297070">
        <w:rPr>
          <w:rFonts w:asciiTheme="majorHAnsi" w:hAnsiTheme="majorHAnsi"/>
          <w:spacing w:val="-2"/>
          <w:w w:val="99"/>
          <w:sz w:val="20"/>
          <w:szCs w:val="20"/>
          <w:lang w:val="uk-UA"/>
        </w:rPr>
        <w:t>у</w:t>
      </w:r>
      <w:r w:rsidRPr="00297070">
        <w:rPr>
          <w:rFonts w:asciiTheme="majorHAnsi" w:hAnsiTheme="majorHAnsi"/>
          <w:spacing w:val="-1"/>
          <w:w w:val="99"/>
          <w:sz w:val="20"/>
          <w:szCs w:val="20"/>
          <w:lang w:val="uk-UA"/>
        </w:rPr>
        <w:t>в</w:t>
      </w:r>
      <w:r w:rsidRPr="00297070">
        <w:rPr>
          <w:rFonts w:asciiTheme="majorHAnsi" w:hAnsiTheme="majorHAnsi"/>
          <w:spacing w:val="2"/>
          <w:w w:val="99"/>
          <w:sz w:val="20"/>
          <w:szCs w:val="20"/>
          <w:lang w:val="uk-UA"/>
        </w:rPr>
        <w:t>а</w:t>
      </w:r>
      <w:r w:rsidRPr="00297070">
        <w:rPr>
          <w:rFonts w:asciiTheme="majorHAnsi" w:hAnsiTheme="majorHAnsi"/>
          <w:spacing w:val="-2"/>
          <w:w w:val="99"/>
          <w:sz w:val="20"/>
          <w:szCs w:val="20"/>
          <w:lang w:val="uk-UA"/>
        </w:rPr>
        <w:t>нн</w:t>
      </w:r>
      <w:r w:rsidRPr="00297070">
        <w:rPr>
          <w:rFonts w:asciiTheme="majorHAnsi" w:hAnsiTheme="majorHAnsi"/>
          <w:w w:val="99"/>
          <w:sz w:val="20"/>
          <w:szCs w:val="20"/>
          <w:lang w:val="uk-UA"/>
        </w:rPr>
        <w:t>і</w:t>
      </w:r>
      <w:r w:rsidRPr="00297070">
        <w:rPr>
          <w:rFonts w:asciiTheme="majorHAnsi" w:hAnsiTheme="majorHAnsi"/>
          <w:spacing w:val="9"/>
          <w:sz w:val="20"/>
          <w:szCs w:val="20"/>
          <w:lang w:val="uk-UA"/>
        </w:rPr>
        <w:t xml:space="preserve"> </w:t>
      </w:r>
      <w:r w:rsidRPr="00297070">
        <w:rPr>
          <w:rFonts w:asciiTheme="majorHAnsi" w:hAnsiTheme="majorHAnsi"/>
          <w:w w:val="99"/>
          <w:sz w:val="20"/>
          <w:szCs w:val="20"/>
          <w:lang w:val="uk-UA"/>
        </w:rPr>
        <w:t>ч</w:t>
      </w:r>
      <w:r w:rsidRPr="00297070">
        <w:rPr>
          <w:rFonts w:asciiTheme="majorHAnsi" w:hAnsiTheme="majorHAnsi"/>
          <w:spacing w:val="5"/>
          <w:w w:val="99"/>
          <w:sz w:val="20"/>
          <w:szCs w:val="20"/>
          <w:lang w:val="uk-UA"/>
        </w:rPr>
        <w:t>и</w:t>
      </w:r>
      <w:r w:rsidRPr="00297070">
        <w:rPr>
          <w:rFonts w:asciiTheme="majorHAnsi" w:hAnsiTheme="majorHAnsi"/>
          <w:spacing w:val="2"/>
          <w:w w:val="99"/>
          <w:sz w:val="20"/>
          <w:szCs w:val="20"/>
          <w:lang w:val="uk-UA"/>
        </w:rPr>
        <w:t>с</w:t>
      </w:r>
      <w:r w:rsidRPr="00297070">
        <w:rPr>
          <w:rFonts w:asciiTheme="majorHAnsi" w:hAnsiTheme="majorHAnsi"/>
          <w:sz w:val="20"/>
          <w:szCs w:val="20"/>
          <w:lang w:val="uk-UA"/>
        </w:rPr>
        <w:t>лових</w:t>
      </w:r>
      <w:r w:rsidRPr="00297070">
        <w:rPr>
          <w:rFonts w:asciiTheme="majorHAnsi" w:hAnsiTheme="majorHAnsi"/>
          <w:spacing w:val="1"/>
          <w:sz w:val="20"/>
          <w:szCs w:val="20"/>
          <w:lang w:val="uk-UA"/>
        </w:rPr>
        <w:t xml:space="preserve"> </w:t>
      </w:r>
      <w:r w:rsidRPr="00297070">
        <w:rPr>
          <w:rFonts w:asciiTheme="majorHAnsi" w:hAnsiTheme="majorHAnsi"/>
          <w:sz w:val="20"/>
          <w:szCs w:val="20"/>
          <w:lang w:val="uk-UA"/>
        </w:rPr>
        <w:t>даних;</w:t>
      </w:r>
      <w:r w:rsidRPr="00297070">
        <w:rPr>
          <w:rFonts w:asciiTheme="majorHAnsi" w:hAnsiTheme="majorHAnsi"/>
          <w:spacing w:val="1"/>
          <w:sz w:val="20"/>
          <w:szCs w:val="20"/>
          <w:lang w:val="uk-UA"/>
        </w:rPr>
        <w:t xml:space="preserve"> </w:t>
      </w:r>
      <w:r w:rsidRPr="00297070">
        <w:rPr>
          <w:rFonts w:asciiTheme="majorHAnsi" w:hAnsiTheme="majorHAnsi"/>
          <w:sz w:val="20"/>
          <w:szCs w:val="20"/>
          <w:lang w:val="uk-UA"/>
        </w:rPr>
        <w:t>приклад</w:t>
      </w:r>
      <w:r w:rsidRPr="00297070">
        <w:rPr>
          <w:rFonts w:asciiTheme="majorHAnsi" w:hAnsiTheme="majorHAnsi"/>
          <w:spacing w:val="1"/>
          <w:sz w:val="20"/>
          <w:szCs w:val="20"/>
          <w:lang w:val="uk-UA"/>
        </w:rPr>
        <w:t xml:space="preserve"> </w:t>
      </w:r>
      <w:r w:rsidRPr="00297070">
        <w:rPr>
          <w:rFonts w:asciiTheme="majorHAnsi" w:hAnsiTheme="majorHAnsi"/>
          <w:sz w:val="20"/>
          <w:szCs w:val="20"/>
          <w:lang w:val="uk-UA"/>
        </w:rPr>
        <w:t>інформативного</w:t>
      </w:r>
      <w:r w:rsidRPr="00297070">
        <w:rPr>
          <w:rFonts w:asciiTheme="majorHAnsi" w:hAnsiTheme="majorHAnsi"/>
          <w:spacing w:val="1"/>
          <w:sz w:val="20"/>
          <w:szCs w:val="20"/>
          <w:lang w:val="uk-UA"/>
        </w:rPr>
        <w:t xml:space="preserve"> </w:t>
      </w:r>
      <w:r w:rsidRPr="00297070">
        <w:rPr>
          <w:rFonts w:asciiTheme="majorHAnsi" w:hAnsiTheme="majorHAnsi"/>
          <w:sz w:val="20"/>
          <w:szCs w:val="20"/>
          <w:lang w:val="uk-UA"/>
        </w:rPr>
        <w:t>параметра</w:t>
      </w:r>
      <w:r w:rsidRPr="00297070">
        <w:rPr>
          <w:rFonts w:asciiTheme="majorHAnsi" w:hAnsiTheme="majorHAnsi"/>
          <w:spacing w:val="1"/>
          <w:sz w:val="20"/>
          <w:szCs w:val="20"/>
          <w:lang w:val="uk-UA"/>
        </w:rPr>
        <w:t xml:space="preserve"> </w:t>
      </w:r>
      <w:r w:rsidRPr="00297070">
        <w:rPr>
          <w:rFonts w:asciiTheme="majorHAnsi" w:hAnsiTheme="majorHAnsi"/>
          <w:sz w:val="20"/>
          <w:szCs w:val="20"/>
          <w:lang w:val="uk-UA"/>
        </w:rPr>
        <w:t>–</w:t>
      </w:r>
      <w:r w:rsidRPr="00297070">
        <w:rPr>
          <w:rFonts w:asciiTheme="majorHAnsi" w:hAnsiTheme="majorHAnsi"/>
          <w:spacing w:val="1"/>
          <w:sz w:val="20"/>
          <w:szCs w:val="20"/>
          <w:lang w:val="uk-UA"/>
        </w:rPr>
        <w:t xml:space="preserve"> </w:t>
      </w:r>
      <w:r w:rsidRPr="00297070">
        <w:rPr>
          <w:rFonts w:asciiTheme="majorHAnsi" w:hAnsiTheme="majorHAnsi"/>
          <w:sz w:val="20"/>
          <w:szCs w:val="20"/>
          <w:lang w:val="uk-UA"/>
        </w:rPr>
        <w:t>частота імпульсів постійного струму на виході імпульсного давача швидкості</w:t>
      </w:r>
    </w:p>
    <w:p w14:paraId="3F3FAA2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086F569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ІНФОРМАТИВНИЙ</w:t>
      </w:r>
      <w:r w:rsidRPr="000977F7">
        <w:rPr>
          <w:color w:val="auto"/>
          <w:spacing w:val="-5"/>
          <w:sz w:val="20"/>
          <w:szCs w:val="20"/>
        </w:rPr>
        <w:t xml:space="preserve"> </w:t>
      </w:r>
      <w:r w:rsidRPr="000977F7">
        <w:rPr>
          <w:color w:val="auto"/>
          <w:sz w:val="20"/>
          <w:szCs w:val="20"/>
        </w:rPr>
        <w:t>ПАРАМЕТР</w:t>
      </w:r>
      <w:r w:rsidRPr="000977F7">
        <w:rPr>
          <w:color w:val="auto"/>
          <w:spacing w:val="-5"/>
          <w:sz w:val="20"/>
          <w:szCs w:val="20"/>
        </w:rPr>
        <w:t xml:space="preserve"> </w:t>
      </w:r>
      <w:r w:rsidRPr="000977F7">
        <w:rPr>
          <w:color w:val="auto"/>
          <w:sz w:val="20"/>
          <w:szCs w:val="20"/>
        </w:rPr>
        <w:t>СИГНАЛУ –</w:t>
      </w:r>
    </w:p>
    <w:p w14:paraId="3258953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Параметр сигналу, який функційно пов’язаний з досліджуваною або вимірюваною величиною чи той, що</w:t>
      </w:r>
      <w:r w:rsidRPr="000977F7">
        <w:rPr>
          <w:rFonts w:asciiTheme="majorHAnsi" w:hAnsiTheme="majorHAnsi"/>
          <w:spacing w:val="1"/>
          <w:sz w:val="20"/>
          <w:szCs w:val="20"/>
        </w:rPr>
        <w:t xml:space="preserve"> </w:t>
      </w:r>
      <w:r w:rsidRPr="000977F7">
        <w:rPr>
          <w:rFonts w:asciiTheme="majorHAnsi" w:hAnsiTheme="majorHAnsi"/>
          <w:sz w:val="20"/>
          <w:szCs w:val="20"/>
        </w:rPr>
        <w:t>має задане значення</w:t>
      </w:r>
    </w:p>
    <w:p w14:paraId="0B618D6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 – 94</w:t>
      </w:r>
    </w:p>
    <w:p w14:paraId="387AEFF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ІНФОРМАЦІЙНА</w:t>
      </w:r>
      <w:r w:rsidRPr="000977F7">
        <w:rPr>
          <w:color w:val="auto"/>
          <w:spacing w:val="-6"/>
          <w:sz w:val="20"/>
          <w:szCs w:val="20"/>
        </w:rPr>
        <w:t xml:space="preserve"> </w:t>
      </w:r>
      <w:r w:rsidRPr="000977F7">
        <w:rPr>
          <w:color w:val="auto"/>
          <w:sz w:val="20"/>
          <w:szCs w:val="20"/>
        </w:rPr>
        <w:t>МАТРИЦЯ</w:t>
      </w:r>
      <w:r w:rsidRPr="000977F7">
        <w:rPr>
          <w:color w:val="auto"/>
          <w:spacing w:val="-4"/>
          <w:sz w:val="20"/>
          <w:szCs w:val="20"/>
        </w:rPr>
        <w:t xml:space="preserve"> </w:t>
      </w:r>
      <w:r w:rsidRPr="000977F7">
        <w:rPr>
          <w:color w:val="auto"/>
          <w:sz w:val="20"/>
          <w:szCs w:val="20"/>
        </w:rPr>
        <w:t>ПЛАНУ-</w:t>
      </w:r>
    </w:p>
    <w:p w14:paraId="5F54325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Нормована</w:t>
      </w:r>
      <w:r w:rsidRPr="000977F7">
        <w:rPr>
          <w:rFonts w:asciiTheme="majorHAnsi" w:hAnsiTheme="majorHAnsi"/>
          <w:spacing w:val="-3"/>
          <w:sz w:val="20"/>
          <w:szCs w:val="20"/>
        </w:rPr>
        <w:t xml:space="preserve"> </w:t>
      </w:r>
      <w:r w:rsidRPr="000977F7">
        <w:rPr>
          <w:rFonts w:asciiTheme="majorHAnsi" w:hAnsiTheme="majorHAnsi"/>
          <w:sz w:val="20"/>
          <w:szCs w:val="20"/>
        </w:rPr>
        <w:t>матриця</w:t>
      </w:r>
      <w:r w:rsidRPr="000977F7">
        <w:rPr>
          <w:rFonts w:asciiTheme="majorHAnsi" w:hAnsiTheme="majorHAnsi"/>
          <w:spacing w:val="-4"/>
          <w:sz w:val="20"/>
          <w:szCs w:val="20"/>
        </w:rPr>
        <w:t xml:space="preserve"> </w:t>
      </w:r>
      <w:r w:rsidRPr="000977F7">
        <w:rPr>
          <w:rFonts w:asciiTheme="majorHAnsi" w:hAnsiTheme="majorHAnsi"/>
          <w:sz w:val="20"/>
          <w:szCs w:val="20"/>
        </w:rPr>
        <w:t>моментів</w:t>
      </w:r>
      <w:r w:rsidRPr="000977F7">
        <w:rPr>
          <w:rFonts w:asciiTheme="majorHAnsi" w:hAnsiTheme="majorHAnsi"/>
          <w:spacing w:val="-4"/>
          <w:sz w:val="20"/>
          <w:szCs w:val="20"/>
        </w:rPr>
        <w:t xml:space="preserve"> </w:t>
      </w:r>
      <w:r w:rsidRPr="000977F7">
        <w:rPr>
          <w:rFonts w:asciiTheme="majorHAnsi" w:hAnsiTheme="majorHAnsi"/>
          <w:sz w:val="20"/>
          <w:szCs w:val="20"/>
        </w:rPr>
        <w:t>плану</w:t>
      </w:r>
    </w:p>
    <w:p w14:paraId="3C1B1CA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ІНФОРМАЦІЙНА</w:t>
      </w:r>
      <w:r w:rsidRPr="000977F7">
        <w:rPr>
          <w:color w:val="auto"/>
          <w:spacing w:val="-5"/>
          <w:sz w:val="20"/>
          <w:szCs w:val="20"/>
        </w:rPr>
        <w:t xml:space="preserve"> </w:t>
      </w:r>
      <w:r w:rsidRPr="000977F7">
        <w:rPr>
          <w:color w:val="auto"/>
          <w:sz w:val="20"/>
          <w:szCs w:val="20"/>
        </w:rPr>
        <w:t>СИСТЕМА</w:t>
      </w:r>
      <w:r w:rsidRPr="000977F7">
        <w:rPr>
          <w:color w:val="auto"/>
          <w:spacing w:val="-5"/>
          <w:sz w:val="20"/>
          <w:szCs w:val="20"/>
        </w:rPr>
        <w:t xml:space="preserve"> </w:t>
      </w:r>
      <w:r w:rsidRPr="000977F7">
        <w:rPr>
          <w:color w:val="auto"/>
          <w:sz w:val="20"/>
          <w:szCs w:val="20"/>
        </w:rPr>
        <w:t>КОНТРОЛЮ</w:t>
      </w:r>
      <w:r w:rsidRPr="000977F7">
        <w:rPr>
          <w:color w:val="auto"/>
          <w:spacing w:val="-2"/>
          <w:sz w:val="20"/>
          <w:szCs w:val="20"/>
        </w:rPr>
        <w:t xml:space="preserve"> </w:t>
      </w:r>
      <w:r w:rsidRPr="000977F7">
        <w:rPr>
          <w:color w:val="auto"/>
          <w:sz w:val="20"/>
          <w:szCs w:val="20"/>
        </w:rPr>
        <w:t>–</w:t>
      </w:r>
    </w:p>
    <w:p w14:paraId="07D0D8CB" w14:textId="2E22F358" w:rsidR="0097612F" w:rsidRPr="00297070" w:rsidRDefault="0097612F" w:rsidP="000F35DA">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sz w:val="20"/>
          <w:szCs w:val="20"/>
        </w:rPr>
        <w:t>Взаємодіючі між собою згідно з визначеним алгоритмом</w:t>
      </w:r>
      <w:r w:rsidRPr="000977F7">
        <w:rPr>
          <w:rFonts w:asciiTheme="majorHAnsi" w:hAnsiTheme="majorHAnsi"/>
          <w:spacing w:val="1"/>
          <w:sz w:val="20"/>
          <w:szCs w:val="20"/>
        </w:rPr>
        <w:t xml:space="preserve"> </w:t>
      </w:r>
      <w:r w:rsidRPr="000977F7">
        <w:rPr>
          <w:rFonts w:asciiTheme="majorHAnsi" w:hAnsiTheme="majorHAnsi"/>
          <w:sz w:val="20"/>
          <w:szCs w:val="20"/>
        </w:rPr>
        <w:t>виріб,</w:t>
      </w:r>
      <w:r w:rsidRPr="000977F7">
        <w:rPr>
          <w:rFonts w:asciiTheme="majorHAnsi" w:hAnsiTheme="majorHAnsi"/>
          <w:spacing w:val="1"/>
          <w:sz w:val="20"/>
          <w:szCs w:val="20"/>
        </w:rPr>
        <w:t xml:space="preserve"> </w:t>
      </w:r>
      <w:r w:rsidRPr="000977F7">
        <w:rPr>
          <w:rFonts w:asciiTheme="majorHAnsi" w:hAnsiTheme="majorHAnsi"/>
          <w:sz w:val="20"/>
          <w:szCs w:val="20"/>
        </w:rPr>
        <w:t>засіб</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стану</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людина</w:t>
      </w:r>
      <w:r w:rsidRPr="000977F7">
        <w:rPr>
          <w:rFonts w:asciiTheme="majorHAnsi" w:hAnsiTheme="majorHAnsi"/>
          <w:spacing w:val="2"/>
          <w:sz w:val="20"/>
          <w:szCs w:val="20"/>
        </w:rPr>
        <w:t xml:space="preserve"> </w:t>
      </w:r>
      <w:r w:rsidRPr="000977F7">
        <w:rPr>
          <w:rFonts w:asciiTheme="majorHAnsi" w:hAnsiTheme="majorHAnsi"/>
          <w:sz w:val="20"/>
          <w:szCs w:val="20"/>
        </w:rPr>
        <w:t>оператор</w:t>
      </w:r>
      <w:r w:rsidR="000F35DA">
        <w:rPr>
          <w:rFonts w:asciiTheme="majorHAnsi" w:hAnsiTheme="majorHAnsi"/>
          <w:sz w:val="20"/>
          <w:szCs w:val="20"/>
          <w:lang w:val="uk-UA"/>
        </w:rPr>
        <w:t xml:space="preserve">. </w:t>
      </w:r>
      <w:r w:rsidRPr="000977F7">
        <w:rPr>
          <w:rFonts w:asciiTheme="majorHAnsi" w:hAnsiTheme="majorHAnsi"/>
          <w:i/>
          <w:sz w:val="20"/>
          <w:szCs w:val="20"/>
        </w:rPr>
        <w:t>ДСТУ</w:t>
      </w:r>
      <w:r w:rsidRPr="00297070">
        <w:rPr>
          <w:rFonts w:asciiTheme="majorHAnsi" w:hAnsiTheme="majorHAnsi"/>
          <w:i/>
          <w:spacing w:val="-2"/>
          <w:sz w:val="20"/>
          <w:szCs w:val="20"/>
          <w:lang w:val="en-US"/>
        </w:rPr>
        <w:t xml:space="preserve"> </w:t>
      </w:r>
      <w:r w:rsidRPr="00297070">
        <w:rPr>
          <w:rFonts w:asciiTheme="majorHAnsi" w:hAnsiTheme="majorHAnsi"/>
          <w:i/>
          <w:sz w:val="20"/>
          <w:szCs w:val="20"/>
          <w:lang w:val="en-US"/>
        </w:rPr>
        <w:t>3021</w:t>
      </w:r>
      <w:r w:rsidRPr="00297070">
        <w:rPr>
          <w:rFonts w:asciiTheme="majorHAnsi" w:hAnsiTheme="majorHAnsi"/>
          <w:i/>
          <w:spacing w:val="-1"/>
          <w:sz w:val="20"/>
          <w:szCs w:val="20"/>
          <w:lang w:val="en-US"/>
        </w:rPr>
        <w:t xml:space="preserve"> </w:t>
      </w:r>
      <w:r w:rsidRPr="00297070">
        <w:rPr>
          <w:rFonts w:asciiTheme="majorHAnsi" w:hAnsiTheme="majorHAnsi"/>
          <w:i/>
          <w:sz w:val="20"/>
          <w:szCs w:val="20"/>
          <w:lang w:val="en-US"/>
        </w:rPr>
        <w:t>–</w:t>
      </w:r>
      <w:r w:rsidRPr="00297070">
        <w:rPr>
          <w:rFonts w:asciiTheme="majorHAnsi" w:hAnsiTheme="majorHAnsi"/>
          <w:i/>
          <w:spacing w:val="-1"/>
          <w:sz w:val="20"/>
          <w:szCs w:val="20"/>
          <w:lang w:val="en-US"/>
        </w:rPr>
        <w:t xml:space="preserve"> </w:t>
      </w:r>
      <w:r w:rsidRPr="00297070">
        <w:rPr>
          <w:rFonts w:asciiTheme="majorHAnsi" w:hAnsiTheme="majorHAnsi"/>
          <w:i/>
          <w:sz w:val="20"/>
          <w:szCs w:val="20"/>
          <w:lang w:val="en-US"/>
        </w:rPr>
        <w:t>95</w:t>
      </w:r>
    </w:p>
    <w:p w14:paraId="7219A33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ІНФОРМАЦІЙНА СИСТЕМА УПРАВЛІННЯ</w:t>
      </w:r>
      <w:r w:rsidRPr="000977F7">
        <w:rPr>
          <w:color w:val="auto"/>
          <w:spacing w:val="-47"/>
          <w:sz w:val="20"/>
          <w:szCs w:val="20"/>
        </w:rPr>
        <w:t xml:space="preserve"> </w:t>
      </w:r>
      <w:r w:rsidRPr="000977F7">
        <w:rPr>
          <w:color w:val="auto"/>
          <w:sz w:val="20"/>
          <w:szCs w:val="20"/>
        </w:rPr>
        <w:t>ЯКІСТЮ</w:t>
      </w:r>
      <w:r w:rsidRPr="000977F7">
        <w:rPr>
          <w:color w:val="auto"/>
          <w:spacing w:val="-2"/>
          <w:sz w:val="20"/>
          <w:szCs w:val="20"/>
        </w:rPr>
        <w:t xml:space="preserve"> </w:t>
      </w:r>
      <w:r w:rsidRPr="000977F7">
        <w:rPr>
          <w:color w:val="auto"/>
          <w:sz w:val="20"/>
          <w:szCs w:val="20"/>
        </w:rPr>
        <w:t>–</w:t>
      </w:r>
    </w:p>
    <w:p w14:paraId="5C9722A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FORMATION</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SYSTEM</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QUALITY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MANA</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GEMENT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SYSTEM</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2D1A8C49" w14:textId="77777777" w:rsidR="0097612F" w:rsidRPr="000977F7" w:rsidRDefault="0097612F" w:rsidP="000977F7">
      <w:pPr>
        <w:pStyle w:val="4"/>
        <w:tabs>
          <w:tab w:val="left" w:pos="284"/>
        </w:tabs>
        <w:spacing w:line="240" w:lineRule="auto"/>
        <w:ind w:left="170"/>
        <w:mirrorIndents/>
        <w:jc w:val="both"/>
        <w:rPr>
          <w:color w:val="auto"/>
          <w:sz w:val="20"/>
          <w:szCs w:val="20"/>
        </w:rPr>
      </w:pPr>
      <w:bookmarkStart w:id="84" w:name="_Toc132629634"/>
      <w:r w:rsidRPr="000977F7">
        <w:rPr>
          <w:color w:val="auto"/>
          <w:sz w:val="20"/>
          <w:szCs w:val="20"/>
        </w:rPr>
        <w:t>Мережа каналів обмінювання інформацією,</w:t>
      </w:r>
      <w:r w:rsidRPr="000977F7">
        <w:rPr>
          <w:color w:val="auto"/>
          <w:spacing w:val="-57"/>
          <w:sz w:val="20"/>
          <w:szCs w:val="20"/>
        </w:rPr>
        <w:t xml:space="preserve"> </w:t>
      </w:r>
      <w:r w:rsidRPr="000977F7">
        <w:rPr>
          <w:color w:val="auto"/>
          <w:sz w:val="20"/>
          <w:szCs w:val="20"/>
        </w:rPr>
        <w:t>використовувана</w:t>
      </w:r>
      <w:r w:rsidRPr="000977F7">
        <w:rPr>
          <w:color w:val="auto"/>
          <w:spacing w:val="-1"/>
          <w:sz w:val="20"/>
          <w:szCs w:val="20"/>
        </w:rPr>
        <w:t xml:space="preserve"> </w:t>
      </w:r>
      <w:r w:rsidRPr="000977F7">
        <w:rPr>
          <w:color w:val="auto"/>
          <w:sz w:val="20"/>
          <w:szCs w:val="20"/>
        </w:rPr>
        <w:t>в</w:t>
      </w:r>
      <w:r w:rsidRPr="000977F7">
        <w:rPr>
          <w:color w:val="auto"/>
          <w:spacing w:val="-2"/>
          <w:sz w:val="20"/>
          <w:szCs w:val="20"/>
        </w:rPr>
        <w:t xml:space="preserve"> </w:t>
      </w:r>
      <w:r w:rsidRPr="000977F7">
        <w:rPr>
          <w:color w:val="auto"/>
          <w:sz w:val="20"/>
          <w:szCs w:val="20"/>
        </w:rPr>
        <w:t>межах</w:t>
      </w:r>
      <w:r w:rsidRPr="000977F7">
        <w:rPr>
          <w:color w:val="auto"/>
          <w:spacing w:val="2"/>
          <w:sz w:val="20"/>
          <w:szCs w:val="20"/>
        </w:rPr>
        <w:t xml:space="preserve"> </w:t>
      </w:r>
      <w:r w:rsidRPr="000977F7">
        <w:rPr>
          <w:color w:val="auto"/>
          <w:sz w:val="20"/>
          <w:szCs w:val="20"/>
        </w:rPr>
        <w:t>організації</w:t>
      </w:r>
      <w:bookmarkEnd w:id="84"/>
    </w:p>
    <w:p w14:paraId="6E8497E5" w14:textId="77777777" w:rsidR="0097612F" w:rsidRPr="000F35DA" w:rsidRDefault="0097612F" w:rsidP="000977F7">
      <w:pPr>
        <w:pStyle w:val="5"/>
        <w:tabs>
          <w:tab w:val="left" w:pos="284"/>
        </w:tabs>
        <w:ind w:left="170"/>
        <w:mirrorIndents/>
        <w:jc w:val="both"/>
        <w:rPr>
          <w:rFonts w:asciiTheme="majorHAnsi" w:hAnsiTheme="majorHAnsi"/>
          <w:b w:val="0"/>
          <w:sz w:val="20"/>
          <w:szCs w:val="20"/>
          <w:u w:val="none"/>
        </w:rPr>
      </w:pPr>
      <w:r w:rsidRPr="000F35DA">
        <w:rPr>
          <w:rFonts w:asciiTheme="majorHAnsi" w:hAnsiTheme="majorHAnsi"/>
          <w:b w:val="0"/>
          <w:sz w:val="20"/>
          <w:szCs w:val="20"/>
          <w:u w:val="none"/>
        </w:rPr>
        <w:t>ДСТУ</w:t>
      </w:r>
      <w:r w:rsidRPr="000F35DA">
        <w:rPr>
          <w:rFonts w:asciiTheme="majorHAnsi" w:hAnsiTheme="majorHAnsi"/>
          <w:b w:val="0"/>
          <w:spacing w:val="-2"/>
          <w:sz w:val="20"/>
          <w:szCs w:val="20"/>
          <w:u w:val="none"/>
        </w:rPr>
        <w:t xml:space="preserve"> </w:t>
      </w:r>
      <w:r w:rsidRPr="000F35DA">
        <w:rPr>
          <w:rFonts w:asciiTheme="majorHAnsi" w:hAnsiTheme="majorHAnsi"/>
          <w:b w:val="0"/>
          <w:sz w:val="20"/>
          <w:szCs w:val="20"/>
          <w:u w:val="none"/>
        </w:rPr>
        <w:t>ISO</w:t>
      </w:r>
      <w:r w:rsidRPr="000F35DA">
        <w:rPr>
          <w:rFonts w:asciiTheme="majorHAnsi" w:hAnsiTheme="majorHAnsi"/>
          <w:b w:val="0"/>
          <w:spacing w:val="-2"/>
          <w:sz w:val="20"/>
          <w:szCs w:val="20"/>
          <w:u w:val="none"/>
        </w:rPr>
        <w:t xml:space="preserve"> </w:t>
      </w:r>
      <w:r w:rsidRPr="000F35DA">
        <w:rPr>
          <w:rFonts w:asciiTheme="majorHAnsi" w:hAnsiTheme="majorHAnsi"/>
          <w:b w:val="0"/>
          <w:sz w:val="20"/>
          <w:szCs w:val="20"/>
          <w:u w:val="none"/>
        </w:rPr>
        <w:t>9000:2015</w:t>
      </w:r>
    </w:p>
    <w:p w14:paraId="6FC4220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85" w:name="_Hlk102538369"/>
      <w:r w:rsidRPr="000977F7">
        <w:rPr>
          <w:color w:val="auto"/>
          <w:sz w:val="20"/>
          <w:szCs w:val="20"/>
        </w:rPr>
        <w:t>ІНФОРМАЦІЙНА</w:t>
      </w:r>
      <w:r w:rsidRPr="000977F7">
        <w:rPr>
          <w:color w:val="auto"/>
          <w:spacing w:val="-5"/>
          <w:sz w:val="20"/>
          <w:szCs w:val="20"/>
        </w:rPr>
        <w:t xml:space="preserve"> </w:t>
      </w:r>
      <w:r w:rsidRPr="000977F7">
        <w:rPr>
          <w:color w:val="auto"/>
          <w:sz w:val="20"/>
          <w:szCs w:val="20"/>
        </w:rPr>
        <w:t>ЧАСТИНА</w:t>
      </w:r>
      <w:r w:rsidRPr="000977F7">
        <w:rPr>
          <w:color w:val="auto"/>
          <w:spacing w:val="-4"/>
          <w:sz w:val="20"/>
          <w:szCs w:val="20"/>
        </w:rPr>
        <w:t xml:space="preserve"> </w:t>
      </w:r>
      <w:r w:rsidRPr="000977F7">
        <w:rPr>
          <w:color w:val="auto"/>
          <w:sz w:val="20"/>
          <w:szCs w:val="20"/>
        </w:rPr>
        <w:t>СТАНДАРТУ</w:t>
      </w:r>
      <w:r w:rsidRPr="000977F7">
        <w:rPr>
          <w:color w:val="auto"/>
          <w:spacing w:val="-2"/>
          <w:sz w:val="20"/>
          <w:szCs w:val="20"/>
        </w:rPr>
        <w:t xml:space="preserve"> </w:t>
      </w:r>
      <w:r w:rsidRPr="000977F7">
        <w:rPr>
          <w:color w:val="auto"/>
          <w:sz w:val="20"/>
          <w:szCs w:val="20"/>
        </w:rPr>
        <w:t>–</w:t>
      </w:r>
    </w:p>
    <w:p w14:paraId="525B424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INFORMATIV</w:t>
      </w:r>
      <w:r w:rsidRPr="000977F7">
        <w:rPr>
          <w:rFonts w:asciiTheme="majorHAnsi" w:hAnsiTheme="majorHAnsi"/>
          <w:sz w:val="20"/>
          <w:szCs w:val="20"/>
        </w:rPr>
        <w:t>Е</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PART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STANDARD-</w:t>
      </w:r>
    </w:p>
    <w:p w14:paraId="120AC436"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sz w:val="20"/>
          <w:szCs w:val="20"/>
        </w:rPr>
        <w:t>Частина стандарту, в якій наведені дані для довідок</w:t>
      </w:r>
      <w:r w:rsidRPr="000977F7">
        <w:rPr>
          <w:rFonts w:asciiTheme="majorHAnsi" w:hAnsiTheme="majorHAnsi"/>
          <w:spacing w:val="1"/>
          <w:sz w:val="20"/>
          <w:szCs w:val="20"/>
        </w:rPr>
        <w:t xml:space="preserve"> </w:t>
      </w:r>
      <w:bookmarkEnd w:id="85"/>
      <w:r w:rsidRPr="000977F7">
        <w:rPr>
          <w:rFonts w:asciiTheme="majorHAnsi" w:hAnsiTheme="majorHAnsi"/>
          <w:b/>
          <w:sz w:val="20"/>
          <w:szCs w:val="20"/>
        </w:rPr>
        <w:t>ІНФОРМАЦІЙНЕ</w:t>
      </w:r>
      <w:r w:rsidRPr="000977F7">
        <w:rPr>
          <w:rFonts w:asciiTheme="majorHAnsi" w:hAnsiTheme="majorHAnsi"/>
          <w:b/>
          <w:spacing w:val="10"/>
          <w:sz w:val="20"/>
          <w:szCs w:val="20"/>
        </w:rPr>
        <w:t xml:space="preserve"> </w:t>
      </w:r>
      <w:r w:rsidRPr="000977F7">
        <w:rPr>
          <w:rFonts w:asciiTheme="majorHAnsi" w:hAnsiTheme="majorHAnsi"/>
          <w:b/>
          <w:sz w:val="20"/>
          <w:szCs w:val="20"/>
        </w:rPr>
        <w:t>ЗАБЕЗПЕЧЕННЯ</w:t>
      </w:r>
      <w:r w:rsidRPr="000977F7">
        <w:rPr>
          <w:rFonts w:asciiTheme="majorHAnsi" w:hAnsiTheme="majorHAnsi"/>
          <w:b/>
          <w:spacing w:val="11"/>
          <w:sz w:val="20"/>
          <w:szCs w:val="20"/>
        </w:rPr>
        <w:t xml:space="preserve"> </w:t>
      </w:r>
      <w:r w:rsidRPr="000977F7">
        <w:rPr>
          <w:rFonts w:asciiTheme="majorHAnsi" w:hAnsiTheme="majorHAnsi"/>
          <w:b/>
          <w:sz w:val="20"/>
          <w:szCs w:val="20"/>
        </w:rPr>
        <w:t>ТА</w:t>
      </w:r>
      <w:r w:rsidRPr="000977F7">
        <w:rPr>
          <w:rFonts w:asciiTheme="majorHAnsi" w:hAnsiTheme="majorHAnsi"/>
          <w:b/>
          <w:spacing w:val="11"/>
          <w:sz w:val="20"/>
          <w:szCs w:val="20"/>
        </w:rPr>
        <w:t xml:space="preserve"> </w:t>
      </w:r>
      <w:r w:rsidRPr="000977F7">
        <w:rPr>
          <w:rFonts w:asciiTheme="majorHAnsi" w:hAnsiTheme="majorHAnsi"/>
          <w:b/>
          <w:sz w:val="20"/>
          <w:szCs w:val="20"/>
        </w:rPr>
        <w:t>ПРАВО</w:t>
      </w:r>
      <w:r w:rsidRPr="000977F7">
        <w:rPr>
          <w:rFonts w:asciiTheme="majorHAnsi" w:hAnsiTheme="majorHAnsi"/>
          <w:b/>
          <w:spacing w:val="-47"/>
          <w:sz w:val="20"/>
          <w:szCs w:val="20"/>
        </w:rPr>
        <w:t xml:space="preserve"> </w:t>
      </w:r>
      <w:r w:rsidRPr="000977F7">
        <w:rPr>
          <w:rFonts w:asciiTheme="majorHAnsi" w:hAnsiTheme="majorHAnsi"/>
          <w:b/>
          <w:sz w:val="20"/>
          <w:szCs w:val="20"/>
        </w:rPr>
        <w:t>ВЛАСНОСТІ</w:t>
      </w:r>
      <w:r w:rsidRPr="000977F7">
        <w:rPr>
          <w:rFonts w:asciiTheme="majorHAnsi" w:hAnsiTheme="majorHAnsi"/>
          <w:b/>
          <w:spacing w:val="1"/>
          <w:sz w:val="20"/>
          <w:szCs w:val="20"/>
        </w:rPr>
        <w:t xml:space="preserve"> </w:t>
      </w:r>
      <w:r w:rsidRPr="000977F7">
        <w:rPr>
          <w:rFonts w:asciiTheme="majorHAnsi" w:hAnsiTheme="majorHAnsi"/>
          <w:b/>
          <w:sz w:val="20"/>
          <w:szCs w:val="20"/>
        </w:rPr>
        <w:t>НА</w:t>
      </w:r>
      <w:r w:rsidRPr="000977F7">
        <w:rPr>
          <w:rFonts w:asciiTheme="majorHAnsi" w:hAnsiTheme="majorHAnsi"/>
          <w:b/>
          <w:spacing w:val="1"/>
          <w:sz w:val="20"/>
          <w:szCs w:val="20"/>
        </w:rPr>
        <w:t xml:space="preserve"> </w:t>
      </w:r>
      <w:r w:rsidRPr="000977F7">
        <w:rPr>
          <w:rFonts w:asciiTheme="majorHAnsi" w:hAnsiTheme="majorHAnsi"/>
          <w:b/>
          <w:sz w:val="20"/>
          <w:szCs w:val="20"/>
        </w:rPr>
        <w:t>НАЦІОНАЛЬНІ</w:t>
      </w:r>
      <w:r w:rsidRPr="000977F7">
        <w:rPr>
          <w:rFonts w:asciiTheme="majorHAnsi" w:hAnsiTheme="majorHAnsi"/>
          <w:b/>
          <w:spacing w:val="1"/>
          <w:sz w:val="20"/>
          <w:szCs w:val="20"/>
        </w:rPr>
        <w:t xml:space="preserve"> </w:t>
      </w:r>
      <w:r w:rsidRPr="000977F7">
        <w:rPr>
          <w:rFonts w:asciiTheme="majorHAnsi" w:hAnsiTheme="majorHAnsi"/>
          <w:b/>
          <w:sz w:val="20"/>
          <w:szCs w:val="20"/>
        </w:rPr>
        <w:t>СТАНДАРТИ,</w:t>
      </w:r>
      <w:r w:rsidRPr="000977F7">
        <w:rPr>
          <w:rFonts w:asciiTheme="majorHAnsi" w:hAnsiTheme="majorHAnsi"/>
          <w:b/>
          <w:spacing w:val="-47"/>
          <w:sz w:val="20"/>
          <w:szCs w:val="20"/>
        </w:rPr>
        <w:t xml:space="preserve"> </w:t>
      </w:r>
      <w:r w:rsidRPr="000977F7">
        <w:rPr>
          <w:rFonts w:asciiTheme="majorHAnsi" w:hAnsiTheme="majorHAnsi"/>
          <w:b/>
          <w:sz w:val="20"/>
          <w:szCs w:val="20"/>
        </w:rPr>
        <w:t>КОДЕКСИ</w:t>
      </w:r>
      <w:r w:rsidRPr="000977F7">
        <w:rPr>
          <w:rFonts w:asciiTheme="majorHAnsi" w:hAnsiTheme="majorHAnsi"/>
          <w:b/>
          <w:spacing w:val="1"/>
          <w:sz w:val="20"/>
          <w:szCs w:val="20"/>
        </w:rPr>
        <w:t xml:space="preserve"> </w:t>
      </w:r>
      <w:r w:rsidRPr="000977F7">
        <w:rPr>
          <w:rFonts w:asciiTheme="majorHAnsi" w:hAnsiTheme="majorHAnsi"/>
          <w:b/>
          <w:sz w:val="20"/>
          <w:szCs w:val="20"/>
        </w:rPr>
        <w:t>УСТАЛЕНОЇ</w:t>
      </w:r>
      <w:r w:rsidRPr="000977F7">
        <w:rPr>
          <w:rFonts w:asciiTheme="majorHAnsi" w:hAnsiTheme="majorHAnsi"/>
          <w:b/>
          <w:spacing w:val="1"/>
          <w:sz w:val="20"/>
          <w:szCs w:val="20"/>
        </w:rPr>
        <w:t xml:space="preserve"> </w:t>
      </w:r>
      <w:r w:rsidRPr="000977F7">
        <w:rPr>
          <w:rFonts w:asciiTheme="majorHAnsi" w:hAnsiTheme="majorHAnsi"/>
          <w:b/>
          <w:sz w:val="20"/>
          <w:szCs w:val="20"/>
        </w:rPr>
        <w:t>ПРАКТИКИ</w:t>
      </w:r>
      <w:r w:rsidRPr="000977F7">
        <w:rPr>
          <w:rFonts w:asciiTheme="majorHAnsi" w:hAnsiTheme="majorHAnsi"/>
          <w:b/>
          <w:spacing w:val="1"/>
          <w:sz w:val="20"/>
          <w:szCs w:val="20"/>
        </w:rPr>
        <w:t xml:space="preserve"> </w:t>
      </w:r>
      <w:r w:rsidRPr="000977F7">
        <w:rPr>
          <w:rFonts w:asciiTheme="majorHAnsi" w:hAnsiTheme="majorHAnsi"/>
          <w:b/>
          <w:sz w:val="20"/>
          <w:szCs w:val="20"/>
        </w:rPr>
        <w:t xml:space="preserve">ТА </w:t>
      </w:r>
    </w:p>
    <w:p w14:paraId="42160F5A"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КАТАЛОГИ</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6357D15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Національні стандарти, кодекси усталеної практики,</w:t>
      </w:r>
      <w:r w:rsidRPr="000977F7">
        <w:rPr>
          <w:rFonts w:asciiTheme="majorHAnsi" w:hAnsiTheme="majorHAnsi"/>
          <w:spacing w:val="1"/>
          <w:sz w:val="20"/>
          <w:szCs w:val="20"/>
        </w:rPr>
        <w:t xml:space="preserve"> </w:t>
      </w:r>
      <w:r w:rsidRPr="000977F7">
        <w:rPr>
          <w:rFonts w:asciiTheme="majorHAnsi" w:hAnsiTheme="majorHAnsi"/>
          <w:sz w:val="20"/>
          <w:szCs w:val="20"/>
        </w:rPr>
        <w:t>зміни до них та розроблені національним органом</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 каталоги видаються, відтворюються та</w:t>
      </w:r>
      <w:r w:rsidRPr="000977F7">
        <w:rPr>
          <w:rFonts w:asciiTheme="majorHAnsi" w:hAnsiTheme="majorHAnsi"/>
          <w:spacing w:val="-47"/>
          <w:sz w:val="20"/>
          <w:szCs w:val="20"/>
        </w:rPr>
        <w:t xml:space="preserve"> </w:t>
      </w:r>
      <w:r w:rsidRPr="000977F7">
        <w:rPr>
          <w:rFonts w:asciiTheme="majorHAnsi" w:hAnsiTheme="majorHAnsi"/>
          <w:sz w:val="20"/>
          <w:szCs w:val="20"/>
        </w:rPr>
        <w:t>розповсюджуються національним органом стандартизації.</w:t>
      </w:r>
    </w:p>
    <w:p w14:paraId="3B0650F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Видання,</w:t>
      </w:r>
      <w:r w:rsidRPr="000977F7">
        <w:rPr>
          <w:rFonts w:asciiTheme="majorHAnsi" w:hAnsiTheme="majorHAnsi"/>
          <w:spacing w:val="-5"/>
          <w:sz w:val="20"/>
          <w:szCs w:val="20"/>
        </w:rPr>
        <w:t xml:space="preserve"> </w:t>
      </w:r>
      <w:r w:rsidRPr="000977F7">
        <w:rPr>
          <w:rFonts w:asciiTheme="majorHAnsi" w:hAnsiTheme="majorHAnsi"/>
          <w:sz w:val="20"/>
          <w:szCs w:val="20"/>
        </w:rPr>
        <w:t>відтворення</w:t>
      </w:r>
      <w:r w:rsidRPr="000977F7">
        <w:rPr>
          <w:rFonts w:asciiTheme="majorHAnsi" w:hAnsiTheme="majorHAnsi"/>
          <w:spacing w:val="-6"/>
          <w:sz w:val="20"/>
          <w:szCs w:val="20"/>
        </w:rPr>
        <w:t xml:space="preserve"> </w:t>
      </w:r>
      <w:r w:rsidRPr="000977F7">
        <w:rPr>
          <w:rFonts w:asciiTheme="majorHAnsi" w:hAnsiTheme="majorHAnsi"/>
          <w:sz w:val="20"/>
          <w:szCs w:val="20"/>
        </w:rPr>
        <w:t>і</w:t>
      </w:r>
      <w:r w:rsidRPr="000977F7">
        <w:rPr>
          <w:rFonts w:asciiTheme="majorHAnsi" w:hAnsiTheme="majorHAnsi"/>
          <w:spacing w:val="-6"/>
          <w:sz w:val="20"/>
          <w:szCs w:val="20"/>
        </w:rPr>
        <w:t xml:space="preserve"> </w:t>
      </w:r>
      <w:r w:rsidRPr="000977F7">
        <w:rPr>
          <w:rFonts w:asciiTheme="majorHAnsi" w:hAnsiTheme="majorHAnsi"/>
          <w:sz w:val="20"/>
          <w:szCs w:val="20"/>
        </w:rPr>
        <w:t>розповсюдження</w:t>
      </w:r>
      <w:r w:rsidRPr="000977F7">
        <w:rPr>
          <w:rFonts w:asciiTheme="majorHAnsi" w:hAnsiTheme="majorHAnsi"/>
          <w:spacing w:val="-3"/>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47"/>
          <w:sz w:val="20"/>
          <w:szCs w:val="20"/>
        </w:rPr>
        <w:t xml:space="preserve"> </w:t>
      </w:r>
      <w:r w:rsidRPr="000977F7">
        <w:rPr>
          <w:rFonts w:asciiTheme="majorHAnsi" w:hAnsiTheme="majorHAnsi"/>
          <w:sz w:val="20"/>
          <w:szCs w:val="20"/>
        </w:rPr>
        <w:t>міжнародних та регіональних організацій стандартизації, членом яких є національний орган стандартизації, здійснюються зазначеним органом відповідно до</w:t>
      </w:r>
      <w:r w:rsidRPr="000977F7">
        <w:rPr>
          <w:rFonts w:asciiTheme="majorHAnsi" w:hAnsiTheme="majorHAnsi"/>
          <w:spacing w:val="1"/>
          <w:sz w:val="20"/>
          <w:szCs w:val="20"/>
        </w:rPr>
        <w:t xml:space="preserve"> </w:t>
      </w:r>
      <w:r w:rsidRPr="000977F7">
        <w:rPr>
          <w:rFonts w:asciiTheme="majorHAnsi" w:hAnsiTheme="majorHAnsi"/>
          <w:sz w:val="20"/>
          <w:szCs w:val="20"/>
        </w:rPr>
        <w:t>правил</w:t>
      </w:r>
      <w:r w:rsidRPr="000977F7">
        <w:rPr>
          <w:rFonts w:asciiTheme="majorHAnsi" w:hAnsiTheme="majorHAnsi"/>
          <w:spacing w:val="-2"/>
          <w:sz w:val="20"/>
          <w:szCs w:val="20"/>
        </w:rPr>
        <w:t xml:space="preserve"> </w:t>
      </w:r>
      <w:r w:rsidRPr="000977F7">
        <w:rPr>
          <w:rFonts w:asciiTheme="majorHAnsi" w:hAnsiTheme="majorHAnsi"/>
          <w:sz w:val="20"/>
          <w:szCs w:val="20"/>
        </w:rPr>
        <w:t>таких</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організацій.</w:t>
      </w:r>
    </w:p>
    <w:p w14:paraId="7C5DF31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подання</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1"/>
          <w:sz w:val="20"/>
          <w:szCs w:val="20"/>
        </w:rPr>
        <w:t xml:space="preserve"> </w:t>
      </w:r>
      <w:r w:rsidRPr="000977F7">
        <w:rPr>
          <w:rFonts w:asciiTheme="majorHAnsi" w:hAnsiTheme="majorHAnsi"/>
          <w:sz w:val="20"/>
          <w:szCs w:val="20"/>
        </w:rPr>
        <w:t>заінтересованим</w:t>
      </w:r>
      <w:r w:rsidRPr="000977F7">
        <w:rPr>
          <w:rFonts w:asciiTheme="majorHAnsi" w:hAnsiTheme="majorHAnsi"/>
          <w:spacing w:val="1"/>
          <w:sz w:val="20"/>
          <w:szCs w:val="20"/>
        </w:rPr>
        <w:t xml:space="preserve"> </w:t>
      </w:r>
      <w:r w:rsidRPr="000977F7">
        <w:rPr>
          <w:rFonts w:asciiTheme="majorHAnsi" w:hAnsiTheme="majorHAnsi"/>
          <w:sz w:val="20"/>
          <w:szCs w:val="20"/>
        </w:rPr>
        <w:t>сторонам</w:t>
      </w:r>
      <w:r w:rsidRPr="000977F7">
        <w:rPr>
          <w:rFonts w:asciiTheme="majorHAnsi" w:hAnsiTheme="majorHAnsi"/>
          <w:spacing w:val="-47"/>
          <w:sz w:val="20"/>
          <w:szCs w:val="20"/>
        </w:rPr>
        <w:t xml:space="preserve"> </w:t>
      </w:r>
      <w:r w:rsidRPr="000977F7">
        <w:rPr>
          <w:rFonts w:asciiTheme="majorHAnsi" w:hAnsiTheme="majorHAnsi"/>
          <w:sz w:val="20"/>
          <w:szCs w:val="20"/>
        </w:rPr>
        <w:t>національний</w:t>
      </w:r>
      <w:r w:rsidRPr="000977F7">
        <w:rPr>
          <w:rFonts w:asciiTheme="majorHAnsi" w:hAnsiTheme="majorHAnsi"/>
          <w:spacing w:val="1"/>
          <w:sz w:val="20"/>
          <w:szCs w:val="20"/>
        </w:rPr>
        <w:t xml:space="preserve"> </w:t>
      </w:r>
      <w:r w:rsidRPr="000977F7">
        <w:rPr>
          <w:rFonts w:asciiTheme="majorHAnsi" w:hAnsiTheme="majorHAnsi"/>
          <w:sz w:val="20"/>
          <w:szCs w:val="20"/>
        </w:rPr>
        <w:t>орган</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формує</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веде</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національний</w:t>
      </w:r>
      <w:r w:rsidRPr="000977F7">
        <w:rPr>
          <w:rFonts w:asciiTheme="majorHAnsi" w:hAnsiTheme="majorHAnsi"/>
          <w:spacing w:val="1"/>
          <w:sz w:val="20"/>
          <w:szCs w:val="20"/>
        </w:rPr>
        <w:t xml:space="preserve"> </w:t>
      </w:r>
      <w:r w:rsidRPr="000977F7">
        <w:rPr>
          <w:rFonts w:asciiTheme="majorHAnsi" w:hAnsiTheme="majorHAnsi"/>
          <w:sz w:val="20"/>
          <w:szCs w:val="20"/>
        </w:rPr>
        <w:t>фонд</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нормативних</w:t>
      </w:r>
      <w:r w:rsidRPr="000977F7">
        <w:rPr>
          <w:rFonts w:asciiTheme="majorHAnsi" w:hAnsiTheme="majorHAnsi"/>
          <w:spacing w:val="1"/>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47"/>
          <w:sz w:val="20"/>
          <w:szCs w:val="20"/>
        </w:rPr>
        <w:t xml:space="preserve"> </w:t>
      </w:r>
      <w:r w:rsidRPr="000977F7">
        <w:rPr>
          <w:rFonts w:asciiTheme="majorHAnsi" w:hAnsiTheme="majorHAnsi"/>
          <w:sz w:val="20"/>
          <w:szCs w:val="20"/>
        </w:rPr>
        <w:t>функціонує</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Національний</w:t>
      </w:r>
      <w:r w:rsidRPr="000977F7">
        <w:rPr>
          <w:rFonts w:asciiTheme="majorHAnsi" w:hAnsiTheme="majorHAnsi"/>
          <w:spacing w:val="1"/>
          <w:sz w:val="20"/>
          <w:szCs w:val="20"/>
        </w:rPr>
        <w:t xml:space="preserve"> </w:t>
      </w:r>
      <w:r w:rsidRPr="000977F7">
        <w:rPr>
          <w:rFonts w:asciiTheme="majorHAnsi" w:hAnsiTheme="majorHAnsi"/>
          <w:sz w:val="20"/>
          <w:szCs w:val="20"/>
        </w:rPr>
        <w:t>інформаційний</w:t>
      </w:r>
      <w:r w:rsidRPr="000977F7">
        <w:rPr>
          <w:rFonts w:asciiTheme="majorHAnsi" w:hAnsiTheme="majorHAnsi"/>
          <w:spacing w:val="1"/>
          <w:sz w:val="20"/>
          <w:szCs w:val="20"/>
        </w:rPr>
        <w:t xml:space="preserve"> </w:t>
      </w:r>
      <w:r w:rsidRPr="000977F7">
        <w:rPr>
          <w:rFonts w:asciiTheme="majorHAnsi" w:hAnsiTheme="majorHAnsi"/>
          <w:sz w:val="20"/>
          <w:szCs w:val="20"/>
        </w:rPr>
        <w:t>центр</w:t>
      </w:r>
      <w:r w:rsidRPr="000977F7">
        <w:rPr>
          <w:rFonts w:asciiTheme="majorHAnsi" w:hAnsiTheme="majorHAnsi"/>
          <w:spacing w:val="1"/>
          <w:sz w:val="20"/>
          <w:szCs w:val="20"/>
        </w:rPr>
        <w:t xml:space="preserve"> </w:t>
      </w:r>
      <w:r w:rsidRPr="000977F7">
        <w:rPr>
          <w:rFonts w:asciiTheme="majorHAnsi" w:hAnsiTheme="majorHAnsi"/>
          <w:sz w:val="20"/>
          <w:szCs w:val="20"/>
        </w:rPr>
        <w:t>міжнародної інформаційної мережі (ISONET), складає</w:t>
      </w:r>
      <w:r w:rsidRPr="000977F7">
        <w:rPr>
          <w:rFonts w:asciiTheme="majorHAnsi" w:hAnsiTheme="majorHAnsi"/>
          <w:spacing w:val="-47"/>
          <w:sz w:val="20"/>
          <w:szCs w:val="20"/>
        </w:rPr>
        <w:t xml:space="preserve"> </w:t>
      </w:r>
      <w:r w:rsidRPr="000977F7">
        <w:rPr>
          <w:rFonts w:asciiTheme="majorHAnsi" w:hAnsiTheme="majorHAnsi"/>
          <w:sz w:val="20"/>
          <w:szCs w:val="20"/>
        </w:rPr>
        <w:t>та веде каталог національних стандартів та кодексів</w:t>
      </w:r>
      <w:r w:rsidRPr="000977F7">
        <w:rPr>
          <w:rFonts w:asciiTheme="majorHAnsi" w:hAnsiTheme="majorHAnsi"/>
          <w:spacing w:val="1"/>
          <w:sz w:val="20"/>
          <w:szCs w:val="20"/>
        </w:rPr>
        <w:t xml:space="preserve"> </w:t>
      </w:r>
      <w:r w:rsidRPr="000977F7">
        <w:rPr>
          <w:rFonts w:asciiTheme="majorHAnsi" w:hAnsiTheme="majorHAnsi"/>
          <w:sz w:val="20"/>
          <w:szCs w:val="20"/>
        </w:rPr>
        <w:t>усталеної</w:t>
      </w:r>
      <w:r w:rsidRPr="000977F7">
        <w:rPr>
          <w:rFonts w:asciiTheme="majorHAnsi" w:hAnsiTheme="majorHAnsi"/>
          <w:spacing w:val="1"/>
          <w:sz w:val="20"/>
          <w:szCs w:val="20"/>
        </w:rPr>
        <w:t xml:space="preserve"> </w:t>
      </w:r>
      <w:r w:rsidRPr="000977F7">
        <w:rPr>
          <w:rFonts w:asciiTheme="majorHAnsi" w:hAnsiTheme="majorHAnsi"/>
          <w:sz w:val="20"/>
          <w:szCs w:val="20"/>
        </w:rPr>
        <w:t>практики.</w:t>
      </w:r>
    </w:p>
    <w:p w14:paraId="3B42C8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Право власності на національні стандарти, кодекси</w:t>
      </w:r>
      <w:r w:rsidRPr="000977F7">
        <w:rPr>
          <w:rFonts w:asciiTheme="majorHAnsi" w:hAnsiTheme="majorHAnsi"/>
          <w:spacing w:val="1"/>
          <w:sz w:val="20"/>
          <w:szCs w:val="20"/>
        </w:rPr>
        <w:t xml:space="preserve"> </w:t>
      </w:r>
      <w:r w:rsidRPr="000977F7">
        <w:rPr>
          <w:rFonts w:asciiTheme="majorHAnsi" w:hAnsiTheme="majorHAnsi"/>
          <w:sz w:val="20"/>
          <w:szCs w:val="20"/>
        </w:rPr>
        <w:t>усталеної практики та розроблені національним органом</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2"/>
          <w:sz w:val="20"/>
          <w:szCs w:val="20"/>
        </w:rPr>
        <w:t xml:space="preserve"> </w:t>
      </w:r>
      <w:r w:rsidRPr="000977F7">
        <w:rPr>
          <w:rFonts w:asciiTheme="majorHAnsi" w:hAnsiTheme="majorHAnsi"/>
          <w:sz w:val="20"/>
          <w:szCs w:val="20"/>
        </w:rPr>
        <w:t>каталоги належить</w:t>
      </w:r>
      <w:r w:rsidRPr="000977F7">
        <w:rPr>
          <w:rFonts w:asciiTheme="majorHAnsi" w:hAnsiTheme="majorHAnsi"/>
          <w:spacing w:val="-1"/>
          <w:sz w:val="20"/>
          <w:szCs w:val="20"/>
        </w:rPr>
        <w:t xml:space="preserve"> </w:t>
      </w:r>
      <w:r w:rsidRPr="000977F7">
        <w:rPr>
          <w:rFonts w:asciiTheme="majorHAnsi" w:hAnsiTheme="majorHAnsi"/>
          <w:sz w:val="20"/>
          <w:szCs w:val="20"/>
        </w:rPr>
        <w:t>державі.</w:t>
      </w:r>
    </w:p>
    <w:p w14:paraId="0C0D74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Національний стандарт та кодекс усталеної практики можуть розроблятися на продукцію, що є об’єктом</w:t>
      </w:r>
      <w:r w:rsidRPr="000977F7">
        <w:rPr>
          <w:rFonts w:asciiTheme="majorHAnsi" w:hAnsiTheme="majorHAnsi"/>
          <w:spacing w:val="-47"/>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7"/>
          <w:sz w:val="20"/>
          <w:szCs w:val="20"/>
        </w:rPr>
        <w:t xml:space="preserve"> </w:t>
      </w:r>
      <w:r w:rsidRPr="000977F7">
        <w:rPr>
          <w:rFonts w:asciiTheme="majorHAnsi" w:hAnsiTheme="majorHAnsi"/>
          <w:sz w:val="20"/>
          <w:szCs w:val="20"/>
        </w:rPr>
        <w:t>та</w:t>
      </w:r>
      <w:r w:rsidRPr="000977F7">
        <w:rPr>
          <w:rFonts w:asciiTheme="majorHAnsi" w:hAnsiTheme="majorHAnsi"/>
          <w:spacing w:val="-6"/>
          <w:sz w:val="20"/>
          <w:szCs w:val="20"/>
        </w:rPr>
        <w:t xml:space="preserve"> </w:t>
      </w:r>
      <w:r w:rsidRPr="000977F7">
        <w:rPr>
          <w:rFonts w:asciiTheme="majorHAnsi" w:hAnsiTheme="majorHAnsi"/>
          <w:sz w:val="20"/>
          <w:szCs w:val="20"/>
        </w:rPr>
        <w:t>одночасно</w:t>
      </w:r>
      <w:r w:rsidRPr="000977F7">
        <w:rPr>
          <w:rFonts w:asciiTheme="majorHAnsi" w:hAnsiTheme="majorHAnsi"/>
          <w:spacing w:val="-4"/>
          <w:sz w:val="20"/>
          <w:szCs w:val="20"/>
        </w:rPr>
        <w:t xml:space="preserve"> </w:t>
      </w:r>
      <w:r w:rsidRPr="000977F7">
        <w:rPr>
          <w:rFonts w:asciiTheme="majorHAnsi" w:hAnsiTheme="majorHAnsi"/>
          <w:sz w:val="20"/>
          <w:szCs w:val="20"/>
        </w:rPr>
        <w:t>об’єктом</w:t>
      </w:r>
      <w:r w:rsidRPr="000977F7">
        <w:rPr>
          <w:rFonts w:asciiTheme="majorHAnsi" w:hAnsiTheme="majorHAnsi"/>
          <w:spacing w:val="-5"/>
          <w:sz w:val="20"/>
          <w:szCs w:val="20"/>
        </w:rPr>
        <w:t xml:space="preserve"> </w:t>
      </w:r>
      <w:r w:rsidRPr="000977F7">
        <w:rPr>
          <w:rFonts w:asciiTheme="majorHAnsi" w:hAnsiTheme="majorHAnsi"/>
          <w:sz w:val="20"/>
          <w:szCs w:val="20"/>
        </w:rPr>
        <w:t>інтелектуальної</w:t>
      </w:r>
      <w:r w:rsidRPr="000977F7">
        <w:rPr>
          <w:rFonts w:asciiTheme="majorHAnsi" w:hAnsiTheme="majorHAnsi"/>
          <w:spacing w:val="-47"/>
          <w:sz w:val="20"/>
          <w:szCs w:val="20"/>
        </w:rPr>
        <w:t xml:space="preserve"> </w:t>
      </w:r>
      <w:r w:rsidRPr="000977F7">
        <w:rPr>
          <w:rFonts w:asciiTheme="majorHAnsi" w:hAnsiTheme="majorHAnsi"/>
          <w:sz w:val="20"/>
          <w:szCs w:val="20"/>
        </w:rPr>
        <w:t>або промислової власності, якщо національний орган</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 отримав дозвіл від власника прав на</w:t>
      </w:r>
      <w:r w:rsidRPr="000977F7">
        <w:rPr>
          <w:rFonts w:asciiTheme="majorHAnsi" w:hAnsiTheme="majorHAnsi"/>
          <w:spacing w:val="1"/>
          <w:sz w:val="20"/>
          <w:szCs w:val="20"/>
        </w:rPr>
        <w:t xml:space="preserve"> </w:t>
      </w:r>
      <w:r w:rsidRPr="000977F7">
        <w:rPr>
          <w:rFonts w:asciiTheme="majorHAnsi" w:hAnsiTheme="majorHAnsi"/>
          <w:sz w:val="20"/>
          <w:szCs w:val="20"/>
        </w:rPr>
        <w:t>продукцію</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установленому</w:t>
      </w:r>
      <w:r w:rsidRPr="000977F7">
        <w:rPr>
          <w:rFonts w:asciiTheme="majorHAnsi" w:hAnsiTheme="majorHAnsi"/>
          <w:spacing w:val="-2"/>
          <w:sz w:val="20"/>
          <w:szCs w:val="20"/>
        </w:rPr>
        <w:t xml:space="preserve"> </w:t>
      </w:r>
      <w:r w:rsidRPr="000977F7">
        <w:rPr>
          <w:rFonts w:asciiTheme="majorHAnsi" w:hAnsiTheme="majorHAnsi"/>
          <w:sz w:val="20"/>
          <w:szCs w:val="20"/>
        </w:rPr>
        <w:t>законом порядку.</w:t>
      </w:r>
    </w:p>
    <w:p w14:paraId="7B4B53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Забороняється</w:t>
      </w:r>
      <w:r w:rsidRPr="000977F7">
        <w:rPr>
          <w:rFonts w:asciiTheme="majorHAnsi" w:hAnsiTheme="majorHAnsi"/>
          <w:spacing w:val="1"/>
          <w:sz w:val="20"/>
          <w:szCs w:val="20"/>
        </w:rPr>
        <w:t xml:space="preserve"> </w:t>
      </w:r>
      <w:r w:rsidRPr="000977F7">
        <w:rPr>
          <w:rFonts w:asciiTheme="majorHAnsi" w:hAnsiTheme="majorHAnsi"/>
          <w:sz w:val="20"/>
          <w:szCs w:val="20"/>
        </w:rPr>
        <w:t>повністю</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частково</w:t>
      </w:r>
      <w:r w:rsidRPr="000977F7">
        <w:rPr>
          <w:rFonts w:asciiTheme="majorHAnsi" w:hAnsiTheme="majorHAnsi"/>
          <w:spacing w:val="1"/>
          <w:sz w:val="20"/>
          <w:szCs w:val="20"/>
        </w:rPr>
        <w:t xml:space="preserve"> </w:t>
      </w:r>
      <w:r w:rsidRPr="000977F7">
        <w:rPr>
          <w:rFonts w:asciiTheme="majorHAnsi" w:hAnsiTheme="majorHAnsi"/>
          <w:sz w:val="20"/>
          <w:szCs w:val="20"/>
        </w:rPr>
        <w:t>видавати,</w:t>
      </w:r>
      <w:r w:rsidRPr="000977F7">
        <w:rPr>
          <w:rFonts w:asciiTheme="majorHAnsi" w:hAnsiTheme="majorHAnsi"/>
          <w:spacing w:val="1"/>
          <w:sz w:val="20"/>
          <w:szCs w:val="20"/>
        </w:rPr>
        <w:t xml:space="preserve"> </w:t>
      </w:r>
      <w:r w:rsidRPr="000977F7">
        <w:rPr>
          <w:rFonts w:asciiTheme="majorHAnsi" w:hAnsiTheme="majorHAnsi"/>
          <w:sz w:val="20"/>
          <w:szCs w:val="20"/>
        </w:rPr>
        <w:t>відтворювати з метою розповсюдження і розповсюджувати</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офіційні</w:t>
      </w:r>
      <w:r w:rsidRPr="000977F7">
        <w:rPr>
          <w:rFonts w:asciiTheme="majorHAnsi" w:hAnsiTheme="majorHAnsi"/>
          <w:spacing w:val="1"/>
          <w:sz w:val="20"/>
          <w:szCs w:val="20"/>
        </w:rPr>
        <w:t xml:space="preserve"> </w:t>
      </w:r>
      <w:r w:rsidRPr="000977F7">
        <w:rPr>
          <w:rFonts w:asciiTheme="majorHAnsi" w:hAnsiTheme="majorHAnsi"/>
          <w:sz w:val="20"/>
          <w:szCs w:val="20"/>
        </w:rPr>
        <w:t>видання</w:t>
      </w:r>
      <w:r w:rsidRPr="000977F7">
        <w:rPr>
          <w:rFonts w:asciiTheme="majorHAnsi" w:hAnsiTheme="majorHAnsi"/>
          <w:spacing w:val="1"/>
          <w:sz w:val="20"/>
          <w:szCs w:val="20"/>
        </w:rPr>
        <w:t xml:space="preserve"> </w:t>
      </w:r>
      <w:r w:rsidRPr="000977F7">
        <w:rPr>
          <w:rFonts w:asciiTheme="majorHAnsi" w:hAnsiTheme="majorHAnsi"/>
          <w:sz w:val="20"/>
          <w:szCs w:val="20"/>
        </w:rPr>
        <w:t>будь-які</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національні</w:t>
      </w:r>
      <w:r w:rsidRPr="000977F7">
        <w:rPr>
          <w:rFonts w:asciiTheme="majorHAnsi" w:hAnsiTheme="majorHAnsi"/>
          <w:spacing w:val="1"/>
          <w:sz w:val="20"/>
          <w:szCs w:val="20"/>
        </w:rPr>
        <w:t xml:space="preserve"> </w:t>
      </w:r>
      <w:r w:rsidRPr="000977F7">
        <w:rPr>
          <w:rFonts w:asciiTheme="majorHAnsi" w:hAnsiTheme="majorHAnsi"/>
          <w:sz w:val="20"/>
          <w:szCs w:val="20"/>
        </w:rPr>
        <w:t>стандарти, кодекси усталеної практики та розроблені</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національним органом стандартизації каталоги або їх</w:t>
      </w:r>
      <w:r w:rsidRPr="000977F7">
        <w:rPr>
          <w:rFonts w:asciiTheme="majorHAnsi" w:hAnsiTheme="majorHAnsi"/>
          <w:spacing w:val="1"/>
          <w:sz w:val="20"/>
          <w:szCs w:val="20"/>
        </w:rPr>
        <w:t xml:space="preserve"> </w:t>
      </w:r>
      <w:r w:rsidRPr="000977F7">
        <w:rPr>
          <w:rFonts w:asciiTheme="majorHAnsi" w:hAnsiTheme="majorHAnsi"/>
          <w:sz w:val="20"/>
          <w:szCs w:val="20"/>
        </w:rPr>
        <w:t>частини на будь-яких носіях інформації без дозволу</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національного</w:t>
      </w:r>
      <w:r w:rsidRPr="000977F7">
        <w:rPr>
          <w:rFonts w:asciiTheme="majorHAnsi" w:hAnsiTheme="majorHAnsi"/>
          <w:spacing w:val="1"/>
          <w:sz w:val="20"/>
          <w:szCs w:val="20"/>
        </w:rPr>
        <w:t xml:space="preserve"> </w:t>
      </w:r>
      <w:r w:rsidRPr="000977F7">
        <w:rPr>
          <w:rFonts w:asciiTheme="majorHAnsi" w:hAnsiTheme="majorHAnsi"/>
          <w:sz w:val="20"/>
          <w:szCs w:val="20"/>
        </w:rPr>
        <w:t>органу</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уповноваженої</w:t>
      </w:r>
      <w:r w:rsidRPr="000977F7">
        <w:rPr>
          <w:rFonts w:asciiTheme="majorHAnsi" w:hAnsiTheme="majorHAnsi"/>
          <w:spacing w:val="-2"/>
          <w:sz w:val="20"/>
          <w:szCs w:val="20"/>
        </w:rPr>
        <w:t xml:space="preserve"> </w:t>
      </w:r>
      <w:r w:rsidRPr="000977F7">
        <w:rPr>
          <w:rFonts w:asciiTheme="majorHAnsi" w:hAnsiTheme="majorHAnsi"/>
          <w:sz w:val="20"/>
          <w:szCs w:val="20"/>
        </w:rPr>
        <w:t>ним</w:t>
      </w:r>
      <w:r w:rsidRPr="000977F7">
        <w:rPr>
          <w:rFonts w:asciiTheme="majorHAnsi" w:hAnsiTheme="majorHAnsi"/>
          <w:spacing w:val="1"/>
          <w:sz w:val="20"/>
          <w:szCs w:val="20"/>
        </w:rPr>
        <w:t xml:space="preserve"> </w:t>
      </w:r>
      <w:r w:rsidRPr="000977F7">
        <w:rPr>
          <w:rFonts w:asciiTheme="majorHAnsi" w:hAnsiTheme="majorHAnsi"/>
          <w:sz w:val="20"/>
          <w:szCs w:val="20"/>
        </w:rPr>
        <w:t>особи.</w:t>
      </w:r>
    </w:p>
    <w:p w14:paraId="13C016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разі видання, відтворення чи розповсюдження національного</w:t>
      </w:r>
      <w:r w:rsidRPr="000977F7">
        <w:rPr>
          <w:rFonts w:asciiTheme="majorHAnsi" w:hAnsiTheme="majorHAnsi"/>
          <w:spacing w:val="-4"/>
          <w:sz w:val="20"/>
          <w:szCs w:val="20"/>
        </w:rPr>
        <w:t xml:space="preserve"> </w:t>
      </w:r>
      <w:r w:rsidRPr="000977F7">
        <w:rPr>
          <w:rFonts w:asciiTheme="majorHAnsi" w:hAnsiTheme="majorHAnsi"/>
          <w:sz w:val="20"/>
          <w:szCs w:val="20"/>
        </w:rPr>
        <w:t>стандарту,</w:t>
      </w:r>
      <w:r w:rsidRPr="000977F7">
        <w:rPr>
          <w:rFonts w:asciiTheme="majorHAnsi" w:hAnsiTheme="majorHAnsi"/>
          <w:spacing w:val="-4"/>
          <w:sz w:val="20"/>
          <w:szCs w:val="20"/>
        </w:rPr>
        <w:t xml:space="preserve"> </w:t>
      </w:r>
      <w:r w:rsidRPr="000977F7">
        <w:rPr>
          <w:rFonts w:asciiTheme="majorHAnsi" w:hAnsiTheme="majorHAnsi"/>
          <w:sz w:val="20"/>
          <w:szCs w:val="20"/>
        </w:rPr>
        <w:t>кодексу</w:t>
      </w:r>
      <w:r w:rsidRPr="000977F7">
        <w:rPr>
          <w:rFonts w:asciiTheme="majorHAnsi" w:hAnsiTheme="majorHAnsi"/>
          <w:spacing w:val="-5"/>
          <w:sz w:val="20"/>
          <w:szCs w:val="20"/>
        </w:rPr>
        <w:t xml:space="preserve"> </w:t>
      </w:r>
      <w:r w:rsidRPr="000977F7">
        <w:rPr>
          <w:rFonts w:asciiTheme="majorHAnsi" w:hAnsiTheme="majorHAnsi"/>
          <w:sz w:val="20"/>
          <w:szCs w:val="20"/>
        </w:rPr>
        <w:t>усталеної</w:t>
      </w:r>
      <w:r w:rsidRPr="000977F7">
        <w:rPr>
          <w:rFonts w:asciiTheme="majorHAnsi" w:hAnsiTheme="majorHAnsi"/>
          <w:spacing w:val="-5"/>
          <w:sz w:val="20"/>
          <w:szCs w:val="20"/>
        </w:rPr>
        <w:t xml:space="preserve"> </w:t>
      </w:r>
      <w:r w:rsidRPr="000977F7">
        <w:rPr>
          <w:rFonts w:asciiTheme="majorHAnsi" w:hAnsiTheme="majorHAnsi"/>
          <w:sz w:val="20"/>
          <w:szCs w:val="20"/>
        </w:rPr>
        <w:t>практики</w:t>
      </w:r>
      <w:r w:rsidRPr="000977F7">
        <w:rPr>
          <w:rFonts w:asciiTheme="majorHAnsi" w:hAnsiTheme="majorHAnsi"/>
          <w:spacing w:val="-5"/>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розробленого національним органом 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каталогу або їх частини без дозволу національного</w:t>
      </w:r>
      <w:r w:rsidRPr="000977F7">
        <w:rPr>
          <w:rFonts w:asciiTheme="majorHAnsi" w:hAnsiTheme="majorHAnsi"/>
          <w:spacing w:val="1"/>
          <w:sz w:val="20"/>
          <w:szCs w:val="20"/>
        </w:rPr>
        <w:t xml:space="preserve"> </w:t>
      </w:r>
      <w:r w:rsidRPr="000977F7">
        <w:rPr>
          <w:rFonts w:asciiTheme="majorHAnsi" w:hAnsiTheme="majorHAnsi"/>
          <w:sz w:val="20"/>
          <w:szCs w:val="20"/>
        </w:rPr>
        <w:t>органу стандартизації зазначений орган не несе відповідальності за невідповідність тексту розповсюджуваного документа його офіційному тексту чи за</w:t>
      </w:r>
      <w:r w:rsidRPr="000977F7">
        <w:rPr>
          <w:rFonts w:asciiTheme="majorHAnsi" w:hAnsiTheme="majorHAnsi"/>
          <w:spacing w:val="1"/>
          <w:sz w:val="20"/>
          <w:szCs w:val="20"/>
        </w:rPr>
        <w:t xml:space="preserve"> </w:t>
      </w:r>
      <w:r w:rsidRPr="000977F7">
        <w:rPr>
          <w:rFonts w:asciiTheme="majorHAnsi" w:hAnsiTheme="majorHAnsi"/>
          <w:sz w:val="20"/>
          <w:szCs w:val="20"/>
        </w:rPr>
        <w:t>наслідки, спричинені застосуванням розповсюдженого документа.</w:t>
      </w:r>
    </w:p>
    <w:p w14:paraId="4B333C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Національний</w:t>
      </w:r>
      <w:r w:rsidRPr="000977F7">
        <w:rPr>
          <w:rFonts w:asciiTheme="majorHAnsi" w:hAnsiTheme="majorHAnsi"/>
          <w:spacing w:val="1"/>
          <w:sz w:val="20"/>
          <w:szCs w:val="20"/>
        </w:rPr>
        <w:t xml:space="preserve"> </w:t>
      </w:r>
      <w:r w:rsidRPr="000977F7">
        <w:rPr>
          <w:rFonts w:asciiTheme="majorHAnsi" w:hAnsiTheme="majorHAnsi"/>
          <w:sz w:val="20"/>
          <w:szCs w:val="20"/>
        </w:rPr>
        <w:t>орган</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має</w:t>
      </w:r>
      <w:r w:rsidRPr="000977F7">
        <w:rPr>
          <w:rFonts w:asciiTheme="majorHAnsi" w:hAnsiTheme="majorHAnsi"/>
          <w:spacing w:val="1"/>
          <w:sz w:val="20"/>
          <w:szCs w:val="20"/>
        </w:rPr>
        <w:t xml:space="preserve"> </w:t>
      </w:r>
      <w:r w:rsidRPr="000977F7">
        <w:rPr>
          <w:rFonts w:asciiTheme="majorHAnsi" w:hAnsiTheme="majorHAnsi"/>
          <w:sz w:val="20"/>
          <w:szCs w:val="20"/>
        </w:rPr>
        <w:t>право</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відшкодування збитків, завданих йому недозволеним</w:t>
      </w:r>
      <w:r w:rsidRPr="000977F7">
        <w:rPr>
          <w:rFonts w:asciiTheme="majorHAnsi" w:hAnsiTheme="majorHAnsi"/>
          <w:spacing w:val="1"/>
          <w:sz w:val="20"/>
          <w:szCs w:val="20"/>
        </w:rPr>
        <w:t xml:space="preserve"> </w:t>
      </w:r>
      <w:r w:rsidRPr="000977F7">
        <w:rPr>
          <w:rFonts w:asciiTheme="majorHAnsi" w:hAnsiTheme="majorHAnsi"/>
          <w:sz w:val="20"/>
          <w:szCs w:val="20"/>
        </w:rPr>
        <w:t>виданням,</w:t>
      </w:r>
      <w:r w:rsidRPr="000977F7">
        <w:rPr>
          <w:rFonts w:asciiTheme="majorHAnsi" w:hAnsiTheme="majorHAnsi"/>
          <w:spacing w:val="1"/>
          <w:sz w:val="20"/>
          <w:szCs w:val="20"/>
        </w:rPr>
        <w:t xml:space="preserve"> </w:t>
      </w:r>
      <w:r w:rsidRPr="000977F7">
        <w:rPr>
          <w:rFonts w:asciiTheme="majorHAnsi" w:hAnsiTheme="majorHAnsi"/>
          <w:sz w:val="20"/>
          <w:szCs w:val="20"/>
        </w:rPr>
        <w:t>відтворенням</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розповсюдженням</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національного стандарту, кодексу усталеної практики</w:t>
      </w:r>
      <w:r w:rsidRPr="000977F7">
        <w:rPr>
          <w:rFonts w:asciiTheme="majorHAnsi" w:hAnsiTheme="majorHAnsi"/>
          <w:spacing w:val="1"/>
          <w:sz w:val="20"/>
          <w:szCs w:val="20"/>
        </w:rPr>
        <w:t xml:space="preserve"> </w:t>
      </w:r>
      <w:r w:rsidRPr="000977F7">
        <w:rPr>
          <w:rFonts w:asciiTheme="majorHAnsi" w:hAnsiTheme="majorHAnsi"/>
          <w:sz w:val="20"/>
          <w:szCs w:val="20"/>
        </w:rPr>
        <w:t>та розробленого національним органом стандартизації</w:t>
      </w:r>
      <w:r w:rsidRPr="000977F7">
        <w:rPr>
          <w:rFonts w:asciiTheme="majorHAnsi" w:hAnsiTheme="majorHAnsi"/>
          <w:spacing w:val="-47"/>
          <w:sz w:val="20"/>
          <w:szCs w:val="20"/>
        </w:rPr>
        <w:t xml:space="preserve"> </w:t>
      </w:r>
      <w:r w:rsidRPr="000977F7">
        <w:rPr>
          <w:rFonts w:asciiTheme="majorHAnsi" w:hAnsiTheme="majorHAnsi"/>
          <w:sz w:val="20"/>
          <w:szCs w:val="20"/>
        </w:rPr>
        <w:t>каталогу</w:t>
      </w:r>
      <w:r w:rsidRPr="000977F7">
        <w:rPr>
          <w:rFonts w:asciiTheme="majorHAnsi" w:hAnsiTheme="majorHAnsi"/>
          <w:spacing w:val="-2"/>
          <w:sz w:val="20"/>
          <w:szCs w:val="20"/>
        </w:rPr>
        <w:t xml:space="preserve"> </w:t>
      </w:r>
      <w:r w:rsidRPr="000977F7">
        <w:rPr>
          <w:rFonts w:asciiTheme="majorHAnsi" w:hAnsiTheme="majorHAnsi"/>
          <w:sz w:val="20"/>
          <w:szCs w:val="20"/>
        </w:rPr>
        <w:t>або їх</w:t>
      </w:r>
      <w:r w:rsidRPr="000977F7">
        <w:rPr>
          <w:rFonts w:asciiTheme="majorHAnsi" w:hAnsiTheme="majorHAnsi"/>
          <w:spacing w:val="-2"/>
          <w:sz w:val="20"/>
          <w:szCs w:val="20"/>
        </w:rPr>
        <w:t xml:space="preserve"> </w:t>
      </w:r>
      <w:r w:rsidRPr="000977F7">
        <w:rPr>
          <w:rFonts w:asciiTheme="majorHAnsi" w:hAnsiTheme="majorHAnsi"/>
          <w:sz w:val="20"/>
          <w:szCs w:val="20"/>
        </w:rPr>
        <w:t>частини,</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 до</w:t>
      </w:r>
      <w:r w:rsidRPr="000977F7">
        <w:rPr>
          <w:rFonts w:asciiTheme="majorHAnsi" w:hAnsiTheme="majorHAnsi"/>
          <w:spacing w:val="-1"/>
          <w:sz w:val="20"/>
          <w:szCs w:val="20"/>
        </w:rPr>
        <w:t xml:space="preserve"> </w:t>
      </w:r>
      <w:r w:rsidRPr="000977F7">
        <w:rPr>
          <w:rFonts w:asciiTheme="majorHAnsi" w:hAnsiTheme="majorHAnsi"/>
          <w:sz w:val="20"/>
          <w:szCs w:val="20"/>
        </w:rPr>
        <w:t>закону.</w:t>
      </w:r>
    </w:p>
    <w:p w14:paraId="07AD566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i/>
          <w:sz w:val="20"/>
          <w:szCs w:val="20"/>
        </w:rPr>
        <w:t>Ст.24, 25 закону України "Про стандартизацію"</w:t>
      </w:r>
      <w:r w:rsidRPr="000977F7">
        <w:rPr>
          <w:rFonts w:asciiTheme="majorHAnsi" w:hAnsiTheme="majorHAnsi"/>
          <w:i/>
          <w:spacing w:val="-47"/>
          <w:sz w:val="20"/>
          <w:szCs w:val="20"/>
        </w:rPr>
        <w:t xml:space="preserve"> </w:t>
      </w:r>
      <w:bookmarkStart w:id="86" w:name="_Hlk102279217"/>
      <w:r w:rsidRPr="000977F7">
        <w:rPr>
          <w:rFonts w:asciiTheme="majorHAnsi" w:hAnsiTheme="majorHAnsi"/>
          <w:b/>
          <w:sz w:val="20"/>
          <w:szCs w:val="20"/>
        </w:rPr>
        <w:t>ІНФОРМАЦІЙНЕ</w:t>
      </w:r>
      <w:r w:rsidRPr="000977F7">
        <w:rPr>
          <w:rFonts w:asciiTheme="majorHAnsi" w:hAnsiTheme="majorHAnsi"/>
          <w:b/>
          <w:spacing w:val="-2"/>
          <w:sz w:val="20"/>
          <w:szCs w:val="20"/>
        </w:rPr>
        <w:t xml:space="preserve"> </w:t>
      </w:r>
      <w:r w:rsidRPr="000977F7">
        <w:rPr>
          <w:rFonts w:asciiTheme="majorHAnsi" w:hAnsiTheme="majorHAnsi"/>
          <w:b/>
          <w:sz w:val="20"/>
          <w:szCs w:val="20"/>
        </w:rPr>
        <w:t>РЕЗЕРВУВАННЯ</w:t>
      </w:r>
      <w:r w:rsidRPr="000977F7">
        <w:rPr>
          <w:rFonts w:asciiTheme="majorHAnsi" w:hAnsiTheme="majorHAnsi"/>
          <w:b/>
          <w:spacing w:val="3"/>
          <w:sz w:val="20"/>
          <w:szCs w:val="20"/>
        </w:rPr>
        <w:t xml:space="preserve"> </w:t>
      </w:r>
      <w:r w:rsidRPr="000977F7">
        <w:rPr>
          <w:rFonts w:asciiTheme="majorHAnsi" w:hAnsiTheme="majorHAnsi"/>
          <w:b/>
          <w:sz w:val="20"/>
          <w:szCs w:val="20"/>
        </w:rPr>
        <w:t>–</w:t>
      </w:r>
      <w:r w:rsidRPr="000977F7">
        <w:rPr>
          <w:rFonts w:asciiTheme="majorHAnsi" w:hAnsiTheme="majorHAnsi"/>
          <w:sz w:val="20"/>
          <w:szCs w:val="20"/>
        </w:rPr>
        <w:t>INFORMATION</w:t>
      </w:r>
      <w:r w:rsidRPr="000977F7">
        <w:rPr>
          <w:rFonts w:asciiTheme="majorHAnsi" w:hAnsiTheme="majorHAnsi"/>
          <w:spacing w:val="-1"/>
          <w:sz w:val="20"/>
          <w:szCs w:val="20"/>
        </w:rPr>
        <w:t xml:space="preserve"> </w:t>
      </w:r>
      <w:r w:rsidRPr="000977F7">
        <w:rPr>
          <w:rFonts w:asciiTheme="majorHAnsi" w:hAnsiTheme="majorHAnsi"/>
          <w:sz w:val="20"/>
          <w:szCs w:val="20"/>
        </w:rPr>
        <w:t>REDUNDANCY</w:t>
      </w:r>
      <w:r w:rsidRPr="000977F7">
        <w:rPr>
          <w:rFonts w:asciiTheme="majorHAnsi" w:hAnsiTheme="majorHAnsi"/>
          <w:spacing w:val="2"/>
          <w:sz w:val="20"/>
          <w:szCs w:val="20"/>
        </w:rPr>
        <w:t xml:space="preserve"> </w:t>
      </w:r>
      <w:r w:rsidRPr="000977F7">
        <w:rPr>
          <w:rFonts w:asciiTheme="majorHAnsi" w:hAnsiTheme="majorHAnsi"/>
          <w:sz w:val="20"/>
          <w:szCs w:val="20"/>
        </w:rPr>
        <w:t>–</w:t>
      </w:r>
    </w:p>
    <w:bookmarkEnd w:id="86"/>
    <w:p w14:paraId="1FD98F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Резервування</w:t>
      </w:r>
      <w:r w:rsidRPr="000977F7">
        <w:rPr>
          <w:rFonts w:asciiTheme="majorHAnsi" w:hAnsiTheme="majorHAnsi"/>
          <w:spacing w:val="-5"/>
          <w:sz w:val="20"/>
          <w:szCs w:val="20"/>
        </w:rPr>
        <w:t xml:space="preserve"> </w:t>
      </w:r>
      <w:r w:rsidRPr="000977F7">
        <w:rPr>
          <w:rFonts w:asciiTheme="majorHAnsi" w:hAnsiTheme="majorHAnsi"/>
          <w:sz w:val="20"/>
          <w:szCs w:val="20"/>
        </w:rPr>
        <w:t>з</w:t>
      </w:r>
      <w:r w:rsidRPr="000977F7">
        <w:rPr>
          <w:rFonts w:asciiTheme="majorHAnsi" w:hAnsiTheme="majorHAnsi"/>
          <w:spacing w:val="-4"/>
          <w:sz w:val="20"/>
          <w:szCs w:val="20"/>
        </w:rPr>
        <w:t xml:space="preserve"> </w:t>
      </w:r>
      <w:r w:rsidRPr="000977F7">
        <w:rPr>
          <w:rFonts w:asciiTheme="majorHAnsi" w:hAnsiTheme="majorHAnsi"/>
          <w:sz w:val="20"/>
          <w:szCs w:val="20"/>
        </w:rPr>
        <w:t>застосуванням</w:t>
      </w:r>
      <w:r w:rsidRPr="000977F7">
        <w:rPr>
          <w:rFonts w:asciiTheme="majorHAnsi" w:hAnsiTheme="majorHAnsi"/>
          <w:spacing w:val="-3"/>
          <w:sz w:val="20"/>
          <w:szCs w:val="20"/>
        </w:rPr>
        <w:t xml:space="preserve"> </w:t>
      </w:r>
      <w:r w:rsidRPr="000977F7">
        <w:rPr>
          <w:rFonts w:asciiTheme="majorHAnsi" w:hAnsiTheme="majorHAnsi"/>
          <w:sz w:val="20"/>
          <w:szCs w:val="20"/>
        </w:rPr>
        <w:t>резервів</w:t>
      </w:r>
      <w:r w:rsidRPr="000977F7">
        <w:rPr>
          <w:rFonts w:asciiTheme="majorHAnsi" w:hAnsiTheme="majorHAnsi"/>
          <w:spacing w:val="-5"/>
          <w:sz w:val="20"/>
          <w:szCs w:val="20"/>
        </w:rPr>
        <w:t xml:space="preserve"> </w:t>
      </w:r>
      <w:r w:rsidRPr="000977F7">
        <w:rPr>
          <w:rFonts w:asciiTheme="majorHAnsi" w:hAnsiTheme="majorHAnsi"/>
          <w:sz w:val="20"/>
          <w:szCs w:val="20"/>
        </w:rPr>
        <w:t>інформації</w:t>
      </w:r>
    </w:p>
    <w:p w14:paraId="787277D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2860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50"/>
          <w:sz w:val="20"/>
          <w:szCs w:val="20"/>
          <w:lang w:val="en-US"/>
        </w:rPr>
        <w:t xml:space="preserve"> </w:t>
      </w:r>
      <w:r w:rsidRPr="004D2D14">
        <w:rPr>
          <w:rFonts w:asciiTheme="majorHAnsi" w:hAnsiTheme="majorHAnsi"/>
          <w:i/>
          <w:sz w:val="20"/>
          <w:szCs w:val="20"/>
          <w:lang w:val="en-US"/>
        </w:rPr>
        <w:t>94</w:t>
      </w:r>
    </w:p>
    <w:p w14:paraId="5A6D6F84"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ІНФОРМАЦІЙНИЙ</w:t>
      </w:r>
      <w:r w:rsidRPr="004D2D14">
        <w:rPr>
          <w:rFonts w:asciiTheme="majorHAnsi" w:hAnsiTheme="majorHAnsi"/>
          <w:b/>
          <w:spacing w:val="-6"/>
          <w:sz w:val="20"/>
          <w:szCs w:val="20"/>
          <w:lang w:val="en-US"/>
        </w:rPr>
        <w:t xml:space="preserve"> </w:t>
      </w:r>
      <w:r w:rsidRPr="000977F7">
        <w:rPr>
          <w:rFonts w:asciiTheme="majorHAnsi" w:hAnsiTheme="majorHAnsi"/>
          <w:b/>
          <w:sz w:val="20"/>
          <w:szCs w:val="20"/>
        </w:rPr>
        <w:t>ДОДАТОК</w:t>
      </w:r>
      <w:r w:rsidRPr="004D2D14">
        <w:rPr>
          <w:rFonts w:asciiTheme="majorHAnsi" w:hAnsiTheme="majorHAnsi"/>
          <w:b/>
          <w:spacing w:val="-8"/>
          <w:sz w:val="20"/>
          <w:szCs w:val="20"/>
          <w:lang w:val="en-US"/>
        </w:rPr>
        <w:t xml:space="preserve"> </w:t>
      </w:r>
      <w:r w:rsidRPr="000977F7">
        <w:rPr>
          <w:rFonts w:asciiTheme="majorHAnsi" w:hAnsiTheme="majorHAnsi"/>
          <w:b/>
          <w:sz w:val="20"/>
          <w:szCs w:val="20"/>
        </w:rPr>
        <w:t>ДО</w:t>
      </w:r>
      <w:r w:rsidRPr="004D2D14">
        <w:rPr>
          <w:rFonts w:asciiTheme="majorHAnsi" w:hAnsiTheme="majorHAnsi"/>
          <w:b/>
          <w:spacing w:val="-47"/>
          <w:sz w:val="20"/>
          <w:szCs w:val="20"/>
          <w:lang w:val="en-US"/>
        </w:rPr>
        <w:t xml:space="preserve"> </w:t>
      </w:r>
      <w:r w:rsidRPr="000977F7">
        <w:rPr>
          <w:rFonts w:asciiTheme="majorHAnsi" w:hAnsiTheme="majorHAnsi"/>
          <w:b/>
          <w:sz w:val="20"/>
          <w:szCs w:val="20"/>
        </w:rPr>
        <w:t>СТАНДАРТУ</w:t>
      </w:r>
      <w:r w:rsidRPr="004D2D14">
        <w:rPr>
          <w:rFonts w:asciiTheme="majorHAnsi" w:hAnsiTheme="majorHAnsi"/>
          <w:b/>
          <w:spacing w:val="-1"/>
          <w:sz w:val="20"/>
          <w:szCs w:val="20"/>
          <w:lang w:val="en-US"/>
        </w:rPr>
        <w:t xml:space="preserve"> </w:t>
      </w:r>
    </w:p>
    <w:p w14:paraId="335BFC2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INFORMATIVE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ANNEX</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 A</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STANDARD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6AE494BE" w14:textId="77777777" w:rsidR="0097612F" w:rsidRPr="000977F7" w:rsidRDefault="0097612F" w:rsidP="000977F7">
      <w:pPr>
        <w:pStyle w:val="af6"/>
        <w:tabs>
          <w:tab w:val="left" w:pos="284"/>
        </w:tabs>
        <w:spacing w:after="0"/>
        <w:ind w:left="170"/>
        <w:mirrorIndents/>
        <w:jc w:val="both"/>
        <w:rPr>
          <w:rFonts w:asciiTheme="majorHAnsi" w:hAnsiTheme="majorHAnsi"/>
          <w:spacing w:val="12"/>
          <w:sz w:val="20"/>
          <w:szCs w:val="20"/>
        </w:rPr>
      </w:pPr>
      <w:r w:rsidRPr="000977F7">
        <w:rPr>
          <w:rFonts w:asciiTheme="majorHAnsi" w:hAnsiTheme="majorHAnsi"/>
          <w:sz w:val="20"/>
          <w:szCs w:val="20"/>
        </w:rPr>
        <w:t>Частина</w:t>
      </w:r>
      <w:r w:rsidRPr="000977F7">
        <w:rPr>
          <w:rFonts w:asciiTheme="majorHAnsi" w:hAnsiTheme="majorHAnsi"/>
          <w:spacing w:val="13"/>
          <w:sz w:val="20"/>
          <w:szCs w:val="20"/>
        </w:rPr>
        <w:t xml:space="preserve"> </w:t>
      </w:r>
      <w:r w:rsidRPr="000977F7">
        <w:rPr>
          <w:rFonts w:asciiTheme="majorHAnsi" w:hAnsiTheme="majorHAnsi"/>
          <w:sz w:val="20"/>
          <w:szCs w:val="20"/>
        </w:rPr>
        <w:t>стандарту,</w:t>
      </w:r>
      <w:r w:rsidRPr="000977F7">
        <w:rPr>
          <w:rFonts w:asciiTheme="majorHAnsi" w:hAnsiTheme="majorHAnsi"/>
          <w:spacing w:val="12"/>
          <w:sz w:val="20"/>
          <w:szCs w:val="20"/>
        </w:rPr>
        <w:t xml:space="preserve"> </w:t>
      </w:r>
      <w:r w:rsidRPr="000977F7">
        <w:rPr>
          <w:rFonts w:asciiTheme="majorHAnsi" w:hAnsiTheme="majorHAnsi"/>
          <w:sz w:val="20"/>
          <w:szCs w:val="20"/>
        </w:rPr>
        <w:t>в</w:t>
      </w:r>
      <w:r w:rsidRPr="000977F7">
        <w:rPr>
          <w:rFonts w:asciiTheme="majorHAnsi" w:hAnsiTheme="majorHAnsi"/>
          <w:spacing w:val="12"/>
          <w:sz w:val="20"/>
          <w:szCs w:val="20"/>
        </w:rPr>
        <w:t xml:space="preserve"> </w:t>
      </w:r>
      <w:r w:rsidRPr="000977F7">
        <w:rPr>
          <w:rFonts w:asciiTheme="majorHAnsi" w:hAnsiTheme="majorHAnsi"/>
          <w:sz w:val="20"/>
          <w:szCs w:val="20"/>
        </w:rPr>
        <w:t>який</w:t>
      </w:r>
      <w:r w:rsidRPr="000977F7">
        <w:rPr>
          <w:rFonts w:asciiTheme="majorHAnsi" w:hAnsiTheme="majorHAnsi"/>
          <w:spacing w:val="13"/>
          <w:sz w:val="20"/>
          <w:szCs w:val="20"/>
        </w:rPr>
        <w:t xml:space="preserve"> </w:t>
      </w:r>
      <w:r w:rsidRPr="000977F7">
        <w:rPr>
          <w:rFonts w:asciiTheme="majorHAnsi" w:hAnsiTheme="majorHAnsi"/>
          <w:sz w:val="20"/>
          <w:szCs w:val="20"/>
        </w:rPr>
        <w:t>наведені</w:t>
      </w:r>
      <w:r w:rsidRPr="000977F7">
        <w:rPr>
          <w:rFonts w:asciiTheme="majorHAnsi" w:hAnsiTheme="majorHAnsi"/>
          <w:spacing w:val="12"/>
          <w:sz w:val="20"/>
          <w:szCs w:val="20"/>
        </w:rPr>
        <w:t xml:space="preserve"> </w:t>
      </w:r>
      <w:r w:rsidRPr="000977F7">
        <w:rPr>
          <w:rFonts w:asciiTheme="majorHAnsi" w:hAnsiTheme="majorHAnsi"/>
          <w:sz w:val="20"/>
          <w:szCs w:val="20"/>
        </w:rPr>
        <w:t>матеріали</w:t>
      </w:r>
      <w:r w:rsidRPr="000977F7">
        <w:rPr>
          <w:rFonts w:asciiTheme="majorHAnsi" w:hAnsiTheme="majorHAnsi"/>
          <w:spacing w:val="11"/>
          <w:sz w:val="20"/>
          <w:szCs w:val="20"/>
        </w:rPr>
        <w:t xml:space="preserve"> </w:t>
      </w:r>
      <w:r w:rsidRPr="000977F7">
        <w:rPr>
          <w:rFonts w:asciiTheme="majorHAnsi" w:hAnsiTheme="majorHAnsi"/>
          <w:sz w:val="20"/>
          <w:szCs w:val="20"/>
        </w:rPr>
        <w:t>для</w:t>
      </w:r>
      <w:r w:rsidRPr="000977F7">
        <w:rPr>
          <w:rFonts w:asciiTheme="majorHAnsi" w:hAnsiTheme="majorHAnsi"/>
          <w:spacing w:val="12"/>
          <w:sz w:val="20"/>
          <w:szCs w:val="20"/>
        </w:rPr>
        <w:t xml:space="preserve"> </w:t>
      </w:r>
    </w:p>
    <w:p w14:paraId="5E2B288B"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до</w:t>
      </w:r>
      <w:r w:rsidRPr="000977F7">
        <w:rPr>
          <w:rFonts w:asciiTheme="majorHAnsi" w:hAnsiTheme="majorHAnsi"/>
          <w:spacing w:val="-47"/>
          <w:sz w:val="20"/>
          <w:szCs w:val="20"/>
        </w:rPr>
        <w:t xml:space="preserve"> </w:t>
      </w:r>
      <w:r w:rsidRPr="000977F7">
        <w:rPr>
          <w:rFonts w:asciiTheme="majorHAnsi" w:hAnsiTheme="majorHAnsi"/>
          <w:sz w:val="20"/>
          <w:szCs w:val="20"/>
        </w:rPr>
        <w:t>відок,</w:t>
      </w:r>
      <w:r w:rsidRPr="000977F7">
        <w:rPr>
          <w:rFonts w:asciiTheme="majorHAnsi" w:hAnsiTheme="majorHAnsi"/>
          <w:spacing w:val="20"/>
          <w:sz w:val="20"/>
          <w:szCs w:val="20"/>
        </w:rPr>
        <w:t xml:space="preserve"> </w:t>
      </w:r>
      <w:r w:rsidRPr="000977F7">
        <w:rPr>
          <w:rFonts w:asciiTheme="majorHAnsi" w:hAnsiTheme="majorHAnsi"/>
          <w:sz w:val="20"/>
          <w:szCs w:val="20"/>
        </w:rPr>
        <w:t>що</w:t>
      </w:r>
      <w:r w:rsidRPr="000977F7">
        <w:rPr>
          <w:rFonts w:asciiTheme="majorHAnsi" w:hAnsiTheme="majorHAnsi"/>
          <w:spacing w:val="20"/>
          <w:sz w:val="20"/>
          <w:szCs w:val="20"/>
        </w:rPr>
        <w:t xml:space="preserve"> </w:t>
      </w:r>
      <w:r w:rsidRPr="000977F7">
        <w:rPr>
          <w:rFonts w:asciiTheme="majorHAnsi" w:hAnsiTheme="majorHAnsi"/>
          <w:sz w:val="20"/>
          <w:szCs w:val="20"/>
        </w:rPr>
        <w:t>пояснюють</w:t>
      </w:r>
      <w:r w:rsidRPr="000977F7">
        <w:rPr>
          <w:rFonts w:asciiTheme="majorHAnsi" w:hAnsiTheme="majorHAnsi"/>
          <w:spacing w:val="20"/>
          <w:sz w:val="20"/>
          <w:szCs w:val="20"/>
        </w:rPr>
        <w:t xml:space="preserve"> </w:t>
      </w:r>
      <w:r w:rsidRPr="000977F7">
        <w:rPr>
          <w:rFonts w:asciiTheme="majorHAnsi" w:hAnsiTheme="majorHAnsi"/>
          <w:sz w:val="20"/>
          <w:szCs w:val="20"/>
        </w:rPr>
        <w:t>зміст</w:t>
      </w:r>
      <w:r w:rsidRPr="000977F7">
        <w:rPr>
          <w:rFonts w:asciiTheme="majorHAnsi" w:hAnsiTheme="majorHAnsi"/>
          <w:spacing w:val="21"/>
          <w:sz w:val="20"/>
          <w:szCs w:val="20"/>
        </w:rPr>
        <w:t xml:space="preserve"> </w:t>
      </w:r>
      <w:r w:rsidRPr="000977F7">
        <w:rPr>
          <w:rFonts w:asciiTheme="majorHAnsi" w:hAnsiTheme="majorHAnsi"/>
          <w:sz w:val="20"/>
          <w:szCs w:val="20"/>
        </w:rPr>
        <w:t>стандарту</w:t>
      </w:r>
      <w:r w:rsidRPr="000977F7">
        <w:rPr>
          <w:rFonts w:asciiTheme="majorHAnsi" w:hAnsiTheme="majorHAnsi"/>
          <w:spacing w:val="19"/>
          <w:sz w:val="20"/>
          <w:szCs w:val="20"/>
        </w:rPr>
        <w:t xml:space="preserve"> </w:t>
      </w:r>
      <w:r w:rsidRPr="000977F7">
        <w:rPr>
          <w:rFonts w:asciiTheme="majorHAnsi" w:hAnsiTheme="majorHAnsi"/>
          <w:sz w:val="20"/>
          <w:szCs w:val="20"/>
        </w:rPr>
        <w:t>або</w:t>
      </w:r>
      <w:r w:rsidRPr="000977F7">
        <w:rPr>
          <w:rFonts w:asciiTheme="majorHAnsi" w:hAnsiTheme="majorHAnsi"/>
          <w:spacing w:val="20"/>
          <w:sz w:val="20"/>
          <w:szCs w:val="20"/>
        </w:rPr>
        <w:t xml:space="preserve"> </w:t>
      </w:r>
      <w:r w:rsidRPr="000977F7">
        <w:rPr>
          <w:rFonts w:asciiTheme="majorHAnsi" w:hAnsiTheme="majorHAnsi"/>
          <w:sz w:val="20"/>
          <w:szCs w:val="20"/>
        </w:rPr>
        <w:t>методи</w:t>
      </w:r>
      <w:r w:rsidRPr="000977F7">
        <w:rPr>
          <w:rFonts w:asciiTheme="majorHAnsi" w:hAnsiTheme="majorHAnsi"/>
          <w:spacing w:val="18"/>
          <w:sz w:val="20"/>
          <w:szCs w:val="20"/>
        </w:rPr>
        <w:t xml:space="preserve"> </w:t>
      </w:r>
      <w:r w:rsidRPr="000977F7">
        <w:rPr>
          <w:rFonts w:asciiTheme="majorHAnsi" w:hAnsiTheme="majorHAnsi"/>
          <w:sz w:val="20"/>
          <w:szCs w:val="20"/>
        </w:rPr>
        <w:t>ви</w:t>
      </w:r>
      <w:r w:rsidRPr="000977F7">
        <w:rPr>
          <w:rFonts w:asciiTheme="majorHAnsi" w:hAnsiTheme="majorHAnsi"/>
          <w:spacing w:val="-47"/>
          <w:sz w:val="20"/>
          <w:szCs w:val="20"/>
        </w:rPr>
        <w:t xml:space="preserve"> </w:t>
      </w:r>
      <w:r w:rsidRPr="000977F7">
        <w:rPr>
          <w:rFonts w:asciiTheme="majorHAnsi" w:hAnsiTheme="majorHAnsi"/>
          <w:sz w:val="20"/>
          <w:szCs w:val="20"/>
        </w:rPr>
        <w:t>рішення, або розрахунків з відповідними прикладами</w:t>
      </w:r>
      <w:r w:rsidRPr="000977F7">
        <w:rPr>
          <w:rFonts w:asciiTheme="majorHAnsi" w:hAnsiTheme="majorHAnsi"/>
          <w:spacing w:val="1"/>
          <w:sz w:val="20"/>
          <w:szCs w:val="20"/>
        </w:rPr>
        <w:t xml:space="preserve"> </w:t>
      </w:r>
    </w:p>
    <w:p w14:paraId="38BF4F8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1E5A27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 обов’язкового інформаційного додатку до стандарту</w:t>
      </w:r>
      <w:r w:rsidRPr="000977F7">
        <w:rPr>
          <w:rFonts w:asciiTheme="majorHAnsi" w:hAnsiTheme="majorHAnsi"/>
          <w:spacing w:val="1"/>
          <w:sz w:val="20"/>
          <w:szCs w:val="20"/>
        </w:rPr>
        <w:t xml:space="preserve"> </w:t>
      </w:r>
      <w:r w:rsidRPr="000977F7">
        <w:rPr>
          <w:rFonts w:asciiTheme="majorHAnsi" w:hAnsiTheme="majorHAnsi"/>
          <w:sz w:val="20"/>
          <w:szCs w:val="20"/>
        </w:rPr>
        <w:t>належить перелік ключових слів та дескрипторів,</w:t>
      </w:r>
      <w:r w:rsidRPr="000977F7">
        <w:rPr>
          <w:rFonts w:asciiTheme="majorHAnsi" w:hAnsiTheme="majorHAnsi"/>
          <w:spacing w:val="1"/>
          <w:sz w:val="20"/>
          <w:szCs w:val="20"/>
        </w:rPr>
        <w:t xml:space="preserve"> </w:t>
      </w:r>
      <w:r w:rsidRPr="000977F7">
        <w:rPr>
          <w:rFonts w:asciiTheme="majorHAnsi" w:hAnsiTheme="majorHAnsi"/>
          <w:sz w:val="20"/>
          <w:szCs w:val="20"/>
        </w:rPr>
        <w:t>що характеризують основний зміст стандарту та призначені</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1"/>
          <w:sz w:val="20"/>
          <w:szCs w:val="20"/>
        </w:rPr>
        <w:t xml:space="preserve"> </w:t>
      </w:r>
      <w:r w:rsidRPr="000977F7">
        <w:rPr>
          <w:rFonts w:asciiTheme="majorHAnsi" w:hAnsiTheme="majorHAnsi"/>
          <w:sz w:val="20"/>
          <w:szCs w:val="20"/>
        </w:rPr>
        <w:t>документального</w:t>
      </w:r>
      <w:r w:rsidRPr="000977F7">
        <w:rPr>
          <w:rFonts w:asciiTheme="majorHAnsi" w:hAnsiTheme="majorHAnsi"/>
          <w:spacing w:val="1"/>
          <w:sz w:val="20"/>
          <w:szCs w:val="20"/>
        </w:rPr>
        <w:t xml:space="preserve"> </w:t>
      </w:r>
      <w:r w:rsidRPr="000977F7">
        <w:rPr>
          <w:rFonts w:asciiTheme="majorHAnsi" w:hAnsiTheme="majorHAnsi"/>
          <w:sz w:val="20"/>
          <w:szCs w:val="20"/>
        </w:rPr>
        <w:t>пошуку</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масиві</w:t>
      </w:r>
      <w:r w:rsidRPr="000977F7">
        <w:rPr>
          <w:rFonts w:asciiTheme="majorHAnsi" w:hAnsiTheme="majorHAnsi"/>
          <w:spacing w:val="-2"/>
          <w:sz w:val="20"/>
          <w:szCs w:val="20"/>
        </w:rPr>
        <w:t xml:space="preserve"> </w:t>
      </w:r>
      <w:r w:rsidRPr="000977F7">
        <w:rPr>
          <w:rFonts w:asciiTheme="majorHAnsi" w:hAnsiTheme="majorHAnsi"/>
          <w:sz w:val="20"/>
          <w:szCs w:val="20"/>
        </w:rPr>
        <w:t>стандартів</w:t>
      </w:r>
    </w:p>
    <w:p w14:paraId="03A8AFAA" w14:textId="77777777" w:rsidR="0097612F" w:rsidRPr="000977F7" w:rsidRDefault="0097612F" w:rsidP="000977F7">
      <w:pPr>
        <w:pStyle w:val="7"/>
        <w:tabs>
          <w:tab w:val="left" w:pos="284"/>
        </w:tabs>
        <w:spacing w:before="0" w:line="240" w:lineRule="auto"/>
        <w:ind w:left="170"/>
        <w:mirrorIndents/>
        <w:jc w:val="both"/>
        <w:rPr>
          <w:color w:val="auto"/>
          <w:spacing w:val="25"/>
          <w:sz w:val="20"/>
          <w:szCs w:val="20"/>
        </w:rPr>
      </w:pPr>
      <w:r w:rsidRPr="000977F7">
        <w:rPr>
          <w:color w:val="auto"/>
          <w:sz w:val="20"/>
          <w:szCs w:val="20"/>
        </w:rPr>
        <w:t>ІНФОРМАЦІЙНИЙ</w:t>
      </w:r>
      <w:r w:rsidRPr="000977F7">
        <w:rPr>
          <w:color w:val="auto"/>
          <w:spacing w:val="23"/>
          <w:sz w:val="20"/>
          <w:szCs w:val="20"/>
        </w:rPr>
        <w:t xml:space="preserve"> </w:t>
      </w:r>
      <w:r w:rsidRPr="000977F7">
        <w:rPr>
          <w:color w:val="auto"/>
          <w:sz w:val="20"/>
          <w:szCs w:val="20"/>
        </w:rPr>
        <w:t>ЗВ'ЯЗОК</w:t>
      </w:r>
      <w:r w:rsidRPr="000977F7">
        <w:rPr>
          <w:color w:val="auto"/>
          <w:spacing w:val="22"/>
          <w:sz w:val="20"/>
          <w:szCs w:val="20"/>
        </w:rPr>
        <w:t xml:space="preserve"> </w:t>
      </w:r>
      <w:r w:rsidRPr="000977F7">
        <w:rPr>
          <w:color w:val="auto"/>
          <w:sz w:val="20"/>
          <w:szCs w:val="20"/>
        </w:rPr>
        <w:t>ІЗ</w:t>
      </w:r>
      <w:r w:rsidRPr="000977F7">
        <w:rPr>
          <w:color w:val="auto"/>
          <w:spacing w:val="25"/>
          <w:sz w:val="20"/>
          <w:szCs w:val="20"/>
        </w:rPr>
        <w:t xml:space="preserve"> </w:t>
      </w:r>
    </w:p>
    <w:p w14:paraId="7967BF6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ЗАМОВНИКА</w:t>
      </w:r>
      <w:r w:rsidRPr="000977F7">
        <w:rPr>
          <w:color w:val="auto"/>
          <w:spacing w:val="-47"/>
          <w:sz w:val="20"/>
          <w:szCs w:val="20"/>
        </w:rPr>
        <w:t xml:space="preserve"> </w:t>
      </w:r>
      <w:r w:rsidRPr="000977F7">
        <w:rPr>
          <w:color w:val="auto"/>
          <w:sz w:val="20"/>
          <w:szCs w:val="20"/>
        </w:rPr>
        <w:t>МИ</w:t>
      </w:r>
      <w:r w:rsidRPr="000977F7">
        <w:rPr>
          <w:color w:val="auto"/>
          <w:spacing w:val="1"/>
          <w:sz w:val="20"/>
          <w:szCs w:val="20"/>
        </w:rPr>
        <w:t xml:space="preserve"> </w:t>
      </w:r>
      <w:r w:rsidRPr="000977F7">
        <w:rPr>
          <w:color w:val="auto"/>
          <w:sz w:val="20"/>
          <w:szCs w:val="20"/>
        </w:rPr>
        <w:t>–</w:t>
      </w:r>
    </w:p>
    <w:p w14:paraId="1C26F0E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Потрібно, щоб інформаційний зв'язок із замовниками</w:t>
      </w:r>
      <w:r w:rsidRPr="000977F7">
        <w:rPr>
          <w:rFonts w:asciiTheme="majorHAnsi" w:hAnsiTheme="majorHAnsi"/>
          <w:spacing w:val="1"/>
          <w:sz w:val="20"/>
          <w:szCs w:val="20"/>
        </w:rPr>
        <w:t xml:space="preserve"> </w:t>
      </w:r>
      <w:r w:rsidRPr="000977F7">
        <w:rPr>
          <w:rFonts w:asciiTheme="majorHAnsi" w:hAnsiTheme="majorHAnsi"/>
          <w:sz w:val="20"/>
          <w:szCs w:val="20"/>
        </w:rPr>
        <w:t>охоплював</w:t>
      </w:r>
    </w:p>
    <w:p w14:paraId="1CF43B43" w14:textId="77777777" w:rsidR="0097612F" w:rsidRPr="000977F7" w:rsidRDefault="0097612F" w:rsidP="00FD39A4">
      <w:pPr>
        <w:pStyle w:val="ac"/>
        <w:widowControl w:val="0"/>
        <w:numPr>
          <w:ilvl w:val="0"/>
          <w:numId w:val="169"/>
        </w:numPr>
        <w:tabs>
          <w:tab w:val="left" w:pos="284"/>
          <w:tab w:val="left" w:pos="52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надання</w:t>
      </w:r>
      <w:r w:rsidRPr="000977F7">
        <w:rPr>
          <w:rFonts w:asciiTheme="majorHAnsi" w:hAnsiTheme="majorHAnsi"/>
          <w:spacing w:val="-5"/>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5"/>
          <w:sz w:val="20"/>
          <w:szCs w:val="20"/>
        </w:rPr>
        <w:t xml:space="preserve"> </w:t>
      </w:r>
      <w:r w:rsidRPr="000977F7">
        <w:rPr>
          <w:rFonts w:asciiTheme="majorHAnsi" w:hAnsiTheme="majorHAnsi"/>
          <w:sz w:val="20"/>
          <w:szCs w:val="20"/>
        </w:rPr>
        <w:t>стосовно</w:t>
      </w:r>
      <w:r w:rsidRPr="000977F7">
        <w:rPr>
          <w:rFonts w:asciiTheme="majorHAnsi" w:hAnsiTheme="majorHAnsi"/>
          <w:spacing w:val="-3"/>
          <w:sz w:val="20"/>
          <w:szCs w:val="20"/>
        </w:rPr>
        <w:t xml:space="preserve"> </w:t>
      </w:r>
      <w:r w:rsidRPr="000977F7">
        <w:rPr>
          <w:rFonts w:asciiTheme="majorHAnsi" w:hAnsiTheme="majorHAnsi"/>
          <w:sz w:val="20"/>
          <w:szCs w:val="20"/>
        </w:rPr>
        <w:t>продукції</w:t>
      </w:r>
      <w:r w:rsidRPr="000977F7">
        <w:rPr>
          <w:rFonts w:asciiTheme="majorHAnsi" w:hAnsiTheme="majorHAnsi"/>
          <w:spacing w:val="-5"/>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послуг;</w:t>
      </w:r>
    </w:p>
    <w:p w14:paraId="60924A69" w14:textId="77777777" w:rsidR="0097612F" w:rsidRPr="000977F7" w:rsidRDefault="0097612F" w:rsidP="00FD39A4">
      <w:pPr>
        <w:pStyle w:val="ac"/>
        <w:widowControl w:val="0"/>
        <w:numPr>
          <w:ilvl w:val="0"/>
          <w:numId w:val="169"/>
        </w:numPr>
        <w:tabs>
          <w:tab w:val="left" w:pos="284"/>
          <w:tab w:val="left" w:pos="60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опрацювання</w:t>
      </w:r>
      <w:r w:rsidRPr="000977F7">
        <w:rPr>
          <w:rFonts w:asciiTheme="majorHAnsi" w:hAnsiTheme="majorHAnsi"/>
          <w:spacing w:val="1"/>
          <w:sz w:val="20"/>
          <w:szCs w:val="20"/>
        </w:rPr>
        <w:t xml:space="preserve"> </w:t>
      </w:r>
      <w:r w:rsidRPr="000977F7">
        <w:rPr>
          <w:rFonts w:asciiTheme="majorHAnsi" w:hAnsiTheme="majorHAnsi"/>
          <w:sz w:val="20"/>
          <w:szCs w:val="20"/>
        </w:rPr>
        <w:t>запитів,</w:t>
      </w:r>
      <w:r w:rsidRPr="000977F7">
        <w:rPr>
          <w:rFonts w:asciiTheme="majorHAnsi" w:hAnsiTheme="majorHAnsi"/>
          <w:spacing w:val="1"/>
          <w:sz w:val="20"/>
          <w:szCs w:val="20"/>
        </w:rPr>
        <w:t xml:space="preserve"> </w:t>
      </w:r>
      <w:r w:rsidRPr="000977F7">
        <w:rPr>
          <w:rFonts w:asciiTheme="majorHAnsi" w:hAnsiTheme="majorHAnsi"/>
          <w:sz w:val="20"/>
          <w:szCs w:val="20"/>
        </w:rPr>
        <w:t>контрактів</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замовлень,</w:t>
      </w:r>
      <w:r w:rsidRPr="000977F7">
        <w:rPr>
          <w:rFonts w:asciiTheme="majorHAnsi" w:hAnsiTheme="majorHAnsi"/>
          <w:spacing w:val="1"/>
          <w:sz w:val="20"/>
          <w:szCs w:val="20"/>
        </w:rPr>
        <w:t xml:space="preserve"> </w:t>
      </w:r>
      <w:r w:rsidRPr="000977F7">
        <w:rPr>
          <w:rFonts w:asciiTheme="majorHAnsi" w:hAnsiTheme="majorHAnsi"/>
          <w:sz w:val="20"/>
          <w:szCs w:val="20"/>
        </w:rPr>
        <w:t>зокрема</w:t>
      </w:r>
      <w:r w:rsidRPr="000977F7">
        <w:rPr>
          <w:rFonts w:asciiTheme="majorHAnsi" w:hAnsiTheme="majorHAnsi"/>
          <w:spacing w:val="-1"/>
          <w:sz w:val="20"/>
          <w:szCs w:val="20"/>
        </w:rPr>
        <w:t xml:space="preserve"> </w:t>
      </w:r>
      <w:r w:rsidRPr="000977F7">
        <w:rPr>
          <w:rFonts w:asciiTheme="majorHAnsi" w:hAnsiTheme="majorHAnsi"/>
          <w:sz w:val="20"/>
          <w:szCs w:val="20"/>
        </w:rPr>
        <w:t>змін</w:t>
      </w:r>
      <w:r w:rsidRPr="000977F7">
        <w:rPr>
          <w:rFonts w:asciiTheme="majorHAnsi" w:hAnsiTheme="majorHAnsi"/>
          <w:spacing w:val="-1"/>
          <w:sz w:val="20"/>
          <w:szCs w:val="20"/>
        </w:rPr>
        <w:t xml:space="preserve"> </w:t>
      </w:r>
      <w:r w:rsidRPr="000977F7">
        <w:rPr>
          <w:rFonts w:asciiTheme="majorHAnsi" w:hAnsiTheme="majorHAnsi"/>
          <w:sz w:val="20"/>
          <w:szCs w:val="20"/>
        </w:rPr>
        <w:t>до них;</w:t>
      </w:r>
    </w:p>
    <w:p w14:paraId="673D8C83" w14:textId="77777777" w:rsidR="0097612F" w:rsidRPr="000977F7" w:rsidRDefault="0097612F" w:rsidP="00FD39A4">
      <w:pPr>
        <w:pStyle w:val="ac"/>
        <w:widowControl w:val="0"/>
        <w:numPr>
          <w:ilvl w:val="0"/>
          <w:numId w:val="169"/>
        </w:numPr>
        <w:tabs>
          <w:tab w:val="left" w:pos="284"/>
          <w:tab w:val="left" w:pos="58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отримання</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зворотнім</w:t>
      </w:r>
      <w:r w:rsidRPr="000977F7">
        <w:rPr>
          <w:rFonts w:asciiTheme="majorHAnsi" w:hAnsiTheme="majorHAnsi"/>
          <w:spacing w:val="1"/>
          <w:sz w:val="20"/>
          <w:szCs w:val="20"/>
        </w:rPr>
        <w:t xml:space="preserve"> </w:t>
      </w:r>
      <w:r w:rsidRPr="000977F7">
        <w:rPr>
          <w:rFonts w:asciiTheme="majorHAnsi" w:hAnsiTheme="majorHAnsi"/>
          <w:sz w:val="20"/>
          <w:szCs w:val="20"/>
        </w:rPr>
        <w:t>зв’язком</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замовників</w:t>
      </w:r>
      <w:r w:rsidRPr="000977F7">
        <w:rPr>
          <w:rFonts w:asciiTheme="majorHAnsi" w:hAnsiTheme="majorHAnsi"/>
          <w:spacing w:val="1"/>
          <w:sz w:val="20"/>
          <w:szCs w:val="20"/>
        </w:rPr>
        <w:t xml:space="preserve"> </w:t>
      </w:r>
      <w:r w:rsidRPr="000977F7">
        <w:rPr>
          <w:rFonts w:asciiTheme="majorHAnsi" w:hAnsiTheme="majorHAnsi"/>
          <w:sz w:val="20"/>
          <w:szCs w:val="20"/>
        </w:rPr>
        <w:t>стосовно</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r w:rsidRPr="000977F7">
        <w:rPr>
          <w:rFonts w:asciiTheme="majorHAnsi" w:hAnsiTheme="majorHAnsi"/>
          <w:spacing w:val="1"/>
          <w:sz w:val="20"/>
          <w:szCs w:val="20"/>
        </w:rPr>
        <w:t xml:space="preserve"> </w:t>
      </w:r>
      <w:r w:rsidRPr="000977F7">
        <w:rPr>
          <w:rFonts w:asciiTheme="majorHAnsi" w:hAnsiTheme="majorHAnsi"/>
          <w:sz w:val="20"/>
          <w:szCs w:val="20"/>
        </w:rPr>
        <w:t>зокрема</w:t>
      </w:r>
      <w:r w:rsidRPr="000977F7">
        <w:rPr>
          <w:rFonts w:asciiTheme="majorHAnsi" w:hAnsiTheme="majorHAnsi"/>
          <w:spacing w:val="1"/>
          <w:sz w:val="20"/>
          <w:szCs w:val="20"/>
        </w:rPr>
        <w:t xml:space="preserve"> </w:t>
      </w:r>
      <w:r w:rsidRPr="000977F7">
        <w:rPr>
          <w:rFonts w:asciiTheme="majorHAnsi" w:hAnsiTheme="majorHAnsi"/>
          <w:sz w:val="20"/>
          <w:szCs w:val="20"/>
        </w:rPr>
        <w:t>скарг</w:t>
      </w:r>
      <w:r w:rsidRPr="000977F7">
        <w:rPr>
          <w:rFonts w:asciiTheme="majorHAnsi" w:hAnsiTheme="majorHAnsi"/>
          <w:spacing w:val="-2"/>
          <w:sz w:val="20"/>
          <w:szCs w:val="20"/>
        </w:rPr>
        <w:t xml:space="preserve"> </w:t>
      </w:r>
      <w:r w:rsidRPr="000977F7">
        <w:rPr>
          <w:rFonts w:asciiTheme="majorHAnsi" w:hAnsiTheme="majorHAnsi"/>
          <w:sz w:val="20"/>
          <w:szCs w:val="20"/>
        </w:rPr>
        <w:t>замовників;</w:t>
      </w:r>
    </w:p>
    <w:p w14:paraId="3F446CC9" w14:textId="77777777" w:rsidR="0097612F" w:rsidRPr="000977F7" w:rsidRDefault="0097612F" w:rsidP="00FD39A4">
      <w:pPr>
        <w:pStyle w:val="ac"/>
        <w:widowControl w:val="0"/>
        <w:numPr>
          <w:ilvl w:val="0"/>
          <w:numId w:val="169"/>
        </w:numPr>
        <w:tabs>
          <w:tab w:val="left" w:pos="284"/>
          <w:tab w:val="left" w:pos="56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поводження із власністю замовника або її контролювання;</w:t>
      </w:r>
    </w:p>
    <w:p w14:paraId="3F0E23C6" w14:textId="77777777" w:rsidR="0097612F" w:rsidRPr="000977F7" w:rsidRDefault="0097612F" w:rsidP="00FD39A4">
      <w:pPr>
        <w:pStyle w:val="ac"/>
        <w:widowControl w:val="0"/>
        <w:numPr>
          <w:ilvl w:val="0"/>
          <w:numId w:val="169"/>
        </w:numPr>
        <w:tabs>
          <w:tab w:val="left" w:pos="284"/>
          <w:tab w:val="left" w:pos="55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установлення конкретних вимог щодо дій у непередбачених</w:t>
      </w:r>
      <w:r w:rsidRPr="000977F7">
        <w:rPr>
          <w:rFonts w:asciiTheme="majorHAnsi" w:hAnsiTheme="majorHAnsi"/>
          <w:spacing w:val="-2"/>
          <w:sz w:val="20"/>
          <w:szCs w:val="20"/>
        </w:rPr>
        <w:t xml:space="preserve"> </w:t>
      </w:r>
      <w:r w:rsidRPr="000977F7">
        <w:rPr>
          <w:rFonts w:asciiTheme="majorHAnsi" w:hAnsiTheme="majorHAnsi"/>
          <w:sz w:val="20"/>
          <w:szCs w:val="20"/>
        </w:rPr>
        <w:t>ситуаціях,</w:t>
      </w:r>
      <w:r w:rsidRPr="000977F7">
        <w:rPr>
          <w:rFonts w:asciiTheme="majorHAnsi" w:hAnsiTheme="majorHAnsi"/>
          <w:spacing w:val="2"/>
          <w:sz w:val="20"/>
          <w:szCs w:val="20"/>
        </w:rPr>
        <w:t xml:space="preserve"> </w:t>
      </w:r>
      <w:r w:rsidRPr="000977F7">
        <w:rPr>
          <w:rFonts w:asciiTheme="majorHAnsi" w:hAnsiTheme="majorHAnsi"/>
          <w:sz w:val="20"/>
          <w:szCs w:val="20"/>
        </w:rPr>
        <w:t>коли</w:t>
      </w:r>
      <w:r w:rsidRPr="000977F7">
        <w:rPr>
          <w:rFonts w:asciiTheme="majorHAnsi" w:hAnsiTheme="majorHAnsi"/>
          <w:spacing w:val="-2"/>
          <w:sz w:val="20"/>
          <w:szCs w:val="20"/>
        </w:rPr>
        <w:t xml:space="preserve"> </w:t>
      </w:r>
      <w:r w:rsidRPr="000977F7">
        <w:rPr>
          <w:rFonts w:asciiTheme="majorHAnsi" w:hAnsiTheme="majorHAnsi"/>
          <w:sz w:val="20"/>
          <w:szCs w:val="20"/>
        </w:rPr>
        <w:t>доречно.</w:t>
      </w:r>
    </w:p>
    <w:p w14:paraId="1C7F4B1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ISO 9001:2015</w:t>
      </w:r>
      <w:bookmarkStart w:id="87" w:name="_Hlk101017284"/>
    </w:p>
    <w:p w14:paraId="5A702A89"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ІНФОРМАЦІЙНИЙ</w:t>
      </w:r>
      <w:r w:rsidRPr="004D2D14">
        <w:rPr>
          <w:rFonts w:asciiTheme="majorHAnsi" w:hAnsiTheme="majorHAnsi"/>
          <w:b/>
          <w:sz w:val="20"/>
          <w:szCs w:val="20"/>
          <w:lang w:val="en-US"/>
        </w:rPr>
        <w:t xml:space="preserve"> </w:t>
      </w:r>
      <w:r w:rsidRPr="000977F7">
        <w:rPr>
          <w:rFonts w:asciiTheme="majorHAnsi" w:hAnsiTheme="majorHAnsi"/>
          <w:b/>
          <w:sz w:val="20"/>
          <w:szCs w:val="20"/>
        </w:rPr>
        <w:t>ІНТЕРФЕЙС</w:t>
      </w:r>
      <w:r w:rsidRPr="004D2D14">
        <w:rPr>
          <w:rFonts w:asciiTheme="majorHAnsi" w:hAnsiTheme="majorHAnsi"/>
          <w:b/>
          <w:sz w:val="20"/>
          <w:szCs w:val="20"/>
          <w:lang w:val="en-US"/>
        </w:rPr>
        <w:t xml:space="preserve"> –</w:t>
      </w:r>
    </w:p>
    <w:p w14:paraId="1C1CB5AB"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b/>
          <w:spacing w:val="-48"/>
          <w:sz w:val="20"/>
          <w:szCs w:val="20"/>
          <w:lang w:val="en-US"/>
        </w:rPr>
        <w:t xml:space="preserve"> </w:t>
      </w:r>
      <w:r w:rsidRPr="004D2D14">
        <w:rPr>
          <w:rFonts w:asciiTheme="majorHAnsi" w:hAnsiTheme="majorHAnsi"/>
          <w:sz w:val="20"/>
          <w:szCs w:val="20"/>
          <w:lang w:val="en-US"/>
        </w:rPr>
        <w:t>INFORMATIVE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INTERFACE–</w:t>
      </w:r>
    </w:p>
    <w:bookmarkEnd w:id="87"/>
    <w:p w14:paraId="14722A2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Регламентована</w:t>
      </w:r>
      <w:r w:rsidRPr="004D2D14">
        <w:rPr>
          <w:rFonts w:asciiTheme="majorHAnsi" w:hAnsiTheme="majorHAnsi"/>
          <w:sz w:val="20"/>
          <w:szCs w:val="20"/>
          <w:lang w:val="en-US"/>
        </w:rPr>
        <w:t xml:space="preserve"> </w:t>
      </w:r>
      <w:r w:rsidRPr="000977F7">
        <w:rPr>
          <w:rFonts w:asciiTheme="majorHAnsi" w:hAnsiTheme="majorHAnsi"/>
          <w:sz w:val="20"/>
          <w:szCs w:val="20"/>
        </w:rPr>
        <w:t>сукупність</w:t>
      </w:r>
      <w:r w:rsidRPr="004D2D14">
        <w:rPr>
          <w:rFonts w:asciiTheme="majorHAnsi" w:hAnsiTheme="majorHAnsi"/>
          <w:sz w:val="20"/>
          <w:szCs w:val="20"/>
          <w:lang w:val="en-US"/>
        </w:rPr>
        <w:t xml:space="preserve"> </w:t>
      </w:r>
      <w:r w:rsidRPr="000977F7">
        <w:rPr>
          <w:rFonts w:asciiTheme="majorHAnsi" w:hAnsiTheme="majorHAnsi"/>
          <w:sz w:val="20"/>
          <w:szCs w:val="20"/>
        </w:rPr>
        <w:t>сигналів</w:t>
      </w:r>
      <w:r w:rsidRPr="004D2D14">
        <w:rPr>
          <w:rFonts w:asciiTheme="majorHAnsi" w:hAnsiTheme="majorHAnsi"/>
          <w:sz w:val="20"/>
          <w:szCs w:val="20"/>
          <w:lang w:val="en-US"/>
        </w:rPr>
        <w:t xml:space="preserve">, </w:t>
      </w:r>
      <w:r w:rsidRPr="000977F7">
        <w:rPr>
          <w:rFonts w:asciiTheme="majorHAnsi" w:hAnsiTheme="majorHAnsi"/>
          <w:sz w:val="20"/>
          <w:szCs w:val="20"/>
        </w:rPr>
        <w:t>їх</w:t>
      </w:r>
      <w:r w:rsidRPr="004D2D14">
        <w:rPr>
          <w:rFonts w:asciiTheme="majorHAnsi" w:hAnsiTheme="majorHAnsi"/>
          <w:sz w:val="20"/>
          <w:szCs w:val="20"/>
          <w:lang w:val="en-US"/>
        </w:rPr>
        <w:t xml:space="preserve"> </w:t>
      </w:r>
      <w:r w:rsidRPr="000977F7">
        <w:rPr>
          <w:rFonts w:asciiTheme="majorHAnsi" w:hAnsiTheme="majorHAnsi"/>
          <w:sz w:val="20"/>
          <w:szCs w:val="20"/>
        </w:rPr>
        <w:t>послідовність</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при</w:t>
      </w:r>
      <w:r w:rsidRPr="004D2D14">
        <w:rPr>
          <w:rFonts w:asciiTheme="majorHAnsi" w:hAnsiTheme="majorHAnsi"/>
          <w:sz w:val="20"/>
          <w:szCs w:val="20"/>
          <w:lang w:val="en-US"/>
        </w:rPr>
        <w:t xml:space="preserve"> </w:t>
      </w:r>
      <w:r w:rsidRPr="000977F7">
        <w:rPr>
          <w:rFonts w:asciiTheme="majorHAnsi" w:hAnsiTheme="majorHAnsi"/>
          <w:sz w:val="20"/>
          <w:szCs w:val="20"/>
        </w:rPr>
        <w:t>обміні</w:t>
      </w:r>
      <w:r w:rsidRPr="004D2D14">
        <w:rPr>
          <w:rFonts w:asciiTheme="majorHAnsi" w:hAnsiTheme="majorHAnsi"/>
          <w:sz w:val="20"/>
          <w:szCs w:val="20"/>
          <w:lang w:val="en-US"/>
        </w:rPr>
        <w:t xml:space="preserve"> </w:t>
      </w:r>
      <w:r w:rsidRPr="000977F7">
        <w:rPr>
          <w:rFonts w:asciiTheme="majorHAnsi" w:hAnsiTheme="majorHAnsi"/>
          <w:sz w:val="20"/>
          <w:szCs w:val="20"/>
        </w:rPr>
        <w:t>даних</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спричинювані</w:t>
      </w:r>
      <w:r w:rsidRPr="004D2D14">
        <w:rPr>
          <w:rFonts w:asciiTheme="majorHAnsi" w:hAnsiTheme="majorHAnsi"/>
          <w:sz w:val="20"/>
          <w:szCs w:val="20"/>
          <w:lang w:val="en-US"/>
        </w:rPr>
        <w:t xml:space="preserve"> </w:t>
      </w:r>
      <w:r w:rsidRPr="000977F7">
        <w:rPr>
          <w:rFonts w:asciiTheme="majorHAnsi" w:hAnsiTheme="majorHAnsi"/>
          <w:sz w:val="20"/>
          <w:szCs w:val="20"/>
        </w:rPr>
        <w:t>ними</w:t>
      </w:r>
      <w:r w:rsidRPr="004D2D14">
        <w:rPr>
          <w:rFonts w:asciiTheme="majorHAnsi" w:hAnsiTheme="majorHAnsi"/>
          <w:sz w:val="20"/>
          <w:szCs w:val="20"/>
          <w:lang w:val="en-US"/>
        </w:rPr>
        <w:t xml:space="preserve"> </w:t>
      </w:r>
      <w:r w:rsidRPr="000977F7">
        <w:rPr>
          <w:rFonts w:asciiTheme="majorHAnsi" w:hAnsiTheme="majorHAnsi"/>
          <w:sz w:val="20"/>
          <w:szCs w:val="20"/>
        </w:rPr>
        <w:t>дії</w:t>
      </w:r>
      <w:r w:rsidRPr="004D2D14">
        <w:rPr>
          <w:rFonts w:asciiTheme="majorHAnsi" w:hAnsiTheme="majorHAnsi"/>
          <w:sz w:val="20"/>
          <w:szCs w:val="20"/>
          <w:lang w:val="en-US"/>
        </w:rPr>
        <w:t xml:space="preserve">, </w:t>
      </w:r>
      <w:r w:rsidRPr="000977F7">
        <w:rPr>
          <w:rFonts w:asciiTheme="majorHAnsi" w:hAnsiTheme="majorHAnsi"/>
          <w:sz w:val="20"/>
          <w:szCs w:val="20"/>
        </w:rPr>
        <w:t>а</w:t>
      </w:r>
      <w:r w:rsidRPr="004D2D14">
        <w:rPr>
          <w:rFonts w:asciiTheme="majorHAnsi" w:hAnsiTheme="majorHAnsi"/>
          <w:sz w:val="20"/>
          <w:szCs w:val="20"/>
          <w:lang w:val="en-US"/>
        </w:rPr>
        <w:t xml:space="preserve"> </w:t>
      </w:r>
      <w:r w:rsidRPr="000977F7">
        <w:rPr>
          <w:rFonts w:asciiTheme="majorHAnsi" w:hAnsiTheme="majorHAnsi"/>
          <w:sz w:val="20"/>
          <w:szCs w:val="20"/>
        </w:rPr>
        <w:t>також</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вимоги</w:t>
      </w:r>
      <w:r w:rsidRPr="004D2D14">
        <w:rPr>
          <w:rFonts w:asciiTheme="majorHAnsi" w:hAnsiTheme="majorHAnsi"/>
          <w:sz w:val="20"/>
          <w:szCs w:val="20"/>
          <w:lang w:val="en-US"/>
        </w:rPr>
        <w:t xml:space="preserve"> </w:t>
      </w:r>
      <w:r w:rsidRPr="000977F7">
        <w:rPr>
          <w:rFonts w:asciiTheme="majorHAnsi" w:hAnsiTheme="majorHAnsi"/>
          <w:sz w:val="20"/>
          <w:szCs w:val="20"/>
        </w:rPr>
        <w:t>до</w:t>
      </w:r>
      <w:r w:rsidRPr="004D2D14">
        <w:rPr>
          <w:rFonts w:asciiTheme="majorHAnsi" w:hAnsiTheme="majorHAnsi"/>
          <w:sz w:val="20"/>
          <w:szCs w:val="20"/>
          <w:lang w:val="en-US"/>
        </w:rPr>
        <w:t xml:space="preserve"> </w:t>
      </w:r>
      <w:r w:rsidRPr="000977F7">
        <w:rPr>
          <w:rFonts w:asciiTheme="majorHAnsi" w:hAnsiTheme="majorHAnsi"/>
          <w:sz w:val="20"/>
          <w:szCs w:val="20"/>
        </w:rPr>
        <w:t>сигналів</w:t>
      </w:r>
      <w:r w:rsidRPr="004D2D14">
        <w:rPr>
          <w:rFonts w:asciiTheme="majorHAnsi" w:hAnsiTheme="majorHAnsi"/>
          <w:sz w:val="20"/>
          <w:szCs w:val="20"/>
          <w:lang w:val="en-US"/>
        </w:rPr>
        <w:t xml:space="preserve">, </w:t>
      </w:r>
      <w:r w:rsidRPr="000977F7">
        <w:rPr>
          <w:rFonts w:asciiTheme="majorHAnsi" w:hAnsiTheme="majorHAnsi"/>
          <w:sz w:val="20"/>
          <w:szCs w:val="20"/>
        </w:rPr>
        <w:t>вхідних</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вихідних</w:t>
      </w:r>
      <w:r w:rsidRPr="004D2D14">
        <w:rPr>
          <w:rFonts w:asciiTheme="majorHAnsi" w:hAnsiTheme="majorHAnsi"/>
          <w:sz w:val="20"/>
          <w:szCs w:val="20"/>
          <w:lang w:val="en-US"/>
        </w:rPr>
        <w:t xml:space="preserve"> </w:t>
      </w:r>
      <w:r w:rsidRPr="000977F7">
        <w:rPr>
          <w:rFonts w:asciiTheme="majorHAnsi" w:hAnsiTheme="majorHAnsi"/>
          <w:sz w:val="20"/>
          <w:szCs w:val="20"/>
        </w:rPr>
        <w:t>кіл</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до</w:t>
      </w:r>
      <w:r w:rsidRPr="004D2D14">
        <w:rPr>
          <w:rFonts w:asciiTheme="majorHAnsi" w:hAnsiTheme="majorHAnsi"/>
          <w:sz w:val="20"/>
          <w:szCs w:val="20"/>
          <w:lang w:val="en-US"/>
        </w:rPr>
        <w:t xml:space="preserve"> </w:t>
      </w:r>
      <w:r w:rsidRPr="000977F7">
        <w:rPr>
          <w:rFonts w:asciiTheme="majorHAnsi" w:hAnsiTheme="majorHAnsi"/>
          <w:sz w:val="20"/>
          <w:szCs w:val="20"/>
        </w:rPr>
        <w:t>фізичного</w:t>
      </w:r>
      <w:r w:rsidRPr="004D2D14">
        <w:rPr>
          <w:rFonts w:asciiTheme="majorHAnsi" w:hAnsiTheme="majorHAnsi"/>
          <w:sz w:val="20"/>
          <w:szCs w:val="20"/>
          <w:lang w:val="en-US"/>
        </w:rPr>
        <w:t xml:space="preserve"> </w:t>
      </w:r>
      <w:r w:rsidRPr="000977F7">
        <w:rPr>
          <w:rFonts w:asciiTheme="majorHAnsi" w:hAnsiTheme="majorHAnsi"/>
          <w:sz w:val="20"/>
          <w:szCs w:val="20"/>
        </w:rPr>
        <w:t>середовища</w:t>
      </w:r>
      <w:r w:rsidRPr="004D2D14">
        <w:rPr>
          <w:rFonts w:asciiTheme="majorHAnsi" w:hAnsiTheme="majorHAnsi"/>
          <w:sz w:val="20"/>
          <w:szCs w:val="20"/>
          <w:lang w:val="en-US"/>
        </w:rPr>
        <w:t xml:space="preserve">, </w:t>
      </w:r>
      <w:r w:rsidRPr="000977F7">
        <w:rPr>
          <w:rFonts w:asciiTheme="majorHAnsi" w:hAnsiTheme="majorHAnsi"/>
          <w:sz w:val="20"/>
          <w:szCs w:val="20"/>
        </w:rPr>
        <w:t>по</w:t>
      </w:r>
      <w:r w:rsidRPr="004D2D14">
        <w:rPr>
          <w:rFonts w:asciiTheme="majorHAnsi" w:hAnsiTheme="majorHAnsi"/>
          <w:sz w:val="20"/>
          <w:szCs w:val="20"/>
          <w:lang w:val="en-US"/>
        </w:rPr>
        <w:t xml:space="preserve"> </w:t>
      </w:r>
      <w:r w:rsidRPr="000977F7">
        <w:rPr>
          <w:rFonts w:asciiTheme="majorHAnsi" w:hAnsiTheme="majorHAnsi"/>
          <w:sz w:val="20"/>
          <w:szCs w:val="20"/>
        </w:rPr>
        <w:t>якому</w:t>
      </w:r>
      <w:r w:rsidRPr="004D2D14">
        <w:rPr>
          <w:rFonts w:asciiTheme="majorHAnsi" w:hAnsiTheme="majorHAnsi"/>
          <w:sz w:val="20"/>
          <w:szCs w:val="20"/>
          <w:lang w:val="en-US"/>
        </w:rPr>
        <w:t xml:space="preserve"> </w:t>
      </w:r>
      <w:r w:rsidRPr="000977F7">
        <w:rPr>
          <w:rFonts w:asciiTheme="majorHAnsi" w:hAnsiTheme="majorHAnsi"/>
          <w:sz w:val="20"/>
          <w:szCs w:val="20"/>
        </w:rPr>
        <w:t>здійснюється</w:t>
      </w:r>
      <w:r w:rsidRPr="004D2D14">
        <w:rPr>
          <w:rFonts w:asciiTheme="majorHAnsi" w:hAnsiTheme="majorHAnsi"/>
          <w:sz w:val="20"/>
          <w:szCs w:val="20"/>
          <w:lang w:val="en-US"/>
        </w:rPr>
        <w:t xml:space="preserve"> </w:t>
      </w:r>
      <w:r w:rsidRPr="000977F7">
        <w:rPr>
          <w:rFonts w:asciiTheme="majorHAnsi" w:hAnsiTheme="majorHAnsi"/>
          <w:sz w:val="20"/>
          <w:szCs w:val="20"/>
        </w:rPr>
        <w:t>пересилання</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забезпечують</w:t>
      </w:r>
      <w:r w:rsidRPr="004D2D14">
        <w:rPr>
          <w:rFonts w:asciiTheme="majorHAnsi" w:hAnsiTheme="majorHAnsi"/>
          <w:sz w:val="20"/>
          <w:szCs w:val="20"/>
          <w:lang w:val="en-US"/>
        </w:rPr>
        <w:t xml:space="preserve"> </w:t>
      </w:r>
      <w:r w:rsidRPr="000977F7">
        <w:rPr>
          <w:rFonts w:asciiTheme="majorHAnsi" w:hAnsiTheme="majorHAnsi"/>
          <w:sz w:val="20"/>
          <w:szCs w:val="20"/>
        </w:rPr>
        <w:t>інформаційну</w:t>
      </w:r>
      <w:r w:rsidRPr="004D2D14">
        <w:rPr>
          <w:rFonts w:asciiTheme="majorHAnsi" w:hAnsiTheme="majorHAnsi"/>
          <w:sz w:val="20"/>
          <w:szCs w:val="20"/>
          <w:lang w:val="en-US"/>
        </w:rPr>
        <w:t xml:space="preserve"> </w:t>
      </w:r>
      <w:r w:rsidRPr="000977F7">
        <w:rPr>
          <w:rFonts w:asciiTheme="majorHAnsi" w:hAnsiTheme="majorHAnsi"/>
          <w:sz w:val="20"/>
          <w:szCs w:val="20"/>
        </w:rPr>
        <w:t>взаємодію</w:t>
      </w:r>
      <w:r w:rsidRPr="004D2D14">
        <w:rPr>
          <w:rFonts w:asciiTheme="majorHAnsi" w:hAnsiTheme="majorHAnsi"/>
          <w:sz w:val="20"/>
          <w:szCs w:val="20"/>
          <w:lang w:val="en-US"/>
        </w:rPr>
        <w:t xml:space="preserve"> </w:t>
      </w:r>
      <w:r w:rsidRPr="000977F7">
        <w:rPr>
          <w:rFonts w:asciiTheme="majorHAnsi" w:hAnsiTheme="majorHAnsi"/>
          <w:sz w:val="20"/>
          <w:szCs w:val="20"/>
        </w:rPr>
        <w:t>компонентів</w:t>
      </w:r>
      <w:r w:rsidRPr="004D2D14">
        <w:rPr>
          <w:rFonts w:asciiTheme="majorHAnsi" w:hAnsiTheme="majorHAnsi"/>
          <w:spacing w:val="-2"/>
          <w:sz w:val="20"/>
          <w:szCs w:val="20"/>
          <w:lang w:val="en-US"/>
        </w:rPr>
        <w:t xml:space="preserve"> </w:t>
      </w:r>
      <w:r w:rsidRPr="000977F7">
        <w:rPr>
          <w:rFonts w:asciiTheme="majorHAnsi" w:hAnsiTheme="majorHAnsi"/>
          <w:sz w:val="20"/>
          <w:szCs w:val="20"/>
        </w:rPr>
        <w:t>системи</w:t>
      </w:r>
    </w:p>
    <w:p w14:paraId="7AC8DE0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-2000</w:t>
      </w:r>
    </w:p>
    <w:p w14:paraId="06F9CE84" w14:textId="77777777" w:rsidR="0097612F" w:rsidRPr="000977F7" w:rsidRDefault="0097612F" w:rsidP="000977F7">
      <w:pPr>
        <w:pStyle w:val="7"/>
        <w:tabs>
          <w:tab w:val="left" w:pos="284"/>
        </w:tabs>
        <w:spacing w:before="0" w:line="240" w:lineRule="auto"/>
        <w:ind w:left="170"/>
        <w:mirrorIndents/>
        <w:jc w:val="both"/>
        <w:rPr>
          <w:color w:val="auto"/>
          <w:spacing w:val="27"/>
          <w:sz w:val="20"/>
          <w:szCs w:val="20"/>
        </w:rPr>
      </w:pPr>
      <w:r w:rsidRPr="000977F7">
        <w:rPr>
          <w:color w:val="auto"/>
          <w:sz w:val="20"/>
          <w:szCs w:val="20"/>
        </w:rPr>
        <w:t>ІНФОРМАЦІЙНІ</w:t>
      </w:r>
      <w:r w:rsidRPr="000977F7">
        <w:rPr>
          <w:color w:val="auto"/>
          <w:spacing w:val="24"/>
          <w:sz w:val="20"/>
          <w:szCs w:val="20"/>
        </w:rPr>
        <w:t xml:space="preserve"> </w:t>
      </w:r>
      <w:r w:rsidRPr="000977F7">
        <w:rPr>
          <w:color w:val="auto"/>
          <w:sz w:val="20"/>
          <w:szCs w:val="20"/>
        </w:rPr>
        <w:t>ПОСЛУГИ</w:t>
      </w:r>
      <w:r w:rsidRPr="000977F7">
        <w:rPr>
          <w:color w:val="auto"/>
          <w:spacing w:val="27"/>
          <w:sz w:val="20"/>
          <w:szCs w:val="20"/>
        </w:rPr>
        <w:t xml:space="preserve"> </w:t>
      </w:r>
    </w:p>
    <w:p w14:paraId="3874651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w:t>
      </w:r>
      <w:r w:rsidRPr="000977F7">
        <w:rPr>
          <w:color w:val="auto"/>
          <w:spacing w:val="25"/>
          <w:sz w:val="20"/>
          <w:szCs w:val="20"/>
        </w:rPr>
        <w:t xml:space="preserve"> </w:t>
      </w:r>
      <w:r w:rsidRPr="000977F7">
        <w:rPr>
          <w:color w:val="auto"/>
          <w:sz w:val="20"/>
          <w:szCs w:val="20"/>
        </w:rPr>
        <w:t>СТАНДАРТИЗА</w:t>
      </w:r>
      <w:r w:rsidRPr="000977F7">
        <w:rPr>
          <w:color w:val="auto"/>
          <w:spacing w:val="-47"/>
          <w:sz w:val="20"/>
          <w:szCs w:val="20"/>
        </w:rPr>
        <w:t xml:space="preserve"> </w:t>
      </w:r>
      <w:r w:rsidRPr="000977F7">
        <w:rPr>
          <w:color w:val="auto"/>
          <w:sz w:val="20"/>
          <w:szCs w:val="20"/>
        </w:rPr>
        <w:t>ЦІЇ) –</w:t>
      </w:r>
    </w:p>
    <w:p w14:paraId="6455D8B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Інформаційні послуги надаються національним органом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стандартизації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договірних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засадах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шляхом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видання, відтворення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 розповсюдження офіційних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текстів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національних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стандартів,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кодексів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усталеної</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практики та змін до них, розроблених національним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стандартизації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каталогів,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іншої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друкованої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 щодо прийнятих національних стандартів,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кодексів усталеної практики та змін до них, а також</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стандартів, кодексів</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усталеної практики, документів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 змін до них відповідних міжнародних та регіональних організацій стандартизації, членом яких є національний орган стандартизації чи з якими він співпрацює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відповідно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положень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таких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організацій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 xml:space="preserve">відповідних договорів, інших інформаційних та довідкових видань з питань </w:t>
      </w:r>
      <w:r w:rsidRPr="004D2D14">
        <w:rPr>
          <w:rFonts w:asciiTheme="majorHAnsi" w:hAnsiTheme="majorHAnsi"/>
          <w:sz w:val="20"/>
          <w:szCs w:val="20"/>
          <w:lang w:val="uk-UA"/>
        </w:rPr>
        <w:lastRenderedPageBreak/>
        <w:t>стандартизації, а також шляхом їх розповсюдження інформаційними мережами 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порядку</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ініціативи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 замовлення.</w:t>
      </w:r>
    </w:p>
    <w:p w14:paraId="4C691198"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i/>
          <w:sz w:val="20"/>
          <w:szCs w:val="20"/>
        </w:rPr>
        <w:t>Ч. 4 ст. 24 закону України "Про стандартизацію"</w:t>
      </w:r>
      <w:r w:rsidRPr="000977F7">
        <w:rPr>
          <w:rFonts w:asciiTheme="majorHAnsi" w:hAnsiTheme="majorHAnsi"/>
          <w:i/>
          <w:spacing w:val="1"/>
          <w:sz w:val="20"/>
          <w:szCs w:val="20"/>
        </w:rPr>
        <w:t xml:space="preserve"> </w:t>
      </w:r>
      <w:r w:rsidRPr="000977F7">
        <w:rPr>
          <w:rFonts w:asciiTheme="majorHAnsi" w:hAnsiTheme="majorHAnsi"/>
          <w:b/>
          <w:sz w:val="20"/>
          <w:szCs w:val="20"/>
        </w:rPr>
        <w:t>ІНФОРМАЦІЙНО</w:t>
      </w:r>
      <w:r w:rsidRPr="000977F7">
        <w:rPr>
          <w:rFonts w:asciiTheme="majorHAnsi" w:hAnsiTheme="majorHAnsi"/>
          <w:b/>
          <w:spacing w:val="-5"/>
          <w:sz w:val="20"/>
          <w:szCs w:val="20"/>
        </w:rPr>
        <w:t xml:space="preserve"> </w:t>
      </w:r>
      <w:r w:rsidRPr="000977F7">
        <w:rPr>
          <w:rFonts w:asciiTheme="majorHAnsi" w:hAnsiTheme="majorHAnsi"/>
          <w:b/>
          <w:sz w:val="20"/>
          <w:szCs w:val="20"/>
        </w:rPr>
        <w:t>–</w:t>
      </w:r>
    </w:p>
    <w:p w14:paraId="75D4D7DF"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ВИЯВНИЙ</w:t>
      </w:r>
      <w:r w:rsidRPr="000977F7">
        <w:rPr>
          <w:rFonts w:asciiTheme="majorHAnsi" w:hAnsiTheme="majorHAnsi"/>
          <w:b/>
          <w:spacing w:val="-6"/>
          <w:sz w:val="20"/>
          <w:szCs w:val="20"/>
        </w:rPr>
        <w:t xml:space="preserve"> </w:t>
      </w:r>
      <w:r w:rsidRPr="000977F7">
        <w:rPr>
          <w:rFonts w:asciiTheme="majorHAnsi" w:hAnsiTheme="majorHAnsi"/>
          <w:b/>
          <w:sz w:val="20"/>
          <w:szCs w:val="20"/>
        </w:rPr>
        <w:t>НЕСПРАВНИЙ</w:t>
      </w:r>
      <w:r w:rsidRPr="000977F7">
        <w:rPr>
          <w:rFonts w:asciiTheme="majorHAnsi" w:hAnsiTheme="majorHAnsi"/>
          <w:b/>
          <w:spacing w:val="-47"/>
          <w:sz w:val="20"/>
          <w:szCs w:val="20"/>
        </w:rPr>
        <w:t xml:space="preserve"> </w:t>
      </w:r>
      <w:r w:rsidRPr="000977F7">
        <w:rPr>
          <w:rFonts w:asciiTheme="majorHAnsi" w:hAnsiTheme="majorHAnsi"/>
          <w:b/>
          <w:sz w:val="20"/>
          <w:szCs w:val="20"/>
        </w:rPr>
        <w:t>СТАН –</w:t>
      </w:r>
    </w:p>
    <w:p w14:paraId="016A762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DATA</w:t>
      </w:r>
      <w:r w:rsidRPr="000977F7">
        <w:rPr>
          <w:rFonts w:asciiTheme="majorHAnsi" w:hAnsiTheme="majorHAnsi"/>
          <w:spacing w:val="-4"/>
          <w:sz w:val="20"/>
          <w:szCs w:val="20"/>
        </w:rPr>
        <w:t xml:space="preserve"> </w:t>
      </w:r>
      <w:r w:rsidRPr="000977F7">
        <w:rPr>
          <w:rFonts w:asciiTheme="majorHAnsi" w:hAnsiTheme="majorHAnsi"/>
          <w:sz w:val="20"/>
          <w:szCs w:val="20"/>
        </w:rPr>
        <w:t>– SENSITIVE</w:t>
      </w:r>
      <w:r w:rsidRPr="000977F7">
        <w:rPr>
          <w:rFonts w:asciiTheme="majorHAnsi" w:hAnsiTheme="majorHAnsi"/>
          <w:spacing w:val="-1"/>
          <w:sz w:val="20"/>
          <w:szCs w:val="20"/>
        </w:rPr>
        <w:t xml:space="preserve"> </w:t>
      </w:r>
      <w:r w:rsidRPr="000977F7">
        <w:rPr>
          <w:rFonts w:asciiTheme="majorHAnsi" w:hAnsiTheme="majorHAnsi"/>
          <w:sz w:val="20"/>
          <w:szCs w:val="20"/>
        </w:rPr>
        <w:t>FAULT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6C44996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Несправний стан, який виявляється внаслідок оброблення</w:t>
      </w:r>
      <w:r w:rsidRPr="000977F7">
        <w:rPr>
          <w:rFonts w:asciiTheme="majorHAnsi" w:hAnsiTheme="majorHAnsi"/>
          <w:spacing w:val="1"/>
          <w:sz w:val="20"/>
          <w:szCs w:val="20"/>
        </w:rPr>
        <w:t xml:space="preserve"> </w:t>
      </w:r>
      <w:r w:rsidRPr="000977F7">
        <w:rPr>
          <w:rFonts w:asciiTheme="majorHAnsi" w:hAnsiTheme="majorHAnsi"/>
          <w:sz w:val="20"/>
          <w:szCs w:val="20"/>
        </w:rPr>
        <w:t>певного</w:t>
      </w:r>
      <w:r w:rsidRPr="000977F7">
        <w:rPr>
          <w:rFonts w:asciiTheme="majorHAnsi" w:hAnsiTheme="majorHAnsi"/>
          <w:spacing w:val="1"/>
          <w:sz w:val="20"/>
          <w:szCs w:val="20"/>
        </w:rPr>
        <w:t xml:space="preserve"> </w:t>
      </w:r>
      <w:r w:rsidRPr="000977F7">
        <w:rPr>
          <w:rFonts w:asciiTheme="majorHAnsi" w:hAnsiTheme="majorHAnsi"/>
          <w:sz w:val="20"/>
          <w:szCs w:val="20"/>
        </w:rPr>
        <w:t>типу</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інформації</w:t>
      </w:r>
    </w:p>
    <w:p w14:paraId="1EBDE454"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ISO/IEC 2382:2017</w:t>
      </w:r>
      <w:bookmarkStart w:id="88" w:name="_Hlk101017555"/>
    </w:p>
    <w:p w14:paraId="75ED3CB6"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ІНФОРМАЦІЯ</w:t>
      </w:r>
      <w:r w:rsidRPr="004D2D14">
        <w:rPr>
          <w:rFonts w:asciiTheme="majorHAnsi" w:hAnsiTheme="majorHAnsi"/>
          <w:b/>
          <w:sz w:val="20"/>
          <w:szCs w:val="20"/>
          <w:lang w:val="en-US"/>
        </w:rPr>
        <w:t xml:space="preserve"> –</w:t>
      </w:r>
    </w:p>
    <w:p w14:paraId="293EF5EC"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INFORMATION –</w:t>
      </w:r>
      <w:bookmarkEnd w:id="88"/>
    </w:p>
    <w:p w14:paraId="4BCFB4B2" w14:textId="2184ACC4" w:rsidR="0097612F" w:rsidRPr="000977F7" w:rsidRDefault="0097612F" w:rsidP="000F35DA">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Значущі</w:t>
      </w:r>
      <w:r w:rsidRPr="000977F7">
        <w:rPr>
          <w:rFonts w:asciiTheme="majorHAnsi" w:hAnsiTheme="majorHAnsi"/>
          <w:spacing w:val="-4"/>
          <w:sz w:val="20"/>
          <w:szCs w:val="20"/>
        </w:rPr>
        <w:t xml:space="preserve"> </w:t>
      </w:r>
      <w:r w:rsidRPr="000977F7">
        <w:rPr>
          <w:rFonts w:asciiTheme="majorHAnsi" w:hAnsiTheme="majorHAnsi"/>
          <w:sz w:val="20"/>
          <w:szCs w:val="20"/>
        </w:rPr>
        <w:t>дані</w:t>
      </w:r>
      <w:r w:rsidR="000F35DA">
        <w:rPr>
          <w:rFonts w:asciiTheme="majorHAnsi" w:hAnsiTheme="majorHAnsi"/>
          <w:sz w:val="20"/>
          <w:szCs w:val="20"/>
          <w:lang w:val="uk-UA"/>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7A53EA8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Відомості</w:t>
      </w:r>
      <w:r w:rsidRPr="000977F7">
        <w:rPr>
          <w:rFonts w:asciiTheme="majorHAnsi" w:hAnsiTheme="majorHAnsi"/>
          <w:spacing w:val="1"/>
          <w:sz w:val="20"/>
          <w:szCs w:val="20"/>
        </w:rPr>
        <w:t xml:space="preserve"> </w:t>
      </w:r>
      <w:r w:rsidRPr="000977F7">
        <w:rPr>
          <w:rFonts w:asciiTheme="majorHAnsi" w:hAnsiTheme="majorHAnsi"/>
          <w:sz w:val="20"/>
          <w:szCs w:val="20"/>
        </w:rPr>
        <w:t>призначені</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пересилання,</w:t>
      </w:r>
      <w:r w:rsidRPr="000977F7">
        <w:rPr>
          <w:rFonts w:asciiTheme="majorHAnsi" w:hAnsiTheme="majorHAnsi"/>
          <w:spacing w:val="1"/>
          <w:sz w:val="20"/>
          <w:szCs w:val="20"/>
        </w:rPr>
        <w:t xml:space="preserve"> </w:t>
      </w:r>
      <w:r w:rsidRPr="000977F7">
        <w:rPr>
          <w:rFonts w:asciiTheme="majorHAnsi" w:hAnsiTheme="majorHAnsi"/>
          <w:sz w:val="20"/>
          <w:szCs w:val="20"/>
        </w:rPr>
        <w:t>зберігання,</w:t>
      </w:r>
      <w:r w:rsidRPr="000977F7">
        <w:rPr>
          <w:rFonts w:asciiTheme="majorHAnsi" w:hAnsiTheme="majorHAnsi"/>
          <w:spacing w:val="1"/>
          <w:sz w:val="20"/>
          <w:szCs w:val="20"/>
        </w:rPr>
        <w:t xml:space="preserve"> </w:t>
      </w:r>
      <w:r w:rsidRPr="000977F7">
        <w:rPr>
          <w:rFonts w:asciiTheme="majorHAnsi" w:hAnsiTheme="majorHAnsi"/>
          <w:sz w:val="20"/>
          <w:szCs w:val="20"/>
        </w:rPr>
        <w:t>оброблення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p>
    <w:p w14:paraId="5117E94F" w14:textId="2245BA3C" w:rsidR="0097612F" w:rsidRPr="000F35DA"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r w:rsidR="000F35DA">
        <w:rPr>
          <w:rFonts w:asciiTheme="majorHAnsi" w:hAnsiTheme="majorHAnsi"/>
          <w:sz w:val="20"/>
          <w:szCs w:val="20"/>
          <w:lang w:val="uk-UA"/>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числа</w:t>
      </w:r>
      <w:r w:rsidRPr="000977F7">
        <w:rPr>
          <w:rFonts w:asciiTheme="majorHAnsi" w:hAnsiTheme="majorHAnsi"/>
          <w:spacing w:val="1"/>
          <w:sz w:val="20"/>
          <w:szCs w:val="20"/>
        </w:rPr>
        <w:t xml:space="preserve"> </w:t>
      </w:r>
      <w:r w:rsidRPr="000977F7">
        <w:rPr>
          <w:rFonts w:asciiTheme="majorHAnsi" w:hAnsiTheme="majorHAnsi"/>
          <w:sz w:val="20"/>
          <w:szCs w:val="20"/>
        </w:rPr>
        <w:t>таких</w:t>
      </w:r>
      <w:r w:rsidRPr="000977F7">
        <w:rPr>
          <w:rFonts w:asciiTheme="majorHAnsi" w:hAnsiTheme="majorHAnsi"/>
          <w:spacing w:val="1"/>
          <w:sz w:val="20"/>
          <w:szCs w:val="20"/>
        </w:rPr>
        <w:t xml:space="preserve"> </w:t>
      </w:r>
      <w:r w:rsidRPr="000977F7">
        <w:rPr>
          <w:rFonts w:asciiTheme="majorHAnsi" w:hAnsiTheme="majorHAnsi"/>
          <w:sz w:val="20"/>
          <w:szCs w:val="20"/>
        </w:rPr>
        <w:t>відомостей</w:t>
      </w:r>
      <w:r w:rsidRPr="000977F7">
        <w:rPr>
          <w:rFonts w:asciiTheme="majorHAnsi" w:hAnsiTheme="majorHAnsi"/>
          <w:spacing w:val="1"/>
          <w:sz w:val="20"/>
          <w:szCs w:val="20"/>
        </w:rPr>
        <w:t xml:space="preserve"> </w:t>
      </w:r>
      <w:r w:rsidRPr="000977F7">
        <w:rPr>
          <w:rFonts w:asciiTheme="majorHAnsi" w:hAnsiTheme="majorHAnsi"/>
          <w:sz w:val="20"/>
          <w:szCs w:val="20"/>
        </w:rPr>
        <w:t>відносяться:</w:t>
      </w:r>
      <w:r w:rsidRPr="000977F7">
        <w:rPr>
          <w:rFonts w:asciiTheme="majorHAnsi" w:hAnsiTheme="majorHAnsi"/>
          <w:spacing w:val="1"/>
          <w:sz w:val="20"/>
          <w:szCs w:val="20"/>
        </w:rPr>
        <w:t xml:space="preserve"> </w:t>
      </w:r>
      <w:r w:rsidRPr="000977F7">
        <w:rPr>
          <w:rFonts w:asciiTheme="majorHAnsi" w:hAnsiTheme="majorHAnsi"/>
          <w:sz w:val="20"/>
          <w:szCs w:val="20"/>
        </w:rPr>
        <w:t>апріорні</w:t>
      </w:r>
      <w:r w:rsidRPr="000977F7">
        <w:rPr>
          <w:rFonts w:asciiTheme="majorHAnsi" w:hAnsiTheme="majorHAnsi"/>
          <w:spacing w:val="1"/>
          <w:sz w:val="20"/>
          <w:szCs w:val="20"/>
        </w:rPr>
        <w:t xml:space="preserve"> </w:t>
      </w:r>
      <w:r w:rsidRPr="000977F7">
        <w:rPr>
          <w:rFonts w:asciiTheme="majorHAnsi" w:hAnsiTheme="majorHAnsi"/>
          <w:sz w:val="20"/>
          <w:szCs w:val="20"/>
        </w:rPr>
        <w:t>знання про властивості об’єктів , процесів та зовнішнє</w:t>
      </w:r>
      <w:r w:rsidRPr="000977F7">
        <w:rPr>
          <w:rFonts w:asciiTheme="majorHAnsi" w:hAnsiTheme="majorHAnsi"/>
          <w:spacing w:val="-47"/>
          <w:sz w:val="20"/>
          <w:szCs w:val="20"/>
        </w:rPr>
        <w:t xml:space="preserve"> </w:t>
      </w:r>
      <w:r w:rsidRPr="000977F7">
        <w:rPr>
          <w:rFonts w:asciiTheme="majorHAnsi" w:hAnsiTheme="majorHAnsi"/>
          <w:sz w:val="20"/>
          <w:szCs w:val="20"/>
        </w:rPr>
        <w:t>середовище; відомості про ознаки, параметри, діяння,</w:t>
      </w:r>
      <w:r w:rsidRPr="000977F7">
        <w:rPr>
          <w:rFonts w:asciiTheme="majorHAnsi" w:hAnsiTheme="majorHAnsi"/>
          <w:spacing w:val="1"/>
          <w:sz w:val="20"/>
          <w:szCs w:val="20"/>
        </w:rPr>
        <w:t xml:space="preserve"> </w:t>
      </w:r>
      <w:r w:rsidRPr="000977F7">
        <w:rPr>
          <w:rFonts w:asciiTheme="majorHAnsi" w:hAnsiTheme="majorHAnsi"/>
          <w:sz w:val="20"/>
          <w:szCs w:val="20"/>
        </w:rPr>
        <w:t>функціювання об’єктів, події і стан; інструкції, алгоритми</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програми</w:t>
      </w:r>
      <w:r w:rsidR="000F35DA">
        <w:rPr>
          <w:rFonts w:asciiTheme="majorHAnsi" w:hAnsiTheme="majorHAnsi"/>
          <w:sz w:val="20"/>
          <w:szCs w:val="20"/>
          <w:lang w:val="uk-UA"/>
        </w:rPr>
        <w:t xml:space="preserve">. </w:t>
      </w:r>
    </w:p>
    <w:p w14:paraId="1D5E57DD" w14:textId="77777777" w:rsidR="0097612F" w:rsidRPr="004D2D14" w:rsidRDefault="0097612F" w:rsidP="000977F7">
      <w:pPr>
        <w:tabs>
          <w:tab w:val="left" w:pos="284"/>
        </w:tabs>
        <w:spacing w:after="0" w:line="240" w:lineRule="auto"/>
        <w:ind w:left="170" w:firstLine="284"/>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3956</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2000</w:t>
      </w:r>
    </w:p>
    <w:p w14:paraId="475D8B2F" w14:textId="77777777" w:rsidR="0097612F" w:rsidRPr="004D2D14" w:rsidRDefault="0097612F" w:rsidP="000977F7">
      <w:pPr>
        <w:tabs>
          <w:tab w:val="left" w:pos="284"/>
        </w:tabs>
        <w:spacing w:after="0" w:line="240" w:lineRule="auto"/>
        <w:ind w:left="170"/>
        <w:mirrorIndents/>
        <w:jc w:val="both"/>
        <w:rPr>
          <w:rFonts w:asciiTheme="majorHAnsi" w:hAnsiTheme="majorHAnsi"/>
          <w:b/>
          <w:bCs/>
          <w:iCs/>
          <w:sz w:val="20"/>
          <w:szCs w:val="20"/>
          <w:lang w:val="en-US"/>
        </w:rPr>
      </w:pPr>
      <w:bookmarkStart w:id="89" w:name="_Hlk103664584"/>
      <w:r w:rsidRPr="000977F7">
        <w:rPr>
          <w:rFonts w:asciiTheme="majorHAnsi" w:hAnsiTheme="majorHAnsi"/>
          <w:b/>
          <w:bCs/>
          <w:iCs/>
          <w:sz w:val="20"/>
          <w:szCs w:val="20"/>
        </w:rPr>
        <w:t>ІНФОРМАЦІЯ</w:t>
      </w:r>
      <w:r w:rsidRPr="004D2D14">
        <w:rPr>
          <w:rFonts w:asciiTheme="majorHAnsi" w:hAnsiTheme="majorHAnsi"/>
          <w:b/>
          <w:bCs/>
          <w:iCs/>
          <w:sz w:val="20"/>
          <w:szCs w:val="20"/>
          <w:lang w:val="en-US"/>
        </w:rPr>
        <w:t xml:space="preserve"> </w:t>
      </w:r>
      <w:r w:rsidRPr="000977F7">
        <w:rPr>
          <w:rFonts w:asciiTheme="majorHAnsi" w:hAnsiTheme="majorHAnsi"/>
          <w:b/>
          <w:bCs/>
          <w:iCs/>
          <w:sz w:val="20"/>
          <w:szCs w:val="20"/>
        </w:rPr>
        <w:t>ДЛЯ</w:t>
      </w:r>
      <w:r w:rsidRPr="004D2D14">
        <w:rPr>
          <w:rFonts w:asciiTheme="majorHAnsi" w:hAnsiTheme="majorHAnsi"/>
          <w:b/>
          <w:bCs/>
          <w:iCs/>
          <w:sz w:val="20"/>
          <w:szCs w:val="20"/>
          <w:lang w:val="en-US"/>
        </w:rPr>
        <w:t xml:space="preserve"> </w:t>
      </w:r>
      <w:r w:rsidRPr="000977F7">
        <w:rPr>
          <w:rFonts w:asciiTheme="majorHAnsi" w:hAnsiTheme="majorHAnsi"/>
          <w:b/>
          <w:bCs/>
          <w:iCs/>
          <w:sz w:val="20"/>
          <w:szCs w:val="20"/>
        </w:rPr>
        <w:t>КОРИСТУВАЧА</w:t>
      </w:r>
      <w:r w:rsidRPr="004D2D14">
        <w:rPr>
          <w:rFonts w:asciiTheme="majorHAnsi" w:hAnsiTheme="majorHAnsi"/>
          <w:b/>
          <w:bCs/>
          <w:iCs/>
          <w:sz w:val="20"/>
          <w:szCs w:val="20"/>
          <w:lang w:val="en-US"/>
        </w:rPr>
        <w:t xml:space="preserve"> –</w:t>
      </w:r>
    </w:p>
    <w:p w14:paraId="6AB15201" w14:textId="77777777" w:rsidR="0097612F" w:rsidRPr="004D2D14" w:rsidRDefault="0097612F" w:rsidP="000977F7">
      <w:pPr>
        <w:tabs>
          <w:tab w:val="left" w:pos="284"/>
        </w:tabs>
        <w:spacing w:after="0" w:line="240" w:lineRule="auto"/>
        <w:ind w:left="170"/>
        <w:mirrorIndents/>
        <w:jc w:val="both"/>
        <w:rPr>
          <w:rFonts w:asciiTheme="majorHAnsi" w:hAnsiTheme="majorHAnsi"/>
          <w:iCs/>
          <w:sz w:val="20"/>
          <w:szCs w:val="20"/>
          <w:lang w:val="en-US"/>
        </w:rPr>
      </w:pPr>
      <w:r w:rsidRPr="004D2D14">
        <w:rPr>
          <w:rFonts w:asciiTheme="majorHAnsi" w:hAnsiTheme="majorHAnsi"/>
          <w:iCs/>
          <w:sz w:val="20"/>
          <w:szCs w:val="20"/>
          <w:lang w:val="en-US"/>
        </w:rPr>
        <w:t>INFORMATION FOR USE -</w:t>
      </w:r>
    </w:p>
    <w:bookmarkEnd w:id="89"/>
    <w:p w14:paraId="2FA3D897"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sz w:val="20"/>
          <w:szCs w:val="20"/>
        </w:rPr>
        <w:t>Відомості</w:t>
      </w:r>
      <w:r w:rsidRPr="004D2D14">
        <w:rPr>
          <w:rFonts w:asciiTheme="majorHAnsi" w:hAnsiTheme="majorHAnsi"/>
          <w:sz w:val="20"/>
          <w:szCs w:val="20"/>
          <w:lang w:val="en-US"/>
        </w:rPr>
        <w:t xml:space="preserve">, </w:t>
      </w:r>
      <w:r w:rsidRPr="000977F7">
        <w:rPr>
          <w:rFonts w:asciiTheme="majorHAnsi" w:hAnsiTheme="majorHAnsi"/>
          <w:sz w:val="20"/>
          <w:szCs w:val="20"/>
        </w:rPr>
        <w:t>ґрунтовані</w:t>
      </w:r>
      <w:r w:rsidRPr="004D2D14">
        <w:rPr>
          <w:rFonts w:asciiTheme="majorHAnsi" w:hAnsiTheme="majorHAnsi"/>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спілкуванні</w:t>
      </w:r>
      <w:r w:rsidRPr="004D2D14">
        <w:rPr>
          <w:rFonts w:asciiTheme="majorHAnsi" w:hAnsiTheme="majorHAnsi"/>
          <w:sz w:val="20"/>
          <w:szCs w:val="20"/>
          <w:lang w:val="en-US"/>
        </w:rPr>
        <w:t xml:space="preserve"> (</w:t>
      </w:r>
      <w:r w:rsidRPr="000977F7">
        <w:rPr>
          <w:rFonts w:asciiTheme="majorHAnsi" w:hAnsiTheme="majorHAnsi"/>
          <w:sz w:val="20"/>
          <w:szCs w:val="20"/>
        </w:rPr>
        <w:t>наприклад</w:t>
      </w:r>
      <w:r w:rsidRPr="004D2D14">
        <w:rPr>
          <w:rFonts w:asciiTheme="majorHAnsi" w:hAnsiTheme="majorHAnsi"/>
          <w:sz w:val="20"/>
          <w:szCs w:val="20"/>
          <w:lang w:val="en-US"/>
        </w:rPr>
        <w:t xml:space="preserve">, </w:t>
      </w:r>
      <w:r w:rsidRPr="000977F7">
        <w:rPr>
          <w:rFonts w:asciiTheme="majorHAnsi" w:hAnsiTheme="majorHAnsi"/>
          <w:sz w:val="20"/>
          <w:szCs w:val="20"/>
        </w:rPr>
        <w:t>за</w:t>
      </w:r>
      <w:r w:rsidRPr="004D2D14">
        <w:rPr>
          <w:rFonts w:asciiTheme="majorHAnsi" w:hAnsiTheme="majorHAnsi"/>
          <w:sz w:val="20"/>
          <w:szCs w:val="20"/>
          <w:lang w:val="en-US"/>
        </w:rPr>
        <w:t xml:space="preserve"> </w:t>
      </w:r>
      <w:r w:rsidRPr="000977F7">
        <w:rPr>
          <w:rFonts w:asciiTheme="majorHAnsi" w:hAnsiTheme="majorHAnsi"/>
          <w:sz w:val="20"/>
          <w:szCs w:val="20"/>
        </w:rPr>
        <w:t>допомогою</w:t>
      </w:r>
      <w:r w:rsidRPr="004D2D14">
        <w:rPr>
          <w:rFonts w:asciiTheme="majorHAnsi" w:hAnsiTheme="majorHAnsi"/>
          <w:sz w:val="20"/>
          <w:szCs w:val="20"/>
          <w:lang w:val="en-US"/>
        </w:rPr>
        <w:t xml:space="preserve"> </w:t>
      </w:r>
      <w:r w:rsidRPr="000977F7">
        <w:rPr>
          <w:rFonts w:asciiTheme="majorHAnsi" w:hAnsiTheme="majorHAnsi"/>
          <w:sz w:val="20"/>
          <w:szCs w:val="20"/>
        </w:rPr>
        <w:t>текстів</w:t>
      </w:r>
      <w:r w:rsidRPr="004D2D14">
        <w:rPr>
          <w:rFonts w:asciiTheme="majorHAnsi" w:hAnsiTheme="majorHAnsi"/>
          <w:sz w:val="20"/>
          <w:szCs w:val="20"/>
          <w:lang w:val="en-US"/>
        </w:rPr>
        <w:t xml:space="preserve">, </w:t>
      </w:r>
      <w:r w:rsidRPr="000977F7">
        <w:rPr>
          <w:rFonts w:asciiTheme="majorHAnsi" w:hAnsiTheme="majorHAnsi"/>
          <w:sz w:val="20"/>
          <w:szCs w:val="20"/>
        </w:rPr>
        <w:t>слів</w:t>
      </w:r>
      <w:r w:rsidRPr="004D2D14">
        <w:rPr>
          <w:rFonts w:asciiTheme="majorHAnsi" w:hAnsiTheme="majorHAnsi"/>
          <w:sz w:val="20"/>
          <w:szCs w:val="20"/>
          <w:lang w:val="en-US"/>
        </w:rPr>
        <w:t xml:space="preserve">, </w:t>
      </w:r>
      <w:r w:rsidRPr="000977F7">
        <w:rPr>
          <w:rFonts w:asciiTheme="majorHAnsi" w:hAnsiTheme="majorHAnsi"/>
          <w:sz w:val="20"/>
          <w:szCs w:val="20"/>
        </w:rPr>
        <w:t>знаків</w:t>
      </w:r>
      <w:r w:rsidRPr="004D2D14">
        <w:rPr>
          <w:rFonts w:asciiTheme="majorHAnsi" w:hAnsiTheme="majorHAnsi"/>
          <w:sz w:val="20"/>
          <w:szCs w:val="20"/>
          <w:lang w:val="en-US"/>
        </w:rPr>
        <w:t xml:space="preserve">, </w:t>
      </w:r>
      <w:r w:rsidRPr="000977F7">
        <w:rPr>
          <w:rFonts w:asciiTheme="majorHAnsi" w:hAnsiTheme="majorHAnsi"/>
          <w:sz w:val="20"/>
          <w:szCs w:val="20"/>
        </w:rPr>
        <w:t>сигналів</w:t>
      </w:r>
      <w:r w:rsidRPr="004D2D14">
        <w:rPr>
          <w:rFonts w:asciiTheme="majorHAnsi" w:hAnsiTheme="majorHAnsi"/>
          <w:sz w:val="20"/>
          <w:szCs w:val="20"/>
          <w:lang w:val="en-US"/>
        </w:rPr>
        <w:t xml:space="preserve">, </w:t>
      </w:r>
      <w:r w:rsidRPr="000977F7">
        <w:rPr>
          <w:rFonts w:asciiTheme="majorHAnsi" w:hAnsiTheme="majorHAnsi"/>
          <w:sz w:val="20"/>
          <w:szCs w:val="20"/>
        </w:rPr>
        <w:t>символів</w:t>
      </w:r>
      <w:r w:rsidRPr="004D2D14">
        <w:rPr>
          <w:rFonts w:asciiTheme="majorHAnsi" w:hAnsiTheme="majorHAnsi"/>
          <w:sz w:val="20"/>
          <w:szCs w:val="20"/>
          <w:lang w:val="en-US"/>
        </w:rPr>
        <w:t xml:space="preserve">, </w:t>
      </w:r>
      <w:r w:rsidRPr="000977F7">
        <w:rPr>
          <w:rFonts w:asciiTheme="majorHAnsi" w:hAnsiTheme="majorHAnsi"/>
          <w:sz w:val="20"/>
          <w:szCs w:val="20"/>
        </w:rPr>
        <w:t>діаграм</w:t>
      </w:r>
      <w:r w:rsidRPr="004D2D14">
        <w:rPr>
          <w:rFonts w:asciiTheme="majorHAnsi" w:hAnsiTheme="majorHAnsi"/>
          <w:sz w:val="20"/>
          <w:szCs w:val="20"/>
          <w:lang w:val="en-US"/>
        </w:rPr>
        <w:t xml:space="preserve">), </w:t>
      </w:r>
      <w:r w:rsidRPr="000977F7">
        <w:rPr>
          <w:rFonts w:asciiTheme="majorHAnsi" w:hAnsiTheme="majorHAnsi"/>
          <w:sz w:val="20"/>
          <w:szCs w:val="20"/>
        </w:rPr>
        <w:t>які</w:t>
      </w:r>
      <w:r w:rsidRPr="004D2D14">
        <w:rPr>
          <w:rFonts w:asciiTheme="majorHAnsi" w:hAnsiTheme="majorHAnsi"/>
          <w:sz w:val="20"/>
          <w:szCs w:val="20"/>
          <w:lang w:val="en-US"/>
        </w:rPr>
        <w:t xml:space="preserve"> </w:t>
      </w:r>
      <w:r w:rsidRPr="000977F7">
        <w:rPr>
          <w:rFonts w:asciiTheme="majorHAnsi" w:hAnsiTheme="majorHAnsi"/>
          <w:sz w:val="20"/>
          <w:szCs w:val="20"/>
        </w:rPr>
        <w:t>застосовують</w:t>
      </w:r>
      <w:r w:rsidRPr="004D2D14">
        <w:rPr>
          <w:rFonts w:asciiTheme="majorHAnsi" w:hAnsiTheme="majorHAnsi"/>
          <w:sz w:val="20"/>
          <w:szCs w:val="20"/>
          <w:lang w:val="en-US"/>
        </w:rPr>
        <w:t xml:space="preserve"> </w:t>
      </w:r>
      <w:r w:rsidRPr="000977F7">
        <w:rPr>
          <w:rFonts w:asciiTheme="majorHAnsi" w:hAnsiTheme="majorHAnsi"/>
          <w:sz w:val="20"/>
          <w:szCs w:val="20"/>
        </w:rPr>
        <w:t>окремо</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сукупності</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передавання</w:t>
      </w:r>
      <w:r w:rsidRPr="004D2D14">
        <w:rPr>
          <w:rFonts w:asciiTheme="majorHAnsi" w:hAnsiTheme="majorHAnsi"/>
          <w:sz w:val="20"/>
          <w:szCs w:val="20"/>
          <w:lang w:val="en-US"/>
        </w:rPr>
        <w:t xml:space="preserve"> </w:t>
      </w:r>
      <w:r w:rsidRPr="000977F7">
        <w:rPr>
          <w:rFonts w:asciiTheme="majorHAnsi" w:hAnsiTheme="majorHAnsi"/>
          <w:sz w:val="20"/>
          <w:szCs w:val="20"/>
        </w:rPr>
        <w:t>інформації</w:t>
      </w:r>
      <w:r w:rsidRPr="004D2D14">
        <w:rPr>
          <w:rFonts w:asciiTheme="majorHAnsi" w:hAnsiTheme="majorHAnsi"/>
          <w:sz w:val="20"/>
          <w:szCs w:val="20"/>
          <w:lang w:val="en-US"/>
        </w:rPr>
        <w:t xml:space="preserve"> </w:t>
      </w:r>
      <w:r w:rsidRPr="000977F7">
        <w:rPr>
          <w:rFonts w:asciiTheme="majorHAnsi" w:hAnsiTheme="majorHAnsi"/>
          <w:sz w:val="20"/>
          <w:szCs w:val="20"/>
        </w:rPr>
        <w:t>користувачеві</w:t>
      </w:r>
      <w:r w:rsidRPr="004D2D14">
        <w:rPr>
          <w:rFonts w:asciiTheme="majorHAnsi" w:hAnsiTheme="majorHAnsi"/>
          <w:sz w:val="20"/>
          <w:szCs w:val="20"/>
          <w:lang w:val="en-US"/>
        </w:rPr>
        <w:t>.</w:t>
      </w:r>
    </w:p>
    <w:p w14:paraId="3F521EB6" w14:textId="0E0ACCFC" w:rsidR="0097612F" w:rsidRPr="000977F7" w:rsidRDefault="0097612F" w:rsidP="000F35DA">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sz w:val="20"/>
          <w:szCs w:val="20"/>
        </w:rPr>
        <w:t xml:space="preserve">Примітка. Див. 6.4 </w:t>
      </w:r>
      <w:r w:rsidRPr="000977F7">
        <w:rPr>
          <w:rFonts w:asciiTheme="majorHAnsi" w:hAnsiTheme="majorHAnsi"/>
          <w:i/>
          <w:iCs/>
          <w:sz w:val="20"/>
          <w:szCs w:val="20"/>
        </w:rPr>
        <w:t>ДСТУ EN ISO 12100:2016</w:t>
      </w:r>
    </w:p>
    <w:p w14:paraId="4C70F58C" w14:textId="77777777" w:rsidR="0097612F" w:rsidRPr="000977F7" w:rsidRDefault="0097612F" w:rsidP="000977F7">
      <w:pPr>
        <w:pStyle w:val="7"/>
        <w:tabs>
          <w:tab w:val="left" w:pos="284"/>
          <w:tab w:val="left" w:pos="2049"/>
          <w:tab w:val="left" w:pos="2698"/>
          <w:tab w:val="left" w:pos="4614"/>
        </w:tabs>
        <w:spacing w:before="0" w:line="240" w:lineRule="auto"/>
        <w:ind w:left="170"/>
        <w:mirrorIndents/>
        <w:jc w:val="both"/>
        <w:rPr>
          <w:b w:val="0"/>
          <w:color w:val="auto"/>
          <w:sz w:val="20"/>
          <w:szCs w:val="20"/>
        </w:rPr>
      </w:pPr>
      <w:r w:rsidRPr="000977F7">
        <w:rPr>
          <w:color w:val="auto"/>
          <w:sz w:val="20"/>
          <w:szCs w:val="20"/>
        </w:rPr>
        <w:t>І</w:t>
      </w:r>
      <w:r w:rsidRPr="000F35DA">
        <w:rPr>
          <w:color w:val="auto"/>
          <w:spacing w:val="-4"/>
          <w:sz w:val="20"/>
          <w:szCs w:val="20"/>
        </w:rPr>
        <w:t xml:space="preserve">НФОРМАЦІЯ ДЛЯ ЗОВНІШНІХ ПОСТАЧАЛЬНИКІВ </w:t>
      </w:r>
      <w:r w:rsidRPr="000F35DA">
        <w:rPr>
          <w:b w:val="0"/>
          <w:color w:val="auto"/>
          <w:spacing w:val="-4"/>
          <w:sz w:val="20"/>
          <w:szCs w:val="20"/>
        </w:rPr>
        <w:t>–</w:t>
      </w:r>
    </w:p>
    <w:p w14:paraId="2488D60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забезпечити адекватність вимог перш ніж доводити їх до відома зовнішнього постачальника. Організація повинна доводити до відома зовнішніх постачальників свої вимоги щодо</w:t>
      </w:r>
    </w:p>
    <w:p w14:paraId="3086852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процесів, продукції та послуг, які постачатимуть;</w:t>
      </w:r>
    </w:p>
    <w:p w14:paraId="33B024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 схвалення</w:t>
      </w:r>
    </w:p>
    <w:p w14:paraId="078780E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1) продукції та послуг;</w:t>
      </w:r>
    </w:p>
    <w:p w14:paraId="7469284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2) методів, процесів та устаткування»</w:t>
      </w:r>
    </w:p>
    <w:p w14:paraId="013C4B5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3) випуску продукції та послуг;</w:t>
      </w:r>
    </w:p>
    <w:p w14:paraId="0123577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 компетентності, зокрема будь-якої необхідної кваліфікації персоналу;</w:t>
      </w:r>
    </w:p>
    <w:p w14:paraId="43E0658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 взаємодій зовнішніх постачальників з організацією;</w:t>
      </w:r>
    </w:p>
    <w:p w14:paraId="12A3A87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e) контролю та моніторингу дієвості зовнішніх постачальників, що застосовуватиме організація;</w:t>
      </w:r>
    </w:p>
    <w:p w14:paraId="2B82EC92" w14:textId="5372CBAC" w:rsidR="0097612F" w:rsidRPr="000F35DA"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f) робіт з перевірення та затвердження, які організація чи її замовник має намір здійснювати на території зовнішніх постачальників.</w:t>
      </w:r>
      <w:r w:rsidR="000F35DA">
        <w:rPr>
          <w:rFonts w:asciiTheme="majorHAnsi" w:hAnsiTheme="majorHAnsi"/>
          <w:sz w:val="20"/>
          <w:szCs w:val="20"/>
          <w:lang w:val="uk-UA"/>
        </w:rPr>
        <w:t xml:space="preserve"> </w:t>
      </w:r>
    </w:p>
    <w:p w14:paraId="58BA62D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016FE9F2" w14:textId="77777777" w:rsidR="0097612F" w:rsidRPr="000977F7" w:rsidRDefault="0097612F" w:rsidP="000977F7">
      <w:pPr>
        <w:pStyle w:val="7"/>
        <w:tabs>
          <w:tab w:val="left" w:pos="284"/>
          <w:tab w:val="left" w:pos="2049"/>
          <w:tab w:val="left" w:pos="2698"/>
          <w:tab w:val="left" w:pos="4614"/>
        </w:tabs>
        <w:spacing w:before="0" w:line="240" w:lineRule="auto"/>
        <w:ind w:left="170"/>
        <w:mirrorIndents/>
        <w:jc w:val="both"/>
        <w:rPr>
          <w:color w:val="auto"/>
          <w:sz w:val="20"/>
          <w:szCs w:val="20"/>
        </w:rPr>
      </w:pPr>
      <w:r w:rsidRPr="000977F7">
        <w:rPr>
          <w:color w:val="auto"/>
          <w:sz w:val="20"/>
          <w:szCs w:val="20"/>
        </w:rPr>
        <w:t>ІНФОРМАЦІЯ ПРО КОНФІГУРАЦІЮ</w:t>
      </w:r>
    </w:p>
    <w:p w14:paraId="3D6E8FBA" w14:textId="77777777" w:rsidR="0097612F" w:rsidRPr="000977F7" w:rsidRDefault="0097612F" w:rsidP="000977F7">
      <w:pPr>
        <w:pStyle w:val="7"/>
        <w:tabs>
          <w:tab w:val="left" w:pos="284"/>
          <w:tab w:val="left" w:pos="2049"/>
          <w:tab w:val="left" w:pos="2698"/>
          <w:tab w:val="left" w:pos="4614"/>
        </w:tabs>
        <w:spacing w:before="0" w:line="240" w:lineRule="auto"/>
        <w:ind w:left="170"/>
        <w:mirrorIndents/>
        <w:jc w:val="both"/>
        <w:rPr>
          <w:b w:val="0"/>
          <w:color w:val="auto"/>
          <w:sz w:val="20"/>
          <w:szCs w:val="20"/>
        </w:rPr>
      </w:pPr>
      <w:r w:rsidRPr="000977F7">
        <w:rPr>
          <w:color w:val="auto"/>
          <w:sz w:val="20"/>
          <w:szCs w:val="20"/>
        </w:rPr>
        <w:t>ПРОДУКЦІЇ</w:t>
      </w:r>
      <w:r w:rsidRPr="000977F7">
        <w:rPr>
          <w:color w:val="auto"/>
          <w:spacing w:val="-2"/>
          <w:sz w:val="20"/>
          <w:szCs w:val="20"/>
        </w:rPr>
        <w:t xml:space="preserve"> </w:t>
      </w:r>
      <w:r w:rsidRPr="000977F7">
        <w:rPr>
          <w:b w:val="0"/>
          <w:color w:val="auto"/>
          <w:sz w:val="20"/>
          <w:szCs w:val="20"/>
        </w:rPr>
        <w:t>–</w:t>
      </w:r>
    </w:p>
    <w:p w14:paraId="558CAFD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PRODUCT</w:t>
      </w:r>
      <w:r w:rsidRPr="004D2D14">
        <w:rPr>
          <w:rFonts w:asciiTheme="majorHAnsi" w:hAnsiTheme="majorHAnsi"/>
          <w:spacing w:val="-2"/>
          <w:sz w:val="20"/>
          <w:szCs w:val="20"/>
          <w:lang w:val="uk-UA"/>
        </w:rPr>
        <w:t xml:space="preserve"> </w:t>
      </w:r>
      <w:r w:rsidRPr="000977F7">
        <w:rPr>
          <w:rFonts w:asciiTheme="majorHAnsi" w:hAnsiTheme="majorHAnsi"/>
          <w:sz w:val="20"/>
          <w:szCs w:val="20"/>
        </w:rPr>
        <w:t>CONFIGURATION</w:t>
      </w:r>
      <w:r w:rsidRPr="004D2D14">
        <w:rPr>
          <w:rFonts w:asciiTheme="majorHAnsi" w:hAnsiTheme="majorHAnsi"/>
          <w:spacing w:val="-3"/>
          <w:sz w:val="20"/>
          <w:szCs w:val="20"/>
          <w:lang w:val="uk-UA"/>
        </w:rPr>
        <w:t xml:space="preserve"> </w:t>
      </w:r>
      <w:r w:rsidRPr="000977F7">
        <w:rPr>
          <w:rFonts w:asciiTheme="majorHAnsi" w:hAnsiTheme="majorHAnsi"/>
          <w:sz w:val="20"/>
          <w:szCs w:val="20"/>
        </w:rPr>
        <w:t>INFORMATION</w:t>
      </w:r>
      <w:r w:rsidRPr="004D2D14">
        <w:rPr>
          <w:rFonts w:asciiTheme="majorHAnsi" w:hAnsiTheme="majorHAnsi"/>
          <w:sz w:val="20"/>
          <w:szCs w:val="20"/>
          <w:lang w:val="uk-UA"/>
        </w:rPr>
        <w:t xml:space="preserve"> -</w:t>
      </w:r>
    </w:p>
    <w:p w14:paraId="5E47437F" w14:textId="60EF328A" w:rsidR="0097612F" w:rsidRPr="004D2D14" w:rsidRDefault="0097612F" w:rsidP="000F35DA">
      <w:pPr>
        <w:pStyle w:val="af6"/>
        <w:tabs>
          <w:tab w:val="left" w:pos="284"/>
        </w:tabs>
        <w:spacing w:after="0"/>
        <w:ind w:left="170"/>
        <w:mirrorIndents/>
        <w:jc w:val="both"/>
        <w:rPr>
          <w:rFonts w:asciiTheme="majorHAnsi" w:hAnsiTheme="majorHAnsi"/>
          <w:i/>
          <w:sz w:val="20"/>
          <w:szCs w:val="20"/>
          <w:lang w:val="uk-UA"/>
        </w:rPr>
      </w:pPr>
      <w:r w:rsidRPr="004D2D14">
        <w:rPr>
          <w:rFonts w:asciiTheme="majorHAnsi" w:hAnsiTheme="majorHAnsi"/>
          <w:sz w:val="20"/>
          <w:szCs w:val="20"/>
          <w:lang w:val="uk-UA"/>
        </w:rPr>
        <w:t>Вимога чи інша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інформація щодо проектування,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виготовлення, перевіряння, функціювання та обслуговування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w:t>
      </w:r>
      <w:r w:rsidR="000F35DA">
        <w:rPr>
          <w:rFonts w:asciiTheme="majorHAnsi" w:hAnsiTheme="majorHAnsi"/>
          <w:sz w:val="20"/>
          <w:szCs w:val="20"/>
          <w:lang w:val="uk-UA"/>
        </w:rPr>
        <w:t xml:space="preserve">. </w:t>
      </w:r>
      <w:r w:rsidRPr="004D2D14">
        <w:rPr>
          <w:rFonts w:asciiTheme="majorHAnsi" w:hAnsiTheme="majorHAnsi"/>
          <w:i/>
          <w:sz w:val="20"/>
          <w:szCs w:val="20"/>
          <w:lang w:val="uk-UA"/>
        </w:rPr>
        <w:t>ДСТУ</w:t>
      </w:r>
      <w:r w:rsidRPr="004D2D14">
        <w:rPr>
          <w:rFonts w:asciiTheme="majorHAnsi" w:hAnsiTheme="majorHAnsi"/>
          <w:i/>
          <w:spacing w:val="-3"/>
          <w:sz w:val="20"/>
          <w:szCs w:val="20"/>
          <w:lang w:val="uk-UA"/>
        </w:rPr>
        <w:t xml:space="preserve"> </w:t>
      </w:r>
      <w:r w:rsidRPr="000977F7">
        <w:rPr>
          <w:rFonts w:asciiTheme="majorHAnsi" w:hAnsiTheme="majorHAnsi"/>
          <w:i/>
          <w:sz w:val="20"/>
          <w:szCs w:val="20"/>
        </w:rPr>
        <w:t>ISO</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9000:2015</w:t>
      </w:r>
    </w:p>
    <w:p w14:paraId="6EF5543F"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ІНФОРМУВАННЯ</w:t>
      </w:r>
      <w:r w:rsidRPr="000977F7">
        <w:rPr>
          <w:color w:val="auto"/>
          <w:spacing w:val="-2"/>
          <w:sz w:val="20"/>
          <w:szCs w:val="20"/>
        </w:rPr>
        <w:t xml:space="preserve"> </w:t>
      </w:r>
      <w:r w:rsidRPr="000977F7">
        <w:rPr>
          <w:b w:val="0"/>
          <w:color w:val="auto"/>
          <w:sz w:val="20"/>
          <w:szCs w:val="20"/>
        </w:rPr>
        <w:t>–</w:t>
      </w:r>
    </w:p>
    <w:p w14:paraId="54ADF16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Організація повинна визначити потреби щодо внутрішнього</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зовнішнього</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інформування,</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доречні</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системи управління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якістю,</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зокрема,</w:t>
      </w:r>
    </w:p>
    <w:p w14:paraId="30136B84" w14:textId="77777777" w:rsidR="0097612F" w:rsidRPr="000977F7" w:rsidRDefault="0097612F" w:rsidP="00FD39A4">
      <w:pPr>
        <w:pStyle w:val="ac"/>
        <w:widowControl w:val="0"/>
        <w:numPr>
          <w:ilvl w:val="1"/>
          <w:numId w:val="169"/>
        </w:numPr>
        <w:tabs>
          <w:tab w:val="left" w:pos="284"/>
          <w:tab w:val="left" w:pos="6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про</w:t>
      </w:r>
      <w:r w:rsidRPr="000977F7">
        <w:rPr>
          <w:rFonts w:asciiTheme="majorHAnsi" w:hAnsiTheme="majorHAnsi"/>
          <w:spacing w:val="-4"/>
          <w:sz w:val="20"/>
          <w:szCs w:val="20"/>
        </w:rPr>
        <w:t xml:space="preserve"> </w:t>
      </w:r>
      <w:r w:rsidRPr="000977F7">
        <w:rPr>
          <w:rFonts w:asciiTheme="majorHAnsi" w:hAnsiTheme="majorHAnsi"/>
          <w:sz w:val="20"/>
          <w:szCs w:val="20"/>
        </w:rPr>
        <w:t>що</w:t>
      </w:r>
      <w:r w:rsidRPr="000977F7">
        <w:rPr>
          <w:rFonts w:asciiTheme="majorHAnsi" w:hAnsiTheme="majorHAnsi"/>
          <w:spacing w:val="-3"/>
          <w:sz w:val="20"/>
          <w:szCs w:val="20"/>
        </w:rPr>
        <w:t xml:space="preserve"> </w:t>
      </w:r>
      <w:r w:rsidRPr="000977F7">
        <w:rPr>
          <w:rFonts w:asciiTheme="majorHAnsi" w:hAnsiTheme="majorHAnsi"/>
          <w:sz w:val="20"/>
          <w:szCs w:val="20"/>
        </w:rPr>
        <w:t>інформувати;</w:t>
      </w:r>
    </w:p>
    <w:p w14:paraId="74107207" w14:textId="77777777" w:rsidR="0097612F" w:rsidRPr="000977F7" w:rsidRDefault="0097612F" w:rsidP="00FD39A4">
      <w:pPr>
        <w:pStyle w:val="ac"/>
        <w:widowControl w:val="0"/>
        <w:numPr>
          <w:ilvl w:val="1"/>
          <w:numId w:val="169"/>
        </w:numPr>
        <w:tabs>
          <w:tab w:val="left" w:pos="284"/>
          <w:tab w:val="left" w:pos="65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коли</w:t>
      </w:r>
      <w:r w:rsidRPr="000977F7">
        <w:rPr>
          <w:rFonts w:asciiTheme="majorHAnsi" w:hAnsiTheme="majorHAnsi"/>
          <w:spacing w:val="-6"/>
          <w:sz w:val="20"/>
          <w:szCs w:val="20"/>
        </w:rPr>
        <w:t xml:space="preserve"> </w:t>
      </w:r>
      <w:r w:rsidRPr="000977F7">
        <w:rPr>
          <w:rFonts w:asciiTheme="majorHAnsi" w:hAnsiTheme="majorHAnsi"/>
          <w:sz w:val="20"/>
          <w:szCs w:val="20"/>
        </w:rPr>
        <w:t>інформувати;</w:t>
      </w:r>
    </w:p>
    <w:p w14:paraId="35F376E5" w14:textId="77777777" w:rsidR="0097612F" w:rsidRPr="000977F7" w:rsidRDefault="0097612F" w:rsidP="00FD39A4">
      <w:pPr>
        <w:pStyle w:val="ac"/>
        <w:widowControl w:val="0"/>
        <w:numPr>
          <w:ilvl w:val="1"/>
          <w:numId w:val="169"/>
        </w:numPr>
        <w:tabs>
          <w:tab w:val="left" w:pos="284"/>
          <w:tab w:val="left" w:pos="6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кого</w:t>
      </w:r>
      <w:r w:rsidRPr="000977F7">
        <w:rPr>
          <w:rFonts w:asciiTheme="majorHAnsi" w:hAnsiTheme="majorHAnsi"/>
          <w:spacing w:val="-4"/>
          <w:sz w:val="20"/>
          <w:szCs w:val="20"/>
        </w:rPr>
        <w:t xml:space="preserve"> </w:t>
      </w:r>
      <w:r w:rsidRPr="000977F7">
        <w:rPr>
          <w:rFonts w:asciiTheme="majorHAnsi" w:hAnsiTheme="majorHAnsi"/>
          <w:sz w:val="20"/>
          <w:szCs w:val="20"/>
        </w:rPr>
        <w:t>інформувати;</w:t>
      </w:r>
    </w:p>
    <w:p w14:paraId="58250EE0" w14:textId="77777777" w:rsidR="0097612F" w:rsidRPr="000977F7" w:rsidRDefault="0097612F" w:rsidP="00FD39A4">
      <w:pPr>
        <w:pStyle w:val="ac"/>
        <w:widowControl w:val="0"/>
        <w:numPr>
          <w:ilvl w:val="1"/>
          <w:numId w:val="169"/>
        </w:numPr>
        <w:tabs>
          <w:tab w:val="left" w:pos="284"/>
          <w:tab w:val="left" w:pos="65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як</w:t>
      </w:r>
      <w:r w:rsidRPr="000977F7">
        <w:rPr>
          <w:rFonts w:asciiTheme="majorHAnsi" w:hAnsiTheme="majorHAnsi"/>
          <w:spacing w:val="-5"/>
          <w:sz w:val="20"/>
          <w:szCs w:val="20"/>
        </w:rPr>
        <w:t xml:space="preserve"> </w:t>
      </w:r>
      <w:r w:rsidRPr="000977F7">
        <w:rPr>
          <w:rFonts w:asciiTheme="majorHAnsi" w:hAnsiTheme="majorHAnsi"/>
          <w:sz w:val="20"/>
          <w:szCs w:val="20"/>
        </w:rPr>
        <w:t>інформувати;</w:t>
      </w:r>
    </w:p>
    <w:p w14:paraId="20B87F7E" w14:textId="77777777" w:rsidR="0097612F" w:rsidRPr="000977F7" w:rsidRDefault="0097612F" w:rsidP="00FD39A4">
      <w:pPr>
        <w:pStyle w:val="ac"/>
        <w:widowControl w:val="0"/>
        <w:numPr>
          <w:ilvl w:val="1"/>
          <w:numId w:val="169"/>
        </w:numPr>
        <w:tabs>
          <w:tab w:val="left" w:pos="284"/>
          <w:tab w:val="left" w:pos="6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хто має інформувати.</w:t>
      </w:r>
    </w:p>
    <w:p w14:paraId="60FFCFA0" w14:textId="77777777" w:rsidR="0097612F" w:rsidRPr="000977F7" w:rsidRDefault="0097612F" w:rsidP="000F35DA">
      <w:pPr>
        <w:pStyle w:val="ac"/>
        <w:widowControl w:val="0"/>
        <w:tabs>
          <w:tab w:val="left" w:pos="284"/>
          <w:tab w:val="left" w:pos="647"/>
        </w:tabs>
        <w:autoSpaceDE w:val="0"/>
        <w:autoSpaceDN w:val="0"/>
        <w:spacing w:after="0" w:line="240" w:lineRule="auto"/>
        <w:ind w:left="170"/>
        <w:contextualSpacing w:val="0"/>
        <w:mirrorIndents/>
        <w:jc w:val="both"/>
        <w:rPr>
          <w:rFonts w:asciiTheme="majorHAnsi" w:hAnsiTheme="majorHAnsi"/>
          <w:sz w:val="20"/>
          <w:szCs w:val="20"/>
        </w:rPr>
      </w:pPr>
      <w:r w:rsidRPr="000977F7">
        <w:rPr>
          <w:rFonts w:asciiTheme="majorHAnsi" w:hAnsiTheme="majorHAnsi"/>
          <w:i/>
          <w:sz w:val="20"/>
          <w:szCs w:val="20"/>
        </w:rPr>
        <w:t>ДСТУ ISO 9001:2015</w:t>
      </w:r>
    </w:p>
    <w:p w14:paraId="50CD1892" w14:textId="77777777" w:rsidR="0097612F" w:rsidRPr="000977F7" w:rsidRDefault="0097612F" w:rsidP="000977F7">
      <w:pPr>
        <w:pStyle w:val="ac"/>
        <w:tabs>
          <w:tab w:val="left" w:pos="284"/>
          <w:tab w:val="left" w:pos="647"/>
        </w:tabs>
        <w:spacing w:after="0" w:line="240" w:lineRule="auto"/>
        <w:ind w:left="170"/>
        <w:mirrorIndents/>
        <w:jc w:val="both"/>
        <w:rPr>
          <w:rFonts w:asciiTheme="majorHAnsi" w:hAnsiTheme="majorHAnsi"/>
          <w:sz w:val="20"/>
          <w:szCs w:val="20"/>
        </w:rPr>
      </w:pPr>
      <w:r w:rsidRPr="000977F7">
        <w:rPr>
          <w:rFonts w:asciiTheme="majorHAnsi" w:hAnsiTheme="majorHAnsi"/>
          <w:b/>
          <w:spacing w:val="-1"/>
          <w:sz w:val="20"/>
          <w:szCs w:val="20"/>
        </w:rPr>
        <w:t>ІНФРАСТРУКТУРА</w:t>
      </w:r>
      <w:r w:rsidRPr="000977F7">
        <w:rPr>
          <w:rFonts w:asciiTheme="majorHAnsi" w:hAnsiTheme="majorHAnsi"/>
          <w:b/>
          <w:spacing w:val="-4"/>
          <w:sz w:val="20"/>
          <w:szCs w:val="20"/>
        </w:rPr>
        <w:t xml:space="preserve"> </w:t>
      </w:r>
      <w:r w:rsidRPr="000977F7">
        <w:rPr>
          <w:rFonts w:asciiTheme="majorHAnsi" w:hAnsiTheme="majorHAnsi"/>
          <w:sz w:val="20"/>
          <w:szCs w:val="20"/>
        </w:rPr>
        <w:t>–</w:t>
      </w:r>
    </w:p>
    <w:p w14:paraId="673485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визначити, забезпечити та підтримувати</w:t>
      </w:r>
      <w:r w:rsidRPr="000977F7">
        <w:rPr>
          <w:rFonts w:asciiTheme="majorHAnsi" w:hAnsiTheme="majorHAnsi"/>
          <w:spacing w:val="1"/>
          <w:sz w:val="20"/>
          <w:szCs w:val="20"/>
        </w:rPr>
        <w:t xml:space="preserve"> </w:t>
      </w:r>
      <w:r w:rsidRPr="000977F7">
        <w:rPr>
          <w:rFonts w:asciiTheme="majorHAnsi" w:hAnsiTheme="majorHAnsi"/>
          <w:sz w:val="20"/>
          <w:szCs w:val="20"/>
        </w:rPr>
        <w:t>інфраструктуру,</w:t>
      </w:r>
      <w:r w:rsidRPr="000977F7">
        <w:rPr>
          <w:rFonts w:asciiTheme="majorHAnsi" w:hAnsiTheme="majorHAnsi"/>
          <w:spacing w:val="1"/>
          <w:sz w:val="20"/>
          <w:szCs w:val="20"/>
        </w:rPr>
        <w:t xml:space="preserve"> </w:t>
      </w:r>
      <w:r w:rsidRPr="000977F7">
        <w:rPr>
          <w:rFonts w:asciiTheme="majorHAnsi" w:hAnsiTheme="majorHAnsi"/>
          <w:sz w:val="20"/>
          <w:szCs w:val="20"/>
        </w:rPr>
        <w:t>необхідну</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функціювання своїх процесів і для відповідності продукції та</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p>
    <w:p w14:paraId="64DF941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2"/>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3"/>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3"/>
          <w:sz w:val="20"/>
          <w:szCs w:val="20"/>
        </w:rPr>
        <w:t xml:space="preserve"> </w:t>
      </w:r>
      <w:r w:rsidRPr="000977F7">
        <w:rPr>
          <w:rFonts w:asciiTheme="majorHAnsi" w:hAnsiTheme="majorHAnsi"/>
          <w:sz w:val="20"/>
          <w:szCs w:val="20"/>
        </w:rPr>
        <w:t>к</w:t>
      </w:r>
      <w:r w:rsidRPr="000977F7">
        <w:rPr>
          <w:rFonts w:asciiTheme="majorHAnsi" w:hAnsiTheme="majorHAnsi"/>
          <w:spacing w:val="-3"/>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Інфраструктура</w:t>
      </w:r>
      <w:r w:rsidRPr="000977F7">
        <w:rPr>
          <w:rFonts w:asciiTheme="majorHAnsi" w:hAnsiTheme="majorHAnsi"/>
          <w:spacing w:val="-2"/>
          <w:sz w:val="20"/>
          <w:szCs w:val="20"/>
        </w:rPr>
        <w:t xml:space="preserve"> </w:t>
      </w:r>
      <w:r w:rsidRPr="000977F7">
        <w:rPr>
          <w:rFonts w:asciiTheme="majorHAnsi" w:hAnsiTheme="majorHAnsi"/>
          <w:sz w:val="20"/>
          <w:szCs w:val="20"/>
        </w:rPr>
        <w:t>може</w:t>
      </w:r>
      <w:r w:rsidRPr="000977F7">
        <w:rPr>
          <w:rFonts w:asciiTheme="majorHAnsi" w:hAnsiTheme="majorHAnsi"/>
          <w:spacing w:val="-2"/>
          <w:sz w:val="20"/>
          <w:szCs w:val="20"/>
        </w:rPr>
        <w:t xml:space="preserve"> </w:t>
      </w:r>
      <w:r w:rsidRPr="000977F7">
        <w:rPr>
          <w:rFonts w:asciiTheme="majorHAnsi" w:hAnsiTheme="majorHAnsi"/>
          <w:sz w:val="20"/>
          <w:szCs w:val="20"/>
        </w:rPr>
        <w:t>охоплювати</w:t>
      </w:r>
    </w:p>
    <w:p w14:paraId="7041F6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3"/>
          <w:sz w:val="20"/>
          <w:szCs w:val="20"/>
        </w:rPr>
        <w:t xml:space="preserve"> </w:t>
      </w:r>
      <w:r w:rsidRPr="000977F7">
        <w:rPr>
          <w:rFonts w:asciiTheme="majorHAnsi" w:hAnsiTheme="majorHAnsi"/>
          <w:sz w:val="20"/>
          <w:szCs w:val="20"/>
        </w:rPr>
        <w:t>будівлі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пов’язані</w:t>
      </w:r>
      <w:r w:rsidRPr="000977F7">
        <w:rPr>
          <w:rFonts w:asciiTheme="majorHAnsi" w:hAnsiTheme="majorHAnsi"/>
          <w:spacing w:val="-4"/>
          <w:sz w:val="20"/>
          <w:szCs w:val="20"/>
        </w:rPr>
        <w:t xml:space="preserve"> </w:t>
      </w:r>
      <w:r w:rsidRPr="000977F7">
        <w:rPr>
          <w:rFonts w:asciiTheme="majorHAnsi" w:hAnsiTheme="majorHAnsi"/>
          <w:sz w:val="20"/>
          <w:szCs w:val="20"/>
        </w:rPr>
        <w:t>з</w:t>
      </w:r>
      <w:r w:rsidRPr="000977F7">
        <w:rPr>
          <w:rFonts w:asciiTheme="majorHAnsi" w:hAnsiTheme="majorHAnsi"/>
          <w:spacing w:val="-2"/>
          <w:sz w:val="20"/>
          <w:szCs w:val="20"/>
        </w:rPr>
        <w:t xml:space="preserve"> </w:t>
      </w:r>
      <w:r w:rsidRPr="000977F7">
        <w:rPr>
          <w:rFonts w:asciiTheme="majorHAnsi" w:hAnsiTheme="majorHAnsi"/>
          <w:sz w:val="20"/>
          <w:szCs w:val="20"/>
        </w:rPr>
        <w:t>ними</w:t>
      </w:r>
      <w:r w:rsidRPr="000977F7">
        <w:rPr>
          <w:rFonts w:asciiTheme="majorHAnsi" w:hAnsiTheme="majorHAnsi"/>
          <w:spacing w:val="-4"/>
          <w:sz w:val="20"/>
          <w:szCs w:val="20"/>
        </w:rPr>
        <w:t xml:space="preserve"> </w:t>
      </w:r>
      <w:r w:rsidRPr="000977F7">
        <w:rPr>
          <w:rFonts w:asciiTheme="majorHAnsi" w:hAnsiTheme="majorHAnsi"/>
          <w:sz w:val="20"/>
          <w:szCs w:val="20"/>
        </w:rPr>
        <w:t>інженерні</w:t>
      </w:r>
      <w:r w:rsidRPr="000977F7">
        <w:rPr>
          <w:rFonts w:asciiTheme="majorHAnsi" w:hAnsiTheme="majorHAnsi"/>
          <w:spacing w:val="-5"/>
          <w:sz w:val="20"/>
          <w:szCs w:val="20"/>
        </w:rPr>
        <w:t xml:space="preserve"> </w:t>
      </w:r>
      <w:r w:rsidRPr="000977F7">
        <w:rPr>
          <w:rFonts w:asciiTheme="majorHAnsi" w:hAnsiTheme="majorHAnsi"/>
          <w:sz w:val="20"/>
          <w:szCs w:val="20"/>
        </w:rPr>
        <w:t>мережі;</w:t>
      </w:r>
    </w:p>
    <w:p w14:paraId="2D8A131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w:t>
      </w:r>
      <w:r w:rsidRPr="000977F7">
        <w:rPr>
          <w:rFonts w:asciiTheme="majorHAnsi" w:hAnsiTheme="majorHAnsi"/>
          <w:spacing w:val="26"/>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26"/>
          <w:sz w:val="20"/>
          <w:szCs w:val="20"/>
        </w:rPr>
        <w:t xml:space="preserve"> </w:t>
      </w:r>
      <w:r w:rsidRPr="000977F7">
        <w:rPr>
          <w:rFonts w:asciiTheme="majorHAnsi" w:hAnsiTheme="majorHAnsi"/>
          <w:sz w:val="20"/>
          <w:szCs w:val="20"/>
        </w:rPr>
        <w:t>зокрема</w:t>
      </w:r>
      <w:r w:rsidRPr="000977F7">
        <w:rPr>
          <w:rFonts w:asciiTheme="majorHAnsi" w:hAnsiTheme="majorHAnsi"/>
          <w:spacing w:val="27"/>
          <w:sz w:val="20"/>
          <w:szCs w:val="20"/>
        </w:rPr>
        <w:t xml:space="preserve"> </w:t>
      </w:r>
      <w:r w:rsidRPr="000977F7">
        <w:rPr>
          <w:rFonts w:asciiTheme="majorHAnsi" w:hAnsiTheme="majorHAnsi"/>
          <w:sz w:val="20"/>
          <w:szCs w:val="20"/>
        </w:rPr>
        <w:t>технічні</w:t>
      </w:r>
      <w:r w:rsidRPr="000977F7">
        <w:rPr>
          <w:rFonts w:asciiTheme="majorHAnsi" w:hAnsiTheme="majorHAnsi"/>
          <w:spacing w:val="28"/>
          <w:sz w:val="20"/>
          <w:szCs w:val="20"/>
        </w:rPr>
        <w:t xml:space="preserve"> </w:t>
      </w:r>
      <w:r w:rsidRPr="000977F7">
        <w:rPr>
          <w:rFonts w:asciiTheme="majorHAnsi" w:hAnsiTheme="majorHAnsi"/>
          <w:sz w:val="20"/>
          <w:szCs w:val="20"/>
        </w:rPr>
        <w:t>та</w:t>
      </w:r>
      <w:r w:rsidRPr="000977F7">
        <w:rPr>
          <w:rFonts w:asciiTheme="majorHAnsi" w:hAnsiTheme="majorHAnsi"/>
          <w:spacing w:val="26"/>
          <w:sz w:val="20"/>
          <w:szCs w:val="20"/>
        </w:rPr>
        <w:t xml:space="preserve"> </w:t>
      </w:r>
      <w:r w:rsidRPr="000977F7">
        <w:rPr>
          <w:rFonts w:asciiTheme="majorHAnsi" w:hAnsiTheme="majorHAnsi"/>
          <w:sz w:val="20"/>
          <w:szCs w:val="20"/>
        </w:rPr>
        <w:t>програмні</w:t>
      </w:r>
      <w:r w:rsidRPr="000977F7">
        <w:rPr>
          <w:rFonts w:asciiTheme="majorHAnsi" w:hAnsiTheme="majorHAnsi"/>
          <w:spacing w:val="26"/>
          <w:sz w:val="20"/>
          <w:szCs w:val="20"/>
        </w:rPr>
        <w:t xml:space="preserve"> </w:t>
      </w:r>
      <w:r w:rsidRPr="000977F7">
        <w:rPr>
          <w:rFonts w:asciiTheme="majorHAnsi" w:hAnsiTheme="majorHAnsi"/>
          <w:sz w:val="20"/>
          <w:szCs w:val="20"/>
        </w:rPr>
        <w:t>засоби;</w:t>
      </w:r>
    </w:p>
    <w:p w14:paraId="250A36D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w:t>
      </w:r>
      <w:r w:rsidRPr="000977F7">
        <w:rPr>
          <w:rFonts w:asciiTheme="majorHAnsi" w:hAnsiTheme="majorHAnsi"/>
          <w:spacing w:val="-3"/>
          <w:sz w:val="20"/>
          <w:szCs w:val="20"/>
        </w:rPr>
        <w:t xml:space="preserve"> </w:t>
      </w:r>
      <w:r w:rsidRPr="000977F7">
        <w:rPr>
          <w:rFonts w:asciiTheme="majorHAnsi" w:hAnsiTheme="majorHAnsi"/>
          <w:sz w:val="20"/>
          <w:szCs w:val="20"/>
        </w:rPr>
        <w:t>транспортні</w:t>
      </w:r>
      <w:r w:rsidRPr="000977F7">
        <w:rPr>
          <w:rFonts w:asciiTheme="majorHAnsi" w:hAnsiTheme="majorHAnsi"/>
          <w:spacing w:val="-4"/>
          <w:sz w:val="20"/>
          <w:szCs w:val="20"/>
        </w:rPr>
        <w:t xml:space="preserve"> </w:t>
      </w:r>
      <w:r w:rsidRPr="000977F7">
        <w:rPr>
          <w:rFonts w:asciiTheme="majorHAnsi" w:hAnsiTheme="majorHAnsi"/>
          <w:sz w:val="20"/>
          <w:szCs w:val="20"/>
        </w:rPr>
        <w:t>засоби;</w:t>
      </w:r>
    </w:p>
    <w:p w14:paraId="13E68A69" w14:textId="77777777" w:rsidR="0097612F" w:rsidRPr="000977F7" w:rsidRDefault="0097612F" w:rsidP="00FD39A4">
      <w:pPr>
        <w:pStyle w:val="ac"/>
        <w:widowControl w:val="0"/>
        <w:numPr>
          <w:ilvl w:val="0"/>
          <w:numId w:val="168"/>
        </w:numPr>
        <w:tabs>
          <w:tab w:val="left" w:pos="284"/>
          <w:tab w:val="left" w:pos="53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інформаційні</w:t>
      </w:r>
      <w:r w:rsidRPr="000977F7">
        <w:rPr>
          <w:rFonts w:asciiTheme="majorHAnsi" w:hAnsiTheme="majorHAnsi"/>
          <w:spacing w:val="-6"/>
          <w:sz w:val="20"/>
          <w:szCs w:val="20"/>
        </w:rPr>
        <w:t xml:space="preserve"> </w:t>
      </w:r>
      <w:r w:rsidRPr="000977F7">
        <w:rPr>
          <w:rFonts w:asciiTheme="majorHAnsi" w:hAnsiTheme="majorHAnsi"/>
          <w:sz w:val="20"/>
          <w:szCs w:val="20"/>
        </w:rPr>
        <w:t>та</w:t>
      </w:r>
      <w:r w:rsidRPr="000977F7">
        <w:rPr>
          <w:rFonts w:asciiTheme="majorHAnsi" w:hAnsiTheme="majorHAnsi"/>
          <w:spacing w:val="-4"/>
          <w:sz w:val="20"/>
          <w:szCs w:val="20"/>
        </w:rPr>
        <w:t xml:space="preserve"> </w:t>
      </w:r>
      <w:r w:rsidRPr="000977F7">
        <w:rPr>
          <w:rFonts w:asciiTheme="majorHAnsi" w:hAnsiTheme="majorHAnsi"/>
          <w:sz w:val="20"/>
          <w:szCs w:val="20"/>
        </w:rPr>
        <w:t>комунікаційні</w:t>
      </w:r>
      <w:r w:rsidRPr="000977F7">
        <w:rPr>
          <w:rFonts w:asciiTheme="majorHAnsi" w:hAnsiTheme="majorHAnsi"/>
          <w:spacing w:val="-6"/>
          <w:sz w:val="20"/>
          <w:szCs w:val="20"/>
        </w:rPr>
        <w:t xml:space="preserve"> </w:t>
      </w:r>
      <w:r w:rsidRPr="000977F7">
        <w:rPr>
          <w:rFonts w:asciiTheme="majorHAnsi" w:hAnsiTheme="majorHAnsi"/>
          <w:sz w:val="20"/>
          <w:szCs w:val="20"/>
        </w:rPr>
        <w:t>технології.</w:t>
      </w:r>
    </w:p>
    <w:p w14:paraId="0E58896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9001:2015</w:t>
      </w:r>
    </w:p>
    <w:p w14:paraId="759B20A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ІНШІ</w:t>
      </w:r>
      <w:r w:rsidRPr="000977F7">
        <w:rPr>
          <w:color w:val="auto"/>
          <w:spacing w:val="-4"/>
          <w:sz w:val="20"/>
          <w:szCs w:val="20"/>
        </w:rPr>
        <w:t xml:space="preserve"> </w:t>
      </w:r>
      <w:r w:rsidRPr="000977F7">
        <w:rPr>
          <w:color w:val="auto"/>
          <w:sz w:val="20"/>
          <w:szCs w:val="20"/>
        </w:rPr>
        <w:t>СТАНДАРТИ</w:t>
      </w:r>
      <w:r w:rsidRPr="000977F7">
        <w:rPr>
          <w:color w:val="auto"/>
          <w:spacing w:val="-1"/>
          <w:sz w:val="20"/>
          <w:szCs w:val="20"/>
        </w:rPr>
        <w:t xml:space="preserve"> </w:t>
      </w:r>
      <w:r w:rsidRPr="000977F7">
        <w:rPr>
          <w:color w:val="auto"/>
          <w:sz w:val="20"/>
          <w:szCs w:val="20"/>
        </w:rPr>
        <w:t>–</w:t>
      </w:r>
    </w:p>
    <w:p w14:paraId="5B40C5B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Стандарти можуть також прийматися на інших рівнях, наприклад, галузеві стандарти і стандарти фірм.</w:t>
      </w:r>
      <w:r w:rsidRPr="000977F7">
        <w:rPr>
          <w:rFonts w:asciiTheme="majorHAnsi" w:hAnsiTheme="majorHAnsi"/>
          <w:spacing w:val="1"/>
          <w:sz w:val="20"/>
          <w:szCs w:val="20"/>
        </w:rPr>
        <w:t xml:space="preserve"> </w:t>
      </w:r>
      <w:r w:rsidRPr="000977F7">
        <w:rPr>
          <w:rFonts w:asciiTheme="majorHAnsi" w:hAnsiTheme="majorHAnsi"/>
          <w:sz w:val="20"/>
          <w:szCs w:val="20"/>
        </w:rPr>
        <w:t>Дія</w:t>
      </w:r>
      <w:r w:rsidRPr="000977F7">
        <w:rPr>
          <w:rFonts w:asciiTheme="majorHAnsi" w:hAnsiTheme="majorHAnsi"/>
          <w:spacing w:val="1"/>
          <w:sz w:val="20"/>
          <w:szCs w:val="20"/>
        </w:rPr>
        <w:t xml:space="preserve"> </w:t>
      </w:r>
      <w:r w:rsidRPr="000977F7">
        <w:rPr>
          <w:rFonts w:asciiTheme="majorHAnsi" w:hAnsiTheme="majorHAnsi"/>
          <w:sz w:val="20"/>
          <w:szCs w:val="20"/>
        </w:rPr>
        <w:t>таких</w:t>
      </w:r>
      <w:r w:rsidRPr="000977F7">
        <w:rPr>
          <w:rFonts w:asciiTheme="majorHAnsi" w:hAnsiTheme="majorHAnsi"/>
          <w:spacing w:val="1"/>
          <w:sz w:val="20"/>
          <w:szCs w:val="20"/>
        </w:rPr>
        <w:t xml:space="preserve"> </w:t>
      </w:r>
      <w:r w:rsidRPr="000977F7">
        <w:rPr>
          <w:rFonts w:asciiTheme="majorHAnsi" w:hAnsiTheme="majorHAnsi"/>
          <w:sz w:val="20"/>
          <w:szCs w:val="20"/>
        </w:rPr>
        <w:t>стандартів</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розповсюджуватися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декілька</w:t>
      </w:r>
      <w:r w:rsidRPr="000977F7">
        <w:rPr>
          <w:rFonts w:asciiTheme="majorHAnsi" w:hAnsiTheme="majorHAnsi"/>
          <w:spacing w:val="-2"/>
          <w:sz w:val="20"/>
          <w:szCs w:val="20"/>
        </w:rPr>
        <w:t xml:space="preserve"> </w:t>
      </w:r>
      <w:r w:rsidRPr="000977F7">
        <w:rPr>
          <w:rFonts w:asciiTheme="majorHAnsi" w:hAnsiTheme="majorHAnsi"/>
          <w:sz w:val="20"/>
          <w:szCs w:val="20"/>
        </w:rPr>
        <w:t>країн</w:t>
      </w:r>
    </w:p>
    <w:p w14:paraId="5EEED57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ІРЖА</w:t>
      </w:r>
      <w:r w:rsidRPr="000977F7">
        <w:rPr>
          <w:color w:val="auto"/>
          <w:spacing w:val="-4"/>
          <w:sz w:val="20"/>
          <w:szCs w:val="20"/>
        </w:rPr>
        <w:t xml:space="preserve"> </w:t>
      </w:r>
      <w:r w:rsidRPr="000977F7">
        <w:rPr>
          <w:color w:val="auto"/>
          <w:sz w:val="20"/>
          <w:szCs w:val="20"/>
        </w:rPr>
        <w:t>–</w:t>
      </w:r>
    </w:p>
    <w:p w14:paraId="0B807FC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RUST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BB3336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Продукти</w:t>
      </w:r>
      <w:r w:rsidRPr="000977F7">
        <w:rPr>
          <w:rFonts w:asciiTheme="majorHAnsi" w:hAnsiTheme="majorHAnsi"/>
          <w:spacing w:val="8"/>
          <w:sz w:val="20"/>
          <w:szCs w:val="20"/>
        </w:rPr>
        <w:t xml:space="preserve"> </w:t>
      </w:r>
      <w:r w:rsidRPr="000977F7">
        <w:rPr>
          <w:rFonts w:asciiTheme="majorHAnsi" w:hAnsiTheme="majorHAnsi"/>
          <w:sz w:val="20"/>
          <w:szCs w:val="20"/>
        </w:rPr>
        <w:t>корозії</w:t>
      </w:r>
      <w:r w:rsidRPr="000977F7">
        <w:rPr>
          <w:rFonts w:asciiTheme="majorHAnsi" w:hAnsiTheme="majorHAnsi"/>
          <w:spacing w:val="7"/>
          <w:sz w:val="20"/>
          <w:szCs w:val="20"/>
        </w:rPr>
        <w:t xml:space="preserve"> </w:t>
      </w:r>
      <w:r w:rsidRPr="000977F7">
        <w:rPr>
          <w:rFonts w:asciiTheme="majorHAnsi" w:hAnsiTheme="majorHAnsi"/>
          <w:sz w:val="20"/>
          <w:szCs w:val="20"/>
        </w:rPr>
        <w:t>заліза</w:t>
      </w:r>
      <w:r w:rsidRPr="000977F7">
        <w:rPr>
          <w:rFonts w:asciiTheme="majorHAnsi" w:hAnsiTheme="majorHAnsi"/>
          <w:spacing w:val="11"/>
          <w:sz w:val="20"/>
          <w:szCs w:val="20"/>
        </w:rPr>
        <w:t xml:space="preserve"> </w:t>
      </w:r>
      <w:r w:rsidRPr="000977F7">
        <w:rPr>
          <w:rFonts w:asciiTheme="majorHAnsi" w:hAnsiTheme="majorHAnsi"/>
          <w:sz w:val="20"/>
          <w:szCs w:val="20"/>
        </w:rPr>
        <w:t>і</w:t>
      </w:r>
      <w:r w:rsidRPr="000977F7">
        <w:rPr>
          <w:rFonts w:asciiTheme="majorHAnsi" w:hAnsiTheme="majorHAnsi"/>
          <w:spacing w:val="10"/>
          <w:sz w:val="20"/>
          <w:szCs w:val="20"/>
        </w:rPr>
        <w:t xml:space="preserve"> </w:t>
      </w:r>
      <w:r w:rsidRPr="000977F7">
        <w:rPr>
          <w:rFonts w:asciiTheme="majorHAnsi" w:hAnsiTheme="majorHAnsi"/>
          <w:sz w:val="20"/>
          <w:szCs w:val="20"/>
        </w:rPr>
        <w:t>його</w:t>
      </w:r>
      <w:r w:rsidRPr="000977F7">
        <w:rPr>
          <w:rFonts w:asciiTheme="majorHAnsi" w:hAnsiTheme="majorHAnsi"/>
          <w:spacing w:val="8"/>
          <w:sz w:val="20"/>
          <w:szCs w:val="20"/>
        </w:rPr>
        <w:t xml:space="preserve"> </w:t>
      </w:r>
      <w:r w:rsidRPr="000977F7">
        <w:rPr>
          <w:rFonts w:asciiTheme="majorHAnsi" w:hAnsiTheme="majorHAnsi"/>
          <w:sz w:val="20"/>
          <w:szCs w:val="20"/>
        </w:rPr>
        <w:t>сплавів,</w:t>
      </w:r>
      <w:r w:rsidRPr="000977F7">
        <w:rPr>
          <w:rFonts w:asciiTheme="majorHAnsi" w:hAnsiTheme="majorHAnsi"/>
          <w:spacing w:val="11"/>
          <w:sz w:val="20"/>
          <w:szCs w:val="20"/>
        </w:rPr>
        <w:t xml:space="preserve"> </w:t>
      </w:r>
      <w:r w:rsidRPr="000977F7">
        <w:rPr>
          <w:rFonts w:asciiTheme="majorHAnsi" w:hAnsiTheme="majorHAnsi"/>
          <w:sz w:val="20"/>
          <w:szCs w:val="20"/>
        </w:rPr>
        <w:t>що</w:t>
      </w:r>
      <w:r w:rsidRPr="000977F7">
        <w:rPr>
          <w:rFonts w:asciiTheme="majorHAnsi" w:hAnsiTheme="majorHAnsi"/>
          <w:spacing w:val="8"/>
          <w:sz w:val="20"/>
          <w:szCs w:val="20"/>
        </w:rPr>
        <w:t xml:space="preserve"> </w:t>
      </w:r>
      <w:r w:rsidRPr="000977F7">
        <w:rPr>
          <w:rFonts w:asciiTheme="majorHAnsi" w:hAnsiTheme="majorHAnsi"/>
          <w:sz w:val="20"/>
          <w:szCs w:val="20"/>
        </w:rPr>
        <w:t>складаються</w:t>
      </w:r>
      <w:r w:rsidRPr="000977F7">
        <w:rPr>
          <w:rFonts w:asciiTheme="majorHAnsi" w:hAnsiTheme="majorHAnsi"/>
          <w:spacing w:val="-2"/>
          <w:sz w:val="20"/>
          <w:szCs w:val="20"/>
        </w:rPr>
        <w:t xml:space="preserve"> </w:t>
      </w:r>
      <w:r w:rsidRPr="000977F7">
        <w:rPr>
          <w:rFonts w:asciiTheme="majorHAnsi" w:hAnsiTheme="majorHAnsi"/>
          <w:sz w:val="20"/>
          <w:szCs w:val="20"/>
        </w:rPr>
        <w:t>переважно</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гідратованих</w:t>
      </w:r>
      <w:r w:rsidRPr="000977F7">
        <w:rPr>
          <w:rFonts w:asciiTheme="majorHAnsi" w:hAnsiTheme="majorHAnsi"/>
          <w:spacing w:val="1"/>
          <w:sz w:val="20"/>
          <w:szCs w:val="20"/>
        </w:rPr>
        <w:t xml:space="preserve"> </w:t>
      </w:r>
      <w:r w:rsidRPr="000977F7">
        <w:rPr>
          <w:rFonts w:asciiTheme="majorHAnsi" w:hAnsiTheme="majorHAnsi"/>
          <w:sz w:val="20"/>
          <w:szCs w:val="20"/>
        </w:rPr>
        <w:t>оксидів</w:t>
      </w:r>
    </w:p>
    <w:p w14:paraId="04C72FFD"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3830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98</w:t>
      </w:r>
    </w:p>
    <w:p w14:paraId="6888BA4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ІСТИННЕ</w:t>
      </w:r>
      <w:r w:rsidRPr="000977F7">
        <w:rPr>
          <w:color w:val="auto"/>
          <w:spacing w:val="-5"/>
          <w:sz w:val="20"/>
          <w:szCs w:val="20"/>
        </w:rPr>
        <w:t xml:space="preserve"> </w:t>
      </w:r>
      <w:r w:rsidRPr="000977F7">
        <w:rPr>
          <w:color w:val="auto"/>
          <w:sz w:val="20"/>
          <w:szCs w:val="20"/>
        </w:rPr>
        <w:t>ЗНАЧЕННЯ</w:t>
      </w:r>
      <w:r w:rsidRPr="000977F7">
        <w:rPr>
          <w:color w:val="auto"/>
          <w:spacing w:val="-1"/>
          <w:sz w:val="20"/>
          <w:szCs w:val="20"/>
        </w:rPr>
        <w:t xml:space="preserve"> </w:t>
      </w:r>
      <w:r w:rsidRPr="000977F7">
        <w:rPr>
          <w:color w:val="auto"/>
          <w:sz w:val="20"/>
          <w:szCs w:val="20"/>
        </w:rPr>
        <w:t>–</w:t>
      </w:r>
    </w:p>
    <w:p w14:paraId="605F069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TRUE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VALUE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
          <w:sz w:val="20"/>
          <w:szCs w:val="20"/>
          <w:lang w:val="en-US"/>
        </w:rPr>
        <w:t xml:space="preserve"> </w:t>
      </w:r>
      <w:r w:rsidRPr="000977F7">
        <w:rPr>
          <w:rFonts w:asciiTheme="majorHAnsi" w:hAnsiTheme="majorHAnsi"/>
          <w:sz w:val="20"/>
          <w:szCs w:val="20"/>
        </w:rPr>
        <w:t>А</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QUANTITY –</w:t>
      </w:r>
    </w:p>
    <w:p w14:paraId="388BBB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w:t>
      </w:r>
      <w:r w:rsidRPr="000977F7">
        <w:rPr>
          <w:rFonts w:asciiTheme="majorHAnsi" w:hAnsiTheme="majorHAnsi"/>
          <w:spacing w:val="14"/>
          <w:sz w:val="20"/>
          <w:szCs w:val="20"/>
        </w:rPr>
        <w:t xml:space="preserve"> </w:t>
      </w:r>
      <w:r w:rsidRPr="000977F7">
        <w:rPr>
          <w:rFonts w:asciiTheme="majorHAnsi" w:hAnsiTheme="majorHAnsi"/>
          <w:sz w:val="20"/>
          <w:szCs w:val="20"/>
        </w:rPr>
        <w:t>фізичної</w:t>
      </w:r>
      <w:r w:rsidRPr="000977F7">
        <w:rPr>
          <w:rFonts w:asciiTheme="majorHAnsi" w:hAnsiTheme="majorHAnsi"/>
          <w:spacing w:val="16"/>
          <w:sz w:val="20"/>
          <w:szCs w:val="20"/>
        </w:rPr>
        <w:t xml:space="preserve"> </w:t>
      </w:r>
      <w:r w:rsidRPr="000977F7">
        <w:rPr>
          <w:rFonts w:asciiTheme="majorHAnsi" w:hAnsiTheme="majorHAnsi"/>
          <w:sz w:val="20"/>
          <w:szCs w:val="20"/>
        </w:rPr>
        <w:t>величини,</w:t>
      </w:r>
      <w:r w:rsidRPr="000977F7">
        <w:rPr>
          <w:rFonts w:asciiTheme="majorHAnsi" w:hAnsiTheme="majorHAnsi"/>
          <w:spacing w:val="15"/>
          <w:sz w:val="20"/>
          <w:szCs w:val="20"/>
        </w:rPr>
        <w:t xml:space="preserve"> </w:t>
      </w:r>
      <w:r w:rsidRPr="000977F7">
        <w:rPr>
          <w:rFonts w:asciiTheme="majorHAnsi" w:hAnsiTheme="majorHAnsi"/>
          <w:sz w:val="20"/>
          <w:szCs w:val="20"/>
        </w:rPr>
        <w:t>яке</w:t>
      </w:r>
      <w:r w:rsidRPr="000977F7">
        <w:rPr>
          <w:rFonts w:asciiTheme="majorHAnsi" w:hAnsiTheme="majorHAnsi"/>
          <w:spacing w:val="16"/>
          <w:sz w:val="20"/>
          <w:szCs w:val="20"/>
        </w:rPr>
        <w:t xml:space="preserve"> </w:t>
      </w:r>
      <w:r w:rsidRPr="000977F7">
        <w:rPr>
          <w:rFonts w:asciiTheme="majorHAnsi" w:hAnsiTheme="majorHAnsi"/>
          <w:sz w:val="20"/>
          <w:szCs w:val="20"/>
        </w:rPr>
        <w:t>ідеально</w:t>
      </w:r>
      <w:r w:rsidRPr="000977F7">
        <w:rPr>
          <w:rFonts w:asciiTheme="majorHAnsi" w:hAnsiTheme="majorHAnsi"/>
          <w:spacing w:val="17"/>
          <w:sz w:val="20"/>
          <w:szCs w:val="20"/>
        </w:rPr>
        <w:t xml:space="preserve"> </w:t>
      </w:r>
      <w:r w:rsidRPr="000977F7">
        <w:rPr>
          <w:rFonts w:asciiTheme="majorHAnsi" w:hAnsiTheme="majorHAnsi"/>
          <w:sz w:val="20"/>
          <w:szCs w:val="20"/>
        </w:rPr>
        <w:t>відображало б</w:t>
      </w:r>
      <w:r w:rsidRPr="000977F7">
        <w:rPr>
          <w:rFonts w:asciiTheme="majorHAnsi" w:hAnsiTheme="majorHAnsi"/>
          <w:spacing w:val="-1"/>
          <w:sz w:val="20"/>
          <w:szCs w:val="20"/>
        </w:rPr>
        <w:t xml:space="preserve"> </w:t>
      </w:r>
      <w:r w:rsidRPr="000977F7">
        <w:rPr>
          <w:rFonts w:asciiTheme="majorHAnsi" w:hAnsiTheme="majorHAnsi"/>
          <w:sz w:val="20"/>
          <w:szCs w:val="20"/>
        </w:rPr>
        <w:t>певну</w:t>
      </w:r>
      <w:r w:rsidRPr="000977F7">
        <w:rPr>
          <w:rFonts w:asciiTheme="majorHAnsi" w:hAnsiTheme="majorHAnsi"/>
          <w:spacing w:val="-1"/>
          <w:sz w:val="20"/>
          <w:szCs w:val="20"/>
        </w:rPr>
        <w:t xml:space="preserve"> </w:t>
      </w:r>
      <w:r w:rsidRPr="000977F7">
        <w:rPr>
          <w:rFonts w:asciiTheme="majorHAnsi" w:hAnsiTheme="majorHAnsi"/>
          <w:sz w:val="20"/>
          <w:szCs w:val="20"/>
        </w:rPr>
        <w:t>властивість</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6398604C" w14:textId="77777777" w:rsidR="0097612F" w:rsidRPr="000F35DA"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67B3313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ІСТИНИЙ</w:t>
      </w:r>
      <w:r w:rsidRPr="000977F7">
        <w:rPr>
          <w:color w:val="auto"/>
          <w:spacing w:val="-5"/>
          <w:sz w:val="20"/>
          <w:szCs w:val="20"/>
        </w:rPr>
        <w:t xml:space="preserve"> </w:t>
      </w:r>
      <w:r w:rsidRPr="000977F7">
        <w:rPr>
          <w:color w:val="auto"/>
          <w:sz w:val="20"/>
          <w:szCs w:val="20"/>
        </w:rPr>
        <w:t>ПОКАЗНИК</w:t>
      </w:r>
      <w:r w:rsidRPr="000977F7">
        <w:rPr>
          <w:color w:val="auto"/>
          <w:spacing w:val="-6"/>
          <w:sz w:val="20"/>
          <w:szCs w:val="20"/>
        </w:rPr>
        <w:t xml:space="preserve"> </w:t>
      </w:r>
      <w:r w:rsidRPr="000977F7">
        <w:rPr>
          <w:color w:val="auto"/>
          <w:sz w:val="20"/>
          <w:szCs w:val="20"/>
        </w:rPr>
        <w:t>НАДІЙНОСТІ</w:t>
      </w:r>
      <w:r w:rsidRPr="000977F7">
        <w:rPr>
          <w:color w:val="auto"/>
          <w:spacing w:val="-2"/>
          <w:sz w:val="20"/>
          <w:szCs w:val="20"/>
        </w:rPr>
        <w:t xml:space="preserve"> </w:t>
      </w:r>
      <w:r w:rsidRPr="000977F7">
        <w:rPr>
          <w:color w:val="auto"/>
          <w:sz w:val="20"/>
          <w:szCs w:val="20"/>
        </w:rPr>
        <w:t>–</w:t>
      </w:r>
    </w:p>
    <w:p w14:paraId="6074744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TRUE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DEPENDABILITY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MEASURE –</w:t>
      </w:r>
    </w:p>
    <w:p w14:paraId="6E9EC64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Ідеальне значення показника надійності, яке одержано</w:t>
      </w:r>
      <w:r w:rsidRPr="000977F7">
        <w:rPr>
          <w:rFonts w:asciiTheme="majorHAnsi" w:hAnsiTheme="majorHAnsi"/>
          <w:spacing w:val="-47"/>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відсутністю</w:t>
      </w:r>
      <w:r w:rsidRPr="000977F7">
        <w:rPr>
          <w:rFonts w:asciiTheme="majorHAnsi" w:hAnsiTheme="majorHAnsi"/>
          <w:spacing w:val="1"/>
          <w:sz w:val="20"/>
          <w:szCs w:val="20"/>
        </w:rPr>
        <w:t xml:space="preserve"> </w:t>
      </w:r>
      <w:r w:rsidRPr="000977F7">
        <w:rPr>
          <w:rFonts w:asciiTheme="majorHAnsi" w:hAnsiTheme="majorHAnsi"/>
          <w:sz w:val="20"/>
          <w:szCs w:val="20"/>
        </w:rPr>
        <w:t>похибок</w:t>
      </w:r>
      <w:r w:rsidRPr="000977F7">
        <w:rPr>
          <w:rFonts w:asciiTheme="majorHAnsi" w:hAnsiTheme="majorHAnsi"/>
          <w:spacing w:val="1"/>
          <w:sz w:val="20"/>
          <w:szCs w:val="20"/>
        </w:rPr>
        <w:t xml:space="preserve"> </w:t>
      </w:r>
      <w:r w:rsidRPr="000977F7">
        <w:rPr>
          <w:rFonts w:asciiTheme="majorHAnsi" w:hAnsiTheme="majorHAnsi"/>
          <w:sz w:val="20"/>
          <w:szCs w:val="20"/>
        </w:rPr>
        <w:t>вимірювань</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нескінченої</w:t>
      </w:r>
      <w:r w:rsidRPr="000977F7">
        <w:rPr>
          <w:rFonts w:asciiTheme="majorHAnsi" w:hAnsiTheme="majorHAnsi"/>
          <w:spacing w:val="1"/>
          <w:sz w:val="20"/>
          <w:szCs w:val="20"/>
        </w:rPr>
        <w:t xml:space="preserve"> </w:t>
      </w:r>
      <w:r w:rsidRPr="000977F7">
        <w:rPr>
          <w:rFonts w:asciiTheme="majorHAnsi" w:hAnsiTheme="majorHAnsi"/>
          <w:sz w:val="20"/>
          <w:szCs w:val="20"/>
        </w:rPr>
        <w:t>сукупності</w:t>
      </w:r>
      <w:r w:rsidRPr="000977F7">
        <w:rPr>
          <w:rFonts w:asciiTheme="majorHAnsi" w:hAnsiTheme="majorHAnsi"/>
          <w:spacing w:val="-2"/>
          <w:sz w:val="20"/>
          <w:szCs w:val="20"/>
        </w:rPr>
        <w:t xml:space="preserve"> </w:t>
      </w:r>
      <w:r w:rsidRPr="000977F7">
        <w:rPr>
          <w:rFonts w:asciiTheme="majorHAnsi" w:hAnsiTheme="majorHAnsi"/>
          <w:sz w:val="20"/>
          <w:szCs w:val="20"/>
        </w:rPr>
        <w:t>об’єктів</w:t>
      </w:r>
      <w:r w:rsidRPr="000977F7">
        <w:rPr>
          <w:rFonts w:asciiTheme="majorHAnsi" w:hAnsiTheme="majorHAnsi"/>
          <w:spacing w:val="-1"/>
          <w:sz w:val="20"/>
          <w:szCs w:val="20"/>
        </w:rPr>
        <w:t xml:space="preserve"> </w:t>
      </w:r>
      <w:r w:rsidRPr="000977F7">
        <w:rPr>
          <w:rFonts w:asciiTheme="majorHAnsi" w:hAnsiTheme="majorHAnsi"/>
          <w:sz w:val="20"/>
          <w:szCs w:val="20"/>
        </w:rPr>
        <w:t>спостереження</w:t>
      </w:r>
    </w:p>
    <w:p w14:paraId="5C2A5C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6026B7FF" w14:textId="77777777" w:rsidR="0097612F" w:rsidRPr="000977F7" w:rsidRDefault="0097612F" w:rsidP="00FD39A4">
      <w:pPr>
        <w:pStyle w:val="ac"/>
        <w:widowControl w:val="0"/>
        <w:numPr>
          <w:ilvl w:val="0"/>
          <w:numId w:val="167"/>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Поняття істинних значень витікає з припущення</w:t>
      </w:r>
      <w:r w:rsidRPr="000977F7">
        <w:rPr>
          <w:rFonts w:asciiTheme="majorHAnsi" w:hAnsiTheme="majorHAnsi"/>
          <w:spacing w:val="1"/>
          <w:sz w:val="20"/>
          <w:szCs w:val="20"/>
        </w:rPr>
        <w:t xml:space="preserve"> </w:t>
      </w:r>
      <w:r w:rsidRPr="000977F7">
        <w:rPr>
          <w:rFonts w:asciiTheme="majorHAnsi" w:hAnsiTheme="majorHAnsi"/>
          <w:sz w:val="20"/>
          <w:szCs w:val="20"/>
        </w:rPr>
        <w:t>про можливість опису реалій за допомогою відповідного</w:t>
      </w:r>
      <w:r w:rsidRPr="000977F7">
        <w:rPr>
          <w:rFonts w:asciiTheme="majorHAnsi" w:hAnsiTheme="majorHAnsi"/>
          <w:spacing w:val="1"/>
          <w:sz w:val="20"/>
          <w:szCs w:val="20"/>
        </w:rPr>
        <w:t xml:space="preserve"> </w:t>
      </w:r>
      <w:r w:rsidRPr="000977F7">
        <w:rPr>
          <w:rFonts w:asciiTheme="majorHAnsi" w:hAnsiTheme="majorHAnsi"/>
          <w:sz w:val="20"/>
          <w:szCs w:val="20"/>
        </w:rPr>
        <w:t>математичного</w:t>
      </w:r>
      <w:r w:rsidRPr="000977F7">
        <w:rPr>
          <w:rFonts w:asciiTheme="majorHAnsi" w:hAnsiTheme="majorHAnsi"/>
          <w:spacing w:val="1"/>
          <w:sz w:val="20"/>
          <w:szCs w:val="20"/>
        </w:rPr>
        <w:t xml:space="preserve"> </w:t>
      </w:r>
      <w:r w:rsidRPr="000977F7">
        <w:rPr>
          <w:rFonts w:asciiTheme="majorHAnsi" w:hAnsiTheme="majorHAnsi"/>
          <w:sz w:val="20"/>
          <w:szCs w:val="20"/>
        </w:rPr>
        <w:t>моделювання.</w:t>
      </w:r>
      <w:r w:rsidRPr="000977F7">
        <w:rPr>
          <w:rFonts w:asciiTheme="majorHAnsi" w:hAnsiTheme="majorHAnsi"/>
          <w:spacing w:val="1"/>
          <w:sz w:val="20"/>
          <w:szCs w:val="20"/>
        </w:rPr>
        <w:t xml:space="preserve"> </w:t>
      </w:r>
      <w:r w:rsidRPr="000977F7">
        <w:rPr>
          <w:rFonts w:asciiTheme="majorHAnsi" w:hAnsiTheme="majorHAnsi"/>
          <w:sz w:val="20"/>
          <w:szCs w:val="20"/>
        </w:rPr>
        <w:t>Істинні</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являють</w:t>
      </w:r>
      <w:r w:rsidRPr="000977F7">
        <w:rPr>
          <w:rFonts w:asciiTheme="majorHAnsi" w:hAnsiTheme="majorHAnsi"/>
          <w:spacing w:val="1"/>
          <w:sz w:val="20"/>
          <w:szCs w:val="20"/>
        </w:rPr>
        <w:t xml:space="preserve"> </w:t>
      </w:r>
      <w:r w:rsidRPr="000977F7">
        <w:rPr>
          <w:rFonts w:asciiTheme="majorHAnsi" w:hAnsiTheme="majorHAnsi"/>
          <w:sz w:val="20"/>
          <w:szCs w:val="20"/>
        </w:rPr>
        <w:t>собою</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характеристики</w:t>
      </w:r>
      <w:r w:rsidRPr="000977F7">
        <w:rPr>
          <w:rFonts w:asciiTheme="majorHAnsi" w:hAnsiTheme="majorHAnsi"/>
          <w:spacing w:val="1"/>
          <w:sz w:val="20"/>
          <w:szCs w:val="20"/>
        </w:rPr>
        <w:t xml:space="preserve"> </w:t>
      </w:r>
      <w:r w:rsidRPr="000977F7">
        <w:rPr>
          <w:rFonts w:asciiTheme="majorHAnsi" w:hAnsiTheme="majorHAnsi"/>
          <w:sz w:val="20"/>
          <w:szCs w:val="20"/>
        </w:rPr>
        <w:t>такої</w:t>
      </w:r>
      <w:r w:rsidRPr="000977F7">
        <w:rPr>
          <w:rFonts w:asciiTheme="majorHAnsi" w:hAnsiTheme="majorHAnsi"/>
          <w:spacing w:val="1"/>
          <w:sz w:val="20"/>
          <w:szCs w:val="20"/>
        </w:rPr>
        <w:t xml:space="preserve"> </w:t>
      </w:r>
      <w:r w:rsidRPr="000977F7">
        <w:rPr>
          <w:rFonts w:asciiTheme="majorHAnsi" w:hAnsiTheme="majorHAnsi"/>
          <w:sz w:val="20"/>
          <w:szCs w:val="20"/>
        </w:rPr>
        <w:t>моделі</w:t>
      </w:r>
    </w:p>
    <w:p w14:paraId="486DABC5" w14:textId="77777777" w:rsidR="0097612F" w:rsidRPr="000977F7" w:rsidRDefault="0097612F" w:rsidP="00FD39A4">
      <w:pPr>
        <w:pStyle w:val="ac"/>
        <w:widowControl w:val="0"/>
        <w:numPr>
          <w:ilvl w:val="0"/>
          <w:numId w:val="167"/>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Істинні</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можна</w:t>
      </w:r>
      <w:r w:rsidRPr="000977F7">
        <w:rPr>
          <w:rFonts w:asciiTheme="majorHAnsi" w:hAnsiTheme="majorHAnsi"/>
          <w:spacing w:val="1"/>
          <w:sz w:val="20"/>
          <w:szCs w:val="20"/>
        </w:rPr>
        <w:t xml:space="preserve"> </w:t>
      </w:r>
      <w:r w:rsidRPr="000977F7">
        <w:rPr>
          <w:rFonts w:asciiTheme="majorHAnsi" w:hAnsiTheme="majorHAnsi"/>
          <w:sz w:val="20"/>
          <w:szCs w:val="20"/>
        </w:rPr>
        <w:t>розглядати</w:t>
      </w:r>
      <w:r w:rsidRPr="000977F7">
        <w:rPr>
          <w:rFonts w:asciiTheme="majorHAnsi" w:hAnsiTheme="majorHAnsi"/>
          <w:spacing w:val="1"/>
          <w:sz w:val="20"/>
          <w:szCs w:val="20"/>
        </w:rPr>
        <w:t xml:space="preserve"> </w:t>
      </w:r>
      <w:r w:rsidRPr="000977F7">
        <w:rPr>
          <w:rFonts w:asciiTheme="majorHAnsi" w:hAnsiTheme="majorHAnsi"/>
          <w:sz w:val="20"/>
          <w:szCs w:val="20"/>
        </w:rPr>
        <w:t>як такі,</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можна було б одержати з</w:t>
      </w:r>
      <w:r w:rsidRPr="000977F7">
        <w:rPr>
          <w:rFonts w:asciiTheme="majorHAnsi" w:hAnsiTheme="majorHAnsi"/>
          <w:spacing w:val="1"/>
          <w:sz w:val="20"/>
          <w:szCs w:val="20"/>
        </w:rPr>
        <w:t xml:space="preserve"> </w:t>
      </w:r>
      <w:r w:rsidRPr="000977F7">
        <w:rPr>
          <w:rFonts w:asciiTheme="majorHAnsi" w:hAnsiTheme="majorHAnsi"/>
          <w:sz w:val="20"/>
          <w:szCs w:val="20"/>
        </w:rPr>
        <w:t>повної сукупності. В</w:t>
      </w:r>
      <w:r w:rsidRPr="000977F7">
        <w:rPr>
          <w:rFonts w:asciiTheme="majorHAnsi" w:hAnsiTheme="majorHAnsi"/>
          <w:spacing w:val="1"/>
          <w:sz w:val="20"/>
          <w:szCs w:val="20"/>
        </w:rPr>
        <w:t xml:space="preserve"> </w:t>
      </w:r>
      <w:r w:rsidRPr="000977F7">
        <w:rPr>
          <w:rFonts w:asciiTheme="majorHAnsi" w:hAnsiTheme="majorHAnsi"/>
          <w:sz w:val="20"/>
          <w:szCs w:val="20"/>
        </w:rPr>
        <w:t>цьому випадку істинні значення</w:t>
      </w:r>
      <w:r w:rsidRPr="000977F7">
        <w:rPr>
          <w:rFonts w:asciiTheme="majorHAnsi" w:hAnsiTheme="majorHAnsi"/>
          <w:spacing w:val="1"/>
          <w:sz w:val="20"/>
          <w:szCs w:val="20"/>
        </w:rPr>
        <w:t xml:space="preserve"> </w:t>
      </w:r>
      <w:r w:rsidRPr="000977F7">
        <w:rPr>
          <w:rFonts w:asciiTheme="majorHAnsi" w:hAnsiTheme="majorHAnsi"/>
          <w:sz w:val="20"/>
          <w:szCs w:val="20"/>
        </w:rPr>
        <w:t>називають значеннями</w:t>
      </w:r>
      <w:r w:rsidRPr="000977F7">
        <w:rPr>
          <w:rFonts w:asciiTheme="majorHAnsi" w:hAnsiTheme="majorHAnsi"/>
          <w:spacing w:val="-2"/>
          <w:sz w:val="20"/>
          <w:szCs w:val="20"/>
        </w:rPr>
        <w:t xml:space="preserve"> </w:t>
      </w:r>
      <w:r w:rsidRPr="000977F7">
        <w:rPr>
          <w:rFonts w:asciiTheme="majorHAnsi" w:hAnsiTheme="majorHAnsi"/>
          <w:sz w:val="20"/>
          <w:szCs w:val="20"/>
        </w:rPr>
        <w:t>генеральної</w:t>
      </w:r>
      <w:r w:rsidRPr="000977F7">
        <w:rPr>
          <w:rFonts w:asciiTheme="majorHAnsi" w:hAnsiTheme="majorHAnsi"/>
          <w:spacing w:val="-1"/>
          <w:sz w:val="20"/>
          <w:szCs w:val="20"/>
        </w:rPr>
        <w:t xml:space="preserve"> </w:t>
      </w:r>
      <w:r w:rsidRPr="000977F7">
        <w:rPr>
          <w:rFonts w:asciiTheme="majorHAnsi" w:hAnsiTheme="majorHAnsi"/>
          <w:sz w:val="20"/>
          <w:szCs w:val="20"/>
        </w:rPr>
        <w:t>сукупності</w:t>
      </w:r>
    </w:p>
    <w:p w14:paraId="2E62688A" w14:textId="4FB65E1F" w:rsidR="0097612F" w:rsidRPr="000F35DA" w:rsidRDefault="0097612F" w:rsidP="00C10197">
      <w:pPr>
        <w:pStyle w:val="ac"/>
        <w:widowControl w:val="0"/>
        <w:numPr>
          <w:ilvl w:val="0"/>
          <w:numId w:val="167"/>
        </w:numPr>
        <w:tabs>
          <w:tab w:val="left" w:pos="284"/>
          <w:tab w:val="left" w:pos="678"/>
        </w:tabs>
        <w:autoSpaceDE w:val="0"/>
        <w:autoSpaceDN w:val="0"/>
        <w:spacing w:after="0" w:line="240" w:lineRule="auto"/>
        <w:ind w:left="170" w:firstLine="0"/>
        <w:contextualSpacing w:val="0"/>
        <w:mirrorIndents/>
        <w:jc w:val="both"/>
        <w:rPr>
          <w:rFonts w:asciiTheme="majorHAnsi" w:hAnsiTheme="majorHAnsi"/>
          <w:i/>
          <w:sz w:val="20"/>
          <w:szCs w:val="20"/>
        </w:rPr>
      </w:pPr>
      <w:r w:rsidRPr="000F35DA">
        <w:rPr>
          <w:rFonts w:asciiTheme="majorHAnsi" w:hAnsiTheme="majorHAnsi"/>
          <w:sz w:val="20"/>
          <w:szCs w:val="20"/>
        </w:rPr>
        <w:t>В практичних умовах істинні значення ніколи не</w:t>
      </w:r>
      <w:r w:rsidRPr="000F35DA">
        <w:rPr>
          <w:rFonts w:asciiTheme="majorHAnsi" w:hAnsiTheme="majorHAnsi"/>
          <w:spacing w:val="1"/>
          <w:sz w:val="20"/>
          <w:szCs w:val="20"/>
        </w:rPr>
        <w:t xml:space="preserve"> </w:t>
      </w:r>
      <w:r w:rsidRPr="000F35DA">
        <w:rPr>
          <w:rFonts w:asciiTheme="majorHAnsi" w:hAnsiTheme="majorHAnsi"/>
          <w:sz w:val="20"/>
          <w:szCs w:val="20"/>
        </w:rPr>
        <w:t>можуть бути одержані під час спостережень. Експлуатаційні,</w:t>
      </w:r>
      <w:r w:rsidRPr="000F35DA">
        <w:rPr>
          <w:rFonts w:asciiTheme="majorHAnsi" w:hAnsiTheme="majorHAnsi"/>
          <w:spacing w:val="1"/>
          <w:sz w:val="20"/>
          <w:szCs w:val="20"/>
        </w:rPr>
        <w:t xml:space="preserve"> </w:t>
      </w:r>
      <w:r w:rsidRPr="000F35DA">
        <w:rPr>
          <w:rFonts w:asciiTheme="majorHAnsi" w:hAnsiTheme="majorHAnsi"/>
          <w:sz w:val="20"/>
          <w:szCs w:val="20"/>
        </w:rPr>
        <w:t>експериментальні</w:t>
      </w:r>
      <w:r w:rsidRPr="000F35DA">
        <w:rPr>
          <w:rFonts w:asciiTheme="majorHAnsi" w:hAnsiTheme="majorHAnsi"/>
          <w:spacing w:val="1"/>
          <w:sz w:val="20"/>
          <w:szCs w:val="20"/>
        </w:rPr>
        <w:t xml:space="preserve"> </w:t>
      </w:r>
      <w:r w:rsidRPr="000F35DA">
        <w:rPr>
          <w:rFonts w:asciiTheme="majorHAnsi" w:hAnsiTheme="majorHAnsi"/>
          <w:sz w:val="20"/>
          <w:szCs w:val="20"/>
        </w:rPr>
        <w:t>показники,</w:t>
      </w:r>
      <w:r w:rsidRPr="000F35DA">
        <w:rPr>
          <w:rFonts w:asciiTheme="majorHAnsi" w:hAnsiTheme="majorHAnsi"/>
          <w:spacing w:val="1"/>
          <w:sz w:val="20"/>
          <w:szCs w:val="20"/>
        </w:rPr>
        <w:t xml:space="preserve"> </w:t>
      </w:r>
      <w:r w:rsidRPr="000F35DA">
        <w:rPr>
          <w:rFonts w:asciiTheme="majorHAnsi" w:hAnsiTheme="majorHAnsi"/>
          <w:sz w:val="20"/>
          <w:szCs w:val="20"/>
        </w:rPr>
        <w:t>що</w:t>
      </w:r>
      <w:r w:rsidRPr="000F35DA">
        <w:rPr>
          <w:rFonts w:asciiTheme="majorHAnsi" w:hAnsiTheme="majorHAnsi"/>
          <w:spacing w:val="1"/>
          <w:sz w:val="20"/>
          <w:szCs w:val="20"/>
        </w:rPr>
        <w:t xml:space="preserve"> </w:t>
      </w:r>
      <w:r w:rsidRPr="000F35DA">
        <w:rPr>
          <w:rFonts w:asciiTheme="majorHAnsi" w:hAnsiTheme="majorHAnsi"/>
          <w:sz w:val="20"/>
          <w:szCs w:val="20"/>
        </w:rPr>
        <w:t>спостерігаються, є тільки оцінками істинних показників</w:t>
      </w:r>
      <w:r w:rsidRPr="000F35DA">
        <w:rPr>
          <w:rFonts w:asciiTheme="majorHAnsi" w:hAnsiTheme="majorHAnsi"/>
          <w:spacing w:val="-2"/>
          <w:sz w:val="20"/>
          <w:szCs w:val="20"/>
        </w:rPr>
        <w:t xml:space="preserve"> </w:t>
      </w:r>
      <w:r w:rsidRPr="000F35DA">
        <w:rPr>
          <w:rFonts w:asciiTheme="majorHAnsi" w:hAnsiTheme="majorHAnsi"/>
          <w:sz w:val="20"/>
          <w:szCs w:val="20"/>
        </w:rPr>
        <w:t>надійності</w:t>
      </w:r>
      <w:r w:rsidR="000F35DA" w:rsidRPr="000F35DA">
        <w:rPr>
          <w:rFonts w:asciiTheme="majorHAnsi" w:hAnsiTheme="majorHAnsi"/>
          <w:sz w:val="20"/>
          <w:szCs w:val="20"/>
          <w:lang w:val="uk-UA"/>
        </w:rPr>
        <w:t xml:space="preserve">. </w:t>
      </w:r>
      <w:r w:rsidRPr="000F35DA">
        <w:rPr>
          <w:rFonts w:asciiTheme="majorHAnsi" w:hAnsiTheme="majorHAnsi"/>
          <w:i/>
          <w:sz w:val="20"/>
          <w:szCs w:val="20"/>
        </w:rPr>
        <w:t>ДСТУ</w:t>
      </w:r>
      <w:r w:rsidRPr="000F35DA">
        <w:rPr>
          <w:rFonts w:asciiTheme="majorHAnsi" w:hAnsiTheme="majorHAnsi"/>
          <w:i/>
          <w:spacing w:val="-2"/>
          <w:sz w:val="20"/>
          <w:szCs w:val="20"/>
        </w:rPr>
        <w:t xml:space="preserve"> </w:t>
      </w:r>
      <w:r w:rsidRPr="000F35DA">
        <w:rPr>
          <w:rFonts w:asciiTheme="majorHAnsi" w:hAnsiTheme="majorHAnsi"/>
          <w:i/>
          <w:sz w:val="20"/>
          <w:szCs w:val="20"/>
        </w:rPr>
        <w:t>2860</w:t>
      </w:r>
      <w:r w:rsidRPr="000F35DA">
        <w:rPr>
          <w:rFonts w:asciiTheme="majorHAnsi" w:hAnsiTheme="majorHAnsi"/>
          <w:i/>
          <w:spacing w:val="-1"/>
          <w:sz w:val="20"/>
          <w:szCs w:val="20"/>
        </w:rPr>
        <w:t xml:space="preserve"> </w:t>
      </w:r>
      <w:r w:rsidRPr="000F35DA">
        <w:rPr>
          <w:rFonts w:asciiTheme="majorHAnsi" w:hAnsiTheme="majorHAnsi"/>
          <w:i/>
          <w:sz w:val="20"/>
          <w:szCs w:val="20"/>
        </w:rPr>
        <w:t>–</w:t>
      </w:r>
      <w:r w:rsidRPr="000F35DA">
        <w:rPr>
          <w:rFonts w:asciiTheme="majorHAnsi" w:hAnsiTheme="majorHAnsi"/>
          <w:i/>
          <w:spacing w:val="-1"/>
          <w:sz w:val="20"/>
          <w:szCs w:val="20"/>
        </w:rPr>
        <w:t xml:space="preserve"> </w:t>
      </w:r>
      <w:r w:rsidRPr="000F35DA">
        <w:rPr>
          <w:rFonts w:asciiTheme="majorHAnsi" w:hAnsiTheme="majorHAnsi"/>
          <w:i/>
          <w:sz w:val="20"/>
          <w:szCs w:val="20"/>
        </w:rPr>
        <w:t>94</w:t>
      </w:r>
    </w:p>
    <w:p w14:paraId="10514C61"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b/>
          <w:bCs/>
          <w:sz w:val="20"/>
          <w:szCs w:val="20"/>
          <w:lang w:eastAsia="ru-RU"/>
        </w:rPr>
      </w:pPr>
      <w:r w:rsidRPr="000977F7">
        <w:rPr>
          <w:rFonts w:asciiTheme="majorHAnsi" w:hAnsiTheme="majorHAnsi"/>
          <w:b/>
          <w:bCs/>
          <w:sz w:val="20"/>
          <w:szCs w:val="20"/>
          <w:lang w:eastAsia="ru-RU"/>
        </w:rPr>
        <w:t>ІСТОТНИЙ НЕДОЛІК –</w:t>
      </w:r>
    </w:p>
    <w:p w14:paraId="19EBDB57"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Недолік, який робить неможливим чи недопустимим використання товару відповідно до його цільового призначення, виник з вини виробника (продавця, виконавця), після його усунення проявляється знову з незалежних від споживача причин і при цьому наділений хоча б однією з нижченаведених ознак</w:t>
      </w:r>
    </w:p>
    <w:p w14:paraId="084A51A1"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а) він взагалі не може бути усунутий;</w:t>
      </w:r>
    </w:p>
    <w:p w14:paraId="262A49BC"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б) його усунення потребує понад чотирнадцять календарних днів;</w:t>
      </w:r>
    </w:p>
    <w:p w14:paraId="3F5B6646"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в) він робить товар суттєво іншим, ніж передбачено договором</w:t>
      </w:r>
    </w:p>
    <w:p w14:paraId="306F4F04"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Закон України "Про захист прав споживачів"</w:t>
      </w:r>
    </w:p>
    <w:p w14:paraId="3937202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p>
    <w:p w14:paraId="12D9278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sectPr w:rsidR="0097612F" w:rsidRPr="000977F7" w:rsidSect="000977F7">
          <w:type w:val="continuous"/>
          <w:pgSz w:w="11910" w:h="16840"/>
          <w:pgMar w:top="800" w:right="380" w:bottom="960" w:left="1000" w:header="0" w:footer="751" w:gutter="0"/>
          <w:cols w:num="2" w:space="454"/>
        </w:sectPr>
      </w:pPr>
    </w:p>
    <w:p w14:paraId="2FCE11BA" w14:textId="77777777" w:rsidR="0097612F" w:rsidRPr="000F35DA" w:rsidRDefault="0097612F" w:rsidP="000F35DA">
      <w:pPr>
        <w:pStyle w:val="1"/>
        <w:rPr>
          <w:lang w:val="uk-UA"/>
        </w:rPr>
        <w:sectPr w:rsidR="0097612F" w:rsidRPr="000F35DA" w:rsidSect="000977F7">
          <w:pgSz w:w="11910" w:h="16840"/>
          <w:pgMar w:top="800" w:right="380" w:bottom="960" w:left="1000" w:header="0" w:footer="751" w:gutter="0"/>
          <w:cols w:num="2" w:space="454"/>
        </w:sectPr>
      </w:pPr>
      <w:bookmarkStart w:id="90" w:name="_Toc132629635"/>
      <w:r w:rsidRPr="000F35DA">
        <w:rPr>
          <w:lang w:val="uk-UA"/>
        </w:rPr>
        <w:lastRenderedPageBreak/>
        <w:t>К</w:t>
      </w:r>
      <w:bookmarkEnd w:id="90"/>
    </w:p>
    <w:p w14:paraId="0F8AE27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КАВІТАЦІЙНА</w:t>
      </w:r>
      <w:r w:rsidRPr="000977F7">
        <w:rPr>
          <w:color w:val="auto"/>
          <w:spacing w:val="-5"/>
          <w:sz w:val="20"/>
          <w:szCs w:val="20"/>
        </w:rPr>
        <w:t xml:space="preserve"> </w:t>
      </w:r>
      <w:r w:rsidRPr="000977F7">
        <w:rPr>
          <w:color w:val="auto"/>
          <w:sz w:val="20"/>
          <w:szCs w:val="20"/>
        </w:rPr>
        <w:t>КОРОЗІЯ —</w:t>
      </w:r>
    </w:p>
    <w:p w14:paraId="5E1DC2A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CAVITATION</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CORROSION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36C20E1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Руйнування</w:t>
      </w:r>
      <w:r w:rsidRPr="004D2D14">
        <w:rPr>
          <w:rFonts w:asciiTheme="majorHAnsi" w:hAnsiTheme="majorHAnsi"/>
          <w:sz w:val="20"/>
          <w:szCs w:val="20"/>
          <w:lang w:val="en-US"/>
        </w:rPr>
        <w:t xml:space="preserve"> </w:t>
      </w:r>
      <w:r w:rsidRPr="000977F7">
        <w:rPr>
          <w:rFonts w:asciiTheme="majorHAnsi" w:hAnsiTheme="majorHAnsi"/>
          <w:sz w:val="20"/>
          <w:szCs w:val="20"/>
        </w:rPr>
        <w:t>поверхні</w:t>
      </w:r>
      <w:r w:rsidRPr="004D2D14">
        <w:rPr>
          <w:rFonts w:asciiTheme="majorHAnsi" w:hAnsiTheme="majorHAnsi"/>
          <w:sz w:val="20"/>
          <w:szCs w:val="20"/>
          <w:lang w:val="en-US"/>
        </w:rPr>
        <w:t xml:space="preserve"> </w:t>
      </w:r>
      <w:r w:rsidRPr="000977F7">
        <w:rPr>
          <w:rFonts w:asciiTheme="majorHAnsi" w:hAnsiTheme="majorHAnsi"/>
          <w:sz w:val="20"/>
          <w:szCs w:val="20"/>
        </w:rPr>
        <w:t>металу</w:t>
      </w:r>
      <w:r w:rsidRPr="004D2D14">
        <w:rPr>
          <w:rFonts w:asciiTheme="majorHAnsi" w:hAnsiTheme="majorHAnsi"/>
          <w:sz w:val="20"/>
          <w:szCs w:val="20"/>
          <w:lang w:val="en-US"/>
        </w:rPr>
        <w:t xml:space="preserve">, </w:t>
      </w:r>
      <w:r w:rsidRPr="000977F7">
        <w:rPr>
          <w:rFonts w:asciiTheme="majorHAnsi" w:hAnsiTheme="majorHAnsi"/>
          <w:sz w:val="20"/>
          <w:szCs w:val="20"/>
        </w:rPr>
        <w:t>спричиненою</w:t>
      </w:r>
      <w:r w:rsidRPr="004D2D14">
        <w:rPr>
          <w:rFonts w:asciiTheme="majorHAnsi" w:hAnsiTheme="majorHAnsi"/>
          <w:sz w:val="20"/>
          <w:szCs w:val="20"/>
          <w:lang w:val="en-US"/>
        </w:rPr>
        <w:t xml:space="preserve"> </w:t>
      </w:r>
      <w:r w:rsidRPr="000977F7">
        <w:rPr>
          <w:rFonts w:asciiTheme="majorHAnsi" w:hAnsiTheme="majorHAnsi"/>
          <w:sz w:val="20"/>
          <w:szCs w:val="20"/>
        </w:rPr>
        <w:t>одночасною</w:t>
      </w:r>
      <w:r w:rsidRPr="004D2D14">
        <w:rPr>
          <w:rFonts w:asciiTheme="majorHAnsi" w:hAnsiTheme="majorHAnsi"/>
          <w:sz w:val="20"/>
          <w:szCs w:val="20"/>
          <w:lang w:val="en-US"/>
        </w:rPr>
        <w:t xml:space="preserve"> </w:t>
      </w:r>
      <w:r w:rsidRPr="000977F7">
        <w:rPr>
          <w:rFonts w:asciiTheme="majorHAnsi" w:hAnsiTheme="majorHAnsi"/>
          <w:sz w:val="20"/>
          <w:szCs w:val="20"/>
        </w:rPr>
        <w:t>дією</w:t>
      </w:r>
      <w:r w:rsidRPr="004D2D14">
        <w:rPr>
          <w:rFonts w:asciiTheme="majorHAnsi" w:hAnsiTheme="majorHAnsi"/>
          <w:sz w:val="20"/>
          <w:szCs w:val="20"/>
          <w:lang w:val="en-US"/>
        </w:rPr>
        <w:t xml:space="preserve"> </w:t>
      </w:r>
      <w:r w:rsidRPr="000977F7">
        <w:rPr>
          <w:rFonts w:asciiTheme="majorHAnsi" w:hAnsiTheme="majorHAnsi"/>
          <w:sz w:val="20"/>
          <w:szCs w:val="20"/>
        </w:rPr>
        <w:t>ударних</w:t>
      </w:r>
      <w:r w:rsidRPr="004D2D14">
        <w:rPr>
          <w:rFonts w:asciiTheme="majorHAnsi" w:hAnsiTheme="majorHAnsi"/>
          <w:sz w:val="20"/>
          <w:szCs w:val="20"/>
          <w:lang w:val="en-US"/>
        </w:rPr>
        <w:t xml:space="preserve"> </w:t>
      </w:r>
      <w:r w:rsidRPr="000977F7">
        <w:rPr>
          <w:rFonts w:asciiTheme="majorHAnsi" w:hAnsiTheme="majorHAnsi"/>
          <w:sz w:val="20"/>
          <w:szCs w:val="20"/>
        </w:rPr>
        <w:t>тисків</w:t>
      </w:r>
      <w:r w:rsidRPr="004D2D14">
        <w:rPr>
          <w:rFonts w:asciiTheme="majorHAnsi" w:hAnsiTheme="majorHAnsi"/>
          <w:sz w:val="20"/>
          <w:szCs w:val="20"/>
          <w:lang w:val="en-US"/>
        </w:rPr>
        <w:t xml:space="preserve"> </w:t>
      </w:r>
      <w:r w:rsidRPr="000977F7">
        <w:rPr>
          <w:rFonts w:asciiTheme="majorHAnsi" w:hAnsiTheme="majorHAnsi"/>
          <w:sz w:val="20"/>
          <w:szCs w:val="20"/>
        </w:rPr>
        <w:t>у</w:t>
      </w:r>
      <w:r w:rsidRPr="004D2D14">
        <w:rPr>
          <w:rFonts w:asciiTheme="majorHAnsi" w:hAnsiTheme="majorHAnsi"/>
          <w:sz w:val="20"/>
          <w:szCs w:val="20"/>
          <w:lang w:val="en-US"/>
        </w:rPr>
        <w:t xml:space="preserve"> </w:t>
      </w:r>
      <w:r w:rsidRPr="000977F7">
        <w:rPr>
          <w:rFonts w:asciiTheme="majorHAnsi" w:hAnsiTheme="majorHAnsi"/>
          <w:sz w:val="20"/>
          <w:szCs w:val="20"/>
        </w:rPr>
        <w:t>рідині</w:t>
      </w:r>
      <w:r w:rsidRPr="004D2D14">
        <w:rPr>
          <w:rFonts w:asciiTheme="majorHAnsi" w:hAnsiTheme="majorHAnsi"/>
          <w:sz w:val="20"/>
          <w:szCs w:val="20"/>
          <w:lang w:val="en-US"/>
        </w:rPr>
        <w:t xml:space="preserve"> (</w:t>
      </w:r>
      <w:r w:rsidRPr="000977F7">
        <w:rPr>
          <w:rFonts w:asciiTheme="majorHAnsi" w:hAnsiTheme="majorHAnsi"/>
          <w:sz w:val="20"/>
          <w:szCs w:val="20"/>
        </w:rPr>
        <w:t>тріскання</w:t>
      </w:r>
      <w:r w:rsidRPr="004D2D14">
        <w:rPr>
          <w:rFonts w:asciiTheme="majorHAnsi" w:hAnsiTheme="majorHAnsi"/>
          <w:sz w:val="20"/>
          <w:szCs w:val="20"/>
          <w:lang w:val="en-US"/>
        </w:rPr>
        <w:t xml:space="preserve"> </w:t>
      </w:r>
      <w:r w:rsidRPr="000977F7">
        <w:rPr>
          <w:rFonts w:asciiTheme="majorHAnsi" w:hAnsiTheme="majorHAnsi"/>
          <w:sz w:val="20"/>
          <w:szCs w:val="20"/>
        </w:rPr>
        <w:t>бульбашок</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каверн</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pacing w:val="-1"/>
          <w:sz w:val="20"/>
          <w:szCs w:val="20"/>
          <w:lang w:val="en-US"/>
        </w:rPr>
        <w:t xml:space="preserve"> </w:t>
      </w:r>
      <w:r w:rsidRPr="000977F7">
        <w:rPr>
          <w:rFonts w:asciiTheme="majorHAnsi" w:hAnsiTheme="majorHAnsi"/>
          <w:sz w:val="20"/>
          <w:szCs w:val="20"/>
        </w:rPr>
        <w:t>корозії</w:t>
      </w:r>
    </w:p>
    <w:p w14:paraId="4DA428E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П</w:t>
      </w:r>
      <w:r w:rsidRPr="004D2D14">
        <w:rPr>
          <w:rFonts w:asciiTheme="majorHAnsi" w:hAnsiTheme="majorHAnsi"/>
          <w:spacing w:val="-1"/>
          <w:sz w:val="20"/>
          <w:szCs w:val="20"/>
          <w:lang w:val="en-US"/>
        </w:rPr>
        <w:t xml:space="preserve"> </w:t>
      </w:r>
      <w:r w:rsidRPr="000977F7">
        <w:rPr>
          <w:rFonts w:asciiTheme="majorHAnsi" w:hAnsiTheme="majorHAnsi"/>
          <w:sz w:val="20"/>
          <w:szCs w:val="20"/>
        </w:rPr>
        <w:t>р</w:t>
      </w:r>
      <w:r w:rsidRPr="004D2D14">
        <w:rPr>
          <w:rFonts w:asciiTheme="majorHAnsi" w:hAnsiTheme="majorHAnsi"/>
          <w:spacing w:val="1"/>
          <w:sz w:val="20"/>
          <w:szCs w:val="20"/>
          <w:lang w:val="en-US"/>
        </w:rPr>
        <w:t xml:space="preserve"> </w:t>
      </w:r>
      <w:r w:rsidRPr="000977F7">
        <w:rPr>
          <w:rFonts w:asciiTheme="majorHAnsi" w:hAnsiTheme="majorHAnsi"/>
          <w:sz w:val="20"/>
          <w:szCs w:val="20"/>
        </w:rPr>
        <w:t>и</w:t>
      </w:r>
      <w:r w:rsidRPr="004D2D14">
        <w:rPr>
          <w:rFonts w:asciiTheme="majorHAnsi" w:hAnsiTheme="majorHAnsi"/>
          <w:spacing w:val="-1"/>
          <w:sz w:val="20"/>
          <w:szCs w:val="20"/>
          <w:lang w:val="en-US"/>
        </w:rPr>
        <w:t xml:space="preserve"> </w:t>
      </w:r>
      <w:r w:rsidRPr="000977F7">
        <w:rPr>
          <w:rFonts w:asciiTheme="majorHAnsi" w:hAnsiTheme="majorHAnsi"/>
          <w:sz w:val="20"/>
          <w:szCs w:val="20"/>
        </w:rPr>
        <w:t>м</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pacing w:val="-1"/>
          <w:sz w:val="20"/>
          <w:szCs w:val="20"/>
          <w:lang w:val="en-US"/>
        </w:rPr>
        <w:t xml:space="preserve"> </w:t>
      </w:r>
      <w:r w:rsidRPr="000977F7">
        <w:rPr>
          <w:rFonts w:asciiTheme="majorHAnsi" w:hAnsiTheme="majorHAnsi"/>
          <w:sz w:val="20"/>
          <w:szCs w:val="20"/>
        </w:rPr>
        <w:t>т</w:t>
      </w:r>
      <w:r w:rsidRPr="004D2D14">
        <w:rPr>
          <w:rFonts w:asciiTheme="majorHAnsi" w:hAnsiTheme="majorHAnsi"/>
          <w:spacing w:val="-1"/>
          <w:sz w:val="20"/>
          <w:szCs w:val="20"/>
          <w:lang w:val="en-US"/>
        </w:rPr>
        <w:t xml:space="preserve"> </w:t>
      </w:r>
      <w:r w:rsidRPr="000977F7">
        <w:rPr>
          <w:rFonts w:asciiTheme="majorHAnsi" w:hAnsiTheme="majorHAnsi"/>
          <w:sz w:val="20"/>
          <w:szCs w:val="20"/>
        </w:rPr>
        <w:t>к</w:t>
      </w:r>
      <w:r w:rsidRPr="004D2D14">
        <w:rPr>
          <w:rFonts w:asciiTheme="majorHAnsi" w:hAnsiTheme="majorHAnsi"/>
          <w:spacing w:val="-2"/>
          <w:sz w:val="20"/>
          <w:szCs w:val="20"/>
          <w:lang w:val="en-US"/>
        </w:rPr>
        <w:t xml:space="preserve"> </w:t>
      </w:r>
      <w:r w:rsidRPr="000977F7">
        <w:rPr>
          <w:rFonts w:asciiTheme="majorHAnsi" w:hAnsiTheme="majorHAnsi"/>
          <w:sz w:val="20"/>
          <w:szCs w:val="20"/>
        </w:rPr>
        <w:t>а</w:t>
      </w:r>
      <w:r w:rsidRPr="004D2D14">
        <w:rPr>
          <w:rFonts w:asciiTheme="majorHAnsi" w:hAnsiTheme="majorHAnsi"/>
          <w:sz w:val="20"/>
          <w:szCs w:val="20"/>
          <w:lang w:val="en-US"/>
        </w:rPr>
        <w:t>:</w:t>
      </w:r>
    </w:p>
    <w:p w14:paraId="2DC212D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Кавітаційній</w:t>
      </w:r>
      <w:r w:rsidRPr="004D2D14">
        <w:rPr>
          <w:rFonts w:asciiTheme="majorHAnsi" w:hAnsiTheme="majorHAnsi"/>
          <w:spacing w:val="1"/>
          <w:sz w:val="20"/>
          <w:szCs w:val="20"/>
          <w:lang w:val="en-US"/>
        </w:rPr>
        <w:t xml:space="preserve"> </w:t>
      </w:r>
      <w:r w:rsidRPr="000977F7">
        <w:rPr>
          <w:rFonts w:asciiTheme="majorHAnsi" w:hAnsiTheme="majorHAnsi"/>
          <w:sz w:val="20"/>
          <w:szCs w:val="20"/>
        </w:rPr>
        <w:t>корозії</w:t>
      </w:r>
      <w:r w:rsidRPr="004D2D14">
        <w:rPr>
          <w:rFonts w:asciiTheme="majorHAnsi" w:hAnsiTheme="majorHAnsi"/>
          <w:spacing w:val="1"/>
          <w:sz w:val="20"/>
          <w:szCs w:val="20"/>
          <w:lang w:val="en-US"/>
        </w:rPr>
        <w:t xml:space="preserve"> </w:t>
      </w:r>
      <w:r w:rsidRPr="000977F7">
        <w:rPr>
          <w:rFonts w:asciiTheme="majorHAnsi" w:hAnsiTheme="majorHAnsi"/>
          <w:sz w:val="20"/>
          <w:szCs w:val="20"/>
        </w:rPr>
        <w:t>піддаються</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відцентрові</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насоси</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r w:rsidRPr="000977F7">
        <w:rPr>
          <w:rFonts w:asciiTheme="majorHAnsi" w:hAnsiTheme="majorHAnsi"/>
          <w:sz w:val="20"/>
          <w:szCs w:val="20"/>
        </w:rPr>
        <w:t>гребні</w:t>
      </w:r>
      <w:r w:rsidRPr="004D2D14">
        <w:rPr>
          <w:rFonts w:asciiTheme="majorHAnsi" w:hAnsiTheme="majorHAnsi"/>
          <w:spacing w:val="-2"/>
          <w:sz w:val="20"/>
          <w:szCs w:val="20"/>
          <w:lang w:val="en-US"/>
        </w:rPr>
        <w:t xml:space="preserve"> </w:t>
      </w:r>
      <w:r w:rsidRPr="000977F7">
        <w:rPr>
          <w:rFonts w:asciiTheme="majorHAnsi" w:hAnsiTheme="majorHAnsi"/>
          <w:sz w:val="20"/>
          <w:szCs w:val="20"/>
        </w:rPr>
        <w:t>гвинти</w:t>
      </w:r>
      <w:r w:rsidRPr="004D2D14">
        <w:rPr>
          <w:rFonts w:asciiTheme="majorHAnsi" w:hAnsiTheme="majorHAnsi"/>
          <w:spacing w:val="-1"/>
          <w:sz w:val="20"/>
          <w:szCs w:val="20"/>
          <w:lang w:val="en-US"/>
        </w:rPr>
        <w:t xml:space="preserve"> </w:t>
      </w:r>
      <w:r w:rsidRPr="000977F7">
        <w:rPr>
          <w:rFonts w:asciiTheme="majorHAnsi" w:hAnsiTheme="majorHAnsi"/>
          <w:sz w:val="20"/>
          <w:szCs w:val="20"/>
        </w:rPr>
        <w:t>суден</w:t>
      </w:r>
      <w:r w:rsidRPr="004D2D14">
        <w:rPr>
          <w:rFonts w:asciiTheme="majorHAnsi" w:hAnsiTheme="majorHAnsi"/>
          <w:spacing w:val="-1"/>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ін</w:t>
      </w:r>
      <w:r w:rsidRPr="004D2D14">
        <w:rPr>
          <w:rFonts w:asciiTheme="majorHAnsi" w:hAnsiTheme="majorHAnsi"/>
          <w:sz w:val="20"/>
          <w:szCs w:val="20"/>
          <w:lang w:val="en-US"/>
        </w:rPr>
        <w:t>.</w:t>
      </w:r>
    </w:p>
    <w:p w14:paraId="095A862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70DA105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КАЛІБРУВАЛЬНИЙ</w:t>
      </w:r>
      <w:r w:rsidRPr="000977F7">
        <w:rPr>
          <w:color w:val="auto"/>
          <w:spacing w:val="-4"/>
          <w:sz w:val="20"/>
          <w:szCs w:val="20"/>
        </w:rPr>
        <w:t xml:space="preserve"> </w:t>
      </w:r>
      <w:r w:rsidRPr="000977F7">
        <w:rPr>
          <w:color w:val="auto"/>
          <w:sz w:val="20"/>
          <w:szCs w:val="20"/>
        </w:rPr>
        <w:t>ЗНАК</w:t>
      </w:r>
      <w:r w:rsidRPr="000977F7">
        <w:rPr>
          <w:color w:val="auto"/>
          <w:spacing w:val="-2"/>
          <w:sz w:val="20"/>
          <w:szCs w:val="20"/>
        </w:rPr>
        <w:t xml:space="preserve"> </w:t>
      </w:r>
      <w:r w:rsidRPr="000977F7">
        <w:rPr>
          <w:color w:val="auto"/>
          <w:sz w:val="20"/>
          <w:szCs w:val="20"/>
        </w:rPr>
        <w:t>–</w:t>
      </w:r>
    </w:p>
    <w:p w14:paraId="78B0AE1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Знак встановленої форми, що наносять на засоби вимірювальної техніки, які визнані придатними для застосування в певних умовах у результаті їх калібрування</w:t>
      </w:r>
    </w:p>
    <w:p w14:paraId="2D13B14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783B8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потреби</w:t>
      </w:r>
      <w:r w:rsidRPr="000977F7">
        <w:rPr>
          <w:rFonts w:asciiTheme="majorHAnsi" w:hAnsiTheme="majorHAnsi"/>
          <w:spacing w:val="1"/>
          <w:sz w:val="20"/>
          <w:szCs w:val="20"/>
        </w:rPr>
        <w:t xml:space="preserve"> </w:t>
      </w:r>
      <w:r w:rsidRPr="000977F7">
        <w:rPr>
          <w:rFonts w:asciiTheme="majorHAnsi" w:hAnsiTheme="majorHAnsi"/>
          <w:sz w:val="20"/>
          <w:szCs w:val="20"/>
        </w:rPr>
        <w:t>калібрувальний</w:t>
      </w:r>
      <w:r w:rsidRPr="000977F7">
        <w:rPr>
          <w:rFonts w:asciiTheme="majorHAnsi" w:hAnsiTheme="majorHAnsi"/>
          <w:spacing w:val="1"/>
          <w:sz w:val="20"/>
          <w:szCs w:val="20"/>
        </w:rPr>
        <w:t xml:space="preserve"> </w:t>
      </w:r>
      <w:r w:rsidRPr="000977F7">
        <w:rPr>
          <w:rFonts w:asciiTheme="majorHAnsi" w:hAnsiTheme="majorHAnsi"/>
          <w:sz w:val="20"/>
          <w:szCs w:val="20"/>
        </w:rPr>
        <w:t>знак</w:t>
      </w:r>
      <w:r w:rsidRPr="000977F7">
        <w:rPr>
          <w:rFonts w:asciiTheme="majorHAnsi" w:hAnsiTheme="majorHAnsi"/>
          <w:spacing w:val="1"/>
          <w:sz w:val="20"/>
          <w:szCs w:val="20"/>
        </w:rPr>
        <w:t xml:space="preserve"> </w:t>
      </w:r>
      <w:r w:rsidRPr="000977F7">
        <w:rPr>
          <w:rFonts w:asciiTheme="majorHAnsi" w:hAnsiTheme="majorHAnsi"/>
          <w:sz w:val="20"/>
          <w:szCs w:val="20"/>
        </w:rPr>
        <w:t>наносять</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який підтверджує</w:t>
      </w:r>
      <w:r w:rsidRPr="000977F7">
        <w:rPr>
          <w:rFonts w:asciiTheme="majorHAnsi" w:hAnsiTheme="majorHAnsi"/>
          <w:spacing w:val="2"/>
          <w:sz w:val="20"/>
          <w:szCs w:val="20"/>
        </w:rPr>
        <w:t xml:space="preserve"> </w:t>
      </w:r>
      <w:r w:rsidRPr="000977F7">
        <w:rPr>
          <w:rFonts w:asciiTheme="majorHAnsi" w:hAnsiTheme="majorHAnsi"/>
          <w:sz w:val="20"/>
          <w:szCs w:val="20"/>
        </w:rPr>
        <w:t>калібрування</w:t>
      </w:r>
    </w:p>
    <w:p w14:paraId="4351535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 94</w:t>
      </w:r>
    </w:p>
    <w:p w14:paraId="21F6FFCF"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КАЛІБРУВАННЯ</w:t>
      </w:r>
      <w:r w:rsidRPr="000977F7">
        <w:rPr>
          <w:rFonts w:asciiTheme="majorHAnsi" w:hAnsiTheme="majorHAnsi"/>
          <w:b/>
          <w:spacing w:val="-10"/>
          <w:sz w:val="20"/>
          <w:szCs w:val="20"/>
        </w:rPr>
        <w:t xml:space="preserve"> </w:t>
      </w:r>
      <w:r w:rsidRPr="000977F7">
        <w:rPr>
          <w:rFonts w:asciiTheme="majorHAnsi" w:hAnsiTheme="majorHAnsi"/>
          <w:b/>
          <w:sz w:val="20"/>
          <w:szCs w:val="20"/>
        </w:rPr>
        <w:t>–</w:t>
      </w:r>
    </w:p>
    <w:p w14:paraId="1BC05B7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CALIBRATION –</w:t>
      </w:r>
    </w:p>
    <w:p w14:paraId="3D812DE8"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z w:val="20"/>
          <w:szCs w:val="20"/>
        </w:rPr>
        <w:t>Ряд</w:t>
      </w:r>
      <w:r w:rsidRPr="000977F7">
        <w:rPr>
          <w:rFonts w:asciiTheme="majorHAnsi" w:hAnsiTheme="majorHAnsi"/>
          <w:spacing w:val="12"/>
          <w:sz w:val="20"/>
          <w:szCs w:val="20"/>
        </w:rPr>
        <w:t xml:space="preserve"> </w:t>
      </w:r>
      <w:r w:rsidRPr="000977F7">
        <w:rPr>
          <w:rFonts w:asciiTheme="majorHAnsi" w:hAnsiTheme="majorHAnsi"/>
          <w:sz w:val="20"/>
          <w:szCs w:val="20"/>
        </w:rPr>
        <w:t>операцій,</w:t>
      </w:r>
      <w:r w:rsidRPr="000977F7">
        <w:rPr>
          <w:rFonts w:asciiTheme="majorHAnsi" w:hAnsiTheme="majorHAnsi"/>
          <w:spacing w:val="14"/>
          <w:sz w:val="20"/>
          <w:szCs w:val="20"/>
        </w:rPr>
        <w:t xml:space="preserve"> </w:t>
      </w:r>
      <w:r w:rsidRPr="000977F7">
        <w:rPr>
          <w:rFonts w:asciiTheme="majorHAnsi" w:hAnsiTheme="majorHAnsi"/>
          <w:sz w:val="20"/>
          <w:szCs w:val="20"/>
        </w:rPr>
        <w:t>які</w:t>
      </w:r>
      <w:r w:rsidRPr="000977F7">
        <w:rPr>
          <w:rFonts w:asciiTheme="majorHAnsi" w:hAnsiTheme="majorHAnsi"/>
          <w:spacing w:val="13"/>
          <w:sz w:val="20"/>
          <w:szCs w:val="20"/>
        </w:rPr>
        <w:t xml:space="preserve"> </w:t>
      </w:r>
      <w:r w:rsidRPr="000977F7">
        <w:rPr>
          <w:rFonts w:asciiTheme="majorHAnsi" w:hAnsiTheme="majorHAnsi"/>
          <w:sz w:val="20"/>
          <w:szCs w:val="20"/>
        </w:rPr>
        <w:t>встановлюють</w:t>
      </w:r>
      <w:r w:rsidRPr="000977F7">
        <w:rPr>
          <w:rFonts w:asciiTheme="majorHAnsi" w:hAnsiTheme="majorHAnsi"/>
          <w:spacing w:val="15"/>
          <w:sz w:val="20"/>
          <w:szCs w:val="20"/>
        </w:rPr>
        <w:t xml:space="preserve"> </w:t>
      </w:r>
      <w:r w:rsidRPr="000977F7">
        <w:rPr>
          <w:rFonts w:asciiTheme="majorHAnsi" w:hAnsiTheme="majorHAnsi"/>
          <w:sz w:val="20"/>
          <w:szCs w:val="20"/>
        </w:rPr>
        <w:t>при</w:t>
      </w:r>
      <w:r w:rsidRPr="000977F7">
        <w:rPr>
          <w:rFonts w:asciiTheme="majorHAnsi" w:hAnsiTheme="majorHAnsi"/>
          <w:spacing w:val="12"/>
          <w:sz w:val="20"/>
          <w:szCs w:val="20"/>
        </w:rPr>
        <w:t xml:space="preserve"> </w:t>
      </w:r>
      <w:r w:rsidRPr="000977F7">
        <w:rPr>
          <w:rFonts w:asciiTheme="majorHAnsi" w:hAnsiTheme="majorHAnsi"/>
          <w:sz w:val="20"/>
          <w:szCs w:val="20"/>
        </w:rPr>
        <w:t>визначених</w:t>
      </w:r>
      <w:r w:rsidRPr="000977F7">
        <w:rPr>
          <w:rFonts w:asciiTheme="majorHAnsi" w:hAnsiTheme="majorHAnsi"/>
          <w:spacing w:val="15"/>
          <w:sz w:val="20"/>
          <w:szCs w:val="20"/>
        </w:rPr>
        <w:t xml:space="preserve"> </w:t>
      </w:r>
      <w:r w:rsidRPr="000977F7">
        <w:rPr>
          <w:rFonts w:asciiTheme="majorHAnsi" w:hAnsiTheme="majorHAnsi"/>
          <w:sz w:val="20"/>
          <w:szCs w:val="20"/>
        </w:rPr>
        <w:t>умовах</w:t>
      </w:r>
      <w:r w:rsidRPr="000977F7">
        <w:rPr>
          <w:rFonts w:asciiTheme="majorHAnsi" w:hAnsiTheme="majorHAnsi"/>
          <w:spacing w:val="38"/>
          <w:sz w:val="20"/>
          <w:szCs w:val="20"/>
        </w:rPr>
        <w:t xml:space="preserve"> </w:t>
      </w:r>
      <w:r w:rsidRPr="000977F7">
        <w:rPr>
          <w:rFonts w:asciiTheme="majorHAnsi" w:hAnsiTheme="majorHAnsi"/>
          <w:sz w:val="20"/>
          <w:szCs w:val="20"/>
        </w:rPr>
        <w:t>співвідношення</w:t>
      </w:r>
      <w:r w:rsidRPr="000977F7">
        <w:rPr>
          <w:rFonts w:asciiTheme="majorHAnsi" w:hAnsiTheme="majorHAnsi"/>
          <w:spacing w:val="39"/>
          <w:sz w:val="20"/>
          <w:szCs w:val="20"/>
        </w:rPr>
        <w:t xml:space="preserve"> </w:t>
      </w:r>
      <w:r w:rsidRPr="000977F7">
        <w:rPr>
          <w:rFonts w:asciiTheme="majorHAnsi" w:hAnsiTheme="majorHAnsi"/>
          <w:sz w:val="20"/>
          <w:szCs w:val="20"/>
        </w:rPr>
        <w:t>між</w:t>
      </w:r>
      <w:r w:rsidRPr="000977F7">
        <w:rPr>
          <w:rFonts w:asciiTheme="majorHAnsi" w:hAnsiTheme="majorHAnsi"/>
          <w:spacing w:val="40"/>
          <w:sz w:val="20"/>
          <w:szCs w:val="20"/>
        </w:rPr>
        <w:t xml:space="preserve"> </w:t>
      </w:r>
      <w:r w:rsidRPr="000977F7">
        <w:rPr>
          <w:rFonts w:asciiTheme="majorHAnsi" w:hAnsiTheme="majorHAnsi"/>
          <w:sz w:val="20"/>
          <w:szCs w:val="20"/>
        </w:rPr>
        <w:t>ціною</w:t>
      </w:r>
      <w:r w:rsidRPr="000977F7">
        <w:rPr>
          <w:rFonts w:asciiTheme="majorHAnsi" w:hAnsiTheme="majorHAnsi"/>
          <w:spacing w:val="40"/>
          <w:sz w:val="20"/>
          <w:szCs w:val="20"/>
        </w:rPr>
        <w:t xml:space="preserve"> </w:t>
      </w:r>
      <w:r w:rsidRPr="000977F7">
        <w:rPr>
          <w:rFonts w:asciiTheme="majorHAnsi" w:hAnsiTheme="majorHAnsi"/>
          <w:sz w:val="20"/>
          <w:szCs w:val="20"/>
        </w:rPr>
        <w:t>поділки</w:t>
      </w:r>
      <w:r w:rsidRPr="000977F7">
        <w:rPr>
          <w:rFonts w:asciiTheme="majorHAnsi" w:hAnsiTheme="majorHAnsi"/>
          <w:spacing w:val="36"/>
          <w:sz w:val="20"/>
          <w:szCs w:val="20"/>
        </w:rPr>
        <w:t xml:space="preserve"> </w:t>
      </w:r>
      <w:r w:rsidRPr="000977F7">
        <w:rPr>
          <w:rFonts w:asciiTheme="majorHAnsi" w:hAnsiTheme="majorHAnsi"/>
          <w:sz w:val="20"/>
          <w:szCs w:val="20"/>
        </w:rPr>
        <w:t>вимірювального</w:t>
      </w:r>
      <w:r w:rsidRPr="000977F7">
        <w:rPr>
          <w:rFonts w:asciiTheme="majorHAnsi" w:hAnsiTheme="majorHAnsi"/>
          <w:spacing w:val="26"/>
          <w:sz w:val="20"/>
          <w:szCs w:val="20"/>
        </w:rPr>
        <w:t xml:space="preserve"> </w:t>
      </w:r>
      <w:r w:rsidRPr="000977F7">
        <w:rPr>
          <w:rFonts w:asciiTheme="majorHAnsi" w:hAnsiTheme="majorHAnsi"/>
          <w:sz w:val="20"/>
          <w:szCs w:val="20"/>
        </w:rPr>
        <w:t>інструменту</w:t>
      </w:r>
      <w:r w:rsidRPr="000977F7">
        <w:rPr>
          <w:rFonts w:asciiTheme="majorHAnsi" w:hAnsiTheme="majorHAnsi"/>
          <w:spacing w:val="24"/>
          <w:sz w:val="20"/>
          <w:szCs w:val="20"/>
        </w:rPr>
        <w:t xml:space="preserve"> </w:t>
      </w:r>
      <w:r w:rsidRPr="000977F7">
        <w:rPr>
          <w:rFonts w:asciiTheme="majorHAnsi" w:hAnsiTheme="majorHAnsi"/>
          <w:sz w:val="20"/>
          <w:szCs w:val="20"/>
        </w:rPr>
        <w:t>або</w:t>
      </w:r>
      <w:r w:rsidRPr="000977F7">
        <w:rPr>
          <w:rFonts w:asciiTheme="majorHAnsi" w:hAnsiTheme="majorHAnsi"/>
          <w:spacing w:val="26"/>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25"/>
          <w:sz w:val="20"/>
          <w:szCs w:val="20"/>
        </w:rPr>
        <w:t xml:space="preserve"> </w:t>
      </w:r>
      <w:r w:rsidRPr="000977F7">
        <w:rPr>
          <w:rFonts w:asciiTheme="majorHAnsi" w:hAnsiTheme="majorHAnsi"/>
          <w:sz w:val="20"/>
          <w:szCs w:val="20"/>
        </w:rPr>
        <w:t>системи,</w:t>
      </w:r>
      <w:r w:rsidRPr="000977F7">
        <w:rPr>
          <w:rFonts w:asciiTheme="majorHAnsi" w:hAnsiTheme="majorHAnsi"/>
          <w:spacing w:val="25"/>
          <w:sz w:val="20"/>
          <w:szCs w:val="20"/>
        </w:rPr>
        <w:t xml:space="preserve"> </w:t>
      </w:r>
      <w:r w:rsidRPr="000977F7">
        <w:rPr>
          <w:rFonts w:asciiTheme="majorHAnsi" w:hAnsiTheme="majorHAnsi"/>
          <w:sz w:val="20"/>
          <w:szCs w:val="20"/>
        </w:rPr>
        <w:t>або</w:t>
      </w:r>
      <w:r w:rsidRPr="000977F7">
        <w:rPr>
          <w:rFonts w:asciiTheme="majorHAnsi" w:hAnsiTheme="majorHAnsi"/>
          <w:spacing w:val="-47"/>
          <w:sz w:val="20"/>
          <w:szCs w:val="20"/>
        </w:rPr>
        <w:t xml:space="preserve"> </w:t>
      </w:r>
      <w:r w:rsidRPr="000977F7">
        <w:rPr>
          <w:rFonts w:asciiTheme="majorHAnsi" w:hAnsiTheme="majorHAnsi"/>
          <w:sz w:val="20"/>
          <w:szCs w:val="20"/>
        </w:rPr>
        <w:t>значенням,</w:t>
      </w:r>
      <w:r w:rsidRPr="000977F7">
        <w:rPr>
          <w:rFonts w:asciiTheme="majorHAnsi" w:hAnsiTheme="majorHAnsi"/>
          <w:spacing w:val="28"/>
          <w:sz w:val="20"/>
          <w:szCs w:val="20"/>
        </w:rPr>
        <w:t xml:space="preserve"> </w:t>
      </w:r>
      <w:r w:rsidRPr="000977F7">
        <w:rPr>
          <w:rFonts w:asciiTheme="majorHAnsi" w:hAnsiTheme="majorHAnsi"/>
          <w:sz w:val="20"/>
          <w:szCs w:val="20"/>
        </w:rPr>
        <w:t>наданим</w:t>
      </w:r>
      <w:r w:rsidRPr="000977F7">
        <w:rPr>
          <w:rFonts w:asciiTheme="majorHAnsi" w:hAnsiTheme="majorHAnsi"/>
          <w:spacing w:val="29"/>
          <w:sz w:val="20"/>
          <w:szCs w:val="20"/>
        </w:rPr>
        <w:t xml:space="preserve"> </w:t>
      </w:r>
      <w:r w:rsidRPr="000977F7">
        <w:rPr>
          <w:rFonts w:asciiTheme="majorHAnsi" w:hAnsiTheme="majorHAnsi"/>
          <w:sz w:val="20"/>
          <w:szCs w:val="20"/>
        </w:rPr>
        <w:t>зразком</w:t>
      </w:r>
      <w:r w:rsidRPr="000977F7">
        <w:rPr>
          <w:rFonts w:asciiTheme="majorHAnsi" w:hAnsiTheme="majorHAnsi"/>
          <w:spacing w:val="29"/>
          <w:sz w:val="20"/>
          <w:szCs w:val="20"/>
        </w:rPr>
        <w:t xml:space="preserve"> </w:t>
      </w:r>
      <w:r w:rsidRPr="000977F7">
        <w:rPr>
          <w:rFonts w:asciiTheme="majorHAnsi" w:hAnsiTheme="majorHAnsi"/>
          <w:sz w:val="20"/>
          <w:szCs w:val="20"/>
        </w:rPr>
        <w:t>матеріалу</w:t>
      </w:r>
      <w:r w:rsidRPr="000977F7">
        <w:rPr>
          <w:rFonts w:asciiTheme="majorHAnsi" w:hAnsiTheme="majorHAnsi"/>
          <w:spacing w:val="6"/>
          <w:sz w:val="20"/>
          <w:szCs w:val="20"/>
        </w:rPr>
        <w:t xml:space="preserve"> </w:t>
      </w:r>
      <w:r w:rsidRPr="000977F7">
        <w:rPr>
          <w:rFonts w:asciiTheme="majorHAnsi" w:hAnsiTheme="majorHAnsi"/>
          <w:sz w:val="20"/>
          <w:szCs w:val="20"/>
        </w:rPr>
        <w:t>або</w:t>
      </w:r>
      <w:r w:rsidRPr="000977F7">
        <w:rPr>
          <w:rFonts w:asciiTheme="majorHAnsi" w:hAnsiTheme="majorHAnsi"/>
          <w:spacing w:val="28"/>
          <w:sz w:val="20"/>
          <w:szCs w:val="20"/>
        </w:rPr>
        <w:t xml:space="preserve"> </w:t>
      </w:r>
      <w:r w:rsidRPr="000977F7">
        <w:rPr>
          <w:rFonts w:asciiTheme="majorHAnsi" w:hAnsiTheme="majorHAnsi"/>
          <w:sz w:val="20"/>
          <w:szCs w:val="20"/>
        </w:rPr>
        <w:t>стандартом, і відповідним значенням, наведеним в стандартах</w:t>
      </w:r>
      <w:r w:rsidRPr="000977F7">
        <w:rPr>
          <w:rFonts w:asciiTheme="majorHAnsi" w:hAnsiTheme="majorHAnsi"/>
          <w:spacing w:val="-47"/>
          <w:sz w:val="20"/>
          <w:szCs w:val="20"/>
        </w:rPr>
        <w:t xml:space="preserve"> </w:t>
      </w:r>
      <w:r w:rsidRPr="000977F7">
        <w:rPr>
          <w:rFonts w:asciiTheme="majorHAnsi" w:hAnsiTheme="majorHAnsi"/>
          <w:b/>
          <w:sz w:val="20"/>
          <w:szCs w:val="20"/>
        </w:rPr>
        <w:t>КАЛІБРУВАННЯ ЗАСОБУ ВИМІРЮВАЛЬНОЇ</w:t>
      </w:r>
      <w:r w:rsidRPr="000977F7">
        <w:rPr>
          <w:rFonts w:asciiTheme="majorHAnsi" w:hAnsiTheme="majorHAnsi"/>
          <w:b/>
          <w:spacing w:val="1"/>
          <w:sz w:val="20"/>
          <w:szCs w:val="20"/>
        </w:rPr>
        <w:t xml:space="preserve"> </w:t>
      </w:r>
      <w:r w:rsidRPr="000977F7">
        <w:rPr>
          <w:rFonts w:asciiTheme="majorHAnsi" w:hAnsiTheme="majorHAnsi"/>
          <w:b/>
          <w:sz w:val="20"/>
          <w:szCs w:val="20"/>
        </w:rPr>
        <w:t>ТЕХНІКИ –</w:t>
      </w:r>
    </w:p>
    <w:p w14:paraId="1FCB030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CALIBRATION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A403D5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операцій, що виконуються з метою 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метрологічних</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придатності</w:t>
      </w:r>
      <w:r w:rsidRPr="000977F7">
        <w:rPr>
          <w:rFonts w:asciiTheme="majorHAnsi" w:hAnsiTheme="majorHAnsi"/>
          <w:spacing w:val="1"/>
          <w:sz w:val="20"/>
          <w:szCs w:val="20"/>
        </w:rPr>
        <w:t xml:space="preserve"> </w:t>
      </w:r>
      <w:r w:rsidRPr="000977F7">
        <w:rPr>
          <w:rFonts w:asciiTheme="majorHAnsi" w:hAnsiTheme="majorHAnsi"/>
          <w:sz w:val="20"/>
          <w:szCs w:val="20"/>
        </w:rPr>
        <w:t>засобу вимірювальної техніки до застосування в певних умовах</w:t>
      </w:r>
    </w:p>
    <w:p w14:paraId="1D7F3BD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527177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КАНАЛ КОНТРОЛЮ ПАРАМЕТРА</w:t>
      </w:r>
      <w:r w:rsidRPr="000977F7">
        <w:rPr>
          <w:color w:val="auto"/>
          <w:spacing w:val="-47"/>
          <w:sz w:val="20"/>
          <w:szCs w:val="20"/>
        </w:rPr>
        <w:t xml:space="preserve"> </w:t>
      </w:r>
      <w:r w:rsidRPr="000977F7">
        <w:rPr>
          <w:color w:val="auto"/>
          <w:sz w:val="20"/>
          <w:szCs w:val="20"/>
        </w:rPr>
        <w:t>СИГНАЛУ –</w:t>
      </w:r>
    </w:p>
    <w:p w14:paraId="37BB4B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1"/>
          <w:sz w:val="20"/>
          <w:szCs w:val="20"/>
        </w:rPr>
        <w:t xml:space="preserve"> </w:t>
      </w:r>
      <w:r w:rsidRPr="000977F7">
        <w:rPr>
          <w:rFonts w:asciiTheme="majorHAnsi" w:hAnsiTheme="majorHAnsi"/>
          <w:sz w:val="20"/>
          <w:szCs w:val="20"/>
        </w:rPr>
        <w:t>контуру</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r w:rsidRPr="000977F7">
        <w:rPr>
          <w:rFonts w:asciiTheme="majorHAnsi" w:hAnsiTheme="majorHAnsi"/>
          <w:spacing w:val="1"/>
          <w:sz w:val="20"/>
          <w:szCs w:val="20"/>
        </w:rPr>
        <w:t xml:space="preserve"> </w:t>
      </w:r>
      <w:r w:rsidRPr="000977F7">
        <w:rPr>
          <w:rFonts w:asciiTheme="majorHAnsi" w:hAnsiTheme="majorHAnsi"/>
          <w:sz w:val="20"/>
          <w:szCs w:val="20"/>
        </w:rPr>
        <w:t>сигналу,</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належить</w:t>
      </w:r>
      <w:r w:rsidRPr="000977F7">
        <w:rPr>
          <w:rFonts w:asciiTheme="majorHAnsi" w:hAnsiTheme="majorHAnsi"/>
          <w:spacing w:val="1"/>
          <w:sz w:val="20"/>
          <w:szCs w:val="20"/>
        </w:rPr>
        <w:t xml:space="preserve"> </w:t>
      </w:r>
      <w:r w:rsidRPr="000977F7">
        <w:rPr>
          <w:rFonts w:asciiTheme="majorHAnsi" w:hAnsiTheme="majorHAnsi"/>
          <w:sz w:val="20"/>
          <w:szCs w:val="20"/>
        </w:rPr>
        <w:t>засобу</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забезпечує</w:t>
      </w:r>
      <w:r w:rsidRPr="000977F7">
        <w:rPr>
          <w:rFonts w:asciiTheme="majorHAnsi" w:hAnsiTheme="majorHAnsi"/>
          <w:spacing w:val="1"/>
          <w:sz w:val="20"/>
          <w:szCs w:val="20"/>
        </w:rPr>
        <w:t xml:space="preserve"> </w:t>
      </w:r>
      <w:r w:rsidRPr="000977F7">
        <w:rPr>
          <w:rFonts w:asciiTheme="majorHAnsi" w:hAnsiTheme="majorHAnsi"/>
          <w:sz w:val="20"/>
          <w:szCs w:val="20"/>
        </w:rPr>
        <w:t>контроль</w:t>
      </w:r>
      <w:r w:rsidRPr="000977F7">
        <w:rPr>
          <w:rFonts w:asciiTheme="majorHAnsi" w:hAnsiTheme="majorHAnsi"/>
          <w:spacing w:val="1"/>
          <w:sz w:val="20"/>
          <w:szCs w:val="20"/>
        </w:rPr>
        <w:t xml:space="preserve"> </w:t>
      </w:r>
      <w:r w:rsidRPr="000977F7">
        <w:rPr>
          <w:rFonts w:asciiTheme="majorHAnsi" w:hAnsiTheme="majorHAnsi"/>
          <w:sz w:val="20"/>
          <w:szCs w:val="20"/>
        </w:rPr>
        <w:t>цього параметра</w:t>
      </w:r>
    </w:p>
    <w:p w14:paraId="27530ED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КАНАЛИ</w:t>
      </w:r>
      <w:r w:rsidRPr="000977F7">
        <w:rPr>
          <w:color w:val="auto"/>
          <w:spacing w:val="-4"/>
          <w:sz w:val="20"/>
          <w:szCs w:val="20"/>
        </w:rPr>
        <w:t xml:space="preserve"> </w:t>
      </w:r>
      <w:r w:rsidRPr="000977F7">
        <w:rPr>
          <w:color w:val="auto"/>
          <w:sz w:val="20"/>
          <w:szCs w:val="20"/>
        </w:rPr>
        <w:t>ТОВАРОРУХУ</w:t>
      </w:r>
      <w:r w:rsidRPr="000977F7">
        <w:rPr>
          <w:color w:val="auto"/>
          <w:spacing w:val="1"/>
          <w:sz w:val="20"/>
          <w:szCs w:val="20"/>
        </w:rPr>
        <w:t xml:space="preserve"> </w:t>
      </w:r>
      <w:r w:rsidRPr="000977F7">
        <w:rPr>
          <w:color w:val="auto"/>
          <w:sz w:val="20"/>
          <w:szCs w:val="20"/>
        </w:rPr>
        <w:t>–</w:t>
      </w:r>
    </w:p>
    <w:p w14:paraId="386CB2D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Способи</w:t>
      </w:r>
      <w:r w:rsidRPr="000977F7">
        <w:rPr>
          <w:rFonts w:asciiTheme="majorHAnsi" w:hAnsiTheme="majorHAnsi"/>
          <w:spacing w:val="1"/>
          <w:sz w:val="20"/>
          <w:szCs w:val="20"/>
        </w:rPr>
        <w:t xml:space="preserve"> </w:t>
      </w:r>
      <w:r w:rsidRPr="000977F7">
        <w:rPr>
          <w:rFonts w:asciiTheme="majorHAnsi" w:hAnsiTheme="majorHAnsi"/>
          <w:sz w:val="20"/>
          <w:szCs w:val="20"/>
        </w:rPr>
        <w:t>доставлення</w:t>
      </w:r>
      <w:r w:rsidRPr="000977F7">
        <w:rPr>
          <w:rFonts w:asciiTheme="majorHAnsi" w:hAnsiTheme="majorHAnsi"/>
          <w:spacing w:val="1"/>
          <w:sz w:val="20"/>
          <w:szCs w:val="20"/>
        </w:rPr>
        <w:t xml:space="preserve"> </w:t>
      </w:r>
      <w:r w:rsidRPr="000977F7">
        <w:rPr>
          <w:rFonts w:asciiTheme="majorHAnsi" w:hAnsiTheme="majorHAnsi"/>
          <w:sz w:val="20"/>
          <w:szCs w:val="20"/>
        </w:rPr>
        <w:t>товару</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місця</w:t>
      </w:r>
      <w:r w:rsidRPr="000977F7">
        <w:rPr>
          <w:rFonts w:asciiTheme="majorHAnsi" w:hAnsiTheme="majorHAnsi"/>
          <w:spacing w:val="1"/>
          <w:sz w:val="20"/>
          <w:szCs w:val="20"/>
        </w:rPr>
        <w:t xml:space="preserve"> </w:t>
      </w:r>
      <w:r w:rsidRPr="000977F7">
        <w:rPr>
          <w:rFonts w:asciiTheme="majorHAnsi" w:hAnsiTheme="majorHAnsi"/>
          <w:sz w:val="20"/>
          <w:szCs w:val="20"/>
        </w:rPr>
        <w:t>продажу</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місця споживання в установлені терміни за мінімальних</w:t>
      </w:r>
      <w:r w:rsidRPr="000977F7">
        <w:rPr>
          <w:rFonts w:asciiTheme="majorHAnsi" w:hAnsiTheme="majorHAnsi"/>
          <w:spacing w:val="-2"/>
          <w:sz w:val="20"/>
          <w:szCs w:val="20"/>
        </w:rPr>
        <w:t xml:space="preserve"> </w:t>
      </w:r>
      <w:r w:rsidRPr="000977F7">
        <w:rPr>
          <w:rFonts w:asciiTheme="majorHAnsi" w:hAnsiTheme="majorHAnsi"/>
          <w:sz w:val="20"/>
          <w:szCs w:val="20"/>
        </w:rPr>
        <w:t>затрат</w:t>
      </w:r>
      <w:r w:rsidRPr="000977F7">
        <w:rPr>
          <w:rFonts w:asciiTheme="majorHAnsi" w:hAnsiTheme="majorHAnsi"/>
          <w:spacing w:val="2"/>
          <w:sz w:val="20"/>
          <w:szCs w:val="20"/>
        </w:rPr>
        <w:t xml:space="preserve"> </w:t>
      </w:r>
      <w:r w:rsidRPr="000977F7">
        <w:rPr>
          <w:rFonts w:asciiTheme="majorHAnsi" w:hAnsiTheme="majorHAnsi"/>
          <w:sz w:val="20"/>
          <w:szCs w:val="20"/>
        </w:rPr>
        <w:t>продавця</w:t>
      </w:r>
    </w:p>
    <w:p w14:paraId="3D156AB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9AC10C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КАПІТАЛЬНИЙ</w:t>
      </w:r>
      <w:r w:rsidRPr="000977F7">
        <w:rPr>
          <w:color w:val="auto"/>
          <w:spacing w:val="-7"/>
          <w:sz w:val="20"/>
          <w:szCs w:val="20"/>
        </w:rPr>
        <w:t xml:space="preserve"> </w:t>
      </w:r>
      <w:r w:rsidRPr="000977F7">
        <w:rPr>
          <w:color w:val="auto"/>
          <w:sz w:val="20"/>
          <w:szCs w:val="20"/>
        </w:rPr>
        <w:t>РЕМОНТ</w:t>
      </w:r>
      <w:r w:rsidRPr="000977F7">
        <w:rPr>
          <w:color w:val="auto"/>
          <w:spacing w:val="-6"/>
          <w:sz w:val="20"/>
          <w:szCs w:val="20"/>
        </w:rPr>
        <w:t xml:space="preserve"> </w:t>
      </w:r>
      <w:r w:rsidRPr="000977F7">
        <w:rPr>
          <w:color w:val="auto"/>
          <w:sz w:val="20"/>
          <w:szCs w:val="20"/>
        </w:rPr>
        <w:t>–</w:t>
      </w:r>
    </w:p>
    <w:p w14:paraId="590C666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Ремонт,</w:t>
      </w:r>
      <w:r w:rsidRPr="000977F7">
        <w:rPr>
          <w:rFonts w:asciiTheme="majorHAnsi" w:hAnsiTheme="majorHAnsi"/>
          <w:spacing w:val="35"/>
          <w:sz w:val="20"/>
          <w:szCs w:val="20"/>
        </w:rPr>
        <w:t xml:space="preserve"> </w:t>
      </w:r>
      <w:r w:rsidRPr="000977F7">
        <w:rPr>
          <w:rFonts w:asciiTheme="majorHAnsi" w:hAnsiTheme="majorHAnsi"/>
          <w:sz w:val="20"/>
          <w:szCs w:val="20"/>
        </w:rPr>
        <w:t>що</w:t>
      </w:r>
      <w:r w:rsidRPr="000977F7">
        <w:rPr>
          <w:rFonts w:asciiTheme="majorHAnsi" w:hAnsiTheme="majorHAnsi"/>
          <w:spacing w:val="35"/>
          <w:sz w:val="20"/>
          <w:szCs w:val="20"/>
        </w:rPr>
        <w:t xml:space="preserve"> </w:t>
      </w:r>
      <w:r w:rsidRPr="000977F7">
        <w:rPr>
          <w:rFonts w:asciiTheme="majorHAnsi" w:hAnsiTheme="majorHAnsi"/>
          <w:sz w:val="20"/>
          <w:szCs w:val="20"/>
        </w:rPr>
        <w:t>виконується</w:t>
      </w:r>
      <w:r w:rsidRPr="000977F7">
        <w:rPr>
          <w:rFonts w:asciiTheme="majorHAnsi" w:hAnsiTheme="majorHAnsi"/>
          <w:spacing w:val="35"/>
          <w:sz w:val="20"/>
          <w:szCs w:val="20"/>
        </w:rPr>
        <w:t xml:space="preserve"> </w:t>
      </w:r>
      <w:r w:rsidRPr="000977F7">
        <w:rPr>
          <w:rFonts w:asciiTheme="majorHAnsi" w:hAnsiTheme="majorHAnsi"/>
          <w:sz w:val="20"/>
          <w:szCs w:val="20"/>
        </w:rPr>
        <w:t>для</w:t>
      </w:r>
      <w:r w:rsidRPr="000977F7">
        <w:rPr>
          <w:rFonts w:asciiTheme="majorHAnsi" w:hAnsiTheme="majorHAnsi"/>
          <w:spacing w:val="34"/>
          <w:sz w:val="20"/>
          <w:szCs w:val="20"/>
        </w:rPr>
        <w:t xml:space="preserve"> </w:t>
      </w:r>
      <w:r w:rsidRPr="000977F7">
        <w:rPr>
          <w:rFonts w:asciiTheme="majorHAnsi" w:hAnsiTheme="majorHAnsi"/>
          <w:sz w:val="20"/>
          <w:szCs w:val="20"/>
        </w:rPr>
        <w:t>відновлення</w:t>
      </w:r>
      <w:r w:rsidRPr="000977F7">
        <w:rPr>
          <w:rFonts w:asciiTheme="majorHAnsi" w:hAnsiTheme="majorHAnsi"/>
          <w:spacing w:val="35"/>
          <w:sz w:val="20"/>
          <w:szCs w:val="20"/>
        </w:rPr>
        <w:t xml:space="preserve"> </w:t>
      </w:r>
      <w:r w:rsidRPr="000977F7">
        <w:rPr>
          <w:rFonts w:asciiTheme="majorHAnsi" w:hAnsiTheme="majorHAnsi"/>
          <w:sz w:val="20"/>
          <w:szCs w:val="20"/>
        </w:rPr>
        <w:t>справності</w:t>
      </w:r>
      <w:r w:rsidRPr="000977F7">
        <w:rPr>
          <w:rFonts w:asciiTheme="majorHAnsi" w:hAnsiTheme="majorHAnsi"/>
          <w:spacing w:val="-48"/>
          <w:sz w:val="20"/>
          <w:szCs w:val="20"/>
        </w:rPr>
        <w:t xml:space="preserve"> </w:t>
      </w:r>
      <w:r w:rsidRPr="000977F7">
        <w:rPr>
          <w:rFonts w:asciiTheme="majorHAnsi" w:hAnsiTheme="majorHAnsi"/>
          <w:sz w:val="20"/>
          <w:szCs w:val="20"/>
        </w:rPr>
        <w:t>та повного чи близького до повного відновлення ресурсу виробу із заміною або відновленням будь-яких</w:t>
      </w:r>
      <w:r w:rsidRPr="000977F7">
        <w:rPr>
          <w:rFonts w:asciiTheme="majorHAnsi" w:hAnsiTheme="majorHAnsi"/>
          <w:spacing w:val="1"/>
          <w:sz w:val="20"/>
          <w:szCs w:val="20"/>
        </w:rPr>
        <w:t xml:space="preserve"> </w:t>
      </w:r>
      <w:r w:rsidRPr="000977F7">
        <w:rPr>
          <w:rFonts w:asciiTheme="majorHAnsi" w:hAnsiTheme="majorHAnsi"/>
          <w:sz w:val="20"/>
          <w:szCs w:val="20"/>
        </w:rPr>
        <w:t>його частин, включаючи</w:t>
      </w:r>
      <w:r w:rsidRPr="000977F7">
        <w:rPr>
          <w:rFonts w:asciiTheme="majorHAnsi" w:hAnsiTheme="majorHAnsi"/>
          <w:spacing w:val="-1"/>
          <w:sz w:val="20"/>
          <w:szCs w:val="20"/>
        </w:rPr>
        <w:t xml:space="preserve"> </w:t>
      </w:r>
      <w:r w:rsidRPr="000977F7">
        <w:rPr>
          <w:rFonts w:asciiTheme="majorHAnsi" w:hAnsiTheme="majorHAnsi"/>
          <w:sz w:val="20"/>
          <w:szCs w:val="20"/>
        </w:rPr>
        <w:t>базові</w:t>
      </w:r>
    </w:p>
    <w:p w14:paraId="4BC15B9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2960</w:t>
      </w:r>
      <w:r w:rsidRPr="000977F7">
        <w:rPr>
          <w:rFonts w:asciiTheme="majorHAnsi" w:hAnsiTheme="majorHAnsi"/>
          <w:i/>
          <w:spacing w:val="-3"/>
          <w:sz w:val="20"/>
          <w:szCs w:val="20"/>
        </w:rPr>
        <w:t xml:space="preserve"> </w:t>
      </w:r>
      <w:r w:rsidRPr="000977F7">
        <w:rPr>
          <w:rFonts w:asciiTheme="majorHAnsi" w:hAnsiTheme="majorHAnsi"/>
          <w:i/>
          <w:sz w:val="20"/>
          <w:szCs w:val="20"/>
        </w:rPr>
        <w:t>–</w:t>
      </w:r>
      <w:r w:rsidRPr="000977F7">
        <w:rPr>
          <w:rFonts w:asciiTheme="majorHAnsi" w:hAnsiTheme="majorHAnsi"/>
          <w:i/>
          <w:spacing w:val="-3"/>
          <w:sz w:val="20"/>
          <w:szCs w:val="20"/>
        </w:rPr>
        <w:t xml:space="preserve"> </w:t>
      </w:r>
      <w:r w:rsidRPr="000977F7">
        <w:rPr>
          <w:rFonts w:asciiTheme="majorHAnsi" w:hAnsiTheme="majorHAnsi"/>
          <w:i/>
          <w:sz w:val="20"/>
          <w:szCs w:val="20"/>
        </w:rPr>
        <w:t>94</w:t>
      </w:r>
    </w:p>
    <w:p w14:paraId="53E4092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КАРТА</w:t>
      </w:r>
      <w:r w:rsidRPr="000977F7">
        <w:rPr>
          <w:color w:val="auto"/>
          <w:spacing w:val="-4"/>
          <w:sz w:val="20"/>
          <w:szCs w:val="20"/>
        </w:rPr>
        <w:t xml:space="preserve"> </w:t>
      </w:r>
      <w:r w:rsidRPr="000977F7">
        <w:rPr>
          <w:color w:val="auto"/>
          <w:sz w:val="20"/>
          <w:szCs w:val="20"/>
        </w:rPr>
        <w:t>ТЕХНІЧНОГО</w:t>
      </w:r>
      <w:r w:rsidRPr="000977F7">
        <w:rPr>
          <w:color w:val="auto"/>
          <w:spacing w:val="-3"/>
          <w:sz w:val="20"/>
          <w:szCs w:val="20"/>
        </w:rPr>
        <w:t xml:space="preserve"> </w:t>
      </w:r>
      <w:r w:rsidRPr="000977F7">
        <w:rPr>
          <w:color w:val="auto"/>
          <w:sz w:val="20"/>
          <w:szCs w:val="20"/>
        </w:rPr>
        <w:t>РІВНЯ</w:t>
      </w:r>
      <w:r w:rsidRPr="000977F7">
        <w:rPr>
          <w:color w:val="auto"/>
          <w:spacing w:val="-5"/>
          <w:sz w:val="20"/>
          <w:szCs w:val="20"/>
        </w:rPr>
        <w:t xml:space="preserve"> </w:t>
      </w:r>
      <w:r w:rsidRPr="000977F7">
        <w:rPr>
          <w:color w:val="auto"/>
          <w:sz w:val="20"/>
          <w:szCs w:val="20"/>
        </w:rPr>
        <w:t>І</w:t>
      </w:r>
      <w:r w:rsidRPr="000977F7">
        <w:rPr>
          <w:color w:val="auto"/>
          <w:spacing w:val="-6"/>
          <w:sz w:val="20"/>
          <w:szCs w:val="20"/>
        </w:rPr>
        <w:t xml:space="preserve"> </w:t>
      </w:r>
      <w:r w:rsidRPr="000977F7">
        <w:rPr>
          <w:color w:val="auto"/>
          <w:sz w:val="20"/>
          <w:szCs w:val="20"/>
        </w:rPr>
        <w:t>ЯКОСТІ</w:t>
      </w:r>
      <w:r w:rsidRPr="000977F7">
        <w:rPr>
          <w:color w:val="auto"/>
          <w:spacing w:val="-47"/>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6E3FC75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Технічний документ, який містить відомості про техніко-економічні показники продукції, які характеризують рівень її якості у порівнянні з найкращими вітчизняними та закордонними аналогами і перспективними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зразками.</w:t>
      </w:r>
    </w:p>
    <w:p w14:paraId="1FCFABA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КАРТКА</w:t>
      </w:r>
      <w:r w:rsidRPr="000977F7">
        <w:rPr>
          <w:color w:val="auto"/>
          <w:spacing w:val="-5"/>
          <w:sz w:val="20"/>
          <w:szCs w:val="20"/>
        </w:rPr>
        <w:t xml:space="preserve"> </w:t>
      </w:r>
      <w:r w:rsidRPr="000977F7">
        <w:rPr>
          <w:color w:val="auto"/>
          <w:sz w:val="20"/>
          <w:szCs w:val="20"/>
        </w:rPr>
        <w:t>ОБЛІКУ</w:t>
      </w:r>
      <w:r w:rsidRPr="000977F7">
        <w:rPr>
          <w:color w:val="auto"/>
          <w:spacing w:val="-4"/>
          <w:sz w:val="20"/>
          <w:szCs w:val="20"/>
        </w:rPr>
        <w:t xml:space="preserve"> </w:t>
      </w:r>
      <w:r w:rsidRPr="000977F7">
        <w:rPr>
          <w:color w:val="auto"/>
          <w:sz w:val="20"/>
          <w:szCs w:val="20"/>
        </w:rPr>
        <w:t>ДОКУМЕНТІВ –</w:t>
      </w:r>
    </w:p>
    <w:p w14:paraId="7CF8E5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складений на правдник чи дублікат конструкторського документа, що мають інвентарні номери,</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3"/>
          <w:sz w:val="20"/>
          <w:szCs w:val="20"/>
        </w:rPr>
        <w:t xml:space="preserve"> </w:t>
      </w:r>
      <w:r w:rsidRPr="000977F7">
        <w:rPr>
          <w:rFonts w:asciiTheme="majorHAnsi" w:hAnsiTheme="majorHAnsi"/>
          <w:sz w:val="20"/>
          <w:szCs w:val="20"/>
        </w:rPr>
        <w:t>призначений</w:t>
      </w:r>
      <w:r w:rsidRPr="000977F7">
        <w:rPr>
          <w:rFonts w:asciiTheme="majorHAnsi" w:hAnsiTheme="majorHAnsi"/>
          <w:spacing w:val="-1"/>
          <w:sz w:val="20"/>
          <w:szCs w:val="20"/>
        </w:rPr>
        <w:t xml:space="preserve"> </w:t>
      </w:r>
      <w:r w:rsidRPr="000977F7">
        <w:rPr>
          <w:rFonts w:asciiTheme="majorHAnsi" w:hAnsiTheme="majorHAnsi"/>
          <w:sz w:val="20"/>
          <w:szCs w:val="20"/>
        </w:rPr>
        <w:t>для обліку</w:t>
      </w:r>
      <w:r w:rsidRPr="000977F7">
        <w:rPr>
          <w:rFonts w:asciiTheme="majorHAnsi" w:hAnsiTheme="majorHAnsi"/>
          <w:spacing w:val="-3"/>
          <w:sz w:val="20"/>
          <w:szCs w:val="20"/>
        </w:rPr>
        <w:t xml:space="preserve"> </w:t>
      </w:r>
      <w:r w:rsidRPr="000977F7">
        <w:rPr>
          <w:rFonts w:asciiTheme="majorHAnsi" w:hAnsiTheme="majorHAnsi"/>
          <w:sz w:val="20"/>
          <w:szCs w:val="20"/>
        </w:rPr>
        <w:t>їх</w:t>
      </w:r>
      <w:r w:rsidRPr="000977F7">
        <w:rPr>
          <w:rFonts w:asciiTheme="majorHAnsi" w:hAnsiTheme="majorHAnsi"/>
          <w:spacing w:val="-3"/>
          <w:sz w:val="20"/>
          <w:szCs w:val="20"/>
        </w:rPr>
        <w:t xml:space="preserve"> </w:t>
      </w:r>
      <w:r w:rsidRPr="000977F7">
        <w:rPr>
          <w:rFonts w:asciiTheme="majorHAnsi" w:hAnsiTheme="majorHAnsi"/>
          <w:sz w:val="20"/>
          <w:szCs w:val="20"/>
        </w:rPr>
        <w:t>копій,</w:t>
      </w:r>
      <w:r w:rsidRPr="000977F7">
        <w:rPr>
          <w:rFonts w:asciiTheme="majorHAnsi" w:hAnsiTheme="majorHAnsi"/>
          <w:spacing w:val="-2"/>
          <w:sz w:val="20"/>
          <w:szCs w:val="20"/>
        </w:rPr>
        <w:t xml:space="preserve"> </w:t>
      </w:r>
      <w:r w:rsidRPr="000977F7">
        <w:rPr>
          <w:rFonts w:asciiTheme="majorHAnsi" w:hAnsiTheme="majorHAnsi"/>
          <w:sz w:val="20"/>
          <w:szCs w:val="20"/>
        </w:rPr>
        <w:t>внесених</w:t>
      </w:r>
      <w:r w:rsidRPr="000977F7">
        <w:rPr>
          <w:rFonts w:asciiTheme="majorHAnsi" w:hAnsiTheme="majorHAnsi"/>
          <w:spacing w:val="-1"/>
          <w:sz w:val="20"/>
          <w:szCs w:val="20"/>
        </w:rPr>
        <w:t xml:space="preserve"> </w:t>
      </w:r>
      <w:r w:rsidRPr="000977F7">
        <w:rPr>
          <w:rFonts w:asciiTheme="majorHAnsi" w:hAnsiTheme="majorHAnsi"/>
          <w:sz w:val="20"/>
          <w:szCs w:val="20"/>
        </w:rPr>
        <w:t>змін,</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737B1D6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також відомостей про розташування під час розроблення інших виробів</w:t>
      </w:r>
    </w:p>
    <w:p w14:paraId="55248A9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3321 – 2003</w:t>
      </w:r>
    </w:p>
    <w:p w14:paraId="75E5419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КАРТКА ОБЛІКУ КОПІЙ ДОКУМЕНТІВ –</w:t>
      </w:r>
    </w:p>
    <w:p w14:paraId="7711C79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w:t>
      </w:r>
      <w:r w:rsidRPr="000977F7">
        <w:rPr>
          <w:rFonts w:asciiTheme="majorHAnsi" w:hAnsiTheme="majorHAnsi"/>
          <w:spacing w:val="6"/>
          <w:sz w:val="20"/>
          <w:szCs w:val="20"/>
        </w:rPr>
        <w:t xml:space="preserve"> </w:t>
      </w:r>
      <w:r w:rsidRPr="000977F7">
        <w:rPr>
          <w:rFonts w:asciiTheme="majorHAnsi" w:hAnsiTheme="majorHAnsi"/>
          <w:sz w:val="20"/>
          <w:szCs w:val="20"/>
        </w:rPr>
        <w:t>призначений</w:t>
      </w:r>
      <w:r w:rsidRPr="000977F7">
        <w:rPr>
          <w:rFonts w:asciiTheme="majorHAnsi" w:hAnsiTheme="majorHAnsi"/>
          <w:spacing w:val="5"/>
          <w:sz w:val="20"/>
          <w:szCs w:val="20"/>
        </w:rPr>
        <w:t xml:space="preserve"> </w:t>
      </w:r>
      <w:r w:rsidRPr="000977F7">
        <w:rPr>
          <w:rFonts w:asciiTheme="majorHAnsi" w:hAnsiTheme="majorHAnsi"/>
          <w:sz w:val="20"/>
          <w:szCs w:val="20"/>
        </w:rPr>
        <w:t>для</w:t>
      </w:r>
      <w:r w:rsidRPr="000977F7">
        <w:rPr>
          <w:rFonts w:asciiTheme="majorHAnsi" w:hAnsiTheme="majorHAnsi"/>
          <w:spacing w:val="5"/>
          <w:sz w:val="20"/>
          <w:szCs w:val="20"/>
        </w:rPr>
        <w:t xml:space="preserve"> </w:t>
      </w:r>
      <w:r w:rsidRPr="000977F7">
        <w:rPr>
          <w:rFonts w:asciiTheme="majorHAnsi" w:hAnsiTheme="majorHAnsi"/>
          <w:sz w:val="20"/>
          <w:szCs w:val="20"/>
        </w:rPr>
        <w:t>обліку</w:t>
      </w:r>
      <w:r w:rsidRPr="000977F7">
        <w:rPr>
          <w:rFonts w:asciiTheme="majorHAnsi" w:hAnsiTheme="majorHAnsi"/>
          <w:spacing w:val="5"/>
          <w:sz w:val="20"/>
          <w:szCs w:val="20"/>
        </w:rPr>
        <w:t xml:space="preserve"> </w:t>
      </w:r>
      <w:r w:rsidRPr="000977F7">
        <w:rPr>
          <w:rFonts w:asciiTheme="majorHAnsi" w:hAnsiTheme="majorHAnsi"/>
          <w:sz w:val="20"/>
          <w:szCs w:val="20"/>
        </w:rPr>
        <w:t>надходження,</w:t>
      </w:r>
      <w:r w:rsidRPr="000977F7">
        <w:rPr>
          <w:rFonts w:asciiTheme="majorHAnsi" w:hAnsiTheme="majorHAnsi"/>
          <w:spacing w:val="3"/>
          <w:sz w:val="20"/>
          <w:szCs w:val="20"/>
        </w:rPr>
        <w:t xml:space="preserve"> </w:t>
      </w:r>
      <w:r w:rsidRPr="000977F7">
        <w:rPr>
          <w:rFonts w:asciiTheme="majorHAnsi" w:hAnsiTheme="majorHAnsi"/>
          <w:sz w:val="20"/>
          <w:szCs w:val="20"/>
        </w:rPr>
        <w:t>списування,</w:t>
      </w:r>
      <w:r w:rsidRPr="000977F7">
        <w:rPr>
          <w:rFonts w:asciiTheme="majorHAnsi" w:hAnsiTheme="majorHAnsi"/>
          <w:spacing w:val="10"/>
          <w:sz w:val="20"/>
          <w:szCs w:val="20"/>
        </w:rPr>
        <w:t xml:space="preserve"> </w:t>
      </w:r>
      <w:r w:rsidRPr="000977F7">
        <w:rPr>
          <w:rFonts w:asciiTheme="majorHAnsi" w:hAnsiTheme="majorHAnsi"/>
          <w:sz w:val="20"/>
          <w:szCs w:val="20"/>
        </w:rPr>
        <w:t>видавання</w:t>
      </w:r>
      <w:r w:rsidRPr="000977F7">
        <w:rPr>
          <w:rFonts w:asciiTheme="majorHAnsi" w:hAnsiTheme="majorHAnsi"/>
          <w:spacing w:val="10"/>
          <w:sz w:val="20"/>
          <w:szCs w:val="20"/>
        </w:rPr>
        <w:t xml:space="preserve"> </w:t>
      </w:r>
      <w:r w:rsidRPr="000977F7">
        <w:rPr>
          <w:rFonts w:asciiTheme="majorHAnsi" w:hAnsiTheme="majorHAnsi"/>
          <w:sz w:val="20"/>
          <w:szCs w:val="20"/>
        </w:rPr>
        <w:t>і</w:t>
      </w:r>
      <w:r w:rsidRPr="000977F7">
        <w:rPr>
          <w:rFonts w:asciiTheme="majorHAnsi" w:hAnsiTheme="majorHAnsi"/>
          <w:spacing w:val="10"/>
          <w:sz w:val="20"/>
          <w:szCs w:val="20"/>
        </w:rPr>
        <w:t xml:space="preserve"> </w:t>
      </w:r>
      <w:r w:rsidRPr="000977F7">
        <w:rPr>
          <w:rFonts w:asciiTheme="majorHAnsi" w:hAnsiTheme="majorHAnsi"/>
          <w:sz w:val="20"/>
          <w:szCs w:val="20"/>
        </w:rPr>
        <w:t>повернення</w:t>
      </w:r>
      <w:r w:rsidRPr="000977F7">
        <w:rPr>
          <w:rFonts w:asciiTheme="majorHAnsi" w:hAnsiTheme="majorHAnsi"/>
          <w:spacing w:val="11"/>
          <w:sz w:val="20"/>
          <w:szCs w:val="20"/>
        </w:rPr>
        <w:t xml:space="preserve"> </w:t>
      </w:r>
      <w:r w:rsidRPr="000977F7">
        <w:rPr>
          <w:rFonts w:asciiTheme="majorHAnsi" w:hAnsiTheme="majorHAnsi"/>
          <w:sz w:val="20"/>
          <w:szCs w:val="20"/>
        </w:rPr>
        <w:t>до</w:t>
      </w:r>
      <w:r w:rsidRPr="000977F7">
        <w:rPr>
          <w:rFonts w:asciiTheme="majorHAnsi" w:hAnsiTheme="majorHAnsi"/>
          <w:spacing w:val="10"/>
          <w:sz w:val="20"/>
          <w:szCs w:val="20"/>
        </w:rPr>
        <w:t xml:space="preserve"> </w:t>
      </w:r>
      <w:r w:rsidRPr="000977F7">
        <w:rPr>
          <w:rFonts w:asciiTheme="majorHAnsi" w:hAnsiTheme="majorHAnsi"/>
          <w:sz w:val="20"/>
          <w:szCs w:val="20"/>
        </w:rPr>
        <w:t>служби</w:t>
      </w:r>
      <w:r w:rsidRPr="000977F7">
        <w:rPr>
          <w:rFonts w:asciiTheme="majorHAnsi" w:hAnsiTheme="majorHAnsi"/>
          <w:spacing w:val="9"/>
          <w:sz w:val="20"/>
          <w:szCs w:val="20"/>
        </w:rPr>
        <w:t xml:space="preserve"> </w:t>
      </w:r>
      <w:r w:rsidRPr="000977F7">
        <w:rPr>
          <w:rFonts w:asciiTheme="majorHAnsi" w:hAnsiTheme="majorHAnsi"/>
          <w:sz w:val="20"/>
          <w:szCs w:val="20"/>
        </w:rPr>
        <w:t>технічної</w:t>
      </w:r>
      <w:r w:rsidRPr="000977F7">
        <w:rPr>
          <w:rFonts w:asciiTheme="majorHAnsi" w:hAnsiTheme="majorHAnsi"/>
          <w:spacing w:val="-47"/>
          <w:sz w:val="20"/>
          <w:szCs w:val="20"/>
        </w:rPr>
        <w:t xml:space="preserve"> </w:t>
      </w:r>
      <w:r w:rsidRPr="000977F7">
        <w:rPr>
          <w:rFonts w:asciiTheme="majorHAnsi" w:hAnsiTheme="majorHAnsi"/>
          <w:sz w:val="20"/>
          <w:szCs w:val="20"/>
        </w:rPr>
        <w:t>документації копій</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конструкторського документа</w:t>
      </w:r>
    </w:p>
    <w:p w14:paraId="002303B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3321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sz w:val="20"/>
          <w:szCs w:val="20"/>
        </w:rPr>
        <w:t>2003</w:t>
      </w:r>
    </w:p>
    <w:p w14:paraId="5A53245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КАРТКА</w:t>
      </w:r>
      <w:r w:rsidRPr="000977F7">
        <w:rPr>
          <w:color w:val="auto"/>
          <w:spacing w:val="-6"/>
          <w:sz w:val="20"/>
          <w:szCs w:val="20"/>
        </w:rPr>
        <w:t xml:space="preserve"> </w:t>
      </w:r>
      <w:r w:rsidRPr="000977F7">
        <w:rPr>
          <w:color w:val="auto"/>
          <w:sz w:val="20"/>
          <w:szCs w:val="20"/>
        </w:rPr>
        <w:t>ОБЛІКУ</w:t>
      </w:r>
      <w:r w:rsidRPr="000977F7">
        <w:rPr>
          <w:color w:val="auto"/>
          <w:spacing w:val="-4"/>
          <w:sz w:val="20"/>
          <w:szCs w:val="20"/>
        </w:rPr>
        <w:t xml:space="preserve"> </w:t>
      </w:r>
      <w:r w:rsidRPr="000977F7">
        <w:rPr>
          <w:color w:val="auto"/>
          <w:sz w:val="20"/>
          <w:szCs w:val="20"/>
        </w:rPr>
        <w:t>ПОЗНАЧЕНЬ</w:t>
      </w:r>
      <w:r w:rsidRPr="000977F7">
        <w:rPr>
          <w:color w:val="auto"/>
          <w:spacing w:val="-1"/>
          <w:sz w:val="20"/>
          <w:szCs w:val="20"/>
        </w:rPr>
        <w:t xml:space="preserve"> </w:t>
      </w:r>
      <w:r w:rsidRPr="000977F7">
        <w:rPr>
          <w:color w:val="auto"/>
          <w:sz w:val="20"/>
          <w:szCs w:val="20"/>
        </w:rPr>
        <w:t>–</w:t>
      </w:r>
    </w:p>
    <w:p w14:paraId="42A58CF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для обліку позначень виробів та відповідних конструкторських документів за кожною з використаних</w:t>
      </w:r>
      <w:r w:rsidRPr="000977F7">
        <w:rPr>
          <w:rFonts w:asciiTheme="majorHAnsi" w:hAnsiTheme="majorHAnsi"/>
          <w:spacing w:val="-2"/>
          <w:sz w:val="20"/>
          <w:szCs w:val="20"/>
        </w:rPr>
        <w:t xml:space="preserve"> </w:t>
      </w:r>
      <w:r w:rsidRPr="000977F7">
        <w:rPr>
          <w:rFonts w:asciiTheme="majorHAnsi" w:hAnsiTheme="majorHAnsi"/>
          <w:sz w:val="20"/>
          <w:szCs w:val="20"/>
        </w:rPr>
        <w:t>класифікаційних</w:t>
      </w:r>
      <w:r w:rsidRPr="000977F7">
        <w:rPr>
          <w:rFonts w:asciiTheme="majorHAnsi" w:hAnsiTheme="majorHAnsi"/>
          <w:spacing w:val="-2"/>
          <w:sz w:val="20"/>
          <w:szCs w:val="20"/>
        </w:rPr>
        <w:t xml:space="preserve"> </w:t>
      </w:r>
      <w:r w:rsidRPr="000977F7">
        <w:rPr>
          <w:rFonts w:asciiTheme="majorHAnsi" w:hAnsiTheme="majorHAnsi"/>
          <w:sz w:val="20"/>
          <w:szCs w:val="20"/>
        </w:rPr>
        <w:t>характеристик</w:t>
      </w:r>
    </w:p>
    <w:p w14:paraId="641E083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xml:space="preserve">– </w:t>
      </w:r>
      <w:r w:rsidRPr="000977F7">
        <w:rPr>
          <w:rFonts w:asciiTheme="majorHAnsi" w:hAnsiTheme="majorHAnsi"/>
          <w:sz w:val="20"/>
          <w:szCs w:val="20"/>
        </w:rPr>
        <w:t>2003</w:t>
      </w:r>
    </w:p>
    <w:p w14:paraId="6F2F1FE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КАТАЛОГ ДЕТАЛЕЙ ТА СКЛАДАЛЬНИХ </w:t>
      </w:r>
    </w:p>
    <w:p w14:paraId="7DE85BB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ОДИ</w:t>
      </w:r>
      <w:r w:rsidRPr="000977F7">
        <w:rPr>
          <w:color w:val="auto"/>
          <w:spacing w:val="-47"/>
          <w:sz w:val="20"/>
          <w:szCs w:val="20"/>
        </w:rPr>
        <w:t xml:space="preserve"> </w:t>
      </w:r>
      <w:r w:rsidRPr="000977F7">
        <w:rPr>
          <w:color w:val="auto"/>
          <w:sz w:val="20"/>
          <w:szCs w:val="20"/>
        </w:rPr>
        <w:t>НИЦЬ –</w:t>
      </w:r>
    </w:p>
    <w:p w14:paraId="5612E06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Експлуатаційний документ, який являє собою перелік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складальних одиниць і деталей з ілюстраціями й відомостями про їх кількість, розміщення у виробі, взаємозамінність, конструктивні особливості та матеріали деталей та який призначений для складання замовлень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запасні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частини,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необхідні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технічного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обслуговування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ремонту</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виробу</w:t>
      </w:r>
    </w:p>
    <w:p w14:paraId="2D38C64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3321</w:t>
      </w:r>
      <w:r w:rsidRPr="004D2D14">
        <w:rPr>
          <w:rFonts w:asciiTheme="majorHAnsi" w:hAnsiTheme="majorHAnsi"/>
          <w:i/>
          <w:spacing w:val="2"/>
          <w:sz w:val="20"/>
          <w:szCs w:val="20"/>
          <w:lang w:val="uk-UA"/>
        </w:rPr>
        <w:t xml:space="preserve"> - </w:t>
      </w:r>
      <w:r w:rsidRPr="004D2D14">
        <w:rPr>
          <w:rFonts w:asciiTheme="majorHAnsi" w:hAnsiTheme="majorHAnsi"/>
          <w:i/>
          <w:sz w:val="20"/>
          <w:szCs w:val="20"/>
          <w:lang w:val="uk-UA"/>
        </w:rPr>
        <w:t>2003</w:t>
      </w:r>
    </w:p>
    <w:p w14:paraId="761BAEB1"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4D2D14">
        <w:rPr>
          <w:rFonts w:asciiTheme="majorHAnsi" w:hAnsiTheme="majorHAnsi"/>
          <w:b/>
          <w:sz w:val="20"/>
          <w:szCs w:val="20"/>
          <w:lang w:val="uk-UA"/>
        </w:rPr>
        <w:t xml:space="preserve">КАТАСТРОФІЧНА ВІДМОВА </w:t>
      </w:r>
      <w:r w:rsidRPr="004D2D14">
        <w:rPr>
          <w:rFonts w:asciiTheme="majorHAnsi" w:hAnsiTheme="majorHAnsi"/>
          <w:sz w:val="20"/>
          <w:szCs w:val="20"/>
          <w:lang w:val="uk-UA"/>
        </w:rPr>
        <w:t>–</w:t>
      </w:r>
    </w:p>
    <w:p w14:paraId="1F09A3C7"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4D2D14">
        <w:rPr>
          <w:rFonts w:asciiTheme="majorHAnsi" w:hAnsiTheme="majorHAnsi"/>
          <w:spacing w:val="-47"/>
          <w:sz w:val="20"/>
          <w:szCs w:val="20"/>
          <w:lang w:val="uk-UA"/>
        </w:rPr>
        <w:t xml:space="preserve"> </w:t>
      </w:r>
      <w:r w:rsidRPr="000977F7">
        <w:rPr>
          <w:rFonts w:asciiTheme="majorHAnsi" w:hAnsiTheme="majorHAnsi"/>
          <w:sz w:val="20"/>
          <w:szCs w:val="20"/>
        </w:rPr>
        <w:t>CATASTROFIC</w:t>
      </w:r>
      <w:r w:rsidRPr="004D2D14">
        <w:rPr>
          <w:rFonts w:asciiTheme="majorHAnsi" w:hAnsiTheme="majorHAnsi"/>
          <w:spacing w:val="-2"/>
          <w:sz w:val="20"/>
          <w:szCs w:val="20"/>
          <w:lang w:val="uk-UA"/>
        </w:rPr>
        <w:t xml:space="preserve"> </w:t>
      </w:r>
      <w:r w:rsidRPr="000977F7">
        <w:rPr>
          <w:rFonts w:asciiTheme="majorHAnsi" w:hAnsiTheme="majorHAnsi"/>
          <w:sz w:val="20"/>
          <w:szCs w:val="20"/>
        </w:rPr>
        <w:t>FAILURE</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4FDCDD4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Раптова</w:t>
      </w:r>
      <w:r w:rsidRPr="000977F7">
        <w:rPr>
          <w:rFonts w:asciiTheme="majorHAnsi" w:hAnsiTheme="majorHAnsi"/>
          <w:spacing w:val="-5"/>
          <w:sz w:val="20"/>
          <w:szCs w:val="20"/>
        </w:rPr>
        <w:t xml:space="preserve"> </w:t>
      </w:r>
      <w:r w:rsidRPr="000977F7">
        <w:rPr>
          <w:rFonts w:asciiTheme="majorHAnsi" w:hAnsiTheme="majorHAnsi"/>
          <w:sz w:val="20"/>
          <w:szCs w:val="20"/>
        </w:rPr>
        <w:t>й</w:t>
      </w:r>
      <w:r w:rsidRPr="000977F7">
        <w:rPr>
          <w:rFonts w:asciiTheme="majorHAnsi" w:hAnsiTheme="majorHAnsi"/>
          <w:spacing w:val="-5"/>
          <w:sz w:val="20"/>
          <w:szCs w:val="20"/>
        </w:rPr>
        <w:t xml:space="preserve"> </w:t>
      </w:r>
      <w:r w:rsidRPr="000977F7">
        <w:rPr>
          <w:rFonts w:asciiTheme="majorHAnsi" w:hAnsiTheme="majorHAnsi"/>
          <w:sz w:val="20"/>
          <w:szCs w:val="20"/>
        </w:rPr>
        <w:t>повна</w:t>
      </w:r>
      <w:r w:rsidRPr="000977F7">
        <w:rPr>
          <w:rFonts w:asciiTheme="majorHAnsi" w:hAnsiTheme="majorHAnsi"/>
          <w:spacing w:val="-3"/>
          <w:sz w:val="20"/>
          <w:szCs w:val="20"/>
        </w:rPr>
        <w:t xml:space="preserve"> </w:t>
      </w:r>
      <w:r w:rsidRPr="000977F7">
        <w:rPr>
          <w:rFonts w:asciiTheme="majorHAnsi" w:hAnsiTheme="majorHAnsi"/>
          <w:sz w:val="20"/>
          <w:szCs w:val="20"/>
        </w:rPr>
        <w:t>відмова</w:t>
      </w:r>
    </w:p>
    <w:p w14:paraId="67222B1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КАТЕГОРІЯ</w:t>
      </w:r>
      <w:r w:rsidRPr="000977F7">
        <w:rPr>
          <w:color w:val="auto"/>
          <w:spacing w:val="-5"/>
          <w:sz w:val="20"/>
          <w:szCs w:val="20"/>
        </w:rPr>
        <w:t xml:space="preserve"> </w:t>
      </w:r>
      <w:r w:rsidRPr="000977F7">
        <w:rPr>
          <w:color w:val="auto"/>
          <w:sz w:val="20"/>
          <w:szCs w:val="20"/>
        </w:rPr>
        <w:t>ВИПРОБУВАНЬ</w:t>
      </w:r>
      <w:r w:rsidRPr="000977F7">
        <w:rPr>
          <w:color w:val="auto"/>
          <w:spacing w:val="-2"/>
          <w:sz w:val="20"/>
          <w:szCs w:val="20"/>
        </w:rPr>
        <w:t xml:space="preserve"> </w:t>
      </w:r>
      <w:r w:rsidRPr="000977F7">
        <w:rPr>
          <w:color w:val="auto"/>
          <w:sz w:val="20"/>
          <w:szCs w:val="20"/>
        </w:rPr>
        <w:t>–</w:t>
      </w:r>
    </w:p>
    <w:p w14:paraId="24DCB91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CATEGORY</w:t>
      </w:r>
      <w:r w:rsidRPr="004D2D14">
        <w:rPr>
          <w:rFonts w:asciiTheme="majorHAnsi" w:hAnsiTheme="majorHAnsi"/>
          <w:spacing w:val="-2"/>
          <w:sz w:val="20"/>
          <w:szCs w:val="20"/>
          <w:lang w:val="uk-UA"/>
        </w:rPr>
        <w:t xml:space="preserve"> </w:t>
      </w:r>
      <w:r w:rsidRPr="000977F7">
        <w:rPr>
          <w:rFonts w:asciiTheme="majorHAnsi" w:hAnsiTheme="majorHAnsi"/>
          <w:sz w:val="20"/>
          <w:szCs w:val="20"/>
        </w:rPr>
        <w:t>OF</w:t>
      </w:r>
      <w:r w:rsidRPr="004D2D14">
        <w:rPr>
          <w:rFonts w:asciiTheme="majorHAnsi" w:hAnsiTheme="majorHAnsi"/>
          <w:spacing w:val="-1"/>
          <w:sz w:val="20"/>
          <w:szCs w:val="20"/>
          <w:lang w:val="uk-UA"/>
        </w:rPr>
        <w:t xml:space="preserve"> </w:t>
      </w:r>
      <w:r w:rsidRPr="000977F7">
        <w:rPr>
          <w:rFonts w:asciiTheme="majorHAnsi" w:hAnsiTheme="majorHAnsi"/>
          <w:sz w:val="20"/>
          <w:szCs w:val="20"/>
        </w:rPr>
        <w:t>TEST</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w:t>
      </w:r>
    </w:p>
    <w:p w14:paraId="42B5CB7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випробувань,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характеризується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організаційною ознакою їх проведення та прийняттям рішень за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результатами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оцінки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об’єкта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цілому</w:t>
      </w:r>
    </w:p>
    <w:p w14:paraId="534ACCA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КАТЕГОРІЯ РЕМОНТНОЇ </w:t>
      </w:r>
      <w:r w:rsidRPr="000977F7">
        <w:rPr>
          <w:color w:val="auto"/>
          <w:spacing w:val="-47"/>
          <w:sz w:val="20"/>
          <w:szCs w:val="20"/>
        </w:rPr>
        <w:t xml:space="preserve"> </w:t>
      </w:r>
      <w:r w:rsidRPr="000977F7">
        <w:rPr>
          <w:color w:val="auto"/>
          <w:sz w:val="20"/>
          <w:szCs w:val="20"/>
        </w:rPr>
        <w:t>СКЛАДНОСТІ</w:t>
      </w:r>
      <w:r w:rsidRPr="000977F7">
        <w:rPr>
          <w:color w:val="auto"/>
          <w:spacing w:val="-1"/>
          <w:sz w:val="20"/>
          <w:szCs w:val="20"/>
        </w:rPr>
        <w:t xml:space="preserve"> </w:t>
      </w:r>
      <w:r w:rsidRPr="000977F7">
        <w:rPr>
          <w:color w:val="auto"/>
          <w:sz w:val="20"/>
          <w:szCs w:val="20"/>
        </w:rPr>
        <w:t>–</w:t>
      </w:r>
    </w:p>
    <w:p w14:paraId="779AD0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Якісна характеристика конструктивних та технологічних</w:t>
      </w:r>
      <w:r w:rsidRPr="000977F7">
        <w:rPr>
          <w:rFonts w:asciiTheme="majorHAnsi" w:hAnsiTheme="majorHAnsi"/>
          <w:spacing w:val="9"/>
          <w:sz w:val="20"/>
          <w:szCs w:val="20"/>
        </w:rPr>
        <w:t xml:space="preserve"> </w:t>
      </w:r>
      <w:r w:rsidRPr="000977F7">
        <w:rPr>
          <w:rFonts w:asciiTheme="majorHAnsi" w:hAnsiTheme="majorHAnsi"/>
          <w:sz w:val="20"/>
          <w:szCs w:val="20"/>
        </w:rPr>
        <w:t>особливостей</w:t>
      </w:r>
      <w:r w:rsidRPr="000977F7">
        <w:rPr>
          <w:rFonts w:asciiTheme="majorHAnsi" w:hAnsiTheme="majorHAnsi"/>
          <w:spacing w:val="11"/>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11"/>
          <w:sz w:val="20"/>
          <w:szCs w:val="20"/>
        </w:rPr>
        <w:t xml:space="preserve"> </w:t>
      </w:r>
      <w:r w:rsidRPr="000977F7">
        <w:rPr>
          <w:rFonts w:asciiTheme="majorHAnsi" w:hAnsiTheme="majorHAnsi"/>
          <w:sz w:val="20"/>
          <w:szCs w:val="20"/>
        </w:rPr>
        <w:t>яка</w:t>
      </w:r>
      <w:r w:rsidRPr="000977F7">
        <w:rPr>
          <w:rFonts w:asciiTheme="majorHAnsi" w:hAnsiTheme="majorHAnsi"/>
          <w:spacing w:val="11"/>
          <w:sz w:val="20"/>
          <w:szCs w:val="20"/>
        </w:rPr>
        <w:t xml:space="preserve"> </w:t>
      </w:r>
      <w:r w:rsidRPr="000977F7">
        <w:rPr>
          <w:rFonts w:asciiTheme="majorHAnsi" w:hAnsiTheme="majorHAnsi"/>
          <w:sz w:val="20"/>
          <w:szCs w:val="20"/>
        </w:rPr>
        <w:t>обумовлює</w:t>
      </w:r>
      <w:r w:rsidRPr="000977F7">
        <w:rPr>
          <w:rFonts w:asciiTheme="majorHAnsi" w:hAnsiTheme="majorHAnsi"/>
          <w:spacing w:val="12"/>
          <w:sz w:val="20"/>
          <w:szCs w:val="20"/>
        </w:rPr>
        <w:t xml:space="preserve"> </w:t>
      </w:r>
      <w:r w:rsidRPr="000977F7">
        <w:rPr>
          <w:rFonts w:asciiTheme="majorHAnsi" w:hAnsiTheme="majorHAnsi"/>
          <w:sz w:val="20"/>
          <w:szCs w:val="20"/>
        </w:rPr>
        <w:t>трудомісткість його ремонту та вимірюється у ремонтних</w:t>
      </w:r>
      <w:r w:rsidRPr="000977F7">
        <w:rPr>
          <w:rFonts w:asciiTheme="majorHAnsi" w:hAnsiTheme="majorHAnsi"/>
          <w:spacing w:val="-47"/>
          <w:sz w:val="20"/>
          <w:szCs w:val="20"/>
        </w:rPr>
        <w:t xml:space="preserve"> </w:t>
      </w:r>
      <w:r w:rsidRPr="000977F7">
        <w:rPr>
          <w:rFonts w:asciiTheme="majorHAnsi" w:hAnsiTheme="majorHAnsi"/>
          <w:sz w:val="20"/>
          <w:szCs w:val="20"/>
        </w:rPr>
        <w:t>одиницях</w:t>
      </w:r>
    </w:p>
    <w:p w14:paraId="09484A8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55F9D4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КАТЕГОРІЯ</w:t>
      </w:r>
      <w:r w:rsidRPr="000977F7">
        <w:rPr>
          <w:color w:val="auto"/>
          <w:spacing w:val="-4"/>
          <w:sz w:val="20"/>
          <w:szCs w:val="20"/>
        </w:rPr>
        <w:t xml:space="preserve"> </w:t>
      </w:r>
      <w:r w:rsidRPr="000977F7">
        <w:rPr>
          <w:color w:val="auto"/>
          <w:sz w:val="20"/>
          <w:szCs w:val="20"/>
        </w:rPr>
        <w:t>ЯКОСТІ</w:t>
      </w:r>
      <w:r w:rsidRPr="000977F7">
        <w:rPr>
          <w:color w:val="auto"/>
          <w:spacing w:val="-5"/>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3021287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Градація якості продукції визначеного виду, що визначається</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підставі</w:t>
      </w:r>
      <w:r w:rsidRPr="000977F7">
        <w:rPr>
          <w:rFonts w:asciiTheme="majorHAnsi" w:hAnsiTheme="majorHAnsi"/>
          <w:spacing w:val="-2"/>
          <w:sz w:val="20"/>
          <w:szCs w:val="20"/>
        </w:rPr>
        <w:t xml:space="preserve"> </w:t>
      </w:r>
      <w:r w:rsidRPr="000977F7">
        <w:rPr>
          <w:rFonts w:asciiTheme="majorHAnsi" w:hAnsiTheme="majorHAnsi"/>
          <w:sz w:val="20"/>
          <w:szCs w:val="20"/>
        </w:rPr>
        <w:t>державної</w:t>
      </w:r>
      <w:r w:rsidRPr="000977F7">
        <w:rPr>
          <w:rFonts w:asciiTheme="majorHAnsi" w:hAnsiTheme="majorHAnsi"/>
          <w:spacing w:val="-1"/>
          <w:sz w:val="20"/>
          <w:szCs w:val="20"/>
        </w:rPr>
        <w:t xml:space="preserve"> </w:t>
      </w:r>
      <w:r w:rsidRPr="000977F7">
        <w:rPr>
          <w:rFonts w:asciiTheme="majorHAnsi" w:hAnsiTheme="majorHAnsi"/>
          <w:sz w:val="20"/>
          <w:szCs w:val="20"/>
        </w:rPr>
        <w:t>атестації</w:t>
      </w:r>
    </w:p>
    <w:p w14:paraId="0319891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КАТОДНИЙ</w:t>
      </w:r>
      <w:r w:rsidRPr="000977F7">
        <w:rPr>
          <w:color w:val="auto"/>
          <w:spacing w:val="-3"/>
          <w:sz w:val="20"/>
          <w:szCs w:val="20"/>
        </w:rPr>
        <w:t xml:space="preserve"> </w:t>
      </w:r>
      <w:r w:rsidRPr="000977F7">
        <w:rPr>
          <w:color w:val="auto"/>
          <w:sz w:val="20"/>
          <w:szCs w:val="20"/>
        </w:rPr>
        <w:t>ЗАХИСТ</w:t>
      </w:r>
      <w:r w:rsidRPr="000977F7">
        <w:rPr>
          <w:color w:val="auto"/>
          <w:spacing w:val="-3"/>
          <w:sz w:val="20"/>
          <w:szCs w:val="20"/>
        </w:rPr>
        <w:t xml:space="preserve"> </w:t>
      </w:r>
      <w:r w:rsidRPr="000977F7">
        <w:rPr>
          <w:color w:val="auto"/>
          <w:sz w:val="20"/>
          <w:szCs w:val="20"/>
        </w:rPr>
        <w:t>—</w:t>
      </w:r>
    </w:p>
    <w:p w14:paraId="05ACEB8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CATHODIC</w:t>
      </w:r>
      <w:r w:rsidRPr="000977F7">
        <w:rPr>
          <w:rFonts w:asciiTheme="majorHAnsi" w:hAnsiTheme="majorHAnsi"/>
          <w:spacing w:val="-3"/>
          <w:sz w:val="20"/>
          <w:szCs w:val="20"/>
        </w:rPr>
        <w:t xml:space="preserve"> </w:t>
      </w:r>
      <w:r w:rsidRPr="000977F7">
        <w:rPr>
          <w:rFonts w:asciiTheme="majorHAnsi" w:hAnsiTheme="majorHAnsi"/>
          <w:sz w:val="20"/>
          <w:szCs w:val="20"/>
        </w:rPr>
        <w:t>PROTECTION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5D39DE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Електрохімічний</w:t>
      </w:r>
      <w:r w:rsidRPr="000977F7">
        <w:rPr>
          <w:rFonts w:asciiTheme="majorHAnsi" w:hAnsiTheme="majorHAnsi"/>
          <w:spacing w:val="1"/>
          <w:sz w:val="20"/>
          <w:szCs w:val="20"/>
        </w:rPr>
        <w:t xml:space="preserve"> </w:t>
      </w:r>
      <w:r w:rsidRPr="000977F7">
        <w:rPr>
          <w:rFonts w:asciiTheme="majorHAnsi" w:hAnsiTheme="majorHAnsi"/>
          <w:sz w:val="20"/>
          <w:szCs w:val="20"/>
        </w:rPr>
        <w:t>захист</w:t>
      </w:r>
      <w:r w:rsidRPr="000977F7">
        <w:rPr>
          <w:rFonts w:asciiTheme="majorHAnsi" w:hAnsiTheme="majorHAnsi"/>
          <w:spacing w:val="1"/>
          <w:sz w:val="20"/>
          <w:szCs w:val="20"/>
        </w:rPr>
        <w:t xml:space="preserve"> </w:t>
      </w:r>
      <w:r w:rsidRPr="000977F7">
        <w:rPr>
          <w:rFonts w:asciiTheme="majorHAnsi" w:hAnsiTheme="majorHAnsi"/>
          <w:sz w:val="20"/>
          <w:szCs w:val="20"/>
        </w:rPr>
        <w:t>металу</w:t>
      </w:r>
      <w:r w:rsidRPr="000977F7">
        <w:rPr>
          <w:rFonts w:asciiTheme="majorHAnsi" w:hAnsiTheme="majorHAnsi"/>
          <w:spacing w:val="1"/>
          <w:sz w:val="20"/>
          <w:szCs w:val="20"/>
        </w:rPr>
        <w:t xml:space="preserve"> </w:t>
      </w:r>
      <w:r w:rsidRPr="000977F7">
        <w:rPr>
          <w:rFonts w:asciiTheme="majorHAnsi" w:hAnsiTheme="majorHAnsi"/>
          <w:sz w:val="20"/>
          <w:szCs w:val="20"/>
        </w:rPr>
        <w:t>через</w:t>
      </w:r>
      <w:r w:rsidRPr="000977F7">
        <w:rPr>
          <w:rFonts w:asciiTheme="majorHAnsi" w:hAnsiTheme="majorHAnsi"/>
          <w:spacing w:val="51"/>
          <w:sz w:val="20"/>
          <w:szCs w:val="20"/>
        </w:rPr>
        <w:t xml:space="preserve"> </w:t>
      </w:r>
      <w:r w:rsidRPr="000977F7">
        <w:rPr>
          <w:rFonts w:asciiTheme="majorHAnsi" w:hAnsiTheme="majorHAnsi"/>
          <w:sz w:val="20"/>
          <w:szCs w:val="20"/>
        </w:rPr>
        <w:t>знижування</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потенціалу</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допомогою</w:t>
      </w:r>
      <w:r w:rsidRPr="000977F7">
        <w:rPr>
          <w:rFonts w:asciiTheme="majorHAnsi" w:hAnsiTheme="majorHAnsi"/>
          <w:spacing w:val="1"/>
          <w:sz w:val="20"/>
          <w:szCs w:val="20"/>
        </w:rPr>
        <w:t xml:space="preserve"> </w:t>
      </w:r>
      <w:r w:rsidRPr="000977F7">
        <w:rPr>
          <w:rFonts w:asciiTheme="majorHAnsi" w:hAnsiTheme="majorHAnsi"/>
          <w:sz w:val="20"/>
          <w:szCs w:val="20"/>
        </w:rPr>
        <w:t>зовнішнього</w:t>
      </w:r>
      <w:r w:rsidRPr="000977F7">
        <w:rPr>
          <w:rFonts w:asciiTheme="majorHAnsi" w:hAnsiTheme="majorHAnsi"/>
          <w:spacing w:val="1"/>
          <w:sz w:val="20"/>
          <w:szCs w:val="20"/>
        </w:rPr>
        <w:t xml:space="preserve"> </w:t>
      </w:r>
      <w:r w:rsidRPr="000977F7">
        <w:rPr>
          <w:rFonts w:asciiTheme="majorHAnsi" w:hAnsiTheme="majorHAnsi"/>
          <w:sz w:val="20"/>
          <w:szCs w:val="20"/>
        </w:rPr>
        <w:t>джерела</w:t>
      </w:r>
      <w:r w:rsidRPr="000977F7">
        <w:rPr>
          <w:rFonts w:asciiTheme="majorHAnsi" w:hAnsiTheme="majorHAnsi"/>
          <w:spacing w:val="-47"/>
          <w:sz w:val="20"/>
          <w:szCs w:val="20"/>
        </w:rPr>
        <w:t xml:space="preserve"> </w:t>
      </w:r>
      <w:r w:rsidRPr="000977F7">
        <w:rPr>
          <w:rFonts w:asciiTheme="majorHAnsi" w:hAnsiTheme="majorHAnsi"/>
          <w:sz w:val="20"/>
          <w:szCs w:val="20"/>
        </w:rPr>
        <w:t>електричного</w:t>
      </w:r>
      <w:r w:rsidRPr="000977F7">
        <w:rPr>
          <w:rFonts w:asciiTheme="majorHAnsi" w:hAnsiTheme="majorHAnsi"/>
          <w:spacing w:val="-1"/>
          <w:sz w:val="20"/>
          <w:szCs w:val="20"/>
        </w:rPr>
        <w:t xml:space="preserve"> </w:t>
      </w:r>
      <w:r w:rsidRPr="000977F7">
        <w:rPr>
          <w:rFonts w:asciiTheme="majorHAnsi" w:hAnsiTheme="majorHAnsi"/>
          <w:sz w:val="20"/>
          <w:szCs w:val="20"/>
        </w:rPr>
        <w:t>струму</w:t>
      </w:r>
      <w:r w:rsidRPr="000977F7">
        <w:rPr>
          <w:rFonts w:asciiTheme="majorHAnsi" w:hAnsiTheme="majorHAnsi"/>
          <w:spacing w:val="-2"/>
          <w:sz w:val="20"/>
          <w:szCs w:val="20"/>
        </w:rPr>
        <w:t xml:space="preserve"> </w:t>
      </w:r>
      <w:r w:rsidRPr="000977F7">
        <w:rPr>
          <w:rFonts w:asciiTheme="majorHAnsi" w:hAnsiTheme="majorHAnsi"/>
          <w:sz w:val="20"/>
          <w:szCs w:val="20"/>
        </w:rPr>
        <w:t>або анодного протектора</w:t>
      </w:r>
    </w:p>
    <w:p w14:paraId="325CFF1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34B427D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КАТОДНИЙ</w:t>
      </w:r>
      <w:r w:rsidRPr="000977F7">
        <w:rPr>
          <w:color w:val="auto"/>
          <w:spacing w:val="-4"/>
          <w:sz w:val="20"/>
          <w:szCs w:val="20"/>
        </w:rPr>
        <w:t xml:space="preserve"> </w:t>
      </w:r>
      <w:r w:rsidRPr="000977F7">
        <w:rPr>
          <w:color w:val="auto"/>
          <w:sz w:val="20"/>
          <w:szCs w:val="20"/>
        </w:rPr>
        <w:t>КОНТРОЛЬ —</w:t>
      </w:r>
    </w:p>
    <w:p w14:paraId="7E6A672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CATHODIC</w:t>
      </w:r>
      <w:r w:rsidRPr="000977F7">
        <w:rPr>
          <w:rFonts w:asciiTheme="majorHAnsi" w:hAnsiTheme="majorHAnsi"/>
          <w:spacing w:val="-3"/>
          <w:sz w:val="20"/>
          <w:szCs w:val="20"/>
        </w:rPr>
        <w:t xml:space="preserve"> </w:t>
      </w:r>
      <w:r w:rsidRPr="000977F7">
        <w:rPr>
          <w:rFonts w:asciiTheme="majorHAnsi" w:hAnsiTheme="majorHAnsi"/>
          <w:sz w:val="20"/>
          <w:szCs w:val="20"/>
        </w:rPr>
        <w:t>CONTROL</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3045ED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Обмеження швидкості електрохімічної корозії катодною</w:t>
      </w:r>
      <w:r w:rsidRPr="000977F7">
        <w:rPr>
          <w:rFonts w:asciiTheme="majorHAnsi" w:hAnsiTheme="majorHAnsi"/>
          <w:spacing w:val="-1"/>
          <w:sz w:val="20"/>
          <w:szCs w:val="20"/>
        </w:rPr>
        <w:t xml:space="preserve"> </w:t>
      </w:r>
      <w:r w:rsidRPr="000977F7">
        <w:rPr>
          <w:rFonts w:asciiTheme="majorHAnsi" w:hAnsiTheme="majorHAnsi"/>
          <w:sz w:val="20"/>
          <w:szCs w:val="20"/>
        </w:rPr>
        <w:t>реакцією</w:t>
      </w:r>
    </w:p>
    <w:p w14:paraId="69B855D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5FC3231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КАТОДНИЙ</w:t>
      </w:r>
      <w:r w:rsidRPr="000977F7">
        <w:rPr>
          <w:color w:val="auto"/>
          <w:spacing w:val="-4"/>
          <w:sz w:val="20"/>
          <w:szCs w:val="20"/>
        </w:rPr>
        <w:t xml:space="preserve"> </w:t>
      </w:r>
      <w:r w:rsidRPr="000977F7">
        <w:rPr>
          <w:color w:val="auto"/>
          <w:sz w:val="20"/>
          <w:szCs w:val="20"/>
        </w:rPr>
        <w:t>ПРОТЕКТОР</w:t>
      </w:r>
      <w:r w:rsidRPr="000977F7">
        <w:rPr>
          <w:color w:val="auto"/>
          <w:spacing w:val="-1"/>
          <w:sz w:val="20"/>
          <w:szCs w:val="20"/>
        </w:rPr>
        <w:t xml:space="preserve"> </w:t>
      </w:r>
      <w:r w:rsidRPr="000977F7">
        <w:rPr>
          <w:color w:val="auto"/>
          <w:sz w:val="20"/>
          <w:szCs w:val="20"/>
        </w:rPr>
        <w:t>—</w:t>
      </w:r>
    </w:p>
    <w:p w14:paraId="5C2592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Метал, що має вищий потенціал корозії, ніж метал,</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2"/>
          <w:sz w:val="20"/>
          <w:szCs w:val="20"/>
        </w:rPr>
        <w:t xml:space="preserve"> </w:t>
      </w:r>
      <w:r w:rsidRPr="000977F7">
        <w:rPr>
          <w:rFonts w:asciiTheme="majorHAnsi" w:hAnsiTheme="majorHAnsi"/>
          <w:sz w:val="20"/>
          <w:szCs w:val="20"/>
        </w:rPr>
        <w:t>захищають</w:t>
      </w:r>
    </w:p>
    <w:p w14:paraId="2877E91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1B35B15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КВАЛІМЕТРІЯ</w:t>
      </w:r>
      <w:r w:rsidRPr="000977F7">
        <w:rPr>
          <w:color w:val="auto"/>
          <w:spacing w:val="-4"/>
          <w:sz w:val="20"/>
          <w:szCs w:val="20"/>
        </w:rPr>
        <w:t xml:space="preserve"> </w:t>
      </w:r>
      <w:r w:rsidRPr="000977F7">
        <w:rPr>
          <w:color w:val="auto"/>
          <w:sz w:val="20"/>
          <w:szCs w:val="20"/>
        </w:rPr>
        <w:t>–</w:t>
      </w:r>
    </w:p>
    <w:p w14:paraId="75E1CB0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Галузь науки, предметом якої є кількісні методи оцінки</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використовуються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lastRenderedPageBreak/>
        <w:t>обгрунтування</w:t>
      </w:r>
      <w:r w:rsidRPr="000977F7">
        <w:rPr>
          <w:rFonts w:asciiTheme="majorHAnsi" w:hAnsiTheme="majorHAnsi"/>
          <w:spacing w:val="-47"/>
          <w:sz w:val="20"/>
          <w:szCs w:val="20"/>
        </w:rPr>
        <w:t xml:space="preserve"> </w:t>
      </w:r>
      <w:r w:rsidRPr="000977F7">
        <w:rPr>
          <w:rFonts w:asciiTheme="majorHAnsi" w:hAnsiTheme="majorHAnsi"/>
          <w:sz w:val="20"/>
          <w:szCs w:val="20"/>
        </w:rPr>
        <w:t>рішень, що приймаються при управлінні якістю продукції</w:t>
      </w:r>
      <w:r w:rsidRPr="000977F7">
        <w:rPr>
          <w:rFonts w:asciiTheme="majorHAnsi" w:hAnsiTheme="majorHAnsi"/>
          <w:spacing w:val="-2"/>
          <w:sz w:val="20"/>
          <w:szCs w:val="20"/>
        </w:rPr>
        <w:t xml:space="preserve"> </w:t>
      </w:r>
      <w:r w:rsidRPr="000977F7">
        <w:rPr>
          <w:rFonts w:asciiTheme="majorHAnsi" w:hAnsiTheme="majorHAnsi"/>
          <w:sz w:val="20"/>
          <w:szCs w:val="20"/>
        </w:rPr>
        <w:t>і стандартизації</w:t>
      </w:r>
    </w:p>
    <w:p w14:paraId="72366C4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КВАЛІФІКАЦІЙНІ</w:t>
      </w:r>
      <w:r w:rsidRPr="000977F7">
        <w:rPr>
          <w:color w:val="auto"/>
          <w:spacing w:val="-7"/>
          <w:sz w:val="20"/>
          <w:szCs w:val="20"/>
        </w:rPr>
        <w:t xml:space="preserve"> </w:t>
      </w:r>
      <w:r w:rsidRPr="000977F7">
        <w:rPr>
          <w:color w:val="auto"/>
          <w:sz w:val="20"/>
          <w:szCs w:val="20"/>
        </w:rPr>
        <w:t>ВИПРОБУВАННЯ</w:t>
      </w:r>
      <w:r w:rsidRPr="000977F7">
        <w:rPr>
          <w:color w:val="auto"/>
          <w:spacing w:val="-3"/>
          <w:sz w:val="20"/>
          <w:szCs w:val="20"/>
        </w:rPr>
        <w:t xml:space="preserve"> </w:t>
      </w:r>
      <w:r w:rsidRPr="000977F7">
        <w:rPr>
          <w:color w:val="auto"/>
          <w:sz w:val="20"/>
          <w:szCs w:val="20"/>
        </w:rPr>
        <w:t>–</w:t>
      </w:r>
    </w:p>
    <w:p w14:paraId="2CE514E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QUALIFICATION</w:t>
      </w:r>
      <w:r w:rsidRPr="000977F7">
        <w:rPr>
          <w:rFonts w:asciiTheme="majorHAnsi" w:hAnsiTheme="majorHAnsi"/>
          <w:spacing w:val="-3"/>
          <w:sz w:val="20"/>
          <w:szCs w:val="20"/>
        </w:rPr>
        <w:t xml:space="preserve"> </w:t>
      </w:r>
      <w:r w:rsidRPr="000977F7">
        <w:rPr>
          <w:rFonts w:asciiTheme="majorHAnsi" w:hAnsiTheme="majorHAnsi"/>
          <w:sz w:val="20"/>
          <w:szCs w:val="20"/>
        </w:rPr>
        <w:t>TEST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6B5F70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Контрольні випробування установочної серії чи промислової партії, які проводяться для оцінки готовності підприємства до випуску продукції даного типу в</w:t>
      </w:r>
      <w:r w:rsidRPr="000977F7">
        <w:rPr>
          <w:rFonts w:asciiTheme="majorHAnsi" w:hAnsiTheme="majorHAnsi"/>
          <w:spacing w:val="1"/>
          <w:sz w:val="20"/>
          <w:szCs w:val="20"/>
        </w:rPr>
        <w:t xml:space="preserve"> </w:t>
      </w:r>
      <w:r w:rsidRPr="000977F7">
        <w:rPr>
          <w:rFonts w:asciiTheme="majorHAnsi" w:hAnsiTheme="majorHAnsi"/>
          <w:sz w:val="20"/>
          <w:szCs w:val="20"/>
        </w:rPr>
        <w:t>заданому</w:t>
      </w:r>
      <w:r w:rsidRPr="000977F7">
        <w:rPr>
          <w:rFonts w:asciiTheme="majorHAnsi" w:hAnsiTheme="majorHAnsi"/>
          <w:spacing w:val="-5"/>
          <w:sz w:val="20"/>
          <w:szCs w:val="20"/>
        </w:rPr>
        <w:t xml:space="preserve"> </w:t>
      </w:r>
      <w:r w:rsidRPr="000977F7">
        <w:rPr>
          <w:rFonts w:asciiTheme="majorHAnsi" w:hAnsiTheme="majorHAnsi"/>
          <w:sz w:val="20"/>
          <w:szCs w:val="20"/>
        </w:rPr>
        <w:t>обсязі</w:t>
      </w:r>
    </w:p>
    <w:p w14:paraId="475B95C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3021 – 95</w:t>
      </w:r>
    </w:p>
    <w:p w14:paraId="1F8D6CA0"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КВАЛІФІКОВАНО</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0F8D099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QUALIFIED –</w:t>
      </w:r>
    </w:p>
    <w:p w14:paraId="30B5F365"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z w:val="20"/>
          <w:szCs w:val="20"/>
        </w:rPr>
        <w:t>Статус,</w:t>
      </w:r>
      <w:r w:rsidRPr="000977F7">
        <w:rPr>
          <w:rFonts w:asciiTheme="majorHAnsi" w:hAnsiTheme="majorHAnsi"/>
          <w:spacing w:val="28"/>
          <w:sz w:val="20"/>
          <w:szCs w:val="20"/>
        </w:rPr>
        <w:t xml:space="preserve"> </w:t>
      </w:r>
      <w:r w:rsidRPr="000977F7">
        <w:rPr>
          <w:rFonts w:asciiTheme="majorHAnsi" w:hAnsiTheme="majorHAnsi"/>
          <w:sz w:val="20"/>
          <w:szCs w:val="20"/>
        </w:rPr>
        <w:t>наданий</w:t>
      </w:r>
      <w:r w:rsidRPr="000977F7">
        <w:rPr>
          <w:rFonts w:asciiTheme="majorHAnsi" w:hAnsiTheme="majorHAnsi"/>
          <w:spacing w:val="26"/>
          <w:sz w:val="20"/>
          <w:szCs w:val="20"/>
        </w:rPr>
        <w:t xml:space="preserve"> </w:t>
      </w:r>
      <w:r w:rsidRPr="000977F7">
        <w:rPr>
          <w:rFonts w:asciiTheme="majorHAnsi" w:hAnsiTheme="majorHAnsi"/>
          <w:sz w:val="20"/>
          <w:szCs w:val="20"/>
        </w:rPr>
        <w:t>об’єктові</w:t>
      </w:r>
      <w:r w:rsidRPr="000977F7">
        <w:rPr>
          <w:rFonts w:asciiTheme="majorHAnsi" w:hAnsiTheme="majorHAnsi"/>
          <w:spacing w:val="29"/>
          <w:sz w:val="20"/>
          <w:szCs w:val="20"/>
        </w:rPr>
        <w:t xml:space="preserve"> </w:t>
      </w:r>
      <w:r w:rsidRPr="000977F7">
        <w:rPr>
          <w:rFonts w:asciiTheme="majorHAnsi" w:hAnsiTheme="majorHAnsi"/>
          <w:sz w:val="20"/>
          <w:szCs w:val="20"/>
        </w:rPr>
        <w:t>після</w:t>
      </w:r>
      <w:r w:rsidRPr="000977F7">
        <w:rPr>
          <w:rFonts w:asciiTheme="majorHAnsi" w:hAnsiTheme="majorHAnsi"/>
          <w:spacing w:val="29"/>
          <w:sz w:val="20"/>
          <w:szCs w:val="20"/>
        </w:rPr>
        <w:t xml:space="preserve"> </w:t>
      </w:r>
      <w:r w:rsidRPr="000977F7">
        <w:rPr>
          <w:rFonts w:asciiTheme="majorHAnsi" w:hAnsiTheme="majorHAnsi"/>
          <w:sz w:val="20"/>
          <w:szCs w:val="20"/>
        </w:rPr>
        <w:t>демонстрації</w:t>
      </w:r>
      <w:r w:rsidRPr="000977F7">
        <w:rPr>
          <w:rFonts w:asciiTheme="majorHAnsi" w:hAnsiTheme="majorHAnsi"/>
          <w:spacing w:val="27"/>
          <w:sz w:val="20"/>
          <w:szCs w:val="20"/>
        </w:rPr>
        <w:t xml:space="preserve"> </w:t>
      </w:r>
      <w:r w:rsidRPr="000977F7">
        <w:rPr>
          <w:rFonts w:asciiTheme="majorHAnsi" w:hAnsiTheme="majorHAnsi"/>
          <w:sz w:val="20"/>
          <w:szCs w:val="20"/>
        </w:rPr>
        <w:t>ним</w:t>
      </w:r>
      <w:r w:rsidRPr="000977F7">
        <w:rPr>
          <w:rFonts w:asciiTheme="majorHAnsi" w:hAnsiTheme="majorHAnsi"/>
          <w:spacing w:val="-47"/>
          <w:sz w:val="20"/>
          <w:szCs w:val="20"/>
        </w:rPr>
        <w:t xml:space="preserve"> </w:t>
      </w:r>
      <w:r w:rsidRPr="000977F7">
        <w:rPr>
          <w:rFonts w:asciiTheme="majorHAnsi" w:hAnsiTheme="majorHAnsi"/>
          <w:sz w:val="20"/>
          <w:szCs w:val="20"/>
        </w:rPr>
        <w:t>можливостей</w:t>
      </w:r>
      <w:r w:rsidRPr="000977F7">
        <w:rPr>
          <w:rFonts w:asciiTheme="majorHAnsi" w:hAnsiTheme="majorHAnsi"/>
          <w:spacing w:val="-3"/>
          <w:sz w:val="20"/>
          <w:szCs w:val="20"/>
        </w:rPr>
        <w:t xml:space="preserve"> </w:t>
      </w:r>
      <w:r w:rsidRPr="000977F7">
        <w:rPr>
          <w:rFonts w:asciiTheme="majorHAnsi" w:hAnsiTheme="majorHAnsi"/>
          <w:sz w:val="20"/>
          <w:szCs w:val="20"/>
        </w:rPr>
        <w:t>виконувати</w:t>
      </w:r>
      <w:r w:rsidRPr="000977F7">
        <w:rPr>
          <w:rFonts w:asciiTheme="majorHAnsi" w:hAnsiTheme="majorHAnsi"/>
          <w:spacing w:val="49"/>
          <w:sz w:val="20"/>
          <w:szCs w:val="20"/>
        </w:rPr>
        <w:t xml:space="preserve"> </w:t>
      </w:r>
      <w:r w:rsidRPr="000977F7">
        <w:rPr>
          <w:rFonts w:asciiTheme="majorHAnsi" w:hAnsiTheme="majorHAnsi"/>
          <w:sz w:val="20"/>
          <w:szCs w:val="20"/>
        </w:rPr>
        <w:t>установлені</w:t>
      </w:r>
      <w:r w:rsidRPr="000977F7">
        <w:rPr>
          <w:rFonts w:asciiTheme="majorHAnsi" w:hAnsiTheme="majorHAnsi"/>
          <w:spacing w:val="4"/>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b/>
          <w:sz w:val="20"/>
          <w:szCs w:val="20"/>
        </w:rPr>
        <w:t>КВАНТИЛЯ –</w:t>
      </w:r>
    </w:p>
    <w:p w14:paraId="4F4748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 випадкової величини, що відповідає заданій</w:t>
      </w:r>
      <w:r w:rsidRPr="000977F7">
        <w:rPr>
          <w:rFonts w:asciiTheme="majorHAnsi" w:hAnsiTheme="majorHAnsi"/>
          <w:spacing w:val="1"/>
          <w:sz w:val="20"/>
          <w:szCs w:val="20"/>
        </w:rPr>
        <w:t xml:space="preserve"> </w:t>
      </w:r>
      <w:r w:rsidRPr="000977F7">
        <w:rPr>
          <w:rFonts w:asciiTheme="majorHAnsi" w:hAnsiTheme="majorHAnsi"/>
          <w:sz w:val="20"/>
          <w:szCs w:val="20"/>
        </w:rPr>
        <w:t>імовірності</w:t>
      </w:r>
    </w:p>
    <w:p w14:paraId="7CA5E23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2634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2E335F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КВАНТОВАНА</w:t>
      </w:r>
      <w:r w:rsidRPr="000977F7">
        <w:rPr>
          <w:color w:val="auto"/>
          <w:spacing w:val="-4"/>
          <w:sz w:val="20"/>
          <w:szCs w:val="20"/>
        </w:rPr>
        <w:t xml:space="preserve"> </w:t>
      </w:r>
      <w:r w:rsidRPr="000977F7">
        <w:rPr>
          <w:color w:val="auto"/>
          <w:sz w:val="20"/>
          <w:szCs w:val="20"/>
        </w:rPr>
        <w:t>ФІЗИЧНА</w:t>
      </w:r>
      <w:r w:rsidRPr="000977F7">
        <w:rPr>
          <w:color w:val="auto"/>
          <w:spacing w:val="-3"/>
          <w:sz w:val="20"/>
          <w:szCs w:val="20"/>
        </w:rPr>
        <w:t xml:space="preserve"> </w:t>
      </w:r>
      <w:r w:rsidRPr="000977F7">
        <w:rPr>
          <w:color w:val="auto"/>
          <w:sz w:val="20"/>
          <w:szCs w:val="20"/>
        </w:rPr>
        <w:t>ВЕЛИЧИНА</w:t>
      </w:r>
      <w:r w:rsidRPr="000977F7">
        <w:rPr>
          <w:color w:val="auto"/>
          <w:spacing w:val="-1"/>
          <w:sz w:val="20"/>
          <w:szCs w:val="20"/>
        </w:rPr>
        <w:t xml:space="preserve"> </w:t>
      </w:r>
      <w:r w:rsidRPr="000977F7">
        <w:rPr>
          <w:color w:val="auto"/>
          <w:sz w:val="20"/>
          <w:szCs w:val="20"/>
        </w:rPr>
        <w:t>–</w:t>
      </w:r>
    </w:p>
    <w:p w14:paraId="619AE9C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Фізична</w:t>
      </w:r>
      <w:r w:rsidRPr="000977F7">
        <w:rPr>
          <w:rFonts w:asciiTheme="majorHAnsi" w:hAnsiTheme="majorHAnsi"/>
          <w:spacing w:val="16"/>
          <w:sz w:val="20"/>
          <w:szCs w:val="20"/>
        </w:rPr>
        <w:t xml:space="preserve"> </w:t>
      </w:r>
      <w:r w:rsidRPr="000977F7">
        <w:rPr>
          <w:rFonts w:asciiTheme="majorHAnsi" w:hAnsiTheme="majorHAnsi"/>
          <w:sz w:val="20"/>
          <w:szCs w:val="20"/>
        </w:rPr>
        <w:t>величина,</w:t>
      </w:r>
      <w:r w:rsidRPr="000977F7">
        <w:rPr>
          <w:rFonts w:asciiTheme="majorHAnsi" w:hAnsiTheme="majorHAnsi"/>
          <w:spacing w:val="18"/>
          <w:sz w:val="20"/>
          <w:szCs w:val="20"/>
        </w:rPr>
        <w:t xml:space="preserve"> </w:t>
      </w:r>
      <w:r w:rsidRPr="000977F7">
        <w:rPr>
          <w:rFonts w:asciiTheme="majorHAnsi" w:hAnsiTheme="majorHAnsi"/>
          <w:sz w:val="20"/>
          <w:szCs w:val="20"/>
        </w:rPr>
        <w:t>поділена</w:t>
      </w:r>
      <w:r w:rsidRPr="000977F7">
        <w:rPr>
          <w:rFonts w:asciiTheme="majorHAnsi" w:hAnsiTheme="majorHAnsi"/>
          <w:spacing w:val="18"/>
          <w:sz w:val="20"/>
          <w:szCs w:val="20"/>
        </w:rPr>
        <w:t xml:space="preserve"> </w:t>
      </w:r>
      <w:r w:rsidRPr="000977F7">
        <w:rPr>
          <w:rFonts w:asciiTheme="majorHAnsi" w:hAnsiTheme="majorHAnsi"/>
          <w:sz w:val="20"/>
          <w:szCs w:val="20"/>
        </w:rPr>
        <w:t>на</w:t>
      </w:r>
      <w:r w:rsidRPr="000977F7">
        <w:rPr>
          <w:rFonts w:asciiTheme="majorHAnsi" w:hAnsiTheme="majorHAnsi"/>
          <w:spacing w:val="17"/>
          <w:sz w:val="20"/>
          <w:szCs w:val="20"/>
        </w:rPr>
        <w:t xml:space="preserve"> </w:t>
      </w:r>
      <w:r w:rsidRPr="000977F7">
        <w:rPr>
          <w:rFonts w:asciiTheme="majorHAnsi" w:hAnsiTheme="majorHAnsi"/>
          <w:sz w:val="20"/>
          <w:szCs w:val="20"/>
        </w:rPr>
        <w:t>рівні</w:t>
      </w:r>
      <w:r w:rsidRPr="000977F7">
        <w:rPr>
          <w:rFonts w:asciiTheme="majorHAnsi" w:hAnsiTheme="majorHAnsi"/>
          <w:spacing w:val="16"/>
          <w:sz w:val="20"/>
          <w:szCs w:val="20"/>
        </w:rPr>
        <w:t xml:space="preserve"> </w:t>
      </w:r>
      <w:r w:rsidRPr="000977F7">
        <w:rPr>
          <w:rFonts w:asciiTheme="majorHAnsi" w:hAnsiTheme="majorHAnsi"/>
          <w:sz w:val="20"/>
          <w:szCs w:val="20"/>
        </w:rPr>
        <w:t>за</w:t>
      </w:r>
      <w:r w:rsidRPr="000977F7">
        <w:rPr>
          <w:rFonts w:asciiTheme="majorHAnsi" w:hAnsiTheme="majorHAnsi"/>
          <w:spacing w:val="16"/>
          <w:sz w:val="20"/>
          <w:szCs w:val="20"/>
        </w:rPr>
        <w:t xml:space="preserve"> </w:t>
      </w:r>
      <w:r w:rsidRPr="000977F7">
        <w:rPr>
          <w:rFonts w:asciiTheme="majorHAnsi" w:hAnsiTheme="majorHAnsi"/>
          <w:sz w:val="20"/>
          <w:szCs w:val="20"/>
        </w:rPr>
        <w:t>розміром</w:t>
      </w:r>
      <w:r w:rsidRPr="000977F7">
        <w:rPr>
          <w:rFonts w:asciiTheme="majorHAnsi" w:hAnsiTheme="majorHAnsi"/>
          <w:spacing w:val="15"/>
          <w:sz w:val="20"/>
          <w:szCs w:val="20"/>
        </w:rPr>
        <w:t xml:space="preserve"> </w:t>
      </w:r>
      <w:r w:rsidRPr="000977F7">
        <w:rPr>
          <w:rFonts w:asciiTheme="majorHAnsi" w:hAnsiTheme="majorHAnsi"/>
          <w:sz w:val="20"/>
          <w:szCs w:val="20"/>
        </w:rPr>
        <w:t>частини,</w:t>
      </w:r>
      <w:r w:rsidRPr="000977F7">
        <w:rPr>
          <w:rFonts w:asciiTheme="majorHAnsi" w:hAnsiTheme="majorHAnsi"/>
          <w:spacing w:val="-1"/>
          <w:sz w:val="20"/>
          <w:szCs w:val="20"/>
        </w:rPr>
        <w:t xml:space="preserve"> </w:t>
      </w:r>
      <w:r w:rsidRPr="000977F7">
        <w:rPr>
          <w:rFonts w:asciiTheme="majorHAnsi" w:hAnsiTheme="majorHAnsi"/>
          <w:sz w:val="20"/>
          <w:szCs w:val="20"/>
        </w:rPr>
        <w:t>кванти</w:t>
      </w:r>
    </w:p>
    <w:p w14:paraId="0F0739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34835F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Найбільш</w:t>
      </w:r>
      <w:r w:rsidRPr="000977F7">
        <w:rPr>
          <w:rFonts w:asciiTheme="majorHAnsi" w:hAnsiTheme="majorHAnsi"/>
          <w:spacing w:val="-4"/>
          <w:sz w:val="20"/>
          <w:szCs w:val="20"/>
        </w:rPr>
        <w:t xml:space="preserve"> </w:t>
      </w:r>
      <w:r w:rsidRPr="000977F7">
        <w:rPr>
          <w:rFonts w:asciiTheme="majorHAnsi" w:hAnsiTheme="majorHAnsi"/>
          <w:sz w:val="20"/>
          <w:szCs w:val="20"/>
        </w:rPr>
        <w:t>пристосовані</w:t>
      </w:r>
      <w:r w:rsidRPr="000977F7">
        <w:rPr>
          <w:rFonts w:asciiTheme="majorHAnsi" w:hAnsiTheme="majorHAnsi"/>
          <w:spacing w:val="-6"/>
          <w:sz w:val="20"/>
          <w:szCs w:val="20"/>
        </w:rPr>
        <w:t xml:space="preserve"> </w:t>
      </w:r>
      <w:r w:rsidRPr="000977F7">
        <w:rPr>
          <w:rFonts w:asciiTheme="majorHAnsi" w:hAnsiTheme="majorHAnsi"/>
          <w:sz w:val="20"/>
          <w:szCs w:val="20"/>
        </w:rPr>
        <w:t>до</w:t>
      </w:r>
      <w:r w:rsidRPr="000977F7">
        <w:rPr>
          <w:rFonts w:asciiTheme="majorHAnsi" w:hAnsiTheme="majorHAnsi"/>
          <w:spacing w:val="-5"/>
          <w:sz w:val="20"/>
          <w:szCs w:val="20"/>
        </w:rPr>
        <w:t xml:space="preserve"> </w:t>
      </w:r>
      <w:r w:rsidRPr="000977F7">
        <w:rPr>
          <w:rFonts w:asciiTheme="majorHAnsi" w:hAnsiTheme="majorHAnsi"/>
          <w:sz w:val="20"/>
          <w:szCs w:val="20"/>
        </w:rPr>
        <w:t>квантування</w:t>
      </w:r>
    </w:p>
    <w:p w14:paraId="244C02A7"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адитивні</w:t>
      </w:r>
      <w:r w:rsidRPr="000977F7">
        <w:rPr>
          <w:rFonts w:asciiTheme="majorHAnsi" w:hAnsiTheme="majorHAnsi"/>
          <w:spacing w:val="31"/>
          <w:sz w:val="20"/>
          <w:szCs w:val="20"/>
        </w:rPr>
        <w:t xml:space="preserve"> </w:t>
      </w:r>
      <w:r w:rsidRPr="000977F7">
        <w:rPr>
          <w:rFonts w:asciiTheme="majorHAnsi" w:hAnsiTheme="majorHAnsi"/>
          <w:sz w:val="20"/>
          <w:szCs w:val="20"/>
        </w:rPr>
        <w:t>фізичні</w:t>
      </w:r>
      <w:r w:rsidRPr="000977F7">
        <w:rPr>
          <w:rFonts w:asciiTheme="majorHAnsi" w:hAnsiTheme="majorHAnsi"/>
          <w:spacing w:val="32"/>
          <w:sz w:val="20"/>
          <w:szCs w:val="20"/>
        </w:rPr>
        <w:t xml:space="preserve"> </w:t>
      </w:r>
      <w:r w:rsidRPr="000977F7">
        <w:rPr>
          <w:rFonts w:asciiTheme="majorHAnsi" w:hAnsiTheme="majorHAnsi"/>
          <w:sz w:val="20"/>
          <w:szCs w:val="20"/>
        </w:rPr>
        <w:t>величини.</w:t>
      </w:r>
      <w:r w:rsidRPr="000977F7">
        <w:rPr>
          <w:rFonts w:asciiTheme="majorHAnsi" w:hAnsiTheme="majorHAnsi"/>
          <w:spacing w:val="34"/>
          <w:sz w:val="20"/>
          <w:szCs w:val="20"/>
        </w:rPr>
        <w:t xml:space="preserve"> </w:t>
      </w:r>
      <w:r w:rsidRPr="000977F7">
        <w:rPr>
          <w:rFonts w:asciiTheme="majorHAnsi" w:hAnsiTheme="majorHAnsi"/>
          <w:sz w:val="20"/>
          <w:szCs w:val="20"/>
        </w:rPr>
        <w:t>Адитивні</w:t>
      </w:r>
      <w:r w:rsidRPr="000977F7">
        <w:rPr>
          <w:rFonts w:asciiTheme="majorHAnsi" w:hAnsiTheme="majorHAnsi"/>
          <w:spacing w:val="32"/>
          <w:sz w:val="20"/>
          <w:szCs w:val="20"/>
        </w:rPr>
        <w:t xml:space="preserve"> </w:t>
      </w:r>
      <w:r w:rsidRPr="000977F7">
        <w:rPr>
          <w:rFonts w:asciiTheme="majorHAnsi" w:hAnsiTheme="majorHAnsi"/>
          <w:sz w:val="20"/>
          <w:szCs w:val="20"/>
        </w:rPr>
        <w:t>величини</w:t>
      </w:r>
      <w:r w:rsidRPr="000977F7">
        <w:rPr>
          <w:rFonts w:asciiTheme="majorHAnsi" w:hAnsiTheme="majorHAnsi"/>
          <w:spacing w:val="34"/>
          <w:sz w:val="20"/>
          <w:szCs w:val="20"/>
        </w:rPr>
        <w:t xml:space="preserve"> </w:t>
      </w:r>
      <w:r w:rsidRPr="000977F7">
        <w:rPr>
          <w:rFonts w:asciiTheme="majorHAnsi" w:hAnsiTheme="majorHAnsi"/>
          <w:sz w:val="20"/>
          <w:szCs w:val="20"/>
        </w:rPr>
        <w:t>–</w:t>
      </w:r>
      <w:r w:rsidRPr="000977F7">
        <w:rPr>
          <w:rFonts w:asciiTheme="majorHAnsi" w:hAnsiTheme="majorHAnsi"/>
          <w:spacing w:val="35"/>
          <w:sz w:val="20"/>
          <w:szCs w:val="20"/>
        </w:rPr>
        <w:t xml:space="preserve"> </w:t>
      </w:r>
      <w:r w:rsidRPr="000977F7">
        <w:rPr>
          <w:rFonts w:asciiTheme="majorHAnsi" w:hAnsiTheme="majorHAnsi"/>
          <w:sz w:val="20"/>
          <w:szCs w:val="20"/>
        </w:rPr>
        <w:t>це</w:t>
      </w:r>
      <w:r w:rsidRPr="000977F7">
        <w:rPr>
          <w:rFonts w:asciiTheme="majorHAnsi" w:hAnsiTheme="majorHAnsi"/>
          <w:spacing w:val="-47"/>
          <w:sz w:val="20"/>
          <w:szCs w:val="20"/>
        </w:rPr>
        <w:t xml:space="preserve"> </w:t>
      </w:r>
      <w:r w:rsidRPr="000977F7">
        <w:rPr>
          <w:rFonts w:asciiTheme="majorHAnsi" w:hAnsiTheme="majorHAnsi"/>
          <w:sz w:val="20"/>
          <w:szCs w:val="20"/>
        </w:rPr>
        <w:t>величини,</w:t>
      </w:r>
      <w:r w:rsidRPr="000977F7">
        <w:rPr>
          <w:rFonts w:asciiTheme="majorHAnsi" w:hAnsiTheme="majorHAnsi"/>
          <w:spacing w:val="32"/>
          <w:sz w:val="20"/>
          <w:szCs w:val="20"/>
        </w:rPr>
        <w:t xml:space="preserve"> </w:t>
      </w:r>
      <w:r w:rsidRPr="000977F7">
        <w:rPr>
          <w:rFonts w:asciiTheme="majorHAnsi" w:hAnsiTheme="majorHAnsi"/>
          <w:sz w:val="20"/>
          <w:szCs w:val="20"/>
        </w:rPr>
        <w:t>які</w:t>
      </w:r>
      <w:r w:rsidRPr="000977F7">
        <w:rPr>
          <w:rFonts w:asciiTheme="majorHAnsi" w:hAnsiTheme="majorHAnsi"/>
          <w:spacing w:val="32"/>
          <w:sz w:val="20"/>
          <w:szCs w:val="20"/>
        </w:rPr>
        <w:t xml:space="preserve"> </w:t>
      </w:r>
      <w:r w:rsidRPr="000977F7">
        <w:rPr>
          <w:rFonts w:asciiTheme="majorHAnsi" w:hAnsiTheme="majorHAnsi"/>
          <w:sz w:val="20"/>
          <w:szCs w:val="20"/>
        </w:rPr>
        <w:t>підсумовуються</w:t>
      </w:r>
      <w:r w:rsidRPr="000977F7">
        <w:rPr>
          <w:rFonts w:asciiTheme="majorHAnsi" w:hAnsiTheme="majorHAnsi"/>
          <w:spacing w:val="32"/>
          <w:sz w:val="20"/>
          <w:szCs w:val="20"/>
        </w:rPr>
        <w:t xml:space="preserve"> </w:t>
      </w:r>
      <w:r w:rsidRPr="000977F7">
        <w:rPr>
          <w:rFonts w:asciiTheme="majorHAnsi" w:hAnsiTheme="majorHAnsi"/>
          <w:sz w:val="20"/>
          <w:szCs w:val="20"/>
        </w:rPr>
        <w:t>експериментально.</w:t>
      </w:r>
      <w:r w:rsidRPr="000977F7">
        <w:rPr>
          <w:rFonts w:asciiTheme="majorHAnsi" w:hAnsiTheme="majorHAnsi"/>
          <w:spacing w:val="-47"/>
          <w:sz w:val="20"/>
          <w:szCs w:val="20"/>
        </w:rPr>
        <w:t xml:space="preserve"> </w:t>
      </w:r>
      <w:r w:rsidRPr="000977F7">
        <w:rPr>
          <w:rFonts w:asciiTheme="majorHAnsi" w:hAnsiTheme="majorHAnsi"/>
          <w:sz w:val="20"/>
          <w:szCs w:val="20"/>
        </w:rPr>
        <w:t>Природно</w:t>
      </w:r>
      <w:r w:rsidRPr="000977F7">
        <w:rPr>
          <w:rFonts w:asciiTheme="majorHAnsi" w:hAnsiTheme="majorHAnsi"/>
          <w:spacing w:val="27"/>
          <w:sz w:val="20"/>
          <w:szCs w:val="20"/>
        </w:rPr>
        <w:t xml:space="preserve"> </w:t>
      </w:r>
      <w:r w:rsidRPr="000977F7">
        <w:rPr>
          <w:rFonts w:asciiTheme="majorHAnsi" w:hAnsiTheme="majorHAnsi"/>
          <w:sz w:val="20"/>
          <w:szCs w:val="20"/>
        </w:rPr>
        <w:t>квантова</w:t>
      </w:r>
      <w:r w:rsidRPr="000977F7">
        <w:rPr>
          <w:rFonts w:asciiTheme="majorHAnsi" w:hAnsiTheme="majorHAnsi"/>
          <w:spacing w:val="26"/>
          <w:sz w:val="20"/>
          <w:szCs w:val="20"/>
        </w:rPr>
        <w:t xml:space="preserve"> </w:t>
      </w:r>
      <w:r w:rsidRPr="000977F7">
        <w:rPr>
          <w:rFonts w:asciiTheme="majorHAnsi" w:hAnsiTheme="majorHAnsi"/>
          <w:sz w:val="20"/>
          <w:szCs w:val="20"/>
        </w:rPr>
        <w:t>фізична</w:t>
      </w:r>
      <w:r w:rsidRPr="000977F7">
        <w:rPr>
          <w:rFonts w:asciiTheme="majorHAnsi" w:hAnsiTheme="majorHAnsi"/>
          <w:spacing w:val="27"/>
          <w:sz w:val="20"/>
          <w:szCs w:val="20"/>
        </w:rPr>
        <w:t xml:space="preserve"> </w:t>
      </w:r>
      <w:r w:rsidRPr="000977F7">
        <w:rPr>
          <w:rFonts w:asciiTheme="majorHAnsi" w:hAnsiTheme="majorHAnsi"/>
          <w:sz w:val="20"/>
          <w:szCs w:val="20"/>
        </w:rPr>
        <w:t>величина</w:t>
      </w:r>
      <w:r w:rsidRPr="000977F7">
        <w:rPr>
          <w:rFonts w:asciiTheme="majorHAnsi" w:hAnsiTheme="majorHAnsi"/>
          <w:spacing w:val="27"/>
          <w:sz w:val="20"/>
          <w:szCs w:val="20"/>
        </w:rPr>
        <w:t xml:space="preserve"> </w:t>
      </w:r>
      <w:r w:rsidRPr="000977F7">
        <w:rPr>
          <w:rFonts w:asciiTheme="majorHAnsi" w:hAnsiTheme="majorHAnsi"/>
          <w:sz w:val="20"/>
          <w:szCs w:val="20"/>
        </w:rPr>
        <w:t>поділена</w:t>
      </w:r>
      <w:r w:rsidRPr="000977F7">
        <w:rPr>
          <w:rFonts w:asciiTheme="majorHAnsi" w:hAnsiTheme="majorHAnsi"/>
          <w:spacing w:val="27"/>
          <w:sz w:val="20"/>
          <w:szCs w:val="20"/>
        </w:rPr>
        <w:t xml:space="preserve"> </w:t>
      </w:r>
      <w:r w:rsidRPr="000977F7">
        <w:rPr>
          <w:rFonts w:asciiTheme="majorHAnsi" w:hAnsiTheme="majorHAnsi"/>
          <w:sz w:val="20"/>
          <w:szCs w:val="20"/>
        </w:rPr>
        <w:t>на</w:t>
      </w:r>
      <w:r w:rsidRPr="000977F7">
        <w:rPr>
          <w:rFonts w:asciiTheme="majorHAnsi" w:hAnsiTheme="majorHAnsi"/>
          <w:spacing w:val="-47"/>
          <w:sz w:val="20"/>
          <w:szCs w:val="20"/>
        </w:rPr>
        <w:t xml:space="preserve"> </w:t>
      </w:r>
      <w:r w:rsidRPr="000977F7">
        <w:rPr>
          <w:rFonts w:asciiTheme="majorHAnsi" w:hAnsiTheme="majorHAnsi"/>
          <w:sz w:val="20"/>
          <w:szCs w:val="20"/>
        </w:rPr>
        <w:t>кванти</w:t>
      </w:r>
      <w:r w:rsidRPr="000977F7">
        <w:rPr>
          <w:rFonts w:asciiTheme="majorHAnsi" w:hAnsiTheme="majorHAnsi"/>
          <w:spacing w:val="13"/>
          <w:sz w:val="20"/>
          <w:szCs w:val="20"/>
        </w:rPr>
        <w:t xml:space="preserve"> </w:t>
      </w:r>
      <w:r w:rsidRPr="000977F7">
        <w:rPr>
          <w:rFonts w:asciiTheme="majorHAnsi" w:hAnsiTheme="majorHAnsi"/>
          <w:sz w:val="20"/>
          <w:szCs w:val="20"/>
        </w:rPr>
        <w:t>від</w:t>
      </w:r>
      <w:r w:rsidRPr="000977F7">
        <w:rPr>
          <w:rFonts w:asciiTheme="majorHAnsi" w:hAnsiTheme="majorHAnsi"/>
          <w:spacing w:val="14"/>
          <w:sz w:val="20"/>
          <w:szCs w:val="20"/>
        </w:rPr>
        <w:t xml:space="preserve"> </w:t>
      </w:r>
      <w:r w:rsidRPr="000977F7">
        <w:rPr>
          <w:rFonts w:asciiTheme="majorHAnsi" w:hAnsiTheme="majorHAnsi"/>
          <w:sz w:val="20"/>
          <w:szCs w:val="20"/>
        </w:rPr>
        <w:t>природи</w:t>
      </w:r>
      <w:r w:rsidRPr="000977F7">
        <w:rPr>
          <w:rFonts w:asciiTheme="majorHAnsi" w:hAnsiTheme="majorHAnsi"/>
          <w:spacing w:val="12"/>
          <w:sz w:val="20"/>
          <w:szCs w:val="20"/>
        </w:rPr>
        <w:t xml:space="preserve"> </w:t>
      </w:r>
      <w:r w:rsidRPr="000977F7">
        <w:rPr>
          <w:rFonts w:asciiTheme="majorHAnsi" w:hAnsiTheme="majorHAnsi"/>
          <w:sz w:val="20"/>
          <w:szCs w:val="20"/>
        </w:rPr>
        <w:t>(електричний</w:t>
      </w:r>
      <w:r w:rsidRPr="000977F7">
        <w:rPr>
          <w:rFonts w:asciiTheme="majorHAnsi" w:hAnsiTheme="majorHAnsi"/>
          <w:spacing w:val="11"/>
          <w:sz w:val="20"/>
          <w:szCs w:val="20"/>
        </w:rPr>
        <w:t xml:space="preserve"> </w:t>
      </w:r>
      <w:r w:rsidRPr="000977F7">
        <w:rPr>
          <w:rFonts w:asciiTheme="majorHAnsi" w:hAnsiTheme="majorHAnsi"/>
          <w:sz w:val="20"/>
          <w:szCs w:val="20"/>
        </w:rPr>
        <w:t>заряд,</w:t>
      </w:r>
      <w:r w:rsidRPr="000977F7">
        <w:rPr>
          <w:rFonts w:asciiTheme="majorHAnsi" w:hAnsiTheme="majorHAnsi"/>
          <w:spacing w:val="12"/>
          <w:sz w:val="20"/>
          <w:szCs w:val="20"/>
        </w:rPr>
        <w:t xml:space="preserve"> </w:t>
      </w:r>
      <w:r w:rsidRPr="000977F7">
        <w:rPr>
          <w:rFonts w:asciiTheme="majorHAnsi" w:hAnsiTheme="majorHAnsi"/>
          <w:sz w:val="20"/>
          <w:szCs w:val="20"/>
        </w:rPr>
        <w:t>маса).</w:t>
      </w:r>
      <w:r w:rsidRPr="000977F7">
        <w:rPr>
          <w:rFonts w:asciiTheme="majorHAnsi" w:hAnsiTheme="majorHAnsi"/>
          <w:spacing w:val="13"/>
          <w:sz w:val="20"/>
          <w:szCs w:val="20"/>
        </w:rPr>
        <w:t xml:space="preserve"> </w:t>
      </w:r>
      <w:r w:rsidRPr="000977F7">
        <w:rPr>
          <w:rFonts w:asciiTheme="majorHAnsi" w:hAnsiTheme="majorHAnsi"/>
          <w:sz w:val="20"/>
          <w:szCs w:val="20"/>
        </w:rPr>
        <w:t>Штучно</w:t>
      </w:r>
      <w:r w:rsidRPr="000977F7">
        <w:rPr>
          <w:rFonts w:asciiTheme="majorHAnsi" w:hAnsiTheme="majorHAnsi"/>
          <w:spacing w:val="21"/>
          <w:sz w:val="20"/>
          <w:szCs w:val="20"/>
        </w:rPr>
        <w:t xml:space="preserve"> </w:t>
      </w:r>
      <w:r w:rsidRPr="000977F7">
        <w:rPr>
          <w:rFonts w:asciiTheme="majorHAnsi" w:hAnsiTheme="majorHAnsi"/>
          <w:sz w:val="20"/>
          <w:szCs w:val="20"/>
        </w:rPr>
        <w:t>квантована</w:t>
      </w:r>
      <w:r w:rsidRPr="000977F7">
        <w:rPr>
          <w:rFonts w:asciiTheme="majorHAnsi" w:hAnsiTheme="majorHAnsi"/>
          <w:spacing w:val="22"/>
          <w:sz w:val="20"/>
          <w:szCs w:val="20"/>
        </w:rPr>
        <w:t xml:space="preserve"> </w:t>
      </w:r>
      <w:r w:rsidRPr="000977F7">
        <w:rPr>
          <w:rFonts w:asciiTheme="majorHAnsi" w:hAnsiTheme="majorHAnsi"/>
          <w:sz w:val="20"/>
          <w:szCs w:val="20"/>
        </w:rPr>
        <w:t>фізична</w:t>
      </w:r>
      <w:r w:rsidRPr="000977F7">
        <w:rPr>
          <w:rFonts w:asciiTheme="majorHAnsi" w:hAnsiTheme="majorHAnsi"/>
          <w:spacing w:val="23"/>
          <w:sz w:val="20"/>
          <w:szCs w:val="20"/>
        </w:rPr>
        <w:t xml:space="preserve"> </w:t>
      </w:r>
      <w:r w:rsidRPr="000977F7">
        <w:rPr>
          <w:rFonts w:asciiTheme="majorHAnsi" w:hAnsiTheme="majorHAnsi"/>
          <w:sz w:val="20"/>
          <w:szCs w:val="20"/>
        </w:rPr>
        <w:t>величина</w:t>
      </w:r>
      <w:r w:rsidRPr="000977F7">
        <w:rPr>
          <w:rFonts w:asciiTheme="majorHAnsi" w:hAnsiTheme="majorHAnsi"/>
          <w:spacing w:val="24"/>
          <w:sz w:val="20"/>
          <w:szCs w:val="20"/>
        </w:rPr>
        <w:t xml:space="preserve"> </w:t>
      </w:r>
      <w:r w:rsidRPr="000977F7">
        <w:rPr>
          <w:rFonts w:asciiTheme="majorHAnsi" w:hAnsiTheme="majorHAnsi"/>
          <w:sz w:val="20"/>
          <w:szCs w:val="20"/>
        </w:rPr>
        <w:t>поділена</w:t>
      </w:r>
      <w:r w:rsidRPr="000977F7">
        <w:rPr>
          <w:rFonts w:asciiTheme="majorHAnsi" w:hAnsiTheme="majorHAnsi"/>
          <w:spacing w:val="24"/>
          <w:sz w:val="20"/>
          <w:szCs w:val="20"/>
        </w:rPr>
        <w:t xml:space="preserve"> </w:t>
      </w:r>
      <w:r w:rsidRPr="000977F7">
        <w:rPr>
          <w:rFonts w:asciiTheme="majorHAnsi" w:hAnsiTheme="majorHAnsi"/>
          <w:sz w:val="20"/>
          <w:szCs w:val="20"/>
        </w:rPr>
        <w:t>штучно</w:t>
      </w:r>
      <w:r w:rsidRPr="000977F7">
        <w:rPr>
          <w:rFonts w:asciiTheme="majorHAnsi" w:hAnsiTheme="majorHAnsi"/>
          <w:spacing w:val="25"/>
          <w:sz w:val="20"/>
          <w:szCs w:val="20"/>
        </w:rPr>
        <w:t xml:space="preserve"> </w:t>
      </w:r>
      <w:r w:rsidRPr="000977F7">
        <w:rPr>
          <w:rFonts w:asciiTheme="majorHAnsi" w:hAnsiTheme="majorHAnsi"/>
          <w:sz w:val="20"/>
          <w:szCs w:val="20"/>
        </w:rPr>
        <w:t>на</w:t>
      </w:r>
      <w:r w:rsidRPr="000977F7">
        <w:rPr>
          <w:rFonts w:asciiTheme="majorHAnsi" w:hAnsiTheme="majorHAnsi"/>
          <w:spacing w:val="-47"/>
          <w:sz w:val="20"/>
          <w:szCs w:val="20"/>
        </w:rPr>
        <w:t xml:space="preserve"> </w:t>
      </w:r>
      <w:r w:rsidRPr="000977F7">
        <w:rPr>
          <w:rFonts w:asciiTheme="majorHAnsi" w:hAnsiTheme="majorHAnsi"/>
          <w:sz w:val="20"/>
          <w:szCs w:val="20"/>
        </w:rPr>
        <w:t>кванти</w:t>
      </w:r>
      <w:r w:rsidRPr="000977F7">
        <w:rPr>
          <w:rFonts w:asciiTheme="majorHAnsi" w:hAnsiTheme="majorHAnsi"/>
          <w:spacing w:val="33"/>
          <w:sz w:val="20"/>
          <w:szCs w:val="20"/>
        </w:rPr>
        <w:t xml:space="preserve"> </w:t>
      </w:r>
      <w:r w:rsidRPr="000977F7">
        <w:rPr>
          <w:rFonts w:asciiTheme="majorHAnsi" w:hAnsiTheme="majorHAnsi"/>
          <w:sz w:val="20"/>
          <w:szCs w:val="20"/>
        </w:rPr>
        <w:t>або</w:t>
      </w:r>
      <w:r w:rsidRPr="000977F7">
        <w:rPr>
          <w:rFonts w:asciiTheme="majorHAnsi" w:hAnsiTheme="majorHAnsi"/>
          <w:spacing w:val="35"/>
          <w:sz w:val="20"/>
          <w:szCs w:val="20"/>
        </w:rPr>
        <w:t xml:space="preserve"> </w:t>
      </w:r>
      <w:r w:rsidRPr="000977F7">
        <w:rPr>
          <w:rFonts w:asciiTheme="majorHAnsi" w:hAnsiTheme="majorHAnsi"/>
          <w:sz w:val="20"/>
          <w:szCs w:val="20"/>
        </w:rPr>
        <w:t>інтервали,</w:t>
      </w:r>
      <w:r w:rsidRPr="000977F7">
        <w:rPr>
          <w:rFonts w:asciiTheme="majorHAnsi" w:hAnsiTheme="majorHAnsi"/>
          <w:spacing w:val="36"/>
          <w:sz w:val="20"/>
          <w:szCs w:val="20"/>
        </w:rPr>
        <w:t xml:space="preserve"> </w:t>
      </w:r>
      <w:r w:rsidRPr="000977F7">
        <w:rPr>
          <w:rFonts w:asciiTheme="majorHAnsi" w:hAnsiTheme="majorHAnsi"/>
          <w:sz w:val="20"/>
          <w:szCs w:val="20"/>
        </w:rPr>
        <w:t>наприклад:</w:t>
      </w:r>
      <w:r w:rsidRPr="000977F7">
        <w:rPr>
          <w:rFonts w:asciiTheme="majorHAnsi" w:hAnsiTheme="majorHAnsi"/>
          <w:spacing w:val="34"/>
          <w:sz w:val="20"/>
          <w:szCs w:val="20"/>
        </w:rPr>
        <w:t xml:space="preserve"> </w:t>
      </w:r>
      <w:r w:rsidRPr="000977F7">
        <w:rPr>
          <w:rFonts w:asciiTheme="majorHAnsi" w:hAnsiTheme="majorHAnsi"/>
          <w:sz w:val="20"/>
          <w:szCs w:val="20"/>
        </w:rPr>
        <w:t>довжина</w:t>
      </w:r>
      <w:r w:rsidRPr="000977F7">
        <w:rPr>
          <w:rFonts w:asciiTheme="majorHAnsi" w:hAnsiTheme="majorHAnsi"/>
          <w:spacing w:val="38"/>
          <w:sz w:val="20"/>
          <w:szCs w:val="20"/>
        </w:rPr>
        <w:t xml:space="preserve"> </w:t>
      </w:r>
      <w:r w:rsidRPr="000977F7">
        <w:rPr>
          <w:rFonts w:asciiTheme="majorHAnsi" w:hAnsiTheme="majorHAnsi"/>
          <w:sz w:val="20"/>
          <w:szCs w:val="20"/>
        </w:rPr>
        <w:t>лінійки</w:t>
      </w:r>
      <w:r w:rsidRPr="000977F7">
        <w:rPr>
          <w:rFonts w:asciiTheme="majorHAnsi" w:hAnsiTheme="majorHAnsi"/>
          <w:spacing w:val="33"/>
          <w:sz w:val="20"/>
          <w:szCs w:val="20"/>
        </w:rPr>
        <w:t xml:space="preserve"> </w:t>
      </w:r>
      <w:r w:rsidRPr="000977F7">
        <w:rPr>
          <w:rFonts w:asciiTheme="majorHAnsi" w:hAnsiTheme="majorHAnsi"/>
          <w:sz w:val="20"/>
          <w:szCs w:val="20"/>
        </w:rPr>
        <w:t>з</w:t>
      </w:r>
      <w:r w:rsidRPr="000977F7">
        <w:rPr>
          <w:rFonts w:asciiTheme="majorHAnsi" w:hAnsiTheme="majorHAnsi"/>
          <w:spacing w:val="-47"/>
          <w:sz w:val="20"/>
          <w:szCs w:val="20"/>
        </w:rPr>
        <w:t xml:space="preserve"> </w:t>
      </w:r>
      <w:r w:rsidRPr="000977F7">
        <w:rPr>
          <w:rFonts w:asciiTheme="majorHAnsi" w:hAnsiTheme="majorHAnsi"/>
          <w:sz w:val="20"/>
          <w:szCs w:val="20"/>
        </w:rPr>
        <w:t>нанесеними</w:t>
      </w:r>
      <w:r w:rsidRPr="000977F7">
        <w:rPr>
          <w:rFonts w:asciiTheme="majorHAnsi" w:hAnsiTheme="majorHAnsi"/>
          <w:spacing w:val="33"/>
          <w:sz w:val="20"/>
          <w:szCs w:val="20"/>
        </w:rPr>
        <w:t xml:space="preserve"> </w:t>
      </w:r>
      <w:r w:rsidRPr="000977F7">
        <w:rPr>
          <w:rFonts w:asciiTheme="majorHAnsi" w:hAnsiTheme="majorHAnsi"/>
          <w:sz w:val="20"/>
          <w:szCs w:val="20"/>
        </w:rPr>
        <w:t>на</w:t>
      </w:r>
      <w:r w:rsidRPr="000977F7">
        <w:rPr>
          <w:rFonts w:asciiTheme="majorHAnsi" w:hAnsiTheme="majorHAnsi"/>
          <w:spacing w:val="35"/>
          <w:sz w:val="20"/>
          <w:szCs w:val="20"/>
        </w:rPr>
        <w:t xml:space="preserve"> </w:t>
      </w:r>
      <w:r w:rsidRPr="000977F7">
        <w:rPr>
          <w:rFonts w:asciiTheme="majorHAnsi" w:hAnsiTheme="majorHAnsi"/>
          <w:sz w:val="20"/>
          <w:szCs w:val="20"/>
        </w:rPr>
        <w:t>ній</w:t>
      </w:r>
      <w:r w:rsidRPr="000977F7">
        <w:rPr>
          <w:rFonts w:asciiTheme="majorHAnsi" w:hAnsiTheme="majorHAnsi"/>
          <w:spacing w:val="33"/>
          <w:sz w:val="20"/>
          <w:szCs w:val="20"/>
        </w:rPr>
        <w:t xml:space="preserve"> </w:t>
      </w:r>
      <w:r w:rsidRPr="000977F7">
        <w:rPr>
          <w:rFonts w:asciiTheme="majorHAnsi" w:hAnsiTheme="majorHAnsi"/>
          <w:sz w:val="20"/>
          <w:szCs w:val="20"/>
        </w:rPr>
        <w:t>рівновіддаленими</w:t>
      </w:r>
      <w:r w:rsidRPr="000977F7">
        <w:rPr>
          <w:rFonts w:asciiTheme="majorHAnsi" w:hAnsiTheme="majorHAnsi"/>
          <w:spacing w:val="31"/>
          <w:sz w:val="20"/>
          <w:szCs w:val="20"/>
        </w:rPr>
        <w:t xml:space="preserve"> </w:t>
      </w:r>
      <w:r w:rsidRPr="000977F7">
        <w:rPr>
          <w:rFonts w:asciiTheme="majorHAnsi" w:hAnsiTheme="majorHAnsi"/>
          <w:sz w:val="20"/>
          <w:szCs w:val="20"/>
        </w:rPr>
        <w:t>відмітками;</w:t>
      </w:r>
      <w:r w:rsidRPr="000977F7">
        <w:rPr>
          <w:rFonts w:asciiTheme="majorHAnsi" w:hAnsiTheme="majorHAnsi"/>
          <w:spacing w:val="35"/>
          <w:sz w:val="20"/>
          <w:szCs w:val="20"/>
        </w:rPr>
        <w:t xml:space="preserve"> </w:t>
      </w:r>
      <w:r w:rsidRPr="000977F7">
        <w:rPr>
          <w:rFonts w:asciiTheme="majorHAnsi" w:hAnsiTheme="majorHAnsi"/>
          <w:sz w:val="20"/>
          <w:szCs w:val="20"/>
        </w:rPr>
        <w:t>інтервал часу, поділений рівновіддаленими імпульсами</w:t>
      </w:r>
    </w:p>
    <w:p w14:paraId="130E8F0C"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09272B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91" w:name="_Hlk101017774"/>
      <w:r w:rsidRPr="000977F7">
        <w:rPr>
          <w:color w:val="auto"/>
          <w:sz w:val="20"/>
          <w:szCs w:val="20"/>
        </w:rPr>
        <w:t>KBAHTOBAHE</w:t>
      </w:r>
      <w:r w:rsidRPr="000977F7">
        <w:rPr>
          <w:color w:val="auto"/>
          <w:spacing w:val="-4"/>
          <w:sz w:val="20"/>
          <w:szCs w:val="20"/>
        </w:rPr>
        <w:t xml:space="preserve"> </w:t>
      </w:r>
      <w:r w:rsidRPr="000977F7">
        <w:rPr>
          <w:color w:val="auto"/>
          <w:sz w:val="20"/>
          <w:szCs w:val="20"/>
        </w:rPr>
        <w:t>(У</w:t>
      </w:r>
      <w:r w:rsidRPr="000977F7">
        <w:rPr>
          <w:color w:val="auto"/>
          <w:spacing w:val="-3"/>
          <w:sz w:val="20"/>
          <w:szCs w:val="20"/>
        </w:rPr>
        <w:t xml:space="preserve"> </w:t>
      </w:r>
      <w:r w:rsidRPr="000977F7">
        <w:rPr>
          <w:color w:val="auto"/>
          <w:sz w:val="20"/>
          <w:szCs w:val="20"/>
        </w:rPr>
        <w:t>ЧАСІ)</w:t>
      </w:r>
      <w:r w:rsidRPr="000977F7">
        <w:rPr>
          <w:color w:val="auto"/>
          <w:spacing w:val="-4"/>
          <w:sz w:val="20"/>
          <w:szCs w:val="20"/>
        </w:rPr>
        <w:t xml:space="preserve"> </w:t>
      </w:r>
      <w:r w:rsidRPr="000977F7">
        <w:rPr>
          <w:color w:val="auto"/>
          <w:sz w:val="20"/>
          <w:szCs w:val="20"/>
        </w:rPr>
        <w:t>ДІЯННЯ</w:t>
      </w:r>
      <w:r w:rsidRPr="000977F7">
        <w:rPr>
          <w:color w:val="auto"/>
          <w:spacing w:val="1"/>
          <w:sz w:val="20"/>
          <w:szCs w:val="20"/>
        </w:rPr>
        <w:t xml:space="preserve"> </w:t>
      </w:r>
      <w:r w:rsidRPr="000977F7">
        <w:rPr>
          <w:color w:val="auto"/>
          <w:sz w:val="20"/>
          <w:szCs w:val="20"/>
        </w:rPr>
        <w:t>–</w:t>
      </w:r>
    </w:p>
    <w:p w14:paraId="7D468DA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QUANTIZED</w:t>
      </w:r>
      <w:r w:rsidRPr="004D2D14">
        <w:rPr>
          <w:rFonts w:asciiTheme="majorHAnsi" w:hAnsiTheme="majorHAnsi"/>
          <w:spacing w:val="-3"/>
          <w:sz w:val="20"/>
          <w:szCs w:val="20"/>
          <w:lang w:val="uk-UA"/>
        </w:rPr>
        <w:t xml:space="preserve"> </w:t>
      </w:r>
      <w:r w:rsidRPr="000977F7">
        <w:rPr>
          <w:rFonts w:asciiTheme="majorHAnsi" w:hAnsiTheme="majorHAnsi"/>
          <w:sz w:val="20"/>
          <w:szCs w:val="20"/>
        </w:rPr>
        <w:t>ACTION</w:t>
      </w:r>
      <w:r w:rsidRPr="004D2D14">
        <w:rPr>
          <w:rFonts w:asciiTheme="majorHAnsi" w:hAnsiTheme="majorHAnsi"/>
          <w:sz w:val="20"/>
          <w:szCs w:val="20"/>
          <w:lang w:val="uk-UA"/>
        </w:rPr>
        <w:t xml:space="preserve"> –</w:t>
      </w:r>
    </w:p>
    <w:bookmarkEnd w:id="91"/>
    <w:p w14:paraId="16B5E11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Діяння, ознаки і параметри якого можуть змінюватись</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тільки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заздалегідь</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визначені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моменти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часу</w:t>
      </w:r>
    </w:p>
    <w:p w14:paraId="5A8A0973"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3956</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2000</w:t>
      </w:r>
      <w:bookmarkStart w:id="92" w:name="_Hlk101018339"/>
    </w:p>
    <w:p w14:paraId="7C995A8A"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4D2D14">
        <w:rPr>
          <w:rFonts w:asciiTheme="majorHAnsi" w:hAnsiTheme="majorHAnsi"/>
          <w:b/>
          <w:sz w:val="20"/>
          <w:szCs w:val="20"/>
          <w:lang w:val="uk-UA"/>
        </w:rPr>
        <w:t>КВАНТОВИЙ СИГНАЛ –</w:t>
      </w:r>
      <w:r w:rsidRPr="004D2D14">
        <w:rPr>
          <w:rFonts w:asciiTheme="majorHAnsi" w:hAnsiTheme="majorHAnsi"/>
          <w:b/>
          <w:spacing w:val="-47"/>
          <w:sz w:val="20"/>
          <w:szCs w:val="20"/>
          <w:lang w:val="uk-UA"/>
        </w:rPr>
        <w:t xml:space="preserve"> </w:t>
      </w:r>
      <w:r w:rsidRPr="000977F7">
        <w:rPr>
          <w:rFonts w:asciiTheme="majorHAnsi" w:hAnsiTheme="majorHAnsi"/>
          <w:sz w:val="20"/>
          <w:szCs w:val="20"/>
        </w:rPr>
        <w:t>QUANTIZED</w:t>
      </w:r>
      <w:r w:rsidRPr="004D2D14">
        <w:rPr>
          <w:rFonts w:asciiTheme="majorHAnsi" w:hAnsiTheme="majorHAnsi"/>
          <w:spacing w:val="-1"/>
          <w:sz w:val="20"/>
          <w:szCs w:val="20"/>
          <w:lang w:val="uk-UA"/>
        </w:rPr>
        <w:t xml:space="preserve"> </w:t>
      </w:r>
      <w:r w:rsidRPr="000977F7">
        <w:rPr>
          <w:rFonts w:asciiTheme="majorHAnsi" w:hAnsiTheme="majorHAnsi"/>
          <w:sz w:val="20"/>
          <w:szCs w:val="20"/>
        </w:rPr>
        <w:t>SIGNAL</w:t>
      </w:r>
      <w:r w:rsidRPr="004D2D14">
        <w:rPr>
          <w:rFonts w:asciiTheme="majorHAnsi" w:hAnsiTheme="majorHAnsi"/>
          <w:spacing w:val="-1"/>
          <w:sz w:val="20"/>
          <w:szCs w:val="20"/>
          <w:lang w:val="uk-UA"/>
        </w:rPr>
        <w:t xml:space="preserve"> </w:t>
      </w:r>
      <w:bookmarkEnd w:id="92"/>
    </w:p>
    <w:p w14:paraId="2233513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Сигнал, інформативний параметр якого може набувати будь-яке значення в упорядкованій множині значень; кожне з цих значень подає один з піддіапазонів,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необов’язково рівних, на які поділено діапазон змінювання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величини, що пересилається</w:t>
      </w:r>
    </w:p>
    <w:p w14:paraId="25BEEF1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28E8005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КВОТА</w:t>
      </w:r>
      <w:r w:rsidRPr="000977F7">
        <w:rPr>
          <w:color w:val="auto"/>
          <w:spacing w:val="-5"/>
          <w:sz w:val="20"/>
          <w:szCs w:val="20"/>
        </w:rPr>
        <w:t xml:space="preserve"> </w:t>
      </w:r>
      <w:r w:rsidRPr="000977F7">
        <w:rPr>
          <w:color w:val="auto"/>
          <w:sz w:val="20"/>
          <w:szCs w:val="20"/>
        </w:rPr>
        <w:t>ЕКСПОРТНА</w:t>
      </w:r>
      <w:r w:rsidRPr="000977F7">
        <w:rPr>
          <w:color w:val="auto"/>
          <w:spacing w:val="-4"/>
          <w:sz w:val="20"/>
          <w:szCs w:val="20"/>
        </w:rPr>
        <w:t xml:space="preserve"> </w:t>
      </w:r>
      <w:r w:rsidRPr="000977F7">
        <w:rPr>
          <w:color w:val="auto"/>
          <w:sz w:val="20"/>
          <w:szCs w:val="20"/>
        </w:rPr>
        <w:t>(ІМПОРТНА) –</w:t>
      </w:r>
    </w:p>
    <w:p w14:paraId="67626E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Граничний обсяг певної категорії товарів, який дозволено</w:t>
      </w:r>
      <w:r w:rsidRPr="000977F7">
        <w:rPr>
          <w:rFonts w:asciiTheme="majorHAnsi" w:hAnsiTheme="majorHAnsi"/>
          <w:spacing w:val="38"/>
          <w:sz w:val="20"/>
          <w:szCs w:val="20"/>
        </w:rPr>
        <w:t xml:space="preserve"> </w:t>
      </w:r>
      <w:r w:rsidRPr="000977F7">
        <w:rPr>
          <w:rFonts w:asciiTheme="majorHAnsi" w:hAnsiTheme="majorHAnsi"/>
          <w:sz w:val="20"/>
          <w:szCs w:val="20"/>
        </w:rPr>
        <w:t>експортувати</w:t>
      </w:r>
      <w:r w:rsidRPr="000977F7">
        <w:rPr>
          <w:rFonts w:asciiTheme="majorHAnsi" w:hAnsiTheme="majorHAnsi"/>
          <w:spacing w:val="36"/>
          <w:sz w:val="20"/>
          <w:szCs w:val="20"/>
        </w:rPr>
        <w:t xml:space="preserve"> </w:t>
      </w:r>
      <w:r w:rsidRPr="000977F7">
        <w:rPr>
          <w:rFonts w:asciiTheme="majorHAnsi" w:hAnsiTheme="majorHAnsi"/>
          <w:sz w:val="20"/>
          <w:szCs w:val="20"/>
        </w:rPr>
        <w:t>з</w:t>
      </w:r>
      <w:r w:rsidRPr="000977F7">
        <w:rPr>
          <w:rFonts w:asciiTheme="majorHAnsi" w:hAnsiTheme="majorHAnsi"/>
          <w:spacing w:val="39"/>
          <w:sz w:val="20"/>
          <w:szCs w:val="20"/>
        </w:rPr>
        <w:t xml:space="preserve"> </w:t>
      </w:r>
      <w:r w:rsidRPr="000977F7">
        <w:rPr>
          <w:rFonts w:asciiTheme="majorHAnsi" w:hAnsiTheme="majorHAnsi"/>
          <w:sz w:val="20"/>
          <w:szCs w:val="20"/>
        </w:rPr>
        <w:t>території</w:t>
      </w:r>
      <w:r w:rsidRPr="000977F7">
        <w:rPr>
          <w:rFonts w:asciiTheme="majorHAnsi" w:hAnsiTheme="majorHAnsi"/>
          <w:spacing w:val="36"/>
          <w:sz w:val="20"/>
          <w:szCs w:val="20"/>
        </w:rPr>
        <w:t xml:space="preserve"> </w:t>
      </w:r>
      <w:r w:rsidRPr="000977F7">
        <w:rPr>
          <w:rFonts w:asciiTheme="majorHAnsi" w:hAnsiTheme="majorHAnsi"/>
          <w:sz w:val="20"/>
          <w:szCs w:val="20"/>
        </w:rPr>
        <w:t>України</w:t>
      </w:r>
      <w:r w:rsidRPr="000977F7">
        <w:rPr>
          <w:rFonts w:asciiTheme="majorHAnsi" w:hAnsiTheme="majorHAnsi"/>
          <w:spacing w:val="38"/>
          <w:sz w:val="20"/>
          <w:szCs w:val="20"/>
        </w:rPr>
        <w:t xml:space="preserve"> </w:t>
      </w:r>
      <w:r w:rsidRPr="000977F7">
        <w:rPr>
          <w:rFonts w:asciiTheme="majorHAnsi" w:hAnsiTheme="majorHAnsi"/>
          <w:sz w:val="20"/>
          <w:szCs w:val="20"/>
        </w:rPr>
        <w:t>(імпортувати</w:t>
      </w:r>
      <w:r w:rsidRPr="000977F7">
        <w:rPr>
          <w:rFonts w:asciiTheme="majorHAnsi" w:hAnsiTheme="majorHAnsi"/>
          <w:spacing w:val="-48"/>
          <w:sz w:val="20"/>
          <w:szCs w:val="20"/>
        </w:rPr>
        <w:t xml:space="preserve"> </w:t>
      </w:r>
      <w:r w:rsidRPr="000977F7">
        <w:rPr>
          <w:rFonts w:asciiTheme="majorHAnsi" w:hAnsiTheme="majorHAnsi"/>
          <w:sz w:val="20"/>
          <w:szCs w:val="20"/>
        </w:rPr>
        <w:t>на територію України) протягом установленого терміну і який визначається у натуральних чи вартісних</w:t>
      </w:r>
      <w:r w:rsidRPr="000977F7">
        <w:rPr>
          <w:rFonts w:asciiTheme="majorHAnsi" w:hAnsiTheme="majorHAnsi"/>
          <w:spacing w:val="1"/>
          <w:sz w:val="20"/>
          <w:szCs w:val="20"/>
        </w:rPr>
        <w:t xml:space="preserve"> </w:t>
      </w:r>
      <w:r w:rsidRPr="000977F7">
        <w:rPr>
          <w:rFonts w:asciiTheme="majorHAnsi" w:hAnsiTheme="majorHAnsi"/>
          <w:sz w:val="20"/>
          <w:szCs w:val="20"/>
        </w:rPr>
        <w:t>одиницях</w:t>
      </w:r>
    </w:p>
    <w:p w14:paraId="462AEE9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80F58E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КВОТИ</w:t>
      </w:r>
      <w:r w:rsidRPr="000977F7">
        <w:rPr>
          <w:color w:val="auto"/>
          <w:spacing w:val="-5"/>
          <w:sz w:val="20"/>
          <w:szCs w:val="20"/>
        </w:rPr>
        <w:t xml:space="preserve"> </w:t>
      </w:r>
      <w:r w:rsidRPr="000977F7">
        <w:rPr>
          <w:color w:val="auto"/>
          <w:sz w:val="20"/>
          <w:szCs w:val="20"/>
        </w:rPr>
        <w:t>(КОНТИНГЕНТИ)</w:t>
      </w:r>
      <w:r w:rsidRPr="000977F7">
        <w:rPr>
          <w:color w:val="auto"/>
          <w:spacing w:val="-5"/>
          <w:sz w:val="20"/>
          <w:szCs w:val="20"/>
        </w:rPr>
        <w:t xml:space="preserve"> </w:t>
      </w:r>
      <w:r w:rsidRPr="000977F7">
        <w:rPr>
          <w:color w:val="auto"/>
          <w:sz w:val="20"/>
          <w:szCs w:val="20"/>
        </w:rPr>
        <w:t>ГЛОБАЛЬНІ</w:t>
      </w:r>
      <w:r w:rsidRPr="000977F7">
        <w:rPr>
          <w:color w:val="auto"/>
          <w:spacing w:val="-2"/>
          <w:sz w:val="20"/>
          <w:szCs w:val="20"/>
        </w:rPr>
        <w:t xml:space="preserve"> </w:t>
      </w:r>
      <w:r w:rsidRPr="000977F7">
        <w:rPr>
          <w:color w:val="auto"/>
          <w:sz w:val="20"/>
          <w:szCs w:val="20"/>
        </w:rPr>
        <w:t>–</w:t>
      </w:r>
    </w:p>
    <w:p w14:paraId="7FD1F45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Квоти, що встановлюються по товару (товарах) без</w:t>
      </w:r>
      <w:r w:rsidRPr="000977F7">
        <w:rPr>
          <w:rFonts w:asciiTheme="majorHAnsi" w:hAnsiTheme="majorHAnsi"/>
          <w:spacing w:val="1"/>
          <w:sz w:val="20"/>
          <w:szCs w:val="20"/>
        </w:rPr>
        <w:t xml:space="preserve"> </w:t>
      </w:r>
      <w:r w:rsidRPr="000977F7">
        <w:rPr>
          <w:rFonts w:asciiTheme="majorHAnsi" w:hAnsiTheme="majorHAnsi"/>
          <w:sz w:val="20"/>
          <w:szCs w:val="20"/>
        </w:rPr>
        <w:t>зазначення конкретних країн (груп країн), куди товар</w:t>
      </w:r>
      <w:r w:rsidRPr="000977F7">
        <w:rPr>
          <w:rFonts w:asciiTheme="majorHAnsi" w:hAnsiTheme="majorHAnsi"/>
          <w:spacing w:val="1"/>
          <w:sz w:val="20"/>
          <w:szCs w:val="20"/>
        </w:rPr>
        <w:t xml:space="preserve"> </w:t>
      </w:r>
      <w:r w:rsidRPr="000977F7">
        <w:rPr>
          <w:rFonts w:asciiTheme="majorHAnsi" w:hAnsiTheme="majorHAnsi"/>
          <w:sz w:val="20"/>
          <w:szCs w:val="20"/>
        </w:rPr>
        <w:t>(товари) експортується або з яких він (вони) імпортується</w:t>
      </w:r>
    </w:p>
    <w:p w14:paraId="3497EC2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34B445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КВОТИ</w:t>
      </w:r>
      <w:r w:rsidRPr="000977F7">
        <w:rPr>
          <w:color w:val="auto"/>
          <w:spacing w:val="-3"/>
          <w:sz w:val="20"/>
          <w:szCs w:val="20"/>
        </w:rPr>
        <w:t xml:space="preserve"> </w:t>
      </w:r>
      <w:r w:rsidRPr="000977F7">
        <w:rPr>
          <w:color w:val="auto"/>
          <w:sz w:val="20"/>
          <w:szCs w:val="20"/>
        </w:rPr>
        <w:t>(КОНТИНГЕНТИ)</w:t>
      </w:r>
      <w:r w:rsidRPr="000977F7">
        <w:rPr>
          <w:color w:val="auto"/>
          <w:spacing w:val="-4"/>
          <w:sz w:val="20"/>
          <w:szCs w:val="20"/>
        </w:rPr>
        <w:t xml:space="preserve"> </w:t>
      </w:r>
      <w:r w:rsidRPr="000977F7">
        <w:rPr>
          <w:color w:val="auto"/>
          <w:sz w:val="20"/>
          <w:szCs w:val="20"/>
        </w:rPr>
        <w:t>ГРУПОВІ –</w:t>
      </w:r>
    </w:p>
    <w:p w14:paraId="3989DC4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Квоти, що встановлюються по товару (товарах) з визначенням групи країн, куди товар (товари) експортується</w:t>
      </w:r>
      <w:r w:rsidRPr="000977F7">
        <w:rPr>
          <w:rFonts w:asciiTheme="majorHAnsi" w:hAnsiTheme="majorHAnsi"/>
          <w:spacing w:val="-2"/>
          <w:sz w:val="20"/>
          <w:szCs w:val="20"/>
        </w:rPr>
        <w:t xml:space="preserve"> </w:t>
      </w:r>
      <w:r w:rsidRPr="000977F7">
        <w:rPr>
          <w:rFonts w:asciiTheme="majorHAnsi" w:hAnsiTheme="majorHAnsi"/>
          <w:sz w:val="20"/>
          <w:szCs w:val="20"/>
        </w:rPr>
        <w:t>або з яких</w:t>
      </w:r>
      <w:r w:rsidRPr="000977F7">
        <w:rPr>
          <w:rFonts w:asciiTheme="majorHAnsi" w:hAnsiTheme="majorHAnsi"/>
          <w:spacing w:val="-2"/>
          <w:sz w:val="20"/>
          <w:szCs w:val="20"/>
        </w:rPr>
        <w:t xml:space="preserve"> </w:t>
      </w:r>
      <w:r w:rsidRPr="000977F7">
        <w:rPr>
          <w:rFonts w:asciiTheme="majorHAnsi" w:hAnsiTheme="majorHAnsi"/>
          <w:sz w:val="20"/>
          <w:szCs w:val="20"/>
        </w:rPr>
        <w:t>він</w:t>
      </w:r>
      <w:r w:rsidRPr="000977F7">
        <w:rPr>
          <w:rFonts w:asciiTheme="majorHAnsi" w:hAnsiTheme="majorHAnsi"/>
          <w:spacing w:val="-2"/>
          <w:sz w:val="20"/>
          <w:szCs w:val="20"/>
        </w:rPr>
        <w:t xml:space="preserve"> </w:t>
      </w:r>
      <w:r w:rsidRPr="000977F7">
        <w:rPr>
          <w:rFonts w:asciiTheme="majorHAnsi" w:hAnsiTheme="majorHAnsi"/>
          <w:sz w:val="20"/>
          <w:szCs w:val="20"/>
        </w:rPr>
        <w:t>(вони) імпортуються</w:t>
      </w:r>
    </w:p>
    <w:p w14:paraId="78D56B3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E7FC0E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КВОТИ</w:t>
      </w:r>
      <w:r w:rsidRPr="000977F7">
        <w:rPr>
          <w:color w:val="auto"/>
          <w:spacing w:val="-4"/>
          <w:sz w:val="20"/>
          <w:szCs w:val="20"/>
        </w:rPr>
        <w:t xml:space="preserve"> </w:t>
      </w:r>
      <w:r w:rsidRPr="000977F7">
        <w:rPr>
          <w:color w:val="auto"/>
          <w:sz w:val="20"/>
          <w:szCs w:val="20"/>
        </w:rPr>
        <w:t>(КОНТИНГЕНТИ)</w:t>
      </w:r>
      <w:r w:rsidRPr="000977F7">
        <w:rPr>
          <w:color w:val="auto"/>
          <w:spacing w:val="-4"/>
          <w:sz w:val="20"/>
          <w:szCs w:val="20"/>
        </w:rPr>
        <w:t xml:space="preserve"> </w:t>
      </w:r>
      <w:r w:rsidRPr="000977F7">
        <w:rPr>
          <w:color w:val="auto"/>
          <w:sz w:val="20"/>
          <w:szCs w:val="20"/>
        </w:rPr>
        <w:t>ІНДИВІДУАЛЬНІ</w:t>
      </w:r>
      <w:r w:rsidRPr="000977F7">
        <w:rPr>
          <w:color w:val="auto"/>
          <w:spacing w:val="-4"/>
          <w:sz w:val="20"/>
          <w:szCs w:val="20"/>
        </w:rPr>
        <w:t xml:space="preserve"> </w:t>
      </w:r>
    </w:p>
    <w:p w14:paraId="76182B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Квоти, що встановлюються по товару (товарах) з визначенням</w:t>
      </w:r>
      <w:r w:rsidRPr="000977F7">
        <w:rPr>
          <w:rFonts w:asciiTheme="majorHAnsi" w:hAnsiTheme="majorHAnsi"/>
          <w:spacing w:val="1"/>
          <w:sz w:val="20"/>
          <w:szCs w:val="20"/>
        </w:rPr>
        <w:t xml:space="preserve"> </w:t>
      </w:r>
      <w:r w:rsidRPr="000977F7">
        <w:rPr>
          <w:rFonts w:asciiTheme="majorHAnsi" w:hAnsiTheme="majorHAnsi"/>
          <w:sz w:val="20"/>
          <w:szCs w:val="20"/>
        </w:rPr>
        <w:t>конкретної</w:t>
      </w:r>
      <w:r w:rsidRPr="000977F7">
        <w:rPr>
          <w:rFonts w:asciiTheme="majorHAnsi" w:hAnsiTheme="majorHAnsi"/>
          <w:spacing w:val="1"/>
          <w:sz w:val="20"/>
          <w:szCs w:val="20"/>
        </w:rPr>
        <w:t xml:space="preserve"> </w:t>
      </w:r>
      <w:r w:rsidRPr="000977F7">
        <w:rPr>
          <w:rFonts w:asciiTheme="majorHAnsi" w:hAnsiTheme="majorHAnsi"/>
          <w:sz w:val="20"/>
          <w:szCs w:val="20"/>
        </w:rPr>
        <w:t>країни,</w:t>
      </w:r>
      <w:r w:rsidRPr="000977F7">
        <w:rPr>
          <w:rFonts w:asciiTheme="majorHAnsi" w:hAnsiTheme="majorHAnsi"/>
          <w:spacing w:val="1"/>
          <w:sz w:val="20"/>
          <w:szCs w:val="20"/>
        </w:rPr>
        <w:t xml:space="preserve"> </w:t>
      </w:r>
      <w:r w:rsidRPr="000977F7">
        <w:rPr>
          <w:rFonts w:asciiTheme="majorHAnsi" w:hAnsiTheme="majorHAnsi"/>
          <w:sz w:val="20"/>
          <w:szCs w:val="20"/>
        </w:rPr>
        <w:t>куди</w:t>
      </w:r>
      <w:r w:rsidRPr="000977F7">
        <w:rPr>
          <w:rFonts w:asciiTheme="majorHAnsi" w:hAnsiTheme="majorHAnsi"/>
          <w:spacing w:val="1"/>
          <w:sz w:val="20"/>
          <w:szCs w:val="20"/>
        </w:rPr>
        <w:t xml:space="preserve"> </w:t>
      </w:r>
      <w:r w:rsidRPr="000977F7">
        <w:rPr>
          <w:rFonts w:asciiTheme="majorHAnsi" w:hAnsiTheme="majorHAnsi"/>
          <w:sz w:val="20"/>
          <w:szCs w:val="20"/>
        </w:rPr>
        <w:t>товар</w:t>
      </w:r>
      <w:r w:rsidRPr="000977F7">
        <w:rPr>
          <w:rFonts w:asciiTheme="majorHAnsi" w:hAnsiTheme="majorHAnsi"/>
          <w:spacing w:val="1"/>
          <w:sz w:val="20"/>
          <w:szCs w:val="20"/>
        </w:rPr>
        <w:t xml:space="preserve"> </w:t>
      </w:r>
      <w:r w:rsidRPr="000977F7">
        <w:rPr>
          <w:rFonts w:asciiTheme="majorHAnsi" w:hAnsiTheme="majorHAnsi"/>
          <w:sz w:val="20"/>
          <w:szCs w:val="20"/>
        </w:rPr>
        <w:t>(товари)</w:t>
      </w:r>
      <w:r w:rsidRPr="000977F7">
        <w:rPr>
          <w:rFonts w:asciiTheme="majorHAnsi" w:hAnsiTheme="majorHAnsi"/>
          <w:spacing w:val="1"/>
          <w:sz w:val="20"/>
          <w:szCs w:val="20"/>
        </w:rPr>
        <w:t xml:space="preserve"> </w:t>
      </w:r>
      <w:r w:rsidRPr="000977F7">
        <w:rPr>
          <w:rFonts w:asciiTheme="majorHAnsi" w:hAnsiTheme="majorHAnsi"/>
          <w:sz w:val="20"/>
          <w:szCs w:val="20"/>
        </w:rPr>
        <w:t>може експортуватись або з якої він (вони) може імпортуватись</w:t>
      </w:r>
    </w:p>
    <w:p w14:paraId="183CF4E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58B10B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КВОТУВАННЯ</w:t>
      </w:r>
      <w:r w:rsidRPr="000977F7">
        <w:rPr>
          <w:color w:val="auto"/>
          <w:spacing w:val="-3"/>
          <w:sz w:val="20"/>
          <w:szCs w:val="20"/>
        </w:rPr>
        <w:t xml:space="preserve"> </w:t>
      </w:r>
      <w:r w:rsidRPr="000977F7">
        <w:rPr>
          <w:color w:val="auto"/>
          <w:sz w:val="20"/>
          <w:szCs w:val="20"/>
        </w:rPr>
        <w:t>–</w:t>
      </w:r>
    </w:p>
    <w:p w14:paraId="730D001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Різновид заходів щодо регулювання зовнішньоекономічної діяльності, запроваджених державними та міжнародними органами, щодо обмеження 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експорту</w:t>
      </w:r>
      <w:r w:rsidRPr="000977F7">
        <w:rPr>
          <w:rFonts w:asciiTheme="majorHAnsi" w:hAnsiTheme="majorHAnsi"/>
          <w:spacing w:val="-1"/>
          <w:sz w:val="20"/>
          <w:szCs w:val="20"/>
        </w:rPr>
        <w:t xml:space="preserve"> </w:t>
      </w:r>
      <w:r w:rsidRPr="000977F7">
        <w:rPr>
          <w:rFonts w:asciiTheme="majorHAnsi" w:hAnsiTheme="majorHAnsi"/>
          <w:sz w:val="20"/>
          <w:szCs w:val="20"/>
        </w:rPr>
        <w:t>та імпорту</w:t>
      </w:r>
      <w:r w:rsidRPr="000977F7">
        <w:rPr>
          <w:rFonts w:asciiTheme="majorHAnsi" w:hAnsiTheme="majorHAnsi"/>
          <w:spacing w:val="-1"/>
          <w:sz w:val="20"/>
          <w:szCs w:val="20"/>
        </w:rPr>
        <w:t xml:space="preserve"> </w:t>
      </w:r>
      <w:r w:rsidRPr="000977F7">
        <w:rPr>
          <w:rFonts w:asciiTheme="majorHAnsi" w:hAnsiTheme="majorHAnsi"/>
          <w:sz w:val="20"/>
          <w:szCs w:val="20"/>
        </w:rPr>
        <w:t>товарів</w:t>
      </w:r>
    </w:p>
    <w:p w14:paraId="54C8600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3293</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2618838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КЕРІВНЕ</w:t>
      </w:r>
      <w:r w:rsidRPr="000977F7">
        <w:rPr>
          <w:color w:val="auto"/>
          <w:spacing w:val="-4"/>
          <w:sz w:val="20"/>
          <w:szCs w:val="20"/>
        </w:rPr>
        <w:t xml:space="preserve"> </w:t>
      </w:r>
      <w:r w:rsidRPr="000977F7">
        <w:rPr>
          <w:color w:val="auto"/>
          <w:sz w:val="20"/>
          <w:szCs w:val="20"/>
        </w:rPr>
        <w:t>ДІЯННЯ</w:t>
      </w:r>
      <w:r w:rsidRPr="000977F7">
        <w:rPr>
          <w:color w:val="auto"/>
          <w:spacing w:val="-4"/>
          <w:sz w:val="20"/>
          <w:szCs w:val="20"/>
        </w:rPr>
        <w:t xml:space="preserve"> </w:t>
      </w:r>
      <w:r w:rsidRPr="000977F7">
        <w:rPr>
          <w:color w:val="auto"/>
          <w:sz w:val="20"/>
          <w:szCs w:val="20"/>
        </w:rPr>
        <w:t>(ПОДІЯННЯ) –</w:t>
      </w:r>
    </w:p>
    <w:p w14:paraId="157B62A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CONTROLLING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ACTION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3983B35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Діяння (подіяння) на об’єкт керування, здатне бажаним чином змінювати (змінити) його стан або функціювання</w:t>
      </w:r>
    </w:p>
    <w:p w14:paraId="0C8436A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noProof/>
          <w:sz w:val="20"/>
          <w:szCs w:val="20"/>
          <w:lang w:eastAsia="ru-RU"/>
        </w:rPr>
        <w:drawing>
          <wp:anchor distT="0" distB="0" distL="0" distR="0" simplePos="0" relativeHeight="251671552" behindDoc="1" locked="0" layoutInCell="1" allowOverlap="1" wp14:anchorId="72E1104D" wp14:editId="3F3B4319">
            <wp:simplePos x="0" y="0"/>
            <wp:positionH relativeFrom="page">
              <wp:posOffset>5014848</wp:posOffset>
            </wp:positionH>
            <wp:positionV relativeFrom="paragraph">
              <wp:posOffset>152094</wp:posOffset>
            </wp:positionV>
            <wp:extent cx="67055" cy="155448"/>
            <wp:effectExtent l="0" t="0" r="0" b="0"/>
            <wp:wrapNone/>
            <wp:docPr id="28"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3.png"/>
                    <pic:cNvPicPr/>
                  </pic:nvPicPr>
                  <pic:blipFill>
                    <a:blip r:embed="rId14" cstate="print"/>
                    <a:stretch>
                      <a:fillRect/>
                    </a:stretch>
                  </pic:blipFill>
                  <pic:spPr>
                    <a:xfrm>
                      <a:off x="0" y="0"/>
                      <a:ext cx="67055" cy="155448"/>
                    </a:xfrm>
                    <a:prstGeom prst="rect">
                      <a:avLst/>
                    </a:prstGeom>
                  </pic:spPr>
                </pic:pic>
              </a:graphicData>
            </a:graphic>
          </wp:anchor>
        </w:drawing>
      </w: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3956</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2000</w:t>
      </w:r>
      <w:bookmarkStart w:id="93" w:name="_Hlk101018064"/>
    </w:p>
    <w:p w14:paraId="47314590"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КЕРІВНИЙ</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ОБ</w:t>
      </w:r>
      <w:r w:rsidRPr="004D2D14">
        <w:rPr>
          <w:rFonts w:asciiTheme="majorHAnsi" w:hAnsiTheme="majorHAnsi"/>
          <w:b/>
          <w:spacing w:val="3"/>
          <w:sz w:val="20"/>
          <w:szCs w:val="20"/>
          <w:lang w:val="en-US"/>
        </w:rPr>
        <w:t xml:space="preserve"> </w:t>
      </w:r>
      <w:r w:rsidRPr="000977F7">
        <w:rPr>
          <w:rFonts w:asciiTheme="majorHAnsi" w:hAnsiTheme="majorHAnsi"/>
          <w:b/>
          <w:sz w:val="20"/>
          <w:szCs w:val="20"/>
        </w:rPr>
        <w:t>ЄКТ</w:t>
      </w:r>
      <w:r w:rsidRPr="004D2D14">
        <w:rPr>
          <w:rFonts w:asciiTheme="majorHAnsi" w:hAnsiTheme="majorHAnsi"/>
          <w:b/>
          <w:spacing w:val="-2"/>
          <w:sz w:val="20"/>
          <w:szCs w:val="20"/>
          <w:lang w:val="en-US"/>
        </w:rPr>
        <w:t xml:space="preserve"> </w:t>
      </w:r>
      <w:r w:rsidRPr="004D2D14">
        <w:rPr>
          <w:rFonts w:asciiTheme="majorHAnsi" w:hAnsiTheme="majorHAnsi"/>
          <w:b/>
          <w:sz w:val="20"/>
          <w:szCs w:val="20"/>
          <w:lang w:val="en-US"/>
        </w:rPr>
        <w:t>–</w:t>
      </w:r>
    </w:p>
    <w:p w14:paraId="48467530"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CONTROLLING</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OBJECT</w:t>
      </w:r>
      <w:r w:rsidRPr="004D2D14">
        <w:rPr>
          <w:rFonts w:asciiTheme="majorHAnsi" w:hAnsiTheme="majorHAnsi"/>
          <w:spacing w:val="-3"/>
          <w:sz w:val="20"/>
          <w:szCs w:val="20"/>
          <w:lang w:val="en-US"/>
        </w:rPr>
        <w:t xml:space="preserve"> </w:t>
      </w:r>
      <w:bookmarkEnd w:id="93"/>
      <w:r w:rsidRPr="004D2D14">
        <w:rPr>
          <w:rFonts w:asciiTheme="majorHAnsi" w:hAnsiTheme="majorHAnsi"/>
          <w:sz w:val="20"/>
          <w:szCs w:val="20"/>
          <w:lang w:val="en-US"/>
        </w:rPr>
        <w:t>–</w:t>
      </w:r>
    </w:p>
    <w:p w14:paraId="520A7E0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w:t>
      </w:r>
      <w:r w:rsidRPr="004D2D14">
        <w:rPr>
          <w:rFonts w:asciiTheme="majorHAnsi" w:hAnsiTheme="majorHAnsi"/>
          <w:sz w:val="20"/>
          <w:szCs w:val="20"/>
          <w:lang w:val="en-US"/>
        </w:rPr>
        <w:t>,</w:t>
      </w:r>
      <w:r w:rsidRPr="004D2D14">
        <w:rPr>
          <w:rFonts w:asciiTheme="majorHAnsi" w:hAnsiTheme="majorHAnsi"/>
          <w:spacing w:val="-4"/>
          <w:sz w:val="20"/>
          <w:szCs w:val="20"/>
          <w:lang w:val="en-US"/>
        </w:rPr>
        <w:t xml:space="preserve"> </w:t>
      </w:r>
      <w:r w:rsidRPr="000977F7">
        <w:rPr>
          <w:rFonts w:asciiTheme="majorHAnsi" w:hAnsiTheme="majorHAnsi"/>
          <w:sz w:val="20"/>
          <w:szCs w:val="20"/>
        </w:rPr>
        <w:t>що</w:t>
      </w:r>
      <w:r w:rsidRPr="004D2D14">
        <w:rPr>
          <w:rFonts w:asciiTheme="majorHAnsi" w:hAnsiTheme="majorHAnsi"/>
          <w:spacing w:val="-3"/>
          <w:sz w:val="20"/>
          <w:szCs w:val="20"/>
          <w:lang w:val="en-US"/>
        </w:rPr>
        <w:t xml:space="preserve"> </w:t>
      </w:r>
      <w:r w:rsidRPr="000977F7">
        <w:rPr>
          <w:rFonts w:asciiTheme="majorHAnsi" w:hAnsiTheme="majorHAnsi"/>
          <w:sz w:val="20"/>
          <w:szCs w:val="20"/>
        </w:rPr>
        <w:t>вибирає</w:t>
      </w:r>
      <w:r w:rsidRPr="004D2D14">
        <w:rPr>
          <w:rFonts w:asciiTheme="majorHAnsi" w:hAnsiTheme="majorHAnsi"/>
          <w:spacing w:val="-2"/>
          <w:sz w:val="20"/>
          <w:szCs w:val="20"/>
          <w:lang w:val="en-US"/>
        </w:rPr>
        <w:t xml:space="preserve"> </w:t>
      </w:r>
      <w:r w:rsidRPr="000977F7">
        <w:rPr>
          <w:rFonts w:asciiTheme="majorHAnsi" w:hAnsiTheme="majorHAnsi"/>
          <w:sz w:val="20"/>
          <w:szCs w:val="20"/>
        </w:rPr>
        <w:t>та</w:t>
      </w:r>
      <w:r w:rsidRPr="004D2D14">
        <w:rPr>
          <w:rFonts w:asciiTheme="majorHAnsi" w:hAnsiTheme="majorHAnsi"/>
          <w:spacing w:val="-4"/>
          <w:sz w:val="20"/>
          <w:szCs w:val="20"/>
          <w:lang w:val="en-US"/>
        </w:rPr>
        <w:t xml:space="preserve"> </w:t>
      </w:r>
      <w:r w:rsidRPr="000977F7">
        <w:rPr>
          <w:rFonts w:asciiTheme="majorHAnsi" w:hAnsiTheme="majorHAnsi"/>
          <w:sz w:val="20"/>
          <w:szCs w:val="20"/>
        </w:rPr>
        <w:t>здійснює</w:t>
      </w:r>
      <w:r w:rsidRPr="004D2D14">
        <w:rPr>
          <w:rFonts w:asciiTheme="majorHAnsi" w:hAnsiTheme="majorHAnsi"/>
          <w:spacing w:val="-3"/>
          <w:sz w:val="20"/>
          <w:szCs w:val="20"/>
          <w:lang w:val="en-US"/>
        </w:rPr>
        <w:t xml:space="preserve"> </w:t>
      </w:r>
      <w:r w:rsidRPr="000977F7">
        <w:rPr>
          <w:rFonts w:asciiTheme="majorHAnsi" w:hAnsiTheme="majorHAnsi"/>
          <w:sz w:val="20"/>
          <w:szCs w:val="20"/>
        </w:rPr>
        <w:t>керівне</w:t>
      </w:r>
      <w:r w:rsidRPr="004D2D14">
        <w:rPr>
          <w:rFonts w:asciiTheme="majorHAnsi" w:hAnsiTheme="majorHAnsi"/>
          <w:spacing w:val="-4"/>
          <w:sz w:val="20"/>
          <w:szCs w:val="20"/>
          <w:lang w:val="en-US"/>
        </w:rPr>
        <w:t xml:space="preserve"> </w:t>
      </w:r>
      <w:r w:rsidRPr="000977F7">
        <w:rPr>
          <w:rFonts w:asciiTheme="majorHAnsi" w:hAnsiTheme="majorHAnsi"/>
          <w:sz w:val="20"/>
          <w:szCs w:val="20"/>
        </w:rPr>
        <w:t>діяння</w:t>
      </w:r>
    </w:p>
    <w:p w14:paraId="77922A0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3956</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2000</w:t>
      </w:r>
      <w:bookmarkStart w:id="94" w:name="_Hlk101018531"/>
    </w:p>
    <w:p w14:paraId="3D638465"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КЕРІВНИЙ</w:t>
      </w:r>
      <w:r w:rsidRPr="004D2D14">
        <w:rPr>
          <w:rFonts w:asciiTheme="majorHAnsi" w:hAnsiTheme="majorHAnsi"/>
          <w:b/>
          <w:sz w:val="20"/>
          <w:szCs w:val="20"/>
          <w:lang w:val="en-US"/>
        </w:rPr>
        <w:t xml:space="preserve"> </w:t>
      </w:r>
      <w:r w:rsidRPr="000977F7">
        <w:rPr>
          <w:rFonts w:asciiTheme="majorHAnsi" w:hAnsiTheme="majorHAnsi"/>
          <w:b/>
          <w:sz w:val="20"/>
          <w:szCs w:val="20"/>
        </w:rPr>
        <w:t>СИГНАЛ</w:t>
      </w:r>
      <w:r w:rsidRPr="004D2D14">
        <w:rPr>
          <w:rFonts w:asciiTheme="majorHAnsi" w:hAnsiTheme="majorHAnsi"/>
          <w:b/>
          <w:sz w:val="20"/>
          <w:szCs w:val="20"/>
          <w:lang w:val="en-US"/>
        </w:rPr>
        <w:t xml:space="preserve"> –</w:t>
      </w:r>
    </w:p>
    <w:p w14:paraId="2DDAEA8A"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CONTROLLING</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SIGNAL</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w:t>
      </w:r>
    </w:p>
    <w:bookmarkEnd w:id="94"/>
    <w:p w14:paraId="42646D6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Cигнал, який пересилає дані про ознаки та (або) параметри</w:t>
      </w:r>
      <w:r w:rsidRPr="000977F7">
        <w:rPr>
          <w:rFonts w:asciiTheme="majorHAnsi" w:hAnsiTheme="majorHAnsi"/>
          <w:spacing w:val="-2"/>
          <w:sz w:val="20"/>
          <w:szCs w:val="20"/>
        </w:rPr>
        <w:t xml:space="preserve"> </w:t>
      </w:r>
      <w:r w:rsidRPr="000977F7">
        <w:rPr>
          <w:rFonts w:asciiTheme="majorHAnsi" w:hAnsiTheme="majorHAnsi"/>
          <w:sz w:val="20"/>
          <w:szCs w:val="20"/>
        </w:rPr>
        <w:t>керівного</w:t>
      </w:r>
      <w:r w:rsidRPr="000977F7">
        <w:rPr>
          <w:rFonts w:asciiTheme="majorHAnsi" w:hAnsiTheme="majorHAnsi"/>
          <w:spacing w:val="1"/>
          <w:sz w:val="20"/>
          <w:szCs w:val="20"/>
        </w:rPr>
        <w:t xml:space="preserve"> </w:t>
      </w:r>
      <w:r w:rsidRPr="000977F7">
        <w:rPr>
          <w:rFonts w:asciiTheme="majorHAnsi" w:hAnsiTheme="majorHAnsi"/>
          <w:sz w:val="20"/>
          <w:szCs w:val="20"/>
        </w:rPr>
        <w:t>діяння</w:t>
      </w:r>
    </w:p>
    <w:p w14:paraId="21C6B86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3956</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2000</w:t>
      </w:r>
    </w:p>
    <w:p w14:paraId="5F9D1E09"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en-US"/>
        </w:rPr>
      </w:pPr>
      <w:r w:rsidRPr="000977F7">
        <w:rPr>
          <w:rFonts w:asciiTheme="majorHAnsi" w:hAnsiTheme="majorHAnsi"/>
          <w:b/>
          <w:sz w:val="20"/>
          <w:szCs w:val="20"/>
        </w:rPr>
        <w:t>КЕРІВНИЦТВО</w:t>
      </w:r>
      <w:r w:rsidRPr="004D2D14">
        <w:rPr>
          <w:rFonts w:asciiTheme="majorHAnsi" w:hAnsiTheme="majorHAnsi"/>
          <w:b/>
          <w:sz w:val="20"/>
          <w:szCs w:val="20"/>
          <w:lang w:val="en-US"/>
        </w:rPr>
        <w:t xml:space="preserve"> </w:t>
      </w:r>
      <w:r w:rsidRPr="000977F7">
        <w:rPr>
          <w:rFonts w:asciiTheme="majorHAnsi" w:hAnsiTheme="majorHAnsi"/>
          <w:b/>
          <w:sz w:val="20"/>
          <w:szCs w:val="20"/>
        </w:rPr>
        <w:t>З</w:t>
      </w:r>
      <w:r w:rsidRPr="004D2D14">
        <w:rPr>
          <w:rFonts w:asciiTheme="majorHAnsi" w:hAnsiTheme="majorHAnsi"/>
          <w:b/>
          <w:sz w:val="20"/>
          <w:szCs w:val="20"/>
          <w:lang w:val="en-US"/>
        </w:rPr>
        <w:t xml:space="preserve"> </w:t>
      </w:r>
      <w:r w:rsidRPr="000977F7">
        <w:rPr>
          <w:rFonts w:asciiTheme="majorHAnsi" w:hAnsiTheme="majorHAnsi"/>
          <w:b/>
          <w:sz w:val="20"/>
          <w:szCs w:val="20"/>
        </w:rPr>
        <w:t>ЯКОСТІ</w:t>
      </w:r>
      <w:r w:rsidRPr="004D2D14">
        <w:rPr>
          <w:rFonts w:asciiTheme="majorHAnsi" w:hAnsiTheme="majorHAnsi"/>
          <w:b/>
          <w:sz w:val="20"/>
          <w:szCs w:val="20"/>
          <w:lang w:val="en-US"/>
        </w:rPr>
        <w:t xml:space="preserve"> –</w:t>
      </w:r>
      <w:r w:rsidRPr="004D2D14">
        <w:rPr>
          <w:rFonts w:asciiTheme="majorHAnsi" w:hAnsiTheme="majorHAnsi"/>
          <w:b/>
          <w:spacing w:val="-47"/>
          <w:sz w:val="20"/>
          <w:szCs w:val="20"/>
          <w:lang w:val="en-US"/>
        </w:rPr>
        <w:t xml:space="preserve"> </w:t>
      </w:r>
    </w:p>
    <w:p w14:paraId="29961836"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QUALITY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MANUAL</w:t>
      </w:r>
    </w:p>
    <w:p w14:paraId="7E2B9A6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КЕРІВНЕ</w:t>
      </w:r>
      <w:r w:rsidRPr="000977F7">
        <w:rPr>
          <w:color w:val="auto"/>
          <w:spacing w:val="-6"/>
          <w:sz w:val="20"/>
          <w:szCs w:val="20"/>
        </w:rPr>
        <w:t xml:space="preserve"> </w:t>
      </w:r>
      <w:r w:rsidRPr="000977F7">
        <w:rPr>
          <w:color w:val="auto"/>
          <w:sz w:val="20"/>
          <w:szCs w:val="20"/>
        </w:rPr>
        <w:t>(УПРАВЛІНСЬКЕ)</w:t>
      </w:r>
      <w:r w:rsidRPr="000977F7">
        <w:rPr>
          <w:color w:val="auto"/>
          <w:spacing w:val="-5"/>
          <w:sz w:val="20"/>
          <w:szCs w:val="20"/>
        </w:rPr>
        <w:t xml:space="preserve"> </w:t>
      </w:r>
      <w:r w:rsidRPr="000977F7">
        <w:rPr>
          <w:color w:val="auto"/>
          <w:sz w:val="20"/>
          <w:szCs w:val="20"/>
        </w:rPr>
        <w:t>РІШЕННЯ</w:t>
      </w:r>
      <w:r w:rsidRPr="000977F7">
        <w:rPr>
          <w:color w:val="auto"/>
          <w:spacing w:val="-2"/>
          <w:sz w:val="20"/>
          <w:szCs w:val="20"/>
        </w:rPr>
        <w:t xml:space="preserve"> </w:t>
      </w:r>
      <w:r w:rsidRPr="000977F7">
        <w:rPr>
          <w:color w:val="auto"/>
          <w:sz w:val="20"/>
          <w:szCs w:val="20"/>
        </w:rPr>
        <w:t>–</w:t>
      </w:r>
    </w:p>
    <w:p w14:paraId="69CEF92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Результат</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процесу</w:t>
      </w:r>
      <w:r w:rsidRPr="004D2D14">
        <w:rPr>
          <w:rFonts w:asciiTheme="majorHAnsi" w:hAnsiTheme="majorHAnsi"/>
          <w:spacing w:val="1"/>
          <w:sz w:val="20"/>
          <w:szCs w:val="20"/>
          <w:lang w:val="en-US"/>
        </w:rPr>
        <w:t xml:space="preserve"> </w:t>
      </w:r>
      <w:r w:rsidRPr="000977F7">
        <w:rPr>
          <w:rFonts w:asciiTheme="majorHAnsi" w:hAnsiTheme="majorHAnsi"/>
          <w:sz w:val="20"/>
          <w:szCs w:val="20"/>
        </w:rPr>
        <w:t>діяльності</w:t>
      </w:r>
      <w:r w:rsidRPr="004D2D14">
        <w:rPr>
          <w:rFonts w:asciiTheme="majorHAnsi" w:hAnsiTheme="majorHAnsi"/>
          <w:spacing w:val="1"/>
          <w:sz w:val="20"/>
          <w:szCs w:val="20"/>
          <w:lang w:val="en-US"/>
        </w:rPr>
        <w:t xml:space="preserve"> </w:t>
      </w:r>
      <w:r w:rsidRPr="000977F7">
        <w:rPr>
          <w:rFonts w:asciiTheme="majorHAnsi" w:hAnsiTheme="majorHAnsi"/>
          <w:sz w:val="20"/>
          <w:szCs w:val="20"/>
        </w:rPr>
        <w:t>керівників</w:t>
      </w:r>
      <w:r w:rsidRPr="004D2D14">
        <w:rPr>
          <w:rFonts w:asciiTheme="majorHAnsi" w:hAnsiTheme="majorHAnsi"/>
          <w:spacing w:val="1"/>
          <w:sz w:val="20"/>
          <w:szCs w:val="20"/>
          <w:lang w:val="en-US"/>
        </w:rPr>
        <w:t xml:space="preserve"> </w:t>
      </w:r>
      <w:r w:rsidRPr="000977F7">
        <w:rPr>
          <w:rFonts w:asciiTheme="majorHAnsi" w:hAnsiTheme="majorHAnsi"/>
          <w:sz w:val="20"/>
          <w:szCs w:val="20"/>
        </w:rPr>
        <w:t>будь</w:t>
      </w:r>
      <w:r w:rsidRPr="004D2D14">
        <w:rPr>
          <w:rFonts w:asciiTheme="majorHAnsi" w:hAnsiTheme="majorHAnsi"/>
          <w:sz w:val="20"/>
          <w:szCs w:val="20"/>
          <w:lang w:val="en-US"/>
        </w:rPr>
        <w:t>-</w:t>
      </w:r>
      <w:r w:rsidRPr="000977F7">
        <w:rPr>
          <w:rFonts w:asciiTheme="majorHAnsi" w:hAnsiTheme="majorHAnsi"/>
          <w:sz w:val="20"/>
          <w:szCs w:val="20"/>
        </w:rPr>
        <w:t>якого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рівня</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передбачає</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w:t>
      </w:r>
      <w:r w:rsidRPr="000977F7">
        <w:rPr>
          <w:rFonts w:asciiTheme="majorHAnsi" w:hAnsiTheme="majorHAnsi"/>
          <w:sz w:val="20"/>
          <w:szCs w:val="20"/>
        </w:rPr>
        <w:t>ясування</w:t>
      </w:r>
      <w:r w:rsidRPr="004D2D14">
        <w:rPr>
          <w:rFonts w:asciiTheme="majorHAnsi" w:hAnsiTheme="majorHAnsi"/>
          <w:sz w:val="20"/>
          <w:szCs w:val="20"/>
          <w:lang w:val="en-US"/>
        </w:rPr>
        <w:t xml:space="preserve"> </w:t>
      </w:r>
      <w:r w:rsidRPr="000977F7">
        <w:rPr>
          <w:rFonts w:asciiTheme="majorHAnsi" w:hAnsiTheme="majorHAnsi"/>
          <w:sz w:val="20"/>
          <w:szCs w:val="20"/>
        </w:rPr>
        <w:t>мети</w:t>
      </w:r>
      <w:r w:rsidRPr="004D2D14">
        <w:rPr>
          <w:rFonts w:asciiTheme="majorHAnsi" w:hAnsiTheme="majorHAnsi"/>
          <w:sz w:val="20"/>
          <w:szCs w:val="20"/>
          <w:lang w:val="en-US"/>
        </w:rPr>
        <w:t xml:space="preserve">, </w:t>
      </w:r>
      <w:r w:rsidRPr="000977F7">
        <w:rPr>
          <w:rFonts w:asciiTheme="majorHAnsi" w:hAnsiTheme="majorHAnsi"/>
          <w:sz w:val="20"/>
          <w:szCs w:val="20"/>
        </w:rPr>
        <w:t>вивчення</w:t>
      </w:r>
      <w:r w:rsidRPr="004D2D14">
        <w:rPr>
          <w:rFonts w:asciiTheme="majorHAnsi" w:hAnsiTheme="majorHAnsi"/>
          <w:sz w:val="20"/>
          <w:szCs w:val="20"/>
          <w:lang w:val="en-US"/>
        </w:rPr>
        <w:t xml:space="preserve"> </w:t>
      </w:r>
      <w:r w:rsidRPr="000977F7">
        <w:rPr>
          <w:rFonts w:asciiTheme="majorHAnsi" w:hAnsiTheme="majorHAnsi"/>
          <w:sz w:val="20"/>
          <w:szCs w:val="20"/>
        </w:rPr>
        <w:t>проблеми</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всього</w:t>
      </w:r>
      <w:r w:rsidRPr="004D2D14">
        <w:rPr>
          <w:rFonts w:asciiTheme="majorHAnsi" w:hAnsiTheme="majorHAnsi"/>
          <w:sz w:val="20"/>
          <w:szCs w:val="20"/>
          <w:lang w:val="en-US"/>
        </w:rPr>
        <w:t xml:space="preserve"> </w:t>
      </w:r>
      <w:r w:rsidRPr="000977F7">
        <w:rPr>
          <w:rFonts w:asciiTheme="majorHAnsi" w:hAnsiTheme="majorHAnsi"/>
          <w:sz w:val="20"/>
          <w:szCs w:val="20"/>
        </w:rPr>
        <w:t>комплексу</w:t>
      </w:r>
      <w:r w:rsidRPr="004D2D14">
        <w:rPr>
          <w:rFonts w:asciiTheme="majorHAnsi" w:hAnsiTheme="majorHAnsi"/>
          <w:sz w:val="20"/>
          <w:szCs w:val="20"/>
          <w:lang w:val="en-US"/>
        </w:rPr>
        <w:t xml:space="preserve"> </w:t>
      </w:r>
      <w:r w:rsidRPr="000977F7">
        <w:rPr>
          <w:rFonts w:asciiTheme="majorHAnsi" w:hAnsiTheme="majorHAnsi"/>
          <w:sz w:val="20"/>
          <w:szCs w:val="20"/>
        </w:rPr>
        <w:t>інформації</w:t>
      </w:r>
      <w:r w:rsidRPr="004D2D14">
        <w:rPr>
          <w:rFonts w:asciiTheme="majorHAnsi" w:hAnsiTheme="majorHAnsi"/>
          <w:sz w:val="20"/>
          <w:szCs w:val="20"/>
          <w:lang w:val="en-US"/>
        </w:rPr>
        <w:t xml:space="preserve">, </w:t>
      </w:r>
      <w:r w:rsidRPr="000977F7">
        <w:rPr>
          <w:rFonts w:asciiTheme="majorHAnsi" w:hAnsiTheme="majorHAnsi"/>
          <w:sz w:val="20"/>
          <w:szCs w:val="20"/>
        </w:rPr>
        <w:t>вибір</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обґрунтування</w:t>
      </w:r>
      <w:r w:rsidRPr="004D2D14">
        <w:rPr>
          <w:rFonts w:asciiTheme="majorHAnsi" w:hAnsiTheme="majorHAnsi"/>
          <w:sz w:val="20"/>
          <w:szCs w:val="20"/>
          <w:lang w:val="en-US"/>
        </w:rPr>
        <w:t xml:space="preserve"> </w:t>
      </w:r>
      <w:r w:rsidRPr="000977F7">
        <w:rPr>
          <w:rFonts w:asciiTheme="majorHAnsi" w:hAnsiTheme="majorHAnsi"/>
          <w:sz w:val="20"/>
          <w:szCs w:val="20"/>
        </w:rPr>
        <w:t>критеріїв</w:t>
      </w:r>
      <w:r w:rsidRPr="004D2D14">
        <w:rPr>
          <w:rFonts w:asciiTheme="majorHAnsi" w:hAnsiTheme="majorHAnsi"/>
          <w:sz w:val="20"/>
          <w:szCs w:val="20"/>
          <w:lang w:val="en-US"/>
        </w:rPr>
        <w:t xml:space="preserve"> </w:t>
      </w:r>
      <w:r w:rsidRPr="000977F7">
        <w:rPr>
          <w:rFonts w:asciiTheme="majorHAnsi" w:hAnsiTheme="majorHAnsi"/>
          <w:sz w:val="20"/>
          <w:szCs w:val="20"/>
        </w:rPr>
        <w:t>результативності</w:t>
      </w:r>
      <w:r w:rsidRPr="004D2D14">
        <w:rPr>
          <w:rFonts w:asciiTheme="majorHAnsi" w:hAnsiTheme="majorHAnsi"/>
          <w:sz w:val="20"/>
          <w:szCs w:val="20"/>
          <w:lang w:val="en-US"/>
        </w:rPr>
        <w:t xml:space="preserve"> </w:t>
      </w:r>
      <w:r w:rsidRPr="000977F7">
        <w:rPr>
          <w:rFonts w:asciiTheme="majorHAnsi" w:hAnsiTheme="majorHAnsi"/>
          <w:sz w:val="20"/>
          <w:szCs w:val="20"/>
        </w:rPr>
        <w:t>й</w:t>
      </w:r>
      <w:r w:rsidRPr="004D2D14">
        <w:rPr>
          <w:rFonts w:asciiTheme="majorHAnsi" w:hAnsiTheme="majorHAnsi"/>
          <w:sz w:val="20"/>
          <w:szCs w:val="20"/>
          <w:lang w:val="en-US"/>
        </w:rPr>
        <w:t xml:space="preserve"> </w:t>
      </w:r>
      <w:r w:rsidRPr="000977F7">
        <w:rPr>
          <w:rFonts w:asciiTheme="majorHAnsi" w:hAnsiTheme="majorHAnsi"/>
          <w:sz w:val="20"/>
          <w:szCs w:val="20"/>
        </w:rPr>
        <w:t>можливих</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наслідків</w:t>
      </w:r>
      <w:r w:rsidRPr="004D2D14">
        <w:rPr>
          <w:rFonts w:asciiTheme="majorHAnsi" w:hAnsiTheme="majorHAnsi"/>
          <w:sz w:val="20"/>
          <w:szCs w:val="20"/>
          <w:lang w:val="en-US"/>
        </w:rPr>
        <w:t>,</w:t>
      </w:r>
      <w:r w:rsidRPr="004D2D14">
        <w:rPr>
          <w:rFonts w:asciiTheme="majorHAnsi" w:hAnsiTheme="majorHAnsi"/>
          <w:spacing w:val="-2"/>
          <w:sz w:val="20"/>
          <w:szCs w:val="20"/>
          <w:lang w:val="en-US"/>
        </w:rPr>
        <w:t xml:space="preserve"> </w:t>
      </w:r>
      <w:r w:rsidRPr="000977F7">
        <w:rPr>
          <w:rFonts w:asciiTheme="majorHAnsi" w:hAnsiTheme="majorHAnsi"/>
          <w:sz w:val="20"/>
          <w:szCs w:val="20"/>
        </w:rPr>
        <w:t>формулювання</w:t>
      </w:r>
      <w:r w:rsidRPr="004D2D14">
        <w:rPr>
          <w:rFonts w:asciiTheme="majorHAnsi" w:hAnsiTheme="majorHAnsi"/>
          <w:spacing w:val="-2"/>
          <w:sz w:val="20"/>
          <w:szCs w:val="20"/>
          <w:lang w:val="en-US"/>
        </w:rPr>
        <w:t xml:space="preserve"> </w:t>
      </w:r>
      <w:r w:rsidRPr="000977F7">
        <w:rPr>
          <w:rFonts w:asciiTheme="majorHAnsi" w:hAnsiTheme="majorHAnsi"/>
          <w:sz w:val="20"/>
          <w:szCs w:val="20"/>
        </w:rPr>
        <w:t>та</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прийняття</w:t>
      </w:r>
      <w:r w:rsidRPr="004D2D14">
        <w:rPr>
          <w:rFonts w:asciiTheme="majorHAnsi" w:hAnsiTheme="majorHAnsi"/>
          <w:spacing w:val="-2"/>
          <w:sz w:val="20"/>
          <w:szCs w:val="20"/>
          <w:lang w:val="en-US"/>
        </w:rPr>
        <w:t xml:space="preserve"> </w:t>
      </w:r>
      <w:r w:rsidRPr="000977F7">
        <w:rPr>
          <w:rFonts w:asciiTheme="majorHAnsi" w:hAnsiTheme="majorHAnsi"/>
          <w:sz w:val="20"/>
          <w:szCs w:val="20"/>
        </w:rPr>
        <w:t>рішень</w:t>
      </w:r>
    </w:p>
    <w:p w14:paraId="4439D6C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noProof/>
          <w:sz w:val="20"/>
          <w:szCs w:val="20"/>
          <w:lang w:eastAsia="ru-RU"/>
        </w:rPr>
        <w:drawing>
          <wp:anchor distT="0" distB="0" distL="0" distR="0" simplePos="0" relativeHeight="251672576" behindDoc="1" locked="0" layoutInCell="1" allowOverlap="1" wp14:anchorId="5F89E9ED" wp14:editId="48E00CC1">
            <wp:simplePos x="0" y="0"/>
            <wp:positionH relativeFrom="page">
              <wp:posOffset>6278626</wp:posOffset>
            </wp:positionH>
            <wp:positionV relativeFrom="paragraph">
              <wp:posOffset>150570</wp:posOffset>
            </wp:positionV>
            <wp:extent cx="67055" cy="155447"/>
            <wp:effectExtent l="0" t="0" r="0" b="0"/>
            <wp:wrapNone/>
            <wp:docPr id="30"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3.png"/>
                    <pic:cNvPicPr/>
                  </pic:nvPicPr>
                  <pic:blipFill>
                    <a:blip r:embed="rId14" cstate="print"/>
                    <a:stretch>
                      <a:fillRect/>
                    </a:stretch>
                  </pic:blipFill>
                  <pic:spPr>
                    <a:xfrm>
                      <a:off x="0" y="0"/>
                      <a:ext cx="67055" cy="155447"/>
                    </a:xfrm>
                    <a:prstGeom prst="rect">
                      <a:avLst/>
                    </a:prstGeom>
                  </pic:spPr>
                </pic:pic>
              </a:graphicData>
            </a:graphic>
          </wp:anchor>
        </w:drawing>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9F1D9F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95" w:name="_Hlk101018649"/>
      <w:r w:rsidRPr="000977F7">
        <w:rPr>
          <w:color w:val="auto"/>
          <w:sz w:val="20"/>
          <w:szCs w:val="20"/>
        </w:rPr>
        <w:t>КЕРОВАНИЙ</w:t>
      </w:r>
      <w:r w:rsidRPr="000977F7">
        <w:rPr>
          <w:color w:val="auto"/>
          <w:spacing w:val="44"/>
          <w:sz w:val="20"/>
          <w:szCs w:val="20"/>
        </w:rPr>
        <w:t xml:space="preserve"> </w:t>
      </w:r>
      <w:r w:rsidRPr="000977F7">
        <w:rPr>
          <w:color w:val="auto"/>
          <w:sz w:val="20"/>
          <w:szCs w:val="20"/>
        </w:rPr>
        <w:t>(ВКЕРОВАНИЙ)</w:t>
      </w:r>
      <w:r w:rsidRPr="000977F7">
        <w:rPr>
          <w:color w:val="auto"/>
          <w:spacing w:val="-3"/>
          <w:sz w:val="20"/>
          <w:szCs w:val="20"/>
        </w:rPr>
        <w:t xml:space="preserve"> </w:t>
      </w:r>
      <w:r w:rsidRPr="000977F7">
        <w:rPr>
          <w:color w:val="auto"/>
          <w:sz w:val="20"/>
          <w:szCs w:val="20"/>
        </w:rPr>
        <w:t>ОБ</w:t>
      </w:r>
      <w:r w:rsidRPr="000977F7">
        <w:rPr>
          <w:color w:val="auto"/>
          <w:spacing w:val="1"/>
          <w:sz w:val="20"/>
          <w:szCs w:val="20"/>
        </w:rPr>
        <w:t xml:space="preserve"> </w:t>
      </w:r>
      <w:r w:rsidRPr="000977F7">
        <w:rPr>
          <w:color w:val="auto"/>
          <w:sz w:val="20"/>
          <w:szCs w:val="20"/>
        </w:rPr>
        <w:t>ЄКТ</w:t>
      </w:r>
      <w:r w:rsidRPr="000977F7">
        <w:rPr>
          <w:color w:val="auto"/>
          <w:spacing w:val="-4"/>
          <w:sz w:val="20"/>
          <w:szCs w:val="20"/>
        </w:rPr>
        <w:t xml:space="preserve"> </w:t>
      </w:r>
      <w:r w:rsidRPr="000977F7">
        <w:rPr>
          <w:color w:val="auto"/>
          <w:sz w:val="20"/>
          <w:szCs w:val="20"/>
        </w:rPr>
        <w:t>–</w:t>
      </w:r>
    </w:p>
    <w:p w14:paraId="4E450AF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CONTROLLED</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r w:rsidRPr="000977F7">
        <w:rPr>
          <w:rFonts w:asciiTheme="majorHAnsi" w:hAnsiTheme="majorHAnsi"/>
          <w:sz w:val="20"/>
          <w:szCs w:val="20"/>
        </w:rPr>
        <w:t>CONTROLLABL</w:t>
      </w:r>
      <w:r w:rsidRPr="004D2D14">
        <w:rPr>
          <w:rFonts w:asciiTheme="majorHAnsi" w:hAnsiTheme="majorHAnsi"/>
          <w:sz w:val="20"/>
          <w:szCs w:val="20"/>
          <w:lang w:val="uk-UA"/>
        </w:rPr>
        <w:t>)</w:t>
      </w:r>
      <w:r w:rsidRPr="004D2D14">
        <w:rPr>
          <w:rFonts w:asciiTheme="majorHAnsi" w:hAnsiTheme="majorHAnsi"/>
          <w:spacing w:val="-3"/>
          <w:sz w:val="20"/>
          <w:szCs w:val="20"/>
          <w:lang w:val="uk-UA"/>
        </w:rPr>
        <w:t xml:space="preserve"> </w:t>
      </w:r>
      <w:r w:rsidRPr="000977F7">
        <w:rPr>
          <w:rFonts w:asciiTheme="majorHAnsi" w:hAnsiTheme="majorHAnsi"/>
          <w:sz w:val="20"/>
          <w:szCs w:val="20"/>
        </w:rPr>
        <w:t>OBJECT</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bookmarkEnd w:id="95"/>
    <w:p w14:paraId="49C18A6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Об’єкт</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керування,</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який</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подають</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керівні</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діяння</w:t>
      </w:r>
    </w:p>
    <w:p w14:paraId="20E77CD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3956</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2000</w:t>
      </w:r>
    </w:p>
    <w:p w14:paraId="6BAE164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96" w:name="_Hlk101018934"/>
      <w:r w:rsidRPr="000977F7">
        <w:rPr>
          <w:color w:val="auto"/>
          <w:sz w:val="20"/>
          <w:szCs w:val="20"/>
        </w:rPr>
        <w:t>КЕРОВАНИЙ</w:t>
      </w:r>
      <w:r w:rsidRPr="000977F7">
        <w:rPr>
          <w:color w:val="auto"/>
          <w:spacing w:val="42"/>
          <w:sz w:val="20"/>
          <w:szCs w:val="20"/>
        </w:rPr>
        <w:t xml:space="preserve"> </w:t>
      </w:r>
      <w:r w:rsidRPr="000977F7">
        <w:rPr>
          <w:color w:val="auto"/>
          <w:sz w:val="20"/>
          <w:szCs w:val="20"/>
        </w:rPr>
        <w:t>(ВКЕРОВАНИЙ)</w:t>
      </w:r>
      <w:r w:rsidRPr="000977F7">
        <w:rPr>
          <w:color w:val="auto"/>
          <w:spacing w:val="-4"/>
          <w:sz w:val="20"/>
          <w:szCs w:val="20"/>
        </w:rPr>
        <w:t xml:space="preserve"> </w:t>
      </w:r>
      <w:r w:rsidRPr="000977F7">
        <w:rPr>
          <w:color w:val="auto"/>
          <w:sz w:val="20"/>
          <w:szCs w:val="20"/>
        </w:rPr>
        <w:t>ПАРАМЕТР –</w:t>
      </w:r>
    </w:p>
    <w:p w14:paraId="1098B20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CONTROLLED</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r w:rsidRPr="000977F7">
        <w:rPr>
          <w:rFonts w:asciiTheme="majorHAnsi" w:hAnsiTheme="majorHAnsi"/>
          <w:sz w:val="20"/>
          <w:szCs w:val="20"/>
        </w:rPr>
        <w:t>CONTROLLABL</w:t>
      </w:r>
      <w:r w:rsidRPr="004D2D14">
        <w:rPr>
          <w:rFonts w:asciiTheme="majorHAnsi" w:hAnsiTheme="majorHAnsi"/>
          <w:sz w:val="20"/>
          <w:szCs w:val="20"/>
          <w:lang w:val="uk-UA"/>
        </w:rPr>
        <w:t>)</w:t>
      </w:r>
      <w:r w:rsidRPr="004D2D14">
        <w:rPr>
          <w:rFonts w:asciiTheme="majorHAnsi" w:hAnsiTheme="majorHAnsi"/>
          <w:spacing w:val="-3"/>
          <w:sz w:val="20"/>
          <w:szCs w:val="20"/>
          <w:lang w:val="uk-UA"/>
        </w:rPr>
        <w:t xml:space="preserve"> </w:t>
      </w:r>
      <w:r w:rsidRPr="000977F7">
        <w:rPr>
          <w:rFonts w:asciiTheme="majorHAnsi" w:hAnsiTheme="majorHAnsi"/>
          <w:sz w:val="20"/>
          <w:szCs w:val="20"/>
        </w:rPr>
        <w:t>PARAMETER</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bookmarkEnd w:id="96"/>
    <w:p w14:paraId="4CF1838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Параметр об’єкта, залежний від керівного діяння 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який беруть до уваги, визначаючи ступінь досягнення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мети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керування</w:t>
      </w:r>
    </w:p>
    <w:p w14:paraId="6850214B"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 3956 – 2000</w:t>
      </w:r>
    </w:p>
    <w:p w14:paraId="651A241E"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uk-UA"/>
        </w:rPr>
      </w:pPr>
      <w:r w:rsidRPr="004D2D14">
        <w:rPr>
          <w:rFonts w:asciiTheme="majorHAnsi" w:hAnsiTheme="majorHAnsi"/>
          <w:i/>
          <w:spacing w:val="-47"/>
          <w:sz w:val="20"/>
          <w:szCs w:val="20"/>
          <w:lang w:val="uk-UA"/>
        </w:rPr>
        <w:t xml:space="preserve"> </w:t>
      </w:r>
      <w:bookmarkStart w:id="97" w:name="_Hlk101019139"/>
      <w:r w:rsidRPr="004D2D14">
        <w:rPr>
          <w:rFonts w:asciiTheme="majorHAnsi" w:hAnsiTheme="majorHAnsi"/>
          <w:b/>
          <w:sz w:val="20"/>
          <w:szCs w:val="20"/>
          <w:lang w:val="uk-UA"/>
        </w:rPr>
        <w:t>КЕРУВАННЯ –</w:t>
      </w:r>
    </w:p>
    <w:p w14:paraId="36E885FD"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0977F7">
        <w:rPr>
          <w:rFonts w:asciiTheme="majorHAnsi" w:hAnsiTheme="majorHAnsi"/>
          <w:sz w:val="20"/>
          <w:szCs w:val="20"/>
        </w:rPr>
        <w:t>CONTROL</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bookmarkEnd w:id="97"/>
    </w:p>
    <w:p w14:paraId="116914C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Сукупність цілеспрямованих дій, що включає оцінку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ситуації та стану об’єкта керування, вибір видів керівного діяння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його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реалізацію</w:t>
      </w:r>
    </w:p>
    <w:p w14:paraId="074DDB6D"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3956</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 2000</w:t>
      </w:r>
    </w:p>
    <w:p w14:paraId="50E797A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КЕРУВАННЯ</w:t>
      </w:r>
      <w:r w:rsidRPr="000977F7">
        <w:rPr>
          <w:color w:val="auto"/>
          <w:spacing w:val="-6"/>
          <w:sz w:val="20"/>
          <w:szCs w:val="20"/>
        </w:rPr>
        <w:t xml:space="preserve"> </w:t>
      </w:r>
      <w:r w:rsidRPr="000977F7">
        <w:rPr>
          <w:color w:val="auto"/>
          <w:sz w:val="20"/>
          <w:szCs w:val="20"/>
        </w:rPr>
        <w:t>ВИРОБНИЦТВОМ</w:t>
      </w:r>
      <w:r w:rsidRPr="000977F7">
        <w:rPr>
          <w:color w:val="auto"/>
          <w:spacing w:val="1"/>
          <w:sz w:val="20"/>
          <w:szCs w:val="20"/>
        </w:rPr>
        <w:t xml:space="preserve"> </w:t>
      </w:r>
      <w:r w:rsidRPr="000977F7">
        <w:rPr>
          <w:color w:val="auto"/>
          <w:sz w:val="20"/>
          <w:szCs w:val="20"/>
        </w:rPr>
        <w:t>–</w:t>
      </w:r>
    </w:p>
    <w:p w14:paraId="5FB0A35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Система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заходів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впливу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виконавців,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зайнятих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процесі виробництва, та через них на засоби виробництва, що здійснюється свідомо, цілеспрямовано, планомірно і сприяє виготовленню продукції потрібної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кількості та якості з найменшими трудовими та матеріальними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витратами</w:t>
      </w:r>
    </w:p>
    <w:p w14:paraId="16777F73"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2960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01612AC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КЕРУВАННЯ</w:t>
      </w:r>
      <w:r w:rsidRPr="000977F7">
        <w:rPr>
          <w:color w:val="auto"/>
          <w:spacing w:val="-5"/>
          <w:sz w:val="20"/>
          <w:szCs w:val="20"/>
        </w:rPr>
        <w:t xml:space="preserve"> </w:t>
      </w:r>
      <w:r w:rsidRPr="000977F7">
        <w:rPr>
          <w:color w:val="auto"/>
          <w:sz w:val="20"/>
          <w:szCs w:val="20"/>
        </w:rPr>
        <w:t>НАДІЙНІСТЮ</w:t>
      </w:r>
      <w:r w:rsidRPr="000977F7">
        <w:rPr>
          <w:color w:val="auto"/>
          <w:spacing w:val="-4"/>
          <w:sz w:val="20"/>
          <w:szCs w:val="20"/>
        </w:rPr>
        <w:t xml:space="preserve"> </w:t>
      </w:r>
      <w:r w:rsidRPr="000977F7">
        <w:rPr>
          <w:color w:val="auto"/>
          <w:sz w:val="20"/>
          <w:szCs w:val="20"/>
        </w:rPr>
        <w:t>–</w:t>
      </w:r>
    </w:p>
    <w:p w14:paraId="07B20F0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DEPENDABILITY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MANAGEMENT</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54F6212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Цілеспрямована</w:t>
      </w:r>
      <w:r w:rsidRPr="004D2D14">
        <w:rPr>
          <w:rFonts w:asciiTheme="majorHAnsi" w:hAnsiTheme="majorHAnsi"/>
          <w:sz w:val="20"/>
          <w:szCs w:val="20"/>
          <w:lang w:val="en-US"/>
        </w:rPr>
        <w:t xml:space="preserve"> </w:t>
      </w:r>
      <w:r w:rsidRPr="000977F7">
        <w:rPr>
          <w:rFonts w:asciiTheme="majorHAnsi" w:hAnsiTheme="majorHAnsi"/>
          <w:sz w:val="20"/>
          <w:szCs w:val="20"/>
        </w:rPr>
        <w:t>діяльність</w:t>
      </w:r>
      <w:r w:rsidRPr="004D2D14">
        <w:rPr>
          <w:rFonts w:asciiTheme="majorHAnsi" w:hAnsiTheme="majorHAnsi"/>
          <w:sz w:val="20"/>
          <w:szCs w:val="20"/>
          <w:lang w:val="en-US"/>
        </w:rPr>
        <w:t xml:space="preserve"> </w:t>
      </w:r>
      <w:r w:rsidRPr="000977F7">
        <w:rPr>
          <w:rFonts w:asciiTheme="majorHAnsi" w:hAnsiTheme="majorHAnsi"/>
          <w:sz w:val="20"/>
          <w:szCs w:val="20"/>
        </w:rPr>
        <w:t>щодо</w:t>
      </w:r>
      <w:r w:rsidRPr="004D2D14">
        <w:rPr>
          <w:rFonts w:asciiTheme="majorHAnsi" w:hAnsiTheme="majorHAnsi"/>
          <w:sz w:val="20"/>
          <w:szCs w:val="20"/>
          <w:lang w:val="en-US"/>
        </w:rPr>
        <w:t xml:space="preserve"> </w:t>
      </w:r>
      <w:r w:rsidRPr="000977F7">
        <w:rPr>
          <w:rFonts w:asciiTheme="majorHAnsi" w:hAnsiTheme="majorHAnsi"/>
          <w:sz w:val="20"/>
          <w:szCs w:val="20"/>
        </w:rPr>
        <w:t>обґрунтування</w:t>
      </w:r>
      <w:r w:rsidRPr="004D2D14">
        <w:rPr>
          <w:rFonts w:asciiTheme="majorHAnsi" w:hAnsiTheme="majorHAnsi"/>
          <w:sz w:val="20"/>
          <w:szCs w:val="20"/>
          <w:lang w:val="en-US"/>
        </w:rPr>
        <w:t xml:space="preserve">, </w:t>
      </w:r>
      <w:r w:rsidRPr="000977F7">
        <w:rPr>
          <w:rFonts w:asciiTheme="majorHAnsi" w:hAnsiTheme="majorHAnsi"/>
          <w:sz w:val="20"/>
          <w:szCs w:val="20"/>
        </w:rPr>
        <w:t>планування</w:t>
      </w:r>
      <w:r w:rsidRPr="004D2D14">
        <w:rPr>
          <w:rFonts w:asciiTheme="majorHAnsi" w:hAnsiTheme="majorHAnsi"/>
          <w:sz w:val="20"/>
          <w:szCs w:val="20"/>
          <w:lang w:val="en-US"/>
        </w:rPr>
        <w:t xml:space="preserve">, </w:t>
      </w:r>
      <w:r w:rsidRPr="000977F7">
        <w:rPr>
          <w:rFonts w:asciiTheme="majorHAnsi" w:hAnsiTheme="majorHAnsi"/>
          <w:sz w:val="20"/>
          <w:szCs w:val="20"/>
        </w:rPr>
        <w:t>забезпечення</w:t>
      </w:r>
      <w:r w:rsidRPr="004D2D14">
        <w:rPr>
          <w:rFonts w:asciiTheme="majorHAnsi" w:hAnsiTheme="majorHAnsi"/>
          <w:sz w:val="20"/>
          <w:szCs w:val="20"/>
          <w:lang w:val="en-US"/>
        </w:rPr>
        <w:t xml:space="preserve">, </w:t>
      </w:r>
      <w:r w:rsidRPr="000977F7">
        <w:rPr>
          <w:rFonts w:asciiTheme="majorHAnsi" w:hAnsiTheme="majorHAnsi"/>
          <w:sz w:val="20"/>
          <w:szCs w:val="20"/>
        </w:rPr>
        <w:t>підвищення</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підтримки</w:t>
      </w:r>
      <w:r w:rsidRPr="004D2D14">
        <w:rPr>
          <w:rFonts w:asciiTheme="majorHAnsi" w:hAnsiTheme="majorHAnsi"/>
          <w:sz w:val="20"/>
          <w:szCs w:val="20"/>
          <w:lang w:val="en-US"/>
        </w:rPr>
        <w:t xml:space="preserve"> </w:t>
      </w:r>
      <w:r w:rsidRPr="000977F7">
        <w:rPr>
          <w:rFonts w:asciiTheme="majorHAnsi" w:hAnsiTheme="majorHAnsi"/>
          <w:sz w:val="20"/>
          <w:szCs w:val="20"/>
        </w:rPr>
        <w:t>характеристик</w:t>
      </w:r>
      <w:r w:rsidRPr="004D2D14">
        <w:rPr>
          <w:rFonts w:asciiTheme="majorHAnsi" w:hAnsiTheme="majorHAnsi"/>
          <w:sz w:val="20"/>
          <w:szCs w:val="20"/>
          <w:lang w:val="en-US"/>
        </w:rPr>
        <w:t xml:space="preserve"> </w:t>
      </w:r>
      <w:r w:rsidRPr="000977F7">
        <w:rPr>
          <w:rFonts w:asciiTheme="majorHAnsi" w:hAnsiTheme="majorHAnsi"/>
          <w:sz w:val="20"/>
          <w:szCs w:val="20"/>
        </w:rPr>
        <w:t>безвідмовності</w:t>
      </w:r>
      <w:r w:rsidRPr="004D2D14">
        <w:rPr>
          <w:rFonts w:asciiTheme="majorHAnsi" w:hAnsiTheme="majorHAnsi"/>
          <w:sz w:val="20"/>
          <w:szCs w:val="20"/>
          <w:lang w:val="en-US"/>
        </w:rPr>
        <w:t xml:space="preserve">, </w:t>
      </w:r>
      <w:r w:rsidRPr="000977F7">
        <w:rPr>
          <w:rFonts w:asciiTheme="majorHAnsi" w:hAnsiTheme="majorHAnsi"/>
          <w:sz w:val="20"/>
          <w:szCs w:val="20"/>
        </w:rPr>
        <w:t>ремонтопридатності</w:t>
      </w:r>
      <w:r w:rsidRPr="004D2D14">
        <w:rPr>
          <w:rFonts w:asciiTheme="majorHAnsi" w:hAnsiTheme="majorHAnsi"/>
          <w:sz w:val="20"/>
          <w:szCs w:val="20"/>
          <w:lang w:val="en-US"/>
        </w:rPr>
        <w:t xml:space="preserve">, </w:t>
      </w:r>
      <w:r w:rsidRPr="000977F7">
        <w:rPr>
          <w:rFonts w:asciiTheme="majorHAnsi" w:hAnsiTheme="majorHAnsi"/>
          <w:sz w:val="20"/>
          <w:szCs w:val="20"/>
        </w:rPr>
        <w:t>довговічності</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збережуваності</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єктів</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розглядаються</w:t>
      </w:r>
    </w:p>
    <w:p w14:paraId="0162DCA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48B8B29D" w14:textId="77777777" w:rsidR="0097612F" w:rsidRPr="004D2D14" w:rsidRDefault="0097612F" w:rsidP="000977F7">
      <w:pPr>
        <w:tabs>
          <w:tab w:val="left" w:pos="284"/>
          <w:tab w:val="left" w:pos="1543"/>
          <w:tab w:val="left" w:pos="2205"/>
          <w:tab w:val="left" w:pos="4110"/>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КЕРУВАННЯ</w:t>
      </w:r>
      <w:r w:rsidRPr="004D2D14">
        <w:rPr>
          <w:rFonts w:asciiTheme="majorHAnsi" w:hAnsiTheme="majorHAnsi"/>
          <w:b/>
          <w:sz w:val="20"/>
          <w:szCs w:val="20"/>
          <w:lang w:val="en-US"/>
        </w:rPr>
        <w:t xml:space="preserve"> </w:t>
      </w:r>
      <w:r w:rsidRPr="000977F7">
        <w:rPr>
          <w:rFonts w:asciiTheme="majorHAnsi" w:hAnsiTheme="majorHAnsi"/>
          <w:b/>
          <w:sz w:val="20"/>
          <w:szCs w:val="20"/>
        </w:rPr>
        <w:t>ПОЗАПРОЕКТНОЮ</w:t>
      </w:r>
      <w:r w:rsidRPr="004D2D14">
        <w:rPr>
          <w:rFonts w:asciiTheme="majorHAnsi" w:hAnsiTheme="majorHAnsi"/>
          <w:b/>
          <w:sz w:val="20"/>
          <w:szCs w:val="20"/>
          <w:lang w:val="en-US"/>
        </w:rPr>
        <w:t xml:space="preserve"> </w:t>
      </w:r>
      <w:r w:rsidRPr="000977F7">
        <w:rPr>
          <w:rFonts w:asciiTheme="majorHAnsi" w:hAnsiTheme="majorHAnsi"/>
          <w:b/>
          <w:sz w:val="20"/>
          <w:szCs w:val="20"/>
        </w:rPr>
        <w:t>АВАРІЄЮ</w:t>
      </w:r>
      <w:r w:rsidRPr="004D2D14">
        <w:rPr>
          <w:rFonts w:asciiTheme="majorHAnsi" w:hAnsiTheme="majorHAnsi"/>
          <w:b/>
          <w:sz w:val="20"/>
          <w:szCs w:val="20"/>
          <w:lang w:val="en-US"/>
        </w:rPr>
        <w:t xml:space="preserve"> –</w:t>
      </w:r>
      <w:r w:rsidRPr="004D2D14">
        <w:rPr>
          <w:rFonts w:asciiTheme="majorHAnsi" w:hAnsiTheme="majorHAnsi"/>
          <w:b/>
          <w:spacing w:val="1"/>
          <w:sz w:val="20"/>
          <w:szCs w:val="20"/>
          <w:lang w:val="en-US"/>
        </w:rPr>
        <w:t xml:space="preserve"> </w:t>
      </w:r>
      <w:r w:rsidRPr="004D2D14">
        <w:rPr>
          <w:rFonts w:asciiTheme="majorHAnsi" w:hAnsiTheme="majorHAnsi"/>
          <w:sz w:val="20"/>
          <w:szCs w:val="20"/>
          <w:lang w:val="en-US"/>
        </w:rPr>
        <w:t xml:space="preserve">BEYOND THE DESIGN-BASISEN </w:t>
      </w:r>
      <w:r w:rsidRPr="004D2D14">
        <w:rPr>
          <w:rFonts w:asciiTheme="majorHAnsi" w:hAnsiTheme="majorHAnsi"/>
          <w:spacing w:val="-1"/>
          <w:sz w:val="20"/>
          <w:szCs w:val="20"/>
          <w:lang w:val="en-US"/>
        </w:rPr>
        <w:t>ACCIDENT</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MANAGEMENT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70A8FBB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Дії</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спрямовані</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запобігання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розвитку</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проектної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аварії</w:t>
      </w:r>
      <w:r w:rsidRPr="004D2D14">
        <w:rPr>
          <w:rFonts w:asciiTheme="majorHAnsi" w:hAnsiTheme="majorHAnsi"/>
          <w:spacing w:val="1"/>
          <w:sz w:val="20"/>
          <w:szCs w:val="20"/>
          <w:lang w:val="en-US"/>
        </w:rPr>
        <w:t xml:space="preserve"> </w:t>
      </w:r>
      <w:r w:rsidRPr="000977F7">
        <w:rPr>
          <w:rFonts w:asciiTheme="majorHAnsi" w:hAnsiTheme="majorHAnsi"/>
          <w:sz w:val="20"/>
          <w:szCs w:val="20"/>
        </w:rPr>
        <w:t>в</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позапроектну</w:t>
      </w:r>
      <w:r w:rsidRPr="004D2D14">
        <w:rPr>
          <w:rFonts w:asciiTheme="majorHAnsi" w:hAnsiTheme="majorHAnsi"/>
          <w:spacing w:val="1"/>
          <w:sz w:val="20"/>
          <w:szCs w:val="20"/>
          <w:lang w:val="en-US"/>
        </w:rPr>
        <w:t xml:space="preserve"> </w:t>
      </w:r>
      <w:r w:rsidRPr="000977F7">
        <w:rPr>
          <w:rFonts w:asciiTheme="majorHAnsi" w:hAnsiTheme="majorHAnsi"/>
          <w:sz w:val="20"/>
          <w:szCs w:val="20"/>
        </w:rPr>
        <w:t>та</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послаблення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наслідків</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позапроектної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аварії</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виконувані</w:t>
      </w:r>
      <w:r w:rsidRPr="004D2D14">
        <w:rPr>
          <w:rFonts w:asciiTheme="majorHAnsi" w:hAnsiTheme="majorHAnsi"/>
          <w:spacing w:val="1"/>
          <w:sz w:val="20"/>
          <w:szCs w:val="20"/>
          <w:lang w:val="en-US"/>
        </w:rPr>
        <w:t xml:space="preserve"> </w:t>
      </w:r>
      <w:r w:rsidRPr="000977F7">
        <w:rPr>
          <w:rFonts w:asciiTheme="majorHAnsi" w:hAnsiTheme="majorHAnsi"/>
          <w:sz w:val="20"/>
          <w:szCs w:val="20"/>
        </w:rPr>
        <w:t>всіма</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наявними</w:t>
      </w:r>
      <w:r w:rsidRPr="004D2D14">
        <w:rPr>
          <w:rFonts w:asciiTheme="majorHAnsi" w:hAnsiTheme="majorHAnsi"/>
          <w:spacing w:val="1"/>
          <w:sz w:val="20"/>
          <w:szCs w:val="20"/>
          <w:lang w:val="en-US"/>
        </w:rPr>
        <w:t xml:space="preserve"> </w:t>
      </w:r>
      <w:r w:rsidRPr="000977F7">
        <w:rPr>
          <w:rFonts w:asciiTheme="majorHAnsi" w:hAnsiTheme="majorHAnsi"/>
          <w:sz w:val="20"/>
          <w:szCs w:val="20"/>
        </w:rPr>
        <w:t>в</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працездатному</w:t>
      </w:r>
      <w:r w:rsidRPr="004D2D14">
        <w:rPr>
          <w:rFonts w:asciiTheme="majorHAnsi" w:hAnsiTheme="majorHAnsi"/>
          <w:sz w:val="20"/>
          <w:szCs w:val="20"/>
          <w:lang w:val="en-US"/>
        </w:rPr>
        <w:t xml:space="preserve"> </w:t>
      </w:r>
      <w:r w:rsidRPr="000977F7">
        <w:rPr>
          <w:rFonts w:asciiTheme="majorHAnsi" w:hAnsiTheme="majorHAnsi"/>
          <w:sz w:val="20"/>
          <w:szCs w:val="20"/>
        </w:rPr>
        <w:t>стані</w:t>
      </w:r>
      <w:r w:rsidRPr="004D2D14">
        <w:rPr>
          <w:rFonts w:asciiTheme="majorHAnsi" w:hAnsiTheme="majorHAnsi"/>
          <w:sz w:val="20"/>
          <w:szCs w:val="20"/>
          <w:lang w:val="en-US"/>
        </w:rPr>
        <w:t xml:space="preserve"> </w:t>
      </w:r>
      <w:r w:rsidRPr="000977F7">
        <w:rPr>
          <w:rFonts w:asciiTheme="majorHAnsi" w:hAnsiTheme="majorHAnsi"/>
          <w:sz w:val="20"/>
          <w:szCs w:val="20"/>
        </w:rPr>
        <w:t>технічними</w:t>
      </w:r>
      <w:r w:rsidRPr="004D2D14">
        <w:rPr>
          <w:rFonts w:asciiTheme="majorHAnsi" w:hAnsiTheme="majorHAnsi"/>
          <w:sz w:val="20"/>
          <w:szCs w:val="20"/>
          <w:lang w:val="en-US"/>
        </w:rPr>
        <w:t xml:space="preserve"> </w:t>
      </w:r>
      <w:r w:rsidRPr="000977F7">
        <w:rPr>
          <w:rFonts w:asciiTheme="majorHAnsi" w:hAnsiTheme="majorHAnsi"/>
          <w:sz w:val="20"/>
          <w:szCs w:val="20"/>
        </w:rPr>
        <w:t>засобами</w:t>
      </w:r>
      <w:r w:rsidRPr="004D2D14">
        <w:rPr>
          <w:rFonts w:asciiTheme="majorHAnsi" w:hAnsiTheme="majorHAnsi"/>
          <w:sz w:val="20"/>
          <w:szCs w:val="20"/>
          <w:lang w:val="en-US"/>
        </w:rPr>
        <w:t xml:space="preserve">, </w:t>
      </w:r>
      <w:r w:rsidRPr="000977F7">
        <w:rPr>
          <w:rFonts w:asciiTheme="majorHAnsi" w:hAnsiTheme="majorHAnsi"/>
          <w:sz w:val="20"/>
          <w:szCs w:val="20"/>
        </w:rPr>
        <w:t>як</w:t>
      </w:r>
      <w:r w:rsidRPr="004D2D14">
        <w:rPr>
          <w:rFonts w:asciiTheme="majorHAnsi" w:hAnsiTheme="majorHAnsi"/>
          <w:sz w:val="20"/>
          <w:szCs w:val="20"/>
          <w:lang w:val="en-US"/>
        </w:rPr>
        <w:t xml:space="preserve"> </w:t>
      </w:r>
      <w:r w:rsidRPr="000977F7">
        <w:rPr>
          <w:rFonts w:asciiTheme="majorHAnsi" w:hAnsiTheme="majorHAnsi"/>
          <w:sz w:val="20"/>
          <w:szCs w:val="20"/>
        </w:rPr>
        <w:t>спеціально</w:t>
      </w:r>
      <w:r w:rsidRPr="004D2D14">
        <w:rPr>
          <w:rFonts w:asciiTheme="majorHAnsi" w:hAnsiTheme="majorHAnsi"/>
          <w:sz w:val="20"/>
          <w:szCs w:val="20"/>
          <w:lang w:val="en-US"/>
        </w:rPr>
        <w:t xml:space="preserve"> </w:t>
      </w:r>
      <w:r w:rsidRPr="000977F7">
        <w:rPr>
          <w:rFonts w:asciiTheme="majorHAnsi" w:hAnsiTheme="majorHAnsi"/>
          <w:sz w:val="20"/>
          <w:szCs w:val="20"/>
        </w:rPr>
        <w:t>призначеними</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зменшення</w:t>
      </w:r>
      <w:r w:rsidRPr="004D2D14">
        <w:rPr>
          <w:rFonts w:asciiTheme="majorHAnsi" w:hAnsiTheme="majorHAnsi"/>
          <w:sz w:val="20"/>
          <w:szCs w:val="20"/>
          <w:lang w:val="en-US"/>
        </w:rPr>
        <w:t xml:space="preserve"> </w:t>
      </w:r>
      <w:r w:rsidRPr="000977F7">
        <w:rPr>
          <w:rFonts w:asciiTheme="majorHAnsi" w:hAnsiTheme="majorHAnsi"/>
          <w:sz w:val="20"/>
          <w:szCs w:val="20"/>
        </w:rPr>
        <w:t>наслідків</w:t>
      </w:r>
      <w:r w:rsidRPr="004D2D14">
        <w:rPr>
          <w:rFonts w:asciiTheme="majorHAnsi" w:hAnsiTheme="majorHAnsi"/>
          <w:sz w:val="20"/>
          <w:szCs w:val="20"/>
          <w:lang w:val="en-US"/>
        </w:rPr>
        <w:t xml:space="preserve"> </w:t>
      </w:r>
      <w:r w:rsidRPr="000977F7">
        <w:rPr>
          <w:rFonts w:asciiTheme="majorHAnsi" w:hAnsiTheme="majorHAnsi"/>
          <w:sz w:val="20"/>
          <w:szCs w:val="20"/>
        </w:rPr>
        <w:t>проектних</w:t>
      </w:r>
      <w:r w:rsidRPr="004D2D14">
        <w:rPr>
          <w:rFonts w:asciiTheme="majorHAnsi" w:hAnsiTheme="majorHAnsi"/>
          <w:sz w:val="20"/>
          <w:szCs w:val="20"/>
          <w:lang w:val="en-US"/>
        </w:rPr>
        <w:t xml:space="preserve"> </w:t>
      </w:r>
      <w:r w:rsidRPr="000977F7">
        <w:rPr>
          <w:rFonts w:asciiTheme="majorHAnsi" w:hAnsiTheme="majorHAnsi"/>
          <w:sz w:val="20"/>
          <w:szCs w:val="20"/>
        </w:rPr>
        <w:t>аварій</w:t>
      </w:r>
      <w:r w:rsidRPr="004D2D14">
        <w:rPr>
          <w:rFonts w:asciiTheme="majorHAnsi" w:hAnsiTheme="majorHAnsi"/>
          <w:sz w:val="20"/>
          <w:szCs w:val="20"/>
          <w:lang w:val="en-US"/>
        </w:rPr>
        <w:t xml:space="preserve">, </w:t>
      </w:r>
      <w:r w:rsidRPr="000977F7">
        <w:rPr>
          <w:rFonts w:asciiTheme="majorHAnsi" w:hAnsiTheme="majorHAnsi"/>
          <w:sz w:val="20"/>
          <w:szCs w:val="20"/>
        </w:rPr>
        <w:t>так</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призначених</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нормальної</w:t>
      </w:r>
      <w:r w:rsidRPr="004D2D14">
        <w:rPr>
          <w:rFonts w:asciiTheme="majorHAnsi" w:hAnsiTheme="majorHAnsi"/>
          <w:sz w:val="20"/>
          <w:szCs w:val="20"/>
          <w:lang w:val="en-US"/>
        </w:rPr>
        <w:t xml:space="preserve"> </w:t>
      </w:r>
      <w:r w:rsidRPr="000977F7">
        <w:rPr>
          <w:rFonts w:asciiTheme="majorHAnsi" w:hAnsiTheme="majorHAnsi"/>
          <w:sz w:val="20"/>
          <w:szCs w:val="20"/>
        </w:rPr>
        <w:t>експлуатації</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забезпечення</w:t>
      </w:r>
      <w:r w:rsidRPr="004D2D14">
        <w:rPr>
          <w:rFonts w:asciiTheme="majorHAnsi" w:hAnsiTheme="majorHAnsi"/>
          <w:sz w:val="20"/>
          <w:szCs w:val="20"/>
          <w:lang w:val="en-US"/>
        </w:rPr>
        <w:t xml:space="preserve"> </w:t>
      </w:r>
      <w:r w:rsidRPr="000977F7">
        <w:rPr>
          <w:rFonts w:asciiTheme="majorHAnsi" w:hAnsiTheme="majorHAnsi"/>
          <w:sz w:val="20"/>
          <w:szCs w:val="20"/>
        </w:rPr>
        <w:t>безпеки</w:t>
      </w:r>
      <w:r w:rsidRPr="004D2D14">
        <w:rPr>
          <w:rFonts w:asciiTheme="majorHAnsi" w:hAnsiTheme="majorHAnsi"/>
          <w:sz w:val="20"/>
          <w:szCs w:val="20"/>
          <w:lang w:val="en-US"/>
        </w:rPr>
        <w:t xml:space="preserve"> </w:t>
      </w:r>
      <w:r w:rsidRPr="000977F7">
        <w:rPr>
          <w:rFonts w:asciiTheme="majorHAnsi" w:hAnsiTheme="majorHAnsi"/>
          <w:sz w:val="20"/>
          <w:szCs w:val="20"/>
        </w:rPr>
        <w:t>під</w:t>
      </w:r>
      <w:r w:rsidRPr="004D2D14">
        <w:rPr>
          <w:rFonts w:asciiTheme="majorHAnsi" w:hAnsiTheme="majorHAnsi"/>
          <w:sz w:val="20"/>
          <w:szCs w:val="20"/>
          <w:lang w:val="en-US"/>
        </w:rPr>
        <w:t xml:space="preserve"> </w:t>
      </w:r>
      <w:r w:rsidRPr="000977F7">
        <w:rPr>
          <w:rFonts w:asciiTheme="majorHAnsi" w:hAnsiTheme="majorHAnsi"/>
          <w:sz w:val="20"/>
          <w:szCs w:val="20"/>
        </w:rPr>
        <w:t>час</w:t>
      </w:r>
      <w:r w:rsidRPr="004D2D14">
        <w:rPr>
          <w:rFonts w:asciiTheme="majorHAnsi" w:hAnsiTheme="majorHAnsi"/>
          <w:sz w:val="20"/>
          <w:szCs w:val="20"/>
          <w:lang w:val="en-US"/>
        </w:rPr>
        <w:t xml:space="preserve"> </w:t>
      </w:r>
      <w:r w:rsidRPr="000977F7">
        <w:rPr>
          <w:rFonts w:asciiTheme="majorHAnsi" w:hAnsiTheme="majorHAnsi"/>
          <w:sz w:val="20"/>
          <w:szCs w:val="20"/>
        </w:rPr>
        <w:t>проектних</w:t>
      </w:r>
      <w:r w:rsidRPr="004D2D14">
        <w:rPr>
          <w:rFonts w:asciiTheme="majorHAnsi" w:hAnsiTheme="majorHAnsi"/>
          <w:sz w:val="20"/>
          <w:szCs w:val="20"/>
          <w:lang w:val="en-US"/>
        </w:rPr>
        <w:t xml:space="preserve"> </w:t>
      </w:r>
      <w:r w:rsidRPr="000977F7">
        <w:rPr>
          <w:rFonts w:asciiTheme="majorHAnsi" w:hAnsiTheme="majorHAnsi"/>
          <w:sz w:val="20"/>
          <w:szCs w:val="20"/>
        </w:rPr>
        <w:t>аварій</w:t>
      </w:r>
    </w:p>
    <w:p w14:paraId="1DCE6AA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12DDB52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Дії, які спрямовані на попередження проектних аварій</w:t>
      </w:r>
      <w:r w:rsidRPr="000977F7">
        <w:rPr>
          <w:rFonts w:asciiTheme="majorHAnsi" w:hAnsiTheme="majorHAnsi"/>
          <w:spacing w:val="-47"/>
          <w:sz w:val="20"/>
          <w:szCs w:val="20"/>
        </w:rPr>
        <w:t xml:space="preserve"> </w:t>
      </w:r>
      <w:r w:rsidRPr="000977F7">
        <w:rPr>
          <w:rFonts w:asciiTheme="majorHAnsi" w:hAnsiTheme="majorHAnsi"/>
          <w:sz w:val="20"/>
          <w:szCs w:val="20"/>
        </w:rPr>
        <w:t>і зменшення розміру їх розвитку і виходять за межі</w:t>
      </w:r>
      <w:r w:rsidRPr="000977F7">
        <w:rPr>
          <w:rFonts w:asciiTheme="majorHAnsi" w:hAnsiTheme="majorHAnsi"/>
          <w:spacing w:val="1"/>
          <w:sz w:val="20"/>
          <w:szCs w:val="20"/>
        </w:rPr>
        <w:t xml:space="preserve"> </w:t>
      </w:r>
      <w:r w:rsidRPr="000977F7">
        <w:rPr>
          <w:rFonts w:asciiTheme="majorHAnsi" w:hAnsiTheme="majorHAnsi"/>
          <w:sz w:val="20"/>
          <w:szCs w:val="20"/>
        </w:rPr>
        <w:t>даного визначення, належать до керування проектними</w:t>
      </w:r>
      <w:r w:rsidRPr="000977F7">
        <w:rPr>
          <w:rFonts w:asciiTheme="majorHAnsi" w:hAnsiTheme="majorHAnsi"/>
          <w:spacing w:val="-2"/>
          <w:sz w:val="20"/>
          <w:szCs w:val="20"/>
        </w:rPr>
        <w:t xml:space="preserve"> </w:t>
      </w:r>
      <w:r w:rsidRPr="000977F7">
        <w:rPr>
          <w:rFonts w:asciiTheme="majorHAnsi" w:hAnsiTheme="majorHAnsi"/>
          <w:sz w:val="20"/>
          <w:szCs w:val="20"/>
        </w:rPr>
        <w:t>аваріями</w:t>
      </w:r>
    </w:p>
    <w:p w14:paraId="5E7A522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2156</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93</w:t>
      </w:r>
    </w:p>
    <w:p w14:paraId="15AEB7F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КЕРУВАННЯ</w:t>
      </w:r>
      <w:r w:rsidRPr="000977F7">
        <w:rPr>
          <w:color w:val="auto"/>
          <w:spacing w:val="-4"/>
          <w:sz w:val="20"/>
          <w:szCs w:val="20"/>
        </w:rPr>
        <w:t xml:space="preserve"> </w:t>
      </w:r>
      <w:r w:rsidRPr="000977F7">
        <w:rPr>
          <w:color w:val="auto"/>
          <w:sz w:val="20"/>
          <w:szCs w:val="20"/>
        </w:rPr>
        <w:t>ПРОЕКТОМ</w:t>
      </w:r>
      <w:r w:rsidRPr="000977F7">
        <w:rPr>
          <w:color w:val="auto"/>
          <w:spacing w:val="1"/>
          <w:sz w:val="20"/>
          <w:szCs w:val="20"/>
        </w:rPr>
        <w:t xml:space="preserve"> </w:t>
      </w:r>
      <w:r w:rsidRPr="000977F7">
        <w:rPr>
          <w:color w:val="auto"/>
          <w:sz w:val="20"/>
          <w:szCs w:val="20"/>
        </w:rPr>
        <w:t>–</w:t>
      </w:r>
    </w:p>
    <w:p w14:paraId="6AD3C2E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PROJECT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MANAGEMENT –</w:t>
      </w:r>
    </w:p>
    <w:p w14:paraId="58EA4CF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Планування</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організування</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моніторинг</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контролювання</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звітування</w:t>
      </w:r>
      <w:r w:rsidRPr="004D2D14">
        <w:rPr>
          <w:rFonts w:asciiTheme="majorHAnsi" w:hAnsiTheme="majorHAnsi"/>
          <w:sz w:val="20"/>
          <w:szCs w:val="20"/>
          <w:lang w:val="en-US"/>
        </w:rPr>
        <w:t xml:space="preserve"> </w:t>
      </w:r>
      <w:r w:rsidRPr="000977F7">
        <w:rPr>
          <w:rFonts w:asciiTheme="majorHAnsi" w:hAnsiTheme="majorHAnsi"/>
          <w:sz w:val="20"/>
          <w:szCs w:val="20"/>
        </w:rPr>
        <w:t>щодо</w:t>
      </w:r>
      <w:r w:rsidRPr="004D2D14">
        <w:rPr>
          <w:rFonts w:asciiTheme="majorHAnsi" w:hAnsiTheme="majorHAnsi"/>
          <w:sz w:val="20"/>
          <w:szCs w:val="20"/>
          <w:lang w:val="en-US"/>
        </w:rPr>
        <w:t xml:space="preserve"> </w:t>
      </w:r>
      <w:r w:rsidRPr="000977F7">
        <w:rPr>
          <w:rFonts w:asciiTheme="majorHAnsi" w:hAnsiTheme="majorHAnsi"/>
          <w:sz w:val="20"/>
          <w:szCs w:val="20"/>
        </w:rPr>
        <w:t>всіх</w:t>
      </w:r>
      <w:r w:rsidRPr="004D2D14">
        <w:rPr>
          <w:rFonts w:asciiTheme="majorHAnsi" w:hAnsiTheme="majorHAnsi"/>
          <w:sz w:val="20"/>
          <w:szCs w:val="20"/>
          <w:lang w:val="en-US"/>
        </w:rPr>
        <w:t xml:space="preserve"> </w:t>
      </w:r>
      <w:r w:rsidRPr="000977F7">
        <w:rPr>
          <w:rFonts w:asciiTheme="majorHAnsi" w:hAnsiTheme="majorHAnsi"/>
          <w:sz w:val="20"/>
          <w:szCs w:val="20"/>
        </w:rPr>
        <w:t>аспектів</w:t>
      </w:r>
      <w:r w:rsidRPr="004D2D14">
        <w:rPr>
          <w:rFonts w:asciiTheme="majorHAnsi" w:hAnsiTheme="majorHAnsi"/>
          <w:sz w:val="20"/>
          <w:szCs w:val="20"/>
          <w:lang w:val="en-US"/>
        </w:rPr>
        <w:t xml:space="preserve"> </w:t>
      </w:r>
      <w:r w:rsidRPr="000977F7">
        <w:rPr>
          <w:rFonts w:asciiTheme="majorHAnsi" w:hAnsiTheme="majorHAnsi"/>
          <w:sz w:val="20"/>
          <w:szCs w:val="20"/>
        </w:rPr>
        <w:t>проекту</w:t>
      </w:r>
      <w:r w:rsidRPr="004D2D14">
        <w:rPr>
          <w:rFonts w:asciiTheme="majorHAnsi" w:hAnsiTheme="majorHAnsi"/>
          <w:sz w:val="20"/>
          <w:szCs w:val="20"/>
          <w:lang w:val="en-US"/>
        </w:rPr>
        <w:t xml:space="preserve">, </w:t>
      </w:r>
      <w:r w:rsidRPr="000977F7">
        <w:rPr>
          <w:rFonts w:asciiTheme="majorHAnsi" w:hAnsiTheme="majorHAnsi"/>
          <w:sz w:val="20"/>
          <w:szCs w:val="20"/>
        </w:rPr>
        <w:t>а</w:t>
      </w:r>
      <w:r w:rsidRPr="004D2D14">
        <w:rPr>
          <w:rFonts w:asciiTheme="majorHAnsi" w:hAnsiTheme="majorHAnsi"/>
          <w:sz w:val="20"/>
          <w:szCs w:val="20"/>
          <w:lang w:val="en-US"/>
        </w:rPr>
        <w:t xml:space="preserve"> </w:t>
      </w:r>
      <w:r w:rsidRPr="000977F7">
        <w:rPr>
          <w:rFonts w:asciiTheme="majorHAnsi" w:hAnsiTheme="majorHAnsi"/>
          <w:sz w:val="20"/>
          <w:szCs w:val="20"/>
        </w:rPr>
        <w:t>також</w:t>
      </w:r>
      <w:r w:rsidRPr="004D2D14">
        <w:rPr>
          <w:rFonts w:asciiTheme="majorHAnsi" w:hAnsiTheme="majorHAnsi"/>
          <w:sz w:val="20"/>
          <w:szCs w:val="20"/>
          <w:lang w:val="en-US"/>
        </w:rPr>
        <w:t xml:space="preserve"> </w:t>
      </w:r>
      <w:r w:rsidRPr="000977F7">
        <w:rPr>
          <w:rFonts w:asciiTheme="majorHAnsi" w:hAnsiTheme="majorHAnsi"/>
          <w:sz w:val="20"/>
          <w:szCs w:val="20"/>
        </w:rPr>
        <w:t>стимулювання</w:t>
      </w:r>
      <w:r w:rsidRPr="004D2D14">
        <w:rPr>
          <w:rFonts w:asciiTheme="majorHAnsi" w:hAnsiTheme="majorHAnsi"/>
          <w:sz w:val="20"/>
          <w:szCs w:val="20"/>
          <w:lang w:val="en-US"/>
        </w:rPr>
        <w:t xml:space="preserve"> </w:t>
      </w:r>
      <w:r w:rsidRPr="000977F7">
        <w:rPr>
          <w:rFonts w:asciiTheme="majorHAnsi" w:hAnsiTheme="majorHAnsi"/>
          <w:sz w:val="20"/>
          <w:szCs w:val="20"/>
        </w:rPr>
        <w:t>всіх</w:t>
      </w:r>
      <w:r w:rsidRPr="004D2D14">
        <w:rPr>
          <w:rFonts w:asciiTheme="majorHAnsi" w:hAnsiTheme="majorHAnsi"/>
          <w:sz w:val="20"/>
          <w:szCs w:val="20"/>
          <w:lang w:val="en-US"/>
        </w:rPr>
        <w:t xml:space="preserve"> </w:t>
      </w:r>
      <w:r w:rsidRPr="000977F7">
        <w:rPr>
          <w:rFonts w:asciiTheme="majorHAnsi" w:hAnsiTheme="majorHAnsi"/>
          <w:sz w:val="20"/>
          <w:szCs w:val="20"/>
        </w:rPr>
        <w:t>учасників</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досягнення</w:t>
      </w:r>
      <w:r w:rsidRPr="004D2D14">
        <w:rPr>
          <w:rFonts w:asciiTheme="majorHAnsi" w:hAnsiTheme="majorHAnsi"/>
          <w:sz w:val="20"/>
          <w:szCs w:val="20"/>
          <w:lang w:val="en-US"/>
        </w:rPr>
        <w:t xml:space="preserve"> </w:t>
      </w:r>
      <w:r w:rsidRPr="000977F7">
        <w:rPr>
          <w:rFonts w:asciiTheme="majorHAnsi" w:hAnsiTheme="majorHAnsi"/>
          <w:sz w:val="20"/>
          <w:szCs w:val="20"/>
        </w:rPr>
        <w:t>цілей</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проекту</w:t>
      </w:r>
    </w:p>
    <w:p w14:paraId="2F97D9E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6F90416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КЕРУВАННЯ ТЕХНОЛОГІЧНИМ </w:t>
      </w:r>
    </w:p>
    <w:p w14:paraId="0C29B9E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ПІДГОТОВЛЕННЯМ</w:t>
      </w:r>
      <w:r w:rsidRPr="000977F7">
        <w:rPr>
          <w:color w:val="auto"/>
          <w:spacing w:val="3"/>
          <w:sz w:val="20"/>
          <w:szCs w:val="20"/>
        </w:rPr>
        <w:t xml:space="preserve"> </w:t>
      </w:r>
      <w:r w:rsidRPr="000977F7">
        <w:rPr>
          <w:color w:val="auto"/>
          <w:sz w:val="20"/>
          <w:szCs w:val="20"/>
        </w:rPr>
        <w:t>ВИРОБНИЦТВА</w:t>
      </w:r>
      <w:r w:rsidRPr="000977F7">
        <w:rPr>
          <w:color w:val="auto"/>
          <w:spacing w:val="3"/>
          <w:sz w:val="20"/>
          <w:szCs w:val="20"/>
        </w:rPr>
        <w:t xml:space="preserve"> </w:t>
      </w:r>
      <w:r w:rsidRPr="000977F7">
        <w:rPr>
          <w:color w:val="auto"/>
          <w:sz w:val="20"/>
          <w:szCs w:val="20"/>
        </w:rPr>
        <w:t>–</w:t>
      </w:r>
    </w:p>
    <w:p w14:paraId="37CD9049"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Сукупність</w:t>
      </w:r>
      <w:r w:rsidRPr="000977F7">
        <w:rPr>
          <w:rFonts w:asciiTheme="majorHAnsi" w:hAnsiTheme="majorHAnsi"/>
          <w:spacing w:val="9"/>
          <w:sz w:val="20"/>
          <w:szCs w:val="20"/>
        </w:rPr>
        <w:t xml:space="preserve"> </w:t>
      </w:r>
      <w:r w:rsidRPr="000977F7">
        <w:rPr>
          <w:rFonts w:asciiTheme="majorHAnsi" w:hAnsiTheme="majorHAnsi"/>
          <w:sz w:val="20"/>
          <w:szCs w:val="20"/>
        </w:rPr>
        <w:t>дій,</w:t>
      </w:r>
      <w:r w:rsidRPr="000977F7">
        <w:rPr>
          <w:rFonts w:asciiTheme="majorHAnsi" w:hAnsiTheme="majorHAnsi"/>
          <w:spacing w:val="7"/>
          <w:sz w:val="20"/>
          <w:szCs w:val="20"/>
        </w:rPr>
        <w:t xml:space="preserve"> </w:t>
      </w:r>
      <w:r w:rsidRPr="000977F7">
        <w:rPr>
          <w:rFonts w:asciiTheme="majorHAnsi" w:hAnsiTheme="majorHAnsi"/>
          <w:sz w:val="20"/>
          <w:szCs w:val="20"/>
        </w:rPr>
        <w:t>спрямованих</w:t>
      </w:r>
      <w:r w:rsidRPr="000977F7">
        <w:rPr>
          <w:rFonts w:asciiTheme="majorHAnsi" w:hAnsiTheme="majorHAnsi"/>
          <w:spacing w:val="5"/>
          <w:sz w:val="20"/>
          <w:szCs w:val="20"/>
        </w:rPr>
        <w:t xml:space="preserve"> </w:t>
      </w:r>
      <w:r w:rsidRPr="000977F7">
        <w:rPr>
          <w:rFonts w:asciiTheme="majorHAnsi" w:hAnsiTheme="majorHAnsi"/>
          <w:sz w:val="20"/>
          <w:szCs w:val="20"/>
        </w:rPr>
        <w:t>на</w:t>
      </w:r>
      <w:r w:rsidRPr="000977F7">
        <w:rPr>
          <w:rFonts w:asciiTheme="majorHAnsi" w:hAnsiTheme="majorHAnsi"/>
          <w:spacing w:val="7"/>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6"/>
          <w:sz w:val="20"/>
          <w:szCs w:val="20"/>
        </w:rPr>
        <w:t xml:space="preserve"> </w:t>
      </w:r>
      <w:r w:rsidRPr="000977F7">
        <w:rPr>
          <w:rFonts w:asciiTheme="majorHAnsi" w:hAnsiTheme="majorHAnsi"/>
          <w:sz w:val="20"/>
          <w:szCs w:val="20"/>
        </w:rPr>
        <w:t>функціонування технологічного підготовлення виробництва</w:t>
      </w:r>
    </w:p>
    <w:p w14:paraId="6425114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2974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D153CB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КЕРУВАННЯ</w:t>
      </w:r>
      <w:r w:rsidRPr="000977F7">
        <w:rPr>
          <w:color w:val="auto"/>
          <w:spacing w:val="-8"/>
          <w:sz w:val="20"/>
          <w:szCs w:val="20"/>
        </w:rPr>
        <w:t xml:space="preserve"> </w:t>
      </w:r>
      <w:r w:rsidRPr="000977F7">
        <w:rPr>
          <w:color w:val="auto"/>
          <w:sz w:val="20"/>
          <w:szCs w:val="20"/>
        </w:rPr>
        <w:t>ЯКІСТЮ</w:t>
      </w:r>
      <w:r w:rsidRPr="000977F7">
        <w:rPr>
          <w:color w:val="auto"/>
          <w:spacing w:val="-7"/>
          <w:sz w:val="20"/>
          <w:szCs w:val="20"/>
        </w:rPr>
        <w:t xml:space="preserve"> </w:t>
      </w:r>
      <w:r w:rsidRPr="000977F7">
        <w:rPr>
          <w:color w:val="auto"/>
          <w:sz w:val="20"/>
          <w:szCs w:val="20"/>
        </w:rPr>
        <w:t>ЕЛЕКТРИЧНОЇ</w:t>
      </w:r>
      <w:r w:rsidRPr="000977F7">
        <w:rPr>
          <w:color w:val="auto"/>
          <w:spacing w:val="-47"/>
          <w:sz w:val="20"/>
          <w:szCs w:val="20"/>
        </w:rPr>
        <w:t xml:space="preserve"> </w:t>
      </w:r>
      <w:r w:rsidRPr="000977F7">
        <w:rPr>
          <w:color w:val="auto"/>
          <w:sz w:val="20"/>
          <w:szCs w:val="20"/>
        </w:rPr>
        <w:t>ЕНЕРГІЇ</w:t>
      </w:r>
      <w:r w:rsidRPr="000977F7">
        <w:rPr>
          <w:color w:val="auto"/>
          <w:spacing w:val="-1"/>
          <w:sz w:val="20"/>
          <w:szCs w:val="20"/>
        </w:rPr>
        <w:t xml:space="preserve"> </w:t>
      </w:r>
      <w:r w:rsidRPr="000977F7">
        <w:rPr>
          <w:color w:val="auto"/>
          <w:sz w:val="20"/>
          <w:szCs w:val="20"/>
        </w:rPr>
        <w:t>–</w:t>
      </w:r>
    </w:p>
    <w:p w14:paraId="32C81E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Впливи на умови і фактори, які впливають на якість</w:t>
      </w:r>
      <w:r w:rsidRPr="000977F7">
        <w:rPr>
          <w:rFonts w:asciiTheme="majorHAnsi" w:hAnsiTheme="majorHAnsi"/>
          <w:spacing w:val="1"/>
          <w:sz w:val="20"/>
          <w:szCs w:val="20"/>
        </w:rPr>
        <w:t xml:space="preserve"> </w:t>
      </w:r>
      <w:r w:rsidRPr="000977F7">
        <w:rPr>
          <w:rFonts w:asciiTheme="majorHAnsi" w:hAnsiTheme="majorHAnsi"/>
          <w:sz w:val="20"/>
          <w:szCs w:val="20"/>
        </w:rPr>
        <w:t>електричної</w:t>
      </w:r>
      <w:r w:rsidRPr="000977F7">
        <w:rPr>
          <w:rFonts w:asciiTheme="majorHAnsi" w:hAnsiTheme="majorHAnsi"/>
          <w:spacing w:val="-2"/>
          <w:sz w:val="20"/>
          <w:szCs w:val="20"/>
        </w:rPr>
        <w:t xml:space="preserve"> </w:t>
      </w:r>
      <w:r w:rsidRPr="000977F7">
        <w:rPr>
          <w:rFonts w:asciiTheme="majorHAnsi" w:hAnsiTheme="majorHAnsi"/>
          <w:sz w:val="20"/>
          <w:szCs w:val="20"/>
        </w:rPr>
        <w:t>енергії</w:t>
      </w:r>
    </w:p>
    <w:p w14:paraId="4240B6DD"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4"/>
          <w:w w:val="95"/>
          <w:sz w:val="20"/>
          <w:szCs w:val="20"/>
        </w:rPr>
      </w:pPr>
      <w:r w:rsidRPr="000977F7">
        <w:rPr>
          <w:rFonts w:asciiTheme="majorHAnsi" w:hAnsiTheme="majorHAnsi"/>
          <w:b/>
          <w:w w:val="95"/>
          <w:sz w:val="20"/>
          <w:szCs w:val="20"/>
        </w:rPr>
        <w:t>КЕРУВАННЯ</w:t>
      </w:r>
      <w:r w:rsidRPr="000977F7">
        <w:rPr>
          <w:rFonts w:asciiTheme="majorHAnsi" w:hAnsiTheme="majorHAnsi"/>
          <w:b/>
          <w:spacing w:val="2"/>
          <w:w w:val="95"/>
          <w:sz w:val="20"/>
          <w:szCs w:val="20"/>
        </w:rPr>
        <w:t xml:space="preserve"> </w:t>
      </w:r>
      <w:r w:rsidRPr="000977F7">
        <w:rPr>
          <w:rFonts w:asciiTheme="majorHAnsi" w:hAnsiTheme="majorHAnsi"/>
          <w:b/>
          <w:w w:val="95"/>
          <w:sz w:val="20"/>
          <w:szCs w:val="20"/>
        </w:rPr>
        <w:t>ЯКІСТЮ ПРОГРАМНОГО</w:t>
      </w:r>
      <w:r w:rsidRPr="000977F7">
        <w:rPr>
          <w:rFonts w:asciiTheme="majorHAnsi" w:hAnsiTheme="majorHAnsi"/>
          <w:b/>
          <w:spacing w:val="1"/>
          <w:w w:val="95"/>
          <w:sz w:val="20"/>
          <w:szCs w:val="20"/>
        </w:rPr>
        <w:t xml:space="preserve"> </w:t>
      </w:r>
      <w:r w:rsidRPr="000977F7">
        <w:rPr>
          <w:rFonts w:asciiTheme="majorHAnsi" w:hAnsiTheme="majorHAnsi"/>
          <w:b/>
          <w:w w:val="95"/>
          <w:sz w:val="20"/>
          <w:szCs w:val="20"/>
        </w:rPr>
        <w:t>ЗАСОБУ</w:t>
      </w:r>
      <w:r w:rsidRPr="000977F7">
        <w:rPr>
          <w:rFonts w:asciiTheme="majorHAnsi" w:hAnsiTheme="majorHAnsi"/>
          <w:b/>
          <w:spacing w:val="3"/>
          <w:w w:val="95"/>
          <w:sz w:val="20"/>
          <w:szCs w:val="20"/>
        </w:rPr>
        <w:t xml:space="preserve"> </w:t>
      </w:r>
      <w:r w:rsidRPr="000977F7">
        <w:rPr>
          <w:rFonts w:asciiTheme="majorHAnsi" w:hAnsiTheme="majorHAnsi"/>
          <w:w w:val="95"/>
          <w:sz w:val="20"/>
          <w:szCs w:val="20"/>
        </w:rPr>
        <w:t>–</w:t>
      </w:r>
      <w:r w:rsidRPr="000977F7">
        <w:rPr>
          <w:rFonts w:asciiTheme="majorHAnsi" w:hAnsiTheme="majorHAnsi"/>
          <w:spacing w:val="-44"/>
          <w:w w:val="95"/>
          <w:sz w:val="20"/>
          <w:szCs w:val="20"/>
        </w:rPr>
        <w:t xml:space="preserve"> </w:t>
      </w:r>
    </w:p>
    <w:p w14:paraId="47B40C2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SOFTWARE</w:t>
      </w:r>
      <w:r w:rsidRPr="000977F7">
        <w:rPr>
          <w:rFonts w:asciiTheme="majorHAnsi" w:hAnsiTheme="majorHAnsi"/>
          <w:spacing w:val="-1"/>
          <w:sz w:val="20"/>
          <w:szCs w:val="20"/>
        </w:rPr>
        <w:t xml:space="preserve"> </w:t>
      </w:r>
      <w:r w:rsidRPr="000977F7">
        <w:rPr>
          <w:rFonts w:asciiTheme="majorHAnsi" w:hAnsiTheme="majorHAnsi"/>
          <w:sz w:val="20"/>
          <w:szCs w:val="20"/>
        </w:rPr>
        <w:t>QUALITY MANAGEMENT</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61434C7F"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Аспект загальної функції керування, який визначає і</w:t>
      </w:r>
      <w:r w:rsidRPr="000977F7">
        <w:rPr>
          <w:rFonts w:asciiTheme="majorHAnsi" w:hAnsiTheme="majorHAnsi"/>
          <w:spacing w:val="1"/>
          <w:sz w:val="20"/>
          <w:szCs w:val="20"/>
        </w:rPr>
        <w:t xml:space="preserve"> </w:t>
      </w:r>
      <w:r w:rsidRPr="000977F7">
        <w:rPr>
          <w:rFonts w:asciiTheme="majorHAnsi" w:hAnsiTheme="majorHAnsi"/>
          <w:spacing w:val="-1"/>
          <w:sz w:val="20"/>
          <w:szCs w:val="20"/>
        </w:rPr>
        <w:t>здійснює політику в області якості програмного засобу</w:t>
      </w:r>
      <w:r w:rsidRPr="000977F7">
        <w:rPr>
          <w:rFonts w:asciiTheme="majorHAnsi" w:hAnsiTheme="majorHAnsi"/>
          <w:spacing w:val="-47"/>
          <w:sz w:val="20"/>
          <w:szCs w:val="20"/>
        </w:rPr>
        <w:t xml:space="preserve"> </w:t>
      </w:r>
    </w:p>
    <w:p w14:paraId="6DDA88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 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3B4FF4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Керування якістю програмного засобу охоплює стратегічне планування, розподіл ресурсів та інші систематичні дії</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області</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4"/>
          <w:sz w:val="20"/>
          <w:szCs w:val="20"/>
        </w:rPr>
        <w:t xml:space="preserve"> </w:t>
      </w:r>
      <w:r w:rsidRPr="000977F7">
        <w:rPr>
          <w:rFonts w:asciiTheme="majorHAnsi" w:hAnsiTheme="majorHAnsi"/>
          <w:sz w:val="20"/>
          <w:szCs w:val="20"/>
        </w:rPr>
        <w:t>такі,</w:t>
      </w:r>
      <w:r w:rsidRPr="000977F7">
        <w:rPr>
          <w:rFonts w:asciiTheme="majorHAnsi" w:hAnsiTheme="majorHAnsi"/>
          <w:spacing w:val="-2"/>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планування</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4"/>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4"/>
          <w:sz w:val="20"/>
          <w:szCs w:val="20"/>
        </w:rPr>
        <w:t xml:space="preserve"> </w:t>
      </w:r>
      <w:r w:rsidRPr="000977F7">
        <w:rPr>
          <w:rFonts w:asciiTheme="majorHAnsi" w:hAnsiTheme="majorHAnsi"/>
          <w:sz w:val="20"/>
          <w:szCs w:val="20"/>
        </w:rPr>
        <w:t>робіт,</w:t>
      </w:r>
      <w:r w:rsidRPr="000977F7">
        <w:rPr>
          <w:rFonts w:asciiTheme="majorHAnsi" w:hAnsiTheme="majorHAnsi"/>
          <w:spacing w:val="-3"/>
          <w:sz w:val="20"/>
          <w:szCs w:val="20"/>
        </w:rPr>
        <w:t xml:space="preserve"> </w:t>
      </w:r>
      <w:r w:rsidRPr="000977F7">
        <w:rPr>
          <w:rFonts w:asciiTheme="majorHAnsi" w:hAnsiTheme="majorHAnsi"/>
          <w:sz w:val="20"/>
          <w:szCs w:val="20"/>
        </w:rPr>
        <w:t>оцінка</w:t>
      </w:r>
    </w:p>
    <w:p w14:paraId="01B15AD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2844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0BF60E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Методи та діяльність оперативного характеру, які використовуються для виконання вимог до якості програмного засобу</w:t>
      </w:r>
    </w:p>
    <w:p w14:paraId="7984A69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2844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70F7D85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КИСНЕВА</w:t>
      </w:r>
      <w:r w:rsidRPr="000977F7">
        <w:rPr>
          <w:color w:val="auto"/>
          <w:spacing w:val="-5"/>
          <w:sz w:val="20"/>
          <w:szCs w:val="20"/>
        </w:rPr>
        <w:t xml:space="preserve"> </w:t>
      </w:r>
      <w:r w:rsidRPr="000977F7">
        <w:rPr>
          <w:color w:val="auto"/>
          <w:sz w:val="20"/>
          <w:szCs w:val="20"/>
        </w:rPr>
        <w:t>ДЕПОЛЯРИЗАЦІЯ</w:t>
      </w:r>
      <w:r w:rsidRPr="000977F7">
        <w:rPr>
          <w:color w:val="auto"/>
          <w:spacing w:val="-4"/>
          <w:sz w:val="20"/>
          <w:szCs w:val="20"/>
        </w:rPr>
        <w:t xml:space="preserve"> </w:t>
      </w:r>
      <w:r w:rsidRPr="000977F7">
        <w:rPr>
          <w:color w:val="auto"/>
          <w:sz w:val="20"/>
          <w:szCs w:val="20"/>
        </w:rPr>
        <w:t>—</w:t>
      </w:r>
    </w:p>
    <w:p w14:paraId="6F338F7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OXYGEN</w:t>
      </w:r>
      <w:r w:rsidRPr="000977F7">
        <w:rPr>
          <w:rFonts w:asciiTheme="majorHAnsi" w:hAnsiTheme="majorHAnsi"/>
          <w:spacing w:val="-4"/>
          <w:sz w:val="20"/>
          <w:szCs w:val="20"/>
        </w:rPr>
        <w:t xml:space="preserve"> </w:t>
      </w:r>
      <w:r w:rsidRPr="000977F7">
        <w:rPr>
          <w:rFonts w:asciiTheme="majorHAnsi" w:hAnsiTheme="majorHAnsi"/>
          <w:sz w:val="20"/>
          <w:szCs w:val="20"/>
        </w:rPr>
        <w:t>DEPOLARIZATION –</w:t>
      </w:r>
    </w:p>
    <w:p w14:paraId="2812DC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Деполяризація,</w:t>
      </w:r>
      <w:r w:rsidRPr="000977F7">
        <w:rPr>
          <w:rFonts w:asciiTheme="majorHAnsi" w:hAnsiTheme="majorHAnsi"/>
          <w:spacing w:val="1"/>
          <w:sz w:val="20"/>
          <w:szCs w:val="20"/>
        </w:rPr>
        <w:t xml:space="preserve"> </w:t>
      </w:r>
      <w:r w:rsidRPr="000977F7">
        <w:rPr>
          <w:rFonts w:asciiTheme="majorHAnsi" w:hAnsiTheme="majorHAnsi"/>
          <w:sz w:val="20"/>
          <w:szCs w:val="20"/>
        </w:rPr>
        <w:t>зумовлена катодною реакцією відновлення</w:t>
      </w:r>
      <w:r w:rsidRPr="000977F7">
        <w:rPr>
          <w:rFonts w:asciiTheme="majorHAnsi" w:hAnsiTheme="majorHAnsi"/>
          <w:spacing w:val="-2"/>
          <w:sz w:val="20"/>
          <w:szCs w:val="20"/>
        </w:rPr>
        <w:t xml:space="preserve"> </w:t>
      </w:r>
      <w:r w:rsidRPr="000977F7">
        <w:rPr>
          <w:rFonts w:asciiTheme="majorHAnsi" w:hAnsiTheme="majorHAnsi"/>
          <w:sz w:val="20"/>
          <w:szCs w:val="20"/>
        </w:rPr>
        <w:t>(іонізації)</w:t>
      </w:r>
      <w:r w:rsidRPr="000977F7">
        <w:rPr>
          <w:rFonts w:asciiTheme="majorHAnsi" w:hAnsiTheme="majorHAnsi"/>
          <w:spacing w:val="3"/>
          <w:sz w:val="20"/>
          <w:szCs w:val="20"/>
        </w:rPr>
        <w:t xml:space="preserve"> </w:t>
      </w:r>
      <w:r w:rsidRPr="000977F7">
        <w:rPr>
          <w:rFonts w:asciiTheme="majorHAnsi" w:hAnsiTheme="majorHAnsi"/>
          <w:sz w:val="20"/>
          <w:szCs w:val="20"/>
        </w:rPr>
        <w:t>кисню</w:t>
      </w:r>
    </w:p>
    <w:p w14:paraId="769E737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37BFCB4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КИСНЕВИЙ</w:t>
      </w:r>
      <w:r w:rsidRPr="000977F7">
        <w:rPr>
          <w:color w:val="auto"/>
          <w:spacing w:val="-3"/>
          <w:sz w:val="20"/>
          <w:szCs w:val="20"/>
        </w:rPr>
        <w:t xml:space="preserve"> </w:t>
      </w:r>
      <w:r w:rsidRPr="000977F7">
        <w:rPr>
          <w:color w:val="auto"/>
          <w:sz w:val="20"/>
          <w:szCs w:val="20"/>
        </w:rPr>
        <w:t>ПОКАЗНИК</w:t>
      </w:r>
      <w:r w:rsidRPr="000977F7">
        <w:rPr>
          <w:color w:val="auto"/>
          <w:spacing w:val="-5"/>
          <w:sz w:val="20"/>
          <w:szCs w:val="20"/>
        </w:rPr>
        <w:t xml:space="preserve"> </w:t>
      </w:r>
      <w:r w:rsidRPr="000977F7">
        <w:rPr>
          <w:color w:val="auto"/>
          <w:sz w:val="20"/>
          <w:szCs w:val="20"/>
        </w:rPr>
        <w:t>КОРОЗІЇ</w:t>
      </w:r>
      <w:r w:rsidRPr="000977F7">
        <w:rPr>
          <w:color w:val="auto"/>
          <w:spacing w:val="-5"/>
          <w:sz w:val="20"/>
          <w:szCs w:val="20"/>
        </w:rPr>
        <w:t xml:space="preserve"> </w:t>
      </w:r>
      <w:r w:rsidRPr="000977F7">
        <w:rPr>
          <w:color w:val="auto"/>
          <w:sz w:val="20"/>
          <w:szCs w:val="20"/>
        </w:rPr>
        <w:t>—</w:t>
      </w:r>
    </w:p>
    <w:p w14:paraId="53E768F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Об'єм</w:t>
      </w:r>
      <w:r w:rsidRPr="000977F7">
        <w:rPr>
          <w:rFonts w:asciiTheme="majorHAnsi" w:hAnsiTheme="majorHAnsi"/>
          <w:spacing w:val="29"/>
          <w:sz w:val="20"/>
          <w:szCs w:val="20"/>
        </w:rPr>
        <w:t xml:space="preserve"> </w:t>
      </w:r>
      <w:r w:rsidRPr="000977F7">
        <w:rPr>
          <w:rFonts w:asciiTheme="majorHAnsi" w:hAnsiTheme="majorHAnsi"/>
          <w:sz w:val="20"/>
          <w:szCs w:val="20"/>
        </w:rPr>
        <w:t>поглиненого</w:t>
      </w:r>
      <w:r w:rsidRPr="000977F7">
        <w:rPr>
          <w:rFonts w:asciiTheme="majorHAnsi" w:hAnsiTheme="majorHAnsi"/>
          <w:spacing w:val="28"/>
          <w:sz w:val="20"/>
          <w:szCs w:val="20"/>
        </w:rPr>
        <w:t xml:space="preserve"> </w:t>
      </w:r>
      <w:r w:rsidRPr="000977F7">
        <w:rPr>
          <w:rFonts w:asciiTheme="majorHAnsi" w:hAnsiTheme="majorHAnsi"/>
          <w:sz w:val="20"/>
          <w:szCs w:val="20"/>
        </w:rPr>
        <w:t>в</w:t>
      </w:r>
      <w:r w:rsidRPr="000977F7">
        <w:rPr>
          <w:rFonts w:asciiTheme="majorHAnsi" w:hAnsiTheme="majorHAnsi"/>
          <w:spacing w:val="28"/>
          <w:sz w:val="20"/>
          <w:szCs w:val="20"/>
        </w:rPr>
        <w:t xml:space="preserve"> </w:t>
      </w:r>
      <w:r w:rsidRPr="000977F7">
        <w:rPr>
          <w:rFonts w:asciiTheme="majorHAnsi" w:hAnsiTheme="majorHAnsi"/>
          <w:sz w:val="20"/>
          <w:szCs w:val="20"/>
        </w:rPr>
        <w:t>процесі</w:t>
      </w:r>
      <w:r w:rsidRPr="000977F7">
        <w:rPr>
          <w:rFonts w:asciiTheme="majorHAnsi" w:hAnsiTheme="majorHAnsi"/>
          <w:spacing w:val="27"/>
          <w:sz w:val="20"/>
          <w:szCs w:val="20"/>
        </w:rPr>
        <w:t xml:space="preserve"> </w:t>
      </w:r>
      <w:r w:rsidRPr="000977F7">
        <w:rPr>
          <w:rFonts w:asciiTheme="majorHAnsi" w:hAnsiTheme="majorHAnsi"/>
          <w:sz w:val="20"/>
          <w:szCs w:val="20"/>
        </w:rPr>
        <w:t>корозії</w:t>
      </w:r>
      <w:r w:rsidRPr="000977F7">
        <w:rPr>
          <w:rFonts w:asciiTheme="majorHAnsi" w:hAnsiTheme="majorHAnsi"/>
          <w:spacing w:val="27"/>
          <w:sz w:val="20"/>
          <w:szCs w:val="20"/>
        </w:rPr>
        <w:t xml:space="preserve"> </w:t>
      </w:r>
      <w:r w:rsidRPr="000977F7">
        <w:rPr>
          <w:rFonts w:asciiTheme="majorHAnsi" w:hAnsiTheme="majorHAnsi"/>
          <w:sz w:val="20"/>
          <w:szCs w:val="20"/>
        </w:rPr>
        <w:t>кисню,</w:t>
      </w:r>
      <w:r w:rsidRPr="000977F7">
        <w:rPr>
          <w:rFonts w:asciiTheme="majorHAnsi" w:hAnsiTheme="majorHAnsi"/>
          <w:spacing w:val="28"/>
          <w:sz w:val="20"/>
          <w:szCs w:val="20"/>
        </w:rPr>
        <w:t xml:space="preserve"> </w:t>
      </w:r>
      <w:r w:rsidRPr="000977F7">
        <w:rPr>
          <w:rFonts w:asciiTheme="majorHAnsi" w:hAnsiTheme="majorHAnsi"/>
          <w:sz w:val="20"/>
          <w:szCs w:val="20"/>
        </w:rPr>
        <w:t>віднесений</w:t>
      </w:r>
      <w:r w:rsidRPr="000977F7">
        <w:rPr>
          <w:rFonts w:asciiTheme="majorHAnsi" w:hAnsiTheme="majorHAnsi"/>
          <w:spacing w:val="-2"/>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одиниці</w:t>
      </w:r>
      <w:r w:rsidRPr="000977F7">
        <w:rPr>
          <w:rFonts w:asciiTheme="majorHAnsi" w:hAnsiTheme="majorHAnsi"/>
          <w:spacing w:val="1"/>
          <w:sz w:val="20"/>
          <w:szCs w:val="20"/>
        </w:rPr>
        <w:t xml:space="preserve"> </w:t>
      </w:r>
      <w:r w:rsidRPr="000977F7">
        <w:rPr>
          <w:rFonts w:asciiTheme="majorHAnsi" w:hAnsiTheme="majorHAnsi"/>
          <w:sz w:val="20"/>
          <w:szCs w:val="20"/>
        </w:rPr>
        <w:t>поверхні</w:t>
      </w:r>
      <w:r w:rsidRPr="000977F7">
        <w:rPr>
          <w:rFonts w:asciiTheme="majorHAnsi" w:hAnsiTheme="majorHAnsi"/>
          <w:spacing w:val="-2"/>
          <w:sz w:val="20"/>
          <w:szCs w:val="20"/>
        </w:rPr>
        <w:t xml:space="preserve"> </w:t>
      </w:r>
      <w:r w:rsidRPr="000977F7">
        <w:rPr>
          <w:rFonts w:asciiTheme="majorHAnsi" w:hAnsiTheme="majorHAnsi"/>
          <w:sz w:val="20"/>
          <w:szCs w:val="20"/>
        </w:rPr>
        <w:t>металу</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одиниці</w:t>
      </w:r>
      <w:r w:rsidRPr="000977F7">
        <w:rPr>
          <w:rFonts w:asciiTheme="majorHAnsi" w:hAnsiTheme="majorHAnsi"/>
          <w:spacing w:val="-2"/>
          <w:sz w:val="20"/>
          <w:szCs w:val="20"/>
        </w:rPr>
        <w:t xml:space="preserve"> </w:t>
      </w:r>
      <w:r w:rsidRPr="000977F7">
        <w:rPr>
          <w:rFonts w:asciiTheme="majorHAnsi" w:hAnsiTheme="majorHAnsi"/>
          <w:sz w:val="20"/>
          <w:szCs w:val="20"/>
        </w:rPr>
        <w:t>часу</w:t>
      </w:r>
    </w:p>
    <w:p w14:paraId="6FB1DE2F"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3830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98</w:t>
      </w:r>
    </w:p>
    <w:p w14:paraId="15A59BD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КІЛЬКІСНИЙ</w:t>
      </w:r>
      <w:r w:rsidRPr="000977F7">
        <w:rPr>
          <w:color w:val="auto"/>
          <w:spacing w:val="-5"/>
          <w:sz w:val="20"/>
          <w:szCs w:val="20"/>
        </w:rPr>
        <w:t xml:space="preserve"> </w:t>
      </w:r>
      <w:r w:rsidRPr="000977F7">
        <w:rPr>
          <w:color w:val="auto"/>
          <w:sz w:val="20"/>
          <w:szCs w:val="20"/>
        </w:rPr>
        <w:t>ПРИНЦИП</w:t>
      </w:r>
      <w:r w:rsidRPr="000977F7">
        <w:rPr>
          <w:color w:val="auto"/>
          <w:spacing w:val="-7"/>
          <w:sz w:val="20"/>
          <w:szCs w:val="20"/>
        </w:rPr>
        <w:t xml:space="preserve"> </w:t>
      </w:r>
      <w:r w:rsidRPr="000977F7">
        <w:rPr>
          <w:color w:val="auto"/>
          <w:sz w:val="20"/>
          <w:szCs w:val="20"/>
        </w:rPr>
        <w:t>ВИМІРЮВАННЯ –</w:t>
      </w:r>
    </w:p>
    <w:p w14:paraId="0D58A78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PRINCIPLE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MEASUREMENT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1D1FBBC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Рівноінтервальність</w:t>
      </w:r>
      <w:r w:rsidRPr="004D2D14">
        <w:rPr>
          <w:rFonts w:asciiTheme="majorHAnsi" w:hAnsiTheme="majorHAnsi"/>
          <w:sz w:val="20"/>
          <w:szCs w:val="20"/>
          <w:lang w:val="en-US"/>
        </w:rPr>
        <w:t xml:space="preserve"> </w:t>
      </w:r>
      <w:r w:rsidRPr="000977F7">
        <w:rPr>
          <w:rFonts w:asciiTheme="majorHAnsi" w:hAnsiTheme="majorHAnsi"/>
          <w:sz w:val="20"/>
          <w:szCs w:val="20"/>
        </w:rPr>
        <w:t>відображення</w:t>
      </w:r>
      <w:r w:rsidRPr="004D2D14">
        <w:rPr>
          <w:rFonts w:asciiTheme="majorHAnsi" w:hAnsiTheme="majorHAnsi"/>
          <w:sz w:val="20"/>
          <w:szCs w:val="20"/>
          <w:lang w:val="en-US"/>
        </w:rPr>
        <w:t xml:space="preserve"> </w:t>
      </w:r>
      <w:r w:rsidRPr="000977F7">
        <w:rPr>
          <w:rFonts w:asciiTheme="majorHAnsi" w:hAnsiTheme="majorHAnsi"/>
          <w:sz w:val="20"/>
          <w:szCs w:val="20"/>
        </w:rPr>
        <w:t>розміру</w:t>
      </w:r>
      <w:r w:rsidRPr="004D2D14">
        <w:rPr>
          <w:rFonts w:asciiTheme="majorHAnsi" w:hAnsiTheme="majorHAnsi"/>
          <w:sz w:val="20"/>
          <w:szCs w:val="20"/>
          <w:lang w:val="en-US"/>
        </w:rPr>
        <w:t xml:space="preserve"> </w:t>
      </w:r>
      <w:r w:rsidRPr="000977F7">
        <w:rPr>
          <w:rFonts w:asciiTheme="majorHAnsi" w:hAnsiTheme="majorHAnsi"/>
          <w:sz w:val="20"/>
          <w:szCs w:val="20"/>
        </w:rPr>
        <w:t>адитивної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вимірювальної</w:t>
      </w:r>
      <w:r w:rsidRPr="004D2D14">
        <w:rPr>
          <w:rFonts w:asciiTheme="majorHAnsi" w:hAnsiTheme="majorHAnsi"/>
          <w:spacing w:val="-3"/>
          <w:sz w:val="20"/>
          <w:szCs w:val="20"/>
          <w:lang w:val="en-US"/>
        </w:rPr>
        <w:t xml:space="preserve"> </w:t>
      </w:r>
      <w:r w:rsidRPr="000977F7">
        <w:rPr>
          <w:rFonts w:asciiTheme="majorHAnsi" w:hAnsiTheme="majorHAnsi"/>
          <w:sz w:val="20"/>
          <w:szCs w:val="20"/>
        </w:rPr>
        <w:t>величини</w:t>
      </w:r>
      <w:r w:rsidRPr="004D2D14">
        <w:rPr>
          <w:rFonts w:asciiTheme="majorHAnsi" w:hAnsiTheme="majorHAnsi"/>
          <w:spacing w:val="-2"/>
          <w:sz w:val="20"/>
          <w:szCs w:val="20"/>
          <w:lang w:val="en-US"/>
        </w:rPr>
        <w:t xml:space="preserve"> </w:t>
      </w:r>
      <w:r w:rsidRPr="000977F7">
        <w:rPr>
          <w:rFonts w:asciiTheme="majorHAnsi" w:hAnsiTheme="majorHAnsi"/>
          <w:sz w:val="20"/>
          <w:szCs w:val="20"/>
        </w:rPr>
        <w:t>її</w:t>
      </w:r>
      <w:r w:rsidRPr="004D2D14">
        <w:rPr>
          <w:rFonts w:asciiTheme="majorHAnsi" w:hAnsiTheme="majorHAnsi"/>
          <w:spacing w:val="-2"/>
          <w:sz w:val="20"/>
          <w:szCs w:val="20"/>
          <w:lang w:val="en-US"/>
        </w:rPr>
        <w:t xml:space="preserve"> </w:t>
      </w:r>
      <w:r w:rsidRPr="000977F7">
        <w:rPr>
          <w:rFonts w:asciiTheme="majorHAnsi" w:hAnsiTheme="majorHAnsi"/>
          <w:sz w:val="20"/>
          <w:szCs w:val="20"/>
        </w:rPr>
        <w:t>числовим</w:t>
      </w:r>
      <w:r w:rsidRPr="004D2D14">
        <w:rPr>
          <w:rFonts w:asciiTheme="majorHAnsi" w:hAnsiTheme="majorHAnsi"/>
          <w:sz w:val="20"/>
          <w:szCs w:val="20"/>
          <w:lang w:val="en-US"/>
        </w:rPr>
        <w:t xml:space="preserve"> </w:t>
      </w:r>
      <w:r w:rsidRPr="000977F7">
        <w:rPr>
          <w:rFonts w:asciiTheme="majorHAnsi" w:hAnsiTheme="majorHAnsi"/>
          <w:sz w:val="20"/>
          <w:szCs w:val="20"/>
        </w:rPr>
        <w:t>значенням</w:t>
      </w:r>
    </w:p>
    <w:p w14:paraId="6572F9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6E94F5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Рівноінтервальність відображення фізичної величини</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забезпечується сталістю її одиниці. Саме рівноінтервальність дає можливість використовувати значення</w:t>
      </w:r>
      <w:r w:rsidRPr="000977F7">
        <w:rPr>
          <w:rFonts w:asciiTheme="majorHAnsi" w:hAnsiTheme="majorHAnsi"/>
          <w:spacing w:val="1"/>
          <w:sz w:val="20"/>
          <w:szCs w:val="20"/>
        </w:rPr>
        <w:t xml:space="preserve"> </w:t>
      </w:r>
      <w:r w:rsidRPr="000977F7">
        <w:rPr>
          <w:rFonts w:asciiTheme="majorHAnsi" w:hAnsiTheme="majorHAnsi"/>
          <w:sz w:val="20"/>
          <w:szCs w:val="20"/>
        </w:rPr>
        <w:t>вимірюваних фізичних величин в усіх рівняннях законів фізики. Цей принцип – головна умова, за якої</w:t>
      </w:r>
      <w:r w:rsidRPr="000977F7">
        <w:rPr>
          <w:rFonts w:asciiTheme="majorHAnsi" w:hAnsiTheme="majorHAnsi"/>
          <w:spacing w:val="1"/>
          <w:sz w:val="20"/>
          <w:szCs w:val="20"/>
        </w:rPr>
        <w:t xml:space="preserve"> </w:t>
      </w:r>
      <w:r w:rsidRPr="000977F7">
        <w:rPr>
          <w:rFonts w:asciiTheme="majorHAnsi" w:hAnsiTheme="majorHAnsi"/>
          <w:sz w:val="20"/>
          <w:szCs w:val="20"/>
        </w:rPr>
        <w:t>залежність між істинними значеннями та відповідними</w:t>
      </w:r>
      <w:r w:rsidRPr="000977F7">
        <w:rPr>
          <w:rFonts w:asciiTheme="majorHAnsi" w:hAnsiTheme="majorHAnsi"/>
          <w:spacing w:val="-2"/>
          <w:sz w:val="20"/>
          <w:szCs w:val="20"/>
        </w:rPr>
        <w:t xml:space="preserve"> </w:t>
      </w:r>
      <w:r w:rsidRPr="000977F7">
        <w:rPr>
          <w:rFonts w:asciiTheme="majorHAnsi" w:hAnsiTheme="majorHAnsi"/>
          <w:sz w:val="20"/>
          <w:szCs w:val="20"/>
        </w:rPr>
        <w:t>розмірами</w:t>
      </w:r>
      <w:r w:rsidRPr="000977F7">
        <w:rPr>
          <w:rFonts w:asciiTheme="majorHAnsi" w:hAnsiTheme="majorHAnsi"/>
          <w:spacing w:val="-1"/>
          <w:sz w:val="20"/>
          <w:szCs w:val="20"/>
        </w:rPr>
        <w:t xml:space="preserve"> </w:t>
      </w:r>
      <w:r w:rsidRPr="000977F7">
        <w:rPr>
          <w:rFonts w:asciiTheme="majorHAnsi" w:hAnsiTheme="majorHAnsi"/>
          <w:sz w:val="20"/>
          <w:szCs w:val="20"/>
        </w:rPr>
        <w:t>буде</w:t>
      </w:r>
      <w:r w:rsidRPr="000977F7">
        <w:rPr>
          <w:rFonts w:asciiTheme="majorHAnsi" w:hAnsiTheme="majorHAnsi"/>
          <w:spacing w:val="-1"/>
          <w:sz w:val="20"/>
          <w:szCs w:val="20"/>
        </w:rPr>
        <w:t xml:space="preserve"> </w:t>
      </w:r>
      <w:r w:rsidRPr="000977F7">
        <w:rPr>
          <w:rFonts w:asciiTheme="majorHAnsi" w:hAnsiTheme="majorHAnsi"/>
          <w:sz w:val="20"/>
          <w:szCs w:val="20"/>
        </w:rPr>
        <w:t>лінійною</w:t>
      </w:r>
    </w:p>
    <w:p w14:paraId="3F954FD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E259EE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КІЛЬКІСНО</w:t>
      </w:r>
      <w:r w:rsidRPr="000977F7">
        <w:rPr>
          <w:color w:val="auto"/>
          <w:spacing w:val="-3"/>
          <w:sz w:val="20"/>
          <w:szCs w:val="20"/>
        </w:rPr>
        <w:t xml:space="preserve"> </w:t>
      </w:r>
      <w:r w:rsidRPr="000977F7">
        <w:rPr>
          <w:color w:val="auto"/>
          <w:sz w:val="20"/>
          <w:szCs w:val="20"/>
        </w:rPr>
        <w:t>–</w:t>
      </w:r>
      <w:r w:rsidRPr="000977F7">
        <w:rPr>
          <w:color w:val="auto"/>
          <w:spacing w:val="-3"/>
          <w:sz w:val="20"/>
          <w:szCs w:val="20"/>
        </w:rPr>
        <w:t xml:space="preserve"> </w:t>
      </w:r>
      <w:r w:rsidRPr="000977F7">
        <w:rPr>
          <w:color w:val="auto"/>
          <w:sz w:val="20"/>
          <w:szCs w:val="20"/>
        </w:rPr>
        <w:t>ІМПУЛЬСНЕ</w:t>
      </w:r>
      <w:r w:rsidRPr="000977F7">
        <w:rPr>
          <w:color w:val="auto"/>
          <w:spacing w:val="-5"/>
          <w:sz w:val="20"/>
          <w:szCs w:val="20"/>
        </w:rPr>
        <w:t xml:space="preserve"> </w:t>
      </w:r>
      <w:r w:rsidRPr="000977F7">
        <w:rPr>
          <w:color w:val="auto"/>
          <w:sz w:val="20"/>
          <w:szCs w:val="20"/>
        </w:rPr>
        <w:t>ДІЯННЯ</w:t>
      </w:r>
      <w:r w:rsidRPr="000977F7">
        <w:rPr>
          <w:color w:val="auto"/>
          <w:spacing w:val="-2"/>
          <w:sz w:val="20"/>
          <w:szCs w:val="20"/>
        </w:rPr>
        <w:t xml:space="preserve"> </w:t>
      </w:r>
      <w:r w:rsidRPr="000977F7">
        <w:rPr>
          <w:color w:val="auto"/>
          <w:sz w:val="20"/>
          <w:szCs w:val="20"/>
        </w:rPr>
        <w:t>–</w:t>
      </w:r>
    </w:p>
    <w:p w14:paraId="644E31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IMULSE</w:t>
      </w:r>
      <w:r w:rsidRPr="000977F7">
        <w:rPr>
          <w:rFonts w:asciiTheme="majorHAnsi" w:hAnsiTheme="majorHAnsi"/>
          <w:spacing w:val="-2"/>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NUMBER</w:t>
      </w:r>
      <w:r w:rsidRPr="000977F7">
        <w:rPr>
          <w:rFonts w:asciiTheme="majorHAnsi" w:hAnsiTheme="majorHAnsi"/>
          <w:spacing w:val="-1"/>
          <w:sz w:val="20"/>
          <w:szCs w:val="20"/>
        </w:rPr>
        <w:t xml:space="preserve"> </w:t>
      </w:r>
      <w:r w:rsidRPr="000977F7">
        <w:rPr>
          <w:rFonts w:asciiTheme="majorHAnsi" w:hAnsiTheme="majorHAnsi"/>
          <w:sz w:val="20"/>
          <w:szCs w:val="20"/>
        </w:rPr>
        <w:t>ACTION –</w:t>
      </w:r>
    </w:p>
    <w:p w14:paraId="26C91CD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Імпульсне діяння, основним параметром якого є кількість</w:t>
      </w:r>
      <w:r w:rsidRPr="000977F7">
        <w:rPr>
          <w:rFonts w:asciiTheme="majorHAnsi" w:hAnsiTheme="majorHAnsi"/>
          <w:spacing w:val="-2"/>
          <w:sz w:val="20"/>
          <w:szCs w:val="20"/>
        </w:rPr>
        <w:t xml:space="preserve"> </w:t>
      </w:r>
      <w:r w:rsidRPr="000977F7">
        <w:rPr>
          <w:rFonts w:asciiTheme="majorHAnsi" w:hAnsiTheme="majorHAnsi"/>
          <w:sz w:val="20"/>
          <w:szCs w:val="20"/>
        </w:rPr>
        <w:t>імпульсів</w:t>
      </w:r>
      <w:r w:rsidRPr="000977F7">
        <w:rPr>
          <w:rFonts w:asciiTheme="majorHAnsi" w:hAnsiTheme="majorHAnsi"/>
          <w:spacing w:val="-1"/>
          <w:sz w:val="20"/>
          <w:szCs w:val="20"/>
        </w:rPr>
        <w:t xml:space="preserve"> </w:t>
      </w:r>
      <w:r w:rsidRPr="000977F7">
        <w:rPr>
          <w:rFonts w:asciiTheme="majorHAnsi" w:hAnsiTheme="majorHAnsi"/>
          <w:sz w:val="20"/>
          <w:szCs w:val="20"/>
        </w:rPr>
        <w:t>дієвої</w:t>
      </w:r>
      <w:r w:rsidRPr="000977F7">
        <w:rPr>
          <w:rFonts w:asciiTheme="majorHAnsi" w:hAnsiTheme="majorHAnsi"/>
          <w:spacing w:val="-1"/>
          <w:sz w:val="20"/>
          <w:szCs w:val="20"/>
        </w:rPr>
        <w:t xml:space="preserve"> </w:t>
      </w:r>
      <w:r w:rsidRPr="000977F7">
        <w:rPr>
          <w:rFonts w:asciiTheme="majorHAnsi" w:hAnsiTheme="majorHAnsi"/>
          <w:sz w:val="20"/>
          <w:szCs w:val="20"/>
        </w:rPr>
        <w:t>величини</w:t>
      </w:r>
    </w:p>
    <w:p w14:paraId="0C63822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2000</w:t>
      </w:r>
    </w:p>
    <w:p w14:paraId="6085C2A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98" w:name="_Hlk101019458"/>
      <w:r w:rsidRPr="000977F7">
        <w:rPr>
          <w:color w:val="auto"/>
          <w:sz w:val="20"/>
          <w:szCs w:val="20"/>
        </w:rPr>
        <w:t>КІЛЬКІСНО-ІМПУЛЬСНИЙ</w:t>
      </w:r>
      <w:r w:rsidRPr="000977F7">
        <w:rPr>
          <w:color w:val="auto"/>
          <w:spacing w:val="-5"/>
          <w:sz w:val="20"/>
          <w:szCs w:val="20"/>
        </w:rPr>
        <w:t xml:space="preserve"> </w:t>
      </w:r>
      <w:r w:rsidRPr="000977F7">
        <w:rPr>
          <w:color w:val="auto"/>
          <w:sz w:val="20"/>
          <w:szCs w:val="20"/>
        </w:rPr>
        <w:t>СИГНАЛ</w:t>
      </w:r>
      <w:r w:rsidRPr="000977F7">
        <w:rPr>
          <w:color w:val="auto"/>
          <w:spacing w:val="-4"/>
          <w:sz w:val="20"/>
          <w:szCs w:val="20"/>
        </w:rPr>
        <w:t xml:space="preserve"> </w:t>
      </w:r>
      <w:r w:rsidRPr="000977F7">
        <w:rPr>
          <w:color w:val="auto"/>
          <w:sz w:val="20"/>
          <w:szCs w:val="20"/>
        </w:rPr>
        <w:t>–</w:t>
      </w:r>
    </w:p>
    <w:p w14:paraId="068A47E2"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z w:val="20"/>
          <w:szCs w:val="20"/>
        </w:rPr>
        <w:t>IMPULSE</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NUMBER</w:t>
      </w:r>
      <w:r w:rsidRPr="000977F7">
        <w:rPr>
          <w:rFonts w:asciiTheme="majorHAnsi" w:hAnsiTheme="majorHAnsi"/>
          <w:spacing w:val="-2"/>
          <w:sz w:val="20"/>
          <w:szCs w:val="20"/>
        </w:rPr>
        <w:t xml:space="preserve"> </w:t>
      </w:r>
      <w:r w:rsidRPr="000977F7">
        <w:rPr>
          <w:rFonts w:asciiTheme="majorHAnsi" w:hAnsiTheme="majorHAnsi"/>
          <w:sz w:val="20"/>
          <w:szCs w:val="20"/>
        </w:rPr>
        <w:t>SIGNAL</w:t>
      </w:r>
      <w:r w:rsidRPr="000977F7">
        <w:rPr>
          <w:rFonts w:asciiTheme="majorHAnsi" w:hAnsiTheme="majorHAnsi"/>
          <w:spacing w:val="-1"/>
          <w:sz w:val="20"/>
          <w:szCs w:val="20"/>
        </w:rPr>
        <w:t xml:space="preserve"> </w:t>
      </w:r>
      <w:r w:rsidRPr="000977F7">
        <w:rPr>
          <w:rFonts w:asciiTheme="majorHAnsi" w:hAnsiTheme="majorHAnsi"/>
          <w:b/>
          <w:sz w:val="20"/>
          <w:szCs w:val="20"/>
        </w:rPr>
        <w:t>–</w:t>
      </w:r>
    </w:p>
    <w:bookmarkEnd w:id="98"/>
    <w:p w14:paraId="01F465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Імпульсний сигнал, інформативним параметром якого</w:t>
      </w:r>
      <w:r w:rsidRPr="000977F7">
        <w:rPr>
          <w:rFonts w:asciiTheme="majorHAnsi" w:hAnsiTheme="majorHAnsi"/>
          <w:spacing w:val="-47"/>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кількість</w:t>
      </w:r>
      <w:r w:rsidRPr="000977F7">
        <w:rPr>
          <w:rFonts w:asciiTheme="majorHAnsi" w:hAnsiTheme="majorHAnsi"/>
          <w:spacing w:val="-1"/>
          <w:sz w:val="20"/>
          <w:szCs w:val="20"/>
        </w:rPr>
        <w:t xml:space="preserve"> </w:t>
      </w:r>
      <w:r w:rsidRPr="000977F7">
        <w:rPr>
          <w:rFonts w:asciiTheme="majorHAnsi" w:hAnsiTheme="majorHAnsi"/>
          <w:sz w:val="20"/>
          <w:szCs w:val="20"/>
        </w:rPr>
        <w:t>імпульсів</w:t>
      </w:r>
      <w:r w:rsidRPr="000977F7">
        <w:rPr>
          <w:rFonts w:asciiTheme="majorHAnsi" w:hAnsiTheme="majorHAnsi"/>
          <w:spacing w:val="-1"/>
          <w:sz w:val="20"/>
          <w:szCs w:val="20"/>
        </w:rPr>
        <w:t xml:space="preserve"> </w:t>
      </w:r>
      <w:r w:rsidRPr="000977F7">
        <w:rPr>
          <w:rFonts w:asciiTheme="majorHAnsi" w:hAnsiTheme="majorHAnsi"/>
          <w:sz w:val="20"/>
          <w:szCs w:val="20"/>
        </w:rPr>
        <w:t>дієвої</w:t>
      </w:r>
      <w:r w:rsidRPr="000977F7">
        <w:rPr>
          <w:rFonts w:asciiTheme="majorHAnsi" w:hAnsiTheme="majorHAnsi"/>
          <w:spacing w:val="-2"/>
          <w:sz w:val="20"/>
          <w:szCs w:val="20"/>
        </w:rPr>
        <w:t xml:space="preserve"> </w:t>
      </w:r>
      <w:r w:rsidRPr="000977F7">
        <w:rPr>
          <w:rFonts w:asciiTheme="majorHAnsi" w:hAnsiTheme="majorHAnsi"/>
          <w:sz w:val="20"/>
          <w:szCs w:val="20"/>
        </w:rPr>
        <w:t>величини</w:t>
      </w:r>
    </w:p>
    <w:p w14:paraId="17DAFC9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3956 – 2000</w:t>
      </w:r>
      <w:bookmarkStart w:id="99" w:name="_Hlk101072649"/>
    </w:p>
    <w:p w14:paraId="47181281"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КІНЦЕВИЙ СТАН –</w:t>
      </w:r>
    </w:p>
    <w:p w14:paraId="018AC8D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FINAL STATE</w:t>
      </w:r>
      <w:r w:rsidRPr="000977F7">
        <w:rPr>
          <w:rFonts w:asciiTheme="majorHAnsi" w:hAnsiTheme="majorHAnsi"/>
          <w:spacing w:val="1"/>
          <w:sz w:val="20"/>
          <w:szCs w:val="20"/>
        </w:rPr>
        <w:t xml:space="preserve"> </w:t>
      </w:r>
      <w:r w:rsidRPr="000977F7">
        <w:rPr>
          <w:rFonts w:asciiTheme="majorHAnsi" w:hAnsiTheme="majorHAnsi"/>
          <w:sz w:val="20"/>
          <w:szCs w:val="20"/>
        </w:rPr>
        <w:t>–</w:t>
      </w:r>
    </w:p>
    <w:bookmarkEnd w:id="99"/>
    <w:p w14:paraId="4446A74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 об’єкта, що відповідає закінченню розглядуваного процесу</w:t>
      </w:r>
    </w:p>
    <w:p w14:paraId="658B64B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2000</w:t>
      </w:r>
    </w:p>
    <w:p w14:paraId="2FA2DE2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КЛАС (ГАТУНОК) –</w:t>
      </w:r>
      <w:r w:rsidRPr="000977F7">
        <w:rPr>
          <w:rFonts w:asciiTheme="majorHAnsi" w:hAnsiTheme="majorHAnsi"/>
          <w:b/>
          <w:spacing w:val="-47"/>
          <w:sz w:val="20"/>
          <w:szCs w:val="20"/>
        </w:rPr>
        <w:t xml:space="preserve"> </w:t>
      </w:r>
      <w:r w:rsidRPr="000977F7">
        <w:rPr>
          <w:rFonts w:asciiTheme="majorHAnsi" w:hAnsiTheme="majorHAnsi"/>
          <w:sz w:val="20"/>
          <w:szCs w:val="20"/>
        </w:rPr>
        <w:t>GRADE –</w:t>
      </w:r>
    </w:p>
    <w:p w14:paraId="16323233"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Показник</w:t>
      </w:r>
      <w:r w:rsidRPr="000977F7">
        <w:rPr>
          <w:rFonts w:asciiTheme="majorHAnsi" w:hAnsiTheme="majorHAnsi"/>
          <w:spacing w:val="28"/>
          <w:sz w:val="20"/>
          <w:szCs w:val="20"/>
        </w:rPr>
        <w:t xml:space="preserve"> </w:t>
      </w:r>
      <w:r w:rsidRPr="000977F7">
        <w:rPr>
          <w:rFonts w:asciiTheme="majorHAnsi" w:hAnsiTheme="majorHAnsi"/>
          <w:sz w:val="20"/>
          <w:szCs w:val="20"/>
        </w:rPr>
        <w:t>категорії</w:t>
      </w:r>
      <w:r w:rsidRPr="000977F7">
        <w:rPr>
          <w:rFonts w:asciiTheme="majorHAnsi" w:hAnsiTheme="majorHAnsi"/>
          <w:spacing w:val="28"/>
          <w:sz w:val="20"/>
          <w:szCs w:val="20"/>
        </w:rPr>
        <w:t xml:space="preserve"> </w:t>
      </w:r>
      <w:r w:rsidRPr="000977F7">
        <w:rPr>
          <w:rFonts w:asciiTheme="majorHAnsi" w:hAnsiTheme="majorHAnsi"/>
          <w:sz w:val="20"/>
          <w:szCs w:val="20"/>
        </w:rPr>
        <w:t>або</w:t>
      </w:r>
      <w:r w:rsidRPr="000977F7">
        <w:rPr>
          <w:rFonts w:asciiTheme="majorHAnsi" w:hAnsiTheme="majorHAnsi"/>
          <w:spacing w:val="30"/>
          <w:sz w:val="20"/>
          <w:szCs w:val="20"/>
        </w:rPr>
        <w:t xml:space="preserve"> </w:t>
      </w:r>
      <w:r w:rsidRPr="000977F7">
        <w:rPr>
          <w:rFonts w:asciiTheme="majorHAnsi" w:hAnsiTheme="majorHAnsi"/>
          <w:sz w:val="20"/>
          <w:szCs w:val="20"/>
        </w:rPr>
        <w:t>розряду,</w:t>
      </w:r>
      <w:r w:rsidRPr="000977F7">
        <w:rPr>
          <w:rFonts w:asciiTheme="majorHAnsi" w:hAnsiTheme="majorHAnsi"/>
          <w:spacing w:val="29"/>
          <w:sz w:val="20"/>
          <w:szCs w:val="20"/>
        </w:rPr>
        <w:t xml:space="preserve"> </w:t>
      </w:r>
      <w:r w:rsidRPr="000977F7">
        <w:rPr>
          <w:rFonts w:asciiTheme="majorHAnsi" w:hAnsiTheme="majorHAnsi"/>
          <w:sz w:val="20"/>
          <w:szCs w:val="20"/>
        </w:rPr>
        <w:t>що</w:t>
      </w:r>
      <w:r w:rsidRPr="000977F7">
        <w:rPr>
          <w:rFonts w:asciiTheme="majorHAnsi" w:hAnsiTheme="majorHAnsi"/>
          <w:spacing w:val="30"/>
          <w:sz w:val="20"/>
          <w:szCs w:val="20"/>
        </w:rPr>
        <w:t xml:space="preserve"> </w:t>
      </w:r>
      <w:r w:rsidRPr="000977F7">
        <w:rPr>
          <w:rFonts w:asciiTheme="majorHAnsi" w:hAnsiTheme="majorHAnsi"/>
          <w:sz w:val="20"/>
          <w:szCs w:val="20"/>
        </w:rPr>
        <w:t>стосується</w:t>
      </w:r>
      <w:r w:rsidRPr="000977F7">
        <w:rPr>
          <w:rFonts w:asciiTheme="majorHAnsi" w:hAnsiTheme="majorHAnsi"/>
          <w:spacing w:val="28"/>
          <w:sz w:val="20"/>
          <w:szCs w:val="20"/>
        </w:rPr>
        <w:t xml:space="preserve"> </w:t>
      </w:r>
      <w:r w:rsidRPr="000977F7">
        <w:rPr>
          <w:rFonts w:asciiTheme="majorHAnsi" w:hAnsiTheme="majorHAnsi"/>
          <w:sz w:val="20"/>
          <w:szCs w:val="20"/>
        </w:rPr>
        <w:t>властивостей</w:t>
      </w:r>
      <w:r w:rsidRPr="000977F7">
        <w:rPr>
          <w:rFonts w:asciiTheme="majorHAnsi" w:hAnsiTheme="majorHAnsi"/>
          <w:spacing w:val="20"/>
          <w:sz w:val="20"/>
          <w:szCs w:val="20"/>
        </w:rPr>
        <w:t xml:space="preserve"> </w:t>
      </w:r>
      <w:r w:rsidRPr="000977F7">
        <w:rPr>
          <w:rFonts w:asciiTheme="majorHAnsi" w:hAnsiTheme="majorHAnsi"/>
          <w:sz w:val="20"/>
          <w:szCs w:val="20"/>
        </w:rPr>
        <w:t>або</w:t>
      </w:r>
      <w:r w:rsidRPr="000977F7">
        <w:rPr>
          <w:rFonts w:asciiTheme="majorHAnsi" w:hAnsiTheme="majorHAnsi"/>
          <w:spacing w:val="23"/>
          <w:sz w:val="20"/>
          <w:szCs w:val="20"/>
        </w:rPr>
        <w:t xml:space="preserve"> </w:t>
      </w:r>
      <w:r w:rsidRPr="000977F7">
        <w:rPr>
          <w:rFonts w:asciiTheme="majorHAnsi" w:hAnsiTheme="majorHAnsi"/>
          <w:sz w:val="20"/>
          <w:szCs w:val="20"/>
        </w:rPr>
        <w:t>характеристик,</w:t>
      </w:r>
      <w:r w:rsidRPr="000977F7">
        <w:rPr>
          <w:rFonts w:asciiTheme="majorHAnsi" w:hAnsiTheme="majorHAnsi"/>
          <w:spacing w:val="19"/>
          <w:sz w:val="20"/>
          <w:szCs w:val="20"/>
        </w:rPr>
        <w:t xml:space="preserve"> </w:t>
      </w:r>
      <w:r w:rsidRPr="000977F7">
        <w:rPr>
          <w:rFonts w:asciiTheme="majorHAnsi" w:hAnsiTheme="majorHAnsi"/>
          <w:sz w:val="20"/>
          <w:szCs w:val="20"/>
        </w:rPr>
        <w:t>які</w:t>
      </w:r>
      <w:r w:rsidRPr="000977F7">
        <w:rPr>
          <w:rFonts w:asciiTheme="majorHAnsi" w:hAnsiTheme="majorHAnsi"/>
          <w:spacing w:val="19"/>
          <w:sz w:val="20"/>
          <w:szCs w:val="20"/>
        </w:rPr>
        <w:t xml:space="preserve"> </w:t>
      </w:r>
      <w:r w:rsidRPr="000977F7">
        <w:rPr>
          <w:rFonts w:asciiTheme="majorHAnsi" w:hAnsiTheme="majorHAnsi"/>
          <w:sz w:val="20"/>
          <w:szCs w:val="20"/>
        </w:rPr>
        <w:t>враховують</w:t>
      </w:r>
      <w:r w:rsidRPr="000977F7">
        <w:rPr>
          <w:rFonts w:asciiTheme="majorHAnsi" w:hAnsiTheme="majorHAnsi"/>
          <w:spacing w:val="20"/>
          <w:sz w:val="20"/>
          <w:szCs w:val="20"/>
        </w:rPr>
        <w:t xml:space="preserve"> </w:t>
      </w:r>
      <w:r w:rsidRPr="000977F7">
        <w:rPr>
          <w:rFonts w:asciiTheme="majorHAnsi" w:hAnsiTheme="majorHAnsi"/>
          <w:sz w:val="20"/>
          <w:szCs w:val="20"/>
        </w:rPr>
        <w:t>різні</w:t>
      </w:r>
      <w:r w:rsidRPr="000977F7">
        <w:rPr>
          <w:rFonts w:asciiTheme="majorHAnsi" w:hAnsiTheme="majorHAnsi"/>
          <w:spacing w:val="19"/>
          <w:sz w:val="20"/>
          <w:szCs w:val="20"/>
        </w:rPr>
        <w:t xml:space="preserve"> </w:t>
      </w:r>
      <w:r w:rsidRPr="000977F7">
        <w:rPr>
          <w:rFonts w:asciiTheme="majorHAnsi" w:hAnsiTheme="majorHAnsi"/>
          <w:sz w:val="20"/>
          <w:szCs w:val="20"/>
        </w:rPr>
        <w:t>сукупності</w:t>
      </w:r>
      <w:r w:rsidRPr="000977F7">
        <w:rPr>
          <w:rFonts w:asciiTheme="majorHAnsi" w:hAnsiTheme="majorHAnsi"/>
          <w:spacing w:val="15"/>
          <w:sz w:val="20"/>
          <w:szCs w:val="20"/>
        </w:rPr>
        <w:t xml:space="preserve"> </w:t>
      </w:r>
      <w:r w:rsidRPr="000977F7">
        <w:rPr>
          <w:rFonts w:asciiTheme="majorHAnsi" w:hAnsiTheme="majorHAnsi"/>
          <w:sz w:val="20"/>
          <w:szCs w:val="20"/>
        </w:rPr>
        <w:t>потреб</w:t>
      </w:r>
      <w:r w:rsidRPr="000977F7">
        <w:rPr>
          <w:rFonts w:asciiTheme="majorHAnsi" w:hAnsiTheme="majorHAnsi"/>
          <w:spacing w:val="18"/>
          <w:sz w:val="20"/>
          <w:szCs w:val="20"/>
        </w:rPr>
        <w:t xml:space="preserve"> </w:t>
      </w:r>
      <w:r w:rsidRPr="000977F7">
        <w:rPr>
          <w:rFonts w:asciiTheme="majorHAnsi" w:hAnsiTheme="majorHAnsi"/>
          <w:sz w:val="20"/>
          <w:szCs w:val="20"/>
        </w:rPr>
        <w:t>щодо</w:t>
      </w:r>
      <w:r w:rsidRPr="000977F7">
        <w:rPr>
          <w:rFonts w:asciiTheme="majorHAnsi" w:hAnsiTheme="majorHAnsi"/>
          <w:spacing w:val="17"/>
          <w:sz w:val="20"/>
          <w:szCs w:val="20"/>
        </w:rPr>
        <w:t xml:space="preserve"> </w:t>
      </w:r>
      <w:r w:rsidRPr="000977F7">
        <w:rPr>
          <w:rFonts w:asciiTheme="majorHAnsi" w:hAnsiTheme="majorHAnsi"/>
          <w:sz w:val="20"/>
          <w:szCs w:val="20"/>
        </w:rPr>
        <w:t>продукції</w:t>
      </w:r>
      <w:r w:rsidRPr="000977F7">
        <w:rPr>
          <w:rFonts w:asciiTheme="majorHAnsi" w:hAnsiTheme="majorHAnsi"/>
          <w:spacing w:val="16"/>
          <w:sz w:val="20"/>
          <w:szCs w:val="20"/>
        </w:rPr>
        <w:t xml:space="preserve"> </w:t>
      </w:r>
      <w:r w:rsidRPr="000977F7">
        <w:rPr>
          <w:rFonts w:asciiTheme="majorHAnsi" w:hAnsiTheme="majorHAnsi"/>
          <w:sz w:val="20"/>
          <w:szCs w:val="20"/>
        </w:rPr>
        <w:t>або</w:t>
      </w:r>
      <w:r w:rsidRPr="000977F7">
        <w:rPr>
          <w:rFonts w:asciiTheme="majorHAnsi" w:hAnsiTheme="majorHAnsi"/>
          <w:spacing w:val="19"/>
          <w:sz w:val="20"/>
          <w:szCs w:val="20"/>
        </w:rPr>
        <w:t xml:space="preserve"> </w:t>
      </w:r>
      <w:r w:rsidRPr="000977F7">
        <w:rPr>
          <w:rFonts w:asciiTheme="majorHAnsi" w:hAnsiTheme="majorHAnsi"/>
          <w:sz w:val="20"/>
          <w:szCs w:val="20"/>
        </w:rPr>
        <w:t>послуг,</w:t>
      </w:r>
      <w:r w:rsidRPr="000977F7">
        <w:rPr>
          <w:rFonts w:asciiTheme="majorHAnsi" w:hAnsiTheme="majorHAnsi"/>
          <w:spacing w:val="17"/>
          <w:sz w:val="20"/>
          <w:szCs w:val="20"/>
        </w:rPr>
        <w:t xml:space="preserve"> </w:t>
      </w:r>
      <w:r w:rsidRPr="000977F7">
        <w:rPr>
          <w:rFonts w:asciiTheme="majorHAnsi" w:hAnsiTheme="majorHAnsi"/>
          <w:sz w:val="20"/>
          <w:szCs w:val="20"/>
        </w:rPr>
        <w:t>передба</w:t>
      </w:r>
      <w:r w:rsidRPr="000977F7">
        <w:rPr>
          <w:rFonts w:asciiTheme="majorHAnsi" w:hAnsiTheme="majorHAnsi"/>
          <w:spacing w:val="-2"/>
          <w:sz w:val="20"/>
          <w:szCs w:val="20"/>
        </w:rPr>
        <w:t xml:space="preserve">чених для аналогічного функціонального </w:t>
      </w:r>
      <w:r w:rsidRPr="000977F7">
        <w:rPr>
          <w:rFonts w:asciiTheme="majorHAnsi" w:hAnsiTheme="majorHAnsi"/>
          <w:spacing w:val="-1"/>
          <w:sz w:val="20"/>
          <w:szCs w:val="20"/>
        </w:rPr>
        <w:t>використання</w:t>
      </w:r>
    </w:p>
    <w:p w14:paraId="1EBC9DCE"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pacing w:val="-47"/>
          <w:sz w:val="20"/>
          <w:szCs w:val="20"/>
        </w:rPr>
        <w:t xml:space="preserve"> </w:t>
      </w:r>
      <w:r w:rsidRPr="000977F7">
        <w:rPr>
          <w:rFonts w:asciiTheme="majorHAnsi" w:hAnsiTheme="majorHAnsi"/>
          <w:b/>
          <w:sz w:val="20"/>
          <w:szCs w:val="20"/>
        </w:rPr>
        <w:t>КЛАС ТОЧНОСТІ ЗАСОБУ ВИМІРЮВАЛЬНОЇ</w:t>
      </w:r>
      <w:r w:rsidRPr="000977F7">
        <w:rPr>
          <w:rFonts w:asciiTheme="majorHAnsi" w:hAnsiTheme="majorHAnsi"/>
          <w:b/>
          <w:spacing w:val="1"/>
          <w:sz w:val="20"/>
          <w:szCs w:val="20"/>
        </w:rPr>
        <w:t xml:space="preserve"> </w:t>
      </w:r>
      <w:r w:rsidRPr="000977F7">
        <w:rPr>
          <w:rFonts w:asciiTheme="majorHAnsi" w:hAnsiTheme="majorHAnsi"/>
          <w:b/>
          <w:sz w:val="20"/>
          <w:szCs w:val="20"/>
        </w:rPr>
        <w:t>ТЕХНІКИ –</w:t>
      </w:r>
    </w:p>
    <w:p w14:paraId="44FEA20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ACCURACY</w:t>
      </w:r>
      <w:r w:rsidRPr="000977F7">
        <w:rPr>
          <w:rFonts w:asciiTheme="majorHAnsi" w:hAnsiTheme="majorHAnsi"/>
          <w:i/>
          <w:spacing w:val="-3"/>
          <w:sz w:val="20"/>
          <w:szCs w:val="20"/>
        </w:rPr>
        <w:t xml:space="preserve"> </w:t>
      </w:r>
      <w:r w:rsidRPr="000977F7">
        <w:rPr>
          <w:rFonts w:asciiTheme="majorHAnsi" w:hAnsiTheme="majorHAnsi"/>
          <w:i/>
          <w:sz w:val="20"/>
          <w:szCs w:val="20"/>
        </w:rPr>
        <w:t>CLASS</w:t>
      </w:r>
      <w:r w:rsidRPr="000977F7">
        <w:rPr>
          <w:rFonts w:asciiTheme="majorHAnsi" w:hAnsiTheme="majorHAnsi"/>
          <w:i/>
          <w:spacing w:val="1"/>
          <w:sz w:val="20"/>
          <w:szCs w:val="20"/>
        </w:rPr>
        <w:t xml:space="preserve"> </w:t>
      </w:r>
      <w:r w:rsidRPr="000977F7">
        <w:rPr>
          <w:rFonts w:asciiTheme="majorHAnsi" w:hAnsiTheme="majorHAnsi"/>
          <w:i/>
          <w:sz w:val="20"/>
          <w:szCs w:val="20"/>
        </w:rPr>
        <w:t>–</w:t>
      </w:r>
    </w:p>
    <w:p w14:paraId="779BD21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Узагальнена</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характеристика</w:t>
      </w:r>
      <w:r w:rsidRPr="000977F7">
        <w:rPr>
          <w:rFonts w:asciiTheme="majorHAnsi" w:hAnsiTheme="majorHAnsi"/>
          <w:spacing w:val="1"/>
          <w:sz w:val="20"/>
          <w:szCs w:val="20"/>
        </w:rPr>
        <w:t xml:space="preserve"> </w:t>
      </w:r>
      <w:r w:rsidRPr="000977F7">
        <w:rPr>
          <w:rFonts w:asciiTheme="majorHAnsi" w:hAnsiTheme="majorHAnsi"/>
          <w:sz w:val="20"/>
          <w:szCs w:val="20"/>
        </w:rPr>
        <w:t>засобу</w:t>
      </w:r>
      <w:r w:rsidRPr="000977F7">
        <w:rPr>
          <w:rFonts w:asciiTheme="majorHAnsi" w:hAnsiTheme="majorHAnsi"/>
          <w:spacing w:val="1"/>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1"/>
          <w:sz w:val="20"/>
          <w:szCs w:val="20"/>
        </w:rPr>
        <w:t xml:space="preserve"> </w:t>
      </w:r>
      <w:r w:rsidRPr="000977F7">
        <w:rPr>
          <w:rFonts w:asciiTheme="majorHAnsi" w:hAnsiTheme="majorHAnsi"/>
          <w:sz w:val="20"/>
          <w:szCs w:val="20"/>
        </w:rPr>
        <w:t>техніки,</w:t>
      </w:r>
      <w:r w:rsidRPr="000977F7">
        <w:rPr>
          <w:rFonts w:asciiTheme="majorHAnsi" w:hAnsiTheme="majorHAnsi"/>
          <w:spacing w:val="2"/>
          <w:sz w:val="20"/>
          <w:szCs w:val="20"/>
        </w:rPr>
        <w:t xml:space="preserve"> </w:t>
      </w:r>
      <w:r w:rsidRPr="000977F7">
        <w:rPr>
          <w:rFonts w:asciiTheme="majorHAnsi" w:hAnsiTheme="majorHAnsi"/>
          <w:sz w:val="20"/>
          <w:szCs w:val="20"/>
        </w:rPr>
        <w:t>що</w:t>
      </w:r>
      <w:r w:rsidRPr="000977F7">
        <w:rPr>
          <w:rFonts w:asciiTheme="majorHAnsi" w:hAnsiTheme="majorHAnsi"/>
          <w:spacing w:val="4"/>
          <w:sz w:val="20"/>
          <w:szCs w:val="20"/>
        </w:rPr>
        <w:t xml:space="preserve"> </w:t>
      </w:r>
      <w:r w:rsidRPr="000977F7">
        <w:rPr>
          <w:rFonts w:asciiTheme="majorHAnsi" w:hAnsiTheme="majorHAnsi"/>
          <w:sz w:val="20"/>
          <w:szCs w:val="20"/>
        </w:rPr>
        <w:t>визначається</w:t>
      </w:r>
      <w:r w:rsidRPr="000977F7">
        <w:rPr>
          <w:rFonts w:asciiTheme="majorHAnsi" w:hAnsiTheme="majorHAnsi"/>
          <w:spacing w:val="2"/>
          <w:sz w:val="20"/>
          <w:szCs w:val="20"/>
        </w:rPr>
        <w:t xml:space="preserve"> </w:t>
      </w:r>
      <w:r w:rsidRPr="000977F7">
        <w:rPr>
          <w:rFonts w:asciiTheme="majorHAnsi" w:hAnsiTheme="majorHAnsi"/>
          <w:sz w:val="20"/>
          <w:szCs w:val="20"/>
        </w:rPr>
        <w:t>границями</w:t>
      </w:r>
      <w:r w:rsidRPr="000977F7">
        <w:rPr>
          <w:rFonts w:asciiTheme="majorHAnsi" w:hAnsiTheme="majorHAnsi"/>
          <w:spacing w:val="3"/>
          <w:sz w:val="20"/>
          <w:szCs w:val="20"/>
        </w:rPr>
        <w:t xml:space="preserve"> </w:t>
      </w:r>
      <w:r w:rsidRPr="000977F7">
        <w:rPr>
          <w:rFonts w:asciiTheme="majorHAnsi" w:hAnsiTheme="majorHAnsi"/>
          <w:sz w:val="20"/>
          <w:szCs w:val="20"/>
        </w:rPr>
        <w:t>його</w:t>
      </w:r>
      <w:r w:rsidRPr="000977F7">
        <w:rPr>
          <w:rFonts w:asciiTheme="majorHAnsi" w:hAnsiTheme="majorHAnsi"/>
          <w:spacing w:val="4"/>
          <w:sz w:val="20"/>
          <w:szCs w:val="20"/>
        </w:rPr>
        <w:t xml:space="preserve"> </w:t>
      </w:r>
      <w:r w:rsidRPr="000977F7">
        <w:rPr>
          <w:rFonts w:asciiTheme="majorHAnsi" w:hAnsiTheme="majorHAnsi"/>
          <w:sz w:val="20"/>
          <w:szCs w:val="20"/>
        </w:rPr>
        <w:t>допустимих основної і додаткових похибок, а також іншими характеристиками, що впливають на його точність, значення</w:t>
      </w:r>
      <w:r w:rsidRPr="000977F7">
        <w:rPr>
          <w:rFonts w:asciiTheme="majorHAnsi" w:hAnsiTheme="majorHAnsi"/>
          <w:spacing w:val="1"/>
          <w:sz w:val="20"/>
          <w:szCs w:val="20"/>
        </w:rPr>
        <w:t xml:space="preserve"> </w:t>
      </w:r>
      <w:r w:rsidRPr="000977F7">
        <w:rPr>
          <w:rFonts w:asciiTheme="majorHAnsi" w:hAnsiTheme="majorHAnsi"/>
          <w:sz w:val="20"/>
          <w:szCs w:val="20"/>
        </w:rPr>
        <w:t>яких</w:t>
      </w:r>
      <w:r w:rsidRPr="000977F7">
        <w:rPr>
          <w:rFonts w:asciiTheme="majorHAnsi" w:hAnsiTheme="majorHAnsi"/>
          <w:spacing w:val="-1"/>
          <w:sz w:val="20"/>
          <w:szCs w:val="20"/>
        </w:rPr>
        <w:t xml:space="preserve"> </w:t>
      </w:r>
      <w:r w:rsidRPr="000977F7">
        <w:rPr>
          <w:rFonts w:asciiTheme="majorHAnsi" w:hAnsiTheme="majorHAnsi"/>
          <w:sz w:val="20"/>
          <w:szCs w:val="20"/>
        </w:rPr>
        <w:t>регламентуються</w:t>
      </w:r>
    </w:p>
    <w:p w14:paraId="2FD7C8D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440F67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КЛАСИФІКАЦІЯ</w:t>
      </w:r>
      <w:r w:rsidRPr="000977F7">
        <w:rPr>
          <w:color w:val="auto"/>
          <w:spacing w:val="-5"/>
          <w:sz w:val="20"/>
          <w:szCs w:val="20"/>
        </w:rPr>
        <w:t xml:space="preserve"> </w:t>
      </w:r>
      <w:r w:rsidRPr="000977F7">
        <w:rPr>
          <w:color w:val="auto"/>
          <w:sz w:val="20"/>
          <w:szCs w:val="20"/>
        </w:rPr>
        <w:t>ТОВАРІВ</w:t>
      </w:r>
      <w:r w:rsidRPr="000977F7">
        <w:rPr>
          <w:color w:val="auto"/>
          <w:spacing w:val="-1"/>
          <w:sz w:val="20"/>
          <w:szCs w:val="20"/>
        </w:rPr>
        <w:t xml:space="preserve"> </w:t>
      </w:r>
      <w:r w:rsidRPr="000977F7">
        <w:rPr>
          <w:color w:val="auto"/>
          <w:sz w:val="20"/>
          <w:szCs w:val="20"/>
        </w:rPr>
        <w:t>–</w:t>
      </w:r>
    </w:p>
    <w:p w14:paraId="4B3CE21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Митні</w:t>
      </w:r>
      <w:r w:rsidRPr="000977F7">
        <w:rPr>
          <w:rFonts w:asciiTheme="majorHAnsi" w:hAnsiTheme="majorHAnsi"/>
          <w:spacing w:val="-6"/>
          <w:sz w:val="20"/>
          <w:szCs w:val="20"/>
        </w:rPr>
        <w:t xml:space="preserve"> </w:t>
      </w:r>
      <w:r w:rsidRPr="000977F7">
        <w:rPr>
          <w:rFonts w:asciiTheme="majorHAnsi" w:hAnsiTheme="majorHAnsi"/>
          <w:sz w:val="20"/>
          <w:szCs w:val="20"/>
        </w:rPr>
        <w:t>органи</w:t>
      </w:r>
      <w:r w:rsidRPr="000977F7">
        <w:rPr>
          <w:rFonts w:asciiTheme="majorHAnsi" w:hAnsiTheme="majorHAnsi"/>
          <w:spacing w:val="-5"/>
          <w:sz w:val="20"/>
          <w:szCs w:val="20"/>
        </w:rPr>
        <w:t xml:space="preserve"> </w:t>
      </w:r>
      <w:r w:rsidRPr="000977F7">
        <w:rPr>
          <w:rFonts w:asciiTheme="majorHAnsi" w:hAnsiTheme="majorHAnsi"/>
          <w:sz w:val="20"/>
          <w:szCs w:val="20"/>
        </w:rPr>
        <w:t>класифікують</w:t>
      </w:r>
      <w:r w:rsidRPr="000977F7">
        <w:rPr>
          <w:rFonts w:asciiTheme="majorHAnsi" w:hAnsiTheme="majorHAnsi"/>
          <w:spacing w:val="-4"/>
          <w:sz w:val="20"/>
          <w:szCs w:val="20"/>
        </w:rPr>
        <w:t xml:space="preserve"> </w:t>
      </w:r>
      <w:r w:rsidRPr="000977F7">
        <w:rPr>
          <w:rFonts w:asciiTheme="majorHAnsi" w:hAnsiTheme="majorHAnsi"/>
          <w:sz w:val="20"/>
          <w:szCs w:val="20"/>
        </w:rPr>
        <w:t>товари,</w:t>
      </w:r>
      <w:r w:rsidRPr="000977F7">
        <w:rPr>
          <w:rFonts w:asciiTheme="majorHAnsi" w:hAnsiTheme="majorHAnsi"/>
          <w:spacing w:val="-5"/>
          <w:sz w:val="20"/>
          <w:szCs w:val="20"/>
        </w:rPr>
        <w:t xml:space="preserve"> </w:t>
      </w:r>
      <w:r w:rsidRPr="000977F7">
        <w:rPr>
          <w:rFonts w:asciiTheme="majorHAnsi" w:hAnsiTheme="majorHAnsi"/>
          <w:sz w:val="20"/>
          <w:szCs w:val="20"/>
        </w:rPr>
        <w:t>тобто</w:t>
      </w:r>
      <w:r w:rsidRPr="000977F7">
        <w:rPr>
          <w:rFonts w:asciiTheme="majorHAnsi" w:hAnsiTheme="majorHAnsi"/>
          <w:spacing w:val="-3"/>
          <w:sz w:val="20"/>
          <w:szCs w:val="20"/>
        </w:rPr>
        <w:t xml:space="preserve"> </w:t>
      </w:r>
      <w:r w:rsidRPr="000977F7">
        <w:rPr>
          <w:rFonts w:asciiTheme="majorHAnsi" w:hAnsiTheme="majorHAnsi"/>
          <w:sz w:val="20"/>
          <w:szCs w:val="20"/>
        </w:rPr>
        <w:t>відносять</w:t>
      </w:r>
      <w:r w:rsidRPr="000977F7">
        <w:rPr>
          <w:rFonts w:asciiTheme="majorHAnsi" w:hAnsiTheme="majorHAnsi"/>
          <w:spacing w:val="-47"/>
          <w:sz w:val="20"/>
          <w:szCs w:val="20"/>
        </w:rPr>
        <w:t xml:space="preserve"> </w:t>
      </w:r>
      <w:r w:rsidRPr="000977F7">
        <w:rPr>
          <w:rFonts w:asciiTheme="majorHAnsi" w:hAnsiTheme="majorHAnsi"/>
          <w:sz w:val="20"/>
          <w:szCs w:val="20"/>
        </w:rPr>
        <w:t>товари до класифікаційних групувань, зазначених в</w:t>
      </w:r>
      <w:r w:rsidRPr="000977F7">
        <w:rPr>
          <w:rFonts w:asciiTheme="majorHAnsi" w:hAnsiTheme="majorHAnsi"/>
          <w:spacing w:val="1"/>
          <w:sz w:val="20"/>
          <w:szCs w:val="20"/>
        </w:rPr>
        <w:t xml:space="preserve"> </w:t>
      </w:r>
      <w:r w:rsidRPr="000977F7">
        <w:rPr>
          <w:rFonts w:asciiTheme="majorHAnsi" w:hAnsiTheme="majorHAnsi"/>
          <w:sz w:val="20"/>
          <w:szCs w:val="20"/>
        </w:rPr>
        <w:t>УКТЗЕД.</w:t>
      </w:r>
    </w:p>
    <w:p w14:paraId="79BA6D8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Рішення митних органів щодо класифікації товарів</w:t>
      </w:r>
      <w:r w:rsidRPr="000977F7">
        <w:rPr>
          <w:rFonts w:asciiTheme="majorHAnsi" w:hAnsiTheme="majorHAnsi"/>
          <w:spacing w:val="-47"/>
          <w:sz w:val="20"/>
          <w:szCs w:val="20"/>
        </w:rPr>
        <w:t xml:space="preserve"> </w:t>
      </w:r>
      <w:r w:rsidRPr="000977F7">
        <w:rPr>
          <w:rFonts w:asciiTheme="majorHAnsi" w:hAnsiTheme="majorHAnsi"/>
          <w:sz w:val="20"/>
          <w:szCs w:val="20"/>
        </w:rPr>
        <w:t>для</w:t>
      </w:r>
      <w:r w:rsidRPr="000977F7">
        <w:rPr>
          <w:rFonts w:asciiTheme="majorHAnsi" w:hAnsiTheme="majorHAnsi"/>
          <w:spacing w:val="-4"/>
          <w:sz w:val="20"/>
          <w:szCs w:val="20"/>
        </w:rPr>
        <w:t xml:space="preserve"> </w:t>
      </w:r>
      <w:r w:rsidRPr="000977F7">
        <w:rPr>
          <w:rFonts w:asciiTheme="majorHAnsi" w:hAnsiTheme="majorHAnsi"/>
          <w:sz w:val="20"/>
          <w:szCs w:val="20"/>
        </w:rPr>
        <w:t>митних</w:t>
      </w:r>
      <w:r w:rsidRPr="000977F7">
        <w:rPr>
          <w:rFonts w:asciiTheme="majorHAnsi" w:hAnsiTheme="majorHAnsi"/>
          <w:spacing w:val="-4"/>
          <w:sz w:val="20"/>
          <w:szCs w:val="20"/>
        </w:rPr>
        <w:t xml:space="preserve"> </w:t>
      </w:r>
      <w:r w:rsidRPr="000977F7">
        <w:rPr>
          <w:rFonts w:asciiTheme="majorHAnsi" w:hAnsiTheme="majorHAnsi"/>
          <w:sz w:val="20"/>
          <w:szCs w:val="20"/>
        </w:rPr>
        <w:t>цілей</w:t>
      </w:r>
      <w:r w:rsidRPr="000977F7">
        <w:rPr>
          <w:rFonts w:asciiTheme="majorHAnsi" w:hAnsiTheme="majorHAnsi"/>
          <w:spacing w:val="-2"/>
          <w:sz w:val="20"/>
          <w:szCs w:val="20"/>
        </w:rPr>
        <w:t xml:space="preserve"> </w:t>
      </w:r>
      <w:r w:rsidRPr="000977F7">
        <w:rPr>
          <w:rFonts w:asciiTheme="majorHAnsi" w:hAnsiTheme="majorHAnsi"/>
          <w:sz w:val="20"/>
          <w:szCs w:val="20"/>
        </w:rPr>
        <w:t>є</w:t>
      </w:r>
      <w:r w:rsidRPr="000977F7">
        <w:rPr>
          <w:rFonts w:asciiTheme="majorHAnsi" w:hAnsiTheme="majorHAnsi"/>
          <w:spacing w:val="-3"/>
          <w:sz w:val="20"/>
          <w:szCs w:val="20"/>
        </w:rPr>
        <w:t xml:space="preserve"> </w:t>
      </w:r>
      <w:r w:rsidRPr="000977F7">
        <w:rPr>
          <w:rFonts w:asciiTheme="majorHAnsi" w:hAnsiTheme="majorHAnsi"/>
          <w:sz w:val="20"/>
          <w:szCs w:val="20"/>
        </w:rPr>
        <w:t>обов’язковими</w:t>
      </w:r>
      <w:r w:rsidRPr="000977F7">
        <w:rPr>
          <w:rFonts w:asciiTheme="majorHAnsi" w:hAnsiTheme="majorHAnsi"/>
          <w:spacing w:val="-4"/>
          <w:sz w:val="20"/>
          <w:szCs w:val="20"/>
        </w:rPr>
        <w:t xml:space="preserve"> </w:t>
      </w:r>
      <w:r w:rsidRPr="000977F7">
        <w:rPr>
          <w:rFonts w:asciiTheme="majorHAnsi" w:hAnsiTheme="majorHAnsi"/>
          <w:sz w:val="20"/>
          <w:szCs w:val="20"/>
        </w:rPr>
        <w:t>для підприємств</w:t>
      </w:r>
      <w:r w:rsidRPr="000977F7">
        <w:rPr>
          <w:rFonts w:asciiTheme="majorHAnsi" w:hAnsiTheme="majorHAnsi"/>
          <w:spacing w:val="-4"/>
          <w:sz w:val="20"/>
          <w:szCs w:val="20"/>
        </w:rPr>
        <w:t xml:space="preserve"> </w:t>
      </w:r>
      <w:r w:rsidRPr="000977F7">
        <w:rPr>
          <w:rFonts w:asciiTheme="majorHAnsi" w:hAnsiTheme="majorHAnsi"/>
          <w:sz w:val="20"/>
          <w:szCs w:val="20"/>
        </w:rPr>
        <w:t>і</w:t>
      </w:r>
      <w:r w:rsidRPr="000977F7">
        <w:rPr>
          <w:rFonts w:asciiTheme="majorHAnsi" w:hAnsiTheme="majorHAnsi"/>
          <w:spacing w:val="-48"/>
          <w:sz w:val="20"/>
          <w:szCs w:val="20"/>
        </w:rPr>
        <w:t xml:space="preserve"> </w:t>
      </w:r>
      <w:r w:rsidRPr="000977F7">
        <w:rPr>
          <w:rFonts w:asciiTheme="majorHAnsi" w:hAnsiTheme="majorHAnsi"/>
          <w:sz w:val="20"/>
          <w:szCs w:val="20"/>
        </w:rPr>
        <w:t>громадян</w:t>
      </w:r>
    </w:p>
    <w:p w14:paraId="0009112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w:t>
      </w:r>
      <w:r w:rsidRPr="000977F7">
        <w:rPr>
          <w:rFonts w:asciiTheme="majorHAnsi" w:hAnsiTheme="majorHAnsi"/>
          <w:i/>
          <w:spacing w:val="-2"/>
          <w:sz w:val="20"/>
          <w:szCs w:val="20"/>
        </w:rPr>
        <w:t xml:space="preserve"> </w:t>
      </w:r>
      <w:r w:rsidRPr="000977F7">
        <w:rPr>
          <w:rFonts w:asciiTheme="majorHAnsi" w:hAnsiTheme="majorHAnsi"/>
          <w:i/>
          <w:sz w:val="20"/>
          <w:szCs w:val="20"/>
        </w:rPr>
        <w:t>кодекс</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p>
    <w:p w14:paraId="76E43D6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КЛЕЙМО</w:t>
      </w:r>
      <w:r w:rsidRPr="000977F7">
        <w:rPr>
          <w:color w:val="auto"/>
          <w:spacing w:val="-1"/>
          <w:sz w:val="20"/>
          <w:szCs w:val="20"/>
        </w:rPr>
        <w:t xml:space="preserve"> </w:t>
      </w:r>
      <w:r w:rsidRPr="000977F7">
        <w:rPr>
          <w:color w:val="auto"/>
          <w:sz w:val="20"/>
          <w:szCs w:val="20"/>
        </w:rPr>
        <w:t>–</w:t>
      </w:r>
    </w:p>
    <w:p w14:paraId="2D14FE7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Умовне позначення, яке наноситься на поверхні заготовок, деталей або виробів у вигляді цифр, букв, геометричних</w:t>
      </w:r>
      <w:r w:rsidRPr="000977F7">
        <w:rPr>
          <w:rFonts w:asciiTheme="majorHAnsi" w:hAnsiTheme="majorHAnsi"/>
          <w:spacing w:val="-2"/>
          <w:sz w:val="20"/>
          <w:szCs w:val="20"/>
        </w:rPr>
        <w:t xml:space="preserve"> </w:t>
      </w:r>
      <w:r w:rsidRPr="000977F7">
        <w:rPr>
          <w:rFonts w:asciiTheme="majorHAnsi" w:hAnsiTheme="majorHAnsi"/>
          <w:sz w:val="20"/>
          <w:szCs w:val="20"/>
        </w:rPr>
        <w:t>фігур</w:t>
      </w:r>
      <w:r w:rsidRPr="000977F7">
        <w:rPr>
          <w:rFonts w:asciiTheme="majorHAnsi" w:hAnsiTheme="majorHAnsi"/>
          <w:spacing w:val="1"/>
          <w:sz w:val="20"/>
          <w:szCs w:val="20"/>
        </w:rPr>
        <w:t xml:space="preserve"> </w:t>
      </w:r>
      <w:r w:rsidRPr="000977F7">
        <w:rPr>
          <w:rFonts w:asciiTheme="majorHAnsi" w:hAnsiTheme="majorHAnsi"/>
          <w:sz w:val="20"/>
          <w:szCs w:val="20"/>
        </w:rPr>
        <w:t>або їх</w:t>
      </w:r>
      <w:r w:rsidRPr="000977F7">
        <w:rPr>
          <w:rFonts w:asciiTheme="majorHAnsi" w:hAnsiTheme="majorHAnsi"/>
          <w:spacing w:val="-2"/>
          <w:sz w:val="20"/>
          <w:szCs w:val="20"/>
        </w:rPr>
        <w:t xml:space="preserve"> </w:t>
      </w:r>
      <w:r w:rsidRPr="000977F7">
        <w:rPr>
          <w:rFonts w:asciiTheme="majorHAnsi" w:hAnsiTheme="majorHAnsi"/>
          <w:sz w:val="20"/>
          <w:szCs w:val="20"/>
        </w:rPr>
        <w:t>сполучень</w:t>
      </w:r>
    </w:p>
    <w:p w14:paraId="19725B7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КЛЕПАННЯ</w:t>
      </w:r>
      <w:r w:rsidRPr="000977F7">
        <w:rPr>
          <w:color w:val="auto"/>
          <w:spacing w:val="-3"/>
          <w:sz w:val="20"/>
          <w:szCs w:val="20"/>
        </w:rPr>
        <w:t xml:space="preserve"> </w:t>
      </w:r>
      <w:r w:rsidRPr="000977F7">
        <w:rPr>
          <w:color w:val="auto"/>
          <w:sz w:val="20"/>
          <w:szCs w:val="20"/>
        </w:rPr>
        <w:t>–</w:t>
      </w:r>
    </w:p>
    <w:p w14:paraId="532BCE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RIVETING –</w:t>
      </w:r>
    </w:p>
    <w:p w14:paraId="52974E2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4"/>
          <w:sz w:val="20"/>
          <w:szCs w:val="20"/>
        </w:rPr>
        <w:t>Утворення</w:t>
      </w:r>
      <w:r w:rsidRPr="000977F7">
        <w:rPr>
          <w:rFonts w:asciiTheme="majorHAnsi" w:hAnsiTheme="majorHAnsi"/>
          <w:spacing w:val="-8"/>
          <w:sz w:val="20"/>
          <w:szCs w:val="20"/>
        </w:rPr>
        <w:t xml:space="preserve"> </w:t>
      </w:r>
      <w:r w:rsidRPr="000977F7">
        <w:rPr>
          <w:rFonts w:asciiTheme="majorHAnsi" w:hAnsiTheme="majorHAnsi"/>
          <w:spacing w:val="-4"/>
          <w:sz w:val="20"/>
          <w:szCs w:val="20"/>
        </w:rPr>
        <w:t>нерознімних</w:t>
      </w:r>
      <w:r w:rsidRPr="000977F7">
        <w:rPr>
          <w:rFonts w:asciiTheme="majorHAnsi" w:hAnsiTheme="majorHAnsi"/>
          <w:spacing w:val="-10"/>
          <w:sz w:val="20"/>
          <w:szCs w:val="20"/>
        </w:rPr>
        <w:t xml:space="preserve"> </w:t>
      </w:r>
      <w:r w:rsidRPr="000977F7">
        <w:rPr>
          <w:rFonts w:asciiTheme="majorHAnsi" w:hAnsiTheme="majorHAnsi"/>
          <w:spacing w:val="-4"/>
          <w:sz w:val="20"/>
          <w:szCs w:val="20"/>
        </w:rPr>
        <w:t>з’єднань</w:t>
      </w:r>
      <w:r w:rsidRPr="000977F7">
        <w:rPr>
          <w:rFonts w:asciiTheme="majorHAnsi" w:hAnsiTheme="majorHAnsi"/>
          <w:spacing w:val="-9"/>
          <w:sz w:val="20"/>
          <w:szCs w:val="20"/>
        </w:rPr>
        <w:t xml:space="preserve"> </w:t>
      </w:r>
      <w:r w:rsidRPr="000977F7">
        <w:rPr>
          <w:rFonts w:asciiTheme="majorHAnsi" w:hAnsiTheme="majorHAnsi"/>
          <w:spacing w:val="-4"/>
          <w:sz w:val="20"/>
          <w:szCs w:val="20"/>
        </w:rPr>
        <w:t>за</w:t>
      </w:r>
      <w:r w:rsidRPr="000977F7">
        <w:rPr>
          <w:rFonts w:asciiTheme="majorHAnsi" w:hAnsiTheme="majorHAnsi"/>
          <w:spacing w:val="-6"/>
          <w:sz w:val="20"/>
          <w:szCs w:val="20"/>
        </w:rPr>
        <w:t xml:space="preserve"> </w:t>
      </w:r>
      <w:r w:rsidRPr="000977F7">
        <w:rPr>
          <w:rFonts w:asciiTheme="majorHAnsi" w:hAnsiTheme="majorHAnsi"/>
          <w:spacing w:val="-4"/>
          <w:sz w:val="20"/>
          <w:szCs w:val="20"/>
        </w:rPr>
        <w:t>допомогою</w:t>
      </w:r>
      <w:r w:rsidRPr="000977F7">
        <w:rPr>
          <w:rFonts w:asciiTheme="majorHAnsi" w:hAnsiTheme="majorHAnsi"/>
          <w:spacing w:val="-7"/>
          <w:sz w:val="20"/>
          <w:szCs w:val="20"/>
        </w:rPr>
        <w:t xml:space="preserve"> </w:t>
      </w:r>
      <w:r w:rsidRPr="000977F7">
        <w:rPr>
          <w:rFonts w:asciiTheme="majorHAnsi" w:hAnsiTheme="majorHAnsi"/>
          <w:spacing w:val="-4"/>
          <w:sz w:val="20"/>
          <w:szCs w:val="20"/>
        </w:rPr>
        <w:t>заклепок</w:t>
      </w:r>
    </w:p>
    <w:p w14:paraId="119DD549"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2391:2010</w:t>
      </w:r>
      <w:r w:rsidRPr="000977F7">
        <w:rPr>
          <w:rFonts w:asciiTheme="majorHAnsi" w:hAnsiTheme="majorHAnsi"/>
          <w:i/>
          <w:spacing w:val="1"/>
          <w:sz w:val="20"/>
          <w:szCs w:val="20"/>
        </w:rPr>
        <w:t xml:space="preserve"> </w:t>
      </w:r>
    </w:p>
    <w:p w14:paraId="6F0BFDF3"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b/>
          <w:bCs/>
          <w:sz w:val="20"/>
          <w:szCs w:val="20"/>
        </w:rPr>
      </w:pPr>
      <w:bookmarkStart w:id="100" w:name="_Hlk103316364"/>
      <w:r w:rsidRPr="000977F7">
        <w:rPr>
          <w:rFonts w:asciiTheme="majorHAnsi" w:hAnsiTheme="majorHAnsi"/>
          <w:b/>
          <w:bCs/>
          <w:sz w:val="20"/>
          <w:szCs w:val="20"/>
        </w:rPr>
        <w:lastRenderedPageBreak/>
        <w:t>КЛІЄНТ –</w:t>
      </w:r>
    </w:p>
    <w:p w14:paraId="3A1A4877"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CLIENT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1D5ADA5E"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Організація, щодо системи менеджменту якої проводиться аудит з метою сертифікації</w:t>
      </w:r>
    </w:p>
    <w:p w14:paraId="41781985"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ДСТУ EN ISO/IEC 17021-1:2015</w:t>
      </w:r>
      <w:bookmarkEnd w:id="100"/>
    </w:p>
    <w:p w14:paraId="3777E732"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Організація або особа, яка є  відповідальною перед органом сертифікації для забезпечення виконання вимог сертифікації, зокрема, вимог до продукції</w:t>
      </w:r>
    </w:p>
    <w:p w14:paraId="0DED47E0"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Примітка. Термін «клієнт» використовується в цьому міжнародному стандарті як для терміну «заявник», так і для терміну «клієнт», якщо інше не зазначено.</w:t>
      </w:r>
    </w:p>
    <w:p w14:paraId="62EB26A1" w14:textId="77777777" w:rsidR="0097612F" w:rsidRPr="004D2D14" w:rsidRDefault="0097612F" w:rsidP="000977F7">
      <w:pPr>
        <w:tabs>
          <w:tab w:val="left" w:pos="284"/>
        </w:tabs>
        <w:spacing w:after="0" w:line="240" w:lineRule="auto"/>
        <w:ind w:left="170"/>
        <w:mirrorIndents/>
        <w:jc w:val="both"/>
        <w:rPr>
          <w:rFonts w:asciiTheme="majorHAnsi" w:hAnsiTheme="majorHAnsi"/>
          <w:i/>
          <w:iCs/>
          <w:spacing w:val="1"/>
          <w:sz w:val="20"/>
          <w:szCs w:val="20"/>
          <w:lang w:val="en-US"/>
        </w:rPr>
      </w:pPr>
      <w:r w:rsidRPr="000977F7">
        <w:rPr>
          <w:rFonts w:asciiTheme="majorHAnsi" w:hAnsiTheme="majorHAnsi"/>
          <w:i/>
          <w:iCs/>
          <w:sz w:val="20"/>
          <w:szCs w:val="20"/>
          <w:lang w:eastAsia="ru-RU"/>
        </w:rPr>
        <w:t>ДСТУ</w:t>
      </w:r>
      <w:r w:rsidRPr="004D2D14">
        <w:rPr>
          <w:rFonts w:asciiTheme="majorHAnsi" w:hAnsiTheme="majorHAnsi"/>
          <w:i/>
          <w:iCs/>
          <w:sz w:val="20"/>
          <w:szCs w:val="20"/>
          <w:lang w:val="en-US" w:eastAsia="ru-RU"/>
        </w:rPr>
        <w:t xml:space="preserve"> EN ISO/IEC 17065:2019</w:t>
      </w:r>
    </w:p>
    <w:p w14:paraId="7235C88D"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КЛІЄНТ</w:t>
      </w:r>
      <w:r w:rsidRPr="004D2D14">
        <w:rPr>
          <w:rFonts w:asciiTheme="majorHAnsi" w:hAnsiTheme="majorHAnsi"/>
          <w:b/>
          <w:spacing w:val="-9"/>
          <w:sz w:val="20"/>
          <w:szCs w:val="20"/>
          <w:lang w:val="en-US"/>
        </w:rPr>
        <w:t xml:space="preserve"> </w:t>
      </w:r>
      <w:r w:rsidRPr="000977F7">
        <w:rPr>
          <w:rFonts w:asciiTheme="majorHAnsi" w:hAnsiTheme="majorHAnsi"/>
          <w:b/>
          <w:sz w:val="20"/>
          <w:szCs w:val="20"/>
        </w:rPr>
        <w:t>АУДИТУ</w:t>
      </w:r>
      <w:r w:rsidRPr="004D2D14">
        <w:rPr>
          <w:rFonts w:asciiTheme="majorHAnsi" w:hAnsiTheme="majorHAnsi"/>
          <w:b/>
          <w:spacing w:val="-8"/>
          <w:sz w:val="20"/>
          <w:szCs w:val="20"/>
          <w:lang w:val="en-US"/>
        </w:rPr>
        <w:t xml:space="preserve"> </w:t>
      </w:r>
      <w:r w:rsidRPr="004D2D14">
        <w:rPr>
          <w:rFonts w:asciiTheme="majorHAnsi" w:hAnsiTheme="majorHAnsi"/>
          <w:b/>
          <w:sz w:val="20"/>
          <w:szCs w:val="20"/>
          <w:lang w:val="en-US"/>
        </w:rPr>
        <w:t>–</w:t>
      </w:r>
      <w:r w:rsidRPr="004D2D14">
        <w:rPr>
          <w:rFonts w:asciiTheme="majorHAnsi" w:hAnsiTheme="majorHAnsi"/>
          <w:b/>
          <w:spacing w:val="-47"/>
          <w:sz w:val="20"/>
          <w:szCs w:val="20"/>
          <w:lang w:val="en-US"/>
        </w:rPr>
        <w:t xml:space="preserve"> </w:t>
      </w:r>
      <w:r w:rsidRPr="004D2D14">
        <w:rPr>
          <w:rFonts w:asciiTheme="majorHAnsi" w:hAnsiTheme="majorHAnsi"/>
          <w:sz w:val="20"/>
          <w:szCs w:val="20"/>
          <w:lang w:val="en-US"/>
        </w:rPr>
        <w:t>AUDIT</w:t>
      </w:r>
      <w:r w:rsidRPr="004D2D14">
        <w:rPr>
          <w:rFonts w:asciiTheme="majorHAnsi" w:hAnsiTheme="majorHAnsi"/>
          <w:spacing w:val="1"/>
          <w:sz w:val="20"/>
          <w:szCs w:val="20"/>
          <w:lang w:val="en-US"/>
        </w:rPr>
        <w:t xml:space="preserve"> </w:t>
      </w:r>
      <w:bookmarkStart w:id="101" w:name="_Hlk103316142"/>
      <w:r w:rsidRPr="004D2D14">
        <w:rPr>
          <w:rFonts w:asciiTheme="majorHAnsi" w:hAnsiTheme="majorHAnsi"/>
          <w:sz w:val="20"/>
          <w:szCs w:val="20"/>
          <w:lang w:val="en-US"/>
        </w:rPr>
        <w:t>CLIENT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bookmarkEnd w:id="101"/>
    </w:p>
    <w:p w14:paraId="145BAFCD"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sz w:val="20"/>
          <w:szCs w:val="20"/>
        </w:rPr>
        <w:t>Особа</w:t>
      </w:r>
      <w:r w:rsidRPr="004D2D14">
        <w:rPr>
          <w:rFonts w:asciiTheme="majorHAnsi" w:hAnsiTheme="majorHAnsi"/>
          <w:spacing w:val="-5"/>
          <w:sz w:val="20"/>
          <w:szCs w:val="20"/>
          <w:lang w:val="en-US"/>
        </w:rPr>
        <w:t xml:space="preserve"> </w:t>
      </w:r>
      <w:r w:rsidRPr="000977F7">
        <w:rPr>
          <w:rFonts w:asciiTheme="majorHAnsi" w:hAnsiTheme="majorHAnsi"/>
          <w:sz w:val="20"/>
          <w:szCs w:val="20"/>
        </w:rPr>
        <w:t>або</w:t>
      </w:r>
      <w:r w:rsidRPr="004D2D14">
        <w:rPr>
          <w:rFonts w:asciiTheme="majorHAnsi" w:hAnsiTheme="majorHAnsi"/>
          <w:spacing w:val="-3"/>
          <w:sz w:val="20"/>
          <w:szCs w:val="20"/>
          <w:lang w:val="en-US"/>
        </w:rPr>
        <w:t xml:space="preserve"> </w:t>
      </w:r>
      <w:r w:rsidRPr="000977F7">
        <w:rPr>
          <w:rFonts w:asciiTheme="majorHAnsi" w:hAnsiTheme="majorHAnsi"/>
          <w:sz w:val="20"/>
          <w:szCs w:val="20"/>
        </w:rPr>
        <w:t>організація</w:t>
      </w:r>
      <w:r w:rsidRPr="004D2D14">
        <w:rPr>
          <w:rFonts w:asciiTheme="majorHAnsi" w:hAnsiTheme="majorHAnsi"/>
          <w:sz w:val="20"/>
          <w:szCs w:val="20"/>
          <w:lang w:val="en-US"/>
        </w:rPr>
        <w:t>,</w:t>
      </w:r>
      <w:r w:rsidRPr="004D2D14">
        <w:rPr>
          <w:rFonts w:asciiTheme="majorHAnsi" w:hAnsiTheme="majorHAnsi"/>
          <w:spacing w:val="-4"/>
          <w:sz w:val="20"/>
          <w:szCs w:val="20"/>
          <w:lang w:val="en-US"/>
        </w:rPr>
        <w:t xml:space="preserve"> </w:t>
      </w:r>
      <w:r w:rsidRPr="000977F7">
        <w:rPr>
          <w:rFonts w:asciiTheme="majorHAnsi" w:hAnsiTheme="majorHAnsi"/>
          <w:sz w:val="20"/>
          <w:szCs w:val="20"/>
        </w:rPr>
        <w:t>яка</w:t>
      </w:r>
      <w:r w:rsidRPr="004D2D14">
        <w:rPr>
          <w:rFonts w:asciiTheme="majorHAnsi" w:hAnsiTheme="majorHAnsi"/>
          <w:spacing w:val="-4"/>
          <w:sz w:val="20"/>
          <w:szCs w:val="20"/>
          <w:lang w:val="en-US"/>
        </w:rPr>
        <w:t xml:space="preserve"> </w:t>
      </w:r>
      <w:r w:rsidRPr="000977F7">
        <w:rPr>
          <w:rFonts w:asciiTheme="majorHAnsi" w:hAnsiTheme="majorHAnsi"/>
          <w:sz w:val="20"/>
          <w:szCs w:val="20"/>
        </w:rPr>
        <w:t>доручає</w:t>
      </w:r>
      <w:r w:rsidRPr="004D2D14">
        <w:rPr>
          <w:rFonts w:asciiTheme="majorHAnsi" w:hAnsiTheme="majorHAnsi"/>
          <w:spacing w:val="-2"/>
          <w:sz w:val="20"/>
          <w:szCs w:val="20"/>
          <w:lang w:val="en-US"/>
        </w:rPr>
        <w:t xml:space="preserve"> </w:t>
      </w:r>
      <w:r w:rsidRPr="000977F7">
        <w:rPr>
          <w:rFonts w:asciiTheme="majorHAnsi" w:hAnsiTheme="majorHAnsi"/>
          <w:sz w:val="20"/>
          <w:szCs w:val="20"/>
        </w:rPr>
        <w:t>аудит</w:t>
      </w:r>
      <w:r w:rsidRPr="004D2D14">
        <w:rPr>
          <w:rFonts w:asciiTheme="majorHAnsi" w:hAnsiTheme="majorHAnsi"/>
          <w:spacing w:val="-47"/>
          <w:sz w:val="20"/>
          <w:szCs w:val="20"/>
          <w:lang w:val="en-US"/>
        </w:rPr>
        <w:t xml:space="preserve"> </w:t>
      </w:r>
      <w:r w:rsidRPr="000977F7">
        <w:rPr>
          <w:rFonts w:asciiTheme="majorHAnsi" w:hAnsiTheme="majorHAnsi"/>
          <w:b/>
          <w:sz w:val="20"/>
          <w:szCs w:val="20"/>
        </w:rPr>
        <w:t>КЛІМАТИЧНІ</w:t>
      </w:r>
      <w:r w:rsidRPr="004D2D14">
        <w:rPr>
          <w:rFonts w:asciiTheme="majorHAnsi" w:hAnsiTheme="majorHAnsi"/>
          <w:b/>
          <w:sz w:val="20"/>
          <w:szCs w:val="20"/>
          <w:lang w:val="en-US"/>
        </w:rPr>
        <w:t xml:space="preserve"> </w:t>
      </w:r>
      <w:r w:rsidRPr="000977F7">
        <w:rPr>
          <w:rFonts w:asciiTheme="majorHAnsi" w:hAnsiTheme="majorHAnsi"/>
          <w:b/>
          <w:sz w:val="20"/>
          <w:szCs w:val="20"/>
        </w:rPr>
        <w:t>ВИПРОБУВАННЯ</w:t>
      </w:r>
      <w:r w:rsidRPr="004D2D14">
        <w:rPr>
          <w:rFonts w:asciiTheme="majorHAnsi" w:hAnsiTheme="majorHAnsi"/>
          <w:b/>
          <w:sz w:val="20"/>
          <w:szCs w:val="20"/>
          <w:lang w:val="en-US"/>
        </w:rPr>
        <w:t xml:space="preserve"> –</w:t>
      </w:r>
      <w:r w:rsidRPr="004D2D14">
        <w:rPr>
          <w:rFonts w:asciiTheme="majorHAnsi" w:hAnsiTheme="majorHAnsi"/>
          <w:b/>
          <w:spacing w:val="1"/>
          <w:sz w:val="20"/>
          <w:szCs w:val="20"/>
          <w:lang w:val="en-US"/>
        </w:rPr>
        <w:t xml:space="preserve"> </w:t>
      </w:r>
      <w:r w:rsidRPr="004D2D14">
        <w:rPr>
          <w:rFonts w:asciiTheme="majorHAnsi" w:hAnsiTheme="majorHAnsi"/>
          <w:sz w:val="20"/>
          <w:szCs w:val="20"/>
          <w:lang w:val="en-US"/>
        </w:rPr>
        <w:t>ENVIRONMENTAL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w:t>
      </w:r>
    </w:p>
    <w:p w14:paraId="1C741894"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sz w:val="20"/>
          <w:szCs w:val="20"/>
        </w:rPr>
        <w:t>Випробування</w:t>
      </w:r>
      <w:r w:rsidRPr="000977F7">
        <w:rPr>
          <w:rFonts w:asciiTheme="majorHAnsi" w:hAnsiTheme="majorHAnsi"/>
          <w:spacing w:val="-4"/>
          <w:sz w:val="20"/>
          <w:szCs w:val="20"/>
        </w:rPr>
        <w:t xml:space="preserve"> </w:t>
      </w:r>
      <w:r w:rsidRPr="000977F7">
        <w:rPr>
          <w:rFonts w:asciiTheme="majorHAnsi" w:hAnsiTheme="majorHAnsi"/>
          <w:sz w:val="20"/>
          <w:szCs w:val="20"/>
        </w:rPr>
        <w:t>на</w:t>
      </w:r>
      <w:r w:rsidRPr="000977F7">
        <w:rPr>
          <w:rFonts w:asciiTheme="majorHAnsi" w:hAnsiTheme="majorHAnsi"/>
          <w:spacing w:val="-5"/>
          <w:sz w:val="20"/>
          <w:szCs w:val="20"/>
        </w:rPr>
        <w:t xml:space="preserve"> </w:t>
      </w:r>
      <w:r w:rsidRPr="000977F7">
        <w:rPr>
          <w:rFonts w:asciiTheme="majorHAnsi" w:hAnsiTheme="majorHAnsi"/>
          <w:sz w:val="20"/>
          <w:szCs w:val="20"/>
        </w:rPr>
        <w:t>дію</w:t>
      </w:r>
      <w:r w:rsidRPr="000977F7">
        <w:rPr>
          <w:rFonts w:asciiTheme="majorHAnsi" w:hAnsiTheme="majorHAnsi"/>
          <w:spacing w:val="-5"/>
          <w:sz w:val="20"/>
          <w:szCs w:val="20"/>
        </w:rPr>
        <w:t xml:space="preserve"> </w:t>
      </w:r>
      <w:r w:rsidRPr="000977F7">
        <w:rPr>
          <w:rFonts w:asciiTheme="majorHAnsi" w:hAnsiTheme="majorHAnsi"/>
          <w:sz w:val="20"/>
          <w:szCs w:val="20"/>
        </w:rPr>
        <w:t>кліматичних</w:t>
      </w:r>
      <w:r w:rsidRPr="000977F7">
        <w:rPr>
          <w:rFonts w:asciiTheme="majorHAnsi" w:hAnsiTheme="majorHAnsi"/>
          <w:spacing w:val="-6"/>
          <w:sz w:val="20"/>
          <w:szCs w:val="20"/>
        </w:rPr>
        <w:t xml:space="preserve"> </w:t>
      </w:r>
      <w:r w:rsidRPr="000977F7">
        <w:rPr>
          <w:rFonts w:asciiTheme="majorHAnsi" w:hAnsiTheme="majorHAnsi"/>
          <w:sz w:val="20"/>
          <w:szCs w:val="20"/>
        </w:rPr>
        <w:t>чинників</w:t>
      </w:r>
      <w:r w:rsidRPr="000977F7">
        <w:rPr>
          <w:rFonts w:asciiTheme="majorHAnsi" w:hAnsiTheme="majorHAnsi"/>
          <w:spacing w:val="-47"/>
          <w:sz w:val="20"/>
          <w:szCs w:val="20"/>
        </w:rPr>
        <w:t xml:space="preserve"> </w:t>
      </w:r>
    </w:p>
    <w:p w14:paraId="2CDF95B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187F9747"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КЛІРИНГ –</w:t>
      </w:r>
    </w:p>
    <w:p w14:paraId="71DB33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безготівкових розрахунків за товари, послуги, цінні папери, застосована на взаємному заліку зустрічних</w:t>
      </w:r>
      <w:r w:rsidRPr="000977F7">
        <w:rPr>
          <w:rFonts w:asciiTheme="majorHAnsi" w:hAnsiTheme="majorHAnsi"/>
          <w:spacing w:val="-2"/>
          <w:sz w:val="20"/>
          <w:szCs w:val="20"/>
        </w:rPr>
        <w:t xml:space="preserve"> </w:t>
      </w:r>
      <w:r w:rsidRPr="000977F7">
        <w:rPr>
          <w:rFonts w:asciiTheme="majorHAnsi" w:hAnsiTheme="majorHAnsi"/>
          <w:sz w:val="20"/>
          <w:szCs w:val="20"/>
        </w:rPr>
        <w:t>вимог</w:t>
      </w:r>
      <w:r w:rsidRPr="000977F7">
        <w:rPr>
          <w:rFonts w:asciiTheme="majorHAnsi" w:hAnsiTheme="majorHAnsi"/>
          <w:spacing w:val="-1"/>
          <w:sz w:val="20"/>
          <w:szCs w:val="20"/>
        </w:rPr>
        <w:t xml:space="preserve"> </w:t>
      </w:r>
      <w:r w:rsidRPr="000977F7">
        <w:rPr>
          <w:rFonts w:asciiTheme="majorHAnsi" w:hAnsiTheme="majorHAnsi"/>
          <w:sz w:val="20"/>
          <w:szCs w:val="20"/>
        </w:rPr>
        <w:t>та зобов’язань</w:t>
      </w:r>
    </w:p>
    <w:p w14:paraId="015AF04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 – 95</w:t>
      </w:r>
    </w:p>
    <w:p w14:paraId="18C0D20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КЛЮЧОВІ</w:t>
      </w:r>
      <w:r w:rsidRPr="000977F7">
        <w:rPr>
          <w:color w:val="auto"/>
          <w:spacing w:val="-4"/>
          <w:sz w:val="20"/>
          <w:szCs w:val="20"/>
        </w:rPr>
        <w:t xml:space="preserve"> </w:t>
      </w:r>
      <w:r w:rsidRPr="000977F7">
        <w:rPr>
          <w:color w:val="auto"/>
          <w:sz w:val="20"/>
          <w:szCs w:val="20"/>
        </w:rPr>
        <w:t>ЧИННИКИ</w:t>
      </w:r>
      <w:r w:rsidRPr="000977F7">
        <w:rPr>
          <w:color w:val="auto"/>
          <w:spacing w:val="-3"/>
          <w:sz w:val="20"/>
          <w:szCs w:val="20"/>
        </w:rPr>
        <w:t xml:space="preserve"> </w:t>
      </w:r>
      <w:r w:rsidRPr="000977F7">
        <w:rPr>
          <w:color w:val="auto"/>
          <w:sz w:val="20"/>
          <w:szCs w:val="20"/>
        </w:rPr>
        <w:t>УСПІХУ</w:t>
      </w:r>
      <w:r w:rsidRPr="000977F7">
        <w:rPr>
          <w:color w:val="auto"/>
          <w:spacing w:val="-1"/>
          <w:sz w:val="20"/>
          <w:szCs w:val="20"/>
        </w:rPr>
        <w:t xml:space="preserve"> </w:t>
      </w:r>
      <w:r w:rsidRPr="000977F7">
        <w:rPr>
          <w:color w:val="auto"/>
          <w:sz w:val="20"/>
          <w:szCs w:val="20"/>
        </w:rPr>
        <w:t>–</w:t>
      </w:r>
    </w:p>
    <w:p w14:paraId="3846F2A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Чинники,</w:t>
      </w:r>
      <w:r w:rsidRPr="000977F7">
        <w:rPr>
          <w:rFonts w:asciiTheme="majorHAnsi" w:hAnsiTheme="majorHAnsi"/>
          <w:spacing w:val="1"/>
          <w:sz w:val="20"/>
          <w:szCs w:val="20"/>
        </w:rPr>
        <w:t xml:space="preserve"> </w:t>
      </w:r>
      <w:r w:rsidRPr="000977F7">
        <w:rPr>
          <w:rFonts w:asciiTheme="majorHAnsi" w:hAnsiTheme="majorHAnsi"/>
          <w:sz w:val="20"/>
          <w:szCs w:val="20"/>
        </w:rPr>
        <w:t>обумовлені</w:t>
      </w:r>
      <w:r w:rsidRPr="000977F7">
        <w:rPr>
          <w:rFonts w:asciiTheme="majorHAnsi" w:hAnsiTheme="majorHAnsi"/>
          <w:spacing w:val="1"/>
          <w:sz w:val="20"/>
          <w:szCs w:val="20"/>
        </w:rPr>
        <w:t xml:space="preserve"> </w:t>
      </w:r>
      <w:r w:rsidRPr="000977F7">
        <w:rPr>
          <w:rFonts w:asciiTheme="majorHAnsi" w:hAnsiTheme="majorHAnsi"/>
          <w:sz w:val="20"/>
          <w:szCs w:val="20"/>
        </w:rPr>
        <w:t>вимогами</w:t>
      </w:r>
      <w:r w:rsidRPr="000977F7">
        <w:rPr>
          <w:rFonts w:asciiTheme="majorHAnsi" w:hAnsiTheme="majorHAnsi"/>
          <w:spacing w:val="1"/>
          <w:sz w:val="20"/>
          <w:szCs w:val="20"/>
        </w:rPr>
        <w:t xml:space="preserve"> </w:t>
      </w:r>
      <w:r w:rsidRPr="000977F7">
        <w:rPr>
          <w:rFonts w:asciiTheme="majorHAnsi" w:hAnsiTheme="majorHAnsi"/>
          <w:sz w:val="20"/>
          <w:szCs w:val="20"/>
        </w:rPr>
        <w:t>ринку,</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дати</w:t>
      </w:r>
      <w:r w:rsidRPr="000977F7">
        <w:rPr>
          <w:rFonts w:asciiTheme="majorHAnsi" w:hAnsiTheme="majorHAnsi"/>
          <w:spacing w:val="-2"/>
          <w:sz w:val="20"/>
          <w:szCs w:val="20"/>
        </w:rPr>
        <w:t xml:space="preserve"> </w:t>
      </w:r>
      <w:r w:rsidRPr="000977F7">
        <w:rPr>
          <w:rFonts w:asciiTheme="majorHAnsi" w:hAnsiTheme="majorHAnsi"/>
          <w:sz w:val="20"/>
          <w:szCs w:val="20"/>
        </w:rPr>
        <w:t>організації переваги</w:t>
      </w:r>
      <w:r w:rsidRPr="000977F7">
        <w:rPr>
          <w:rFonts w:asciiTheme="majorHAnsi" w:hAnsiTheme="majorHAnsi"/>
          <w:spacing w:val="-1"/>
          <w:sz w:val="20"/>
          <w:szCs w:val="20"/>
        </w:rPr>
        <w:t xml:space="preserve"> </w:t>
      </w:r>
      <w:r w:rsidRPr="000977F7">
        <w:rPr>
          <w:rFonts w:asciiTheme="majorHAnsi" w:hAnsiTheme="majorHAnsi"/>
          <w:sz w:val="20"/>
          <w:szCs w:val="20"/>
        </w:rPr>
        <w:t>перед</w:t>
      </w:r>
      <w:r w:rsidRPr="000977F7">
        <w:rPr>
          <w:rFonts w:asciiTheme="majorHAnsi" w:hAnsiTheme="majorHAnsi"/>
          <w:spacing w:val="-2"/>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конкурентами</w:t>
      </w:r>
    </w:p>
    <w:p w14:paraId="14D88D7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2B6AE7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КНИГА РЕЄСТРАЦІЇ ПОВІДОМЛЕНЬ </w:t>
      </w:r>
    </w:p>
    <w:p w14:paraId="4551097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(ПОПЕРЕДНІХ ПОВІДОМЛЕНЬ, ПРОПОЗИЦІЙ) ПРО </w:t>
      </w:r>
      <w:r w:rsidRPr="000977F7">
        <w:rPr>
          <w:color w:val="auto"/>
          <w:spacing w:val="-48"/>
          <w:sz w:val="20"/>
          <w:szCs w:val="20"/>
        </w:rPr>
        <w:t xml:space="preserve"> </w:t>
      </w:r>
      <w:r w:rsidRPr="000977F7">
        <w:rPr>
          <w:color w:val="auto"/>
          <w:sz w:val="20"/>
          <w:szCs w:val="20"/>
        </w:rPr>
        <w:t>ЗМІНУ –</w:t>
      </w:r>
    </w:p>
    <w:p w14:paraId="50E3FC95"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Документ,</w:t>
      </w:r>
      <w:r w:rsidRPr="000977F7">
        <w:rPr>
          <w:rFonts w:asciiTheme="majorHAnsi" w:hAnsiTheme="majorHAnsi"/>
          <w:spacing w:val="30"/>
          <w:sz w:val="20"/>
          <w:szCs w:val="20"/>
        </w:rPr>
        <w:t xml:space="preserve"> </w:t>
      </w:r>
      <w:r w:rsidRPr="000977F7">
        <w:rPr>
          <w:rFonts w:asciiTheme="majorHAnsi" w:hAnsiTheme="majorHAnsi"/>
          <w:sz w:val="20"/>
          <w:szCs w:val="20"/>
        </w:rPr>
        <w:t>призначений</w:t>
      </w:r>
      <w:r w:rsidRPr="000977F7">
        <w:rPr>
          <w:rFonts w:asciiTheme="majorHAnsi" w:hAnsiTheme="majorHAnsi"/>
          <w:spacing w:val="29"/>
          <w:sz w:val="20"/>
          <w:szCs w:val="20"/>
        </w:rPr>
        <w:t xml:space="preserve"> </w:t>
      </w:r>
      <w:r w:rsidRPr="000977F7">
        <w:rPr>
          <w:rFonts w:asciiTheme="majorHAnsi" w:hAnsiTheme="majorHAnsi"/>
          <w:sz w:val="20"/>
          <w:szCs w:val="20"/>
        </w:rPr>
        <w:t>для</w:t>
      </w:r>
      <w:r w:rsidRPr="000977F7">
        <w:rPr>
          <w:rFonts w:asciiTheme="majorHAnsi" w:hAnsiTheme="majorHAnsi"/>
          <w:spacing w:val="29"/>
          <w:sz w:val="20"/>
          <w:szCs w:val="20"/>
        </w:rPr>
        <w:t xml:space="preserve"> </w:t>
      </w:r>
      <w:r w:rsidRPr="000977F7">
        <w:rPr>
          <w:rFonts w:asciiTheme="majorHAnsi" w:hAnsiTheme="majorHAnsi"/>
          <w:sz w:val="20"/>
          <w:szCs w:val="20"/>
        </w:rPr>
        <w:t>реєстрації</w:t>
      </w:r>
      <w:r w:rsidRPr="000977F7">
        <w:rPr>
          <w:rFonts w:asciiTheme="majorHAnsi" w:hAnsiTheme="majorHAnsi"/>
          <w:spacing w:val="28"/>
          <w:sz w:val="20"/>
          <w:szCs w:val="20"/>
        </w:rPr>
        <w:t xml:space="preserve"> </w:t>
      </w:r>
      <w:r w:rsidRPr="000977F7">
        <w:rPr>
          <w:rFonts w:asciiTheme="majorHAnsi" w:hAnsiTheme="majorHAnsi"/>
          <w:sz w:val="20"/>
          <w:szCs w:val="20"/>
        </w:rPr>
        <w:t>всіх</w:t>
      </w:r>
      <w:r w:rsidRPr="000977F7">
        <w:rPr>
          <w:rFonts w:asciiTheme="majorHAnsi" w:hAnsiTheme="majorHAnsi"/>
          <w:spacing w:val="26"/>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9"/>
          <w:sz w:val="20"/>
          <w:szCs w:val="20"/>
        </w:rPr>
        <w:t xml:space="preserve"> </w:t>
      </w:r>
      <w:r w:rsidRPr="000977F7">
        <w:rPr>
          <w:rFonts w:asciiTheme="majorHAnsi" w:hAnsiTheme="majorHAnsi"/>
          <w:sz w:val="20"/>
          <w:szCs w:val="20"/>
        </w:rPr>
        <w:t>які</w:t>
      </w:r>
      <w:r w:rsidRPr="000977F7">
        <w:rPr>
          <w:rFonts w:asciiTheme="majorHAnsi" w:hAnsiTheme="majorHAnsi"/>
          <w:spacing w:val="11"/>
          <w:sz w:val="20"/>
          <w:szCs w:val="20"/>
        </w:rPr>
        <w:t xml:space="preserve"> </w:t>
      </w:r>
      <w:r w:rsidRPr="000977F7">
        <w:rPr>
          <w:rFonts w:asciiTheme="majorHAnsi" w:hAnsiTheme="majorHAnsi"/>
          <w:sz w:val="20"/>
          <w:szCs w:val="20"/>
        </w:rPr>
        <w:t>надійшли</w:t>
      </w:r>
      <w:r w:rsidRPr="000977F7">
        <w:rPr>
          <w:rFonts w:asciiTheme="majorHAnsi" w:hAnsiTheme="majorHAnsi"/>
          <w:spacing w:val="13"/>
          <w:sz w:val="20"/>
          <w:szCs w:val="20"/>
        </w:rPr>
        <w:t xml:space="preserve"> </w:t>
      </w:r>
      <w:r w:rsidRPr="000977F7">
        <w:rPr>
          <w:rFonts w:asciiTheme="majorHAnsi" w:hAnsiTheme="majorHAnsi"/>
          <w:sz w:val="20"/>
          <w:szCs w:val="20"/>
        </w:rPr>
        <w:t>у</w:t>
      </w:r>
      <w:r w:rsidRPr="000977F7">
        <w:rPr>
          <w:rFonts w:asciiTheme="majorHAnsi" w:hAnsiTheme="majorHAnsi"/>
          <w:spacing w:val="8"/>
          <w:sz w:val="20"/>
          <w:szCs w:val="20"/>
        </w:rPr>
        <w:t xml:space="preserve"> </w:t>
      </w:r>
      <w:r w:rsidRPr="000977F7">
        <w:rPr>
          <w:rFonts w:asciiTheme="majorHAnsi" w:hAnsiTheme="majorHAnsi"/>
          <w:sz w:val="20"/>
          <w:szCs w:val="20"/>
        </w:rPr>
        <w:t>службу</w:t>
      </w:r>
      <w:r w:rsidRPr="000977F7">
        <w:rPr>
          <w:rFonts w:asciiTheme="majorHAnsi" w:hAnsiTheme="majorHAnsi"/>
          <w:spacing w:val="8"/>
          <w:sz w:val="20"/>
          <w:szCs w:val="20"/>
        </w:rPr>
        <w:t xml:space="preserve"> </w:t>
      </w:r>
      <w:r w:rsidRPr="000977F7">
        <w:rPr>
          <w:rFonts w:asciiTheme="majorHAnsi" w:hAnsiTheme="majorHAnsi"/>
          <w:sz w:val="20"/>
          <w:szCs w:val="20"/>
        </w:rPr>
        <w:t>технічної</w:t>
      </w:r>
      <w:r w:rsidRPr="000977F7">
        <w:rPr>
          <w:rFonts w:asciiTheme="majorHAnsi" w:hAnsiTheme="majorHAnsi"/>
          <w:spacing w:val="11"/>
          <w:sz w:val="20"/>
          <w:szCs w:val="20"/>
        </w:rPr>
        <w:t xml:space="preserve"> </w:t>
      </w:r>
      <w:r w:rsidRPr="000977F7">
        <w:rPr>
          <w:rFonts w:asciiTheme="majorHAnsi" w:hAnsiTheme="majorHAnsi"/>
          <w:sz w:val="20"/>
          <w:szCs w:val="20"/>
        </w:rPr>
        <w:t>документації</w:t>
      </w:r>
      <w:r w:rsidRPr="000977F7">
        <w:rPr>
          <w:rFonts w:asciiTheme="majorHAnsi" w:hAnsiTheme="majorHAnsi"/>
          <w:spacing w:val="-47"/>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16"/>
          <w:sz w:val="20"/>
          <w:szCs w:val="20"/>
        </w:rPr>
        <w:t xml:space="preserve"> </w:t>
      </w:r>
      <w:r w:rsidRPr="000977F7">
        <w:rPr>
          <w:rFonts w:asciiTheme="majorHAnsi" w:hAnsiTheme="majorHAnsi"/>
          <w:sz w:val="20"/>
          <w:szCs w:val="20"/>
        </w:rPr>
        <w:t>–</w:t>
      </w:r>
      <w:r w:rsidRPr="000977F7">
        <w:rPr>
          <w:rFonts w:asciiTheme="majorHAnsi" w:hAnsiTheme="majorHAnsi"/>
          <w:spacing w:val="16"/>
          <w:sz w:val="20"/>
          <w:szCs w:val="20"/>
        </w:rPr>
        <w:t xml:space="preserve"> </w:t>
      </w:r>
      <w:r w:rsidRPr="000977F7">
        <w:rPr>
          <w:rFonts w:asciiTheme="majorHAnsi" w:hAnsiTheme="majorHAnsi"/>
          <w:sz w:val="20"/>
          <w:szCs w:val="20"/>
        </w:rPr>
        <w:t>власника</w:t>
      </w:r>
      <w:r w:rsidRPr="000977F7">
        <w:rPr>
          <w:rFonts w:asciiTheme="majorHAnsi" w:hAnsiTheme="majorHAnsi"/>
          <w:spacing w:val="15"/>
          <w:sz w:val="20"/>
          <w:szCs w:val="20"/>
        </w:rPr>
        <w:t xml:space="preserve"> </w:t>
      </w:r>
      <w:r w:rsidRPr="000977F7">
        <w:rPr>
          <w:rFonts w:asciiTheme="majorHAnsi" w:hAnsiTheme="majorHAnsi"/>
          <w:sz w:val="20"/>
          <w:szCs w:val="20"/>
        </w:rPr>
        <w:t>правднику</w:t>
      </w:r>
      <w:r w:rsidRPr="000977F7">
        <w:rPr>
          <w:rFonts w:asciiTheme="majorHAnsi" w:hAnsiTheme="majorHAnsi"/>
          <w:spacing w:val="15"/>
          <w:sz w:val="20"/>
          <w:szCs w:val="20"/>
        </w:rPr>
        <w:t xml:space="preserve"> </w:t>
      </w:r>
      <w:r w:rsidRPr="000977F7">
        <w:rPr>
          <w:rFonts w:asciiTheme="majorHAnsi" w:hAnsiTheme="majorHAnsi"/>
          <w:sz w:val="20"/>
          <w:szCs w:val="20"/>
        </w:rPr>
        <w:t>повідомлень</w:t>
      </w:r>
      <w:r w:rsidRPr="000977F7">
        <w:rPr>
          <w:rFonts w:asciiTheme="majorHAnsi" w:hAnsiTheme="majorHAnsi"/>
          <w:spacing w:val="15"/>
          <w:sz w:val="20"/>
          <w:szCs w:val="20"/>
        </w:rPr>
        <w:t xml:space="preserve"> </w:t>
      </w:r>
      <w:r w:rsidRPr="000977F7">
        <w:rPr>
          <w:rFonts w:asciiTheme="majorHAnsi" w:hAnsiTheme="majorHAnsi"/>
          <w:sz w:val="20"/>
          <w:szCs w:val="20"/>
        </w:rPr>
        <w:t>(попередніх</w:t>
      </w:r>
      <w:r w:rsidRPr="000977F7">
        <w:rPr>
          <w:rFonts w:asciiTheme="majorHAnsi" w:hAnsiTheme="majorHAnsi"/>
          <w:spacing w:val="3"/>
          <w:sz w:val="20"/>
          <w:szCs w:val="20"/>
        </w:rPr>
        <w:t xml:space="preserve"> </w:t>
      </w:r>
      <w:r w:rsidRPr="000977F7">
        <w:rPr>
          <w:rFonts w:asciiTheme="majorHAnsi" w:hAnsiTheme="majorHAnsi"/>
          <w:sz w:val="20"/>
          <w:szCs w:val="20"/>
        </w:rPr>
        <w:t>повідомлень,</w:t>
      </w:r>
      <w:r w:rsidRPr="000977F7">
        <w:rPr>
          <w:rFonts w:asciiTheme="majorHAnsi" w:hAnsiTheme="majorHAnsi"/>
          <w:spacing w:val="5"/>
          <w:sz w:val="20"/>
          <w:szCs w:val="20"/>
        </w:rPr>
        <w:t xml:space="preserve"> </w:t>
      </w:r>
      <w:r w:rsidRPr="000977F7">
        <w:rPr>
          <w:rFonts w:asciiTheme="majorHAnsi" w:hAnsiTheme="majorHAnsi"/>
          <w:sz w:val="20"/>
          <w:szCs w:val="20"/>
        </w:rPr>
        <w:t>пропозицій)</w:t>
      </w:r>
      <w:r w:rsidRPr="000977F7">
        <w:rPr>
          <w:rFonts w:asciiTheme="majorHAnsi" w:hAnsiTheme="majorHAnsi"/>
          <w:spacing w:val="5"/>
          <w:sz w:val="20"/>
          <w:szCs w:val="20"/>
        </w:rPr>
        <w:t xml:space="preserve"> </w:t>
      </w:r>
      <w:r w:rsidRPr="000977F7">
        <w:rPr>
          <w:rFonts w:asciiTheme="majorHAnsi" w:hAnsiTheme="majorHAnsi"/>
          <w:sz w:val="20"/>
          <w:szCs w:val="20"/>
        </w:rPr>
        <w:t>про</w:t>
      </w:r>
      <w:r w:rsidRPr="000977F7">
        <w:rPr>
          <w:rFonts w:asciiTheme="majorHAnsi" w:hAnsiTheme="majorHAnsi"/>
          <w:spacing w:val="3"/>
          <w:sz w:val="20"/>
          <w:szCs w:val="20"/>
        </w:rPr>
        <w:t xml:space="preserve"> </w:t>
      </w:r>
      <w:r w:rsidRPr="000977F7">
        <w:rPr>
          <w:rFonts w:asciiTheme="majorHAnsi" w:hAnsiTheme="majorHAnsi"/>
          <w:sz w:val="20"/>
          <w:szCs w:val="20"/>
        </w:rPr>
        <w:t>зміни</w:t>
      </w:r>
      <w:r w:rsidRPr="000977F7">
        <w:rPr>
          <w:rFonts w:asciiTheme="majorHAnsi" w:hAnsiTheme="majorHAnsi"/>
          <w:spacing w:val="3"/>
          <w:sz w:val="20"/>
          <w:szCs w:val="20"/>
        </w:rPr>
        <w:t xml:space="preserve"> </w:t>
      </w:r>
      <w:r w:rsidRPr="000977F7">
        <w:rPr>
          <w:rFonts w:asciiTheme="majorHAnsi" w:hAnsiTheme="majorHAnsi"/>
          <w:sz w:val="20"/>
          <w:szCs w:val="20"/>
        </w:rPr>
        <w:t>конструкторських документів цього та інших підприємств</w:t>
      </w:r>
    </w:p>
    <w:p w14:paraId="555DB3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6B73C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Повідомлення</w:t>
      </w:r>
      <w:r w:rsidRPr="000977F7">
        <w:rPr>
          <w:rFonts w:asciiTheme="majorHAnsi" w:hAnsiTheme="majorHAnsi"/>
          <w:spacing w:val="5"/>
          <w:sz w:val="20"/>
          <w:szCs w:val="20"/>
        </w:rPr>
        <w:t xml:space="preserve"> </w:t>
      </w:r>
      <w:r w:rsidRPr="000977F7">
        <w:rPr>
          <w:rFonts w:asciiTheme="majorHAnsi" w:hAnsiTheme="majorHAnsi"/>
          <w:sz w:val="20"/>
          <w:szCs w:val="20"/>
        </w:rPr>
        <w:t>і</w:t>
      </w:r>
      <w:r w:rsidRPr="000977F7">
        <w:rPr>
          <w:rFonts w:asciiTheme="majorHAnsi" w:hAnsiTheme="majorHAnsi"/>
          <w:spacing w:val="7"/>
          <w:sz w:val="20"/>
          <w:szCs w:val="20"/>
        </w:rPr>
        <w:t xml:space="preserve"> </w:t>
      </w:r>
      <w:r w:rsidRPr="000977F7">
        <w:rPr>
          <w:rFonts w:asciiTheme="majorHAnsi" w:hAnsiTheme="majorHAnsi"/>
          <w:sz w:val="20"/>
          <w:szCs w:val="20"/>
        </w:rPr>
        <w:t>попередні</w:t>
      </w:r>
      <w:r w:rsidRPr="000977F7">
        <w:rPr>
          <w:rFonts w:asciiTheme="majorHAnsi" w:hAnsiTheme="majorHAnsi"/>
          <w:spacing w:val="5"/>
          <w:sz w:val="20"/>
          <w:szCs w:val="20"/>
        </w:rPr>
        <w:t xml:space="preserve"> </w:t>
      </w:r>
      <w:r w:rsidRPr="000977F7">
        <w:rPr>
          <w:rFonts w:asciiTheme="majorHAnsi" w:hAnsiTheme="majorHAnsi"/>
          <w:sz w:val="20"/>
          <w:szCs w:val="20"/>
        </w:rPr>
        <w:t>повідомлення</w:t>
      </w:r>
      <w:r w:rsidRPr="000977F7">
        <w:rPr>
          <w:rFonts w:asciiTheme="majorHAnsi" w:hAnsiTheme="majorHAnsi"/>
          <w:spacing w:val="5"/>
          <w:sz w:val="20"/>
          <w:szCs w:val="20"/>
        </w:rPr>
        <w:t xml:space="preserve"> </w:t>
      </w:r>
      <w:r w:rsidRPr="000977F7">
        <w:rPr>
          <w:rFonts w:asciiTheme="majorHAnsi" w:hAnsiTheme="majorHAnsi"/>
          <w:sz w:val="20"/>
          <w:szCs w:val="20"/>
        </w:rPr>
        <w:t>реєструють</w:t>
      </w:r>
      <w:r w:rsidRPr="000977F7">
        <w:rPr>
          <w:rFonts w:asciiTheme="majorHAnsi" w:hAnsiTheme="majorHAnsi"/>
          <w:spacing w:val="6"/>
          <w:sz w:val="20"/>
          <w:szCs w:val="20"/>
        </w:rPr>
        <w:t xml:space="preserve"> </w:t>
      </w:r>
      <w:r w:rsidRPr="000977F7">
        <w:rPr>
          <w:rFonts w:asciiTheme="majorHAnsi" w:hAnsiTheme="majorHAnsi"/>
          <w:sz w:val="20"/>
          <w:szCs w:val="20"/>
        </w:rPr>
        <w:t>в</w:t>
      </w:r>
      <w:r w:rsidRPr="000977F7">
        <w:rPr>
          <w:rFonts w:asciiTheme="majorHAnsi" w:hAnsiTheme="majorHAnsi"/>
          <w:spacing w:val="-47"/>
          <w:sz w:val="20"/>
          <w:szCs w:val="20"/>
        </w:rPr>
        <w:t xml:space="preserve"> </w:t>
      </w:r>
      <w:r w:rsidRPr="000977F7">
        <w:rPr>
          <w:rFonts w:asciiTheme="majorHAnsi" w:hAnsiTheme="majorHAnsi"/>
          <w:sz w:val="20"/>
          <w:szCs w:val="20"/>
        </w:rPr>
        <w:t>окремих</w:t>
      </w:r>
      <w:r w:rsidRPr="000977F7">
        <w:rPr>
          <w:rFonts w:asciiTheme="majorHAnsi" w:hAnsiTheme="majorHAnsi"/>
          <w:spacing w:val="-2"/>
          <w:sz w:val="20"/>
          <w:szCs w:val="20"/>
        </w:rPr>
        <w:t xml:space="preserve"> </w:t>
      </w:r>
      <w:r w:rsidRPr="000977F7">
        <w:rPr>
          <w:rFonts w:asciiTheme="majorHAnsi" w:hAnsiTheme="majorHAnsi"/>
          <w:sz w:val="20"/>
          <w:szCs w:val="20"/>
        </w:rPr>
        <w:t>книгах</w:t>
      </w:r>
    </w:p>
    <w:p w14:paraId="3E8B423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7F780B9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КОВЗНЕ</w:t>
      </w:r>
      <w:r w:rsidRPr="000977F7">
        <w:rPr>
          <w:color w:val="auto"/>
          <w:spacing w:val="-4"/>
          <w:sz w:val="20"/>
          <w:szCs w:val="20"/>
        </w:rPr>
        <w:t xml:space="preserve"> </w:t>
      </w:r>
      <w:r w:rsidRPr="000977F7">
        <w:rPr>
          <w:color w:val="auto"/>
          <w:sz w:val="20"/>
          <w:szCs w:val="20"/>
        </w:rPr>
        <w:t>РЕЗЕРВУВАННЯ</w:t>
      </w:r>
      <w:r w:rsidRPr="000977F7">
        <w:rPr>
          <w:color w:val="auto"/>
          <w:spacing w:val="-1"/>
          <w:sz w:val="20"/>
          <w:szCs w:val="20"/>
        </w:rPr>
        <w:t xml:space="preserve"> </w:t>
      </w:r>
      <w:r w:rsidRPr="000977F7">
        <w:rPr>
          <w:color w:val="auto"/>
          <w:sz w:val="20"/>
          <w:szCs w:val="20"/>
        </w:rPr>
        <w:t>–</w:t>
      </w:r>
    </w:p>
    <w:p w14:paraId="3B61E1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SLIDING</w:t>
      </w:r>
      <w:r w:rsidRPr="000977F7">
        <w:rPr>
          <w:rFonts w:asciiTheme="majorHAnsi" w:hAnsiTheme="majorHAnsi"/>
          <w:spacing w:val="-1"/>
          <w:sz w:val="20"/>
          <w:szCs w:val="20"/>
        </w:rPr>
        <w:t xml:space="preserve"> </w:t>
      </w:r>
      <w:r w:rsidRPr="000977F7">
        <w:rPr>
          <w:rFonts w:asciiTheme="majorHAnsi" w:hAnsiTheme="majorHAnsi"/>
          <w:sz w:val="20"/>
          <w:szCs w:val="20"/>
        </w:rPr>
        <w:t>REDUNDANCY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51C3FE8"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Заміщувальне</w:t>
      </w:r>
      <w:r w:rsidRPr="000977F7">
        <w:rPr>
          <w:rFonts w:asciiTheme="majorHAnsi" w:hAnsiTheme="majorHAnsi"/>
          <w:spacing w:val="26"/>
          <w:sz w:val="20"/>
          <w:szCs w:val="20"/>
        </w:rPr>
        <w:t xml:space="preserve"> </w:t>
      </w:r>
      <w:r w:rsidRPr="000977F7">
        <w:rPr>
          <w:rFonts w:asciiTheme="majorHAnsi" w:hAnsiTheme="majorHAnsi"/>
          <w:sz w:val="20"/>
          <w:szCs w:val="20"/>
        </w:rPr>
        <w:t>резервування,</w:t>
      </w:r>
      <w:r w:rsidRPr="000977F7">
        <w:rPr>
          <w:rFonts w:asciiTheme="majorHAnsi" w:hAnsiTheme="majorHAnsi"/>
          <w:spacing w:val="26"/>
          <w:sz w:val="20"/>
          <w:szCs w:val="20"/>
        </w:rPr>
        <w:t xml:space="preserve"> </w:t>
      </w:r>
      <w:r w:rsidRPr="000977F7">
        <w:rPr>
          <w:rFonts w:asciiTheme="majorHAnsi" w:hAnsiTheme="majorHAnsi"/>
          <w:sz w:val="20"/>
          <w:szCs w:val="20"/>
        </w:rPr>
        <w:t>в</w:t>
      </w:r>
      <w:r w:rsidRPr="000977F7">
        <w:rPr>
          <w:rFonts w:asciiTheme="majorHAnsi" w:hAnsiTheme="majorHAnsi"/>
          <w:spacing w:val="26"/>
          <w:sz w:val="20"/>
          <w:szCs w:val="20"/>
        </w:rPr>
        <w:t xml:space="preserve"> </w:t>
      </w:r>
      <w:r w:rsidRPr="000977F7">
        <w:rPr>
          <w:rFonts w:asciiTheme="majorHAnsi" w:hAnsiTheme="majorHAnsi"/>
          <w:sz w:val="20"/>
          <w:szCs w:val="20"/>
        </w:rPr>
        <w:t>якому</w:t>
      </w:r>
      <w:r w:rsidRPr="000977F7">
        <w:rPr>
          <w:rFonts w:asciiTheme="majorHAnsi" w:hAnsiTheme="majorHAnsi"/>
          <w:spacing w:val="23"/>
          <w:sz w:val="20"/>
          <w:szCs w:val="20"/>
        </w:rPr>
        <w:t xml:space="preserve"> </w:t>
      </w:r>
      <w:r w:rsidRPr="000977F7">
        <w:rPr>
          <w:rFonts w:asciiTheme="majorHAnsi" w:hAnsiTheme="majorHAnsi"/>
          <w:sz w:val="20"/>
          <w:szCs w:val="20"/>
        </w:rPr>
        <w:t>група</w:t>
      </w:r>
      <w:r w:rsidRPr="000977F7">
        <w:rPr>
          <w:rFonts w:asciiTheme="majorHAnsi" w:hAnsiTheme="majorHAnsi"/>
          <w:spacing w:val="26"/>
          <w:sz w:val="20"/>
          <w:szCs w:val="20"/>
        </w:rPr>
        <w:t xml:space="preserve"> </w:t>
      </w:r>
      <w:r w:rsidRPr="000977F7">
        <w:rPr>
          <w:rFonts w:asciiTheme="majorHAnsi" w:hAnsiTheme="majorHAnsi"/>
          <w:sz w:val="20"/>
          <w:szCs w:val="20"/>
        </w:rPr>
        <w:t>основних</w:t>
      </w:r>
      <w:r w:rsidRPr="000977F7">
        <w:rPr>
          <w:rFonts w:asciiTheme="majorHAnsi" w:hAnsiTheme="majorHAnsi"/>
          <w:spacing w:val="-47"/>
          <w:sz w:val="20"/>
          <w:szCs w:val="20"/>
        </w:rPr>
        <w:t xml:space="preserve"> </w:t>
      </w:r>
      <w:r w:rsidRPr="000977F7">
        <w:rPr>
          <w:rFonts w:asciiTheme="majorHAnsi" w:hAnsiTheme="majorHAnsi"/>
          <w:sz w:val="20"/>
          <w:szCs w:val="20"/>
        </w:rPr>
        <w:t>елементів</w:t>
      </w:r>
      <w:r w:rsidRPr="000977F7">
        <w:rPr>
          <w:rFonts w:asciiTheme="majorHAnsi" w:hAnsiTheme="majorHAnsi"/>
          <w:spacing w:val="32"/>
          <w:sz w:val="20"/>
          <w:szCs w:val="20"/>
        </w:rPr>
        <w:t xml:space="preserve"> </w:t>
      </w:r>
      <w:r w:rsidRPr="000977F7">
        <w:rPr>
          <w:rFonts w:asciiTheme="majorHAnsi" w:hAnsiTheme="majorHAnsi"/>
          <w:sz w:val="20"/>
          <w:szCs w:val="20"/>
        </w:rPr>
        <w:t>резервується</w:t>
      </w:r>
      <w:r w:rsidRPr="000977F7">
        <w:rPr>
          <w:rFonts w:asciiTheme="majorHAnsi" w:hAnsiTheme="majorHAnsi"/>
          <w:spacing w:val="32"/>
          <w:sz w:val="20"/>
          <w:szCs w:val="20"/>
        </w:rPr>
        <w:t xml:space="preserve"> </w:t>
      </w:r>
      <w:r w:rsidRPr="000977F7">
        <w:rPr>
          <w:rFonts w:asciiTheme="majorHAnsi" w:hAnsiTheme="majorHAnsi"/>
          <w:sz w:val="20"/>
          <w:szCs w:val="20"/>
        </w:rPr>
        <w:t>одним</w:t>
      </w:r>
      <w:r w:rsidRPr="000977F7">
        <w:rPr>
          <w:rFonts w:asciiTheme="majorHAnsi" w:hAnsiTheme="majorHAnsi"/>
          <w:spacing w:val="35"/>
          <w:sz w:val="20"/>
          <w:szCs w:val="20"/>
        </w:rPr>
        <w:t xml:space="preserve"> </w:t>
      </w:r>
      <w:r w:rsidRPr="000977F7">
        <w:rPr>
          <w:rFonts w:asciiTheme="majorHAnsi" w:hAnsiTheme="majorHAnsi"/>
          <w:sz w:val="20"/>
          <w:szCs w:val="20"/>
        </w:rPr>
        <w:t>чи</w:t>
      </w:r>
      <w:r w:rsidRPr="000977F7">
        <w:rPr>
          <w:rFonts w:asciiTheme="majorHAnsi" w:hAnsiTheme="majorHAnsi"/>
          <w:spacing w:val="32"/>
          <w:sz w:val="20"/>
          <w:szCs w:val="20"/>
        </w:rPr>
        <w:t xml:space="preserve"> </w:t>
      </w:r>
      <w:r w:rsidRPr="000977F7">
        <w:rPr>
          <w:rFonts w:asciiTheme="majorHAnsi" w:hAnsiTheme="majorHAnsi"/>
          <w:sz w:val="20"/>
          <w:szCs w:val="20"/>
        </w:rPr>
        <w:t>декількома</w:t>
      </w:r>
      <w:r w:rsidRPr="000977F7">
        <w:rPr>
          <w:rFonts w:asciiTheme="majorHAnsi" w:hAnsiTheme="majorHAnsi"/>
          <w:spacing w:val="33"/>
          <w:sz w:val="20"/>
          <w:szCs w:val="20"/>
        </w:rPr>
        <w:t xml:space="preserve"> </w:t>
      </w:r>
      <w:r w:rsidRPr="000977F7">
        <w:rPr>
          <w:rFonts w:asciiTheme="majorHAnsi" w:hAnsiTheme="majorHAnsi"/>
          <w:sz w:val="20"/>
          <w:szCs w:val="20"/>
        </w:rPr>
        <w:t>резервними</w:t>
      </w:r>
      <w:r w:rsidRPr="000977F7">
        <w:rPr>
          <w:rFonts w:asciiTheme="majorHAnsi" w:hAnsiTheme="majorHAnsi"/>
          <w:spacing w:val="-1"/>
          <w:sz w:val="20"/>
          <w:szCs w:val="20"/>
        </w:rPr>
        <w:t xml:space="preserve"> </w:t>
      </w:r>
      <w:r w:rsidRPr="000977F7">
        <w:rPr>
          <w:rFonts w:asciiTheme="majorHAnsi" w:hAnsiTheme="majorHAnsi"/>
          <w:sz w:val="20"/>
          <w:szCs w:val="20"/>
        </w:rPr>
        <w:t>елементами, кожний з</w:t>
      </w:r>
      <w:r w:rsidRPr="000977F7">
        <w:rPr>
          <w:rFonts w:asciiTheme="majorHAnsi" w:hAnsiTheme="majorHAnsi"/>
          <w:spacing w:val="3"/>
          <w:sz w:val="20"/>
          <w:szCs w:val="20"/>
        </w:rPr>
        <w:t xml:space="preserve"> </w:t>
      </w:r>
      <w:r w:rsidRPr="000977F7">
        <w:rPr>
          <w:rFonts w:asciiTheme="majorHAnsi" w:hAnsiTheme="majorHAnsi"/>
          <w:sz w:val="20"/>
          <w:szCs w:val="20"/>
        </w:rPr>
        <w:t>яких</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2"/>
          <w:sz w:val="20"/>
          <w:szCs w:val="20"/>
        </w:rPr>
        <w:t xml:space="preserve"> </w:t>
      </w:r>
      <w:r w:rsidRPr="000977F7">
        <w:rPr>
          <w:rFonts w:asciiTheme="majorHAnsi" w:hAnsiTheme="majorHAnsi"/>
          <w:sz w:val="20"/>
          <w:szCs w:val="20"/>
        </w:rPr>
        <w:t>замінити</w:t>
      </w:r>
      <w:r w:rsidRPr="000977F7">
        <w:rPr>
          <w:rFonts w:asciiTheme="majorHAnsi" w:hAnsiTheme="majorHAnsi"/>
          <w:spacing w:val="-1"/>
          <w:sz w:val="20"/>
          <w:szCs w:val="20"/>
        </w:rPr>
        <w:t xml:space="preserve"> </w:t>
      </w:r>
      <w:r w:rsidRPr="000977F7">
        <w:rPr>
          <w:rFonts w:asciiTheme="majorHAnsi" w:hAnsiTheme="majorHAnsi"/>
          <w:sz w:val="20"/>
          <w:szCs w:val="20"/>
        </w:rPr>
        <w:t>будь-який з елементів цієї групи у випадку його відмови</w:t>
      </w:r>
    </w:p>
    <w:p w14:paraId="17CC83B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BE6EF69" w14:textId="77777777" w:rsidR="0097612F" w:rsidRPr="000977F7" w:rsidRDefault="0097612F" w:rsidP="000977F7">
      <w:pPr>
        <w:pStyle w:val="7"/>
        <w:tabs>
          <w:tab w:val="left" w:pos="284"/>
          <w:tab w:val="left" w:pos="2056"/>
          <w:tab w:val="left" w:pos="3332"/>
          <w:tab w:val="left" w:pos="4603"/>
        </w:tabs>
        <w:spacing w:before="0" w:line="240" w:lineRule="auto"/>
        <w:ind w:left="170"/>
        <w:mirrorIndents/>
        <w:jc w:val="both"/>
        <w:rPr>
          <w:color w:val="auto"/>
          <w:sz w:val="20"/>
          <w:szCs w:val="20"/>
        </w:rPr>
      </w:pPr>
      <w:r w:rsidRPr="000977F7">
        <w:rPr>
          <w:color w:val="auto"/>
          <w:sz w:val="20"/>
          <w:szCs w:val="20"/>
        </w:rPr>
        <w:t xml:space="preserve">КОГЕРЕНТНА ОДИНИЦЯ СИСТЕМИ </w:t>
      </w:r>
      <w:r w:rsidRPr="000977F7">
        <w:rPr>
          <w:color w:val="auto"/>
          <w:spacing w:val="-1"/>
          <w:sz w:val="20"/>
          <w:szCs w:val="20"/>
        </w:rPr>
        <w:t>ОДИ</w:t>
      </w:r>
      <w:r w:rsidRPr="000977F7">
        <w:rPr>
          <w:color w:val="auto"/>
          <w:sz w:val="20"/>
          <w:szCs w:val="20"/>
        </w:rPr>
        <w:t>НИЦЬ –</w:t>
      </w:r>
    </w:p>
    <w:p w14:paraId="057B4B6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COHERENT</w:t>
      </w:r>
      <w:r w:rsidRPr="004D2D14">
        <w:rPr>
          <w:rFonts w:asciiTheme="majorHAnsi" w:hAnsiTheme="majorHAnsi"/>
          <w:sz w:val="20"/>
          <w:szCs w:val="20"/>
          <w:lang w:val="uk-UA"/>
        </w:rPr>
        <w:t xml:space="preserve"> </w:t>
      </w:r>
      <w:r w:rsidRPr="000977F7">
        <w:rPr>
          <w:rFonts w:asciiTheme="majorHAnsi" w:hAnsiTheme="majorHAnsi"/>
          <w:sz w:val="20"/>
          <w:szCs w:val="20"/>
        </w:rPr>
        <w:t>UNIT</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6607F04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Похідна одиниця, пов’язана з іншими одиницями системи рівнянням, в якому числовий коефіцієнт дорівнює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одиниці</w:t>
      </w:r>
    </w:p>
    <w:p w14:paraId="599AA3E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2681</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84</w:t>
      </w:r>
    </w:p>
    <w:p w14:paraId="1C8F686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КОГЕРЕНТНА</w:t>
      </w:r>
      <w:r w:rsidRPr="000977F7">
        <w:rPr>
          <w:color w:val="auto"/>
          <w:spacing w:val="-6"/>
          <w:sz w:val="20"/>
          <w:szCs w:val="20"/>
        </w:rPr>
        <w:t xml:space="preserve"> </w:t>
      </w:r>
      <w:r w:rsidRPr="000977F7">
        <w:rPr>
          <w:color w:val="auto"/>
          <w:sz w:val="20"/>
          <w:szCs w:val="20"/>
        </w:rPr>
        <w:t>СИСТЕМА</w:t>
      </w:r>
      <w:r w:rsidRPr="000977F7">
        <w:rPr>
          <w:color w:val="auto"/>
          <w:spacing w:val="-6"/>
          <w:sz w:val="20"/>
          <w:szCs w:val="20"/>
        </w:rPr>
        <w:t xml:space="preserve"> </w:t>
      </w:r>
      <w:r w:rsidRPr="000977F7">
        <w:rPr>
          <w:color w:val="auto"/>
          <w:sz w:val="20"/>
          <w:szCs w:val="20"/>
        </w:rPr>
        <w:t>ОДИНИЦЬ</w:t>
      </w:r>
      <w:r w:rsidRPr="000977F7">
        <w:rPr>
          <w:color w:val="auto"/>
          <w:spacing w:val="-2"/>
          <w:sz w:val="20"/>
          <w:szCs w:val="20"/>
        </w:rPr>
        <w:t xml:space="preserve"> </w:t>
      </w:r>
      <w:r w:rsidRPr="000977F7">
        <w:rPr>
          <w:color w:val="auto"/>
          <w:sz w:val="20"/>
          <w:szCs w:val="20"/>
        </w:rPr>
        <w:t>-</w:t>
      </w:r>
    </w:p>
    <w:p w14:paraId="44A619A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COHERENT</w:t>
      </w:r>
      <w:r w:rsidRPr="004D2D14">
        <w:rPr>
          <w:rFonts w:asciiTheme="majorHAnsi" w:hAnsiTheme="majorHAnsi"/>
          <w:spacing w:val="1"/>
          <w:sz w:val="20"/>
          <w:szCs w:val="20"/>
          <w:lang w:val="uk-UA"/>
        </w:rPr>
        <w:t xml:space="preserve"> </w:t>
      </w:r>
      <w:r w:rsidRPr="000977F7">
        <w:rPr>
          <w:rFonts w:asciiTheme="majorHAnsi" w:hAnsiTheme="majorHAnsi"/>
          <w:sz w:val="20"/>
          <w:szCs w:val="20"/>
        </w:rPr>
        <w:t>SYSTEM</w:t>
      </w:r>
      <w:r w:rsidRPr="004D2D14">
        <w:rPr>
          <w:rFonts w:asciiTheme="majorHAnsi" w:hAnsiTheme="majorHAnsi"/>
          <w:spacing w:val="-1"/>
          <w:sz w:val="20"/>
          <w:szCs w:val="20"/>
          <w:lang w:val="uk-UA"/>
        </w:rPr>
        <w:t xml:space="preserve"> </w:t>
      </w:r>
      <w:r w:rsidRPr="000977F7">
        <w:rPr>
          <w:rFonts w:asciiTheme="majorHAnsi" w:hAnsiTheme="majorHAnsi"/>
          <w:sz w:val="20"/>
          <w:szCs w:val="20"/>
        </w:rPr>
        <w:t>OF</w:t>
      </w:r>
      <w:r w:rsidRPr="004D2D14">
        <w:rPr>
          <w:rFonts w:asciiTheme="majorHAnsi" w:hAnsiTheme="majorHAnsi"/>
          <w:spacing w:val="-3"/>
          <w:sz w:val="20"/>
          <w:szCs w:val="20"/>
          <w:lang w:val="uk-UA"/>
        </w:rPr>
        <w:t xml:space="preserve"> </w:t>
      </w:r>
      <w:r w:rsidRPr="000977F7">
        <w:rPr>
          <w:rFonts w:asciiTheme="majorHAnsi" w:hAnsiTheme="majorHAnsi"/>
          <w:sz w:val="20"/>
          <w:szCs w:val="20"/>
        </w:rPr>
        <w:t>UNITS</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3333FA4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Система</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одиниць,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усі</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похідні</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одиниці</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якої</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когерентні</w:t>
      </w:r>
    </w:p>
    <w:p w14:paraId="6C148BD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B45BD73"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КОДЕКС ПОВЕДІНКИ, ЗОРІЄНТОВАНИЙ НА</w:t>
      </w:r>
      <w:r w:rsidRPr="000977F7">
        <w:rPr>
          <w:color w:val="auto"/>
          <w:spacing w:val="1"/>
          <w:sz w:val="20"/>
          <w:szCs w:val="20"/>
        </w:rPr>
        <w:t xml:space="preserve"> </w:t>
      </w:r>
      <w:r w:rsidRPr="000977F7">
        <w:rPr>
          <w:color w:val="auto"/>
          <w:sz w:val="20"/>
          <w:szCs w:val="20"/>
        </w:rPr>
        <w:t>ДОСЯГНЕННЯ ЗАДОВОЛЕНОСТІ ЗАМОВНИ</w:t>
      </w:r>
      <w:r w:rsidRPr="000977F7">
        <w:rPr>
          <w:color w:val="auto"/>
          <w:spacing w:val="-47"/>
          <w:sz w:val="20"/>
          <w:szCs w:val="20"/>
        </w:rPr>
        <w:t xml:space="preserve"> </w:t>
      </w:r>
      <w:r w:rsidRPr="000977F7">
        <w:rPr>
          <w:color w:val="auto"/>
          <w:sz w:val="20"/>
          <w:szCs w:val="20"/>
        </w:rPr>
        <w:t>КІВ</w:t>
      </w:r>
      <w:r w:rsidRPr="000977F7">
        <w:rPr>
          <w:color w:val="auto"/>
          <w:spacing w:val="1"/>
          <w:sz w:val="20"/>
          <w:szCs w:val="20"/>
        </w:rPr>
        <w:t xml:space="preserve"> </w:t>
      </w:r>
      <w:r w:rsidRPr="000977F7">
        <w:rPr>
          <w:b w:val="0"/>
          <w:color w:val="auto"/>
          <w:sz w:val="20"/>
          <w:szCs w:val="20"/>
        </w:rPr>
        <w:t>–</w:t>
      </w:r>
    </w:p>
    <w:p w14:paraId="6D81D8D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CUSTOMER</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SATISFACTION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CODE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CONDUCT</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296897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Зобов’язання, які бере на себе організація перед замовником стосовно своєї поведінки та які </w:t>
      </w:r>
      <w:r w:rsidRPr="000977F7">
        <w:rPr>
          <w:rFonts w:asciiTheme="majorHAnsi" w:hAnsiTheme="majorHAnsi"/>
          <w:sz w:val="20"/>
          <w:szCs w:val="20"/>
        </w:rPr>
        <w:t>спрямовані на</w:t>
      </w:r>
      <w:r w:rsidRPr="000977F7">
        <w:rPr>
          <w:rFonts w:asciiTheme="majorHAnsi" w:hAnsiTheme="majorHAnsi"/>
          <w:spacing w:val="-47"/>
          <w:sz w:val="20"/>
          <w:szCs w:val="20"/>
        </w:rPr>
        <w:t xml:space="preserve"> </w:t>
      </w:r>
      <w:r w:rsidRPr="000977F7">
        <w:rPr>
          <w:rFonts w:asciiTheme="majorHAnsi" w:hAnsiTheme="majorHAnsi"/>
          <w:sz w:val="20"/>
          <w:szCs w:val="20"/>
        </w:rPr>
        <w:t>підвищення рівня задоволеності замовників, а також</w:t>
      </w:r>
      <w:r w:rsidRPr="000977F7">
        <w:rPr>
          <w:rFonts w:asciiTheme="majorHAnsi" w:hAnsiTheme="majorHAnsi"/>
          <w:spacing w:val="1"/>
          <w:sz w:val="20"/>
          <w:szCs w:val="20"/>
        </w:rPr>
        <w:t xml:space="preserve"> </w:t>
      </w:r>
      <w:r w:rsidRPr="000977F7">
        <w:rPr>
          <w:rFonts w:asciiTheme="majorHAnsi" w:hAnsiTheme="majorHAnsi"/>
          <w:sz w:val="20"/>
          <w:szCs w:val="20"/>
        </w:rPr>
        <w:t>пов’язані</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3"/>
          <w:sz w:val="20"/>
          <w:szCs w:val="20"/>
        </w:rPr>
        <w:t xml:space="preserve"> </w:t>
      </w:r>
      <w:r w:rsidRPr="000977F7">
        <w:rPr>
          <w:rFonts w:asciiTheme="majorHAnsi" w:hAnsiTheme="majorHAnsi"/>
          <w:sz w:val="20"/>
          <w:szCs w:val="20"/>
        </w:rPr>
        <w:t>ними</w:t>
      </w:r>
      <w:r w:rsidRPr="000977F7">
        <w:rPr>
          <w:rFonts w:asciiTheme="majorHAnsi" w:hAnsiTheme="majorHAnsi"/>
          <w:spacing w:val="-2"/>
          <w:sz w:val="20"/>
          <w:szCs w:val="20"/>
        </w:rPr>
        <w:t xml:space="preserve"> </w:t>
      </w:r>
      <w:r w:rsidRPr="000977F7">
        <w:rPr>
          <w:rFonts w:asciiTheme="majorHAnsi" w:hAnsiTheme="majorHAnsi"/>
          <w:sz w:val="20"/>
          <w:szCs w:val="20"/>
        </w:rPr>
        <w:t>застороги.</w:t>
      </w:r>
    </w:p>
    <w:p w14:paraId="2C9782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Застороги, пов’язані з зобов’язаннями,</w:t>
      </w:r>
      <w:r w:rsidRPr="000977F7">
        <w:rPr>
          <w:rFonts w:asciiTheme="majorHAnsi" w:hAnsiTheme="majorHAnsi"/>
          <w:spacing w:val="1"/>
          <w:sz w:val="20"/>
          <w:szCs w:val="20"/>
        </w:rPr>
        <w:t xml:space="preserve"> </w:t>
      </w:r>
      <w:r w:rsidRPr="000977F7">
        <w:rPr>
          <w:rFonts w:asciiTheme="majorHAnsi" w:hAnsiTheme="majorHAnsi"/>
          <w:sz w:val="20"/>
          <w:szCs w:val="20"/>
        </w:rPr>
        <w:t>можуть бути стосовно цілей, умов, обмежень, контрактної інформації, а також методик розглядання скарг.</w:t>
      </w:r>
    </w:p>
    <w:p w14:paraId="4B7A556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pacing w:val="-47"/>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9000:2015</w:t>
      </w:r>
    </w:p>
    <w:p w14:paraId="2F2BACEF"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КОДЕКС</w:t>
      </w:r>
      <w:r w:rsidRPr="000977F7">
        <w:rPr>
          <w:rFonts w:asciiTheme="majorHAnsi" w:hAnsiTheme="majorHAnsi"/>
          <w:b/>
          <w:spacing w:val="-4"/>
          <w:sz w:val="20"/>
          <w:szCs w:val="20"/>
        </w:rPr>
        <w:t xml:space="preserve"> </w:t>
      </w:r>
      <w:r w:rsidRPr="000977F7">
        <w:rPr>
          <w:rFonts w:asciiTheme="majorHAnsi" w:hAnsiTheme="majorHAnsi"/>
          <w:b/>
          <w:sz w:val="20"/>
          <w:szCs w:val="20"/>
        </w:rPr>
        <w:t>УСТАЛЕНОЇ</w:t>
      </w:r>
      <w:r w:rsidRPr="000977F7">
        <w:rPr>
          <w:rFonts w:asciiTheme="majorHAnsi" w:hAnsiTheme="majorHAnsi"/>
          <w:b/>
          <w:spacing w:val="-5"/>
          <w:sz w:val="20"/>
          <w:szCs w:val="20"/>
        </w:rPr>
        <w:t xml:space="preserve"> </w:t>
      </w:r>
      <w:r w:rsidRPr="000977F7">
        <w:rPr>
          <w:rFonts w:asciiTheme="majorHAnsi" w:hAnsiTheme="majorHAnsi"/>
          <w:b/>
          <w:sz w:val="20"/>
          <w:szCs w:val="20"/>
        </w:rPr>
        <w:t>ПРАКТИКИ</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399616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Нормативний документ, що містить рекомендації щодо практик чи процедур проектування, 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монтажу, технічного обслуговування або експлуатації</w:t>
      </w:r>
      <w:r w:rsidRPr="000977F7">
        <w:rPr>
          <w:rFonts w:asciiTheme="majorHAnsi" w:hAnsiTheme="majorHAnsi"/>
          <w:spacing w:val="-47"/>
          <w:sz w:val="20"/>
          <w:szCs w:val="20"/>
        </w:rPr>
        <w:t xml:space="preserve"> </w:t>
      </w:r>
      <w:r w:rsidRPr="000977F7">
        <w:rPr>
          <w:rFonts w:asciiTheme="majorHAnsi" w:hAnsiTheme="majorHAnsi"/>
          <w:sz w:val="20"/>
          <w:szCs w:val="20"/>
        </w:rPr>
        <w:t>обладнання,</w:t>
      </w:r>
      <w:r w:rsidRPr="000977F7">
        <w:rPr>
          <w:rFonts w:asciiTheme="majorHAnsi" w:hAnsiTheme="majorHAnsi"/>
          <w:spacing w:val="-1"/>
          <w:sz w:val="20"/>
          <w:szCs w:val="20"/>
        </w:rPr>
        <w:t xml:space="preserve"> </w:t>
      </w:r>
      <w:r w:rsidRPr="000977F7">
        <w:rPr>
          <w:rFonts w:asciiTheme="majorHAnsi" w:hAnsiTheme="majorHAnsi"/>
          <w:sz w:val="20"/>
          <w:szCs w:val="20"/>
        </w:rPr>
        <w:t>конструкцій</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виробів.</w:t>
      </w:r>
    </w:p>
    <w:p w14:paraId="4DDAD60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П.</w:t>
      </w:r>
      <w:r w:rsidRPr="000977F7">
        <w:rPr>
          <w:rFonts w:asciiTheme="majorHAnsi" w:hAnsiTheme="majorHAnsi"/>
          <w:i/>
          <w:spacing w:val="-2"/>
          <w:sz w:val="20"/>
          <w:szCs w:val="20"/>
        </w:rPr>
        <w:t xml:space="preserve"> </w:t>
      </w:r>
      <w:r w:rsidRPr="000977F7">
        <w:rPr>
          <w:rFonts w:asciiTheme="majorHAnsi" w:hAnsiTheme="majorHAnsi"/>
          <w:i/>
          <w:sz w:val="20"/>
          <w:szCs w:val="20"/>
        </w:rPr>
        <w:t>4 ч.</w:t>
      </w:r>
      <w:r w:rsidRPr="000977F7">
        <w:rPr>
          <w:rFonts w:asciiTheme="majorHAnsi" w:hAnsiTheme="majorHAnsi"/>
          <w:i/>
          <w:spacing w:val="-3"/>
          <w:sz w:val="20"/>
          <w:szCs w:val="20"/>
        </w:rPr>
        <w:t xml:space="preserve"> </w:t>
      </w:r>
      <w:r w:rsidRPr="000977F7">
        <w:rPr>
          <w:rFonts w:asciiTheme="majorHAnsi" w:hAnsiTheme="majorHAnsi"/>
          <w:i/>
          <w:sz w:val="20"/>
          <w:szCs w:val="20"/>
        </w:rPr>
        <w:t>1 ст.</w:t>
      </w:r>
      <w:r w:rsidRPr="000977F7">
        <w:rPr>
          <w:rFonts w:asciiTheme="majorHAnsi" w:hAnsiTheme="majorHAnsi"/>
          <w:i/>
          <w:spacing w:val="-1"/>
          <w:sz w:val="20"/>
          <w:szCs w:val="20"/>
        </w:rPr>
        <w:t xml:space="preserve"> </w:t>
      </w:r>
      <w:r w:rsidRPr="000977F7">
        <w:rPr>
          <w:rFonts w:asciiTheme="majorHAnsi" w:hAnsiTheme="majorHAnsi"/>
          <w:i/>
          <w:sz w:val="20"/>
          <w:szCs w:val="20"/>
        </w:rPr>
        <w:t>1 закону</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1"/>
          <w:sz w:val="20"/>
          <w:szCs w:val="20"/>
        </w:rPr>
        <w:t xml:space="preserve"> "</w:t>
      </w:r>
      <w:r w:rsidRPr="000977F7">
        <w:rPr>
          <w:rFonts w:asciiTheme="majorHAnsi" w:hAnsiTheme="majorHAnsi"/>
          <w:i/>
          <w:sz w:val="20"/>
          <w:szCs w:val="20"/>
        </w:rPr>
        <w:t>Про</w:t>
      </w:r>
      <w:r w:rsidRPr="000977F7">
        <w:rPr>
          <w:rFonts w:asciiTheme="majorHAnsi" w:hAnsiTheme="majorHAnsi"/>
          <w:i/>
          <w:spacing w:val="-1"/>
          <w:sz w:val="20"/>
          <w:szCs w:val="20"/>
        </w:rPr>
        <w:t xml:space="preserve"> </w:t>
      </w:r>
      <w:r w:rsidRPr="000977F7">
        <w:rPr>
          <w:rFonts w:asciiTheme="majorHAnsi" w:hAnsiTheme="majorHAnsi"/>
          <w:i/>
          <w:sz w:val="20"/>
          <w:szCs w:val="20"/>
        </w:rPr>
        <w:t>стандартизацію"</w:t>
      </w:r>
    </w:p>
    <w:p w14:paraId="5F51008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102" w:name="_Hlk101072781"/>
      <w:r w:rsidRPr="000977F7">
        <w:rPr>
          <w:color w:val="auto"/>
          <w:sz w:val="20"/>
          <w:szCs w:val="20"/>
        </w:rPr>
        <w:t>КОДОВАНИЙ</w:t>
      </w:r>
      <w:r w:rsidRPr="000977F7">
        <w:rPr>
          <w:color w:val="auto"/>
          <w:spacing w:val="-3"/>
          <w:sz w:val="20"/>
          <w:szCs w:val="20"/>
        </w:rPr>
        <w:t xml:space="preserve"> </w:t>
      </w:r>
      <w:r w:rsidRPr="000977F7">
        <w:rPr>
          <w:color w:val="auto"/>
          <w:sz w:val="20"/>
          <w:szCs w:val="20"/>
        </w:rPr>
        <w:t>СИГНАЛ</w:t>
      </w:r>
      <w:r w:rsidRPr="000977F7">
        <w:rPr>
          <w:color w:val="auto"/>
          <w:spacing w:val="-1"/>
          <w:sz w:val="20"/>
          <w:szCs w:val="20"/>
        </w:rPr>
        <w:t xml:space="preserve"> </w:t>
      </w:r>
      <w:r w:rsidRPr="000977F7">
        <w:rPr>
          <w:color w:val="auto"/>
          <w:sz w:val="20"/>
          <w:szCs w:val="20"/>
        </w:rPr>
        <w:t>–</w:t>
      </w:r>
    </w:p>
    <w:p w14:paraId="418D90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CODED</w:t>
      </w:r>
      <w:r w:rsidRPr="000977F7">
        <w:rPr>
          <w:rFonts w:asciiTheme="majorHAnsi" w:hAnsiTheme="majorHAnsi"/>
          <w:spacing w:val="-2"/>
          <w:sz w:val="20"/>
          <w:szCs w:val="20"/>
        </w:rPr>
        <w:t xml:space="preserve"> </w:t>
      </w:r>
      <w:r w:rsidRPr="000977F7">
        <w:rPr>
          <w:rFonts w:asciiTheme="majorHAnsi" w:hAnsiTheme="majorHAnsi"/>
          <w:sz w:val="20"/>
          <w:szCs w:val="20"/>
        </w:rPr>
        <w:t>SIGNAL</w:t>
      </w:r>
      <w:r w:rsidRPr="000977F7">
        <w:rPr>
          <w:rFonts w:asciiTheme="majorHAnsi" w:hAnsiTheme="majorHAnsi"/>
          <w:spacing w:val="-3"/>
          <w:sz w:val="20"/>
          <w:szCs w:val="20"/>
        </w:rPr>
        <w:t xml:space="preserve"> </w:t>
      </w:r>
      <w:r w:rsidRPr="000977F7">
        <w:rPr>
          <w:rFonts w:asciiTheme="majorHAnsi" w:hAnsiTheme="majorHAnsi"/>
          <w:sz w:val="20"/>
          <w:szCs w:val="20"/>
        </w:rPr>
        <w:t>–</w:t>
      </w:r>
    </w:p>
    <w:bookmarkEnd w:id="102"/>
    <w:p w14:paraId="6EDE58F0" w14:textId="77777777" w:rsidR="0097612F" w:rsidRPr="000977F7" w:rsidRDefault="0097612F" w:rsidP="000977F7">
      <w:pPr>
        <w:pStyle w:val="af6"/>
        <w:tabs>
          <w:tab w:val="left" w:pos="284"/>
        </w:tabs>
        <w:spacing w:after="0"/>
        <w:ind w:left="170"/>
        <w:mirrorIndents/>
        <w:jc w:val="both"/>
        <w:rPr>
          <w:rFonts w:asciiTheme="majorHAnsi" w:hAnsiTheme="majorHAnsi"/>
          <w:spacing w:val="-2"/>
          <w:sz w:val="20"/>
          <w:szCs w:val="20"/>
        </w:rPr>
      </w:pPr>
      <w:r w:rsidRPr="000977F7">
        <w:rPr>
          <w:rFonts w:asciiTheme="majorHAnsi" w:hAnsiTheme="majorHAnsi"/>
          <w:spacing w:val="-2"/>
          <w:sz w:val="20"/>
          <w:szCs w:val="20"/>
        </w:rPr>
        <w:t>Складений</w:t>
      </w:r>
      <w:r w:rsidRPr="000977F7">
        <w:rPr>
          <w:rFonts w:asciiTheme="majorHAnsi" w:hAnsiTheme="majorHAnsi"/>
          <w:spacing w:val="-9"/>
          <w:sz w:val="20"/>
          <w:szCs w:val="20"/>
        </w:rPr>
        <w:t xml:space="preserve"> </w:t>
      </w:r>
      <w:r w:rsidRPr="000977F7">
        <w:rPr>
          <w:rFonts w:asciiTheme="majorHAnsi" w:hAnsiTheme="majorHAnsi"/>
          <w:spacing w:val="-1"/>
          <w:sz w:val="20"/>
          <w:szCs w:val="20"/>
        </w:rPr>
        <w:t>сигнал,</w:t>
      </w:r>
      <w:r w:rsidRPr="000977F7">
        <w:rPr>
          <w:rFonts w:asciiTheme="majorHAnsi" w:hAnsiTheme="majorHAnsi"/>
          <w:spacing w:val="-5"/>
          <w:sz w:val="20"/>
          <w:szCs w:val="20"/>
        </w:rPr>
        <w:t xml:space="preserve"> </w:t>
      </w:r>
      <w:r w:rsidRPr="000977F7">
        <w:rPr>
          <w:rFonts w:asciiTheme="majorHAnsi" w:hAnsiTheme="majorHAnsi"/>
          <w:spacing w:val="-1"/>
          <w:sz w:val="20"/>
          <w:szCs w:val="20"/>
        </w:rPr>
        <w:t>у</w:t>
      </w:r>
      <w:r w:rsidRPr="000977F7">
        <w:rPr>
          <w:rFonts w:asciiTheme="majorHAnsi" w:hAnsiTheme="majorHAnsi"/>
          <w:spacing w:val="-11"/>
          <w:sz w:val="20"/>
          <w:szCs w:val="20"/>
        </w:rPr>
        <w:t xml:space="preserve"> </w:t>
      </w:r>
      <w:r w:rsidRPr="000977F7">
        <w:rPr>
          <w:rFonts w:asciiTheme="majorHAnsi" w:hAnsiTheme="majorHAnsi"/>
          <w:spacing w:val="-1"/>
          <w:sz w:val="20"/>
          <w:szCs w:val="20"/>
        </w:rPr>
        <w:t>якому</w:t>
      </w:r>
      <w:r w:rsidRPr="000977F7">
        <w:rPr>
          <w:rFonts w:asciiTheme="majorHAnsi" w:hAnsiTheme="majorHAnsi"/>
          <w:spacing w:val="-6"/>
          <w:sz w:val="20"/>
          <w:szCs w:val="20"/>
        </w:rPr>
        <w:t xml:space="preserve"> </w:t>
      </w:r>
      <w:r w:rsidRPr="000977F7">
        <w:rPr>
          <w:rFonts w:asciiTheme="majorHAnsi" w:hAnsiTheme="majorHAnsi"/>
          <w:spacing w:val="-1"/>
          <w:sz w:val="20"/>
          <w:szCs w:val="20"/>
        </w:rPr>
        <w:t>кожний</w:t>
      </w:r>
      <w:r w:rsidRPr="000977F7">
        <w:rPr>
          <w:rFonts w:asciiTheme="majorHAnsi" w:hAnsiTheme="majorHAnsi"/>
          <w:spacing w:val="-9"/>
          <w:sz w:val="20"/>
          <w:szCs w:val="20"/>
        </w:rPr>
        <w:t xml:space="preserve"> </w:t>
      </w:r>
      <w:r w:rsidRPr="000977F7">
        <w:rPr>
          <w:rFonts w:asciiTheme="majorHAnsi" w:hAnsiTheme="majorHAnsi"/>
          <w:spacing w:val="-1"/>
          <w:sz w:val="20"/>
          <w:szCs w:val="20"/>
        </w:rPr>
        <w:t>з</w:t>
      </w:r>
      <w:r w:rsidRPr="000977F7">
        <w:rPr>
          <w:rFonts w:asciiTheme="majorHAnsi" w:hAnsiTheme="majorHAnsi"/>
          <w:spacing w:val="-7"/>
          <w:sz w:val="20"/>
          <w:szCs w:val="20"/>
        </w:rPr>
        <w:t xml:space="preserve"> </w:t>
      </w:r>
      <w:r w:rsidRPr="000977F7">
        <w:rPr>
          <w:rFonts w:asciiTheme="majorHAnsi" w:hAnsiTheme="majorHAnsi"/>
          <w:spacing w:val="-1"/>
          <w:sz w:val="20"/>
          <w:szCs w:val="20"/>
        </w:rPr>
        <w:t>дискретних</w:t>
      </w:r>
      <w:r w:rsidRPr="000977F7">
        <w:rPr>
          <w:rFonts w:asciiTheme="majorHAnsi" w:hAnsiTheme="majorHAnsi"/>
          <w:spacing w:val="-9"/>
          <w:sz w:val="20"/>
          <w:szCs w:val="20"/>
        </w:rPr>
        <w:t xml:space="preserve"> </w:t>
      </w:r>
      <w:r w:rsidRPr="000977F7">
        <w:rPr>
          <w:rFonts w:asciiTheme="majorHAnsi" w:hAnsiTheme="majorHAnsi"/>
          <w:spacing w:val="-1"/>
          <w:sz w:val="20"/>
          <w:szCs w:val="20"/>
        </w:rPr>
        <w:t>сигна</w:t>
      </w:r>
      <w:r w:rsidRPr="000977F7">
        <w:rPr>
          <w:rFonts w:asciiTheme="majorHAnsi" w:hAnsiTheme="majorHAnsi"/>
          <w:sz w:val="20"/>
          <w:szCs w:val="20"/>
        </w:rPr>
        <w:t>лів,</w:t>
      </w:r>
      <w:r w:rsidRPr="000977F7">
        <w:rPr>
          <w:rFonts w:asciiTheme="majorHAnsi" w:hAnsiTheme="majorHAnsi"/>
          <w:spacing w:val="-11"/>
          <w:sz w:val="20"/>
          <w:szCs w:val="20"/>
        </w:rPr>
        <w:t xml:space="preserve"> </w:t>
      </w:r>
      <w:r w:rsidRPr="000977F7">
        <w:rPr>
          <w:rFonts w:asciiTheme="majorHAnsi" w:hAnsiTheme="majorHAnsi"/>
          <w:sz w:val="20"/>
          <w:szCs w:val="20"/>
        </w:rPr>
        <w:t>що</w:t>
      </w:r>
      <w:r w:rsidRPr="000977F7">
        <w:rPr>
          <w:rFonts w:asciiTheme="majorHAnsi" w:hAnsiTheme="majorHAnsi"/>
          <w:spacing w:val="-8"/>
          <w:sz w:val="20"/>
          <w:szCs w:val="20"/>
        </w:rPr>
        <w:t xml:space="preserve"> </w:t>
      </w:r>
      <w:r w:rsidRPr="000977F7">
        <w:rPr>
          <w:rFonts w:asciiTheme="majorHAnsi" w:hAnsiTheme="majorHAnsi"/>
          <w:sz w:val="20"/>
          <w:szCs w:val="20"/>
        </w:rPr>
        <w:t>його</w:t>
      </w:r>
      <w:r w:rsidRPr="000977F7">
        <w:rPr>
          <w:rFonts w:asciiTheme="majorHAnsi" w:hAnsiTheme="majorHAnsi"/>
          <w:spacing w:val="-10"/>
          <w:sz w:val="20"/>
          <w:szCs w:val="20"/>
        </w:rPr>
        <w:t xml:space="preserve"> </w:t>
      </w:r>
      <w:r w:rsidRPr="000977F7">
        <w:rPr>
          <w:rFonts w:asciiTheme="majorHAnsi" w:hAnsiTheme="majorHAnsi"/>
          <w:sz w:val="20"/>
          <w:szCs w:val="20"/>
        </w:rPr>
        <w:t>складають,</w:t>
      </w:r>
      <w:r w:rsidRPr="000977F7">
        <w:rPr>
          <w:rFonts w:asciiTheme="majorHAnsi" w:hAnsiTheme="majorHAnsi"/>
          <w:spacing w:val="-10"/>
          <w:sz w:val="20"/>
          <w:szCs w:val="20"/>
        </w:rPr>
        <w:t xml:space="preserve"> </w:t>
      </w:r>
      <w:r w:rsidRPr="000977F7">
        <w:rPr>
          <w:rFonts w:asciiTheme="majorHAnsi" w:hAnsiTheme="majorHAnsi"/>
          <w:sz w:val="20"/>
          <w:szCs w:val="20"/>
        </w:rPr>
        <w:t>ототожнюється</w:t>
      </w:r>
      <w:r w:rsidRPr="000977F7">
        <w:rPr>
          <w:rFonts w:asciiTheme="majorHAnsi" w:hAnsiTheme="majorHAnsi"/>
          <w:spacing w:val="-11"/>
          <w:sz w:val="20"/>
          <w:szCs w:val="20"/>
        </w:rPr>
        <w:t xml:space="preserve"> </w:t>
      </w:r>
      <w:r w:rsidRPr="000977F7">
        <w:rPr>
          <w:rFonts w:asciiTheme="majorHAnsi" w:hAnsiTheme="majorHAnsi"/>
          <w:sz w:val="20"/>
          <w:szCs w:val="20"/>
        </w:rPr>
        <w:t>з</w:t>
      </w:r>
      <w:r w:rsidRPr="000977F7">
        <w:rPr>
          <w:rFonts w:asciiTheme="majorHAnsi" w:hAnsiTheme="majorHAnsi"/>
          <w:spacing w:val="-10"/>
          <w:sz w:val="20"/>
          <w:szCs w:val="20"/>
        </w:rPr>
        <w:t xml:space="preserve"> </w:t>
      </w:r>
      <w:r w:rsidRPr="000977F7">
        <w:rPr>
          <w:rFonts w:asciiTheme="majorHAnsi" w:hAnsiTheme="majorHAnsi"/>
          <w:sz w:val="20"/>
          <w:szCs w:val="20"/>
        </w:rPr>
        <w:t>однією</w:t>
      </w:r>
      <w:r w:rsidRPr="000977F7">
        <w:rPr>
          <w:rFonts w:asciiTheme="majorHAnsi" w:hAnsiTheme="majorHAnsi"/>
          <w:spacing w:val="-11"/>
          <w:sz w:val="20"/>
          <w:szCs w:val="20"/>
        </w:rPr>
        <w:t xml:space="preserve"> </w:t>
      </w:r>
      <w:r w:rsidRPr="000977F7">
        <w:rPr>
          <w:rFonts w:asciiTheme="majorHAnsi" w:hAnsiTheme="majorHAnsi"/>
          <w:sz w:val="20"/>
          <w:szCs w:val="20"/>
        </w:rPr>
        <w:t>із</w:t>
      </w:r>
      <w:r w:rsidRPr="000977F7">
        <w:rPr>
          <w:rFonts w:asciiTheme="majorHAnsi" w:hAnsiTheme="majorHAnsi"/>
          <w:spacing w:val="-10"/>
          <w:sz w:val="20"/>
          <w:szCs w:val="20"/>
        </w:rPr>
        <w:t xml:space="preserve"> </w:t>
      </w:r>
      <w:r w:rsidRPr="000977F7">
        <w:rPr>
          <w:rFonts w:asciiTheme="majorHAnsi" w:hAnsiTheme="majorHAnsi"/>
          <w:sz w:val="20"/>
          <w:szCs w:val="20"/>
        </w:rPr>
        <w:t>зна</w:t>
      </w:r>
      <w:r w:rsidRPr="000977F7">
        <w:rPr>
          <w:rFonts w:asciiTheme="majorHAnsi" w:hAnsiTheme="majorHAnsi"/>
          <w:spacing w:val="-1"/>
          <w:sz w:val="20"/>
          <w:szCs w:val="20"/>
        </w:rPr>
        <w:t>чущих</w:t>
      </w:r>
      <w:r w:rsidRPr="000977F7">
        <w:rPr>
          <w:rFonts w:asciiTheme="majorHAnsi" w:hAnsiTheme="majorHAnsi"/>
          <w:spacing w:val="-6"/>
          <w:sz w:val="20"/>
          <w:szCs w:val="20"/>
        </w:rPr>
        <w:t xml:space="preserve"> </w:t>
      </w:r>
      <w:r w:rsidRPr="000977F7">
        <w:rPr>
          <w:rFonts w:asciiTheme="majorHAnsi" w:hAnsiTheme="majorHAnsi"/>
          <w:spacing w:val="-1"/>
          <w:sz w:val="20"/>
          <w:szCs w:val="20"/>
        </w:rPr>
        <w:t>позицій</w:t>
      </w:r>
      <w:r w:rsidRPr="000977F7">
        <w:rPr>
          <w:rFonts w:asciiTheme="majorHAnsi" w:hAnsiTheme="majorHAnsi"/>
          <w:spacing w:val="-6"/>
          <w:sz w:val="20"/>
          <w:szCs w:val="20"/>
        </w:rPr>
        <w:t xml:space="preserve"> </w:t>
      </w:r>
      <w:r w:rsidRPr="000977F7">
        <w:rPr>
          <w:rFonts w:asciiTheme="majorHAnsi" w:hAnsiTheme="majorHAnsi"/>
          <w:spacing w:val="-1"/>
          <w:sz w:val="20"/>
          <w:szCs w:val="20"/>
        </w:rPr>
        <w:t>кодової</w:t>
      </w:r>
      <w:r w:rsidRPr="000977F7">
        <w:rPr>
          <w:rFonts w:asciiTheme="majorHAnsi" w:hAnsiTheme="majorHAnsi"/>
          <w:spacing w:val="-5"/>
          <w:sz w:val="20"/>
          <w:szCs w:val="20"/>
        </w:rPr>
        <w:t xml:space="preserve"> </w:t>
      </w:r>
      <w:r w:rsidRPr="000977F7">
        <w:rPr>
          <w:rFonts w:asciiTheme="majorHAnsi" w:hAnsiTheme="majorHAnsi"/>
          <w:spacing w:val="-1"/>
          <w:sz w:val="20"/>
          <w:szCs w:val="20"/>
        </w:rPr>
        <w:t>комбінації,</w:t>
      </w:r>
      <w:r w:rsidRPr="000977F7">
        <w:rPr>
          <w:rFonts w:asciiTheme="majorHAnsi" w:hAnsiTheme="majorHAnsi"/>
          <w:spacing w:val="-5"/>
          <w:sz w:val="20"/>
          <w:szCs w:val="20"/>
        </w:rPr>
        <w:t xml:space="preserve"> </w:t>
      </w:r>
      <w:r w:rsidRPr="000977F7">
        <w:rPr>
          <w:rFonts w:asciiTheme="majorHAnsi" w:hAnsiTheme="majorHAnsi"/>
          <w:spacing w:val="-1"/>
          <w:sz w:val="20"/>
          <w:szCs w:val="20"/>
        </w:rPr>
        <w:t>яка</w:t>
      </w:r>
      <w:r w:rsidRPr="000977F7">
        <w:rPr>
          <w:rFonts w:asciiTheme="majorHAnsi" w:hAnsiTheme="majorHAnsi"/>
          <w:spacing w:val="-4"/>
          <w:sz w:val="20"/>
          <w:szCs w:val="20"/>
        </w:rPr>
        <w:t xml:space="preserve"> </w:t>
      </w:r>
      <w:r w:rsidRPr="000977F7">
        <w:rPr>
          <w:rFonts w:asciiTheme="majorHAnsi" w:hAnsiTheme="majorHAnsi"/>
          <w:spacing w:val="-1"/>
          <w:sz w:val="20"/>
          <w:szCs w:val="20"/>
        </w:rPr>
        <w:t>пересилається,</w:t>
      </w:r>
      <w:r w:rsidRPr="000977F7">
        <w:rPr>
          <w:rFonts w:asciiTheme="majorHAnsi" w:hAnsiTheme="majorHAnsi"/>
          <w:spacing w:val="-4"/>
          <w:sz w:val="20"/>
          <w:szCs w:val="20"/>
        </w:rPr>
        <w:t xml:space="preserve"> </w:t>
      </w:r>
      <w:r w:rsidRPr="000977F7">
        <w:rPr>
          <w:rFonts w:asciiTheme="majorHAnsi" w:hAnsiTheme="majorHAnsi"/>
          <w:sz w:val="20"/>
          <w:szCs w:val="20"/>
        </w:rPr>
        <w:t>а</w:t>
      </w:r>
      <w:r w:rsidRPr="000977F7">
        <w:rPr>
          <w:rFonts w:asciiTheme="majorHAnsi" w:hAnsiTheme="majorHAnsi"/>
          <w:spacing w:val="-47"/>
          <w:sz w:val="20"/>
          <w:szCs w:val="20"/>
        </w:rPr>
        <w:t xml:space="preserve"> </w:t>
      </w:r>
      <w:r w:rsidRPr="000977F7">
        <w:rPr>
          <w:rFonts w:asciiTheme="majorHAnsi" w:hAnsiTheme="majorHAnsi"/>
          <w:sz w:val="20"/>
          <w:szCs w:val="20"/>
        </w:rPr>
        <w:t>значення</w:t>
      </w:r>
      <w:r w:rsidRPr="000977F7">
        <w:rPr>
          <w:rFonts w:asciiTheme="majorHAnsi" w:hAnsiTheme="majorHAnsi"/>
          <w:spacing w:val="-5"/>
          <w:sz w:val="20"/>
          <w:szCs w:val="20"/>
        </w:rPr>
        <w:t xml:space="preserve"> </w:t>
      </w:r>
      <w:r w:rsidRPr="000977F7">
        <w:rPr>
          <w:rFonts w:asciiTheme="majorHAnsi" w:hAnsiTheme="majorHAnsi"/>
          <w:sz w:val="20"/>
          <w:szCs w:val="20"/>
        </w:rPr>
        <w:t>його</w:t>
      </w:r>
      <w:r w:rsidRPr="000977F7">
        <w:rPr>
          <w:rFonts w:asciiTheme="majorHAnsi" w:hAnsiTheme="majorHAnsi"/>
          <w:spacing w:val="-3"/>
          <w:sz w:val="20"/>
          <w:szCs w:val="20"/>
        </w:rPr>
        <w:t xml:space="preserve"> </w:t>
      </w:r>
      <w:r w:rsidRPr="000977F7">
        <w:rPr>
          <w:rFonts w:asciiTheme="majorHAnsi" w:hAnsiTheme="majorHAnsi"/>
          <w:sz w:val="20"/>
          <w:szCs w:val="20"/>
        </w:rPr>
        <w:t>інформативної</w:t>
      </w:r>
      <w:r w:rsidRPr="000977F7">
        <w:rPr>
          <w:rFonts w:asciiTheme="majorHAnsi" w:hAnsiTheme="majorHAnsi"/>
          <w:spacing w:val="-3"/>
          <w:sz w:val="20"/>
          <w:szCs w:val="20"/>
        </w:rPr>
        <w:t xml:space="preserve"> </w:t>
      </w:r>
      <w:r w:rsidRPr="000977F7">
        <w:rPr>
          <w:rFonts w:asciiTheme="majorHAnsi" w:hAnsiTheme="majorHAnsi"/>
          <w:sz w:val="20"/>
          <w:szCs w:val="20"/>
        </w:rPr>
        <w:t>ознаки</w:t>
      </w:r>
      <w:r w:rsidRPr="000977F7">
        <w:rPr>
          <w:rFonts w:asciiTheme="majorHAnsi" w:hAnsiTheme="majorHAnsi"/>
          <w:spacing w:val="-4"/>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r w:rsidRPr="000977F7">
        <w:rPr>
          <w:rFonts w:asciiTheme="majorHAnsi" w:hAnsiTheme="majorHAnsi"/>
          <w:spacing w:val="-3"/>
          <w:sz w:val="20"/>
          <w:szCs w:val="20"/>
        </w:rPr>
        <w:t xml:space="preserve"> </w:t>
      </w:r>
      <w:r w:rsidRPr="000977F7">
        <w:rPr>
          <w:rFonts w:asciiTheme="majorHAnsi" w:hAnsiTheme="majorHAnsi"/>
          <w:sz w:val="20"/>
          <w:szCs w:val="20"/>
        </w:rPr>
        <w:t>–</w:t>
      </w:r>
      <w:r w:rsidRPr="000977F7">
        <w:rPr>
          <w:rFonts w:asciiTheme="majorHAnsi" w:hAnsiTheme="majorHAnsi"/>
          <w:spacing w:val="-3"/>
          <w:sz w:val="20"/>
          <w:szCs w:val="20"/>
        </w:rPr>
        <w:t xml:space="preserve"> </w:t>
      </w:r>
      <w:r w:rsidRPr="000977F7">
        <w:rPr>
          <w:rFonts w:asciiTheme="majorHAnsi" w:hAnsiTheme="majorHAnsi"/>
          <w:sz w:val="20"/>
          <w:szCs w:val="20"/>
        </w:rPr>
        <w:t>з</w:t>
      </w:r>
      <w:r w:rsidRPr="000977F7">
        <w:rPr>
          <w:rFonts w:asciiTheme="majorHAnsi" w:hAnsiTheme="majorHAnsi"/>
          <w:spacing w:val="-47"/>
          <w:sz w:val="20"/>
          <w:szCs w:val="20"/>
        </w:rPr>
        <w:t xml:space="preserve"> </w:t>
      </w:r>
      <w:r w:rsidRPr="000977F7">
        <w:rPr>
          <w:rFonts w:asciiTheme="majorHAnsi" w:hAnsiTheme="majorHAnsi"/>
          <w:spacing w:val="-4"/>
          <w:sz w:val="20"/>
          <w:szCs w:val="20"/>
        </w:rPr>
        <w:t>цифровим</w:t>
      </w:r>
      <w:r w:rsidRPr="000977F7">
        <w:rPr>
          <w:rFonts w:asciiTheme="majorHAnsi" w:hAnsiTheme="majorHAnsi"/>
          <w:spacing w:val="-2"/>
          <w:sz w:val="20"/>
          <w:szCs w:val="20"/>
        </w:rPr>
        <w:t xml:space="preserve"> </w:t>
      </w:r>
      <w:r w:rsidRPr="000977F7">
        <w:rPr>
          <w:rFonts w:asciiTheme="majorHAnsi" w:hAnsiTheme="majorHAnsi"/>
          <w:spacing w:val="-4"/>
          <w:sz w:val="20"/>
          <w:szCs w:val="20"/>
        </w:rPr>
        <w:t>знаком,</w:t>
      </w:r>
      <w:r w:rsidRPr="000977F7">
        <w:rPr>
          <w:rFonts w:asciiTheme="majorHAnsi" w:hAnsiTheme="majorHAnsi"/>
          <w:spacing w:val="-1"/>
          <w:sz w:val="20"/>
          <w:szCs w:val="20"/>
        </w:rPr>
        <w:t xml:space="preserve"> </w:t>
      </w:r>
      <w:r w:rsidRPr="000977F7">
        <w:rPr>
          <w:rFonts w:asciiTheme="majorHAnsi" w:hAnsiTheme="majorHAnsi"/>
          <w:spacing w:val="-4"/>
          <w:sz w:val="20"/>
          <w:szCs w:val="20"/>
        </w:rPr>
        <w:t>який</w:t>
      </w:r>
      <w:r w:rsidRPr="000977F7">
        <w:rPr>
          <w:rFonts w:asciiTheme="majorHAnsi" w:hAnsiTheme="majorHAnsi"/>
          <w:sz w:val="20"/>
          <w:szCs w:val="20"/>
        </w:rPr>
        <w:t xml:space="preserve"> </w:t>
      </w:r>
      <w:r w:rsidRPr="000977F7">
        <w:rPr>
          <w:rFonts w:asciiTheme="majorHAnsi" w:hAnsiTheme="majorHAnsi"/>
          <w:spacing w:val="-4"/>
          <w:sz w:val="20"/>
          <w:szCs w:val="20"/>
        </w:rPr>
        <w:t>знаходиться</w:t>
      </w:r>
      <w:r w:rsidRPr="000977F7">
        <w:rPr>
          <w:rFonts w:asciiTheme="majorHAnsi" w:hAnsiTheme="majorHAnsi"/>
          <w:sz w:val="20"/>
          <w:szCs w:val="20"/>
        </w:rPr>
        <w:t xml:space="preserve"> </w:t>
      </w:r>
      <w:r w:rsidRPr="000977F7">
        <w:rPr>
          <w:rFonts w:asciiTheme="majorHAnsi" w:hAnsiTheme="majorHAnsi"/>
          <w:spacing w:val="-3"/>
          <w:sz w:val="20"/>
          <w:szCs w:val="20"/>
        </w:rPr>
        <w:t>на</w:t>
      </w:r>
      <w:r w:rsidRPr="000977F7">
        <w:rPr>
          <w:rFonts w:asciiTheme="majorHAnsi" w:hAnsiTheme="majorHAnsi"/>
          <w:sz w:val="20"/>
          <w:szCs w:val="20"/>
        </w:rPr>
        <w:t xml:space="preserve"> </w:t>
      </w:r>
      <w:r w:rsidRPr="000977F7">
        <w:rPr>
          <w:rFonts w:asciiTheme="majorHAnsi" w:hAnsiTheme="majorHAnsi"/>
          <w:spacing w:val="-3"/>
          <w:sz w:val="20"/>
          <w:szCs w:val="20"/>
        </w:rPr>
        <w:t>цій</w:t>
      </w:r>
      <w:r w:rsidRPr="000977F7">
        <w:rPr>
          <w:rFonts w:asciiTheme="majorHAnsi" w:hAnsiTheme="majorHAnsi"/>
          <w:sz w:val="20"/>
          <w:szCs w:val="20"/>
        </w:rPr>
        <w:t xml:space="preserve"> </w:t>
      </w:r>
      <w:r w:rsidRPr="000977F7">
        <w:rPr>
          <w:rFonts w:asciiTheme="majorHAnsi" w:hAnsiTheme="majorHAnsi"/>
          <w:spacing w:val="-3"/>
          <w:sz w:val="20"/>
          <w:szCs w:val="20"/>
        </w:rPr>
        <w:t>позиції</w:t>
      </w:r>
      <w:r w:rsidRPr="000977F7">
        <w:rPr>
          <w:rFonts w:asciiTheme="majorHAnsi" w:hAnsiTheme="majorHAnsi"/>
          <w:spacing w:val="-2"/>
          <w:sz w:val="20"/>
          <w:szCs w:val="20"/>
        </w:rPr>
        <w:t xml:space="preserve"> </w:t>
      </w:r>
    </w:p>
    <w:p w14:paraId="6306D610"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2000</w:t>
      </w:r>
    </w:p>
    <w:p w14:paraId="184F0CCA" w14:textId="77777777" w:rsidR="0097612F" w:rsidRPr="000977F7" w:rsidRDefault="0097612F" w:rsidP="000977F7">
      <w:pPr>
        <w:pStyle w:val="7"/>
        <w:tabs>
          <w:tab w:val="left" w:pos="284"/>
        </w:tabs>
        <w:spacing w:before="0" w:line="240" w:lineRule="auto"/>
        <w:ind w:left="170"/>
        <w:mirrorIndents/>
        <w:jc w:val="both"/>
        <w:rPr>
          <w:color w:val="auto"/>
          <w:spacing w:val="38"/>
          <w:sz w:val="20"/>
          <w:szCs w:val="20"/>
        </w:rPr>
      </w:pPr>
      <w:r w:rsidRPr="000977F7">
        <w:rPr>
          <w:color w:val="auto"/>
          <w:sz w:val="20"/>
          <w:szCs w:val="20"/>
        </w:rPr>
        <w:t>КОДОВИЙ</w:t>
      </w:r>
      <w:r w:rsidRPr="000977F7">
        <w:rPr>
          <w:color w:val="auto"/>
          <w:spacing w:val="37"/>
          <w:sz w:val="20"/>
          <w:szCs w:val="20"/>
        </w:rPr>
        <w:t xml:space="preserve"> </w:t>
      </w:r>
      <w:r w:rsidRPr="000977F7">
        <w:rPr>
          <w:color w:val="auto"/>
          <w:sz w:val="20"/>
          <w:szCs w:val="20"/>
        </w:rPr>
        <w:t>ЗАСІБ</w:t>
      </w:r>
      <w:r w:rsidRPr="000977F7">
        <w:rPr>
          <w:color w:val="auto"/>
          <w:spacing w:val="37"/>
          <w:sz w:val="20"/>
          <w:szCs w:val="20"/>
        </w:rPr>
        <w:t xml:space="preserve"> </w:t>
      </w:r>
      <w:r w:rsidRPr="000977F7">
        <w:rPr>
          <w:color w:val="auto"/>
          <w:sz w:val="20"/>
          <w:szCs w:val="20"/>
        </w:rPr>
        <w:t>ВИМІРЮВАНЬ;</w:t>
      </w:r>
      <w:r w:rsidRPr="000977F7">
        <w:rPr>
          <w:color w:val="auto"/>
          <w:spacing w:val="38"/>
          <w:sz w:val="20"/>
          <w:szCs w:val="20"/>
        </w:rPr>
        <w:t xml:space="preserve"> </w:t>
      </w:r>
    </w:p>
    <w:p w14:paraId="2BAA673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АНАЛОГО</w:t>
      </w:r>
      <w:r w:rsidRPr="000977F7">
        <w:rPr>
          <w:color w:val="auto"/>
          <w:spacing w:val="43"/>
          <w:sz w:val="20"/>
          <w:szCs w:val="20"/>
        </w:rPr>
        <w:t xml:space="preserve"> </w:t>
      </w:r>
      <w:r w:rsidRPr="000977F7">
        <w:rPr>
          <w:color w:val="auto"/>
          <w:sz w:val="20"/>
          <w:szCs w:val="20"/>
        </w:rPr>
        <w:t>–</w:t>
      </w:r>
      <w:r w:rsidRPr="000977F7">
        <w:rPr>
          <w:color w:val="auto"/>
          <w:spacing w:val="-47"/>
          <w:sz w:val="20"/>
          <w:szCs w:val="20"/>
        </w:rPr>
        <w:t xml:space="preserve"> </w:t>
      </w:r>
      <w:r w:rsidRPr="000977F7">
        <w:rPr>
          <w:color w:val="auto"/>
          <w:sz w:val="20"/>
          <w:szCs w:val="20"/>
        </w:rPr>
        <w:t>ЦИФРОВИЙ ПЕРЕТВОРЮВАЧ</w:t>
      </w:r>
      <w:r w:rsidRPr="000977F7">
        <w:rPr>
          <w:color w:val="auto"/>
          <w:spacing w:val="3"/>
          <w:sz w:val="20"/>
          <w:szCs w:val="20"/>
        </w:rPr>
        <w:t xml:space="preserve"> </w:t>
      </w:r>
      <w:r w:rsidRPr="000977F7">
        <w:rPr>
          <w:color w:val="auto"/>
          <w:sz w:val="20"/>
          <w:szCs w:val="20"/>
        </w:rPr>
        <w:t>–</w:t>
      </w:r>
    </w:p>
    <w:p w14:paraId="43468DE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ANALOQUE</w:t>
      </w:r>
      <w:r w:rsidRPr="004D2D14">
        <w:rPr>
          <w:rFonts w:asciiTheme="majorHAnsi" w:hAnsiTheme="majorHAnsi"/>
          <w:sz w:val="20"/>
          <w:szCs w:val="20"/>
          <w:lang w:val="uk-UA"/>
        </w:rPr>
        <w:t xml:space="preserve"> –</w:t>
      </w:r>
      <w:r w:rsidRPr="004D2D14">
        <w:rPr>
          <w:rFonts w:asciiTheme="majorHAnsi" w:hAnsiTheme="majorHAnsi"/>
          <w:spacing w:val="-1"/>
          <w:sz w:val="20"/>
          <w:szCs w:val="20"/>
          <w:lang w:val="uk-UA"/>
        </w:rPr>
        <w:t xml:space="preserve"> </w:t>
      </w:r>
      <w:r w:rsidRPr="000977F7">
        <w:rPr>
          <w:rFonts w:asciiTheme="majorHAnsi" w:hAnsiTheme="majorHAnsi"/>
          <w:sz w:val="20"/>
          <w:szCs w:val="20"/>
        </w:rPr>
        <w:t>TO</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r w:rsidRPr="004D2D14">
        <w:rPr>
          <w:rFonts w:asciiTheme="majorHAnsi" w:hAnsiTheme="majorHAnsi"/>
          <w:spacing w:val="-1"/>
          <w:sz w:val="20"/>
          <w:szCs w:val="20"/>
          <w:lang w:val="uk-UA"/>
        </w:rPr>
        <w:t xml:space="preserve"> </w:t>
      </w:r>
      <w:r w:rsidRPr="000977F7">
        <w:rPr>
          <w:rFonts w:asciiTheme="majorHAnsi" w:hAnsiTheme="majorHAnsi"/>
          <w:sz w:val="20"/>
          <w:szCs w:val="20"/>
        </w:rPr>
        <w:t>DIGITAL</w:t>
      </w:r>
      <w:r w:rsidRPr="004D2D14">
        <w:rPr>
          <w:rFonts w:asciiTheme="majorHAnsi" w:hAnsiTheme="majorHAnsi"/>
          <w:sz w:val="20"/>
          <w:szCs w:val="20"/>
          <w:lang w:val="uk-UA"/>
        </w:rPr>
        <w:t xml:space="preserve"> </w:t>
      </w:r>
      <w:r w:rsidRPr="000977F7">
        <w:rPr>
          <w:rFonts w:asciiTheme="majorHAnsi" w:hAnsiTheme="majorHAnsi"/>
          <w:sz w:val="20"/>
          <w:szCs w:val="20"/>
        </w:rPr>
        <w:t>CONVERTER</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04BEF0D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Засіб</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вимірювань,</w:t>
      </w:r>
      <w:r w:rsidRPr="004D2D14">
        <w:rPr>
          <w:rFonts w:asciiTheme="majorHAnsi" w:hAnsiTheme="majorHAnsi"/>
          <w:spacing w:val="25"/>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22"/>
          <w:sz w:val="20"/>
          <w:szCs w:val="20"/>
          <w:lang w:val="uk-UA"/>
        </w:rPr>
        <w:t xml:space="preserve"> </w:t>
      </w:r>
      <w:r w:rsidRPr="004D2D14">
        <w:rPr>
          <w:rFonts w:asciiTheme="majorHAnsi" w:hAnsiTheme="majorHAnsi"/>
          <w:sz w:val="20"/>
          <w:szCs w:val="20"/>
          <w:lang w:val="uk-UA"/>
        </w:rPr>
        <w:t>якому</w:t>
      </w:r>
      <w:r w:rsidRPr="004D2D14">
        <w:rPr>
          <w:rFonts w:asciiTheme="majorHAnsi" w:hAnsiTheme="majorHAnsi"/>
          <w:spacing w:val="23"/>
          <w:sz w:val="20"/>
          <w:szCs w:val="20"/>
          <w:lang w:val="uk-UA"/>
        </w:rPr>
        <w:t xml:space="preserve"> </w:t>
      </w:r>
      <w:r w:rsidRPr="004D2D14">
        <w:rPr>
          <w:rFonts w:asciiTheme="majorHAnsi" w:hAnsiTheme="majorHAnsi"/>
          <w:sz w:val="20"/>
          <w:szCs w:val="20"/>
          <w:lang w:val="uk-UA"/>
        </w:rPr>
        <w:t>створюється</w:t>
      </w:r>
      <w:r w:rsidRPr="004D2D14">
        <w:rPr>
          <w:rFonts w:asciiTheme="majorHAnsi" w:hAnsiTheme="majorHAnsi"/>
          <w:spacing w:val="23"/>
          <w:sz w:val="20"/>
          <w:szCs w:val="20"/>
          <w:lang w:val="uk-UA"/>
        </w:rPr>
        <w:t xml:space="preserve"> </w:t>
      </w:r>
      <w:r w:rsidRPr="004D2D14">
        <w:rPr>
          <w:rFonts w:asciiTheme="majorHAnsi" w:hAnsiTheme="majorHAnsi"/>
          <w:sz w:val="20"/>
          <w:szCs w:val="20"/>
          <w:lang w:val="uk-UA"/>
        </w:rPr>
        <w:t>кодовий</w:t>
      </w:r>
      <w:r w:rsidRPr="004D2D14">
        <w:rPr>
          <w:rFonts w:asciiTheme="majorHAnsi" w:hAnsiTheme="majorHAnsi"/>
          <w:spacing w:val="22"/>
          <w:sz w:val="20"/>
          <w:szCs w:val="20"/>
          <w:lang w:val="uk-UA"/>
        </w:rPr>
        <w:t xml:space="preserve"> </w:t>
      </w:r>
      <w:r w:rsidRPr="004D2D14">
        <w:rPr>
          <w:rFonts w:asciiTheme="majorHAnsi" w:hAnsiTheme="majorHAnsi"/>
          <w:sz w:val="20"/>
          <w:szCs w:val="20"/>
          <w:lang w:val="uk-UA"/>
        </w:rPr>
        <w:t>сигнал</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вимірювальної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інформації</w:t>
      </w:r>
    </w:p>
    <w:p w14:paraId="2C29859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FF637B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КОДОВИЙ СИГНАЛ ВИМІРЮВАЛЬНОЇ ІНФО</w:t>
      </w:r>
      <w:r w:rsidRPr="000977F7">
        <w:rPr>
          <w:color w:val="auto"/>
          <w:spacing w:val="-47"/>
          <w:sz w:val="20"/>
          <w:szCs w:val="20"/>
        </w:rPr>
        <w:t xml:space="preserve"> </w:t>
      </w:r>
      <w:r w:rsidRPr="000977F7">
        <w:rPr>
          <w:color w:val="auto"/>
          <w:sz w:val="20"/>
          <w:szCs w:val="20"/>
        </w:rPr>
        <w:t>РМАЦІЇ</w:t>
      </w:r>
      <w:r w:rsidRPr="000977F7">
        <w:rPr>
          <w:color w:val="auto"/>
          <w:spacing w:val="-2"/>
          <w:sz w:val="20"/>
          <w:szCs w:val="20"/>
        </w:rPr>
        <w:t xml:space="preserve"> </w:t>
      </w:r>
      <w:r w:rsidRPr="000977F7">
        <w:rPr>
          <w:color w:val="auto"/>
          <w:sz w:val="20"/>
          <w:szCs w:val="20"/>
        </w:rPr>
        <w:t>–</w:t>
      </w:r>
    </w:p>
    <w:p w14:paraId="33C41CC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 вимірювальної інформації, що призначається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сприйняття</w:t>
      </w:r>
      <w:r w:rsidRPr="000977F7">
        <w:rPr>
          <w:rFonts w:asciiTheme="majorHAnsi" w:hAnsiTheme="majorHAnsi"/>
          <w:spacing w:val="-2"/>
          <w:sz w:val="20"/>
          <w:szCs w:val="20"/>
        </w:rPr>
        <w:t xml:space="preserve"> </w:t>
      </w:r>
      <w:r w:rsidRPr="000977F7">
        <w:rPr>
          <w:rFonts w:asciiTheme="majorHAnsi" w:hAnsiTheme="majorHAnsi"/>
          <w:sz w:val="20"/>
          <w:szCs w:val="20"/>
        </w:rPr>
        <w:t>технічними</w:t>
      </w:r>
      <w:r w:rsidRPr="000977F7">
        <w:rPr>
          <w:rFonts w:asciiTheme="majorHAnsi" w:hAnsiTheme="majorHAnsi"/>
          <w:spacing w:val="1"/>
          <w:sz w:val="20"/>
          <w:szCs w:val="20"/>
        </w:rPr>
        <w:t xml:space="preserve"> </w:t>
      </w:r>
      <w:r w:rsidRPr="000977F7">
        <w:rPr>
          <w:rFonts w:asciiTheme="majorHAnsi" w:hAnsiTheme="majorHAnsi"/>
          <w:sz w:val="20"/>
          <w:szCs w:val="20"/>
        </w:rPr>
        <w:t>пристроями</w:t>
      </w:r>
    </w:p>
    <w:p w14:paraId="058FF79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F19859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103" w:name="_Hlk101072877"/>
      <w:r w:rsidRPr="000977F7">
        <w:rPr>
          <w:color w:val="auto"/>
          <w:sz w:val="20"/>
          <w:szCs w:val="20"/>
        </w:rPr>
        <w:t>КОДУВАННЯ</w:t>
      </w:r>
      <w:r w:rsidRPr="000977F7">
        <w:rPr>
          <w:color w:val="auto"/>
          <w:spacing w:val="-4"/>
          <w:sz w:val="20"/>
          <w:szCs w:val="20"/>
        </w:rPr>
        <w:t xml:space="preserve"> </w:t>
      </w:r>
      <w:r w:rsidRPr="000977F7">
        <w:rPr>
          <w:color w:val="auto"/>
          <w:sz w:val="20"/>
          <w:szCs w:val="20"/>
        </w:rPr>
        <w:t>ЧИСЛОВИХ</w:t>
      </w:r>
      <w:r w:rsidRPr="000977F7">
        <w:rPr>
          <w:color w:val="auto"/>
          <w:spacing w:val="-3"/>
          <w:sz w:val="20"/>
          <w:szCs w:val="20"/>
        </w:rPr>
        <w:t xml:space="preserve"> </w:t>
      </w:r>
      <w:r w:rsidRPr="000977F7">
        <w:rPr>
          <w:color w:val="auto"/>
          <w:sz w:val="20"/>
          <w:szCs w:val="20"/>
        </w:rPr>
        <w:t>ДАНИХ –</w:t>
      </w:r>
    </w:p>
    <w:p w14:paraId="1127AF4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NUMBER</w:t>
      </w:r>
      <w:r w:rsidRPr="000977F7">
        <w:rPr>
          <w:rFonts w:asciiTheme="majorHAnsi" w:hAnsiTheme="majorHAnsi"/>
          <w:spacing w:val="-2"/>
          <w:sz w:val="20"/>
          <w:szCs w:val="20"/>
        </w:rPr>
        <w:t xml:space="preserve"> </w:t>
      </w:r>
      <w:r w:rsidRPr="000977F7">
        <w:rPr>
          <w:rFonts w:asciiTheme="majorHAnsi" w:hAnsiTheme="majorHAnsi"/>
          <w:sz w:val="20"/>
          <w:szCs w:val="20"/>
        </w:rPr>
        <w:t>DATA</w:t>
      </w:r>
      <w:r w:rsidRPr="000977F7">
        <w:rPr>
          <w:rFonts w:asciiTheme="majorHAnsi" w:hAnsiTheme="majorHAnsi"/>
          <w:spacing w:val="-3"/>
          <w:sz w:val="20"/>
          <w:szCs w:val="20"/>
        </w:rPr>
        <w:t xml:space="preserve"> </w:t>
      </w:r>
      <w:r w:rsidRPr="000977F7">
        <w:rPr>
          <w:rFonts w:asciiTheme="majorHAnsi" w:hAnsiTheme="majorHAnsi"/>
          <w:sz w:val="20"/>
          <w:szCs w:val="20"/>
        </w:rPr>
        <w:t>ENCODING</w:t>
      </w:r>
      <w:r w:rsidRPr="000977F7">
        <w:rPr>
          <w:rFonts w:asciiTheme="majorHAnsi" w:hAnsiTheme="majorHAnsi"/>
          <w:spacing w:val="2"/>
          <w:sz w:val="20"/>
          <w:szCs w:val="20"/>
        </w:rPr>
        <w:t xml:space="preserve"> </w:t>
      </w:r>
      <w:r w:rsidRPr="000977F7">
        <w:rPr>
          <w:rFonts w:asciiTheme="majorHAnsi" w:hAnsiTheme="majorHAnsi"/>
          <w:sz w:val="20"/>
          <w:szCs w:val="20"/>
        </w:rPr>
        <w:t>–</w:t>
      </w:r>
    </w:p>
    <w:bookmarkEnd w:id="103"/>
    <w:p w14:paraId="3A7B149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Подавання числових даних комбінаціями цифрових</w:t>
      </w:r>
      <w:r w:rsidRPr="000977F7">
        <w:rPr>
          <w:rFonts w:asciiTheme="majorHAnsi" w:hAnsiTheme="majorHAnsi"/>
          <w:spacing w:val="1"/>
          <w:sz w:val="20"/>
          <w:szCs w:val="20"/>
        </w:rPr>
        <w:t xml:space="preserve"> </w:t>
      </w:r>
      <w:r w:rsidRPr="000977F7">
        <w:rPr>
          <w:rFonts w:asciiTheme="majorHAnsi" w:hAnsiTheme="majorHAnsi"/>
          <w:sz w:val="20"/>
          <w:szCs w:val="20"/>
        </w:rPr>
        <w:t>знаків (кодових комбінацій) у деякій позиційній сис</w:t>
      </w:r>
      <w:r w:rsidRPr="000977F7">
        <w:rPr>
          <w:rFonts w:asciiTheme="majorHAnsi" w:hAnsiTheme="majorHAnsi"/>
          <w:spacing w:val="-47"/>
          <w:sz w:val="20"/>
          <w:szCs w:val="20"/>
        </w:rPr>
        <w:t xml:space="preserve"> -</w:t>
      </w:r>
      <w:r w:rsidRPr="000977F7">
        <w:rPr>
          <w:rFonts w:asciiTheme="majorHAnsi" w:hAnsiTheme="majorHAnsi"/>
          <w:sz w:val="20"/>
          <w:szCs w:val="20"/>
        </w:rPr>
        <w:t>темі</w:t>
      </w:r>
      <w:r w:rsidRPr="000977F7">
        <w:rPr>
          <w:rFonts w:asciiTheme="majorHAnsi" w:hAnsiTheme="majorHAnsi"/>
          <w:spacing w:val="-2"/>
          <w:sz w:val="20"/>
          <w:szCs w:val="20"/>
        </w:rPr>
        <w:t xml:space="preserve"> </w:t>
      </w:r>
      <w:r w:rsidRPr="000977F7">
        <w:rPr>
          <w:rFonts w:asciiTheme="majorHAnsi" w:hAnsiTheme="majorHAnsi"/>
          <w:sz w:val="20"/>
          <w:szCs w:val="20"/>
        </w:rPr>
        <w:t>числення</w:t>
      </w:r>
    </w:p>
    <w:p w14:paraId="1ED11B9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571BBDE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КОЕФІЦІЄНТ АМПЛІТУДИ КРИВОЇ НАПРУГИ</w:t>
      </w:r>
      <w:r w:rsidRPr="000977F7">
        <w:rPr>
          <w:color w:val="auto"/>
          <w:spacing w:val="-47"/>
          <w:sz w:val="20"/>
          <w:szCs w:val="20"/>
        </w:rPr>
        <w:t xml:space="preserve"> </w:t>
      </w:r>
      <w:r w:rsidRPr="000977F7">
        <w:rPr>
          <w:color w:val="auto"/>
          <w:sz w:val="20"/>
          <w:szCs w:val="20"/>
        </w:rPr>
        <w:t>(СТРУМУ)</w:t>
      </w:r>
      <w:r w:rsidRPr="000977F7">
        <w:rPr>
          <w:color w:val="auto"/>
          <w:spacing w:val="1"/>
          <w:sz w:val="20"/>
          <w:szCs w:val="20"/>
        </w:rPr>
        <w:t xml:space="preserve"> </w:t>
      </w:r>
      <w:r w:rsidRPr="000977F7">
        <w:rPr>
          <w:color w:val="auto"/>
          <w:sz w:val="20"/>
          <w:szCs w:val="20"/>
        </w:rPr>
        <w:t>–</w:t>
      </w:r>
    </w:p>
    <w:p w14:paraId="5E5034A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максимального за модулем значення напруги (струму) за період до дійового значення періодичної</w:t>
      </w:r>
      <w:r w:rsidRPr="000977F7">
        <w:rPr>
          <w:rFonts w:asciiTheme="majorHAnsi" w:hAnsiTheme="majorHAnsi"/>
          <w:spacing w:val="-2"/>
          <w:sz w:val="20"/>
          <w:szCs w:val="20"/>
        </w:rPr>
        <w:t xml:space="preserve"> </w:t>
      </w:r>
      <w:r w:rsidRPr="000977F7">
        <w:rPr>
          <w:rFonts w:asciiTheme="majorHAnsi" w:hAnsiTheme="majorHAnsi"/>
          <w:sz w:val="20"/>
          <w:szCs w:val="20"/>
        </w:rPr>
        <w:t>напруги</w:t>
      </w:r>
      <w:r w:rsidRPr="000977F7">
        <w:rPr>
          <w:rFonts w:asciiTheme="majorHAnsi" w:hAnsiTheme="majorHAnsi"/>
          <w:spacing w:val="-1"/>
          <w:sz w:val="20"/>
          <w:szCs w:val="20"/>
        </w:rPr>
        <w:t xml:space="preserve"> </w:t>
      </w:r>
      <w:r w:rsidRPr="000977F7">
        <w:rPr>
          <w:rFonts w:asciiTheme="majorHAnsi" w:hAnsiTheme="majorHAnsi"/>
          <w:sz w:val="20"/>
          <w:szCs w:val="20"/>
        </w:rPr>
        <w:t>(струму)</w:t>
      </w:r>
    </w:p>
    <w:p w14:paraId="4600FBA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2EC321B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КОЕФІЦІЄНТ АМПЛІТУДНОЇ (ЧАСТОТНОЇ)</w:t>
      </w:r>
      <w:r w:rsidRPr="000977F7">
        <w:rPr>
          <w:color w:val="auto"/>
          <w:spacing w:val="-47"/>
          <w:sz w:val="20"/>
          <w:szCs w:val="20"/>
        </w:rPr>
        <w:t xml:space="preserve"> </w:t>
      </w:r>
      <w:r w:rsidRPr="000977F7">
        <w:rPr>
          <w:color w:val="auto"/>
          <w:sz w:val="20"/>
          <w:szCs w:val="20"/>
        </w:rPr>
        <w:t>МОДУЛЯЦІЇ</w:t>
      </w:r>
      <w:r w:rsidRPr="000977F7">
        <w:rPr>
          <w:color w:val="auto"/>
          <w:spacing w:val="-2"/>
          <w:sz w:val="20"/>
          <w:szCs w:val="20"/>
        </w:rPr>
        <w:t xml:space="preserve"> </w:t>
      </w:r>
      <w:r w:rsidRPr="000977F7">
        <w:rPr>
          <w:color w:val="auto"/>
          <w:sz w:val="20"/>
          <w:szCs w:val="20"/>
        </w:rPr>
        <w:t>НАПРУГИ</w:t>
      </w:r>
      <w:r w:rsidRPr="000977F7">
        <w:rPr>
          <w:color w:val="auto"/>
          <w:spacing w:val="3"/>
          <w:sz w:val="20"/>
          <w:szCs w:val="20"/>
        </w:rPr>
        <w:t xml:space="preserve"> </w:t>
      </w:r>
      <w:r w:rsidRPr="000977F7">
        <w:rPr>
          <w:color w:val="auto"/>
          <w:sz w:val="20"/>
          <w:szCs w:val="20"/>
        </w:rPr>
        <w:t>—</w:t>
      </w:r>
    </w:p>
    <w:p w14:paraId="0EF1407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напіврізниці найбільшого та найменшого</w:t>
      </w:r>
      <w:r w:rsidRPr="000977F7">
        <w:rPr>
          <w:rFonts w:asciiTheme="majorHAnsi" w:hAnsiTheme="majorHAnsi"/>
          <w:spacing w:val="-47"/>
          <w:sz w:val="20"/>
          <w:szCs w:val="20"/>
        </w:rPr>
        <w:t xml:space="preserve"> </w:t>
      </w:r>
      <w:r w:rsidRPr="000977F7">
        <w:rPr>
          <w:rFonts w:asciiTheme="majorHAnsi" w:hAnsiTheme="majorHAnsi"/>
          <w:sz w:val="20"/>
          <w:szCs w:val="20"/>
        </w:rPr>
        <w:t>значень амплітуд модульованої напруги (частоти) на</w:t>
      </w:r>
      <w:r w:rsidRPr="000977F7">
        <w:rPr>
          <w:rFonts w:asciiTheme="majorHAnsi" w:hAnsiTheme="majorHAnsi"/>
          <w:spacing w:val="1"/>
          <w:sz w:val="20"/>
          <w:szCs w:val="20"/>
        </w:rPr>
        <w:t xml:space="preserve"> </w:t>
      </w:r>
      <w:r w:rsidRPr="000977F7">
        <w:rPr>
          <w:rFonts w:asciiTheme="majorHAnsi" w:hAnsiTheme="majorHAnsi"/>
          <w:sz w:val="20"/>
          <w:szCs w:val="20"/>
        </w:rPr>
        <w:t>певному проміжку часу до номінального чи базового</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2"/>
          <w:sz w:val="20"/>
          <w:szCs w:val="20"/>
        </w:rPr>
        <w:t xml:space="preserve"> </w:t>
      </w:r>
      <w:r w:rsidRPr="000977F7">
        <w:rPr>
          <w:rFonts w:asciiTheme="majorHAnsi" w:hAnsiTheme="majorHAnsi"/>
          <w:sz w:val="20"/>
          <w:szCs w:val="20"/>
        </w:rPr>
        <w:t>напруги</w:t>
      </w:r>
      <w:r w:rsidRPr="000977F7">
        <w:rPr>
          <w:rFonts w:asciiTheme="majorHAnsi" w:hAnsiTheme="majorHAnsi"/>
          <w:spacing w:val="-1"/>
          <w:sz w:val="20"/>
          <w:szCs w:val="20"/>
        </w:rPr>
        <w:t xml:space="preserve"> </w:t>
      </w:r>
      <w:r w:rsidRPr="000977F7">
        <w:rPr>
          <w:rFonts w:asciiTheme="majorHAnsi" w:hAnsiTheme="majorHAnsi"/>
          <w:sz w:val="20"/>
          <w:szCs w:val="20"/>
        </w:rPr>
        <w:t>(частоти)</w:t>
      </w:r>
    </w:p>
    <w:p w14:paraId="5843376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25B03A6A"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КОЕФІЦІЄНТ БРАКУ ТЕХНОЛОГІЧНОЇ СИСТЕМИ ОПЕРАЦІЇ (ПРОЦЕСУ ВИРОБНИЧОГО</w:t>
      </w:r>
      <w:r w:rsidRPr="000977F7">
        <w:rPr>
          <w:color w:val="auto"/>
          <w:spacing w:val="-47"/>
          <w:sz w:val="20"/>
          <w:szCs w:val="20"/>
        </w:rPr>
        <w:t xml:space="preserve"> </w:t>
      </w:r>
      <w:r w:rsidRPr="000977F7">
        <w:rPr>
          <w:color w:val="auto"/>
          <w:sz w:val="20"/>
          <w:szCs w:val="20"/>
        </w:rPr>
        <w:t>ПІДРОЗДІЛУ ПІДПРИЄМСТВА)</w:t>
      </w:r>
      <w:r w:rsidRPr="000977F7">
        <w:rPr>
          <w:color w:val="auto"/>
          <w:spacing w:val="-2"/>
          <w:sz w:val="20"/>
          <w:szCs w:val="20"/>
        </w:rPr>
        <w:t xml:space="preserve"> </w:t>
      </w:r>
      <w:r w:rsidRPr="000977F7">
        <w:rPr>
          <w:color w:val="auto"/>
          <w:sz w:val="20"/>
          <w:szCs w:val="20"/>
        </w:rPr>
        <w:t>–</w:t>
      </w:r>
    </w:p>
    <w:p w14:paraId="74BDB47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Відношення обсягу продукції з неусувними критичними дефектами до обсягу всієї продукції, виготовленої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розглядуваний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проміжок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часу технологічною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системою операції (процесу, виробничого підрозділу,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підприємства)</w:t>
      </w:r>
    </w:p>
    <w:p w14:paraId="2CC24A9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2470 - 94</w:t>
      </w:r>
    </w:p>
    <w:p w14:paraId="34B5918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 xml:space="preserve">КОЕФІЦІЄНТ ВАГОМОСТІ ПОКАЗНИКА </w:t>
      </w:r>
    </w:p>
    <w:p w14:paraId="349D954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ЯКО</w:t>
      </w:r>
      <w:r w:rsidRPr="000977F7">
        <w:rPr>
          <w:color w:val="auto"/>
          <w:spacing w:val="-48"/>
          <w:sz w:val="20"/>
          <w:szCs w:val="20"/>
        </w:rPr>
        <w:t xml:space="preserve"> </w:t>
      </w:r>
      <w:r w:rsidRPr="000977F7">
        <w:rPr>
          <w:color w:val="auto"/>
          <w:sz w:val="20"/>
          <w:szCs w:val="20"/>
        </w:rPr>
        <w:t>СТІ</w:t>
      </w:r>
      <w:r w:rsidRPr="000977F7">
        <w:rPr>
          <w:color w:val="auto"/>
          <w:spacing w:val="-2"/>
          <w:sz w:val="20"/>
          <w:szCs w:val="20"/>
        </w:rPr>
        <w:t xml:space="preserve"> </w:t>
      </w:r>
      <w:r w:rsidRPr="000977F7">
        <w:rPr>
          <w:color w:val="auto"/>
          <w:sz w:val="20"/>
          <w:szCs w:val="20"/>
        </w:rPr>
        <w:t>ПРОДУКЦІЇ –</w:t>
      </w:r>
    </w:p>
    <w:p w14:paraId="1C73BFF3"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Кількісна</w:t>
      </w:r>
      <w:r w:rsidRPr="000977F7">
        <w:rPr>
          <w:rFonts w:asciiTheme="majorHAnsi" w:hAnsiTheme="majorHAnsi"/>
          <w:spacing w:val="6"/>
          <w:sz w:val="20"/>
          <w:szCs w:val="20"/>
        </w:rPr>
        <w:t xml:space="preserve"> </w:t>
      </w:r>
      <w:r w:rsidRPr="000977F7">
        <w:rPr>
          <w:rFonts w:asciiTheme="majorHAnsi" w:hAnsiTheme="majorHAnsi"/>
          <w:sz w:val="20"/>
          <w:szCs w:val="20"/>
        </w:rPr>
        <w:t>характеристика</w:t>
      </w:r>
      <w:r w:rsidRPr="000977F7">
        <w:rPr>
          <w:rFonts w:asciiTheme="majorHAnsi" w:hAnsiTheme="majorHAnsi"/>
          <w:spacing w:val="6"/>
          <w:sz w:val="20"/>
          <w:szCs w:val="20"/>
        </w:rPr>
        <w:t xml:space="preserve"> </w:t>
      </w:r>
      <w:r w:rsidRPr="000977F7">
        <w:rPr>
          <w:rFonts w:asciiTheme="majorHAnsi" w:hAnsiTheme="majorHAnsi"/>
          <w:sz w:val="20"/>
          <w:szCs w:val="20"/>
        </w:rPr>
        <w:t>значущості</w:t>
      </w:r>
      <w:r w:rsidRPr="000977F7">
        <w:rPr>
          <w:rFonts w:asciiTheme="majorHAnsi" w:hAnsiTheme="majorHAnsi"/>
          <w:spacing w:val="8"/>
          <w:sz w:val="20"/>
          <w:szCs w:val="20"/>
        </w:rPr>
        <w:t xml:space="preserve"> </w:t>
      </w:r>
      <w:r w:rsidRPr="000977F7">
        <w:rPr>
          <w:rFonts w:asciiTheme="majorHAnsi" w:hAnsiTheme="majorHAnsi"/>
          <w:sz w:val="20"/>
          <w:szCs w:val="20"/>
        </w:rPr>
        <w:t>даного</w:t>
      </w:r>
      <w:r w:rsidRPr="000977F7">
        <w:rPr>
          <w:rFonts w:asciiTheme="majorHAnsi" w:hAnsiTheme="majorHAnsi"/>
          <w:spacing w:val="9"/>
          <w:sz w:val="20"/>
          <w:szCs w:val="20"/>
        </w:rPr>
        <w:t xml:space="preserve"> </w:t>
      </w:r>
      <w:r w:rsidRPr="000977F7">
        <w:rPr>
          <w:rFonts w:asciiTheme="majorHAnsi" w:hAnsiTheme="majorHAnsi"/>
          <w:sz w:val="20"/>
          <w:szCs w:val="20"/>
        </w:rPr>
        <w:t>показника якості продукції серед інших показників її якості</w:t>
      </w:r>
    </w:p>
    <w:p w14:paraId="1F977EE2"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КОЕФІЦІЄНТ</w:t>
      </w:r>
      <w:r w:rsidRPr="000977F7">
        <w:rPr>
          <w:rFonts w:asciiTheme="majorHAnsi" w:hAnsiTheme="majorHAnsi"/>
          <w:b/>
          <w:spacing w:val="-2"/>
          <w:sz w:val="20"/>
          <w:szCs w:val="20"/>
        </w:rPr>
        <w:t xml:space="preserve"> </w:t>
      </w:r>
      <w:r w:rsidRPr="000977F7">
        <w:rPr>
          <w:rFonts w:asciiTheme="majorHAnsi" w:hAnsiTheme="majorHAnsi"/>
          <w:b/>
          <w:sz w:val="20"/>
          <w:szCs w:val="20"/>
        </w:rPr>
        <w:t>ВАРІАЦІЇ</w:t>
      </w:r>
      <w:r w:rsidRPr="000977F7">
        <w:rPr>
          <w:rFonts w:asciiTheme="majorHAnsi" w:hAnsiTheme="majorHAnsi"/>
          <w:b/>
          <w:spacing w:val="4"/>
          <w:sz w:val="20"/>
          <w:szCs w:val="20"/>
        </w:rPr>
        <w:t xml:space="preserve"> </w:t>
      </w:r>
      <w:r w:rsidRPr="000977F7">
        <w:rPr>
          <w:rFonts w:asciiTheme="majorHAnsi" w:hAnsiTheme="majorHAnsi"/>
          <w:b/>
          <w:sz w:val="20"/>
          <w:szCs w:val="20"/>
        </w:rPr>
        <w:t>–</w:t>
      </w:r>
    </w:p>
    <w:p w14:paraId="11EB610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середнього квадратичного відхилення до</w:t>
      </w:r>
      <w:r w:rsidRPr="000977F7">
        <w:rPr>
          <w:rFonts w:asciiTheme="majorHAnsi" w:hAnsiTheme="majorHAnsi"/>
          <w:spacing w:val="1"/>
          <w:sz w:val="20"/>
          <w:szCs w:val="20"/>
        </w:rPr>
        <w:t xml:space="preserve"> </w:t>
      </w:r>
      <w:r w:rsidRPr="000977F7">
        <w:rPr>
          <w:rFonts w:asciiTheme="majorHAnsi" w:hAnsiTheme="majorHAnsi"/>
          <w:sz w:val="20"/>
          <w:szCs w:val="20"/>
        </w:rPr>
        <w:t>математичного сподівання</w:t>
      </w:r>
    </w:p>
    <w:p w14:paraId="0DF5CA2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2958B24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КОЕФІЦІЄНТ</w:t>
      </w:r>
      <w:r w:rsidRPr="000977F7">
        <w:rPr>
          <w:color w:val="auto"/>
          <w:spacing w:val="-5"/>
          <w:sz w:val="20"/>
          <w:szCs w:val="20"/>
        </w:rPr>
        <w:t xml:space="preserve"> </w:t>
      </w:r>
      <w:r w:rsidRPr="000977F7">
        <w:rPr>
          <w:color w:val="auto"/>
          <w:sz w:val="20"/>
          <w:szCs w:val="20"/>
        </w:rPr>
        <w:t>ВЗАЄМОЗАМІННОСТІ</w:t>
      </w:r>
      <w:r w:rsidRPr="000977F7">
        <w:rPr>
          <w:color w:val="auto"/>
          <w:spacing w:val="-3"/>
          <w:sz w:val="20"/>
          <w:szCs w:val="20"/>
        </w:rPr>
        <w:t xml:space="preserve"> </w:t>
      </w:r>
      <w:r w:rsidRPr="000977F7">
        <w:rPr>
          <w:color w:val="auto"/>
          <w:sz w:val="20"/>
          <w:szCs w:val="20"/>
        </w:rPr>
        <w:t>-</w:t>
      </w:r>
    </w:p>
    <w:p w14:paraId="4ABD0B0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оперативної трудомісткості заміни складальних одиниць або деталей об’єкта без врахування</w:t>
      </w:r>
      <w:r w:rsidRPr="000977F7">
        <w:rPr>
          <w:rFonts w:asciiTheme="majorHAnsi" w:hAnsiTheme="majorHAnsi"/>
          <w:spacing w:val="1"/>
          <w:sz w:val="20"/>
          <w:szCs w:val="20"/>
        </w:rPr>
        <w:t xml:space="preserve"> </w:t>
      </w:r>
      <w:r w:rsidRPr="000977F7">
        <w:rPr>
          <w:rFonts w:asciiTheme="majorHAnsi" w:hAnsiTheme="majorHAnsi"/>
          <w:sz w:val="20"/>
          <w:szCs w:val="20"/>
        </w:rPr>
        <w:t>пригоночних, регулювальних та селективних робіт до</w:t>
      </w:r>
      <w:r w:rsidRPr="000977F7">
        <w:rPr>
          <w:rFonts w:asciiTheme="majorHAnsi" w:hAnsiTheme="majorHAnsi"/>
          <w:spacing w:val="1"/>
          <w:sz w:val="20"/>
          <w:szCs w:val="20"/>
        </w:rPr>
        <w:t xml:space="preserve"> </w:t>
      </w:r>
      <w:r w:rsidRPr="000977F7">
        <w:rPr>
          <w:rFonts w:asciiTheme="majorHAnsi" w:hAnsiTheme="majorHAnsi"/>
          <w:sz w:val="20"/>
          <w:szCs w:val="20"/>
        </w:rPr>
        <w:t>оперативної трудомісткості складання об’єкта з врахуванням</w:t>
      </w:r>
      <w:r w:rsidRPr="000977F7">
        <w:rPr>
          <w:rFonts w:asciiTheme="majorHAnsi" w:hAnsiTheme="majorHAnsi"/>
          <w:spacing w:val="-1"/>
          <w:sz w:val="20"/>
          <w:szCs w:val="20"/>
        </w:rPr>
        <w:t xml:space="preserve"> </w:t>
      </w:r>
      <w:r w:rsidRPr="000977F7">
        <w:rPr>
          <w:rFonts w:asciiTheme="majorHAnsi" w:hAnsiTheme="majorHAnsi"/>
          <w:sz w:val="20"/>
          <w:szCs w:val="20"/>
        </w:rPr>
        <w:t>цих</w:t>
      </w:r>
      <w:r w:rsidRPr="000977F7">
        <w:rPr>
          <w:rFonts w:asciiTheme="majorHAnsi" w:hAnsiTheme="majorHAnsi"/>
          <w:spacing w:val="-1"/>
          <w:sz w:val="20"/>
          <w:szCs w:val="20"/>
        </w:rPr>
        <w:t xml:space="preserve"> </w:t>
      </w:r>
      <w:r w:rsidRPr="000977F7">
        <w:rPr>
          <w:rFonts w:asciiTheme="majorHAnsi" w:hAnsiTheme="majorHAnsi"/>
          <w:sz w:val="20"/>
          <w:szCs w:val="20"/>
        </w:rPr>
        <w:t>робіт</w:t>
      </w:r>
    </w:p>
    <w:p w14:paraId="515D5B0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КОЕФІЦІЄНТ</w:t>
      </w:r>
      <w:r w:rsidRPr="000977F7">
        <w:rPr>
          <w:color w:val="auto"/>
          <w:spacing w:val="-6"/>
          <w:sz w:val="20"/>
          <w:szCs w:val="20"/>
        </w:rPr>
        <w:t xml:space="preserve"> </w:t>
      </w:r>
      <w:r w:rsidRPr="000977F7">
        <w:rPr>
          <w:color w:val="auto"/>
          <w:sz w:val="20"/>
          <w:szCs w:val="20"/>
        </w:rPr>
        <w:t>ВИКОРИСТАННЯ</w:t>
      </w:r>
      <w:r w:rsidRPr="000977F7">
        <w:rPr>
          <w:color w:val="auto"/>
          <w:spacing w:val="-5"/>
          <w:sz w:val="20"/>
          <w:szCs w:val="20"/>
        </w:rPr>
        <w:t xml:space="preserve"> </w:t>
      </w:r>
      <w:r w:rsidRPr="000977F7">
        <w:rPr>
          <w:color w:val="auto"/>
          <w:sz w:val="20"/>
          <w:szCs w:val="20"/>
        </w:rPr>
        <w:t>МАТЕРІАЛУ</w:t>
      </w:r>
      <w:r w:rsidRPr="000977F7">
        <w:rPr>
          <w:color w:val="auto"/>
          <w:spacing w:val="-4"/>
          <w:sz w:val="20"/>
          <w:szCs w:val="20"/>
        </w:rPr>
        <w:t xml:space="preserve"> </w:t>
      </w:r>
      <w:r w:rsidRPr="000977F7">
        <w:rPr>
          <w:color w:val="auto"/>
          <w:sz w:val="20"/>
          <w:szCs w:val="20"/>
        </w:rPr>
        <w:t>–</w:t>
      </w:r>
    </w:p>
    <w:p w14:paraId="0579A73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Показник, що характеризує ступінь корисної витрати</w:t>
      </w:r>
      <w:r w:rsidRPr="000977F7">
        <w:rPr>
          <w:rFonts w:asciiTheme="majorHAnsi" w:hAnsiTheme="majorHAnsi"/>
          <w:spacing w:val="1"/>
          <w:sz w:val="20"/>
          <w:szCs w:val="20"/>
        </w:rPr>
        <w:t xml:space="preserve"> </w:t>
      </w:r>
      <w:r w:rsidRPr="000977F7">
        <w:rPr>
          <w:rFonts w:asciiTheme="majorHAnsi" w:hAnsiTheme="majorHAnsi"/>
          <w:sz w:val="20"/>
          <w:szCs w:val="20"/>
        </w:rPr>
        <w:t>матеріалу</w:t>
      </w:r>
      <w:r w:rsidRPr="000977F7">
        <w:rPr>
          <w:rFonts w:asciiTheme="majorHAnsi" w:hAnsiTheme="majorHAnsi"/>
          <w:spacing w:val="-5"/>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p>
    <w:p w14:paraId="2711692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1FC24DB" w14:textId="77777777" w:rsidR="0097612F" w:rsidRPr="000977F7" w:rsidRDefault="0097612F" w:rsidP="000977F7">
      <w:pPr>
        <w:pStyle w:val="7"/>
        <w:tabs>
          <w:tab w:val="left" w:pos="284"/>
        </w:tabs>
        <w:spacing w:before="0" w:line="240" w:lineRule="auto"/>
        <w:ind w:left="170"/>
        <w:mirrorIndents/>
        <w:jc w:val="both"/>
        <w:rPr>
          <w:color w:val="auto"/>
          <w:spacing w:val="-9"/>
          <w:sz w:val="20"/>
          <w:szCs w:val="20"/>
        </w:rPr>
      </w:pPr>
      <w:r w:rsidRPr="000977F7">
        <w:rPr>
          <w:color w:val="auto"/>
          <w:sz w:val="20"/>
          <w:szCs w:val="20"/>
        </w:rPr>
        <w:t>КОЕФІЦІЄНТ</w:t>
      </w:r>
      <w:r w:rsidRPr="000977F7">
        <w:rPr>
          <w:color w:val="auto"/>
          <w:spacing w:val="-10"/>
          <w:sz w:val="20"/>
          <w:szCs w:val="20"/>
        </w:rPr>
        <w:t xml:space="preserve"> </w:t>
      </w:r>
      <w:r w:rsidRPr="000977F7">
        <w:rPr>
          <w:color w:val="auto"/>
          <w:sz w:val="20"/>
          <w:szCs w:val="20"/>
        </w:rPr>
        <w:t>ВИКОРИСТАННЯ</w:t>
      </w:r>
      <w:r w:rsidRPr="000977F7">
        <w:rPr>
          <w:color w:val="auto"/>
          <w:spacing w:val="-9"/>
          <w:sz w:val="20"/>
          <w:szCs w:val="20"/>
        </w:rPr>
        <w:t xml:space="preserve"> </w:t>
      </w:r>
    </w:p>
    <w:p w14:paraId="211ED30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ТЕХНОЛОГІ</w:t>
      </w:r>
      <w:r w:rsidRPr="000977F7">
        <w:rPr>
          <w:color w:val="auto"/>
          <w:spacing w:val="-47"/>
          <w:sz w:val="20"/>
          <w:szCs w:val="20"/>
        </w:rPr>
        <w:t xml:space="preserve"> </w:t>
      </w:r>
      <w:r w:rsidRPr="000977F7">
        <w:rPr>
          <w:color w:val="auto"/>
          <w:sz w:val="20"/>
          <w:szCs w:val="20"/>
        </w:rPr>
        <w:t>ЧНОЇ</w:t>
      </w:r>
      <w:r w:rsidRPr="000977F7">
        <w:rPr>
          <w:color w:val="auto"/>
          <w:spacing w:val="-2"/>
          <w:sz w:val="20"/>
          <w:szCs w:val="20"/>
        </w:rPr>
        <w:t xml:space="preserve"> </w:t>
      </w:r>
      <w:r w:rsidRPr="000977F7">
        <w:rPr>
          <w:color w:val="auto"/>
          <w:sz w:val="20"/>
          <w:szCs w:val="20"/>
        </w:rPr>
        <w:t>СИСТЕМИ</w:t>
      </w:r>
      <w:r w:rsidRPr="000977F7">
        <w:rPr>
          <w:color w:val="auto"/>
          <w:spacing w:val="2"/>
          <w:sz w:val="20"/>
          <w:szCs w:val="20"/>
        </w:rPr>
        <w:t xml:space="preserve"> </w:t>
      </w:r>
      <w:r w:rsidRPr="000977F7">
        <w:rPr>
          <w:color w:val="auto"/>
          <w:sz w:val="20"/>
          <w:szCs w:val="20"/>
        </w:rPr>
        <w:t>-</w:t>
      </w:r>
    </w:p>
    <w:p w14:paraId="36929BD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UTILIZATION FACTOR OF TECHNOLOGICAL</w:t>
      </w:r>
      <w:r w:rsidRPr="004D2D14">
        <w:rPr>
          <w:rFonts w:asciiTheme="majorHAnsi" w:hAnsiTheme="majorHAnsi"/>
          <w:spacing w:val="-48"/>
          <w:sz w:val="20"/>
          <w:szCs w:val="20"/>
          <w:lang w:val="en-US"/>
        </w:rPr>
        <w:t xml:space="preserve"> </w:t>
      </w:r>
      <w:r w:rsidRPr="004D2D14">
        <w:rPr>
          <w:rFonts w:asciiTheme="majorHAnsi" w:hAnsiTheme="majorHAnsi"/>
          <w:sz w:val="20"/>
          <w:szCs w:val="20"/>
          <w:lang w:val="en-US"/>
        </w:rPr>
        <w:t>SISTEM –</w:t>
      </w:r>
    </w:p>
    <w:p w14:paraId="31718151" w14:textId="77777777" w:rsidR="0097612F" w:rsidRPr="000977F7" w:rsidRDefault="0097612F" w:rsidP="000977F7">
      <w:pPr>
        <w:pStyle w:val="af6"/>
        <w:tabs>
          <w:tab w:val="left" w:pos="284"/>
        </w:tabs>
        <w:spacing w:after="0"/>
        <w:ind w:left="170"/>
        <w:mirrorIndents/>
        <w:jc w:val="both"/>
        <w:rPr>
          <w:rFonts w:asciiTheme="majorHAnsi" w:hAnsiTheme="majorHAnsi"/>
          <w:spacing w:val="-2"/>
          <w:sz w:val="20"/>
          <w:szCs w:val="20"/>
        </w:rPr>
      </w:pPr>
      <w:r w:rsidRPr="000977F7">
        <w:rPr>
          <w:rFonts w:asciiTheme="majorHAnsi" w:hAnsiTheme="majorHAnsi"/>
          <w:spacing w:val="-2"/>
          <w:sz w:val="20"/>
          <w:szCs w:val="20"/>
        </w:rPr>
        <w:t>Відношення математичного сподівання сумарного часу перебування технологічної системи у працездатному стані до математичного сподівання сумарного часу перебування технологічної системи у працездатному стані та простоїв, зумовлених технічним обслуговуванням і ремонтом за певний період експлуатації. Характеризує відносну частку часу знаходження технологічної системи в працездатному стані за даний</w:t>
      </w:r>
    </w:p>
    <w:p w14:paraId="6A7ABDB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2"/>
          <w:sz w:val="20"/>
          <w:szCs w:val="20"/>
        </w:rPr>
        <w:t>інтервал часу з урахуванням усіх видів простоїв</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2"/>
          <w:sz w:val="20"/>
          <w:szCs w:val="20"/>
        </w:rPr>
        <w:t xml:space="preserve"> </w:t>
      </w:r>
      <w:r w:rsidRPr="000977F7">
        <w:rPr>
          <w:rFonts w:asciiTheme="majorHAnsi" w:hAnsiTheme="majorHAnsi"/>
          <w:sz w:val="20"/>
          <w:szCs w:val="20"/>
        </w:rPr>
        <w:t>номінального</w:t>
      </w:r>
      <w:r w:rsidRPr="000977F7">
        <w:rPr>
          <w:rFonts w:asciiTheme="majorHAnsi" w:hAnsiTheme="majorHAnsi"/>
          <w:spacing w:val="1"/>
          <w:sz w:val="20"/>
          <w:szCs w:val="20"/>
        </w:rPr>
        <w:t xml:space="preserve"> </w:t>
      </w:r>
      <w:r w:rsidRPr="000977F7">
        <w:rPr>
          <w:rFonts w:asciiTheme="majorHAnsi" w:hAnsiTheme="majorHAnsi"/>
          <w:sz w:val="20"/>
          <w:szCs w:val="20"/>
        </w:rPr>
        <w:t>фонду часу</w:t>
      </w:r>
      <w:r w:rsidRPr="000977F7">
        <w:rPr>
          <w:rFonts w:asciiTheme="majorHAnsi" w:hAnsiTheme="majorHAnsi"/>
          <w:spacing w:val="-3"/>
          <w:sz w:val="20"/>
          <w:szCs w:val="20"/>
        </w:rPr>
        <w:t xml:space="preserve"> </w:t>
      </w:r>
      <w:r w:rsidRPr="000977F7">
        <w:rPr>
          <w:rFonts w:asciiTheme="majorHAnsi" w:hAnsiTheme="majorHAnsi"/>
          <w:sz w:val="20"/>
          <w:szCs w:val="20"/>
        </w:rPr>
        <w:t>t</w:t>
      </w:r>
      <w:r w:rsidRPr="000977F7">
        <w:rPr>
          <w:rFonts w:asciiTheme="majorHAnsi" w:hAnsiTheme="majorHAnsi"/>
          <w:sz w:val="20"/>
          <w:szCs w:val="20"/>
          <w:vertAlign w:val="subscript"/>
        </w:rPr>
        <w:t>ном.,</w:t>
      </w:r>
      <w:r w:rsidRPr="000977F7">
        <w:rPr>
          <w:rFonts w:asciiTheme="majorHAnsi" w:hAnsiTheme="majorHAnsi"/>
          <w:spacing w:val="3"/>
          <w:sz w:val="20"/>
          <w:szCs w:val="20"/>
        </w:rPr>
        <w:t xml:space="preserve"> </w:t>
      </w:r>
      <w:r w:rsidRPr="000977F7">
        <w:rPr>
          <w:rFonts w:asciiTheme="majorHAnsi" w:hAnsiTheme="majorHAnsi"/>
          <w:sz w:val="20"/>
          <w:szCs w:val="20"/>
        </w:rPr>
        <w:t>год,</w:t>
      </w:r>
      <w:r w:rsidRPr="000977F7">
        <w:rPr>
          <w:rFonts w:asciiTheme="majorHAnsi" w:hAnsiTheme="majorHAnsi"/>
          <w:spacing w:val="1"/>
          <w:sz w:val="20"/>
          <w:szCs w:val="20"/>
        </w:rPr>
        <w:t xml:space="preserve"> </w:t>
      </w:r>
      <w:r w:rsidRPr="000977F7">
        <w:rPr>
          <w:rFonts w:asciiTheme="majorHAnsi" w:hAnsiTheme="majorHAnsi"/>
          <w:sz w:val="20"/>
          <w:szCs w:val="20"/>
        </w:rPr>
        <w:t>вираховують</w:t>
      </w:r>
      <w:r w:rsidRPr="000977F7">
        <w:rPr>
          <w:rFonts w:asciiTheme="majorHAnsi" w:hAnsiTheme="majorHAnsi"/>
          <w:spacing w:val="-3"/>
          <w:sz w:val="20"/>
          <w:szCs w:val="20"/>
        </w:rPr>
        <w:t xml:space="preserve"> </w:t>
      </w:r>
      <w:r w:rsidRPr="000977F7">
        <w:rPr>
          <w:rFonts w:asciiTheme="majorHAnsi" w:hAnsiTheme="majorHAnsi"/>
          <w:sz w:val="20"/>
          <w:szCs w:val="20"/>
        </w:rPr>
        <w:t>за</w:t>
      </w:r>
      <w:r w:rsidRPr="000977F7">
        <w:rPr>
          <w:rFonts w:asciiTheme="majorHAnsi" w:hAnsiTheme="majorHAnsi"/>
          <w:spacing w:val="-3"/>
          <w:sz w:val="20"/>
          <w:szCs w:val="20"/>
        </w:rPr>
        <w:t xml:space="preserve"> </w:t>
      </w:r>
      <w:r w:rsidRPr="000977F7">
        <w:rPr>
          <w:rFonts w:asciiTheme="majorHAnsi" w:hAnsiTheme="majorHAnsi"/>
          <w:sz w:val="20"/>
          <w:szCs w:val="20"/>
        </w:rPr>
        <w:t>формулою:</w:t>
      </w:r>
    </w:p>
    <w:p w14:paraId="01CD05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w w:val="95"/>
          <w:sz w:val="20"/>
          <w:szCs w:val="20"/>
        </w:rPr>
        <w:t>t</w:t>
      </w:r>
      <w:r w:rsidRPr="000977F7">
        <w:rPr>
          <w:rFonts w:asciiTheme="majorHAnsi" w:hAnsiTheme="majorHAnsi"/>
          <w:w w:val="95"/>
          <w:sz w:val="20"/>
          <w:szCs w:val="20"/>
          <w:vertAlign w:val="subscript"/>
        </w:rPr>
        <w:t>ном</w:t>
      </w:r>
      <w:r w:rsidRPr="000977F7">
        <w:rPr>
          <w:rFonts w:asciiTheme="majorHAnsi" w:hAnsiTheme="majorHAnsi"/>
          <w:spacing w:val="22"/>
          <w:w w:val="95"/>
          <w:sz w:val="20"/>
          <w:szCs w:val="20"/>
        </w:rPr>
        <w:t xml:space="preserve"> </w:t>
      </w:r>
      <w:r w:rsidRPr="000977F7">
        <w:rPr>
          <w:rFonts w:asciiTheme="majorHAnsi" w:hAnsiTheme="majorHAnsi"/>
          <w:w w:val="95"/>
          <w:sz w:val="20"/>
          <w:szCs w:val="20"/>
        </w:rPr>
        <w:t>=</w:t>
      </w:r>
      <w:r w:rsidRPr="000977F7">
        <w:rPr>
          <w:rFonts w:asciiTheme="majorHAnsi" w:hAnsiTheme="majorHAnsi"/>
          <w:spacing w:val="10"/>
          <w:w w:val="95"/>
          <w:sz w:val="20"/>
          <w:szCs w:val="20"/>
        </w:rPr>
        <w:t xml:space="preserve"> </w:t>
      </w:r>
      <w:r w:rsidRPr="000977F7">
        <w:rPr>
          <w:rFonts w:asciiTheme="majorHAnsi" w:hAnsiTheme="majorHAnsi"/>
          <w:w w:val="95"/>
          <w:sz w:val="20"/>
          <w:szCs w:val="20"/>
        </w:rPr>
        <w:t>[(Д</w:t>
      </w:r>
      <w:r w:rsidRPr="000977F7">
        <w:rPr>
          <w:rFonts w:asciiTheme="majorHAnsi" w:hAnsiTheme="majorHAnsi"/>
          <w:w w:val="95"/>
          <w:sz w:val="20"/>
          <w:szCs w:val="20"/>
          <w:vertAlign w:val="subscript"/>
        </w:rPr>
        <w:t>к</w:t>
      </w:r>
      <w:r w:rsidRPr="000977F7">
        <w:rPr>
          <w:rFonts w:asciiTheme="majorHAnsi" w:hAnsiTheme="majorHAnsi"/>
          <w:spacing w:val="9"/>
          <w:w w:val="95"/>
          <w:sz w:val="20"/>
          <w:szCs w:val="20"/>
        </w:rPr>
        <w:t xml:space="preserve"> </w:t>
      </w:r>
      <w:r w:rsidRPr="000977F7">
        <w:rPr>
          <w:rFonts w:asciiTheme="majorHAnsi" w:hAnsiTheme="majorHAnsi"/>
          <w:w w:val="95"/>
          <w:sz w:val="20"/>
          <w:szCs w:val="20"/>
        </w:rPr>
        <w:t>Д</w:t>
      </w:r>
      <w:r w:rsidRPr="000977F7">
        <w:rPr>
          <w:rFonts w:asciiTheme="majorHAnsi" w:hAnsiTheme="majorHAnsi"/>
          <w:w w:val="95"/>
          <w:sz w:val="20"/>
          <w:szCs w:val="20"/>
          <w:vertAlign w:val="subscript"/>
        </w:rPr>
        <w:t>с</w:t>
      </w:r>
      <w:r w:rsidRPr="000977F7">
        <w:rPr>
          <w:rFonts w:asciiTheme="majorHAnsi" w:hAnsiTheme="majorHAnsi"/>
          <w:spacing w:val="11"/>
          <w:w w:val="95"/>
          <w:sz w:val="20"/>
          <w:szCs w:val="20"/>
        </w:rPr>
        <w:t xml:space="preserve"> </w:t>
      </w:r>
      <w:r w:rsidRPr="000977F7">
        <w:rPr>
          <w:rFonts w:asciiTheme="majorHAnsi" w:hAnsiTheme="majorHAnsi"/>
          <w:w w:val="95"/>
          <w:sz w:val="20"/>
          <w:szCs w:val="20"/>
        </w:rPr>
        <w:t>–</w:t>
      </w:r>
      <w:r w:rsidRPr="000977F7">
        <w:rPr>
          <w:rFonts w:asciiTheme="majorHAnsi" w:hAnsiTheme="majorHAnsi"/>
          <w:spacing w:val="12"/>
          <w:w w:val="95"/>
          <w:sz w:val="20"/>
          <w:szCs w:val="20"/>
        </w:rPr>
        <w:t xml:space="preserve"> </w:t>
      </w:r>
      <w:r w:rsidRPr="000977F7">
        <w:rPr>
          <w:rFonts w:asciiTheme="majorHAnsi" w:hAnsiTheme="majorHAnsi"/>
          <w:w w:val="95"/>
          <w:sz w:val="20"/>
          <w:szCs w:val="20"/>
        </w:rPr>
        <w:t>Д</w:t>
      </w:r>
      <w:r w:rsidRPr="000977F7">
        <w:rPr>
          <w:rFonts w:asciiTheme="majorHAnsi" w:hAnsiTheme="majorHAnsi"/>
          <w:w w:val="95"/>
          <w:sz w:val="20"/>
          <w:szCs w:val="20"/>
          <w:vertAlign w:val="subscript"/>
        </w:rPr>
        <w:t>с.с</w:t>
      </w:r>
      <w:r w:rsidRPr="000977F7">
        <w:rPr>
          <w:rFonts w:asciiTheme="majorHAnsi" w:hAnsiTheme="majorHAnsi"/>
          <w:w w:val="95"/>
          <w:sz w:val="20"/>
          <w:szCs w:val="20"/>
        </w:rPr>
        <w:t>)</w:t>
      </w:r>
      <w:r w:rsidRPr="000977F7">
        <w:rPr>
          <w:rFonts w:asciiTheme="majorHAnsi" w:hAnsiTheme="majorHAnsi"/>
          <w:spacing w:val="8"/>
          <w:w w:val="95"/>
          <w:sz w:val="20"/>
          <w:szCs w:val="20"/>
        </w:rPr>
        <w:t xml:space="preserve"> </w:t>
      </w:r>
      <w:r w:rsidRPr="000977F7">
        <w:rPr>
          <w:rFonts w:asciiTheme="majorHAnsi" w:hAnsiTheme="majorHAnsi"/>
          <w:w w:val="95"/>
          <w:sz w:val="20"/>
          <w:szCs w:val="20"/>
        </w:rPr>
        <w:t>t</w:t>
      </w:r>
      <w:r w:rsidRPr="000977F7">
        <w:rPr>
          <w:rFonts w:asciiTheme="majorHAnsi" w:hAnsiTheme="majorHAnsi"/>
          <w:w w:val="95"/>
          <w:sz w:val="20"/>
          <w:szCs w:val="20"/>
          <w:vertAlign w:val="subscript"/>
        </w:rPr>
        <w:t>з</w:t>
      </w:r>
      <w:r w:rsidRPr="000977F7">
        <w:rPr>
          <w:rFonts w:asciiTheme="majorHAnsi" w:hAnsiTheme="majorHAnsi"/>
          <w:spacing w:val="9"/>
          <w:w w:val="95"/>
          <w:sz w:val="20"/>
          <w:szCs w:val="20"/>
        </w:rPr>
        <w:t xml:space="preserve"> </w:t>
      </w:r>
      <w:r w:rsidRPr="000977F7">
        <w:rPr>
          <w:rFonts w:asciiTheme="majorHAnsi" w:hAnsiTheme="majorHAnsi"/>
          <w:b/>
          <w:w w:val="95"/>
          <w:sz w:val="20"/>
          <w:szCs w:val="20"/>
        </w:rPr>
        <w:t>+</w:t>
      </w:r>
      <w:r w:rsidRPr="000977F7">
        <w:rPr>
          <w:rFonts w:asciiTheme="majorHAnsi" w:hAnsiTheme="majorHAnsi"/>
          <w:b/>
          <w:spacing w:val="10"/>
          <w:w w:val="95"/>
          <w:sz w:val="20"/>
          <w:szCs w:val="20"/>
        </w:rPr>
        <w:t xml:space="preserve"> </w:t>
      </w:r>
      <w:r w:rsidRPr="000977F7">
        <w:rPr>
          <w:rFonts w:asciiTheme="majorHAnsi" w:hAnsiTheme="majorHAnsi"/>
          <w:w w:val="95"/>
          <w:sz w:val="20"/>
          <w:szCs w:val="20"/>
        </w:rPr>
        <w:t>Д</w:t>
      </w:r>
      <w:r w:rsidRPr="000977F7">
        <w:rPr>
          <w:rFonts w:asciiTheme="majorHAnsi" w:hAnsiTheme="majorHAnsi"/>
          <w:w w:val="95"/>
          <w:sz w:val="20"/>
          <w:szCs w:val="20"/>
          <w:vertAlign w:val="subscript"/>
        </w:rPr>
        <w:t>с.с</w:t>
      </w:r>
      <w:r w:rsidRPr="000977F7">
        <w:rPr>
          <w:rFonts w:asciiTheme="majorHAnsi" w:hAnsiTheme="majorHAnsi"/>
          <w:spacing w:val="-10"/>
          <w:w w:val="95"/>
          <w:sz w:val="20"/>
          <w:szCs w:val="20"/>
        </w:rPr>
        <w:t xml:space="preserve"> </w:t>
      </w:r>
      <w:r w:rsidRPr="000977F7">
        <w:rPr>
          <w:rFonts w:asciiTheme="majorHAnsi" w:hAnsiTheme="majorHAnsi"/>
          <w:w w:val="95"/>
          <w:sz w:val="20"/>
          <w:szCs w:val="20"/>
        </w:rPr>
        <w:t>t</w:t>
      </w:r>
      <w:r w:rsidRPr="000977F7">
        <w:rPr>
          <w:rFonts w:asciiTheme="majorHAnsi" w:hAnsiTheme="majorHAnsi"/>
          <w:w w:val="95"/>
          <w:sz w:val="20"/>
          <w:szCs w:val="20"/>
          <w:vertAlign w:val="subscript"/>
        </w:rPr>
        <w:t>с.з</w:t>
      </w:r>
      <w:r w:rsidRPr="000977F7">
        <w:rPr>
          <w:rFonts w:asciiTheme="majorHAnsi" w:hAnsiTheme="majorHAnsi"/>
          <w:spacing w:val="-10"/>
          <w:w w:val="95"/>
          <w:sz w:val="20"/>
          <w:szCs w:val="20"/>
        </w:rPr>
        <w:t xml:space="preserve"> </w:t>
      </w:r>
      <w:r w:rsidRPr="000977F7">
        <w:rPr>
          <w:rFonts w:asciiTheme="majorHAnsi" w:hAnsiTheme="majorHAnsi"/>
          <w:w w:val="95"/>
          <w:sz w:val="20"/>
          <w:szCs w:val="20"/>
        </w:rPr>
        <w:t>]</w:t>
      </w:r>
      <w:r w:rsidRPr="000977F7">
        <w:rPr>
          <w:rFonts w:asciiTheme="majorHAnsi" w:hAnsiTheme="majorHAnsi"/>
          <w:spacing w:val="10"/>
          <w:w w:val="95"/>
          <w:sz w:val="20"/>
          <w:szCs w:val="20"/>
        </w:rPr>
        <w:t xml:space="preserve"> </w:t>
      </w:r>
      <w:r w:rsidRPr="000977F7">
        <w:rPr>
          <w:rFonts w:asciiTheme="majorHAnsi" w:hAnsiTheme="majorHAnsi"/>
          <w:w w:val="95"/>
          <w:sz w:val="20"/>
          <w:szCs w:val="20"/>
        </w:rPr>
        <w:t>n</w:t>
      </w:r>
      <w:r w:rsidRPr="000977F7">
        <w:rPr>
          <w:rFonts w:asciiTheme="majorHAnsi" w:hAnsiTheme="majorHAnsi"/>
          <w:w w:val="95"/>
          <w:sz w:val="20"/>
          <w:szCs w:val="20"/>
          <w:vertAlign w:val="subscript"/>
        </w:rPr>
        <w:t>з</w:t>
      </w:r>
      <w:r w:rsidRPr="000977F7">
        <w:rPr>
          <w:rFonts w:asciiTheme="majorHAnsi" w:hAnsiTheme="majorHAnsi"/>
          <w:w w:val="95"/>
          <w:sz w:val="20"/>
          <w:szCs w:val="20"/>
        </w:rPr>
        <w:t>,</w:t>
      </w:r>
    </w:p>
    <w:p w14:paraId="315E87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w:t>
      </w:r>
      <w:r w:rsidRPr="000977F7">
        <w:rPr>
          <w:rFonts w:asciiTheme="majorHAnsi" w:hAnsiTheme="majorHAnsi"/>
          <w:spacing w:val="10"/>
          <w:sz w:val="20"/>
          <w:szCs w:val="20"/>
        </w:rPr>
        <w:t xml:space="preserve"> </w:t>
      </w:r>
      <w:r w:rsidRPr="000977F7">
        <w:rPr>
          <w:rFonts w:asciiTheme="majorHAnsi" w:hAnsiTheme="majorHAnsi"/>
          <w:sz w:val="20"/>
          <w:szCs w:val="20"/>
        </w:rPr>
        <w:t>Д</w:t>
      </w:r>
      <w:r w:rsidRPr="000977F7">
        <w:rPr>
          <w:rFonts w:asciiTheme="majorHAnsi" w:hAnsiTheme="majorHAnsi"/>
          <w:sz w:val="20"/>
          <w:szCs w:val="20"/>
          <w:vertAlign w:val="subscript"/>
        </w:rPr>
        <w:t>к</w:t>
      </w:r>
      <w:r w:rsidRPr="000977F7">
        <w:rPr>
          <w:rFonts w:asciiTheme="majorHAnsi" w:hAnsiTheme="majorHAnsi"/>
          <w:spacing w:val="9"/>
          <w:sz w:val="20"/>
          <w:szCs w:val="20"/>
        </w:rPr>
        <w:t xml:space="preserve"> </w:t>
      </w:r>
      <w:r w:rsidRPr="000977F7">
        <w:rPr>
          <w:rFonts w:asciiTheme="majorHAnsi" w:hAnsiTheme="majorHAnsi"/>
          <w:sz w:val="20"/>
          <w:szCs w:val="20"/>
        </w:rPr>
        <w:t>–число</w:t>
      </w:r>
      <w:r w:rsidRPr="000977F7">
        <w:rPr>
          <w:rFonts w:asciiTheme="majorHAnsi" w:hAnsiTheme="majorHAnsi"/>
          <w:spacing w:val="30"/>
          <w:sz w:val="20"/>
          <w:szCs w:val="20"/>
        </w:rPr>
        <w:t xml:space="preserve"> </w:t>
      </w:r>
      <w:r w:rsidRPr="000977F7">
        <w:rPr>
          <w:rFonts w:asciiTheme="majorHAnsi" w:hAnsiTheme="majorHAnsi"/>
          <w:sz w:val="20"/>
          <w:szCs w:val="20"/>
        </w:rPr>
        <w:t>днів</w:t>
      </w:r>
      <w:r w:rsidRPr="000977F7">
        <w:rPr>
          <w:rFonts w:asciiTheme="majorHAnsi" w:hAnsiTheme="majorHAnsi"/>
          <w:spacing w:val="31"/>
          <w:sz w:val="20"/>
          <w:szCs w:val="20"/>
        </w:rPr>
        <w:t xml:space="preserve"> </w:t>
      </w:r>
      <w:r w:rsidRPr="000977F7">
        <w:rPr>
          <w:rFonts w:asciiTheme="majorHAnsi" w:hAnsiTheme="majorHAnsi"/>
          <w:sz w:val="20"/>
          <w:szCs w:val="20"/>
        </w:rPr>
        <w:t>у</w:t>
      </w:r>
      <w:r w:rsidRPr="000977F7">
        <w:rPr>
          <w:rFonts w:asciiTheme="majorHAnsi" w:hAnsiTheme="majorHAnsi"/>
          <w:spacing w:val="26"/>
          <w:sz w:val="20"/>
          <w:szCs w:val="20"/>
        </w:rPr>
        <w:t xml:space="preserve"> </w:t>
      </w:r>
      <w:r w:rsidRPr="000977F7">
        <w:rPr>
          <w:rFonts w:asciiTheme="majorHAnsi" w:hAnsiTheme="majorHAnsi"/>
          <w:sz w:val="20"/>
          <w:szCs w:val="20"/>
        </w:rPr>
        <w:t>даному</w:t>
      </w:r>
      <w:r w:rsidRPr="000977F7">
        <w:rPr>
          <w:rFonts w:asciiTheme="majorHAnsi" w:hAnsiTheme="majorHAnsi"/>
          <w:spacing w:val="28"/>
          <w:sz w:val="20"/>
          <w:szCs w:val="20"/>
        </w:rPr>
        <w:t xml:space="preserve"> </w:t>
      </w:r>
      <w:r w:rsidRPr="000977F7">
        <w:rPr>
          <w:rFonts w:asciiTheme="majorHAnsi" w:hAnsiTheme="majorHAnsi"/>
          <w:sz w:val="20"/>
          <w:szCs w:val="20"/>
        </w:rPr>
        <w:t>календарному</w:t>
      </w:r>
      <w:r w:rsidRPr="000977F7">
        <w:rPr>
          <w:rFonts w:asciiTheme="majorHAnsi" w:hAnsiTheme="majorHAnsi"/>
          <w:spacing w:val="25"/>
          <w:sz w:val="20"/>
          <w:szCs w:val="20"/>
        </w:rPr>
        <w:t xml:space="preserve"> </w:t>
      </w:r>
      <w:r w:rsidRPr="000977F7">
        <w:rPr>
          <w:rFonts w:asciiTheme="majorHAnsi" w:hAnsiTheme="majorHAnsi"/>
          <w:sz w:val="20"/>
          <w:szCs w:val="20"/>
        </w:rPr>
        <w:t>інтервалі</w:t>
      </w:r>
      <w:r w:rsidRPr="000977F7">
        <w:rPr>
          <w:rFonts w:asciiTheme="majorHAnsi" w:hAnsiTheme="majorHAnsi"/>
          <w:spacing w:val="-47"/>
          <w:sz w:val="20"/>
          <w:szCs w:val="20"/>
        </w:rPr>
        <w:t xml:space="preserve"> </w:t>
      </w:r>
      <w:r w:rsidRPr="000977F7">
        <w:rPr>
          <w:rFonts w:asciiTheme="majorHAnsi" w:hAnsiTheme="majorHAnsi"/>
          <w:sz w:val="20"/>
          <w:szCs w:val="20"/>
        </w:rPr>
        <w:t>часу;</w:t>
      </w:r>
    </w:p>
    <w:p w14:paraId="129141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w:t>
      </w:r>
      <w:r w:rsidRPr="000977F7">
        <w:rPr>
          <w:rFonts w:asciiTheme="majorHAnsi" w:hAnsiTheme="majorHAnsi"/>
          <w:sz w:val="20"/>
          <w:szCs w:val="20"/>
          <w:vertAlign w:val="subscript"/>
        </w:rPr>
        <w:t>с</w:t>
      </w:r>
      <w:r w:rsidRPr="000977F7">
        <w:rPr>
          <w:rFonts w:asciiTheme="majorHAnsi" w:hAnsiTheme="majorHAnsi"/>
          <w:spacing w:val="12"/>
          <w:sz w:val="20"/>
          <w:szCs w:val="20"/>
        </w:rPr>
        <w:t xml:space="preserve"> </w:t>
      </w:r>
      <w:r w:rsidRPr="000977F7">
        <w:rPr>
          <w:rFonts w:asciiTheme="majorHAnsi" w:hAnsiTheme="majorHAnsi"/>
          <w:sz w:val="20"/>
          <w:szCs w:val="20"/>
        </w:rPr>
        <w:t>–</w:t>
      </w:r>
      <w:r w:rsidRPr="000977F7">
        <w:rPr>
          <w:rFonts w:asciiTheme="majorHAnsi" w:hAnsiTheme="majorHAnsi"/>
          <w:spacing w:val="14"/>
          <w:sz w:val="20"/>
          <w:szCs w:val="20"/>
        </w:rPr>
        <w:t xml:space="preserve"> </w:t>
      </w:r>
      <w:r w:rsidRPr="000977F7">
        <w:rPr>
          <w:rFonts w:asciiTheme="majorHAnsi" w:hAnsiTheme="majorHAnsi"/>
          <w:sz w:val="20"/>
          <w:szCs w:val="20"/>
        </w:rPr>
        <w:t>число</w:t>
      </w:r>
      <w:r w:rsidRPr="000977F7">
        <w:rPr>
          <w:rFonts w:asciiTheme="majorHAnsi" w:hAnsiTheme="majorHAnsi"/>
          <w:spacing w:val="13"/>
          <w:sz w:val="20"/>
          <w:szCs w:val="20"/>
        </w:rPr>
        <w:t xml:space="preserve"> </w:t>
      </w:r>
      <w:r w:rsidRPr="000977F7">
        <w:rPr>
          <w:rFonts w:asciiTheme="majorHAnsi" w:hAnsiTheme="majorHAnsi"/>
          <w:sz w:val="20"/>
          <w:szCs w:val="20"/>
        </w:rPr>
        <w:t>вихідних</w:t>
      </w:r>
      <w:r w:rsidRPr="000977F7">
        <w:rPr>
          <w:rFonts w:asciiTheme="majorHAnsi" w:hAnsiTheme="majorHAnsi"/>
          <w:spacing w:val="11"/>
          <w:sz w:val="20"/>
          <w:szCs w:val="20"/>
        </w:rPr>
        <w:t xml:space="preserve"> </w:t>
      </w:r>
      <w:r w:rsidRPr="000977F7">
        <w:rPr>
          <w:rFonts w:asciiTheme="majorHAnsi" w:hAnsiTheme="majorHAnsi"/>
          <w:sz w:val="20"/>
          <w:szCs w:val="20"/>
        </w:rPr>
        <w:t>і</w:t>
      </w:r>
      <w:r w:rsidRPr="000977F7">
        <w:rPr>
          <w:rFonts w:asciiTheme="majorHAnsi" w:hAnsiTheme="majorHAnsi"/>
          <w:spacing w:val="13"/>
          <w:sz w:val="20"/>
          <w:szCs w:val="20"/>
        </w:rPr>
        <w:t xml:space="preserve"> </w:t>
      </w:r>
      <w:r w:rsidRPr="000977F7">
        <w:rPr>
          <w:rFonts w:asciiTheme="majorHAnsi" w:hAnsiTheme="majorHAnsi"/>
          <w:sz w:val="20"/>
          <w:szCs w:val="20"/>
        </w:rPr>
        <w:t>святкових</w:t>
      </w:r>
      <w:r w:rsidRPr="000977F7">
        <w:rPr>
          <w:rFonts w:asciiTheme="majorHAnsi" w:hAnsiTheme="majorHAnsi"/>
          <w:spacing w:val="11"/>
          <w:sz w:val="20"/>
          <w:szCs w:val="20"/>
        </w:rPr>
        <w:t xml:space="preserve"> </w:t>
      </w:r>
      <w:r w:rsidRPr="000977F7">
        <w:rPr>
          <w:rFonts w:asciiTheme="majorHAnsi" w:hAnsiTheme="majorHAnsi"/>
          <w:sz w:val="20"/>
          <w:szCs w:val="20"/>
        </w:rPr>
        <w:t>днів</w:t>
      </w:r>
      <w:r w:rsidRPr="000977F7">
        <w:rPr>
          <w:rFonts w:asciiTheme="majorHAnsi" w:hAnsiTheme="majorHAnsi"/>
          <w:spacing w:val="11"/>
          <w:sz w:val="20"/>
          <w:szCs w:val="20"/>
        </w:rPr>
        <w:t xml:space="preserve"> </w:t>
      </w:r>
      <w:r w:rsidRPr="000977F7">
        <w:rPr>
          <w:rFonts w:asciiTheme="majorHAnsi" w:hAnsiTheme="majorHAnsi"/>
          <w:sz w:val="20"/>
          <w:szCs w:val="20"/>
        </w:rPr>
        <w:t>в</w:t>
      </w:r>
      <w:r w:rsidRPr="000977F7">
        <w:rPr>
          <w:rFonts w:asciiTheme="majorHAnsi" w:hAnsiTheme="majorHAnsi"/>
          <w:spacing w:val="12"/>
          <w:sz w:val="20"/>
          <w:szCs w:val="20"/>
        </w:rPr>
        <w:t xml:space="preserve"> </w:t>
      </w:r>
      <w:r w:rsidRPr="000977F7">
        <w:rPr>
          <w:rFonts w:asciiTheme="majorHAnsi" w:hAnsiTheme="majorHAnsi"/>
          <w:sz w:val="20"/>
          <w:szCs w:val="20"/>
        </w:rPr>
        <w:t>даному</w:t>
      </w:r>
      <w:r w:rsidRPr="000977F7">
        <w:rPr>
          <w:rFonts w:asciiTheme="majorHAnsi" w:hAnsiTheme="majorHAnsi"/>
          <w:spacing w:val="9"/>
          <w:sz w:val="20"/>
          <w:szCs w:val="20"/>
        </w:rPr>
        <w:t xml:space="preserve"> </w:t>
      </w:r>
      <w:r w:rsidRPr="000977F7">
        <w:rPr>
          <w:rFonts w:asciiTheme="majorHAnsi" w:hAnsiTheme="majorHAnsi"/>
          <w:sz w:val="20"/>
          <w:szCs w:val="20"/>
        </w:rPr>
        <w:t>календарному</w:t>
      </w:r>
      <w:r w:rsidRPr="000977F7">
        <w:rPr>
          <w:rFonts w:asciiTheme="majorHAnsi" w:hAnsiTheme="majorHAnsi"/>
          <w:spacing w:val="-5"/>
          <w:sz w:val="20"/>
          <w:szCs w:val="20"/>
        </w:rPr>
        <w:t xml:space="preserve"> </w:t>
      </w:r>
      <w:r w:rsidRPr="000977F7">
        <w:rPr>
          <w:rFonts w:asciiTheme="majorHAnsi" w:hAnsiTheme="majorHAnsi"/>
          <w:sz w:val="20"/>
          <w:szCs w:val="20"/>
        </w:rPr>
        <w:t>проміжку</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69916BA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w:t>
      </w:r>
      <w:r w:rsidRPr="000977F7">
        <w:rPr>
          <w:rFonts w:asciiTheme="majorHAnsi" w:hAnsiTheme="majorHAnsi"/>
          <w:sz w:val="20"/>
          <w:szCs w:val="20"/>
          <w:vertAlign w:val="subscript"/>
        </w:rPr>
        <w:t>с.с</w:t>
      </w:r>
      <w:r w:rsidRPr="000977F7">
        <w:rPr>
          <w:rFonts w:asciiTheme="majorHAnsi" w:hAnsiTheme="majorHAnsi"/>
          <w:spacing w:val="-6"/>
          <w:sz w:val="20"/>
          <w:szCs w:val="20"/>
        </w:rPr>
        <w:t xml:space="preserve"> </w:t>
      </w:r>
      <w:r w:rsidRPr="000977F7">
        <w:rPr>
          <w:rFonts w:asciiTheme="majorHAnsi" w:hAnsiTheme="majorHAnsi"/>
          <w:sz w:val="20"/>
          <w:szCs w:val="20"/>
        </w:rPr>
        <w:t>–</w:t>
      </w:r>
      <w:r w:rsidRPr="000977F7">
        <w:rPr>
          <w:rFonts w:asciiTheme="majorHAnsi" w:hAnsiTheme="majorHAnsi"/>
          <w:spacing w:val="13"/>
          <w:sz w:val="20"/>
          <w:szCs w:val="20"/>
        </w:rPr>
        <w:t xml:space="preserve"> </w:t>
      </w:r>
      <w:r w:rsidRPr="000977F7">
        <w:rPr>
          <w:rFonts w:asciiTheme="majorHAnsi" w:hAnsiTheme="majorHAnsi"/>
          <w:sz w:val="20"/>
          <w:szCs w:val="20"/>
        </w:rPr>
        <w:t>число</w:t>
      </w:r>
      <w:r w:rsidRPr="000977F7">
        <w:rPr>
          <w:rFonts w:asciiTheme="majorHAnsi" w:hAnsiTheme="majorHAnsi"/>
          <w:spacing w:val="12"/>
          <w:sz w:val="20"/>
          <w:szCs w:val="20"/>
        </w:rPr>
        <w:t xml:space="preserve"> </w:t>
      </w:r>
      <w:r w:rsidRPr="000977F7">
        <w:rPr>
          <w:rFonts w:asciiTheme="majorHAnsi" w:hAnsiTheme="majorHAnsi"/>
          <w:sz w:val="20"/>
          <w:szCs w:val="20"/>
        </w:rPr>
        <w:t>днів</w:t>
      </w:r>
      <w:r w:rsidRPr="000977F7">
        <w:rPr>
          <w:rFonts w:asciiTheme="majorHAnsi" w:hAnsiTheme="majorHAnsi"/>
          <w:spacing w:val="13"/>
          <w:sz w:val="20"/>
          <w:szCs w:val="20"/>
        </w:rPr>
        <w:t xml:space="preserve"> </w:t>
      </w:r>
      <w:r w:rsidRPr="000977F7">
        <w:rPr>
          <w:rFonts w:asciiTheme="majorHAnsi" w:hAnsiTheme="majorHAnsi"/>
          <w:sz w:val="20"/>
          <w:szCs w:val="20"/>
        </w:rPr>
        <w:t>зі</w:t>
      </w:r>
      <w:r w:rsidRPr="000977F7">
        <w:rPr>
          <w:rFonts w:asciiTheme="majorHAnsi" w:hAnsiTheme="majorHAnsi"/>
          <w:spacing w:val="11"/>
          <w:sz w:val="20"/>
          <w:szCs w:val="20"/>
        </w:rPr>
        <w:t xml:space="preserve"> </w:t>
      </w:r>
      <w:r w:rsidRPr="000977F7">
        <w:rPr>
          <w:rFonts w:asciiTheme="majorHAnsi" w:hAnsiTheme="majorHAnsi"/>
          <w:sz w:val="20"/>
          <w:szCs w:val="20"/>
        </w:rPr>
        <w:t>скороченою</w:t>
      </w:r>
      <w:r w:rsidRPr="000977F7">
        <w:rPr>
          <w:rFonts w:asciiTheme="majorHAnsi" w:hAnsiTheme="majorHAnsi"/>
          <w:spacing w:val="12"/>
          <w:sz w:val="20"/>
          <w:szCs w:val="20"/>
        </w:rPr>
        <w:t xml:space="preserve"> </w:t>
      </w:r>
      <w:r w:rsidRPr="000977F7">
        <w:rPr>
          <w:rFonts w:asciiTheme="majorHAnsi" w:hAnsiTheme="majorHAnsi"/>
          <w:sz w:val="20"/>
          <w:szCs w:val="20"/>
        </w:rPr>
        <w:t>робочою</w:t>
      </w:r>
      <w:r w:rsidRPr="000977F7">
        <w:rPr>
          <w:rFonts w:asciiTheme="majorHAnsi" w:hAnsiTheme="majorHAnsi"/>
          <w:spacing w:val="12"/>
          <w:sz w:val="20"/>
          <w:szCs w:val="20"/>
        </w:rPr>
        <w:t xml:space="preserve"> </w:t>
      </w:r>
      <w:r w:rsidRPr="000977F7">
        <w:rPr>
          <w:rFonts w:asciiTheme="majorHAnsi" w:hAnsiTheme="majorHAnsi"/>
          <w:sz w:val="20"/>
          <w:szCs w:val="20"/>
        </w:rPr>
        <w:t>зміною</w:t>
      </w:r>
      <w:r w:rsidRPr="000977F7">
        <w:rPr>
          <w:rFonts w:asciiTheme="majorHAnsi" w:hAnsiTheme="majorHAnsi"/>
          <w:spacing w:val="11"/>
          <w:sz w:val="20"/>
          <w:szCs w:val="20"/>
        </w:rPr>
        <w:t xml:space="preserve"> </w:t>
      </w:r>
      <w:r w:rsidRPr="000977F7">
        <w:rPr>
          <w:rFonts w:asciiTheme="majorHAnsi" w:hAnsiTheme="majorHAnsi"/>
          <w:sz w:val="20"/>
          <w:szCs w:val="20"/>
        </w:rPr>
        <w:t>в</w:t>
      </w:r>
      <w:r w:rsidRPr="000977F7">
        <w:rPr>
          <w:rFonts w:asciiTheme="majorHAnsi" w:hAnsiTheme="majorHAnsi"/>
          <w:spacing w:val="13"/>
          <w:sz w:val="20"/>
          <w:szCs w:val="20"/>
        </w:rPr>
        <w:t xml:space="preserve"> </w:t>
      </w:r>
      <w:r w:rsidRPr="000977F7">
        <w:rPr>
          <w:rFonts w:asciiTheme="majorHAnsi" w:hAnsiTheme="majorHAnsi"/>
          <w:sz w:val="20"/>
          <w:szCs w:val="20"/>
        </w:rPr>
        <w:t>даному</w:t>
      </w:r>
      <w:r w:rsidRPr="000977F7">
        <w:rPr>
          <w:rFonts w:asciiTheme="majorHAnsi" w:hAnsiTheme="majorHAnsi"/>
          <w:spacing w:val="-5"/>
          <w:sz w:val="20"/>
          <w:szCs w:val="20"/>
        </w:rPr>
        <w:t xml:space="preserve"> </w:t>
      </w:r>
      <w:r w:rsidRPr="000977F7">
        <w:rPr>
          <w:rFonts w:asciiTheme="majorHAnsi" w:hAnsiTheme="majorHAnsi"/>
          <w:sz w:val="20"/>
          <w:szCs w:val="20"/>
        </w:rPr>
        <w:t>календарному</w:t>
      </w:r>
      <w:r w:rsidRPr="000977F7">
        <w:rPr>
          <w:rFonts w:asciiTheme="majorHAnsi" w:hAnsiTheme="majorHAnsi"/>
          <w:spacing w:val="-4"/>
          <w:sz w:val="20"/>
          <w:szCs w:val="20"/>
        </w:rPr>
        <w:t xml:space="preserve"> </w:t>
      </w:r>
      <w:r w:rsidRPr="000977F7">
        <w:rPr>
          <w:rFonts w:asciiTheme="majorHAnsi" w:hAnsiTheme="majorHAnsi"/>
          <w:sz w:val="20"/>
          <w:szCs w:val="20"/>
        </w:rPr>
        <w:t>проміжку</w:t>
      </w:r>
      <w:r w:rsidRPr="000977F7">
        <w:rPr>
          <w:rFonts w:asciiTheme="majorHAnsi" w:hAnsiTheme="majorHAnsi"/>
          <w:spacing w:val="-4"/>
          <w:sz w:val="20"/>
          <w:szCs w:val="20"/>
        </w:rPr>
        <w:t xml:space="preserve"> </w:t>
      </w:r>
      <w:r w:rsidRPr="000977F7">
        <w:rPr>
          <w:rFonts w:asciiTheme="majorHAnsi" w:hAnsiTheme="majorHAnsi"/>
          <w:sz w:val="20"/>
          <w:szCs w:val="20"/>
        </w:rPr>
        <w:t>часу;</w:t>
      </w:r>
    </w:p>
    <w:p w14:paraId="0ADADA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t</w:t>
      </w:r>
      <w:r w:rsidRPr="000977F7">
        <w:rPr>
          <w:rFonts w:asciiTheme="majorHAnsi" w:hAnsiTheme="majorHAnsi"/>
          <w:spacing w:val="-1"/>
          <w:sz w:val="20"/>
          <w:szCs w:val="20"/>
          <w:vertAlign w:val="subscript"/>
        </w:rPr>
        <w:t>з</w:t>
      </w:r>
      <w:r w:rsidRPr="000977F7">
        <w:rPr>
          <w:rFonts w:asciiTheme="majorHAnsi" w:hAnsiTheme="majorHAnsi"/>
          <w:spacing w:val="-18"/>
          <w:sz w:val="20"/>
          <w:szCs w:val="20"/>
        </w:rPr>
        <w:t xml:space="preserve"> </w:t>
      </w:r>
      <w:r w:rsidRPr="000977F7">
        <w:rPr>
          <w:rFonts w:asciiTheme="majorHAnsi" w:hAnsiTheme="majorHAnsi"/>
          <w:spacing w:val="-1"/>
          <w:sz w:val="20"/>
          <w:szCs w:val="20"/>
        </w:rPr>
        <w:t>–</w:t>
      </w:r>
      <w:r w:rsidRPr="000977F7">
        <w:rPr>
          <w:rFonts w:asciiTheme="majorHAnsi" w:hAnsiTheme="majorHAnsi"/>
          <w:spacing w:val="2"/>
          <w:sz w:val="20"/>
          <w:szCs w:val="20"/>
        </w:rPr>
        <w:t xml:space="preserve"> </w:t>
      </w:r>
      <w:r w:rsidRPr="000977F7">
        <w:rPr>
          <w:rFonts w:asciiTheme="majorHAnsi" w:hAnsiTheme="majorHAnsi"/>
          <w:spacing w:val="-1"/>
          <w:sz w:val="20"/>
          <w:szCs w:val="20"/>
        </w:rPr>
        <w:t>тривалість</w:t>
      </w:r>
      <w:r w:rsidRPr="000977F7">
        <w:rPr>
          <w:rFonts w:asciiTheme="majorHAnsi" w:hAnsiTheme="majorHAnsi"/>
          <w:spacing w:val="2"/>
          <w:sz w:val="20"/>
          <w:szCs w:val="20"/>
        </w:rPr>
        <w:t xml:space="preserve"> </w:t>
      </w:r>
      <w:r w:rsidRPr="000977F7">
        <w:rPr>
          <w:rFonts w:asciiTheme="majorHAnsi" w:hAnsiTheme="majorHAnsi"/>
          <w:spacing w:val="-1"/>
          <w:sz w:val="20"/>
          <w:szCs w:val="20"/>
        </w:rPr>
        <w:t>робочої</w:t>
      </w:r>
      <w:r w:rsidRPr="000977F7">
        <w:rPr>
          <w:rFonts w:asciiTheme="majorHAnsi" w:hAnsiTheme="majorHAnsi"/>
          <w:sz w:val="20"/>
          <w:szCs w:val="20"/>
        </w:rPr>
        <w:t xml:space="preserve"> зміни,</w:t>
      </w:r>
      <w:r w:rsidRPr="000977F7">
        <w:rPr>
          <w:rFonts w:asciiTheme="majorHAnsi" w:hAnsiTheme="majorHAnsi"/>
          <w:spacing w:val="1"/>
          <w:sz w:val="20"/>
          <w:szCs w:val="20"/>
        </w:rPr>
        <w:t xml:space="preserve"> </w:t>
      </w:r>
      <w:r w:rsidRPr="000977F7">
        <w:rPr>
          <w:rFonts w:asciiTheme="majorHAnsi" w:hAnsiTheme="majorHAnsi"/>
          <w:sz w:val="20"/>
          <w:szCs w:val="20"/>
        </w:rPr>
        <w:t>год;</w:t>
      </w:r>
    </w:p>
    <w:p w14:paraId="090C9A7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t</w:t>
      </w:r>
      <w:r w:rsidRPr="000977F7">
        <w:rPr>
          <w:rFonts w:asciiTheme="majorHAnsi" w:hAnsiTheme="majorHAnsi"/>
          <w:spacing w:val="-1"/>
          <w:sz w:val="20"/>
          <w:szCs w:val="20"/>
          <w:vertAlign w:val="subscript"/>
        </w:rPr>
        <w:t>с.з</w:t>
      </w:r>
      <w:r w:rsidRPr="000977F7">
        <w:rPr>
          <w:rFonts w:asciiTheme="majorHAnsi" w:hAnsiTheme="majorHAnsi"/>
          <w:spacing w:val="-1"/>
          <w:sz w:val="20"/>
          <w:szCs w:val="20"/>
        </w:rPr>
        <w:t xml:space="preserve"> – тривалість скороченої </w:t>
      </w:r>
      <w:r w:rsidRPr="000977F7">
        <w:rPr>
          <w:rFonts w:asciiTheme="majorHAnsi" w:hAnsiTheme="majorHAnsi"/>
          <w:sz w:val="20"/>
          <w:szCs w:val="20"/>
        </w:rPr>
        <w:t>робочої зміни, год;</w:t>
      </w:r>
      <w:r w:rsidRPr="000977F7">
        <w:rPr>
          <w:rFonts w:asciiTheme="majorHAnsi" w:hAnsiTheme="majorHAnsi"/>
          <w:spacing w:val="-47"/>
          <w:sz w:val="20"/>
          <w:szCs w:val="20"/>
        </w:rPr>
        <w:t xml:space="preserve"> </w:t>
      </w:r>
      <w:r w:rsidRPr="000977F7">
        <w:rPr>
          <w:rFonts w:asciiTheme="majorHAnsi" w:hAnsiTheme="majorHAnsi"/>
          <w:sz w:val="20"/>
          <w:szCs w:val="20"/>
        </w:rPr>
        <w:t>n</w:t>
      </w:r>
      <w:r w:rsidRPr="000977F7">
        <w:rPr>
          <w:rFonts w:asciiTheme="majorHAnsi" w:hAnsiTheme="majorHAnsi"/>
          <w:sz w:val="20"/>
          <w:szCs w:val="20"/>
          <w:vertAlign w:val="subscript"/>
        </w:rPr>
        <w:t>з</w:t>
      </w:r>
      <w:r w:rsidRPr="000977F7">
        <w:rPr>
          <w:rFonts w:asciiTheme="majorHAnsi" w:hAnsiTheme="majorHAnsi"/>
          <w:spacing w:val="32"/>
          <w:sz w:val="20"/>
          <w:szCs w:val="20"/>
        </w:rPr>
        <w:t xml:space="preserve"> </w:t>
      </w:r>
      <w:r w:rsidRPr="000977F7">
        <w:rPr>
          <w:rFonts w:asciiTheme="majorHAnsi" w:hAnsiTheme="majorHAnsi"/>
          <w:sz w:val="20"/>
          <w:szCs w:val="20"/>
        </w:rPr>
        <w:t>число змін</w:t>
      </w:r>
      <w:r w:rsidRPr="000977F7">
        <w:rPr>
          <w:rFonts w:asciiTheme="majorHAnsi" w:hAnsiTheme="majorHAnsi"/>
          <w:spacing w:val="-1"/>
          <w:sz w:val="20"/>
          <w:szCs w:val="20"/>
        </w:rPr>
        <w:t xml:space="preserve"> </w:t>
      </w:r>
      <w:r w:rsidRPr="000977F7">
        <w:rPr>
          <w:rFonts w:asciiTheme="majorHAnsi" w:hAnsiTheme="majorHAnsi"/>
          <w:sz w:val="20"/>
          <w:szCs w:val="20"/>
        </w:rPr>
        <w:t>за добу(n</w:t>
      </w:r>
      <w:r w:rsidRPr="000977F7">
        <w:rPr>
          <w:rFonts w:asciiTheme="majorHAnsi" w:hAnsiTheme="majorHAnsi"/>
          <w:sz w:val="20"/>
          <w:szCs w:val="20"/>
          <w:vertAlign w:val="subscript"/>
        </w:rPr>
        <w:t>з</w:t>
      </w:r>
      <w:r w:rsidRPr="000977F7">
        <w:rPr>
          <w:rFonts w:asciiTheme="majorHAnsi" w:hAnsiTheme="majorHAnsi"/>
          <w:spacing w:val="-1"/>
          <w:sz w:val="20"/>
          <w:szCs w:val="20"/>
        </w:rPr>
        <w:t xml:space="preserve"> </w:t>
      </w:r>
      <w:r w:rsidRPr="000977F7">
        <w:rPr>
          <w:rFonts w:asciiTheme="majorHAnsi" w:hAnsiTheme="majorHAnsi"/>
          <w:sz w:val="20"/>
          <w:szCs w:val="20"/>
        </w:rPr>
        <w:t>= 1,2,3)</w:t>
      </w:r>
    </w:p>
    <w:p w14:paraId="438EE38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2470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BBBAE7F"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КОЕФІЦІЄНТ</w:t>
      </w:r>
      <w:r w:rsidRPr="000977F7">
        <w:rPr>
          <w:color w:val="auto"/>
          <w:spacing w:val="1"/>
          <w:sz w:val="20"/>
          <w:szCs w:val="20"/>
        </w:rPr>
        <w:t xml:space="preserve"> </w:t>
      </w:r>
      <w:r w:rsidRPr="000977F7">
        <w:rPr>
          <w:color w:val="auto"/>
          <w:sz w:val="20"/>
          <w:szCs w:val="20"/>
        </w:rPr>
        <w:t>ВИТРАЧАННЯ</w:t>
      </w:r>
      <w:r w:rsidRPr="000977F7">
        <w:rPr>
          <w:color w:val="auto"/>
          <w:spacing w:val="1"/>
          <w:sz w:val="20"/>
          <w:szCs w:val="20"/>
        </w:rPr>
        <w:t xml:space="preserve"> </w:t>
      </w:r>
      <w:r w:rsidRPr="000977F7">
        <w:rPr>
          <w:i/>
          <w:color w:val="auto"/>
          <w:sz w:val="20"/>
          <w:szCs w:val="20"/>
        </w:rPr>
        <w:t>І</w:t>
      </w:r>
      <w:r w:rsidRPr="000977F7">
        <w:rPr>
          <w:color w:val="auto"/>
          <w:sz w:val="20"/>
          <w:szCs w:val="20"/>
        </w:rPr>
        <w:t>-ГО</w:t>
      </w:r>
      <w:r w:rsidRPr="000977F7">
        <w:rPr>
          <w:color w:val="auto"/>
          <w:spacing w:val="1"/>
          <w:sz w:val="20"/>
          <w:szCs w:val="20"/>
        </w:rPr>
        <w:t xml:space="preserve"> </w:t>
      </w:r>
      <w:r w:rsidRPr="000977F7">
        <w:rPr>
          <w:color w:val="auto"/>
          <w:sz w:val="20"/>
          <w:szCs w:val="20"/>
        </w:rPr>
        <w:t>ВИДУ</w:t>
      </w:r>
      <w:r w:rsidRPr="000977F7">
        <w:rPr>
          <w:color w:val="auto"/>
          <w:spacing w:val="1"/>
          <w:sz w:val="20"/>
          <w:szCs w:val="20"/>
        </w:rPr>
        <w:t xml:space="preserve"> </w:t>
      </w:r>
    </w:p>
    <w:p w14:paraId="4A22330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МАТЕРІАЛЬНИХ</w:t>
      </w:r>
      <w:r w:rsidRPr="000977F7">
        <w:rPr>
          <w:color w:val="auto"/>
          <w:spacing w:val="-2"/>
          <w:sz w:val="20"/>
          <w:szCs w:val="20"/>
        </w:rPr>
        <w:t xml:space="preserve"> </w:t>
      </w:r>
      <w:r w:rsidRPr="000977F7">
        <w:rPr>
          <w:color w:val="auto"/>
          <w:sz w:val="20"/>
          <w:szCs w:val="20"/>
        </w:rPr>
        <w:t>ЧИ</w:t>
      </w:r>
      <w:r w:rsidRPr="000977F7">
        <w:rPr>
          <w:color w:val="auto"/>
          <w:spacing w:val="-1"/>
          <w:sz w:val="20"/>
          <w:szCs w:val="20"/>
        </w:rPr>
        <w:t xml:space="preserve"> </w:t>
      </w:r>
      <w:r w:rsidRPr="000977F7">
        <w:rPr>
          <w:color w:val="auto"/>
          <w:sz w:val="20"/>
          <w:szCs w:val="20"/>
        </w:rPr>
        <w:t>ВАРТІСНИХ</w:t>
      </w:r>
      <w:r w:rsidRPr="000977F7">
        <w:rPr>
          <w:color w:val="auto"/>
          <w:spacing w:val="-2"/>
          <w:sz w:val="20"/>
          <w:szCs w:val="20"/>
        </w:rPr>
        <w:t xml:space="preserve"> </w:t>
      </w:r>
      <w:r w:rsidRPr="000977F7">
        <w:rPr>
          <w:color w:val="auto"/>
          <w:sz w:val="20"/>
          <w:szCs w:val="20"/>
        </w:rPr>
        <w:t>РЕСУРСІВ</w:t>
      </w:r>
      <w:r w:rsidRPr="000977F7">
        <w:rPr>
          <w:color w:val="auto"/>
          <w:spacing w:val="3"/>
          <w:sz w:val="20"/>
          <w:szCs w:val="20"/>
        </w:rPr>
        <w:t xml:space="preserve"> </w:t>
      </w:r>
    </w:p>
    <w:p w14:paraId="1D0C54C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Відношення середнього витрачання </w:t>
      </w:r>
      <w:r w:rsidRPr="000977F7">
        <w:rPr>
          <w:rFonts w:asciiTheme="majorHAnsi" w:hAnsiTheme="majorHAnsi"/>
          <w:i/>
          <w:sz w:val="20"/>
          <w:szCs w:val="20"/>
        </w:rPr>
        <w:t>і</w:t>
      </w:r>
      <w:r w:rsidRPr="000977F7">
        <w:rPr>
          <w:rFonts w:asciiTheme="majorHAnsi" w:hAnsiTheme="majorHAnsi"/>
          <w:sz w:val="20"/>
          <w:szCs w:val="20"/>
        </w:rPr>
        <w:t>-го виду матеріальних чи вартісних ресурсів на виготовлення продукції за розглядуваний інтервал часу до його номінального значення, обчисленого за умови, що відкази технологічної</w:t>
      </w:r>
      <w:r w:rsidRPr="000977F7">
        <w:rPr>
          <w:rFonts w:asciiTheme="majorHAnsi" w:hAnsiTheme="majorHAnsi"/>
          <w:spacing w:val="-2"/>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виникають</w:t>
      </w:r>
    </w:p>
    <w:p w14:paraId="7D1E44B0" w14:textId="77777777" w:rsidR="0097612F" w:rsidRPr="000977F7" w:rsidRDefault="0097612F" w:rsidP="000977F7">
      <w:pPr>
        <w:pStyle w:val="7"/>
        <w:tabs>
          <w:tab w:val="left" w:pos="284"/>
        </w:tabs>
        <w:spacing w:before="0" w:line="240" w:lineRule="auto"/>
        <w:ind w:left="170"/>
        <w:mirrorIndents/>
        <w:jc w:val="both"/>
        <w:rPr>
          <w:color w:val="auto"/>
          <w:spacing w:val="-6"/>
          <w:sz w:val="20"/>
          <w:szCs w:val="20"/>
        </w:rPr>
      </w:pPr>
      <w:r w:rsidRPr="000977F7">
        <w:rPr>
          <w:color w:val="auto"/>
          <w:sz w:val="20"/>
          <w:szCs w:val="20"/>
        </w:rPr>
        <w:t>КОЕФІЦІЄНТ</w:t>
      </w:r>
      <w:r w:rsidRPr="000977F7">
        <w:rPr>
          <w:color w:val="auto"/>
          <w:spacing w:val="-7"/>
          <w:sz w:val="20"/>
          <w:szCs w:val="20"/>
        </w:rPr>
        <w:t xml:space="preserve"> </w:t>
      </w:r>
      <w:r w:rsidRPr="000977F7">
        <w:rPr>
          <w:color w:val="auto"/>
          <w:sz w:val="20"/>
          <w:szCs w:val="20"/>
        </w:rPr>
        <w:t>ВИХОДУ</w:t>
      </w:r>
      <w:r w:rsidRPr="000977F7">
        <w:rPr>
          <w:color w:val="auto"/>
          <w:spacing w:val="-4"/>
          <w:sz w:val="20"/>
          <w:szCs w:val="20"/>
        </w:rPr>
        <w:t xml:space="preserve"> </w:t>
      </w:r>
      <w:r w:rsidRPr="000977F7">
        <w:rPr>
          <w:color w:val="auto"/>
          <w:sz w:val="20"/>
          <w:szCs w:val="20"/>
        </w:rPr>
        <w:t>ПРИДАТНОЇ</w:t>
      </w:r>
      <w:r w:rsidRPr="000977F7">
        <w:rPr>
          <w:color w:val="auto"/>
          <w:spacing w:val="-6"/>
          <w:sz w:val="20"/>
          <w:szCs w:val="20"/>
        </w:rPr>
        <w:t xml:space="preserve"> </w:t>
      </w:r>
    </w:p>
    <w:p w14:paraId="0D3E1CA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ПРОДУК</w:t>
      </w:r>
      <w:r w:rsidRPr="000977F7">
        <w:rPr>
          <w:color w:val="auto"/>
          <w:spacing w:val="-47"/>
          <w:sz w:val="20"/>
          <w:szCs w:val="20"/>
        </w:rPr>
        <w:t xml:space="preserve"> </w:t>
      </w:r>
      <w:r w:rsidRPr="000977F7">
        <w:rPr>
          <w:color w:val="auto"/>
          <w:sz w:val="20"/>
          <w:szCs w:val="20"/>
        </w:rPr>
        <w:t>ЦІЇ</w:t>
      </w:r>
      <w:r w:rsidRPr="000977F7">
        <w:rPr>
          <w:color w:val="auto"/>
          <w:spacing w:val="-2"/>
          <w:sz w:val="20"/>
          <w:szCs w:val="20"/>
        </w:rPr>
        <w:t xml:space="preserve"> </w:t>
      </w:r>
      <w:r w:rsidRPr="000977F7">
        <w:rPr>
          <w:color w:val="auto"/>
          <w:sz w:val="20"/>
          <w:szCs w:val="20"/>
        </w:rPr>
        <w:t>ДЛЯ</w:t>
      </w:r>
      <w:r w:rsidRPr="000977F7">
        <w:rPr>
          <w:color w:val="auto"/>
          <w:spacing w:val="3"/>
          <w:sz w:val="20"/>
          <w:szCs w:val="20"/>
        </w:rPr>
        <w:t xml:space="preserve"> </w:t>
      </w:r>
      <w:r w:rsidRPr="000977F7">
        <w:rPr>
          <w:color w:val="auto"/>
          <w:sz w:val="20"/>
          <w:szCs w:val="20"/>
        </w:rPr>
        <w:t>ТЕХНОЛОГІЧНОЇ</w:t>
      </w:r>
    </w:p>
    <w:p w14:paraId="22DF2C15"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СИСТЕМИ</w:t>
      </w:r>
      <w:r w:rsidRPr="004D2D14">
        <w:rPr>
          <w:rFonts w:asciiTheme="majorHAnsi" w:hAnsiTheme="majorHAnsi"/>
          <w:b/>
          <w:spacing w:val="-2"/>
          <w:sz w:val="20"/>
          <w:szCs w:val="20"/>
          <w:lang w:val="en-US"/>
        </w:rPr>
        <w:t xml:space="preserve"> </w:t>
      </w:r>
      <w:r w:rsidRPr="004D2D14">
        <w:rPr>
          <w:rFonts w:asciiTheme="majorHAnsi" w:hAnsiTheme="majorHAnsi"/>
          <w:b/>
          <w:sz w:val="20"/>
          <w:szCs w:val="20"/>
          <w:lang w:val="en-US"/>
        </w:rPr>
        <w:t>–</w:t>
      </w:r>
    </w:p>
    <w:p w14:paraId="66AAF88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OUTPUT</w:t>
      </w:r>
      <w:r w:rsidRPr="004D2D14">
        <w:rPr>
          <w:rFonts w:asciiTheme="majorHAnsi" w:hAnsiTheme="majorHAnsi"/>
          <w:spacing w:val="14"/>
          <w:sz w:val="20"/>
          <w:szCs w:val="20"/>
          <w:lang w:val="en-US"/>
        </w:rPr>
        <w:t xml:space="preserve"> </w:t>
      </w:r>
      <w:r w:rsidRPr="004D2D14">
        <w:rPr>
          <w:rFonts w:asciiTheme="majorHAnsi" w:hAnsiTheme="majorHAnsi"/>
          <w:sz w:val="20"/>
          <w:szCs w:val="20"/>
          <w:lang w:val="en-US"/>
        </w:rPr>
        <w:t>FACTOR</w:t>
      </w:r>
      <w:r w:rsidRPr="004D2D14">
        <w:rPr>
          <w:rFonts w:asciiTheme="majorHAnsi" w:hAnsiTheme="majorHAnsi"/>
          <w:spacing w:val="1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5"/>
          <w:sz w:val="20"/>
          <w:szCs w:val="20"/>
          <w:lang w:val="en-US"/>
        </w:rPr>
        <w:t xml:space="preserve"> </w:t>
      </w:r>
      <w:r w:rsidRPr="004D2D14">
        <w:rPr>
          <w:rFonts w:asciiTheme="majorHAnsi" w:hAnsiTheme="majorHAnsi"/>
          <w:sz w:val="20"/>
          <w:szCs w:val="20"/>
          <w:lang w:val="en-US"/>
        </w:rPr>
        <w:t>GOOD</w:t>
      </w:r>
      <w:r w:rsidRPr="004D2D14">
        <w:rPr>
          <w:rFonts w:asciiTheme="majorHAnsi" w:hAnsiTheme="majorHAnsi"/>
          <w:spacing w:val="14"/>
          <w:sz w:val="20"/>
          <w:szCs w:val="20"/>
          <w:lang w:val="en-US"/>
        </w:rPr>
        <w:t xml:space="preserve"> </w:t>
      </w:r>
      <w:r w:rsidRPr="004D2D14">
        <w:rPr>
          <w:rFonts w:asciiTheme="majorHAnsi" w:hAnsiTheme="majorHAnsi"/>
          <w:sz w:val="20"/>
          <w:szCs w:val="20"/>
          <w:lang w:val="en-US"/>
        </w:rPr>
        <w:t>PRODUCTS</w:t>
      </w:r>
      <w:r w:rsidRPr="004D2D14">
        <w:rPr>
          <w:rFonts w:asciiTheme="majorHAnsi" w:hAnsiTheme="majorHAnsi"/>
          <w:spacing w:val="13"/>
          <w:sz w:val="20"/>
          <w:szCs w:val="20"/>
          <w:lang w:val="en-US"/>
        </w:rPr>
        <w:t xml:space="preserve"> </w:t>
      </w:r>
      <w:r w:rsidRPr="004D2D14">
        <w:rPr>
          <w:rFonts w:asciiTheme="majorHAnsi" w:hAnsiTheme="majorHAnsi"/>
          <w:sz w:val="20"/>
          <w:szCs w:val="20"/>
          <w:lang w:val="en-US"/>
        </w:rPr>
        <w:t>FOR</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TECHNOLOGICAL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SYSTEM</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480DE14F"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Відношення</w:t>
      </w:r>
      <w:r w:rsidRPr="000977F7">
        <w:rPr>
          <w:rFonts w:asciiTheme="majorHAnsi" w:hAnsiTheme="majorHAnsi"/>
          <w:spacing w:val="21"/>
          <w:sz w:val="20"/>
          <w:szCs w:val="20"/>
        </w:rPr>
        <w:t xml:space="preserve"> </w:t>
      </w:r>
      <w:r w:rsidRPr="000977F7">
        <w:rPr>
          <w:rFonts w:asciiTheme="majorHAnsi" w:hAnsiTheme="majorHAnsi"/>
          <w:sz w:val="20"/>
          <w:szCs w:val="20"/>
        </w:rPr>
        <w:t>середнього</w:t>
      </w:r>
      <w:r w:rsidRPr="000977F7">
        <w:rPr>
          <w:rFonts w:asciiTheme="majorHAnsi" w:hAnsiTheme="majorHAnsi"/>
          <w:spacing w:val="22"/>
          <w:sz w:val="20"/>
          <w:szCs w:val="20"/>
        </w:rPr>
        <w:t xml:space="preserve"> </w:t>
      </w:r>
      <w:r w:rsidRPr="000977F7">
        <w:rPr>
          <w:rFonts w:asciiTheme="majorHAnsi" w:hAnsiTheme="majorHAnsi"/>
          <w:sz w:val="20"/>
          <w:szCs w:val="20"/>
        </w:rPr>
        <w:t>значення</w:t>
      </w:r>
      <w:r w:rsidRPr="000977F7">
        <w:rPr>
          <w:rFonts w:asciiTheme="majorHAnsi" w:hAnsiTheme="majorHAnsi"/>
          <w:spacing w:val="21"/>
          <w:sz w:val="20"/>
          <w:szCs w:val="20"/>
        </w:rPr>
        <w:t xml:space="preserve"> </w:t>
      </w:r>
      <w:r w:rsidRPr="000977F7">
        <w:rPr>
          <w:rFonts w:asciiTheme="majorHAnsi" w:hAnsiTheme="majorHAnsi"/>
          <w:sz w:val="20"/>
          <w:szCs w:val="20"/>
        </w:rPr>
        <w:t>обсягу</w:t>
      </w:r>
      <w:r w:rsidRPr="000977F7">
        <w:rPr>
          <w:rFonts w:asciiTheme="majorHAnsi" w:hAnsiTheme="majorHAnsi"/>
          <w:spacing w:val="21"/>
          <w:sz w:val="20"/>
          <w:szCs w:val="20"/>
        </w:rPr>
        <w:t xml:space="preserve"> </w:t>
      </w:r>
      <w:r w:rsidRPr="000977F7">
        <w:rPr>
          <w:rFonts w:asciiTheme="majorHAnsi" w:hAnsiTheme="majorHAnsi"/>
          <w:sz w:val="20"/>
          <w:szCs w:val="20"/>
        </w:rPr>
        <w:t>придатної</w:t>
      </w:r>
      <w:r w:rsidRPr="000977F7">
        <w:rPr>
          <w:rFonts w:asciiTheme="majorHAnsi" w:hAnsiTheme="majorHAnsi"/>
          <w:spacing w:val="-47"/>
          <w:sz w:val="20"/>
          <w:szCs w:val="20"/>
        </w:rPr>
        <w:t xml:space="preserve"> </w:t>
      </w:r>
      <w:r w:rsidRPr="000977F7">
        <w:rPr>
          <w:rFonts w:asciiTheme="majorHAnsi" w:hAnsiTheme="majorHAnsi"/>
          <w:sz w:val="20"/>
          <w:szCs w:val="20"/>
        </w:rPr>
        <w:t>продукції</w:t>
      </w:r>
      <w:r w:rsidRPr="000977F7">
        <w:rPr>
          <w:rFonts w:asciiTheme="majorHAnsi" w:hAnsiTheme="majorHAnsi"/>
          <w:spacing w:val="-9"/>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10"/>
          <w:sz w:val="20"/>
          <w:szCs w:val="20"/>
        </w:rPr>
        <w:t xml:space="preserve"> </w:t>
      </w:r>
      <w:r w:rsidRPr="000977F7">
        <w:rPr>
          <w:rFonts w:asciiTheme="majorHAnsi" w:hAnsiTheme="majorHAnsi"/>
          <w:sz w:val="20"/>
          <w:szCs w:val="20"/>
        </w:rPr>
        <w:t>системи</w:t>
      </w:r>
      <w:r w:rsidRPr="000977F7">
        <w:rPr>
          <w:rFonts w:asciiTheme="majorHAnsi" w:hAnsiTheme="majorHAnsi"/>
          <w:spacing w:val="-10"/>
          <w:sz w:val="20"/>
          <w:szCs w:val="20"/>
        </w:rPr>
        <w:t xml:space="preserve"> </w:t>
      </w:r>
      <w:r w:rsidRPr="000977F7">
        <w:rPr>
          <w:rFonts w:asciiTheme="majorHAnsi" w:hAnsiTheme="majorHAnsi"/>
          <w:sz w:val="20"/>
          <w:szCs w:val="20"/>
        </w:rPr>
        <w:t>до</w:t>
      </w:r>
      <w:r w:rsidRPr="000977F7">
        <w:rPr>
          <w:rFonts w:asciiTheme="majorHAnsi" w:hAnsiTheme="majorHAnsi"/>
          <w:spacing w:val="-9"/>
          <w:sz w:val="20"/>
          <w:szCs w:val="20"/>
        </w:rPr>
        <w:t xml:space="preserve"> </w:t>
      </w:r>
      <w:r w:rsidRPr="000977F7">
        <w:rPr>
          <w:rFonts w:asciiTheme="majorHAnsi" w:hAnsiTheme="majorHAnsi"/>
          <w:sz w:val="20"/>
          <w:szCs w:val="20"/>
        </w:rPr>
        <w:t>обсягу</w:t>
      </w:r>
      <w:r w:rsidRPr="000977F7">
        <w:rPr>
          <w:rFonts w:asciiTheme="majorHAnsi" w:hAnsiTheme="majorHAnsi"/>
          <w:spacing w:val="-11"/>
          <w:sz w:val="20"/>
          <w:szCs w:val="20"/>
        </w:rPr>
        <w:t xml:space="preserve"> </w:t>
      </w:r>
      <w:r w:rsidRPr="000977F7">
        <w:rPr>
          <w:rFonts w:asciiTheme="majorHAnsi" w:hAnsiTheme="majorHAnsi"/>
          <w:sz w:val="20"/>
          <w:szCs w:val="20"/>
        </w:rPr>
        <w:t>всієї</w:t>
      </w:r>
      <w:r w:rsidRPr="000977F7">
        <w:rPr>
          <w:rFonts w:asciiTheme="majorHAnsi" w:hAnsiTheme="majorHAnsi"/>
          <w:spacing w:val="-8"/>
          <w:sz w:val="20"/>
          <w:szCs w:val="20"/>
        </w:rPr>
        <w:t xml:space="preserve"> </w:t>
      </w:r>
      <w:r w:rsidRPr="000977F7">
        <w:rPr>
          <w:rFonts w:asciiTheme="majorHAnsi" w:hAnsiTheme="majorHAnsi"/>
          <w:sz w:val="20"/>
          <w:szCs w:val="20"/>
        </w:rPr>
        <w:t>проду</w:t>
      </w:r>
      <w:r w:rsidRPr="000977F7">
        <w:rPr>
          <w:rFonts w:asciiTheme="majorHAnsi" w:hAnsiTheme="majorHAnsi"/>
          <w:spacing w:val="-2"/>
          <w:sz w:val="20"/>
          <w:szCs w:val="20"/>
        </w:rPr>
        <w:t xml:space="preserve">кції, </w:t>
      </w:r>
      <w:r w:rsidRPr="000977F7">
        <w:rPr>
          <w:rFonts w:asciiTheme="majorHAnsi" w:hAnsiTheme="majorHAnsi"/>
          <w:spacing w:val="-1"/>
          <w:sz w:val="20"/>
          <w:szCs w:val="20"/>
        </w:rPr>
        <w:t>виготовленої нею, за розглядуваний інтервал часу</w:t>
      </w:r>
    </w:p>
    <w:p w14:paraId="578974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47"/>
          <w:sz w:val="20"/>
          <w:szCs w:val="20"/>
        </w:rPr>
        <w:t xml:space="preserve"> </w:t>
      </w: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F41AD0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визначенні</w:t>
      </w:r>
      <w:r w:rsidRPr="000977F7">
        <w:rPr>
          <w:rFonts w:asciiTheme="majorHAnsi" w:hAnsiTheme="majorHAnsi"/>
          <w:spacing w:val="1"/>
          <w:sz w:val="20"/>
          <w:szCs w:val="20"/>
        </w:rPr>
        <w:t xml:space="preserve"> </w:t>
      </w:r>
      <w:r w:rsidRPr="000977F7">
        <w:rPr>
          <w:rFonts w:asciiTheme="majorHAnsi" w:hAnsiTheme="majorHAnsi"/>
          <w:sz w:val="20"/>
          <w:szCs w:val="20"/>
        </w:rPr>
        <w:t>обсягу</w:t>
      </w:r>
      <w:r w:rsidRPr="000977F7">
        <w:rPr>
          <w:rFonts w:asciiTheme="majorHAnsi" w:hAnsiTheme="majorHAnsi"/>
          <w:spacing w:val="1"/>
          <w:sz w:val="20"/>
          <w:szCs w:val="20"/>
        </w:rPr>
        <w:t xml:space="preserve"> </w:t>
      </w:r>
      <w:r w:rsidRPr="000977F7">
        <w:rPr>
          <w:rFonts w:asciiTheme="majorHAnsi" w:hAnsiTheme="majorHAnsi"/>
          <w:sz w:val="20"/>
          <w:szCs w:val="20"/>
        </w:rPr>
        <w:t>виготовленої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слід</w:t>
      </w:r>
      <w:r w:rsidRPr="000977F7">
        <w:rPr>
          <w:rFonts w:asciiTheme="majorHAnsi" w:hAnsiTheme="majorHAnsi"/>
          <w:spacing w:val="1"/>
          <w:sz w:val="20"/>
          <w:szCs w:val="20"/>
        </w:rPr>
        <w:t xml:space="preserve"> </w:t>
      </w:r>
      <w:r w:rsidRPr="000977F7">
        <w:rPr>
          <w:rFonts w:asciiTheme="majorHAnsi" w:hAnsiTheme="majorHAnsi"/>
          <w:sz w:val="20"/>
          <w:szCs w:val="20"/>
        </w:rPr>
        <w:t>враховувати продукцію, відбраковану на всіх операціях,</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2"/>
          <w:sz w:val="20"/>
          <w:szCs w:val="20"/>
        </w:rPr>
        <w:t xml:space="preserve"> </w:t>
      </w:r>
      <w:r w:rsidRPr="000977F7">
        <w:rPr>
          <w:rFonts w:asciiTheme="majorHAnsi" w:hAnsiTheme="majorHAnsi"/>
          <w:sz w:val="20"/>
          <w:szCs w:val="20"/>
        </w:rPr>
        <w:t>виконуються</w:t>
      </w:r>
      <w:r w:rsidRPr="000977F7">
        <w:rPr>
          <w:rFonts w:asciiTheme="majorHAnsi" w:hAnsiTheme="majorHAnsi"/>
          <w:spacing w:val="-2"/>
          <w:sz w:val="20"/>
          <w:szCs w:val="20"/>
        </w:rPr>
        <w:t xml:space="preserve"> </w:t>
      </w:r>
      <w:r w:rsidRPr="000977F7">
        <w:rPr>
          <w:rFonts w:asciiTheme="majorHAnsi" w:hAnsiTheme="majorHAnsi"/>
          <w:sz w:val="20"/>
          <w:szCs w:val="20"/>
        </w:rPr>
        <w:t>технологічною</w:t>
      </w:r>
      <w:r w:rsidRPr="000977F7">
        <w:rPr>
          <w:rFonts w:asciiTheme="majorHAnsi" w:hAnsiTheme="majorHAnsi"/>
          <w:spacing w:val="-1"/>
          <w:sz w:val="20"/>
          <w:szCs w:val="20"/>
        </w:rPr>
        <w:t xml:space="preserve"> </w:t>
      </w:r>
      <w:r w:rsidRPr="000977F7">
        <w:rPr>
          <w:rFonts w:asciiTheme="majorHAnsi" w:hAnsiTheme="majorHAnsi"/>
          <w:sz w:val="20"/>
          <w:szCs w:val="20"/>
        </w:rPr>
        <w:t>системою</w:t>
      </w:r>
    </w:p>
    <w:p w14:paraId="2598144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2470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64EB1B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КОЕФІЦІЄНТ ВПЛИВУ КОРОЗІЙНОГО </w:t>
      </w:r>
    </w:p>
    <w:p w14:paraId="2405D0F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w:t>
      </w:r>
      <w:r w:rsidRPr="000977F7">
        <w:rPr>
          <w:color w:val="auto"/>
          <w:spacing w:val="-47"/>
          <w:sz w:val="20"/>
          <w:szCs w:val="20"/>
        </w:rPr>
        <w:t xml:space="preserve"> </w:t>
      </w:r>
      <w:r w:rsidRPr="000977F7">
        <w:rPr>
          <w:color w:val="auto"/>
          <w:sz w:val="20"/>
          <w:szCs w:val="20"/>
        </w:rPr>
        <w:t>ДОВИЩА</w:t>
      </w:r>
      <w:r w:rsidRPr="000977F7">
        <w:rPr>
          <w:color w:val="auto"/>
          <w:spacing w:val="-1"/>
          <w:sz w:val="20"/>
          <w:szCs w:val="20"/>
        </w:rPr>
        <w:t xml:space="preserve"> </w:t>
      </w:r>
      <w:r w:rsidRPr="000977F7">
        <w:rPr>
          <w:color w:val="auto"/>
          <w:sz w:val="20"/>
          <w:szCs w:val="20"/>
        </w:rPr>
        <w:t>–</w:t>
      </w:r>
    </w:p>
    <w:p w14:paraId="0E2D7E40" w14:textId="77777777" w:rsidR="0097612F" w:rsidRPr="004D2D14" w:rsidRDefault="0097612F" w:rsidP="000977F7">
      <w:pPr>
        <w:pStyle w:val="af6"/>
        <w:tabs>
          <w:tab w:val="left" w:pos="284"/>
        </w:tabs>
        <w:spacing w:after="0"/>
        <w:ind w:left="170"/>
        <w:mirrorIndents/>
        <w:jc w:val="both"/>
        <w:rPr>
          <w:rFonts w:asciiTheme="majorHAnsi" w:hAnsiTheme="majorHAnsi"/>
          <w:spacing w:val="-4"/>
          <w:sz w:val="20"/>
          <w:szCs w:val="20"/>
          <w:lang w:val="uk-UA"/>
        </w:rPr>
      </w:pPr>
      <w:r w:rsidRPr="000977F7">
        <w:rPr>
          <w:rFonts w:asciiTheme="majorHAnsi" w:hAnsiTheme="majorHAnsi"/>
          <w:spacing w:val="-4"/>
          <w:sz w:val="20"/>
          <w:szCs w:val="20"/>
        </w:rPr>
        <w:t>FATIGUE</w:t>
      </w:r>
      <w:r w:rsidRPr="004D2D14">
        <w:rPr>
          <w:rFonts w:asciiTheme="majorHAnsi" w:hAnsiTheme="majorHAnsi"/>
          <w:spacing w:val="-4"/>
          <w:sz w:val="20"/>
          <w:szCs w:val="20"/>
          <w:lang w:val="uk-UA"/>
        </w:rPr>
        <w:t xml:space="preserve"> </w:t>
      </w:r>
      <w:r w:rsidRPr="000977F7">
        <w:rPr>
          <w:rFonts w:asciiTheme="majorHAnsi" w:hAnsiTheme="majorHAnsi"/>
          <w:spacing w:val="-4"/>
          <w:sz w:val="20"/>
          <w:szCs w:val="20"/>
        </w:rPr>
        <w:t>CORROSION</w:t>
      </w:r>
      <w:r w:rsidRPr="004D2D14">
        <w:rPr>
          <w:rFonts w:asciiTheme="majorHAnsi" w:hAnsiTheme="majorHAnsi"/>
          <w:spacing w:val="-4"/>
          <w:sz w:val="20"/>
          <w:szCs w:val="20"/>
          <w:lang w:val="uk-UA"/>
        </w:rPr>
        <w:t xml:space="preserve"> </w:t>
      </w:r>
      <w:r w:rsidRPr="000977F7">
        <w:rPr>
          <w:rFonts w:asciiTheme="majorHAnsi" w:hAnsiTheme="majorHAnsi"/>
          <w:spacing w:val="-4"/>
          <w:sz w:val="20"/>
          <w:szCs w:val="20"/>
        </w:rPr>
        <w:t>ENVIRONMENT</w:t>
      </w:r>
      <w:r w:rsidRPr="004D2D14">
        <w:rPr>
          <w:rFonts w:asciiTheme="majorHAnsi" w:hAnsiTheme="majorHAnsi"/>
          <w:spacing w:val="-4"/>
          <w:sz w:val="20"/>
          <w:szCs w:val="20"/>
          <w:lang w:val="uk-UA"/>
        </w:rPr>
        <w:t xml:space="preserve"> </w:t>
      </w:r>
      <w:r w:rsidRPr="000977F7">
        <w:rPr>
          <w:rFonts w:asciiTheme="majorHAnsi" w:hAnsiTheme="majorHAnsi"/>
          <w:spacing w:val="-4"/>
          <w:sz w:val="20"/>
          <w:szCs w:val="20"/>
        </w:rPr>
        <w:t>FACTOR</w:t>
      </w:r>
      <w:r w:rsidRPr="004D2D14">
        <w:rPr>
          <w:rFonts w:asciiTheme="majorHAnsi" w:hAnsiTheme="majorHAnsi"/>
          <w:spacing w:val="-4"/>
          <w:sz w:val="20"/>
          <w:szCs w:val="20"/>
          <w:lang w:val="uk-UA"/>
        </w:rPr>
        <w:t xml:space="preserve"> –</w:t>
      </w:r>
    </w:p>
    <w:p w14:paraId="025128C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Відношення границі витривалості зразків, випробуваних за дії корозійного середовища, до границі витривалості зразків, випробуваних без цієї дії за той самий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тій же базі випробувань</w:t>
      </w:r>
    </w:p>
    <w:p w14:paraId="7E9637BA"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2444</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63E4C7D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КОЕФІЦІЄНТ</w:t>
      </w:r>
      <w:r w:rsidRPr="000977F7">
        <w:rPr>
          <w:color w:val="auto"/>
          <w:spacing w:val="-5"/>
          <w:sz w:val="20"/>
          <w:szCs w:val="20"/>
        </w:rPr>
        <w:t xml:space="preserve"> </w:t>
      </w:r>
      <w:r w:rsidRPr="000977F7">
        <w:rPr>
          <w:color w:val="auto"/>
          <w:sz w:val="20"/>
          <w:szCs w:val="20"/>
        </w:rPr>
        <w:t>ВПЛИВУ</w:t>
      </w:r>
      <w:r w:rsidRPr="000977F7">
        <w:rPr>
          <w:color w:val="auto"/>
          <w:spacing w:val="-4"/>
          <w:sz w:val="20"/>
          <w:szCs w:val="20"/>
        </w:rPr>
        <w:t xml:space="preserve"> </w:t>
      </w:r>
      <w:r w:rsidRPr="000977F7">
        <w:rPr>
          <w:color w:val="auto"/>
          <w:sz w:val="20"/>
          <w:szCs w:val="20"/>
        </w:rPr>
        <w:t>ФРЕТИНГ-КОРОЗІЇ</w:t>
      </w:r>
      <w:r w:rsidRPr="000977F7">
        <w:rPr>
          <w:color w:val="auto"/>
          <w:spacing w:val="-3"/>
          <w:sz w:val="20"/>
          <w:szCs w:val="20"/>
        </w:rPr>
        <w:t xml:space="preserve"> </w:t>
      </w:r>
      <w:r w:rsidRPr="000977F7">
        <w:rPr>
          <w:color w:val="auto"/>
          <w:sz w:val="20"/>
          <w:szCs w:val="20"/>
        </w:rPr>
        <w:t>–</w:t>
      </w:r>
    </w:p>
    <w:p w14:paraId="5AD2876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FATIGUE</w:t>
      </w:r>
      <w:r w:rsidRPr="004D2D14">
        <w:rPr>
          <w:rFonts w:asciiTheme="majorHAnsi" w:hAnsiTheme="majorHAnsi"/>
          <w:spacing w:val="-2"/>
          <w:sz w:val="20"/>
          <w:szCs w:val="20"/>
          <w:lang w:val="uk-UA"/>
        </w:rPr>
        <w:t xml:space="preserve"> </w:t>
      </w:r>
      <w:r w:rsidRPr="000977F7">
        <w:rPr>
          <w:rFonts w:asciiTheme="majorHAnsi" w:hAnsiTheme="majorHAnsi"/>
          <w:sz w:val="20"/>
          <w:szCs w:val="20"/>
        </w:rPr>
        <w:t>FRETTING</w:t>
      </w:r>
      <w:r w:rsidRPr="004D2D14">
        <w:rPr>
          <w:rFonts w:asciiTheme="majorHAnsi" w:hAnsiTheme="majorHAnsi"/>
          <w:sz w:val="20"/>
          <w:szCs w:val="20"/>
          <w:lang w:val="uk-UA"/>
        </w:rPr>
        <w:t>-</w:t>
      </w:r>
      <w:r w:rsidRPr="000977F7">
        <w:rPr>
          <w:rFonts w:asciiTheme="majorHAnsi" w:hAnsiTheme="majorHAnsi"/>
          <w:sz w:val="20"/>
          <w:szCs w:val="20"/>
        </w:rPr>
        <w:t>CORROSION</w:t>
      </w:r>
      <w:r w:rsidRPr="004D2D14">
        <w:rPr>
          <w:rFonts w:asciiTheme="majorHAnsi" w:hAnsiTheme="majorHAnsi"/>
          <w:spacing w:val="-3"/>
          <w:sz w:val="20"/>
          <w:szCs w:val="20"/>
          <w:lang w:val="uk-UA"/>
        </w:rPr>
        <w:t xml:space="preserve"> </w:t>
      </w:r>
      <w:r w:rsidRPr="000977F7">
        <w:rPr>
          <w:rFonts w:asciiTheme="majorHAnsi" w:hAnsiTheme="majorHAnsi"/>
          <w:sz w:val="20"/>
          <w:szCs w:val="20"/>
        </w:rPr>
        <w:t>FACTOR</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59A1322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Відношення границі витривалості зразків, випробуваних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умовах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фретинг-корозії,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границі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витривалості зразків, випробуваних без цієї дії за той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самий</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час 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тій</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же</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базі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випробувань</w:t>
      </w:r>
    </w:p>
    <w:p w14:paraId="180E547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8CC3A7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КОЕФІЦІЄНТ</w:t>
      </w:r>
      <w:r w:rsidRPr="000977F7">
        <w:rPr>
          <w:color w:val="auto"/>
          <w:spacing w:val="-10"/>
          <w:sz w:val="20"/>
          <w:szCs w:val="20"/>
        </w:rPr>
        <w:t xml:space="preserve"> </w:t>
      </w:r>
      <w:r w:rsidRPr="000977F7">
        <w:rPr>
          <w:color w:val="auto"/>
          <w:sz w:val="20"/>
          <w:szCs w:val="20"/>
        </w:rPr>
        <w:t>ГОТОВНОСТІ;A(t)</w:t>
      </w:r>
      <w:r w:rsidRPr="000977F7">
        <w:rPr>
          <w:color w:val="auto"/>
          <w:spacing w:val="-6"/>
          <w:sz w:val="20"/>
          <w:szCs w:val="20"/>
        </w:rPr>
        <w:t xml:space="preserve"> </w:t>
      </w:r>
      <w:r w:rsidRPr="000977F7">
        <w:rPr>
          <w:color w:val="auto"/>
          <w:sz w:val="20"/>
          <w:szCs w:val="20"/>
        </w:rPr>
        <w:t>–</w:t>
      </w:r>
    </w:p>
    <w:p w14:paraId="4DEAE4A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INSTANTANEOUS</w:t>
      </w:r>
      <w:r w:rsidRPr="004D2D14">
        <w:rPr>
          <w:rFonts w:asciiTheme="majorHAnsi" w:hAnsiTheme="majorHAnsi"/>
          <w:spacing w:val="-6"/>
          <w:sz w:val="20"/>
          <w:szCs w:val="20"/>
          <w:lang w:val="uk-UA"/>
        </w:rPr>
        <w:t xml:space="preserve"> </w:t>
      </w:r>
      <w:r w:rsidRPr="000977F7">
        <w:rPr>
          <w:rFonts w:asciiTheme="majorHAnsi" w:hAnsiTheme="majorHAnsi"/>
          <w:sz w:val="20"/>
          <w:szCs w:val="20"/>
        </w:rPr>
        <w:t>AVAILABILITY</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w:t>
      </w:r>
    </w:p>
    <w:p w14:paraId="4751DDC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Імовірність того, що об’єкт виявиться працездатним у</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довільний момент часу, крім запланованих періодів,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протягом яких використання об’єкта за призначенням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передбачається</w:t>
      </w:r>
    </w:p>
    <w:p w14:paraId="2AB5638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BB8C64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КОЕФІЦІЄНТ</w:t>
      </w:r>
      <w:r w:rsidRPr="000977F7">
        <w:rPr>
          <w:color w:val="auto"/>
          <w:spacing w:val="-5"/>
          <w:sz w:val="20"/>
          <w:szCs w:val="20"/>
        </w:rPr>
        <w:t xml:space="preserve"> </w:t>
      </w:r>
      <w:r w:rsidRPr="000977F7">
        <w:rPr>
          <w:color w:val="auto"/>
          <w:sz w:val="20"/>
          <w:szCs w:val="20"/>
        </w:rPr>
        <w:t>ДЕФЕКТНОСТІ</w:t>
      </w:r>
      <w:r w:rsidRPr="000977F7">
        <w:rPr>
          <w:color w:val="auto"/>
          <w:spacing w:val="-4"/>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4A9C6D0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Середня зважена кількість дефектів, що приходяться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одиницю</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6E0EDB4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КОЕФІЦІЄНТ ДЕФЕКТНОСТІ </w:t>
      </w:r>
    </w:p>
    <w:p w14:paraId="4AFF7F7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ТЕХНОЛОГІЧНОЇ СИСТЕМИ ОПЕРАЦІЇ (ПРОЦЕСУ, ВИРОБ</w:t>
      </w:r>
      <w:r w:rsidRPr="000977F7">
        <w:rPr>
          <w:color w:val="auto"/>
          <w:spacing w:val="-47"/>
          <w:sz w:val="20"/>
          <w:szCs w:val="20"/>
        </w:rPr>
        <w:t xml:space="preserve"> </w:t>
      </w:r>
      <w:r w:rsidRPr="000977F7">
        <w:rPr>
          <w:color w:val="auto"/>
          <w:sz w:val="20"/>
          <w:szCs w:val="20"/>
        </w:rPr>
        <w:t>НИЧОГО</w:t>
      </w:r>
      <w:r w:rsidRPr="000977F7">
        <w:rPr>
          <w:color w:val="auto"/>
          <w:spacing w:val="-1"/>
          <w:sz w:val="20"/>
          <w:szCs w:val="20"/>
        </w:rPr>
        <w:t xml:space="preserve"> </w:t>
      </w:r>
      <w:r w:rsidRPr="000977F7">
        <w:rPr>
          <w:color w:val="auto"/>
          <w:sz w:val="20"/>
          <w:szCs w:val="20"/>
        </w:rPr>
        <w:t>ПІДРОЗДІЛУ,</w:t>
      </w:r>
      <w:r w:rsidRPr="000977F7">
        <w:rPr>
          <w:color w:val="auto"/>
          <w:spacing w:val="-2"/>
          <w:sz w:val="20"/>
          <w:szCs w:val="20"/>
        </w:rPr>
        <w:t xml:space="preserve"> </w:t>
      </w:r>
      <w:r w:rsidRPr="000977F7">
        <w:rPr>
          <w:color w:val="auto"/>
          <w:sz w:val="20"/>
          <w:szCs w:val="20"/>
        </w:rPr>
        <w:t>ПІДПРИЄМСТВА)</w:t>
      </w:r>
      <w:r w:rsidRPr="000977F7">
        <w:rPr>
          <w:color w:val="auto"/>
          <w:spacing w:val="2"/>
          <w:sz w:val="20"/>
          <w:szCs w:val="20"/>
        </w:rPr>
        <w:t xml:space="preserve"> </w:t>
      </w:r>
      <w:r w:rsidRPr="000977F7">
        <w:rPr>
          <w:color w:val="auto"/>
          <w:sz w:val="20"/>
          <w:szCs w:val="20"/>
        </w:rPr>
        <w:t>–</w:t>
      </w:r>
    </w:p>
    <w:p w14:paraId="46CB0E4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Середнє значення коефіцієнта дефектності продукції,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виготовленої за розглядуваний календарний проміжок</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часу технологічною системою операції (процесу, виробничого підрозділу,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підприємства)</w:t>
      </w:r>
    </w:p>
    <w:p w14:paraId="76EF2C7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w:t>
      </w:r>
    </w:p>
    <w:p w14:paraId="5089519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Під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коефіцієнтом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дефектності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розуміють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середню зважену кількість дефектів, що припадає 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одиницю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w:t>
      </w:r>
    </w:p>
    <w:p w14:paraId="3F0C7DB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2470 - 94</w:t>
      </w:r>
    </w:p>
    <w:p w14:paraId="5D3F266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КОЕФІЦІЄНТ ГАРМОНІКИ НАПРУГИ </w:t>
      </w:r>
    </w:p>
    <w:p w14:paraId="5AB1FAB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(СТРУ</w:t>
      </w:r>
      <w:r w:rsidRPr="000977F7">
        <w:rPr>
          <w:color w:val="auto"/>
          <w:spacing w:val="-47"/>
          <w:sz w:val="20"/>
          <w:szCs w:val="20"/>
        </w:rPr>
        <w:t xml:space="preserve"> </w:t>
      </w:r>
      <w:r w:rsidRPr="000977F7">
        <w:rPr>
          <w:color w:val="auto"/>
          <w:sz w:val="20"/>
          <w:szCs w:val="20"/>
        </w:rPr>
        <w:t>МУ)</w:t>
      </w:r>
      <w:r w:rsidRPr="000977F7">
        <w:rPr>
          <w:color w:val="auto"/>
          <w:spacing w:val="-1"/>
          <w:sz w:val="20"/>
          <w:szCs w:val="20"/>
        </w:rPr>
        <w:t xml:space="preserve"> </w:t>
      </w:r>
      <w:r w:rsidRPr="000977F7">
        <w:rPr>
          <w:color w:val="auto"/>
          <w:sz w:val="20"/>
          <w:szCs w:val="20"/>
        </w:rPr>
        <w:t>–</w:t>
      </w:r>
    </w:p>
    <w:p w14:paraId="78ED080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Відношення дійового значення </w:t>
      </w:r>
      <w:r w:rsidRPr="000977F7">
        <w:rPr>
          <w:rFonts w:asciiTheme="majorHAnsi" w:hAnsiTheme="majorHAnsi"/>
          <w:i/>
          <w:sz w:val="20"/>
          <w:szCs w:val="20"/>
        </w:rPr>
        <w:t xml:space="preserve">п-ої </w:t>
      </w:r>
      <w:r w:rsidRPr="000977F7">
        <w:rPr>
          <w:rFonts w:asciiTheme="majorHAnsi" w:hAnsiTheme="majorHAnsi"/>
          <w:sz w:val="20"/>
          <w:szCs w:val="20"/>
        </w:rPr>
        <w:t>гармоніки напруги (струму) до дійового значення основної гармоніки</w:t>
      </w:r>
      <w:r w:rsidRPr="000977F7">
        <w:rPr>
          <w:rFonts w:asciiTheme="majorHAnsi" w:hAnsiTheme="majorHAnsi"/>
          <w:spacing w:val="1"/>
          <w:sz w:val="20"/>
          <w:szCs w:val="20"/>
        </w:rPr>
        <w:t xml:space="preserve"> </w:t>
      </w:r>
      <w:r w:rsidRPr="000977F7">
        <w:rPr>
          <w:rFonts w:asciiTheme="majorHAnsi" w:hAnsiTheme="majorHAnsi"/>
          <w:sz w:val="20"/>
          <w:szCs w:val="20"/>
        </w:rPr>
        <w:t>напруги</w:t>
      </w:r>
      <w:r w:rsidRPr="000977F7">
        <w:rPr>
          <w:rFonts w:asciiTheme="majorHAnsi" w:hAnsiTheme="majorHAnsi"/>
          <w:spacing w:val="-2"/>
          <w:sz w:val="20"/>
          <w:szCs w:val="20"/>
        </w:rPr>
        <w:t xml:space="preserve"> </w:t>
      </w:r>
      <w:r w:rsidRPr="000977F7">
        <w:rPr>
          <w:rFonts w:asciiTheme="majorHAnsi" w:hAnsiTheme="majorHAnsi"/>
          <w:sz w:val="20"/>
          <w:szCs w:val="20"/>
        </w:rPr>
        <w:t>(струму)</w:t>
      </w:r>
    </w:p>
    <w:p w14:paraId="385955C0"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r w:rsidRPr="000977F7">
        <w:rPr>
          <w:rFonts w:asciiTheme="majorHAnsi" w:hAnsiTheme="majorHAnsi"/>
          <w:b/>
          <w:sz w:val="20"/>
          <w:szCs w:val="20"/>
        </w:rPr>
        <w:t>:</w:t>
      </w:r>
    </w:p>
    <w:p w14:paraId="563B679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метою</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допускається</w:t>
      </w:r>
      <w:r w:rsidRPr="000977F7">
        <w:rPr>
          <w:rFonts w:asciiTheme="majorHAnsi" w:hAnsiTheme="majorHAnsi"/>
          <w:spacing w:val="1"/>
          <w:sz w:val="20"/>
          <w:szCs w:val="20"/>
        </w:rPr>
        <w:t xml:space="preserve"> </w:t>
      </w:r>
      <w:r w:rsidRPr="000977F7">
        <w:rPr>
          <w:rFonts w:asciiTheme="majorHAnsi" w:hAnsiTheme="majorHAnsi"/>
          <w:sz w:val="20"/>
          <w:szCs w:val="20"/>
        </w:rPr>
        <w:t>відносити</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номінальної</w:t>
      </w:r>
      <w:r w:rsidRPr="000977F7">
        <w:rPr>
          <w:rFonts w:asciiTheme="majorHAnsi" w:hAnsiTheme="majorHAnsi"/>
          <w:spacing w:val="-2"/>
          <w:sz w:val="20"/>
          <w:szCs w:val="20"/>
        </w:rPr>
        <w:t xml:space="preserve"> </w:t>
      </w:r>
      <w:r w:rsidRPr="000977F7">
        <w:rPr>
          <w:rFonts w:asciiTheme="majorHAnsi" w:hAnsiTheme="majorHAnsi"/>
          <w:sz w:val="20"/>
          <w:szCs w:val="20"/>
        </w:rPr>
        <w:t>напруги</w:t>
      </w:r>
      <w:r w:rsidRPr="000977F7">
        <w:rPr>
          <w:rFonts w:asciiTheme="majorHAnsi" w:hAnsiTheme="majorHAnsi"/>
          <w:spacing w:val="-1"/>
          <w:sz w:val="20"/>
          <w:szCs w:val="20"/>
        </w:rPr>
        <w:t xml:space="preserve"> </w:t>
      </w:r>
      <w:r w:rsidRPr="000977F7">
        <w:rPr>
          <w:rFonts w:asciiTheme="majorHAnsi" w:hAnsiTheme="majorHAnsi"/>
          <w:sz w:val="20"/>
          <w:szCs w:val="20"/>
        </w:rPr>
        <w:t>(струму)</w:t>
      </w:r>
    </w:p>
    <w:p w14:paraId="4000DDB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7C46D6F3" w14:textId="77777777" w:rsidR="0097612F" w:rsidRPr="000977F7" w:rsidRDefault="0097612F" w:rsidP="000977F7">
      <w:pPr>
        <w:pStyle w:val="7"/>
        <w:tabs>
          <w:tab w:val="left" w:pos="284"/>
        </w:tabs>
        <w:spacing w:before="0" w:line="240" w:lineRule="auto"/>
        <w:ind w:left="170"/>
        <w:mirrorIndents/>
        <w:jc w:val="both"/>
        <w:rPr>
          <w:color w:val="auto"/>
          <w:spacing w:val="22"/>
          <w:sz w:val="20"/>
          <w:szCs w:val="20"/>
        </w:rPr>
      </w:pPr>
      <w:bookmarkStart w:id="104" w:name="_Hlk101073031"/>
      <w:r w:rsidRPr="000977F7">
        <w:rPr>
          <w:color w:val="auto"/>
          <w:sz w:val="20"/>
          <w:szCs w:val="20"/>
        </w:rPr>
        <w:t>КОЕФІЦІЄНТ</w:t>
      </w:r>
      <w:r w:rsidRPr="000977F7">
        <w:rPr>
          <w:color w:val="auto"/>
          <w:spacing w:val="22"/>
          <w:sz w:val="20"/>
          <w:szCs w:val="20"/>
        </w:rPr>
        <w:t xml:space="preserve"> </w:t>
      </w:r>
      <w:r w:rsidRPr="000977F7">
        <w:rPr>
          <w:color w:val="auto"/>
          <w:sz w:val="20"/>
          <w:szCs w:val="20"/>
        </w:rPr>
        <w:t>ДИФЕРЕНЦІЮВАЛЬНОГО</w:t>
      </w:r>
      <w:r w:rsidRPr="000977F7">
        <w:rPr>
          <w:color w:val="auto"/>
          <w:spacing w:val="22"/>
          <w:sz w:val="20"/>
          <w:szCs w:val="20"/>
        </w:rPr>
        <w:t xml:space="preserve"> </w:t>
      </w:r>
    </w:p>
    <w:p w14:paraId="44B112D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w:t>
      </w:r>
      <w:r w:rsidRPr="000977F7">
        <w:rPr>
          <w:color w:val="auto"/>
          <w:spacing w:val="-47"/>
          <w:sz w:val="20"/>
          <w:szCs w:val="20"/>
        </w:rPr>
        <w:t xml:space="preserve"> </w:t>
      </w:r>
      <w:r w:rsidRPr="000977F7">
        <w:rPr>
          <w:color w:val="auto"/>
          <w:sz w:val="20"/>
          <w:szCs w:val="20"/>
        </w:rPr>
        <w:t>РЕТВОРЮВАННЯ</w:t>
      </w:r>
      <w:r w:rsidRPr="000977F7">
        <w:rPr>
          <w:color w:val="auto"/>
          <w:spacing w:val="1"/>
          <w:sz w:val="20"/>
          <w:szCs w:val="20"/>
        </w:rPr>
        <w:t xml:space="preserve"> </w:t>
      </w:r>
      <w:r w:rsidRPr="000977F7">
        <w:rPr>
          <w:color w:val="auto"/>
          <w:sz w:val="20"/>
          <w:szCs w:val="20"/>
        </w:rPr>
        <w:t>-</w:t>
      </w:r>
    </w:p>
    <w:p w14:paraId="582C0DE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DIFFERENTIATION</w:t>
      </w:r>
      <w:r w:rsidRPr="004D2D14">
        <w:rPr>
          <w:rFonts w:asciiTheme="majorHAnsi" w:hAnsiTheme="majorHAnsi"/>
          <w:spacing w:val="-4"/>
          <w:sz w:val="20"/>
          <w:szCs w:val="20"/>
          <w:lang w:val="uk-UA"/>
        </w:rPr>
        <w:t xml:space="preserve"> </w:t>
      </w:r>
      <w:r w:rsidRPr="000977F7">
        <w:rPr>
          <w:rFonts w:asciiTheme="majorHAnsi" w:hAnsiTheme="majorHAnsi"/>
          <w:sz w:val="20"/>
          <w:szCs w:val="20"/>
        </w:rPr>
        <w:t>GAIN</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bookmarkEnd w:id="104"/>
    <w:p w14:paraId="2D1D59C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Відношення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приросту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значення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вихідної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величини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диференціювального</w:t>
      </w:r>
      <w:r w:rsidRPr="004D2D14">
        <w:rPr>
          <w:rFonts w:asciiTheme="majorHAnsi" w:hAnsiTheme="majorHAnsi"/>
          <w:spacing w:val="41"/>
          <w:sz w:val="20"/>
          <w:szCs w:val="20"/>
          <w:lang w:val="uk-UA"/>
        </w:rPr>
        <w:t xml:space="preserve"> </w:t>
      </w:r>
      <w:r w:rsidRPr="004D2D14">
        <w:rPr>
          <w:rFonts w:asciiTheme="majorHAnsi" w:hAnsiTheme="majorHAnsi"/>
          <w:sz w:val="20"/>
          <w:szCs w:val="20"/>
          <w:lang w:val="uk-UA"/>
        </w:rPr>
        <w:t>об’єкта</w:t>
      </w:r>
      <w:r w:rsidRPr="004D2D14">
        <w:rPr>
          <w:rFonts w:asciiTheme="majorHAnsi" w:hAnsiTheme="majorHAnsi"/>
          <w:spacing w:val="40"/>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42"/>
          <w:sz w:val="20"/>
          <w:szCs w:val="20"/>
          <w:lang w:val="uk-UA"/>
        </w:rPr>
        <w:t xml:space="preserve"> </w:t>
      </w:r>
      <w:r w:rsidRPr="004D2D14">
        <w:rPr>
          <w:rFonts w:asciiTheme="majorHAnsi" w:hAnsiTheme="majorHAnsi"/>
          <w:sz w:val="20"/>
          <w:szCs w:val="20"/>
          <w:lang w:val="uk-UA"/>
        </w:rPr>
        <w:t>значення</w:t>
      </w:r>
      <w:r w:rsidRPr="004D2D14">
        <w:rPr>
          <w:rFonts w:asciiTheme="majorHAnsi" w:hAnsiTheme="majorHAnsi"/>
          <w:spacing w:val="39"/>
          <w:sz w:val="20"/>
          <w:szCs w:val="20"/>
          <w:lang w:val="uk-UA"/>
        </w:rPr>
        <w:t xml:space="preserve"> </w:t>
      </w:r>
      <w:r w:rsidRPr="004D2D14">
        <w:rPr>
          <w:rFonts w:asciiTheme="majorHAnsi" w:hAnsiTheme="majorHAnsi"/>
          <w:sz w:val="20"/>
          <w:szCs w:val="20"/>
          <w:lang w:val="uk-UA"/>
        </w:rPr>
        <w:t>швидкості змінювання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вхідної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величини,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викликало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цей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приріст</w:t>
      </w:r>
    </w:p>
    <w:p w14:paraId="5A0A672F"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3956</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2000</w:t>
      </w:r>
    </w:p>
    <w:p w14:paraId="5C2556E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КОЕФІЦІЄНТ</w:t>
      </w:r>
      <w:r w:rsidRPr="000977F7">
        <w:rPr>
          <w:color w:val="auto"/>
          <w:spacing w:val="-5"/>
          <w:sz w:val="20"/>
          <w:szCs w:val="20"/>
        </w:rPr>
        <w:t xml:space="preserve"> </w:t>
      </w:r>
      <w:r w:rsidRPr="000977F7">
        <w:rPr>
          <w:color w:val="auto"/>
          <w:sz w:val="20"/>
          <w:szCs w:val="20"/>
        </w:rPr>
        <w:t>ДОСТУПНОСТІ</w:t>
      </w:r>
      <w:r w:rsidRPr="000977F7">
        <w:rPr>
          <w:color w:val="auto"/>
          <w:spacing w:val="-1"/>
          <w:sz w:val="20"/>
          <w:szCs w:val="20"/>
        </w:rPr>
        <w:t xml:space="preserve"> </w:t>
      </w:r>
      <w:r w:rsidRPr="000977F7">
        <w:rPr>
          <w:color w:val="auto"/>
          <w:sz w:val="20"/>
          <w:szCs w:val="20"/>
        </w:rPr>
        <w:t>–</w:t>
      </w:r>
    </w:p>
    <w:p w14:paraId="1F82E9A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Відношення основної трудомісткості виконання операцій технічного обслуговування (ремонту) до суми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основної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та допоміжної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трудомісткостей</w:t>
      </w:r>
    </w:p>
    <w:p w14:paraId="7C4A856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 xml:space="preserve">КОЕФІЦІЄНТ ЕКСТЕНСИВНОГО </w:t>
      </w:r>
    </w:p>
    <w:p w14:paraId="51EDBE0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НАВАНТАЖЕННЯ</w:t>
      </w:r>
      <w:r w:rsidRPr="000977F7">
        <w:rPr>
          <w:color w:val="auto"/>
          <w:spacing w:val="-1"/>
          <w:sz w:val="20"/>
          <w:szCs w:val="20"/>
        </w:rPr>
        <w:t xml:space="preserve"> </w:t>
      </w:r>
      <w:r w:rsidRPr="000977F7">
        <w:rPr>
          <w:color w:val="auto"/>
          <w:sz w:val="20"/>
          <w:szCs w:val="20"/>
        </w:rPr>
        <w:t>УСТАТКУВАННЯ</w:t>
      </w:r>
      <w:r w:rsidRPr="000977F7">
        <w:rPr>
          <w:color w:val="auto"/>
          <w:spacing w:val="2"/>
          <w:sz w:val="20"/>
          <w:szCs w:val="20"/>
        </w:rPr>
        <w:t xml:space="preserve"> </w:t>
      </w:r>
      <w:r w:rsidRPr="000977F7">
        <w:rPr>
          <w:color w:val="auto"/>
          <w:sz w:val="20"/>
          <w:szCs w:val="20"/>
        </w:rPr>
        <w:t>–</w:t>
      </w:r>
    </w:p>
    <w:p w14:paraId="289FF0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Показник ступеня використання можливого часу роботи устаткування, що обчислюється як відношення</w:t>
      </w:r>
      <w:r w:rsidRPr="000977F7">
        <w:rPr>
          <w:rFonts w:asciiTheme="majorHAnsi" w:hAnsiTheme="majorHAnsi"/>
          <w:spacing w:val="1"/>
          <w:sz w:val="20"/>
          <w:szCs w:val="20"/>
        </w:rPr>
        <w:t xml:space="preserve"> </w:t>
      </w:r>
      <w:r w:rsidRPr="000977F7">
        <w:rPr>
          <w:rFonts w:asciiTheme="majorHAnsi" w:hAnsiTheme="majorHAnsi"/>
          <w:sz w:val="20"/>
          <w:szCs w:val="20"/>
        </w:rPr>
        <w:t>фактичного часу роботи устаткування до розрахункового за певний</w:t>
      </w:r>
      <w:r w:rsidRPr="000977F7">
        <w:rPr>
          <w:rFonts w:asciiTheme="majorHAnsi" w:hAnsiTheme="majorHAnsi"/>
          <w:spacing w:val="1"/>
          <w:sz w:val="20"/>
          <w:szCs w:val="20"/>
        </w:rPr>
        <w:t xml:space="preserve"> </w:t>
      </w:r>
      <w:r w:rsidRPr="000977F7">
        <w:rPr>
          <w:rFonts w:asciiTheme="majorHAnsi" w:hAnsiTheme="majorHAnsi"/>
          <w:sz w:val="20"/>
          <w:szCs w:val="20"/>
        </w:rPr>
        <w:t>період</w:t>
      </w:r>
    </w:p>
    <w:p w14:paraId="1ACBF6C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DC82E5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КОЕФІЦІЄНТ</w:t>
      </w:r>
      <w:r w:rsidRPr="000977F7">
        <w:rPr>
          <w:color w:val="auto"/>
          <w:spacing w:val="41"/>
          <w:sz w:val="20"/>
          <w:szCs w:val="20"/>
        </w:rPr>
        <w:t xml:space="preserve"> </w:t>
      </w:r>
      <w:r w:rsidRPr="000977F7">
        <w:rPr>
          <w:color w:val="auto"/>
          <w:sz w:val="20"/>
          <w:szCs w:val="20"/>
        </w:rPr>
        <w:t>ЗАКРІПЛЕННЯ</w:t>
      </w:r>
      <w:r w:rsidRPr="000977F7">
        <w:rPr>
          <w:color w:val="auto"/>
          <w:spacing w:val="-4"/>
          <w:sz w:val="20"/>
          <w:szCs w:val="20"/>
        </w:rPr>
        <w:t xml:space="preserve"> </w:t>
      </w:r>
      <w:r w:rsidRPr="000977F7">
        <w:rPr>
          <w:color w:val="auto"/>
          <w:sz w:val="20"/>
          <w:szCs w:val="20"/>
        </w:rPr>
        <w:t>ОПЕРАЦІЙ</w:t>
      </w:r>
      <w:r w:rsidRPr="000977F7">
        <w:rPr>
          <w:color w:val="auto"/>
          <w:spacing w:val="1"/>
          <w:sz w:val="20"/>
          <w:szCs w:val="20"/>
        </w:rPr>
        <w:t xml:space="preserve"> </w:t>
      </w:r>
      <w:r w:rsidRPr="000977F7">
        <w:rPr>
          <w:color w:val="auto"/>
          <w:sz w:val="20"/>
          <w:szCs w:val="20"/>
        </w:rPr>
        <w:t>–</w:t>
      </w:r>
    </w:p>
    <w:p w14:paraId="23A713A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числа всіх різних технологічних операцій, які виконано чи належить виконати протягом місяця,</w:t>
      </w:r>
      <w:r w:rsidRPr="000977F7">
        <w:rPr>
          <w:rFonts w:asciiTheme="majorHAnsi" w:hAnsiTheme="majorHAnsi"/>
          <w:spacing w:val="-1"/>
          <w:sz w:val="20"/>
          <w:szCs w:val="20"/>
        </w:rPr>
        <w:t xml:space="preserve"> </w:t>
      </w:r>
      <w:r w:rsidRPr="000977F7">
        <w:rPr>
          <w:rFonts w:asciiTheme="majorHAnsi" w:hAnsiTheme="majorHAnsi"/>
          <w:sz w:val="20"/>
          <w:szCs w:val="20"/>
        </w:rPr>
        <w:t>до числа робочих</w:t>
      </w:r>
      <w:r w:rsidRPr="000977F7">
        <w:rPr>
          <w:rFonts w:asciiTheme="majorHAnsi" w:hAnsiTheme="majorHAnsi"/>
          <w:spacing w:val="-1"/>
          <w:sz w:val="20"/>
          <w:szCs w:val="20"/>
        </w:rPr>
        <w:t xml:space="preserve"> </w:t>
      </w:r>
      <w:r w:rsidRPr="000977F7">
        <w:rPr>
          <w:rFonts w:asciiTheme="majorHAnsi" w:hAnsiTheme="majorHAnsi"/>
          <w:sz w:val="20"/>
          <w:szCs w:val="20"/>
        </w:rPr>
        <w:t>місць</w:t>
      </w:r>
    </w:p>
    <w:p w14:paraId="5BA9C92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B96D50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КОЕФІЦІЄНТ</w:t>
      </w:r>
      <w:r w:rsidRPr="000977F7">
        <w:rPr>
          <w:color w:val="auto"/>
          <w:spacing w:val="-5"/>
          <w:sz w:val="20"/>
          <w:szCs w:val="20"/>
        </w:rPr>
        <w:t xml:space="preserve"> </w:t>
      </w:r>
      <w:r w:rsidRPr="000977F7">
        <w:rPr>
          <w:color w:val="auto"/>
          <w:sz w:val="20"/>
          <w:szCs w:val="20"/>
        </w:rPr>
        <w:t>ЗАПАСУ</w:t>
      </w:r>
      <w:r w:rsidRPr="000977F7">
        <w:rPr>
          <w:color w:val="auto"/>
          <w:spacing w:val="-1"/>
          <w:sz w:val="20"/>
          <w:szCs w:val="20"/>
        </w:rPr>
        <w:t xml:space="preserve"> </w:t>
      </w:r>
      <w:r w:rsidRPr="000977F7">
        <w:rPr>
          <w:color w:val="auto"/>
          <w:sz w:val="20"/>
          <w:szCs w:val="20"/>
        </w:rPr>
        <w:t>МІЦНОСТІ</w:t>
      </w:r>
      <w:r w:rsidRPr="000977F7">
        <w:rPr>
          <w:color w:val="auto"/>
          <w:spacing w:val="-3"/>
          <w:sz w:val="20"/>
          <w:szCs w:val="20"/>
        </w:rPr>
        <w:t xml:space="preserve"> </w:t>
      </w:r>
      <w:r w:rsidRPr="000977F7">
        <w:rPr>
          <w:color w:val="auto"/>
          <w:sz w:val="20"/>
          <w:szCs w:val="20"/>
        </w:rPr>
        <w:t>–</w:t>
      </w:r>
    </w:p>
    <w:p w14:paraId="0478458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SAFETY</w:t>
      </w:r>
      <w:r w:rsidRPr="000977F7">
        <w:rPr>
          <w:rFonts w:asciiTheme="majorHAnsi" w:hAnsiTheme="majorHAnsi"/>
          <w:spacing w:val="-2"/>
          <w:sz w:val="20"/>
          <w:szCs w:val="20"/>
        </w:rPr>
        <w:t xml:space="preserve"> </w:t>
      </w:r>
      <w:r w:rsidRPr="000977F7">
        <w:rPr>
          <w:rFonts w:asciiTheme="majorHAnsi" w:hAnsiTheme="majorHAnsi"/>
          <w:sz w:val="20"/>
          <w:szCs w:val="20"/>
        </w:rPr>
        <w:t>FACTOR</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51095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граничного напруження (граничного навантаження)</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розрахункового</w:t>
      </w:r>
      <w:r w:rsidRPr="000977F7">
        <w:rPr>
          <w:rFonts w:asciiTheme="majorHAnsi" w:hAnsiTheme="majorHAnsi"/>
          <w:spacing w:val="1"/>
          <w:sz w:val="20"/>
          <w:szCs w:val="20"/>
        </w:rPr>
        <w:t xml:space="preserve"> </w:t>
      </w:r>
      <w:r w:rsidRPr="000977F7">
        <w:rPr>
          <w:rFonts w:asciiTheme="majorHAnsi" w:hAnsiTheme="majorHAnsi"/>
          <w:sz w:val="20"/>
          <w:szCs w:val="20"/>
        </w:rPr>
        <w:t>напруження</w:t>
      </w:r>
      <w:r w:rsidRPr="000977F7">
        <w:rPr>
          <w:rFonts w:asciiTheme="majorHAnsi" w:hAnsiTheme="majorHAnsi"/>
          <w:spacing w:val="1"/>
          <w:sz w:val="20"/>
          <w:szCs w:val="20"/>
        </w:rPr>
        <w:t xml:space="preserve"> </w:t>
      </w:r>
      <w:r w:rsidRPr="000977F7">
        <w:rPr>
          <w:rFonts w:asciiTheme="majorHAnsi" w:hAnsiTheme="majorHAnsi"/>
          <w:sz w:val="20"/>
          <w:szCs w:val="20"/>
        </w:rPr>
        <w:t>(розрахункового навантаження)</w:t>
      </w:r>
    </w:p>
    <w:p w14:paraId="3847FFF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D32E04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КОЕФІЦІЄНТ ЗБЕРЕЖЕННЯ ЕФЕКТИВНОСТІ </w:t>
      </w:r>
      <w:r w:rsidRPr="000977F7">
        <w:rPr>
          <w:rFonts w:asciiTheme="majorHAnsi" w:hAnsiTheme="majorHAnsi"/>
          <w:sz w:val="20"/>
          <w:szCs w:val="20"/>
        </w:rPr>
        <w:t>–</w:t>
      </w:r>
    </w:p>
    <w:p w14:paraId="63D3A75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spacing w:val="-47"/>
          <w:sz w:val="20"/>
          <w:szCs w:val="20"/>
        </w:rPr>
        <w:t xml:space="preserve"> </w:t>
      </w:r>
      <w:r w:rsidRPr="000977F7">
        <w:rPr>
          <w:rFonts w:asciiTheme="majorHAnsi" w:hAnsiTheme="majorHAnsi"/>
          <w:sz w:val="20"/>
          <w:szCs w:val="20"/>
        </w:rPr>
        <w:t>EFFICIENCY</w:t>
      </w:r>
      <w:r w:rsidRPr="000977F7">
        <w:rPr>
          <w:rFonts w:asciiTheme="majorHAnsi" w:hAnsiTheme="majorHAnsi"/>
          <w:spacing w:val="-1"/>
          <w:sz w:val="20"/>
          <w:szCs w:val="20"/>
        </w:rPr>
        <w:t xml:space="preserve"> </w:t>
      </w:r>
      <w:r w:rsidRPr="000977F7">
        <w:rPr>
          <w:rFonts w:asciiTheme="majorHAnsi" w:hAnsiTheme="majorHAnsi"/>
          <w:sz w:val="20"/>
          <w:szCs w:val="20"/>
        </w:rPr>
        <w:t>RATIO</w:t>
      </w:r>
      <w:r w:rsidRPr="000977F7">
        <w:rPr>
          <w:rFonts w:asciiTheme="majorHAnsi" w:hAnsiTheme="majorHAnsi"/>
          <w:spacing w:val="2"/>
          <w:sz w:val="20"/>
          <w:szCs w:val="20"/>
        </w:rPr>
        <w:t xml:space="preserve"> </w:t>
      </w:r>
      <w:r w:rsidRPr="000977F7">
        <w:rPr>
          <w:rFonts w:asciiTheme="majorHAnsi" w:hAnsiTheme="majorHAnsi"/>
          <w:i/>
          <w:sz w:val="20"/>
          <w:szCs w:val="20"/>
        </w:rPr>
        <w:t>—</w:t>
      </w:r>
    </w:p>
    <w:p w14:paraId="49C7856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значення показника ефективності використання об’єкта за призначенням за певну тривалість</w:t>
      </w:r>
      <w:r w:rsidRPr="000977F7">
        <w:rPr>
          <w:rFonts w:asciiTheme="majorHAnsi" w:hAnsiTheme="majorHAnsi"/>
          <w:spacing w:val="-47"/>
          <w:sz w:val="20"/>
          <w:szCs w:val="20"/>
        </w:rPr>
        <w:t xml:space="preserve"> </w:t>
      </w:r>
      <w:r w:rsidRPr="000977F7">
        <w:rPr>
          <w:rFonts w:asciiTheme="majorHAnsi" w:hAnsiTheme="majorHAnsi"/>
          <w:sz w:val="20"/>
          <w:szCs w:val="20"/>
        </w:rPr>
        <w:t>експлуатації до номінального значення цього показника,</w:t>
      </w:r>
      <w:r w:rsidRPr="000977F7">
        <w:rPr>
          <w:rFonts w:asciiTheme="majorHAnsi" w:hAnsiTheme="majorHAnsi"/>
          <w:spacing w:val="1"/>
          <w:sz w:val="20"/>
          <w:szCs w:val="20"/>
        </w:rPr>
        <w:t xml:space="preserve"> </w:t>
      </w:r>
      <w:r w:rsidRPr="000977F7">
        <w:rPr>
          <w:rFonts w:asciiTheme="majorHAnsi" w:hAnsiTheme="majorHAnsi"/>
          <w:sz w:val="20"/>
          <w:szCs w:val="20"/>
        </w:rPr>
        <w:t>розрахованого</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умови,</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відмови</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протягом того ж</w:t>
      </w:r>
      <w:r w:rsidRPr="000977F7">
        <w:rPr>
          <w:rFonts w:asciiTheme="majorHAnsi" w:hAnsiTheme="majorHAnsi"/>
          <w:spacing w:val="-1"/>
          <w:sz w:val="20"/>
          <w:szCs w:val="20"/>
        </w:rPr>
        <w:t xml:space="preserve"> </w:t>
      </w:r>
      <w:r w:rsidRPr="000977F7">
        <w:rPr>
          <w:rFonts w:asciiTheme="majorHAnsi" w:hAnsiTheme="majorHAnsi"/>
          <w:sz w:val="20"/>
          <w:szCs w:val="20"/>
        </w:rPr>
        <w:t>періоду</w:t>
      </w:r>
      <w:r w:rsidRPr="000977F7">
        <w:rPr>
          <w:rFonts w:asciiTheme="majorHAnsi" w:hAnsiTheme="majorHAnsi"/>
          <w:spacing w:val="-2"/>
          <w:sz w:val="20"/>
          <w:szCs w:val="20"/>
        </w:rPr>
        <w:t xml:space="preserve"> </w:t>
      </w:r>
      <w:r w:rsidRPr="000977F7">
        <w:rPr>
          <w:rFonts w:asciiTheme="majorHAnsi" w:hAnsiTheme="majorHAnsi"/>
          <w:sz w:val="20"/>
          <w:szCs w:val="20"/>
        </w:rPr>
        <w:t>не</w:t>
      </w:r>
      <w:r w:rsidRPr="000977F7">
        <w:rPr>
          <w:rFonts w:asciiTheme="majorHAnsi" w:hAnsiTheme="majorHAnsi"/>
          <w:spacing w:val="2"/>
          <w:sz w:val="20"/>
          <w:szCs w:val="20"/>
        </w:rPr>
        <w:t xml:space="preserve"> </w:t>
      </w:r>
      <w:r w:rsidRPr="000977F7">
        <w:rPr>
          <w:rFonts w:asciiTheme="majorHAnsi" w:hAnsiTheme="majorHAnsi"/>
          <w:sz w:val="20"/>
          <w:szCs w:val="20"/>
        </w:rPr>
        <w:t>виникають</w:t>
      </w:r>
    </w:p>
    <w:p w14:paraId="0654ACB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2860 - 94</w:t>
      </w:r>
    </w:p>
    <w:p w14:paraId="7973819C"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 xml:space="preserve">КОЕФІЦІЄНТ ЗБЕРЕЖЕННЯ </w:t>
      </w:r>
    </w:p>
    <w:p w14:paraId="5F402B4A"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ПРОДУКТИВНО</w:t>
      </w:r>
      <w:r w:rsidRPr="000977F7">
        <w:rPr>
          <w:rFonts w:asciiTheme="majorHAnsi" w:hAnsiTheme="majorHAnsi"/>
          <w:b/>
          <w:spacing w:val="-47"/>
          <w:sz w:val="20"/>
          <w:szCs w:val="20"/>
        </w:rPr>
        <w:t xml:space="preserve"> </w:t>
      </w:r>
      <w:r w:rsidRPr="000977F7">
        <w:rPr>
          <w:rFonts w:asciiTheme="majorHAnsi" w:hAnsiTheme="majorHAnsi"/>
          <w:b/>
          <w:sz w:val="20"/>
          <w:szCs w:val="20"/>
        </w:rPr>
        <w:t>СТІ ТЕХНОЛОГІЧНОЇ</w:t>
      </w:r>
      <w:r w:rsidRPr="000977F7">
        <w:rPr>
          <w:rFonts w:asciiTheme="majorHAnsi" w:hAnsiTheme="majorHAnsi"/>
          <w:b/>
          <w:spacing w:val="-2"/>
          <w:sz w:val="20"/>
          <w:szCs w:val="20"/>
        </w:rPr>
        <w:t xml:space="preserve"> </w:t>
      </w:r>
      <w:r w:rsidRPr="000977F7">
        <w:rPr>
          <w:rFonts w:asciiTheme="majorHAnsi" w:hAnsiTheme="majorHAnsi"/>
          <w:b/>
          <w:sz w:val="20"/>
          <w:szCs w:val="20"/>
        </w:rPr>
        <w:t>СИСТЕМИ</w:t>
      </w:r>
      <w:r w:rsidRPr="000977F7">
        <w:rPr>
          <w:rFonts w:asciiTheme="majorHAnsi" w:hAnsiTheme="majorHAnsi"/>
          <w:b/>
          <w:spacing w:val="3"/>
          <w:sz w:val="20"/>
          <w:szCs w:val="20"/>
        </w:rPr>
        <w:t xml:space="preserve"> </w:t>
      </w:r>
      <w:r w:rsidRPr="000977F7">
        <w:rPr>
          <w:rFonts w:asciiTheme="majorHAnsi" w:hAnsiTheme="majorHAnsi"/>
          <w:b/>
          <w:sz w:val="20"/>
          <w:szCs w:val="20"/>
        </w:rPr>
        <w:t>–</w:t>
      </w:r>
      <w:r w:rsidRPr="000977F7">
        <w:rPr>
          <w:rFonts w:asciiTheme="majorHAnsi" w:hAnsiTheme="majorHAnsi"/>
          <w:b/>
          <w:spacing w:val="1"/>
          <w:sz w:val="20"/>
          <w:szCs w:val="20"/>
        </w:rPr>
        <w:t xml:space="preserve"> </w:t>
      </w:r>
    </w:p>
    <w:p w14:paraId="3BC9AC32"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RETENTION FACTOR OF TECHNOLOGICAL</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SYSTEM</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OUTPUT</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42DFCCB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середнього значення обсягу випуску технологічною системою придатної продукції за розглядуваний інтервал часу до його номінального значення, обчисленого за умови, що відмови технологічної</w:t>
      </w:r>
      <w:r w:rsidRPr="000977F7">
        <w:rPr>
          <w:rFonts w:asciiTheme="majorHAnsi" w:hAnsiTheme="majorHAnsi"/>
          <w:spacing w:val="1"/>
          <w:sz w:val="20"/>
          <w:szCs w:val="20"/>
        </w:rPr>
        <w:t xml:space="preserve"> </w:t>
      </w:r>
      <w:r w:rsidRPr="000977F7">
        <w:rPr>
          <w:rFonts w:asciiTheme="majorHAnsi" w:hAnsiTheme="majorHAnsi"/>
          <w:sz w:val="20"/>
          <w:szCs w:val="20"/>
        </w:rPr>
        <w:t>системи не виникають</w:t>
      </w:r>
    </w:p>
    <w:p w14:paraId="1EBE289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2470 - 94</w:t>
      </w:r>
    </w:p>
    <w:p w14:paraId="00279F4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105" w:name="_Hlk101073200"/>
      <w:r w:rsidRPr="000977F7">
        <w:rPr>
          <w:color w:val="auto"/>
          <w:sz w:val="20"/>
          <w:szCs w:val="20"/>
        </w:rPr>
        <w:t>КОЕФІЦІЄНТ</w:t>
      </w:r>
      <w:r w:rsidRPr="000977F7">
        <w:rPr>
          <w:color w:val="auto"/>
          <w:spacing w:val="43"/>
          <w:sz w:val="20"/>
          <w:szCs w:val="20"/>
        </w:rPr>
        <w:t xml:space="preserve"> </w:t>
      </w:r>
      <w:r w:rsidRPr="000977F7">
        <w:rPr>
          <w:color w:val="auto"/>
          <w:sz w:val="20"/>
          <w:szCs w:val="20"/>
        </w:rPr>
        <w:t>ЗГАСАННЯ –</w:t>
      </w:r>
    </w:p>
    <w:p w14:paraId="0B15C3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DAMPING</w:t>
      </w:r>
      <w:r w:rsidRPr="000977F7">
        <w:rPr>
          <w:rFonts w:asciiTheme="majorHAnsi" w:hAnsiTheme="majorHAnsi"/>
          <w:spacing w:val="-3"/>
          <w:sz w:val="20"/>
          <w:szCs w:val="20"/>
        </w:rPr>
        <w:t xml:space="preserve"> </w:t>
      </w:r>
      <w:r w:rsidRPr="000977F7">
        <w:rPr>
          <w:rFonts w:asciiTheme="majorHAnsi" w:hAnsiTheme="majorHAnsi"/>
          <w:sz w:val="20"/>
          <w:szCs w:val="20"/>
        </w:rPr>
        <w:t>INDEX</w:t>
      </w:r>
      <w:r w:rsidRPr="000977F7">
        <w:rPr>
          <w:rFonts w:asciiTheme="majorHAnsi" w:hAnsiTheme="majorHAnsi"/>
          <w:spacing w:val="-1"/>
          <w:sz w:val="20"/>
          <w:szCs w:val="20"/>
        </w:rPr>
        <w:t xml:space="preserve"> </w:t>
      </w:r>
      <w:r w:rsidRPr="000977F7">
        <w:rPr>
          <w:rFonts w:asciiTheme="majorHAnsi" w:hAnsiTheme="majorHAnsi"/>
          <w:sz w:val="20"/>
          <w:szCs w:val="20"/>
        </w:rPr>
        <w:t>–</w:t>
      </w:r>
    </w:p>
    <w:bookmarkEnd w:id="105"/>
    <w:p w14:paraId="5D0B2F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різниці першого та другого максимальних</w:t>
      </w:r>
      <w:r w:rsidRPr="000977F7">
        <w:rPr>
          <w:rFonts w:asciiTheme="majorHAnsi" w:hAnsiTheme="majorHAnsi"/>
          <w:spacing w:val="1"/>
          <w:sz w:val="20"/>
          <w:szCs w:val="20"/>
        </w:rPr>
        <w:t xml:space="preserve"> </w:t>
      </w:r>
      <w:r w:rsidRPr="000977F7">
        <w:rPr>
          <w:rFonts w:asciiTheme="majorHAnsi" w:hAnsiTheme="majorHAnsi"/>
          <w:sz w:val="20"/>
          <w:szCs w:val="20"/>
        </w:rPr>
        <w:t>значень</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різниці</w:t>
      </w:r>
      <w:r w:rsidRPr="000977F7">
        <w:rPr>
          <w:rFonts w:asciiTheme="majorHAnsi" w:hAnsiTheme="majorHAnsi"/>
          <w:spacing w:val="1"/>
          <w:sz w:val="20"/>
          <w:szCs w:val="20"/>
        </w:rPr>
        <w:t xml:space="preserve"> </w:t>
      </w:r>
      <w:r w:rsidRPr="000977F7">
        <w:rPr>
          <w:rFonts w:asciiTheme="majorHAnsi" w:hAnsiTheme="majorHAnsi"/>
          <w:sz w:val="20"/>
          <w:szCs w:val="20"/>
        </w:rPr>
        <w:t>першого</w:t>
      </w:r>
      <w:r w:rsidRPr="000977F7">
        <w:rPr>
          <w:rFonts w:asciiTheme="majorHAnsi" w:hAnsiTheme="majorHAnsi"/>
          <w:spacing w:val="1"/>
          <w:sz w:val="20"/>
          <w:szCs w:val="20"/>
        </w:rPr>
        <w:t xml:space="preserve"> </w:t>
      </w:r>
      <w:r w:rsidRPr="000977F7">
        <w:rPr>
          <w:rFonts w:asciiTheme="majorHAnsi" w:hAnsiTheme="majorHAnsi"/>
          <w:sz w:val="20"/>
          <w:szCs w:val="20"/>
        </w:rPr>
        <w:t>максимального та усталеного значень цього ж параметра</w:t>
      </w:r>
    </w:p>
    <w:p w14:paraId="1132AA6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FBF488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Коефіцієнт згасання визначається згідно з перехідною</w:t>
      </w:r>
      <w:r w:rsidRPr="000977F7">
        <w:rPr>
          <w:rFonts w:asciiTheme="majorHAnsi" w:hAnsiTheme="majorHAnsi"/>
          <w:spacing w:val="-47"/>
          <w:sz w:val="20"/>
          <w:szCs w:val="20"/>
        </w:rPr>
        <w:t xml:space="preserve"> </w:t>
      </w:r>
      <w:r w:rsidRPr="000977F7">
        <w:rPr>
          <w:rFonts w:asciiTheme="majorHAnsi" w:hAnsiTheme="majorHAnsi"/>
          <w:sz w:val="20"/>
          <w:szCs w:val="20"/>
        </w:rPr>
        <w:t>характеристикою</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484DE4C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2000</w:t>
      </w:r>
    </w:p>
    <w:p w14:paraId="6F4E13D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КОЕФІЦІЄНТ ІНТЕГРАЛЬНОГО </w:t>
      </w:r>
    </w:p>
    <w:p w14:paraId="215CC4E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НАВАНТА</w:t>
      </w:r>
      <w:r w:rsidRPr="000977F7">
        <w:rPr>
          <w:color w:val="auto"/>
          <w:spacing w:val="-47"/>
          <w:sz w:val="20"/>
          <w:szCs w:val="20"/>
        </w:rPr>
        <w:t xml:space="preserve"> </w:t>
      </w:r>
      <w:r w:rsidRPr="000977F7">
        <w:rPr>
          <w:color w:val="auto"/>
          <w:sz w:val="20"/>
          <w:szCs w:val="20"/>
        </w:rPr>
        <w:t>ЖЕННЯ</w:t>
      </w:r>
      <w:r w:rsidRPr="000977F7">
        <w:rPr>
          <w:color w:val="auto"/>
          <w:spacing w:val="-1"/>
          <w:sz w:val="20"/>
          <w:szCs w:val="20"/>
        </w:rPr>
        <w:t xml:space="preserve"> </w:t>
      </w:r>
      <w:r w:rsidRPr="000977F7">
        <w:rPr>
          <w:color w:val="auto"/>
          <w:sz w:val="20"/>
          <w:szCs w:val="20"/>
        </w:rPr>
        <w:t>УСТАТКУВАННЯ</w:t>
      </w:r>
      <w:r w:rsidRPr="000977F7">
        <w:rPr>
          <w:color w:val="auto"/>
          <w:spacing w:val="2"/>
          <w:sz w:val="20"/>
          <w:szCs w:val="20"/>
        </w:rPr>
        <w:t xml:space="preserve"> </w:t>
      </w:r>
      <w:r w:rsidRPr="000977F7">
        <w:rPr>
          <w:color w:val="auto"/>
          <w:sz w:val="20"/>
          <w:szCs w:val="20"/>
        </w:rPr>
        <w:t>–</w:t>
      </w:r>
    </w:p>
    <w:p w14:paraId="7EFA8D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Показник, що виражає ступінь використання устаткування за загальним обсягом виконаної ним роботи та</w:t>
      </w:r>
      <w:r w:rsidRPr="000977F7">
        <w:rPr>
          <w:rFonts w:asciiTheme="majorHAnsi" w:hAnsiTheme="majorHAnsi"/>
          <w:spacing w:val="1"/>
          <w:sz w:val="20"/>
          <w:szCs w:val="20"/>
        </w:rPr>
        <w:t xml:space="preserve"> </w:t>
      </w:r>
      <w:r w:rsidRPr="000977F7">
        <w:rPr>
          <w:rFonts w:asciiTheme="majorHAnsi" w:hAnsiTheme="majorHAnsi"/>
          <w:sz w:val="20"/>
          <w:szCs w:val="20"/>
        </w:rPr>
        <w:t>визначається як</w:t>
      </w:r>
      <w:r w:rsidRPr="000977F7">
        <w:rPr>
          <w:rFonts w:asciiTheme="majorHAnsi" w:hAnsiTheme="majorHAnsi"/>
          <w:spacing w:val="50"/>
          <w:sz w:val="20"/>
          <w:szCs w:val="20"/>
        </w:rPr>
        <w:t xml:space="preserve"> </w:t>
      </w:r>
      <w:r w:rsidRPr="000977F7">
        <w:rPr>
          <w:rFonts w:asciiTheme="majorHAnsi" w:hAnsiTheme="majorHAnsi"/>
          <w:sz w:val="20"/>
          <w:szCs w:val="20"/>
        </w:rPr>
        <w:t>добуток коефіцієнтів екстенсивного</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інтенсивного навантаження</w:t>
      </w:r>
      <w:r w:rsidRPr="000977F7">
        <w:rPr>
          <w:rFonts w:asciiTheme="majorHAnsi" w:hAnsiTheme="majorHAnsi"/>
          <w:spacing w:val="1"/>
          <w:sz w:val="20"/>
          <w:szCs w:val="20"/>
        </w:rPr>
        <w:t xml:space="preserve"> </w:t>
      </w:r>
      <w:r w:rsidRPr="000977F7">
        <w:rPr>
          <w:rFonts w:asciiTheme="majorHAnsi" w:hAnsiTheme="majorHAnsi"/>
          <w:sz w:val="20"/>
          <w:szCs w:val="20"/>
        </w:rPr>
        <w:t>устаткування</w:t>
      </w:r>
    </w:p>
    <w:p w14:paraId="6D18772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E9F5A2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КОЕФІЦІЄНТ ІНТЕГРУВАЛЬНОГО </w:t>
      </w:r>
    </w:p>
    <w:p w14:paraId="225234F4" w14:textId="77777777" w:rsidR="0097612F" w:rsidRPr="000977F7" w:rsidRDefault="0097612F" w:rsidP="000977F7">
      <w:pPr>
        <w:pStyle w:val="7"/>
        <w:tabs>
          <w:tab w:val="left" w:pos="284"/>
        </w:tabs>
        <w:spacing w:before="0" w:line="240" w:lineRule="auto"/>
        <w:ind w:left="170"/>
        <w:mirrorIndents/>
        <w:jc w:val="both"/>
        <w:rPr>
          <w:i/>
          <w:color w:val="auto"/>
          <w:sz w:val="20"/>
          <w:szCs w:val="20"/>
        </w:rPr>
      </w:pPr>
      <w:r w:rsidRPr="000977F7">
        <w:rPr>
          <w:color w:val="auto"/>
          <w:sz w:val="20"/>
          <w:szCs w:val="20"/>
        </w:rPr>
        <w:t>ПЕРЕТВО</w:t>
      </w:r>
      <w:r w:rsidRPr="000977F7">
        <w:rPr>
          <w:color w:val="auto"/>
          <w:spacing w:val="-47"/>
          <w:sz w:val="20"/>
          <w:szCs w:val="20"/>
        </w:rPr>
        <w:t xml:space="preserve"> </w:t>
      </w:r>
      <w:r w:rsidRPr="000977F7">
        <w:rPr>
          <w:color w:val="auto"/>
          <w:sz w:val="20"/>
          <w:szCs w:val="20"/>
        </w:rPr>
        <w:t xml:space="preserve">РЕННЯ </w:t>
      </w:r>
      <w:r w:rsidRPr="000977F7">
        <w:rPr>
          <w:i/>
          <w:color w:val="auto"/>
          <w:sz w:val="20"/>
          <w:szCs w:val="20"/>
        </w:rPr>
        <w:t>–</w:t>
      </w:r>
    </w:p>
    <w:p w14:paraId="46C6439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bookmarkStart w:id="106" w:name="_Hlk101073344"/>
      <w:r w:rsidRPr="000977F7">
        <w:rPr>
          <w:rFonts w:asciiTheme="majorHAnsi" w:hAnsiTheme="majorHAnsi"/>
          <w:sz w:val="20"/>
          <w:szCs w:val="20"/>
        </w:rPr>
        <w:t>INTEGRATION</w:t>
      </w:r>
      <w:r w:rsidRPr="004D2D14">
        <w:rPr>
          <w:rFonts w:asciiTheme="majorHAnsi" w:hAnsiTheme="majorHAnsi"/>
          <w:spacing w:val="-5"/>
          <w:sz w:val="20"/>
          <w:szCs w:val="20"/>
          <w:lang w:val="uk-UA"/>
        </w:rPr>
        <w:t xml:space="preserve"> </w:t>
      </w:r>
      <w:r w:rsidRPr="000977F7">
        <w:rPr>
          <w:rFonts w:asciiTheme="majorHAnsi" w:hAnsiTheme="majorHAnsi"/>
          <w:sz w:val="20"/>
          <w:szCs w:val="20"/>
        </w:rPr>
        <w:t>GAIN</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bookmarkEnd w:id="106"/>
    </w:p>
    <w:p w14:paraId="3F1CC91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Відношення</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швидкості</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змінювання</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вихідної</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величини</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інтегрувального об’єкта до значення вхідної величини,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викликало це змінювання</w:t>
      </w:r>
    </w:p>
    <w:p w14:paraId="4E5C004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3A846E9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КОЕФІЦІЄНТ ІНТЕНСИВНОГО </w:t>
      </w:r>
    </w:p>
    <w:p w14:paraId="0593E19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НАВАНТА</w:t>
      </w:r>
      <w:r w:rsidRPr="000977F7">
        <w:rPr>
          <w:color w:val="auto"/>
          <w:spacing w:val="-47"/>
          <w:sz w:val="20"/>
          <w:szCs w:val="20"/>
        </w:rPr>
        <w:t xml:space="preserve"> </w:t>
      </w:r>
      <w:r w:rsidRPr="000977F7">
        <w:rPr>
          <w:color w:val="auto"/>
          <w:sz w:val="20"/>
          <w:szCs w:val="20"/>
        </w:rPr>
        <w:t>ЖЕННЯ</w:t>
      </w:r>
      <w:r w:rsidRPr="000977F7">
        <w:rPr>
          <w:color w:val="auto"/>
          <w:spacing w:val="-1"/>
          <w:sz w:val="20"/>
          <w:szCs w:val="20"/>
        </w:rPr>
        <w:t xml:space="preserve"> </w:t>
      </w:r>
      <w:r w:rsidRPr="000977F7">
        <w:rPr>
          <w:color w:val="auto"/>
          <w:sz w:val="20"/>
          <w:szCs w:val="20"/>
        </w:rPr>
        <w:t>УСТАТКУВАННЯ</w:t>
      </w:r>
      <w:r w:rsidRPr="000977F7">
        <w:rPr>
          <w:color w:val="auto"/>
          <w:spacing w:val="2"/>
          <w:sz w:val="20"/>
          <w:szCs w:val="20"/>
        </w:rPr>
        <w:t xml:space="preserve"> </w:t>
      </w:r>
      <w:r w:rsidRPr="000977F7">
        <w:rPr>
          <w:color w:val="auto"/>
          <w:sz w:val="20"/>
          <w:szCs w:val="20"/>
        </w:rPr>
        <w:t>–</w:t>
      </w:r>
    </w:p>
    <w:p w14:paraId="15430B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Показник ступеня використання потужності устаткування протягом його фактичної роботи, що обчислюється як відношення середньої фактичної продуктивності</w:t>
      </w:r>
      <w:r w:rsidRPr="000977F7">
        <w:rPr>
          <w:rFonts w:asciiTheme="majorHAnsi" w:hAnsiTheme="majorHAnsi"/>
          <w:spacing w:val="-2"/>
          <w:sz w:val="20"/>
          <w:szCs w:val="20"/>
        </w:rPr>
        <w:t xml:space="preserve"> </w:t>
      </w:r>
      <w:r w:rsidRPr="000977F7">
        <w:rPr>
          <w:rFonts w:asciiTheme="majorHAnsi" w:hAnsiTheme="majorHAnsi"/>
          <w:sz w:val="20"/>
          <w:szCs w:val="20"/>
        </w:rPr>
        <w:t>до паспортної</w:t>
      </w:r>
    </w:p>
    <w:p w14:paraId="481ACBD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70BA0A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КОЕФІЦІЄНТ</w:t>
      </w:r>
      <w:r w:rsidRPr="000977F7">
        <w:rPr>
          <w:color w:val="auto"/>
          <w:spacing w:val="-5"/>
          <w:sz w:val="20"/>
          <w:szCs w:val="20"/>
        </w:rPr>
        <w:t xml:space="preserve"> </w:t>
      </w:r>
      <w:r w:rsidRPr="000977F7">
        <w:rPr>
          <w:color w:val="auto"/>
          <w:sz w:val="20"/>
          <w:szCs w:val="20"/>
        </w:rPr>
        <w:t>КОЛИВАННЯ –</w:t>
      </w:r>
    </w:p>
    <w:p w14:paraId="241EBF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OSCILLABILITY</w:t>
      </w:r>
      <w:r w:rsidRPr="000977F7">
        <w:rPr>
          <w:rFonts w:asciiTheme="majorHAnsi" w:hAnsiTheme="majorHAnsi"/>
          <w:spacing w:val="-3"/>
          <w:sz w:val="20"/>
          <w:szCs w:val="20"/>
        </w:rPr>
        <w:t xml:space="preserve"> </w:t>
      </w:r>
      <w:r w:rsidRPr="000977F7">
        <w:rPr>
          <w:rFonts w:asciiTheme="majorHAnsi" w:hAnsiTheme="majorHAnsi"/>
          <w:sz w:val="20"/>
          <w:szCs w:val="20"/>
        </w:rPr>
        <w:t>INDEX –</w:t>
      </w:r>
    </w:p>
    <w:p w14:paraId="4A95DD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Кількість</w:t>
      </w:r>
      <w:r w:rsidRPr="000977F7">
        <w:rPr>
          <w:rFonts w:asciiTheme="majorHAnsi" w:hAnsiTheme="majorHAnsi"/>
          <w:spacing w:val="1"/>
          <w:sz w:val="20"/>
          <w:szCs w:val="20"/>
        </w:rPr>
        <w:t xml:space="preserve"> </w:t>
      </w:r>
      <w:r w:rsidRPr="000977F7">
        <w:rPr>
          <w:rFonts w:asciiTheme="majorHAnsi" w:hAnsiTheme="majorHAnsi"/>
          <w:sz w:val="20"/>
          <w:szCs w:val="20"/>
        </w:rPr>
        <w:t>максимумів</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протягом</w:t>
      </w:r>
      <w:r w:rsidRPr="000977F7">
        <w:rPr>
          <w:rFonts w:asciiTheme="majorHAnsi" w:hAnsiTheme="majorHAnsi"/>
          <w:spacing w:val="1"/>
          <w:sz w:val="20"/>
          <w:szCs w:val="20"/>
        </w:rPr>
        <w:t xml:space="preserve"> </w:t>
      </w:r>
      <w:r w:rsidRPr="000977F7">
        <w:rPr>
          <w:rFonts w:asciiTheme="majorHAnsi" w:hAnsiTheme="majorHAnsi"/>
          <w:sz w:val="20"/>
          <w:szCs w:val="20"/>
        </w:rPr>
        <w:t>часу встановлювання</w:t>
      </w:r>
      <w:r w:rsidRPr="000977F7">
        <w:rPr>
          <w:rFonts w:asciiTheme="majorHAnsi" w:hAnsiTheme="majorHAnsi"/>
          <w:spacing w:val="1"/>
          <w:sz w:val="20"/>
          <w:szCs w:val="20"/>
        </w:rPr>
        <w:t xml:space="preserve"> </w:t>
      </w:r>
      <w:r w:rsidRPr="000977F7">
        <w:rPr>
          <w:rFonts w:asciiTheme="majorHAnsi" w:hAnsiTheme="majorHAnsi"/>
          <w:sz w:val="20"/>
          <w:szCs w:val="20"/>
        </w:rPr>
        <w:t>згідно</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перехідною</w:t>
      </w:r>
      <w:r w:rsidRPr="000977F7">
        <w:rPr>
          <w:rFonts w:asciiTheme="majorHAnsi" w:hAnsiTheme="majorHAnsi"/>
          <w:spacing w:val="1"/>
          <w:sz w:val="20"/>
          <w:szCs w:val="20"/>
        </w:rPr>
        <w:t xml:space="preserve"> </w:t>
      </w:r>
      <w:r w:rsidRPr="000977F7">
        <w:rPr>
          <w:rFonts w:asciiTheme="majorHAnsi" w:hAnsiTheme="majorHAnsi"/>
          <w:sz w:val="20"/>
          <w:szCs w:val="20"/>
        </w:rPr>
        <w:t>або імпульсною</w:t>
      </w:r>
      <w:r w:rsidRPr="000977F7">
        <w:rPr>
          <w:rFonts w:asciiTheme="majorHAnsi" w:hAnsiTheme="majorHAnsi"/>
          <w:spacing w:val="2"/>
          <w:sz w:val="20"/>
          <w:szCs w:val="20"/>
        </w:rPr>
        <w:t xml:space="preserve"> </w:t>
      </w:r>
      <w:r w:rsidRPr="000977F7">
        <w:rPr>
          <w:rFonts w:asciiTheme="majorHAnsi" w:hAnsiTheme="majorHAnsi"/>
          <w:sz w:val="20"/>
          <w:szCs w:val="20"/>
        </w:rPr>
        <w:t>характеристикою</w:t>
      </w:r>
    </w:p>
    <w:p w14:paraId="726AD26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07164D2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noProof/>
          <w:color w:val="auto"/>
          <w:sz w:val="20"/>
          <w:szCs w:val="20"/>
          <w:lang w:val="ru-RU" w:eastAsia="ru-RU"/>
        </w:rPr>
        <w:drawing>
          <wp:anchor distT="0" distB="0" distL="0" distR="0" simplePos="0" relativeHeight="251665408" behindDoc="1" locked="0" layoutInCell="1" allowOverlap="1" wp14:anchorId="565611EB" wp14:editId="3EFA3AFD">
            <wp:simplePos x="0" y="0"/>
            <wp:positionH relativeFrom="page">
              <wp:posOffset>4213225</wp:posOffset>
            </wp:positionH>
            <wp:positionV relativeFrom="paragraph">
              <wp:posOffset>221055</wp:posOffset>
            </wp:positionV>
            <wp:extent cx="82296" cy="108203"/>
            <wp:effectExtent l="0" t="0" r="0" b="0"/>
            <wp:wrapNone/>
            <wp:docPr id="5162" name="image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41.png"/>
                    <pic:cNvPicPr/>
                  </pic:nvPicPr>
                  <pic:blipFill>
                    <a:blip r:embed="rId21" cstate="print"/>
                    <a:stretch>
                      <a:fillRect/>
                    </a:stretch>
                  </pic:blipFill>
                  <pic:spPr>
                    <a:xfrm>
                      <a:off x="0" y="0"/>
                      <a:ext cx="82296" cy="108203"/>
                    </a:xfrm>
                    <a:prstGeom prst="rect">
                      <a:avLst/>
                    </a:prstGeom>
                  </pic:spPr>
                </pic:pic>
              </a:graphicData>
            </a:graphic>
          </wp:anchor>
        </w:drawing>
      </w:r>
      <w:r w:rsidRPr="000977F7">
        <w:rPr>
          <w:color w:val="auto"/>
          <w:sz w:val="20"/>
          <w:szCs w:val="20"/>
        </w:rPr>
        <w:t>КОЕФІЦІЄНТ КОНЦЕНТРАЦІЇ ДЕФОРМАЦІЙ</w:t>
      </w:r>
      <w:r w:rsidRPr="000977F7">
        <w:rPr>
          <w:color w:val="auto"/>
          <w:spacing w:val="-47"/>
          <w:sz w:val="20"/>
          <w:szCs w:val="20"/>
        </w:rPr>
        <w:t xml:space="preserve"> </w:t>
      </w:r>
      <w:r w:rsidRPr="000977F7">
        <w:rPr>
          <w:color w:val="auto"/>
          <w:sz w:val="20"/>
          <w:szCs w:val="20"/>
        </w:rPr>
        <w:t>K</w:t>
      </w:r>
      <w:r w:rsidRPr="000977F7">
        <w:rPr>
          <w:color w:val="auto"/>
          <w:spacing w:val="13"/>
          <w:sz w:val="20"/>
          <w:szCs w:val="20"/>
        </w:rPr>
        <w:t xml:space="preserve"> </w:t>
      </w:r>
      <w:r w:rsidRPr="000977F7">
        <w:rPr>
          <w:color w:val="auto"/>
          <w:sz w:val="20"/>
          <w:szCs w:val="20"/>
        </w:rPr>
        <w:t>,</w:t>
      </w:r>
      <w:r w:rsidRPr="000977F7">
        <w:rPr>
          <w:color w:val="auto"/>
          <w:spacing w:val="1"/>
          <w:sz w:val="20"/>
          <w:szCs w:val="20"/>
        </w:rPr>
        <w:t xml:space="preserve"> </w:t>
      </w:r>
      <w:r w:rsidRPr="000977F7">
        <w:rPr>
          <w:color w:val="auto"/>
          <w:sz w:val="20"/>
          <w:szCs w:val="20"/>
        </w:rPr>
        <w:t>K</w:t>
      </w:r>
      <w:r w:rsidRPr="000977F7">
        <w:rPr>
          <w:color w:val="auto"/>
          <w:sz w:val="20"/>
          <w:szCs w:val="20"/>
          <w:vertAlign w:val="subscript"/>
        </w:rPr>
        <w:t>Y</w:t>
      </w:r>
      <w:r w:rsidRPr="000977F7">
        <w:rPr>
          <w:color w:val="auto"/>
          <w:sz w:val="20"/>
          <w:szCs w:val="20"/>
        </w:rPr>
        <w:t xml:space="preserve"> –</w:t>
      </w:r>
    </w:p>
    <w:p w14:paraId="7D9995C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STRAIN</w:t>
      </w:r>
      <w:r w:rsidRPr="000977F7">
        <w:rPr>
          <w:rFonts w:asciiTheme="majorHAnsi" w:hAnsiTheme="majorHAnsi"/>
          <w:spacing w:val="-3"/>
          <w:sz w:val="20"/>
          <w:szCs w:val="20"/>
        </w:rPr>
        <w:t xml:space="preserve"> </w:t>
      </w:r>
      <w:r w:rsidRPr="000977F7">
        <w:rPr>
          <w:rFonts w:asciiTheme="majorHAnsi" w:hAnsiTheme="majorHAnsi"/>
          <w:sz w:val="20"/>
          <w:szCs w:val="20"/>
        </w:rPr>
        <w:t>CONCENTRATION</w:t>
      </w:r>
      <w:r w:rsidRPr="000977F7">
        <w:rPr>
          <w:rFonts w:asciiTheme="majorHAnsi" w:hAnsiTheme="majorHAnsi"/>
          <w:spacing w:val="-2"/>
          <w:sz w:val="20"/>
          <w:szCs w:val="20"/>
        </w:rPr>
        <w:t xml:space="preserve"> </w:t>
      </w:r>
      <w:r w:rsidRPr="000977F7">
        <w:rPr>
          <w:rFonts w:asciiTheme="majorHAnsi" w:hAnsiTheme="majorHAnsi"/>
          <w:sz w:val="20"/>
          <w:szCs w:val="20"/>
        </w:rPr>
        <w:t>FACTOR</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8139B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Характеристика</w:t>
      </w:r>
      <w:r w:rsidRPr="000977F7">
        <w:rPr>
          <w:rFonts w:asciiTheme="majorHAnsi" w:hAnsiTheme="majorHAnsi"/>
          <w:spacing w:val="26"/>
          <w:sz w:val="20"/>
          <w:szCs w:val="20"/>
        </w:rPr>
        <w:t xml:space="preserve"> </w:t>
      </w:r>
      <w:r w:rsidRPr="000977F7">
        <w:rPr>
          <w:rFonts w:asciiTheme="majorHAnsi" w:hAnsiTheme="majorHAnsi"/>
          <w:sz w:val="20"/>
          <w:szCs w:val="20"/>
        </w:rPr>
        <w:t>концентрації</w:t>
      </w:r>
      <w:r w:rsidRPr="000977F7">
        <w:rPr>
          <w:rFonts w:asciiTheme="majorHAnsi" w:hAnsiTheme="majorHAnsi"/>
          <w:spacing w:val="25"/>
          <w:sz w:val="20"/>
          <w:szCs w:val="20"/>
        </w:rPr>
        <w:t xml:space="preserve"> </w:t>
      </w:r>
      <w:r w:rsidRPr="000977F7">
        <w:rPr>
          <w:rFonts w:asciiTheme="majorHAnsi" w:hAnsiTheme="majorHAnsi"/>
          <w:sz w:val="20"/>
          <w:szCs w:val="20"/>
        </w:rPr>
        <w:t>деформацій</w:t>
      </w:r>
      <w:r w:rsidRPr="000977F7">
        <w:rPr>
          <w:rFonts w:asciiTheme="majorHAnsi" w:hAnsiTheme="majorHAnsi"/>
          <w:spacing w:val="24"/>
          <w:sz w:val="20"/>
          <w:szCs w:val="20"/>
        </w:rPr>
        <w:t xml:space="preserve"> </w:t>
      </w:r>
      <w:r w:rsidRPr="000977F7">
        <w:rPr>
          <w:rFonts w:asciiTheme="majorHAnsi" w:hAnsiTheme="majorHAnsi"/>
          <w:sz w:val="20"/>
          <w:szCs w:val="20"/>
        </w:rPr>
        <w:t>за</w:t>
      </w:r>
      <w:r w:rsidRPr="000977F7">
        <w:rPr>
          <w:rFonts w:asciiTheme="majorHAnsi" w:hAnsiTheme="majorHAnsi"/>
          <w:spacing w:val="26"/>
          <w:sz w:val="20"/>
          <w:szCs w:val="20"/>
        </w:rPr>
        <w:t xml:space="preserve"> </w:t>
      </w:r>
      <w:r w:rsidRPr="000977F7">
        <w:rPr>
          <w:rFonts w:asciiTheme="majorHAnsi" w:hAnsiTheme="majorHAnsi"/>
          <w:sz w:val="20"/>
          <w:szCs w:val="20"/>
        </w:rPr>
        <w:t>пружнопластичного деформування</w:t>
      </w:r>
    </w:p>
    <w:p w14:paraId="7350D823"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noProof/>
          <w:sz w:val="20"/>
          <w:szCs w:val="20"/>
          <w:lang w:eastAsia="ru-RU"/>
        </w:rPr>
        <w:drawing>
          <wp:anchor distT="0" distB="0" distL="0" distR="0" simplePos="0" relativeHeight="251666432" behindDoc="1" locked="0" layoutInCell="1" allowOverlap="1" wp14:anchorId="20B5D4DA" wp14:editId="7AB379F8">
            <wp:simplePos x="0" y="0"/>
            <wp:positionH relativeFrom="page">
              <wp:posOffset>4207128</wp:posOffset>
            </wp:positionH>
            <wp:positionV relativeFrom="paragraph">
              <wp:posOffset>64718</wp:posOffset>
            </wp:positionV>
            <wp:extent cx="73151" cy="100583"/>
            <wp:effectExtent l="0" t="0" r="0" b="0"/>
            <wp:wrapNone/>
            <wp:docPr id="5163" name="image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42.png"/>
                    <pic:cNvPicPr/>
                  </pic:nvPicPr>
                  <pic:blipFill>
                    <a:blip r:embed="rId22" cstate="print"/>
                    <a:stretch>
                      <a:fillRect/>
                    </a:stretch>
                  </pic:blipFill>
                  <pic:spPr>
                    <a:xfrm>
                      <a:off x="0" y="0"/>
                      <a:ext cx="73151" cy="100583"/>
                    </a:xfrm>
                    <a:prstGeom prst="rect">
                      <a:avLst/>
                    </a:prstGeom>
                  </pic:spPr>
                </pic:pic>
              </a:graphicData>
            </a:graphic>
          </wp:anchor>
        </w:drawing>
      </w:r>
      <w:r w:rsidRPr="000977F7">
        <w:rPr>
          <w:rFonts w:asciiTheme="majorHAnsi" w:hAnsiTheme="majorHAnsi"/>
          <w:sz w:val="20"/>
          <w:szCs w:val="20"/>
        </w:rPr>
        <w:t>K</w:t>
      </w:r>
      <w:r w:rsidRPr="000977F7">
        <w:rPr>
          <w:rFonts w:asciiTheme="majorHAnsi" w:hAnsiTheme="majorHAnsi"/>
          <w:spacing w:val="1"/>
          <w:sz w:val="20"/>
          <w:szCs w:val="20"/>
        </w:rPr>
        <w:t xml:space="preserve"> </w:t>
      </w:r>
      <w:r w:rsidRPr="000977F7">
        <w:rPr>
          <w:rFonts w:asciiTheme="majorHAnsi" w:hAnsiTheme="majorHAnsi"/>
          <w:sz w:val="20"/>
          <w:szCs w:val="20"/>
        </w:rPr>
        <w:t>– для лінійних деформацій;</w:t>
      </w:r>
      <w:r w:rsidRPr="000977F7">
        <w:rPr>
          <w:rFonts w:asciiTheme="majorHAnsi" w:hAnsiTheme="majorHAnsi"/>
          <w:spacing w:val="-47"/>
          <w:sz w:val="20"/>
          <w:szCs w:val="20"/>
        </w:rPr>
        <w:t xml:space="preserve"> </w:t>
      </w:r>
      <w:r w:rsidRPr="000977F7">
        <w:rPr>
          <w:rFonts w:asciiTheme="majorHAnsi" w:hAnsiTheme="majorHAnsi"/>
          <w:sz w:val="20"/>
          <w:szCs w:val="20"/>
        </w:rPr>
        <w:t>K</w:t>
      </w:r>
      <w:r w:rsidRPr="000977F7">
        <w:rPr>
          <w:rFonts w:asciiTheme="majorHAnsi" w:hAnsiTheme="majorHAnsi"/>
          <w:sz w:val="20"/>
          <w:szCs w:val="20"/>
          <w:vertAlign w:val="subscript"/>
        </w:rPr>
        <w:t>Y</w:t>
      </w:r>
      <w:r w:rsidRPr="000977F7">
        <w:rPr>
          <w:rFonts w:asciiTheme="majorHAnsi" w:hAnsiTheme="majorHAnsi"/>
          <w:sz w:val="20"/>
          <w:szCs w:val="20"/>
        </w:rPr>
        <w:t xml:space="preserve"> – для деформацій зсуву</w:t>
      </w:r>
    </w:p>
    <w:p w14:paraId="7F80B42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2444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78BCBF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КОЕФІЦІЄНТ</w:t>
      </w:r>
      <w:r w:rsidRPr="000977F7">
        <w:rPr>
          <w:color w:val="auto"/>
          <w:spacing w:val="-6"/>
          <w:sz w:val="20"/>
          <w:szCs w:val="20"/>
        </w:rPr>
        <w:t xml:space="preserve"> </w:t>
      </w:r>
      <w:r w:rsidRPr="000977F7">
        <w:rPr>
          <w:color w:val="auto"/>
          <w:sz w:val="20"/>
          <w:szCs w:val="20"/>
        </w:rPr>
        <w:t>КОНЦЕНТРАЦІЇ</w:t>
      </w:r>
      <w:r w:rsidRPr="000977F7">
        <w:rPr>
          <w:color w:val="auto"/>
          <w:spacing w:val="-6"/>
          <w:sz w:val="20"/>
          <w:szCs w:val="20"/>
        </w:rPr>
        <w:t xml:space="preserve"> </w:t>
      </w:r>
      <w:r w:rsidRPr="000977F7">
        <w:rPr>
          <w:color w:val="auto"/>
          <w:sz w:val="20"/>
          <w:szCs w:val="20"/>
        </w:rPr>
        <w:t>НАПРУЖЕНЬ</w:t>
      </w:r>
    </w:p>
    <w:p w14:paraId="191D1C40"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pacing w:val="1"/>
          <w:w w:val="99"/>
          <w:sz w:val="20"/>
          <w:szCs w:val="20"/>
        </w:rPr>
        <w:t>K</w:t>
      </w:r>
      <w:r w:rsidRPr="000977F7">
        <w:rPr>
          <w:rFonts w:asciiTheme="majorHAnsi" w:hAnsiTheme="majorHAnsi"/>
          <w:b/>
          <w:spacing w:val="1"/>
          <w:w w:val="106"/>
          <w:sz w:val="20"/>
          <w:szCs w:val="20"/>
          <w:vertAlign w:val="subscript"/>
        </w:rPr>
        <w:t>σ</w:t>
      </w:r>
      <w:r w:rsidRPr="000977F7">
        <w:rPr>
          <w:rFonts w:asciiTheme="majorHAnsi" w:hAnsiTheme="majorHAnsi"/>
          <w:b/>
          <w:w w:val="11"/>
          <w:sz w:val="20"/>
          <w:szCs w:val="20"/>
        </w:rPr>
        <w:t></w:t>
      </w:r>
      <w:r w:rsidRPr="000977F7">
        <w:rPr>
          <w:rFonts w:asciiTheme="majorHAnsi" w:hAnsiTheme="majorHAnsi"/>
          <w:b/>
          <w:w w:val="11"/>
          <w:sz w:val="20"/>
          <w:szCs w:val="20"/>
        </w:rPr>
        <w:t></w:t>
      </w:r>
      <w:r w:rsidRPr="000977F7">
        <w:rPr>
          <w:rFonts w:asciiTheme="majorHAnsi" w:hAnsiTheme="majorHAnsi"/>
          <w:b/>
          <w:spacing w:val="-2"/>
          <w:w w:val="11"/>
          <w:sz w:val="20"/>
          <w:szCs w:val="20"/>
        </w:rPr>
        <w:t>,</w:t>
      </w:r>
      <w:r w:rsidRPr="000977F7">
        <w:rPr>
          <w:rFonts w:asciiTheme="majorHAnsi" w:hAnsiTheme="majorHAnsi"/>
          <w:b/>
          <w:w w:val="99"/>
          <w:sz w:val="20"/>
          <w:szCs w:val="20"/>
        </w:rPr>
        <w:t></w:t>
      </w:r>
      <w:r w:rsidRPr="000977F7">
        <w:rPr>
          <w:rFonts w:asciiTheme="majorHAnsi" w:hAnsiTheme="majorHAnsi"/>
          <w:b/>
          <w:sz w:val="20"/>
          <w:szCs w:val="20"/>
        </w:rPr>
        <w:t xml:space="preserve"> </w:t>
      </w:r>
      <w:r w:rsidRPr="000977F7">
        <w:rPr>
          <w:rFonts w:asciiTheme="majorHAnsi" w:hAnsiTheme="majorHAnsi"/>
          <w:b/>
          <w:spacing w:val="1"/>
          <w:w w:val="99"/>
          <w:sz w:val="20"/>
          <w:szCs w:val="20"/>
        </w:rPr>
        <w:t>K</w:t>
      </w:r>
      <w:r w:rsidRPr="000977F7">
        <w:rPr>
          <w:rFonts w:asciiTheme="majorHAnsi" w:hAnsiTheme="majorHAnsi"/>
          <w:b/>
          <w:w w:val="106"/>
          <w:sz w:val="20"/>
          <w:szCs w:val="20"/>
          <w:vertAlign w:val="subscript"/>
        </w:rPr>
        <w:t>τ</w:t>
      </w:r>
      <w:r w:rsidRPr="000977F7">
        <w:rPr>
          <w:rFonts w:asciiTheme="majorHAnsi" w:hAnsiTheme="majorHAnsi"/>
          <w:b/>
          <w:spacing w:val="1"/>
          <w:sz w:val="20"/>
          <w:szCs w:val="20"/>
        </w:rPr>
        <w:t xml:space="preserve"> </w:t>
      </w:r>
      <w:r w:rsidRPr="000977F7">
        <w:rPr>
          <w:rFonts w:asciiTheme="majorHAnsi" w:hAnsiTheme="majorHAnsi"/>
          <w:b/>
          <w:w w:val="99"/>
          <w:sz w:val="20"/>
          <w:szCs w:val="20"/>
        </w:rPr>
        <w:t>–</w:t>
      </w:r>
    </w:p>
    <w:p w14:paraId="0CD1825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STRESS</w:t>
      </w:r>
      <w:r w:rsidRPr="000977F7">
        <w:rPr>
          <w:rFonts w:asciiTheme="majorHAnsi" w:hAnsiTheme="majorHAnsi"/>
          <w:spacing w:val="-4"/>
          <w:sz w:val="20"/>
          <w:szCs w:val="20"/>
        </w:rPr>
        <w:t xml:space="preserve"> </w:t>
      </w:r>
      <w:r w:rsidRPr="000977F7">
        <w:rPr>
          <w:rFonts w:asciiTheme="majorHAnsi" w:hAnsiTheme="majorHAnsi"/>
          <w:sz w:val="20"/>
          <w:szCs w:val="20"/>
        </w:rPr>
        <w:t>CONCENTRATION</w:t>
      </w:r>
      <w:r w:rsidRPr="000977F7">
        <w:rPr>
          <w:rFonts w:asciiTheme="majorHAnsi" w:hAnsiTheme="majorHAnsi"/>
          <w:spacing w:val="-3"/>
          <w:sz w:val="20"/>
          <w:szCs w:val="20"/>
        </w:rPr>
        <w:t xml:space="preserve"> </w:t>
      </w:r>
      <w:r w:rsidRPr="000977F7">
        <w:rPr>
          <w:rFonts w:asciiTheme="majorHAnsi" w:hAnsiTheme="majorHAnsi"/>
          <w:sz w:val="20"/>
          <w:szCs w:val="20"/>
        </w:rPr>
        <w:t>FACTOR</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C821B3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Характеристика</w:t>
      </w:r>
      <w:r w:rsidRPr="000977F7">
        <w:rPr>
          <w:rFonts w:asciiTheme="majorHAnsi" w:hAnsiTheme="majorHAnsi"/>
          <w:spacing w:val="43"/>
          <w:sz w:val="20"/>
          <w:szCs w:val="20"/>
        </w:rPr>
        <w:t xml:space="preserve"> </w:t>
      </w:r>
      <w:r w:rsidRPr="000977F7">
        <w:rPr>
          <w:rFonts w:asciiTheme="majorHAnsi" w:hAnsiTheme="majorHAnsi"/>
          <w:sz w:val="20"/>
          <w:szCs w:val="20"/>
        </w:rPr>
        <w:t>концентрації</w:t>
      </w:r>
      <w:r w:rsidRPr="000977F7">
        <w:rPr>
          <w:rFonts w:asciiTheme="majorHAnsi" w:hAnsiTheme="majorHAnsi"/>
          <w:spacing w:val="43"/>
          <w:sz w:val="20"/>
          <w:szCs w:val="20"/>
        </w:rPr>
        <w:t xml:space="preserve"> </w:t>
      </w:r>
      <w:r w:rsidRPr="000977F7">
        <w:rPr>
          <w:rFonts w:asciiTheme="majorHAnsi" w:hAnsiTheme="majorHAnsi"/>
          <w:sz w:val="20"/>
          <w:szCs w:val="20"/>
        </w:rPr>
        <w:t>напружень</w:t>
      </w:r>
      <w:r w:rsidRPr="000977F7">
        <w:rPr>
          <w:rFonts w:asciiTheme="majorHAnsi" w:hAnsiTheme="majorHAnsi"/>
          <w:spacing w:val="44"/>
          <w:sz w:val="20"/>
          <w:szCs w:val="20"/>
        </w:rPr>
        <w:t xml:space="preserve"> </w:t>
      </w:r>
      <w:r w:rsidRPr="000977F7">
        <w:rPr>
          <w:rFonts w:asciiTheme="majorHAnsi" w:hAnsiTheme="majorHAnsi"/>
          <w:sz w:val="20"/>
          <w:szCs w:val="20"/>
        </w:rPr>
        <w:t>за</w:t>
      </w:r>
      <w:r w:rsidRPr="000977F7">
        <w:rPr>
          <w:rFonts w:asciiTheme="majorHAnsi" w:hAnsiTheme="majorHAnsi"/>
          <w:spacing w:val="43"/>
          <w:sz w:val="20"/>
          <w:szCs w:val="20"/>
        </w:rPr>
        <w:t xml:space="preserve"> </w:t>
      </w:r>
      <w:r w:rsidRPr="000977F7">
        <w:rPr>
          <w:rFonts w:asciiTheme="majorHAnsi" w:hAnsiTheme="majorHAnsi"/>
          <w:sz w:val="20"/>
          <w:szCs w:val="20"/>
        </w:rPr>
        <w:t>пружнопластичного деформування</w:t>
      </w:r>
    </w:p>
    <w:p w14:paraId="065A33F8"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K</w:t>
      </w:r>
      <w:r w:rsidRPr="000977F7">
        <w:rPr>
          <w:rFonts w:asciiTheme="majorHAnsi" w:hAnsiTheme="majorHAnsi"/>
          <w:sz w:val="20"/>
          <w:szCs w:val="20"/>
          <w:vertAlign w:val="subscript"/>
        </w:rPr>
        <w:t>σ</w:t>
      </w:r>
      <w:r w:rsidRPr="000977F7">
        <w:rPr>
          <w:rFonts w:asciiTheme="majorHAnsi" w:hAnsiTheme="majorHAnsi"/>
          <w:sz w:val="20"/>
          <w:szCs w:val="20"/>
        </w:rPr>
        <w:t xml:space="preserve"> – для нормального напруження;</w:t>
      </w:r>
      <w:r w:rsidRPr="000977F7">
        <w:rPr>
          <w:rFonts w:asciiTheme="majorHAnsi" w:hAnsiTheme="majorHAnsi"/>
          <w:spacing w:val="-47"/>
          <w:sz w:val="20"/>
          <w:szCs w:val="20"/>
        </w:rPr>
        <w:t xml:space="preserve">     </w:t>
      </w:r>
    </w:p>
    <w:p w14:paraId="4D886CA9"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K</w:t>
      </w:r>
      <w:r w:rsidRPr="000977F7">
        <w:rPr>
          <w:rFonts w:asciiTheme="majorHAnsi" w:hAnsiTheme="majorHAnsi"/>
          <w:sz w:val="20"/>
          <w:szCs w:val="20"/>
          <w:vertAlign w:val="subscript"/>
        </w:rPr>
        <w:t>τ</w:t>
      </w:r>
      <w:r w:rsidRPr="000977F7">
        <w:rPr>
          <w:rFonts w:asciiTheme="majorHAnsi" w:hAnsiTheme="majorHAnsi"/>
          <w:sz w:val="20"/>
          <w:szCs w:val="20"/>
        </w:rPr>
        <w:t xml:space="preserve"> – для дотичного напруження</w:t>
      </w:r>
    </w:p>
    <w:p w14:paraId="05BD78B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2444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0CDF9B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КОЕФІЦІЄНТ</w:t>
      </w:r>
      <w:r w:rsidRPr="000977F7">
        <w:rPr>
          <w:color w:val="auto"/>
          <w:spacing w:val="-5"/>
          <w:sz w:val="20"/>
          <w:szCs w:val="20"/>
        </w:rPr>
        <w:t xml:space="preserve"> </w:t>
      </w:r>
      <w:r w:rsidRPr="000977F7">
        <w:rPr>
          <w:color w:val="auto"/>
          <w:sz w:val="20"/>
          <w:szCs w:val="20"/>
        </w:rPr>
        <w:t>КОРЕЛЯЦІЇ</w:t>
      </w:r>
      <w:r w:rsidRPr="000977F7">
        <w:rPr>
          <w:color w:val="auto"/>
          <w:spacing w:val="-2"/>
          <w:sz w:val="20"/>
          <w:szCs w:val="20"/>
        </w:rPr>
        <w:t xml:space="preserve"> </w:t>
      </w:r>
      <w:r w:rsidRPr="000977F7">
        <w:rPr>
          <w:color w:val="auto"/>
          <w:sz w:val="20"/>
          <w:szCs w:val="20"/>
        </w:rPr>
        <w:t>–</w:t>
      </w:r>
    </w:p>
    <w:p w14:paraId="08F118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коваріації випадкових величин до добутку</w:t>
      </w:r>
      <w:r w:rsidRPr="000977F7">
        <w:rPr>
          <w:rFonts w:asciiTheme="majorHAnsi" w:hAnsiTheme="majorHAnsi"/>
          <w:spacing w:val="-5"/>
          <w:sz w:val="20"/>
          <w:szCs w:val="20"/>
        </w:rPr>
        <w:t xml:space="preserve"> </w:t>
      </w:r>
      <w:r w:rsidRPr="000977F7">
        <w:rPr>
          <w:rFonts w:asciiTheme="majorHAnsi" w:hAnsiTheme="majorHAnsi"/>
          <w:sz w:val="20"/>
          <w:szCs w:val="20"/>
        </w:rPr>
        <w:t>їхніх</w:t>
      </w:r>
      <w:r w:rsidRPr="000977F7">
        <w:rPr>
          <w:rFonts w:asciiTheme="majorHAnsi" w:hAnsiTheme="majorHAnsi"/>
          <w:spacing w:val="-2"/>
          <w:sz w:val="20"/>
          <w:szCs w:val="20"/>
        </w:rPr>
        <w:t xml:space="preserve"> </w:t>
      </w:r>
      <w:r w:rsidRPr="000977F7">
        <w:rPr>
          <w:rFonts w:asciiTheme="majorHAnsi" w:hAnsiTheme="majorHAnsi"/>
          <w:sz w:val="20"/>
          <w:szCs w:val="20"/>
        </w:rPr>
        <w:t>середніх</w:t>
      </w:r>
      <w:r w:rsidRPr="000977F7">
        <w:rPr>
          <w:rFonts w:asciiTheme="majorHAnsi" w:hAnsiTheme="majorHAnsi"/>
          <w:spacing w:val="-2"/>
          <w:sz w:val="20"/>
          <w:szCs w:val="20"/>
        </w:rPr>
        <w:t xml:space="preserve"> </w:t>
      </w:r>
      <w:r w:rsidRPr="000977F7">
        <w:rPr>
          <w:rFonts w:asciiTheme="majorHAnsi" w:hAnsiTheme="majorHAnsi"/>
          <w:sz w:val="20"/>
          <w:szCs w:val="20"/>
        </w:rPr>
        <w:t>квадратичних</w:t>
      </w:r>
      <w:r w:rsidRPr="000977F7">
        <w:rPr>
          <w:rFonts w:asciiTheme="majorHAnsi" w:hAnsiTheme="majorHAnsi"/>
          <w:spacing w:val="-1"/>
          <w:sz w:val="20"/>
          <w:szCs w:val="20"/>
        </w:rPr>
        <w:t xml:space="preserve"> </w:t>
      </w:r>
      <w:r w:rsidRPr="000977F7">
        <w:rPr>
          <w:rFonts w:asciiTheme="majorHAnsi" w:hAnsiTheme="majorHAnsi"/>
          <w:sz w:val="20"/>
          <w:szCs w:val="20"/>
        </w:rPr>
        <w:t>відхилень</w:t>
      </w:r>
    </w:p>
    <w:p w14:paraId="244003B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46DC821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КОЕФІЦІЄНТ НЕБАЛАНСУ НАПРУГИ</w:t>
      </w:r>
      <w:r w:rsidRPr="000977F7">
        <w:rPr>
          <w:color w:val="auto"/>
          <w:spacing w:val="-47"/>
          <w:sz w:val="20"/>
          <w:szCs w:val="20"/>
        </w:rPr>
        <w:t xml:space="preserve"> </w:t>
      </w:r>
      <w:r w:rsidRPr="000977F7">
        <w:rPr>
          <w:color w:val="auto"/>
          <w:sz w:val="20"/>
          <w:szCs w:val="20"/>
        </w:rPr>
        <w:t>(СТРУМУ)</w:t>
      </w:r>
      <w:r w:rsidRPr="000977F7">
        <w:rPr>
          <w:color w:val="auto"/>
          <w:spacing w:val="1"/>
          <w:sz w:val="20"/>
          <w:szCs w:val="20"/>
        </w:rPr>
        <w:t xml:space="preserve"> </w:t>
      </w:r>
      <w:r w:rsidRPr="000977F7">
        <w:rPr>
          <w:color w:val="auto"/>
          <w:sz w:val="20"/>
          <w:szCs w:val="20"/>
        </w:rPr>
        <w:t>—</w:t>
      </w:r>
    </w:p>
    <w:p w14:paraId="14768B3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розмаху небалансу напруг</w:t>
      </w:r>
      <w:r w:rsidRPr="000977F7">
        <w:rPr>
          <w:rFonts w:asciiTheme="majorHAnsi" w:hAnsiTheme="majorHAnsi"/>
          <w:spacing w:val="1"/>
          <w:sz w:val="20"/>
          <w:szCs w:val="20"/>
        </w:rPr>
        <w:t xml:space="preserve"> </w:t>
      </w:r>
      <w:r w:rsidRPr="000977F7">
        <w:rPr>
          <w:rFonts w:asciiTheme="majorHAnsi" w:hAnsiTheme="majorHAnsi"/>
          <w:sz w:val="20"/>
          <w:szCs w:val="20"/>
        </w:rPr>
        <w:t>(струмів)</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номінального значення</w:t>
      </w:r>
      <w:r w:rsidRPr="000977F7">
        <w:rPr>
          <w:rFonts w:asciiTheme="majorHAnsi" w:hAnsiTheme="majorHAnsi"/>
          <w:spacing w:val="1"/>
          <w:sz w:val="20"/>
          <w:szCs w:val="20"/>
        </w:rPr>
        <w:t xml:space="preserve"> </w:t>
      </w:r>
      <w:r w:rsidRPr="000977F7">
        <w:rPr>
          <w:rFonts w:asciiTheme="majorHAnsi" w:hAnsiTheme="majorHAnsi"/>
          <w:sz w:val="20"/>
          <w:szCs w:val="20"/>
        </w:rPr>
        <w:t>напруги</w:t>
      </w:r>
      <w:r w:rsidRPr="000977F7">
        <w:rPr>
          <w:rFonts w:asciiTheme="majorHAnsi" w:hAnsiTheme="majorHAnsi"/>
          <w:spacing w:val="-1"/>
          <w:sz w:val="20"/>
          <w:szCs w:val="20"/>
        </w:rPr>
        <w:t xml:space="preserve"> </w:t>
      </w:r>
      <w:r w:rsidRPr="000977F7">
        <w:rPr>
          <w:rFonts w:asciiTheme="majorHAnsi" w:hAnsiTheme="majorHAnsi"/>
          <w:sz w:val="20"/>
          <w:szCs w:val="20"/>
        </w:rPr>
        <w:t>(струму)</w:t>
      </w:r>
    </w:p>
    <w:p w14:paraId="22C66F1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31A0266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КОЕФІЦІЄНТ</w:t>
      </w:r>
      <w:r w:rsidRPr="000977F7">
        <w:rPr>
          <w:color w:val="auto"/>
          <w:spacing w:val="-11"/>
          <w:sz w:val="20"/>
          <w:szCs w:val="20"/>
        </w:rPr>
        <w:t xml:space="preserve"> </w:t>
      </w:r>
      <w:r w:rsidRPr="000977F7">
        <w:rPr>
          <w:color w:val="auto"/>
          <w:sz w:val="20"/>
          <w:szCs w:val="20"/>
        </w:rPr>
        <w:t>НЕГОТОВНОСТІ;</w:t>
      </w:r>
      <w:r w:rsidRPr="000977F7">
        <w:rPr>
          <w:color w:val="auto"/>
          <w:spacing w:val="-9"/>
          <w:sz w:val="20"/>
          <w:szCs w:val="20"/>
        </w:rPr>
        <w:t xml:space="preserve"> </w:t>
      </w:r>
      <w:r w:rsidRPr="000977F7">
        <w:rPr>
          <w:color w:val="auto"/>
          <w:sz w:val="20"/>
          <w:szCs w:val="20"/>
        </w:rPr>
        <w:t>КОЕФІЦІЄНТ</w:t>
      </w:r>
      <w:r w:rsidRPr="000977F7">
        <w:rPr>
          <w:color w:val="auto"/>
          <w:spacing w:val="-47"/>
          <w:sz w:val="20"/>
          <w:szCs w:val="20"/>
        </w:rPr>
        <w:t xml:space="preserve"> </w:t>
      </w:r>
      <w:r w:rsidRPr="000977F7">
        <w:rPr>
          <w:color w:val="auto"/>
          <w:sz w:val="20"/>
          <w:szCs w:val="20"/>
        </w:rPr>
        <w:t>ПРОСТОЮ</w:t>
      </w:r>
      <w:r w:rsidRPr="000977F7">
        <w:rPr>
          <w:color w:val="auto"/>
          <w:spacing w:val="-2"/>
          <w:sz w:val="20"/>
          <w:szCs w:val="20"/>
        </w:rPr>
        <w:t xml:space="preserve"> </w:t>
      </w:r>
      <w:r w:rsidRPr="000977F7">
        <w:rPr>
          <w:color w:val="auto"/>
          <w:sz w:val="20"/>
          <w:szCs w:val="20"/>
        </w:rPr>
        <w:t>U(t)</w:t>
      </w:r>
      <w:r w:rsidRPr="000977F7">
        <w:rPr>
          <w:color w:val="auto"/>
          <w:spacing w:val="3"/>
          <w:sz w:val="20"/>
          <w:szCs w:val="20"/>
        </w:rPr>
        <w:t xml:space="preserve"> </w:t>
      </w:r>
      <w:r w:rsidRPr="000977F7">
        <w:rPr>
          <w:color w:val="auto"/>
          <w:sz w:val="20"/>
          <w:szCs w:val="20"/>
        </w:rPr>
        <w:t>–</w:t>
      </w:r>
    </w:p>
    <w:p w14:paraId="67EE634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INSTANTANEOUS</w:t>
      </w:r>
      <w:r w:rsidRPr="004D2D14">
        <w:rPr>
          <w:rFonts w:asciiTheme="majorHAnsi" w:hAnsiTheme="majorHAnsi"/>
          <w:spacing w:val="-5"/>
          <w:sz w:val="20"/>
          <w:szCs w:val="20"/>
          <w:lang w:val="uk-UA"/>
        </w:rPr>
        <w:t xml:space="preserve"> </w:t>
      </w:r>
      <w:r w:rsidRPr="000977F7">
        <w:rPr>
          <w:rFonts w:asciiTheme="majorHAnsi" w:hAnsiTheme="majorHAnsi"/>
          <w:sz w:val="20"/>
          <w:szCs w:val="20"/>
        </w:rPr>
        <w:t>UNAVAILABILITY</w:t>
      </w:r>
      <w:r w:rsidRPr="004D2D14">
        <w:rPr>
          <w:rFonts w:asciiTheme="majorHAnsi" w:hAnsiTheme="majorHAnsi"/>
          <w:sz w:val="20"/>
          <w:szCs w:val="20"/>
          <w:lang w:val="uk-UA"/>
        </w:rPr>
        <w:t xml:space="preserve"> –</w:t>
      </w:r>
    </w:p>
    <w:p w14:paraId="3F64AD6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Імовірність того, що об’єкт виявиться непрацездатним</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у довільний момент часу, крім запланованих періодів,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протягом яких використання об’єкта за призначенням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передбачено</w:t>
      </w:r>
    </w:p>
    <w:p w14:paraId="145C60B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6F73DB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Кількісна оцінка коефіцієнта неготовності‖ є допов</w:t>
      </w:r>
      <w:r w:rsidRPr="000977F7">
        <w:rPr>
          <w:rFonts w:asciiTheme="majorHAnsi" w:hAnsiTheme="majorHAnsi"/>
          <w:w w:val="105"/>
          <w:sz w:val="20"/>
          <w:szCs w:val="20"/>
        </w:rPr>
        <w:t>ненням</w:t>
      </w:r>
      <w:r w:rsidRPr="000977F7">
        <w:rPr>
          <w:rFonts w:asciiTheme="majorHAnsi" w:hAnsiTheme="majorHAnsi"/>
          <w:spacing w:val="-9"/>
          <w:w w:val="105"/>
          <w:sz w:val="20"/>
          <w:szCs w:val="20"/>
        </w:rPr>
        <w:t xml:space="preserve"> </w:t>
      </w:r>
      <w:r w:rsidRPr="000977F7">
        <w:rPr>
          <w:rFonts w:asciiTheme="majorHAnsi" w:hAnsiTheme="majorHAnsi"/>
          <w:w w:val="105"/>
          <w:sz w:val="20"/>
          <w:szCs w:val="20"/>
        </w:rPr>
        <w:t>до</w:t>
      </w:r>
      <w:r w:rsidRPr="000977F7">
        <w:rPr>
          <w:rFonts w:asciiTheme="majorHAnsi" w:hAnsiTheme="majorHAnsi"/>
          <w:spacing w:val="-6"/>
          <w:w w:val="105"/>
          <w:sz w:val="20"/>
          <w:szCs w:val="20"/>
        </w:rPr>
        <w:t xml:space="preserve"> </w:t>
      </w:r>
      <w:r w:rsidRPr="000977F7">
        <w:rPr>
          <w:rFonts w:asciiTheme="majorHAnsi" w:hAnsiTheme="majorHAnsi"/>
          <w:w w:val="85"/>
          <w:sz w:val="20"/>
          <w:szCs w:val="20"/>
        </w:rPr>
        <w:t xml:space="preserve"> </w:t>
      </w:r>
      <w:r w:rsidRPr="000977F7">
        <w:rPr>
          <w:rFonts w:asciiTheme="majorHAnsi" w:hAnsiTheme="majorHAnsi"/>
          <w:w w:val="105"/>
          <w:sz w:val="20"/>
          <w:szCs w:val="20"/>
        </w:rPr>
        <w:t>коефіцієнта</w:t>
      </w:r>
      <w:r w:rsidRPr="000977F7">
        <w:rPr>
          <w:rFonts w:asciiTheme="majorHAnsi" w:hAnsiTheme="majorHAnsi"/>
          <w:spacing w:val="-9"/>
          <w:w w:val="105"/>
          <w:sz w:val="20"/>
          <w:szCs w:val="20"/>
        </w:rPr>
        <w:t xml:space="preserve"> </w:t>
      </w:r>
      <w:r w:rsidRPr="000977F7">
        <w:rPr>
          <w:rFonts w:asciiTheme="majorHAnsi" w:hAnsiTheme="majorHAnsi"/>
          <w:w w:val="105"/>
          <w:sz w:val="20"/>
          <w:szCs w:val="20"/>
        </w:rPr>
        <w:t>готовності</w:t>
      </w:r>
      <w:r w:rsidRPr="000977F7">
        <w:rPr>
          <w:rFonts w:asciiTheme="majorHAnsi" w:hAnsiTheme="majorHAnsi"/>
          <w:spacing w:val="-10"/>
          <w:w w:val="105"/>
          <w:sz w:val="20"/>
          <w:szCs w:val="20"/>
        </w:rPr>
        <w:t xml:space="preserve"> </w:t>
      </w:r>
      <w:r w:rsidRPr="000977F7">
        <w:rPr>
          <w:rFonts w:asciiTheme="majorHAnsi" w:hAnsiTheme="majorHAnsi"/>
          <w:w w:val="130"/>
          <w:sz w:val="20"/>
          <w:szCs w:val="20"/>
        </w:rPr>
        <w:t>‖</w:t>
      </w:r>
    </w:p>
    <w:p w14:paraId="4606C11C"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КОЕФІЦІЄНТ</w:t>
      </w:r>
      <w:r w:rsidRPr="004D2D14">
        <w:rPr>
          <w:rFonts w:asciiTheme="majorHAnsi" w:hAnsiTheme="majorHAnsi"/>
          <w:b/>
          <w:sz w:val="20"/>
          <w:szCs w:val="20"/>
          <w:lang w:val="en-US"/>
        </w:rPr>
        <w:t xml:space="preserve"> </w:t>
      </w:r>
      <w:r w:rsidRPr="000977F7">
        <w:rPr>
          <w:rFonts w:asciiTheme="majorHAnsi" w:hAnsiTheme="majorHAnsi"/>
          <w:b/>
          <w:sz w:val="20"/>
          <w:szCs w:val="20"/>
        </w:rPr>
        <w:t>ОПЕРАТИВНОЇ</w:t>
      </w:r>
      <w:r w:rsidRPr="004D2D14">
        <w:rPr>
          <w:rFonts w:asciiTheme="majorHAnsi" w:hAnsiTheme="majorHAnsi"/>
          <w:b/>
          <w:sz w:val="20"/>
          <w:szCs w:val="20"/>
          <w:lang w:val="en-US"/>
        </w:rPr>
        <w:t xml:space="preserve"> </w:t>
      </w:r>
      <w:r w:rsidRPr="000977F7">
        <w:rPr>
          <w:rFonts w:asciiTheme="majorHAnsi" w:hAnsiTheme="majorHAnsi"/>
          <w:b/>
          <w:sz w:val="20"/>
          <w:szCs w:val="20"/>
        </w:rPr>
        <w:t>ГОТОВНОСТІ</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OPERATIONAL</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AVAILABILITY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FUNCTION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0C2B3B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Імовірність того, що за винятком тих запланованих</w:t>
      </w:r>
      <w:r w:rsidRPr="000977F7">
        <w:rPr>
          <w:rFonts w:asciiTheme="majorHAnsi" w:hAnsiTheme="majorHAnsi"/>
          <w:spacing w:val="1"/>
          <w:sz w:val="20"/>
          <w:szCs w:val="20"/>
        </w:rPr>
        <w:t xml:space="preserve"> </w:t>
      </w:r>
      <w:r w:rsidRPr="000977F7">
        <w:rPr>
          <w:rFonts w:asciiTheme="majorHAnsi" w:hAnsiTheme="majorHAnsi"/>
          <w:sz w:val="20"/>
          <w:szCs w:val="20"/>
        </w:rPr>
        <w:t>періодів, протягом яких використання об’єкта за призначенням</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передбачено,</w:t>
      </w:r>
      <w:r w:rsidRPr="000977F7">
        <w:rPr>
          <w:rFonts w:asciiTheme="majorHAnsi" w:hAnsiTheme="majorHAnsi"/>
          <w:spacing w:val="1"/>
          <w:sz w:val="20"/>
          <w:szCs w:val="20"/>
        </w:rPr>
        <w:t xml:space="preserve"> </w:t>
      </w:r>
      <w:r w:rsidRPr="000977F7">
        <w:rPr>
          <w:rFonts w:asciiTheme="majorHAnsi" w:hAnsiTheme="majorHAnsi"/>
          <w:sz w:val="20"/>
          <w:szCs w:val="20"/>
        </w:rPr>
        <w:t>він</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довільний момент</w:t>
      </w:r>
      <w:r w:rsidRPr="000977F7">
        <w:rPr>
          <w:rFonts w:asciiTheme="majorHAnsi" w:hAnsiTheme="majorHAnsi"/>
          <w:spacing w:val="1"/>
          <w:sz w:val="20"/>
          <w:szCs w:val="20"/>
        </w:rPr>
        <w:t xml:space="preserve"> </w:t>
      </w:r>
      <w:r w:rsidRPr="000977F7">
        <w:rPr>
          <w:rFonts w:asciiTheme="majorHAnsi" w:hAnsiTheme="majorHAnsi"/>
          <w:sz w:val="20"/>
          <w:szCs w:val="20"/>
        </w:rPr>
        <w:t>часу виявиться у працездатному стані і надалі виконуватиме потрібну функцію протягом заданого інтервалу</w:t>
      </w:r>
      <w:r w:rsidRPr="000977F7">
        <w:rPr>
          <w:rFonts w:asciiTheme="majorHAnsi" w:hAnsiTheme="majorHAnsi"/>
          <w:spacing w:val="-5"/>
          <w:sz w:val="20"/>
          <w:szCs w:val="20"/>
        </w:rPr>
        <w:t xml:space="preserve"> </w:t>
      </w:r>
      <w:r w:rsidRPr="000977F7">
        <w:rPr>
          <w:rFonts w:asciiTheme="majorHAnsi" w:hAnsiTheme="majorHAnsi"/>
          <w:sz w:val="20"/>
          <w:szCs w:val="20"/>
        </w:rPr>
        <w:t>часу</w:t>
      </w:r>
    </w:p>
    <w:p w14:paraId="7188CA76"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7CC10C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КОЕФІЦІЄНТ</w:t>
      </w:r>
      <w:r w:rsidRPr="000977F7">
        <w:rPr>
          <w:color w:val="auto"/>
          <w:spacing w:val="-11"/>
          <w:sz w:val="20"/>
          <w:szCs w:val="20"/>
        </w:rPr>
        <w:t xml:space="preserve"> </w:t>
      </w:r>
      <w:r w:rsidRPr="000977F7">
        <w:rPr>
          <w:color w:val="auto"/>
          <w:sz w:val="20"/>
          <w:szCs w:val="20"/>
        </w:rPr>
        <w:t>ПОВЕРНЕНЬ</w:t>
      </w:r>
      <w:r w:rsidRPr="000977F7">
        <w:rPr>
          <w:color w:val="auto"/>
          <w:spacing w:val="-10"/>
          <w:sz w:val="20"/>
          <w:szCs w:val="20"/>
        </w:rPr>
        <w:t xml:space="preserve"> </w:t>
      </w:r>
      <w:r w:rsidRPr="000977F7">
        <w:rPr>
          <w:color w:val="auto"/>
          <w:sz w:val="20"/>
          <w:szCs w:val="20"/>
        </w:rPr>
        <w:t>ТЕХНОЛОГІЧНОЇ</w:t>
      </w:r>
      <w:r w:rsidRPr="000977F7">
        <w:rPr>
          <w:color w:val="auto"/>
          <w:spacing w:val="-48"/>
          <w:sz w:val="20"/>
          <w:szCs w:val="20"/>
        </w:rPr>
        <w:t xml:space="preserve"> </w:t>
      </w:r>
      <w:r w:rsidRPr="000977F7">
        <w:rPr>
          <w:color w:val="auto"/>
          <w:sz w:val="20"/>
          <w:szCs w:val="20"/>
        </w:rPr>
        <w:t xml:space="preserve">СИСТЕМИ ОПЕРАЦІЇ (ПРОЦЕСУ, </w:t>
      </w:r>
    </w:p>
    <w:p w14:paraId="5AAC31C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w:t>
      </w:r>
      <w:r w:rsidRPr="000977F7">
        <w:rPr>
          <w:color w:val="auto"/>
          <w:spacing w:val="-47"/>
          <w:sz w:val="20"/>
          <w:szCs w:val="20"/>
        </w:rPr>
        <w:t xml:space="preserve"> </w:t>
      </w:r>
      <w:r w:rsidRPr="000977F7">
        <w:rPr>
          <w:color w:val="auto"/>
          <w:sz w:val="20"/>
          <w:szCs w:val="20"/>
        </w:rPr>
        <w:t>ЧОГО ПІДРОЗДІЛУ)</w:t>
      </w:r>
      <w:r w:rsidRPr="000977F7">
        <w:rPr>
          <w:color w:val="auto"/>
          <w:spacing w:val="2"/>
          <w:sz w:val="20"/>
          <w:szCs w:val="20"/>
        </w:rPr>
        <w:t xml:space="preserve"> </w:t>
      </w:r>
      <w:r w:rsidRPr="000977F7">
        <w:rPr>
          <w:color w:val="auto"/>
          <w:sz w:val="20"/>
          <w:szCs w:val="20"/>
        </w:rPr>
        <w:t>–</w:t>
      </w:r>
    </w:p>
    <w:p w14:paraId="1AFF765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Відношення обсягу продукції,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яка має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дефекти,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усуваються,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поверненої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доопрацювання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наступних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технологічних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систем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операцій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(процесів,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виробничих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підрозділів),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обсягу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всієї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lastRenderedPageBreak/>
        <w:t>виготовленої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розглядуваний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календарний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проміжок</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часу</w:t>
      </w:r>
    </w:p>
    <w:p w14:paraId="556ACA0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2470 - 94</w:t>
      </w:r>
    </w:p>
    <w:p w14:paraId="7CD56F1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КОЕФІЦІЄНТ</w:t>
      </w:r>
      <w:r w:rsidRPr="000977F7">
        <w:rPr>
          <w:color w:val="auto"/>
          <w:spacing w:val="-7"/>
          <w:sz w:val="20"/>
          <w:szCs w:val="20"/>
        </w:rPr>
        <w:t xml:space="preserve"> </w:t>
      </w:r>
      <w:r w:rsidRPr="000977F7">
        <w:rPr>
          <w:color w:val="auto"/>
          <w:sz w:val="20"/>
          <w:szCs w:val="20"/>
        </w:rPr>
        <w:t>ПРИСКОРЕННЯ</w:t>
      </w:r>
      <w:r w:rsidRPr="000977F7">
        <w:rPr>
          <w:color w:val="auto"/>
          <w:spacing w:val="-5"/>
          <w:sz w:val="20"/>
          <w:szCs w:val="20"/>
        </w:rPr>
        <w:t xml:space="preserve"> </w:t>
      </w:r>
      <w:r w:rsidRPr="000977F7">
        <w:rPr>
          <w:color w:val="auto"/>
          <w:sz w:val="20"/>
          <w:szCs w:val="20"/>
        </w:rPr>
        <w:t>НАРОБІТКУ</w:t>
      </w:r>
      <w:r w:rsidRPr="000977F7">
        <w:rPr>
          <w:color w:val="auto"/>
          <w:spacing w:val="-1"/>
          <w:sz w:val="20"/>
          <w:szCs w:val="20"/>
        </w:rPr>
        <w:t xml:space="preserve"> </w:t>
      </w:r>
      <w:r w:rsidRPr="000977F7">
        <w:rPr>
          <w:color w:val="auto"/>
          <w:sz w:val="20"/>
          <w:szCs w:val="20"/>
        </w:rPr>
        <w:t>–</w:t>
      </w:r>
    </w:p>
    <w:p w14:paraId="2314C66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TIME</w:t>
      </w:r>
      <w:r w:rsidRPr="004D2D14">
        <w:rPr>
          <w:rFonts w:asciiTheme="majorHAnsi" w:hAnsiTheme="majorHAnsi"/>
          <w:spacing w:val="-2"/>
          <w:sz w:val="20"/>
          <w:szCs w:val="20"/>
          <w:lang w:val="uk-UA"/>
        </w:rPr>
        <w:t xml:space="preserve"> </w:t>
      </w:r>
      <w:r w:rsidRPr="000977F7">
        <w:rPr>
          <w:rFonts w:asciiTheme="majorHAnsi" w:hAnsiTheme="majorHAnsi"/>
          <w:sz w:val="20"/>
          <w:szCs w:val="20"/>
        </w:rPr>
        <w:t>ACCELERATION</w:t>
      </w:r>
      <w:r w:rsidRPr="004D2D14">
        <w:rPr>
          <w:rFonts w:asciiTheme="majorHAnsi" w:hAnsiTheme="majorHAnsi"/>
          <w:spacing w:val="-2"/>
          <w:sz w:val="20"/>
          <w:szCs w:val="20"/>
          <w:lang w:val="uk-UA"/>
        </w:rPr>
        <w:t xml:space="preserve"> </w:t>
      </w:r>
      <w:r w:rsidRPr="000977F7">
        <w:rPr>
          <w:rFonts w:asciiTheme="majorHAnsi" w:hAnsiTheme="majorHAnsi"/>
          <w:sz w:val="20"/>
          <w:szCs w:val="20"/>
        </w:rPr>
        <w:t>FACTOR</w:t>
      </w:r>
      <w:r w:rsidRPr="004D2D14">
        <w:rPr>
          <w:rFonts w:asciiTheme="majorHAnsi" w:hAnsiTheme="majorHAnsi"/>
          <w:sz w:val="20"/>
          <w:szCs w:val="20"/>
          <w:lang w:val="uk-UA"/>
        </w:rPr>
        <w:t xml:space="preserve"> –</w:t>
      </w:r>
    </w:p>
    <w:p w14:paraId="6F0C95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двох значень часу, необхідного для одержання однакового числа відмов або відхилення параметрів у двох вибірок однакового обсягу при двох</w:t>
      </w:r>
      <w:r w:rsidRPr="000977F7">
        <w:rPr>
          <w:rFonts w:asciiTheme="majorHAnsi" w:hAnsiTheme="majorHAnsi"/>
          <w:spacing w:val="1"/>
          <w:sz w:val="20"/>
          <w:szCs w:val="20"/>
        </w:rPr>
        <w:t xml:space="preserve"> </w:t>
      </w:r>
      <w:r w:rsidRPr="000977F7">
        <w:rPr>
          <w:rFonts w:asciiTheme="majorHAnsi" w:hAnsiTheme="majorHAnsi"/>
          <w:sz w:val="20"/>
          <w:szCs w:val="20"/>
        </w:rPr>
        <w:t>різних рівнях навантажень та збереженні незмінними</w:t>
      </w:r>
      <w:r w:rsidRPr="000977F7">
        <w:rPr>
          <w:rFonts w:asciiTheme="majorHAnsi" w:hAnsiTheme="majorHAnsi"/>
          <w:spacing w:val="1"/>
          <w:sz w:val="20"/>
          <w:szCs w:val="20"/>
        </w:rPr>
        <w:t xml:space="preserve"> </w:t>
      </w:r>
      <w:r w:rsidRPr="000977F7">
        <w:rPr>
          <w:rFonts w:asciiTheme="majorHAnsi" w:hAnsiTheme="majorHAnsi"/>
          <w:sz w:val="20"/>
          <w:szCs w:val="20"/>
        </w:rPr>
        <w:t>характеру виникнення відмов, видів несправностей та</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3"/>
          <w:sz w:val="20"/>
          <w:szCs w:val="20"/>
        </w:rPr>
        <w:t xml:space="preserve"> </w:t>
      </w:r>
      <w:r w:rsidRPr="000977F7">
        <w:rPr>
          <w:rFonts w:asciiTheme="majorHAnsi" w:hAnsiTheme="majorHAnsi"/>
          <w:sz w:val="20"/>
          <w:szCs w:val="20"/>
        </w:rPr>
        <w:t>відносного</w:t>
      </w:r>
      <w:r w:rsidRPr="000977F7">
        <w:rPr>
          <w:rFonts w:asciiTheme="majorHAnsi" w:hAnsiTheme="majorHAnsi"/>
          <w:spacing w:val="1"/>
          <w:sz w:val="20"/>
          <w:szCs w:val="20"/>
        </w:rPr>
        <w:t xml:space="preserve"> </w:t>
      </w:r>
      <w:r w:rsidRPr="000977F7">
        <w:rPr>
          <w:rFonts w:asciiTheme="majorHAnsi" w:hAnsiTheme="majorHAnsi"/>
          <w:sz w:val="20"/>
          <w:szCs w:val="20"/>
        </w:rPr>
        <w:t>переважання</w:t>
      </w:r>
    </w:p>
    <w:p w14:paraId="50CB0E3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18ED308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КОЕФІЦІЄНТ</w:t>
      </w:r>
      <w:r w:rsidRPr="000977F7">
        <w:rPr>
          <w:color w:val="auto"/>
          <w:spacing w:val="1"/>
          <w:sz w:val="20"/>
          <w:szCs w:val="20"/>
        </w:rPr>
        <w:t xml:space="preserve"> </w:t>
      </w:r>
      <w:r w:rsidRPr="000977F7">
        <w:rPr>
          <w:color w:val="auto"/>
          <w:sz w:val="20"/>
          <w:szCs w:val="20"/>
        </w:rPr>
        <w:t xml:space="preserve">ПРИСКОРЕННЯ </w:t>
      </w:r>
    </w:p>
    <w:p w14:paraId="5E6B1E4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ІНТЕНСИВНО</w:t>
      </w:r>
      <w:r w:rsidRPr="000977F7">
        <w:rPr>
          <w:color w:val="auto"/>
          <w:spacing w:val="-47"/>
          <w:sz w:val="20"/>
          <w:szCs w:val="20"/>
        </w:rPr>
        <w:t xml:space="preserve"> </w:t>
      </w:r>
      <w:r w:rsidRPr="000977F7">
        <w:rPr>
          <w:color w:val="auto"/>
          <w:sz w:val="20"/>
          <w:szCs w:val="20"/>
        </w:rPr>
        <w:t>СТІ</w:t>
      </w:r>
      <w:r w:rsidRPr="000977F7">
        <w:rPr>
          <w:color w:val="auto"/>
          <w:spacing w:val="-2"/>
          <w:sz w:val="20"/>
          <w:szCs w:val="20"/>
        </w:rPr>
        <w:t xml:space="preserve"> </w:t>
      </w:r>
      <w:r w:rsidRPr="000977F7">
        <w:rPr>
          <w:color w:val="auto"/>
          <w:sz w:val="20"/>
          <w:szCs w:val="20"/>
        </w:rPr>
        <w:t>ВІДМОВ</w:t>
      </w:r>
      <w:r w:rsidRPr="000977F7">
        <w:rPr>
          <w:color w:val="auto"/>
          <w:spacing w:val="2"/>
          <w:sz w:val="20"/>
          <w:szCs w:val="20"/>
        </w:rPr>
        <w:t xml:space="preserve"> </w:t>
      </w:r>
      <w:r w:rsidRPr="000977F7">
        <w:rPr>
          <w:color w:val="auto"/>
          <w:sz w:val="20"/>
          <w:szCs w:val="20"/>
        </w:rPr>
        <w:t>–</w:t>
      </w:r>
    </w:p>
    <w:p w14:paraId="4E7674D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FAILURE</w:t>
      </w:r>
      <w:r w:rsidRPr="004D2D14">
        <w:rPr>
          <w:rFonts w:asciiTheme="majorHAnsi" w:hAnsiTheme="majorHAnsi"/>
          <w:spacing w:val="-3"/>
          <w:sz w:val="20"/>
          <w:szCs w:val="20"/>
          <w:lang w:val="uk-UA"/>
        </w:rPr>
        <w:t xml:space="preserve"> </w:t>
      </w:r>
      <w:r w:rsidRPr="000977F7">
        <w:rPr>
          <w:rFonts w:asciiTheme="majorHAnsi" w:hAnsiTheme="majorHAnsi"/>
          <w:sz w:val="20"/>
          <w:szCs w:val="20"/>
        </w:rPr>
        <w:t>RATE</w:t>
      </w:r>
      <w:r w:rsidRPr="004D2D14">
        <w:rPr>
          <w:rFonts w:asciiTheme="majorHAnsi" w:hAnsiTheme="majorHAnsi"/>
          <w:spacing w:val="-3"/>
          <w:sz w:val="20"/>
          <w:szCs w:val="20"/>
          <w:lang w:val="uk-UA"/>
        </w:rPr>
        <w:t xml:space="preserve"> </w:t>
      </w:r>
      <w:r w:rsidRPr="000977F7">
        <w:rPr>
          <w:rFonts w:asciiTheme="majorHAnsi" w:hAnsiTheme="majorHAnsi"/>
          <w:sz w:val="20"/>
          <w:szCs w:val="20"/>
        </w:rPr>
        <w:t>ACCELERATION</w:t>
      </w:r>
      <w:r w:rsidRPr="004D2D14">
        <w:rPr>
          <w:rFonts w:asciiTheme="majorHAnsi" w:hAnsiTheme="majorHAnsi"/>
          <w:spacing w:val="-3"/>
          <w:sz w:val="20"/>
          <w:szCs w:val="20"/>
          <w:lang w:val="uk-UA"/>
        </w:rPr>
        <w:t xml:space="preserve"> </w:t>
      </w:r>
      <w:r w:rsidRPr="000977F7">
        <w:rPr>
          <w:rFonts w:asciiTheme="majorHAnsi" w:hAnsiTheme="majorHAnsi"/>
          <w:sz w:val="20"/>
          <w:szCs w:val="20"/>
        </w:rPr>
        <w:t>FACTOR</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316C780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Відношення інтенсивності відмов, одержаної під час</w:t>
      </w:r>
      <w:r w:rsidRPr="004D2D14">
        <w:rPr>
          <w:rFonts w:asciiTheme="majorHAnsi" w:hAnsiTheme="majorHAnsi"/>
          <w:spacing w:val="1"/>
          <w:sz w:val="20"/>
          <w:szCs w:val="20"/>
          <w:lang w:val="uk-UA"/>
        </w:rPr>
        <w:t xml:space="preserve"> </w:t>
      </w:r>
      <w:r w:rsidRPr="004D2D14">
        <w:rPr>
          <w:rFonts w:asciiTheme="majorHAnsi" w:hAnsiTheme="majorHAnsi"/>
          <w:spacing w:val="-3"/>
          <w:sz w:val="20"/>
          <w:szCs w:val="20"/>
          <w:lang w:val="uk-UA"/>
        </w:rPr>
        <w:t>прискорених</w:t>
      </w:r>
      <w:r w:rsidRPr="004D2D14">
        <w:rPr>
          <w:rFonts w:asciiTheme="majorHAnsi" w:hAnsiTheme="majorHAnsi"/>
          <w:spacing w:val="-9"/>
          <w:sz w:val="20"/>
          <w:szCs w:val="20"/>
          <w:lang w:val="uk-UA"/>
        </w:rPr>
        <w:t xml:space="preserve"> </w:t>
      </w:r>
      <w:r w:rsidRPr="004D2D14">
        <w:rPr>
          <w:rFonts w:asciiTheme="majorHAnsi" w:hAnsiTheme="majorHAnsi"/>
          <w:spacing w:val="-3"/>
          <w:sz w:val="20"/>
          <w:szCs w:val="20"/>
          <w:lang w:val="uk-UA"/>
        </w:rPr>
        <w:t>випробувань,</w:t>
      </w:r>
      <w:r w:rsidRPr="004D2D14">
        <w:rPr>
          <w:rFonts w:asciiTheme="majorHAnsi" w:hAnsiTheme="majorHAnsi"/>
          <w:spacing w:val="-7"/>
          <w:sz w:val="20"/>
          <w:szCs w:val="20"/>
          <w:lang w:val="uk-UA"/>
        </w:rPr>
        <w:t xml:space="preserve"> </w:t>
      </w:r>
      <w:r w:rsidRPr="004D2D14">
        <w:rPr>
          <w:rFonts w:asciiTheme="majorHAnsi" w:hAnsiTheme="majorHAnsi"/>
          <w:spacing w:val="-3"/>
          <w:sz w:val="20"/>
          <w:szCs w:val="20"/>
          <w:lang w:val="uk-UA"/>
        </w:rPr>
        <w:t>до</w:t>
      </w:r>
      <w:r w:rsidRPr="004D2D14">
        <w:rPr>
          <w:rFonts w:asciiTheme="majorHAnsi" w:hAnsiTheme="majorHAnsi"/>
          <w:spacing w:val="-9"/>
          <w:sz w:val="20"/>
          <w:szCs w:val="20"/>
          <w:lang w:val="uk-UA"/>
        </w:rPr>
        <w:t xml:space="preserve"> </w:t>
      </w:r>
      <w:r w:rsidRPr="004D2D14">
        <w:rPr>
          <w:rFonts w:asciiTheme="majorHAnsi" w:hAnsiTheme="majorHAnsi"/>
          <w:spacing w:val="-3"/>
          <w:sz w:val="20"/>
          <w:szCs w:val="20"/>
          <w:lang w:val="uk-UA"/>
        </w:rPr>
        <w:t>інтенсивності</w:t>
      </w:r>
      <w:r w:rsidRPr="004D2D14">
        <w:rPr>
          <w:rFonts w:asciiTheme="majorHAnsi" w:hAnsiTheme="majorHAnsi"/>
          <w:spacing w:val="-9"/>
          <w:sz w:val="20"/>
          <w:szCs w:val="20"/>
          <w:lang w:val="uk-UA"/>
        </w:rPr>
        <w:t xml:space="preserve"> </w:t>
      </w:r>
      <w:r w:rsidRPr="004D2D14">
        <w:rPr>
          <w:rFonts w:asciiTheme="majorHAnsi" w:hAnsiTheme="majorHAnsi"/>
          <w:spacing w:val="-2"/>
          <w:sz w:val="20"/>
          <w:szCs w:val="20"/>
          <w:lang w:val="uk-UA"/>
        </w:rPr>
        <w:t>відмов,</w:t>
      </w:r>
      <w:r w:rsidRPr="004D2D14">
        <w:rPr>
          <w:rFonts w:asciiTheme="majorHAnsi" w:hAnsiTheme="majorHAnsi"/>
          <w:spacing w:val="-10"/>
          <w:sz w:val="20"/>
          <w:szCs w:val="20"/>
          <w:lang w:val="uk-UA"/>
        </w:rPr>
        <w:t xml:space="preserve"> </w:t>
      </w:r>
      <w:r w:rsidRPr="004D2D14">
        <w:rPr>
          <w:rFonts w:asciiTheme="majorHAnsi" w:hAnsiTheme="majorHAnsi"/>
          <w:spacing w:val="-2"/>
          <w:sz w:val="20"/>
          <w:szCs w:val="20"/>
          <w:lang w:val="uk-UA"/>
        </w:rPr>
        <w:t>оде</w:t>
      </w:r>
      <w:r w:rsidRPr="004D2D14">
        <w:rPr>
          <w:rFonts w:asciiTheme="majorHAnsi" w:hAnsiTheme="majorHAnsi"/>
          <w:w w:val="95"/>
          <w:sz w:val="20"/>
          <w:szCs w:val="20"/>
          <w:lang w:val="uk-UA"/>
        </w:rPr>
        <w:t>ржаної</w:t>
      </w:r>
      <w:r w:rsidRPr="004D2D14">
        <w:rPr>
          <w:rFonts w:asciiTheme="majorHAnsi" w:hAnsiTheme="majorHAnsi"/>
          <w:spacing w:val="-1"/>
          <w:w w:val="95"/>
          <w:sz w:val="20"/>
          <w:szCs w:val="20"/>
          <w:lang w:val="uk-UA"/>
        </w:rPr>
        <w:t xml:space="preserve"> </w:t>
      </w:r>
      <w:r w:rsidRPr="004D2D14">
        <w:rPr>
          <w:rFonts w:asciiTheme="majorHAnsi" w:hAnsiTheme="majorHAnsi"/>
          <w:w w:val="95"/>
          <w:sz w:val="20"/>
          <w:szCs w:val="20"/>
          <w:lang w:val="uk-UA"/>
        </w:rPr>
        <w:t>під</w:t>
      </w:r>
      <w:r w:rsidRPr="004D2D14">
        <w:rPr>
          <w:rFonts w:asciiTheme="majorHAnsi" w:hAnsiTheme="majorHAnsi"/>
          <w:spacing w:val="-4"/>
          <w:w w:val="95"/>
          <w:sz w:val="20"/>
          <w:szCs w:val="20"/>
          <w:lang w:val="uk-UA"/>
        </w:rPr>
        <w:t xml:space="preserve"> </w:t>
      </w:r>
      <w:r w:rsidRPr="004D2D14">
        <w:rPr>
          <w:rFonts w:asciiTheme="majorHAnsi" w:hAnsiTheme="majorHAnsi"/>
          <w:w w:val="95"/>
          <w:sz w:val="20"/>
          <w:szCs w:val="20"/>
          <w:lang w:val="uk-UA"/>
        </w:rPr>
        <w:t>час</w:t>
      </w:r>
      <w:r w:rsidRPr="004D2D14">
        <w:rPr>
          <w:rFonts w:asciiTheme="majorHAnsi" w:hAnsiTheme="majorHAnsi"/>
          <w:spacing w:val="-1"/>
          <w:w w:val="95"/>
          <w:sz w:val="20"/>
          <w:szCs w:val="20"/>
          <w:lang w:val="uk-UA"/>
        </w:rPr>
        <w:t xml:space="preserve"> </w:t>
      </w:r>
      <w:r w:rsidRPr="004D2D14">
        <w:rPr>
          <w:rFonts w:asciiTheme="majorHAnsi" w:hAnsiTheme="majorHAnsi"/>
          <w:w w:val="95"/>
          <w:sz w:val="20"/>
          <w:szCs w:val="20"/>
          <w:lang w:val="uk-UA"/>
        </w:rPr>
        <w:t>нормальних</w:t>
      </w:r>
      <w:r w:rsidRPr="004D2D14">
        <w:rPr>
          <w:rFonts w:asciiTheme="majorHAnsi" w:hAnsiTheme="majorHAnsi"/>
          <w:spacing w:val="-2"/>
          <w:w w:val="95"/>
          <w:sz w:val="20"/>
          <w:szCs w:val="20"/>
          <w:lang w:val="uk-UA"/>
        </w:rPr>
        <w:t xml:space="preserve"> </w:t>
      </w:r>
      <w:r w:rsidRPr="004D2D14">
        <w:rPr>
          <w:rFonts w:asciiTheme="majorHAnsi" w:hAnsiTheme="majorHAnsi"/>
          <w:w w:val="95"/>
          <w:sz w:val="20"/>
          <w:szCs w:val="20"/>
          <w:lang w:val="uk-UA"/>
        </w:rPr>
        <w:t>випробувань</w:t>
      </w:r>
      <w:r w:rsidRPr="004D2D14">
        <w:rPr>
          <w:rFonts w:asciiTheme="majorHAnsi" w:hAnsiTheme="majorHAnsi"/>
          <w:spacing w:val="-1"/>
          <w:w w:val="95"/>
          <w:sz w:val="20"/>
          <w:szCs w:val="20"/>
          <w:lang w:val="uk-UA"/>
        </w:rPr>
        <w:t xml:space="preserve"> </w:t>
      </w:r>
      <w:r w:rsidRPr="004D2D14">
        <w:rPr>
          <w:rFonts w:asciiTheme="majorHAnsi" w:hAnsiTheme="majorHAnsi"/>
          <w:w w:val="95"/>
          <w:sz w:val="20"/>
          <w:szCs w:val="20"/>
          <w:lang w:val="uk-UA"/>
        </w:rPr>
        <w:t>на</w:t>
      </w:r>
      <w:r w:rsidRPr="004D2D14">
        <w:rPr>
          <w:rFonts w:asciiTheme="majorHAnsi" w:hAnsiTheme="majorHAnsi"/>
          <w:spacing w:val="-1"/>
          <w:w w:val="95"/>
          <w:sz w:val="20"/>
          <w:szCs w:val="20"/>
          <w:lang w:val="uk-UA"/>
        </w:rPr>
        <w:t xml:space="preserve"> </w:t>
      </w:r>
      <w:r w:rsidRPr="004D2D14">
        <w:rPr>
          <w:rFonts w:asciiTheme="majorHAnsi" w:hAnsiTheme="majorHAnsi"/>
          <w:w w:val="95"/>
          <w:sz w:val="20"/>
          <w:szCs w:val="20"/>
          <w:lang w:val="uk-UA"/>
        </w:rPr>
        <w:t>надійність</w:t>
      </w:r>
    </w:p>
    <w:p w14:paraId="29447E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3B3010D" w14:textId="77777777" w:rsidR="0097612F" w:rsidRPr="000977F7" w:rsidRDefault="0097612F" w:rsidP="000977F7">
      <w:pPr>
        <w:tabs>
          <w:tab w:val="left" w:pos="284"/>
        </w:tabs>
        <w:spacing w:after="0" w:line="240" w:lineRule="auto"/>
        <w:ind w:left="170"/>
        <w:mirrorIndents/>
        <w:jc w:val="both"/>
        <w:rPr>
          <w:rFonts w:asciiTheme="majorHAnsi" w:hAnsiTheme="majorHAnsi"/>
          <w:spacing w:val="-3"/>
          <w:sz w:val="20"/>
          <w:szCs w:val="20"/>
        </w:rPr>
      </w:pPr>
      <w:r w:rsidRPr="000977F7">
        <w:rPr>
          <w:rFonts w:asciiTheme="majorHAnsi" w:hAnsiTheme="majorHAnsi"/>
          <w:spacing w:val="-1"/>
          <w:sz w:val="20"/>
          <w:szCs w:val="20"/>
        </w:rPr>
        <w:t>Обидві</w:t>
      </w:r>
      <w:r w:rsidRPr="000977F7">
        <w:rPr>
          <w:rFonts w:asciiTheme="majorHAnsi" w:hAnsiTheme="majorHAnsi"/>
          <w:spacing w:val="-11"/>
          <w:sz w:val="20"/>
          <w:szCs w:val="20"/>
        </w:rPr>
        <w:t xml:space="preserve"> </w:t>
      </w:r>
      <w:r w:rsidRPr="000977F7">
        <w:rPr>
          <w:rFonts w:asciiTheme="majorHAnsi" w:hAnsiTheme="majorHAnsi"/>
          <w:spacing w:val="-1"/>
          <w:sz w:val="20"/>
          <w:szCs w:val="20"/>
        </w:rPr>
        <w:t>інтенсивності</w:t>
      </w:r>
      <w:r w:rsidRPr="000977F7">
        <w:rPr>
          <w:rFonts w:asciiTheme="majorHAnsi" w:hAnsiTheme="majorHAnsi"/>
          <w:spacing w:val="-10"/>
          <w:sz w:val="20"/>
          <w:szCs w:val="20"/>
        </w:rPr>
        <w:t xml:space="preserve"> </w:t>
      </w:r>
      <w:r w:rsidRPr="000977F7">
        <w:rPr>
          <w:rFonts w:asciiTheme="majorHAnsi" w:hAnsiTheme="majorHAnsi"/>
          <w:sz w:val="20"/>
          <w:szCs w:val="20"/>
        </w:rPr>
        <w:t>відмов</w:t>
      </w:r>
      <w:r w:rsidRPr="000977F7">
        <w:rPr>
          <w:rFonts w:asciiTheme="majorHAnsi" w:hAnsiTheme="majorHAnsi"/>
          <w:spacing w:val="-12"/>
          <w:sz w:val="20"/>
          <w:szCs w:val="20"/>
        </w:rPr>
        <w:t xml:space="preserve"> </w:t>
      </w:r>
      <w:r w:rsidRPr="000977F7">
        <w:rPr>
          <w:rFonts w:asciiTheme="majorHAnsi" w:hAnsiTheme="majorHAnsi"/>
          <w:sz w:val="20"/>
          <w:szCs w:val="20"/>
        </w:rPr>
        <w:t>належать</w:t>
      </w:r>
      <w:r w:rsidRPr="000977F7">
        <w:rPr>
          <w:rFonts w:asciiTheme="majorHAnsi" w:hAnsiTheme="majorHAnsi"/>
          <w:spacing w:val="-9"/>
          <w:sz w:val="20"/>
          <w:szCs w:val="20"/>
        </w:rPr>
        <w:t xml:space="preserve"> </w:t>
      </w:r>
      <w:r w:rsidRPr="000977F7">
        <w:rPr>
          <w:rFonts w:asciiTheme="majorHAnsi" w:hAnsiTheme="majorHAnsi"/>
          <w:sz w:val="20"/>
          <w:szCs w:val="20"/>
        </w:rPr>
        <w:t>до</w:t>
      </w:r>
      <w:r w:rsidRPr="000977F7">
        <w:rPr>
          <w:rFonts w:asciiTheme="majorHAnsi" w:hAnsiTheme="majorHAnsi"/>
          <w:spacing w:val="-11"/>
          <w:sz w:val="20"/>
          <w:szCs w:val="20"/>
        </w:rPr>
        <w:t xml:space="preserve"> </w:t>
      </w:r>
      <w:r w:rsidRPr="000977F7">
        <w:rPr>
          <w:rFonts w:asciiTheme="majorHAnsi" w:hAnsiTheme="majorHAnsi"/>
          <w:sz w:val="20"/>
          <w:szCs w:val="20"/>
        </w:rPr>
        <w:t>одного</w:t>
      </w:r>
      <w:r w:rsidRPr="000977F7">
        <w:rPr>
          <w:rFonts w:asciiTheme="majorHAnsi" w:hAnsiTheme="majorHAnsi"/>
          <w:spacing w:val="-9"/>
          <w:sz w:val="20"/>
          <w:szCs w:val="20"/>
        </w:rPr>
        <w:t xml:space="preserve"> </w:t>
      </w:r>
      <w:r w:rsidRPr="000977F7">
        <w:rPr>
          <w:rFonts w:asciiTheme="majorHAnsi" w:hAnsiTheme="majorHAnsi"/>
          <w:sz w:val="20"/>
          <w:szCs w:val="20"/>
        </w:rPr>
        <w:t>й</w:t>
      </w:r>
      <w:r w:rsidRPr="000977F7">
        <w:rPr>
          <w:rFonts w:asciiTheme="majorHAnsi" w:hAnsiTheme="majorHAnsi"/>
          <w:spacing w:val="-13"/>
          <w:sz w:val="20"/>
          <w:szCs w:val="20"/>
        </w:rPr>
        <w:t xml:space="preserve"> </w:t>
      </w:r>
      <w:r w:rsidRPr="000977F7">
        <w:rPr>
          <w:rFonts w:asciiTheme="majorHAnsi" w:hAnsiTheme="majorHAnsi"/>
          <w:sz w:val="20"/>
          <w:szCs w:val="20"/>
        </w:rPr>
        <w:t>того</w:t>
      </w:r>
      <w:r w:rsidRPr="000977F7">
        <w:rPr>
          <w:rFonts w:asciiTheme="majorHAnsi" w:hAnsiTheme="majorHAnsi"/>
          <w:spacing w:val="-47"/>
          <w:sz w:val="20"/>
          <w:szCs w:val="20"/>
        </w:rPr>
        <w:t xml:space="preserve"> </w:t>
      </w:r>
      <w:r w:rsidRPr="000977F7">
        <w:rPr>
          <w:rFonts w:asciiTheme="majorHAnsi" w:hAnsiTheme="majorHAnsi"/>
          <w:spacing w:val="-4"/>
          <w:sz w:val="20"/>
          <w:szCs w:val="20"/>
        </w:rPr>
        <w:t>ж періоду терміну служби об’єктів, що випробовуються</w:t>
      </w:r>
    </w:p>
    <w:p w14:paraId="453C275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 ДСТУ 3021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FBD0ED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КОЕФІЦІЄНТ</w:t>
      </w:r>
      <w:r w:rsidRPr="000977F7">
        <w:rPr>
          <w:color w:val="auto"/>
          <w:spacing w:val="-10"/>
          <w:sz w:val="20"/>
          <w:szCs w:val="20"/>
        </w:rPr>
        <w:t xml:space="preserve"> </w:t>
      </w:r>
      <w:r w:rsidRPr="000977F7">
        <w:rPr>
          <w:color w:val="auto"/>
          <w:sz w:val="20"/>
          <w:szCs w:val="20"/>
        </w:rPr>
        <w:t>ПРИСКОРЕННЯ</w:t>
      </w:r>
      <w:r w:rsidRPr="000977F7">
        <w:rPr>
          <w:color w:val="auto"/>
          <w:spacing w:val="-8"/>
          <w:sz w:val="20"/>
          <w:szCs w:val="20"/>
        </w:rPr>
        <w:t xml:space="preserve"> </w:t>
      </w:r>
      <w:r w:rsidRPr="000977F7">
        <w:rPr>
          <w:color w:val="auto"/>
          <w:sz w:val="20"/>
          <w:szCs w:val="20"/>
        </w:rPr>
        <w:t>ПАРАМЕТРА</w:t>
      </w:r>
      <w:r w:rsidRPr="000977F7">
        <w:rPr>
          <w:color w:val="auto"/>
          <w:spacing w:val="-47"/>
          <w:sz w:val="20"/>
          <w:szCs w:val="20"/>
        </w:rPr>
        <w:t xml:space="preserve"> </w:t>
      </w:r>
      <w:r w:rsidRPr="000977F7">
        <w:rPr>
          <w:color w:val="auto"/>
          <w:sz w:val="20"/>
          <w:szCs w:val="20"/>
        </w:rPr>
        <w:t>ПОТОКУ</w:t>
      </w:r>
      <w:r w:rsidRPr="000977F7">
        <w:rPr>
          <w:color w:val="auto"/>
          <w:spacing w:val="-2"/>
          <w:sz w:val="20"/>
          <w:szCs w:val="20"/>
        </w:rPr>
        <w:t xml:space="preserve"> </w:t>
      </w:r>
      <w:r w:rsidRPr="000977F7">
        <w:rPr>
          <w:color w:val="auto"/>
          <w:sz w:val="20"/>
          <w:szCs w:val="20"/>
        </w:rPr>
        <w:t>ВІДМОВ –</w:t>
      </w:r>
    </w:p>
    <w:p w14:paraId="02F0163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FAILURE</w:t>
      </w:r>
      <w:r w:rsidRPr="004D2D14">
        <w:rPr>
          <w:rFonts w:asciiTheme="majorHAnsi" w:hAnsiTheme="majorHAnsi"/>
          <w:spacing w:val="-4"/>
          <w:sz w:val="20"/>
          <w:szCs w:val="20"/>
          <w:lang w:val="uk-UA"/>
        </w:rPr>
        <w:t xml:space="preserve"> </w:t>
      </w:r>
      <w:r w:rsidRPr="000977F7">
        <w:rPr>
          <w:rFonts w:asciiTheme="majorHAnsi" w:hAnsiTheme="majorHAnsi"/>
          <w:sz w:val="20"/>
          <w:szCs w:val="20"/>
        </w:rPr>
        <w:t>INTENSITY</w:t>
      </w:r>
      <w:r w:rsidRPr="004D2D14">
        <w:rPr>
          <w:rFonts w:asciiTheme="majorHAnsi" w:hAnsiTheme="majorHAnsi"/>
          <w:spacing w:val="-4"/>
          <w:sz w:val="20"/>
          <w:szCs w:val="20"/>
          <w:lang w:val="uk-UA"/>
        </w:rPr>
        <w:t xml:space="preserve"> </w:t>
      </w:r>
      <w:r w:rsidRPr="000977F7">
        <w:rPr>
          <w:rFonts w:asciiTheme="majorHAnsi" w:hAnsiTheme="majorHAnsi"/>
          <w:sz w:val="20"/>
          <w:szCs w:val="20"/>
        </w:rPr>
        <w:t>ACCELERATION</w:t>
      </w:r>
      <w:r w:rsidRPr="004D2D14">
        <w:rPr>
          <w:rFonts w:asciiTheme="majorHAnsi" w:hAnsiTheme="majorHAnsi"/>
          <w:spacing w:val="-3"/>
          <w:sz w:val="20"/>
          <w:szCs w:val="20"/>
          <w:lang w:val="uk-UA"/>
        </w:rPr>
        <w:t xml:space="preserve"> </w:t>
      </w:r>
      <w:r w:rsidRPr="000977F7">
        <w:rPr>
          <w:rFonts w:asciiTheme="majorHAnsi" w:hAnsiTheme="majorHAnsi"/>
          <w:sz w:val="20"/>
          <w:szCs w:val="20"/>
        </w:rPr>
        <w:t>FACTOR</w:t>
      </w:r>
      <w:r w:rsidRPr="004D2D14">
        <w:rPr>
          <w:rFonts w:asciiTheme="majorHAnsi" w:hAnsiTheme="majorHAnsi"/>
          <w:sz w:val="20"/>
          <w:szCs w:val="20"/>
          <w:lang w:val="uk-UA"/>
        </w:rPr>
        <w:t xml:space="preserve"> </w:t>
      </w:r>
    </w:p>
    <w:p w14:paraId="4F91255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Відношення одержаних при двох різних рівнях зовнішніх діючих чинників кількостей відмов відновлюваного об’єкта, який випробовують протягом інтервалу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часу, встановленого залежно від фіксованого терміну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служби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об’єкта</w:t>
      </w:r>
    </w:p>
    <w:p w14:paraId="0E51F032"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2860</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78786F2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КОЕФІЦІЄНТ ПРОПОРЦІЙНОСТІ </w:t>
      </w:r>
    </w:p>
    <w:p w14:paraId="3F4C0AF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ВИРОБНИЦ</w:t>
      </w:r>
      <w:r w:rsidRPr="000977F7">
        <w:rPr>
          <w:color w:val="auto"/>
          <w:spacing w:val="-47"/>
          <w:sz w:val="20"/>
          <w:szCs w:val="20"/>
        </w:rPr>
        <w:t xml:space="preserve"> </w:t>
      </w:r>
      <w:r w:rsidRPr="000977F7">
        <w:rPr>
          <w:color w:val="auto"/>
          <w:sz w:val="20"/>
          <w:szCs w:val="20"/>
        </w:rPr>
        <w:t>ТВА</w:t>
      </w:r>
      <w:r w:rsidRPr="000977F7">
        <w:rPr>
          <w:color w:val="auto"/>
          <w:spacing w:val="-1"/>
          <w:sz w:val="20"/>
          <w:szCs w:val="20"/>
        </w:rPr>
        <w:t xml:space="preserve"> </w:t>
      </w:r>
      <w:r w:rsidRPr="000977F7">
        <w:rPr>
          <w:color w:val="auto"/>
          <w:sz w:val="20"/>
          <w:szCs w:val="20"/>
        </w:rPr>
        <w:t>–</w:t>
      </w:r>
    </w:p>
    <w:p w14:paraId="634DBF1B"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Показник, що визначається як відношення виробничої</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потужності</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даного</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виробничого</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підрозділу</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3"/>
          <w:sz w:val="20"/>
          <w:szCs w:val="20"/>
          <w:lang w:val="uk-UA"/>
        </w:rPr>
        <w:t xml:space="preserve"> </w:t>
      </w:r>
      <w:r w:rsidRPr="004D2D14">
        <w:rPr>
          <w:rFonts w:asciiTheme="majorHAnsi" w:hAnsiTheme="majorHAnsi"/>
          <w:sz w:val="20"/>
          <w:szCs w:val="20"/>
          <w:lang w:val="uk-UA"/>
        </w:rPr>
        <w:t>устаткування до виробничої потужності провідної ланки</w:t>
      </w:r>
    </w:p>
    <w:p w14:paraId="38A9680B"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60943C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КОЕФІЦІЄНТ ПУЛЬСАЦІЇ НАПРУГИ </w:t>
      </w:r>
    </w:p>
    <w:p w14:paraId="3C7A756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(СТРУ</w:t>
      </w:r>
      <w:r w:rsidRPr="000977F7">
        <w:rPr>
          <w:color w:val="auto"/>
          <w:spacing w:val="-47"/>
          <w:sz w:val="20"/>
          <w:szCs w:val="20"/>
        </w:rPr>
        <w:t xml:space="preserve"> </w:t>
      </w:r>
      <w:r w:rsidRPr="000977F7">
        <w:rPr>
          <w:color w:val="auto"/>
          <w:sz w:val="20"/>
          <w:szCs w:val="20"/>
        </w:rPr>
        <w:t>МУ)</w:t>
      </w:r>
      <w:r w:rsidRPr="000977F7">
        <w:rPr>
          <w:color w:val="auto"/>
          <w:spacing w:val="-1"/>
          <w:sz w:val="20"/>
          <w:szCs w:val="20"/>
        </w:rPr>
        <w:t xml:space="preserve"> </w:t>
      </w:r>
      <w:r w:rsidRPr="000977F7">
        <w:rPr>
          <w:color w:val="auto"/>
          <w:sz w:val="20"/>
          <w:szCs w:val="20"/>
        </w:rPr>
        <w:t>—</w:t>
      </w:r>
    </w:p>
    <w:p w14:paraId="40F69BCD" w14:textId="77777777" w:rsidR="0097612F" w:rsidRPr="004D2D14" w:rsidRDefault="0097612F" w:rsidP="000977F7">
      <w:pPr>
        <w:pStyle w:val="af6"/>
        <w:tabs>
          <w:tab w:val="left" w:pos="284"/>
        </w:tabs>
        <w:spacing w:after="0"/>
        <w:ind w:left="170"/>
        <w:mirrorIndents/>
        <w:jc w:val="both"/>
        <w:rPr>
          <w:rFonts w:asciiTheme="majorHAnsi" w:hAnsiTheme="majorHAnsi"/>
          <w:spacing w:val="-47"/>
          <w:sz w:val="20"/>
          <w:szCs w:val="20"/>
          <w:lang w:val="uk-UA"/>
        </w:rPr>
      </w:pPr>
      <w:r w:rsidRPr="004D2D14">
        <w:rPr>
          <w:rFonts w:asciiTheme="majorHAnsi" w:hAnsiTheme="majorHAnsi"/>
          <w:sz w:val="20"/>
          <w:szCs w:val="20"/>
          <w:lang w:val="uk-UA"/>
        </w:rPr>
        <w:t>Відношення найбільшого значення змінної складової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пульсуючої напруги (струму) до її постійної складової</w:t>
      </w:r>
      <w:r w:rsidRPr="004D2D14">
        <w:rPr>
          <w:rFonts w:asciiTheme="majorHAnsi" w:hAnsiTheme="majorHAnsi"/>
          <w:spacing w:val="-47"/>
          <w:sz w:val="20"/>
          <w:szCs w:val="20"/>
          <w:lang w:val="uk-UA"/>
        </w:rPr>
        <w:t xml:space="preserve"> </w:t>
      </w:r>
    </w:p>
    <w:p w14:paraId="4FC3E7D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9A1A0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метою</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допускається</w:t>
      </w:r>
      <w:r w:rsidRPr="000977F7">
        <w:rPr>
          <w:rFonts w:asciiTheme="majorHAnsi" w:hAnsiTheme="majorHAnsi"/>
          <w:spacing w:val="1"/>
          <w:sz w:val="20"/>
          <w:szCs w:val="20"/>
        </w:rPr>
        <w:t xml:space="preserve"> </w:t>
      </w:r>
      <w:r w:rsidRPr="000977F7">
        <w:rPr>
          <w:rFonts w:asciiTheme="majorHAnsi" w:hAnsiTheme="majorHAnsi"/>
          <w:sz w:val="20"/>
          <w:szCs w:val="20"/>
        </w:rPr>
        <w:t>відносити</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номінальної</w:t>
      </w:r>
      <w:r w:rsidRPr="000977F7">
        <w:rPr>
          <w:rFonts w:asciiTheme="majorHAnsi" w:hAnsiTheme="majorHAnsi"/>
          <w:spacing w:val="-2"/>
          <w:sz w:val="20"/>
          <w:szCs w:val="20"/>
        </w:rPr>
        <w:t xml:space="preserve"> </w:t>
      </w:r>
      <w:r w:rsidRPr="000977F7">
        <w:rPr>
          <w:rFonts w:asciiTheme="majorHAnsi" w:hAnsiTheme="majorHAnsi"/>
          <w:sz w:val="20"/>
          <w:szCs w:val="20"/>
        </w:rPr>
        <w:t>напруги</w:t>
      </w:r>
      <w:r w:rsidRPr="000977F7">
        <w:rPr>
          <w:rFonts w:asciiTheme="majorHAnsi" w:hAnsiTheme="majorHAnsi"/>
          <w:spacing w:val="-1"/>
          <w:sz w:val="20"/>
          <w:szCs w:val="20"/>
        </w:rPr>
        <w:t xml:space="preserve"> </w:t>
      </w:r>
      <w:r w:rsidRPr="000977F7">
        <w:rPr>
          <w:rFonts w:asciiTheme="majorHAnsi" w:hAnsiTheme="majorHAnsi"/>
          <w:sz w:val="20"/>
          <w:szCs w:val="20"/>
        </w:rPr>
        <w:t>(струму)</w:t>
      </w:r>
    </w:p>
    <w:p w14:paraId="3896812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00E663C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КОЕФІЦІЄНТ ПУЛЬСАЦІЇ НАПРУГИ </w:t>
      </w:r>
    </w:p>
    <w:p w14:paraId="218FA21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(СТРУ</w:t>
      </w:r>
      <w:r w:rsidRPr="000977F7">
        <w:rPr>
          <w:color w:val="auto"/>
          <w:spacing w:val="-47"/>
          <w:sz w:val="20"/>
          <w:szCs w:val="20"/>
        </w:rPr>
        <w:t xml:space="preserve"> </w:t>
      </w:r>
      <w:r w:rsidRPr="000977F7">
        <w:rPr>
          <w:color w:val="auto"/>
          <w:sz w:val="20"/>
          <w:szCs w:val="20"/>
        </w:rPr>
        <w:t>МУ)</w:t>
      </w:r>
      <w:r w:rsidRPr="000977F7">
        <w:rPr>
          <w:color w:val="auto"/>
          <w:spacing w:val="-3"/>
          <w:sz w:val="20"/>
          <w:szCs w:val="20"/>
        </w:rPr>
        <w:t xml:space="preserve"> </w:t>
      </w:r>
      <w:r w:rsidRPr="000977F7">
        <w:rPr>
          <w:color w:val="auto"/>
          <w:sz w:val="20"/>
          <w:szCs w:val="20"/>
        </w:rPr>
        <w:t>ЗА</w:t>
      </w:r>
      <w:r w:rsidRPr="000977F7">
        <w:rPr>
          <w:color w:val="auto"/>
          <w:spacing w:val="-1"/>
          <w:sz w:val="20"/>
          <w:szCs w:val="20"/>
        </w:rPr>
        <w:t xml:space="preserve"> </w:t>
      </w:r>
      <w:r w:rsidRPr="000977F7">
        <w:rPr>
          <w:color w:val="auto"/>
          <w:sz w:val="20"/>
          <w:szCs w:val="20"/>
        </w:rPr>
        <w:t>ДІЙОВИМ</w:t>
      </w:r>
      <w:r w:rsidRPr="000977F7">
        <w:rPr>
          <w:color w:val="auto"/>
          <w:spacing w:val="4"/>
          <w:sz w:val="20"/>
          <w:szCs w:val="20"/>
        </w:rPr>
        <w:t xml:space="preserve"> </w:t>
      </w:r>
      <w:r w:rsidRPr="000977F7">
        <w:rPr>
          <w:color w:val="auto"/>
          <w:sz w:val="20"/>
          <w:szCs w:val="20"/>
        </w:rPr>
        <w:t>ЗНАЧЕННЯМ</w:t>
      </w:r>
      <w:r w:rsidRPr="000977F7">
        <w:rPr>
          <w:color w:val="auto"/>
          <w:spacing w:val="4"/>
          <w:sz w:val="20"/>
          <w:szCs w:val="20"/>
        </w:rPr>
        <w:t xml:space="preserve"> </w:t>
      </w:r>
      <w:r w:rsidRPr="000977F7">
        <w:rPr>
          <w:color w:val="auto"/>
          <w:sz w:val="20"/>
          <w:szCs w:val="20"/>
        </w:rPr>
        <w:t>—</w:t>
      </w:r>
    </w:p>
    <w:p w14:paraId="1E4B08EE" w14:textId="77777777" w:rsidR="0097612F" w:rsidRPr="000977F7" w:rsidRDefault="0097612F" w:rsidP="000977F7">
      <w:pPr>
        <w:pStyle w:val="af6"/>
        <w:tabs>
          <w:tab w:val="left" w:pos="284"/>
        </w:tabs>
        <w:spacing w:after="0"/>
        <w:ind w:left="170"/>
        <w:mirrorIndents/>
        <w:jc w:val="both"/>
        <w:rPr>
          <w:rFonts w:asciiTheme="majorHAnsi" w:hAnsiTheme="majorHAnsi"/>
          <w:spacing w:val="-3"/>
          <w:sz w:val="20"/>
          <w:szCs w:val="20"/>
        </w:rPr>
      </w:pPr>
      <w:r w:rsidRPr="000977F7">
        <w:rPr>
          <w:rFonts w:asciiTheme="majorHAnsi" w:hAnsiTheme="majorHAnsi"/>
          <w:spacing w:val="-2"/>
          <w:sz w:val="20"/>
          <w:szCs w:val="20"/>
        </w:rPr>
        <w:t>Відношення</w:t>
      </w:r>
      <w:r w:rsidRPr="000977F7">
        <w:rPr>
          <w:rFonts w:asciiTheme="majorHAnsi" w:hAnsiTheme="majorHAnsi"/>
          <w:sz w:val="20"/>
          <w:szCs w:val="20"/>
        </w:rPr>
        <w:t xml:space="preserve"> </w:t>
      </w:r>
      <w:r w:rsidRPr="000977F7">
        <w:rPr>
          <w:rFonts w:asciiTheme="majorHAnsi" w:hAnsiTheme="majorHAnsi"/>
          <w:spacing w:val="-1"/>
          <w:sz w:val="20"/>
          <w:szCs w:val="20"/>
        </w:rPr>
        <w:t>дійового</w:t>
      </w:r>
      <w:r w:rsidRPr="000977F7">
        <w:rPr>
          <w:rFonts w:asciiTheme="majorHAnsi" w:hAnsiTheme="majorHAnsi"/>
          <w:sz w:val="20"/>
          <w:szCs w:val="20"/>
        </w:rPr>
        <w:t xml:space="preserve"> </w:t>
      </w:r>
      <w:r w:rsidRPr="000977F7">
        <w:rPr>
          <w:rFonts w:asciiTheme="majorHAnsi" w:hAnsiTheme="majorHAnsi"/>
          <w:spacing w:val="-1"/>
          <w:sz w:val="20"/>
          <w:szCs w:val="20"/>
        </w:rPr>
        <w:t>значення</w:t>
      </w:r>
      <w:r w:rsidRPr="000977F7">
        <w:rPr>
          <w:rFonts w:asciiTheme="majorHAnsi" w:hAnsiTheme="majorHAnsi"/>
          <w:spacing w:val="-2"/>
          <w:sz w:val="20"/>
          <w:szCs w:val="20"/>
        </w:rPr>
        <w:t xml:space="preserve"> </w:t>
      </w:r>
      <w:r w:rsidRPr="000977F7">
        <w:rPr>
          <w:rFonts w:asciiTheme="majorHAnsi" w:hAnsiTheme="majorHAnsi"/>
          <w:spacing w:val="-1"/>
          <w:sz w:val="20"/>
          <w:szCs w:val="20"/>
        </w:rPr>
        <w:t>змінної складової</w:t>
      </w:r>
      <w:r w:rsidRPr="000977F7">
        <w:rPr>
          <w:rFonts w:asciiTheme="majorHAnsi" w:hAnsiTheme="majorHAnsi"/>
          <w:sz w:val="20"/>
          <w:szCs w:val="20"/>
        </w:rPr>
        <w:t xml:space="preserve"> </w:t>
      </w:r>
      <w:r w:rsidRPr="000977F7">
        <w:rPr>
          <w:rFonts w:asciiTheme="majorHAnsi" w:hAnsiTheme="majorHAnsi"/>
          <w:spacing w:val="-1"/>
          <w:sz w:val="20"/>
          <w:szCs w:val="20"/>
        </w:rPr>
        <w:t>пуль</w:t>
      </w:r>
      <w:r w:rsidRPr="000977F7">
        <w:rPr>
          <w:rFonts w:asciiTheme="majorHAnsi" w:hAnsiTheme="majorHAnsi"/>
          <w:spacing w:val="-4"/>
          <w:sz w:val="20"/>
          <w:szCs w:val="20"/>
        </w:rPr>
        <w:t>суючої напруги (струму) до його постійної складової</w:t>
      </w:r>
      <w:r w:rsidRPr="000977F7">
        <w:rPr>
          <w:rFonts w:asciiTheme="majorHAnsi" w:hAnsiTheme="majorHAnsi"/>
          <w:spacing w:val="-3"/>
          <w:sz w:val="20"/>
          <w:szCs w:val="20"/>
        </w:rPr>
        <w:t xml:space="preserve"> </w:t>
      </w:r>
    </w:p>
    <w:p w14:paraId="3FA261F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5396596D" w14:textId="77777777" w:rsidR="0097612F" w:rsidRPr="000977F7" w:rsidRDefault="0097612F" w:rsidP="000977F7">
      <w:pPr>
        <w:pStyle w:val="7"/>
        <w:tabs>
          <w:tab w:val="left" w:pos="284"/>
        </w:tabs>
        <w:spacing w:before="0" w:line="240" w:lineRule="auto"/>
        <w:ind w:left="170"/>
        <w:mirrorIndents/>
        <w:jc w:val="both"/>
        <w:rPr>
          <w:color w:val="auto"/>
          <w:spacing w:val="-4"/>
          <w:sz w:val="20"/>
          <w:szCs w:val="20"/>
        </w:rPr>
      </w:pPr>
      <w:r w:rsidRPr="000977F7">
        <w:rPr>
          <w:color w:val="auto"/>
          <w:sz w:val="20"/>
          <w:szCs w:val="20"/>
        </w:rPr>
        <w:t>КОЕФІЦІЄНТ</w:t>
      </w:r>
      <w:r w:rsidRPr="000977F7">
        <w:rPr>
          <w:color w:val="auto"/>
          <w:spacing w:val="-7"/>
          <w:sz w:val="20"/>
          <w:szCs w:val="20"/>
        </w:rPr>
        <w:t xml:space="preserve"> </w:t>
      </w:r>
      <w:r w:rsidRPr="000977F7">
        <w:rPr>
          <w:color w:val="auto"/>
          <w:sz w:val="20"/>
          <w:szCs w:val="20"/>
        </w:rPr>
        <w:t>ПУЛЬСАЦІЇ</w:t>
      </w:r>
      <w:r w:rsidRPr="000977F7">
        <w:rPr>
          <w:color w:val="auto"/>
          <w:spacing w:val="-6"/>
          <w:sz w:val="20"/>
          <w:szCs w:val="20"/>
        </w:rPr>
        <w:t xml:space="preserve"> </w:t>
      </w:r>
      <w:r w:rsidRPr="000977F7">
        <w:rPr>
          <w:color w:val="auto"/>
          <w:sz w:val="20"/>
          <w:szCs w:val="20"/>
        </w:rPr>
        <w:t>НАПРУГИ</w:t>
      </w:r>
      <w:r w:rsidRPr="000977F7">
        <w:rPr>
          <w:color w:val="auto"/>
          <w:spacing w:val="-4"/>
          <w:sz w:val="20"/>
          <w:szCs w:val="20"/>
        </w:rPr>
        <w:t xml:space="preserve"> </w:t>
      </w:r>
    </w:p>
    <w:p w14:paraId="49F18E6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(СТРУ</w:t>
      </w:r>
      <w:r w:rsidRPr="000977F7">
        <w:rPr>
          <w:color w:val="auto"/>
          <w:spacing w:val="-47"/>
          <w:sz w:val="20"/>
          <w:szCs w:val="20"/>
        </w:rPr>
        <w:t xml:space="preserve"> </w:t>
      </w:r>
      <w:r w:rsidRPr="000977F7">
        <w:rPr>
          <w:color w:val="auto"/>
          <w:sz w:val="20"/>
          <w:szCs w:val="20"/>
        </w:rPr>
        <w:t>МУ)</w:t>
      </w:r>
      <w:r w:rsidRPr="000977F7">
        <w:rPr>
          <w:color w:val="auto"/>
          <w:spacing w:val="-3"/>
          <w:sz w:val="20"/>
          <w:szCs w:val="20"/>
        </w:rPr>
        <w:t xml:space="preserve"> </w:t>
      </w:r>
      <w:r w:rsidRPr="000977F7">
        <w:rPr>
          <w:color w:val="auto"/>
          <w:sz w:val="20"/>
          <w:szCs w:val="20"/>
        </w:rPr>
        <w:t>ЗА</w:t>
      </w:r>
      <w:r w:rsidRPr="000977F7">
        <w:rPr>
          <w:color w:val="auto"/>
          <w:spacing w:val="-1"/>
          <w:sz w:val="20"/>
          <w:szCs w:val="20"/>
        </w:rPr>
        <w:t xml:space="preserve"> </w:t>
      </w:r>
      <w:r w:rsidRPr="000977F7">
        <w:rPr>
          <w:color w:val="auto"/>
          <w:sz w:val="20"/>
          <w:szCs w:val="20"/>
        </w:rPr>
        <w:t>СЕРЕДНІМ</w:t>
      </w:r>
      <w:r w:rsidRPr="000977F7">
        <w:rPr>
          <w:color w:val="auto"/>
          <w:spacing w:val="4"/>
          <w:sz w:val="20"/>
          <w:szCs w:val="20"/>
        </w:rPr>
        <w:t xml:space="preserve"> </w:t>
      </w:r>
      <w:r w:rsidRPr="000977F7">
        <w:rPr>
          <w:color w:val="auto"/>
          <w:sz w:val="20"/>
          <w:szCs w:val="20"/>
        </w:rPr>
        <w:t>ЗНАЧЕННЯМ</w:t>
      </w:r>
      <w:r w:rsidRPr="000977F7">
        <w:rPr>
          <w:color w:val="auto"/>
          <w:spacing w:val="3"/>
          <w:sz w:val="20"/>
          <w:szCs w:val="20"/>
        </w:rPr>
        <w:t xml:space="preserve"> </w:t>
      </w:r>
      <w:r w:rsidRPr="000977F7">
        <w:rPr>
          <w:color w:val="auto"/>
          <w:sz w:val="20"/>
          <w:szCs w:val="20"/>
        </w:rPr>
        <w:t>—</w:t>
      </w:r>
    </w:p>
    <w:p w14:paraId="52F0DD28"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Відношення</w:t>
      </w:r>
      <w:r w:rsidRPr="000977F7">
        <w:rPr>
          <w:rFonts w:asciiTheme="majorHAnsi" w:hAnsiTheme="majorHAnsi"/>
          <w:spacing w:val="1"/>
          <w:sz w:val="20"/>
          <w:szCs w:val="20"/>
        </w:rPr>
        <w:t xml:space="preserve"> </w:t>
      </w:r>
      <w:r w:rsidRPr="000977F7">
        <w:rPr>
          <w:rFonts w:asciiTheme="majorHAnsi" w:hAnsiTheme="majorHAnsi"/>
          <w:sz w:val="20"/>
          <w:szCs w:val="20"/>
        </w:rPr>
        <w:t>середнього</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змінної</w:t>
      </w:r>
      <w:r w:rsidRPr="000977F7">
        <w:rPr>
          <w:rFonts w:asciiTheme="majorHAnsi" w:hAnsiTheme="majorHAnsi"/>
          <w:spacing w:val="1"/>
          <w:sz w:val="20"/>
          <w:szCs w:val="20"/>
        </w:rPr>
        <w:t xml:space="preserve"> </w:t>
      </w:r>
      <w:r w:rsidRPr="000977F7">
        <w:rPr>
          <w:rFonts w:asciiTheme="majorHAnsi" w:hAnsiTheme="majorHAnsi"/>
          <w:sz w:val="20"/>
          <w:szCs w:val="20"/>
        </w:rPr>
        <w:t>складової</w:t>
      </w:r>
      <w:r w:rsidRPr="000977F7">
        <w:rPr>
          <w:rFonts w:asciiTheme="majorHAnsi" w:hAnsiTheme="majorHAnsi"/>
          <w:spacing w:val="1"/>
          <w:sz w:val="20"/>
          <w:szCs w:val="20"/>
        </w:rPr>
        <w:t xml:space="preserve"> </w:t>
      </w:r>
      <w:r w:rsidRPr="000977F7">
        <w:rPr>
          <w:rFonts w:asciiTheme="majorHAnsi" w:hAnsiTheme="majorHAnsi"/>
          <w:sz w:val="20"/>
          <w:szCs w:val="20"/>
        </w:rPr>
        <w:t>пульсуючої напруги (струму) до її постійної складової</w:t>
      </w:r>
      <w:r w:rsidRPr="000977F7">
        <w:rPr>
          <w:rFonts w:asciiTheme="majorHAnsi" w:hAnsiTheme="majorHAnsi"/>
          <w:spacing w:val="-47"/>
          <w:sz w:val="20"/>
          <w:szCs w:val="20"/>
        </w:rPr>
        <w:t xml:space="preserve"> </w:t>
      </w:r>
    </w:p>
    <w:p w14:paraId="7D613C44"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1651FCC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КОЕФІЦІЄНТ</w:t>
      </w:r>
      <w:r w:rsidRPr="000977F7">
        <w:rPr>
          <w:color w:val="auto"/>
          <w:spacing w:val="-6"/>
          <w:sz w:val="20"/>
          <w:szCs w:val="20"/>
        </w:rPr>
        <w:t xml:space="preserve"> </w:t>
      </w:r>
      <w:r w:rsidRPr="000977F7">
        <w:rPr>
          <w:color w:val="auto"/>
          <w:sz w:val="20"/>
          <w:szCs w:val="20"/>
        </w:rPr>
        <w:t>РЕГРЕСІЇ</w:t>
      </w:r>
      <w:r w:rsidRPr="000977F7">
        <w:rPr>
          <w:color w:val="auto"/>
          <w:spacing w:val="-2"/>
          <w:sz w:val="20"/>
          <w:szCs w:val="20"/>
        </w:rPr>
        <w:t xml:space="preserve"> </w:t>
      </w:r>
      <w:r w:rsidRPr="000977F7">
        <w:rPr>
          <w:color w:val="auto"/>
          <w:sz w:val="20"/>
          <w:szCs w:val="20"/>
        </w:rPr>
        <w:t>–</w:t>
      </w:r>
    </w:p>
    <w:p w14:paraId="625A624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Параметр</w:t>
      </w:r>
      <w:r w:rsidRPr="000977F7">
        <w:rPr>
          <w:rFonts w:asciiTheme="majorHAnsi" w:hAnsiTheme="majorHAnsi"/>
          <w:spacing w:val="-3"/>
          <w:sz w:val="20"/>
          <w:szCs w:val="20"/>
        </w:rPr>
        <w:t xml:space="preserve"> </w:t>
      </w:r>
      <w:r w:rsidRPr="000977F7">
        <w:rPr>
          <w:rFonts w:asciiTheme="majorHAnsi" w:hAnsiTheme="majorHAnsi"/>
          <w:sz w:val="20"/>
          <w:szCs w:val="20"/>
        </w:rPr>
        <w:t>моделі</w:t>
      </w:r>
      <w:r w:rsidRPr="000977F7">
        <w:rPr>
          <w:rFonts w:asciiTheme="majorHAnsi" w:hAnsiTheme="majorHAnsi"/>
          <w:spacing w:val="-4"/>
          <w:sz w:val="20"/>
          <w:szCs w:val="20"/>
        </w:rPr>
        <w:t xml:space="preserve"> </w:t>
      </w:r>
      <w:r w:rsidRPr="000977F7">
        <w:rPr>
          <w:rFonts w:asciiTheme="majorHAnsi" w:hAnsiTheme="majorHAnsi"/>
          <w:sz w:val="20"/>
          <w:szCs w:val="20"/>
        </w:rPr>
        <w:t>регресійного</w:t>
      </w:r>
      <w:r w:rsidRPr="000977F7">
        <w:rPr>
          <w:rFonts w:asciiTheme="majorHAnsi" w:hAnsiTheme="majorHAnsi"/>
          <w:spacing w:val="-3"/>
          <w:sz w:val="20"/>
          <w:szCs w:val="20"/>
        </w:rPr>
        <w:t xml:space="preserve"> </w:t>
      </w:r>
      <w:r w:rsidRPr="000977F7">
        <w:rPr>
          <w:rFonts w:asciiTheme="majorHAnsi" w:hAnsiTheme="majorHAnsi"/>
          <w:sz w:val="20"/>
          <w:szCs w:val="20"/>
        </w:rPr>
        <w:t>аналізу</w:t>
      </w:r>
    </w:p>
    <w:p w14:paraId="4079731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107" w:name="_Hlk101073456"/>
      <w:r w:rsidRPr="000977F7">
        <w:rPr>
          <w:color w:val="auto"/>
          <w:sz w:val="20"/>
          <w:szCs w:val="20"/>
        </w:rPr>
        <w:t>КОЕФІЦІЄНТ</w:t>
      </w:r>
      <w:r w:rsidRPr="000977F7">
        <w:rPr>
          <w:color w:val="auto"/>
          <w:spacing w:val="-5"/>
          <w:sz w:val="20"/>
          <w:szCs w:val="20"/>
        </w:rPr>
        <w:t xml:space="preserve"> </w:t>
      </w:r>
      <w:r w:rsidRPr="000977F7">
        <w:rPr>
          <w:color w:val="auto"/>
          <w:sz w:val="20"/>
          <w:szCs w:val="20"/>
        </w:rPr>
        <w:t>РЕЗОНАНСУ</w:t>
      </w:r>
      <w:r w:rsidRPr="000977F7">
        <w:rPr>
          <w:color w:val="auto"/>
          <w:spacing w:val="-1"/>
          <w:sz w:val="20"/>
          <w:szCs w:val="20"/>
        </w:rPr>
        <w:t xml:space="preserve"> </w:t>
      </w:r>
      <w:r w:rsidRPr="000977F7">
        <w:rPr>
          <w:color w:val="auto"/>
          <w:sz w:val="20"/>
          <w:szCs w:val="20"/>
        </w:rPr>
        <w:t>-</w:t>
      </w:r>
    </w:p>
    <w:p w14:paraId="0E42359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RESONANCE</w:t>
      </w:r>
      <w:r w:rsidRPr="000977F7">
        <w:rPr>
          <w:rFonts w:asciiTheme="majorHAnsi" w:hAnsiTheme="majorHAnsi"/>
          <w:spacing w:val="-2"/>
          <w:sz w:val="20"/>
          <w:szCs w:val="20"/>
        </w:rPr>
        <w:t xml:space="preserve"> </w:t>
      </w:r>
      <w:r w:rsidRPr="000977F7">
        <w:rPr>
          <w:rFonts w:asciiTheme="majorHAnsi" w:hAnsiTheme="majorHAnsi"/>
          <w:sz w:val="20"/>
          <w:szCs w:val="20"/>
        </w:rPr>
        <w:t>COEFFICIENT –</w:t>
      </w:r>
    </w:p>
    <w:bookmarkEnd w:id="107"/>
    <w:p w14:paraId="1D0FC19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значення модуля частотної передавальної</w:t>
      </w:r>
      <w:r w:rsidRPr="000977F7">
        <w:rPr>
          <w:rFonts w:asciiTheme="majorHAnsi" w:hAnsiTheme="majorHAnsi"/>
          <w:spacing w:val="-47"/>
          <w:sz w:val="20"/>
          <w:szCs w:val="20"/>
        </w:rPr>
        <w:t xml:space="preserve"> </w:t>
      </w:r>
      <w:r w:rsidRPr="000977F7">
        <w:rPr>
          <w:rFonts w:asciiTheme="majorHAnsi" w:hAnsiTheme="majorHAnsi"/>
          <w:sz w:val="20"/>
          <w:szCs w:val="20"/>
        </w:rPr>
        <w:t>функції за резонансної частоти до значення цього самого модуля</w:t>
      </w:r>
      <w:r w:rsidRPr="000977F7">
        <w:rPr>
          <w:rFonts w:asciiTheme="majorHAnsi" w:hAnsiTheme="majorHAnsi"/>
          <w:spacing w:val="-2"/>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частоти,</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дорівнює нулю</w:t>
      </w:r>
    </w:p>
    <w:p w14:paraId="0081C959"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1"/>
          <w:sz w:val="20"/>
          <w:szCs w:val="20"/>
        </w:rPr>
        <w:t xml:space="preserve"> </w:t>
      </w:r>
      <w:r w:rsidRPr="000977F7">
        <w:rPr>
          <w:rFonts w:asciiTheme="majorHAnsi" w:hAnsiTheme="majorHAnsi"/>
          <w:i/>
          <w:iCs/>
          <w:sz w:val="20"/>
          <w:szCs w:val="20"/>
        </w:rPr>
        <w:t>3956</w:t>
      </w:r>
      <w:r w:rsidRPr="000977F7">
        <w:rPr>
          <w:rFonts w:asciiTheme="majorHAnsi" w:hAnsiTheme="majorHAnsi"/>
          <w:i/>
          <w:iCs/>
          <w:spacing w:val="1"/>
          <w:sz w:val="20"/>
          <w:szCs w:val="20"/>
        </w:rPr>
        <w:t xml:space="preserve"> - </w:t>
      </w:r>
      <w:r w:rsidRPr="000977F7">
        <w:rPr>
          <w:rFonts w:asciiTheme="majorHAnsi" w:hAnsiTheme="majorHAnsi"/>
          <w:i/>
          <w:iCs/>
          <w:sz w:val="20"/>
          <w:szCs w:val="20"/>
        </w:rPr>
        <w:t>2000</w:t>
      </w:r>
    </w:p>
    <w:p w14:paraId="0E15FD8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КОЕФІЦІЄНТ СПОТВОРЕННЯ </w:t>
      </w:r>
    </w:p>
    <w:p w14:paraId="7CAAEAB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СИНУСОЇДНО</w:t>
      </w:r>
      <w:r w:rsidRPr="000977F7">
        <w:rPr>
          <w:color w:val="auto"/>
          <w:spacing w:val="-47"/>
          <w:sz w:val="20"/>
          <w:szCs w:val="20"/>
        </w:rPr>
        <w:t xml:space="preserve"> </w:t>
      </w:r>
      <w:r w:rsidRPr="000977F7">
        <w:rPr>
          <w:color w:val="auto"/>
          <w:sz w:val="20"/>
          <w:szCs w:val="20"/>
        </w:rPr>
        <w:t>СТІ</w:t>
      </w:r>
      <w:r w:rsidRPr="000977F7">
        <w:rPr>
          <w:color w:val="auto"/>
          <w:spacing w:val="-2"/>
          <w:sz w:val="20"/>
          <w:szCs w:val="20"/>
        </w:rPr>
        <w:t xml:space="preserve"> </w:t>
      </w:r>
      <w:r w:rsidRPr="000977F7">
        <w:rPr>
          <w:color w:val="auto"/>
          <w:sz w:val="20"/>
          <w:szCs w:val="20"/>
        </w:rPr>
        <w:t>КРИВОЇ</w:t>
      </w:r>
      <w:r w:rsidRPr="000977F7">
        <w:rPr>
          <w:color w:val="auto"/>
          <w:spacing w:val="-1"/>
          <w:sz w:val="20"/>
          <w:szCs w:val="20"/>
        </w:rPr>
        <w:t xml:space="preserve"> </w:t>
      </w:r>
      <w:r w:rsidRPr="000977F7">
        <w:rPr>
          <w:color w:val="auto"/>
          <w:sz w:val="20"/>
          <w:szCs w:val="20"/>
        </w:rPr>
        <w:t>НАПРУГИ (СТРУМУ)</w:t>
      </w:r>
      <w:r w:rsidRPr="000977F7">
        <w:rPr>
          <w:color w:val="auto"/>
          <w:spacing w:val="1"/>
          <w:sz w:val="20"/>
          <w:szCs w:val="20"/>
        </w:rPr>
        <w:t xml:space="preserve"> </w:t>
      </w:r>
      <w:r w:rsidRPr="000977F7">
        <w:rPr>
          <w:color w:val="auto"/>
          <w:sz w:val="20"/>
          <w:szCs w:val="20"/>
        </w:rPr>
        <w:t>–</w:t>
      </w:r>
    </w:p>
    <w:p w14:paraId="43FC7F2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дійового значення сукупності вищих гармонік напруг (струмів) до дійового значення напруги</w:t>
      </w:r>
      <w:r w:rsidRPr="000977F7">
        <w:rPr>
          <w:rFonts w:asciiTheme="majorHAnsi" w:hAnsiTheme="majorHAnsi"/>
          <w:spacing w:val="-47"/>
          <w:sz w:val="20"/>
          <w:szCs w:val="20"/>
        </w:rPr>
        <w:t xml:space="preserve"> </w:t>
      </w:r>
      <w:r w:rsidRPr="000977F7">
        <w:rPr>
          <w:rFonts w:asciiTheme="majorHAnsi" w:hAnsiTheme="majorHAnsi"/>
          <w:sz w:val="20"/>
          <w:szCs w:val="20"/>
        </w:rPr>
        <w:t>(струму)</w:t>
      </w:r>
      <w:r w:rsidRPr="000977F7">
        <w:rPr>
          <w:rFonts w:asciiTheme="majorHAnsi" w:hAnsiTheme="majorHAnsi"/>
          <w:spacing w:val="-1"/>
          <w:sz w:val="20"/>
          <w:szCs w:val="20"/>
        </w:rPr>
        <w:t xml:space="preserve"> </w:t>
      </w:r>
      <w:r w:rsidRPr="000977F7">
        <w:rPr>
          <w:rFonts w:asciiTheme="majorHAnsi" w:hAnsiTheme="majorHAnsi"/>
          <w:sz w:val="20"/>
          <w:szCs w:val="20"/>
        </w:rPr>
        <w:t>основної</w:t>
      </w:r>
      <w:r w:rsidRPr="000977F7">
        <w:rPr>
          <w:rFonts w:asciiTheme="majorHAnsi" w:hAnsiTheme="majorHAnsi"/>
          <w:spacing w:val="-1"/>
          <w:sz w:val="20"/>
          <w:szCs w:val="20"/>
        </w:rPr>
        <w:t xml:space="preserve"> </w:t>
      </w:r>
      <w:r w:rsidRPr="000977F7">
        <w:rPr>
          <w:rFonts w:asciiTheme="majorHAnsi" w:hAnsiTheme="majorHAnsi"/>
          <w:sz w:val="20"/>
          <w:szCs w:val="20"/>
        </w:rPr>
        <w:t>гармоніки</w:t>
      </w:r>
    </w:p>
    <w:p w14:paraId="48A71AF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4DC346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 метою стандартизації допускається відносити до</w:t>
      </w:r>
      <w:r w:rsidRPr="000977F7">
        <w:rPr>
          <w:rFonts w:asciiTheme="majorHAnsi" w:hAnsiTheme="majorHAnsi"/>
          <w:spacing w:val="-48"/>
          <w:sz w:val="20"/>
          <w:szCs w:val="20"/>
        </w:rPr>
        <w:t xml:space="preserve"> </w:t>
      </w:r>
      <w:r w:rsidRPr="000977F7">
        <w:rPr>
          <w:rFonts w:asciiTheme="majorHAnsi" w:hAnsiTheme="majorHAnsi"/>
          <w:sz w:val="20"/>
          <w:szCs w:val="20"/>
        </w:rPr>
        <w:t>номінальної</w:t>
      </w:r>
      <w:r w:rsidRPr="000977F7">
        <w:rPr>
          <w:rFonts w:asciiTheme="majorHAnsi" w:hAnsiTheme="majorHAnsi"/>
          <w:spacing w:val="-2"/>
          <w:sz w:val="20"/>
          <w:szCs w:val="20"/>
        </w:rPr>
        <w:t xml:space="preserve"> </w:t>
      </w:r>
      <w:r w:rsidRPr="000977F7">
        <w:rPr>
          <w:rFonts w:asciiTheme="majorHAnsi" w:hAnsiTheme="majorHAnsi"/>
          <w:sz w:val="20"/>
          <w:szCs w:val="20"/>
        </w:rPr>
        <w:t>напруги</w:t>
      </w:r>
      <w:r w:rsidRPr="000977F7">
        <w:rPr>
          <w:rFonts w:asciiTheme="majorHAnsi" w:hAnsiTheme="majorHAnsi"/>
          <w:spacing w:val="-1"/>
          <w:sz w:val="20"/>
          <w:szCs w:val="20"/>
        </w:rPr>
        <w:t xml:space="preserve"> </w:t>
      </w:r>
      <w:r w:rsidRPr="000977F7">
        <w:rPr>
          <w:rFonts w:asciiTheme="majorHAnsi" w:hAnsiTheme="majorHAnsi"/>
          <w:sz w:val="20"/>
          <w:szCs w:val="20"/>
        </w:rPr>
        <w:t>(струму)</w:t>
      </w:r>
    </w:p>
    <w:p w14:paraId="57789B5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48EB9206" w14:textId="77777777" w:rsidR="0097612F" w:rsidRPr="000977F7" w:rsidRDefault="0097612F" w:rsidP="000977F7">
      <w:pPr>
        <w:pStyle w:val="7"/>
        <w:tabs>
          <w:tab w:val="left" w:pos="284"/>
        </w:tabs>
        <w:spacing w:before="0" w:line="240" w:lineRule="auto"/>
        <w:ind w:left="170"/>
        <w:mirrorIndents/>
        <w:jc w:val="both"/>
        <w:rPr>
          <w:color w:val="auto"/>
          <w:spacing w:val="-47"/>
          <w:sz w:val="20"/>
          <w:szCs w:val="20"/>
        </w:rPr>
      </w:pPr>
      <w:r w:rsidRPr="000977F7">
        <w:rPr>
          <w:color w:val="auto"/>
          <w:sz w:val="20"/>
          <w:szCs w:val="20"/>
        </w:rPr>
        <w:t>КОЕФІЦІЄНТ ТЕХНІЧНОГО</w:t>
      </w:r>
      <w:r w:rsidRPr="000977F7">
        <w:rPr>
          <w:color w:val="auto"/>
          <w:spacing w:val="-47"/>
          <w:sz w:val="20"/>
          <w:szCs w:val="20"/>
        </w:rPr>
        <w:t xml:space="preserve">    </w:t>
      </w:r>
    </w:p>
    <w:p w14:paraId="104DC5F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ВИКОРИСТАННЯ</w:t>
      </w:r>
      <w:r w:rsidRPr="000977F7">
        <w:rPr>
          <w:color w:val="auto"/>
          <w:spacing w:val="1"/>
          <w:sz w:val="20"/>
          <w:szCs w:val="20"/>
        </w:rPr>
        <w:t xml:space="preserve"> </w:t>
      </w:r>
      <w:r w:rsidRPr="000977F7">
        <w:rPr>
          <w:color w:val="auto"/>
          <w:sz w:val="20"/>
          <w:szCs w:val="20"/>
        </w:rPr>
        <w:t>–</w:t>
      </w:r>
    </w:p>
    <w:p w14:paraId="12B0BA7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STEADY</w:t>
      </w:r>
      <w:r w:rsidRPr="000977F7">
        <w:rPr>
          <w:rFonts w:asciiTheme="majorHAnsi" w:hAnsiTheme="majorHAnsi"/>
          <w:spacing w:val="-4"/>
          <w:sz w:val="20"/>
          <w:szCs w:val="20"/>
        </w:rPr>
        <w:t xml:space="preserve"> </w:t>
      </w:r>
      <w:r w:rsidRPr="000977F7">
        <w:rPr>
          <w:rFonts w:asciiTheme="majorHAnsi" w:hAnsiTheme="majorHAnsi"/>
          <w:sz w:val="20"/>
          <w:szCs w:val="20"/>
        </w:rPr>
        <w:t>STATE</w:t>
      </w:r>
      <w:r w:rsidRPr="000977F7">
        <w:rPr>
          <w:rFonts w:asciiTheme="majorHAnsi" w:hAnsiTheme="majorHAnsi"/>
          <w:spacing w:val="-3"/>
          <w:sz w:val="20"/>
          <w:szCs w:val="20"/>
        </w:rPr>
        <w:t xml:space="preserve"> </w:t>
      </w:r>
      <w:r w:rsidRPr="000977F7">
        <w:rPr>
          <w:rFonts w:asciiTheme="majorHAnsi" w:hAnsiTheme="majorHAnsi"/>
          <w:sz w:val="20"/>
          <w:szCs w:val="20"/>
        </w:rPr>
        <w:t>AVAILABILITY</w:t>
      </w:r>
      <w:r w:rsidRPr="000977F7">
        <w:rPr>
          <w:rFonts w:asciiTheme="majorHAnsi" w:hAnsiTheme="majorHAnsi"/>
          <w:spacing w:val="-3"/>
          <w:sz w:val="20"/>
          <w:szCs w:val="20"/>
        </w:rPr>
        <w:t xml:space="preserve"> </w:t>
      </w:r>
      <w:r w:rsidRPr="000977F7">
        <w:rPr>
          <w:rFonts w:asciiTheme="majorHAnsi" w:hAnsiTheme="majorHAnsi"/>
          <w:sz w:val="20"/>
          <w:szCs w:val="20"/>
        </w:rPr>
        <w:t>FACTOR –</w:t>
      </w:r>
    </w:p>
    <w:p w14:paraId="20EE85B5"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Відношення</w:t>
      </w:r>
      <w:r w:rsidRPr="000977F7">
        <w:rPr>
          <w:rFonts w:asciiTheme="majorHAnsi" w:hAnsiTheme="majorHAnsi"/>
          <w:spacing w:val="14"/>
          <w:sz w:val="20"/>
          <w:szCs w:val="20"/>
        </w:rPr>
        <w:t xml:space="preserve"> </w:t>
      </w:r>
      <w:r w:rsidRPr="000977F7">
        <w:rPr>
          <w:rFonts w:asciiTheme="majorHAnsi" w:hAnsiTheme="majorHAnsi"/>
          <w:sz w:val="20"/>
          <w:szCs w:val="20"/>
        </w:rPr>
        <w:t>математичного</w:t>
      </w:r>
      <w:r w:rsidRPr="000977F7">
        <w:rPr>
          <w:rFonts w:asciiTheme="majorHAnsi" w:hAnsiTheme="majorHAnsi"/>
          <w:spacing w:val="13"/>
          <w:sz w:val="20"/>
          <w:szCs w:val="20"/>
        </w:rPr>
        <w:t xml:space="preserve"> </w:t>
      </w:r>
      <w:r w:rsidRPr="000977F7">
        <w:rPr>
          <w:rFonts w:asciiTheme="majorHAnsi" w:hAnsiTheme="majorHAnsi"/>
          <w:sz w:val="20"/>
          <w:szCs w:val="20"/>
        </w:rPr>
        <w:t>сподівання</w:t>
      </w:r>
      <w:r w:rsidRPr="000977F7">
        <w:rPr>
          <w:rFonts w:asciiTheme="majorHAnsi" w:hAnsiTheme="majorHAnsi"/>
          <w:spacing w:val="12"/>
          <w:sz w:val="20"/>
          <w:szCs w:val="20"/>
        </w:rPr>
        <w:t xml:space="preserve"> </w:t>
      </w:r>
      <w:r w:rsidRPr="000977F7">
        <w:rPr>
          <w:rFonts w:asciiTheme="majorHAnsi" w:hAnsiTheme="majorHAnsi"/>
          <w:sz w:val="20"/>
          <w:szCs w:val="20"/>
        </w:rPr>
        <w:t>сумарного</w:t>
      </w:r>
      <w:r w:rsidRPr="000977F7">
        <w:rPr>
          <w:rFonts w:asciiTheme="majorHAnsi" w:hAnsiTheme="majorHAnsi"/>
          <w:spacing w:val="-47"/>
          <w:sz w:val="20"/>
          <w:szCs w:val="20"/>
        </w:rPr>
        <w:t xml:space="preserve"> </w:t>
      </w:r>
      <w:r w:rsidRPr="000977F7">
        <w:rPr>
          <w:rFonts w:asciiTheme="majorHAnsi" w:hAnsiTheme="majorHAnsi"/>
          <w:sz w:val="20"/>
          <w:szCs w:val="20"/>
        </w:rPr>
        <w:t>часу</w:t>
      </w:r>
      <w:r w:rsidRPr="000977F7">
        <w:rPr>
          <w:rFonts w:asciiTheme="majorHAnsi" w:hAnsiTheme="majorHAnsi"/>
          <w:spacing w:val="1"/>
          <w:sz w:val="20"/>
          <w:szCs w:val="20"/>
        </w:rPr>
        <w:t xml:space="preserve"> </w:t>
      </w:r>
      <w:r w:rsidRPr="000977F7">
        <w:rPr>
          <w:rFonts w:asciiTheme="majorHAnsi" w:hAnsiTheme="majorHAnsi"/>
          <w:sz w:val="20"/>
          <w:szCs w:val="20"/>
        </w:rPr>
        <w:t>перебування</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працездатному</w:t>
      </w:r>
      <w:r w:rsidRPr="000977F7">
        <w:rPr>
          <w:rFonts w:asciiTheme="majorHAnsi" w:hAnsiTheme="majorHAnsi"/>
          <w:spacing w:val="1"/>
          <w:sz w:val="20"/>
          <w:szCs w:val="20"/>
        </w:rPr>
        <w:t xml:space="preserve"> </w:t>
      </w:r>
      <w:r w:rsidRPr="000977F7">
        <w:rPr>
          <w:rFonts w:asciiTheme="majorHAnsi" w:hAnsiTheme="majorHAnsi"/>
          <w:sz w:val="20"/>
          <w:szCs w:val="20"/>
        </w:rPr>
        <w:t>стані</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47"/>
          <w:sz w:val="20"/>
          <w:szCs w:val="20"/>
        </w:rPr>
        <w:t xml:space="preserve"> </w:t>
      </w:r>
      <w:r w:rsidRPr="000977F7">
        <w:rPr>
          <w:rFonts w:asciiTheme="majorHAnsi" w:hAnsiTheme="majorHAnsi"/>
          <w:sz w:val="20"/>
          <w:szCs w:val="20"/>
        </w:rPr>
        <w:t>деякий</w:t>
      </w:r>
      <w:r w:rsidRPr="000977F7">
        <w:rPr>
          <w:rFonts w:asciiTheme="majorHAnsi" w:hAnsiTheme="majorHAnsi"/>
          <w:spacing w:val="39"/>
          <w:sz w:val="20"/>
          <w:szCs w:val="20"/>
        </w:rPr>
        <w:t xml:space="preserve"> </w:t>
      </w:r>
      <w:r w:rsidRPr="000977F7">
        <w:rPr>
          <w:rFonts w:asciiTheme="majorHAnsi" w:hAnsiTheme="majorHAnsi"/>
          <w:sz w:val="20"/>
          <w:szCs w:val="20"/>
        </w:rPr>
        <w:t>період</w:t>
      </w:r>
      <w:r w:rsidRPr="000977F7">
        <w:rPr>
          <w:rFonts w:asciiTheme="majorHAnsi" w:hAnsiTheme="majorHAnsi"/>
          <w:spacing w:val="38"/>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41"/>
          <w:sz w:val="20"/>
          <w:szCs w:val="20"/>
        </w:rPr>
        <w:t xml:space="preserve"> </w:t>
      </w:r>
      <w:r w:rsidRPr="000977F7">
        <w:rPr>
          <w:rFonts w:asciiTheme="majorHAnsi" w:hAnsiTheme="majorHAnsi"/>
          <w:sz w:val="20"/>
          <w:szCs w:val="20"/>
        </w:rPr>
        <w:t>до</w:t>
      </w:r>
      <w:r w:rsidRPr="000977F7">
        <w:rPr>
          <w:rFonts w:asciiTheme="majorHAnsi" w:hAnsiTheme="majorHAnsi"/>
          <w:spacing w:val="38"/>
          <w:sz w:val="20"/>
          <w:szCs w:val="20"/>
        </w:rPr>
        <w:t xml:space="preserve"> </w:t>
      </w:r>
      <w:r w:rsidRPr="000977F7">
        <w:rPr>
          <w:rFonts w:asciiTheme="majorHAnsi" w:hAnsiTheme="majorHAnsi"/>
          <w:sz w:val="20"/>
          <w:szCs w:val="20"/>
        </w:rPr>
        <w:t>математичного</w:t>
      </w:r>
      <w:r w:rsidRPr="000977F7">
        <w:rPr>
          <w:rFonts w:asciiTheme="majorHAnsi" w:hAnsiTheme="majorHAnsi"/>
          <w:spacing w:val="40"/>
          <w:sz w:val="20"/>
          <w:szCs w:val="20"/>
        </w:rPr>
        <w:t xml:space="preserve"> </w:t>
      </w:r>
      <w:r w:rsidRPr="000977F7">
        <w:rPr>
          <w:rFonts w:asciiTheme="majorHAnsi" w:hAnsiTheme="majorHAnsi"/>
          <w:sz w:val="20"/>
          <w:szCs w:val="20"/>
        </w:rPr>
        <w:t>сподівання</w:t>
      </w:r>
      <w:r w:rsidRPr="000977F7">
        <w:rPr>
          <w:rFonts w:asciiTheme="majorHAnsi" w:hAnsiTheme="majorHAnsi"/>
          <w:spacing w:val="27"/>
          <w:sz w:val="20"/>
          <w:szCs w:val="20"/>
        </w:rPr>
        <w:t xml:space="preserve"> </w:t>
      </w:r>
      <w:r w:rsidRPr="000977F7">
        <w:rPr>
          <w:rFonts w:asciiTheme="majorHAnsi" w:hAnsiTheme="majorHAnsi"/>
          <w:sz w:val="20"/>
          <w:szCs w:val="20"/>
        </w:rPr>
        <w:t>сумарного</w:t>
      </w:r>
      <w:r w:rsidRPr="000977F7">
        <w:rPr>
          <w:rFonts w:asciiTheme="majorHAnsi" w:hAnsiTheme="majorHAnsi"/>
          <w:spacing w:val="29"/>
          <w:sz w:val="20"/>
          <w:szCs w:val="20"/>
        </w:rPr>
        <w:t xml:space="preserve"> </w:t>
      </w:r>
      <w:r w:rsidRPr="000977F7">
        <w:rPr>
          <w:rFonts w:asciiTheme="majorHAnsi" w:hAnsiTheme="majorHAnsi"/>
          <w:sz w:val="20"/>
          <w:szCs w:val="20"/>
        </w:rPr>
        <w:t>часу</w:t>
      </w:r>
      <w:r w:rsidRPr="000977F7">
        <w:rPr>
          <w:rFonts w:asciiTheme="majorHAnsi" w:hAnsiTheme="majorHAnsi"/>
          <w:spacing w:val="24"/>
          <w:sz w:val="20"/>
          <w:szCs w:val="20"/>
        </w:rPr>
        <w:t xml:space="preserve"> </w:t>
      </w:r>
      <w:r w:rsidRPr="000977F7">
        <w:rPr>
          <w:rFonts w:asciiTheme="majorHAnsi" w:hAnsiTheme="majorHAnsi"/>
          <w:sz w:val="20"/>
          <w:szCs w:val="20"/>
        </w:rPr>
        <w:t>перебування</w:t>
      </w:r>
      <w:r w:rsidRPr="000977F7">
        <w:rPr>
          <w:rFonts w:asciiTheme="majorHAnsi" w:hAnsiTheme="majorHAnsi"/>
          <w:spacing w:val="27"/>
          <w:sz w:val="20"/>
          <w:szCs w:val="20"/>
        </w:rPr>
        <w:t xml:space="preserve"> </w:t>
      </w:r>
      <w:r w:rsidRPr="000977F7">
        <w:rPr>
          <w:rFonts w:asciiTheme="majorHAnsi" w:hAnsiTheme="majorHAnsi"/>
          <w:sz w:val="20"/>
          <w:szCs w:val="20"/>
        </w:rPr>
        <w:t>об’єкта</w:t>
      </w:r>
      <w:r w:rsidRPr="000977F7">
        <w:rPr>
          <w:rFonts w:asciiTheme="majorHAnsi" w:hAnsiTheme="majorHAnsi"/>
          <w:spacing w:val="29"/>
          <w:sz w:val="20"/>
          <w:szCs w:val="20"/>
        </w:rPr>
        <w:t xml:space="preserve"> </w:t>
      </w:r>
      <w:r w:rsidRPr="000977F7">
        <w:rPr>
          <w:rFonts w:asciiTheme="majorHAnsi" w:hAnsiTheme="majorHAnsi"/>
          <w:sz w:val="20"/>
          <w:szCs w:val="20"/>
        </w:rPr>
        <w:t>в</w:t>
      </w:r>
      <w:r w:rsidRPr="000977F7">
        <w:rPr>
          <w:rFonts w:asciiTheme="majorHAnsi" w:hAnsiTheme="majorHAnsi"/>
          <w:spacing w:val="28"/>
          <w:sz w:val="20"/>
          <w:szCs w:val="20"/>
        </w:rPr>
        <w:t xml:space="preserve"> </w:t>
      </w:r>
      <w:r w:rsidRPr="000977F7">
        <w:rPr>
          <w:rFonts w:asciiTheme="majorHAnsi" w:hAnsiTheme="majorHAnsi"/>
          <w:sz w:val="20"/>
          <w:szCs w:val="20"/>
        </w:rPr>
        <w:t>працездатному стані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простоях,</w:t>
      </w:r>
      <w:r w:rsidRPr="000977F7">
        <w:rPr>
          <w:rFonts w:asciiTheme="majorHAnsi" w:hAnsiTheme="majorHAnsi"/>
          <w:spacing w:val="1"/>
          <w:sz w:val="20"/>
          <w:szCs w:val="20"/>
        </w:rPr>
        <w:t xml:space="preserve"> </w:t>
      </w:r>
      <w:r w:rsidRPr="000977F7">
        <w:rPr>
          <w:rFonts w:asciiTheme="majorHAnsi" w:hAnsiTheme="majorHAnsi"/>
          <w:sz w:val="20"/>
          <w:szCs w:val="20"/>
        </w:rPr>
        <w:t>зумовлених</w:t>
      </w:r>
      <w:r w:rsidRPr="000977F7">
        <w:rPr>
          <w:rFonts w:asciiTheme="majorHAnsi" w:hAnsiTheme="majorHAnsi"/>
          <w:spacing w:val="1"/>
          <w:sz w:val="20"/>
          <w:szCs w:val="20"/>
        </w:rPr>
        <w:t xml:space="preserve"> </w:t>
      </w:r>
      <w:r w:rsidRPr="000977F7">
        <w:rPr>
          <w:rFonts w:asciiTheme="majorHAnsi" w:hAnsiTheme="majorHAnsi"/>
          <w:sz w:val="20"/>
          <w:szCs w:val="20"/>
        </w:rPr>
        <w:t>технічним</w:t>
      </w:r>
      <w:r w:rsidRPr="000977F7">
        <w:rPr>
          <w:rFonts w:asciiTheme="majorHAnsi" w:hAnsiTheme="majorHAnsi"/>
          <w:spacing w:val="-47"/>
          <w:sz w:val="20"/>
          <w:szCs w:val="20"/>
        </w:rPr>
        <w:t xml:space="preserve"> </w:t>
      </w:r>
      <w:r w:rsidRPr="000977F7">
        <w:rPr>
          <w:rFonts w:asciiTheme="majorHAnsi" w:hAnsiTheme="majorHAnsi"/>
          <w:sz w:val="20"/>
          <w:szCs w:val="20"/>
        </w:rPr>
        <w:t>обслуговуванням і ремонтом за той самий період</w:t>
      </w:r>
    </w:p>
    <w:p w14:paraId="798C2AB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150D1D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КОЕФІЦІЄНТ ФОРМИ КРИВОЇ НАПРУГИ</w:t>
      </w:r>
      <w:r w:rsidRPr="000977F7">
        <w:rPr>
          <w:color w:val="auto"/>
          <w:spacing w:val="-47"/>
          <w:sz w:val="20"/>
          <w:szCs w:val="20"/>
        </w:rPr>
        <w:t xml:space="preserve"> </w:t>
      </w:r>
      <w:r w:rsidRPr="000977F7">
        <w:rPr>
          <w:color w:val="auto"/>
          <w:sz w:val="20"/>
          <w:szCs w:val="20"/>
        </w:rPr>
        <w:t>(СТРУМУ)</w:t>
      </w:r>
      <w:r w:rsidRPr="000977F7">
        <w:rPr>
          <w:color w:val="auto"/>
          <w:spacing w:val="1"/>
          <w:sz w:val="20"/>
          <w:szCs w:val="20"/>
        </w:rPr>
        <w:t xml:space="preserve"> </w:t>
      </w:r>
      <w:r w:rsidRPr="000977F7">
        <w:rPr>
          <w:color w:val="auto"/>
          <w:sz w:val="20"/>
          <w:szCs w:val="20"/>
        </w:rPr>
        <w:t>–</w:t>
      </w:r>
    </w:p>
    <w:p w14:paraId="648F8AC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w:t>
      </w:r>
      <w:r w:rsidRPr="000977F7">
        <w:rPr>
          <w:rFonts w:asciiTheme="majorHAnsi" w:hAnsiTheme="majorHAnsi"/>
          <w:spacing w:val="1"/>
          <w:sz w:val="20"/>
          <w:szCs w:val="20"/>
        </w:rPr>
        <w:t xml:space="preserve"> </w:t>
      </w:r>
      <w:r w:rsidRPr="000977F7">
        <w:rPr>
          <w:rFonts w:asciiTheme="majorHAnsi" w:hAnsiTheme="majorHAnsi"/>
          <w:sz w:val="20"/>
          <w:szCs w:val="20"/>
        </w:rPr>
        <w:t>дійового значення</w:t>
      </w:r>
      <w:r w:rsidRPr="000977F7">
        <w:rPr>
          <w:rFonts w:asciiTheme="majorHAnsi" w:hAnsiTheme="majorHAnsi"/>
          <w:spacing w:val="1"/>
          <w:sz w:val="20"/>
          <w:szCs w:val="20"/>
        </w:rPr>
        <w:t xml:space="preserve"> </w:t>
      </w:r>
      <w:r w:rsidRPr="000977F7">
        <w:rPr>
          <w:rFonts w:asciiTheme="majorHAnsi" w:hAnsiTheme="majorHAnsi"/>
          <w:sz w:val="20"/>
          <w:szCs w:val="20"/>
        </w:rPr>
        <w:t>періодичної напруги</w:t>
      </w:r>
      <w:r w:rsidRPr="000977F7">
        <w:rPr>
          <w:rFonts w:asciiTheme="majorHAnsi" w:hAnsiTheme="majorHAnsi"/>
          <w:spacing w:val="1"/>
          <w:sz w:val="20"/>
          <w:szCs w:val="20"/>
        </w:rPr>
        <w:t xml:space="preserve"> </w:t>
      </w:r>
      <w:r w:rsidRPr="000977F7">
        <w:rPr>
          <w:rFonts w:asciiTheme="majorHAnsi" w:hAnsiTheme="majorHAnsi"/>
          <w:sz w:val="20"/>
          <w:szCs w:val="20"/>
        </w:rPr>
        <w:t>(струму)</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середнього</w:t>
      </w:r>
      <w:r w:rsidRPr="000977F7">
        <w:rPr>
          <w:rFonts w:asciiTheme="majorHAnsi" w:hAnsiTheme="majorHAnsi"/>
          <w:spacing w:val="2"/>
          <w:sz w:val="20"/>
          <w:szCs w:val="20"/>
        </w:rPr>
        <w:t xml:space="preserve"> </w:t>
      </w:r>
      <w:r w:rsidRPr="000977F7">
        <w:rPr>
          <w:rFonts w:asciiTheme="majorHAnsi" w:hAnsiTheme="majorHAnsi"/>
          <w:sz w:val="20"/>
          <w:szCs w:val="20"/>
        </w:rPr>
        <w:t>значення</w:t>
      </w:r>
    </w:p>
    <w:p w14:paraId="71CB2A4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1A213ADD"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КОЛИВАННЯ НАПРУГИ —</w:t>
      </w:r>
      <w:r w:rsidRPr="000977F7">
        <w:rPr>
          <w:rFonts w:asciiTheme="majorHAnsi" w:hAnsiTheme="majorHAnsi"/>
          <w:b/>
          <w:spacing w:val="-47"/>
          <w:sz w:val="20"/>
          <w:szCs w:val="20"/>
        </w:rPr>
        <w:t xml:space="preserve"> </w:t>
      </w:r>
    </w:p>
    <w:p w14:paraId="07DBE0C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VOLTAGE</w:t>
      </w:r>
      <w:r w:rsidRPr="000977F7">
        <w:rPr>
          <w:rFonts w:asciiTheme="majorHAnsi" w:hAnsiTheme="majorHAnsi"/>
          <w:spacing w:val="-1"/>
          <w:sz w:val="20"/>
          <w:szCs w:val="20"/>
        </w:rPr>
        <w:t xml:space="preserve"> </w:t>
      </w:r>
      <w:r w:rsidRPr="000977F7">
        <w:rPr>
          <w:rFonts w:asciiTheme="majorHAnsi" w:hAnsiTheme="majorHAnsi"/>
          <w:sz w:val="20"/>
          <w:szCs w:val="20"/>
        </w:rPr>
        <w:t>FLUCTUATION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94A86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Серія</w:t>
      </w:r>
      <w:r w:rsidRPr="000977F7">
        <w:rPr>
          <w:rFonts w:asciiTheme="majorHAnsi" w:hAnsiTheme="majorHAnsi"/>
          <w:spacing w:val="-4"/>
          <w:sz w:val="20"/>
          <w:szCs w:val="20"/>
        </w:rPr>
        <w:t xml:space="preserve"> </w:t>
      </w:r>
      <w:r w:rsidRPr="000977F7">
        <w:rPr>
          <w:rFonts w:asciiTheme="majorHAnsi" w:hAnsiTheme="majorHAnsi"/>
          <w:sz w:val="20"/>
          <w:szCs w:val="20"/>
        </w:rPr>
        <w:t>одноразових</w:t>
      </w:r>
      <w:r w:rsidRPr="000977F7">
        <w:rPr>
          <w:rFonts w:asciiTheme="majorHAnsi" w:hAnsiTheme="majorHAnsi"/>
          <w:spacing w:val="-3"/>
          <w:sz w:val="20"/>
          <w:szCs w:val="20"/>
        </w:rPr>
        <w:t xml:space="preserve"> </w:t>
      </w:r>
      <w:r w:rsidRPr="000977F7">
        <w:rPr>
          <w:rFonts w:asciiTheme="majorHAnsi" w:hAnsiTheme="majorHAnsi"/>
          <w:sz w:val="20"/>
          <w:szCs w:val="20"/>
        </w:rPr>
        <w:t>змін</w:t>
      </w:r>
      <w:r w:rsidRPr="000977F7">
        <w:rPr>
          <w:rFonts w:asciiTheme="majorHAnsi" w:hAnsiTheme="majorHAnsi"/>
          <w:spacing w:val="-4"/>
          <w:sz w:val="20"/>
          <w:szCs w:val="20"/>
        </w:rPr>
        <w:t xml:space="preserve"> </w:t>
      </w:r>
      <w:r w:rsidRPr="000977F7">
        <w:rPr>
          <w:rFonts w:asciiTheme="majorHAnsi" w:hAnsiTheme="majorHAnsi"/>
          <w:sz w:val="20"/>
          <w:szCs w:val="20"/>
        </w:rPr>
        <w:t>напруги</w:t>
      </w:r>
    </w:p>
    <w:p w14:paraId="5B1DCC5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21357E4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КОЛИВАННЯ</w:t>
      </w:r>
      <w:r w:rsidRPr="000977F7">
        <w:rPr>
          <w:color w:val="auto"/>
          <w:spacing w:val="-4"/>
          <w:sz w:val="20"/>
          <w:szCs w:val="20"/>
        </w:rPr>
        <w:t xml:space="preserve"> </w:t>
      </w:r>
      <w:r w:rsidRPr="000977F7">
        <w:rPr>
          <w:color w:val="auto"/>
          <w:sz w:val="20"/>
          <w:szCs w:val="20"/>
        </w:rPr>
        <w:t>ЧАСТОТИ</w:t>
      </w:r>
      <w:r w:rsidRPr="000977F7">
        <w:rPr>
          <w:color w:val="auto"/>
          <w:spacing w:val="1"/>
          <w:sz w:val="20"/>
          <w:szCs w:val="20"/>
        </w:rPr>
        <w:t xml:space="preserve"> </w:t>
      </w:r>
      <w:r w:rsidRPr="000977F7">
        <w:rPr>
          <w:color w:val="auto"/>
          <w:sz w:val="20"/>
          <w:szCs w:val="20"/>
        </w:rPr>
        <w:t>—</w:t>
      </w:r>
    </w:p>
    <w:p w14:paraId="1C3B0F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Серія</w:t>
      </w:r>
      <w:r w:rsidRPr="000977F7">
        <w:rPr>
          <w:rFonts w:asciiTheme="majorHAnsi" w:hAnsiTheme="majorHAnsi"/>
          <w:spacing w:val="-3"/>
          <w:sz w:val="20"/>
          <w:szCs w:val="20"/>
        </w:rPr>
        <w:t xml:space="preserve"> </w:t>
      </w:r>
      <w:r w:rsidRPr="000977F7">
        <w:rPr>
          <w:rFonts w:asciiTheme="majorHAnsi" w:hAnsiTheme="majorHAnsi"/>
          <w:sz w:val="20"/>
          <w:szCs w:val="20"/>
        </w:rPr>
        <w:t>одноразових</w:t>
      </w:r>
      <w:r w:rsidRPr="000977F7">
        <w:rPr>
          <w:rFonts w:asciiTheme="majorHAnsi" w:hAnsiTheme="majorHAnsi"/>
          <w:spacing w:val="-3"/>
          <w:sz w:val="20"/>
          <w:szCs w:val="20"/>
        </w:rPr>
        <w:t xml:space="preserve"> </w:t>
      </w:r>
      <w:r w:rsidRPr="000977F7">
        <w:rPr>
          <w:rFonts w:asciiTheme="majorHAnsi" w:hAnsiTheme="majorHAnsi"/>
          <w:sz w:val="20"/>
          <w:szCs w:val="20"/>
        </w:rPr>
        <w:t>змін</w:t>
      </w:r>
      <w:r w:rsidRPr="000977F7">
        <w:rPr>
          <w:rFonts w:asciiTheme="majorHAnsi" w:hAnsiTheme="majorHAnsi"/>
          <w:spacing w:val="-3"/>
          <w:sz w:val="20"/>
          <w:szCs w:val="20"/>
        </w:rPr>
        <w:t xml:space="preserve"> </w:t>
      </w:r>
      <w:r w:rsidRPr="000977F7">
        <w:rPr>
          <w:rFonts w:asciiTheme="majorHAnsi" w:hAnsiTheme="majorHAnsi"/>
          <w:sz w:val="20"/>
          <w:szCs w:val="20"/>
        </w:rPr>
        <w:t>частоти</w:t>
      </w:r>
    </w:p>
    <w:p w14:paraId="20C0904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166BB01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КОЛІЗІЙНА</w:t>
      </w:r>
      <w:r w:rsidRPr="000977F7">
        <w:rPr>
          <w:color w:val="auto"/>
          <w:spacing w:val="-3"/>
          <w:sz w:val="20"/>
          <w:szCs w:val="20"/>
        </w:rPr>
        <w:t xml:space="preserve"> </w:t>
      </w:r>
      <w:r w:rsidRPr="000977F7">
        <w:rPr>
          <w:color w:val="auto"/>
          <w:sz w:val="20"/>
          <w:szCs w:val="20"/>
        </w:rPr>
        <w:t>НОРМА</w:t>
      </w:r>
      <w:r w:rsidRPr="000977F7">
        <w:rPr>
          <w:color w:val="auto"/>
          <w:spacing w:val="-2"/>
          <w:sz w:val="20"/>
          <w:szCs w:val="20"/>
        </w:rPr>
        <w:t xml:space="preserve"> </w:t>
      </w:r>
      <w:r w:rsidRPr="000977F7">
        <w:rPr>
          <w:color w:val="auto"/>
          <w:sz w:val="20"/>
          <w:szCs w:val="20"/>
        </w:rPr>
        <w:t>–</w:t>
      </w:r>
    </w:p>
    <w:p w14:paraId="3C50047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Норма, яка вказує право якої держави повинно бути</w:t>
      </w:r>
      <w:r w:rsidRPr="000977F7">
        <w:rPr>
          <w:rFonts w:asciiTheme="majorHAnsi" w:hAnsiTheme="majorHAnsi"/>
          <w:spacing w:val="1"/>
          <w:sz w:val="20"/>
          <w:szCs w:val="20"/>
        </w:rPr>
        <w:t xml:space="preserve"> </w:t>
      </w:r>
      <w:r w:rsidRPr="000977F7">
        <w:rPr>
          <w:rFonts w:asciiTheme="majorHAnsi" w:hAnsiTheme="majorHAnsi"/>
          <w:sz w:val="20"/>
          <w:szCs w:val="20"/>
        </w:rPr>
        <w:t>застосовано до громадянського, трудового та іншого</w:t>
      </w:r>
      <w:r w:rsidRPr="000977F7">
        <w:rPr>
          <w:rFonts w:asciiTheme="majorHAnsi" w:hAnsiTheme="majorHAnsi"/>
          <w:spacing w:val="1"/>
          <w:sz w:val="20"/>
          <w:szCs w:val="20"/>
        </w:rPr>
        <w:t xml:space="preserve"> </w:t>
      </w:r>
      <w:r w:rsidRPr="000977F7">
        <w:rPr>
          <w:rFonts w:asciiTheme="majorHAnsi" w:hAnsiTheme="majorHAnsi"/>
          <w:sz w:val="20"/>
          <w:szCs w:val="20"/>
        </w:rPr>
        <w:t>правовідношення</w:t>
      </w:r>
      <w:r w:rsidRPr="000977F7">
        <w:rPr>
          <w:rFonts w:asciiTheme="majorHAnsi" w:hAnsiTheme="majorHAnsi"/>
          <w:spacing w:val="-2"/>
          <w:sz w:val="20"/>
          <w:szCs w:val="20"/>
        </w:rPr>
        <w:t xml:space="preserve"> </w:t>
      </w:r>
      <w:r w:rsidRPr="000977F7">
        <w:rPr>
          <w:rFonts w:asciiTheme="majorHAnsi" w:hAnsiTheme="majorHAnsi"/>
          <w:sz w:val="20"/>
          <w:szCs w:val="20"/>
        </w:rPr>
        <w:t>міжнародного характеру</w:t>
      </w:r>
    </w:p>
    <w:p w14:paraId="64C8A22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3293 - 95</w:t>
      </w:r>
    </w:p>
    <w:p w14:paraId="00015FE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КОМБІНОВАНА</w:t>
      </w:r>
      <w:r w:rsidRPr="000977F7">
        <w:rPr>
          <w:color w:val="auto"/>
          <w:spacing w:val="-4"/>
          <w:sz w:val="20"/>
          <w:szCs w:val="20"/>
        </w:rPr>
        <w:t xml:space="preserve"> </w:t>
      </w:r>
      <w:r w:rsidRPr="000977F7">
        <w:rPr>
          <w:color w:val="auto"/>
          <w:sz w:val="20"/>
          <w:szCs w:val="20"/>
        </w:rPr>
        <w:t>СХЕМА</w:t>
      </w:r>
      <w:r w:rsidRPr="000977F7">
        <w:rPr>
          <w:color w:val="auto"/>
          <w:spacing w:val="-4"/>
          <w:sz w:val="20"/>
          <w:szCs w:val="20"/>
        </w:rPr>
        <w:t xml:space="preserve"> </w:t>
      </w:r>
      <w:r w:rsidRPr="000977F7">
        <w:rPr>
          <w:color w:val="auto"/>
          <w:sz w:val="20"/>
          <w:szCs w:val="20"/>
        </w:rPr>
        <w:t>–</w:t>
      </w:r>
    </w:p>
    <w:p w14:paraId="4FC7E69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Схема, яка об’єднує елементи і зв’язки схем різних</w:t>
      </w:r>
      <w:r w:rsidRPr="000977F7">
        <w:rPr>
          <w:rFonts w:asciiTheme="majorHAnsi" w:hAnsiTheme="majorHAnsi"/>
          <w:spacing w:val="1"/>
          <w:sz w:val="20"/>
          <w:szCs w:val="20"/>
        </w:rPr>
        <w:t xml:space="preserve"> </w:t>
      </w:r>
      <w:r w:rsidRPr="000977F7">
        <w:rPr>
          <w:rFonts w:asciiTheme="majorHAnsi" w:hAnsiTheme="majorHAnsi"/>
          <w:sz w:val="20"/>
          <w:szCs w:val="20"/>
        </w:rPr>
        <w:t>видів, але одного типу, які належать до одного виробу</w:t>
      </w:r>
      <w:r w:rsidRPr="000977F7">
        <w:rPr>
          <w:rFonts w:asciiTheme="majorHAnsi" w:hAnsiTheme="majorHAnsi"/>
          <w:spacing w:val="-47"/>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3321</w:t>
      </w:r>
      <w:r w:rsidRPr="000977F7">
        <w:rPr>
          <w:rFonts w:asciiTheme="majorHAnsi" w:hAnsiTheme="majorHAnsi"/>
          <w:i/>
          <w:spacing w:val="2"/>
          <w:sz w:val="20"/>
          <w:szCs w:val="20"/>
        </w:rPr>
        <w:t xml:space="preserve"> </w:t>
      </w:r>
      <w:r w:rsidRPr="000977F7">
        <w:rPr>
          <w:rFonts w:asciiTheme="majorHAnsi" w:hAnsiTheme="majorHAnsi"/>
          <w:b/>
          <w:i/>
          <w:sz w:val="20"/>
          <w:szCs w:val="20"/>
        </w:rPr>
        <w:t xml:space="preserve">– </w:t>
      </w:r>
      <w:r w:rsidRPr="000977F7">
        <w:rPr>
          <w:rFonts w:asciiTheme="majorHAnsi" w:hAnsiTheme="majorHAnsi"/>
          <w:sz w:val="20"/>
          <w:szCs w:val="20"/>
        </w:rPr>
        <w:t>2003</w:t>
      </w:r>
    </w:p>
    <w:p w14:paraId="42E552D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КОМБІНОВАНЕ</w:t>
      </w:r>
      <w:r w:rsidRPr="000977F7">
        <w:rPr>
          <w:color w:val="auto"/>
          <w:spacing w:val="-5"/>
          <w:sz w:val="20"/>
          <w:szCs w:val="20"/>
        </w:rPr>
        <w:t xml:space="preserve"> </w:t>
      </w:r>
      <w:r w:rsidRPr="000977F7">
        <w:rPr>
          <w:color w:val="auto"/>
          <w:sz w:val="20"/>
          <w:szCs w:val="20"/>
        </w:rPr>
        <w:t>ДІЯННЯ</w:t>
      </w:r>
      <w:r w:rsidRPr="000977F7">
        <w:rPr>
          <w:color w:val="auto"/>
          <w:spacing w:val="-1"/>
          <w:sz w:val="20"/>
          <w:szCs w:val="20"/>
        </w:rPr>
        <w:t xml:space="preserve"> </w:t>
      </w:r>
      <w:r w:rsidRPr="000977F7">
        <w:rPr>
          <w:color w:val="auto"/>
          <w:sz w:val="20"/>
          <w:szCs w:val="20"/>
        </w:rPr>
        <w:t>—</w:t>
      </w:r>
    </w:p>
    <w:p w14:paraId="72A80E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COMBINED</w:t>
      </w:r>
      <w:r w:rsidRPr="000977F7">
        <w:rPr>
          <w:rFonts w:asciiTheme="majorHAnsi" w:hAnsiTheme="majorHAnsi"/>
          <w:spacing w:val="-3"/>
          <w:sz w:val="20"/>
          <w:szCs w:val="20"/>
        </w:rPr>
        <w:t xml:space="preserve"> </w:t>
      </w:r>
      <w:r w:rsidRPr="000977F7">
        <w:rPr>
          <w:rFonts w:asciiTheme="majorHAnsi" w:hAnsiTheme="majorHAnsi"/>
          <w:sz w:val="20"/>
          <w:szCs w:val="20"/>
        </w:rPr>
        <w:t>EFFECT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430AE11"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Одночасне</w:t>
      </w:r>
      <w:r w:rsidRPr="000977F7">
        <w:rPr>
          <w:rFonts w:asciiTheme="majorHAnsi" w:hAnsiTheme="majorHAnsi"/>
          <w:spacing w:val="8"/>
          <w:sz w:val="20"/>
          <w:szCs w:val="20"/>
        </w:rPr>
        <w:t xml:space="preserve"> </w:t>
      </w:r>
      <w:r w:rsidRPr="000977F7">
        <w:rPr>
          <w:rFonts w:asciiTheme="majorHAnsi" w:hAnsiTheme="majorHAnsi"/>
          <w:sz w:val="20"/>
          <w:szCs w:val="20"/>
        </w:rPr>
        <w:t>або</w:t>
      </w:r>
      <w:r w:rsidRPr="000977F7">
        <w:rPr>
          <w:rFonts w:asciiTheme="majorHAnsi" w:hAnsiTheme="majorHAnsi"/>
          <w:spacing w:val="9"/>
          <w:sz w:val="20"/>
          <w:szCs w:val="20"/>
        </w:rPr>
        <w:t xml:space="preserve"> </w:t>
      </w:r>
      <w:r w:rsidRPr="000977F7">
        <w:rPr>
          <w:rFonts w:asciiTheme="majorHAnsi" w:hAnsiTheme="majorHAnsi"/>
          <w:sz w:val="20"/>
          <w:szCs w:val="20"/>
        </w:rPr>
        <w:t>послідовне</w:t>
      </w:r>
      <w:r w:rsidRPr="000977F7">
        <w:rPr>
          <w:rFonts w:asciiTheme="majorHAnsi" w:hAnsiTheme="majorHAnsi"/>
          <w:spacing w:val="9"/>
          <w:sz w:val="20"/>
          <w:szCs w:val="20"/>
        </w:rPr>
        <w:t xml:space="preserve"> </w:t>
      </w:r>
      <w:r w:rsidRPr="000977F7">
        <w:rPr>
          <w:rFonts w:asciiTheme="majorHAnsi" w:hAnsiTheme="majorHAnsi"/>
          <w:sz w:val="20"/>
          <w:szCs w:val="20"/>
        </w:rPr>
        <w:t>діяння</w:t>
      </w:r>
      <w:r w:rsidRPr="000977F7">
        <w:rPr>
          <w:rFonts w:asciiTheme="majorHAnsi" w:hAnsiTheme="majorHAnsi"/>
          <w:spacing w:val="7"/>
          <w:sz w:val="20"/>
          <w:szCs w:val="20"/>
        </w:rPr>
        <w:t xml:space="preserve"> </w:t>
      </w:r>
      <w:r w:rsidRPr="000977F7">
        <w:rPr>
          <w:rFonts w:asciiTheme="majorHAnsi" w:hAnsiTheme="majorHAnsi"/>
          <w:sz w:val="20"/>
          <w:szCs w:val="20"/>
        </w:rPr>
        <w:t>на</w:t>
      </w:r>
      <w:r w:rsidRPr="000977F7">
        <w:rPr>
          <w:rFonts w:asciiTheme="majorHAnsi" w:hAnsiTheme="majorHAnsi"/>
          <w:spacing w:val="7"/>
          <w:sz w:val="20"/>
          <w:szCs w:val="20"/>
        </w:rPr>
        <w:t xml:space="preserve"> </w:t>
      </w:r>
      <w:r w:rsidRPr="000977F7">
        <w:rPr>
          <w:rFonts w:asciiTheme="majorHAnsi" w:hAnsiTheme="majorHAnsi"/>
          <w:sz w:val="20"/>
          <w:szCs w:val="20"/>
        </w:rPr>
        <w:t>організм</w:t>
      </w:r>
      <w:r w:rsidRPr="000977F7">
        <w:rPr>
          <w:rFonts w:asciiTheme="majorHAnsi" w:hAnsiTheme="majorHAnsi"/>
          <w:spacing w:val="7"/>
          <w:sz w:val="20"/>
          <w:szCs w:val="20"/>
        </w:rPr>
        <w:t xml:space="preserve"> </w:t>
      </w:r>
      <w:r w:rsidRPr="000977F7">
        <w:rPr>
          <w:rFonts w:asciiTheme="majorHAnsi" w:hAnsiTheme="majorHAnsi"/>
          <w:sz w:val="20"/>
          <w:szCs w:val="20"/>
        </w:rPr>
        <w:t>двох</w:t>
      </w:r>
      <w:r w:rsidRPr="000977F7">
        <w:rPr>
          <w:rFonts w:asciiTheme="majorHAnsi" w:hAnsiTheme="majorHAnsi"/>
          <w:spacing w:val="5"/>
          <w:sz w:val="20"/>
          <w:szCs w:val="20"/>
        </w:rPr>
        <w:t xml:space="preserve"> </w:t>
      </w:r>
      <w:r w:rsidRPr="000977F7">
        <w:rPr>
          <w:rFonts w:asciiTheme="majorHAnsi" w:hAnsiTheme="majorHAnsi"/>
          <w:sz w:val="20"/>
          <w:szCs w:val="20"/>
        </w:rPr>
        <w:t xml:space="preserve">чи </w:t>
      </w:r>
      <w:r w:rsidRPr="000977F7">
        <w:rPr>
          <w:rFonts w:asciiTheme="majorHAnsi" w:hAnsiTheme="majorHAnsi"/>
          <w:spacing w:val="-47"/>
          <w:sz w:val="20"/>
          <w:szCs w:val="20"/>
        </w:rPr>
        <w:t xml:space="preserve"> </w:t>
      </w:r>
      <w:r w:rsidRPr="000977F7">
        <w:rPr>
          <w:rFonts w:asciiTheme="majorHAnsi" w:hAnsiTheme="majorHAnsi"/>
          <w:sz w:val="20"/>
          <w:szCs w:val="20"/>
        </w:rPr>
        <w:t>декількох речовин за однакових умов надходження</w:t>
      </w:r>
      <w:r w:rsidRPr="000977F7">
        <w:rPr>
          <w:rFonts w:asciiTheme="majorHAnsi" w:hAnsiTheme="majorHAnsi"/>
          <w:spacing w:val="1"/>
          <w:sz w:val="20"/>
          <w:szCs w:val="20"/>
        </w:rPr>
        <w:t xml:space="preserve"> </w:t>
      </w:r>
    </w:p>
    <w:p w14:paraId="4A92A0C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w:t>
      </w:r>
      <w:r w:rsidRPr="000977F7">
        <w:rPr>
          <w:rFonts w:asciiTheme="majorHAnsi" w:hAnsiTheme="majorHAnsi"/>
          <w:i/>
          <w:spacing w:val="2"/>
          <w:sz w:val="20"/>
          <w:szCs w:val="20"/>
        </w:rPr>
        <w:t xml:space="preserve"> </w:t>
      </w:r>
      <w:r w:rsidRPr="000977F7">
        <w:rPr>
          <w:rFonts w:asciiTheme="majorHAnsi" w:hAnsiTheme="majorHAnsi"/>
          <w:i/>
          <w:sz w:val="20"/>
          <w:szCs w:val="20"/>
        </w:rPr>
        <w:t>95</w:t>
      </w:r>
    </w:p>
    <w:p w14:paraId="76300ED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КОМБІНУВАННЯ</w:t>
      </w:r>
      <w:r w:rsidRPr="000977F7">
        <w:rPr>
          <w:color w:val="auto"/>
          <w:spacing w:val="-7"/>
          <w:sz w:val="20"/>
          <w:szCs w:val="20"/>
        </w:rPr>
        <w:t xml:space="preserve"> </w:t>
      </w:r>
      <w:r w:rsidRPr="000977F7">
        <w:rPr>
          <w:color w:val="auto"/>
          <w:sz w:val="20"/>
          <w:szCs w:val="20"/>
        </w:rPr>
        <w:t>ВИРОБНИЦТВА</w:t>
      </w:r>
      <w:r w:rsidRPr="000977F7">
        <w:rPr>
          <w:color w:val="auto"/>
          <w:spacing w:val="-1"/>
          <w:sz w:val="20"/>
          <w:szCs w:val="20"/>
        </w:rPr>
        <w:t xml:space="preserve"> </w:t>
      </w:r>
      <w:r w:rsidRPr="000977F7">
        <w:rPr>
          <w:color w:val="auto"/>
          <w:sz w:val="20"/>
          <w:szCs w:val="20"/>
        </w:rPr>
        <w:t>–</w:t>
      </w:r>
    </w:p>
    <w:p w14:paraId="2CB6790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Форма організації виробництва, яка полягає в поєднанні на одному підприємстві різних видів виробництва</w:t>
      </w:r>
    </w:p>
    <w:p w14:paraId="6F4D74B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984017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КОМЕНТАРІ –</w:t>
      </w:r>
    </w:p>
    <w:p w14:paraId="2838789D"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Зауваження та пропозиції до технічних регламентів і процедур оцінки відповідності та їх проектів</w:t>
      </w:r>
    </w:p>
    <w:p w14:paraId="1977DEB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bookmarkStart w:id="108" w:name="_Hlk103180182"/>
      <w:r w:rsidRPr="000977F7">
        <w:rPr>
          <w:rFonts w:asciiTheme="majorHAnsi" w:hAnsiTheme="majorHAnsi"/>
          <w:i/>
          <w:sz w:val="20"/>
          <w:szCs w:val="20"/>
        </w:rPr>
        <w:t>Закон України "Про технічні регламенти та оцінку відповідності"</w:t>
      </w:r>
    </w:p>
    <w:bookmarkEnd w:id="108"/>
    <w:p w14:paraId="26A8482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КОМІСІЯ</w:t>
      </w:r>
      <w:r w:rsidRPr="000977F7">
        <w:rPr>
          <w:color w:val="auto"/>
          <w:spacing w:val="-4"/>
          <w:sz w:val="20"/>
          <w:szCs w:val="20"/>
        </w:rPr>
        <w:t xml:space="preserve"> </w:t>
      </w:r>
      <w:r w:rsidRPr="000977F7">
        <w:rPr>
          <w:color w:val="auto"/>
          <w:sz w:val="20"/>
          <w:szCs w:val="20"/>
        </w:rPr>
        <w:t>З</w:t>
      </w:r>
      <w:r w:rsidRPr="000977F7">
        <w:rPr>
          <w:color w:val="auto"/>
          <w:spacing w:val="-3"/>
          <w:sz w:val="20"/>
          <w:szCs w:val="20"/>
        </w:rPr>
        <w:t xml:space="preserve"> </w:t>
      </w:r>
      <w:r w:rsidRPr="000977F7">
        <w:rPr>
          <w:color w:val="auto"/>
          <w:sz w:val="20"/>
          <w:szCs w:val="20"/>
        </w:rPr>
        <w:t>АПЕЛЯЦІЙ</w:t>
      </w:r>
      <w:r w:rsidRPr="000977F7">
        <w:rPr>
          <w:color w:val="auto"/>
          <w:spacing w:val="-1"/>
          <w:sz w:val="20"/>
          <w:szCs w:val="20"/>
        </w:rPr>
        <w:t xml:space="preserve"> </w:t>
      </w:r>
      <w:r w:rsidRPr="000977F7">
        <w:rPr>
          <w:color w:val="auto"/>
          <w:sz w:val="20"/>
          <w:szCs w:val="20"/>
        </w:rPr>
        <w:t>-</w:t>
      </w:r>
    </w:p>
    <w:p w14:paraId="20E5F8E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оцінки відповідності може оскаржити рішення, дії та бездіяльність</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національного</w:t>
      </w:r>
      <w:r w:rsidRPr="000977F7">
        <w:rPr>
          <w:rFonts w:asciiTheme="majorHAnsi" w:hAnsiTheme="majorHAnsi"/>
          <w:spacing w:val="1"/>
          <w:sz w:val="20"/>
          <w:szCs w:val="20"/>
        </w:rPr>
        <w:t xml:space="preserve"> </w:t>
      </w:r>
      <w:r w:rsidRPr="000977F7">
        <w:rPr>
          <w:rFonts w:asciiTheme="majorHAnsi" w:hAnsiTheme="majorHAnsi"/>
          <w:sz w:val="20"/>
          <w:szCs w:val="20"/>
        </w:rPr>
        <w:t>органу</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r w:rsidRPr="000977F7">
        <w:rPr>
          <w:rFonts w:asciiTheme="majorHAnsi" w:hAnsiTheme="majorHAnsi"/>
          <w:spacing w:val="46"/>
          <w:sz w:val="20"/>
          <w:szCs w:val="20"/>
        </w:rPr>
        <w:t xml:space="preserve"> </w:t>
      </w:r>
      <w:r w:rsidRPr="000977F7">
        <w:rPr>
          <w:rFonts w:asciiTheme="majorHAnsi" w:hAnsiTheme="majorHAnsi"/>
          <w:sz w:val="20"/>
          <w:szCs w:val="20"/>
        </w:rPr>
        <w:t>з</w:t>
      </w:r>
      <w:r w:rsidRPr="000977F7">
        <w:rPr>
          <w:rFonts w:asciiTheme="majorHAnsi" w:hAnsiTheme="majorHAnsi"/>
          <w:spacing w:val="32"/>
          <w:sz w:val="20"/>
          <w:szCs w:val="20"/>
        </w:rPr>
        <w:t xml:space="preserve"> </w:t>
      </w:r>
      <w:r w:rsidRPr="000977F7">
        <w:rPr>
          <w:rFonts w:asciiTheme="majorHAnsi" w:hAnsiTheme="majorHAnsi"/>
          <w:sz w:val="20"/>
          <w:szCs w:val="20"/>
        </w:rPr>
        <w:t>акредитації,</w:t>
      </w:r>
      <w:r w:rsidRPr="000977F7">
        <w:rPr>
          <w:rFonts w:asciiTheme="majorHAnsi" w:hAnsiTheme="majorHAnsi"/>
          <w:spacing w:val="15"/>
          <w:sz w:val="20"/>
          <w:szCs w:val="20"/>
        </w:rPr>
        <w:t xml:space="preserve"> </w:t>
      </w:r>
      <w:r w:rsidRPr="000977F7">
        <w:rPr>
          <w:rFonts w:asciiTheme="majorHAnsi" w:hAnsiTheme="majorHAnsi"/>
          <w:sz w:val="20"/>
          <w:szCs w:val="20"/>
        </w:rPr>
        <w:t>пов'язані</w:t>
      </w:r>
      <w:r w:rsidRPr="000977F7">
        <w:rPr>
          <w:rFonts w:asciiTheme="majorHAnsi" w:hAnsiTheme="majorHAnsi"/>
          <w:spacing w:val="14"/>
          <w:sz w:val="20"/>
          <w:szCs w:val="20"/>
        </w:rPr>
        <w:t xml:space="preserve"> </w:t>
      </w:r>
      <w:r w:rsidRPr="000977F7">
        <w:rPr>
          <w:rFonts w:asciiTheme="majorHAnsi" w:hAnsiTheme="majorHAnsi"/>
          <w:sz w:val="20"/>
          <w:szCs w:val="20"/>
        </w:rPr>
        <w:t>з</w:t>
      </w:r>
      <w:r w:rsidRPr="000977F7">
        <w:rPr>
          <w:rFonts w:asciiTheme="majorHAnsi" w:hAnsiTheme="majorHAnsi"/>
          <w:spacing w:val="49"/>
          <w:sz w:val="20"/>
          <w:szCs w:val="20"/>
        </w:rPr>
        <w:t xml:space="preserve"> </w:t>
      </w:r>
      <w:r w:rsidRPr="000977F7">
        <w:rPr>
          <w:rFonts w:asciiTheme="majorHAnsi" w:hAnsiTheme="majorHAnsi"/>
          <w:sz w:val="20"/>
          <w:szCs w:val="20"/>
        </w:rPr>
        <w:t>акредитацією</w:t>
      </w:r>
    </w:p>
    <w:p w14:paraId="318AC1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відповідного</w:t>
      </w:r>
      <w:r w:rsidRPr="000977F7">
        <w:rPr>
          <w:rFonts w:asciiTheme="majorHAnsi" w:hAnsiTheme="majorHAnsi"/>
          <w:spacing w:val="51"/>
          <w:sz w:val="20"/>
          <w:szCs w:val="20"/>
        </w:rPr>
        <w:t xml:space="preserve"> </w:t>
      </w:r>
      <w:r w:rsidRPr="000977F7">
        <w:rPr>
          <w:rFonts w:asciiTheme="majorHAnsi" w:hAnsiTheme="majorHAnsi"/>
          <w:sz w:val="20"/>
          <w:szCs w:val="20"/>
        </w:rPr>
        <w:t>органу</w:t>
      </w:r>
      <w:r w:rsidRPr="000977F7">
        <w:rPr>
          <w:rFonts w:asciiTheme="majorHAnsi" w:hAnsiTheme="majorHAnsi"/>
          <w:spacing w:val="51"/>
          <w:sz w:val="20"/>
          <w:szCs w:val="20"/>
        </w:rPr>
        <w:t xml:space="preserve"> </w:t>
      </w:r>
      <w:r w:rsidRPr="000977F7">
        <w:rPr>
          <w:rFonts w:asciiTheme="majorHAnsi" w:hAnsiTheme="majorHAnsi"/>
          <w:sz w:val="20"/>
          <w:szCs w:val="20"/>
        </w:rPr>
        <w:t>з оцінки відповідності, шляхом подання апеляції до комісії з апеляцій або в судовому</w:t>
      </w:r>
      <w:r w:rsidRPr="000977F7">
        <w:rPr>
          <w:rFonts w:asciiTheme="majorHAnsi" w:hAnsiTheme="majorHAnsi"/>
          <w:spacing w:val="-2"/>
          <w:sz w:val="20"/>
          <w:szCs w:val="20"/>
        </w:rPr>
        <w:t xml:space="preserve"> </w:t>
      </w:r>
      <w:r w:rsidRPr="000977F7">
        <w:rPr>
          <w:rFonts w:asciiTheme="majorHAnsi" w:hAnsiTheme="majorHAnsi"/>
          <w:sz w:val="20"/>
          <w:szCs w:val="20"/>
        </w:rPr>
        <w:t>порядку. Положення</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комісію</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апеляцій</w:t>
      </w:r>
      <w:r w:rsidRPr="000977F7">
        <w:rPr>
          <w:rFonts w:asciiTheme="majorHAnsi" w:hAnsiTheme="majorHAnsi"/>
          <w:spacing w:val="1"/>
          <w:sz w:val="20"/>
          <w:szCs w:val="20"/>
        </w:rPr>
        <w:t xml:space="preserve"> </w:t>
      </w:r>
      <w:r w:rsidRPr="000977F7">
        <w:rPr>
          <w:rFonts w:asciiTheme="majorHAnsi" w:hAnsiTheme="majorHAnsi"/>
          <w:sz w:val="20"/>
          <w:szCs w:val="20"/>
        </w:rPr>
        <w:t>затверджує</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національний</w:t>
      </w:r>
      <w:r w:rsidRPr="000977F7">
        <w:rPr>
          <w:rFonts w:asciiTheme="majorHAnsi" w:hAnsiTheme="majorHAnsi"/>
          <w:spacing w:val="-2"/>
          <w:sz w:val="20"/>
          <w:szCs w:val="20"/>
        </w:rPr>
        <w:t xml:space="preserve"> </w:t>
      </w:r>
      <w:r w:rsidRPr="000977F7">
        <w:rPr>
          <w:rFonts w:asciiTheme="majorHAnsi" w:hAnsiTheme="majorHAnsi"/>
          <w:sz w:val="20"/>
          <w:szCs w:val="20"/>
        </w:rPr>
        <w:t>орган</w:t>
      </w:r>
      <w:r w:rsidRPr="000977F7">
        <w:rPr>
          <w:rFonts w:asciiTheme="majorHAnsi" w:hAnsiTheme="majorHAnsi"/>
          <w:spacing w:val="-2"/>
          <w:sz w:val="20"/>
          <w:szCs w:val="20"/>
        </w:rPr>
        <w:t xml:space="preserve"> </w:t>
      </w:r>
      <w:r w:rsidRPr="000977F7">
        <w:rPr>
          <w:rFonts w:asciiTheme="majorHAnsi" w:hAnsiTheme="majorHAnsi"/>
          <w:sz w:val="20"/>
          <w:szCs w:val="20"/>
        </w:rPr>
        <w:t>України з акредитації.</w:t>
      </w:r>
    </w:p>
    <w:p w14:paraId="332301C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1"/>
          <w:sz w:val="20"/>
          <w:szCs w:val="20"/>
        </w:rPr>
        <w:t xml:space="preserve"> </w:t>
      </w:r>
      <w:r w:rsidRPr="000977F7">
        <w:rPr>
          <w:rFonts w:asciiTheme="majorHAnsi" w:hAnsiTheme="majorHAnsi"/>
          <w:i/>
          <w:sz w:val="20"/>
          <w:szCs w:val="20"/>
        </w:rPr>
        <w:t>9</w:t>
      </w:r>
      <w:r w:rsidRPr="000977F7">
        <w:rPr>
          <w:rFonts w:asciiTheme="majorHAnsi" w:hAnsiTheme="majorHAnsi"/>
          <w:i/>
          <w:spacing w:val="1"/>
          <w:sz w:val="20"/>
          <w:szCs w:val="20"/>
        </w:rPr>
        <w:t xml:space="preserve"> </w:t>
      </w:r>
      <w:r w:rsidRPr="000977F7">
        <w:rPr>
          <w:rFonts w:asciiTheme="majorHAnsi" w:hAnsiTheme="majorHAnsi"/>
          <w:i/>
          <w:sz w:val="20"/>
          <w:szCs w:val="20"/>
        </w:rPr>
        <w:t>закону</w:t>
      </w:r>
      <w:r w:rsidRPr="000977F7">
        <w:rPr>
          <w:rFonts w:asciiTheme="majorHAnsi" w:hAnsiTheme="majorHAnsi"/>
          <w:i/>
          <w:spacing w:val="1"/>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1"/>
          <w:sz w:val="20"/>
          <w:szCs w:val="20"/>
        </w:rPr>
        <w:t xml:space="preserve"> "</w:t>
      </w:r>
      <w:r w:rsidRPr="000977F7">
        <w:rPr>
          <w:rFonts w:asciiTheme="majorHAnsi" w:hAnsiTheme="majorHAnsi"/>
          <w:i/>
          <w:sz w:val="20"/>
          <w:szCs w:val="20"/>
        </w:rPr>
        <w:t>Про</w:t>
      </w:r>
      <w:r w:rsidRPr="000977F7">
        <w:rPr>
          <w:rFonts w:asciiTheme="majorHAnsi" w:hAnsiTheme="majorHAnsi"/>
          <w:i/>
          <w:spacing w:val="1"/>
          <w:sz w:val="20"/>
          <w:szCs w:val="20"/>
        </w:rPr>
        <w:t xml:space="preserve"> </w:t>
      </w:r>
      <w:r w:rsidRPr="000977F7">
        <w:rPr>
          <w:rFonts w:asciiTheme="majorHAnsi" w:hAnsiTheme="majorHAnsi"/>
          <w:i/>
          <w:sz w:val="20"/>
          <w:szCs w:val="20"/>
        </w:rPr>
        <w:t>акредитацію</w:t>
      </w:r>
      <w:r w:rsidRPr="000977F7">
        <w:rPr>
          <w:rFonts w:asciiTheme="majorHAnsi" w:hAnsiTheme="majorHAnsi"/>
          <w:i/>
          <w:spacing w:val="1"/>
          <w:sz w:val="20"/>
          <w:szCs w:val="20"/>
        </w:rPr>
        <w:t xml:space="preserve"> </w:t>
      </w:r>
      <w:r w:rsidRPr="000977F7">
        <w:rPr>
          <w:rFonts w:asciiTheme="majorHAnsi" w:hAnsiTheme="majorHAnsi"/>
          <w:i/>
          <w:sz w:val="20"/>
          <w:szCs w:val="20"/>
        </w:rPr>
        <w:t>органів</w:t>
      </w:r>
      <w:r w:rsidRPr="000977F7">
        <w:rPr>
          <w:rFonts w:asciiTheme="majorHAnsi" w:hAnsiTheme="majorHAnsi"/>
          <w:i/>
          <w:spacing w:val="1"/>
          <w:sz w:val="20"/>
          <w:szCs w:val="20"/>
        </w:rPr>
        <w:t xml:space="preserve"> </w:t>
      </w:r>
      <w:r w:rsidRPr="000977F7">
        <w:rPr>
          <w:rFonts w:asciiTheme="majorHAnsi" w:hAnsiTheme="majorHAnsi"/>
          <w:i/>
          <w:sz w:val="20"/>
          <w:szCs w:val="20"/>
        </w:rPr>
        <w:t>з</w:t>
      </w:r>
      <w:r w:rsidRPr="000977F7">
        <w:rPr>
          <w:rFonts w:asciiTheme="majorHAnsi" w:hAnsiTheme="majorHAnsi"/>
          <w:i/>
          <w:spacing w:val="-47"/>
          <w:sz w:val="20"/>
          <w:szCs w:val="20"/>
        </w:rPr>
        <w:t xml:space="preserve"> </w:t>
      </w:r>
      <w:r w:rsidRPr="000977F7">
        <w:rPr>
          <w:rFonts w:asciiTheme="majorHAnsi" w:hAnsiTheme="majorHAnsi"/>
          <w:i/>
          <w:sz w:val="20"/>
          <w:szCs w:val="20"/>
        </w:rPr>
        <w:t>оцінки відповідності"</w:t>
      </w:r>
    </w:p>
    <w:p w14:paraId="6108A60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КОМПАРАТОР</w:t>
      </w:r>
      <w:r w:rsidRPr="000977F7">
        <w:rPr>
          <w:color w:val="auto"/>
          <w:spacing w:val="-2"/>
          <w:sz w:val="20"/>
          <w:szCs w:val="20"/>
        </w:rPr>
        <w:t xml:space="preserve"> </w:t>
      </w:r>
      <w:r w:rsidRPr="000977F7">
        <w:rPr>
          <w:color w:val="auto"/>
          <w:sz w:val="20"/>
          <w:szCs w:val="20"/>
        </w:rPr>
        <w:t>–</w:t>
      </w:r>
    </w:p>
    <w:p w14:paraId="23D660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COMPARATOR</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7235F9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Вимірювальний</w:t>
      </w:r>
      <w:r w:rsidRPr="000977F7">
        <w:rPr>
          <w:rFonts w:asciiTheme="majorHAnsi" w:hAnsiTheme="majorHAnsi"/>
          <w:spacing w:val="1"/>
          <w:sz w:val="20"/>
          <w:szCs w:val="20"/>
        </w:rPr>
        <w:t xml:space="preserve"> </w:t>
      </w:r>
      <w:r w:rsidRPr="000977F7">
        <w:rPr>
          <w:rFonts w:asciiTheme="majorHAnsi" w:hAnsiTheme="majorHAnsi"/>
          <w:sz w:val="20"/>
          <w:szCs w:val="20"/>
        </w:rPr>
        <w:t>пристрій,</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реалізує</w:t>
      </w:r>
      <w:r w:rsidRPr="000977F7">
        <w:rPr>
          <w:rFonts w:asciiTheme="majorHAnsi" w:hAnsiTheme="majorHAnsi"/>
          <w:spacing w:val="1"/>
          <w:sz w:val="20"/>
          <w:szCs w:val="20"/>
        </w:rPr>
        <w:t xml:space="preserve"> </w:t>
      </w:r>
      <w:r w:rsidRPr="000977F7">
        <w:rPr>
          <w:rFonts w:asciiTheme="majorHAnsi" w:hAnsiTheme="majorHAnsi"/>
          <w:sz w:val="20"/>
          <w:szCs w:val="20"/>
        </w:rPr>
        <w:t>порівняння</w:t>
      </w:r>
      <w:r w:rsidRPr="000977F7">
        <w:rPr>
          <w:rFonts w:asciiTheme="majorHAnsi" w:hAnsiTheme="majorHAnsi"/>
          <w:spacing w:val="1"/>
          <w:sz w:val="20"/>
          <w:szCs w:val="20"/>
        </w:rPr>
        <w:t xml:space="preserve"> </w:t>
      </w:r>
      <w:r w:rsidRPr="000977F7">
        <w:rPr>
          <w:rFonts w:asciiTheme="majorHAnsi" w:hAnsiTheme="majorHAnsi"/>
          <w:sz w:val="20"/>
          <w:szCs w:val="20"/>
        </w:rPr>
        <w:t>однорідних</w:t>
      </w:r>
      <w:r w:rsidRPr="000977F7">
        <w:rPr>
          <w:rFonts w:asciiTheme="majorHAnsi" w:hAnsiTheme="majorHAnsi"/>
          <w:spacing w:val="-2"/>
          <w:sz w:val="20"/>
          <w:szCs w:val="20"/>
        </w:rPr>
        <w:t xml:space="preserve"> </w:t>
      </w:r>
      <w:r w:rsidRPr="000977F7">
        <w:rPr>
          <w:rFonts w:asciiTheme="majorHAnsi" w:hAnsiTheme="majorHAnsi"/>
          <w:sz w:val="20"/>
          <w:szCs w:val="20"/>
        </w:rPr>
        <w:t>фізичних</w:t>
      </w:r>
      <w:r w:rsidRPr="000977F7">
        <w:rPr>
          <w:rFonts w:asciiTheme="majorHAnsi" w:hAnsiTheme="majorHAnsi"/>
          <w:spacing w:val="-1"/>
          <w:sz w:val="20"/>
          <w:szCs w:val="20"/>
        </w:rPr>
        <w:t xml:space="preserve"> </w:t>
      </w:r>
      <w:r w:rsidRPr="000977F7">
        <w:rPr>
          <w:rFonts w:asciiTheme="majorHAnsi" w:hAnsiTheme="majorHAnsi"/>
          <w:sz w:val="20"/>
          <w:szCs w:val="20"/>
        </w:rPr>
        <w:t>величин</w:t>
      </w:r>
    </w:p>
    <w:p w14:paraId="1BB601D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072184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КОМПЕНСАЦІЙНІ</w:t>
      </w:r>
      <w:r w:rsidRPr="000977F7">
        <w:rPr>
          <w:color w:val="auto"/>
          <w:spacing w:val="-5"/>
          <w:sz w:val="20"/>
          <w:szCs w:val="20"/>
        </w:rPr>
        <w:t xml:space="preserve"> </w:t>
      </w:r>
      <w:r w:rsidRPr="000977F7">
        <w:rPr>
          <w:color w:val="auto"/>
          <w:sz w:val="20"/>
          <w:szCs w:val="20"/>
        </w:rPr>
        <w:t>УГОДИ</w:t>
      </w:r>
      <w:r w:rsidRPr="000977F7">
        <w:rPr>
          <w:color w:val="auto"/>
          <w:spacing w:val="-1"/>
          <w:sz w:val="20"/>
          <w:szCs w:val="20"/>
        </w:rPr>
        <w:t xml:space="preserve"> </w:t>
      </w:r>
      <w:r w:rsidRPr="000977F7">
        <w:rPr>
          <w:color w:val="auto"/>
          <w:sz w:val="20"/>
          <w:szCs w:val="20"/>
        </w:rPr>
        <w:t>–</w:t>
      </w:r>
    </w:p>
    <w:p w14:paraId="241A675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Вид зовнішньоекономічних угод, що являють собою</w:t>
      </w:r>
      <w:r w:rsidRPr="000977F7">
        <w:rPr>
          <w:rFonts w:asciiTheme="majorHAnsi" w:hAnsiTheme="majorHAnsi"/>
          <w:spacing w:val="1"/>
          <w:sz w:val="20"/>
          <w:szCs w:val="20"/>
        </w:rPr>
        <w:t xml:space="preserve"> </w:t>
      </w:r>
      <w:r w:rsidRPr="000977F7">
        <w:rPr>
          <w:rFonts w:asciiTheme="majorHAnsi" w:hAnsiTheme="majorHAnsi"/>
          <w:sz w:val="20"/>
          <w:szCs w:val="20"/>
        </w:rPr>
        <w:t>відшкодування кредитів та</w:t>
      </w:r>
      <w:r w:rsidRPr="000977F7">
        <w:rPr>
          <w:rFonts w:asciiTheme="majorHAnsi" w:hAnsiTheme="majorHAnsi"/>
          <w:spacing w:val="1"/>
          <w:sz w:val="20"/>
          <w:szCs w:val="20"/>
        </w:rPr>
        <w:t xml:space="preserve"> </w:t>
      </w:r>
      <w:r w:rsidRPr="000977F7">
        <w:rPr>
          <w:rFonts w:asciiTheme="majorHAnsi" w:hAnsiTheme="majorHAnsi"/>
          <w:sz w:val="20"/>
          <w:szCs w:val="20"/>
        </w:rPr>
        <w:t>послуг на</w:t>
      </w:r>
      <w:r w:rsidRPr="000977F7">
        <w:rPr>
          <w:rFonts w:asciiTheme="majorHAnsi" w:hAnsiTheme="majorHAnsi"/>
          <w:spacing w:val="50"/>
          <w:sz w:val="20"/>
          <w:szCs w:val="20"/>
        </w:rPr>
        <w:t xml:space="preserve"> </w:t>
      </w:r>
      <w:r w:rsidRPr="000977F7">
        <w:rPr>
          <w:rFonts w:asciiTheme="majorHAnsi" w:hAnsiTheme="majorHAnsi"/>
          <w:sz w:val="20"/>
          <w:szCs w:val="20"/>
        </w:rPr>
        <w:t>певних умовах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установлені</w:t>
      </w:r>
      <w:r w:rsidRPr="000977F7">
        <w:rPr>
          <w:rFonts w:asciiTheme="majorHAnsi" w:hAnsiTheme="majorHAnsi"/>
          <w:spacing w:val="2"/>
          <w:sz w:val="20"/>
          <w:szCs w:val="20"/>
        </w:rPr>
        <w:t xml:space="preserve"> </w:t>
      </w:r>
      <w:r w:rsidRPr="000977F7">
        <w:rPr>
          <w:rFonts w:asciiTheme="majorHAnsi" w:hAnsiTheme="majorHAnsi"/>
          <w:sz w:val="20"/>
          <w:szCs w:val="20"/>
        </w:rPr>
        <w:t>терміни</w:t>
      </w:r>
    </w:p>
    <w:p w14:paraId="23FA23C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E3B809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КОМПЕТЕНТНІСТЬ</w:t>
      </w:r>
      <w:r w:rsidRPr="000977F7">
        <w:rPr>
          <w:color w:val="auto"/>
          <w:spacing w:val="-4"/>
          <w:sz w:val="20"/>
          <w:szCs w:val="20"/>
        </w:rPr>
        <w:t xml:space="preserve"> </w:t>
      </w:r>
      <w:r w:rsidRPr="000977F7">
        <w:rPr>
          <w:color w:val="auto"/>
          <w:sz w:val="20"/>
          <w:szCs w:val="20"/>
        </w:rPr>
        <w:t>–</w:t>
      </w:r>
    </w:p>
    <w:p w14:paraId="5BC08E3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Здатність застосовувати знання та вміння для досягнення бажаних результатів</w:t>
      </w:r>
    </w:p>
    <w:p w14:paraId="051C0B9B"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ISO/IEC 17021-1:2015</w:t>
      </w:r>
    </w:p>
    <w:p w14:paraId="1FF5DA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w:t>
      </w:r>
    </w:p>
    <w:p w14:paraId="35DD8B7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визначити необхідну компетентність особи (осіб),</w:t>
      </w:r>
      <w:r w:rsidRPr="000977F7">
        <w:rPr>
          <w:rFonts w:asciiTheme="majorHAnsi" w:hAnsiTheme="majorHAnsi"/>
          <w:spacing w:val="1"/>
          <w:sz w:val="20"/>
          <w:szCs w:val="20"/>
        </w:rPr>
        <w:t xml:space="preserve"> </w:t>
      </w:r>
      <w:r w:rsidRPr="000977F7">
        <w:rPr>
          <w:rFonts w:asciiTheme="majorHAnsi" w:hAnsiTheme="majorHAnsi"/>
          <w:sz w:val="20"/>
          <w:szCs w:val="20"/>
        </w:rPr>
        <w:t>яка(-і) під її контролем виконує(-ють) роботу, що</w:t>
      </w:r>
      <w:r w:rsidRPr="000977F7">
        <w:rPr>
          <w:rFonts w:asciiTheme="majorHAnsi" w:hAnsiTheme="majorHAnsi"/>
          <w:spacing w:val="1"/>
          <w:sz w:val="20"/>
          <w:szCs w:val="20"/>
        </w:rPr>
        <w:t xml:space="preserve"> </w:t>
      </w:r>
      <w:r w:rsidRPr="000977F7">
        <w:rPr>
          <w:rFonts w:asciiTheme="majorHAnsi" w:hAnsiTheme="majorHAnsi"/>
          <w:sz w:val="20"/>
          <w:szCs w:val="20"/>
        </w:rPr>
        <w:t>впливає на дієвість і результативність системи управління</w:t>
      </w:r>
      <w:r w:rsidRPr="000977F7">
        <w:rPr>
          <w:rFonts w:asciiTheme="majorHAnsi" w:hAnsiTheme="majorHAnsi"/>
          <w:spacing w:val="-2"/>
          <w:sz w:val="20"/>
          <w:szCs w:val="20"/>
        </w:rPr>
        <w:t xml:space="preserve"> </w:t>
      </w:r>
      <w:r w:rsidRPr="000977F7">
        <w:rPr>
          <w:rFonts w:asciiTheme="majorHAnsi" w:hAnsiTheme="majorHAnsi"/>
          <w:sz w:val="20"/>
          <w:szCs w:val="20"/>
        </w:rPr>
        <w:t>якістю;</w:t>
      </w:r>
    </w:p>
    <w:p w14:paraId="0F3C69B7" w14:textId="77777777" w:rsidR="0097612F" w:rsidRPr="000977F7" w:rsidRDefault="0097612F" w:rsidP="00FD39A4">
      <w:pPr>
        <w:pStyle w:val="ac"/>
        <w:widowControl w:val="0"/>
        <w:numPr>
          <w:ilvl w:val="1"/>
          <w:numId w:val="168"/>
        </w:numPr>
        <w:tabs>
          <w:tab w:val="left" w:pos="284"/>
          <w:tab w:val="left" w:pos="65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забезпечувати впевненість у тому, що компетентність цих осіб ґрунтується на належних освіті, професійній підготовленості</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досвід;</w:t>
      </w:r>
    </w:p>
    <w:p w14:paraId="1BB05345" w14:textId="77777777" w:rsidR="0097612F" w:rsidRPr="000977F7" w:rsidRDefault="0097612F" w:rsidP="00FD39A4">
      <w:pPr>
        <w:pStyle w:val="ac"/>
        <w:widowControl w:val="0"/>
        <w:numPr>
          <w:ilvl w:val="1"/>
          <w:numId w:val="168"/>
        </w:numPr>
        <w:tabs>
          <w:tab w:val="left" w:pos="284"/>
          <w:tab w:val="left" w:pos="6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там, де застосовно, вживати заходів для набуття</w:t>
      </w:r>
      <w:r w:rsidRPr="000977F7">
        <w:rPr>
          <w:rFonts w:asciiTheme="majorHAnsi" w:hAnsiTheme="majorHAnsi"/>
          <w:spacing w:val="1"/>
          <w:sz w:val="20"/>
          <w:szCs w:val="20"/>
        </w:rPr>
        <w:t xml:space="preserve"> </w:t>
      </w:r>
      <w:r w:rsidRPr="000977F7">
        <w:rPr>
          <w:rFonts w:asciiTheme="majorHAnsi" w:hAnsiTheme="majorHAnsi"/>
          <w:sz w:val="20"/>
          <w:szCs w:val="20"/>
        </w:rPr>
        <w:t>необхідної компетентності та оцінювати результативність</w:t>
      </w:r>
      <w:r w:rsidRPr="000977F7">
        <w:rPr>
          <w:rFonts w:asciiTheme="majorHAnsi" w:hAnsiTheme="majorHAnsi"/>
          <w:spacing w:val="1"/>
          <w:sz w:val="20"/>
          <w:szCs w:val="20"/>
        </w:rPr>
        <w:t xml:space="preserve"> </w:t>
      </w:r>
      <w:r w:rsidRPr="000977F7">
        <w:rPr>
          <w:rFonts w:asciiTheme="majorHAnsi" w:hAnsiTheme="majorHAnsi"/>
          <w:sz w:val="20"/>
          <w:szCs w:val="20"/>
        </w:rPr>
        <w:t>ужитих</w:t>
      </w:r>
      <w:r w:rsidRPr="000977F7">
        <w:rPr>
          <w:rFonts w:asciiTheme="majorHAnsi" w:hAnsiTheme="majorHAnsi"/>
          <w:spacing w:val="-1"/>
          <w:sz w:val="20"/>
          <w:szCs w:val="20"/>
        </w:rPr>
        <w:t xml:space="preserve"> </w:t>
      </w:r>
      <w:r w:rsidRPr="000977F7">
        <w:rPr>
          <w:rFonts w:asciiTheme="majorHAnsi" w:hAnsiTheme="majorHAnsi"/>
          <w:sz w:val="20"/>
          <w:szCs w:val="20"/>
        </w:rPr>
        <w:t>заходів;</w:t>
      </w:r>
    </w:p>
    <w:p w14:paraId="567743F9" w14:textId="77777777" w:rsidR="0097612F" w:rsidRPr="000977F7" w:rsidRDefault="0097612F" w:rsidP="00FD39A4">
      <w:pPr>
        <w:pStyle w:val="ac"/>
        <w:widowControl w:val="0"/>
        <w:numPr>
          <w:ilvl w:val="1"/>
          <w:numId w:val="168"/>
        </w:numPr>
        <w:tabs>
          <w:tab w:val="left" w:pos="284"/>
          <w:tab w:val="left" w:pos="65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зберігати</w:t>
      </w:r>
      <w:r w:rsidRPr="000977F7">
        <w:rPr>
          <w:rFonts w:asciiTheme="majorHAnsi" w:hAnsiTheme="majorHAnsi"/>
          <w:spacing w:val="-5"/>
          <w:sz w:val="20"/>
          <w:szCs w:val="20"/>
        </w:rPr>
        <w:t xml:space="preserve"> </w:t>
      </w:r>
      <w:r w:rsidRPr="000977F7">
        <w:rPr>
          <w:rFonts w:asciiTheme="majorHAnsi" w:hAnsiTheme="majorHAnsi"/>
          <w:sz w:val="20"/>
          <w:szCs w:val="20"/>
        </w:rPr>
        <w:t>належну</w:t>
      </w:r>
      <w:r w:rsidRPr="000977F7">
        <w:rPr>
          <w:rFonts w:asciiTheme="majorHAnsi" w:hAnsiTheme="majorHAnsi"/>
          <w:spacing w:val="-7"/>
          <w:sz w:val="20"/>
          <w:szCs w:val="20"/>
        </w:rPr>
        <w:t xml:space="preserve"> </w:t>
      </w:r>
      <w:r w:rsidRPr="000977F7">
        <w:rPr>
          <w:rFonts w:asciiTheme="majorHAnsi" w:hAnsiTheme="majorHAnsi"/>
          <w:sz w:val="20"/>
          <w:szCs w:val="20"/>
        </w:rPr>
        <w:t>задокументовану</w:t>
      </w:r>
      <w:r w:rsidRPr="000977F7">
        <w:rPr>
          <w:rFonts w:asciiTheme="majorHAnsi" w:hAnsiTheme="majorHAnsi"/>
          <w:spacing w:val="-4"/>
          <w:sz w:val="20"/>
          <w:szCs w:val="20"/>
        </w:rPr>
        <w:t xml:space="preserve"> </w:t>
      </w:r>
      <w:r w:rsidRPr="000977F7">
        <w:rPr>
          <w:rFonts w:asciiTheme="majorHAnsi" w:hAnsiTheme="majorHAnsi"/>
          <w:sz w:val="20"/>
          <w:szCs w:val="20"/>
        </w:rPr>
        <w:t>інформацію</w:t>
      </w:r>
      <w:r w:rsidRPr="000977F7">
        <w:rPr>
          <w:rFonts w:asciiTheme="majorHAnsi" w:hAnsiTheme="majorHAnsi"/>
          <w:spacing w:val="-4"/>
          <w:sz w:val="20"/>
          <w:szCs w:val="20"/>
        </w:rPr>
        <w:t xml:space="preserve"> </w:t>
      </w:r>
      <w:r w:rsidRPr="000977F7">
        <w:rPr>
          <w:rFonts w:asciiTheme="majorHAnsi" w:hAnsiTheme="majorHAnsi"/>
          <w:sz w:val="20"/>
          <w:szCs w:val="20"/>
        </w:rPr>
        <w:t>як</w:t>
      </w:r>
      <w:r w:rsidRPr="000977F7">
        <w:rPr>
          <w:rFonts w:asciiTheme="majorHAnsi" w:hAnsiTheme="majorHAnsi"/>
          <w:spacing w:val="-47"/>
          <w:sz w:val="20"/>
          <w:szCs w:val="20"/>
        </w:rPr>
        <w:t xml:space="preserve"> </w:t>
      </w:r>
      <w:r w:rsidRPr="000977F7">
        <w:rPr>
          <w:rFonts w:asciiTheme="majorHAnsi" w:hAnsiTheme="majorHAnsi"/>
          <w:sz w:val="20"/>
          <w:szCs w:val="20"/>
        </w:rPr>
        <w:t>доказ</w:t>
      </w:r>
      <w:r w:rsidRPr="000977F7">
        <w:rPr>
          <w:rFonts w:asciiTheme="majorHAnsi" w:hAnsiTheme="majorHAnsi"/>
          <w:spacing w:val="-1"/>
          <w:sz w:val="20"/>
          <w:szCs w:val="20"/>
        </w:rPr>
        <w:t xml:space="preserve"> </w:t>
      </w:r>
      <w:r w:rsidRPr="000977F7">
        <w:rPr>
          <w:rFonts w:asciiTheme="majorHAnsi" w:hAnsiTheme="majorHAnsi"/>
          <w:sz w:val="20"/>
          <w:szCs w:val="20"/>
        </w:rPr>
        <w:t>компетентності.</w:t>
      </w:r>
    </w:p>
    <w:p w14:paraId="387793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2"/>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3"/>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3"/>
          <w:sz w:val="20"/>
          <w:szCs w:val="20"/>
        </w:rPr>
        <w:t xml:space="preserve"> </w:t>
      </w:r>
      <w:r w:rsidRPr="000977F7">
        <w:rPr>
          <w:rFonts w:asciiTheme="majorHAnsi" w:hAnsiTheme="majorHAnsi"/>
          <w:sz w:val="20"/>
          <w:szCs w:val="20"/>
        </w:rPr>
        <w:t>т</w:t>
      </w:r>
      <w:r w:rsidRPr="000977F7">
        <w:rPr>
          <w:rFonts w:asciiTheme="majorHAnsi" w:hAnsiTheme="majorHAnsi"/>
          <w:spacing w:val="-3"/>
          <w:sz w:val="20"/>
          <w:szCs w:val="20"/>
        </w:rPr>
        <w:t xml:space="preserve"> </w:t>
      </w:r>
      <w:r w:rsidRPr="000977F7">
        <w:rPr>
          <w:rFonts w:asciiTheme="majorHAnsi" w:hAnsiTheme="majorHAnsi"/>
          <w:sz w:val="20"/>
          <w:szCs w:val="20"/>
        </w:rPr>
        <w:t>к</w:t>
      </w:r>
      <w:r w:rsidRPr="000977F7">
        <w:rPr>
          <w:rFonts w:asciiTheme="majorHAnsi" w:hAnsiTheme="majorHAnsi"/>
          <w:spacing w:val="-3"/>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Застосовні</w:t>
      </w:r>
      <w:r w:rsidRPr="000977F7">
        <w:rPr>
          <w:rFonts w:asciiTheme="majorHAnsi" w:hAnsiTheme="majorHAnsi"/>
          <w:spacing w:val="-3"/>
          <w:sz w:val="20"/>
          <w:szCs w:val="20"/>
        </w:rPr>
        <w:t xml:space="preserve"> </w:t>
      </w:r>
      <w:r w:rsidRPr="000977F7">
        <w:rPr>
          <w:rFonts w:asciiTheme="majorHAnsi" w:hAnsiTheme="majorHAnsi"/>
          <w:sz w:val="20"/>
          <w:szCs w:val="20"/>
        </w:rPr>
        <w:t>заходи</w:t>
      </w:r>
      <w:r w:rsidRPr="000977F7">
        <w:rPr>
          <w:rFonts w:asciiTheme="majorHAnsi" w:hAnsiTheme="majorHAnsi"/>
          <w:spacing w:val="-4"/>
          <w:sz w:val="20"/>
          <w:szCs w:val="20"/>
        </w:rPr>
        <w:t xml:space="preserve"> </w:t>
      </w:r>
      <w:r w:rsidRPr="000977F7">
        <w:rPr>
          <w:rFonts w:asciiTheme="majorHAnsi" w:hAnsiTheme="majorHAnsi"/>
          <w:sz w:val="20"/>
          <w:szCs w:val="20"/>
        </w:rPr>
        <w:t>можуть</w:t>
      </w:r>
      <w:r w:rsidRPr="000977F7">
        <w:rPr>
          <w:rFonts w:asciiTheme="majorHAnsi" w:hAnsiTheme="majorHAnsi"/>
          <w:spacing w:val="-2"/>
          <w:sz w:val="20"/>
          <w:szCs w:val="20"/>
        </w:rPr>
        <w:t xml:space="preserve"> </w:t>
      </w:r>
      <w:r w:rsidRPr="000977F7">
        <w:rPr>
          <w:rFonts w:asciiTheme="majorHAnsi" w:hAnsiTheme="majorHAnsi"/>
          <w:sz w:val="20"/>
          <w:szCs w:val="20"/>
        </w:rPr>
        <w:t>охоплювати,</w:t>
      </w:r>
      <w:r w:rsidRPr="000977F7">
        <w:rPr>
          <w:rFonts w:asciiTheme="majorHAnsi" w:hAnsiTheme="majorHAnsi"/>
          <w:spacing w:val="-47"/>
          <w:sz w:val="20"/>
          <w:szCs w:val="20"/>
        </w:rPr>
        <w:t xml:space="preserve"> </w:t>
      </w:r>
      <w:r w:rsidRPr="000977F7">
        <w:rPr>
          <w:rFonts w:asciiTheme="majorHAnsi" w:hAnsiTheme="majorHAnsi"/>
          <w:sz w:val="20"/>
          <w:szCs w:val="20"/>
        </w:rPr>
        <w:t>наприклад, проведення навчання, наставництво чи</w:t>
      </w:r>
      <w:r w:rsidRPr="000977F7">
        <w:rPr>
          <w:rFonts w:asciiTheme="majorHAnsi" w:hAnsiTheme="majorHAnsi"/>
          <w:spacing w:val="1"/>
          <w:sz w:val="20"/>
          <w:szCs w:val="20"/>
        </w:rPr>
        <w:t xml:space="preserve"> </w:t>
      </w:r>
      <w:r w:rsidRPr="000977F7">
        <w:rPr>
          <w:rFonts w:asciiTheme="majorHAnsi" w:hAnsiTheme="majorHAnsi"/>
          <w:sz w:val="20"/>
          <w:szCs w:val="20"/>
        </w:rPr>
        <w:t>переведення персоналу на нові посади, чи прийняття</w:t>
      </w:r>
      <w:r w:rsidRPr="000977F7">
        <w:rPr>
          <w:rFonts w:asciiTheme="majorHAnsi" w:hAnsiTheme="majorHAnsi"/>
          <w:spacing w:val="1"/>
          <w:sz w:val="20"/>
          <w:szCs w:val="20"/>
        </w:rPr>
        <w:t xml:space="preserve"> </w:t>
      </w:r>
      <w:r w:rsidRPr="000977F7">
        <w:rPr>
          <w:rFonts w:asciiTheme="majorHAnsi" w:hAnsiTheme="majorHAnsi"/>
          <w:sz w:val="20"/>
          <w:szCs w:val="20"/>
        </w:rPr>
        <w:t>компетентних осіб на роботу, чи укладання з ними</w:t>
      </w:r>
      <w:r w:rsidRPr="000977F7">
        <w:rPr>
          <w:rFonts w:asciiTheme="majorHAnsi" w:hAnsiTheme="majorHAnsi"/>
          <w:spacing w:val="1"/>
          <w:sz w:val="20"/>
          <w:szCs w:val="20"/>
        </w:rPr>
        <w:t xml:space="preserve"> </w:t>
      </w:r>
      <w:r w:rsidRPr="000977F7">
        <w:rPr>
          <w:rFonts w:asciiTheme="majorHAnsi" w:hAnsiTheme="majorHAnsi"/>
          <w:sz w:val="20"/>
          <w:szCs w:val="20"/>
        </w:rPr>
        <w:t>контрактів</w:t>
      </w:r>
    </w:p>
    <w:p w14:paraId="5E5CD31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2A1BDD32"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КОМПЕТЕНЦІЯ</w:t>
      </w:r>
      <w:r w:rsidRPr="000977F7">
        <w:rPr>
          <w:color w:val="auto"/>
          <w:spacing w:val="1"/>
          <w:sz w:val="20"/>
          <w:szCs w:val="20"/>
        </w:rPr>
        <w:t xml:space="preserve"> </w:t>
      </w:r>
      <w:r w:rsidRPr="000977F7">
        <w:rPr>
          <w:color w:val="auto"/>
          <w:sz w:val="20"/>
          <w:szCs w:val="20"/>
        </w:rPr>
        <w:t>ВИКОНАВЧІВ</w:t>
      </w:r>
      <w:r w:rsidRPr="000977F7">
        <w:rPr>
          <w:color w:val="auto"/>
          <w:spacing w:val="1"/>
          <w:sz w:val="20"/>
          <w:szCs w:val="20"/>
        </w:rPr>
        <w:t xml:space="preserve"> </w:t>
      </w:r>
      <w:r w:rsidRPr="000977F7">
        <w:rPr>
          <w:color w:val="auto"/>
          <w:sz w:val="20"/>
          <w:szCs w:val="20"/>
        </w:rPr>
        <w:t>ОРГАНІВ</w:t>
      </w:r>
      <w:r w:rsidRPr="000977F7">
        <w:rPr>
          <w:color w:val="auto"/>
          <w:spacing w:val="1"/>
          <w:sz w:val="20"/>
          <w:szCs w:val="20"/>
        </w:rPr>
        <w:t xml:space="preserve"> </w:t>
      </w:r>
      <w:r w:rsidRPr="000977F7">
        <w:rPr>
          <w:color w:val="auto"/>
          <w:sz w:val="20"/>
          <w:szCs w:val="20"/>
        </w:rPr>
        <w:t>СІЛЬСКИХ,</w:t>
      </w:r>
      <w:r w:rsidRPr="000977F7">
        <w:rPr>
          <w:color w:val="auto"/>
          <w:spacing w:val="1"/>
          <w:sz w:val="20"/>
          <w:szCs w:val="20"/>
        </w:rPr>
        <w:t xml:space="preserve"> </w:t>
      </w:r>
      <w:r w:rsidRPr="000977F7">
        <w:rPr>
          <w:color w:val="auto"/>
          <w:sz w:val="20"/>
          <w:szCs w:val="20"/>
        </w:rPr>
        <w:t>СЕЛИЩНИХ,</w:t>
      </w:r>
      <w:r w:rsidRPr="000977F7">
        <w:rPr>
          <w:color w:val="auto"/>
          <w:spacing w:val="1"/>
          <w:sz w:val="20"/>
          <w:szCs w:val="20"/>
        </w:rPr>
        <w:t xml:space="preserve"> </w:t>
      </w:r>
      <w:r w:rsidRPr="000977F7">
        <w:rPr>
          <w:color w:val="auto"/>
          <w:sz w:val="20"/>
          <w:szCs w:val="20"/>
        </w:rPr>
        <w:t>МІСЬКИХ</w:t>
      </w:r>
      <w:r w:rsidRPr="000977F7">
        <w:rPr>
          <w:color w:val="auto"/>
          <w:spacing w:val="1"/>
          <w:sz w:val="20"/>
          <w:szCs w:val="20"/>
        </w:rPr>
        <w:t xml:space="preserve"> </w:t>
      </w:r>
      <w:r w:rsidRPr="000977F7">
        <w:rPr>
          <w:color w:val="auto"/>
          <w:sz w:val="20"/>
          <w:szCs w:val="20"/>
        </w:rPr>
        <w:t>РАД</w:t>
      </w:r>
      <w:r w:rsidRPr="000977F7">
        <w:rPr>
          <w:color w:val="auto"/>
          <w:spacing w:val="1"/>
          <w:sz w:val="20"/>
          <w:szCs w:val="20"/>
        </w:rPr>
        <w:t xml:space="preserve"> </w:t>
      </w:r>
      <w:r w:rsidRPr="000977F7">
        <w:rPr>
          <w:color w:val="auto"/>
          <w:sz w:val="20"/>
          <w:szCs w:val="20"/>
        </w:rPr>
        <w:t>У</w:t>
      </w:r>
      <w:r w:rsidRPr="000977F7">
        <w:rPr>
          <w:color w:val="auto"/>
          <w:spacing w:val="1"/>
          <w:sz w:val="20"/>
          <w:szCs w:val="20"/>
        </w:rPr>
        <w:t xml:space="preserve"> </w:t>
      </w:r>
      <w:r w:rsidRPr="000977F7">
        <w:rPr>
          <w:color w:val="auto"/>
          <w:sz w:val="20"/>
          <w:szCs w:val="20"/>
        </w:rPr>
        <w:t>ГАЛУЗІ</w:t>
      </w:r>
      <w:r w:rsidRPr="000977F7">
        <w:rPr>
          <w:color w:val="auto"/>
          <w:spacing w:val="1"/>
          <w:sz w:val="20"/>
          <w:szCs w:val="20"/>
        </w:rPr>
        <w:t xml:space="preserve"> </w:t>
      </w:r>
      <w:r w:rsidRPr="000977F7">
        <w:rPr>
          <w:color w:val="auto"/>
          <w:sz w:val="20"/>
          <w:szCs w:val="20"/>
        </w:rPr>
        <w:t>ОХОРОНИ</w:t>
      </w:r>
      <w:r w:rsidRPr="000977F7">
        <w:rPr>
          <w:color w:val="auto"/>
          <w:spacing w:val="1"/>
          <w:sz w:val="20"/>
          <w:szCs w:val="20"/>
        </w:rPr>
        <w:t xml:space="preserve"> </w:t>
      </w:r>
      <w:r w:rsidRPr="000977F7">
        <w:rPr>
          <w:color w:val="auto"/>
          <w:sz w:val="20"/>
          <w:szCs w:val="20"/>
        </w:rPr>
        <w:t>НАВКОЛИШНЬОГО</w:t>
      </w:r>
      <w:r w:rsidRPr="000977F7">
        <w:rPr>
          <w:color w:val="auto"/>
          <w:spacing w:val="1"/>
          <w:sz w:val="20"/>
          <w:szCs w:val="20"/>
        </w:rPr>
        <w:t xml:space="preserve"> </w:t>
      </w:r>
    </w:p>
    <w:p w14:paraId="0A01A2F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ПРИРОДНОГО СЕРЕДОВИЩА</w:t>
      </w:r>
      <w:r w:rsidRPr="000977F7">
        <w:rPr>
          <w:color w:val="auto"/>
          <w:spacing w:val="3"/>
          <w:sz w:val="20"/>
          <w:szCs w:val="20"/>
        </w:rPr>
        <w:t xml:space="preserve"> </w:t>
      </w:r>
      <w:r w:rsidRPr="000977F7">
        <w:rPr>
          <w:color w:val="auto"/>
          <w:sz w:val="20"/>
          <w:szCs w:val="20"/>
        </w:rPr>
        <w:t>-</w:t>
      </w:r>
    </w:p>
    <w:p w14:paraId="7BD531A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Виконавчі органи сільських, селищних, міських рад у</w:t>
      </w:r>
      <w:r w:rsidRPr="000977F7">
        <w:rPr>
          <w:rFonts w:asciiTheme="majorHAnsi" w:hAnsiTheme="majorHAnsi"/>
          <w:spacing w:val="1"/>
          <w:sz w:val="20"/>
          <w:szCs w:val="20"/>
        </w:rPr>
        <w:t xml:space="preserve"> </w:t>
      </w:r>
      <w:r w:rsidRPr="000977F7">
        <w:rPr>
          <w:rFonts w:asciiTheme="majorHAnsi" w:hAnsiTheme="majorHAnsi"/>
          <w:sz w:val="20"/>
          <w:szCs w:val="20"/>
        </w:rPr>
        <w:t>галузі охорони навколишнього природного 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межах</w:t>
      </w:r>
      <w:r w:rsidRPr="000977F7">
        <w:rPr>
          <w:rFonts w:asciiTheme="majorHAnsi" w:hAnsiTheme="majorHAnsi"/>
          <w:spacing w:val="-2"/>
          <w:sz w:val="20"/>
          <w:szCs w:val="20"/>
        </w:rPr>
        <w:t xml:space="preserve"> </w:t>
      </w:r>
      <w:r w:rsidRPr="000977F7">
        <w:rPr>
          <w:rFonts w:asciiTheme="majorHAnsi" w:hAnsiTheme="majorHAnsi"/>
          <w:sz w:val="20"/>
          <w:szCs w:val="20"/>
        </w:rPr>
        <w:t>своєї</w:t>
      </w:r>
      <w:r w:rsidRPr="000977F7">
        <w:rPr>
          <w:rFonts w:asciiTheme="majorHAnsi" w:hAnsiTheme="majorHAnsi"/>
          <w:spacing w:val="-1"/>
          <w:sz w:val="20"/>
          <w:szCs w:val="20"/>
        </w:rPr>
        <w:t xml:space="preserve"> </w:t>
      </w:r>
      <w:r w:rsidRPr="000977F7">
        <w:rPr>
          <w:rFonts w:asciiTheme="majorHAnsi" w:hAnsiTheme="majorHAnsi"/>
          <w:sz w:val="20"/>
          <w:szCs w:val="20"/>
        </w:rPr>
        <w:t>компетенції:</w:t>
      </w:r>
    </w:p>
    <w:p w14:paraId="3CDF74D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2"/>
          <w:sz w:val="20"/>
          <w:szCs w:val="20"/>
        </w:rPr>
        <w:t xml:space="preserve"> </w:t>
      </w:r>
      <w:r w:rsidRPr="000977F7">
        <w:rPr>
          <w:rFonts w:asciiTheme="majorHAnsi" w:hAnsiTheme="majorHAnsi"/>
          <w:sz w:val="20"/>
          <w:szCs w:val="20"/>
        </w:rPr>
        <w:t>здійснюють</w:t>
      </w:r>
      <w:r w:rsidRPr="000977F7">
        <w:rPr>
          <w:rFonts w:asciiTheme="majorHAnsi" w:hAnsiTheme="majorHAnsi"/>
          <w:spacing w:val="-2"/>
          <w:sz w:val="20"/>
          <w:szCs w:val="20"/>
        </w:rPr>
        <w:t xml:space="preserve"> </w:t>
      </w:r>
      <w:r w:rsidRPr="000977F7">
        <w:rPr>
          <w:rFonts w:asciiTheme="majorHAnsi" w:hAnsiTheme="majorHAnsi"/>
          <w:sz w:val="20"/>
          <w:szCs w:val="20"/>
        </w:rPr>
        <w:t>реалізацію</w:t>
      </w:r>
      <w:r w:rsidRPr="000977F7">
        <w:rPr>
          <w:rFonts w:asciiTheme="majorHAnsi" w:hAnsiTheme="majorHAnsi"/>
          <w:spacing w:val="-3"/>
          <w:sz w:val="20"/>
          <w:szCs w:val="20"/>
        </w:rPr>
        <w:t xml:space="preserve"> </w:t>
      </w:r>
      <w:r w:rsidRPr="000977F7">
        <w:rPr>
          <w:rFonts w:asciiTheme="majorHAnsi" w:hAnsiTheme="majorHAnsi"/>
          <w:sz w:val="20"/>
          <w:szCs w:val="20"/>
        </w:rPr>
        <w:t>рішень</w:t>
      </w:r>
      <w:r w:rsidRPr="000977F7">
        <w:rPr>
          <w:rFonts w:asciiTheme="majorHAnsi" w:hAnsiTheme="majorHAnsi"/>
          <w:spacing w:val="-2"/>
          <w:sz w:val="20"/>
          <w:szCs w:val="20"/>
        </w:rPr>
        <w:t xml:space="preserve"> </w:t>
      </w:r>
      <w:r w:rsidRPr="000977F7">
        <w:rPr>
          <w:rFonts w:asciiTheme="majorHAnsi" w:hAnsiTheme="majorHAnsi"/>
          <w:sz w:val="20"/>
          <w:szCs w:val="20"/>
        </w:rPr>
        <w:t>відповідних</w:t>
      </w:r>
      <w:r w:rsidRPr="000977F7">
        <w:rPr>
          <w:rFonts w:asciiTheme="majorHAnsi" w:hAnsiTheme="majorHAnsi"/>
          <w:spacing w:val="-4"/>
          <w:sz w:val="20"/>
          <w:szCs w:val="20"/>
        </w:rPr>
        <w:t xml:space="preserve"> </w:t>
      </w:r>
      <w:r w:rsidRPr="000977F7">
        <w:rPr>
          <w:rFonts w:asciiTheme="majorHAnsi" w:hAnsiTheme="majorHAnsi"/>
          <w:sz w:val="20"/>
          <w:szCs w:val="20"/>
        </w:rPr>
        <w:t>рад;</w:t>
      </w:r>
    </w:p>
    <w:p w14:paraId="63914D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 координують діяльність підприємств, установ та</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організацій,</w:t>
      </w:r>
      <w:r w:rsidRPr="000977F7">
        <w:rPr>
          <w:rFonts w:asciiTheme="majorHAnsi" w:hAnsiTheme="majorHAnsi"/>
          <w:spacing w:val="1"/>
          <w:sz w:val="20"/>
          <w:szCs w:val="20"/>
        </w:rPr>
        <w:t xml:space="preserve"> </w:t>
      </w:r>
      <w:r w:rsidRPr="000977F7">
        <w:rPr>
          <w:rFonts w:asciiTheme="majorHAnsi" w:hAnsiTheme="majorHAnsi"/>
          <w:sz w:val="20"/>
          <w:szCs w:val="20"/>
        </w:rPr>
        <w:t>розташованих</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території</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w:t>
      </w:r>
      <w:r w:rsidRPr="000977F7">
        <w:rPr>
          <w:rFonts w:asciiTheme="majorHAnsi" w:hAnsiTheme="majorHAnsi"/>
          <w:spacing w:val="1"/>
          <w:sz w:val="20"/>
          <w:szCs w:val="20"/>
        </w:rPr>
        <w:t xml:space="preserve"> </w:t>
      </w:r>
      <w:r w:rsidRPr="000977F7">
        <w:rPr>
          <w:rFonts w:asciiTheme="majorHAnsi" w:hAnsiTheme="majorHAnsi"/>
          <w:sz w:val="20"/>
          <w:szCs w:val="20"/>
        </w:rPr>
        <w:t>села, селища, міста, незалежно від форм власності та</w:t>
      </w:r>
      <w:r w:rsidRPr="000977F7">
        <w:rPr>
          <w:rFonts w:asciiTheme="majorHAnsi" w:hAnsiTheme="majorHAnsi"/>
          <w:spacing w:val="1"/>
          <w:sz w:val="20"/>
          <w:szCs w:val="20"/>
        </w:rPr>
        <w:t xml:space="preserve"> </w:t>
      </w:r>
      <w:r w:rsidRPr="000977F7">
        <w:rPr>
          <w:rFonts w:asciiTheme="majorHAnsi" w:hAnsiTheme="majorHAnsi"/>
          <w:sz w:val="20"/>
          <w:szCs w:val="20"/>
        </w:rPr>
        <w:t>підпорядкування;</w:t>
      </w:r>
    </w:p>
    <w:p w14:paraId="5868E6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організують</w:t>
      </w:r>
      <w:r w:rsidRPr="000977F7">
        <w:rPr>
          <w:rFonts w:asciiTheme="majorHAnsi" w:hAnsiTheme="majorHAnsi"/>
          <w:spacing w:val="1"/>
          <w:sz w:val="20"/>
          <w:szCs w:val="20"/>
        </w:rPr>
        <w:t xml:space="preserve"> </w:t>
      </w:r>
      <w:r w:rsidRPr="000977F7">
        <w:rPr>
          <w:rFonts w:asciiTheme="majorHAnsi" w:hAnsiTheme="majorHAnsi"/>
          <w:sz w:val="20"/>
          <w:szCs w:val="20"/>
        </w:rPr>
        <w:t>розробку</w:t>
      </w:r>
      <w:r w:rsidRPr="000977F7">
        <w:rPr>
          <w:rFonts w:asciiTheme="majorHAnsi" w:hAnsiTheme="majorHAnsi"/>
          <w:spacing w:val="1"/>
          <w:sz w:val="20"/>
          <w:szCs w:val="20"/>
        </w:rPr>
        <w:t xml:space="preserve"> </w:t>
      </w:r>
      <w:r w:rsidRPr="000977F7">
        <w:rPr>
          <w:rFonts w:asciiTheme="majorHAnsi" w:hAnsiTheme="majorHAnsi"/>
          <w:sz w:val="20"/>
          <w:szCs w:val="20"/>
        </w:rPr>
        <w:t>місцевих</w:t>
      </w:r>
      <w:r w:rsidRPr="000977F7">
        <w:rPr>
          <w:rFonts w:asciiTheme="majorHAnsi" w:hAnsiTheme="majorHAnsi"/>
          <w:spacing w:val="1"/>
          <w:sz w:val="20"/>
          <w:szCs w:val="20"/>
        </w:rPr>
        <w:t xml:space="preserve"> </w:t>
      </w:r>
      <w:r w:rsidRPr="000977F7">
        <w:rPr>
          <w:rFonts w:asciiTheme="majorHAnsi" w:hAnsiTheme="majorHAnsi"/>
          <w:sz w:val="20"/>
          <w:szCs w:val="20"/>
        </w:rPr>
        <w:t>екологічних</w:t>
      </w:r>
      <w:r w:rsidRPr="000977F7">
        <w:rPr>
          <w:rFonts w:asciiTheme="majorHAnsi" w:hAnsiTheme="majorHAnsi"/>
          <w:spacing w:val="1"/>
          <w:sz w:val="20"/>
          <w:szCs w:val="20"/>
        </w:rPr>
        <w:t xml:space="preserve"> </w:t>
      </w:r>
      <w:r w:rsidRPr="000977F7">
        <w:rPr>
          <w:rFonts w:asciiTheme="majorHAnsi" w:hAnsiTheme="majorHAnsi"/>
          <w:sz w:val="20"/>
          <w:szCs w:val="20"/>
        </w:rPr>
        <w:t>програм;</w:t>
      </w:r>
    </w:p>
    <w:p w14:paraId="4B71F46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 затверджують за поданням обласних, Київської та</w:t>
      </w:r>
      <w:r w:rsidRPr="000977F7">
        <w:rPr>
          <w:rFonts w:asciiTheme="majorHAnsi" w:hAnsiTheme="majorHAnsi"/>
          <w:spacing w:val="1"/>
          <w:sz w:val="20"/>
          <w:szCs w:val="20"/>
        </w:rPr>
        <w:t xml:space="preserve"> </w:t>
      </w:r>
      <w:r w:rsidRPr="000977F7">
        <w:rPr>
          <w:rFonts w:asciiTheme="majorHAnsi" w:hAnsiTheme="majorHAnsi"/>
          <w:sz w:val="20"/>
          <w:szCs w:val="20"/>
        </w:rPr>
        <w:t>Севастопольської міських державних адміністрацій, а</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території</w:t>
      </w:r>
      <w:r w:rsidRPr="000977F7">
        <w:rPr>
          <w:rFonts w:asciiTheme="majorHAnsi" w:hAnsiTheme="majorHAnsi"/>
          <w:spacing w:val="1"/>
          <w:sz w:val="20"/>
          <w:szCs w:val="20"/>
        </w:rPr>
        <w:t xml:space="preserve"> </w:t>
      </w:r>
      <w:r w:rsidRPr="000977F7">
        <w:rPr>
          <w:rFonts w:asciiTheme="majorHAnsi" w:hAnsiTheme="majorHAnsi"/>
          <w:sz w:val="20"/>
          <w:szCs w:val="20"/>
        </w:rPr>
        <w:t>Автономної</w:t>
      </w:r>
      <w:r w:rsidRPr="000977F7">
        <w:rPr>
          <w:rFonts w:asciiTheme="majorHAnsi" w:hAnsiTheme="majorHAnsi"/>
          <w:spacing w:val="1"/>
          <w:sz w:val="20"/>
          <w:szCs w:val="20"/>
        </w:rPr>
        <w:t xml:space="preserve"> </w:t>
      </w:r>
      <w:r w:rsidRPr="000977F7">
        <w:rPr>
          <w:rFonts w:asciiTheme="majorHAnsi" w:hAnsiTheme="majorHAnsi"/>
          <w:sz w:val="20"/>
          <w:szCs w:val="20"/>
        </w:rPr>
        <w:t>Республіки</w:t>
      </w:r>
      <w:r w:rsidRPr="000977F7">
        <w:rPr>
          <w:rFonts w:asciiTheme="majorHAnsi" w:hAnsiTheme="majorHAnsi"/>
          <w:spacing w:val="1"/>
          <w:sz w:val="20"/>
          <w:szCs w:val="20"/>
        </w:rPr>
        <w:t xml:space="preserve"> </w:t>
      </w:r>
      <w:r w:rsidRPr="000977F7">
        <w:rPr>
          <w:rFonts w:asciiTheme="majorHAnsi" w:hAnsiTheme="majorHAnsi"/>
          <w:sz w:val="20"/>
          <w:szCs w:val="20"/>
        </w:rPr>
        <w:t>Крим</w:t>
      </w:r>
      <w:r w:rsidRPr="000977F7">
        <w:rPr>
          <w:rFonts w:asciiTheme="majorHAnsi" w:hAnsiTheme="majorHAnsi"/>
          <w:spacing w:val="1"/>
          <w:sz w:val="20"/>
          <w:szCs w:val="20"/>
        </w:rPr>
        <w:t xml:space="preserve"> </w:t>
      </w:r>
      <w:r w:rsidRPr="000977F7">
        <w:rPr>
          <w:rFonts w:asciiTheme="majorHAnsi" w:hAnsiTheme="majorHAnsi"/>
          <w:sz w:val="20"/>
          <w:szCs w:val="20"/>
        </w:rPr>
        <w:t>органу</w:t>
      </w:r>
      <w:r w:rsidRPr="000977F7">
        <w:rPr>
          <w:rFonts w:asciiTheme="majorHAnsi" w:hAnsiTheme="majorHAnsi"/>
          <w:spacing w:val="1"/>
          <w:sz w:val="20"/>
          <w:szCs w:val="20"/>
        </w:rPr>
        <w:t xml:space="preserve"> </w:t>
      </w:r>
      <w:r w:rsidRPr="000977F7">
        <w:rPr>
          <w:rFonts w:asciiTheme="majorHAnsi" w:hAnsiTheme="majorHAnsi"/>
          <w:sz w:val="20"/>
          <w:szCs w:val="20"/>
        </w:rPr>
        <w:t xml:space="preserve">виконавчої влади Автономної Республіки Крим з питань охорони навколишнього природного </w:t>
      </w:r>
      <w:r w:rsidRPr="000977F7">
        <w:rPr>
          <w:rFonts w:asciiTheme="majorHAnsi" w:hAnsiTheme="majorHAnsi"/>
          <w:sz w:val="20"/>
          <w:szCs w:val="20"/>
        </w:rPr>
        <w:t>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для підприємств, установ та організацій ліміти 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природних</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винятком</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r w:rsidRPr="000977F7">
        <w:rPr>
          <w:rFonts w:asciiTheme="majorHAnsi" w:hAnsiTheme="majorHAnsi"/>
          <w:spacing w:val="-47"/>
          <w:sz w:val="20"/>
          <w:szCs w:val="20"/>
        </w:rPr>
        <w:t xml:space="preserve"> </w:t>
      </w:r>
      <w:r w:rsidRPr="000977F7">
        <w:rPr>
          <w:rFonts w:asciiTheme="majorHAnsi" w:hAnsiTheme="majorHAnsi"/>
          <w:sz w:val="20"/>
          <w:szCs w:val="20"/>
        </w:rPr>
        <w:t>загальнодержавного</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ліміти</w:t>
      </w:r>
      <w:r w:rsidRPr="000977F7">
        <w:rPr>
          <w:rFonts w:asciiTheme="majorHAnsi" w:hAnsiTheme="majorHAnsi"/>
          <w:spacing w:val="1"/>
          <w:sz w:val="20"/>
          <w:szCs w:val="20"/>
        </w:rPr>
        <w:t xml:space="preserve"> </w:t>
      </w:r>
      <w:r w:rsidRPr="000977F7">
        <w:rPr>
          <w:rFonts w:asciiTheme="majorHAnsi" w:hAnsiTheme="majorHAnsi"/>
          <w:sz w:val="20"/>
          <w:szCs w:val="20"/>
        </w:rPr>
        <w:t>скидів</w:t>
      </w:r>
      <w:r w:rsidRPr="000977F7">
        <w:rPr>
          <w:rFonts w:asciiTheme="majorHAnsi" w:hAnsiTheme="majorHAnsi"/>
          <w:spacing w:val="1"/>
          <w:sz w:val="20"/>
          <w:szCs w:val="20"/>
        </w:rPr>
        <w:t xml:space="preserve"> </w:t>
      </w:r>
      <w:r w:rsidRPr="000977F7">
        <w:rPr>
          <w:rFonts w:asciiTheme="majorHAnsi" w:hAnsiTheme="majorHAnsi"/>
          <w:sz w:val="20"/>
          <w:szCs w:val="20"/>
        </w:rPr>
        <w:t>забруднюючих речовин у навколишнє природне середовище,</w:t>
      </w:r>
      <w:r w:rsidRPr="000977F7">
        <w:rPr>
          <w:rFonts w:asciiTheme="majorHAnsi" w:hAnsiTheme="majorHAnsi"/>
          <w:spacing w:val="-47"/>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винятком</w:t>
      </w:r>
      <w:r w:rsidRPr="000977F7">
        <w:rPr>
          <w:rFonts w:asciiTheme="majorHAnsi" w:hAnsiTheme="majorHAnsi"/>
          <w:spacing w:val="1"/>
          <w:sz w:val="20"/>
          <w:szCs w:val="20"/>
        </w:rPr>
        <w:t xml:space="preserve"> </w:t>
      </w:r>
      <w:r w:rsidRPr="000977F7">
        <w:rPr>
          <w:rFonts w:asciiTheme="majorHAnsi" w:hAnsiTheme="majorHAnsi"/>
          <w:sz w:val="20"/>
          <w:szCs w:val="20"/>
        </w:rPr>
        <w:t>скидів,</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призводять</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забруднення</w:t>
      </w:r>
      <w:r w:rsidRPr="000977F7">
        <w:rPr>
          <w:rFonts w:asciiTheme="majorHAnsi" w:hAnsiTheme="majorHAnsi"/>
          <w:spacing w:val="-47"/>
          <w:sz w:val="20"/>
          <w:szCs w:val="20"/>
        </w:rPr>
        <w:t xml:space="preserve"> </w:t>
      </w:r>
      <w:r w:rsidRPr="000977F7">
        <w:rPr>
          <w:rFonts w:asciiTheme="majorHAnsi" w:hAnsiTheme="majorHAnsi"/>
          <w:sz w:val="20"/>
          <w:szCs w:val="20"/>
        </w:rPr>
        <w:t>природних</w:t>
      </w:r>
      <w:r w:rsidRPr="000977F7">
        <w:rPr>
          <w:rFonts w:asciiTheme="majorHAnsi" w:hAnsiTheme="majorHAnsi"/>
          <w:spacing w:val="3"/>
          <w:sz w:val="20"/>
          <w:szCs w:val="20"/>
        </w:rPr>
        <w:t xml:space="preserve"> </w:t>
      </w:r>
      <w:r w:rsidRPr="000977F7">
        <w:rPr>
          <w:rFonts w:asciiTheme="majorHAnsi" w:hAnsiTheme="majorHAnsi"/>
          <w:sz w:val="20"/>
          <w:szCs w:val="20"/>
        </w:rPr>
        <w:t>ресурсів</w:t>
      </w:r>
      <w:r w:rsidRPr="000977F7">
        <w:rPr>
          <w:rFonts w:asciiTheme="majorHAnsi" w:hAnsiTheme="majorHAnsi"/>
          <w:spacing w:val="5"/>
          <w:sz w:val="20"/>
          <w:szCs w:val="20"/>
        </w:rPr>
        <w:t xml:space="preserve"> </w:t>
      </w:r>
      <w:r w:rsidRPr="000977F7">
        <w:rPr>
          <w:rFonts w:asciiTheme="majorHAnsi" w:hAnsiTheme="majorHAnsi"/>
          <w:sz w:val="20"/>
          <w:szCs w:val="20"/>
        </w:rPr>
        <w:t>загальнодержавного</w:t>
      </w:r>
      <w:r w:rsidRPr="000977F7">
        <w:rPr>
          <w:rFonts w:asciiTheme="majorHAnsi" w:hAnsiTheme="majorHAnsi"/>
          <w:spacing w:val="6"/>
          <w:sz w:val="20"/>
          <w:szCs w:val="20"/>
        </w:rPr>
        <w:t xml:space="preserve"> </w:t>
      </w:r>
      <w:r w:rsidRPr="000977F7">
        <w:rPr>
          <w:rFonts w:asciiTheme="majorHAnsi" w:hAnsiTheme="majorHAnsi"/>
          <w:sz w:val="20"/>
          <w:szCs w:val="20"/>
        </w:rPr>
        <w:t>значення</w:t>
      </w:r>
      <w:r w:rsidRPr="000977F7">
        <w:rPr>
          <w:rFonts w:asciiTheme="majorHAnsi" w:hAnsiTheme="majorHAnsi"/>
          <w:spacing w:val="4"/>
          <w:sz w:val="20"/>
          <w:szCs w:val="20"/>
        </w:rPr>
        <w:t xml:space="preserve"> </w:t>
      </w:r>
      <w:r w:rsidRPr="000977F7">
        <w:rPr>
          <w:rFonts w:asciiTheme="majorHAnsi" w:hAnsiTheme="majorHAnsi"/>
          <w:sz w:val="20"/>
          <w:szCs w:val="20"/>
        </w:rPr>
        <w:t>або 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межами</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 села,</w:t>
      </w:r>
      <w:r w:rsidRPr="000977F7">
        <w:rPr>
          <w:rFonts w:asciiTheme="majorHAnsi" w:hAnsiTheme="majorHAnsi"/>
          <w:spacing w:val="1"/>
          <w:sz w:val="20"/>
          <w:szCs w:val="20"/>
        </w:rPr>
        <w:t xml:space="preserve"> </w:t>
      </w:r>
      <w:r w:rsidRPr="000977F7">
        <w:rPr>
          <w:rFonts w:asciiTheme="majorHAnsi" w:hAnsiTheme="majorHAnsi"/>
          <w:sz w:val="20"/>
          <w:szCs w:val="20"/>
        </w:rPr>
        <w:t>селища, міста;</w:t>
      </w:r>
    </w:p>
    <w:p w14:paraId="6DB965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 організують збір, переробку, утилізацію і захоронення</w:t>
      </w:r>
      <w:r w:rsidRPr="000977F7">
        <w:rPr>
          <w:rFonts w:asciiTheme="majorHAnsi" w:hAnsiTheme="majorHAnsi"/>
          <w:spacing w:val="-2"/>
          <w:sz w:val="20"/>
          <w:szCs w:val="20"/>
        </w:rPr>
        <w:t xml:space="preserve"> </w:t>
      </w:r>
      <w:r w:rsidRPr="000977F7">
        <w:rPr>
          <w:rFonts w:asciiTheme="majorHAnsi" w:hAnsiTheme="majorHAnsi"/>
          <w:sz w:val="20"/>
          <w:szCs w:val="20"/>
        </w:rPr>
        <w:t>відходів</w:t>
      </w:r>
      <w:r w:rsidRPr="000977F7">
        <w:rPr>
          <w:rFonts w:asciiTheme="majorHAnsi" w:hAnsiTheme="majorHAnsi"/>
          <w:spacing w:val="2"/>
          <w:sz w:val="20"/>
          <w:szCs w:val="20"/>
        </w:rPr>
        <w:t xml:space="preserve"> </w:t>
      </w:r>
      <w:r w:rsidRPr="000977F7">
        <w:rPr>
          <w:rFonts w:asciiTheme="majorHAnsi" w:hAnsiTheme="majorHAnsi"/>
          <w:sz w:val="20"/>
          <w:szCs w:val="20"/>
        </w:rPr>
        <w:t>на своїй</w:t>
      </w:r>
      <w:r w:rsidRPr="000977F7">
        <w:rPr>
          <w:rFonts w:asciiTheme="majorHAnsi" w:hAnsiTheme="majorHAnsi"/>
          <w:spacing w:val="-2"/>
          <w:sz w:val="20"/>
          <w:szCs w:val="20"/>
        </w:rPr>
        <w:t xml:space="preserve"> </w:t>
      </w:r>
      <w:r w:rsidRPr="000977F7">
        <w:rPr>
          <w:rFonts w:asciiTheme="majorHAnsi" w:hAnsiTheme="majorHAnsi"/>
          <w:sz w:val="20"/>
          <w:szCs w:val="20"/>
        </w:rPr>
        <w:t>території;</w:t>
      </w:r>
    </w:p>
    <w:p w14:paraId="7C7A18D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є) формують і використовують місцеві фонди охорони</w:t>
      </w:r>
      <w:r w:rsidRPr="000977F7">
        <w:rPr>
          <w:rFonts w:asciiTheme="majorHAnsi" w:hAnsiTheme="majorHAnsi"/>
          <w:spacing w:val="-47"/>
          <w:sz w:val="20"/>
          <w:szCs w:val="20"/>
        </w:rPr>
        <w:t xml:space="preserve"> </w:t>
      </w:r>
      <w:r w:rsidRPr="000977F7">
        <w:rPr>
          <w:rFonts w:asciiTheme="majorHAnsi" w:hAnsiTheme="majorHAnsi"/>
          <w:sz w:val="20"/>
          <w:szCs w:val="20"/>
        </w:rPr>
        <w:t>навколишнього природного середовища у складі місцевих</w:t>
      </w:r>
      <w:r w:rsidRPr="000977F7">
        <w:rPr>
          <w:rFonts w:asciiTheme="majorHAnsi" w:hAnsiTheme="majorHAnsi"/>
          <w:spacing w:val="-2"/>
          <w:sz w:val="20"/>
          <w:szCs w:val="20"/>
        </w:rPr>
        <w:t xml:space="preserve"> </w:t>
      </w:r>
      <w:r w:rsidRPr="000977F7">
        <w:rPr>
          <w:rFonts w:asciiTheme="majorHAnsi" w:hAnsiTheme="majorHAnsi"/>
          <w:sz w:val="20"/>
          <w:szCs w:val="20"/>
        </w:rPr>
        <w:t>бюджетів;</w:t>
      </w:r>
    </w:p>
    <w:p w14:paraId="731877C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ж) погоджують поточні та перспективні плани роботи</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 установ та організацій з питань охорони</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2"/>
          <w:sz w:val="20"/>
          <w:szCs w:val="20"/>
        </w:rPr>
        <w:t xml:space="preserve"> </w:t>
      </w:r>
      <w:r w:rsidRPr="000977F7">
        <w:rPr>
          <w:rFonts w:asciiTheme="majorHAnsi" w:hAnsiTheme="majorHAnsi"/>
          <w:sz w:val="20"/>
          <w:szCs w:val="20"/>
        </w:rPr>
        <w:t>природних</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p>
    <w:p w14:paraId="0CB7EE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 забезпечують систематичне та оперативне інформування населення, підприємств, установ, організацій</w:t>
      </w:r>
      <w:r w:rsidRPr="000977F7">
        <w:rPr>
          <w:rFonts w:asciiTheme="majorHAnsi" w:hAnsiTheme="majorHAnsi"/>
          <w:spacing w:val="1"/>
          <w:sz w:val="20"/>
          <w:szCs w:val="20"/>
        </w:rPr>
        <w:t xml:space="preserve"> </w:t>
      </w:r>
      <w:r w:rsidRPr="000977F7">
        <w:rPr>
          <w:rFonts w:asciiTheme="majorHAnsi" w:hAnsiTheme="majorHAnsi"/>
          <w:sz w:val="20"/>
          <w:szCs w:val="20"/>
        </w:rPr>
        <w:t>та громадян про стан навколишнього природного середовища, захворюваності</w:t>
      </w:r>
      <w:r w:rsidRPr="000977F7">
        <w:rPr>
          <w:rFonts w:asciiTheme="majorHAnsi" w:hAnsiTheme="majorHAnsi"/>
          <w:spacing w:val="1"/>
          <w:sz w:val="20"/>
          <w:szCs w:val="20"/>
        </w:rPr>
        <w:t xml:space="preserve"> </w:t>
      </w:r>
      <w:r w:rsidRPr="000977F7">
        <w:rPr>
          <w:rFonts w:asciiTheme="majorHAnsi" w:hAnsiTheme="majorHAnsi"/>
          <w:sz w:val="20"/>
          <w:szCs w:val="20"/>
        </w:rPr>
        <w:t>населення;</w:t>
      </w:r>
    </w:p>
    <w:p w14:paraId="074A48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и) організують екологічну освіту та екологічне виховання</w:t>
      </w:r>
      <w:r w:rsidRPr="000977F7">
        <w:rPr>
          <w:rFonts w:asciiTheme="majorHAnsi" w:hAnsiTheme="majorHAnsi"/>
          <w:spacing w:val="-2"/>
          <w:sz w:val="20"/>
          <w:szCs w:val="20"/>
        </w:rPr>
        <w:t xml:space="preserve"> </w:t>
      </w:r>
      <w:r w:rsidRPr="000977F7">
        <w:rPr>
          <w:rFonts w:asciiTheme="majorHAnsi" w:hAnsiTheme="majorHAnsi"/>
          <w:sz w:val="20"/>
          <w:szCs w:val="20"/>
        </w:rPr>
        <w:t>громадян;</w:t>
      </w:r>
    </w:p>
    <w:p w14:paraId="47BF5D8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 приймають рішення про організацію територій та</w:t>
      </w:r>
      <w:r w:rsidRPr="000977F7">
        <w:rPr>
          <w:rFonts w:asciiTheme="majorHAnsi" w:hAnsiTheme="majorHAnsi"/>
          <w:spacing w:val="1"/>
          <w:sz w:val="20"/>
          <w:szCs w:val="20"/>
        </w:rPr>
        <w:t xml:space="preserve"> </w:t>
      </w:r>
      <w:r w:rsidRPr="000977F7">
        <w:rPr>
          <w:rFonts w:asciiTheme="majorHAnsi" w:hAnsiTheme="majorHAnsi"/>
          <w:sz w:val="20"/>
          <w:szCs w:val="20"/>
        </w:rPr>
        <w:t>об'єктів</w:t>
      </w:r>
      <w:r w:rsidRPr="000977F7">
        <w:rPr>
          <w:rFonts w:asciiTheme="majorHAnsi" w:hAnsiTheme="majorHAnsi"/>
          <w:spacing w:val="1"/>
          <w:sz w:val="20"/>
          <w:szCs w:val="20"/>
        </w:rPr>
        <w:t xml:space="preserve"> </w:t>
      </w:r>
      <w:r w:rsidRPr="000977F7">
        <w:rPr>
          <w:rFonts w:asciiTheme="majorHAnsi" w:hAnsiTheme="majorHAnsi"/>
          <w:sz w:val="20"/>
          <w:szCs w:val="20"/>
        </w:rPr>
        <w:t>природно-заповідного фонду місцевого значення.</w:t>
      </w:r>
    </w:p>
    <w:p w14:paraId="13730D6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Виконавчі органи сільських, селищних, міських рад</w:t>
      </w:r>
      <w:r w:rsidRPr="000977F7">
        <w:rPr>
          <w:rFonts w:asciiTheme="majorHAnsi" w:hAnsiTheme="majorHAnsi"/>
          <w:spacing w:val="1"/>
          <w:sz w:val="20"/>
          <w:szCs w:val="20"/>
        </w:rPr>
        <w:t xml:space="preserve"> </w:t>
      </w:r>
      <w:r w:rsidRPr="000977F7">
        <w:rPr>
          <w:rFonts w:asciiTheme="majorHAnsi" w:hAnsiTheme="majorHAnsi"/>
          <w:sz w:val="20"/>
          <w:szCs w:val="20"/>
        </w:rPr>
        <w:t>можуть здійснювати й інші повноваження відповідно</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цього</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законів</w:t>
      </w:r>
      <w:r w:rsidRPr="000977F7">
        <w:rPr>
          <w:rFonts w:asciiTheme="majorHAnsi" w:hAnsiTheme="majorHAnsi"/>
          <w:spacing w:val="-2"/>
          <w:sz w:val="20"/>
          <w:szCs w:val="20"/>
        </w:rPr>
        <w:t xml:space="preserve"> </w:t>
      </w:r>
      <w:r w:rsidRPr="000977F7">
        <w:rPr>
          <w:rFonts w:asciiTheme="majorHAnsi" w:hAnsiTheme="majorHAnsi"/>
          <w:sz w:val="20"/>
          <w:szCs w:val="20"/>
        </w:rPr>
        <w:t>України.</w:t>
      </w:r>
    </w:p>
    <w:p w14:paraId="3FD7208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Закон України</w:t>
      </w:r>
      <w:r w:rsidRPr="000977F7">
        <w:rPr>
          <w:rFonts w:asciiTheme="majorHAnsi" w:hAnsiTheme="majorHAnsi"/>
          <w:i/>
          <w:spacing w:val="1"/>
          <w:sz w:val="20"/>
          <w:szCs w:val="20"/>
        </w:rPr>
        <w:t xml:space="preserve"> "</w:t>
      </w:r>
      <w:r w:rsidRPr="000977F7">
        <w:rPr>
          <w:rFonts w:asciiTheme="majorHAnsi" w:hAnsiTheme="majorHAnsi"/>
          <w:i/>
          <w:sz w:val="20"/>
          <w:szCs w:val="20"/>
        </w:rPr>
        <w:t>Про охорону навколишнього природного середовища"</w:t>
      </w:r>
    </w:p>
    <w:p w14:paraId="3B08E17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КОМПЛЕКС</w:t>
      </w:r>
      <w:r w:rsidRPr="000977F7">
        <w:rPr>
          <w:color w:val="auto"/>
          <w:spacing w:val="-4"/>
          <w:sz w:val="20"/>
          <w:szCs w:val="20"/>
        </w:rPr>
        <w:t xml:space="preserve"> </w:t>
      </w:r>
      <w:r w:rsidRPr="000977F7">
        <w:rPr>
          <w:color w:val="auto"/>
          <w:sz w:val="20"/>
          <w:szCs w:val="20"/>
        </w:rPr>
        <w:t>ВИРОБІВ –</w:t>
      </w:r>
    </w:p>
    <w:p w14:paraId="5EBF8C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Декілька</w:t>
      </w:r>
      <w:r w:rsidRPr="000977F7">
        <w:rPr>
          <w:rFonts w:asciiTheme="majorHAnsi" w:hAnsiTheme="majorHAnsi"/>
          <w:spacing w:val="1"/>
          <w:sz w:val="20"/>
          <w:szCs w:val="20"/>
        </w:rPr>
        <w:t xml:space="preserve"> </w:t>
      </w:r>
      <w:r w:rsidRPr="000977F7">
        <w:rPr>
          <w:rFonts w:asciiTheme="majorHAnsi" w:hAnsiTheme="majorHAnsi"/>
          <w:sz w:val="20"/>
          <w:szCs w:val="20"/>
        </w:rPr>
        <w:t>специфікованих</w:t>
      </w:r>
      <w:r w:rsidRPr="000977F7">
        <w:rPr>
          <w:rFonts w:asciiTheme="majorHAnsi" w:hAnsiTheme="majorHAnsi"/>
          <w:spacing w:val="1"/>
          <w:sz w:val="20"/>
          <w:szCs w:val="20"/>
        </w:rPr>
        <w:t xml:space="preserve"> </w:t>
      </w:r>
      <w:r w:rsidRPr="000977F7">
        <w:rPr>
          <w:rFonts w:asciiTheme="majorHAnsi" w:hAnsiTheme="majorHAnsi"/>
          <w:sz w:val="20"/>
          <w:szCs w:val="20"/>
        </w:rPr>
        <w:t>виробів,</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з’єднані</w:t>
      </w:r>
      <w:r w:rsidRPr="000977F7">
        <w:rPr>
          <w:rFonts w:asciiTheme="majorHAnsi" w:hAnsiTheme="majorHAnsi"/>
          <w:spacing w:val="1"/>
          <w:sz w:val="20"/>
          <w:szCs w:val="20"/>
        </w:rPr>
        <w:t xml:space="preserve"> </w:t>
      </w:r>
      <w:r w:rsidRPr="000977F7">
        <w:rPr>
          <w:rFonts w:asciiTheme="majorHAnsi" w:hAnsiTheme="majorHAnsi"/>
          <w:sz w:val="20"/>
          <w:szCs w:val="20"/>
        </w:rPr>
        <w:t>складальними операціями на підприємстві – виробнику,</w:t>
      </w:r>
      <w:r w:rsidRPr="000977F7">
        <w:rPr>
          <w:rFonts w:asciiTheme="majorHAnsi" w:hAnsiTheme="majorHAnsi"/>
          <w:spacing w:val="1"/>
          <w:sz w:val="20"/>
          <w:szCs w:val="20"/>
        </w:rPr>
        <w:t xml:space="preserve"> </w:t>
      </w:r>
      <w:r w:rsidRPr="000977F7">
        <w:rPr>
          <w:rFonts w:asciiTheme="majorHAnsi" w:hAnsiTheme="majorHAnsi"/>
          <w:sz w:val="20"/>
          <w:szCs w:val="20"/>
        </w:rPr>
        <w:t>але</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призначені</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взаємопов’язаних</w:t>
      </w:r>
      <w:r w:rsidRPr="000977F7">
        <w:rPr>
          <w:rFonts w:asciiTheme="majorHAnsi" w:hAnsiTheme="majorHAnsi"/>
          <w:spacing w:val="-2"/>
          <w:sz w:val="20"/>
          <w:szCs w:val="20"/>
        </w:rPr>
        <w:t xml:space="preserve"> </w:t>
      </w:r>
      <w:r w:rsidRPr="000977F7">
        <w:rPr>
          <w:rFonts w:asciiTheme="majorHAnsi" w:hAnsiTheme="majorHAnsi"/>
          <w:sz w:val="20"/>
          <w:szCs w:val="20"/>
        </w:rPr>
        <w:t>експлуатаційних функцій</w:t>
      </w:r>
    </w:p>
    <w:p w14:paraId="758DEDA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xml:space="preserve">– </w:t>
      </w:r>
      <w:r w:rsidRPr="000977F7">
        <w:rPr>
          <w:rFonts w:asciiTheme="majorHAnsi" w:hAnsiTheme="majorHAnsi"/>
          <w:sz w:val="20"/>
          <w:szCs w:val="20"/>
        </w:rPr>
        <w:t>2003</w:t>
      </w:r>
    </w:p>
    <w:p w14:paraId="60E3418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КОМПЛЕКС</w:t>
      </w:r>
      <w:r w:rsidRPr="000977F7">
        <w:rPr>
          <w:color w:val="auto"/>
          <w:spacing w:val="-5"/>
          <w:sz w:val="20"/>
          <w:szCs w:val="20"/>
        </w:rPr>
        <w:t xml:space="preserve"> </w:t>
      </w:r>
      <w:r w:rsidRPr="000977F7">
        <w:rPr>
          <w:color w:val="auto"/>
          <w:sz w:val="20"/>
          <w:szCs w:val="20"/>
        </w:rPr>
        <w:t>МАРКЕТИНГУ</w:t>
      </w:r>
      <w:r w:rsidRPr="000977F7">
        <w:rPr>
          <w:color w:val="auto"/>
          <w:spacing w:val="-2"/>
          <w:sz w:val="20"/>
          <w:szCs w:val="20"/>
        </w:rPr>
        <w:t xml:space="preserve"> </w:t>
      </w:r>
      <w:r w:rsidRPr="000977F7">
        <w:rPr>
          <w:color w:val="auto"/>
          <w:sz w:val="20"/>
          <w:szCs w:val="20"/>
        </w:rPr>
        <w:t>–</w:t>
      </w:r>
    </w:p>
    <w:p w14:paraId="0955259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Сукупність</w:t>
      </w:r>
      <w:r w:rsidRPr="000977F7">
        <w:rPr>
          <w:rFonts w:asciiTheme="majorHAnsi" w:hAnsiTheme="majorHAnsi"/>
          <w:spacing w:val="5"/>
          <w:sz w:val="20"/>
          <w:szCs w:val="20"/>
        </w:rPr>
        <w:t xml:space="preserve"> </w:t>
      </w:r>
      <w:r w:rsidRPr="000977F7">
        <w:rPr>
          <w:rFonts w:asciiTheme="majorHAnsi" w:hAnsiTheme="majorHAnsi"/>
          <w:sz w:val="20"/>
          <w:szCs w:val="20"/>
        </w:rPr>
        <w:t>взаємозв’язаних</w:t>
      </w:r>
      <w:r w:rsidRPr="000977F7">
        <w:rPr>
          <w:rFonts w:asciiTheme="majorHAnsi" w:hAnsiTheme="majorHAnsi"/>
          <w:spacing w:val="4"/>
          <w:sz w:val="20"/>
          <w:szCs w:val="20"/>
        </w:rPr>
        <w:t xml:space="preserve"> </w:t>
      </w:r>
      <w:r w:rsidRPr="000977F7">
        <w:rPr>
          <w:rFonts w:asciiTheme="majorHAnsi" w:hAnsiTheme="majorHAnsi"/>
          <w:sz w:val="20"/>
          <w:szCs w:val="20"/>
        </w:rPr>
        <w:t>елементів,</w:t>
      </w:r>
      <w:r w:rsidRPr="000977F7">
        <w:rPr>
          <w:rFonts w:asciiTheme="majorHAnsi" w:hAnsiTheme="majorHAnsi"/>
          <w:spacing w:val="6"/>
          <w:sz w:val="20"/>
          <w:szCs w:val="20"/>
        </w:rPr>
        <w:t xml:space="preserve"> </w:t>
      </w:r>
      <w:r w:rsidRPr="000977F7">
        <w:rPr>
          <w:rFonts w:asciiTheme="majorHAnsi" w:hAnsiTheme="majorHAnsi"/>
          <w:sz w:val="20"/>
          <w:szCs w:val="20"/>
        </w:rPr>
        <w:t>що</w:t>
      </w:r>
      <w:r w:rsidRPr="000977F7">
        <w:rPr>
          <w:rFonts w:asciiTheme="majorHAnsi" w:hAnsiTheme="majorHAnsi"/>
          <w:spacing w:val="4"/>
          <w:sz w:val="20"/>
          <w:szCs w:val="20"/>
        </w:rPr>
        <w:t xml:space="preserve"> </w:t>
      </w:r>
      <w:r w:rsidRPr="000977F7">
        <w:rPr>
          <w:rFonts w:asciiTheme="majorHAnsi" w:hAnsiTheme="majorHAnsi"/>
          <w:sz w:val="20"/>
          <w:szCs w:val="20"/>
        </w:rPr>
        <w:t>використо-вуються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задоволення</w:t>
      </w:r>
      <w:r w:rsidRPr="000977F7">
        <w:rPr>
          <w:rFonts w:asciiTheme="majorHAnsi" w:hAnsiTheme="majorHAnsi"/>
          <w:spacing w:val="1"/>
          <w:sz w:val="20"/>
          <w:szCs w:val="20"/>
        </w:rPr>
        <w:t xml:space="preserve"> </w:t>
      </w:r>
      <w:r w:rsidRPr="000977F7">
        <w:rPr>
          <w:rFonts w:asciiTheme="majorHAnsi" w:hAnsiTheme="majorHAnsi"/>
          <w:sz w:val="20"/>
          <w:szCs w:val="20"/>
        </w:rPr>
        <w:t>потреб</w:t>
      </w:r>
      <w:r w:rsidRPr="000977F7">
        <w:rPr>
          <w:rFonts w:asciiTheme="majorHAnsi" w:hAnsiTheme="majorHAnsi"/>
          <w:spacing w:val="1"/>
          <w:sz w:val="20"/>
          <w:szCs w:val="20"/>
        </w:rPr>
        <w:t xml:space="preserve"> </w:t>
      </w:r>
      <w:r w:rsidRPr="000977F7">
        <w:rPr>
          <w:rFonts w:asciiTheme="majorHAnsi" w:hAnsiTheme="majorHAnsi"/>
          <w:sz w:val="20"/>
          <w:szCs w:val="20"/>
        </w:rPr>
        <w:t>певного</w:t>
      </w:r>
      <w:r w:rsidRPr="000977F7">
        <w:rPr>
          <w:rFonts w:asciiTheme="majorHAnsi" w:hAnsiTheme="majorHAnsi"/>
          <w:spacing w:val="1"/>
          <w:sz w:val="20"/>
          <w:szCs w:val="20"/>
        </w:rPr>
        <w:t xml:space="preserve"> </w:t>
      </w:r>
      <w:r w:rsidRPr="000977F7">
        <w:rPr>
          <w:rFonts w:asciiTheme="majorHAnsi" w:hAnsiTheme="majorHAnsi"/>
          <w:sz w:val="20"/>
          <w:szCs w:val="20"/>
        </w:rPr>
        <w:t xml:space="preserve">ринку або </w:t>
      </w:r>
      <w:r w:rsidRPr="000977F7">
        <w:rPr>
          <w:rFonts w:asciiTheme="majorHAnsi" w:hAnsiTheme="majorHAnsi"/>
          <w:spacing w:val="-47"/>
          <w:sz w:val="20"/>
          <w:szCs w:val="20"/>
        </w:rPr>
        <w:t xml:space="preserve"> </w:t>
      </w:r>
      <w:r w:rsidRPr="000977F7">
        <w:rPr>
          <w:rFonts w:asciiTheme="majorHAnsi" w:hAnsiTheme="majorHAnsi"/>
          <w:sz w:val="20"/>
          <w:szCs w:val="20"/>
        </w:rPr>
        <w:t>його сегмента з урахуванням певного середовища</w:t>
      </w:r>
      <w:r w:rsidRPr="000977F7">
        <w:rPr>
          <w:rFonts w:asciiTheme="majorHAnsi" w:hAnsiTheme="majorHAns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290EEE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КОМПЛЕКС</w:t>
      </w:r>
      <w:r w:rsidRPr="000977F7">
        <w:rPr>
          <w:color w:val="auto"/>
          <w:spacing w:val="-4"/>
          <w:sz w:val="20"/>
          <w:szCs w:val="20"/>
        </w:rPr>
        <w:t xml:space="preserve"> </w:t>
      </w:r>
      <w:r w:rsidRPr="000977F7">
        <w:rPr>
          <w:color w:val="auto"/>
          <w:sz w:val="20"/>
          <w:szCs w:val="20"/>
        </w:rPr>
        <w:t>СТАНДАРТІВ</w:t>
      </w:r>
      <w:r w:rsidRPr="000977F7">
        <w:rPr>
          <w:color w:val="auto"/>
          <w:spacing w:val="-1"/>
          <w:sz w:val="20"/>
          <w:szCs w:val="20"/>
        </w:rPr>
        <w:t xml:space="preserve"> </w:t>
      </w:r>
      <w:r w:rsidRPr="000977F7">
        <w:rPr>
          <w:color w:val="auto"/>
          <w:sz w:val="20"/>
          <w:szCs w:val="20"/>
        </w:rPr>
        <w:t>–</w:t>
      </w:r>
    </w:p>
    <w:p w14:paraId="2D28BE0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COMPLEX</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STANDARDS –</w:t>
      </w:r>
    </w:p>
    <w:p w14:paraId="0F0DC97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Сукупність</w:t>
      </w:r>
      <w:r w:rsidRPr="004D2D14">
        <w:rPr>
          <w:rFonts w:asciiTheme="majorHAnsi" w:hAnsiTheme="majorHAnsi"/>
          <w:sz w:val="20"/>
          <w:szCs w:val="20"/>
          <w:lang w:val="en-US"/>
        </w:rPr>
        <w:t xml:space="preserve"> </w:t>
      </w:r>
      <w:r w:rsidRPr="000977F7">
        <w:rPr>
          <w:rFonts w:asciiTheme="majorHAnsi" w:hAnsiTheme="majorHAnsi"/>
          <w:sz w:val="20"/>
          <w:szCs w:val="20"/>
        </w:rPr>
        <w:t>взаємопогоджених</w:t>
      </w:r>
      <w:r w:rsidRPr="004D2D14">
        <w:rPr>
          <w:rFonts w:asciiTheme="majorHAnsi" w:hAnsiTheme="majorHAnsi"/>
          <w:sz w:val="20"/>
          <w:szCs w:val="20"/>
          <w:lang w:val="en-US"/>
        </w:rPr>
        <w:t xml:space="preserve"> </w:t>
      </w:r>
      <w:r w:rsidRPr="000977F7">
        <w:rPr>
          <w:rFonts w:asciiTheme="majorHAnsi" w:hAnsiTheme="majorHAnsi"/>
          <w:sz w:val="20"/>
          <w:szCs w:val="20"/>
        </w:rPr>
        <w:t>стандартів</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мають</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загальний</w:t>
      </w:r>
      <w:r w:rsidRPr="004D2D14">
        <w:rPr>
          <w:rFonts w:asciiTheme="majorHAnsi" w:hAnsiTheme="majorHAnsi"/>
          <w:sz w:val="20"/>
          <w:szCs w:val="20"/>
          <w:lang w:val="en-US"/>
        </w:rPr>
        <w:t xml:space="preserve"> </w:t>
      </w:r>
      <w:r w:rsidRPr="000977F7">
        <w:rPr>
          <w:rFonts w:asciiTheme="majorHAnsi" w:hAnsiTheme="majorHAnsi"/>
          <w:sz w:val="20"/>
          <w:szCs w:val="20"/>
        </w:rPr>
        <w:t>груповий</w:t>
      </w:r>
      <w:r w:rsidRPr="004D2D14">
        <w:rPr>
          <w:rFonts w:asciiTheme="majorHAnsi" w:hAnsiTheme="majorHAnsi"/>
          <w:sz w:val="20"/>
          <w:szCs w:val="20"/>
          <w:lang w:val="en-US"/>
        </w:rPr>
        <w:t xml:space="preserve"> </w:t>
      </w:r>
      <w:r w:rsidRPr="000977F7">
        <w:rPr>
          <w:rFonts w:asciiTheme="majorHAnsi" w:hAnsiTheme="majorHAnsi"/>
          <w:sz w:val="20"/>
          <w:szCs w:val="20"/>
        </w:rPr>
        <w:t>заголовок</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визначають</w:t>
      </w:r>
      <w:r w:rsidRPr="004D2D14">
        <w:rPr>
          <w:rFonts w:asciiTheme="majorHAnsi" w:hAnsiTheme="majorHAnsi"/>
          <w:sz w:val="20"/>
          <w:szCs w:val="20"/>
          <w:lang w:val="en-US"/>
        </w:rPr>
        <w:t xml:space="preserve"> </w:t>
      </w:r>
      <w:r w:rsidRPr="000977F7">
        <w:rPr>
          <w:rFonts w:asciiTheme="majorHAnsi" w:hAnsiTheme="majorHAnsi"/>
          <w:sz w:val="20"/>
          <w:szCs w:val="20"/>
        </w:rPr>
        <w:t>вимоги</w:t>
      </w:r>
      <w:r w:rsidRPr="004D2D14">
        <w:rPr>
          <w:rFonts w:asciiTheme="majorHAnsi" w:hAnsiTheme="majorHAnsi"/>
          <w:spacing w:val="1"/>
          <w:sz w:val="20"/>
          <w:szCs w:val="20"/>
          <w:lang w:val="en-US"/>
        </w:rPr>
        <w:t xml:space="preserve"> </w:t>
      </w:r>
      <w:r w:rsidRPr="000977F7">
        <w:rPr>
          <w:rFonts w:asciiTheme="majorHAnsi" w:hAnsiTheme="majorHAnsi"/>
          <w:sz w:val="20"/>
          <w:szCs w:val="20"/>
        </w:rPr>
        <w:t>до</w:t>
      </w:r>
      <w:r w:rsidRPr="004D2D14">
        <w:rPr>
          <w:rFonts w:asciiTheme="majorHAnsi" w:hAnsiTheme="majorHAnsi"/>
          <w:spacing w:val="1"/>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єктів</w:t>
      </w:r>
      <w:r w:rsidRPr="004D2D14">
        <w:rPr>
          <w:rFonts w:asciiTheme="majorHAnsi" w:hAnsiTheme="majorHAnsi"/>
          <w:spacing w:val="1"/>
          <w:sz w:val="20"/>
          <w:szCs w:val="20"/>
          <w:lang w:val="en-US"/>
        </w:rPr>
        <w:t xml:space="preserve"> </w:t>
      </w:r>
      <w:r w:rsidRPr="000977F7">
        <w:rPr>
          <w:rFonts w:asciiTheme="majorHAnsi" w:hAnsiTheme="majorHAnsi"/>
          <w:sz w:val="20"/>
          <w:szCs w:val="20"/>
        </w:rPr>
        <w:t>стандартизації</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які</w:t>
      </w:r>
      <w:r w:rsidRPr="004D2D14">
        <w:rPr>
          <w:rFonts w:asciiTheme="majorHAnsi" w:hAnsiTheme="majorHAnsi"/>
          <w:spacing w:val="1"/>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єднані</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загальним</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призначенням</w:t>
      </w:r>
      <w:r w:rsidRPr="004D2D14">
        <w:rPr>
          <w:rFonts w:asciiTheme="majorHAnsi" w:hAnsiTheme="majorHAnsi"/>
          <w:spacing w:val="-1"/>
          <w:sz w:val="20"/>
          <w:szCs w:val="20"/>
          <w:lang w:val="en-US"/>
        </w:rPr>
        <w:t xml:space="preserve"> </w:t>
      </w:r>
      <w:r w:rsidRPr="000977F7">
        <w:rPr>
          <w:rFonts w:asciiTheme="majorHAnsi" w:hAnsiTheme="majorHAnsi"/>
          <w:sz w:val="20"/>
          <w:szCs w:val="20"/>
        </w:rPr>
        <w:t>і</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r w:rsidRPr="000977F7">
        <w:rPr>
          <w:rFonts w:asciiTheme="majorHAnsi" w:hAnsiTheme="majorHAnsi"/>
          <w:sz w:val="20"/>
          <w:szCs w:val="20"/>
        </w:rPr>
        <w:t>або</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застосуванням</w:t>
      </w:r>
    </w:p>
    <w:p w14:paraId="1EF59373" w14:textId="77777777" w:rsidR="0097612F" w:rsidRPr="004D2D14" w:rsidRDefault="0097612F" w:rsidP="000977F7">
      <w:pPr>
        <w:tabs>
          <w:tab w:val="left" w:pos="284"/>
        </w:tabs>
        <w:spacing w:after="0" w:line="240" w:lineRule="auto"/>
        <w:ind w:left="170"/>
        <w:mirrorIndents/>
        <w:jc w:val="both"/>
        <w:rPr>
          <w:rFonts w:asciiTheme="majorHAnsi" w:hAnsiTheme="majorHAnsi"/>
          <w:spacing w:val="-47"/>
          <w:sz w:val="20"/>
          <w:szCs w:val="20"/>
          <w:lang w:val="en-US"/>
        </w:rPr>
      </w:pPr>
      <w:r w:rsidRPr="000977F7">
        <w:rPr>
          <w:rFonts w:asciiTheme="majorHAnsi" w:hAnsiTheme="majorHAnsi"/>
          <w:b/>
          <w:sz w:val="20"/>
          <w:szCs w:val="20"/>
        </w:rPr>
        <w:t>КОМПЛЕКСНА</w:t>
      </w:r>
      <w:r w:rsidRPr="004D2D14">
        <w:rPr>
          <w:rFonts w:asciiTheme="majorHAnsi" w:hAnsiTheme="majorHAnsi"/>
          <w:b/>
          <w:sz w:val="20"/>
          <w:szCs w:val="20"/>
          <w:lang w:val="en-US"/>
        </w:rPr>
        <w:t xml:space="preserve"> </w:t>
      </w:r>
      <w:r w:rsidRPr="000977F7">
        <w:rPr>
          <w:rFonts w:asciiTheme="majorHAnsi" w:hAnsiTheme="majorHAnsi"/>
          <w:b/>
          <w:sz w:val="20"/>
          <w:szCs w:val="20"/>
        </w:rPr>
        <w:t>СТАНДАРТИЗАЦІЯ</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p>
    <w:p w14:paraId="4E265A60"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COMPLEX</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STANDARDIZATION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3065E62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Стандартизація</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забезпечує</w:t>
      </w:r>
      <w:r w:rsidRPr="004D2D14">
        <w:rPr>
          <w:rFonts w:asciiTheme="majorHAnsi" w:hAnsiTheme="majorHAnsi"/>
          <w:sz w:val="20"/>
          <w:szCs w:val="20"/>
          <w:lang w:val="en-US"/>
        </w:rPr>
        <w:t xml:space="preserve"> </w:t>
      </w:r>
      <w:r w:rsidRPr="000977F7">
        <w:rPr>
          <w:rFonts w:asciiTheme="majorHAnsi" w:hAnsiTheme="majorHAnsi"/>
          <w:sz w:val="20"/>
          <w:szCs w:val="20"/>
        </w:rPr>
        <w:t>узгодження</w:t>
      </w:r>
      <w:r w:rsidRPr="004D2D14">
        <w:rPr>
          <w:rFonts w:asciiTheme="majorHAnsi" w:hAnsiTheme="majorHAnsi"/>
          <w:sz w:val="20"/>
          <w:szCs w:val="20"/>
          <w:lang w:val="en-US"/>
        </w:rPr>
        <w:t xml:space="preserve"> </w:t>
      </w:r>
      <w:r w:rsidRPr="000977F7">
        <w:rPr>
          <w:rFonts w:asciiTheme="majorHAnsi" w:hAnsiTheme="majorHAnsi"/>
          <w:sz w:val="20"/>
          <w:szCs w:val="20"/>
        </w:rPr>
        <w:t>показників</w:t>
      </w:r>
      <w:r w:rsidRPr="004D2D14">
        <w:rPr>
          <w:rFonts w:asciiTheme="majorHAnsi" w:hAnsiTheme="majorHAnsi"/>
          <w:spacing w:val="-47"/>
          <w:sz w:val="20"/>
          <w:szCs w:val="20"/>
          <w:lang w:val="en-US"/>
        </w:rPr>
        <w:t xml:space="preserve"> </w:t>
      </w:r>
      <w:r w:rsidRPr="000977F7">
        <w:rPr>
          <w:rFonts w:asciiTheme="majorHAnsi" w:hAnsiTheme="majorHAnsi"/>
          <w:sz w:val="20"/>
          <w:szCs w:val="20"/>
        </w:rPr>
        <w:t>взаємозв</w:t>
      </w:r>
      <w:r w:rsidRPr="004D2D14">
        <w:rPr>
          <w:rFonts w:asciiTheme="majorHAnsi" w:hAnsiTheme="majorHAnsi"/>
          <w:sz w:val="20"/>
          <w:szCs w:val="20"/>
          <w:lang w:val="en-US"/>
        </w:rPr>
        <w:t>’</w:t>
      </w:r>
      <w:r w:rsidRPr="000977F7">
        <w:rPr>
          <w:rFonts w:asciiTheme="majorHAnsi" w:hAnsiTheme="majorHAnsi"/>
          <w:sz w:val="20"/>
          <w:szCs w:val="20"/>
        </w:rPr>
        <w:t>язаних</w:t>
      </w:r>
      <w:r w:rsidRPr="004D2D14">
        <w:rPr>
          <w:rFonts w:asciiTheme="majorHAnsi" w:hAnsiTheme="majorHAnsi"/>
          <w:spacing w:val="1"/>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єктів</w:t>
      </w:r>
      <w:r w:rsidRPr="004D2D14">
        <w:rPr>
          <w:rFonts w:asciiTheme="majorHAnsi" w:hAnsiTheme="majorHAnsi"/>
          <w:spacing w:val="1"/>
          <w:sz w:val="20"/>
          <w:szCs w:val="20"/>
          <w:lang w:val="en-US"/>
        </w:rPr>
        <w:t xml:space="preserve"> </w:t>
      </w:r>
      <w:r w:rsidRPr="000977F7">
        <w:rPr>
          <w:rFonts w:asciiTheme="majorHAnsi" w:hAnsiTheme="majorHAnsi"/>
          <w:sz w:val="20"/>
          <w:szCs w:val="20"/>
        </w:rPr>
        <w:t>стандартизації</w:t>
      </w:r>
      <w:r w:rsidRPr="004D2D14">
        <w:rPr>
          <w:rFonts w:asciiTheme="majorHAnsi" w:hAnsiTheme="majorHAnsi"/>
          <w:spacing w:val="1"/>
          <w:sz w:val="20"/>
          <w:szCs w:val="20"/>
          <w:lang w:val="en-US"/>
        </w:rPr>
        <w:t xml:space="preserve"> </w:t>
      </w:r>
      <w:r w:rsidRPr="000977F7">
        <w:rPr>
          <w:rFonts w:asciiTheme="majorHAnsi" w:hAnsiTheme="majorHAnsi"/>
          <w:sz w:val="20"/>
          <w:szCs w:val="20"/>
        </w:rPr>
        <w:t>та</w:t>
      </w:r>
      <w:r w:rsidRPr="004D2D14">
        <w:rPr>
          <w:rFonts w:asciiTheme="majorHAnsi" w:hAnsiTheme="majorHAnsi"/>
          <w:spacing w:val="1"/>
          <w:sz w:val="20"/>
          <w:szCs w:val="20"/>
          <w:lang w:val="en-US"/>
        </w:rPr>
        <w:t xml:space="preserve"> </w:t>
      </w:r>
      <w:r w:rsidRPr="000977F7">
        <w:rPr>
          <w:rFonts w:asciiTheme="majorHAnsi" w:hAnsiTheme="majorHAnsi"/>
          <w:sz w:val="20"/>
          <w:szCs w:val="20"/>
        </w:rPr>
        <w:t>термінів</w:t>
      </w:r>
      <w:r w:rsidRPr="004D2D14">
        <w:rPr>
          <w:rFonts w:asciiTheme="majorHAnsi" w:hAnsiTheme="majorHAnsi"/>
          <w:spacing w:val="1"/>
          <w:sz w:val="20"/>
          <w:szCs w:val="20"/>
          <w:lang w:val="en-US"/>
        </w:rPr>
        <w:t xml:space="preserve"> </w:t>
      </w:r>
      <w:r w:rsidRPr="000977F7">
        <w:rPr>
          <w:rFonts w:asciiTheme="majorHAnsi" w:hAnsiTheme="majorHAnsi"/>
          <w:sz w:val="20"/>
          <w:szCs w:val="20"/>
        </w:rPr>
        <w:t>впровадження</w:t>
      </w:r>
      <w:r w:rsidRPr="004D2D14">
        <w:rPr>
          <w:rFonts w:asciiTheme="majorHAnsi" w:hAnsiTheme="majorHAnsi"/>
          <w:sz w:val="20"/>
          <w:szCs w:val="20"/>
          <w:lang w:val="en-US"/>
        </w:rPr>
        <w:t xml:space="preserve"> </w:t>
      </w:r>
      <w:r w:rsidRPr="000977F7">
        <w:rPr>
          <w:rFonts w:asciiTheme="majorHAnsi" w:hAnsiTheme="majorHAnsi"/>
          <w:sz w:val="20"/>
          <w:szCs w:val="20"/>
        </w:rPr>
        <w:t>їх</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дію</w:t>
      </w:r>
      <w:r w:rsidRPr="004D2D14">
        <w:rPr>
          <w:rFonts w:asciiTheme="majorHAnsi" w:hAnsiTheme="majorHAnsi"/>
          <w:sz w:val="20"/>
          <w:szCs w:val="20"/>
          <w:lang w:val="en-US"/>
        </w:rPr>
        <w:t xml:space="preserve">, </w:t>
      </w:r>
      <w:r w:rsidRPr="000977F7">
        <w:rPr>
          <w:rFonts w:asciiTheme="majorHAnsi" w:hAnsiTheme="majorHAnsi"/>
          <w:sz w:val="20"/>
          <w:szCs w:val="20"/>
        </w:rPr>
        <w:t>при</w:t>
      </w:r>
      <w:r w:rsidRPr="004D2D14">
        <w:rPr>
          <w:rFonts w:asciiTheme="majorHAnsi" w:hAnsiTheme="majorHAnsi"/>
          <w:sz w:val="20"/>
          <w:szCs w:val="20"/>
          <w:lang w:val="en-US"/>
        </w:rPr>
        <w:t xml:space="preserve"> </w:t>
      </w:r>
      <w:r w:rsidRPr="000977F7">
        <w:rPr>
          <w:rFonts w:asciiTheme="majorHAnsi" w:hAnsiTheme="majorHAnsi"/>
          <w:sz w:val="20"/>
          <w:szCs w:val="20"/>
        </w:rPr>
        <w:t>якій</w:t>
      </w:r>
      <w:r w:rsidRPr="004D2D14">
        <w:rPr>
          <w:rFonts w:asciiTheme="majorHAnsi" w:hAnsiTheme="majorHAnsi"/>
          <w:sz w:val="20"/>
          <w:szCs w:val="20"/>
          <w:lang w:val="en-US"/>
        </w:rPr>
        <w:t xml:space="preserve"> </w:t>
      </w:r>
      <w:r w:rsidRPr="000977F7">
        <w:rPr>
          <w:rFonts w:asciiTheme="majorHAnsi" w:hAnsiTheme="majorHAnsi"/>
          <w:sz w:val="20"/>
          <w:szCs w:val="20"/>
        </w:rPr>
        <w:t>стандарти</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існують</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розробляються</w:t>
      </w:r>
      <w:r w:rsidRPr="004D2D14">
        <w:rPr>
          <w:rFonts w:asciiTheme="majorHAnsi" w:hAnsiTheme="majorHAnsi"/>
          <w:sz w:val="20"/>
          <w:szCs w:val="20"/>
          <w:lang w:val="en-US"/>
        </w:rPr>
        <w:t xml:space="preserve"> </w:t>
      </w:r>
      <w:r w:rsidRPr="000977F7">
        <w:rPr>
          <w:rFonts w:asciiTheme="majorHAnsi" w:hAnsiTheme="majorHAnsi"/>
          <w:sz w:val="20"/>
          <w:szCs w:val="20"/>
        </w:rPr>
        <w:t>згідно</w:t>
      </w:r>
      <w:r w:rsidRPr="004D2D14">
        <w:rPr>
          <w:rFonts w:asciiTheme="majorHAnsi" w:hAnsiTheme="majorHAnsi"/>
          <w:sz w:val="20"/>
          <w:szCs w:val="20"/>
          <w:lang w:val="en-US"/>
        </w:rPr>
        <w:t xml:space="preserve"> </w:t>
      </w:r>
      <w:r w:rsidRPr="000977F7">
        <w:rPr>
          <w:rFonts w:asciiTheme="majorHAnsi" w:hAnsiTheme="majorHAnsi"/>
          <w:sz w:val="20"/>
          <w:szCs w:val="20"/>
        </w:rPr>
        <w:t>планів</w:t>
      </w:r>
      <w:r w:rsidRPr="004D2D14">
        <w:rPr>
          <w:rFonts w:asciiTheme="majorHAnsi" w:hAnsiTheme="majorHAnsi"/>
          <w:sz w:val="20"/>
          <w:szCs w:val="20"/>
          <w:lang w:val="en-US"/>
        </w:rPr>
        <w:t xml:space="preserve"> </w:t>
      </w:r>
      <w:r w:rsidRPr="000977F7">
        <w:rPr>
          <w:rFonts w:asciiTheme="majorHAnsi" w:hAnsiTheme="majorHAnsi"/>
          <w:sz w:val="20"/>
          <w:szCs w:val="20"/>
        </w:rPr>
        <w:t>робіт</w:t>
      </w:r>
      <w:r w:rsidRPr="004D2D14">
        <w:rPr>
          <w:rFonts w:asciiTheme="majorHAnsi" w:hAnsiTheme="majorHAnsi"/>
          <w:sz w:val="20"/>
          <w:szCs w:val="20"/>
          <w:lang w:val="en-US"/>
        </w:rPr>
        <w:t xml:space="preserve">, </w:t>
      </w:r>
      <w:r w:rsidRPr="000977F7">
        <w:rPr>
          <w:rFonts w:asciiTheme="majorHAnsi" w:hAnsiTheme="majorHAnsi"/>
          <w:sz w:val="20"/>
          <w:szCs w:val="20"/>
        </w:rPr>
        <w:t>необхідні</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pacing w:val="1"/>
          <w:sz w:val="20"/>
          <w:szCs w:val="20"/>
          <w:lang w:val="en-US"/>
        </w:rPr>
        <w:t xml:space="preserve"> </w:t>
      </w:r>
      <w:r w:rsidRPr="000977F7">
        <w:rPr>
          <w:rFonts w:asciiTheme="majorHAnsi" w:hAnsiTheme="majorHAnsi"/>
          <w:sz w:val="20"/>
          <w:szCs w:val="20"/>
        </w:rPr>
        <w:t>достатні</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реалізації</w:t>
      </w:r>
      <w:r w:rsidRPr="004D2D14">
        <w:rPr>
          <w:rFonts w:asciiTheme="majorHAnsi" w:hAnsiTheme="majorHAnsi"/>
          <w:sz w:val="20"/>
          <w:szCs w:val="20"/>
          <w:lang w:val="en-US"/>
        </w:rPr>
        <w:t xml:space="preserve"> </w:t>
      </w:r>
      <w:r w:rsidRPr="000977F7">
        <w:rPr>
          <w:rFonts w:asciiTheme="majorHAnsi" w:hAnsiTheme="majorHAnsi"/>
          <w:sz w:val="20"/>
          <w:szCs w:val="20"/>
        </w:rPr>
        <w:t>поставленої</w:t>
      </w:r>
      <w:r w:rsidRPr="004D2D14">
        <w:rPr>
          <w:rFonts w:asciiTheme="majorHAnsi" w:hAnsiTheme="majorHAnsi"/>
          <w:sz w:val="20"/>
          <w:szCs w:val="20"/>
          <w:lang w:val="en-US"/>
        </w:rPr>
        <w:t xml:space="preserve"> </w:t>
      </w:r>
      <w:r w:rsidRPr="000977F7">
        <w:rPr>
          <w:rFonts w:asciiTheme="majorHAnsi" w:hAnsiTheme="majorHAnsi"/>
          <w:sz w:val="20"/>
          <w:szCs w:val="20"/>
        </w:rPr>
        <w:t>мети</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точки</w:t>
      </w:r>
      <w:r w:rsidRPr="004D2D14">
        <w:rPr>
          <w:rFonts w:asciiTheme="majorHAnsi" w:hAnsiTheme="majorHAnsi"/>
          <w:sz w:val="20"/>
          <w:szCs w:val="20"/>
          <w:lang w:val="en-US"/>
        </w:rPr>
        <w:t xml:space="preserve"> </w:t>
      </w:r>
      <w:r w:rsidRPr="000977F7">
        <w:rPr>
          <w:rFonts w:asciiTheme="majorHAnsi" w:hAnsiTheme="majorHAnsi"/>
          <w:sz w:val="20"/>
          <w:szCs w:val="20"/>
        </w:rPr>
        <w:t>зору</w:t>
      </w:r>
      <w:r w:rsidRPr="004D2D14">
        <w:rPr>
          <w:rFonts w:asciiTheme="majorHAnsi" w:hAnsiTheme="majorHAnsi"/>
          <w:spacing w:val="1"/>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єктів</w:t>
      </w:r>
      <w:r w:rsidRPr="004D2D14">
        <w:rPr>
          <w:rFonts w:asciiTheme="majorHAnsi" w:hAnsiTheme="majorHAnsi"/>
          <w:spacing w:val="-2"/>
          <w:sz w:val="20"/>
          <w:szCs w:val="20"/>
          <w:lang w:val="en-US"/>
        </w:rPr>
        <w:t xml:space="preserve"> </w:t>
      </w:r>
      <w:r w:rsidRPr="000977F7">
        <w:rPr>
          <w:rFonts w:asciiTheme="majorHAnsi" w:hAnsiTheme="majorHAnsi"/>
          <w:sz w:val="20"/>
          <w:szCs w:val="20"/>
        </w:rPr>
        <w:t>і</w:t>
      </w:r>
      <w:r w:rsidRPr="004D2D14">
        <w:rPr>
          <w:rFonts w:asciiTheme="majorHAnsi" w:hAnsiTheme="majorHAnsi"/>
          <w:spacing w:val="-1"/>
          <w:sz w:val="20"/>
          <w:szCs w:val="20"/>
          <w:lang w:val="en-US"/>
        </w:rPr>
        <w:t xml:space="preserve"> </w:t>
      </w:r>
      <w:r w:rsidRPr="000977F7">
        <w:rPr>
          <w:rFonts w:asciiTheme="majorHAnsi" w:hAnsiTheme="majorHAnsi"/>
          <w:sz w:val="20"/>
          <w:szCs w:val="20"/>
        </w:rPr>
        <w:t>аспектів</w:t>
      </w:r>
      <w:r w:rsidRPr="004D2D14">
        <w:rPr>
          <w:rFonts w:asciiTheme="majorHAnsi" w:hAnsiTheme="majorHAnsi"/>
          <w:spacing w:val="-2"/>
          <w:sz w:val="20"/>
          <w:szCs w:val="20"/>
          <w:lang w:val="en-US"/>
        </w:rPr>
        <w:t xml:space="preserve"> </w:t>
      </w:r>
      <w:r w:rsidRPr="000977F7">
        <w:rPr>
          <w:rFonts w:asciiTheme="majorHAnsi" w:hAnsiTheme="majorHAnsi"/>
          <w:sz w:val="20"/>
          <w:szCs w:val="20"/>
        </w:rPr>
        <w:t>стандартизації</w:t>
      </w:r>
    </w:p>
    <w:p w14:paraId="503C02E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КОМПЛЕКСНЕ</w:t>
      </w:r>
      <w:r w:rsidRPr="000977F7">
        <w:rPr>
          <w:color w:val="auto"/>
          <w:spacing w:val="-6"/>
          <w:sz w:val="20"/>
          <w:szCs w:val="20"/>
        </w:rPr>
        <w:t xml:space="preserve"> </w:t>
      </w:r>
      <w:r w:rsidRPr="000977F7">
        <w:rPr>
          <w:color w:val="auto"/>
          <w:sz w:val="20"/>
          <w:szCs w:val="20"/>
        </w:rPr>
        <w:t>ДІЯННЯ</w:t>
      </w:r>
      <w:r w:rsidRPr="000977F7">
        <w:rPr>
          <w:color w:val="auto"/>
          <w:spacing w:val="1"/>
          <w:sz w:val="20"/>
          <w:szCs w:val="20"/>
        </w:rPr>
        <w:t xml:space="preserve"> </w:t>
      </w:r>
      <w:r w:rsidRPr="000977F7">
        <w:rPr>
          <w:color w:val="auto"/>
          <w:sz w:val="20"/>
          <w:szCs w:val="20"/>
        </w:rPr>
        <w:t>—</w:t>
      </w:r>
    </w:p>
    <w:p w14:paraId="2947EE0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COMPLEX</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EFFECT –</w:t>
      </w:r>
    </w:p>
    <w:p w14:paraId="4783260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Діяння</w:t>
      </w:r>
      <w:r w:rsidRPr="004D2D14">
        <w:rPr>
          <w:rFonts w:asciiTheme="majorHAnsi" w:hAnsiTheme="majorHAnsi"/>
          <w:sz w:val="20"/>
          <w:szCs w:val="20"/>
          <w:lang w:val="en-US"/>
        </w:rPr>
        <w:t xml:space="preserve"> </w:t>
      </w:r>
      <w:r w:rsidRPr="000977F7">
        <w:rPr>
          <w:rFonts w:asciiTheme="majorHAnsi" w:hAnsiTheme="majorHAnsi"/>
          <w:sz w:val="20"/>
          <w:szCs w:val="20"/>
        </w:rPr>
        <w:t>речовини</w:t>
      </w:r>
      <w:r w:rsidRPr="004D2D14">
        <w:rPr>
          <w:rFonts w:asciiTheme="majorHAnsi" w:hAnsiTheme="majorHAnsi"/>
          <w:sz w:val="20"/>
          <w:szCs w:val="20"/>
          <w:lang w:val="en-US"/>
        </w:rPr>
        <w:t xml:space="preserve"> </w:t>
      </w:r>
      <w:r w:rsidRPr="000977F7">
        <w:rPr>
          <w:rFonts w:asciiTheme="majorHAnsi" w:hAnsiTheme="majorHAnsi"/>
          <w:sz w:val="20"/>
          <w:szCs w:val="20"/>
        </w:rPr>
        <w:t>під</w:t>
      </w:r>
      <w:r w:rsidRPr="004D2D14">
        <w:rPr>
          <w:rFonts w:asciiTheme="majorHAnsi" w:hAnsiTheme="majorHAnsi"/>
          <w:sz w:val="20"/>
          <w:szCs w:val="20"/>
          <w:lang w:val="en-US"/>
        </w:rPr>
        <w:t xml:space="preserve"> </w:t>
      </w:r>
      <w:r w:rsidRPr="000977F7">
        <w:rPr>
          <w:rFonts w:asciiTheme="majorHAnsi" w:hAnsiTheme="majorHAnsi"/>
          <w:sz w:val="20"/>
          <w:szCs w:val="20"/>
        </w:rPr>
        <w:t>час</w:t>
      </w:r>
      <w:r w:rsidRPr="004D2D14">
        <w:rPr>
          <w:rFonts w:asciiTheme="majorHAnsi" w:hAnsiTheme="majorHAnsi"/>
          <w:sz w:val="20"/>
          <w:szCs w:val="20"/>
          <w:lang w:val="en-US"/>
        </w:rPr>
        <w:t xml:space="preserve"> </w:t>
      </w:r>
      <w:r w:rsidRPr="000977F7">
        <w:rPr>
          <w:rFonts w:asciiTheme="majorHAnsi" w:hAnsiTheme="majorHAnsi"/>
          <w:sz w:val="20"/>
          <w:szCs w:val="20"/>
        </w:rPr>
        <w:t>її</w:t>
      </w:r>
      <w:r w:rsidRPr="004D2D14">
        <w:rPr>
          <w:rFonts w:asciiTheme="majorHAnsi" w:hAnsiTheme="majorHAnsi"/>
          <w:spacing w:val="50"/>
          <w:sz w:val="20"/>
          <w:szCs w:val="20"/>
          <w:lang w:val="en-US"/>
        </w:rPr>
        <w:t xml:space="preserve"> </w:t>
      </w:r>
      <w:r w:rsidRPr="000977F7">
        <w:rPr>
          <w:rFonts w:asciiTheme="majorHAnsi" w:hAnsiTheme="majorHAnsi"/>
          <w:sz w:val="20"/>
          <w:szCs w:val="20"/>
        </w:rPr>
        <w:t>одночасного</w:t>
      </w:r>
      <w:r w:rsidRPr="004D2D14">
        <w:rPr>
          <w:rFonts w:asciiTheme="majorHAnsi" w:hAnsiTheme="majorHAnsi"/>
          <w:sz w:val="20"/>
          <w:szCs w:val="20"/>
          <w:lang w:val="en-US"/>
        </w:rPr>
        <w:t xml:space="preserve"> </w:t>
      </w:r>
      <w:r w:rsidRPr="000977F7">
        <w:rPr>
          <w:rFonts w:asciiTheme="majorHAnsi" w:hAnsiTheme="majorHAnsi"/>
          <w:sz w:val="20"/>
          <w:szCs w:val="20"/>
        </w:rPr>
        <w:t>надходження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в</w:t>
      </w:r>
      <w:r w:rsidRPr="004D2D14">
        <w:rPr>
          <w:rFonts w:asciiTheme="majorHAnsi" w:hAnsiTheme="majorHAnsi"/>
          <w:spacing w:val="-2"/>
          <w:sz w:val="20"/>
          <w:szCs w:val="20"/>
          <w:lang w:val="en-US"/>
        </w:rPr>
        <w:t xml:space="preserve"> </w:t>
      </w:r>
      <w:r w:rsidRPr="000977F7">
        <w:rPr>
          <w:rFonts w:asciiTheme="majorHAnsi" w:hAnsiTheme="majorHAnsi"/>
          <w:sz w:val="20"/>
          <w:szCs w:val="20"/>
        </w:rPr>
        <w:t>організм</w:t>
      </w:r>
      <w:r w:rsidRPr="004D2D14">
        <w:rPr>
          <w:rFonts w:asciiTheme="majorHAnsi" w:hAnsiTheme="majorHAnsi"/>
          <w:spacing w:val="1"/>
          <w:sz w:val="20"/>
          <w:szCs w:val="20"/>
          <w:lang w:val="en-US"/>
        </w:rPr>
        <w:t xml:space="preserve"> </w:t>
      </w:r>
      <w:r w:rsidRPr="000977F7">
        <w:rPr>
          <w:rFonts w:asciiTheme="majorHAnsi" w:hAnsiTheme="majorHAnsi"/>
          <w:sz w:val="20"/>
          <w:szCs w:val="20"/>
        </w:rPr>
        <w:t>різними</w:t>
      </w:r>
      <w:r w:rsidRPr="004D2D14">
        <w:rPr>
          <w:rFonts w:asciiTheme="majorHAnsi" w:hAnsiTheme="majorHAnsi"/>
          <w:spacing w:val="-1"/>
          <w:sz w:val="20"/>
          <w:szCs w:val="20"/>
          <w:lang w:val="en-US"/>
        </w:rPr>
        <w:t xml:space="preserve"> </w:t>
      </w:r>
      <w:r w:rsidRPr="000977F7">
        <w:rPr>
          <w:rFonts w:asciiTheme="majorHAnsi" w:hAnsiTheme="majorHAnsi"/>
          <w:sz w:val="20"/>
          <w:szCs w:val="20"/>
        </w:rPr>
        <w:t>шляхами</w:t>
      </w:r>
    </w:p>
    <w:p w14:paraId="0D57EB0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3038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0E08D1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КОМПЛЕКСНИЙ</w:t>
      </w:r>
      <w:r w:rsidRPr="000977F7">
        <w:rPr>
          <w:color w:val="auto"/>
          <w:spacing w:val="1"/>
          <w:sz w:val="20"/>
          <w:szCs w:val="20"/>
        </w:rPr>
        <w:t xml:space="preserve"> </w:t>
      </w:r>
      <w:r w:rsidRPr="000977F7">
        <w:rPr>
          <w:color w:val="auto"/>
          <w:sz w:val="20"/>
          <w:szCs w:val="20"/>
        </w:rPr>
        <w:t>КОЕФІЦІЄНТ</w:t>
      </w:r>
      <w:r w:rsidRPr="000977F7">
        <w:rPr>
          <w:color w:val="auto"/>
          <w:spacing w:val="1"/>
          <w:sz w:val="20"/>
          <w:szCs w:val="20"/>
        </w:rPr>
        <w:t xml:space="preserve"> </w:t>
      </w:r>
      <w:r w:rsidRPr="000977F7">
        <w:rPr>
          <w:color w:val="auto"/>
          <w:sz w:val="20"/>
          <w:szCs w:val="20"/>
        </w:rPr>
        <w:t>ПЕРЕТВОРЕННЯ</w:t>
      </w:r>
      <w:r w:rsidRPr="000977F7">
        <w:rPr>
          <w:color w:val="auto"/>
          <w:spacing w:val="-1"/>
          <w:sz w:val="20"/>
          <w:szCs w:val="20"/>
        </w:rPr>
        <w:t xml:space="preserve"> </w:t>
      </w:r>
      <w:r w:rsidRPr="000977F7">
        <w:rPr>
          <w:color w:val="auto"/>
          <w:sz w:val="20"/>
          <w:szCs w:val="20"/>
        </w:rPr>
        <w:t>–</w:t>
      </w:r>
    </w:p>
    <w:p w14:paraId="4191768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COMPLEX</w:t>
      </w:r>
      <w:r w:rsidRPr="000977F7">
        <w:rPr>
          <w:rFonts w:asciiTheme="majorHAnsi" w:hAnsiTheme="majorHAnsi"/>
          <w:spacing w:val="-3"/>
          <w:sz w:val="20"/>
          <w:szCs w:val="20"/>
        </w:rPr>
        <w:t xml:space="preserve"> </w:t>
      </w:r>
      <w:r w:rsidRPr="000977F7">
        <w:rPr>
          <w:rFonts w:asciiTheme="majorHAnsi" w:hAnsiTheme="majorHAnsi"/>
          <w:sz w:val="20"/>
          <w:szCs w:val="20"/>
        </w:rPr>
        <w:t>GAIN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47C3A3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комплексного числа, яке зображує гармонічне змінювання параметра лінійного об’єкта в уста</w:t>
      </w:r>
      <w:r w:rsidRPr="000977F7">
        <w:rPr>
          <w:rFonts w:asciiTheme="majorHAnsi" w:hAnsiTheme="majorHAnsi"/>
          <w:spacing w:val="-1"/>
          <w:sz w:val="20"/>
          <w:szCs w:val="20"/>
        </w:rPr>
        <w:t>леному</w:t>
      </w:r>
      <w:r w:rsidRPr="000977F7">
        <w:rPr>
          <w:rFonts w:asciiTheme="majorHAnsi" w:hAnsiTheme="majorHAnsi"/>
          <w:spacing w:val="-12"/>
          <w:sz w:val="20"/>
          <w:szCs w:val="20"/>
        </w:rPr>
        <w:t xml:space="preserve"> </w:t>
      </w:r>
      <w:r w:rsidRPr="000977F7">
        <w:rPr>
          <w:rFonts w:asciiTheme="majorHAnsi" w:hAnsiTheme="majorHAnsi"/>
          <w:spacing w:val="-1"/>
          <w:sz w:val="20"/>
          <w:szCs w:val="20"/>
        </w:rPr>
        <w:t>режимі,</w:t>
      </w:r>
      <w:r w:rsidRPr="000977F7">
        <w:rPr>
          <w:rFonts w:asciiTheme="majorHAnsi" w:hAnsiTheme="majorHAnsi"/>
          <w:spacing w:val="-5"/>
          <w:sz w:val="20"/>
          <w:szCs w:val="20"/>
        </w:rPr>
        <w:t xml:space="preserve"> </w:t>
      </w:r>
      <w:r w:rsidRPr="000977F7">
        <w:rPr>
          <w:rFonts w:asciiTheme="majorHAnsi" w:hAnsiTheme="majorHAnsi"/>
          <w:spacing w:val="-1"/>
          <w:sz w:val="20"/>
          <w:szCs w:val="20"/>
        </w:rPr>
        <w:t>до</w:t>
      </w:r>
      <w:r w:rsidRPr="000977F7">
        <w:rPr>
          <w:rFonts w:asciiTheme="majorHAnsi" w:hAnsiTheme="majorHAnsi"/>
          <w:spacing w:val="-5"/>
          <w:sz w:val="20"/>
          <w:szCs w:val="20"/>
        </w:rPr>
        <w:t xml:space="preserve"> </w:t>
      </w:r>
      <w:r w:rsidRPr="000977F7">
        <w:rPr>
          <w:rFonts w:asciiTheme="majorHAnsi" w:hAnsiTheme="majorHAnsi"/>
          <w:spacing w:val="-1"/>
          <w:sz w:val="20"/>
          <w:szCs w:val="20"/>
        </w:rPr>
        <w:t>комплексного</w:t>
      </w:r>
      <w:r w:rsidRPr="000977F7">
        <w:rPr>
          <w:rFonts w:asciiTheme="majorHAnsi" w:hAnsiTheme="majorHAnsi"/>
          <w:spacing w:val="-7"/>
          <w:sz w:val="20"/>
          <w:szCs w:val="20"/>
        </w:rPr>
        <w:t xml:space="preserve"> </w:t>
      </w:r>
      <w:r w:rsidRPr="000977F7">
        <w:rPr>
          <w:rFonts w:asciiTheme="majorHAnsi" w:hAnsiTheme="majorHAnsi"/>
          <w:spacing w:val="-1"/>
          <w:sz w:val="20"/>
          <w:szCs w:val="20"/>
        </w:rPr>
        <w:t>числа,</w:t>
      </w:r>
      <w:r w:rsidRPr="000977F7">
        <w:rPr>
          <w:rFonts w:asciiTheme="majorHAnsi" w:hAnsiTheme="majorHAnsi"/>
          <w:spacing w:val="-5"/>
          <w:sz w:val="20"/>
          <w:szCs w:val="20"/>
        </w:rPr>
        <w:t xml:space="preserve"> </w:t>
      </w:r>
      <w:r w:rsidRPr="000977F7">
        <w:rPr>
          <w:rFonts w:asciiTheme="majorHAnsi" w:hAnsiTheme="majorHAnsi"/>
          <w:spacing w:val="-1"/>
          <w:sz w:val="20"/>
          <w:szCs w:val="20"/>
        </w:rPr>
        <w:t>яке</w:t>
      </w:r>
      <w:r w:rsidRPr="000977F7">
        <w:rPr>
          <w:rFonts w:asciiTheme="majorHAnsi" w:hAnsiTheme="majorHAnsi"/>
          <w:spacing w:val="-5"/>
          <w:sz w:val="20"/>
          <w:szCs w:val="20"/>
        </w:rPr>
        <w:t xml:space="preserve"> </w:t>
      </w:r>
      <w:r w:rsidRPr="000977F7">
        <w:rPr>
          <w:rFonts w:asciiTheme="majorHAnsi" w:hAnsiTheme="majorHAnsi"/>
          <w:spacing w:val="-1"/>
          <w:sz w:val="20"/>
          <w:szCs w:val="20"/>
        </w:rPr>
        <w:t>відображає</w:t>
      </w:r>
      <w:r w:rsidRPr="000977F7">
        <w:rPr>
          <w:rFonts w:asciiTheme="majorHAnsi" w:hAnsiTheme="majorHAnsi"/>
          <w:spacing w:val="-48"/>
          <w:sz w:val="20"/>
          <w:szCs w:val="20"/>
        </w:rPr>
        <w:t xml:space="preserve"> </w:t>
      </w:r>
      <w:r w:rsidRPr="000977F7">
        <w:rPr>
          <w:rFonts w:asciiTheme="majorHAnsi" w:hAnsiTheme="majorHAnsi"/>
          <w:sz w:val="20"/>
          <w:szCs w:val="20"/>
        </w:rPr>
        <w:t>гармонічне</w:t>
      </w:r>
      <w:r w:rsidRPr="000977F7">
        <w:rPr>
          <w:rFonts w:asciiTheme="majorHAnsi" w:hAnsiTheme="majorHAnsi"/>
          <w:spacing w:val="-9"/>
          <w:sz w:val="20"/>
          <w:szCs w:val="20"/>
        </w:rPr>
        <w:t xml:space="preserve"> </w:t>
      </w:r>
      <w:r w:rsidRPr="000977F7">
        <w:rPr>
          <w:rFonts w:asciiTheme="majorHAnsi" w:hAnsiTheme="majorHAnsi"/>
          <w:sz w:val="20"/>
          <w:szCs w:val="20"/>
        </w:rPr>
        <w:t>вхідне</w:t>
      </w:r>
      <w:r w:rsidRPr="000977F7">
        <w:rPr>
          <w:rFonts w:asciiTheme="majorHAnsi" w:hAnsiTheme="majorHAnsi"/>
          <w:spacing w:val="-9"/>
          <w:sz w:val="20"/>
          <w:szCs w:val="20"/>
        </w:rPr>
        <w:t xml:space="preserve"> </w:t>
      </w:r>
      <w:r w:rsidRPr="000977F7">
        <w:rPr>
          <w:rFonts w:asciiTheme="majorHAnsi" w:hAnsiTheme="majorHAnsi"/>
          <w:sz w:val="20"/>
          <w:szCs w:val="20"/>
        </w:rPr>
        <w:t>діяння,</w:t>
      </w:r>
      <w:r w:rsidRPr="000977F7">
        <w:rPr>
          <w:rFonts w:asciiTheme="majorHAnsi" w:hAnsiTheme="majorHAnsi"/>
          <w:spacing w:val="-11"/>
          <w:sz w:val="20"/>
          <w:szCs w:val="20"/>
        </w:rPr>
        <w:t xml:space="preserve"> </w:t>
      </w:r>
      <w:r w:rsidRPr="000977F7">
        <w:rPr>
          <w:rFonts w:asciiTheme="majorHAnsi" w:hAnsiTheme="majorHAnsi"/>
          <w:sz w:val="20"/>
          <w:szCs w:val="20"/>
        </w:rPr>
        <w:t>викликає</w:t>
      </w:r>
      <w:r w:rsidRPr="000977F7">
        <w:rPr>
          <w:rFonts w:asciiTheme="majorHAnsi" w:hAnsiTheme="majorHAnsi"/>
          <w:spacing w:val="-9"/>
          <w:sz w:val="20"/>
          <w:szCs w:val="20"/>
        </w:rPr>
        <w:t xml:space="preserve"> </w:t>
      </w:r>
      <w:r w:rsidRPr="000977F7">
        <w:rPr>
          <w:rFonts w:asciiTheme="majorHAnsi" w:hAnsiTheme="majorHAnsi"/>
          <w:sz w:val="20"/>
          <w:szCs w:val="20"/>
        </w:rPr>
        <w:t>це</w:t>
      </w:r>
      <w:r w:rsidRPr="000977F7">
        <w:rPr>
          <w:rFonts w:asciiTheme="majorHAnsi" w:hAnsiTheme="majorHAnsi"/>
          <w:spacing w:val="-10"/>
          <w:sz w:val="20"/>
          <w:szCs w:val="20"/>
        </w:rPr>
        <w:t xml:space="preserve"> </w:t>
      </w:r>
      <w:r w:rsidRPr="000977F7">
        <w:rPr>
          <w:rFonts w:asciiTheme="majorHAnsi" w:hAnsiTheme="majorHAnsi"/>
          <w:sz w:val="20"/>
          <w:szCs w:val="20"/>
        </w:rPr>
        <w:t>змінювання</w:t>
      </w:r>
    </w:p>
    <w:p w14:paraId="2CD104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69944A0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Комплексний</w:t>
      </w:r>
      <w:r w:rsidRPr="000977F7">
        <w:rPr>
          <w:rFonts w:asciiTheme="majorHAnsi" w:hAnsiTheme="majorHAnsi"/>
          <w:spacing w:val="1"/>
          <w:sz w:val="20"/>
          <w:szCs w:val="20"/>
        </w:rPr>
        <w:t xml:space="preserve"> </w:t>
      </w:r>
      <w:r w:rsidRPr="000977F7">
        <w:rPr>
          <w:rFonts w:asciiTheme="majorHAnsi" w:hAnsiTheme="majorHAnsi"/>
          <w:sz w:val="20"/>
          <w:szCs w:val="20"/>
        </w:rPr>
        <w:t>коефіцієнт</w:t>
      </w:r>
      <w:r w:rsidRPr="000977F7">
        <w:rPr>
          <w:rFonts w:asciiTheme="majorHAnsi" w:hAnsiTheme="majorHAnsi"/>
          <w:spacing w:val="1"/>
          <w:sz w:val="20"/>
          <w:szCs w:val="20"/>
        </w:rPr>
        <w:t xml:space="preserve"> </w:t>
      </w:r>
      <w:r w:rsidRPr="000977F7">
        <w:rPr>
          <w:rFonts w:asciiTheme="majorHAnsi" w:hAnsiTheme="majorHAnsi"/>
          <w:sz w:val="20"/>
          <w:szCs w:val="20"/>
        </w:rPr>
        <w:t>перетворення</w:t>
      </w:r>
      <w:r w:rsidRPr="000977F7">
        <w:rPr>
          <w:rFonts w:asciiTheme="majorHAnsi" w:hAnsiTheme="majorHAnsi"/>
          <w:spacing w:val="1"/>
          <w:sz w:val="20"/>
          <w:szCs w:val="20"/>
        </w:rPr>
        <w:t xml:space="preserve"> </w:t>
      </w:r>
      <w:r w:rsidRPr="000977F7">
        <w:rPr>
          <w:rFonts w:asciiTheme="majorHAnsi" w:hAnsiTheme="majorHAnsi"/>
          <w:sz w:val="20"/>
          <w:szCs w:val="20"/>
        </w:rPr>
        <w:t>подається</w:t>
      </w:r>
      <w:r w:rsidRPr="000977F7">
        <w:rPr>
          <w:rFonts w:asciiTheme="majorHAnsi" w:hAnsiTheme="majorHAnsi"/>
          <w:spacing w:val="1"/>
          <w:sz w:val="20"/>
          <w:szCs w:val="20"/>
        </w:rPr>
        <w:t xml:space="preserve"> </w:t>
      </w:r>
      <w:r w:rsidRPr="000977F7">
        <w:rPr>
          <w:rFonts w:asciiTheme="majorHAnsi" w:hAnsiTheme="majorHAnsi"/>
          <w:sz w:val="20"/>
          <w:szCs w:val="20"/>
        </w:rPr>
        <w:t>комплексним числом, модуль якого дорівнює амплітуди гармонічного змінювання параметра об’єкта до</w:t>
      </w:r>
      <w:r w:rsidRPr="000977F7">
        <w:rPr>
          <w:rFonts w:asciiTheme="majorHAnsi" w:hAnsiTheme="majorHAnsi"/>
          <w:spacing w:val="1"/>
          <w:sz w:val="20"/>
          <w:szCs w:val="20"/>
        </w:rPr>
        <w:t xml:space="preserve"> </w:t>
      </w:r>
      <w:r w:rsidRPr="000977F7">
        <w:rPr>
          <w:rFonts w:asciiTheme="majorHAnsi" w:hAnsiTheme="majorHAnsi"/>
          <w:sz w:val="20"/>
          <w:szCs w:val="20"/>
        </w:rPr>
        <w:t>амплітуди вхідного гармонічного діяння, а аргумент –</w:t>
      </w:r>
      <w:r w:rsidRPr="000977F7">
        <w:rPr>
          <w:rFonts w:asciiTheme="majorHAnsi" w:hAnsiTheme="majorHAnsi"/>
          <w:spacing w:val="-47"/>
          <w:sz w:val="20"/>
          <w:szCs w:val="20"/>
        </w:rPr>
        <w:t xml:space="preserve"> </w:t>
      </w:r>
      <w:r w:rsidRPr="000977F7">
        <w:rPr>
          <w:rFonts w:asciiTheme="majorHAnsi" w:hAnsiTheme="majorHAnsi"/>
          <w:sz w:val="20"/>
          <w:szCs w:val="20"/>
        </w:rPr>
        <w:t>фазовому</w:t>
      </w:r>
      <w:r w:rsidRPr="000977F7">
        <w:rPr>
          <w:rFonts w:asciiTheme="majorHAnsi" w:hAnsiTheme="majorHAnsi"/>
          <w:spacing w:val="-5"/>
          <w:sz w:val="20"/>
          <w:szCs w:val="20"/>
        </w:rPr>
        <w:t xml:space="preserve"> </w:t>
      </w:r>
      <w:r w:rsidRPr="000977F7">
        <w:rPr>
          <w:rFonts w:asciiTheme="majorHAnsi" w:hAnsiTheme="majorHAnsi"/>
          <w:sz w:val="20"/>
          <w:szCs w:val="20"/>
        </w:rPr>
        <w:t>зсуву</w:t>
      </w:r>
      <w:r w:rsidRPr="000977F7">
        <w:rPr>
          <w:rFonts w:asciiTheme="majorHAnsi" w:hAnsiTheme="majorHAnsi"/>
          <w:spacing w:val="-4"/>
          <w:sz w:val="20"/>
          <w:szCs w:val="20"/>
        </w:rPr>
        <w:t xml:space="preserve"> </w:t>
      </w:r>
      <w:r w:rsidRPr="000977F7">
        <w:rPr>
          <w:rFonts w:asciiTheme="majorHAnsi" w:hAnsiTheme="majorHAnsi"/>
          <w:sz w:val="20"/>
          <w:szCs w:val="20"/>
        </w:rPr>
        <w:t>між</w:t>
      </w:r>
      <w:r w:rsidRPr="000977F7">
        <w:rPr>
          <w:rFonts w:asciiTheme="majorHAnsi" w:hAnsiTheme="majorHAnsi"/>
          <w:spacing w:val="-1"/>
          <w:sz w:val="20"/>
          <w:szCs w:val="20"/>
        </w:rPr>
        <w:t xml:space="preserve"> </w:t>
      </w:r>
      <w:r w:rsidRPr="000977F7">
        <w:rPr>
          <w:rFonts w:asciiTheme="majorHAnsi" w:hAnsiTheme="majorHAnsi"/>
          <w:sz w:val="20"/>
          <w:szCs w:val="20"/>
        </w:rPr>
        <w:t>ними</w:t>
      </w:r>
    </w:p>
    <w:p w14:paraId="78E98F77" w14:textId="77777777" w:rsidR="0097612F" w:rsidRPr="000977F7" w:rsidRDefault="0097612F" w:rsidP="00FD39A4">
      <w:pPr>
        <w:pStyle w:val="ac"/>
        <w:widowControl w:val="0"/>
        <w:numPr>
          <w:ilvl w:val="0"/>
          <w:numId w:val="166"/>
        </w:numPr>
        <w:tabs>
          <w:tab w:val="left" w:pos="284"/>
          <w:tab w:val="left" w:pos="69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Комплексний коефіцієнт перетворення визначається</w:t>
      </w:r>
      <w:r w:rsidRPr="000977F7">
        <w:rPr>
          <w:rFonts w:asciiTheme="majorHAnsi" w:hAnsiTheme="majorHAnsi"/>
          <w:spacing w:val="-47"/>
          <w:sz w:val="20"/>
          <w:szCs w:val="20"/>
        </w:rPr>
        <w:t xml:space="preserve"> </w:t>
      </w:r>
      <w:r w:rsidRPr="000977F7">
        <w:rPr>
          <w:rFonts w:asciiTheme="majorHAnsi" w:hAnsiTheme="majorHAnsi"/>
          <w:sz w:val="20"/>
          <w:szCs w:val="20"/>
        </w:rPr>
        <w:t>для будь-якої комплексної частоти вхідного гармонічного діяння і зберігається із значенням частоти передавальної</w:t>
      </w:r>
      <w:r w:rsidRPr="000977F7">
        <w:rPr>
          <w:rFonts w:asciiTheme="majorHAnsi" w:hAnsiTheme="majorHAnsi"/>
          <w:spacing w:val="-2"/>
          <w:sz w:val="20"/>
          <w:szCs w:val="20"/>
        </w:rPr>
        <w:t xml:space="preserve"> </w:t>
      </w:r>
      <w:r w:rsidRPr="000977F7">
        <w:rPr>
          <w:rFonts w:asciiTheme="majorHAnsi" w:hAnsiTheme="majorHAnsi"/>
          <w:sz w:val="20"/>
          <w:szCs w:val="20"/>
        </w:rPr>
        <w:t>функції</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цієї</w:t>
      </w:r>
      <w:r w:rsidRPr="000977F7">
        <w:rPr>
          <w:rFonts w:asciiTheme="majorHAnsi" w:hAnsiTheme="majorHAnsi"/>
          <w:spacing w:val="-2"/>
          <w:sz w:val="20"/>
          <w:szCs w:val="20"/>
        </w:rPr>
        <w:t xml:space="preserve"> </w:t>
      </w:r>
      <w:r w:rsidRPr="000977F7">
        <w:rPr>
          <w:rFonts w:asciiTheme="majorHAnsi" w:hAnsiTheme="majorHAnsi"/>
          <w:sz w:val="20"/>
          <w:szCs w:val="20"/>
        </w:rPr>
        <w:t>частоти</w:t>
      </w:r>
    </w:p>
    <w:p w14:paraId="3331B1A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3956</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2000</w:t>
      </w:r>
    </w:p>
    <w:p w14:paraId="14794364" w14:textId="77777777" w:rsidR="0097612F" w:rsidRPr="000977F7" w:rsidRDefault="0097612F" w:rsidP="000977F7">
      <w:pPr>
        <w:pStyle w:val="7"/>
        <w:tabs>
          <w:tab w:val="left" w:pos="284"/>
        </w:tabs>
        <w:spacing w:before="0" w:line="240" w:lineRule="auto"/>
        <w:ind w:left="170"/>
        <w:mirrorIndents/>
        <w:jc w:val="both"/>
        <w:rPr>
          <w:color w:val="auto"/>
          <w:spacing w:val="-6"/>
          <w:sz w:val="20"/>
          <w:szCs w:val="20"/>
        </w:rPr>
      </w:pPr>
      <w:r w:rsidRPr="000977F7">
        <w:rPr>
          <w:color w:val="auto"/>
          <w:sz w:val="20"/>
          <w:szCs w:val="20"/>
        </w:rPr>
        <w:t>КОМПЛЕКСНИЙ</w:t>
      </w:r>
      <w:r w:rsidRPr="000977F7">
        <w:rPr>
          <w:color w:val="auto"/>
          <w:spacing w:val="-6"/>
          <w:sz w:val="20"/>
          <w:szCs w:val="20"/>
        </w:rPr>
        <w:t xml:space="preserve"> </w:t>
      </w:r>
      <w:r w:rsidRPr="000977F7">
        <w:rPr>
          <w:color w:val="auto"/>
          <w:sz w:val="20"/>
          <w:szCs w:val="20"/>
        </w:rPr>
        <w:t>ПОКАЗНИК</w:t>
      </w:r>
      <w:r w:rsidRPr="000977F7">
        <w:rPr>
          <w:color w:val="auto"/>
          <w:spacing w:val="-6"/>
          <w:sz w:val="20"/>
          <w:szCs w:val="20"/>
        </w:rPr>
        <w:t xml:space="preserve"> </w:t>
      </w:r>
    </w:p>
    <w:p w14:paraId="0B1B002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НАДІЙНОСТІ</w:t>
      </w:r>
      <w:r w:rsidRPr="000977F7">
        <w:rPr>
          <w:color w:val="auto"/>
          <w:spacing w:val="-4"/>
          <w:sz w:val="20"/>
          <w:szCs w:val="20"/>
        </w:rPr>
        <w:t xml:space="preserve"> </w:t>
      </w:r>
      <w:r w:rsidRPr="000977F7">
        <w:rPr>
          <w:color w:val="auto"/>
          <w:sz w:val="20"/>
          <w:szCs w:val="20"/>
        </w:rPr>
        <w:t>–</w:t>
      </w:r>
    </w:p>
    <w:p w14:paraId="25E10A0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INTEGRATED</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DEPENDABILITY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MEASURE–</w:t>
      </w:r>
    </w:p>
    <w:p w14:paraId="454A2A59" w14:textId="77777777" w:rsidR="0097612F" w:rsidRPr="000977F7" w:rsidRDefault="0097612F" w:rsidP="000977F7">
      <w:pPr>
        <w:pStyle w:val="af6"/>
        <w:tabs>
          <w:tab w:val="left" w:pos="284"/>
        </w:tabs>
        <w:spacing w:after="0"/>
        <w:ind w:left="170"/>
        <w:mirrorIndents/>
        <w:jc w:val="both"/>
        <w:rPr>
          <w:rFonts w:asciiTheme="majorHAnsi" w:hAnsiTheme="majorHAnsi"/>
          <w:spacing w:val="-5"/>
          <w:sz w:val="20"/>
          <w:szCs w:val="20"/>
        </w:rPr>
      </w:pPr>
      <w:r w:rsidRPr="000977F7">
        <w:rPr>
          <w:rFonts w:asciiTheme="majorHAnsi" w:hAnsiTheme="majorHAnsi"/>
          <w:spacing w:val="-5"/>
          <w:sz w:val="20"/>
          <w:szCs w:val="20"/>
        </w:rPr>
        <w:t>Показник надійності, що характеризує декілька властиво</w:t>
      </w:r>
      <w:r w:rsidRPr="000977F7">
        <w:rPr>
          <w:rFonts w:asciiTheme="majorHAnsi" w:hAnsiTheme="majorHAnsi"/>
          <w:spacing w:val="-6"/>
          <w:sz w:val="20"/>
          <w:szCs w:val="20"/>
        </w:rPr>
        <w:t xml:space="preserve">стей із тих, які в сукупності </w:t>
      </w:r>
      <w:r w:rsidRPr="000977F7">
        <w:rPr>
          <w:rFonts w:asciiTheme="majorHAnsi" w:hAnsiTheme="majorHAnsi"/>
          <w:spacing w:val="-5"/>
          <w:sz w:val="20"/>
          <w:szCs w:val="20"/>
        </w:rPr>
        <w:t>складають надійність об’єкта</w:t>
      </w:r>
    </w:p>
    <w:p w14:paraId="49476B94"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3F6DF0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КОМПЛЕКТ</w:t>
      </w:r>
      <w:r w:rsidRPr="000977F7">
        <w:rPr>
          <w:color w:val="auto"/>
          <w:spacing w:val="-5"/>
          <w:sz w:val="20"/>
          <w:szCs w:val="20"/>
        </w:rPr>
        <w:t xml:space="preserve"> </w:t>
      </w:r>
      <w:r w:rsidRPr="000977F7">
        <w:rPr>
          <w:color w:val="auto"/>
          <w:sz w:val="20"/>
          <w:szCs w:val="20"/>
        </w:rPr>
        <w:t>ВИРОБІВ –</w:t>
      </w:r>
    </w:p>
    <w:p w14:paraId="40D7470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Декілька</w:t>
      </w:r>
      <w:r w:rsidRPr="000977F7">
        <w:rPr>
          <w:rFonts w:asciiTheme="majorHAnsi" w:hAnsiTheme="majorHAnsi"/>
          <w:spacing w:val="1"/>
          <w:sz w:val="20"/>
          <w:szCs w:val="20"/>
        </w:rPr>
        <w:t xml:space="preserve"> </w:t>
      </w:r>
      <w:r w:rsidRPr="000977F7">
        <w:rPr>
          <w:rFonts w:asciiTheme="majorHAnsi" w:hAnsiTheme="majorHAnsi"/>
          <w:sz w:val="20"/>
          <w:szCs w:val="20"/>
        </w:rPr>
        <w:t>виробів</w:t>
      </w:r>
      <w:r w:rsidRPr="000977F7">
        <w:rPr>
          <w:rFonts w:asciiTheme="majorHAnsi" w:hAnsiTheme="majorHAnsi"/>
          <w:spacing w:val="1"/>
          <w:sz w:val="20"/>
          <w:szCs w:val="20"/>
        </w:rPr>
        <w:t xml:space="preserve"> </w:t>
      </w:r>
      <w:r w:rsidRPr="000977F7">
        <w:rPr>
          <w:rFonts w:asciiTheme="majorHAnsi" w:hAnsiTheme="majorHAnsi"/>
          <w:sz w:val="20"/>
          <w:szCs w:val="20"/>
        </w:rPr>
        <w:t>загального</w:t>
      </w:r>
      <w:r w:rsidRPr="000977F7">
        <w:rPr>
          <w:rFonts w:asciiTheme="majorHAnsi" w:hAnsiTheme="majorHAnsi"/>
          <w:spacing w:val="1"/>
          <w:sz w:val="20"/>
          <w:szCs w:val="20"/>
        </w:rPr>
        <w:t xml:space="preserve"> </w:t>
      </w:r>
      <w:r w:rsidRPr="000977F7">
        <w:rPr>
          <w:rFonts w:asciiTheme="majorHAnsi" w:hAnsiTheme="majorHAnsi"/>
          <w:sz w:val="20"/>
          <w:szCs w:val="20"/>
        </w:rPr>
        <w:t>функціонального</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переважно</w:t>
      </w:r>
      <w:r w:rsidRPr="000977F7">
        <w:rPr>
          <w:rFonts w:asciiTheme="majorHAnsi" w:hAnsiTheme="majorHAnsi"/>
          <w:spacing w:val="1"/>
          <w:sz w:val="20"/>
          <w:szCs w:val="20"/>
        </w:rPr>
        <w:t xml:space="preserve"> </w:t>
      </w:r>
      <w:r w:rsidRPr="000977F7">
        <w:rPr>
          <w:rFonts w:asciiTheme="majorHAnsi" w:hAnsiTheme="majorHAnsi"/>
          <w:sz w:val="20"/>
          <w:szCs w:val="20"/>
        </w:rPr>
        <w:t>допоміжного</w:t>
      </w:r>
      <w:r w:rsidRPr="000977F7">
        <w:rPr>
          <w:rFonts w:asciiTheme="majorHAnsi" w:hAnsiTheme="majorHAnsi"/>
          <w:spacing w:val="1"/>
          <w:sz w:val="20"/>
          <w:szCs w:val="20"/>
        </w:rPr>
        <w:t xml:space="preserve"> </w:t>
      </w:r>
      <w:r w:rsidRPr="000977F7">
        <w:rPr>
          <w:rFonts w:asciiTheme="majorHAnsi" w:hAnsiTheme="majorHAnsi"/>
          <w:sz w:val="20"/>
          <w:szCs w:val="20"/>
        </w:rPr>
        <w:t>характеру,</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з’єднаних</w:t>
      </w:r>
      <w:r w:rsidRPr="000977F7">
        <w:rPr>
          <w:rFonts w:asciiTheme="majorHAnsi" w:hAnsiTheme="majorHAnsi"/>
          <w:spacing w:val="32"/>
          <w:sz w:val="20"/>
          <w:szCs w:val="20"/>
        </w:rPr>
        <w:t xml:space="preserve"> </w:t>
      </w:r>
      <w:r w:rsidRPr="000977F7">
        <w:rPr>
          <w:rFonts w:asciiTheme="majorHAnsi" w:hAnsiTheme="majorHAnsi"/>
          <w:sz w:val="20"/>
          <w:szCs w:val="20"/>
        </w:rPr>
        <w:t>складальними</w:t>
      </w:r>
      <w:r w:rsidRPr="000977F7">
        <w:rPr>
          <w:rFonts w:asciiTheme="majorHAnsi" w:hAnsiTheme="majorHAnsi"/>
          <w:spacing w:val="31"/>
          <w:sz w:val="20"/>
          <w:szCs w:val="20"/>
        </w:rPr>
        <w:t xml:space="preserve"> </w:t>
      </w:r>
      <w:r w:rsidRPr="000977F7">
        <w:rPr>
          <w:rFonts w:asciiTheme="majorHAnsi" w:hAnsiTheme="majorHAnsi"/>
          <w:sz w:val="20"/>
          <w:szCs w:val="20"/>
        </w:rPr>
        <w:t>операціями</w:t>
      </w:r>
      <w:r w:rsidRPr="000977F7">
        <w:rPr>
          <w:rFonts w:asciiTheme="majorHAnsi" w:hAnsiTheme="majorHAnsi"/>
          <w:spacing w:val="32"/>
          <w:sz w:val="20"/>
          <w:szCs w:val="20"/>
        </w:rPr>
        <w:t xml:space="preserve"> </w:t>
      </w:r>
      <w:r w:rsidRPr="000977F7">
        <w:rPr>
          <w:rFonts w:asciiTheme="majorHAnsi" w:hAnsiTheme="majorHAnsi"/>
          <w:sz w:val="20"/>
          <w:szCs w:val="20"/>
        </w:rPr>
        <w:t>на</w:t>
      </w:r>
      <w:r w:rsidRPr="000977F7">
        <w:rPr>
          <w:rFonts w:asciiTheme="majorHAnsi" w:hAnsiTheme="majorHAnsi"/>
          <w:spacing w:val="34"/>
          <w:sz w:val="20"/>
          <w:szCs w:val="20"/>
        </w:rPr>
        <w:t xml:space="preserve"> </w:t>
      </w:r>
      <w:r w:rsidRPr="000977F7">
        <w:rPr>
          <w:rFonts w:asciiTheme="majorHAnsi" w:hAnsiTheme="majorHAnsi"/>
          <w:sz w:val="20"/>
          <w:szCs w:val="20"/>
        </w:rPr>
        <w:t>підприємстві виробника</w:t>
      </w:r>
    </w:p>
    <w:p w14:paraId="1DCD449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66CE302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КОМПЛЕКТ</w:t>
      </w:r>
      <w:r w:rsidRPr="000977F7">
        <w:rPr>
          <w:color w:val="auto"/>
          <w:spacing w:val="1"/>
          <w:sz w:val="20"/>
          <w:szCs w:val="20"/>
        </w:rPr>
        <w:t xml:space="preserve"> </w:t>
      </w:r>
      <w:r w:rsidRPr="000977F7">
        <w:rPr>
          <w:color w:val="auto"/>
          <w:sz w:val="20"/>
          <w:szCs w:val="20"/>
        </w:rPr>
        <w:t xml:space="preserve">ДОКУМЕНТІВ </w:t>
      </w:r>
    </w:p>
    <w:p w14:paraId="0F19F7F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ТЕХНОЛОГІЧНО</w:t>
      </w:r>
      <w:r w:rsidRPr="000977F7">
        <w:rPr>
          <w:color w:val="auto"/>
          <w:spacing w:val="-47"/>
          <w:sz w:val="20"/>
          <w:szCs w:val="20"/>
        </w:rPr>
        <w:t xml:space="preserve"> </w:t>
      </w:r>
      <w:r w:rsidRPr="000977F7">
        <w:rPr>
          <w:color w:val="auto"/>
          <w:sz w:val="20"/>
          <w:szCs w:val="20"/>
        </w:rPr>
        <w:t>ГО ПРОЦЕСУ (ОПЕРАЦІЇ)</w:t>
      </w:r>
      <w:r w:rsidRPr="000977F7">
        <w:rPr>
          <w:color w:val="auto"/>
          <w:spacing w:val="3"/>
          <w:sz w:val="20"/>
          <w:szCs w:val="20"/>
        </w:rPr>
        <w:t xml:space="preserve"> </w:t>
      </w:r>
    </w:p>
    <w:p w14:paraId="724AE0F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технологічних</w:t>
      </w:r>
      <w:r w:rsidRPr="000977F7">
        <w:rPr>
          <w:rFonts w:asciiTheme="majorHAnsi" w:hAnsiTheme="majorHAnsi"/>
          <w:spacing w:val="1"/>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1"/>
          <w:sz w:val="20"/>
          <w:szCs w:val="20"/>
        </w:rPr>
        <w:t xml:space="preserve"> </w:t>
      </w:r>
      <w:r w:rsidRPr="000977F7">
        <w:rPr>
          <w:rFonts w:asciiTheme="majorHAnsi" w:hAnsiTheme="majorHAnsi"/>
          <w:sz w:val="20"/>
          <w:szCs w:val="20"/>
        </w:rPr>
        <w:t>необхідних</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достатніх</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(операції)</w:t>
      </w:r>
    </w:p>
    <w:p w14:paraId="3DA4ADC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2391:2010</w:t>
      </w:r>
    </w:p>
    <w:p w14:paraId="71ABB3E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КОМПЛЕКТ</w:t>
      </w:r>
      <w:r w:rsidRPr="000977F7">
        <w:rPr>
          <w:color w:val="auto"/>
          <w:spacing w:val="-11"/>
          <w:sz w:val="20"/>
          <w:szCs w:val="20"/>
        </w:rPr>
        <w:t xml:space="preserve"> </w:t>
      </w:r>
      <w:r w:rsidRPr="000977F7">
        <w:rPr>
          <w:color w:val="auto"/>
          <w:sz w:val="20"/>
          <w:szCs w:val="20"/>
        </w:rPr>
        <w:t>ПРОЕКТНОЇ</w:t>
      </w:r>
      <w:r w:rsidRPr="000977F7">
        <w:rPr>
          <w:color w:val="auto"/>
          <w:spacing w:val="-10"/>
          <w:sz w:val="20"/>
          <w:szCs w:val="20"/>
        </w:rPr>
        <w:t xml:space="preserve"> </w:t>
      </w:r>
      <w:r w:rsidRPr="000977F7">
        <w:rPr>
          <w:color w:val="auto"/>
          <w:sz w:val="20"/>
          <w:szCs w:val="20"/>
        </w:rPr>
        <w:t>ТЕХНОЛОГІЧНОЇ</w:t>
      </w:r>
      <w:r w:rsidRPr="000977F7">
        <w:rPr>
          <w:color w:val="auto"/>
          <w:spacing w:val="-47"/>
          <w:sz w:val="20"/>
          <w:szCs w:val="20"/>
        </w:rPr>
        <w:t xml:space="preserve"> </w:t>
      </w:r>
      <w:r w:rsidRPr="000977F7">
        <w:rPr>
          <w:color w:val="auto"/>
          <w:sz w:val="20"/>
          <w:szCs w:val="20"/>
        </w:rPr>
        <w:t>ДОКУМЕНТАЦІЇ</w:t>
      </w:r>
      <w:r w:rsidRPr="000977F7">
        <w:rPr>
          <w:color w:val="auto"/>
          <w:spacing w:val="-1"/>
          <w:sz w:val="20"/>
          <w:szCs w:val="20"/>
        </w:rPr>
        <w:t xml:space="preserve"> </w:t>
      </w:r>
      <w:r w:rsidRPr="000977F7">
        <w:rPr>
          <w:color w:val="auto"/>
          <w:sz w:val="20"/>
          <w:szCs w:val="20"/>
        </w:rPr>
        <w:t>–</w:t>
      </w:r>
    </w:p>
    <w:p w14:paraId="6320EA5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Комплект</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документації,</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призначений</w:t>
      </w:r>
      <w:r w:rsidRPr="000977F7">
        <w:rPr>
          <w:rFonts w:asciiTheme="majorHAnsi" w:hAnsiTheme="majorHAnsi"/>
          <w:spacing w:val="1"/>
          <w:sz w:val="20"/>
          <w:szCs w:val="20"/>
        </w:rPr>
        <w:t xml:space="preserve"> </w:t>
      </w:r>
      <w:r w:rsidRPr="000977F7">
        <w:rPr>
          <w:rFonts w:asciiTheme="majorHAnsi" w:hAnsiTheme="majorHAnsi"/>
          <w:sz w:val="20"/>
          <w:szCs w:val="20"/>
        </w:rPr>
        <w:t>для застосування в процесі проектування чи реконструкції</w:t>
      </w:r>
      <w:r w:rsidRPr="000977F7">
        <w:rPr>
          <w:rFonts w:asciiTheme="majorHAnsi" w:hAnsiTheme="majorHAnsi"/>
          <w:spacing w:val="-2"/>
          <w:sz w:val="20"/>
          <w:szCs w:val="20"/>
        </w:rPr>
        <w:t xml:space="preserve"> </w:t>
      </w:r>
      <w:r w:rsidRPr="000977F7">
        <w:rPr>
          <w:rFonts w:asciiTheme="majorHAnsi" w:hAnsiTheme="majorHAnsi"/>
          <w:sz w:val="20"/>
          <w:szCs w:val="20"/>
        </w:rPr>
        <w:t>підприємства</w:t>
      </w:r>
    </w:p>
    <w:p w14:paraId="00CA4A7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2391:2010</w:t>
      </w:r>
    </w:p>
    <w:p w14:paraId="6B98A388" w14:textId="77777777" w:rsidR="0097612F" w:rsidRPr="000977F7" w:rsidRDefault="0097612F" w:rsidP="000977F7">
      <w:pPr>
        <w:pStyle w:val="7"/>
        <w:tabs>
          <w:tab w:val="left" w:pos="284"/>
        </w:tabs>
        <w:spacing w:before="0" w:line="240" w:lineRule="auto"/>
        <w:ind w:left="170"/>
        <w:mirrorIndents/>
        <w:jc w:val="both"/>
        <w:rPr>
          <w:color w:val="auto"/>
          <w:spacing w:val="-9"/>
          <w:sz w:val="20"/>
          <w:szCs w:val="20"/>
        </w:rPr>
      </w:pPr>
      <w:r w:rsidRPr="000977F7">
        <w:rPr>
          <w:color w:val="auto"/>
          <w:sz w:val="20"/>
          <w:szCs w:val="20"/>
        </w:rPr>
        <w:t>КОМПЛЕКТ</w:t>
      </w:r>
      <w:r w:rsidRPr="000977F7">
        <w:rPr>
          <w:color w:val="auto"/>
          <w:spacing w:val="-10"/>
          <w:sz w:val="20"/>
          <w:szCs w:val="20"/>
        </w:rPr>
        <w:t xml:space="preserve"> </w:t>
      </w:r>
      <w:r w:rsidRPr="000977F7">
        <w:rPr>
          <w:color w:val="auto"/>
          <w:sz w:val="20"/>
          <w:szCs w:val="20"/>
        </w:rPr>
        <w:t>ТЕХНОЛОГІЧНОЇ</w:t>
      </w:r>
      <w:r w:rsidRPr="000977F7">
        <w:rPr>
          <w:color w:val="auto"/>
          <w:spacing w:val="-9"/>
          <w:sz w:val="20"/>
          <w:szCs w:val="20"/>
        </w:rPr>
        <w:t xml:space="preserve"> </w:t>
      </w:r>
    </w:p>
    <w:p w14:paraId="59C6777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ДОКУМЕНТА</w:t>
      </w:r>
      <w:r w:rsidRPr="000977F7">
        <w:rPr>
          <w:color w:val="auto"/>
          <w:spacing w:val="-47"/>
          <w:sz w:val="20"/>
          <w:szCs w:val="20"/>
        </w:rPr>
        <w:t xml:space="preserve"> </w:t>
      </w:r>
      <w:r w:rsidRPr="000977F7">
        <w:rPr>
          <w:color w:val="auto"/>
          <w:sz w:val="20"/>
          <w:szCs w:val="20"/>
        </w:rPr>
        <w:t>ЦІЇ</w:t>
      </w:r>
      <w:r w:rsidRPr="000977F7">
        <w:rPr>
          <w:color w:val="auto"/>
          <w:spacing w:val="-2"/>
          <w:sz w:val="20"/>
          <w:szCs w:val="20"/>
        </w:rPr>
        <w:t xml:space="preserve"> </w:t>
      </w:r>
      <w:r w:rsidRPr="000977F7">
        <w:rPr>
          <w:color w:val="auto"/>
          <w:sz w:val="20"/>
          <w:szCs w:val="20"/>
        </w:rPr>
        <w:t>–</w:t>
      </w:r>
    </w:p>
    <w:p w14:paraId="2DE2EF1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комплектів</w:t>
      </w:r>
      <w:r w:rsidRPr="000977F7">
        <w:rPr>
          <w:rFonts w:asciiTheme="majorHAnsi" w:hAnsiTheme="majorHAnsi"/>
          <w:spacing w:val="1"/>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технологічних</w:t>
      </w:r>
      <w:r w:rsidRPr="000977F7">
        <w:rPr>
          <w:rFonts w:asciiTheme="majorHAnsi" w:hAnsiTheme="majorHAnsi"/>
          <w:spacing w:val="1"/>
          <w:sz w:val="20"/>
          <w:szCs w:val="20"/>
        </w:rPr>
        <w:t xml:space="preserve"> </w:t>
      </w:r>
      <w:r w:rsidRPr="000977F7">
        <w:rPr>
          <w:rFonts w:asciiTheme="majorHAnsi" w:hAnsiTheme="majorHAnsi"/>
          <w:sz w:val="20"/>
          <w:szCs w:val="20"/>
        </w:rPr>
        <w:t>процесів та окремих документів, необхідних і достатніх</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технологічних</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r w:rsidRPr="000977F7">
        <w:rPr>
          <w:rFonts w:asciiTheme="majorHAnsi" w:hAnsiTheme="majorHAnsi"/>
          <w:spacing w:val="1"/>
          <w:sz w:val="20"/>
          <w:szCs w:val="20"/>
        </w:rPr>
        <w:t xml:space="preserve"> </w:t>
      </w:r>
      <w:r w:rsidRPr="000977F7">
        <w:rPr>
          <w:rFonts w:asciiTheme="majorHAnsi" w:hAnsiTheme="majorHAnsi"/>
          <w:sz w:val="20"/>
          <w:szCs w:val="20"/>
        </w:rPr>
        <w:t>виготовлення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ремонту</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5"/>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його складових</w:t>
      </w:r>
    </w:p>
    <w:p w14:paraId="75FC43A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2391:2010</w:t>
      </w:r>
    </w:p>
    <w:p w14:paraId="69BBBA13" w14:textId="77777777" w:rsidR="0097612F" w:rsidRPr="000977F7" w:rsidRDefault="0097612F" w:rsidP="000977F7">
      <w:pPr>
        <w:pStyle w:val="7"/>
        <w:tabs>
          <w:tab w:val="left" w:pos="284"/>
        </w:tabs>
        <w:spacing w:before="0" w:line="240" w:lineRule="auto"/>
        <w:ind w:left="170"/>
        <w:mirrorIndents/>
        <w:jc w:val="both"/>
        <w:rPr>
          <w:color w:val="auto"/>
          <w:spacing w:val="-6"/>
          <w:sz w:val="20"/>
          <w:szCs w:val="20"/>
        </w:rPr>
      </w:pPr>
      <w:r w:rsidRPr="000977F7">
        <w:rPr>
          <w:color w:val="auto"/>
          <w:sz w:val="20"/>
          <w:szCs w:val="20"/>
        </w:rPr>
        <w:t>КОМПЛЕКТНА</w:t>
      </w:r>
      <w:r w:rsidRPr="000977F7">
        <w:rPr>
          <w:color w:val="auto"/>
          <w:spacing w:val="-7"/>
          <w:sz w:val="20"/>
          <w:szCs w:val="20"/>
        </w:rPr>
        <w:t xml:space="preserve"> </w:t>
      </w:r>
      <w:r w:rsidRPr="000977F7">
        <w:rPr>
          <w:color w:val="auto"/>
          <w:sz w:val="20"/>
          <w:szCs w:val="20"/>
        </w:rPr>
        <w:t>ПОВІРКА</w:t>
      </w:r>
      <w:r w:rsidRPr="000977F7">
        <w:rPr>
          <w:color w:val="auto"/>
          <w:spacing w:val="-7"/>
          <w:sz w:val="20"/>
          <w:szCs w:val="20"/>
        </w:rPr>
        <w:t xml:space="preserve"> </w:t>
      </w:r>
      <w:r w:rsidRPr="000977F7">
        <w:rPr>
          <w:color w:val="auto"/>
          <w:sz w:val="20"/>
          <w:szCs w:val="20"/>
        </w:rPr>
        <w:t>ЗАСОБІВ</w:t>
      </w:r>
      <w:r w:rsidRPr="000977F7">
        <w:rPr>
          <w:color w:val="auto"/>
          <w:spacing w:val="-6"/>
          <w:sz w:val="20"/>
          <w:szCs w:val="20"/>
        </w:rPr>
        <w:t xml:space="preserve"> </w:t>
      </w:r>
    </w:p>
    <w:p w14:paraId="61DE607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ВИМІРЮ</w:t>
      </w:r>
      <w:r w:rsidRPr="000977F7">
        <w:rPr>
          <w:color w:val="auto"/>
          <w:spacing w:val="-47"/>
          <w:sz w:val="20"/>
          <w:szCs w:val="20"/>
        </w:rPr>
        <w:t xml:space="preserve"> </w:t>
      </w:r>
      <w:r w:rsidRPr="000977F7">
        <w:rPr>
          <w:color w:val="auto"/>
          <w:sz w:val="20"/>
          <w:szCs w:val="20"/>
        </w:rPr>
        <w:t>ВАЛЬНОЇ</w:t>
      </w:r>
      <w:r w:rsidRPr="000977F7">
        <w:rPr>
          <w:color w:val="auto"/>
          <w:spacing w:val="-2"/>
          <w:sz w:val="20"/>
          <w:szCs w:val="20"/>
        </w:rPr>
        <w:t xml:space="preserve"> </w:t>
      </w:r>
      <w:r w:rsidRPr="000977F7">
        <w:rPr>
          <w:color w:val="auto"/>
          <w:sz w:val="20"/>
          <w:szCs w:val="20"/>
        </w:rPr>
        <w:t>ТЕХНІКИ</w:t>
      </w:r>
      <w:r w:rsidRPr="000977F7">
        <w:rPr>
          <w:color w:val="auto"/>
          <w:spacing w:val="1"/>
          <w:sz w:val="20"/>
          <w:szCs w:val="20"/>
        </w:rPr>
        <w:t xml:space="preserve"> </w:t>
      </w:r>
      <w:r w:rsidRPr="000977F7">
        <w:rPr>
          <w:color w:val="auto"/>
          <w:sz w:val="20"/>
          <w:szCs w:val="20"/>
        </w:rPr>
        <w:t>–</w:t>
      </w:r>
    </w:p>
    <w:p w14:paraId="2B278ED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Повірка,</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якої</w:t>
      </w:r>
      <w:r w:rsidRPr="000977F7">
        <w:rPr>
          <w:rFonts w:asciiTheme="majorHAnsi" w:hAnsiTheme="majorHAnsi"/>
          <w:spacing w:val="1"/>
          <w:sz w:val="20"/>
          <w:szCs w:val="20"/>
        </w:rPr>
        <w:t xml:space="preserve"> </w:t>
      </w:r>
      <w:r w:rsidRPr="000977F7">
        <w:rPr>
          <w:rFonts w:asciiTheme="majorHAnsi" w:hAnsiTheme="majorHAnsi"/>
          <w:sz w:val="20"/>
          <w:szCs w:val="20"/>
        </w:rPr>
        <w:t>метрологічні</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характеристики</w:t>
      </w:r>
      <w:r w:rsidRPr="000977F7">
        <w:rPr>
          <w:rFonts w:asciiTheme="majorHAnsi" w:hAnsiTheme="majorHAnsi"/>
          <w:spacing w:val="1"/>
          <w:sz w:val="20"/>
          <w:szCs w:val="20"/>
        </w:rPr>
        <w:t xml:space="preserve"> </w:t>
      </w:r>
      <w:r w:rsidRPr="000977F7">
        <w:rPr>
          <w:rFonts w:asciiTheme="majorHAnsi" w:hAnsiTheme="majorHAnsi"/>
          <w:sz w:val="20"/>
          <w:szCs w:val="20"/>
        </w:rPr>
        <w:t>засобів</w:t>
      </w:r>
      <w:r w:rsidRPr="000977F7">
        <w:rPr>
          <w:rFonts w:asciiTheme="majorHAnsi" w:hAnsiTheme="majorHAnsi"/>
          <w:spacing w:val="1"/>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1"/>
          <w:sz w:val="20"/>
          <w:szCs w:val="20"/>
        </w:rPr>
        <w:t xml:space="preserve"> </w:t>
      </w:r>
      <w:r w:rsidRPr="000977F7">
        <w:rPr>
          <w:rFonts w:asciiTheme="majorHAnsi" w:hAnsiTheme="majorHAnsi"/>
          <w:sz w:val="20"/>
          <w:szCs w:val="20"/>
        </w:rPr>
        <w:t>техніки</w:t>
      </w:r>
      <w:r w:rsidRPr="000977F7">
        <w:rPr>
          <w:rFonts w:asciiTheme="majorHAnsi" w:hAnsiTheme="majorHAnsi"/>
          <w:spacing w:val="1"/>
          <w:sz w:val="20"/>
          <w:szCs w:val="20"/>
        </w:rPr>
        <w:t xml:space="preserve"> </w:t>
      </w:r>
      <w:r w:rsidRPr="000977F7">
        <w:rPr>
          <w:rFonts w:asciiTheme="majorHAnsi" w:hAnsiTheme="majorHAnsi"/>
          <w:sz w:val="20"/>
          <w:szCs w:val="20"/>
        </w:rPr>
        <w:t>визначають</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єдиного цілого без визначення метрологічних характеристик</w:t>
      </w:r>
      <w:r w:rsidRPr="000977F7">
        <w:rPr>
          <w:rFonts w:asciiTheme="majorHAnsi" w:hAnsiTheme="majorHAnsi"/>
          <w:spacing w:val="-2"/>
          <w:sz w:val="20"/>
          <w:szCs w:val="20"/>
        </w:rPr>
        <w:t xml:space="preserve"> </w:t>
      </w:r>
      <w:r w:rsidRPr="000977F7">
        <w:rPr>
          <w:rFonts w:asciiTheme="majorHAnsi" w:hAnsiTheme="majorHAnsi"/>
          <w:sz w:val="20"/>
          <w:szCs w:val="20"/>
        </w:rPr>
        <w:t>окремих</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частин</w:t>
      </w:r>
    </w:p>
    <w:p w14:paraId="279FD79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A1EEE5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КОМПЛЕКТНІСТЬ КОНСТРУКТОРСЬКОЇ </w:t>
      </w:r>
    </w:p>
    <w:p w14:paraId="4FAA265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w:t>
      </w:r>
      <w:r w:rsidRPr="000977F7">
        <w:rPr>
          <w:color w:val="auto"/>
          <w:spacing w:val="-48"/>
          <w:sz w:val="20"/>
          <w:szCs w:val="20"/>
        </w:rPr>
        <w:t xml:space="preserve"> </w:t>
      </w:r>
      <w:r w:rsidRPr="000977F7">
        <w:rPr>
          <w:color w:val="auto"/>
          <w:sz w:val="20"/>
          <w:szCs w:val="20"/>
        </w:rPr>
        <w:t>КУМЕНТАЦІЇ–</w:t>
      </w:r>
    </w:p>
    <w:p w14:paraId="4D8DD44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Наявність конструкторських документів, необхідних і</w:t>
      </w:r>
      <w:r w:rsidRPr="000977F7">
        <w:rPr>
          <w:rFonts w:asciiTheme="majorHAnsi" w:hAnsiTheme="majorHAnsi"/>
          <w:spacing w:val="-47"/>
          <w:sz w:val="20"/>
          <w:szCs w:val="20"/>
        </w:rPr>
        <w:t xml:space="preserve"> </w:t>
      </w:r>
      <w:r w:rsidRPr="000977F7">
        <w:rPr>
          <w:rFonts w:asciiTheme="majorHAnsi" w:hAnsiTheme="majorHAnsi"/>
          <w:sz w:val="20"/>
          <w:szCs w:val="20"/>
        </w:rPr>
        <w:t>достатніх</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й</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1"/>
          <w:sz w:val="20"/>
          <w:szCs w:val="20"/>
        </w:rPr>
        <w:t xml:space="preserve"> </w:t>
      </w:r>
      <w:r w:rsidRPr="000977F7">
        <w:rPr>
          <w:rFonts w:asciiTheme="majorHAnsi" w:hAnsiTheme="majorHAnsi"/>
          <w:sz w:val="20"/>
          <w:szCs w:val="20"/>
        </w:rPr>
        <w:t>певного</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1"/>
          <w:sz w:val="20"/>
          <w:szCs w:val="20"/>
        </w:rPr>
        <w:t xml:space="preserve"> </w:t>
      </w:r>
      <w:r w:rsidRPr="000977F7">
        <w:rPr>
          <w:rFonts w:asciiTheme="majorHAnsi" w:hAnsiTheme="majorHAnsi"/>
          <w:sz w:val="20"/>
          <w:szCs w:val="20"/>
        </w:rPr>
        <w:t>а також</w:t>
      </w:r>
      <w:r w:rsidRPr="000977F7">
        <w:rPr>
          <w:rFonts w:asciiTheme="majorHAnsi" w:hAnsiTheme="majorHAnsi"/>
          <w:spacing w:val="-1"/>
          <w:sz w:val="20"/>
          <w:szCs w:val="20"/>
        </w:rPr>
        <w:t xml:space="preserve"> </w:t>
      </w:r>
      <w:r w:rsidRPr="000977F7">
        <w:rPr>
          <w:rFonts w:asciiTheme="majorHAnsi" w:hAnsiTheme="majorHAnsi"/>
          <w:sz w:val="20"/>
          <w:szCs w:val="20"/>
        </w:rPr>
        <w:t>його ремонту</w:t>
      </w:r>
    </w:p>
    <w:p w14:paraId="5515D7F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420A608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КОМПЛЕКТУВАЛЬНИЙ</w:t>
      </w:r>
      <w:r w:rsidRPr="000977F7">
        <w:rPr>
          <w:color w:val="auto"/>
          <w:spacing w:val="-4"/>
          <w:sz w:val="20"/>
          <w:szCs w:val="20"/>
        </w:rPr>
        <w:t xml:space="preserve"> </w:t>
      </w:r>
      <w:r w:rsidRPr="000977F7">
        <w:rPr>
          <w:color w:val="auto"/>
          <w:sz w:val="20"/>
          <w:szCs w:val="20"/>
        </w:rPr>
        <w:t>ВИРІБ</w:t>
      </w:r>
      <w:r w:rsidRPr="000977F7">
        <w:rPr>
          <w:color w:val="auto"/>
          <w:spacing w:val="-2"/>
          <w:sz w:val="20"/>
          <w:szCs w:val="20"/>
        </w:rPr>
        <w:t xml:space="preserve"> </w:t>
      </w:r>
      <w:r w:rsidRPr="000977F7">
        <w:rPr>
          <w:color w:val="auto"/>
          <w:sz w:val="20"/>
          <w:szCs w:val="20"/>
        </w:rPr>
        <w:t>–</w:t>
      </w:r>
    </w:p>
    <w:p w14:paraId="2326711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 підприємства, застосований як складова частина</w:t>
      </w:r>
      <w:r w:rsidRPr="000977F7">
        <w:rPr>
          <w:rFonts w:asciiTheme="majorHAnsi" w:hAnsiTheme="majorHAnsi"/>
          <w:spacing w:val="-1"/>
          <w:sz w:val="20"/>
          <w:szCs w:val="20"/>
        </w:rPr>
        <w:t xml:space="preserve"> </w:t>
      </w:r>
      <w:r w:rsidRPr="000977F7">
        <w:rPr>
          <w:rFonts w:asciiTheme="majorHAnsi" w:hAnsiTheme="majorHAnsi"/>
          <w:sz w:val="20"/>
          <w:szCs w:val="20"/>
        </w:rPr>
        <w:t>того,</w:t>
      </w:r>
      <w:r w:rsidRPr="000977F7">
        <w:rPr>
          <w:rFonts w:asciiTheme="majorHAnsi" w:hAnsiTheme="majorHAnsi"/>
          <w:spacing w:val="-1"/>
          <w:sz w:val="20"/>
          <w:szCs w:val="20"/>
        </w:rPr>
        <w:t xml:space="preserve"> </w:t>
      </w:r>
      <w:r w:rsidRPr="000977F7">
        <w:rPr>
          <w:rFonts w:asciiTheme="majorHAnsi" w:hAnsiTheme="majorHAnsi"/>
          <w:sz w:val="20"/>
          <w:szCs w:val="20"/>
        </w:rPr>
        <w:t>що випускають</w:t>
      </w:r>
      <w:r w:rsidRPr="000977F7">
        <w:rPr>
          <w:rFonts w:asciiTheme="majorHAnsi" w:hAnsiTheme="majorHAnsi"/>
          <w:spacing w:val="-1"/>
          <w:sz w:val="20"/>
          <w:szCs w:val="20"/>
        </w:rPr>
        <w:t xml:space="preserve"> </w:t>
      </w:r>
      <w:r w:rsidRPr="000977F7">
        <w:rPr>
          <w:rFonts w:asciiTheme="majorHAnsi" w:hAnsiTheme="majorHAnsi"/>
          <w:sz w:val="20"/>
          <w:szCs w:val="20"/>
        </w:rPr>
        <w:t>інші</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w:t>
      </w:r>
    </w:p>
    <w:p w14:paraId="14CE3D5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2391:2010;</w:t>
      </w:r>
      <w:r w:rsidRPr="000977F7">
        <w:rPr>
          <w:rFonts w:asciiTheme="majorHAnsi" w:hAnsiTheme="majorHAnsi"/>
          <w:i/>
          <w:spacing w:val="-2"/>
          <w:sz w:val="20"/>
          <w:szCs w:val="20"/>
        </w:rPr>
        <w:t xml:space="preserve"> </w:t>
      </w: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7147B0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7C104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Складовими частинами виробу можуть бути деталі та</w:t>
      </w:r>
      <w:r w:rsidRPr="000977F7">
        <w:rPr>
          <w:rFonts w:asciiTheme="majorHAnsi" w:hAnsiTheme="majorHAnsi"/>
          <w:spacing w:val="1"/>
          <w:sz w:val="20"/>
          <w:szCs w:val="20"/>
        </w:rPr>
        <w:t xml:space="preserve"> </w:t>
      </w:r>
      <w:r w:rsidRPr="000977F7">
        <w:rPr>
          <w:rFonts w:asciiTheme="majorHAnsi" w:hAnsiTheme="majorHAnsi"/>
          <w:sz w:val="20"/>
          <w:szCs w:val="20"/>
        </w:rPr>
        <w:t>складальні</w:t>
      </w:r>
      <w:r w:rsidRPr="000977F7">
        <w:rPr>
          <w:rFonts w:asciiTheme="majorHAnsi" w:hAnsiTheme="majorHAnsi"/>
          <w:spacing w:val="-2"/>
          <w:sz w:val="20"/>
          <w:szCs w:val="20"/>
        </w:rPr>
        <w:t xml:space="preserve"> </w:t>
      </w:r>
      <w:r w:rsidRPr="000977F7">
        <w:rPr>
          <w:rFonts w:asciiTheme="majorHAnsi" w:hAnsiTheme="majorHAnsi"/>
          <w:sz w:val="20"/>
          <w:szCs w:val="20"/>
        </w:rPr>
        <w:t>одиниці</w:t>
      </w:r>
    </w:p>
    <w:p w14:paraId="42CB0300"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4"/>
          <w:sz w:val="20"/>
          <w:szCs w:val="20"/>
        </w:rPr>
        <w:t xml:space="preserve"> </w:t>
      </w:r>
      <w:r w:rsidRPr="000977F7">
        <w:rPr>
          <w:rFonts w:asciiTheme="majorHAnsi" w:hAnsiTheme="majorHAnsi"/>
          <w:i/>
          <w:sz w:val="20"/>
          <w:szCs w:val="20"/>
        </w:rPr>
        <w:t>2391:2010</w:t>
      </w:r>
    </w:p>
    <w:p w14:paraId="013EF53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КОМПОЗИЦІЙНІСТЬ</w:t>
      </w:r>
      <w:r w:rsidRPr="000977F7">
        <w:rPr>
          <w:color w:val="auto"/>
          <w:spacing w:val="-5"/>
          <w:sz w:val="20"/>
          <w:szCs w:val="20"/>
        </w:rPr>
        <w:t xml:space="preserve"> </w:t>
      </w:r>
      <w:r w:rsidRPr="000977F7">
        <w:rPr>
          <w:color w:val="auto"/>
          <w:sz w:val="20"/>
          <w:szCs w:val="20"/>
        </w:rPr>
        <w:t>ПЛАНУ</w:t>
      </w:r>
      <w:r w:rsidRPr="000977F7">
        <w:rPr>
          <w:color w:val="auto"/>
          <w:spacing w:val="-3"/>
          <w:sz w:val="20"/>
          <w:szCs w:val="20"/>
        </w:rPr>
        <w:t xml:space="preserve"> </w:t>
      </w:r>
      <w:r w:rsidRPr="000977F7">
        <w:rPr>
          <w:color w:val="auto"/>
          <w:sz w:val="20"/>
          <w:szCs w:val="20"/>
        </w:rPr>
        <w:t>–</w:t>
      </w:r>
    </w:p>
    <w:p w14:paraId="6750F24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 плану, яка дозволяє виконувати експеримент послідовно, переходячи від більш простих моделей</w:t>
      </w:r>
      <w:r w:rsidRPr="000977F7">
        <w:rPr>
          <w:rFonts w:asciiTheme="majorHAnsi" w:hAnsiTheme="majorHAnsi"/>
          <w:spacing w:val="-2"/>
          <w:sz w:val="20"/>
          <w:szCs w:val="20"/>
        </w:rPr>
        <w:t xml:space="preserve"> </w:t>
      </w:r>
      <w:r w:rsidRPr="000977F7">
        <w:rPr>
          <w:rFonts w:asciiTheme="majorHAnsi" w:hAnsiTheme="majorHAnsi"/>
          <w:sz w:val="20"/>
          <w:szCs w:val="20"/>
        </w:rPr>
        <w:t>до більш складних</w:t>
      </w:r>
    </w:p>
    <w:p w14:paraId="276B5E5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КОМУНІКАЦІЯ</w:t>
      </w:r>
      <w:r w:rsidRPr="000977F7">
        <w:rPr>
          <w:color w:val="auto"/>
          <w:spacing w:val="-3"/>
          <w:sz w:val="20"/>
          <w:szCs w:val="20"/>
        </w:rPr>
        <w:t xml:space="preserve"> </w:t>
      </w:r>
      <w:r w:rsidRPr="000977F7">
        <w:rPr>
          <w:color w:val="auto"/>
          <w:sz w:val="20"/>
          <w:szCs w:val="20"/>
        </w:rPr>
        <w:t>–</w:t>
      </w:r>
    </w:p>
    <w:p w14:paraId="5D0F1F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 крім іншого обмін інформацією. Відправник відповідає за те, щоб інформація була чіткою, однозначною і якомога повнішою – одержувач має отримати її</w:t>
      </w:r>
      <w:r w:rsidRPr="000977F7">
        <w:rPr>
          <w:rFonts w:asciiTheme="majorHAnsi" w:hAnsiTheme="majorHAnsi"/>
          <w:spacing w:val="1"/>
          <w:sz w:val="20"/>
          <w:szCs w:val="20"/>
        </w:rPr>
        <w:t xml:space="preserve"> </w:t>
      </w:r>
      <w:r w:rsidRPr="000977F7">
        <w:rPr>
          <w:rFonts w:asciiTheme="majorHAnsi" w:hAnsiTheme="majorHAnsi"/>
          <w:sz w:val="20"/>
          <w:szCs w:val="20"/>
        </w:rPr>
        <w:t>у неспотвореній формі. Одержувач відповідає за перевірку того, що інформація надійшла повністю і зрозуміла. Комунікація</w:t>
      </w:r>
      <w:r w:rsidRPr="000977F7">
        <w:rPr>
          <w:rFonts w:asciiTheme="majorHAnsi" w:hAnsiTheme="majorHAnsi"/>
          <w:spacing w:val="-1"/>
          <w:sz w:val="20"/>
          <w:szCs w:val="20"/>
        </w:rPr>
        <w:t xml:space="preserve"> </w:t>
      </w:r>
      <w:r w:rsidRPr="000977F7">
        <w:rPr>
          <w:rFonts w:asciiTheme="majorHAnsi" w:hAnsiTheme="majorHAnsi"/>
          <w:sz w:val="20"/>
          <w:szCs w:val="20"/>
        </w:rPr>
        <w:t>буває:</w:t>
      </w:r>
    </w:p>
    <w:p w14:paraId="282606D8"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письмова</w:t>
      </w:r>
      <w:r w:rsidRPr="000977F7">
        <w:rPr>
          <w:rFonts w:asciiTheme="majorHAnsi" w:hAnsiTheme="majorHAnsi"/>
          <w:spacing w:val="-4"/>
          <w:sz w:val="20"/>
          <w:szCs w:val="20"/>
        </w:rPr>
        <w:t xml:space="preserve"> </w:t>
      </w:r>
      <w:r w:rsidRPr="000977F7">
        <w:rPr>
          <w:rFonts w:asciiTheme="majorHAnsi" w:hAnsiTheme="majorHAnsi"/>
          <w:sz w:val="20"/>
          <w:szCs w:val="20"/>
        </w:rPr>
        <w:t>й</w:t>
      </w:r>
      <w:r w:rsidRPr="000977F7">
        <w:rPr>
          <w:rFonts w:asciiTheme="majorHAnsi" w:hAnsiTheme="majorHAnsi"/>
          <w:spacing w:val="-1"/>
          <w:sz w:val="20"/>
          <w:szCs w:val="20"/>
        </w:rPr>
        <w:t xml:space="preserve"> </w:t>
      </w:r>
      <w:r w:rsidRPr="000977F7">
        <w:rPr>
          <w:rFonts w:asciiTheme="majorHAnsi" w:hAnsiTheme="majorHAnsi"/>
          <w:sz w:val="20"/>
          <w:szCs w:val="20"/>
        </w:rPr>
        <w:t>усна</w:t>
      </w:r>
      <w:r w:rsidRPr="000977F7">
        <w:rPr>
          <w:rFonts w:asciiTheme="majorHAnsi" w:hAnsiTheme="majorHAnsi"/>
          <w:spacing w:val="-3"/>
          <w:sz w:val="20"/>
          <w:szCs w:val="20"/>
        </w:rPr>
        <w:t xml:space="preserve"> </w:t>
      </w:r>
      <w:r w:rsidRPr="000977F7">
        <w:rPr>
          <w:rFonts w:asciiTheme="majorHAnsi" w:hAnsiTheme="majorHAnsi"/>
          <w:sz w:val="20"/>
          <w:szCs w:val="20"/>
        </w:rPr>
        <w:t>(слухання</w:t>
      </w:r>
      <w:r w:rsidRPr="000977F7">
        <w:rPr>
          <w:rFonts w:asciiTheme="majorHAnsi" w:hAnsiTheme="majorHAnsi"/>
          <w:spacing w:val="-4"/>
          <w:sz w:val="20"/>
          <w:szCs w:val="20"/>
        </w:rPr>
        <w:t xml:space="preserve"> </w:t>
      </w:r>
      <w:r w:rsidRPr="000977F7">
        <w:rPr>
          <w:rFonts w:asciiTheme="majorHAnsi" w:hAnsiTheme="majorHAnsi"/>
          <w:sz w:val="20"/>
          <w:szCs w:val="20"/>
        </w:rPr>
        <w:t>або</w:t>
      </w:r>
      <w:r w:rsidRPr="000977F7">
        <w:rPr>
          <w:rFonts w:asciiTheme="majorHAnsi" w:hAnsiTheme="majorHAnsi"/>
          <w:spacing w:val="-3"/>
          <w:sz w:val="20"/>
          <w:szCs w:val="20"/>
        </w:rPr>
        <w:t xml:space="preserve"> </w:t>
      </w:r>
      <w:r w:rsidRPr="000977F7">
        <w:rPr>
          <w:rFonts w:asciiTheme="majorHAnsi" w:hAnsiTheme="majorHAnsi"/>
          <w:sz w:val="20"/>
          <w:szCs w:val="20"/>
        </w:rPr>
        <w:t>розмова);</w:t>
      </w:r>
    </w:p>
    <w:p w14:paraId="55E141E4"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внутрішня</w:t>
      </w:r>
      <w:r w:rsidRPr="000977F7">
        <w:rPr>
          <w:rFonts w:asciiTheme="majorHAnsi" w:hAnsiTheme="majorHAnsi"/>
          <w:spacing w:val="1"/>
          <w:sz w:val="20"/>
          <w:szCs w:val="20"/>
        </w:rPr>
        <w:t xml:space="preserve"> </w:t>
      </w:r>
      <w:r w:rsidRPr="000977F7">
        <w:rPr>
          <w:rFonts w:asciiTheme="majorHAnsi" w:hAnsiTheme="majorHAnsi"/>
          <w:sz w:val="20"/>
          <w:szCs w:val="20"/>
        </w:rPr>
        <w:t>(всередині</w:t>
      </w:r>
      <w:r w:rsidRPr="000977F7">
        <w:rPr>
          <w:rFonts w:asciiTheme="majorHAnsi" w:hAnsiTheme="majorHAnsi"/>
          <w:spacing w:val="1"/>
          <w:sz w:val="20"/>
          <w:szCs w:val="20"/>
        </w:rPr>
        <w:t xml:space="preserve"> </w:t>
      </w:r>
      <w:r w:rsidRPr="000977F7">
        <w:rPr>
          <w:rFonts w:asciiTheme="majorHAnsi" w:hAnsiTheme="majorHAnsi"/>
          <w:sz w:val="20"/>
          <w:szCs w:val="20"/>
        </w:rPr>
        <w:t>проекту)</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зовнішня</w:t>
      </w:r>
      <w:r w:rsidRPr="000977F7">
        <w:rPr>
          <w:rFonts w:asciiTheme="majorHAnsi" w:hAnsiTheme="majorHAnsi"/>
          <w:spacing w:val="1"/>
          <w:sz w:val="20"/>
          <w:szCs w:val="20"/>
        </w:rPr>
        <w:t xml:space="preserve"> </w:t>
      </w:r>
      <w:r w:rsidRPr="000977F7">
        <w:rPr>
          <w:rFonts w:asciiTheme="majorHAnsi" w:hAnsiTheme="majorHAnsi"/>
          <w:sz w:val="20"/>
          <w:szCs w:val="20"/>
        </w:rPr>
        <w:t>(споживач, засоби масової інформації, громадськість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ін.);</w:t>
      </w:r>
    </w:p>
    <w:p w14:paraId="3DA9B539"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формальна (звіти, брифінги і т.д.) і неформальна</w:t>
      </w:r>
      <w:r w:rsidRPr="000977F7">
        <w:rPr>
          <w:rFonts w:asciiTheme="majorHAnsi" w:hAnsiTheme="majorHAnsi"/>
          <w:spacing w:val="1"/>
          <w:sz w:val="20"/>
          <w:szCs w:val="20"/>
        </w:rPr>
        <w:t xml:space="preserve"> </w:t>
      </w:r>
      <w:r w:rsidRPr="000977F7">
        <w:rPr>
          <w:rFonts w:asciiTheme="majorHAnsi" w:hAnsiTheme="majorHAnsi"/>
          <w:sz w:val="20"/>
          <w:szCs w:val="20"/>
        </w:rPr>
        <w:t>(нотатки</w:t>
      </w:r>
      <w:r w:rsidRPr="000977F7">
        <w:rPr>
          <w:rFonts w:asciiTheme="majorHAnsi" w:hAnsiTheme="majorHAnsi"/>
          <w:spacing w:val="-3"/>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пам’ять,</w:t>
      </w:r>
      <w:r w:rsidRPr="000977F7">
        <w:rPr>
          <w:rFonts w:asciiTheme="majorHAnsi" w:hAnsiTheme="majorHAnsi"/>
          <w:spacing w:val="-1"/>
          <w:sz w:val="20"/>
          <w:szCs w:val="20"/>
        </w:rPr>
        <w:t xml:space="preserve"> </w:t>
      </w:r>
      <w:r w:rsidRPr="000977F7">
        <w:rPr>
          <w:rFonts w:asciiTheme="majorHAnsi" w:hAnsiTheme="majorHAnsi"/>
          <w:sz w:val="20"/>
          <w:szCs w:val="20"/>
        </w:rPr>
        <w:t>кулуарні</w:t>
      </w:r>
      <w:r w:rsidRPr="000977F7">
        <w:rPr>
          <w:rFonts w:asciiTheme="majorHAnsi" w:hAnsiTheme="majorHAnsi"/>
          <w:spacing w:val="-2"/>
          <w:sz w:val="20"/>
          <w:szCs w:val="20"/>
        </w:rPr>
        <w:t xml:space="preserve"> </w:t>
      </w:r>
      <w:r w:rsidRPr="000977F7">
        <w:rPr>
          <w:rFonts w:asciiTheme="majorHAnsi" w:hAnsiTheme="majorHAnsi"/>
          <w:sz w:val="20"/>
          <w:szCs w:val="20"/>
        </w:rPr>
        <w:t>бесіди</w:t>
      </w:r>
      <w:r w:rsidRPr="000977F7">
        <w:rPr>
          <w:rFonts w:asciiTheme="majorHAnsi" w:hAnsiTheme="majorHAnsi"/>
          <w:spacing w:val="-3"/>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ін.);</w:t>
      </w:r>
    </w:p>
    <w:p w14:paraId="329A2D0A"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вертикальна (вверх і вниз в організації) і горизонтальна</w:t>
      </w:r>
      <w:r w:rsidRPr="000977F7">
        <w:rPr>
          <w:rFonts w:asciiTheme="majorHAnsi" w:hAnsiTheme="majorHAnsi"/>
          <w:spacing w:val="-1"/>
          <w:sz w:val="20"/>
          <w:szCs w:val="20"/>
        </w:rPr>
        <w:t xml:space="preserve"> </w:t>
      </w:r>
      <w:r w:rsidRPr="000977F7">
        <w:rPr>
          <w:rFonts w:asciiTheme="majorHAnsi" w:hAnsiTheme="majorHAnsi"/>
          <w:sz w:val="20"/>
          <w:szCs w:val="20"/>
        </w:rPr>
        <w:t>(рівноправні</w:t>
      </w:r>
      <w:r w:rsidRPr="000977F7">
        <w:rPr>
          <w:rFonts w:asciiTheme="majorHAnsi" w:hAnsiTheme="majorHAnsi"/>
          <w:spacing w:val="-2"/>
          <w:sz w:val="20"/>
          <w:szCs w:val="20"/>
        </w:rPr>
        <w:t xml:space="preserve"> </w:t>
      </w:r>
      <w:r w:rsidRPr="000977F7">
        <w:rPr>
          <w:rFonts w:asciiTheme="majorHAnsi" w:hAnsiTheme="majorHAnsi"/>
          <w:sz w:val="20"/>
          <w:szCs w:val="20"/>
        </w:rPr>
        <w:t>співробітники).</w:t>
      </w:r>
    </w:p>
    <w:p w14:paraId="5FBEB09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Комунікація</w:t>
      </w:r>
      <w:r w:rsidRPr="000977F7">
        <w:rPr>
          <w:rFonts w:asciiTheme="majorHAnsi" w:hAnsiTheme="majorHAnsi"/>
          <w:spacing w:val="-5"/>
          <w:sz w:val="20"/>
          <w:szCs w:val="20"/>
        </w:rPr>
        <w:t xml:space="preserve"> </w:t>
      </w:r>
      <w:r w:rsidRPr="000977F7">
        <w:rPr>
          <w:rFonts w:asciiTheme="majorHAnsi" w:hAnsiTheme="majorHAnsi"/>
          <w:sz w:val="20"/>
          <w:szCs w:val="20"/>
        </w:rPr>
        <w:t>включає:</w:t>
      </w:r>
    </w:p>
    <w:p w14:paraId="3189C0DD"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Моделі відправник – одержувач – цикл зворотного зв’язку,</w:t>
      </w:r>
      <w:r w:rsidRPr="000977F7">
        <w:rPr>
          <w:rFonts w:asciiTheme="majorHAnsi" w:hAnsiTheme="majorHAnsi"/>
          <w:spacing w:val="-1"/>
          <w:sz w:val="20"/>
          <w:szCs w:val="20"/>
        </w:rPr>
        <w:t xml:space="preserve"> </w:t>
      </w:r>
      <w:r w:rsidRPr="000977F7">
        <w:rPr>
          <w:rFonts w:asciiTheme="majorHAnsi" w:hAnsiTheme="majorHAnsi"/>
          <w:sz w:val="20"/>
          <w:szCs w:val="20"/>
        </w:rPr>
        <w:t>комунікаційні</w:t>
      </w:r>
      <w:r w:rsidRPr="000977F7">
        <w:rPr>
          <w:rFonts w:asciiTheme="majorHAnsi" w:hAnsiTheme="majorHAnsi"/>
          <w:spacing w:val="-1"/>
          <w:sz w:val="20"/>
          <w:szCs w:val="20"/>
        </w:rPr>
        <w:t xml:space="preserve"> </w:t>
      </w:r>
      <w:r w:rsidRPr="000977F7">
        <w:rPr>
          <w:rFonts w:asciiTheme="majorHAnsi" w:hAnsiTheme="majorHAnsi"/>
          <w:sz w:val="20"/>
          <w:szCs w:val="20"/>
        </w:rPr>
        <w:t>бар’єри</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 ін.</w:t>
      </w:r>
    </w:p>
    <w:p w14:paraId="0CB8AB9D"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Вибір засобів інформації – коли здійснити комунікацію в письмовій формі, коли в усній, коли написати неформальну записку по пам’яті, коли –</w:t>
      </w:r>
      <w:r w:rsidRPr="000977F7">
        <w:rPr>
          <w:rFonts w:asciiTheme="majorHAnsi" w:hAnsiTheme="majorHAnsi"/>
          <w:spacing w:val="1"/>
          <w:sz w:val="20"/>
          <w:szCs w:val="20"/>
        </w:rPr>
        <w:t xml:space="preserve"> </w:t>
      </w:r>
      <w:r w:rsidRPr="000977F7">
        <w:rPr>
          <w:rFonts w:asciiTheme="majorHAnsi" w:hAnsiTheme="majorHAnsi"/>
          <w:sz w:val="20"/>
          <w:szCs w:val="20"/>
        </w:rPr>
        <w:t>формальний</w:t>
      </w:r>
      <w:r w:rsidRPr="000977F7">
        <w:rPr>
          <w:rFonts w:asciiTheme="majorHAnsi" w:hAnsiTheme="majorHAnsi"/>
          <w:spacing w:val="-2"/>
          <w:sz w:val="20"/>
          <w:szCs w:val="20"/>
        </w:rPr>
        <w:t xml:space="preserve"> </w:t>
      </w:r>
      <w:r w:rsidRPr="000977F7">
        <w:rPr>
          <w:rFonts w:asciiTheme="majorHAnsi" w:hAnsiTheme="majorHAnsi"/>
          <w:sz w:val="20"/>
          <w:szCs w:val="20"/>
        </w:rPr>
        <w:t>звіт</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 ін.</w:t>
      </w:r>
    </w:p>
    <w:p w14:paraId="239C6AE5"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Стиль написання – активний або пасивний, структура</w:t>
      </w:r>
      <w:r w:rsidRPr="000977F7">
        <w:rPr>
          <w:rFonts w:asciiTheme="majorHAnsi" w:hAnsiTheme="majorHAnsi"/>
          <w:spacing w:val="-1"/>
          <w:sz w:val="20"/>
          <w:szCs w:val="20"/>
        </w:rPr>
        <w:t xml:space="preserve"> </w:t>
      </w:r>
      <w:r w:rsidRPr="000977F7">
        <w:rPr>
          <w:rFonts w:asciiTheme="majorHAnsi" w:hAnsiTheme="majorHAnsi"/>
          <w:sz w:val="20"/>
          <w:szCs w:val="20"/>
        </w:rPr>
        <w:t>пропозиції,</w:t>
      </w:r>
      <w:r w:rsidRPr="000977F7">
        <w:rPr>
          <w:rFonts w:asciiTheme="majorHAnsi" w:hAnsiTheme="majorHAnsi"/>
          <w:spacing w:val="-1"/>
          <w:sz w:val="20"/>
          <w:szCs w:val="20"/>
        </w:rPr>
        <w:t xml:space="preserve"> </w:t>
      </w:r>
      <w:r w:rsidRPr="000977F7">
        <w:rPr>
          <w:rFonts w:asciiTheme="majorHAnsi" w:hAnsiTheme="majorHAnsi"/>
          <w:sz w:val="20"/>
          <w:szCs w:val="20"/>
        </w:rPr>
        <w:t>вибір</w:t>
      </w:r>
      <w:r w:rsidRPr="000977F7">
        <w:rPr>
          <w:rFonts w:asciiTheme="majorHAnsi" w:hAnsiTheme="majorHAnsi"/>
          <w:spacing w:val="1"/>
          <w:sz w:val="20"/>
          <w:szCs w:val="20"/>
        </w:rPr>
        <w:t xml:space="preserve"> </w:t>
      </w:r>
      <w:r w:rsidRPr="000977F7">
        <w:rPr>
          <w:rFonts w:asciiTheme="majorHAnsi" w:hAnsiTheme="majorHAnsi"/>
          <w:sz w:val="20"/>
          <w:szCs w:val="20"/>
        </w:rPr>
        <w:t>слів</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ін.</w:t>
      </w:r>
    </w:p>
    <w:p w14:paraId="42BDAA42"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Технологія уявлення – мова, проектування засобів</w:t>
      </w:r>
      <w:r w:rsidRPr="000977F7">
        <w:rPr>
          <w:rFonts w:asciiTheme="majorHAnsi" w:hAnsiTheme="majorHAnsi"/>
          <w:spacing w:val="-47"/>
          <w:sz w:val="20"/>
          <w:szCs w:val="20"/>
        </w:rPr>
        <w:t xml:space="preserve"> </w:t>
      </w:r>
      <w:r w:rsidRPr="000977F7">
        <w:rPr>
          <w:rFonts w:asciiTheme="majorHAnsi" w:hAnsiTheme="majorHAnsi"/>
          <w:sz w:val="20"/>
          <w:szCs w:val="20"/>
        </w:rPr>
        <w:t>наочної</w:t>
      </w:r>
      <w:r w:rsidRPr="000977F7">
        <w:rPr>
          <w:rFonts w:asciiTheme="majorHAnsi" w:hAnsiTheme="majorHAnsi"/>
          <w:spacing w:val="-2"/>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1"/>
          <w:sz w:val="20"/>
          <w:szCs w:val="20"/>
        </w:rPr>
        <w:t xml:space="preserve"> </w:t>
      </w:r>
      <w:r w:rsidRPr="000977F7">
        <w:rPr>
          <w:rFonts w:asciiTheme="majorHAnsi" w:hAnsiTheme="majorHAnsi"/>
          <w:sz w:val="20"/>
          <w:szCs w:val="20"/>
        </w:rPr>
        <w:t>і т. ін.</w:t>
      </w:r>
    </w:p>
    <w:p w14:paraId="0139825E"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Технологія</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нарадами</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підготовка</w:t>
      </w:r>
      <w:r w:rsidRPr="000977F7">
        <w:rPr>
          <w:rFonts w:asciiTheme="majorHAnsi" w:hAnsiTheme="majorHAnsi"/>
          <w:spacing w:val="1"/>
          <w:sz w:val="20"/>
          <w:szCs w:val="20"/>
        </w:rPr>
        <w:t xml:space="preserve"> </w:t>
      </w:r>
      <w:r w:rsidRPr="000977F7">
        <w:rPr>
          <w:rFonts w:asciiTheme="majorHAnsi" w:hAnsiTheme="majorHAnsi"/>
          <w:sz w:val="20"/>
          <w:szCs w:val="20"/>
        </w:rPr>
        <w:t>порядку</w:t>
      </w:r>
      <w:r w:rsidRPr="000977F7">
        <w:rPr>
          <w:rFonts w:asciiTheme="majorHAnsi" w:hAnsiTheme="majorHAnsi"/>
          <w:spacing w:val="-3"/>
          <w:sz w:val="20"/>
          <w:szCs w:val="20"/>
        </w:rPr>
        <w:t xml:space="preserve"> </w:t>
      </w:r>
      <w:r w:rsidRPr="000977F7">
        <w:rPr>
          <w:rFonts w:asciiTheme="majorHAnsi" w:hAnsiTheme="majorHAnsi"/>
          <w:sz w:val="20"/>
          <w:szCs w:val="20"/>
        </w:rPr>
        <w:t>денного, управління</w:t>
      </w:r>
      <w:r w:rsidRPr="000977F7">
        <w:rPr>
          <w:rFonts w:asciiTheme="majorHAnsi" w:hAnsiTheme="majorHAnsi"/>
          <w:spacing w:val="-3"/>
          <w:sz w:val="20"/>
          <w:szCs w:val="20"/>
        </w:rPr>
        <w:t xml:space="preserve"> </w:t>
      </w:r>
      <w:r w:rsidRPr="000977F7">
        <w:rPr>
          <w:rFonts w:asciiTheme="majorHAnsi" w:hAnsiTheme="majorHAnsi"/>
          <w:sz w:val="20"/>
          <w:szCs w:val="20"/>
        </w:rPr>
        <w:t>конфліктами</w:t>
      </w:r>
      <w:r w:rsidRPr="000977F7">
        <w:rPr>
          <w:rFonts w:asciiTheme="majorHAnsi" w:hAnsiTheme="majorHAnsi"/>
          <w:spacing w:val="-3"/>
          <w:sz w:val="20"/>
          <w:szCs w:val="20"/>
        </w:rPr>
        <w:t xml:space="preserve"> </w:t>
      </w:r>
      <w:r w:rsidRPr="000977F7">
        <w:rPr>
          <w:rFonts w:asciiTheme="majorHAnsi" w:hAnsiTheme="majorHAnsi"/>
          <w:sz w:val="20"/>
          <w:szCs w:val="20"/>
        </w:rPr>
        <w:t>і</w:t>
      </w:r>
      <w:r w:rsidRPr="000977F7">
        <w:rPr>
          <w:rFonts w:asciiTheme="majorHAnsi" w:hAnsiTheme="majorHAnsi"/>
          <w:spacing w:val="-3"/>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ін.</w:t>
      </w:r>
    </w:p>
    <w:p w14:paraId="164B023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
          <w:sz w:val="20"/>
          <w:szCs w:val="20"/>
        </w:rPr>
        <w:t>―Кер.</w:t>
      </w:r>
      <w:r w:rsidRPr="000977F7">
        <w:rPr>
          <w:rFonts w:asciiTheme="majorHAnsi" w:hAnsiTheme="majorHAnsi"/>
          <w:i/>
          <w:spacing w:val="-10"/>
          <w:sz w:val="20"/>
          <w:szCs w:val="20"/>
        </w:rPr>
        <w:t xml:space="preserve"> </w:t>
      </w:r>
      <w:r w:rsidRPr="000977F7">
        <w:rPr>
          <w:rFonts w:asciiTheme="majorHAnsi" w:hAnsiTheme="majorHAnsi"/>
          <w:i/>
          <w:spacing w:val="-1"/>
          <w:sz w:val="20"/>
          <w:szCs w:val="20"/>
        </w:rPr>
        <w:t>проектн.</w:t>
      </w:r>
      <w:r w:rsidRPr="000977F7">
        <w:rPr>
          <w:rFonts w:asciiTheme="majorHAnsi" w:hAnsiTheme="majorHAnsi"/>
          <w:i/>
          <w:spacing w:val="-10"/>
          <w:sz w:val="20"/>
          <w:szCs w:val="20"/>
        </w:rPr>
        <w:t xml:space="preserve"> </w:t>
      </w:r>
      <w:r w:rsidRPr="000977F7">
        <w:rPr>
          <w:rFonts w:asciiTheme="majorHAnsi" w:hAnsiTheme="majorHAnsi"/>
          <w:i/>
          <w:sz w:val="20"/>
          <w:szCs w:val="20"/>
        </w:rPr>
        <w:t>менедж.-ту‖</w:t>
      </w:r>
    </w:p>
    <w:p w14:paraId="56A0454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КОНВЕРСІЙНИЙ</w:t>
      </w:r>
      <w:r w:rsidRPr="000977F7">
        <w:rPr>
          <w:color w:val="auto"/>
          <w:spacing w:val="-4"/>
          <w:sz w:val="20"/>
          <w:szCs w:val="20"/>
        </w:rPr>
        <w:t xml:space="preserve"> </w:t>
      </w:r>
      <w:r w:rsidRPr="000977F7">
        <w:rPr>
          <w:color w:val="auto"/>
          <w:sz w:val="20"/>
          <w:szCs w:val="20"/>
        </w:rPr>
        <w:t>МАРКЕТИНГ</w:t>
      </w:r>
      <w:r w:rsidRPr="000977F7">
        <w:rPr>
          <w:color w:val="auto"/>
          <w:spacing w:val="-4"/>
          <w:sz w:val="20"/>
          <w:szCs w:val="20"/>
        </w:rPr>
        <w:t xml:space="preserve"> </w:t>
      </w:r>
      <w:r w:rsidRPr="000977F7">
        <w:rPr>
          <w:color w:val="auto"/>
          <w:sz w:val="20"/>
          <w:szCs w:val="20"/>
        </w:rPr>
        <w:t>–</w:t>
      </w:r>
    </w:p>
    <w:p w14:paraId="5D8DB5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Маркетинг</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негативного</w:t>
      </w:r>
      <w:r w:rsidRPr="000977F7">
        <w:rPr>
          <w:rFonts w:asciiTheme="majorHAnsi" w:hAnsiTheme="majorHAnsi"/>
          <w:spacing w:val="1"/>
          <w:sz w:val="20"/>
          <w:szCs w:val="20"/>
        </w:rPr>
        <w:t xml:space="preserve"> </w:t>
      </w:r>
      <w:r w:rsidRPr="000977F7">
        <w:rPr>
          <w:rFonts w:asciiTheme="majorHAnsi" w:hAnsiTheme="majorHAnsi"/>
          <w:sz w:val="20"/>
          <w:szCs w:val="20"/>
        </w:rPr>
        <w:t>попиту,</w:t>
      </w:r>
      <w:r w:rsidRPr="000977F7">
        <w:rPr>
          <w:rFonts w:asciiTheme="majorHAnsi" w:hAnsiTheme="majorHAnsi"/>
          <w:spacing w:val="1"/>
          <w:sz w:val="20"/>
          <w:szCs w:val="20"/>
        </w:rPr>
        <w:t xml:space="preserve"> </w:t>
      </w:r>
      <w:r w:rsidRPr="000977F7">
        <w:rPr>
          <w:rFonts w:asciiTheme="majorHAnsi" w:hAnsiTheme="majorHAnsi"/>
          <w:sz w:val="20"/>
          <w:szCs w:val="20"/>
        </w:rPr>
        <w:t>тобто</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такою</w:t>
      </w:r>
      <w:r w:rsidRPr="000977F7">
        <w:rPr>
          <w:rFonts w:asciiTheme="majorHAnsi" w:hAnsiTheme="majorHAnsi"/>
          <w:spacing w:val="1"/>
          <w:sz w:val="20"/>
          <w:szCs w:val="20"/>
        </w:rPr>
        <w:t xml:space="preserve"> </w:t>
      </w:r>
      <w:r w:rsidRPr="000977F7">
        <w:rPr>
          <w:rFonts w:asciiTheme="majorHAnsi" w:hAnsiTheme="majorHAnsi"/>
          <w:sz w:val="20"/>
          <w:szCs w:val="20"/>
        </w:rPr>
        <w:t>ситуацією, коли всі чи більшість найважливіших сегментів потенційного ринку відхиляють певну продукцію</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послугу</w:t>
      </w:r>
    </w:p>
    <w:p w14:paraId="206895F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74EB69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КОНВЕРСІЙНІ</w:t>
      </w:r>
      <w:r w:rsidRPr="000977F7">
        <w:rPr>
          <w:color w:val="auto"/>
          <w:spacing w:val="-6"/>
          <w:sz w:val="20"/>
          <w:szCs w:val="20"/>
        </w:rPr>
        <w:t xml:space="preserve"> </w:t>
      </w:r>
      <w:r w:rsidRPr="000977F7">
        <w:rPr>
          <w:color w:val="auto"/>
          <w:sz w:val="20"/>
          <w:szCs w:val="20"/>
        </w:rPr>
        <w:t>ОПЕРАЦІЇ</w:t>
      </w:r>
      <w:r w:rsidRPr="000977F7">
        <w:rPr>
          <w:color w:val="auto"/>
          <w:spacing w:val="-2"/>
          <w:sz w:val="20"/>
          <w:szCs w:val="20"/>
        </w:rPr>
        <w:t xml:space="preserve"> </w:t>
      </w:r>
      <w:r w:rsidRPr="000977F7">
        <w:rPr>
          <w:color w:val="auto"/>
          <w:sz w:val="20"/>
          <w:szCs w:val="20"/>
        </w:rPr>
        <w:t>–</w:t>
      </w:r>
    </w:p>
    <w:p w14:paraId="51BFBB1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Угоди,</w:t>
      </w:r>
      <w:r w:rsidRPr="000977F7">
        <w:rPr>
          <w:rFonts w:asciiTheme="majorHAnsi" w:hAnsiTheme="majorHAnsi"/>
          <w:spacing w:val="1"/>
          <w:sz w:val="20"/>
          <w:szCs w:val="20"/>
        </w:rPr>
        <w:t xml:space="preserve"> </w:t>
      </w:r>
      <w:r w:rsidRPr="000977F7">
        <w:rPr>
          <w:rFonts w:asciiTheme="majorHAnsi" w:hAnsiTheme="majorHAnsi"/>
          <w:sz w:val="20"/>
          <w:szCs w:val="20"/>
        </w:rPr>
        <w:t>засновані</w:t>
      </w:r>
      <w:r w:rsidRPr="000977F7">
        <w:rPr>
          <w:rFonts w:asciiTheme="majorHAnsi" w:hAnsiTheme="majorHAnsi"/>
          <w:spacing w:val="1"/>
          <w:sz w:val="20"/>
          <w:szCs w:val="20"/>
        </w:rPr>
        <w:t xml:space="preserve"> </w:t>
      </w:r>
      <w:r w:rsidRPr="000977F7">
        <w:rPr>
          <w:rFonts w:asciiTheme="majorHAnsi" w:hAnsiTheme="majorHAnsi"/>
          <w:sz w:val="20"/>
          <w:szCs w:val="20"/>
        </w:rPr>
        <w:t>на розрахунках у вільноконвертованих</w:t>
      </w:r>
      <w:r w:rsidRPr="000977F7">
        <w:rPr>
          <w:rFonts w:asciiTheme="majorHAnsi" w:hAnsiTheme="majorHAnsi"/>
          <w:spacing w:val="48"/>
          <w:sz w:val="20"/>
          <w:szCs w:val="20"/>
        </w:rPr>
        <w:t xml:space="preserve"> </w:t>
      </w:r>
      <w:r w:rsidRPr="000977F7">
        <w:rPr>
          <w:rFonts w:asciiTheme="majorHAnsi" w:hAnsiTheme="majorHAnsi"/>
          <w:sz w:val="20"/>
          <w:szCs w:val="20"/>
        </w:rPr>
        <w:t>валютах</w:t>
      </w:r>
    </w:p>
    <w:p w14:paraId="43791AF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80CB67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КОНДИЦІЙНІСТЬ</w:t>
      </w:r>
      <w:r w:rsidRPr="000977F7">
        <w:rPr>
          <w:color w:val="auto"/>
          <w:spacing w:val="-6"/>
          <w:sz w:val="20"/>
          <w:szCs w:val="20"/>
        </w:rPr>
        <w:t xml:space="preserve"> </w:t>
      </w:r>
      <w:r w:rsidRPr="000977F7">
        <w:rPr>
          <w:color w:val="auto"/>
          <w:sz w:val="20"/>
          <w:szCs w:val="20"/>
        </w:rPr>
        <w:t>ПОСТАЧАННЯ</w:t>
      </w:r>
      <w:r w:rsidRPr="000977F7">
        <w:rPr>
          <w:color w:val="auto"/>
          <w:spacing w:val="-2"/>
          <w:sz w:val="20"/>
          <w:szCs w:val="20"/>
        </w:rPr>
        <w:t xml:space="preserve"> </w:t>
      </w:r>
      <w:r w:rsidRPr="000977F7">
        <w:rPr>
          <w:color w:val="auto"/>
          <w:sz w:val="20"/>
          <w:szCs w:val="20"/>
        </w:rPr>
        <w:t>–</w:t>
      </w:r>
    </w:p>
    <w:p w14:paraId="3AC014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Відповідність властивостей продукції, яка постачається, до умов договору, укладеного між постачальником</w:t>
      </w:r>
      <w:r w:rsidRPr="000977F7">
        <w:rPr>
          <w:rFonts w:asciiTheme="majorHAnsi" w:hAnsiTheme="majorHAnsi"/>
          <w:spacing w:val="-47"/>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споживачем</w:t>
      </w:r>
    </w:p>
    <w:p w14:paraId="75D1BC6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A34FFD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КОНКРЕТНА</w:t>
      </w:r>
      <w:r w:rsidRPr="000977F7">
        <w:rPr>
          <w:color w:val="auto"/>
          <w:spacing w:val="-4"/>
          <w:sz w:val="20"/>
          <w:szCs w:val="20"/>
        </w:rPr>
        <w:t xml:space="preserve"> </w:t>
      </w:r>
      <w:r w:rsidRPr="000977F7">
        <w:rPr>
          <w:color w:val="auto"/>
          <w:sz w:val="20"/>
          <w:szCs w:val="20"/>
        </w:rPr>
        <w:t>ПРОДУКЦІЯ –</w:t>
      </w:r>
    </w:p>
    <w:p w14:paraId="2E4818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 яка характеризується певними конструктивно</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технологічними</w:t>
      </w:r>
      <w:r w:rsidRPr="000977F7">
        <w:rPr>
          <w:rFonts w:asciiTheme="majorHAnsi" w:hAnsiTheme="majorHAnsi"/>
          <w:spacing w:val="1"/>
          <w:sz w:val="20"/>
          <w:szCs w:val="20"/>
        </w:rPr>
        <w:t xml:space="preserve"> </w:t>
      </w:r>
      <w:r w:rsidRPr="000977F7">
        <w:rPr>
          <w:rFonts w:asciiTheme="majorHAnsi" w:hAnsiTheme="majorHAnsi"/>
          <w:sz w:val="20"/>
          <w:szCs w:val="20"/>
        </w:rPr>
        <w:t>вирішеннями,</w:t>
      </w:r>
      <w:r w:rsidRPr="000977F7">
        <w:rPr>
          <w:rFonts w:asciiTheme="majorHAnsi" w:hAnsiTheme="majorHAnsi"/>
          <w:spacing w:val="50"/>
          <w:sz w:val="20"/>
          <w:szCs w:val="20"/>
        </w:rPr>
        <w:t xml:space="preserve"> </w:t>
      </w:r>
      <w:r w:rsidRPr="000977F7">
        <w:rPr>
          <w:rFonts w:asciiTheme="majorHAnsi" w:hAnsiTheme="majorHAnsi"/>
          <w:sz w:val="20"/>
          <w:szCs w:val="20"/>
        </w:rPr>
        <w:t>принципами</w:t>
      </w:r>
      <w:r w:rsidRPr="000977F7">
        <w:rPr>
          <w:rFonts w:asciiTheme="majorHAnsi" w:hAnsiTheme="majorHAnsi"/>
          <w:spacing w:val="1"/>
          <w:sz w:val="20"/>
          <w:szCs w:val="20"/>
        </w:rPr>
        <w:t xml:space="preserve"> </w:t>
      </w:r>
      <w:r w:rsidRPr="000977F7">
        <w:rPr>
          <w:rFonts w:asciiTheme="majorHAnsi" w:hAnsiTheme="majorHAnsi"/>
          <w:sz w:val="20"/>
          <w:szCs w:val="20"/>
        </w:rPr>
        <w:t>дії, властивостями та конкретними значеннями показників</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цільового</w:t>
      </w:r>
      <w:r w:rsidRPr="000977F7">
        <w:rPr>
          <w:rFonts w:asciiTheme="majorHAnsi" w:hAnsiTheme="majorHAnsi"/>
          <w:spacing w:val="1"/>
          <w:sz w:val="20"/>
          <w:szCs w:val="20"/>
        </w:rPr>
        <w:t xml:space="preserve"> </w:t>
      </w:r>
      <w:r w:rsidRPr="000977F7">
        <w:rPr>
          <w:rFonts w:asciiTheme="majorHAnsi" w:hAnsiTheme="majorHAnsi"/>
          <w:sz w:val="20"/>
          <w:szCs w:val="20"/>
        </w:rPr>
        <w:t>(функціонального)</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призначення</w:t>
      </w:r>
    </w:p>
    <w:p w14:paraId="1EE48D96"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lastRenderedPageBreak/>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3278</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1186B7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КОНКРЕТНА</w:t>
      </w:r>
      <w:r w:rsidRPr="000977F7">
        <w:rPr>
          <w:color w:val="auto"/>
          <w:spacing w:val="-5"/>
          <w:sz w:val="20"/>
          <w:szCs w:val="20"/>
        </w:rPr>
        <w:t xml:space="preserve"> </w:t>
      </w:r>
      <w:r w:rsidRPr="000977F7">
        <w:rPr>
          <w:color w:val="auto"/>
          <w:sz w:val="20"/>
          <w:szCs w:val="20"/>
        </w:rPr>
        <w:t>ФУНКЦІЯ</w:t>
      </w:r>
      <w:r w:rsidRPr="000977F7">
        <w:rPr>
          <w:color w:val="auto"/>
          <w:spacing w:val="-3"/>
          <w:sz w:val="20"/>
          <w:szCs w:val="20"/>
        </w:rPr>
        <w:t xml:space="preserve"> </w:t>
      </w:r>
      <w:r w:rsidRPr="000977F7">
        <w:rPr>
          <w:color w:val="auto"/>
          <w:sz w:val="20"/>
          <w:szCs w:val="20"/>
        </w:rPr>
        <w:t>КЕРУВАННЯ</w:t>
      </w:r>
      <w:r w:rsidRPr="000977F7">
        <w:rPr>
          <w:color w:val="auto"/>
          <w:spacing w:val="-2"/>
          <w:sz w:val="20"/>
          <w:szCs w:val="20"/>
        </w:rPr>
        <w:t xml:space="preserve"> </w:t>
      </w:r>
      <w:r w:rsidRPr="000977F7">
        <w:rPr>
          <w:color w:val="auto"/>
          <w:sz w:val="20"/>
          <w:szCs w:val="20"/>
        </w:rPr>
        <w:t>–</w:t>
      </w:r>
    </w:p>
    <w:p w14:paraId="60DF8201"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Спеціалізований вид керівної діяльності, що здійснюється за допомогою всіх загальних функцій керування</w:t>
      </w:r>
      <w:r w:rsidRPr="000977F7">
        <w:rPr>
          <w:rFonts w:asciiTheme="majorHAnsi" w:hAnsiTheme="majorHAnsi"/>
          <w:spacing w:val="-47"/>
          <w:sz w:val="20"/>
          <w:szCs w:val="20"/>
        </w:rPr>
        <w:t xml:space="preserve"> </w:t>
      </w:r>
    </w:p>
    <w:p w14:paraId="798B4F07"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i/>
          <w:iCs/>
          <w:spacing w:val="-47"/>
          <w:sz w:val="20"/>
          <w:szCs w:val="20"/>
        </w:rPr>
        <w:t>Д</w:t>
      </w:r>
      <w:r w:rsidRPr="000977F7">
        <w:rPr>
          <w:rFonts w:asciiTheme="majorHAnsi" w:hAnsiTheme="majorHAnsi"/>
          <w:i/>
          <w:sz w:val="20"/>
          <w:szCs w:val="20"/>
        </w:rPr>
        <w:t>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b/>
          <w:bCs/>
          <w:sz w:val="20"/>
          <w:szCs w:val="20"/>
        </w:rPr>
        <w:t xml:space="preserve"> </w:t>
      </w:r>
    </w:p>
    <w:p w14:paraId="7063CA9B"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b/>
          <w:bCs/>
          <w:sz w:val="20"/>
          <w:szCs w:val="20"/>
        </w:rPr>
        <w:t>КОНКРЕТНИЙ ВИПАДОК –</w:t>
      </w:r>
    </w:p>
    <w:p w14:paraId="3F60A14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
          <w:bCs/>
          <w:spacing w:val="-47"/>
          <w:sz w:val="20"/>
          <w:szCs w:val="20"/>
        </w:rPr>
        <w:t xml:space="preserve"> </w:t>
      </w:r>
      <w:r w:rsidRPr="000977F7">
        <w:rPr>
          <w:rFonts w:asciiTheme="majorHAnsi" w:hAnsiTheme="majorHAnsi"/>
          <w:sz w:val="20"/>
          <w:szCs w:val="20"/>
        </w:rPr>
        <w:t>SPECIFIC</w:t>
      </w:r>
      <w:r w:rsidRPr="000977F7">
        <w:rPr>
          <w:rFonts w:asciiTheme="majorHAnsi" w:hAnsiTheme="majorHAnsi"/>
          <w:spacing w:val="-2"/>
          <w:sz w:val="20"/>
          <w:szCs w:val="20"/>
        </w:rPr>
        <w:t xml:space="preserve"> </w:t>
      </w:r>
      <w:r w:rsidRPr="000977F7">
        <w:rPr>
          <w:rFonts w:asciiTheme="majorHAnsi" w:hAnsiTheme="majorHAnsi"/>
          <w:sz w:val="20"/>
          <w:szCs w:val="20"/>
        </w:rPr>
        <w:t>CASE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91917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Предмет</w:t>
      </w:r>
      <w:r w:rsidRPr="000977F7">
        <w:rPr>
          <w:rFonts w:asciiTheme="majorHAnsi" w:hAnsiTheme="majorHAnsi"/>
          <w:spacing w:val="-4"/>
          <w:sz w:val="20"/>
          <w:szCs w:val="20"/>
        </w:rPr>
        <w:t xml:space="preserve"> </w:t>
      </w:r>
      <w:r w:rsidRPr="000977F7">
        <w:rPr>
          <w:rFonts w:asciiTheme="majorHAnsi" w:hAnsiTheme="majorHAnsi"/>
          <w:sz w:val="20"/>
          <w:szCs w:val="20"/>
        </w:rPr>
        <w:t>програми</w:t>
      </w:r>
      <w:r w:rsidRPr="000977F7">
        <w:rPr>
          <w:rFonts w:asciiTheme="majorHAnsi" w:hAnsiTheme="majorHAnsi"/>
          <w:spacing w:val="-3"/>
          <w:sz w:val="20"/>
          <w:szCs w:val="20"/>
        </w:rPr>
        <w:t xml:space="preserve"> </w:t>
      </w:r>
      <w:r w:rsidRPr="000977F7">
        <w:rPr>
          <w:rFonts w:asciiTheme="majorHAnsi" w:hAnsiTheme="majorHAnsi"/>
          <w:sz w:val="20"/>
          <w:szCs w:val="20"/>
        </w:rPr>
        <w:t>якості.</w:t>
      </w:r>
    </w:p>
    <w:p w14:paraId="52967F9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72AA192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КОНКУРЕНТОСПРОМОЖНІСТЬ</w:t>
      </w:r>
      <w:r w:rsidRPr="000977F7">
        <w:rPr>
          <w:color w:val="auto"/>
          <w:spacing w:val="-6"/>
          <w:sz w:val="20"/>
          <w:szCs w:val="20"/>
        </w:rPr>
        <w:t xml:space="preserve"> </w:t>
      </w:r>
      <w:r w:rsidRPr="000977F7">
        <w:rPr>
          <w:color w:val="auto"/>
          <w:sz w:val="20"/>
          <w:szCs w:val="20"/>
        </w:rPr>
        <w:t>–</w:t>
      </w:r>
    </w:p>
    <w:p w14:paraId="0294B2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Найважливіша</w:t>
      </w:r>
      <w:r w:rsidRPr="000977F7">
        <w:rPr>
          <w:rFonts w:asciiTheme="majorHAnsi" w:hAnsiTheme="majorHAnsi"/>
          <w:spacing w:val="1"/>
          <w:sz w:val="20"/>
          <w:szCs w:val="20"/>
        </w:rPr>
        <w:t xml:space="preserve"> </w:t>
      </w:r>
      <w:r w:rsidRPr="000977F7">
        <w:rPr>
          <w:rFonts w:asciiTheme="majorHAnsi" w:hAnsiTheme="majorHAnsi"/>
          <w:sz w:val="20"/>
          <w:szCs w:val="20"/>
        </w:rPr>
        <w:t>комплексна</w:t>
      </w:r>
      <w:r w:rsidRPr="000977F7">
        <w:rPr>
          <w:rFonts w:asciiTheme="majorHAnsi" w:hAnsiTheme="majorHAnsi"/>
          <w:spacing w:val="1"/>
          <w:sz w:val="20"/>
          <w:szCs w:val="20"/>
        </w:rPr>
        <w:t xml:space="preserve"> </w:t>
      </w:r>
      <w:r w:rsidRPr="000977F7">
        <w:rPr>
          <w:rFonts w:asciiTheme="majorHAnsi" w:hAnsiTheme="majorHAnsi"/>
          <w:sz w:val="20"/>
          <w:szCs w:val="20"/>
        </w:rPr>
        <w:t>ринкова</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характеристика</w:t>
      </w:r>
      <w:r w:rsidRPr="000977F7">
        <w:rPr>
          <w:rFonts w:asciiTheme="majorHAnsi" w:hAnsiTheme="majorHAnsi"/>
          <w:spacing w:val="1"/>
          <w:sz w:val="20"/>
          <w:szCs w:val="20"/>
        </w:rPr>
        <w:t xml:space="preserve"> </w:t>
      </w:r>
      <w:r w:rsidRPr="000977F7">
        <w:rPr>
          <w:rFonts w:asciiTheme="majorHAnsi" w:hAnsiTheme="majorHAnsi"/>
          <w:sz w:val="20"/>
          <w:szCs w:val="20"/>
        </w:rPr>
        <w:t>товару, його здатність бути проданим на конкурентному ринку в певні терміни за наявністю аналогічних</w:t>
      </w:r>
      <w:r w:rsidRPr="000977F7">
        <w:rPr>
          <w:rFonts w:asciiTheme="majorHAnsi" w:hAnsiTheme="majorHAnsi"/>
          <w:spacing w:val="1"/>
          <w:sz w:val="20"/>
          <w:szCs w:val="20"/>
        </w:rPr>
        <w:t xml:space="preserve"> </w:t>
      </w:r>
      <w:r w:rsidRPr="000977F7">
        <w:rPr>
          <w:rFonts w:asciiTheme="majorHAnsi" w:hAnsiTheme="majorHAnsi"/>
          <w:sz w:val="20"/>
          <w:szCs w:val="20"/>
        </w:rPr>
        <w:t>товарів</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конкурентів</w:t>
      </w:r>
    </w:p>
    <w:p w14:paraId="1D85739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3B06DF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КОНОСАМЕНТ</w:t>
      </w:r>
      <w:r w:rsidRPr="000977F7">
        <w:rPr>
          <w:color w:val="auto"/>
          <w:spacing w:val="-3"/>
          <w:sz w:val="20"/>
          <w:szCs w:val="20"/>
        </w:rPr>
        <w:t xml:space="preserve"> </w:t>
      </w:r>
      <w:r w:rsidRPr="000977F7">
        <w:rPr>
          <w:color w:val="auto"/>
          <w:sz w:val="20"/>
          <w:szCs w:val="20"/>
        </w:rPr>
        <w:t>–</w:t>
      </w:r>
    </w:p>
    <w:p w14:paraId="427805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що містить умови договору морського перевезення</w:t>
      </w:r>
    </w:p>
    <w:p w14:paraId="1187795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3293 – 95</w:t>
      </w:r>
    </w:p>
    <w:p w14:paraId="1545B859"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pacing w:val="-1"/>
          <w:sz w:val="20"/>
          <w:szCs w:val="20"/>
        </w:rPr>
        <w:t xml:space="preserve">КОНСЕНСУС </w:t>
      </w:r>
      <w:r w:rsidRPr="000977F7">
        <w:rPr>
          <w:rFonts w:asciiTheme="majorHAnsi" w:hAnsiTheme="majorHAnsi"/>
          <w:b/>
          <w:sz w:val="20"/>
          <w:szCs w:val="20"/>
        </w:rPr>
        <w:t>–</w:t>
      </w:r>
      <w:r w:rsidRPr="000977F7">
        <w:rPr>
          <w:rFonts w:asciiTheme="majorHAnsi" w:hAnsiTheme="majorHAnsi"/>
          <w:b/>
          <w:spacing w:val="-47"/>
          <w:sz w:val="20"/>
          <w:szCs w:val="20"/>
        </w:rPr>
        <w:t xml:space="preserve"> </w:t>
      </w:r>
    </w:p>
    <w:p w14:paraId="2EBDF05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CONCENSUS</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7BA3AC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Загальна згода, що характеризується відсутністю серйозних заперечень з суттєвих питань у більшості заінтересованих сторін та досягається в результаті процедури, спрямованої на врахування думки всіх сторін і</w:t>
      </w:r>
      <w:r w:rsidRPr="000977F7">
        <w:rPr>
          <w:rFonts w:asciiTheme="majorHAnsi" w:hAnsiTheme="majorHAnsi"/>
          <w:spacing w:val="1"/>
          <w:sz w:val="20"/>
          <w:szCs w:val="20"/>
        </w:rPr>
        <w:t xml:space="preserve"> </w:t>
      </w:r>
      <w:r w:rsidRPr="000977F7">
        <w:rPr>
          <w:rFonts w:asciiTheme="majorHAnsi" w:hAnsiTheme="majorHAnsi"/>
          <w:sz w:val="20"/>
          <w:szCs w:val="20"/>
        </w:rPr>
        <w:t>зближення</w:t>
      </w:r>
      <w:r w:rsidRPr="000977F7">
        <w:rPr>
          <w:rFonts w:asciiTheme="majorHAnsi" w:hAnsiTheme="majorHAnsi"/>
          <w:spacing w:val="1"/>
          <w:sz w:val="20"/>
          <w:szCs w:val="20"/>
        </w:rPr>
        <w:t xml:space="preserve"> </w:t>
      </w:r>
      <w:r w:rsidRPr="000977F7">
        <w:rPr>
          <w:rFonts w:asciiTheme="majorHAnsi" w:hAnsiTheme="majorHAnsi"/>
          <w:sz w:val="20"/>
          <w:szCs w:val="20"/>
        </w:rPr>
        <w:t>розбіжних</w:t>
      </w:r>
      <w:r w:rsidRPr="000977F7">
        <w:rPr>
          <w:rFonts w:asciiTheme="majorHAnsi" w:hAnsiTheme="majorHAnsi"/>
          <w:spacing w:val="1"/>
          <w:sz w:val="20"/>
          <w:szCs w:val="20"/>
        </w:rPr>
        <w:t xml:space="preserve"> </w:t>
      </w:r>
      <w:r w:rsidRPr="000977F7">
        <w:rPr>
          <w:rFonts w:asciiTheme="majorHAnsi" w:hAnsiTheme="majorHAnsi"/>
          <w:sz w:val="20"/>
          <w:szCs w:val="20"/>
        </w:rPr>
        <w:t>поглядів.</w:t>
      </w:r>
      <w:r w:rsidRPr="000977F7">
        <w:rPr>
          <w:rFonts w:asciiTheme="majorHAnsi" w:hAnsiTheme="majorHAnsi"/>
          <w:spacing w:val="1"/>
          <w:sz w:val="20"/>
          <w:szCs w:val="20"/>
        </w:rPr>
        <w:t xml:space="preserve"> </w:t>
      </w:r>
      <w:r w:rsidRPr="000977F7">
        <w:rPr>
          <w:rFonts w:asciiTheme="majorHAnsi" w:hAnsiTheme="majorHAnsi"/>
          <w:sz w:val="20"/>
          <w:szCs w:val="20"/>
        </w:rPr>
        <w:t>Консенсус</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обов’язково</w:t>
      </w:r>
      <w:r w:rsidRPr="000977F7">
        <w:rPr>
          <w:rFonts w:asciiTheme="majorHAnsi" w:hAnsiTheme="majorHAnsi"/>
          <w:spacing w:val="-1"/>
          <w:sz w:val="20"/>
          <w:szCs w:val="20"/>
        </w:rPr>
        <w:t xml:space="preserve"> </w:t>
      </w:r>
      <w:r w:rsidRPr="000977F7">
        <w:rPr>
          <w:rFonts w:asciiTheme="majorHAnsi" w:hAnsiTheme="majorHAnsi"/>
          <w:sz w:val="20"/>
          <w:szCs w:val="20"/>
        </w:rPr>
        <w:t>є одностайним.</w:t>
      </w:r>
    </w:p>
    <w:p w14:paraId="4E6DEA3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П.</w:t>
      </w:r>
      <w:r w:rsidRPr="000977F7">
        <w:rPr>
          <w:rFonts w:asciiTheme="majorHAnsi" w:hAnsiTheme="majorHAnsi"/>
          <w:i/>
          <w:spacing w:val="-2"/>
          <w:sz w:val="20"/>
          <w:szCs w:val="20"/>
        </w:rPr>
        <w:t xml:space="preserve"> </w:t>
      </w:r>
      <w:r w:rsidRPr="000977F7">
        <w:rPr>
          <w:rFonts w:asciiTheme="majorHAnsi" w:hAnsiTheme="majorHAnsi"/>
          <w:i/>
          <w:sz w:val="20"/>
          <w:szCs w:val="20"/>
        </w:rPr>
        <w:t>6 ч.</w:t>
      </w:r>
      <w:r w:rsidRPr="000977F7">
        <w:rPr>
          <w:rFonts w:asciiTheme="majorHAnsi" w:hAnsiTheme="majorHAnsi"/>
          <w:i/>
          <w:spacing w:val="-3"/>
          <w:sz w:val="20"/>
          <w:szCs w:val="20"/>
        </w:rPr>
        <w:t xml:space="preserve"> </w:t>
      </w:r>
      <w:r w:rsidRPr="000977F7">
        <w:rPr>
          <w:rFonts w:asciiTheme="majorHAnsi" w:hAnsiTheme="majorHAnsi"/>
          <w:i/>
          <w:sz w:val="20"/>
          <w:szCs w:val="20"/>
        </w:rPr>
        <w:t>1 ст. 1 закону</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1"/>
          <w:sz w:val="20"/>
          <w:szCs w:val="20"/>
        </w:rPr>
        <w:t xml:space="preserve"> "</w:t>
      </w:r>
      <w:r w:rsidRPr="000977F7">
        <w:rPr>
          <w:rFonts w:asciiTheme="majorHAnsi" w:hAnsiTheme="majorHAnsi"/>
          <w:i/>
          <w:sz w:val="20"/>
          <w:szCs w:val="20"/>
        </w:rPr>
        <w:t>Про стандартизацію"</w:t>
      </w:r>
    </w:p>
    <w:p w14:paraId="69BE23F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КОНСЕРВАЦІЯ</w:t>
      </w:r>
      <w:r w:rsidRPr="000977F7">
        <w:rPr>
          <w:color w:val="auto"/>
          <w:spacing w:val="-4"/>
          <w:sz w:val="20"/>
          <w:szCs w:val="20"/>
        </w:rPr>
        <w:t xml:space="preserve"> </w:t>
      </w:r>
      <w:r w:rsidRPr="000977F7">
        <w:rPr>
          <w:color w:val="auto"/>
          <w:sz w:val="20"/>
          <w:szCs w:val="20"/>
        </w:rPr>
        <w:t>–</w:t>
      </w:r>
    </w:p>
    <w:p w14:paraId="3E77274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Заходи, спрямовані на захист виробу від впливу навколишнього середовища в процесі виробництва, транспортування</w:t>
      </w:r>
      <w:r w:rsidRPr="000977F7">
        <w:rPr>
          <w:rFonts w:asciiTheme="majorHAnsi" w:hAnsiTheme="majorHAnsi"/>
          <w:spacing w:val="1"/>
          <w:sz w:val="20"/>
          <w:szCs w:val="20"/>
        </w:rPr>
        <w:t xml:space="preserve"> </w:t>
      </w:r>
      <w:r w:rsidRPr="000977F7">
        <w:rPr>
          <w:rFonts w:asciiTheme="majorHAnsi" w:hAnsiTheme="majorHAnsi"/>
          <w:sz w:val="20"/>
          <w:szCs w:val="20"/>
        </w:rPr>
        <w:t>та зберігання</w:t>
      </w:r>
    </w:p>
    <w:p w14:paraId="7C2AB97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2391:2010</w:t>
      </w:r>
    </w:p>
    <w:p w14:paraId="0E1AE36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КОНСОРЦІЙНИЙ</w:t>
      </w:r>
      <w:r w:rsidRPr="000977F7">
        <w:rPr>
          <w:color w:val="auto"/>
          <w:spacing w:val="-4"/>
          <w:sz w:val="20"/>
          <w:szCs w:val="20"/>
        </w:rPr>
        <w:t xml:space="preserve"> </w:t>
      </w:r>
      <w:r w:rsidRPr="000977F7">
        <w:rPr>
          <w:color w:val="auto"/>
          <w:sz w:val="20"/>
          <w:szCs w:val="20"/>
        </w:rPr>
        <w:t>БАНК</w:t>
      </w:r>
      <w:r w:rsidRPr="000977F7">
        <w:rPr>
          <w:color w:val="auto"/>
          <w:spacing w:val="-2"/>
          <w:sz w:val="20"/>
          <w:szCs w:val="20"/>
        </w:rPr>
        <w:t xml:space="preserve"> </w:t>
      </w:r>
      <w:r w:rsidRPr="000977F7">
        <w:rPr>
          <w:color w:val="auto"/>
          <w:sz w:val="20"/>
          <w:szCs w:val="20"/>
        </w:rPr>
        <w:t>–</w:t>
      </w:r>
    </w:p>
    <w:p w14:paraId="38939F8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Самостійне</w:t>
      </w:r>
      <w:r w:rsidRPr="000977F7">
        <w:rPr>
          <w:rFonts w:asciiTheme="majorHAnsi" w:hAnsiTheme="majorHAnsi"/>
          <w:spacing w:val="1"/>
          <w:sz w:val="20"/>
          <w:szCs w:val="20"/>
        </w:rPr>
        <w:t xml:space="preserve"> </w:t>
      </w:r>
      <w:r w:rsidRPr="000977F7">
        <w:rPr>
          <w:rFonts w:asciiTheme="majorHAnsi" w:hAnsiTheme="majorHAnsi"/>
          <w:sz w:val="20"/>
          <w:szCs w:val="20"/>
        </w:rPr>
        <w:t>сумісне</w:t>
      </w:r>
      <w:r w:rsidRPr="000977F7">
        <w:rPr>
          <w:rFonts w:asciiTheme="majorHAnsi" w:hAnsiTheme="majorHAnsi"/>
          <w:spacing w:val="1"/>
          <w:sz w:val="20"/>
          <w:szCs w:val="20"/>
        </w:rPr>
        <w:t xml:space="preserve"> </w:t>
      </w:r>
      <w:r w:rsidRPr="000977F7">
        <w:rPr>
          <w:rFonts w:asciiTheme="majorHAnsi" w:hAnsiTheme="majorHAnsi"/>
          <w:sz w:val="20"/>
          <w:szCs w:val="20"/>
        </w:rPr>
        <w:t>багатонаціональне</w:t>
      </w:r>
      <w:r w:rsidRPr="000977F7">
        <w:rPr>
          <w:rFonts w:asciiTheme="majorHAnsi" w:hAnsiTheme="majorHAnsi"/>
          <w:spacing w:val="1"/>
          <w:sz w:val="20"/>
          <w:szCs w:val="20"/>
        </w:rPr>
        <w:t xml:space="preserve"> </w:t>
      </w:r>
      <w:r w:rsidRPr="000977F7">
        <w:rPr>
          <w:rFonts w:asciiTheme="majorHAnsi" w:hAnsiTheme="majorHAnsi"/>
          <w:sz w:val="20"/>
          <w:szCs w:val="20"/>
        </w:rPr>
        <w:t>акціонерне</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підприємство, що належить декільком банкам, фінансовим організаціям і займається різноманітними валютними</w:t>
      </w:r>
      <w:r w:rsidRPr="000977F7">
        <w:rPr>
          <w:rFonts w:asciiTheme="majorHAnsi" w:hAnsiTheme="majorHAnsi"/>
          <w:spacing w:val="1"/>
          <w:sz w:val="20"/>
          <w:szCs w:val="20"/>
        </w:rPr>
        <w:t xml:space="preserve"> </w:t>
      </w:r>
      <w:r w:rsidRPr="000977F7">
        <w:rPr>
          <w:rFonts w:asciiTheme="majorHAnsi" w:hAnsiTheme="majorHAnsi"/>
          <w:sz w:val="20"/>
          <w:szCs w:val="20"/>
        </w:rPr>
        <w:t>операціями,</w:t>
      </w:r>
      <w:r w:rsidRPr="000977F7">
        <w:rPr>
          <w:rFonts w:asciiTheme="majorHAnsi" w:hAnsiTheme="majorHAnsi"/>
          <w:spacing w:val="1"/>
          <w:sz w:val="20"/>
          <w:szCs w:val="20"/>
        </w:rPr>
        <w:t xml:space="preserve"> </w:t>
      </w:r>
      <w:r w:rsidRPr="000977F7">
        <w:rPr>
          <w:rFonts w:asciiTheme="majorHAnsi" w:hAnsiTheme="majorHAnsi"/>
          <w:sz w:val="20"/>
          <w:szCs w:val="20"/>
        </w:rPr>
        <w:t>кредитуванням</w:t>
      </w:r>
      <w:r w:rsidRPr="000977F7">
        <w:rPr>
          <w:rFonts w:asciiTheme="majorHAnsi" w:hAnsiTheme="majorHAnsi"/>
          <w:spacing w:val="1"/>
          <w:sz w:val="20"/>
          <w:szCs w:val="20"/>
        </w:rPr>
        <w:t xml:space="preserve"> </w:t>
      </w:r>
      <w:r w:rsidRPr="000977F7">
        <w:rPr>
          <w:rFonts w:asciiTheme="majorHAnsi" w:hAnsiTheme="majorHAnsi"/>
          <w:sz w:val="20"/>
          <w:szCs w:val="20"/>
        </w:rPr>
        <w:t>зовнішньоторговельних угод і фінансуванням міжнародних економічних</w:t>
      </w:r>
      <w:r w:rsidRPr="000977F7">
        <w:rPr>
          <w:rFonts w:asciiTheme="majorHAnsi" w:hAnsiTheme="majorHAnsi"/>
          <w:spacing w:val="-2"/>
          <w:sz w:val="20"/>
          <w:szCs w:val="20"/>
        </w:rPr>
        <w:t xml:space="preserve"> </w:t>
      </w:r>
      <w:r w:rsidRPr="000977F7">
        <w:rPr>
          <w:rFonts w:asciiTheme="majorHAnsi" w:hAnsiTheme="majorHAnsi"/>
          <w:sz w:val="20"/>
          <w:szCs w:val="20"/>
        </w:rPr>
        <w:t>проектів</w:t>
      </w:r>
    </w:p>
    <w:p w14:paraId="125C744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95</w:t>
      </w:r>
    </w:p>
    <w:p w14:paraId="7FE4DCD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КОНСТРУКТИВНІ</w:t>
      </w:r>
      <w:r w:rsidRPr="000977F7">
        <w:rPr>
          <w:color w:val="auto"/>
          <w:spacing w:val="-10"/>
          <w:sz w:val="20"/>
          <w:szCs w:val="20"/>
        </w:rPr>
        <w:t xml:space="preserve"> </w:t>
      </w:r>
      <w:r w:rsidRPr="000977F7">
        <w:rPr>
          <w:color w:val="auto"/>
          <w:sz w:val="20"/>
          <w:szCs w:val="20"/>
        </w:rPr>
        <w:t>МЕТОДИ</w:t>
      </w:r>
      <w:r w:rsidRPr="000977F7">
        <w:rPr>
          <w:color w:val="auto"/>
          <w:spacing w:val="-9"/>
          <w:sz w:val="20"/>
          <w:szCs w:val="20"/>
        </w:rPr>
        <w:t xml:space="preserve"> </w:t>
      </w:r>
      <w:r w:rsidRPr="000977F7">
        <w:rPr>
          <w:color w:val="auto"/>
          <w:sz w:val="20"/>
          <w:szCs w:val="20"/>
        </w:rPr>
        <w:t>ЗАБЕЗПЕЧЕННЯ</w:t>
      </w:r>
      <w:r w:rsidRPr="000977F7">
        <w:rPr>
          <w:color w:val="auto"/>
          <w:spacing w:val="-47"/>
          <w:sz w:val="20"/>
          <w:szCs w:val="20"/>
        </w:rPr>
        <w:t xml:space="preserve"> </w:t>
      </w:r>
      <w:r w:rsidRPr="000977F7">
        <w:rPr>
          <w:color w:val="auto"/>
          <w:sz w:val="20"/>
          <w:szCs w:val="20"/>
        </w:rPr>
        <w:t>НАДІЙНОСТІ</w:t>
      </w:r>
      <w:r w:rsidRPr="000977F7">
        <w:rPr>
          <w:color w:val="auto"/>
          <w:spacing w:val="-1"/>
          <w:sz w:val="20"/>
          <w:szCs w:val="20"/>
        </w:rPr>
        <w:t xml:space="preserve"> </w:t>
      </w:r>
      <w:r w:rsidRPr="000977F7">
        <w:rPr>
          <w:color w:val="auto"/>
          <w:sz w:val="20"/>
          <w:szCs w:val="20"/>
        </w:rPr>
        <w:t>–</w:t>
      </w:r>
    </w:p>
    <w:p w14:paraId="09FA292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CONSTRUCTIONAL</w:t>
      </w:r>
      <w:r w:rsidRPr="004D2D14">
        <w:rPr>
          <w:rFonts w:asciiTheme="majorHAnsi" w:hAnsiTheme="majorHAnsi"/>
          <w:spacing w:val="-7"/>
          <w:sz w:val="20"/>
          <w:szCs w:val="20"/>
          <w:lang w:val="uk-UA"/>
        </w:rPr>
        <w:t xml:space="preserve"> </w:t>
      </w:r>
      <w:r w:rsidRPr="000977F7">
        <w:rPr>
          <w:rFonts w:asciiTheme="majorHAnsi" w:hAnsiTheme="majorHAnsi"/>
          <w:sz w:val="20"/>
          <w:szCs w:val="20"/>
        </w:rPr>
        <w:t>DEPENDABILITY</w:t>
      </w:r>
      <w:r w:rsidRPr="004D2D14">
        <w:rPr>
          <w:rFonts w:asciiTheme="majorHAnsi" w:hAnsiTheme="majorHAnsi"/>
          <w:spacing w:val="-7"/>
          <w:sz w:val="20"/>
          <w:szCs w:val="20"/>
          <w:lang w:val="uk-UA"/>
        </w:rPr>
        <w:t xml:space="preserve"> </w:t>
      </w:r>
      <w:r w:rsidRPr="000977F7">
        <w:rPr>
          <w:rFonts w:asciiTheme="majorHAnsi" w:hAnsiTheme="majorHAnsi"/>
          <w:sz w:val="20"/>
          <w:szCs w:val="20"/>
        </w:rPr>
        <w:t>SUPPORT</w:t>
      </w:r>
      <w:r w:rsidRPr="004D2D14">
        <w:rPr>
          <w:rFonts w:asciiTheme="majorHAnsi" w:hAnsiTheme="majorHAnsi"/>
          <w:spacing w:val="-47"/>
          <w:sz w:val="20"/>
          <w:szCs w:val="20"/>
          <w:lang w:val="uk-UA"/>
        </w:rPr>
        <w:t xml:space="preserve"> </w:t>
      </w:r>
      <w:r w:rsidRPr="000977F7">
        <w:rPr>
          <w:rFonts w:asciiTheme="majorHAnsi" w:hAnsiTheme="majorHAnsi"/>
          <w:sz w:val="20"/>
          <w:szCs w:val="20"/>
        </w:rPr>
        <w:t>METHOD</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5D08DA3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Методи забезпечення надійності, які застосовуються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етапі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проектування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об’єкта</w:t>
      </w:r>
    </w:p>
    <w:p w14:paraId="37A73F4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6343AF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КОНСТРУКЦІЙНА</w:t>
      </w:r>
      <w:r w:rsidRPr="000977F7">
        <w:rPr>
          <w:color w:val="auto"/>
          <w:spacing w:val="-6"/>
          <w:sz w:val="20"/>
          <w:szCs w:val="20"/>
        </w:rPr>
        <w:t xml:space="preserve"> </w:t>
      </w:r>
      <w:r w:rsidRPr="000977F7">
        <w:rPr>
          <w:color w:val="auto"/>
          <w:sz w:val="20"/>
          <w:szCs w:val="20"/>
        </w:rPr>
        <w:t>НЕСПРАВНІСТЬ</w:t>
      </w:r>
      <w:r w:rsidRPr="000977F7">
        <w:rPr>
          <w:color w:val="auto"/>
          <w:spacing w:val="-2"/>
          <w:sz w:val="20"/>
          <w:szCs w:val="20"/>
        </w:rPr>
        <w:t xml:space="preserve"> </w:t>
      </w:r>
      <w:r w:rsidRPr="000977F7">
        <w:rPr>
          <w:color w:val="auto"/>
          <w:sz w:val="20"/>
          <w:szCs w:val="20"/>
        </w:rPr>
        <w:t>–</w:t>
      </w:r>
    </w:p>
    <w:p w14:paraId="3CC73FA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DESIGN</w:t>
      </w:r>
      <w:r w:rsidRPr="000977F7">
        <w:rPr>
          <w:rFonts w:asciiTheme="majorHAnsi" w:hAnsiTheme="majorHAnsi"/>
          <w:spacing w:val="-3"/>
          <w:sz w:val="20"/>
          <w:szCs w:val="20"/>
        </w:rPr>
        <w:t xml:space="preserve"> </w:t>
      </w:r>
      <w:r w:rsidRPr="000977F7">
        <w:rPr>
          <w:rFonts w:asciiTheme="majorHAnsi" w:hAnsiTheme="majorHAnsi"/>
          <w:sz w:val="20"/>
          <w:szCs w:val="20"/>
        </w:rPr>
        <w:t>FAULT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2E25B7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Несправність,</w:t>
      </w:r>
      <w:r w:rsidRPr="000977F7">
        <w:rPr>
          <w:rFonts w:asciiTheme="majorHAnsi" w:hAnsiTheme="majorHAnsi"/>
          <w:spacing w:val="1"/>
          <w:sz w:val="20"/>
          <w:szCs w:val="20"/>
        </w:rPr>
        <w:t xml:space="preserve"> </w:t>
      </w:r>
      <w:r w:rsidRPr="000977F7">
        <w:rPr>
          <w:rFonts w:asciiTheme="majorHAnsi" w:hAnsiTheme="majorHAnsi"/>
          <w:sz w:val="20"/>
          <w:szCs w:val="20"/>
        </w:rPr>
        <w:t>спричинена</w:t>
      </w:r>
      <w:r w:rsidRPr="000977F7">
        <w:rPr>
          <w:rFonts w:asciiTheme="majorHAnsi" w:hAnsiTheme="majorHAnsi"/>
          <w:spacing w:val="1"/>
          <w:sz w:val="20"/>
          <w:szCs w:val="20"/>
        </w:rPr>
        <w:t xml:space="preserve"> </w:t>
      </w:r>
      <w:r w:rsidRPr="000977F7">
        <w:rPr>
          <w:rFonts w:asciiTheme="majorHAnsi" w:hAnsiTheme="majorHAnsi"/>
          <w:sz w:val="20"/>
          <w:szCs w:val="20"/>
        </w:rPr>
        <w:t>недосконалістю</w:t>
      </w:r>
      <w:r w:rsidRPr="000977F7">
        <w:rPr>
          <w:rFonts w:asciiTheme="majorHAnsi" w:hAnsiTheme="majorHAnsi"/>
          <w:spacing w:val="1"/>
          <w:sz w:val="20"/>
          <w:szCs w:val="20"/>
        </w:rPr>
        <w:t xml:space="preserve"> </w:t>
      </w:r>
      <w:r w:rsidRPr="000977F7">
        <w:rPr>
          <w:rFonts w:asciiTheme="majorHAnsi" w:hAnsiTheme="majorHAnsi"/>
          <w:sz w:val="20"/>
          <w:szCs w:val="20"/>
        </w:rPr>
        <w:t>проекту</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00DB9DA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 94</w:t>
      </w:r>
    </w:p>
    <w:p w14:paraId="043AE237"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r w:rsidRPr="000977F7">
        <w:rPr>
          <w:rFonts w:asciiTheme="majorHAnsi" w:hAnsiTheme="majorHAnsi"/>
          <w:b/>
          <w:bCs/>
          <w:iCs/>
          <w:sz w:val="20"/>
          <w:szCs w:val="20"/>
        </w:rPr>
        <w:t>КОНСУЛЬТУВАННЯ -</w:t>
      </w:r>
    </w:p>
    <w:p w14:paraId="6204F859"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Участь в:</w:t>
      </w:r>
    </w:p>
    <w:p w14:paraId="73B865A6" w14:textId="77777777" w:rsidR="0097612F" w:rsidRPr="000977F7" w:rsidRDefault="0097612F" w:rsidP="00FD39A4">
      <w:pPr>
        <w:numPr>
          <w:ilvl w:val="0"/>
          <w:numId w:val="228"/>
        </w:numPr>
        <w:tabs>
          <w:tab w:val="left" w:pos="284"/>
        </w:tabs>
        <w:autoSpaceDE w:val="0"/>
        <w:autoSpaceDN w:val="0"/>
        <w:adjustRightInd w:val="0"/>
        <w:spacing w:after="0" w:line="240" w:lineRule="auto"/>
        <w:ind w:left="170" w:firstLine="0"/>
        <w:mirrorIndents/>
        <w:jc w:val="both"/>
        <w:rPr>
          <w:rFonts w:asciiTheme="majorHAnsi" w:hAnsiTheme="majorHAnsi"/>
          <w:sz w:val="20"/>
          <w:szCs w:val="20"/>
        </w:rPr>
      </w:pPr>
      <w:r w:rsidRPr="000977F7">
        <w:rPr>
          <w:rFonts w:asciiTheme="majorHAnsi" w:hAnsiTheme="majorHAnsi"/>
          <w:sz w:val="20"/>
          <w:szCs w:val="20"/>
        </w:rPr>
        <w:t>проектуванні, виробництві, розміщенні, підтримуванні або розповсюдженні сертифікованої продукції або продукції, що підлягає сертифікації, або</w:t>
      </w:r>
    </w:p>
    <w:p w14:paraId="042080CD" w14:textId="77777777" w:rsidR="0097612F" w:rsidRPr="000977F7" w:rsidRDefault="0097612F" w:rsidP="00FD39A4">
      <w:pPr>
        <w:numPr>
          <w:ilvl w:val="0"/>
          <w:numId w:val="228"/>
        </w:numPr>
        <w:tabs>
          <w:tab w:val="left" w:pos="284"/>
        </w:tabs>
        <w:autoSpaceDE w:val="0"/>
        <w:autoSpaceDN w:val="0"/>
        <w:adjustRightInd w:val="0"/>
        <w:spacing w:after="0" w:line="240" w:lineRule="auto"/>
        <w:ind w:left="170" w:firstLine="0"/>
        <w:mirrorIndents/>
        <w:jc w:val="both"/>
        <w:rPr>
          <w:rFonts w:asciiTheme="majorHAnsi" w:hAnsiTheme="majorHAnsi"/>
          <w:sz w:val="20"/>
          <w:szCs w:val="20"/>
        </w:rPr>
      </w:pPr>
      <w:r w:rsidRPr="000977F7">
        <w:rPr>
          <w:rFonts w:asciiTheme="majorHAnsi" w:hAnsiTheme="majorHAnsi"/>
          <w:sz w:val="20"/>
          <w:szCs w:val="20"/>
        </w:rPr>
        <w:t>проектуванні, впровадженні, функціонуванні або підтримуванні сертифікованого процесу або процесу, що підлягає сертифікації, або</w:t>
      </w:r>
    </w:p>
    <w:p w14:paraId="6DF9F6BC" w14:textId="77777777" w:rsidR="0097612F" w:rsidRPr="000977F7" w:rsidRDefault="0097612F" w:rsidP="00FD39A4">
      <w:pPr>
        <w:numPr>
          <w:ilvl w:val="0"/>
          <w:numId w:val="228"/>
        </w:numPr>
        <w:tabs>
          <w:tab w:val="left" w:pos="284"/>
        </w:tabs>
        <w:autoSpaceDE w:val="0"/>
        <w:autoSpaceDN w:val="0"/>
        <w:adjustRightInd w:val="0"/>
        <w:spacing w:after="0" w:line="240" w:lineRule="auto"/>
        <w:ind w:left="170" w:firstLine="0"/>
        <w:mirrorIndents/>
        <w:jc w:val="both"/>
        <w:rPr>
          <w:rFonts w:asciiTheme="majorHAnsi" w:hAnsiTheme="majorHAnsi"/>
          <w:sz w:val="20"/>
          <w:szCs w:val="20"/>
        </w:rPr>
      </w:pPr>
      <w:r w:rsidRPr="000977F7">
        <w:rPr>
          <w:rFonts w:asciiTheme="majorHAnsi" w:hAnsiTheme="majorHAnsi"/>
          <w:sz w:val="20"/>
          <w:szCs w:val="20"/>
        </w:rPr>
        <w:t>проектуванні, впровадженні, забезпеченні або підтримуванні сертифікованої послуги або послуги, що підлягає сертифікації.</w:t>
      </w:r>
    </w:p>
    <w:p w14:paraId="297B8854"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ПРИМІТКА В цьому міжнародному стандарті термін «консультування» використовується щодо видів діяльності органів сертифікації, персоналу органів сертифікації та організацій, що пов’язані з  органом сертифікації</w:t>
      </w:r>
    </w:p>
    <w:p w14:paraId="0329C614"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i/>
          <w:iCs/>
          <w:sz w:val="20"/>
          <w:szCs w:val="20"/>
        </w:rPr>
        <w:t>ДСТУ EN ISO/IEC 17065:2019</w:t>
      </w:r>
    </w:p>
    <w:p w14:paraId="74A08C48"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КОНТРАКТ; ДОГОВІР –</w:t>
      </w:r>
      <w:r w:rsidRPr="000977F7">
        <w:rPr>
          <w:rFonts w:asciiTheme="majorHAnsi" w:hAnsiTheme="majorHAnsi"/>
          <w:b/>
          <w:spacing w:val="-47"/>
          <w:sz w:val="20"/>
          <w:szCs w:val="20"/>
        </w:rPr>
        <w:t xml:space="preserve"> </w:t>
      </w:r>
    </w:p>
    <w:p w14:paraId="4E32AE0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CONTRACT</w:t>
      </w:r>
    </w:p>
    <w:p w14:paraId="094A32E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Угода,</w:t>
      </w:r>
      <w:r w:rsidRPr="000977F7">
        <w:rPr>
          <w:rFonts w:asciiTheme="majorHAnsi" w:hAnsiTheme="majorHAnsi"/>
          <w:spacing w:val="-2"/>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має</w:t>
      </w:r>
      <w:r w:rsidRPr="000977F7">
        <w:rPr>
          <w:rFonts w:asciiTheme="majorHAnsi" w:hAnsiTheme="majorHAnsi"/>
          <w:spacing w:val="-1"/>
          <w:sz w:val="20"/>
          <w:szCs w:val="20"/>
        </w:rPr>
        <w:t xml:space="preserve"> </w:t>
      </w:r>
      <w:r w:rsidRPr="000977F7">
        <w:rPr>
          <w:rFonts w:asciiTheme="majorHAnsi" w:hAnsiTheme="majorHAnsi"/>
          <w:sz w:val="20"/>
          <w:szCs w:val="20"/>
        </w:rPr>
        <w:t>обов’язкову</w:t>
      </w:r>
      <w:r w:rsidRPr="000977F7">
        <w:rPr>
          <w:rFonts w:asciiTheme="majorHAnsi" w:hAnsiTheme="majorHAnsi"/>
          <w:spacing w:val="-5"/>
          <w:sz w:val="20"/>
          <w:szCs w:val="20"/>
        </w:rPr>
        <w:t xml:space="preserve"> </w:t>
      </w:r>
      <w:r w:rsidRPr="000977F7">
        <w:rPr>
          <w:rFonts w:asciiTheme="majorHAnsi" w:hAnsiTheme="majorHAnsi"/>
          <w:sz w:val="20"/>
          <w:szCs w:val="20"/>
        </w:rPr>
        <w:t>силу</w:t>
      </w:r>
    </w:p>
    <w:p w14:paraId="7E8FC04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6BCF4C8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Взаємно схвалена угода, яка зобов’язує продавця надати</w:t>
      </w:r>
      <w:r w:rsidRPr="000977F7">
        <w:rPr>
          <w:rFonts w:asciiTheme="majorHAnsi" w:hAnsiTheme="majorHAnsi"/>
          <w:spacing w:val="1"/>
          <w:sz w:val="20"/>
          <w:szCs w:val="20"/>
        </w:rPr>
        <w:t xml:space="preserve"> </w:t>
      </w:r>
      <w:r w:rsidRPr="000977F7">
        <w:rPr>
          <w:rFonts w:asciiTheme="majorHAnsi" w:hAnsiTheme="majorHAnsi"/>
          <w:sz w:val="20"/>
          <w:szCs w:val="20"/>
        </w:rPr>
        <w:t>певний</w:t>
      </w:r>
      <w:r w:rsidRPr="000977F7">
        <w:rPr>
          <w:rFonts w:asciiTheme="majorHAnsi" w:hAnsiTheme="majorHAnsi"/>
          <w:spacing w:val="1"/>
          <w:sz w:val="20"/>
          <w:szCs w:val="20"/>
        </w:rPr>
        <w:t xml:space="preserve"> </w:t>
      </w:r>
      <w:r w:rsidRPr="000977F7">
        <w:rPr>
          <w:rFonts w:asciiTheme="majorHAnsi" w:hAnsiTheme="majorHAnsi"/>
          <w:sz w:val="20"/>
          <w:szCs w:val="20"/>
        </w:rPr>
        <w:t>продукт</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послуги</w:t>
      </w:r>
      <w:r w:rsidRPr="000977F7">
        <w:rPr>
          <w:rFonts w:asciiTheme="majorHAnsi" w:hAnsiTheme="majorHAnsi"/>
          <w:spacing w:val="1"/>
          <w:sz w:val="20"/>
          <w:szCs w:val="20"/>
        </w:rPr>
        <w:t xml:space="preserve"> </w:t>
      </w:r>
      <w:r w:rsidRPr="000977F7">
        <w:rPr>
          <w:rFonts w:asciiTheme="majorHAnsi" w:hAnsiTheme="majorHAnsi"/>
          <w:sz w:val="20"/>
          <w:szCs w:val="20"/>
        </w:rPr>
        <w:t>покупцеві,</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платить за це. Звичайно контракти поділяються на три</w:t>
      </w:r>
      <w:r w:rsidRPr="000977F7">
        <w:rPr>
          <w:rFonts w:asciiTheme="majorHAnsi" w:hAnsiTheme="majorHAnsi"/>
          <w:spacing w:val="-47"/>
          <w:sz w:val="20"/>
          <w:szCs w:val="20"/>
        </w:rPr>
        <w:t xml:space="preserve"> </w:t>
      </w:r>
      <w:r w:rsidRPr="000977F7">
        <w:rPr>
          <w:rFonts w:asciiTheme="majorHAnsi" w:hAnsiTheme="majorHAnsi"/>
          <w:sz w:val="20"/>
          <w:szCs w:val="20"/>
        </w:rPr>
        <w:t>великі</w:t>
      </w:r>
      <w:r w:rsidRPr="000977F7">
        <w:rPr>
          <w:rFonts w:asciiTheme="majorHAnsi" w:hAnsiTheme="majorHAnsi"/>
          <w:spacing w:val="-2"/>
          <w:sz w:val="20"/>
          <w:szCs w:val="20"/>
        </w:rPr>
        <w:t xml:space="preserve"> </w:t>
      </w:r>
      <w:r w:rsidRPr="000977F7">
        <w:rPr>
          <w:rFonts w:asciiTheme="majorHAnsi" w:hAnsiTheme="majorHAnsi"/>
          <w:sz w:val="20"/>
          <w:szCs w:val="20"/>
        </w:rPr>
        <w:t>категорії:</w:t>
      </w:r>
    </w:p>
    <w:p w14:paraId="0AB721C6" w14:textId="77777777" w:rsidR="0097612F" w:rsidRPr="000977F7" w:rsidRDefault="0097612F" w:rsidP="00FD39A4">
      <w:pPr>
        <w:pStyle w:val="ac"/>
        <w:widowControl w:val="0"/>
        <w:numPr>
          <w:ilvl w:val="2"/>
          <w:numId w:val="180"/>
        </w:numPr>
        <w:tabs>
          <w:tab w:val="left" w:pos="284"/>
          <w:tab w:val="left" w:pos="62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Контракти з фіксованою ціною – ця категорія контрактів</w:t>
      </w:r>
      <w:r w:rsidRPr="000977F7">
        <w:rPr>
          <w:rFonts w:asciiTheme="majorHAnsi" w:hAnsiTheme="majorHAnsi"/>
          <w:spacing w:val="1"/>
          <w:sz w:val="20"/>
          <w:szCs w:val="20"/>
        </w:rPr>
        <w:t xml:space="preserve"> </w:t>
      </w:r>
      <w:r w:rsidRPr="000977F7">
        <w:rPr>
          <w:rFonts w:asciiTheme="majorHAnsi" w:hAnsiTheme="majorHAnsi"/>
          <w:sz w:val="20"/>
          <w:szCs w:val="20"/>
        </w:rPr>
        <w:t>передбачає</w:t>
      </w:r>
      <w:r w:rsidRPr="000977F7">
        <w:rPr>
          <w:rFonts w:asciiTheme="majorHAnsi" w:hAnsiTheme="majorHAnsi"/>
          <w:spacing w:val="1"/>
          <w:sz w:val="20"/>
          <w:szCs w:val="20"/>
        </w:rPr>
        <w:t xml:space="preserve"> </w:t>
      </w:r>
      <w:r w:rsidRPr="000977F7">
        <w:rPr>
          <w:rFonts w:asciiTheme="majorHAnsi" w:hAnsiTheme="majorHAnsi"/>
          <w:sz w:val="20"/>
          <w:szCs w:val="20"/>
        </w:rPr>
        <w:t>сплату</w:t>
      </w:r>
      <w:r w:rsidRPr="000977F7">
        <w:rPr>
          <w:rFonts w:asciiTheme="majorHAnsi" w:hAnsiTheme="majorHAnsi"/>
          <w:spacing w:val="1"/>
          <w:sz w:val="20"/>
          <w:szCs w:val="20"/>
        </w:rPr>
        <w:t xml:space="preserve"> </w:t>
      </w:r>
      <w:r w:rsidRPr="000977F7">
        <w:rPr>
          <w:rFonts w:asciiTheme="majorHAnsi" w:hAnsiTheme="majorHAnsi"/>
          <w:sz w:val="20"/>
          <w:szCs w:val="20"/>
        </w:rPr>
        <w:t>фіксованої</w:t>
      </w:r>
      <w:r w:rsidRPr="000977F7">
        <w:rPr>
          <w:rFonts w:asciiTheme="majorHAnsi" w:hAnsiTheme="majorHAnsi"/>
          <w:spacing w:val="1"/>
          <w:sz w:val="20"/>
          <w:szCs w:val="20"/>
        </w:rPr>
        <w:t xml:space="preserve"> </w:t>
      </w:r>
      <w:r w:rsidRPr="000977F7">
        <w:rPr>
          <w:rFonts w:asciiTheme="majorHAnsi" w:hAnsiTheme="majorHAnsi"/>
          <w:sz w:val="20"/>
          <w:szCs w:val="20"/>
        </w:rPr>
        <w:t>підсумкової</w:t>
      </w:r>
      <w:r w:rsidRPr="000977F7">
        <w:rPr>
          <w:rFonts w:asciiTheme="majorHAnsi" w:hAnsiTheme="majorHAnsi"/>
          <w:spacing w:val="1"/>
          <w:sz w:val="20"/>
          <w:szCs w:val="20"/>
        </w:rPr>
        <w:t xml:space="preserve"> </w:t>
      </w:r>
      <w:r w:rsidRPr="000977F7">
        <w:rPr>
          <w:rFonts w:asciiTheme="majorHAnsi" w:hAnsiTheme="majorHAnsi"/>
          <w:sz w:val="20"/>
          <w:szCs w:val="20"/>
        </w:rPr>
        <w:t>ціни за добре відомий проект. Контракти з фіксованою ціною також можуть містити стимули для задоволення або перевиконання вибраних проектних</w:t>
      </w:r>
      <w:r w:rsidRPr="000977F7">
        <w:rPr>
          <w:rFonts w:asciiTheme="majorHAnsi" w:hAnsiTheme="majorHAnsi"/>
          <w:spacing w:val="1"/>
          <w:sz w:val="20"/>
          <w:szCs w:val="20"/>
        </w:rPr>
        <w:t xml:space="preserve"> </w:t>
      </w:r>
      <w:r w:rsidRPr="000977F7">
        <w:rPr>
          <w:rFonts w:asciiTheme="majorHAnsi" w:hAnsiTheme="majorHAnsi"/>
          <w:sz w:val="20"/>
          <w:szCs w:val="20"/>
        </w:rPr>
        <w:t>цілей,</w:t>
      </w:r>
      <w:r w:rsidRPr="000977F7">
        <w:rPr>
          <w:rFonts w:asciiTheme="majorHAnsi" w:hAnsiTheme="majorHAnsi"/>
          <w:spacing w:val="-3"/>
          <w:sz w:val="20"/>
          <w:szCs w:val="20"/>
        </w:rPr>
        <w:t xml:space="preserve"> </w:t>
      </w:r>
      <w:r w:rsidRPr="000977F7">
        <w:rPr>
          <w:rFonts w:asciiTheme="majorHAnsi" w:hAnsiTheme="majorHAnsi"/>
          <w:sz w:val="20"/>
          <w:szCs w:val="20"/>
        </w:rPr>
        <w:t>таких,</w:t>
      </w:r>
      <w:r w:rsidRPr="000977F7">
        <w:rPr>
          <w:rFonts w:asciiTheme="majorHAnsi" w:hAnsiTheme="majorHAnsi"/>
          <w:spacing w:val="-2"/>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цілі</w:t>
      </w:r>
      <w:r w:rsidRPr="000977F7">
        <w:rPr>
          <w:rFonts w:asciiTheme="majorHAnsi" w:hAnsiTheme="majorHAnsi"/>
          <w:spacing w:val="-3"/>
          <w:sz w:val="20"/>
          <w:szCs w:val="20"/>
        </w:rPr>
        <w:t xml:space="preserve"> </w:t>
      </w:r>
      <w:r w:rsidRPr="000977F7">
        <w:rPr>
          <w:rFonts w:asciiTheme="majorHAnsi" w:hAnsiTheme="majorHAnsi"/>
          <w:sz w:val="20"/>
          <w:szCs w:val="20"/>
        </w:rPr>
        <w:t>згідно</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2"/>
          <w:sz w:val="20"/>
          <w:szCs w:val="20"/>
        </w:rPr>
        <w:t xml:space="preserve"> </w:t>
      </w:r>
      <w:r w:rsidRPr="000977F7">
        <w:rPr>
          <w:rFonts w:asciiTheme="majorHAnsi" w:hAnsiTheme="majorHAnsi"/>
          <w:sz w:val="20"/>
          <w:szCs w:val="20"/>
        </w:rPr>
        <w:t>календарним</w:t>
      </w:r>
      <w:r w:rsidRPr="000977F7">
        <w:rPr>
          <w:rFonts w:asciiTheme="majorHAnsi" w:hAnsiTheme="majorHAnsi"/>
          <w:spacing w:val="-1"/>
          <w:sz w:val="20"/>
          <w:szCs w:val="20"/>
        </w:rPr>
        <w:t xml:space="preserve"> </w:t>
      </w:r>
      <w:r w:rsidRPr="000977F7">
        <w:rPr>
          <w:rFonts w:asciiTheme="majorHAnsi" w:hAnsiTheme="majorHAnsi"/>
          <w:sz w:val="20"/>
          <w:szCs w:val="20"/>
        </w:rPr>
        <w:t>планом.</w:t>
      </w:r>
    </w:p>
    <w:p w14:paraId="2E9756DD" w14:textId="77777777" w:rsidR="0097612F" w:rsidRPr="000977F7" w:rsidRDefault="0097612F" w:rsidP="00FD39A4">
      <w:pPr>
        <w:pStyle w:val="ac"/>
        <w:widowControl w:val="0"/>
        <w:numPr>
          <w:ilvl w:val="2"/>
          <w:numId w:val="180"/>
        </w:numPr>
        <w:tabs>
          <w:tab w:val="left" w:pos="284"/>
          <w:tab w:val="left" w:pos="62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Контракти з відшкодуванням витрат – ця категорія</w:t>
      </w:r>
      <w:r w:rsidRPr="000977F7">
        <w:rPr>
          <w:rFonts w:asciiTheme="majorHAnsi" w:hAnsiTheme="majorHAnsi"/>
          <w:spacing w:val="1"/>
          <w:sz w:val="20"/>
          <w:szCs w:val="20"/>
        </w:rPr>
        <w:t xml:space="preserve"> </w:t>
      </w:r>
      <w:r w:rsidRPr="000977F7">
        <w:rPr>
          <w:rFonts w:asciiTheme="majorHAnsi" w:hAnsiTheme="majorHAnsi"/>
          <w:sz w:val="20"/>
          <w:szCs w:val="20"/>
        </w:rPr>
        <w:t>контрактів містить оплату (відшкодування) підрядчику його фактичних витрат. Витрати зазвичай класифікуються</w:t>
      </w:r>
      <w:r w:rsidRPr="000977F7">
        <w:rPr>
          <w:rFonts w:asciiTheme="majorHAnsi" w:hAnsiTheme="majorHAnsi"/>
          <w:spacing w:val="5"/>
          <w:sz w:val="20"/>
          <w:szCs w:val="20"/>
        </w:rPr>
        <w:t xml:space="preserve"> </w:t>
      </w:r>
      <w:r w:rsidRPr="000977F7">
        <w:rPr>
          <w:rFonts w:asciiTheme="majorHAnsi" w:hAnsiTheme="majorHAnsi"/>
          <w:sz w:val="20"/>
          <w:szCs w:val="20"/>
        </w:rPr>
        <w:t>на</w:t>
      </w:r>
      <w:r w:rsidRPr="000977F7">
        <w:rPr>
          <w:rFonts w:asciiTheme="majorHAnsi" w:hAnsiTheme="majorHAnsi"/>
          <w:spacing w:val="6"/>
          <w:sz w:val="20"/>
          <w:szCs w:val="20"/>
        </w:rPr>
        <w:t xml:space="preserve"> </w:t>
      </w:r>
      <w:r w:rsidRPr="000977F7">
        <w:rPr>
          <w:rFonts w:asciiTheme="majorHAnsi" w:hAnsiTheme="majorHAnsi"/>
          <w:sz w:val="20"/>
          <w:szCs w:val="20"/>
        </w:rPr>
        <w:t>прямі</w:t>
      </w:r>
      <w:r w:rsidRPr="000977F7">
        <w:rPr>
          <w:rFonts w:asciiTheme="majorHAnsi" w:hAnsiTheme="majorHAnsi"/>
          <w:spacing w:val="6"/>
          <w:sz w:val="20"/>
          <w:szCs w:val="20"/>
        </w:rPr>
        <w:t xml:space="preserve"> </w:t>
      </w:r>
      <w:r w:rsidRPr="000977F7">
        <w:rPr>
          <w:rFonts w:asciiTheme="majorHAnsi" w:hAnsiTheme="majorHAnsi"/>
          <w:sz w:val="20"/>
          <w:szCs w:val="20"/>
        </w:rPr>
        <w:t>(витрати</w:t>
      </w:r>
      <w:r w:rsidRPr="000977F7">
        <w:rPr>
          <w:rFonts w:asciiTheme="majorHAnsi" w:hAnsiTheme="majorHAnsi"/>
          <w:spacing w:val="5"/>
          <w:sz w:val="20"/>
          <w:szCs w:val="20"/>
        </w:rPr>
        <w:t xml:space="preserve"> </w:t>
      </w:r>
      <w:r w:rsidRPr="000977F7">
        <w:rPr>
          <w:rFonts w:asciiTheme="majorHAnsi" w:hAnsiTheme="majorHAnsi"/>
          <w:sz w:val="20"/>
          <w:szCs w:val="20"/>
        </w:rPr>
        <w:t>безпосередньо</w:t>
      </w:r>
      <w:r w:rsidRPr="000977F7">
        <w:rPr>
          <w:rFonts w:asciiTheme="majorHAnsi" w:hAnsiTheme="majorHAnsi"/>
          <w:spacing w:val="7"/>
          <w:sz w:val="20"/>
          <w:szCs w:val="20"/>
        </w:rPr>
        <w:t xml:space="preserve"> </w:t>
      </w:r>
      <w:r w:rsidRPr="000977F7">
        <w:rPr>
          <w:rFonts w:asciiTheme="majorHAnsi" w:hAnsiTheme="majorHAnsi"/>
          <w:sz w:val="20"/>
          <w:szCs w:val="20"/>
        </w:rPr>
        <w:t>попроекту,</w:t>
      </w:r>
      <w:r w:rsidRPr="000977F7">
        <w:rPr>
          <w:rFonts w:asciiTheme="majorHAnsi" w:hAnsiTheme="majorHAnsi"/>
          <w:spacing w:val="1"/>
          <w:sz w:val="20"/>
          <w:szCs w:val="20"/>
        </w:rPr>
        <w:t xml:space="preserve"> </w:t>
      </w:r>
      <w:r w:rsidRPr="000977F7">
        <w:rPr>
          <w:rFonts w:asciiTheme="majorHAnsi" w:hAnsiTheme="majorHAnsi"/>
          <w:sz w:val="20"/>
          <w:szCs w:val="20"/>
        </w:rPr>
        <w:t>такі</w:t>
      </w:r>
      <w:r w:rsidRPr="000977F7">
        <w:rPr>
          <w:rFonts w:asciiTheme="majorHAnsi" w:hAnsiTheme="majorHAnsi"/>
          <w:spacing w:val="1"/>
          <w:sz w:val="20"/>
          <w:szCs w:val="20"/>
        </w:rPr>
        <w:t xml:space="preserve"> </w:t>
      </w:r>
      <w:r w:rsidRPr="000977F7">
        <w:rPr>
          <w:rFonts w:asciiTheme="majorHAnsi" w:hAnsiTheme="majorHAnsi"/>
          <w:sz w:val="20"/>
          <w:szCs w:val="20"/>
        </w:rPr>
        <w:t>як зарплата членів команди</w:t>
      </w:r>
      <w:r w:rsidRPr="000977F7">
        <w:rPr>
          <w:rFonts w:asciiTheme="majorHAnsi" w:hAnsiTheme="majorHAnsi"/>
          <w:spacing w:val="50"/>
          <w:sz w:val="20"/>
          <w:szCs w:val="20"/>
        </w:rPr>
        <w:t xml:space="preserve"> </w:t>
      </w:r>
      <w:r w:rsidRPr="000977F7">
        <w:rPr>
          <w:rFonts w:asciiTheme="majorHAnsi" w:hAnsiTheme="majorHAnsi"/>
          <w:sz w:val="20"/>
          <w:szCs w:val="20"/>
        </w:rPr>
        <w:t>проекту)</w:t>
      </w:r>
      <w:r w:rsidRPr="000977F7">
        <w:rPr>
          <w:rFonts w:asciiTheme="majorHAnsi" w:hAnsiTheme="majorHAnsi"/>
          <w:spacing w:val="-47"/>
          <w:sz w:val="20"/>
          <w:szCs w:val="20"/>
        </w:rPr>
        <w:t xml:space="preserve"> </w:t>
      </w:r>
      <w:r w:rsidRPr="000977F7">
        <w:rPr>
          <w:rFonts w:asciiTheme="majorHAnsi" w:hAnsiTheme="majorHAnsi"/>
          <w:sz w:val="20"/>
          <w:szCs w:val="20"/>
        </w:rPr>
        <w:t>та непрямі (кошти, що виділяються виконавчою організацією, наприклад, для покриття вартості поточних робіт, на зарплату посадовим особам). Непрямі витрати, звичайно, розраховуються у відсотках</w:t>
      </w:r>
      <w:r w:rsidRPr="000977F7">
        <w:rPr>
          <w:rFonts w:asciiTheme="majorHAnsi" w:hAnsiTheme="majorHAnsi"/>
          <w:spacing w:val="1"/>
          <w:sz w:val="20"/>
          <w:szCs w:val="20"/>
        </w:rPr>
        <w:t xml:space="preserve"> </w:t>
      </w:r>
      <w:r w:rsidRPr="000977F7">
        <w:rPr>
          <w:rFonts w:asciiTheme="majorHAnsi" w:hAnsiTheme="majorHAnsi"/>
          <w:sz w:val="20"/>
          <w:szCs w:val="20"/>
        </w:rPr>
        <w:t>прямих витрат. Контракти з відшкодуванням витрат</w:t>
      </w:r>
      <w:r w:rsidRPr="000977F7">
        <w:rPr>
          <w:rFonts w:asciiTheme="majorHAnsi" w:hAnsiTheme="majorHAnsi"/>
          <w:spacing w:val="-47"/>
          <w:sz w:val="20"/>
          <w:szCs w:val="20"/>
        </w:rPr>
        <w:t xml:space="preserve"> </w:t>
      </w:r>
      <w:r w:rsidRPr="000977F7">
        <w:rPr>
          <w:rFonts w:asciiTheme="majorHAnsi" w:hAnsiTheme="majorHAnsi"/>
          <w:sz w:val="20"/>
          <w:szCs w:val="20"/>
        </w:rPr>
        <w:t>часто містять стимули, спрямовані на дотримання</w:t>
      </w:r>
      <w:r w:rsidRPr="000977F7">
        <w:rPr>
          <w:rFonts w:asciiTheme="majorHAnsi" w:hAnsiTheme="majorHAnsi"/>
          <w:spacing w:val="1"/>
          <w:sz w:val="20"/>
          <w:szCs w:val="20"/>
        </w:rPr>
        <w:t xml:space="preserve"> </w:t>
      </w:r>
      <w:r w:rsidRPr="000977F7">
        <w:rPr>
          <w:rFonts w:asciiTheme="majorHAnsi" w:hAnsiTheme="majorHAnsi"/>
          <w:sz w:val="20"/>
          <w:szCs w:val="20"/>
        </w:rPr>
        <w:t>або перевиконання певних проектних завдань, таких як цілі за календарним планом або підсумкова</w:t>
      </w:r>
      <w:r w:rsidRPr="000977F7">
        <w:rPr>
          <w:rFonts w:asciiTheme="majorHAnsi" w:hAnsiTheme="majorHAnsi"/>
          <w:spacing w:val="1"/>
          <w:sz w:val="20"/>
          <w:szCs w:val="20"/>
        </w:rPr>
        <w:t xml:space="preserve"> </w:t>
      </w:r>
      <w:r w:rsidRPr="000977F7">
        <w:rPr>
          <w:rFonts w:asciiTheme="majorHAnsi" w:hAnsiTheme="majorHAnsi"/>
          <w:sz w:val="20"/>
          <w:szCs w:val="20"/>
        </w:rPr>
        <w:t>вартість</w:t>
      </w:r>
      <w:r w:rsidRPr="000977F7">
        <w:rPr>
          <w:rFonts w:asciiTheme="majorHAnsi" w:hAnsiTheme="majorHAnsi"/>
          <w:spacing w:val="-2"/>
          <w:sz w:val="20"/>
          <w:szCs w:val="20"/>
        </w:rPr>
        <w:t xml:space="preserve"> </w:t>
      </w:r>
      <w:r w:rsidRPr="000977F7">
        <w:rPr>
          <w:rFonts w:asciiTheme="majorHAnsi" w:hAnsiTheme="majorHAnsi"/>
          <w:sz w:val="20"/>
          <w:szCs w:val="20"/>
        </w:rPr>
        <w:t>проекту.</w:t>
      </w:r>
    </w:p>
    <w:p w14:paraId="7EEC1D05" w14:textId="77777777" w:rsidR="0097612F" w:rsidRPr="000977F7" w:rsidRDefault="0097612F" w:rsidP="00FD39A4">
      <w:pPr>
        <w:pStyle w:val="ac"/>
        <w:widowControl w:val="0"/>
        <w:numPr>
          <w:ilvl w:val="1"/>
          <w:numId w:val="180"/>
        </w:numPr>
        <w:tabs>
          <w:tab w:val="left" w:pos="284"/>
          <w:tab w:val="left" w:pos="49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Контракти з ціною за одиницю – підрядчик сплачує</w:t>
      </w:r>
      <w:r w:rsidRPr="000977F7">
        <w:rPr>
          <w:rFonts w:asciiTheme="majorHAnsi" w:hAnsiTheme="majorHAnsi"/>
          <w:spacing w:val="1"/>
          <w:sz w:val="20"/>
          <w:szCs w:val="20"/>
        </w:rPr>
        <w:t xml:space="preserve"> </w:t>
      </w:r>
      <w:r w:rsidRPr="000977F7">
        <w:rPr>
          <w:rFonts w:asciiTheme="majorHAnsi" w:hAnsiTheme="majorHAnsi"/>
          <w:sz w:val="20"/>
          <w:szCs w:val="20"/>
        </w:rPr>
        <w:t>заздалегідь</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встановлену</w:t>
      </w:r>
      <w:r w:rsidRPr="000977F7">
        <w:rPr>
          <w:rFonts w:asciiTheme="majorHAnsi" w:hAnsiTheme="majorHAnsi"/>
          <w:spacing w:val="1"/>
          <w:sz w:val="20"/>
          <w:szCs w:val="20"/>
        </w:rPr>
        <w:t xml:space="preserve"> </w:t>
      </w:r>
      <w:r w:rsidRPr="000977F7">
        <w:rPr>
          <w:rFonts w:asciiTheme="majorHAnsi" w:hAnsiTheme="majorHAnsi"/>
          <w:sz w:val="20"/>
          <w:szCs w:val="20"/>
        </w:rPr>
        <w:t>суму</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одиницю</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$70</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годину за</w:t>
      </w:r>
      <w:r w:rsidRPr="000977F7">
        <w:rPr>
          <w:rFonts w:asciiTheme="majorHAnsi" w:hAnsiTheme="majorHAnsi"/>
          <w:spacing w:val="1"/>
          <w:sz w:val="20"/>
          <w:szCs w:val="20"/>
        </w:rPr>
        <w:t xml:space="preserve"> </w:t>
      </w:r>
      <w:r w:rsidRPr="000977F7">
        <w:rPr>
          <w:rFonts w:asciiTheme="majorHAnsi" w:hAnsiTheme="majorHAnsi"/>
          <w:sz w:val="20"/>
          <w:szCs w:val="20"/>
        </w:rPr>
        <w:t>професійні</w:t>
      </w:r>
      <w:r w:rsidRPr="000977F7">
        <w:rPr>
          <w:rFonts w:asciiTheme="majorHAnsi" w:hAnsiTheme="majorHAnsi"/>
          <w:spacing w:val="50"/>
          <w:sz w:val="20"/>
          <w:szCs w:val="20"/>
        </w:rPr>
        <w:t xml:space="preserve"> </w:t>
      </w:r>
      <w:r w:rsidRPr="000977F7">
        <w:rPr>
          <w:rFonts w:asciiTheme="majorHAnsi" w:hAnsiTheme="majorHAnsi"/>
          <w:sz w:val="20"/>
          <w:szCs w:val="20"/>
        </w:rPr>
        <w:t>послуги</w:t>
      </w:r>
      <w:r w:rsidRPr="000977F7">
        <w:rPr>
          <w:rFonts w:asciiTheme="majorHAnsi" w:hAnsiTheme="majorHAnsi"/>
          <w:spacing w:val="1"/>
          <w:sz w:val="20"/>
          <w:szCs w:val="20"/>
        </w:rPr>
        <w:t xml:space="preserve"> </w:t>
      </w:r>
      <w:r w:rsidRPr="000977F7">
        <w:rPr>
          <w:rFonts w:asciiTheme="majorHAnsi" w:hAnsiTheme="majorHAnsi"/>
          <w:sz w:val="20"/>
          <w:szCs w:val="20"/>
        </w:rPr>
        <w:t>або $1.08 за кубічний метр виритої землі), а підсумкова ціна по контракту є функцією від обсягів, необхідних</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завершення</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p>
    <w:p w14:paraId="4322469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Контракт</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юридичним</w:t>
      </w:r>
      <w:r w:rsidRPr="000977F7">
        <w:rPr>
          <w:rFonts w:asciiTheme="majorHAnsi" w:hAnsiTheme="majorHAnsi"/>
          <w:spacing w:val="1"/>
          <w:sz w:val="20"/>
          <w:szCs w:val="20"/>
        </w:rPr>
        <w:t xml:space="preserve"> </w:t>
      </w:r>
      <w:r w:rsidRPr="000977F7">
        <w:rPr>
          <w:rFonts w:asciiTheme="majorHAnsi" w:hAnsiTheme="majorHAnsi"/>
          <w:sz w:val="20"/>
          <w:szCs w:val="20"/>
        </w:rPr>
        <w:t>документом,</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використовуватися в судовому засіданні як основа</w:t>
      </w:r>
      <w:r w:rsidRPr="000977F7">
        <w:rPr>
          <w:rFonts w:asciiTheme="majorHAnsi" w:hAnsiTheme="majorHAnsi"/>
          <w:spacing w:val="1"/>
          <w:sz w:val="20"/>
          <w:szCs w:val="20"/>
        </w:rPr>
        <w:t xml:space="preserve"> </w:t>
      </w:r>
      <w:r w:rsidRPr="000977F7">
        <w:rPr>
          <w:rFonts w:asciiTheme="majorHAnsi" w:hAnsiTheme="majorHAnsi"/>
          <w:sz w:val="20"/>
          <w:szCs w:val="20"/>
        </w:rPr>
        <w:t>для відшкодування збитку. Угода може бути простою і складною, що звичайно (але не завжди) вказує</w:t>
      </w:r>
      <w:r w:rsidRPr="000977F7">
        <w:rPr>
          <w:rFonts w:asciiTheme="majorHAnsi" w:hAnsiTheme="majorHAnsi"/>
          <w:spacing w:val="-47"/>
          <w:sz w:val="20"/>
          <w:szCs w:val="20"/>
        </w:rPr>
        <w:t xml:space="preserve"> </w:t>
      </w:r>
      <w:r w:rsidRPr="000977F7">
        <w:rPr>
          <w:rFonts w:asciiTheme="majorHAnsi" w:hAnsiTheme="majorHAnsi"/>
          <w:sz w:val="20"/>
          <w:szCs w:val="20"/>
        </w:rPr>
        <w:t>на простоту чи складність продукту. Серед інших</w:t>
      </w:r>
      <w:r w:rsidRPr="000977F7">
        <w:rPr>
          <w:rFonts w:asciiTheme="majorHAnsi" w:hAnsiTheme="majorHAnsi"/>
          <w:spacing w:val="1"/>
          <w:sz w:val="20"/>
          <w:szCs w:val="20"/>
        </w:rPr>
        <w:t xml:space="preserve"> </w:t>
      </w:r>
      <w:r w:rsidRPr="000977F7">
        <w:rPr>
          <w:rFonts w:asciiTheme="majorHAnsi" w:hAnsiTheme="majorHAnsi"/>
          <w:sz w:val="20"/>
          <w:szCs w:val="20"/>
        </w:rPr>
        <w:t>назв</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використовуватися</w:t>
      </w:r>
      <w:r w:rsidRPr="000977F7">
        <w:rPr>
          <w:rFonts w:asciiTheme="majorHAnsi" w:hAnsiTheme="majorHAnsi"/>
          <w:spacing w:val="1"/>
          <w:sz w:val="20"/>
          <w:szCs w:val="20"/>
        </w:rPr>
        <w:t xml:space="preserve"> </w:t>
      </w:r>
      <w:r w:rsidRPr="000977F7">
        <w:rPr>
          <w:rFonts w:asciiTheme="majorHAnsi" w:hAnsiTheme="majorHAnsi"/>
          <w:sz w:val="20"/>
          <w:szCs w:val="20"/>
        </w:rPr>
        <w:t>такі:</w:t>
      </w:r>
      <w:r w:rsidRPr="000977F7">
        <w:rPr>
          <w:rFonts w:asciiTheme="majorHAnsi" w:hAnsiTheme="majorHAnsi"/>
          <w:spacing w:val="1"/>
          <w:sz w:val="20"/>
          <w:szCs w:val="20"/>
        </w:rPr>
        <w:t xml:space="preserve"> </w:t>
      </w:r>
      <w:r w:rsidRPr="000977F7">
        <w:rPr>
          <w:rFonts w:asciiTheme="majorHAnsi" w:hAnsiTheme="majorHAnsi"/>
          <w:sz w:val="20"/>
          <w:szCs w:val="20"/>
        </w:rPr>
        <w:t>контракти,</w:t>
      </w:r>
      <w:r w:rsidRPr="000977F7">
        <w:rPr>
          <w:rFonts w:asciiTheme="majorHAnsi" w:hAnsiTheme="majorHAnsi"/>
          <w:spacing w:val="1"/>
          <w:sz w:val="20"/>
          <w:szCs w:val="20"/>
        </w:rPr>
        <w:t xml:space="preserve"> </w:t>
      </w:r>
      <w:r w:rsidRPr="000977F7">
        <w:rPr>
          <w:rFonts w:asciiTheme="majorHAnsi" w:hAnsiTheme="majorHAnsi"/>
          <w:sz w:val="20"/>
          <w:szCs w:val="20"/>
        </w:rPr>
        <w:t>угода,</w:t>
      </w:r>
      <w:r w:rsidRPr="000977F7">
        <w:rPr>
          <w:rFonts w:asciiTheme="majorHAnsi" w:hAnsiTheme="majorHAnsi"/>
          <w:spacing w:val="1"/>
          <w:sz w:val="20"/>
          <w:szCs w:val="20"/>
        </w:rPr>
        <w:t xml:space="preserve"> </w:t>
      </w:r>
      <w:r w:rsidRPr="000977F7">
        <w:rPr>
          <w:rFonts w:asciiTheme="majorHAnsi" w:hAnsiTheme="majorHAnsi"/>
          <w:sz w:val="20"/>
          <w:szCs w:val="20"/>
        </w:rPr>
        <w:t>субпідряд,</w:t>
      </w:r>
      <w:r w:rsidRPr="000977F7">
        <w:rPr>
          <w:rFonts w:asciiTheme="majorHAnsi" w:hAnsiTheme="majorHAnsi"/>
          <w:spacing w:val="1"/>
          <w:sz w:val="20"/>
          <w:szCs w:val="20"/>
        </w:rPr>
        <w:t xml:space="preserve"> </w:t>
      </w:r>
      <w:r w:rsidRPr="000977F7">
        <w:rPr>
          <w:rFonts w:asciiTheme="majorHAnsi" w:hAnsiTheme="majorHAnsi"/>
          <w:sz w:val="20"/>
          <w:szCs w:val="20"/>
        </w:rPr>
        <w:t>порядок</w:t>
      </w:r>
      <w:r w:rsidRPr="000977F7">
        <w:rPr>
          <w:rFonts w:asciiTheme="majorHAnsi" w:hAnsiTheme="majorHAnsi"/>
          <w:spacing w:val="1"/>
          <w:sz w:val="20"/>
          <w:szCs w:val="20"/>
        </w:rPr>
        <w:t xml:space="preserve"> </w:t>
      </w:r>
      <w:r w:rsidRPr="000977F7">
        <w:rPr>
          <w:rFonts w:asciiTheme="majorHAnsi" w:hAnsiTheme="majorHAnsi"/>
          <w:sz w:val="20"/>
          <w:szCs w:val="20"/>
        </w:rPr>
        <w:t>закупівлі,</w:t>
      </w:r>
      <w:r w:rsidRPr="000977F7">
        <w:rPr>
          <w:rFonts w:asciiTheme="majorHAnsi" w:hAnsiTheme="majorHAnsi"/>
          <w:spacing w:val="1"/>
          <w:sz w:val="20"/>
          <w:szCs w:val="20"/>
        </w:rPr>
        <w:t xml:space="preserve"> </w:t>
      </w:r>
      <w:r w:rsidRPr="000977F7">
        <w:rPr>
          <w:rFonts w:asciiTheme="majorHAnsi" w:hAnsiTheme="majorHAnsi"/>
          <w:sz w:val="20"/>
          <w:szCs w:val="20"/>
        </w:rPr>
        <w:t>меморандум</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співпрацю. Більшість</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організацій мають</w:t>
      </w:r>
      <w:r w:rsidRPr="000977F7">
        <w:rPr>
          <w:rFonts w:asciiTheme="majorHAnsi" w:hAnsiTheme="majorHAnsi"/>
          <w:spacing w:val="1"/>
          <w:sz w:val="20"/>
          <w:szCs w:val="20"/>
        </w:rPr>
        <w:t xml:space="preserve"> </w:t>
      </w:r>
      <w:r w:rsidRPr="000977F7">
        <w:rPr>
          <w:rFonts w:asciiTheme="majorHAnsi" w:hAnsiTheme="majorHAnsi"/>
          <w:sz w:val="20"/>
          <w:szCs w:val="20"/>
        </w:rPr>
        <w:t>формальну стратегію та процедури, що визначають, хто</w:t>
      </w:r>
      <w:r w:rsidRPr="000977F7">
        <w:rPr>
          <w:rFonts w:asciiTheme="majorHAnsi" w:hAnsiTheme="majorHAnsi"/>
          <w:spacing w:val="-47"/>
          <w:sz w:val="20"/>
          <w:szCs w:val="20"/>
        </w:rPr>
        <w:t xml:space="preserve"> </w:t>
      </w:r>
      <w:r w:rsidRPr="000977F7">
        <w:rPr>
          <w:rFonts w:asciiTheme="majorHAnsi" w:hAnsiTheme="majorHAnsi"/>
          <w:sz w:val="20"/>
          <w:szCs w:val="20"/>
        </w:rPr>
        <w:t>може</w:t>
      </w:r>
      <w:r w:rsidRPr="000977F7">
        <w:rPr>
          <w:rFonts w:asciiTheme="majorHAnsi" w:hAnsiTheme="majorHAnsi"/>
          <w:spacing w:val="-2"/>
          <w:sz w:val="20"/>
          <w:szCs w:val="20"/>
        </w:rPr>
        <w:t xml:space="preserve"> </w:t>
      </w:r>
      <w:r w:rsidRPr="000977F7">
        <w:rPr>
          <w:rFonts w:asciiTheme="majorHAnsi" w:hAnsiTheme="majorHAnsi"/>
          <w:sz w:val="20"/>
          <w:szCs w:val="20"/>
        </w:rPr>
        <w:t>підписувати</w:t>
      </w:r>
      <w:r w:rsidRPr="000977F7">
        <w:rPr>
          <w:rFonts w:asciiTheme="majorHAnsi" w:hAnsiTheme="majorHAnsi"/>
          <w:spacing w:val="-2"/>
          <w:sz w:val="20"/>
          <w:szCs w:val="20"/>
        </w:rPr>
        <w:t xml:space="preserve"> </w:t>
      </w:r>
      <w:r w:rsidRPr="000977F7">
        <w:rPr>
          <w:rFonts w:asciiTheme="majorHAnsi" w:hAnsiTheme="majorHAnsi"/>
          <w:sz w:val="20"/>
          <w:szCs w:val="20"/>
        </w:rPr>
        <w:t>такі угоди</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боку</w:t>
      </w:r>
      <w:r w:rsidRPr="000977F7">
        <w:rPr>
          <w:rFonts w:asciiTheme="majorHAnsi" w:hAnsiTheme="majorHAnsi"/>
          <w:spacing w:val="-6"/>
          <w:sz w:val="20"/>
          <w:szCs w:val="20"/>
        </w:rPr>
        <w:t xml:space="preserve"> </w:t>
      </w:r>
      <w:r w:rsidRPr="000977F7">
        <w:rPr>
          <w:rFonts w:asciiTheme="majorHAnsi" w:hAnsiTheme="majorHAnsi"/>
          <w:sz w:val="20"/>
          <w:szCs w:val="20"/>
        </w:rPr>
        <w:t>організації.</w:t>
      </w:r>
    </w:p>
    <w:p w14:paraId="14FC1AB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
          <w:sz w:val="20"/>
          <w:szCs w:val="20"/>
        </w:rPr>
        <w:t>Кер.</w:t>
      </w:r>
      <w:r w:rsidRPr="000977F7">
        <w:rPr>
          <w:rFonts w:asciiTheme="majorHAnsi" w:hAnsiTheme="majorHAnsi"/>
          <w:i/>
          <w:spacing w:val="-10"/>
          <w:sz w:val="20"/>
          <w:szCs w:val="20"/>
        </w:rPr>
        <w:t xml:space="preserve"> </w:t>
      </w:r>
      <w:r w:rsidRPr="000977F7">
        <w:rPr>
          <w:rFonts w:asciiTheme="majorHAnsi" w:hAnsiTheme="majorHAnsi"/>
          <w:i/>
          <w:spacing w:val="-1"/>
          <w:sz w:val="20"/>
          <w:szCs w:val="20"/>
        </w:rPr>
        <w:t>проектн.</w:t>
      </w:r>
      <w:r w:rsidRPr="000977F7">
        <w:rPr>
          <w:rFonts w:asciiTheme="majorHAnsi" w:hAnsiTheme="majorHAnsi"/>
          <w:i/>
          <w:spacing w:val="-10"/>
          <w:sz w:val="20"/>
          <w:szCs w:val="20"/>
        </w:rPr>
        <w:t xml:space="preserve"> </w:t>
      </w:r>
      <w:r w:rsidRPr="000977F7">
        <w:rPr>
          <w:rFonts w:asciiTheme="majorHAnsi" w:hAnsiTheme="majorHAnsi"/>
          <w:i/>
          <w:sz w:val="20"/>
          <w:szCs w:val="20"/>
        </w:rPr>
        <w:t>менедж.-ту</w:t>
      </w:r>
    </w:p>
    <w:p w14:paraId="2699362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КОНТАКТНА</w:t>
      </w:r>
      <w:r w:rsidRPr="000977F7">
        <w:rPr>
          <w:color w:val="auto"/>
          <w:spacing w:val="-3"/>
          <w:sz w:val="20"/>
          <w:szCs w:val="20"/>
        </w:rPr>
        <w:t xml:space="preserve"> </w:t>
      </w:r>
      <w:r w:rsidRPr="000977F7">
        <w:rPr>
          <w:color w:val="auto"/>
          <w:sz w:val="20"/>
          <w:szCs w:val="20"/>
        </w:rPr>
        <w:t>ВТОМА</w:t>
      </w:r>
      <w:r w:rsidRPr="000977F7">
        <w:rPr>
          <w:color w:val="auto"/>
          <w:spacing w:val="-1"/>
          <w:sz w:val="20"/>
          <w:szCs w:val="20"/>
        </w:rPr>
        <w:t xml:space="preserve"> </w:t>
      </w:r>
      <w:r w:rsidRPr="000977F7">
        <w:rPr>
          <w:color w:val="auto"/>
          <w:sz w:val="20"/>
          <w:szCs w:val="20"/>
        </w:rPr>
        <w:t>–</w:t>
      </w:r>
    </w:p>
    <w:p w14:paraId="5EBFF41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Процес накопичення пошкоджень і розвивання руйнування поверхневих шарів матеріалу під дією змінних контактних напружень, що спричинює з’явлення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ямок викришування (пітинг) чи тріщин та зменшення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довговічності</w:t>
      </w:r>
    </w:p>
    <w:p w14:paraId="0504532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2444</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11F7B500" w14:textId="77777777" w:rsidR="0097612F" w:rsidRPr="000977F7" w:rsidRDefault="0097612F" w:rsidP="000977F7">
      <w:pPr>
        <w:pStyle w:val="7"/>
        <w:tabs>
          <w:tab w:val="left" w:pos="284"/>
        </w:tabs>
        <w:spacing w:before="0" w:line="240" w:lineRule="auto"/>
        <w:ind w:left="170"/>
        <w:mirrorIndents/>
        <w:jc w:val="both"/>
        <w:rPr>
          <w:color w:val="auto"/>
          <w:spacing w:val="-48"/>
          <w:sz w:val="20"/>
          <w:szCs w:val="20"/>
        </w:rPr>
      </w:pPr>
      <w:r w:rsidRPr="000977F7">
        <w:rPr>
          <w:color w:val="auto"/>
          <w:sz w:val="20"/>
          <w:szCs w:val="20"/>
        </w:rPr>
        <w:lastRenderedPageBreak/>
        <w:t>КОНСТРУКТИВНЕ НАСТУПНИЦТВО</w:t>
      </w:r>
      <w:r w:rsidRPr="000977F7">
        <w:rPr>
          <w:color w:val="auto"/>
          <w:spacing w:val="-48"/>
          <w:sz w:val="20"/>
          <w:szCs w:val="20"/>
        </w:rPr>
        <w:t xml:space="preserve"> </w:t>
      </w:r>
    </w:p>
    <w:p w14:paraId="66E777B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ВИРОБУ –</w:t>
      </w:r>
    </w:p>
    <w:p w14:paraId="58E7D86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Сукупність властивостей виробу, які характеризуються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повторюваністю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ньому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складових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частин,</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стосуються виробу даної класифікаційної групи, застосовуваності таких складових частин, що забезпечують його нове</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функціональне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призначення</w:t>
      </w:r>
    </w:p>
    <w:p w14:paraId="5166DBF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2114AB3"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bookmarkStart w:id="109" w:name="_Hlk103661998"/>
      <w:r w:rsidRPr="000977F7">
        <w:rPr>
          <w:rFonts w:asciiTheme="majorHAnsi" w:hAnsiTheme="majorHAnsi"/>
          <w:b/>
          <w:bCs/>
          <w:iCs/>
          <w:sz w:val="20"/>
          <w:szCs w:val="20"/>
        </w:rPr>
        <w:t>КОНСТРУКТИВНІ ЗАХОДИ ЩОДО БЕЗПЕКИ –</w:t>
      </w:r>
    </w:p>
    <w:p w14:paraId="1C6BA92B"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iCs/>
          <w:sz w:val="20"/>
          <w:szCs w:val="20"/>
        </w:rPr>
        <w:t>INHERENTLY SAFE DESIGN MEASURE -</w:t>
      </w:r>
    </w:p>
    <w:bookmarkEnd w:id="109"/>
    <w:p w14:paraId="69459F1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Захисні заходи, які усувають небезпеки або зменшують ризики, пов’язані з небезпеками, завдяки особливостям конструкції чи робочих характеристик машини без використання огорож або захисних пристроїв.</w:t>
      </w:r>
    </w:p>
    <w:p w14:paraId="2EF48E8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Примітка. Див. 6.2 </w:t>
      </w:r>
    </w:p>
    <w:p w14:paraId="770D40E3"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ДСТУ EN ISO 12100:2016</w:t>
      </w:r>
    </w:p>
    <w:p w14:paraId="527F2ED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КОНСТРУКТОРСЬКА</w:t>
      </w:r>
      <w:r w:rsidRPr="000977F7">
        <w:rPr>
          <w:color w:val="auto"/>
          <w:spacing w:val="-6"/>
          <w:sz w:val="20"/>
          <w:szCs w:val="20"/>
        </w:rPr>
        <w:t xml:space="preserve"> </w:t>
      </w:r>
      <w:r w:rsidRPr="000977F7">
        <w:rPr>
          <w:color w:val="auto"/>
          <w:sz w:val="20"/>
          <w:szCs w:val="20"/>
        </w:rPr>
        <w:t>ДОКУМЕНТАЦІЯ</w:t>
      </w:r>
      <w:r w:rsidRPr="000977F7">
        <w:rPr>
          <w:color w:val="auto"/>
          <w:spacing w:val="-3"/>
          <w:sz w:val="20"/>
          <w:szCs w:val="20"/>
        </w:rPr>
        <w:t xml:space="preserve"> </w:t>
      </w:r>
      <w:r w:rsidRPr="000977F7">
        <w:rPr>
          <w:color w:val="auto"/>
          <w:sz w:val="20"/>
          <w:szCs w:val="20"/>
        </w:rPr>
        <w:t>–</w:t>
      </w:r>
    </w:p>
    <w:p w14:paraId="7435AB6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конструкторських документів, що містять</w:t>
      </w:r>
      <w:r w:rsidRPr="000977F7">
        <w:rPr>
          <w:rFonts w:asciiTheme="majorHAnsi" w:hAnsiTheme="majorHAnsi"/>
          <w:spacing w:val="1"/>
          <w:sz w:val="20"/>
          <w:szCs w:val="20"/>
        </w:rPr>
        <w:t xml:space="preserve"> </w:t>
      </w:r>
      <w:r w:rsidRPr="000977F7">
        <w:rPr>
          <w:rFonts w:asciiTheme="majorHAnsi" w:hAnsiTheme="majorHAnsi"/>
          <w:sz w:val="20"/>
          <w:szCs w:val="20"/>
        </w:rPr>
        <w:t>залежно від їх призначення дані, необхідні для розроблення, виготовлення, контролю, приймання, постачання,</w:t>
      </w:r>
      <w:r w:rsidRPr="000977F7">
        <w:rPr>
          <w:rFonts w:asciiTheme="majorHAnsi" w:hAnsiTheme="majorHAnsi"/>
          <w:spacing w:val="-2"/>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2"/>
          <w:sz w:val="20"/>
          <w:szCs w:val="20"/>
        </w:rPr>
        <w:t xml:space="preserve"> </w:t>
      </w:r>
      <w:r w:rsidRPr="000977F7">
        <w:rPr>
          <w:rFonts w:asciiTheme="majorHAnsi" w:hAnsiTheme="majorHAnsi"/>
          <w:sz w:val="20"/>
          <w:szCs w:val="20"/>
        </w:rPr>
        <w:t>виробу,</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тому</w:t>
      </w:r>
      <w:r w:rsidRPr="000977F7">
        <w:rPr>
          <w:rFonts w:asciiTheme="majorHAnsi" w:hAnsiTheme="majorHAnsi"/>
          <w:spacing w:val="-5"/>
          <w:sz w:val="20"/>
          <w:szCs w:val="20"/>
        </w:rPr>
        <w:t xml:space="preserve"> </w:t>
      </w:r>
      <w:r w:rsidRPr="000977F7">
        <w:rPr>
          <w:rFonts w:asciiTheme="majorHAnsi" w:hAnsiTheme="majorHAnsi"/>
          <w:sz w:val="20"/>
          <w:szCs w:val="20"/>
        </w:rPr>
        <w:t>числі</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p>
    <w:p w14:paraId="49FE57F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 xml:space="preserve">3321 </w:t>
      </w:r>
      <w:r w:rsidRPr="000977F7">
        <w:rPr>
          <w:rFonts w:asciiTheme="majorHAnsi" w:hAnsiTheme="majorHAnsi"/>
          <w:b/>
          <w:i/>
          <w:sz w:val="20"/>
          <w:szCs w:val="20"/>
        </w:rPr>
        <w:t xml:space="preserve">– </w:t>
      </w:r>
      <w:r w:rsidRPr="000977F7">
        <w:rPr>
          <w:rFonts w:asciiTheme="majorHAnsi" w:hAnsiTheme="majorHAnsi"/>
          <w:sz w:val="20"/>
          <w:szCs w:val="20"/>
        </w:rPr>
        <w:t>2003</w:t>
      </w:r>
      <w:r w:rsidRPr="000977F7">
        <w:rPr>
          <w:rFonts w:asciiTheme="majorHAnsi" w:hAnsiTheme="majorHAnsi"/>
          <w:b/>
          <w:i/>
          <w:sz w:val="20"/>
          <w:szCs w:val="20"/>
        </w:rPr>
        <w:t>;</w:t>
      </w:r>
      <w:r w:rsidRPr="000977F7">
        <w:rPr>
          <w:rFonts w:asciiTheme="majorHAnsi" w:hAnsiTheme="majorHAnsi"/>
          <w:b/>
          <w:i/>
          <w:spacing w:val="-5"/>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3"/>
          <w:sz w:val="20"/>
          <w:szCs w:val="20"/>
        </w:rPr>
        <w:t xml:space="preserve"> </w:t>
      </w:r>
      <w:r w:rsidRPr="000977F7">
        <w:rPr>
          <w:rFonts w:asciiTheme="majorHAnsi" w:hAnsiTheme="majorHAnsi"/>
          <w:i/>
          <w:sz w:val="20"/>
          <w:szCs w:val="20"/>
        </w:rPr>
        <w:t>95</w:t>
      </w:r>
    </w:p>
    <w:p w14:paraId="3D81001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КОНСТРУКТОРСЬКА ДОКУМЕНТАЦІЯ </w:t>
      </w:r>
    </w:p>
    <w:p w14:paraId="18ED1AA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ДОСЛІДНОГО ЗРАЗКА –</w:t>
      </w:r>
    </w:p>
    <w:p w14:paraId="5B24E15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Робоча</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конструкторська</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документація,</w:t>
      </w:r>
      <w:r w:rsidRPr="000977F7">
        <w:rPr>
          <w:rFonts w:asciiTheme="majorHAnsi" w:hAnsiTheme="majorHAnsi"/>
          <w:spacing w:val="1"/>
          <w:sz w:val="20"/>
          <w:szCs w:val="20"/>
        </w:rPr>
        <w:t xml:space="preserve"> </w:t>
      </w:r>
      <w:r w:rsidRPr="000977F7">
        <w:rPr>
          <w:rFonts w:asciiTheme="majorHAnsi" w:hAnsiTheme="majorHAnsi"/>
          <w:sz w:val="20"/>
          <w:szCs w:val="20"/>
        </w:rPr>
        <w:t>уточнена</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результатами 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та випробувань дослідних зразків (дослідної партії) і призначена для 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установчої</w:t>
      </w:r>
      <w:r w:rsidRPr="000977F7">
        <w:rPr>
          <w:rFonts w:asciiTheme="majorHAnsi" w:hAnsiTheme="majorHAnsi"/>
          <w:spacing w:val="-1"/>
          <w:sz w:val="20"/>
          <w:szCs w:val="20"/>
        </w:rPr>
        <w:t xml:space="preserve"> </w:t>
      </w:r>
      <w:r w:rsidRPr="000977F7">
        <w:rPr>
          <w:rFonts w:asciiTheme="majorHAnsi" w:hAnsiTheme="majorHAnsi"/>
          <w:sz w:val="20"/>
          <w:szCs w:val="20"/>
        </w:rPr>
        <w:t>серії</w:t>
      </w:r>
    </w:p>
    <w:p w14:paraId="30E4E06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5781B28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КОНСТРУКТОРСЬКА ДОКУМЕНТАЦІЯ </w:t>
      </w:r>
    </w:p>
    <w:p w14:paraId="25AB8A9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ДОС</w:t>
      </w:r>
      <w:r w:rsidRPr="000977F7">
        <w:rPr>
          <w:color w:val="auto"/>
          <w:spacing w:val="-47"/>
          <w:sz w:val="20"/>
          <w:szCs w:val="20"/>
        </w:rPr>
        <w:t xml:space="preserve"> </w:t>
      </w:r>
      <w:r w:rsidRPr="000977F7">
        <w:rPr>
          <w:color w:val="auto"/>
          <w:sz w:val="20"/>
          <w:szCs w:val="20"/>
        </w:rPr>
        <w:t>ЛІДНОГО РЕМОНТУ</w:t>
      </w:r>
      <w:r w:rsidRPr="000977F7">
        <w:rPr>
          <w:color w:val="auto"/>
          <w:spacing w:val="1"/>
          <w:sz w:val="20"/>
          <w:szCs w:val="20"/>
        </w:rPr>
        <w:t xml:space="preserve"> </w:t>
      </w:r>
      <w:r w:rsidRPr="000977F7">
        <w:rPr>
          <w:color w:val="auto"/>
          <w:sz w:val="20"/>
          <w:szCs w:val="20"/>
        </w:rPr>
        <w:t>–</w:t>
      </w:r>
    </w:p>
    <w:p w14:paraId="40F1762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Ремонтна конструкторська документація, уточнена за</w:t>
      </w:r>
      <w:r w:rsidRPr="000977F7">
        <w:rPr>
          <w:rFonts w:asciiTheme="majorHAnsi" w:hAnsiTheme="majorHAnsi"/>
          <w:spacing w:val="1"/>
          <w:sz w:val="20"/>
          <w:szCs w:val="20"/>
        </w:rPr>
        <w:t xml:space="preserve"> </w:t>
      </w:r>
      <w:r w:rsidRPr="000977F7">
        <w:rPr>
          <w:rFonts w:asciiTheme="majorHAnsi" w:hAnsiTheme="majorHAnsi"/>
          <w:sz w:val="20"/>
          <w:szCs w:val="20"/>
        </w:rPr>
        <w:t>результатами</w:t>
      </w:r>
      <w:r w:rsidRPr="000977F7">
        <w:rPr>
          <w:rFonts w:asciiTheme="majorHAnsi" w:hAnsiTheme="majorHAnsi"/>
          <w:spacing w:val="1"/>
          <w:sz w:val="20"/>
          <w:szCs w:val="20"/>
        </w:rPr>
        <w:t xml:space="preserve"> </w:t>
      </w:r>
      <w:r w:rsidRPr="000977F7">
        <w:rPr>
          <w:rFonts w:asciiTheme="majorHAnsi" w:hAnsiTheme="majorHAnsi"/>
          <w:sz w:val="20"/>
          <w:szCs w:val="20"/>
        </w:rPr>
        <w:t>дослідного</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наступних</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1"/>
          <w:sz w:val="20"/>
          <w:szCs w:val="20"/>
        </w:rPr>
        <w:t xml:space="preserve"> </w:t>
      </w:r>
      <w:r w:rsidRPr="000977F7">
        <w:rPr>
          <w:rFonts w:asciiTheme="majorHAnsi" w:hAnsiTheme="majorHAnsi"/>
          <w:sz w:val="20"/>
          <w:szCs w:val="20"/>
        </w:rPr>
        <w:t>одного чи</w:t>
      </w:r>
      <w:r w:rsidRPr="000977F7">
        <w:rPr>
          <w:rFonts w:asciiTheme="majorHAnsi" w:hAnsiTheme="majorHAnsi"/>
          <w:spacing w:val="1"/>
          <w:sz w:val="20"/>
          <w:szCs w:val="20"/>
        </w:rPr>
        <w:t xml:space="preserve"> </w:t>
      </w:r>
      <w:r w:rsidRPr="000977F7">
        <w:rPr>
          <w:rFonts w:asciiTheme="majorHAnsi" w:hAnsiTheme="majorHAnsi"/>
          <w:sz w:val="20"/>
          <w:szCs w:val="20"/>
        </w:rPr>
        <w:t>декількох</w:t>
      </w:r>
      <w:r w:rsidRPr="000977F7">
        <w:rPr>
          <w:rFonts w:asciiTheme="majorHAnsi" w:hAnsiTheme="majorHAnsi"/>
          <w:spacing w:val="-2"/>
          <w:sz w:val="20"/>
          <w:szCs w:val="20"/>
        </w:rPr>
        <w:t xml:space="preserve"> </w:t>
      </w:r>
      <w:r w:rsidRPr="000977F7">
        <w:rPr>
          <w:rFonts w:asciiTheme="majorHAnsi" w:hAnsiTheme="majorHAnsi"/>
          <w:sz w:val="20"/>
          <w:szCs w:val="20"/>
        </w:rPr>
        <w:t>виробів</w:t>
      </w:r>
    </w:p>
    <w:p w14:paraId="0A4DF30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6B715D5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КОНСТРУКТОРСЬКА ДОКУМЕНТАЦІЯ </w:t>
      </w:r>
    </w:p>
    <w:p w14:paraId="7716878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ОДИ</w:t>
      </w:r>
      <w:r w:rsidRPr="000977F7">
        <w:rPr>
          <w:color w:val="auto"/>
          <w:spacing w:val="-47"/>
          <w:sz w:val="20"/>
          <w:szCs w:val="20"/>
        </w:rPr>
        <w:t xml:space="preserve"> </w:t>
      </w:r>
      <w:r w:rsidRPr="000977F7">
        <w:rPr>
          <w:color w:val="auto"/>
          <w:sz w:val="20"/>
          <w:szCs w:val="20"/>
        </w:rPr>
        <w:t>НИЧНОГО ВИРОБНИЦТВА</w:t>
      </w:r>
      <w:r w:rsidRPr="000977F7">
        <w:rPr>
          <w:color w:val="auto"/>
          <w:spacing w:val="3"/>
          <w:sz w:val="20"/>
          <w:szCs w:val="20"/>
        </w:rPr>
        <w:t xml:space="preserve"> </w:t>
      </w:r>
      <w:r w:rsidRPr="000977F7">
        <w:rPr>
          <w:color w:val="auto"/>
          <w:sz w:val="20"/>
          <w:szCs w:val="20"/>
        </w:rPr>
        <w:t>–</w:t>
      </w:r>
    </w:p>
    <w:p w14:paraId="365942F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Виробнича конструкторська документація, призначена для використання під час виготовлення, контролю</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виробів,</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виготовляють</w:t>
      </w:r>
      <w:r w:rsidRPr="000977F7">
        <w:rPr>
          <w:rFonts w:asciiTheme="majorHAnsi" w:hAnsiTheme="majorHAnsi"/>
          <w:spacing w:val="1"/>
          <w:sz w:val="20"/>
          <w:szCs w:val="20"/>
        </w:rPr>
        <w:t xml:space="preserve"> </w:t>
      </w:r>
      <w:r w:rsidRPr="000977F7">
        <w:rPr>
          <w:rFonts w:asciiTheme="majorHAnsi" w:hAnsiTheme="majorHAnsi"/>
          <w:sz w:val="20"/>
          <w:szCs w:val="20"/>
        </w:rPr>
        <w:t>поштучно одночасно чи</w:t>
      </w:r>
      <w:r w:rsidRPr="000977F7">
        <w:rPr>
          <w:rFonts w:asciiTheme="majorHAnsi" w:hAnsiTheme="majorHAnsi"/>
          <w:spacing w:val="1"/>
          <w:sz w:val="20"/>
          <w:szCs w:val="20"/>
        </w:rPr>
        <w:t xml:space="preserve"> </w:t>
      </w:r>
      <w:r w:rsidRPr="000977F7">
        <w:rPr>
          <w:rFonts w:asciiTheme="majorHAnsi" w:hAnsiTheme="majorHAnsi"/>
          <w:sz w:val="20"/>
          <w:szCs w:val="20"/>
        </w:rPr>
        <w:t>періодично</w:t>
      </w:r>
    </w:p>
    <w:p w14:paraId="196BF01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5CE6E98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КОНСТРУКТОРСЬКА ДОКУМЕНТАЦІЯ </w:t>
      </w:r>
    </w:p>
    <w:p w14:paraId="21993F2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ОДИ</w:t>
      </w:r>
      <w:r w:rsidRPr="000977F7">
        <w:rPr>
          <w:color w:val="auto"/>
          <w:spacing w:val="-47"/>
          <w:sz w:val="20"/>
          <w:szCs w:val="20"/>
        </w:rPr>
        <w:t xml:space="preserve"> </w:t>
      </w:r>
      <w:r w:rsidRPr="000977F7">
        <w:rPr>
          <w:color w:val="auto"/>
          <w:sz w:val="20"/>
          <w:szCs w:val="20"/>
        </w:rPr>
        <w:t>НИЧНОГО РЕМОНТНОГО</w:t>
      </w:r>
    </w:p>
    <w:p w14:paraId="0F18789D"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ВИРОБНИЦТВА</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38D7D0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Ремонтна конструкторська документація, призначена</w:t>
      </w:r>
      <w:r w:rsidRPr="000977F7">
        <w:rPr>
          <w:rFonts w:asciiTheme="majorHAnsi" w:hAnsiTheme="majorHAnsi"/>
          <w:spacing w:val="1"/>
          <w:sz w:val="20"/>
          <w:szCs w:val="20"/>
        </w:rPr>
        <w:t xml:space="preserve"> </w:t>
      </w:r>
      <w:r w:rsidRPr="000977F7">
        <w:rPr>
          <w:rFonts w:asciiTheme="majorHAnsi" w:hAnsiTheme="majorHAnsi"/>
          <w:sz w:val="20"/>
          <w:szCs w:val="20"/>
        </w:rPr>
        <w:t>для використання під час разового ремонту одного чи</w:t>
      </w:r>
      <w:r w:rsidRPr="000977F7">
        <w:rPr>
          <w:rFonts w:asciiTheme="majorHAnsi" w:hAnsiTheme="majorHAnsi"/>
          <w:spacing w:val="1"/>
          <w:sz w:val="20"/>
          <w:szCs w:val="20"/>
        </w:rPr>
        <w:t xml:space="preserve"> </w:t>
      </w:r>
      <w:r w:rsidRPr="000977F7">
        <w:rPr>
          <w:rFonts w:asciiTheme="majorHAnsi" w:hAnsiTheme="majorHAnsi"/>
          <w:sz w:val="20"/>
          <w:szCs w:val="20"/>
        </w:rPr>
        <w:t>декількох виробів</w:t>
      </w:r>
    </w:p>
    <w:p w14:paraId="4A6340E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 xml:space="preserve">3321 – </w:t>
      </w:r>
      <w:r w:rsidRPr="000977F7">
        <w:rPr>
          <w:rFonts w:asciiTheme="majorHAnsi" w:hAnsiTheme="majorHAnsi"/>
          <w:sz w:val="20"/>
          <w:szCs w:val="20"/>
        </w:rPr>
        <w:t>2003</w:t>
      </w:r>
    </w:p>
    <w:p w14:paraId="5CBCF7CA" w14:textId="77777777" w:rsidR="0097612F" w:rsidRPr="000977F7" w:rsidRDefault="0097612F" w:rsidP="000977F7">
      <w:pPr>
        <w:pStyle w:val="7"/>
        <w:tabs>
          <w:tab w:val="left" w:pos="284"/>
        </w:tabs>
        <w:spacing w:before="0" w:line="240" w:lineRule="auto"/>
        <w:ind w:left="170"/>
        <w:mirrorIndents/>
        <w:jc w:val="both"/>
        <w:rPr>
          <w:color w:val="auto"/>
          <w:spacing w:val="-8"/>
          <w:sz w:val="20"/>
          <w:szCs w:val="20"/>
        </w:rPr>
      </w:pPr>
      <w:r w:rsidRPr="000977F7">
        <w:rPr>
          <w:color w:val="auto"/>
          <w:sz w:val="20"/>
          <w:szCs w:val="20"/>
        </w:rPr>
        <w:t>КОНСТРУКТОРСЬКА</w:t>
      </w:r>
      <w:r w:rsidRPr="000977F7">
        <w:rPr>
          <w:color w:val="auto"/>
          <w:spacing w:val="-8"/>
          <w:sz w:val="20"/>
          <w:szCs w:val="20"/>
        </w:rPr>
        <w:t xml:space="preserve"> </w:t>
      </w:r>
      <w:r w:rsidRPr="000977F7">
        <w:rPr>
          <w:color w:val="auto"/>
          <w:sz w:val="20"/>
          <w:szCs w:val="20"/>
        </w:rPr>
        <w:t>ДОКУМЕНТАЦІЯ</w:t>
      </w:r>
      <w:r w:rsidRPr="000977F7">
        <w:rPr>
          <w:color w:val="auto"/>
          <w:spacing w:val="-8"/>
          <w:sz w:val="20"/>
          <w:szCs w:val="20"/>
        </w:rPr>
        <w:t xml:space="preserve"> </w:t>
      </w:r>
    </w:p>
    <w:p w14:paraId="587AEA7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w:t>
      </w:r>
      <w:r w:rsidRPr="000977F7">
        <w:rPr>
          <w:color w:val="auto"/>
          <w:spacing w:val="-47"/>
          <w:sz w:val="20"/>
          <w:szCs w:val="20"/>
        </w:rPr>
        <w:t xml:space="preserve"> </w:t>
      </w:r>
      <w:r w:rsidRPr="000977F7">
        <w:rPr>
          <w:color w:val="auto"/>
          <w:sz w:val="20"/>
          <w:szCs w:val="20"/>
        </w:rPr>
        <w:t>РІЙНОГО</w:t>
      </w:r>
      <w:r w:rsidRPr="000977F7">
        <w:rPr>
          <w:color w:val="auto"/>
          <w:spacing w:val="-2"/>
          <w:sz w:val="20"/>
          <w:szCs w:val="20"/>
        </w:rPr>
        <w:t xml:space="preserve"> </w:t>
      </w:r>
      <w:r w:rsidRPr="000977F7">
        <w:rPr>
          <w:color w:val="auto"/>
          <w:sz w:val="20"/>
          <w:szCs w:val="20"/>
        </w:rPr>
        <w:t>(МАСОВОГО)</w:t>
      </w:r>
      <w:r w:rsidRPr="000977F7">
        <w:rPr>
          <w:color w:val="auto"/>
          <w:spacing w:val="-4"/>
          <w:sz w:val="20"/>
          <w:szCs w:val="20"/>
        </w:rPr>
        <w:t xml:space="preserve"> </w:t>
      </w:r>
      <w:r w:rsidRPr="000977F7">
        <w:rPr>
          <w:color w:val="auto"/>
          <w:sz w:val="20"/>
          <w:szCs w:val="20"/>
        </w:rPr>
        <w:t>ВИРОБНИЦТВА–</w:t>
      </w:r>
    </w:p>
    <w:p w14:paraId="7E82525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Конструкторська документація, яка остаточно відкоригована за результатами виготовлення і випробувань</w:t>
      </w:r>
      <w:r w:rsidRPr="000977F7">
        <w:rPr>
          <w:rFonts w:asciiTheme="majorHAnsi" w:hAnsiTheme="majorHAnsi"/>
          <w:spacing w:val="-47"/>
          <w:sz w:val="20"/>
          <w:szCs w:val="20"/>
        </w:rPr>
        <w:t xml:space="preserve"> </w:t>
      </w:r>
      <w:r w:rsidRPr="000977F7">
        <w:rPr>
          <w:rFonts w:asciiTheme="majorHAnsi" w:hAnsiTheme="majorHAnsi"/>
          <w:sz w:val="20"/>
          <w:szCs w:val="20"/>
        </w:rPr>
        <w:t>виробів установочної серії згідно із затвердженим і</w:t>
      </w:r>
      <w:r w:rsidRPr="000977F7">
        <w:rPr>
          <w:rFonts w:asciiTheme="majorHAnsi" w:hAnsiTheme="majorHAnsi"/>
          <w:spacing w:val="1"/>
          <w:sz w:val="20"/>
          <w:szCs w:val="20"/>
        </w:rPr>
        <w:t xml:space="preserve"> </w:t>
      </w:r>
      <w:r w:rsidRPr="000977F7">
        <w:rPr>
          <w:rFonts w:asciiTheme="majorHAnsi" w:hAnsiTheme="majorHAnsi"/>
          <w:sz w:val="20"/>
          <w:szCs w:val="20"/>
        </w:rPr>
        <w:t>повністю обладнаним технологічним процесом серійного (масового) виробництва</w:t>
      </w:r>
    </w:p>
    <w:p w14:paraId="689CBAE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xml:space="preserve">– </w:t>
      </w:r>
      <w:r w:rsidRPr="000977F7">
        <w:rPr>
          <w:rFonts w:asciiTheme="majorHAnsi" w:hAnsiTheme="majorHAnsi"/>
          <w:sz w:val="20"/>
          <w:szCs w:val="20"/>
        </w:rPr>
        <w:t>2003</w:t>
      </w:r>
    </w:p>
    <w:p w14:paraId="5FBB02D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КОНСТРУКТОРСЬКА ДОКУМЕНТАЦІЯ </w:t>
      </w:r>
    </w:p>
    <w:p w14:paraId="2469B50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СЕРІЙНОГО (МАСОВОГО) РЕМОНТНОГО </w:t>
      </w:r>
    </w:p>
    <w:p w14:paraId="0653624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w:t>
      </w:r>
      <w:r w:rsidRPr="000977F7">
        <w:rPr>
          <w:color w:val="auto"/>
          <w:spacing w:val="-47"/>
          <w:sz w:val="20"/>
          <w:szCs w:val="20"/>
        </w:rPr>
        <w:t xml:space="preserve"> </w:t>
      </w:r>
      <w:r w:rsidRPr="000977F7">
        <w:rPr>
          <w:color w:val="auto"/>
          <w:sz w:val="20"/>
          <w:szCs w:val="20"/>
        </w:rPr>
        <w:t>БНИЦТВА –</w:t>
      </w:r>
    </w:p>
    <w:p w14:paraId="47ED29B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Ремонтна</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конструкторська</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документація,</w:t>
      </w:r>
      <w:r w:rsidRPr="000977F7">
        <w:rPr>
          <w:rFonts w:asciiTheme="majorHAnsi" w:hAnsiTheme="majorHAnsi"/>
          <w:spacing w:val="1"/>
          <w:sz w:val="20"/>
          <w:szCs w:val="20"/>
        </w:rPr>
        <w:t xml:space="preserve"> </w:t>
      </w:r>
      <w:r w:rsidRPr="000977F7">
        <w:rPr>
          <w:rFonts w:asciiTheme="majorHAnsi" w:hAnsiTheme="majorHAnsi"/>
          <w:sz w:val="20"/>
          <w:szCs w:val="20"/>
        </w:rPr>
        <w:t>остаточно</w:t>
      </w:r>
      <w:r w:rsidRPr="000977F7">
        <w:rPr>
          <w:rFonts w:asciiTheme="majorHAnsi" w:hAnsiTheme="majorHAnsi"/>
          <w:spacing w:val="1"/>
          <w:sz w:val="20"/>
          <w:szCs w:val="20"/>
        </w:rPr>
        <w:t xml:space="preserve"> </w:t>
      </w:r>
      <w:r w:rsidRPr="000977F7">
        <w:rPr>
          <w:rFonts w:asciiTheme="majorHAnsi" w:hAnsiTheme="majorHAnsi"/>
          <w:sz w:val="20"/>
          <w:szCs w:val="20"/>
        </w:rPr>
        <w:t>відкоригована</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перевірена</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серійному</w:t>
      </w:r>
      <w:r w:rsidRPr="000977F7">
        <w:rPr>
          <w:rFonts w:asciiTheme="majorHAnsi" w:hAnsiTheme="majorHAnsi"/>
          <w:spacing w:val="1"/>
          <w:sz w:val="20"/>
          <w:szCs w:val="20"/>
        </w:rPr>
        <w:t xml:space="preserve"> </w:t>
      </w:r>
      <w:r w:rsidRPr="000977F7">
        <w:rPr>
          <w:rFonts w:asciiTheme="majorHAnsi" w:hAnsiTheme="majorHAnsi"/>
          <w:sz w:val="20"/>
          <w:szCs w:val="20"/>
        </w:rPr>
        <w:t>(масовому)</w:t>
      </w:r>
      <w:r w:rsidRPr="000977F7">
        <w:rPr>
          <w:rFonts w:asciiTheme="majorHAnsi" w:hAnsiTheme="majorHAnsi"/>
          <w:spacing w:val="1"/>
          <w:sz w:val="20"/>
          <w:szCs w:val="20"/>
        </w:rPr>
        <w:t xml:space="preserve"> </w:t>
      </w:r>
      <w:r w:rsidRPr="000977F7">
        <w:rPr>
          <w:rFonts w:asciiTheme="majorHAnsi" w:hAnsiTheme="majorHAnsi"/>
          <w:sz w:val="20"/>
          <w:szCs w:val="20"/>
        </w:rPr>
        <w:t>ремонті за затвердженим і повністю оснащеним технологічним процесом</w:t>
      </w:r>
    </w:p>
    <w:p w14:paraId="7066EE2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xml:space="preserve">– </w:t>
      </w:r>
      <w:r w:rsidRPr="000977F7">
        <w:rPr>
          <w:rFonts w:asciiTheme="majorHAnsi" w:hAnsiTheme="majorHAnsi"/>
          <w:sz w:val="20"/>
          <w:szCs w:val="20"/>
        </w:rPr>
        <w:t>2003</w:t>
      </w:r>
    </w:p>
    <w:p w14:paraId="37CA6A3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КОНСТРУКТОРСЬКА ДОКУМЕНТАЦІЯ </w:t>
      </w:r>
    </w:p>
    <w:p w14:paraId="6B598E21"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УСТА</w:t>
      </w:r>
      <w:r w:rsidRPr="000977F7">
        <w:rPr>
          <w:color w:val="auto"/>
          <w:spacing w:val="-47"/>
          <w:sz w:val="20"/>
          <w:szCs w:val="20"/>
        </w:rPr>
        <w:t xml:space="preserve"> </w:t>
      </w:r>
      <w:r w:rsidRPr="000977F7">
        <w:rPr>
          <w:color w:val="auto"/>
          <w:sz w:val="20"/>
          <w:szCs w:val="20"/>
        </w:rPr>
        <w:t>НОВЧОЇ</w:t>
      </w:r>
      <w:r w:rsidRPr="000977F7">
        <w:rPr>
          <w:color w:val="auto"/>
          <w:spacing w:val="-2"/>
          <w:sz w:val="20"/>
          <w:szCs w:val="20"/>
        </w:rPr>
        <w:t xml:space="preserve"> </w:t>
      </w:r>
      <w:r w:rsidRPr="000977F7">
        <w:rPr>
          <w:color w:val="auto"/>
          <w:sz w:val="20"/>
          <w:szCs w:val="20"/>
        </w:rPr>
        <w:t>РЕМОНТНОЇ</w:t>
      </w:r>
      <w:r w:rsidRPr="000977F7">
        <w:rPr>
          <w:color w:val="auto"/>
          <w:spacing w:val="-1"/>
          <w:sz w:val="20"/>
          <w:szCs w:val="20"/>
        </w:rPr>
        <w:t xml:space="preserve"> </w:t>
      </w:r>
      <w:r w:rsidRPr="000977F7">
        <w:rPr>
          <w:color w:val="auto"/>
          <w:sz w:val="20"/>
          <w:szCs w:val="20"/>
        </w:rPr>
        <w:t>СЕРІЇ</w:t>
      </w:r>
      <w:r w:rsidRPr="000977F7">
        <w:rPr>
          <w:color w:val="auto"/>
          <w:spacing w:val="1"/>
          <w:sz w:val="20"/>
          <w:szCs w:val="20"/>
        </w:rPr>
        <w:t xml:space="preserve"> </w:t>
      </w:r>
      <w:r w:rsidRPr="000977F7">
        <w:rPr>
          <w:b w:val="0"/>
          <w:color w:val="auto"/>
          <w:sz w:val="20"/>
          <w:szCs w:val="20"/>
        </w:rPr>
        <w:t>–</w:t>
      </w:r>
    </w:p>
    <w:p w14:paraId="65AE73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Ремонтна конструкторська документація відкоригована на підставі документів дослідного ремонту, за результатами</w:t>
      </w:r>
      <w:r w:rsidRPr="000977F7">
        <w:rPr>
          <w:rFonts w:asciiTheme="majorHAnsi" w:hAnsiTheme="majorHAnsi"/>
          <w:spacing w:val="1"/>
          <w:sz w:val="20"/>
          <w:szCs w:val="20"/>
        </w:rPr>
        <w:t xml:space="preserve"> </w:t>
      </w:r>
      <w:r w:rsidRPr="000977F7">
        <w:rPr>
          <w:rFonts w:asciiTheme="majorHAnsi" w:hAnsiTheme="majorHAnsi"/>
          <w:sz w:val="20"/>
          <w:szCs w:val="20"/>
        </w:rPr>
        <w:t>ремонту і</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1"/>
          <w:sz w:val="20"/>
          <w:szCs w:val="20"/>
        </w:rPr>
        <w:t xml:space="preserve"> </w:t>
      </w:r>
      <w:r w:rsidRPr="000977F7">
        <w:rPr>
          <w:rFonts w:asciiTheme="majorHAnsi" w:hAnsiTheme="majorHAnsi"/>
          <w:sz w:val="20"/>
          <w:szCs w:val="20"/>
        </w:rPr>
        <w:t>певної</w:t>
      </w:r>
      <w:r w:rsidRPr="000977F7">
        <w:rPr>
          <w:rFonts w:asciiTheme="majorHAnsi" w:hAnsiTheme="majorHAnsi"/>
          <w:spacing w:val="1"/>
          <w:sz w:val="20"/>
          <w:szCs w:val="20"/>
        </w:rPr>
        <w:t xml:space="preserve"> </w:t>
      </w:r>
      <w:r w:rsidRPr="000977F7">
        <w:rPr>
          <w:rFonts w:asciiTheme="majorHAnsi" w:hAnsiTheme="majorHAnsi"/>
          <w:sz w:val="20"/>
          <w:szCs w:val="20"/>
        </w:rPr>
        <w:t>партії</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установчої</w:t>
      </w:r>
      <w:r w:rsidRPr="000977F7">
        <w:rPr>
          <w:rFonts w:asciiTheme="majorHAnsi" w:hAnsiTheme="majorHAnsi"/>
          <w:spacing w:val="1"/>
          <w:sz w:val="20"/>
          <w:szCs w:val="20"/>
        </w:rPr>
        <w:t xml:space="preserve"> </w:t>
      </w:r>
      <w:r w:rsidRPr="000977F7">
        <w:rPr>
          <w:rFonts w:asciiTheme="majorHAnsi" w:hAnsiTheme="majorHAnsi"/>
          <w:sz w:val="20"/>
          <w:szCs w:val="20"/>
        </w:rPr>
        <w:t>серії</w:t>
      </w:r>
      <w:r w:rsidRPr="000977F7">
        <w:rPr>
          <w:rFonts w:asciiTheme="majorHAnsi" w:hAnsiTheme="majorHAnsi"/>
          <w:spacing w:val="1"/>
          <w:sz w:val="20"/>
          <w:szCs w:val="20"/>
        </w:rPr>
        <w:t xml:space="preserve"> </w:t>
      </w:r>
      <w:r w:rsidRPr="000977F7">
        <w:rPr>
          <w:rFonts w:asciiTheme="majorHAnsi" w:hAnsiTheme="majorHAnsi"/>
          <w:sz w:val="20"/>
          <w:szCs w:val="20"/>
        </w:rPr>
        <w:t>виробів</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призначена</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r w:rsidRPr="000977F7">
        <w:rPr>
          <w:rFonts w:asciiTheme="majorHAnsi" w:hAnsiTheme="majorHAnsi"/>
          <w:spacing w:val="1"/>
          <w:sz w:val="20"/>
          <w:szCs w:val="20"/>
        </w:rPr>
        <w:t xml:space="preserve"> </w:t>
      </w:r>
      <w:r w:rsidRPr="000977F7">
        <w:rPr>
          <w:rFonts w:asciiTheme="majorHAnsi" w:hAnsiTheme="majorHAnsi"/>
          <w:sz w:val="20"/>
          <w:szCs w:val="20"/>
        </w:rPr>
        <w:t>подальших партій виробів або для організацій серійного чи</w:t>
      </w:r>
      <w:r w:rsidRPr="000977F7">
        <w:rPr>
          <w:rFonts w:asciiTheme="majorHAnsi" w:hAnsiTheme="majorHAnsi"/>
          <w:spacing w:val="-1"/>
          <w:sz w:val="20"/>
          <w:szCs w:val="20"/>
        </w:rPr>
        <w:t xml:space="preserve"> </w:t>
      </w:r>
      <w:r w:rsidRPr="000977F7">
        <w:rPr>
          <w:rFonts w:asciiTheme="majorHAnsi" w:hAnsiTheme="majorHAnsi"/>
          <w:sz w:val="20"/>
          <w:szCs w:val="20"/>
        </w:rPr>
        <w:t>масового</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p>
    <w:p w14:paraId="7083D5F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3321 - 2003</w:t>
      </w:r>
    </w:p>
    <w:p w14:paraId="0CB42CD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КОНСТРУКТОРСЬКИЙ</w:t>
      </w:r>
      <w:r w:rsidRPr="000977F7">
        <w:rPr>
          <w:color w:val="auto"/>
          <w:spacing w:val="-2"/>
          <w:sz w:val="20"/>
          <w:szCs w:val="20"/>
        </w:rPr>
        <w:t xml:space="preserve"> </w:t>
      </w:r>
      <w:r w:rsidRPr="000977F7">
        <w:rPr>
          <w:color w:val="auto"/>
          <w:sz w:val="20"/>
          <w:szCs w:val="20"/>
        </w:rPr>
        <w:t>ДОКУМЕНТ</w:t>
      </w:r>
      <w:r w:rsidRPr="000977F7">
        <w:rPr>
          <w:color w:val="auto"/>
          <w:spacing w:val="-5"/>
          <w:sz w:val="20"/>
          <w:szCs w:val="20"/>
        </w:rPr>
        <w:t xml:space="preserve"> </w:t>
      </w:r>
      <w:r w:rsidRPr="000977F7">
        <w:rPr>
          <w:color w:val="auto"/>
          <w:sz w:val="20"/>
          <w:szCs w:val="20"/>
        </w:rPr>
        <w:t>–</w:t>
      </w:r>
    </w:p>
    <w:p w14:paraId="7727F78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який окремо чи разом з іншими документами визначає склад і будову виробу та містить необхідні дані для розроблення, виготовлення, контролю,</w:t>
      </w:r>
      <w:r w:rsidRPr="000977F7">
        <w:rPr>
          <w:rFonts w:asciiTheme="majorHAnsi" w:hAnsiTheme="majorHAnsi"/>
          <w:spacing w:val="1"/>
          <w:sz w:val="20"/>
          <w:szCs w:val="20"/>
        </w:rPr>
        <w:t xml:space="preserve"> </w:t>
      </w:r>
      <w:r w:rsidRPr="000977F7">
        <w:rPr>
          <w:rFonts w:asciiTheme="majorHAnsi" w:hAnsiTheme="majorHAnsi"/>
          <w:sz w:val="20"/>
          <w:szCs w:val="20"/>
        </w:rPr>
        <w:t>приймання,</w:t>
      </w:r>
      <w:r w:rsidRPr="000977F7">
        <w:rPr>
          <w:rFonts w:asciiTheme="majorHAnsi" w:hAnsiTheme="majorHAnsi"/>
          <w:spacing w:val="1"/>
          <w:sz w:val="20"/>
          <w:szCs w:val="20"/>
        </w:rPr>
        <w:t xml:space="preserve"> </w:t>
      </w:r>
      <w:r w:rsidRPr="000977F7">
        <w:rPr>
          <w:rFonts w:asciiTheme="majorHAnsi" w:hAnsiTheme="majorHAnsi"/>
          <w:sz w:val="20"/>
          <w:szCs w:val="20"/>
        </w:rPr>
        <w:t>постачання,</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r w:rsidRPr="000977F7">
        <w:rPr>
          <w:rFonts w:asciiTheme="majorHAnsi" w:hAnsiTheme="majorHAnsi"/>
          <w:spacing w:val="-47"/>
          <w:sz w:val="20"/>
          <w:szCs w:val="20"/>
        </w:rPr>
        <w:t xml:space="preserve"> </w:t>
      </w:r>
      <w:r w:rsidRPr="000977F7">
        <w:rPr>
          <w:rFonts w:asciiTheme="majorHAnsi" w:hAnsiTheme="majorHAnsi"/>
          <w:sz w:val="20"/>
          <w:szCs w:val="20"/>
        </w:rPr>
        <w:t>виробу</w:t>
      </w:r>
    </w:p>
    <w:p w14:paraId="534F2F2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1FD1185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КОНСТРУКТОРСЬКИЙ ДОКУМЕНТ ВИКОНАННЯ –</w:t>
      </w:r>
    </w:p>
    <w:p w14:paraId="339F1F9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Конструкторський документ, який містить посилання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базовий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допоміжні</w:t>
      </w:r>
      <w:r w:rsidRPr="000977F7">
        <w:rPr>
          <w:rFonts w:asciiTheme="majorHAnsi" w:hAnsiTheme="majorHAnsi"/>
          <w:spacing w:val="1"/>
          <w:sz w:val="20"/>
          <w:szCs w:val="20"/>
        </w:rPr>
        <w:t xml:space="preserve"> </w:t>
      </w:r>
      <w:r w:rsidRPr="000977F7">
        <w:rPr>
          <w:rFonts w:asciiTheme="majorHAnsi" w:hAnsiTheme="majorHAnsi"/>
          <w:sz w:val="20"/>
          <w:szCs w:val="20"/>
        </w:rPr>
        <w:t>дані</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p>
    <w:p w14:paraId="7A8BABDC"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bCs/>
          <w:iCs/>
          <w:sz w:val="20"/>
          <w:szCs w:val="20"/>
        </w:rPr>
        <w:t xml:space="preserve">– </w:t>
      </w:r>
      <w:r w:rsidRPr="000977F7">
        <w:rPr>
          <w:rFonts w:asciiTheme="majorHAnsi" w:hAnsiTheme="majorHAnsi"/>
          <w:bCs/>
          <w:i/>
          <w:sz w:val="20"/>
          <w:szCs w:val="20"/>
        </w:rPr>
        <w:t>2003</w:t>
      </w:r>
    </w:p>
    <w:p w14:paraId="5B4D061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КОНСТРУКЦІЙНА</w:t>
      </w:r>
      <w:r w:rsidRPr="000977F7">
        <w:rPr>
          <w:color w:val="auto"/>
          <w:spacing w:val="-4"/>
          <w:sz w:val="20"/>
          <w:szCs w:val="20"/>
        </w:rPr>
        <w:t xml:space="preserve"> </w:t>
      </w:r>
      <w:r w:rsidRPr="000977F7">
        <w:rPr>
          <w:color w:val="auto"/>
          <w:sz w:val="20"/>
          <w:szCs w:val="20"/>
        </w:rPr>
        <w:t>ВІДМОВА –</w:t>
      </w:r>
    </w:p>
    <w:p w14:paraId="34F075A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DESIGN</w:t>
      </w:r>
      <w:r w:rsidRPr="000977F7">
        <w:rPr>
          <w:rFonts w:asciiTheme="majorHAnsi" w:hAnsiTheme="majorHAnsi"/>
          <w:spacing w:val="-3"/>
          <w:sz w:val="20"/>
          <w:szCs w:val="20"/>
        </w:rPr>
        <w:t xml:space="preserve"> </w:t>
      </w:r>
      <w:r w:rsidRPr="000977F7">
        <w:rPr>
          <w:rFonts w:asciiTheme="majorHAnsi" w:hAnsiTheme="majorHAnsi"/>
          <w:sz w:val="20"/>
          <w:szCs w:val="20"/>
        </w:rPr>
        <w:t>FAILURE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7DE6F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 спричинена недосконалістю чи порушенням</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встановлених</w:t>
      </w:r>
      <w:r w:rsidRPr="000977F7">
        <w:rPr>
          <w:rFonts w:asciiTheme="majorHAnsi" w:hAnsiTheme="majorHAnsi"/>
          <w:spacing w:val="1"/>
          <w:sz w:val="20"/>
          <w:szCs w:val="20"/>
        </w:rPr>
        <w:t xml:space="preserve"> </w:t>
      </w:r>
      <w:r w:rsidRPr="000977F7">
        <w:rPr>
          <w:rFonts w:asciiTheme="majorHAnsi" w:hAnsiTheme="majorHAnsi"/>
          <w:sz w:val="20"/>
          <w:szCs w:val="20"/>
        </w:rPr>
        <w:t>правил</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норм</w:t>
      </w:r>
      <w:r w:rsidRPr="000977F7">
        <w:rPr>
          <w:rFonts w:asciiTheme="majorHAnsi" w:hAnsiTheme="majorHAnsi"/>
          <w:spacing w:val="1"/>
          <w:sz w:val="20"/>
          <w:szCs w:val="20"/>
        </w:rPr>
        <w:t xml:space="preserve"> </w:t>
      </w:r>
      <w:r w:rsidRPr="000977F7">
        <w:rPr>
          <w:rFonts w:asciiTheme="majorHAnsi" w:hAnsiTheme="majorHAnsi"/>
          <w:sz w:val="20"/>
          <w:szCs w:val="20"/>
        </w:rPr>
        <w:t>проектування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конструювання</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p>
    <w:p w14:paraId="7B74913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 94</w:t>
      </w:r>
    </w:p>
    <w:p w14:paraId="41F31710"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r w:rsidRPr="000977F7">
        <w:rPr>
          <w:rFonts w:asciiTheme="majorHAnsi" w:hAnsiTheme="majorHAnsi"/>
          <w:b/>
          <w:bCs/>
          <w:iCs/>
          <w:sz w:val="20"/>
          <w:szCs w:val="20"/>
        </w:rPr>
        <w:t>КОНСУЛЬТУВАННЯ ЩОДО СИСТЕМ МЕНЕДЖМЕНТУ –</w:t>
      </w:r>
    </w:p>
    <w:p w14:paraId="25C889DF" w14:textId="77777777" w:rsidR="0097612F" w:rsidRPr="000977F7" w:rsidRDefault="0097612F" w:rsidP="000977F7">
      <w:pPr>
        <w:tabs>
          <w:tab w:val="left" w:pos="284"/>
        </w:tabs>
        <w:spacing w:after="0" w:line="240" w:lineRule="auto"/>
        <w:ind w:left="170"/>
        <w:mirrorIndents/>
        <w:jc w:val="both"/>
        <w:rPr>
          <w:rStyle w:val="14"/>
          <w:rFonts w:asciiTheme="majorHAnsi" w:hAnsiTheme="majorHAnsi"/>
          <w:sz w:val="20"/>
          <w:szCs w:val="20"/>
          <w:lang w:eastAsia="uk-UA"/>
        </w:rPr>
      </w:pPr>
      <w:r w:rsidRPr="000977F7">
        <w:rPr>
          <w:rStyle w:val="14"/>
          <w:rFonts w:asciiTheme="majorHAnsi" w:hAnsiTheme="majorHAnsi"/>
          <w:sz w:val="20"/>
          <w:szCs w:val="20"/>
          <w:lang w:eastAsia="uk-UA"/>
        </w:rPr>
        <w:t xml:space="preserve">Участь у розроблянні, запроваджуванні або підтримуванні системи менеджменту </w:t>
      </w:r>
    </w:p>
    <w:p w14:paraId="195DE75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Style w:val="14"/>
          <w:rFonts w:asciiTheme="majorHAnsi" w:hAnsiTheme="majorHAnsi"/>
          <w:sz w:val="20"/>
          <w:szCs w:val="20"/>
          <w:lang w:eastAsia="uk-UA"/>
        </w:rPr>
        <w:t>Приклад 1. Підготування або розробляння настанов, або процедур.</w:t>
      </w:r>
    </w:p>
    <w:p w14:paraId="427F9D7D" w14:textId="77777777" w:rsidR="0097612F" w:rsidRPr="000977F7" w:rsidRDefault="0097612F" w:rsidP="000977F7">
      <w:pPr>
        <w:tabs>
          <w:tab w:val="left" w:pos="284"/>
        </w:tabs>
        <w:spacing w:after="0" w:line="240" w:lineRule="auto"/>
        <w:ind w:left="170"/>
        <w:mirrorIndents/>
        <w:jc w:val="both"/>
        <w:rPr>
          <w:rStyle w:val="14"/>
          <w:rFonts w:asciiTheme="majorHAnsi" w:hAnsiTheme="majorHAnsi"/>
          <w:sz w:val="20"/>
          <w:szCs w:val="20"/>
          <w:lang w:eastAsia="uk-UA"/>
        </w:rPr>
      </w:pPr>
      <w:r w:rsidRPr="000977F7">
        <w:rPr>
          <w:rStyle w:val="14"/>
          <w:rFonts w:asciiTheme="majorHAnsi" w:hAnsiTheme="majorHAnsi"/>
          <w:sz w:val="20"/>
          <w:szCs w:val="20"/>
          <w:lang w:eastAsia="uk-UA"/>
        </w:rPr>
        <w:t>Приклад 2. Надавання конкретних порад, інструкцій або роз’яснень щодо розробляння і запроваджування системи менеджменту.</w:t>
      </w:r>
    </w:p>
    <w:p w14:paraId="34C98B71"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Style w:val="14"/>
          <w:rFonts w:asciiTheme="majorHAnsi" w:hAnsiTheme="majorHAnsi"/>
          <w:sz w:val="20"/>
          <w:szCs w:val="20"/>
        </w:rPr>
        <w:t>Примітка 1. Організацію навчання і участь як викладача не вважають консультуванням за умови, якщо курс стосується систем</w:t>
      </w:r>
      <w:r w:rsidRPr="000977F7">
        <w:rPr>
          <w:rStyle w:val="52"/>
          <w:rFonts w:asciiTheme="majorHAnsi" w:hAnsiTheme="majorHAnsi"/>
          <w:sz w:val="20"/>
          <w:szCs w:val="20"/>
          <w:lang w:eastAsia="uk-UA"/>
        </w:rPr>
        <w:t xml:space="preserve"> </w:t>
      </w:r>
      <w:r w:rsidRPr="000977F7">
        <w:rPr>
          <w:rStyle w:val="52"/>
          <w:rFonts w:asciiTheme="majorHAnsi" w:hAnsiTheme="majorHAnsi"/>
          <w:b w:val="0"/>
          <w:bCs w:val="0"/>
          <w:sz w:val="20"/>
          <w:szCs w:val="20"/>
          <w:lang w:eastAsia="uk-UA"/>
        </w:rPr>
        <w:t>менеджменту або аудиту, його обмежують поданням загальної інформації; тобто, викладач не повинен пропонувати клієнту конкретні рішення.</w:t>
      </w:r>
    </w:p>
    <w:p w14:paraId="32F74F62" w14:textId="77777777" w:rsidR="0097612F" w:rsidRPr="000977F7" w:rsidRDefault="0097612F" w:rsidP="000977F7">
      <w:pPr>
        <w:tabs>
          <w:tab w:val="left" w:pos="284"/>
        </w:tabs>
        <w:spacing w:after="0" w:line="240" w:lineRule="auto"/>
        <w:ind w:left="170"/>
        <w:mirrorIndents/>
        <w:jc w:val="both"/>
        <w:rPr>
          <w:rStyle w:val="14"/>
          <w:rFonts w:asciiTheme="majorHAnsi" w:hAnsiTheme="majorHAnsi"/>
          <w:b/>
          <w:bCs/>
          <w:sz w:val="20"/>
          <w:szCs w:val="20"/>
          <w:lang w:eastAsia="uk-UA"/>
        </w:rPr>
      </w:pPr>
      <w:r w:rsidRPr="000977F7">
        <w:rPr>
          <w:rStyle w:val="52"/>
          <w:rFonts w:asciiTheme="majorHAnsi" w:hAnsiTheme="majorHAnsi"/>
          <w:b w:val="0"/>
          <w:bCs w:val="0"/>
          <w:sz w:val="20"/>
          <w:szCs w:val="20"/>
          <w:lang w:eastAsia="uk-UA"/>
        </w:rPr>
        <w:t xml:space="preserve">Примітка 2. Надання загальної інформації, що не включає </w:t>
      </w:r>
      <w:r w:rsidRPr="000977F7">
        <w:rPr>
          <w:rStyle w:val="14"/>
          <w:rFonts w:asciiTheme="majorHAnsi" w:hAnsiTheme="majorHAnsi"/>
          <w:sz w:val="20"/>
          <w:szCs w:val="20"/>
        </w:rPr>
        <w:t>пропонування клієнту конкретних рішень щодо покращення процесів або систем, не вважається консультуванням. Така інформація може містити:</w:t>
      </w:r>
    </w:p>
    <w:p w14:paraId="54AD3A91" w14:textId="77777777" w:rsidR="0097612F" w:rsidRPr="000977F7" w:rsidRDefault="0097612F" w:rsidP="000977F7">
      <w:pPr>
        <w:tabs>
          <w:tab w:val="left" w:pos="284"/>
        </w:tabs>
        <w:spacing w:after="0" w:line="240" w:lineRule="auto"/>
        <w:ind w:left="170"/>
        <w:mirrorIndents/>
        <w:jc w:val="both"/>
        <w:rPr>
          <w:rStyle w:val="14"/>
          <w:rFonts w:asciiTheme="majorHAnsi" w:hAnsiTheme="majorHAnsi"/>
          <w:sz w:val="20"/>
          <w:szCs w:val="20"/>
          <w:lang w:eastAsia="uk-UA"/>
        </w:rPr>
      </w:pPr>
      <w:r w:rsidRPr="000977F7">
        <w:rPr>
          <w:rStyle w:val="14"/>
          <w:rFonts w:asciiTheme="majorHAnsi" w:hAnsiTheme="majorHAnsi"/>
          <w:sz w:val="20"/>
          <w:szCs w:val="20"/>
          <w:lang w:eastAsia="uk-UA"/>
        </w:rPr>
        <w:t>пояснення значення та мети критеріїв сертифікації;</w:t>
      </w:r>
    </w:p>
    <w:p w14:paraId="14ACAFF5" w14:textId="77777777" w:rsidR="0097612F" w:rsidRPr="000977F7" w:rsidRDefault="0097612F" w:rsidP="000977F7">
      <w:pPr>
        <w:tabs>
          <w:tab w:val="left" w:pos="284"/>
        </w:tabs>
        <w:spacing w:after="0" w:line="240" w:lineRule="auto"/>
        <w:ind w:left="170"/>
        <w:mirrorIndents/>
        <w:jc w:val="both"/>
        <w:rPr>
          <w:rStyle w:val="14"/>
          <w:rFonts w:asciiTheme="majorHAnsi" w:hAnsiTheme="majorHAnsi"/>
          <w:sz w:val="20"/>
          <w:szCs w:val="20"/>
          <w:lang w:eastAsia="uk-UA"/>
        </w:rPr>
      </w:pPr>
      <w:r w:rsidRPr="000977F7">
        <w:rPr>
          <w:rStyle w:val="14"/>
          <w:rFonts w:asciiTheme="majorHAnsi" w:hAnsiTheme="majorHAnsi"/>
          <w:sz w:val="20"/>
          <w:szCs w:val="20"/>
          <w:lang w:eastAsia="uk-UA"/>
        </w:rPr>
        <w:t>визначення можливостей щодо покращення;</w:t>
      </w:r>
    </w:p>
    <w:p w14:paraId="3FE7175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Style w:val="14"/>
          <w:rFonts w:asciiTheme="majorHAnsi" w:hAnsiTheme="majorHAnsi"/>
          <w:sz w:val="20"/>
          <w:szCs w:val="20"/>
          <w:lang w:eastAsia="uk-UA"/>
        </w:rPr>
        <w:t>пояснення пов’язаних теорій, методології, технік або інструментів;</w:t>
      </w:r>
    </w:p>
    <w:p w14:paraId="1F76DCBE" w14:textId="77777777" w:rsidR="0097612F" w:rsidRPr="000977F7" w:rsidRDefault="0097612F" w:rsidP="000977F7">
      <w:pPr>
        <w:pStyle w:val="af6"/>
        <w:tabs>
          <w:tab w:val="left" w:pos="163"/>
          <w:tab w:val="left" w:pos="284"/>
        </w:tabs>
        <w:spacing w:after="0"/>
        <w:ind w:left="170"/>
        <w:mirrorIndents/>
        <w:jc w:val="both"/>
        <w:rPr>
          <w:rFonts w:asciiTheme="majorHAnsi" w:hAnsiTheme="majorHAnsi"/>
          <w:sz w:val="20"/>
          <w:szCs w:val="20"/>
        </w:rPr>
      </w:pPr>
      <w:r w:rsidRPr="000977F7">
        <w:rPr>
          <w:rStyle w:val="14"/>
          <w:rFonts w:asciiTheme="majorHAnsi" w:hAnsiTheme="majorHAnsi"/>
          <w:sz w:val="20"/>
          <w:szCs w:val="20"/>
          <w:lang w:eastAsia="uk-UA"/>
        </w:rPr>
        <w:t>розповсюдження неконфіденційної інформації щодо споріднених найкращих практик;</w:t>
      </w:r>
    </w:p>
    <w:p w14:paraId="2DFF15BA" w14:textId="77777777" w:rsidR="0097612F" w:rsidRPr="000977F7" w:rsidRDefault="0097612F" w:rsidP="000977F7">
      <w:pPr>
        <w:pStyle w:val="af6"/>
        <w:tabs>
          <w:tab w:val="left" w:pos="284"/>
        </w:tabs>
        <w:spacing w:after="0"/>
        <w:ind w:left="170"/>
        <w:mirrorIndents/>
        <w:jc w:val="both"/>
        <w:rPr>
          <w:rStyle w:val="14"/>
          <w:rFonts w:asciiTheme="majorHAnsi" w:hAnsiTheme="majorHAnsi"/>
          <w:i/>
          <w:iCs/>
          <w:sz w:val="20"/>
          <w:szCs w:val="20"/>
        </w:rPr>
      </w:pPr>
      <w:r w:rsidRPr="000977F7">
        <w:rPr>
          <w:rStyle w:val="14"/>
          <w:rFonts w:asciiTheme="majorHAnsi" w:hAnsiTheme="majorHAnsi"/>
          <w:sz w:val="20"/>
          <w:szCs w:val="20"/>
          <w:lang w:eastAsia="uk-UA"/>
        </w:rPr>
        <w:lastRenderedPageBreak/>
        <w:t>інші аспекти, пов’язані з менеджментом, що не охоплюються системою менеджменту, аудит якої проводиться</w:t>
      </w:r>
    </w:p>
    <w:p w14:paraId="2DF15CF5" w14:textId="77777777" w:rsidR="0097612F" w:rsidRPr="000977F7" w:rsidRDefault="0097612F" w:rsidP="000977F7">
      <w:pPr>
        <w:pStyle w:val="af6"/>
        <w:tabs>
          <w:tab w:val="left" w:pos="163"/>
          <w:tab w:val="left" w:pos="284"/>
        </w:tabs>
        <w:spacing w:after="0"/>
        <w:ind w:left="170"/>
        <w:mirrorIndents/>
        <w:jc w:val="both"/>
        <w:rPr>
          <w:rStyle w:val="14"/>
          <w:rFonts w:asciiTheme="majorHAnsi" w:hAnsiTheme="majorHAnsi"/>
          <w:i/>
          <w:iCs/>
          <w:sz w:val="20"/>
          <w:szCs w:val="20"/>
        </w:rPr>
      </w:pPr>
      <w:r w:rsidRPr="000977F7">
        <w:rPr>
          <w:rStyle w:val="14"/>
          <w:rFonts w:asciiTheme="majorHAnsi" w:hAnsiTheme="majorHAnsi"/>
          <w:i/>
          <w:iCs/>
          <w:sz w:val="20"/>
          <w:szCs w:val="20"/>
        </w:rPr>
        <w:t>ДСТУ EN ISO/IEC 17021-1:201</w:t>
      </w:r>
    </w:p>
    <w:p w14:paraId="1F87FB6C" w14:textId="77777777" w:rsidR="0097612F" w:rsidRPr="000977F7" w:rsidRDefault="0097612F" w:rsidP="000977F7">
      <w:pPr>
        <w:pStyle w:val="af6"/>
        <w:tabs>
          <w:tab w:val="left" w:pos="163"/>
          <w:tab w:val="left" w:pos="284"/>
        </w:tabs>
        <w:spacing w:after="0"/>
        <w:ind w:left="170"/>
        <w:mirrorIndents/>
        <w:jc w:val="both"/>
        <w:rPr>
          <w:rFonts w:asciiTheme="majorHAnsi" w:hAnsiTheme="majorHAnsi"/>
          <w:b/>
          <w:bCs/>
          <w:i/>
          <w:sz w:val="20"/>
          <w:szCs w:val="20"/>
        </w:rPr>
      </w:pPr>
      <w:r w:rsidRPr="000977F7">
        <w:rPr>
          <w:rFonts w:asciiTheme="majorHAnsi" w:hAnsiTheme="majorHAnsi"/>
          <w:b/>
          <w:bCs/>
          <w:iCs/>
          <w:sz w:val="20"/>
          <w:szCs w:val="20"/>
        </w:rPr>
        <w:t>КОНТАКТНА КОРОЗІЯ</w:t>
      </w:r>
      <w:r w:rsidRPr="000977F7">
        <w:rPr>
          <w:rFonts w:asciiTheme="majorHAnsi" w:hAnsiTheme="majorHAnsi"/>
          <w:b/>
          <w:bCs/>
          <w:i/>
          <w:sz w:val="20"/>
          <w:szCs w:val="20"/>
        </w:rPr>
        <w:t xml:space="preserve"> —</w:t>
      </w:r>
    </w:p>
    <w:p w14:paraId="3EC51E99"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iCs/>
          <w:sz w:val="20"/>
          <w:szCs w:val="20"/>
        </w:rPr>
        <w:t>Корозія, зумовлена контактом металів, що мають різні електродні потенціали</w:t>
      </w:r>
    </w:p>
    <w:p w14:paraId="2B33AE8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78BBF7F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КОНТИНГЕНТУВАННЯ</w:t>
      </w:r>
      <w:r w:rsidRPr="000977F7">
        <w:rPr>
          <w:color w:val="auto"/>
          <w:spacing w:val="-2"/>
          <w:sz w:val="20"/>
          <w:szCs w:val="20"/>
        </w:rPr>
        <w:t xml:space="preserve"> </w:t>
      </w:r>
      <w:r w:rsidRPr="000977F7">
        <w:rPr>
          <w:color w:val="auto"/>
          <w:sz w:val="20"/>
          <w:szCs w:val="20"/>
        </w:rPr>
        <w:t>–</w:t>
      </w:r>
    </w:p>
    <w:p w14:paraId="5E24A7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Одна</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форм</w:t>
      </w:r>
      <w:r w:rsidRPr="000977F7">
        <w:rPr>
          <w:rFonts w:asciiTheme="majorHAnsi" w:hAnsiTheme="majorHAnsi"/>
          <w:spacing w:val="1"/>
          <w:sz w:val="20"/>
          <w:szCs w:val="20"/>
        </w:rPr>
        <w:t xml:space="preserve"> </w:t>
      </w:r>
      <w:r w:rsidRPr="000977F7">
        <w:rPr>
          <w:rFonts w:asciiTheme="majorHAnsi" w:hAnsiTheme="majorHAnsi"/>
          <w:sz w:val="20"/>
          <w:szCs w:val="20"/>
        </w:rPr>
        <w:t>державного</w:t>
      </w:r>
      <w:r w:rsidRPr="000977F7">
        <w:rPr>
          <w:rFonts w:asciiTheme="majorHAnsi" w:hAnsiTheme="majorHAnsi"/>
          <w:spacing w:val="1"/>
          <w:sz w:val="20"/>
          <w:szCs w:val="20"/>
        </w:rPr>
        <w:t xml:space="preserve"> </w:t>
      </w:r>
      <w:r w:rsidRPr="000977F7">
        <w:rPr>
          <w:rFonts w:asciiTheme="majorHAnsi" w:hAnsiTheme="majorHAnsi"/>
          <w:sz w:val="20"/>
          <w:szCs w:val="20"/>
        </w:rPr>
        <w:t>регулювання</w:t>
      </w:r>
      <w:r w:rsidRPr="000977F7">
        <w:rPr>
          <w:rFonts w:asciiTheme="majorHAnsi" w:hAnsiTheme="majorHAnsi"/>
          <w:spacing w:val="1"/>
          <w:sz w:val="20"/>
          <w:szCs w:val="20"/>
        </w:rPr>
        <w:t xml:space="preserve"> </w:t>
      </w:r>
      <w:r w:rsidRPr="000977F7">
        <w:rPr>
          <w:rFonts w:asciiTheme="majorHAnsi" w:hAnsiTheme="majorHAnsi"/>
          <w:sz w:val="20"/>
          <w:szCs w:val="20"/>
        </w:rPr>
        <w:t>зовнішньої</w:t>
      </w:r>
      <w:r w:rsidRPr="000977F7">
        <w:rPr>
          <w:rFonts w:asciiTheme="majorHAnsi" w:hAnsiTheme="majorHAnsi"/>
          <w:spacing w:val="1"/>
          <w:sz w:val="20"/>
          <w:szCs w:val="20"/>
        </w:rPr>
        <w:t xml:space="preserve"> </w:t>
      </w:r>
      <w:r w:rsidRPr="000977F7">
        <w:rPr>
          <w:rFonts w:asciiTheme="majorHAnsi" w:hAnsiTheme="majorHAnsi"/>
          <w:sz w:val="20"/>
          <w:szCs w:val="20"/>
        </w:rPr>
        <w:t>торгівлі</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допомогою</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встановлення</w:t>
      </w:r>
      <w:r w:rsidRPr="000977F7">
        <w:rPr>
          <w:rFonts w:asciiTheme="majorHAnsi" w:hAnsiTheme="majorHAnsi"/>
          <w:spacing w:val="1"/>
          <w:sz w:val="20"/>
          <w:szCs w:val="20"/>
        </w:rPr>
        <w:t xml:space="preserve"> </w:t>
      </w:r>
      <w:r w:rsidRPr="000977F7">
        <w:rPr>
          <w:rFonts w:asciiTheme="majorHAnsi" w:hAnsiTheme="majorHAnsi"/>
          <w:sz w:val="20"/>
          <w:szCs w:val="20"/>
        </w:rPr>
        <w:t>експортних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імпортних</w:t>
      </w:r>
      <w:r w:rsidRPr="000977F7">
        <w:rPr>
          <w:rFonts w:asciiTheme="majorHAnsi" w:hAnsiTheme="majorHAnsi"/>
          <w:spacing w:val="-2"/>
          <w:sz w:val="20"/>
          <w:szCs w:val="20"/>
        </w:rPr>
        <w:t xml:space="preserve"> </w:t>
      </w:r>
      <w:r w:rsidRPr="000977F7">
        <w:rPr>
          <w:rFonts w:asciiTheme="majorHAnsi" w:hAnsiTheme="majorHAnsi"/>
          <w:sz w:val="20"/>
          <w:szCs w:val="20"/>
        </w:rPr>
        <w:t>квот</w:t>
      </w:r>
    </w:p>
    <w:p w14:paraId="3F28B1C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95</w:t>
      </w:r>
    </w:p>
    <w:p w14:paraId="1737F66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КОНТРАКТ</w:t>
      </w:r>
      <w:r w:rsidRPr="000977F7">
        <w:rPr>
          <w:color w:val="auto"/>
          <w:spacing w:val="-5"/>
          <w:sz w:val="20"/>
          <w:szCs w:val="20"/>
        </w:rPr>
        <w:t xml:space="preserve"> </w:t>
      </w:r>
      <w:r w:rsidRPr="000977F7">
        <w:rPr>
          <w:color w:val="auto"/>
          <w:sz w:val="20"/>
          <w:szCs w:val="20"/>
        </w:rPr>
        <w:t>КУПІВЛІ</w:t>
      </w:r>
      <w:r w:rsidRPr="000977F7">
        <w:rPr>
          <w:color w:val="auto"/>
          <w:spacing w:val="-2"/>
          <w:sz w:val="20"/>
          <w:szCs w:val="20"/>
        </w:rPr>
        <w:t xml:space="preserve"> </w:t>
      </w:r>
      <w:r w:rsidRPr="000977F7">
        <w:rPr>
          <w:color w:val="auto"/>
          <w:sz w:val="20"/>
          <w:szCs w:val="20"/>
        </w:rPr>
        <w:t>–ПРОДАЖУ</w:t>
      </w:r>
      <w:r w:rsidRPr="000977F7">
        <w:rPr>
          <w:color w:val="auto"/>
          <w:spacing w:val="-3"/>
          <w:sz w:val="20"/>
          <w:szCs w:val="20"/>
        </w:rPr>
        <w:t xml:space="preserve"> </w:t>
      </w:r>
      <w:r w:rsidRPr="000977F7">
        <w:rPr>
          <w:color w:val="auto"/>
          <w:sz w:val="20"/>
          <w:szCs w:val="20"/>
        </w:rPr>
        <w:t>–</w:t>
      </w:r>
    </w:p>
    <w:p w14:paraId="58F4BD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у якому зазначені всі умови купівлі – продажу</w:t>
      </w:r>
    </w:p>
    <w:p w14:paraId="4019FA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F9CDD1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Обов’язковою умовою контракту купівлі – продажу є</w:t>
      </w:r>
      <w:r w:rsidRPr="000977F7">
        <w:rPr>
          <w:rFonts w:asciiTheme="majorHAnsi" w:hAnsiTheme="majorHAnsi"/>
          <w:spacing w:val="1"/>
          <w:sz w:val="20"/>
          <w:szCs w:val="20"/>
        </w:rPr>
        <w:t xml:space="preserve"> </w:t>
      </w:r>
      <w:r w:rsidRPr="000977F7">
        <w:rPr>
          <w:rFonts w:asciiTheme="majorHAnsi" w:hAnsiTheme="majorHAnsi"/>
          <w:sz w:val="20"/>
          <w:szCs w:val="20"/>
        </w:rPr>
        <w:t>перехід</w:t>
      </w:r>
      <w:r w:rsidRPr="000977F7">
        <w:rPr>
          <w:rFonts w:asciiTheme="majorHAnsi" w:hAnsiTheme="majorHAnsi"/>
          <w:spacing w:val="1"/>
          <w:sz w:val="20"/>
          <w:szCs w:val="20"/>
        </w:rPr>
        <w:t xml:space="preserve"> </w:t>
      </w:r>
      <w:r w:rsidRPr="000977F7">
        <w:rPr>
          <w:rFonts w:asciiTheme="majorHAnsi" w:hAnsiTheme="majorHAnsi"/>
          <w:sz w:val="20"/>
          <w:szCs w:val="20"/>
        </w:rPr>
        <w:t>права</w:t>
      </w:r>
      <w:r w:rsidRPr="000977F7">
        <w:rPr>
          <w:rFonts w:asciiTheme="majorHAnsi" w:hAnsiTheme="majorHAnsi"/>
          <w:spacing w:val="1"/>
          <w:sz w:val="20"/>
          <w:szCs w:val="20"/>
        </w:rPr>
        <w:t xml:space="preserve"> </w:t>
      </w:r>
      <w:r w:rsidRPr="000977F7">
        <w:rPr>
          <w:rFonts w:asciiTheme="majorHAnsi" w:hAnsiTheme="majorHAnsi"/>
          <w:sz w:val="20"/>
          <w:szCs w:val="20"/>
        </w:rPr>
        <w:t>власності</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товари</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продавця</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47"/>
          <w:sz w:val="20"/>
          <w:szCs w:val="20"/>
        </w:rPr>
        <w:t xml:space="preserve"> </w:t>
      </w:r>
      <w:r w:rsidRPr="000977F7">
        <w:rPr>
          <w:rFonts w:asciiTheme="majorHAnsi" w:hAnsiTheme="majorHAnsi"/>
          <w:sz w:val="20"/>
          <w:szCs w:val="20"/>
        </w:rPr>
        <w:t>покупця</w:t>
      </w:r>
    </w:p>
    <w:p w14:paraId="7FDB6C4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FD71D8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КОНТРАФАКТНІ</w:t>
      </w:r>
      <w:r w:rsidRPr="000977F7">
        <w:rPr>
          <w:color w:val="auto"/>
          <w:spacing w:val="-5"/>
          <w:sz w:val="20"/>
          <w:szCs w:val="20"/>
        </w:rPr>
        <w:t xml:space="preserve"> </w:t>
      </w:r>
      <w:r w:rsidRPr="000977F7">
        <w:rPr>
          <w:color w:val="auto"/>
          <w:sz w:val="20"/>
          <w:szCs w:val="20"/>
        </w:rPr>
        <w:t>ТОВАРИ –</w:t>
      </w:r>
    </w:p>
    <w:p w14:paraId="1A95274E" w14:textId="77777777" w:rsidR="0097612F" w:rsidRPr="000977F7" w:rsidRDefault="0031280E" w:rsidP="000977F7">
      <w:pPr>
        <w:pStyle w:val="af6"/>
        <w:tabs>
          <w:tab w:val="left" w:pos="284"/>
        </w:tabs>
        <w:spacing w:after="0"/>
        <w:ind w:left="170"/>
        <w:mirrorIndents/>
        <w:jc w:val="both"/>
        <w:rPr>
          <w:rFonts w:asciiTheme="majorHAnsi" w:hAnsiTheme="majorHAnsi"/>
          <w:sz w:val="20"/>
          <w:szCs w:val="20"/>
        </w:rPr>
      </w:pPr>
      <w:hyperlink r:id="rId23" w:tgtFrame="_blank" w:history="1">
        <w:r w:rsidR="0097612F" w:rsidRPr="000977F7">
          <w:rPr>
            <w:rFonts w:asciiTheme="majorHAnsi" w:hAnsiTheme="majorHAnsi"/>
            <w:sz w:val="20"/>
            <w:szCs w:val="20"/>
          </w:rPr>
          <w:t>Товари, що є предметами порушення прав інтелектуальної власності на торговельну марку в Україні, на яких без дозволу міститься позначення, тотожне із охоронюваною в Україні торговельною маркою стосовно одного й того самого виду товарів, або яке є схожим настільки, що його можна сплутати з такою торговельною маркою;</w:t>
        </w:r>
      </w:hyperlink>
    </w:p>
    <w:p w14:paraId="67118B96" w14:textId="77777777" w:rsidR="0097612F" w:rsidRPr="000977F7" w:rsidRDefault="0031280E" w:rsidP="000977F7">
      <w:pPr>
        <w:pStyle w:val="af6"/>
        <w:tabs>
          <w:tab w:val="left" w:pos="284"/>
        </w:tabs>
        <w:spacing w:after="0"/>
        <w:ind w:left="170"/>
        <w:mirrorIndents/>
        <w:jc w:val="both"/>
        <w:rPr>
          <w:rFonts w:asciiTheme="majorHAnsi" w:hAnsiTheme="majorHAnsi"/>
          <w:sz w:val="20"/>
          <w:szCs w:val="20"/>
        </w:rPr>
      </w:pPr>
      <w:hyperlink r:id="rId24" w:tgtFrame="_blank" w:history="1">
        <w:r w:rsidR="0097612F" w:rsidRPr="000977F7">
          <w:rPr>
            <w:rFonts w:asciiTheme="majorHAnsi" w:hAnsiTheme="majorHAnsi"/>
            <w:sz w:val="20"/>
            <w:szCs w:val="20"/>
          </w:rPr>
          <w:t>товари, що є предметами порушення прав інтелектуальної власності на географічне зазначення в Україні й містять назву чи термін або описуються за допомогою назви чи терміну, які захищені таким географічним зазначенням;</w:t>
        </w:r>
      </w:hyperlink>
    </w:p>
    <w:p w14:paraId="2724F8CC" w14:textId="77777777" w:rsidR="0097612F" w:rsidRPr="000977F7" w:rsidRDefault="0031280E" w:rsidP="000977F7">
      <w:pPr>
        <w:pStyle w:val="af6"/>
        <w:tabs>
          <w:tab w:val="left" w:pos="284"/>
        </w:tabs>
        <w:spacing w:after="0"/>
        <w:ind w:left="170"/>
        <w:mirrorIndents/>
        <w:jc w:val="both"/>
        <w:rPr>
          <w:rFonts w:asciiTheme="majorHAnsi" w:hAnsiTheme="majorHAnsi"/>
          <w:sz w:val="20"/>
          <w:szCs w:val="20"/>
        </w:rPr>
      </w:pPr>
      <w:hyperlink r:id="rId25" w:tgtFrame="_blank" w:history="1">
        <w:r w:rsidR="0097612F" w:rsidRPr="000977F7">
          <w:rPr>
            <w:rFonts w:asciiTheme="majorHAnsi" w:hAnsiTheme="majorHAnsi"/>
            <w:sz w:val="20"/>
            <w:szCs w:val="20"/>
          </w:rPr>
          <w:t>будь-яка упаковка, етикетка, наліпка, брошура, інструкція з експлуатації, гарантія чи інший документ такого типу, навіть якщо вони представлені окремо, які є предметами порушення прав інтелектуальної власності на торговельну марку або географічне зазначення, які містять позначення, назву або термін, тотожні із охоронюваною в Україні торговельною маркою чи географічним зазначенням, або які є схожими настільки, що їх можна сплутати з такою торговельною маркою чи географічним зазначенням, та які можуть використовуватися стосовно одного й того самого виду товарів, щодо якого охороняється торговельна марка в Україні чи географічне зазначення;</w:t>
        </w:r>
      </w:hyperlink>
    </w:p>
    <w:p w14:paraId="506974E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w:t>
      </w:r>
      <w:r w:rsidRPr="000977F7">
        <w:rPr>
          <w:rFonts w:asciiTheme="majorHAnsi" w:hAnsiTheme="majorHAnsi"/>
          <w:i/>
          <w:spacing w:val="-1"/>
          <w:sz w:val="20"/>
          <w:szCs w:val="20"/>
        </w:rPr>
        <w:t xml:space="preserve"> </w:t>
      </w:r>
      <w:r w:rsidRPr="000977F7">
        <w:rPr>
          <w:rFonts w:asciiTheme="majorHAnsi" w:hAnsiTheme="majorHAnsi"/>
          <w:i/>
          <w:sz w:val="20"/>
          <w:szCs w:val="20"/>
        </w:rPr>
        <w:t>кодекс</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1"/>
          <w:sz w:val="20"/>
          <w:szCs w:val="20"/>
        </w:rPr>
        <w:t xml:space="preserve"> </w:t>
      </w:r>
      <w:r w:rsidRPr="000977F7">
        <w:rPr>
          <w:rFonts w:asciiTheme="majorHAnsi" w:hAnsiTheme="majorHAnsi"/>
          <w:i/>
          <w:sz w:val="20"/>
          <w:szCs w:val="20"/>
        </w:rPr>
        <w:t>.</w:t>
      </w:r>
    </w:p>
    <w:p w14:paraId="78B60CF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КОНТРОЛЕПРИДАТНІСТЬ</w:t>
      </w:r>
      <w:r w:rsidRPr="000977F7">
        <w:rPr>
          <w:color w:val="auto"/>
          <w:spacing w:val="-7"/>
          <w:sz w:val="20"/>
          <w:szCs w:val="20"/>
        </w:rPr>
        <w:t xml:space="preserve"> </w:t>
      </w:r>
      <w:r w:rsidRPr="000977F7">
        <w:rPr>
          <w:color w:val="auto"/>
          <w:sz w:val="20"/>
          <w:szCs w:val="20"/>
        </w:rPr>
        <w:t>ПРОДУКЦІЇ–</w:t>
      </w:r>
    </w:p>
    <w:p w14:paraId="7B1B69A4"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sz w:val="20"/>
          <w:szCs w:val="20"/>
        </w:rPr>
        <w:t>Властивість</w:t>
      </w:r>
      <w:r w:rsidRPr="000977F7">
        <w:rPr>
          <w:rFonts w:asciiTheme="majorHAnsi" w:hAnsiTheme="majorHAnsi"/>
          <w:spacing w:val="1"/>
          <w:sz w:val="20"/>
          <w:szCs w:val="20"/>
        </w:rPr>
        <w:t xml:space="preserve"> </w:t>
      </w:r>
      <w:r w:rsidRPr="000977F7">
        <w:rPr>
          <w:rFonts w:asciiTheme="majorHAnsi" w:hAnsiTheme="majorHAnsi"/>
          <w:sz w:val="20"/>
          <w:szCs w:val="20"/>
        </w:rPr>
        <w:t>продукції, що</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характеризує її</w:t>
      </w:r>
      <w:r w:rsidRPr="000977F7">
        <w:rPr>
          <w:rFonts w:asciiTheme="majorHAnsi" w:hAnsiTheme="majorHAnsi"/>
          <w:spacing w:val="1"/>
          <w:sz w:val="20"/>
          <w:szCs w:val="20"/>
        </w:rPr>
        <w:t xml:space="preserve"> </w:t>
      </w:r>
      <w:r w:rsidRPr="000977F7">
        <w:rPr>
          <w:rFonts w:asciiTheme="majorHAnsi" w:hAnsiTheme="majorHAnsi"/>
          <w:sz w:val="20"/>
          <w:szCs w:val="20"/>
        </w:rPr>
        <w:t>пристосованість</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2"/>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якості заданими</w:t>
      </w:r>
      <w:r w:rsidRPr="000977F7">
        <w:rPr>
          <w:rFonts w:asciiTheme="majorHAnsi" w:hAnsiTheme="majorHAnsi"/>
          <w:spacing w:val="1"/>
          <w:sz w:val="20"/>
          <w:szCs w:val="20"/>
        </w:rPr>
        <w:t xml:space="preserve"> </w:t>
      </w:r>
      <w:r w:rsidRPr="000977F7">
        <w:rPr>
          <w:rFonts w:asciiTheme="majorHAnsi" w:hAnsiTheme="majorHAnsi"/>
          <w:sz w:val="20"/>
          <w:szCs w:val="20"/>
        </w:rPr>
        <w:t>засобами</w:t>
      </w:r>
      <w:r w:rsidRPr="000977F7">
        <w:rPr>
          <w:rFonts w:asciiTheme="majorHAnsi" w:hAnsiTheme="majorHAnsi"/>
          <w:spacing w:val="1"/>
          <w:sz w:val="20"/>
          <w:szCs w:val="20"/>
        </w:rPr>
        <w:t xml:space="preserve"> </w:t>
      </w:r>
    </w:p>
    <w:p w14:paraId="65B0AE9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 95; ДСТУ 2865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626B3F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5D3E8A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КОНТРОЛІВНИЙ</w:t>
      </w:r>
      <w:r w:rsidRPr="000977F7">
        <w:rPr>
          <w:color w:val="auto"/>
          <w:spacing w:val="-5"/>
          <w:sz w:val="20"/>
          <w:szCs w:val="20"/>
        </w:rPr>
        <w:t xml:space="preserve"> </w:t>
      </w:r>
      <w:r w:rsidRPr="000977F7">
        <w:rPr>
          <w:color w:val="auto"/>
          <w:sz w:val="20"/>
          <w:szCs w:val="20"/>
        </w:rPr>
        <w:t>ПРОЦЕС</w:t>
      </w:r>
      <w:r w:rsidRPr="000977F7">
        <w:rPr>
          <w:color w:val="auto"/>
          <w:spacing w:val="-2"/>
          <w:sz w:val="20"/>
          <w:szCs w:val="20"/>
        </w:rPr>
        <w:t xml:space="preserve"> </w:t>
      </w:r>
      <w:r w:rsidRPr="000977F7">
        <w:rPr>
          <w:color w:val="auto"/>
          <w:sz w:val="20"/>
          <w:szCs w:val="20"/>
        </w:rPr>
        <w:t>-</w:t>
      </w:r>
    </w:p>
    <w:p w14:paraId="3D90E5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w:t>
      </w:r>
      <w:r w:rsidRPr="000977F7">
        <w:rPr>
          <w:rFonts w:asciiTheme="majorHAnsi" w:hAnsiTheme="majorHAnsi"/>
          <w:spacing w:val="-3"/>
          <w:sz w:val="20"/>
          <w:szCs w:val="20"/>
        </w:rPr>
        <w:t xml:space="preserve"> </w:t>
      </w:r>
      <w:r w:rsidRPr="000977F7">
        <w:rPr>
          <w:rFonts w:asciiTheme="majorHAnsi" w:hAnsiTheme="majorHAnsi"/>
          <w:sz w:val="20"/>
          <w:szCs w:val="20"/>
        </w:rPr>
        <w:t>кінетика</w:t>
      </w:r>
      <w:r w:rsidRPr="000977F7">
        <w:rPr>
          <w:rFonts w:asciiTheme="majorHAnsi" w:hAnsiTheme="majorHAnsi"/>
          <w:spacing w:val="-3"/>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визначає</w:t>
      </w:r>
      <w:r w:rsidRPr="000977F7">
        <w:rPr>
          <w:rFonts w:asciiTheme="majorHAnsi" w:hAnsiTheme="majorHAnsi"/>
          <w:spacing w:val="-2"/>
          <w:sz w:val="20"/>
          <w:szCs w:val="20"/>
        </w:rPr>
        <w:t xml:space="preserve"> </w:t>
      </w:r>
      <w:r w:rsidRPr="000977F7">
        <w:rPr>
          <w:rFonts w:asciiTheme="majorHAnsi" w:hAnsiTheme="majorHAnsi"/>
          <w:sz w:val="20"/>
          <w:szCs w:val="20"/>
        </w:rPr>
        <w:t>швидкість</w:t>
      </w:r>
      <w:r w:rsidRPr="000977F7">
        <w:rPr>
          <w:rFonts w:asciiTheme="majorHAnsi" w:hAnsiTheme="majorHAnsi"/>
          <w:spacing w:val="-3"/>
          <w:sz w:val="20"/>
          <w:szCs w:val="20"/>
        </w:rPr>
        <w:t xml:space="preserve"> </w:t>
      </w:r>
      <w:r w:rsidRPr="000977F7">
        <w:rPr>
          <w:rFonts w:asciiTheme="majorHAnsi" w:hAnsiTheme="majorHAnsi"/>
          <w:sz w:val="20"/>
          <w:szCs w:val="20"/>
        </w:rPr>
        <w:t>корозії</w:t>
      </w:r>
    </w:p>
    <w:p w14:paraId="7ACD87FF"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3830 – 98</w:t>
      </w:r>
      <w:r w:rsidRPr="000977F7">
        <w:rPr>
          <w:rFonts w:asciiTheme="majorHAnsi" w:hAnsiTheme="majorHAnsi"/>
          <w:i/>
          <w:spacing w:val="-47"/>
          <w:sz w:val="20"/>
          <w:szCs w:val="20"/>
        </w:rPr>
        <w:t xml:space="preserve"> </w:t>
      </w:r>
    </w:p>
    <w:p w14:paraId="39E73241"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КОНТРОЛЬ –</w:t>
      </w:r>
    </w:p>
    <w:p w14:paraId="757FC1C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INSPECTION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138D0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Діяльність, яка включає проведення вимірювань, перевірок, випробувань однієї чи кількох </w:t>
      </w:r>
      <w:r w:rsidRPr="000977F7">
        <w:rPr>
          <w:rFonts w:asciiTheme="majorHAnsi" w:hAnsiTheme="majorHAnsi"/>
          <w:sz w:val="20"/>
          <w:szCs w:val="20"/>
        </w:rPr>
        <w:t>характеристик</w:t>
      </w:r>
      <w:r w:rsidRPr="000977F7">
        <w:rPr>
          <w:rFonts w:asciiTheme="majorHAnsi" w:hAnsiTheme="majorHAnsi"/>
          <w:spacing w:val="1"/>
          <w:sz w:val="20"/>
          <w:szCs w:val="20"/>
        </w:rPr>
        <w:t xml:space="preserve"> </w:t>
      </w:r>
      <w:r w:rsidRPr="000977F7">
        <w:rPr>
          <w:rFonts w:asciiTheme="majorHAnsi" w:hAnsiTheme="majorHAnsi"/>
          <w:sz w:val="20"/>
          <w:szCs w:val="20"/>
        </w:rPr>
        <w:t>програмного засобу з метою визначення їх відповідності</w:t>
      </w:r>
      <w:r w:rsidRPr="000977F7">
        <w:rPr>
          <w:rFonts w:asciiTheme="majorHAnsi" w:hAnsiTheme="majorHAnsi"/>
          <w:spacing w:val="-2"/>
          <w:sz w:val="20"/>
          <w:szCs w:val="20"/>
        </w:rPr>
        <w:t xml:space="preserve"> </w:t>
      </w:r>
      <w:r w:rsidRPr="000977F7">
        <w:rPr>
          <w:rFonts w:asciiTheme="majorHAnsi" w:hAnsiTheme="majorHAnsi"/>
          <w:sz w:val="20"/>
          <w:szCs w:val="20"/>
        </w:rPr>
        <w:t>встановленим</w:t>
      </w:r>
      <w:r w:rsidRPr="000977F7">
        <w:rPr>
          <w:rFonts w:asciiTheme="majorHAnsi" w:hAnsiTheme="majorHAnsi"/>
          <w:spacing w:val="1"/>
          <w:sz w:val="20"/>
          <w:szCs w:val="20"/>
        </w:rPr>
        <w:t xml:space="preserve"> </w:t>
      </w:r>
      <w:r w:rsidRPr="000977F7">
        <w:rPr>
          <w:rFonts w:asciiTheme="majorHAnsi" w:hAnsiTheme="majorHAnsi"/>
          <w:sz w:val="20"/>
          <w:szCs w:val="20"/>
        </w:rPr>
        <w:t>вимогам</w:t>
      </w:r>
    </w:p>
    <w:p w14:paraId="3B9BBCA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0A1A36B" w14:textId="77777777" w:rsidR="0097612F" w:rsidRPr="000977F7" w:rsidRDefault="0097612F" w:rsidP="000977F7">
      <w:pPr>
        <w:pStyle w:val="7"/>
        <w:tabs>
          <w:tab w:val="left" w:pos="284"/>
          <w:tab w:val="left" w:pos="1717"/>
          <w:tab w:val="left" w:pos="4240"/>
        </w:tabs>
        <w:spacing w:before="0" w:line="240" w:lineRule="auto"/>
        <w:ind w:left="170"/>
        <w:mirrorIndents/>
        <w:jc w:val="both"/>
        <w:rPr>
          <w:color w:val="auto"/>
          <w:sz w:val="20"/>
          <w:szCs w:val="20"/>
        </w:rPr>
      </w:pPr>
      <w:r w:rsidRPr="000977F7">
        <w:rPr>
          <w:color w:val="auto"/>
          <w:sz w:val="20"/>
          <w:szCs w:val="20"/>
        </w:rPr>
        <w:t xml:space="preserve">КОНТРОЛЬ ЗАДОКУМЕНТОВАНОЇ </w:t>
      </w:r>
    </w:p>
    <w:p w14:paraId="34071BA9" w14:textId="77777777" w:rsidR="0097612F" w:rsidRPr="000977F7" w:rsidRDefault="0097612F" w:rsidP="000977F7">
      <w:pPr>
        <w:pStyle w:val="7"/>
        <w:tabs>
          <w:tab w:val="left" w:pos="284"/>
          <w:tab w:val="left" w:pos="1717"/>
          <w:tab w:val="left" w:pos="4240"/>
        </w:tabs>
        <w:spacing w:before="0" w:line="240" w:lineRule="auto"/>
        <w:ind w:left="170"/>
        <w:mirrorIndents/>
        <w:jc w:val="both"/>
        <w:rPr>
          <w:color w:val="auto"/>
          <w:sz w:val="20"/>
          <w:szCs w:val="20"/>
        </w:rPr>
      </w:pPr>
      <w:r w:rsidRPr="000977F7">
        <w:rPr>
          <w:color w:val="auto"/>
          <w:sz w:val="20"/>
          <w:szCs w:val="20"/>
        </w:rPr>
        <w:t>ІНФОРМАЦІЇ</w:t>
      </w:r>
      <w:r w:rsidRPr="000977F7">
        <w:rPr>
          <w:color w:val="auto"/>
          <w:spacing w:val="-1"/>
          <w:sz w:val="20"/>
          <w:szCs w:val="20"/>
        </w:rPr>
        <w:t xml:space="preserve"> </w:t>
      </w:r>
      <w:r w:rsidRPr="000977F7">
        <w:rPr>
          <w:color w:val="auto"/>
          <w:sz w:val="20"/>
          <w:szCs w:val="20"/>
        </w:rPr>
        <w:t>–</w:t>
      </w:r>
    </w:p>
    <w:p w14:paraId="0FBCE9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Задокументовану інформацію, яку потребує система</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 якістю і цей стандарт, необхідно контролювати</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забезпечення</w:t>
      </w:r>
    </w:p>
    <w:p w14:paraId="5D53DBEE" w14:textId="77777777" w:rsidR="0097612F" w:rsidRPr="000977F7" w:rsidRDefault="0097612F" w:rsidP="00FD39A4">
      <w:pPr>
        <w:pStyle w:val="ac"/>
        <w:widowControl w:val="0"/>
        <w:numPr>
          <w:ilvl w:val="0"/>
          <w:numId w:val="165"/>
        </w:numPr>
        <w:tabs>
          <w:tab w:val="left" w:pos="284"/>
          <w:tab w:val="left" w:pos="56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її наявності та придатності до використання, де і</w:t>
      </w:r>
      <w:r w:rsidRPr="000977F7">
        <w:rPr>
          <w:rFonts w:asciiTheme="majorHAnsi" w:hAnsiTheme="majorHAnsi"/>
          <w:spacing w:val="1"/>
          <w:sz w:val="20"/>
          <w:szCs w:val="20"/>
        </w:rPr>
        <w:t xml:space="preserve"> </w:t>
      </w:r>
      <w:r w:rsidRPr="000977F7">
        <w:rPr>
          <w:rFonts w:asciiTheme="majorHAnsi" w:hAnsiTheme="majorHAnsi"/>
          <w:sz w:val="20"/>
          <w:szCs w:val="20"/>
        </w:rPr>
        <w:t>коли вона потрібна; її адекватної захищеності (наприклад, від</w:t>
      </w:r>
      <w:r w:rsidRPr="000977F7">
        <w:rPr>
          <w:rFonts w:asciiTheme="majorHAnsi" w:hAnsiTheme="majorHAnsi"/>
          <w:spacing w:val="1"/>
          <w:sz w:val="20"/>
          <w:szCs w:val="20"/>
        </w:rPr>
        <w:t xml:space="preserve"> </w:t>
      </w:r>
      <w:r w:rsidRPr="000977F7">
        <w:rPr>
          <w:rFonts w:asciiTheme="majorHAnsi" w:hAnsiTheme="majorHAnsi"/>
          <w:sz w:val="20"/>
          <w:szCs w:val="20"/>
        </w:rPr>
        <w:t>утрати</w:t>
      </w:r>
      <w:r w:rsidRPr="000977F7">
        <w:rPr>
          <w:rFonts w:asciiTheme="majorHAnsi" w:hAnsiTheme="majorHAnsi"/>
          <w:spacing w:val="1"/>
          <w:sz w:val="20"/>
          <w:szCs w:val="20"/>
        </w:rPr>
        <w:t xml:space="preserve"> </w:t>
      </w:r>
      <w:r w:rsidRPr="000977F7">
        <w:rPr>
          <w:rFonts w:asciiTheme="majorHAnsi" w:hAnsiTheme="majorHAnsi"/>
          <w:sz w:val="20"/>
          <w:szCs w:val="20"/>
        </w:rPr>
        <w:t>конфіденційності, належного використання чи втрати</w:t>
      </w:r>
      <w:r w:rsidRPr="000977F7">
        <w:rPr>
          <w:rFonts w:asciiTheme="majorHAnsi" w:hAnsiTheme="majorHAnsi"/>
          <w:spacing w:val="1"/>
          <w:sz w:val="20"/>
          <w:szCs w:val="20"/>
        </w:rPr>
        <w:t xml:space="preserve"> </w:t>
      </w:r>
      <w:r w:rsidRPr="000977F7">
        <w:rPr>
          <w:rFonts w:asciiTheme="majorHAnsi" w:hAnsiTheme="majorHAnsi"/>
          <w:sz w:val="20"/>
          <w:szCs w:val="20"/>
        </w:rPr>
        <w:t>цілісності).</w:t>
      </w:r>
    </w:p>
    <w:p w14:paraId="7529116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Щоб</w:t>
      </w:r>
      <w:r w:rsidRPr="000977F7">
        <w:rPr>
          <w:rFonts w:asciiTheme="majorHAnsi" w:hAnsiTheme="majorHAnsi"/>
          <w:spacing w:val="1"/>
          <w:sz w:val="20"/>
          <w:szCs w:val="20"/>
        </w:rPr>
        <w:t xml:space="preserve"> </w:t>
      </w:r>
      <w:r w:rsidRPr="000977F7">
        <w:rPr>
          <w:rFonts w:asciiTheme="majorHAnsi" w:hAnsiTheme="majorHAnsi"/>
          <w:sz w:val="20"/>
          <w:szCs w:val="20"/>
        </w:rPr>
        <w:t>контролювати</w:t>
      </w:r>
      <w:r w:rsidRPr="000977F7">
        <w:rPr>
          <w:rFonts w:asciiTheme="majorHAnsi" w:hAnsiTheme="majorHAnsi"/>
          <w:spacing w:val="1"/>
          <w:sz w:val="20"/>
          <w:szCs w:val="20"/>
        </w:rPr>
        <w:t xml:space="preserve"> </w:t>
      </w:r>
      <w:r w:rsidRPr="000977F7">
        <w:rPr>
          <w:rFonts w:asciiTheme="majorHAnsi" w:hAnsiTheme="majorHAnsi"/>
          <w:sz w:val="20"/>
          <w:szCs w:val="20"/>
        </w:rPr>
        <w:t>задокументовану</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інформацію,</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організація повинна вдаватися до таких дій, якщо застосовано,</w:t>
      </w:r>
    </w:p>
    <w:p w14:paraId="438E65E1" w14:textId="77777777" w:rsidR="0097612F" w:rsidRPr="000977F7" w:rsidRDefault="0097612F" w:rsidP="00FD39A4">
      <w:pPr>
        <w:pStyle w:val="ac"/>
        <w:widowControl w:val="0"/>
        <w:numPr>
          <w:ilvl w:val="0"/>
          <w:numId w:val="164"/>
        </w:numPr>
        <w:tabs>
          <w:tab w:val="left" w:pos="284"/>
          <w:tab w:val="left" w:pos="6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розподіл,</w:t>
      </w:r>
      <w:r w:rsidRPr="000977F7">
        <w:rPr>
          <w:rFonts w:asciiTheme="majorHAnsi" w:hAnsiTheme="majorHAnsi"/>
          <w:spacing w:val="-4"/>
          <w:sz w:val="20"/>
          <w:szCs w:val="20"/>
        </w:rPr>
        <w:t xml:space="preserve"> </w:t>
      </w:r>
      <w:r w:rsidRPr="000977F7">
        <w:rPr>
          <w:rFonts w:asciiTheme="majorHAnsi" w:hAnsiTheme="majorHAnsi"/>
          <w:sz w:val="20"/>
          <w:szCs w:val="20"/>
        </w:rPr>
        <w:t>доступ,</w:t>
      </w:r>
      <w:r w:rsidRPr="000977F7">
        <w:rPr>
          <w:rFonts w:asciiTheme="majorHAnsi" w:hAnsiTheme="majorHAnsi"/>
          <w:spacing w:val="-4"/>
          <w:sz w:val="20"/>
          <w:szCs w:val="20"/>
        </w:rPr>
        <w:t xml:space="preserve"> </w:t>
      </w:r>
      <w:r w:rsidRPr="000977F7">
        <w:rPr>
          <w:rFonts w:asciiTheme="majorHAnsi" w:hAnsiTheme="majorHAnsi"/>
          <w:sz w:val="20"/>
          <w:szCs w:val="20"/>
        </w:rPr>
        <w:t>пошук</w:t>
      </w:r>
      <w:r w:rsidRPr="000977F7">
        <w:rPr>
          <w:rFonts w:asciiTheme="majorHAnsi" w:hAnsiTheme="majorHAnsi"/>
          <w:spacing w:val="-5"/>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використання;</w:t>
      </w:r>
    </w:p>
    <w:p w14:paraId="48E73624" w14:textId="77777777" w:rsidR="0097612F" w:rsidRPr="000977F7" w:rsidRDefault="0097612F" w:rsidP="00FD39A4">
      <w:pPr>
        <w:pStyle w:val="ac"/>
        <w:widowControl w:val="0"/>
        <w:numPr>
          <w:ilvl w:val="0"/>
          <w:numId w:val="164"/>
        </w:numPr>
        <w:tabs>
          <w:tab w:val="left" w:pos="284"/>
          <w:tab w:val="left" w:pos="65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збереження,</w:t>
      </w:r>
      <w:r w:rsidRPr="000977F7">
        <w:rPr>
          <w:rFonts w:asciiTheme="majorHAnsi" w:hAnsiTheme="majorHAnsi"/>
          <w:spacing w:val="-4"/>
          <w:sz w:val="20"/>
          <w:szCs w:val="20"/>
        </w:rPr>
        <w:t xml:space="preserve"> </w:t>
      </w:r>
      <w:r w:rsidRPr="000977F7">
        <w:rPr>
          <w:rFonts w:asciiTheme="majorHAnsi" w:hAnsiTheme="majorHAnsi"/>
          <w:sz w:val="20"/>
          <w:szCs w:val="20"/>
        </w:rPr>
        <w:t>зокрема</w:t>
      </w:r>
      <w:r w:rsidRPr="000977F7">
        <w:rPr>
          <w:rFonts w:asciiTheme="majorHAnsi" w:hAnsiTheme="majorHAnsi"/>
          <w:spacing w:val="-3"/>
          <w:sz w:val="20"/>
          <w:szCs w:val="20"/>
        </w:rPr>
        <w:t xml:space="preserve"> </w:t>
      </w:r>
      <w:r w:rsidRPr="000977F7">
        <w:rPr>
          <w:rFonts w:asciiTheme="majorHAnsi" w:hAnsiTheme="majorHAnsi"/>
          <w:sz w:val="20"/>
          <w:szCs w:val="20"/>
        </w:rPr>
        <w:t>збереження</w:t>
      </w:r>
      <w:r w:rsidRPr="000977F7">
        <w:rPr>
          <w:rFonts w:asciiTheme="majorHAnsi" w:hAnsiTheme="majorHAnsi"/>
          <w:spacing w:val="-4"/>
          <w:sz w:val="20"/>
          <w:szCs w:val="20"/>
        </w:rPr>
        <w:t xml:space="preserve"> </w:t>
      </w:r>
      <w:r w:rsidRPr="000977F7">
        <w:rPr>
          <w:rFonts w:asciiTheme="majorHAnsi" w:hAnsiTheme="majorHAnsi"/>
          <w:sz w:val="20"/>
          <w:szCs w:val="20"/>
        </w:rPr>
        <w:t>і</w:t>
      </w:r>
      <w:r w:rsidRPr="000977F7">
        <w:rPr>
          <w:rFonts w:asciiTheme="majorHAnsi" w:hAnsiTheme="majorHAnsi"/>
          <w:spacing w:val="-4"/>
          <w:sz w:val="20"/>
          <w:szCs w:val="20"/>
        </w:rPr>
        <w:t xml:space="preserve"> </w:t>
      </w:r>
      <w:r w:rsidRPr="000977F7">
        <w:rPr>
          <w:rFonts w:asciiTheme="majorHAnsi" w:hAnsiTheme="majorHAnsi"/>
          <w:sz w:val="20"/>
          <w:szCs w:val="20"/>
        </w:rPr>
        <w:t>розбірливості;</w:t>
      </w:r>
    </w:p>
    <w:p w14:paraId="6914CEE7" w14:textId="77777777" w:rsidR="0097612F" w:rsidRPr="000977F7" w:rsidRDefault="0097612F" w:rsidP="00FD39A4">
      <w:pPr>
        <w:pStyle w:val="ac"/>
        <w:widowControl w:val="0"/>
        <w:numPr>
          <w:ilvl w:val="0"/>
          <w:numId w:val="164"/>
        </w:numPr>
        <w:tabs>
          <w:tab w:val="left" w:pos="284"/>
          <w:tab w:val="left" w:pos="6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контроль</w:t>
      </w:r>
      <w:r w:rsidRPr="000977F7">
        <w:rPr>
          <w:rFonts w:asciiTheme="majorHAnsi" w:hAnsiTheme="majorHAnsi"/>
          <w:spacing w:val="-4"/>
          <w:sz w:val="20"/>
          <w:szCs w:val="20"/>
        </w:rPr>
        <w:t xml:space="preserve"> </w:t>
      </w:r>
      <w:r w:rsidRPr="000977F7">
        <w:rPr>
          <w:rFonts w:asciiTheme="majorHAnsi" w:hAnsiTheme="majorHAnsi"/>
          <w:sz w:val="20"/>
          <w:szCs w:val="20"/>
        </w:rPr>
        <w:t>змін</w:t>
      </w:r>
      <w:r w:rsidRPr="000977F7">
        <w:rPr>
          <w:rFonts w:asciiTheme="majorHAnsi" w:hAnsiTheme="majorHAnsi"/>
          <w:spacing w:val="-5"/>
          <w:sz w:val="20"/>
          <w:szCs w:val="20"/>
        </w:rPr>
        <w:t xml:space="preserve"> </w:t>
      </w:r>
      <w:r w:rsidRPr="000977F7">
        <w:rPr>
          <w:rFonts w:asciiTheme="majorHAnsi" w:hAnsiTheme="majorHAnsi"/>
          <w:sz w:val="20"/>
          <w:szCs w:val="20"/>
        </w:rPr>
        <w:t>(наприклад,</w:t>
      </w:r>
      <w:r w:rsidRPr="000977F7">
        <w:rPr>
          <w:rFonts w:asciiTheme="majorHAnsi" w:hAnsiTheme="majorHAnsi"/>
          <w:spacing w:val="-4"/>
          <w:sz w:val="20"/>
          <w:szCs w:val="20"/>
        </w:rPr>
        <w:t xml:space="preserve"> </w:t>
      </w:r>
      <w:r w:rsidRPr="000977F7">
        <w:rPr>
          <w:rFonts w:asciiTheme="majorHAnsi" w:hAnsiTheme="majorHAnsi"/>
          <w:sz w:val="20"/>
          <w:szCs w:val="20"/>
        </w:rPr>
        <w:t>контроль</w:t>
      </w:r>
      <w:r w:rsidRPr="000977F7">
        <w:rPr>
          <w:rFonts w:asciiTheme="majorHAnsi" w:hAnsiTheme="majorHAnsi"/>
          <w:spacing w:val="-4"/>
          <w:sz w:val="20"/>
          <w:szCs w:val="20"/>
        </w:rPr>
        <w:t xml:space="preserve"> </w:t>
      </w:r>
      <w:r w:rsidRPr="000977F7">
        <w:rPr>
          <w:rFonts w:asciiTheme="majorHAnsi" w:hAnsiTheme="majorHAnsi"/>
          <w:sz w:val="20"/>
          <w:szCs w:val="20"/>
        </w:rPr>
        <w:t>версії);</w:t>
      </w:r>
    </w:p>
    <w:p w14:paraId="5E526D3A" w14:textId="77777777" w:rsidR="0097612F" w:rsidRPr="000977F7" w:rsidRDefault="0097612F" w:rsidP="00FD39A4">
      <w:pPr>
        <w:pStyle w:val="ac"/>
        <w:widowControl w:val="0"/>
        <w:numPr>
          <w:ilvl w:val="0"/>
          <w:numId w:val="164"/>
        </w:numPr>
        <w:tabs>
          <w:tab w:val="left" w:pos="284"/>
          <w:tab w:val="left" w:pos="65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зберігання</w:t>
      </w:r>
      <w:r w:rsidRPr="000977F7">
        <w:rPr>
          <w:rFonts w:asciiTheme="majorHAnsi" w:hAnsiTheme="majorHAnsi"/>
          <w:spacing w:val="-5"/>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вилучання.</w:t>
      </w:r>
    </w:p>
    <w:p w14:paraId="1B3526D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Задокументовану</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інформацію</w:t>
      </w:r>
      <w:r w:rsidRPr="000977F7">
        <w:rPr>
          <w:rFonts w:asciiTheme="majorHAnsi" w:hAnsiTheme="majorHAnsi"/>
          <w:spacing w:val="1"/>
          <w:sz w:val="20"/>
          <w:szCs w:val="20"/>
        </w:rPr>
        <w:t xml:space="preserve"> </w:t>
      </w:r>
      <w:r w:rsidRPr="000977F7">
        <w:rPr>
          <w:rFonts w:asciiTheme="majorHAnsi" w:hAnsiTheme="majorHAnsi"/>
          <w:sz w:val="20"/>
          <w:szCs w:val="20"/>
        </w:rPr>
        <w:t>зовнішнього</w:t>
      </w:r>
      <w:r w:rsidRPr="000977F7">
        <w:rPr>
          <w:rFonts w:asciiTheme="majorHAnsi" w:hAnsiTheme="majorHAnsi"/>
          <w:spacing w:val="1"/>
          <w:sz w:val="20"/>
          <w:szCs w:val="20"/>
        </w:rPr>
        <w:t xml:space="preserve"> </w:t>
      </w:r>
      <w:r w:rsidRPr="000977F7">
        <w:rPr>
          <w:rFonts w:asciiTheme="majorHAnsi" w:hAnsiTheme="majorHAnsi"/>
          <w:sz w:val="20"/>
          <w:szCs w:val="20"/>
        </w:rPr>
        <w:t>походження, яку організація вважає необхідною для планування та функціювання системи управління якістю,</w:t>
      </w:r>
      <w:r w:rsidRPr="000977F7">
        <w:rPr>
          <w:rFonts w:asciiTheme="majorHAnsi" w:hAnsiTheme="majorHAnsi"/>
          <w:spacing w:val="1"/>
          <w:sz w:val="20"/>
          <w:szCs w:val="20"/>
        </w:rPr>
        <w:t xml:space="preserve"> </w:t>
      </w:r>
      <w:r w:rsidRPr="000977F7">
        <w:rPr>
          <w:rFonts w:asciiTheme="majorHAnsi" w:hAnsiTheme="majorHAnsi"/>
          <w:sz w:val="20"/>
          <w:szCs w:val="20"/>
        </w:rPr>
        <w:t>потрібно ідентифікувати у належний спосіб і контролювати.</w:t>
      </w:r>
    </w:p>
    <w:p w14:paraId="611F8E4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Задокументовану інформацію, яку зберігають як доказ відповідності, потрібно захищати від ненавмисного змінення.</w:t>
      </w:r>
    </w:p>
    <w:p w14:paraId="12A1E58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 р и м і т к а: Доступ може передбачати дозвіл лише</w:t>
      </w:r>
      <w:r w:rsidRPr="000977F7">
        <w:rPr>
          <w:rFonts w:asciiTheme="majorHAnsi" w:hAnsiTheme="majorHAnsi"/>
          <w:spacing w:val="1"/>
          <w:sz w:val="20"/>
          <w:szCs w:val="20"/>
        </w:rPr>
        <w:t xml:space="preserve"> </w:t>
      </w:r>
      <w:r w:rsidRPr="000977F7">
        <w:rPr>
          <w:rFonts w:asciiTheme="majorHAnsi" w:hAnsiTheme="majorHAnsi"/>
          <w:sz w:val="20"/>
          <w:szCs w:val="20"/>
        </w:rPr>
        <w:t>для ознайомлення із задокументованою інформацією</w:t>
      </w:r>
      <w:r w:rsidRPr="000977F7">
        <w:rPr>
          <w:rFonts w:asciiTheme="majorHAnsi" w:hAnsiTheme="majorHAnsi"/>
          <w:spacing w:val="1"/>
          <w:sz w:val="20"/>
          <w:szCs w:val="20"/>
        </w:rPr>
        <w:t xml:space="preserve"> </w:t>
      </w:r>
      <w:r w:rsidRPr="000977F7">
        <w:rPr>
          <w:rFonts w:asciiTheme="majorHAnsi" w:hAnsiTheme="majorHAnsi"/>
          <w:sz w:val="20"/>
          <w:szCs w:val="20"/>
        </w:rPr>
        <w:t>або про дозвіл для ознайомлення із задокументованою</w:t>
      </w:r>
      <w:r w:rsidRPr="000977F7">
        <w:rPr>
          <w:rFonts w:asciiTheme="majorHAnsi" w:hAnsiTheme="majorHAnsi"/>
          <w:spacing w:val="-48"/>
          <w:sz w:val="20"/>
          <w:szCs w:val="20"/>
        </w:rPr>
        <w:t xml:space="preserve"> </w:t>
      </w:r>
      <w:r w:rsidRPr="000977F7">
        <w:rPr>
          <w:rFonts w:asciiTheme="majorHAnsi" w:hAnsiTheme="majorHAnsi"/>
          <w:sz w:val="20"/>
          <w:szCs w:val="20"/>
        </w:rPr>
        <w:t>інформацією та повноваження щодо внесення змін до</w:t>
      </w:r>
      <w:r w:rsidRPr="000977F7">
        <w:rPr>
          <w:rFonts w:asciiTheme="majorHAnsi" w:hAnsiTheme="majorHAnsi"/>
          <w:spacing w:val="1"/>
          <w:sz w:val="20"/>
          <w:szCs w:val="20"/>
        </w:rPr>
        <w:t xml:space="preserve"> </w:t>
      </w:r>
      <w:r w:rsidRPr="000977F7">
        <w:rPr>
          <w:rFonts w:asciiTheme="majorHAnsi" w:hAnsiTheme="majorHAnsi"/>
          <w:sz w:val="20"/>
          <w:szCs w:val="20"/>
        </w:rPr>
        <w:t>неї.</w:t>
      </w:r>
    </w:p>
    <w:p w14:paraId="67F02F0F"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2"/>
          <w:sz w:val="20"/>
          <w:szCs w:val="20"/>
        </w:rPr>
        <w:t xml:space="preserve"> </w:t>
      </w:r>
      <w:r w:rsidRPr="000977F7">
        <w:rPr>
          <w:rFonts w:asciiTheme="majorHAnsi" w:hAnsiTheme="majorHAnsi"/>
          <w:i/>
          <w:iCs/>
          <w:sz w:val="20"/>
          <w:szCs w:val="20"/>
        </w:rPr>
        <w:t>ISO</w:t>
      </w:r>
      <w:r w:rsidRPr="000977F7">
        <w:rPr>
          <w:rFonts w:asciiTheme="majorHAnsi" w:hAnsiTheme="majorHAnsi"/>
          <w:i/>
          <w:iCs/>
          <w:spacing w:val="-2"/>
          <w:sz w:val="20"/>
          <w:szCs w:val="20"/>
        </w:rPr>
        <w:t xml:space="preserve"> </w:t>
      </w:r>
      <w:r w:rsidRPr="000977F7">
        <w:rPr>
          <w:rFonts w:asciiTheme="majorHAnsi" w:hAnsiTheme="majorHAnsi"/>
          <w:i/>
          <w:iCs/>
          <w:sz w:val="20"/>
          <w:szCs w:val="20"/>
        </w:rPr>
        <w:t>9001-2015</w:t>
      </w:r>
    </w:p>
    <w:p w14:paraId="044A2E5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w:t>
      </w:r>
      <w:r w:rsidRPr="000977F7">
        <w:rPr>
          <w:color w:val="auto"/>
          <w:spacing w:val="-3"/>
          <w:sz w:val="20"/>
          <w:szCs w:val="20"/>
        </w:rPr>
        <w:t xml:space="preserve"> </w:t>
      </w:r>
      <w:r w:rsidRPr="000977F7">
        <w:rPr>
          <w:color w:val="auto"/>
          <w:sz w:val="20"/>
          <w:szCs w:val="20"/>
        </w:rPr>
        <w:t>ЗМІН –</w:t>
      </w:r>
    </w:p>
    <w:p w14:paraId="2CDF811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Оганізація повинна аналізувати та контролювати зміни у виготовленні продукції чи надання послуг у ступінь, потрібний для забезпечення постійної відповідності</w:t>
      </w:r>
      <w:r w:rsidRPr="000977F7">
        <w:rPr>
          <w:rFonts w:asciiTheme="majorHAnsi" w:hAnsiTheme="majorHAnsi"/>
          <w:spacing w:val="-2"/>
          <w:sz w:val="20"/>
          <w:szCs w:val="20"/>
        </w:rPr>
        <w:t xml:space="preserve"> </w:t>
      </w:r>
      <w:r w:rsidRPr="000977F7">
        <w:rPr>
          <w:rFonts w:asciiTheme="majorHAnsi" w:hAnsiTheme="majorHAnsi"/>
          <w:sz w:val="20"/>
          <w:szCs w:val="20"/>
        </w:rPr>
        <w:t>вимогам.</w:t>
      </w:r>
    </w:p>
    <w:p w14:paraId="15672007"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Організація повинна зберігати задокументовану інформацію, що описує результати аналізування змін,</w:t>
      </w:r>
      <w:r w:rsidRPr="000977F7">
        <w:rPr>
          <w:rFonts w:asciiTheme="majorHAnsi" w:hAnsiTheme="majorHAnsi"/>
          <w:spacing w:val="-47"/>
          <w:sz w:val="20"/>
          <w:szCs w:val="20"/>
        </w:rPr>
        <w:t xml:space="preserve"> </w:t>
      </w:r>
      <w:r w:rsidRPr="000977F7">
        <w:rPr>
          <w:rFonts w:asciiTheme="majorHAnsi" w:hAnsiTheme="majorHAnsi"/>
          <w:sz w:val="20"/>
          <w:szCs w:val="20"/>
        </w:rPr>
        <w:t>особу (осіб), яка(-і) санкціює(-ють) зміну, а також</w:t>
      </w:r>
      <w:r w:rsidRPr="000977F7">
        <w:rPr>
          <w:rFonts w:asciiTheme="majorHAnsi" w:hAnsiTheme="majorHAnsi"/>
          <w:spacing w:val="1"/>
          <w:sz w:val="20"/>
          <w:szCs w:val="20"/>
        </w:rPr>
        <w:t xml:space="preserve"> </w:t>
      </w:r>
      <w:r w:rsidRPr="000977F7">
        <w:rPr>
          <w:rFonts w:asciiTheme="majorHAnsi" w:hAnsiTheme="majorHAnsi"/>
          <w:sz w:val="20"/>
          <w:szCs w:val="20"/>
        </w:rPr>
        <w:t>будь-які необхідні дії за результатами аналізування.</w:t>
      </w:r>
      <w:r w:rsidRPr="000977F7">
        <w:rPr>
          <w:rFonts w:asciiTheme="majorHAnsi" w:hAnsiTheme="majorHAnsi"/>
          <w:spacing w:val="-47"/>
          <w:sz w:val="20"/>
          <w:szCs w:val="20"/>
        </w:rPr>
        <w:t xml:space="preserve"> </w:t>
      </w:r>
    </w:p>
    <w:p w14:paraId="30445E85"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1"/>
          <w:sz w:val="20"/>
          <w:szCs w:val="20"/>
        </w:rPr>
        <w:t xml:space="preserve"> </w:t>
      </w:r>
      <w:r w:rsidRPr="000977F7">
        <w:rPr>
          <w:rFonts w:asciiTheme="majorHAnsi" w:hAnsiTheme="majorHAnsi"/>
          <w:i/>
          <w:iCs/>
          <w:sz w:val="20"/>
          <w:szCs w:val="20"/>
        </w:rPr>
        <w:t>ISO 9001 - 2015</w:t>
      </w:r>
    </w:p>
    <w:p w14:paraId="49EAF41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w:t>
      </w:r>
      <w:r w:rsidRPr="000977F7">
        <w:rPr>
          <w:color w:val="auto"/>
          <w:spacing w:val="-5"/>
          <w:sz w:val="20"/>
          <w:szCs w:val="20"/>
        </w:rPr>
        <w:t xml:space="preserve"> </w:t>
      </w:r>
      <w:r w:rsidRPr="000977F7">
        <w:rPr>
          <w:color w:val="auto"/>
          <w:sz w:val="20"/>
          <w:szCs w:val="20"/>
        </w:rPr>
        <w:t>НЕВІДПОВІДНИХ</w:t>
      </w:r>
      <w:r w:rsidRPr="000977F7">
        <w:rPr>
          <w:color w:val="auto"/>
          <w:spacing w:val="-4"/>
          <w:sz w:val="20"/>
          <w:szCs w:val="20"/>
        </w:rPr>
        <w:t xml:space="preserve"> </w:t>
      </w:r>
      <w:r w:rsidRPr="000977F7">
        <w:rPr>
          <w:color w:val="auto"/>
          <w:sz w:val="20"/>
          <w:szCs w:val="20"/>
        </w:rPr>
        <w:t>ВИХОДІВ –</w:t>
      </w:r>
    </w:p>
    <w:p w14:paraId="55A25BF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Організація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повинна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забезпечувати</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ідентифікування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та контролювання виходів, які не відповідають вимогам до них, щоб запобігти їх непередбаченому використанню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постачанню.</w:t>
      </w:r>
    </w:p>
    <w:p w14:paraId="50AFBFA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4D2D14">
        <w:rPr>
          <w:rFonts w:asciiTheme="majorHAnsi" w:hAnsiTheme="majorHAnsi"/>
          <w:sz w:val="20"/>
          <w:szCs w:val="20"/>
          <w:lang w:val="uk-UA"/>
        </w:rPr>
        <w:t xml:space="preserve">Організація повинна виконувати відповідні дії, зважаючи на характер невідповідності та її вплив на відповідність продукції та послуг. </w:t>
      </w:r>
      <w:r w:rsidRPr="000977F7">
        <w:rPr>
          <w:rFonts w:asciiTheme="majorHAnsi" w:hAnsiTheme="majorHAnsi"/>
          <w:sz w:val="20"/>
          <w:szCs w:val="20"/>
        </w:rPr>
        <w:t>Це треба також застосовувати до невідповідної продукції та послуг, вичавлених після постачання продукції, під час або після</w:t>
      </w:r>
      <w:r w:rsidRPr="000977F7">
        <w:rPr>
          <w:rFonts w:asciiTheme="majorHAnsi" w:hAnsiTheme="majorHAnsi"/>
          <w:spacing w:val="1"/>
          <w:sz w:val="20"/>
          <w:szCs w:val="20"/>
        </w:rPr>
        <w:t xml:space="preserve"> </w:t>
      </w:r>
      <w:r w:rsidRPr="000977F7">
        <w:rPr>
          <w:rFonts w:asciiTheme="majorHAnsi" w:hAnsiTheme="majorHAnsi"/>
          <w:sz w:val="20"/>
          <w:szCs w:val="20"/>
        </w:rPr>
        <w:t>надання</w:t>
      </w:r>
      <w:r w:rsidRPr="000977F7">
        <w:rPr>
          <w:rFonts w:asciiTheme="majorHAnsi" w:hAnsiTheme="majorHAnsi"/>
          <w:spacing w:val="-2"/>
          <w:sz w:val="20"/>
          <w:szCs w:val="20"/>
        </w:rPr>
        <w:t xml:space="preserve"> </w:t>
      </w:r>
      <w:r w:rsidRPr="000977F7">
        <w:rPr>
          <w:rFonts w:asciiTheme="majorHAnsi" w:hAnsiTheme="majorHAnsi"/>
          <w:sz w:val="20"/>
          <w:szCs w:val="20"/>
        </w:rPr>
        <w:t>послуг.</w:t>
      </w:r>
    </w:p>
    <w:p w14:paraId="0157E26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діяти щодо невідповідних виходів</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один</w:t>
      </w:r>
      <w:r w:rsidRPr="000977F7">
        <w:rPr>
          <w:rFonts w:asciiTheme="majorHAnsi" w:hAnsiTheme="majorHAnsi"/>
          <w:spacing w:val="-1"/>
          <w:sz w:val="20"/>
          <w:szCs w:val="20"/>
        </w:rPr>
        <w:t xml:space="preserve"> </w:t>
      </w:r>
      <w:r w:rsidRPr="000977F7">
        <w:rPr>
          <w:rFonts w:asciiTheme="majorHAnsi" w:hAnsiTheme="majorHAnsi"/>
          <w:sz w:val="20"/>
          <w:szCs w:val="20"/>
        </w:rPr>
        <w:t>або кілька</w:t>
      </w:r>
      <w:r w:rsidRPr="000977F7">
        <w:rPr>
          <w:rFonts w:asciiTheme="majorHAnsi" w:hAnsiTheme="majorHAnsi"/>
          <w:spacing w:val="-1"/>
          <w:sz w:val="20"/>
          <w:szCs w:val="20"/>
        </w:rPr>
        <w:t xml:space="preserve"> </w:t>
      </w:r>
      <w:r w:rsidRPr="000977F7">
        <w:rPr>
          <w:rFonts w:asciiTheme="majorHAnsi" w:hAnsiTheme="majorHAnsi"/>
          <w:sz w:val="20"/>
          <w:szCs w:val="20"/>
        </w:rPr>
        <w:t>з таких</w:t>
      </w:r>
      <w:r w:rsidRPr="000977F7">
        <w:rPr>
          <w:rFonts w:asciiTheme="majorHAnsi" w:hAnsiTheme="majorHAnsi"/>
          <w:spacing w:val="-1"/>
          <w:sz w:val="20"/>
          <w:szCs w:val="20"/>
        </w:rPr>
        <w:t xml:space="preserve"> </w:t>
      </w:r>
      <w:r w:rsidRPr="000977F7">
        <w:rPr>
          <w:rFonts w:asciiTheme="majorHAnsi" w:hAnsiTheme="majorHAnsi"/>
          <w:sz w:val="20"/>
          <w:szCs w:val="20"/>
        </w:rPr>
        <w:t>способів:</w:t>
      </w:r>
    </w:p>
    <w:p w14:paraId="23954B82" w14:textId="77777777" w:rsidR="0097612F" w:rsidRPr="000977F7" w:rsidRDefault="0097612F" w:rsidP="00FD39A4">
      <w:pPr>
        <w:pStyle w:val="ac"/>
        <w:widowControl w:val="0"/>
        <w:numPr>
          <w:ilvl w:val="0"/>
          <w:numId w:val="163"/>
        </w:numPr>
        <w:tabs>
          <w:tab w:val="left" w:pos="284"/>
          <w:tab w:val="left" w:pos="6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коригування;</w:t>
      </w:r>
    </w:p>
    <w:p w14:paraId="317E75A6" w14:textId="77777777" w:rsidR="0097612F" w:rsidRPr="000977F7" w:rsidRDefault="0097612F" w:rsidP="00FD39A4">
      <w:pPr>
        <w:pStyle w:val="ac"/>
        <w:widowControl w:val="0"/>
        <w:numPr>
          <w:ilvl w:val="0"/>
          <w:numId w:val="163"/>
        </w:numPr>
        <w:tabs>
          <w:tab w:val="left" w:pos="284"/>
          <w:tab w:val="left" w:pos="68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відокремлення,</w:t>
      </w:r>
      <w:r w:rsidRPr="000977F7">
        <w:rPr>
          <w:rFonts w:asciiTheme="majorHAnsi" w:hAnsiTheme="majorHAnsi"/>
          <w:spacing w:val="17"/>
          <w:sz w:val="20"/>
          <w:szCs w:val="20"/>
        </w:rPr>
        <w:t xml:space="preserve"> </w:t>
      </w:r>
      <w:r w:rsidRPr="000977F7">
        <w:rPr>
          <w:rFonts w:asciiTheme="majorHAnsi" w:hAnsiTheme="majorHAnsi"/>
          <w:sz w:val="20"/>
          <w:szCs w:val="20"/>
        </w:rPr>
        <w:t>обмеження</w:t>
      </w:r>
      <w:r w:rsidRPr="000977F7">
        <w:rPr>
          <w:rFonts w:asciiTheme="majorHAnsi" w:hAnsiTheme="majorHAnsi"/>
          <w:spacing w:val="17"/>
          <w:sz w:val="20"/>
          <w:szCs w:val="20"/>
        </w:rPr>
        <w:t xml:space="preserve"> </w:t>
      </w:r>
      <w:r w:rsidRPr="000977F7">
        <w:rPr>
          <w:rFonts w:asciiTheme="majorHAnsi" w:hAnsiTheme="majorHAnsi"/>
          <w:sz w:val="20"/>
          <w:szCs w:val="20"/>
        </w:rPr>
        <w:t>розповсюдження,</w:t>
      </w:r>
      <w:r w:rsidRPr="000977F7">
        <w:rPr>
          <w:rFonts w:asciiTheme="majorHAnsi" w:hAnsiTheme="majorHAnsi"/>
          <w:spacing w:val="22"/>
          <w:sz w:val="20"/>
          <w:szCs w:val="20"/>
        </w:rPr>
        <w:t xml:space="preserve"> </w:t>
      </w:r>
      <w:r w:rsidRPr="000977F7">
        <w:rPr>
          <w:rFonts w:asciiTheme="majorHAnsi" w:hAnsiTheme="majorHAnsi"/>
          <w:sz w:val="20"/>
          <w:szCs w:val="20"/>
        </w:rPr>
        <w:t>повернення</w:t>
      </w:r>
      <w:r w:rsidRPr="000977F7">
        <w:rPr>
          <w:rFonts w:asciiTheme="majorHAnsi" w:hAnsiTheme="majorHAnsi"/>
          <w:spacing w:val="-5"/>
          <w:sz w:val="20"/>
          <w:szCs w:val="20"/>
        </w:rPr>
        <w:t xml:space="preserve"> </w:t>
      </w:r>
      <w:r w:rsidRPr="000977F7">
        <w:rPr>
          <w:rFonts w:asciiTheme="majorHAnsi" w:hAnsiTheme="majorHAnsi"/>
          <w:sz w:val="20"/>
          <w:szCs w:val="20"/>
        </w:rPr>
        <w:t>чи</w:t>
      </w:r>
      <w:r w:rsidRPr="000977F7">
        <w:rPr>
          <w:rFonts w:asciiTheme="majorHAnsi" w:hAnsiTheme="majorHAnsi"/>
          <w:spacing w:val="-3"/>
          <w:sz w:val="20"/>
          <w:szCs w:val="20"/>
        </w:rPr>
        <w:t xml:space="preserve"> </w:t>
      </w:r>
      <w:r w:rsidRPr="000977F7">
        <w:rPr>
          <w:rFonts w:asciiTheme="majorHAnsi" w:hAnsiTheme="majorHAnsi"/>
          <w:sz w:val="20"/>
          <w:szCs w:val="20"/>
        </w:rPr>
        <w:t>призупинення</w:t>
      </w:r>
      <w:r w:rsidRPr="000977F7">
        <w:rPr>
          <w:rFonts w:asciiTheme="majorHAnsi" w:hAnsiTheme="majorHAnsi"/>
          <w:spacing w:val="-5"/>
          <w:sz w:val="20"/>
          <w:szCs w:val="20"/>
        </w:rPr>
        <w:t xml:space="preserve"> </w:t>
      </w:r>
      <w:r w:rsidRPr="000977F7">
        <w:rPr>
          <w:rFonts w:asciiTheme="majorHAnsi" w:hAnsiTheme="majorHAnsi"/>
          <w:sz w:val="20"/>
          <w:szCs w:val="20"/>
        </w:rPr>
        <w:t>надання</w:t>
      </w:r>
      <w:r w:rsidRPr="000977F7">
        <w:rPr>
          <w:rFonts w:asciiTheme="majorHAnsi" w:hAnsiTheme="majorHAnsi"/>
          <w:spacing w:val="-5"/>
          <w:sz w:val="20"/>
          <w:szCs w:val="20"/>
        </w:rPr>
        <w:t xml:space="preserve"> </w:t>
      </w:r>
      <w:r w:rsidRPr="000977F7">
        <w:rPr>
          <w:rFonts w:asciiTheme="majorHAnsi" w:hAnsiTheme="majorHAnsi"/>
          <w:sz w:val="20"/>
          <w:szCs w:val="20"/>
        </w:rPr>
        <w:t>продукції</w:t>
      </w:r>
      <w:r w:rsidRPr="000977F7">
        <w:rPr>
          <w:rFonts w:asciiTheme="majorHAnsi" w:hAnsiTheme="majorHAnsi"/>
          <w:spacing w:val="-5"/>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послуг;</w:t>
      </w:r>
    </w:p>
    <w:p w14:paraId="5B7421DB" w14:textId="77777777" w:rsidR="0097612F" w:rsidRPr="000977F7" w:rsidRDefault="0097612F" w:rsidP="00FD39A4">
      <w:pPr>
        <w:pStyle w:val="ac"/>
        <w:widowControl w:val="0"/>
        <w:numPr>
          <w:ilvl w:val="0"/>
          <w:numId w:val="163"/>
        </w:numPr>
        <w:tabs>
          <w:tab w:val="left" w:pos="284"/>
          <w:tab w:val="left" w:pos="6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інформування</w:t>
      </w:r>
      <w:r w:rsidRPr="000977F7">
        <w:rPr>
          <w:rFonts w:asciiTheme="majorHAnsi" w:hAnsiTheme="majorHAnsi"/>
          <w:spacing w:val="-7"/>
          <w:sz w:val="20"/>
          <w:szCs w:val="20"/>
        </w:rPr>
        <w:t xml:space="preserve"> </w:t>
      </w:r>
      <w:r w:rsidRPr="000977F7">
        <w:rPr>
          <w:rFonts w:asciiTheme="majorHAnsi" w:hAnsiTheme="majorHAnsi"/>
          <w:sz w:val="20"/>
          <w:szCs w:val="20"/>
        </w:rPr>
        <w:t>замовника;</w:t>
      </w:r>
    </w:p>
    <w:p w14:paraId="1143A7C4" w14:textId="77777777" w:rsidR="0097612F" w:rsidRPr="000977F7" w:rsidRDefault="0097612F" w:rsidP="00FD39A4">
      <w:pPr>
        <w:pStyle w:val="ac"/>
        <w:widowControl w:val="0"/>
        <w:numPr>
          <w:ilvl w:val="0"/>
          <w:numId w:val="163"/>
        </w:numPr>
        <w:tabs>
          <w:tab w:val="left" w:pos="284"/>
          <w:tab w:val="left" w:pos="65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lastRenderedPageBreak/>
        <w:t>одержання дозволу на приймання за поступкою.</w:t>
      </w:r>
      <w:r w:rsidRPr="000977F7">
        <w:rPr>
          <w:rFonts w:asciiTheme="majorHAnsi" w:hAnsiTheme="majorHAnsi"/>
          <w:spacing w:val="1"/>
          <w:sz w:val="20"/>
          <w:szCs w:val="20"/>
        </w:rPr>
        <w:t xml:space="preserve"> </w:t>
      </w:r>
      <w:r w:rsidRPr="000977F7">
        <w:rPr>
          <w:rFonts w:asciiTheme="majorHAnsi" w:hAnsiTheme="majorHAnsi"/>
          <w:sz w:val="20"/>
          <w:szCs w:val="20"/>
        </w:rPr>
        <w:t>Після</w:t>
      </w:r>
      <w:r w:rsidRPr="000977F7">
        <w:rPr>
          <w:rFonts w:asciiTheme="majorHAnsi" w:hAnsiTheme="majorHAnsi"/>
          <w:spacing w:val="3"/>
          <w:sz w:val="20"/>
          <w:szCs w:val="20"/>
        </w:rPr>
        <w:t xml:space="preserve"> </w:t>
      </w:r>
      <w:r w:rsidRPr="000977F7">
        <w:rPr>
          <w:rFonts w:asciiTheme="majorHAnsi" w:hAnsiTheme="majorHAnsi"/>
          <w:sz w:val="20"/>
          <w:szCs w:val="20"/>
        </w:rPr>
        <w:t>того,</w:t>
      </w:r>
      <w:r w:rsidRPr="000977F7">
        <w:rPr>
          <w:rFonts w:asciiTheme="majorHAnsi" w:hAnsiTheme="majorHAnsi"/>
          <w:spacing w:val="2"/>
          <w:sz w:val="20"/>
          <w:szCs w:val="20"/>
        </w:rPr>
        <w:t xml:space="preserve"> </w:t>
      </w:r>
      <w:r w:rsidRPr="000977F7">
        <w:rPr>
          <w:rFonts w:asciiTheme="majorHAnsi" w:hAnsiTheme="majorHAnsi"/>
          <w:sz w:val="20"/>
          <w:szCs w:val="20"/>
        </w:rPr>
        <w:t>як</w:t>
      </w:r>
      <w:r w:rsidRPr="000977F7">
        <w:rPr>
          <w:rFonts w:asciiTheme="majorHAnsi" w:hAnsiTheme="majorHAnsi"/>
          <w:spacing w:val="3"/>
          <w:sz w:val="20"/>
          <w:szCs w:val="20"/>
        </w:rPr>
        <w:t xml:space="preserve"> </w:t>
      </w:r>
      <w:r w:rsidRPr="000977F7">
        <w:rPr>
          <w:rFonts w:asciiTheme="majorHAnsi" w:hAnsiTheme="majorHAnsi"/>
          <w:sz w:val="20"/>
          <w:szCs w:val="20"/>
        </w:rPr>
        <w:t>невідповідні</w:t>
      </w:r>
      <w:r w:rsidRPr="000977F7">
        <w:rPr>
          <w:rFonts w:asciiTheme="majorHAnsi" w:hAnsiTheme="majorHAnsi"/>
          <w:spacing w:val="4"/>
          <w:sz w:val="20"/>
          <w:szCs w:val="20"/>
        </w:rPr>
        <w:t xml:space="preserve"> </w:t>
      </w:r>
      <w:r w:rsidRPr="000977F7">
        <w:rPr>
          <w:rFonts w:asciiTheme="majorHAnsi" w:hAnsiTheme="majorHAnsi"/>
          <w:sz w:val="20"/>
          <w:szCs w:val="20"/>
        </w:rPr>
        <w:t>виходи</w:t>
      </w:r>
      <w:r w:rsidRPr="000977F7">
        <w:rPr>
          <w:rFonts w:asciiTheme="majorHAnsi" w:hAnsiTheme="majorHAnsi"/>
          <w:spacing w:val="1"/>
          <w:sz w:val="20"/>
          <w:szCs w:val="20"/>
        </w:rPr>
        <w:t xml:space="preserve"> </w:t>
      </w:r>
      <w:r w:rsidRPr="000977F7">
        <w:rPr>
          <w:rFonts w:asciiTheme="majorHAnsi" w:hAnsiTheme="majorHAnsi"/>
          <w:sz w:val="20"/>
          <w:szCs w:val="20"/>
        </w:rPr>
        <w:t>скориговано,</w:t>
      </w:r>
      <w:r w:rsidRPr="000977F7">
        <w:rPr>
          <w:rFonts w:asciiTheme="majorHAnsi" w:hAnsiTheme="majorHAnsi"/>
          <w:spacing w:val="2"/>
          <w:sz w:val="20"/>
          <w:szCs w:val="20"/>
        </w:rPr>
        <w:t xml:space="preserve"> </w:t>
      </w:r>
      <w:r w:rsidRPr="000977F7">
        <w:rPr>
          <w:rFonts w:asciiTheme="majorHAnsi" w:hAnsiTheme="majorHAnsi"/>
          <w:sz w:val="20"/>
          <w:szCs w:val="20"/>
        </w:rPr>
        <w:t>потрібно</w:t>
      </w:r>
      <w:r w:rsidRPr="000977F7">
        <w:rPr>
          <w:rFonts w:asciiTheme="majorHAnsi" w:hAnsiTheme="majorHAnsi"/>
          <w:spacing w:val="4"/>
          <w:sz w:val="20"/>
          <w:szCs w:val="20"/>
        </w:rPr>
        <w:t xml:space="preserve"> </w:t>
      </w:r>
      <w:r w:rsidRPr="000977F7">
        <w:rPr>
          <w:rFonts w:asciiTheme="majorHAnsi" w:hAnsiTheme="majorHAnsi"/>
          <w:sz w:val="20"/>
          <w:szCs w:val="20"/>
        </w:rPr>
        <w:t>перевірити</w:t>
      </w:r>
      <w:r w:rsidRPr="000977F7">
        <w:rPr>
          <w:rFonts w:asciiTheme="majorHAnsi" w:hAnsiTheme="majorHAnsi"/>
          <w:spacing w:val="3"/>
          <w:sz w:val="20"/>
          <w:szCs w:val="20"/>
        </w:rPr>
        <w:t xml:space="preserve"> </w:t>
      </w:r>
      <w:r w:rsidRPr="000977F7">
        <w:rPr>
          <w:rFonts w:asciiTheme="majorHAnsi" w:hAnsiTheme="majorHAnsi"/>
          <w:sz w:val="20"/>
          <w:szCs w:val="20"/>
        </w:rPr>
        <w:t>їх</w:t>
      </w:r>
      <w:r w:rsidRPr="000977F7">
        <w:rPr>
          <w:rFonts w:asciiTheme="majorHAnsi" w:hAnsiTheme="majorHAnsi"/>
          <w:spacing w:val="3"/>
          <w:sz w:val="20"/>
          <w:szCs w:val="20"/>
        </w:rPr>
        <w:t xml:space="preserve"> </w:t>
      </w:r>
      <w:r w:rsidRPr="000977F7">
        <w:rPr>
          <w:rFonts w:asciiTheme="majorHAnsi" w:hAnsiTheme="majorHAnsi"/>
          <w:sz w:val="20"/>
          <w:szCs w:val="20"/>
        </w:rPr>
        <w:t>відповідність</w:t>
      </w:r>
      <w:r w:rsidRPr="000977F7">
        <w:rPr>
          <w:rFonts w:asciiTheme="majorHAnsi" w:hAnsiTheme="majorHAnsi"/>
          <w:spacing w:val="2"/>
          <w:sz w:val="20"/>
          <w:szCs w:val="20"/>
        </w:rPr>
        <w:t xml:space="preserve"> </w:t>
      </w:r>
      <w:r w:rsidRPr="000977F7">
        <w:rPr>
          <w:rFonts w:asciiTheme="majorHAnsi" w:hAnsiTheme="majorHAnsi"/>
          <w:sz w:val="20"/>
          <w:szCs w:val="20"/>
        </w:rPr>
        <w:t>вимогам.</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повинна</w:t>
      </w:r>
      <w:r w:rsidRPr="000977F7">
        <w:rPr>
          <w:rFonts w:asciiTheme="majorHAnsi" w:hAnsiTheme="majorHAnsi"/>
          <w:spacing w:val="1"/>
          <w:sz w:val="20"/>
          <w:szCs w:val="20"/>
        </w:rPr>
        <w:t xml:space="preserve"> </w:t>
      </w:r>
      <w:r w:rsidRPr="000977F7">
        <w:rPr>
          <w:rFonts w:asciiTheme="majorHAnsi" w:hAnsiTheme="majorHAnsi"/>
          <w:sz w:val="20"/>
          <w:szCs w:val="20"/>
        </w:rPr>
        <w:t>зберігати</w:t>
      </w:r>
      <w:r w:rsidRPr="000977F7">
        <w:rPr>
          <w:rFonts w:asciiTheme="majorHAnsi" w:hAnsiTheme="majorHAnsi"/>
          <w:spacing w:val="1"/>
          <w:sz w:val="20"/>
          <w:szCs w:val="20"/>
        </w:rPr>
        <w:t xml:space="preserve"> </w:t>
      </w:r>
      <w:r w:rsidRPr="000977F7">
        <w:rPr>
          <w:rFonts w:asciiTheme="majorHAnsi" w:hAnsiTheme="majorHAnsi"/>
          <w:sz w:val="20"/>
          <w:szCs w:val="20"/>
        </w:rPr>
        <w:t>задокументовану</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інформацію,</w:t>
      </w:r>
      <w:r w:rsidRPr="000977F7">
        <w:rPr>
          <w:rFonts w:asciiTheme="majorHAnsi" w:hAnsiTheme="majorHAnsi"/>
          <w:spacing w:val="-1"/>
          <w:sz w:val="20"/>
          <w:szCs w:val="20"/>
        </w:rPr>
        <w:t xml:space="preserve"> </w:t>
      </w:r>
      <w:r w:rsidRPr="000977F7">
        <w:rPr>
          <w:rFonts w:asciiTheme="majorHAnsi" w:hAnsiTheme="majorHAnsi"/>
          <w:sz w:val="20"/>
          <w:szCs w:val="20"/>
        </w:rPr>
        <w:t>яка</w:t>
      </w:r>
    </w:p>
    <w:p w14:paraId="6B87B3DC" w14:textId="77777777" w:rsidR="0097612F" w:rsidRPr="000977F7" w:rsidRDefault="0097612F" w:rsidP="00FD39A4">
      <w:pPr>
        <w:pStyle w:val="ac"/>
        <w:widowControl w:val="0"/>
        <w:numPr>
          <w:ilvl w:val="0"/>
          <w:numId w:val="162"/>
        </w:numPr>
        <w:tabs>
          <w:tab w:val="left" w:pos="284"/>
          <w:tab w:val="left" w:pos="6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описує</w:t>
      </w:r>
      <w:r w:rsidRPr="000977F7">
        <w:rPr>
          <w:rFonts w:asciiTheme="majorHAnsi" w:hAnsiTheme="majorHAnsi"/>
          <w:spacing w:val="-9"/>
          <w:sz w:val="20"/>
          <w:szCs w:val="20"/>
        </w:rPr>
        <w:t xml:space="preserve"> </w:t>
      </w:r>
      <w:r w:rsidRPr="000977F7">
        <w:rPr>
          <w:rFonts w:asciiTheme="majorHAnsi" w:hAnsiTheme="majorHAnsi"/>
          <w:sz w:val="20"/>
          <w:szCs w:val="20"/>
        </w:rPr>
        <w:t>невідповідність;</w:t>
      </w:r>
    </w:p>
    <w:p w14:paraId="500BFED3" w14:textId="77777777" w:rsidR="0097612F" w:rsidRPr="000977F7" w:rsidRDefault="0097612F" w:rsidP="00FD39A4">
      <w:pPr>
        <w:pStyle w:val="ac"/>
        <w:widowControl w:val="0"/>
        <w:numPr>
          <w:ilvl w:val="0"/>
          <w:numId w:val="162"/>
        </w:numPr>
        <w:tabs>
          <w:tab w:val="left" w:pos="284"/>
          <w:tab w:val="left" w:pos="65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описує</w:t>
      </w:r>
      <w:r w:rsidRPr="000977F7">
        <w:rPr>
          <w:rFonts w:asciiTheme="majorHAnsi" w:hAnsiTheme="majorHAnsi"/>
          <w:spacing w:val="-5"/>
          <w:sz w:val="20"/>
          <w:szCs w:val="20"/>
        </w:rPr>
        <w:t xml:space="preserve"> </w:t>
      </w:r>
      <w:r w:rsidRPr="000977F7">
        <w:rPr>
          <w:rFonts w:asciiTheme="majorHAnsi" w:hAnsiTheme="majorHAnsi"/>
          <w:sz w:val="20"/>
          <w:szCs w:val="20"/>
        </w:rPr>
        <w:t>виконані</w:t>
      </w:r>
      <w:r w:rsidRPr="000977F7">
        <w:rPr>
          <w:rFonts w:asciiTheme="majorHAnsi" w:hAnsiTheme="majorHAnsi"/>
          <w:spacing w:val="-5"/>
          <w:sz w:val="20"/>
          <w:szCs w:val="20"/>
        </w:rPr>
        <w:t xml:space="preserve"> </w:t>
      </w:r>
      <w:r w:rsidRPr="000977F7">
        <w:rPr>
          <w:rFonts w:asciiTheme="majorHAnsi" w:hAnsiTheme="majorHAnsi"/>
          <w:sz w:val="20"/>
          <w:szCs w:val="20"/>
        </w:rPr>
        <w:t>дії;</w:t>
      </w:r>
    </w:p>
    <w:p w14:paraId="773BC0E3" w14:textId="77777777" w:rsidR="0097612F" w:rsidRPr="000977F7" w:rsidRDefault="0097612F" w:rsidP="00FD39A4">
      <w:pPr>
        <w:pStyle w:val="ac"/>
        <w:widowControl w:val="0"/>
        <w:numPr>
          <w:ilvl w:val="0"/>
          <w:numId w:val="162"/>
        </w:numPr>
        <w:tabs>
          <w:tab w:val="left" w:pos="284"/>
          <w:tab w:val="left" w:pos="6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описує</w:t>
      </w:r>
      <w:r w:rsidRPr="000977F7">
        <w:rPr>
          <w:rFonts w:asciiTheme="majorHAnsi" w:hAnsiTheme="majorHAnsi"/>
          <w:spacing w:val="-5"/>
          <w:sz w:val="20"/>
          <w:szCs w:val="20"/>
        </w:rPr>
        <w:t xml:space="preserve"> </w:t>
      </w:r>
      <w:r w:rsidRPr="000977F7">
        <w:rPr>
          <w:rFonts w:asciiTheme="majorHAnsi" w:hAnsiTheme="majorHAnsi"/>
          <w:sz w:val="20"/>
          <w:szCs w:val="20"/>
        </w:rPr>
        <w:t>будь-які</w:t>
      </w:r>
      <w:r w:rsidRPr="000977F7">
        <w:rPr>
          <w:rFonts w:asciiTheme="majorHAnsi" w:hAnsiTheme="majorHAnsi"/>
          <w:spacing w:val="-6"/>
          <w:sz w:val="20"/>
          <w:szCs w:val="20"/>
        </w:rPr>
        <w:t xml:space="preserve"> </w:t>
      </w:r>
      <w:r w:rsidRPr="000977F7">
        <w:rPr>
          <w:rFonts w:asciiTheme="majorHAnsi" w:hAnsiTheme="majorHAnsi"/>
          <w:sz w:val="20"/>
          <w:szCs w:val="20"/>
        </w:rPr>
        <w:t>одержані</w:t>
      </w:r>
      <w:r w:rsidRPr="000977F7">
        <w:rPr>
          <w:rFonts w:asciiTheme="majorHAnsi" w:hAnsiTheme="majorHAnsi"/>
          <w:spacing w:val="-3"/>
          <w:sz w:val="20"/>
          <w:szCs w:val="20"/>
        </w:rPr>
        <w:t xml:space="preserve"> </w:t>
      </w:r>
      <w:r w:rsidRPr="000977F7">
        <w:rPr>
          <w:rFonts w:asciiTheme="majorHAnsi" w:hAnsiTheme="majorHAnsi"/>
          <w:sz w:val="20"/>
          <w:szCs w:val="20"/>
        </w:rPr>
        <w:t>поступки;</w:t>
      </w:r>
    </w:p>
    <w:p w14:paraId="4A63B54E" w14:textId="77777777" w:rsidR="0097612F" w:rsidRPr="000977F7" w:rsidRDefault="0097612F" w:rsidP="00FD39A4">
      <w:pPr>
        <w:pStyle w:val="ac"/>
        <w:widowControl w:val="0"/>
        <w:numPr>
          <w:ilvl w:val="0"/>
          <w:numId w:val="162"/>
        </w:numPr>
        <w:tabs>
          <w:tab w:val="left" w:pos="284"/>
          <w:tab w:val="left" w:pos="69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ідентифікує</w:t>
      </w:r>
      <w:r w:rsidRPr="000977F7">
        <w:rPr>
          <w:rFonts w:asciiTheme="majorHAnsi" w:hAnsiTheme="majorHAnsi"/>
          <w:spacing w:val="37"/>
          <w:sz w:val="20"/>
          <w:szCs w:val="20"/>
        </w:rPr>
        <w:t xml:space="preserve"> </w:t>
      </w:r>
      <w:r w:rsidRPr="000977F7">
        <w:rPr>
          <w:rFonts w:asciiTheme="majorHAnsi" w:hAnsiTheme="majorHAnsi"/>
          <w:sz w:val="20"/>
          <w:szCs w:val="20"/>
        </w:rPr>
        <w:t>уповноважену</w:t>
      </w:r>
      <w:r w:rsidRPr="000977F7">
        <w:rPr>
          <w:rFonts w:asciiTheme="majorHAnsi" w:hAnsiTheme="majorHAnsi"/>
          <w:spacing w:val="31"/>
          <w:sz w:val="20"/>
          <w:szCs w:val="20"/>
        </w:rPr>
        <w:t xml:space="preserve"> </w:t>
      </w:r>
      <w:r w:rsidRPr="000977F7">
        <w:rPr>
          <w:rFonts w:asciiTheme="majorHAnsi" w:hAnsiTheme="majorHAnsi"/>
          <w:sz w:val="20"/>
          <w:szCs w:val="20"/>
        </w:rPr>
        <w:t>особу,</w:t>
      </w:r>
      <w:r w:rsidRPr="000977F7">
        <w:rPr>
          <w:rFonts w:asciiTheme="majorHAnsi" w:hAnsiTheme="majorHAnsi"/>
          <w:spacing w:val="35"/>
          <w:sz w:val="20"/>
          <w:szCs w:val="20"/>
        </w:rPr>
        <w:t xml:space="preserve"> </w:t>
      </w:r>
      <w:r w:rsidRPr="000977F7">
        <w:rPr>
          <w:rFonts w:asciiTheme="majorHAnsi" w:hAnsiTheme="majorHAnsi"/>
          <w:sz w:val="20"/>
          <w:szCs w:val="20"/>
        </w:rPr>
        <w:t>що</w:t>
      </w:r>
      <w:r w:rsidRPr="000977F7">
        <w:rPr>
          <w:rFonts w:asciiTheme="majorHAnsi" w:hAnsiTheme="majorHAnsi"/>
          <w:spacing w:val="35"/>
          <w:sz w:val="20"/>
          <w:szCs w:val="20"/>
        </w:rPr>
        <w:t xml:space="preserve"> </w:t>
      </w:r>
      <w:r w:rsidRPr="000977F7">
        <w:rPr>
          <w:rFonts w:asciiTheme="majorHAnsi" w:hAnsiTheme="majorHAnsi"/>
          <w:sz w:val="20"/>
          <w:szCs w:val="20"/>
        </w:rPr>
        <w:t>приймає</w:t>
      </w:r>
      <w:r w:rsidRPr="000977F7">
        <w:rPr>
          <w:rFonts w:asciiTheme="majorHAnsi" w:hAnsiTheme="majorHAnsi"/>
          <w:spacing w:val="36"/>
          <w:sz w:val="20"/>
          <w:szCs w:val="20"/>
        </w:rPr>
        <w:t xml:space="preserve"> </w:t>
      </w:r>
      <w:r w:rsidRPr="000977F7">
        <w:rPr>
          <w:rFonts w:asciiTheme="majorHAnsi" w:hAnsiTheme="majorHAnsi"/>
          <w:sz w:val="20"/>
          <w:szCs w:val="20"/>
        </w:rPr>
        <w:t>рішення</w:t>
      </w:r>
      <w:r w:rsidRPr="000977F7">
        <w:rPr>
          <w:rFonts w:asciiTheme="majorHAnsi" w:hAnsiTheme="majorHAnsi"/>
          <w:spacing w:val="-2"/>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дію</w:t>
      </w:r>
      <w:r w:rsidRPr="000977F7">
        <w:rPr>
          <w:rFonts w:asciiTheme="majorHAnsi" w:hAnsiTheme="majorHAnsi"/>
          <w:spacing w:val="-1"/>
          <w:sz w:val="20"/>
          <w:szCs w:val="20"/>
        </w:rPr>
        <w:t xml:space="preserve"> </w:t>
      </w:r>
      <w:r w:rsidRPr="000977F7">
        <w:rPr>
          <w:rFonts w:asciiTheme="majorHAnsi" w:hAnsiTheme="majorHAnsi"/>
          <w:sz w:val="20"/>
          <w:szCs w:val="20"/>
        </w:rPr>
        <w:t>щодо невідповідності.</w:t>
      </w:r>
    </w:p>
    <w:p w14:paraId="6E2F6074"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2"/>
          <w:sz w:val="20"/>
          <w:szCs w:val="20"/>
        </w:rPr>
        <w:t xml:space="preserve"> </w:t>
      </w:r>
      <w:r w:rsidRPr="000977F7">
        <w:rPr>
          <w:rFonts w:asciiTheme="majorHAnsi" w:hAnsiTheme="majorHAnsi"/>
          <w:i/>
          <w:iCs/>
          <w:sz w:val="20"/>
          <w:szCs w:val="20"/>
        </w:rPr>
        <w:t>ISO</w:t>
      </w:r>
      <w:r w:rsidRPr="000977F7">
        <w:rPr>
          <w:rFonts w:asciiTheme="majorHAnsi" w:hAnsiTheme="majorHAnsi"/>
          <w:i/>
          <w:iCs/>
          <w:spacing w:val="-2"/>
          <w:sz w:val="20"/>
          <w:szCs w:val="20"/>
        </w:rPr>
        <w:t xml:space="preserve"> </w:t>
      </w:r>
      <w:r w:rsidRPr="000977F7">
        <w:rPr>
          <w:rFonts w:asciiTheme="majorHAnsi" w:hAnsiTheme="majorHAnsi"/>
          <w:i/>
          <w:iCs/>
          <w:sz w:val="20"/>
          <w:szCs w:val="20"/>
        </w:rPr>
        <w:t>9001 - 2015</w:t>
      </w:r>
    </w:p>
    <w:p w14:paraId="2A942A4B" w14:textId="77777777" w:rsidR="0097612F" w:rsidRPr="000977F7" w:rsidRDefault="0097612F" w:rsidP="000977F7">
      <w:pPr>
        <w:pStyle w:val="7"/>
        <w:tabs>
          <w:tab w:val="left" w:pos="284"/>
        </w:tabs>
        <w:spacing w:before="0" w:line="240" w:lineRule="auto"/>
        <w:ind w:left="170"/>
        <w:mirrorIndents/>
        <w:jc w:val="both"/>
        <w:rPr>
          <w:bCs/>
          <w:color w:val="auto"/>
          <w:sz w:val="20"/>
          <w:szCs w:val="20"/>
        </w:rPr>
      </w:pPr>
      <w:r w:rsidRPr="000977F7">
        <w:rPr>
          <w:color w:val="auto"/>
          <w:sz w:val="20"/>
          <w:szCs w:val="20"/>
        </w:rPr>
        <w:t>КОНТРОЛЬОВАНА</w:t>
      </w:r>
      <w:r w:rsidRPr="000977F7">
        <w:rPr>
          <w:color w:val="auto"/>
          <w:spacing w:val="-8"/>
          <w:sz w:val="20"/>
          <w:szCs w:val="20"/>
        </w:rPr>
        <w:t xml:space="preserve"> </w:t>
      </w:r>
      <w:r w:rsidRPr="000977F7">
        <w:rPr>
          <w:color w:val="auto"/>
          <w:sz w:val="20"/>
          <w:szCs w:val="20"/>
        </w:rPr>
        <w:t xml:space="preserve">ПАРТІЯ </w:t>
      </w:r>
      <w:r w:rsidRPr="000977F7">
        <w:rPr>
          <w:bCs/>
          <w:color w:val="auto"/>
          <w:sz w:val="20"/>
          <w:szCs w:val="20"/>
        </w:rPr>
        <w:t>(ПАРТІЯ</w:t>
      </w:r>
      <w:r w:rsidRPr="000977F7">
        <w:rPr>
          <w:bCs/>
          <w:color w:val="auto"/>
          <w:spacing w:val="-5"/>
          <w:sz w:val="20"/>
          <w:szCs w:val="20"/>
        </w:rPr>
        <w:t xml:space="preserve"> </w:t>
      </w:r>
      <w:r w:rsidRPr="000977F7">
        <w:rPr>
          <w:bCs/>
          <w:color w:val="auto"/>
          <w:sz w:val="20"/>
          <w:szCs w:val="20"/>
        </w:rPr>
        <w:t>ПРОДУКЦІЇ)</w:t>
      </w:r>
      <w:r w:rsidRPr="000977F7">
        <w:rPr>
          <w:bCs/>
          <w:color w:val="auto"/>
          <w:spacing w:val="-3"/>
          <w:sz w:val="20"/>
          <w:szCs w:val="20"/>
        </w:rPr>
        <w:t xml:space="preserve"> </w:t>
      </w:r>
      <w:r w:rsidRPr="000977F7">
        <w:rPr>
          <w:bCs/>
          <w:color w:val="auto"/>
          <w:sz w:val="20"/>
          <w:szCs w:val="20"/>
        </w:rPr>
        <w:t>–</w:t>
      </w:r>
    </w:p>
    <w:p w14:paraId="1127454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одиниць однорідної продукції, виготовлених на протязі визначеного інтервалу часу за тою самою технологічною документацією (стандартом), які</w:t>
      </w:r>
      <w:r w:rsidRPr="000977F7">
        <w:rPr>
          <w:rFonts w:asciiTheme="majorHAnsi" w:hAnsiTheme="majorHAnsi"/>
          <w:spacing w:val="1"/>
          <w:sz w:val="20"/>
          <w:szCs w:val="20"/>
        </w:rPr>
        <w:t xml:space="preserve"> </w:t>
      </w:r>
      <w:r w:rsidRPr="000977F7">
        <w:rPr>
          <w:rFonts w:asciiTheme="majorHAnsi" w:hAnsiTheme="majorHAnsi"/>
          <w:sz w:val="20"/>
          <w:szCs w:val="20"/>
        </w:rPr>
        <w:t>одночасно</w:t>
      </w:r>
      <w:r w:rsidRPr="000977F7">
        <w:rPr>
          <w:rFonts w:asciiTheme="majorHAnsi" w:hAnsiTheme="majorHAnsi"/>
          <w:spacing w:val="1"/>
          <w:sz w:val="20"/>
          <w:szCs w:val="20"/>
        </w:rPr>
        <w:t xml:space="preserve"> </w:t>
      </w:r>
      <w:r w:rsidRPr="000977F7">
        <w:rPr>
          <w:rFonts w:asciiTheme="majorHAnsi" w:hAnsiTheme="majorHAnsi"/>
          <w:sz w:val="20"/>
          <w:szCs w:val="20"/>
        </w:rPr>
        <w:t>пред’являють</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приймання</w:t>
      </w:r>
      <w:r w:rsidRPr="000977F7">
        <w:rPr>
          <w:rFonts w:asciiTheme="majorHAnsi" w:hAnsiTheme="majorHAnsi"/>
          <w:spacing w:val="1"/>
          <w:sz w:val="20"/>
          <w:szCs w:val="20"/>
        </w:rPr>
        <w:t xml:space="preserve"> </w:t>
      </w:r>
      <w:r w:rsidRPr="000977F7">
        <w:rPr>
          <w:rFonts w:asciiTheme="majorHAnsi" w:hAnsiTheme="majorHAnsi"/>
          <w:sz w:val="20"/>
          <w:szCs w:val="20"/>
        </w:rPr>
        <w:t>та при оцінюванні якості яких приймають</w:t>
      </w:r>
      <w:r w:rsidRPr="000977F7">
        <w:rPr>
          <w:rFonts w:asciiTheme="majorHAnsi" w:hAnsiTheme="majorHAnsi"/>
          <w:spacing w:val="1"/>
          <w:sz w:val="20"/>
          <w:szCs w:val="20"/>
        </w:rPr>
        <w:t xml:space="preserve"> </w:t>
      </w:r>
      <w:r w:rsidRPr="000977F7">
        <w:rPr>
          <w:rFonts w:asciiTheme="majorHAnsi" w:hAnsiTheme="majorHAnsi"/>
          <w:sz w:val="20"/>
          <w:szCs w:val="20"/>
        </w:rPr>
        <w:t>одне</w:t>
      </w:r>
      <w:r w:rsidRPr="000977F7">
        <w:rPr>
          <w:rFonts w:asciiTheme="majorHAnsi" w:hAnsiTheme="majorHAnsi"/>
          <w:spacing w:val="-1"/>
          <w:sz w:val="20"/>
          <w:szCs w:val="20"/>
        </w:rPr>
        <w:t xml:space="preserve"> </w:t>
      </w:r>
      <w:r w:rsidRPr="000977F7">
        <w:rPr>
          <w:rFonts w:asciiTheme="majorHAnsi" w:hAnsiTheme="majorHAnsi"/>
          <w:sz w:val="20"/>
          <w:szCs w:val="20"/>
        </w:rPr>
        <w:t>загальне рішення</w:t>
      </w:r>
    </w:p>
    <w:p w14:paraId="2A9A94C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074B8A0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залежності</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специфіки</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партію</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приймають:</w:t>
      </w:r>
    </w:p>
    <w:p w14:paraId="77FA737F" w14:textId="77777777" w:rsidR="0097612F" w:rsidRPr="000977F7" w:rsidRDefault="0097612F" w:rsidP="00FD39A4">
      <w:pPr>
        <w:pStyle w:val="ac"/>
        <w:widowControl w:val="0"/>
        <w:numPr>
          <w:ilvl w:val="0"/>
          <w:numId w:val="161"/>
        </w:numPr>
        <w:tabs>
          <w:tab w:val="left" w:pos="284"/>
          <w:tab w:val="left" w:pos="85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ab/>
        <w:t>одну плавку (для литва з металу, пластмаси та</w:t>
      </w:r>
      <w:r w:rsidRPr="000977F7">
        <w:rPr>
          <w:rFonts w:asciiTheme="majorHAnsi" w:hAnsiTheme="majorHAnsi"/>
          <w:spacing w:val="1"/>
          <w:sz w:val="20"/>
          <w:szCs w:val="20"/>
        </w:rPr>
        <w:t xml:space="preserve"> </w:t>
      </w:r>
      <w:r w:rsidRPr="000977F7">
        <w:rPr>
          <w:rFonts w:asciiTheme="majorHAnsi" w:hAnsiTheme="majorHAnsi"/>
          <w:sz w:val="20"/>
          <w:szCs w:val="20"/>
        </w:rPr>
        <w:t>ін.);</w:t>
      </w:r>
    </w:p>
    <w:p w14:paraId="5E2DCA3E" w14:textId="77777777" w:rsidR="0097612F" w:rsidRPr="000977F7" w:rsidRDefault="0097612F" w:rsidP="00FD39A4">
      <w:pPr>
        <w:pStyle w:val="ac"/>
        <w:widowControl w:val="0"/>
        <w:numPr>
          <w:ilvl w:val="0"/>
          <w:numId w:val="161"/>
        </w:numPr>
        <w:tabs>
          <w:tab w:val="left" w:pos="284"/>
          <w:tab w:val="left" w:pos="85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одну</w:t>
      </w:r>
      <w:r w:rsidRPr="000977F7">
        <w:rPr>
          <w:rFonts w:asciiTheme="majorHAnsi" w:hAnsiTheme="majorHAnsi"/>
          <w:spacing w:val="-6"/>
          <w:sz w:val="20"/>
          <w:szCs w:val="20"/>
        </w:rPr>
        <w:t xml:space="preserve"> </w:t>
      </w:r>
      <w:r w:rsidRPr="000977F7">
        <w:rPr>
          <w:rFonts w:asciiTheme="majorHAnsi" w:hAnsiTheme="majorHAnsi"/>
          <w:sz w:val="20"/>
          <w:szCs w:val="20"/>
        </w:rPr>
        <w:t>садку</w:t>
      </w:r>
      <w:r w:rsidRPr="000977F7">
        <w:rPr>
          <w:rFonts w:asciiTheme="majorHAnsi" w:hAnsiTheme="majorHAnsi"/>
          <w:spacing w:val="-3"/>
          <w:sz w:val="20"/>
          <w:szCs w:val="20"/>
        </w:rPr>
        <w:t xml:space="preserve"> </w:t>
      </w:r>
      <w:r w:rsidRPr="000977F7">
        <w:rPr>
          <w:rFonts w:asciiTheme="majorHAnsi" w:hAnsiTheme="majorHAnsi"/>
          <w:sz w:val="20"/>
          <w:szCs w:val="20"/>
        </w:rPr>
        <w:t>(для</w:t>
      </w:r>
      <w:r w:rsidRPr="000977F7">
        <w:rPr>
          <w:rFonts w:asciiTheme="majorHAnsi" w:hAnsiTheme="majorHAnsi"/>
          <w:spacing w:val="-3"/>
          <w:sz w:val="20"/>
          <w:szCs w:val="20"/>
        </w:rPr>
        <w:t xml:space="preserve"> </w:t>
      </w:r>
      <w:r w:rsidRPr="000977F7">
        <w:rPr>
          <w:rFonts w:asciiTheme="majorHAnsi" w:hAnsiTheme="majorHAnsi"/>
          <w:sz w:val="20"/>
          <w:szCs w:val="20"/>
        </w:rPr>
        <w:t>термообробки,</w:t>
      </w:r>
      <w:r w:rsidRPr="000977F7">
        <w:rPr>
          <w:rFonts w:asciiTheme="majorHAnsi" w:hAnsiTheme="majorHAnsi"/>
          <w:spacing w:val="-2"/>
          <w:sz w:val="20"/>
          <w:szCs w:val="20"/>
        </w:rPr>
        <w:t xml:space="preserve"> </w:t>
      </w:r>
      <w:r w:rsidRPr="000977F7">
        <w:rPr>
          <w:rFonts w:asciiTheme="majorHAnsi" w:hAnsiTheme="majorHAnsi"/>
          <w:sz w:val="20"/>
          <w:szCs w:val="20"/>
        </w:rPr>
        <w:t>поковок);</w:t>
      </w:r>
    </w:p>
    <w:p w14:paraId="1DB49726" w14:textId="77777777" w:rsidR="0097612F" w:rsidRPr="000977F7" w:rsidRDefault="0097612F" w:rsidP="00FD39A4">
      <w:pPr>
        <w:pStyle w:val="ac"/>
        <w:widowControl w:val="0"/>
        <w:numPr>
          <w:ilvl w:val="0"/>
          <w:numId w:val="161"/>
        </w:numPr>
        <w:tabs>
          <w:tab w:val="left" w:pos="284"/>
          <w:tab w:val="left" w:pos="85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ab/>
        <w:t>один режим виконання (для зварюваних, паяних</w:t>
      </w:r>
      <w:r w:rsidRPr="000977F7">
        <w:rPr>
          <w:rFonts w:asciiTheme="majorHAnsi" w:hAnsiTheme="majorHAnsi"/>
          <w:spacing w:val="-2"/>
          <w:sz w:val="20"/>
          <w:szCs w:val="20"/>
        </w:rPr>
        <w:t xml:space="preserve"> </w:t>
      </w:r>
      <w:r w:rsidRPr="000977F7">
        <w:rPr>
          <w:rFonts w:asciiTheme="majorHAnsi" w:hAnsiTheme="majorHAnsi"/>
          <w:sz w:val="20"/>
          <w:szCs w:val="20"/>
        </w:rPr>
        <w:t>та клеєних</w:t>
      </w:r>
      <w:r w:rsidRPr="000977F7">
        <w:rPr>
          <w:rFonts w:asciiTheme="majorHAnsi" w:hAnsiTheme="majorHAnsi"/>
          <w:spacing w:val="-1"/>
          <w:sz w:val="20"/>
          <w:szCs w:val="20"/>
        </w:rPr>
        <w:t xml:space="preserve"> </w:t>
      </w:r>
      <w:r w:rsidRPr="000977F7">
        <w:rPr>
          <w:rFonts w:asciiTheme="majorHAnsi" w:hAnsiTheme="majorHAnsi"/>
          <w:sz w:val="20"/>
          <w:szCs w:val="20"/>
        </w:rPr>
        <w:t>виробів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ін.)</w:t>
      </w:r>
    </w:p>
    <w:p w14:paraId="3417527D"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2"/>
          <w:sz w:val="20"/>
          <w:szCs w:val="20"/>
        </w:rPr>
      </w:pPr>
      <w:r w:rsidRPr="000977F7">
        <w:rPr>
          <w:rFonts w:asciiTheme="majorHAnsi" w:hAnsiTheme="majorHAnsi"/>
          <w:b/>
          <w:sz w:val="20"/>
          <w:szCs w:val="20"/>
        </w:rPr>
        <w:t>КОНТРОЛЮВАННЯ</w:t>
      </w:r>
      <w:r w:rsidRPr="000977F7">
        <w:rPr>
          <w:rFonts w:asciiTheme="majorHAnsi" w:hAnsiTheme="majorHAnsi"/>
          <w:b/>
          <w:spacing w:val="2"/>
          <w:sz w:val="20"/>
          <w:szCs w:val="20"/>
        </w:rPr>
        <w:t xml:space="preserve"> –</w:t>
      </w:r>
    </w:p>
    <w:p w14:paraId="7DC45C6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INSPECTION</w:t>
      </w:r>
      <w:r w:rsidRPr="000977F7">
        <w:rPr>
          <w:rFonts w:asciiTheme="majorHAnsi" w:hAnsiTheme="majorHAnsi"/>
          <w:spacing w:val="-8"/>
          <w:sz w:val="20"/>
          <w:szCs w:val="20"/>
        </w:rPr>
        <w:t xml:space="preserve"> </w:t>
      </w:r>
      <w:r w:rsidRPr="000977F7">
        <w:rPr>
          <w:rFonts w:asciiTheme="majorHAnsi" w:hAnsiTheme="majorHAnsi"/>
          <w:sz w:val="20"/>
          <w:szCs w:val="20"/>
        </w:rPr>
        <w:t>MONITORING</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7119B0D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Вирішення задач контролювання, включаючи подання</w:t>
      </w:r>
      <w:r w:rsidRPr="000977F7">
        <w:rPr>
          <w:rFonts w:asciiTheme="majorHAnsi" w:hAnsiTheme="majorHAnsi"/>
          <w:spacing w:val="-47"/>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установленій</w:t>
      </w:r>
      <w:r w:rsidRPr="000977F7">
        <w:rPr>
          <w:rFonts w:asciiTheme="majorHAnsi" w:hAnsiTheme="majorHAnsi"/>
          <w:spacing w:val="1"/>
          <w:sz w:val="20"/>
          <w:szCs w:val="20"/>
        </w:rPr>
        <w:t xml:space="preserve"> </w:t>
      </w:r>
      <w:r w:rsidRPr="000977F7">
        <w:rPr>
          <w:rFonts w:asciiTheme="majorHAnsi" w:hAnsiTheme="majorHAnsi"/>
          <w:sz w:val="20"/>
          <w:szCs w:val="20"/>
        </w:rPr>
        <w:t>формі</w:t>
      </w:r>
      <w:r w:rsidRPr="000977F7">
        <w:rPr>
          <w:rFonts w:asciiTheme="majorHAnsi" w:hAnsiTheme="majorHAnsi"/>
          <w:spacing w:val="1"/>
          <w:sz w:val="20"/>
          <w:szCs w:val="20"/>
        </w:rPr>
        <w:t xml:space="preserve"> </w:t>
      </w:r>
      <w:r w:rsidRPr="000977F7">
        <w:rPr>
          <w:rFonts w:asciiTheme="majorHAnsi" w:hAnsiTheme="majorHAnsi"/>
          <w:sz w:val="20"/>
          <w:szCs w:val="20"/>
        </w:rPr>
        <w:t>відомостей</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відхилення</w:t>
      </w:r>
      <w:r w:rsidRPr="000977F7">
        <w:rPr>
          <w:rFonts w:asciiTheme="majorHAnsi" w:hAnsiTheme="majorHAnsi"/>
          <w:spacing w:val="1"/>
          <w:sz w:val="20"/>
          <w:szCs w:val="20"/>
        </w:rPr>
        <w:t xml:space="preserve"> </w:t>
      </w:r>
      <w:r w:rsidRPr="000977F7">
        <w:rPr>
          <w:rFonts w:asciiTheme="majorHAnsi" w:hAnsiTheme="majorHAnsi"/>
          <w:sz w:val="20"/>
          <w:szCs w:val="20"/>
        </w:rPr>
        <w:t>параметрів від заданих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50"/>
          <w:sz w:val="20"/>
          <w:szCs w:val="20"/>
        </w:rPr>
        <w:t xml:space="preserve"> </w:t>
      </w:r>
      <w:r w:rsidRPr="000977F7">
        <w:rPr>
          <w:rFonts w:asciiTheme="majorHAnsi" w:hAnsiTheme="majorHAnsi"/>
          <w:sz w:val="20"/>
          <w:szCs w:val="20"/>
        </w:rPr>
        <w:t>допустимих значень,</w:t>
      </w:r>
      <w:r w:rsidRPr="000977F7">
        <w:rPr>
          <w:rFonts w:asciiTheme="majorHAnsi" w:hAnsiTheme="majorHAnsi"/>
          <w:spacing w:val="-47"/>
          <w:sz w:val="20"/>
          <w:szCs w:val="20"/>
        </w:rPr>
        <w:t xml:space="preserve"> </w:t>
      </w:r>
      <w:r w:rsidRPr="000977F7">
        <w:rPr>
          <w:rFonts w:asciiTheme="majorHAnsi" w:hAnsiTheme="majorHAnsi"/>
          <w:sz w:val="20"/>
          <w:szCs w:val="20"/>
        </w:rPr>
        <w:t>їх</w:t>
      </w:r>
      <w:r w:rsidRPr="000977F7">
        <w:rPr>
          <w:rFonts w:asciiTheme="majorHAnsi" w:hAnsiTheme="majorHAnsi"/>
          <w:spacing w:val="-3"/>
          <w:sz w:val="20"/>
          <w:szCs w:val="20"/>
        </w:rPr>
        <w:t xml:space="preserve"> </w:t>
      </w:r>
      <w:r w:rsidRPr="000977F7">
        <w:rPr>
          <w:rFonts w:asciiTheme="majorHAnsi" w:hAnsiTheme="majorHAnsi"/>
          <w:sz w:val="20"/>
          <w:szCs w:val="20"/>
        </w:rPr>
        <w:t>місця, часу,</w:t>
      </w:r>
      <w:r w:rsidRPr="000977F7">
        <w:rPr>
          <w:rFonts w:asciiTheme="majorHAnsi" w:hAnsiTheme="majorHAnsi"/>
          <w:spacing w:val="-1"/>
          <w:sz w:val="20"/>
          <w:szCs w:val="20"/>
        </w:rPr>
        <w:t xml:space="preserve"> </w:t>
      </w:r>
      <w:r w:rsidRPr="000977F7">
        <w:rPr>
          <w:rFonts w:asciiTheme="majorHAnsi" w:hAnsiTheme="majorHAnsi"/>
          <w:sz w:val="20"/>
          <w:szCs w:val="20"/>
        </w:rPr>
        <w:t>причин</w:t>
      </w:r>
      <w:r w:rsidRPr="000977F7">
        <w:rPr>
          <w:rFonts w:asciiTheme="majorHAnsi" w:hAnsiTheme="majorHAnsi"/>
          <w:spacing w:val="1"/>
          <w:sz w:val="20"/>
          <w:szCs w:val="20"/>
        </w:rPr>
        <w:t xml:space="preserve"> </w:t>
      </w:r>
      <w:r w:rsidRPr="000977F7">
        <w:rPr>
          <w:rFonts w:asciiTheme="majorHAnsi" w:hAnsiTheme="majorHAnsi"/>
          <w:sz w:val="20"/>
          <w:szCs w:val="20"/>
        </w:rPr>
        <w:t>та характеру.</w:t>
      </w:r>
    </w:p>
    <w:p w14:paraId="01A1DE48"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2"/>
          <w:sz w:val="20"/>
          <w:szCs w:val="20"/>
        </w:rPr>
        <w:t xml:space="preserve"> </w:t>
      </w:r>
      <w:r w:rsidRPr="000977F7">
        <w:rPr>
          <w:rFonts w:asciiTheme="majorHAnsi" w:hAnsiTheme="majorHAnsi"/>
          <w:i/>
          <w:iCs/>
          <w:sz w:val="20"/>
          <w:szCs w:val="20"/>
        </w:rPr>
        <w:t>3956</w:t>
      </w:r>
      <w:r w:rsidRPr="000977F7">
        <w:rPr>
          <w:rFonts w:asciiTheme="majorHAnsi" w:hAnsiTheme="majorHAnsi"/>
          <w:i/>
          <w:iCs/>
          <w:spacing w:val="1"/>
          <w:sz w:val="20"/>
          <w:szCs w:val="20"/>
        </w:rPr>
        <w:t xml:space="preserve"> </w:t>
      </w:r>
      <w:r w:rsidRPr="000977F7">
        <w:rPr>
          <w:rFonts w:asciiTheme="majorHAnsi" w:hAnsiTheme="majorHAnsi"/>
          <w:i/>
          <w:iCs/>
          <w:sz w:val="20"/>
          <w:szCs w:val="20"/>
        </w:rPr>
        <w:t>– 2000</w:t>
      </w:r>
    </w:p>
    <w:p w14:paraId="39D9303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КОНТРОЛЮВАННЯ</w:t>
      </w:r>
      <w:r w:rsidRPr="000977F7">
        <w:rPr>
          <w:color w:val="auto"/>
          <w:spacing w:val="1"/>
          <w:sz w:val="20"/>
          <w:szCs w:val="20"/>
        </w:rPr>
        <w:t xml:space="preserve"> </w:t>
      </w:r>
      <w:r w:rsidRPr="000977F7">
        <w:rPr>
          <w:color w:val="auto"/>
          <w:sz w:val="20"/>
          <w:szCs w:val="20"/>
        </w:rPr>
        <w:t>ЗМІН</w:t>
      </w:r>
      <w:r w:rsidRPr="000977F7">
        <w:rPr>
          <w:color w:val="auto"/>
          <w:spacing w:val="1"/>
          <w:sz w:val="20"/>
          <w:szCs w:val="20"/>
        </w:rPr>
        <w:t xml:space="preserve"> </w:t>
      </w:r>
      <w:r w:rsidRPr="000977F7">
        <w:rPr>
          <w:color w:val="auto"/>
          <w:sz w:val="20"/>
          <w:szCs w:val="20"/>
        </w:rPr>
        <w:t>(КЕРУВАННЯ</w:t>
      </w:r>
      <w:r w:rsidRPr="000977F7">
        <w:rPr>
          <w:color w:val="auto"/>
          <w:spacing w:val="1"/>
          <w:sz w:val="20"/>
          <w:szCs w:val="20"/>
        </w:rPr>
        <w:t xml:space="preserve"> </w:t>
      </w:r>
      <w:r w:rsidRPr="000977F7">
        <w:rPr>
          <w:color w:val="auto"/>
          <w:sz w:val="20"/>
          <w:szCs w:val="20"/>
        </w:rPr>
        <w:t>КОНФІГУРАЦІЄЮ) -</w:t>
      </w:r>
    </w:p>
    <w:p w14:paraId="5C1BB9C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CHANGE</w:t>
      </w:r>
      <w:r w:rsidRPr="004D2D14">
        <w:rPr>
          <w:rFonts w:asciiTheme="majorHAnsi" w:hAnsiTheme="majorHAnsi"/>
          <w:sz w:val="20"/>
          <w:szCs w:val="20"/>
          <w:lang w:val="uk-UA"/>
        </w:rPr>
        <w:t xml:space="preserve"> </w:t>
      </w:r>
      <w:r w:rsidRPr="000977F7">
        <w:rPr>
          <w:rFonts w:asciiTheme="majorHAnsi" w:hAnsiTheme="majorHAnsi"/>
          <w:sz w:val="20"/>
          <w:szCs w:val="20"/>
        </w:rPr>
        <w:t>CONTROL</w:t>
      </w:r>
      <w:r w:rsidRPr="004D2D14">
        <w:rPr>
          <w:rFonts w:asciiTheme="majorHAnsi" w:hAnsiTheme="majorHAnsi"/>
          <w:sz w:val="20"/>
          <w:szCs w:val="20"/>
          <w:lang w:val="uk-UA"/>
        </w:rPr>
        <w:t xml:space="preserve"> </w:t>
      </w:r>
      <w:r w:rsidRPr="000977F7">
        <w:rPr>
          <w:rFonts w:asciiTheme="majorHAnsi" w:hAnsiTheme="majorHAnsi"/>
          <w:sz w:val="20"/>
          <w:szCs w:val="20"/>
        </w:rPr>
        <w:t>CONFIGURATION</w:t>
      </w:r>
      <w:r w:rsidRPr="004D2D14">
        <w:rPr>
          <w:rFonts w:asciiTheme="majorHAnsi" w:hAnsiTheme="majorHAnsi"/>
          <w:sz w:val="20"/>
          <w:szCs w:val="20"/>
          <w:lang w:val="uk-UA"/>
        </w:rPr>
        <w:t xml:space="preserve"> </w:t>
      </w:r>
      <w:r w:rsidRPr="000977F7">
        <w:rPr>
          <w:rFonts w:asciiTheme="majorHAnsi" w:hAnsiTheme="majorHAnsi"/>
          <w:sz w:val="20"/>
          <w:szCs w:val="20"/>
        </w:rPr>
        <w:t>MANAGEMENT</w:t>
      </w:r>
      <w:r w:rsidRPr="004D2D14">
        <w:rPr>
          <w:rFonts w:asciiTheme="majorHAnsi" w:hAnsiTheme="majorHAnsi"/>
          <w:sz w:val="20"/>
          <w:szCs w:val="20"/>
          <w:lang w:val="uk-UA"/>
        </w:rPr>
        <w:t xml:space="preserve"> -</w:t>
      </w:r>
    </w:p>
    <w:p w14:paraId="2EB3AA2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Дії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контролювання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виходу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після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офіційного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схвалення</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інформації</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про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конфігурацію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w:t>
      </w:r>
    </w:p>
    <w:p w14:paraId="3D93EC0B"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ISO</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9000:2015</w:t>
      </w:r>
    </w:p>
    <w:p w14:paraId="6ED33337"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КОНТРОЛЮВАННЯ</w:t>
      </w:r>
      <w:r w:rsidRPr="004D2D14">
        <w:rPr>
          <w:rFonts w:asciiTheme="majorHAnsi" w:hAnsiTheme="majorHAnsi"/>
          <w:b/>
          <w:sz w:val="20"/>
          <w:szCs w:val="20"/>
          <w:lang w:val="en-US"/>
        </w:rPr>
        <w:t xml:space="preserve"> </w:t>
      </w:r>
      <w:r w:rsidRPr="000977F7">
        <w:rPr>
          <w:rFonts w:asciiTheme="majorHAnsi" w:hAnsiTheme="majorHAnsi"/>
          <w:b/>
          <w:sz w:val="20"/>
          <w:szCs w:val="20"/>
        </w:rPr>
        <w:t>ЯКОСТІ</w:t>
      </w:r>
      <w:r w:rsidRPr="004D2D14">
        <w:rPr>
          <w:rFonts w:asciiTheme="majorHAnsi" w:hAnsiTheme="majorHAnsi"/>
          <w:b/>
          <w:sz w:val="20"/>
          <w:szCs w:val="20"/>
          <w:lang w:val="en-US"/>
        </w:rPr>
        <w:t xml:space="preserve"> –</w:t>
      </w:r>
    </w:p>
    <w:p w14:paraId="3760C14A"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QUALITY CONTROL-</w:t>
      </w:r>
    </w:p>
    <w:p w14:paraId="15E3F48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Складова частина управління якістю, зосереджена на</w:t>
      </w:r>
      <w:r w:rsidRPr="000977F7">
        <w:rPr>
          <w:rFonts w:asciiTheme="majorHAnsi" w:hAnsiTheme="majorHAnsi"/>
          <w:spacing w:val="1"/>
          <w:sz w:val="20"/>
          <w:szCs w:val="20"/>
        </w:rPr>
        <w:t xml:space="preserve"> </w:t>
      </w:r>
      <w:r w:rsidRPr="000977F7">
        <w:rPr>
          <w:rFonts w:asciiTheme="majorHAnsi" w:hAnsiTheme="majorHAnsi"/>
          <w:sz w:val="20"/>
          <w:szCs w:val="20"/>
        </w:rPr>
        <w:t>виконуванні</w:t>
      </w:r>
      <w:r w:rsidRPr="000977F7">
        <w:rPr>
          <w:rFonts w:asciiTheme="majorHAnsi" w:hAnsiTheme="majorHAnsi"/>
          <w:spacing w:val="-2"/>
          <w:sz w:val="20"/>
          <w:szCs w:val="20"/>
        </w:rPr>
        <w:t xml:space="preserve"> </w:t>
      </w:r>
      <w:r w:rsidRPr="000977F7">
        <w:rPr>
          <w:rFonts w:asciiTheme="majorHAnsi" w:hAnsiTheme="majorHAnsi"/>
          <w:sz w:val="20"/>
          <w:szCs w:val="20"/>
        </w:rPr>
        <w:t>вимог</w:t>
      </w:r>
      <w:r w:rsidRPr="000977F7">
        <w:rPr>
          <w:rFonts w:asciiTheme="majorHAnsi" w:hAnsiTheme="majorHAnsi"/>
          <w:spacing w:val="-1"/>
          <w:sz w:val="20"/>
          <w:szCs w:val="20"/>
        </w:rPr>
        <w:t xml:space="preserve"> </w:t>
      </w:r>
      <w:r w:rsidRPr="000977F7">
        <w:rPr>
          <w:rFonts w:asciiTheme="majorHAnsi" w:hAnsiTheme="majorHAnsi"/>
          <w:sz w:val="20"/>
          <w:szCs w:val="20"/>
        </w:rPr>
        <w:t>щодо якості</w:t>
      </w:r>
    </w:p>
    <w:p w14:paraId="65296F5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ISO</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9000:2015</w:t>
      </w:r>
    </w:p>
    <w:p w14:paraId="01A0ECD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КОНТРОЛЮЄМА</w:t>
      </w:r>
      <w:r w:rsidRPr="000977F7">
        <w:rPr>
          <w:color w:val="auto"/>
          <w:spacing w:val="-5"/>
          <w:sz w:val="20"/>
          <w:szCs w:val="20"/>
        </w:rPr>
        <w:t xml:space="preserve"> </w:t>
      </w:r>
      <w:r w:rsidRPr="000977F7">
        <w:rPr>
          <w:color w:val="auto"/>
          <w:sz w:val="20"/>
          <w:szCs w:val="20"/>
        </w:rPr>
        <w:t>ОЗНАКА</w:t>
      </w:r>
      <w:r w:rsidRPr="000977F7">
        <w:rPr>
          <w:color w:val="auto"/>
          <w:spacing w:val="-2"/>
          <w:sz w:val="20"/>
          <w:szCs w:val="20"/>
        </w:rPr>
        <w:t xml:space="preserve"> </w:t>
      </w:r>
      <w:r w:rsidRPr="000977F7">
        <w:rPr>
          <w:color w:val="auto"/>
          <w:sz w:val="20"/>
          <w:szCs w:val="20"/>
        </w:rPr>
        <w:t>–</w:t>
      </w:r>
    </w:p>
    <w:p w14:paraId="15ABC41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CHARACTERISTIC</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UNDER</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CONTROL</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798E45C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Характеристика</w:t>
      </w:r>
      <w:r w:rsidRPr="000977F7">
        <w:rPr>
          <w:rFonts w:asciiTheme="majorHAnsi" w:hAnsiTheme="majorHAnsi"/>
          <w:spacing w:val="-4"/>
          <w:sz w:val="20"/>
          <w:szCs w:val="20"/>
        </w:rPr>
        <w:t xml:space="preserve"> </w:t>
      </w:r>
      <w:r w:rsidRPr="000977F7">
        <w:rPr>
          <w:rFonts w:asciiTheme="majorHAnsi" w:hAnsiTheme="majorHAnsi"/>
          <w:sz w:val="20"/>
          <w:szCs w:val="20"/>
        </w:rPr>
        <w:t>об’єкта,</w:t>
      </w:r>
      <w:r w:rsidRPr="000977F7">
        <w:rPr>
          <w:rFonts w:asciiTheme="majorHAnsi" w:hAnsiTheme="majorHAnsi"/>
          <w:spacing w:val="-4"/>
          <w:sz w:val="20"/>
          <w:szCs w:val="20"/>
        </w:rPr>
        <w:t xml:space="preserve"> </w:t>
      </w:r>
      <w:r w:rsidRPr="000977F7">
        <w:rPr>
          <w:rFonts w:asciiTheme="majorHAnsi" w:hAnsiTheme="majorHAnsi"/>
          <w:sz w:val="20"/>
          <w:szCs w:val="20"/>
        </w:rPr>
        <w:t>що</w:t>
      </w:r>
      <w:r w:rsidRPr="000977F7">
        <w:rPr>
          <w:rFonts w:asciiTheme="majorHAnsi" w:hAnsiTheme="majorHAnsi"/>
          <w:spacing w:val="-3"/>
          <w:sz w:val="20"/>
          <w:szCs w:val="20"/>
        </w:rPr>
        <w:t xml:space="preserve"> </w:t>
      </w:r>
      <w:r w:rsidRPr="000977F7">
        <w:rPr>
          <w:rFonts w:asciiTheme="majorHAnsi" w:hAnsiTheme="majorHAnsi"/>
          <w:sz w:val="20"/>
          <w:szCs w:val="20"/>
        </w:rPr>
        <w:t>підлягає</w:t>
      </w:r>
      <w:r w:rsidRPr="000977F7">
        <w:rPr>
          <w:rFonts w:asciiTheme="majorHAnsi" w:hAnsiTheme="majorHAnsi"/>
          <w:spacing w:val="-4"/>
          <w:sz w:val="20"/>
          <w:szCs w:val="20"/>
        </w:rPr>
        <w:t xml:space="preserve"> </w:t>
      </w:r>
      <w:r w:rsidRPr="000977F7">
        <w:rPr>
          <w:rFonts w:asciiTheme="majorHAnsi" w:hAnsiTheme="majorHAnsi"/>
          <w:sz w:val="20"/>
          <w:szCs w:val="20"/>
        </w:rPr>
        <w:t>контролю</w:t>
      </w:r>
    </w:p>
    <w:p w14:paraId="6216C03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КОНТРОЛЮЄМИЙ</w:t>
      </w:r>
      <w:r w:rsidRPr="000977F7">
        <w:rPr>
          <w:color w:val="auto"/>
          <w:spacing w:val="-4"/>
          <w:sz w:val="20"/>
          <w:szCs w:val="20"/>
        </w:rPr>
        <w:t xml:space="preserve"> </w:t>
      </w:r>
      <w:r w:rsidRPr="000977F7">
        <w:rPr>
          <w:color w:val="auto"/>
          <w:sz w:val="20"/>
          <w:szCs w:val="20"/>
        </w:rPr>
        <w:t>КАНАЛ</w:t>
      </w:r>
      <w:r w:rsidRPr="000977F7">
        <w:rPr>
          <w:color w:val="auto"/>
          <w:spacing w:val="-2"/>
          <w:sz w:val="20"/>
          <w:szCs w:val="20"/>
        </w:rPr>
        <w:t xml:space="preserve"> </w:t>
      </w:r>
      <w:r w:rsidRPr="000977F7">
        <w:rPr>
          <w:color w:val="auto"/>
          <w:sz w:val="20"/>
          <w:szCs w:val="20"/>
        </w:rPr>
        <w:t>–</w:t>
      </w:r>
    </w:p>
    <w:p w14:paraId="1DD8B7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1"/>
          <w:sz w:val="20"/>
          <w:szCs w:val="20"/>
        </w:rPr>
        <w:t xml:space="preserve"> </w:t>
      </w:r>
      <w:r w:rsidRPr="000977F7">
        <w:rPr>
          <w:rFonts w:asciiTheme="majorHAnsi" w:hAnsiTheme="majorHAnsi"/>
          <w:sz w:val="20"/>
          <w:szCs w:val="20"/>
        </w:rPr>
        <w:t>контуру</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r w:rsidRPr="000977F7">
        <w:rPr>
          <w:rFonts w:asciiTheme="majorHAnsi" w:hAnsiTheme="majorHAnsi"/>
          <w:spacing w:val="1"/>
          <w:sz w:val="20"/>
          <w:szCs w:val="20"/>
        </w:rPr>
        <w:t xml:space="preserve"> </w:t>
      </w:r>
      <w:r w:rsidRPr="000977F7">
        <w:rPr>
          <w:rFonts w:asciiTheme="majorHAnsi" w:hAnsiTheme="majorHAnsi"/>
          <w:sz w:val="20"/>
          <w:szCs w:val="20"/>
        </w:rPr>
        <w:t>сигналу,</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належить</w:t>
      </w:r>
      <w:r w:rsidRPr="000977F7">
        <w:rPr>
          <w:rFonts w:asciiTheme="majorHAnsi" w:hAnsiTheme="majorHAnsi"/>
          <w:spacing w:val="-2"/>
          <w:sz w:val="20"/>
          <w:szCs w:val="20"/>
        </w:rPr>
        <w:t xml:space="preserve"> </w:t>
      </w:r>
      <w:r w:rsidRPr="000977F7">
        <w:rPr>
          <w:rFonts w:asciiTheme="majorHAnsi" w:hAnsiTheme="majorHAnsi"/>
          <w:sz w:val="20"/>
          <w:szCs w:val="20"/>
        </w:rPr>
        <w:t>об’єкту</w:t>
      </w:r>
      <w:r w:rsidRPr="000977F7">
        <w:rPr>
          <w:rFonts w:asciiTheme="majorHAnsi" w:hAnsiTheme="majorHAnsi"/>
          <w:spacing w:val="-2"/>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формує</w:t>
      </w:r>
      <w:r w:rsidRPr="000977F7">
        <w:rPr>
          <w:rFonts w:asciiTheme="majorHAnsi" w:hAnsiTheme="majorHAnsi"/>
          <w:spacing w:val="-1"/>
          <w:sz w:val="20"/>
          <w:szCs w:val="20"/>
        </w:rPr>
        <w:t xml:space="preserve"> </w:t>
      </w:r>
      <w:r w:rsidRPr="000977F7">
        <w:rPr>
          <w:rFonts w:asciiTheme="majorHAnsi" w:hAnsiTheme="majorHAnsi"/>
          <w:sz w:val="20"/>
          <w:szCs w:val="20"/>
        </w:rPr>
        <w:t>цей</w:t>
      </w:r>
      <w:r w:rsidRPr="000977F7">
        <w:rPr>
          <w:rFonts w:asciiTheme="majorHAnsi" w:hAnsiTheme="majorHAnsi"/>
          <w:spacing w:val="-2"/>
          <w:sz w:val="20"/>
          <w:szCs w:val="20"/>
        </w:rPr>
        <w:t xml:space="preserve"> </w:t>
      </w:r>
      <w:r w:rsidRPr="000977F7">
        <w:rPr>
          <w:rFonts w:asciiTheme="majorHAnsi" w:hAnsiTheme="majorHAnsi"/>
          <w:sz w:val="20"/>
          <w:szCs w:val="20"/>
        </w:rPr>
        <w:t>сигнал</w:t>
      </w:r>
    </w:p>
    <w:p w14:paraId="1E085C93"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noProof/>
          <w:sz w:val="20"/>
          <w:szCs w:val="20"/>
          <w:lang w:eastAsia="ru-RU"/>
        </w:rPr>
        <w:drawing>
          <wp:anchor distT="0" distB="0" distL="0" distR="0" simplePos="0" relativeHeight="251673600" behindDoc="1" locked="0" layoutInCell="1" allowOverlap="1" wp14:anchorId="525B29EF" wp14:editId="0E64A5FF">
            <wp:simplePos x="0" y="0"/>
            <wp:positionH relativeFrom="page">
              <wp:posOffset>5630926</wp:posOffset>
            </wp:positionH>
            <wp:positionV relativeFrom="paragraph">
              <wp:posOffset>152729</wp:posOffset>
            </wp:positionV>
            <wp:extent cx="64008" cy="155448"/>
            <wp:effectExtent l="0" t="0" r="0" b="0"/>
            <wp:wrapNone/>
            <wp:docPr id="5164" name="image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43.png"/>
                    <pic:cNvPicPr/>
                  </pic:nvPicPr>
                  <pic:blipFill>
                    <a:blip r:embed="rId26" cstate="print"/>
                    <a:stretch>
                      <a:fillRect/>
                    </a:stretch>
                  </pic:blipFill>
                  <pic:spPr>
                    <a:xfrm>
                      <a:off x="0" y="0"/>
                      <a:ext cx="64008" cy="155448"/>
                    </a:xfrm>
                    <a:prstGeom prst="rect">
                      <a:avLst/>
                    </a:prstGeom>
                  </pic:spPr>
                </pic:pic>
              </a:graphicData>
            </a:graphic>
          </wp:anchor>
        </w:drawing>
      </w:r>
      <w:bookmarkStart w:id="110" w:name="_Hlk101074119"/>
      <w:r w:rsidRPr="000977F7">
        <w:rPr>
          <w:rFonts w:asciiTheme="majorHAnsi" w:hAnsiTheme="majorHAnsi"/>
          <w:b/>
          <w:sz w:val="20"/>
          <w:szCs w:val="20"/>
        </w:rPr>
        <w:t>КОНТРОЛЬОВАНИЙ</w:t>
      </w:r>
      <w:r w:rsidRPr="004D2D14">
        <w:rPr>
          <w:rFonts w:asciiTheme="majorHAnsi" w:hAnsiTheme="majorHAnsi"/>
          <w:b/>
          <w:sz w:val="20"/>
          <w:szCs w:val="20"/>
          <w:lang w:val="en-US"/>
        </w:rPr>
        <w:t xml:space="preserve"> </w:t>
      </w:r>
      <w:r w:rsidRPr="000977F7">
        <w:rPr>
          <w:rFonts w:asciiTheme="majorHAnsi" w:hAnsiTheme="majorHAnsi"/>
          <w:b/>
          <w:sz w:val="20"/>
          <w:szCs w:val="20"/>
        </w:rPr>
        <w:t>ОБ</w:t>
      </w:r>
      <w:r w:rsidRPr="004D2D14">
        <w:rPr>
          <w:rFonts w:asciiTheme="majorHAnsi" w:hAnsiTheme="majorHAnsi"/>
          <w:b/>
          <w:sz w:val="20"/>
          <w:szCs w:val="20"/>
          <w:lang w:val="en-US"/>
        </w:rPr>
        <w:t xml:space="preserve"> </w:t>
      </w:r>
      <w:r w:rsidRPr="000977F7">
        <w:rPr>
          <w:rFonts w:asciiTheme="majorHAnsi" w:hAnsiTheme="majorHAnsi"/>
          <w:b/>
          <w:sz w:val="20"/>
          <w:szCs w:val="20"/>
        </w:rPr>
        <w:t>ЄКТ</w:t>
      </w:r>
      <w:r w:rsidRPr="004D2D14">
        <w:rPr>
          <w:rFonts w:asciiTheme="majorHAnsi" w:hAnsiTheme="majorHAnsi"/>
          <w:b/>
          <w:sz w:val="20"/>
          <w:szCs w:val="20"/>
          <w:lang w:val="en-US"/>
        </w:rPr>
        <w:t xml:space="preserve"> –</w:t>
      </w:r>
    </w:p>
    <w:p w14:paraId="41D42DC6"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ITEM</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UNDER</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INSPECTION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bookmarkEnd w:id="110"/>
    <w:p w14:paraId="03ECCB84" w14:textId="77777777" w:rsidR="0097612F" w:rsidRPr="000977F7" w:rsidRDefault="0097612F" w:rsidP="000977F7">
      <w:pPr>
        <w:pStyle w:val="af6"/>
        <w:tabs>
          <w:tab w:val="left" w:pos="284"/>
        </w:tabs>
        <w:spacing w:after="0"/>
        <w:ind w:left="170"/>
        <w:mirrorIndents/>
        <w:jc w:val="both"/>
        <w:rPr>
          <w:rFonts w:asciiTheme="majorHAnsi" w:hAnsiTheme="majorHAnsi"/>
          <w:spacing w:val="-48"/>
          <w:sz w:val="20"/>
          <w:szCs w:val="20"/>
        </w:rPr>
      </w:pPr>
      <w:r w:rsidRPr="000977F7">
        <w:rPr>
          <w:rFonts w:asciiTheme="majorHAnsi" w:hAnsiTheme="majorHAnsi"/>
          <w:sz w:val="20"/>
          <w:szCs w:val="20"/>
        </w:rPr>
        <w:t>Об’єкт, який підлягає контролю</w:t>
      </w:r>
      <w:r w:rsidRPr="000977F7">
        <w:rPr>
          <w:rFonts w:asciiTheme="majorHAnsi" w:hAnsiTheme="majorHAnsi"/>
          <w:spacing w:val="-48"/>
          <w:sz w:val="20"/>
          <w:szCs w:val="20"/>
        </w:rPr>
        <w:t xml:space="preserve"> </w:t>
      </w:r>
    </w:p>
    <w:p w14:paraId="2E483E7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49198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промислових процесах контрольованими об’єктами</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сировина,</w:t>
      </w:r>
      <w:r w:rsidRPr="000977F7">
        <w:rPr>
          <w:rFonts w:asciiTheme="majorHAnsi" w:hAnsiTheme="majorHAnsi"/>
          <w:spacing w:val="1"/>
          <w:sz w:val="20"/>
          <w:szCs w:val="20"/>
        </w:rPr>
        <w:t xml:space="preserve"> </w:t>
      </w:r>
      <w:r w:rsidRPr="000977F7">
        <w:rPr>
          <w:rFonts w:asciiTheme="majorHAnsi" w:hAnsiTheme="majorHAnsi"/>
          <w:sz w:val="20"/>
          <w:szCs w:val="20"/>
        </w:rPr>
        <w:t>напівфабрикати,</w:t>
      </w:r>
      <w:r w:rsidRPr="000977F7">
        <w:rPr>
          <w:rFonts w:asciiTheme="majorHAnsi" w:hAnsiTheme="majorHAnsi"/>
          <w:spacing w:val="1"/>
          <w:sz w:val="20"/>
          <w:szCs w:val="20"/>
        </w:rPr>
        <w:t xml:space="preserve"> </w:t>
      </w:r>
      <w:r w:rsidRPr="000977F7">
        <w:rPr>
          <w:rFonts w:asciiTheme="majorHAnsi" w:hAnsiTheme="majorHAnsi"/>
          <w:sz w:val="20"/>
          <w:szCs w:val="20"/>
        </w:rPr>
        <w:t>енергія,</w:t>
      </w:r>
      <w:r w:rsidRPr="000977F7">
        <w:rPr>
          <w:rFonts w:asciiTheme="majorHAnsi" w:hAnsiTheme="majorHAnsi"/>
          <w:spacing w:val="1"/>
          <w:sz w:val="20"/>
          <w:szCs w:val="20"/>
        </w:rPr>
        <w:t xml:space="preserve"> </w:t>
      </w:r>
      <w:r w:rsidRPr="000977F7">
        <w:rPr>
          <w:rFonts w:asciiTheme="majorHAnsi" w:hAnsiTheme="majorHAnsi"/>
          <w:sz w:val="20"/>
          <w:szCs w:val="20"/>
        </w:rPr>
        <w:t>обладнання,</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spacing w:val="-47"/>
          <w:sz w:val="20"/>
          <w:szCs w:val="20"/>
        </w:rPr>
        <w:t xml:space="preserve"> </w:t>
      </w:r>
      <w:r w:rsidRPr="000977F7">
        <w:rPr>
          <w:rFonts w:asciiTheme="majorHAnsi" w:hAnsiTheme="majorHAnsi"/>
          <w:sz w:val="20"/>
          <w:szCs w:val="20"/>
        </w:rPr>
        <w:t>також технічні засоби вимірювання та керування, які</w:t>
      </w:r>
      <w:r w:rsidRPr="000977F7">
        <w:rPr>
          <w:rFonts w:asciiTheme="majorHAnsi" w:hAnsiTheme="majorHAnsi"/>
          <w:spacing w:val="1"/>
          <w:sz w:val="20"/>
          <w:szCs w:val="20"/>
        </w:rPr>
        <w:t xml:space="preserve"> </w:t>
      </w:r>
      <w:r w:rsidRPr="000977F7">
        <w:rPr>
          <w:rFonts w:asciiTheme="majorHAnsi" w:hAnsiTheme="majorHAnsi"/>
          <w:sz w:val="20"/>
          <w:szCs w:val="20"/>
        </w:rPr>
        <w:t>беруть</w:t>
      </w:r>
      <w:r w:rsidRPr="000977F7">
        <w:rPr>
          <w:rFonts w:asciiTheme="majorHAnsi" w:hAnsiTheme="majorHAnsi"/>
          <w:spacing w:val="1"/>
          <w:sz w:val="20"/>
          <w:szCs w:val="20"/>
        </w:rPr>
        <w:t xml:space="preserve"> </w:t>
      </w:r>
      <w:r w:rsidRPr="000977F7">
        <w:rPr>
          <w:rFonts w:asciiTheme="majorHAnsi" w:hAnsiTheme="majorHAnsi"/>
          <w:sz w:val="20"/>
          <w:szCs w:val="20"/>
        </w:rPr>
        <w:t>участь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технологічному</w:t>
      </w:r>
      <w:r w:rsidRPr="000977F7">
        <w:rPr>
          <w:rFonts w:asciiTheme="majorHAnsi" w:hAnsiTheme="majorHAnsi"/>
          <w:spacing w:val="-2"/>
          <w:sz w:val="20"/>
          <w:szCs w:val="20"/>
        </w:rPr>
        <w:t xml:space="preserve"> </w:t>
      </w:r>
      <w:r w:rsidRPr="000977F7">
        <w:rPr>
          <w:rFonts w:asciiTheme="majorHAnsi" w:hAnsiTheme="majorHAnsi"/>
          <w:sz w:val="20"/>
          <w:szCs w:val="20"/>
        </w:rPr>
        <w:t>процесі</w:t>
      </w:r>
    </w:p>
    <w:p w14:paraId="0099F95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w:t>
      </w:r>
      <w:r w:rsidRPr="000977F7">
        <w:rPr>
          <w:rFonts w:asciiTheme="majorHAnsi" w:hAnsiTheme="majorHAnsi"/>
          <w:i/>
          <w:spacing w:val="1"/>
          <w:sz w:val="20"/>
          <w:szCs w:val="20"/>
        </w:rPr>
        <w:t xml:space="preserve"> </w:t>
      </w:r>
      <w:r w:rsidRPr="000977F7">
        <w:rPr>
          <w:rFonts w:asciiTheme="majorHAnsi" w:hAnsiTheme="majorHAnsi"/>
          <w:i/>
          <w:sz w:val="20"/>
          <w:szCs w:val="20"/>
        </w:rPr>
        <w:t>2000</w:t>
      </w:r>
    </w:p>
    <w:p w14:paraId="2DFF3AB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КОНТРОЛЬОВАНИЙ</w:t>
      </w:r>
      <w:r w:rsidRPr="000977F7">
        <w:rPr>
          <w:color w:val="auto"/>
          <w:spacing w:val="42"/>
          <w:sz w:val="20"/>
          <w:szCs w:val="20"/>
        </w:rPr>
        <w:t xml:space="preserve"> </w:t>
      </w:r>
      <w:r w:rsidRPr="000977F7">
        <w:rPr>
          <w:color w:val="auto"/>
          <w:sz w:val="20"/>
          <w:szCs w:val="20"/>
        </w:rPr>
        <w:t>СИГНАЛ</w:t>
      </w:r>
      <w:r w:rsidRPr="000977F7">
        <w:rPr>
          <w:color w:val="auto"/>
          <w:spacing w:val="-1"/>
          <w:sz w:val="20"/>
          <w:szCs w:val="20"/>
        </w:rPr>
        <w:t xml:space="preserve"> </w:t>
      </w:r>
      <w:r w:rsidRPr="000977F7">
        <w:rPr>
          <w:color w:val="auto"/>
          <w:sz w:val="20"/>
          <w:szCs w:val="20"/>
        </w:rPr>
        <w:t>–</w:t>
      </w:r>
    </w:p>
    <w:p w14:paraId="337BB2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надходить</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засобу</w:t>
      </w:r>
      <w:r w:rsidRPr="000977F7">
        <w:rPr>
          <w:rFonts w:asciiTheme="majorHAnsi" w:hAnsiTheme="majorHAnsi"/>
          <w:spacing w:val="1"/>
          <w:sz w:val="20"/>
          <w:szCs w:val="20"/>
        </w:rPr>
        <w:t xml:space="preserve"> </w:t>
      </w:r>
      <w:r w:rsidRPr="000977F7">
        <w:rPr>
          <w:rFonts w:asciiTheme="majorHAnsi" w:hAnsiTheme="majorHAnsi"/>
          <w:sz w:val="20"/>
          <w:szCs w:val="20"/>
        </w:rPr>
        <w:t>діагностування</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несе</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інформацію</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технічний</w:t>
      </w:r>
      <w:r w:rsidRPr="000977F7">
        <w:rPr>
          <w:rFonts w:asciiTheme="majorHAnsi" w:hAnsiTheme="majorHAnsi"/>
          <w:spacing w:val="1"/>
          <w:sz w:val="20"/>
          <w:szCs w:val="20"/>
        </w:rPr>
        <w:t xml:space="preserve"> </w:t>
      </w:r>
      <w:r w:rsidRPr="000977F7">
        <w:rPr>
          <w:rFonts w:asciiTheme="majorHAnsi" w:hAnsiTheme="majorHAnsi"/>
          <w:sz w:val="20"/>
          <w:szCs w:val="20"/>
        </w:rPr>
        <w:t>стан</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2B78FD4B"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2389 – 94</w:t>
      </w:r>
      <w:r w:rsidRPr="000977F7">
        <w:rPr>
          <w:rFonts w:asciiTheme="majorHAnsi" w:hAnsiTheme="majorHAnsi"/>
          <w:i/>
          <w:spacing w:val="-47"/>
          <w:sz w:val="20"/>
          <w:szCs w:val="20"/>
        </w:rPr>
        <w:t xml:space="preserve"> </w:t>
      </w:r>
    </w:p>
    <w:p w14:paraId="5B99E17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КОНТРОЛЬ </w:t>
      </w:r>
      <w:r w:rsidRPr="000977F7">
        <w:rPr>
          <w:rFonts w:asciiTheme="majorHAnsi" w:hAnsiTheme="majorHAnsi"/>
          <w:sz w:val="20"/>
          <w:szCs w:val="20"/>
        </w:rPr>
        <w:t>–</w:t>
      </w:r>
    </w:p>
    <w:p w14:paraId="396BE27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INSPECTION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ADCE3C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Загальна функція керування, що полягає у спостереженні за ходом процесів у керівній і керованій системах,</w:t>
      </w:r>
      <w:r w:rsidRPr="000977F7">
        <w:rPr>
          <w:rFonts w:asciiTheme="majorHAnsi" w:hAnsiTheme="majorHAnsi"/>
          <w:spacing w:val="37"/>
          <w:sz w:val="20"/>
          <w:szCs w:val="20"/>
        </w:rPr>
        <w:t xml:space="preserve"> </w:t>
      </w:r>
      <w:r w:rsidRPr="000977F7">
        <w:rPr>
          <w:rFonts w:asciiTheme="majorHAnsi" w:hAnsiTheme="majorHAnsi"/>
          <w:sz w:val="20"/>
          <w:szCs w:val="20"/>
        </w:rPr>
        <w:t>порівнянні</w:t>
      </w:r>
      <w:r w:rsidRPr="000977F7">
        <w:rPr>
          <w:rFonts w:asciiTheme="majorHAnsi" w:hAnsiTheme="majorHAnsi"/>
          <w:spacing w:val="38"/>
          <w:sz w:val="20"/>
          <w:szCs w:val="20"/>
        </w:rPr>
        <w:t xml:space="preserve"> </w:t>
      </w:r>
      <w:r w:rsidRPr="000977F7">
        <w:rPr>
          <w:rFonts w:asciiTheme="majorHAnsi" w:hAnsiTheme="majorHAnsi"/>
          <w:sz w:val="20"/>
          <w:szCs w:val="20"/>
        </w:rPr>
        <w:t>контрольованих</w:t>
      </w:r>
      <w:r w:rsidRPr="000977F7">
        <w:rPr>
          <w:rFonts w:asciiTheme="majorHAnsi" w:hAnsiTheme="majorHAnsi"/>
          <w:spacing w:val="36"/>
          <w:sz w:val="20"/>
          <w:szCs w:val="20"/>
        </w:rPr>
        <w:t xml:space="preserve"> </w:t>
      </w:r>
      <w:r w:rsidRPr="000977F7">
        <w:rPr>
          <w:rFonts w:asciiTheme="majorHAnsi" w:hAnsiTheme="majorHAnsi"/>
          <w:sz w:val="20"/>
          <w:szCs w:val="20"/>
        </w:rPr>
        <w:t>величин</w:t>
      </w:r>
      <w:r w:rsidRPr="000977F7">
        <w:rPr>
          <w:rFonts w:asciiTheme="majorHAnsi" w:hAnsiTheme="majorHAnsi"/>
          <w:spacing w:val="38"/>
          <w:sz w:val="20"/>
          <w:szCs w:val="20"/>
        </w:rPr>
        <w:t xml:space="preserve"> </w:t>
      </w:r>
      <w:r w:rsidRPr="000977F7">
        <w:rPr>
          <w:rFonts w:asciiTheme="majorHAnsi" w:hAnsiTheme="majorHAnsi"/>
          <w:sz w:val="20"/>
          <w:szCs w:val="20"/>
        </w:rPr>
        <w:t>параметрів із заданою програмою, виявленні відхилень, їх місця,</w:t>
      </w:r>
      <w:r w:rsidRPr="000977F7">
        <w:rPr>
          <w:rFonts w:asciiTheme="majorHAnsi" w:hAnsiTheme="majorHAnsi"/>
          <w:spacing w:val="1"/>
          <w:sz w:val="20"/>
          <w:szCs w:val="20"/>
        </w:rPr>
        <w:t xml:space="preserve"> </w:t>
      </w:r>
      <w:r w:rsidRPr="000977F7">
        <w:rPr>
          <w:rFonts w:asciiTheme="majorHAnsi" w:hAnsiTheme="majorHAnsi"/>
          <w:sz w:val="20"/>
          <w:szCs w:val="20"/>
        </w:rPr>
        <w:t>часу,</w:t>
      </w:r>
      <w:r w:rsidRPr="000977F7">
        <w:rPr>
          <w:rFonts w:asciiTheme="majorHAnsi" w:hAnsiTheme="majorHAnsi"/>
          <w:spacing w:val="-1"/>
          <w:sz w:val="20"/>
          <w:szCs w:val="20"/>
        </w:rPr>
        <w:t xml:space="preserve"> </w:t>
      </w:r>
      <w:r w:rsidRPr="000977F7">
        <w:rPr>
          <w:rFonts w:asciiTheme="majorHAnsi" w:hAnsiTheme="majorHAnsi"/>
          <w:sz w:val="20"/>
          <w:szCs w:val="20"/>
        </w:rPr>
        <w:t>причини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характеру</w:t>
      </w:r>
    </w:p>
    <w:p w14:paraId="071B014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20C5B8E"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КОНТРОЛЬ ВИГОТОВЛЕННЯ ПРОДУКЦІЇ ТА НАДАННЯ ПОСЛУГ –</w:t>
      </w:r>
    </w:p>
    <w:p w14:paraId="1F2125D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запровадити виготовлення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надання</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контрольованих</w:t>
      </w:r>
      <w:r w:rsidRPr="000977F7">
        <w:rPr>
          <w:rFonts w:asciiTheme="majorHAnsi" w:hAnsiTheme="majorHAnsi"/>
          <w:spacing w:val="1"/>
          <w:sz w:val="20"/>
          <w:szCs w:val="20"/>
        </w:rPr>
        <w:t xml:space="preserve"> </w:t>
      </w:r>
      <w:r w:rsidRPr="000977F7">
        <w:rPr>
          <w:rFonts w:asciiTheme="majorHAnsi" w:hAnsiTheme="majorHAnsi"/>
          <w:sz w:val="20"/>
          <w:szCs w:val="20"/>
        </w:rPr>
        <w:t>умов.</w:t>
      </w:r>
      <w:r w:rsidRPr="000977F7">
        <w:rPr>
          <w:rFonts w:asciiTheme="majorHAnsi" w:hAnsiTheme="majorHAnsi"/>
          <w:spacing w:val="1"/>
          <w:sz w:val="20"/>
          <w:szCs w:val="20"/>
        </w:rPr>
        <w:t xml:space="preserve"> </w:t>
      </w:r>
      <w:r w:rsidRPr="000977F7">
        <w:rPr>
          <w:rFonts w:asciiTheme="majorHAnsi" w:hAnsiTheme="majorHAnsi"/>
          <w:sz w:val="20"/>
          <w:szCs w:val="20"/>
        </w:rPr>
        <w:t>Потрібно, щоб контрольовані умови, залежно від обставин,</w:t>
      </w:r>
      <w:r w:rsidRPr="000977F7">
        <w:rPr>
          <w:rFonts w:asciiTheme="majorHAnsi" w:hAnsiTheme="majorHAnsi"/>
          <w:spacing w:val="-1"/>
          <w:sz w:val="20"/>
          <w:szCs w:val="20"/>
        </w:rPr>
        <w:t xml:space="preserve"> </w:t>
      </w:r>
      <w:r w:rsidRPr="000977F7">
        <w:rPr>
          <w:rFonts w:asciiTheme="majorHAnsi" w:hAnsiTheme="majorHAnsi"/>
          <w:sz w:val="20"/>
          <w:szCs w:val="20"/>
        </w:rPr>
        <w:t>охоплювали</w:t>
      </w:r>
    </w:p>
    <w:p w14:paraId="55B6498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наявність задокументованої інформації, яка визначає</w:t>
      </w:r>
    </w:p>
    <w:p w14:paraId="4D2EB8DF" w14:textId="77777777" w:rsidR="0097612F" w:rsidRPr="000977F7" w:rsidRDefault="0097612F" w:rsidP="00FD39A4">
      <w:pPr>
        <w:pStyle w:val="ac"/>
        <w:widowControl w:val="0"/>
        <w:numPr>
          <w:ilvl w:val="1"/>
          <w:numId w:val="162"/>
        </w:numPr>
        <w:tabs>
          <w:tab w:val="left" w:pos="284"/>
          <w:tab w:val="left" w:pos="86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характеристики продукції, яку виготовлятимуть,</w:t>
      </w:r>
      <w:r w:rsidRPr="000977F7">
        <w:rPr>
          <w:rFonts w:asciiTheme="majorHAnsi" w:hAnsiTheme="majorHAnsi"/>
          <w:spacing w:val="1"/>
          <w:sz w:val="20"/>
          <w:szCs w:val="20"/>
        </w:rPr>
        <w:t xml:space="preserve"> </w:t>
      </w:r>
      <w:r w:rsidRPr="000977F7">
        <w:rPr>
          <w:rFonts w:asciiTheme="majorHAnsi" w:hAnsiTheme="majorHAnsi"/>
          <w:sz w:val="20"/>
          <w:szCs w:val="20"/>
        </w:rPr>
        <w:t>послуг, які надаватимуть, або робіт, які виконуватимуть;</w:t>
      </w:r>
    </w:p>
    <w:p w14:paraId="14772924" w14:textId="77777777" w:rsidR="0097612F" w:rsidRPr="000977F7" w:rsidRDefault="0097612F" w:rsidP="00FD39A4">
      <w:pPr>
        <w:pStyle w:val="ac"/>
        <w:widowControl w:val="0"/>
        <w:numPr>
          <w:ilvl w:val="1"/>
          <w:numId w:val="162"/>
        </w:numPr>
        <w:tabs>
          <w:tab w:val="left" w:pos="284"/>
          <w:tab w:val="left" w:pos="83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результати,</w:t>
      </w:r>
      <w:r w:rsidRPr="000977F7">
        <w:rPr>
          <w:rFonts w:asciiTheme="majorHAnsi" w:hAnsiTheme="majorHAnsi"/>
          <w:spacing w:val="-5"/>
          <w:sz w:val="20"/>
          <w:szCs w:val="20"/>
        </w:rPr>
        <w:t xml:space="preserve"> </w:t>
      </w:r>
      <w:r w:rsidRPr="000977F7">
        <w:rPr>
          <w:rFonts w:asciiTheme="majorHAnsi" w:hAnsiTheme="majorHAnsi"/>
          <w:sz w:val="20"/>
          <w:szCs w:val="20"/>
        </w:rPr>
        <w:t>які</w:t>
      </w:r>
      <w:r w:rsidRPr="000977F7">
        <w:rPr>
          <w:rFonts w:asciiTheme="majorHAnsi" w:hAnsiTheme="majorHAnsi"/>
          <w:spacing w:val="-6"/>
          <w:sz w:val="20"/>
          <w:szCs w:val="20"/>
        </w:rPr>
        <w:t xml:space="preserve"> </w:t>
      </w:r>
      <w:r w:rsidRPr="000977F7">
        <w:rPr>
          <w:rFonts w:asciiTheme="majorHAnsi" w:hAnsiTheme="majorHAnsi"/>
          <w:sz w:val="20"/>
          <w:szCs w:val="20"/>
        </w:rPr>
        <w:t>отримуватимуть;</w:t>
      </w:r>
    </w:p>
    <w:p w14:paraId="3A7213A9" w14:textId="77777777" w:rsidR="0097612F" w:rsidRPr="000977F7" w:rsidRDefault="0097612F" w:rsidP="00FD39A4">
      <w:pPr>
        <w:pStyle w:val="ac"/>
        <w:widowControl w:val="0"/>
        <w:numPr>
          <w:ilvl w:val="0"/>
          <w:numId w:val="160"/>
        </w:numPr>
        <w:tabs>
          <w:tab w:val="left" w:pos="284"/>
          <w:tab w:val="left" w:pos="71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наявність</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належних</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47"/>
          <w:sz w:val="20"/>
          <w:szCs w:val="20"/>
        </w:rPr>
        <w:t xml:space="preserve"> </w:t>
      </w:r>
      <w:r w:rsidRPr="000977F7">
        <w:rPr>
          <w:rFonts w:asciiTheme="majorHAnsi" w:hAnsiTheme="majorHAnsi"/>
          <w:sz w:val="20"/>
          <w:szCs w:val="20"/>
        </w:rPr>
        <w:t>моніторингу</w:t>
      </w:r>
      <w:r w:rsidRPr="000977F7">
        <w:rPr>
          <w:rFonts w:asciiTheme="majorHAnsi" w:hAnsiTheme="majorHAnsi"/>
          <w:spacing w:val="-2"/>
          <w:sz w:val="20"/>
          <w:szCs w:val="20"/>
        </w:rPr>
        <w:t xml:space="preserve"> </w:t>
      </w:r>
      <w:r w:rsidRPr="000977F7">
        <w:rPr>
          <w:rFonts w:asciiTheme="majorHAnsi" w:hAnsiTheme="majorHAnsi"/>
          <w:sz w:val="20"/>
          <w:szCs w:val="20"/>
        </w:rPr>
        <w:t>та вимірювання;</w:t>
      </w:r>
    </w:p>
    <w:p w14:paraId="4568FC1B" w14:textId="77777777" w:rsidR="0097612F" w:rsidRPr="000977F7" w:rsidRDefault="0097612F" w:rsidP="00FD39A4">
      <w:pPr>
        <w:pStyle w:val="ac"/>
        <w:widowControl w:val="0"/>
        <w:numPr>
          <w:ilvl w:val="0"/>
          <w:numId w:val="160"/>
        </w:numPr>
        <w:tabs>
          <w:tab w:val="left" w:pos="284"/>
          <w:tab w:val="left" w:pos="65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запровадження робіт з моніторингу та вимірювання</w:t>
      </w:r>
      <w:r w:rsidRPr="000977F7">
        <w:rPr>
          <w:rFonts w:asciiTheme="majorHAnsi" w:hAnsiTheme="majorHAnsi"/>
          <w:spacing w:val="-47"/>
          <w:sz w:val="20"/>
          <w:szCs w:val="20"/>
        </w:rPr>
        <w:t xml:space="preserve"> </w:t>
      </w:r>
      <w:r w:rsidRPr="000977F7">
        <w:rPr>
          <w:rFonts w:asciiTheme="majorHAnsi" w:hAnsiTheme="majorHAnsi"/>
          <w:sz w:val="20"/>
          <w:szCs w:val="20"/>
        </w:rPr>
        <w:t>на належних стадіях для перевірення того, що критерії контролю процесу або виходів, а також критерії</w:t>
      </w:r>
      <w:r w:rsidRPr="000977F7">
        <w:rPr>
          <w:rFonts w:asciiTheme="majorHAnsi" w:hAnsiTheme="majorHAnsi"/>
          <w:spacing w:val="1"/>
          <w:sz w:val="20"/>
          <w:szCs w:val="20"/>
        </w:rPr>
        <w:t xml:space="preserve"> </w:t>
      </w:r>
      <w:r w:rsidRPr="000977F7">
        <w:rPr>
          <w:rFonts w:asciiTheme="majorHAnsi" w:hAnsiTheme="majorHAnsi"/>
          <w:sz w:val="20"/>
          <w:szCs w:val="20"/>
        </w:rPr>
        <w:t>приймання</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r w:rsidRPr="000977F7">
        <w:rPr>
          <w:rFonts w:asciiTheme="majorHAnsi" w:hAnsiTheme="majorHAnsi"/>
          <w:spacing w:val="-2"/>
          <w:sz w:val="20"/>
          <w:szCs w:val="20"/>
        </w:rPr>
        <w:t xml:space="preserve"> </w:t>
      </w:r>
      <w:r w:rsidRPr="000977F7">
        <w:rPr>
          <w:rFonts w:asciiTheme="majorHAnsi" w:hAnsiTheme="majorHAnsi"/>
          <w:sz w:val="20"/>
          <w:szCs w:val="20"/>
        </w:rPr>
        <w:t>задоволено;</w:t>
      </w:r>
    </w:p>
    <w:p w14:paraId="679C7D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 використання придатної інфраструктури та 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функціонування</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p>
    <w:p w14:paraId="79788B3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e) призначення компетентного персоналу, охоплюючи будь-яку необхідну кваліфікацію;</w:t>
      </w:r>
    </w:p>
    <w:p w14:paraId="20809F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 затвердження та періодичне повторне затвердження здатності досягти запланованих результатів процесів виготовлення продукції та надання послуг у випадках,</w:t>
      </w:r>
      <w:r w:rsidRPr="000977F7">
        <w:rPr>
          <w:rFonts w:asciiTheme="majorHAnsi" w:hAnsiTheme="majorHAnsi"/>
          <w:spacing w:val="-47"/>
          <w:sz w:val="20"/>
          <w:szCs w:val="20"/>
        </w:rPr>
        <w:t xml:space="preserve"> </w:t>
      </w:r>
      <w:r w:rsidRPr="000977F7">
        <w:rPr>
          <w:rFonts w:asciiTheme="majorHAnsi" w:hAnsiTheme="majorHAnsi"/>
          <w:sz w:val="20"/>
          <w:szCs w:val="20"/>
        </w:rPr>
        <w:t>коли</w:t>
      </w:r>
      <w:r w:rsidRPr="000977F7">
        <w:rPr>
          <w:rFonts w:asciiTheme="majorHAnsi" w:hAnsiTheme="majorHAnsi"/>
          <w:spacing w:val="1"/>
          <w:sz w:val="20"/>
          <w:szCs w:val="20"/>
        </w:rPr>
        <w:t xml:space="preserve"> </w:t>
      </w:r>
      <w:r w:rsidRPr="000977F7">
        <w:rPr>
          <w:rFonts w:asciiTheme="majorHAnsi" w:hAnsiTheme="majorHAnsi"/>
          <w:sz w:val="20"/>
          <w:szCs w:val="20"/>
        </w:rPr>
        <w:t>кінцевий вихід</w:t>
      </w:r>
      <w:r w:rsidRPr="000977F7">
        <w:rPr>
          <w:rFonts w:asciiTheme="majorHAnsi" w:hAnsiTheme="majorHAnsi"/>
          <w:spacing w:val="1"/>
          <w:sz w:val="20"/>
          <w:szCs w:val="20"/>
        </w:rPr>
        <w:t xml:space="preserve"> </w:t>
      </w:r>
      <w:r w:rsidRPr="000977F7">
        <w:rPr>
          <w:rFonts w:asciiTheme="majorHAnsi" w:hAnsiTheme="majorHAnsi"/>
          <w:sz w:val="20"/>
          <w:szCs w:val="20"/>
        </w:rPr>
        <w:t>неможливо</w:t>
      </w:r>
      <w:r w:rsidRPr="000977F7">
        <w:rPr>
          <w:rFonts w:asciiTheme="majorHAnsi" w:hAnsiTheme="majorHAnsi"/>
          <w:spacing w:val="1"/>
          <w:sz w:val="20"/>
          <w:szCs w:val="20"/>
        </w:rPr>
        <w:t xml:space="preserve"> </w:t>
      </w:r>
      <w:r w:rsidRPr="000977F7">
        <w:rPr>
          <w:rFonts w:asciiTheme="majorHAnsi" w:hAnsiTheme="majorHAnsi"/>
          <w:sz w:val="20"/>
          <w:szCs w:val="20"/>
        </w:rPr>
        <w:t>перевірити подальшим моніторингом або</w:t>
      </w:r>
      <w:r w:rsidRPr="000977F7">
        <w:rPr>
          <w:rFonts w:asciiTheme="majorHAnsi" w:hAnsiTheme="majorHAnsi"/>
          <w:spacing w:val="1"/>
          <w:sz w:val="20"/>
          <w:szCs w:val="20"/>
        </w:rPr>
        <w:t xml:space="preserve"> </w:t>
      </w:r>
      <w:r w:rsidRPr="000977F7">
        <w:rPr>
          <w:rFonts w:asciiTheme="majorHAnsi" w:hAnsiTheme="majorHAnsi"/>
          <w:sz w:val="20"/>
          <w:szCs w:val="20"/>
        </w:rPr>
        <w:t>вимірюванням;</w:t>
      </w:r>
    </w:p>
    <w:p w14:paraId="0173130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g) запровадження дій щодо запобігання помилкам, зумовленим людським</w:t>
      </w:r>
      <w:r w:rsidRPr="000977F7">
        <w:rPr>
          <w:rFonts w:asciiTheme="majorHAnsi" w:hAnsiTheme="majorHAnsi"/>
          <w:spacing w:val="1"/>
          <w:sz w:val="20"/>
          <w:szCs w:val="20"/>
        </w:rPr>
        <w:t xml:space="preserve"> </w:t>
      </w:r>
      <w:r w:rsidRPr="000977F7">
        <w:rPr>
          <w:rFonts w:asciiTheme="majorHAnsi" w:hAnsiTheme="majorHAnsi"/>
          <w:sz w:val="20"/>
          <w:szCs w:val="20"/>
        </w:rPr>
        <w:t>чинником;</w:t>
      </w:r>
    </w:p>
    <w:p w14:paraId="36AD586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h) запровадження робіт з випуску, постачання та дій</w:t>
      </w:r>
      <w:r w:rsidRPr="000977F7">
        <w:rPr>
          <w:rFonts w:asciiTheme="majorHAnsi" w:hAnsiTheme="majorHAnsi"/>
          <w:spacing w:val="1"/>
          <w:sz w:val="20"/>
          <w:szCs w:val="20"/>
        </w:rPr>
        <w:t xml:space="preserve"> </w:t>
      </w:r>
      <w:r w:rsidRPr="000977F7">
        <w:rPr>
          <w:rFonts w:asciiTheme="majorHAnsi" w:hAnsiTheme="majorHAnsi"/>
          <w:sz w:val="20"/>
          <w:szCs w:val="20"/>
        </w:rPr>
        <w:t>після</w:t>
      </w:r>
      <w:r w:rsidRPr="000977F7">
        <w:rPr>
          <w:rFonts w:asciiTheme="majorHAnsi" w:hAnsiTheme="majorHAnsi"/>
          <w:spacing w:val="-2"/>
          <w:sz w:val="20"/>
          <w:szCs w:val="20"/>
        </w:rPr>
        <w:t xml:space="preserve"> </w:t>
      </w:r>
      <w:r w:rsidRPr="000977F7">
        <w:rPr>
          <w:rFonts w:asciiTheme="majorHAnsi" w:hAnsiTheme="majorHAnsi"/>
          <w:sz w:val="20"/>
          <w:szCs w:val="20"/>
        </w:rPr>
        <w:t>постачання.</w:t>
      </w:r>
    </w:p>
    <w:p w14:paraId="3325E42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4FAE84F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w:t>
      </w:r>
      <w:r w:rsidRPr="000977F7">
        <w:rPr>
          <w:color w:val="auto"/>
          <w:spacing w:val="-4"/>
          <w:sz w:val="20"/>
          <w:szCs w:val="20"/>
        </w:rPr>
        <w:t xml:space="preserve"> </w:t>
      </w:r>
      <w:r w:rsidRPr="000977F7">
        <w:rPr>
          <w:color w:val="auto"/>
          <w:sz w:val="20"/>
          <w:szCs w:val="20"/>
        </w:rPr>
        <w:t>ДОПУСКУ</w:t>
      </w:r>
      <w:r w:rsidRPr="000977F7">
        <w:rPr>
          <w:color w:val="auto"/>
          <w:spacing w:val="-2"/>
          <w:sz w:val="20"/>
          <w:szCs w:val="20"/>
        </w:rPr>
        <w:t xml:space="preserve"> </w:t>
      </w:r>
      <w:r w:rsidRPr="000977F7">
        <w:rPr>
          <w:color w:val="auto"/>
          <w:sz w:val="20"/>
          <w:szCs w:val="20"/>
        </w:rPr>
        <w:t>–</w:t>
      </w:r>
    </w:p>
    <w:p w14:paraId="752F8E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установлює</w:t>
      </w:r>
      <w:r w:rsidRPr="000977F7">
        <w:rPr>
          <w:rFonts w:asciiTheme="majorHAnsi" w:hAnsiTheme="majorHAnsi"/>
          <w:spacing w:val="1"/>
          <w:sz w:val="20"/>
          <w:szCs w:val="20"/>
        </w:rPr>
        <w:t xml:space="preserve"> </w:t>
      </w:r>
      <w:r w:rsidRPr="000977F7">
        <w:rPr>
          <w:rFonts w:asciiTheme="majorHAnsi" w:hAnsiTheme="majorHAnsi"/>
          <w:sz w:val="20"/>
          <w:szCs w:val="20"/>
        </w:rPr>
        <w:t>факт</w:t>
      </w:r>
      <w:r w:rsidRPr="000977F7">
        <w:rPr>
          <w:rFonts w:asciiTheme="majorHAnsi" w:hAnsiTheme="majorHAnsi"/>
          <w:spacing w:val="1"/>
          <w:sz w:val="20"/>
          <w:szCs w:val="20"/>
        </w:rPr>
        <w:t xml:space="preserve"> </w:t>
      </w:r>
      <w:r w:rsidRPr="000977F7">
        <w:rPr>
          <w:rFonts w:asciiTheme="majorHAnsi" w:hAnsiTheme="majorHAnsi"/>
          <w:sz w:val="20"/>
          <w:szCs w:val="20"/>
        </w:rPr>
        <w:t>находження</w:t>
      </w:r>
      <w:r w:rsidRPr="000977F7">
        <w:rPr>
          <w:rFonts w:asciiTheme="majorHAnsi" w:hAnsiTheme="majorHAnsi"/>
          <w:spacing w:val="1"/>
          <w:sz w:val="20"/>
          <w:szCs w:val="20"/>
        </w:rPr>
        <w:t xml:space="preserve"> </w:t>
      </w:r>
      <w:r w:rsidRPr="000977F7">
        <w:rPr>
          <w:rFonts w:asciiTheme="majorHAnsi" w:hAnsiTheme="majorHAnsi"/>
          <w:sz w:val="20"/>
          <w:szCs w:val="20"/>
        </w:rPr>
        <w:t>дійсного</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r w:rsidRPr="000977F7">
        <w:rPr>
          <w:rFonts w:asciiTheme="majorHAnsi" w:hAnsiTheme="majorHAnsi"/>
          <w:spacing w:val="1"/>
          <w:sz w:val="20"/>
          <w:szCs w:val="20"/>
        </w:rPr>
        <w:t xml:space="preserve"> </w:t>
      </w:r>
      <w:r w:rsidRPr="000977F7">
        <w:rPr>
          <w:rFonts w:asciiTheme="majorHAnsi" w:hAnsiTheme="majorHAnsi"/>
          <w:sz w:val="20"/>
          <w:szCs w:val="20"/>
        </w:rPr>
        <w:t>відносно</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гранично</w:t>
      </w:r>
      <w:r w:rsidRPr="000977F7">
        <w:rPr>
          <w:rFonts w:asciiTheme="majorHAnsi" w:hAnsiTheme="majorHAnsi"/>
          <w:spacing w:val="1"/>
          <w:sz w:val="20"/>
          <w:szCs w:val="20"/>
        </w:rPr>
        <w:t xml:space="preserve"> </w:t>
      </w:r>
      <w:r w:rsidRPr="000977F7">
        <w:rPr>
          <w:rFonts w:asciiTheme="majorHAnsi" w:hAnsiTheme="majorHAnsi"/>
          <w:sz w:val="20"/>
          <w:szCs w:val="20"/>
        </w:rPr>
        <w:t>допустимих значень без змінювання значення параметра</w:t>
      </w:r>
    </w:p>
    <w:p w14:paraId="3C6F73F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w:t>
      </w:r>
      <w:r w:rsidRPr="000977F7">
        <w:rPr>
          <w:color w:val="auto"/>
          <w:spacing w:val="-5"/>
          <w:sz w:val="20"/>
          <w:szCs w:val="20"/>
        </w:rPr>
        <w:t xml:space="preserve"> </w:t>
      </w:r>
      <w:r w:rsidRPr="000977F7">
        <w:rPr>
          <w:color w:val="auto"/>
          <w:sz w:val="20"/>
          <w:szCs w:val="20"/>
        </w:rPr>
        <w:t>З</w:t>
      </w:r>
      <w:r w:rsidRPr="000977F7">
        <w:rPr>
          <w:color w:val="auto"/>
          <w:spacing w:val="-4"/>
          <w:sz w:val="20"/>
          <w:szCs w:val="20"/>
        </w:rPr>
        <w:t xml:space="preserve"> </w:t>
      </w:r>
      <w:r w:rsidRPr="000977F7">
        <w:rPr>
          <w:color w:val="auto"/>
          <w:sz w:val="20"/>
          <w:szCs w:val="20"/>
        </w:rPr>
        <w:t>РОЗБРАКУВАННЯМ</w:t>
      </w:r>
      <w:r w:rsidRPr="000977F7">
        <w:rPr>
          <w:color w:val="auto"/>
          <w:spacing w:val="3"/>
          <w:sz w:val="20"/>
          <w:szCs w:val="20"/>
        </w:rPr>
        <w:t xml:space="preserve"> </w:t>
      </w:r>
      <w:r w:rsidRPr="000977F7">
        <w:rPr>
          <w:color w:val="auto"/>
          <w:sz w:val="20"/>
          <w:szCs w:val="20"/>
        </w:rPr>
        <w:t>–</w:t>
      </w:r>
    </w:p>
    <w:p w14:paraId="1AC106E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RECTIFYING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INSPECTION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7A319D08"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Статистичний приймальний контроль, за результатами якого неприйняту партію чи потік продукції піддають суцільному контролю для подальшого відокремлення</w:t>
      </w:r>
      <w:r w:rsidRPr="000977F7">
        <w:rPr>
          <w:rFonts w:asciiTheme="majorHAnsi" w:hAnsiTheme="majorHAnsi"/>
          <w:spacing w:val="1"/>
          <w:sz w:val="20"/>
          <w:szCs w:val="20"/>
        </w:rPr>
        <w:t xml:space="preserve"> </w:t>
      </w:r>
      <w:r w:rsidRPr="000977F7">
        <w:rPr>
          <w:rFonts w:asciiTheme="majorHAnsi" w:hAnsiTheme="majorHAnsi"/>
          <w:sz w:val="20"/>
          <w:szCs w:val="20"/>
        </w:rPr>
        <w:t>дефектних одиниць</w:t>
      </w:r>
      <w:r w:rsidRPr="000977F7">
        <w:rPr>
          <w:rFonts w:asciiTheme="majorHAnsi" w:hAnsiTheme="majorHAnsi"/>
          <w:spacing w:val="50"/>
          <w:sz w:val="20"/>
          <w:szCs w:val="20"/>
        </w:rPr>
        <w:t xml:space="preserve"> </w:t>
      </w:r>
      <w:r w:rsidRPr="000977F7">
        <w:rPr>
          <w:rFonts w:asciiTheme="majorHAnsi" w:hAnsiTheme="majorHAnsi"/>
          <w:sz w:val="20"/>
          <w:szCs w:val="20"/>
        </w:rPr>
        <w:t>продукції від</w:t>
      </w:r>
      <w:r w:rsidRPr="000977F7">
        <w:rPr>
          <w:rFonts w:asciiTheme="majorHAnsi" w:hAnsiTheme="majorHAnsi"/>
          <w:spacing w:val="50"/>
          <w:sz w:val="20"/>
          <w:szCs w:val="20"/>
        </w:rPr>
        <w:t xml:space="preserve"> </w:t>
      </w:r>
      <w:r w:rsidRPr="000977F7">
        <w:rPr>
          <w:rFonts w:asciiTheme="majorHAnsi" w:hAnsiTheme="majorHAnsi"/>
          <w:sz w:val="20"/>
          <w:szCs w:val="20"/>
        </w:rPr>
        <w:t>придатних</w:t>
      </w:r>
      <w:r w:rsidRPr="000977F7">
        <w:rPr>
          <w:rFonts w:asciiTheme="majorHAnsi" w:hAnsiTheme="majorHAnsi"/>
          <w:spacing w:val="1"/>
          <w:sz w:val="20"/>
          <w:szCs w:val="20"/>
        </w:rPr>
        <w:t xml:space="preserve"> </w:t>
      </w:r>
    </w:p>
    <w:p w14:paraId="5C623E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FF38C8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Якщо з забракованих партіях дефектні одиниці продукції замінюються придатними, то можна визначити</w:t>
      </w:r>
      <w:r w:rsidRPr="000977F7">
        <w:rPr>
          <w:rFonts w:asciiTheme="majorHAnsi" w:hAnsiTheme="majorHAnsi"/>
          <w:spacing w:val="1"/>
          <w:sz w:val="20"/>
          <w:szCs w:val="20"/>
        </w:rPr>
        <w:t xml:space="preserve"> </w:t>
      </w:r>
      <w:r w:rsidRPr="000977F7">
        <w:rPr>
          <w:rFonts w:asciiTheme="majorHAnsi" w:hAnsiTheme="majorHAnsi"/>
          <w:sz w:val="20"/>
          <w:szCs w:val="20"/>
        </w:rPr>
        <w:t>середній вихідний</w:t>
      </w:r>
      <w:r w:rsidRPr="000977F7">
        <w:rPr>
          <w:rFonts w:asciiTheme="majorHAnsi" w:hAnsiTheme="majorHAnsi"/>
          <w:spacing w:val="-1"/>
          <w:sz w:val="20"/>
          <w:szCs w:val="20"/>
        </w:rPr>
        <w:t xml:space="preserve"> </w:t>
      </w:r>
      <w:r w:rsidRPr="000977F7">
        <w:rPr>
          <w:rFonts w:asciiTheme="majorHAnsi" w:hAnsiTheme="majorHAnsi"/>
          <w:sz w:val="20"/>
          <w:szCs w:val="20"/>
        </w:rPr>
        <w:t>рівень</w:t>
      </w:r>
      <w:r w:rsidRPr="000977F7">
        <w:rPr>
          <w:rFonts w:asciiTheme="majorHAnsi" w:hAnsiTheme="majorHAnsi"/>
          <w:spacing w:val="-1"/>
          <w:sz w:val="20"/>
          <w:szCs w:val="20"/>
        </w:rPr>
        <w:t xml:space="preserve"> </w:t>
      </w:r>
      <w:r w:rsidRPr="000977F7">
        <w:rPr>
          <w:rFonts w:asciiTheme="majorHAnsi" w:hAnsiTheme="majorHAnsi"/>
          <w:sz w:val="20"/>
          <w:szCs w:val="20"/>
        </w:rPr>
        <w:t>дефектності</w:t>
      </w:r>
    </w:p>
    <w:p w14:paraId="7D640BE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0228D75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w w:val="95"/>
          <w:sz w:val="20"/>
          <w:szCs w:val="20"/>
        </w:rPr>
        <w:t>КОНТРОЛЬ</w:t>
      </w:r>
      <w:r w:rsidRPr="000977F7">
        <w:rPr>
          <w:color w:val="auto"/>
          <w:spacing w:val="-1"/>
          <w:w w:val="95"/>
          <w:sz w:val="20"/>
          <w:szCs w:val="20"/>
        </w:rPr>
        <w:t xml:space="preserve"> </w:t>
      </w:r>
      <w:r w:rsidRPr="000977F7">
        <w:rPr>
          <w:color w:val="auto"/>
          <w:w w:val="95"/>
          <w:sz w:val="20"/>
          <w:szCs w:val="20"/>
        </w:rPr>
        <w:t>ЗА</w:t>
      </w:r>
      <w:r w:rsidRPr="000977F7">
        <w:rPr>
          <w:color w:val="auto"/>
          <w:spacing w:val="2"/>
          <w:w w:val="95"/>
          <w:sz w:val="20"/>
          <w:szCs w:val="20"/>
        </w:rPr>
        <w:t xml:space="preserve"> </w:t>
      </w:r>
      <w:r w:rsidRPr="000977F7">
        <w:rPr>
          <w:color w:val="auto"/>
          <w:w w:val="95"/>
          <w:sz w:val="20"/>
          <w:szCs w:val="20"/>
        </w:rPr>
        <w:t>АЛЬТЕРНАТИВНОЮ</w:t>
      </w:r>
      <w:r w:rsidRPr="000977F7">
        <w:rPr>
          <w:color w:val="auto"/>
          <w:spacing w:val="1"/>
          <w:w w:val="95"/>
          <w:sz w:val="20"/>
          <w:szCs w:val="20"/>
        </w:rPr>
        <w:t xml:space="preserve"> </w:t>
      </w:r>
      <w:r w:rsidRPr="000977F7">
        <w:rPr>
          <w:color w:val="auto"/>
          <w:w w:val="95"/>
          <w:sz w:val="20"/>
          <w:szCs w:val="20"/>
        </w:rPr>
        <w:t>ОЗНАКОЮ</w:t>
      </w:r>
      <w:r w:rsidRPr="000977F7">
        <w:rPr>
          <w:color w:val="auto"/>
          <w:spacing w:val="-4"/>
          <w:w w:val="95"/>
          <w:sz w:val="20"/>
          <w:szCs w:val="20"/>
        </w:rPr>
        <w:t xml:space="preserve"> </w:t>
      </w:r>
      <w:r w:rsidRPr="000977F7">
        <w:rPr>
          <w:color w:val="auto"/>
          <w:w w:val="95"/>
          <w:sz w:val="20"/>
          <w:szCs w:val="20"/>
        </w:rPr>
        <w:t>–</w:t>
      </w:r>
    </w:p>
    <w:p w14:paraId="73D8D56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INSPECTION</w:t>
      </w:r>
      <w:r w:rsidRPr="004D2D14">
        <w:rPr>
          <w:rFonts w:asciiTheme="majorHAnsi" w:hAnsiTheme="majorHAnsi"/>
          <w:spacing w:val="-2"/>
          <w:sz w:val="20"/>
          <w:szCs w:val="20"/>
          <w:lang w:val="uk-UA"/>
        </w:rPr>
        <w:t xml:space="preserve"> </w:t>
      </w:r>
      <w:r w:rsidRPr="000977F7">
        <w:rPr>
          <w:rFonts w:asciiTheme="majorHAnsi" w:hAnsiTheme="majorHAnsi"/>
          <w:sz w:val="20"/>
          <w:szCs w:val="20"/>
        </w:rPr>
        <w:t>BY</w:t>
      </w:r>
      <w:r w:rsidRPr="004D2D14">
        <w:rPr>
          <w:rFonts w:asciiTheme="majorHAnsi" w:hAnsiTheme="majorHAnsi"/>
          <w:spacing w:val="-2"/>
          <w:sz w:val="20"/>
          <w:szCs w:val="20"/>
          <w:lang w:val="uk-UA"/>
        </w:rPr>
        <w:t xml:space="preserve"> </w:t>
      </w:r>
      <w:r w:rsidRPr="000977F7">
        <w:rPr>
          <w:rFonts w:asciiTheme="majorHAnsi" w:hAnsiTheme="majorHAnsi"/>
          <w:sz w:val="20"/>
          <w:szCs w:val="20"/>
        </w:rPr>
        <w:t>ATTRIBUTES</w:t>
      </w:r>
      <w:r w:rsidRPr="004D2D14">
        <w:rPr>
          <w:rFonts w:asciiTheme="majorHAnsi" w:hAnsiTheme="majorHAnsi"/>
          <w:sz w:val="20"/>
          <w:szCs w:val="20"/>
          <w:lang w:val="uk-UA"/>
        </w:rPr>
        <w:t>-</w:t>
      </w:r>
    </w:p>
    <w:p w14:paraId="6080ADB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Контроль</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якості</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якісною</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ознакою,</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під</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час</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якого кожну перевірену одиницю продукції зараховують</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категорії</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придатних</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дефектних,</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а</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подальше</w:t>
      </w:r>
      <w:r w:rsidRPr="004D2D14">
        <w:rPr>
          <w:rFonts w:asciiTheme="majorHAnsi" w:hAnsiTheme="majorHAnsi"/>
          <w:spacing w:val="-48"/>
          <w:sz w:val="20"/>
          <w:szCs w:val="20"/>
          <w:lang w:val="uk-UA"/>
        </w:rPr>
        <w:t xml:space="preserve"> </w:t>
      </w:r>
      <w:r w:rsidRPr="004D2D14">
        <w:rPr>
          <w:rFonts w:asciiTheme="majorHAnsi" w:hAnsiTheme="majorHAnsi"/>
          <w:sz w:val="20"/>
          <w:szCs w:val="20"/>
          <w:lang w:val="uk-UA"/>
        </w:rPr>
        <w:t>рішення щодо контрольованої сукупності чи процесу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приймають залежно від результатів порівняння вияв</w:t>
      </w:r>
      <w:r w:rsidRPr="004D2D14">
        <w:rPr>
          <w:rFonts w:asciiTheme="majorHAnsi" w:hAnsiTheme="majorHAnsi"/>
          <w:spacing w:val="-1"/>
          <w:sz w:val="20"/>
          <w:szCs w:val="20"/>
          <w:lang w:val="uk-UA"/>
        </w:rPr>
        <w:t>лених</w:t>
      </w:r>
      <w:r w:rsidRPr="004D2D14">
        <w:rPr>
          <w:rFonts w:asciiTheme="majorHAnsi" w:hAnsiTheme="majorHAnsi"/>
          <w:spacing w:val="-10"/>
          <w:sz w:val="20"/>
          <w:szCs w:val="20"/>
          <w:lang w:val="uk-UA"/>
        </w:rPr>
        <w:t xml:space="preserve"> </w:t>
      </w:r>
      <w:r w:rsidRPr="004D2D14">
        <w:rPr>
          <w:rFonts w:asciiTheme="majorHAnsi" w:hAnsiTheme="majorHAnsi"/>
          <w:spacing w:val="-1"/>
          <w:sz w:val="20"/>
          <w:szCs w:val="20"/>
          <w:lang w:val="uk-UA"/>
        </w:rPr>
        <w:t>у</w:t>
      </w:r>
      <w:r w:rsidRPr="004D2D14">
        <w:rPr>
          <w:rFonts w:asciiTheme="majorHAnsi" w:hAnsiTheme="majorHAnsi"/>
          <w:spacing w:val="-11"/>
          <w:sz w:val="20"/>
          <w:szCs w:val="20"/>
          <w:lang w:val="uk-UA"/>
        </w:rPr>
        <w:t xml:space="preserve"> </w:t>
      </w:r>
      <w:r w:rsidRPr="004D2D14">
        <w:rPr>
          <w:rFonts w:asciiTheme="majorHAnsi" w:hAnsiTheme="majorHAnsi"/>
          <w:spacing w:val="-1"/>
          <w:sz w:val="20"/>
          <w:szCs w:val="20"/>
          <w:lang w:val="uk-UA"/>
        </w:rPr>
        <w:t>вибірці</w:t>
      </w:r>
      <w:r w:rsidRPr="004D2D14">
        <w:rPr>
          <w:rFonts w:asciiTheme="majorHAnsi" w:hAnsiTheme="majorHAnsi"/>
          <w:spacing w:val="-9"/>
          <w:sz w:val="20"/>
          <w:szCs w:val="20"/>
          <w:lang w:val="uk-UA"/>
        </w:rPr>
        <w:t xml:space="preserve"> </w:t>
      </w:r>
      <w:r w:rsidRPr="004D2D14">
        <w:rPr>
          <w:rFonts w:asciiTheme="majorHAnsi" w:hAnsiTheme="majorHAnsi"/>
          <w:spacing w:val="-1"/>
          <w:sz w:val="20"/>
          <w:szCs w:val="20"/>
          <w:lang w:val="uk-UA"/>
        </w:rPr>
        <w:t>кількості</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дефектних</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одиниць</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чи кількості дефектів, які припадають на певну кіль</w:t>
      </w:r>
      <w:r w:rsidRPr="004D2D14">
        <w:rPr>
          <w:rFonts w:asciiTheme="majorHAnsi" w:hAnsiTheme="majorHAnsi"/>
          <w:spacing w:val="-1"/>
          <w:sz w:val="20"/>
          <w:szCs w:val="20"/>
          <w:lang w:val="uk-UA"/>
        </w:rPr>
        <w:t>кість</w:t>
      </w:r>
      <w:r w:rsidRPr="004D2D14">
        <w:rPr>
          <w:rFonts w:asciiTheme="majorHAnsi" w:hAnsiTheme="majorHAnsi"/>
          <w:spacing w:val="-11"/>
          <w:sz w:val="20"/>
          <w:szCs w:val="20"/>
          <w:lang w:val="uk-UA"/>
        </w:rPr>
        <w:t xml:space="preserve"> </w:t>
      </w:r>
      <w:r w:rsidRPr="004D2D14">
        <w:rPr>
          <w:rFonts w:asciiTheme="majorHAnsi" w:hAnsiTheme="majorHAnsi"/>
          <w:spacing w:val="-1"/>
          <w:sz w:val="20"/>
          <w:szCs w:val="20"/>
          <w:lang w:val="uk-UA"/>
        </w:rPr>
        <w:t>одиниць</w:t>
      </w:r>
      <w:r w:rsidRPr="004D2D14">
        <w:rPr>
          <w:rFonts w:asciiTheme="majorHAnsi" w:hAnsiTheme="majorHAnsi"/>
          <w:spacing w:val="-11"/>
          <w:sz w:val="20"/>
          <w:szCs w:val="20"/>
          <w:lang w:val="uk-UA"/>
        </w:rPr>
        <w:t xml:space="preserve"> </w:t>
      </w:r>
      <w:r w:rsidRPr="004D2D14">
        <w:rPr>
          <w:rFonts w:asciiTheme="majorHAnsi" w:hAnsiTheme="majorHAnsi"/>
          <w:spacing w:val="-1"/>
          <w:sz w:val="20"/>
          <w:szCs w:val="20"/>
          <w:lang w:val="uk-UA"/>
        </w:rPr>
        <w:t>продукції,</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контрольним</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нормативом</w:t>
      </w:r>
    </w:p>
    <w:p w14:paraId="4395EEDF"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3"/>
          <w:sz w:val="20"/>
          <w:szCs w:val="20"/>
          <w:lang w:val="uk-UA"/>
        </w:rPr>
        <w:t xml:space="preserve"> </w:t>
      </w:r>
      <w:r w:rsidRPr="004D2D14">
        <w:rPr>
          <w:rFonts w:asciiTheme="majorHAnsi" w:hAnsiTheme="majorHAnsi"/>
          <w:i/>
          <w:sz w:val="20"/>
          <w:szCs w:val="20"/>
          <w:lang w:val="uk-UA"/>
        </w:rPr>
        <w:t>3514</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97</w:t>
      </w:r>
    </w:p>
    <w:p w14:paraId="69F9B83A"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4D2D14">
        <w:rPr>
          <w:rFonts w:asciiTheme="majorHAnsi" w:hAnsiTheme="majorHAnsi"/>
          <w:b/>
          <w:sz w:val="20"/>
          <w:szCs w:val="20"/>
          <w:lang w:val="uk-UA"/>
        </w:rPr>
        <w:t>КОНТРОЛЬ ЗА КІЛЬКІСНОЮ ОЗНАКОЮ</w:t>
      </w:r>
      <w:r w:rsidRPr="004D2D14">
        <w:rPr>
          <w:rFonts w:asciiTheme="majorHAnsi" w:hAnsiTheme="majorHAnsi"/>
          <w:sz w:val="20"/>
          <w:szCs w:val="20"/>
          <w:lang w:val="uk-UA"/>
        </w:rPr>
        <w:t>–</w:t>
      </w:r>
      <w:r w:rsidRPr="004D2D14">
        <w:rPr>
          <w:rFonts w:asciiTheme="majorHAnsi" w:hAnsiTheme="majorHAnsi"/>
          <w:spacing w:val="-47"/>
          <w:sz w:val="20"/>
          <w:szCs w:val="20"/>
          <w:lang w:val="uk-UA"/>
        </w:rPr>
        <w:t xml:space="preserve"> </w:t>
      </w:r>
      <w:r w:rsidRPr="000977F7">
        <w:rPr>
          <w:rFonts w:asciiTheme="majorHAnsi" w:hAnsiTheme="majorHAnsi"/>
          <w:sz w:val="20"/>
          <w:szCs w:val="20"/>
        </w:rPr>
        <w:t>INSPECTION</w:t>
      </w:r>
      <w:r w:rsidRPr="004D2D14">
        <w:rPr>
          <w:rFonts w:asciiTheme="majorHAnsi" w:hAnsiTheme="majorHAnsi"/>
          <w:spacing w:val="-1"/>
          <w:sz w:val="20"/>
          <w:szCs w:val="20"/>
          <w:lang w:val="uk-UA"/>
        </w:rPr>
        <w:t xml:space="preserve"> </w:t>
      </w:r>
      <w:r w:rsidRPr="000977F7">
        <w:rPr>
          <w:rFonts w:asciiTheme="majorHAnsi" w:hAnsiTheme="majorHAnsi"/>
          <w:sz w:val="20"/>
          <w:szCs w:val="20"/>
        </w:rPr>
        <w:t>BY</w:t>
      </w:r>
      <w:r w:rsidRPr="004D2D14">
        <w:rPr>
          <w:rFonts w:asciiTheme="majorHAnsi" w:hAnsiTheme="majorHAnsi"/>
          <w:sz w:val="20"/>
          <w:szCs w:val="20"/>
          <w:lang w:val="uk-UA"/>
        </w:rPr>
        <w:t xml:space="preserve"> </w:t>
      </w:r>
      <w:r w:rsidRPr="000977F7">
        <w:rPr>
          <w:rFonts w:asciiTheme="majorHAnsi" w:hAnsiTheme="majorHAnsi"/>
          <w:sz w:val="20"/>
          <w:szCs w:val="20"/>
        </w:rPr>
        <w:t>VARIABLES</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2C1D736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Контроль якості продукції, під час якого визначають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значення її параметру, а наступне рішення про контрольовану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сукупність чи процес приймають залежно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порівняння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їх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контрольним нормативом</w:t>
      </w:r>
    </w:p>
    <w:p w14:paraId="00E0B9D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48473AC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w:t>
      </w:r>
      <w:r w:rsidRPr="000977F7">
        <w:rPr>
          <w:color w:val="auto"/>
          <w:spacing w:val="-5"/>
          <w:sz w:val="20"/>
          <w:szCs w:val="20"/>
        </w:rPr>
        <w:t xml:space="preserve"> </w:t>
      </w:r>
      <w:r w:rsidRPr="000977F7">
        <w:rPr>
          <w:color w:val="auto"/>
          <w:sz w:val="20"/>
          <w:szCs w:val="20"/>
        </w:rPr>
        <w:t>ЗА</w:t>
      </w:r>
      <w:r w:rsidRPr="000977F7">
        <w:rPr>
          <w:color w:val="auto"/>
          <w:spacing w:val="-5"/>
          <w:sz w:val="20"/>
          <w:szCs w:val="20"/>
        </w:rPr>
        <w:t xml:space="preserve"> </w:t>
      </w:r>
      <w:r w:rsidRPr="000977F7">
        <w:rPr>
          <w:color w:val="auto"/>
          <w:sz w:val="20"/>
          <w:szCs w:val="20"/>
        </w:rPr>
        <w:t>КОРИГОВАНИМ</w:t>
      </w:r>
      <w:r w:rsidRPr="000977F7">
        <w:rPr>
          <w:color w:val="auto"/>
          <w:spacing w:val="-1"/>
          <w:sz w:val="20"/>
          <w:szCs w:val="20"/>
        </w:rPr>
        <w:t xml:space="preserve"> </w:t>
      </w:r>
      <w:r w:rsidRPr="000977F7">
        <w:rPr>
          <w:color w:val="auto"/>
          <w:sz w:val="20"/>
          <w:szCs w:val="20"/>
        </w:rPr>
        <w:t>ПЛАНОМ</w:t>
      </w:r>
      <w:r w:rsidRPr="000977F7">
        <w:rPr>
          <w:color w:val="auto"/>
          <w:spacing w:val="1"/>
          <w:sz w:val="20"/>
          <w:szCs w:val="20"/>
        </w:rPr>
        <w:t xml:space="preserve"> </w:t>
      </w:r>
      <w:r w:rsidRPr="000977F7">
        <w:rPr>
          <w:color w:val="auto"/>
          <w:sz w:val="20"/>
          <w:szCs w:val="20"/>
        </w:rPr>
        <w:t>–</w:t>
      </w:r>
    </w:p>
    <w:p w14:paraId="6FA61EC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SAMPLING</w:t>
      </w:r>
      <w:r w:rsidRPr="004D2D14">
        <w:rPr>
          <w:rFonts w:asciiTheme="majorHAnsi" w:hAnsiTheme="majorHAnsi"/>
          <w:spacing w:val="-5"/>
          <w:sz w:val="20"/>
          <w:szCs w:val="20"/>
          <w:lang w:val="uk-UA"/>
        </w:rPr>
        <w:t xml:space="preserve"> </w:t>
      </w:r>
      <w:r w:rsidRPr="000977F7">
        <w:rPr>
          <w:rFonts w:asciiTheme="majorHAnsi" w:hAnsiTheme="majorHAnsi"/>
          <w:sz w:val="20"/>
          <w:szCs w:val="20"/>
        </w:rPr>
        <w:t>WITH</w:t>
      </w:r>
      <w:r w:rsidRPr="004D2D14">
        <w:rPr>
          <w:rFonts w:asciiTheme="majorHAnsi" w:hAnsiTheme="majorHAnsi"/>
          <w:spacing w:val="-4"/>
          <w:sz w:val="20"/>
          <w:szCs w:val="20"/>
          <w:lang w:val="uk-UA"/>
        </w:rPr>
        <w:t xml:space="preserve"> </w:t>
      </w:r>
      <w:r w:rsidRPr="000977F7">
        <w:rPr>
          <w:rFonts w:asciiTheme="majorHAnsi" w:hAnsiTheme="majorHAnsi"/>
          <w:sz w:val="20"/>
          <w:szCs w:val="20"/>
        </w:rPr>
        <w:t>S</w:t>
      </w:r>
      <w:r w:rsidRPr="004D2D14">
        <w:rPr>
          <w:rFonts w:asciiTheme="majorHAnsi" w:hAnsiTheme="majorHAnsi"/>
          <w:sz w:val="20"/>
          <w:szCs w:val="20"/>
          <w:lang w:val="uk-UA"/>
        </w:rPr>
        <w:t>Е</w:t>
      </w:r>
      <w:r w:rsidRPr="000977F7">
        <w:rPr>
          <w:rFonts w:asciiTheme="majorHAnsi" w:hAnsiTheme="majorHAnsi"/>
          <w:sz w:val="20"/>
          <w:szCs w:val="20"/>
        </w:rPr>
        <w:t>VERITY</w:t>
      </w:r>
      <w:r w:rsidRPr="004D2D14">
        <w:rPr>
          <w:rFonts w:asciiTheme="majorHAnsi" w:hAnsiTheme="majorHAnsi"/>
          <w:spacing w:val="-5"/>
          <w:sz w:val="20"/>
          <w:szCs w:val="20"/>
          <w:lang w:val="uk-UA"/>
        </w:rPr>
        <w:t xml:space="preserve"> </w:t>
      </w:r>
      <w:r w:rsidRPr="000977F7">
        <w:rPr>
          <w:rFonts w:asciiTheme="majorHAnsi" w:hAnsiTheme="majorHAnsi"/>
          <w:sz w:val="20"/>
          <w:szCs w:val="20"/>
        </w:rPr>
        <w:t>ADJUSTEMENT</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52F6EE9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Статистичний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приймальний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контроль,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ході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його план підлягає зміні залежно від результатів контролю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кількості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попередніх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партій продукції</w:t>
      </w:r>
    </w:p>
    <w:p w14:paraId="662AEE5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18066C4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w:t>
      </w:r>
      <w:r w:rsidRPr="000977F7">
        <w:rPr>
          <w:color w:val="auto"/>
          <w:spacing w:val="-4"/>
          <w:sz w:val="20"/>
          <w:szCs w:val="20"/>
        </w:rPr>
        <w:t xml:space="preserve"> </w:t>
      </w:r>
      <w:r w:rsidRPr="000977F7">
        <w:rPr>
          <w:color w:val="auto"/>
          <w:sz w:val="20"/>
          <w:szCs w:val="20"/>
        </w:rPr>
        <w:t>ЗА</w:t>
      </w:r>
      <w:r w:rsidRPr="000977F7">
        <w:rPr>
          <w:color w:val="auto"/>
          <w:spacing w:val="-3"/>
          <w:sz w:val="20"/>
          <w:szCs w:val="20"/>
        </w:rPr>
        <w:t xml:space="preserve"> </w:t>
      </w:r>
      <w:r w:rsidRPr="000977F7">
        <w:rPr>
          <w:color w:val="auto"/>
          <w:sz w:val="20"/>
          <w:szCs w:val="20"/>
        </w:rPr>
        <w:t>ЯКІСНОЮ</w:t>
      </w:r>
      <w:r w:rsidRPr="000977F7">
        <w:rPr>
          <w:color w:val="auto"/>
          <w:spacing w:val="-5"/>
          <w:sz w:val="20"/>
          <w:szCs w:val="20"/>
        </w:rPr>
        <w:t xml:space="preserve"> </w:t>
      </w:r>
      <w:r w:rsidRPr="000977F7">
        <w:rPr>
          <w:color w:val="auto"/>
          <w:sz w:val="20"/>
          <w:szCs w:val="20"/>
        </w:rPr>
        <w:t>ОЗНАКОЮ –</w:t>
      </w:r>
    </w:p>
    <w:p w14:paraId="4973BBA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INSPECTION</w:t>
      </w:r>
      <w:r w:rsidRPr="004D2D14">
        <w:rPr>
          <w:rFonts w:asciiTheme="majorHAnsi" w:hAnsiTheme="majorHAnsi"/>
          <w:spacing w:val="-3"/>
          <w:sz w:val="20"/>
          <w:szCs w:val="20"/>
          <w:lang w:val="uk-UA"/>
        </w:rPr>
        <w:t xml:space="preserve"> </w:t>
      </w:r>
      <w:r w:rsidRPr="000977F7">
        <w:rPr>
          <w:rFonts w:asciiTheme="majorHAnsi" w:hAnsiTheme="majorHAnsi"/>
          <w:sz w:val="20"/>
          <w:szCs w:val="20"/>
        </w:rPr>
        <w:t>BY</w:t>
      </w:r>
      <w:r w:rsidRPr="004D2D14">
        <w:rPr>
          <w:rFonts w:asciiTheme="majorHAnsi" w:hAnsiTheme="majorHAnsi"/>
          <w:spacing w:val="-3"/>
          <w:sz w:val="20"/>
          <w:szCs w:val="20"/>
          <w:lang w:val="uk-UA"/>
        </w:rPr>
        <w:t xml:space="preserve"> </w:t>
      </w:r>
      <w:r w:rsidRPr="000977F7">
        <w:rPr>
          <w:rFonts w:asciiTheme="majorHAnsi" w:hAnsiTheme="majorHAnsi"/>
          <w:sz w:val="20"/>
          <w:szCs w:val="20"/>
        </w:rPr>
        <w:t>QU</w:t>
      </w:r>
      <w:r w:rsidRPr="004D2D14">
        <w:rPr>
          <w:rFonts w:asciiTheme="majorHAnsi" w:hAnsiTheme="majorHAnsi"/>
          <w:sz w:val="20"/>
          <w:szCs w:val="20"/>
          <w:lang w:val="uk-UA"/>
        </w:rPr>
        <w:t>А</w:t>
      </w:r>
      <w:r w:rsidRPr="000977F7">
        <w:rPr>
          <w:rFonts w:asciiTheme="majorHAnsi" w:hAnsiTheme="majorHAnsi"/>
          <w:sz w:val="20"/>
          <w:szCs w:val="20"/>
        </w:rPr>
        <w:t>LITY</w:t>
      </w:r>
      <w:r w:rsidRPr="004D2D14">
        <w:rPr>
          <w:rFonts w:asciiTheme="majorHAnsi" w:hAnsiTheme="majorHAnsi"/>
          <w:sz w:val="20"/>
          <w:szCs w:val="20"/>
          <w:lang w:val="uk-UA"/>
        </w:rPr>
        <w:t xml:space="preserve"> –</w:t>
      </w:r>
    </w:p>
    <w:p w14:paraId="77F1C3E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Контроль</w:t>
      </w:r>
      <w:r w:rsidRPr="004D2D14">
        <w:rPr>
          <w:rFonts w:asciiTheme="majorHAnsi" w:hAnsiTheme="majorHAnsi"/>
          <w:spacing w:val="15"/>
          <w:sz w:val="20"/>
          <w:szCs w:val="20"/>
          <w:lang w:val="uk-UA"/>
        </w:rPr>
        <w:t xml:space="preserve"> </w:t>
      </w:r>
      <w:r w:rsidRPr="004D2D14">
        <w:rPr>
          <w:rFonts w:asciiTheme="majorHAnsi" w:hAnsiTheme="majorHAnsi"/>
          <w:sz w:val="20"/>
          <w:szCs w:val="20"/>
          <w:lang w:val="uk-UA"/>
        </w:rPr>
        <w:t>якості</w:t>
      </w:r>
      <w:r w:rsidRPr="004D2D14">
        <w:rPr>
          <w:rFonts w:asciiTheme="majorHAnsi" w:hAnsiTheme="majorHAnsi"/>
          <w:spacing w:val="14"/>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15"/>
          <w:sz w:val="20"/>
          <w:szCs w:val="20"/>
          <w:lang w:val="uk-UA"/>
        </w:rPr>
        <w:t xml:space="preserve"> </w:t>
      </w:r>
      <w:r w:rsidRPr="004D2D14">
        <w:rPr>
          <w:rFonts w:asciiTheme="majorHAnsi" w:hAnsiTheme="majorHAnsi"/>
          <w:sz w:val="20"/>
          <w:szCs w:val="20"/>
          <w:lang w:val="uk-UA"/>
        </w:rPr>
        <w:t>під</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час</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якого</w:t>
      </w:r>
      <w:r w:rsidRPr="004D2D14">
        <w:rPr>
          <w:rFonts w:asciiTheme="majorHAnsi" w:hAnsiTheme="majorHAnsi"/>
          <w:spacing w:val="13"/>
          <w:sz w:val="20"/>
          <w:szCs w:val="20"/>
          <w:lang w:val="uk-UA"/>
        </w:rPr>
        <w:t xml:space="preserve"> </w:t>
      </w:r>
      <w:r w:rsidRPr="004D2D14">
        <w:rPr>
          <w:rFonts w:asciiTheme="majorHAnsi" w:hAnsiTheme="majorHAnsi"/>
          <w:sz w:val="20"/>
          <w:szCs w:val="20"/>
          <w:lang w:val="uk-UA"/>
        </w:rPr>
        <w:t>кожну</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перевірену</w:t>
      </w:r>
      <w:r w:rsidRPr="004D2D14">
        <w:rPr>
          <w:rFonts w:asciiTheme="majorHAnsi" w:hAnsiTheme="majorHAnsi"/>
          <w:spacing w:val="41"/>
          <w:sz w:val="20"/>
          <w:szCs w:val="20"/>
          <w:lang w:val="uk-UA"/>
        </w:rPr>
        <w:t xml:space="preserve"> </w:t>
      </w:r>
      <w:r w:rsidRPr="004D2D14">
        <w:rPr>
          <w:rFonts w:asciiTheme="majorHAnsi" w:hAnsiTheme="majorHAnsi"/>
          <w:sz w:val="20"/>
          <w:szCs w:val="20"/>
          <w:lang w:val="uk-UA"/>
        </w:rPr>
        <w:t>одиницю</w:t>
      </w:r>
      <w:r w:rsidRPr="004D2D14">
        <w:rPr>
          <w:rFonts w:asciiTheme="majorHAnsi" w:hAnsiTheme="majorHAnsi"/>
          <w:spacing w:val="43"/>
          <w:sz w:val="20"/>
          <w:szCs w:val="20"/>
          <w:lang w:val="uk-UA"/>
        </w:rPr>
        <w:t xml:space="preserve"> </w:t>
      </w:r>
      <w:r w:rsidRPr="004D2D14">
        <w:rPr>
          <w:rFonts w:asciiTheme="majorHAnsi" w:hAnsiTheme="majorHAnsi"/>
          <w:sz w:val="20"/>
          <w:szCs w:val="20"/>
          <w:lang w:val="uk-UA"/>
        </w:rPr>
        <w:t>її</w:t>
      </w:r>
      <w:r w:rsidRPr="004D2D14">
        <w:rPr>
          <w:rFonts w:asciiTheme="majorHAnsi" w:hAnsiTheme="majorHAnsi"/>
          <w:spacing w:val="44"/>
          <w:sz w:val="20"/>
          <w:szCs w:val="20"/>
          <w:lang w:val="uk-UA"/>
        </w:rPr>
        <w:t xml:space="preserve"> </w:t>
      </w:r>
      <w:r w:rsidRPr="004D2D14">
        <w:rPr>
          <w:rFonts w:asciiTheme="majorHAnsi" w:hAnsiTheme="majorHAnsi"/>
          <w:sz w:val="20"/>
          <w:szCs w:val="20"/>
          <w:lang w:val="uk-UA"/>
        </w:rPr>
        <w:t>зараховують</w:t>
      </w:r>
      <w:r w:rsidRPr="004D2D14">
        <w:rPr>
          <w:rFonts w:asciiTheme="majorHAnsi" w:hAnsiTheme="majorHAnsi"/>
          <w:spacing w:val="46"/>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45"/>
          <w:sz w:val="20"/>
          <w:szCs w:val="20"/>
          <w:lang w:val="uk-UA"/>
        </w:rPr>
        <w:t xml:space="preserve"> </w:t>
      </w:r>
      <w:r w:rsidRPr="004D2D14">
        <w:rPr>
          <w:rFonts w:asciiTheme="majorHAnsi" w:hAnsiTheme="majorHAnsi"/>
          <w:sz w:val="20"/>
          <w:szCs w:val="20"/>
          <w:lang w:val="uk-UA"/>
        </w:rPr>
        <w:t>певної</w:t>
      </w:r>
      <w:r w:rsidRPr="004D2D14">
        <w:rPr>
          <w:rFonts w:asciiTheme="majorHAnsi" w:hAnsiTheme="majorHAnsi"/>
          <w:spacing w:val="39"/>
          <w:sz w:val="20"/>
          <w:szCs w:val="20"/>
          <w:lang w:val="uk-UA"/>
        </w:rPr>
        <w:t xml:space="preserve"> </w:t>
      </w:r>
      <w:r w:rsidRPr="004D2D14">
        <w:rPr>
          <w:rFonts w:asciiTheme="majorHAnsi" w:hAnsiTheme="majorHAnsi"/>
          <w:sz w:val="20"/>
          <w:szCs w:val="20"/>
          <w:lang w:val="uk-UA"/>
        </w:rPr>
        <w:t>групи,</w:t>
      </w:r>
      <w:r w:rsidRPr="004D2D14">
        <w:rPr>
          <w:rFonts w:asciiTheme="majorHAnsi" w:hAnsiTheme="majorHAnsi"/>
          <w:spacing w:val="44"/>
          <w:sz w:val="20"/>
          <w:szCs w:val="20"/>
          <w:lang w:val="uk-UA"/>
        </w:rPr>
        <w:t xml:space="preserve"> </w:t>
      </w:r>
      <w:r w:rsidRPr="004D2D14">
        <w:rPr>
          <w:rFonts w:asciiTheme="majorHAnsi" w:hAnsiTheme="majorHAnsi"/>
          <w:sz w:val="20"/>
          <w:szCs w:val="20"/>
          <w:lang w:val="uk-UA"/>
        </w:rPr>
        <w:t>а</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подальше</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рішення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щодо</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контрольованої</w:t>
      </w:r>
      <w:r w:rsidRPr="004D2D14">
        <w:rPr>
          <w:rFonts w:asciiTheme="majorHAnsi" w:hAnsiTheme="majorHAnsi"/>
          <w:spacing w:val="51"/>
          <w:sz w:val="20"/>
          <w:szCs w:val="20"/>
          <w:lang w:val="uk-UA"/>
        </w:rPr>
        <w:t xml:space="preserve"> </w:t>
      </w:r>
      <w:r w:rsidRPr="004D2D14">
        <w:rPr>
          <w:rFonts w:asciiTheme="majorHAnsi" w:hAnsiTheme="majorHAnsi"/>
          <w:sz w:val="20"/>
          <w:szCs w:val="20"/>
          <w:lang w:val="uk-UA"/>
        </w:rPr>
        <w:t>сукупності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процесу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приймають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залежно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співвідношення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кількості її одиниць, що опинилися у різних групах</w:t>
      </w:r>
    </w:p>
    <w:p w14:paraId="10F6ADB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3514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r w:rsidRPr="000977F7">
        <w:rPr>
          <w:rFonts w:asciiTheme="majorHAnsi" w:hAnsiTheme="majorHAnsi"/>
          <w:i/>
          <w:spacing w:val="-1"/>
          <w:sz w:val="20"/>
          <w:szCs w:val="20"/>
        </w:rPr>
        <w:t xml:space="preserve"> </w:t>
      </w:r>
      <w:r w:rsidRPr="000977F7">
        <w:rPr>
          <w:rFonts w:asciiTheme="majorHAnsi" w:hAnsiTheme="majorHAnsi"/>
          <w:i/>
          <w:sz w:val="20"/>
          <w:szCs w:val="20"/>
        </w:rPr>
        <w:t>ДСТУ 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2735C76" w14:textId="77777777" w:rsidR="0097612F" w:rsidRPr="000977F7" w:rsidRDefault="0097612F" w:rsidP="000977F7">
      <w:pPr>
        <w:pStyle w:val="7"/>
        <w:tabs>
          <w:tab w:val="left" w:pos="284"/>
        </w:tabs>
        <w:spacing w:before="0" w:line="240" w:lineRule="auto"/>
        <w:ind w:left="170"/>
        <w:mirrorIndents/>
        <w:jc w:val="both"/>
        <w:rPr>
          <w:color w:val="auto"/>
          <w:spacing w:val="-47"/>
          <w:sz w:val="20"/>
          <w:szCs w:val="20"/>
        </w:rPr>
      </w:pPr>
      <w:r w:rsidRPr="000977F7">
        <w:rPr>
          <w:color w:val="auto"/>
          <w:sz w:val="20"/>
          <w:szCs w:val="20"/>
        </w:rPr>
        <w:t>КОНТРОЛЬ</w:t>
      </w:r>
      <w:r w:rsidRPr="000977F7">
        <w:rPr>
          <w:color w:val="auto"/>
          <w:spacing w:val="34"/>
          <w:sz w:val="20"/>
          <w:szCs w:val="20"/>
        </w:rPr>
        <w:t xml:space="preserve"> </w:t>
      </w:r>
      <w:r w:rsidRPr="000977F7">
        <w:rPr>
          <w:color w:val="auto"/>
          <w:sz w:val="20"/>
          <w:szCs w:val="20"/>
        </w:rPr>
        <w:t>НАДАВАНИХ</w:t>
      </w:r>
      <w:r w:rsidRPr="000977F7">
        <w:rPr>
          <w:color w:val="auto"/>
          <w:spacing w:val="35"/>
          <w:sz w:val="20"/>
          <w:szCs w:val="20"/>
        </w:rPr>
        <w:t xml:space="preserve"> </w:t>
      </w:r>
      <w:r w:rsidRPr="000977F7">
        <w:rPr>
          <w:color w:val="auto"/>
          <w:sz w:val="20"/>
          <w:szCs w:val="20"/>
        </w:rPr>
        <w:t>ІЗЗОВНІ</w:t>
      </w:r>
      <w:r w:rsidRPr="000977F7">
        <w:rPr>
          <w:color w:val="auto"/>
          <w:spacing w:val="34"/>
          <w:sz w:val="20"/>
          <w:szCs w:val="20"/>
        </w:rPr>
        <w:t xml:space="preserve"> </w:t>
      </w:r>
      <w:r w:rsidRPr="000977F7">
        <w:rPr>
          <w:color w:val="auto"/>
          <w:sz w:val="20"/>
          <w:szCs w:val="20"/>
        </w:rPr>
        <w:t>ПРОЦЕСІВ,</w:t>
      </w:r>
      <w:r w:rsidRPr="000977F7">
        <w:rPr>
          <w:color w:val="auto"/>
          <w:spacing w:val="-47"/>
          <w:sz w:val="20"/>
          <w:szCs w:val="20"/>
        </w:rPr>
        <w:t xml:space="preserve">       </w:t>
      </w:r>
    </w:p>
    <w:p w14:paraId="7EAEF4E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ПРОДУКЦІЇ ТА ПОСЛУГ</w:t>
      </w:r>
      <w:r w:rsidRPr="000977F7">
        <w:rPr>
          <w:color w:val="auto"/>
          <w:spacing w:val="5"/>
          <w:sz w:val="20"/>
          <w:szCs w:val="20"/>
        </w:rPr>
        <w:t xml:space="preserve"> </w:t>
      </w:r>
      <w:r w:rsidRPr="000977F7">
        <w:rPr>
          <w:color w:val="auto"/>
          <w:sz w:val="20"/>
          <w:szCs w:val="20"/>
        </w:rPr>
        <w:t>–</w:t>
      </w:r>
    </w:p>
    <w:p w14:paraId="18F7350A"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uk-UA"/>
        </w:rPr>
      </w:pPr>
      <w:r w:rsidRPr="004D2D14">
        <w:rPr>
          <w:rFonts w:asciiTheme="majorHAnsi" w:hAnsiTheme="majorHAnsi"/>
          <w:b/>
          <w:sz w:val="20"/>
          <w:szCs w:val="20"/>
          <w:lang w:val="uk-UA"/>
        </w:rPr>
        <w:t>Загальні</w:t>
      </w:r>
      <w:r w:rsidRPr="004D2D14">
        <w:rPr>
          <w:rFonts w:asciiTheme="majorHAnsi" w:hAnsiTheme="majorHAnsi"/>
          <w:b/>
          <w:spacing w:val="-6"/>
          <w:sz w:val="20"/>
          <w:szCs w:val="20"/>
          <w:lang w:val="uk-UA"/>
        </w:rPr>
        <w:t xml:space="preserve"> </w:t>
      </w:r>
      <w:r w:rsidRPr="004D2D14">
        <w:rPr>
          <w:rFonts w:asciiTheme="majorHAnsi" w:hAnsiTheme="majorHAnsi"/>
          <w:b/>
          <w:sz w:val="20"/>
          <w:szCs w:val="20"/>
          <w:lang w:val="uk-UA"/>
        </w:rPr>
        <w:t>положення</w:t>
      </w:r>
    </w:p>
    <w:p w14:paraId="5EBA8DB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Організація повинна забезпечувати, щоб надавані ззовні процеси, продукція та послуги відповідали вимогам.</w:t>
      </w:r>
    </w:p>
    <w:p w14:paraId="35DC3B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визначити засоби контролю, що</w:t>
      </w:r>
      <w:r w:rsidRPr="000977F7">
        <w:rPr>
          <w:rFonts w:asciiTheme="majorHAnsi" w:hAnsiTheme="majorHAnsi"/>
          <w:spacing w:val="-47"/>
          <w:sz w:val="20"/>
          <w:szCs w:val="20"/>
        </w:rPr>
        <w:t xml:space="preserve"> </w:t>
      </w:r>
      <w:r w:rsidRPr="000977F7">
        <w:rPr>
          <w:rFonts w:asciiTheme="majorHAnsi" w:hAnsiTheme="majorHAnsi"/>
          <w:sz w:val="20"/>
          <w:szCs w:val="20"/>
        </w:rPr>
        <w:t>їх застосовуватимуть до надаваних іззовні процесів,</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 послуг, якщо</w:t>
      </w:r>
    </w:p>
    <w:p w14:paraId="5CE7D9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продукцію та послуги від зовнішніх постачальників</w:t>
      </w:r>
      <w:r w:rsidRPr="000977F7">
        <w:rPr>
          <w:rFonts w:asciiTheme="majorHAnsi" w:hAnsiTheme="majorHAnsi"/>
          <w:spacing w:val="-47"/>
          <w:sz w:val="20"/>
          <w:szCs w:val="20"/>
        </w:rPr>
        <w:t xml:space="preserve"> </w:t>
      </w:r>
      <w:r w:rsidRPr="000977F7">
        <w:rPr>
          <w:rFonts w:asciiTheme="majorHAnsi" w:hAnsiTheme="majorHAnsi"/>
          <w:sz w:val="20"/>
          <w:szCs w:val="20"/>
        </w:rPr>
        <w:t>призначено долучати до власних продукції та послуг</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p>
    <w:p w14:paraId="458E857E" w14:textId="77777777" w:rsidR="0097612F" w:rsidRPr="000977F7" w:rsidRDefault="0097612F" w:rsidP="00FD39A4">
      <w:pPr>
        <w:pStyle w:val="ac"/>
        <w:widowControl w:val="0"/>
        <w:numPr>
          <w:ilvl w:val="0"/>
          <w:numId w:val="159"/>
        </w:numPr>
        <w:tabs>
          <w:tab w:val="left" w:pos="284"/>
          <w:tab w:val="left" w:pos="55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зовнішні постачальники надають продукцію та послуги</w:t>
      </w:r>
      <w:r w:rsidRPr="000977F7">
        <w:rPr>
          <w:rFonts w:asciiTheme="majorHAnsi" w:hAnsiTheme="majorHAnsi"/>
          <w:spacing w:val="1"/>
          <w:sz w:val="20"/>
          <w:szCs w:val="20"/>
        </w:rPr>
        <w:t xml:space="preserve"> </w:t>
      </w:r>
      <w:r w:rsidRPr="000977F7">
        <w:rPr>
          <w:rFonts w:asciiTheme="majorHAnsi" w:hAnsiTheme="majorHAnsi"/>
          <w:sz w:val="20"/>
          <w:szCs w:val="20"/>
        </w:rPr>
        <w:t>безпосередньо</w:t>
      </w:r>
      <w:r w:rsidRPr="000977F7">
        <w:rPr>
          <w:rFonts w:asciiTheme="majorHAnsi" w:hAnsiTheme="majorHAnsi"/>
          <w:spacing w:val="1"/>
          <w:sz w:val="20"/>
          <w:szCs w:val="20"/>
        </w:rPr>
        <w:t xml:space="preserve"> </w:t>
      </w:r>
      <w:r w:rsidRPr="000977F7">
        <w:rPr>
          <w:rFonts w:asciiTheme="majorHAnsi" w:hAnsiTheme="majorHAnsi"/>
          <w:sz w:val="20"/>
          <w:szCs w:val="20"/>
        </w:rPr>
        <w:t>замовнику(-ам)</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дорученням</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p>
    <w:p w14:paraId="07A415C2" w14:textId="77777777" w:rsidR="0097612F" w:rsidRPr="000977F7" w:rsidRDefault="0097612F" w:rsidP="00FD39A4">
      <w:pPr>
        <w:pStyle w:val="ac"/>
        <w:widowControl w:val="0"/>
        <w:numPr>
          <w:ilvl w:val="0"/>
          <w:numId w:val="159"/>
        </w:numPr>
        <w:tabs>
          <w:tab w:val="left" w:pos="284"/>
          <w:tab w:val="left" w:pos="53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зовнішній</w:t>
      </w:r>
      <w:r w:rsidRPr="000977F7">
        <w:rPr>
          <w:rFonts w:asciiTheme="majorHAnsi" w:hAnsiTheme="majorHAnsi"/>
          <w:spacing w:val="11"/>
          <w:sz w:val="20"/>
          <w:szCs w:val="20"/>
        </w:rPr>
        <w:t xml:space="preserve"> </w:t>
      </w:r>
      <w:r w:rsidRPr="000977F7">
        <w:rPr>
          <w:rFonts w:asciiTheme="majorHAnsi" w:hAnsiTheme="majorHAnsi"/>
          <w:sz w:val="20"/>
          <w:szCs w:val="20"/>
        </w:rPr>
        <w:t>постачальник</w:t>
      </w:r>
      <w:r w:rsidRPr="000977F7">
        <w:rPr>
          <w:rFonts w:asciiTheme="majorHAnsi" w:hAnsiTheme="majorHAnsi"/>
          <w:spacing w:val="12"/>
          <w:sz w:val="20"/>
          <w:szCs w:val="20"/>
        </w:rPr>
        <w:t xml:space="preserve"> </w:t>
      </w:r>
      <w:r w:rsidRPr="000977F7">
        <w:rPr>
          <w:rFonts w:asciiTheme="majorHAnsi" w:hAnsiTheme="majorHAnsi"/>
          <w:sz w:val="20"/>
          <w:szCs w:val="20"/>
        </w:rPr>
        <w:t>виконує</w:t>
      </w:r>
      <w:r w:rsidRPr="000977F7">
        <w:rPr>
          <w:rFonts w:asciiTheme="majorHAnsi" w:hAnsiTheme="majorHAnsi"/>
          <w:spacing w:val="14"/>
          <w:sz w:val="20"/>
          <w:szCs w:val="20"/>
        </w:rPr>
        <w:t xml:space="preserve"> </w:t>
      </w:r>
      <w:r w:rsidRPr="000977F7">
        <w:rPr>
          <w:rFonts w:asciiTheme="majorHAnsi" w:hAnsiTheme="majorHAnsi"/>
          <w:sz w:val="20"/>
          <w:szCs w:val="20"/>
        </w:rPr>
        <w:t>процес</w:t>
      </w:r>
      <w:r w:rsidRPr="000977F7">
        <w:rPr>
          <w:rFonts w:asciiTheme="majorHAnsi" w:hAnsiTheme="majorHAnsi"/>
          <w:spacing w:val="11"/>
          <w:sz w:val="20"/>
          <w:szCs w:val="20"/>
        </w:rPr>
        <w:t xml:space="preserve"> </w:t>
      </w:r>
      <w:r w:rsidRPr="000977F7">
        <w:rPr>
          <w:rFonts w:asciiTheme="majorHAnsi" w:hAnsiTheme="majorHAnsi"/>
          <w:sz w:val="20"/>
          <w:szCs w:val="20"/>
        </w:rPr>
        <w:t>або</w:t>
      </w:r>
      <w:r w:rsidRPr="000977F7">
        <w:rPr>
          <w:rFonts w:asciiTheme="majorHAnsi" w:hAnsiTheme="majorHAnsi"/>
          <w:spacing w:val="11"/>
          <w:sz w:val="20"/>
          <w:szCs w:val="20"/>
        </w:rPr>
        <w:t xml:space="preserve"> </w:t>
      </w:r>
      <w:r w:rsidRPr="000977F7">
        <w:rPr>
          <w:rFonts w:asciiTheme="majorHAnsi" w:hAnsiTheme="majorHAnsi"/>
          <w:sz w:val="20"/>
          <w:szCs w:val="20"/>
        </w:rPr>
        <w:t>частину процесу на підставі рішення 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Організація</w:t>
      </w:r>
      <w:r w:rsidRPr="000977F7">
        <w:rPr>
          <w:rFonts w:asciiTheme="majorHAnsi" w:hAnsiTheme="majorHAnsi"/>
          <w:spacing w:val="2"/>
          <w:sz w:val="20"/>
          <w:szCs w:val="20"/>
        </w:rPr>
        <w:t xml:space="preserve"> </w:t>
      </w:r>
      <w:r w:rsidRPr="000977F7">
        <w:rPr>
          <w:rFonts w:asciiTheme="majorHAnsi" w:hAnsiTheme="majorHAnsi"/>
          <w:sz w:val="20"/>
          <w:szCs w:val="20"/>
        </w:rPr>
        <w:t>повинна</w:t>
      </w:r>
      <w:r w:rsidRPr="000977F7">
        <w:rPr>
          <w:rFonts w:asciiTheme="majorHAnsi" w:hAnsiTheme="majorHAnsi"/>
          <w:spacing w:val="3"/>
          <w:sz w:val="20"/>
          <w:szCs w:val="20"/>
        </w:rPr>
        <w:t xml:space="preserve"> </w:t>
      </w:r>
      <w:r w:rsidRPr="000977F7">
        <w:rPr>
          <w:rFonts w:asciiTheme="majorHAnsi" w:hAnsiTheme="majorHAnsi"/>
          <w:sz w:val="20"/>
          <w:szCs w:val="20"/>
        </w:rPr>
        <w:t>визначати</w:t>
      </w:r>
      <w:r w:rsidRPr="000977F7">
        <w:rPr>
          <w:rFonts w:asciiTheme="majorHAnsi" w:hAnsiTheme="majorHAnsi"/>
          <w:spacing w:val="49"/>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застосовувати</w:t>
      </w:r>
      <w:r w:rsidRPr="000977F7">
        <w:rPr>
          <w:rFonts w:asciiTheme="majorHAnsi" w:hAnsiTheme="majorHAnsi"/>
          <w:spacing w:val="1"/>
          <w:sz w:val="20"/>
          <w:szCs w:val="20"/>
        </w:rPr>
        <w:t xml:space="preserve"> </w:t>
      </w:r>
      <w:r w:rsidRPr="000977F7">
        <w:rPr>
          <w:rFonts w:asciiTheme="majorHAnsi" w:hAnsiTheme="majorHAnsi"/>
          <w:sz w:val="20"/>
          <w:szCs w:val="20"/>
        </w:rPr>
        <w:t>критерії</w:t>
      </w:r>
      <w:r w:rsidRPr="000977F7">
        <w:rPr>
          <w:rFonts w:asciiTheme="majorHAnsi" w:hAnsiTheme="majorHAnsi"/>
          <w:spacing w:val="6"/>
          <w:sz w:val="20"/>
          <w:szCs w:val="20"/>
        </w:rPr>
        <w:t xml:space="preserve"> </w:t>
      </w:r>
      <w:r w:rsidRPr="000977F7">
        <w:rPr>
          <w:rFonts w:asciiTheme="majorHAnsi" w:hAnsiTheme="majorHAnsi"/>
          <w:sz w:val="20"/>
          <w:szCs w:val="20"/>
        </w:rPr>
        <w:t>для</w:t>
      </w:r>
      <w:r w:rsidRPr="000977F7">
        <w:rPr>
          <w:rFonts w:asciiTheme="majorHAnsi" w:hAnsiTheme="majorHAnsi"/>
          <w:spacing w:val="7"/>
          <w:sz w:val="20"/>
          <w:szCs w:val="20"/>
        </w:rPr>
        <w:t xml:space="preserve"> </w:t>
      </w:r>
      <w:r w:rsidRPr="000977F7">
        <w:rPr>
          <w:rFonts w:asciiTheme="majorHAnsi" w:hAnsiTheme="majorHAnsi"/>
          <w:sz w:val="20"/>
          <w:szCs w:val="20"/>
        </w:rPr>
        <w:t>оцінювання,</w:t>
      </w:r>
      <w:r w:rsidRPr="000977F7">
        <w:rPr>
          <w:rFonts w:asciiTheme="majorHAnsi" w:hAnsiTheme="majorHAnsi"/>
          <w:spacing w:val="9"/>
          <w:sz w:val="20"/>
          <w:szCs w:val="20"/>
        </w:rPr>
        <w:t xml:space="preserve"> </w:t>
      </w:r>
      <w:r w:rsidRPr="000977F7">
        <w:rPr>
          <w:rFonts w:asciiTheme="majorHAnsi" w:hAnsiTheme="majorHAnsi"/>
          <w:sz w:val="20"/>
          <w:szCs w:val="20"/>
        </w:rPr>
        <w:t>вибирання,</w:t>
      </w:r>
      <w:r w:rsidRPr="000977F7">
        <w:rPr>
          <w:rFonts w:asciiTheme="majorHAnsi" w:hAnsiTheme="majorHAnsi"/>
          <w:spacing w:val="6"/>
          <w:sz w:val="20"/>
          <w:szCs w:val="20"/>
        </w:rPr>
        <w:t xml:space="preserve"> </w:t>
      </w:r>
      <w:r w:rsidRPr="000977F7">
        <w:rPr>
          <w:rFonts w:asciiTheme="majorHAnsi" w:hAnsiTheme="majorHAnsi"/>
          <w:sz w:val="20"/>
          <w:szCs w:val="20"/>
        </w:rPr>
        <w:t>моніторингу</w:t>
      </w:r>
      <w:r w:rsidRPr="000977F7">
        <w:rPr>
          <w:rFonts w:asciiTheme="majorHAnsi" w:hAnsiTheme="majorHAnsi"/>
          <w:spacing w:val="6"/>
          <w:sz w:val="20"/>
          <w:szCs w:val="20"/>
        </w:rPr>
        <w:t xml:space="preserve"> </w:t>
      </w:r>
      <w:r w:rsidRPr="000977F7">
        <w:rPr>
          <w:rFonts w:asciiTheme="majorHAnsi" w:hAnsiTheme="majorHAnsi"/>
          <w:sz w:val="20"/>
          <w:szCs w:val="20"/>
        </w:rPr>
        <w:t>дієвості зовнішніх постачальників, а також їх повторного</w:t>
      </w:r>
      <w:r w:rsidRPr="000977F7">
        <w:rPr>
          <w:rFonts w:asciiTheme="majorHAnsi" w:hAnsiTheme="majorHAnsi"/>
          <w:spacing w:val="-47"/>
          <w:sz w:val="20"/>
          <w:szCs w:val="20"/>
        </w:rPr>
        <w:t xml:space="preserve"> </w:t>
      </w:r>
      <w:r w:rsidRPr="000977F7">
        <w:rPr>
          <w:rFonts w:asciiTheme="majorHAnsi" w:hAnsiTheme="majorHAnsi"/>
          <w:sz w:val="20"/>
          <w:szCs w:val="20"/>
        </w:rPr>
        <w:t>оцінювання,</w:t>
      </w:r>
      <w:r w:rsidRPr="000977F7">
        <w:rPr>
          <w:rFonts w:asciiTheme="majorHAnsi" w:hAnsiTheme="majorHAnsi"/>
          <w:spacing w:val="8"/>
          <w:sz w:val="20"/>
          <w:szCs w:val="20"/>
        </w:rPr>
        <w:t xml:space="preserve"> </w:t>
      </w:r>
      <w:r w:rsidRPr="000977F7">
        <w:rPr>
          <w:rFonts w:asciiTheme="majorHAnsi" w:hAnsiTheme="majorHAnsi"/>
          <w:sz w:val="20"/>
          <w:szCs w:val="20"/>
        </w:rPr>
        <w:t>зважаючи</w:t>
      </w:r>
      <w:r w:rsidRPr="000977F7">
        <w:rPr>
          <w:rFonts w:asciiTheme="majorHAnsi" w:hAnsiTheme="majorHAnsi"/>
          <w:spacing w:val="10"/>
          <w:sz w:val="20"/>
          <w:szCs w:val="20"/>
        </w:rPr>
        <w:t xml:space="preserve"> </w:t>
      </w:r>
      <w:r w:rsidRPr="000977F7">
        <w:rPr>
          <w:rFonts w:asciiTheme="majorHAnsi" w:hAnsiTheme="majorHAnsi"/>
          <w:sz w:val="20"/>
          <w:szCs w:val="20"/>
        </w:rPr>
        <w:t>на</w:t>
      </w:r>
      <w:r w:rsidRPr="000977F7">
        <w:rPr>
          <w:rFonts w:asciiTheme="majorHAnsi" w:hAnsiTheme="majorHAnsi"/>
          <w:spacing w:val="8"/>
          <w:sz w:val="20"/>
          <w:szCs w:val="20"/>
        </w:rPr>
        <w:t xml:space="preserve"> </w:t>
      </w:r>
      <w:r w:rsidRPr="000977F7">
        <w:rPr>
          <w:rFonts w:asciiTheme="majorHAnsi" w:hAnsiTheme="majorHAnsi"/>
          <w:sz w:val="20"/>
          <w:szCs w:val="20"/>
        </w:rPr>
        <w:t>їхню</w:t>
      </w:r>
      <w:r w:rsidRPr="000977F7">
        <w:rPr>
          <w:rFonts w:asciiTheme="majorHAnsi" w:hAnsiTheme="majorHAnsi"/>
          <w:spacing w:val="9"/>
          <w:sz w:val="20"/>
          <w:szCs w:val="20"/>
        </w:rPr>
        <w:t xml:space="preserve"> </w:t>
      </w:r>
      <w:r w:rsidRPr="000977F7">
        <w:rPr>
          <w:rFonts w:asciiTheme="majorHAnsi" w:hAnsiTheme="majorHAnsi"/>
          <w:sz w:val="20"/>
          <w:szCs w:val="20"/>
        </w:rPr>
        <w:t>здатність</w:t>
      </w:r>
      <w:r w:rsidRPr="000977F7">
        <w:rPr>
          <w:rFonts w:asciiTheme="majorHAnsi" w:hAnsiTheme="majorHAnsi"/>
          <w:spacing w:val="9"/>
          <w:sz w:val="20"/>
          <w:szCs w:val="20"/>
        </w:rPr>
        <w:t xml:space="preserve"> </w:t>
      </w:r>
      <w:r w:rsidRPr="000977F7">
        <w:rPr>
          <w:rFonts w:asciiTheme="majorHAnsi" w:hAnsiTheme="majorHAnsi"/>
          <w:sz w:val="20"/>
          <w:szCs w:val="20"/>
        </w:rPr>
        <w:t>здійснювати</w:t>
      </w:r>
      <w:r w:rsidRPr="000977F7">
        <w:rPr>
          <w:rFonts w:asciiTheme="majorHAnsi" w:hAnsiTheme="majorHAnsi"/>
          <w:spacing w:val="-47"/>
          <w:sz w:val="20"/>
          <w:szCs w:val="20"/>
        </w:rPr>
        <w:t xml:space="preserve"> </w:t>
      </w:r>
      <w:r w:rsidRPr="000977F7">
        <w:rPr>
          <w:rFonts w:asciiTheme="majorHAnsi" w:hAnsiTheme="majorHAnsi"/>
          <w:sz w:val="20"/>
          <w:szCs w:val="20"/>
        </w:rPr>
        <w:t>процеси</w:t>
      </w:r>
      <w:r w:rsidRPr="000977F7">
        <w:rPr>
          <w:rFonts w:asciiTheme="majorHAnsi" w:hAnsiTheme="majorHAnsi"/>
          <w:spacing w:val="18"/>
          <w:sz w:val="20"/>
          <w:szCs w:val="20"/>
        </w:rPr>
        <w:t xml:space="preserve"> </w:t>
      </w:r>
      <w:r w:rsidRPr="000977F7">
        <w:rPr>
          <w:rFonts w:asciiTheme="majorHAnsi" w:hAnsiTheme="majorHAnsi"/>
          <w:sz w:val="20"/>
          <w:szCs w:val="20"/>
        </w:rPr>
        <w:t>чи</w:t>
      </w:r>
      <w:r w:rsidRPr="000977F7">
        <w:rPr>
          <w:rFonts w:asciiTheme="majorHAnsi" w:hAnsiTheme="majorHAnsi"/>
          <w:spacing w:val="17"/>
          <w:sz w:val="20"/>
          <w:szCs w:val="20"/>
        </w:rPr>
        <w:t xml:space="preserve"> </w:t>
      </w:r>
      <w:r w:rsidRPr="000977F7">
        <w:rPr>
          <w:rFonts w:asciiTheme="majorHAnsi" w:hAnsiTheme="majorHAnsi"/>
          <w:sz w:val="20"/>
          <w:szCs w:val="20"/>
        </w:rPr>
        <w:t>постачати</w:t>
      </w:r>
      <w:r w:rsidRPr="000977F7">
        <w:rPr>
          <w:rFonts w:asciiTheme="majorHAnsi" w:hAnsiTheme="majorHAnsi"/>
          <w:spacing w:val="21"/>
          <w:sz w:val="20"/>
          <w:szCs w:val="20"/>
        </w:rPr>
        <w:t xml:space="preserve"> </w:t>
      </w:r>
      <w:r w:rsidRPr="000977F7">
        <w:rPr>
          <w:rFonts w:asciiTheme="majorHAnsi" w:hAnsiTheme="majorHAnsi"/>
          <w:sz w:val="20"/>
          <w:szCs w:val="20"/>
        </w:rPr>
        <w:t>продукцію</w:t>
      </w:r>
      <w:r w:rsidRPr="000977F7">
        <w:rPr>
          <w:rFonts w:asciiTheme="majorHAnsi" w:hAnsiTheme="majorHAnsi"/>
          <w:spacing w:val="22"/>
          <w:sz w:val="20"/>
          <w:szCs w:val="20"/>
        </w:rPr>
        <w:t xml:space="preserve"> </w:t>
      </w:r>
      <w:r w:rsidRPr="000977F7">
        <w:rPr>
          <w:rFonts w:asciiTheme="majorHAnsi" w:hAnsiTheme="majorHAnsi"/>
          <w:sz w:val="20"/>
          <w:szCs w:val="20"/>
        </w:rPr>
        <w:t>й</w:t>
      </w:r>
      <w:r w:rsidRPr="000977F7">
        <w:rPr>
          <w:rFonts w:asciiTheme="majorHAnsi" w:hAnsiTheme="majorHAnsi"/>
          <w:spacing w:val="18"/>
          <w:sz w:val="20"/>
          <w:szCs w:val="20"/>
        </w:rPr>
        <w:t xml:space="preserve"> </w:t>
      </w:r>
      <w:r w:rsidRPr="000977F7">
        <w:rPr>
          <w:rFonts w:asciiTheme="majorHAnsi" w:hAnsiTheme="majorHAnsi"/>
          <w:sz w:val="20"/>
          <w:szCs w:val="20"/>
        </w:rPr>
        <w:t>послуги</w:t>
      </w:r>
      <w:r w:rsidRPr="000977F7">
        <w:rPr>
          <w:rFonts w:asciiTheme="majorHAnsi" w:hAnsiTheme="majorHAnsi"/>
          <w:spacing w:val="18"/>
          <w:sz w:val="20"/>
          <w:szCs w:val="20"/>
        </w:rPr>
        <w:t xml:space="preserve"> </w:t>
      </w:r>
      <w:r w:rsidRPr="000977F7">
        <w:rPr>
          <w:rFonts w:asciiTheme="majorHAnsi" w:hAnsiTheme="majorHAnsi"/>
          <w:sz w:val="20"/>
          <w:szCs w:val="20"/>
        </w:rPr>
        <w:t>відповідно</w:t>
      </w:r>
      <w:r w:rsidRPr="000977F7">
        <w:rPr>
          <w:rFonts w:asciiTheme="majorHAnsi" w:hAnsiTheme="majorHAnsi"/>
          <w:spacing w:val="7"/>
          <w:sz w:val="20"/>
          <w:szCs w:val="20"/>
        </w:rPr>
        <w:t xml:space="preserve"> </w:t>
      </w:r>
      <w:r w:rsidRPr="000977F7">
        <w:rPr>
          <w:rFonts w:asciiTheme="majorHAnsi" w:hAnsiTheme="majorHAnsi"/>
          <w:sz w:val="20"/>
          <w:szCs w:val="20"/>
        </w:rPr>
        <w:t>до</w:t>
      </w:r>
      <w:r w:rsidRPr="000977F7">
        <w:rPr>
          <w:rFonts w:asciiTheme="majorHAnsi" w:hAnsiTheme="majorHAnsi"/>
          <w:spacing w:val="7"/>
          <w:sz w:val="20"/>
          <w:szCs w:val="20"/>
        </w:rPr>
        <w:t xml:space="preserve"> </w:t>
      </w:r>
      <w:r w:rsidRPr="000977F7">
        <w:rPr>
          <w:rFonts w:asciiTheme="majorHAnsi" w:hAnsiTheme="majorHAnsi"/>
          <w:sz w:val="20"/>
          <w:szCs w:val="20"/>
        </w:rPr>
        <w:t>вимог.</w:t>
      </w:r>
      <w:r w:rsidRPr="000977F7">
        <w:rPr>
          <w:rFonts w:asciiTheme="majorHAnsi" w:hAnsiTheme="majorHAnsi"/>
          <w:spacing w:val="8"/>
          <w:sz w:val="20"/>
          <w:szCs w:val="20"/>
        </w:rPr>
        <w:t xml:space="preserve"> </w:t>
      </w:r>
      <w:r w:rsidRPr="000977F7">
        <w:rPr>
          <w:rFonts w:asciiTheme="majorHAnsi" w:hAnsiTheme="majorHAnsi"/>
          <w:sz w:val="20"/>
          <w:szCs w:val="20"/>
        </w:rPr>
        <w:t>Організація</w:t>
      </w:r>
      <w:r w:rsidRPr="000977F7">
        <w:rPr>
          <w:rFonts w:asciiTheme="majorHAnsi" w:hAnsiTheme="majorHAnsi"/>
          <w:spacing w:val="6"/>
          <w:sz w:val="20"/>
          <w:szCs w:val="20"/>
        </w:rPr>
        <w:t xml:space="preserve"> </w:t>
      </w:r>
      <w:r w:rsidRPr="000977F7">
        <w:rPr>
          <w:rFonts w:asciiTheme="majorHAnsi" w:hAnsiTheme="majorHAnsi"/>
          <w:sz w:val="20"/>
          <w:szCs w:val="20"/>
        </w:rPr>
        <w:t>повинна</w:t>
      </w:r>
      <w:r w:rsidRPr="000977F7">
        <w:rPr>
          <w:rFonts w:asciiTheme="majorHAnsi" w:hAnsiTheme="majorHAnsi"/>
          <w:spacing w:val="8"/>
          <w:sz w:val="20"/>
          <w:szCs w:val="20"/>
        </w:rPr>
        <w:t xml:space="preserve"> </w:t>
      </w:r>
      <w:r w:rsidRPr="000977F7">
        <w:rPr>
          <w:rFonts w:asciiTheme="majorHAnsi" w:hAnsiTheme="majorHAnsi"/>
          <w:sz w:val="20"/>
          <w:szCs w:val="20"/>
        </w:rPr>
        <w:t>зберігати</w:t>
      </w:r>
      <w:r w:rsidRPr="000977F7">
        <w:rPr>
          <w:rFonts w:asciiTheme="majorHAnsi" w:hAnsiTheme="majorHAnsi"/>
          <w:spacing w:val="5"/>
          <w:sz w:val="20"/>
          <w:szCs w:val="20"/>
        </w:rPr>
        <w:t xml:space="preserve"> </w:t>
      </w:r>
      <w:r w:rsidRPr="000977F7">
        <w:rPr>
          <w:rFonts w:asciiTheme="majorHAnsi" w:hAnsiTheme="majorHAnsi"/>
          <w:sz w:val="20"/>
          <w:szCs w:val="20"/>
        </w:rPr>
        <w:t>задокументовану</w:t>
      </w:r>
      <w:r w:rsidRPr="000977F7">
        <w:rPr>
          <w:rFonts w:asciiTheme="majorHAnsi" w:hAnsiTheme="majorHAnsi"/>
          <w:spacing w:val="5"/>
          <w:sz w:val="20"/>
          <w:szCs w:val="20"/>
        </w:rPr>
        <w:t xml:space="preserve"> </w:t>
      </w:r>
      <w:r w:rsidRPr="000977F7">
        <w:rPr>
          <w:rFonts w:asciiTheme="majorHAnsi" w:hAnsiTheme="majorHAnsi"/>
          <w:sz w:val="20"/>
          <w:szCs w:val="20"/>
        </w:rPr>
        <w:t>інформацію</w:t>
      </w:r>
      <w:r w:rsidRPr="000977F7">
        <w:rPr>
          <w:rFonts w:asciiTheme="majorHAnsi" w:hAnsiTheme="majorHAnsi"/>
          <w:spacing w:val="11"/>
          <w:sz w:val="20"/>
          <w:szCs w:val="20"/>
        </w:rPr>
        <w:t xml:space="preserve"> </w:t>
      </w:r>
      <w:r w:rsidRPr="000977F7">
        <w:rPr>
          <w:rFonts w:asciiTheme="majorHAnsi" w:hAnsiTheme="majorHAnsi"/>
          <w:sz w:val="20"/>
          <w:szCs w:val="20"/>
        </w:rPr>
        <w:t>про</w:t>
      </w:r>
      <w:r w:rsidRPr="000977F7">
        <w:rPr>
          <w:rFonts w:asciiTheme="majorHAnsi" w:hAnsiTheme="majorHAnsi"/>
          <w:spacing w:val="10"/>
          <w:sz w:val="20"/>
          <w:szCs w:val="20"/>
        </w:rPr>
        <w:t xml:space="preserve"> </w:t>
      </w:r>
      <w:r w:rsidRPr="000977F7">
        <w:rPr>
          <w:rFonts w:asciiTheme="majorHAnsi" w:hAnsiTheme="majorHAnsi"/>
          <w:sz w:val="20"/>
          <w:szCs w:val="20"/>
        </w:rPr>
        <w:t>роботи</w:t>
      </w:r>
      <w:r w:rsidRPr="000977F7">
        <w:rPr>
          <w:rFonts w:asciiTheme="majorHAnsi" w:hAnsiTheme="majorHAnsi"/>
          <w:spacing w:val="8"/>
          <w:sz w:val="20"/>
          <w:szCs w:val="20"/>
        </w:rPr>
        <w:t xml:space="preserve"> </w:t>
      </w:r>
      <w:r w:rsidRPr="000977F7">
        <w:rPr>
          <w:rFonts w:asciiTheme="majorHAnsi" w:hAnsiTheme="majorHAnsi"/>
          <w:sz w:val="20"/>
          <w:szCs w:val="20"/>
        </w:rPr>
        <w:t>та</w:t>
      </w:r>
      <w:r w:rsidRPr="000977F7">
        <w:rPr>
          <w:rFonts w:asciiTheme="majorHAnsi" w:hAnsiTheme="majorHAnsi"/>
          <w:spacing w:val="12"/>
          <w:sz w:val="20"/>
          <w:szCs w:val="20"/>
        </w:rPr>
        <w:t xml:space="preserve"> </w:t>
      </w:r>
      <w:r w:rsidRPr="000977F7">
        <w:rPr>
          <w:rFonts w:asciiTheme="majorHAnsi" w:hAnsiTheme="majorHAnsi"/>
          <w:sz w:val="20"/>
          <w:szCs w:val="20"/>
        </w:rPr>
        <w:t>будь-які</w:t>
      </w:r>
      <w:r w:rsidRPr="000977F7">
        <w:rPr>
          <w:rFonts w:asciiTheme="majorHAnsi" w:hAnsiTheme="majorHAnsi"/>
          <w:spacing w:val="9"/>
          <w:sz w:val="20"/>
          <w:szCs w:val="20"/>
        </w:rPr>
        <w:t xml:space="preserve"> </w:t>
      </w:r>
      <w:r w:rsidRPr="000977F7">
        <w:rPr>
          <w:rFonts w:asciiTheme="majorHAnsi" w:hAnsiTheme="majorHAnsi"/>
          <w:sz w:val="20"/>
          <w:szCs w:val="20"/>
        </w:rPr>
        <w:t>необхідні</w:t>
      </w:r>
      <w:r w:rsidRPr="000977F7">
        <w:rPr>
          <w:rFonts w:asciiTheme="majorHAnsi" w:hAnsiTheme="majorHAnsi"/>
          <w:spacing w:val="-47"/>
          <w:sz w:val="20"/>
          <w:szCs w:val="20"/>
        </w:rPr>
        <w:t xml:space="preserve"> </w:t>
      </w:r>
      <w:r w:rsidRPr="000977F7">
        <w:rPr>
          <w:rFonts w:asciiTheme="majorHAnsi" w:hAnsiTheme="majorHAnsi"/>
          <w:sz w:val="20"/>
          <w:szCs w:val="20"/>
        </w:rPr>
        <w:t>дії,</w:t>
      </w:r>
      <w:r w:rsidRPr="000977F7">
        <w:rPr>
          <w:rFonts w:asciiTheme="majorHAnsi" w:hAnsiTheme="majorHAnsi"/>
          <w:spacing w:val="-1"/>
          <w:sz w:val="20"/>
          <w:szCs w:val="20"/>
        </w:rPr>
        <w:t xml:space="preserve"> </w:t>
      </w:r>
      <w:r w:rsidRPr="000977F7">
        <w:rPr>
          <w:rFonts w:asciiTheme="majorHAnsi" w:hAnsiTheme="majorHAnsi"/>
          <w:sz w:val="20"/>
          <w:szCs w:val="20"/>
        </w:rPr>
        <w:t>виконувані</w:t>
      </w:r>
      <w:r w:rsidRPr="000977F7">
        <w:rPr>
          <w:rFonts w:asciiTheme="majorHAnsi" w:hAnsiTheme="majorHAnsi"/>
          <w:spacing w:val="-2"/>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результатами</w:t>
      </w:r>
      <w:r w:rsidRPr="000977F7">
        <w:rPr>
          <w:rFonts w:asciiTheme="majorHAnsi" w:hAnsiTheme="majorHAnsi"/>
          <w:spacing w:val="-2"/>
          <w:sz w:val="20"/>
          <w:szCs w:val="20"/>
        </w:rPr>
        <w:t xml:space="preserve"> </w:t>
      </w:r>
      <w:r w:rsidRPr="000977F7">
        <w:rPr>
          <w:rFonts w:asciiTheme="majorHAnsi" w:hAnsiTheme="majorHAnsi"/>
          <w:sz w:val="20"/>
          <w:szCs w:val="20"/>
        </w:rPr>
        <w:t>оцінювання.</w:t>
      </w:r>
    </w:p>
    <w:p w14:paraId="3CE364E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Вид</w:t>
      </w:r>
      <w:r w:rsidRPr="000977F7">
        <w:rPr>
          <w:color w:val="auto"/>
          <w:spacing w:val="-4"/>
          <w:sz w:val="20"/>
          <w:szCs w:val="20"/>
        </w:rPr>
        <w:t xml:space="preserve"> </w:t>
      </w:r>
      <w:r w:rsidRPr="000977F7">
        <w:rPr>
          <w:color w:val="auto"/>
          <w:sz w:val="20"/>
          <w:szCs w:val="20"/>
        </w:rPr>
        <w:t>та</w:t>
      </w:r>
      <w:r w:rsidRPr="000977F7">
        <w:rPr>
          <w:color w:val="auto"/>
          <w:spacing w:val="-2"/>
          <w:sz w:val="20"/>
          <w:szCs w:val="20"/>
        </w:rPr>
        <w:t xml:space="preserve"> </w:t>
      </w:r>
      <w:r w:rsidRPr="000977F7">
        <w:rPr>
          <w:color w:val="auto"/>
          <w:sz w:val="20"/>
          <w:szCs w:val="20"/>
        </w:rPr>
        <w:t>обсяг контролю</w:t>
      </w:r>
    </w:p>
    <w:p w14:paraId="7AA3D3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забезпечити, щоб надавані ззовні</w:t>
      </w:r>
      <w:r w:rsidRPr="000977F7">
        <w:rPr>
          <w:rFonts w:asciiTheme="majorHAnsi" w:hAnsiTheme="majorHAnsi"/>
          <w:spacing w:val="1"/>
          <w:sz w:val="20"/>
          <w:szCs w:val="20"/>
        </w:rPr>
        <w:t xml:space="preserve"> </w:t>
      </w:r>
      <w:r w:rsidRPr="000977F7">
        <w:rPr>
          <w:rFonts w:asciiTheme="majorHAnsi" w:hAnsiTheme="majorHAnsi"/>
          <w:sz w:val="20"/>
          <w:szCs w:val="20"/>
        </w:rPr>
        <w:t>процеси,</w:t>
      </w:r>
      <w:r w:rsidRPr="000977F7">
        <w:rPr>
          <w:rFonts w:asciiTheme="majorHAnsi" w:hAnsiTheme="majorHAnsi"/>
          <w:spacing w:val="1"/>
          <w:sz w:val="20"/>
          <w:szCs w:val="20"/>
        </w:rPr>
        <w:t xml:space="preserve"> </w:t>
      </w:r>
      <w:r w:rsidRPr="000977F7">
        <w:rPr>
          <w:rFonts w:asciiTheme="majorHAnsi" w:hAnsiTheme="majorHAnsi"/>
          <w:sz w:val="20"/>
          <w:szCs w:val="20"/>
        </w:rPr>
        <w:t>продукція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послуги</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погіршували</w:t>
      </w:r>
      <w:r w:rsidRPr="000977F7">
        <w:rPr>
          <w:rFonts w:asciiTheme="majorHAnsi" w:hAnsiTheme="majorHAnsi"/>
          <w:spacing w:val="1"/>
          <w:sz w:val="20"/>
          <w:szCs w:val="20"/>
        </w:rPr>
        <w:t xml:space="preserve"> </w:t>
      </w:r>
      <w:r w:rsidRPr="000977F7">
        <w:rPr>
          <w:rFonts w:asciiTheme="majorHAnsi" w:hAnsiTheme="majorHAnsi"/>
          <w:sz w:val="20"/>
          <w:szCs w:val="20"/>
        </w:rPr>
        <w:t>здатність</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постійно</w:t>
      </w:r>
      <w:r w:rsidRPr="000977F7">
        <w:rPr>
          <w:rFonts w:asciiTheme="majorHAnsi" w:hAnsiTheme="majorHAnsi"/>
          <w:spacing w:val="1"/>
          <w:sz w:val="20"/>
          <w:szCs w:val="20"/>
        </w:rPr>
        <w:t xml:space="preserve"> </w:t>
      </w:r>
      <w:r w:rsidRPr="000977F7">
        <w:rPr>
          <w:rFonts w:asciiTheme="majorHAnsi" w:hAnsiTheme="majorHAnsi"/>
          <w:sz w:val="20"/>
          <w:szCs w:val="20"/>
        </w:rPr>
        <w:t>постачати</w:t>
      </w:r>
      <w:r w:rsidRPr="000977F7">
        <w:rPr>
          <w:rFonts w:asciiTheme="majorHAnsi" w:hAnsiTheme="majorHAnsi"/>
          <w:spacing w:val="1"/>
          <w:sz w:val="20"/>
          <w:szCs w:val="20"/>
        </w:rPr>
        <w:t xml:space="preserve"> </w:t>
      </w:r>
      <w:r w:rsidRPr="000977F7">
        <w:rPr>
          <w:rFonts w:asciiTheme="majorHAnsi" w:hAnsiTheme="majorHAnsi"/>
          <w:sz w:val="20"/>
          <w:szCs w:val="20"/>
        </w:rPr>
        <w:t>відповідні</w:t>
      </w:r>
      <w:r w:rsidRPr="000977F7">
        <w:rPr>
          <w:rFonts w:asciiTheme="majorHAnsi" w:hAnsiTheme="majorHAnsi"/>
          <w:spacing w:val="1"/>
          <w:sz w:val="20"/>
          <w:szCs w:val="20"/>
        </w:rPr>
        <w:t xml:space="preserve"> </w:t>
      </w:r>
      <w:r w:rsidRPr="000977F7">
        <w:rPr>
          <w:rFonts w:asciiTheme="majorHAnsi" w:hAnsiTheme="majorHAnsi"/>
          <w:sz w:val="20"/>
          <w:szCs w:val="20"/>
        </w:rPr>
        <w:t>продукцію</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послуги</w:t>
      </w:r>
      <w:r w:rsidRPr="000977F7">
        <w:rPr>
          <w:rFonts w:asciiTheme="majorHAnsi" w:hAnsiTheme="majorHAnsi"/>
          <w:spacing w:val="-1"/>
          <w:sz w:val="20"/>
          <w:szCs w:val="20"/>
        </w:rPr>
        <w:t xml:space="preserve"> </w:t>
      </w:r>
      <w:r w:rsidRPr="000977F7">
        <w:rPr>
          <w:rFonts w:asciiTheme="majorHAnsi" w:hAnsiTheme="majorHAnsi"/>
          <w:sz w:val="20"/>
          <w:szCs w:val="20"/>
        </w:rPr>
        <w:t>своїм замовникам.</w:t>
      </w:r>
    </w:p>
    <w:p w14:paraId="7A015B6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5"/>
          <w:sz w:val="20"/>
          <w:szCs w:val="20"/>
        </w:rPr>
        <w:t xml:space="preserve"> </w:t>
      </w:r>
      <w:r w:rsidRPr="000977F7">
        <w:rPr>
          <w:rFonts w:asciiTheme="majorHAnsi" w:hAnsiTheme="majorHAnsi"/>
          <w:sz w:val="20"/>
          <w:szCs w:val="20"/>
        </w:rPr>
        <w:t>повинна</w:t>
      </w:r>
    </w:p>
    <w:p w14:paraId="211C690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забезпечити, щоб здійснювані ззовні процеси перебували</w:t>
      </w:r>
      <w:r w:rsidRPr="000977F7">
        <w:rPr>
          <w:rFonts w:asciiTheme="majorHAnsi" w:hAnsiTheme="majorHAnsi"/>
          <w:spacing w:val="-3"/>
          <w:sz w:val="20"/>
          <w:szCs w:val="20"/>
        </w:rPr>
        <w:t xml:space="preserve"> </w:t>
      </w:r>
      <w:r w:rsidRPr="000977F7">
        <w:rPr>
          <w:rFonts w:asciiTheme="majorHAnsi" w:hAnsiTheme="majorHAnsi"/>
          <w:sz w:val="20"/>
          <w:szCs w:val="20"/>
        </w:rPr>
        <w:t>під</w:t>
      </w:r>
      <w:r w:rsidRPr="000977F7">
        <w:rPr>
          <w:rFonts w:asciiTheme="majorHAnsi" w:hAnsiTheme="majorHAnsi"/>
          <w:spacing w:val="-3"/>
          <w:sz w:val="20"/>
          <w:szCs w:val="20"/>
        </w:rPr>
        <w:t xml:space="preserve"> </w:t>
      </w:r>
      <w:r w:rsidRPr="000977F7">
        <w:rPr>
          <w:rFonts w:asciiTheme="majorHAnsi" w:hAnsiTheme="majorHAnsi"/>
          <w:sz w:val="20"/>
          <w:szCs w:val="20"/>
        </w:rPr>
        <w:t>контролем її</w:t>
      </w:r>
      <w:r w:rsidRPr="000977F7">
        <w:rPr>
          <w:rFonts w:asciiTheme="majorHAnsi" w:hAnsiTheme="majorHAnsi"/>
          <w:spacing w:val="-3"/>
          <w:sz w:val="20"/>
          <w:szCs w:val="20"/>
        </w:rPr>
        <w:t xml:space="preserve"> </w:t>
      </w:r>
      <w:r w:rsidRPr="000977F7">
        <w:rPr>
          <w:rFonts w:asciiTheme="majorHAnsi" w:hAnsiTheme="majorHAnsi"/>
          <w:sz w:val="20"/>
          <w:szCs w:val="20"/>
        </w:rPr>
        <w:t>системи управління</w:t>
      </w:r>
      <w:r w:rsidRPr="000977F7">
        <w:rPr>
          <w:rFonts w:asciiTheme="majorHAnsi" w:hAnsiTheme="majorHAnsi"/>
          <w:spacing w:val="-3"/>
          <w:sz w:val="20"/>
          <w:szCs w:val="20"/>
        </w:rPr>
        <w:t xml:space="preserve"> </w:t>
      </w:r>
      <w:r w:rsidRPr="000977F7">
        <w:rPr>
          <w:rFonts w:asciiTheme="majorHAnsi" w:hAnsiTheme="majorHAnsi"/>
          <w:sz w:val="20"/>
          <w:szCs w:val="20"/>
        </w:rPr>
        <w:t>якістю;</w:t>
      </w:r>
    </w:p>
    <w:p w14:paraId="59F690C1" w14:textId="77777777" w:rsidR="0097612F" w:rsidRPr="000977F7" w:rsidRDefault="0097612F" w:rsidP="00FD39A4">
      <w:pPr>
        <w:pStyle w:val="ac"/>
        <w:widowControl w:val="0"/>
        <w:numPr>
          <w:ilvl w:val="0"/>
          <w:numId w:val="158"/>
        </w:numPr>
        <w:tabs>
          <w:tab w:val="left" w:pos="284"/>
          <w:tab w:val="left" w:pos="55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визначити засоби контролю, які вона має намір застосовувати</w:t>
      </w:r>
      <w:r w:rsidRPr="000977F7">
        <w:rPr>
          <w:rFonts w:asciiTheme="majorHAnsi" w:hAnsiTheme="majorHAnsi"/>
          <w:spacing w:val="1"/>
          <w:sz w:val="20"/>
          <w:szCs w:val="20"/>
        </w:rPr>
        <w:t xml:space="preserve"> </w:t>
      </w:r>
      <w:r w:rsidRPr="000977F7">
        <w:rPr>
          <w:rFonts w:asciiTheme="majorHAnsi" w:hAnsiTheme="majorHAnsi"/>
          <w:sz w:val="20"/>
          <w:szCs w:val="20"/>
        </w:rPr>
        <w:t>до зовнішнього</w:t>
      </w:r>
      <w:r w:rsidRPr="000977F7">
        <w:rPr>
          <w:rFonts w:asciiTheme="majorHAnsi" w:hAnsiTheme="majorHAnsi"/>
          <w:spacing w:val="1"/>
          <w:sz w:val="20"/>
          <w:szCs w:val="20"/>
        </w:rPr>
        <w:t xml:space="preserve"> </w:t>
      </w:r>
      <w:r w:rsidRPr="000977F7">
        <w:rPr>
          <w:rFonts w:asciiTheme="majorHAnsi" w:hAnsiTheme="majorHAnsi"/>
          <w:sz w:val="20"/>
          <w:szCs w:val="20"/>
        </w:rPr>
        <w:t>постачальника,</w:t>
      </w:r>
      <w:r w:rsidRPr="000977F7">
        <w:rPr>
          <w:rFonts w:asciiTheme="majorHAnsi" w:hAnsiTheme="majorHAnsi"/>
          <w:spacing w:val="50"/>
          <w:sz w:val="20"/>
          <w:szCs w:val="20"/>
        </w:rPr>
        <w:t xml:space="preserve"> </w:t>
      </w:r>
      <w:r w:rsidRPr="000977F7">
        <w:rPr>
          <w:rFonts w:asciiTheme="majorHAnsi" w:hAnsiTheme="majorHAnsi"/>
          <w:sz w:val="20"/>
          <w:szCs w:val="20"/>
        </w:rPr>
        <w:t>а також</w:t>
      </w:r>
      <w:r w:rsidRPr="000977F7">
        <w:rPr>
          <w:rFonts w:asciiTheme="majorHAnsi" w:hAnsiTheme="majorHAnsi"/>
          <w:spacing w:val="1"/>
          <w:sz w:val="20"/>
          <w:szCs w:val="20"/>
        </w:rPr>
        <w:t xml:space="preserve"> </w:t>
      </w:r>
      <w:r w:rsidRPr="000977F7">
        <w:rPr>
          <w:rFonts w:asciiTheme="majorHAnsi" w:hAnsiTheme="majorHAnsi"/>
          <w:sz w:val="20"/>
          <w:szCs w:val="20"/>
        </w:rPr>
        <w:t>ті, які вона має намір застосовувати до пов’язаного з</w:t>
      </w:r>
      <w:r w:rsidRPr="000977F7">
        <w:rPr>
          <w:rFonts w:asciiTheme="majorHAnsi" w:hAnsiTheme="majorHAnsi"/>
          <w:spacing w:val="1"/>
          <w:sz w:val="20"/>
          <w:szCs w:val="20"/>
        </w:rPr>
        <w:t xml:space="preserve"> </w:t>
      </w:r>
      <w:r w:rsidRPr="000977F7">
        <w:rPr>
          <w:rFonts w:asciiTheme="majorHAnsi" w:hAnsiTheme="majorHAnsi"/>
          <w:sz w:val="20"/>
          <w:szCs w:val="20"/>
        </w:rPr>
        <w:t>ним виходу;</w:t>
      </w:r>
    </w:p>
    <w:p w14:paraId="631C1A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w:t>
      </w:r>
      <w:r w:rsidRPr="000977F7">
        <w:rPr>
          <w:rFonts w:asciiTheme="majorHAnsi" w:hAnsiTheme="majorHAnsi"/>
          <w:spacing w:val="-3"/>
          <w:sz w:val="20"/>
          <w:szCs w:val="20"/>
        </w:rPr>
        <w:t xml:space="preserve"> </w:t>
      </w:r>
      <w:r w:rsidRPr="000977F7">
        <w:rPr>
          <w:rFonts w:asciiTheme="majorHAnsi" w:hAnsiTheme="majorHAnsi"/>
          <w:sz w:val="20"/>
          <w:szCs w:val="20"/>
        </w:rPr>
        <w:t>ураховувати</w:t>
      </w:r>
    </w:p>
    <w:p w14:paraId="48211C33" w14:textId="77777777" w:rsidR="0097612F" w:rsidRPr="000977F7" w:rsidRDefault="0097612F" w:rsidP="00FD39A4">
      <w:pPr>
        <w:pStyle w:val="ac"/>
        <w:widowControl w:val="0"/>
        <w:numPr>
          <w:ilvl w:val="1"/>
          <w:numId w:val="158"/>
        </w:numPr>
        <w:tabs>
          <w:tab w:val="left" w:pos="284"/>
          <w:tab w:val="left" w:pos="71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можливий вплив надаваних іззовні процесів, продукції й послуг на здатність організації постійно задовольняти вимоги замовника та застосовані законодавчі й регламентувальні вимоги;</w:t>
      </w:r>
    </w:p>
    <w:p w14:paraId="3943AD70" w14:textId="77777777" w:rsidR="0097612F" w:rsidRPr="000977F7" w:rsidRDefault="0097612F" w:rsidP="00FD39A4">
      <w:pPr>
        <w:pStyle w:val="ac"/>
        <w:widowControl w:val="0"/>
        <w:numPr>
          <w:ilvl w:val="1"/>
          <w:numId w:val="158"/>
        </w:numPr>
        <w:tabs>
          <w:tab w:val="left" w:pos="284"/>
          <w:tab w:val="left" w:pos="86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результативність</w:t>
      </w:r>
      <w:r w:rsidRPr="000977F7">
        <w:rPr>
          <w:rFonts w:asciiTheme="majorHAnsi" w:hAnsiTheme="majorHAnsi"/>
          <w:spacing w:val="24"/>
          <w:sz w:val="20"/>
          <w:szCs w:val="20"/>
        </w:rPr>
        <w:t xml:space="preserve"> </w:t>
      </w:r>
      <w:r w:rsidRPr="000977F7">
        <w:rPr>
          <w:rFonts w:asciiTheme="majorHAnsi" w:hAnsiTheme="majorHAnsi"/>
          <w:sz w:val="20"/>
          <w:szCs w:val="20"/>
        </w:rPr>
        <w:t>засобів</w:t>
      </w:r>
      <w:r w:rsidRPr="000977F7">
        <w:rPr>
          <w:rFonts w:asciiTheme="majorHAnsi" w:hAnsiTheme="majorHAnsi"/>
          <w:spacing w:val="26"/>
          <w:sz w:val="20"/>
          <w:szCs w:val="20"/>
        </w:rPr>
        <w:t xml:space="preserve"> </w:t>
      </w:r>
      <w:r w:rsidRPr="000977F7">
        <w:rPr>
          <w:rFonts w:asciiTheme="majorHAnsi" w:hAnsiTheme="majorHAnsi"/>
          <w:sz w:val="20"/>
          <w:szCs w:val="20"/>
        </w:rPr>
        <w:t>контролю,</w:t>
      </w:r>
      <w:r w:rsidRPr="000977F7">
        <w:rPr>
          <w:rFonts w:asciiTheme="majorHAnsi" w:hAnsiTheme="majorHAnsi"/>
          <w:spacing w:val="25"/>
          <w:sz w:val="20"/>
          <w:szCs w:val="20"/>
        </w:rPr>
        <w:t xml:space="preserve"> </w:t>
      </w:r>
      <w:r w:rsidRPr="000977F7">
        <w:rPr>
          <w:rFonts w:asciiTheme="majorHAnsi" w:hAnsiTheme="majorHAnsi"/>
          <w:sz w:val="20"/>
          <w:szCs w:val="20"/>
        </w:rPr>
        <w:t>що</w:t>
      </w:r>
      <w:r w:rsidRPr="000977F7">
        <w:rPr>
          <w:rFonts w:asciiTheme="majorHAnsi" w:hAnsiTheme="majorHAnsi"/>
          <w:spacing w:val="25"/>
          <w:sz w:val="20"/>
          <w:szCs w:val="20"/>
        </w:rPr>
        <w:t xml:space="preserve"> </w:t>
      </w:r>
      <w:r w:rsidRPr="000977F7">
        <w:rPr>
          <w:rFonts w:asciiTheme="majorHAnsi" w:hAnsiTheme="majorHAnsi"/>
          <w:sz w:val="20"/>
          <w:szCs w:val="20"/>
        </w:rPr>
        <w:t>їх</w:t>
      </w:r>
      <w:r w:rsidRPr="000977F7">
        <w:rPr>
          <w:rFonts w:asciiTheme="majorHAnsi" w:hAnsiTheme="majorHAnsi"/>
          <w:spacing w:val="23"/>
          <w:sz w:val="20"/>
          <w:szCs w:val="20"/>
        </w:rPr>
        <w:t xml:space="preserve"> </w:t>
      </w:r>
      <w:r w:rsidRPr="000977F7">
        <w:rPr>
          <w:rFonts w:asciiTheme="majorHAnsi" w:hAnsiTheme="majorHAnsi"/>
          <w:sz w:val="20"/>
          <w:szCs w:val="20"/>
        </w:rPr>
        <w:t>застосовує</w:t>
      </w:r>
      <w:r w:rsidRPr="000977F7">
        <w:rPr>
          <w:rFonts w:asciiTheme="majorHAnsi" w:hAnsiTheme="majorHAnsi"/>
          <w:spacing w:val="-1"/>
          <w:sz w:val="20"/>
          <w:szCs w:val="20"/>
        </w:rPr>
        <w:t xml:space="preserve"> </w:t>
      </w:r>
      <w:r w:rsidRPr="000977F7">
        <w:rPr>
          <w:rFonts w:asciiTheme="majorHAnsi" w:hAnsiTheme="majorHAnsi"/>
          <w:sz w:val="20"/>
          <w:szCs w:val="20"/>
        </w:rPr>
        <w:t>зовнішній</w:t>
      </w:r>
      <w:r w:rsidRPr="000977F7">
        <w:rPr>
          <w:rFonts w:asciiTheme="majorHAnsi" w:hAnsiTheme="majorHAnsi"/>
          <w:spacing w:val="-1"/>
          <w:sz w:val="20"/>
          <w:szCs w:val="20"/>
        </w:rPr>
        <w:t xml:space="preserve"> </w:t>
      </w:r>
      <w:r w:rsidRPr="000977F7">
        <w:rPr>
          <w:rFonts w:asciiTheme="majorHAnsi" w:hAnsiTheme="majorHAnsi"/>
          <w:sz w:val="20"/>
          <w:szCs w:val="20"/>
        </w:rPr>
        <w:t>постачальник;</w:t>
      </w:r>
    </w:p>
    <w:p w14:paraId="7461848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w:t>
      </w:r>
      <w:r w:rsidRPr="000977F7">
        <w:rPr>
          <w:rFonts w:asciiTheme="majorHAnsi" w:hAnsiTheme="majorHAnsi"/>
          <w:spacing w:val="3"/>
          <w:sz w:val="20"/>
          <w:szCs w:val="20"/>
        </w:rPr>
        <w:t xml:space="preserve"> </w:t>
      </w:r>
      <w:r w:rsidRPr="000977F7">
        <w:rPr>
          <w:rFonts w:asciiTheme="majorHAnsi" w:hAnsiTheme="majorHAnsi"/>
          <w:sz w:val="20"/>
          <w:szCs w:val="20"/>
        </w:rPr>
        <w:t>визначити</w:t>
      </w:r>
      <w:r w:rsidRPr="000977F7">
        <w:rPr>
          <w:rFonts w:asciiTheme="majorHAnsi" w:hAnsiTheme="majorHAnsi"/>
          <w:spacing w:val="1"/>
          <w:sz w:val="20"/>
          <w:szCs w:val="20"/>
        </w:rPr>
        <w:t xml:space="preserve"> </w:t>
      </w:r>
      <w:r w:rsidRPr="000977F7">
        <w:rPr>
          <w:rFonts w:asciiTheme="majorHAnsi" w:hAnsiTheme="majorHAnsi"/>
          <w:sz w:val="20"/>
          <w:szCs w:val="20"/>
        </w:rPr>
        <w:t>роботу</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3"/>
          <w:sz w:val="20"/>
          <w:szCs w:val="20"/>
        </w:rPr>
        <w:t xml:space="preserve"> </w:t>
      </w:r>
      <w:r w:rsidRPr="000977F7">
        <w:rPr>
          <w:rFonts w:asciiTheme="majorHAnsi" w:hAnsiTheme="majorHAnsi"/>
          <w:sz w:val="20"/>
          <w:szCs w:val="20"/>
        </w:rPr>
        <w:t>перевезення</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інші</w:t>
      </w:r>
      <w:r w:rsidRPr="000977F7">
        <w:rPr>
          <w:rFonts w:asciiTheme="majorHAnsi" w:hAnsiTheme="majorHAnsi"/>
          <w:spacing w:val="2"/>
          <w:sz w:val="20"/>
          <w:szCs w:val="20"/>
        </w:rPr>
        <w:t xml:space="preserve"> </w:t>
      </w:r>
      <w:r w:rsidRPr="000977F7">
        <w:rPr>
          <w:rFonts w:asciiTheme="majorHAnsi" w:hAnsiTheme="majorHAnsi"/>
          <w:sz w:val="20"/>
          <w:szCs w:val="20"/>
        </w:rPr>
        <w:t>види</w:t>
      </w:r>
      <w:r w:rsidRPr="000977F7">
        <w:rPr>
          <w:rFonts w:asciiTheme="majorHAnsi" w:hAnsiTheme="majorHAnsi"/>
          <w:spacing w:val="1"/>
          <w:sz w:val="20"/>
          <w:szCs w:val="20"/>
        </w:rPr>
        <w:t xml:space="preserve"> </w:t>
      </w:r>
      <w:r w:rsidRPr="000977F7">
        <w:rPr>
          <w:rFonts w:asciiTheme="majorHAnsi" w:hAnsiTheme="majorHAnsi"/>
          <w:sz w:val="20"/>
          <w:szCs w:val="20"/>
        </w:rPr>
        <w:t>робіт,</w:t>
      </w:r>
      <w:r w:rsidRPr="000977F7">
        <w:rPr>
          <w:rFonts w:asciiTheme="majorHAnsi" w:hAnsiTheme="majorHAnsi"/>
          <w:spacing w:val="-47"/>
          <w:sz w:val="20"/>
          <w:szCs w:val="20"/>
        </w:rPr>
        <w:t xml:space="preserve"> </w:t>
      </w:r>
      <w:r w:rsidRPr="000977F7">
        <w:rPr>
          <w:rFonts w:asciiTheme="majorHAnsi" w:hAnsiTheme="majorHAnsi"/>
          <w:sz w:val="20"/>
          <w:szCs w:val="20"/>
        </w:rPr>
        <w:t>необхідні</w:t>
      </w:r>
      <w:r w:rsidRPr="000977F7">
        <w:rPr>
          <w:rFonts w:asciiTheme="majorHAnsi" w:hAnsiTheme="majorHAnsi"/>
          <w:spacing w:val="15"/>
          <w:sz w:val="20"/>
          <w:szCs w:val="20"/>
        </w:rPr>
        <w:t xml:space="preserve"> </w:t>
      </w:r>
      <w:r w:rsidRPr="000977F7">
        <w:rPr>
          <w:rFonts w:asciiTheme="majorHAnsi" w:hAnsiTheme="majorHAnsi"/>
          <w:sz w:val="20"/>
          <w:szCs w:val="20"/>
        </w:rPr>
        <w:t>для</w:t>
      </w:r>
      <w:r w:rsidRPr="000977F7">
        <w:rPr>
          <w:rFonts w:asciiTheme="majorHAnsi" w:hAnsiTheme="majorHAnsi"/>
          <w:spacing w:val="15"/>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18"/>
          <w:sz w:val="20"/>
          <w:szCs w:val="20"/>
        </w:rPr>
        <w:t xml:space="preserve"> </w:t>
      </w:r>
      <w:r w:rsidRPr="000977F7">
        <w:rPr>
          <w:rFonts w:asciiTheme="majorHAnsi" w:hAnsiTheme="majorHAnsi"/>
          <w:sz w:val="20"/>
          <w:szCs w:val="20"/>
        </w:rPr>
        <w:t>того,</w:t>
      </w:r>
      <w:r w:rsidRPr="000977F7">
        <w:rPr>
          <w:rFonts w:asciiTheme="majorHAnsi" w:hAnsiTheme="majorHAnsi"/>
          <w:spacing w:val="16"/>
          <w:sz w:val="20"/>
          <w:szCs w:val="20"/>
        </w:rPr>
        <w:t xml:space="preserve"> </w:t>
      </w:r>
      <w:r w:rsidRPr="000977F7">
        <w:rPr>
          <w:rFonts w:asciiTheme="majorHAnsi" w:hAnsiTheme="majorHAnsi"/>
          <w:sz w:val="20"/>
          <w:szCs w:val="20"/>
        </w:rPr>
        <w:t>щоб</w:t>
      </w:r>
      <w:r w:rsidRPr="000977F7">
        <w:rPr>
          <w:rFonts w:asciiTheme="majorHAnsi" w:hAnsiTheme="majorHAnsi"/>
          <w:spacing w:val="15"/>
          <w:sz w:val="20"/>
          <w:szCs w:val="20"/>
        </w:rPr>
        <w:t xml:space="preserve"> </w:t>
      </w:r>
      <w:r w:rsidRPr="000977F7">
        <w:rPr>
          <w:rFonts w:asciiTheme="majorHAnsi" w:hAnsiTheme="majorHAnsi"/>
          <w:sz w:val="20"/>
          <w:szCs w:val="20"/>
        </w:rPr>
        <w:t>надавані</w:t>
      </w:r>
      <w:r w:rsidRPr="000977F7">
        <w:rPr>
          <w:rFonts w:asciiTheme="majorHAnsi" w:hAnsiTheme="majorHAnsi"/>
          <w:spacing w:val="15"/>
          <w:sz w:val="20"/>
          <w:szCs w:val="20"/>
        </w:rPr>
        <w:t xml:space="preserve"> </w:t>
      </w:r>
      <w:r w:rsidRPr="000977F7">
        <w:rPr>
          <w:rFonts w:asciiTheme="majorHAnsi" w:hAnsiTheme="majorHAnsi"/>
          <w:sz w:val="20"/>
          <w:szCs w:val="20"/>
        </w:rPr>
        <w:t>ззовні</w:t>
      </w:r>
      <w:r w:rsidRPr="000977F7">
        <w:rPr>
          <w:rFonts w:asciiTheme="majorHAnsi" w:hAnsiTheme="majorHAnsi"/>
          <w:spacing w:val="-47"/>
          <w:sz w:val="20"/>
          <w:szCs w:val="20"/>
        </w:rPr>
        <w:t xml:space="preserve"> </w:t>
      </w:r>
      <w:r w:rsidRPr="000977F7">
        <w:rPr>
          <w:rFonts w:asciiTheme="majorHAnsi" w:hAnsiTheme="majorHAnsi"/>
          <w:sz w:val="20"/>
          <w:szCs w:val="20"/>
        </w:rPr>
        <w:t>процеси, продукція та послуги задовольняли вимоги</w:t>
      </w:r>
    </w:p>
    <w:p w14:paraId="5C25AC32"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ISO 9001:2015</w:t>
      </w:r>
    </w:p>
    <w:p w14:paraId="2C4BD7E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w:t>
      </w:r>
      <w:r w:rsidRPr="000977F7">
        <w:rPr>
          <w:color w:val="auto"/>
          <w:spacing w:val="-5"/>
          <w:sz w:val="20"/>
          <w:szCs w:val="20"/>
        </w:rPr>
        <w:t xml:space="preserve"> </w:t>
      </w:r>
      <w:r w:rsidRPr="000977F7">
        <w:rPr>
          <w:color w:val="auto"/>
          <w:sz w:val="20"/>
          <w:szCs w:val="20"/>
        </w:rPr>
        <w:t>НАДІЙНОСТІ</w:t>
      </w:r>
      <w:r w:rsidRPr="000977F7">
        <w:rPr>
          <w:color w:val="auto"/>
          <w:spacing w:val="-3"/>
          <w:sz w:val="20"/>
          <w:szCs w:val="20"/>
        </w:rPr>
        <w:t xml:space="preserve"> </w:t>
      </w:r>
      <w:r w:rsidRPr="000977F7">
        <w:rPr>
          <w:color w:val="auto"/>
          <w:sz w:val="20"/>
          <w:szCs w:val="20"/>
        </w:rPr>
        <w:t>–</w:t>
      </w:r>
    </w:p>
    <w:p w14:paraId="74A6754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DEPENDABILITY</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VERIFICATION –</w:t>
      </w:r>
    </w:p>
    <w:p w14:paraId="30EF40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Перевірка</w:t>
      </w:r>
      <w:r w:rsidRPr="000977F7">
        <w:rPr>
          <w:rFonts w:asciiTheme="majorHAnsi" w:hAnsiTheme="majorHAnsi"/>
          <w:spacing w:val="42"/>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42"/>
          <w:sz w:val="20"/>
          <w:szCs w:val="20"/>
        </w:rPr>
        <w:t xml:space="preserve"> </w:t>
      </w:r>
      <w:r w:rsidRPr="000977F7">
        <w:rPr>
          <w:rFonts w:asciiTheme="majorHAnsi" w:hAnsiTheme="majorHAnsi"/>
          <w:sz w:val="20"/>
          <w:szCs w:val="20"/>
        </w:rPr>
        <w:t>об’єкта</w:t>
      </w:r>
      <w:r w:rsidRPr="000977F7">
        <w:rPr>
          <w:rFonts w:asciiTheme="majorHAnsi" w:hAnsiTheme="majorHAnsi"/>
          <w:spacing w:val="46"/>
          <w:sz w:val="20"/>
          <w:szCs w:val="20"/>
        </w:rPr>
        <w:t xml:space="preserve"> </w:t>
      </w:r>
      <w:r w:rsidRPr="000977F7">
        <w:rPr>
          <w:rFonts w:asciiTheme="majorHAnsi" w:hAnsiTheme="majorHAnsi"/>
          <w:sz w:val="20"/>
          <w:szCs w:val="20"/>
        </w:rPr>
        <w:t>до</w:t>
      </w:r>
      <w:r w:rsidRPr="000977F7">
        <w:rPr>
          <w:rFonts w:asciiTheme="majorHAnsi" w:hAnsiTheme="majorHAnsi"/>
          <w:spacing w:val="42"/>
          <w:sz w:val="20"/>
          <w:szCs w:val="20"/>
        </w:rPr>
        <w:t xml:space="preserve"> </w:t>
      </w:r>
      <w:r w:rsidRPr="000977F7">
        <w:rPr>
          <w:rFonts w:asciiTheme="majorHAnsi" w:hAnsiTheme="majorHAnsi"/>
          <w:sz w:val="20"/>
          <w:szCs w:val="20"/>
        </w:rPr>
        <w:t>загальних</w:t>
      </w:r>
      <w:r w:rsidRPr="000977F7">
        <w:rPr>
          <w:rFonts w:asciiTheme="majorHAnsi" w:hAnsiTheme="majorHAnsi"/>
          <w:spacing w:val="42"/>
          <w:sz w:val="20"/>
          <w:szCs w:val="20"/>
        </w:rPr>
        <w:t xml:space="preserve"> </w:t>
      </w:r>
      <w:r w:rsidRPr="000977F7">
        <w:rPr>
          <w:rFonts w:asciiTheme="majorHAnsi" w:hAnsiTheme="majorHAnsi"/>
          <w:sz w:val="20"/>
          <w:szCs w:val="20"/>
        </w:rPr>
        <w:t xml:space="preserve">вимог </w:t>
      </w:r>
      <w:r w:rsidRPr="000977F7">
        <w:rPr>
          <w:rFonts w:asciiTheme="majorHAnsi" w:hAnsiTheme="majorHAnsi"/>
          <w:spacing w:val="-47"/>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надійності</w:t>
      </w:r>
    </w:p>
    <w:p w14:paraId="659C723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 94</w:t>
      </w:r>
    </w:p>
    <w:p w14:paraId="3DD76993"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КОНТРОЛЬ</w:t>
      </w:r>
      <w:r w:rsidRPr="000977F7">
        <w:rPr>
          <w:color w:val="auto"/>
          <w:spacing w:val="-4"/>
          <w:sz w:val="20"/>
          <w:szCs w:val="20"/>
        </w:rPr>
        <w:t xml:space="preserve"> </w:t>
      </w:r>
      <w:r w:rsidRPr="000977F7">
        <w:rPr>
          <w:color w:val="auto"/>
          <w:sz w:val="20"/>
          <w:szCs w:val="20"/>
        </w:rPr>
        <w:t>НЕВІДПОВІДНИХ</w:t>
      </w:r>
      <w:r w:rsidRPr="000977F7">
        <w:rPr>
          <w:color w:val="auto"/>
          <w:spacing w:val="-4"/>
          <w:sz w:val="20"/>
          <w:szCs w:val="20"/>
        </w:rPr>
        <w:t xml:space="preserve"> </w:t>
      </w:r>
      <w:r w:rsidRPr="000977F7">
        <w:rPr>
          <w:color w:val="auto"/>
          <w:sz w:val="20"/>
          <w:szCs w:val="20"/>
        </w:rPr>
        <w:t>ВИХОДІВ</w:t>
      </w:r>
      <w:r w:rsidRPr="000977F7">
        <w:rPr>
          <w:color w:val="auto"/>
          <w:spacing w:val="-1"/>
          <w:sz w:val="20"/>
          <w:szCs w:val="20"/>
        </w:rPr>
        <w:t xml:space="preserve"> </w:t>
      </w:r>
      <w:r w:rsidRPr="000977F7">
        <w:rPr>
          <w:b w:val="0"/>
          <w:color w:val="auto"/>
          <w:sz w:val="20"/>
          <w:szCs w:val="20"/>
        </w:rPr>
        <w:t>–</w:t>
      </w:r>
    </w:p>
    <w:p w14:paraId="0BF9F6F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повинна</w:t>
      </w:r>
      <w:r w:rsidRPr="000977F7">
        <w:rPr>
          <w:rFonts w:asciiTheme="majorHAnsi" w:hAnsiTheme="majorHAnsi"/>
          <w:spacing w:val="1"/>
          <w:sz w:val="20"/>
          <w:szCs w:val="20"/>
        </w:rPr>
        <w:t xml:space="preserve"> </w:t>
      </w:r>
      <w:r w:rsidRPr="000977F7">
        <w:rPr>
          <w:rFonts w:asciiTheme="majorHAnsi" w:hAnsiTheme="majorHAnsi"/>
          <w:sz w:val="20"/>
          <w:szCs w:val="20"/>
        </w:rPr>
        <w:t>забезпечувати ідентифікування</w:t>
      </w:r>
      <w:r w:rsidRPr="000977F7">
        <w:rPr>
          <w:rFonts w:asciiTheme="majorHAnsi" w:hAnsiTheme="majorHAnsi"/>
          <w:spacing w:val="-47"/>
          <w:sz w:val="20"/>
          <w:szCs w:val="20"/>
        </w:rPr>
        <w:t xml:space="preserve">         </w:t>
      </w:r>
      <w:r w:rsidRPr="000977F7">
        <w:rPr>
          <w:rFonts w:asciiTheme="majorHAnsi" w:hAnsiTheme="majorHAnsi"/>
          <w:spacing w:val="50"/>
          <w:sz w:val="20"/>
          <w:szCs w:val="20"/>
        </w:rPr>
        <w:t xml:space="preserve"> </w:t>
      </w:r>
      <w:r w:rsidRPr="000977F7">
        <w:rPr>
          <w:rFonts w:asciiTheme="majorHAnsi" w:hAnsiTheme="majorHAnsi"/>
          <w:sz w:val="20"/>
          <w:szCs w:val="20"/>
        </w:rPr>
        <w:t>та контролювання виходів, які не відповідають вимогам до них, щоб запобігти їх непередбаченому використанню</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 xml:space="preserve">постачанню. </w:t>
      </w:r>
    </w:p>
    <w:p w14:paraId="0F83E49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виконувати відповідні дії, зважаючи на характер невідповідності та її вплив на відповідність продукції та послуг. Це треба також застосовувати до невідповідної продукції та послуг, вичавлених після постачання продукції, під час або після</w:t>
      </w:r>
      <w:r w:rsidRPr="000977F7">
        <w:rPr>
          <w:rFonts w:asciiTheme="majorHAnsi" w:hAnsiTheme="majorHAnsi"/>
          <w:spacing w:val="1"/>
          <w:sz w:val="20"/>
          <w:szCs w:val="20"/>
        </w:rPr>
        <w:t xml:space="preserve"> </w:t>
      </w:r>
      <w:r w:rsidRPr="000977F7">
        <w:rPr>
          <w:rFonts w:asciiTheme="majorHAnsi" w:hAnsiTheme="majorHAnsi"/>
          <w:sz w:val="20"/>
          <w:szCs w:val="20"/>
        </w:rPr>
        <w:t>надання</w:t>
      </w:r>
      <w:r w:rsidRPr="000977F7">
        <w:rPr>
          <w:rFonts w:asciiTheme="majorHAnsi" w:hAnsiTheme="majorHAnsi"/>
          <w:spacing w:val="-2"/>
          <w:sz w:val="20"/>
          <w:szCs w:val="20"/>
        </w:rPr>
        <w:t xml:space="preserve"> </w:t>
      </w:r>
      <w:r w:rsidRPr="000977F7">
        <w:rPr>
          <w:rFonts w:asciiTheme="majorHAnsi" w:hAnsiTheme="majorHAnsi"/>
          <w:sz w:val="20"/>
          <w:szCs w:val="20"/>
        </w:rPr>
        <w:t>послуг.</w:t>
      </w:r>
    </w:p>
    <w:p w14:paraId="51E4D7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діяти щодо невідповідних виходів</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один</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кілька</w:t>
      </w:r>
      <w:r w:rsidRPr="000977F7">
        <w:rPr>
          <w:rFonts w:asciiTheme="majorHAnsi" w:hAnsiTheme="majorHAnsi"/>
          <w:spacing w:val="1"/>
          <w:sz w:val="20"/>
          <w:szCs w:val="20"/>
        </w:rPr>
        <w:t xml:space="preserve"> </w:t>
      </w:r>
      <w:r w:rsidRPr="000977F7">
        <w:rPr>
          <w:rFonts w:asciiTheme="majorHAnsi" w:hAnsiTheme="majorHAnsi"/>
          <w:sz w:val="20"/>
          <w:szCs w:val="20"/>
        </w:rPr>
        <w:t>таких</w:t>
      </w:r>
      <w:r w:rsidRPr="000977F7">
        <w:rPr>
          <w:rFonts w:asciiTheme="majorHAnsi" w:hAnsiTheme="majorHAnsi"/>
          <w:spacing w:val="-1"/>
          <w:sz w:val="20"/>
          <w:szCs w:val="20"/>
        </w:rPr>
        <w:t xml:space="preserve"> </w:t>
      </w:r>
      <w:r w:rsidRPr="000977F7">
        <w:rPr>
          <w:rFonts w:asciiTheme="majorHAnsi" w:hAnsiTheme="majorHAnsi"/>
          <w:sz w:val="20"/>
          <w:szCs w:val="20"/>
        </w:rPr>
        <w:t>способів:</w:t>
      </w:r>
    </w:p>
    <w:p w14:paraId="5339E1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3"/>
          <w:sz w:val="20"/>
          <w:szCs w:val="20"/>
        </w:rPr>
        <w:t xml:space="preserve"> </w:t>
      </w:r>
      <w:r w:rsidRPr="000977F7">
        <w:rPr>
          <w:rFonts w:asciiTheme="majorHAnsi" w:hAnsiTheme="majorHAnsi"/>
          <w:sz w:val="20"/>
          <w:szCs w:val="20"/>
        </w:rPr>
        <w:t>коригування:</w:t>
      </w:r>
    </w:p>
    <w:p w14:paraId="6E8ABA0A" w14:textId="77777777" w:rsidR="0097612F" w:rsidRPr="000977F7" w:rsidRDefault="0097612F" w:rsidP="00FD39A4">
      <w:pPr>
        <w:pStyle w:val="ac"/>
        <w:widowControl w:val="0"/>
        <w:numPr>
          <w:ilvl w:val="0"/>
          <w:numId w:val="157"/>
        </w:numPr>
        <w:tabs>
          <w:tab w:val="left" w:pos="284"/>
          <w:tab w:val="left" w:pos="68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відокремлення, обмеження розповсюдження, повернення</w:t>
      </w:r>
      <w:r w:rsidRPr="000977F7">
        <w:rPr>
          <w:rFonts w:asciiTheme="majorHAnsi" w:hAnsiTheme="majorHAnsi"/>
          <w:spacing w:val="-5"/>
          <w:sz w:val="20"/>
          <w:szCs w:val="20"/>
        </w:rPr>
        <w:t xml:space="preserve"> </w:t>
      </w:r>
      <w:r w:rsidRPr="000977F7">
        <w:rPr>
          <w:rFonts w:asciiTheme="majorHAnsi" w:hAnsiTheme="majorHAnsi"/>
          <w:sz w:val="20"/>
          <w:szCs w:val="20"/>
        </w:rPr>
        <w:t>чи</w:t>
      </w:r>
      <w:r w:rsidRPr="000977F7">
        <w:rPr>
          <w:rFonts w:asciiTheme="majorHAnsi" w:hAnsiTheme="majorHAnsi"/>
          <w:spacing w:val="-3"/>
          <w:sz w:val="20"/>
          <w:szCs w:val="20"/>
        </w:rPr>
        <w:t xml:space="preserve"> </w:t>
      </w:r>
      <w:r w:rsidRPr="000977F7">
        <w:rPr>
          <w:rFonts w:asciiTheme="majorHAnsi" w:hAnsiTheme="majorHAnsi"/>
          <w:sz w:val="20"/>
          <w:szCs w:val="20"/>
        </w:rPr>
        <w:t>призупинення</w:t>
      </w:r>
      <w:r w:rsidRPr="000977F7">
        <w:rPr>
          <w:rFonts w:asciiTheme="majorHAnsi" w:hAnsiTheme="majorHAnsi"/>
          <w:spacing w:val="-5"/>
          <w:sz w:val="20"/>
          <w:szCs w:val="20"/>
        </w:rPr>
        <w:t xml:space="preserve"> </w:t>
      </w:r>
      <w:r w:rsidRPr="000977F7">
        <w:rPr>
          <w:rFonts w:asciiTheme="majorHAnsi" w:hAnsiTheme="majorHAnsi"/>
          <w:sz w:val="20"/>
          <w:szCs w:val="20"/>
        </w:rPr>
        <w:t>надання</w:t>
      </w:r>
      <w:r w:rsidRPr="000977F7">
        <w:rPr>
          <w:rFonts w:asciiTheme="majorHAnsi" w:hAnsiTheme="majorHAnsi"/>
          <w:spacing w:val="-5"/>
          <w:sz w:val="20"/>
          <w:szCs w:val="20"/>
        </w:rPr>
        <w:t xml:space="preserve"> </w:t>
      </w:r>
      <w:r w:rsidRPr="000977F7">
        <w:rPr>
          <w:rFonts w:asciiTheme="majorHAnsi" w:hAnsiTheme="majorHAnsi"/>
          <w:sz w:val="20"/>
          <w:szCs w:val="20"/>
        </w:rPr>
        <w:t>продукції</w:t>
      </w:r>
      <w:r w:rsidRPr="000977F7">
        <w:rPr>
          <w:rFonts w:asciiTheme="majorHAnsi" w:hAnsiTheme="majorHAnsi"/>
          <w:spacing w:val="-5"/>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послуг;</w:t>
      </w:r>
    </w:p>
    <w:p w14:paraId="5B0FF37D" w14:textId="77777777" w:rsidR="0097612F" w:rsidRPr="000977F7" w:rsidRDefault="0097612F" w:rsidP="00FD39A4">
      <w:pPr>
        <w:pStyle w:val="ac"/>
        <w:widowControl w:val="0"/>
        <w:numPr>
          <w:ilvl w:val="0"/>
          <w:numId w:val="157"/>
        </w:numPr>
        <w:tabs>
          <w:tab w:val="left" w:pos="284"/>
          <w:tab w:val="left" w:pos="6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інформування</w:t>
      </w:r>
      <w:r w:rsidRPr="000977F7">
        <w:rPr>
          <w:rFonts w:asciiTheme="majorHAnsi" w:hAnsiTheme="majorHAnsi"/>
          <w:spacing w:val="-7"/>
          <w:sz w:val="20"/>
          <w:szCs w:val="20"/>
        </w:rPr>
        <w:t xml:space="preserve"> </w:t>
      </w:r>
      <w:r w:rsidRPr="000977F7">
        <w:rPr>
          <w:rFonts w:asciiTheme="majorHAnsi" w:hAnsiTheme="majorHAnsi"/>
          <w:sz w:val="20"/>
          <w:szCs w:val="20"/>
        </w:rPr>
        <w:t>замовника;</w:t>
      </w:r>
    </w:p>
    <w:p w14:paraId="0DFCE4F2" w14:textId="77777777" w:rsidR="0097612F" w:rsidRPr="000977F7" w:rsidRDefault="0097612F" w:rsidP="000977F7">
      <w:pPr>
        <w:pStyle w:val="af6"/>
        <w:tabs>
          <w:tab w:val="left" w:pos="284"/>
        </w:tabs>
        <w:spacing w:after="0"/>
        <w:ind w:left="170"/>
        <w:mirrorIndents/>
        <w:jc w:val="both"/>
        <w:rPr>
          <w:rFonts w:asciiTheme="majorHAnsi" w:hAnsiTheme="majorHAnsi"/>
          <w:spacing w:val="18"/>
          <w:sz w:val="20"/>
          <w:szCs w:val="20"/>
        </w:rPr>
      </w:pPr>
      <w:r w:rsidRPr="000977F7">
        <w:rPr>
          <w:rFonts w:asciiTheme="majorHAnsi" w:hAnsiTheme="majorHAnsi"/>
          <w:sz w:val="20"/>
          <w:szCs w:val="20"/>
        </w:rPr>
        <w:t>d ) одержання дозволу на приймання за поступкою.</w:t>
      </w:r>
      <w:r w:rsidRPr="000977F7">
        <w:rPr>
          <w:rFonts w:asciiTheme="majorHAnsi" w:hAnsiTheme="majorHAnsi"/>
          <w:spacing w:val="1"/>
          <w:sz w:val="20"/>
          <w:szCs w:val="20"/>
        </w:rPr>
        <w:t xml:space="preserve"> </w:t>
      </w:r>
      <w:r w:rsidRPr="000977F7">
        <w:rPr>
          <w:rFonts w:asciiTheme="majorHAnsi" w:hAnsiTheme="majorHAnsi"/>
          <w:sz w:val="20"/>
          <w:szCs w:val="20"/>
        </w:rPr>
        <w:t>Після</w:t>
      </w:r>
      <w:r w:rsidRPr="000977F7">
        <w:rPr>
          <w:rFonts w:asciiTheme="majorHAnsi" w:hAnsiTheme="majorHAnsi"/>
          <w:spacing w:val="19"/>
          <w:sz w:val="20"/>
          <w:szCs w:val="20"/>
        </w:rPr>
        <w:t xml:space="preserve"> </w:t>
      </w:r>
      <w:r w:rsidRPr="000977F7">
        <w:rPr>
          <w:rFonts w:asciiTheme="majorHAnsi" w:hAnsiTheme="majorHAnsi"/>
          <w:sz w:val="20"/>
          <w:szCs w:val="20"/>
        </w:rPr>
        <w:t>того,</w:t>
      </w:r>
      <w:r w:rsidRPr="000977F7">
        <w:rPr>
          <w:rFonts w:asciiTheme="majorHAnsi" w:hAnsiTheme="majorHAnsi"/>
          <w:spacing w:val="18"/>
          <w:sz w:val="20"/>
          <w:szCs w:val="20"/>
        </w:rPr>
        <w:t xml:space="preserve"> </w:t>
      </w:r>
      <w:r w:rsidRPr="000977F7">
        <w:rPr>
          <w:rFonts w:asciiTheme="majorHAnsi" w:hAnsiTheme="majorHAnsi"/>
          <w:sz w:val="20"/>
          <w:szCs w:val="20"/>
        </w:rPr>
        <w:t>як</w:t>
      </w:r>
      <w:r w:rsidRPr="000977F7">
        <w:rPr>
          <w:rFonts w:asciiTheme="majorHAnsi" w:hAnsiTheme="majorHAnsi"/>
          <w:spacing w:val="18"/>
          <w:sz w:val="20"/>
          <w:szCs w:val="20"/>
        </w:rPr>
        <w:t xml:space="preserve"> </w:t>
      </w:r>
      <w:r w:rsidRPr="000977F7">
        <w:rPr>
          <w:rFonts w:asciiTheme="majorHAnsi" w:hAnsiTheme="majorHAnsi"/>
          <w:sz w:val="20"/>
          <w:szCs w:val="20"/>
        </w:rPr>
        <w:t>невідповідні</w:t>
      </w:r>
      <w:r w:rsidRPr="000977F7">
        <w:rPr>
          <w:rFonts w:asciiTheme="majorHAnsi" w:hAnsiTheme="majorHAnsi"/>
          <w:spacing w:val="20"/>
          <w:sz w:val="20"/>
          <w:szCs w:val="20"/>
        </w:rPr>
        <w:t xml:space="preserve"> </w:t>
      </w:r>
      <w:r w:rsidRPr="000977F7">
        <w:rPr>
          <w:rFonts w:asciiTheme="majorHAnsi" w:hAnsiTheme="majorHAnsi"/>
          <w:sz w:val="20"/>
          <w:szCs w:val="20"/>
        </w:rPr>
        <w:t>виходи</w:t>
      </w:r>
      <w:r w:rsidRPr="000977F7">
        <w:rPr>
          <w:rFonts w:asciiTheme="majorHAnsi" w:hAnsiTheme="majorHAnsi"/>
          <w:spacing w:val="19"/>
          <w:sz w:val="20"/>
          <w:szCs w:val="20"/>
        </w:rPr>
        <w:t xml:space="preserve"> </w:t>
      </w:r>
      <w:r w:rsidRPr="000977F7">
        <w:rPr>
          <w:rFonts w:asciiTheme="majorHAnsi" w:hAnsiTheme="majorHAnsi"/>
          <w:sz w:val="20"/>
          <w:szCs w:val="20"/>
        </w:rPr>
        <w:t>скориговано,</w:t>
      </w:r>
      <w:r w:rsidRPr="000977F7">
        <w:rPr>
          <w:rFonts w:asciiTheme="majorHAnsi" w:hAnsiTheme="majorHAnsi"/>
          <w:spacing w:val="18"/>
          <w:sz w:val="20"/>
          <w:szCs w:val="20"/>
        </w:rPr>
        <w:t xml:space="preserve"> </w:t>
      </w:r>
    </w:p>
    <w:p w14:paraId="39E7C5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пот</w:t>
      </w:r>
      <w:r w:rsidRPr="000977F7">
        <w:rPr>
          <w:rFonts w:asciiTheme="majorHAnsi" w:hAnsiTheme="majorHAnsi"/>
          <w:spacing w:val="-47"/>
          <w:sz w:val="20"/>
          <w:szCs w:val="20"/>
        </w:rPr>
        <w:t xml:space="preserve"> </w:t>
      </w:r>
      <w:r w:rsidRPr="000977F7">
        <w:rPr>
          <w:rFonts w:asciiTheme="majorHAnsi" w:hAnsiTheme="majorHAnsi"/>
          <w:sz w:val="20"/>
          <w:szCs w:val="20"/>
        </w:rPr>
        <w:t>рібно перевірити відповідність</w:t>
      </w:r>
      <w:r w:rsidRPr="000977F7">
        <w:rPr>
          <w:rFonts w:asciiTheme="majorHAnsi" w:hAnsiTheme="majorHAnsi"/>
          <w:spacing w:val="-1"/>
          <w:sz w:val="20"/>
          <w:szCs w:val="20"/>
        </w:rPr>
        <w:t xml:space="preserve"> </w:t>
      </w:r>
      <w:r w:rsidRPr="000977F7">
        <w:rPr>
          <w:rFonts w:asciiTheme="majorHAnsi" w:hAnsiTheme="majorHAnsi"/>
          <w:sz w:val="20"/>
          <w:szCs w:val="20"/>
        </w:rPr>
        <w:t>вимогам.</w:t>
      </w:r>
    </w:p>
    <w:p w14:paraId="0BA0B6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10"/>
          <w:sz w:val="20"/>
          <w:szCs w:val="20"/>
        </w:rPr>
        <w:t xml:space="preserve"> </w:t>
      </w:r>
      <w:r w:rsidRPr="000977F7">
        <w:rPr>
          <w:rFonts w:asciiTheme="majorHAnsi" w:hAnsiTheme="majorHAnsi"/>
          <w:sz w:val="20"/>
          <w:szCs w:val="20"/>
        </w:rPr>
        <w:t>повинна</w:t>
      </w:r>
      <w:r w:rsidRPr="000977F7">
        <w:rPr>
          <w:rFonts w:asciiTheme="majorHAnsi" w:hAnsiTheme="majorHAnsi"/>
          <w:spacing w:val="10"/>
          <w:sz w:val="20"/>
          <w:szCs w:val="20"/>
        </w:rPr>
        <w:t xml:space="preserve"> </w:t>
      </w:r>
      <w:r w:rsidRPr="000977F7">
        <w:rPr>
          <w:rFonts w:asciiTheme="majorHAnsi" w:hAnsiTheme="majorHAnsi"/>
          <w:sz w:val="20"/>
          <w:szCs w:val="20"/>
        </w:rPr>
        <w:t>зберігати</w:t>
      </w:r>
      <w:r w:rsidRPr="000977F7">
        <w:rPr>
          <w:rFonts w:asciiTheme="majorHAnsi" w:hAnsiTheme="majorHAnsi"/>
          <w:spacing w:val="8"/>
          <w:sz w:val="20"/>
          <w:szCs w:val="20"/>
        </w:rPr>
        <w:t xml:space="preserve"> </w:t>
      </w:r>
      <w:r w:rsidRPr="000977F7">
        <w:rPr>
          <w:rFonts w:asciiTheme="majorHAnsi" w:hAnsiTheme="majorHAnsi"/>
          <w:sz w:val="20"/>
          <w:szCs w:val="20"/>
        </w:rPr>
        <w:t>задокументовану</w:t>
      </w:r>
      <w:r w:rsidRPr="000977F7">
        <w:rPr>
          <w:rFonts w:asciiTheme="majorHAnsi" w:hAnsiTheme="majorHAnsi"/>
          <w:spacing w:val="7"/>
          <w:sz w:val="20"/>
          <w:szCs w:val="20"/>
        </w:rPr>
        <w:t xml:space="preserve"> </w:t>
      </w:r>
      <w:r w:rsidRPr="000977F7">
        <w:rPr>
          <w:rFonts w:asciiTheme="majorHAnsi" w:hAnsiTheme="majorHAnsi"/>
          <w:sz w:val="20"/>
          <w:szCs w:val="20"/>
        </w:rPr>
        <w:t>інфо</w:t>
      </w:r>
      <w:r w:rsidRPr="000977F7">
        <w:rPr>
          <w:rFonts w:asciiTheme="majorHAnsi" w:hAnsiTheme="majorHAnsi"/>
          <w:spacing w:val="-47"/>
          <w:sz w:val="20"/>
          <w:szCs w:val="20"/>
        </w:rPr>
        <w:t xml:space="preserve"> </w:t>
      </w:r>
      <w:r w:rsidRPr="000977F7">
        <w:rPr>
          <w:rFonts w:asciiTheme="majorHAnsi" w:hAnsiTheme="majorHAnsi"/>
          <w:sz w:val="20"/>
          <w:szCs w:val="20"/>
        </w:rPr>
        <w:t>рмацію,</w:t>
      </w:r>
      <w:r w:rsidRPr="000977F7">
        <w:rPr>
          <w:rFonts w:asciiTheme="majorHAnsi" w:hAnsiTheme="majorHAnsi"/>
          <w:spacing w:val="-1"/>
          <w:sz w:val="20"/>
          <w:szCs w:val="20"/>
        </w:rPr>
        <w:t xml:space="preserve"> </w:t>
      </w:r>
      <w:r w:rsidRPr="000977F7">
        <w:rPr>
          <w:rFonts w:asciiTheme="majorHAnsi" w:hAnsiTheme="majorHAnsi"/>
          <w:sz w:val="20"/>
          <w:szCs w:val="20"/>
        </w:rPr>
        <w:t>яка</w:t>
      </w:r>
    </w:p>
    <w:p w14:paraId="2F83E05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5"/>
          <w:sz w:val="20"/>
          <w:szCs w:val="20"/>
        </w:rPr>
        <w:t xml:space="preserve"> </w:t>
      </w:r>
      <w:r w:rsidRPr="000977F7">
        <w:rPr>
          <w:rFonts w:asciiTheme="majorHAnsi" w:hAnsiTheme="majorHAnsi"/>
          <w:sz w:val="20"/>
          <w:szCs w:val="20"/>
        </w:rPr>
        <w:t>описує</w:t>
      </w:r>
      <w:r w:rsidRPr="000977F7">
        <w:rPr>
          <w:rFonts w:asciiTheme="majorHAnsi" w:hAnsiTheme="majorHAnsi"/>
          <w:spacing w:val="-6"/>
          <w:sz w:val="20"/>
          <w:szCs w:val="20"/>
        </w:rPr>
        <w:t xml:space="preserve"> </w:t>
      </w:r>
      <w:r w:rsidRPr="000977F7">
        <w:rPr>
          <w:rFonts w:asciiTheme="majorHAnsi" w:hAnsiTheme="majorHAnsi"/>
          <w:sz w:val="20"/>
          <w:szCs w:val="20"/>
        </w:rPr>
        <w:t>невідповідність;</w:t>
      </w:r>
    </w:p>
    <w:p w14:paraId="714375C0" w14:textId="77777777" w:rsidR="0097612F" w:rsidRPr="000977F7" w:rsidRDefault="0097612F" w:rsidP="00FD39A4">
      <w:pPr>
        <w:pStyle w:val="ac"/>
        <w:widowControl w:val="0"/>
        <w:numPr>
          <w:ilvl w:val="0"/>
          <w:numId w:val="156"/>
        </w:numPr>
        <w:tabs>
          <w:tab w:val="left" w:pos="284"/>
          <w:tab w:val="left" w:pos="65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описує</w:t>
      </w:r>
      <w:r w:rsidRPr="000977F7">
        <w:rPr>
          <w:rFonts w:asciiTheme="majorHAnsi" w:hAnsiTheme="majorHAnsi"/>
          <w:spacing w:val="-5"/>
          <w:sz w:val="20"/>
          <w:szCs w:val="20"/>
        </w:rPr>
        <w:t xml:space="preserve"> </w:t>
      </w:r>
      <w:r w:rsidRPr="000977F7">
        <w:rPr>
          <w:rFonts w:asciiTheme="majorHAnsi" w:hAnsiTheme="majorHAnsi"/>
          <w:sz w:val="20"/>
          <w:szCs w:val="20"/>
        </w:rPr>
        <w:t>виконані</w:t>
      </w:r>
      <w:r w:rsidRPr="000977F7">
        <w:rPr>
          <w:rFonts w:asciiTheme="majorHAnsi" w:hAnsiTheme="majorHAnsi"/>
          <w:spacing w:val="-5"/>
          <w:sz w:val="20"/>
          <w:szCs w:val="20"/>
        </w:rPr>
        <w:t xml:space="preserve"> </w:t>
      </w:r>
      <w:r w:rsidRPr="000977F7">
        <w:rPr>
          <w:rFonts w:asciiTheme="majorHAnsi" w:hAnsiTheme="majorHAnsi"/>
          <w:sz w:val="20"/>
          <w:szCs w:val="20"/>
        </w:rPr>
        <w:t>дії;</w:t>
      </w:r>
    </w:p>
    <w:p w14:paraId="44092D67" w14:textId="77777777" w:rsidR="0097612F" w:rsidRPr="000977F7" w:rsidRDefault="0097612F" w:rsidP="00FD39A4">
      <w:pPr>
        <w:pStyle w:val="ac"/>
        <w:widowControl w:val="0"/>
        <w:numPr>
          <w:ilvl w:val="0"/>
          <w:numId w:val="156"/>
        </w:numPr>
        <w:tabs>
          <w:tab w:val="left" w:pos="284"/>
          <w:tab w:val="left" w:pos="6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описує</w:t>
      </w:r>
      <w:r w:rsidRPr="000977F7">
        <w:rPr>
          <w:rFonts w:asciiTheme="majorHAnsi" w:hAnsiTheme="majorHAnsi"/>
          <w:spacing w:val="-5"/>
          <w:sz w:val="20"/>
          <w:szCs w:val="20"/>
        </w:rPr>
        <w:t xml:space="preserve"> </w:t>
      </w:r>
      <w:r w:rsidRPr="000977F7">
        <w:rPr>
          <w:rFonts w:asciiTheme="majorHAnsi" w:hAnsiTheme="majorHAnsi"/>
          <w:sz w:val="20"/>
          <w:szCs w:val="20"/>
        </w:rPr>
        <w:t>будь-які</w:t>
      </w:r>
      <w:r w:rsidRPr="000977F7">
        <w:rPr>
          <w:rFonts w:asciiTheme="majorHAnsi" w:hAnsiTheme="majorHAnsi"/>
          <w:spacing w:val="-6"/>
          <w:sz w:val="20"/>
          <w:szCs w:val="20"/>
        </w:rPr>
        <w:t xml:space="preserve"> </w:t>
      </w:r>
      <w:r w:rsidRPr="000977F7">
        <w:rPr>
          <w:rFonts w:asciiTheme="majorHAnsi" w:hAnsiTheme="majorHAnsi"/>
          <w:sz w:val="20"/>
          <w:szCs w:val="20"/>
        </w:rPr>
        <w:t>одержані</w:t>
      </w:r>
      <w:r w:rsidRPr="000977F7">
        <w:rPr>
          <w:rFonts w:asciiTheme="majorHAnsi" w:hAnsiTheme="majorHAnsi"/>
          <w:spacing w:val="-3"/>
          <w:sz w:val="20"/>
          <w:szCs w:val="20"/>
        </w:rPr>
        <w:t xml:space="preserve"> </w:t>
      </w:r>
      <w:r w:rsidRPr="000977F7">
        <w:rPr>
          <w:rFonts w:asciiTheme="majorHAnsi" w:hAnsiTheme="majorHAnsi"/>
          <w:sz w:val="20"/>
          <w:szCs w:val="20"/>
        </w:rPr>
        <w:t>поступки:</w:t>
      </w:r>
    </w:p>
    <w:p w14:paraId="2F1F9C90" w14:textId="77777777" w:rsidR="0097612F" w:rsidRPr="000977F7" w:rsidRDefault="0097612F" w:rsidP="00FD39A4">
      <w:pPr>
        <w:pStyle w:val="ac"/>
        <w:widowControl w:val="0"/>
        <w:numPr>
          <w:ilvl w:val="0"/>
          <w:numId w:val="156"/>
        </w:numPr>
        <w:tabs>
          <w:tab w:val="left" w:pos="284"/>
          <w:tab w:val="left" w:pos="69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ідентифікує</w:t>
      </w:r>
      <w:r w:rsidRPr="000977F7">
        <w:rPr>
          <w:rFonts w:asciiTheme="majorHAnsi" w:hAnsiTheme="majorHAnsi"/>
          <w:spacing w:val="36"/>
          <w:sz w:val="20"/>
          <w:szCs w:val="20"/>
        </w:rPr>
        <w:t xml:space="preserve"> </w:t>
      </w:r>
      <w:r w:rsidRPr="000977F7">
        <w:rPr>
          <w:rFonts w:asciiTheme="majorHAnsi" w:hAnsiTheme="majorHAnsi"/>
          <w:sz w:val="20"/>
          <w:szCs w:val="20"/>
        </w:rPr>
        <w:t>уповноважену</w:t>
      </w:r>
      <w:r w:rsidRPr="000977F7">
        <w:rPr>
          <w:rFonts w:asciiTheme="majorHAnsi" w:hAnsiTheme="majorHAnsi"/>
          <w:spacing w:val="31"/>
          <w:sz w:val="20"/>
          <w:szCs w:val="20"/>
        </w:rPr>
        <w:t xml:space="preserve"> </w:t>
      </w:r>
      <w:r w:rsidRPr="000977F7">
        <w:rPr>
          <w:rFonts w:asciiTheme="majorHAnsi" w:hAnsiTheme="majorHAnsi"/>
          <w:sz w:val="20"/>
          <w:szCs w:val="20"/>
        </w:rPr>
        <w:t>особу,</w:t>
      </w:r>
      <w:r w:rsidRPr="000977F7">
        <w:rPr>
          <w:rFonts w:asciiTheme="majorHAnsi" w:hAnsiTheme="majorHAnsi"/>
          <w:spacing w:val="37"/>
          <w:sz w:val="20"/>
          <w:szCs w:val="20"/>
        </w:rPr>
        <w:t xml:space="preserve"> </w:t>
      </w:r>
      <w:r w:rsidRPr="000977F7">
        <w:rPr>
          <w:rFonts w:asciiTheme="majorHAnsi" w:hAnsiTheme="majorHAnsi"/>
          <w:sz w:val="20"/>
          <w:szCs w:val="20"/>
        </w:rPr>
        <w:t>що</w:t>
      </w:r>
      <w:r w:rsidRPr="000977F7">
        <w:rPr>
          <w:rFonts w:asciiTheme="majorHAnsi" w:hAnsiTheme="majorHAnsi"/>
          <w:spacing w:val="34"/>
          <w:sz w:val="20"/>
          <w:szCs w:val="20"/>
        </w:rPr>
        <w:t xml:space="preserve"> </w:t>
      </w:r>
      <w:r w:rsidRPr="000977F7">
        <w:rPr>
          <w:rFonts w:asciiTheme="majorHAnsi" w:hAnsiTheme="majorHAnsi"/>
          <w:sz w:val="20"/>
          <w:szCs w:val="20"/>
        </w:rPr>
        <w:t>приймає</w:t>
      </w:r>
      <w:r w:rsidRPr="000977F7">
        <w:rPr>
          <w:rFonts w:asciiTheme="majorHAnsi" w:hAnsiTheme="majorHAnsi"/>
          <w:spacing w:val="35"/>
          <w:sz w:val="20"/>
          <w:szCs w:val="20"/>
        </w:rPr>
        <w:t xml:space="preserve"> </w:t>
      </w:r>
      <w:r w:rsidRPr="000977F7">
        <w:rPr>
          <w:rFonts w:asciiTheme="majorHAnsi" w:hAnsiTheme="majorHAnsi"/>
          <w:sz w:val="20"/>
          <w:szCs w:val="20"/>
        </w:rPr>
        <w:t>рішення</w:t>
      </w:r>
      <w:r w:rsidRPr="000977F7">
        <w:rPr>
          <w:rFonts w:asciiTheme="majorHAnsi" w:hAnsiTheme="majorHAnsi"/>
          <w:spacing w:val="-2"/>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дію</w:t>
      </w:r>
      <w:r w:rsidRPr="000977F7">
        <w:rPr>
          <w:rFonts w:asciiTheme="majorHAnsi" w:hAnsiTheme="majorHAnsi"/>
          <w:spacing w:val="-1"/>
          <w:sz w:val="20"/>
          <w:szCs w:val="20"/>
        </w:rPr>
        <w:t xml:space="preserve"> </w:t>
      </w:r>
      <w:r w:rsidRPr="000977F7">
        <w:rPr>
          <w:rFonts w:asciiTheme="majorHAnsi" w:hAnsiTheme="majorHAnsi"/>
          <w:sz w:val="20"/>
          <w:szCs w:val="20"/>
        </w:rPr>
        <w:t>щодо невідповідності.</w:t>
      </w:r>
    </w:p>
    <w:p w14:paraId="6AC6197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9001 - 2015</w:t>
      </w:r>
    </w:p>
    <w:p w14:paraId="4CCC3D0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2"/>
          <w:sz w:val="20"/>
          <w:szCs w:val="20"/>
        </w:rPr>
        <w:lastRenderedPageBreak/>
        <w:t>КОНТРОЛЬ</w:t>
      </w:r>
      <w:r w:rsidRPr="000977F7">
        <w:rPr>
          <w:color w:val="auto"/>
          <w:spacing w:val="-10"/>
          <w:sz w:val="20"/>
          <w:szCs w:val="20"/>
        </w:rPr>
        <w:t xml:space="preserve"> </w:t>
      </w:r>
      <w:r w:rsidRPr="000977F7">
        <w:rPr>
          <w:color w:val="auto"/>
          <w:spacing w:val="-2"/>
          <w:sz w:val="20"/>
          <w:szCs w:val="20"/>
        </w:rPr>
        <w:t>ПАРАМЕТРА</w:t>
      </w:r>
      <w:r w:rsidRPr="000977F7">
        <w:rPr>
          <w:color w:val="auto"/>
          <w:spacing w:val="-6"/>
          <w:sz w:val="20"/>
          <w:szCs w:val="20"/>
        </w:rPr>
        <w:t xml:space="preserve"> </w:t>
      </w:r>
      <w:r w:rsidRPr="000977F7">
        <w:rPr>
          <w:color w:val="auto"/>
          <w:spacing w:val="-2"/>
          <w:sz w:val="20"/>
          <w:szCs w:val="20"/>
        </w:rPr>
        <w:t>СИГНАЛА</w:t>
      </w:r>
      <w:r w:rsidRPr="000977F7">
        <w:rPr>
          <w:color w:val="auto"/>
          <w:spacing w:val="-9"/>
          <w:sz w:val="20"/>
          <w:szCs w:val="20"/>
        </w:rPr>
        <w:t xml:space="preserve"> </w:t>
      </w:r>
      <w:r w:rsidRPr="000977F7">
        <w:rPr>
          <w:color w:val="auto"/>
          <w:spacing w:val="-1"/>
          <w:sz w:val="20"/>
          <w:szCs w:val="20"/>
        </w:rPr>
        <w:t>(ВИРОБУ)</w:t>
      </w:r>
      <w:r w:rsidRPr="000977F7">
        <w:rPr>
          <w:color w:val="auto"/>
          <w:spacing w:val="-8"/>
          <w:sz w:val="20"/>
          <w:szCs w:val="20"/>
        </w:rPr>
        <w:t xml:space="preserve"> </w:t>
      </w:r>
    </w:p>
    <w:p w14:paraId="524D278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 визначення відповідності параметра сигналу</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1"/>
          <w:sz w:val="20"/>
          <w:szCs w:val="20"/>
        </w:rPr>
        <w:t xml:space="preserve"> </w:t>
      </w:r>
      <w:r w:rsidRPr="000977F7">
        <w:rPr>
          <w:rFonts w:asciiTheme="majorHAnsi" w:hAnsiTheme="majorHAnsi"/>
          <w:sz w:val="20"/>
          <w:szCs w:val="20"/>
        </w:rPr>
        <w:t>визначеним</w:t>
      </w:r>
      <w:r w:rsidRPr="000977F7">
        <w:rPr>
          <w:rFonts w:asciiTheme="majorHAnsi" w:hAnsiTheme="majorHAnsi"/>
          <w:spacing w:val="1"/>
          <w:sz w:val="20"/>
          <w:szCs w:val="20"/>
        </w:rPr>
        <w:t xml:space="preserve"> </w:t>
      </w:r>
      <w:r w:rsidRPr="000977F7">
        <w:rPr>
          <w:rFonts w:asciiTheme="majorHAnsi" w:hAnsiTheme="majorHAnsi"/>
          <w:sz w:val="20"/>
          <w:szCs w:val="20"/>
        </w:rPr>
        <w:t>вимогам</w:t>
      </w:r>
    </w:p>
    <w:p w14:paraId="74F3446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w:t>
      </w:r>
      <w:r w:rsidRPr="000977F7">
        <w:rPr>
          <w:color w:val="auto"/>
          <w:spacing w:val="-4"/>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339431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INSPECTION –</w:t>
      </w:r>
    </w:p>
    <w:p w14:paraId="572CC53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Діяльність, що включає вимірювання, 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перевірку однієї чи декількох характеристик продукції та їх порівняння з установленими вимогами з метою</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p>
    <w:p w14:paraId="6B973BE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3E1F41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w:t>
      </w:r>
      <w:r w:rsidRPr="000977F7">
        <w:rPr>
          <w:color w:val="auto"/>
          <w:spacing w:val="-5"/>
          <w:sz w:val="20"/>
          <w:szCs w:val="20"/>
        </w:rPr>
        <w:t xml:space="preserve"> </w:t>
      </w:r>
      <w:r w:rsidRPr="000977F7">
        <w:rPr>
          <w:color w:val="auto"/>
          <w:sz w:val="20"/>
          <w:szCs w:val="20"/>
        </w:rPr>
        <w:t>РИЗИКІВ</w:t>
      </w:r>
      <w:r w:rsidRPr="000977F7">
        <w:rPr>
          <w:color w:val="auto"/>
          <w:spacing w:val="-1"/>
          <w:sz w:val="20"/>
          <w:szCs w:val="20"/>
        </w:rPr>
        <w:t xml:space="preserve"> </w:t>
      </w:r>
      <w:r w:rsidRPr="000977F7">
        <w:rPr>
          <w:color w:val="auto"/>
          <w:sz w:val="20"/>
          <w:szCs w:val="20"/>
        </w:rPr>
        <w:t>—</w:t>
      </w:r>
    </w:p>
    <w:p w14:paraId="2E5E1B3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Процедура вироблення та ухвали рішень щодо керування ризиками, їх реалізації та періодичної оцінки</w:t>
      </w:r>
      <w:r w:rsidRPr="000977F7">
        <w:rPr>
          <w:rFonts w:asciiTheme="majorHAnsi" w:hAnsiTheme="majorHAnsi"/>
          <w:spacing w:val="1"/>
          <w:sz w:val="20"/>
          <w:szCs w:val="20"/>
        </w:rPr>
        <w:t xml:space="preserve"> </w:t>
      </w:r>
      <w:r w:rsidRPr="000977F7">
        <w:rPr>
          <w:rFonts w:asciiTheme="majorHAnsi" w:hAnsiTheme="majorHAnsi"/>
          <w:sz w:val="20"/>
          <w:szCs w:val="20"/>
        </w:rPr>
        <w:t>ефективності з використанням результатів експертизи</w:t>
      </w:r>
      <w:r w:rsidRPr="000977F7">
        <w:rPr>
          <w:rFonts w:asciiTheme="majorHAnsi" w:hAnsiTheme="majorHAnsi"/>
          <w:spacing w:val="-47"/>
          <w:sz w:val="20"/>
          <w:szCs w:val="20"/>
        </w:rPr>
        <w:t xml:space="preserve"> </w:t>
      </w:r>
      <w:r w:rsidRPr="000977F7">
        <w:rPr>
          <w:rFonts w:asciiTheme="majorHAnsi" w:hAnsiTheme="majorHAnsi"/>
          <w:sz w:val="20"/>
          <w:szCs w:val="20"/>
        </w:rPr>
        <w:t>ризиків</w:t>
      </w:r>
      <w:r w:rsidRPr="000977F7">
        <w:rPr>
          <w:rFonts w:asciiTheme="majorHAnsi" w:hAnsiTheme="majorHAnsi"/>
          <w:spacing w:val="-2"/>
          <w:sz w:val="20"/>
          <w:szCs w:val="20"/>
        </w:rPr>
        <w:t xml:space="preserve"> </w:t>
      </w:r>
      <w:r w:rsidRPr="000977F7">
        <w:rPr>
          <w:rFonts w:asciiTheme="majorHAnsi" w:hAnsiTheme="majorHAnsi"/>
          <w:sz w:val="20"/>
          <w:szCs w:val="20"/>
        </w:rPr>
        <w:t>як</w:t>
      </w:r>
      <w:r w:rsidRPr="000977F7">
        <w:rPr>
          <w:rFonts w:asciiTheme="majorHAnsi" w:hAnsiTheme="majorHAnsi"/>
          <w:spacing w:val="-2"/>
          <w:sz w:val="20"/>
          <w:szCs w:val="20"/>
        </w:rPr>
        <w:t xml:space="preserve"> </w:t>
      </w:r>
      <w:r w:rsidRPr="000977F7">
        <w:rPr>
          <w:rFonts w:asciiTheme="majorHAnsi" w:hAnsiTheme="majorHAnsi"/>
          <w:sz w:val="20"/>
          <w:szCs w:val="20"/>
        </w:rPr>
        <w:t>одного із джерел</w:t>
      </w:r>
      <w:r w:rsidRPr="000977F7">
        <w:rPr>
          <w:rFonts w:asciiTheme="majorHAnsi" w:hAnsiTheme="majorHAnsi"/>
          <w:spacing w:val="1"/>
          <w:sz w:val="20"/>
          <w:szCs w:val="20"/>
        </w:rPr>
        <w:t xml:space="preserve"> </w:t>
      </w:r>
      <w:r w:rsidRPr="000977F7">
        <w:rPr>
          <w:rFonts w:asciiTheme="majorHAnsi" w:hAnsiTheme="majorHAnsi"/>
          <w:sz w:val="20"/>
          <w:szCs w:val="20"/>
        </w:rPr>
        <w:t>вихідних</w:t>
      </w:r>
      <w:r w:rsidRPr="000977F7">
        <w:rPr>
          <w:rFonts w:asciiTheme="majorHAnsi" w:hAnsiTheme="majorHAnsi"/>
          <w:spacing w:val="-2"/>
          <w:sz w:val="20"/>
          <w:szCs w:val="20"/>
        </w:rPr>
        <w:t xml:space="preserve"> </w:t>
      </w:r>
      <w:r w:rsidRPr="000977F7">
        <w:rPr>
          <w:rFonts w:asciiTheme="majorHAnsi" w:hAnsiTheme="majorHAnsi"/>
          <w:sz w:val="20"/>
          <w:szCs w:val="20"/>
        </w:rPr>
        <w:t>даних</w:t>
      </w:r>
    </w:p>
    <w:p w14:paraId="6B46759A"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2156</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93</w:t>
      </w:r>
    </w:p>
    <w:p w14:paraId="091A7B6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w:t>
      </w:r>
      <w:r w:rsidRPr="000977F7">
        <w:rPr>
          <w:color w:val="auto"/>
          <w:spacing w:val="-8"/>
          <w:sz w:val="20"/>
          <w:szCs w:val="20"/>
        </w:rPr>
        <w:t xml:space="preserve"> </w:t>
      </w:r>
      <w:r w:rsidRPr="000977F7">
        <w:rPr>
          <w:color w:val="auto"/>
          <w:sz w:val="20"/>
          <w:szCs w:val="20"/>
        </w:rPr>
        <w:t>ТЕХНОЛОГІЧНОГО</w:t>
      </w:r>
      <w:r w:rsidRPr="000977F7">
        <w:rPr>
          <w:color w:val="auto"/>
          <w:spacing w:val="-6"/>
          <w:sz w:val="20"/>
          <w:szCs w:val="20"/>
        </w:rPr>
        <w:t xml:space="preserve"> </w:t>
      </w:r>
      <w:r w:rsidRPr="000977F7">
        <w:rPr>
          <w:color w:val="auto"/>
          <w:sz w:val="20"/>
          <w:szCs w:val="20"/>
        </w:rPr>
        <w:t>ПРОЦЕСУ</w:t>
      </w:r>
      <w:r w:rsidRPr="000977F7">
        <w:rPr>
          <w:color w:val="auto"/>
          <w:spacing w:val="-3"/>
          <w:sz w:val="20"/>
          <w:szCs w:val="20"/>
        </w:rPr>
        <w:t xml:space="preserve"> </w:t>
      </w:r>
      <w:r w:rsidRPr="000977F7">
        <w:rPr>
          <w:color w:val="auto"/>
          <w:sz w:val="20"/>
          <w:szCs w:val="20"/>
        </w:rPr>
        <w:t>–</w:t>
      </w:r>
    </w:p>
    <w:p w14:paraId="57FBD10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INSPECTION</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MANUFACTURING</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PROCESS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28F4B3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 режимів, характеристик та параметрів технологічного процесу</w:t>
      </w:r>
    </w:p>
    <w:p w14:paraId="7E44797A"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2391:2010</w:t>
      </w:r>
    </w:p>
    <w:p w14:paraId="23F54611" w14:textId="77777777" w:rsidR="0097612F" w:rsidRPr="004D2D14" w:rsidRDefault="0097612F" w:rsidP="000977F7">
      <w:pPr>
        <w:tabs>
          <w:tab w:val="left" w:pos="284"/>
        </w:tabs>
        <w:spacing w:after="0" w:line="240" w:lineRule="auto"/>
        <w:ind w:left="170"/>
        <w:mirrorIndents/>
        <w:jc w:val="both"/>
        <w:rPr>
          <w:rFonts w:asciiTheme="majorHAnsi" w:hAnsiTheme="majorHAnsi"/>
          <w:b/>
          <w:bCs/>
          <w:sz w:val="20"/>
          <w:szCs w:val="20"/>
          <w:lang w:val="en-US"/>
        </w:rPr>
      </w:pPr>
      <w:r w:rsidRPr="000977F7">
        <w:rPr>
          <w:rFonts w:asciiTheme="majorHAnsi" w:hAnsiTheme="majorHAnsi"/>
          <w:b/>
          <w:bCs/>
          <w:sz w:val="20"/>
          <w:szCs w:val="20"/>
        </w:rPr>
        <w:t>КОНТРОЛЬ</w:t>
      </w:r>
      <w:r w:rsidRPr="004D2D14">
        <w:rPr>
          <w:rFonts w:asciiTheme="majorHAnsi" w:hAnsiTheme="majorHAnsi"/>
          <w:b/>
          <w:bCs/>
          <w:spacing w:val="-6"/>
          <w:sz w:val="20"/>
          <w:szCs w:val="20"/>
          <w:lang w:val="en-US"/>
        </w:rPr>
        <w:t xml:space="preserve"> </w:t>
      </w:r>
      <w:r w:rsidRPr="000977F7">
        <w:rPr>
          <w:rFonts w:asciiTheme="majorHAnsi" w:hAnsiTheme="majorHAnsi"/>
          <w:b/>
          <w:bCs/>
          <w:sz w:val="20"/>
          <w:szCs w:val="20"/>
        </w:rPr>
        <w:t>ТЕХНІЧНОГО</w:t>
      </w:r>
      <w:r w:rsidRPr="004D2D14">
        <w:rPr>
          <w:rFonts w:asciiTheme="majorHAnsi" w:hAnsiTheme="majorHAnsi"/>
          <w:b/>
          <w:bCs/>
          <w:spacing w:val="-6"/>
          <w:sz w:val="20"/>
          <w:szCs w:val="20"/>
          <w:lang w:val="en-US"/>
        </w:rPr>
        <w:t xml:space="preserve"> </w:t>
      </w:r>
      <w:r w:rsidRPr="000977F7">
        <w:rPr>
          <w:rFonts w:asciiTheme="majorHAnsi" w:hAnsiTheme="majorHAnsi"/>
          <w:b/>
          <w:bCs/>
          <w:sz w:val="20"/>
          <w:szCs w:val="20"/>
        </w:rPr>
        <w:t>СТАНУ</w:t>
      </w:r>
      <w:r w:rsidRPr="004D2D14">
        <w:rPr>
          <w:rFonts w:asciiTheme="majorHAnsi" w:hAnsiTheme="majorHAnsi"/>
          <w:b/>
          <w:bCs/>
          <w:spacing w:val="-3"/>
          <w:sz w:val="20"/>
          <w:szCs w:val="20"/>
          <w:lang w:val="en-US"/>
        </w:rPr>
        <w:t xml:space="preserve"> </w:t>
      </w:r>
      <w:r w:rsidRPr="004D2D14">
        <w:rPr>
          <w:rFonts w:asciiTheme="majorHAnsi" w:hAnsiTheme="majorHAnsi"/>
          <w:b/>
          <w:bCs/>
          <w:sz w:val="20"/>
          <w:szCs w:val="20"/>
          <w:lang w:val="en-US"/>
        </w:rPr>
        <w:t>–</w:t>
      </w:r>
    </w:p>
    <w:p w14:paraId="138DC0B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TECHNICAL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STATE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INSPECTION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4025D0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Перевірення відповідності значень параметрів об’єкта</w:t>
      </w:r>
      <w:r w:rsidRPr="000977F7">
        <w:rPr>
          <w:rFonts w:asciiTheme="majorHAnsi" w:hAnsiTheme="majorHAnsi"/>
          <w:spacing w:val="-47"/>
          <w:sz w:val="20"/>
          <w:szCs w:val="20"/>
        </w:rPr>
        <w:t xml:space="preserve"> </w:t>
      </w:r>
      <w:r w:rsidRPr="000977F7">
        <w:rPr>
          <w:rFonts w:asciiTheme="majorHAnsi" w:hAnsiTheme="majorHAnsi"/>
          <w:sz w:val="20"/>
          <w:szCs w:val="20"/>
        </w:rPr>
        <w:t>вимогам технічної документації та визначення на цій</w:t>
      </w:r>
      <w:r w:rsidRPr="000977F7">
        <w:rPr>
          <w:rFonts w:asciiTheme="majorHAnsi" w:hAnsiTheme="majorHAnsi"/>
          <w:spacing w:val="1"/>
          <w:sz w:val="20"/>
          <w:szCs w:val="20"/>
        </w:rPr>
        <w:t xml:space="preserve"> </w:t>
      </w:r>
      <w:r w:rsidRPr="000977F7">
        <w:rPr>
          <w:rFonts w:asciiTheme="majorHAnsi" w:hAnsiTheme="majorHAnsi"/>
          <w:sz w:val="20"/>
          <w:szCs w:val="20"/>
        </w:rPr>
        <w:t>основі одного із заданих видів технічного стану в даний</w:t>
      </w:r>
      <w:r w:rsidRPr="000977F7">
        <w:rPr>
          <w:rFonts w:asciiTheme="majorHAnsi" w:hAnsiTheme="majorHAnsi"/>
          <w:spacing w:val="-2"/>
          <w:sz w:val="20"/>
          <w:szCs w:val="20"/>
        </w:rPr>
        <w:t xml:space="preserve"> </w:t>
      </w:r>
      <w:r w:rsidRPr="000977F7">
        <w:rPr>
          <w:rFonts w:asciiTheme="majorHAnsi" w:hAnsiTheme="majorHAnsi"/>
          <w:sz w:val="20"/>
          <w:szCs w:val="20"/>
        </w:rPr>
        <w:t>момент</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05BC403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1F8AB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4"/>
          <w:sz w:val="20"/>
          <w:szCs w:val="20"/>
        </w:rPr>
        <w:t xml:space="preserve">Видами </w:t>
      </w:r>
      <w:r w:rsidRPr="000977F7">
        <w:rPr>
          <w:rFonts w:asciiTheme="majorHAnsi" w:hAnsiTheme="majorHAnsi"/>
          <w:spacing w:val="-3"/>
          <w:sz w:val="20"/>
          <w:szCs w:val="20"/>
        </w:rPr>
        <w:t>технічного стану є, наприклад, справний, працездатний,</w:t>
      </w:r>
      <w:r w:rsidRPr="000977F7">
        <w:rPr>
          <w:rFonts w:asciiTheme="majorHAnsi" w:hAnsiTheme="majorHAnsi"/>
          <w:spacing w:val="-8"/>
          <w:sz w:val="20"/>
          <w:szCs w:val="20"/>
        </w:rPr>
        <w:t xml:space="preserve"> </w:t>
      </w:r>
      <w:r w:rsidRPr="000977F7">
        <w:rPr>
          <w:rFonts w:asciiTheme="majorHAnsi" w:hAnsiTheme="majorHAnsi"/>
          <w:spacing w:val="-3"/>
          <w:sz w:val="20"/>
          <w:szCs w:val="20"/>
        </w:rPr>
        <w:t>несправний,</w:t>
      </w:r>
      <w:r w:rsidRPr="000977F7">
        <w:rPr>
          <w:rFonts w:asciiTheme="majorHAnsi" w:hAnsiTheme="majorHAnsi"/>
          <w:spacing w:val="-7"/>
          <w:sz w:val="20"/>
          <w:szCs w:val="20"/>
        </w:rPr>
        <w:t xml:space="preserve"> </w:t>
      </w:r>
      <w:r w:rsidRPr="000977F7">
        <w:rPr>
          <w:rFonts w:asciiTheme="majorHAnsi" w:hAnsiTheme="majorHAnsi"/>
          <w:spacing w:val="-3"/>
          <w:sz w:val="20"/>
          <w:szCs w:val="20"/>
        </w:rPr>
        <w:t>непрацездатний</w:t>
      </w:r>
      <w:r w:rsidRPr="000977F7">
        <w:rPr>
          <w:rFonts w:asciiTheme="majorHAnsi" w:hAnsiTheme="majorHAnsi"/>
          <w:spacing w:val="-8"/>
          <w:sz w:val="20"/>
          <w:szCs w:val="20"/>
        </w:rPr>
        <w:t xml:space="preserve"> </w:t>
      </w:r>
      <w:r w:rsidRPr="000977F7">
        <w:rPr>
          <w:rFonts w:asciiTheme="majorHAnsi" w:hAnsiTheme="majorHAnsi"/>
          <w:spacing w:val="-2"/>
          <w:sz w:val="20"/>
          <w:szCs w:val="20"/>
        </w:rPr>
        <w:t>тощо,</w:t>
      </w:r>
      <w:r w:rsidRPr="000977F7">
        <w:rPr>
          <w:rFonts w:asciiTheme="majorHAnsi" w:hAnsiTheme="majorHAnsi"/>
          <w:spacing w:val="-7"/>
          <w:sz w:val="20"/>
          <w:szCs w:val="20"/>
        </w:rPr>
        <w:t xml:space="preserve"> </w:t>
      </w:r>
      <w:r w:rsidRPr="000977F7">
        <w:rPr>
          <w:rFonts w:asciiTheme="majorHAnsi" w:hAnsiTheme="majorHAnsi"/>
          <w:spacing w:val="-2"/>
          <w:sz w:val="20"/>
          <w:szCs w:val="20"/>
        </w:rPr>
        <w:t>у</w:t>
      </w:r>
      <w:r w:rsidRPr="000977F7">
        <w:rPr>
          <w:rFonts w:asciiTheme="majorHAnsi" w:hAnsiTheme="majorHAnsi"/>
          <w:spacing w:val="-10"/>
          <w:sz w:val="20"/>
          <w:szCs w:val="20"/>
        </w:rPr>
        <w:t xml:space="preserve"> </w:t>
      </w:r>
      <w:r w:rsidRPr="000977F7">
        <w:rPr>
          <w:rFonts w:asciiTheme="majorHAnsi" w:hAnsiTheme="majorHAnsi"/>
          <w:spacing w:val="-2"/>
          <w:sz w:val="20"/>
          <w:szCs w:val="20"/>
        </w:rPr>
        <w:t>залежнос</w:t>
      </w:r>
      <w:r w:rsidRPr="000977F7">
        <w:rPr>
          <w:rFonts w:asciiTheme="majorHAnsi" w:hAnsiTheme="majorHAnsi"/>
          <w:spacing w:val="-4"/>
          <w:sz w:val="20"/>
          <w:szCs w:val="20"/>
        </w:rPr>
        <w:t>ті</w:t>
      </w:r>
      <w:r w:rsidRPr="000977F7">
        <w:rPr>
          <w:rFonts w:asciiTheme="majorHAnsi" w:hAnsiTheme="majorHAnsi"/>
          <w:spacing w:val="-7"/>
          <w:sz w:val="20"/>
          <w:szCs w:val="20"/>
        </w:rPr>
        <w:t xml:space="preserve"> </w:t>
      </w:r>
      <w:r w:rsidRPr="000977F7">
        <w:rPr>
          <w:rFonts w:asciiTheme="majorHAnsi" w:hAnsiTheme="majorHAnsi"/>
          <w:spacing w:val="-4"/>
          <w:sz w:val="20"/>
          <w:szCs w:val="20"/>
        </w:rPr>
        <w:t>від</w:t>
      </w:r>
      <w:r w:rsidRPr="000977F7">
        <w:rPr>
          <w:rFonts w:asciiTheme="majorHAnsi" w:hAnsiTheme="majorHAnsi"/>
          <w:spacing w:val="-8"/>
          <w:sz w:val="20"/>
          <w:szCs w:val="20"/>
        </w:rPr>
        <w:t xml:space="preserve"> </w:t>
      </w:r>
      <w:r w:rsidRPr="000977F7">
        <w:rPr>
          <w:rFonts w:asciiTheme="majorHAnsi" w:hAnsiTheme="majorHAnsi"/>
          <w:spacing w:val="-4"/>
          <w:sz w:val="20"/>
          <w:szCs w:val="20"/>
        </w:rPr>
        <w:t>значень</w:t>
      </w:r>
      <w:r w:rsidRPr="000977F7">
        <w:rPr>
          <w:rFonts w:asciiTheme="majorHAnsi" w:hAnsiTheme="majorHAnsi"/>
          <w:spacing w:val="-7"/>
          <w:sz w:val="20"/>
          <w:szCs w:val="20"/>
        </w:rPr>
        <w:t xml:space="preserve"> </w:t>
      </w:r>
      <w:r w:rsidRPr="000977F7">
        <w:rPr>
          <w:rFonts w:asciiTheme="majorHAnsi" w:hAnsiTheme="majorHAnsi"/>
          <w:spacing w:val="-4"/>
          <w:sz w:val="20"/>
          <w:szCs w:val="20"/>
        </w:rPr>
        <w:t>параметрів</w:t>
      </w:r>
      <w:r w:rsidRPr="000977F7">
        <w:rPr>
          <w:rFonts w:asciiTheme="majorHAnsi" w:hAnsiTheme="majorHAnsi"/>
          <w:spacing w:val="-8"/>
          <w:sz w:val="20"/>
          <w:szCs w:val="20"/>
        </w:rPr>
        <w:t xml:space="preserve"> </w:t>
      </w:r>
      <w:r w:rsidRPr="000977F7">
        <w:rPr>
          <w:rFonts w:asciiTheme="majorHAnsi" w:hAnsiTheme="majorHAnsi"/>
          <w:spacing w:val="-3"/>
          <w:sz w:val="20"/>
          <w:szCs w:val="20"/>
        </w:rPr>
        <w:t>на</w:t>
      </w:r>
      <w:r w:rsidRPr="000977F7">
        <w:rPr>
          <w:rFonts w:asciiTheme="majorHAnsi" w:hAnsiTheme="majorHAnsi"/>
          <w:spacing w:val="-7"/>
          <w:sz w:val="20"/>
          <w:szCs w:val="20"/>
        </w:rPr>
        <w:t xml:space="preserve"> </w:t>
      </w:r>
      <w:r w:rsidRPr="000977F7">
        <w:rPr>
          <w:rFonts w:asciiTheme="majorHAnsi" w:hAnsiTheme="majorHAnsi"/>
          <w:spacing w:val="-3"/>
          <w:sz w:val="20"/>
          <w:szCs w:val="20"/>
        </w:rPr>
        <w:t>даний</w:t>
      </w:r>
      <w:r w:rsidRPr="000977F7">
        <w:rPr>
          <w:rFonts w:asciiTheme="majorHAnsi" w:hAnsiTheme="majorHAnsi"/>
          <w:spacing w:val="-11"/>
          <w:sz w:val="20"/>
          <w:szCs w:val="20"/>
        </w:rPr>
        <w:t xml:space="preserve"> </w:t>
      </w:r>
      <w:r w:rsidRPr="000977F7">
        <w:rPr>
          <w:rFonts w:asciiTheme="majorHAnsi" w:hAnsiTheme="majorHAnsi"/>
          <w:spacing w:val="-3"/>
          <w:sz w:val="20"/>
          <w:szCs w:val="20"/>
        </w:rPr>
        <w:t>момент</w:t>
      </w:r>
      <w:r w:rsidRPr="000977F7">
        <w:rPr>
          <w:rFonts w:asciiTheme="majorHAnsi" w:hAnsiTheme="majorHAnsi"/>
          <w:spacing w:val="-8"/>
          <w:sz w:val="20"/>
          <w:szCs w:val="20"/>
        </w:rPr>
        <w:t xml:space="preserve"> </w:t>
      </w:r>
      <w:r w:rsidRPr="000977F7">
        <w:rPr>
          <w:rFonts w:asciiTheme="majorHAnsi" w:hAnsiTheme="majorHAnsi"/>
          <w:spacing w:val="-3"/>
          <w:sz w:val="20"/>
          <w:szCs w:val="20"/>
        </w:rPr>
        <w:t>часу</w:t>
      </w:r>
    </w:p>
    <w:p w14:paraId="5BD2F4C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w:t>
      </w:r>
      <w:r w:rsidRPr="000977F7">
        <w:rPr>
          <w:color w:val="auto"/>
          <w:spacing w:val="-5"/>
          <w:sz w:val="20"/>
          <w:szCs w:val="20"/>
        </w:rPr>
        <w:t xml:space="preserve"> </w:t>
      </w:r>
      <w:r w:rsidRPr="000977F7">
        <w:rPr>
          <w:color w:val="auto"/>
          <w:sz w:val="20"/>
          <w:szCs w:val="20"/>
        </w:rPr>
        <w:t>ФУНКЦІЮВАННЯ</w:t>
      </w:r>
      <w:r w:rsidRPr="000977F7">
        <w:rPr>
          <w:color w:val="auto"/>
          <w:spacing w:val="-2"/>
          <w:sz w:val="20"/>
          <w:szCs w:val="20"/>
        </w:rPr>
        <w:t xml:space="preserve"> </w:t>
      </w:r>
      <w:r w:rsidRPr="000977F7">
        <w:rPr>
          <w:color w:val="auto"/>
          <w:sz w:val="20"/>
          <w:szCs w:val="20"/>
        </w:rPr>
        <w:t>–</w:t>
      </w:r>
    </w:p>
    <w:p w14:paraId="4704BED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 виконання об’єктом частини чи всіх властивих</w:t>
      </w:r>
      <w:r w:rsidRPr="000977F7">
        <w:rPr>
          <w:rFonts w:asciiTheme="majorHAnsi" w:hAnsiTheme="majorHAnsi"/>
          <w:spacing w:val="-2"/>
          <w:sz w:val="20"/>
          <w:szCs w:val="20"/>
        </w:rPr>
        <w:t xml:space="preserve"> </w:t>
      </w:r>
      <w:r w:rsidRPr="000977F7">
        <w:rPr>
          <w:rFonts w:asciiTheme="majorHAnsi" w:hAnsiTheme="majorHAnsi"/>
          <w:sz w:val="20"/>
          <w:szCs w:val="20"/>
        </w:rPr>
        <w:t>йому</w:t>
      </w:r>
      <w:r w:rsidRPr="000977F7">
        <w:rPr>
          <w:rFonts w:asciiTheme="majorHAnsi" w:hAnsiTheme="majorHAnsi"/>
          <w:spacing w:val="-4"/>
          <w:sz w:val="20"/>
          <w:szCs w:val="20"/>
        </w:rPr>
        <w:t xml:space="preserve"> </w:t>
      </w:r>
      <w:r w:rsidRPr="000977F7">
        <w:rPr>
          <w:rFonts w:asciiTheme="majorHAnsi" w:hAnsiTheme="majorHAnsi"/>
          <w:sz w:val="20"/>
          <w:szCs w:val="20"/>
        </w:rPr>
        <w:t>функцій</w:t>
      </w:r>
    </w:p>
    <w:p w14:paraId="1C1A54C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933879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w:t>
      </w:r>
      <w:r w:rsidRPr="000977F7">
        <w:rPr>
          <w:color w:val="auto"/>
          <w:spacing w:val="-4"/>
          <w:sz w:val="20"/>
          <w:szCs w:val="20"/>
        </w:rPr>
        <w:t xml:space="preserve"> </w:t>
      </w:r>
      <w:r w:rsidRPr="000977F7">
        <w:rPr>
          <w:color w:val="auto"/>
          <w:sz w:val="20"/>
          <w:szCs w:val="20"/>
        </w:rPr>
        <w:t>ЯКОСТІ</w:t>
      </w:r>
      <w:r w:rsidRPr="000977F7">
        <w:rPr>
          <w:color w:val="auto"/>
          <w:spacing w:val="-4"/>
          <w:sz w:val="20"/>
          <w:szCs w:val="20"/>
        </w:rPr>
        <w:t xml:space="preserve"> </w:t>
      </w:r>
      <w:r w:rsidRPr="000977F7">
        <w:rPr>
          <w:color w:val="auto"/>
          <w:sz w:val="20"/>
          <w:szCs w:val="20"/>
        </w:rPr>
        <w:t>ЕЛЕКТРИЧНОЇ</w:t>
      </w:r>
      <w:r w:rsidRPr="000977F7">
        <w:rPr>
          <w:color w:val="auto"/>
          <w:spacing w:val="-4"/>
          <w:sz w:val="20"/>
          <w:szCs w:val="20"/>
        </w:rPr>
        <w:t xml:space="preserve"> </w:t>
      </w:r>
      <w:r w:rsidRPr="000977F7">
        <w:rPr>
          <w:color w:val="auto"/>
          <w:sz w:val="20"/>
          <w:szCs w:val="20"/>
        </w:rPr>
        <w:t>ЕНЕРГІЇ</w:t>
      </w:r>
      <w:r w:rsidRPr="000977F7">
        <w:rPr>
          <w:color w:val="auto"/>
          <w:spacing w:val="-2"/>
          <w:sz w:val="20"/>
          <w:szCs w:val="20"/>
        </w:rPr>
        <w:t xml:space="preserve"> </w:t>
      </w:r>
      <w:r w:rsidRPr="000977F7">
        <w:rPr>
          <w:color w:val="auto"/>
          <w:sz w:val="20"/>
          <w:szCs w:val="20"/>
        </w:rPr>
        <w:t>-</w:t>
      </w:r>
    </w:p>
    <w:p w14:paraId="08E4E3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Перевірка відповідності показників якості електричної</w:t>
      </w:r>
      <w:r w:rsidRPr="000977F7">
        <w:rPr>
          <w:rFonts w:asciiTheme="majorHAnsi" w:hAnsiTheme="majorHAnsi"/>
          <w:spacing w:val="-2"/>
          <w:sz w:val="20"/>
          <w:szCs w:val="20"/>
        </w:rPr>
        <w:t xml:space="preserve"> </w:t>
      </w:r>
      <w:r w:rsidRPr="000977F7">
        <w:rPr>
          <w:rFonts w:asciiTheme="majorHAnsi" w:hAnsiTheme="majorHAnsi"/>
          <w:sz w:val="20"/>
          <w:szCs w:val="20"/>
        </w:rPr>
        <w:t>енергії</w:t>
      </w:r>
      <w:r w:rsidRPr="000977F7">
        <w:rPr>
          <w:rFonts w:asciiTheme="majorHAnsi" w:hAnsiTheme="majorHAnsi"/>
          <w:spacing w:val="1"/>
          <w:sz w:val="20"/>
          <w:szCs w:val="20"/>
        </w:rPr>
        <w:t xml:space="preserve"> </w:t>
      </w:r>
      <w:r w:rsidRPr="000977F7">
        <w:rPr>
          <w:rFonts w:asciiTheme="majorHAnsi" w:hAnsiTheme="majorHAnsi"/>
          <w:sz w:val="20"/>
          <w:szCs w:val="20"/>
        </w:rPr>
        <w:t>установленим нормам</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p>
    <w:p w14:paraId="4FE927F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3466</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96</w:t>
      </w:r>
    </w:p>
    <w:p w14:paraId="3EAF58E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w:t>
      </w:r>
      <w:r w:rsidRPr="000977F7">
        <w:rPr>
          <w:color w:val="auto"/>
          <w:spacing w:val="-4"/>
          <w:sz w:val="20"/>
          <w:szCs w:val="20"/>
        </w:rPr>
        <w:t xml:space="preserve"> </w:t>
      </w:r>
      <w:r w:rsidRPr="000977F7">
        <w:rPr>
          <w:color w:val="auto"/>
          <w:sz w:val="20"/>
          <w:szCs w:val="20"/>
        </w:rPr>
        <w:t>ЯКОСТІ</w:t>
      </w:r>
      <w:r w:rsidRPr="000977F7">
        <w:rPr>
          <w:color w:val="auto"/>
          <w:spacing w:val="-4"/>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67F2101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PRODUCT QUALITY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INSPECTION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4C5F7C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 кількісних і (чи) якісних характеристик властивостей</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06304FD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3021</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0672E776"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КОНТРОЛЬНА КАРТА –</w:t>
      </w:r>
    </w:p>
    <w:p w14:paraId="012647E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CONTROL CHART–</w:t>
      </w:r>
    </w:p>
    <w:p w14:paraId="34A0241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Карта, на якій для наочності відображення стану технологічного процесу відмічають значення відповідної</w:t>
      </w:r>
      <w:r w:rsidRPr="000977F7">
        <w:rPr>
          <w:rFonts w:asciiTheme="majorHAnsi" w:hAnsiTheme="majorHAnsi"/>
          <w:spacing w:val="1"/>
          <w:sz w:val="20"/>
          <w:szCs w:val="20"/>
        </w:rPr>
        <w:t xml:space="preserve"> </w:t>
      </w:r>
      <w:r w:rsidRPr="000977F7">
        <w:rPr>
          <w:rFonts w:asciiTheme="majorHAnsi" w:hAnsiTheme="majorHAnsi"/>
          <w:sz w:val="20"/>
          <w:szCs w:val="20"/>
        </w:rPr>
        <w:t>вибіркової характеристики суміжних вибірок у часовій послідовності</w:t>
      </w:r>
    </w:p>
    <w:p w14:paraId="7E950CF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371EAB0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КОНТРОЛЬНА</w:t>
      </w:r>
      <w:r w:rsidRPr="000977F7">
        <w:rPr>
          <w:color w:val="auto"/>
          <w:spacing w:val="-7"/>
          <w:sz w:val="20"/>
          <w:szCs w:val="20"/>
        </w:rPr>
        <w:t xml:space="preserve"> </w:t>
      </w:r>
      <w:r w:rsidRPr="000977F7">
        <w:rPr>
          <w:color w:val="auto"/>
          <w:sz w:val="20"/>
          <w:szCs w:val="20"/>
        </w:rPr>
        <w:t>КАРТА</w:t>
      </w:r>
      <w:r w:rsidRPr="000977F7">
        <w:rPr>
          <w:color w:val="auto"/>
          <w:spacing w:val="-6"/>
          <w:sz w:val="20"/>
          <w:szCs w:val="20"/>
        </w:rPr>
        <w:t xml:space="preserve"> </w:t>
      </w:r>
      <w:r w:rsidRPr="000977F7">
        <w:rPr>
          <w:color w:val="auto"/>
          <w:sz w:val="20"/>
          <w:szCs w:val="20"/>
        </w:rPr>
        <w:t>ДИСПЕРСІЇ</w:t>
      </w:r>
      <w:r w:rsidRPr="000977F7">
        <w:rPr>
          <w:color w:val="auto"/>
          <w:spacing w:val="-5"/>
          <w:sz w:val="20"/>
          <w:szCs w:val="20"/>
        </w:rPr>
        <w:t xml:space="preserve"> </w:t>
      </w:r>
      <w:r w:rsidRPr="000977F7">
        <w:rPr>
          <w:color w:val="auto"/>
          <w:sz w:val="20"/>
          <w:szCs w:val="20"/>
        </w:rPr>
        <w:t>–</w:t>
      </w:r>
    </w:p>
    <w:p w14:paraId="2E93ADD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Контрольна карта, на яку наносять значення вибіркової</w:t>
      </w:r>
      <w:r w:rsidRPr="000977F7">
        <w:rPr>
          <w:rFonts w:asciiTheme="majorHAnsi" w:hAnsiTheme="majorHAnsi"/>
          <w:spacing w:val="-2"/>
          <w:sz w:val="20"/>
          <w:szCs w:val="20"/>
        </w:rPr>
        <w:t xml:space="preserve"> </w:t>
      </w:r>
      <w:r w:rsidRPr="000977F7">
        <w:rPr>
          <w:rFonts w:asciiTheme="majorHAnsi" w:hAnsiTheme="majorHAnsi"/>
          <w:sz w:val="20"/>
          <w:szCs w:val="20"/>
        </w:rPr>
        <w:t>дисперсії</w:t>
      </w:r>
      <w:r w:rsidRPr="000977F7">
        <w:rPr>
          <w:rFonts w:asciiTheme="majorHAnsi" w:hAnsiTheme="majorHAnsi"/>
          <w:spacing w:val="-1"/>
          <w:sz w:val="20"/>
          <w:szCs w:val="20"/>
        </w:rPr>
        <w:t xml:space="preserve"> </w:t>
      </w:r>
      <w:r w:rsidRPr="000977F7">
        <w:rPr>
          <w:rFonts w:asciiTheme="majorHAnsi" w:hAnsiTheme="majorHAnsi"/>
          <w:sz w:val="20"/>
          <w:szCs w:val="20"/>
        </w:rPr>
        <w:t>контрольованого параметра</w:t>
      </w:r>
    </w:p>
    <w:p w14:paraId="7281E95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7CE10085"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КОНТРОЛЬНА КАРТА ГРАНИЧНИХ</w:t>
      </w:r>
      <w:r w:rsidRPr="000977F7">
        <w:rPr>
          <w:color w:val="auto"/>
          <w:spacing w:val="-47"/>
          <w:sz w:val="20"/>
          <w:szCs w:val="20"/>
        </w:rPr>
        <w:t xml:space="preserve"> </w:t>
      </w:r>
      <w:r w:rsidRPr="000977F7">
        <w:rPr>
          <w:color w:val="auto"/>
          <w:sz w:val="20"/>
          <w:szCs w:val="20"/>
        </w:rPr>
        <w:t xml:space="preserve">ЗНАЧЕНЬ </w:t>
      </w:r>
      <w:r w:rsidRPr="000977F7">
        <w:rPr>
          <w:b w:val="0"/>
          <w:color w:val="auto"/>
          <w:sz w:val="20"/>
          <w:szCs w:val="20"/>
        </w:rPr>
        <w:t>–</w:t>
      </w:r>
    </w:p>
    <w:p w14:paraId="5EDDF9C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CONTROL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CHART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FOR</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EXTREME VALUES–</w:t>
      </w:r>
    </w:p>
    <w:p w14:paraId="04C362A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Контрольна карта, на яку як значення вибіркової характеристики</w:t>
      </w:r>
      <w:r w:rsidRPr="000977F7">
        <w:rPr>
          <w:rFonts w:asciiTheme="majorHAnsi" w:hAnsiTheme="majorHAnsi"/>
          <w:spacing w:val="1"/>
          <w:sz w:val="20"/>
          <w:szCs w:val="20"/>
        </w:rPr>
        <w:t xml:space="preserve"> </w:t>
      </w:r>
      <w:r w:rsidRPr="000977F7">
        <w:rPr>
          <w:rFonts w:asciiTheme="majorHAnsi" w:hAnsiTheme="majorHAnsi"/>
          <w:sz w:val="20"/>
          <w:szCs w:val="20"/>
        </w:rPr>
        <w:t>наносять</w:t>
      </w:r>
      <w:r w:rsidRPr="000977F7">
        <w:rPr>
          <w:rFonts w:asciiTheme="majorHAnsi" w:hAnsiTheme="majorHAnsi"/>
          <w:spacing w:val="1"/>
          <w:sz w:val="20"/>
          <w:szCs w:val="20"/>
        </w:rPr>
        <w:t xml:space="preserve"> </w:t>
      </w:r>
      <w:r w:rsidRPr="000977F7">
        <w:rPr>
          <w:rFonts w:asciiTheme="majorHAnsi" w:hAnsiTheme="majorHAnsi"/>
          <w:sz w:val="20"/>
          <w:szCs w:val="20"/>
        </w:rPr>
        <w:t>найбільші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найменші</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p>
    <w:p w14:paraId="56ACEFC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КОНТРОЛЬНА</w:t>
      </w:r>
      <w:r w:rsidRPr="000977F7">
        <w:rPr>
          <w:color w:val="auto"/>
          <w:spacing w:val="1"/>
          <w:sz w:val="20"/>
          <w:szCs w:val="20"/>
        </w:rPr>
        <w:t xml:space="preserve"> </w:t>
      </w:r>
      <w:r w:rsidRPr="000977F7">
        <w:rPr>
          <w:color w:val="auto"/>
          <w:sz w:val="20"/>
          <w:szCs w:val="20"/>
        </w:rPr>
        <w:t>КАРТА</w:t>
      </w:r>
      <w:r w:rsidRPr="000977F7">
        <w:rPr>
          <w:color w:val="auto"/>
          <w:spacing w:val="1"/>
          <w:sz w:val="20"/>
          <w:szCs w:val="20"/>
        </w:rPr>
        <w:t xml:space="preserve"> </w:t>
      </w:r>
      <w:r w:rsidRPr="000977F7">
        <w:rPr>
          <w:color w:val="auto"/>
          <w:sz w:val="20"/>
          <w:szCs w:val="20"/>
        </w:rPr>
        <w:t xml:space="preserve">З </w:t>
      </w:r>
    </w:p>
    <w:p w14:paraId="43773481"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ПОПЕРЕДЖУВАЛЬ</w:t>
      </w:r>
      <w:r w:rsidRPr="000977F7">
        <w:rPr>
          <w:color w:val="auto"/>
          <w:spacing w:val="-48"/>
          <w:sz w:val="20"/>
          <w:szCs w:val="20"/>
        </w:rPr>
        <w:t xml:space="preserve"> </w:t>
      </w:r>
      <w:r w:rsidRPr="000977F7">
        <w:rPr>
          <w:color w:val="auto"/>
          <w:sz w:val="20"/>
          <w:szCs w:val="20"/>
        </w:rPr>
        <w:t>НИМИ</w:t>
      </w:r>
      <w:r w:rsidRPr="000977F7">
        <w:rPr>
          <w:color w:val="auto"/>
          <w:spacing w:val="-3"/>
          <w:sz w:val="20"/>
          <w:szCs w:val="20"/>
        </w:rPr>
        <w:t xml:space="preserve"> </w:t>
      </w:r>
      <w:r w:rsidRPr="000977F7">
        <w:rPr>
          <w:color w:val="auto"/>
          <w:sz w:val="20"/>
          <w:szCs w:val="20"/>
        </w:rPr>
        <w:t>МЕЖАМИ</w:t>
      </w:r>
      <w:r w:rsidRPr="000977F7">
        <w:rPr>
          <w:color w:val="auto"/>
          <w:spacing w:val="2"/>
          <w:sz w:val="20"/>
          <w:szCs w:val="20"/>
        </w:rPr>
        <w:t xml:space="preserve"> </w:t>
      </w:r>
      <w:r w:rsidRPr="000977F7">
        <w:rPr>
          <w:b w:val="0"/>
          <w:color w:val="auto"/>
          <w:sz w:val="20"/>
          <w:szCs w:val="20"/>
        </w:rPr>
        <w:t>–</w:t>
      </w:r>
    </w:p>
    <w:p w14:paraId="4F260DD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CONTROL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CHART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WITH</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WARNING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LIMITS-</w:t>
      </w:r>
    </w:p>
    <w:p w14:paraId="01ED7D7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Контрольна карта, що застосовується для статистичного</w:t>
      </w:r>
      <w:r w:rsidRPr="000977F7">
        <w:rPr>
          <w:rFonts w:asciiTheme="majorHAnsi" w:hAnsiTheme="majorHAnsi"/>
          <w:spacing w:val="1"/>
          <w:sz w:val="20"/>
          <w:szCs w:val="20"/>
        </w:rPr>
        <w:t xml:space="preserve"> </w:t>
      </w:r>
      <w:r w:rsidRPr="000977F7">
        <w:rPr>
          <w:rFonts w:asciiTheme="majorHAnsi" w:hAnsiTheme="majorHAnsi"/>
          <w:sz w:val="20"/>
          <w:szCs w:val="20"/>
        </w:rPr>
        <w:t>регулювання</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якій,</w:t>
      </w:r>
      <w:r w:rsidRPr="000977F7">
        <w:rPr>
          <w:rFonts w:asciiTheme="majorHAnsi" w:hAnsiTheme="majorHAnsi"/>
          <w:spacing w:val="-47"/>
          <w:sz w:val="20"/>
          <w:szCs w:val="20"/>
        </w:rPr>
        <w:t xml:space="preserve"> </w:t>
      </w:r>
      <w:r w:rsidRPr="000977F7">
        <w:rPr>
          <w:rFonts w:asciiTheme="majorHAnsi" w:hAnsiTheme="majorHAnsi"/>
          <w:sz w:val="20"/>
          <w:szCs w:val="20"/>
        </w:rPr>
        <w:t>крім границь регулювання, нанесені</w:t>
      </w:r>
      <w:r w:rsidRPr="000977F7">
        <w:rPr>
          <w:rFonts w:asciiTheme="majorHAnsi" w:hAnsiTheme="majorHAnsi"/>
          <w:spacing w:val="1"/>
          <w:sz w:val="20"/>
          <w:szCs w:val="20"/>
        </w:rPr>
        <w:t xml:space="preserve"> </w:t>
      </w:r>
      <w:r w:rsidRPr="000977F7">
        <w:rPr>
          <w:rFonts w:asciiTheme="majorHAnsi" w:hAnsiTheme="majorHAnsi"/>
          <w:sz w:val="20"/>
          <w:szCs w:val="20"/>
        </w:rPr>
        <w:t>і попереджувальні</w:t>
      </w:r>
      <w:r w:rsidRPr="000977F7">
        <w:rPr>
          <w:rFonts w:asciiTheme="majorHAnsi" w:hAnsiTheme="majorHAnsi"/>
          <w:spacing w:val="-2"/>
          <w:sz w:val="20"/>
          <w:szCs w:val="20"/>
        </w:rPr>
        <w:t xml:space="preserve"> </w:t>
      </w:r>
      <w:r w:rsidRPr="000977F7">
        <w:rPr>
          <w:rFonts w:asciiTheme="majorHAnsi" w:hAnsiTheme="majorHAnsi"/>
          <w:sz w:val="20"/>
          <w:szCs w:val="20"/>
        </w:rPr>
        <w:t>границі</w:t>
      </w:r>
    </w:p>
    <w:p w14:paraId="0EF33D5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97</w:t>
      </w:r>
    </w:p>
    <w:p w14:paraId="2483DBF1"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КОНТРОЛЬНА</w:t>
      </w:r>
      <w:r w:rsidRPr="000977F7">
        <w:rPr>
          <w:rFonts w:asciiTheme="majorHAnsi" w:hAnsiTheme="majorHAnsi"/>
          <w:b/>
          <w:spacing w:val="5"/>
          <w:sz w:val="20"/>
          <w:szCs w:val="20"/>
        </w:rPr>
        <w:t xml:space="preserve"> </w:t>
      </w:r>
      <w:r w:rsidRPr="000977F7">
        <w:rPr>
          <w:rFonts w:asciiTheme="majorHAnsi" w:hAnsiTheme="majorHAnsi"/>
          <w:b/>
          <w:sz w:val="20"/>
          <w:szCs w:val="20"/>
        </w:rPr>
        <w:t>КАРТА</w:t>
      </w:r>
      <w:r w:rsidRPr="000977F7">
        <w:rPr>
          <w:rFonts w:asciiTheme="majorHAnsi" w:hAnsiTheme="majorHAnsi"/>
          <w:b/>
          <w:spacing w:val="4"/>
          <w:sz w:val="20"/>
          <w:szCs w:val="20"/>
        </w:rPr>
        <w:t xml:space="preserve"> </w:t>
      </w:r>
      <w:r w:rsidRPr="000977F7">
        <w:rPr>
          <w:rFonts w:asciiTheme="majorHAnsi" w:hAnsiTheme="majorHAnsi"/>
          <w:b/>
          <w:sz w:val="20"/>
          <w:szCs w:val="20"/>
        </w:rPr>
        <w:t>ДЕФЕКТНИХ</w:t>
      </w:r>
      <w:r w:rsidRPr="000977F7">
        <w:rPr>
          <w:rFonts w:asciiTheme="majorHAnsi" w:hAnsiTheme="majorHAnsi"/>
          <w:b/>
          <w:spacing w:val="5"/>
          <w:sz w:val="20"/>
          <w:szCs w:val="20"/>
        </w:rPr>
        <w:t xml:space="preserve"> </w:t>
      </w:r>
      <w:r w:rsidRPr="000977F7">
        <w:rPr>
          <w:rFonts w:asciiTheme="majorHAnsi" w:hAnsiTheme="majorHAnsi"/>
          <w:b/>
          <w:sz w:val="20"/>
          <w:szCs w:val="20"/>
        </w:rPr>
        <w:t>ОДИНИЦЬ</w:t>
      </w:r>
      <w:r w:rsidRPr="000977F7">
        <w:rPr>
          <w:rFonts w:asciiTheme="majorHAnsi" w:hAnsiTheme="majorHAnsi"/>
          <w:b/>
          <w:spacing w:val="-47"/>
          <w:sz w:val="20"/>
          <w:szCs w:val="20"/>
        </w:rPr>
        <w:t xml:space="preserve"> </w:t>
      </w:r>
      <w:r w:rsidRPr="000977F7">
        <w:rPr>
          <w:rFonts w:asciiTheme="majorHAnsi" w:hAnsiTheme="majorHAnsi"/>
          <w:b/>
          <w:sz w:val="20"/>
          <w:szCs w:val="20"/>
        </w:rPr>
        <w:t>ПРОДУКЦІЇ ЧИ КІЛЬКОСТІ ДЕФЕКТІВ –</w:t>
      </w:r>
    </w:p>
    <w:p w14:paraId="719967AB"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4D2D14">
        <w:rPr>
          <w:rFonts w:asciiTheme="majorHAnsi" w:hAnsiTheme="majorHAnsi"/>
          <w:sz w:val="20"/>
          <w:szCs w:val="20"/>
          <w:lang w:val="en-US"/>
        </w:rPr>
        <w:t>CONTROL</w:t>
      </w:r>
      <w:r w:rsidRPr="004D2D14">
        <w:rPr>
          <w:rFonts w:asciiTheme="majorHAnsi" w:hAnsiTheme="majorHAnsi"/>
          <w:spacing w:val="14"/>
          <w:sz w:val="20"/>
          <w:szCs w:val="20"/>
          <w:lang w:val="en-US"/>
        </w:rPr>
        <w:t xml:space="preserve"> </w:t>
      </w:r>
      <w:r w:rsidRPr="004D2D14">
        <w:rPr>
          <w:rFonts w:asciiTheme="majorHAnsi" w:hAnsiTheme="majorHAnsi"/>
          <w:sz w:val="20"/>
          <w:szCs w:val="20"/>
          <w:lang w:val="en-US"/>
        </w:rPr>
        <w:t>CHART</w:t>
      </w:r>
      <w:r w:rsidRPr="004D2D14">
        <w:rPr>
          <w:rFonts w:asciiTheme="majorHAnsi" w:hAnsiTheme="majorHAnsi"/>
          <w:spacing w:val="10"/>
          <w:sz w:val="20"/>
          <w:szCs w:val="20"/>
          <w:lang w:val="en-US"/>
        </w:rPr>
        <w:t xml:space="preserve"> </w:t>
      </w:r>
      <w:r w:rsidRPr="004D2D14">
        <w:rPr>
          <w:rFonts w:asciiTheme="majorHAnsi" w:hAnsiTheme="majorHAnsi"/>
          <w:sz w:val="20"/>
          <w:szCs w:val="20"/>
          <w:lang w:val="en-US"/>
        </w:rPr>
        <w:t>FOR</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NUMBER</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DEFECTS</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OR</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 xml:space="preserve">DEFECTIVES </w:t>
      </w:r>
      <w:r w:rsidRPr="004D2D14">
        <w:rPr>
          <w:rFonts w:asciiTheme="majorHAnsi" w:hAnsiTheme="majorHAnsi"/>
          <w:b/>
          <w:sz w:val="20"/>
          <w:szCs w:val="20"/>
          <w:lang w:val="en-US"/>
        </w:rPr>
        <w:t>–</w:t>
      </w:r>
    </w:p>
    <w:p w14:paraId="252AF1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Контрольна карта, що на неї як значення вибіркової</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характеристики</w:t>
      </w:r>
      <w:r w:rsidRPr="000977F7">
        <w:rPr>
          <w:rFonts w:asciiTheme="majorHAnsi" w:hAnsiTheme="majorHAnsi"/>
          <w:spacing w:val="1"/>
          <w:sz w:val="20"/>
          <w:szCs w:val="20"/>
        </w:rPr>
        <w:t xml:space="preserve"> </w:t>
      </w:r>
      <w:r w:rsidRPr="000977F7">
        <w:rPr>
          <w:rFonts w:asciiTheme="majorHAnsi" w:hAnsiTheme="majorHAnsi"/>
          <w:sz w:val="20"/>
          <w:szCs w:val="20"/>
        </w:rPr>
        <w:t>наносять</w:t>
      </w:r>
      <w:r w:rsidRPr="000977F7">
        <w:rPr>
          <w:rFonts w:asciiTheme="majorHAnsi" w:hAnsiTheme="majorHAnsi"/>
          <w:spacing w:val="1"/>
          <w:sz w:val="20"/>
          <w:szCs w:val="20"/>
        </w:rPr>
        <w:t xml:space="preserve"> </w:t>
      </w:r>
      <w:r w:rsidRPr="000977F7">
        <w:rPr>
          <w:rFonts w:asciiTheme="majorHAnsi" w:hAnsiTheme="majorHAnsi"/>
          <w:sz w:val="20"/>
          <w:szCs w:val="20"/>
        </w:rPr>
        <w:t>кількість</w:t>
      </w:r>
      <w:r w:rsidRPr="000977F7">
        <w:rPr>
          <w:rFonts w:asciiTheme="majorHAnsi" w:hAnsiTheme="majorHAnsi"/>
          <w:spacing w:val="1"/>
          <w:sz w:val="20"/>
          <w:szCs w:val="20"/>
        </w:rPr>
        <w:t xml:space="preserve"> </w:t>
      </w:r>
      <w:r w:rsidRPr="000977F7">
        <w:rPr>
          <w:rFonts w:asciiTheme="majorHAnsi" w:hAnsiTheme="majorHAnsi"/>
          <w:sz w:val="20"/>
          <w:szCs w:val="20"/>
        </w:rPr>
        <w:t>дефектних</w:t>
      </w:r>
      <w:r w:rsidRPr="000977F7">
        <w:rPr>
          <w:rFonts w:asciiTheme="majorHAnsi" w:hAnsiTheme="majorHAnsi"/>
          <w:spacing w:val="1"/>
          <w:sz w:val="20"/>
          <w:szCs w:val="20"/>
        </w:rPr>
        <w:t xml:space="preserve"> </w:t>
      </w:r>
      <w:r w:rsidRPr="000977F7">
        <w:rPr>
          <w:rFonts w:asciiTheme="majorHAnsi" w:hAnsiTheme="majorHAnsi"/>
          <w:sz w:val="20"/>
          <w:szCs w:val="20"/>
        </w:rPr>
        <w:t>одиниць</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r w:rsidRPr="000977F7">
        <w:rPr>
          <w:rFonts w:asciiTheme="majorHAnsi" w:hAnsiTheme="majorHAnsi"/>
          <w:spacing w:val="-2"/>
          <w:sz w:val="20"/>
          <w:szCs w:val="20"/>
        </w:rPr>
        <w:t xml:space="preserve"> </w:t>
      </w:r>
      <w:r w:rsidRPr="000977F7">
        <w:rPr>
          <w:rFonts w:asciiTheme="majorHAnsi" w:hAnsiTheme="majorHAnsi"/>
          <w:sz w:val="20"/>
          <w:szCs w:val="20"/>
        </w:rPr>
        <w:t>чи кількість</w:t>
      </w:r>
      <w:r w:rsidRPr="000977F7">
        <w:rPr>
          <w:rFonts w:asciiTheme="majorHAnsi" w:hAnsiTheme="majorHAnsi"/>
          <w:spacing w:val="-1"/>
          <w:sz w:val="20"/>
          <w:szCs w:val="20"/>
        </w:rPr>
        <w:t xml:space="preserve"> </w:t>
      </w:r>
      <w:r w:rsidRPr="000977F7">
        <w:rPr>
          <w:rFonts w:asciiTheme="majorHAnsi" w:hAnsiTheme="majorHAnsi"/>
          <w:sz w:val="20"/>
          <w:szCs w:val="20"/>
        </w:rPr>
        <w:t>дефектів</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5"/>
          <w:sz w:val="20"/>
          <w:szCs w:val="20"/>
        </w:rPr>
        <w:t xml:space="preserve"> </w:t>
      </w:r>
      <w:r w:rsidRPr="000977F7">
        <w:rPr>
          <w:rFonts w:asciiTheme="majorHAnsi" w:hAnsiTheme="majorHAnsi"/>
          <w:sz w:val="20"/>
          <w:szCs w:val="20"/>
        </w:rPr>
        <w:t>вибірці</w:t>
      </w:r>
    </w:p>
    <w:p w14:paraId="7B6D4E3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2B5E886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2"/>
          <w:sz w:val="20"/>
          <w:szCs w:val="20"/>
        </w:rPr>
        <w:t>КОНТРОЛЬНА</w:t>
      </w:r>
      <w:r w:rsidRPr="000977F7">
        <w:rPr>
          <w:color w:val="auto"/>
          <w:spacing w:val="-10"/>
          <w:sz w:val="20"/>
          <w:szCs w:val="20"/>
        </w:rPr>
        <w:t xml:space="preserve"> </w:t>
      </w:r>
      <w:r w:rsidRPr="000977F7">
        <w:rPr>
          <w:color w:val="auto"/>
          <w:spacing w:val="-1"/>
          <w:sz w:val="20"/>
          <w:szCs w:val="20"/>
        </w:rPr>
        <w:t>КАРТА</w:t>
      </w:r>
      <w:r w:rsidRPr="000977F7">
        <w:rPr>
          <w:color w:val="auto"/>
          <w:spacing w:val="-9"/>
          <w:sz w:val="20"/>
          <w:szCs w:val="20"/>
        </w:rPr>
        <w:t xml:space="preserve"> </w:t>
      </w:r>
      <w:r w:rsidRPr="000977F7">
        <w:rPr>
          <w:color w:val="auto"/>
          <w:spacing w:val="-1"/>
          <w:sz w:val="20"/>
          <w:szCs w:val="20"/>
        </w:rPr>
        <w:t>КУМУЛЯТИВНИХ</w:t>
      </w:r>
      <w:r w:rsidRPr="000977F7">
        <w:rPr>
          <w:color w:val="auto"/>
          <w:spacing w:val="-11"/>
          <w:sz w:val="20"/>
          <w:szCs w:val="20"/>
        </w:rPr>
        <w:t xml:space="preserve"> </w:t>
      </w:r>
      <w:r w:rsidRPr="000977F7">
        <w:rPr>
          <w:color w:val="auto"/>
          <w:spacing w:val="-1"/>
          <w:sz w:val="20"/>
          <w:szCs w:val="20"/>
        </w:rPr>
        <w:t>СУМ</w:t>
      </w:r>
      <w:r w:rsidRPr="000977F7">
        <w:rPr>
          <w:color w:val="auto"/>
          <w:spacing w:val="-6"/>
          <w:sz w:val="20"/>
          <w:szCs w:val="20"/>
        </w:rPr>
        <w:t xml:space="preserve"> </w:t>
      </w:r>
      <w:r w:rsidRPr="000977F7">
        <w:rPr>
          <w:color w:val="auto"/>
          <w:spacing w:val="-1"/>
          <w:sz w:val="20"/>
          <w:szCs w:val="20"/>
        </w:rPr>
        <w:t>–</w:t>
      </w:r>
    </w:p>
    <w:p w14:paraId="64A455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CUSUM CHART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F6567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Контрольна карта, на яку наносять кумулятивні суми</w:t>
      </w:r>
      <w:r w:rsidRPr="000977F7">
        <w:rPr>
          <w:rFonts w:asciiTheme="majorHAnsi" w:hAnsiTheme="majorHAnsi"/>
          <w:spacing w:val="1"/>
          <w:sz w:val="20"/>
          <w:szCs w:val="20"/>
        </w:rPr>
        <w:t xml:space="preserve"> </w:t>
      </w:r>
      <w:r w:rsidRPr="000977F7">
        <w:rPr>
          <w:rFonts w:asciiTheme="majorHAnsi" w:hAnsiTheme="majorHAnsi"/>
          <w:sz w:val="20"/>
          <w:szCs w:val="20"/>
        </w:rPr>
        <w:t>значень</w:t>
      </w:r>
      <w:r w:rsidRPr="000977F7">
        <w:rPr>
          <w:rFonts w:asciiTheme="majorHAnsi" w:hAnsiTheme="majorHAnsi"/>
          <w:spacing w:val="1"/>
          <w:sz w:val="20"/>
          <w:szCs w:val="20"/>
        </w:rPr>
        <w:t xml:space="preserve"> </w:t>
      </w:r>
      <w:r w:rsidRPr="000977F7">
        <w:rPr>
          <w:rFonts w:asciiTheme="majorHAnsi" w:hAnsiTheme="majorHAnsi"/>
          <w:sz w:val="20"/>
          <w:szCs w:val="20"/>
        </w:rPr>
        <w:t>вибіркової</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характеристики контрольованого</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r w:rsidRPr="000977F7">
        <w:rPr>
          <w:rFonts w:asciiTheme="majorHAnsi" w:hAnsiTheme="majorHAnsi"/>
          <w:spacing w:val="-1"/>
          <w:sz w:val="20"/>
          <w:szCs w:val="20"/>
        </w:rPr>
        <w:t xml:space="preserve"> </w:t>
      </w:r>
      <w:r w:rsidRPr="000977F7">
        <w:rPr>
          <w:rFonts w:asciiTheme="majorHAnsi" w:hAnsiTheme="majorHAnsi"/>
          <w:sz w:val="20"/>
          <w:szCs w:val="20"/>
        </w:rPr>
        <w:t>суміжних</w:t>
      </w:r>
      <w:r w:rsidRPr="000977F7">
        <w:rPr>
          <w:rFonts w:asciiTheme="majorHAnsi" w:hAnsiTheme="majorHAnsi"/>
          <w:spacing w:val="-1"/>
          <w:sz w:val="20"/>
          <w:szCs w:val="20"/>
        </w:rPr>
        <w:t xml:space="preserve"> </w:t>
      </w:r>
      <w:r w:rsidRPr="000977F7">
        <w:rPr>
          <w:rFonts w:asciiTheme="majorHAnsi" w:hAnsiTheme="majorHAnsi"/>
          <w:sz w:val="20"/>
          <w:szCs w:val="20"/>
        </w:rPr>
        <w:t>вибірок</w:t>
      </w:r>
    </w:p>
    <w:p w14:paraId="40477C7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3514</w:t>
      </w:r>
      <w:r w:rsidRPr="004D2D14">
        <w:rPr>
          <w:rFonts w:asciiTheme="majorHAnsi" w:hAnsiTheme="majorHAnsi"/>
          <w:i/>
          <w:spacing w:val="-1"/>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4D2D14">
        <w:rPr>
          <w:rFonts w:asciiTheme="majorHAnsi" w:hAnsiTheme="majorHAnsi"/>
          <w:i/>
          <w:sz w:val="20"/>
          <w:szCs w:val="20"/>
          <w:lang w:val="en-US"/>
        </w:rPr>
        <w:t>97</w:t>
      </w:r>
    </w:p>
    <w:p w14:paraId="117EBD8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КОНТРОЛЬНА</w:t>
      </w:r>
      <w:r w:rsidRPr="000977F7">
        <w:rPr>
          <w:color w:val="auto"/>
          <w:spacing w:val="-4"/>
          <w:sz w:val="20"/>
          <w:szCs w:val="20"/>
        </w:rPr>
        <w:t xml:space="preserve"> </w:t>
      </w:r>
      <w:r w:rsidRPr="000977F7">
        <w:rPr>
          <w:color w:val="auto"/>
          <w:sz w:val="20"/>
          <w:szCs w:val="20"/>
        </w:rPr>
        <w:t>КАРТА</w:t>
      </w:r>
      <w:r w:rsidRPr="000977F7">
        <w:rPr>
          <w:color w:val="auto"/>
          <w:spacing w:val="-4"/>
          <w:sz w:val="20"/>
          <w:szCs w:val="20"/>
        </w:rPr>
        <w:t xml:space="preserve"> </w:t>
      </w:r>
      <w:r w:rsidRPr="000977F7">
        <w:rPr>
          <w:color w:val="auto"/>
          <w:sz w:val="20"/>
          <w:szCs w:val="20"/>
        </w:rPr>
        <w:t>МЕДІАН –</w:t>
      </w:r>
    </w:p>
    <w:p w14:paraId="463A4EF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CONTROL</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CHART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FOR</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MEDIANS –</w:t>
      </w:r>
    </w:p>
    <w:p w14:paraId="45F35E6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Контрольна карта, на яку наносять значення вибіркової</w:t>
      </w:r>
      <w:r w:rsidRPr="000977F7">
        <w:rPr>
          <w:rFonts w:asciiTheme="majorHAnsi" w:hAnsiTheme="majorHAnsi"/>
          <w:spacing w:val="-2"/>
          <w:sz w:val="20"/>
          <w:szCs w:val="20"/>
        </w:rPr>
        <w:t xml:space="preserve"> </w:t>
      </w:r>
      <w:r w:rsidRPr="000977F7">
        <w:rPr>
          <w:rFonts w:asciiTheme="majorHAnsi" w:hAnsiTheme="majorHAnsi"/>
          <w:sz w:val="20"/>
          <w:szCs w:val="20"/>
        </w:rPr>
        <w:t>медіани</w:t>
      </w:r>
      <w:r w:rsidRPr="000977F7">
        <w:rPr>
          <w:rFonts w:asciiTheme="majorHAnsi" w:hAnsiTheme="majorHAnsi"/>
          <w:spacing w:val="1"/>
          <w:sz w:val="20"/>
          <w:szCs w:val="20"/>
        </w:rPr>
        <w:t xml:space="preserve"> </w:t>
      </w:r>
      <w:r w:rsidRPr="000977F7">
        <w:rPr>
          <w:rFonts w:asciiTheme="majorHAnsi" w:hAnsiTheme="majorHAnsi"/>
          <w:sz w:val="20"/>
          <w:szCs w:val="20"/>
        </w:rPr>
        <w:t>контрольованого параметра</w:t>
      </w:r>
    </w:p>
    <w:p w14:paraId="247949A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i/>
          <w:sz w:val="20"/>
          <w:szCs w:val="20"/>
        </w:rPr>
        <w:t>97</w:t>
      </w:r>
    </w:p>
    <w:p w14:paraId="5C0B099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КОНТРОЛЬНА</w:t>
      </w:r>
      <w:r w:rsidRPr="000977F7">
        <w:rPr>
          <w:color w:val="auto"/>
          <w:spacing w:val="-8"/>
          <w:sz w:val="20"/>
          <w:szCs w:val="20"/>
        </w:rPr>
        <w:t xml:space="preserve"> </w:t>
      </w:r>
      <w:r w:rsidRPr="000977F7">
        <w:rPr>
          <w:color w:val="auto"/>
          <w:sz w:val="20"/>
          <w:szCs w:val="20"/>
        </w:rPr>
        <w:t>КАРТА</w:t>
      </w:r>
      <w:r w:rsidRPr="000977F7">
        <w:rPr>
          <w:color w:val="auto"/>
          <w:spacing w:val="-8"/>
          <w:sz w:val="20"/>
          <w:szCs w:val="20"/>
        </w:rPr>
        <w:t xml:space="preserve"> </w:t>
      </w:r>
      <w:r w:rsidRPr="000977F7">
        <w:rPr>
          <w:color w:val="auto"/>
          <w:sz w:val="20"/>
          <w:szCs w:val="20"/>
        </w:rPr>
        <w:t>РОЗМАХІВ</w:t>
      </w:r>
      <w:r w:rsidRPr="000977F7">
        <w:rPr>
          <w:color w:val="auto"/>
          <w:spacing w:val="-7"/>
          <w:sz w:val="20"/>
          <w:szCs w:val="20"/>
        </w:rPr>
        <w:t xml:space="preserve"> </w:t>
      </w:r>
      <w:r w:rsidRPr="000977F7">
        <w:rPr>
          <w:color w:val="auto"/>
          <w:sz w:val="20"/>
          <w:szCs w:val="20"/>
        </w:rPr>
        <w:t>(СЕРЕДНІХ</w:t>
      </w:r>
      <w:r w:rsidRPr="000977F7">
        <w:rPr>
          <w:color w:val="auto"/>
          <w:spacing w:val="-47"/>
          <w:sz w:val="20"/>
          <w:szCs w:val="20"/>
        </w:rPr>
        <w:t xml:space="preserve"> </w:t>
      </w:r>
      <w:r w:rsidRPr="000977F7">
        <w:rPr>
          <w:color w:val="auto"/>
          <w:sz w:val="20"/>
          <w:szCs w:val="20"/>
        </w:rPr>
        <w:t>РОЗМАХІВ)</w:t>
      </w:r>
      <w:r w:rsidRPr="000977F7">
        <w:rPr>
          <w:color w:val="auto"/>
          <w:spacing w:val="1"/>
          <w:sz w:val="20"/>
          <w:szCs w:val="20"/>
        </w:rPr>
        <w:t xml:space="preserve"> </w:t>
      </w:r>
      <w:r w:rsidRPr="000977F7">
        <w:rPr>
          <w:color w:val="auto"/>
          <w:sz w:val="20"/>
          <w:szCs w:val="20"/>
        </w:rPr>
        <w:t>–</w:t>
      </w:r>
    </w:p>
    <w:p w14:paraId="2E7AFC9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CONTROL</w:t>
      </w:r>
      <w:r w:rsidRPr="000977F7">
        <w:rPr>
          <w:rFonts w:asciiTheme="majorHAnsi" w:hAnsiTheme="majorHAnsi"/>
          <w:spacing w:val="-4"/>
          <w:sz w:val="20"/>
          <w:szCs w:val="20"/>
        </w:rPr>
        <w:t xml:space="preserve"> </w:t>
      </w:r>
      <w:r w:rsidRPr="000977F7">
        <w:rPr>
          <w:rFonts w:asciiTheme="majorHAnsi" w:hAnsiTheme="majorHAnsi"/>
          <w:sz w:val="20"/>
          <w:szCs w:val="20"/>
        </w:rPr>
        <w:t>CHART</w:t>
      </w:r>
      <w:r w:rsidRPr="000977F7">
        <w:rPr>
          <w:rFonts w:asciiTheme="majorHAnsi" w:hAnsiTheme="majorHAnsi"/>
          <w:spacing w:val="2"/>
          <w:sz w:val="20"/>
          <w:szCs w:val="20"/>
        </w:rPr>
        <w:t xml:space="preserve"> </w:t>
      </w:r>
      <w:r w:rsidRPr="000977F7">
        <w:rPr>
          <w:rFonts w:asciiTheme="majorHAnsi" w:hAnsiTheme="majorHAnsi"/>
          <w:sz w:val="20"/>
          <w:szCs w:val="20"/>
        </w:rPr>
        <w:t>FOR</w:t>
      </w:r>
      <w:r w:rsidRPr="000977F7">
        <w:rPr>
          <w:rFonts w:asciiTheme="majorHAnsi" w:hAnsiTheme="majorHAnsi"/>
          <w:spacing w:val="-2"/>
          <w:sz w:val="20"/>
          <w:szCs w:val="20"/>
        </w:rPr>
        <w:t xml:space="preserve"> </w:t>
      </w:r>
      <w:r w:rsidRPr="000977F7">
        <w:rPr>
          <w:rFonts w:asciiTheme="majorHAnsi" w:hAnsiTheme="majorHAnsi"/>
          <w:sz w:val="20"/>
          <w:szCs w:val="20"/>
        </w:rPr>
        <w:t>RANGES –</w:t>
      </w:r>
    </w:p>
    <w:p w14:paraId="3F38B2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Контрольна карта, на яку наносять значення вибіркового розмаху (середнього розмаху) контрольованого</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p>
    <w:p w14:paraId="7D155E5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i/>
          <w:sz w:val="20"/>
          <w:szCs w:val="20"/>
        </w:rPr>
        <w:t>97</w:t>
      </w:r>
    </w:p>
    <w:p w14:paraId="37D13A1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КОНТРОЛЬНА КАРТА СЕРЕДНІХ </w:t>
      </w:r>
    </w:p>
    <w:p w14:paraId="70ADB82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АРИФМЕТИЧНИХ –</w:t>
      </w:r>
    </w:p>
    <w:p w14:paraId="537E946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CONTROL</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CHART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FOR</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ARITHMETIC</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MEANS –</w:t>
      </w:r>
    </w:p>
    <w:p w14:paraId="3A10CE9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Контрольна карта, на яку наносять значення вибіркового середнього арифметичного контрольованого параметра</w:t>
      </w:r>
    </w:p>
    <w:p w14:paraId="31D1A0F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i/>
          <w:sz w:val="20"/>
          <w:szCs w:val="20"/>
        </w:rPr>
        <w:t>97</w:t>
      </w:r>
    </w:p>
    <w:p w14:paraId="5219DD9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КОНТРОЛЬНА КАРТА СЕРЕДНІХ </w:t>
      </w:r>
    </w:p>
    <w:p w14:paraId="45575907"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КВАДРАТИ</w:t>
      </w:r>
      <w:r w:rsidRPr="000977F7">
        <w:rPr>
          <w:color w:val="auto"/>
          <w:spacing w:val="-47"/>
          <w:sz w:val="20"/>
          <w:szCs w:val="20"/>
        </w:rPr>
        <w:t xml:space="preserve"> </w:t>
      </w:r>
      <w:r w:rsidRPr="000977F7">
        <w:rPr>
          <w:color w:val="auto"/>
          <w:sz w:val="20"/>
          <w:szCs w:val="20"/>
        </w:rPr>
        <w:t>ЧНИХ</w:t>
      </w:r>
      <w:r w:rsidRPr="000977F7">
        <w:rPr>
          <w:color w:val="auto"/>
          <w:spacing w:val="-1"/>
          <w:sz w:val="20"/>
          <w:szCs w:val="20"/>
        </w:rPr>
        <w:t xml:space="preserve"> </w:t>
      </w:r>
      <w:r w:rsidRPr="000977F7">
        <w:rPr>
          <w:color w:val="auto"/>
          <w:sz w:val="20"/>
          <w:szCs w:val="20"/>
        </w:rPr>
        <w:t>ВІДХИЛЕНЬ</w:t>
      </w:r>
      <w:r w:rsidRPr="000977F7">
        <w:rPr>
          <w:color w:val="auto"/>
          <w:spacing w:val="2"/>
          <w:sz w:val="20"/>
          <w:szCs w:val="20"/>
        </w:rPr>
        <w:t xml:space="preserve"> </w:t>
      </w:r>
      <w:r w:rsidRPr="000977F7">
        <w:rPr>
          <w:b w:val="0"/>
          <w:color w:val="auto"/>
          <w:sz w:val="20"/>
          <w:szCs w:val="20"/>
        </w:rPr>
        <w:t>–</w:t>
      </w:r>
    </w:p>
    <w:p w14:paraId="42FF339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CONTROL CHART FOR</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STANDARD</w:t>
      </w:r>
      <w:r w:rsidRPr="004D2D14">
        <w:rPr>
          <w:rFonts w:asciiTheme="majorHAnsi" w:hAnsiTheme="majorHAnsi"/>
          <w:spacing w:val="-48"/>
          <w:sz w:val="20"/>
          <w:szCs w:val="20"/>
          <w:lang w:val="en-US"/>
        </w:rPr>
        <w:t xml:space="preserve"> </w:t>
      </w:r>
      <w:r w:rsidRPr="004D2D14">
        <w:rPr>
          <w:rFonts w:asciiTheme="majorHAnsi" w:hAnsiTheme="majorHAnsi"/>
          <w:sz w:val="20"/>
          <w:szCs w:val="20"/>
          <w:lang w:val="en-US"/>
        </w:rPr>
        <w:t>DEVIATIONS –</w:t>
      </w:r>
    </w:p>
    <w:p w14:paraId="536AFD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Контрольна карта, на яку наносять значення вибіркового</w:t>
      </w:r>
      <w:r w:rsidRPr="000977F7">
        <w:rPr>
          <w:rFonts w:asciiTheme="majorHAnsi" w:hAnsiTheme="majorHAnsi"/>
          <w:spacing w:val="1"/>
          <w:sz w:val="20"/>
          <w:szCs w:val="20"/>
        </w:rPr>
        <w:t xml:space="preserve"> </w:t>
      </w:r>
      <w:r w:rsidRPr="000977F7">
        <w:rPr>
          <w:rFonts w:asciiTheme="majorHAnsi" w:hAnsiTheme="majorHAnsi"/>
          <w:sz w:val="20"/>
          <w:szCs w:val="20"/>
        </w:rPr>
        <w:t>середнього</w:t>
      </w:r>
      <w:r w:rsidRPr="000977F7">
        <w:rPr>
          <w:rFonts w:asciiTheme="majorHAnsi" w:hAnsiTheme="majorHAnsi"/>
          <w:spacing w:val="1"/>
          <w:sz w:val="20"/>
          <w:szCs w:val="20"/>
        </w:rPr>
        <w:t xml:space="preserve"> </w:t>
      </w:r>
      <w:r w:rsidRPr="000977F7">
        <w:rPr>
          <w:rFonts w:asciiTheme="majorHAnsi" w:hAnsiTheme="majorHAnsi"/>
          <w:sz w:val="20"/>
          <w:szCs w:val="20"/>
        </w:rPr>
        <w:t>квадратичного</w:t>
      </w:r>
      <w:r w:rsidRPr="000977F7">
        <w:rPr>
          <w:rFonts w:asciiTheme="majorHAnsi" w:hAnsiTheme="majorHAnsi"/>
          <w:spacing w:val="1"/>
          <w:sz w:val="20"/>
          <w:szCs w:val="20"/>
        </w:rPr>
        <w:t xml:space="preserve"> </w:t>
      </w:r>
      <w:r w:rsidRPr="000977F7">
        <w:rPr>
          <w:rFonts w:asciiTheme="majorHAnsi" w:hAnsiTheme="majorHAnsi"/>
          <w:sz w:val="20"/>
          <w:szCs w:val="20"/>
        </w:rPr>
        <w:t>відхилення</w:t>
      </w:r>
      <w:r w:rsidRPr="000977F7">
        <w:rPr>
          <w:rFonts w:asciiTheme="majorHAnsi" w:hAnsiTheme="majorHAnsi"/>
          <w:spacing w:val="1"/>
          <w:sz w:val="20"/>
          <w:szCs w:val="20"/>
        </w:rPr>
        <w:t xml:space="preserve"> </w:t>
      </w:r>
      <w:r w:rsidRPr="000977F7">
        <w:rPr>
          <w:rFonts w:asciiTheme="majorHAnsi" w:hAnsiTheme="majorHAnsi"/>
          <w:sz w:val="20"/>
          <w:szCs w:val="20"/>
        </w:rPr>
        <w:t>контрольованого параметра</w:t>
      </w:r>
    </w:p>
    <w:p w14:paraId="4A94823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i/>
          <w:sz w:val="20"/>
          <w:szCs w:val="20"/>
        </w:rPr>
        <w:t>97</w:t>
      </w:r>
    </w:p>
    <w:p w14:paraId="3E535F6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КОНТРОЛЬНА</w:t>
      </w:r>
      <w:r w:rsidRPr="000977F7">
        <w:rPr>
          <w:color w:val="auto"/>
          <w:spacing w:val="-5"/>
          <w:sz w:val="20"/>
          <w:szCs w:val="20"/>
        </w:rPr>
        <w:t xml:space="preserve"> </w:t>
      </w:r>
      <w:r w:rsidRPr="000977F7">
        <w:rPr>
          <w:color w:val="auto"/>
          <w:sz w:val="20"/>
          <w:szCs w:val="20"/>
        </w:rPr>
        <w:t>КОПІЯ</w:t>
      </w:r>
      <w:r w:rsidRPr="000977F7">
        <w:rPr>
          <w:color w:val="auto"/>
          <w:spacing w:val="-2"/>
          <w:sz w:val="20"/>
          <w:szCs w:val="20"/>
        </w:rPr>
        <w:t xml:space="preserve"> </w:t>
      </w:r>
      <w:r w:rsidRPr="000977F7">
        <w:rPr>
          <w:color w:val="auto"/>
          <w:sz w:val="20"/>
          <w:szCs w:val="20"/>
        </w:rPr>
        <w:t>–</w:t>
      </w:r>
    </w:p>
    <w:p w14:paraId="1F80B955"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Копія</w:t>
      </w:r>
      <w:r w:rsidRPr="000977F7">
        <w:rPr>
          <w:rFonts w:asciiTheme="majorHAnsi" w:hAnsiTheme="majorHAnsi"/>
          <w:spacing w:val="33"/>
          <w:sz w:val="20"/>
          <w:szCs w:val="20"/>
        </w:rPr>
        <w:t xml:space="preserve"> </w:t>
      </w:r>
      <w:r w:rsidRPr="000977F7">
        <w:rPr>
          <w:rFonts w:asciiTheme="majorHAnsi" w:hAnsiTheme="majorHAnsi"/>
          <w:sz w:val="20"/>
          <w:szCs w:val="20"/>
        </w:rPr>
        <w:t>конструкторського</w:t>
      </w:r>
      <w:r w:rsidRPr="000977F7">
        <w:rPr>
          <w:rFonts w:asciiTheme="majorHAnsi" w:hAnsiTheme="majorHAnsi"/>
          <w:spacing w:val="33"/>
          <w:sz w:val="20"/>
          <w:szCs w:val="20"/>
        </w:rPr>
        <w:t xml:space="preserve"> </w:t>
      </w:r>
      <w:r w:rsidRPr="000977F7">
        <w:rPr>
          <w:rFonts w:asciiTheme="majorHAnsi" w:hAnsiTheme="majorHAnsi"/>
          <w:sz w:val="20"/>
          <w:szCs w:val="20"/>
        </w:rPr>
        <w:t>документа,</w:t>
      </w:r>
      <w:r w:rsidRPr="000977F7">
        <w:rPr>
          <w:rFonts w:asciiTheme="majorHAnsi" w:hAnsiTheme="majorHAnsi"/>
          <w:spacing w:val="34"/>
          <w:sz w:val="20"/>
          <w:szCs w:val="20"/>
        </w:rPr>
        <w:t xml:space="preserve"> </w:t>
      </w:r>
      <w:r w:rsidRPr="000977F7">
        <w:rPr>
          <w:rFonts w:asciiTheme="majorHAnsi" w:hAnsiTheme="majorHAnsi"/>
          <w:sz w:val="20"/>
          <w:szCs w:val="20"/>
        </w:rPr>
        <w:t>призначена</w:t>
      </w:r>
      <w:r w:rsidRPr="000977F7">
        <w:rPr>
          <w:rFonts w:asciiTheme="majorHAnsi" w:hAnsiTheme="majorHAnsi"/>
          <w:spacing w:val="33"/>
          <w:sz w:val="20"/>
          <w:szCs w:val="20"/>
        </w:rPr>
        <w:t xml:space="preserve"> </w:t>
      </w:r>
      <w:r w:rsidRPr="000977F7">
        <w:rPr>
          <w:rFonts w:asciiTheme="majorHAnsi" w:hAnsiTheme="majorHAnsi"/>
          <w:sz w:val="20"/>
          <w:szCs w:val="20"/>
        </w:rPr>
        <w:t>для</w:t>
      </w:r>
      <w:r w:rsidRPr="000977F7">
        <w:rPr>
          <w:rFonts w:asciiTheme="majorHAnsi" w:hAnsiTheme="majorHAnsi"/>
          <w:spacing w:val="-47"/>
          <w:sz w:val="20"/>
          <w:szCs w:val="20"/>
        </w:rPr>
        <w:t xml:space="preserve"> </w:t>
      </w:r>
      <w:r w:rsidRPr="000977F7">
        <w:rPr>
          <w:rFonts w:asciiTheme="majorHAnsi" w:hAnsiTheme="majorHAnsi"/>
          <w:sz w:val="20"/>
          <w:szCs w:val="20"/>
        </w:rPr>
        <w:t>довідок або звіряння конструкторського документа</w:t>
      </w:r>
    </w:p>
    <w:p w14:paraId="2852B87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3321 -</w:t>
      </w:r>
      <w:r w:rsidRPr="004D2D14">
        <w:rPr>
          <w:rFonts w:asciiTheme="majorHAnsi" w:hAnsiTheme="majorHAnsi"/>
          <w:i/>
          <w:spacing w:val="2"/>
          <w:sz w:val="20"/>
          <w:szCs w:val="20"/>
          <w:lang w:val="en-US"/>
        </w:rPr>
        <w:t xml:space="preserve"> </w:t>
      </w:r>
      <w:r w:rsidRPr="004D2D14">
        <w:rPr>
          <w:rFonts w:asciiTheme="majorHAnsi" w:hAnsiTheme="majorHAnsi"/>
          <w:sz w:val="20"/>
          <w:szCs w:val="20"/>
          <w:lang w:val="en-US"/>
        </w:rPr>
        <w:t>2003</w:t>
      </w:r>
    </w:p>
    <w:p w14:paraId="087B64C2" w14:textId="77777777" w:rsidR="0097612F" w:rsidRPr="004D2D14" w:rsidRDefault="0097612F" w:rsidP="000977F7">
      <w:pPr>
        <w:tabs>
          <w:tab w:val="left" w:pos="284"/>
        </w:tabs>
        <w:spacing w:after="0" w:line="240" w:lineRule="auto"/>
        <w:ind w:left="170"/>
        <w:mirrorIndents/>
        <w:jc w:val="both"/>
        <w:rPr>
          <w:rFonts w:asciiTheme="majorHAnsi" w:hAnsiTheme="majorHAnsi"/>
          <w:spacing w:val="-47"/>
          <w:sz w:val="20"/>
          <w:szCs w:val="20"/>
          <w:lang w:val="en-US"/>
        </w:rPr>
      </w:pPr>
      <w:r w:rsidRPr="000977F7">
        <w:rPr>
          <w:rFonts w:asciiTheme="majorHAnsi" w:hAnsiTheme="majorHAnsi"/>
          <w:b/>
          <w:sz w:val="20"/>
          <w:szCs w:val="20"/>
        </w:rPr>
        <w:t>КОНТРОЛЬНА</w:t>
      </w:r>
      <w:r w:rsidRPr="004D2D14">
        <w:rPr>
          <w:rFonts w:asciiTheme="majorHAnsi" w:hAnsiTheme="majorHAnsi"/>
          <w:b/>
          <w:sz w:val="20"/>
          <w:szCs w:val="20"/>
          <w:lang w:val="en-US"/>
        </w:rPr>
        <w:t xml:space="preserve"> </w:t>
      </w:r>
      <w:r w:rsidRPr="000977F7">
        <w:rPr>
          <w:rFonts w:asciiTheme="majorHAnsi" w:hAnsiTheme="majorHAnsi"/>
          <w:b/>
          <w:sz w:val="20"/>
          <w:szCs w:val="20"/>
        </w:rPr>
        <w:t>ТОЧКА</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p>
    <w:p w14:paraId="00D50A72"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POINT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INSPECTION –</w:t>
      </w:r>
    </w:p>
    <w:p w14:paraId="07FE7216"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sz w:val="20"/>
          <w:szCs w:val="20"/>
        </w:rPr>
        <w:t>Місце</w:t>
      </w:r>
      <w:r w:rsidRPr="000977F7">
        <w:rPr>
          <w:rFonts w:asciiTheme="majorHAnsi" w:hAnsiTheme="majorHAnsi"/>
          <w:spacing w:val="28"/>
          <w:sz w:val="20"/>
          <w:szCs w:val="20"/>
        </w:rPr>
        <w:t xml:space="preserve"> </w:t>
      </w:r>
      <w:r w:rsidRPr="000977F7">
        <w:rPr>
          <w:rFonts w:asciiTheme="majorHAnsi" w:hAnsiTheme="majorHAnsi"/>
          <w:sz w:val="20"/>
          <w:szCs w:val="20"/>
        </w:rPr>
        <w:t>розміщення</w:t>
      </w:r>
      <w:r w:rsidRPr="000977F7">
        <w:rPr>
          <w:rFonts w:asciiTheme="majorHAnsi" w:hAnsiTheme="majorHAnsi"/>
          <w:spacing w:val="27"/>
          <w:sz w:val="20"/>
          <w:szCs w:val="20"/>
        </w:rPr>
        <w:t xml:space="preserve"> </w:t>
      </w:r>
      <w:r w:rsidRPr="000977F7">
        <w:rPr>
          <w:rFonts w:asciiTheme="majorHAnsi" w:hAnsiTheme="majorHAnsi"/>
          <w:sz w:val="20"/>
          <w:szCs w:val="20"/>
        </w:rPr>
        <w:t>первинного</w:t>
      </w:r>
      <w:r w:rsidRPr="000977F7">
        <w:rPr>
          <w:rFonts w:asciiTheme="majorHAnsi" w:hAnsiTheme="majorHAnsi"/>
          <w:spacing w:val="28"/>
          <w:sz w:val="20"/>
          <w:szCs w:val="20"/>
        </w:rPr>
        <w:t xml:space="preserve"> </w:t>
      </w:r>
      <w:r w:rsidRPr="000977F7">
        <w:rPr>
          <w:rFonts w:asciiTheme="majorHAnsi" w:hAnsiTheme="majorHAnsi"/>
          <w:sz w:val="20"/>
          <w:szCs w:val="20"/>
        </w:rPr>
        <w:t>джерела</w:t>
      </w:r>
      <w:r w:rsidRPr="000977F7">
        <w:rPr>
          <w:rFonts w:asciiTheme="majorHAnsi" w:hAnsiTheme="majorHAnsi"/>
          <w:spacing w:val="28"/>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47"/>
          <w:sz w:val="20"/>
          <w:szCs w:val="20"/>
        </w:rPr>
        <w:t xml:space="preserve"> </w:t>
      </w:r>
      <w:r w:rsidRPr="000977F7">
        <w:rPr>
          <w:rFonts w:asciiTheme="majorHAnsi" w:hAnsiTheme="majorHAnsi"/>
          <w:sz w:val="20"/>
          <w:szCs w:val="20"/>
        </w:rPr>
        <w:t>про</w:t>
      </w:r>
      <w:r w:rsidRPr="000977F7">
        <w:rPr>
          <w:rFonts w:asciiTheme="majorHAnsi" w:hAnsiTheme="majorHAnsi"/>
          <w:spacing w:val="5"/>
          <w:sz w:val="20"/>
          <w:szCs w:val="20"/>
        </w:rPr>
        <w:t xml:space="preserve"> </w:t>
      </w:r>
      <w:r w:rsidRPr="000977F7">
        <w:rPr>
          <w:rFonts w:asciiTheme="majorHAnsi" w:hAnsiTheme="majorHAnsi"/>
          <w:sz w:val="20"/>
          <w:szCs w:val="20"/>
        </w:rPr>
        <w:t>контрольований</w:t>
      </w:r>
      <w:r w:rsidRPr="000977F7">
        <w:rPr>
          <w:rFonts w:asciiTheme="majorHAnsi" w:hAnsiTheme="majorHAnsi"/>
          <w:spacing w:val="4"/>
          <w:sz w:val="20"/>
          <w:szCs w:val="20"/>
        </w:rPr>
        <w:t xml:space="preserve"> </w:t>
      </w:r>
      <w:r w:rsidRPr="000977F7">
        <w:rPr>
          <w:rFonts w:asciiTheme="majorHAnsi" w:hAnsiTheme="majorHAnsi"/>
          <w:sz w:val="20"/>
          <w:szCs w:val="20"/>
        </w:rPr>
        <w:t>параметр</w:t>
      </w:r>
      <w:r w:rsidRPr="000977F7">
        <w:rPr>
          <w:rFonts w:asciiTheme="majorHAnsi" w:hAnsiTheme="majorHAnsi"/>
          <w:spacing w:val="5"/>
          <w:sz w:val="20"/>
          <w:szCs w:val="20"/>
        </w:rPr>
        <w:t xml:space="preserve"> </w:t>
      </w:r>
      <w:r w:rsidRPr="000977F7">
        <w:rPr>
          <w:rFonts w:asciiTheme="majorHAnsi" w:hAnsiTheme="majorHAnsi"/>
          <w:sz w:val="20"/>
          <w:szCs w:val="20"/>
        </w:rPr>
        <w:t>об’єкта</w:t>
      </w:r>
      <w:r w:rsidRPr="000977F7">
        <w:rPr>
          <w:rFonts w:asciiTheme="majorHAnsi" w:hAnsiTheme="majorHAnsi"/>
          <w:spacing w:val="7"/>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p>
    <w:p w14:paraId="476B721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3021 – 91; ДСТУ 2389 – 94</w:t>
      </w:r>
    </w:p>
    <w:p w14:paraId="00048EE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КОНТРОЛЬНИЙ ЗРАЗОК</w:t>
      </w:r>
      <w:r w:rsidRPr="000977F7">
        <w:rPr>
          <w:rFonts w:asciiTheme="majorHAnsi" w:hAnsiTheme="majorHAnsi"/>
          <w:b/>
          <w:spacing w:val="3"/>
          <w:sz w:val="20"/>
          <w:szCs w:val="20"/>
        </w:rPr>
        <w:t xml:space="preserve"> </w:t>
      </w:r>
      <w:r w:rsidRPr="000977F7">
        <w:rPr>
          <w:rFonts w:asciiTheme="majorHAnsi" w:hAnsiTheme="majorHAnsi"/>
          <w:sz w:val="20"/>
          <w:szCs w:val="20"/>
        </w:rPr>
        <w:t>–</w:t>
      </w:r>
    </w:p>
    <w:p w14:paraId="49EAC1B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REFERENCE</w:t>
      </w:r>
      <w:r w:rsidRPr="000977F7">
        <w:rPr>
          <w:rFonts w:asciiTheme="majorHAnsi" w:hAnsiTheme="majorHAnsi"/>
          <w:spacing w:val="-3"/>
          <w:sz w:val="20"/>
          <w:szCs w:val="20"/>
        </w:rPr>
        <w:t xml:space="preserve"> </w:t>
      </w:r>
      <w:r w:rsidRPr="000977F7">
        <w:rPr>
          <w:rFonts w:asciiTheme="majorHAnsi" w:hAnsiTheme="majorHAnsi"/>
          <w:sz w:val="20"/>
          <w:szCs w:val="20"/>
        </w:rPr>
        <w:t>SPECIMEN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E1600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Одиниця продукції чи її частина, або проба, затверджені в установленому порядку, </w:t>
      </w:r>
      <w:r w:rsidRPr="000977F7">
        <w:rPr>
          <w:rFonts w:asciiTheme="majorHAnsi" w:hAnsiTheme="majorHAnsi"/>
          <w:sz w:val="20"/>
          <w:szCs w:val="20"/>
        </w:rPr>
        <w:lastRenderedPageBreak/>
        <w:t>характеристики яких</w:t>
      </w:r>
      <w:r w:rsidRPr="000977F7">
        <w:rPr>
          <w:rFonts w:asciiTheme="majorHAnsi" w:hAnsiTheme="majorHAnsi"/>
          <w:spacing w:val="1"/>
          <w:sz w:val="20"/>
          <w:szCs w:val="20"/>
        </w:rPr>
        <w:t xml:space="preserve"> </w:t>
      </w:r>
      <w:r w:rsidRPr="000977F7">
        <w:rPr>
          <w:rFonts w:asciiTheme="majorHAnsi" w:hAnsiTheme="majorHAnsi"/>
          <w:sz w:val="20"/>
          <w:szCs w:val="20"/>
        </w:rPr>
        <w:t>прийняті за основу під час виготовлення та контролю</w:t>
      </w:r>
      <w:r w:rsidRPr="000977F7">
        <w:rPr>
          <w:rFonts w:asciiTheme="majorHAnsi" w:hAnsiTheme="majorHAnsi"/>
          <w:spacing w:val="1"/>
          <w:sz w:val="20"/>
          <w:szCs w:val="20"/>
        </w:rPr>
        <w:t xml:space="preserve"> </w:t>
      </w:r>
      <w:r w:rsidRPr="000977F7">
        <w:rPr>
          <w:rFonts w:asciiTheme="majorHAnsi" w:hAnsiTheme="majorHAnsi"/>
          <w:sz w:val="20"/>
          <w:szCs w:val="20"/>
        </w:rPr>
        <w:t>такої</w:t>
      </w:r>
      <w:r w:rsidRPr="000977F7">
        <w:rPr>
          <w:rFonts w:asciiTheme="majorHAnsi" w:hAnsiTheme="majorHAnsi"/>
          <w:spacing w:val="-2"/>
          <w:sz w:val="20"/>
          <w:szCs w:val="20"/>
        </w:rPr>
        <w:t xml:space="preserve"> </w:t>
      </w:r>
      <w:r w:rsidRPr="000977F7">
        <w:rPr>
          <w:rFonts w:asciiTheme="majorHAnsi" w:hAnsiTheme="majorHAnsi"/>
          <w:sz w:val="20"/>
          <w:szCs w:val="20"/>
        </w:rPr>
        <w:t>ж</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3D1ACB0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 95;</w:t>
      </w:r>
      <w:r w:rsidRPr="000977F7">
        <w:rPr>
          <w:rFonts w:asciiTheme="majorHAnsi" w:hAnsiTheme="majorHAnsi"/>
          <w:i/>
          <w:spacing w:val="-2"/>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7EBDAA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КОНУСОПОДІБНІСТЬ</w:t>
      </w:r>
      <w:r w:rsidRPr="000977F7">
        <w:rPr>
          <w:color w:val="auto"/>
          <w:spacing w:val="-3"/>
          <w:sz w:val="20"/>
          <w:szCs w:val="20"/>
        </w:rPr>
        <w:t xml:space="preserve"> </w:t>
      </w:r>
      <w:r w:rsidRPr="000977F7">
        <w:rPr>
          <w:color w:val="auto"/>
          <w:sz w:val="20"/>
          <w:szCs w:val="20"/>
        </w:rPr>
        <w:t>–</w:t>
      </w:r>
    </w:p>
    <w:p w14:paraId="3E30365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Дефект</w:t>
      </w:r>
      <w:r w:rsidRPr="000977F7">
        <w:rPr>
          <w:rFonts w:asciiTheme="majorHAnsi" w:hAnsiTheme="majorHAnsi"/>
          <w:spacing w:val="-8"/>
          <w:sz w:val="20"/>
          <w:szCs w:val="20"/>
        </w:rPr>
        <w:t xml:space="preserve"> </w:t>
      </w:r>
      <w:r w:rsidRPr="000977F7">
        <w:rPr>
          <w:rFonts w:asciiTheme="majorHAnsi" w:hAnsiTheme="majorHAnsi"/>
          <w:sz w:val="20"/>
          <w:szCs w:val="20"/>
        </w:rPr>
        <w:t>обробки</w:t>
      </w:r>
      <w:r w:rsidRPr="000977F7">
        <w:rPr>
          <w:rFonts w:asciiTheme="majorHAnsi" w:hAnsiTheme="majorHAnsi"/>
          <w:spacing w:val="-8"/>
          <w:sz w:val="20"/>
          <w:szCs w:val="20"/>
        </w:rPr>
        <w:t xml:space="preserve"> </w:t>
      </w:r>
      <w:r w:rsidRPr="000977F7">
        <w:rPr>
          <w:rFonts w:asciiTheme="majorHAnsi" w:hAnsiTheme="majorHAnsi"/>
          <w:sz w:val="20"/>
          <w:szCs w:val="20"/>
        </w:rPr>
        <w:t>циліндричної</w:t>
      </w:r>
      <w:r w:rsidRPr="000977F7">
        <w:rPr>
          <w:rFonts w:asciiTheme="majorHAnsi" w:hAnsiTheme="majorHAnsi"/>
          <w:spacing w:val="-7"/>
          <w:sz w:val="20"/>
          <w:szCs w:val="20"/>
        </w:rPr>
        <w:t xml:space="preserve"> </w:t>
      </w:r>
      <w:r w:rsidRPr="000977F7">
        <w:rPr>
          <w:rFonts w:asciiTheme="majorHAnsi" w:hAnsiTheme="majorHAnsi"/>
          <w:sz w:val="20"/>
          <w:szCs w:val="20"/>
        </w:rPr>
        <w:t>деталі,</w:t>
      </w:r>
      <w:r w:rsidRPr="000977F7">
        <w:rPr>
          <w:rFonts w:asciiTheme="majorHAnsi" w:hAnsiTheme="majorHAnsi"/>
          <w:spacing w:val="-7"/>
          <w:sz w:val="20"/>
          <w:szCs w:val="20"/>
        </w:rPr>
        <w:t xml:space="preserve"> </w:t>
      </w:r>
      <w:r w:rsidRPr="000977F7">
        <w:rPr>
          <w:rFonts w:asciiTheme="majorHAnsi" w:hAnsiTheme="majorHAnsi"/>
          <w:sz w:val="20"/>
          <w:szCs w:val="20"/>
        </w:rPr>
        <w:t>при</w:t>
      </w:r>
      <w:r w:rsidRPr="000977F7">
        <w:rPr>
          <w:rFonts w:asciiTheme="majorHAnsi" w:hAnsiTheme="majorHAnsi"/>
          <w:spacing w:val="-7"/>
          <w:sz w:val="20"/>
          <w:szCs w:val="20"/>
        </w:rPr>
        <w:t xml:space="preserve"> </w:t>
      </w:r>
      <w:r w:rsidRPr="000977F7">
        <w:rPr>
          <w:rFonts w:asciiTheme="majorHAnsi" w:hAnsiTheme="majorHAnsi"/>
          <w:sz w:val="20"/>
          <w:szCs w:val="20"/>
        </w:rPr>
        <w:t>якому</w:t>
      </w:r>
      <w:r w:rsidRPr="000977F7">
        <w:rPr>
          <w:rFonts w:asciiTheme="majorHAnsi" w:hAnsiTheme="majorHAnsi"/>
          <w:spacing w:val="-8"/>
          <w:sz w:val="20"/>
          <w:szCs w:val="20"/>
        </w:rPr>
        <w:t xml:space="preserve"> </w:t>
      </w:r>
      <w:r w:rsidRPr="000977F7">
        <w:rPr>
          <w:rFonts w:asciiTheme="majorHAnsi" w:hAnsiTheme="majorHAnsi"/>
          <w:sz w:val="20"/>
          <w:szCs w:val="20"/>
        </w:rPr>
        <w:t>діаметри на торцях не однакові і твірні лінії не паралельні</w:t>
      </w:r>
    </w:p>
    <w:p w14:paraId="5AA0D914"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КОНФІГУРАЦІЯ</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67B4C6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CONFIGURATION</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1D36E91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Розташування елементів системи</w:t>
      </w:r>
    </w:p>
    <w:p w14:paraId="5E97DB36"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КОНТРОЛЬНИЙ НОРМАТИВ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02C17CA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ACCEPTABILITY</w:t>
      </w:r>
      <w:r w:rsidRPr="000977F7">
        <w:rPr>
          <w:rFonts w:asciiTheme="majorHAnsi" w:hAnsiTheme="majorHAnsi"/>
          <w:spacing w:val="-2"/>
          <w:sz w:val="20"/>
          <w:szCs w:val="20"/>
        </w:rPr>
        <w:t xml:space="preserve"> </w:t>
      </w:r>
      <w:r w:rsidRPr="000977F7">
        <w:rPr>
          <w:rFonts w:asciiTheme="majorHAnsi" w:hAnsiTheme="majorHAnsi"/>
          <w:sz w:val="20"/>
          <w:szCs w:val="20"/>
        </w:rPr>
        <w:t>CONSTANT</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53D740C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Мінімальне</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50"/>
          <w:sz w:val="20"/>
          <w:szCs w:val="20"/>
        </w:rPr>
        <w:t xml:space="preserve"> </w:t>
      </w:r>
      <w:r w:rsidRPr="000977F7">
        <w:rPr>
          <w:rFonts w:asciiTheme="majorHAnsi" w:hAnsiTheme="majorHAnsi"/>
          <w:sz w:val="20"/>
          <w:szCs w:val="20"/>
        </w:rPr>
        <w:t>максимальне</w:t>
      </w:r>
      <w:r w:rsidRPr="000977F7">
        <w:rPr>
          <w:rFonts w:asciiTheme="majorHAnsi" w:hAnsiTheme="majorHAnsi"/>
          <w:spacing w:val="50"/>
          <w:sz w:val="20"/>
          <w:szCs w:val="20"/>
        </w:rPr>
        <w:t xml:space="preserve"> </w:t>
      </w:r>
      <w:r w:rsidRPr="000977F7">
        <w:rPr>
          <w:rFonts w:asciiTheme="majorHAnsi" w:hAnsiTheme="majorHAnsi"/>
          <w:sz w:val="20"/>
          <w:szCs w:val="20"/>
        </w:rPr>
        <w:t>значення,</w:t>
      </w:r>
      <w:r w:rsidRPr="000977F7">
        <w:rPr>
          <w:rFonts w:asciiTheme="majorHAnsi" w:hAnsiTheme="majorHAnsi"/>
          <w:spacing w:val="50"/>
          <w:sz w:val="20"/>
          <w:szCs w:val="20"/>
        </w:rPr>
        <w:t xml:space="preserve"> </w:t>
      </w:r>
      <w:r w:rsidRPr="000977F7">
        <w:rPr>
          <w:rFonts w:asciiTheme="majorHAnsi" w:hAnsiTheme="majorHAnsi"/>
          <w:sz w:val="20"/>
          <w:szCs w:val="20"/>
        </w:rPr>
        <w:t>встановлене</w:t>
      </w:r>
      <w:r w:rsidRPr="000977F7">
        <w:rPr>
          <w:rFonts w:asciiTheme="majorHAnsi" w:hAnsiTheme="majorHAnsi"/>
          <w:spacing w:val="-47"/>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нормативній</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документації,</w:t>
      </w:r>
      <w:r w:rsidRPr="000977F7">
        <w:rPr>
          <w:rFonts w:asciiTheme="majorHAnsi" w:hAnsiTheme="majorHAnsi"/>
          <w:spacing w:val="1"/>
          <w:sz w:val="20"/>
          <w:szCs w:val="20"/>
        </w:rPr>
        <w:t xml:space="preserve"> </w:t>
      </w:r>
      <w:r w:rsidRPr="000977F7">
        <w:rPr>
          <w:rFonts w:asciiTheme="majorHAnsi" w:hAnsiTheme="majorHAnsi"/>
          <w:sz w:val="20"/>
          <w:szCs w:val="20"/>
        </w:rPr>
        <w:t>яке</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критерієм</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прийняття рішення за результатами вибіркового контролю</w:t>
      </w:r>
      <w:r w:rsidRPr="000977F7">
        <w:rPr>
          <w:rFonts w:asciiTheme="majorHAnsi" w:hAnsiTheme="majorHAnsi"/>
          <w:spacing w:val="1"/>
          <w:sz w:val="20"/>
          <w:szCs w:val="20"/>
        </w:rPr>
        <w:t xml:space="preserve"> </w:t>
      </w:r>
      <w:r w:rsidRPr="000977F7">
        <w:rPr>
          <w:rFonts w:asciiTheme="majorHAnsi" w:hAnsiTheme="majorHAnsi"/>
          <w:sz w:val="20"/>
          <w:szCs w:val="20"/>
        </w:rPr>
        <w:t>стосовно</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встановленим</w:t>
      </w:r>
      <w:r w:rsidRPr="000977F7">
        <w:rPr>
          <w:rFonts w:asciiTheme="majorHAnsi" w:hAnsiTheme="majorHAnsi"/>
          <w:spacing w:val="6"/>
          <w:sz w:val="20"/>
          <w:szCs w:val="20"/>
        </w:rPr>
        <w:t xml:space="preserve"> </w:t>
      </w:r>
      <w:r w:rsidRPr="000977F7">
        <w:rPr>
          <w:rFonts w:asciiTheme="majorHAnsi" w:hAnsiTheme="majorHAnsi"/>
          <w:sz w:val="20"/>
          <w:szCs w:val="20"/>
        </w:rPr>
        <w:t>вимогам</w:t>
      </w:r>
    </w:p>
    <w:p w14:paraId="03DCB15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 – 97</w:t>
      </w:r>
    </w:p>
    <w:p w14:paraId="448B428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КОНТРОЛЬНИЙ</w:t>
      </w:r>
      <w:r w:rsidRPr="000977F7">
        <w:rPr>
          <w:color w:val="auto"/>
          <w:spacing w:val="-5"/>
          <w:sz w:val="20"/>
          <w:szCs w:val="20"/>
        </w:rPr>
        <w:t xml:space="preserve"> </w:t>
      </w:r>
      <w:r w:rsidRPr="000977F7">
        <w:rPr>
          <w:color w:val="auto"/>
          <w:sz w:val="20"/>
          <w:szCs w:val="20"/>
        </w:rPr>
        <w:t>ПРИКЛАД</w:t>
      </w:r>
      <w:r w:rsidRPr="000977F7">
        <w:rPr>
          <w:color w:val="auto"/>
          <w:spacing w:val="-2"/>
          <w:sz w:val="20"/>
          <w:szCs w:val="20"/>
        </w:rPr>
        <w:t xml:space="preserve"> </w:t>
      </w:r>
      <w:r w:rsidRPr="000977F7">
        <w:rPr>
          <w:color w:val="auto"/>
          <w:sz w:val="20"/>
          <w:szCs w:val="20"/>
        </w:rPr>
        <w:t>–</w:t>
      </w:r>
    </w:p>
    <w:p w14:paraId="2D84D1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вхідних сигналів, які необхідно подати на</w:t>
      </w:r>
      <w:r w:rsidRPr="000977F7">
        <w:rPr>
          <w:rFonts w:asciiTheme="majorHAnsi" w:hAnsiTheme="majorHAnsi"/>
          <w:spacing w:val="1"/>
          <w:sz w:val="20"/>
          <w:szCs w:val="20"/>
        </w:rPr>
        <w:t xml:space="preserve"> </w:t>
      </w:r>
      <w:r w:rsidRPr="000977F7">
        <w:rPr>
          <w:rFonts w:asciiTheme="majorHAnsi" w:hAnsiTheme="majorHAnsi"/>
          <w:sz w:val="20"/>
          <w:szCs w:val="20"/>
        </w:rPr>
        <w:t>вхід об’єкта, і сукупність вихідних даних, які повинні</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2"/>
          <w:sz w:val="20"/>
          <w:szCs w:val="20"/>
        </w:rPr>
        <w:t xml:space="preserve"> </w:t>
      </w:r>
      <w:r w:rsidRPr="000977F7">
        <w:rPr>
          <w:rFonts w:asciiTheme="majorHAnsi" w:hAnsiTheme="majorHAnsi"/>
          <w:sz w:val="20"/>
          <w:szCs w:val="20"/>
        </w:rPr>
        <w:t>сформовані</w:t>
      </w:r>
      <w:r w:rsidRPr="000977F7">
        <w:rPr>
          <w:rFonts w:asciiTheme="majorHAnsi" w:hAnsiTheme="majorHAnsi"/>
          <w:spacing w:val="-1"/>
          <w:sz w:val="20"/>
          <w:szCs w:val="20"/>
        </w:rPr>
        <w:t xml:space="preserve"> </w:t>
      </w:r>
      <w:r w:rsidRPr="000977F7">
        <w:rPr>
          <w:rFonts w:asciiTheme="majorHAnsi" w:hAnsiTheme="majorHAnsi"/>
          <w:sz w:val="20"/>
          <w:szCs w:val="20"/>
        </w:rPr>
        <w:t>об’єктом</w:t>
      </w:r>
    </w:p>
    <w:p w14:paraId="5B6D758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 </w:t>
      </w:r>
      <w:r w:rsidRPr="000977F7">
        <w:rPr>
          <w:rFonts w:asciiTheme="majorHAnsi" w:hAnsiTheme="majorHAnsi"/>
          <w:i/>
          <w:sz w:val="20"/>
          <w:szCs w:val="20"/>
        </w:rPr>
        <w:t>94</w:t>
      </w:r>
    </w:p>
    <w:p w14:paraId="11428A0C"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КОНТРОЛЬНІ</w:t>
      </w:r>
      <w:r w:rsidRPr="000977F7">
        <w:rPr>
          <w:color w:val="auto"/>
          <w:spacing w:val="-6"/>
          <w:sz w:val="20"/>
          <w:szCs w:val="20"/>
        </w:rPr>
        <w:t xml:space="preserve"> </w:t>
      </w:r>
      <w:r w:rsidRPr="000977F7">
        <w:rPr>
          <w:color w:val="auto"/>
          <w:sz w:val="20"/>
          <w:szCs w:val="20"/>
        </w:rPr>
        <w:t>ВИПРОБУВАННЯ</w:t>
      </w:r>
      <w:r w:rsidRPr="000977F7">
        <w:rPr>
          <w:color w:val="auto"/>
          <w:spacing w:val="-2"/>
          <w:sz w:val="20"/>
          <w:szCs w:val="20"/>
        </w:rPr>
        <w:t xml:space="preserve"> </w:t>
      </w:r>
      <w:r w:rsidRPr="000977F7">
        <w:rPr>
          <w:b w:val="0"/>
          <w:color w:val="auto"/>
          <w:sz w:val="20"/>
          <w:szCs w:val="20"/>
        </w:rPr>
        <w:t>–</w:t>
      </w:r>
    </w:p>
    <w:p w14:paraId="40B6A535"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CHECK</w:t>
      </w:r>
      <w:r w:rsidRPr="000977F7">
        <w:rPr>
          <w:b w:val="0"/>
          <w:bCs/>
          <w:color w:val="auto"/>
          <w:spacing w:val="-2"/>
          <w:sz w:val="20"/>
          <w:szCs w:val="20"/>
        </w:rPr>
        <w:t xml:space="preserve"> </w:t>
      </w:r>
      <w:r w:rsidRPr="000977F7">
        <w:rPr>
          <w:b w:val="0"/>
          <w:bCs/>
          <w:color w:val="auto"/>
          <w:sz w:val="20"/>
          <w:szCs w:val="20"/>
        </w:rPr>
        <w:t>TEST –</w:t>
      </w:r>
    </w:p>
    <w:p w14:paraId="39ECBA9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які проводяться для контролю якості</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49BF38F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47F9ADE7" w14:textId="77777777" w:rsidR="0097612F" w:rsidRPr="000977F7" w:rsidRDefault="0097612F" w:rsidP="000977F7">
      <w:pPr>
        <w:pStyle w:val="7"/>
        <w:tabs>
          <w:tab w:val="left" w:pos="284"/>
        </w:tabs>
        <w:spacing w:before="0" w:line="240" w:lineRule="auto"/>
        <w:ind w:left="170"/>
        <w:mirrorIndents/>
        <w:jc w:val="both"/>
        <w:rPr>
          <w:color w:val="auto"/>
          <w:spacing w:val="20"/>
          <w:sz w:val="20"/>
          <w:szCs w:val="20"/>
        </w:rPr>
      </w:pPr>
      <w:r w:rsidRPr="000977F7">
        <w:rPr>
          <w:color w:val="auto"/>
          <w:sz w:val="20"/>
          <w:szCs w:val="20"/>
        </w:rPr>
        <w:t>КОНТРОЛЬНІ</w:t>
      </w:r>
      <w:r w:rsidRPr="000977F7">
        <w:rPr>
          <w:color w:val="auto"/>
          <w:spacing w:val="19"/>
          <w:sz w:val="20"/>
          <w:szCs w:val="20"/>
        </w:rPr>
        <w:t xml:space="preserve"> </w:t>
      </w:r>
      <w:r w:rsidRPr="000977F7">
        <w:rPr>
          <w:color w:val="auto"/>
          <w:sz w:val="20"/>
          <w:szCs w:val="20"/>
        </w:rPr>
        <w:t>ВИПРОБУВАННЯ</w:t>
      </w:r>
      <w:r w:rsidRPr="000977F7">
        <w:rPr>
          <w:color w:val="auto"/>
          <w:spacing w:val="20"/>
          <w:sz w:val="20"/>
          <w:szCs w:val="20"/>
        </w:rPr>
        <w:t xml:space="preserve"> </w:t>
      </w:r>
      <w:r w:rsidRPr="000977F7">
        <w:rPr>
          <w:color w:val="auto"/>
          <w:sz w:val="20"/>
          <w:szCs w:val="20"/>
        </w:rPr>
        <w:t>НА</w:t>
      </w:r>
      <w:r w:rsidRPr="000977F7">
        <w:rPr>
          <w:color w:val="auto"/>
          <w:spacing w:val="20"/>
          <w:sz w:val="20"/>
          <w:szCs w:val="20"/>
        </w:rPr>
        <w:t xml:space="preserve"> </w:t>
      </w:r>
    </w:p>
    <w:p w14:paraId="5091640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НАДІЙ</w:t>
      </w:r>
      <w:r w:rsidRPr="000977F7">
        <w:rPr>
          <w:color w:val="auto"/>
          <w:spacing w:val="-47"/>
          <w:sz w:val="20"/>
          <w:szCs w:val="20"/>
        </w:rPr>
        <w:t xml:space="preserve"> </w:t>
      </w:r>
      <w:r w:rsidRPr="000977F7">
        <w:rPr>
          <w:color w:val="auto"/>
          <w:sz w:val="20"/>
          <w:szCs w:val="20"/>
        </w:rPr>
        <w:t>НІСТЬ</w:t>
      </w:r>
      <w:r w:rsidRPr="000977F7">
        <w:rPr>
          <w:color w:val="auto"/>
          <w:spacing w:val="-1"/>
          <w:sz w:val="20"/>
          <w:szCs w:val="20"/>
        </w:rPr>
        <w:t xml:space="preserve"> </w:t>
      </w:r>
      <w:r w:rsidRPr="000977F7">
        <w:rPr>
          <w:color w:val="auto"/>
          <w:sz w:val="20"/>
          <w:szCs w:val="20"/>
        </w:rPr>
        <w:t>–</w:t>
      </w:r>
    </w:p>
    <w:p w14:paraId="74B6B2E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COMPLIANCE</w:t>
      </w:r>
      <w:r w:rsidRPr="004D2D14">
        <w:rPr>
          <w:rFonts w:asciiTheme="majorHAnsi" w:hAnsiTheme="majorHAnsi"/>
          <w:spacing w:val="-3"/>
          <w:sz w:val="20"/>
          <w:szCs w:val="20"/>
          <w:lang w:val="uk-UA"/>
        </w:rPr>
        <w:t xml:space="preserve"> </w:t>
      </w:r>
      <w:r w:rsidRPr="000977F7">
        <w:rPr>
          <w:rFonts w:asciiTheme="majorHAnsi" w:hAnsiTheme="majorHAnsi"/>
          <w:sz w:val="20"/>
          <w:szCs w:val="20"/>
        </w:rPr>
        <w:t>DEPENDABILITY</w:t>
      </w:r>
      <w:r w:rsidRPr="004D2D14">
        <w:rPr>
          <w:rFonts w:asciiTheme="majorHAnsi" w:hAnsiTheme="majorHAnsi"/>
          <w:spacing w:val="-5"/>
          <w:sz w:val="20"/>
          <w:szCs w:val="20"/>
          <w:lang w:val="uk-UA"/>
        </w:rPr>
        <w:t xml:space="preserve"> </w:t>
      </w:r>
      <w:r w:rsidRPr="000977F7">
        <w:rPr>
          <w:rFonts w:asciiTheme="majorHAnsi" w:hAnsiTheme="majorHAnsi"/>
          <w:sz w:val="20"/>
          <w:szCs w:val="20"/>
        </w:rPr>
        <w:t>TEST</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p>
    <w:p w14:paraId="1FFA7D1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Випробування, які виконують для контролю за показниками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надійності</w:t>
      </w:r>
    </w:p>
    <w:p w14:paraId="679DE3A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2860</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2F3340A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RELIABILITY</w:t>
      </w:r>
      <w:r w:rsidRPr="004D2D14">
        <w:rPr>
          <w:rFonts w:asciiTheme="majorHAnsi" w:hAnsiTheme="majorHAnsi"/>
          <w:spacing w:val="-4"/>
          <w:sz w:val="20"/>
          <w:szCs w:val="20"/>
          <w:lang w:val="uk-UA"/>
        </w:rPr>
        <w:t xml:space="preserve"> </w:t>
      </w:r>
      <w:r w:rsidRPr="000977F7">
        <w:rPr>
          <w:rFonts w:asciiTheme="majorHAnsi" w:hAnsiTheme="majorHAnsi"/>
          <w:sz w:val="20"/>
          <w:szCs w:val="20"/>
        </w:rPr>
        <w:t>COMPLIANCE</w:t>
      </w:r>
      <w:r w:rsidRPr="004D2D14">
        <w:rPr>
          <w:rFonts w:asciiTheme="majorHAnsi" w:hAnsiTheme="majorHAnsi"/>
          <w:spacing w:val="-3"/>
          <w:sz w:val="20"/>
          <w:szCs w:val="20"/>
          <w:lang w:val="uk-UA"/>
        </w:rPr>
        <w:t xml:space="preserve"> </w:t>
      </w:r>
      <w:r w:rsidRPr="000977F7">
        <w:rPr>
          <w:rFonts w:asciiTheme="majorHAnsi" w:hAnsiTheme="majorHAnsi"/>
          <w:sz w:val="20"/>
          <w:szCs w:val="20"/>
        </w:rPr>
        <w:t>TEST</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w:t>
      </w:r>
    </w:p>
    <w:p w14:paraId="5C442F5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Експеримент, що проводиться для перевірки відповідності значення показника надійності виробу встановленим вимогам</w:t>
      </w:r>
    </w:p>
    <w:p w14:paraId="3ED9134B"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3021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95</w:t>
      </w:r>
    </w:p>
    <w:p w14:paraId="28C5F34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КОНТРОЛЬОВАНА</w:t>
      </w:r>
      <w:r w:rsidRPr="000977F7">
        <w:rPr>
          <w:color w:val="auto"/>
          <w:spacing w:val="-5"/>
          <w:sz w:val="20"/>
          <w:szCs w:val="20"/>
        </w:rPr>
        <w:t xml:space="preserve"> </w:t>
      </w:r>
      <w:r w:rsidRPr="000977F7">
        <w:rPr>
          <w:color w:val="auto"/>
          <w:sz w:val="20"/>
          <w:szCs w:val="20"/>
        </w:rPr>
        <w:t>ОЗНАКА</w:t>
      </w:r>
      <w:r w:rsidRPr="000977F7">
        <w:rPr>
          <w:color w:val="auto"/>
          <w:spacing w:val="-2"/>
          <w:sz w:val="20"/>
          <w:szCs w:val="20"/>
        </w:rPr>
        <w:t xml:space="preserve"> </w:t>
      </w:r>
      <w:r w:rsidRPr="000977F7">
        <w:rPr>
          <w:color w:val="auto"/>
          <w:sz w:val="20"/>
          <w:szCs w:val="20"/>
        </w:rPr>
        <w:t>–</w:t>
      </w:r>
    </w:p>
    <w:p w14:paraId="4D13764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CHARACTERISTIC</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UNDER</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CONTROL</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7EADB9E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Характеристика</w:t>
      </w:r>
      <w:r w:rsidRPr="000977F7">
        <w:rPr>
          <w:rFonts w:asciiTheme="majorHAnsi" w:hAnsiTheme="majorHAnsi"/>
          <w:spacing w:val="-4"/>
          <w:sz w:val="20"/>
          <w:szCs w:val="20"/>
        </w:rPr>
        <w:t xml:space="preserve"> </w:t>
      </w:r>
      <w:r w:rsidRPr="000977F7">
        <w:rPr>
          <w:rFonts w:asciiTheme="majorHAnsi" w:hAnsiTheme="majorHAnsi"/>
          <w:sz w:val="20"/>
          <w:szCs w:val="20"/>
        </w:rPr>
        <w:t>об’єкта,</w:t>
      </w:r>
      <w:r w:rsidRPr="000977F7">
        <w:rPr>
          <w:rFonts w:asciiTheme="majorHAnsi" w:hAnsiTheme="majorHAnsi"/>
          <w:spacing w:val="-4"/>
          <w:sz w:val="20"/>
          <w:szCs w:val="20"/>
        </w:rPr>
        <w:t xml:space="preserve"> </w:t>
      </w:r>
      <w:r w:rsidRPr="000977F7">
        <w:rPr>
          <w:rFonts w:asciiTheme="majorHAnsi" w:hAnsiTheme="majorHAnsi"/>
          <w:sz w:val="20"/>
          <w:szCs w:val="20"/>
        </w:rPr>
        <w:t>що</w:t>
      </w:r>
      <w:r w:rsidRPr="000977F7">
        <w:rPr>
          <w:rFonts w:asciiTheme="majorHAnsi" w:hAnsiTheme="majorHAnsi"/>
          <w:spacing w:val="-3"/>
          <w:sz w:val="20"/>
          <w:szCs w:val="20"/>
        </w:rPr>
        <w:t xml:space="preserve"> </w:t>
      </w:r>
      <w:r w:rsidRPr="000977F7">
        <w:rPr>
          <w:rFonts w:asciiTheme="majorHAnsi" w:hAnsiTheme="majorHAnsi"/>
          <w:sz w:val="20"/>
          <w:szCs w:val="20"/>
        </w:rPr>
        <w:t>підлягає</w:t>
      </w:r>
      <w:r w:rsidRPr="000977F7">
        <w:rPr>
          <w:rFonts w:asciiTheme="majorHAnsi" w:hAnsiTheme="majorHAnsi"/>
          <w:spacing w:val="-4"/>
          <w:sz w:val="20"/>
          <w:szCs w:val="20"/>
        </w:rPr>
        <w:t xml:space="preserve"> </w:t>
      </w:r>
      <w:r w:rsidRPr="000977F7">
        <w:rPr>
          <w:rFonts w:asciiTheme="majorHAnsi" w:hAnsiTheme="majorHAnsi"/>
          <w:sz w:val="20"/>
          <w:szCs w:val="20"/>
        </w:rPr>
        <w:t>контролю</w:t>
      </w:r>
    </w:p>
    <w:p w14:paraId="69C144D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67A738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КОНТРОЛЬОВАНА</w:t>
      </w:r>
      <w:r w:rsidRPr="000977F7">
        <w:rPr>
          <w:color w:val="auto"/>
          <w:spacing w:val="-6"/>
          <w:sz w:val="20"/>
          <w:szCs w:val="20"/>
        </w:rPr>
        <w:t xml:space="preserve"> </w:t>
      </w:r>
      <w:r w:rsidRPr="000977F7">
        <w:rPr>
          <w:color w:val="auto"/>
          <w:sz w:val="20"/>
          <w:szCs w:val="20"/>
        </w:rPr>
        <w:t>ПАРТІЯ</w:t>
      </w:r>
      <w:r w:rsidRPr="000977F7">
        <w:rPr>
          <w:color w:val="auto"/>
          <w:spacing w:val="-6"/>
          <w:sz w:val="20"/>
          <w:szCs w:val="20"/>
        </w:rPr>
        <w:t xml:space="preserve"> </w:t>
      </w:r>
      <w:r w:rsidRPr="000977F7">
        <w:rPr>
          <w:color w:val="auto"/>
          <w:sz w:val="20"/>
          <w:szCs w:val="20"/>
        </w:rPr>
        <w:t>ПРОДУКЦІЇ –</w:t>
      </w:r>
    </w:p>
    <w:p w14:paraId="12AEB4D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INSPECTION</w:t>
      </w:r>
      <w:r w:rsidRPr="000977F7">
        <w:rPr>
          <w:rFonts w:asciiTheme="majorHAnsi" w:hAnsiTheme="majorHAnsi"/>
          <w:spacing w:val="-2"/>
          <w:sz w:val="20"/>
          <w:szCs w:val="20"/>
        </w:rPr>
        <w:t xml:space="preserve"> </w:t>
      </w:r>
      <w:r w:rsidRPr="000977F7">
        <w:rPr>
          <w:rFonts w:asciiTheme="majorHAnsi" w:hAnsiTheme="majorHAnsi"/>
          <w:sz w:val="20"/>
          <w:szCs w:val="20"/>
        </w:rPr>
        <w:t>LOT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535CA22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одиниць продукції одного найменування,</w:t>
      </w:r>
      <w:r w:rsidRPr="000977F7">
        <w:rPr>
          <w:rFonts w:asciiTheme="majorHAnsi" w:hAnsiTheme="majorHAnsi"/>
          <w:spacing w:val="1"/>
          <w:sz w:val="20"/>
          <w:szCs w:val="20"/>
        </w:rPr>
        <w:t xml:space="preserve"> </w:t>
      </w:r>
      <w:r w:rsidRPr="000977F7">
        <w:rPr>
          <w:rFonts w:asciiTheme="majorHAnsi" w:hAnsiTheme="majorHAnsi"/>
          <w:sz w:val="20"/>
          <w:szCs w:val="20"/>
        </w:rPr>
        <w:t>типономіналу</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типорозміру</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вироблена протягом визначеного проміжку часу в одних і</w:t>
      </w:r>
      <w:r w:rsidRPr="000977F7">
        <w:rPr>
          <w:rFonts w:asciiTheme="majorHAnsi" w:hAnsiTheme="majorHAnsi"/>
          <w:spacing w:val="1"/>
          <w:sz w:val="20"/>
          <w:szCs w:val="20"/>
        </w:rPr>
        <w:t xml:space="preserve"> </w:t>
      </w:r>
      <w:r w:rsidRPr="000977F7">
        <w:rPr>
          <w:rFonts w:asciiTheme="majorHAnsi" w:hAnsiTheme="majorHAnsi"/>
          <w:sz w:val="20"/>
          <w:szCs w:val="20"/>
        </w:rPr>
        <w:t>тих самих умовах і одночасно пред’явлена для контролю</w:t>
      </w:r>
    </w:p>
    <w:p w14:paraId="23C58A4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C56DD5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Вироблена продукція може бути в процесі 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добування,</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r w:rsidRPr="000977F7">
        <w:rPr>
          <w:rFonts w:asciiTheme="majorHAnsi" w:hAnsiTheme="majorHAnsi"/>
          <w:spacing w:val="1"/>
          <w:sz w:val="20"/>
          <w:szCs w:val="20"/>
        </w:rPr>
        <w:t xml:space="preserve"> </w:t>
      </w:r>
      <w:r w:rsidRPr="000977F7">
        <w:rPr>
          <w:rFonts w:asciiTheme="majorHAnsi" w:hAnsiTheme="majorHAnsi"/>
          <w:sz w:val="20"/>
          <w:szCs w:val="20"/>
        </w:rPr>
        <w:t>зберігання</w:t>
      </w:r>
      <w:r w:rsidRPr="000977F7">
        <w:rPr>
          <w:rFonts w:asciiTheme="majorHAnsi" w:hAnsiTheme="majorHAnsi"/>
          <w:spacing w:val="1"/>
          <w:sz w:val="20"/>
          <w:szCs w:val="20"/>
        </w:rPr>
        <w:t xml:space="preserve"> </w:t>
      </w:r>
      <w:r w:rsidRPr="000977F7">
        <w:rPr>
          <w:rFonts w:asciiTheme="majorHAnsi" w:hAnsiTheme="majorHAnsi"/>
          <w:sz w:val="20"/>
          <w:szCs w:val="20"/>
        </w:rPr>
        <w:t>транспортування,</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експлуатації</w:t>
      </w:r>
    </w:p>
    <w:p w14:paraId="5B7770F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3514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10355321"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КОНТРОЛЬОВАНИЙ ПАРАМЕТР –</w:t>
      </w:r>
      <w:r w:rsidRPr="000977F7">
        <w:rPr>
          <w:rFonts w:asciiTheme="majorHAnsi" w:hAnsiTheme="majorHAnsi"/>
          <w:b/>
          <w:spacing w:val="-47"/>
          <w:sz w:val="20"/>
          <w:szCs w:val="20"/>
        </w:rPr>
        <w:t xml:space="preserve"> </w:t>
      </w:r>
    </w:p>
    <w:p w14:paraId="68C2D09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EST PARAMETER –</w:t>
      </w:r>
    </w:p>
    <w:p w14:paraId="14C8DBC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Параметр об’єкта, що використовується під час його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p>
    <w:p w14:paraId="78A4B14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1326D1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КОНТРОФЕРТА</w:t>
      </w:r>
      <w:r w:rsidRPr="000977F7">
        <w:rPr>
          <w:color w:val="auto"/>
          <w:spacing w:val="-4"/>
          <w:sz w:val="20"/>
          <w:szCs w:val="20"/>
        </w:rPr>
        <w:t xml:space="preserve"> </w:t>
      </w:r>
      <w:r w:rsidRPr="000977F7">
        <w:rPr>
          <w:color w:val="auto"/>
          <w:sz w:val="20"/>
          <w:szCs w:val="20"/>
        </w:rPr>
        <w:t>–</w:t>
      </w:r>
    </w:p>
    <w:p w14:paraId="668F62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Зміна</w:t>
      </w:r>
      <w:r w:rsidRPr="000977F7">
        <w:rPr>
          <w:rFonts w:asciiTheme="majorHAnsi" w:hAnsiTheme="majorHAnsi"/>
          <w:spacing w:val="-3"/>
          <w:sz w:val="20"/>
          <w:szCs w:val="20"/>
        </w:rPr>
        <w:t xml:space="preserve"> </w:t>
      </w:r>
      <w:r w:rsidRPr="000977F7">
        <w:rPr>
          <w:rFonts w:asciiTheme="majorHAnsi" w:hAnsiTheme="majorHAnsi"/>
          <w:sz w:val="20"/>
          <w:szCs w:val="20"/>
        </w:rPr>
        <w:t>в умовах</w:t>
      </w:r>
      <w:r w:rsidRPr="000977F7">
        <w:rPr>
          <w:rFonts w:asciiTheme="majorHAnsi" w:hAnsiTheme="majorHAnsi"/>
          <w:spacing w:val="-4"/>
          <w:sz w:val="20"/>
          <w:szCs w:val="20"/>
        </w:rPr>
        <w:t xml:space="preserve"> </w:t>
      </w:r>
      <w:r w:rsidRPr="000977F7">
        <w:rPr>
          <w:rFonts w:asciiTheme="majorHAnsi" w:hAnsiTheme="majorHAnsi"/>
          <w:sz w:val="20"/>
          <w:szCs w:val="20"/>
        </w:rPr>
        <w:t>оферти</w:t>
      </w:r>
    </w:p>
    <w:p w14:paraId="25B7E2E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A88624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КОНТУР</w:t>
      </w:r>
      <w:r w:rsidRPr="000977F7">
        <w:rPr>
          <w:color w:val="auto"/>
          <w:spacing w:val="-4"/>
          <w:sz w:val="20"/>
          <w:szCs w:val="20"/>
        </w:rPr>
        <w:t xml:space="preserve"> </w:t>
      </w:r>
      <w:r w:rsidRPr="000977F7">
        <w:rPr>
          <w:color w:val="auto"/>
          <w:sz w:val="20"/>
          <w:szCs w:val="20"/>
        </w:rPr>
        <w:t>КОНТРОЛЯ</w:t>
      </w:r>
      <w:r w:rsidRPr="000977F7">
        <w:rPr>
          <w:color w:val="auto"/>
          <w:spacing w:val="-4"/>
          <w:sz w:val="20"/>
          <w:szCs w:val="20"/>
        </w:rPr>
        <w:t xml:space="preserve"> </w:t>
      </w:r>
      <w:r w:rsidRPr="000977F7">
        <w:rPr>
          <w:color w:val="auto"/>
          <w:sz w:val="20"/>
          <w:szCs w:val="20"/>
        </w:rPr>
        <w:t>ПАРАМЕТРА –</w:t>
      </w:r>
    </w:p>
    <w:p w14:paraId="7D2E232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функціонально поєднаних пристроїв, що</w:t>
      </w:r>
      <w:r w:rsidRPr="000977F7">
        <w:rPr>
          <w:rFonts w:asciiTheme="majorHAnsi" w:hAnsiTheme="majorHAnsi"/>
          <w:spacing w:val="1"/>
          <w:sz w:val="20"/>
          <w:szCs w:val="20"/>
        </w:rPr>
        <w:t xml:space="preserve"> </w:t>
      </w:r>
      <w:r w:rsidRPr="000977F7">
        <w:rPr>
          <w:rFonts w:asciiTheme="majorHAnsi" w:hAnsiTheme="majorHAnsi"/>
          <w:sz w:val="20"/>
          <w:szCs w:val="20"/>
        </w:rPr>
        <w:t>входять в інформаційну систему контролю, яка формує</w:t>
      </w:r>
      <w:r w:rsidRPr="000977F7">
        <w:rPr>
          <w:rFonts w:asciiTheme="majorHAnsi" w:hAnsiTheme="majorHAnsi"/>
          <w:spacing w:val="1"/>
          <w:sz w:val="20"/>
          <w:szCs w:val="20"/>
        </w:rPr>
        <w:t xml:space="preserve"> </w:t>
      </w:r>
      <w:r w:rsidRPr="000977F7">
        <w:rPr>
          <w:rFonts w:asciiTheme="majorHAnsi" w:hAnsiTheme="majorHAnsi"/>
          <w:sz w:val="20"/>
          <w:szCs w:val="20"/>
        </w:rPr>
        <w:t>контрольований</w:t>
      </w:r>
      <w:r w:rsidRPr="000977F7">
        <w:rPr>
          <w:rFonts w:asciiTheme="majorHAnsi" w:hAnsiTheme="majorHAnsi"/>
          <w:spacing w:val="1"/>
          <w:sz w:val="20"/>
          <w:szCs w:val="20"/>
        </w:rPr>
        <w:t xml:space="preserve"> </w:t>
      </w:r>
      <w:r w:rsidRPr="000977F7">
        <w:rPr>
          <w:rFonts w:asciiTheme="majorHAnsi" w:hAnsiTheme="majorHAnsi"/>
          <w:sz w:val="20"/>
          <w:szCs w:val="20"/>
        </w:rPr>
        <w:t>сигнал</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забезпечує</w:t>
      </w:r>
      <w:r w:rsidRPr="000977F7">
        <w:rPr>
          <w:rFonts w:asciiTheme="majorHAnsi" w:hAnsiTheme="majorHAnsi"/>
          <w:spacing w:val="1"/>
          <w:sz w:val="20"/>
          <w:szCs w:val="20"/>
        </w:rPr>
        <w:t xml:space="preserve"> </w:t>
      </w:r>
      <w:r w:rsidRPr="000977F7">
        <w:rPr>
          <w:rFonts w:asciiTheme="majorHAnsi" w:hAnsiTheme="majorHAnsi"/>
          <w:sz w:val="20"/>
          <w:szCs w:val="20"/>
        </w:rPr>
        <w:t>контроль</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r w:rsidRPr="000977F7">
        <w:rPr>
          <w:rFonts w:asciiTheme="majorHAnsi" w:hAnsiTheme="majorHAnsi"/>
          <w:spacing w:val="-1"/>
          <w:sz w:val="20"/>
          <w:szCs w:val="20"/>
        </w:rPr>
        <w:t xml:space="preserve"> </w:t>
      </w:r>
      <w:r w:rsidRPr="000977F7">
        <w:rPr>
          <w:rFonts w:asciiTheme="majorHAnsi" w:hAnsiTheme="majorHAnsi"/>
          <w:sz w:val="20"/>
          <w:szCs w:val="20"/>
        </w:rPr>
        <w:t>цього</w:t>
      </w:r>
      <w:r w:rsidRPr="000977F7">
        <w:rPr>
          <w:rFonts w:asciiTheme="majorHAnsi" w:hAnsiTheme="majorHAnsi"/>
          <w:spacing w:val="1"/>
          <w:sz w:val="20"/>
          <w:szCs w:val="20"/>
        </w:rPr>
        <w:t xml:space="preserve"> </w:t>
      </w:r>
      <w:r w:rsidRPr="000977F7">
        <w:rPr>
          <w:rFonts w:asciiTheme="majorHAnsi" w:hAnsiTheme="majorHAnsi"/>
          <w:sz w:val="20"/>
          <w:szCs w:val="20"/>
        </w:rPr>
        <w:t>сигналу</w:t>
      </w:r>
    </w:p>
    <w:p w14:paraId="6E06F983"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pacing w:val="-1"/>
          <w:sz w:val="20"/>
          <w:szCs w:val="20"/>
        </w:rPr>
        <w:t xml:space="preserve">КОНФІГУРАЦІЯ </w:t>
      </w:r>
      <w:r w:rsidRPr="000977F7">
        <w:rPr>
          <w:rFonts w:asciiTheme="majorHAnsi" w:hAnsiTheme="majorHAnsi"/>
          <w:b/>
          <w:sz w:val="20"/>
          <w:szCs w:val="20"/>
        </w:rPr>
        <w:t>–</w:t>
      </w:r>
      <w:r w:rsidRPr="000977F7">
        <w:rPr>
          <w:rFonts w:asciiTheme="majorHAnsi" w:hAnsiTheme="majorHAnsi"/>
          <w:b/>
          <w:spacing w:val="-47"/>
          <w:sz w:val="20"/>
          <w:szCs w:val="20"/>
        </w:rPr>
        <w:t xml:space="preserve"> </w:t>
      </w:r>
    </w:p>
    <w:p w14:paraId="1C9F03E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CONFIGURATION</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1B65DC1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Взаємопов’язані</w:t>
      </w:r>
      <w:r w:rsidRPr="000977F7">
        <w:rPr>
          <w:rFonts w:asciiTheme="majorHAnsi" w:hAnsiTheme="majorHAnsi"/>
          <w:spacing w:val="-6"/>
          <w:sz w:val="20"/>
          <w:szCs w:val="20"/>
        </w:rPr>
        <w:t xml:space="preserve"> </w:t>
      </w:r>
      <w:r w:rsidRPr="000977F7">
        <w:rPr>
          <w:rFonts w:asciiTheme="majorHAnsi" w:hAnsiTheme="majorHAnsi"/>
          <w:sz w:val="20"/>
          <w:szCs w:val="20"/>
        </w:rPr>
        <w:t>функційні</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5"/>
          <w:sz w:val="20"/>
          <w:szCs w:val="20"/>
        </w:rPr>
        <w:t xml:space="preserve"> </w:t>
      </w:r>
      <w:r w:rsidRPr="000977F7">
        <w:rPr>
          <w:rFonts w:asciiTheme="majorHAnsi" w:hAnsiTheme="majorHAnsi"/>
          <w:sz w:val="20"/>
          <w:szCs w:val="20"/>
        </w:rPr>
        <w:t>фізичні</w:t>
      </w:r>
      <w:r w:rsidRPr="000977F7">
        <w:rPr>
          <w:rFonts w:asciiTheme="majorHAnsi" w:hAnsiTheme="majorHAnsi"/>
          <w:spacing w:val="-6"/>
          <w:sz w:val="20"/>
          <w:szCs w:val="20"/>
        </w:rPr>
        <w:t xml:space="preserve"> </w:t>
      </w:r>
      <w:r w:rsidRPr="000977F7">
        <w:rPr>
          <w:rFonts w:asciiTheme="majorHAnsi" w:hAnsiTheme="majorHAnsi"/>
          <w:sz w:val="20"/>
          <w:szCs w:val="20"/>
        </w:rPr>
        <w:t>характеристики</w:t>
      </w:r>
      <w:r w:rsidRPr="000977F7">
        <w:rPr>
          <w:rFonts w:asciiTheme="majorHAnsi" w:hAnsiTheme="majorHAnsi"/>
          <w:spacing w:val="-47"/>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чи послуги, визначені в інформації про</w:t>
      </w:r>
      <w:r w:rsidRPr="000977F7">
        <w:rPr>
          <w:rFonts w:asciiTheme="majorHAnsi" w:hAnsiTheme="majorHAnsi"/>
          <w:spacing w:val="1"/>
          <w:sz w:val="20"/>
          <w:szCs w:val="20"/>
        </w:rPr>
        <w:t xml:space="preserve"> </w:t>
      </w:r>
      <w:r w:rsidRPr="000977F7">
        <w:rPr>
          <w:rFonts w:asciiTheme="majorHAnsi" w:hAnsiTheme="majorHAnsi"/>
          <w:sz w:val="20"/>
          <w:szCs w:val="20"/>
        </w:rPr>
        <w:t>конфігурацію</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2DB8F4B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9000:2015</w:t>
      </w:r>
    </w:p>
    <w:p w14:paraId="2B8FBC5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КОНЦЕНТРАЦІЯ НАПРУЖЕНЬ </w:t>
      </w:r>
    </w:p>
    <w:p w14:paraId="4439E6A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(ДЕФОРМА</w:t>
      </w:r>
      <w:r w:rsidRPr="000977F7">
        <w:rPr>
          <w:color w:val="auto"/>
          <w:spacing w:val="-47"/>
          <w:sz w:val="20"/>
          <w:szCs w:val="20"/>
        </w:rPr>
        <w:t xml:space="preserve"> </w:t>
      </w:r>
      <w:r w:rsidRPr="000977F7">
        <w:rPr>
          <w:color w:val="auto"/>
          <w:sz w:val="20"/>
          <w:szCs w:val="20"/>
        </w:rPr>
        <w:t>ЦІЙ) –</w:t>
      </w:r>
    </w:p>
    <w:p w14:paraId="7C521DE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STRESS</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w:t>
      </w:r>
      <w:r w:rsidRPr="000977F7">
        <w:rPr>
          <w:rFonts w:asciiTheme="majorHAnsi" w:hAnsiTheme="majorHAnsi"/>
          <w:sz w:val="20"/>
          <w:szCs w:val="20"/>
        </w:rPr>
        <w:t>STRAIN</w:t>
      </w:r>
      <w:r w:rsidRPr="004D2D14">
        <w:rPr>
          <w:rFonts w:asciiTheme="majorHAnsi" w:hAnsiTheme="majorHAnsi"/>
          <w:sz w:val="20"/>
          <w:szCs w:val="20"/>
          <w:lang w:val="uk-UA"/>
        </w:rPr>
        <w:t>)</w:t>
      </w:r>
      <w:r w:rsidRPr="004D2D14">
        <w:rPr>
          <w:rFonts w:asciiTheme="majorHAnsi" w:hAnsiTheme="majorHAnsi"/>
          <w:spacing w:val="-1"/>
          <w:sz w:val="20"/>
          <w:szCs w:val="20"/>
          <w:lang w:val="uk-UA"/>
        </w:rPr>
        <w:t xml:space="preserve"> </w:t>
      </w:r>
      <w:r w:rsidRPr="000977F7">
        <w:rPr>
          <w:rFonts w:asciiTheme="majorHAnsi" w:hAnsiTheme="majorHAnsi"/>
          <w:sz w:val="20"/>
          <w:szCs w:val="20"/>
        </w:rPr>
        <w:t>CONCENTRATION</w:t>
      </w:r>
      <w:r w:rsidRPr="004D2D14">
        <w:rPr>
          <w:rFonts w:asciiTheme="majorHAnsi" w:hAnsiTheme="majorHAnsi"/>
          <w:sz w:val="20"/>
          <w:szCs w:val="20"/>
          <w:lang w:val="uk-UA"/>
        </w:rPr>
        <w:t xml:space="preserve"> –</w:t>
      </w:r>
    </w:p>
    <w:p w14:paraId="75514E0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Підвищення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напружень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(деформацій)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 місцях зміни</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форми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або порушень суцільності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матеріалу</w:t>
      </w:r>
    </w:p>
    <w:p w14:paraId="4B2C38B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A8999C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КОНЦЕНТРОВАНИЙ</w:t>
      </w:r>
      <w:r w:rsidRPr="000977F7">
        <w:rPr>
          <w:color w:val="auto"/>
          <w:spacing w:val="-7"/>
          <w:sz w:val="20"/>
          <w:szCs w:val="20"/>
        </w:rPr>
        <w:t xml:space="preserve"> </w:t>
      </w:r>
      <w:r w:rsidRPr="000977F7">
        <w:rPr>
          <w:color w:val="auto"/>
          <w:sz w:val="20"/>
          <w:szCs w:val="20"/>
        </w:rPr>
        <w:t>МАРКЕТИНГ</w:t>
      </w:r>
      <w:r w:rsidRPr="000977F7">
        <w:rPr>
          <w:color w:val="auto"/>
          <w:spacing w:val="-2"/>
          <w:sz w:val="20"/>
          <w:szCs w:val="20"/>
        </w:rPr>
        <w:t xml:space="preserve"> </w:t>
      </w:r>
      <w:r w:rsidRPr="000977F7">
        <w:rPr>
          <w:color w:val="auto"/>
          <w:sz w:val="20"/>
          <w:szCs w:val="20"/>
        </w:rPr>
        <w:t>–</w:t>
      </w:r>
    </w:p>
    <w:p w14:paraId="0BDD4F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Зосередження маркетингових зусиль на більшій частці одного чи кількох субринків на противагу зосередженню</w:t>
      </w:r>
      <w:r w:rsidRPr="000977F7">
        <w:rPr>
          <w:rFonts w:asciiTheme="majorHAnsi" w:hAnsiTheme="majorHAnsi"/>
          <w:spacing w:val="-1"/>
          <w:sz w:val="20"/>
          <w:szCs w:val="20"/>
        </w:rPr>
        <w:t xml:space="preserve"> </w:t>
      </w:r>
      <w:r w:rsidRPr="000977F7">
        <w:rPr>
          <w:rFonts w:asciiTheme="majorHAnsi" w:hAnsiTheme="majorHAnsi"/>
          <w:sz w:val="20"/>
          <w:szCs w:val="20"/>
        </w:rPr>
        <w:t>їх на</w:t>
      </w:r>
      <w:r w:rsidRPr="000977F7">
        <w:rPr>
          <w:rFonts w:asciiTheme="majorHAnsi" w:hAnsiTheme="majorHAnsi"/>
          <w:spacing w:val="-1"/>
          <w:sz w:val="20"/>
          <w:szCs w:val="20"/>
        </w:rPr>
        <w:t xml:space="preserve"> </w:t>
      </w:r>
      <w:r w:rsidRPr="000977F7">
        <w:rPr>
          <w:rFonts w:asciiTheme="majorHAnsi" w:hAnsiTheme="majorHAnsi"/>
          <w:sz w:val="20"/>
          <w:szCs w:val="20"/>
        </w:rPr>
        <w:t>невеликій</w:t>
      </w:r>
      <w:r w:rsidRPr="000977F7">
        <w:rPr>
          <w:rFonts w:asciiTheme="majorHAnsi" w:hAnsiTheme="majorHAnsi"/>
          <w:spacing w:val="-2"/>
          <w:sz w:val="20"/>
          <w:szCs w:val="20"/>
        </w:rPr>
        <w:t xml:space="preserve"> </w:t>
      </w:r>
      <w:r w:rsidRPr="000977F7">
        <w:rPr>
          <w:rFonts w:asciiTheme="majorHAnsi" w:hAnsiTheme="majorHAnsi"/>
          <w:sz w:val="20"/>
          <w:szCs w:val="20"/>
        </w:rPr>
        <w:t>частці</w:t>
      </w:r>
      <w:r w:rsidRPr="000977F7">
        <w:rPr>
          <w:rFonts w:asciiTheme="majorHAnsi" w:hAnsiTheme="majorHAnsi"/>
          <w:spacing w:val="-2"/>
          <w:sz w:val="20"/>
          <w:szCs w:val="20"/>
        </w:rPr>
        <w:t xml:space="preserve"> </w:t>
      </w:r>
      <w:r w:rsidRPr="000977F7">
        <w:rPr>
          <w:rFonts w:asciiTheme="majorHAnsi" w:hAnsiTheme="majorHAnsi"/>
          <w:sz w:val="20"/>
          <w:szCs w:val="20"/>
        </w:rPr>
        <w:t>великого ринку</w:t>
      </w:r>
    </w:p>
    <w:p w14:paraId="443D8E79"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1"/>
          <w:sz w:val="20"/>
          <w:szCs w:val="20"/>
        </w:rPr>
        <w:t xml:space="preserve"> </w:t>
      </w:r>
      <w:r w:rsidRPr="000977F7">
        <w:rPr>
          <w:rFonts w:asciiTheme="majorHAnsi" w:hAnsiTheme="majorHAnsi"/>
          <w:i/>
          <w:iCs/>
          <w:sz w:val="20"/>
          <w:szCs w:val="20"/>
        </w:rPr>
        <w:t>3294</w:t>
      </w:r>
      <w:r w:rsidRPr="000977F7">
        <w:rPr>
          <w:rFonts w:asciiTheme="majorHAnsi" w:hAnsiTheme="majorHAnsi"/>
          <w:i/>
          <w:iCs/>
          <w:spacing w:val="-1"/>
          <w:sz w:val="20"/>
          <w:szCs w:val="20"/>
        </w:rPr>
        <w:t xml:space="preserve"> </w:t>
      </w:r>
      <w:r w:rsidRPr="000977F7">
        <w:rPr>
          <w:rFonts w:asciiTheme="majorHAnsi" w:hAnsiTheme="majorHAnsi"/>
          <w:i/>
          <w:iCs/>
          <w:sz w:val="20"/>
          <w:szCs w:val="20"/>
        </w:rPr>
        <w:t>–</w:t>
      </w:r>
      <w:r w:rsidRPr="000977F7">
        <w:rPr>
          <w:rFonts w:asciiTheme="majorHAnsi" w:hAnsiTheme="majorHAnsi"/>
          <w:i/>
          <w:iCs/>
          <w:spacing w:val="1"/>
          <w:sz w:val="20"/>
          <w:szCs w:val="20"/>
        </w:rPr>
        <w:t xml:space="preserve"> </w:t>
      </w:r>
      <w:r w:rsidRPr="000977F7">
        <w:rPr>
          <w:rFonts w:asciiTheme="majorHAnsi" w:hAnsiTheme="majorHAnsi"/>
          <w:i/>
          <w:iCs/>
          <w:sz w:val="20"/>
          <w:szCs w:val="20"/>
        </w:rPr>
        <w:t>95</w:t>
      </w:r>
    </w:p>
    <w:p w14:paraId="088F8B6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КОНЦЕПЦІЯ</w:t>
      </w:r>
      <w:r w:rsidRPr="000977F7">
        <w:rPr>
          <w:color w:val="auto"/>
          <w:spacing w:val="-5"/>
          <w:sz w:val="20"/>
          <w:szCs w:val="20"/>
        </w:rPr>
        <w:t xml:space="preserve"> </w:t>
      </w:r>
      <w:r w:rsidRPr="000977F7">
        <w:rPr>
          <w:color w:val="auto"/>
          <w:sz w:val="20"/>
          <w:szCs w:val="20"/>
        </w:rPr>
        <w:t>МАРКЕНТИНГУ</w:t>
      </w:r>
      <w:r w:rsidRPr="000977F7">
        <w:rPr>
          <w:color w:val="auto"/>
          <w:spacing w:val="-1"/>
          <w:sz w:val="20"/>
          <w:szCs w:val="20"/>
        </w:rPr>
        <w:t xml:space="preserve"> </w:t>
      </w:r>
      <w:r w:rsidRPr="000977F7">
        <w:rPr>
          <w:color w:val="auto"/>
          <w:sz w:val="20"/>
          <w:szCs w:val="20"/>
        </w:rPr>
        <w:t>–</w:t>
      </w:r>
    </w:p>
    <w:p w14:paraId="05E4BB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Інтегрована цільова філософія фірми, організації чи</w:t>
      </w:r>
      <w:r w:rsidRPr="000977F7">
        <w:rPr>
          <w:rFonts w:asciiTheme="majorHAnsi" w:hAnsiTheme="majorHAnsi"/>
          <w:spacing w:val="1"/>
          <w:sz w:val="20"/>
          <w:szCs w:val="20"/>
        </w:rPr>
        <w:t xml:space="preserve"> </w:t>
      </w:r>
      <w:r w:rsidRPr="000977F7">
        <w:rPr>
          <w:rFonts w:asciiTheme="majorHAnsi" w:hAnsiTheme="majorHAnsi"/>
          <w:sz w:val="20"/>
          <w:szCs w:val="20"/>
        </w:rPr>
        <w:t>людини,</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орієнтується</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споживача</w:t>
      </w:r>
    </w:p>
    <w:p w14:paraId="3304795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3294 – 95</w:t>
      </w:r>
    </w:p>
    <w:p w14:paraId="4DAFD359"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КОНЦЕСІЯ –</w:t>
      </w:r>
    </w:p>
    <w:p w14:paraId="6D4BE7E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pacing w:val="-1"/>
          <w:sz w:val="20"/>
          <w:szCs w:val="20"/>
        </w:rPr>
        <w:t>CONCESSION</w:t>
      </w:r>
      <w:r w:rsidRPr="000977F7">
        <w:rPr>
          <w:rFonts w:asciiTheme="majorHAnsi" w:hAnsiTheme="majorHAnsi"/>
          <w:spacing w:val="-7"/>
          <w:sz w:val="20"/>
          <w:szCs w:val="20"/>
        </w:rPr>
        <w:t xml:space="preserve"> </w:t>
      </w:r>
      <w:r w:rsidRPr="000977F7">
        <w:rPr>
          <w:rFonts w:asciiTheme="majorHAnsi" w:hAnsiTheme="majorHAnsi"/>
          <w:sz w:val="20"/>
          <w:szCs w:val="20"/>
        </w:rPr>
        <w:t>–</w:t>
      </w:r>
    </w:p>
    <w:p w14:paraId="140B87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Повноваження використовувати</w:t>
      </w:r>
      <w:r w:rsidRPr="000977F7">
        <w:rPr>
          <w:rFonts w:asciiTheme="majorHAnsi" w:hAnsiTheme="majorHAnsi"/>
          <w:spacing w:val="1"/>
          <w:sz w:val="20"/>
          <w:szCs w:val="20"/>
        </w:rPr>
        <w:t xml:space="preserve"> </w:t>
      </w:r>
      <w:r w:rsidRPr="000977F7">
        <w:rPr>
          <w:rFonts w:asciiTheme="majorHAnsi" w:hAnsiTheme="majorHAnsi"/>
          <w:sz w:val="20"/>
          <w:szCs w:val="20"/>
        </w:rPr>
        <w:t>або випускати продукцію,</w:t>
      </w:r>
      <w:r w:rsidRPr="000977F7">
        <w:rPr>
          <w:rFonts w:asciiTheme="majorHAnsi" w:hAnsiTheme="majorHAnsi"/>
          <w:spacing w:val="-2"/>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відповідає</w:t>
      </w:r>
      <w:r w:rsidRPr="000977F7">
        <w:rPr>
          <w:rFonts w:asciiTheme="majorHAnsi" w:hAnsiTheme="majorHAnsi"/>
          <w:spacing w:val="-2"/>
          <w:sz w:val="20"/>
          <w:szCs w:val="20"/>
        </w:rPr>
        <w:t xml:space="preserve"> </w:t>
      </w:r>
      <w:r w:rsidRPr="000977F7">
        <w:rPr>
          <w:rFonts w:asciiTheme="majorHAnsi" w:hAnsiTheme="majorHAnsi"/>
          <w:sz w:val="20"/>
          <w:szCs w:val="20"/>
        </w:rPr>
        <w:t>визначеним вимогам</w:t>
      </w:r>
    </w:p>
    <w:p w14:paraId="1966381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01838C8D" w14:textId="77777777" w:rsidR="0097612F" w:rsidRPr="000977F7" w:rsidRDefault="0097612F" w:rsidP="00FD39A4">
      <w:pPr>
        <w:pStyle w:val="ac"/>
        <w:widowControl w:val="0"/>
        <w:numPr>
          <w:ilvl w:val="0"/>
          <w:numId w:val="155"/>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Концесія обмежується поставкою продукції, яка</w:t>
      </w:r>
      <w:r w:rsidRPr="000977F7">
        <w:rPr>
          <w:rFonts w:asciiTheme="majorHAnsi" w:hAnsiTheme="majorHAnsi"/>
          <w:spacing w:val="1"/>
          <w:sz w:val="20"/>
          <w:szCs w:val="20"/>
        </w:rPr>
        <w:t xml:space="preserve"> </w:t>
      </w:r>
      <w:r w:rsidRPr="000977F7">
        <w:rPr>
          <w:rFonts w:asciiTheme="majorHAnsi" w:hAnsiTheme="majorHAnsi"/>
          <w:sz w:val="20"/>
          <w:szCs w:val="20"/>
        </w:rPr>
        <w:t>має визначені невідповідні характеристики в межах конкретних допусків</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узгоджений період</w:t>
      </w:r>
      <w:r w:rsidRPr="000977F7">
        <w:rPr>
          <w:rFonts w:asciiTheme="majorHAnsi" w:hAnsiTheme="majorHAnsi"/>
          <w:spacing w:val="1"/>
          <w:sz w:val="20"/>
          <w:szCs w:val="20"/>
        </w:rPr>
        <w:t xml:space="preserve"> </w:t>
      </w:r>
      <w:r w:rsidRPr="000977F7">
        <w:rPr>
          <w:rFonts w:asciiTheme="majorHAnsi" w:hAnsiTheme="majorHAnsi"/>
          <w:sz w:val="20"/>
          <w:szCs w:val="20"/>
        </w:rPr>
        <w:t>часу</w:t>
      </w:r>
      <w:r w:rsidRPr="000977F7">
        <w:rPr>
          <w:rFonts w:asciiTheme="majorHAnsi" w:hAnsiTheme="majorHAnsi"/>
          <w:spacing w:val="-5"/>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кількість</w:t>
      </w:r>
    </w:p>
    <w:p w14:paraId="2EB3B2CC" w14:textId="77777777" w:rsidR="0097612F" w:rsidRPr="000977F7" w:rsidRDefault="0097612F" w:rsidP="00FD39A4">
      <w:pPr>
        <w:pStyle w:val="ac"/>
        <w:widowControl w:val="0"/>
        <w:numPr>
          <w:ilvl w:val="0"/>
          <w:numId w:val="155"/>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Концесія</w:t>
      </w:r>
      <w:r w:rsidRPr="000977F7">
        <w:rPr>
          <w:rFonts w:asciiTheme="majorHAnsi" w:hAnsiTheme="majorHAnsi"/>
          <w:spacing w:val="1"/>
          <w:sz w:val="20"/>
          <w:szCs w:val="20"/>
        </w:rPr>
        <w:t xml:space="preserve"> </w:t>
      </w:r>
      <w:r w:rsidRPr="000977F7">
        <w:rPr>
          <w:rFonts w:asciiTheme="majorHAnsi" w:hAnsiTheme="majorHAnsi"/>
          <w:sz w:val="20"/>
          <w:szCs w:val="20"/>
        </w:rPr>
        <w:t>звичайно</w:t>
      </w:r>
      <w:r w:rsidRPr="000977F7">
        <w:rPr>
          <w:rFonts w:asciiTheme="majorHAnsi" w:hAnsiTheme="majorHAnsi"/>
          <w:spacing w:val="1"/>
          <w:sz w:val="20"/>
          <w:szCs w:val="20"/>
        </w:rPr>
        <w:t xml:space="preserve"> </w:t>
      </w:r>
      <w:r w:rsidRPr="000977F7">
        <w:rPr>
          <w:rFonts w:asciiTheme="majorHAnsi" w:hAnsiTheme="majorHAnsi"/>
          <w:sz w:val="20"/>
          <w:szCs w:val="20"/>
        </w:rPr>
        <w:t>оформляється</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відповідність</w:t>
      </w:r>
      <w:r w:rsidRPr="000977F7">
        <w:rPr>
          <w:rFonts w:asciiTheme="majorHAnsi" w:hAnsiTheme="majorHAnsi"/>
          <w:spacing w:val="-2"/>
          <w:sz w:val="20"/>
          <w:szCs w:val="20"/>
        </w:rPr>
        <w:t xml:space="preserve"> </w:t>
      </w:r>
      <w:r w:rsidRPr="000977F7">
        <w:rPr>
          <w:rFonts w:asciiTheme="majorHAnsi" w:hAnsiTheme="majorHAnsi"/>
          <w:sz w:val="20"/>
          <w:szCs w:val="20"/>
        </w:rPr>
        <w:t>якому</w:t>
      </w:r>
      <w:r w:rsidRPr="000977F7">
        <w:rPr>
          <w:rFonts w:asciiTheme="majorHAnsi" w:hAnsiTheme="majorHAnsi"/>
          <w:spacing w:val="-4"/>
          <w:sz w:val="20"/>
          <w:szCs w:val="20"/>
        </w:rPr>
        <w:t xml:space="preserve"> </w:t>
      </w:r>
      <w:r w:rsidRPr="000977F7">
        <w:rPr>
          <w:rFonts w:asciiTheme="majorHAnsi" w:hAnsiTheme="majorHAnsi"/>
          <w:sz w:val="20"/>
          <w:szCs w:val="20"/>
        </w:rPr>
        <w:t>потребує</w:t>
      </w:r>
      <w:r w:rsidRPr="000977F7">
        <w:rPr>
          <w:rFonts w:asciiTheme="majorHAnsi" w:hAnsiTheme="majorHAnsi"/>
          <w:spacing w:val="-1"/>
          <w:sz w:val="20"/>
          <w:szCs w:val="20"/>
        </w:rPr>
        <w:t xml:space="preserve"> </w:t>
      </w:r>
      <w:r w:rsidRPr="000977F7">
        <w:rPr>
          <w:rFonts w:asciiTheme="majorHAnsi" w:hAnsiTheme="majorHAnsi"/>
          <w:sz w:val="20"/>
          <w:szCs w:val="20"/>
        </w:rPr>
        <w:t>аудиту</w:t>
      </w:r>
    </w:p>
    <w:p w14:paraId="3EDF111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КОН’ЮНКТУРА</w:t>
      </w:r>
      <w:r w:rsidRPr="000977F7">
        <w:rPr>
          <w:color w:val="auto"/>
          <w:spacing w:val="-4"/>
          <w:sz w:val="20"/>
          <w:szCs w:val="20"/>
        </w:rPr>
        <w:t xml:space="preserve"> </w:t>
      </w:r>
      <w:r w:rsidRPr="000977F7">
        <w:rPr>
          <w:color w:val="auto"/>
          <w:sz w:val="20"/>
          <w:szCs w:val="20"/>
        </w:rPr>
        <w:t>РИНКУ –</w:t>
      </w:r>
    </w:p>
    <w:p w14:paraId="0E9F10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Умови, що складаються на ринку в певний період часу</w:t>
      </w:r>
      <w:r w:rsidRPr="000977F7">
        <w:rPr>
          <w:rFonts w:asciiTheme="majorHAnsi" w:hAnsiTheme="majorHAnsi"/>
          <w:spacing w:val="-5"/>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 конкретному</w:t>
      </w:r>
      <w:r w:rsidRPr="000977F7">
        <w:rPr>
          <w:rFonts w:asciiTheme="majorHAnsi" w:hAnsiTheme="majorHAnsi"/>
          <w:spacing w:val="-4"/>
          <w:sz w:val="20"/>
          <w:szCs w:val="20"/>
        </w:rPr>
        <w:t xml:space="preserve"> </w:t>
      </w:r>
      <w:r w:rsidRPr="000977F7">
        <w:rPr>
          <w:rFonts w:asciiTheme="majorHAnsi" w:hAnsiTheme="majorHAnsi"/>
          <w:sz w:val="20"/>
          <w:szCs w:val="20"/>
        </w:rPr>
        <w:t>місці, регіоні</w:t>
      </w:r>
    </w:p>
    <w:p w14:paraId="075688F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3294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1DD1125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КОНЦЕНТРАЦІЙНИЙ</w:t>
      </w:r>
      <w:r w:rsidRPr="000977F7">
        <w:rPr>
          <w:color w:val="auto"/>
          <w:spacing w:val="-4"/>
          <w:sz w:val="20"/>
          <w:szCs w:val="20"/>
        </w:rPr>
        <w:t xml:space="preserve"> </w:t>
      </w:r>
      <w:r w:rsidRPr="000977F7">
        <w:rPr>
          <w:color w:val="auto"/>
          <w:sz w:val="20"/>
          <w:szCs w:val="20"/>
        </w:rPr>
        <w:t>ЕЛЕМЕНТ</w:t>
      </w:r>
      <w:r w:rsidRPr="000977F7">
        <w:rPr>
          <w:color w:val="auto"/>
          <w:spacing w:val="-5"/>
          <w:sz w:val="20"/>
          <w:szCs w:val="20"/>
        </w:rPr>
        <w:t xml:space="preserve"> </w:t>
      </w:r>
      <w:r w:rsidRPr="000977F7">
        <w:rPr>
          <w:color w:val="auto"/>
          <w:sz w:val="20"/>
          <w:szCs w:val="20"/>
        </w:rPr>
        <w:t>—</w:t>
      </w:r>
    </w:p>
    <w:p w14:paraId="78B89C2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CONCENTRATION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CORROSION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CELL</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5D4C094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Корозійний</w:t>
      </w:r>
      <w:r w:rsidRPr="004D2D14">
        <w:rPr>
          <w:rFonts w:asciiTheme="majorHAnsi" w:hAnsiTheme="majorHAnsi"/>
          <w:spacing w:val="8"/>
          <w:sz w:val="20"/>
          <w:szCs w:val="20"/>
          <w:lang w:val="en-US"/>
        </w:rPr>
        <w:t xml:space="preserve"> </w:t>
      </w:r>
      <w:r w:rsidRPr="000977F7">
        <w:rPr>
          <w:rFonts w:asciiTheme="majorHAnsi" w:hAnsiTheme="majorHAnsi"/>
          <w:sz w:val="20"/>
          <w:szCs w:val="20"/>
        </w:rPr>
        <w:t>елемент</w:t>
      </w:r>
      <w:r w:rsidRPr="004D2D14">
        <w:rPr>
          <w:rFonts w:asciiTheme="majorHAnsi" w:hAnsiTheme="majorHAnsi"/>
          <w:sz w:val="20"/>
          <w:szCs w:val="20"/>
          <w:lang w:val="en-US"/>
        </w:rPr>
        <w:t>,</w:t>
      </w:r>
      <w:r w:rsidRPr="004D2D14">
        <w:rPr>
          <w:rFonts w:asciiTheme="majorHAnsi" w:hAnsiTheme="majorHAnsi"/>
          <w:spacing w:val="9"/>
          <w:sz w:val="20"/>
          <w:szCs w:val="20"/>
          <w:lang w:val="en-US"/>
        </w:rPr>
        <w:t xml:space="preserve"> </w:t>
      </w:r>
      <w:r w:rsidRPr="000977F7">
        <w:rPr>
          <w:rFonts w:asciiTheme="majorHAnsi" w:hAnsiTheme="majorHAnsi"/>
          <w:sz w:val="20"/>
          <w:szCs w:val="20"/>
        </w:rPr>
        <w:t>що</w:t>
      </w:r>
      <w:r w:rsidRPr="004D2D14">
        <w:rPr>
          <w:rFonts w:asciiTheme="majorHAnsi" w:hAnsiTheme="majorHAnsi"/>
          <w:spacing w:val="10"/>
          <w:sz w:val="20"/>
          <w:szCs w:val="20"/>
          <w:lang w:val="en-US"/>
        </w:rPr>
        <w:t xml:space="preserve"> </w:t>
      </w:r>
      <w:r w:rsidRPr="000977F7">
        <w:rPr>
          <w:rFonts w:asciiTheme="majorHAnsi" w:hAnsiTheme="majorHAnsi"/>
          <w:sz w:val="20"/>
          <w:szCs w:val="20"/>
        </w:rPr>
        <w:t>виникає</w:t>
      </w:r>
      <w:r w:rsidRPr="004D2D14">
        <w:rPr>
          <w:rFonts w:asciiTheme="majorHAnsi" w:hAnsiTheme="majorHAnsi"/>
          <w:spacing w:val="10"/>
          <w:sz w:val="20"/>
          <w:szCs w:val="20"/>
          <w:lang w:val="en-US"/>
        </w:rPr>
        <w:t xml:space="preserve"> </w:t>
      </w:r>
      <w:r w:rsidRPr="000977F7">
        <w:rPr>
          <w:rFonts w:asciiTheme="majorHAnsi" w:hAnsiTheme="majorHAnsi"/>
          <w:sz w:val="20"/>
          <w:szCs w:val="20"/>
        </w:rPr>
        <w:t>внаслідок</w:t>
      </w:r>
      <w:r w:rsidRPr="004D2D14">
        <w:rPr>
          <w:rFonts w:asciiTheme="majorHAnsi" w:hAnsiTheme="majorHAnsi"/>
          <w:spacing w:val="8"/>
          <w:sz w:val="20"/>
          <w:szCs w:val="20"/>
          <w:lang w:val="en-US"/>
        </w:rPr>
        <w:t xml:space="preserve"> </w:t>
      </w:r>
      <w:r w:rsidRPr="000977F7">
        <w:rPr>
          <w:rFonts w:asciiTheme="majorHAnsi" w:hAnsiTheme="majorHAnsi"/>
          <w:sz w:val="20"/>
          <w:szCs w:val="20"/>
        </w:rPr>
        <w:t>різниці</w:t>
      </w:r>
      <w:r w:rsidRPr="004D2D14">
        <w:rPr>
          <w:rFonts w:asciiTheme="majorHAnsi" w:hAnsiTheme="majorHAnsi"/>
          <w:spacing w:val="-47"/>
          <w:sz w:val="20"/>
          <w:szCs w:val="20"/>
          <w:lang w:val="en-US"/>
        </w:rPr>
        <w:t xml:space="preserve"> </w:t>
      </w:r>
      <w:r w:rsidRPr="000977F7">
        <w:rPr>
          <w:rFonts w:asciiTheme="majorHAnsi" w:hAnsiTheme="majorHAnsi"/>
          <w:sz w:val="20"/>
          <w:szCs w:val="20"/>
        </w:rPr>
        <w:t>концентрацій</w:t>
      </w:r>
      <w:r w:rsidRPr="004D2D14">
        <w:rPr>
          <w:rFonts w:asciiTheme="majorHAnsi" w:hAnsiTheme="majorHAnsi"/>
          <w:sz w:val="20"/>
          <w:szCs w:val="20"/>
          <w:lang w:val="en-US"/>
        </w:rPr>
        <w:t xml:space="preserve"> </w:t>
      </w:r>
      <w:r w:rsidRPr="000977F7">
        <w:rPr>
          <w:rFonts w:asciiTheme="majorHAnsi" w:hAnsiTheme="majorHAnsi"/>
          <w:sz w:val="20"/>
          <w:szCs w:val="20"/>
        </w:rPr>
        <w:t>реагентів</w:t>
      </w:r>
      <w:r w:rsidRPr="004D2D14">
        <w:rPr>
          <w:rFonts w:asciiTheme="majorHAnsi" w:hAnsiTheme="majorHAnsi"/>
          <w:sz w:val="20"/>
          <w:szCs w:val="20"/>
          <w:lang w:val="en-US"/>
        </w:rPr>
        <w:t xml:space="preserve"> </w:t>
      </w:r>
      <w:r w:rsidRPr="000977F7">
        <w:rPr>
          <w:rFonts w:asciiTheme="majorHAnsi" w:hAnsiTheme="majorHAnsi"/>
          <w:sz w:val="20"/>
          <w:szCs w:val="20"/>
        </w:rPr>
        <w:t>біля</w:t>
      </w:r>
      <w:r w:rsidRPr="004D2D14">
        <w:rPr>
          <w:rFonts w:asciiTheme="majorHAnsi" w:hAnsiTheme="majorHAnsi"/>
          <w:sz w:val="20"/>
          <w:szCs w:val="20"/>
          <w:lang w:val="en-US"/>
        </w:rPr>
        <w:t xml:space="preserve"> </w:t>
      </w:r>
      <w:r w:rsidRPr="000977F7">
        <w:rPr>
          <w:rFonts w:asciiTheme="majorHAnsi" w:hAnsiTheme="majorHAnsi"/>
          <w:sz w:val="20"/>
          <w:szCs w:val="20"/>
        </w:rPr>
        <w:t>поверхні</w:t>
      </w:r>
      <w:r w:rsidRPr="004D2D14">
        <w:rPr>
          <w:rFonts w:asciiTheme="majorHAnsi" w:hAnsiTheme="majorHAnsi"/>
          <w:sz w:val="20"/>
          <w:szCs w:val="20"/>
          <w:lang w:val="en-US"/>
        </w:rPr>
        <w:t xml:space="preserve"> </w:t>
      </w:r>
      <w:r w:rsidRPr="000977F7">
        <w:rPr>
          <w:rFonts w:asciiTheme="majorHAnsi" w:hAnsiTheme="majorHAnsi"/>
          <w:sz w:val="20"/>
          <w:szCs w:val="20"/>
        </w:rPr>
        <w:t>його</w:t>
      </w:r>
      <w:r w:rsidRPr="004D2D14">
        <w:rPr>
          <w:rFonts w:asciiTheme="majorHAnsi" w:hAnsiTheme="majorHAnsi"/>
          <w:sz w:val="20"/>
          <w:szCs w:val="20"/>
          <w:lang w:val="en-US"/>
        </w:rPr>
        <w:t xml:space="preserve"> </w:t>
      </w:r>
      <w:r w:rsidRPr="000977F7">
        <w:rPr>
          <w:rFonts w:asciiTheme="majorHAnsi" w:hAnsiTheme="majorHAnsi"/>
          <w:sz w:val="20"/>
          <w:szCs w:val="20"/>
        </w:rPr>
        <w:t>електродів</w:t>
      </w:r>
    </w:p>
    <w:p w14:paraId="490D5CD6"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3830</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98</w:t>
      </w:r>
    </w:p>
    <w:p w14:paraId="20AF485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КОНЦЕНТРАЦІЯ</w:t>
      </w:r>
      <w:r w:rsidRPr="000977F7">
        <w:rPr>
          <w:color w:val="auto"/>
          <w:spacing w:val="-8"/>
          <w:sz w:val="20"/>
          <w:szCs w:val="20"/>
        </w:rPr>
        <w:t xml:space="preserve"> </w:t>
      </w:r>
      <w:r w:rsidRPr="000977F7">
        <w:rPr>
          <w:color w:val="auto"/>
          <w:sz w:val="20"/>
          <w:szCs w:val="20"/>
        </w:rPr>
        <w:t>ВИРОБНИЦТВА</w:t>
      </w:r>
      <w:r w:rsidRPr="000977F7">
        <w:rPr>
          <w:color w:val="auto"/>
          <w:spacing w:val="-4"/>
          <w:sz w:val="20"/>
          <w:szCs w:val="20"/>
        </w:rPr>
        <w:t xml:space="preserve"> </w:t>
      </w:r>
      <w:r w:rsidRPr="000977F7">
        <w:rPr>
          <w:color w:val="auto"/>
          <w:sz w:val="20"/>
          <w:szCs w:val="20"/>
        </w:rPr>
        <w:t>–</w:t>
      </w:r>
    </w:p>
    <w:p w14:paraId="7F783B0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Форма</w:t>
      </w:r>
      <w:r w:rsidRPr="004D2D14">
        <w:rPr>
          <w:rFonts w:asciiTheme="majorHAnsi" w:hAnsiTheme="majorHAnsi"/>
          <w:sz w:val="20"/>
          <w:szCs w:val="20"/>
          <w:lang w:val="en-US"/>
        </w:rPr>
        <w:t xml:space="preserve"> </w:t>
      </w:r>
      <w:r w:rsidRPr="000977F7">
        <w:rPr>
          <w:rFonts w:asciiTheme="majorHAnsi" w:hAnsiTheme="majorHAnsi"/>
          <w:sz w:val="20"/>
          <w:szCs w:val="20"/>
        </w:rPr>
        <w:t>організації</w:t>
      </w:r>
      <w:r w:rsidRPr="004D2D14">
        <w:rPr>
          <w:rFonts w:asciiTheme="majorHAnsi" w:hAnsiTheme="majorHAnsi"/>
          <w:sz w:val="20"/>
          <w:szCs w:val="20"/>
          <w:lang w:val="en-US"/>
        </w:rPr>
        <w:t xml:space="preserve"> </w:t>
      </w:r>
      <w:r w:rsidRPr="000977F7">
        <w:rPr>
          <w:rFonts w:asciiTheme="majorHAnsi" w:hAnsiTheme="majorHAnsi"/>
          <w:sz w:val="20"/>
          <w:szCs w:val="20"/>
        </w:rPr>
        <w:t>виробництва</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полягає</w:t>
      </w:r>
      <w:r w:rsidRPr="004D2D14">
        <w:rPr>
          <w:rFonts w:asciiTheme="majorHAnsi" w:hAnsiTheme="majorHAnsi"/>
          <w:sz w:val="20"/>
          <w:szCs w:val="20"/>
          <w:lang w:val="en-US"/>
        </w:rPr>
        <w:t xml:space="preserve"> </w:t>
      </w:r>
      <w:r w:rsidRPr="000977F7">
        <w:rPr>
          <w:rFonts w:asciiTheme="majorHAnsi" w:hAnsiTheme="majorHAnsi"/>
          <w:sz w:val="20"/>
          <w:szCs w:val="20"/>
        </w:rPr>
        <w:t>у</w:t>
      </w:r>
      <w:r w:rsidRPr="004D2D14">
        <w:rPr>
          <w:rFonts w:asciiTheme="majorHAnsi" w:hAnsiTheme="majorHAnsi"/>
          <w:sz w:val="20"/>
          <w:szCs w:val="20"/>
          <w:lang w:val="en-US"/>
        </w:rPr>
        <w:t xml:space="preserve"> </w:t>
      </w:r>
      <w:r w:rsidRPr="000977F7">
        <w:rPr>
          <w:rFonts w:asciiTheme="majorHAnsi" w:hAnsiTheme="majorHAnsi"/>
          <w:sz w:val="20"/>
          <w:szCs w:val="20"/>
        </w:rPr>
        <w:t>зосереджені</w:t>
      </w:r>
      <w:r w:rsidRPr="004D2D14">
        <w:rPr>
          <w:rFonts w:asciiTheme="majorHAnsi" w:hAnsiTheme="majorHAnsi"/>
          <w:sz w:val="20"/>
          <w:szCs w:val="20"/>
          <w:lang w:val="en-US"/>
        </w:rPr>
        <w:t xml:space="preserve"> </w:t>
      </w:r>
      <w:r w:rsidRPr="000977F7">
        <w:rPr>
          <w:rFonts w:asciiTheme="majorHAnsi" w:hAnsiTheme="majorHAnsi"/>
          <w:sz w:val="20"/>
          <w:szCs w:val="20"/>
        </w:rPr>
        <w:t>виробництва</w:t>
      </w:r>
      <w:r w:rsidRPr="004D2D14">
        <w:rPr>
          <w:rFonts w:asciiTheme="majorHAnsi" w:hAnsiTheme="majorHAnsi"/>
          <w:sz w:val="20"/>
          <w:szCs w:val="20"/>
          <w:lang w:val="en-US"/>
        </w:rPr>
        <w:t xml:space="preserve"> </w:t>
      </w:r>
      <w:r w:rsidRPr="000977F7">
        <w:rPr>
          <w:rFonts w:asciiTheme="majorHAnsi" w:hAnsiTheme="majorHAnsi"/>
          <w:sz w:val="20"/>
          <w:szCs w:val="20"/>
        </w:rPr>
        <w:t>окремих</w:t>
      </w:r>
      <w:r w:rsidRPr="004D2D14">
        <w:rPr>
          <w:rFonts w:asciiTheme="majorHAnsi" w:hAnsiTheme="majorHAnsi"/>
          <w:sz w:val="20"/>
          <w:szCs w:val="20"/>
          <w:lang w:val="en-US"/>
        </w:rPr>
        <w:t xml:space="preserve"> </w:t>
      </w:r>
      <w:r w:rsidRPr="000977F7">
        <w:rPr>
          <w:rFonts w:asciiTheme="majorHAnsi" w:hAnsiTheme="majorHAnsi"/>
          <w:sz w:val="20"/>
          <w:szCs w:val="20"/>
        </w:rPr>
        <w:t>видів</w:t>
      </w:r>
      <w:r w:rsidRPr="004D2D14">
        <w:rPr>
          <w:rFonts w:asciiTheme="majorHAnsi" w:hAnsiTheme="majorHAnsi"/>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одному</w:t>
      </w:r>
      <w:r w:rsidRPr="004D2D14">
        <w:rPr>
          <w:rFonts w:asciiTheme="majorHAnsi" w:hAnsiTheme="majorHAnsi"/>
          <w:spacing w:val="-5"/>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обмеженій</w:t>
      </w:r>
      <w:r w:rsidRPr="004D2D14">
        <w:rPr>
          <w:rFonts w:asciiTheme="majorHAnsi" w:hAnsiTheme="majorHAnsi"/>
          <w:spacing w:val="-2"/>
          <w:sz w:val="20"/>
          <w:szCs w:val="20"/>
          <w:lang w:val="en-US"/>
        </w:rPr>
        <w:t xml:space="preserve"> </w:t>
      </w:r>
      <w:r w:rsidRPr="000977F7">
        <w:rPr>
          <w:rFonts w:asciiTheme="majorHAnsi" w:hAnsiTheme="majorHAnsi"/>
          <w:sz w:val="20"/>
          <w:szCs w:val="20"/>
        </w:rPr>
        <w:t>кількості</w:t>
      </w:r>
      <w:r w:rsidRPr="004D2D14">
        <w:rPr>
          <w:rFonts w:asciiTheme="majorHAnsi" w:hAnsiTheme="majorHAnsi"/>
          <w:spacing w:val="2"/>
          <w:sz w:val="20"/>
          <w:szCs w:val="20"/>
          <w:lang w:val="en-US"/>
        </w:rPr>
        <w:t xml:space="preserve"> </w:t>
      </w:r>
      <w:r w:rsidRPr="000977F7">
        <w:rPr>
          <w:rFonts w:asciiTheme="majorHAnsi" w:hAnsiTheme="majorHAnsi"/>
          <w:sz w:val="20"/>
          <w:szCs w:val="20"/>
        </w:rPr>
        <w:t>підприємств</w:t>
      </w:r>
    </w:p>
    <w:p w14:paraId="427E5A0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 – 94</w:t>
      </w:r>
    </w:p>
    <w:p w14:paraId="0451C08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КООПЕРОВАНИЙ</w:t>
      </w:r>
      <w:r w:rsidRPr="000977F7">
        <w:rPr>
          <w:color w:val="auto"/>
          <w:spacing w:val="-3"/>
          <w:sz w:val="20"/>
          <w:szCs w:val="20"/>
        </w:rPr>
        <w:t xml:space="preserve"> </w:t>
      </w:r>
      <w:r w:rsidRPr="000977F7">
        <w:rPr>
          <w:color w:val="auto"/>
          <w:sz w:val="20"/>
          <w:szCs w:val="20"/>
        </w:rPr>
        <w:t>ВИРІБ</w:t>
      </w:r>
      <w:r w:rsidRPr="000977F7">
        <w:rPr>
          <w:color w:val="auto"/>
          <w:spacing w:val="-3"/>
          <w:sz w:val="20"/>
          <w:szCs w:val="20"/>
        </w:rPr>
        <w:t xml:space="preserve"> </w:t>
      </w:r>
      <w:r w:rsidRPr="000977F7">
        <w:rPr>
          <w:color w:val="auto"/>
          <w:sz w:val="20"/>
          <w:szCs w:val="20"/>
        </w:rPr>
        <w:t>–</w:t>
      </w:r>
    </w:p>
    <w:p w14:paraId="4F52BA2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 виготовлений згідно</w:t>
      </w:r>
      <w:r w:rsidRPr="000977F7">
        <w:rPr>
          <w:rFonts w:asciiTheme="majorHAnsi" w:hAnsiTheme="majorHAnsi"/>
          <w:spacing w:val="1"/>
          <w:sz w:val="20"/>
          <w:szCs w:val="20"/>
        </w:rPr>
        <w:t xml:space="preserve"> </w:t>
      </w:r>
      <w:r w:rsidRPr="000977F7">
        <w:rPr>
          <w:rFonts w:asciiTheme="majorHAnsi" w:hAnsiTheme="majorHAnsi"/>
          <w:sz w:val="20"/>
          <w:szCs w:val="20"/>
        </w:rPr>
        <w:t>з конструкторською документацією</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яке</w:t>
      </w:r>
      <w:r w:rsidRPr="000977F7">
        <w:rPr>
          <w:rFonts w:asciiTheme="majorHAnsi" w:hAnsiTheme="majorHAnsi"/>
          <w:spacing w:val="1"/>
          <w:sz w:val="20"/>
          <w:szCs w:val="20"/>
        </w:rPr>
        <w:t xml:space="preserve"> </w:t>
      </w:r>
      <w:r w:rsidRPr="000977F7">
        <w:rPr>
          <w:rFonts w:asciiTheme="majorHAnsi" w:hAnsiTheme="majorHAnsi"/>
          <w:sz w:val="20"/>
          <w:szCs w:val="20"/>
        </w:rPr>
        <w:t>він</w:t>
      </w:r>
      <w:r w:rsidRPr="000977F7">
        <w:rPr>
          <w:rFonts w:asciiTheme="majorHAnsi" w:hAnsiTheme="majorHAnsi"/>
          <w:spacing w:val="1"/>
          <w:sz w:val="20"/>
          <w:szCs w:val="20"/>
        </w:rPr>
        <w:t xml:space="preserve"> </w:t>
      </w:r>
      <w:r w:rsidRPr="000977F7">
        <w:rPr>
          <w:rFonts w:asciiTheme="majorHAnsi" w:hAnsiTheme="majorHAnsi"/>
          <w:sz w:val="20"/>
          <w:szCs w:val="20"/>
        </w:rPr>
        <w:t>надходить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головному</w:t>
      </w:r>
      <w:r w:rsidRPr="000977F7">
        <w:rPr>
          <w:rFonts w:asciiTheme="majorHAnsi" w:hAnsiTheme="majorHAnsi"/>
          <w:spacing w:val="-5"/>
          <w:sz w:val="20"/>
          <w:szCs w:val="20"/>
        </w:rPr>
        <w:t xml:space="preserve"> </w:t>
      </w:r>
      <w:r w:rsidRPr="000977F7">
        <w:rPr>
          <w:rFonts w:asciiTheme="majorHAnsi" w:hAnsiTheme="majorHAnsi"/>
          <w:sz w:val="20"/>
          <w:szCs w:val="20"/>
        </w:rPr>
        <w:t>вигляді</w:t>
      </w:r>
    </w:p>
    <w:p w14:paraId="33BD3BB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 –</w:t>
      </w:r>
      <w:r w:rsidRPr="000977F7">
        <w:rPr>
          <w:rFonts w:asciiTheme="majorHAnsi" w:hAnsiTheme="majorHAnsi"/>
          <w:i/>
          <w:spacing w:val="-1"/>
          <w:sz w:val="20"/>
          <w:szCs w:val="20"/>
        </w:rPr>
        <w:t xml:space="preserve"> </w:t>
      </w:r>
      <w:r w:rsidRPr="000977F7">
        <w:rPr>
          <w:rFonts w:asciiTheme="majorHAnsi" w:hAnsiTheme="majorHAnsi"/>
          <w:i/>
          <w:sz w:val="20"/>
          <w:szCs w:val="20"/>
        </w:rPr>
        <w:t>2003</w:t>
      </w:r>
    </w:p>
    <w:p w14:paraId="7DA8E6D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КОПІЯ</w:t>
      </w:r>
      <w:r w:rsidRPr="000977F7">
        <w:rPr>
          <w:color w:val="auto"/>
          <w:spacing w:val="-6"/>
          <w:sz w:val="20"/>
          <w:szCs w:val="20"/>
        </w:rPr>
        <w:t xml:space="preserve"> </w:t>
      </w:r>
      <w:r w:rsidRPr="000977F7">
        <w:rPr>
          <w:color w:val="auto"/>
          <w:sz w:val="20"/>
          <w:szCs w:val="20"/>
        </w:rPr>
        <w:t>–</w:t>
      </w:r>
    </w:p>
    <w:p w14:paraId="53ACE6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Конструкторський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ідентичний</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правдником чи дублікатом, призначений для використання під</w:t>
      </w:r>
      <w:r w:rsidRPr="000977F7">
        <w:rPr>
          <w:rFonts w:asciiTheme="majorHAnsi" w:hAnsiTheme="majorHAnsi"/>
          <w:spacing w:val="-47"/>
          <w:sz w:val="20"/>
          <w:szCs w:val="20"/>
        </w:rPr>
        <w:t xml:space="preserve"> </w:t>
      </w:r>
      <w:r w:rsidRPr="000977F7">
        <w:rPr>
          <w:rFonts w:asciiTheme="majorHAnsi" w:hAnsiTheme="majorHAnsi"/>
          <w:sz w:val="20"/>
          <w:szCs w:val="20"/>
        </w:rPr>
        <w:t>час розроблення, виготовлення, експлуатації і ремонту</w:t>
      </w:r>
      <w:r w:rsidRPr="000977F7">
        <w:rPr>
          <w:rFonts w:asciiTheme="majorHAnsi" w:hAnsiTheme="majorHAnsi"/>
          <w:spacing w:val="-4"/>
          <w:sz w:val="20"/>
          <w:szCs w:val="20"/>
        </w:rPr>
        <w:t xml:space="preserve"> </w:t>
      </w:r>
      <w:r w:rsidRPr="000977F7">
        <w:rPr>
          <w:rFonts w:asciiTheme="majorHAnsi" w:hAnsiTheme="majorHAnsi"/>
          <w:sz w:val="20"/>
          <w:szCs w:val="20"/>
        </w:rPr>
        <w:t>виробу</w:t>
      </w:r>
    </w:p>
    <w:p w14:paraId="2B25DE1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66C4CC1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КОТИРУВАННЯ</w:t>
      </w:r>
      <w:r w:rsidRPr="000977F7">
        <w:rPr>
          <w:color w:val="auto"/>
          <w:spacing w:val="-3"/>
          <w:sz w:val="20"/>
          <w:szCs w:val="20"/>
        </w:rPr>
        <w:t xml:space="preserve"> </w:t>
      </w:r>
      <w:r w:rsidRPr="000977F7">
        <w:rPr>
          <w:color w:val="auto"/>
          <w:sz w:val="20"/>
          <w:szCs w:val="20"/>
        </w:rPr>
        <w:t>–</w:t>
      </w:r>
    </w:p>
    <w:p w14:paraId="26D6D57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Періодичне встановлення співвідношення між валютами</w:t>
      </w:r>
    </w:p>
    <w:p w14:paraId="1AC71B4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36E5AB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КООПЕРУВАННЯ</w:t>
      </w:r>
      <w:r w:rsidRPr="000977F7">
        <w:rPr>
          <w:color w:val="auto"/>
          <w:spacing w:val="-5"/>
          <w:sz w:val="20"/>
          <w:szCs w:val="20"/>
        </w:rPr>
        <w:t xml:space="preserve"> </w:t>
      </w:r>
      <w:r w:rsidRPr="000977F7">
        <w:rPr>
          <w:color w:val="auto"/>
          <w:sz w:val="20"/>
          <w:szCs w:val="20"/>
        </w:rPr>
        <w:t>ВИРОБНИЦТВА</w:t>
      </w:r>
      <w:r w:rsidRPr="000977F7">
        <w:rPr>
          <w:color w:val="auto"/>
          <w:spacing w:val="-2"/>
          <w:sz w:val="20"/>
          <w:szCs w:val="20"/>
        </w:rPr>
        <w:t xml:space="preserve"> </w:t>
      </w:r>
      <w:r w:rsidRPr="000977F7">
        <w:rPr>
          <w:color w:val="auto"/>
          <w:sz w:val="20"/>
          <w:szCs w:val="20"/>
        </w:rPr>
        <w:t>–</w:t>
      </w:r>
    </w:p>
    <w:p w14:paraId="1B9B1C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Форма організації виробництва, яка полягає в організації постійних виробничих зв’язків між підприємствами щодо постачання виробів та матеріалів, необхідних</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28961584"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2960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20C430E3" w14:textId="77777777" w:rsidR="0097612F" w:rsidRPr="004D2D14" w:rsidRDefault="0097612F" w:rsidP="000977F7">
      <w:pPr>
        <w:tabs>
          <w:tab w:val="left" w:pos="284"/>
        </w:tabs>
        <w:spacing w:after="0" w:line="240" w:lineRule="auto"/>
        <w:ind w:left="170"/>
        <w:mirrorIndents/>
        <w:jc w:val="both"/>
        <w:rPr>
          <w:rFonts w:asciiTheme="majorHAnsi" w:hAnsiTheme="majorHAnsi"/>
          <w:spacing w:val="-47"/>
          <w:sz w:val="20"/>
          <w:szCs w:val="20"/>
          <w:lang w:val="en-US"/>
        </w:rPr>
      </w:pPr>
      <w:r w:rsidRPr="000977F7">
        <w:rPr>
          <w:rFonts w:asciiTheme="majorHAnsi" w:hAnsiTheme="majorHAnsi"/>
          <w:b/>
          <w:sz w:val="20"/>
          <w:szCs w:val="20"/>
        </w:rPr>
        <w:t>КОПІЯ</w:t>
      </w:r>
      <w:r w:rsidRPr="004D2D14">
        <w:rPr>
          <w:rFonts w:asciiTheme="majorHAnsi" w:hAnsiTheme="majorHAnsi"/>
          <w:b/>
          <w:spacing w:val="-9"/>
          <w:sz w:val="20"/>
          <w:szCs w:val="20"/>
          <w:lang w:val="en-US"/>
        </w:rPr>
        <w:t xml:space="preserve"> </w:t>
      </w:r>
      <w:r w:rsidRPr="000977F7">
        <w:rPr>
          <w:rFonts w:asciiTheme="majorHAnsi" w:hAnsiTheme="majorHAnsi"/>
          <w:b/>
          <w:sz w:val="20"/>
          <w:szCs w:val="20"/>
        </w:rPr>
        <w:t>СТАНДАРТУ</w:t>
      </w:r>
      <w:r w:rsidRPr="004D2D14">
        <w:rPr>
          <w:rFonts w:asciiTheme="majorHAnsi" w:hAnsiTheme="majorHAnsi"/>
          <w:b/>
          <w:spacing w:val="-8"/>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p>
    <w:p w14:paraId="21943654"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COPY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STANDARD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4DF5016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Примірник стандарту, виконаний будь-яким способом</w:t>
      </w:r>
      <w:r w:rsidRPr="000977F7">
        <w:rPr>
          <w:rFonts w:asciiTheme="majorHAnsi" w:hAnsiTheme="majorHAnsi"/>
          <w:spacing w:val="-47"/>
          <w:sz w:val="20"/>
          <w:szCs w:val="20"/>
        </w:rPr>
        <w:t xml:space="preserve"> </w:t>
      </w:r>
      <w:r w:rsidRPr="000977F7">
        <w:rPr>
          <w:rFonts w:asciiTheme="majorHAnsi" w:hAnsiTheme="majorHAnsi"/>
          <w:sz w:val="20"/>
          <w:szCs w:val="20"/>
        </w:rPr>
        <w:t>розмноження</w:t>
      </w:r>
    </w:p>
    <w:p w14:paraId="4B43411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КОРЕЛЯЦІЯ</w:t>
      </w:r>
      <w:r w:rsidRPr="000977F7">
        <w:rPr>
          <w:color w:val="auto"/>
          <w:spacing w:val="-4"/>
          <w:sz w:val="20"/>
          <w:szCs w:val="20"/>
        </w:rPr>
        <w:t xml:space="preserve"> </w:t>
      </w:r>
      <w:r w:rsidRPr="000977F7">
        <w:rPr>
          <w:color w:val="auto"/>
          <w:sz w:val="20"/>
          <w:szCs w:val="20"/>
        </w:rPr>
        <w:t>–</w:t>
      </w:r>
    </w:p>
    <w:p w14:paraId="6E25723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Залежність між випадковими величинами за якої зміна однієї з випадкових величин призводить до зміни</w:t>
      </w:r>
      <w:r w:rsidRPr="000977F7">
        <w:rPr>
          <w:rFonts w:asciiTheme="majorHAnsi" w:hAnsiTheme="majorHAnsi"/>
          <w:spacing w:val="1"/>
          <w:sz w:val="20"/>
          <w:szCs w:val="20"/>
        </w:rPr>
        <w:t xml:space="preserve"> </w:t>
      </w:r>
      <w:r w:rsidRPr="000977F7">
        <w:rPr>
          <w:rFonts w:asciiTheme="majorHAnsi" w:hAnsiTheme="majorHAnsi"/>
          <w:sz w:val="20"/>
          <w:szCs w:val="20"/>
        </w:rPr>
        <w:t>математичного сподівання</w:t>
      </w:r>
      <w:r w:rsidRPr="000977F7">
        <w:rPr>
          <w:rFonts w:asciiTheme="majorHAnsi" w:hAnsiTheme="majorHAnsi"/>
          <w:spacing w:val="-1"/>
          <w:sz w:val="20"/>
          <w:szCs w:val="20"/>
        </w:rPr>
        <w:t xml:space="preserve"> </w:t>
      </w:r>
      <w:r w:rsidRPr="000977F7">
        <w:rPr>
          <w:rFonts w:asciiTheme="majorHAnsi" w:hAnsiTheme="majorHAnsi"/>
          <w:sz w:val="20"/>
          <w:szCs w:val="20"/>
        </w:rPr>
        <w:t>іншої</w:t>
      </w:r>
    </w:p>
    <w:p w14:paraId="2D9C684D"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3514</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97</w:t>
      </w:r>
    </w:p>
    <w:p w14:paraId="645A193A"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КОРИГУВАЛЬНА</w:t>
      </w:r>
      <w:r w:rsidRPr="004D2D14">
        <w:rPr>
          <w:rFonts w:asciiTheme="majorHAnsi" w:hAnsiTheme="majorHAnsi"/>
          <w:b/>
          <w:sz w:val="20"/>
          <w:szCs w:val="20"/>
          <w:lang w:val="en-US"/>
        </w:rPr>
        <w:t xml:space="preserve"> </w:t>
      </w:r>
      <w:r w:rsidRPr="000977F7">
        <w:rPr>
          <w:rFonts w:asciiTheme="majorHAnsi" w:hAnsiTheme="majorHAnsi"/>
          <w:b/>
          <w:sz w:val="20"/>
          <w:szCs w:val="20"/>
        </w:rPr>
        <w:t>ДІЯ</w:t>
      </w:r>
      <w:r w:rsidRPr="004D2D14">
        <w:rPr>
          <w:rFonts w:asciiTheme="majorHAnsi" w:hAnsiTheme="majorHAnsi"/>
          <w:b/>
          <w:sz w:val="20"/>
          <w:szCs w:val="20"/>
          <w:lang w:val="en-US"/>
        </w:rPr>
        <w:t xml:space="preserve"> –</w:t>
      </w:r>
    </w:p>
    <w:p w14:paraId="6F86BC4E"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CORRECTIVE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ACTION –</w:t>
      </w:r>
    </w:p>
    <w:p w14:paraId="1EF2EE4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Дія</w:t>
      </w:r>
      <w:r w:rsidRPr="004D2D14">
        <w:rPr>
          <w:rFonts w:asciiTheme="majorHAnsi" w:hAnsiTheme="majorHAnsi"/>
          <w:sz w:val="20"/>
          <w:szCs w:val="20"/>
          <w:lang w:val="en-US"/>
        </w:rPr>
        <w:t xml:space="preserve">, </w:t>
      </w:r>
      <w:r w:rsidRPr="000977F7">
        <w:rPr>
          <w:rFonts w:asciiTheme="majorHAnsi" w:hAnsiTheme="majorHAnsi"/>
          <w:sz w:val="20"/>
          <w:szCs w:val="20"/>
        </w:rPr>
        <w:t>яку</w:t>
      </w:r>
      <w:r w:rsidRPr="004D2D14">
        <w:rPr>
          <w:rFonts w:asciiTheme="majorHAnsi" w:hAnsiTheme="majorHAnsi"/>
          <w:sz w:val="20"/>
          <w:szCs w:val="20"/>
          <w:lang w:val="en-US"/>
        </w:rPr>
        <w:t xml:space="preserve"> </w:t>
      </w:r>
      <w:r w:rsidRPr="000977F7">
        <w:rPr>
          <w:rFonts w:asciiTheme="majorHAnsi" w:hAnsiTheme="majorHAnsi"/>
          <w:sz w:val="20"/>
          <w:szCs w:val="20"/>
        </w:rPr>
        <w:t>виконують</w:t>
      </w:r>
      <w:r w:rsidRPr="004D2D14">
        <w:rPr>
          <w:rFonts w:asciiTheme="majorHAnsi" w:hAnsiTheme="majorHAnsi"/>
          <w:sz w:val="20"/>
          <w:szCs w:val="20"/>
          <w:lang w:val="en-US"/>
        </w:rPr>
        <w:t xml:space="preserve">, </w:t>
      </w:r>
      <w:r w:rsidRPr="000977F7">
        <w:rPr>
          <w:rFonts w:asciiTheme="majorHAnsi" w:hAnsiTheme="majorHAnsi"/>
          <w:sz w:val="20"/>
          <w:szCs w:val="20"/>
        </w:rPr>
        <w:t>щоб</w:t>
      </w:r>
      <w:r w:rsidRPr="004D2D14">
        <w:rPr>
          <w:rFonts w:asciiTheme="majorHAnsi" w:hAnsiTheme="majorHAnsi"/>
          <w:sz w:val="20"/>
          <w:szCs w:val="20"/>
          <w:lang w:val="en-US"/>
        </w:rPr>
        <w:t xml:space="preserve"> </w:t>
      </w:r>
      <w:r w:rsidRPr="000977F7">
        <w:rPr>
          <w:rFonts w:asciiTheme="majorHAnsi" w:hAnsiTheme="majorHAnsi"/>
          <w:sz w:val="20"/>
          <w:szCs w:val="20"/>
        </w:rPr>
        <w:t>усунути</w:t>
      </w:r>
      <w:r w:rsidRPr="004D2D14">
        <w:rPr>
          <w:rFonts w:asciiTheme="majorHAnsi" w:hAnsiTheme="majorHAnsi"/>
          <w:sz w:val="20"/>
          <w:szCs w:val="20"/>
          <w:lang w:val="en-US"/>
        </w:rPr>
        <w:t xml:space="preserve"> </w:t>
      </w:r>
      <w:r w:rsidRPr="000977F7">
        <w:rPr>
          <w:rFonts w:asciiTheme="majorHAnsi" w:hAnsiTheme="majorHAnsi"/>
          <w:sz w:val="20"/>
          <w:szCs w:val="20"/>
        </w:rPr>
        <w:t>причину</w:t>
      </w:r>
      <w:r w:rsidRPr="004D2D14">
        <w:rPr>
          <w:rFonts w:asciiTheme="majorHAnsi" w:hAnsiTheme="majorHAnsi"/>
          <w:sz w:val="20"/>
          <w:szCs w:val="20"/>
          <w:lang w:val="en-US"/>
        </w:rPr>
        <w:t xml:space="preserve"> </w:t>
      </w:r>
      <w:r w:rsidRPr="000977F7">
        <w:rPr>
          <w:rFonts w:asciiTheme="majorHAnsi" w:hAnsiTheme="majorHAnsi"/>
          <w:sz w:val="20"/>
          <w:szCs w:val="20"/>
        </w:rPr>
        <w:t>невідповідності</w:t>
      </w:r>
      <w:r w:rsidRPr="004D2D14">
        <w:rPr>
          <w:rFonts w:asciiTheme="majorHAnsi" w:hAnsiTheme="majorHAnsi"/>
          <w:spacing w:val="-3"/>
          <w:sz w:val="20"/>
          <w:szCs w:val="20"/>
          <w:lang w:val="en-US"/>
        </w:rPr>
        <w:t xml:space="preserve"> </w:t>
      </w:r>
      <w:r w:rsidRPr="000977F7">
        <w:rPr>
          <w:rFonts w:asciiTheme="majorHAnsi" w:hAnsiTheme="majorHAnsi"/>
          <w:sz w:val="20"/>
          <w:szCs w:val="20"/>
        </w:rPr>
        <w:t>та</w:t>
      </w:r>
      <w:r w:rsidRPr="004D2D14">
        <w:rPr>
          <w:rFonts w:asciiTheme="majorHAnsi" w:hAnsiTheme="majorHAnsi"/>
          <w:spacing w:val="-2"/>
          <w:sz w:val="20"/>
          <w:szCs w:val="20"/>
          <w:lang w:val="en-US"/>
        </w:rPr>
        <w:t xml:space="preserve"> </w:t>
      </w:r>
      <w:r w:rsidRPr="000977F7">
        <w:rPr>
          <w:rFonts w:asciiTheme="majorHAnsi" w:hAnsiTheme="majorHAnsi"/>
          <w:sz w:val="20"/>
          <w:szCs w:val="20"/>
        </w:rPr>
        <w:t>запобігти</w:t>
      </w:r>
      <w:r w:rsidRPr="004D2D14">
        <w:rPr>
          <w:rFonts w:asciiTheme="majorHAnsi" w:hAnsiTheme="majorHAnsi"/>
          <w:spacing w:val="-2"/>
          <w:sz w:val="20"/>
          <w:szCs w:val="20"/>
          <w:lang w:val="en-US"/>
        </w:rPr>
        <w:t xml:space="preserve"> </w:t>
      </w:r>
      <w:r w:rsidRPr="000977F7">
        <w:rPr>
          <w:rFonts w:asciiTheme="majorHAnsi" w:hAnsiTheme="majorHAnsi"/>
          <w:sz w:val="20"/>
          <w:szCs w:val="20"/>
        </w:rPr>
        <w:t>її</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повторному</w:t>
      </w:r>
      <w:r w:rsidRPr="004D2D14">
        <w:rPr>
          <w:rFonts w:asciiTheme="majorHAnsi" w:hAnsiTheme="majorHAnsi"/>
          <w:spacing w:val="-5"/>
          <w:sz w:val="20"/>
          <w:szCs w:val="20"/>
          <w:lang w:val="en-US"/>
        </w:rPr>
        <w:t xml:space="preserve"> </w:t>
      </w:r>
      <w:r w:rsidRPr="000977F7">
        <w:rPr>
          <w:rFonts w:asciiTheme="majorHAnsi" w:hAnsiTheme="majorHAnsi"/>
          <w:sz w:val="20"/>
          <w:szCs w:val="20"/>
        </w:rPr>
        <w:t>виникненню</w:t>
      </w:r>
      <w:r w:rsidRPr="004D2D14">
        <w:rPr>
          <w:rFonts w:asciiTheme="majorHAnsi" w:hAnsiTheme="majorHAnsi"/>
          <w:sz w:val="20"/>
          <w:szCs w:val="20"/>
          <w:lang w:val="en-US"/>
        </w:rPr>
        <w:t>.</w:t>
      </w:r>
    </w:p>
    <w:p w14:paraId="68ACE47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1"/>
          <w:sz w:val="20"/>
          <w:szCs w:val="20"/>
        </w:rPr>
        <w:t xml:space="preserve"> </w:t>
      </w:r>
      <w:r w:rsidRPr="000977F7">
        <w:rPr>
          <w:rFonts w:asciiTheme="majorHAnsi" w:hAnsiTheme="majorHAnsi"/>
          <w:sz w:val="20"/>
          <w:szCs w:val="20"/>
        </w:rPr>
        <w:t>1.</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кілька</w:t>
      </w:r>
      <w:r w:rsidRPr="000977F7">
        <w:rPr>
          <w:rFonts w:asciiTheme="majorHAnsi" w:hAnsiTheme="majorHAnsi"/>
          <w:spacing w:val="1"/>
          <w:sz w:val="20"/>
          <w:szCs w:val="20"/>
        </w:rPr>
        <w:t xml:space="preserve"> </w:t>
      </w:r>
      <w:r w:rsidRPr="000977F7">
        <w:rPr>
          <w:rFonts w:asciiTheme="majorHAnsi" w:hAnsiTheme="majorHAnsi"/>
          <w:sz w:val="20"/>
          <w:szCs w:val="20"/>
        </w:rPr>
        <w:t>причин</w:t>
      </w:r>
      <w:r w:rsidRPr="000977F7">
        <w:rPr>
          <w:rFonts w:asciiTheme="majorHAnsi" w:hAnsiTheme="majorHAnsi"/>
          <w:spacing w:val="1"/>
          <w:sz w:val="20"/>
          <w:szCs w:val="20"/>
        </w:rPr>
        <w:t xml:space="preserve"> </w:t>
      </w:r>
      <w:r w:rsidRPr="000977F7">
        <w:rPr>
          <w:rFonts w:asciiTheme="majorHAnsi" w:hAnsiTheme="majorHAnsi"/>
          <w:sz w:val="20"/>
          <w:szCs w:val="20"/>
        </w:rPr>
        <w:t>виникнення</w:t>
      </w:r>
      <w:r w:rsidRPr="000977F7">
        <w:rPr>
          <w:rFonts w:asciiTheme="majorHAnsi" w:hAnsiTheme="majorHAnsi"/>
          <w:spacing w:val="-47"/>
          <w:sz w:val="20"/>
          <w:szCs w:val="20"/>
        </w:rPr>
        <w:t xml:space="preserve"> </w:t>
      </w:r>
      <w:r w:rsidRPr="000977F7">
        <w:rPr>
          <w:rFonts w:asciiTheme="majorHAnsi" w:hAnsiTheme="majorHAnsi"/>
          <w:sz w:val="20"/>
          <w:szCs w:val="20"/>
        </w:rPr>
        <w:t>невідповідності.</w:t>
      </w:r>
    </w:p>
    <w:p w14:paraId="4BC4FFD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2. Коригувальну дію виконують, щоб запобігти повторному виникненню події, тоді як запобіжну</w:t>
      </w:r>
      <w:r w:rsidRPr="000977F7">
        <w:rPr>
          <w:rFonts w:asciiTheme="majorHAnsi" w:hAnsiTheme="majorHAnsi"/>
          <w:spacing w:val="-2"/>
          <w:sz w:val="20"/>
          <w:szCs w:val="20"/>
        </w:rPr>
        <w:t xml:space="preserve"> </w:t>
      </w:r>
      <w:r w:rsidRPr="000977F7">
        <w:rPr>
          <w:rFonts w:asciiTheme="majorHAnsi" w:hAnsiTheme="majorHAnsi"/>
          <w:sz w:val="20"/>
          <w:szCs w:val="20"/>
        </w:rPr>
        <w:t>дію</w:t>
      </w:r>
      <w:r w:rsidRPr="000977F7">
        <w:rPr>
          <w:rFonts w:asciiTheme="majorHAnsi" w:hAnsiTheme="majorHAnsi"/>
          <w:spacing w:val="2"/>
          <w:sz w:val="20"/>
          <w:szCs w:val="20"/>
        </w:rPr>
        <w:t xml:space="preserve"> </w:t>
      </w:r>
      <w:r w:rsidRPr="000977F7">
        <w:rPr>
          <w:rFonts w:asciiTheme="majorHAnsi" w:hAnsiTheme="majorHAnsi"/>
          <w:sz w:val="20"/>
          <w:szCs w:val="20"/>
        </w:rPr>
        <w:t>щоб</w:t>
      </w:r>
      <w:r w:rsidRPr="000977F7">
        <w:rPr>
          <w:rFonts w:asciiTheme="majorHAnsi" w:hAnsiTheme="majorHAnsi"/>
          <w:spacing w:val="-1"/>
          <w:sz w:val="20"/>
          <w:szCs w:val="20"/>
        </w:rPr>
        <w:t xml:space="preserve"> </w:t>
      </w:r>
      <w:r w:rsidRPr="000977F7">
        <w:rPr>
          <w:rFonts w:asciiTheme="majorHAnsi" w:hAnsiTheme="majorHAnsi"/>
          <w:sz w:val="20"/>
          <w:szCs w:val="20"/>
        </w:rPr>
        <w:t>запобігти виникненню</w:t>
      </w:r>
      <w:r w:rsidRPr="000977F7">
        <w:rPr>
          <w:rFonts w:asciiTheme="majorHAnsi" w:hAnsiTheme="majorHAnsi"/>
          <w:spacing w:val="-1"/>
          <w:sz w:val="20"/>
          <w:szCs w:val="20"/>
        </w:rPr>
        <w:t xml:space="preserve"> </w:t>
      </w:r>
      <w:r w:rsidRPr="000977F7">
        <w:rPr>
          <w:rFonts w:asciiTheme="majorHAnsi" w:hAnsiTheme="majorHAnsi"/>
          <w:sz w:val="20"/>
          <w:szCs w:val="20"/>
        </w:rPr>
        <w:t>події.</w:t>
      </w:r>
    </w:p>
    <w:p w14:paraId="5F98DDA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9000:2015</w:t>
      </w:r>
    </w:p>
    <w:p w14:paraId="067C797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КОРИГУВАЛЬНИЙ КОЕФІЦІЄНТ </w:t>
      </w:r>
      <w:r w:rsidRPr="000977F7">
        <w:rPr>
          <w:rFonts w:asciiTheme="majorHAnsi" w:hAnsiTheme="majorHAnsi"/>
          <w:i/>
          <w:sz w:val="20"/>
          <w:szCs w:val="20"/>
        </w:rPr>
        <w:t>–</w:t>
      </w:r>
      <w:r w:rsidRPr="000977F7">
        <w:rPr>
          <w:rFonts w:asciiTheme="majorHAnsi" w:hAnsiTheme="majorHAnsi"/>
          <w:i/>
          <w:spacing w:val="-48"/>
          <w:sz w:val="20"/>
          <w:szCs w:val="20"/>
        </w:rPr>
        <w:t xml:space="preserve"> </w:t>
      </w:r>
      <w:r w:rsidRPr="000977F7">
        <w:rPr>
          <w:rFonts w:asciiTheme="majorHAnsi" w:hAnsiTheme="majorHAnsi"/>
          <w:sz w:val="20"/>
          <w:szCs w:val="20"/>
        </w:rPr>
        <w:t>CORRECTION</w:t>
      </w:r>
      <w:r w:rsidRPr="000977F7">
        <w:rPr>
          <w:rFonts w:asciiTheme="majorHAnsi" w:hAnsiTheme="majorHAnsi"/>
          <w:spacing w:val="-1"/>
          <w:sz w:val="20"/>
          <w:szCs w:val="20"/>
        </w:rPr>
        <w:t xml:space="preserve"> </w:t>
      </w:r>
      <w:r w:rsidRPr="000977F7">
        <w:rPr>
          <w:rFonts w:asciiTheme="majorHAnsi" w:hAnsiTheme="majorHAnsi"/>
          <w:sz w:val="20"/>
          <w:szCs w:val="20"/>
        </w:rPr>
        <w:t>FACTOR</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04C47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Числовий коефіцієнт, на який помножують результат</w:t>
      </w:r>
      <w:r w:rsidRPr="000977F7">
        <w:rPr>
          <w:rFonts w:asciiTheme="majorHAnsi" w:hAnsiTheme="majorHAnsi"/>
          <w:spacing w:val="1"/>
          <w:sz w:val="20"/>
          <w:szCs w:val="20"/>
        </w:rPr>
        <w:t xml:space="preserve"> </w:t>
      </w:r>
      <w:r w:rsidRPr="000977F7">
        <w:rPr>
          <w:rFonts w:asciiTheme="majorHAnsi" w:hAnsiTheme="majorHAnsi"/>
          <w:sz w:val="20"/>
          <w:szCs w:val="20"/>
        </w:rPr>
        <w:t>вимірювання</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метою</w:t>
      </w:r>
      <w:r w:rsidRPr="000977F7">
        <w:rPr>
          <w:rFonts w:asciiTheme="majorHAnsi" w:hAnsiTheme="majorHAnsi"/>
          <w:spacing w:val="1"/>
          <w:sz w:val="20"/>
          <w:szCs w:val="20"/>
        </w:rPr>
        <w:t xml:space="preserve"> </w:t>
      </w:r>
      <w:r w:rsidRPr="000977F7">
        <w:rPr>
          <w:rFonts w:asciiTheme="majorHAnsi" w:hAnsiTheme="majorHAnsi"/>
          <w:sz w:val="20"/>
          <w:szCs w:val="20"/>
        </w:rPr>
        <w:t>вилучення</w:t>
      </w:r>
      <w:r w:rsidRPr="000977F7">
        <w:rPr>
          <w:rFonts w:asciiTheme="majorHAnsi" w:hAnsiTheme="majorHAnsi"/>
          <w:spacing w:val="1"/>
          <w:sz w:val="20"/>
          <w:szCs w:val="20"/>
        </w:rPr>
        <w:t xml:space="preserve"> </w:t>
      </w:r>
      <w:r w:rsidRPr="000977F7">
        <w:rPr>
          <w:rFonts w:asciiTheme="majorHAnsi" w:hAnsiTheme="majorHAnsi"/>
          <w:sz w:val="20"/>
          <w:szCs w:val="20"/>
        </w:rPr>
        <w:t>систематичної</w:t>
      </w:r>
      <w:r w:rsidRPr="000977F7">
        <w:rPr>
          <w:rFonts w:asciiTheme="majorHAnsi" w:hAnsiTheme="majorHAnsi"/>
          <w:spacing w:val="1"/>
          <w:sz w:val="20"/>
          <w:szCs w:val="20"/>
        </w:rPr>
        <w:t xml:space="preserve"> </w:t>
      </w:r>
      <w:r w:rsidRPr="000977F7">
        <w:rPr>
          <w:rFonts w:asciiTheme="majorHAnsi" w:hAnsiTheme="majorHAnsi"/>
          <w:sz w:val="20"/>
          <w:szCs w:val="20"/>
        </w:rPr>
        <w:t>похибки</w:t>
      </w:r>
    </w:p>
    <w:p w14:paraId="396F7748"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 94</w:t>
      </w:r>
    </w:p>
    <w:p w14:paraId="043FE37F"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КОРИГУВАННЯ –</w:t>
      </w:r>
      <w:r w:rsidRPr="000977F7">
        <w:rPr>
          <w:rFonts w:asciiTheme="majorHAnsi" w:hAnsiTheme="majorHAnsi"/>
          <w:b/>
          <w:spacing w:val="-47"/>
          <w:sz w:val="20"/>
          <w:szCs w:val="20"/>
        </w:rPr>
        <w:t xml:space="preserve"> </w:t>
      </w:r>
    </w:p>
    <w:p w14:paraId="2207268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CORRECTION -</w:t>
      </w:r>
    </w:p>
    <w:p w14:paraId="075EB7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 яку виконують, щоб усунути виявлену невідповідність.</w:t>
      </w:r>
    </w:p>
    <w:p w14:paraId="57B39AB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Коригування можна провадити перед коригувальною</w:t>
      </w:r>
      <w:r w:rsidRPr="000977F7">
        <w:rPr>
          <w:rFonts w:asciiTheme="majorHAnsi" w:hAnsiTheme="majorHAnsi"/>
          <w:spacing w:val="-1"/>
          <w:sz w:val="20"/>
          <w:szCs w:val="20"/>
        </w:rPr>
        <w:t xml:space="preserve"> </w:t>
      </w:r>
      <w:r w:rsidRPr="000977F7">
        <w:rPr>
          <w:rFonts w:asciiTheme="majorHAnsi" w:hAnsiTheme="majorHAnsi"/>
          <w:sz w:val="20"/>
          <w:szCs w:val="20"/>
        </w:rPr>
        <w:t>дією,</w:t>
      </w:r>
      <w:r w:rsidRPr="000977F7">
        <w:rPr>
          <w:rFonts w:asciiTheme="majorHAnsi" w:hAnsiTheme="majorHAnsi"/>
          <w:spacing w:val="-1"/>
          <w:sz w:val="20"/>
          <w:szCs w:val="20"/>
        </w:rPr>
        <w:t xml:space="preserve"> </w:t>
      </w:r>
      <w:r w:rsidRPr="000977F7">
        <w:rPr>
          <w:rFonts w:asciiTheme="majorHAnsi" w:hAnsiTheme="majorHAnsi"/>
          <w:sz w:val="20"/>
          <w:szCs w:val="20"/>
        </w:rPr>
        <w:t>разом з</w:t>
      </w:r>
      <w:r w:rsidRPr="000977F7">
        <w:rPr>
          <w:rFonts w:asciiTheme="majorHAnsi" w:hAnsiTheme="majorHAnsi"/>
          <w:spacing w:val="-1"/>
          <w:sz w:val="20"/>
          <w:szCs w:val="20"/>
        </w:rPr>
        <w:t xml:space="preserve"> </w:t>
      </w:r>
      <w:r w:rsidRPr="000977F7">
        <w:rPr>
          <w:rFonts w:asciiTheme="majorHAnsi" w:hAnsiTheme="majorHAnsi"/>
          <w:sz w:val="20"/>
          <w:szCs w:val="20"/>
        </w:rPr>
        <w:t>нею</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після</w:t>
      </w:r>
      <w:r w:rsidRPr="000977F7">
        <w:rPr>
          <w:rFonts w:asciiTheme="majorHAnsi" w:hAnsiTheme="majorHAnsi"/>
          <w:spacing w:val="1"/>
          <w:sz w:val="20"/>
          <w:szCs w:val="20"/>
        </w:rPr>
        <w:t xml:space="preserve"> </w:t>
      </w:r>
      <w:r w:rsidRPr="000977F7">
        <w:rPr>
          <w:rFonts w:asciiTheme="majorHAnsi" w:hAnsiTheme="majorHAnsi"/>
          <w:sz w:val="20"/>
          <w:szCs w:val="20"/>
        </w:rPr>
        <w:t>неї.</w:t>
      </w:r>
    </w:p>
    <w:p w14:paraId="204470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5"/>
          <w:sz w:val="20"/>
          <w:szCs w:val="20"/>
        </w:rPr>
        <w:t xml:space="preserve"> </w:t>
      </w:r>
      <w:r w:rsidRPr="000977F7">
        <w:rPr>
          <w:rFonts w:asciiTheme="majorHAnsi" w:hAnsiTheme="majorHAnsi"/>
          <w:sz w:val="20"/>
          <w:szCs w:val="20"/>
        </w:rPr>
        <w:t>2.</w:t>
      </w:r>
      <w:r w:rsidRPr="000977F7">
        <w:rPr>
          <w:rFonts w:asciiTheme="majorHAnsi" w:hAnsiTheme="majorHAnsi"/>
          <w:spacing w:val="-4"/>
          <w:sz w:val="20"/>
          <w:szCs w:val="20"/>
        </w:rPr>
        <w:t xml:space="preserve"> </w:t>
      </w:r>
      <w:r w:rsidRPr="000977F7">
        <w:rPr>
          <w:rFonts w:asciiTheme="majorHAnsi" w:hAnsiTheme="majorHAnsi"/>
          <w:sz w:val="20"/>
          <w:szCs w:val="20"/>
        </w:rPr>
        <w:t>Коригуванням</w:t>
      </w:r>
      <w:r w:rsidRPr="000977F7">
        <w:rPr>
          <w:rFonts w:asciiTheme="majorHAnsi" w:hAnsiTheme="majorHAnsi"/>
          <w:spacing w:val="-4"/>
          <w:sz w:val="20"/>
          <w:szCs w:val="20"/>
        </w:rPr>
        <w:t xml:space="preserve"> </w:t>
      </w:r>
      <w:r w:rsidRPr="000977F7">
        <w:rPr>
          <w:rFonts w:asciiTheme="majorHAnsi" w:hAnsiTheme="majorHAnsi"/>
          <w:sz w:val="20"/>
          <w:szCs w:val="20"/>
        </w:rPr>
        <w:t>може</w:t>
      </w:r>
      <w:r w:rsidRPr="000977F7">
        <w:rPr>
          <w:rFonts w:asciiTheme="majorHAnsi" w:hAnsiTheme="majorHAnsi"/>
          <w:spacing w:val="-4"/>
          <w:sz w:val="20"/>
          <w:szCs w:val="20"/>
        </w:rPr>
        <w:t xml:space="preserve"> </w:t>
      </w:r>
      <w:r w:rsidRPr="000977F7">
        <w:rPr>
          <w:rFonts w:asciiTheme="majorHAnsi" w:hAnsiTheme="majorHAnsi"/>
          <w:sz w:val="20"/>
          <w:szCs w:val="20"/>
        </w:rPr>
        <w:t>бути,</w:t>
      </w:r>
      <w:r w:rsidRPr="000977F7">
        <w:rPr>
          <w:rFonts w:asciiTheme="majorHAnsi" w:hAnsiTheme="majorHAnsi"/>
          <w:spacing w:val="-4"/>
          <w:sz w:val="20"/>
          <w:szCs w:val="20"/>
        </w:rPr>
        <w:t xml:space="preserve"> </w:t>
      </w:r>
      <w:r w:rsidRPr="000977F7">
        <w:rPr>
          <w:rFonts w:asciiTheme="majorHAnsi" w:hAnsiTheme="majorHAnsi"/>
          <w:sz w:val="20"/>
          <w:szCs w:val="20"/>
        </w:rPr>
        <w:t>наприклад,</w:t>
      </w:r>
      <w:r w:rsidRPr="000977F7">
        <w:rPr>
          <w:rFonts w:asciiTheme="majorHAnsi" w:hAnsiTheme="majorHAnsi"/>
          <w:spacing w:val="-47"/>
          <w:sz w:val="20"/>
          <w:szCs w:val="20"/>
        </w:rPr>
        <w:t xml:space="preserve"> </w:t>
      </w:r>
      <w:r w:rsidRPr="000977F7">
        <w:rPr>
          <w:rFonts w:asciiTheme="majorHAnsi" w:hAnsiTheme="majorHAnsi"/>
          <w:sz w:val="20"/>
          <w:szCs w:val="20"/>
        </w:rPr>
        <w:t>переробляння</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зниження</w:t>
      </w:r>
      <w:r w:rsidRPr="000977F7">
        <w:rPr>
          <w:rFonts w:asciiTheme="majorHAnsi" w:hAnsiTheme="majorHAnsi"/>
          <w:spacing w:val="1"/>
          <w:sz w:val="20"/>
          <w:szCs w:val="20"/>
        </w:rPr>
        <w:t xml:space="preserve"> </w:t>
      </w:r>
      <w:r w:rsidRPr="000977F7">
        <w:rPr>
          <w:rFonts w:asciiTheme="majorHAnsi" w:hAnsiTheme="majorHAnsi"/>
          <w:sz w:val="20"/>
          <w:szCs w:val="20"/>
        </w:rPr>
        <w:t>рівня</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p>
    <w:p w14:paraId="7C8A597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9000:2015</w:t>
      </w:r>
    </w:p>
    <w:p w14:paraId="6297086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КОРИГУВАННЯ</w:t>
      </w:r>
      <w:r w:rsidRPr="000977F7">
        <w:rPr>
          <w:color w:val="auto"/>
          <w:spacing w:val="-6"/>
          <w:sz w:val="20"/>
          <w:szCs w:val="20"/>
        </w:rPr>
        <w:t xml:space="preserve"> </w:t>
      </w:r>
      <w:r w:rsidRPr="000977F7">
        <w:rPr>
          <w:color w:val="auto"/>
          <w:sz w:val="20"/>
          <w:szCs w:val="20"/>
        </w:rPr>
        <w:t>ТЕХНІЧНОЇ</w:t>
      </w:r>
      <w:r w:rsidRPr="000977F7">
        <w:rPr>
          <w:color w:val="auto"/>
          <w:spacing w:val="-6"/>
          <w:sz w:val="20"/>
          <w:szCs w:val="20"/>
        </w:rPr>
        <w:t xml:space="preserve"> </w:t>
      </w:r>
      <w:r w:rsidRPr="000977F7">
        <w:rPr>
          <w:color w:val="auto"/>
          <w:sz w:val="20"/>
          <w:szCs w:val="20"/>
        </w:rPr>
        <w:t>ДОКУМЕНТАЦІЇ</w:t>
      </w:r>
      <w:r w:rsidRPr="000977F7">
        <w:rPr>
          <w:color w:val="auto"/>
          <w:spacing w:val="-3"/>
          <w:sz w:val="20"/>
          <w:szCs w:val="20"/>
        </w:rPr>
        <w:t xml:space="preserve"> </w:t>
      </w:r>
    </w:p>
    <w:p w14:paraId="572AB0C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w:t>
      </w:r>
      <w:r w:rsidRPr="000977F7">
        <w:rPr>
          <w:rFonts w:asciiTheme="majorHAnsi" w:hAnsiTheme="majorHAnsi"/>
          <w:spacing w:val="26"/>
          <w:sz w:val="20"/>
          <w:szCs w:val="20"/>
        </w:rPr>
        <w:t xml:space="preserve"> </w:t>
      </w:r>
      <w:r w:rsidRPr="000977F7">
        <w:rPr>
          <w:rFonts w:asciiTheme="majorHAnsi" w:hAnsiTheme="majorHAnsi"/>
          <w:sz w:val="20"/>
          <w:szCs w:val="20"/>
        </w:rPr>
        <w:t>розроблення</w:t>
      </w:r>
      <w:r w:rsidRPr="000977F7">
        <w:rPr>
          <w:rFonts w:asciiTheme="majorHAnsi" w:hAnsiTheme="majorHAnsi"/>
          <w:spacing w:val="26"/>
          <w:sz w:val="20"/>
          <w:szCs w:val="20"/>
        </w:rPr>
        <w:t xml:space="preserve"> </w:t>
      </w:r>
      <w:r w:rsidRPr="000977F7">
        <w:rPr>
          <w:rFonts w:asciiTheme="majorHAnsi" w:hAnsiTheme="majorHAnsi"/>
          <w:sz w:val="20"/>
          <w:szCs w:val="20"/>
        </w:rPr>
        <w:t>та</w:t>
      </w:r>
      <w:r w:rsidRPr="000977F7">
        <w:rPr>
          <w:rFonts w:asciiTheme="majorHAnsi" w:hAnsiTheme="majorHAnsi"/>
          <w:spacing w:val="27"/>
          <w:sz w:val="20"/>
          <w:szCs w:val="20"/>
        </w:rPr>
        <w:t xml:space="preserve"> </w:t>
      </w:r>
      <w:r w:rsidRPr="000977F7">
        <w:rPr>
          <w:rFonts w:asciiTheme="majorHAnsi" w:hAnsiTheme="majorHAnsi"/>
          <w:sz w:val="20"/>
          <w:szCs w:val="20"/>
        </w:rPr>
        <w:t>внесення</w:t>
      </w:r>
      <w:r w:rsidRPr="000977F7">
        <w:rPr>
          <w:rFonts w:asciiTheme="majorHAnsi" w:hAnsiTheme="majorHAnsi"/>
          <w:spacing w:val="25"/>
          <w:sz w:val="20"/>
          <w:szCs w:val="20"/>
        </w:rPr>
        <w:t xml:space="preserve"> </w:t>
      </w:r>
      <w:r w:rsidRPr="000977F7">
        <w:rPr>
          <w:rFonts w:asciiTheme="majorHAnsi" w:hAnsiTheme="majorHAnsi"/>
          <w:sz w:val="20"/>
          <w:szCs w:val="20"/>
        </w:rPr>
        <w:t>змін</w:t>
      </w:r>
      <w:r w:rsidRPr="000977F7">
        <w:rPr>
          <w:rFonts w:asciiTheme="majorHAnsi" w:hAnsiTheme="majorHAnsi"/>
          <w:spacing w:val="25"/>
          <w:sz w:val="20"/>
          <w:szCs w:val="20"/>
        </w:rPr>
        <w:t xml:space="preserve"> </w:t>
      </w:r>
      <w:r w:rsidRPr="000977F7">
        <w:rPr>
          <w:rFonts w:asciiTheme="majorHAnsi" w:hAnsiTheme="majorHAnsi"/>
          <w:sz w:val="20"/>
          <w:szCs w:val="20"/>
        </w:rPr>
        <w:t>до</w:t>
      </w:r>
      <w:r w:rsidRPr="000977F7">
        <w:rPr>
          <w:rFonts w:asciiTheme="majorHAnsi" w:hAnsiTheme="majorHAnsi"/>
          <w:spacing w:val="27"/>
          <w:sz w:val="20"/>
          <w:szCs w:val="20"/>
        </w:rPr>
        <w:t xml:space="preserve"> </w:t>
      </w:r>
      <w:r w:rsidRPr="000977F7">
        <w:rPr>
          <w:rFonts w:asciiTheme="majorHAnsi" w:hAnsiTheme="majorHAnsi"/>
          <w:sz w:val="20"/>
          <w:szCs w:val="20"/>
        </w:rPr>
        <w:t>затвердженої</w:t>
      </w:r>
      <w:r w:rsidRPr="000977F7">
        <w:rPr>
          <w:rFonts w:asciiTheme="majorHAnsi" w:hAnsiTheme="majorHAnsi"/>
          <w:spacing w:val="-2"/>
          <w:sz w:val="20"/>
          <w:szCs w:val="20"/>
        </w:rPr>
        <w:t xml:space="preserve"> </w:t>
      </w:r>
      <w:r w:rsidRPr="000977F7">
        <w:rPr>
          <w:rFonts w:asciiTheme="majorHAnsi" w:hAnsiTheme="majorHAnsi"/>
          <w:sz w:val="20"/>
          <w:szCs w:val="20"/>
        </w:rPr>
        <w:t>технічної</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документації</w:t>
      </w:r>
    </w:p>
    <w:p w14:paraId="1BCCE68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95</w:t>
      </w:r>
    </w:p>
    <w:p w14:paraId="1EB4F59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КОРИСНИЙ ТЕРМІН СЛУЖБИ </w:t>
      </w:r>
      <w:r w:rsidRPr="000977F7">
        <w:rPr>
          <w:rFonts w:asciiTheme="majorHAnsi" w:hAnsiTheme="majorHAnsi"/>
          <w:sz w:val="20"/>
          <w:szCs w:val="20"/>
        </w:rPr>
        <w:t>–</w:t>
      </w:r>
    </w:p>
    <w:p w14:paraId="1F3EFB0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pacing w:val="-47"/>
          <w:sz w:val="20"/>
          <w:szCs w:val="20"/>
        </w:rPr>
        <w:t xml:space="preserve"> </w:t>
      </w:r>
      <w:r w:rsidRPr="000977F7">
        <w:rPr>
          <w:rFonts w:asciiTheme="majorHAnsi" w:hAnsiTheme="majorHAnsi"/>
          <w:sz w:val="20"/>
          <w:szCs w:val="20"/>
        </w:rPr>
        <w:t>USEFUL</w:t>
      </w:r>
      <w:r w:rsidRPr="000977F7">
        <w:rPr>
          <w:rFonts w:asciiTheme="majorHAnsi" w:hAnsiTheme="majorHAnsi"/>
          <w:spacing w:val="-1"/>
          <w:sz w:val="20"/>
          <w:szCs w:val="20"/>
        </w:rPr>
        <w:t xml:space="preserve"> </w:t>
      </w:r>
      <w:r w:rsidRPr="000977F7">
        <w:rPr>
          <w:rFonts w:asciiTheme="majorHAnsi" w:hAnsiTheme="majorHAnsi"/>
          <w:sz w:val="20"/>
          <w:szCs w:val="20"/>
        </w:rPr>
        <w:t>LIFE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E2FF1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Період часу від заданого моменту, протягом якого в</w:t>
      </w:r>
      <w:r w:rsidRPr="000977F7">
        <w:rPr>
          <w:rFonts w:asciiTheme="majorHAnsi" w:hAnsiTheme="majorHAnsi"/>
          <w:spacing w:val="1"/>
          <w:sz w:val="20"/>
          <w:szCs w:val="20"/>
        </w:rPr>
        <w:t xml:space="preserve"> </w:t>
      </w:r>
      <w:r w:rsidRPr="000977F7">
        <w:rPr>
          <w:rFonts w:asciiTheme="majorHAnsi" w:hAnsiTheme="majorHAnsi"/>
          <w:sz w:val="20"/>
          <w:szCs w:val="20"/>
        </w:rPr>
        <w:t>заданих</w:t>
      </w:r>
      <w:r w:rsidRPr="000977F7">
        <w:rPr>
          <w:rFonts w:asciiTheme="majorHAnsi" w:hAnsiTheme="majorHAnsi"/>
          <w:spacing w:val="1"/>
          <w:sz w:val="20"/>
          <w:szCs w:val="20"/>
        </w:rPr>
        <w:t xml:space="preserve"> </w:t>
      </w:r>
      <w:r w:rsidRPr="000977F7">
        <w:rPr>
          <w:rFonts w:asciiTheme="majorHAnsi" w:hAnsiTheme="majorHAnsi"/>
          <w:sz w:val="20"/>
          <w:szCs w:val="20"/>
        </w:rPr>
        <w:t>умовах</w:t>
      </w:r>
      <w:r w:rsidRPr="000977F7">
        <w:rPr>
          <w:rFonts w:asciiTheme="majorHAnsi" w:hAnsiTheme="majorHAnsi"/>
          <w:spacing w:val="1"/>
          <w:sz w:val="20"/>
          <w:szCs w:val="20"/>
        </w:rPr>
        <w:t xml:space="preserve"> </w:t>
      </w:r>
      <w:r w:rsidRPr="000977F7">
        <w:rPr>
          <w:rFonts w:asciiTheme="majorHAnsi" w:hAnsiTheme="majorHAnsi"/>
          <w:sz w:val="20"/>
          <w:szCs w:val="20"/>
        </w:rPr>
        <w:t>виріб</w:t>
      </w:r>
      <w:r w:rsidRPr="000977F7">
        <w:rPr>
          <w:rFonts w:asciiTheme="majorHAnsi" w:hAnsiTheme="majorHAnsi"/>
          <w:spacing w:val="1"/>
          <w:sz w:val="20"/>
          <w:szCs w:val="20"/>
        </w:rPr>
        <w:t xml:space="preserve"> </w:t>
      </w:r>
      <w:r w:rsidRPr="000977F7">
        <w:rPr>
          <w:rFonts w:asciiTheme="majorHAnsi" w:hAnsiTheme="majorHAnsi"/>
          <w:sz w:val="20"/>
          <w:szCs w:val="20"/>
        </w:rPr>
        <w:t>має</w:t>
      </w:r>
      <w:r w:rsidRPr="000977F7">
        <w:rPr>
          <w:rFonts w:asciiTheme="majorHAnsi" w:hAnsiTheme="majorHAnsi"/>
          <w:spacing w:val="1"/>
          <w:sz w:val="20"/>
          <w:szCs w:val="20"/>
        </w:rPr>
        <w:t xml:space="preserve"> </w:t>
      </w:r>
      <w:r w:rsidRPr="000977F7">
        <w:rPr>
          <w:rFonts w:asciiTheme="majorHAnsi" w:hAnsiTheme="majorHAnsi"/>
          <w:sz w:val="20"/>
          <w:szCs w:val="20"/>
        </w:rPr>
        <w:t>прийнятну</w:t>
      </w:r>
      <w:r w:rsidRPr="000977F7">
        <w:rPr>
          <w:rFonts w:asciiTheme="majorHAnsi" w:hAnsiTheme="majorHAnsi"/>
          <w:spacing w:val="1"/>
          <w:sz w:val="20"/>
          <w:szCs w:val="20"/>
        </w:rPr>
        <w:t xml:space="preserve"> </w:t>
      </w:r>
      <w:r w:rsidRPr="000977F7">
        <w:rPr>
          <w:rFonts w:asciiTheme="majorHAnsi" w:hAnsiTheme="majorHAnsi"/>
          <w:sz w:val="20"/>
          <w:szCs w:val="20"/>
        </w:rPr>
        <w:t>інтенсивність</w:t>
      </w:r>
      <w:r w:rsidRPr="000977F7">
        <w:rPr>
          <w:rFonts w:asciiTheme="majorHAnsi" w:hAnsiTheme="majorHAnsi"/>
          <w:spacing w:val="1"/>
          <w:sz w:val="20"/>
          <w:szCs w:val="20"/>
        </w:rPr>
        <w:t xml:space="preserve"> </w:t>
      </w:r>
      <w:r w:rsidRPr="000977F7">
        <w:rPr>
          <w:rFonts w:asciiTheme="majorHAnsi" w:hAnsiTheme="majorHAnsi"/>
          <w:sz w:val="20"/>
          <w:szCs w:val="20"/>
        </w:rPr>
        <w:t>відмов, або період часу від заданого моменту до виникнення відмови, в результаті якої виріб неможливо</w:t>
      </w:r>
      <w:r w:rsidRPr="000977F7">
        <w:rPr>
          <w:rFonts w:asciiTheme="majorHAnsi" w:hAnsiTheme="majorHAnsi"/>
          <w:spacing w:val="1"/>
          <w:sz w:val="20"/>
          <w:szCs w:val="20"/>
        </w:rPr>
        <w:t xml:space="preserve"> </w:t>
      </w:r>
      <w:r w:rsidRPr="000977F7">
        <w:rPr>
          <w:rFonts w:asciiTheme="majorHAnsi" w:hAnsiTheme="majorHAnsi"/>
          <w:sz w:val="20"/>
          <w:szCs w:val="20"/>
        </w:rPr>
        <w:t>відремонтувати</w:t>
      </w:r>
    </w:p>
    <w:p w14:paraId="2054D9D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236FE9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Для ремонтованих виробів корисний термін служби</w:t>
      </w:r>
      <w:r w:rsidRPr="000977F7">
        <w:rPr>
          <w:rFonts w:asciiTheme="majorHAnsi" w:hAnsiTheme="majorHAnsi"/>
          <w:spacing w:val="1"/>
          <w:sz w:val="20"/>
          <w:szCs w:val="20"/>
        </w:rPr>
        <w:t xml:space="preserve"> </w:t>
      </w:r>
      <w:r w:rsidRPr="000977F7">
        <w:rPr>
          <w:rFonts w:asciiTheme="majorHAnsi" w:hAnsiTheme="majorHAnsi"/>
          <w:sz w:val="20"/>
          <w:szCs w:val="20"/>
        </w:rPr>
        <w:t>може закінчитися у зв’язку з відмовою, яка за деяких</w:t>
      </w:r>
      <w:r w:rsidRPr="000977F7">
        <w:rPr>
          <w:rFonts w:asciiTheme="majorHAnsi" w:hAnsiTheme="majorHAnsi"/>
          <w:spacing w:val="1"/>
          <w:sz w:val="20"/>
          <w:szCs w:val="20"/>
        </w:rPr>
        <w:t xml:space="preserve"> </w:t>
      </w:r>
      <w:r w:rsidRPr="000977F7">
        <w:rPr>
          <w:rFonts w:asciiTheme="majorHAnsi" w:hAnsiTheme="majorHAnsi"/>
          <w:sz w:val="20"/>
          <w:szCs w:val="20"/>
        </w:rPr>
        <w:t>причин</w:t>
      </w:r>
      <w:r w:rsidRPr="000977F7">
        <w:rPr>
          <w:rFonts w:asciiTheme="majorHAnsi" w:hAnsiTheme="majorHAnsi"/>
          <w:spacing w:val="-2"/>
          <w:sz w:val="20"/>
          <w:szCs w:val="20"/>
        </w:rPr>
        <w:t xml:space="preserve"> </w:t>
      </w:r>
      <w:r w:rsidRPr="000977F7">
        <w:rPr>
          <w:rFonts w:asciiTheme="majorHAnsi" w:hAnsiTheme="majorHAnsi"/>
          <w:sz w:val="20"/>
          <w:szCs w:val="20"/>
        </w:rPr>
        <w:t>вважається</w:t>
      </w:r>
      <w:r w:rsidRPr="000977F7">
        <w:rPr>
          <w:rFonts w:asciiTheme="majorHAnsi" w:hAnsiTheme="majorHAnsi"/>
          <w:spacing w:val="-1"/>
          <w:sz w:val="20"/>
          <w:szCs w:val="20"/>
        </w:rPr>
        <w:t xml:space="preserve"> </w:t>
      </w:r>
      <w:r w:rsidRPr="000977F7">
        <w:rPr>
          <w:rFonts w:asciiTheme="majorHAnsi" w:hAnsiTheme="majorHAnsi"/>
          <w:sz w:val="20"/>
          <w:szCs w:val="20"/>
        </w:rPr>
        <w:t>неусувною</w:t>
      </w:r>
    </w:p>
    <w:p w14:paraId="42D140F1"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bookmarkStart w:id="111" w:name="_Hlk102457031"/>
      <w:r w:rsidRPr="000977F7">
        <w:rPr>
          <w:rFonts w:asciiTheme="majorHAnsi" w:hAnsiTheme="majorHAnsi"/>
          <w:b/>
          <w:sz w:val="20"/>
          <w:szCs w:val="20"/>
        </w:rPr>
        <w:t xml:space="preserve">КОРИСНИЙ ЧАС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70B53AF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AVIALABLE</w:t>
      </w:r>
      <w:r w:rsidRPr="000977F7">
        <w:rPr>
          <w:rFonts w:asciiTheme="majorHAnsi" w:hAnsiTheme="majorHAnsi"/>
          <w:spacing w:val="-8"/>
          <w:sz w:val="20"/>
          <w:szCs w:val="20"/>
        </w:rPr>
        <w:t xml:space="preserve"> </w:t>
      </w:r>
      <w:r w:rsidRPr="000977F7">
        <w:rPr>
          <w:rFonts w:asciiTheme="majorHAnsi" w:hAnsiTheme="majorHAnsi"/>
          <w:sz w:val="20"/>
          <w:szCs w:val="20"/>
        </w:rPr>
        <w:t>TIME</w:t>
      </w:r>
      <w:r w:rsidRPr="000977F7">
        <w:rPr>
          <w:rFonts w:asciiTheme="majorHAnsi" w:hAnsiTheme="majorHAnsi"/>
          <w:spacing w:val="-5"/>
          <w:sz w:val="20"/>
          <w:szCs w:val="20"/>
        </w:rPr>
        <w:t xml:space="preserve"> </w:t>
      </w:r>
      <w:bookmarkEnd w:id="111"/>
      <w:r w:rsidRPr="000977F7">
        <w:rPr>
          <w:rFonts w:asciiTheme="majorHAnsi" w:hAnsiTheme="majorHAnsi"/>
          <w:sz w:val="20"/>
          <w:szCs w:val="20"/>
        </w:rPr>
        <w:t>–</w:t>
      </w:r>
    </w:p>
    <w:p w14:paraId="73A4C2C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точки</w:t>
      </w:r>
      <w:r w:rsidRPr="000977F7">
        <w:rPr>
          <w:rFonts w:asciiTheme="majorHAnsi" w:hAnsiTheme="majorHAnsi"/>
          <w:spacing w:val="1"/>
          <w:sz w:val="20"/>
          <w:szCs w:val="20"/>
        </w:rPr>
        <w:t xml:space="preserve"> </w:t>
      </w:r>
      <w:r w:rsidRPr="000977F7">
        <w:rPr>
          <w:rFonts w:asciiTheme="majorHAnsi" w:hAnsiTheme="majorHAnsi"/>
          <w:sz w:val="20"/>
          <w:szCs w:val="20"/>
        </w:rPr>
        <w:t>зору користувача</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це</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протягом</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47"/>
          <w:sz w:val="20"/>
          <w:szCs w:val="20"/>
        </w:rPr>
        <w:t xml:space="preserve"> </w:t>
      </w:r>
      <w:r w:rsidRPr="000977F7">
        <w:rPr>
          <w:rFonts w:asciiTheme="majorHAnsi" w:hAnsiTheme="majorHAnsi"/>
          <w:sz w:val="20"/>
          <w:szCs w:val="20"/>
        </w:rPr>
        <w:t>функціональний блок може використовуватися</w:t>
      </w:r>
    </w:p>
    <w:p w14:paraId="12D1B94B"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b/>
          <w:bCs/>
          <w:sz w:val="20"/>
          <w:szCs w:val="20"/>
          <w:lang w:eastAsia="ru-RU"/>
        </w:rPr>
      </w:pPr>
      <w:r w:rsidRPr="000977F7">
        <w:rPr>
          <w:rFonts w:asciiTheme="majorHAnsi" w:hAnsiTheme="majorHAnsi"/>
          <w:b/>
          <w:bCs/>
          <w:sz w:val="20"/>
          <w:szCs w:val="20"/>
          <w:lang w:eastAsia="ru-RU"/>
        </w:rPr>
        <w:t>КОРИСТУВАЧ –</w:t>
      </w:r>
    </w:p>
    <w:p w14:paraId="12BE3A1B"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Фізична особа, яка придбаває, замовляє, використовує або має намір придбати чи замовити продукцію для потреб, пов'язаних із здійсненням господарської діяльності, або для забезпечення виконання обов'язків найманим працівником, чи юридична особа, яка придбаває, замовляє, використовує або має намір придбати чи замовити продукцію</w:t>
      </w:r>
    </w:p>
    <w:p w14:paraId="26C7D8B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i/>
          <w:iCs/>
          <w:sz w:val="20"/>
          <w:szCs w:val="20"/>
        </w:rPr>
        <w:t>Закон України "Про загальну безпечність нехарчової продукції"</w:t>
      </w:r>
    </w:p>
    <w:p w14:paraId="5BD14263"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КОРОЗІЙНЕ</w:t>
      </w:r>
      <w:r w:rsidRPr="004D2D14">
        <w:rPr>
          <w:rFonts w:asciiTheme="majorHAnsi" w:hAnsiTheme="majorHAnsi"/>
          <w:b/>
          <w:spacing w:val="-2"/>
          <w:sz w:val="20"/>
          <w:szCs w:val="20"/>
          <w:lang w:val="en-US"/>
        </w:rPr>
        <w:t xml:space="preserve"> </w:t>
      </w:r>
      <w:r w:rsidRPr="000977F7">
        <w:rPr>
          <w:rFonts w:asciiTheme="majorHAnsi" w:hAnsiTheme="majorHAnsi"/>
          <w:b/>
          <w:sz w:val="20"/>
          <w:szCs w:val="20"/>
        </w:rPr>
        <w:t>РОЗТРІСКУВАННЯ</w:t>
      </w:r>
      <w:r w:rsidRPr="004D2D14">
        <w:rPr>
          <w:rFonts w:asciiTheme="majorHAnsi" w:hAnsiTheme="majorHAnsi"/>
          <w:b/>
          <w:spacing w:val="1"/>
          <w:sz w:val="20"/>
          <w:szCs w:val="20"/>
          <w:lang w:val="en-US"/>
        </w:rPr>
        <w:t xml:space="preserve"> </w:t>
      </w:r>
      <w:r w:rsidRPr="004D2D14">
        <w:rPr>
          <w:rFonts w:asciiTheme="majorHAnsi" w:hAnsiTheme="majorHAnsi"/>
          <w:b/>
          <w:sz w:val="20"/>
          <w:szCs w:val="20"/>
          <w:lang w:val="en-US"/>
        </w:rPr>
        <w:t>—</w:t>
      </w:r>
    </w:p>
    <w:p w14:paraId="05ECB75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STRESS</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CORROSION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CRACKING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65435E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Руйнування</w:t>
      </w:r>
      <w:r w:rsidRPr="000977F7">
        <w:rPr>
          <w:rFonts w:asciiTheme="majorHAnsi" w:hAnsiTheme="majorHAnsi"/>
          <w:spacing w:val="1"/>
          <w:sz w:val="20"/>
          <w:szCs w:val="20"/>
        </w:rPr>
        <w:t xml:space="preserve"> </w:t>
      </w:r>
      <w:r w:rsidRPr="000977F7">
        <w:rPr>
          <w:rFonts w:asciiTheme="majorHAnsi" w:hAnsiTheme="majorHAnsi"/>
          <w:sz w:val="20"/>
          <w:szCs w:val="20"/>
        </w:rPr>
        <w:t>металу,</w:t>
      </w:r>
      <w:r w:rsidRPr="000977F7">
        <w:rPr>
          <w:rFonts w:asciiTheme="majorHAnsi" w:hAnsiTheme="majorHAnsi"/>
          <w:spacing w:val="1"/>
          <w:sz w:val="20"/>
          <w:szCs w:val="20"/>
        </w:rPr>
        <w:t xml:space="preserve"> </w:t>
      </w:r>
      <w:r w:rsidRPr="000977F7">
        <w:rPr>
          <w:rFonts w:asciiTheme="majorHAnsi" w:hAnsiTheme="majorHAnsi"/>
          <w:sz w:val="20"/>
          <w:szCs w:val="20"/>
        </w:rPr>
        <w:t>спричинене</w:t>
      </w:r>
      <w:r w:rsidRPr="000977F7">
        <w:rPr>
          <w:rFonts w:asciiTheme="majorHAnsi" w:hAnsiTheme="majorHAnsi"/>
          <w:spacing w:val="1"/>
          <w:sz w:val="20"/>
          <w:szCs w:val="20"/>
        </w:rPr>
        <w:t xml:space="preserve"> </w:t>
      </w:r>
      <w:r w:rsidRPr="000977F7">
        <w:rPr>
          <w:rFonts w:asciiTheme="majorHAnsi" w:hAnsiTheme="majorHAnsi"/>
          <w:sz w:val="20"/>
          <w:szCs w:val="20"/>
        </w:rPr>
        <w:t>одночасною</w:t>
      </w:r>
      <w:r w:rsidRPr="000977F7">
        <w:rPr>
          <w:rFonts w:asciiTheme="majorHAnsi" w:hAnsiTheme="majorHAnsi"/>
          <w:spacing w:val="1"/>
          <w:sz w:val="20"/>
          <w:szCs w:val="20"/>
        </w:rPr>
        <w:t xml:space="preserve"> </w:t>
      </w:r>
      <w:r w:rsidRPr="000977F7">
        <w:rPr>
          <w:rFonts w:asciiTheme="majorHAnsi" w:hAnsiTheme="majorHAnsi"/>
          <w:sz w:val="20"/>
          <w:szCs w:val="20"/>
        </w:rPr>
        <w:t>дією</w:t>
      </w:r>
      <w:r w:rsidRPr="000977F7">
        <w:rPr>
          <w:rFonts w:asciiTheme="majorHAnsi" w:hAnsiTheme="majorHAnsi"/>
          <w:spacing w:val="1"/>
          <w:sz w:val="20"/>
          <w:szCs w:val="20"/>
        </w:rPr>
        <w:t xml:space="preserve"> </w:t>
      </w:r>
      <w:r w:rsidRPr="000977F7">
        <w:rPr>
          <w:rFonts w:asciiTheme="majorHAnsi" w:hAnsiTheme="majorHAnsi"/>
          <w:sz w:val="20"/>
          <w:szCs w:val="20"/>
        </w:rPr>
        <w:t>корозивного середовища та зовнішніх або внутрішніх</w:t>
      </w:r>
      <w:r w:rsidRPr="000977F7">
        <w:rPr>
          <w:rFonts w:asciiTheme="majorHAnsi" w:hAnsiTheme="majorHAnsi"/>
          <w:spacing w:val="1"/>
          <w:sz w:val="20"/>
          <w:szCs w:val="20"/>
        </w:rPr>
        <w:t xml:space="preserve"> </w:t>
      </w:r>
      <w:r w:rsidRPr="000977F7">
        <w:rPr>
          <w:rFonts w:asciiTheme="majorHAnsi" w:hAnsiTheme="majorHAnsi"/>
          <w:sz w:val="20"/>
          <w:szCs w:val="20"/>
        </w:rPr>
        <w:t>розтягових</w:t>
      </w:r>
      <w:r w:rsidRPr="000977F7">
        <w:rPr>
          <w:rFonts w:asciiTheme="majorHAnsi" w:hAnsiTheme="majorHAnsi"/>
          <w:spacing w:val="1"/>
          <w:sz w:val="20"/>
          <w:szCs w:val="20"/>
        </w:rPr>
        <w:t xml:space="preserve"> </w:t>
      </w:r>
      <w:r w:rsidRPr="000977F7">
        <w:rPr>
          <w:rFonts w:asciiTheme="majorHAnsi" w:hAnsiTheme="majorHAnsi"/>
          <w:sz w:val="20"/>
          <w:szCs w:val="20"/>
        </w:rPr>
        <w:t>статичних</w:t>
      </w:r>
      <w:r w:rsidRPr="000977F7">
        <w:rPr>
          <w:rFonts w:asciiTheme="majorHAnsi" w:hAnsiTheme="majorHAnsi"/>
          <w:spacing w:val="1"/>
          <w:sz w:val="20"/>
          <w:szCs w:val="20"/>
        </w:rPr>
        <w:t xml:space="preserve"> </w:t>
      </w:r>
      <w:r w:rsidRPr="000977F7">
        <w:rPr>
          <w:rFonts w:asciiTheme="majorHAnsi" w:hAnsiTheme="majorHAnsi"/>
          <w:sz w:val="20"/>
          <w:szCs w:val="20"/>
        </w:rPr>
        <w:t>напруг</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утворенням</w:t>
      </w:r>
      <w:r w:rsidRPr="000977F7">
        <w:rPr>
          <w:rFonts w:asciiTheme="majorHAnsi" w:hAnsiTheme="majorHAnsi"/>
          <w:spacing w:val="1"/>
          <w:sz w:val="20"/>
          <w:szCs w:val="20"/>
        </w:rPr>
        <w:t xml:space="preserve"> </w:t>
      </w:r>
      <w:r w:rsidRPr="000977F7">
        <w:rPr>
          <w:rFonts w:asciiTheme="majorHAnsi" w:hAnsiTheme="majorHAnsi"/>
          <w:sz w:val="20"/>
          <w:szCs w:val="20"/>
        </w:rPr>
        <w:t>череззеренних</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міжзеренних</w:t>
      </w:r>
      <w:r w:rsidRPr="000977F7">
        <w:rPr>
          <w:rFonts w:asciiTheme="majorHAnsi" w:hAnsiTheme="majorHAnsi"/>
          <w:spacing w:val="1"/>
          <w:sz w:val="20"/>
          <w:szCs w:val="20"/>
        </w:rPr>
        <w:t xml:space="preserve"> </w:t>
      </w:r>
      <w:r w:rsidRPr="000977F7">
        <w:rPr>
          <w:rFonts w:asciiTheme="majorHAnsi" w:hAnsiTheme="majorHAnsi"/>
          <w:sz w:val="20"/>
          <w:szCs w:val="20"/>
        </w:rPr>
        <w:t>тріщин</w:t>
      </w:r>
    </w:p>
    <w:p w14:paraId="647DD3D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4A34315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КОРОЗИВНЕ</w:t>
      </w:r>
      <w:r w:rsidRPr="000977F7">
        <w:rPr>
          <w:color w:val="auto"/>
          <w:spacing w:val="-5"/>
          <w:sz w:val="20"/>
          <w:szCs w:val="20"/>
        </w:rPr>
        <w:t xml:space="preserve"> </w:t>
      </w:r>
      <w:r w:rsidRPr="000977F7">
        <w:rPr>
          <w:color w:val="auto"/>
          <w:sz w:val="20"/>
          <w:szCs w:val="20"/>
        </w:rPr>
        <w:t>СЕРЕДОВИЩЕ</w:t>
      </w:r>
      <w:r w:rsidRPr="000977F7">
        <w:rPr>
          <w:color w:val="auto"/>
          <w:spacing w:val="-3"/>
          <w:sz w:val="20"/>
          <w:szCs w:val="20"/>
        </w:rPr>
        <w:t xml:space="preserve"> </w:t>
      </w:r>
      <w:r w:rsidRPr="000977F7">
        <w:rPr>
          <w:color w:val="auto"/>
          <w:sz w:val="20"/>
          <w:szCs w:val="20"/>
        </w:rPr>
        <w:t>–</w:t>
      </w:r>
    </w:p>
    <w:p w14:paraId="4F5517A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CORROSIVE</w:t>
      </w:r>
      <w:r w:rsidRPr="000977F7">
        <w:rPr>
          <w:rFonts w:asciiTheme="majorHAnsi" w:hAnsiTheme="majorHAnsi"/>
          <w:spacing w:val="-3"/>
          <w:sz w:val="20"/>
          <w:szCs w:val="20"/>
        </w:rPr>
        <w:t xml:space="preserve"> </w:t>
      </w:r>
      <w:r w:rsidRPr="000977F7">
        <w:rPr>
          <w:rFonts w:asciiTheme="majorHAnsi" w:hAnsiTheme="majorHAnsi"/>
          <w:sz w:val="20"/>
          <w:szCs w:val="20"/>
        </w:rPr>
        <w:t>ENVIRONMENT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0E79BEC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Рідке</w:t>
      </w:r>
      <w:r w:rsidRPr="000977F7">
        <w:rPr>
          <w:rFonts w:asciiTheme="majorHAnsi" w:hAnsiTheme="majorHAnsi"/>
          <w:spacing w:val="-3"/>
          <w:sz w:val="20"/>
          <w:szCs w:val="20"/>
        </w:rPr>
        <w:t xml:space="preserve"> </w:t>
      </w:r>
      <w:r w:rsidRPr="000977F7">
        <w:rPr>
          <w:rFonts w:asciiTheme="majorHAnsi" w:hAnsiTheme="majorHAnsi"/>
          <w:sz w:val="20"/>
          <w:szCs w:val="20"/>
        </w:rPr>
        <w:t>чи</w:t>
      </w:r>
      <w:r w:rsidRPr="000977F7">
        <w:rPr>
          <w:rFonts w:asciiTheme="majorHAnsi" w:hAnsiTheme="majorHAnsi"/>
          <w:spacing w:val="-4"/>
          <w:sz w:val="20"/>
          <w:szCs w:val="20"/>
        </w:rPr>
        <w:t xml:space="preserve"> </w:t>
      </w:r>
      <w:r w:rsidRPr="000977F7">
        <w:rPr>
          <w:rFonts w:asciiTheme="majorHAnsi" w:hAnsiTheme="majorHAnsi"/>
          <w:sz w:val="20"/>
          <w:szCs w:val="20"/>
        </w:rPr>
        <w:t>газове</w:t>
      </w:r>
      <w:r w:rsidRPr="000977F7">
        <w:rPr>
          <w:rFonts w:asciiTheme="majorHAnsi" w:hAnsiTheme="majorHAnsi"/>
          <w:spacing w:val="-4"/>
          <w:sz w:val="20"/>
          <w:szCs w:val="20"/>
        </w:rPr>
        <w:t xml:space="preserve"> </w:t>
      </w:r>
      <w:r w:rsidRPr="000977F7">
        <w:rPr>
          <w:rFonts w:asciiTheme="majorHAnsi" w:hAnsiTheme="majorHAnsi"/>
          <w:sz w:val="20"/>
          <w:szCs w:val="20"/>
        </w:rPr>
        <w:t>середовище,</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2"/>
          <w:sz w:val="20"/>
          <w:szCs w:val="20"/>
        </w:rPr>
        <w:t xml:space="preserve"> </w:t>
      </w:r>
      <w:r w:rsidRPr="000977F7">
        <w:rPr>
          <w:rFonts w:asciiTheme="majorHAnsi" w:hAnsiTheme="majorHAnsi"/>
          <w:sz w:val="20"/>
          <w:szCs w:val="20"/>
        </w:rPr>
        <w:t>зумовлює</w:t>
      </w:r>
      <w:r w:rsidRPr="000977F7">
        <w:rPr>
          <w:rFonts w:asciiTheme="majorHAnsi" w:hAnsiTheme="majorHAnsi"/>
          <w:spacing w:val="-3"/>
          <w:sz w:val="20"/>
          <w:szCs w:val="20"/>
        </w:rPr>
        <w:t xml:space="preserve"> </w:t>
      </w:r>
      <w:r w:rsidRPr="000977F7">
        <w:rPr>
          <w:rFonts w:asciiTheme="majorHAnsi" w:hAnsiTheme="majorHAnsi"/>
          <w:sz w:val="20"/>
          <w:szCs w:val="20"/>
        </w:rPr>
        <w:t>корозію</w:t>
      </w:r>
    </w:p>
    <w:p w14:paraId="6F98D95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55D5F06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КОРОЗИВНИЙ</w:t>
      </w:r>
      <w:r w:rsidRPr="000977F7">
        <w:rPr>
          <w:color w:val="auto"/>
          <w:spacing w:val="-4"/>
          <w:sz w:val="20"/>
          <w:szCs w:val="20"/>
        </w:rPr>
        <w:t xml:space="preserve"> </w:t>
      </w:r>
      <w:r w:rsidRPr="000977F7">
        <w:rPr>
          <w:color w:val="auto"/>
          <w:sz w:val="20"/>
          <w:szCs w:val="20"/>
        </w:rPr>
        <w:t>МЕТАЛ</w:t>
      </w:r>
      <w:r w:rsidRPr="000977F7">
        <w:rPr>
          <w:color w:val="auto"/>
          <w:spacing w:val="-2"/>
          <w:sz w:val="20"/>
          <w:szCs w:val="20"/>
        </w:rPr>
        <w:t xml:space="preserve"> </w:t>
      </w:r>
      <w:r w:rsidRPr="000977F7">
        <w:rPr>
          <w:color w:val="auto"/>
          <w:sz w:val="20"/>
          <w:szCs w:val="20"/>
        </w:rPr>
        <w:t>–</w:t>
      </w:r>
    </w:p>
    <w:p w14:paraId="0B73D8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Метал,</w:t>
      </w:r>
      <w:r w:rsidRPr="000977F7">
        <w:rPr>
          <w:rFonts w:asciiTheme="majorHAnsi" w:hAnsiTheme="majorHAnsi"/>
          <w:spacing w:val="-3"/>
          <w:sz w:val="20"/>
          <w:szCs w:val="20"/>
        </w:rPr>
        <w:t xml:space="preserve"> </w:t>
      </w:r>
      <w:r w:rsidRPr="000977F7">
        <w:rPr>
          <w:rFonts w:asciiTheme="majorHAnsi" w:hAnsiTheme="majorHAnsi"/>
          <w:sz w:val="20"/>
          <w:szCs w:val="20"/>
        </w:rPr>
        <w:t>який</w:t>
      </w:r>
      <w:r w:rsidRPr="000977F7">
        <w:rPr>
          <w:rFonts w:asciiTheme="majorHAnsi" w:hAnsiTheme="majorHAnsi"/>
          <w:spacing w:val="-4"/>
          <w:sz w:val="20"/>
          <w:szCs w:val="20"/>
        </w:rPr>
        <w:t xml:space="preserve"> </w:t>
      </w:r>
      <w:r w:rsidRPr="000977F7">
        <w:rPr>
          <w:rFonts w:asciiTheme="majorHAnsi" w:hAnsiTheme="majorHAnsi"/>
          <w:sz w:val="20"/>
          <w:szCs w:val="20"/>
        </w:rPr>
        <w:t>піддається</w:t>
      </w:r>
      <w:r w:rsidRPr="000977F7">
        <w:rPr>
          <w:rFonts w:asciiTheme="majorHAnsi" w:hAnsiTheme="majorHAnsi"/>
          <w:spacing w:val="-3"/>
          <w:sz w:val="20"/>
          <w:szCs w:val="20"/>
        </w:rPr>
        <w:t xml:space="preserve"> </w:t>
      </w:r>
      <w:r w:rsidRPr="000977F7">
        <w:rPr>
          <w:rFonts w:asciiTheme="majorHAnsi" w:hAnsiTheme="majorHAnsi"/>
          <w:sz w:val="20"/>
          <w:szCs w:val="20"/>
        </w:rPr>
        <w:t>корозії</w:t>
      </w:r>
    </w:p>
    <w:p w14:paraId="7644002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29C7D25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КОРОЗІЙНА</w:t>
      </w:r>
      <w:r w:rsidRPr="000977F7">
        <w:rPr>
          <w:color w:val="auto"/>
          <w:spacing w:val="-4"/>
          <w:sz w:val="20"/>
          <w:szCs w:val="20"/>
        </w:rPr>
        <w:t xml:space="preserve"> </w:t>
      </w:r>
      <w:r w:rsidRPr="000977F7">
        <w:rPr>
          <w:color w:val="auto"/>
          <w:sz w:val="20"/>
          <w:szCs w:val="20"/>
        </w:rPr>
        <w:t>ВИРАЗКА</w:t>
      </w:r>
      <w:r w:rsidRPr="000977F7">
        <w:rPr>
          <w:color w:val="auto"/>
          <w:spacing w:val="-1"/>
          <w:sz w:val="20"/>
          <w:szCs w:val="20"/>
        </w:rPr>
        <w:t xml:space="preserve"> </w:t>
      </w:r>
      <w:r w:rsidRPr="000977F7">
        <w:rPr>
          <w:color w:val="auto"/>
          <w:sz w:val="20"/>
          <w:szCs w:val="20"/>
        </w:rPr>
        <w:t>–</w:t>
      </w:r>
    </w:p>
    <w:p w14:paraId="71DCD6D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Місцеве</w:t>
      </w:r>
      <w:r w:rsidRPr="000977F7">
        <w:rPr>
          <w:rFonts w:asciiTheme="majorHAnsi" w:hAnsiTheme="majorHAnsi"/>
          <w:spacing w:val="14"/>
          <w:sz w:val="20"/>
          <w:szCs w:val="20"/>
        </w:rPr>
        <w:t xml:space="preserve"> </w:t>
      </w:r>
      <w:r w:rsidRPr="000977F7">
        <w:rPr>
          <w:rFonts w:asciiTheme="majorHAnsi" w:hAnsiTheme="majorHAnsi"/>
          <w:sz w:val="20"/>
          <w:szCs w:val="20"/>
        </w:rPr>
        <w:t>корозійне</w:t>
      </w:r>
      <w:r w:rsidRPr="000977F7">
        <w:rPr>
          <w:rFonts w:asciiTheme="majorHAnsi" w:hAnsiTheme="majorHAnsi"/>
          <w:spacing w:val="15"/>
          <w:sz w:val="20"/>
          <w:szCs w:val="20"/>
        </w:rPr>
        <w:t xml:space="preserve"> </w:t>
      </w:r>
      <w:r w:rsidRPr="000977F7">
        <w:rPr>
          <w:rFonts w:asciiTheme="majorHAnsi" w:hAnsiTheme="majorHAnsi"/>
          <w:sz w:val="20"/>
          <w:szCs w:val="20"/>
        </w:rPr>
        <w:t>зруйнування</w:t>
      </w:r>
      <w:r w:rsidRPr="000977F7">
        <w:rPr>
          <w:rFonts w:asciiTheme="majorHAnsi" w:hAnsiTheme="majorHAnsi"/>
          <w:spacing w:val="14"/>
          <w:sz w:val="20"/>
          <w:szCs w:val="20"/>
        </w:rPr>
        <w:t xml:space="preserve"> </w:t>
      </w:r>
      <w:r w:rsidRPr="000977F7">
        <w:rPr>
          <w:rFonts w:asciiTheme="majorHAnsi" w:hAnsiTheme="majorHAnsi"/>
          <w:sz w:val="20"/>
          <w:szCs w:val="20"/>
        </w:rPr>
        <w:t>у</w:t>
      </w:r>
      <w:r w:rsidRPr="000977F7">
        <w:rPr>
          <w:rFonts w:asciiTheme="majorHAnsi" w:hAnsiTheme="majorHAnsi"/>
          <w:spacing w:val="11"/>
          <w:sz w:val="20"/>
          <w:szCs w:val="20"/>
        </w:rPr>
        <w:t xml:space="preserve"> </w:t>
      </w:r>
      <w:r w:rsidRPr="000977F7">
        <w:rPr>
          <w:rFonts w:asciiTheme="majorHAnsi" w:hAnsiTheme="majorHAnsi"/>
          <w:sz w:val="20"/>
          <w:szCs w:val="20"/>
        </w:rPr>
        <w:t>вигляді</w:t>
      </w:r>
      <w:r w:rsidRPr="000977F7">
        <w:rPr>
          <w:rFonts w:asciiTheme="majorHAnsi" w:hAnsiTheme="majorHAnsi"/>
          <w:spacing w:val="13"/>
          <w:sz w:val="20"/>
          <w:szCs w:val="20"/>
        </w:rPr>
        <w:t xml:space="preserve"> </w:t>
      </w:r>
      <w:r w:rsidRPr="000977F7">
        <w:rPr>
          <w:rFonts w:asciiTheme="majorHAnsi" w:hAnsiTheme="majorHAnsi"/>
          <w:sz w:val="20"/>
          <w:szCs w:val="20"/>
        </w:rPr>
        <w:t>окремої</w:t>
      </w:r>
      <w:r w:rsidRPr="000977F7">
        <w:rPr>
          <w:rFonts w:asciiTheme="majorHAnsi" w:hAnsiTheme="majorHAnsi"/>
          <w:spacing w:val="12"/>
          <w:sz w:val="20"/>
          <w:szCs w:val="20"/>
        </w:rPr>
        <w:t xml:space="preserve"> </w:t>
      </w:r>
      <w:r w:rsidRPr="000977F7">
        <w:rPr>
          <w:rFonts w:asciiTheme="majorHAnsi" w:hAnsiTheme="majorHAnsi"/>
          <w:sz w:val="20"/>
          <w:szCs w:val="20"/>
        </w:rPr>
        <w:t>виїмки</w:t>
      </w:r>
    </w:p>
    <w:p w14:paraId="402A559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33223BE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КОРОЗІЙНА</w:t>
      </w:r>
      <w:r w:rsidRPr="000977F7">
        <w:rPr>
          <w:color w:val="auto"/>
          <w:spacing w:val="-2"/>
          <w:sz w:val="20"/>
          <w:szCs w:val="20"/>
        </w:rPr>
        <w:t xml:space="preserve"> </w:t>
      </w:r>
      <w:r w:rsidRPr="000977F7">
        <w:rPr>
          <w:color w:val="auto"/>
          <w:sz w:val="20"/>
          <w:szCs w:val="20"/>
        </w:rPr>
        <w:t>ВТОМА</w:t>
      </w:r>
      <w:r w:rsidRPr="000977F7">
        <w:rPr>
          <w:color w:val="auto"/>
          <w:spacing w:val="-2"/>
          <w:sz w:val="20"/>
          <w:szCs w:val="20"/>
        </w:rPr>
        <w:t xml:space="preserve"> </w:t>
      </w:r>
      <w:r w:rsidRPr="000977F7">
        <w:rPr>
          <w:color w:val="auto"/>
          <w:sz w:val="20"/>
          <w:szCs w:val="20"/>
        </w:rPr>
        <w:t>–</w:t>
      </w:r>
    </w:p>
    <w:p w14:paraId="4361C4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CORROSION</w:t>
      </w:r>
      <w:r w:rsidRPr="000977F7">
        <w:rPr>
          <w:rFonts w:asciiTheme="majorHAnsi" w:hAnsiTheme="majorHAnsi"/>
          <w:spacing w:val="-2"/>
          <w:sz w:val="20"/>
          <w:szCs w:val="20"/>
        </w:rPr>
        <w:t xml:space="preserve"> </w:t>
      </w:r>
      <w:r w:rsidRPr="000977F7">
        <w:rPr>
          <w:rFonts w:asciiTheme="majorHAnsi" w:hAnsiTheme="majorHAnsi"/>
          <w:sz w:val="20"/>
          <w:szCs w:val="20"/>
        </w:rPr>
        <w:t>FATIGUE –</w:t>
      </w:r>
    </w:p>
    <w:p w14:paraId="18AF93FE" w14:textId="77777777" w:rsidR="0097612F" w:rsidRPr="000977F7" w:rsidRDefault="0097612F" w:rsidP="000977F7">
      <w:pPr>
        <w:pStyle w:val="af6"/>
        <w:tabs>
          <w:tab w:val="left" w:pos="284"/>
        </w:tabs>
        <w:spacing w:after="0"/>
        <w:ind w:left="170"/>
        <w:mirrorIndents/>
        <w:jc w:val="both"/>
        <w:rPr>
          <w:rFonts w:asciiTheme="majorHAnsi" w:hAnsiTheme="majorHAnsi"/>
          <w:w w:val="95"/>
          <w:sz w:val="20"/>
          <w:szCs w:val="20"/>
        </w:rPr>
      </w:pPr>
      <w:r w:rsidRPr="000977F7">
        <w:rPr>
          <w:rFonts w:asciiTheme="majorHAnsi" w:hAnsiTheme="majorHAnsi"/>
          <w:spacing w:val="-2"/>
          <w:sz w:val="20"/>
          <w:szCs w:val="20"/>
        </w:rPr>
        <w:t>Руйнування</w:t>
      </w:r>
      <w:r w:rsidRPr="000977F7">
        <w:rPr>
          <w:rFonts w:asciiTheme="majorHAnsi" w:hAnsiTheme="majorHAnsi"/>
          <w:spacing w:val="-11"/>
          <w:sz w:val="20"/>
          <w:szCs w:val="20"/>
        </w:rPr>
        <w:t xml:space="preserve"> </w:t>
      </w:r>
      <w:r w:rsidRPr="000977F7">
        <w:rPr>
          <w:rFonts w:asciiTheme="majorHAnsi" w:hAnsiTheme="majorHAnsi"/>
          <w:spacing w:val="-2"/>
          <w:sz w:val="20"/>
          <w:szCs w:val="20"/>
        </w:rPr>
        <w:t>металу,</w:t>
      </w:r>
      <w:r w:rsidRPr="000977F7">
        <w:rPr>
          <w:rFonts w:asciiTheme="majorHAnsi" w:hAnsiTheme="majorHAnsi"/>
          <w:spacing w:val="-10"/>
          <w:sz w:val="20"/>
          <w:szCs w:val="20"/>
        </w:rPr>
        <w:t xml:space="preserve"> </w:t>
      </w:r>
      <w:r w:rsidRPr="000977F7">
        <w:rPr>
          <w:rFonts w:asciiTheme="majorHAnsi" w:hAnsiTheme="majorHAnsi"/>
          <w:spacing w:val="-2"/>
          <w:sz w:val="20"/>
          <w:szCs w:val="20"/>
        </w:rPr>
        <w:t>спричинене</w:t>
      </w:r>
      <w:r w:rsidRPr="000977F7">
        <w:rPr>
          <w:rFonts w:asciiTheme="majorHAnsi" w:hAnsiTheme="majorHAnsi"/>
          <w:spacing w:val="-9"/>
          <w:sz w:val="20"/>
          <w:szCs w:val="20"/>
        </w:rPr>
        <w:t xml:space="preserve"> </w:t>
      </w:r>
      <w:r w:rsidRPr="000977F7">
        <w:rPr>
          <w:rFonts w:asciiTheme="majorHAnsi" w:hAnsiTheme="majorHAnsi"/>
          <w:spacing w:val="-2"/>
          <w:sz w:val="20"/>
          <w:szCs w:val="20"/>
        </w:rPr>
        <w:t>одночасною</w:t>
      </w:r>
      <w:r w:rsidRPr="000977F7">
        <w:rPr>
          <w:rFonts w:asciiTheme="majorHAnsi" w:hAnsiTheme="majorHAnsi"/>
          <w:spacing w:val="-10"/>
          <w:sz w:val="20"/>
          <w:szCs w:val="20"/>
        </w:rPr>
        <w:t xml:space="preserve"> </w:t>
      </w:r>
      <w:r w:rsidRPr="000977F7">
        <w:rPr>
          <w:rFonts w:asciiTheme="majorHAnsi" w:hAnsiTheme="majorHAnsi"/>
          <w:spacing w:val="-2"/>
          <w:sz w:val="20"/>
          <w:szCs w:val="20"/>
        </w:rPr>
        <w:t>дією</w:t>
      </w:r>
      <w:r w:rsidRPr="000977F7">
        <w:rPr>
          <w:rFonts w:asciiTheme="majorHAnsi" w:hAnsiTheme="majorHAnsi"/>
          <w:spacing w:val="-10"/>
          <w:sz w:val="20"/>
          <w:szCs w:val="20"/>
        </w:rPr>
        <w:t xml:space="preserve"> </w:t>
      </w:r>
      <w:r w:rsidRPr="000977F7">
        <w:rPr>
          <w:rFonts w:asciiTheme="majorHAnsi" w:hAnsiTheme="majorHAnsi"/>
          <w:spacing w:val="-1"/>
          <w:sz w:val="20"/>
          <w:szCs w:val="20"/>
        </w:rPr>
        <w:t>коро</w:t>
      </w:r>
      <w:r w:rsidRPr="000977F7">
        <w:rPr>
          <w:rFonts w:asciiTheme="majorHAnsi" w:hAnsiTheme="majorHAnsi"/>
          <w:w w:val="95"/>
          <w:sz w:val="20"/>
          <w:szCs w:val="20"/>
        </w:rPr>
        <w:t>зивного середовища і змінних механічних навантажень</w:t>
      </w:r>
    </w:p>
    <w:p w14:paraId="22CD401B"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3721149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CORROSION-FATIGUE</w:t>
      </w:r>
      <w:r w:rsidRPr="000977F7">
        <w:rPr>
          <w:rFonts w:asciiTheme="majorHAnsi" w:hAnsiTheme="majorHAnsi"/>
          <w:spacing w:val="-3"/>
          <w:sz w:val="20"/>
          <w:szCs w:val="20"/>
        </w:rPr>
        <w:t xml:space="preserve"> </w:t>
      </w:r>
      <w:r w:rsidRPr="000977F7">
        <w:rPr>
          <w:rFonts w:asciiTheme="majorHAnsi" w:hAnsiTheme="majorHAnsi"/>
          <w:sz w:val="20"/>
          <w:szCs w:val="20"/>
        </w:rPr>
        <w:t>CRACKING</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0B1EC0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 розвивання (накопичування) пошкоджень, що</w:t>
      </w:r>
      <w:r w:rsidRPr="000977F7">
        <w:rPr>
          <w:rFonts w:asciiTheme="majorHAnsi" w:hAnsiTheme="majorHAnsi"/>
          <w:spacing w:val="1"/>
          <w:sz w:val="20"/>
          <w:szCs w:val="20"/>
        </w:rPr>
        <w:t xml:space="preserve"> </w:t>
      </w:r>
      <w:r w:rsidRPr="000977F7">
        <w:rPr>
          <w:rFonts w:asciiTheme="majorHAnsi" w:hAnsiTheme="majorHAnsi"/>
          <w:sz w:val="20"/>
          <w:szCs w:val="20"/>
        </w:rPr>
        <w:t>з’являються за одночасної дії циклічного навантаження</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корозійних</w:t>
      </w:r>
      <w:r w:rsidRPr="000977F7">
        <w:rPr>
          <w:rFonts w:asciiTheme="majorHAnsi" w:hAnsiTheme="majorHAnsi"/>
          <w:spacing w:val="1"/>
          <w:sz w:val="20"/>
          <w:szCs w:val="20"/>
        </w:rPr>
        <w:t xml:space="preserve"> </w:t>
      </w:r>
      <w:r w:rsidRPr="000977F7">
        <w:rPr>
          <w:rFonts w:asciiTheme="majorHAnsi" w:hAnsiTheme="majorHAnsi"/>
          <w:sz w:val="20"/>
          <w:szCs w:val="20"/>
        </w:rPr>
        <w:t>середовищ,</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спричиняють</w:t>
      </w:r>
      <w:r w:rsidRPr="000977F7">
        <w:rPr>
          <w:rFonts w:asciiTheme="majorHAnsi" w:hAnsiTheme="majorHAnsi"/>
          <w:spacing w:val="1"/>
          <w:sz w:val="20"/>
          <w:szCs w:val="20"/>
        </w:rPr>
        <w:t xml:space="preserve"> </w:t>
      </w:r>
      <w:r w:rsidRPr="000977F7">
        <w:rPr>
          <w:rFonts w:asciiTheme="majorHAnsi" w:hAnsiTheme="majorHAnsi"/>
          <w:sz w:val="20"/>
          <w:szCs w:val="20"/>
        </w:rPr>
        <w:t>зменшення</w:t>
      </w:r>
      <w:r w:rsidRPr="000977F7">
        <w:rPr>
          <w:rFonts w:asciiTheme="majorHAnsi" w:hAnsiTheme="majorHAnsi"/>
          <w:spacing w:val="-2"/>
          <w:sz w:val="20"/>
          <w:szCs w:val="20"/>
        </w:rPr>
        <w:t xml:space="preserve"> </w:t>
      </w:r>
      <w:r w:rsidRPr="000977F7">
        <w:rPr>
          <w:rFonts w:asciiTheme="majorHAnsi" w:hAnsiTheme="majorHAnsi"/>
          <w:sz w:val="20"/>
          <w:szCs w:val="20"/>
        </w:rPr>
        <w:t>довговічності</w:t>
      </w:r>
    </w:p>
    <w:p w14:paraId="35CA5B2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2444 – 94</w:t>
      </w:r>
    </w:p>
    <w:p w14:paraId="2F17399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КОРОЗІЙНА</w:t>
      </w:r>
      <w:r w:rsidRPr="000977F7">
        <w:rPr>
          <w:color w:val="auto"/>
          <w:spacing w:val="-5"/>
          <w:sz w:val="20"/>
          <w:szCs w:val="20"/>
        </w:rPr>
        <w:t xml:space="preserve"> </w:t>
      </w:r>
      <w:r w:rsidRPr="000977F7">
        <w:rPr>
          <w:color w:val="auto"/>
          <w:sz w:val="20"/>
          <w:szCs w:val="20"/>
        </w:rPr>
        <w:t>КРИХКІСТЬ</w:t>
      </w:r>
      <w:r w:rsidRPr="000977F7">
        <w:rPr>
          <w:color w:val="auto"/>
          <w:spacing w:val="-2"/>
          <w:sz w:val="20"/>
          <w:szCs w:val="20"/>
        </w:rPr>
        <w:t xml:space="preserve"> </w:t>
      </w:r>
      <w:r w:rsidRPr="000977F7">
        <w:rPr>
          <w:color w:val="auto"/>
          <w:sz w:val="20"/>
          <w:szCs w:val="20"/>
        </w:rPr>
        <w:t>—</w:t>
      </w:r>
    </w:p>
    <w:p w14:paraId="290A051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Крихкість,</w:t>
      </w:r>
      <w:r w:rsidRPr="000977F7">
        <w:rPr>
          <w:rFonts w:asciiTheme="majorHAnsi" w:hAnsiTheme="majorHAnsi"/>
          <w:spacing w:val="-4"/>
          <w:sz w:val="20"/>
          <w:szCs w:val="20"/>
        </w:rPr>
        <w:t xml:space="preserve"> </w:t>
      </w:r>
      <w:r w:rsidRPr="000977F7">
        <w:rPr>
          <w:rFonts w:asciiTheme="majorHAnsi" w:hAnsiTheme="majorHAnsi"/>
          <w:sz w:val="20"/>
          <w:szCs w:val="20"/>
        </w:rPr>
        <w:t>набута</w:t>
      </w:r>
      <w:r w:rsidRPr="000977F7">
        <w:rPr>
          <w:rFonts w:asciiTheme="majorHAnsi" w:hAnsiTheme="majorHAnsi"/>
          <w:spacing w:val="-3"/>
          <w:sz w:val="20"/>
          <w:szCs w:val="20"/>
        </w:rPr>
        <w:t xml:space="preserve"> </w:t>
      </w:r>
      <w:r w:rsidRPr="000977F7">
        <w:rPr>
          <w:rFonts w:asciiTheme="majorHAnsi" w:hAnsiTheme="majorHAnsi"/>
          <w:sz w:val="20"/>
          <w:szCs w:val="20"/>
        </w:rPr>
        <w:t>металом</w:t>
      </w:r>
      <w:r w:rsidRPr="000977F7">
        <w:rPr>
          <w:rFonts w:asciiTheme="majorHAnsi" w:hAnsiTheme="majorHAnsi"/>
          <w:spacing w:val="-2"/>
          <w:sz w:val="20"/>
          <w:szCs w:val="20"/>
        </w:rPr>
        <w:t xml:space="preserve"> </w:t>
      </w:r>
      <w:r w:rsidRPr="000977F7">
        <w:rPr>
          <w:rFonts w:asciiTheme="majorHAnsi" w:hAnsiTheme="majorHAnsi"/>
          <w:sz w:val="20"/>
          <w:szCs w:val="20"/>
        </w:rPr>
        <w:t>внаслідок</w:t>
      </w:r>
      <w:r w:rsidRPr="000977F7">
        <w:rPr>
          <w:rFonts w:asciiTheme="majorHAnsi" w:hAnsiTheme="majorHAnsi"/>
          <w:spacing w:val="-4"/>
          <w:sz w:val="20"/>
          <w:szCs w:val="20"/>
        </w:rPr>
        <w:t xml:space="preserve"> </w:t>
      </w:r>
      <w:r w:rsidRPr="000977F7">
        <w:rPr>
          <w:rFonts w:asciiTheme="majorHAnsi" w:hAnsiTheme="majorHAnsi"/>
          <w:sz w:val="20"/>
          <w:szCs w:val="20"/>
        </w:rPr>
        <w:t>корозії</w:t>
      </w:r>
    </w:p>
    <w:p w14:paraId="0072210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3569723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КОРОЗІЙНА</w:t>
      </w:r>
      <w:r w:rsidRPr="000977F7">
        <w:rPr>
          <w:color w:val="auto"/>
          <w:spacing w:val="-4"/>
          <w:sz w:val="20"/>
          <w:szCs w:val="20"/>
        </w:rPr>
        <w:t xml:space="preserve"> </w:t>
      </w:r>
      <w:r w:rsidRPr="000977F7">
        <w:rPr>
          <w:color w:val="auto"/>
          <w:sz w:val="20"/>
          <w:szCs w:val="20"/>
        </w:rPr>
        <w:t>СИСТЕМА</w:t>
      </w:r>
      <w:r w:rsidRPr="000977F7">
        <w:rPr>
          <w:color w:val="auto"/>
          <w:spacing w:val="-2"/>
          <w:sz w:val="20"/>
          <w:szCs w:val="20"/>
        </w:rPr>
        <w:t xml:space="preserve"> </w:t>
      </w:r>
      <w:r w:rsidRPr="000977F7">
        <w:rPr>
          <w:color w:val="auto"/>
          <w:sz w:val="20"/>
          <w:szCs w:val="20"/>
        </w:rPr>
        <w:t>—</w:t>
      </w:r>
    </w:p>
    <w:p w14:paraId="29507B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CORROSION</w:t>
      </w:r>
      <w:r w:rsidRPr="000977F7">
        <w:rPr>
          <w:rFonts w:asciiTheme="majorHAnsi" w:hAnsiTheme="majorHAnsi"/>
          <w:spacing w:val="-2"/>
          <w:sz w:val="20"/>
          <w:szCs w:val="20"/>
        </w:rPr>
        <w:t xml:space="preserve"> </w:t>
      </w:r>
      <w:r w:rsidRPr="000977F7">
        <w:rPr>
          <w:rFonts w:asciiTheme="majorHAnsi" w:hAnsiTheme="majorHAnsi"/>
          <w:sz w:val="20"/>
          <w:szCs w:val="20"/>
        </w:rPr>
        <w:t>SYSTEM</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FA0E36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Система,</w:t>
      </w:r>
      <w:r w:rsidRPr="000977F7">
        <w:rPr>
          <w:rFonts w:asciiTheme="majorHAnsi" w:hAnsiTheme="majorHAnsi"/>
          <w:spacing w:val="-10"/>
          <w:sz w:val="20"/>
          <w:szCs w:val="20"/>
        </w:rPr>
        <w:t xml:space="preserve"> </w:t>
      </w:r>
      <w:r w:rsidRPr="000977F7">
        <w:rPr>
          <w:rFonts w:asciiTheme="majorHAnsi" w:hAnsiTheme="majorHAnsi"/>
          <w:spacing w:val="-1"/>
          <w:sz w:val="20"/>
          <w:szCs w:val="20"/>
        </w:rPr>
        <w:t>що</w:t>
      </w:r>
      <w:r w:rsidRPr="000977F7">
        <w:rPr>
          <w:rFonts w:asciiTheme="majorHAnsi" w:hAnsiTheme="majorHAnsi"/>
          <w:spacing w:val="-8"/>
          <w:sz w:val="20"/>
          <w:szCs w:val="20"/>
        </w:rPr>
        <w:t xml:space="preserve"> </w:t>
      </w:r>
      <w:r w:rsidRPr="000977F7">
        <w:rPr>
          <w:rFonts w:asciiTheme="majorHAnsi" w:hAnsiTheme="majorHAnsi"/>
          <w:spacing w:val="-1"/>
          <w:sz w:val="20"/>
          <w:szCs w:val="20"/>
        </w:rPr>
        <w:t>містить</w:t>
      </w:r>
      <w:r w:rsidRPr="000977F7">
        <w:rPr>
          <w:rFonts w:asciiTheme="majorHAnsi" w:hAnsiTheme="majorHAnsi"/>
          <w:spacing w:val="-10"/>
          <w:sz w:val="20"/>
          <w:szCs w:val="20"/>
        </w:rPr>
        <w:t xml:space="preserve"> </w:t>
      </w:r>
      <w:r w:rsidRPr="000977F7">
        <w:rPr>
          <w:rFonts w:asciiTheme="majorHAnsi" w:hAnsiTheme="majorHAnsi"/>
          <w:spacing w:val="-1"/>
          <w:sz w:val="20"/>
          <w:szCs w:val="20"/>
        </w:rPr>
        <w:t>один</w:t>
      </w:r>
      <w:r w:rsidRPr="000977F7">
        <w:rPr>
          <w:rFonts w:asciiTheme="majorHAnsi" w:hAnsiTheme="majorHAnsi"/>
          <w:spacing w:val="-11"/>
          <w:sz w:val="20"/>
          <w:szCs w:val="20"/>
        </w:rPr>
        <w:t xml:space="preserve"> </w:t>
      </w:r>
      <w:r w:rsidRPr="000977F7">
        <w:rPr>
          <w:rFonts w:asciiTheme="majorHAnsi" w:hAnsiTheme="majorHAnsi"/>
          <w:spacing w:val="-1"/>
          <w:sz w:val="20"/>
          <w:szCs w:val="20"/>
        </w:rPr>
        <w:t>або</w:t>
      </w:r>
      <w:r w:rsidRPr="000977F7">
        <w:rPr>
          <w:rFonts w:asciiTheme="majorHAnsi" w:hAnsiTheme="majorHAnsi"/>
          <w:spacing w:val="-10"/>
          <w:sz w:val="20"/>
          <w:szCs w:val="20"/>
        </w:rPr>
        <w:t xml:space="preserve"> </w:t>
      </w:r>
      <w:r w:rsidRPr="000977F7">
        <w:rPr>
          <w:rFonts w:asciiTheme="majorHAnsi" w:hAnsiTheme="majorHAnsi"/>
          <w:spacing w:val="-1"/>
          <w:sz w:val="20"/>
          <w:szCs w:val="20"/>
        </w:rPr>
        <w:t>більше</w:t>
      </w:r>
      <w:r w:rsidRPr="000977F7">
        <w:rPr>
          <w:rFonts w:asciiTheme="majorHAnsi" w:hAnsiTheme="majorHAnsi"/>
          <w:spacing w:val="-8"/>
          <w:sz w:val="20"/>
          <w:szCs w:val="20"/>
        </w:rPr>
        <w:t xml:space="preserve"> </w:t>
      </w:r>
      <w:r w:rsidRPr="000977F7">
        <w:rPr>
          <w:rFonts w:asciiTheme="majorHAnsi" w:hAnsiTheme="majorHAnsi"/>
          <w:spacing w:val="-1"/>
          <w:sz w:val="20"/>
          <w:szCs w:val="20"/>
        </w:rPr>
        <w:t>металів</w:t>
      </w:r>
      <w:r w:rsidRPr="000977F7">
        <w:rPr>
          <w:rFonts w:asciiTheme="majorHAnsi" w:hAnsiTheme="majorHAnsi"/>
          <w:spacing w:val="-9"/>
          <w:sz w:val="20"/>
          <w:szCs w:val="20"/>
        </w:rPr>
        <w:t xml:space="preserve"> </w:t>
      </w:r>
      <w:r w:rsidRPr="000977F7">
        <w:rPr>
          <w:rFonts w:asciiTheme="majorHAnsi" w:hAnsiTheme="majorHAnsi"/>
          <w:spacing w:val="-1"/>
          <w:sz w:val="20"/>
          <w:szCs w:val="20"/>
        </w:rPr>
        <w:t>і</w:t>
      </w:r>
      <w:r w:rsidRPr="000977F7">
        <w:rPr>
          <w:rFonts w:asciiTheme="majorHAnsi" w:hAnsiTheme="majorHAnsi"/>
          <w:spacing w:val="-9"/>
          <w:sz w:val="20"/>
          <w:szCs w:val="20"/>
        </w:rPr>
        <w:t xml:space="preserve"> </w:t>
      </w:r>
      <w:r w:rsidRPr="000977F7">
        <w:rPr>
          <w:rFonts w:asciiTheme="majorHAnsi" w:hAnsiTheme="majorHAnsi"/>
          <w:spacing w:val="-1"/>
          <w:sz w:val="20"/>
          <w:szCs w:val="20"/>
        </w:rPr>
        <w:t>всі</w:t>
      </w:r>
      <w:r w:rsidRPr="000977F7">
        <w:rPr>
          <w:rFonts w:asciiTheme="majorHAnsi" w:hAnsiTheme="majorHAnsi"/>
          <w:spacing w:val="-9"/>
          <w:sz w:val="20"/>
          <w:szCs w:val="20"/>
        </w:rPr>
        <w:t xml:space="preserve"> </w:t>
      </w:r>
      <w:r w:rsidRPr="000977F7">
        <w:rPr>
          <w:rFonts w:asciiTheme="majorHAnsi" w:hAnsiTheme="majorHAnsi"/>
          <w:sz w:val="20"/>
          <w:szCs w:val="20"/>
        </w:rPr>
        <w:t>скла</w:t>
      </w:r>
      <w:r w:rsidRPr="000977F7">
        <w:rPr>
          <w:rFonts w:asciiTheme="majorHAnsi" w:hAnsiTheme="majorHAnsi"/>
          <w:w w:val="95"/>
          <w:sz w:val="20"/>
          <w:szCs w:val="20"/>
        </w:rPr>
        <w:t>дники</w:t>
      </w:r>
      <w:r w:rsidRPr="000977F7">
        <w:rPr>
          <w:rFonts w:asciiTheme="majorHAnsi" w:hAnsiTheme="majorHAnsi"/>
          <w:spacing w:val="-3"/>
          <w:w w:val="95"/>
          <w:sz w:val="20"/>
          <w:szCs w:val="20"/>
        </w:rPr>
        <w:t xml:space="preserve"> </w:t>
      </w:r>
      <w:r w:rsidRPr="000977F7">
        <w:rPr>
          <w:rFonts w:asciiTheme="majorHAnsi" w:hAnsiTheme="majorHAnsi"/>
          <w:w w:val="95"/>
          <w:sz w:val="20"/>
          <w:szCs w:val="20"/>
        </w:rPr>
        <w:t>середовища,</w:t>
      </w:r>
      <w:r w:rsidRPr="000977F7">
        <w:rPr>
          <w:rFonts w:asciiTheme="majorHAnsi" w:hAnsiTheme="majorHAnsi"/>
          <w:spacing w:val="-2"/>
          <w:w w:val="95"/>
          <w:sz w:val="20"/>
          <w:szCs w:val="20"/>
        </w:rPr>
        <w:t xml:space="preserve"> </w:t>
      </w:r>
      <w:r w:rsidRPr="000977F7">
        <w:rPr>
          <w:rFonts w:asciiTheme="majorHAnsi" w:hAnsiTheme="majorHAnsi"/>
          <w:w w:val="95"/>
          <w:sz w:val="20"/>
          <w:szCs w:val="20"/>
        </w:rPr>
        <w:t>які</w:t>
      </w:r>
      <w:r w:rsidRPr="000977F7">
        <w:rPr>
          <w:rFonts w:asciiTheme="majorHAnsi" w:hAnsiTheme="majorHAnsi"/>
          <w:spacing w:val="-5"/>
          <w:w w:val="95"/>
          <w:sz w:val="20"/>
          <w:szCs w:val="20"/>
        </w:rPr>
        <w:t xml:space="preserve"> </w:t>
      </w:r>
      <w:r w:rsidRPr="000977F7">
        <w:rPr>
          <w:rFonts w:asciiTheme="majorHAnsi" w:hAnsiTheme="majorHAnsi"/>
          <w:w w:val="95"/>
          <w:sz w:val="20"/>
          <w:szCs w:val="20"/>
        </w:rPr>
        <w:t>можуть</w:t>
      </w:r>
      <w:r w:rsidRPr="000977F7">
        <w:rPr>
          <w:rFonts w:asciiTheme="majorHAnsi" w:hAnsiTheme="majorHAnsi"/>
          <w:spacing w:val="-3"/>
          <w:w w:val="95"/>
          <w:sz w:val="20"/>
          <w:szCs w:val="20"/>
        </w:rPr>
        <w:t xml:space="preserve"> </w:t>
      </w:r>
      <w:r w:rsidRPr="000977F7">
        <w:rPr>
          <w:rFonts w:asciiTheme="majorHAnsi" w:hAnsiTheme="majorHAnsi"/>
          <w:w w:val="95"/>
          <w:sz w:val="20"/>
          <w:szCs w:val="20"/>
        </w:rPr>
        <w:t>впливати</w:t>
      </w:r>
      <w:r w:rsidRPr="000977F7">
        <w:rPr>
          <w:rFonts w:asciiTheme="majorHAnsi" w:hAnsiTheme="majorHAnsi"/>
          <w:spacing w:val="-3"/>
          <w:w w:val="95"/>
          <w:sz w:val="20"/>
          <w:szCs w:val="20"/>
        </w:rPr>
        <w:t xml:space="preserve"> </w:t>
      </w:r>
      <w:r w:rsidRPr="000977F7">
        <w:rPr>
          <w:rFonts w:asciiTheme="majorHAnsi" w:hAnsiTheme="majorHAnsi"/>
          <w:w w:val="95"/>
          <w:sz w:val="20"/>
          <w:szCs w:val="20"/>
        </w:rPr>
        <w:t>на</w:t>
      </w:r>
      <w:r w:rsidRPr="000977F7">
        <w:rPr>
          <w:rFonts w:asciiTheme="majorHAnsi" w:hAnsiTheme="majorHAnsi"/>
          <w:spacing w:val="-2"/>
          <w:w w:val="95"/>
          <w:sz w:val="20"/>
          <w:szCs w:val="20"/>
        </w:rPr>
        <w:t xml:space="preserve"> </w:t>
      </w:r>
      <w:r w:rsidRPr="000977F7">
        <w:rPr>
          <w:rFonts w:asciiTheme="majorHAnsi" w:hAnsiTheme="majorHAnsi"/>
          <w:w w:val="95"/>
          <w:sz w:val="20"/>
          <w:szCs w:val="20"/>
        </w:rPr>
        <w:t>корозію</w:t>
      </w:r>
    </w:p>
    <w:p w14:paraId="2A3FF6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72E251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w:t>
      </w:r>
      <w:r w:rsidRPr="000977F7">
        <w:rPr>
          <w:rFonts w:asciiTheme="majorHAnsi" w:hAnsiTheme="majorHAnsi"/>
          <w:spacing w:val="30"/>
          <w:sz w:val="20"/>
          <w:szCs w:val="20"/>
        </w:rPr>
        <w:t xml:space="preserve"> </w:t>
      </w:r>
      <w:r w:rsidRPr="000977F7">
        <w:rPr>
          <w:rFonts w:asciiTheme="majorHAnsi" w:hAnsiTheme="majorHAnsi"/>
          <w:sz w:val="20"/>
          <w:szCs w:val="20"/>
        </w:rPr>
        <w:t>складниками</w:t>
      </w:r>
      <w:r w:rsidRPr="000977F7">
        <w:rPr>
          <w:rFonts w:asciiTheme="majorHAnsi" w:hAnsiTheme="majorHAnsi"/>
          <w:spacing w:val="30"/>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31"/>
          <w:sz w:val="20"/>
          <w:szCs w:val="20"/>
        </w:rPr>
        <w:t xml:space="preserve"> </w:t>
      </w:r>
      <w:r w:rsidRPr="000977F7">
        <w:rPr>
          <w:rFonts w:asciiTheme="majorHAnsi" w:hAnsiTheme="majorHAnsi"/>
          <w:sz w:val="20"/>
          <w:szCs w:val="20"/>
        </w:rPr>
        <w:t>розуміють</w:t>
      </w:r>
      <w:r w:rsidRPr="000977F7">
        <w:rPr>
          <w:rFonts w:asciiTheme="majorHAnsi" w:hAnsiTheme="majorHAnsi"/>
          <w:spacing w:val="34"/>
          <w:sz w:val="20"/>
          <w:szCs w:val="20"/>
        </w:rPr>
        <w:t xml:space="preserve"> </w:t>
      </w:r>
      <w:r w:rsidRPr="000977F7">
        <w:rPr>
          <w:rFonts w:asciiTheme="majorHAnsi" w:hAnsiTheme="majorHAnsi"/>
          <w:sz w:val="20"/>
          <w:szCs w:val="20"/>
        </w:rPr>
        <w:t>покриття,</w:t>
      </w:r>
      <w:r w:rsidRPr="000977F7">
        <w:rPr>
          <w:rFonts w:asciiTheme="majorHAnsi" w:hAnsiTheme="majorHAnsi"/>
          <w:spacing w:val="-47"/>
          <w:sz w:val="20"/>
          <w:szCs w:val="20"/>
        </w:rPr>
        <w:t xml:space="preserve"> </w:t>
      </w:r>
      <w:r w:rsidRPr="000977F7">
        <w:rPr>
          <w:rFonts w:asciiTheme="majorHAnsi" w:hAnsiTheme="majorHAnsi"/>
          <w:sz w:val="20"/>
          <w:szCs w:val="20"/>
        </w:rPr>
        <w:t>поверхневий</w:t>
      </w:r>
      <w:r w:rsidRPr="000977F7">
        <w:rPr>
          <w:rFonts w:asciiTheme="majorHAnsi" w:hAnsiTheme="majorHAnsi"/>
          <w:spacing w:val="-2"/>
          <w:sz w:val="20"/>
          <w:szCs w:val="20"/>
        </w:rPr>
        <w:t xml:space="preserve"> </w:t>
      </w:r>
      <w:r w:rsidRPr="000977F7">
        <w:rPr>
          <w:rFonts w:asciiTheme="majorHAnsi" w:hAnsiTheme="majorHAnsi"/>
          <w:sz w:val="20"/>
          <w:szCs w:val="20"/>
        </w:rPr>
        <w:t>шар,</w:t>
      </w:r>
      <w:r w:rsidRPr="000977F7">
        <w:rPr>
          <w:rFonts w:asciiTheme="majorHAnsi" w:hAnsiTheme="majorHAnsi"/>
          <w:spacing w:val="-1"/>
          <w:sz w:val="20"/>
          <w:szCs w:val="20"/>
        </w:rPr>
        <w:t xml:space="preserve"> </w:t>
      </w:r>
      <w:r w:rsidRPr="000977F7">
        <w:rPr>
          <w:rFonts w:asciiTheme="majorHAnsi" w:hAnsiTheme="majorHAnsi"/>
          <w:sz w:val="20"/>
          <w:szCs w:val="20"/>
        </w:rPr>
        <w:t>додатковий</w:t>
      </w:r>
      <w:r w:rsidRPr="000977F7">
        <w:rPr>
          <w:rFonts w:asciiTheme="majorHAnsi" w:hAnsiTheme="majorHAnsi"/>
          <w:spacing w:val="-1"/>
          <w:sz w:val="20"/>
          <w:szCs w:val="20"/>
        </w:rPr>
        <w:t xml:space="preserve"> </w:t>
      </w:r>
      <w:r w:rsidRPr="000977F7">
        <w:rPr>
          <w:rFonts w:asciiTheme="majorHAnsi" w:hAnsiTheme="majorHAnsi"/>
          <w:sz w:val="20"/>
          <w:szCs w:val="20"/>
        </w:rPr>
        <w:t>електрод</w:t>
      </w:r>
      <w:r w:rsidRPr="000977F7">
        <w:rPr>
          <w:rFonts w:asciiTheme="majorHAnsi" w:hAnsiTheme="majorHAnsi"/>
          <w:spacing w:val="-2"/>
          <w:sz w:val="20"/>
          <w:szCs w:val="20"/>
        </w:rPr>
        <w:t xml:space="preserve"> </w:t>
      </w:r>
      <w:r w:rsidRPr="000977F7">
        <w:rPr>
          <w:rFonts w:asciiTheme="majorHAnsi" w:hAnsiTheme="majorHAnsi"/>
          <w:sz w:val="20"/>
          <w:szCs w:val="20"/>
        </w:rPr>
        <w:t>тощо</w:t>
      </w:r>
    </w:p>
    <w:p w14:paraId="6F68B90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3830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98</w:t>
      </w:r>
    </w:p>
    <w:p w14:paraId="1F8F2B1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КОРОЗІЙНА</w:t>
      </w:r>
      <w:r w:rsidRPr="000977F7">
        <w:rPr>
          <w:color w:val="auto"/>
          <w:spacing w:val="-7"/>
          <w:sz w:val="20"/>
          <w:szCs w:val="20"/>
        </w:rPr>
        <w:t xml:space="preserve"> </w:t>
      </w:r>
      <w:r w:rsidRPr="000977F7">
        <w:rPr>
          <w:color w:val="auto"/>
          <w:sz w:val="20"/>
          <w:szCs w:val="20"/>
        </w:rPr>
        <w:t>СТІЙКІСТЬ</w:t>
      </w:r>
      <w:r w:rsidRPr="000977F7">
        <w:rPr>
          <w:color w:val="auto"/>
          <w:spacing w:val="-1"/>
          <w:sz w:val="20"/>
          <w:szCs w:val="20"/>
        </w:rPr>
        <w:t xml:space="preserve"> </w:t>
      </w:r>
      <w:r w:rsidRPr="000977F7">
        <w:rPr>
          <w:color w:val="auto"/>
          <w:sz w:val="20"/>
          <w:szCs w:val="20"/>
        </w:rPr>
        <w:t>–</w:t>
      </w:r>
    </w:p>
    <w:p w14:paraId="5275F53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CORROSIVE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RESISTANCE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124C23B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w:t>
      </w:r>
      <w:r w:rsidRPr="000977F7">
        <w:rPr>
          <w:rFonts w:asciiTheme="majorHAnsi" w:hAnsiTheme="majorHAnsi"/>
          <w:spacing w:val="30"/>
          <w:sz w:val="20"/>
          <w:szCs w:val="20"/>
        </w:rPr>
        <w:t xml:space="preserve"> </w:t>
      </w:r>
      <w:r w:rsidRPr="000977F7">
        <w:rPr>
          <w:rFonts w:asciiTheme="majorHAnsi" w:hAnsiTheme="majorHAnsi"/>
          <w:sz w:val="20"/>
          <w:szCs w:val="20"/>
        </w:rPr>
        <w:t>матеріалу</w:t>
      </w:r>
      <w:r w:rsidRPr="000977F7">
        <w:rPr>
          <w:rFonts w:asciiTheme="majorHAnsi" w:hAnsiTheme="majorHAnsi"/>
          <w:spacing w:val="28"/>
          <w:sz w:val="20"/>
          <w:szCs w:val="20"/>
        </w:rPr>
        <w:t xml:space="preserve"> </w:t>
      </w:r>
      <w:r w:rsidRPr="000977F7">
        <w:rPr>
          <w:rFonts w:asciiTheme="majorHAnsi" w:hAnsiTheme="majorHAnsi"/>
          <w:sz w:val="20"/>
          <w:szCs w:val="20"/>
        </w:rPr>
        <w:t>(металу)</w:t>
      </w:r>
      <w:r w:rsidRPr="000977F7">
        <w:rPr>
          <w:rFonts w:asciiTheme="majorHAnsi" w:hAnsiTheme="majorHAnsi"/>
          <w:spacing w:val="30"/>
          <w:sz w:val="20"/>
          <w:szCs w:val="20"/>
        </w:rPr>
        <w:t xml:space="preserve"> </w:t>
      </w:r>
      <w:r w:rsidRPr="000977F7">
        <w:rPr>
          <w:rFonts w:asciiTheme="majorHAnsi" w:hAnsiTheme="majorHAnsi"/>
          <w:sz w:val="20"/>
          <w:szCs w:val="20"/>
        </w:rPr>
        <w:t>чинити</w:t>
      </w:r>
      <w:r w:rsidRPr="000977F7">
        <w:rPr>
          <w:rFonts w:asciiTheme="majorHAnsi" w:hAnsiTheme="majorHAnsi"/>
          <w:spacing w:val="30"/>
          <w:sz w:val="20"/>
          <w:szCs w:val="20"/>
        </w:rPr>
        <w:t xml:space="preserve"> </w:t>
      </w:r>
      <w:r w:rsidRPr="000977F7">
        <w:rPr>
          <w:rFonts w:asciiTheme="majorHAnsi" w:hAnsiTheme="majorHAnsi"/>
          <w:sz w:val="20"/>
          <w:szCs w:val="20"/>
        </w:rPr>
        <w:t>опір</w:t>
      </w:r>
      <w:r w:rsidRPr="000977F7">
        <w:rPr>
          <w:rFonts w:asciiTheme="majorHAnsi" w:hAnsiTheme="majorHAnsi"/>
          <w:spacing w:val="32"/>
          <w:sz w:val="20"/>
          <w:szCs w:val="20"/>
        </w:rPr>
        <w:t xml:space="preserve"> </w:t>
      </w:r>
      <w:r w:rsidRPr="000977F7">
        <w:rPr>
          <w:rFonts w:asciiTheme="majorHAnsi" w:hAnsiTheme="majorHAnsi"/>
          <w:sz w:val="20"/>
          <w:szCs w:val="20"/>
        </w:rPr>
        <w:t>корозійній дії</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p>
    <w:p w14:paraId="0E0388FD"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38AB136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КОРОЗІЙНА</w:t>
      </w:r>
      <w:r w:rsidRPr="000977F7">
        <w:rPr>
          <w:color w:val="auto"/>
          <w:spacing w:val="-3"/>
          <w:sz w:val="20"/>
          <w:szCs w:val="20"/>
        </w:rPr>
        <w:t xml:space="preserve"> </w:t>
      </w:r>
      <w:r w:rsidRPr="000977F7">
        <w:rPr>
          <w:color w:val="auto"/>
          <w:sz w:val="20"/>
          <w:szCs w:val="20"/>
        </w:rPr>
        <w:t>ТРИВКІСТЬ –</w:t>
      </w:r>
    </w:p>
    <w:p w14:paraId="1614007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CORROSIVE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RESISTANCE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1862382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Здатність</w:t>
      </w:r>
      <w:r w:rsidRPr="000977F7">
        <w:rPr>
          <w:rFonts w:asciiTheme="majorHAnsi" w:hAnsiTheme="majorHAnsi"/>
          <w:spacing w:val="10"/>
          <w:sz w:val="20"/>
          <w:szCs w:val="20"/>
        </w:rPr>
        <w:t xml:space="preserve"> </w:t>
      </w:r>
      <w:r w:rsidRPr="000977F7">
        <w:rPr>
          <w:rFonts w:asciiTheme="majorHAnsi" w:hAnsiTheme="majorHAnsi"/>
          <w:sz w:val="20"/>
          <w:szCs w:val="20"/>
        </w:rPr>
        <w:t>металу</w:t>
      </w:r>
      <w:r w:rsidRPr="000977F7">
        <w:rPr>
          <w:rFonts w:asciiTheme="majorHAnsi" w:hAnsiTheme="majorHAnsi"/>
          <w:spacing w:val="8"/>
          <w:sz w:val="20"/>
          <w:szCs w:val="20"/>
        </w:rPr>
        <w:t xml:space="preserve"> </w:t>
      </w:r>
      <w:r w:rsidRPr="000977F7">
        <w:rPr>
          <w:rFonts w:asciiTheme="majorHAnsi" w:hAnsiTheme="majorHAnsi"/>
          <w:sz w:val="20"/>
          <w:szCs w:val="20"/>
        </w:rPr>
        <w:t>протистояти</w:t>
      </w:r>
      <w:r w:rsidRPr="000977F7">
        <w:rPr>
          <w:rFonts w:asciiTheme="majorHAnsi" w:hAnsiTheme="majorHAnsi"/>
          <w:spacing w:val="9"/>
          <w:sz w:val="20"/>
          <w:szCs w:val="20"/>
        </w:rPr>
        <w:t xml:space="preserve"> </w:t>
      </w:r>
      <w:r w:rsidRPr="000977F7">
        <w:rPr>
          <w:rFonts w:asciiTheme="majorHAnsi" w:hAnsiTheme="majorHAnsi"/>
          <w:sz w:val="20"/>
          <w:szCs w:val="20"/>
        </w:rPr>
        <w:t>корозії</w:t>
      </w:r>
      <w:r w:rsidRPr="000977F7">
        <w:rPr>
          <w:rFonts w:asciiTheme="majorHAnsi" w:hAnsiTheme="majorHAnsi"/>
          <w:spacing w:val="10"/>
          <w:sz w:val="20"/>
          <w:szCs w:val="20"/>
        </w:rPr>
        <w:t xml:space="preserve"> </w:t>
      </w:r>
      <w:r w:rsidRPr="000977F7">
        <w:rPr>
          <w:rFonts w:asciiTheme="majorHAnsi" w:hAnsiTheme="majorHAnsi"/>
          <w:sz w:val="20"/>
          <w:szCs w:val="20"/>
        </w:rPr>
        <w:t>в</w:t>
      </w:r>
      <w:r w:rsidRPr="000977F7">
        <w:rPr>
          <w:rFonts w:asciiTheme="majorHAnsi" w:hAnsiTheme="majorHAnsi"/>
          <w:spacing w:val="10"/>
          <w:sz w:val="20"/>
          <w:szCs w:val="20"/>
        </w:rPr>
        <w:t xml:space="preserve"> </w:t>
      </w:r>
      <w:r w:rsidRPr="000977F7">
        <w:rPr>
          <w:rFonts w:asciiTheme="majorHAnsi" w:hAnsiTheme="majorHAnsi"/>
          <w:sz w:val="20"/>
          <w:szCs w:val="20"/>
        </w:rPr>
        <w:t>даній</w:t>
      </w:r>
      <w:r w:rsidRPr="000977F7">
        <w:rPr>
          <w:rFonts w:asciiTheme="majorHAnsi" w:hAnsiTheme="majorHAnsi"/>
          <w:spacing w:val="9"/>
          <w:sz w:val="20"/>
          <w:szCs w:val="20"/>
        </w:rPr>
        <w:t xml:space="preserve"> </w:t>
      </w:r>
      <w:r w:rsidRPr="000977F7">
        <w:rPr>
          <w:rFonts w:asciiTheme="majorHAnsi" w:hAnsiTheme="majorHAnsi"/>
          <w:sz w:val="20"/>
          <w:szCs w:val="20"/>
        </w:rPr>
        <w:t>корозійній</w:t>
      </w:r>
      <w:r w:rsidRPr="000977F7">
        <w:rPr>
          <w:rFonts w:asciiTheme="majorHAnsi" w:hAnsiTheme="majorHAnsi"/>
          <w:spacing w:val="-2"/>
          <w:sz w:val="20"/>
          <w:szCs w:val="20"/>
        </w:rPr>
        <w:t xml:space="preserve"> </w:t>
      </w:r>
      <w:r w:rsidRPr="000977F7">
        <w:rPr>
          <w:rFonts w:asciiTheme="majorHAnsi" w:hAnsiTheme="majorHAnsi"/>
          <w:sz w:val="20"/>
          <w:szCs w:val="20"/>
        </w:rPr>
        <w:t>системі</w:t>
      </w:r>
    </w:p>
    <w:p w14:paraId="0B11447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lastRenderedPageBreak/>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307BDB8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КОРОЗІЙНА</w:t>
      </w:r>
      <w:r w:rsidRPr="000977F7">
        <w:rPr>
          <w:color w:val="auto"/>
          <w:spacing w:val="-5"/>
          <w:sz w:val="20"/>
          <w:szCs w:val="20"/>
        </w:rPr>
        <w:t xml:space="preserve"> </w:t>
      </w:r>
      <w:r w:rsidRPr="000977F7">
        <w:rPr>
          <w:color w:val="auto"/>
          <w:sz w:val="20"/>
          <w:szCs w:val="20"/>
        </w:rPr>
        <w:t>ТРІЩИНОТРИВКІСТЬ</w:t>
      </w:r>
      <w:r w:rsidRPr="000977F7">
        <w:rPr>
          <w:color w:val="auto"/>
          <w:spacing w:val="-5"/>
          <w:sz w:val="20"/>
          <w:szCs w:val="20"/>
        </w:rPr>
        <w:t xml:space="preserve"> </w:t>
      </w:r>
      <w:r w:rsidRPr="000977F7">
        <w:rPr>
          <w:color w:val="auto"/>
          <w:sz w:val="20"/>
          <w:szCs w:val="20"/>
        </w:rPr>
        <w:t>—</w:t>
      </w:r>
    </w:p>
    <w:p w14:paraId="1AA1852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 металу чинити опір розвитку тріщини під</w:t>
      </w:r>
      <w:r w:rsidRPr="000977F7">
        <w:rPr>
          <w:rFonts w:asciiTheme="majorHAnsi" w:hAnsiTheme="majorHAnsi"/>
          <w:spacing w:val="-47"/>
          <w:sz w:val="20"/>
          <w:szCs w:val="20"/>
        </w:rPr>
        <w:t xml:space="preserve"> </w:t>
      </w:r>
      <w:r w:rsidRPr="000977F7">
        <w:rPr>
          <w:rFonts w:asciiTheme="majorHAnsi" w:hAnsiTheme="majorHAnsi"/>
          <w:sz w:val="20"/>
          <w:szCs w:val="20"/>
        </w:rPr>
        <w:t>одночасною дією механічних навантажень корозивного середовища</w:t>
      </w:r>
    </w:p>
    <w:p w14:paraId="417E5BC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27947C2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КОРОЗІЙНИЙ</w:t>
      </w:r>
      <w:r w:rsidRPr="000977F7">
        <w:rPr>
          <w:color w:val="auto"/>
          <w:spacing w:val="-3"/>
          <w:sz w:val="20"/>
          <w:szCs w:val="20"/>
        </w:rPr>
        <w:t xml:space="preserve"> </w:t>
      </w:r>
      <w:r w:rsidRPr="000977F7">
        <w:rPr>
          <w:color w:val="auto"/>
          <w:sz w:val="20"/>
          <w:szCs w:val="20"/>
        </w:rPr>
        <w:t>БАЛ</w:t>
      </w:r>
      <w:r w:rsidRPr="000977F7">
        <w:rPr>
          <w:color w:val="auto"/>
          <w:spacing w:val="-1"/>
          <w:sz w:val="20"/>
          <w:szCs w:val="20"/>
        </w:rPr>
        <w:t xml:space="preserve"> </w:t>
      </w:r>
      <w:r w:rsidRPr="000977F7">
        <w:rPr>
          <w:color w:val="auto"/>
          <w:sz w:val="20"/>
          <w:szCs w:val="20"/>
        </w:rPr>
        <w:t>–</w:t>
      </w:r>
    </w:p>
    <w:p w14:paraId="066B8B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Одиниця</w:t>
      </w:r>
      <w:r w:rsidRPr="000977F7">
        <w:rPr>
          <w:rFonts w:asciiTheme="majorHAnsi" w:hAnsiTheme="majorHAnsi"/>
          <w:spacing w:val="-5"/>
          <w:sz w:val="20"/>
          <w:szCs w:val="20"/>
        </w:rPr>
        <w:t xml:space="preserve"> </w:t>
      </w:r>
      <w:r w:rsidRPr="000977F7">
        <w:rPr>
          <w:rFonts w:asciiTheme="majorHAnsi" w:hAnsiTheme="majorHAnsi"/>
          <w:sz w:val="20"/>
          <w:szCs w:val="20"/>
        </w:rPr>
        <w:t>шкали</w:t>
      </w:r>
      <w:r w:rsidRPr="000977F7">
        <w:rPr>
          <w:rFonts w:asciiTheme="majorHAnsi" w:hAnsiTheme="majorHAnsi"/>
          <w:spacing w:val="-4"/>
          <w:sz w:val="20"/>
          <w:szCs w:val="20"/>
        </w:rPr>
        <w:t xml:space="preserve"> </w:t>
      </w:r>
      <w:r w:rsidRPr="000977F7">
        <w:rPr>
          <w:rFonts w:asciiTheme="majorHAnsi" w:hAnsiTheme="majorHAnsi"/>
          <w:sz w:val="20"/>
          <w:szCs w:val="20"/>
        </w:rPr>
        <w:t>корозійної</w:t>
      </w:r>
      <w:r w:rsidRPr="000977F7">
        <w:rPr>
          <w:rFonts w:asciiTheme="majorHAnsi" w:hAnsiTheme="majorHAnsi"/>
          <w:spacing w:val="-5"/>
          <w:sz w:val="20"/>
          <w:szCs w:val="20"/>
        </w:rPr>
        <w:t xml:space="preserve"> </w:t>
      </w:r>
      <w:r w:rsidRPr="000977F7">
        <w:rPr>
          <w:rFonts w:asciiTheme="majorHAnsi" w:hAnsiTheme="majorHAnsi"/>
          <w:sz w:val="20"/>
          <w:szCs w:val="20"/>
        </w:rPr>
        <w:t>тривкості</w:t>
      </w:r>
    </w:p>
    <w:p w14:paraId="66E21AE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0B2F7D9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КОРОЗІЙНИЙ</w:t>
      </w:r>
      <w:r w:rsidRPr="000977F7">
        <w:rPr>
          <w:color w:val="auto"/>
          <w:spacing w:val="-3"/>
          <w:sz w:val="20"/>
          <w:szCs w:val="20"/>
        </w:rPr>
        <w:t xml:space="preserve"> </w:t>
      </w:r>
      <w:r w:rsidRPr="000977F7">
        <w:rPr>
          <w:color w:val="auto"/>
          <w:sz w:val="20"/>
          <w:szCs w:val="20"/>
        </w:rPr>
        <w:t>ЕЛЕМЕНТ</w:t>
      </w:r>
      <w:r w:rsidRPr="000977F7">
        <w:rPr>
          <w:color w:val="auto"/>
          <w:spacing w:val="-2"/>
          <w:sz w:val="20"/>
          <w:szCs w:val="20"/>
        </w:rPr>
        <w:t xml:space="preserve"> </w:t>
      </w:r>
      <w:r w:rsidRPr="000977F7">
        <w:rPr>
          <w:color w:val="auto"/>
          <w:sz w:val="20"/>
          <w:szCs w:val="20"/>
        </w:rPr>
        <w:t>—</w:t>
      </w:r>
    </w:p>
    <w:p w14:paraId="37F1E9F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CORROSION</w:t>
      </w:r>
      <w:r w:rsidRPr="000977F7">
        <w:rPr>
          <w:rFonts w:asciiTheme="majorHAnsi" w:hAnsiTheme="majorHAnsi"/>
          <w:spacing w:val="-2"/>
          <w:sz w:val="20"/>
          <w:szCs w:val="20"/>
        </w:rPr>
        <w:t xml:space="preserve"> </w:t>
      </w:r>
      <w:r w:rsidRPr="000977F7">
        <w:rPr>
          <w:rFonts w:asciiTheme="majorHAnsi" w:hAnsiTheme="majorHAnsi"/>
          <w:sz w:val="20"/>
          <w:szCs w:val="20"/>
        </w:rPr>
        <w:t>CELL</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6AA6A7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Короткозамкнений гальванічний елемент, що виникає</w:t>
      </w:r>
      <w:r w:rsidRPr="000977F7">
        <w:rPr>
          <w:rFonts w:asciiTheme="majorHAnsi" w:hAnsiTheme="majorHAnsi"/>
          <w:spacing w:val="-47"/>
          <w:sz w:val="20"/>
          <w:szCs w:val="20"/>
        </w:rPr>
        <w:t xml:space="preserve"> </w:t>
      </w:r>
      <w:r w:rsidRPr="000977F7">
        <w:rPr>
          <w:rFonts w:asciiTheme="majorHAnsi" w:hAnsiTheme="majorHAnsi"/>
          <w:sz w:val="20"/>
          <w:szCs w:val="20"/>
        </w:rPr>
        <w:t>в процесі взаємодії металу з корозивним середовищем</w:t>
      </w:r>
      <w:r w:rsidRPr="000977F7">
        <w:rPr>
          <w:rFonts w:asciiTheme="majorHAnsi" w:hAnsiTheme="majorHAnsi"/>
          <w:spacing w:val="-47"/>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62C37C7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КОРОЗІЙНИЙ</w:t>
      </w:r>
      <w:r w:rsidRPr="000977F7">
        <w:rPr>
          <w:color w:val="auto"/>
          <w:spacing w:val="-6"/>
          <w:sz w:val="20"/>
          <w:szCs w:val="20"/>
        </w:rPr>
        <w:t xml:space="preserve"> </w:t>
      </w:r>
      <w:r w:rsidRPr="000977F7">
        <w:rPr>
          <w:color w:val="auto"/>
          <w:sz w:val="20"/>
          <w:szCs w:val="20"/>
        </w:rPr>
        <w:t>МАКРОЕЛЕМЕНТ</w:t>
      </w:r>
      <w:r w:rsidRPr="000977F7">
        <w:rPr>
          <w:color w:val="auto"/>
          <w:spacing w:val="-4"/>
          <w:sz w:val="20"/>
          <w:szCs w:val="20"/>
        </w:rPr>
        <w:t xml:space="preserve"> </w:t>
      </w:r>
      <w:r w:rsidRPr="000977F7">
        <w:rPr>
          <w:color w:val="auto"/>
          <w:sz w:val="20"/>
          <w:szCs w:val="20"/>
        </w:rPr>
        <w:t>—</w:t>
      </w:r>
    </w:p>
    <w:p w14:paraId="008A0F1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Корозійний елемент, електроди якого добре помітні</w:t>
      </w:r>
      <w:r w:rsidRPr="000977F7">
        <w:rPr>
          <w:rFonts w:asciiTheme="majorHAnsi" w:hAnsiTheme="majorHAnsi"/>
          <w:spacing w:val="1"/>
          <w:sz w:val="20"/>
          <w:szCs w:val="20"/>
        </w:rPr>
        <w:t xml:space="preserve"> </w:t>
      </w:r>
      <w:r w:rsidRPr="000977F7">
        <w:rPr>
          <w:rFonts w:asciiTheme="majorHAnsi" w:hAnsiTheme="majorHAnsi"/>
          <w:sz w:val="20"/>
          <w:szCs w:val="20"/>
        </w:rPr>
        <w:t>неозброєним оком</w:t>
      </w:r>
    </w:p>
    <w:p w14:paraId="4B727C0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020C6CF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КОРОЗІЙНИЙ</w:t>
      </w:r>
      <w:r w:rsidRPr="000977F7">
        <w:rPr>
          <w:color w:val="auto"/>
          <w:spacing w:val="-6"/>
          <w:sz w:val="20"/>
          <w:szCs w:val="20"/>
        </w:rPr>
        <w:t xml:space="preserve"> </w:t>
      </w:r>
      <w:r w:rsidRPr="000977F7">
        <w:rPr>
          <w:color w:val="auto"/>
          <w:sz w:val="20"/>
          <w:szCs w:val="20"/>
        </w:rPr>
        <w:t>МІКРОЕЛЕМЕНТ</w:t>
      </w:r>
      <w:r w:rsidRPr="000977F7">
        <w:rPr>
          <w:color w:val="auto"/>
          <w:spacing w:val="-5"/>
          <w:sz w:val="20"/>
          <w:szCs w:val="20"/>
        </w:rPr>
        <w:t xml:space="preserve"> </w:t>
      </w:r>
      <w:r w:rsidRPr="000977F7">
        <w:rPr>
          <w:color w:val="auto"/>
          <w:sz w:val="20"/>
          <w:szCs w:val="20"/>
        </w:rPr>
        <w:t>—</w:t>
      </w:r>
    </w:p>
    <w:p w14:paraId="31BBFD11" w14:textId="77777777" w:rsidR="0097612F" w:rsidRPr="000977F7" w:rsidRDefault="0097612F" w:rsidP="000977F7">
      <w:pPr>
        <w:pStyle w:val="af6"/>
        <w:tabs>
          <w:tab w:val="left" w:pos="284"/>
        </w:tabs>
        <w:spacing w:after="0"/>
        <w:ind w:left="170"/>
        <w:mirrorIndents/>
        <w:jc w:val="both"/>
        <w:rPr>
          <w:rFonts w:asciiTheme="majorHAnsi" w:hAnsiTheme="majorHAnsi"/>
          <w:spacing w:val="-9"/>
          <w:sz w:val="20"/>
          <w:szCs w:val="20"/>
        </w:rPr>
      </w:pPr>
      <w:r w:rsidRPr="000977F7">
        <w:rPr>
          <w:rFonts w:asciiTheme="majorHAnsi" w:hAnsiTheme="majorHAnsi"/>
          <w:spacing w:val="-9"/>
          <w:sz w:val="20"/>
          <w:szCs w:val="20"/>
        </w:rPr>
        <w:t>Корозійний</w:t>
      </w:r>
      <w:r w:rsidRPr="000977F7">
        <w:rPr>
          <w:rFonts w:asciiTheme="majorHAnsi" w:hAnsiTheme="majorHAnsi"/>
          <w:spacing w:val="-18"/>
          <w:sz w:val="20"/>
          <w:szCs w:val="20"/>
        </w:rPr>
        <w:t xml:space="preserve"> </w:t>
      </w:r>
      <w:r w:rsidRPr="000977F7">
        <w:rPr>
          <w:rFonts w:asciiTheme="majorHAnsi" w:hAnsiTheme="majorHAnsi"/>
          <w:spacing w:val="-9"/>
          <w:sz w:val="20"/>
          <w:szCs w:val="20"/>
        </w:rPr>
        <w:t>елемент,</w:t>
      </w:r>
      <w:r w:rsidRPr="000977F7">
        <w:rPr>
          <w:rFonts w:asciiTheme="majorHAnsi" w:hAnsiTheme="majorHAnsi"/>
          <w:spacing w:val="-16"/>
          <w:sz w:val="20"/>
          <w:szCs w:val="20"/>
        </w:rPr>
        <w:t xml:space="preserve"> </w:t>
      </w:r>
      <w:r w:rsidRPr="000977F7">
        <w:rPr>
          <w:rFonts w:asciiTheme="majorHAnsi" w:hAnsiTheme="majorHAnsi"/>
          <w:spacing w:val="-9"/>
          <w:sz w:val="20"/>
          <w:szCs w:val="20"/>
        </w:rPr>
        <w:t>у</w:t>
      </w:r>
      <w:r w:rsidRPr="000977F7">
        <w:rPr>
          <w:rFonts w:asciiTheme="majorHAnsi" w:hAnsiTheme="majorHAnsi"/>
          <w:spacing w:val="-20"/>
          <w:sz w:val="20"/>
          <w:szCs w:val="20"/>
        </w:rPr>
        <w:t xml:space="preserve"> </w:t>
      </w:r>
      <w:r w:rsidRPr="000977F7">
        <w:rPr>
          <w:rFonts w:asciiTheme="majorHAnsi" w:hAnsiTheme="majorHAnsi"/>
          <w:spacing w:val="-9"/>
          <w:sz w:val="20"/>
          <w:szCs w:val="20"/>
        </w:rPr>
        <w:t>якого</w:t>
      </w:r>
      <w:r w:rsidRPr="000977F7">
        <w:rPr>
          <w:rFonts w:asciiTheme="majorHAnsi" w:hAnsiTheme="majorHAnsi"/>
          <w:spacing w:val="-15"/>
          <w:sz w:val="20"/>
          <w:szCs w:val="20"/>
        </w:rPr>
        <w:t xml:space="preserve"> </w:t>
      </w:r>
      <w:r w:rsidRPr="000977F7">
        <w:rPr>
          <w:rFonts w:asciiTheme="majorHAnsi" w:hAnsiTheme="majorHAnsi"/>
          <w:spacing w:val="-9"/>
          <w:sz w:val="20"/>
          <w:szCs w:val="20"/>
        </w:rPr>
        <w:t>електроди</w:t>
      </w:r>
      <w:r w:rsidRPr="000977F7">
        <w:rPr>
          <w:rFonts w:asciiTheme="majorHAnsi" w:hAnsiTheme="majorHAnsi"/>
          <w:spacing w:val="-18"/>
          <w:sz w:val="20"/>
          <w:szCs w:val="20"/>
        </w:rPr>
        <w:t xml:space="preserve"> </w:t>
      </w:r>
      <w:r w:rsidRPr="000977F7">
        <w:rPr>
          <w:rFonts w:asciiTheme="majorHAnsi" w:hAnsiTheme="majorHAnsi"/>
          <w:spacing w:val="-9"/>
          <w:sz w:val="20"/>
          <w:szCs w:val="20"/>
        </w:rPr>
        <w:t>можна</w:t>
      </w:r>
      <w:r w:rsidRPr="000977F7">
        <w:rPr>
          <w:rFonts w:asciiTheme="majorHAnsi" w:hAnsiTheme="majorHAnsi"/>
          <w:spacing w:val="-16"/>
          <w:sz w:val="20"/>
          <w:szCs w:val="20"/>
        </w:rPr>
        <w:t xml:space="preserve"> </w:t>
      </w:r>
      <w:r w:rsidRPr="000977F7">
        <w:rPr>
          <w:rFonts w:asciiTheme="majorHAnsi" w:hAnsiTheme="majorHAnsi"/>
          <w:spacing w:val="-9"/>
          <w:sz w:val="20"/>
          <w:szCs w:val="20"/>
        </w:rPr>
        <w:t>виявити</w:t>
      </w:r>
      <w:r w:rsidRPr="000977F7">
        <w:rPr>
          <w:rFonts w:asciiTheme="majorHAnsi" w:hAnsiTheme="majorHAnsi"/>
          <w:spacing w:val="-17"/>
          <w:sz w:val="20"/>
          <w:szCs w:val="20"/>
        </w:rPr>
        <w:t xml:space="preserve"> </w:t>
      </w:r>
      <w:r w:rsidRPr="000977F7">
        <w:rPr>
          <w:rFonts w:asciiTheme="majorHAnsi" w:hAnsiTheme="majorHAnsi"/>
          <w:spacing w:val="-9"/>
          <w:sz w:val="20"/>
          <w:szCs w:val="20"/>
        </w:rPr>
        <w:t>лише</w:t>
      </w:r>
      <w:r w:rsidRPr="000977F7">
        <w:rPr>
          <w:rFonts w:asciiTheme="majorHAnsi" w:hAnsiTheme="majorHAnsi"/>
          <w:spacing w:val="-47"/>
          <w:sz w:val="20"/>
          <w:szCs w:val="20"/>
        </w:rPr>
        <w:t xml:space="preserve"> </w:t>
      </w:r>
      <w:r w:rsidRPr="000977F7">
        <w:rPr>
          <w:rFonts w:asciiTheme="majorHAnsi" w:hAnsiTheme="majorHAnsi"/>
          <w:spacing w:val="-10"/>
          <w:sz w:val="20"/>
          <w:szCs w:val="20"/>
        </w:rPr>
        <w:t xml:space="preserve">мікроскопом (домішки, </w:t>
      </w:r>
      <w:r w:rsidRPr="000977F7">
        <w:rPr>
          <w:rFonts w:asciiTheme="majorHAnsi" w:hAnsiTheme="majorHAnsi"/>
          <w:spacing w:val="-9"/>
          <w:sz w:val="20"/>
          <w:szCs w:val="20"/>
        </w:rPr>
        <w:t>структурні складники сплаву тощо)</w:t>
      </w:r>
    </w:p>
    <w:p w14:paraId="13E852C4"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52BBEEA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КОРОЗІЙНИЙ</w:t>
      </w:r>
      <w:r w:rsidRPr="000977F7">
        <w:rPr>
          <w:color w:val="auto"/>
          <w:spacing w:val="-3"/>
          <w:sz w:val="20"/>
          <w:szCs w:val="20"/>
        </w:rPr>
        <w:t xml:space="preserve"> </w:t>
      </w:r>
      <w:r w:rsidRPr="000977F7">
        <w:rPr>
          <w:color w:val="auto"/>
          <w:sz w:val="20"/>
          <w:szCs w:val="20"/>
        </w:rPr>
        <w:t>ОСЕРЕДОК</w:t>
      </w:r>
      <w:r w:rsidRPr="000977F7">
        <w:rPr>
          <w:color w:val="auto"/>
          <w:spacing w:val="-2"/>
          <w:sz w:val="20"/>
          <w:szCs w:val="20"/>
        </w:rPr>
        <w:t xml:space="preserve"> </w:t>
      </w:r>
      <w:r w:rsidRPr="000977F7">
        <w:rPr>
          <w:color w:val="auto"/>
          <w:sz w:val="20"/>
          <w:szCs w:val="20"/>
        </w:rPr>
        <w:t>—</w:t>
      </w:r>
    </w:p>
    <w:p w14:paraId="0EBFB1D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Ділянка</w:t>
      </w:r>
      <w:r w:rsidRPr="000977F7">
        <w:rPr>
          <w:rFonts w:asciiTheme="majorHAnsi" w:hAnsiTheme="majorHAnsi"/>
          <w:spacing w:val="-5"/>
          <w:sz w:val="20"/>
          <w:szCs w:val="20"/>
        </w:rPr>
        <w:t xml:space="preserve"> </w:t>
      </w:r>
      <w:r w:rsidRPr="000977F7">
        <w:rPr>
          <w:rFonts w:asciiTheme="majorHAnsi" w:hAnsiTheme="majorHAnsi"/>
          <w:sz w:val="20"/>
          <w:szCs w:val="20"/>
        </w:rPr>
        <w:t>поверхні</w:t>
      </w:r>
      <w:r w:rsidRPr="000977F7">
        <w:rPr>
          <w:rFonts w:asciiTheme="majorHAnsi" w:hAnsiTheme="majorHAnsi"/>
          <w:spacing w:val="-5"/>
          <w:sz w:val="20"/>
          <w:szCs w:val="20"/>
        </w:rPr>
        <w:t xml:space="preserve"> </w:t>
      </w:r>
      <w:r w:rsidRPr="000977F7">
        <w:rPr>
          <w:rFonts w:asciiTheme="majorHAnsi" w:hAnsiTheme="majorHAnsi"/>
          <w:sz w:val="20"/>
          <w:szCs w:val="20"/>
        </w:rPr>
        <w:t>металу,</w:t>
      </w:r>
      <w:r w:rsidRPr="000977F7">
        <w:rPr>
          <w:rFonts w:asciiTheme="majorHAnsi" w:hAnsiTheme="majorHAnsi"/>
          <w:spacing w:val="-4"/>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якій</w:t>
      </w:r>
      <w:r w:rsidRPr="000977F7">
        <w:rPr>
          <w:rFonts w:asciiTheme="majorHAnsi" w:hAnsiTheme="majorHAnsi"/>
          <w:spacing w:val="-3"/>
          <w:sz w:val="20"/>
          <w:szCs w:val="20"/>
        </w:rPr>
        <w:t xml:space="preserve"> </w:t>
      </w:r>
      <w:r w:rsidRPr="000977F7">
        <w:rPr>
          <w:rFonts w:asciiTheme="majorHAnsi" w:hAnsiTheme="majorHAnsi"/>
          <w:sz w:val="20"/>
          <w:szCs w:val="20"/>
        </w:rPr>
        <w:t>відбувається</w:t>
      </w:r>
      <w:r w:rsidRPr="000977F7">
        <w:rPr>
          <w:rFonts w:asciiTheme="majorHAnsi" w:hAnsiTheme="majorHAnsi"/>
          <w:spacing w:val="-5"/>
          <w:sz w:val="20"/>
          <w:szCs w:val="20"/>
        </w:rPr>
        <w:t xml:space="preserve"> </w:t>
      </w:r>
      <w:r w:rsidRPr="000977F7">
        <w:rPr>
          <w:rFonts w:asciiTheme="majorHAnsi" w:hAnsiTheme="majorHAnsi"/>
          <w:sz w:val="20"/>
          <w:szCs w:val="20"/>
        </w:rPr>
        <w:t>корозія</w:t>
      </w:r>
    </w:p>
    <w:p w14:paraId="6B168D3F"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3830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98</w:t>
      </w:r>
    </w:p>
    <w:p w14:paraId="5B35ABA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КОРОЗІЙНИЙ</w:t>
      </w:r>
      <w:r w:rsidRPr="000977F7">
        <w:rPr>
          <w:color w:val="auto"/>
          <w:spacing w:val="-3"/>
          <w:sz w:val="20"/>
          <w:szCs w:val="20"/>
        </w:rPr>
        <w:t xml:space="preserve"> </w:t>
      </w:r>
      <w:r w:rsidRPr="000977F7">
        <w:rPr>
          <w:color w:val="auto"/>
          <w:sz w:val="20"/>
          <w:szCs w:val="20"/>
        </w:rPr>
        <w:t>СТРУМ</w:t>
      </w:r>
      <w:r w:rsidRPr="000977F7">
        <w:rPr>
          <w:color w:val="auto"/>
          <w:spacing w:val="3"/>
          <w:sz w:val="20"/>
          <w:szCs w:val="20"/>
        </w:rPr>
        <w:t xml:space="preserve"> </w:t>
      </w:r>
      <w:r w:rsidRPr="000977F7">
        <w:rPr>
          <w:color w:val="auto"/>
          <w:sz w:val="20"/>
          <w:szCs w:val="20"/>
        </w:rPr>
        <w:t>—</w:t>
      </w:r>
    </w:p>
    <w:p w14:paraId="3507635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CORROSION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CURRENT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7779C3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Швидкість</w:t>
      </w:r>
      <w:r w:rsidRPr="000977F7">
        <w:rPr>
          <w:rFonts w:asciiTheme="majorHAnsi" w:hAnsiTheme="majorHAnsi"/>
          <w:spacing w:val="14"/>
          <w:sz w:val="20"/>
          <w:szCs w:val="20"/>
        </w:rPr>
        <w:t xml:space="preserve"> </w:t>
      </w:r>
      <w:r w:rsidRPr="000977F7">
        <w:rPr>
          <w:rFonts w:asciiTheme="majorHAnsi" w:hAnsiTheme="majorHAnsi"/>
          <w:sz w:val="20"/>
          <w:szCs w:val="20"/>
        </w:rPr>
        <w:t>електрохімічної</w:t>
      </w:r>
      <w:r w:rsidRPr="000977F7">
        <w:rPr>
          <w:rFonts w:asciiTheme="majorHAnsi" w:hAnsiTheme="majorHAnsi"/>
          <w:spacing w:val="17"/>
          <w:sz w:val="20"/>
          <w:szCs w:val="20"/>
        </w:rPr>
        <w:t xml:space="preserve"> </w:t>
      </w:r>
      <w:r w:rsidRPr="000977F7">
        <w:rPr>
          <w:rFonts w:asciiTheme="majorHAnsi" w:hAnsiTheme="majorHAnsi"/>
          <w:sz w:val="20"/>
          <w:szCs w:val="20"/>
        </w:rPr>
        <w:t>корозії,</w:t>
      </w:r>
      <w:r w:rsidRPr="000977F7">
        <w:rPr>
          <w:rFonts w:asciiTheme="majorHAnsi" w:hAnsiTheme="majorHAnsi"/>
          <w:spacing w:val="15"/>
          <w:sz w:val="20"/>
          <w:szCs w:val="20"/>
        </w:rPr>
        <w:t xml:space="preserve"> </w:t>
      </w:r>
      <w:r w:rsidRPr="000977F7">
        <w:rPr>
          <w:rFonts w:asciiTheme="majorHAnsi" w:hAnsiTheme="majorHAnsi"/>
          <w:sz w:val="20"/>
          <w:szCs w:val="20"/>
        </w:rPr>
        <w:t>виражена</w:t>
      </w:r>
      <w:r w:rsidRPr="000977F7">
        <w:rPr>
          <w:rFonts w:asciiTheme="majorHAnsi" w:hAnsiTheme="majorHAnsi"/>
          <w:spacing w:val="17"/>
          <w:sz w:val="20"/>
          <w:szCs w:val="20"/>
        </w:rPr>
        <w:t xml:space="preserve"> </w:t>
      </w:r>
      <w:r w:rsidRPr="000977F7">
        <w:rPr>
          <w:rFonts w:asciiTheme="majorHAnsi" w:hAnsiTheme="majorHAnsi"/>
          <w:sz w:val="20"/>
          <w:szCs w:val="20"/>
        </w:rPr>
        <w:t>величиною</w:t>
      </w:r>
      <w:r w:rsidRPr="000977F7">
        <w:rPr>
          <w:rFonts w:asciiTheme="majorHAnsi" w:hAnsiTheme="majorHAnsi"/>
          <w:spacing w:val="-1"/>
          <w:sz w:val="20"/>
          <w:szCs w:val="20"/>
        </w:rPr>
        <w:t xml:space="preserve"> </w:t>
      </w:r>
      <w:r w:rsidRPr="000977F7">
        <w:rPr>
          <w:rFonts w:asciiTheme="majorHAnsi" w:hAnsiTheme="majorHAnsi"/>
          <w:sz w:val="20"/>
          <w:szCs w:val="20"/>
        </w:rPr>
        <w:t>густини</w:t>
      </w:r>
      <w:r w:rsidRPr="000977F7">
        <w:rPr>
          <w:rFonts w:asciiTheme="majorHAnsi" w:hAnsiTheme="majorHAnsi"/>
          <w:spacing w:val="-1"/>
          <w:sz w:val="20"/>
          <w:szCs w:val="20"/>
        </w:rPr>
        <w:t xml:space="preserve"> </w:t>
      </w:r>
      <w:r w:rsidRPr="000977F7">
        <w:rPr>
          <w:rFonts w:asciiTheme="majorHAnsi" w:hAnsiTheme="majorHAnsi"/>
          <w:sz w:val="20"/>
          <w:szCs w:val="20"/>
        </w:rPr>
        <w:t>електричного</w:t>
      </w:r>
      <w:r w:rsidRPr="000977F7">
        <w:rPr>
          <w:rFonts w:asciiTheme="majorHAnsi" w:hAnsiTheme="majorHAnsi"/>
          <w:spacing w:val="1"/>
          <w:sz w:val="20"/>
          <w:szCs w:val="20"/>
        </w:rPr>
        <w:t xml:space="preserve"> </w:t>
      </w:r>
      <w:r w:rsidRPr="000977F7">
        <w:rPr>
          <w:rFonts w:asciiTheme="majorHAnsi" w:hAnsiTheme="majorHAnsi"/>
          <w:sz w:val="20"/>
          <w:szCs w:val="20"/>
        </w:rPr>
        <w:t>струму</w:t>
      </w:r>
    </w:p>
    <w:p w14:paraId="15531A4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3025174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КОРОЗІЙНИЙ</w:t>
      </w:r>
      <w:r w:rsidRPr="000977F7">
        <w:rPr>
          <w:color w:val="auto"/>
          <w:spacing w:val="-5"/>
          <w:sz w:val="20"/>
          <w:szCs w:val="20"/>
        </w:rPr>
        <w:t xml:space="preserve"> </w:t>
      </w:r>
      <w:r w:rsidRPr="000977F7">
        <w:rPr>
          <w:color w:val="auto"/>
          <w:sz w:val="20"/>
          <w:szCs w:val="20"/>
        </w:rPr>
        <w:t>СУБМІКРОЕЛЕМЕНТ</w:t>
      </w:r>
      <w:r w:rsidRPr="000977F7">
        <w:rPr>
          <w:color w:val="auto"/>
          <w:spacing w:val="-5"/>
          <w:sz w:val="20"/>
          <w:szCs w:val="20"/>
        </w:rPr>
        <w:t xml:space="preserve"> </w:t>
      </w:r>
      <w:r w:rsidRPr="000977F7">
        <w:rPr>
          <w:color w:val="auto"/>
          <w:sz w:val="20"/>
          <w:szCs w:val="20"/>
        </w:rPr>
        <w:t>—</w:t>
      </w:r>
    </w:p>
    <w:p w14:paraId="19FBAD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Корозійний</w:t>
      </w:r>
      <w:r w:rsidRPr="000977F7">
        <w:rPr>
          <w:rFonts w:asciiTheme="majorHAnsi" w:hAnsiTheme="majorHAnsi"/>
          <w:spacing w:val="1"/>
          <w:sz w:val="20"/>
          <w:szCs w:val="20"/>
        </w:rPr>
        <w:t xml:space="preserve"> </w:t>
      </w:r>
      <w:r w:rsidRPr="000977F7">
        <w:rPr>
          <w:rFonts w:asciiTheme="majorHAnsi" w:hAnsiTheme="majorHAnsi"/>
          <w:sz w:val="20"/>
          <w:szCs w:val="20"/>
        </w:rPr>
        <w:t>елемент</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електродами,</w:t>
      </w:r>
      <w:r w:rsidRPr="000977F7">
        <w:rPr>
          <w:rFonts w:asciiTheme="majorHAnsi" w:hAnsiTheme="majorHAnsi"/>
          <w:spacing w:val="1"/>
          <w:sz w:val="20"/>
          <w:szCs w:val="20"/>
        </w:rPr>
        <w:t xml:space="preserve"> </w:t>
      </w:r>
      <w:r w:rsidRPr="000977F7">
        <w:rPr>
          <w:rFonts w:asciiTheme="majorHAnsi" w:hAnsiTheme="majorHAnsi"/>
          <w:sz w:val="20"/>
          <w:szCs w:val="20"/>
        </w:rPr>
        <w:t>величина</w:t>
      </w:r>
      <w:r w:rsidRPr="000977F7">
        <w:rPr>
          <w:rFonts w:asciiTheme="majorHAnsi" w:hAnsiTheme="majorHAnsi"/>
          <w:spacing w:val="1"/>
          <w:sz w:val="20"/>
          <w:szCs w:val="20"/>
        </w:rPr>
        <w:t xml:space="preserve"> </w:t>
      </w:r>
      <w:r w:rsidRPr="000977F7">
        <w:rPr>
          <w:rFonts w:asciiTheme="majorHAnsi" w:hAnsiTheme="majorHAnsi"/>
          <w:sz w:val="20"/>
          <w:szCs w:val="20"/>
        </w:rPr>
        <w:t>яких</w:t>
      </w:r>
      <w:r w:rsidRPr="000977F7">
        <w:rPr>
          <w:rFonts w:asciiTheme="majorHAnsi" w:hAnsiTheme="majorHAnsi"/>
          <w:spacing w:val="1"/>
          <w:sz w:val="20"/>
          <w:szCs w:val="20"/>
        </w:rPr>
        <w:t xml:space="preserve"> </w:t>
      </w:r>
      <w:r w:rsidRPr="000977F7">
        <w:rPr>
          <w:rFonts w:asciiTheme="majorHAnsi" w:hAnsiTheme="majorHAnsi"/>
          <w:sz w:val="20"/>
          <w:szCs w:val="20"/>
        </w:rPr>
        <w:t>лежить за границею роздільної здатності оптичного</w:t>
      </w:r>
      <w:r w:rsidRPr="000977F7">
        <w:rPr>
          <w:rFonts w:asciiTheme="majorHAnsi" w:hAnsiTheme="majorHAnsi"/>
          <w:spacing w:val="1"/>
          <w:sz w:val="20"/>
          <w:szCs w:val="20"/>
        </w:rPr>
        <w:t xml:space="preserve"> </w:t>
      </w:r>
      <w:r w:rsidRPr="000977F7">
        <w:rPr>
          <w:rFonts w:asciiTheme="majorHAnsi" w:hAnsiTheme="majorHAnsi"/>
          <w:sz w:val="20"/>
          <w:szCs w:val="20"/>
        </w:rPr>
        <w:t>мікроскопа</w:t>
      </w:r>
    </w:p>
    <w:p w14:paraId="673081A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4AE9B9E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КОРОЗІЙНІ</w:t>
      </w:r>
      <w:r w:rsidRPr="000977F7">
        <w:rPr>
          <w:color w:val="auto"/>
          <w:spacing w:val="-5"/>
          <w:sz w:val="20"/>
          <w:szCs w:val="20"/>
        </w:rPr>
        <w:t xml:space="preserve"> </w:t>
      </w:r>
      <w:r w:rsidRPr="000977F7">
        <w:rPr>
          <w:color w:val="auto"/>
          <w:sz w:val="20"/>
          <w:szCs w:val="20"/>
        </w:rPr>
        <w:t>ВИПРОБУВАННЯ</w:t>
      </w:r>
      <w:r w:rsidRPr="000977F7">
        <w:rPr>
          <w:color w:val="auto"/>
          <w:spacing w:val="-4"/>
          <w:sz w:val="20"/>
          <w:szCs w:val="20"/>
        </w:rPr>
        <w:t xml:space="preserve"> </w:t>
      </w:r>
      <w:r w:rsidRPr="000977F7">
        <w:rPr>
          <w:color w:val="auto"/>
          <w:sz w:val="20"/>
          <w:szCs w:val="20"/>
        </w:rPr>
        <w:t>–</w:t>
      </w:r>
    </w:p>
    <w:p w14:paraId="038CD60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CORROSION</w:t>
      </w:r>
      <w:r w:rsidRPr="000977F7">
        <w:rPr>
          <w:rFonts w:asciiTheme="majorHAnsi" w:hAnsiTheme="majorHAnsi"/>
          <w:spacing w:val="-1"/>
          <w:sz w:val="20"/>
          <w:szCs w:val="20"/>
        </w:rPr>
        <w:t xml:space="preserve"> </w:t>
      </w:r>
      <w:r w:rsidRPr="000977F7">
        <w:rPr>
          <w:rFonts w:asciiTheme="majorHAnsi" w:hAnsiTheme="majorHAnsi"/>
          <w:sz w:val="20"/>
          <w:szCs w:val="20"/>
        </w:rPr>
        <w:t>TESTS–</w:t>
      </w:r>
    </w:p>
    <w:p w14:paraId="4CFB12CC" w14:textId="77777777" w:rsidR="0097612F" w:rsidRPr="000977F7" w:rsidRDefault="0097612F" w:rsidP="000977F7">
      <w:pPr>
        <w:pStyle w:val="af6"/>
        <w:tabs>
          <w:tab w:val="left" w:pos="284"/>
        </w:tabs>
        <w:spacing w:after="0"/>
        <w:ind w:left="170"/>
        <w:mirrorIndents/>
        <w:jc w:val="both"/>
        <w:rPr>
          <w:rFonts w:asciiTheme="majorHAnsi" w:hAnsiTheme="majorHAnsi"/>
          <w:spacing w:val="1"/>
          <w:w w:val="95"/>
          <w:sz w:val="20"/>
          <w:szCs w:val="20"/>
        </w:rPr>
      </w:pPr>
      <w:r w:rsidRPr="000977F7">
        <w:rPr>
          <w:rFonts w:asciiTheme="majorHAnsi" w:hAnsiTheme="majorHAnsi"/>
          <w:spacing w:val="-3"/>
          <w:sz w:val="20"/>
          <w:szCs w:val="20"/>
        </w:rPr>
        <w:t>Випробування</w:t>
      </w:r>
      <w:r w:rsidRPr="000977F7">
        <w:rPr>
          <w:rFonts w:asciiTheme="majorHAnsi" w:hAnsiTheme="majorHAnsi"/>
          <w:spacing w:val="-9"/>
          <w:sz w:val="20"/>
          <w:szCs w:val="20"/>
        </w:rPr>
        <w:t xml:space="preserve"> </w:t>
      </w:r>
      <w:r w:rsidRPr="000977F7">
        <w:rPr>
          <w:rFonts w:asciiTheme="majorHAnsi" w:hAnsiTheme="majorHAnsi"/>
          <w:spacing w:val="-3"/>
          <w:sz w:val="20"/>
          <w:szCs w:val="20"/>
        </w:rPr>
        <w:t>в</w:t>
      </w:r>
      <w:r w:rsidRPr="000977F7">
        <w:rPr>
          <w:rFonts w:asciiTheme="majorHAnsi" w:hAnsiTheme="majorHAnsi"/>
          <w:spacing w:val="-6"/>
          <w:sz w:val="20"/>
          <w:szCs w:val="20"/>
        </w:rPr>
        <w:t xml:space="preserve"> </w:t>
      </w:r>
      <w:r w:rsidRPr="000977F7">
        <w:rPr>
          <w:rFonts w:asciiTheme="majorHAnsi" w:hAnsiTheme="majorHAnsi"/>
          <w:spacing w:val="-3"/>
          <w:sz w:val="20"/>
          <w:szCs w:val="20"/>
        </w:rPr>
        <w:t>корозивних</w:t>
      </w:r>
      <w:r w:rsidRPr="000977F7">
        <w:rPr>
          <w:rFonts w:asciiTheme="majorHAnsi" w:hAnsiTheme="majorHAnsi"/>
          <w:spacing w:val="-7"/>
          <w:sz w:val="20"/>
          <w:szCs w:val="20"/>
        </w:rPr>
        <w:t xml:space="preserve"> </w:t>
      </w:r>
      <w:r w:rsidRPr="000977F7">
        <w:rPr>
          <w:rFonts w:asciiTheme="majorHAnsi" w:hAnsiTheme="majorHAnsi"/>
          <w:spacing w:val="-2"/>
          <w:sz w:val="20"/>
          <w:szCs w:val="20"/>
        </w:rPr>
        <w:t>середовищах</w:t>
      </w:r>
      <w:r w:rsidRPr="000977F7">
        <w:rPr>
          <w:rFonts w:asciiTheme="majorHAnsi" w:hAnsiTheme="majorHAnsi"/>
          <w:spacing w:val="-9"/>
          <w:sz w:val="20"/>
          <w:szCs w:val="20"/>
        </w:rPr>
        <w:t xml:space="preserve"> </w:t>
      </w:r>
      <w:r w:rsidRPr="000977F7">
        <w:rPr>
          <w:rFonts w:asciiTheme="majorHAnsi" w:hAnsiTheme="majorHAnsi"/>
          <w:spacing w:val="-2"/>
          <w:sz w:val="20"/>
          <w:szCs w:val="20"/>
        </w:rPr>
        <w:t>для</w:t>
      </w:r>
      <w:r w:rsidRPr="000977F7">
        <w:rPr>
          <w:rFonts w:asciiTheme="majorHAnsi" w:hAnsiTheme="majorHAnsi"/>
          <w:spacing w:val="-8"/>
          <w:sz w:val="20"/>
          <w:szCs w:val="20"/>
        </w:rPr>
        <w:t xml:space="preserve"> </w:t>
      </w:r>
      <w:r w:rsidRPr="000977F7">
        <w:rPr>
          <w:rFonts w:asciiTheme="majorHAnsi" w:hAnsiTheme="majorHAnsi"/>
          <w:spacing w:val="-2"/>
          <w:sz w:val="20"/>
          <w:szCs w:val="20"/>
        </w:rPr>
        <w:t>визначен</w:t>
      </w:r>
      <w:r w:rsidRPr="000977F7">
        <w:rPr>
          <w:rFonts w:asciiTheme="majorHAnsi" w:hAnsiTheme="majorHAnsi"/>
          <w:spacing w:val="-47"/>
          <w:sz w:val="20"/>
          <w:szCs w:val="20"/>
        </w:rPr>
        <w:t xml:space="preserve"> </w:t>
      </w:r>
      <w:r w:rsidRPr="000977F7">
        <w:rPr>
          <w:rFonts w:asciiTheme="majorHAnsi" w:hAnsiTheme="majorHAnsi"/>
          <w:w w:val="95"/>
          <w:sz w:val="20"/>
          <w:szCs w:val="20"/>
        </w:rPr>
        <w:t>ня корозійної тривкості металу та захисних покриттів</w:t>
      </w:r>
      <w:r w:rsidRPr="000977F7">
        <w:rPr>
          <w:rFonts w:asciiTheme="majorHAnsi" w:hAnsiTheme="majorHAnsi"/>
          <w:spacing w:val="1"/>
          <w:w w:val="95"/>
          <w:sz w:val="20"/>
          <w:szCs w:val="20"/>
        </w:rPr>
        <w:t xml:space="preserve"> </w:t>
      </w:r>
    </w:p>
    <w:p w14:paraId="570CF08D"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2675464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КОРОЗІЙНІ ВИПРОБУВАННЯ В ПРИРОДНИХ</w:t>
      </w:r>
      <w:r w:rsidRPr="000977F7">
        <w:rPr>
          <w:color w:val="auto"/>
          <w:spacing w:val="-47"/>
          <w:sz w:val="20"/>
          <w:szCs w:val="20"/>
        </w:rPr>
        <w:t xml:space="preserve"> </w:t>
      </w:r>
      <w:r w:rsidRPr="000977F7">
        <w:rPr>
          <w:color w:val="auto"/>
          <w:sz w:val="20"/>
          <w:szCs w:val="20"/>
        </w:rPr>
        <w:t>УМОВАХ;</w:t>
      </w:r>
      <w:r w:rsidRPr="000977F7">
        <w:rPr>
          <w:color w:val="auto"/>
          <w:spacing w:val="-1"/>
          <w:sz w:val="20"/>
          <w:szCs w:val="20"/>
        </w:rPr>
        <w:t xml:space="preserve"> </w:t>
      </w:r>
      <w:r w:rsidRPr="000977F7">
        <w:rPr>
          <w:color w:val="auto"/>
          <w:sz w:val="20"/>
          <w:szCs w:val="20"/>
        </w:rPr>
        <w:t>ПОЛЬОВІ</w:t>
      </w:r>
      <w:r w:rsidRPr="000977F7">
        <w:rPr>
          <w:color w:val="auto"/>
          <w:spacing w:val="-2"/>
          <w:sz w:val="20"/>
          <w:szCs w:val="20"/>
        </w:rPr>
        <w:t xml:space="preserve"> </w:t>
      </w:r>
      <w:r w:rsidRPr="000977F7">
        <w:rPr>
          <w:color w:val="auto"/>
          <w:sz w:val="20"/>
          <w:szCs w:val="20"/>
        </w:rPr>
        <w:t>ВИПРОБУВАННЯ –</w:t>
      </w:r>
    </w:p>
    <w:p w14:paraId="7C15478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Корозійні</w:t>
      </w:r>
      <w:r w:rsidRPr="000977F7">
        <w:rPr>
          <w:rFonts w:asciiTheme="majorHAnsi" w:hAnsiTheme="majorHAnsi"/>
          <w:spacing w:val="7"/>
          <w:sz w:val="20"/>
          <w:szCs w:val="20"/>
        </w:rPr>
        <w:t xml:space="preserve"> </w:t>
      </w:r>
      <w:r w:rsidRPr="000977F7">
        <w:rPr>
          <w:rFonts w:asciiTheme="majorHAnsi" w:hAnsiTheme="majorHAnsi"/>
          <w:sz w:val="20"/>
          <w:szCs w:val="20"/>
        </w:rPr>
        <w:t>випробування</w:t>
      </w:r>
      <w:r w:rsidRPr="000977F7">
        <w:rPr>
          <w:rFonts w:asciiTheme="majorHAnsi" w:hAnsiTheme="majorHAnsi"/>
          <w:spacing w:val="8"/>
          <w:sz w:val="20"/>
          <w:szCs w:val="20"/>
        </w:rPr>
        <w:t xml:space="preserve"> </w:t>
      </w:r>
      <w:r w:rsidRPr="000977F7">
        <w:rPr>
          <w:rFonts w:asciiTheme="majorHAnsi" w:hAnsiTheme="majorHAnsi"/>
          <w:sz w:val="20"/>
          <w:szCs w:val="20"/>
        </w:rPr>
        <w:t>металу</w:t>
      </w:r>
      <w:r w:rsidRPr="000977F7">
        <w:rPr>
          <w:rFonts w:asciiTheme="majorHAnsi" w:hAnsiTheme="majorHAnsi"/>
          <w:spacing w:val="7"/>
          <w:sz w:val="20"/>
          <w:szCs w:val="20"/>
        </w:rPr>
        <w:t xml:space="preserve"> </w:t>
      </w:r>
      <w:r w:rsidRPr="000977F7">
        <w:rPr>
          <w:rFonts w:asciiTheme="majorHAnsi" w:hAnsiTheme="majorHAnsi"/>
          <w:sz w:val="20"/>
          <w:szCs w:val="20"/>
        </w:rPr>
        <w:t>в</w:t>
      </w:r>
      <w:r w:rsidRPr="000977F7">
        <w:rPr>
          <w:rFonts w:asciiTheme="majorHAnsi" w:hAnsiTheme="majorHAnsi"/>
          <w:spacing w:val="8"/>
          <w:sz w:val="20"/>
          <w:szCs w:val="20"/>
        </w:rPr>
        <w:t xml:space="preserve"> </w:t>
      </w:r>
      <w:r w:rsidRPr="000977F7">
        <w:rPr>
          <w:rFonts w:asciiTheme="majorHAnsi" w:hAnsiTheme="majorHAnsi"/>
          <w:sz w:val="20"/>
          <w:szCs w:val="20"/>
        </w:rPr>
        <w:t>атмосфері,</w:t>
      </w:r>
      <w:r w:rsidRPr="000977F7">
        <w:rPr>
          <w:rFonts w:asciiTheme="majorHAnsi" w:hAnsiTheme="majorHAnsi"/>
          <w:spacing w:val="8"/>
          <w:sz w:val="20"/>
          <w:szCs w:val="20"/>
        </w:rPr>
        <w:t xml:space="preserve"> </w:t>
      </w:r>
      <w:r w:rsidRPr="000977F7">
        <w:rPr>
          <w:rFonts w:asciiTheme="majorHAnsi" w:hAnsiTheme="majorHAnsi"/>
          <w:sz w:val="20"/>
          <w:szCs w:val="20"/>
        </w:rPr>
        <w:t>в</w:t>
      </w:r>
      <w:r w:rsidRPr="000977F7">
        <w:rPr>
          <w:rFonts w:asciiTheme="majorHAnsi" w:hAnsiTheme="majorHAnsi"/>
          <w:spacing w:val="8"/>
          <w:sz w:val="20"/>
          <w:szCs w:val="20"/>
        </w:rPr>
        <w:t xml:space="preserve"> </w:t>
      </w:r>
      <w:r w:rsidRPr="000977F7">
        <w:rPr>
          <w:rFonts w:asciiTheme="majorHAnsi" w:hAnsiTheme="majorHAnsi"/>
          <w:sz w:val="20"/>
          <w:szCs w:val="20"/>
        </w:rPr>
        <w:t>морі,</w:t>
      </w:r>
      <w:r w:rsidRPr="000977F7">
        <w:rPr>
          <w:rFonts w:asciiTheme="majorHAnsi" w:hAnsiTheme="majorHAnsi"/>
          <w:spacing w:val="9"/>
          <w:sz w:val="20"/>
          <w:szCs w:val="20"/>
        </w:rPr>
        <w:t xml:space="preserve"> </w:t>
      </w:r>
      <w:r w:rsidRPr="000977F7">
        <w:rPr>
          <w:rFonts w:asciiTheme="majorHAnsi" w:hAnsiTheme="majorHAnsi"/>
          <w:sz w:val="20"/>
          <w:szCs w:val="20"/>
        </w:rPr>
        <w:t>в</w:t>
      </w:r>
      <w:r w:rsidRPr="000977F7">
        <w:rPr>
          <w:rFonts w:asciiTheme="majorHAnsi" w:hAnsiTheme="majorHAnsi"/>
          <w:spacing w:val="-47"/>
          <w:sz w:val="20"/>
          <w:szCs w:val="20"/>
        </w:rPr>
        <w:t xml:space="preserve"> </w:t>
      </w:r>
      <w:r w:rsidRPr="000977F7">
        <w:rPr>
          <w:rFonts w:asciiTheme="majorHAnsi" w:hAnsiTheme="majorHAnsi"/>
          <w:sz w:val="20"/>
          <w:szCs w:val="20"/>
        </w:rPr>
        <w:t>ґрунті</w:t>
      </w:r>
      <w:r w:rsidRPr="000977F7">
        <w:rPr>
          <w:rFonts w:asciiTheme="majorHAnsi" w:hAnsiTheme="majorHAnsi"/>
          <w:spacing w:val="-2"/>
          <w:sz w:val="20"/>
          <w:szCs w:val="20"/>
        </w:rPr>
        <w:t xml:space="preserve"> </w:t>
      </w:r>
      <w:r w:rsidRPr="000977F7">
        <w:rPr>
          <w:rFonts w:asciiTheme="majorHAnsi" w:hAnsiTheme="majorHAnsi"/>
          <w:sz w:val="20"/>
          <w:szCs w:val="20"/>
        </w:rPr>
        <w:t>тощо</w:t>
      </w:r>
    </w:p>
    <w:p w14:paraId="576652B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0B814C8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КОРОЗІЙНІ</w:t>
      </w:r>
      <w:r w:rsidRPr="000977F7">
        <w:rPr>
          <w:color w:val="auto"/>
          <w:spacing w:val="-5"/>
          <w:sz w:val="20"/>
          <w:szCs w:val="20"/>
        </w:rPr>
        <w:t xml:space="preserve"> </w:t>
      </w:r>
      <w:r w:rsidRPr="000977F7">
        <w:rPr>
          <w:color w:val="auto"/>
          <w:sz w:val="20"/>
          <w:szCs w:val="20"/>
        </w:rPr>
        <w:t>ВТРАТИ</w:t>
      </w:r>
      <w:r w:rsidRPr="000977F7">
        <w:rPr>
          <w:color w:val="auto"/>
          <w:spacing w:val="-1"/>
          <w:sz w:val="20"/>
          <w:szCs w:val="20"/>
        </w:rPr>
        <w:t xml:space="preserve"> </w:t>
      </w:r>
      <w:r w:rsidRPr="000977F7">
        <w:rPr>
          <w:color w:val="auto"/>
          <w:sz w:val="20"/>
          <w:szCs w:val="20"/>
        </w:rPr>
        <w:t>—</w:t>
      </w:r>
    </w:p>
    <w:p w14:paraId="7A6149B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Кількість</w:t>
      </w:r>
      <w:r w:rsidRPr="000977F7">
        <w:rPr>
          <w:rFonts w:asciiTheme="majorHAnsi" w:hAnsiTheme="majorHAnsi"/>
          <w:spacing w:val="25"/>
          <w:sz w:val="20"/>
          <w:szCs w:val="20"/>
        </w:rPr>
        <w:t xml:space="preserve"> </w:t>
      </w:r>
      <w:r w:rsidRPr="000977F7">
        <w:rPr>
          <w:rFonts w:asciiTheme="majorHAnsi" w:hAnsiTheme="majorHAnsi"/>
          <w:sz w:val="20"/>
          <w:szCs w:val="20"/>
        </w:rPr>
        <w:t>металу,</w:t>
      </w:r>
      <w:r w:rsidRPr="000977F7">
        <w:rPr>
          <w:rFonts w:asciiTheme="majorHAnsi" w:hAnsiTheme="majorHAnsi"/>
          <w:spacing w:val="24"/>
          <w:sz w:val="20"/>
          <w:szCs w:val="20"/>
        </w:rPr>
        <w:t xml:space="preserve"> </w:t>
      </w:r>
      <w:r w:rsidRPr="000977F7">
        <w:rPr>
          <w:rFonts w:asciiTheme="majorHAnsi" w:hAnsiTheme="majorHAnsi"/>
          <w:sz w:val="20"/>
          <w:szCs w:val="20"/>
        </w:rPr>
        <w:t>що</w:t>
      </w:r>
      <w:r w:rsidRPr="000977F7">
        <w:rPr>
          <w:rFonts w:asciiTheme="majorHAnsi" w:hAnsiTheme="majorHAnsi"/>
          <w:spacing w:val="27"/>
          <w:sz w:val="20"/>
          <w:szCs w:val="20"/>
        </w:rPr>
        <w:t xml:space="preserve"> </w:t>
      </w:r>
      <w:r w:rsidRPr="000977F7">
        <w:rPr>
          <w:rFonts w:asciiTheme="majorHAnsi" w:hAnsiTheme="majorHAnsi"/>
          <w:sz w:val="20"/>
          <w:szCs w:val="20"/>
        </w:rPr>
        <w:t>перетворюється</w:t>
      </w:r>
      <w:r w:rsidRPr="000977F7">
        <w:rPr>
          <w:rFonts w:asciiTheme="majorHAnsi" w:hAnsiTheme="majorHAnsi"/>
          <w:spacing w:val="24"/>
          <w:sz w:val="20"/>
          <w:szCs w:val="20"/>
        </w:rPr>
        <w:t xml:space="preserve"> </w:t>
      </w:r>
      <w:r w:rsidRPr="000977F7">
        <w:rPr>
          <w:rFonts w:asciiTheme="majorHAnsi" w:hAnsiTheme="majorHAnsi"/>
          <w:sz w:val="20"/>
          <w:szCs w:val="20"/>
        </w:rPr>
        <w:t>в</w:t>
      </w:r>
      <w:r w:rsidRPr="000977F7">
        <w:rPr>
          <w:rFonts w:asciiTheme="majorHAnsi" w:hAnsiTheme="majorHAnsi"/>
          <w:spacing w:val="25"/>
          <w:sz w:val="20"/>
          <w:szCs w:val="20"/>
        </w:rPr>
        <w:t xml:space="preserve"> </w:t>
      </w:r>
      <w:r w:rsidRPr="000977F7">
        <w:rPr>
          <w:rFonts w:asciiTheme="majorHAnsi" w:hAnsiTheme="majorHAnsi"/>
          <w:sz w:val="20"/>
          <w:szCs w:val="20"/>
        </w:rPr>
        <w:t>продукти</w:t>
      </w:r>
      <w:r w:rsidRPr="000977F7">
        <w:rPr>
          <w:rFonts w:asciiTheme="majorHAnsi" w:hAnsiTheme="majorHAnsi"/>
          <w:spacing w:val="25"/>
          <w:sz w:val="20"/>
          <w:szCs w:val="20"/>
        </w:rPr>
        <w:t xml:space="preserve"> </w:t>
      </w:r>
      <w:r w:rsidRPr="000977F7">
        <w:rPr>
          <w:rFonts w:asciiTheme="majorHAnsi" w:hAnsiTheme="majorHAnsi"/>
          <w:sz w:val="20"/>
          <w:szCs w:val="20"/>
        </w:rPr>
        <w:t>корозії</w:t>
      </w:r>
      <w:r w:rsidRPr="000977F7">
        <w:rPr>
          <w:rFonts w:asciiTheme="majorHAnsi" w:hAnsiTheme="majorHAnsi"/>
          <w:spacing w:val="-1"/>
          <w:sz w:val="20"/>
          <w:szCs w:val="20"/>
        </w:rPr>
        <w:t xml:space="preserve"> </w:t>
      </w:r>
      <w:r w:rsidRPr="000977F7">
        <w:rPr>
          <w:rFonts w:asciiTheme="majorHAnsi" w:hAnsiTheme="majorHAnsi"/>
          <w:sz w:val="20"/>
          <w:szCs w:val="20"/>
        </w:rPr>
        <w:t>за визначений</w:t>
      </w:r>
      <w:r w:rsidRPr="000977F7">
        <w:rPr>
          <w:rFonts w:asciiTheme="majorHAnsi" w:hAnsiTheme="majorHAnsi"/>
          <w:spacing w:val="-1"/>
          <w:sz w:val="20"/>
          <w:szCs w:val="20"/>
        </w:rPr>
        <w:t xml:space="preserve"> </w:t>
      </w:r>
      <w:r w:rsidRPr="000977F7">
        <w:rPr>
          <w:rFonts w:asciiTheme="majorHAnsi" w:hAnsiTheme="majorHAnsi"/>
          <w:sz w:val="20"/>
          <w:szCs w:val="20"/>
        </w:rPr>
        <w:t>час</w:t>
      </w:r>
    </w:p>
    <w:p w14:paraId="015571D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45FDB4F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КОРОЗІЙНОТРИВКИЙ</w:t>
      </w:r>
      <w:r w:rsidRPr="000977F7">
        <w:rPr>
          <w:color w:val="auto"/>
          <w:spacing w:val="-3"/>
          <w:sz w:val="20"/>
          <w:szCs w:val="20"/>
        </w:rPr>
        <w:t xml:space="preserve"> </w:t>
      </w:r>
      <w:r w:rsidRPr="000977F7">
        <w:rPr>
          <w:color w:val="auto"/>
          <w:sz w:val="20"/>
          <w:szCs w:val="20"/>
        </w:rPr>
        <w:t>МЕТАЛ</w:t>
      </w:r>
      <w:r w:rsidRPr="000977F7">
        <w:rPr>
          <w:color w:val="auto"/>
          <w:spacing w:val="-2"/>
          <w:sz w:val="20"/>
          <w:szCs w:val="20"/>
        </w:rPr>
        <w:t xml:space="preserve"> </w:t>
      </w:r>
      <w:r w:rsidRPr="000977F7">
        <w:rPr>
          <w:color w:val="auto"/>
          <w:sz w:val="20"/>
          <w:szCs w:val="20"/>
        </w:rPr>
        <w:t>–</w:t>
      </w:r>
    </w:p>
    <w:p w14:paraId="3113B8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Метал,</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має</w:t>
      </w:r>
      <w:r w:rsidRPr="000977F7">
        <w:rPr>
          <w:rFonts w:asciiTheme="majorHAnsi" w:hAnsiTheme="majorHAnsi"/>
          <w:spacing w:val="-2"/>
          <w:sz w:val="20"/>
          <w:szCs w:val="20"/>
        </w:rPr>
        <w:t xml:space="preserve"> </w:t>
      </w:r>
      <w:r w:rsidRPr="000977F7">
        <w:rPr>
          <w:rFonts w:asciiTheme="majorHAnsi" w:hAnsiTheme="majorHAnsi"/>
          <w:sz w:val="20"/>
          <w:szCs w:val="20"/>
        </w:rPr>
        <w:t>високу</w:t>
      </w:r>
      <w:r w:rsidRPr="000977F7">
        <w:rPr>
          <w:rFonts w:asciiTheme="majorHAnsi" w:hAnsiTheme="majorHAnsi"/>
          <w:spacing w:val="-3"/>
          <w:sz w:val="20"/>
          <w:szCs w:val="20"/>
        </w:rPr>
        <w:t xml:space="preserve"> </w:t>
      </w:r>
      <w:r w:rsidRPr="000977F7">
        <w:rPr>
          <w:rFonts w:asciiTheme="majorHAnsi" w:hAnsiTheme="majorHAnsi"/>
          <w:sz w:val="20"/>
          <w:szCs w:val="20"/>
        </w:rPr>
        <w:t>корозійну</w:t>
      </w:r>
      <w:r w:rsidRPr="000977F7">
        <w:rPr>
          <w:rFonts w:asciiTheme="majorHAnsi" w:hAnsiTheme="majorHAnsi"/>
          <w:spacing w:val="-4"/>
          <w:sz w:val="20"/>
          <w:szCs w:val="20"/>
        </w:rPr>
        <w:t xml:space="preserve"> </w:t>
      </w:r>
      <w:r w:rsidRPr="000977F7">
        <w:rPr>
          <w:rFonts w:asciiTheme="majorHAnsi" w:hAnsiTheme="majorHAnsi"/>
          <w:sz w:val="20"/>
          <w:szCs w:val="20"/>
        </w:rPr>
        <w:t>тривкість</w:t>
      </w:r>
    </w:p>
    <w:p w14:paraId="5CA0A77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3830 – 98</w:t>
      </w:r>
    </w:p>
    <w:p w14:paraId="1A44E87B"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i/>
          <w:spacing w:val="-47"/>
          <w:sz w:val="20"/>
          <w:szCs w:val="20"/>
        </w:rPr>
        <w:t xml:space="preserve"> </w:t>
      </w:r>
      <w:r w:rsidRPr="000977F7">
        <w:rPr>
          <w:rFonts w:asciiTheme="majorHAnsi" w:hAnsiTheme="majorHAnsi"/>
          <w:b/>
          <w:sz w:val="20"/>
          <w:szCs w:val="20"/>
        </w:rPr>
        <w:t>КОРОЗІЯ –</w:t>
      </w:r>
    </w:p>
    <w:p w14:paraId="60977A4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CORROSIVE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E3A7CC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 руйнування металевої поверхні об’єкта внаслідок хімічної чи електрохімічної взаємодії з активним середовищем (агресивна атмосфера, розчин кислот,</w:t>
      </w:r>
      <w:r w:rsidRPr="000977F7">
        <w:rPr>
          <w:rFonts w:asciiTheme="majorHAnsi" w:hAnsiTheme="majorHAnsi"/>
          <w:spacing w:val="-1"/>
          <w:sz w:val="20"/>
          <w:szCs w:val="20"/>
        </w:rPr>
        <w:t xml:space="preserve"> </w:t>
      </w:r>
      <w:r w:rsidRPr="000977F7">
        <w:rPr>
          <w:rFonts w:asciiTheme="majorHAnsi" w:hAnsiTheme="majorHAnsi"/>
          <w:sz w:val="20"/>
          <w:szCs w:val="20"/>
        </w:rPr>
        <w:t>лугів, солей, тощо)</w:t>
      </w:r>
    </w:p>
    <w:p w14:paraId="14D11A9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4F4B1F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КОРОЗІЯ</w:t>
      </w:r>
      <w:r w:rsidRPr="000977F7">
        <w:rPr>
          <w:color w:val="auto"/>
          <w:spacing w:val="-3"/>
          <w:sz w:val="20"/>
          <w:szCs w:val="20"/>
        </w:rPr>
        <w:t xml:space="preserve"> </w:t>
      </w:r>
      <w:r w:rsidRPr="000977F7">
        <w:rPr>
          <w:color w:val="auto"/>
          <w:sz w:val="20"/>
          <w:szCs w:val="20"/>
        </w:rPr>
        <w:t>ВІД</w:t>
      </w:r>
      <w:r w:rsidRPr="000977F7">
        <w:rPr>
          <w:color w:val="auto"/>
          <w:spacing w:val="-3"/>
          <w:sz w:val="20"/>
          <w:szCs w:val="20"/>
        </w:rPr>
        <w:t xml:space="preserve"> </w:t>
      </w:r>
      <w:r w:rsidRPr="000977F7">
        <w:rPr>
          <w:color w:val="auto"/>
          <w:sz w:val="20"/>
          <w:szCs w:val="20"/>
        </w:rPr>
        <w:t>БЛУКАЮЧОГО</w:t>
      </w:r>
      <w:r w:rsidRPr="000977F7">
        <w:rPr>
          <w:color w:val="auto"/>
          <w:spacing w:val="-1"/>
          <w:sz w:val="20"/>
          <w:szCs w:val="20"/>
        </w:rPr>
        <w:t xml:space="preserve"> </w:t>
      </w:r>
      <w:r w:rsidRPr="000977F7">
        <w:rPr>
          <w:color w:val="auto"/>
          <w:sz w:val="20"/>
          <w:szCs w:val="20"/>
        </w:rPr>
        <w:t>СТРУМУ</w:t>
      </w:r>
      <w:r w:rsidRPr="000977F7">
        <w:rPr>
          <w:color w:val="auto"/>
          <w:spacing w:val="-1"/>
          <w:sz w:val="20"/>
          <w:szCs w:val="20"/>
        </w:rPr>
        <w:t xml:space="preserve"> </w:t>
      </w:r>
      <w:r w:rsidRPr="000977F7">
        <w:rPr>
          <w:color w:val="auto"/>
          <w:sz w:val="20"/>
          <w:szCs w:val="20"/>
        </w:rPr>
        <w:t>—</w:t>
      </w:r>
    </w:p>
    <w:p w14:paraId="2A5D598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STRAY</w:t>
      </w:r>
      <w:r w:rsidRPr="004D2D14">
        <w:rPr>
          <w:rFonts w:asciiTheme="majorHAnsi" w:hAnsiTheme="majorHAnsi"/>
          <w:sz w:val="20"/>
          <w:szCs w:val="20"/>
          <w:lang w:val="uk-UA"/>
        </w:rPr>
        <w:t>-</w:t>
      </w:r>
      <w:r w:rsidRPr="000977F7">
        <w:rPr>
          <w:rFonts w:asciiTheme="majorHAnsi" w:hAnsiTheme="majorHAnsi"/>
          <w:sz w:val="20"/>
          <w:szCs w:val="20"/>
        </w:rPr>
        <w:t>CURRENT</w:t>
      </w:r>
      <w:r w:rsidRPr="004D2D14">
        <w:rPr>
          <w:rFonts w:asciiTheme="majorHAnsi" w:hAnsiTheme="majorHAnsi"/>
          <w:spacing w:val="-1"/>
          <w:sz w:val="20"/>
          <w:szCs w:val="20"/>
          <w:lang w:val="uk-UA"/>
        </w:rPr>
        <w:t xml:space="preserve"> </w:t>
      </w:r>
      <w:r w:rsidRPr="000977F7">
        <w:rPr>
          <w:rFonts w:asciiTheme="majorHAnsi" w:hAnsiTheme="majorHAnsi"/>
          <w:sz w:val="20"/>
          <w:szCs w:val="20"/>
        </w:rPr>
        <w:t>CORROSION</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5A3F89D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Корозія металу, зумовлена дією блукаючого електричного струму</w:t>
      </w:r>
    </w:p>
    <w:p w14:paraId="5298177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2FC8C43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КОРОЗІЯ</w:t>
      </w:r>
      <w:r w:rsidRPr="000977F7">
        <w:rPr>
          <w:color w:val="auto"/>
          <w:spacing w:val="-5"/>
          <w:sz w:val="20"/>
          <w:szCs w:val="20"/>
        </w:rPr>
        <w:t xml:space="preserve"> </w:t>
      </w:r>
      <w:r w:rsidRPr="000977F7">
        <w:rPr>
          <w:color w:val="auto"/>
          <w:sz w:val="20"/>
          <w:szCs w:val="20"/>
        </w:rPr>
        <w:t>ВІД</w:t>
      </w:r>
      <w:r w:rsidRPr="000977F7">
        <w:rPr>
          <w:color w:val="auto"/>
          <w:spacing w:val="-5"/>
          <w:sz w:val="20"/>
          <w:szCs w:val="20"/>
        </w:rPr>
        <w:t xml:space="preserve"> </w:t>
      </w:r>
      <w:r w:rsidRPr="000977F7">
        <w:rPr>
          <w:color w:val="auto"/>
          <w:sz w:val="20"/>
          <w:szCs w:val="20"/>
        </w:rPr>
        <w:t>ЗМІННОГО</w:t>
      </w:r>
      <w:r w:rsidRPr="000977F7">
        <w:rPr>
          <w:color w:val="auto"/>
          <w:spacing w:val="-1"/>
          <w:sz w:val="20"/>
          <w:szCs w:val="20"/>
        </w:rPr>
        <w:t xml:space="preserve"> </w:t>
      </w:r>
      <w:r w:rsidRPr="000977F7">
        <w:rPr>
          <w:color w:val="auto"/>
          <w:sz w:val="20"/>
          <w:szCs w:val="20"/>
        </w:rPr>
        <w:t>ЗАНУРЮВАННЯ</w:t>
      </w:r>
      <w:r w:rsidRPr="000977F7">
        <w:rPr>
          <w:color w:val="auto"/>
          <w:spacing w:val="-2"/>
          <w:sz w:val="20"/>
          <w:szCs w:val="20"/>
        </w:rPr>
        <w:t xml:space="preserve"> </w:t>
      </w:r>
    </w:p>
    <w:p w14:paraId="441D1EBE"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Корозія</w:t>
      </w:r>
      <w:r w:rsidRPr="000977F7">
        <w:rPr>
          <w:rFonts w:asciiTheme="majorHAnsi" w:hAnsiTheme="majorHAnsi"/>
          <w:spacing w:val="1"/>
          <w:sz w:val="20"/>
          <w:szCs w:val="20"/>
        </w:rPr>
        <w:t xml:space="preserve"> </w:t>
      </w:r>
      <w:r w:rsidRPr="000977F7">
        <w:rPr>
          <w:rFonts w:asciiTheme="majorHAnsi" w:hAnsiTheme="majorHAnsi"/>
          <w:sz w:val="20"/>
          <w:szCs w:val="20"/>
        </w:rPr>
        <w:t>металу,</w:t>
      </w:r>
      <w:r w:rsidRPr="000977F7">
        <w:rPr>
          <w:rFonts w:asciiTheme="majorHAnsi" w:hAnsiTheme="majorHAnsi"/>
          <w:spacing w:val="1"/>
          <w:sz w:val="20"/>
          <w:szCs w:val="20"/>
        </w:rPr>
        <w:t xml:space="preserve"> </w:t>
      </w:r>
      <w:r w:rsidRPr="000977F7">
        <w:rPr>
          <w:rFonts w:asciiTheme="majorHAnsi" w:hAnsiTheme="majorHAnsi"/>
          <w:sz w:val="20"/>
          <w:szCs w:val="20"/>
        </w:rPr>
        <w:t>спричинена</w:t>
      </w:r>
      <w:r w:rsidRPr="000977F7">
        <w:rPr>
          <w:rFonts w:asciiTheme="majorHAnsi" w:hAnsiTheme="majorHAnsi"/>
          <w:spacing w:val="4"/>
          <w:sz w:val="20"/>
          <w:szCs w:val="20"/>
        </w:rPr>
        <w:t xml:space="preserve"> </w:t>
      </w:r>
      <w:r w:rsidRPr="000977F7">
        <w:rPr>
          <w:rFonts w:asciiTheme="majorHAnsi" w:hAnsiTheme="majorHAnsi"/>
          <w:sz w:val="20"/>
          <w:szCs w:val="20"/>
        </w:rPr>
        <w:t>змінним</w:t>
      </w:r>
      <w:r w:rsidRPr="000977F7">
        <w:rPr>
          <w:rFonts w:asciiTheme="majorHAnsi" w:hAnsiTheme="majorHAnsi"/>
          <w:spacing w:val="2"/>
          <w:sz w:val="20"/>
          <w:szCs w:val="20"/>
        </w:rPr>
        <w:t xml:space="preserve"> </w:t>
      </w:r>
      <w:r w:rsidRPr="000977F7">
        <w:rPr>
          <w:rFonts w:asciiTheme="majorHAnsi" w:hAnsiTheme="majorHAnsi"/>
          <w:sz w:val="20"/>
          <w:szCs w:val="20"/>
        </w:rPr>
        <w:t>зануренням</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47"/>
          <w:sz w:val="20"/>
          <w:szCs w:val="20"/>
        </w:rPr>
        <w:t xml:space="preserve"> </w:t>
      </w:r>
      <w:r w:rsidRPr="000977F7">
        <w:rPr>
          <w:rFonts w:asciiTheme="majorHAnsi" w:hAnsiTheme="majorHAnsi"/>
          <w:sz w:val="20"/>
          <w:szCs w:val="20"/>
        </w:rPr>
        <w:t>повністю або частково в рідке корозивне середовище</w:t>
      </w:r>
    </w:p>
    <w:p w14:paraId="2C313CE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77FA80F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КОРОЗІЯ</w:t>
      </w:r>
      <w:r w:rsidRPr="000977F7">
        <w:rPr>
          <w:color w:val="auto"/>
          <w:spacing w:val="-5"/>
          <w:sz w:val="20"/>
          <w:szCs w:val="20"/>
        </w:rPr>
        <w:t xml:space="preserve"> </w:t>
      </w:r>
      <w:r w:rsidRPr="000977F7">
        <w:rPr>
          <w:color w:val="auto"/>
          <w:sz w:val="20"/>
          <w:szCs w:val="20"/>
        </w:rPr>
        <w:t>ЗВАРНОГО</w:t>
      </w:r>
      <w:r w:rsidRPr="000977F7">
        <w:rPr>
          <w:color w:val="auto"/>
          <w:spacing w:val="-2"/>
          <w:sz w:val="20"/>
          <w:szCs w:val="20"/>
        </w:rPr>
        <w:t xml:space="preserve"> </w:t>
      </w:r>
      <w:r w:rsidRPr="000977F7">
        <w:rPr>
          <w:color w:val="auto"/>
          <w:sz w:val="20"/>
          <w:szCs w:val="20"/>
        </w:rPr>
        <w:t>З'ЄДНАННЯ</w:t>
      </w:r>
      <w:r w:rsidRPr="000977F7">
        <w:rPr>
          <w:color w:val="auto"/>
          <w:spacing w:val="-2"/>
          <w:sz w:val="20"/>
          <w:szCs w:val="20"/>
        </w:rPr>
        <w:t xml:space="preserve"> </w:t>
      </w:r>
      <w:r w:rsidRPr="000977F7">
        <w:rPr>
          <w:color w:val="auto"/>
          <w:sz w:val="20"/>
          <w:szCs w:val="20"/>
        </w:rPr>
        <w:t>–</w:t>
      </w:r>
    </w:p>
    <w:p w14:paraId="6032B17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WELD</w:t>
      </w:r>
      <w:r w:rsidRPr="000977F7">
        <w:rPr>
          <w:rFonts w:asciiTheme="majorHAnsi" w:hAnsiTheme="majorHAnsi"/>
          <w:spacing w:val="-3"/>
          <w:sz w:val="20"/>
          <w:szCs w:val="20"/>
        </w:rPr>
        <w:t xml:space="preserve"> </w:t>
      </w:r>
      <w:r w:rsidRPr="000977F7">
        <w:rPr>
          <w:rFonts w:asciiTheme="majorHAnsi" w:hAnsiTheme="majorHAnsi"/>
          <w:sz w:val="20"/>
          <w:szCs w:val="20"/>
        </w:rPr>
        <w:t>CORROSION –</w:t>
      </w:r>
    </w:p>
    <w:p w14:paraId="13CFEAF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Корозія,</w:t>
      </w:r>
      <w:r w:rsidRPr="000977F7">
        <w:rPr>
          <w:rFonts w:asciiTheme="majorHAnsi" w:hAnsiTheme="majorHAnsi"/>
          <w:spacing w:val="11"/>
          <w:sz w:val="20"/>
          <w:szCs w:val="20"/>
        </w:rPr>
        <w:t xml:space="preserve"> </w:t>
      </w:r>
      <w:r w:rsidRPr="000977F7">
        <w:rPr>
          <w:rFonts w:asciiTheme="majorHAnsi" w:hAnsiTheme="majorHAnsi"/>
          <w:sz w:val="20"/>
          <w:szCs w:val="20"/>
        </w:rPr>
        <w:t>яка</w:t>
      </w:r>
      <w:r w:rsidRPr="000977F7">
        <w:rPr>
          <w:rFonts w:asciiTheme="majorHAnsi" w:hAnsiTheme="majorHAnsi"/>
          <w:spacing w:val="14"/>
          <w:sz w:val="20"/>
          <w:szCs w:val="20"/>
        </w:rPr>
        <w:t xml:space="preserve"> </w:t>
      </w:r>
      <w:r w:rsidRPr="000977F7">
        <w:rPr>
          <w:rFonts w:asciiTheme="majorHAnsi" w:hAnsiTheme="majorHAnsi"/>
          <w:sz w:val="20"/>
          <w:szCs w:val="20"/>
        </w:rPr>
        <w:t>пов'язана</w:t>
      </w:r>
      <w:r w:rsidRPr="000977F7">
        <w:rPr>
          <w:rFonts w:asciiTheme="majorHAnsi" w:hAnsiTheme="majorHAnsi"/>
          <w:spacing w:val="11"/>
          <w:sz w:val="20"/>
          <w:szCs w:val="20"/>
        </w:rPr>
        <w:t xml:space="preserve"> </w:t>
      </w:r>
      <w:r w:rsidRPr="000977F7">
        <w:rPr>
          <w:rFonts w:asciiTheme="majorHAnsi" w:hAnsiTheme="majorHAnsi"/>
          <w:sz w:val="20"/>
          <w:szCs w:val="20"/>
        </w:rPr>
        <w:t>з</w:t>
      </w:r>
      <w:r w:rsidRPr="000977F7">
        <w:rPr>
          <w:rFonts w:asciiTheme="majorHAnsi" w:hAnsiTheme="majorHAnsi"/>
          <w:spacing w:val="14"/>
          <w:sz w:val="20"/>
          <w:szCs w:val="20"/>
        </w:rPr>
        <w:t xml:space="preserve"> </w:t>
      </w:r>
      <w:r w:rsidRPr="000977F7">
        <w:rPr>
          <w:rFonts w:asciiTheme="majorHAnsi" w:hAnsiTheme="majorHAnsi"/>
          <w:sz w:val="20"/>
          <w:szCs w:val="20"/>
        </w:rPr>
        <w:t>наявністю</w:t>
      </w:r>
      <w:r w:rsidRPr="000977F7">
        <w:rPr>
          <w:rFonts w:asciiTheme="majorHAnsi" w:hAnsiTheme="majorHAnsi"/>
          <w:spacing w:val="11"/>
          <w:sz w:val="20"/>
          <w:szCs w:val="20"/>
        </w:rPr>
        <w:t xml:space="preserve"> </w:t>
      </w:r>
      <w:r w:rsidRPr="000977F7">
        <w:rPr>
          <w:rFonts w:asciiTheme="majorHAnsi" w:hAnsiTheme="majorHAnsi"/>
          <w:sz w:val="20"/>
          <w:szCs w:val="20"/>
        </w:rPr>
        <w:t>зварного</w:t>
      </w:r>
      <w:r w:rsidRPr="000977F7">
        <w:rPr>
          <w:rFonts w:asciiTheme="majorHAnsi" w:hAnsiTheme="majorHAnsi"/>
          <w:spacing w:val="12"/>
          <w:sz w:val="20"/>
          <w:szCs w:val="20"/>
        </w:rPr>
        <w:t xml:space="preserve"> </w:t>
      </w:r>
      <w:r w:rsidRPr="000977F7">
        <w:rPr>
          <w:rFonts w:asciiTheme="majorHAnsi" w:hAnsiTheme="majorHAnsi"/>
          <w:sz w:val="20"/>
          <w:szCs w:val="20"/>
        </w:rPr>
        <w:t>з'єднання</w:t>
      </w:r>
      <w:r w:rsidRPr="000977F7">
        <w:rPr>
          <w:rFonts w:asciiTheme="majorHAnsi" w:hAnsiTheme="majorHAnsi"/>
          <w:spacing w:val="-48"/>
          <w:sz w:val="20"/>
          <w:szCs w:val="20"/>
        </w:rPr>
        <w:t xml:space="preserve"> </w:t>
      </w:r>
      <w:r w:rsidRPr="000977F7">
        <w:rPr>
          <w:rFonts w:asciiTheme="majorHAnsi" w:hAnsiTheme="majorHAnsi"/>
          <w:sz w:val="20"/>
          <w:szCs w:val="20"/>
        </w:rPr>
        <w:t>і</w:t>
      </w:r>
      <w:r w:rsidRPr="000977F7">
        <w:rPr>
          <w:rFonts w:asciiTheme="majorHAnsi" w:hAnsiTheme="majorHAnsi"/>
          <w:spacing w:val="-3"/>
          <w:sz w:val="20"/>
          <w:szCs w:val="20"/>
        </w:rPr>
        <w:t xml:space="preserve"> </w:t>
      </w:r>
      <w:r w:rsidRPr="000977F7">
        <w:rPr>
          <w:rFonts w:asciiTheme="majorHAnsi" w:hAnsiTheme="majorHAnsi"/>
          <w:sz w:val="20"/>
          <w:szCs w:val="20"/>
        </w:rPr>
        <w:t>відбувається</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його шві</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2"/>
          <w:sz w:val="20"/>
          <w:szCs w:val="20"/>
        </w:rPr>
        <w:t xml:space="preserve"> </w:t>
      </w:r>
      <w:r w:rsidRPr="000977F7">
        <w:rPr>
          <w:rFonts w:asciiTheme="majorHAnsi" w:hAnsiTheme="majorHAnsi"/>
          <w:sz w:val="20"/>
          <w:szCs w:val="20"/>
        </w:rPr>
        <w:t>близько до</w:t>
      </w:r>
      <w:r w:rsidRPr="000977F7">
        <w:rPr>
          <w:rFonts w:asciiTheme="majorHAnsi" w:hAnsiTheme="majorHAnsi"/>
          <w:spacing w:val="-2"/>
          <w:sz w:val="20"/>
          <w:szCs w:val="20"/>
        </w:rPr>
        <w:t xml:space="preserve"> </w:t>
      </w:r>
      <w:r w:rsidRPr="000977F7">
        <w:rPr>
          <w:rFonts w:asciiTheme="majorHAnsi" w:hAnsiTheme="majorHAnsi"/>
          <w:sz w:val="20"/>
          <w:szCs w:val="20"/>
        </w:rPr>
        <w:t>нього</w:t>
      </w:r>
    </w:p>
    <w:p w14:paraId="2A74F3E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3830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98</w:t>
      </w:r>
    </w:p>
    <w:p w14:paraId="63BE6C7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КОРОЗІЯ</w:t>
      </w:r>
      <w:r w:rsidRPr="000977F7">
        <w:rPr>
          <w:color w:val="auto"/>
          <w:spacing w:val="-4"/>
          <w:sz w:val="20"/>
          <w:szCs w:val="20"/>
        </w:rPr>
        <w:t xml:space="preserve"> </w:t>
      </w:r>
      <w:r w:rsidRPr="000977F7">
        <w:rPr>
          <w:color w:val="auto"/>
          <w:sz w:val="20"/>
          <w:szCs w:val="20"/>
        </w:rPr>
        <w:t>МЕТАЛІВ –</w:t>
      </w:r>
    </w:p>
    <w:p w14:paraId="1B52FE6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CORROSION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METALS</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59F55BC0"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en-US"/>
        </w:rPr>
      </w:pPr>
      <w:r w:rsidRPr="000977F7">
        <w:rPr>
          <w:rFonts w:asciiTheme="majorHAnsi" w:hAnsiTheme="majorHAnsi"/>
          <w:spacing w:val="-1"/>
          <w:sz w:val="20"/>
          <w:szCs w:val="20"/>
        </w:rPr>
        <w:t>Процес</w:t>
      </w:r>
      <w:r w:rsidRPr="004D2D14">
        <w:rPr>
          <w:rFonts w:asciiTheme="majorHAnsi" w:hAnsiTheme="majorHAnsi"/>
          <w:spacing w:val="-10"/>
          <w:sz w:val="20"/>
          <w:szCs w:val="20"/>
          <w:lang w:val="en-US"/>
        </w:rPr>
        <w:t xml:space="preserve"> </w:t>
      </w:r>
      <w:r w:rsidRPr="000977F7">
        <w:rPr>
          <w:rFonts w:asciiTheme="majorHAnsi" w:hAnsiTheme="majorHAnsi"/>
          <w:spacing w:val="-1"/>
          <w:sz w:val="20"/>
          <w:szCs w:val="20"/>
        </w:rPr>
        <w:t>руйнування</w:t>
      </w:r>
      <w:r w:rsidRPr="004D2D14">
        <w:rPr>
          <w:rFonts w:asciiTheme="majorHAnsi" w:hAnsiTheme="majorHAnsi"/>
          <w:spacing w:val="-11"/>
          <w:sz w:val="20"/>
          <w:szCs w:val="20"/>
          <w:lang w:val="en-US"/>
        </w:rPr>
        <w:t xml:space="preserve"> </w:t>
      </w:r>
      <w:r w:rsidRPr="000977F7">
        <w:rPr>
          <w:rFonts w:asciiTheme="majorHAnsi" w:hAnsiTheme="majorHAnsi"/>
          <w:spacing w:val="-1"/>
          <w:sz w:val="20"/>
          <w:szCs w:val="20"/>
        </w:rPr>
        <w:t>металів</w:t>
      </w:r>
      <w:r w:rsidRPr="004D2D14">
        <w:rPr>
          <w:rFonts w:asciiTheme="majorHAnsi" w:hAnsiTheme="majorHAnsi"/>
          <w:spacing w:val="-8"/>
          <w:sz w:val="20"/>
          <w:szCs w:val="20"/>
          <w:lang w:val="en-US"/>
        </w:rPr>
        <w:t xml:space="preserve"> </w:t>
      </w:r>
      <w:r w:rsidRPr="000977F7">
        <w:rPr>
          <w:rFonts w:asciiTheme="majorHAnsi" w:hAnsiTheme="majorHAnsi"/>
          <w:spacing w:val="-1"/>
          <w:sz w:val="20"/>
          <w:szCs w:val="20"/>
        </w:rPr>
        <w:t>внаслідок</w:t>
      </w:r>
      <w:r w:rsidRPr="004D2D14">
        <w:rPr>
          <w:rFonts w:asciiTheme="majorHAnsi" w:hAnsiTheme="majorHAnsi"/>
          <w:spacing w:val="-9"/>
          <w:sz w:val="20"/>
          <w:szCs w:val="20"/>
          <w:lang w:val="en-US"/>
        </w:rPr>
        <w:t xml:space="preserve"> </w:t>
      </w:r>
      <w:r w:rsidRPr="000977F7">
        <w:rPr>
          <w:rFonts w:asciiTheme="majorHAnsi" w:hAnsiTheme="majorHAnsi"/>
          <w:sz w:val="20"/>
          <w:szCs w:val="20"/>
        </w:rPr>
        <w:t>хімічної</w:t>
      </w:r>
      <w:r w:rsidRPr="004D2D14">
        <w:rPr>
          <w:rFonts w:asciiTheme="majorHAnsi" w:hAnsiTheme="majorHAnsi"/>
          <w:spacing w:val="-10"/>
          <w:sz w:val="20"/>
          <w:szCs w:val="20"/>
          <w:lang w:val="en-US"/>
        </w:rPr>
        <w:t xml:space="preserve"> </w:t>
      </w:r>
      <w:r w:rsidRPr="000977F7">
        <w:rPr>
          <w:rFonts w:asciiTheme="majorHAnsi" w:hAnsiTheme="majorHAnsi"/>
          <w:sz w:val="20"/>
          <w:szCs w:val="20"/>
        </w:rPr>
        <w:t>чи</w:t>
      </w:r>
      <w:r w:rsidRPr="004D2D14">
        <w:rPr>
          <w:rFonts w:asciiTheme="majorHAnsi" w:hAnsiTheme="majorHAnsi"/>
          <w:spacing w:val="-11"/>
          <w:sz w:val="20"/>
          <w:szCs w:val="20"/>
          <w:lang w:val="en-US"/>
        </w:rPr>
        <w:t xml:space="preserve"> </w:t>
      </w:r>
      <w:r w:rsidRPr="000977F7">
        <w:rPr>
          <w:rFonts w:asciiTheme="majorHAnsi" w:hAnsiTheme="majorHAnsi"/>
          <w:sz w:val="20"/>
          <w:szCs w:val="20"/>
        </w:rPr>
        <w:t>електрохімічної</w:t>
      </w:r>
      <w:r w:rsidRPr="004D2D14">
        <w:rPr>
          <w:rFonts w:asciiTheme="majorHAnsi" w:hAnsiTheme="majorHAnsi"/>
          <w:sz w:val="20"/>
          <w:szCs w:val="20"/>
          <w:lang w:val="en-US"/>
        </w:rPr>
        <w:t xml:space="preserve"> </w:t>
      </w:r>
      <w:r w:rsidRPr="000977F7">
        <w:rPr>
          <w:rFonts w:asciiTheme="majorHAnsi" w:hAnsiTheme="majorHAnsi"/>
          <w:sz w:val="20"/>
          <w:szCs w:val="20"/>
        </w:rPr>
        <w:t>взаємодії</w:t>
      </w:r>
      <w:r w:rsidRPr="004D2D14">
        <w:rPr>
          <w:rFonts w:asciiTheme="majorHAnsi" w:hAnsiTheme="majorHAnsi"/>
          <w:sz w:val="20"/>
          <w:szCs w:val="20"/>
          <w:lang w:val="en-US"/>
        </w:rPr>
        <w:t xml:space="preserve"> </w:t>
      </w:r>
      <w:r w:rsidRPr="000977F7">
        <w:rPr>
          <w:rFonts w:asciiTheme="majorHAnsi" w:hAnsiTheme="majorHAnsi"/>
          <w:sz w:val="20"/>
          <w:szCs w:val="20"/>
        </w:rPr>
        <w:t>їх</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корозивним</w:t>
      </w:r>
      <w:r w:rsidRPr="004D2D14">
        <w:rPr>
          <w:rFonts w:asciiTheme="majorHAnsi" w:hAnsiTheme="majorHAnsi"/>
          <w:sz w:val="20"/>
          <w:szCs w:val="20"/>
          <w:lang w:val="en-US"/>
        </w:rPr>
        <w:t xml:space="preserve"> </w:t>
      </w:r>
      <w:r w:rsidRPr="000977F7">
        <w:rPr>
          <w:rFonts w:asciiTheme="majorHAnsi" w:hAnsiTheme="majorHAnsi"/>
          <w:sz w:val="20"/>
          <w:szCs w:val="20"/>
        </w:rPr>
        <w:t>середовищем</w:t>
      </w:r>
      <w:r w:rsidRPr="004D2D14">
        <w:rPr>
          <w:rFonts w:asciiTheme="majorHAnsi" w:hAnsiTheme="majorHAnsi"/>
          <w:spacing w:val="1"/>
          <w:sz w:val="20"/>
          <w:szCs w:val="20"/>
          <w:lang w:val="en-US"/>
        </w:rPr>
        <w:t xml:space="preserve"> </w:t>
      </w:r>
    </w:p>
    <w:p w14:paraId="34CDBB67"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539B326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КОРОЗІЯ ПІД МЕХАНІЧНОЮ НАПРУГОЮ; </w:t>
      </w:r>
      <w:r w:rsidRPr="000977F7">
        <w:rPr>
          <w:color w:val="auto"/>
          <w:spacing w:val="-47"/>
          <w:sz w:val="20"/>
          <w:szCs w:val="20"/>
        </w:rPr>
        <w:t xml:space="preserve"> </w:t>
      </w:r>
      <w:r w:rsidRPr="000977F7">
        <w:rPr>
          <w:color w:val="auto"/>
          <w:sz w:val="20"/>
          <w:szCs w:val="20"/>
        </w:rPr>
        <w:t>КОРОЗІЯ</w:t>
      </w:r>
      <w:r w:rsidRPr="000977F7">
        <w:rPr>
          <w:color w:val="auto"/>
          <w:spacing w:val="-2"/>
          <w:sz w:val="20"/>
          <w:szCs w:val="20"/>
        </w:rPr>
        <w:t xml:space="preserve"> </w:t>
      </w:r>
      <w:r w:rsidRPr="000977F7">
        <w:rPr>
          <w:color w:val="auto"/>
          <w:sz w:val="20"/>
          <w:szCs w:val="20"/>
        </w:rPr>
        <w:t>ПІД</w:t>
      </w:r>
      <w:r w:rsidRPr="000977F7">
        <w:rPr>
          <w:color w:val="auto"/>
          <w:spacing w:val="-1"/>
          <w:sz w:val="20"/>
          <w:szCs w:val="20"/>
        </w:rPr>
        <w:t xml:space="preserve"> </w:t>
      </w:r>
      <w:r w:rsidRPr="000977F7">
        <w:rPr>
          <w:color w:val="auto"/>
          <w:sz w:val="20"/>
          <w:szCs w:val="20"/>
        </w:rPr>
        <w:t>НАПРУЖЕННЯМ</w:t>
      </w:r>
      <w:r w:rsidRPr="000977F7">
        <w:rPr>
          <w:color w:val="auto"/>
          <w:spacing w:val="3"/>
          <w:sz w:val="20"/>
          <w:szCs w:val="20"/>
        </w:rPr>
        <w:t xml:space="preserve"> </w:t>
      </w:r>
      <w:r w:rsidRPr="000977F7">
        <w:rPr>
          <w:color w:val="auto"/>
          <w:sz w:val="20"/>
          <w:szCs w:val="20"/>
        </w:rPr>
        <w:t>—</w:t>
      </w:r>
    </w:p>
    <w:p w14:paraId="03E9D7B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STRESS</w:t>
      </w:r>
      <w:r w:rsidRPr="004D2D14">
        <w:rPr>
          <w:rFonts w:asciiTheme="majorHAnsi" w:hAnsiTheme="majorHAnsi"/>
          <w:spacing w:val="-3"/>
          <w:sz w:val="20"/>
          <w:szCs w:val="20"/>
          <w:lang w:val="uk-UA"/>
        </w:rPr>
        <w:t xml:space="preserve"> </w:t>
      </w:r>
      <w:r w:rsidRPr="000977F7">
        <w:rPr>
          <w:rFonts w:asciiTheme="majorHAnsi" w:hAnsiTheme="majorHAnsi"/>
          <w:sz w:val="20"/>
          <w:szCs w:val="20"/>
        </w:rPr>
        <w:t>CORROSION</w:t>
      </w:r>
      <w:r w:rsidRPr="004D2D14">
        <w:rPr>
          <w:rFonts w:asciiTheme="majorHAnsi" w:hAnsiTheme="majorHAnsi"/>
          <w:sz w:val="20"/>
          <w:szCs w:val="20"/>
          <w:lang w:val="uk-UA"/>
        </w:rPr>
        <w:t xml:space="preserve"> –</w:t>
      </w:r>
    </w:p>
    <w:p w14:paraId="3D062F3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Корозія</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металу,</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спричинена</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наявністю</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корозивного</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середовища і сталих або змінних механічних напруг</w:t>
      </w:r>
    </w:p>
    <w:p w14:paraId="314E7513"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3830</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98</w:t>
      </w:r>
    </w:p>
    <w:p w14:paraId="29EE2BC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КОРОЗІЯ</w:t>
      </w:r>
      <w:r w:rsidRPr="000977F7">
        <w:rPr>
          <w:color w:val="auto"/>
          <w:spacing w:val="-4"/>
          <w:sz w:val="20"/>
          <w:szCs w:val="20"/>
        </w:rPr>
        <w:t xml:space="preserve"> </w:t>
      </w:r>
      <w:r w:rsidRPr="000977F7">
        <w:rPr>
          <w:color w:val="auto"/>
          <w:sz w:val="20"/>
          <w:szCs w:val="20"/>
        </w:rPr>
        <w:t>ПО</w:t>
      </w:r>
      <w:r w:rsidRPr="000977F7">
        <w:rPr>
          <w:color w:val="auto"/>
          <w:spacing w:val="-1"/>
          <w:sz w:val="20"/>
          <w:szCs w:val="20"/>
        </w:rPr>
        <w:t xml:space="preserve"> </w:t>
      </w:r>
      <w:r w:rsidRPr="000977F7">
        <w:rPr>
          <w:color w:val="auto"/>
          <w:sz w:val="20"/>
          <w:szCs w:val="20"/>
        </w:rPr>
        <w:t>ВАТЕРЛІНІЇ</w:t>
      </w:r>
      <w:r w:rsidRPr="000977F7">
        <w:rPr>
          <w:color w:val="auto"/>
          <w:spacing w:val="-3"/>
          <w:sz w:val="20"/>
          <w:szCs w:val="20"/>
        </w:rPr>
        <w:t xml:space="preserve"> </w:t>
      </w:r>
      <w:r w:rsidRPr="000977F7">
        <w:rPr>
          <w:color w:val="auto"/>
          <w:sz w:val="20"/>
          <w:szCs w:val="20"/>
        </w:rPr>
        <w:t>–</w:t>
      </w:r>
    </w:p>
    <w:p w14:paraId="31131F6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WATER-LINE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CORROSION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45A89AA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Корозія</w:t>
      </w:r>
      <w:r w:rsidRPr="000977F7">
        <w:rPr>
          <w:rFonts w:asciiTheme="majorHAnsi" w:hAnsiTheme="majorHAnsi"/>
          <w:spacing w:val="-3"/>
          <w:sz w:val="20"/>
          <w:szCs w:val="20"/>
        </w:rPr>
        <w:t xml:space="preserve"> </w:t>
      </w:r>
      <w:r w:rsidRPr="000977F7">
        <w:rPr>
          <w:rFonts w:asciiTheme="majorHAnsi" w:hAnsiTheme="majorHAnsi"/>
          <w:sz w:val="20"/>
          <w:szCs w:val="20"/>
        </w:rPr>
        <w:t>металу</w:t>
      </w:r>
      <w:r w:rsidRPr="000977F7">
        <w:rPr>
          <w:rFonts w:asciiTheme="majorHAnsi" w:hAnsiTheme="majorHAnsi"/>
          <w:spacing w:val="-3"/>
          <w:sz w:val="20"/>
          <w:szCs w:val="20"/>
        </w:rPr>
        <w:t xml:space="preserve"> </w:t>
      </w:r>
      <w:r w:rsidRPr="000977F7">
        <w:rPr>
          <w:rFonts w:asciiTheme="majorHAnsi" w:hAnsiTheme="majorHAnsi"/>
          <w:sz w:val="20"/>
          <w:szCs w:val="20"/>
        </w:rPr>
        <w:t>уздовж</w:t>
      </w:r>
      <w:r w:rsidRPr="000977F7">
        <w:rPr>
          <w:rFonts w:asciiTheme="majorHAnsi" w:hAnsiTheme="majorHAnsi"/>
          <w:spacing w:val="-3"/>
          <w:sz w:val="20"/>
          <w:szCs w:val="20"/>
        </w:rPr>
        <w:t xml:space="preserve"> </w:t>
      </w:r>
      <w:r w:rsidRPr="000977F7">
        <w:rPr>
          <w:rFonts w:asciiTheme="majorHAnsi" w:hAnsiTheme="majorHAnsi"/>
          <w:sz w:val="20"/>
          <w:szCs w:val="20"/>
        </w:rPr>
        <w:t>межі</w:t>
      </w:r>
      <w:r w:rsidRPr="000977F7">
        <w:rPr>
          <w:rFonts w:asciiTheme="majorHAnsi" w:hAnsiTheme="majorHAnsi"/>
          <w:spacing w:val="-1"/>
          <w:sz w:val="20"/>
          <w:szCs w:val="20"/>
        </w:rPr>
        <w:t xml:space="preserve"> </w:t>
      </w:r>
      <w:r w:rsidRPr="000977F7">
        <w:rPr>
          <w:rFonts w:asciiTheme="majorHAnsi" w:hAnsiTheme="majorHAnsi"/>
          <w:sz w:val="20"/>
          <w:szCs w:val="20"/>
        </w:rPr>
        <w:t>газ-рідина</w:t>
      </w:r>
    </w:p>
    <w:p w14:paraId="704178D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1AC4D1B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КОРОТКОЧАСНІ</w:t>
      </w:r>
      <w:r w:rsidRPr="000977F7">
        <w:rPr>
          <w:color w:val="auto"/>
          <w:spacing w:val="-6"/>
          <w:sz w:val="20"/>
          <w:szCs w:val="20"/>
        </w:rPr>
        <w:t xml:space="preserve"> </w:t>
      </w:r>
      <w:r w:rsidRPr="000977F7">
        <w:rPr>
          <w:color w:val="auto"/>
          <w:sz w:val="20"/>
          <w:szCs w:val="20"/>
        </w:rPr>
        <w:t>ВИПРОБУВАННЯ</w:t>
      </w:r>
      <w:r w:rsidRPr="000977F7">
        <w:rPr>
          <w:color w:val="auto"/>
          <w:spacing w:val="-2"/>
          <w:sz w:val="20"/>
          <w:szCs w:val="20"/>
        </w:rPr>
        <w:t xml:space="preserve"> </w:t>
      </w:r>
      <w:r w:rsidRPr="000977F7">
        <w:rPr>
          <w:color w:val="auto"/>
          <w:sz w:val="20"/>
          <w:szCs w:val="20"/>
        </w:rPr>
        <w:t>–</w:t>
      </w:r>
    </w:p>
    <w:p w14:paraId="0BADAFE6"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sz w:val="20"/>
          <w:szCs w:val="20"/>
        </w:rPr>
        <w:t>SHORT – TERM TEST –</w:t>
      </w:r>
    </w:p>
    <w:p w14:paraId="2141C54D"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2824</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94</w:t>
      </w:r>
    </w:p>
    <w:p w14:paraId="733ADE08" w14:textId="77777777" w:rsidR="0097612F" w:rsidRPr="004D2D14" w:rsidRDefault="0097612F" w:rsidP="000977F7">
      <w:pPr>
        <w:tabs>
          <w:tab w:val="left" w:pos="284"/>
        </w:tabs>
        <w:spacing w:after="0" w:line="240" w:lineRule="auto"/>
        <w:ind w:left="170"/>
        <w:mirrorIndents/>
        <w:jc w:val="both"/>
        <w:rPr>
          <w:rFonts w:asciiTheme="majorHAnsi" w:hAnsiTheme="majorHAnsi"/>
          <w:spacing w:val="1"/>
          <w:sz w:val="20"/>
          <w:szCs w:val="20"/>
          <w:lang w:val="en-US"/>
        </w:rPr>
      </w:pPr>
      <w:r w:rsidRPr="000977F7">
        <w:rPr>
          <w:rFonts w:asciiTheme="majorHAnsi" w:hAnsiTheme="majorHAnsi"/>
          <w:b/>
          <w:sz w:val="20"/>
          <w:szCs w:val="20"/>
        </w:rPr>
        <w:t>КРАТНА</w:t>
      </w:r>
      <w:r w:rsidRPr="004D2D14">
        <w:rPr>
          <w:rFonts w:asciiTheme="majorHAnsi" w:hAnsiTheme="majorHAnsi"/>
          <w:b/>
          <w:sz w:val="20"/>
          <w:szCs w:val="20"/>
          <w:lang w:val="en-US"/>
        </w:rPr>
        <w:t xml:space="preserve"> </w:t>
      </w:r>
      <w:r w:rsidRPr="000977F7">
        <w:rPr>
          <w:rFonts w:asciiTheme="majorHAnsi" w:hAnsiTheme="majorHAnsi"/>
          <w:b/>
          <w:sz w:val="20"/>
          <w:szCs w:val="20"/>
        </w:rPr>
        <w:t>ОДИНИЦЯ</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p>
    <w:p w14:paraId="3464C88D"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MULTIPLE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UNIT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196E959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Одиниця фізичної величини, яка в ціле число разів</w:t>
      </w:r>
      <w:r w:rsidRPr="000977F7">
        <w:rPr>
          <w:rFonts w:asciiTheme="majorHAnsi" w:hAnsiTheme="majorHAnsi"/>
          <w:spacing w:val="1"/>
          <w:sz w:val="20"/>
          <w:szCs w:val="20"/>
        </w:rPr>
        <w:t xml:space="preserve"> </w:t>
      </w:r>
      <w:r w:rsidRPr="000977F7">
        <w:rPr>
          <w:rFonts w:asciiTheme="majorHAnsi" w:hAnsiTheme="majorHAnsi"/>
          <w:sz w:val="20"/>
          <w:szCs w:val="20"/>
        </w:rPr>
        <w:t>більше</w:t>
      </w:r>
      <w:r w:rsidRPr="000977F7">
        <w:rPr>
          <w:rFonts w:asciiTheme="majorHAnsi" w:hAnsiTheme="majorHAnsi"/>
          <w:spacing w:val="-2"/>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одиницю,</w:t>
      </w:r>
      <w:r w:rsidRPr="000977F7">
        <w:rPr>
          <w:rFonts w:asciiTheme="majorHAnsi" w:hAnsiTheme="majorHAnsi"/>
          <w:spacing w:val="-2"/>
          <w:sz w:val="20"/>
          <w:szCs w:val="20"/>
        </w:rPr>
        <w:t xml:space="preserve"> </w:t>
      </w:r>
      <w:r w:rsidRPr="000977F7">
        <w:rPr>
          <w:rFonts w:asciiTheme="majorHAnsi" w:hAnsiTheme="majorHAnsi"/>
          <w:sz w:val="20"/>
          <w:szCs w:val="20"/>
        </w:rPr>
        <w:t>від</w:t>
      </w:r>
      <w:r w:rsidRPr="000977F7">
        <w:rPr>
          <w:rFonts w:asciiTheme="majorHAnsi" w:hAnsiTheme="majorHAnsi"/>
          <w:spacing w:val="-2"/>
          <w:sz w:val="20"/>
          <w:szCs w:val="20"/>
        </w:rPr>
        <w:t xml:space="preserve"> </w:t>
      </w:r>
      <w:r w:rsidRPr="000977F7">
        <w:rPr>
          <w:rFonts w:asciiTheme="majorHAnsi" w:hAnsiTheme="majorHAnsi"/>
          <w:sz w:val="20"/>
          <w:szCs w:val="20"/>
        </w:rPr>
        <w:t>якої вона</w:t>
      </w:r>
      <w:r w:rsidRPr="000977F7">
        <w:rPr>
          <w:rFonts w:asciiTheme="majorHAnsi" w:hAnsiTheme="majorHAnsi"/>
          <w:spacing w:val="2"/>
          <w:sz w:val="20"/>
          <w:szCs w:val="20"/>
        </w:rPr>
        <w:t xml:space="preserve"> </w:t>
      </w:r>
      <w:r w:rsidRPr="000977F7">
        <w:rPr>
          <w:rFonts w:asciiTheme="majorHAnsi" w:hAnsiTheme="majorHAnsi"/>
          <w:sz w:val="20"/>
          <w:szCs w:val="20"/>
        </w:rPr>
        <w:t>утворюється</w:t>
      </w:r>
    </w:p>
    <w:p w14:paraId="426D05C3"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w:t>
      </w:r>
      <w:r w:rsidRPr="000977F7">
        <w:rPr>
          <w:rFonts w:asciiTheme="majorHAnsi" w:hAnsiTheme="majorHAnsi"/>
          <w:i/>
          <w:spacing w:val="2"/>
          <w:sz w:val="20"/>
          <w:szCs w:val="20"/>
        </w:rPr>
        <w:t xml:space="preserve"> </w:t>
      </w:r>
      <w:r w:rsidRPr="000977F7">
        <w:rPr>
          <w:rFonts w:asciiTheme="majorHAnsi" w:hAnsiTheme="majorHAnsi"/>
          <w:i/>
          <w:sz w:val="20"/>
          <w:szCs w:val="20"/>
        </w:rPr>
        <w:t>– 94</w:t>
      </w:r>
    </w:p>
    <w:p w14:paraId="6B82F01D"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КРАТНІСТЬ РЕЗЕРВУ –</w:t>
      </w:r>
      <w:r w:rsidRPr="000977F7">
        <w:rPr>
          <w:rFonts w:asciiTheme="majorHAnsi" w:hAnsiTheme="majorHAnsi"/>
          <w:b/>
          <w:spacing w:val="-47"/>
          <w:sz w:val="20"/>
          <w:szCs w:val="20"/>
        </w:rPr>
        <w:t xml:space="preserve"> </w:t>
      </w:r>
    </w:p>
    <w:p w14:paraId="1942866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REDUNDANCY RATIO </w:t>
      </w:r>
    </w:p>
    <w:p w14:paraId="282B705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кількості резервних елементів до кількості резервованих ними елементів, виражене нескоротним дробом</w:t>
      </w:r>
    </w:p>
    <w:p w14:paraId="25819FA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8D6D90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КРЕДИТНА</w:t>
      </w:r>
      <w:r w:rsidRPr="000977F7">
        <w:rPr>
          <w:color w:val="auto"/>
          <w:spacing w:val="-4"/>
          <w:sz w:val="20"/>
          <w:szCs w:val="20"/>
        </w:rPr>
        <w:t xml:space="preserve"> </w:t>
      </w:r>
      <w:r w:rsidRPr="000977F7">
        <w:rPr>
          <w:color w:val="auto"/>
          <w:sz w:val="20"/>
          <w:szCs w:val="20"/>
        </w:rPr>
        <w:t>БЛОКАДА</w:t>
      </w:r>
      <w:r w:rsidRPr="000977F7">
        <w:rPr>
          <w:color w:val="auto"/>
          <w:spacing w:val="-2"/>
          <w:sz w:val="20"/>
          <w:szCs w:val="20"/>
        </w:rPr>
        <w:t xml:space="preserve"> </w:t>
      </w:r>
      <w:r w:rsidRPr="000977F7">
        <w:rPr>
          <w:color w:val="auto"/>
          <w:sz w:val="20"/>
          <w:szCs w:val="20"/>
        </w:rPr>
        <w:t>–</w:t>
      </w:r>
    </w:p>
    <w:p w14:paraId="654FE78F"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Відмова</w:t>
      </w:r>
      <w:r w:rsidRPr="000977F7">
        <w:rPr>
          <w:rFonts w:asciiTheme="majorHAnsi" w:hAnsiTheme="majorHAnsi"/>
          <w:spacing w:val="17"/>
          <w:sz w:val="20"/>
          <w:szCs w:val="20"/>
        </w:rPr>
        <w:t xml:space="preserve"> </w:t>
      </w:r>
      <w:r w:rsidRPr="000977F7">
        <w:rPr>
          <w:rFonts w:asciiTheme="majorHAnsi" w:hAnsiTheme="majorHAnsi"/>
          <w:sz w:val="20"/>
          <w:szCs w:val="20"/>
        </w:rPr>
        <w:t>однієї</w:t>
      </w:r>
      <w:r w:rsidRPr="000977F7">
        <w:rPr>
          <w:rFonts w:asciiTheme="majorHAnsi" w:hAnsiTheme="majorHAnsi"/>
          <w:spacing w:val="19"/>
          <w:sz w:val="20"/>
          <w:szCs w:val="20"/>
        </w:rPr>
        <w:t xml:space="preserve"> </w:t>
      </w:r>
      <w:r w:rsidRPr="000977F7">
        <w:rPr>
          <w:rFonts w:asciiTheme="majorHAnsi" w:hAnsiTheme="majorHAnsi"/>
          <w:sz w:val="20"/>
          <w:szCs w:val="20"/>
        </w:rPr>
        <w:t>держави,</w:t>
      </w:r>
      <w:r w:rsidRPr="000977F7">
        <w:rPr>
          <w:rFonts w:asciiTheme="majorHAnsi" w:hAnsiTheme="majorHAnsi"/>
          <w:spacing w:val="17"/>
          <w:sz w:val="20"/>
          <w:szCs w:val="20"/>
        </w:rPr>
        <w:t xml:space="preserve"> </w:t>
      </w:r>
      <w:r w:rsidRPr="000977F7">
        <w:rPr>
          <w:rFonts w:asciiTheme="majorHAnsi" w:hAnsiTheme="majorHAnsi"/>
          <w:sz w:val="20"/>
          <w:szCs w:val="20"/>
        </w:rPr>
        <w:t>групи</w:t>
      </w:r>
      <w:r w:rsidRPr="000977F7">
        <w:rPr>
          <w:rFonts w:asciiTheme="majorHAnsi" w:hAnsiTheme="majorHAnsi"/>
          <w:spacing w:val="18"/>
          <w:sz w:val="20"/>
          <w:szCs w:val="20"/>
        </w:rPr>
        <w:t xml:space="preserve"> </w:t>
      </w:r>
      <w:r w:rsidRPr="000977F7">
        <w:rPr>
          <w:rFonts w:asciiTheme="majorHAnsi" w:hAnsiTheme="majorHAnsi"/>
          <w:sz w:val="20"/>
          <w:szCs w:val="20"/>
        </w:rPr>
        <w:t>держав</w:t>
      </w:r>
      <w:r w:rsidRPr="000977F7">
        <w:rPr>
          <w:rFonts w:asciiTheme="majorHAnsi" w:hAnsiTheme="majorHAnsi"/>
          <w:spacing w:val="17"/>
          <w:sz w:val="20"/>
          <w:szCs w:val="20"/>
        </w:rPr>
        <w:t xml:space="preserve"> </w:t>
      </w:r>
      <w:r w:rsidRPr="000977F7">
        <w:rPr>
          <w:rFonts w:asciiTheme="majorHAnsi" w:hAnsiTheme="majorHAnsi"/>
          <w:sz w:val="20"/>
          <w:szCs w:val="20"/>
        </w:rPr>
        <w:t>або</w:t>
      </w:r>
      <w:r w:rsidRPr="000977F7">
        <w:rPr>
          <w:rFonts w:asciiTheme="majorHAnsi" w:hAnsiTheme="majorHAnsi"/>
          <w:spacing w:val="17"/>
          <w:sz w:val="20"/>
          <w:szCs w:val="20"/>
        </w:rPr>
        <w:t xml:space="preserve"> </w:t>
      </w:r>
      <w:r w:rsidRPr="000977F7">
        <w:rPr>
          <w:rFonts w:asciiTheme="majorHAnsi" w:hAnsiTheme="majorHAnsi"/>
          <w:sz w:val="20"/>
          <w:szCs w:val="20"/>
        </w:rPr>
        <w:t>міжнародних</w:t>
      </w:r>
      <w:r w:rsidRPr="000977F7">
        <w:rPr>
          <w:rFonts w:asciiTheme="majorHAnsi" w:hAnsiTheme="majorHAnsi"/>
          <w:spacing w:val="4"/>
          <w:sz w:val="20"/>
          <w:szCs w:val="20"/>
        </w:rPr>
        <w:t xml:space="preserve"> </w:t>
      </w:r>
      <w:r w:rsidRPr="000977F7">
        <w:rPr>
          <w:rFonts w:asciiTheme="majorHAnsi" w:hAnsiTheme="majorHAnsi"/>
          <w:sz w:val="20"/>
          <w:szCs w:val="20"/>
        </w:rPr>
        <w:t>валютно-кредитних</w:t>
      </w:r>
      <w:r w:rsidRPr="000977F7">
        <w:rPr>
          <w:rFonts w:asciiTheme="majorHAnsi" w:hAnsiTheme="majorHAnsi"/>
          <w:spacing w:val="4"/>
          <w:sz w:val="20"/>
          <w:szCs w:val="20"/>
        </w:rPr>
        <w:t xml:space="preserve"> </w:t>
      </w:r>
      <w:r w:rsidRPr="000977F7">
        <w:rPr>
          <w:rFonts w:asciiTheme="majorHAnsi" w:hAnsiTheme="majorHAnsi"/>
          <w:sz w:val="20"/>
          <w:szCs w:val="20"/>
        </w:rPr>
        <w:t>організацій</w:t>
      </w:r>
      <w:r w:rsidRPr="000977F7">
        <w:rPr>
          <w:rFonts w:asciiTheme="majorHAnsi" w:hAnsiTheme="majorHAnsi"/>
          <w:spacing w:val="4"/>
          <w:sz w:val="20"/>
          <w:szCs w:val="20"/>
        </w:rPr>
        <w:t xml:space="preserve"> </w:t>
      </w:r>
      <w:r w:rsidRPr="000977F7">
        <w:rPr>
          <w:rFonts w:asciiTheme="majorHAnsi" w:hAnsiTheme="majorHAnsi"/>
          <w:sz w:val="20"/>
          <w:szCs w:val="20"/>
        </w:rPr>
        <w:t>надати</w:t>
      </w:r>
      <w:r w:rsidRPr="000977F7">
        <w:rPr>
          <w:rFonts w:asciiTheme="majorHAnsi" w:hAnsiTheme="majorHAnsi"/>
          <w:spacing w:val="2"/>
          <w:sz w:val="20"/>
          <w:szCs w:val="20"/>
        </w:rPr>
        <w:t xml:space="preserve"> </w:t>
      </w:r>
      <w:r w:rsidRPr="000977F7">
        <w:rPr>
          <w:rFonts w:asciiTheme="majorHAnsi" w:hAnsiTheme="majorHAnsi"/>
          <w:sz w:val="20"/>
          <w:szCs w:val="20"/>
        </w:rPr>
        <w:t>кредити</w:t>
      </w:r>
      <w:r w:rsidRPr="000977F7">
        <w:rPr>
          <w:rFonts w:asciiTheme="majorHAnsi" w:hAnsiTheme="majorHAnsi"/>
          <w:spacing w:val="-47"/>
          <w:sz w:val="20"/>
          <w:szCs w:val="20"/>
        </w:rPr>
        <w:t xml:space="preserve"> </w:t>
      </w:r>
      <w:r w:rsidRPr="000977F7">
        <w:rPr>
          <w:rFonts w:asciiTheme="majorHAnsi" w:hAnsiTheme="majorHAnsi"/>
          <w:sz w:val="20"/>
          <w:szCs w:val="20"/>
        </w:rPr>
        <w:t>іншій державі, групі держав, банкам, організаціям</w:t>
      </w:r>
    </w:p>
    <w:p w14:paraId="45733DE1"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119ADE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КРЕСЛЕННЯ</w:t>
      </w:r>
      <w:r w:rsidRPr="000977F7">
        <w:rPr>
          <w:color w:val="auto"/>
          <w:spacing w:val="-3"/>
          <w:sz w:val="20"/>
          <w:szCs w:val="20"/>
        </w:rPr>
        <w:t xml:space="preserve"> </w:t>
      </w:r>
      <w:r w:rsidRPr="000977F7">
        <w:rPr>
          <w:color w:val="auto"/>
          <w:sz w:val="20"/>
          <w:szCs w:val="20"/>
        </w:rPr>
        <w:t>–</w:t>
      </w:r>
    </w:p>
    <w:p w14:paraId="0131C7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Графічний документ, який визначає конструкцію виробу та містить необхідні дані для розроблення, виготовлення, контролю, монтажу, експлуатації та ремонту</w:t>
      </w:r>
      <w:r w:rsidRPr="000977F7">
        <w:rPr>
          <w:rFonts w:asciiTheme="majorHAnsi" w:hAnsiTheme="majorHAnsi"/>
          <w:spacing w:val="-4"/>
          <w:sz w:val="20"/>
          <w:szCs w:val="20"/>
        </w:rPr>
        <w:t xml:space="preserve"> </w:t>
      </w:r>
      <w:r w:rsidRPr="000977F7">
        <w:rPr>
          <w:rFonts w:asciiTheme="majorHAnsi" w:hAnsiTheme="majorHAnsi"/>
          <w:sz w:val="20"/>
          <w:szCs w:val="20"/>
        </w:rPr>
        <w:t>виробу</w:t>
      </w:r>
    </w:p>
    <w:p w14:paraId="6DB767A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300F6E1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КРЕСЛЕННЯ</w:t>
      </w:r>
      <w:r w:rsidRPr="000977F7">
        <w:rPr>
          <w:color w:val="auto"/>
          <w:spacing w:val="-4"/>
          <w:sz w:val="20"/>
          <w:szCs w:val="20"/>
        </w:rPr>
        <w:t xml:space="preserve"> </w:t>
      </w:r>
      <w:r w:rsidRPr="000977F7">
        <w:rPr>
          <w:color w:val="auto"/>
          <w:sz w:val="20"/>
          <w:szCs w:val="20"/>
        </w:rPr>
        <w:t>ДЕТАЛІ</w:t>
      </w:r>
      <w:r w:rsidRPr="000977F7">
        <w:rPr>
          <w:color w:val="auto"/>
          <w:spacing w:val="-3"/>
          <w:sz w:val="20"/>
          <w:szCs w:val="20"/>
        </w:rPr>
        <w:t xml:space="preserve"> </w:t>
      </w:r>
      <w:r w:rsidRPr="000977F7">
        <w:rPr>
          <w:color w:val="auto"/>
          <w:sz w:val="20"/>
          <w:szCs w:val="20"/>
        </w:rPr>
        <w:t>–</w:t>
      </w:r>
    </w:p>
    <w:p w14:paraId="5AFF759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Креслення, яке являє собою зображення деталі та інші</w:t>
      </w:r>
      <w:r w:rsidRPr="000977F7">
        <w:rPr>
          <w:rFonts w:asciiTheme="majorHAnsi" w:hAnsiTheme="majorHAnsi"/>
          <w:spacing w:val="-47"/>
          <w:sz w:val="20"/>
          <w:szCs w:val="20"/>
        </w:rPr>
        <w:t xml:space="preserve"> </w:t>
      </w:r>
      <w:r w:rsidRPr="000977F7">
        <w:rPr>
          <w:rFonts w:asciiTheme="majorHAnsi" w:hAnsiTheme="majorHAnsi"/>
          <w:sz w:val="20"/>
          <w:szCs w:val="20"/>
        </w:rPr>
        <w:t>дані,</w:t>
      </w:r>
      <w:r w:rsidRPr="000977F7">
        <w:rPr>
          <w:rFonts w:asciiTheme="majorHAnsi" w:hAnsiTheme="majorHAnsi"/>
          <w:spacing w:val="-2"/>
          <w:sz w:val="20"/>
          <w:szCs w:val="20"/>
        </w:rPr>
        <w:t xml:space="preserve"> </w:t>
      </w:r>
      <w:r w:rsidRPr="000977F7">
        <w:rPr>
          <w:rFonts w:asciiTheme="majorHAnsi" w:hAnsiTheme="majorHAnsi"/>
          <w:sz w:val="20"/>
          <w:szCs w:val="20"/>
        </w:rPr>
        <w:t>необхідні</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її</w:t>
      </w:r>
      <w:r w:rsidRPr="000977F7">
        <w:rPr>
          <w:rFonts w:asciiTheme="majorHAnsi" w:hAnsiTheme="majorHAnsi"/>
          <w:spacing w:val="-2"/>
          <w:sz w:val="20"/>
          <w:szCs w:val="20"/>
        </w:rPr>
        <w:t xml:space="preserve"> </w:t>
      </w:r>
      <w:r w:rsidRPr="000977F7">
        <w:rPr>
          <w:rFonts w:asciiTheme="majorHAnsi" w:hAnsiTheme="majorHAnsi"/>
          <w:sz w:val="20"/>
          <w:szCs w:val="20"/>
        </w:rPr>
        <w:t>виготовлення</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p>
    <w:p w14:paraId="154F311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–2003</w:t>
      </w:r>
    </w:p>
    <w:p w14:paraId="1A1C312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КРЕСЛЕННЯ</w:t>
      </w:r>
      <w:r w:rsidRPr="000977F7">
        <w:rPr>
          <w:color w:val="auto"/>
          <w:spacing w:val="-4"/>
          <w:sz w:val="20"/>
          <w:szCs w:val="20"/>
        </w:rPr>
        <w:t xml:space="preserve"> </w:t>
      </w:r>
      <w:r w:rsidRPr="000977F7">
        <w:rPr>
          <w:color w:val="auto"/>
          <w:sz w:val="20"/>
          <w:szCs w:val="20"/>
        </w:rPr>
        <w:t>ДЖГУТА</w:t>
      </w:r>
      <w:r w:rsidRPr="000977F7">
        <w:rPr>
          <w:color w:val="auto"/>
          <w:spacing w:val="-2"/>
          <w:sz w:val="20"/>
          <w:szCs w:val="20"/>
        </w:rPr>
        <w:t xml:space="preserve"> </w:t>
      </w:r>
      <w:r w:rsidRPr="000977F7">
        <w:rPr>
          <w:color w:val="auto"/>
          <w:sz w:val="20"/>
          <w:szCs w:val="20"/>
        </w:rPr>
        <w:t>–</w:t>
      </w:r>
    </w:p>
    <w:p w14:paraId="469581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Складальне креслення виробу, який складається з ізольованих</w:t>
      </w:r>
      <w:r w:rsidRPr="000977F7">
        <w:rPr>
          <w:rFonts w:asciiTheme="majorHAnsi" w:hAnsiTheme="majorHAnsi"/>
          <w:spacing w:val="1"/>
          <w:sz w:val="20"/>
          <w:szCs w:val="20"/>
        </w:rPr>
        <w:t xml:space="preserve"> </w:t>
      </w:r>
      <w:r w:rsidRPr="000977F7">
        <w:rPr>
          <w:rFonts w:asciiTheme="majorHAnsi" w:hAnsiTheme="majorHAnsi"/>
          <w:sz w:val="20"/>
          <w:szCs w:val="20"/>
        </w:rPr>
        <w:t>проводів</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кабелів</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необхідності,</w:t>
      </w:r>
      <w:r w:rsidRPr="000977F7">
        <w:rPr>
          <w:rFonts w:asciiTheme="majorHAnsi" w:hAnsiTheme="majorHAnsi"/>
          <w:spacing w:val="1"/>
          <w:sz w:val="20"/>
          <w:szCs w:val="20"/>
        </w:rPr>
        <w:t xml:space="preserve"> </w:t>
      </w:r>
      <w:r w:rsidRPr="000977F7">
        <w:rPr>
          <w:rFonts w:asciiTheme="majorHAnsi" w:hAnsiTheme="majorHAnsi"/>
          <w:sz w:val="20"/>
          <w:szCs w:val="20"/>
        </w:rPr>
        <w:t>з’єднувальних</w:t>
      </w:r>
      <w:r w:rsidRPr="000977F7">
        <w:rPr>
          <w:rFonts w:asciiTheme="majorHAnsi" w:hAnsiTheme="majorHAnsi"/>
          <w:spacing w:val="-2"/>
          <w:sz w:val="20"/>
          <w:szCs w:val="20"/>
        </w:rPr>
        <w:t xml:space="preserve"> </w:t>
      </w:r>
      <w:r w:rsidRPr="000977F7">
        <w:rPr>
          <w:rFonts w:asciiTheme="majorHAnsi" w:hAnsiTheme="majorHAnsi"/>
          <w:sz w:val="20"/>
          <w:szCs w:val="20"/>
        </w:rPr>
        <w:t>елементів</w:t>
      </w:r>
    </w:p>
    <w:p w14:paraId="709C96A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424C3F1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КРЕСЛЕННЯ</w:t>
      </w:r>
      <w:r w:rsidRPr="000977F7">
        <w:rPr>
          <w:color w:val="auto"/>
          <w:spacing w:val="-5"/>
          <w:sz w:val="20"/>
          <w:szCs w:val="20"/>
        </w:rPr>
        <w:t xml:space="preserve"> </w:t>
      </w:r>
      <w:r w:rsidRPr="000977F7">
        <w:rPr>
          <w:color w:val="auto"/>
          <w:sz w:val="20"/>
          <w:szCs w:val="20"/>
        </w:rPr>
        <w:t>ЗАГАЛЬНОГО</w:t>
      </w:r>
      <w:r w:rsidRPr="000977F7">
        <w:rPr>
          <w:color w:val="auto"/>
          <w:spacing w:val="-4"/>
          <w:sz w:val="20"/>
          <w:szCs w:val="20"/>
        </w:rPr>
        <w:t xml:space="preserve"> </w:t>
      </w:r>
      <w:r w:rsidRPr="000977F7">
        <w:rPr>
          <w:color w:val="auto"/>
          <w:sz w:val="20"/>
          <w:szCs w:val="20"/>
        </w:rPr>
        <w:t>ВИГЛЯДУ</w:t>
      </w:r>
      <w:r w:rsidRPr="000977F7">
        <w:rPr>
          <w:color w:val="auto"/>
          <w:spacing w:val="-2"/>
          <w:sz w:val="20"/>
          <w:szCs w:val="20"/>
        </w:rPr>
        <w:t xml:space="preserve"> </w:t>
      </w:r>
      <w:r w:rsidRPr="000977F7">
        <w:rPr>
          <w:color w:val="auto"/>
          <w:sz w:val="20"/>
          <w:szCs w:val="20"/>
        </w:rPr>
        <w:t>–</w:t>
      </w:r>
    </w:p>
    <w:p w14:paraId="021E091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Креслення, яке визначає конструкцію виробу, взаємодію його складових частин і пояснює принцип роботи</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p>
    <w:p w14:paraId="554F6AC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xml:space="preserve">– </w:t>
      </w:r>
      <w:r w:rsidRPr="000977F7">
        <w:rPr>
          <w:rFonts w:asciiTheme="majorHAnsi" w:hAnsiTheme="majorHAnsi"/>
          <w:sz w:val="20"/>
          <w:szCs w:val="20"/>
        </w:rPr>
        <w:t>2003</w:t>
      </w:r>
    </w:p>
    <w:p w14:paraId="62BF5F2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КРЕСЛЕННЯ</w:t>
      </w:r>
      <w:r w:rsidRPr="000977F7">
        <w:rPr>
          <w:color w:val="auto"/>
          <w:spacing w:val="-5"/>
          <w:sz w:val="20"/>
          <w:szCs w:val="20"/>
        </w:rPr>
        <w:t xml:space="preserve"> </w:t>
      </w:r>
      <w:r w:rsidRPr="000977F7">
        <w:rPr>
          <w:color w:val="auto"/>
          <w:sz w:val="20"/>
          <w:szCs w:val="20"/>
        </w:rPr>
        <w:t>НА</w:t>
      </w:r>
      <w:r w:rsidRPr="000977F7">
        <w:rPr>
          <w:color w:val="auto"/>
          <w:spacing w:val="-4"/>
          <w:sz w:val="20"/>
          <w:szCs w:val="20"/>
        </w:rPr>
        <w:t xml:space="preserve"> </w:t>
      </w:r>
      <w:r w:rsidRPr="000977F7">
        <w:rPr>
          <w:color w:val="auto"/>
          <w:sz w:val="20"/>
          <w:szCs w:val="20"/>
        </w:rPr>
        <w:t>ПАКУВАННЯ</w:t>
      </w:r>
      <w:r w:rsidRPr="000977F7">
        <w:rPr>
          <w:color w:val="auto"/>
          <w:spacing w:val="-1"/>
          <w:sz w:val="20"/>
          <w:szCs w:val="20"/>
        </w:rPr>
        <w:t xml:space="preserve"> </w:t>
      </w:r>
      <w:r w:rsidRPr="000977F7">
        <w:rPr>
          <w:color w:val="auto"/>
          <w:sz w:val="20"/>
          <w:szCs w:val="20"/>
        </w:rPr>
        <w:t>–</w:t>
      </w:r>
    </w:p>
    <w:p w14:paraId="62B35C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Креслення, яке містить дані, необхідні для упаковування</w:t>
      </w:r>
      <w:r w:rsidRPr="000977F7">
        <w:rPr>
          <w:rFonts w:asciiTheme="majorHAnsi" w:hAnsiTheme="majorHAnsi"/>
          <w:spacing w:val="-2"/>
          <w:sz w:val="20"/>
          <w:szCs w:val="20"/>
        </w:rPr>
        <w:t xml:space="preserve"> </w:t>
      </w:r>
      <w:r w:rsidRPr="000977F7">
        <w:rPr>
          <w:rFonts w:asciiTheme="majorHAnsi" w:hAnsiTheme="majorHAnsi"/>
          <w:sz w:val="20"/>
          <w:szCs w:val="20"/>
        </w:rPr>
        <w:t>виробу</w:t>
      </w:r>
    </w:p>
    <w:p w14:paraId="15E5E1DB"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2F165EA9"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КРИВА ВТОМИ —</w:t>
      </w:r>
      <w:r w:rsidRPr="000977F7">
        <w:rPr>
          <w:rFonts w:asciiTheme="majorHAnsi" w:hAnsiTheme="majorHAnsi"/>
          <w:b/>
          <w:spacing w:val="-47"/>
          <w:sz w:val="20"/>
          <w:szCs w:val="20"/>
        </w:rPr>
        <w:t xml:space="preserve"> </w:t>
      </w:r>
    </w:p>
    <w:p w14:paraId="083A338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OELER</w:t>
      </w:r>
      <w:r w:rsidRPr="000977F7">
        <w:rPr>
          <w:rFonts w:asciiTheme="majorHAnsi" w:hAnsiTheme="majorHAnsi"/>
          <w:spacing w:val="-2"/>
          <w:sz w:val="20"/>
          <w:szCs w:val="20"/>
        </w:rPr>
        <w:t xml:space="preserve"> </w:t>
      </w:r>
      <w:r w:rsidRPr="000977F7">
        <w:rPr>
          <w:rFonts w:asciiTheme="majorHAnsi" w:hAnsiTheme="majorHAnsi"/>
          <w:sz w:val="20"/>
          <w:szCs w:val="20"/>
        </w:rPr>
        <w:t>CURVE –</w:t>
      </w:r>
    </w:p>
    <w:p w14:paraId="3BD80D2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Графік, що характеризує залежність між максимальними чи амплітудними значеннями напруження (деформації) циклу і циклічною довговічністю, побудований для партії однакових зразків чи об'єктів за параметром середнього напруження (деформації) циклу</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параметром коефіцієнта</w:t>
      </w:r>
      <w:r w:rsidRPr="000977F7">
        <w:rPr>
          <w:rFonts w:asciiTheme="majorHAnsi" w:hAnsiTheme="majorHAnsi"/>
          <w:spacing w:val="-1"/>
          <w:sz w:val="20"/>
          <w:szCs w:val="20"/>
        </w:rPr>
        <w:t xml:space="preserve"> </w:t>
      </w:r>
      <w:r w:rsidRPr="000977F7">
        <w:rPr>
          <w:rFonts w:asciiTheme="majorHAnsi" w:hAnsiTheme="majorHAnsi"/>
          <w:sz w:val="20"/>
          <w:szCs w:val="20"/>
        </w:rPr>
        <w:t>асиметрії</w:t>
      </w:r>
      <w:r w:rsidRPr="000977F7">
        <w:rPr>
          <w:rFonts w:asciiTheme="majorHAnsi" w:hAnsiTheme="majorHAnsi"/>
          <w:spacing w:val="-2"/>
          <w:sz w:val="20"/>
          <w:szCs w:val="20"/>
        </w:rPr>
        <w:t xml:space="preserve"> </w:t>
      </w:r>
      <w:r w:rsidRPr="000977F7">
        <w:rPr>
          <w:rFonts w:asciiTheme="majorHAnsi" w:hAnsiTheme="majorHAnsi"/>
          <w:sz w:val="20"/>
          <w:szCs w:val="20"/>
        </w:rPr>
        <w:t>циклу</w:t>
      </w:r>
    </w:p>
    <w:p w14:paraId="6A7E3B3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7B3360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КРИВА</w:t>
      </w:r>
      <w:r w:rsidRPr="000977F7">
        <w:rPr>
          <w:color w:val="auto"/>
          <w:spacing w:val="43"/>
          <w:sz w:val="20"/>
          <w:szCs w:val="20"/>
        </w:rPr>
        <w:t xml:space="preserve"> </w:t>
      </w:r>
      <w:r w:rsidRPr="000977F7">
        <w:rPr>
          <w:color w:val="auto"/>
          <w:sz w:val="20"/>
          <w:szCs w:val="20"/>
        </w:rPr>
        <w:t>НАВАНТАЖУВАННЯ</w:t>
      </w:r>
      <w:r w:rsidRPr="000977F7">
        <w:rPr>
          <w:color w:val="auto"/>
          <w:spacing w:val="-4"/>
          <w:sz w:val="20"/>
          <w:szCs w:val="20"/>
        </w:rPr>
        <w:t xml:space="preserve"> </w:t>
      </w:r>
      <w:r w:rsidRPr="000977F7">
        <w:rPr>
          <w:color w:val="auto"/>
          <w:sz w:val="20"/>
          <w:szCs w:val="20"/>
        </w:rPr>
        <w:t>—</w:t>
      </w:r>
    </w:p>
    <w:p w14:paraId="012B89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LOADING</w:t>
      </w:r>
      <w:r w:rsidRPr="000977F7">
        <w:rPr>
          <w:rFonts w:asciiTheme="majorHAnsi" w:hAnsiTheme="majorHAnsi"/>
          <w:spacing w:val="-3"/>
          <w:sz w:val="20"/>
          <w:szCs w:val="20"/>
        </w:rPr>
        <w:t xml:space="preserve"> </w:t>
      </w:r>
      <w:r w:rsidRPr="000977F7">
        <w:rPr>
          <w:rFonts w:asciiTheme="majorHAnsi" w:hAnsiTheme="majorHAnsi"/>
          <w:sz w:val="20"/>
          <w:szCs w:val="20"/>
        </w:rPr>
        <w:t>SEQUENCE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E4A862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Графік,</w:t>
      </w:r>
      <w:r w:rsidRPr="000977F7">
        <w:rPr>
          <w:rFonts w:asciiTheme="majorHAnsi" w:hAnsiTheme="majorHAnsi"/>
          <w:spacing w:val="-4"/>
          <w:sz w:val="20"/>
          <w:szCs w:val="20"/>
        </w:rPr>
        <w:t xml:space="preserve"> </w:t>
      </w:r>
      <w:r w:rsidRPr="000977F7">
        <w:rPr>
          <w:rFonts w:asciiTheme="majorHAnsi" w:hAnsiTheme="majorHAnsi"/>
          <w:sz w:val="20"/>
          <w:szCs w:val="20"/>
        </w:rPr>
        <w:t>який</w:t>
      </w:r>
      <w:r w:rsidRPr="000977F7">
        <w:rPr>
          <w:rFonts w:asciiTheme="majorHAnsi" w:hAnsiTheme="majorHAnsi"/>
          <w:spacing w:val="-4"/>
          <w:sz w:val="20"/>
          <w:szCs w:val="20"/>
        </w:rPr>
        <w:t xml:space="preserve"> </w:t>
      </w:r>
      <w:r w:rsidRPr="000977F7">
        <w:rPr>
          <w:rFonts w:asciiTheme="majorHAnsi" w:hAnsiTheme="majorHAnsi"/>
          <w:sz w:val="20"/>
          <w:szCs w:val="20"/>
        </w:rPr>
        <w:t>описує</w:t>
      </w:r>
      <w:r w:rsidRPr="000977F7">
        <w:rPr>
          <w:rFonts w:asciiTheme="majorHAnsi" w:hAnsiTheme="majorHAnsi"/>
          <w:spacing w:val="-3"/>
          <w:sz w:val="20"/>
          <w:szCs w:val="20"/>
        </w:rPr>
        <w:t xml:space="preserve"> </w:t>
      </w:r>
      <w:r w:rsidRPr="000977F7">
        <w:rPr>
          <w:rFonts w:asciiTheme="majorHAnsi" w:hAnsiTheme="majorHAnsi"/>
          <w:sz w:val="20"/>
          <w:szCs w:val="20"/>
        </w:rPr>
        <w:t>змінювання</w:t>
      </w:r>
      <w:r w:rsidRPr="000977F7">
        <w:rPr>
          <w:rFonts w:asciiTheme="majorHAnsi" w:hAnsiTheme="majorHAnsi"/>
          <w:spacing w:val="-4"/>
          <w:sz w:val="20"/>
          <w:szCs w:val="20"/>
        </w:rPr>
        <w:t xml:space="preserve"> </w:t>
      </w:r>
      <w:r w:rsidRPr="000977F7">
        <w:rPr>
          <w:rFonts w:asciiTheme="majorHAnsi" w:hAnsiTheme="majorHAnsi"/>
          <w:sz w:val="20"/>
          <w:szCs w:val="20"/>
        </w:rPr>
        <w:t>навантаження</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часі</w:t>
      </w:r>
    </w:p>
    <w:p w14:paraId="0C0867C6"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2444</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94</w:t>
      </w:r>
    </w:p>
    <w:p w14:paraId="3981D665"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8"/>
          <w:sz w:val="20"/>
          <w:szCs w:val="20"/>
          <w:lang w:val="en-US"/>
        </w:rPr>
      </w:pPr>
      <w:r w:rsidRPr="000977F7">
        <w:rPr>
          <w:rFonts w:asciiTheme="majorHAnsi" w:hAnsiTheme="majorHAnsi"/>
          <w:b/>
          <w:sz w:val="20"/>
          <w:szCs w:val="20"/>
        </w:rPr>
        <w:t>КРИТЕРІЙ</w:t>
      </w:r>
      <w:r w:rsidRPr="004D2D14">
        <w:rPr>
          <w:rFonts w:asciiTheme="majorHAnsi" w:hAnsiTheme="majorHAnsi"/>
          <w:b/>
          <w:sz w:val="20"/>
          <w:szCs w:val="20"/>
          <w:lang w:val="en-US"/>
        </w:rPr>
        <w:t xml:space="preserve"> </w:t>
      </w:r>
      <w:r w:rsidRPr="000977F7">
        <w:rPr>
          <w:rFonts w:asciiTheme="majorHAnsi" w:hAnsiTheme="majorHAnsi"/>
          <w:b/>
          <w:sz w:val="20"/>
          <w:szCs w:val="20"/>
        </w:rPr>
        <w:t>БЕЗПЕКИ</w:t>
      </w:r>
      <w:r w:rsidRPr="004D2D14">
        <w:rPr>
          <w:rFonts w:asciiTheme="majorHAnsi" w:hAnsiTheme="majorHAnsi"/>
          <w:b/>
          <w:sz w:val="20"/>
          <w:szCs w:val="20"/>
          <w:lang w:val="en-US"/>
        </w:rPr>
        <w:t xml:space="preserve"> —</w:t>
      </w:r>
      <w:r w:rsidRPr="004D2D14">
        <w:rPr>
          <w:rFonts w:asciiTheme="majorHAnsi" w:hAnsiTheme="majorHAnsi"/>
          <w:b/>
          <w:spacing w:val="-48"/>
          <w:sz w:val="20"/>
          <w:szCs w:val="20"/>
          <w:lang w:val="en-US"/>
        </w:rPr>
        <w:t xml:space="preserve"> </w:t>
      </w:r>
    </w:p>
    <w:p w14:paraId="450AB4C3"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SAFETY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CRITERION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46C56F0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Встановлені державними нормативними документами</w:t>
      </w:r>
      <w:r w:rsidRPr="000977F7">
        <w:rPr>
          <w:rFonts w:asciiTheme="majorHAnsi" w:hAnsiTheme="majorHAnsi"/>
          <w:spacing w:val="-47"/>
          <w:sz w:val="20"/>
          <w:szCs w:val="20"/>
        </w:rPr>
        <w:t xml:space="preserve"> </w:t>
      </w:r>
      <w:r w:rsidRPr="000977F7">
        <w:rPr>
          <w:rFonts w:asciiTheme="majorHAnsi" w:hAnsiTheme="majorHAnsi"/>
          <w:sz w:val="20"/>
          <w:szCs w:val="20"/>
        </w:rPr>
        <w:t>з безпеки значення параметрів та (або) характеристик</w:t>
      </w:r>
      <w:r w:rsidRPr="000977F7">
        <w:rPr>
          <w:rFonts w:asciiTheme="majorHAnsi" w:hAnsiTheme="majorHAnsi"/>
          <w:spacing w:val="1"/>
          <w:sz w:val="20"/>
          <w:szCs w:val="20"/>
        </w:rPr>
        <w:t xml:space="preserve"> </w:t>
      </w:r>
      <w:r w:rsidRPr="000977F7">
        <w:rPr>
          <w:rFonts w:asciiTheme="majorHAnsi" w:hAnsiTheme="majorHAnsi"/>
          <w:sz w:val="20"/>
          <w:szCs w:val="20"/>
        </w:rPr>
        <w:t>наслідків аварії, відповідно до яких обґрунтовується</w:t>
      </w:r>
      <w:r w:rsidRPr="000977F7">
        <w:rPr>
          <w:rFonts w:asciiTheme="majorHAnsi" w:hAnsiTheme="majorHAnsi"/>
          <w:spacing w:val="1"/>
          <w:sz w:val="20"/>
          <w:szCs w:val="20"/>
        </w:rPr>
        <w:t xml:space="preserve"> </w:t>
      </w:r>
      <w:r w:rsidRPr="000977F7">
        <w:rPr>
          <w:rFonts w:asciiTheme="majorHAnsi" w:hAnsiTheme="majorHAnsi"/>
          <w:sz w:val="20"/>
          <w:szCs w:val="20"/>
        </w:rPr>
        <w:t>безпечність</w:t>
      </w:r>
      <w:r w:rsidRPr="000977F7">
        <w:rPr>
          <w:rFonts w:asciiTheme="majorHAnsi" w:hAnsiTheme="majorHAnsi"/>
          <w:spacing w:val="-2"/>
          <w:sz w:val="20"/>
          <w:szCs w:val="20"/>
        </w:rPr>
        <w:t xml:space="preserve"> </w:t>
      </w:r>
      <w:r w:rsidRPr="000977F7">
        <w:rPr>
          <w:rFonts w:asciiTheme="majorHAnsi" w:hAnsiTheme="majorHAnsi"/>
          <w:sz w:val="20"/>
          <w:szCs w:val="20"/>
        </w:rPr>
        <w:t>потенційно небезпечного об'єкта</w:t>
      </w:r>
    </w:p>
    <w:p w14:paraId="1F419014"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2156</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93</w:t>
      </w:r>
      <w:r w:rsidRPr="004D2D14">
        <w:rPr>
          <w:rFonts w:asciiTheme="majorHAnsi" w:hAnsiTheme="majorHAnsi"/>
          <w:i/>
          <w:spacing w:val="1"/>
          <w:sz w:val="20"/>
          <w:szCs w:val="20"/>
          <w:lang w:val="en-US"/>
        </w:rPr>
        <w:t xml:space="preserve"> </w:t>
      </w:r>
    </w:p>
    <w:p w14:paraId="314100A5"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КРИТЕРІЙ</w:t>
      </w:r>
      <w:r w:rsidRPr="004D2D14">
        <w:rPr>
          <w:rFonts w:asciiTheme="majorHAnsi" w:hAnsiTheme="majorHAnsi"/>
          <w:b/>
          <w:sz w:val="20"/>
          <w:szCs w:val="20"/>
          <w:lang w:val="en-US"/>
        </w:rPr>
        <w:t xml:space="preserve"> </w:t>
      </w:r>
      <w:r w:rsidRPr="000977F7">
        <w:rPr>
          <w:rFonts w:asciiTheme="majorHAnsi" w:hAnsiTheme="majorHAnsi"/>
          <w:b/>
          <w:sz w:val="20"/>
          <w:szCs w:val="20"/>
        </w:rPr>
        <w:t>ВІДМОВИ</w:t>
      </w:r>
      <w:r w:rsidRPr="004D2D14">
        <w:rPr>
          <w:rFonts w:asciiTheme="majorHAnsi" w:hAnsiTheme="majorHAnsi"/>
          <w:b/>
          <w:sz w:val="20"/>
          <w:szCs w:val="20"/>
          <w:lang w:val="en-US"/>
        </w:rPr>
        <w:t xml:space="preserve"> –</w:t>
      </w:r>
    </w:p>
    <w:p w14:paraId="25C28851"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b/>
          <w:spacing w:val="-47"/>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CRITERION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32F4651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Ознака чи сукупність ознак порушення працездатного</w:t>
      </w:r>
      <w:r w:rsidRPr="000977F7">
        <w:rPr>
          <w:rFonts w:asciiTheme="majorHAnsi" w:hAnsiTheme="majorHAnsi"/>
          <w:spacing w:val="-47"/>
          <w:sz w:val="20"/>
          <w:szCs w:val="20"/>
        </w:rPr>
        <w:t xml:space="preserve"> </w:t>
      </w:r>
      <w:r w:rsidRPr="000977F7">
        <w:rPr>
          <w:rFonts w:asciiTheme="majorHAnsi" w:hAnsiTheme="majorHAnsi"/>
          <w:sz w:val="20"/>
          <w:szCs w:val="20"/>
        </w:rPr>
        <w:t>стану</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встановлені</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нормативній</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конструкторській</w:t>
      </w:r>
      <w:r w:rsidRPr="000977F7">
        <w:rPr>
          <w:rFonts w:asciiTheme="majorHAnsi" w:hAnsiTheme="majorHAnsi"/>
          <w:spacing w:val="-2"/>
          <w:sz w:val="20"/>
          <w:szCs w:val="20"/>
        </w:rPr>
        <w:t xml:space="preserve"> </w:t>
      </w:r>
      <w:r w:rsidRPr="000977F7">
        <w:rPr>
          <w:rFonts w:asciiTheme="majorHAnsi" w:hAnsiTheme="majorHAnsi"/>
          <w:sz w:val="20"/>
          <w:szCs w:val="20"/>
        </w:rPr>
        <w:t>(проектній)</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документації</w:t>
      </w:r>
    </w:p>
    <w:p w14:paraId="64D7F3A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 </w:t>
      </w:r>
      <w:r w:rsidRPr="000977F7">
        <w:rPr>
          <w:rFonts w:asciiTheme="majorHAnsi" w:hAnsiTheme="majorHAnsi"/>
          <w:i/>
          <w:sz w:val="20"/>
          <w:szCs w:val="20"/>
        </w:rPr>
        <w:t>94</w:t>
      </w:r>
    </w:p>
    <w:p w14:paraId="4BAA6F7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КРИТЕРІЙ</w:t>
      </w:r>
      <w:r w:rsidRPr="000977F7">
        <w:rPr>
          <w:color w:val="auto"/>
          <w:spacing w:val="-4"/>
          <w:sz w:val="20"/>
          <w:szCs w:val="20"/>
        </w:rPr>
        <w:t xml:space="preserve"> </w:t>
      </w:r>
      <w:r w:rsidRPr="000977F7">
        <w:rPr>
          <w:color w:val="auto"/>
          <w:sz w:val="20"/>
          <w:szCs w:val="20"/>
        </w:rPr>
        <w:t>ГРАНИЧНОГО</w:t>
      </w:r>
      <w:r w:rsidRPr="000977F7">
        <w:rPr>
          <w:color w:val="auto"/>
          <w:spacing w:val="-4"/>
          <w:sz w:val="20"/>
          <w:szCs w:val="20"/>
        </w:rPr>
        <w:t xml:space="preserve"> </w:t>
      </w:r>
      <w:r w:rsidRPr="000977F7">
        <w:rPr>
          <w:color w:val="auto"/>
          <w:sz w:val="20"/>
          <w:szCs w:val="20"/>
        </w:rPr>
        <w:t>СТАНУ</w:t>
      </w:r>
      <w:r w:rsidRPr="000977F7">
        <w:rPr>
          <w:color w:val="auto"/>
          <w:spacing w:val="-2"/>
          <w:sz w:val="20"/>
          <w:szCs w:val="20"/>
        </w:rPr>
        <w:t xml:space="preserve"> </w:t>
      </w:r>
      <w:r w:rsidRPr="000977F7">
        <w:rPr>
          <w:color w:val="auto"/>
          <w:sz w:val="20"/>
          <w:szCs w:val="20"/>
        </w:rPr>
        <w:t>–</w:t>
      </w:r>
    </w:p>
    <w:p w14:paraId="6483B5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LIMITING</w:t>
      </w:r>
      <w:r w:rsidRPr="000977F7">
        <w:rPr>
          <w:rFonts w:asciiTheme="majorHAnsi" w:hAnsiTheme="majorHAnsi"/>
          <w:spacing w:val="-2"/>
          <w:sz w:val="20"/>
          <w:szCs w:val="20"/>
        </w:rPr>
        <w:t xml:space="preserve"> </w:t>
      </w:r>
      <w:r w:rsidRPr="000977F7">
        <w:rPr>
          <w:rFonts w:asciiTheme="majorHAnsi" w:hAnsiTheme="majorHAnsi"/>
          <w:sz w:val="20"/>
          <w:szCs w:val="20"/>
        </w:rPr>
        <w:t>STATE</w:t>
      </w:r>
      <w:r w:rsidRPr="000977F7">
        <w:rPr>
          <w:rFonts w:asciiTheme="majorHAnsi" w:hAnsiTheme="majorHAnsi"/>
          <w:spacing w:val="-4"/>
          <w:sz w:val="20"/>
          <w:szCs w:val="20"/>
        </w:rPr>
        <w:t xml:space="preserve"> </w:t>
      </w:r>
      <w:r w:rsidRPr="000977F7">
        <w:rPr>
          <w:rFonts w:asciiTheme="majorHAnsi" w:hAnsiTheme="majorHAnsi"/>
          <w:sz w:val="20"/>
          <w:szCs w:val="20"/>
        </w:rPr>
        <w:t>CRITERION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BD7A87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Ознака чи сукупність ознак граничного стану об’єкта,</w:t>
      </w:r>
      <w:r w:rsidRPr="000977F7">
        <w:rPr>
          <w:rFonts w:asciiTheme="majorHAnsi" w:hAnsiTheme="majorHAnsi"/>
          <w:spacing w:val="-47"/>
          <w:sz w:val="20"/>
          <w:szCs w:val="20"/>
        </w:rPr>
        <w:t xml:space="preserve"> </w:t>
      </w:r>
      <w:r w:rsidRPr="000977F7">
        <w:rPr>
          <w:rFonts w:asciiTheme="majorHAnsi" w:hAnsiTheme="majorHAnsi"/>
          <w:sz w:val="20"/>
          <w:szCs w:val="20"/>
        </w:rPr>
        <w:t>встановлених нормативною та (чи) конструкторською</w:t>
      </w:r>
      <w:r w:rsidRPr="000977F7">
        <w:rPr>
          <w:rFonts w:asciiTheme="majorHAnsi" w:hAnsiTheme="majorHAnsi"/>
          <w:spacing w:val="-47"/>
          <w:sz w:val="20"/>
          <w:szCs w:val="20"/>
        </w:rPr>
        <w:t xml:space="preserve"> </w:t>
      </w:r>
      <w:r w:rsidRPr="000977F7">
        <w:rPr>
          <w:rFonts w:asciiTheme="majorHAnsi" w:hAnsiTheme="majorHAnsi"/>
          <w:sz w:val="20"/>
          <w:szCs w:val="20"/>
        </w:rPr>
        <w:t>(проектною)</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документацією</w:t>
      </w:r>
    </w:p>
    <w:p w14:paraId="0B671F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 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E22AB9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Залежно від умов експлуатації для одного й того ж</w:t>
      </w:r>
      <w:r w:rsidRPr="000977F7">
        <w:rPr>
          <w:rFonts w:asciiTheme="majorHAnsi" w:hAnsiTheme="majorHAnsi"/>
          <w:spacing w:val="1"/>
          <w:sz w:val="20"/>
          <w:szCs w:val="20"/>
        </w:rPr>
        <w:t xml:space="preserve"> </w:t>
      </w:r>
      <w:r w:rsidRPr="000977F7">
        <w:rPr>
          <w:rFonts w:asciiTheme="majorHAnsi" w:hAnsiTheme="majorHAnsi"/>
          <w:sz w:val="20"/>
          <w:szCs w:val="20"/>
        </w:rPr>
        <w:t>об’єкта можуть бути встановлені два чи більше критеріїв</w:t>
      </w:r>
      <w:r w:rsidRPr="000977F7">
        <w:rPr>
          <w:rFonts w:asciiTheme="majorHAnsi" w:hAnsiTheme="majorHAnsi"/>
          <w:spacing w:val="-2"/>
          <w:sz w:val="20"/>
          <w:szCs w:val="20"/>
        </w:rPr>
        <w:t xml:space="preserve"> </w:t>
      </w:r>
      <w:r w:rsidRPr="000977F7">
        <w:rPr>
          <w:rFonts w:asciiTheme="majorHAnsi" w:hAnsiTheme="majorHAnsi"/>
          <w:sz w:val="20"/>
          <w:szCs w:val="20"/>
        </w:rPr>
        <w:t>граничного</w:t>
      </w:r>
      <w:r w:rsidRPr="000977F7">
        <w:rPr>
          <w:rFonts w:asciiTheme="majorHAnsi" w:hAnsiTheme="majorHAnsi"/>
          <w:spacing w:val="1"/>
          <w:sz w:val="20"/>
          <w:szCs w:val="20"/>
        </w:rPr>
        <w:t xml:space="preserve"> </w:t>
      </w:r>
      <w:r w:rsidRPr="000977F7">
        <w:rPr>
          <w:rFonts w:asciiTheme="majorHAnsi" w:hAnsiTheme="majorHAnsi"/>
          <w:sz w:val="20"/>
          <w:szCs w:val="20"/>
        </w:rPr>
        <w:t>стану</w:t>
      </w:r>
    </w:p>
    <w:p w14:paraId="631D1E2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F1A089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КРИТЕРІЙ</w:t>
      </w:r>
      <w:r w:rsidRPr="000977F7">
        <w:rPr>
          <w:color w:val="auto"/>
          <w:spacing w:val="-3"/>
          <w:sz w:val="20"/>
          <w:szCs w:val="20"/>
        </w:rPr>
        <w:t xml:space="preserve"> </w:t>
      </w:r>
      <w:r w:rsidRPr="000977F7">
        <w:rPr>
          <w:color w:val="auto"/>
          <w:sz w:val="20"/>
          <w:szCs w:val="20"/>
        </w:rPr>
        <w:t>ЗНАЧУЩОСТІ</w:t>
      </w:r>
      <w:r w:rsidRPr="000977F7">
        <w:rPr>
          <w:color w:val="auto"/>
          <w:spacing w:val="-2"/>
          <w:sz w:val="20"/>
          <w:szCs w:val="20"/>
        </w:rPr>
        <w:t xml:space="preserve"> </w:t>
      </w:r>
      <w:r w:rsidRPr="000977F7">
        <w:rPr>
          <w:color w:val="auto"/>
          <w:sz w:val="20"/>
          <w:szCs w:val="20"/>
        </w:rPr>
        <w:t>–</w:t>
      </w:r>
    </w:p>
    <w:p w14:paraId="54C88D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Статистичний</w:t>
      </w:r>
      <w:r w:rsidRPr="000977F7">
        <w:rPr>
          <w:rFonts w:asciiTheme="majorHAnsi" w:hAnsiTheme="majorHAnsi"/>
          <w:spacing w:val="1"/>
          <w:sz w:val="20"/>
          <w:szCs w:val="20"/>
        </w:rPr>
        <w:t xml:space="preserve"> </w:t>
      </w:r>
      <w:r w:rsidRPr="000977F7">
        <w:rPr>
          <w:rFonts w:asciiTheme="majorHAnsi" w:hAnsiTheme="majorHAnsi"/>
          <w:sz w:val="20"/>
          <w:szCs w:val="20"/>
        </w:rPr>
        <w:t>критерій,</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певного</w:t>
      </w:r>
      <w:r w:rsidRPr="000977F7">
        <w:rPr>
          <w:rFonts w:asciiTheme="majorHAnsi" w:hAnsiTheme="majorHAnsi"/>
          <w:spacing w:val="1"/>
          <w:sz w:val="20"/>
          <w:szCs w:val="20"/>
        </w:rPr>
        <w:t xml:space="preserve"> </w:t>
      </w:r>
      <w:r w:rsidRPr="000977F7">
        <w:rPr>
          <w:rFonts w:asciiTheme="majorHAnsi" w:hAnsiTheme="majorHAnsi"/>
          <w:sz w:val="20"/>
          <w:szCs w:val="20"/>
        </w:rPr>
        <w:t>рівня</w:t>
      </w:r>
      <w:r w:rsidRPr="000977F7">
        <w:rPr>
          <w:rFonts w:asciiTheme="majorHAnsi" w:hAnsiTheme="majorHAnsi"/>
          <w:spacing w:val="-47"/>
          <w:sz w:val="20"/>
          <w:szCs w:val="20"/>
        </w:rPr>
        <w:t xml:space="preserve"> </w:t>
      </w:r>
      <w:r w:rsidRPr="000977F7">
        <w:rPr>
          <w:rFonts w:asciiTheme="majorHAnsi" w:hAnsiTheme="majorHAnsi"/>
          <w:sz w:val="20"/>
          <w:szCs w:val="20"/>
        </w:rPr>
        <w:t>значущості відкидається нульова гіпотеза чи констатується</w:t>
      </w:r>
      <w:r w:rsidRPr="000977F7">
        <w:rPr>
          <w:rFonts w:asciiTheme="majorHAnsi" w:hAnsiTheme="majorHAnsi"/>
          <w:spacing w:val="-2"/>
          <w:sz w:val="20"/>
          <w:szCs w:val="20"/>
        </w:rPr>
        <w:t xml:space="preserve"> </w:t>
      </w:r>
      <w:r w:rsidRPr="000977F7">
        <w:rPr>
          <w:rFonts w:asciiTheme="majorHAnsi" w:hAnsiTheme="majorHAnsi"/>
          <w:sz w:val="20"/>
          <w:szCs w:val="20"/>
        </w:rPr>
        <w:t>відсутність</w:t>
      </w:r>
      <w:r w:rsidRPr="000977F7">
        <w:rPr>
          <w:rFonts w:asciiTheme="majorHAnsi" w:hAnsiTheme="majorHAnsi"/>
          <w:spacing w:val="-1"/>
          <w:sz w:val="20"/>
          <w:szCs w:val="20"/>
        </w:rPr>
        <w:t xml:space="preserve"> </w:t>
      </w:r>
      <w:r w:rsidRPr="000977F7">
        <w:rPr>
          <w:rFonts w:asciiTheme="majorHAnsi" w:hAnsiTheme="majorHAnsi"/>
          <w:sz w:val="20"/>
          <w:szCs w:val="20"/>
        </w:rPr>
        <w:t>основ</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відхилення</w:t>
      </w:r>
    </w:p>
    <w:p w14:paraId="2CF9ADB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018A1F8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КРИТЕРІЙ</w:t>
      </w:r>
      <w:r w:rsidRPr="000977F7">
        <w:rPr>
          <w:color w:val="auto"/>
          <w:spacing w:val="-4"/>
          <w:sz w:val="20"/>
          <w:szCs w:val="20"/>
        </w:rPr>
        <w:t xml:space="preserve"> </w:t>
      </w:r>
      <w:r w:rsidRPr="000977F7">
        <w:rPr>
          <w:color w:val="auto"/>
          <w:sz w:val="20"/>
          <w:szCs w:val="20"/>
        </w:rPr>
        <w:t>КРИТИЧНОГО</w:t>
      </w:r>
      <w:r w:rsidRPr="000977F7">
        <w:rPr>
          <w:color w:val="auto"/>
          <w:spacing w:val="-3"/>
          <w:sz w:val="20"/>
          <w:szCs w:val="20"/>
        </w:rPr>
        <w:t xml:space="preserve"> </w:t>
      </w:r>
      <w:r w:rsidRPr="000977F7">
        <w:rPr>
          <w:color w:val="auto"/>
          <w:sz w:val="20"/>
          <w:szCs w:val="20"/>
        </w:rPr>
        <w:t>СТАНУ</w:t>
      </w:r>
      <w:r w:rsidRPr="000977F7">
        <w:rPr>
          <w:color w:val="auto"/>
          <w:spacing w:val="-1"/>
          <w:sz w:val="20"/>
          <w:szCs w:val="20"/>
        </w:rPr>
        <w:t xml:space="preserve"> </w:t>
      </w:r>
      <w:r w:rsidRPr="000977F7">
        <w:rPr>
          <w:color w:val="auto"/>
          <w:sz w:val="20"/>
          <w:szCs w:val="20"/>
        </w:rPr>
        <w:t>–</w:t>
      </w:r>
    </w:p>
    <w:p w14:paraId="2AE8FE1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CRITICAL</w:t>
      </w:r>
      <w:r w:rsidRPr="000977F7">
        <w:rPr>
          <w:rFonts w:asciiTheme="majorHAnsi" w:hAnsiTheme="majorHAnsi"/>
          <w:spacing w:val="-4"/>
          <w:sz w:val="20"/>
          <w:szCs w:val="20"/>
        </w:rPr>
        <w:t xml:space="preserve"> </w:t>
      </w:r>
      <w:r w:rsidRPr="000977F7">
        <w:rPr>
          <w:rFonts w:asciiTheme="majorHAnsi" w:hAnsiTheme="majorHAnsi"/>
          <w:sz w:val="20"/>
          <w:szCs w:val="20"/>
        </w:rPr>
        <w:t>STATE</w:t>
      </w:r>
      <w:r w:rsidRPr="000977F7">
        <w:rPr>
          <w:rFonts w:asciiTheme="majorHAnsi" w:hAnsiTheme="majorHAnsi"/>
          <w:spacing w:val="-3"/>
          <w:sz w:val="20"/>
          <w:szCs w:val="20"/>
        </w:rPr>
        <w:t xml:space="preserve"> </w:t>
      </w:r>
      <w:r w:rsidRPr="000977F7">
        <w:rPr>
          <w:rFonts w:asciiTheme="majorHAnsi" w:hAnsiTheme="majorHAnsi"/>
          <w:sz w:val="20"/>
          <w:szCs w:val="20"/>
        </w:rPr>
        <w:t>CRITERION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767EBE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Ознака чи сукупність ознак критичного стану об’єкта,</w:t>
      </w:r>
      <w:r w:rsidRPr="000977F7">
        <w:rPr>
          <w:rFonts w:asciiTheme="majorHAnsi" w:hAnsiTheme="majorHAnsi"/>
          <w:spacing w:val="-47"/>
          <w:sz w:val="20"/>
          <w:szCs w:val="20"/>
        </w:rPr>
        <w:t xml:space="preserve"> </w:t>
      </w:r>
      <w:r w:rsidRPr="000977F7">
        <w:rPr>
          <w:rFonts w:asciiTheme="majorHAnsi" w:hAnsiTheme="majorHAnsi"/>
          <w:sz w:val="20"/>
          <w:szCs w:val="20"/>
        </w:rPr>
        <w:t>встановлених нормативною та (чи) конструкторською</w:t>
      </w:r>
      <w:r w:rsidRPr="000977F7">
        <w:rPr>
          <w:rFonts w:asciiTheme="majorHAnsi" w:hAnsiTheme="majorHAnsi"/>
          <w:spacing w:val="-47"/>
          <w:sz w:val="20"/>
          <w:szCs w:val="20"/>
        </w:rPr>
        <w:t xml:space="preserve"> </w:t>
      </w:r>
      <w:r w:rsidRPr="000977F7">
        <w:rPr>
          <w:rFonts w:asciiTheme="majorHAnsi" w:hAnsiTheme="majorHAnsi"/>
          <w:sz w:val="20"/>
          <w:szCs w:val="20"/>
        </w:rPr>
        <w:t>(проектною)</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документацією</w:t>
      </w:r>
    </w:p>
    <w:p w14:paraId="78D2E44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D8DA0F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КРИТЕРІЇ</w:t>
      </w:r>
      <w:r w:rsidRPr="000977F7">
        <w:rPr>
          <w:color w:val="auto"/>
          <w:spacing w:val="-9"/>
          <w:sz w:val="20"/>
          <w:szCs w:val="20"/>
        </w:rPr>
        <w:t xml:space="preserve"> </w:t>
      </w:r>
      <w:r w:rsidRPr="000977F7">
        <w:rPr>
          <w:color w:val="auto"/>
          <w:sz w:val="20"/>
          <w:szCs w:val="20"/>
        </w:rPr>
        <w:t>АКРЕДИТАЦІЇ</w:t>
      </w:r>
      <w:r w:rsidRPr="000977F7">
        <w:rPr>
          <w:color w:val="auto"/>
          <w:spacing w:val="-6"/>
          <w:sz w:val="20"/>
          <w:szCs w:val="20"/>
        </w:rPr>
        <w:t xml:space="preserve"> </w:t>
      </w:r>
      <w:r w:rsidRPr="000977F7">
        <w:rPr>
          <w:color w:val="auto"/>
          <w:sz w:val="20"/>
          <w:szCs w:val="20"/>
        </w:rPr>
        <w:t>(ЛАБОРАТОРІЙ)</w:t>
      </w:r>
      <w:r w:rsidRPr="000977F7">
        <w:rPr>
          <w:color w:val="auto"/>
          <w:spacing w:val="-4"/>
          <w:sz w:val="20"/>
          <w:szCs w:val="20"/>
        </w:rPr>
        <w:t xml:space="preserve"> </w:t>
      </w:r>
      <w:r w:rsidRPr="000977F7">
        <w:rPr>
          <w:color w:val="auto"/>
          <w:sz w:val="20"/>
          <w:szCs w:val="20"/>
        </w:rPr>
        <w:t>–</w:t>
      </w:r>
    </w:p>
    <w:p w14:paraId="4D63E2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(LABORATORY)</w:t>
      </w:r>
      <w:r w:rsidRPr="000977F7">
        <w:rPr>
          <w:rFonts w:asciiTheme="majorHAnsi" w:hAnsiTheme="majorHAnsi"/>
          <w:spacing w:val="-2"/>
          <w:sz w:val="20"/>
          <w:szCs w:val="20"/>
        </w:rPr>
        <w:t xml:space="preserve"> </w:t>
      </w:r>
      <w:r w:rsidRPr="000977F7">
        <w:rPr>
          <w:rFonts w:asciiTheme="majorHAnsi" w:hAnsiTheme="majorHAnsi"/>
          <w:sz w:val="20"/>
          <w:szCs w:val="20"/>
        </w:rPr>
        <w:t>ACCREDITATION</w:t>
      </w:r>
      <w:r w:rsidRPr="000977F7">
        <w:rPr>
          <w:rFonts w:asciiTheme="majorHAnsi" w:hAnsiTheme="majorHAnsi"/>
          <w:spacing w:val="-5"/>
          <w:sz w:val="20"/>
          <w:szCs w:val="20"/>
        </w:rPr>
        <w:t xml:space="preserve"> </w:t>
      </w:r>
      <w:r w:rsidRPr="000977F7">
        <w:rPr>
          <w:rFonts w:asciiTheme="majorHAnsi" w:hAnsiTheme="majorHAnsi"/>
          <w:sz w:val="20"/>
          <w:szCs w:val="20"/>
        </w:rPr>
        <w:t>CRITERIA</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0C0603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використовуваних органом із акредитації</w:t>
      </w:r>
      <w:r w:rsidRPr="000977F7">
        <w:rPr>
          <w:rFonts w:asciiTheme="majorHAnsi" w:hAnsiTheme="majorHAnsi"/>
          <w:spacing w:val="1"/>
          <w:sz w:val="20"/>
          <w:szCs w:val="20"/>
        </w:rPr>
        <w:t xml:space="preserve"> </w:t>
      </w:r>
      <w:r w:rsidRPr="000977F7">
        <w:rPr>
          <w:rFonts w:asciiTheme="majorHAnsi" w:hAnsiTheme="majorHAnsi"/>
          <w:sz w:val="20"/>
          <w:szCs w:val="20"/>
        </w:rPr>
        <w:t>вимог, які має задовольняти випробувальна лабораторія</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того,</w:t>
      </w:r>
      <w:r w:rsidRPr="000977F7">
        <w:rPr>
          <w:rFonts w:asciiTheme="majorHAnsi" w:hAnsiTheme="majorHAnsi"/>
          <w:spacing w:val="-1"/>
          <w:sz w:val="20"/>
          <w:szCs w:val="20"/>
        </w:rPr>
        <w:t xml:space="preserve"> </w:t>
      </w:r>
      <w:r w:rsidRPr="000977F7">
        <w:rPr>
          <w:rFonts w:asciiTheme="majorHAnsi" w:hAnsiTheme="majorHAnsi"/>
          <w:sz w:val="20"/>
          <w:szCs w:val="20"/>
        </w:rPr>
        <w:t>щоб</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2"/>
          <w:sz w:val="20"/>
          <w:szCs w:val="20"/>
        </w:rPr>
        <w:t xml:space="preserve"> </w:t>
      </w:r>
      <w:r w:rsidRPr="000977F7">
        <w:rPr>
          <w:rFonts w:asciiTheme="majorHAnsi" w:hAnsiTheme="majorHAnsi"/>
          <w:sz w:val="20"/>
          <w:szCs w:val="20"/>
        </w:rPr>
        <w:t>акредитованою</w:t>
      </w:r>
    </w:p>
    <w:p w14:paraId="5DC232E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КРИТЕРІЇ</w:t>
      </w:r>
      <w:r w:rsidRPr="000977F7">
        <w:rPr>
          <w:color w:val="auto"/>
          <w:spacing w:val="-4"/>
          <w:sz w:val="20"/>
          <w:szCs w:val="20"/>
        </w:rPr>
        <w:t xml:space="preserve"> </w:t>
      </w:r>
      <w:r w:rsidRPr="000977F7">
        <w:rPr>
          <w:color w:val="auto"/>
          <w:sz w:val="20"/>
          <w:szCs w:val="20"/>
        </w:rPr>
        <w:t>АУДИТУ</w:t>
      </w:r>
      <w:r w:rsidRPr="000977F7">
        <w:rPr>
          <w:color w:val="auto"/>
          <w:spacing w:val="-2"/>
          <w:sz w:val="20"/>
          <w:szCs w:val="20"/>
        </w:rPr>
        <w:t xml:space="preserve"> </w:t>
      </w:r>
      <w:r w:rsidRPr="000977F7">
        <w:rPr>
          <w:color w:val="auto"/>
          <w:sz w:val="20"/>
          <w:szCs w:val="20"/>
        </w:rPr>
        <w:t>–</w:t>
      </w:r>
    </w:p>
    <w:p w14:paraId="7E2882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AUDIT CRITERIA</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7327BD0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політик, методик або вимог, що їх використовують</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еталон,</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яким</w:t>
      </w:r>
      <w:r w:rsidRPr="000977F7">
        <w:rPr>
          <w:rFonts w:asciiTheme="majorHAnsi" w:hAnsiTheme="majorHAnsi"/>
          <w:spacing w:val="51"/>
          <w:sz w:val="20"/>
          <w:szCs w:val="20"/>
        </w:rPr>
        <w:t xml:space="preserve"> </w:t>
      </w:r>
      <w:r w:rsidRPr="000977F7">
        <w:rPr>
          <w:rFonts w:asciiTheme="majorHAnsi" w:hAnsiTheme="majorHAnsi"/>
          <w:sz w:val="20"/>
          <w:szCs w:val="20"/>
        </w:rPr>
        <w:t>порівнюють</w:t>
      </w:r>
      <w:r w:rsidRPr="000977F7">
        <w:rPr>
          <w:rFonts w:asciiTheme="majorHAnsi" w:hAnsiTheme="majorHAnsi"/>
          <w:spacing w:val="1"/>
          <w:sz w:val="20"/>
          <w:szCs w:val="20"/>
        </w:rPr>
        <w:t xml:space="preserve"> </w:t>
      </w:r>
      <w:r w:rsidRPr="000977F7">
        <w:rPr>
          <w:rFonts w:asciiTheme="majorHAnsi" w:hAnsiTheme="majorHAnsi"/>
          <w:sz w:val="20"/>
          <w:szCs w:val="20"/>
        </w:rPr>
        <w:t>об’єктивний</w:t>
      </w:r>
      <w:r w:rsidRPr="000977F7">
        <w:rPr>
          <w:rFonts w:asciiTheme="majorHAnsi" w:hAnsiTheme="majorHAnsi"/>
          <w:spacing w:val="-2"/>
          <w:sz w:val="20"/>
          <w:szCs w:val="20"/>
        </w:rPr>
        <w:t xml:space="preserve"> </w:t>
      </w:r>
      <w:r w:rsidRPr="000977F7">
        <w:rPr>
          <w:rFonts w:asciiTheme="majorHAnsi" w:hAnsiTheme="majorHAnsi"/>
          <w:sz w:val="20"/>
          <w:szCs w:val="20"/>
        </w:rPr>
        <w:t>доказ.</w:t>
      </w:r>
    </w:p>
    <w:p w14:paraId="568C1A2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ISO 9000:2015</w:t>
      </w:r>
    </w:p>
    <w:p w14:paraId="57D404D6"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КРИТИЧНА</w:t>
      </w:r>
      <w:r w:rsidRPr="004D2D14">
        <w:rPr>
          <w:rFonts w:asciiTheme="majorHAnsi" w:hAnsiTheme="majorHAnsi"/>
          <w:b/>
          <w:sz w:val="20"/>
          <w:szCs w:val="20"/>
          <w:lang w:val="en-US"/>
        </w:rPr>
        <w:t xml:space="preserve"> </w:t>
      </w:r>
      <w:r w:rsidRPr="000977F7">
        <w:rPr>
          <w:rFonts w:asciiTheme="majorHAnsi" w:hAnsiTheme="majorHAnsi"/>
          <w:b/>
          <w:sz w:val="20"/>
          <w:szCs w:val="20"/>
        </w:rPr>
        <w:t>ВІДМОВА</w:t>
      </w:r>
      <w:r w:rsidRPr="004D2D14">
        <w:rPr>
          <w:rFonts w:asciiTheme="majorHAnsi" w:hAnsiTheme="majorHAnsi"/>
          <w:b/>
          <w:sz w:val="20"/>
          <w:szCs w:val="20"/>
          <w:lang w:val="en-US"/>
        </w:rPr>
        <w:t xml:space="preserve"> –</w:t>
      </w:r>
    </w:p>
    <w:p w14:paraId="7BCA6832"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b/>
          <w:spacing w:val="-47"/>
          <w:sz w:val="20"/>
          <w:szCs w:val="20"/>
          <w:lang w:val="en-US"/>
        </w:rPr>
        <w:t xml:space="preserve"> </w:t>
      </w:r>
      <w:r w:rsidRPr="004D2D14">
        <w:rPr>
          <w:rFonts w:asciiTheme="majorHAnsi" w:hAnsiTheme="majorHAnsi"/>
          <w:sz w:val="20"/>
          <w:szCs w:val="20"/>
          <w:lang w:val="en-US"/>
        </w:rPr>
        <w:t>CRITICAL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1F0C39E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технологічному</w:t>
      </w:r>
      <w:r w:rsidRPr="000977F7">
        <w:rPr>
          <w:rFonts w:asciiTheme="majorHAnsi" w:hAnsiTheme="majorHAnsi"/>
          <w:spacing w:val="1"/>
          <w:sz w:val="20"/>
          <w:szCs w:val="20"/>
        </w:rPr>
        <w:t xml:space="preserve"> </w:t>
      </w:r>
      <w:r w:rsidRPr="000977F7">
        <w:rPr>
          <w:rFonts w:asciiTheme="majorHAnsi" w:hAnsiTheme="majorHAnsi"/>
          <w:sz w:val="20"/>
          <w:szCs w:val="20"/>
        </w:rPr>
        <w:t>устаткуванні</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47"/>
          <w:sz w:val="20"/>
          <w:szCs w:val="20"/>
        </w:rPr>
        <w:t xml:space="preserve"> </w:t>
      </w:r>
      <w:r w:rsidRPr="000977F7">
        <w:rPr>
          <w:rFonts w:asciiTheme="majorHAnsi" w:hAnsiTheme="majorHAnsi"/>
          <w:sz w:val="20"/>
          <w:szCs w:val="20"/>
        </w:rPr>
        <w:t>помилка персоналу, які не можуть бути усунені засобами технологічного захисту або персоналом об'єкта в</w:t>
      </w:r>
      <w:r w:rsidRPr="000977F7">
        <w:rPr>
          <w:rFonts w:asciiTheme="majorHAnsi" w:hAnsiTheme="majorHAnsi"/>
          <w:spacing w:val="-47"/>
          <w:sz w:val="20"/>
          <w:szCs w:val="20"/>
        </w:rPr>
        <w:t xml:space="preserve"> </w:t>
      </w:r>
      <w:r w:rsidRPr="000977F7">
        <w:rPr>
          <w:rFonts w:asciiTheme="majorHAnsi" w:hAnsiTheme="majorHAnsi"/>
          <w:sz w:val="20"/>
          <w:szCs w:val="20"/>
        </w:rPr>
        <w:t>умовах її виникнення, а тому призводять до появи вихідної</w:t>
      </w:r>
      <w:r w:rsidRPr="000977F7">
        <w:rPr>
          <w:rFonts w:asciiTheme="majorHAnsi" w:hAnsiTheme="majorHAnsi"/>
          <w:spacing w:val="-2"/>
          <w:sz w:val="20"/>
          <w:szCs w:val="20"/>
        </w:rPr>
        <w:t xml:space="preserve"> </w:t>
      </w:r>
      <w:r w:rsidRPr="000977F7">
        <w:rPr>
          <w:rFonts w:asciiTheme="majorHAnsi" w:hAnsiTheme="majorHAnsi"/>
          <w:sz w:val="20"/>
          <w:szCs w:val="20"/>
        </w:rPr>
        <w:t>події</w:t>
      </w:r>
      <w:r w:rsidRPr="000977F7">
        <w:rPr>
          <w:rFonts w:asciiTheme="majorHAnsi" w:hAnsiTheme="majorHAnsi"/>
          <w:spacing w:val="-1"/>
          <w:sz w:val="20"/>
          <w:szCs w:val="20"/>
        </w:rPr>
        <w:t xml:space="preserve"> </w:t>
      </w:r>
      <w:r w:rsidRPr="000977F7">
        <w:rPr>
          <w:rFonts w:asciiTheme="majorHAnsi" w:hAnsiTheme="majorHAnsi"/>
          <w:sz w:val="20"/>
          <w:szCs w:val="20"/>
        </w:rPr>
        <w:t>аварії</w:t>
      </w:r>
    </w:p>
    <w:p w14:paraId="33172B5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1AE768B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 що за оцінками може привести до травмування людей, значних матеріальних збитків чи до інших неприйнятних</w:t>
      </w:r>
      <w:r w:rsidRPr="000977F7">
        <w:rPr>
          <w:rFonts w:asciiTheme="majorHAnsi" w:hAnsiTheme="majorHAnsi"/>
          <w:spacing w:val="-1"/>
          <w:sz w:val="20"/>
          <w:szCs w:val="20"/>
        </w:rPr>
        <w:t xml:space="preserve"> </w:t>
      </w:r>
      <w:r w:rsidRPr="000977F7">
        <w:rPr>
          <w:rFonts w:asciiTheme="majorHAnsi" w:hAnsiTheme="majorHAnsi"/>
          <w:sz w:val="20"/>
          <w:szCs w:val="20"/>
        </w:rPr>
        <w:t>наслідків</w:t>
      </w:r>
    </w:p>
    <w:p w14:paraId="3AA873A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B6A3C6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КРИТИЧНА</w:t>
      </w:r>
      <w:r w:rsidRPr="000977F7">
        <w:rPr>
          <w:color w:val="auto"/>
          <w:spacing w:val="-5"/>
          <w:sz w:val="20"/>
          <w:szCs w:val="20"/>
        </w:rPr>
        <w:t xml:space="preserve"> </w:t>
      </w:r>
      <w:r w:rsidRPr="000977F7">
        <w:rPr>
          <w:color w:val="auto"/>
          <w:sz w:val="20"/>
          <w:szCs w:val="20"/>
        </w:rPr>
        <w:t>ВОЛОГІСТЬ —</w:t>
      </w:r>
    </w:p>
    <w:p w14:paraId="659B96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CRITICAL</w:t>
      </w:r>
      <w:r w:rsidRPr="000977F7">
        <w:rPr>
          <w:rFonts w:asciiTheme="majorHAnsi" w:hAnsiTheme="majorHAnsi"/>
          <w:spacing w:val="-3"/>
          <w:sz w:val="20"/>
          <w:szCs w:val="20"/>
        </w:rPr>
        <w:t xml:space="preserve"> </w:t>
      </w:r>
      <w:r w:rsidRPr="000977F7">
        <w:rPr>
          <w:rFonts w:asciiTheme="majorHAnsi" w:hAnsiTheme="majorHAnsi"/>
          <w:sz w:val="20"/>
          <w:szCs w:val="20"/>
        </w:rPr>
        <w:t>HUMIDITY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CF9F0C5"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відносної</w:t>
      </w:r>
      <w:r w:rsidRPr="000977F7">
        <w:rPr>
          <w:rFonts w:asciiTheme="majorHAnsi" w:hAnsiTheme="majorHAnsi"/>
          <w:spacing w:val="1"/>
          <w:sz w:val="20"/>
          <w:szCs w:val="20"/>
        </w:rPr>
        <w:t xml:space="preserve"> </w:t>
      </w:r>
      <w:r w:rsidRPr="000977F7">
        <w:rPr>
          <w:rFonts w:asciiTheme="majorHAnsi" w:hAnsiTheme="majorHAnsi"/>
          <w:sz w:val="20"/>
          <w:szCs w:val="20"/>
        </w:rPr>
        <w:t>вологості,</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разі</w:t>
      </w:r>
      <w:r w:rsidRPr="000977F7">
        <w:rPr>
          <w:rFonts w:asciiTheme="majorHAnsi" w:hAnsiTheme="majorHAnsi"/>
          <w:spacing w:val="1"/>
          <w:sz w:val="20"/>
          <w:szCs w:val="20"/>
        </w:rPr>
        <w:t xml:space="preserve"> </w:t>
      </w:r>
      <w:r w:rsidRPr="000977F7">
        <w:rPr>
          <w:rFonts w:asciiTheme="majorHAnsi" w:hAnsiTheme="majorHAnsi"/>
          <w:sz w:val="20"/>
          <w:szCs w:val="20"/>
        </w:rPr>
        <w:t>перевищення</w:t>
      </w:r>
      <w:r w:rsidRPr="000977F7">
        <w:rPr>
          <w:rFonts w:asciiTheme="majorHAnsi" w:hAnsiTheme="majorHAnsi"/>
          <w:spacing w:val="-47"/>
          <w:sz w:val="20"/>
          <w:szCs w:val="20"/>
        </w:rPr>
        <w:t xml:space="preserve"> </w:t>
      </w:r>
      <w:r w:rsidRPr="000977F7">
        <w:rPr>
          <w:rFonts w:asciiTheme="majorHAnsi" w:hAnsiTheme="majorHAnsi"/>
          <w:sz w:val="20"/>
          <w:szCs w:val="20"/>
        </w:rPr>
        <w:t>якого атмосферна корозія металів швидко зростає</w:t>
      </w:r>
      <w:r w:rsidRPr="000977F7">
        <w:rPr>
          <w:rFonts w:asciiTheme="majorHAnsi" w:hAnsiTheme="majorHAns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3B9673E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КРИТИЧНА</w:t>
      </w:r>
      <w:r w:rsidRPr="000977F7">
        <w:rPr>
          <w:color w:val="auto"/>
          <w:spacing w:val="-5"/>
          <w:sz w:val="20"/>
          <w:szCs w:val="20"/>
        </w:rPr>
        <w:t xml:space="preserve"> </w:t>
      </w:r>
      <w:r w:rsidRPr="000977F7">
        <w:rPr>
          <w:color w:val="auto"/>
          <w:sz w:val="20"/>
          <w:szCs w:val="20"/>
        </w:rPr>
        <w:t>НЕСПРАВНІСТЬ</w:t>
      </w:r>
      <w:r w:rsidRPr="000977F7">
        <w:rPr>
          <w:color w:val="auto"/>
          <w:spacing w:val="-3"/>
          <w:sz w:val="20"/>
          <w:szCs w:val="20"/>
        </w:rPr>
        <w:t xml:space="preserve"> </w:t>
      </w:r>
      <w:r w:rsidRPr="000977F7">
        <w:rPr>
          <w:color w:val="auto"/>
          <w:sz w:val="20"/>
          <w:szCs w:val="20"/>
        </w:rPr>
        <w:t>–</w:t>
      </w:r>
    </w:p>
    <w:p w14:paraId="15E969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CRITICAL</w:t>
      </w:r>
      <w:r w:rsidRPr="000977F7">
        <w:rPr>
          <w:rFonts w:asciiTheme="majorHAnsi" w:hAnsiTheme="majorHAnsi"/>
          <w:spacing w:val="-4"/>
          <w:sz w:val="20"/>
          <w:szCs w:val="20"/>
        </w:rPr>
        <w:t xml:space="preserve"> </w:t>
      </w:r>
      <w:r w:rsidRPr="000977F7">
        <w:rPr>
          <w:rFonts w:asciiTheme="majorHAnsi" w:hAnsiTheme="majorHAnsi"/>
          <w:sz w:val="20"/>
          <w:szCs w:val="20"/>
        </w:rPr>
        <w:t>FAULT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6911FA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Несправність,</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призвести</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травмування</w:t>
      </w:r>
      <w:r w:rsidRPr="000977F7">
        <w:rPr>
          <w:rFonts w:asciiTheme="majorHAnsi" w:hAnsiTheme="majorHAnsi"/>
          <w:spacing w:val="1"/>
          <w:sz w:val="20"/>
          <w:szCs w:val="20"/>
        </w:rPr>
        <w:t xml:space="preserve"> </w:t>
      </w:r>
      <w:r w:rsidRPr="000977F7">
        <w:rPr>
          <w:rFonts w:asciiTheme="majorHAnsi" w:hAnsiTheme="majorHAnsi"/>
          <w:sz w:val="20"/>
          <w:szCs w:val="20"/>
        </w:rPr>
        <w:t>людей,</w:t>
      </w:r>
      <w:r w:rsidRPr="000977F7">
        <w:rPr>
          <w:rFonts w:asciiTheme="majorHAnsi" w:hAnsiTheme="majorHAnsi"/>
          <w:spacing w:val="1"/>
          <w:sz w:val="20"/>
          <w:szCs w:val="20"/>
        </w:rPr>
        <w:t xml:space="preserve"> </w:t>
      </w:r>
      <w:r w:rsidRPr="000977F7">
        <w:rPr>
          <w:rFonts w:asciiTheme="majorHAnsi" w:hAnsiTheme="majorHAnsi"/>
          <w:sz w:val="20"/>
          <w:szCs w:val="20"/>
        </w:rPr>
        <w:t>значних</w:t>
      </w:r>
      <w:r w:rsidRPr="000977F7">
        <w:rPr>
          <w:rFonts w:asciiTheme="majorHAnsi" w:hAnsiTheme="majorHAnsi"/>
          <w:spacing w:val="1"/>
          <w:sz w:val="20"/>
          <w:szCs w:val="20"/>
        </w:rPr>
        <w:t xml:space="preserve"> </w:t>
      </w:r>
      <w:r w:rsidRPr="000977F7">
        <w:rPr>
          <w:rFonts w:asciiTheme="majorHAnsi" w:hAnsiTheme="majorHAnsi"/>
          <w:sz w:val="20"/>
          <w:szCs w:val="20"/>
        </w:rPr>
        <w:t>матеріальних</w:t>
      </w:r>
      <w:r w:rsidRPr="000977F7">
        <w:rPr>
          <w:rFonts w:asciiTheme="majorHAnsi" w:hAnsiTheme="majorHAnsi"/>
          <w:spacing w:val="1"/>
          <w:sz w:val="20"/>
          <w:szCs w:val="20"/>
        </w:rPr>
        <w:t xml:space="preserve"> </w:t>
      </w:r>
      <w:r w:rsidRPr="000977F7">
        <w:rPr>
          <w:rFonts w:asciiTheme="majorHAnsi" w:hAnsiTheme="majorHAnsi"/>
          <w:sz w:val="20"/>
          <w:szCs w:val="20"/>
        </w:rPr>
        <w:t>збитків</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неприйнятних</w:t>
      </w:r>
      <w:r w:rsidRPr="000977F7">
        <w:rPr>
          <w:rFonts w:asciiTheme="majorHAnsi" w:hAnsiTheme="majorHAnsi"/>
          <w:spacing w:val="-2"/>
          <w:sz w:val="20"/>
          <w:szCs w:val="20"/>
        </w:rPr>
        <w:t xml:space="preserve"> </w:t>
      </w:r>
      <w:r w:rsidRPr="000977F7">
        <w:rPr>
          <w:rFonts w:asciiTheme="majorHAnsi" w:hAnsiTheme="majorHAnsi"/>
          <w:sz w:val="20"/>
          <w:szCs w:val="20"/>
        </w:rPr>
        <w:t>наслідків</w:t>
      </w:r>
    </w:p>
    <w:p w14:paraId="78784E3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A5D7A2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КРИТИЧНИЙ</w:t>
      </w:r>
      <w:r w:rsidRPr="000977F7">
        <w:rPr>
          <w:color w:val="auto"/>
          <w:spacing w:val="-3"/>
          <w:sz w:val="20"/>
          <w:szCs w:val="20"/>
        </w:rPr>
        <w:t xml:space="preserve"> </w:t>
      </w:r>
      <w:r w:rsidRPr="000977F7">
        <w:rPr>
          <w:color w:val="auto"/>
          <w:sz w:val="20"/>
          <w:szCs w:val="20"/>
        </w:rPr>
        <w:t>ДЕФЕКТ</w:t>
      </w:r>
      <w:r w:rsidRPr="000977F7">
        <w:rPr>
          <w:color w:val="auto"/>
          <w:spacing w:val="-2"/>
          <w:sz w:val="20"/>
          <w:szCs w:val="20"/>
        </w:rPr>
        <w:t xml:space="preserve"> </w:t>
      </w:r>
      <w:r w:rsidRPr="000977F7">
        <w:rPr>
          <w:color w:val="auto"/>
          <w:sz w:val="20"/>
          <w:szCs w:val="20"/>
        </w:rPr>
        <w:t>–</w:t>
      </w:r>
    </w:p>
    <w:p w14:paraId="2F252DA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CRITICAL</w:t>
      </w:r>
      <w:r w:rsidRPr="000977F7">
        <w:rPr>
          <w:rFonts w:asciiTheme="majorHAnsi" w:hAnsiTheme="majorHAnsi"/>
          <w:spacing w:val="45"/>
          <w:sz w:val="20"/>
          <w:szCs w:val="20"/>
        </w:rPr>
        <w:t xml:space="preserve"> </w:t>
      </w:r>
      <w:r w:rsidRPr="000977F7">
        <w:rPr>
          <w:rFonts w:asciiTheme="majorHAnsi" w:hAnsiTheme="majorHAnsi"/>
          <w:sz w:val="20"/>
          <w:szCs w:val="20"/>
        </w:rPr>
        <w:t>DEFECT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05410B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Дефект,</w:t>
      </w:r>
      <w:r w:rsidRPr="000977F7">
        <w:rPr>
          <w:rFonts w:asciiTheme="majorHAnsi" w:hAnsiTheme="majorHAnsi"/>
          <w:spacing w:val="-8"/>
          <w:sz w:val="20"/>
          <w:szCs w:val="20"/>
        </w:rPr>
        <w:t xml:space="preserve"> </w:t>
      </w:r>
      <w:r w:rsidRPr="000977F7">
        <w:rPr>
          <w:rFonts w:asciiTheme="majorHAnsi" w:hAnsiTheme="majorHAnsi"/>
          <w:spacing w:val="-1"/>
          <w:sz w:val="20"/>
          <w:szCs w:val="20"/>
        </w:rPr>
        <w:t>при</w:t>
      </w:r>
      <w:r w:rsidRPr="000977F7">
        <w:rPr>
          <w:rFonts w:asciiTheme="majorHAnsi" w:hAnsiTheme="majorHAnsi"/>
          <w:spacing w:val="-10"/>
          <w:sz w:val="20"/>
          <w:szCs w:val="20"/>
        </w:rPr>
        <w:t xml:space="preserve"> </w:t>
      </w:r>
      <w:r w:rsidRPr="000977F7">
        <w:rPr>
          <w:rFonts w:asciiTheme="majorHAnsi" w:hAnsiTheme="majorHAnsi"/>
          <w:spacing w:val="-1"/>
          <w:sz w:val="20"/>
          <w:szCs w:val="20"/>
        </w:rPr>
        <w:t>наявності</w:t>
      </w:r>
      <w:r w:rsidRPr="000977F7">
        <w:rPr>
          <w:rFonts w:asciiTheme="majorHAnsi" w:hAnsiTheme="majorHAnsi"/>
          <w:spacing w:val="-8"/>
          <w:sz w:val="20"/>
          <w:szCs w:val="20"/>
        </w:rPr>
        <w:t xml:space="preserve"> </w:t>
      </w:r>
      <w:r w:rsidRPr="000977F7">
        <w:rPr>
          <w:rFonts w:asciiTheme="majorHAnsi" w:hAnsiTheme="majorHAnsi"/>
          <w:spacing w:val="-1"/>
          <w:sz w:val="20"/>
          <w:szCs w:val="20"/>
        </w:rPr>
        <w:t>якого</w:t>
      </w:r>
      <w:r w:rsidRPr="000977F7">
        <w:rPr>
          <w:rFonts w:asciiTheme="majorHAnsi" w:hAnsiTheme="majorHAnsi"/>
          <w:spacing w:val="-8"/>
          <w:sz w:val="20"/>
          <w:szCs w:val="20"/>
        </w:rPr>
        <w:t xml:space="preserve"> </w:t>
      </w:r>
      <w:r w:rsidRPr="000977F7">
        <w:rPr>
          <w:rFonts w:asciiTheme="majorHAnsi" w:hAnsiTheme="majorHAnsi"/>
          <w:spacing w:val="-1"/>
          <w:sz w:val="20"/>
          <w:szCs w:val="20"/>
        </w:rPr>
        <w:t>використання</w:t>
      </w:r>
      <w:r w:rsidRPr="000977F7">
        <w:rPr>
          <w:rFonts w:asciiTheme="majorHAnsi" w:hAnsiTheme="majorHAnsi"/>
          <w:spacing w:val="-8"/>
          <w:sz w:val="20"/>
          <w:szCs w:val="20"/>
        </w:rPr>
        <w:t xml:space="preserve"> </w:t>
      </w:r>
      <w:r w:rsidRPr="000977F7">
        <w:rPr>
          <w:rFonts w:asciiTheme="majorHAnsi" w:hAnsiTheme="majorHAnsi"/>
          <w:sz w:val="20"/>
          <w:szCs w:val="20"/>
        </w:rPr>
        <w:t>продукції</w:t>
      </w:r>
      <w:r w:rsidRPr="000977F7">
        <w:rPr>
          <w:rFonts w:asciiTheme="majorHAnsi" w:hAnsiTheme="majorHAnsi"/>
          <w:spacing w:val="-11"/>
          <w:sz w:val="20"/>
          <w:szCs w:val="20"/>
        </w:rPr>
        <w:t xml:space="preserve"> </w:t>
      </w:r>
      <w:r w:rsidRPr="000977F7">
        <w:rPr>
          <w:rFonts w:asciiTheme="majorHAnsi" w:hAnsiTheme="majorHAnsi"/>
          <w:sz w:val="20"/>
          <w:szCs w:val="20"/>
        </w:rPr>
        <w:t>за</w:t>
      </w:r>
      <w:r w:rsidRPr="000977F7">
        <w:rPr>
          <w:rFonts w:asciiTheme="majorHAnsi" w:hAnsiTheme="majorHAnsi"/>
          <w:spacing w:val="-47"/>
          <w:sz w:val="20"/>
          <w:szCs w:val="20"/>
        </w:rPr>
        <w:t xml:space="preserve"> </w:t>
      </w:r>
      <w:r w:rsidRPr="000977F7">
        <w:rPr>
          <w:rFonts w:asciiTheme="majorHAnsi" w:hAnsiTheme="majorHAnsi"/>
          <w:spacing w:val="-2"/>
          <w:sz w:val="20"/>
          <w:szCs w:val="20"/>
        </w:rPr>
        <w:t xml:space="preserve">призначенням </w:t>
      </w:r>
      <w:r w:rsidRPr="000977F7">
        <w:rPr>
          <w:rFonts w:asciiTheme="majorHAnsi" w:hAnsiTheme="majorHAnsi"/>
          <w:spacing w:val="-1"/>
          <w:sz w:val="20"/>
          <w:szCs w:val="20"/>
        </w:rPr>
        <w:t>практично неможливе або недопустиме</w:t>
      </w:r>
    </w:p>
    <w:p w14:paraId="74122228"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КРИТИЧНИЙ ОГЛЯД-</w:t>
      </w:r>
    </w:p>
    <w:p w14:paraId="76B545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REVIEV-</w:t>
      </w:r>
    </w:p>
    <w:p w14:paraId="2325F7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Підтвердження придатності, адекватності і ефективності вибирання та визначання, а також їхньої результативності з урахуванням виконання встановлених</w:t>
      </w:r>
      <w:r w:rsidRPr="000977F7">
        <w:rPr>
          <w:rFonts w:asciiTheme="majorHAnsi" w:hAnsiTheme="majorHAnsi"/>
          <w:spacing w:val="1"/>
          <w:sz w:val="20"/>
          <w:szCs w:val="20"/>
        </w:rPr>
        <w:t xml:space="preserve"> </w:t>
      </w:r>
      <w:r w:rsidRPr="000977F7">
        <w:rPr>
          <w:rFonts w:asciiTheme="majorHAnsi" w:hAnsiTheme="majorHAnsi"/>
          <w:sz w:val="20"/>
          <w:szCs w:val="20"/>
        </w:rPr>
        <w:t>вимог</w:t>
      </w:r>
      <w:r w:rsidRPr="000977F7">
        <w:rPr>
          <w:rFonts w:asciiTheme="majorHAnsi" w:hAnsiTheme="majorHAnsi"/>
          <w:spacing w:val="-2"/>
          <w:sz w:val="20"/>
          <w:szCs w:val="20"/>
        </w:rPr>
        <w:t xml:space="preserve"> </w:t>
      </w:r>
      <w:r w:rsidRPr="000977F7">
        <w:rPr>
          <w:rFonts w:asciiTheme="majorHAnsi" w:hAnsiTheme="majorHAnsi"/>
          <w:sz w:val="20"/>
          <w:szCs w:val="20"/>
        </w:rPr>
        <w:t>об’єктом оцінювання</w:t>
      </w:r>
      <w:r w:rsidRPr="000977F7">
        <w:rPr>
          <w:rFonts w:asciiTheme="majorHAnsi" w:hAnsiTheme="majorHAnsi"/>
          <w:spacing w:val="-2"/>
          <w:sz w:val="20"/>
          <w:szCs w:val="20"/>
        </w:rPr>
        <w:t xml:space="preserve"> </w:t>
      </w:r>
      <w:r w:rsidRPr="000977F7">
        <w:rPr>
          <w:rFonts w:asciiTheme="majorHAnsi" w:hAnsiTheme="majorHAnsi"/>
          <w:sz w:val="20"/>
          <w:szCs w:val="20"/>
        </w:rPr>
        <w:t>відповідності</w:t>
      </w:r>
    </w:p>
    <w:p w14:paraId="02A73B5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ISO/IEC 17000:2007</w:t>
      </w:r>
    </w:p>
    <w:p w14:paraId="649B51D0"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i/>
          <w:spacing w:val="-48"/>
          <w:sz w:val="20"/>
          <w:szCs w:val="20"/>
        </w:rPr>
        <w:t xml:space="preserve"> </w:t>
      </w:r>
      <w:r w:rsidRPr="000977F7">
        <w:rPr>
          <w:rFonts w:asciiTheme="majorHAnsi" w:hAnsiTheme="majorHAnsi"/>
          <w:b/>
          <w:sz w:val="20"/>
          <w:szCs w:val="20"/>
        </w:rPr>
        <w:t>КРИТИЧНИЙ СТАН –</w:t>
      </w:r>
    </w:p>
    <w:p w14:paraId="359E8C0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CRITICAL</w:t>
      </w:r>
      <w:r w:rsidRPr="000977F7">
        <w:rPr>
          <w:rFonts w:asciiTheme="majorHAnsi" w:hAnsiTheme="majorHAnsi"/>
          <w:spacing w:val="-3"/>
          <w:sz w:val="20"/>
          <w:szCs w:val="20"/>
        </w:rPr>
        <w:t xml:space="preserve"> </w:t>
      </w:r>
      <w:r w:rsidRPr="000977F7">
        <w:rPr>
          <w:rFonts w:asciiTheme="majorHAnsi" w:hAnsiTheme="majorHAnsi"/>
          <w:sz w:val="20"/>
          <w:szCs w:val="20"/>
        </w:rPr>
        <w:t>STATE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1E6ED5D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 об’єкта, що може призвести до травмування людей,</w:t>
      </w:r>
      <w:r w:rsidRPr="000977F7">
        <w:rPr>
          <w:rFonts w:asciiTheme="majorHAnsi" w:hAnsiTheme="majorHAnsi"/>
          <w:spacing w:val="1"/>
          <w:sz w:val="20"/>
          <w:szCs w:val="20"/>
        </w:rPr>
        <w:t xml:space="preserve"> </w:t>
      </w:r>
      <w:r w:rsidRPr="000977F7">
        <w:rPr>
          <w:rFonts w:asciiTheme="majorHAnsi" w:hAnsiTheme="majorHAnsi"/>
          <w:sz w:val="20"/>
          <w:szCs w:val="20"/>
        </w:rPr>
        <w:t>значних</w:t>
      </w:r>
      <w:r w:rsidRPr="000977F7">
        <w:rPr>
          <w:rFonts w:asciiTheme="majorHAnsi" w:hAnsiTheme="majorHAnsi"/>
          <w:spacing w:val="1"/>
          <w:sz w:val="20"/>
          <w:szCs w:val="20"/>
        </w:rPr>
        <w:t xml:space="preserve"> </w:t>
      </w:r>
      <w:r w:rsidRPr="000977F7">
        <w:rPr>
          <w:rFonts w:asciiTheme="majorHAnsi" w:hAnsiTheme="majorHAnsi"/>
          <w:sz w:val="20"/>
          <w:szCs w:val="20"/>
        </w:rPr>
        <w:t>матеріальних</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неприйнятних</w:t>
      </w:r>
      <w:r w:rsidRPr="000977F7">
        <w:rPr>
          <w:rFonts w:asciiTheme="majorHAnsi" w:hAnsiTheme="majorHAnsi"/>
          <w:spacing w:val="1"/>
          <w:sz w:val="20"/>
          <w:szCs w:val="20"/>
        </w:rPr>
        <w:t xml:space="preserve"> </w:t>
      </w:r>
      <w:r w:rsidRPr="000977F7">
        <w:rPr>
          <w:rFonts w:asciiTheme="majorHAnsi" w:hAnsiTheme="majorHAnsi"/>
          <w:sz w:val="20"/>
          <w:szCs w:val="20"/>
        </w:rPr>
        <w:t>наслідків</w:t>
      </w:r>
    </w:p>
    <w:p w14:paraId="1D0F59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70EF1164" w14:textId="77777777" w:rsidR="0097612F" w:rsidRPr="000977F7" w:rsidRDefault="0097612F" w:rsidP="00FD39A4">
      <w:pPr>
        <w:pStyle w:val="ac"/>
        <w:widowControl w:val="0"/>
        <w:numPr>
          <w:ilvl w:val="0"/>
          <w:numId w:val="15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Критичний стан не завжди є наслідком критичної</w:t>
      </w:r>
      <w:r w:rsidRPr="000977F7">
        <w:rPr>
          <w:rFonts w:asciiTheme="majorHAnsi" w:hAnsiTheme="majorHAnsi"/>
          <w:spacing w:val="1"/>
          <w:sz w:val="20"/>
          <w:szCs w:val="20"/>
        </w:rPr>
        <w:t xml:space="preserve"> </w:t>
      </w:r>
      <w:r w:rsidRPr="000977F7">
        <w:rPr>
          <w:rFonts w:asciiTheme="majorHAnsi" w:hAnsiTheme="majorHAnsi"/>
          <w:sz w:val="20"/>
          <w:szCs w:val="20"/>
        </w:rPr>
        <w:t>несправності</w:t>
      </w:r>
    </w:p>
    <w:p w14:paraId="1E7B0C3C" w14:textId="77777777" w:rsidR="0097612F" w:rsidRPr="000977F7" w:rsidRDefault="0097612F" w:rsidP="00FD39A4">
      <w:pPr>
        <w:pStyle w:val="ac"/>
        <w:widowControl w:val="0"/>
        <w:numPr>
          <w:ilvl w:val="0"/>
          <w:numId w:val="15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Для конкретного об’єкта повинні бути встановлені</w:t>
      </w:r>
      <w:r w:rsidRPr="000977F7">
        <w:rPr>
          <w:rFonts w:asciiTheme="majorHAnsi" w:hAnsiTheme="majorHAnsi"/>
          <w:spacing w:val="-2"/>
          <w:sz w:val="20"/>
          <w:szCs w:val="20"/>
        </w:rPr>
        <w:t xml:space="preserve"> </w:t>
      </w:r>
      <w:r w:rsidRPr="000977F7">
        <w:rPr>
          <w:rFonts w:asciiTheme="majorHAnsi" w:hAnsiTheme="majorHAnsi"/>
          <w:sz w:val="20"/>
          <w:szCs w:val="20"/>
        </w:rPr>
        <w:t>критерії</w:t>
      </w:r>
      <w:r w:rsidRPr="000977F7">
        <w:rPr>
          <w:rFonts w:asciiTheme="majorHAnsi" w:hAnsiTheme="majorHAnsi"/>
          <w:spacing w:val="-1"/>
          <w:sz w:val="20"/>
          <w:szCs w:val="20"/>
        </w:rPr>
        <w:t xml:space="preserve"> </w:t>
      </w:r>
      <w:r w:rsidRPr="000977F7">
        <w:rPr>
          <w:rFonts w:asciiTheme="majorHAnsi" w:hAnsiTheme="majorHAnsi"/>
          <w:sz w:val="20"/>
          <w:szCs w:val="20"/>
        </w:rPr>
        <w:t>критичного</w:t>
      </w:r>
      <w:r w:rsidRPr="000977F7">
        <w:rPr>
          <w:rFonts w:asciiTheme="majorHAnsi" w:hAnsiTheme="majorHAnsi"/>
          <w:spacing w:val="1"/>
          <w:sz w:val="20"/>
          <w:szCs w:val="20"/>
        </w:rPr>
        <w:t xml:space="preserve"> </w:t>
      </w:r>
      <w:r w:rsidRPr="000977F7">
        <w:rPr>
          <w:rFonts w:asciiTheme="majorHAnsi" w:hAnsiTheme="majorHAnsi"/>
          <w:sz w:val="20"/>
          <w:szCs w:val="20"/>
        </w:rPr>
        <w:t>стану</w:t>
      </w:r>
    </w:p>
    <w:p w14:paraId="71912AA4"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691DD56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КРИТИЧНІСТЬ</w:t>
      </w:r>
      <w:r w:rsidRPr="000977F7">
        <w:rPr>
          <w:color w:val="auto"/>
          <w:spacing w:val="-4"/>
          <w:sz w:val="20"/>
          <w:szCs w:val="20"/>
        </w:rPr>
        <w:t xml:space="preserve"> </w:t>
      </w:r>
      <w:r w:rsidRPr="000977F7">
        <w:rPr>
          <w:color w:val="auto"/>
          <w:sz w:val="20"/>
          <w:szCs w:val="20"/>
        </w:rPr>
        <w:t>ВІДМОВИ –</w:t>
      </w:r>
    </w:p>
    <w:p w14:paraId="3890CC2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FAILURE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CRITICALITY –</w:t>
      </w:r>
    </w:p>
    <w:p w14:paraId="25F3BD3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ознак, що характеризують наслідки відмови</w:t>
      </w:r>
    </w:p>
    <w:p w14:paraId="12ADEB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527BA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Класифікацію відмов за критичністю, наприклад, за</w:t>
      </w:r>
      <w:r w:rsidRPr="000977F7">
        <w:rPr>
          <w:rFonts w:asciiTheme="majorHAnsi" w:hAnsiTheme="majorHAnsi"/>
          <w:spacing w:val="1"/>
          <w:sz w:val="20"/>
          <w:szCs w:val="20"/>
        </w:rPr>
        <w:t xml:space="preserve"> </w:t>
      </w:r>
      <w:r w:rsidRPr="000977F7">
        <w:rPr>
          <w:rFonts w:asciiTheme="majorHAnsi" w:hAnsiTheme="majorHAnsi"/>
          <w:sz w:val="20"/>
          <w:szCs w:val="20"/>
        </w:rPr>
        <w:t>рівнем прямих та непрямих втрат, пов’язаних</w:t>
      </w:r>
      <w:r w:rsidRPr="000977F7">
        <w:rPr>
          <w:rFonts w:asciiTheme="majorHAnsi" w:hAnsiTheme="majorHAnsi"/>
          <w:spacing w:val="1"/>
          <w:sz w:val="20"/>
          <w:szCs w:val="20"/>
        </w:rPr>
        <w:t xml:space="preserve"> </w:t>
      </w:r>
      <w:r w:rsidRPr="000977F7">
        <w:rPr>
          <w:rFonts w:asciiTheme="majorHAnsi" w:hAnsiTheme="majorHAnsi"/>
          <w:sz w:val="20"/>
          <w:szCs w:val="20"/>
        </w:rPr>
        <w:t>з появою</w:t>
      </w:r>
      <w:r w:rsidRPr="000977F7">
        <w:rPr>
          <w:rFonts w:asciiTheme="majorHAnsi" w:hAnsiTheme="majorHAnsi"/>
          <w:spacing w:val="1"/>
          <w:sz w:val="20"/>
          <w:szCs w:val="20"/>
        </w:rPr>
        <w:t xml:space="preserve"> </w:t>
      </w:r>
      <w:r w:rsidRPr="000977F7">
        <w:rPr>
          <w:rFonts w:asciiTheme="majorHAnsi" w:hAnsiTheme="majorHAnsi"/>
          <w:sz w:val="20"/>
          <w:szCs w:val="20"/>
        </w:rPr>
        <w:t>відмови,</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трудомісткістю</w:t>
      </w:r>
      <w:r w:rsidRPr="000977F7">
        <w:rPr>
          <w:rFonts w:asciiTheme="majorHAnsi" w:hAnsiTheme="majorHAnsi"/>
          <w:spacing w:val="1"/>
          <w:sz w:val="20"/>
          <w:szCs w:val="20"/>
        </w:rPr>
        <w:t xml:space="preserve"> </w:t>
      </w:r>
      <w:r w:rsidRPr="000977F7">
        <w:rPr>
          <w:rFonts w:asciiTheme="majorHAnsi" w:hAnsiTheme="majorHAnsi"/>
          <w:sz w:val="20"/>
          <w:szCs w:val="20"/>
        </w:rPr>
        <w:t>відновлення</w:t>
      </w:r>
      <w:r w:rsidRPr="000977F7">
        <w:rPr>
          <w:rFonts w:asciiTheme="majorHAnsi" w:hAnsiTheme="majorHAnsi"/>
          <w:spacing w:val="1"/>
          <w:sz w:val="20"/>
          <w:szCs w:val="20"/>
        </w:rPr>
        <w:t xml:space="preserve"> </w:t>
      </w:r>
      <w:r w:rsidRPr="000977F7">
        <w:rPr>
          <w:rFonts w:asciiTheme="majorHAnsi" w:hAnsiTheme="majorHAnsi"/>
          <w:sz w:val="20"/>
          <w:szCs w:val="20"/>
        </w:rPr>
        <w:t>після</w:t>
      </w:r>
      <w:r w:rsidRPr="000977F7">
        <w:rPr>
          <w:rFonts w:asciiTheme="majorHAnsi" w:hAnsiTheme="majorHAnsi"/>
          <w:spacing w:val="1"/>
          <w:sz w:val="20"/>
          <w:szCs w:val="20"/>
        </w:rPr>
        <w:t xml:space="preserve"> </w:t>
      </w:r>
      <w:r w:rsidRPr="000977F7">
        <w:rPr>
          <w:rFonts w:asciiTheme="majorHAnsi" w:hAnsiTheme="majorHAnsi"/>
          <w:sz w:val="20"/>
          <w:szCs w:val="20"/>
        </w:rPr>
        <w:t>відмови встановлюють в нормативній та (або) конструкторській</w:t>
      </w:r>
      <w:r w:rsidRPr="000977F7">
        <w:rPr>
          <w:rFonts w:asciiTheme="majorHAnsi" w:hAnsiTheme="majorHAnsi"/>
          <w:spacing w:val="1"/>
          <w:sz w:val="20"/>
          <w:szCs w:val="20"/>
        </w:rPr>
        <w:t xml:space="preserve"> </w:t>
      </w:r>
      <w:r w:rsidRPr="000977F7">
        <w:rPr>
          <w:rFonts w:asciiTheme="majorHAnsi" w:hAnsiTheme="majorHAnsi"/>
          <w:sz w:val="20"/>
          <w:szCs w:val="20"/>
        </w:rPr>
        <w:t>(проектній)</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документації</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згодою</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замовником</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підставі</w:t>
      </w:r>
      <w:r w:rsidRPr="000977F7">
        <w:rPr>
          <w:rFonts w:asciiTheme="majorHAnsi" w:hAnsiTheme="majorHAnsi"/>
          <w:spacing w:val="1"/>
          <w:sz w:val="20"/>
          <w:szCs w:val="20"/>
        </w:rPr>
        <w:t xml:space="preserve"> </w:t>
      </w:r>
      <w:r w:rsidRPr="000977F7">
        <w:rPr>
          <w:rFonts w:asciiTheme="majorHAnsi" w:hAnsiTheme="majorHAnsi"/>
          <w:sz w:val="20"/>
          <w:szCs w:val="20"/>
        </w:rPr>
        <w:t>техніко-економічних</w:t>
      </w:r>
      <w:r w:rsidRPr="000977F7">
        <w:rPr>
          <w:rFonts w:asciiTheme="majorHAnsi" w:hAnsiTheme="majorHAnsi"/>
          <w:spacing w:val="1"/>
          <w:sz w:val="20"/>
          <w:szCs w:val="20"/>
        </w:rPr>
        <w:t xml:space="preserve"> </w:t>
      </w:r>
      <w:r w:rsidRPr="000977F7">
        <w:rPr>
          <w:rFonts w:asciiTheme="majorHAnsi" w:hAnsiTheme="majorHAnsi"/>
          <w:sz w:val="20"/>
          <w:szCs w:val="20"/>
        </w:rPr>
        <w:t>міркувань</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вимог</w:t>
      </w:r>
      <w:r w:rsidRPr="000977F7">
        <w:rPr>
          <w:rFonts w:asciiTheme="majorHAnsi" w:hAnsiTheme="majorHAnsi"/>
          <w:spacing w:val="-1"/>
          <w:sz w:val="20"/>
          <w:szCs w:val="20"/>
        </w:rPr>
        <w:t xml:space="preserve"> </w:t>
      </w:r>
      <w:r w:rsidRPr="000977F7">
        <w:rPr>
          <w:rFonts w:asciiTheme="majorHAnsi" w:hAnsiTheme="majorHAnsi"/>
          <w:sz w:val="20"/>
          <w:szCs w:val="20"/>
        </w:rPr>
        <w:t>до забезпечення</w:t>
      </w:r>
      <w:r w:rsidRPr="000977F7">
        <w:rPr>
          <w:rFonts w:asciiTheme="majorHAnsi" w:hAnsiTheme="majorHAnsi"/>
          <w:spacing w:val="-1"/>
          <w:sz w:val="20"/>
          <w:szCs w:val="20"/>
        </w:rPr>
        <w:t xml:space="preserve"> </w:t>
      </w:r>
      <w:r w:rsidRPr="000977F7">
        <w:rPr>
          <w:rFonts w:asciiTheme="majorHAnsi" w:hAnsiTheme="majorHAnsi"/>
          <w:sz w:val="20"/>
          <w:szCs w:val="20"/>
        </w:rPr>
        <w:t>безпеки</w:t>
      </w:r>
    </w:p>
    <w:p w14:paraId="502C1F5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47BC2DD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КРИХКЕ</w:t>
      </w:r>
      <w:r w:rsidRPr="000977F7">
        <w:rPr>
          <w:color w:val="auto"/>
          <w:spacing w:val="-6"/>
          <w:sz w:val="20"/>
          <w:szCs w:val="20"/>
        </w:rPr>
        <w:t xml:space="preserve"> </w:t>
      </w:r>
      <w:r w:rsidRPr="000977F7">
        <w:rPr>
          <w:color w:val="auto"/>
          <w:sz w:val="20"/>
          <w:szCs w:val="20"/>
        </w:rPr>
        <w:t>РУЙНУВАННЯ</w:t>
      </w:r>
      <w:r w:rsidRPr="000977F7">
        <w:rPr>
          <w:color w:val="auto"/>
          <w:spacing w:val="1"/>
          <w:sz w:val="20"/>
          <w:szCs w:val="20"/>
        </w:rPr>
        <w:t xml:space="preserve"> </w:t>
      </w:r>
      <w:r w:rsidRPr="000977F7">
        <w:rPr>
          <w:color w:val="auto"/>
          <w:sz w:val="20"/>
          <w:szCs w:val="20"/>
        </w:rPr>
        <w:t>–</w:t>
      </w:r>
    </w:p>
    <w:p w14:paraId="19368E8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BRITTLE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FRACTURE –</w:t>
      </w:r>
    </w:p>
    <w:p w14:paraId="5D05D41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Руйнування без слідів пластичних деформацій у матеріалі</w:t>
      </w:r>
    </w:p>
    <w:p w14:paraId="43A5448D"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2825 – 94</w:t>
      </w:r>
    </w:p>
    <w:p w14:paraId="3643ADCA"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КРИХКІСТЬ –</w:t>
      </w:r>
    </w:p>
    <w:p w14:paraId="5D6EECA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BRITTLENESS</w:t>
      </w:r>
      <w:r w:rsidRPr="000977F7">
        <w:rPr>
          <w:rFonts w:asciiTheme="majorHAnsi" w:hAnsiTheme="majorHAnsi"/>
          <w:spacing w:val="-13"/>
          <w:sz w:val="20"/>
          <w:szCs w:val="20"/>
        </w:rPr>
        <w:t xml:space="preserve"> </w:t>
      </w:r>
      <w:r w:rsidRPr="000977F7">
        <w:rPr>
          <w:rFonts w:asciiTheme="majorHAnsi" w:hAnsiTheme="majorHAnsi"/>
          <w:sz w:val="20"/>
          <w:szCs w:val="20"/>
        </w:rPr>
        <w:t>–</w:t>
      </w:r>
    </w:p>
    <w:p w14:paraId="037AC84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Здатність</w:t>
      </w:r>
      <w:r w:rsidRPr="000977F7">
        <w:rPr>
          <w:rFonts w:asciiTheme="majorHAnsi" w:hAnsiTheme="majorHAnsi"/>
          <w:spacing w:val="-4"/>
          <w:sz w:val="20"/>
          <w:szCs w:val="20"/>
        </w:rPr>
        <w:t xml:space="preserve"> </w:t>
      </w:r>
      <w:r w:rsidRPr="000977F7">
        <w:rPr>
          <w:rFonts w:asciiTheme="majorHAnsi" w:hAnsiTheme="majorHAnsi"/>
          <w:sz w:val="20"/>
          <w:szCs w:val="20"/>
        </w:rPr>
        <w:t>матеріалу</w:t>
      </w:r>
      <w:r w:rsidRPr="000977F7">
        <w:rPr>
          <w:rFonts w:asciiTheme="majorHAnsi" w:hAnsiTheme="majorHAnsi"/>
          <w:spacing w:val="-4"/>
          <w:sz w:val="20"/>
          <w:szCs w:val="20"/>
        </w:rPr>
        <w:t xml:space="preserve"> </w:t>
      </w:r>
      <w:r w:rsidRPr="000977F7">
        <w:rPr>
          <w:rFonts w:asciiTheme="majorHAnsi" w:hAnsiTheme="majorHAnsi"/>
          <w:sz w:val="20"/>
          <w:szCs w:val="20"/>
        </w:rPr>
        <w:t>до</w:t>
      </w:r>
      <w:r w:rsidRPr="000977F7">
        <w:rPr>
          <w:rFonts w:asciiTheme="majorHAnsi" w:hAnsiTheme="majorHAnsi"/>
          <w:spacing w:val="-3"/>
          <w:sz w:val="20"/>
          <w:szCs w:val="20"/>
        </w:rPr>
        <w:t xml:space="preserve"> </w:t>
      </w:r>
      <w:r w:rsidRPr="000977F7">
        <w:rPr>
          <w:rFonts w:asciiTheme="majorHAnsi" w:hAnsiTheme="majorHAnsi"/>
          <w:sz w:val="20"/>
          <w:szCs w:val="20"/>
        </w:rPr>
        <w:t>крихкого</w:t>
      </w:r>
      <w:r w:rsidRPr="000977F7">
        <w:rPr>
          <w:rFonts w:asciiTheme="majorHAnsi" w:hAnsiTheme="majorHAnsi"/>
          <w:spacing w:val="-2"/>
          <w:sz w:val="20"/>
          <w:szCs w:val="20"/>
        </w:rPr>
        <w:t xml:space="preserve"> </w:t>
      </w:r>
      <w:r w:rsidRPr="000977F7">
        <w:rPr>
          <w:rFonts w:asciiTheme="majorHAnsi" w:hAnsiTheme="majorHAnsi"/>
          <w:sz w:val="20"/>
          <w:szCs w:val="20"/>
        </w:rPr>
        <w:t>руйнування</w:t>
      </w:r>
    </w:p>
    <w:p w14:paraId="1862D37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2575D7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КРОС</w:t>
      </w:r>
      <w:r w:rsidRPr="000977F7">
        <w:rPr>
          <w:color w:val="auto"/>
          <w:spacing w:val="-3"/>
          <w:sz w:val="20"/>
          <w:szCs w:val="20"/>
        </w:rPr>
        <w:t xml:space="preserve"> </w:t>
      </w:r>
      <w:r w:rsidRPr="000977F7">
        <w:rPr>
          <w:color w:val="auto"/>
          <w:sz w:val="20"/>
          <w:szCs w:val="20"/>
        </w:rPr>
        <w:t>–</w:t>
      </w:r>
      <w:r w:rsidRPr="000977F7">
        <w:rPr>
          <w:color w:val="auto"/>
          <w:spacing w:val="-1"/>
          <w:sz w:val="20"/>
          <w:szCs w:val="20"/>
        </w:rPr>
        <w:t xml:space="preserve"> </w:t>
      </w:r>
      <w:r w:rsidRPr="000977F7">
        <w:rPr>
          <w:color w:val="auto"/>
          <w:sz w:val="20"/>
          <w:szCs w:val="20"/>
        </w:rPr>
        <w:t>КУРС</w:t>
      </w:r>
      <w:r w:rsidRPr="000977F7">
        <w:rPr>
          <w:color w:val="auto"/>
          <w:spacing w:val="-2"/>
          <w:sz w:val="20"/>
          <w:szCs w:val="20"/>
        </w:rPr>
        <w:t xml:space="preserve"> </w:t>
      </w:r>
      <w:r w:rsidRPr="000977F7">
        <w:rPr>
          <w:color w:val="auto"/>
          <w:sz w:val="20"/>
          <w:szCs w:val="20"/>
        </w:rPr>
        <w:t>–</w:t>
      </w:r>
    </w:p>
    <w:p w14:paraId="0CAA55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Співвідношення валют двох країн одна до одної, що</w:t>
      </w:r>
      <w:r w:rsidRPr="000977F7">
        <w:rPr>
          <w:rFonts w:asciiTheme="majorHAnsi" w:hAnsiTheme="majorHAnsi"/>
          <w:spacing w:val="1"/>
          <w:sz w:val="20"/>
          <w:szCs w:val="20"/>
        </w:rPr>
        <w:t xml:space="preserve"> </w:t>
      </w:r>
      <w:r w:rsidRPr="000977F7">
        <w:rPr>
          <w:rFonts w:asciiTheme="majorHAnsi" w:hAnsiTheme="majorHAnsi"/>
          <w:sz w:val="20"/>
          <w:szCs w:val="20"/>
        </w:rPr>
        <w:t>визначається діленням або множенням відношень цих</w:t>
      </w:r>
      <w:r w:rsidRPr="000977F7">
        <w:rPr>
          <w:rFonts w:asciiTheme="majorHAnsi" w:hAnsiTheme="majorHAnsi"/>
          <w:spacing w:val="-47"/>
          <w:sz w:val="20"/>
          <w:szCs w:val="20"/>
        </w:rPr>
        <w:t xml:space="preserve"> </w:t>
      </w:r>
      <w:r w:rsidRPr="000977F7">
        <w:rPr>
          <w:rFonts w:asciiTheme="majorHAnsi" w:hAnsiTheme="majorHAnsi"/>
          <w:sz w:val="20"/>
          <w:szCs w:val="20"/>
        </w:rPr>
        <w:t>валют</w:t>
      </w:r>
      <w:r w:rsidRPr="000977F7">
        <w:rPr>
          <w:rFonts w:asciiTheme="majorHAnsi" w:hAnsiTheme="majorHAnsi"/>
          <w:spacing w:val="-2"/>
          <w:sz w:val="20"/>
          <w:szCs w:val="20"/>
        </w:rPr>
        <w:t xml:space="preserve"> </w:t>
      </w:r>
      <w:r w:rsidRPr="000977F7">
        <w:rPr>
          <w:rFonts w:asciiTheme="majorHAnsi" w:hAnsiTheme="majorHAnsi"/>
          <w:sz w:val="20"/>
          <w:szCs w:val="20"/>
        </w:rPr>
        <w:t>до долару</w:t>
      </w:r>
      <w:r w:rsidRPr="000977F7">
        <w:rPr>
          <w:rFonts w:asciiTheme="majorHAnsi" w:hAnsiTheme="majorHAnsi"/>
          <w:spacing w:val="-1"/>
          <w:sz w:val="20"/>
          <w:szCs w:val="20"/>
        </w:rPr>
        <w:t xml:space="preserve"> </w:t>
      </w:r>
      <w:r w:rsidRPr="000977F7">
        <w:rPr>
          <w:rFonts w:asciiTheme="majorHAnsi" w:hAnsiTheme="majorHAnsi"/>
          <w:sz w:val="20"/>
          <w:szCs w:val="20"/>
        </w:rPr>
        <w:t>США</w:t>
      </w:r>
    </w:p>
    <w:p w14:paraId="7D9B5E2E" w14:textId="77777777" w:rsidR="0097612F" w:rsidRPr="000977F7" w:rsidRDefault="0097612F" w:rsidP="000977F7">
      <w:pPr>
        <w:pStyle w:val="af6"/>
        <w:tabs>
          <w:tab w:val="left" w:pos="284"/>
        </w:tabs>
        <w:spacing w:after="0"/>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w:t>
      </w:r>
      <w:r w:rsidRPr="000977F7">
        <w:rPr>
          <w:rFonts w:asciiTheme="majorHAnsi" w:hAnsiTheme="majorHAnsi"/>
          <w:i/>
          <w:spacing w:val="2"/>
          <w:sz w:val="20"/>
          <w:szCs w:val="20"/>
        </w:rPr>
        <w:t xml:space="preserve"> </w:t>
      </w:r>
      <w:r w:rsidRPr="000977F7">
        <w:rPr>
          <w:rFonts w:asciiTheme="majorHAnsi" w:hAnsiTheme="majorHAnsi"/>
          <w:i/>
          <w:sz w:val="20"/>
          <w:szCs w:val="20"/>
        </w:rPr>
        <w:t>– 95</w:t>
      </w:r>
    </w:p>
    <w:p w14:paraId="4C78FE06" w14:textId="77777777" w:rsidR="0097612F" w:rsidRPr="000977F7" w:rsidRDefault="0097612F" w:rsidP="000977F7">
      <w:pPr>
        <w:pStyle w:val="af6"/>
        <w:tabs>
          <w:tab w:val="left" w:pos="284"/>
        </w:tabs>
        <w:spacing w:after="0"/>
        <w:ind w:left="170"/>
        <w:mirrorIndents/>
        <w:jc w:val="both"/>
        <w:rPr>
          <w:rFonts w:asciiTheme="majorHAnsi" w:hAnsiTheme="majorHAnsi"/>
          <w:b/>
          <w:spacing w:val="-47"/>
          <w:sz w:val="20"/>
          <w:szCs w:val="20"/>
        </w:rPr>
      </w:pPr>
      <w:r w:rsidRPr="000977F7">
        <w:rPr>
          <w:rFonts w:asciiTheme="majorHAnsi" w:hAnsiTheme="majorHAnsi"/>
          <w:b/>
          <w:sz w:val="20"/>
          <w:szCs w:val="20"/>
        </w:rPr>
        <w:t>КРУТНИЙ МОМЕНТ –</w:t>
      </w:r>
      <w:r w:rsidRPr="000977F7">
        <w:rPr>
          <w:rFonts w:asciiTheme="majorHAnsi" w:hAnsiTheme="majorHAnsi"/>
          <w:b/>
          <w:spacing w:val="-47"/>
          <w:sz w:val="20"/>
          <w:szCs w:val="20"/>
        </w:rPr>
        <w:t xml:space="preserve"> </w:t>
      </w:r>
    </w:p>
    <w:p w14:paraId="58B61AF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TORQUE MOMENT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5D369B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Момент внутрішніх сил у перерізі об’єкта відносно</w:t>
      </w:r>
      <w:r w:rsidRPr="000977F7">
        <w:rPr>
          <w:rFonts w:asciiTheme="majorHAnsi" w:hAnsiTheme="majorHAnsi"/>
          <w:spacing w:val="1"/>
          <w:sz w:val="20"/>
          <w:szCs w:val="20"/>
        </w:rPr>
        <w:t xml:space="preserve"> </w:t>
      </w:r>
      <w:r w:rsidRPr="000977F7">
        <w:rPr>
          <w:rFonts w:asciiTheme="majorHAnsi" w:hAnsiTheme="majorHAnsi"/>
          <w:sz w:val="20"/>
          <w:szCs w:val="20"/>
        </w:rPr>
        <w:t>заданої</w:t>
      </w:r>
      <w:r w:rsidRPr="000977F7">
        <w:rPr>
          <w:rFonts w:asciiTheme="majorHAnsi" w:hAnsiTheme="majorHAnsi"/>
          <w:spacing w:val="-2"/>
          <w:sz w:val="20"/>
          <w:szCs w:val="20"/>
        </w:rPr>
        <w:t xml:space="preserve"> </w:t>
      </w:r>
      <w:r w:rsidRPr="000977F7">
        <w:rPr>
          <w:rFonts w:asciiTheme="majorHAnsi" w:hAnsiTheme="majorHAnsi"/>
          <w:sz w:val="20"/>
          <w:szCs w:val="20"/>
        </w:rPr>
        <w:t>осі,</w:t>
      </w:r>
      <w:r w:rsidRPr="000977F7">
        <w:rPr>
          <w:rFonts w:asciiTheme="majorHAnsi" w:hAnsiTheme="majorHAnsi"/>
          <w:spacing w:val="-1"/>
          <w:sz w:val="20"/>
          <w:szCs w:val="20"/>
        </w:rPr>
        <w:t xml:space="preserve"> </w:t>
      </w:r>
      <w:r w:rsidRPr="000977F7">
        <w:rPr>
          <w:rFonts w:asciiTheme="majorHAnsi" w:hAnsiTheme="majorHAnsi"/>
          <w:sz w:val="20"/>
          <w:szCs w:val="20"/>
        </w:rPr>
        <w:t>нормальної</w:t>
      </w:r>
      <w:r w:rsidRPr="000977F7">
        <w:rPr>
          <w:rFonts w:asciiTheme="majorHAnsi" w:hAnsiTheme="majorHAnsi"/>
          <w:spacing w:val="-2"/>
          <w:sz w:val="20"/>
          <w:szCs w:val="20"/>
        </w:rPr>
        <w:t xml:space="preserve"> </w:t>
      </w:r>
      <w:r w:rsidRPr="000977F7">
        <w:rPr>
          <w:rFonts w:asciiTheme="majorHAnsi" w:hAnsiTheme="majorHAnsi"/>
          <w:sz w:val="20"/>
          <w:szCs w:val="20"/>
        </w:rPr>
        <w:t>щодо площини перерізу</w:t>
      </w:r>
    </w:p>
    <w:p w14:paraId="12EFC93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405FA7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КУВАННЯ</w:t>
      </w:r>
      <w:r w:rsidRPr="000977F7">
        <w:rPr>
          <w:color w:val="auto"/>
          <w:spacing w:val="-2"/>
          <w:sz w:val="20"/>
          <w:szCs w:val="20"/>
        </w:rPr>
        <w:t xml:space="preserve"> </w:t>
      </w:r>
      <w:r w:rsidRPr="000977F7">
        <w:rPr>
          <w:color w:val="auto"/>
          <w:sz w:val="20"/>
          <w:szCs w:val="20"/>
        </w:rPr>
        <w:t>–</w:t>
      </w:r>
    </w:p>
    <w:p w14:paraId="4466CB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Оброблення металів шляхом місцевого прикладання</w:t>
      </w:r>
      <w:r w:rsidRPr="000977F7">
        <w:rPr>
          <w:rFonts w:asciiTheme="majorHAnsi" w:hAnsiTheme="majorHAnsi"/>
          <w:spacing w:val="1"/>
          <w:sz w:val="20"/>
          <w:szCs w:val="20"/>
        </w:rPr>
        <w:t xml:space="preserve"> </w:t>
      </w:r>
      <w:r w:rsidRPr="000977F7">
        <w:rPr>
          <w:rFonts w:asciiTheme="majorHAnsi" w:hAnsiTheme="majorHAnsi"/>
          <w:sz w:val="20"/>
          <w:szCs w:val="20"/>
        </w:rPr>
        <w:t>деформівних навантажень за допомогою універсального підкладного інструменту</w:t>
      </w:r>
      <w:r w:rsidRPr="000977F7">
        <w:rPr>
          <w:rFonts w:asciiTheme="majorHAnsi" w:hAnsiTheme="majorHAnsi"/>
          <w:spacing w:val="-4"/>
          <w:sz w:val="20"/>
          <w:szCs w:val="20"/>
        </w:rPr>
        <w:t xml:space="preserve"> </w:t>
      </w:r>
      <w:r w:rsidRPr="000977F7">
        <w:rPr>
          <w:rFonts w:asciiTheme="majorHAnsi" w:hAnsiTheme="majorHAnsi"/>
          <w:sz w:val="20"/>
          <w:szCs w:val="20"/>
        </w:rPr>
        <w:t>чи бойків</w:t>
      </w:r>
    </w:p>
    <w:p w14:paraId="368A6170"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2391:2010</w:t>
      </w:r>
    </w:p>
    <w:p w14:paraId="75C8D9FB"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КУЛЬТУРА БЕЗПЕКИ –</w:t>
      </w:r>
      <w:r w:rsidRPr="000977F7">
        <w:rPr>
          <w:rFonts w:asciiTheme="majorHAnsi" w:hAnsiTheme="majorHAnsi"/>
          <w:b/>
          <w:spacing w:val="-47"/>
          <w:sz w:val="20"/>
          <w:szCs w:val="20"/>
        </w:rPr>
        <w:t xml:space="preserve"> </w:t>
      </w:r>
    </w:p>
    <w:p w14:paraId="355F594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SAFETY</w:t>
      </w:r>
      <w:r w:rsidRPr="000977F7">
        <w:rPr>
          <w:rFonts w:asciiTheme="majorHAnsi" w:hAnsiTheme="majorHAnsi"/>
          <w:spacing w:val="-1"/>
          <w:sz w:val="20"/>
          <w:szCs w:val="20"/>
        </w:rPr>
        <w:t xml:space="preserve"> </w:t>
      </w:r>
      <w:r w:rsidRPr="000977F7">
        <w:rPr>
          <w:rFonts w:asciiTheme="majorHAnsi" w:hAnsiTheme="majorHAnsi"/>
          <w:sz w:val="20"/>
          <w:szCs w:val="20"/>
        </w:rPr>
        <w:t>CULTURE –</w:t>
      </w:r>
    </w:p>
    <w:p w14:paraId="25F11CF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Кваліфікаційна</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підготовка</w:t>
      </w:r>
      <w:r w:rsidRPr="000977F7">
        <w:rPr>
          <w:rFonts w:asciiTheme="majorHAnsi" w:hAnsiTheme="majorHAnsi"/>
          <w:spacing w:val="1"/>
          <w:sz w:val="20"/>
          <w:szCs w:val="20"/>
        </w:rPr>
        <w:t xml:space="preserve"> </w:t>
      </w:r>
      <w:r w:rsidRPr="000977F7">
        <w:rPr>
          <w:rFonts w:asciiTheme="majorHAnsi" w:hAnsiTheme="majorHAnsi"/>
          <w:sz w:val="20"/>
          <w:szCs w:val="20"/>
        </w:rPr>
        <w:t>осіб,</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яких гарантування безпеки потенційно небезпечного</w:t>
      </w:r>
      <w:r w:rsidRPr="000977F7">
        <w:rPr>
          <w:rFonts w:asciiTheme="majorHAnsi" w:hAnsiTheme="majorHAnsi"/>
          <w:spacing w:val="1"/>
          <w:sz w:val="20"/>
          <w:szCs w:val="20"/>
        </w:rPr>
        <w:t xml:space="preserve"> </w:t>
      </w:r>
      <w:r w:rsidRPr="000977F7">
        <w:rPr>
          <w:rFonts w:asciiTheme="majorHAnsi" w:hAnsiTheme="majorHAnsi"/>
          <w:sz w:val="20"/>
          <w:szCs w:val="20"/>
        </w:rPr>
        <w:t>об'єкта є пріоритетною метою і внутрішньою потребою, що зумовлює самоконтроль і самоусвідомлення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відповідальності під час виконання робіт, які впливають</w:t>
      </w:r>
      <w:r w:rsidRPr="000977F7">
        <w:rPr>
          <w:rFonts w:asciiTheme="majorHAnsi" w:hAnsiTheme="majorHAnsi"/>
          <w:spacing w:val="-1"/>
          <w:sz w:val="20"/>
          <w:szCs w:val="20"/>
        </w:rPr>
        <w:t xml:space="preserve"> </w:t>
      </w:r>
      <w:r w:rsidRPr="000977F7">
        <w:rPr>
          <w:rFonts w:asciiTheme="majorHAnsi" w:hAnsiTheme="majorHAnsi"/>
          <w:sz w:val="20"/>
          <w:szCs w:val="20"/>
        </w:rPr>
        <w:t>на рівень безпеки</w:t>
      </w:r>
    </w:p>
    <w:p w14:paraId="2DF0E23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0D23DB9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КУЛЬТУРНІ</w:t>
      </w:r>
      <w:r w:rsidRPr="000977F7">
        <w:rPr>
          <w:color w:val="auto"/>
          <w:spacing w:val="-6"/>
          <w:sz w:val="20"/>
          <w:szCs w:val="20"/>
        </w:rPr>
        <w:t xml:space="preserve"> </w:t>
      </w:r>
      <w:r w:rsidRPr="000977F7">
        <w:rPr>
          <w:color w:val="auto"/>
          <w:sz w:val="20"/>
          <w:szCs w:val="20"/>
        </w:rPr>
        <w:t>ЦІННОСТІ</w:t>
      </w:r>
      <w:r w:rsidRPr="000977F7">
        <w:rPr>
          <w:color w:val="auto"/>
          <w:spacing w:val="-1"/>
          <w:sz w:val="20"/>
          <w:szCs w:val="20"/>
        </w:rPr>
        <w:t xml:space="preserve"> </w:t>
      </w:r>
      <w:r w:rsidRPr="000977F7">
        <w:rPr>
          <w:color w:val="auto"/>
          <w:sz w:val="20"/>
          <w:szCs w:val="20"/>
        </w:rPr>
        <w:t>–</w:t>
      </w:r>
    </w:p>
    <w:p w14:paraId="33ACB1E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Об’єкти матеріальної та духовної культури, що мають</w:t>
      </w:r>
      <w:r w:rsidRPr="000977F7">
        <w:rPr>
          <w:rFonts w:asciiTheme="majorHAnsi" w:hAnsiTheme="majorHAnsi"/>
          <w:spacing w:val="-47"/>
          <w:sz w:val="20"/>
          <w:szCs w:val="20"/>
        </w:rPr>
        <w:t xml:space="preserve"> </w:t>
      </w:r>
      <w:r w:rsidRPr="000977F7">
        <w:rPr>
          <w:rFonts w:asciiTheme="majorHAnsi" w:hAnsiTheme="majorHAnsi"/>
          <w:sz w:val="20"/>
          <w:szCs w:val="20"/>
        </w:rPr>
        <w:t>художнє, історичне, етнографічне та наукове знання і</w:t>
      </w:r>
      <w:r w:rsidRPr="000977F7">
        <w:rPr>
          <w:rFonts w:asciiTheme="majorHAnsi" w:hAnsiTheme="majorHAnsi"/>
          <w:spacing w:val="1"/>
          <w:sz w:val="20"/>
          <w:szCs w:val="20"/>
        </w:rPr>
        <w:t xml:space="preserve"> </w:t>
      </w:r>
      <w:r w:rsidRPr="000977F7">
        <w:rPr>
          <w:rFonts w:asciiTheme="majorHAnsi" w:hAnsiTheme="majorHAnsi"/>
          <w:sz w:val="20"/>
          <w:szCs w:val="20"/>
        </w:rPr>
        <w:t>підлягають збереженню, відтворенню та охороні відповідно до законодавства</w:t>
      </w:r>
      <w:r w:rsidRPr="000977F7">
        <w:rPr>
          <w:rFonts w:asciiTheme="majorHAnsi" w:hAnsiTheme="majorHAnsi"/>
          <w:spacing w:val="-2"/>
          <w:sz w:val="20"/>
          <w:szCs w:val="20"/>
        </w:rPr>
        <w:t xml:space="preserve"> </w:t>
      </w:r>
      <w:r w:rsidRPr="000977F7">
        <w:rPr>
          <w:rFonts w:asciiTheme="majorHAnsi" w:hAnsiTheme="majorHAnsi"/>
          <w:sz w:val="20"/>
          <w:szCs w:val="20"/>
        </w:rPr>
        <w:t>України</w:t>
      </w:r>
    </w:p>
    <w:p w14:paraId="0332010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w:t>
      </w:r>
      <w:r w:rsidRPr="000977F7">
        <w:rPr>
          <w:rFonts w:asciiTheme="majorHAnsi" w:hAnsiTheme="majorHAnsi"/>
          <w:i/>
          <w:spacing w:val="-2"/>
          <w:sz w:val="20"/>
          <w:szCs w:val="20"/>
        </w:rPr>
        <w:t xml:space="preserve"> </w:t>
      </w:r>
      <w:r w:rsidRPr="000977F7">
        <w:rPr>
          <w:rFonts w:asciiTheme="majorHAnsi" w:hAnsiTheme="majorHAnsi"/>
          <w:i/>
          <w:sz w:val="20"/>
          <w:szCs w:val="20"/>
        </w:rPr>
        <w:t>кодекс</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p>
    <w:p w14:paraId="305D302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КУПОВАНИЙ</w:t>
      </w:r>
      <w:r w:rsidRPr="000977F7">
        <w:rPr>
          <w:color w:val="auto"/>
          <w:spacing w:val="-3"/>
          <w:sz w:val="20"/>
          <w:szCs w:val="20"/>
        </w:rPr>
        <w:t xml:space="preserve"> </w:t>
      </w:r>
      <w:r w:rsidRPr="000977F7">
        <w:rPr>
          <w:color w:val="auto"/>
          <w:sz w:val="20"/>
          <w:szCs w:val="20"/>
        </w:rPr>
        <w:t>ВИРІБ –</w:t>
      </w:r>
    </w:p>
    <w:p w14:paraId="020DD34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 який надходить на</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підприємство</w:t>
      </w:r>
      <w:r w:rsidRPr="000977F7">
        <w:rPr>
          <w:rFonts w:asciiTheme="majorHAnsi" w:hAnsiTheme="majorHAnsi"/>
          <w:spacing w:val="1"/>
          <w:sz w:val="20"/>
          <w:szCs w:val="20"/>
        </w:rPr>
        <w:t xml:space="preserve"> </w:t>
      </w:r>
      <w:r w:rsidRPr="000977F7">
        <w:rPr>
          <w:rFonts w:asciiTheme="majorHAnsi" w:hAnsiTheme="majorHAnsi"/>
          <w:sz w:val="20"/>
          <w:szCs w:val="20"/>
        </w:rPr>
        <w:t>у готовому</w:t>
      </w:r>
      <w:r w:rsidRPr="000977F7">
        <w:rPr>
          <w:rFonts w:asciiTheme="majorHAnsi" w:hAnsiTheme="majorHAnsi"/>
          <w:spacing w:val="1"/>
          <w:sz w:val="20"/>
          <w:szCs w:val="20"/>
        </w:rPr>
        <w:t xml:space="preserve"> </w:t>
      </w:r>
      <w:r w:rsidRPr="000977F7">
        <w:rPr>
          <w:rFonts w:asciiTheme="majorHAnsi" w:hAnsiTheme="majorHAnsi"/>
          <w:sz w:val="20"/>
          <w:szCs w:val="20"/>
        </w:rPr>
        <w:t>вигляді, виготовлений згідно з конструкторською документацією</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 постачальника</w:t>
      </w:r>
    </w:p>
    <w:p w14:paraId="676F9D6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3FF6DC0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КУТОВА</w:t>
      </w:r>
      <w:r w:rsidRPr="000977F7">
        <w:rPr>
          <w:color w:val="auto"/>
          <w:spacing w:val="-4"/>
          <w:sz w:val="20"/>
          <w:szCs w:val="20"/>
        </w:rPr>
        <w:t xml:space="preserve"> </w:t>
      </w:r>
      <w:r w:rsidRPr="000977F7">
        <w:rPr>
          <w:color w:val="auto"/>
          <w:sz w:val="20"/>
          <w:szCs w:val="20"/>
        </w:rPr>
        <w:t>ДЕФОРМАЦІЯ</w:t>
      </w:r>
      <w:r w:rsidRPr="000977F7">
        <w:rPr>
          <w:color w:val="auto"/>
          <w:spacing w:val="-1"/>
          <w:sz w:val="20"/>
          <w:szCs w:val="20"/>
        </w:rPr>
        <w:t xml:space="preserve"> </w:t>
      </w:r>
      <w:r w:rsidRPr="000977F7">
        <w:rPr>
          <w:color w:val="auto"/>
          <w:sz w:val="20"/>
          <w:szCs w:val="20"/>
        </w:rPr>
        <w:t>–</w:t>
      </w:r>
    </w:p>
    <w:p w14:paraId="7C64C8D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ANGULAR</w:t>
      </w:r>
      <w:r w:rsidRPr="000977F7">
        <w:rPr>
          <w:rFonts w:asciiTheme="majorHAnsi" w:hAnsiTheme="majorHAnsi"/>
          <w:spacing w:val="-3"/>
          <w:sz w:val="20"/>
          <w:szCs w:val="20"/>
        </w:rPr>
        <w:t xml:space="preserve"> </w:t>
      </w:r>
      <w:r w:rsidRPr="000977F7">
        <w:rPr>
          <w:rFonts w:asciiTheme="majorHAnsi" w:hAnsiTheme="majorHAnsi"/>
          <w:sz w:val="20"/>
          <w:szCs w:val="20"/>
        </w:rPr>
        <w:t>STRAIN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17901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Зміна початкового прямого кута між двома напівпрямими,</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виходять</w:t>
      </w:r>
      <w:r w:rsidRPr="000977F7">
        <w:rPr>
          <w:rFonts w:asciiTheme="majorHAnsi" w:hAnsiTheme="majorHAnsi"/>
          <w:spacing w:val="-1"/>
          <w:sz w:val="20"/>
          <w:szCs w:val="20"/>
        </w:rPr>
        <w:t xml:space="preserve"> </w:t>
      </w:r>
      <w:r w:rsidRPr="000977F7">
        <w:rPr>
          <w:rFonts w:asciiTheme="majorHAnsi" w:hAnsiTheme="majorHAnsi"/>
          <w:sz w:val="20"/>
          <w:szCs w:val="20"/>
        </w:rPr>
        <w:t>з даної</w:t>
      </w:r>
      <w:r w:rsidRPr="000977F7">
        <w:rPr>
          <w:rFonts w:asciiTheme="majorHAnsi" w:hAnsiTheme="majorHAnsi"/>
          <w:spacing w:val="-1"/>
          <w:sz w:val="20"/>
          <w:szCs w:val="20"/>
        </w:rPr>
        <w:t xml:space="preserve"> </w:t>
      </w:r>
      <w:r w:rsidRPr="000977F7">
        <w:rPr>
          <w:rFonts w:asciiTheme="majorHAnsi" w:hAnsiTheme="majorHAnsi"/>
          <w:sz w:val="20"/>
          <w:szCs w:val="20"/>
        </w:rPr>
        <w:t>точки</w:t>
      </w:r>
    </w:p>
    <w:p w14:paraId="5A4B884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sectPr w:rsidR="0097612F" w:rsidRPr="000977F7" w:rsidSect="000977F7">
          <w:type w:val="continuous"/>
          <w:pgSz w:w="11910" w:h="16840"/>
          <w:pgMar w:top="800" w:right="380" w:bottom="960" w:left="1000" w:header="0" w:footer="751" w:gutter="0"/>
          <w:cols w:num="2" w:space="454"/>
        </w:sect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EB83249" w14:textId="77777777" w:rsidR="0097612F" w:rsidRPr="000F35DA" w:rsidRDefault="0097612F" w:rsidP="000F35DA">
      <w:pPr>
        <w:pStyle w:val="1"/>
        <w:rPr>
          <w:lang w:val="uk-UA"/>
        </w:rPr>
        <w:sectPr w:rsidR="0097612F" w:rsidRPr="000F35DA" w:rsidSect="000977F7">
          <w:pgSz w:w="11910" w:h="16840"/>
          <w:pgMar w:top="800" w:right="380" w:bottom="960" w:left="1000" w:header="0" w:footer="751" w:gutter="0"/>
          <w:cols w:num="2" w:space="454"/>
        </w:sectPr>
      </w:pPr>
      <w:bookmarkStart w:id="112" w:name="_Toc132629636"/>
      <w:r w:rsidRPr="000F35DA">
        <w:rPr>
          <w:lang w:val="uk-UA"/>
        </w:rPr>
        <w:lastRenderedPageBreak/>
        <w:t>Л</w:t>
      </w:r>
      <w:bookmarkEnd w:id="112"/>
    </w:p>
    <w:p w14:paraId="1B6DE53A"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ЛАБОРАТОРІЯ –</w:t>
      </w:r>
    </w:p>
    <w:p w14:paraId="61FF993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bookmarkStart w:id="113" w:name="_Hlk114493748"/>
      <w:r w:rsidRPr="000977F7">
        <w:rPr>
          <w:rFonts w:asciiTheme="majorHAnsi" w:hAnsiTheme="majorHAnsi"/>
          <w:sz w:val="20"/>
          <w:szCs w:val="20"/>
        </w:rPr>
        <w:t>L</w:t>
      </w:r>
      <w:bookmarkEnd w:id="113"/>
      <w:r w:rsidRPr="000977F7">
        <w:rPr>
          <w:rFonts w:asciiTheme="majorHAnsi" w:hAnsiTheme="majorHAnsi"/>
          <w:sz w:val="20"/>
          <w:szCs w:val="20"/>
        </w:rPr>
        <w:t>ABORATORY –</w:t>
      </w:r>
    </w:p>
    <w:p w14:paraId="25A5C73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 що виконує один або кілька таких видів діяльності: — випробування; — калібрування; — відбирання зразків, пов’язане з подальшим їх випробуванням чи калібруванням.</w:t>
      </w:r>
    </w:p>
    <w:p w14:paraId="63D7987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Примітка. У контексті цього стандарту «лабораторна діяльність» стосується трьох зазначених вище видів діяльності </w:t>
      </w:r>
    </w:p>
    <w:p w14:paraId="60FFE145"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ISO/IEC 17025:2019</w:t>
      </w:r>
    </w:p>
    <w:p w14:paraId="5371F31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ЛАБОРАТОРНІ</w:t>
      </w:r>
      <w:r w:rsidRPr="000977F7">
        <w:rPr>
          <w:rFonts w:asciiTheme="majorHAnsi" w:hAnsiTheme="majorHAnsi"/>
          <w:b/>
          <w:spacing w:val="1"/>
          <w:sz w:val="20"/>
          <w:szCs w:val="20"/>
        </w:rPr>
        <w:t xml:space="preserve"> </w:t>
      </w:r>
      <w:r w:rsidRPr="000977F7">
        <w:rPr>
          <w:rFonts w:asciiTheme="majorHAnsi" w:hAnsiTheme="majorHAnsi"/>
          <w:b/>
          <w:sz w:val="20"/>
          <w:szCs w:val="20"/>
        </w:rPr>
        <w:t xml:space="preserve">ВИПРОБУВАННЯ </w:t>
      </w:r>
      <w:r w:rsidRPr="000977F7">
        <w:rPr>
          <w:rFonts w:asciiTheme="majorHAnsi" w:hAnsiTheme="majorHAnsi"/>
          <w:sz w:val="20"/>
          <w:szCs w:val="20"/>
        </w:rPr>
        <w:t>–</w:t>
      </w:r>
      <w:r w:rsidRPr="000977F7">
        <w:rPr>
          <w:rFonts w:asciiTheme="majorHAnsi" w:hAnsiTheme="majorHAnsi"/>
          <w:spacing w:val="-47"/>
          <w:sz w:val="20"/>
          <w:szCs w:val="20"/>
        </w:rPr>
        <w:t xml:space="preserve"> L</w:t>
      </w:r>
      <w:r w:rsidRPr="000977F7">
        <w:rPr>
          <w:rFonts w:asciiTheme="majorHAnsi" w:hAnsiTheme="majorHAnsi"/>
          <w:sz w:val="20"/>
          <w:szCs w:val="20"/>
        </w:rPr>
        <w:t>ABORATORY</w:t>
      </w:r>
      <w:r w:rsidRPr="000977F7">
        <w:rPr>
          <w:rFonts w:asciiTheme="majorHAnsi" w:hAnsiTheme="majorHAnsi"/>
          <w:spacing w:val="-1"/>
          <w:sz w:val="20"/>
          <w:szCs w:val="20"/>
        </w:rPr>
        <w:t xml:space="preserve"> </w:t>
      </w:r>
      <w:r w:rsidRPr="000977F7">
        <w:rPr>
          <w:rFonts w:asciiTheme="majorHAnsi" w:hAnsiTheme="majorHAnsi"/>
          <w:sz w:val="20"/>
          <w:szCs w:val="20"/>
        </w:rPr>
        <w:t>TEST</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558706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об’єкта, що проводяться у лабораторних умовах</w:t>
      </w:r>
    </w:p>
    <w:p w14:paraId="37FF2A7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2"/>
          <w:sz w:val="20"/>
          <w:szCs w:val="20"/>
        </w:rPr>
        <w:t xml:space="preserve"> </w:t>
      </w:r>
      <w:r w:rsidRPr="000977F7">
        <w:rPr>
          <w:rFonts w:asciiTheme="majorHAnsi" w:hAnsiTheme="majorHAnsi"/>
          <w:i/>
          <w:sz w:val="20"/>
          <w:szCs w:val="20"/>
        </w:rPr>
        <w:t>– 95</w:t>
      </w:r>
    </w:p>
    <w:p w14:paraId="530DBF1F"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bookmarkStart w:id="114" w:name="_Hlk102330636"/>
      <w:r w:rsidRPr="000977F7">
        <w:rPr>
          <w:rFonts w:asciiTheme="majorHAnsi" w:hAnsiTheme="majorHAnsi"/>
          <w:b/>
          <w:sz w:val="20"/>
          <w:szCs w:val="20"/>
        </w:rPr>
        <w:t xml:space="preserve">ЛАБОРАТОРНІ ВИПРОБУВАННЯ НА </w:t>
      </w:r>
    </w:p>
    <w:p w14:paraId="5169ED9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НАДІЙ</w:t>
      </w:r>
      <w:r w:rsidRPr="000977F7">
        <w:rPr>
          <w:rFonts w:asciiTheme="majorHAnsi" w:hAnsiTheme="majorHAnsi"/>
          <w:b/>
          <w:spacing w:val="-47"/>
          <w:sz w:val="20"/>
          <w:szCs w:val="20"/>
        </w:rPr>
        <w:t xml:space="preserve"> </w:t>
      </w:r>
      <w:r w:rsidRPr="000977F7">
        <w:rPr>
          <w:rFonts w:asciiTheme="majorHAnsi" w:hAnsiTheme="majorHAnsi"/>
          <w:b/>
          <w:sz w:val="20"/>
          <w:szCs w:val="20"/>
        </w:rPr>
        <w:t>НІСТЬ</w:t>
      </w:r>
      <w:r w:rsidRPr="000977F7">
        <w:rPr>
          <w:rFonts w:asciiTheme="majorHAnsi" w:hAnsiTheme="majorHAnsi"/>
          <w:b/>
          <w:spacing w:val="-1"/>
          <w:sz w:val="20"/>
          <w:szCs w:val="20"/>
        </w:rPr>
        <w:t xml:space="preserve"> </w:t>
      </w:r>
      <w:r w:rsidRPr="000977F7">
        <w:rPr>
          <w:rFonts w:asciiTheme="majorHAnsi" w:hAnsiTheme="majorHAnsi"/>
          <w:sz w:val="20"/>
          <w:szCs w:val="20"/>
        </w:rPr>
        <w:t>–</w:t>
      </w:r>
    </w:p>
    <w:p w14:paraId="67CB9D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LABORATORY</w:t>
      </w:r>
      <w:r w:rsidRPr="000977F7">
        <w:rPr>
          <w:rFonts w:asciiTheme="majorHAnsi" w:hAnsiTheme="majorHAnsi"/>
          <w:spacing w:val="-3"/>
          <w:sz w:val="20"/>
          <w:szCs w:val="20"/>
        </w:rPr>
        <w:t xml:space="preserve"> </w:t>
      </w:r>
      <w:r w:rsidRPr="000977F7">
        <w:rPr>
          <w:rFonts w:asciiTheme="majorHAnsi" w:hAnsiTheme="majorHAnsi"/>
          <w:sz w:val="20"/>
          <w:szCs w:val="20"/>
        </w:rPr>
        <w:t>RELIABILITY</w:t>
      </w:r>
      <w:r w:rsidRPr="000977F7">
        <w:rPr>
          <w:rFonts w:asciiTheme="majorHAnsi" w:hAnsiTheme="majorHAnsi"/>
          <w:spacing w:val="1"/>
          <w:sz w:val="20"/>
          <w:szCs w:val="20"/>
        </w:rPr>
        <w:t xml:space="preserve"> </w:t>
      </w:r>
      <w:r w:rsidRPr="000977F7">
        <w:rPr>
          <w:rFonts w:asciiTheme="majorHAnsi" w:hAnsiTheme="majorHAnsi"/>
          <w:sz w:val="20"/>
          <w:szCs w:val="20"/>
        </w:rPr>
        <w:t>–</w:t>
      </w:r>
    </w:p>
    <w:bookmarkEnd w:id="114"/>
    <w:p w14:paraId="095F8E9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2"/>
          <w:sz w:val="20"/>
          <w:szCs w:val="20"/>
        </w:rPr>
        <w:t>Контрольні</w:t>
      </w:r>
      <w:r w:rsidRPr="000977F7">
        <w:rPr>
          <w:rFonts w:asciiTheme="majorHAnsi" w:hAnsiTheme="majorHAnsi"/>
          <w:spacing w:val="-10"/>
          <w:sz w:val="20"/>
          <w:szCs w:val="20"/>
        </w:rPr>
        <w:t xml:space="preserve"> </w:t>
      </w:r>
      <w:r w:rsidRPr="000977F7">
        <w:rPr>
          <w:rFonts w:asciiTheme="majorHAnsi" w:hAnsiTheme="majorHAnsi"/>
          <w:spacing w:val="-2"/>
          <w:sz w:val="20"/>
          <w:szCs w:val="20"/>
        </w:rPr>
        <w:t>чи</w:t>
      </w:r>
      <w:r w:rsidRPr="000977F7">
        <w:rPr>
          <w:rFonts w:asciiTheme="majorHAnsi" w:hAnsiTheme="majorHAnsi"/>
          <w:spacing w:val="-10"/>
          <w:sz w:val="20"/>
          <w:szCs w:val="20"/>
        </w:rPr>
        <w:t xml:space="preserve"> </w:t>
      </w:r>
      <w:r w:rsidRPr="000977F7">
        <w:rPr>
          <w:rFonts w:asciiTheme="majorHAnsi" w:hAnsiTheme="majorHAnsi"/>
          <w:spacing w:val="-2"/>
          <w:sz w:val="20"/>
          <w:szCs w:val="20"/>
        </w:rPr>
        <w:t>визначальні</w:t>
      </w:r>
      <w:r w:rsidRPr="000977F7">
        <w:rPr>
          <w:rFonts w:asciiTheme="majorHAnsi" w:hAnsiTheme="majorHAnsi"/>
          <w:spacing w:val="-10"/>
          <w:sz w:val="20"/>
          <w:szCs w:val="20"/>
        </w:rPr>
        <w:t xml:space="preserve"> </w:t>
      </w:r>
      <w:r w:rsidRPr="000977F7">
        <w:rPr>
          <w:rFonts w:asciiTheme="majorHAnsi" w:hAnsiTheme="majorHAnsi"/>
          <w:spacing w:val="-1"/>
          <w:sz w:val="20"/>
          <w:szCs w:val="20"/>
        </w:rPr>
        <w:t>випробування</w:t>
      </w:r>
      <w:r w:rsidRPr="000977F7">
        <w:rPr>
          <w:rFonts w:asciiTheme="majorHAnsi" w:hAnsiTheme="majorHAnsi"/>
          <w:spacing w:val="-10"/>
          <w:sz w:val="20"/>
          <w:szCs w:val="20"/>
        </w:rPr>
        <w:t xml:space="preserve"> </w:t>
      </w:r>
      <w:r w:rsidRPr="000977F7">
        <w:rPr>
          <w:rFonts w:asciiTheme="majorHAnsi" w:hAnsiTheme="majorHAnsi"/>
          <w:spacing w:val="-1"/>
          <w:sz w:val="20"/>
          <w:szCs w:val="20"/>
        </w:rPr>
        <w:t>на</w:t>
      </w:r>
      <w:r w:rsidRPr="000977F7">
        <w:rPr>
          <w:rFonts w:asciiTheme="majorHAnsi" w:hAnsiTheme="majorHAnsi"/>
          <w:spacing w:val="-9"/>
          <w:sz w:val="20"/>
          <w:szCs w:val="20"/>
        </w:rPr>
        <w:t xml:space="preserve"> </w:t>
      </w:r>
      <w:r w:rsidRPr="000977F7">
        <w:rPr>
          <w:rFonts w:asciiTheme="majorHAnsi" w:hAnsiTheme="majorHAnsi"/>
          <w:spacing w:val="-1"/>
          <w:sz w:val="20"/>
          <w:szCs w:val="20"/>
        </w:rPr>
        <w:t>надійність,</w:t>
      </w:r>
      <w:r w:rsidRPr="000977F7">
        <w:rPr>
          <w:rFonts w:asciiTheme="majorHAnsi" w:hAnsiTheme="majorHAnsi"/>
          <w:spacing w:val="-48"/>
          <w:sz w:val="20"/>
          <w:szCs w:val="20"/>
        </w:rPr>
        <w:t xml:space="preserve"> </w:t>
      </w:r>
      <w:r w:rsidRPr="000977F7">
        <w:rPr>
          <w:rFonts w:asciiTheme="majorHAnsi" w:hAnsiTheme="majorHAnsi"/>
          <w:spacing w:val="-2"/>
          <w:sz w:val="20"/>
          <w:szCs w:val="20"/>
        </w:rPr>
        <w:t>що</w:t>
      </w:r>
      <w:r w:rsidRPr="000977F7">
        <w:rPr>
          <w:rFonts w:asciiTheme="majorHAnsi" w:hAnsiTheme="majorHAnsi"/>
          <w:spacing w:val="-7"/>
          <w:sz w:val="20"/>
          <w:szCs w:val="20"/>
        </w:rPr>
        <w:t xml:space="preserve"> </w:t>
      </w:r>
      <w:r w:rsidRPr="000977F7">
        <w:rPr>
          <w:rFonts w:asciiTheme="majorHAnsi" w:hAnsiTheme="majorHAnsi"/>
          <w:spacing w:val="-2"/>
          <w:sz w:val="20"/>
          <w:szCs w:val="20"/>
        </w:rPr>
        <w:t>проводяться</w:t>
      </w:r>
      <w:r w:rsidRPr="000977F7">
        <w:rPr>
          <w:rFonts w:asciiTheme="majorHAnsi" w:hAnsiTheme="majorHAnsi"/>
          <w:spacing w:val="-9"/>
          <w:sz w:val="20"/>
          <w:szCs w:val="20"/>
        </w:rPr>
        <w:t xml:space="preserve"> </w:t>
      </w:r>
      <w:r w:rsidRPr="000977F7">
        <w:rPr>
          <w:rFonts w:asciiTheme="majorHAnsi" w:hAnsiTheme="majorHAnsi"/>
          <w:spacing w:val="-1"/>
          <w:sz w:val="20"/>
          <w:szCs w:val="20"/>
        </w:rPr>
        <w:t>в</w:t>
      </w:r>
      <w:r w:rsidRPr="000977F7">
        <w:rPr>
          <w:rFonts w:asciiTheme="majorHAnsi" w:hAnsiTheme="majorHAnsi"/>
          <w:spacing w:val="-9"/>
          <w:sz w:val="20"/>
          <w:szCs w:val="20"/>
        </w:rPr>
        <w:t xml:space="preserve"> </w:t>
      </w:r>
      <w:r w:rsidRPr="000977F7">
        <w:rPr>
          <w:rFonts w:asciiTheme="majorHAnsi" w:hAnsiTheme="majorHAnsi"/>
          <w:spacing w:val="-1"/>
          <w:sz w:val="20"/>
          <w:szCs w:val="20"/>
        </w:rPr>
        <w:t>заданих</w:t>
      </w:r>
      <w:r w:rsidRPr="000977F7">
        <w:rPr>
          <w:rFonts w:asciiTheme="majorHAnsi" w:hAnsiTheme="majorHAnsi"/>
          <w:spacing w:val="-9"/>
          <w:sz w:val="20"/>
          <w:szCs w:val="20"/>
        </w:rPr>
        <w:t xml:space="preserve"> </w:t>
      </w:r>
      <w:r w:rsidRPr="000977F7">
        <w:rPr>
          <w:rFonts w:asciiTheme="majorHAnsi" w:hAnsiTheme="majorHAnsi"/>
          <w:spacing w:val="-1"/>
          <w:sz w:val="20"/>
          <w:szCs w:val="20"/>
        </w:rPr>
        <w:t>і</w:t>
      </w:r>
      <w:r w:rsidRPr="000977F7">
        <w:rPr>
          <w:rFonts w:asciiTheme="majorHAnsi" w:hAnsiTheme="majorHAnsi"/>
          <w:spacing w:val="-7"/>
          <w:sz w:val="20"/>
          <w:szCs w:val="20"/>
        </w:rPr>
        <w:t xml:space="preserve"> </w:t>
      </w:r>
      <w:r w:rsidRPr="000977F7">
        <w:rPr>
          <w:rFonts w:asciiTheme="majorHAnsi" w:hAnsiTheme="majorHAnsi"/>
          <w:spacing w:val="-1"/>
          <w:sz w:val="20"/>
          <w:szCs w:val="20"/>
        </w:rPr>
        <w:t>контрольованих</w:t>
      </w:r>
      <w:r w:rsidRPr="000977F7">
        <w:rPr>
          <w:rFonts w:asciiTheme="majorHAnsi" w:hAnsiTheme="majorHAnsi"/>
          <w:spacing w:val="-11"/>
          <w:sz w:val="20"/>
          <w:szCs w:val="20"/>
        </w:rPr>
        <w:t xml:space="preserve"> </w:t>
      </w:r>
      <w:r w:rsidRPr="000977F7">
        <w:rPr>
          <w:rFonts w:asciiTheme="majorHAnsi" w:hAnsiTheme="majorHAnsi"/>
          <w:spacing w:val="-1"/>
          <w:sz w:val="20"/>
          <w:szCs w:val="20"/>
        </w:rPr>
        <w:t>режимах</w:t>
      </w:r>
      <w:r w:rsidRPr="000977F7">
        <w:rPr>
          <w:rFonts w:asciiTheme="majorHAnsi" w:hAnsiTheme="majorHAnsi"/>
          <w:spacing w:val="-8"/>
          <w:sz w:val="20"/>
          <w:szCs w:val="20"/>
        </w:rPr>
        <w:t xml:space="preserve"> </w:t>
      </w:r>
      <w:r w:rsidRPr="000977F7">
        <w:rPr>
          <w:rFonts w:asciiTheme="majorHAnsi" w:hAnsiTheme="majorHAnsi"/>
          <w:spacing w:val="-1"/>
          <w:sz w:val="20"/>
          <w:szCs w:val="20"/>
        </w:rPr>
        <w:t>та</w:t>
      </w:r>
      <w:r w:rsidRPr="000977F7">
        <w:rPr>
          <w:rFonts w:asciiTheme="majorHAnsi" w:hAnsiTheme="majorHAnsi"/>
          <w:spacing w:val="-48"/>
          <w:sz w:val="20"/>
          <w:szCs w:val="20"/>
        </w:rPr>
        <w:t xml:space="preserve"> </w:t>
      </w:r>
      <w:r w:rsidRPr="000977F7">
        <w:rPr>
          <w:rFonts w:asciiTheme="majorHAnsi" w:hAnsiTheme="majorHAnsi"/>
          <w:sz w:val="20"/>
          <w:szCs w:val="20"/>
        </w:rPr>
        <w:t>умовах навколишнього середовища, які відповідають</w:t>
      </w:r>
      <w:r w:rsidRPr="000977F7">
        <w:rPr>
          <w:rFonts w:asciiTheme="majorHAnsi" w:hAnsiTheme="majorHAnsi"/>
          <w:spacing w:val="1"/>
          <w:sz w:val="20"/>
          <w:szCs w:val="20"/>
        </w:rPr>
        <w:t xml:space="preserve"> </w:t>
      </w:r>
      <w:r w:rsidRPr="000977F7">
        <w:rPr>
          <w:rFonts w:asciiTheme="majorHAnsi" w:hAnsiTheme="majorHAnsi"/>
          <w:sz w:val="20"/>
          <w:szCs w:val="20"/>
        </w:rPr>
        <w:t>умовам</w:t>
      </w:r>
      <w:r w:rsidRPr="000977F7">
        <w:rPr>
          <w:rFonts w:asciiTheme="majorHAnsi" w:hAnsiTheme="majorHAnsi"/>
          <w:spacing w:val="-2"/>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відрізняються</w:t>
      </w:r>
      <w:r w:rsidRPr="000977F7">
        <w:rPr>
          <w:rFonts w:asciiTheme="majorHAnsi" w:hAnsiTheme="majorHAnsi"/>
          <w:spacing w:val="-2"/>
          <w:sz w:val="20"/>
          <w:szCs w:val="20"/>
        </w:rPr>
        <w:t xml:space="preserve"> </w:t>
      </w:r>
      <w:r w:rsidRPr="000977F7">
        <w:rPr>
          <w:rFonts w:asciiTheme="majorHAnsi" w:hAnsiTheme="majorHAnsi"/>
          <w:sz w:val="20"/>
          <w:szCs w:val="20"/>
        </w:rPr>
        <w:t>від них</w:t>
      </w:r>
    </w:p>
    <w:p w14:paraId="31ECE52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81F136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bookmarkStart w:id="115" w:name="_Hlk102330809"/>
      <w:r w:rsidRPr="000977F7">
        <w:rPr>
          <w:rFonts w:asciiTheme="majorHAnsi" w:hAnsiTheme="majorHAnsi"/>
          <w:iCs/>
          <w:sz w:val="20"/>
          <w:szCs w:val="20"/>
        </w:rPr>
        <w:t>LABORATORY</w:t>
      </w:r>
      <w:r w:rsidRPr="000977F7">
        <w:rPr>
          <w:rFonts w:asciiTheme="majorHAnsi" w:hAnsiTheme="majorHAnsi"/>
          <w:iCs/>
          <w:spacing w:val="-3"/>
          <w:sz w:val="20"/>
          <w:szCs w:val="20"/>
        </w:rPr>
        <w:t xml:space="preserve"> </w:t>
      </w:r>
      <w:r w:rsidRPr="000977F7">
        <w:rPr>
          <w:rFonts w:asciiTheme="majorHAnsi" w:hAnsiTheme="majorHAnsi"/>
          <w:iCs/>
          <w:sz w:val="20"/>
          <w:szCs w:val="20"/>
        </w:rPr>
        <w:t>DEPENDABILITY</w:t>
      </w:r>
      <w:r w:rsidRPr="000977F7">
        <w:rPr>
          <w:rFonts w:asciiTheme="majorHAnsi" w:hAnsiTheme="majorHAnsi"/>
          <w:iCs/>
          <w:spacing w:val="-4"/>
          <w:sz w:val="20"/>
          <w:szCs w:val="20"/>
        </w:rPr>
        <w:t xml:space="preserve"> </w:t>
      </w:r>
      <w:r w:rsidRPr="000977F7">
        <w:rPr>
          <w:rFonts w:asciiTheme="majorHAnsi" w:hAnsiTheme="majorHAnsi"/>
          <w:iCs/>
          <w:sz w:val="20"/>
          <w:szCs w:val="20"/>
        </w:rPr>
        <w:t>TEST</w:t>
      </w:r>
      <w:r w:rsidRPr="000977F7">
        <w:rPr>
          <w:rFonts w:asciiTheme="majorHAnsi" w:hAnsiTheme="majorHAnsi"/>
          <w:i/>
          <w:spacing w:val="1"/>
          <w:sz w:val="20"/>
          <w:szCs w:val="20"/>
        </w:rPr>
        <w:t xml:space="preserve"> </w:t>
      </w:r>
      <w:r w:rsidRPr="000977F7">
        <w:rPr>
          <w:rFonts w:asciiTheme="majorHAnsi" w:hAnsiTheme="majorHAnsi"/>
          <w:i/>
          <w:sz w:val="20"/>
          <w:szCs w:val="20"/>
        </w:rPr>
        <w:t>–</w:t>
      </w:r>
    </w:p>
    <w:bookmarkEnd w:id="115"/>
    <w:p w14:paraId="0B375BC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об’єкта на</w:t>
      </w:r>
      <w:r w:rsidRPr="000977F7">
        <w:rPr>
          <w:rFonts w:asciiTheme="majorHAnsi" w:hAnsiTheme="majorHAnsi"/>
          <w:spacing w:val="50"/>
          <w:sz w:val="20"/>
          <w:szCs w:val="20"/>
        </w:rPr>
        <w:t xml:space="preserve"> </w:t>
      </w:r>
      <w:r w:rsidRPr="000977F7">
        <w:rPr>
          <w:rFonts w:asciiTheme="majorHAnsi" w:hAnsiTheme="majorHAnsi"/>
          <w:sz w:val="20"/>
          <w:szCs w:val="20"/>
        </w:rPr>
        <w:t>надійності, що проводяться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лабораторних</w:t>
      </w:r>
      <w:r w:rsidRPr="000977F7">
        <w:rPr>
          <w:rFonts w:asciiTheme="majorHAnsi" w:hAnsiTheme="majorHAnsi"/>
          <w:spacing w:val="1"/>
          <w:sz w:val="20"/>
          <w:szCs w:val="20"/>
        </w:rPr>
        <w:t xml:space="preserve"> </w:t>
      </w:r>
      <w:r w:rsidRPr="000977F7">
        <w:rPr>
          <w:rFonts w:asciiTheme="majorHAnsi" w:hAnsiTheme="majorHAnsi"/>
          <w:sz w:val="20"/>
          <w:szCs w:val="20"/>
        </w:rPr>
        <w:t>умовах</w:t>
      </w:r>
    </w:p>
    <w:p w14:paraId="65C8146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7C418C6"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ЛАБОРАТОРНІ</w:t>
      </w:r>
      <w:r w:rsidRPr="000977F7">
        <w:rPr>
          <w:color w:val="auto"/>
          <w:spacing w:val="-6"/>
          <w:sz w:val="20"/>
          <w:szCs w:val="20"/>
        </w:rPr>
        <w:t xml:space="preserve"> </w:t>
      </w:r>
      <w:r w:rsidRPr="000977F7">
        <w:rPr>
          <w:color w:val="auto"/>
          <w:sz w:val="20"/>
          <w:szCs w:val="20"/>
        </w:rPr>
        <w:t>КОРОЗІЙНІ</w:t>
      </w:r>
      <w:r w:rsidRPr="000977F7">
        <w:rPr>
          <w:color w:val="auto"/>
          <w:spacing w:val="-5"/>
          <w:sz w:val="20"/>
          <w:szCs w:val="20"/>
        </w:rPr>
        <w:t xml:space="preserve"> </w:t>
      </w:r>
      <w:r w:rsidRPr="000977F7">
        <w:rPr>
          <w:color w:val="auto"/>
          <w:sz w:val="20"/>
          <w:szCs w:val="20"/>
        </w:rPr>
        <w:t>ВИПРОБУВАННЯ</w:t>
      </w:r>
      <w:r w:rsidRPr="000977F7">
        <w:rPr>
          <w:color w:val="auto"/>
          <w:spacing w:val="-4"/>
          <w:sz w:val="20"/>
          <w:szCs w:val="20"/>
        </w:rPr>
        <w:t xml:space="preserve"> </w:t>
      </w:r>
      <w:r w:rsidRPr="000977F7">
        <w:rPr>
          <w:b w:val="0"/>
          <w:color w:val="auto"/>
          <w:sz w:val="20"/>
          <w:szCs w:val="20"/>
        </w:rPr>
        <w:t>–</w:t>
      </w:r>
    </w:p>
    <w:p w14:paraId="48F73DD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Корозійні</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проводяться</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штучно</w:t>
      </w:r>
      <w:r w:rsidRPr="000977F7">
        <w:rPr>
          <w:rFonts w:asciiTheme="majorHAnsi" w:hAnsiTheme="majorHAnsi"/>
          <w:spacing w:val="-47"/>
          <w:sz w:val="20"/>
          <w:szCs w:val="20"/>
        </w:rPr>
        <w:t xml:space="preserve"> </w:t>
      </w:r>
      <w:r w:rsidRPr="000977F7">
        <w:rPr>
          <w:rFonts w:asciiTheme="majorHAnsi" w:hAnsiTheme="majorHAnsi"/>
          <w:sz w:val="20"/>
          <w:szCs w:val="20"/>
        </w:rPr>
        <w:t>створюваних умовах</w:t>
      </w:r>
    </w:p>
    <w:p w14:paraId="500C601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3830 - 98</w:t>
      </w:r>
    </w:p>
    <w:p w14:paraId="05CFE77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ЛАНКА</w:t>
      </w:r>
      <w:r w:rsidRPr="000977F7">
        <w:rPr>
          <w:color w:val="auto"/>
          <w:spacing w:val="-4"/>
          <w:sz w:val="20"/>
          <w:szCs w:val="20"/>
        </w:rPr>
        <w:t xml:space="preserve"> </w:t>
      </w:r>
      <w:r w:rsidRPr="000977F7">
        <w:rPr>
          <w:color w:val="auto"/>
          <w:sz w:val="20"/>
          <w:szCs w:val="20"/>
        </w:rPr>
        <w:t>КЕРУВАННЯ</w:t>
      </w:r>
      <w:r w:rsidRPr="000977F7">
        <w:rPr>
          <w:color w:val="auto"/>
          <w:spacing w:val="-2"/>
          <w:sz w:val="20"/>
          <w:szCs w:val="20"/>
        </w:rPr>
        <w:t xml:space="preserve"> </w:t>
      </w:r>
      <w:r w:rsidRPr="000977F7">
        <w:rPr>
          <w:color w:val="auto"/>
          <w:sz w:val="20"/>
          <w:szCs w:val="20"/>
        </w:rPr>
        <w:t>–</w:t>
      </w:r>
    </w:p>
    <w:p w14:paraId="13EEA8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Самостійний</w:t>
      </w:r>
      <w:r w:rsidRPr="000977F7">
        <w:rPr>
          <w:rFonts w:asciiTheme="majorHAnsi" w:hAnsiTheme="majorHAnsi"/>
          <w:spacing w:val="20"/>
          <w:sz w:val="20"/>
          <w:szCs w:val="20"/>
        </w:rPr>
        <w:t xml:space="preserve"> </w:t>
      </w:r>
      <w:r w:rsidRPr="000977F7">
        <w:rPr>
          <w:rFonts w:asciiTheme="majorHAnsi" w:hAnsiTheme="majorHAnsi"/>
          <w:sz w:val="20"/>
          <w:szCs w:val="20"/>
        </w:rPr>
        <w:t>структурний</w:t>
      </w:r>
      <w:r w:rsidRPr="000977F7">
        <w:rPr>
          <w:rFonts w:asciiTheme="majorHAnsi" w:hAnsiTheme="majorHAnsi"/>
          <w:spacing w:val="21"/>
          <w:sz w:val="20"/>
          <w:szCs w:val="20"/>
        </w:rPr>
        <w:t xml:space="preserve"> </w:t>
      </w:r>
      <w:r w:rsidRPr="000977F7">
        <w:rPr>
          <w:rFonts w:asciiTheme="majorHAnsi" w:hAnsiTheme="majorHAnsi"/>
          <w:sz w:val="20"/>
          <w:szCs w:val="20"/>
        </w:rPr>
        <w:t>орган</w:t>
      </w:r>
      <w:r w:rsidRPr="000977F7">
        <w:rPr>
          <w:rFonts w:asciiTheme="majorHAnsi" w:hAnsiTheme="majorHAnsi"/>
          <w:spacing w:val="21"/>
          <w:sz w:val="20"/>
          <w:szCs w:val="20"/>
        </w:rPr>
        <w:t xml:space="preserve"> </w:t>
      </w:r>
      <w:r w:rsidRPr="000977F7">
        <w:rPr>
          <w:rFonts w:asciiTheme="majorHAnsi" w:hAnsiTheme="majorHAnsi"/>
          <w:sz w:val="20"/>
          <w:szCs w:val="20"/>
        </w:rPr>
        <w:t>керування,</w:t>
      </w:r>
      <w:r w:rsidRPr="000977F7">
        <w:rPr>
          <w:rFonts w:asciiTheme="majorHAnsi" w:hAnsiTheme="majorHAnsi"/>
          <w:spacing w:val="21"/>
          <w:sz w:val="20"/>
          <w:szCs w:val="20"/>
        </w:rPr>
        <w:t xml:space="preserve"> </w:t>
      </w:r>
      <w:r w:rsidRPr="000977F7">
        <w:rPr>
          <w:rFonts w:asciiTheme="majorHAnsi" w:hAnsiTheme="majorHAnsi"/>
          <w:sz w:val="20"/>
          <w:szCs w:val="20"/>
        </w:rPr>
        <w:t>що</w:t>
      </w:r>
      <w:r w:rsidRPr="000977F7">
        <w:rPr>
          <w:rFonts w:asciiTheme="majorHAnsi" w:hAnsiTheme="majorHAnsi"/>
          <w:spacing w:val="23"/>
          <w:sz w:val="20"/>
          <w:szCs w:val="20"/>
        </w:rPr>
        <w:t xml:space="preserve"> </w:t>
      </w:r>
      <w:r w:rsidRPr="000977F7">
        <w:rPr>
          <w:rFonts w:asciiTheme="majorHAnsi" w:hAnsiTheme="majorHAnsi"/>
          <w:sz w:val="20"/>
          <w:szCs w:val="20"/>
        </w:rPr>
        <w:t>виконує окремі функції чи сукупність декількох функцій</w:t>
      </w:r>
    </w:p>
    <w:p w14:paraId="45C8D6E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2960 – 94</w:t>
      </w:r>
    </w:p>
    <w:p w14:paraId="44E9134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ЛАНЦЮГ</w:t>
      </w:r>
      <w:r w:rsidRPr="000977F7">
        <w:rPr>
          <w:color w:val="auto"/>
          <w:spacing w:val="-4"/>
          <w:sz w:val="20"/>
          <w:szCs w:val="20"/>
        </w:rPr>
        <w:t xml:space="preserve"> </w:t>
      </w:r>
      <w:r w:rsidRPr="000977F7">
        <w:rPr>
          <w:color w:val="auto"/>
          <w:sz w:val="20"/>
          <w:szCs w:val="20"/>
        </w:rPr>
        <w:t>ПОСТАЧАННЯ ПРОДУКЦІЇ</w:t>
      </w:r>
      <w:r w:rsidRPr="000977F7">
        <w:rPr>
          <w:color w:val="auto"/>
          <w:spacing w:val="-3"/>
          <w:sz w:val="20"/>
          <w:szCs w:val="20"/>
        </w:rPr>
        <w:t xml:space="preserve"> </w:t>
      </w:r>
      <w:r w:rsidRPr="000977F7">
        <w:rPr>
          <w:color w:val="auto"/>
          <w:sz w:val="20"/>
          <w:szCs w:val="20"/>
        </w:rPr>
        <w:t>–</w:t>
      </w:r>
    </w:p>
    <w:p w14:paraId="3C95E0A4"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Послідовність суб'єктів господарювання, які забезпечують постачання продукції від виробника до споживача (користувача)</w:t>
      </w:r>
    </w:p>
    <w:p w14:paraId="5CD7B67D"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iCs/>
          <w:sz w:val="20"/>
          <w:szCs w:val="20"/>
        </w:rPr>
        <w:t>Закон України "Про загальну безпечність нехарчової продукції"</w:t>
      </w:r>
    </w:p>
    <w:p w14:paraId="5A80BB1E"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ЛАПІНГУВАННЯ-</w:t>
      </w:r>
    </w:p>
    <w:p w14:paraId="1797425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Доводка</w:t>
      </w:r>
      <w:r w:rsidRPr="000977F7">
        <w:rPr>
          <w:rFonts w:asciiTheme="majorHAnsi" w:hAnsiTheme="majorHAnsi"/>
          <w:spacing w:val="20"/>
          <w:sz w:val="20"/>
          <w:szCs w:val="20"/>
        </w:rPr>
        <w:t xml:space="preserve"> </w:t>
      </w:r>
      <w:r w:rsidRPr="000977F7">
        <w:rPr>
          <w:rFonts w:asciiTheme="majorHAnsi" w:hAnsiTheme="majorHAnsi"/>
          <w:sz w:val="20"/>
          <w:szCs w:val="20"/>
        </w:rPr>
        <w:t>машинним</w:t>
      </w:r>
      <w:r w:rsidRPr="000977F7">
        <w:rPr>
          <w:rFonts w:asciiTheme="majorHAnsi" w:hAnsiTheme="majorHAnsi"/>
          <w:spacing w:val="22"/>
          <w:sz w:val="20"/>
          <w:szCs w:val="20"/>
        </w:rPr>
        <w:t xml:space="preserve"> </w:t>
      </w:r>
      <w:r w:rsidRPr="000977F7">
        <w:rPr>
          <w:rFonts w:asciiTheme="majorHAnsi" w:hAnsiTheme="majorHAnsi"/>
          <w:sz w:val="20"/>
          <w:szCs w:val="20"/>
        </w:rPr>
        <w:t>способом</w:t>
      </w:r>
      <w:r w:rsidRPr="000977F7">
        <w:rPr>
          <w:rFonts w:asciiTheme="majorHAnsi" w:hAnsiTheme="majorHAnsi"/>
          <w:spacing w:val="22"/>
          <w:sz w:val="20"/>
          <w:szCs w:val="20"/>
        </w:rPr>
        <w:t xml:space="preserve"> </w:t>
      </w:r>
      <w:r w:rsidRPr="000977F7">
        <w:rPr>
          <w:rFonts w:asciiTheme="majorHAnsi" w:hAnsiTheme="majorHAnsi"/>
          <w:sz w:val="20"/>
          <w:szCs w:val="20"/>
        </w:rPr>
        <w:t>робочих</w:t>
      </w:r>
      <w:r w:rsidRPr="000977F7">
        <w:rPr>
          <w:rFonts w:asciiTheme="majorHAnsi" w:hAnsiTheme="majorHAnsi"/>
          <w:spacing w:val="19"/>
          <w:sz w:val="20"/>
          <w:szCs w:val="20"/>
        </w:rPr>
        <w:t xml:space="preserve"> </w:t>
      </w:r>
      <w:r w:rsidRPr="000977F7">
        <w:rPr>
          <w:rFonts w:asciiTheme="majorHAnsi" w:hAnsiTheme="majorHAnsi"/>
          <w:sz w:val="20"/>
          <w:szCs w:val="20"/>
        </w:rPr>
        <w:t>поверхонь</w:t>
      </w:r>
      <w:r w:rsidRPr="000977F7">
        <w:rPr>
          <w:rFonts w:asciiTheme="majorHAnsi" w:hAnsiTheme="majorHAnsi"/>
          <w:spacing w:val="21"/>
          <w:sz w:val="20"/>
          <w:szCs w:val="20"/>
        </w:rPr>
        <w:t xml:space="preserve"> </w:t>
      </w:r>
      <w:r w:rsidRPr="000977F7">
        <w:rPr>
          <w:rFonts w:asciiTheme="majorHAnsi" w:hAnsiTheme="majorHAnsi"/>
          <w:sz w:val="20"/>
          <w:szCs w:val="20"/>
        </w:rPr>
        <w:t>деталей</w:t>
      </w:r>
      <w:r w:rsidRPr="000977F7">
        <w:rPr>
          <w:rFonts w:asciiTheme="majorHAnsi" w:hAnsiTheme="majorHAnsi"/>
          <w:spacing w:val="19"/>
          <w:sz w:val="20"/>
          <w:szCs w:val="20"/>
        </w:rPr>
        <w:t xml:space="preserve"> </w:t>
      </w:r>
      <w:r w:rsidRPr="000977F7">
        <w:rPr>
          <w:rFonts w:asciiTheme="majorHAnsi" w:hAnsiTheme="majorHAnsi"/>
          <w:sz w:val="20"/>
          <w:szCs w:val="20"/>
        </w:rPr>
        <w:t>та</w:t>
      </w:r>
      <w:r w:rsidRPr="000977F7">
        <w:rPr>
          <w:rFonts w:asciiTheme="majorHAnsi" w:hAnsiTheme="majorHAnsi"/>
          <w:spacing w:val="21"/>
          <w:sz w:val="20"/>
          <w:szCs w:val="20"/>
        </w:rPr>
        <w:t xml:space="preserve"> </w:t>
      </w:r>
      <w:r w:rsidRPr="000977F7">
        <w:rPr>
          <w:rFonts w:asciiTheme="majorHAnsi" w:hAnsiTheme="majorHAnsi"/>
          <w:sz w:val="20"/>
          <w:szCs w:val="20"/>
        </w:rPr>
        <w:t>інструментів</w:t>
      </w:r>
      <w:r w:rsidRPr="000977F7">
        <w:rPr>
          <w:rFonts w:asciiTheme="majorHAnsi" w:hAnsiTheme="majorHAnsi"/>
          <w:spacing w:val="20"/>
          <w:sz w:val="20"/>
          <w:szCs w:val="20"/>
        </w:rPr>
        <w:t xml:space="preserve"> </w:t>
      </w:r>
      <w:r w:rsidRPr="000977F7">
        <w:rPr>
          <w:rFonts w:asciiTheme="majorHAnsi" w:hAnsiTheme="majorHAnsi"/>
          <w:sz w:val="20"/>
          <w:szCs w:val="20"/>
        </w:rPr>
        <w:t>до</w:t>
      </w:r>
      <w:r w:rsidRPr="000977F7">
        <w:rPr>
          <w:rFonts w:asciiTheme="majorHAnsi" w:hAnsiTheme="majorHAnsi"/>
          <w:spacing w:val="21"/>
          <w:sz w:val="20"/>
          <w:szCs w:val="20"/>
        </w:rPr>
        <w:t xml:space="preserve"> </w:t>
      </w:r>
      <w:r w:rsidRPr="000977F7">
        <w:rPr>
          <w:rFonts w:asciiTheme="majorHAnsi" w:hAnsiTheme="majorHAnsi"/>
          <w:sz w:val="20"/>
          <w:szCs w:val="20"/>
        </w:rPr>
        <w:t>потрібних</w:t>
      </w:r>
      <w:r w:rsidRPr="000977F7">
        <w:rPr>
          <w:rFonts w:asciiTheme="majorHAnsi" w:hAnsiTheme="majorHAnsi"/>
          <w:spacing w:val="19"/>
          <w:sz w:val="20"/>
          <w:szCs w:val="20"/>
        </w:rPr>
        <w:t xml:space="preserve"> </w:t>
      </w:r>
      <w:r w:rsidRPr="000977F7">
        <w:rPr>
          <w:rFonts w:asciiTheme="majorHAnsi" w:hAnsiTheme="majorHAnsi"/>
          <w:sz w:val="20"/>
          <w:szCs w:val="20"/>
        </w:rPr>
        <w:t>розмірів</w:t>
      </w:r>
      <w:r w:rsidRPr="000977F7">
        <w:rPr>
          <w:rFonts w:asciiTheme="majorHAnsi" w:hAnsiTheme="majorHAnsi"/>
          <w:spacing w:val="20"/>
          <w:sz w:val="20"/>
          <w:szCs w:val="20"/>
        </w:rPr>
        <w:t xml:space="preserve"> </w:t>
      </w:r>
      <w:r w:rsidRPr="000977F7">
        <w:rPr>
          <w:rFonts w:asciiTheme="majorHAnsi" w:hAnsiTheme="majorHAnsi"/>
          <w:sz w:val="20"/>
          <w:szCs w:val="20"/>
        </w:rPr>
        <w:t>і</w:t>
      </w:r>
      <w:r w:rsidRPr="000977F7">
        <w:rPr>
          <w:rFonts w:asciiTheme="majorHAnsi" w:hAnsiTheme="majorHAnsi"/>
          <w:spacing w:val="20"/>
          <w:sz w:val="20"/>
          <w:szCs w:val="20"/>
        </w:rPr>
        <w:t xml:space="preserve"> </w:t>
      </w:r>
      <w:r w:rsidRPr="000977F7">
        <w:rPr>
          <w:rFonts w:asciiTheme="majorHAnsi" w:hAnsiTheme="majorHAnsi"/>
          <w:sz w:val="20"/>
          <w:szCs w:val="20"/>
        </w:rPr>
        <w:t>шорсткості за допомогою притирів та абразивної пасти</w:t>
      </w:r>
    </w:p>
    <w:p w14:paraId="20D8F8A5"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ЛАТИНСЬКИЙ КВАДРАТ</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3EC7A1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План дисперсійного аналізу, що заданий розташуванням деякого числа символів, згрупованих у рядки та</w:t>
      </w:r>
      <w:r w:rsidRPr="000977F7">
        <w:rPr>
          <w:rFonts w:asciiTheme="majorHAnsi" w:hAnsiTheme="majorHAnsi"/>
          <w:spacing w:val="1"/>
          <w:sz w:val="20"/>
          <w:szCs w:val="20"/>
        </w:rPr>
        <w:t xml:space="preserve"> </w:t>
      </w:r>
      <w:r w:rsidRPr="000977F7">
        <w:rPr>
          <w:rFonts w:asciiTheme="majorHAnsi" w:hAnsiTheme="majorHAnsi"/>
          <w:sz w:val="20"/>
          <w:szCs w:val="20"/>
        </w:rPr>
        <w:t>колонки таким чином, що</w:t>
      </w:r>
      <w:r w:rsidRPr="000977F7">
        <w:rPr>
          <w:rFonts w:asciiTheme="majorHAnsi" w:hAnsiTheme="majorHAnsi"/>
          <w:spacing w:val="1"/>
          <w:sz w:val="20"/>
          <w:szCs w:val="20"/>
        </w:rPr>
        <w:t xml:space="preserve"> </w:t>
      </w:r>
      <w:r w:rsidRPr="000977F7">
        <w:rPr>
          <w:rFonts w:asciiTheme="majorHAnsi" w:hAnsiTheme="majorHAnsi"/>
          <w:sz w:val="20"/>
          <w:szCs w:val="20"/>
        </w:rPr>
        <w:t>кожний символ зустрічається</w:t>
      </w:r>
      <w:r w:rsidRPr="000977F7">
        <w:rPr>
          <w:rFonts w:asciiTheme="majorHAnsi" w:hAnsiTheme="majorHAnsi"/>
          <w:spacing w:val="-2"/>
          <w:sz w:val="20"/>
          <w:szCs w:val="20"/>
        </w:rPr>
        <w:t xml:space="preserve"> </w:t>
      </w:r>
      <w:r w:rsidRPr="000977F7">
        <w:rPr>
          <w:rFonts w:asciiTheme="majorHAnsi" w:hAnsiTheme="majorHAnsi"/>
          <w:sz w:val="20"/>
          <w:szCs w:val="20"/>
        </w:rPr>
        <w:t>один</w:t>
      </w:r>
      <w:r w:rsidRPr="000977F7">
        <w:rPr>
          <w:rFonts w:asciiTheme="majorHAnsi" w:hAnsiTheme="majorHAnsi"/>
          <w:spacing w:val="-2"/>
          <w:sz w:val="20"/>
          <w:szCs w:val="20"/>
        </w:rPr>
        <w:t xml:space="preserve"> </w:t>
      </w:r>
      <w:r w:rsidRPr="000977F7">
        <w:rPr>
          <w:rFonts w:asciiTheme="majorHAnsi" w:hAnsiTheme="majorHAnsi"/>
          <w:sz w:val="20"/>
          <w:szCs w:val="20"/>
        </w:rPr>
        <w:t>раз</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кожному</w:t>
      </w:r>
      <w:r w:rsidRPr="000977F7">
        <w:rPr>
          <w:rFonts w:asciiTheme="majorHAnsi" w:hAnsiTheme="majorHAnsi"/>
          <w:spacing w:val="-5"/>
          <w:sz w:val="20"/>
          <w:szCs w:val="20"/>
        </w:rPr>
        <w:t xml:space="preserve"> </w:t>
      </w:r>
      <w:r w:rsidRPr="000977F7">
        <w:rPr>
          <w:rFonts w:asciiTheme="majorHAnsi" w:hAnsiTheme="majorHAnsi"/>
          <w:sz w:val="20"/>
          <w:szCs w:val="20"/>
        </w:rPr>
        <w:t>рядку</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кожній</w:t>
      </w:r>
      <w:r w:rsidRPr="000977F7">
        <w:rPr>
          <w:rFonts w:asciiTheme="majorHAnsi" w:hAnsiTheme="majorHAnsi"/>
          <w:spacing w:val="-2"/>
          <w:sz w:val="20"/>
          <w:szCs w:val="20"/>
        </w:rPr>
        <w:t xml:space="preserve"> </w:t>
      </w:r>
      <w:r w:rsidRPr="000977F7">
        <w:rPr>
          <w:rFonts w:asciiTheme="majorHAnsi" w:hAnsiTheme="majorHAnsi"/>
          <w:sz w:val="20"/>
          <w:szCs w:val="20"/>
        </w:rPr>
        <w:t>колонці</w:t>
      </w:r>
    </w:p>
    <w:p w14:paraId="0B7DBBB2" w14:textId="77777777" w:rsidR="0097612F" w:rsidRPr="000977F7" w:rsidRDefault="0097612F" w:rsidP="000977F7">
      <w:pPr>
        <w:pStyle w:val="7"/>
        <w:tabs>
          <w:tab w:val="left" w:pos="284"/>
        </w:tabs>
        <w:spacing w:before="0" w:line="240" w:lineRule="auto"/>
        <w:ind w:left="170"/>
        <w:mirrorIndents/>
        <w:jc w:val="both"/>
        <w:rPr>
          <w:b w:val="0"/>
          <w:i/>
          <w:color w:val="auto"/>
          <w:sz w:val="20"/>
          <w:szCs w:val="20"/>
        </w:rPr>
      </w:pPr>
      <w:r w:rsidRPr="000977F7">
        <w:rPr>
          <w:color w:val="auto"/>
          <w:sz w:val="20"/>
          <w:szCs w:val="20"/>
        </w:rPr>
        <w:t>ЛАТИНСЬКИЙ</w:t>
      </w:r>
      <w:r w:rsidRPr="000977F7">
        <w:rPr>
          <w:color w:val="auto"/>
          <w:spacing w:val="-5"/>
          <w:sz w:val="20"/>
          <w:szCs w:val="20"/>
        </w:rPr>
        <w:t xml:space="preserve"> </w:t>
      </w:r>
      <w:r w:rsidRPr="000977F7">
        <w:rPr>
          <w:color w:val="auto"/>
          <w:sz w:val="20"/>
          <w:szCs w:val="20"/>
        </w:rPr>
        <w:t>КЛУБ</w:t>
      </w:r>
      <w:r w:rsidRPr="000977F7">
        <w:rPr>
          <w:color w:val="auto"/>
          <w:spacing w:val="-4"/>
          <w:sz w:val="20"/>
          <w:szCs w:val="20"/>
        </w:rPr>
        <w:t xml:space="preserve"> </w:t>
      </w:r>
      <w:r w:rsidRPr="000977F7">
        <w:rPr>
          <w:color w:val="auto"/>
          <w:sz w:val="20"/>
          <w:szCs w:val="20"/>
        </w:rPr>
        <w:t>ПЕРШОГО</w:t>
      </w:r>
      <w:r w:rsidRPr="000977F7">
        <w:rPr>
          <w:color w:val="auto"/>
          <w:spacing w:val="-4"/>
          <w:sz w:val="20"/>
          <w:szCs w:val="20"/>
        </w:rPr>
        <w:t xml:space="preserve"> </w:t>
      </w:r>
      <w:r w:rsidRPr="000977F7">
        <w:rPr>
          <w:color w:val="auto"/>
          <w:sz w:val="20"/>
          <w:szCs w:val="20"/>
        </w:rPr>
        <w:t>ПОРЯДКУ</w:t>
      </w:r>
      <w:r w:rsidRPr="000977F7">
        <w:rPr>
          <w:color w:val="auto"/>
          <w:spacing w:val="-2"/>
          <w:sz w:val="20"/>
          <w:szCs w:val="20"/>
        </w:rPr>
        <w:t xml:space="preserve"> </w:t>
      </w:r>
      <w:r w:rsidRPr="000977F7">
        <w:rPr>
          <w:b w:val="0"/>
          <w:i/>
          <w:color w:val="auto"/>
          <w:sz w:val="20"/>
          <w:szCs w:val="20"/>
        </w:rPr>
        <w:t>–</w:t>
      </w:r>
    </w:p>
    <w:p w14:paraId="719658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План дисперсійного аналізу, що заданий розташуванням деякого числа символів в квадратах із рядків та</w:t>
      </w:r>
      <w:r w:rsidRPr="000977F7">
        <w:rPr>
          <w:rFonts w:asciiTheme="majorHAnsi" w:hAnsiTheme="majorHAnsi"/>
          <w:spacing w:val="1"/>
          <w:sz w:val="20"/>
          <w:szCs w:val="20"/>
        </w:rPr>
        <w:t xml:space="preserve"> </w:t>
      </w:r>
      <w:r w:rsidRPr="000977F7">
        <w:rPr>
          <w:rFonts w:asciiTheme="majorHAnsi" w:hAnsiTheme="majorHAnsi"/>
          <w:sz w:val="20"/>
          <w:szCs w:val="20"/>
        </w:rPr>
        <w:t>колонок таким чином, що кожний символ зустрічається</w:t>
      </w:r>
      <w:r w:rsidRPr="000977F7">
        <w:rPr>
          <w:rFonts w:asciiTheme="majorHAnsi" w:hAnsiTheme="majorHAnsi"/>
          <w:spacing w:val="-2"/>
          <w:sz w:val="20"/>
          <w:szCs w:val="20"/>
        </w:rPr>
        <w:t xml:space="preserve"> </w:t>
      </w:r>
      <w:r w:rsidRPr="000977F7">
        <w:rPr>
          <w:rFonts w:asciiTheme="majorHAnsi" w:hAnsiTheme="majorHAnsi"/>
          <w:sz w:val="20"/>
          <w:szCs w:val="20"/>
        </w:rPr>
        <w:t>однакове</w:t>
      </w:r>
      <w:r w:rsidRPr="000977F7">
        <w:rPr>
          <w:rFonts w:asciiTheme="majorHAnsi" w:hAnsiTheme="majorHAnsi"/>
          <w:spacing w:val="-1"/>
          <w:sz w:val="20"/>
          <w:szCs w:val="20"/>
        </w:rPr>
        <w:t xml:space="preserve"> </w:t>
      </w:r>
      <w:r w:rsidRPr="000977F7">
        <w:rPr>
          <w:rFonts w:asciiTheme="majorHAnsi" w:hAnsiTheme="majorHAnsi"/>
          <w:sz w:val="20"/>
          <w:szCs w:val="20"/>
        </w:rPr>
        <w:t>число разів</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кожному</w:t>
      </w:r>
      <w:r w:rsidRPr="000977F7">
        <w:rPr>
          <w:rFonts w:asciiTheme="majorHAnsi" w:hAnsiTheme="majorHAnsi"/>
          <w:spacing w:val="-2"/>
          <w:sz w:val="20"/>
          <w:szCs w:val="20"/>
        </w:rPr>
        <w:t xml:space="preserve"> </w:t>
      </w:r>
      <w:r w:rsidRPr="000977F7">
        <w:rPr>
          <w:rFonts w:asciiTheme="majorHAnsi" w:hAnsiTheme="majorHAnsi"/>
          <w:sz w:val="20"/>
          <w:szCs w:val="20"/>
        </w:rPr>
        <w:t>квадраті</w:t>
      </w:r>
    </w:p>
    <w:p w14:paraId="2FCB59B7"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ЛИТТЯ –</w:t>
      </w:r>
    </w:p>
    <w:p w14:paraId="273D8EB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CASTING –</w:t>
      </w:r>
    </w:p>
    <w:p w14:paraId="7F99802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Виготовлення заготовки чи виробу з рідкого матеріалу шляхом заповнення ним порожнини заданої форми та розмірів з подальшим затвердінням</w:t>
      </w:r>
    </w:p>
    <w:p w14:paraId="3ED78CA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2391:2010</w:t>
      </w:r>
    </w:p>
    <w:p w14:paraId="6E3AB23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ЛЕТЮЧИЙ КОНТРОЛЬ </w:t>
      </w:r>
      <w:r w:rsidRPr="000977F7">
        <w:rPr>
          <w:rFonts w:asciiTheme="majorHAnsi" w:hAnsiTheme="majorHAnsi"/>
          <w:spacing w:val="-47"/>
          <w:sz w:val="20"/>
          <w:szCs w:val="20"/>
        </w:rPr>
        <w:t xml:space="preserve"> </w:t>
      </w:r>
      <w:r w:rsidRPr="000977F7">
        <w:rPr>
          <w:rFonts w:asciiTheme="majorHAnsi" w:hAnsiTheme="majorHAnsi"/>
          <w:sz w:val="20"/>
          <w:szCs w:val="20"/>
        </w:rPr>
        <w:t>CASUAL</w:t>
      </w:r>
      <w:r w:rsidRPr="000977F7">
        <w:rPr>
          <w:rFonts w:asciiTheme="majorHAnsi" w:hAnsiTheme="majorHAnsi"/>
          <w:spacing w:val="-3"/>
          <w:sz w:val="20"/>
          <w:szCs w:val="20"/>
        </w:rPr>
        <w:t xml:space="preserve"> </w:t>
      </w:r>
      <w:r w:rsidRPr="000977F7">
        <w:rPr>
          <w:rFonts w:asciiTheme="majorHAnsi" w:hAnsiTheme="majorHAnsi"/>
          <w:sz w:val="20"/>
          <w:szCs w:val="20"/>
        </w:rPr>
        <w:t>INSPECTION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CD3A4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w:t>
      </w:r>
      <w:r w:rsidRPr="000977F7">
        <w:rPr>
          <w:rFonts w:asciiTheme="majorHAnsi" w:hAnsiTheme="majorHAnsi"/>
          <w:spacing w:val="-4"/>
          <w:sz w:val="20"/>
          <w:szCs w:val="20"/>
        </w:rPr>
        <w:t xml:space="preserve"> </w:t>
      </w:r>
      <w:r w:rsidRPr="000977F7">
        <w:rPr>
          <w:rFonts w:asciiTheme="majorHAnsi" w:hAnsiTheme="majorHAnsi"/>
          <w:sz w:val="20"/>
          <w:szCs w:val="20"/>
        </w:rPr>
        <w:t>що</w:t>
      </w:r>
      <w:r w:rsidRPr="000977F7">
        <w:rPr>
          <w:rFonts w:asciiTheme="majorHAnsi" w:hAnsiTheme="majorHAnsi"/>
          <w:spacing w:val="-3"/>
          <w:sz w:val="20"/>
          <w:szCs w:val="20"/>
        </w:rPr>
        <w:t xml:space="preserve"> </w:t>
      </w:r>
      <w:r w:rsidRPr="000977F7">
        <w:rPr>
          <w:rFonts w:asciiTheme="majorHAnsi" w:hAnsiTheme="majorHAnsi"/>
          <w:sz w:val="20"/>
          <w:szCs w:val="20"/>
        </w:rPr>
        <w:t>проводиться</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5"/>
          <w:sz w:val="20"/>
          <w:szCs w:val="20"/>
        </w:rPr>
        <w:t xml:space="preserve"> </w:t>
      </w:r>
      <w:r w:rsidRPr="000977F7">
        <w:rPr>
          <w:rFonts w:asciiTheme="majorHAnsi" w:hAnsiTheme="majorHAnsi"/>
          <w:sz w:val="20"/>
          <w:szCs w:val="20"/>
        </w:rPr>
        <w:t>випадковий</w:t>
      </w:r>
      <w:r w:rsidRPr="000977F7">
        <w:rPr>
          <w:rFonts w:asciiTheme="majorHAnsi" w:hAnsiTheme="majorHAnsi"/>
          <w:spacing w:val="-4"/>
          <w:sz w:val="20"/>
          <w:szCs w:val="20"/>
        </w:rPr>
        <w:t xml:space="preserve"> </w:t>
      </w:r>
      <w:r w:rsidRPr="000977F7">
        <w:rPr>
          <w:rFonts w:asciiTheme="majorHAnsi" w:hAnsiTheme="majorHAnsi"/>
          <w:sz w:val="20"/>
          <w:szCs w:val="20"/>
        </w:rPr>
        <w:t>час</w:t>
      </w:r>
    </w:p>
    <w:p w14:paraId="3E5B798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ЛИСТОК</w:t>
      </w:r>
      <w:r w:rsidRPr="000977F7">
        <w:rPr>
          <w:color w:val="auto"/>
          <w:spacing w:val="45"/>
          <w:sz w:val="20"/>
          <w:szCs w:val="20"/>
        </w:rPr>
        <w:t xml:space="preserve"> </w:t>
      </w:r>
      <w:r w:rsidRPr="000977F7">
        <w:rPr>
          <w:color w:val="auto"/>
          <w:sz w:val="20"/>
          <w:szCs w:val="20"/>
        </w:rPr>
        <w:t>ЗМІН</w:t>
      </w:r>
      <w:r w:rsidRPr="000977F7">
        <w:rPr>
          <w:color w:val="auto"/>
          <w:spacing w:val="-2"/>
          <w:sz w:val="20"/>
          <w:szCs w:val="20"/>
        </w:rPr>
        <w:t xml:space="preserve"> </w:t>
      </w:r>
      <w:r w:rsidRPr="000977F7">
        <w:rPr>
          <w:color w:val="auto"/>
          <w:sz w:val="20"/>
          <w:szCs w:val="20"/>
        </w:rPr>
        <w:t>ДО</w:t>
      </w:r>
      <w:r w:rsidRPr="000977F7">
        <w:rPr>
          <w:color w:val="auto"/>
          <w:spacing w:val="-2"/>
          <w:sz w:val="20"/>
          <w:szCs w:val="20"/>
        </w:rPr>
        <w:t xml:space="preserve"> </w:t>
      </w:r>
      <w:r w:rsidRPr="000977F7">
        <w:rPr>
          <w:color w:val="auto"/>
          <w:sz w:val="20"/>
          <w:szCs w:val="20"/>
        </w:rPr>
        <w:t>СТАНДАРТУ –</w:t>
      </w:r>
    </w:p>
    <w:p w14:paraId="5652098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AMENDMENT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SHEET TO</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STANDARD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443956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стандарту, що розробляється і затверджується</w:t>
      </w:r>
      <w:r w:rsidRPr="000977F7">
        <w:rPr>
          <w:rFonts w:asciiTheme="majorHAnsi" w:hAnsiTheme="majorHAnsi"/>
          <w:spacing w:val="-2"/>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результат</w:t>
      </w:r>
      <w:r w:rsidRPr="000977F7">
        <w:rPr>
          <w:rFonts w:asciiTheme="majorHAnsi" w:hAnsiTheme="majorHAnsi"/>
          <w:spacing w:val="-1"/>
          <w:sz w:val="20"/>
          <w:szCs w:val="20"/>
        </w:rPr>
        <w:t xml:space="preserve"> </w:t>
      </w:r>
      <w:r w:rsidRPr="000977F7">
        <w:rPr>
          <w:rFonts w:asciiTheme="majorHAnsi" w:hAnsiTheme="majorHAnsi"/>
          <w:sz w:val="20"/>
          <w:szCs w:val="20"/>
        </w:rPr>
        <w:t>зміни</w:t>
      </w:r>
      <w:r w:rsidRPr="000977F7">
        <w:rPr>
          <w:rFonts w:asciiTheme="majorHAnsi" w:hAnsiTheme="majorHAnsi"/>
          <w:spacing w:val="-1"/>
          <w:sz w:val="20"/>
          <w:szCs w:val="20"/>
        </w:rPr>
        <w:t xml:space="preserve"> </w:t>
      </w:r>
      <w:r w:rsidRPr="000977F7">
        <w:rPr>
          <w:rFonts w:asciiTheme="majorHAnsi" w:hAnsiTheme="majorHAnsi"/>
          <w:sz w:val="20"/>
          <w:szCs w:val="20"/>
        </w:rPr>
        <w:t>стандарту</w:t>
      </w:r>
    </w:p>
    <w:p w14:paraId="4FC817D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ЛІДЕРСТВО</w:t>
      </w:r>
      <w:r w:rsidRPr="000977F7">
        <w:rPr>
          <w:color w:val="auto"/>
          <w:spacing w:val="-3"/>
          <w:sz w:val="20"/>
          <w:szCs w:val="20"/>
        </w:rPr>
        <w:t xml:space="preserve"> </w:t>
      </w:r>
      <w:r w:rsidRPr="000977F7">
        <w:rPr>
          <w:color w:val="auto"/>
          <w:sz w:val="20"/>
          <w:szCs w:val="20"/>
        </w:rPr>
        <w:t>–</w:t>
      </w:r>
    </w:p>
    <w:p w14:paraId="4A486C0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Лідерство</w:t>
      </w:r>
      <w:r w:rsidRPr="000977F7">
        <w:rPr>
          <w:rFonts w:asciiTheme="majorHAnsi" w:hAnsiTheme="majorHAnsi"/>
          <w:spacing w:val="-4"/>
          <w:sz w:val="20"/>
          <w:szCs w:val="20"/>
        </w:rPr>
        <w:t xml:space="preserve"> </w:t>
      </w:r>
      <w:r w:rsidRPr="000977F7">
        <w:rPr>
          <w:rFonts w:asciiTheme="majorHAnsi" w:hAnsiTheme="majorHAnsi"/>
          <w:sz w:val="20"/>
          <w:szCs w:val="20"/>
        </w:rPr>
        <w:t>включає:</w:t>
      </w:r>
    </w:p>
    <w:p w14:paraId="5764195C" w14:textId="77777777" w:rsidR="0097612F" w:rsidRPr="000977F7" w:rsidRDefault="0097612F" w:rsidP="00FD39A4">
      <w:pPr>
        <w:pStyle w:val="ac"/>
        <w:widowControl w:val="0"/>
        <w:numPr>
          <w:ilvl w:val="1"/>
          <w:numId w:val="180"/>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вибір напрямку – розвиток як погляду в майбутнє,</w:t>
      </w:r>
      <w:r w:rsidRPr="000977F7">
        <w:rPr>
          <w:rFonts w:asciiTheme="majorHAnsi" w:hAnsiTheme="majorHAnsi"/>
          <w:spacing w:val="-47"/>
          <w:sz w:val="20"/>
          <w:szCs w:val="20"/>
        </w:rPr>
        <w:t xml:space="preserve"> </w:t>
      </w:r>
      <w:r w:rsidRPr="000977F7">
        <w:rPr>
          <w:rFonts w:asciiTheme="majorHAnsi" w:hAnsiTheme="majorHAnsi"/>
          <w:sz w:val="20"/>
          <w:szCs w:val="20"/>
        </w:rPr>
        <w:t>так і стратегії з метою вироблення змін, необхідних</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отримання</w:t>
      </w:r>
      <w:r w:rsidRPr="000977F7">
        <w:rPr>
          <w:rFonts w:asciiTheme="majorHAnsi" w:hAnsiTheme="majorHAnsi"/>
          <w:spacing w:val="2"/>
          <w:sz w:val="20"/>
          <w:szCs w:val="20"/>
        </w:rPr>
        <w:t xml:space="preserve"> </w:t>
      </w:r>
      <w:r w:rsidRPr="000977F7">
        <w:rPr>
          <w:rFonts w:asciiTheme="majorHAnsi" w:hAnsiTheme="majorHAnsi"/>
          <w:sz w:val="20"/>
          <w:szCs w:val="20"/>
        </w:rPr>
        <w:t>такого погляду;</w:t>
      </w:r>
    </w:p>
    <w:p w14:paraId="362DC4B3" w14:textId="77777777" w:rsidR="0097612F" w:rsidRPr="000977F7" w:rsidRDefault="0097612F" w:rsidP="00FD39A4">
      <w:pPr>
        <w:pStyle w:val="ac"/>
        <w:widowControl w:val="0"/>
        <w:numPr>
          <w:ilvl w:val="1"/>
          <w:numId w:val="180"/>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сповіщення персоналу – координацію погляду на</w:t>
      </w:r>
      <w:r w:rsidRPr="000977F7">
        <w:rPr>
          <w:rFonts w:asciiTheme="majorHAnsi" w:hAnsiTheme="majorHAnsi"/>
          <w:spacing w:val="1"/>
          <w:sz w:val="20"/>
          <w:szCs w:val="20"/>
        </w:rPr>
        <w:t xml:space="preserve"> </w:t>
      </w:r>
      <w:r w:rsidRPr="000977F7">
        <w:rPr>
          <w:rFonts w:asciiTheme="majorHAnsi" w:hAnsiTheme="majorHAnsi"/>
          <w:sz w:val="20"/>
          <w:szCs w:val="20"/>
        </w:rPr>
        <w:t>проект,</w:t>
      </w:r>
      <w:r w:rsidRPr="000977F7">
        <w:rPr>
          <w:rFonts w:asciiTheme="majorHAnsi" w:hAnsiTheme="majorHAnsi"/>
          <w:spacing w:val="1"/>
          <w:sz w:val="20"/>
          <w:szCs w:val="20"/>
        </w:rPr>
        <w:t xml:space="preserve"> </w:t>
      </w:r>
      <w:r w:rsidRPr="000977F7">
        <w:rPr>
          <w:rFonts w:asciiTheme="majorHAnsi" w:hAnsiTheme="majorHAnsi"/>
          <w:sz w:val="20"/>
          <w:szCs w:val="20"/>
        </w:rPr>
        <w:t>звернення</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обтяження</w:t>
      </w:r>
      <w:r w:rsidRPr="000977F7">
        <w:rPr>
          <w:rFonts w:asciiTheme="majorHAnsi" w:hAnsiTheme="majorHAnsi"/>
          <w:spacing w:val="1"/>
          <w:sz w:val="20"/>
          <w:szCs w:val="20"/>
        </w:rPr>
        <w:t xml:space="preserve"> </w:t>
      </w:r>
      <w:r w:rsidRPr="000977F7">
        <w:rPr>
          <w:rFonts w:asciiTheme="majorHAnsi" w:hAnsiTheme="majorHAnsi"/>
          <w:sz w:val="20"/>
          <w:szCs w:val="20"/>
        </w:rPr>
        <w:t>завданнями</w:t>
      </w:r>
      <w:r w:rsidRPr="000977F7">
        <w:rPr>
          <w:rFonts w:asciiTheme="majorHAnsi" w:hAnsiTheme="majorHAnsi"/>
          <w:spacing w:val="1"/>
          <w:sz w:val="20"/>
          <w:szCs w:val="20"/>
        </w:rPr>
        <w:t xml:space="preserve"> </w:t>
      </w:r>
      <w:r w:rsidRPr="000977F7">
        <w:rPr>
          <w:rFonts w:asciiTheme="majorHAnsi" w:hAnsiTheme="majorHAnsi"/>
          <w:sz w:val="20"/>
          <w:szCs w:val="20"/>
        </w:rPr>
        <w:t>всіх</w:t>
      </w:r>
      <w:r w:rsidRPr="000977F7">
        <w:rPr>
          <w:rFonts w:asciiTheme="majorHAnsi" w:hAnsiTheme="majorHAnsi"/>
          <w:spacing w:val="-47"/>
          <w:sz w:val="20"/>
          <w:szCs w:val="20"/>
        </w:rPr>
        <w:t xml:space="preserve"> </w:t>
      </w:r>
      <w:r w:rsidRPr="000977F7">
        <w:rPr>
          <w:rFonts w:asciiTheme="majorHAnsi" w:hAnsiTheme="majorHAnsi"/>
          <w:sz w:val="20"/>
          <w:szCs w:val="20"/>
        </w:rPr>
        <w:t>тих, чия участь може знадобиться для отримання</w:t>
      </w:r>
      <w:r w:rsidRPr="000977F7">
        <w:rPr>
          <w:rFonts w:asciiTheme="majorHAnsi" w:hAnsiTheme="majorHAnsi"/>
          <w:spacing w:val="1"/>
          <w:sz w:val="20"/>
          <w:szCs w:val="20"/>
        </w:rPr>
        <w:t xml:space="preserve"> </w:t>
      </w:r>
      <w:r w:rsidRPr="000977F7">
        <w:rPr>
          <w:rFonts w:asciiTheme="majorHAnsi" w:hAnsiTheme="majorHAnsi"/>
          <w:sz w:val="20"/>
          <w:szCs w:val="20"/>
        </w:rPr>
        <w:t>необхідного погляду;</w:t>
      </w:r>
    </w:p>
    <w:p w14:paraId="14DFDE8C" w14:textId="77777777" w:rsidR="0097612F" w:rsidRPr="000977F7" w:rsidRDefault="0097612F" w:rsidP="00FD39A4">
      <w:pPr>
        <w:pStyle w:val="ac"/>
        <w:widowControl w:val="0"/>
        <w:numPr>
          <w:ilvl w:val="1"/>
          <w:numId w:val="180"/>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мотивацію</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натхнення</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допомогу</w:t>
      </w:r>
      <w:r w:rsidRPr="000977F7">
        <w:rPr>
          <w:rFonts w:asciiTheme="majorHAnsi" w:hAnsiTheme="majorHAnsi"/>
          <w:spacing w:val="1"/>
          <w:sz w:val="20"/>
          <w:szCs w:val="20"/>
        </w:rPr>
        <w:t xml:space="preserve"> </w:t>
      </w:r>
      <w:r w:rsidRPr="000977F7">
        <w:rPr>
          <w:rFonts w:asciiTheme="majorHAnsi" w:hAnsiTheme="majorHAnsi"/>
          <w:sz w:val="20"/>
          <w:szCs w:val="20"/>
        </w:rPr>
        <w:t>людям</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отриманні</w:t>
      </w:r>
      <w:r w:rsidRPr="000977F7">
        <w:rPr>
          <w:rFonts w:asciiTheme="majorHAnsi" w:hAnsiTheme="majorHAnsi"/>
          <w:spacing w:val="1"/>
          <w:sz w:val="20"/>
          <w:szCs w:val="20"/>
        </w:rPr>
        <w:t xml:space="preserve"> </w:t>
      </w:r>
      <w:r w:rsidRPr="000977F7">
        <w:rPr>
          <w:rFonts w:asciiTheme="majorHAnsi" w:hAnsiTheme="majorHAnsi"/>
          <w:sz w:val="20"/>
          <w:szCs w:val="20"/>
        </w:rPr>
        <w:t>необхідного</w:t>
      </w:r>
      <w:r w:rsidRPr="000977F7">
        <w:rPr>
          <w:rFonts w:asciiTheme="majorHAnsi" w:hAnsiTheme="majorHAnsi"/>
          <w:spacing w:val="1"/>
          <w:sz w:val="20"/>
          <w:szCs w:val="20"/>
        </w:rPr>
        <w:t xml:space="preserve"> </w:t>
      </w:r>
      <w:r w:rsidRPr="000977F7">
        <w:rPr>
          <w:rFonts w:asciiTheme="majorHAnsi" w:hAnsiTheme="majorHAnsi"/>
          <w:sz w:val="20"/>
          <w:szCs w:val="20"/>
        </w:rPr>
        <w:t>ентузіазму для</w:t>
      </w:r>
      <w:r w:rsidRPr="000977F7">
        <w:rPr>
          <w:rFonts w:asciiTheme="majorHAnsi" w:hAnsiTheme="majorHAnsi"/>
          <w:spacing w:val="50"/>
          <w:sz w:val="20"/>
          <w:szCs w:val="20"/>
        </w:rPr>
        <w:t xml:space="preserve"> </w:t>
      </w:r>
      <w:r w:rsidRPr="000977F7">
        <w:rPr>
          <w:rFonts w:asciiTheme="majorHAnsi" w:hAnsiTheme="majorHAnsi"/>
          <w:sz w:val="20"/>
          <w:szCs w:val="20"/>
        </w:rPr>
        <w:t>подолання</w:t>
      </w:r>
      <w:r w:rsidRPr="000977F7">
        <w:rPr>
          <w:rFonts w:asciiTheme="majorHAnsi" w:hAnsiTheme="majorHAnsi"/>
          <w:spacing w:val="1"/>
          <w:sz w:val="20"/>
          <w:szCs w:val="20"/>
        </w:rPr>
        <w:t xml:space="preserve"> </w:t>
      </w:r>
      <w:r w:rsidRPr="000977F7">
        <w:rPr>
          <w:rFonts w:asciiTheme="majorHAnsi" w:hAnsiTheme="majorHAnsi"/>
          <w:sz w:val="20"/>
          <w:szCs w:val="20"/>
        </w:rPr>
        <w:t>політичних,</w:t>
      </w:r>
      <w:r w:rsidRPr="000977F7">
        <w:rPr>
          <w:rFonts w:asciiTheme="majorHAnsi" w:hAnsiTheme="majorHAnsi"/>
          <w:spacing w:val="1"/>
          <w:sz w:val="20"/>
          <w:szCs w:val="20"/>
        </w:rPr>
        <w:t xml:space="preserve"> </w:t>
      </w:r>
      <w:r w:rsidRPr="000977F7">
        <w:rPr>
          <w:rFonts w:asciiTheme="majorHAnsi" w:hAnsiTheme="majorHAnsi"/>
          <w:sz w:val="20"/>
          <w:szCs w:val="20"/>
        </w:rPr>
        <w:t>бюрократичних</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ресурсних</w:t>
      </w:r>
      <w:r w:rsidRPr="000977F7">
        <w:rPr>
          <w:rFonts w:asciiTheme="majorHAnsi" w:hAnsiTheme="majorHAnsi"/>
          <w:spacing w:val="-47"/>
          <w:sz w:val="20"/>
          <w:szCs w:val="20"/>
        </w:rPr>
        <w:t xml:space="preserve"> </w:t>
      </w:r>
      <w:r w:rsidRPr="000977F7">
        <w:rPr>
          <w:rFonts w:asciiTheme="majorHAnsi" w:hAnsiTheme="majorHAnsi"/>
          <w:sz w:val="20"/>
          <w:szCs w:val="20"/>
        </w:rPr>
        <w:t>бар’єрів.</w:t>
      </w:r>
    </w:p>
    <w:p w14:paraId="6B695A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Лідерство</w:t>
      </w:r>
      <w:r w:rsidRPr="000977F7">
        <w:rPr>
          <w:rFonts w:asciiTheme="majorHAnsi" w:hAnsiTheme="majorHAnsi"/>
          <w:spacing w:val="1"/>
          <w:sz w:val="20"/>
          <w:szCs w:val="20"/>
        </w:rPr>
        <w:t xml:space="preserve"> </w:t>
      </w:r>
      <w:r w:rsidRPr="000977F7">
        <w:rPr>
          <w:rFonts w:asciiTheme="majorHAnsi" w:hAnsiTheme="majorHAnsi"/>
          <w:sz w:val="20"/>
          <w:szCs w:val="20"/>
        </w:rPr>
        <w:t>повинно</w:t>
      </w:r>
      <w:r w:rsidRPr="000977F7">
        <w:rPr>
          <w:rFonts w:asciiTheme="majorHAnsi" w:hAnsiTheme="majorHAnsi"/>
          <w:spacing w:val="1"/>
          <w:sz w:val="20"/>
          <w:szCs w:val="20"/>
        </w:rPr>
        <w:t xml:space="preserve"> </w:t>
      </w:r>
      <w:r w:rsidRPr="000977F7">
        <w:rPr>
          <w:rFonts w:asciiTheme="majorHAnsi" w:hAnsiTheme="majorHAnsi"/>
          <w:sz w:val="20"/>
          <w:szCs w:val="20"/>
        </w:rPr>
        <w:t>демонструватися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всіх</w:t>
      </w:r>
      <w:r w:rsidRPr="000977F7">
        <w:rPr>
          <w:rFonts w:asciiTheme="majorHAnsi" w:hAnsiTheme="majorHAnsi"/>
          <w:spacing w:val="1"/>
          <w:sz w:val="20"/>
          <w:szCs w:val="20"/>
        </w:rPr>
        <w:t xml:space="preserve"> </w:t>
      </w:r>
      <w:r w:rsidRPr="000977F7">
        <w:rPr>
          <w:rFonts w:asciiTheme="majorHAnsi" w:hAnsiTheme="majorHAnsi"/>
          <w:sz w:val="20"/>
          <w:szCs w:val="20"/>
        </w:rPr>
        <w:t>рівнях</w:t>
      </w:r>
      <w:r w:rsidRPr="000977F7">
        <w:rPr>
          <w:rFonts w:asciiTheme="majorHAnsi" w:hAnsiTheme="majorHAnsi"/>
          <w:spacing w:val="1"/>
          <w:sz w:val="20"/>
          <w:szCs w:val="20"/>
        </w:rPr>
        <w:t xml:space="preserve"> </w:t>
      </w:r>
      <w:r w:rsidRPr="000977F7">
        <w:rPr>
          <w:rFonts w:asciiTheme="majorHAnsi" w:hAnsiTheme="majorHAnsi"/>
          <w:sz w:val="20"/>
          <w:szCs w:val="20"/>
        </w:rPr>
        <w:t>проекту (лідерство в проекті, технічне лідерство, командне</w:t>
      </w:r>
      <w:r w:rsidRPr="000977F7">
        <w:rPr>
          <w:rFonts w:asciiTheme="majorHAnsi" w:hAnsiTheme="majorHAnsi"/>
          <w:spacing w:val="2"/>
          <w:sz w:val="20"/>
          <w:szCs w:val="20"/>
        </w:rPr>
        <w:t xml:space="preserve"> </w:t>
      </w:r>
      <w:r w:rsidRPr="000977F7">
        <w:rPr>
          <w:rFonts w:asciiTheme="majorHAnsi" w:hAnsiTheme="majorHAnsi"/>
          <w:sz w:val="20"/>
          <w:szCs w:val="20"/>
        </w:rPr>
        <w:t>лідерство)</w:t>
      </w:r>
    </w:p>
    <w:p w14:paraId="43BB2E9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spacing w:val="-3"/>
          <w:w w:val="44"/>
          <w:sz w:val="20"/>
          <w:szCs w:val="20"/>
        </w:rPr>
        <w:t>―</w:t>
      </w:r>
      <w:r w:rsidRPr="000977F7">
        <w:rPr>
          <w:rFonts w:asciiTheme="majorHAnsi" w:hAnsiTheme="majorHAnsi"/>
          <w:i/>
          <w:spacing w:val="-1"/>
          <w:w w:val="99"/>
          <w:sz w:val="20"/>
          <w:szCs w:val="20"/>
        </w:rPr>
        <w:t>Ке</w:t>
      </w:r>
      <w:r w:rsidRPr="000977F7">
        <w:rPr>
          <w:rFonts w:asciiTheme="majorHAnsi" w:hAnsiTheme="majorHAnsi"/>
          <w:i/>
          <w:w w:val="99"/>
          <w:sz w:val="20"/>
          <w:szCs w:val="20"/>
        </w:rPr>
        <w:t>р.</w:t>
      </w:r>
      <w:r w:rsidRPr="000977F7">
        <w:rPr>
          <w:rFonts w:asciiTheme="majorHAnsi" w:hAnsiTheme="majorHAnsi"/>
          <w:i/>
          <w:sz w:val="20"/>
          <w:szCs w:val="20"/>
        </w:rPr>
        <w:t xml:space="preserve"> </w:t>
      </w:r>
      <w:r w:rsidRPr="000977F7">
        <w:rPr>
          <w:rFonts w:asciiTheme="majorHAnsi" w:hAnsiTheme="majorHAnsi"/>
          <w:i/>
          <w:spacing w:val="1"/>
          <w:w w:val="99"/>
          <w:sz w:val="20"/>
          <w:szCs w:val="20"/>
        </w:rPr>
        <w:t>про</w:t>
      </w:r>
      <w:r w:rsidRPr="000977F7">
        <w:rPr>
          <w:rFonts w:asciiTheme="majorHAnsi" w:hAnsiTheme="majorHAnsi"/>
          <w:i/>
          <w:w w:val="99"/>
          <w:sz w:val="20"/>
          <w:szCs w:val="20"/>
        </w:rPr>
        <w:t>ек</w:t>
      </w:r>
      <w:r w:rsidRPr="000977F7">
        <w:rPr>
          <w:rFonts w:asciiTheme="majorHAnsi" w:hAnsiTheme="majorHAnsi"/>
          <w:i/>
          <w:spacing w:val="-1"/>
          <w:w w:val="99"/>
          <w:sz w:val="20"/>
          <w:szCs w:val="20"/>
        </w:rPr>
        <w:t>тн</w:t>
      </w:r>
      <w:r w:rsidRPr="000977F7">
        <w:rPr>
          <w:rFonts w:asciiTheme="majorHAnsi" w:hAnsiTheme="majorHAnsi"/>
          <w:i/>
          <w:w w:val="99"/>
          <w:sz w:val="20"/>
          <w:szCs w:val="20"/>
        </w:rPr>
        <w:t>.</w:t>
      </w:r>
      <w:r w:rsidRPr="000977F7">
        <w:rPr>
          <w:rFonts w:asciiTheme="majorHAnsi" w:hAnsiTheme="majorHAnsi"/>
          <w:i/>
          <w:sz w:val="20"/>
          <w:szCs w:val="20"/>
        </w:rPr>
        <w:t xml:space="preserve"> </w:t>
      </w:r>
      <w:r w:rsidRPr="000977F7">
        <w:rPr>
          <w:rFonts w:asciiTheme="majorHAnsi" w:hAnsiTheme="majorHAnsi"/>
          <w:i/>
          <w:spacing w:val="-1"/>
          <w:w w:val="99"/>
          <w:sz w:val="20"/>
          <w:szCs w:val="20"/>
        </w:rPr>
        <w:t>менеджм</w:t>
      </w:r>
      <w:r w:rsidRPr="000977F7">
        <w:rPr>
          <w:rFonts w:asciiTheme="majorHAnsi" w:hAnsiTheme="majorHAnsi"/>
          <w:i/>
          <w:spacing w:val="3"/>
          <w:w w:val="99"/>
          <w:sz w:val="20"/>
          <w:szCs w:val="20"/>
        </w:rPr>
        <w:t>.</w:t>
      </w:r>
      <w:r w:rsidRPr="000977F7">
        <w:rPr>
          <w:rFonts w:asciiTheme="majorHAnsi" w:hAnsiTheme="majorHAnsi"/>
          <w:i/>
          <w:w w:val="99"/>
          <w:sz w:val="20"/>
          <w:szCs w:val="20"/>
        </w:rPr>
        <w:t>-</w:t>
      </w:r>
      <w:r w:rsidRPr="000977F7">
        <w:rPr>
          <w:rFonts w:asciiTheme="majorHAnsi" w:hAnsiTheme="majorHAnsi"/>
          <w:i/>
          <w:spacing w:val="2"/>
          <w:w w:val="99"/>
          <w:sz w:val="20"/>
          <w:szCs w:val="20"/>
        </w:rPr>
        <w:t>т</w:t>
      </w:r>
      <w:r w:rsidRPr="000977F7">
        <w:rPr>
          <w:rFonts w:asciiTheme="majorHAnsi" w:hAnsiTheme="majorHAnsi"/>
          <w:i/>
          <w:w w:val="137"/>
          <w:sz w:val="20"/>
          <w:szCs w:val="20"/>
        </w:rPr>
        <w:t>у</w:t>
      </w:r>
    </w:p>
    <w:p w14:paraId="7EF659CC"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ЛІДЕРСТВО</w:t>
      </w:r>
      <w:r w:rsidRPr="000977F7">
        <w:rPr>
          <w:color w:val="auto"/>
          <w:spacing w:val="-3"/>
          <w:sz w:val="20"/>
          <w:szCs w:val="20"/>
        </w:rPr>
        <w:t xml:space="preserve"> </w:t>
      </w:r>
      <w:r w:rsidRPr="000977F7">
        <w:rPr>
          <w:color w:val="auto"/>
          <w:sz w:val="20"/>
          <w:szCs w:val="20"/>
        </w:rPr>
        <w:t>ТА</w:t>
      </w:r>
      <w:r w:rsidRPr="000977F7">
        <w:rPr>
          <w:color w:val="auto"/>
          <w:spacing w:val="-4"/>
          <w:sz w:val="20"/>
          <w:szCs w:val="20"/>
        </w:rPr>
        <w:t xml:space="preserve"> </w:t>
      </w:r>
      <w:r w:rsidRPr="000977F7">
        <w:rPr>
          <w:color w:val="auto"/>
          <w:sz w:val="20"/>
          <w:szCs w:val="20"/>
        </w:rPr>
        <w:t>ЗОБОВ’ЯЗАННЯ</w:t>
      </w:r>
      <w:r w:rsidRPr="000977F7">
        <w:rPr>
          <w:color w:val="auto"/>
          <w:spacing w:val="-1"/>
          <w:sz w:val="20"/>
          <w:szCs w:val="20"/>
        </w:rPr>
        <w:t xml:space="preserve"> </w:t>
      </w:r>
      <w:r w:rsidRPr="000977F7">
        <w:rPr>
          <w:b w:val="0"/>
          <w:color w:val="auto"/>
          <w:sz w:val="20"/>
          <w:szCs w:val="20"/>
        </w:rPr>
        <w:t>–</w:t>
      </w:r>
    </w:p>
    <w:p w14:paraId="4BDFE13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Найвище</w:t>
      </w:r>
      <w:r w:rsidRPr="000977F7">
        <w:rPr>
          <w:rFonts w:asciiTheme="majorHAnsi" w:hAnsiTheme="majorHAnsi"/>
          <w:spacing w:val="1"/>
          <w:sz w:val="20"/>
          <w:szCs w:val="20"/>
        </w:rPr>
        <w:t xml:space="preserve"> </w:t>
      </w:r>
      <w:r w:rsidRPr="000977F7">
        <w:rPr>
          <w:rFonts w:asciiTheme="majorHAnsi" w:hAnsiTheme="majorHAnsi"/>
          <w:sz w:val="20"/>
          <w:szCs w:val="20"/>
        </w:rPr>
        <w:t>керівництво</w:t>
      </w:r>
      <w:r w:rsidRPr="000977F7">
        <w:rPr>
          <w:rFonts w:asciiTheme="majorHAnsi" w:hAnsiTheme="majorHAnsi"/>
          <w:spacing w:val="1"/>
          <w:sz w:val="20"/>
          <w:szCs w:val="20"/>
        </w:rPr>
        <w:t xml:space="preserve"> </w:t>
      </w:r>
      <w:r w:rsidRPr="000977F7">
        <w:rPr>
          <w:rFonts w:asciiTheme="majorHAnsi" w:hAnsiTheme="majorHAnsi"/>
          <w:sz w:val="20"/>
          <w:szCs w:val="20"/>
        </w:rPr>
        <w:t>повинне</w:t>
      </w:r>
      <w:r w:rsidRPr="000977F7">
        <w:rPr>
          <w:rFonts w:asciiTheme="majorHAnsi" w:hAnsiTheme="majorHAnsi"/>
          <w:spacing w:val="1"/>
          <w:sz w:val="20"/>
          <w:szCs w:val="20"/>
        </w:rPr>
        <w:t xml:space="preserve"> </w:t>
      </w:r>
      <w:r w:rsidRPr="000977F7">
        <w:rPr>
          <w:rFonts w:asciiTheme="majorHAnsi" w:hAnsiTheme="majorHAnsi"/>
          <w:sz w:val="20"/>
          <w:szCs w:val="20"/>
        </w:rPr>
        <w:t>демонструвати</w:t>
      </w:r>
      <w:r w:rsidRPr="000977F7">
        <w:rPr>
          <w:rFonts w:asciiTheme="majorHAnsi" w:hAnsiTheme="majorHAnsi"/>
          <w:spacing w:val="1"/>
          <w:sz w:val="20"/>
          <w:szCs w:val="20"/>
        </w:rPr>
        <w:t xml:space="preserve"> </w:t>
      </w:r>
      <w:r w:rsidRPr="000977F7">
        <w:rPr>
          <w:rFonts w:asciiTheme="majorHAnsi" w:hAnsiTheme="majorHAnsi"/>
          <w:sz w:val="20"/>
          <w:szCs w:val="20"/>
        </w:rPr>
        <w:t>своє</w:t>
      </w:r>
      <w:r w:rsidRPr="000977F7">
        <w:rPr>
          <w:rFonts w:asciiTheme="majorHAnsi" w:hAnsiTheme="majorHAnsi"/>
          <w:spacing w:val="1"/>
          <w:sz w:val="20"/>
          <w:szCs w:val="20"/>
        </w:rPr>
        <w:t xml:space="preserve"> </w:t>
      </w:r>
      <w:r w:rsidRPr="000977F7">
        <w:rPr>
          <w:rFonts w:asciiTheme="majorHAnsi" w:hAnsiTheme="majorHAnsi"/>
          <w:sz w:val="20"/>
          <w:szCs w:val="20"/>
        </w:rPr>
        <w:t>лідерство та своє зобов’язання щодо системи управління</w:t>
      </w:r>
      <w:r w:rsidRPr="000977F7">
        <w:rPr>
          <w:rFonts w:asciiTheme="majorHAnsi" w:hAnsiTheme="majorHAnsi"/>
          <w:spacing w:val="-2"/>
          <w:sz w:val="20"/>
          <w:szCs w:val="20"/>
        </w:rPr>
        <w:t xml:space="preserve"> </w:t>
      </w:r>
      <w:r w:rsidRPr="000977F7">
        <w:rPr>
          <w:rFonts w:asciiTheme="majorHAnsi" w:hAnsiTheme="majorHAnsi"/>
          <w:sz w:val="20"/>
          <w:szCs w:val="20"/>
        </w:rPr>
        <w:t>якістю,</w:t>
      </w:r>
    </w:p>
    <w:p w14:paraId="66D0E45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беручі на себе відповідальність за результативність</w:t>
      </w:r>
      <w:r w:rsidRPr="000977F7">
        <w:rPr>
          <w:rFonts w:asciiTheme="majorHAnsi" w:hAnsiTheme="majorHAnsi"/>
          <w:spacing w:val="1"/>
          <w:sz w:val="20"/>
          <w:szCs w:val="20"/>
        </w:rPr>
        <w:t xml:space="preserve"> </w:t>
      </w:r>
      <w:r w:rsidRPr="000977F7">
        <w:rPr>
          <w:rFonts w:asciiTheme="majorHAnsi" w:hAnsiTheme="majorHAnsi"/>
          <w:sz w:val="20"/>
          <w:szCs w:val="20"/>
        </w:rPr>
        <w:t>системи 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якістю;</w:t>
      </w:r>
    </w:p>
    <w:p w14:paraId="76D57948" w14:textId="77777777" w:rsidR="0097612F" w:rsidRPr="000977F7" w:rsidRDefault="0097612F" w:rsidP="00FD39A4">
      <w:pPr>
        <w:pStyle w:val="ac"/>
        <w:widowControl w:val="0"/>
        <w:numPr>
          <w:ilvl w:val="0"/>
          <w:numId w:val="153"/>
        </w:numPr>
        <w:tabs>
          <w:tab w:val="left" w:pos="284"/>
          <w:tab w:val="left" w:pos="55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забезпечуючи розроблення політики у сфері якості</w:t>
      </w:r>
      <w:r w:rsidRPr="000977F7">
        <w:rPr>
          <w:rFonts w:asciiTheme="majorHAnsi" w:hAnsiTheme="majorHAnsi"/>
          <w:spacing w:val="1"/>
          <w:sz w:val="20"/>
          <w:szCs w:val="20"/>
        </w:rPr>
        <w:t xml:space="preserve"> </w:t>
      </w:r>
      <w:r w:rsidRPr="000977F7">
        <w:rPr>
          <w:rFonts w:asciiTheme="majorHAnsi" w:hAnsiTheme="majorHAnsi"/>
          <w:sz w:val="20"/>
          <w:szCs w:val="20"/>
        </w:rPr>
        <w:t>та цілей у сфері якості та їх узгодженість зі стратегічним напрямком і</w:t>
      </w:r>
      <w:r w:rsidRPr="000977F7">
        <w:rPr>
          <w:rFonts w:asciiTheme="majorHAnsi" w:hAnsiTheme="majorHAnsi"/>
          <w:spacing w:val="-2"/>
          <w:sz w:val="20"/>
          <w:szCs w:val="20"/>
        </w:rPr>
        <w:t xml:space="preserve"> </w:t>
      </w:r>
      <w:r w:rsidRPr="000977F7">
        <w:rPr>
          <w:rFonts w:asciiTheme="majorHAnsi" w:hAnsiTheme="majorHAnsi"/>
          <w:sz w:val="20"/>
          <w:szCs w:val="20"/>
        </w:rPr>
        <w:t>середовищем організації;</w:t>
      </w:r>
    </w:p>
    <w:p w14:paraId="769AB384" w14:textId="77777777" w:rsidR="0097612F" w:rsidRPr="000977F7" w:rsidRDefault="0097612F" w:rsidP="00FD39A4">
      <w:pPr>
        <w:pStyle w:val="ac"/>
        <w:widowControl w:val="0"/>
        <w:numPr>
          <w:ilvl w:val="0"/>
          <w:numId w:val="153"/>
        </w:numPr>
        <w:tabs>
          <w:tab w:val="left" w:pos="284"/>
          <w:tab w:val="left" w:pos="56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забезпечуючи інтегрування вимог системи управління</w:t>
      </w:r>
      <w:r w:rsidRPr="000977F7">
        <w:rPr>
          <w:rFonts w:asciiTheme="majorHAnsi" w:hAnsiTheme="majorHAnsi"/>
          <w:spacing w:val="-2"/>
          <w:sz w:val="20"/>
          <w:szCs w:val="20"/>
        </w:rPr>
        <w:t xml:space="preserve"> </w:t>
      </w:r>
      <w:r w:rsidRPr="000977F7">
        <w:rPr>
          <w:rFonts w:asciiTheme="majorHAnsi" w:hAnsiTheme="majorHAnsi"/>
          <w:sz w:val="20"/>
          <w:szCs w:val="20"/>
        </w:rPr>
        <w:t>якістю в</w:t>
      </w:r>
      <w:r w:rsidRPr="000977F7">
        <w:rPr>
          <w:rFonts w:asciiTheme="majorHAnsi" w:hAnsiTheme="majorHAnsi"/>
          <w:spacing w:val="-2"/>
          <w:sz w:val="20"/>
          <w:szCs w:val="20"/>
        </w:rPr>
        <w:t xml:space="preserve"> </w:t>
      </w:r>
      <w:r w:rsidRPr="000977F7">
        <w:rPr>
          <w:rFonts w:asciiTheme="majorHAnsi" w:hAnsiTheme="majorHAnsi"/>
          <w:sz w:val="20"/>
          <w:szCs w:val="20"/>
        </w:rPr>
        <w:t>бізнес-процеси</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p>
    <w:p w14:paraId="27E5D29B" w14:textId="77777777" w:rsidR="0097612F" w:rsidRPr="000977F7" w:rsidRDefault="0097612F" w:rsidP="00FD39A4">
      <w:pPr>
        <w:pStyle w:val="ac"/>
        <w:widowControl w:val="0"/>
        <w:numPr>
          <w:ilvl w:val="0"/>
          <w:numId w:val="153"/>
        </w:numPr>
        <w:tabs>
          <w:tab w:val="left" w:pos="284"/>
          <w:tab w:val="left" w:pos="58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сприяючи</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використанню</w:t>
      </w:r>
      <w:r w:rsidRPr="000977F7">
        <w:rPr>
          <w:rFonts w:asciiTheme="majorHAnsi" w:hAnsiTheme="majorHAnsi"/>
          <w:spacing w:val="1"/>
          <w:sz w:val="20"/>
          <w:szCs w:val="20"/>
        </w:rPr>
        <w:t xml:space="preserve"> </w:t>
      </w:r>
      <w:r w:rsidRPr="000977F7">
        <w:rPr>
          <w:rFonts w:asciiTheme="majorHAnsi" w:hAnsiTheme="majorHAnsi"/>
          <w:sz w:val="20"/>
          <w:szCs w:val="20"/>
        </w:rPr>
        <w:t>процесного</w:t>
      </w:r>
      <w:r w:rsidRPr="000977F7">
        <w:rPr>
          <w:rFonts w:asciiTheme="majorHAnsi" w:hAnsiTheme="majorHAnsi"/>
          <w:spacing w:val="1"/>
          <w:sz w:val="20"/>
          <w:szCs w:val="20"/>
        </w:rPr>
        <w:t xml:space="preserve"> </w:t>
      </w:r>
      <w:r w:rsidRPr="000977F7">
        <w:rPr>
          <w:rFonts w:asciiTheme="majorHAnsi" w:hAnsiTheme="majorHAnsi"/>
          <w:sz w:val="20"/>
          <w:szCs w:val="20"/>
        </w:rPr>
        <w:t>підходу та</w:t>
      </w:r>
      <w:r w:rsidRPr="000977F7">
        <w:rPr>
          <w:rFonts w:asciiTheme="majorHAnsi" w:hAnsiTheme="majorHAnsi"/>
          <w:spacing w:val="1"/>
          <w:sz w:val="20"/>
          <w:szCs w:val="20"/>
        </w:rPr>
        <w:t xml:space="preserve"> </w:t>
      </w:r>
      <w:r w:rsidRPr="000977F7">
        <w:rPr>
          <w:rFonts w:asciiTheme="majorHAnsi" w:hAnsiTheme="majorHAnsi"/>
          <w:sz w:val="20"/>
          <w:szCs w:val="20"/>
        </w:rPr>
        <w:t>ризик-орієнтованого мислення;</w:t>
      </w:r>
    </w:p>
    <w:p w14:paraId="36CD3D54" w14:textId="77777777" w:rsidR="0097612F" w:rsidRPr="000977F7" w:rsidRDefault="0097612F" w:rsidP="00FD39A4">
      <w:pPr>
        <w:pStyle w:val="ac"/>
        <w:widowControl w:val="0"/>
        <w:numPr>
          <w:ilvl w:val="0"/>
          <w:numId w:val="153"/>
        </w:numPr>
        <w:tabs>
          <w:tab w:val="left" w:pos="284"/>
          <w:tab w:val="left" w:pos="59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забезпечуючи</w:t>
      </w:r>
      <w:r w:rsidRPr="000977F7">
        <w:rPr>
          <w:rFonts w:asciiTheme="majorHAnsi" w:hAnsiTheme="majorHAnsi"/>
          <w:spacing w:val="1"/>
          <w:sz w:val="20"/>
          <w:szCs w:val="20"/>
        </w:rPr>
        <w:t xml:space="preserve"> </w:t>
      </w:r>
      <w:r w:rsidRPr="000977F7">
        <w:rPr>
          <w:rFonts w:asciiTheme="majorHAnsi" w:hAnsiTheme="majorHAnsi"/>
          <w:sz w:val="20"/>
          <w:szCs w:val="20"/>
        </w:rPr>
        <w:t>наявність</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r w:rsidRPr="000977F7">
        <w:rPr>
          <w:rFonts w:asciiTheme="majorHAnsi" w:hAnsiTheme="majorHAnsi"/>
          <w:spacing w:val="1"/>
          <w:sz w:val="20"/>
          <w:szCs w:val="20"/>
        </w:rPr>
        <w:t xml:space="preserve"> </w:t>
      </w:r>
      <w:r w:rsidRPr="000977F7">
        <w:rPr>
          <w:rFonts w:asciiTheme="majorHAnsi" w:hAnsiTheme="majorHAnsi"/>
          <w:sz w:val="20"/>
          <w:szCs w:val="20"/>
        </w:rPr>
        <w:t>потрібних</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системи 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якістю;</w:t>
      </w:r>
    </w:p>
    <w:p w14:paraId="7AB6A21E" w14:textId="77777777" w:rsidR="0097612F" w:rsidRPr="000977F7" w:rsidRDefault="0097612F" w:rsidP="00FD39A4">
      <w:pPr>
        <w:pStyle w:val="ac"/>
        <w:widowControl w:val="0"/>
        <w:numPr>
          <w:ilvl w:val="0"/>
          <w:numId w:val="153"/>
        </w:numPr>
        <w:tabs>
          <w:tab w:val="left" w:pos="284"/>
          <w:tab w:val="left" w:pos="51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інформуючи персонал про важливість результативного управління якістю та відповідності вимогам системи 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якістю;</w:t>
      </w:r>
    </w:p>
    <w:p w14:paraId="4B765A99" w14:textId="77777777" w:rsidR="0097612F" w:rsidRPr="000977F7" w:rsidRDefault="0097612F" w:rsidP="00FD39A4">
      <w:pPr>
        <w:pStyle w:val="ac"/>
        <w:widowControl w:val="0"/>
        <w:numPr>
          <w:ilvl w:val="0"/>
          <w:numId w:val="153"/>
        </w:numPr>
        <w:tabs>
          <w:tab w:val="left" w:pos="284"/>
          <w:tab w:val="left" w:pos="62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забезпечуючи</w:t>
      </w:r>
      <w:r w:rsidRPr="000977F7">
        <w:rPr>
          <w:rFonts w:asciiTheme="majorHAnsi" w:hAnsiTheme="majorHAnsi"/>
          <w:spacing w:val="1"/>
          <w:sz w:val="20"/>
          <w:szCs w:val="20"/>
        </w:rPr>
        <w:t xml:space="preserve"> </w:t>
      </w:r>
      <w:r w:rsidRPr="000977F7">
        <w:rPr>
          <w:rFonts w:asciiTheme="majorHAnsi" w:hAnsiTheme="majorHAnsi"/>
          <w:sz w:val="20"/>
          <w:szCs w:val="20"/>
        </w:rPr>
        <w:t>досягнення</w:t>
      </w:r>
      <w:r w:rsidRPr="000977F7">
        <w:rPr>
          <w:rFonts w:asciiTheme="majorHAnsi" w:hAnsiTheme="majorHAnsi"/>
          <w:spacing w:val="1"/>
          <w:sz w:val="20"/>
          <w:szCs w:val="20"/>
        </w:rPr>
        <w:t xml:space="preserve"> </w:t>
      </w:r>
      <w:r w:rsidRPr="000977F7">
        <w:rPr>
          <w:rFonts w:asciiTheme="majorHAnsi" w:hAnsiTheme="majorHAnsi"/>
          <w:sz w:val="20"/>
          <w:szCs w:val="20"/>
        </w:rPr>
        <w:t>системою</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якістю</w:t>
      </w:r>
      <w:r w:rsidRPr="000977F7">
        <w:rPr>
          <w:rFonts w:asciiTheme="majorHAnsi" w:hAnsiTheme="majorHAnsi"/>
          <w:spacing w:val="-1"/>
          <w:sz w:val="20"/>
          <w:szCs w:val="20"/>
        </w:rPr>
        <w:t xml:space="preserve"> </w:t>
      </w:r>
      <w:r w:rsidRPr="000977F7">
        <w:rPr>
          <w:rFonts w:asciiTheme="majorHAnsi" w:hAnsiTheme="majorHAnsi"/>
          <w:sz w:val="20"/>
          <w:szCs w:val="20"/>
        </w:rPr>
        <w:t>запланованих</w:t>
      </w:r>
      <w:r w:rsidRPr="000977F7">
        <w:rPr>
          <w:rFonts w:asciiTheme="majorHAnsi" w:hAnsiTheme="majorHAnsi"/>
          <w:spacing w:val="-1"/>
          <w:sz w:val="20"/>
          <w:szCs w:val="20"/>
        </w:rPr>
        <w:t xml:space="preserve"> </w:t>
      </w:r>
      <w:r w:rsidRPr="000977F7">
        <w:rPr>
          <w:rFonts w:asciiTheme="majorHAnsi" w:hAnsiTheme="majorHAnsi"/>
          <w:sz w:val="20"/>
          <w:szCs w:val="20"/>
        </w:rPr>
        <w:t>результатів;</w:t>
      </w:r>
    </w:p>
    <w:p w14:paraId="167E899C" w14:textId="77777777" w:rsidR="0097612F" w:rsidRPr="000977F7" w:rsidRDefault="0097612F" w:rsidP="00FD39A4">
      <w:pPr>
        <w:pStyle w:val="ac"/>
        <w:widowControl w:val="0"/>
        <w:numPr>
          <w:ilvl w:val="0"/>
          <w:numId w:val="153"/>
        </w:numPr>
        <w:tabs>
          <w:tab w:val="left" w:pos="284"/>
          <w:tab w:val="left" w:pos="57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задіюючи, скеровуючи та заохочуючи персонал з</w:t>
      </w:r>
      <w:r w:rsidRPr="000977F7">
        <w:rPr>
          <w:rFonts w:asciiTheme="majorHAnsi" w:hAnsiTheme="majorHAnsi"/>
          <w:spacing w:val="1"/>
          <w:sz w:val="20"/>
          <w:szCs w:val="20"/>
        </w:rPr>
        <w:t xml:space="preserve"> </w:t>
      </w:r>
      <w:r w:rsidRPr="000977F7">
        <w:rPr>
          <w:rFonts w:asciiTheme="majorHAnsi" w:hAnsiTheme="majorHAnsi"/>
          <w:sz w:val="20"/>
          <w:szCs w:val="20"/>
        </w:rPr>
        <w:t>тим, щоб він робив внесок у результативність системи</w:t>
      </w:r>
      <w:r w:rsidRPr="000977F7">
        <w:rPr>
          <w:rFonts w:asciiTheme="majorHAnsi" w:hAnsiTheme="majorHAnsi"/>
          <w:spacing w:val="-47"/>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2"/>
          <w:sz w:val="20"/>
          <w:szCs w:val="20"/>
        </w:rPr>
        <w:t xml:space="preserve"> </w:t>
      </w:r>
      <w:r w:rsidRPr="000977F7">
        <w:rPr>
          <w:rFonts w:asciiTheme="majorHAnsi" w:hAnsiTheme="majorHAnsi"/>
          <w:sz w:val="20"/>
          <w:szCs w:val="20"/>
        </w:rPr>
        <w:t>якістю;</w:t>
      </w:r>
    </w:p>
    <w:p w14:paraId="0F71D9FA" w14:textId="77777777" w:rsidR="0097612F" w:rsidRPr="000977F7" w:rsidRDefault="0097612F" w:rsidP="00FD39A4">
      <w:pPr>
        <w:pStyle w:val="ac"/>
        <w:widowControl w:val="0"/>
        <w:numPr>
          <w:ilvl w:val="0"/>
          <w:numId w:val="153"/>
        </w:numPr>
        <w:tabs>
          <w:tab w:val="left" w:pos="284"/>
          <w:tab w:val="left" w:pos="48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сприяючи</w:t>
      </w:r>
      <w:r w:rsidRPr="000977F7">
        <w:rPr>
          <w:rFonts w:asciiTheme="majorHAnsi" w:hAnsiTheme="majorHAnsi"/>
          <w:spacing w:val="-7"/>
          <w:sz w:val="20"/>
          <w:szCs w:val="20"/>
        </w:rPr>
        <w:t xml:space="preserve"> </w:t>
      </w:r>
      <w:r w:rsidRPr="000977F7">
        <w:rPr>
          <w:rFonts w:asciiTheme="majorHAnsi" w:hAnsiTheme="majorHAnsi"/>
          <w:sz w:val="20"/>
          <w:szCs w:val="20"/>
        </w:rPr>
        <w:t>поліпшуванню;</w:t>
      </w:r>
    </w:p>
    <w:p w14:paraId="1DC3F70E" w14:textId="77777777" w:rsidR="0097612F" w:rsidRPr="000977F7" w:rsidRDefault="0097612F" w:rsidP="00FD39A4">
      <w:pPr>
        <w:pStyle w:val="ac"/>
        <w:widowControl w:val="0"/>
        <w:numPr>
          <w:ilvl w:val="0"/>
          <w:numId w:val="153"/>
        </w:numPr>
        <w:tabs>
          <w:tab w:val="left" w:pos="284"/>
          <w:tab w:val="left" w:pos="51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підтримуючи інших відповідних керівників для демонстрування їхнього лідерства в їхніх сферах відповідальності.</w:t>
      </w:r>
    </w:p>
    <w:p w14:paraId="01E9A68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 р и м і т к а; Поняття «бізнес» у цьому стандарті</w:t>
      </w:r>
      <w:r w:rsidRPr="000977F7">
        <w:rPr>
          <w:rFonts w:asciiTheme="majorHAnsi" w:hAnsiTheme="majorHAnsi"/>
          <w:spacing w:val="1"/>
          <w:sz w:val="20"/>
          <w:szCs w:val="20"/>
        </w:rPr>
        <w:t xml:space="preserve"> </w:t>
      </w:r>
      <w:r w:rsidRPr="000977F7">
        <w:rPr>
          <w:rFonts w:asciiTheme="majorHAnsi" w:hAnsiTheme="majorHAnsi"/>
          <w:sz w:val="20"/>
          <w:szCs w:val="20"/>
        </w:rPr>
        <w:t>можна інтерпретувати в широкому сенсі як ті види</w:t>
      </w:r>
      <w:r w:rsidRPr="000977F7">
        <w:rPr>
          <w:rFonts w:asciiTheme="majorHAnsi" w:hAnsiTheme="majorHAnsi"/>
          <w:spacing w:val="1"/>
          <w:sz w:val="20"/>
          <w:szCs w:val="20"/>
        </w:rPr>
        <w:t xml:space="preserve"> </w:t>
      </w:r>
      <w:r w:rsidRPr="000977F7">
        <w:rPr>
          <w:rFonts w:asciiTheme="majorHAnsi" w:hAnsiTheme="majorHAnsi"/>
          <w:sz w:val="20"/>
          <w:szCs w:val="20"/>
        </w:rPr>
        <w:t>діяльності, які є ключовими для цілей існування організації, незалежно від того, чи є вона державною, приватною,</w:t>
      </w:r>
      <w:r w:rsidRPr="000977F7">
        <w:rPr>
          <w:rFonts w:asciiTheme="majorHAnsi" w:hAnsiTheme="majorHAnsi"/>
          <w:spacing w:val="-1"/>
          <w:sz w:val="20"/>
          <w:szCs w:val="20"/>
        </w:rPr>
        <w:t xml:space="preserve"> </w:t>
      </w:r>
      <w:r w:rsidRPr="000977F7">
        <w:rPr>
          <w:rFonts w:asciiTheme="majorHAnsi" w:hAnsiTheme="majorHAnsi"/>
          <w:sz w:val="20"/>
          <w:szCs w:val="20"/>
        </w:rPr>
        <w:t>комерційною</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некомерційною.</w:t>
      </w:r>
    </w:p>
    <w:p w14:paraId="7BA59B9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9001 - 2015</w:t>
      </w:r>
    </w:p>
    <w:p w14:paraId="1B4E21C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ЛІКВІДАЦІЯ</w:t>
      </w:r>
      <w:r w:rsidRPr="000977F7">
        <w:rPr>
          <w:color w:val="auto"/>
          <w:spacing w:val="-4"/>
          <w:sz w:val="20"/>
          <w:szCs w:val="20"/>
        </w:rPr>
        <w:t xml:space="preserve"> </w:t>
      </w:r>
      <w:r w:rsidRPr="000977F7">
        <w:rPr>
          <w:color w:val="auto"/>
          <w:sz w:val="20"/>
          <w:szCs w:val="20"/>
        </w:rPr>
        <w:t>НАСЛІДКІВ</w:t>
      </w:r>
      <w:r w:rsidRPr="000977F7">
        <w:rPr>
          <w:color w:val="auto"/>
          <w:spacing w:val="-1"/>
          <w:sz w:val="20"/>
          <w:szCs w:val="20"/>
        </w:rPr>
        <w:t xml:space="preserve"> </w:t>
      </w:r>
      <w:r w:rsidRPr="000977F7">
        <w:rPr>
          <w:color w:val="auto"/>
          <w:sz w:val="20"/>
          <w:szCs w:val="20"/>
        </w:rPr>
        <w:t>АВАРІЇ</w:t>
      </w:r>
      <w:r w:rsidRPr="000977F7">
        <w:rPr>
          <w:color w:val="auto"/>
          <w:spacing w:val="-4"/>
          <w:sz w:val="20"/>
          <w:szCs w:val="20"/>
        </w:rPr>
        <w:t xml:space="preserve"> </w:t>
      </w:r>
      <w:r w:rsidRPr="000977F7">
        <w:rPr>
          <w:color w:val="auto"/>
          <w:sz w:val="20"/>
          <w:szCs w:val="20"/>
        </w:rPr>
        <w:t>–</w:t>
      </w:r>
    </w:p>
    <w:p w14:paraId="1F72DC3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Режим функціонування, під час якого підприємство</w:t>
      </w:r>
      <w:r w:rsidRPr="000977F7">
        <w:rPr>
          <w:rFonts w:asciiTheme="majorHAnsi" w:hAnsiTheme="majorHAnsi"/>
          <w:spacing w:val="1"/>
          <w:sz w:val="20"/>
          <w:szCs w:val="20"/>
        </w:rPr>
        <w:t xml:space="preserve"> </w:t>
      </w:r>
      <w:r w:rsidRPr="000977F7">
        <w:rPr>
          <w:rFonts w:asciiTheme="majorHAnsi" w:hAnsiTheme="majorHAnsi"/>
          <w:sz w:val="20"/>
          <w:szCs w:val="20"/>
        </w:rPr>
        <w:t>(об’єкт) після аварії переводиться в режим нормальної</w:t>
      </w:r>
      <w:r w:rsidRPr="000977F7">
        <w:rPr>
          <w:rFonts w:asciiTheme="majorHAnsi" w:hAnsiTheme="majorHAnsi"/>
          <w:spacing w:val="-47"/>
          <w:sz w:val="20"/>
          <w:szCs w:val="20"/>
        </w:rPr>
        <w:t xml:space="preserve"> </w:t>
      </w:r>
      <w:r w:rsidRPr="000977F7">
        <w:rPr>
          <w:rFonts w:asciiTheme="majorHAnsi" w:hAnsiTheme="majorHAnsi"/>
          <w:sz w:val="20"/>
          <w:szCs w:val="20"/>
        </w:rPr>
        <w:t>експлуатації або перетворюється в екологічно безпечну</w:t>
      </w:r>
      <w:r w:rsidRPr="000977F7">
        <w:rPr>
          <w:rFonts w:asciiTheme="majorHAnsi" w:hAnsiTheme="majorHAnsi"/>
          <w:spacing w:val="-2"/>
          <w:sz w:val="20"/>
          <w:szCs w:val="20"/>
        </w:rPr>
        <w:t xml:space="preserve"> </w:t>
      </w:r>
      <w:r w:rsidRPr="000977F7">
        <w:rPr>
          <w:rFonts w:asciiTheme="majorHAnsi" w:hAnsiTheme="majorHAnsi"/>
          <w:sz w:val="20"/>
          <w:szCs w:val="20"/>
        </w:rPr>
        <w:t>природно-технологічну</w:t>
      </w:r>
      <w:r w:rsidRPr="000977F7">
        <w:rPr>
          <w:rFonts w:asciiTheme="majorHAnsi" w:hAnsiTheme="majorHAnsi"/>
          <w:spacing w:val="-1"/>
          <w:sz w:val="20"/>
          <w:szCs w:val="20"/>
        </w:rPr>
        <w:t xml:space="preserve"> </w:t>
      </w:r>
      <w:r w:rsidRPr="000977F7">
        <w:rPr>
          <w:rFonts w:asciiTheme="majorHAnsi" w:hAnsiTheme="majorHAnsi"/>
          <w:sz w:val="20"/>
          <w:szCs w:val="20"/>
        </w:rPr>
        <w:t>систему</w:t>
      </w:r>
    </w:p>
    <w:p w14:paraId="1477B6D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2156 - 93</w:t>
      </w:r>
    </w:p>
    <w:p w14:paraId="4FAD8C00" w14:textId="77777777" w:rsidR="0097612F" w:rsidRPr="000977F7" w:rsidRDefault="0097612F" w:rsidP="000977F7">
      <w:pPr>
        <w:pStyle w:val="7"/>
        <w:tabs>
          <w:tab w:val="left" w:pos="284"/>
        </w:tabs>
        <w:spacing w:before="0" w:line="240" w:lineRule="auto"/>
        <w:ind w:left="170"/>
        <w:mirrorIndents/>
        <w:jc w:val="both"/>
        <w:rPr>
          <w:b w:val="0"/>
          <w:color w:val="auto"/>
          <w:spacing w:val="-8"/>
          <w:sz w:val="20"/>
          <w:szCs w:val="20"/>
        </w:rPr>
      </w:pPr>
      <w:r w:rsidRPr="000977F7">
        <w:rPr>
          <w:color w:val="auto"/>
          <w:sz w:val="20"/>
          <w:szCs w:val="20"/>
        </w:rPr>
        <w:t>ЛІМІТИ</w:t>
      </w:r>
      <w:r w:rsidRPr="000977F7">
        <w:rPr>
          <w:color w:val="auto"/>
          <w:spacing w:val="-8"/>
          <w:sz w:val="20"/>
          <w:szCs w:val="20"/>
        </w:rPr>
        <w:t xml:space="preserve"> СКИДІВ ЗАБРУДНЮЮЧИХ РЕЧОВИН </w:t>
      </w:r>
      <w:r w:rsidRPr="000977F7">
        <w:rPr>
          <w:color w:val="auto"/>
          <w:spacing w:val="-8"/>
          <w:w w:val="99"/>
          <w:sz w:val="20"/>
          <w:szCs w:val="20"/>
        </w:rPr>
        <w:t>–</w:t>
      </w:r>
    </w:p>
    <w:p w14:paraId="4FE0C3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Ліміти скидів забруднюючих речовин у навколишнє</w:t>
      </w:r>
      <w:r w:rsidRPr="000977F7">
        <w:rPr>
          <w:rFonts w:asciiTheme="majorHAnsi" w:hAnsiTheme="majorHAnsi"/>
          <w:spacing w:val="1"/>
          <w:sz w:val="20"/>
          <w:szCs w:val="20"/>
        </w:rPr>
        <w:t xml:space="preserve"> </w:t>
      </w:r>
      <w:r w:rsidRPr="000977F7">
        <w:rPr>
          <w:rFonts w:asciiTheme="majorHAnsi" w:hAnsiTheme="majorHAnsi"/>
          <w:sz w:val="20"/>
          <w:szCs w:val="20"/>
        </w:rPr>
        <w:t>природне</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видів</w:t>
      </w:r>
      <w:r w:rsidRPr="000977F7">
        <w:rPr>
          <w:rFonts w:asciiTheme="majorHAnsi" w:hAnsiTheme="majorHAnsi"/>
          <w:spacing w:val="1"/>
          <w:sz w:val="20"/>
          <w:szCs w:val="20"/>
        </w:rPr>
        <w:t xml:space="preserve"> </w:t>
      </w:r>
      <w:r w:rsidRPr="000977F7">
        <w:rPr>
          <w:rFonts w:asciiTheme="majorHAnsi" w:hAnsiTheme="majorHAnsi"/>
          <w:sz w:val="20"/>
          <w:szCs w:val="20"/>
        </w:rPr>
        <w:t>шкідливого</w:t>
      </w:r>
      <w:r w:rsidRPr="000977F7">
        <w:rPr>
          <w:rFonts w:asciiTheme="majorHAnsi" w:hAnsiTheme="majorHAnsi"/>
          <w:spacing w:val="1"/>
          <w:sz w:val="20"/>
          <w:szCs w:val="20"/>
        </w:rPr>
        <w:t xml:space="preserve"> </w:t>
      </w:r>
      <w:r w:rsidRPr="000977F7">
        <w:rPr>
          <w:rFonts w:asciiTheme="majorHAnsi" w:hAnsiTheme="majorHAnsi"/>
          <w:sz w:val="20"/>
          <w:szCs w:val="20"/>
        </w:rPr>
        <w:t>впливу в цілому на території Автономної Республіки</w:t>
      </w:r>
      <w:r w:rsidRPr="000977F7">
        <w:rPr>
          <w:rFonts w:asciiTheme="majorHAnsi" w:hAnsiTheme="majorHAnsi"/>
          <w:spacing w:val="1"/>
          <w:sz w:val="20"/>
          <w:szCs w:val="20"/>
        </w:rPr>
        <w:t xml:space="preserve"> </w:t>
      </w:r>
      <w:r w:rsidRPr="000977F7">
        <w:rPr>
          <w:rFonts w:asciiTheme="majorHAnsi" w:hAnsiTheme="majorHAnsi"/>
          <w:sz w:val="20"/>
          <w:szCs w:val="20"/>
        </w:rPr>
        <w:t>Крим,</w:t>
      </w:r>
      <w:r w:rsidRPr="000977F7">
        <w:rPr>
          <w:rFonts w:asciiTheme="majorHAnsi" w:hAnsiTheme="majorHAnsi"/>
          <w:spacing w:val="1"/>
          <w:sz w:val="20"/>
          <w:szCs w:val="20"/>
        </w:rPr>
        <w:t xml:space="preserve"> </w:t>
      </w:r>
      <w:r w:rsidRPr="000977F7">
        <w:rPr>
          <w:rFonts w:asciiTheme="majorHAnsi" w:hAnsiTheme="majorHAnsi"/>
          <w:sz w:val="20"/>
          <w:szCs w:val="20"/>
        </w:rPr>
        <w:t>областей,</w:t>
      </w:r>
      <w:r w:rsidRPr="000977F7">
        <w:rPr>
          <w:rFonts w:asciiTheme="majorHAnsi" w:hAnsiTheme="majorHAnsi"/>
          <w:spacing w:val="1"/>
          <w:sz w:val="20"/>
          <w:szCs w:val="20"/>
        </w:rPr>
        <w:t xml:space="preserve"> </w:t>
      </w:r>
      <w:r w:rsidRPr="000977F7">
        <w:rPr>
          <w:rFonts w:asciiTheme="majorHAnsi" w:hAnsiTheme="majorHAnsi"/>
          <w:sz w:val="20"/>
          <w:szCs w:val="20"/>
        </w:rPr>
        <w:t>міст</w:t>
      </w:r>
      <w:r w:rsidRPr="000977F7">
        <w:rPr>
          <w:rFonts w:asciiTheme="majorHAnsi" w:hAnsiTheme="majorHAnsi"/>
          <w:spacing w:val="1"/>
          <w:sz w:val="20"/>
          <w:szCs w:val="20"/>
        </w:rPr>
        <w:t xml:space="preserve"> </w:t>
      </w:r>
      <w:r w:rsidRPr="000977F7">
        <w:rPr>
          <w:rFonts w:asciiTheme="majorHAnsi" w:hAnsiTheme="majorHAnsi"/>
          <w:sz w:val="20"/>
          <w:szCs w:val="20"/>
        </w:rPr>
        <w:t>загальнодержавного</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або окремих</w:t>
      </w:r>
      <w:r w:rsidRPr="000977F7">
        <w:rPr>
          <w:rFonts w:asciiTheme="majorHAnsi" w:hAnsiTheme="majorHAnsi"/>
          <w:spacing w:val="-2"/>
          <w:sz w:val="20"/>
          <w:szCs w:val="20"/>
        </w:rPr>
        <w:t xml:space="preserve"> </w:t>
      </w:r>
      <w:r w:rsidRPr="000977F7">
        <w:rPr>
          <w:rFonts w:asciiTheme="majorHAnsi" w:hAnsiTheme="majorHAnsi"/>
          <w:sz w:val="20"/>
          <w:szCs w:val="20"/>
        </w:rPr>
        <w:t>регіонів</w:t>
      </w:r>
      <w:r w:rsidRPr="000977F7">
        <w:rPr>
          <w:rFonts w:asciiTheme="majorHAnsi" w:hAnsiTheme="majorHAnsi"/>
          <w:spacing w:val="2"/>
          <w:sz w:val="20"/>
          <w:szCs w:val="20"/>
        </w:rPr>
        <w:t xml:space="preserve"> </w:t>
      </w:r>
      <w:r w:rsidRPr="000977F7">
        <w:rPr>
          <w:rFonts w:asciiTheme="majorHAnsi" w:hAnsiTheme="majorHAnsi"/>
          <w:sz w:val="20"/>
          <w:szCs w:val="20"/>
        </w:rPr>
        <w:t>встановлюються:</w:t>
      </w:r>
    </w:p>
    <w:p w14:paraId="7CBAD3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разі якщо це призводить до забруднення природних</w:t>
      </w:r>
      <w:r w:rsidRPr="000977F7">
        <w:rPr>
          <w:rFonts w:asciiTheme="majorHAnsi" w:hAnsiTheme="majorHAnsi"/>
          <w:spacing w:val="1"/>
          <w:sz w:val="20"/>
          <w:szCs w:val="20"/>
        </w:rPr>
        <w:t xml:space="preserve"> </w:t>
      </w:r>
      <w:r w:rsidRPr="000977F7">
        <w:rPr>
          <w:rFonts w:asciiTheme="majorHAnsi" w:hAnsiTheme="majorHAnsi"/>
          <w:sz w:val="20"/>
          <w:szCs w:val="20"/>
        </w:rPr>
        <w:t>ресурсів загальнодержавного значення, територій інших</w:t>
      </w:r>
      <w:r w:rsidRPr="000977F7">
        <w:rPr>
          <w:rFonts w:asciiTheme="majorHAnsi" w:hAnsiTheme="majorHAnsi"/>
          <w:spacing w:val="1"/>
          <w:sz w:val="20"/>
          <w:szCs w:val="20"/>
        </w:rPr>
        <w:t xml:space="preserve"> </w:t>
      </w:r>
      <w:r w:rsidRPr="000977F7">
        <w:rPr>
          <w:rFonts w:asciiTheme="majorHAnsi" w:hAnsiTheme="majorHAnsi"/>
          <w:sz w:val="20"/>
          <w:szCs w:val="20"/>
        </w:rPr>
        <w:t>областей,</w:t>
      </w:r>
      <w:r w:rsidRPr="000977F7">
        <w:rPr>
          <w:rFonts w:asciiTheme="majorHAnsi" w:hAnsiTheme="majorHAnsi"/>
          <w:spacing w:val="1"/>
          <w:sz w:val="20"/>
          <w:szCs w:val="20"/>
        </w:rPr>
        <w:t xml:space="preserve"> </w:t>
      </w:r>
      <w:r w:rsidRPr="000977F7">
        <w:rPr>
          <w:rFonts w:asciiTheme="majorHAnsi" w:hAnsiTheme="majorHAnsi"/>
          <w:sz w:val="20"/>
          <w:szCs w:val="20"/>
        </w:rPr>
        <w:t>центральним</w:t>
      </w:r>
      <w:r w:rsidRPr="000977F7">
        <w:rPr>
          <w:rFonts w:asciiTheme="majorHAnsi" w:hAnsiTheme="majorHAnsi"/>
          <w:spacing w:val="1"/>
          <w:sz w:val="20"/>
          <w:szCs w:val="20"/>
        </w:rPr>
        <w:t xml:space="preserve"> </w:t>
      </w:r>
      <w:r w:rsidRPr="000977F7">
        <w:rPr>
          <w:rFonts w:asciiTheme="majorHAnsi" w:hAnsiTheme="majorHAnsi"/>
          <w:sz w:val="20"/>
          <w:szCs w:val="20"/>
        </w:rPr>
        <w:t>органом</w:t>
      </w:r>
      <w:r w:rsidRPr="000977F7">
        <w:rPr>
          <w:rFonts w:asciiTheme="majorHAnsi" w:hAnsiTheme="majorHAnsi"/>
          <w:spacing w:val="1"/>
          <w:sz w:val="20"/>
          <w:szCs w:val="20"/>
        </w:rPr>
        <w:t xml:space="preserve"> </w:t>
      </w:r>
      <w:r w:rsidRPr="000977F7">
        <w:rPr>
          <w:rFonts w:asciiTheme="majorHAnsi" w:hAnsiTheme="majorHAnsi"/>
          <w:sz w:val="20"/>
          <w:szCs w:val="20"/>
        </w:rPr>
        <w:t>виконавчої</w:t>
      </w:r>
      <w:r w:rsidRPr="000977F7">
        <w:rPr>
          <w:rFonts w:asciiTheme="majorHAnsi" w:hAnsiTheme="majorHAnsi"/>
          <w:spacing w:val="1"/>
          <w:sz w:val="20"/>
          <w:szCs w:val="20"/>
        </w:rPr>
        <w:t xml:space="preserve"> </w:t>
      </w:r>
      <w:r w:rsidRPr="000977F7">
        <w:rPr>
          <w:rFonts w:asciiTheme="majorHAnsi" w:hAnsiTheme="majorHAnsi"/>
          <w:sz w:val="20"/>
          <w:szCs w:val="20"/>
        </w:rPr>
        <w:t>влади, що реалізує державну політику у сфері охорони навколишнього природного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p>
    <w:p w14:paraId="2641BF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інших випадках</w:t>
      </w:r>
      <w:r w:rsidRPr="000977F7">
        <w:rPr>
          <w:rFonts w:asciiTheme="majorHAnsi" w:hAnsiTheme="majorHAnsi"/>
          <w:spacing w:val="1"/>
          <w:sz w:val="20"/>
          <w:szCs w:val="20"/>
        </w:rPr>
        <w:t xml:space="preserve"> </w:t>
      </w:r>
      <w:r w:rsidRPr="000977F7">
        <w:rPr>
          <w:rFonts w:asciiTheme="majorHAnsi" w:hAnsiTheme="majorHAnsi"/>
          <w:sz w:val="20"/>
          <w:szCs w:val="20"/>
        </w:rPr>
        <w:t>у порядку,</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встановлюється</w:t>
      </w:r>
      <w:r w:rsidRPr="000977F7">
        <w:rPr>
          <w:rFonts w:asciiTheme="majorHAnsi" w:hAnsiTheme="majorHAnsi"/>
          <w:spacing w:val="1"/>
          <w:sz w:val="20"/>
          <w:szCs w:val="20"/>
        </w:rPr>
        <w:t xml:space="preserve"> </w:t>
      </w:r>
      <w:r w:rsidRPr="000977F7">
        <w:rPr>
          <w:rFonts w:asciiTheme="majorHAnsi" w:hAnsiTheme="majorHAnsi"/>
          <w:sz w:val="20"/>
          <w:szCs w:val="20"/>
        </w:rPr>
        <w:t>Верховною Радою Автономної Республіки Крим, обласними, міськими (міст загальнодержавного значення) радами, за поданням обласних, Київської та Севастопольської міських державних адміністрацій, а на</w:t>
      </w:r>
      <w:r w:rsidRPr="000977F7">
        <w:rPr>
          <w:rFonts w:asciiTheme="majorHAnsi" w:hAnsiTheme="majorHAnsi"/>
          <w:spacing w:val="1"/>
          <w:sz w:val="20"/>
          <w:szCs w:val="20"/>
        </w:rPr>
        <w:t xml:space="preserve"> </w:t>
      </w:r>
      <w:r w:rsidRPr="000977F7">
        <w:rPr>
          <w:rFonts w:asciiTheme="majorHAnsi" w:hAnsiTheme="majorHAnsi"/>
          <w:sz w:val="20"/>
          <w:szCs w:val="20"/>
        </w:rPr>
        <w:t>території Автономної Республіки Крим органу виконавчої влади Автономної Республіки Крим з питань</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3"/>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p>
    <w:p w14:paraId="436315E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Закон України</w:t>
      </w:r>
      <w:r w:rsidRPr="000977F7">
        <w:rPr>
          <w:rFonts w:asciiTheme="majorHAnsi" w:hAnsiTheme="majorHAnsi"/>
          <w:i/>
          <w:spacing w:val="1"/>
          <w:sz w:val="20"/>
          <w:szCs w:val="20"/>
        </w:rPr>
        <w:t xml:space="preserve"> "</w:t>
      </w:r>
      <w:r w:rsidRPr="000977F7">
        <w:rPr>
          <w:rFonts w:asciiTheme="majorHAnsi" w:hAnsiTheme="majorHAnsi"/>
          <w:i/>
          <w:sz w:val="20"/>
          <w:szCs w:val="20"/>
        </w:rPr>
        <w:t>Про охорону навколишнього природного середовища"</w:t>
      </w:r>
    </w:p>
    <w:p w14:paraId="4B4C38C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ЛІМІТНА</w:t>
      </w:r>
      <w:r w:rsidRPr="000977F7">
        <w:rPr>
          <w:color w:val="auto"/>
          <w:spacing w:val="-4"/>
          <w:sz w:val="20"/>
          <w:szCs w:val="20"/>
        </w:rPr>
        <w:t xml:space="preserve"> </w:t>
      </w:r>
      <w:r w:rsidRPr="000977F7">
        <w:rPr>
          <w:color w:val="auto"/>
          <w:sz w:val="20"/>
          <w:szCs w:val="20"/>
        </w:rPr>
        <w:t>ЦІНА -</w:t>
      </w:r>
    </w:p>
    <w:p w14:paraId="462A04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Верхня межа рівня ціни на даний вид продукції, установлена за попередніми даними на початку розробки</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550BD68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ЛІНІЙНА</w:t>
      </w:r>
      <w:r w:rsidRPr="000977F7">
        <w:rPr>
          <w:color w:val="auto"/>
          <w:spacing w:val="-4"/>
          <w:sz w:val="20"/>
          <w:szCs w:val="20"/>
        </w:rPr>
        <w:t xml:space="preserve"> </w:t>
      </w:r>
      <w:r w:rsidRPr="000977F7">
        <w:rPr>
          <w:color w:val="auto"/>
          <w:sz w:val="20"/>
          <w:szCs w:val="20"/>
        </w:rPr>
        <w:t>ДЕФОРМАЦІЯ</w:t>
      </w:r>
      <w:r w:rsidRPr="000977F7">
        <w:rPr>
          <w:color w:val="auto"/>
          <w:spacing w:val="-1"/>
          <w:sz w:val="20"/>
          <w:szCs w:val="20"/>
        </w:rPr>
        <w:t xml:space="preserve"> </w:t>
      </w:r>
      <w:r w:rsidRPr="000977F7">
        <w:rPr>
          <w:color w:val="auto"/>
          <w:sz w:val="20"/>
          <w:szCs w:val="20"/>
        </w:rPr>
        <w:t>–</w:t>
      </w:r>
    </w:p>
    <w:p w14:paraId="42310DF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LINEAR</w:t>
      </w:r>
      <w:r w:rsidRPr="000977F7">
        <w:rPr>
          <w:rFonts w:asciiTheme="majorHAnsi" w:hAnsiTheme="majorHAnsi"/>
          <w:spacing w:val="-4"/>
          <w:sz w:val="20"/>
          <w:szCs w:val="20"/>
        </w:rPr>
        <w:t xml:space="preserve"> </w:t>
      </w:r>
      <w:r w:rsidRPr="000977F7">
        <w:rPr>
          <w:rFonts w:asciiTheme="majorHAnsi" w:hAnsiTheme="majorHAnsi"/>
          <w:sz w:val="20"/>
          <w:szCs w:val="20"/>
        </w:rPr>
        <w:t>STRAIN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6EF1CDA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Границя відношення приросту довжини відрізка заданого напрямку до його початкової довжини при стягуванні</w:t>
      </w:r>
      <w:r w:rsidRPr="000977F7">
        <w:rPr>
          <w:rFonts w:asciiTheme="majorHAnsi" w:hAnsiTheme="majorHAnsi"/>
          <w:spacing w:val="-2"/>
          <w:sz w:val="20"/>
          <w:szCs w:val="20"/>
        </w:rPr>
        <w:t xml:space="preserve"> </w:t>
      </w:r>
      <w:r w:rsidRPr="000977F7">
        <w:rPr>
          <w:rFonts w:asciiTheme="majorHAnsi" w:hAnsiTheme="majorHAnsi"/>
          <w:sz w:val="20"/>
          <w:szCs w:val="20"/>
        </w:rPr>
        <w:t>його</w:t>
      </w:r>
      <w:r w:rsidRPr="000977F7">
        <w:rPr>
          <w:rFonts w:asciiTheme="majorHAnsi" w:hAnsiTheme="majorHAnsi"/>
          <w:spacing w:val="3"/>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точку</w:t>
      </w:r>
    </w:p>
    <w:p w14:paraId="4D6AF1A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2825 - 94</w:t>
      </w:r>
    </w:p>
    <w:p w14:paraId="1AC5953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ЛІНІЙНА</w:t>
      </w:r>
      <w:r w:rsidRPr="000977F7">
        <w:rPr>
          <w:color w:val="auto"/>
          <w:spacing w:val="-4"/>
          <w:sz w:val="20"/>
          <w:szCs w:val="20"/>
        </w:rPr>
        <w:t xml:space="preserve"> </w:t>
      </w:r>
      <w:r w:rsidRPr="000977F7">
        <w:rPr>
          <w:color w:val="auto"/>
          <w:sz w:val="20"/>
          <w:szCs w:val="20"/>
        </w:rPr>
        <w:t>СТРУКТУРА</w:t>
      </w:r>
      <w:r w:rsidRPr="000977F7">
        <w:rPr>
          <w:color w:val="auto"/>
          <w:spacing w:val="-4"/>
          <w:sz w:val="20"/>
          <w:szCs w:val="20"/>
        </w:rPr>
        <w:t xml:space="preserve"> </w:t>
      </w:r>
      <w:r w:rsidRPr="000977F7">
        <w:rPr>
          <w:color w:val="auto"/>
          <w:sz w:val="20"/>
          <w:szCs w:val="20"/>
        </w:rPr>
        <w:t>КЕРУВАННЯ</w:t>
      </w:r>
      <w:r w:rsidRPr="000977F7">
        <w:rPr>
          <w:color w:val="auto"/>
          <w:spacing w:val="-1"/>
          <w:sz w:val="20"/>
          <w:szCs w:val="20"/>
        </w:rPr>
        <w:t xml:space="preserve"> </w:t>
      </w:r>
      <w:r w:rsidRPr="000977F7">
        <w:rPr>
          <w:color w:val="auto"/>
          <w:sz w:val="20"/>
          <w:szCs w:val="20"/>
        </w:rPr>
        <w:t>–</w:t>
      </w:r>
    </w:p>
    <w:p w14:paraId="28FA615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Організаційна структура керування, в якій кожна ланка керування підпорядковується лише одному органу</w:t>
      </w:r>
      <w:r w:rsidRPr="000977F7">
        <w:rPr>
          <w:rFonts w:asciiTheme="majorHAnsi" w:hAnsiTheme="majorHAnsi"/>
          <w:spacing w:val="1"/>
          <w:sz w:val="20"/>
          <w:szCs w:val="20"/>
        </w:rPr>
        <w:t xml:space="preserve"> </w:t>
      </w:r>
      <w:r w:rsidRPr="000977F7">
        <w:rPr>
          <w:rFonts w:asciiTheme="majorHAnsi" w:hAnsiTheme="majorHAnsi"/>
          <w:sz w:val="20"/>
          <w:szCs w:val="20"/>
        </w:rPr>
        <w:t>керування</w:t>
      </w:r>
      <w:r w:rsidRPr="000977F7">
        <w:rPr>
          <w:rFonts w:asciiTheme="majorHAnsi" w:hAnsiTheme="majorHAnsi"/>
          <w:spacing w:val="-2"/>
          <w:sz w:val="20"/>
          <w:szCs w:val="20"/>
        </w:rPr>
        <w:t xml:space="preserve"> </w:t>
      </w:r>
      <w:r w:rsidRPr="000977F7">
        <w:rPr>
          <w:rFonts w:asciiTheme="majorHAnsi" w:hAnsiTheme="majorHAnsi"/>
          <w:sz w:val="20"/>
          <w:szCs w:val="20"/>
        </w:rPr>
        <w:t>вищого</w:t>
      </w:r>
      <w:r w:rsidRPr="000977F7">
        <w:rPr>
          <w:rFonts w:asciiTheme="majorHAnsi" w:hAnsiTheme="majorHAnsi"/>
          <w:spacing w:val="1"/>
          <w:sz w:val="20"/>
          <w:szCs w:val="20"/>
        </w:rPr>
        <w:t xml:space="preserve"> </w:t>
      </w:r>
      <w:r w:rsidRPr="000977F7">
        <w:rPr>
          <w:rFonts w:asciiTheme="majorHAnsi" w:hAnsiTheme="majorHAnsi"/>
          <w:sz w:val="20"/>
          <w:szCs w:val="20"/>
        </w:rPr>
        <w:t>порядку</w:t>
      </w:r>
    </w:p>
    <w:p w14:paraId="2875BBF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2"/>
          <w:sz w:val="20"/>
          <w:szCs w:val="20"/>
        </w:rPr>
        <w:t xml:space="preserve"> </w:t>
      </w:r>
      <w:r w:rsidRPr="000977F7">
        <w:rPr>
          <w:rFonts w:asciiTheme="majorHAnsi" w:hAnsiTheme="majorHAnsi"/>
          <w:i/>
          <w:sz w:val="20"/>
          <w:szCs w:val="20"/>
        </w:rPr>
        <w:t>– 94</w:t>
      </w:r>
      <w:r w:rsidRPr="000977F7">
        <w:rPr>
          <w:rFonts w:asciiTheme="majorHAnsi" w:hAnsiTheme="majorHAnsi"/>
          <w:i/>
          <w:spacing w:val="1"/>
          <w:sz w:val="20"/>
          <w:szCs w:val="20"/>
        </w:rPr>
        <w:t xml:space="preserve"> </w:t>
      </w:r>
      <w:r w:rsidRPr="000977F7">
        <w:rPr>
          <w:rFonts w:asciiTheme="majorHAnsi" w:hAnsiTheme="majorHAnsi"/>
          <w:b/>
          <w:sz w:val="20"/>
          <w:szCs w:val="20"/>
        </w:rPr>
        <w:t>ЛІНІЙНИЙ</w:t>
      </w:r>
      <w:r w:rsidRPr="000977F7">
        <w:rPr>
          <w:rFonts w:asciiTheme="majorHAnsi" w:hAnsiTheme="majorHAnsi"/>
          <w:b/>
          <w:spacing w:val="-10"/>
          <w:sz w:val="20"/>
          <w:szCs w:val="20"/>
        </w:rPr>
        <w:t xml:space="preserve"> </w:t>
      </w:r>
      <w:r w:rsidRPr="000977F7">
        <w:rPr>
          <w:rFonts w:asciiTheme="majorHAnsi" w:hAnsiTheme="majorHAnsi"/>
          <w:b/>
          <w:sz w:val="20"/>
          <w:szCs w:val="20"/>
        </w:rPr>
        <w:t>ІНТЕРФЕЙС</w:t>
      </w:r>
      <w:r w:rsidRPr="000977F7">
        <w:rPr>
          <w:rFonts w:asciiTheme="majorHAnsi" w:hAnsiTheme="majorHAnsi"/>
          <w:sz w:val="20"/>
          <w:szCs w:val="20"/>
        </w:rPr>
        <w:t>LINE</w:t>
      </w:r>
      <w:r w:rsidRPr="000977F7">
        <w:rPr>
          <w:rFonts w:asciiTheme="majorHAnsi" w:hAnsiTheme="majorHAnsi"/>
          <w:spacing w:val="-1"/>
          <w:sz w:val="20"/>
          <w:szCs w:val="20"/>
        </w:rPr>
        <w:t xml:space="preserve"> -</w:t>
      </w:r>
      <w:r w:rsidRPr="000977F7">
        <w:rPr>
          <w:rFonts w:asciiTheme="majorHAnsi" w:hAnsiTheme="majorHAnsi"/>
          <w:sz w:val="20"/>
          <w:szCs w:val="20"/>
        </w:rPr>
        <w:t>INTERFACE -</w:t>
      </w:r>
    </w:p>
    <w:p w14:paraId="47B9FA9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Інформаційний інтерфейс, орієнтований на обмін даними між кількома об’єктами по спільному фізичному</w:t>
      </w:r>
      <w:r w:rsidRPr="000977F7">
        <w:rPr>
          <w:rFonts w:asciiTheme="majorHAnsi" w:hAnsiTheme="majorHAnsi"/>
          <w:spacing w:val="-47"/>
          <w:sz w:val="20"/>
          <w:szCs w:val="20"/>
        </w:rPr>
        <w:t xml:space="preserve"> </w:t>
      </w:r>
      <w:r w:rsidRPr="000977F7">
        <w:rPr>
          <w:rFonts w:asciiTheme="majorHAnsi" w:hAnsiTheme="majorHAnsi"/>
          <w:sz w:val="20"/>
          <w:szCs w:val="20"/>
        </w:rPr>
        <w:t>середовищу</w:t>
      </w:r>
      <w:r w:rsidRPr="000977F7">
        <w:rPr>
          <w:rFonts w:asciiTheme="majorHAnsi" w:hAnsiTheme="majorHAnsi"/>
          <w:spacing w:val="-2"/>
          <w:sz w:val="20"/>
          <w:szCs w:val="20"/>
        </w:rPr>
        <w:t xml:space="preserve"> </w:t>
      </w:r>
      <w:r w:rsidRPr="000977F7">
        <w:rPr>
          <w:rFonts w:asciiTheme="majorHAnsi" w:hAnsiTheme="majorHAnsi"/>
          <w:sz w:val="20"/>
          <w:szCs w:val="20"/>
        </w:rPr>
        <w:t>пересилання,</w:t>
      </w:r>
      <w:r w:rsidRPr="000977F7">
        <w:rPr>
          <w:rFonts w:asciiTheme="majorHAnsi" w:hAnsiTheme="majorHAnsi"/>
          <w:spacing w:val="-1"/>
          <w:sz w:val="20"/>
          <w:szCs w:val="20"/>
        </w:rPr>
        <w:t xml:space="preserve"> </w:t>
      </w:r>
      <w:r w:rsidRPr="000977F7">
        <w:rPr>
          <w:rFonts w:asciiTheme="majorHAnsi" w:hAnsiTheme="majorHAnsi"/>
          <w:sz w:val="20"/>
          <w:szCs w:val="20"/>
        </w:rPr>
        <w:t>яке їх</w:t>
      </w:r>
      <w:r w:rsidRPr="000977F7">
        <w:rPr>
          <w:rFonts w:asciiTheme="majorHAnsi" w:hAnsiTheme="majorHAnsi"/>
          <w:spacing w:val="-3"/>
          <w:sz w:val="20"/>
          <w:szCs w:val="20"/>
        </w:rPr>
        <w:t xml:space="preserve"> </w:t>
      </w:r>
      <w:r w:rsidRPr="000977F7">
        <w:rPr>
          <w:rFonts w:asciiTheme="majorHAnsi" w:hAnsiTheme="majorHAnsi"/>
          <w:sz w:val="20"/>
          <w:szCs w:val="20"/>
        </w:rPr>
        <w:t>з’єднує</w:t>
      </w:r>
    </w:p>
    <w:p w14:paraId="44CFE56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iCs/>
          <w:sz w:val="20"/>
          <w:szCs w:val="20"/>
        </w:rPr>
        <w:t>ДСТУ 3956 - 2000</w:t>
      </w:r>
      <w:r w:rsidRPr="000977F7">
        <w:rPr>
          <w:rFonts w:asciiTheme="majorHAnsi" w:hAnsiTheme="majorHAnsi"/>
          <w:i/>
          <w:iCs/>
          <w:spacing w:val="1"/>
          <w:sz w:val="20"/>
          <w:szCs w:val="20"/>
        </w:rPr>
        <w:t xml:space="preserve"> </w:t>
      </w:r>
      <w:bookmarkStart w:id="116" w:name="_Hlk101074524"/>
      <w:r w:rsidRPr="000977F7">
        <w:rPr>
          <w:rFonts w:asciiTheme="majorHAnsi" w:hAnsiTheme="majorHAnsi"/>
          <w:b/>
          <w:bCs/>
          <w:spacing w:val="-1"/>
          <w:sz w:val="20"/>
          <w:szCs w:val="20"/>
        </w:rPr>
        <w:t xml:space="preserve">ЛІНІЙНИЙ </w:t>
      </w:r>
      <w:r w:rsidRPr="000977F7">
        <w:rPr>
          <w:rFonts w:asciiTheme="majorHAnsi" w:hAnsiTheme="majorHAnsi"/>
          <w:b/>
          <w:bCs/>
          <w:sz w:val="20"/>
          <w:szCs w:val="20"/>
        </w:rPr>
        <w:t>ОБ</w:t>
      </w:r>
      <w:r w:rsidRPr="000977F7">
        <w:rPr>
          <w:rFonts w:asciiTheme="majorHAnsi" w:hAnsiTheme="majorHAnsi"/>
          <w:b/>
          <w:bCs/>
          <w:sz w:val="20"/>
          <w:szCs w:val="20"/>
          <w:rtl/>
        </w:rPr>
        <w:t>׳</w:t>
      </w:r>
      <w:r w:rsidRPr="000977F7">
        <w:rPr>
          <w:rFonts w:asciiTheme="majorHAnsi" w:hAnsiTheme="majorHAnsi"/>
          <w:b/>
          <w:bCs/>
          <w:sz w:val="20"/>
          <w:szCs w:val="20"/>
        </w:rPr>
        <w:t xml:space="preserve">ЄКТ </w:t>
      </w:r>
      <w:r w:rsidRPr="000977F7">
        <w:rPr>
          <w:rFonts w:asciiTheme="majorHAnsi" w:hAnsiTheme="majorHAnsi"/>
          <w:sz w:val="20"/>
          <w:szCs w:val="20"/>
        </w:rPr>
        <w:t>LINEAR</w:t>
      </w:r>
      <w:r w:rsidRPr="000977F7">
        <w:rPr>
          <w:rFonts w:asciiTheme="majorHAnsi" w:hAnsiTheme="majorHAnsi"/>
          <w:spacing w:val="-2"/>
          <w:sz w:val="20"/>
          <w:szCs w:val="20"/>
        </w:rPr>
        <w:t xml:space="preserve"> </w:t>
      </w:r>
      <w:r w:rsidRPr="000977F7">
        <w:rPr>
          <w:rFonts w:asciiTheme="majorHAnsi" w:hAnsiTheme="majorHAnsi"/>
          <w:sz w:val="20"/>
          <w:szCs w:val="20"/>
        </w:rPr>
        <w:t>OBJECT-</w:t>
      </w:r>
    </w:p>
    <w:bookmarkEnd w:id="116"/>
    <w:p w14:paraId="76A052C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w:t>
      </w:r>
      <w:r w:rsidRPr="000977F7">
        <w:rPr>
          <w:rFonts w:asciiTheme="majorHAnsi" w:hAnsiTheme="majorHAnsi"/>
          <w:spacing w:val="1"/>
          <w:sz w:val="20"/>
          <w:szCs w:val="20"/>
        </w:rPr>
        <w:t xml:space="preserve"> </w:t>
      </w:r>
      <w:r w:rsidRPr="000977F7">
        <w:rPr>
          <w:rFonts w:asciiTheme="majorHAnsi" w:hAnsiTheme="majorHAnsi"/>
          <w:sz w:val="20"/>
          <w:szCs w:val="20"/>
        </w:rPr>
        <w:t>у якому параметри</w:t>
      </w:r>
      <w:r w:rsidRPr="000977F7">
        <w:rPr>
          <w:rFonts w:asciiTheme="majorHAnsi" w:hAnsiTheme="majorHAnsi"/>
          <w:spacing w:val="1"/>
          <w:sz w:val="20"/>
          <w:szCs w:val="20"/>
        </w:rPr>
        <w:t xml:space="preserve"> </w:t>
      </w:r>
      <w:r w:rsidRPr="000977F7">
        <w:rPr>
          <w:rFonts w:asciiTheme="majorHAnsi" w:hAnsiTheme="majorHAnsi"/>
          <w:sz w:val="20"/>
          <w:szCs w:val="20"/>
        </w:rPr>
        <w:t>математичної</w:t>
      </w:r>
      <w:r w:rsidRPr="000977F7">
        <w:rPr>
          <w:rFonts w:asciiTheme="majorHAnsi" w:hAnsiTheme="majorHAnsi"/>
          <w:spacing w:val="1"/>
          <w:sz w:val="20"/>
          <w:szCs w:val="20"/>
        </w:rPr>
        <w:t xml:space="preserve"> </w:t>
      </w:r>
      <w:r w:rsidRPr="000977F7">
        <w:rPr>
          <w:rFonts w:asciiTheme="majorHAnsi" w:hAnsiTheme="majorHAnsi"/>
          <w:sz w:val="20"/>
          <w:szCs w:val="20"/>
        </w:rPr>
        <w:t>моделі</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змінюються у разі змінювання змінних величин у діапазоні</w:t>
      </w:r>
      <w:r w:rsidRPr="000977F7">
        <w:rPr>
          <w:rFonts w:asciiTheme="majorHAnsi" w:hAnsiTheme="majorHAnsi"/>
          <w:spacing w:val="-2"/>
          <w:sz w:val="20"/>
          <w:szCs w:val="20"/>
        </w:rPr>
        <w:t xml:space="preserve"> </w:t>
      </w:r>
      <w:r w:rsidRPr="000977F7">
        <w:rPr>
          <w:rFonts w:asciiTheme="majorHAnsi" w:hAnsiTheme="majorHAnsi"/>
          <w:sz w:val="20"/>
          <w:szCs w:val="20"/>
        </w:rPr>
        <w:t>їхніх</w:t>
      </w:r>
      <w:r w:rsidRPr="000977F7">
        <w:rPr>
          <w:rFonts w:asciiTheme="majorHAnsi" w:hAnsiTheme="majorHAnsi"/>
          <w:spacing w:val="-1"/>
          <w:sz w:val="20"/>
          <w:szCs w:val="20"/>
        </w:rPr>
        <w:t xml:space="preserve"> </w:t>
      </w:r>
      <w:r w:rsidRPr="000977F7">
        <w:rPr>
          <w:rFonts w:asciiTheme="majorHAnsi" w:hAnsiTheme="majorHAnsi"/>
          <w:sz w:val="20"/>
          <w:szCs w:val="20"/>
        </w:rPr>
        <w:t>можливих</w:t>
      </w:r>
      <w:r w:rsidRPr="000977F7">
        <w:rPr>
          <w:rFonts w:asciiTheme="majorHAnsi" w:hAnsiTheme="majorHAnsi"/>
          <w:spacing w:val="-1"/>
          <w:sz w:val="20"/>
          <w:szCs w:val="20"/>
        </w:rPr>
        <w:t xml:space="preserve"> </w:t>
      </w:r>
      <w:r w:rsidRPr="000977F7">
        <w:rPr>
          <w:rFonts w:asciiTheme="majorHAnsi" w:hAnsiTheme="majorHAnsi"/>
          <w:sz w:val="20"/>
          <w:szCs w:val="20"/>
        </w:rPr>
        <w:t>значень</w:t>
      </w:r>
    </w:p>
    <w:p w14:paraId="7F942BC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3956 - 2000</w:t>
      </w:r>
    </w:p>
    <w:p w14:paraId="7261486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ЛІНІЙНО – ФУНКЦІЙНА СТРУКТУРА </w:t>
      </w:r>
    </w:p>
    <w:p w14:paraId="1922F3F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КЕРУ</w:t>
      </w:r>
      <w:r w:rsidRPr="000977F7">
        <w:rPr>
          <w:color w:val="auto"/>
          <w:spacing w:val="-48"/>
          <w:sz w:val="20"/>
          <w:szCs w:val="20"/>
        </w:rPr>
        <w:t xml:space="preserve"> </w:t>
      </w:r>
      <w:r w:rsidRPr="000977F7">
        <w:rPr>
          <w:color w:val="auto"/>
          <w:sz w:val="20"/>
          <w:szCs w:val="20"/>
        </w:rPr>
        <w:t>ВАННЯ –</w:t>
      </w:r>
    </w:p>
    <w:p w14:paraId="6CF69AF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pacing w:val="-10"/>
          <w:sz w:val="20"/>
          <w:szCs w:val="20"/>
          <w:lang w:val="uk-UA"/>
        </w:rPr>
        <w:t xml:space="preserve">Організаційна </w:t>
      </w:r>
      <w:r w:rsidRPr="004D2D14">
        <w:rPr>
          <w:rFonts w:asciiTheme="majorHAnsi" w:hAnsiTheme="majorHAnsi"/>
          <w:spacing w:val="-9"/>
          <w:sz w:val="20"/>
          <w:szCs w:val="20"/>
          <w:lang w:val="uk-UA"/>
        </w:rPr>
        <w:t>структура керування, за якої функційні ланки</w:t>
      </w:r>
      <w:r w:rsidRPr="004D2D14">
        <w:rPr>
          <w:rFonts w:asciiTheme="majorHAnsi" w:hAnsiTheme="majorHAnsi"/>
          <w:spacing w:val="-8"/>
          <w:sz w:val="20"/>
          <w:szCs w:val="20"/>
          <w:lang w:val="uk-UA"/>
        </w:rPr>
        <w:t xml:space="preserve"> та їх керівники не мають права віддавати </w:t>
      </w:r>
      <w:r w:rsidRPr="004D2D14">
        <w:rPr>
          <w:rFonts w:asciiTheme="majorHAnsi" w:hAnsiTheme="majorHAnsi"/>
          <w:spacing w:val="-7"/>
          <w:sz w:val="20"/>
          <w:szCs w:val="20"/>
          <w:lang w:val="uk-UA"/>
        </w:rPr>
        <w:t>розпорядження, а</w:t>
      </w:r>
      <w:r w:rsidRPr="004D2D14">
        <w:rPr>
          <w:rFonts w:asciiTheme="majorHAnsi" w:hAnsiTheme="majorHAnsi"/>
          <w:spacing w:val="-6"/>
          <w:sz w:val="20"/>
          <w:szCs w:val="20"/>
          <w:lang w:val="uk-UA"/>
        </w:rPr>
        <w:t xml:space="preserve"> </w:t>
      </w:r>
      <w:r w:rsidRPr="004D2D14">
        <w:rPr>
          <w:rFonts w:asciiTheme="majorHAnsi" w:hAnsiTheme="majorHAnsi"/>
          <w:spacing w:val="-4"/>
          <w:w w:val="95"/>
          <w:sz w:val="20"/>
          <w:szCs w:val="20"/>
          <w:lang w:val="uk-UA"/>
        </w:rPr>
        <w:t>лише</w:t>
      </w:r>
      <w:r w:rsidRPr="004D2D14">
        <w:rPr>
          <w:rFonts w:asciiTheme="majorHAnsi" w:hAnsiTheme="majorHAnsi"/>
          <w:spacing w:val="-17"/>
          <w:w w:val="95"/>
          <w:sz w:val="20"/>
          <w:szCs w:val="20"/>
          <w:lang w:val="uk-UA"/>
        </w:rPr>
        <w:t xml:space="preserve"> </w:t>
      </w:r>
      <w:r w:rsidRPr="004D2D14">
        <w:rPr>
          <w:rFonts w:asciiTheme="majorHAnsi" w:hAnsiTheme="majorHAnsi"/>
          <w:spacing w:val="-4"/>
          <w:w w:val="95"/>
          <w:sz w:val="20"/>
          <w:szCs w:val="20"/>
          <w:lang w:val="uk-UA"/>
        </w:rPr>
        <w:t>готують</w:t>
      </w:r>
      <w:r w:rsidRPr="004D2D14">
        <w:rPr>
          <w:rFonts w:asciiTheme="majorHAnsi" w:hAnsiTheme="majorHAnsi"/>
          <w:spacing w:val="-16"/>
          <w:w w:val="95"/>
          <w:sz w:val="20"/>
          <w:szCs w:val="20"/>
          <w:lang w:val="uk-UA"/>
        </w:rPr>
        <w:t xml:space="preserve"> </w:t>
      </w:r>
      <w:r w:rsidRPr="004D2D14">
        <w:rPr>
          <w:rFonts w:asciiTheme="majorHAnsi" w:hAnsiTheme="majorHAnsi"/>
          <w:spacing w:val="-4"/>
          <w:w w:val="95"/>
          <w:sz w:val="20"/>
          <w:szCs w:val="20"/>
          <w:lang w:val="uk-UA"/>
        </w:rPr>
        <w:t>рішення</w:t>
      </w:r>
      <w:r w:rsidRPr="004D2D14">
        <w:rPr>
          <w:rFonts w:asciiTheme="majorHAnsi" w:hAnsiTheme="majorHAnsi"/>
          <w:spacing w:val="-18"/>
          <w:w w:val="95"/>
          <w:sz w:val="20"/>
          <w:szCs w:val="20"/>
          <w:lang w:val="uk-UA"/>
        </w:rPr>
        <w:t xml:space="preserve"> </w:t>
      </w:r>
      <w:r w:rsidRPr="004D2D14">
        <w:rPr>
          <w:rFonts w:asciiTheme="majorHAnsi" w:hAnsiTheme="majorHAnsi"/>
          <w:spacing w:val="-4"/>
          <w:w w:val="95"/>
          <w:sz w:val="20"/>
          <w:szCs w:val="20"/>
          <w:lang w:val="uk-UA"/>
        </w:rPr>
        <w:t>для</w:t>
      </w:r>
      <w:r w:rsidRPr="004D2D14">
        <w:rPr>
          <w:rFonts w:asciiTheme="majorHAnsi" w:hAnsiTheme="majorHAnsi"/>
          <w:spacing w:val="-17"/>
          <w:w w:val="95"/>
          <w:sz w:val="20"/>
          <w:szCs w:val="20"/>
          <w:lang w:val="uk-UA"/>
        </w:rPr>
        <w:t xml:space="preserve"> </w:t>
      </w:r>
      <w:r w:rsidRPr="004D2D14">
        <w:rPr>
          <w:rFonts w:asciiTheme="majorHAnsi" w:hAnsiTheme="majorHAnsi"/>
          <w:spacing w:val="-4"/>
          <w:w w:val="95"/>
          <w:sz w:val="20"/>
          <w:szCs w:val="20"/>
          <w:lang w:val="uk-UA"/>
        </w:rPr>
        <w:t>лінійної</w:t>
      </w:r>
      <w:r w:rsidRPr="004D2D14">
        <w:rPr>
          <w:rFonts w:asciiTheme="majorHAnsi" w:hAnsiTheme="majorHAnsi"/>
          <w:spacing w:val="-17"/>
          <w:w w:val="95"/>
          <w:sz w:val="20"/>
          <w:szCs w:val="20"/>
          <w:lang w:val="uk-UA"/>
        </w:rPr>
        <w:t xml:space="preserve"> </w:t>
      </w:r>
      <w:r w:rsidRPr="004D2D14">
        <w:rPr>
          <w:rFonts w:asciiTheme="majorHAnsi" w:hAnsiTheme="majorHAnsi"/>
          <w:spacing w:val="-4"/>
          <w:w w:val="95"/>
          <w:sz w:val="20"/>
          <w:szCs w:val="20"/>
          <w:lang w:val="uk-UA"/>
        </w:rPr>
        <w:t>ланки</w:t>
      </w:r>
      <w:r w:rsidRPr="004D2D14">
        <w:rPr>
          <w:rFonts w:asciiTheme="majorHAnsi" w:hAnsiTheme="majorHAnsi"/>
          <w:spacing w:val="-17"/>
          <w:w w:val="95"/>
          <w:sz w:val="20"/>
          <w:szCs w:val="20"/>
          <w:lang w:val="uk-UA"/>
        </w:rPr>
        <w:t xml:space="preserve"> </w:t>
      </w:r>
      <w:r w:rsidRPr="004D2D14">
        <w:rPr>
          <w:rFonts w:asciiTheme="majorHAnsi" w:hAnsiTheme="majorHAnsi"/>
          <w:spacing w:val="-4"/>
          <w:w w:val="95"/>
          <w:sz w:val="20"/>
          <w:szCs w:val="20"/>
          <w:lang w:val="uk-UA"/>
        </w:rPr>
        <w:t>та</w:t>
      </w:r>
      <w:r w:rsidRPr="004D2D14">
        <w:rPr>
          <w:rFonts w:asciiTheme="majorHAnsi" w:hAnsiTheme="majorHAnsi"/>
          <w:spacing w:val="-16"/>
          <w:w w:val="95"/>
          <w:sz w:val="20"/>
          <w:szCs w:val="20"/>
          <w:lang w:val="uk-UA"/>
        </w:rPr>
        <w:t xml:space="preserve"> </w:t>
      </w:r>
      <w:r w:rsidRPr="004D2D14">
        <w:rPr>
          <w:rFonts w:asciiTheme="majorHAnsi" w:hAnsiTheme="majorHAnsi"/>
          <w:spacing w:val="-4"/>
          <w:w w:val="95"/>
          <w:sz w:val="20"/>
          <w:szCs w:val="20"/>
          <w:lang w:val="uk-UA"/>
        </w:rPr>
        <w:t>її</w:t>
      </w:r>
      <w:r w:rsidRPr="004D2D14">
        <w:rPr>
          <w:rFonts w:asciiTheme="majorHAnsi" w:hAnsiTheme="majorHAnsi"/>
          <w:spacing w:val="-17"/>
          <w:w w:val="95"/>
          <w:sz w:val="20"/>
          <w:szCs w:val="20"/>
          <w:lang w:val="uk-UA"/>
        </w:rPr>
        <w:t xml:space="preserve"> </w:t>
      </w:r>
      <w:r w:rsidRPr="004D2D14">
        <w:rPr>
          <w:rFonts w:asciiTheme="majorHAnsi" w:hAnsiTheme="majorHAnsi"/>
          <w:spacing w:val="-4"/>
          <w:w w:val="95"/>
          <w:sz w:val="20"/>
          <w:szCs w:val="20"/>
          <w:lang w:val="uk-UA"/>
        </w:rPr>
        <w:t>керівника</w:t>
      </w:r>
    </w:p>
    <w:p w14:paraId="4BA37A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99A98E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 умовах промислового виробництва лінійно – функційна структура реалізується в таких варіантах: корпусна, цехова,</w:t>
      </w:r>
      <w:r w:rsidRPr="000977F7">
        <w:rPr>
          <w:rFonts w:asciiTheme="majorHAnsi" w:hAnsiTheme="majorHAnsi"/>
          <w:spacing w:val="-1"/>
          <w:sz w:val="20"/>
          <w:szCs w:val="20"/>
        </w:rPr>
        <w:t xml:space="preserve"> </w:t>
      </w:r>
      <w:r w:rsidRPr="000977F7">
        <w:rPr>
          <w:rFonts w:asciiTheme="majorHAnsi" w:hAnsiTheme="majorHAnsi"/>
          <w:sz w:val="20"/>
          <w:szCs w:val="20"/>
        </w:rPr>
        <w:t>безцехова,</w:t>
      </w:r>
      <w:r w:rsidRPr="000977F7">
        <w:rPr>
          <w:rFonts w:asciiTheme="majorHAnsi" w:hAnsiTheme="majorHAnsi"/>
          <w:spacing w:val="1"/>
          <w:sz w:val="20"/>
          <w:szCs w:val="20"/>
        </w:rPr>
        <w:t xml:space="preserve"> </w:t>
      </w:r>
      <w:r w:rsidRPr="000977F7">
        <w:rPr>
          <w:rFonts w:asciiTheme="majorHAnsi" w:hAnsiTheme="majorHAnsi"/>
          <w:sz w:val="20"/>
          <w:szCs w:val="20"/>
        </w:rPr>
        <w:t>матрична</w:t>
      </w:r>
    </w:p>
    <w:p w14:paraId="1AE8C29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E7CF6AF"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b/>
          <w:bCs/>
          <w:iCs/>
          <w:sz w:val="20"/>
          <w:szCs w:val="20"/>
        </w:rPr>
        <w:t>ЛІФТ</w:t>
      </w:r>
      <w:r w:rsidRPr="000977F7">
        <w:rPr>
          <w:rFonts w:asciiTheme="majorHAnsi" w:hAnsiTheme="majorHAnsi"/>
          <w:iCs/>
          <w:sz w:val="20"/>
          <w:szCs w:val="20"/>
        </w:rPr>
        <w:t xml:space="preserve"> –</w:t>
      </w:r>
    </w:p>
    <w:p w14:paraId="4B1098C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Підіймальний пристрій, що обслуговує конкретні рівні, має пристрій для перевезення, що рухається жорсткими напрямними, нахиленими під кутом понад 15° до горизонталі, або підіймальний пристрій, що рухається уздовж фіксованого напрямку, зокрема у разі, коли він не рухається жорсткими напрямними</w:t>
      </w:r>
    </w:p>
    <w:p w14:paraId="56C0DD48"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shd w:val="clear" w:color="auto" w:fill="FFFFFF"/>
        </w:rPr>
      </w:pPr>
      <w:r w:rsidRPr="000977F7">
        <w:rPr>
          <w:rFonts w:asciiTheme="majorHAnsi" w:hAnsiTheme="majorHAnsi"/>
          <w:i/>
          <w:iCs/>
          <w:sz w:val="20"/>
          <w:szCs w:val="20"/>
          <w:shd w:val="clear" w:color="auto" w:fill="FFFFFF"/>
        </w:rPr>
        <w:t>Технічний регламент ліфтів і компонентів безпеки для ліфтів</w:t>
      </w:r>
    </w:p>
    <w:p w14:paraId="3FF603B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ЛІЦЕНЗІАР -</w:t>
      </w:r>
    </w:p>
    <w:p w14:paraId="5BF8BD1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Сторона</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ліцензійній</w:t>
      </w:r>
      <w:r w:rsidRPr="000977F7">
        <w:rPr>
          <w:rFonts w:asciiTheme="majorHAnsi" w:hAnsiTheme="majorHAnsi"/>
          <w:spacing w:val="1"/>
          <w:sz w:val="20"/>
          <w:szCs w:val="20"/>
        </w:rPr>
        <w:t xml:space="preserve"> </w:t>
      </w:r>
      <w:r w:rsidRPr="000977F7">
        <w:rPr>
          <w:rFonts w:asciiTheme="majorHAnsi" w:hAnsiTheme="majorHAnsi"/>
          <w:sz w:val="20"/>
          <w:szCs w:val="20"/>
        </w:rPr>
        <w:t>угоді,</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передає</w:t>
      </w:r>
      <w:r w:rsidRPr="000977F7">
        <w:rPr>
          <w:rFonts w:asciiTheme="majorHAnsi" w:hAnsiTheme="majorHAnsi"/>
          <w:spacing w:val="1"/>
          <w:sz w:val="20"/>
          <w:szCs w:val="20"/>
        </w:rPr>
        <w:t xml:space="preserve"> </w:t>
      </w:r>
      <w:r w:rsidRPr="000977F7">
        <w:rPr>
          <w:rFonts w:asciiTheme="majorHAnsi" w:hAnsiTheme="majorHAnsi"/>
          <w:sz w:val="20"/>
          <w:szCs w:val="20"/>
        </w:rPr>
        <w:t>ліцензіату</w:t>
      </w:r>
      <w:r w:rsidRPr="000977F7">
        <w:rPr>
          <w:rFonts w:asciiTheme="majorHAnsi" w:hAnsiTheme="majorHAnsi"/>
          <w:spacing w:val="-47"/>
          <w:sz w:val="20"/>
          <w:szCs w:val="20"/>
        </w:rPr>
        <w:t xml:space="preserve"> </w:t>
      </w:r>
      <w:r w:rsidRPr="000977F7">
        <w:rPr>
          <w:rFonts w:asciiTheme="majorHAnsi" w:hAnsiTheme="majorHAnsi"/>
          <w:sz w:val="20"/>
          <w:szCs w:val="20"/>
        </w:rPr>
        <w:t>право на</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ліцензії</w:t>
      </w:r>
    </w:p>
    <w:p w14:paraId="707C38F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ЛІЦЕНЗІАТ -</w:t>
      </w:r>
    </w:p>
    <w:p w14:paraId="68A2020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Сторона,</w:t>
      </w:r>
      <w:r w:rsidRPr="000977F7">
        <w:rPr>
          <w:rFonts w:asciiTheme="majorHAnsi" w:hAnsiTheme="majorHAnsi"/>
          <w:spacing w:val="36"/>
          <w:sz w:val="20"/>
          <w:szCs w:val="20"/>
        </w:rPr>
        <w:t xml:space="preserve"> </w:t>
      </w:r>
      <w:r w:rsidRPr="000977F7">
        <w:rPr>
          <w:rFonts w:asciiTheme="majorHAnsi" w:hAnsiTheme="majorHAnsi"/>
          <w:sz w:val="20"/>
          <w:szCs w:val="20"/>
        </w:rPr>
        <w:t>яка</w:t>
      </w:r>
      <w:r w:rsidRPr="000977F7">
        <w:rPr>
          <w:rFonts w:asciiTheme="majorHAnsi" w:hAnsiTheme="majorHAnsi"/>
          <w:spacing w:val="37"/>
          <w:sz w:val="20"/>
          <w:szCs w:val="20"/>
        </w:rPr>
        <w:t xml:space="preserve"> </w:t>
      </w:r>
      <w:r w:rsidRPr="000977F7">
        <w:rPr>
          <w:rFonts w:asciiTheme="majorHAnsi" w:hAnsiTheme="majorHAnsi"/>
          <w:sz w:val="20"/>
          <w:szCs w:val="20"/>
        </w:rPr>
        <w:t>отримує</w:t>
      </w:r>
      <w:r w:rsidRPr="000977F7">
        <w:rPr>
          <w:rFonts w:asciiTheme="majorHAnsi" w:hAnsiTheme="majorHAnsi"/>
          <w:spacing w:val="40"/>
          <w:sz w:val="20"/>
          <w:szCs w:val="20"/>
        </w:rPr>
        <w:t xml:space="preserve"> </w:t>
      </w:r>
      <w:r w:rsidRPr="000977F7">
        <w:rPr>
          <w:rFonts w:asciiTheme="majorHAnsi" w:hAnsiTheme="majorHAnsi"/>
          <w:sz w:val="20"/>
          <w:szCs w:val="20"/>
        </w:rPr>
        <w:t>у</w:t>
      </w:r>
      <w:r w:rsidRPr="000977F7">
        <w:rPr>
          <w:rFonts w:asciiTheme="majorHAnsi" w:hAnsiTheme="majorHAnsi"/>
          <w:spacing w:val="35"/>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36"/>
          <w:sz w:val="20"/>
          <w:szCs w:val="20"/>
        </w:rPr>
        <w:t xml:space="preserve"> </w:t>
      </w:r>
      <w:r w:rsidRPr="000977F7">
        <w:rPr>
          <w:rFonts w:asciiTheme="majorHAnsi" w:hAnsiTheme="majorHAnsi"/>
          <w:sz w:val="20"/>
          <w:szCs w:val="20"/>
        </w:rPr>
        <w:t>з</w:t>
      </w:r>
      <w:r w:rsidRPr="000977F7">
        <w:rPr>
          <w:rFonts w:asciiTheme="majorHAnsi" w:hAnsiTheme="majorHAnsi"/>
          <w:spacing w:val="37"/>
          <w:sz w:val="20"/>
          <w:szCs w:val="20"/>
        </w:rPr>
        <w:t xml:space="preserve"> </w:t>
      </w:r>
      <w:r w:rsidRPr="000977F7">
        <w:rPr>
          <w:rFonts w:asciiTheme="majorHAnsi" w:hAnsiTheme="majorHAnsi"/>
          <w:sz w:val="20"/>
          <w:szCs w:val="20"/>
        </w:rPr>
        <w:t>ліцензійною</w:t>
      </w:r>
      <w:r w:rsidRPr="000977F7">
        <w:rPr>
          <w:rFonts w:asciiTheme="majorHAnsi" w:hAnsiTheme="majorHAnsi"/>
          <w:spacing w:val="-47"/>
          <w:sz w:val="20"/>
          <w:szCs w:val="20"/>
        </w:rPr>
        <w:t xml:space="preserve"> </w:t>
      </w:r>
      <w:r w:rsidRPr="000977F7">
        <w:rPr>
          <w:rFonts w:asciiTheme="majorHAnsi" w:hAnsiTheme="majorHAnsi"/>
          <w:sz w:val="20"/>
          <w:szCs w:val="20"/>
        </w:rPr>
        <w:t>угодою право на використання об’єкта ліцензії</w:t>
      </w:r>
    </w:p>
    <w:p w14:paraId="2A344CC4"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ЛІЦЕНЗІАТ</w:t>
      </w:r>
      <w:r w:rsidRPr="004D2D14">
        <w:rPr>
          <w:rFonts w:asciiTheme="majorHAnsi" w:hAnsiTheme="majorHAnsi"/>
          <w:b/>
          <w:sz w:val="20"/>
          <w:szCs w:val="20"/>
          <w:lang w:val="en-US"/>
        </w:rPr>
        <w:t xml:space="preserve"> (</w:t>
      </w:r>
      <w:r w:rsidRPr="000977F7">
        <w:rPr>
          <w:rFonts w:asciiTheme="majorHAnsi" w:hAnsiTheme="majorHAnsi"/>
          <w:b/>
          <w:sz w:val="20"/>
          <w:szCs w:val="20"/>
        </w:rPr>
        <w:t>В</w:t>
      </w:r>
      <w:r w:rsidRPr="004D2D14">
        <w:rPr>
          <w:rFonts w:asciiTheme="majorHAnsi" w:hAnsiTheme="majorHAnsi"/>
          <w:b/>
          <w:sz w:val="20"/>
          <w:szCs w:val="20"/>
          <w:lang w:val="en-US"/>
        </w:rPr>
        <w:t xml:space="preserve"> </w:t>
      </w:r>
      <w:r w:rsidRPr="000977F7">
        <w:rPr>
          <w:rFonts w:asciiTheme="majorHAnsi" w:hAnsiTheme="majorHAnsi"/>
          <w:b/>
          <w:sz w:val="20"/>
          <w:szCs w:val="20"/>
        </w:rPr>
        <w:t>ГАЛУЗІ</w:t>
      </w:r>
      <w:r w:rsidRPr="004D2D14">
        <w:rPr>
          <w:rFonts w:asciiTheme="majorHAnsi" w:hAnsiTheme="majorHAnsi"/>
          <w:b/>
          <w:sz w:val="20"/>
          <w:szCs w:val="20"/>
          <w:lang w:val="en-US"/>
        </w:rPr>
        <w:t xml:space="preserve"> </w:t>
      </w:r>
      <w:r w:rsidRPr="000977F7">
        <w:rPr>
          <w:rFonts w:asciiTheme="majorHAnsi" w:hAnsiTheme="majorHAnsi"/>
          <w:b/>
          <w:sz w:val="20"/>
          <w:szCs w:val="20"/>
        </w:rPr>
        <w:t>СЕРТИФІКАЦІЇ</w:t>
      </w:r>
      <w:r w:rsidRPr="004D2D14">
        <w:rPr>
          <w:rFonts w:asciiTheme="majorHAnsi" w:hAnsiTheme="majorHAnsi"/>
          <w:b/>
          <w:sz w:val="20"/>
          <w:szCs w:val="20"/>
          <w:lang w:val="en-US"/>
        </w:rPr>
        <w:t xml:space="preserve">) </w:t>
      </w:r>
      <w:r w:rsidRPr="004D2D14">
        <w:rPr>
          <w:rFonts w:asciiTheme="majorHAnsi" w:hAnsiTheme="majorHAnsi"/>
          <w:sz w:val="20"/>
          <w:szCs w:val="20"/>
          <w:lang w:val="en-US"/>
        </w:rPr>
        <w:t>–LICENSEE (FOR</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CERTIFICATION)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3371B1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Особа чи орган, якому будь-яким органом з сертифікації</w:t>
      </w:r>
      <w:r w:rsidRPr="000977F7">
        <w:rPr>
          <w:rFonts w:asciiTheme="majorHAnsi" w:hAnsiTheme="majorHAnsi"/>
          <w:spacing w:val="1"/>
          <w:sz w:val="20"/>
          <w:szCs w:val="20"/>
        </w:rPr>
        <w:t xml:space="preserve"> </w:t>
      </w:r>
      <w:r w:rsidRPr="000977F7">
        <w:rPr>
          <w:rFonts w:asciiTheme="majorHAnsi" w:hAnsiTheme="majorHAnsi"/>
          <w:sz w:val="20"/>
          <w:szCs w:val="20"/>
        </w:rPr>
        <w:t>видано відповідне свідоцтво</w:t>
      </w:r>
    </w:p>
    <w:p w14:paraId="2BB735D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ЛІЦЕНЗІЙНА</w:t>
      </w:r>
      <w:r w:rsidRPr="000977F7">
        <w:rPr>
          <w:color w:val="auto"/>
          <w:spacing w:val="-4"/>
          <w:sz w:val="20"/>
          <w:szCs w:val="20"/>
        </w:rPr>
        <w:t xml:space="preserve"> </w:t>
      </w:r>
      <w:r w:rsidRPr="000977F7">
        <w:rPr>
          <w:color w:val="auto"/>
          <w:sz w:val="20"/>
          <w:szCs w:val="20"/>
        </w:rPr>
        <w:t>УГОДА</w:t>
      </w:r>
      <w:r w:rsidRPr="000977F7">
        <w:rPr>
          <w:color w:val="auto"/>
          <w:spacing w:val="-1"/>
          <w:sz w:val="20"/>
          <w:szCs w:val="20"/>
        </w:rPr>
        <w:t xml:space="preserve"> </w:t>
      </w:r>
      <w:r w:rsidRPr="000977F7">
        <w:rPr>
          <w:color w:val="auto"/>
          <w:sz w:val="20"/>
          <w:szCs w:val="20"/>
        </w:rPr>
        <w:t>-</w:t>
      </w:r>
    </w:p>
    <w:p w14:paraId="2E994B3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Угода або договір, за яким одна сторона передає другій стороні право на використання об’єкта ліцензій за</w:t>
      </w:r>
      <w:r w:rsidRPr="000977F7">
        <w:rPr>
          <w:rFonts w:asciiTheme="majorHAnsi" w:hAnsiTheme="majorHAnsi"/>
          <w:spacing w:val="1"/>
          <w:sz w:val="20"/>
          <w:szCs w:val="20"/>
        </w:rPr>
        <w:t xml:space="preserve"> </w:t>
      </w:r>
      <w:r w:rsidRPr="000977F7">
        <w:rPr>
          <w:rFonts w:asciiTheme="majorHAnsi" w:hAnsiTheme="majorHAnsi"/>
          <w:sz w:val="20"/>
          <w:szCs w:val="20"/>
        </w:rPr>
        <w:t>визначеними умовами</w:t>
      </w:r>
    </w:p>
    <w:p w14:paraId="49E7CCE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ЛІЦЕНЗІЙНА</w:t>
      </w:r>
      <w:r w:rsidRPr="000977F7">
        <w:rPr>
          <w:color w:val="auto"/>
          <w:spacing w:val="-4"/>
          <w:sz w:val="20"/>
          <w:szCs w:val="20"/>
        </w:rPr>
        <w:t xml:space="preserve"> </w:t>
      </w:r>
      <w:r w:rsidRPr="000977F7">
        <w:rPr>
          <w:color w:val="auto"/>
          <w:sz w:val="20"/>
          <w:szCs w:val="20"/>
        </w:rPr>
        <w:t>ТОРГІВЛЯ</w:t>
      </w:r>
      <w:r w:rsidRPr="000977F7">
        <w:rPr>
          <w:color w:val="auto"/>
          <w:spacing w:val="-1"/>
          <w:sz w:val="20"/>
          <w:szCs w:val="20"/>
        </w:rPr>
        <w:t xml:space="preserve"> </w:t>
      </w:r>
      <w:r w:rsidRPr="000977F7">
        <w:rPr>
          <w:color w:val="auto"/>
          <w:sz w:val="20"/>
          <w:szCs w:val="20"/>
        </w:rPr>
        <w:t>–</w:t>
      </w:r>
    </w:p>
    <w:p w14:paraId="5CACBC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Основна</w:t>
      </w:r>
      <w:r w:rsidRPr="000977F7">
        <w:rPr>
          <w:rFonts w:asciiTheme="majorHAnsi" w:hAnsiTheme="majorHAnsi"/>
          <w:spacing w:val="-5"/>
          <w:sz w:val="20"/>
          <w:szCs w:val="20"/>
        </w:rPr>
        <w:t xml:space="preserve"> </w:t>
      </w:r>
      <w:r w:rsidRPr="000977F7">
        <w:rPr>
          <w:rFonts w:asciiTheme="majorHAnsi" w:hAnsiTheme="majorHAnsi"/>
          <w:sz w:val="20"/>
          <w:szCs w:val="20"/>
        </w:rPr>
        <w:t>форма</w:t>
      </w:r>
      <w:r w:rsidRPr="000977F7">
        <w:rPr>
          <w:rFonts w:asciiTheme="majorHAnsi" w:hAnsiTheme="majorHAnsi"/>
          <w:spacing w:val="-4"/>
          <w:sz w:val="20"/>
          <w:szCs w:val="20"/>
        </w:rPr>
        <w:t xml:space="preserve"> </w:t>
      </w:r>
      <w:r w:rsidRPr="000977F7">
        <w:rPr>
          <w:rFonts w:asciiTheme="majorHAnsi" w:hAnsiTheme="majorHAnsi"/>
          <w:sz w:val="20"/>
          <w:szCs w:val="20"/>
        </w:rPr>
        <w:t>міжнародної</w:t>
      </w:r>
      <w:r w:rsidRPr="000977F7">
        <w:rPr>
          <w:rFonts w:asciiTheme="majorHAnsi" w:hAnsiTheme="majorHAnsi"/>
          <w:spacing w:val="-5"/>
          <w:sz w:val="20"/>
          <w:szCs w:val="20"/>
        </w:rPr>
        <w:t xml:space="preserve"> </w:t>
      </w:r>
      <w:r w:rsidRPr="000977F7">
        <w:rPr>
          <w:rFonts w:asciiTheme="majorHAnsi" w:hAnsiTheme="majorHAnsi"/>
          <w:sz w:val="20"/>
          <w:szCs w:val="20"/>
        </w:rPr>
        <w:t>торгівлі</w:t>
      </w:r>
      <w:r w:rsidRPr="000977F7">
        <w:rPr>
          <w:rFonts w:asciiTheme="majorHAnsi" w:hAnsiTheme="majorHAnsi"/>
          <w:spacing w:val="-5"/>
          <w:sz w:val="20"/>
          <w:szCs w:val="20"/>
        </w:rPr>
        <w:t xml:space="preserve"> </w:t>
      </w:r>
      <w:r w:rsidRPr="000977F7">
        <w:rPr>
          <w:rFonts w:asciiTheme="majorHAnsi" w:hAnsiTheme="majorHAnsi"/>
          <w:sz w:val="20"/>
          <w:szCs w:val="20"/>
        </w:rPr>
        <w:t>технологією</w:t>
      </w:r>
    </w:p>
    <w:p w14:paraId="69BAA57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869BD4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ЛІЦЕНЗІЙНА УГОДА В ГАЛУЗІ</w:t>
      </w:r>
      <w:r w:rsidRPr="000977F7">
        <w:rPr>
          <w:color w:val="auto"/>
          <w:spacing w:val="-47"/>
          <w:sz w:val="20"/>
          <w:szCs w:val="20"/>
        </w:rPr>
        <w:t xml:space="preserve"> </w:t>
      </w:r>
      <w:r w:rsidRPr="000977F7">
        <w:rPr>
          <w:color w:val="auto"/>
          <w:sz w:val="20"/>
          <w:szCs w:val="20"/>
        </w:rPr>
        <w:t>СЕРТИФІКАЦІЇ</w:t>
      </w:r>
      <w:r w:rsidRPr="000977F7">
        <w:rPr>
          <w:color w:val="auto"/>
          <w:spacing w:val="-1"/>
          <w:sz w:val="20"/>
          <w:szCs w:val="20"/>
        </w:rPr>
        <w:t xml:space="preserve"> </w:t>
      </w:r>
      <w:r w:rsidRPr="000977F7">
        <w:rPr>
          <w:color w:val="auto"/>
          <w:sz w:val="20"/>
          <w:szCs w:val="20"/>
        </w:rPr>
        <w:t>–</w:t>
      </w:r>
    </w:p>
    <w:p w14:paraId="4B8E8BA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Юридичний документ, який посвідчує, що акредитованому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сертифікації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систем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якості передається право на проведення робіт з сертифікації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систем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атестації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виробництв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подальшого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технічного нагляду</w:t>
      </w:r>
    </w:p>
    <w:p w14:paraId="369171F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ЛІЦЕНЗІЯ</w:t>
      </w:r>
      <w:r w:rsidRPr="000977F7">
        <w:rPr>
          <w:color w:val="auto"/>
          <w:spacing w:val="-4"/>
          <w:sz w:val="20"/>
          <w:szCs w:val="20"/>
        </w:rPr>
        <w:t xml:space="preserve"> </w:t>
      </w:r>
      <w:r w:rsidRPr="000977F7">
        <w:rPr>
          <w:color w:val="auto"/>
          <w:sz w:val="20"/>
          <w:szCs w:val="20"/>
        </w:rPr>
        <w:t>–</w:t>
      </w:r>
    </w:p>
    <w:p w14:paraId="04CE162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Дозвіл</w:t>
      </w:r>
      <w:r w:rsidRPr="000977F7">
        <w:rPr>
          <w:rFonts w:asciiTheme="majorHAnsi" w:hAnsiTheme="majorHAnsi"/>
          <w:spacing w:val="36"/>
          <w:sz w:val="20"/>
          <w:szCs w:val="20"/>
        </w:rPr>
        <w:t xml:space="preserve"> </w:t>
      </w:r>
      <w:r w:rsidRPr="000977F7">
        <w:rPr>
          <w:rFonts w:asciiTheme="majorHAnsi" w:hAnsiTheme="majorHAnsi"/>
          <w:sz w:val="20"/>
          <w:szCs w:val="20"/>
        </w:rPr>
        <w:t>на</w:t>
      </w:r>
      <w:r w:rsidRPr="000977F7">
        <w:rPr>
          <w:rFonts w:asciiTheme="majorHAnsi" w:hAnsiTheme="majorHAnsi"/>
          <w:spacing w:val="36"/>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37"/>
          <w:sz w:val="20"/>
          <w:szCs w:val="20"/>
        </w:rPr>
        <w:t xml:space="preserve"> </w:t>
      </w:r>
      <w:r w:rsidRPr="000977F7">
        <w:rPr>
          <w:rFonts w:asciiTheme="majorHAnsi" w:hAnsiTheme="majorHAnsi"/>
          <w:sz w:val="20"/>
          <w:szCs w:val="20"/>
        </w:rPr>
        <w:t>права</w:t>
      </w:r>
      <w:r w:rsidRPr="000977F7">
        <w:rPr>
          <w:rFonts w:asciiTheme="majorHAnsi" w:hAnsiTheme="majorHAnsi"/>
          <w:spacing w:val="34"/>
          <w:sz w:val="20"/>
          <w:szCs w:val="20"/>
        </w:rPr>
        <w:t xml:space="preserve"> </w:t>
      </w:r>
      <w:r w:rsidRPr="000977F7">
        <w:rPr>
          <w:rFonts w:asciiTheme="majorHAnsi" w:hAnsiTheme="majorHAnsi"/>
          <w:sz w:val="20"/>
          <w:szCs w:val="20"/>
        </w:rPr>
        <w:t>на</w:t>
      </w:r>
      <w:r w:rsidRPr="000977F7">
        <w:rPr>
          <w:rFonts w:asciiTheme="majorHAnsi" w:hAnsiTheme="majorHAnsi"/>
          <w:spacing w:val="38"/>
          <w:sz w:val="20"/>
          <w:szCs w:val="20"/>
        </w:rPr>
        <w:t xml:space="preserve"> </w:t>
      </w:r>
      <w:r w:rsidRPr="000977F7">
        <w:rPr>
          <w:rFonts w:asciiTheme="majorHAnsi" w:hAnsiTheme="majorHAnsi"/>
          <w:sz w:val="20"/>
          <w:szCs w:val="20"/>
        </w:rPr>
        <w:t>об’єкт,</w:t>
      </w:r>
      <w:r w:rsidRPr="000977F7">
        <w:rPr>
          <w:rFonts w:asciiTheme="majorHAnsi" w:hAnsiTheme="majorHAnsi"/>
          <w:spacing w:val="36"/>
          <w:sz w:val="20"/>
          <w:szCs w:val="20"/>
        </w:rPr>
        <w:t xml:space="preserve"> </w:t>
      </w:r>
      <w:r w:rsidRPr="000977F7">
        <w:rPr>
          <w:rFonts w:asciiTheme="majorHAnsi" w:hAnsiTheme="majorHAnsi"/>
          <w:sz w:val="20"/>
          <w:szCs w:val="20"/>
        </w:rPr>
        <w:t>оформлене</w:t>
      </w:r>
      <w:r w:rsidRPr="000977F7">
        <w:rPr>
          <w:rFonts w:asciiTheme="majorHAnsi" w:hAnsiTheme="majorHAnsi"/>
          <w:spacing w:val="-47"/>
          <w:sz w:val="20"/>
          <w:szCs w:val="20"/>
        </w:rPr>
        <w:t xml:space="preserve"> </w:t>
      </w:r>
      <w:r w:rsidRPr="000977F7">
        <w:rPr>
          <w:rFonts w:asciiTheme="majorHAnsi" w:hAnsiTheme="majorHAnsi"/>
          <w:sz w:val="20"/>
          <w:szCs w:val="20"/>
        </w:rPr>
        <w:t>спеціальною</w:t>
      </w:r>
      <w:r w:rsidRPr="000977F7">
        <w:rPr>
          <w:rFonts w:asciiTheme="majorHAnsi" w:hAnsiTheme="majorHAnsi"/>
          <w:spacing w:val="1"/>
          <w:sz w:val="20"/>
          <w:szCs w:val="20"/>
        </w:rPr>
        <w:t xml:space="preserve"> </w:t>
      </w:r>
      <w:r w:rsidRPr="000977F7">
        <w:rPr>
          <w:rFonts w:asciiTheme="majorHAnsi" w:hAnsiTheme="majorHAnsi"/>
          <w:sz w:val="20"/>
          <w:szCs w:val="20"/>
        </w:rPr>
        <w:t>угодою</w:t>
      </w:r>
    </w:p>
    <w:p w14:paraId="7135A97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2B23FE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Розрізняють</w:t>
      </w:r>
      <w:r w:rsidRPr="000977F7">
        <w:rPr>
          <w:rFonts w:asciiTheme="majorHAnsi" w:hAnsiTheme="majorHAnsi"/>
          <w:spacing w:val="37"/>
          <w:sz w:val="20"/>
          <w:szCs w:val="20"/>
        </w:rPr>
        <w:t xml:space="preserve"> </w:t>
      </w:r>
      <w:r w:rsidRPr="000977F7">
        <w:rPr>
          <w:rFonts w:asciiTheme="majorHAnsi" w:hAnsiTheme="majorHAnsi"/>
          <w:sz w:val="20"/>
          <w:szCs w:val="20"/>
        </w:rPr>
        <w:t>виключну</w:t>
      </w:r>
      <w:r w:rsidRPr="000977F7">
        <w:rPr>
          <w:rFonts w:asciiTheme="majorHAnsi" w:hAnsiTheme="majorHAnsi"/>
          <w:spacing w:val="38"/>
          <w:sz w:val="20"/>
          <w:szCs w:val="20"/>
        </w:rPr>
        <w:t xml:space="preserve"> </w:t>
      </w:r>
      <w:r w:rsidRPr="000977F7">
        <w:rPr>
          <w:rFonts w:asciiTheme="majorHAnsi" w:hAnsiTheme="majorHAnsi"/>
          <w:sz w:val="20"/>
          <w:szCs w:val="20"/>
        </w:rPr>
        <w:t>ліцензію</w:t>
      </w:r>
      <w:r w:rsidRPr="000977F7">
        <w:rPr>
          <w:rFonts w:asciiTheme="majorHAnsi" w:hAnsiTheme="majorHAnsi"/>
          <w:spacing w:val="38"/>
          <w:sz w:val="20"/>
          <w:szCs w:val="20"/>
        </w:rPr>
        <w:t xml:space="preserve"> </w:t>
      </w:r>
      <w:r w:rsidRPr="000977F7">
        <w:rPr>
          <w:rFonts w:asciiTheme="majorHAnsi" w:hAnsiTheme="majorHAnsi"/>
          <w:sz w:val="20"/>
          <w:szCs w:val="20"/>
        </w:rPr>
        <w:t>і</w:t>
      </w:r>
      <w:r w:rsidRPr="000977F7">
        <w:rPr>
          <w:rFonts w:asciiTheme="majorHAnsi" w:hAnsiTheme="majorHAnsi"/>
          <w:spacing w:val="39"/>
          <w:sz w:val="20"/>
          <w:szCs w:val="20"/>
        </w:rPr>
        <w:t xml:space="preserve"> </w:t>
      </w:r>
      <w:r w:rsidRPr="000977F7">
        <w:rPr>
          <w:rFonts w:asciiTheme="majorHAnsi" w:hAnsiTheme="majorHAnsi"/>
          <w:sz w:val="20"/>
          <w:szCs w:val="20"/>
        </w:rPr>
        <w:t>просту.</w:t>
      </w:r>
      <w:r w:rsidRPr="000977F7">
        <w:rPr>
          <w:rFonts w:asciiTheme="majorHAnsi" w:hAnsiTheme="majorHAnsi"/>
          <w:spacing w:val="40"/>
          <w:sz w:val="20"/>
          <w:szCs w:val="20"/>
        </w:rPr>
        <w:t xml:space="preserve"> </w:t>
      </w:r>
      <w:r w:rsidRPr="000977F7">
        <w:rPr>
          <w:rFonts w:asciiTheme="majorHAnsi" w:hAnsiTheme="majorHAnsi"/>
          <w:sz w:val="20"/>
          <w:szCs w:val="20"/>
        </w:rPr>
        <w:t>Виключна</w:t>
      </w:r>
      <w:r w:rsidRPr="000977F7">
        <w:rPr>
          <w:rFonts w:asciiTheme="majorHAnsi" w:hAnsiTheme="majorHAnsi"/>
          <w:spacing w:val="-47"/>
          <w:sz w:val="20"/>
          <w:szCs w:val="20"/>
        </w:rPr>
        <w:t xml:space="preserve"> </w:t>
      </w:r>
      <w:r w:rsidRPr="000977F7">
        <w:rPr>
          <w:rFonts w:asciiTheme="majorHAnsi" w:hAnsiTheme="majorHAnsi"/>
          <w:sz w:val="20"/>
          <w:szCs w:val="20"/>
        </w:rPr>
        <w:t>ліцензія</w:t>
      </w:r>
      <w:r w:rsidRPr="000977F7">
        <w:rPr>
          <w:rFonts w:asciiTheme="majorHAnsi" w:hAnsiTheme="majorHAnsi"/>
          <w:spacing w:val="15"/>
          <w:sz w:val="20"/>
          <w:szCs w:val="20"/>
        </w:rPr>
        <w:t xml:space="preserve"> </w:t>
      </w:r>
      <w:r w:rsidRPr="000977F7">
        <w:rPr>
          <w:rFonts w:asciiTheme="majorHAnsi" w:hAnsiTheme="majorHAnsi"/>
          <w:sz w:val="20"/>
          <w:szCs w:val="20"/>
        </w:rPr>
        <w:t>передбачає</w:t>
      </w:r>
      <w:r w:rsidRPr="000977F7">
        <w:rPr>
          <w:rFonts w:asciiTheme="majorHAnsi" w:hAnsiTheme="majorHAnsi"/>
          <w:spacing w:val="16"/>
          <w:sz w:val="20"/>
          <w:szCs w:val="20"/>
        </w:rPr>
        <w:t xml:space="preserve"> </w:t>
      </w:r>
      <w:r w:rsidRPr="000977F7">
        <w:rPr>
          <w:rFonts w:asciiTheme="majorHAnsi" w:hAnsiTheme="majorHAnsi"/>
          <w:sz w:val="20"/>
          <w:szCs w:val="20"/>
        </w:rPr>
        <w:t>передачу</w:t>
      </w:r>
      <w:r w:rsidRPr="000977F7">
        <w:rPr>
          <w:rFonts w:asciiTheme="majorHAnsi" w:hAnsiTheme="majorHAnsi"/>
          <w:spacing w:val="11"/>
          <w:sz w:val="20"/>
          <w:szCs w:val="20"/>
        </w:rPr>
        <w:t xml:space="preserve"> </w:t>
      </w:r>
      <w:r w:rsidRPr="000977F7">
        <w:rPr>
          <w:rFonts w:asciiTheme="majorHAnsi" w:hAnsiTheme="majorHAnsi"/>
          <w:sz w:val="20"/>
          <w:szCs w:val="20"/>
        </w:rPr>
        <w:t>повного</w:t>
      </w:r>
      <w:r w:rsidRPr="000977F7">
        <w:rPr>
          <w:rFonts w:asciiTheme="majorHAnsi" w:hAnsiTheme="majorHAnsi"/>
          <w:spacing w:val="13"/>
          <w:sz w:val="20"/>
          <w:szCs w:val="20"/>
        </w:rPr>
        <w:t xml:space="preserve"> </w:t>
      </w:r>
      <w:r w:rsidRPr="000977F7">
        <w:rPr>
          <w:rFonts w:asciiTheme="majorHAnsi" w:hAnsiTheme="majorHAnsi"/>
          <w:sz w:val="20"/>
          <w:szCs w:val="20"/>
        </w:rPr>
        <w:t>права</w:t>
      </w:r>
      <w:r w:rsidRPr="000977F7">
        <w:rPr>
          <w:rFonts w:asciiTheme="majorHAnsi" w:hAnsiTheme="majorHAnsi"/>
          <w:spacing w:val="16"/>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23"/>
          <w:sz w:val="20"/>
          <w:szCs w:val="20"/>
        </w:rPr>
        <w:t xml:space="preserve"> </w:t>
      </w:r>
      <w:r w:rsidRPr="000977F7">
        <w:rPr>
          <w:rFonts w:asciiTheme="majorHAnsi" w:hAnsiTheme="majorHAnsi"/>
          <w:sz w:val="20"/>
          <w:szCs w:val="20"/>
        </w:rPr>
        <w:t>об’єкта</w:t>
      </w:r>
      <w:r w:rsidRPr="000977F7">
        <w:rPr>
          <w:rFonts w:asciiTheme="majorHAnsi" w:hAnsiTheme="majorHAnsi"/>
          <w:spacing w:val="25"/>
          <w:sz w:val="20"/>
          <w:szCs w:val="20"/>
        </w:rPr>
        <w:t xml:space="preserve"> </w:t>
      </w:r>
      <w:r w:rsidRPr="000977F7">
        <w:rPr>
          <w:rFonts w:asciiTheme="majorHAnsi" w:hAnsiTheme="majorHAnsi"/>
          <w:sz w:val="20"/>
          <w:szCs w:val="20"/>
        </w:rPr>
        <w:t>ліцензування</w:t>
      </w:r>
      <w:r w:rsidRPr="000977F7">
        <w:rPr>
          <w:rFonts w:asciiTheme="majorHAnsi" w:hAnsiTheme="majorHAnsi"/>
          <w:spacing w:val="25"/>
          <w:sz w:val="20"/>
          <w:szCs w:val="20"/>
        </w:rPr>
        <w:t xml:space="preserve"> </w:t>
      </w:r>
      <w:r w:rsidRPr="000977F7">
        <w:rPr>
          <w:rFonts w:asciiTheme="majorHAnsi" w:hAnsiTheme="majorHAnsi"/>
          <w:sz w:val="20"/>
          <w:szCs w:val="20"/>
        </w:rPr>
        <w:t>ліцензіатом.</w:t>
      </w:r>
      <w:r w:rsidRPr="000977F7">
        <w:rPr>
          <w:rFonts w:asciiTheme="majorHAnsi" w:hAnsiTheme="majorHAnsi"/>
          <w:spacing w:val="24"/>
          <w:sz w:val="20"/>
          <w:szCs w:val="20"/>
        </w:rPr>
        <w:t xml:space="preserve"> </w:t>
      </w:r>
      <w:r w:rsidRPr="000977F7">
        <w:rPr>
          <w:rFonts w:asciiTheme="majorHAnsi" w:hAnsiTheme="majorHAnsi"/>
          <w:sz w:val="20"/>
          <w:szCs w:val="20"/>
        </w:rPr>
        <w:t>Якщо</w:t>
      </w:r>
      <w:r w:rsidRPr="000977F7">
        <w:rPr>
          <w:rFonts w:asciiTheme="majorHAnsi" w:hAnsiTheme="majorHAnsi"/>
          <w:spacing w:val="24"/>
          <w:sz w:val="20"/>
          <w:szCs w:val="20"/>
        </w:rPr>
        <w:t xml:space="preserve"> </w:t>
      </w:r>
      <w:r w:rsidRPr="000977F7">
        <w:rPr>
          <w:rFonts w:asciiTheme="majorHAnsi" w:hAnsiTheme="majorHAnsi"/>
          <w:sz w:val="20"/>
          <w:szCs w:val="20"/>
        </w:rPr>
        <w:t>ліцензіар</w:t>
      </w:r>
      <w:r w:rsidRPr="000977F7">
        <w:rPr>
          <w:rFonts w:asciiTheme="majorHAnsi" w:hAnsiTheme="majorHAnsi"/>
          <w:spacing w:val="25"/>
          <w:sz w:val="20"/>
          <w:szCs w:val="20"/>
        </w:rPr>
        <w:t xml:space="preserve"> </w:t>
      </w:r>
      <w:r w:rsidRPr="000977F7">
        <w:rPr>
          <w:rFonts w:asciiTheme="majorHAnsi" w:hAnsiTheme="majorHAnsi"/>
          <w:sz w:val="20"/>
          <w:szCs w:val="20"/>
        </w:rPr>
        <w:t>залишає</w:t>
      </w:r>
      <w:r w:rsidRPr="000977F7">
        <w:rPr>
          <w:rFonts w:asciiTheme="majorHAnsi" w:hAnsiTheme="majorHAnsi"/>
          <w:spacing w:val="27"/>
          <w:sz w:val="20"/>
          <w:szCs w:val="20"/>
        </w:rPr>
        <w:t xml:space="preserve"> </w:t>
      </w:r>
      <w:r w:rsidRPr="000977F7">
        <w:rPr>
          <w:rFonts w:asciiTheme="majorHAnsi" w:hAnsiTheme="majorHAnsi"/>
          <w:sz w:val="20"/>
          <w:szCs w:val="20"/>
        </w:rPr>
        <w:t>за</w:t>
      </w:r>
      <w:r w:rsidRPr="000977F7">
        <w:rPr>
          <w:rFonts w:asciiTheme="majorHAnsi" w:hAnsiTheme="majorHAnsi"/>
          <w:spacing w:val="25"/>
          <w:sz w:val="20"/>
          <w:szCs w:val="20"/>
        </w:rPr>
        <w:t xml:space="preserve"> </w:t>
      </w:r>
      <w:r w:rsidRPr="000977F7">
        <w:rPr>
          <w:rFonts w:asciiTheme="majorHAnsi" w:hAnsiTheme="majorHAnsi"/>
          <w:sz w:val="20"/>
          <w:szCs w:val="20"/>
        </w:rPr>
        <w:t>собою</w:t>
      </w:r>
      <w:r w:rsidRPr="000977F7">
        <w:rPr>
          <w:rFonts w:asciiTheme="majorHAnsi" w:hAnsiTheme="majorHAnsi"/>
          <w:spacing w:val="27"/>
          <w:sz w:val="20"/>
          <w:szCs w:val="20"/>
        </w:rPr>
        <w:t xml:space="preserve"> </w:t>
      </w:r>
      <w:r w:rsidRPr="000977F7">
        <w:rPr>
          <w:rFonts w:asciiTheme="majorHAnsi" w:hAnsiTheme="majorHAnsi"/>
          <w:sz w:val="20"/>
          <w:szCs w:val="20"/>
        </w:rPr>
        <w:t>право</w:t>
      </w:r>
      <w:r w:rsidRPr="000977F7">
        <w:rPr>
          <w:rFonts w:asciiTheme="majorHAnsi" w:hAnsiTheme="majorHAnsi"/>
          <w:spacing w:val="26"/>
          <w:sz w:val="20"/>
          <w:szCs w:val="20"/>
        </w:rPr>
        <w:t xml:space="preserve"> </w:t>
      </w:r>
      <w:r w:rsidRPr="000977F7">
        <w:rPr>
          <w:rFonts w:asciiTheme="majorHAnsi" w:hAnsiTheme="majorHAnsi"/>
          <w:sz w:val="20"/>
          <w:szCs w:val="20"/>
        </w:rPr>
        <w:t>разом</w:t>
      </w:r>
      <w:r w:rsidRPr="000977F7">
        <w:rPr>
          <w:rFonts w:asciiTheme="majorHAnsi" w:hAnsiTheme="majorHAnsi"/>
          <w:spacing w:val="25"/>
          <w:sz w:val="20"/>
          <w:szCs w:val="20"/>
        </w:rPr>
        <w:t xml:space="preserve"> </w:t>
      </w:r>
      <w:r w:rsidRPr="000977F7">
        <w:rPr>
          <w:rFonts w:asciiTheme="majorHAnsi" w:hAnsiTheme="majorHAnsi"/>
          <w:sz w:val="20"/>
          <w:szCs w:val="20"/>
        </w:rPr>
        <w:t>з</w:t>
      </w:r>
      <w:r w:rsidRPr="000977F7">
        <w:rPr>
          <w:rFonts w:asciiTheme="majorHAnsi" w:hAnsiTheme="majorHAnsi"/>
          <w:spacing w:val="26"/>
          <w:sz w:val="20"/>
          <w:szCs w:val="20"/>
        </w:rPr>
        <w:t xml:space="preserve"> </w:t>
      </w:r>
      <w:r w:rsidRPr="000977F7">
        <w:rPr>
          <w:rFonts w:asciiTheme="majorHAnsi" w:hAnsiTheme="majorHAnsi"/>
          <w:sz w:val="20"/>
          <w:szCs w:val="20"/>
        </w:rPr>
        <w:t>ліцензіатом</w:t>
      </w:r>
      <w:r w:rsidRPr="000977F7">
        <w:rPr>
          <w:rFonts w:asciiTheme="majorHAnsi" w:hAnsiTheme="majorHAnsi"/>
          <w:spacing w:val="26"/>
          <w:sz w:val="20"/>
          <w:szCs w:val="20"/>
        </w:rPr>
        <w:t xml:space="preserve"> </w:t>
      </w:r>
      <w:r w:rsidRPr="000977F7">
        <w:rPr>
          <w:rFonts w:asciiTheme="majorHAnsi" w:hAnsiTheme="majorHAnsi"/>
          <w:sz w:val="20"/>
          <w:szCs w:val="20"/>
        </w:rPr>
        <w:t>використовувати</w:t>
      </w:r>
      <w:r w:rsidRPr="000977F7">
        <w:rPr>
          <w:rFonts w:asciiTheme="majorHAnsi" w:hAnsiTheme="majorHAnsi"/>
          <w:spacing w:val="14"/>
          <w:sz w:val="20"/>
          <w:szCs w:val="20"/>
        </w:rPr>
        <w:t xml:space="preserve"> </w:t>
      </w:r>
      <w:r w:rsidRPr="000977F7">
        <w:rPr>
          <w:rFonts w:asciiTheme="majorHAnsi" w:hAnsiTheme="majorHAnsi"/>
          <w:sz w:val="20"/>
          <w:szCs w:val="20"/>
        </w:rPr>
        <w:t>об’єкт</w:t>
      </w:r>
      <w:r w:rsidRPr="000977F7">
        <w:rPr>
          <w:rFonts w:asciiTheme="majorHAnsi" w:hAnsiTheme="majorHAnsi"/>
          <w:spacing w:val="15"/>
          <w:sz w:val="20"/>
          <w:szCs w:val="20"/>
        </w:rPr>
        <w:t xml:space="preserve"> </w:t>
      </w:r>
      <w:r w:rsidRPr="000977F7">
        <w:rPr>
          <w:rFonts w:asciiTheme="majorHAnsi" w:hAnsiTheme="majorHAnsi"/>
          <w:sz w:val="20"/>
          <w:szCs w:val="20"/>
        </w:rPr>
        <w:t>ліцензування</w:t>
      </w:r>
      <w:r w:rsidRPr="000977F7">
        <w:rPr>
          <w:rFonts w:asciiTheme="majorHAnsi" w:hAnsiTheme="majorHAnsi"/>
          <w:spacing w:val="15"/>
          <w:sz w:val="20"/>
          <w:szCs w:val="20"/>
        </w:rPr>
        <w:t xml:space="preserve"> </w:t>
      </w:r>
      <w:r w:rsidRPr="000977F7">
        <w:rPr>
          <w:rFonts w:asciiTheme="majorHAnsi" w:hAnsiTheme="majorHAnsi"/>
          <w:sz w:val="20"/>
          <w:szCs w:val="20"/>
        </w:rPr>
        <w:t>або</w:t>
      </w:r>
      <w:r w:rsidRPr="000977F7">
        <w:rPr>
          <w:rFonts w:asciiTheme="majorHAnsi" w:hAnsiTheme="majorHAnsi"/>
          <w:spacing w:val="16"/>
          <w:sz w:val="20"/>
          <w:szCs w:val="20"/>
        </w:rPr>
        <w:t xml:space="preserve"> </w:t>
      </w:r>
      <w:r w:rsidRPr="000977F7">
        <w:rPr>
          <w:rFonts w:asciiTheme="majorHAnsi" w:hAnsiTheme="majorHAnsi"/>
          <w:sz w:val="20"/>
          <w:szCs w:val="20"/>
        </w:rPr>
        <w:t>надавати</w:t>
      </w:r>
      <w:r w:rsidRPr="000977F7">
        <w:rPr>
          <w:rFonts w:asciiTheme="majorHAnsi" w:hAnsiTheme="majorHAnsi"/>
          <w:spacing w:val="14"/>
          <w:sz w:val="20"/>
          <w:szCs w:val="20"/>
        </w:rPr>
        <w:t xml:space="preserve"> </w:t>
      </w:r>
      <w:r w:rsidRPr="000977F7">
        <w:rPr>
          <w:rFonts w:asciiTheme="majorHAnsi" w:hAnsiTheme="majorHAnsi"/>
          <w:sz w:val="20"/>
          <w:szCs w:val="20"/>
        </w:rPr>
        <w:t>її</w:t>
      </w:r>
      <w:r w:rsidRPr="000977F7">
        <w:rPr>
          <w:rFonts w:asciiTheme="majorHAnsi" w:hAnsiTheme="majorHAnsi"/>
          <w:spacing w:val="-47"/>
          <w:sz w:val="20"/>
          <w:szCs w:val="20"/>
        </w:rPr>
        <w:t xml:space="preserve"> </w:t>
      </w:r>
      <w:r w:rsidRPr="000977F7">
        <w:rPr>
          <w:rFonts w:asciiTheme="majorHAnsi" w:hAnsiTheme="majorHAnsi"/>
          <w:sz w:val="20"/>
          <w:szCs w:val="20"/>
        </w:rPr>
        <w:t>іншим особам, то це відноситься до простої ліцензії</w:t>
      </w:r>
    </w:p>
    <w:p w14:paraId="7B49368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b/>
          <w:sz w:val="20"/>
          <w:szCs w:val="20"/>
        </w:rPr>
        <w:t>ЛІЦЕНЗІЯ</w:t>
      </w:r>
      <w:r w:rsidRPr="004D2D14">
        <w:rPr>
          <w:rFonts w:asciiTheme="majorHAnsi" w:hAnsiTheme="majorHAnsi"/>
          <w:b/>
          <w:spacing w:val="-2"/>
          <w:sz w:val="20"/>
          <w:szCs w:val="20"/>
          <w:lang w:val="en-US"/>
        </w:rPr>
        <w:t xml:space="preserve"> </w:t>
      </w:r>
      <w:r w:rsidRPr="000977F7">
        <w:rPr>
          <w:rFonts w:asciiTheme="majorHAnsi" w:hAnsiTheme="majorHAnsi"/>
          <w:b/>
          <w:sz w:val="20"/>
          <w:szCs w:val="20"/>
        </w:rPr>
        <w:t>В</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ГАЛУЗІ</w:t>
      </w:r>
      <w:r w:rsidRPr="004D2D14">
        <w:rPr>
          <w:rFonts w:asciiTheme="majorHAnsi" w:hAnsiTheme="majorHAnsi"/>
          <w:b/>
          <w:spacing w:val="-2"/>
          <w:sz w:val="20"/>
          <w:szCs w:val="20"/>
          <w:lang w:val="en-US"/>
        </w:rPr>
        <w:t xml:space="preserve"> </w:t>
      </w:r>
      <w:r w:rsidRPr="000977F7">
        <w:rPr>
          <w:rFonts w:asciiTheme="majorHAnsi" w:hAnsiTheme="majorHAnsi"/>
          <w:b/>
          <w:sz w:val="20"/>
          <w:szCs w:val="20"/>
        </w:rPr>
        <w:t>СЕРТИФІКАЦІЇ</w:t>
      </w:r>
      <w:r w:rsidRPr="004D2D14">
        <w:rPr>
          <w:rFonts w:asciiTheme="majorHAnsi" w:hAnsiTheme="majorHAnsi"/>
          <w:b/>
          <w:spacing w:val="1"/>
          <w:sz w:val="20"/>
          <w:szCs w:val="20"/>
          <w:lang w:val="en-US"/>
        </w:rPr>
        <w:t xml:space="preserve"> </w:t>
      </w:r>
      <w:r w:rsidRPr="004D2D14">
        <w:rPr>
          <w:rFonts w:asciiTheme="majorHAnsi" w:hAnsiTheme="majorHAnsi"/>
          <w:sz w:val="20"/>
          <w:szCs w:val="20"/>
          <w:lang w:val="en-US"/>
        </w:rPr>
        <w:t>–</w:t>
      </w:r>
    </w:p>
    <w:p w14:paraId="42BE0E8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LICENCE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FOR</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CERTIFICATION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103FDBC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Документ</w:t>
      </w:r>
      <w:r w:rsidRPr="004D2D14">
        <w:rPr>
          <w:rFonts w:asciiTheme="majorHAnsi" w:hAnsiTheme="majorHAnsi"/>
          <w:sz w:val="20"/>
          <w:szCs w:val="20"/>
          <w:lang w:val="en-US"/>
        </w:rPr>
        <w:t xml:space="preserve">, </w:t>
      </w:r>
      <w:r w:rsidRPr="000977F7">
        <w:rPr>
          <w:rFonts w:asciiTheme="majorHAnsi" w:hAnsiTheme="majorHAnsi"/>
          <w:sz w:val="20"/>
          <w:szCs w:val="20"/>
        </w:rPr>
        <w:t>виданий</w:t>
      </w:r>
      <w:r w:rsidRPr="004D2D14">
        <w:rPr>
          <w:rFonts w:asciiTheme="majorHAnsi" w:hAnsiTheme="majorHAnsi"/>
          <w:sz w:val="20"/>
          <w:szCs w:val="20"/>
          <w:lang w:val="en-US"/>
        </w:rPr>
        <w:t xml:space="preserve"> </w:t>
      </w:r>
      <w:r w:rsidRPr="000977F7">
        <w:rPr>
          <w:rFonts w:asciiTheme="majorHAnsi" w:hAnsiTheme="majorHAnsi"/>
          <w:sz w:val="20"/>
          <w:szCs w:val="20"/>
        </w:rPr>
        <w:t>згідно</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правилами</w:t>
      </w:r>
      <w:r w:rsidRPr="004D2D14">
        <w:rPr>
          <w:rFonts w:asciiTheme="majorHAnsi" w:hAnsiTheme="majorHAnsi"/>
          <w:sz w:val="20"/>
          <w:szCs w:val="20"/>
          <w:lang w:val="en-US"/>
        </w:rPr>
        <w:t xml:space="preserve"> </w:t>
      </w:r>
      <w:r w:rsidRPr="000977F7">
        <w:rPr>
          <w:rFonts w:asciiTheme="majorHAnsi" w:hAnsiTheme="majorHAnsi"/>
          <w:sz w:val="20"/>
          <w:szCs w:val="20"/>
        </w:rPr>
        <w:t>системи</w:t>
      </w:r>
      <w:r w:rsidRPr="004D2D14">
        <w:rPr>
          <w:rFonts w:asciiTheme="majorHAnsi" w:hAnsiTheme="majorHAnsi"/>
          <w:sz w:val="20"/>
          <w:szCs w:val="20"/>
          <w:lang w:val="en-US"/>
        </w:rPr>
        <w:t xml:space="preserve"> </w:t>
      </w:r>
      <w:r w:rsidRPr="000977F7">
        <w:rPr>
          <w:rFonts w:asciiTheme="majorHAnsi" w:hAnsiTheme="majorHAnsi"/>
          <w:sz w:val="20"/>
          <w:szCs w:val="20"/>
        </w:rPr>
        <w:t>сертифікації</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w:t>
      </w:r>
      <w:r w:rsidRPr="004D2D14">
        <w:rPr>
          <w:rFonts w:asciiTheme="majorHAnsi" w:hAnsiTheme="majorHAnsi"/>
          <w:spacing w:val="1"/>
          <w:sz w:val="20"/>
          <w:szCs w:val="20"/>
          <w:lang w:val="en-US"/>
        </w:rPr>
        <w:t xml:space="preserve"> </w:t>
      </w:r>
      <w:r w:rsidRPr="000977F7">
        <w:rPr>
          <w:rFonts w:asciiTheme="majorHAnsi" w:hAnsiTheme="majorHAnsi"/>
          <w:sz w:val="20"/>
          <w:szCs w:val="20"/>
        </w:rPr>
        <w:t>допомогою</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орган</w:t>
      </w:r>
      <w:r w:rsidRPr="004D2D14">
        <w:rPr>
          <w:rFonts w:asciiTheme="majorHAnsi" w:hAnsiTheme="majorHAnsi"/>
          <w:spacing w:val="1"/>
          <w:sz w:val="20"/>
          <w:szCs w:val="20"/>
          <w:lang w:val="en-US"/>
        </w:rPr>
        <w:t xml:space="preserve"> </w:t>
      </w:r>
      <w:r w:rsidRPr="000977F7">
        <w:rPr>
          <w:rFonts w:asciiTheme="majorHAnsi" w:hAnsiTheme="majorHAnsi"/>
          <w:sz w:val="20"/>
          <w:szCs w:val="20"/>
        </w:rPr>
        <w:t>з</w:t>
      </w:r>
      <w:r w:rsidRPr="004D2D14">
        <w:rPr>
          <w:rFonts w:asciiTheme="majorHAnsi" w:hAnsiTheme="majorHAnsi"/>
          <w:spacing w:val="1"/>
          <w:sz w:val="20"/>
          <w:szCs w:val="20"/>
          <w:lang w:val="en-US"/>
        </w:rPr>
        <w:t xml:space="preserve"> </w:t>
      </w:r>
      <w:r w:rsidRPr="000977F7">
        <w:rPr>
          <w:rFonts w:asciiTheme="majorHAnsi" w:hAnsiTheme="majorHAnsi"/>
          <w:sz w:val="20"/>
          <w:szCs w:val="20"/>
        </w:rPr>
        <w:t>сертифікації</w:t>
      </w:r>
      <w:r w:rsidRPr="004D2D14">
        <w:rPr>
          <w:rFonts w:asciiTheme="majorHAnsi" w:hAnsiTheme="majorHAnsi"/>
          <w:spacing w:val="-47"/>
          <w:sz w:val="20"/>
          <w:szCs w:val="20"/>
          <w:lang w:val="en-US"/>
        </w:rPr>
        <w:t xml:space="preserve"> </w:t>
      </w:r>
      <w:r w:rsidRPr="000977F7">
        <w:rPr>
          <w:rFonts w:asciiTheme="majorHAnsi" w:hAnsiTheme="majorHAnsi"/>
          <w:sz w:val="20"/>
          <w:szCs w:val="20"/>
        </w:rPr>
        <w:t>надає</w:t>
      </w:r>
      <w:r w:rsidRPr="004D2D14">
        <w:rPr>
          <w:rFonts w:asciiTheme="majorHAnsi" w:hAnsiTheme="majorHAnsi"/>
          <w:sz w:val="20"/>
          <w:szCs w:val="20"/>
          <w:lang w:val="en-US"/>
        </w:rPr>
        <w:t xml:space="preserve"> </w:t>
      </w:r>
      <w:r w:rsidRPr="000977F7">
        <w:rPr>
          <w:rFonts w:asciiTheme="majorHAnsi" w:hAnsiTheme="majorHAnsi"/>
          <w:sz w:val="20"/>
          <w:szCs w:val="20"/>
        </w:rPr>
        <w:t>особі</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органу</w:t>
      </w:r>
      <w:r w:rsidRPr="004D2D14">
        <w:rPr>
          <w:rFonts w:asciiTheme="majorHAnsi" w:hAnsiTheme="majorHAnsi"/>
          <w:sz w:val="20"/>
          <w:szCs w:val="20"/>
          <w:lang w:val="en-US"/>
        </w:rPr>
        <w:t xml:space="preserve"> </w:t>
      </w:r>
      <w:r w:rsidRPr="000977F7">
        <w:rPr>
          <w:rFonts w:asciiTheme="majorHAnsi" w:hAnsiTheme="majorHAnsi"/>
          <w:sz w:val="20"/>
          <w:szCs w:val="20"/>
        </w:rPr>
        <w:t>право</w:t>
      </w:r>
      <w:r w:rsidRPr="004D2D14">
        <w:rPr>
          <w:rFonts w:asciiTheme="majorHAnsi" w:hAnsiTheme="majorHAnsi"/>
          <w:sz w:val="20"/>
          <w:szCs w:val="20"/>
          <w:lang w:val="en-US"/>
        </w:rPr>
        <w:t xml:space="preserve"> </w:t>
      </w:r>
      <w:r w:rsidRPr="000977F7">
        <w:rPr>
          <w:rFonts w:asciiTheme="majorHAnsi" w:hAnsiTheme="majorHAnsi"/>
          <w:sz w:val="20"/>
          <w:szCs w:val="20"/>
        </w:rPr>
        <w:t>застосовувати</w:t>
      </w:r>
      <w:r w:rsidRPr="004D2D14">
        <w:rPr>
          <w:rFonts w:asciiTheme="majorHAnsi" w:hAnsiTheme="majorHAnsi"/>
          <w:sz w:val="20"/>
          <w:szCs w:val="20"/>
          <w:lang w:val="en-US"/>
        </w:rPr>
        <w:t xml:space="preserve"> </w:t>
      </w:r>
      <w:r w:rsidRPr="000977F7">
        <w:rPr>
          <w:rFonts w:asciiTheme="majorHAnsi" w:hAnsiTheme="majorHAnsi"/>
          <w:sz w:val="20"/>
          <w:szCs w:val="20"/>
        </w:rPr>
        <w:t>сертифікати</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знаки</w:t>
      </w:r>
      <w:r w:rsidRPr="004D2D14">
        <w:rPr>
          <w:rFonts w:asciiTheme="majorHAnsi" w:hAnsiTheme="majorHAnsi"/>
          <w:sz w:val="20"/>
          <w:szCs w:val="20"/>
          <w:lang w:val="en-US"/>
        </w:rPr>
        <w:t xml:space="preserve"> </w:t>
      </w:r>
      <w:r w:rsidRPr="000977F7">
        <w:rPr>
          <w:rFonts w:asciiTheme="majorHAnsi" w:hAnsiTheme="majorHAnsi"/>
          <w:sz w:val="20"/>
          <w:szCs w:val="20"/>
        </w:rPr>
        <w:t>відповідності</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своєї</w:t>
      </w:r>
      <w:r w:rsidRPr="004D2D14">
        <w:rPr>
          <w:rFonts w:asciiTheme="majorHAnsi" w:hAnsiTheme="majorHAnsi"/>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 xml:space="preserve">, </w:t>
      </w:r>
      <w:r w:rsidRPr="000977F7">
        <w:rPr>
          <w:rFonts w:asciiTheme="majorHAnsi" w:hAnsiTheme="majorHAnsi"/>
          <w:sz w:val="20"/>
          <w:szCs w:val="20"/>
        </w:rPr>
        <w:t>процесів</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послуг</w:t>
      </w:r>
      <w:r w:rsidRPr="004D2D14">
        <w:rPr>
          <w:rFonts w:asciiTheme="majorHAnsi" w:hAnsiTheme="majorHAnsi"/>
          <w:sz w:val="20"/>
          <w:szCs w:val="20"/>
          <w:lang w:val="en-US"/>
        </w:rPr>
        <w:t xml:space="preserve"> </w:t>
      </w:r>
      <w:r w:rsidRPr="000977F7">
        <w:rPr>
          <w:rFonts w:asciiTheme="majorHAnsi" w:hAnsiTheme="majorHAnsi"/>
          <w:sz w:val="20"/>
          <w:szCs w:val="20"/>
        </w:rPr>
        <w:t>згідно</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правилами</w:t>
      </w:r>
      <w:r w:rsidRPr="004D2D14">
        <w:rPr>
          <w:rFonts w:asciiTheme="majorHAnsi" w:hAnsiTheme="majorHAnsi"/>
          <w:sz w:val="20"/>
          <w:szCs w:val="20"/>
          <w:lang w:val="en-US"/>
        </w:rPr>
        <w:t xml:space="preserve"> </w:t>
      </w:r>
      <w:r w:rsidRPr="000977F7">
        <w:rPr>
          <w:rFonts w:asciiTheme="majorHAnsi" w:hAnsiTheme="majorHAnsi"/>
          <w:sz w:val="20"/>
          <w:szCs w:val="20"/>
        </w:rPr>
        <w:t>відповідної</w:t>
      </w:r>
      <w:r w:rsidRPr="004D2D14">
        <w:rPr>
          <w:rFonts w:asciiTheme="majorHAnsi" w:hAnsiTheme="majorHAnsi"/>
          <w:sz w:val="20"/>
          <w:szCs w:val="20"/>
          <w:lang w:val="en-US"/>
        </w:rPr>
        <w:t xml:space="preserve"> </w:t>
      </w:r>
      <w:r w:rsidRPr="000977F7">
        <w:rPr>
          <w:rFonts w:asciiTheme="majorHAnsi" w:hAnsiTheme="majorHAnsi"/>
          <w:sz w:val="20"/>
          <w:szCs w:val="20"/>
        </w:rPr>
        <w:t>системи</w:t>
      </w:r>
      <w:r w:rsidRPr="004D2D14">
        <w:rPr>
          <w:rFonts w:asciiTheme="majorHAnsi" w:hAnsiTheme="majorHAnsi"/>
          <w:spacing w:val="-2"/>
          <w:sz w:val="20"/>
          <w:szCs w:val="20"/>
          <w:lang w:val="en-US"/>
        </w:rPr>
        <w:t xml:space="preserve"> </w:t>
      </w:r>
      <w:r w:rsidRPr="000977F7">
        <w:rPr>
          <w:rFonts w:asciiTheme="majorHAnsi" w:hAnsiTheme="majorHAnsi"/>
          <w:sz w:val="20"/>
          <w:szCs w:val="20"/>
        </w:rPr>
        <w:t>сертифікації</w:t>
      </w:r>
    </w:p>
    <w:p w14:paraId="7CDE7A5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ЛІЦЕНЗІЯ</w:t>
      </w:r>
      <w:r w:rsidRPr="000977F7">
        <w:rPr>
          <w:color w:val="auto"/>
          <w:spacing w:val="-6"/>
          <w:sz w:val="20"/>
          <w:szCs w:val="20"/>
        </w:rPr>
        <w:t xml:space="preserve"> </w:t>
      </w:r>
      <w:r w:rsidRPr="000977F7">
        <w:rPr>
          <w:color w:val="auto"/>
          <w:sz w:val="20"/>
          <w:szCs w:val="20"/>
        </w:rPr>
        <w:t>ВІДКРИТА</w:t>
      </w:r>
      <w:r w:rsidRPr="000977F7">
        <w:rPr>
          <w:color w:val="auto"/>
          <w:spacing w:val="-5"/>
          <w:sz w:val="20"/>
          <w:szCs w:val="20"/>
        </w:rPr>
        <w:t xml:space="preserve"> </w:t>
      </w:r>
      <w:r w:rsidRPr="000977F7">
        <w:rPr>
          <w:color w:val="auto"/>
          <w:sz w:val="20"/>
          <w:szCs w:val="20"/>
        </w:rPr>
        <w:t>(ІНДИВІДУАЛЬНА) –</w:t>
      </w:r>
    </w:p>
    <w:p w14:paraId="7E0845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Дозвіл на експорт (імпорт) товару протягом певного</w:t>
      </w:r>
      <w:r w:rsidRPr="000977F7">
        <w:rPr>
          <w:rFonts w:asciiTheme="majorHAnsi" w:hAnsiTheme="majorHAnsi"/>
          <w:spacing w:val="1"/>
          <w:sz w:val="20"/>
          <w:szCs w:val="20"/>
        </w:rPr>
        <w:t xml:space="preserve"> </w:t>
      </w:r>
      <w:r w:rsidRPr="000977F7">
        <w:rPr>
          <w:rFonts w:asciiTheme="majorHAnsi" w:hAnsiTheme="majorHAnsi"/>
          <w:sz w:val="20"/>
          <w:szCs w:val="20"/>
        </w:rPr>
        <w:t>періоду часу (але не менше одного місяця) з визначенням</w:t>
      </w:r>
      <w:r w:rsidRPr="000977F7">
        <w:rPr>
          <w:rFonts w:asciiTheme="majorHAnsi" w:hAnsiTheme="majorHAnsi"/>
          <w:spacing w:val="2"/>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загального обсягу</w:t>
      </w:r>
    </w:p>
    <w:p w14:paraId="1E69CBF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BC2B97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ЛІЦЕНЗІЯ</w:t>
      </w:r>
      <w:r w:rsidRPr="000977F7">
        <w:rPr>
          <w:color w:val="auto"/>
          <w:spacing w:val="-5"/>
          <w:sz w:val="20"/>
          <w:szCs w:val="20"/>
        </w:rPr>
        <w:t xml:space="preserve"> </w:t>
      </w:r>
      <w:r w:rsidRPr="000977F7">
        <w:rPr>
          <w:color w:val="auto"/>
          <w:sz w:val="20"/>
          <w:szCs w:val="20"/>
        </w:rPr>
        <w:t>ГЕНЕРАЛЬНА</w:t>
      </w:r>
      <w:r w:rsidRPr="000977F7">
        <w:rPr>
          <w:color w:val="auto"/>
          <w:spacing w:val="1"/>
          <w:sz w:val="20"/>
          <w:szCs w:val="20"/>
        </w:rPr>
        <w:t xml:space="preserve"> </w:t>
      </w:r>
      <w:r w:rsidRPr="000977F7">
        <w:rPr>
          <w:color w:val="auto"/>
          <w:sz w:val="20"/>
          <w:szCs w:val="20"/>
        </w:rPr>
        <w:t>–</w:t>
      </w:r>
    </w:p>
    <w:p w14:paraId="5852EC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Відкритий дозвіл на експортні (імпортні) операції по</w:t>
      </w:r>
      <w:r w:rsidRPr="000977F7">
        <w:rPr>
          <w:rFonts w:asciiTheme="majorHAnsi" w:hAnsiTheme="majorHAnsi"/>
          <w:spacing w:val="1"/>
          <w:sz w:val="20"/>
          <w:szCs w:val="20"/>
        </w:rPr>
        <w:t xml:space="preserve"> </w:t>
      </w:r>
      <w:r w:rsidRPr="000977F7">
        <w:rPr>
          <w:rFonts w:asciiTheme="majorHAnsi" w:hAnsiTheme="majorHAnsi"/>
          <w:sz w:val="20"/>
          <w:szCs w:val="20"/>
        </w:rPr>
        <w:t>певному товару (товарах) та (або) з певною країною</w:t>
      </w:r>
      <w:r w:rsidRPr="000977F7">
        <w:rPr>
          <w:rFonts w:asciiTheme="majorHAnsi" w:hAnsiTheme="majorHAnsi"/>
          <w:spacing w:val="1"/>
          <w:sz w:val="20"/>
          <w:szCs w:val="20"/>
        </w:rPr>
        <w:t xml:space="preserve"> </w:t>
      </w:r>
      <w:r w:rsidRPr="000977F7">
        <w:rPr>
          <w:rFonts w:asciiTheme="majorHAnsi" w:hAnsiTheme="majorHAnsi"/>
          <w:sz w:val="20"/>
          <w:szCs w:val="20"/>
        </w:rPr>
        <w:t>(групою країн) протягом періоду дії режиму ліцензування</w:t>
      </w:r>
      <w:r w:rsidRPr="000977F7">
        <w:rPr>
          <w:rFonts w:asciiTheme="majorHAnsi" w:hAnsiTheme="majorHAnsi"/>
          <w:spacing w:val="-2"/>
          <w:sz w:val="20"/>
          <w:szCs w:val="20"/>
        </w:rPr>
        <w:t xml:space="preserve"> </w:t>
      </w:r>
      <w:r w:rsidRPr="000977F7">
        <w:rPr>
          <w:rFonts w:asciiTheme="majorHAnsi" w:hAnsiTheme="majorHAnsi"/>
          <w:sz w:val="20"/>
          <w:szCs w:val="20"/>
        </w:rPr>
        <w:t>по</w:t>
      </w:r>
      <w:r w:rsidRPr="000977F7">
        <w:rPr>
          <w:rFonts w:asciiTheme="majorHAnsi" w:hAnsiTheme="majorHAnsi"/>
          <w:spacing w:val="1"/>
          <w:sz w:val="20"/>
          <w:szCs w:val="20"/>
        </w:rPr>
        <w:t xml:space="preserve"> </w:t>
      </w:r>
      <w:r w:rsidRPr="000977F7">
        <w:rPr>
          <w:rFonts w:asciiTheme="majorHAnsi" w:hAnsiTheme="majorHAnsi"/>
          <w:sz w:val="20"/>
          <w:szCs w:val="20"/>
        </w:rPr>
        <w:t>цьому</w:t>
      </w:r>
      <w:r w:rsidRPr="000977F7">
        <w:rPr>
          <w:rFonts w:asciiTheme="majorHAnsi" w:hAnsiTheme="majorHAnsi"/>
          <w:spacing w:val="-1"/>
          <w:sz w:val="20"/>
          <w:szCs w:val="20"/>
        </w:rPr>
        <w:t xml:space="preserve"> </w:t>
      </w:r>
      <w:r w:rsidRPr="000977F7">
        <w:rPr>
          <w:rFonts w:asciiTheme="majorHAnsi" w:hAnsiTheme="majorHAnsi"/>
          <w:sz w:val="20"/>
          <w:szCs w:val="20"/>
        </w:rPr>
        <w:t>товару</w:t>
      </w:r>
      <w:r w:rsidRPr="000977F7">
        <w:rPr>
          <w:rFonts w:asciiTheme="majorHAnsi" w:hAnsiTheme="majorHAnsi"/>
          <w:spacing w:val="-5"/>
          <w:sz w:val="20"/>
          <w:szCs w:val="20"/>
        </w:rPr>
        <w:t xml:space="preserve"> </w:t>
      </w:r>
      <w:r w:rsidRPr="000977F7">
        <w:rPr>
          <w:rFonts w:asciiTheme="majorHAnsi" w:hAnsiTheme="majorHAnsi"/>
          <w:sz w:val="20"/>
          <w:szCs w:val="20"/>
        </w:rPr>
        <w:t>(товарах)</w:t>
      </w:r>
    </w:p>
    <w:p w14:paraId="0052EF4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8B348B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ЛІЦЕНЗІЯ</w:t>
      </w:r>
      <w:r w:rsidRPr="000977F7">
        <w:rPr>
          <w:color w:val="auto"/>
          <w:spacing w:val="-2"/>
          <w:sz w:val="20"/>
          <w:szCs w:val="20"/>
        </w:rPr>
        <w:t xml:space="preserve"> </w:t>
      </w:r>
      <w:r w:rsidRPr="000977F7">
        <w:rPr>
          <w:color w:val="auto"/>
          <w:sz w:val="20"/>
          <w:szCs w:val="20"/>
        </w:rPr>
        <w:t>ЕКСПОРТНА</w:t>
      </w:r>
      <w:r w:rsidRPr="000977F7">
        <w:rPr>
          <w:color w:val="auto"/>
          <w:spacing w:val="-4"/>
          <w:sz w:val="20"/>
          <w:szCs w:val="20"/>
        </w:rPr>
        <w:t xml:space="preserve"> </w:t>
      </w:r>
      <w:r w:rsidRPr="000977F7">
        <w:rPr>
          <w:color w:val="auto"/>
          <w:sz w:val="20"/>
          <w:szCs w:val="20"/>
        </w:rPr>
        <w:t>(ІМПОРТНА)</w:t>
      </w:r>
      <w:r w:rsidRPr="000977F7">
        <w:rPr>
          <w:color w:val="auto"/>
          <w:spacing w:val="-2"/>
          <w:sz w:val="20"/>
          <w:szCs w:val="20"/>
        </w:rPr>
        <w:t xml:space="preserve"> </w:t>
      </w:r>
      <w:r w:rsidRPr="000977F7">
        <w:rPr>
          <w:color w:val="auto"/>
          <w:sz w:val="20"/>
          <w:szCs w:val="20"/>
        </w:rPr>
        <w:t>–</w:t>
      </w:r>
    </w:p>
    <w:p w14:paraId="60F99C53"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pacing w:val="-1"/>
          <w:sz w:val="20"/>
          <w:szCs w:val="20"/>
        </w:rPr>
        <w:t>Належним</w:t>
      </w:r>
      <w:r w:rsidRPr="000977F7">
        <w:rPr>
          <w:rFonts w:asciiTheme="majorHAnsi" w:hAnsiTheme="majorHAnsi"/>
          <w:spacing w:val="-11"/>
          <w:sz w:val="20"/>
          <w:szCs w:val="20"/>
        </w:rPr>
        <w:t xml:space="preserve"> </w:t>
      </w:r>
      <w:r w:rsidRPr="000977F7">
        <w:rPr>
          <w:rFonts w:asciiTheme="majorHAnsi" w:hAnsiTheme="majorHAnsi"/>
          <w:spacing w:val="-1"/>
          <w:sz w:val="20"/>
          <w:szCs w:val="20"/>
        </w:rPr>
        <w:t>чином</w:t>
      </w:r>
      <w:r w:rsidRPr="000977F7">
        <w:rPr>
          <w:rFonts w:asciiTheme="majorHAnsi" w:hAnsiTheme="majorHAnsi"/>
          <w:spacing w:val="-8"/>
          <w:sz w:val="20"/>
          <w:szCs w:val="20"/>
        </w:rPr>
        <w:t xml:space="preserve"> </w:t>
      </w:r>
      <w:r w:rsidRPr="000977F7">
        <w:rPr>
          <w:rFonts w:asciiTheme="majorHAnsi" w:hAnsiTheme="majorHAnsi"/>
          <w:spacing w:val="-1"/>
          <w:sz w:val="20"/>
          <w:szCs w:val="20"/>
        </w:rPr>
        <w:t>оформлене</w:t>
      </w:r>
      <w:r w:rsidRPr="000977F7">
        <w:rPr>
          <w:rFonts w:asciiTheme="majorHAnsi" w:hAnsiTheme="majorHAnsi"/>
          <w:spacing w:val="-9"/>
          <w:sz w:val="20"/>
          <w:szCs w:val="20"/>
        </w:rPr>
        <w:t xml:space="preserve"> </w:t>
      </w:r>
      <w:r w:rsidRPr="000977F7">
        <w:rPr>
          <w:rFonts w:asciiTheme="majorHAnsi" w:hAnsiTheme="majorHAnsi"/>
          <w:sz w:val="20"/>
          <w:szCs w:val="20"/>
        </w:rPr>
        <w:t>право</w:t>
      </w:r>
      <w:r w:rsidRPr="000977F7">
        <w:rPr>
          <w:rFonts w:asciiTheme="majorHAnsi" w:hAnsiTheme="majorHAnsi"/>
          <w:spacing w:val="-11"/>
          <w:sz w:val="20"/>
          <w:szCs w:val="20"/>
        </w:rPr>
        <w:t xml:space="preserve"> </w:t>
      </w:r>
      <w:r w:rsidRPr="000977F7">
        <w:rPr>
          <w:rFonts w:asciiTheme="majorHAnsi" w:hAnsiTheme="majorHAnsi"/>
          <w:sz w:val="20"/>
          <w:szCs w:val="20"/>
        </w:rPr>
        <w:t>на</w:t>
      </w:r>
      <w:r w:rsidRPr="000977F7">
        <w:rPr>
          <w:rFonts w:asciiTheme="majorHAnsi" w:hAnsiTheme="majorHAnsi"/>
          <w:spacing w:val="-11"/>
          <w:sz w:val="20"/>
          <w:szCs w:val="20"/>
        </w:rPr>
        <w:t xml:space="preserve"> </w:t>
      </w:r>
      <w:r w:rsidRPr="000977F7">
        <w:rPr>
          <w:rFonts w:asciiTheme="majorHAnsi" w:hAnsiTheme="majorHAnsi"/>
          <w:sz w:val="20"/>
          <w:szCs w:val="20"/>
        </w:rPr>
        <w:t>експорт</w:t>
      </w:r>
      <w:r w:rsidRPr="000977F7">
        <w:rPr>
          <w:rFonts w:asciiTheme="majorHAnsi" w:hAnsiTheme="majorHAnsi"/>
          <w:spacing w:val="-11"/>
          <w:sz w:val="20"/>
          <w:szCs w:val="20"/>
        </w:rPr>
        <w:t xml:space="preserve"> </w:t>
      </w:r>
      <w:r w:rsidRPr="000977F7">
        <w:rPr>
          <w:rFonts w:asciiTheme="majorHAnsi" w:hAnsiTheme="majorHAnsi"/>
          <w:sz w:val="20"/>
          <w:szCs w:val="20"/>
        </w:rPr>
        <w:t>(імпорт)</w:t>
      </w:r>
      <w:r w:rsidRPr="000977F7">
        <w:rPr>
          <w:rFonts w:asciiTheme="majorHAnsi" w:hAnsiTheme="majorHAnsi"/>
          <w:spacing w:val="-47"/>
          <w:sz w:val="20"/>
          <w:szCs w:val="20"/>
        </w:rPr>
        <w:t xml:space="preserve"> </w:t>
      </w:r>
      <w:r w:rsidRPr="000977F7">
        <w:rPr>
          <w:rFonts w:asciiTheme="majorHAnsi" w:hAnsiTheme="majorHAnsi"/>
          <w:sz w:val="20"/>
          <w:szCs w:val="20"/>
        </w:rPr>
        <w:t>протягом</w:t>
      </w:r>
      <w:r w:rsidRPr="000977F7">
        <w:rPr>
          <w:rFonts w:asciiTheme="majorHAnsi" w:hAnsiTheme="majorHAnsi"/>
          <w:spacing w:val="42"/>
          <w:sz w:val="20"/>
          <w:szCs w:val="20"/>
        </w:rPr>
        <w:t xml:space="preserve"> </w:t>
      </w:r>
      <w:r w:rsidRPr="000977F7">
        <w:rPr>
          <w:rFonts w:asciiTheme="majorHAnsi" w:hAnsiTheme="majorHAnsi"/>
          <w:sz w:val="20"/>
          <w:szCs w:val="20"/>
        </w:rPr>
        <w:t>установленого</w:t>
      </w:r>
      <w:r w:rsidRPr="000977F7">
        <w:rPr>
          <w:rFonts w:asciiTheme="majorHAnsi" w:hAnsiTheme="majorHAnsi"/>
          <w:spacing w:val="39"/>
          <w:sz w:val="20"/>
          <w:szCs w:val="20"/>
        </w:rPr>
        <w:t xml:space="preserve"> </w:t>
      </w:r>
      <w:r w:rsidRPr="000977F7">
        <w:rPr>
          <w:rFonts w:asciiTheme="majorHAnsi" w:hAnsiTheme="majorHAnsi"/>
          <w:sz w:val="20"/>
          <w:szCs w:val="20"/>
        </w:rPr>
        <w:t>терміну</w:t>
      </w:r>
      <w:r w:rsidRPr="000977F7">
        <w:rPr>
          <w:rFonts w:asciiTheme="majorHAnsi" w:hAnsiTheme="majorHAnsi"/>
          <w:spacing w:val="38"/>
          <w:sz w:val="20"/>
          <w:szCs w:val="20"/>
        </w:rPr>
        <w:t xml:space="preserve"> </w:t>
      </w:r>
      <w:r w:rsidRPr="000977F7">
        <w:rPr>
          <w:rFonts w:asciiTheme="majorHAnsi" w:hAnsiTheme="majorHAnsi"/>
          <w:sz w:val="20"/>
          <w:szCs w:val="20"/>
        </w:rPr>
        <w:t>певних</w:t>
      </w:r>
      <w:r w:rsidRPr="000977F7">
        <w:rPr>
          <w:rFonts w:asciiTheme="majorHAnsi" w:hAnsiTheme="majorHAnsi"/>
          <w:spacing w:val="38"/>
          <w:sz w:val="20"/>
          <w:szCs w:val="20"/>
        </w:rPr>
        <w:t xml:space="preserve"> </w:t>
      </w:r>
      <w:r w:rsidRPr="000977F7">
        <w:rPr>
          <w:rFonts w:asciiTheme="majorHAnsi" w:hAnsiTheme="majorHAnsi"/>
          <w:sz w:val="20"/>
          <w:szCs w:val="20"/>
        </w:rPr>
        <w:t>товарів</w:t>
      </w:r>
      <w:r w:rsidRPr="000977F7">
        <w:rPr>
          <w:rFonts w:asciiTheme="majorHAnsi" w:hAnsiTheme="majorHAnsi"/>
          <w:spacing w:val="39"/>
          <w:sz w:val="20"/>
          <w:szCs w:val="20"/>
        </w:rPr>
        <w:t xml:space="preserve"> </w:t>
      </w:r>
      <w:r w:rsidRPr="000977F7">
        <w:rPr>
          <w:rFonts w:asciiTheme="majorHAnsi" w:hAnsiTheme="majorHAnsi"/>
          <w:sz w:val="20"/>
          <w:szCs w:val="20"/>
        </w:rPr>
        <w:t xml:space="preserve">або </w:t>
      </w:r>
      <w:r w:rsidRPr="000977F7">
        <w:rPr>
          <w:rFonts w:asciiTheme="majorHAnsi" w:hAnsiTheme="majorHAnsi"/>
          <w:spacing w:val="-47"/>
          <w:sz w:val="20"/>
          <w:szCs w:val="20"/>
        </w:rPr>
        <w:t xml:space="preserve"> </w:t>
      </w:r>
      <w:r w:rsidRPr="000977F7">
        <w:rPr>
          <w:rFonts w:asciiTheme="majorHAnsi" w:hAnsiTheme="majorHAnsi"/>
          <w:spacing w:val="-1"/>
          <w:sz w:val="20"/>
          <w:szCs w:val="20"/>
        </w:rPr>
        <w:t xml:space="preserve">валютних коштів з метою інвестицій та </w:t>
      </w:r>
      <w:r w:rsidRPr="000977F7">
        <w:rPr>
          <w:rFonts w:asciiTheme="majorHAnsi" w:hAnsiTheme="majorHAnsi"/>
          <w:sz w:val="20"/>
          <w:szCs w:val="20"/>
        </w:rPr>
        <w:t>кредитування</w:t>
      </w:r>
      <w:r w:rsidRPr="000977F7">
        <w:rPr>
          <w:rFonts w:asciiTheme="majorHAnsi" w:hAnsiTheme="majorHAnsi"/>
          <w:spacing w:val="1"/>
          <w:sz w:val="20"/>
          <w:szCs w:val="20"/>
        </w:rPr>
        <w:t xml:space="preserve"> </w:t>
      </w:r>
    </w:p>
    <w:p w14:paraId="62EF106E"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856394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ЛІЦЕНЗІЯ</w:t>
      </w:r>
      <w:r w:rsidRPr="000977F7">
        <w:rPr>
          <w:color w:val="auto"/>
          <w:spacing w:val="-5"/>
          <w:sz w:val="20"/>
          <w:szCs w:val="20"/>
        </w:rPr>
        <w:t xml:space="preserve"> </w:t>
      </w:r>
      <w:r w:rsidRPr="000977F7">
        <w:rPr>
          <w:color w:val="auto"/>
          <w:sz w:val="20"/>
          <w:szCs w:val="20"/>
        </w:rPr>
        <w:t>НА</w:t>
      </w:r>
      <w:r w:rsidRPr="000977F7">
        <w:rPr>
          <w:color w:val="auto"/>
          <w:spacing w:val="-3"/>
          <w:sz w:val="20"/>
          <w:szCs w:val="20"/>
        </w:rPr>
        <w:t xml:space="preserve"> </w:t>
      </w:r>
      <w:r w:rsidRPr="000977F7">
        <w:rPr>
          <w:color w:val="auto"/>
          <w:sz w:val="20"/>
          <w:szCs w:val="20"/>
        </w:rPr>
        <w:t>ПРАВО</w:t>
      </w:r>
      <w:r w:rsidRPr="000977F7">
        <w:rPr>
          <w:color w:val="auto"/>
          <w:spacing w:val="-2"/>
          <w:sz w:val="20"/>
          <w:szCs w:val="20"/>
        </w:rPr>
        <w:t xml:space="preserve"> </w:t>
      </w:r>
      <w:r w:rsidRPr="000977F7">
        <w:rPr>
          <w:color w:val="auto"/>
          <w:sz w:val="20"/>
          <w:szCs w:val="20"/>
        </w:rPr>
        <w:t>ДІЯЛЬНОСТІ</w:t>
      </w:r>
      <w:r w:rsidRPr="000977F7">
        <w:rPr>
          <w:color w:val="auto"/>
          <w:spacing w:val="-3"/>
          <w:sz w:val="20"/>
          <w:szCs w:val="20"/>
        </w:rPr>
        <w:t xml:space="preserve"> </w:t>
      </w:r>
      <w:r w:rsidRPr="000977F7">
        <w:rPr>
          <w:color w:val="auto"/>
          <w:sz w:val="20"/>
          <w:szCs w:val="20"/>
        </w:rPr>
        <w:t>–</w:t>
      </w:r>
    </w:p>
    <w:p w14:paraId="6EE0598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pacing w:val="-2"/>
          <w:sz w:val="20"/>
          <w:szCs w:val="20"/>
          <w:lang w:val="uk-UA"/>
        </w:rPr>
        <w:t xml:space="preserve">Офіційний документ державного </w:t>
      </w:r>
      <w:r w:rsidRPr="004D2D14">
        <w:rPr>
          <w:rFonts w:asciiTheme="majorHAnsi" w:hAnsiTheme="majorHAnsi"/>
          <w:spacing w:val="-1"/>
          <w:sz w:val="20"/>
          <w:szCs w:val="20"/>
          <w:lang w:val="uk-UA"/>
        </w:rPr>
        <w:t>органу регулювання</w:t>
      </w:r>
      <w:r w:rsidRPr="004D2D14">
        <w:rPr>
          <w:rFonts w:asciiTheme="majorHAnsi" w:hAnsiTheme="majorHAnsi"/>
          <w:sz w:val="20"/>
          <w:szCs w:val="20"/>
          <w:lang w:val="uk-UA"/>
        </w:rPr>
        <w:t xml:space="preserve"> </w:t>
      </w:r>
      <w:r w:rsidRPr="004D2D14">
        <w:rPr>
          <w:rFonts w:asciiTheme="majorHAnsi" w:hAnsiTheme="majorHAnsi"/>
          <w:spacing w:val="-5"/>
          <w:sz w:val="20"/>
          <w:szCs w:val="20"/>
          <w:lang w:val="uk-UA"/>
        </w:rPr>
        <w:t xml:space="preserve">безпеки, що видається юридичній особі на право діяльності, </w:t>
      </w:r>
      <w:r w:rsidRPr="004D2D14">
        <w:rPr>
          <w:rFonts w:asciiTheme="majorHAnsi" w:hAnsiTheme="majorHAnsi"/>
          <w:spacing w:val="-4"/>
          <w:sz w:val="20"/>
          <w:szCs w:val="20"/>
          <w:lang w:val="uk-UA"/>
        </w:rPr>
        <w:t xml:space="preserve">пов’язаної із створенням та використанням потенційно небезпечного об’єкта або продукції, і встановлює </w:t>
      </w:r>
      <w:r w:rsidRPr="004D2D14">
        <w:rPr>
          <w:rFonts w:asciiTheme="majorHAnsi" w:hAnsiTheme="majorHAnsi"/>
          <w:spacing w:val="-3"/>
          <w:sz w:val="20"/>
          <w:szCs w:val="20"/>
          <w:lang w:val="uk-UA"/>
        </w:rPr>
        <w:t>спе</w:t>
      </w:r>
      <w:r w:rsidRPr="004D2D14">
        <w:rPr>
          <w:rFonts w:asciiTheme="majorHAnsi" w:hAnsiTheme="majorHAnsi"/>
          <w:spacing w:val="-6"/>
          <w:sz w:val="20"/>
          <w:szCs w:val="20"/>
          <w:lang w:val="uk-UA"/>
        </w:rPr>
        <w:t>ціальні</w:t>
      </w:r>
      <w:r w:rsidRPr="004D2D14">
        <w:rPr>
          <w:rFonts w:asciiTheme="majorHAnsi" w:hAnsiTheme="majorHAnsi"/>
          <w:spacing w:val="-12"/>
          <w:sz w:val="20"/>
          <w:szCs w:val="20"/>
          <w:lang w:val="uk-UA"/>
        </w:rPr>
        <w:t xml:space="preserve"> </w:t>
      </w:r>
      <w:r w:rsidRPr="004D2D14">
        <w:rPr>
          <w:rFonts w:asciiTheme="majorHAnsi" w:hAnsiTheme="majorHAnsi"/>
          <w:spacing w:val="-6"/>
          <w:sz w:val="20"/>
          <w:szCs w:val="20"/>
          <w:lang w:val="uk-UA"/>
        </w:rPr>
        <w:t>умови</w:t>
      </w:r>
      <w:r w:rsidRPr="004D2D14">
        <w:rPr>
          <w:rFonts w:asciiTheme="majorHAnsi" w:hAnsiTheme="majorHAnsi"/>
          <w:spacing w:val="-11"/>
          <w:sz w:val="20"/>
          <w:szCs w:val="20"/>
          <w:lang w:val="uk-UA"/>
        </w:rPr>
        <w:t xml:space="preserve"> </w:t>
      </w:r>
      <w:r w:rsidRPr="004D2D14">
        <w:rPr>
          <w:rFonts w:asciiTheme="majorHAnsi" w:hAnsiTheme="majorHAnsi"/>
          <w:spacing w:val="-6"/>
          <w:sz w:val="20"/>
          <w:szCs w:val="20"/>
          <w:lang w:val="uk-UA"/>
        </w:rPr>
        <w:t>для</w:t>
      </w:r>
      <w:r w:rsidRPr="004D2D14">
        <w:rPr>
          <w:rFonts w:asciiTheme="majorHAnsi" w:hAnsiTheme="majorHAnsi"/>
          <w:spacing w:val="-15"/>
          <w:sz w:val="20"/>
          <w:szCs w:val="20"/>
          <w:lang w:val="uk-UA"/>
        </w:rPr>
        <w:t xml:space="preserve"> </w:t>
      </w:r>
      <w:r w:rsidRPr="004D2D14">
        <w:rPr>
          <w:rFonts w:asciiTheme="majorHAnsi" w:hAnsiTheme="majorHAnsi"/>
          <w:spacing w:val="-6"/>
          <w:sz w:val="20"/>
          <w:szCs w:val="20"/>
          <w:lang w:val="uk-UA"/>
        </w:rPr>
        <w:t>реалізації</w:t>
      </w:r>
      <w:r w:rsidRPr="004D2D14">
        <w:rPr>
          <w:rFonts w:asciiTheme="majorHAnsi" w:hAnsiTheme="majorHAnsi"/>
          <w:spacing w:val="-12"/>
          <w:sz w:val="20"/>
          <w:szCs w:val="20"/>
          <w:lang w:val="uk-UA"/>
        </w:rPr>
        <w:t xml:space="preserve"> </w:t>
      </w:r>
      <w:r w:rsidRPr="004D2D14">
        <w:rPr>
          <w:rFonts w:asciiTheme="majorHAnsi" w:hAnsiTheme="majorHAnsi"/>
          <w:spacing w:val="-5"/>
          <w:sz w:val="20"/>
          <w:szCs w:val="20"/>
          <w:lang w:val="uk-UA"/>
        </w:rPr>
        <w:t>цієї</w:t>
      </w:r>
      <w:r w:rsidRPr="004D2D14">
        <w:rPr>
          <w:rFonts w:asciiTheme="majorHAnsi" w:hAnsiTheme="majorHAnsi"/>
          <w:spacing w:val="-12"/>
          <w:sz w:val="20"/>
          <w:szCs w:val="20"/>
          <w:lang w:val="uk-UA"/>
        </w:rPr>
        <w:t xml:space="preserve"> </w:t>
      </w:r>
      <w:r w:rsidRPr="004D2D14">
        <w:rPr>
          <w:rFonts w:asciiTheme="majorHAnsi" w:hAnsiTheme="majorHAnsi"/>
          <w:spacing w:val="-5"/>
          <w:sz w:val="20"/>
          <w:szCs w:val="20"/>
          <w:lang w:val="uk-UA"/>
        </w:rPr>
        <w:t>діяльності</w:t>
      </w:r>
    </w:p>
    <w:p w14:paraId="2FD71F6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2156 - 93</w:t>
      </w:r>
    </w:p>
    <w:p w14:paraId="6ADC956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ЛІЦЕНЗІЯ</w:t>
      </w:r>
      <w:r w:rsidRPr="000977F7">
        <w:rPr>
          <w:color w:val="auto"/>
          <w:spacing w:val="-5"/>
          <w:sz w:val="20"/>
          <w:szCs w:val="20"/>
        </w:rPr>
        <w:t xml:space="preserve"> </w:t>
      </w:r>
      <w:r w:rsidRPr="000977F7">
        <w:rPr>
          <w:color w:val="auto"/>
          <w:sz w:val="20"/>
          <w:szCs w:val="20"/>
        </w:rPr>
        <w:t>РАЗОВА</w:t>
      </w:r>
      <w:r w:rsidRPr="000977F7">
        <w:rPr>
          <w:color w:val="auto"/>
          <w:spacing w:val="-4"/>
          <w:sz w:val="20"/>
          <w:szCs w:val="20"/>
        </w:rPr>
        <w:t xml:space="preserve"> </w:t>
      </w:r>
      <w:r w:rsidRPr="000977F7">
        <w:rPr>
          <w:color w:val="auto"/>
          <w:sz w:val="20"/>
          <w:szCs w:val="20"/>
        </w:rPr>
        <w:t>(ІНДИВІДУАЛЬНА) –</w:t>
      </w:r>
    </w:p>
    <w:p w14:paraId="2B5C41D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Разовий дозвіл, що має іменний характер і видається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 здійснення кожної окремої операції конкретним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суб’єктом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зовнішньоекономічної діяльності на період</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не менший ніж той, що є необхідним для здійснення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експортної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(імпортної) операції</w:t>
      </w:r>
    </w:p>
    <w:p w14:paraId="0D57DD5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ED3C1A0" w14:textId="77777777" w:rsidR="0097612F" w:rsidRPr="000977F7" w:rsidRDefault="0097612F" w:rsidP="000977F7">
      <w:pPr>
        <w:pStyle w:val="7"/>
        <w:tabs>
          <w:tab w:val="left" w:pos="284"/>
        </w:tabs>
        <w:spacing w:before="0" w:line="240" w:lineRule="auto"/>
        <w:ind w:left="170"/>
        <w:mirrorIndents/>
        <w:jc w:val="both"/>
        <w:rPr>
          <w:color w:val="auto"/>
          <w:spacing w:val="-7"/>
          <w:sz w:val="20"/>
          <w:szCs w:val="20"/>
        </w:rPr>
      </w:pPr>
      <w:bookmarkStart w:id="117" w:name="_Hlk101074678"/>
      <w:r w:rsidRPr="000977F7">
        <w:rPr>
          <w:color w:val="auto"/>
          <w:sz w:val="20"/>
          <w:szCs w:val="20"/>
        </w:rPr>
        <w:t>ЛОГАРИФМІЧНА</w:t>
      </w:r>
      <w:r w:rsidRPr="000977F7">
        <w:rPr>
          <w:color w:val="auto"/>
          <w:spacing w:val="-7"/>
          <w:sz w:val="20"/>
          <w:szCs w:val="20"/>
        </w:rPr>
        <w:t xml:space="preserve"> </w:t>
      </w:r>
      <w:r w:rsidRPr="000977F7">
        <w:rPr>
          <w:color w:val="auto"/>
          <w:sz w:val="20"/>
          <w:szCs w:val="20"/>
        </w:rPr>
        <w:t>ЧАСТОТНА</w:t>
      </w:r>
      <w:r w:rsidRPr="000977F7">
        <w:rPr>
          <w:color w:val="auto"/>
          <w:spacing w:val="-7"/>
          <w:sz w:val="20"/>
          <w:szCs w:val="20"/>
        </w:rPr>
        <w:t xml:space="preserve"> </w:t>
      </w:r>
    </w:p>
    <w:p w14:paraId="1CB8019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ХАРАКТЕРИСТИКА -</w:t>
      </w:r>
    </w:p>
    <w:p w14:paraId="5A2228C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BODE</w:t>
      </w:r>
      <w:r w:rsidRPr="000977F7">
        <w:rPr>
          <w:rFonts w:asciiTheme="majorHAnsi" w:hAnsiTheme="majorHAnsi"/>
          <w:spacing w:val="-2"/>
          <w:sz w:val="20"/>
          <w:szCs w:val="20"/>
        </w:rPr>
        <w:t xml:space="preserve"> </w:t>
      </w:r>
      <w:r w:rsidRPr="000977F7">
        <w:rPr>
          <w:rFonts w:asciiTheme="majorHAnsi" w:hAnsiTheme="majorHAnsi"/>
          <w:sz w:val="20"/>
          <w:szCs w:val="20"/>
        </w:rPr>
        <w:t>DIAGRAM -</w:t>
      </w:r>
    </w:p>
    <w:bookmarkEnd w:id="117"/>
    <w:p w14:paraId="6B82CD6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Частотна</w:t>
      </w:r>
      <w:r w:rsidRPr="000977F7">
        <w:rPr>
          <w:rFonts w:asciiTheme="majorHAnsi" w:hAnsiTheme="majorHAnsi"/>
          <w:spacing w:val="-9"/>
          <w:sz w:val="20"/>
          <w:szCs w:val="20"/>
        </w:rPr>
        <w:t xml:space="preserve"> </w:t>
      </w:r>
      <w:r w:rsidRPr="000977F7">
        <w:rPr>
          <w:rFonts w:asciiTheme="majorHAnsi" w:hAnsiTheme="majorHAnsi"/>
          <w:sz w:val="20"/>
          <w:szCs w:val="20"/>
        </w:rPr>
        <w:t>характеристика,</w:t>
      </w:r>
      <w:r w:rsidRPr="000977F7">
        <w:rPr>
          <w:rFonts w:asciiTheme="majorHAnsi" w:hAnsiTheme="majorHAnsi"/>
          <w:spacing w:val="-7"/>
          <w:sz w:val="20"/>
          <w:szCs w:val="20"/>
        </w:rPr>
        <w:t xml:space="preserve"> </w:t>
      </w:r>
      <w:r w:rsidRPr="000977F7">
        <w:rPr>
          <w:rFonts w:asciiTheme="majorHAnsi" w:hAnsiTheme="majorHAnsi"/>
          <w:sz w:val="20"/>
          <w:szCs w:val="20"/>
        </w:rPr>
        <w:t>яка</w:t>
      </w:r>
      <w:r w:rsidRPr="000977F7">
        <w:rPr>
          <w:rFonts w:asciiTheme="majorHAnsi" w:hAnsiTheme="majorHAnsi"/>
          <w:spacing w:val="-9"/>
          <w:sz w:val="20"/>
          <w:szCs w:val="20"/>
        </w:rPr>
        <w:t xml:space="preserve"> </w:t>
      </w:r>
      <w:r w:rsidRPr="000977F7">
        <w:rPr>
          <w:rFonts w:asciiTheme="majorHAnsi" w:hAnsiTheme="majorHAnsi"/>
          <w:sz w:val="20"/>
          <w:szCs w:val="20"/>
        </w:rPr>
        <w:t>подає</w:t>
      </w:r>
      <w:r w:rsidRPr="000977F7">
        <w:rPr>
          <w:rFonts w:asciiTheme="majorHAnsi" w:hAnsiTheme="majorHAnsi"/>
          <w:spacing w:val="-8"/>
          <w:sz w:val="20"/>
          <w:szCs w:val="20"/>
        </w:rPr>
        <w:t xml:space="preserve"> </w:t>
      </w:r>
      <w:r w:rsidRPr="000977F7">
        <w:rPr>
          <w:rFonts w:asciiTheme="majorHAnsi" w:hAnsiTheme="majorHAnsi"/>
          <w:sz w:val="20"/>
          <w:szCs w:val="20"/>
        </w:rPr>
        <w:t>залежність</w:t>
      </w:r>
      <w:r w:rsidRPr="000977F7">
        <w:rPr>
          <w:rFonts w:asciiTheme="majorHAnsi" w:hAnsiTheme="majorHAnsi"/>
          <w:spacing w:val="-8"/>
          <w:sz w:val="20"/>
          <w:szCs w:val="20"/>
        </w:rPr>
        <w:t xml:space="preserve"> </w:t>
      </w:r>
      <w:r w:rsidRPr="000977F7">
        <w:rPr>
          <w:rFonts w:asciiTheme="majorHAnsi" w:hAnsiTheme="majorHAnsi"/>
          <w:sz w:val="20"/>
          <w:szCs w:val="20"/>
        </w:rPr>
        <w:t>модуля</w:t>
      </w:r>
      <w:r w:rsidRPr="000977F7">
        <w:rPr>
          <w:rFonts w:asciiTheme="majorHAnsi" w:hAnsiTheme="majorHAnsi"/>
          <w:spacing w:val="-47"/>
          <w:sz w:val="20"/>
          <w:szCs w:val="20"/>
        </w:rPr>
        <w:t xml:space="preserve"> </w:t>
      </w:r>
      <w:r w:rsidRPr="000977F7">
        <w:rPr>
          <w:rFonts w:asciiTheme="majorHAnsi" w:hAnsiTheme="majorHAnsi"/>
          <w:spacing w:val="-1"/>
          <w:sz w:val="20"/>
          <w:szCs w:val="20"/>
        </w:rPr>
        <w:t>частотної</w:t>
      </w:r>
      <w:r w:rsidRPr="000977F7">
        <w:rPr>
          <w:rFonts w:asciiTheme="majorHAnsi" w:hAnsiTheme="majorHAnsi"/>
          <w:spacing w:val="-10"/>
          <w:sz w:val="20"/>
          <w:szCs w:val="20"/>
        </w:rPr>
        <w:t xml:space="preserve"> </w:t>
      </w:r>
      <w:r w:rsidRPr="000977F7">
        <w:rPr>
          <w:rFonts w:asciiTheme="majorHAnsi" w:hAnsiTheme="majorHAnsi"/>
          <w:spacing w:val="-1"/>
          <w:sz w:val="20"/>
          <w:szCs w:val="20"/>
        </w:rPr>
        <w:t>передавальної</w:t>
      </w:r>
      <w:r w:rsidRPr="000977F7">
        <w:rPr>
          <w:rFonts w:asciiTheme="majorHAnsi" w:hAnsiTheme="majorHAnsi"/>
          <w:spacing w:val="-12"/>
          <w:sz w:val="20"/>
          <w:szCs w:val="20"/>
        </w:rPr>
        <w:t xml:space="preserve"> </w:t>
      </w:r>
      <w:r w:rsidRPr="000977F7">
        <w:rPr>
          <w:rFonts w:asciiTheme="majorHAnsi" w:hAnsiTheme="majorHAnsi"/>
          <w:spacing w:val="-1"/>
          <w:sz w:val="20"/>
          <w:szCs w:val="20"/>
        </w:rPr>
        <w:t>функції,</w:t>
      </w:r>
      <w:r w:rsidRPr="000977F7">
        <w:rPr>
          <w:rFonts w:asciiTheme="majorHAnsi" w:hAnsiTheme="majorHAnsi"/>
          <w:spacing w:val="-9"/>
          <w:sz w:val="20"/>
          <w:szCs w:val="20"/>
        </w:rPr>
        <w:t xml:space="preserve"> </w:t>
      </w:r>
      <w:r w:rsidRPr="000977F7">
        <w:rPr>
          <w:rFonts w:asciiTheme="majorHAnsi" w:hAnsiTheme="majorHAnsi"/>
          <w:sz w:val="20"/>
          <w:szCs w:val="20"/>
        </w:rPr>
        <w:t>вираженого</w:t>
      </w:r>
      <w:r w:rsidRPr="000977F7">
        <w:rPr>
          <w:rFonts w:asciiTheme="majorHAnsi" w:hAnsiTheme="majorHAnsi"/>
          <w:spacing w:val="-8"/>
          <w:sz w:val="20"/>
          <w:szCs w:val="20"/>
        </w:rPr>
        <w:t xml:space="preserve"> </w:t>
      </w:r>
      <w:r w:rsidRPr="000977F7">
        <w:rPr>
          <w:rFonts w:asciiTheme="majorHAnsi" w:hAnsiTheme="majorHAnsi"/>
          <w:sz w:val="20"/>
          <w:szCs w:val="20"/>
        </w:rPr>
        <w:t>у</w:t>
      </w:r>
      <w:r w:rsidRPr="000977F7">
        <w:rPr>
          <w:rFonts w:asciiTheme="majorHAnsi" w:hAnsiTheme="majorHAnsi"/>
          <w:spacing w:val="-11"/>
          <w:sz w:val="20"/>
          <w:szCs w:val="20"/>
        </w:rPr>
        <w:t xml:space="preserve"> </w:t>
      </w:r>
      <w:r w:rsidRPr="000977F7">
        <w:rPr>
          <w:rFonts w:asciiTheme="majorHAnsi" w:hAnsiTheme="majorHAnsi"/>
          <w:sz w:val="20"/>
          <w:szCs w:val="20"/>
        </w:rPr>
        <w:t>децибелах, та аргументу частотної передавальної функції, вираженого</w:t>
      </w:r>
      <w:r w:rsidRPr="000977F7">
        <w:rPr>
          <w:rFonts w:asciiTheme="majorHAnsi" w:hAnsiTheme="majorHAnsi"/>
          <w:spacing w:val="-7"/>
          <w:sz w:val="20"/>
          <w:szCs w:val="20"/>
        </w:rPr>
        <w:t xml:space="preserve"> </w:t>
      </w:r>
      <w:r w:rsidRPr="000977F7">
        <w:rPr>
          <w:rFonts w:asciiTheme="majorHAnsi" w:hAnsiTheme="majorHAnsi"/>
          <w:sz w:val="20"/>
          <w:szCs w:val="20"/>
        </w:rPr>
        <w:t>в</w:t>
      </w:r>
      <w:r w:rsidRPr="000977F7">
        <w:rPr>
          <w:rFonts w:asciiTheme="majorHAnsi" w:hAnsiTheme="majorHAnsi"/>
          <w:spacing w:val="-6"/>
          <w:sz w:val="20"/>
          <w:szCs w:val="20"/>
        </w:rPr>
        <w:t xml:space="preserve"> </w:t>
      </w:r>
      <w:r w:rsidRPr="000977F7">
        <w:rPr>
          <w:rFonts w:asciiTheme="majorHAnsi" w:hAnsiTheme="majorHAnsi"/>
          <w:sz w:val="20"/>
          <w:szCs w:val="20"/>
        </w:rPr>
        <w:t>градусах</w:t>
      </w:r>
      <w:r w:rsidRPr="000977F7">
        <w:rPr>
          <w:rFonts w:asciiTheme="majorHAnsi" w:hAnsiTheme="majorHAnsi"/>
          <w:spacing w:val="-8"/>
          <w:sz w:val="20"/>
          <w:szCs w:val="20"/>
        </w:rPr>
        <w:t xml:space="preserve"> </w:t>
      </w:r>
      <w:r w:rsidRPr="000977F7">
        <w:rPr>
          <w:rFonts w:asciiTheme="majorHAnsi" w:hAnsiTheme="majorHAnsi"/>
          <w:sz w:val="20"/>
          <w:szCs w:val="20"/>
        </w:rPr>
        <w:t>або</w:t>
      </w:r>
      <w:r w:rsidRPr="000977F7">
        <w:rPr>
          <w:rFonts w:asciiTheme="majorHAnsi" w:hAnsiTheme="majorHAnsi"/>
          <w:spacing w:val="-7"/>
          <w:sz w:val="20"/>
          <w:szCs w:val="20"/>
        </w:rPr>
        <w:t xml:space="preserve"> </w:t>
      </w:r>
      <w:r w:rsidRPr="000977F7">
        <w:rPr>
          <w:rFonts w:asciiTheme="majorHAnsi" w:hAnsiTheme="majorHAnsi"/>
          <w:sz w:val="20"/>
          <w:szCs w:val="20"/>
        </w:rPr>
        <w:t>радіанах,</w:t>
      </w:r>
      <w:r w:rsidRPr="000977F7">
        <w:rPr>
          <w:rFonts w:asciiTheme="majorHAnsi" w:hAnsiTheme="majorHAnsi"/>
          <w:spacing w:val="-6"/>
          <w:sz w:val="20"/>
          <w:szCs w:val="20"/>
        </w:rPr>
        <w:t xml:space="preserve"> </w:t>
      </w:r>
      <w:r w:rsidRPr="000977F7">
        <w:rPr>
          <w:rFonts w:asciiTheme="majorHAnsi" w:hAnsiTheme="majorHAnsi"/>
          <w:sz w:val="20"/>
          <w:szCs w:val="20"/>
        </w:rPr>
        <w:t>від</w:t>
      </w:r>
      <w:r w:rsidRPr="000977F7">
        <w:rPr>
          <w:rFonts w:asciiTheme="majorHAnsi" w:hAnsiTheme="majorHAnsi"/>
          <w:spacing w:val="-8"/>
          <w:sz w:val="20"/>
          <w:szCs w:val="20"/>
        </w:rPr>
        <w:t xml:space="preserve"> </w:t>
      </w:r>
      <w:r w:rsidRPr="000977F7">
        <w:rPr>
          <w:rFonts w:asciiTheme="majorHAnsi" w:hAnsiTheme="majorHAnsi"/>
          <w:sz w:val="20"/>
          <w:szCs w:val="20"/>
        </w:rPr>
        <w:t>частоти,</w:t>
      </w:r>
      <w:r w:rsidRPr="000977F7">
        <w:rPr>
          <w:rFonts w:asciiTheme="majorHAnsi" w:hAnsiTheme="majorHAnsi"/>
          <w:spacing w:val="-4"/>
          <w:sz w:val="20"/>
          <w:szCs w:val="20"/>
        </w:rPr>
        <w:t xml:space="preserve"> </w:t>
      </w:r>
      <w:r w:rsidRPr="000977F7">
        <w:rPr>
          <w:rFonts w:asciiTheme="majorHAnsi" w:hAnsiTheme="majorHAnsi"/>
          <w:sz w:val="20"/>
          <w:szCs w:val="20"/>
        </w:rPr>
        <w:t>вираже</w:t>
      </w:r>
      <w:r w:rsidRPr="000977F7">
        <w:rPr>
          <w:rFonts w:asciiTheme="majorHAnsi" w:hAnsiTheme="majorHAnsi"/>
          <w:spacing w:val="-1"/>
          <w:sz w:val="20"/>
          <w:szCs w:val="20"/>
        </w:rPr>
        <w:t>ної</w:t>
      </w:r>
      <w:r w:rsidRPr="000977F7">
        <w:rPr>
          <w:rFonts w:asciiTheme="majorHAnsi" w:hAnsiTheme="majorHAnsi"/>
          <w:spacing w:val="-7"/>
          <w:sz w:val="20"/>
          <w:szCs w:val="20"/>
        </w:rPr>
        <w:t xml:space="preserve"> </w:t>
      </w:r>
      <w:r w:rsidRPr="000977F7">
        <w:rPr>
          <w:rFonts w:asciiTheme="majorHAnsi" w:hAnsiTheme="majorHAnsi"/>
          <w:spacing w:val="-1"/>
          <w:sz w:val="20"/>
          <w:szCs w:val="20"/>
        </w:rPr>
        <w:t>у</w:t>
      </w:r>
      <w:r w:rsidRPr="000977F7">
        <w:rPr>
          <w:rFonts w:asciiTheme="majorHAnsi" w:hAnsiTheme="majorHAnsi"/>
          <w:spacing w:val="-8"/>
          <w:sz w:val="20"/>
          <w:szCs w:val="20"/>
        </w:rPr>
        <w:t xml:space="preserve"> </w:t>
      </w:r>
      <w:r w:rsidRPr="000977F7">
        <w:rPr>
          <w:rFonts w:asciiTheme="majorHAnsi" w:hAnsiTheme="majorHAnsi"/>
          <w:spacing w:val="-1"/>
          <w:sz w:val="20"/>
          <w:szCs w:val="20"/>
        </w:rPr>
        <w:t>логарифмічному</w:t>
      </w:r>
      <w:r w:rsidRPr="000977F7">
        <w:rPr>
          <w:rFonts w:asciiTheme="majorHAnsi" w:hAnsiTheme="majorHAnsi"/>
          <w:spacing w:val="-11"/>
          <w:sz w:val="20"/>
          <w:szCs w:val="20"/>
        </w:rPr>
        <w:t xml:space="preserve"> </w:t>
      </w:r>
      <w:r w:rsidRPr="000977F7">
        <w:rPr>
          <w:rFonts w:asciiTheme="majorHAnsi" w:hAnsiTheme="majorHAnsi"/>
          <w:spacing w:val="-1"/>
          <w:sz w:val="20"/>
          <w:szCs w:val="20"/>
        </w:rPr>
        <w:t>масштабі</w:t>
      </w:r>
      <w:r w:rsidRPr="000977F7">
        <w:rPr>
          <w:rFonts w:asciiTheme="majorHAnsi" w:hAnsiTheme="majorHAnsi"/>
          <w:spacing w:val="-9"/>
          <w:sz w:val="20"/>
          <w:szCs w:val="20"/>
        </w:rPr>
        <w:t xml:space="preserve"> </w:t>
      </w:r>
      <w:r w:rsidRPr="000977F7">
        <w:rPr>
          <w:rFonts w:asciiTheme="majorHAnsi" w:hAnsiTheme="majorHAnsi"/>
          <w:sz w:val="20"/>
          <w:szCs w:val="20"/>
        </w:rPr>
        <w:t>за</w:t>
      </w:r>
      <w:r w:rsidRPr="000977F7">
        <w:rPr>
          <w:rFonts w:asciiTheme="majorHAnsi" w:hAnsiTheme="majorHAnsi"/>
          <w:spacing w:val="-7"/>
          <w:sz w:val="20"/>
          <w:szCs w:val="20"/>
        </w:rPr>
        <w:t xml:space="preserve"> </w:t>
      </w:r>
      <w:r w:rsidRPr="000977F7">
        <w:rPr>
          <w:rFonts w:asciiTheme="majorHAnsi" w:hAnsiTheme="majorHAnsi"/>
          <w:sz w:val="20"/>
          <w:szCs w:val="20"/>
        </w:rPr>
        <w:t>основою</w:t>
      </w:r>
      <w:r w:rsidRPr="000977F7">
        <w:rPr>
          <w:rFonts w:asciiTheme="majorHAnsi" w:hAnsiTheme="majorHAnsi"/>
          <w:spacing w:val="-9"/>
          <w:sz w:val="20"/>
          <w:szCs w:val="20"/>
        </w:rPr>
        <w:t xml:space="preserve"> </w:t>
      </w:r>
      <w:r w:rsidRPr="000977F7">
        <w:rPr>
          <w:rFonts w:asciiTheme="majorHAnsi" w:hAnsiTheme="majorHAnsi"/>
          <w:sz w:val="20"/>
          <w:szCs w:val="20"/>
        </w:rPr>
        <w:t>2</w:t>
      </w:r>
      <w:r w:rsidRPr="000977F7">
        <w:rPr>
          <w:rFonts w:asciiTheme="majorHAnsi" w:hAnsiTheme="majorHAnsi"/>
          <w:spacing w:val="-7"/>
          <w:sz w:val="20"/>
          <w:szCs w:val="20"/>
        </w:rPr>
        <w:t xml:space="preserve"> </w:t>
      </w:r>
      <w:r w:rsidRPr="000977F7">
        <w:rPr>
          <w:rFonts w:asciiTheme="majorHAnsi" w:hAnsiTheme="majorHAnsi"/>
          <w:sz w:val="20"/>
          <w:szCs w:val="20"/>
        </w:rPr>
        <w:t>або 10</w:t>
      </w:r>
    </w:p>
    <w:p w14:paraId="140EDF5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199A7D8C" w14:textId="77777777" w:rsidR="0097612F" w:rsidRPr="000977F7" w:rsidRDefault="0097612F" w:rsidP="000977F7">
      <w:pPr>
        <w:pStyle w:val="af6"/>
        <w:tabs>
          <w:tab w:val="left" w:pos="284"/>
        </w:tabs>
        <w:spacing w:after="0"/>
        <w:ind w:left="170"/>
        <w:mirrorIndents/>
        <w:jc w:val="both"/>
        <w:rPr>
          <w:rFonts w:asciiTheme="majorHAnsi" w:hAnsiTheme="majorHAnsi"/>
          <w:spacing w:val="1"/>
          <w:w w:val="95"/>
          <w:sz w:val="20"/>
          <w:szCs w:val="20"/>
        </w:rPr>
      </w:pPr>
      <w:r w:rsidRPr="000977F7">
        <w:rPr>
          <w:rFonts w:asciiTheme="majorHAnsi" w:hAnsiTheme="majorHAnsi"/>
          <w:spacing w:val="-2"/>
          <w:sz w:val="20"/>
          <w:szCs w:val="20"/>
        </w:rPr>
        <w:t>Логарифмічна частотна характеристика подається у вигляді суміщених графіків, які називаються відповідно логарифм</w:t>
      </w:r>
      <w:r w:rsidRPr="000977F7">
        <w:rPr>
          <w:rFonts w:asciiTheme="majorHAnsi" w:hAnsiTheme="majorHAnsi"/>
          <w:spacing w:val="-4"/>
          <w:sz w:val="20"/>
          <w:szCs w:val="20"/>
        </w:rPr>
        <w:t xml:space="preserve">ічною </w:t>
      </w:r>
      <w:r w:rsidRPr="000977F7">
        <w:rPr>
          <w:rFonts w:asciiTheme="majorHAnsi" w:hAnsiTheme="majorHAnsi"/>
          <w:spacing w:val="-3"/>
          <w:sz w:val="20"/>
          <w:szCs w:val="20"/>
        </w:rPr>
        <w:t>амплітудночастотною (ЛАЧХ) та лога</w:t>
      </w:r>
      <w:r w:rsidRPr="000977F7">
        <w:rPr>
          <w:rFonts w:asciiTheme="majorHAnsi" w:hAnsiTheme="majorHAnsi"/>
          <w:w w:val="95"/>
          <w:sz w:val="20"/>
          <w:szCs w:val="20"/>
        </w:rPr>
        <w:t>рифмічною</w:t>
      </w:r>
      <w:r w:rsidRPr="000977F7">
        <w:rPr>
          <w:rFonts w:asciiTheme="majorHAnsi" w:hAnsiTheme="majorHAnsi"/>
          <w:spacing w:val="-1"/>
          <w:w w:val="95"/>
          <w:sz w:val="20"/>
          <w:szCs w:val="20"/>
        </w:rPr>
        <w:t xml:space="preserve"> </w:t>
      </w:r>
      <w:r w:rsidRPr="000977F7">
        <w:rPr>
          <w:rFonts w:asciiTheme="majorHAnsi" w:hAnsiTheme="majorHAnsi"/>
          <w:w w:val="95"/>
          <w:sz w:val="20"/>
          <w:szCs w:val="20"/>
        </w:rPr>
        <w:t>фазо-частотною (ЛФЧХ)</w:t>
      </w:r>
      <w:r w:rsidRPr="000977F7">
        <w:rPr>
          <w:rFonts w:asciiTheme="majorHAnsi" w:hAnsiTheme="majorHAnsi"/>
          <w:spacing w:val="5"/>
          <w:w w:val="95"/>
          <w:sz w:val="20"/>
          <w:szCs w:val="20"/>
        </w:rPr>
        <w:t xml:space="preserve"> </w:t>
      </w:r>
      <w:r w:rsidRPr="000977F7">
        <w:rPr>
          <w:rFonts w:asciiTheme="majorHAnsi" w:hAnsiTheme="majorHAnsi"/>
          <w:w w:val="95"/>
          <w:sz w:val="20"/>
          <w:szCs w:val="20"/>
        </w:rPr>
        <w:t>характеристиками</w:t>
      </w:r>
      <w:r w:rsidRPr="000977F7">
        <w:rPr>
          <w:rFonts w:asciiTheme="majorHAnsi" w:hAnsiTheme="majorHAnsi"/>
          <w:spacing w:val="1"/>
          <w:w w:val="95"/>
          <w:sz w:val="20"/>
          <w:szCs w:val="20"/>
        </w:rPr>
        <w:t xml:space="preserve"> </w:t>
      </w:r>
    </w:p>
    <w:p w14:paraId="56CF2A24"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3956 - 2000</w:t>
      </w:r>
    </w:p>
    <w:p w14:paraId="64908F74" w14:textId="77777777" w:rsidR="0097612F" w:rsidRPr="000977F7" w:rsidRDefault="0097612F" w:rsidP="000977F7">
      <w:pPr>
        <w:pStyle w:val="af6"/>
        <w:tabs>
          <w:tab w:val="left" w:pos="284"/>
        </w:tabs>
        <w:spacing w:after="0"/>
        <w:ind w:left="170"/>
        <w:mirrorIndents/>
        <w:jc w:val="both"/>
        <w:rPr>
          <w:rFonts w:asciiTheme="majorHAnsi" w:hAnsiTheme="majorHAnsi"/>
          <w:b/>
          <w:bCs/>
          <w:iCs/>
          <w:sz w:val="20"/>
          <w:szCs w:val="20"/>
        </w:rPr>
      </w:pPr>
      <w:bookmarkStart w:id="118" w:name="_Hlk103667017"/>
      <w:r w:rsidRPr="000977F7">
        <w:rPr>
          <w:rFonts w:asciiTheme="majorHAnsi" w:hAnsiTheme="majorHAnsi"/>
          <w:b/>
          <w:bCs/>
          <w:iCs/>
          <w:sz w:val="20"/>
          <w:szCs w:val="20"/>
        </w:rPr>
        <w:t>ЛОГІЧНО ПЕРЕДБАЧУВАНЕ НЕПРАВИЛЬНЕ ВИКОРИСТАННЯ –</w:t>
      </w:r>
    </w:p>
    <w:p w14:paraId="18DC2FF5" w14:textId="77777777" w:rsidR="0097612F" w:rsidRPr="000977F7" w:rsidRDefault="0097612F" w:rsidP="000977F7">
      <w:pPr>
        <w:pStyle w:val="af6"/>
        <w:tabs>
          <w:tab w:val="left" w:pos="284"/>
        </w:tabs>
        <w:spacing w:after="0"/>
        <w:ind w:left="170"/>
        <w:mirrorIndents/>
        <w:jc w:val="both"/>
        <w:rPr>
          <w:rFonts w:asciiTheme="majorHAnsi" w:hAnsiTheme="majorHAnsi"/>
          <w:iCs/>
          <w:sz w:val="20"/>
          <w:szCs w:val="20"/>
        </w:rPr>
      </w:pPr>
      <w:r w:rsidRPr="000977F7">
        <w:rPr>
          <w:rFonts w:asciiTheme="majorHAnsi" w:hAnsiTheme="majorHAnsi"/>
          <w:iCs/>
          <w:sz w:val="20"/>
          <w:szCs w:val="20"/>
        </w:rPr>
        <w:t>REASONABLY FORESEEABLE MISUSE –</w:t>
      </w:r>
    </w:p>
    <w:bookmarkEnd w:id="118"/>
    <w:p w14:paraId="522883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Використання машини у спосіб, не передбачений інструкцією, але який можна легко передбачити, ураховуючи поводження людини </w:t>
      </w:r>
    </w:p>
    <w:p w14:paraId="773D1F86"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7EEF5123" w14:textId="77777777" w:rsidR="0097612F" w:rsidRPr="000977F7" w:rsidRDefault="0097612F" w:rsidP="000977F7">
      <w:pPr>
        <w:pStyle w:val="7"/>
        <w:tabs>
          <w:tab w:val="left" w:pos="284"/>
        </w:tabs>
        <w:spacing w:before="0" w:line="240" w:lineRule="auto"/>
        <w:ind w:left="170"/>
        <w:mirrorIndents/>
        <w:jc w:val="both"/>
        <w:rPr>
          <w:color w:val="auto"/>
          <w:spacing w:val="19"/>
          <w:sz w:val="20"/>
          <w:szCs w:val="20"/>
        </w:rPr>
      </w:pPr>
      <w:r w:rsidRPr="000977F7">
        <w:rPr>
          <w:color w:val="auto"/>
          <w:sz w:val="20"/>
          <w:szCs w:val="20"/>
        </w:rPr>
        <w:t>ЛОКАЛЬНА</w:t>
      </w:r>
      <w:r w:rsidRPr="000977F7">
        <w:rPr>
          <w:color w:val="auto"/>
          <w:spacing w:val="18"/>
          <w:sz w:val="20"/>
          <w:szCs w:val="20"/>
        </w:rPr>
        <w:t xml:space="preserve"> </w:t>
      </w:r>
      <w:r w:rsidRPr="000977F7">
        <w:rPr>
          <w:color w:val="auto"/>
          <w:sz w:val="20"/>
          <w:szCs w:val="20"/>
        </w:rPr>
        <w:t>СИСТЕМА</w:t>
      </w:r>
      <w:r w:rsidRPr="000977F7">
        <w:rPr>
          <w:color w:val="auto"/>
          <w:spacing w:val="17"/>
          <w:sz w:val="20"/>
          <w:szCs w:val="20"/>
        </w:rPr>
        <w:t xml:space="preserve"> </w:t>
      </w:r>
      <w:r w:rsidRPr="000977F7">
        <w:rPr>
          <w:color w:val="auto"/>
          <w:sz w:val="20"/>
          <w:szCs w:val="20"/>
        </w:rPr>
        <w:t>ТЕХНІЧНОГО</w:t>
      </w:r>
      <w:r w:rsidRPr="000977F7">
        <w:rPr>
          <w:color w:val="auto"/>
          <w:spacing w:val="19"/>
          <w:sz w:val="20"/>
          <w:szCs w:val="20"/>
        </w:rPr>
        <w:t xml:space="preserve"> </w:t>
      </w:r>
    </w:p>
    <w:p w14:paraId="3E08967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ДІАГ</w:t>
      </w:r>
      <w:r w:rsidRPr="000977F7">
        <w:rPr>
          <w:color w:val="auto"/>
          <w:spacing w:val="-47"/>
          <w:sz w:val="20"/>
          <w:szCs w:val="20"/>
        </w:rPr>
        <w:t xml:space="preserve"> </w:t>
      </w:r>
      <w:r w:rsidRPr="000977F7">
        <w:rPr>
          <w:color w:val="auto"/>
          <w:sz w:val="20"/>
          <w:szCs w:val="20"/>
        </w:rPr>
        <w:t>НОСТУВАННЯ –</w:t>
      </w:r>
    </w:p>
    <w:p w14:paraId="6A820D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діагностування складової частини виробу або</w:t>
      </w:r>
      <w:r w:rsidRPr="000977F7">
        <w:rPr>
          <w:rFonts w:asciiTheme="majorHAnsi" w:hAnsiTheme="majorHAnsi"/>
          <w:spacing w:val="-48"/>
          <w:sz w:val="20"/>
          <w:szCs w:val="20"/>
        </w:rPr>
        <w:t xml:space="preserve">             </w:t>
      </w:r>
      <w:r w:rsidRPr="000977F7">
        <w:rPr>
          <w:rFonts w:asciiTheme="majorHAnsi" w:hAnsiTheme="majorHAnsi"/>
          <w:sz w:val="20"/>
          <w:szCs w:val="20"/>
        </w:rPr>
        <w:t>заготовки</w:t>
      </w:r>
    </w:p>
    <w:p w14:paraId="1A3D9A87"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ЛЮДСЬКІ</w:t>
      </w:r>
      <w:r w:rsidRPr="000977F7">
        <w:rPr>
          <w:rFonts w:asciiTheme="majorHAnsi" w:hAnsiTheme="majorHAnsi"/>
          <w:b/>
          <w:spacing w:val="4"/>
          <w:sz w:val="20"/>
          <w:szCs w:val="20"/>
        </w:rPr>
        <w:t xml:space="preserve"> </w:t>
      </w:r>
      <w:r w:rsidRPr="000977F7">
        <w:rPr>
          <w:rFonts w:asciiTheme="majorHAnsi" w:hAnsiTheme="majorHAnsi"/>
          <w:b/>
          <w:sz w:val="20"/>
          <w:szCs w:val="20"/>
        </w:rPr>
        <w:t>РЕСУРСИ</w:t>
      </w:r>
      <w:r w:rsidRPr="000977F7">
        <w:rPr>
          <w:rFonts w:asciiTheme="majorHAnsi" w:hAnsiTheme="majorHAnsi"/>
          <w:b/>
          <w:spacing w:val="8"/>
          <w:sz w:val="20"/>
          <w:szCs w:val="20"/>
        </w:rPr>
        <w:t xml:space="preserve"> </w:t>
      </w:r>
      <w:r w:rsidRPr="000977F7">
        <w:rPr>
          <w:rFonts w:asciiTheme="majorHAnsi" w:hAnsiTheme="majorHAnsi"/>
          <w:b/>
          <w:sz w:val="20"/>
          <w:szCs w:val="20"/>
        </w:rPr>
        <w:t>(ПІДТРИМАННЯ</w:t>
      </w:r>
      <w:r w:rsidRPr="000977F7">
        <w:rPr>
          <w:rFonts w:asciiTheme="majorHAnsi" w:hAnsiTheme="majorHAnsi"/>
          <w:b/>
          <w:spacing w:val="4"/>
          <w:sz w:val="20"/>
          <w:szCs w:val="20"/>
        </w:rPr>
        <w:t xml:space="preserve"> </w:t>
      </w:r>
      <w:r w:rsidRPr="000977F7">
        <w:rPr>
          <w:rFonts w:asciiTheme="majorHAnsi" w:hAnsiTheme="majorHAnsi"/>
          <w:b/>
          <w:sz w:val="20"/>
          <w:szCs w:val="20"/>
        </w:rPr>
        <w:t>СИСТЕМИ</w:t>
      </w:r>
      <w:r w:rsidRPr="000977F7">
        <w:rPr>
          <w:rFonts w:asciiTheme="majorHAnsi" w:hAnsiTheme="majorHAnsi"/>
          <w:b/>
          <w:spacing w:val="-47"/>
          <w:sz w:val="20"/>
          <w:szCs w:val="20"/>
        </w:rPr>
        <w:t xml:space="preserve"> </w:t>
      </w:r>
      <w:r w:rsidRPr="000977F7">
        <w:rPr>
          <w:rFonts w:asciiTheme="majorHAnsi" w:hAnsiTheme="majorHAnsi"/>
          <w:b/>
          <w:sz w:val="20"/>
          <w:szCs w:val="20"/>
        </w:rPr>
        <w:t>УПРАВЛІННЯ)</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485DFF1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визначати працівників, необхідних</w:t>
      </w:r>
      <w:r w:rsidRPr="000977F7">
        <w:rPr>
          <w:rFonts w:asciiTheme="majorHAnsi" w:hAnsiTheme="majorHAnsi"/>
          <w:spacing w:val="1"/>
          <w:sz w:val="20"/>
          <w:szCs w:val="20"/>
        </w:rPr>
        <w:t xml:space="preserve"> для </w:t>
      </w:r>
      <w:r w:rsidRPr="000977F7">
        <w:rPr>
          <w:rFonts w:asciiTheme="majorHAnsi" w:hAnsiTheme="majorHAnsi"/>
          <w:sz w:val="20"/>
          <w:szCs w:val="20"/>
        </w:rPr>
        <w:t>результативного</w:t>
      </w:r>
      <w:r w:rsidRPr="000977F7">
        <w:rPr>
          <w:rFonts w:asciiTheme="majorHAnsi" w:hAnsiTheme="majorHAnsi"/>
          <w:spacing w:val="1"/>
          <w:sz w:val="20"/>
          <w:szCs w:val="20"/>
        </w:rPr>
        <w:t xml:space="preserve"> </w:t>
      </w:r>
      <w:r w:rsidRPr="000977F7">
        <w:rPr>
          <w:rFonts w:asciiTheme="majorHAnsi" w:hAnsiTheme="majorHAnsi"/>
          <w:sz w:val="20"/>
          <w:szCs w:val="20"/>
        </w:rPr>
        <w:t>запровадження</w:t>
      </w:r>
      <w:r w:rsidRPr="000977F7">
        <w:rPr>
          <w:rFonts w:asciiTheme="majorHAnsi" w:hAnsiTheme="majorHAnsi"/>
          <w:spacing w:val="1"/>
          <w:sz w:val="20"/>
          <w:szCs w:val="20"/>
        </w:rPr>
        <w:t xml:space="preserve"> </w:t>
      </w:r>
      <w:r w:rsidRPr="000977F7">
        <w:rPr>
          <w:rFonts w:asciiTheme="majorHAnsi" w:hAnsiTheme="majorHAnsi"/>
          <w:sz w:val="20"/>
          <w:szCs w:val="20"/>
        </w:rPr>
        <w:t>своєї</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 якістю, а також для функціювання та контролювання</w:t>
      </w:r>
      <w:r w:rsidRPr="000977F7">
        <w:rPr>
          <w:rFonts w:asciiTheme="majorHAnsi" w:hAnsiTheme="majorHAnsi"/>
          <w:spacing w:val="1"/>
          <w:sz w:val="20"/>
          <w:szCs w:val="20"/>
        </w:rPr>
        <w:t xml:space="preserve"> </w:t>
      </w:r>
      <w:r w:rsidRPr="000977F7">
        <w:rPr>
          <w:rFonts w:asciiTheme="majorHAnsi" w:hAnsiTheme="majorHAnsi"/>
          <w:sz w:val="20"/>
          <w:szCs w:val="20"/>
        </w:rPr>
        <w:t>своїх</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забезпечити</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наявність.</w:t>
      </w:r>
    </w:p>
    <w:p w14:paraId="590FEB3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sectPr w:rsidR="0097612F" w:rsidRPr="000977F7" w:rsidSect="000977F7">
          <w:type w:val="continuous"/>
          <w:pgSz w:w="11910" w:h="16840"/>
          <w:pgMar w:top="800" w:right="380" w:bottom="960" w:left="1000" w:header="0" w:footer="751" w:gutter="0"/>
          <w:cols w:num="2" w:space="454"/>
        </w:sect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52BFC9B0" w14:textId="77777777" w:rsidR="0097612F" w:rsidRPr="000F35DA" w:rsidRDefault="0097612F" w:rsidP="000F35DA">
      <w:pPr>
        <w:pStyle w:val="1"/>
        <w:rPr>
          <w:lang w:val="uk-UA"/>
        </w:rPr>
      </w:pPr>
      <w:bookmarkStart w:id="119" w:name="_Toc132629637"/>
      <w:r w:rsidRPr="000F35DA">
        <w:rPr>
          <w:lang w:val="uk-UA"/>
        </w:rPr>
        <w:lastRenderedPageBreak/>
        <w:t>М</w:t>
      </w:r>
      <w:bookmarkEnd w:id="119"/>
    </w:p>
    <w:p w14:paraId="22A958EE" w14:textId="77777777" w:rsidR="0097612F" w:rsidRPr="000F35DA" w:rsidRDefault="0097612F" w:rsidP="000F35DA">
      <w:pPr>
        <w:pStyle w:val="1"/>
        <w:rPr>
          <w:lang w:val="uk-UA"/>
        </w:rPr>
        <w:sectPr w:rsidR="0097612F" w:rsidRPr="000F35DA" w:rsidSect="000977F7">
          <w:pgSz w:w="11910" w:h="16840"/>
          <w:pgMar w:top="800" w:right="428" w:bottom="960" w:left="1000" w:header="0" w:footer="751" w:gutter="0"/>
          <w:cols w:num="2" w:space="454"/>
        </w:sectPr>
      </w:pPr>
    </w:p>
    <w:bookmarkStart w:id="120" w:name="_Toc132629638"/>
    <w:p w14:paraId="55C55CD4" w14:textId="0225A110" w:rsidR="0097612F" w:rsidRPr="000977F7" w:rsidRDefault="002E19DF" w:rsidP="000977F7">
      <w:pPr>
        <w:pStyle w:val="1"/>
        <w:tabs>
          <w:tab w:val="left" w:pos="284"/>
        </w:tabs>
        <w:spacing w:line="240" w:lineRule="auto"/>
        <w:ind w:left="170"/>
        <w:mirrorIndents/>
        <w:jc w:val="both"/>
        <w:rPr>
          <w:b w:val="0"/>
          <w:color w:val="auto"/>
          <w:sz w:val="20"/>
          <w:szCs w:val="20"/>
        </w:rPr>
      </w:pPr>
      <w:r>
        <w:rPr>
          <w:noProof/>
          <w:color w:val="auto"/>
          <w:sz w:val="20"/>
          <w:szCs w:val="20"/>
          <w:lang w:eastAsia="ru-RU"/>
        </w:rPr>
        <mc:AlternateContent>
          <mc:Choice Requires="wps">
            <w:drawing>
              <wp:anchor distT="4294967295" distB="4294967295" distL="114299" distR="114299" simplePos="0" relativeHeight="251680768" behindDoc="1" locked="0" layoutInCell="1" allowOverlap="1" wp14:anchorId="4640D7E4" wp14:editId="359A7920">
                <wp:simplePos x="0" y="0"/>
                <wp:positionH relativeFrom="page">
                  <wp:posOffset>5639434</wp:posOffset>
                </wp:positionH>
                <wp:positionV relativeFrom="paragraph">
                  <wp:posOffset>1437004</wp:posOffset>
                </wp:positionV>
                <wp:extent cx="0" cy="0"/>
                <wp:effectExtent l="0" t="0" r="0" b="0"/>
                <wp:wrapNone/>
                <wp:docPr id="38" name="Прямая соединительная линия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1403">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570B67A0" id="Прямая соединительная линия 38" o:spid="_x0000_s1026" style="position:absolute;z-index:-251635712;visibility:visible;mso-wrap-style:square;mso-width-percent:0;mso-height-percent:0;mso-wrap-distance-left:3.17497mm;mso-wrap-distance-top:-3e-5mm;mso-wrap-distance-right:3.17497mm;mso-wrap-distance-bottom:-3e-5mm;mso-position-horizontal:absolute;mso-position-horizontal-relative:page;mso-position-vertical:absolute;mso-position-vertical-relative:text;mso-width-percent:0;mso-height-percent:0;mso-width-relative:page;mso-height-relative:page" from="444.05pt,113.15pt" to="444.05pt,1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" strokeweight=".03897mm">
                <w10:wrap anchorx="page"/>
              </v:line>
            </w:pict>
          </mc:Fallback>
        </mc:AlternateContent>
      </w:r>
      <w:r>
        <w:rPr>
          <w:noProof/>
          <w:color w:val="auto"/>
          <w:sz w:val="20"/>
          <w:szCs w:val="20"/>
          <w:lang w:eastAsia="ru-RU"/>
        </w:rPr>
        <mc:AlternateContent>
          <mc:Choice Requires="wps">
            <w:drawing>
              <wp:anchor distT="4294967295" distB="4294967295" distL="114299" distR="114299" simplePos="0" relativeHeight="251681792" behindDoc="1" locked="0" layoutInCell="1" allowOverlap="1" wp14:anchorId="40A71EC5" wp14:editId="290C0FD6">
                <wp:simplePos x="0" y="0"/>
                <wp:positionH relativeFrom="page">
                  <wp:posOffset>5639434</wp:posOffset>
                </wp:positionH>
                <wp:positionV relativeFrom="paragraph">
                  <wp:posOffset>1132839</wp:posOffset>
                </wp:positionV>
                <wp:extent cx="0" cy="0"/>
                <wp:effectExtent l="0" t="0" r="0" b="0"/>
                <wp:wrapNone/>
                <wp:docPr id="37" name="Прямая соединительная линия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1403">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0956AC25" id="Прямая соединительная линия 37" o:spid="_x0000_s1026" style="position:absolute;z-index:-251634688;visibility:visible;mso-wrap-style:square;mso-width-percent:0;mso-height-percent:0;mso-wrap-distance-left:3.17497mm;mso-wrap-distance-top:-3e-5mm;mso-wrap-distance-right:3.17497mm;mso-wrap-distance-bottom:-3e-5mm;mso-position-horizontal:absolute;mso-position-horizontal-relative:page;mso-position-vertical:absolute;mso-position-vertical-relative:text;mso-width-percent:0;mso-height-percent:0;mso-width-relative:page;mso-height-relative:page" from="444.05pt,89.2pt" to="444.05pt,8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" strokeweight=".03897mm">
                <w10:wrap anchorx="page"/>
              </v:line>
            </w:pict>
          </mc:Fallback>
        </mc:AlternateContent>
      </w:r>
      <w:r>
        <w:rPr>
          <w:noProof/>
          <w:color w:val="auto"/>
          <w:sz w:val="20"/>
          <w:szCs w:val="20"/>
          <w:lang w:eastAsia="ru-RU"/>
        </w:rPr>
        <mc:AlternateContent>
          <mc:Choice Requires="wps">
            <w:drawing>
              <wp:anchor distT="4294967295" distB="4294967295" distL="114299" distR="114299" simplePos="0" relativeHeight="251682816" behindDoc="1" locked="0" layoutInCell="1" allowOverlap="1" wp14:anchorId="66543658" wp14:editId="730089D2">
                <wp:simplePos x="0" y="0"/>
                <wp:positionH relativeFrom="page">
                  <wp:posOffset>5981064</wp:posOffset>
                </wp:positionH>
                <wp:positionV relativeFrom="paragraph">
                  <wp:posOffset>1724659</wp:posOffset>
                </wp:positionV>
                <wp:extent cx="0" cy="0"/>
                <wp:effectExtent l="0" t="0" r="0" b="0"/>
                <wp:wrapNone/>
                <wp:docPr id="36" name="Прямая соединительная линия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1403">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57604AE8" id="Прямая соединительная линия 36" o:spid="_x0000_s1026" style="position:absolute;z-index:-251633664;visibility:visible;mso-wrap-style:square;mso-width-percent:0;mso-height-percent:0;mso-wrap-distance-left:3.17497mm;mso-wrap-distance-top:-3e-5mm;mso-wrap-distance-right:3.17497mm;mso-wrap-distance-bottom:-3e-5mm;mso-position-horizontal:absolute;mso-position-horizontal-relative:page;mso-position-vertical:absolute;mso-position-vertical-relative:text;mso-width-percent:0;mso-height-percent:0;mso-width-relative:page;mso-height-relative:page" from="470.95pt,135.8pt" to="470.95pt,1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" strokeweight=".03897mm">
                <w10:wrap anchorx="page"/>
              </v:line>
            </w:pict>
          </mc:Fallback>
        </mc:AlternateContent>
      </w:r>
      <w:r>
        <w:rPr>
          <w:noProof/>
          <w:color w:val="auto"/>
          <w:sz w:val="20"/>
          <w:szCs w:val="20"/>
          <w:lang w:eastAsia="ru-RU"/>
        </w:rPr>
        <mc:AlternateContent>
          <mc:Choice Requires="wps">
            <w:drawing>
              <wp:anchor distT="4294967295" distB="4294967295" distL="114299" distR="114299" simplePos="0" relativeHeight="251683840" behindDoc="1" locked="0" layoutInCell="1" allowOverlap="1" wp14:anchorId="47B5B273" wp14:editId="4539ACEE">
                <wp:simplePos x="0" y="0"/>
                <wp:positionH relativeFrom="page">
                  <wp:posOffset>5981064</wp:posOffset>
                </wp:positionH>
                <wp:positionV relativeFrom="paragraph">
                  <wp:posOffset>1064259</wp:posOffset>
                </wp:positionV>
                <wp:extent cx="0" cy="0"/>
                <wp:effectExtent l="0" t="0" r="0" b="0"/>
                <wp:wrapNone/>
                <wp:docPr id="35" name="Прямая соединительная линия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1403">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76C8243" id="Прямая соединительная линия 35" o:spid="_x0000_s1026" style="position:absolute;z-index:-251632640;visibility:visible;mso-wrap-style:square;mso-width-percent:0;mso-height-percent:0;mso-wrap-distance-left:3.17497mm;mso-wrap-distance-top:-3e-5mm;mso-wrap-distance-right:3.17497mm;mso-wrap-distance-bottom:-3e-5mm;mso-position-horizontal:absolute;mso-position-horizontal-relative:page;mso-position-vertical:absolute;mso-position-vertical-relative:text;mso-width-percent:0;mso-height-percent:0;mso-width-relative:page;mso-height-relative:page" from="470.95pt,83.8pt" to="470.95pt,8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" strokeweight=".03897mm">
                <w10:wrap anchorx="page"/>
              </v:line>
            </w:pict>
          </mc:Fallback>
        </mc:AlternateContent>
      </w:r>
      <w:bookmarkEnd w:id="120"/>
    </w:p>
    <w:p w14:paraId="0F871DF7"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МАГНІТНІ ВИПРОБУВАННЯ </w:t>
      </w:r>
      <w:r w:rsidRPr="000977F7">
        <w:rPr>
          <w:rFonts w:asciiTheme="majorHAnsi" w:hAnsiTheme="majorHAnsi"/>
          <w:sz w:val="20"/>
          <w:szCs w:val="20"/>
        </w:rPr>
        <w:t>–</w:t>
      </w:r>
    </w:p>
    <w:p w14:paraId="4D95444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MAGNETIC</w:t>
      </w:r>
      <w:r w:rsidRPr="000977F7">
        <w:rPr>
          <w:rFonts w:asciiTheme="majorHAnsi" w:hAnsiTheme="majorHAnsi"/>
          <w:spacing w:val="-2"/>
          <w:sz w:val="20"/>
          <w:szCs w:val="20"/>
        </w:rPr>
        <w:t xml:space="preserve"> </w:t>
      </w:r>
      <w:r w:rsidRPr="000977F7">
        <w:rPr>
          <w:rFonts w:asciiTheme="majorHAnsi" w:hAnsiTheme="majorHAnsi"/>
          <w:sz w:val="20"/>
          <w:szCs w:val="20"/>
        </w:rPr>
        <w:t>TEST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2683BF0"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sz w:val="20"/>
          <w:szCs w:val="20"/>
        </w:rPr>
        <w:t>Випробування</w:t>
      </w:r>
      <w:r w:rsidRPr="000977F7">
        <w:rPr>
          <w:rFonts w:asciiTheme="majorHAnsi" w:hAnsiTheme="majorHAnsi"/>
          <w:spacing w:val="-3"/>
          <w:sz w:val="20"/>
          <w:szCs w:val="20"/>
        </w:rPr>
        <w:t xml:space="preserve"> </w:t>
      </w:r>
      <w:r w:rsidRPr="000977F7">
        <w:rPr>
          <w:rFonts w:asciiTheme="majorHAnsi" w:hAnsiTheme="majorHAnsi"/>
          <w:sz w:val="20"/>
          <w:szCs w:val="20"/>
        </w:rPr>
        <w:t>на</w:t>
      </w:r>
      <w:r w:rsidRPr="000977F7">
        <w:rPr>
          <w:rFonts w:asciiTheme="majorHAnsi" w:hAnsiTheme="majorHAnsi"/>
          <w:spacing w:val="-4"/>
          <w:sz w:val="20"/>
          <w:szCs w:val="20"/>
        </w:rPr>
        <w:t xml:space="preserve"> </w:t>
      </w:r>
      <w:r w:rsidRPr="000977F7">
        <w:rPr>
          <w:rFonts w:asciiTheme="majorHAnsi" w:hAnsiTheme="majorHAnsi"/>
          <w:sz w:val="20"/>
          <w:szCs w:val="20"/>
        </w:rPr>
        <w:t>дію</w:t>
      </w:r>
      <w:r w:rsidRPr="000977F7">
        <w:rPr>
          <w:rFonts w:asciiTheme="majorHAnsi" w:hAnsiTheme="majorHAnsi"/>
          <w:spacing w:val="-5"/>
          <w:sz w:val="20"/>
          <w:szCs w:val="20"/>
        </w:rPr>
        <w:t xml:space="preserve"> </w:t>
      </w:r>
      <w:r w:rsidRPr="000977F7">
        <w:rPr>
          <w:rFonts w:asciiTheme="majorHAnsi" w:hAnsiTheme="majorHAnsi"/>
          <w:sz w:val="20"/>
          <w:szCs w:val="20"/>
        </w:rPr>
        <w:t>магнітного</w:t>
      </w:r>
      <w:r w:rsidRPr="000977F7">
        <w:rPr>
          <w:rFonts w:asciiTheme="majorHAnsi" w:hAnsiTheme="majorHAnsi"/>
          <w:spacing w:val="-3"/>
          <w:sz w:val="20"/>
          <w:szCs w:val="20"/>
        </w:rPr>
        <w:t xml:space="preserve"> </w:t>
      </w:r>
      <w:r w:rsidRPr="000977F7">
        <w:rPr>
          <w:rFonts w:asciiTheme="majorHAnsi" w:hAnsiTheme="majorHAnsi"/>
          <w:sz w:val="20"/>
          <w:szCs w:val="20"/>
        </w:rPr>
        <w:t>поля</w:t>
      </w:r>
      <w:r w:rsidRPr="000977F7">
        <w:rPr>
          <w:rFonts w:asciiTheme="majorHAnsi" w:hAnsiTheme="majorHAnsi"/>
          <w:spacing w:val="-47"/>
          <w:sz w:val="20"/>
          <w:szCs w:val="20"/>
        </w:rPr>
        <w:t xml:space="preserve"> </w:t>
      </w:r>
    </w:p>
    <w:p w14:paraId="23D06D9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3021 – 95</w:t>
      </w:r>
    </w:p>
    <w:p w14:paraId="0E08CFAA"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МАКЕТ</w:t>
      </w:r>
      <w:r w:rsidRPr="000977F7">
        <w:rPr>
          <w:rFonts w:asciiTheme="majorHAnsi" w:hAnsiTheme="majorHAnsi"/>
          <w:b/>
          <w:spacing w:val="-2"/>
          <w:sz w:val="20"/>
          <w:szCs w:val="20"/>
        </w:rPr>
        <w:t xml:space="preserve"> </w:t>
      </w:r>
      <w:r w:rsidRPr="000977F7">
        <w:rPr>
          <w:rFonts w:asciiTheme="majorHAnsi" w:hAnsiTheme="majorHAnsi"/>
          <w:b/>
          <w:sz w:val="20"/>
          <w:szCs w:val="20"/>
        </w:rPr>
        <w:t>ВИРОБУ</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03135AC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спрощеним</w:t>
      </w:r>
      <w:r w:rsidRPr="000977F7">
        <w:rPr>
          <w:rFonts w:asciiTheme="majorHAnsi" w:hAnsiTheme="majorHAnsi"/>
          <w:spacing w:val="1"/>
          <w:sz w:val="20"/>
          <w:szCs w:val="20"/>
        </w:rPr>
        <w:t xml:space="preserve"> </w:t>
      </w:r>
      <w:r w:rsidRPr="000977F7">
        <w:rPr>
          <w:rFonts w:asciiTheme="majorHAnsi" w:hAnsiTheme="majorHAnsi"/>
          <w:sz w:val="20"/>
          <w:szCs w:val="20"/>
        </w:rPr>
        <w:t>відтворенням</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певному</w:t>
      </w:r>
      <w:r w:rsidRPr="000977F7">
        <w:rPr>
          <w:rFonts w:asciiTheme="majorHAnsi" w:hAnsiTheme="majorHAnsi"/>
          <w:spacing w:val="1"/>
          <w:sz w:val="20"/>
          <w:szCs w:val="20"/>
        </w:rPr>
        <w:t xml:space="preserve"> </w:t>
      </w:r>
      <w:r w:rsidRPr="000977F7">
        <w:rPr>
          <w:rFonts w:asciiTheme="majorHAnsi" w:hAnsiTheme="majorHAnsi"/>
          <w:sz w:val="20"/>
          <w:szCs w:val="20"/>
        </w:rPr>
        <w:t>масштабі</w:t>
      </w:r>
      <w:r w:rsidRPr="000977F7">
        <w:rPr>
          <w:rFonts w:asciiTheme="majorHAnsi" w:hAnsiTheme="majorHAnsi"/>
          <w:spacing w:val="1"/>
          <w:sz w:val="20"/>
          <w:szCs w:val="20"/>
        </w:rPr>
        <w:t xml:space="preserve"> </w:t>
      </w:r>
      <w:r w:rsidRPr="000977F7">
        <w:rPr>
          <w:rFonts w:asciiTheme="majorHAnsi" w:hAnsiTheme="majorHAnsi"/>
          <w:sz w:val="20"/>
          <w:szCs w:val="20"/>
        </w:rPr>
        <w:t>розроблюваного</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r w:rsidRPr="000977F7">
        <w:rPr>
          <w:rFonts w:asciiTheme="majorHAnsi" w:hAnsiTheme="majorHAnsi"/>
          <w:spacing w:val="-47"/>
          <w:sz w:val="20"/>
          <w:szCs w:val="20"/>
        </w:rPr>
        <w:t xml:space="preserve"> </w:t>
      </w:r>
      <w:r w:rsidRPr="000977F7">
        <w:rPr>
          <w:rFonts w:asciiTheme="majorHAnsi" w:hAnsiTheme="majorHAnsi"/>
          <w:sz w:val="20"/>
          <w:szCs w:val="20"/>
        </w:rPr>
        <w:t>призначений</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оцінювання</w:t>
      </w:r>
      <w:r w:rsidRPr="000977F7">
        <w:rPr>
          <w:rFonts w:asciiTheme="majorHAnsi" w:hAnsiTheme="majorHAnsi"/>
          <w:spacing w:val="1"/>
          <w:sz w:val="20"/>
          <w:szCs w:val="20"/>
        </w:rPr>
        <w:t xml:space="preserve"> </w:t>
      </w:r>
      <w:r w:rsidRPr="000977F7">
        <w:rPr>
          <w:rFonts w:asciiTheme="majorHAnsi" w:hAnsiTheme="majorHAnsi"/>
          <w:sz w:val="20"/>
          <w:szCs w:val="20"/>
        </w:rPr>
        <w:t>технічних</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художніх</w:t>
      </w:r>
      <w:r w:rsidRPr="000977F7">
        <w:rPr>
          <w:rFonts w:asciiTheme="majorHAnsi" w:hAnsiTheme="majorHAnsi"/>
          <w:spacing w:val="1"/>
          <w:sz w:val="20"/>
          <w:szCs w:val="20"/>
        </w:rPr>
        <w:t xml:space="preserve"> </w:t>
      </w:r>
      <w:r w:rsidRPr="000977F7">
        <w:rPr>
          <w:rFonts w:asciiTheme="majorHAnsi" w:hAnsiTheme="majorHAnsi"/>
          <w:sz w:val="20"/>
          <w:szCs w:val="20"/>
        </w:rPr>
        <w:t>вирішень</w:t>
      </w:r>
    </w:p>
    <w:p w14:paraId="188DD8E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 xml:space="preserve">ДСТУ3278 – 95; ДСТУ 3321 – </w:t>
      </w:r>
      <w:r w:rsidRPr="000977F7">
        <w:rPr>
          <w:rFonts w:asciiTheme="majorHAnsi" w:hAnsiTheme="majorHAnsi"/>
          <w:sz w:val="20"/>
          <w:szCs w:val="20"/>
        </w:rPr>
        <w:t>2003</w:t>
      </w:r>
    </w:p>
    <w:p w14:paraId="14C735F8"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spacing w:val="-47"/>
          <w:sz w:val="20"/>
          <w:szCs w:val="20"/>
        </w:rPr>
        <w:t xml:space="preserve"> </w:t>
      </w:r>
      <w:r w:rsidRPr="000977F7">
        <w:rPr>
          <w:rFonts w:asciiTheme="majorHAnsi" w:hAnsiTheme="majorHAnsi"/>
          <w:b/>
          <w:sz w:val="20"/>
          <w:szCs w:val="20"/>
        </w:rPr>
        <w:t xml:space="preserve">МАКЕТ ДЛЯ ВИПРОБУВАНЬ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396E34F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TEST</w:t>
      </w:r>
      <w:r w:rsidRPr="000977F7">
        <w:rPr>
          <w:rFonts w:asciiTheme="majorHAnsi" w:hAnsiTheme="majorHAnsi"/>
          <w:spacing w:val="2"/>
          <w:sz w:val="20"/>
          <w:szCs w:val="20"/>
        </w:rPr>
        <w:t xml:space="preserve"> </w:t>
      </w:r>
      <w:r w:rsidRPr="000977F7">
        <w:rPr>
          <w:rFonts w:asciiTheme="majorHAnsi" w:hAnsiTheme="majorHAnsi"/>
          <w:sz w:val="20"/>
          <w:szCs w:val="20"/>
        </w:rPr>
        <w:t>MOCK-UP</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3F3120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 що є спрощеним відтворенням об’єкта</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 чи</w:t>
      </w:r>
      <w:r w:rsidRPr="000977F7">
        <w:rPr>
          <w:rFonts w:asciiTheme="majorHAnsi" w:hAnsiTheme="majorHAnsi"/>
          <w:spacing w:val="1"/>
          <w:sz w:val="20"/>
          <w:szCs w:val="20"/>
        </w:rPr>
        <w:t xml:space="preserve"> </w:t>
      </w:r>
      <w:r w:rsidRPr="000977F7">
        <w:rPr>
          <w:rFonts w:asciiTheme="majorHAnsi" w:hAnsiTheme="majorHAnsi"/>
          <w:sz w:val="20"/>
          <w:szCs w:val="20"/>
        </w:rPr>
        <w:t>його частини і призначений для випробувань</w:t>
      </w:r>
    </w:p>
    <w:p w14:paraId="2F0804D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61AD911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МАКРОСЕРЕДОВИЩЕ</w:t>
      </w:r>
      <w:r w:rsidRPr="000977F7">
        <w:rPr>
          <w:color w:val="auto"/>
          <w:spacing w:val="-4"/>
          <w:sz w:val="20"/>
          <w:szCs w:val="20"/>
        </w:rPr>
        <w:t xml:space="preserve"> </w:t>
      </w:r>
      <w:r w:rsidRPr="000977F7">
        <w:rPr>
          <w:color w:val="auto"/>
          <w:sz w:val="20"/>
          <w:szCs w:val="20"/>
        </w:rPr>
        <w:t>–</w:t>
      </w:r>
    </w:p>
    <w:p w14:paraId="5AA38D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демографічних, економічних, природних,</w:t>
      </w:r>
      <w:r w:rsidRPr="000977F7">
        <w:rPr>
          <w:rFonts w:asciiTheme="majorHAnsi" w:hAnsiTheme="majorHAnsi"/>
          <w:spacing w:val="1"/>
          <w:sz w:val="20"/>
          <w:szCs w:val="20"/>
        </w:rPr>
        <w:t xml:space="preserve"> </w:t>
      </w:r>
      <w:r w:rsidRPr="000977F7">
        <w:rPr>
          <w:rFonts w:asciiTheme="majorHAnsi" w:hAnsiTheme="majorHAnsi"/>
          <w:sz w:val="20"/>
          <w:szCs w:val="20"/>
        </w:rPr>
        <w:t>науково – технічних, політичних та культурних чинників, які суттєво впливають на маркетингову діяльність</w:t>
      </w:r>
      <w:r w:rsidRPr="000977F7">
        <w:rPr>
          <w:rFonts w:asciiTheme="majorHAnsi" w:hAnsiTheme="majorHAnsi"/>
          <w:spacing w:val="-2"/>
          <w:sz w:val="20"/>
          <w:szCs w:val="20"/>
        </w:rPr>
        <w:t xml:space="preserve"> </w:t>
      </w:r>
      <w:r w:rsidRPr="000977F7">
        <w:rPr>
          <w:rFonts w:asciiTheme="majorHAnsi" w:hAnsiTheme="majorHAnsi"/>
          <w:sz w:val="20"/>
          <w:szCs w:val="20"/>
        </w:rPr>
        <w:t>організації</w:t>
      </w:r>
    </w:p>
    <w:p w14:paraId="4F6D9F3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B8112B0" w14:textId="77777777" w:rsidR="0097612F" w:rsidRPr="000977F7" w:rsidRDefault="0097612F" w:rsidP="000977F7">
      <w:pPr>
        <w:pStyle w:val="7"/>
        <w:tabs>
          <w:tab w:val="left" w:pos="284"/>
        </w:tabs>
        <w:spacing w:before="0" w:line="240" w:lineRule="auto"/>
        <w:ind w:left="170"/>
        <w:mirrorIndents/>
        <w:jc w:val="both"/>
        <w:rPr>
          <w:color w:val="auto"/>
          <w:spacing w:val="-47"/>
          <w:sz w:val="20"/>
          <w:szCs w:val="20"/>
        </w:rPr>
      </w:pPr>
      <w:r w:rsidRPr="000977F7">
        <w:rPr>
          <w:color w:val="auto"/>
          <w:sz w:val="20"/>
          <w:szCs w:val="20"/>
        </w:rPr>
        <w:t>МАКСИМАЛЬНЕ</w:t>
      </w:r>
      <w:r w:rsidRPr="000977F7">
        <w:rPr>
          <w:color w:val="auto"/>
          <w:spacing w:val="1"/>
          <w:sz w:val="20"/>
          <w:szCs w:val="20"/>
        </w:rPr>
        <w:t xml:space="preserve"> </w:t>
      </w:r>
      <w:r w:rsidRPr="000977F7">
        <w:rPr>
          <w:color w:val="auto"/>
          <w:sz w:val="20"/>
          <w:szCs w:val="20"/>
        </w:rPr>
        <w:t>(МІНІМАЛЬНЕ)</w:t>
      </w:r>
      <w:r w:rsidRPr="000977F7">
        <w:rPr>
          <w:color w:val="auto"/>
          <w:spacing w:val="3"/>
          <w:sz w:val="20"/>
          <w:szCs w:val="20"/>
        </w:rPr>
        <w:t xml:space="preserve"> </w:t>
      </w:r>
      <w:r w:rsidRPr="000977F7">
        <w:rPr>
          <w:color w:val="auto"/>
          <w:sz w:val="20"/>
          <w:szCs w:val="20"/>
        </w:rPr>
        <w:t>ЗНАЧЕННЯ</w:t>
      </w:r>
      <w:r w:rsidRPr="000977F7">
        <w:rPr>
          <w:color w:val="auto"/>
          <w:spacing w:val="-47"/>
          <w:sz w:val="20"/>
          <w:szCs w:val="20"/>
        </w:rPr>
        <w:t xml:space="preserve">  </w:t>
      </w:r>
    </w:p>
    <w:p w14:paraId="61B6B56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ВИПАДКОВОЇ</w:t>
      </w:r>
      <w:r w:rsidRPr="000977F7">
        <w:rPr>
          <w:color w:val="auto"/>
          <w:spacing w:val="-2"/>
          <w:sz w:val="20"/>
          <w:szCs w:val="20"/>
        </w:rPr>
        <w:t xml:space="preserve"> </w:t>
      </w:r>
      <w:r w:rsidRPr="000977F7">
        <w:rPr>
          <w:color w:val="auto"/>
          <w:sz w:val="20"/>
          <w:szCs w:val="20"/>
        </w:rPr>
        <w:t>ВЕЛИЧИНИ</w:t>
      </w:r>
      <w:r w:rsidRPr="000977F7">
        <w:rPr>
          <w:color w:val="auto"/>
          <w:spacing w:val="3"/>
          <w:sz w:val="20"/>
          <w:szCs w:val="20"/>
        </w:rPr>
        <w:t xml:space="preserve"> </w:t>
      </w:r>
      <w:r w:rsidRPr="000977F7">
        <w:rPr>
          <w:color w:val="auto"/>
          <w:sz w:val="20"/>
          <w:szCs w:val="20"/>
        </w:rPr>
        <w:t>У</w:t>
      </w:r>
      <w:r w:rsidRPr="000977F7">
        <w:rPr>
          <w:color w:val="auto"/>
          <w:spacing w:val="-1"/>
          <w:sz w:val="20"/>
          <w:szCs w:val="20"/>
        </w:rPr>
        <w:t xml:space="preserve"> </w:t>
      </w:r>
      <w:r w:rsidRPr="000977F7">
        <w:rPr>
          <w:color w:val="auto"/>
          <w:sz w:val="20"/>
          <w:szCs w:val="20"/>
        </w:rPr>
        <w:t>ВИБІРЦІ</w:t>
      </w:r>
      <w:r w:rsidRPr="000977F7">
        <w:rPr>
          <w:color w:val="auto"/>
          <w:spacing w:val="-1"/>
          <w:sz w:val="20"/>
          <w:szCs w:val="20"/>
        </w:rPr>
        <w:t xml:space="preserve"> </w:t>
      </w:r>
      <w:r w:rsidRPr="000977F7">
        <w:rPr>
          <w:color w:val="auto"/>
          <w:sz w:val="20"/>
          <w:szCs w:val="20"/>
        </w:rPr>
        <w:t>–</w:t>
      </w:r>
    </w:p>
    <w:p w14:paraId="395993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Максимальне</w:t>
      </w:r>
      <w:r w:rsidRPr="000977F7">
        <w:rPr>
          <w:rFonts w:asciiTheme="majorHAnsi" w:hAnsiTheme="majorHAnsi"/>
          <w:spacing w:val="13"/>
          <w:sz w:val="20"/>
          <w:szCs w:val="20"/>
        </w:rPr>
        <w:t xml:space="preserve"> </w:t>
      </w:r>
      <w:r w:rsidRPr="000977F7">
        <w:rPr>
          <w:rFonts w:asciiTheme="majorHAnsi" w:hAnsiTheme="majorHAnsi"/>
          <w:sz w:val="20"/>
          <w:szCs w:val="20"/>
        </w:rPr>
        <w:t>(мінімальне)</w:t>
      </w:r>
      <w:r w:rsidRPr="000977F7">
        <w:rPr>
          <w:rFonts w:asciiTheme="majorHAnsi" w:hAnsiTheme="majorHAnsi"/>
          <w:spacing w:val="14"/>
          <w:sz w:val="20"/>
          <w:szCs w:val="20"/>
        </w:rPr>
        <w:t xml:space="preserve"> </w:t>
      </w:r>
      <w:r w:rsidRPr="000977F7">
        <w:rPr>
          <w:rFonts w:asciiTheme="majorHAnsi" w:hAnsiTheme="majorHAnsi"/>
          <w:sz w:val="20"/>
          <w:szCs w:val="20"/>
        </w:rPr>
        <w:t>в</w:t>
      </w:r>
      <w:r w:rsidRPr="000977F7">
        <w:rPr>
          <w:rFonts w:asciiTheme="majorHAnsi" w:hAnsiTheme="majorHAnsi"/>
          <w:spacing w:val="11"/>
          <w:sz w:val="20"/>
          <w:szCs w:val="20"/>
        </w:rPr>
        <w:t xml:space="preserve"> </w:t>
      </w:r>
      <w:r w:rsidRPr="000977F7">
        <w:rPr>
          <w:rFonts w:asciiTheme="majorHAnsi" w:hAnsiTheme="majorHAnsi"/>
          <w:sz w:val="20"/>
          <w:szCs w:val="20"/>
        </w:rPr>
        <w:t>алгебраїчному</w:t>
      </w:r>
      <w:r w:rsidRPr="000977F7">
        <w:rPr>
          <w:rFonts w:asciiTheme="majorHAnsi" w:hAnsiTheme="majorHAnsi"/>
          <w:spacing w:val="10"/>
          <w:sz w:val="20"/>
          <w:szCs w:val="20"/>
        </w:rPr>
        <w:t xml:space="preserve"> </w:t>
      </w:r>
      <w:r w:rsidRPr="000977F7">
        <w:rPr>
          <w:rFonts w:asciiTheme="majorHAnsi" w:hAnsiTheme="majorHAnsi"/>
          <w:sz w:val="20"/>
          <w:szCs w:val="20"/>
        </w:rPr>
        <w:t>розумінні</w:t>
      </w:r>
      <w:r w:rsidRPr="000977F7">
        <w:rPr>
          <w:rFonts w:asciiTheme="majorHAnsi" w:hAnsiTheme="majorHAnsi"/>
          <w:spacing w:val="-47"/>
          <w:sz w:val="20"/>
          <w:szCs w:val="20"/>
        </w:rPr>
        <w:t xml:space="preserve"> </w:t>
      </w:r>
      <w:r w:rsidRPr="000977F7">
        <w:rPr>
          <w:rFonts w:asciiTheme="majorHAnsi" w:hAnsiTheme="majorHAnsi"/>
          <w:sz w:val="20"/>
          <w:szCs w:val="20"/>
        </w:rPr>
        <w:t>значення</w:t>
      </w:r>
      <w:r w:rsidRPr="000977F7">
        <w:rPr>
          <w:rFonts w:asciiTheme="majorHAnsi" w:hAnsiTheme="majorHAnsi"/>
          <w:spacing w:val="-2"/>
          <w:sz w:val="20"/>
          <w:szCs w:val="20"/>
        </w:rPr>
        <w:t xml:space="preserve"> </w:t>
      </w:r>
      <w:r w:rsidRPr="000977F7">
        <w:rPr>
          <w:rFonts w:asciiTheme="majorHAnsi" w:hAnsiTheme="majorHAnsi"/>
          <w:sz w:val="20"/>
          <w:szCs w:val="20"/>
        </w:rPr>
        <w:t>випадкової</w:t>
      </w:r>
      <w:r w:rsidRPr="000977F7">
        <w:rPr>
          <w:rFonts w:asciiTheme="majorHAnsi" w:hAnsiTheme="majorHAnsi"/>
          <w:spacing w:val="-2"/>
          <w:sz w:val="20"/>
          <w:szCs w:val="20"/>
        </w:rPr>
        <w:t xml:space="preserve"> </w:t>
      </w:r>
      <w:r w:rsidRPr="000977F7">
        <w:rPr>
          <w:rFonts w:asciiTheme="majorHAnsi" w:hAnsiTheme="majorHAnsi"/>
          <w:sz w:val="20"/>
          <w:szCs w:val="20"/>
        </w:rPr>
        <w:t>величини у</w:t>
      </w:r>
      <w:r w:rsidRPr="000977F7">
        <w:rPr>
          <w:rFonts w:asciiTheme="majorHAnsi" w:hAnsiTheme="majorHAnsi"/>
          <w:spacing w:val="-1"/>
          <w:sz w:val="20"/>
          <w:szCs w:val="20"/>
        </w:rPr>
        <w:t xml:space="preserve"> </w:t>
      </w:r>
      <w:r w:rsidRPr="000977F7">
        <w:rPr>
          <w:rFonts w:asciiTheme="majorHAnsi" w:hAnsiTheme="majorHAnsi"/>
          <w:sz w:val="20"/>
          <w:szCs w:val="20"/>
        </w:rPr>
        <w:t>вибірці</w:t>
      </w:r>
    </w:p>
    <w:p w14:paraId="3C87C41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2444 - 94</w:t>
      </w:r>
    </w:p>
    <w:p w14:paraId="3F7B5F8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МАКСИМАЛЬНЕ</w:t>
      </w:r>
      <w:r w:rsidRPr="000977F7">
        <w:rPr>
          <w:color w:val="auto"/>
          <w:spacing w:val="-6"/>
          <w:sz w:val="20"/>
          <w:szCs w:val="20"/>
        </w:rPr>
        <w:t xml:space="preserve"> </w:t>
      </w:r>
      <w:r w:rsidRPr="000977F7">
        <w:rPr>
          <w:color w:val="auto"/>
          <w:sz w:val="20"/>
          <w:szCs w:val="20"/>
        </w:rPr>
        <w:t>(МІНІМАЛЬНЕ)</w:t>
      </w:r>
      <w:r w:rsidRPr="000977F7">
        <w:rPr>
          <w:color w:val="auto"/>
          <w:spacing w:val="-4"/>
          <w:sz w:val="20"/>
          <w:szCs w:val="20"/>
        </w:rPr>
        <w:t xml:space="preserve"> </w:t>
      </w:r>
      <w:r w:rsidRPr="000977F7">
        <w:rPr>
          <w:color w:val="auto"/>
          <w:sz w:val="20"/>
          <w:szCs w:val="20"/>
        </w:rPr>
        <w:t>НАПРУ-</w:t>
      </w:r>
    </w:p>
    <w:p w14:paraId="7B0DAE50"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ЖЕННЯ ЦИКЛУ –</w:t>
      </w:r>
    </w:p>
    <w:p w14:paraId="56E52A3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MAXIMUM</w:t>
      </w:r>
      <w:r w:rsidRPr="000977F7">
        <w:rPr>
          <w:rFonts w:asciiTheme="majorHAnsi" w:hAnsiTheme="majorHAnsi"/>
          <w:spacing w:val="-6"/>
          <w:sz w:val="20"/>
          <w:szCs w:val="20"/>
        </w:rPr>
        <w:t xml:space="preserve"> </w:t>
      </w:r>
      <w:r w:rsidRPr="000977F7">
        <w:rPr>
          <w:rFonts w:asciiTheme="majorHAnsi" w:hAnsiTheme="majorHAnsi"/>
          <w:sz w:val="20"/>
          <w:szCs w:val="20"/>
        </w:rPr>
        <w:t>(MINIMUM)</w:t>
      </w:r>
      <w:r w:rsidRPr="000977F7">
        <w:rPr>
          <w:rFonts w:asciiTheme="majorHAnsi" w:hAnsiTheme="majorHAnsi"/>
          <w:spacing w:val="-5"/>
          <w:sz w:val="20"/>
          <w:szCs w:val="20"/>
        </w:rPr>
        <w:t xml:space="preserve"> </w:t>
      </w:r>
      <w:r w:rsidRPr="000977F7">
        <w:rPr>
          <w:rFonts w:asciiTheme="majorHAnsi" w:hAnsiTheme="majorHAnsi"/>
          <w:sz w:val="20"/>
          <w:szCs w:val="20"/>
        </w:rPr>
        <w:t>STRESS</w:t>
      </w:r>
      <w:r w:rsidRPr="000977F7">
        <w:rPr>
          <w:rFonts w:asciiTheme="majorHAnsi" w:hAnsiTheme="majorHAnsi"/>
          <w:spacing w:val="-7"/>
          <w:sz w:val="20"/>
          <w:szCs w:val="20"/>
        </w:rPr>
        <w:t xml:space="preserve"> </w:t>
      </w:r>
      <w:r w:rsidRPr="000977F7">
        <w:rPr>
          <w:rFonts w:asciiTheme="majorHAnsi" w:hAnsiTheme="majorHAnsi"/>
          <w:sz w:val="20"/>
          <w:szCs w:val="20"/>
        </w:rPr>
        <w:t>–</w:t>
      </w:r>
    </w:p>
    <w:p w14:paraId="3090B92D"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Найбільше</w:t>
      </w:r>
      <w:r w:rsidRPr="000977F7">
        <w:rPr>
          <w:rFonts w:asciiTheme="majorHAnsi" w:hAnsiTheme="majorHAnsi"/>
          <w:spacing w:val="29"/>
          <w:sz w:val="20"/>
          <w:szCs w:val="20"/>
        </w:rPr>
        <w:t xml:space="preserve"> </w:t>
      </w:r>
      <w:r w:rsidRPr="000977F7">
        <w:rPr>
          <w:rFonts w:asciiTheme="majorHAnsi" w:hAnsiTheme="majorHAnsi"/>
          <w:sz w:val="20"/>
          <w:szCs w:val="20"/>
        </w:rPr>
        <w:t>(найменше)</w:t>
      </w:r>
      <w:r w:rsidRPr="000977F7">
        <w:rPr>
          <w:rFonts w:asciiTheme="majorHAnsi" w:hAnsiTheme="majorHAnsi"/>
          <w:spacing w:val="78"/>
          <w:sz w:val="20"/>
          <w:szCs w:val="20"/>
        </w:rPr>
        <w:t xml:space="preserve"> </w:t>
      </w:r>
      <w:r w:rsidRPr="000977F7">
        <w:rPr>
          <w:rFonts w:asciiTheme="majorHAnsi" w:hAnsiTheme="majorHAnsi"/>
          <w:sz w:val="20"/>
          <w:szCs w:val="20"/>
        </w:rPr>
        <w:t>за</w:t>
      </w:r>
      <w:r w:rsidRPr="000977F7">
        <w:rPr>
          <w:rFonts w:asciiTheme="majorHAnsi" w:hAnsiTheme="majorHAnsi"/>
          <w:spacing w:val="79"/>
          <w:sz w:val="20"/>
          <w:szCs w:val="20"/>
        </w:rPr>
        <w:t xml:space="preserve"> </w:t>
      </w:r>
      <w:r w:rsidRPr="000977F7">
        <w:rPr>
          <w:rFonts w:asciiTheme="majorHAnsi" w:hAnsiTheme="majorHAnsi"/>
          <w:sz w:val="20"/>
          <w:szCs w:val="20"/>
        </w:rPr>
        <w:t>алгебраїчним</w:t>
      </w:r>
      <w:r w:rsidRPr="000977F7">
        <w:rPr>
          <w:rFonts w:asciiTheme="majorHAnsi" w:hAnsiTheme="majorHAnsi"/>
          <w:spacing w:val="81"/>
          <w:sz w:val="20"/>
          <w:szCs w:val="20"/>
        </w:rPr>
        <w:t xml:space="preserve"> </w:t>
      </w:r>
      <w:r w:rsidRPr="000977F7">
        <w:rPr>
          <w:rFonts w:asciiTheme="majorHAnsi" w:hAnsiTheme="majorHAnsi"/>
          <w:sz w:val="20"/>
          <w:szCs w:val="20"/>
        </w:rPr>
        <w:t>значенням напруження циклу</w:t>
      </w:r>
      <w:r w:rsidRPr="000977F7">
        <w:rPr>
          <w:rFonts w:asciiTheme="majorHAnsi" w:hAnsiTheme="majorHAnsi"/>
          <w:spacing w:val="-47"/>
          <w:sz w:val="20"/>
          <w:szCs w:val="20"/>
        </w:rPr>
        <w:t xml:space="preserve"> </w:t>
      </w:r>
    </w:p>
    <w:p w14:paraId="3B1CB43C"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lang w:eastAsia="ru-RU"/>
        </w:rPr>
      </w:pPr>
      <w:r w:rsidRPr="000977F7">
        <w:rPr>
          <w:rFonts w:asciiTheme="majorHAnsi" w:hAnsiTheme="majorHAnsi"/>
          <w:b/>
          <w:bCs/>
          <w:sz w:val="20"/>
          <w:szCs w:val="20"/>
          <w:lang w:eastAsia="ru-RU"/>
        </w:rPr>
        <w:t>МАКСИМАЛЬНИЙ ДОПУСТИМИЙ ТИСК (PS) –</w:t>
      </w:r>
    </w:p>
    <w:p w14:paraId="573B472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Максимальний надлишковий тиск, на який розраховане виробником обладнання або визначений виробником для певного місця обладнання, це може бути з’єднання запобіжних та/або обмежувальних пристроїв, найвища точка обладнання або інше визначене виробником місце</w:t>
      </w:r>
    </w:p>
    <w:p w14:paraId="182659F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Технічний регламент обладнання, що працює під тиском</w:t>
      </w:r>
    </w:p>
    <w:p w14:paraId="12566A0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МАРКЕТИНГОВА</w:t>
      </w:r>
      <w:r w:rsidRPr="000977F7">
        <w:rPr>
          <w:color w:val="auto"/>
          <w:spacing w:val="-4"/>
          <w:sz w:val="20"/>
          <w:szCs w:val="20"/>
        </w:rPr>
        <w:t xml:space="preserve"> </w:t>
      </w:r>
      <w:r w:rsidRPr="000977F7">
        <w:rPr>
          <w:color w:val="auto"/>
          <w:sz w:val="20"/>
          <w:szCs w:val="20"/>
        </w:rPr>
        <w:t>РЕВІЗІЯ</w:t>
      </w:r>
      <w:r w:rsidRPr="000977F7">
        <w:rPr>
          <w:color w:val="auto"/>
          <w:spacing w:val="-2"/>
          <w:sz w:val="20"/>
          <w:szCs w:val="20"/>
        </w:rPr>
        <w:t xml:space="preserve"> </w:t>
      </w:r>
      <w:r w:rsidRPr="000977F7">
        <w:rPr>
          <w:color w:val="auto"/>
          <w:sz w:val="20"/>
          <w:szCs w:val="20"/>
        </w:rPr>
        <w:t>–</w:t>
      </w:r>
    </w:p>
    <w:p w14:paraId="182DFD03" w14:textId="77E47A70" w:rsidR="0097612F" w:rsidRPr="000977F7" w:rsidRDefault="002E19DF" w:rsidP="000977F7">
      <w:pPr>
        <w:pStyle w:val="af6"/>
        <w:tabs>
          <w:tab w:val="left" w:pos="284"/>
        </w:tabs>
        <w:spacing w:after="0"/>
        <w:ind w:left="170"/>
        <w:mirrorIndents/>
        <w:jc w:val="both"/>
        <w:rPr>
          <w:rFonts w:asciiTheme="majorHAnsi" w:hAnsiTheme="majorHAnsi"/>
          <w:sz w:val="20"/>
          <w:szCs w:val="20"/>
        </w:rPr>
      </w:pPr>
      <w:r>
        <w:rPr>
          <w:rFonts w:asciiTheme="majorHAnsi" w:hAnsiTheme="majorHAnsi"/>
          <w:noProof/>
          <w:sz w:val="20"/>
          <w:szCs w:val="20"/>
        </w:rPr>
        <mc:AlternateContent>
          <mc:Choice Requires="wps">
            <w:drawing>
              <wp:anchor distT="0" distB="0" distL="114300" distR="114300" simplePos="0" relativeHeight="251678720" behindDoc="0" locked="0" layoutInCell="1" allowOverlap="1" wp14:anchorId="208BAF82" wp14:editId="5CF32BCF">
                <wp:simplePos x="0" y="0"/>
                <wp:positionH relativeFrom="page">
                  <wp:posOffset>3035935</wp:posOffset>
                </wp:positionH>
                <wp:positionV relativeFrom="paragraph">
                  <wp:posOffset>83820</wp:posOffset>
                </wp:positionV>
                <wp:extent cx="132715" cy="196215"/>
                <wp:effectExtent l="0" t="0" r="635" b="13335"/>
                <wp:wrapNone/>
                <wp:docPr id="34" name="Надпись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715" cy="196215"/>
                        </a:xfrm>
                        <a:prstGeom prst="rect">
                          <a:avLst/>
                        </a:prstGeom>
                        <a:noFill/>
                        <a:ln>
                          <a:noFill/>
                        </a:ln>
                      </wps:spPr>
                      <wps:txbx>
                        <w:txbxContent>
                          <w:p w14:paraId="12357F59" w14:textId="77777777" w:rsidR="00297070" w:rsidRDefault="00297070">
                            <w:pPr>
                              <w:spacing w:before="15"/>
                              <w:ind w:left="20"/>
                              <w:rPr>
                                <w:b/>
                                <w:sz w:val="15"/>
                              </w:rPr>
                            </w:pPr>
                            <w:r>
                              <w:rPr>
                                <w:b/>
                                <w:sz w:val="15"/>
                              </w:rPr>
                              <w:t>max</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08BAF82" id="_x0000_t202" coordsize="21600,21600" o:spt="202" path="m,l,21600r21600,l21600,xe">
                <v:stroke joinstyle="miter"/>
                <v:path gradientshapeok="t" o:connecttype="rect"/>
              </v:shapetype>
              <v:shape id="Надпись 34" o:spid="_x0000_s1026" type="#_x0000_t202" style="position:absolute;left:0;text-align:left;margin-left:239.05pt;margin-top:6.6pt;width:10.45pt;height:15.4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" filled="f" stroked="f">
                <v:textbox style="layout-flow:vertical;mso-layout-flow-alt:bottom-to-top" inset="0,0,0,0">
                  <w:txbxContent>
                    <w:p w14:paraId="12357F59" w14:textId="77777777" w:rsidR="00297070" w:rsidRDefault="00297070">
                      <w:pPr>
                        <w:spacing w:before="15"/>
                        <w:ind w:left="20"/>
                        <w:rPr>
                          <w:b/>
                          <w:sz w:val="15"/>
                        </w:rPr>
                      </w:pPr>
                      <w:r>
                        <w:rPr>
                          <w:b/>
                          <w:sz w:val="15"/>
                        </w:rPr>
                        <w:t>max</w:t>
                      </w:r>
                    </w:p>
                  </w:txbxContent>
                </v:textbox>
                <w10:wrap anchorx="page"/>
              </v:shape>
            </w:pict>
          </mc:Fallback>
        </mc:AlternateContent>
      </w:r>
      <w:r w:rsidR="0097612F" w:rsidRPr="000977F7">
        <w:rPr>
          <w:rFonts w:asciiTheme="majorHAnsi" w:hAnsiTheme="majorHAnsi"/>
          <w:sz w:val="20"/>
          <w:szCs w:val="20"/>
        </w:rPr>
        <w:t>Систематизоване оцінювання й огляд основних цілей</w:t>
      </w:r>
      <w:r w:rsidR="0097612F" w:rsidRPr="000977F7">
        <w:rPr>
          <w:rFonts w:asciiTheme="majorHAnsi" w:hAnsiTheme="majorHAnsi"/>
          <w:spacing w:val="1"/>
          <w:sz w:val="20"/>
          <w:szCs w:val="20"/>
        </w:rPr>
        <w:t xml:space="preserve"> </w:t>
      </w:r>
      <w:r w:rsidR="0097612F" w:rsidRPr="000977F7">
        <w:rPr>
          <w:rFonts w:asciiTheme="majorHAnsi" w:hAnsiTheme="majorHAnsi"/>
          <w:sz w:val="20"/>
          <w:szCs w:val="20"/>
        </w:rPr>
        <w:t>та політики маркетингових функцій організації, методів,</w:t>
      </w:r>
      <w:r w:rsidR="0097612F" w:rsidRPr="000977F7">
        <w:rPr>
          <w:rFonts w:asciiTheme="majorHAnsi" w:hAnsiTheme="majorHAnsi"/>
          <w:spacing w:val="1"/>
          <w:sz w:val="20"/>
          <w:szCs w:val="20"/>
        </w:rPr>
        <w:t xml:space="preserve"> </w:t>
      </w:r>
      <w:r w:rsidR="0097612F" w:rsidRPr="000977F7">
        <w:rPr>
          <w:rFonts w:asciiTheme="majorHAnsi" w:hAnsiTheme="majorHAnsi"/>
          <w:sz w:val="20"/>
          <w:szCs w:val="20"/>
        </w:rPr>
        <w:t>процедур</w:t>
      </w:r>
      <w:r w:rsidR="0097612F" w:rsidRPr="000977F7">
        <w:rPr>
          <w:rFonts w:asciiTheme="majorHAnsi" w:hAnsiTheme="majorHAnsi"/>
          <w:spacing w:val="1"/>
          <w:sz w:val="20"/>
          <w:szCs w:val="20"/>
        </w:rPr>
        <w:t xml:space="preserve"> </w:t>
      </w:r>
      <w:r w:rsidR="0097612F" w:rsidRPr="000977F7">
        <w:rPr>
          <w:rFonts w:asciiTheme="majorHAnsi" w:hAnsiTheme="majorHAnsi"/>
          <w:sz w:val="20"/>
          <w:szCs w:val="20"/>
        </w:rPr>
        <w:t>та</w:t>
      </w:r>
      <w:r w:rsidR="0097612F" w:rsidRPr="000977F7">
        <w:rPr>
          <w:rFonts w:asciiTheme="majorHAnsi" w:hAnsiTheme="majorHAnsi"/>
          <w:spacing w:val="1"/>
          <w:sz w:val="20"/>
          <w:szCs w:val="20"/>
        </w:rPr>
        <w:t xml:space="preserve"> </w:t>
      </w:r>
      <w:r w:rsidR="0097612F" w:rsidRPr="000977F7">
        <w:rPr>
          <w:rFonts w:asciiTheme="majorHAnsi" w:hAnsiTheme="majorHAnsi"/>
          <w:sz w:val="20"/>
          <w:szCs w:val="20"/>
        </w:rPr>
        <w:t>персоналу,</w:t>
      </w:r>
      <w:r w:rsidR="0097612F" w:rsidRPr="000977F7">
        <w:rPr>
          <w:rFonts w:asciiTheme="majorHAnsi" w:hAnsiTheme="majorHAnsi"/>
          <w:spacing w:val="1"/>
          <w:sz w:val="20"/>
          <w:szCs w:val="20"/>
        </w:rPr>
        <w:t xml:space="preserve"> </w:t>
      </w:r>
      <w:r w:rsidR="0097612F" w:rsidRPr="000977F7">
        <w:rPr>
          <w:rFonts w:asciiTheme="majorHAnsi" w:hAnsiTheme="majorHAnsi"/>
          <w:sz w:val="20"/>
          <w:szCs w:val="20"/>
        </w:rPr>
        <w:t>який</w:t>
      </w:r>
      <w:r w:rsidR="0097612F" w:rsidRPr="000977F7">
        <w:rPr>
          <w:rFonts w:asciiTheme="majorHAnsi" w:hAnsiTheme="majorHAnsi"/>
          <w:spacing w:val="50"/>
          <w:sz w:val="20"/>
          <w:szCs w:val="20"/>
        </w:rPr>
        <w:t xml:space="preserve"> </w:t>
      </w:r>
      <w:r w:rsidR="0097612F" w:rsidRPr="000977F7">
        <w:rPr>
          <w:rFonts w:asciiTheme="majorHAnsi" w:hAnsiTheme="majorHAnsi"/>
          <w:sz w:val="20"/>
          <w:szCs w:val="20"/>
        </w:rPr>
        <w:t>використовується</w:t>
      </w:r>
      <w:r w:rsidR="0097612F" w:rsidRPr="000977F7">
        <w:rPr>
          <w:rFonts w:asciiTheme="majorHAnsi" w:hAnsiTheme="majorHAnsi"/>
          <w:spacing w:val="1"/>
          <w:sz w:val="20"/>
          <w:szCs w:val="20"/>
        </w:rPr>
        <w:t xml:space="preserve"> </w:t>
      </w:r>
      <w:r w:rsidR="0097612F" w:rsidRPr="000977F7">
        <w:rPr>
          <w:rFonts w:asciiTheme="majorHAnsi" w:hAnsiTheme="majorHAnsi"/>
          <w:sz w:val="20"/>
          <w:szCs w:val="20"/>
        </w:rPr>
        <w:t>для реалізації цієї політики і досягнення поставленої</w:t>
      </w:r>
      <w:r w:rsidR="0097612F" w:rsidRPr="000977F7">
        <w:rPr>
          <w:rFonts w:asciiTheme="majorHAnsi" w:hAnsiTheme="majorHAnsi"/>
          <w:spacing w:val="1"/>
          <w:sz w:val="20"/>
          <w:szCs w:val="20"/>
        </w:rPr>
        <w:t xml:space="preserve"> </w:t>
      </w:r>
      <w:r w:rsidR="0097612F" w:rsidRPr="000977F7">
        <w:rPr>
          <w:rFonts w:asciiTheme="majorHAnsi" w:hAnsiTheme="majorHAnsi"/>
          <w:sz w:val="20"/>
          <w:szCs w:val="20"/>
        </w:rPr>
        <w:t>мети</w:t>
      </w:r>
    </w:p>
    <w:p w14:paraId="37502299"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3294 – 95</w:t>
      </w:r>
    </w:p>
    <w:p w14:paraId="184C1E80"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МАРКУВАННЯ –</w:t>
      </w:r>
      <w:r w:rsidRPr="000977F7">
        <w:rPr>
          <w:rFonts w:asciiTheme="majorHAnsi" w:hAnsiTheme="majorHAnsi"/>
          <w:b/>
          <w:spacing w:val="-47"/>
          <w:sz w:val="20"/>
          <w:szCs w:val="20"/>
        </w:rPr>
        <w:t xml:space="preserve"> </w:t>
      </w:r>
    </w:p>
    <w:p w14:paraId="3B3AE2F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MARKING –</w:t>
      </w:r>
    </w:p>
    <w:p w14:paraId="5D2164E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Нанесення</w:t>
      </w:r>
      <w:r w:rsidRPr="000977F7">
        <w:rPr>
          <w:rFonts w:asciiTheme="majorHAnsi" w:hAnsiTheme="majorHAnsi"/>
          <w:spacing w:val="8"/>
          <w:sz w:val="20"/>
          <w:szCs w:val="20"/>
        </w:rPr>
        <w:t xml:space="preserve"> </w:t>
      </w:r>
      <w:r w:rsidRPr="000977F7">
        <w:rPr>
          <w:rFonts w:asciiTheme="majorHAnsi" w:hAnsiTheme="majorHAnsi"/>
          <w:sz w:val="20"/>
          <w:szCs w:val="20"/>
        </w:rPr>
        <w:t>тексту,</w:t>
      </w:r>
      <w:r w:rsidRPr="000977F7">
        <w:rPr>
          <w:rFonts w:asciiTheme="majorHAnsi" w:hAnsiTheme="majorHAnsi"/>
          <w:spacing w:val="9"/>
          <w:sz w:val="20"/>
          <w:szCs w:val="20"/>
        </w:rPr>
        <w:t xml:space="preserve"> </w:t>
      </w:r>
      <w:r w:rsidRPr="000977F7">
        <w:rPr>
          <w:rFonts w:asciiTheme="majorHAnsi" w:hAnsiTheme="majorHAnsi"/>
          <w:sz w:val="20"/>
          <w:szCs w:val="20"/>
        </w:rPr>
        <w:t>умовних</w:t>
      </w:r>
      <w:r w:rsidRPr="000977F7">
        <w:rPr>
          <w:rFonts w:asciiTheme="majorHAnsi" w:hAnsiTheme="majorHAnsi"/>
          <w:spacing w:val="8"/>
          <w:sz w:val="20"/>
          <w:szCs w:val="20"/>
        </w:rPr>
        <w:t xml:space="preserve"> </w:t>
      </w:r>
      <w:r w:rsidRPr="000977F7">
        <w:rPr>
          <w:rFonts w:asciiTheme="majorHAnsi" w:hAnsiTheme="majorHAnsi"/>
          <w:sz w:val="20"/>
          <w:szCs w:val="20"/>
        </w:rPr>
        <w:t>позначень</w:t>
      </w:r>
      <w:r w:rsidRPr="000977F7">
        <w:rPr>
          <w:rFonts w:asciiTheme="majorHAnsi" w:hAnsiTheme="majorHAnsi"/>
          <w:spacing w:val="9"/>
          <w:sz w:val="20"/>
          <w:szCs w:val="20"/>
        </w:rPr>
        <w:t xml:space="preserve"> </w:t>
      </w:r>
      <w:r w:rsidRPr="000977F7">
        <w:rPr>
          <w:rFonts w:asciiTheme="majorHAnsi" w:hAnsiTheme="majorHAnsi"/>
          <w:sz w:val="20"/>
          <w:szCs w:val="20"/>
        </w:rPr>
        <w:t>та</w:t>
      </w:r>
      <w:r w:rsidRPr="000977F7">
        <w:rPr>
          <w:rFonts w:asciiTheme="majorHAnsi" w:hAnsiTheme="majorHAnsi"/>
          <w:spacing w:val="7"/>
          <w:sz w:val="20"/>
          <w:szCs w:val="20"/>
        </w:rPr>
        <w:t xml:space="preserve"> </w:t>
      </w:r>
      <w:r w:rsidRPr="000977F7">
        <w:rPr>
          <w:rFonts w:asciiTheme="majorHAnsi" w:hAnsiTheme="majorHAnsi"/>
          <w:sz w:val="20"/>
          <w:szCs w:val="20"/>
        </w:rPr>
        <w:t>малюнків</w:t>
      </w:r>
      <w:r w:rsidRPr="000977F7">
        <w:rPr>
          <w:rFonts w:asciiTheme="majorHAnsi" w:hAnsiTheme="majorHAnsi"/>
          <w:spacing w:val="6"/>
          <w:sz w:val="20"/>
          <w:szCs w:val="20"/>
        </w:rPr>
        <w:t xml:space="preserve"> </w:t>
      </w:r>
      <w:r w:rsidRPr="000977F7">
        <w:rPr>
          <w:rFonts w:asciiTheme="majorHAnsi" w:hAnsiTheme="majorHAnsi"/>
          <w:sz w:val="20"/>
          <w:szCs w:val="20"/>
        </w:rPr>
        <w:t xml:space="preserve">на </w:t>
      </w:r>
      <w:r w:rsidRPr="000977F7">
        <w:rPr>
          <w:rFonts w:asciiTheme="majorHAnsi" w:hAnsiTheme="majorHAnsi"/>
          <w:spacing w:val="-47"/>
          <w:sz w:val="20"/>
          <w:szCs w:val="20"/>
        </w:rPr>
        <w:t xml:space="preserve"> </w:t>
      </w:r>
      <w:r w:rsidRPr="000977F7">
        <w:rPr>
          <w:rFonts w:asciiTheme="majorHAnsi" w:hAnsiTheme="majorHAnsi"/>
          <w:sz w:val="20"/>
          <w:szCs w:val="20"/>
        </w:rPr>
        <w:t>пакуванні</w:t>
      </w:r>
      <w:r w:rsidRPr="000977F7">
        <w:rPr>
          <w:rFonts w:asciiTheme="majorHAnsi" w:hAnsiTheme="majorHAnsi"/>
          <w:spacing w:val="1"/>
          <w:sz w:val="20"/>
          <w:szCs w:val="20"/>
        </w:rPr>
        <w:t xml:space="preserve"> </w:t>
      </w:r>
      <w:r w:rsidRPr="000977F7">
        <w:rPr>
          <w:rFonts w:asciiTheme="majorHAnsi" w:hAnsiTheme="majorHAnsi"/>
          <w:sz w:val="20"/>
          <w:szCs w:val="20"/>
        </w:rPr>
        <w:t>та (чи)</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652A0AC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2391:2010;</w:t>
      </w:r>
      <w:r w:rsidRPr="000977F7">
        <w:rPr>
          <w:rFonts w:asciiTheme="majorHAnsi" w:hAnsiTheme="majorHAnsi"/>
          <w:i/>
          <w:spacing w:val="-2"/>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 –</w:t>
      </w:r>
      <w:r w:rsidRPr="000977F7">
        <w:rPr>
          <w:rFonts w:asciiTheme="majorHAnsi" w:hAnsiTheme="majorHAnsi"/>
          <w:i/>
          <w:spacing w:val="-1"/>
          <w:sz w:val="20"/>
          <w:szCs w:val="20"/>
        </w:rPr>
        <w:t xml:space="preserve"> </w:t>
      </w:r>
      <w:r w:rsidRPr="000977F7">
        <w:rPr>
          <w:rFonts w:asciiTheme="majorHAnsi" w:hAnsiTheme="majorHAnsi"/>
          <w:sz w:val="20"/>
          <w:szCs w:val="20"/>
        </w:rPr>
        <w:t>2003</w:t>
      </w:r>
    </w:p>
    <w:p w14:paraId="18ED3C7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МАРШРУТНЕ</w:t>
      </w:r>
      <w:r w:rsidRPr="000977F7">
        <w:rPr>
          <w:color w:val="auto"/>
          <w:spacing w:val="-6"/>
          <w:sz w:val="20"/>
          <w:szCs w:val="20"/>
        </w:rPr>
        <w:t xml:space="preserve"> </w:t>
      </w:r>
      <w:r w:rsidRPr="000977F7">
        <w:rPr>
          <w:color w:val="auto"/>
          <w:sz w:val="20"/>
          <w:szCs w:val="20"/>
        </w:rPr>
        <w:t>ПОСТАЧАННЯ</w:t>
      </w:r>
      <w:r w:rsidRPr="000977F7">
        <w:rPr>
          <w:color w:val="auto"/>
          <w:spacing w:val="-2"/>
          <w:sz w:val="20"/>
          <w:szCs w:val="20"/>
        </w:rPr>
        <w:t xml:space="preserve"> </w:t>
      </w:r>
      <w:r w:rsidRPr="000977F7">
        <w:rPr>
          <w:color w:val="auto"/>
          <w:sz w:val="20"/>
          <w:szCs w:val="20"/>
        </w:rPr>
        <w:t>–</w:t>
      </w:r>
    </w:p>
    <w:p w14:paraId="603604A3" w14:textId="77777777" w:rsidR="0097612F" w:rsidRPr="000977F7" w:rsidRDefault="0097612F" w:rsidP="000977F7">
      <w:pPr>
        <w:pStyle w:val="af6"/>
        <w:tabs>
          <w:tab w:val="left" w:pos="284"/>
        </w:tabs>
        <w:spacing w:after="0"/>
        <w:ind w:left="170"/>
        <w:mirrorIndents/>
        <w:jc w:val="both"/>
        <w:rPr>
          <w:rFonts w:asciiTheme="majorHAnsi" w:hAnsiTheme="majorHAnsi"/>
          <w:spacing w:val="1"/>
          <w:w w:val="95"/>
          <w:sz w:val="20"/>
          <w:szCs w:val="20"/>
        </w:rPr>
      </w:pPr>
      <w:r w:rsidRPr="000977F7">
        <w:rPr>
          <w:rFonts w:asciiTheme="majorHAnsi" w:hAnsiTheme="majorHAnsi"/>
          <w:sz w:val="20"/>
          <w:szCs w:val="20"/>
        </w:rPr>
        <w:t>Система</w:t>
      </w:r>
      <w:r w:rsidRPr="000977F7">
        <w:rPr>
          <w:rFonts w:asciiTheme="majorHAnsi" w:hAnsiTheme="majorHAnsi"/>
          <w:spacing w:val="29"/>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30"/>
          <w:sz w:val="20"/>
          <w:szCs w:val="20"/>
        </w:rPr>
        <w:t xml:space="preserve"> </w:t>
      </w:r>
      <w:r w:rsidRPr="000977F7">
        <w:rPr>
          <w:rFonts w:asciiTheme="majorHAnsi" w:hAnsiTheme="majorHAnsi"/>
          <w:sz w:val="20"/>
          <w:szCs w:val="20"/>
        </w:rPr>
        <w:t>відправлення</w:t>
      </w:r>
      <w:r w:rsidRPr="000977F7">
        <w:rPr>
          <w:rFonts w:asciiTheme="majorHAnsi" w:hAnsiTheme="majorHAnsi"/>
          <w:spacing w:val="32"/>
          <w:sz w:val="20"/>
          <w:szCs w:val="20"/>
        </w:rPr>
        <w:t xml:space="preserve"> </w:t>
      </w:r>
      <w:r w:rsidRPr="000977F7">
        <w:rPr>
          <w:rFonts w:asciiTheme="majorHAnsi" w:hAnsiTheme="majorHAnsi"/>
          <w:sz w:val="20"/>
          <w:szCs w:val="20"/>
        </w:rPr>
        <w:t>вантажів</w:t>
      </w:r>
      <w:r w:rsidRPr="000977F7">
        <w:rPr>
          <w:rFonts w:asciiTheme="majorHAnsi" w:hAnsiTheme="majorHAnsi"/>
          <w:spacing w:val="29"/>
          <w:sz w:val="20"/>
          <w:szCs w:val="20"/>
        </w:rPr>
        <w:t xml:space="preserve"> </w:t>
      </w:r>
      <w:r w:rsidRPr="000977F7">
        <w:rPr>
          <w:rFonts w:asciiTheme="majorHAnsi" w:hAnsiTheme="majorHAnsi"/>
          <w:sz w:val="20"/>
          <w:szCs w:val="20"/>
        </w:rPr>
        <w:t>значними</w:t>
      </w:r>
      <w:r w:rsidRPr="000977F7">
        <w:rPr>
          <w:rFonts w:asciiTheme="majorHAnsi" w:hAnsiTheme="majorHAnsi"/>
          <w:spacing w:val="-47"/>
          <w:sz w:val="20"/>
          <w:szCs w:val="20"/>
        </w:rPr>
        <w:t xml:space="preserve"> </w:t>
      </w:r>
      <w:r w:rsidRPr="000977F7">
        <w:rPr>
          <w:rFonts w:asciiTheme="majorHAnsi" w:hAnsiTheme="majorHAnsi"/>
          <w:spacing w:val="-1"/>
          <w:sz w:val="20"/>
          <w:szCs w:val="20"/>
        </w:rPr>
        <w:t xml:space="preserve">партіями </w:t>
      </w:r>
      <w:r w:rsidRPr="000977F7">
        <w:rPr>
          <w:rFonts w:asciiTheme="majorHAnsi" w:hAnsiTheme="majorHAnsi"/>
          <w:sz w:val="20"/>
          <w:szCs w:val="20"/>
        </w:rPr>
        <w:t>за призначенням одному або кільком підпри</w:t>
      </w:r>
      <w:r w:rsidRPr="000977F7">
        <w:rPr>
          <w:rFonts w:asciiTheme="majorHAnsi" w:hAnsiTheme="majorHAnsi"/>
          <w:w w:val="95"/>
          <w:sz w:val="20"/>
          <w:szCs w:val="20"/>
        </w:rPr>
        <w:t>ємствам – споживачам, розташованим в одному районі</w:t>
      </w:r>
      <w:r w:rsidRPr="000977F7">
        <w:rPr>
          <w:rFonts w:asciiTheme="majorHAnsi" w:hAnsiTheme="majorHAnsi"/>
          <w:spacing w:val="1"/>
          <w:w w:val="95"/>
          <w:sz w:val="20"/>
          <w:szCs w:val="20"/>
        </w:rPr>
        <w:t xml:space="preserve"> </w:t>
      </w:r>
    </w:p>
    <w:p w14:paraId="135CC5C6"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2"/>
          <w:sz w:val="20"/>
          <w:szCs w:val="20"/>
        </w:rPr>
        <w:t xml:space="preserve"> - </w:t>
      </w:r>
      <w:r w:rsidRPr="000977F7">
        <w:rPr>
          <w:rFonts w:asciiTheme="majorHAnsi" w:hAnsiTheme="majorHAnsi"/>
          <w:i/>
          <w:sz w:val="20"/>
          <w:szCs w:val="20"/>
        </w:rPr>
        <w:t>94</w:t>
      </w:r>
    </w:p>
    <w:p w14:paraId="691BE743" w14:textId="22779196" w:rsidR="0097612F" w:rsidRPr="000977F7" w:rsidRDefault="002E19DF" w:rsidP="000977F7">
      <w:pPr>
        <w:tabs>
          <w:tab w:val="left" w:pos="284"/>
        </w:tabs>
        <w:spacing w:after="0" w:line="240" w:lineRule="auto"/>
        <w:ind w:left="170"/>
        <w:mirrorIndents/>
        <w:jc w:val="both"/>
        <w:rPr>
          <w:rFonts w:asciiTheme="majorHAnsi" w:hAnsiTheme="majorHAnsi"/>
          <w:b/>
          <w:sz w:val="20"/>
          <w:szCs w:val="20"/>
        </w:rPr>
      </w:pPr>
      <w:r>
        <w:rPr>
          <w:rFonts w:asciiTheme="majorHAnsi" w:hAnsiTheme="majorHAnsi"/>
          <w:noProof/>
          <w:sz w:val="20"/>
          <w:szCs w:val="20"/>
          <w:lang w:eastAsia="ru-RU"/>
        </w:rPr>
        <mc:AlternateContent>
          <mc:Choice Requires="wps">
            <w:drawing>
              <wp:anchor distT="4294967295" distB="4294967295" distL="114299" distR="114299" simplePos="0" relativeHeight="251684864" behindDoc="1" locked="0" layoutInCell="1" allowOverlap="1" wp14:anchorId="29D8DDE1" wp14:editId="50067306">
                <wp:simplePos x="0" y="0"/>
                <wp:positionH relativeFrom="page">
                  <wp:posOffset>2683509</wp:posOffset>
                </wp:positionH>
                <wp:positionV relativeFrom="page">
                  <wp:posOffset>1784984</wp:posOffset>
                </wp:positionV>
                <wp:extent cx="0" cy="0"/>
                <wp:effectExtent l="0" t="0" r="0" b="0"/>
                <wp:wrapNone/>
                <wp:docPr id="5183" name="Прямая соединительная линия 51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1426">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52F39530" id="Прямая соединительная линия 5183" o:spid="_x0000_s1026" style="position:absolute;z-index:-251631616;visibility:visible;mso-wrap-style:square;mso-width-percent:0;mso-height-percent:0;mso-wrap-distance-left:3.17497mm;mso-wrap-distance-top:-3e-5mm;mso-wrap-distance-right:3.17497mm;mso-wrap-distance-bottom:-3e-5mm;mso-position-horizontal:absolute;mso-position-horizontal-relative:page;mso-position-vertical:absolute;mso-position-vertical-relative:page;mso-width-percent:0;mso-height-percent:0;mso-width-relative:page;mso-height-relative:page" from="211.3pt,140.55pt" to="211.3pt,14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" strokeweight=".03961mm">
                <w10:wrap anchorx="page" anchory="page"/>
              </v:line>
            </w:pict>
          </mc:Fallback>
        </mc:AlternateContent>
      </w:r>
      <w:r>
        <w:rPr>
          <w:rFonts w:asciiTheme="majorHAnsi" w:hAnsiTheme="majorHAnsi"/>
          <w:noProof/>
          <w:sz w:val="20"/>
          <w:szCs w:val="20"/>
          <w:lang w:eastAsia="ru-RU"/>
        </w:rPr>
        <mc:AlternateContent>
          <mc:Choice Requires="wps">
            <w:drawing>
              <wp:anchor distT="4294967295" distB="4294967295" distL="114299" distR="114299" simplePos="0" relativeHeight="251685888" behindDoc="1" locked="0" layoutInCell="1" allowOverlap="1" wp14:anchorId="7FC4B76F" wp14:editId="4F89880E">
                <wp:simplePos x="0" y="0"/>
                <wp:positionH relativeFrom="page">
                  <wp:posOffset>2353944</wp:posOffset>
                </wp:positionH>
                <wp:positionV relativeFrom="page">
                  <wp:posOffset>1784349</wp:posOffset>
                </wp:positionV>
                <wp:extent cx="0" cy="0"/>
                <wp:effectExtent l="0" t="0" r="0" b="0"/>
                <wp:wrapNone/>
                <wp:docPr id="5182" name="Прямая соединительная линия 51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1426">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1B40573A" id="Прямая соединительная линия 5182" o:spid="_x0000_s1026" style="position:absolute;z-index:-251630592;visibility:visible;mso-wrap-style:square;mso-width-percent:0;mso-height-percent:0;mso-wrap-distance-left:3.17497mm;mso-wrap-distance-top:-3e-5mm;mso-wrap-distance-right:3.17497mm;mso-wrap-distance-bottom:-3e-5mm;mso-position-horizontal:absolute;mso-position-horizontal-relative:page;mso-position-vertical:absolute;mso-position-vertical-relative:page;mso-width-percent:0;mso-height-percent:0;mso-width-relative:page;mso-height-relative:page" from="185.35pt,140.5pt" to="185.35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" strokeweight=".03961mm">
                <w10:wrap anchorx="page" anchory="page"/>
              </v:line>
            </w:pict>
          </mc:Fallback>
        </mc:AlternateContent>
      </w:r>
      <w:r>
        <w:rPr>
          <w:rFonts w:asciiTheme="majorHAnsi" w:hAnsiTheme="majorHAnsi"/>
          <w:noProof/>
          <w:sz w:val="20"/>
          <w:szCs w:val="20"/>
          <w:lang w:eastAsia="ru-RU"/>
        </w:rPr>
        <mc:AlternateContent>
          <mc:Choice Requires="wps">
            <w:drawing>
              <wp:anchor distT="4294967295" distB="4294967295" distL="114299" distR="114299" simplePos="0" relativeHeight="251686912" behindDoc="1" locked="0" layoutInCell="1" allowOverlap="1" wp14:anchorId="38BE0E18" wp14:editId="6F4BB95B">
                <wp:simplePos x="0" y="0"/>
                <wp:positionH relativeFrom="page">
                  <wp:posOffset>2353944</wp:posOffset>
                </wp:positionH>
                <wp:positionV relativeFrom="page">
                  <wp:posOffset>1221104</wp:posOffset>
                </wp:positionV>
                <wp:extent cx="0" cy="0"/>
                <wp:effectExtent l="0" t="0" r="0" b="0"/>
                <wp:wrapNone/>
                <wp:docPr id="5181" name="Прямая соединительная линия 51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1426">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05DCCE5A" id="Прямая соединительная линия 5181" o:spid="_x0000_s1026" style="position:absolute;z-index:-251629568;visibility:visible;mso-wrap-style:square;mso-width-percent:0;mso-height-percent:0;mso-wrap-distance-left:3.17497mm;mso-wrap-distance-top:-3e-5mm;mso-wrap-distance-right:3.17497mm;mso-wrap-distance-bottom:-3e-5mm;mso-position-horizontal:absolute;mso-position-horizontal-relative:page;mso-position-vertical:absolute;mso-position-vertical-relative:page;mso-width-percent:0;mso-height-percent:0;mso-width-relative:page;mso-height-relative:page" from="185.35pt,96.15pt" to="185.35pt,9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" strokeweight=".03961mm">
                <w10:wrap anchorx="page" anchory="page"/>
              </v:line>
            </w:pict>
          </mc:Fallback>
        </mc:AlternateContent>
      </w:r>
      <w:r>
        <w:rPr>
          <w:rFonts w:asciiTheme="majorHAnsi" w:hAnsiTheme="majorHAnsi"/>
          <w:noProof/>
          <w:sz w:val="20"/>
          <w:szCs w:val="20"/>
          <w:lang w:eastAsia="ru-RU"/>
        </w:rPr>
        <mc:AlternateContent>
          <mc:Choice Requires="wps">
            <w:drawing>
              <wp:anchor distT="4294967295" distB="4294967295" distL="114299" distR="114299" simplePos="0" relativeHeight="251687936" behindDoc="1" locked="0" layoutInCell="1" allowOverlap="1" wp14:anchorId="6E2F706E" wp14:editId="149C652E">
                <wp:simplePos x="0" y="0"/>
                <wp:positionH relativeFrom="page">
                  <wp:posOffset>2353944</wp:posOffset>
                </wp:positionH>
                <wp:positionV relativeFrom="page">
                  <wp:posOffset>1511299</wp:posOffset>
                </wp:positionV>
                <wp:extent cx="0" cy="0"/>
                <wp:effectExtent l="0" t="0" r="0" b="0"/>
                <wp:wrapNone/>
                <wp:docPr id="5180" name="Прямая соединительная линия 51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1426">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1309E5FB" id="Прямая соединительная линия 5180" o:spid="_x0000_s1026" style="position:absolute;z-index:-251628544;visibility:visible;mso-wrap-style:square;mso-width-percent:0;mso-height-percent:0;mso-wrap-distance-left:3.17497mm;mso-wrap-distance-top:-3e-5mm;mso-wrap-distance-right:3.17497mm;mso-wrap-distance-bottom:-3e-5mm;mso-position-horizontal:absolute;mso-position-horizontal-relative:page;mso-position-vertical:absolute;mso-position-vertical-relative:page;mso-width-percent:0;mso-height-percent:0;mso-width-relative:page;mso-height-relative:page" from="185.35pt,119pt" to="185.35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" strokeweight=".03961mm">
                <w10:wrap anchorx="page" anchory="page"/>
              </v:line>
            </w:pict>
          </mc:Fallback>
        </mc:AlternateContent>
      </w:r>
      <w:r>
        <w:rPr>
          <w:rFonts w:asciiTheme="majorHAnsi" w:hAnsiTheme="majorHAnsi"/>
          <w:noProof/>
          <w:sz w:val="20"/>
          <w:szCs w:val="20"/>
          <w:lang w:eastAsia="ru-RU"/>
        </w:rPr>
        <mc:AlternateContent>
          <mc:Choice Requires="wps">
            <w:drawing>
              <wp:anchor distT="4294967295" distB="4294967295" distL="114299" distR="114299" simplePos="0" relativeHeight="251688960" behindDoc="1" locked="0" layoutInCell="1" allowOverlap="1" wp14:anchorId="2CF91144" wp14:editId="1BEF60DC">
                <wp:simplePos x="0" y="0"/>
                <wp:positionH relativeFrom="page">
                  <wp:posOffset>2683509</wp:posOffset>
                </wp:positionH>
                <wp:positionV relativeFrom="page">
                  <wp:posOffset>1155699</wp:posOffset>
                </wp:positionV>
                <wp:extent cx="0" cy="0"/>
                <wp:effectExtent l="0" t="0" r="0" b="0"/>
                <wp:wrapNone/>
                <wp:docPr id="5179" name="Прямая соединительная линия 51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1426">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4BFD0FC7" id="Прямая соединительная линия 5179" o:spid="_x0000_s1026" style="position:absolute;z-index:-251627520;visibility:visible;mso-wrap-style:square;mso-width-percent:0;mso-height-percent:0;mso-wrap-distance-left:3.17497mm;mso-wrap-distance-top:-3e-5mm;mso-wrap-distance-right:3.17497mm;mso-wrap-distance-bottom:-3e-5mm;mso-position-horizontal:absolute;mso-position-horizontal-relative:page;mso-position-vertical:absolute;mso-position-vertical-relative:page;mso-width-percent:0;mso-height-percent:0;mso-width-relative:page;mso-height-relative:page" from="211.3pt,91pt" to="211.3pt,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" strokeweight=".03961mm">
                <w10:wrap anchorx="page" anchory="page"/>
              </v:line>
            </w:pict>
          </mc:Fallback>
        </mc:AlternateContent>
      </w:r>
      <w:r w:rsidR="0097612F" w:rsidRPr="000977F7">
        <w:rPr>
          <w:rFonts w:asciiTheme="majorHAnsi" w:hAnsiTheme="majorHAnsi"/>
          <w:b/>
          <w:sz w:val="20"/>
          <w:szCs w:val="20"/>
        </w:rPr>
        <w:t>МАКСИМАЛЬНИЙ</w:t>
      </w:r>
      <w:r w:rsidR="0097612F" w:rsidRPr="000977F7">
        <w:rPr>
          <w:rFonts w:asciiTheme="majorHAnsi" w:hAnsiTheme="majorHAnsi"/>
          <w:b/>
          <w:spacing w:val="-4"/>
          <w:sz w:val="20"/>
          <w:szCs w:val="20"/>
        </w:rPr>
        <w:t xml:space="preserve"> </w:t>
      </w:r>
      <w:r w:rsidR="0097612F" w:rsidRPr="000977F7">
        <w:rPr>
          <w:rFonts w:asciiTheme="majorHAnsi" w:hAnsiTheme="majorHAnsi"/>
          <w:b/>
          <w:sz w:val="20"/>
          <w:szCs w:val="20"/>
        </w:rPr>
        <w:t>КОРОЗІЙНИЙ</w:t>
      </w:r>
      <w:r w:rsidR="0097612F" w:rsidRPr="000977F7">
        <w:rPr>
          <w:rFonts w:asciiTheme="majorHAnsi" w:hAnsiTheme="majorHAnsi"/>
          <w:b/>
          <w:spacing w:val="-3"/>
          <w:sz w:val="20"/>
          <w:szCs w:val="20"/>
        </w:rPr>
        <w:t xml:space="preserve"> </w:t>
      </w:r>
      <w:r w:rsidR="0097612F" w:rsidRPr="000977F7">
        <w:rPr>
          <w:rFonts w:asciiTheme="majorHAnsi" w:hAnsiTheme="majorHAnsi"/>
          <w:b/>
          <w:sz w:val="20"/>
          <w:szCs w:val="20"/>
        </w:rPr>
        <w:t>СТРУМ</w:t>
      </w:r>
      <w:r w:rsidR="0097612F" w:rsidRPr="000977F7">
        <w:rPr>
          <w:rFonts w:asciiTheme="majorHAnsi" w:hAnsiTheme="majorHAnsi"/>
          <w:b/>
          <w:spacing w:val="-2"/>
          <w:sz w:val="20"/>
          <w:szCs w:val="20"/>
        </w:rPr>
        <w:t xml:space="preserve"> </w:t>
      </w:r>
      <w:r w:rsidR="0097612F" w:rsidRPr="000977F7">
        <w:rPr>
          <w:rFonts w:asciiTheme="majorHAnsi" w:hAnsiTheme="majorHAnsi"/>
          <w:b/>
          <w:sz w:val="20"/>
          <w:szCs w:val="20"/>
        </w:rPr>
        <w:t>–</w:t>
      </w:r>
    </w:p>
    <w:p w14:paraId="6E83E73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Найбільше значення корозійного струму, що відповідає точці перетину анодної і катодної кривих на поляризаційній</w:t>
      </w:r>
      <w:r w:rsidRPr="000977F7">
        <w:rPr>
          <w:rFonts w:asciiTheme="majorHAnsi" w:hAnsiTheme="majorHAnsi"/>
          <w:spacing w:val="-2"/>
          <w:sz w:val="20"/>
          <w:szCs w:val="20"/>
        </w:rPr>
        <w:t xml:space="preserve"> </w:t>
      </w:r>
      <w:r w:rsidRPr="000977F7">
        <w:rPr>
          <w:rFonts w:asciiTheme="majorHAnsi" w:hAnsiTheme="majorHAnsi"/>
          <w:sz w:val="20"/>
          <w:szCs w:val="20"/>
        </w:rPr>
        <w:t>діаграмі</w:t>
      </w:r>
    </w:p>
    <w:p w14:paraId="554A9FD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3830 - 98</w:t>
      </w:r>
    </w:p>
    <w:p w14:paraId="2AE3F4F8"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МАЛОЗНАЧНИЙ ДЕФЕКТ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0639A87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MINOR</w:t>
      </w:r>
      <w:r w:rsidRPr="000977F7">
        <w:rPr>
          <w:rFonts w:asciiTheme="majorHAnsi" w:hAnsiTheme="majorHAnsi"/>
          <w:spacing w:val="-2"/>
          <w:sz w:val="20"/>
          <w:szCs w:val="20"/>
        </w:rPr>
        <w:t xml:space="preserve"> </w:t>
      </w:r>
      <w:r w:rsidRPr="000977F7">
        <w:rPr>
          <w:rFonts w:asciiTheme="majorHAnsi" w:hAnsiTheme="majorHAnsi"/>
          <w:sz w:val="20"/>
          <w:szCs w:val="20"/>
        </w:rPr>
        <w:t>DEFECT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6D006C97"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z w:val="20"/>
          <w:szCs w:val="20"/>
        </w:rPr>
        <w:t>Дефект,</w:t>
      </w:r>
      <w:r w:rsidRPr="000977F7">
        <w:rPr>
          <w:rFonts w:asciiTheme="majorHAnsi" w:hAnsiTheme="majorHAnsi"/>
          <w:spacing w:val="13"/>
          <w:sz w:val="20"/>
          <w:szCs w:val="20"/>
        </w:rPr>
        <w:t xml:space="preserve"> </w:t>
      </w:r>
      <w:r w:rsidRPr="000977F7">
        <w:rPr>
          <w:rFonts w:asciiTheme="majorHAnsi" w:hAnsiTheme="majorHAnsi"/>
          <w:sz w:val="20"/>
          <w:szCs w:val="20"/>
        </w:rPr>
        <w:t>який</w:t>
      </w:r>
      <w:r w:rsidRPr="000977F7">
        <w:rPr>
          <w:rFonts w:asciiTheme="majorHAnsi" w:hAnsiTheme="majorHAnsi"/>
          <w:spacing w:val="12"/>
          <w:sz w:val="20"/>
          <w:szCs w:val="20"/>
        </w:rPr>
        <w:t xml:space="preserve"> </w:t>
      </w:r>
      <w:r w:rsidRPr="000977F7">
        <w:rPr>
          <w:rFonts w:asciiTheme="majorHAnsi" w:hAnsiTheme="majorHAnsi"/>
          <w:sz w:val="20"/>
          <w:szCs w:val="20"/>
        </w:rPr>
        <w:t>суттєво</w:t>
      </w:r>
      <w:r w:rsidRPr="000977F7">
        <w:rPr>
          <w:rFonts w:asciiTheme="majorHAnsi" w:hAnsiTheme="majorHAnsi"/>
          <w:spacing w:val="13"/>
          <w:sz w:val="20"/>
          <w:szCs w:val="20"/>
        </w:rPr>
        <w:t xml:space="preserve"> </w:t>
      </w:r>
      <w:r w:rsidRPr="000977F7">
        <w:rPr>
          <w:rFonts w:asciiTheme="majorHAnsi" w:hAnsiTheme="majorHAnsi"/>
          <w:sz w:val="20"/>
          <w:szCs w:val="20"/>
        </w:rPr>
        <w:t>не</w:t>
      </w:r>
      <w:r w:rsidRPr="000977F7">
        <w:rPr>
          <w:rFonts w:asciiTheme="majorHAnsi" w:hAnsiTheme="majorHAnsi"/>
          <w:spacing w:val="16"/>
          <w:sz w:val="20"/>
          <w:szCs w:val="20"/>
        </w:rPr>
        <w:t xml:space="preserve"> </w:t>
      </w:r>
      <w:r w:rsidRPr="000977F7">
        <w:rPr>
          <w:rFonts w:asciiTheme="majorHAnsi" w:hAnsiTheme="majorHAnsi"/>
          <w:sz w:val="20"/>
          <w:szCs w:val="20"/>
        </w:rPr>
        <w:t>впливає</w:t>
      </w:r>
      <w:r w:rsidRPr="000977F7">
        <w:rPr>
          <w:rFonts w:asciiTheme="majorHAnsi" w:hAnsiTheme="majorHAnsi"/>
          <w:spacing w:val="16"/>
          <w:sz w:val="20"/>
          <w:szCs w:val="20"/>
        </w:rPr>
        <w:t xml:space="preserve"> </w:t>
      </w:r>
      <w:r w:rsidRPr="000977F7">
        <w:rPr>
          <w:rFonts w:asciiTheme="majorHAnsi" w:hAnsiTheme="majorHAnsi"/>
          <w:sz w:val="20"/>
          <w:szCs w:val="20"/>
        </w:rPr>
        <w:t>на</w:t>
      </w:r>
      <w:r w:rsidRPr="000977F7">
        <w:rPr>
          <w:rFonts w:asciiTheme="majorHAnsi" w:hAnsiTheme="majorHAnsi"/>
          <w:spacing w:val="16"/>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47"/>
          <w:sz w:val="20"/>
          <w:szCs w:val="20"/>
        </w:rPr>
        <w:t xml:space="preserve"> </w:t>
      </w:r>
      <w:r w:rsidRPr="000977F7">
        <w:rPr>
          <w:rFonts w:asciiTheme="majorHAnsi" w:hAnsiTheme="majorHAnsi"/>
          <w:sz w:val="20"/>
          <w:szCs w:val="20"/>
        </w:rPr>
        <w:t>продукції за призначенням та її довговічність</w:t>
      </w:r>
      <w:r w:rsidRPr="000977F7">
        <w:rPr>
          <w:rFonts w:asciiTheme="majorHAnsi" w:hAnsiTheme="majorHAnsi"/>
          <w:spacing w:val="1"/>
          <w:sz w:val="20"/>
          <w:szCs w:val="20"/>
        </w:rPr>
        <w:t xml:space="preserve"> </w:t>
      </w:r>
      <w:r w:rsidRPr="000977F7">
        <w:rPr>
          <w:rFonts w:asciiTheme="majorHAnsi" w:hAnsiTheme="majorHAnsi"/>
          <w:b/>
          <w:sz w:val="20"/>
          <w:szCs w:val="20"/>
        </w:rPr>
        <w:t>МАЛОЦИКЛОВА</w:t>
      </w:r>
      <w:r w:rsidRPr="000977F7">
        <w:rPr>
          <w:rFonts w:asciiTheme="majorHAnsi" w:hAnsiTheme="majorHAnsi"/>
          <w:b/>
          <w:spacing w:val="-1"/>
          <w:sz w:val="20"/>
          <w:szCs w:val="20"/>
        </w:rPr>
        <w:t xml:space="preserve"> </w:t>
      </w:r>
      <w:r w:rsidRPr="000977F7">
        <w:rPr>
          <w:rFonts w:asciiTheme="majorHAnsi" w:hAnsiTheme="majorHAnsi"/>
          <w:b/>
          <w:sz w:val="20"/>
          <w:szCs w:val="20"/>
        </w:rPr>
        <w:t>ВТОМА</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4452BFC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LOW-CYCLE</w:t>
      </w:r>
      <w:r w:rsidRPr="000977F7">
        <w:rPr>
          <w:rFonts w:asciiTheme="majorHAnsi" w:hAnsiTheme="majorHAnsi"/>
          <w:spacing w:val="-4"/>
          <w:sz w:val="20"/>
          <w:szCs w:val="20"/>
        </w:rPr>
        <w:t xml:space="preserve"> </w:t>
      </w:r>
      <w:r w:rsidRPr="000977F7">
        <w:rPr>
          <w:rFonts w:asciiTheme="majorHAnsi" w:hAnsiTheme="majorHAnsi"/>
          <w:sz w:val="20"/>
          <w:szCs w:val="20"/>
        </w:rPr>
        <w:t>FATIGUE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5936C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Втома матеріалу, за якої втомне пошкодження і руйнування відбуваються в основному під час пружно-пластичного деформування</w:t>
      </w:r>
    </w:p>
    <w:p w14:paraId="73BD756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2444 - 94</w:t>
      </w:r>
    </w:p>
    <w:p w14:paraId="464DC59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МАРКЕТИНГ</w:t>
      </w:r>
      <w:r w:rsidRPr="000977F7">
        <w:rPr>
          <w:color w:val="auto"/>
          <w:spacing w:val="-3"/>
          <w:sz w:val="20"/>
          <w:szCs w:val="20"/>
        </w:rPr>
        <w:t xml:space="preserve"> </w:t>
      </w:r>
      <w:r w:rsidRPr="000977F7">
        <w:rPr>
          <w:color w:val="auto"/>
          <w:sz w:val="20"/>
          <w:szCs w:val="20"/>
        </w:rPr>
        <w:t>-</w:t>
      </w:r>
    </w:p>
    <w:p w14:paraId="30A2DF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 планування і втілення задуму,</w:t>
      </w:r>
      <w:r w:rsidRPr="000977F7">
        <w:rPr>
          <w:rFonts w:asciiTheme="majorHAnsi" w:hAnsiTheme="majorHAnsi"/>
          <w:spacing w:val="1"/>
          <w:sz w:val="20"/>
          <w:szCs w:val="20"/>
        </w:rPr>
        <w:t xml:space="preserve"> </w:t>
      </w:r>
      <w:r w:rsidRPr="000977F7">
        <w:rPr>
          <w:rFonts w:asciiTheme="majorHAnsi" w:hAnsiTheme="majorHAnsi"/>
          <w:sz w:val="20"/>
          <w:szCs w:val="20"/>
        </w:rPr>
        <w:t>ціноутворення,</w:t>
      </w:r>
      <w:r w:rsidRPr="000977F7">
        <w:rPr>
          <w:rFonts w:asciiTheme="majorHAnsi" w:hAnsiTheme="majorHAnsi"/>
          <w:spacing w:val="-47"/>
          <w:sz w:val="20"/>
          <w:szCs w:val="20"/>
        </w:rPr>
        <w:t xml:space="preserve"> </w:t>
      </w:r>
      <w:r w:rsidRPr="000977F7">
        <w:rPr>
          <w:rFonts w:asciiTheme="majorHAnsi" w:hAnsiTheme="majorHAnsi"/>
          <w:sz w:val="20"/>
          <w:szCs w:val="20"/>
        </w:rPr>
        <w:t>просування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реалізації</w:t>
      </w:r>
      <w:r w:rsidRPr="000977F7">
        <w:rPr>
          <w:rFonts w:asciiTheme="majorHAnsi" w:hAnsiTheme="majorHAnsi"/>
          <w:spacing w:val="1"/>
          <w:sz w:val="20"/>
          <w:szCs w:val="20"/>
        </w:rPr>
        <w:t xml:space="preserve"> </w:t>
      </w:r>
      <w:r w:rsidRPr="000977F7">
        <w:rPr>
          <w:rFonts w:asciiTheme="majorHAnsi" w:hAnsiTheme="majorHAnsi"/>
          <w:sz w:val="20"/>
          <w:szCs w:val="20"/>
        </w:rPr>
        <w:t>ідей,</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r w:rsidRPr="000977F7">
        <w:rPr>
          <w:rFonts w:asciiTheme="majorHAnsi" w:hAnsiTheme="majorHAnsi"/>
          <w:spacing w:val="1"/>
          <w:sz w:val="20"/>
          <w:szCs w:val="20"/>
        </w:rPr>
        <w:t xml:space="preserve"> </w:t>
      </w:r>
      <w:r w:rsidRPr="000977F7">
        <w:rPr>
          <w:rFonts w:asciiTheme="majorHAnsi" w:hAnsiTheme="majorHAnsi"/>
          <w:sz w:val="20"/>
          <w:szCs w:val="20"/>
        </w:rPr>
        <w:t>шляхом обміну, який задовольняє мету окремих осіб</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організацій</w:t>
      </w:r>
    </w:p>
    <w:p w14:paraId="736E4F5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9E6BC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виробничо-збутової</w:t>
      </w:r>
      <w:r w:rsidRPr="000977F7">
        <w:rPr>
          <w:rFonts w:asciiTheme="majorHAnsi" w:hAnsiTheme="majorHAnsi"/>
          <w:spacing w:val="1"/>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47"/>
          <w:sz w:val="20"/>
          <w:szCs w:val="20"/>
        </w:rPr>
        <w:t xml:space="preserve"> </w:t>
      </w:r>
      <w:r w:rsidRPr="000977F7">
        <w:rPr>
          <w:rFonts w:asciiTheme="majorHAnsi" w:hAnsiTheme="majorHAnsi"/>
          <w:sz w:val="20"/>
          <w:szCs w:val="20"/>
        </w:rPr>
        <w:t>підприємства, в якій в основу прийняття господарчих</w:t>
      </w:r>
      <w:r w:rsidRPr="000977F7">
        <w:rPr>
          <w:rFonts w:asciiTheme="majorHAnsi" w:hAnsiTheme="majorHAnsi"/>
          <w:spacing w:val="1"/>
          <w:sz w:val="20"/>
          <w:szCs w:val="20"/>
        </w:rPr>
        <w:t xml:space="preserve"> </w:t>
      </w:r>
      <w:r w:rsidRPr="000977F7">
        <w:rPr>
          <w:rFonts w:asciiTheme="majorHAnsi" w:hAnsiTheme="majorHAnsi"/>
          <w:sz w:val="20"/>
          <w:szCs w:val="20"/>
        </w:rPr>
        <w:t>рішень</w:t>
      </w:r>
      <w:r w:rsidRPr="000977F7">
        <w:rPr>
          <w:rFonts w:asciiTheme="majorHAnsi" w:hAnsiTheme="majorHAnsi"/>
          <w:spacing w:val="1"/>
          <w:sz w:val="20"/>
          <w:szCs w:val="20"/>
        </w:rPr>
        <w:t xml:space="preserve"> </w:t>
      </w:r>
      <w:r w:rsidRPr="000977F7">
        <w:rPr>
          <w:rFonts w:asciiTheme="majorHAnsi" w:hAnsiTheme="majorHAnsi"/>
          <w:sz w:val="20"/>
          <w:szCs w:val="20"/>
        </w:rPr>
        <w:t>покладені</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ринку,</w:t>
      </w:r>
      <w:r w:rsidRPr="000977F7">
        <w:rPr>
          <w:rFonts w:asciiTheme="majorHAnsi" w:hAnsiTheme="majorHAnsi"/>
          <w:spacing w:val="1"/>
          <w:sz w:val="20"/>
          <w:szCs w:val="20"/>
        </w:rPr>
        <w:t xml:space="preserve"> </w:t>
      </w:r>
      <w:r w:rsidRPr="000977F7">
        <w:rPr>
          <w:rFonts w:asciiTheme="majorHAnsi" w:hAnsiTheme="majorHAnsi"/>
          <w:sz w:val="20"/>
          <w:szCs w:val="20"/>
        </w:rPr>
        <w:t>реальний</w:t>
      </w:r>
      <w:r w:rsidRPr="000977F7">
        <w:rPr>
          <w:rFonts w:asciiTheme="majorHAnsi" w:hAnsiTheme="majorHAnsi"/>
          <w:spacing w:val="1"/>
          <w:sz w:val="20"/>
          <w:szCs w:val="20"/>
        </w:rPr>
        <w:t xml:space="preserve"> </w:t>
      </w:r>
      <w:r w:rsidRPr="000977F7">
        <w:rPr>
          <w:rFonts w:asciiTheme="majorHAnsi" w:hAnsiTheme="majorHAnsi"/>
          <w:sz w:val="20"/>
          <w:szCs w:val="20"/>
        </w:rPr>
        <w:t>попит</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потреби споживачів продукції та послуг і можливості</w:t>
      </w:r>
      <w:r w:rsidRPr="000977F7">
        <w:rPr>
          <w:rFonts w:asciiTheme="majorHAnsi" w:hAnsiTheme="majorHAnsi"/>
          <w:spacing w:val="1"/>
          <w:sz w:val="20"/>
          <w:szCs w:val="20"/>
        </w:rPr>
        <w:t xml:space="preserve"> </w:t>
      </w:r>
      <w:r w:rsidRPr="000977F7">
        <w:rPr>
          <w:rFonts w:asciiTheme="majorHAnsi" w:hAnsiTheme="majorHAnsi"/>
          <w:sz w:val="20"/>
          <w:szCs w:val="20"/>
        </w:rPr>
        <w:t>даного підприємства</w:t>
      </w:r>
    </w:p>
    <w:p w14:paraId="53CF23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CA42F2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Маркетинг включає вивчення попиту та кон’юнктури</w:t>
      </w:r>
      <w:r w:rsidRPr="000977F7">
        <w:rPr>
          <w:rFonts w:asciiTheme="majorHAnsi" w:hAnsiTheme="majorHAnsi"/>
          <w:spacing w:val="1"/>
          <w:sz w:val="20"/>
          <w:szCs w:val="20"/>
        </w:rPr>
        <w:t xml:space="preserve"> </w:t>
      </w:r>
      <w:r w:rsidRPr="000977F7">
        <w:rPr>
          <w:rFonts w:asciiTheme="majorHAnsi" w:hAnsiTheme="majorHAnsi"/>
          <w:sz w:val="20"/>
          <w:szCs w:val="20"/>
        </w:rPr>
        <w:t>ринку, спеціальних запитів споживачів, рекламу, зміну</w:t>
      </w:r>
      <w:r w:rsidRPr="000977F7">
        <w:rPr>
          <w:rFonts w:asciiTheme="majorHAnsi" w:hAnsiTheme="majorHAnsi"/>
          <w:spacing w:val="1"/>
          <w:sz w:val="20"/>
          <w:szCs w:val="20"/>
        </w:rPr>
        <w:t xml:space="preserve"> </w:t>
      </w:r>
      <w:r w:rsidRPr="000977F7">
        <w:rPr>
          <w:rFonts w:asciiTheme="majorHAnsi" w:hAnsiTheme="majorHAnsi"/>
          <w:sz w:val="20"/>
          <w:szCs w:val="20"/>
        </w:rPr>
        <w:t>якісних</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властивостей</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створення</w:t>
      </w:r>
      <w:r w:rsidRPr="000977F7">
        <w:rPr>
          <w:rFonts w:asciiTheme="majorHAnsi" w:hAnsiTheme="majorHAnsi"/>
          <w:spacing w:val="1"/>
          <w:sz w:val="20"/>
          <w:szCs w:val="20"/>
        </w:rPr>
        <w:t xml:space="preserve"> </w:t>
      </w:r>
      <w:r w:rsidRPr="000977F7">
        <w:rPr>
          <w:rFonts w:asciiTheme="majorHAnsi" w:hAnsiTheme="majorHAnsi"/>
          <w:sz w:val="20"/>
          <w:szCs w:val="20"/>
        </w:rPr>
        <w:t>умов</w:t>
      </w:r>
      <w:r w:rsidRPr="000977F7">
        <w:rPr>
          <w:rFonts w:asciiTheme="majorHAnsi" w:hAnsiTheme="majorHAnsi"/>
          <w:spacing w:val="-47"/>
          <w:sz w:val="20"/>
          <w:szCs w:val="20"/>
        </w:rPr>
        <w:t xml:space="preserve"> </w:t>
      </w:r>
      <w:r w:rsidRPr="000977F7">
        <w:rPr>
          <w:rFonts w:asciiTheme="majorHAnsi" w:hAnsiTheme="majorHAnsi"/>
          <w:sz w:val="20"/>
          <w:szCs w:val="20"/>
        </w:rPr>
        <w:t>для підвищення попиту, регулювання</w:t>
      </w:r>
      <w:r w:rsidRPr="000977F7">
        <w:rPr>
          <w:rFonts w:asciiTheme="majorHAnsi" w:hAnsiTheme="majorHAnsi"/>
          <w:spacing w:val="1"/>
          <w:sz w:val="20"/>
          <w:szCs w:val="20"/>
        </w:rPr>
        <w:t xml:space="preserve"> </w:t>
      </w:r>
      <w:r w:rsidRPr="000977F7">
        <w:rPr>
          <w:rFonts w:asciiTheme="majorHAnsi" w:hAnsiTheme="majorHAnsi"/>
          <w:sz w:val="20"/>
          <w:szCs w:val="20"/>
        </w:rPr>
        <w:t>обсягу постачання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на ринок</w:t>
      </w:r>
    </w:p>
    <w:p w14:paraId="51B18BE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2960 - 94</w:t>
      </w:r>
    </w:p>
    <w:p w14:paraId="235151F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МАРКЕТИНГОВЕ</w:t>
      </w:r>
      <w:r w:rsidRPr="000977F7">
        <w:rPr>
          <w:color w:val="auto"/>
          <w:spacing w:val="-7"/>
          <w:sz w:val="20"/>
          <w:szCs w:val="20"/>
        </w:rPr>
        <w:t xml:space="preserve"> </w:t>
      </w:r>
      <w:r w:rsidRPr="000977F7">
        <w:rPr>
          <w:color w:val="auto"/>
          <w:sz w:val="20"/>
          <w:szCs w:val="20"/>
        </w:rPr>
        <w:t>ДОСЛІДЖЕННЯ</w:t>
      </w:r>
      <w:r w:rsidRPr="000977F7">
        <w:rPr>
          <w:color w:val="auto"/>
          <w:spacing w:val="-2"/>
          <w:sz w:val="20"/>
          <w:szCs w:val="20"/>
        </w:rPr>
        <w:t xml:space="preserve"> </w:t>
      </w:r>
      <w:r w:rsidRPr="000977F7">
        <w:rPr>
          <w:color w:val="auto"/>
          <w:sz w:val="20"/>
          <w:szCs w:val="20"/>
        </w:rPr>
        <w:t>–</w:t>
      </w:r>
    </w:p>
    <w:p w14:paraId="01C184C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Систематичне збирання, відображення та аналізування даних з проблем, пов’язаних з маркетингом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 послуг</w:t>
      </w:r>
    </w:p>
    <w:p w14:paraId="780EEA2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F38E42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МАРКЕТИНГОВА ІНФОРМАЦІЙНА</w:t>
      </w:r>
      <w:r w:rsidRPr="000977F7">
        <w:rPr>
          <w:color w:val="auto"/>
          <w:spacing w:val="-48"/>
          <w:sz w:val="20"/>
          <w:szCs w:val="20"/>
        </w:rPr>
        <w:t xml:space="preserve"> </w:t>
      </w:r>
      <w:r w:rsidRPr="000977F7">
        <w:rPr>
          <w:color w:val="auto"/>
          <w:sz w:val="20"/>
          <w:szCs w:val="20"/>
        </w:rPr>
        <w:t>СИСТЕМА</w:t>
      </w:r>
      <w:r w:rsidRPr="000977F7">
        <w:rPr>
          <w:color w:val="auto"/>
          <w:spacing w:val="-1"/>
          <w:sz w:val="20"/>
          <w:szCs w:val="20"/>
        </w:rPr>
        <w:t xml:space="preserve"> </w:t>
      </w:r>
      <w:r w:rsidRPr="000977F7">
        <w:rPr>
          <w:color w:val="auto"/>
          <w:sz w:val="20"/>
          <w:szCs w:val="20"/>
        </w:rPr>
        <w:t>–</w:t>
      </w:r>
    </w:p>
    <w:p w14:paraId="7495C0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процедур та методів, розроблених з метою</w:t>
      </w:r>
      <w:r w:rsidRPr="000977F7">
        <w:rPr>
          <w:rFonts w:asciiTheme="majorHAnsi" w:hAnsiTheme="majorHAnsi"/>
          <w:spacing w:val="-47"/>
          <w:sz w:val="20"/>
          <w:szCs w:val="20"/>
        </w:rPr>
        <w:t xml:space="preserve"> </w:t>
      </w:r>
      <w:r w:rsidRPr="000977F7">
        <w:rPr>
          <w:rFonts w:asciiTheme="majorHAnsi" w:hAnsiTheme="majorHAnsi"/>
          <w:sz w:val="20"/>
          <w:szCs w:val="20"/>
        </w:rPr>
        <w:t>створення, аналізування</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розповсюдження</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інформації</w:t>
      </w:r>
    </w:p>
    <w:p w14:paraId="2FF9681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використання внутрішньозаводського та</w:t>
      </w:r>
      <w:r w:rsidRPr="000977F7">
        <w:rPr>
          <w:rFonts w:asciiTheme="majorHAnsi" w:hAnsiTheme="majorHAnsi"/>
          <w:spacing w:val="1"/>
          <w:sz w:val="20"/>
          <w:szCs w:val="20"/>
        </w:rPr>
        <w:t xml:space="preserve"> </w:t>
      </w:r>
      <w:r w:rsidRPr="000977F7">
        <w:rPr>
          <w:rFonts w:asciiTheme="majorHAnsi" w:hAnsiTheme="majorHAnsi"/>
          <w:sz w:val="20"/>
          <w:szCs w:val="20"/>
        </w:rPr>
        <w:t>внутрішньо</w:t>
      </w:r>
      <w:r w:rsidRPr="000977F7">
        <w:rPr>
          <w:rFonts w:asciiTheme="majorHAnsi" w:hAnsiTheme="majorHAnsi"/>
          <w:spacing w:val="1"/>
          <w:sz w:val="20"/>
          <w:szCs w:val="20"/>
        </w:rPr>
        <w:t xml:space="preserve"> </w:t>
      </w:r>
      <w:r w:rsidRPr="000977F7">
        <w:rPr>
          <w:rFonts w:asciiTheme="majorHAnsi" w:hAnsiTheme="majorHAnsi"/>
          <w:sz w:val="20"/>
          <w:szCs w:val="20"/>
        </w:rPr>
        <w:t>цехового</w:t>
      </w:r>
      <w:r w:rsidRPr="000977F7">
        <w:rPr>
          <w:rFonts w:asciiTheme="majorHAnsi" w:hAnsiTheme="majorHAnsi"/>
          <w:spacing w:val="1"/>
          <w:sz w:val="20"/>
          <w:szCs w:val="20"/>
        </w:rPr>
        <w:t xml:space="preserve"> </w:t>
      </w:r>
      <w:r w:rsidRPr="000977F7">
        <w:rPr>
          <w:rFonts w:asciiTheme="majorHAnsi" w:hAnsiTheme="majorHAnsi"/>
          <w:sz w:val="20"/>
          <w:szCs w:val="20"/>
        </w:rPr>
        <w:t>транспорту на</w:t>
      </w:r>
      <w:r w:rsidRPr="000977F7">
        <w:rPr>
          <w:rFonts w:asciiTheme="majorHAnsi" w:hAnsiTheme="majorHAnsi"/>
          <w:spacing w:val="1"/>
          <w:sz w:val="20"/>
          <w:szCs w:val="20"/>
        </w:rPr>
        <w:t xml:space="preserve"> </w:t>
      </w:r>
      <w:r w:rsidRPr="000977F7">
        <w:rPr>
          <w:rFonts w:asciiTheme="majorHAnsi" w:hAnsiTheme="majorHAnsi"/>
          <w:sz w:val="20"/>
          <w:szCs w:val="20"/>
        </w:rPr>
        <w:t>основі системи</w:t>
      </w:r>
      <w:r w:rsidRPr="000977F7">
        <w:rPr>
          <w:rFonts w:asciiTheme="majorHAnsi" w:hAnsiTheme="majorHAnsi"/>
          <w:spacing w:val="1"/>
          <w:sz w:val="20"/>
          <w:szCs w:val="20"/>
        </w:rPr>
        <w:t xml:space="preserve"> </w:t>
      </w:r>
      <w:r w:rsidRPr="000977F7">
        <w:rPr>
          <w:rFonts w:asciiTheme="majorHAnsi" w:hAnsiTheme="majorHAnsi"/>
          <w:sz w:val="20"/>
          <w:szCs w:val="20"/>
        </w:rPr>
        <w:t>стійких маршрутів із закріпленням за кожним з них</w:t>
      </w:r>
      <w:r w:rsidRPr="000977F7">
        <w:rPr>
          <w:rFonts w:asciiTheme="majorHAnsi" w:hAnsiTheme="majorHAnsi"/>
          <w:spacing w:val="1"/>
          <w:sz w:val="20"/>
          <w:szCs w:val="20"/>
        </w:rPr>
        <w:t xml:space="preserve"> </w:t>
      </w:r>
      <w:r w:rsidRPr="000977F7">
        <w:rPr>
          <w:rFonts w:asciiTheme="majorHAnsi" w:hAnsiTheme="majorHAnsi"/>
          <w:sz w:val="20"/>
          <w:szCs w:val="20"/>
        </w:rPr>
        <w:t>постійних</w:t>
      </w:r>
      <w:r w:rsidRPr="000977F7">
        <w:rPr>
          <w:rFonts w:asciiTheme="majorHAnsi" w:hAnsiTheme="majorHAnsi"/>
          <w:spacing w:val="-2"/>
          <w:sz w:val="20"/>
          <w:szCs w:val="20"/>
        </w:rPr>
        <w:t xml:space="preserve"> </w:t>
      </w:r>
      <w:r w:rsidRPr="000977F7">
        <w:rPr>
          <w:rFonts w:asciiTheme="majorHAnsi" w:hAnsiTheme="majorHAnsi"/>
          <w:sz w:val="20"/>
          <w:szCs w:val="20"/>
        </w:rPr>
        <w:t>виконавців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транспортних</w:t>
      </w:r>
      <w:r w:rsidRPr="000977F7">
        <w:rPr>
          <w:rFonts w:asciiTheme="majorHAnsi" w:hAnsiTheme="majorHAnsi"/>
          <w:spacing w:val="-2"/>
          <w:sz w:val="20"/>
          <w:szCs w:val="20"/>
        </w:rPr>
        <w:t xml:space="preserve"> </w:t>
      </w:r>
      <w:r w:rsidRPr="000977F7">
        <w:rPr>
          <w:rFonts w:asciiTheme="majorHAnsi" w:hAnsiTheme="majorHAnsi"/>
          <w:sz w:val="20"/>
          <w:szCs w:val="20"/>
        </w:rPr>
        <w:t>машин</w:t>
      </w:r>
    </w:p>
    <w:p w14:paraId="0E1C198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70CD0BF"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На</w:t>
      </w:r>
      <w:r w:rsidRPr="000977F7">
        <w:rPr>
          <w:rFonts w:asciiTheme="majorHAnsi" w:hAnsiTheme="majorHAnsi"/>
          <w:spacing w:val="20"/>
          <w:sz w:val="20"/>
          <w:szCs w:val="20"/>
        </w:rPr>
        <w:t xml:space="preserve"> </w:t>
      </w:r>
      <w:r w:rsidRPr="000977F7">
        <w:rPr>
          <w:rFonts w:asciiTheme="majorHAnsi" w:hAnsiTheme="majorHAnsi"/>
          <w:sz w:val="20"/>
          <w:szCs w:val="20"/>
        </w:rPr>
        <w:t>промислових</w:t>
      </w:r>
      <w:r w:rsidRPr="000977F7">
        <w:rPr>
          <w:rFonts w:asciiTheme="majorHAnsi" w:hAnsiTheme="majorHAnsi"/>
          <w:spacing w:val="21"/>
          <w:sz w:val="20"/>
          <w:szCs w:val="20"/>
        </w:rPr>
        <w:t xml:space="preserve"> </w:t>
      </w:r>
      <w:r w:rsidRPr="000977F7">
        <w:rPr>
          <w:rFonts w:asciiTheme="majorHAnsi" w:hAnsiTheme="majorHAnsi"/>
          <w:sz w:val="20"/>
          <w:szCs w:val="20"/>
        </w:rPr>
        <w:t>підприємствах</w:t>
      </w:r>
      <w:r w:rsidRPr="000977F7">
        <w:rPr>
          <w:rFonts w:asciiTheme="majorHAnsi" w:hAnsiTheme="majorHAnsi"/>
          <w:spacing w:val="21"/>
          <w:sz w:val="20"/>
          <w:szCs w:val="20"/>
        </w:rPr>
        <w:t xml:space="preserve"> </w:t>
      </w:r>
      <w:r w:rsidRPr="000977F7">
        <w:rPr>
          <w:rFonts w:asciiTheme="majorHAnsi" w:hAnsiTheme="majorHAnsi"/>
          <w:sz w:val="20"/>
          <w:szCs w:val="20"/>
        </w:rPr>
        <w:t>вживаються</w:t>
      </w:r>
      <w:r w:rsidRPr="000977F7">
        <w:rPr>
          <w:rFonts w:asciiTheme="majorHAnsi" w:hAnsiTheme="majorHAnsi"/>
          <w:spacing w:val="21"/>
          <w:sz w:val="20"/>
          <w:szCs w:val="20"/>
        </w:rPr>
        <w:t xml:space="preserve"> </w:t>
      </w:r>
      <w:r w:rsidRPr="000977F7">
        <w:rPr>
          <w:rFonts w:asciiTheme="majorHAnsi" w:hAnsiTheme="majorHAnsi"/>
          <w:sz w:val="20"/>
          <w:szCs w:val="20"/>
        </w:rPr>
        <w:t>кільцева</w:t>
      </w:r>
      <w:r w:rsidRPr="000977F7">
        <w:rPr>
          <w:rFonts w:asciiTheme="majorHAnsi" w:hAnsiTheme="majorHAnsi"/>
          <w:spacing w:val="-47"/>
          <w:sz w:val="20"/>
          <w:szCs w:val="20"/>
        </w:rPr>
        <w:t xml:space="preserve"> </w:t>
      </w:r>
      <w:r w:rsidRPr="000977F7">
        <w:rPr>
          <w:rFonts w:asciiTheme="majorHAnsi" w:hAnsiTheme="majorHAnsi"/>
          <w:sz w:val="20"/>
          <w:szCs w:val="20"/>
        </w:rPr>
        <w:t>та маятникова системи маршрутизації перевезень</w:t>
      </w:r>
      <w:r w:rsidRPr="000977F7">
        <w:rPr>
          <w:rFonts w:asciiTheme="majorHAnsi" w:hAnsiTheme="majorHAnsi"/>
          <w:spacing w:val="1"/>
          <w:sz w:val="20"/>
          <w:szCs w:val="20"/>
        </w:rPr>
        <w:t xml:space="preserve"> </w:t>
      </w:r>
    </w:p>
    <w:p w14:paraId="71B114C3"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17673D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МАРКА</w:t>
      </w:r>
      <w:r w:rsidRPr="000977F7">
        <w:rPr>
          <w:color w:val="auto"/>
          <w:spacing w:val="-3"/>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2846509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Умовне літерне та (або) цифрове позначення продукції, яке відображає її виробниче походження, призначення та (або) особливості конструктивно – технологічного вирішення</w:t>
      </w:r>
    </w:p>
    <w:p w14:paraId="2C8DF8F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D94BBE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МАРШРУТНИЙ</w:t>
      </w:r>
      <w:r w:rsidRPr="000977F7">
        <w:rPr>
          <w:color w:val="auto"/>
          <w:spacing w:val="-11"/>
          <w:sz w:val="20"/>
          <w:szCs w:val="20"/>
        </w:rPr>
        <w:t xml:space="preserve"> </w:t>
      </w:r>
      <w:r w:rsidRPr="000977F7">
        <w:rPr>
          <w:color w:val="auto"/>
          <w:sz w:val="20"/>
          <w:szCs w:val="20"/>
        </w:rPr>
        <w:t>ОПИС</w:t>
      </w:r>
      <w:r w:rsidRPr="000977F7">
        <w:rPr>
          <w:color w:val="auto"/>
          <w:spacing w:val="-12"/>
          <w:sz w:val="20"/>
          <w:szCs w:val="20"/>
        </w:rPr>
        <w:t xml:space="preserve"> </w:t>
      </w:r>
      <w:r w:rsidRPr="000977F7">
        <w:rPr>
          <w:color w:val="auto"/>
          <w:sz w:val="20"/>
          <w:szCs w:val="20"/>
        </w:rPr>
        <w:t>ТЕХНОЛОГІЧНОГО</w:t>
      </w:r>
      <w:r w:rsidRPr="000977F7">
        <w:rPr>
          <w:color w:val="auto"/>
          <w:spacing w:val="-47"/>
          <w:sz w:val="20"/>
          <w:szCs w:val="20"/>
        </w:rPr>
        <w:t xml:space="preserve"> </w:t>
      </w:r>
      <w:r w:rsidRPr="000977F7">
        <w:rPr>
          <w:color w:val="auto"/>
          <w:sz w:val="20"/>
          <w:szCs w:val="20"/>
        </w:rPr>
        <w:t>ПРОЦЕСУ –</w:t>
      </w:r>
    </w:p>
    <w:p w14:paraId="2DF8574B"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Скорочений</w:t>
      </w:r>
      <w:r w:rsidRPr="000977F7">
        <w:rPr>
          <w:rFonts w:asciiTheme="majorHAnsi" w:hAnsiTheme="majorHAnsi"/>
          <w:spacing w:val="18"/>
          <w:sz w:val="20"/>
          <w:szCs w:val="20"/>
        </w:rPr>
        <w:t xml:space="preserve"> </w:t>
      </w:r>
      <w:r w:rsidRPr="000977F7">
        <w:rPr>
          <w:rFonts w:asciiTheme="majorHAnsi" w:hAnsiTheme="majorHAnsi"/>
          <w:sz w:val="20"/>
          <w:szCs w:val="20"/>
        </w:rPr>
        <w:t>опис</w:t>
      </w:r>
      <w:r w:rsidRPr="000977F7">
        <w:rPr>
          <w:rFonts w:asciiTheme="majorHAnsi" w:hAnsiTheme="majorHAnsi"/>
          <w:spacing w:val="22"/>
          <w:sz w:val="20"/>
          <w:szCs w:val="20"/>
        </w:rPr>
        <w:t xml:space="preserve"> </w:t>
      </w:r>
      <w:r w:rsidRPr="000977F7">
        <w:rPr>
          <w:rFonts w:asciiTheme="majorHAnsi" w:hAnsiTheme="majorHAnsi"/>
          <w:sz w:val="20"/>
          <w:szCs w:val="20"/>
        </w:rPr>
        <w:t>усіх</w:t>
      </w:r>
      <w:r w:rsidRPr="000977F7">
        <w:rPr>
          <w:rFonts w:asciiTheme="majorHAnsi" w:hAnsiTheme="majorHAnsi"/>
          <w:spacing w:val="19"/>
          <w:sz w:val="20"/>
          <w:szCs w:val="20"/>
        </w:rPr>
        <w:t xml:space="preserve"> </w:t>
      </w:r>
      <w:r w:rsidRPr="000977F7">
        <w:rPr>
          <w:rFonts w:asciiTheme="majorHAnsi" w:hAnsiTheme="majorHAnsi"/>
          <w:sz w:val="20"/>
          <w:szCs w:val="20"/>
        </w:rPr>
        <w:t>технологічних</w:t>
      </w:r>
      <w:r w:rsidRPr="000977F7">
        <w:rPr>
          <w:rFonts w:asciiTheme="majorHAnsi" w:hAnsiTheme="majorHAnsi"/>
          <w:spacing w:val="18"/>
          <w:sz w:val="20"/>
          <w:szCs w:val="20"/>
        </w:rPr>
        <w:t xml:space="preserve"> </w:t>
      </w:r>
      <w:r w:rsidRPr="000977F7">
        <w:rPr>
          <w:rFonts w:asciiTheme="majorHAnsi" w:hAnsiTheme="majorHAnsi"/>
          <w:sz w:val="20"/>
          <w:szCs w:val="20"/>
        </w:rPr>
        <w:t>операцій</w:t>
      </w:r>
      <w:r w:rsidRPr="000977F7">
        <w:rPr>
          <w:rFonts w:asciiTheme="majorHAnsi" w:hAnsiTheme="majorHAnsi"/>
          <w:spacing w:val="19"/>
          <w:sz w:val="20"/>
          <w:szCs w:val="20"/>
        </w:rPr>
        <w:t xml:space="preserve"> </w:t>
      </w:r>
      <w:r w:rsidRPr="000977F7">
        <w:rPr>
          <w:rFonts w:asciiTheme="majorHAnsi" w:hAnsiTheme="majorHAnsi"/>
          <w:sz w:val="20"/>
          <w:szCs w:val="20"/>
        </w:rPr>
        <w:t>в</w:t>
      </w:r>
      <w:r w:rsidRPr="000977F7">
        <w:rPr>
          <w:rFonts w:asciiTheme="majorHAnsi" w:hAnsiTheme="majorHAnsi"/>
          <w:spacing w:val="19"/>
          <w:sz w:val="20"/>
          <w:szCs w:val="20"/>
        </w:rPr>
        <w:t xml:space="preserve"> </w:t>
      </w:r>
      <w:r w:rsidRPr="000977F7">
        <w:rPr>
          <w:rFonts w:asciiTheme="majorHAnsi" w:hAnsiTheme="majorHAnsi"/>
          <w:sz w:val="20"/>
          <w:szCs w:val="20"/>
        </w:rPr>
        <w:t>маршрутній</w:t>
      </w:r>
      <w:r w:rsidRPr="000977F7">
        <w:rPr>
          <w:rFonts w:asciiTheme="majorHAnsi" w:hAnsiTheme="majorHAnsi"/>
          <w:spacing w:val="10"/>
          <w:sz w:val="20"/>
          <w:szCs w:val="20"/>
        </w:rPr>
        <w:t xml:space="preserve"> </w:t>
      </w:r>
      <w:r w:rsidRPr="000977F7">
        <w:rPr>
          <w:rFonts w:asciiTheme="majorHAnsi" w:hAnsiTheme="majorHAnsi"/>
          <w:sz w:val="20"/>
          <w:szCs w:val="20"/>
        </w:rPr>
        <w:t>карті</w:t>
      </w:r>
      <w:r w:rsidRPr="000977F7">
        <w:rPr>
          <w:rFonts w:asciiTheme="majorHAnsi" w:hAnsiTheme="majorHAnsi"/>
          <w:spacing w:val="11"/>
          <w:sz w:val="20"/>
          <w:szCs w:val="20"/>
        </w:rPr>
        <w:t xml:space="preserve"> </w:t>
      </w:r>
      <w:r w:rsidRPr="000977F7">
        <w:rPr>
          <w:rFonts w:asciiTheme="majorHAnsi" w:hAnsiTheme="majorHAnsi"/>
          <w:sz w:val="20"/>
          <w:szCs w:val="20"/>
        </w:rPr>
        <w:t>відповідно</w:t>
      </w:r>
      <w:r w:rsidRPr="000977F7">
        <w:rPr>
          <w:rFonts w:asciiTheme="majorHAnsi" w:hAnsiTheme="majorHAnsi"/>
          <w:spacing w:val="12"/>
          <w:sz w:val="20"/>
          <w:szCs w:val="20"/>
        </w:rPr>
        <w:t xml:space="preserve"> </w:t>
      </w:r>
      <w:r w:rsidRPr="000977F7">
        <w:rPr>
          <w:rFonts w:asciiTheme="majorHAnsi" w:hAnsiTheme="majorHAnsi"/>
          <w:sz w:val="20"/>
          <w:szCs w:val="20"/>
        </w:rPr>
        <w:t>з</w:t>
      </w:r>
      <w:r w:rsidRPr="000977F7">
        <w:rPr>
          <w:rFonts w:asciiTheme="majorHAnsi" w:hAnsiTheme="majorHAnsi"/>
          <w:spacing w:val="12"/>
          <w:sz w:val="20"/>
          <w:szCs w:val="20"/>
        </w:rPr>
        <w:t xml:space="preserve"> </w:t>
      </w:r>
      <w:r w:rsidRPr="000977F7">
        <w:rPr>
          <w:rFonts w:asciiTheme="majorHAnsi" w:hAnsiTheme="majorHAnsi"/>
          <w:sz w:val="20"/>
          <w:szCs w:val="20"/>
        </w:rPr>
        <w:t>послідовністю</w:t>
      </w:r>
      <w:r w:rsidRPr="000977F7">
        <w:rPr>
          <w:rFonts w:asciiTheme="majorHAnsi" w:hAnsiTheme="majorHAnsi"/>
          <w:spacing w:val="11"/>
          <w:sz w:val="20"/>
          <w:szCs w:val="20"/>
        </w:rPr>
        <w:t xml:space="preserve"> </w:t>
      </w:r>
      <w:r w:rsidRPr="000977F7">
        <w:rPr>
          <w:rFonts w:asciiTheme="majorHAnsi" w:hAnsiTheme="majorHAnsi"/>
          <w:sz w:val="20"/>
          <w:szCs w:val="20"/>
        </w:rPr>
        <w:t>їх</w:t>
      </w:r>
      <w:r w:rsidRPr="000977F7">
        <w:rPr>
          <w:rFonts w:asciiTheme="majorHAnsi" w:hAnsiTheme="majorHAnsi"/>
          <w:spacing w:val="10"/>
          <w:sz w:val="20"/>
          <w:szCs w:val="20"/>
        </w:rPr>
        <w:t xml:space="preserve"> </w:t>
      </w:r>
      <w:r w:rsidRPr="000977F7">
        <w:rPr>
          <w:rFonts w:asciiTheme="majorHAnsi" w:hAnsiTheme="majorHAnsi"/>
          <w:sz w:val="20"/>
          <w:szCs w:val="20"/>
        </w:rPr>
        <w:lastRenderedPageBreak/>
        <w:t>виконання без зазначення переходів і технологічних режимів</w:t>
      </w:r>
      <w:r w:rsidRPr="000977F7">
        <w:rPr>
          <w:rFonts w:asciiTheme="majorHAnsi" w:hAnsiTheme="majorHAnsi"/>
          <w:spacing w:val="1"/>
          <w:sz w:val="20"/>
          <w:szCs w:val="20"/>
        </w:rPr>
        <w:t xml:space="preserve"> </w:t>
      </w:r>
    </w:p>
    <w:p w14:paraId="2B39A6B3"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2391:2010</w:t>
      </w:r>
    </w:p>
    <w:p w14:paraId="5DBCDB5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МАРШРУТНО – ОПЕРАЦІЙНИЙ ОПИС ТЕХ</w:t>
      </w:r>
      <w:r w:rsidRPr="000977F7">
        <w:rPr>
          <w:color w:val="auto"/>
          <w:spacing w:val="-47"/>
          <w:sz w:val="20"/>
          <w:szCs w:val="20"/>
        </w:rPr>
        <w:t xml:space="preserve"> </w:t>
      </w:r>
      <w:r w:rsidRPr="000977F7">
        <w:rPr>
          <w:color w:val="auto"/>
          <w:sz w:val="20"/>
          <w:szCs w:val="20"/>
        </w:rPr>
        <w:t>НОЛОГІЧНОГО ПРОЦЕСУ</w:t>
      </w:r>
      <w:r w:rsidRPr="000977F7">
        <w:rPr>
          <w:color w:val="auto"/>
          <w:spacing w:val="3"/>
          <w:sz w:val="20"/>
          <w:szCs w:val="20"/>
        </w:rPr>
        <w:t xml:space="preserve"> </w:t>
      </w:r>
      <w:r w:rsidRPr="000977F7">
        <w:rPr>
          <w:color w:val="auto"/>
          <w:sz w:val="20"/>
          <w:szCs w:val="20"/>
        </w:rPr>
        <w:t>–</w:t>
      </w:r>
    </w:p>
    <w:p w14:paraId="3136BEC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Скорочений опис технологічних операцій у маршрутній карті відповідно з послідовністю їх виконання, з</w:t>
      </w:r>
      <w:r w:rsidRPr="000977F7">
        <w:rPr>
          <w:rFonts w:asciiTheme="majorHAnsi" w:hAnsiTheme="majorHAnsi"/>
          <w:spacing w:val="1"/>
          <w:sz w:val="20"/>
          <w:szCs w:val="20"/>
        </w:rPr>
        <w:t xml:space="preserve"> </w:t>
      </w:r>
      <w:r w:rsidRPr="000977F7">
        <w:rPr>
          <w:rFonts w:asciiTheme="majorHAnsi" w:hAnsiTheme="majorHAnsi"/>
          <w:sz w:val="20"/>
          <w:szCs w:val="20"/>
        </w:rPr>
        <w:t>повним описом окремих операцій в інших технологічних</w:t>
      </w:r>
      <w:r w:rsidRPr="000977F7">
        <w:rPr>
          <w:rFonts w:asciiTheme="majorHAnsi" w:hAnsiTheme="majorHAnsi"/>
          <w:spacing w:val="-2"/>
          <w:sz w:val="20"/>
          <w:szCs w:val="20"/>
        </w:rPr>
        <w:t xml:space="preserve"> </w:t>
      </w:r>
      <w:r w:rsidRPr="000977F7">
        <w:rPr>
          <w:rFonts w:asciiTheme="majorHAnsi" w:hAnsiTheme="majorHAnsi"/>
          <w:sz w:val="20"/>
          <w:szCs w:val="20"/>
        </w:rPr>
        <w:t>документах</w:t>
      </w:r>
    </w:p>
    <w:p w14:paraId="1C41473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4"/>
          <w:sz w:val="20"/>
          <w:szCs w:val="20"/>
        </w:rPr>
        <w:t xml:space="preserve"> </w:t>
      </w:r>
      <w:r w:rsidRPr="000977F7">
        <w:rPr>
          <w:rFonts w:asciiTheme="majorHAnsi" w:hAnsiTheme="majorHAnsi"/>
          <w:i/>
          <w:sz w:val="20"/>
          <w:szCs w:val="20"/>
        </w:rPr>
        <w:t>2391:2010</w:t>
      </w:r>
    </w:p>
    <w:p w14:paraId="0F55AC9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МАСКОВАНА</w:t>
      </w:r>
      <w:r w:rsidRPr="000977F7">
        <w:rPr>
          <w:color w:val="auto"/>
          <w:spacing w:val="-6"/>
          <w:sz w:val="20"/>
          <w:szCs w:val="20"/>
        </w:rPr>
        <w:t xml:space="preserve"> </w:t>
      </w:r>
      <w:r w:rsidRPr="000977F7">
        <w:rPr>
          <w:color w:val="auto"/>
          <w:sz w:val="20"/>
          <w:szCs w:val="20"/>
        </w:rPr>
        <w:t>НЕСПРАВНІСТЬ</w:t>
      </w:r>
      <w:r w:rsidRPr="000977F7">
        <w:rPr>
          <w:color w:val="auto"/>
          <w:spacing w:val="-3"/>
          <w:sz w:val="20"/>
          <w:szCs w:val="20"/>
        </w:rPr>
        <w:t xml:space="preserve"> </w:t>
      </w:r>
      <w:r w:rsidRPr="000977F7">
        <w:rPr>
          <w:color w:val="auto"/>
          <w:sz w:val="20"/>
          <w:szCs w:val="20"/>
        </w:rPr>
        <w:t>–</w:t>
      </w:r>
    </w:p>
    <w:p w14:paraId="64CA419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FAULT</w:t>
      </w:r>
      <w:r w:rsidRPr="000977F7">
        <w:rPr>
          <w:rFonts w:asciiTheme="majorHAnsi" w:hAnsiTheme="majorHAnsi"/>
          <w:spacing w:val="-1"/>
          <w:sz w:val="20"/>
          <w:szCs w:val="20"/>
        </w:rPr>
        <w:t xml:space="preserve"> </w:t>
      </w:r>
      <w:r w:rsidRPr="000977F7">
        <w:rPr>
          <w:rFonts w:asciiTheme="majorHAnsi" w:hAnsiTheme="majorHAnsi"/>
          <w:sz w:val="20"/>
          <w:szCs w:val="20"/>
        </w:rPr>
        <w:t>MASKING</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E4334EB" w14:textId="77777777" w:rsidR="0097612F" w:rsidRPr="000977F7" w:rsidRDefault="0097612F" w:rsidP="000977F7">
      <w:pPr>
        <w:pStyle w:val="af6"/>
        <w:tabs>
          <w:tab w:val="left" w:pos="284"/>
        </w:tabs>
        <w:spacing w:after="0"/>
        <w:ind w:left="170"/>
        <w:mirrorIndents/>
        <w:jc w:val="both"/>
        <w:rPr>
          <w:rFonts w:asciiTheme="majorHAnsi" w:hAnsiTheme="majorHAnsi"/>
          <w:spacing w:val="1"/>
          <w:w w:val="95"/>
          <w:sz w:val="20"/>
          <w:szCs w:val="20"/>
        </w:rPr>
      </w:pPr>
      <w:r w:rsidRPr="000977F7">
        <w:rPr>
          <w:rFonts w:asciiTheme="majorHAnsi" w:hAnsiTheme="majorHAnsi"/>
          <w:spacing w:val="-6"/>
          <w:sz w:val="20"/>
          <w:szCs w:val="20"/>
        </w:rPr>
        <w:t>Несправність</w:t>
      </w:r>
      <w:r w:rsidRPr="000977F7">
        <w:rPr>
          <w:rFonts w:asciiTheme="majorHAnsi" w:hAnsiTheme="majorHAnsi"/>
          <w:spacing w:val="-12"/>
          <w:sz w:val="20"/>
          <w:szCs w:val="20"/>
        </w:rPr>
        <w:t xml:space="preserve"> </w:t>
      </w:r>
      <w:r w:rsidRPr="000977F7">
        <w:rPr>
          <w:rFonts w:asciiTheme="majorHAnsi" w:hAnsiTheme="majorHAnsi"/>
          <w:spacing w:val="-6"/>
          <w:sz w:val="20"/>
          <w:szCs w:val="20"/>
        </w:rPr>
        <w:t>складової</w:t>
      </w:r>
      <w:r w:rsidRPr="000977F7">
        <w:rPr>
          <w:rFonts w:asciiTheme="majorHAnsi" w:hAnsiTheme="majorHAnsi"/>
          <w:spacing w:val="-11"/>
          <w:sz w:val="20"/>
          <w:szCs w:val="20"/>
        </w:rPr>
        <w:t xml:space="preserve"> </w:t>
      </w:r>
      <w:r w:rsidRPr="000977F7">
        <w:rPr>
          <w:rFonts w:asciiTheme="majorHAnsi" w:hAnsiTheme="majorHAnsi"/>
          <w:spacing w:val="-6"/>
          <w:sz w:val="20"/>
          <w:szCs w:val="20"/>
        </w:rPr>
        <w:t>частини</w:t>
      </w:r>
      <w:r w:rsidRPr="000977F7">
        <w:rPr>
          <w:rFonts w:asciiTheme="majorHAnsi" w:hAnsiTheme="majorHAnsi"/>
          <w:spacing w:val="-12"/>
          <w:sz w:val="20"/>
          <w:szCs w:val="20"/>
        </w:rPr>
        <w:t xml:space="preserve"> </w:t>
      </w:r>
      <w:r w:rsidRPr="000977F7">
        <w:rPr>
          <w:rFonts w:asciiTheme="majorHAnsi" w:hAnsiTheme="majorHAnsi"/>
          <w:spacing w:val="-5"/>
          <w:sz w:val="20"/>
          <w:szCs w:val="20"/>
        </w:rPr>
        <w:t>об’єкта,</w:t>
      </w:r>
      <w:r w:rsidRPr="000977F7">
        <w:rPr>
          <w:rFonts w:asciiTheme="majorHAnsi" w:hAnsiTheme="majorHAnsi"/>
          <w:spacing w:val="-8"/>
          <w:sz w:val="20"/>
          <w:szCs w:val="20"/>
        </w:rPr>
        <w:t xml:space="preserve"> </w:t>
      </w:r>
      <w:r w:rsidRPr="000977F7">
        <w:rPr>
          <w:rFonts w:asciiTheme="majorHAnsi" w:hAnsiTheme="majorHAnsi"/>
          <w:spacing w:val="-5"/>
          <w:sz w:val="20"/>
          <w:szCs w:val="20"/>
        </w:rPr>
        <w:t>яка</w:t>
      </w:r>
      <w:r w:rsidRPr="000977F7">
        <w:rPr>
          <w:rFonts w:asciiTheme="majorHAnsi" w:hAnsiTheme="majorHAnsi"/>
          <w:spacing w:val="-8"/>
          <w:sz w:val="20"/>
          <w:szCs w:val="20"/>
        </w:rPr>
        <w:t xml:space="preserve"> </w:t>
      </w:r>
      <w:r w:rsidRPr="000977F7">
        <w:rPr>
          <w:rFonts w:asciiTheme="majorHAnsi" w:hAnsiTheme="majorHAnsi"/>
          <w:spacing w:val="-5"/>
          <w:sz w:val="20"/>
          <w:szCs w:val="20"/>
        </w:rPr>
        <w:t>не</w:t>
      </w:r>
      <w:r w:rsidRPr="000977F7">
        <w:rPr>
          <w:rFonts w:asciiTheme="majorHAnsi" w:hAnsiTheme="majorHAnsi"/>
          <w:spacing w:val="-12"/>
          <w:sz w:val="20"/>
          <w:szCs w:val="20"/>
        </w:rPr>
        <w:t xml:space="preserve"> </w:t>
      </w:r>
      <w:r w:rsidRPr="000977F7">
        <w:rPr>
          <w:rFonts w:asciiTheme="majorHAnsi" w:hAnsiTheme="majorHAnsi"/>
          <w:spacing w:val="-5"/>
          <w:sz w:val="20"/>
          <w:szCs w:val="20"/>
        </w:rPr>
        <w:t>може</w:t>
      </w:r>
      <w:r w:rsidRPr="000977F7">
        <w:rPr>
          <w:rFonts w:asciiTheme="majorHAnsi" w:hAnsiTheme="majorHAnsi"/>
          <w:spacing w:val="-8"/>
          <w:sz w:val="20"/>
          <w:szCs w:val="20"/>
        </w:rPr>
        <w:t xml:space="preserve"> </w:t>
      </w:r>
      <w:r w:rsidRPr="000977F7">
        <w:rPr>
          <w:rFonts w:asciiTheme="majorHAnsi" w:hAnsiTheme="majorHAnsi"/>
          <w:spacing w:val="-5"/>
          <w:sz w:val="20"/>
          <w:szCs w:val="20"/>
        </w:rPr>
        <w:t>бути</w:t>
      </w:r>
      <w:r w:rsidRPr="000977F7">
        <w:rPr>
          <w:rFonts w:asciiTheme="majorHAnsi" w:hAnsiTheme="majorHAnsi"/>
          <w:spacing w:val="-47"/>
          <w:sz w:val="20"/>
          <w:szCs w:val="20"/>
        </w:rPr>
        <w:t xml:space="preserve"> </w:t>
      </w:r>
      <w:r w:rsidRPr="000977F7">
        <w:rPr>
          <w:rFonts w:asciiTheme="majorHAnsi" w:hAnsiTheme="majorHAnsi"/>
          <w:spacing w:val="-4"/>
          <w:sz w:val="20"/>
          <w:szCs w:val="20"/>
        </w:rPr>
        <w:t xml:space="preserve">виявлена через особливості об’єкта чи маскується </w:t>
      </w:r>
      <w:r w:rsidRPr="000977F7">
        <w:rPr>
          <w:rFonts w:asciiTheme="majorHAnsi" w:hAnsiTheme="majorHAnsi"/>
          <w:spacing w:val="-3"/>
          <w:sz w:val="20"/>
          <w:szCs w:val="20"/>
        </w:rPr>
        <w:t>іншою</w:t>
      </w:r>
      <w:r w:rsidRPr="000977F7">
        <w:rPr>
          <w:rFonts w:asciiTheme="majorHAnsi" w:hAnsiTheme="majorHAnsi"/>
          <w:spacing w:val="-47"/>
          <w:sz w:val="20"/>
          <w:szCs w:val="20"/>
        </w:rPr>
        <w:t xml:space="preserve"> </w:t>
      </w:r>
      <w:r w:rsidRPr="000977F7">
        <w:rPr>
          <w:rFonts w:asciiTheme="majorHAnsi" w:hAnsiTheme="majorHAnsi"/>
          <w:spacing w:val="-1"/>
          <w:w w:val="95"/>
          <w:sz w:val="20"/>
          <w:szCs w:val="20"/>
        </w:rPr>
        <w:t xml:space="preserve">несправністю цієї чи іншої складової частини </w:t>
      </w:r>
      <w:r w:rsidRPr="000977F7">
        <w:rPr>
          <w:rFonts w:asciiTheme="majorHAnsi" w:hAnsiTheme="majorHAnsi"/>
          <w:w w:val="95"/>
          <w:sz w:val="20"/>
          <w:szCs w:val="20"/>
        </w:rPr>
        <w:t>об’єкта</w:t>
      </w:r>
      <w:r w:rsidRPr="000977F7">
        <w:rPr>
          <w:rFonts w:asciiTheme="majorHAnsi" w:hAnsiTheme="majorHAnsi"/>
          <w:spacing w:val="1"/>
          <w:w w:val="95"/>
          <w:sz w:val="20"/>
          <w:szCs w:val="20"/>
        </w:rPr>
        <w:t xml:space="preserve"> </w:t>
      </w:r>
    </w:p>
    <w:p w14:paraId="3351E6E6"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813E2F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МАСОВЕ</w:t>
      </w:r>
      <w:r w:rsidRPr="000977F7">
        <w:rPr>
          <w:color w:val="auto"/>
          <w:spacing w:val="-5"/>
          <w:sz w:val="20"/>
          <w:szCs w:val="20"/>
        </w:rPr>
        <w:t xml:space="preserve"> </w:t>
      </w:r>
      <w:r w:rsidRPr="000977F7">
        <w:rPr>
          <w:color w:val="auto"/>
          <w:sz w:val="20"/>
          <w:szCs w:val="20"/>
        </w:rPr>
        <w:t>ВИРОБНИЦТВО –</w:t>
      </w:r>
    </w:p>
    <w:p w14:paraId="5DF7F12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Тип</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характеризується</w:t>
      </w:r>
      <w:r w:rsidRPr="000977F7">
        <w:rPr>
          <w:rFonts w:asciiTheme="majorHAnsi" w:hAnsiTheme="majorHAnsi"/>
          <w:spacing w:val="1"/>
          <w:sz w:val="20"/>
          <w:szCs w:val="20"/>
        </w:rPr>
        <w:t xml:space="preserve"> </w:t>
      </w:r>
      <w:r w:rsidRPr="000977F7">
        <w:rPr>
          <w:rFonts w:asciiTheme="majorHAnsi" w:hAnsiTheme="majorHAnsi"/>
          <w:sz w:val="20"/>
          <w:szCs w:val="20"/>
        </w:rPr>
        <w:t>випуском</w:t>
      </w:r>
      <w:r w:rsidRPr="000977F7">
        <w:rPr>
          <w:rFonts w:asciiTheme="majorHAnsi" w:hAnsiTheme="majorHAnsi"/>
          <w:spacing w:val="-47"/>
          <w:sz w:val="20"/>
          <w:szCs w:val="20"/>
        </w:rPr>
        <w:t xml:space="preserve"> </w:t>
      </w:r>
      <w:r w:rsidRPr="000977F7">
        <w:rPr>
          <w:rFonts w:asciiTheme="majorHAnsi" w:hAnsiTheme="majorHAnsi"/>
          <w:sz w:val="20"/>
          <w:szCs w:val="20"/>
        </w:rPr>
        <w:t>продукції постійної номенклатури у великих кількостях протягом</w:t>
      </w:r>
      <w:r w:rsidRPr="000977F7">
        <w:rPr>
          <w:rFonts w:asciiTheme="majorHAnsi" w:hAnsiTheme="majorHAnsi"/>
          <w:spacing w:val="1"/>
          <w:sz w:val="20"/>
          <w:szCs w:val="20"/>
        </w:rPr>
        <w:t xml:space="preserve"> </w:t>
      </w:r>
      <w:r w:rsidRPr="000977F7">
        <w:rPr>
          <w:rFonts w:asciiTheme="majorHAnsi" w:hAnsiTheme="majorHAnsi"/>
          <w:sz w:val="20"/>
          <w:szCs w:val="20"/>
        </w:rPr>
        <w:t>тривалого</w:t>
      </w:r>
      <w:r w:rsidRPr="000977F7">
        <w:rPr>
          <w:rFonts w:asciiTheme="majorHAnsi" w:hAnsiTheme="majorHAnsi"/>
          <w:spacing w:val="1"/>
          <w:sz w:val="20"/>
          <w:szCs w:val="20"/>
        </w:rPr>
        <w:t xml:space="preserve"> </w:t>
      </w:r>
      <w:r w:rsidRPr="000977F7">
        <w:rPr>
          <w:rFonts w:asciiTheme="majorHAnsi" w:hAnsiTheme="majorHAnsi"/>
          <w:sz w:val="20"/>
          <w:szCs w:val="20"/>
        </w:rPr>
        <w:t>періоду</w:t>
      </w:r>
    </w:p>
    <w:p w14:paraId="0BEB5EE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FA58A4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МАСОВИЙ</w:t>
      </w:r>
      <w:r w:rsidRPr="000977F7">
        <w:rPr>
          <w:color w:val="auto"/>
          <w:spacing w:val="-6"/>
          <w:sz w:val="20"/>
          <w:szCs w:val="20"/>
        </w:rPr>
        <w:t xml:space="preserve"> </w:t>
      </w:r>
      <w:r w:rsidRPr="000977F7">
        <w:rPr>
          <w:color w:val="auto"/>
          <w:sz w:val="20"/>
          <w:szCs w:val="20"/>
        </w:rPr>
        <w:t>МАРКЕТИНГ</w:t>
      </w:r>
      <w:r w:rsidRPr="000977F7">
        <w:rPr>
          <w:color w:val="auto"/>
          <w:spacing w:val="-1"/>
          <w:sz w:val="20"/>
          <w:szCs w:val="20"/>
        </w:rPr>
        <w:t xml:space="preserve"> </w:t>
      </w:r>
      <w:r w:rsidRPr="000977F7">
        <w:rPr>
          <w:color w:val="auto"/>
          <w:sz w:val="20"/>
          <w:szCs w:val="20"/>
        </w:rPr>
        <w:t>–</w:t>
      </w:r>
    </w:p>
    <w:p w14:paraId="6CB7B4D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Масове виробництво, масове розповсюдження та масове стимулювання збуту однієї й тієї самої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всіх</w:t>
      </w:r>
      <w:r w:rsidRPr="000977F7">
        <w:rPr>
          <w:rFonts w:asciiTheme="majorHAnsi" w:hAnsiTheme="majorHAnsi"/>
          <w:spacing w:val="-2"/>
          <w:sz w:val="20"/>
          <w:szCs w:val="20"/>
        </w:rPr>
        <w:t xml:space="preserve"> </w:t>
      </w:r>
      <w:r w:rsidRPr="000977F7">
        <w:rPr>
          <w:rFonts w:asciiTheme="majorHAnsi" w:hAnsiTheme="majorHAnsi"/>
          <w:sz w:val="20"/>
          <w:szCs w:val="20"/>
        </w:rPr>
        <w:t>споживачів</w:t>
      </w:r>
    </w:p>
    <w:p w14:paraId="5EA27D0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AA2F0A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МАСОВІ НЕІНФЕКЦІЙНІ ЗАХВОРЮВАННЯ </w:t>
      </w:r>
    </w:p>
    <w:p w14:paraId="77F7D7BD"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Масові захворювання, виникнення яких зумовлено впливом біологічних, фізичних, хімічних чи соціальних факторів середовища життєдіяльності, у тому числі об'єктів господарської та інших видів діяльності, продукції, робіт, послуг</w:t>
      </w:r>
    </w:p>
    <w:p w14:paraId="7A1C6505"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забезпечення санітарного та епідемічного благополуччя населення"</w:t>
      </w:r>
    </w:p>
    <w:p w14:paraId="2E5C584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МАСШТАБНЕ ВИМІРЮВАЛЬНЕ </w:t>
      </w:r>
    </w:p>
    <w:p w14:paraId="27B4093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ПЕРЕТВО</w:t>
      </w:r>
      <w:r w:rsidRPr="000977F7">
        <w:rPr>
          <w:color w:val="auto"/>
          <w:spacing w:val="-47"/>
          <w:sz w:val="20"/>
          <w:szCs w:val="20"/>
        </w:rPr>
        <w:t xml:space="preserve"> </w:t>
      </w:r>
      <w:r w:rsidRPr="000977F7">
        <w:rPr>
          <w:color w:val="auto"/>
          <w:sz w:val="20"/>
          <w:szCs w:val="20"/>
        </w:rPr>
        <w:t>РЕННЯ</w:t>
      </w:r>
      <w:r w:rsidRPr="000977F7">
        <w:rPr>
          <w:color w:val="auto"/>
          <w:spacing w:val="-1"/>
          <w:sz w:val="20"/>
          <w:szCs w:val="20"/>
        </w:rPr>
        <w:t xml:space="preserve"> </w:t>
      </w:r>
      <w:r w:rsidRPr="000977F7">
        <w:rPr>
          <w:color w:val="auto"/>
          <w:sz w:val="20"/>
          <w:szCs w:val="20"/>
        </w:rPr>
        <w:t>ФІЗИЧНОЇ</w:t>
      </w:r>
      <w:r w:rsidRPr="000977F7">
        <w:rPr>
          <w:color w:val="auto"/>
          <w:spacing w:val="-1"/>
          <w:sz w:val="20"/>
          <w:szCs w:val="20"/>
        </w:rPr>
        <w:t xml:space="preserve"> </w:t>
      </w:r>
      <w:r w:rsidRPr="000977F7">
        <w:rPr>
          <w:color w:val="auto"/>
          <w:sz w:val="20"/>
          <w:szCs w:val="20"/>
        </w:rPr>
        <w:t>ВЕЛИЧИНИ –</w:t>
      </w:r>
    </w:p>
    <w:p w14:paraId="40D35AC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Лінійне</w:t>
      </w:r>
      <w:r w:rsidRPr="000977F7">
        <w:rPr>
          <w:rFonts w:asciiTheme="majorHAnsi" w:hAnsiTheme="majorHAnsi"/>
          <w:spacing w:val="1"/>
          <w:sz w:val="20"/>
          <w:szCs w:val="20"/>
        </w:rPr>
        <w:t xml:space="preserve"> </w:t>
      </w:r>
      <w:r w:rsidRPr="000977F7">
        <w:rPr>
          <w:rFonts w:asciiTheme="majorHAnsi" w:hAnsiTheme="majorHAnsi"/>
          <w:sz w:val="20"/>
          <w:szCs w:val="20"/>
        </w:rPr>
        <w:t>вимірювальне</w:t>
      </w:r>
      <w:r w:rsidRPr="000977F7">
        <w:rPr>
          <w:rFonts w:asciiTheme="majorHAnsi" w:hAnsiTheme="majorHAnsi"/>
          <w:spacing w:val="3"/>
          <w:sz w:val="20"/>
          <w:szCs w:val="20"/>
        </w:rPr>
        <w:t xml:space="preserve"> </w:t>
      </w:r>
      <w:r w:rsidRPr="000977F7">
        <w:rPr>
          <w:rFonts w:asciiTheme="majorHAnsi" w:hAnsiTheme="majorHAnsi"/>
          <w:sz w:val="20"/>
          <w:szCs w:val="20"/>
        </w:rPr>
        <w:t>перетворення</w:t>
      </w:r>
      <w:r w:rsidRPr="000977F7">
        <w:rPr>
          <w:rFonts w:asciiTheme="majorHAnsi" w:hAnsiTheme="majorHAnsi"/>
          <w:spacing w:val="3"/>
          <w:sz w:val="20"/>
          <w:szCs w:val="20"/>
        </w:rPr>
        <w:t xml:space="preserve"> </w:t>
      </w:r>
      <w:r w:rsidRPr="000977F7">
        <w:rPr>
          <w:rFonts w:asciiTheme="majorHAnsi" w:hAnsiTheme="majorHAnsi"/>
          <w:sz w:val="20"/>
          <w:szCs w:val="20"/>
        </w:rPr>
        <w:t>вхідної</w:t>
      </w:r>
      <w:r w:rsidRPr="000977F7">
        <w:rPr>
          <w:rFonts w:asciiTheme="majorHAnsi" w:hAnsiTheme="majorHAnsi"/>
          <w:spacing w:val="1"/>
          <w:sz w:val="20"/>
          <w:szCs w:val="20"/>
        </w:rPr>
        <w:t xml:space="preserve"> </w:t>
      </w:r>
      <w:r w:rsidRPr="000977F7">
        <w:rPr>
          <w:rFonts w:asciiTheme="majorHAnsi" w:hAnsiTheme="majorHAnsi"/>
          <w:sz w:val="20"/>
          <w:szCs w:val="20"/>
        </w:rPr>
        <w:t>величини</w:t>
      </w:r>
      <w:r w:rsidRPr="000977F7">
        <w:rPr>
          <w:rFonts w:asciiTheme="majorHAnsi" w:hAnsiTheme="majorHAnsi"/>
          <w:spacing w:val="-47"/>
          <w:sz w:val="20"/>
          <w:szCs w:val="20"/>
        </w:rPr>
        <w:t xml:space="preserve"> </w:t>
      </w:r>
      <w:r w:rsidRPr="000977F7">
        <w:rPr>
          <w:rFonts w:asciiTheme="majorHAnsi" w:hAnsiTheme="majorHAnsi"/>
          <w:sz w:val="20"/>
          <w:szCs w:val="20"/>
        </w:rPr>
        <w:t>без</w:t>
      </w:r>
      <w:r w:rsidRPr="000977F7">
        <w:rPr>
          <w:rFonts w:asciiTheme="majorHAnsi" w:hAnsiTheme="majorHAnsi"/>
          <w:spacing w:val="-1"/>
          <w:sz w:val="20"/>
          <w:szCs w:val="20"/>
        </w:rPr>
        <w:t xml:space="preserve"> </w:t>
      </w:r>
      <w:r w:rsidRPr="000977F7">
        <w:rPr>
          <w:rFonts w:asciiTheme="majorHAnsi" w:hAnsiTheme="majorHAnsi"/>
          <w:sz w:val="20"/>
          <w:szCs w:val="20"/>
        </w:rPr>
        <w:t>зміни</w:t>
      </w:r>
      <w:r w:rsidRPr="000977F7">
        <w:rPr>
          <w:rFonts w:asciiTheme="majorHAnsi" w:hAnsiTheme="majorHAnsi"/>
          <w:spacing w:val="-1"/>
          <w:sz w:val="20"/>
          <w:szCs w:val="20"/>
        </w:rPr>
        <w:t xml:space="preserve"> </w:t>
      </w:r>
      <w:r w:rsidRPr="000977F7">
        <w:rPr>
          <w:rFonts w:asciiTheme="majorHAnsi" w:hAnsiTheme="majorHAnsi"/>
          <w:sz w:val="20"/>
          <w:szCs w:val="20"/>
        </w:rPr>
        <w:t>роду</w:t>
      </w:r>
    </w:p>
    <w:p w14:paraId="074D5FA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2681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E5C4737"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МАСШТАБНИЙ</w:t>
      </w:r>
      <w:r w:rsidRPr="000977F7">
        <w:rPr>
          <w:color w:val="auto"/>
          <w:spacing w:val="-8"/>
          <w:sz w:val="20"/>
          <w:szCs w:val="20"/>
        </w:rPr>
        <w:t xml:space="preserve"> </w:t>
      </w:r>
      <w:r w:rsidRPr="000977F7">
        <w:rPr>
          <w:color w:val="auto"/>
          <w:sz w:val="20"/>
          <w:szCs w:val="20"/>
        </w:rPr>
        <w:t>ВИМІРЮВАЛЬНИЙ</w:t>
      </w:r>
      <w:r w:rsidRPr="000977F7">
        <w:rPr>
          <w:color w:val="auto"/>
          <w:spacing w:val="-8"/>
          <w:sz w:val="20"/>
          <w:szCs w:val="20"/>
        </w:rPr>
        <w:t xml:space="preserve"> </w:t>
      </w:r>
      <w:r w:rsidRPr="000977F7">
        <w:rPr>
          <w:color w:val="auto"/>
          <w:sz w:val="20"/>
          <w:szCs w:val="20"/>
        </w:rPr>
        <w:t xml:space="preserve">ПЕРЕТВОРЮВАЧ </w:t>
      </w:r>
      <w:r w:rsidRPr="000977F7">
        <w:rPr>
          <w:b w:val="0"/>
          <w:color w:val="auto"/>
          <w:sz w:val="20"/>
          <w:szCs w:val="20"/>
        </w:rPr>
        <w:t>–</w:t>
      </w:r>
    </w:p>
    <w:p w14:paraId="7524DAE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Вимірювальний перетворювач, який реалізує масштабне</w:t>
      </w:r>
      <w:r w:rsidRPr="000977F7">
        <w:rPr>
          <w:rFonts w:asciiTheme="majorHAnsi" w:hAnsiTheme="majorHAnsi"/>
          <w:spacing w:val="-1"/>
          <w:sz w:val="20"/>
          <w:szCs w:val="20"/>
        </w:rPr>
        <w:t xml:space="preserve"> </w:t>
      </w:r>
      <w:r w:rsidRPr="000977F7">
        <w:rPr>
          <w:rFonts w:asciiTheme="majorHAnsi" w:hAnsiTheme="majorHAnsi"/>
          <w:sz w:val="20"/>
          <w:szCs w:val="20"/>
        </w:rPr>
        <w:t>вимірювальне</w:t>
      </w:r>
      <w:r w:rsidRPr="000977F7">
        <w:rPr>
          <w:rFonts w:asciiTheme="majorHAnsi" w:hAnsiTheme="majorHAnsi"/>
          <w:spacing w:val="3"/>
          <w:sz w:val="20"/>
          <w:szCs w:val="20"/>
        </w:rPr>
        <w:t xml:space="preserve"> </w:t>
      </w:r>
      <w:r w:rsidRPr="000977F7">
        <w:rPr>
          <w:rFonts w:asciiTheme="majorHAnsi" w:hAnsiTheme="majorHAnsi"/>
          <w:sz w:val="20"/>
          <w:szCs w:val="20"/>
        </w:rPr>
        <w:t>перетворення</w:t>
      </w:r>
    </w:p>
    <w:p w14:paraId="21EDB1A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49"/>
          <w:sz w:val="20"/>
          <w:szCs w:val="20"/>
        </w:rPr>
        <w:t xml:space="preserve"> </w:t>
      </w:r>
      <w:r w:rsidRPr="000977F7">
        <w:rPr>
          <w:rFonts w:asciiTheme="majorHAnsi" w:hAnsiTheme="majorHAnsi"/>
          <w:i/>
          <w:sz w:val="20"/>
          <w:szCs w:val="20"/>
        </w:rPr>
        <w:t>94</w:t>
      </w:r>
      <w:bookmarkStart w:id="121" w:name="_Hlk101074968"/>
    </w:p>
    <w:p w14:paraId="36C5D559"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МАТЕМАТИЧНА МОДЕЛЬ –</w:t>
      </w:r>
    </w:p>
    <w:p w14:paraId="5E96843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МАТНEMATICAL</w:t>
      </w:r>
      <w:r w:rsidRPr="000977F7">
        <w:rPr>
          <w:rFonts w:asciiTheme="majorHAnsi" w:hAnsiTheme="majorHAnsi"/>
          <w:spacing w:val="-4"/>
          <w:sz w:val="20"/>
          <w:szCs w:val="20"/>
        </w:rPr>
        <w:t xml:space="preserve"> </w:t>
      </w:r>
      <w:r w:rsidRPr="000977F7">
        <w:rPr>
          <w:rFonts w:asciiTheme="majorHAnsi" w:hAnsiTheme="majorHAnsi"/>
          <w:sz w:val="20"/>
          <w:szCs w:val="20"/>
        </w:rPr>
        <w:t>MODEL -</w:t>
      </w:r>
    </w:p>
    <w:bookmarkEnd w:id="121"/>
    <w:p w14:paraId="4F5ACD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Спосіб формального опису об’єкта або процесу, який</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використовує</w:t>
      </w:r>
      <w:r w:rsidRPr="000977F7">
        <w:rPr>
          <w:rFonts w:asciiTheme="majorHAnsi" w:hAnsiTheme="majorHAnsi"/>
          <w:spacing w:val="-1"/>
          <w:sz w:val="20"/>
          <w:szCs w:val="20"/>
        </w:rPr>
        <w:t xml:space="preserve"> </w:t>
      </w:r>
      <w:r w:rsidRPr="000977F7">
        <w:rPr>
          <w:rFonts w:asciiTheme="majorHAnsi" w:hAnsiTheme="majorHAnsi"/>
          <w:sz w:val="20"/>
          <w:szCs w:val="20"/>
        </w:rPr>
        <w:t>математичну</w:t>
      </w:r>
      <w:r w:rsidRPr="000977F7">
        <w:rPr>
          <w:rFonts w:asciiTheme="majorHAnsi" w:hAnsiTheme="majorHAnsi"/>
          <w:spacing w:val="1"/>
          <w:sz w:val="20"/>
          <w:szCs w:val="20"/>
        </w:rPr>
        <w:t xml:space="preserve"> </w:t>
      </w:r>
      <w:r w:rsidRPr="000977F7">
        <w:rPr>
          <w:rFonts w:asciiTheme="majorHAnsi" w:hAnsiTheme="majorHAnsi"/>
          <w:sz w:val="20"/>
          <w:szCs w:val="20"/>
        </w:rPr>
        <w:t>мову</w:t>
      </w:r>
    </w:p>
    <w:p w14:paraId="6978755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D3A3E61"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У такій моделі параметри об’єкта або процесу однозначно</w:t>
      </w:r>
      <w:r w:rsidRPr="000977F7">
        <w:rPr>
          <w:rFonts w:asciiTheme="majorHAnsi" w:hAnsiTheme="majorHAnsi"/>
          <w:spacing w:val="1"/>
          <w:sz w:val="20"/>
          <w:szCs w:val="20"/>
        </w:rPr>
        <w:t xml:space="preserve"> </w:t>
      </w:r>
      <w:r w:rsidRPr="000977F7">
        <w:rPr>
          <w:rFonts w:asciiTheme="majorHAnsi" w:hAnsiTheme="majorHAnsi"/>
          <w:sz w:val="20"/>
          <w:szCs w:val="20"/>
        </w:rPr>
        <w:t>відображаються</w:t>
      </w:r>
      <w:r w:rsidRPr="000977F7">
        <w:rPr>
          <w:rFonts w:asciiTheme="majorHAnsi" w:hAnsiTheme="majorHAnsi"/>
          <w:spacing w:val="1"/>
          <w:sz w:val="20"/>
          <w:szCs w:val="20"/>
        </w:rPr>
        <w:t xml:space="preserve"> </w:t>
      </w:r>
      <w:r w:rsidRPr="000977F7">
        <w:rPr>
          <w:rFonts w:asciiTheme="majorHAnsi" w:hAnsiTheme="majorHAnsi"/>
          <w:sz w:val="20"/>
          <w:szCs w:val="20"/>
        </w:rPr>
        <w:t>залежними</w:t>
      </w:r>
      <w:r w:rsidRPr="000977F7">
        <w:rPr>
          <w:rFonts w:asciiTheme="majorHAnsi" w:hAnsiTheme="majorHAnsi"/>
          <w:spacing w:val="1"/>
          <w:sz w:val="20"/>
          <w:szCs w:val="20"/>
        </w:rPr>
        <w:t xml:space="preserve"> </w:t>
      </w:r>
      <w:r w:rsidRPr="000977F7">
        <w:rPr>
          <w:rFonts w:asciiTheme="majorHAnsi" w:hAnsiTheme="majorHAnsi"/>
          <w:sz w:val="20"/>
          <w:szCs w:val="20"/>
        </w:rPr>
        <w:t>змінними,</w:t>
      </w:r>
      <w:r w:rsidRPr="000977F7">
        <w:rPr>
          <w:rFonts w:asciiTheme="majorHAnsi" w:hAnsiTheme="majorHAnsi"/>
          <w:spacing w:val="1"/>
          <w:sz w:val="20"/>
          <w:szCs w:val="20"/>
        </w:rPr>
        <w:t xml:space="preserve"> </w:t>
      </w:r>
      <w:r w:rsidRPr="000977F7">
        <w:rPr>
          <w:rFonts w:asciiTheme="majorHAnsi" w:hAnsiTheme="majorHAnsi"/>
          <w:sz w:val="20"/>
          <w:szCs w:val="20"/>
        </w:rPr>
        <w:t>діяння</w:t>
      </w:r>
      <w:r w:rsidRPr="000977F7">
        <w:rPr>
          <w:rFonts w:asciiTheme="majorHAnsi" w:hAnsiTheme="majorHAnsi"/>
          <w:spacing w:val="-47"/>
          <w:sz w:val="20"/>
          <w:szCs w:val="20"/>
        </w:rPr>
        <w:t xml:space="preserve"> </w:t>
      </w:r>
      <w:r w:rsidRPr="000977F7">
        <w:rPr>
          <w:rFonts w:asciiTheme="majorHAnsi" w:hAnsiTheme="majorHAnsi"/>
          <w:spacing w:val="-2"/>
          <w:sz w:val="20"/>
          <w:szCs w:val="20"/>
        </w:rPr>
        <w:t xml:space="preserve">незалежними, процеси-математичними функціями </w:t>
      </w:r>
      <w:r w:rsidRPr="000977F7">
        <w:rPr>
          <w:rFonts w:asciiTheme="majorHAnsi" w:hAnsiTheme="majorHAnsi"/>
          <w:spacing w:val="-1"/>
          <w:sz w:val="20"/>
          <w:szCs w:val="20"/>
        </w:rPr>
        <w:t>часу</w:t>
      </w:r>
      <w:r w:rsidRPr="000977F7">
        <w:rPr>
          <w:rFonts w:asciiTheme="majorHAnsi" w:hAnsiTheme="majorHAnsi"/>
          <w:spacing w:val="-47"/>
          <w:sz w:val="20"/>
          <w:szCs w:val="20"/>
        </w:rPr>
        <w:t xml:space="preserve"> </w:t>
      </w:r>
    </w:p>
    <w:p w14:paraId="4E77FCC8"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3956 - 2000</w:t>
      </w:r>
    </w:p>
    <w:p w14:paraId="6C2973E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МАТЕМАТИЧНЕ</w:t>
      </w:r>
      <w:r w:rsidRPr="000977F7">
        <w:rPr>
          <w:color w:val="auto"/>
          <w:spacing w:val="-5"/>
          <w:sz w:val="20"/>
          <w:szCs w:val="20"/>
        </w:rPr>
        <w:t xml:space="preserve"> </w:t>
      </w:r>
      <w:r w:rsidRPr="000977F7">
        <w:rPr>
          <w:color w:val="auto"/>
          <w:sz w:val="20"/>
          <w:szCs w:val="20"/>
        </w:rPr>
        <w:t>СПОДІВАННЯ</w:t>
      </w:r>
      <w:r w:rsidRPr="000977F7">
        <w:rPr>
          <w:color w:val="auto"/>
          <w:spacing w:val="-2"/>
          <w:sz w:val="20"/>
          <w:szCs w:val="20"/>
        </w:rPr>
        <w:t xml:space="preserve"> </w:t>
      </w:r>
      <w:r w:rsidRPr="000977F7">
        <w:rPr>
          <w:color w:val="auto"/>
          <w:sz w:val="20"/>
          <w:szCs w:val="20"/>
        </w:rPr>
        <w:t>–</w:t>
      </w:r>
    </w:p>
    <w:p w14:paraId="0D511AD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Середнє</w:t>
      </w:r>
      <w:r w:rsidRPr="000977F7">
        <w:rPr>
          <w:rFonts w:asciiTheme="majorHAnsi" w:hAnsiTheme="majorHAnsi"/>
          <w:spacing w:val="14"/>
          <w:sz w:val="20"/>
          <w:szCs w:val="20"/>
        </w:rPr>
        <w:t xml:space="preserve"> </w:t>
      </w:r>
      <w:r w:rsidRPr="000977F7">
        <w:rPr>
          <w:rFonts w:asciiTheme="majorHAnsi" w:hAnsiTheme="majorHAnsi"/>
          <w:sz w:val="20"/>
          <w:szCs w:val="20"/>
        </w:rPr>
        <w:t>зважене</w:t>
      </w:r>
      <w:r w:rsidRPr="000977F7">
        <w:rPr>
          <w:rFonts w:asciiTheme="majorHAnsi" w:hAnsiTheme="majorHAnsi"/>
          <w:spacing w:val="14"/>
          <w:sz w:val="20"/>
          <w:szCs w:val="20"/>
        </w:rPr>
        <w:t xml:space="preserve"> </w:t>
      </w:r>
      <w:r w:rsidRPr="000977F7">
        <w:rPr>
          <w:rFonts w:asciiTheme="majorHAnsi" w:hAnsiTheme="majorHAnsi"/>
          <w:sz w:val="20"/>
          <w:szCs w:val="20"/>
        </w:rPr>
        <w:t>за</w:t>
      </w:r>
      <w:r w:rsidRPr="000977F7">
        <w:rPr>
          <w:rFonts w:asciiTheme="majorHAnsi" w:hAnsiTheme="majorHAnsi"/>
          <w:spacing w:val="14"/>
          <w:sz w:val="20"/>
          <w:szCs w:val="20"/>
        </w:rPr>
        <w:t xml:space="preserve"> </w:t>
      </w:r>
      <w:r w:rsidRPr="000977F7">
        <w:rPr>
          <w:rFonts w:asciiTheme="majorHAnsi" w:hAnsiTheme="majorHAnsi"/>
          <w:sz w:val="20"/>
          <w:szCs w:val="20"/>
        </w:rPr>
        <w:t>ймовірністю</w:t>
      </w:r>
      <w:r w:rsidRPr="000977F7">
        <w:rPr>
          <w:rFonts w:asciiTheme="majorHAnsi" w:hAnsiTheme="majorHAnsi"/>
          <w:spacing w:val="13"/>
          <w:sz w:val="20"/>
          <w:szCs w:val="20"/>
        </w:rPr>
        <w:t xml:space="preserve"> </w:t>
      </w:r>
      <w:r w:rsidRPr="000977F7">
        <w:rPr>
          <w:rFonts w:asciiTheme="majorHAnsi" w:hAnsiTheme="majorHAnsi"/>
          <w:sz w:val="20"/>
          <w:szCs w:val="20"/>
        </w:rPr>
        <w:t>значення</w:t>
      </w:r>
      <w:r w:rsidRPr="000977F7">
        <w:rPr>
          <w:rFonts w:asciiTheme="majorHAnsi" w:hAnsiTheme="majorHAnsi"/>
          <w:spacing w:val="13"/>
          <w:sz w:val="20"/>
          <w:szCs w:val="20"/>
        </w:rPr>
        <w:t xml:space="preserve"> </w:t>
      </w:r>
      <w:r w:rsidRPr="000977F7">
        <w:rPr>
          <w:rFonts w:asciiTheme="majorHAnsi" w:hAnsiTheme="majorHAnsi"/>
          <w:sz w:val="20"/>
          <w:szCs w:val="20"/>
        </w:rPr>
        <w:t>випадкової</w:t>
      </w:r>
      <w:r w:rsidRPr="000977F7">
        <w:rPr>
          <w:rFonts w:asciiTheme="majorHAnsi" w:hAnsiTheme="majorHAnsi"/>
          <w:spacing w:val="-47"/>
          <w:sz w:val="20"/>
          <w:szCs w:val="20"/>
        </w:rPr>
        <w:t xml:space="preserve"> </w:t>
      </w:r>
      <w:r w:rsidRPr="000977F7">
        <w:rPr>
          <w:rFonts w:asciiTheme="majorHAnsi" w:hAnsiTheme="majorHAnsi"/>
          <w:sz w:val="20"/>
          <w:szCs w:val="20"/>
        </w:rPr>
        <w:t>величини</w:t>
      </w:r>
    </w:p>
    <w:p w14:paraId="7B7ECE5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4ABDE61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МАТЕМАТИЧНЕ СПОДІВАННЯ </w:t>
      </w:r>
    </w:p>
    <w:p w14:paraId="72302910"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ВИПАДКОВО</w:t>
      </w:r>
      <w:r w:rsidRPr="000977F7">
        <w:rPr>
          <w:color w:val="auto"/>
          <w:spacing w:val="-47"/>
          <w:sz w:val="20"/>
          <w:szCs w:val="20"/>
        </w:rPr>
        <w:t xml:space="preserve"> </w:t>
      </w:r>
      <w:r w:rsidRPr="000977F7">
        <w:rPr>
          <w:color w:val="auto"/>
          <w:sz w:val="20"/>
          <w:szCs w:val="20"/>
        </w:rPr>
        <w:t>ГО</w:t>
      </w:r>
      <w:r w:rsidRPr="000977F7">
        <w:rPr>
          <w:color w:val="auto"/>
          <w:spacing w:val="1"/>
          <w:sz w:val="20"/>
          <w:szCs w:val="20"/>
        </w:rPr>
        <w:t xml:space="preserve"> </w:t>
      </w:r>
      <w:r w:rsidRPr="000977F7">
        <w:rPr>
          <w:color w:val="auto"/>
          <w:sz w:val="20"/>
          <w:szCs w:val="20"/>
        </w:rPr>
        <w:t>НАВАНТАЖУВАННЯ,</w:t>
      </w:r>
      <w:r w:rsidRPr="000977F7">
        <w:rPr>
          <w:color w:val="auto"/>
          <w:spacing w:val="41"/>
          <w:sz w:val="20"/>
          <w:szCs w:val="20"/>
        </w:rPr>
        <w:t xml:space="preserve"> </w:t>
      </w:r>
      <w:r w:rsidRPr="000977F7">
        <w:rPr>
          <w:i/>
          <w:color w:val="auto"/>
          <w:spacing w:val="11"/>
          <w:sz w:val="20"/>
          <w:szCs w:val="20"/>
        </w:rPr>
        <w:t>m</w:t>
      </w:r>
      <w:r w:rsidRPr="000977F7">
        <w:rPr>
          <w:i/>
          <w:color w:val="auto"/>
          <w:spacing w:val="11"/>
          <w:position w:val="-5"/>
          <w:sz w:val="20"/>
          <w:szCs w:val="20"/>
        </w:rPr>
        <w:t>x</w:t>
      </w:r>
      <w:r w:rsidRPr="000977F7">
        <w:rPr>
          <w:i/>
          <w:color w:val="auto"/>
          <w:spacing w:val="3"/>
          <w:position w:val="-5"/>
          <w:sz w:val="20"/>
          <w:szCs w:val="20"/>
        </w:rPr>
        <w:t xml:space="preserve"> </w:t>
      </w:r>
      <w:r w:rsidRPr="000977F7">
        <w:rPr>
          <w:b w:val="0"/>
          <w:color w:val="auto"/>
          <w:sz w:val="20"/>
          <w:szCs w:val="20"/>
        </w:rPr>
        <w:t>(</w:t>
      </w:r>
      <w:r w:rsidRPr="000977F7">
        <w:rPr>
          <w:i/>
          <w:color w:val="auto"/>
          <w:sz w:val="20"/>
          <w:szCs w:val="20"/>
        </w:rPr>
        <w:t>t</w:t>
      </w:r>
      <w:r w:rsidRPr="000977F7">
        <w:rPr>
          <w:b w:val="0"/>
          <w:color w:val="auto"/>
          <w:sz w:val="20"/>
          <w:szCs w:val="20"/>
        </w:rPr>
        <w:t>)</w:t>
      </w:r>
      <w:r w:rsidRPr="000977F7">
        <w:rPr>
          <w:b w:val="0"/>
          <w:color w:val="auto"/>
          <w:spacing w:val="-17"/>
          <w:sz w:val="20"/>
          <w:szCs w:val="20"/>
        </w:rPr>
        <w:t xml:space="preserve"> </w:t>
      </w:r>
      <w:r w:rsidRPr="000977F7">
        <w:rPr>
          <w:b w:val="0"/>
          <w:color w:val="auto"/>
          <w:sz w:val="20"/>
          <w:szCs w:val="20"/>
        </w:rPr>
        <w:t>–</w:t>
      </w:r>
    </w:p>
    <w:p w14:paraId="3CA4339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MATHEMATICAL</w:t>
      </w:r>
      <w:r w:rsidRPr="004D2D14">
        <w:rPr>
          <w:rFonts w:asciiTheme="majorHAnsi" w:hAnsiTheme="majorHAnsi"/>
          <w:spacing w:val="24"/>
          <w:sz w:val="20"/>
          <w:szCs w:val="20"/>
          <w:lang w:val="en-US"/>
        </w:rPr>
        <w:t xml:space="preserve"> </w:t>
      </w:r>
      <w:r w:rsidRPr="004D2D14">
        <w:rPr>
          <w:rFonts w:asciiTheme="majorHAnsi" w:hAnsiTheme="majorHAnsi"/>
          <w:sz w:val="20"/>
          <w:szCs w:val="20"/>
          <w:lang w:val="en-US"/>
        </w:rPr>
        <w:t>EXPECTATION</w:t>
      </w:r>
      <w:r w:rsidRPr="004D2D14">
        <w:rPr>
          <w:rFonts w:asciiTheme="majorHAnsi" w:hAnsiTheme="majorHAnsi"/>
          <w:spacing w:val="25"/>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5"/>
          <w:sz w:val="20"/>
          <w:szCs w:val="20"/>
          <w:lang w:val="en-US"/>
        </w:rPr>
        <w:t xml:space="preserve"> </w:t>
      </w:r>
      <w:r w:rsidRPr="004D2D14">
        <w:rPr>
          <w:rFonts w:asciiTheme="majorHAnsi" w:hAnsiTheme="majorHAnsi"/>
          <w:sz w:val="20"/>
          <w:szCs w:val="20"/>
          <w:lang w:val="en-US"/>
        </w:rPr>
        <w:t>RANDOM</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LOADING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PROCESS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025AF2C2"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Функція</w:t>
      </w:r>
      <w:r w:rsidRPr="000977F7">
        <w:rPr>
          <w:rFonts w:asciiTheme="majorHAnsi" w:hAnsiTheme="majorHAnsi"/>
          <w:spacing w:val="12"/>
          <w:sz w:val="20"/>
          <w:szCs w:val="20"/>
        </w:rPr>
        <w:t xml:space="preserve"> </w:t>
      </w:r>
      <w:r w:rsidRPr="000977F7">
        <w:rPr>
          <w:rFonts w:asciiTheme="majorHAnsi" w:hAnsiTheme="majorHAnsi"/>
          <w:sz w:val="20"/>
          <w:szCs w:val="20"/>
        </w:rPr>
        <w:t>часу,</w:t>
      </w:r>
      <w:r w:rsidRPr="000977F7">
        <w:rPr>
          <w:rFonts w:asciiTheme="majorHAnsi" w:hAnsiTheme="majorHAnsi"/>
          <w:spacing w:val="13"/>
          <w:sz w:val="20"/>
          <w:szCs w:val="20"/>
        </w:rPr>
        <w:t xml:space="preserve"> </w:t>
      </w:r>
      <w:r w:rsidRPr="000977F7">
        <w:rPr>
          <w:rFonts w:asciiTheme="majorHAnsi" w:hAnsiTheme="majorHAnsi"/>
          <w:sz w:val="20"/>
          <w:szCs w:val="20"/>
        </w:rPr>
        <w:t>що</w:t>
      </w:r>
      <w:r w:rsidRPr="000977F7">
        <w:rPr>
          <w:rFonts w:asciiTheme="majorHAnsi" w:hAnsiTheme="majorHAnsi"/>
          <w:spacing w:val="14"/>
          <w:sz w:val="20"/>
          <w:szCs w:val="20"/>
        </w:rPr>
        <w:t xml:space="preserve"> </w:t>
      </w:r>
      <w:r w:rsidRPr="000977F7">
        <w:rPr>
          <w:rFonts w:asciiTheme="majorHAnsi" w:hAnsiTheme="majorHAnsi"/>
          <w:sz w:val="20"/>
          <w:szCs w:val="20"/>
        </w:rPr>
        <w:t>дорівнює</w:t>
      </w:r>
      <w:r w:rsidRPr="000977F7">
        <w:rPr>
          <w:rFonts w:asciiTheme="majorHAnsi" w:hAnsiTheme="majorHAnsi"/>
          <w:spacing w:val="14"/>
          <w:sz w:val="20"/>
          <w:szCs w:val="20"/>
        </w:rPr>
        <w:t xml:space="preserve"> </w:t>
      </w:r>
      <w:r w:rsidRPr="000977F7">
        <w:rPr>
          <w:rFonts w:asciiTheme="majorHAnsi" w:hAnsiTheme="majorHAnsi"/>
          <w:sz w:val="20"/>
          <w:szCs w:val="20"/>
        </w:rPr>
        <w:t>для</w:t>
      </w:r>
      <w:r w:rsidRPr="000977F7">
        <w:rPr>
          <w:rFonts w:asciiTheme="majorHAnsi" w:hAnsiTheme="majorHAnsi"/>
          <w:spacing w:val="12"/>
          <w:sz w:val="20"/>
          <w:szCs w:val="20"/>
        </w:rPr>
        <w:t xml:space="preserve"> </w:t>
      </w:r>
      <w:r w:rsidRPr="000977F7">
        <w:rPr>
          <w:rFonts w:asciiTheme="majorHAnsi" w:hAnsiTheme="majorHAnsi"/>
          <w:sz w:val="20"/>
          <w:szCs w:val="20"/>
        </w:rPr>
        <w:t>кожного</w:t>
      </w:r>
      <w:r w:rsidRPr="000977F7">
        <w:rPr>
          <w:rFonts w:asciiTheme="majorHAnsi" w:hAnsiTheme="majorHAnsi"/>
          <w:spacing w:val="14"/>
          <w:sz w:val="20"/>
          <w:szCs w:val="20"/>
        </w:rPr>
        <w:t xml:space="preserve"> </w:t>
      </w:r>
      <w:r w:rsidRPr="000977F7">
        <w:rPr>
          <w:rFonts w:asciiTheme="majorHAnsi" w:hAnsiTheme="majorHAnsi"/>
          <w:sz w:val="20"/>
          <w:szCs w:val="20"/>
        </w:rPr>
        <w:t>значення</w:t>
      </w:r>
      <w:r w:rsidRPr="000977F7">
        <w:rPr>
          <w:rFonts w:asciiTheme="majorHAnsi" w:hAnsiTheme="majorHAnsi"/>
          <w:spacing w:val="-47"/>
          <w:sz w:val="20"/>
          <w:szCs w:val="20"/>
        </w:rPr>
        <w:t xml:space="preserve"> </w:t>
      </w:r>
      <w:r w:rsidRPr="000977F7">
        <w:rPr>
          <w:rFonts w:asciiTheme="majorHAnsi" w:hAnsiTheme="majorHAnsi"/>
          <w:sz w:val="20"/>
          <w:szCs w:val="20"/>
        </w:rPr>
        <w:t>аргументу математичному сподіванню навантаження</w:t>
      </w:r>
      <w:r w:rsidRPr="000977F7">
        <w:rPr>
          <w:rFonts w:asciiTheme="majorHAnsi" w:hAnsiTheme="majorHAnsi"/>
          <w:spacing w:val="1"/>
          <w:sz w:val="20"/>
          <w:szCs w:val="20"/>
        </w:rPr>
        <w:t xml:space="preserve"> </w:t>
      </w:r>
    </w:p>
    <w:p w14:paraId="761FAEF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2444 - 94</w:t>
      </w:r>
    </w:p>
    <w:p w14:paraId="388896F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МАТЕРІАЛ</w:t>
      </w:r>
      <w:r w:rsidRPr="000977F7">
        <w:rPr>
          <w:color w:val="auto"/>
          <w:spacing w:val="-6"/>
          <w:sz w:val="20"/>
          <w:szCs w:val="20"/>
        </w:rPr>
        <w:t xml:space="preserve"> </w:t>
      </w:r>
      <w:r w:rsidRPr="000977F7">
        <w:rPr>
          <w:color w:val="auto"/>
          <w:sz w:val="20"/>
          <w:szCs w:val="20"/>
        </w:rPr>
        <w:t>–</w:t>
      </w:r>
    </w:p>
    <w:p w14:paraId="6B158DE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Первинний</w:t>
      </w:r>
      <w:r w:rsidRPr="000977F7">
        <w:rPr>
          <w:rFonts w:asciiTheme="majorHAnsi" w:hAnsiTheme="majorHAnsi"/>
          <w:spacing w:val="26"/>
          <w:sz w:val="20"/>
          <w:szCs w:val="20"/>
        </w:rPr>
        <w:t xml:space="preserve"> </w:t>
      </w:r>
      <w:r w:rsidRPr="000977F7">
        <w:rPr>
          <w:rFonts w:asciiTheme="majorHAnsi" w:hAnsiTheme="majorHAnsi"/>
          <w:sz w:val="20"/>
          <w:szCs w:val="20"/>
        </w:rPr>
        <w:t>предмет</w:t>
      </w:r>
      <w:r w:rsidRPr="000977F7">
        <w:rPr>
          <w:rFonts w:asciiTheme="majorHAnsi" w:hAnsiTheme="majorHAnsi"/>
          <w:spacing w:val="27"/>
          <w:sz w:val="20"/>
          <w:szCs w:val="20"/>
        </w:rPr>
        <w:t xml:space="preserve"> </w:t>
      </w:r>
      <w:r w:rsidRPr="000977F7">
        <w:rPr>
          <w:rFonts w:asciiTheme="majorHAnsi" w:hAnsiTheme="majorHAnsi"/>
          <w:sz w:val="20"/>
          <w:szCs w:val="20"/>
        </w:rPr>
        <w:t>праці,</w:t>
      </w:r>
      <w:r w:rsidRPr="000977F7">
        <w:rPr>
          <w:rFonts w:asciiTheme="majorHAnsi" w:hAnsiTheme="majorHAnsi"/>
          <w:spacing w:val="28"/>
          <w:sz w:val="20"/>
          <w:szCs w:val="20"/>
        </w:rPr>
        <w:t xml:space="preserve"> </w:t>
      </w:r>
      <w:r w:rsidRPr="000977F7">
        <w:rPr>
          <w:rFonts w:asciiTheme="majorHAnsi" w:hAnsiTheme="majorHAnsi"/>
          <w:sz w:val="20"/>
          <w:szCs w:val="20"/>
        </w:rPr>
        <w:t>який</w:t>
      </w:r>
      <w:r w:rsidRPr="000977F7">
        <w:rPr>
          <w:rFonts w:asciiTheme="majorHAnsi" w:hAnsiTheme="majorHAnsi"/>
          <w:spacing w:val="25"/>
          <w:sz w:val="20"/>
          <w:szCs w:val="20"/>
        </w:rPr>
        <w:t xml:space="preserve"> </w:t>
      </w:r>
      <w:r w:rsidRPr="000977F7">
        <w:rPr>
          <w:rFonts w:asciiTheme="majorHAnsi" w:hAnsiTheme="majorHAnsi"/>
          <w:sz w:val="20"/>
          <w:szCs w:val="20"/>
        </w:rPr>
        <w:t>використовують</w:t>
      </w:r>
      <w:r w:rsidRPr="000977F7">
        <w:rPr>
          <w:rFonts w:asciiTheme="majorHAnsi" w:hAnsiTheme="majorHAnsi"/>
          <w:spacing w:val="28"/>
          <w:sz w:val="20"/>
          <w:szCs w:val="20"/>
        </w:rPr>
        <w:t xml:space="preserve"> </w:t>
      </w:r>
      <w:r w:rsidRPr="000977F7">
        <w:rPr>
          <w:rFonts w:asciiTheme="majorHAnsi" w:hAnsiTheme="majorHAnsi"/>
          <w:sz w:val="20"/>
          <w:szCs w:val="20"/>
        </w:rPr>
        <w:t>для</w:t>
      </w:r>
      <w:r w:rsidRPr="000977F7">
        <w:rPr>
          <w:rFonts w:asciiTheme="majorHAnsi" w:hAnsiTheme="majorHAnsi"/>
          <w:spacing w:val="-47"/>
          <w:sz w:val="20"/>
          <w:szCs w:val="20"/>
        </w:rPr>
        <w:t xml:space="preserve"> </w:t>
      </w:r>
      <w:r w:rsidRPr="000977F7">
        <w:rPr>
          <w:rFonts w:asciiTheme="majorHAnsi" w:hAnsiTheme="majorHAnsi"/>
          <w:sz w:val="20"/>
          <w:szCs w:val="20"/>
        </w:rPr>
        <w:t>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p>
    <w:p w14:paraId="34F0B10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2391:2010</w:t>
      </w:r>
    </w:p>
    <w:p w14:paraId="10C42D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Вихідний</w:t>
      </w:r>
      <w:r w:rsidRPr="000977F7">
        <w:rPr>
          <w:rFonts w:asciiTheme="majorHAnsi" w:hAnsiTheme="majorHAnsi"/>
          <w:spacing w:val="1"/>
          <w:sz w:val="20"/>
          <w:szCs w:val="20"/>
        </w:rPr>
        <w:t xml:space="preserve"> </w:t>
      </w:r>
      <w:r w:rsidRPr="000977F7">
        <w:rPr>
          <w:rFonts w:asciiTheme="majorHAnsi" w:hAnsiTheme="majorHAnsi"/>
          <w:sz w:val="20"/>
          <w:szCs w:val="20"/>
        </w:rPr>
        <w:t>предмет</w:t>
      </w:r>
      <w:r w:rsidRPr="000977F7">
        <w:rPr>
          <w:rFonts w:asciiTheme="majorHAnsi" w:hAnsiTheme="majorHAnsi"/>
          <w:spacing w:val="1"/>
          <w:sz w:val="20"/>
          <w:szCs w:val="20"/>
        </w:rPr>
        <w:t xml:space="preserve"> </w:t>
      </w:r>
      <w:r w:rsidRPr="000977F7">
        <w:rPr>
          <w:rFonts w:asciiTheme="majorHAnsi" w:hAnsiTheme="majorHAnsi"/>
          <w:sz w:val="20"/>
          <w:szCs w:val="20"/>
        </w:rPr>
        <w:t>праці,</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використовують</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47"/>
          <w:sz w:val="20"/>
          <w:szCs w:val="20"/>
        </w:rPr>
        <w:t xml:space="preserve"> </w:t>
      </w:r>
      <w:r w:rsidRPr="000977F7">
        <w:rPr>
          <w:rFonts w:asciiTheme="majorHAnsi" w:hAnsiTheme="majorHAnsi"/>
          <w:sz w:val="20"/>
          <w:szCs w:val="20"/>
        </w:rPr>
        <w:t>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p>
    <w:p w14:paraId="5119921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D06CF2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МАТЕРІАЛЬНІ</w:t>
      </w:r>
      <w:r w:rsidRPr="000977F7">
        <w:rPr>
          <w:color w:val="auto"/>
          <w:spacing w:val="-5"/>
          <w:sz w:val="20"/>
          <w:szCs w:val="20"/>
        </w:rPr>
        <w:t xml:space="preserve"> </w:t>
      </w:r>
      <w:r w:rsidRPr="000977F7">
        <w:rPr>
          <w:color w:val="auto"/>
          <w:sz w:val="20"/>
          <w:szCs w:val="20"/>
        </w:rPr>
        <w:t>РЕСУРСИ</w:t>
      </w:r>
      <w:r w:rsidRPr="000977F7">
        <w:rPr>
          <w:color w:val="auto"/>
          <w:spacing w:val="-1"/>
          <w:sz w:val="20"/>
          <w:szCs w:val="20"/>
        </w:rPr>
        <w:t xml:space="preserve"> </w:t>
      </w:r>
      <w:r w:rsidRPr="000977F7">
        <w:rPr>
          <w:color w:val="auto"/>
          <w:sz w:val="20"/>
          <w:szCs w:val="20"/>
        </w:rPr>
        <w:t>–</w:t>
      </w:r>
    </w:p>
    <w:p w14:paraId="6944FD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Сукупність</w:t>
      </w:r>
      <w:r w:rsidRPr="000977F7">
        <w:rPr>
          <w:rFonts w:asciiTheme="majorHAnsi" w:hAnsiTheme="majorHAnsi"/>
          <w:spacing w:val="-12"/>
          <w:sz w:val="20"/>
          <w:szCs w:val="20"/>
        </w:rPr>
        <w:t xml:space="preserve"> </w:t>
      </w:r>
      <w:r w:rsidRPr="000977F7">
        <w:rPr>
          <w:rFonts w:asciiTheme="majorHAnsi" w:hAnsiTheme="majorHAnsi"/>
          <w:spacing w:val="-1"/>
          <w:sz w:val="20"/>
          <w:szCs w:val="20"/>
        </w:rPr>
        <w:t>елементів</w:t>
      </w:r>
      <w:r w:rsidRPr="000977F7">
        <w:rPr>
          <w:rFonts w:asciiTheme="majorHAnsi" w:hAnsiTheme="majorHAnsi"/>
          <w:spacing w:val="-10"/>
          <w:sz w:val="20"/>
          <w:szCs w:val="20"/>
        </w:rPr>
        <w:t xml:space="preserve"> </w:t>
      </w:r>
      <w:r w:rsidRPr="000977F7">
        <w:rPr>
          <w:rFonts w:asciiTheme="majorHAnsi" w:hAnsiTheme="majorHAnsi"/>
          <w:spacing w:val="-1"/>
          <w:sz w:val="20"/>
          <w:szCs w:val="20"/>
        </w:rPr>
        <w:t>виробництва,</w:t>
      </w:r>
      <w:r w:rsidRPr="000977F7">
        <w:rPr>
          <w:rFonts w:asciiTheme="majorHAnsi" w:hAnsiTheme="majorHAnsi"/>
          <w:spacing w:val="-11"/>
          <w:sz w:val="20"/>
          <w:szCs w:val="20"/>
        </w:rPr>
        <w:t xml:space="preserve"> </w:t>
      </w:r>
      <w:r w:rsidRPr="000977F7">
        <w:rPr>
          <w:rFonts w:asciiTheme="majorHAnsi" w:hAnsiTheme="majorHAnsi"/>
          <w:sz w:val="20"/>
          <w:szCs w:val="20"/>
        </w:rPr>
        <w:t>переважно</w:t>
      </w:r>
      <w:r w:rsidRPr="000977F7">
        <w:rPr>
          <w:rFonts w:asciiTheme="majorHAnsi" w:hAnsiTheme="majorHAnsi"/>
          <w:spacing w:val="-9"/>
          <w:sz w:val="20"/>
          <w:szCs w:val="20"/>
        </w:rPr>
        <w:t xml:space="preserve"> </w:t>
      </w:r>
      <w:r w:rsidRPr="000977F7">
        <w:rPr>
          <w:rFonts w:asciiTheme="majorHAnsi" w:hAnsiTheme="majorHAnsi"/>
          <w:sz w:val="20"/>
          <w:szCs w:val="20"/>
        </w:rPr>
        <w:t>предме</w:t>
      </w:r>
      <w:r w:rsidRPr="000977F7">
        <w:rPr>
          <w:rFonts w:asciiTheme="majorHAnsi" w:hAnsiTheme="majorHAnsi"/>
          <w:spacing w:val="-1"/>
          <w:sz w:val="20"/>
          <w:szCs w:val="20"/>
        </w:rPr>
        <w:t>тів</w:t>
      </w:r>
      <w:r w:rsidRPr="000977F7">
        <w:rPr>
          <w:rFonts w:asciiTheme="majorHAnsi" w:hAnsiTheme="majorHAnsi"/>
          <w:spacing w:val="-9"/>
          <w:sz w:val="20"/>
          <w:szCs w:val="20"/>
        </w:rPr>
        <w:t xml:space="preserve"> </w:t>
      </w:r>
      <w:r w:rsidRPr="000977F7">
        <w:rPr>
          <w:rFonts w:asciiTheme="majorHAnsi" w:hAnsiTheme="majorHAnsi"/>
          <w:spacing w:val="-1"/>
          <w:sz w:val="20"/>
          <w:szCs w:val="20"/>
        </w:rPr>
        <w:t>праці,</w:t>
      </w:r>
      <w:r w:rsidRPr="000977F7">
        <w:rPr>
          <w:rFonts w:asciiTheme="majorHAnsi" w:hAnsiTheme="majorHAnsi"/>
          <w:spacing w:val="-10"/>
          <w:sz w:val="20"/>
          <w:szCs w:val="20"/>
        </w:rPr>
        <w:t xml:space="preserve"> </w:t>
      </w:r>
      <w:r w:rsidRPr="000977F7">
        <w:rPr>
          <w:rFonts w:asciiTheme="majorHAnsi" w:hAnsiTheme="majorHAnsi"/>
          <w:spacing w:val="-1"/>
          <w:sz w:val="20"/>
          <w:szCs w:val="20"/>
        </w:rPr>
        <w:t>що</w:t>
      </w:r>
      <w:r w:rsidRPr="000977F7">
        <w:rPr>
          <w:rFonts w:asciiTheme="majorHAnsi" w:hAnsiTheme="majorHAnsi"/>
          <w:spacing w:val="-9"/>
          <w:sz w:val="20"/>
          <w:szCs w:val="20"/>
        </w:rPr>
        <w:t xml:space="preserve"> </w:t>
      </w:r>
      <w:r w:rsidRPr="000977F7">
        <w:rPr>
          <w:rFonts w:asciiTheme="majorHAnsi" w:hAnsiTheme="majorHAnsi"/>
          <w:spacing w:val="-1"/>
          <w:sz w:val="20"/>
          <w:szCs w:val="20"/>
        </w:rPr>
        <w:t>їх</w:t>
      </w:r>
      <w:r w:rsidRPr="000977F7">
        <w:rPr>
          <w:rFonts w:asciiTheme="majorHAnsi" w:hAnsiTheme="majorHAnsi"/>
          <w:spacing w:val="-11"/>
          <w:sz w:val="20"/>
          <w:szCs w:val="20"/>
        </w:rPr>
        <w:t xml:space="preserve"> </w:t>
      </w:r>
      <w:r w:rsidRPr="000977F7">
        <w:rPr>
          <w:rFonts w:asciiTheme="majorHAnsi" w:hAnsiTheme="majorHAnsi"/>
          <w:spacing w:val="-1"/>
          <w:sz w:val="20"/>
          <w:szCs w:val="20"/>
        </w:rPr>
        <w:t>одержує</w:t>
      </w:r>
      <w:r w:rsidRPr="000977F7">
        <w:rPr>
          <w:rFonts w:asciiTheme="majorHAnsi" w:hAnsiTheme="majorHAnsi"/>
          <w:spacing w:val="-7"/>
          <w:sz w:val="20"/>
          <w:szCs w:val="20"/>
        </w:rPr>
        <w:t xml:space="preserve"> </w:t>
      </w:r>
      <w:r w:rsidRPr="000977F7">
        <w:rPr>
          <w:rFonts w:asciiTheme="majorHAnsi" w:hAnsiTheme="majorHAnsi"/>
          <w:spacing w:val="-1"/>
          <w:sz w:val="20"/>
          <w:szCs w:val="20"/>
        </w:rPr>
        <w:t>підприємство</w:t>
      </w:r>
      <w:r w:rsidRPr="000977F7">
        <w:rPr>
          <w:rFonts w:asciiTheme="majorHAnsi" w:hAnsiTheme="majorHAnsi"/>
          <w:spacing w:val="-9"/>
          <w:sz w:val="20"/>
          <w:szCs w:val="20"/>
        </w:rPr>
        <w:t xml:space="preserve"> </w:t>
      </w:r>
      <w:r w:rsidRPr="000977F7">
        <w:rPr>
          <w:rFonts w:asciiTheme="majorHAnsi" w:hAnsiTheme="majorHAnsi"/>
          <w:spacing w:val="-1"/>
          <w:sz w:val="20"/>
          <w:szCs w:val="20"/>
        </w:rPr>
        <w:t>для</w:t>
      </w:r>
      <w:r w:rsidRPr="000977F7">
        <w:rPr>
          <w:rFonts w:asciiTheme="majorHAnsi" w:hAnsiTheme="majorHAnsi"/>
          <w:spacing w:val="-10"/>
          <w:sz w:val="20"/>
          <w:szCs w:val="20"/>
        </w:rPr>
        <w:t xml:space="preserve"> </w:t>
      </w:r>
      <w:r w:rsidRPr="000977F7">
        <w:rPr>
          <w:rFonts w:asciiTheme="majorHAnsi" w:hAnsiTheme="majorHAnsi"/>
          <w:spacing w:val="-1"/>
          <w:sz w:val="20"/>
          <w:szCs w:val="20"/>
        </w:rPr>
        <w:t>виробничого</w:t>
      </w:r>
      <w:r w:rsidRPr="000977F7">
        <w:rPr>
          <w:rFonts w:asciiTheme="majorHAnsi" w:hAnsiTheme="majorHAnsi"/>
          <w:spacing w:val="-47"/>
          <w:sz w:val="20"/>
          <w:szCs w:val="20"/>
        </w:rPr>
        <w:t xml:space="preserve"> </w:t>
      </w:r>
      <w:r w:rsidRPr="000977F7">
        <w:rPr>
          <w:rFonts w:asciiTheme="majorHAnsi" w:hAnsiTheme="majorHAnsi"/>
          <w:sz w:val="20"/>
          <w:szCs w:val="20"/>
        </w:rPr>
        <w:t>споживання та використання у невиробничій сфері</w:t>
      </w:r>
    </w:p>
    <w:p w14:paraId="16AEBFA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8FBA1D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МАТЕРІАЛЬНО – ТЕХНІЧНА БАЗА </w:t>
      </w:r>
    </w:p>
    <w:p w14:paraId="787CA11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ПІДПРИ</w:t>
      </w:r>
      <w:r w:rsidRPr="000977F7">
        <w:rPr>
          <w:color w:val="auto"/>
          <w:spacing w:val="-47"/>
          <w:sz w:val="20"/>
          <w:szCs w:val="20"/>
        </w:rPr>
        <w:t xml:space="preserve"> </w:t>
      </w:r>
      <w:r w:rsidRPr="000977F7">
        <w:rPr>
          <w:color w:val="auto"/>
          <w:sz w:val="20"/>
          <w:szCs w:val="20"/>
        </w:rPr>
        <w:t>ЄМСТВА</w:t>
      </w:r>
      <w:r w:rsidRPr="000977F7">
        <w:rPr>
          <w:color w:val="auto"/>
          <w:spacing w:val="-1"/>
          <w:sz w:val="20"/>
          <w:szCs w:val="20"/>
        </w:rPr>
        <w:t xml:space="preserve"> </w:t>
      </w:r>
      <w:r w:rsidRPr="000977F7">
        <w:rPr>
          <w:color w:val="auto"/>
          <w:sz w:val="20"/>
          <w:szCs w:val="20"/>
        </w:rPr>
        <w:t>–</w:t>
      </w:r>
    </w:p>
    <w:p w14:paraId="603C4C4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Сукупність</w:t>
      </w:r>
      <w:r w:rsidRPr="004D2D14">
        <w:rPr>
          <w:rFonts w:asciiTheme="majorHAnsi" w:hAnsiTheme="majorHAnsi"/>
          <w:spacing w:val="17"/>
          <w:sz w:val="20"/>
          <w:szCs w:val="20"/>
          <w:lang w:val="uk-UA"/>
        </w:rPr>
        <w:t xml:space="preserve"> </w:t>
      </w:r>
      <w:r w:rsidRPr="004D2D14">
        <w:rPr>
          <w:rFonts w:asciiTheme="majorHAnsi" w:hAnsiTheme="majorHAnsi"/>
          <w:sz w:val="20"/>
          <w:szCs w:val="20"/>
          <w:lang w:val="uk-UA"/>
        </w:rPr>
        <w:t>технологічного,</w:t>
      </w:r>
      <w:r w:rsidRPr="004D2D14">
        <w:rPr>
          <w:rFonts w:asciiTheme="majorHAnsi" w:hAnsiTheme="majorHAnsi"/>
          <w:spacing w:val="15"/>
          <w:sz w:val="20"/>
          <w:szCs w:val="20"/>
          <w:lang w:val="uk-UA"/>
        </w:rPr>
        <w:t xml:space="preserve"> </w:t>
      </w:r>
      <w:r w:rsidRPr="004D2D14">
        <w:rPr>
          <w:rFonts w:asciiTheme="majorHAnsi" w:hAnsiTheme="majorHAnsi"/>
          <w:sz w:val="20"/>
          <w:szCs w:val="20"/>
          <w:lang w:val="uk-UA"/>
        </w:rPr>
        <w:t>енергетичного,</w:t>
      </w:r>
      <w:r w:rsidRPr="004D2D14">
        <w:rPr>
          <w:rFonts w:asciiTheme="majorHAnsi" w:hAnsiTheme="majorHAnsi"/>
          <w:spacing w:val="15"/>
          <w:sz w:val="20"/>
          <w:szCs w:val="20"/>
          <w:lang w:val="uk-UA"/>
        </w:rPr>
        <w:t xml:space="preserve"> </w:t>
      </w:r>
      <w:r w:rsidRPr="004D2D14">
        <w:rPr>
          <w:rFonts w:asciiTheme="majorHAnsi" w:hAnsiTheme="majorHAnsi"/>
          <w:sz w:val="20"/>
          <w:szCs w:val="20"/>
          <w:lang w:val="uk-UA"/>
        </w:rPr>
        <w:t>транспортного</w:t>
      </w:r>
      <w:r w:rsidRPr="004D2D14">
        <w:rPr>
          <w:rFonts w:asciiTheme="majorHAnsi" w:hAnsiTheme="majorHAnsi"/>
          <w:spacing w:val="3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33"/>
          <w:sz w:val="20"/>
          <w:szCs w:val="20"/>
          <w:lang w:val="uk-UA"/>
        </w:rPr>
        <w:t xml:space="preserve"> </w:t>
      </w:r>
      <w:r w:rsidRPr="004D2D14">
        <w:rPr>
          <w:rFonts w:asciiTheme="majorHAnsi" w:hAnsiTheme="majorHAnsi"/>
          <w:sz w:val="20"/>
          <w:szCs w:val="20"/>
          <w:lang w:val="uk-UA"/>
        </w:rPr>
        <w:t>іншого</w:t>
      </w:r>
      <w:r w:rsidRPr="004D2D14">
        <w:rPr>
          <w:rFonts w:asciiTheme="majorHAnsi" w:hAnsiTheme="majorHAnsi"/>
          <w:spacing w:val="34"/>
          <w:sz w:val="20"/>
          <w:szCs w:val="20"/>
          <w:lang w:val="uk-UA"/>
        </w:rPr>
        <w:t xml:space="preserve"> </w:t>
      </w:r>
      <w:r w:rsidRPr="004D2D14">
        <w:rPr>
          <w:rFonts w:asciiTheme="majorHAnsi" w:hAnsiTheme="majorHAnsi"/>
          <w:sz w:val="20"/>
          <w:szCs w:val="20"/>
          <w:lang w:val="uk-UA"/>
        </w:rPr>
        <w:t>устаткування,</w:t>
      </w:r>
      <w:r w:rsidRPr="004D2D14">
        <w:rPr>
          <w:rFonts w:asciiTheme="majorHAnsi" w:hAnsiTheme="majorHAnsi"/>
          <w:spacing w:val="31"/>
          <w:sz w:val="20"/>
          <w:szCs w:val="20"/>
          <w:lang w:val="uk-UA"/>
        </w:rPr>
        <w:t xml:space="preserve"> </w:t>
      </w:r>
      <w:r w:rsidRPr="004D2D14">
        <w:rPr>
          <w:rFonts w:asciiTheme="majorHAnsi" w:hAnsiTheme="majorHAnsi"/>
          <w:sz w:val="20"/>
          <w:szCs w:val="20"/>
          <w:lang w:val="uk-UA"/>
        </w:rPr>
        <w:t>організаційних</w:t>
      </w:r>
      <w:r w:rsidRPr="004D2D14">
        <w:rPr>
          <w:rFonts w:asciiTheme="majorHAnsi" w:hAnsiTheme="majorHAnsi"/>
          <w:spacing w:val="32"/>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32"/>
          <w:sz w:val="20"/>
          <w:szCs w:val="20"/>
          <w:lang w:val="uk-UA"/>
        </w:rPr>
        <w:t xml:space="preserve"> </w:t>
      </w:r>
      <w:r w:rsidRPr="004D2D14">
        <w:rPr>
          <w:rFonts w:asciiTheme="majorHAnsi" w:hAnsiTheme="majorHAnsi"/>
          <w:sz w:val="20"/>
          <w:szCs w:val="20"/>
          <w:lang w:val="uk-UA"/>
        </w:rPr>
        <w:t>обчислювальних</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засобів,</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інструментального</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оснащення,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інвентарю,</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будівель</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споруд,</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за</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допомогою</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яких</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відбувається процес відтворення у рамках виробничих</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підрозділів та управлінських ланок підприємства</w:t>
      </w:r>
    </w:p>
    <w:p w14:paraId="04478C6D"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2"/>
          <w:sz w:val="20"/>
          <w:szCs w:val="20"/>
        </w:rPr>
        <w:t xml:space="preserve"> - </w:t>
      </w:r>
      <w:r w:rsidRPr="000977F7">
        <w:rPr>
          <w:rFonts w:asciiTheme="majorHAnsi" w:hAnsiTheme="majorHAnsi"/>
          <w:i/>
          <w:sz w:val="20"/>
          <w:szCs w:val="20"/>
        </w:rPr>
        <w:t>94</w:t>
      </w:r>
    </w:p>
    <w:p w14:paraId="47E2E76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МАТЕРІАЛЬНО</w:t>
      </w:r>
      <w:r w:rsidRPr="000977F7">
        <w:rPr>
          <w:color w:val="auto"/>
          <w:spacing w:val="-4"/>
          <w:sz w:val="20"/>
          <w:szCs w:val="20"/>
        </w:rPr>
        <w:t xml:space="preserve"> </w:t>
      </w:r>
      <w:r w:rsidRPr="000977F7">
        <w:rPr>
          <w:color w:val="auto"/>
          <w:sz w:val="20"/>
          <w:szCs w:val="20"/>
        </w:rPr>
        <w:t>–</w:t>
      </w:r>
      <w:r w:rsidRPr="000977F7">
        <w:rPr>
          <w:color w:val="auto"/>
          <w:spacing w:val="-4"/>
          <w:sz w:val="20"/>
          <w:szCs w:val="20"/>
        </w:rPr>
        <w:t xml:space="preserve"> </w:t>
      </w:r>
      <w:r w:rsidRPr="000977F7">
        <w:rPr>
          <w:color w:val="auto"/>
          <w:sz w:val="20"/>
          <w:szCs w:val="20"/>
        </w:rPr>
        <w:t>ТЕХНІЧНЕ</w:t>
      </w:r>
      <w:r w:rsidRPr="000977F7">
        <w:rPr>
          <w:color w:val="auto"/>
          <w:spacing w:val="-5"/>
          <w:sz w:val="20"/>
          <w:szCs w:val="20"/>
        </w:rPr>
        <w:t xml:space="preserve"> </w:t>
      </w:r>
      <w:r w:rsidRPr="000977F7">
        <w:rPr>
          <w:color w:val="auto"/>
          <w:sz w:val="20"/>
          <w:szCs w:val="20"/>
        </w:rPr>
        <w:t>ПОСТАЧАННЯ</w:t>
      </w:r>
      <w:r w:rsidRPr="000977F7">
        <w:rPr>
          <w:color w:val="auto"/>
          <w:spacing w:val="-3"/>
          <w:sz w:val="20"/>
          <w:szCs w:val="20"/>
        </w:rPr>
        <w:t xml:space="preserve"> </w:t>
      </w:r>
    </w:p>
    <w:p w14:paraId="66D3F79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 своєчасного і комплексного забезпечення 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засобами</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p>
    <w:p w14:paraId="6CCD426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48"/>
          <w:sz w:val="20"/>
          <w:szCs w:val="20"/>
        </w:rPr>
        <w:t xml:space="preserve"> </w:t>
      </w:r>
      <w:r w:rsidRPr="000977F7">
        <w:rPr>
          <w:rFonts w:asciiTheme="majorHAnsi" w:hAnsiTheme="majorHAnsi"/>
          <w:i/>
          <w:sz w:val="20"/>
          <w:szCs w:val="20"/>
        </w:rPr>
        <w:t>94</w:t>
      </w:r>
    </w:p>
    <w:p w14:paraId="1979434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МАТРИЦЯ</w:t>
      </w:r>
      <w:r w:rsidRPr="000977F7">
        <w:rPr>
          <w:color w:val="auto"/>
          <w:spacing w:val="-4"/>
          <w:sz w:val="20"/>
          <w:szCs w:val="20"/>
        </w:rPr>
        <w:t xml:space="preserve"> </w:t>
      </w:r>
      <w:r w:rsidRPr="000977F7">
        <w:rPr>
          <w:color w:val="auto"/>
          <w:sz w:val="20"/>
          <w:szCs w:val="20"/>
        </w:rPr>
        <w:t>БАЗИСНИХ</w:t>
      </w:r>
      <w:r w:rsidRPr="000977F7">
        <w:rPr>
          <w:color w:val="auto"/>
          <w:spacing w:val="-4"/>
          <w:sz w:val="20"/>
          <w:szCs w:val="20"/>
        </w:rPr>
        <w:t xml:space="preserve"> </w:t>
      </w:r>
      <w:r w:rsidRPr="000977F7">
        <w:rPr>
          <w:color w:val="auto"/>
          <w:sz w:val="20"/>
          <w:szCs w:val="20"/>
        </w:rPr>
        <w:t>ФУНКЦІЙ</w:t>
      </w:r>
      <w:r w:rsidRPr="000977F7">
        <w:rPr>
          <w:color w:val="auto"/>
          <w:spacing w:val="-3"/>
          <w:sz w:val="20"/>
          <w:szCs w:val="20"/>
        </w:rPr>
        <w:t xml:space="preserve"> </w:t>
      </w:r>
      <w:r w:rsidRPr="000977F7">
        <w:rPr>
          <w:color w:val="auto"/>
          <w:sz w:val="20"/>
          <w:szCs w:val="20"/>
        </w:rPr>
        <w:t>МОДЕЛІ –</w:t>
      </w:r>
    </w:p>
    <w:p w14:paraId="5C160C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Матриця, що задає числові значення базисних функцій лінійної за параметрами моделі в дослідах плану,</w:t>
      </w:r>
      <w:r w:rsidRPr="000977F7">
        <w:rPr>
          <w:rFonts w:asciiTheme="majorHAnsi" w:hAnsiTheme="majorHAnsi"/>
          <w:spacing w:val="1"/>
          <w:sz w:val="20"/>
          <w:szCs w:val="20"/>
        </w:rPr>
        <w:t xml:space="preserve"> </w:t>
      </w:r>
      <w:r w:rsidRPr="000977F7">
        <w:rPr>
          <w:rFonts w:asciiTheme="majorHAnsi" w:hAnsiTheme="majorHAnsi"/>
          <w:sz w:val="20"/>
          <w:szCs w:val="20"/>
        </w:rPr>
        <w:t>що реалізується</w:t>
      </w:r>
    </w:p>
    <w:p w14:paraId="54F2F59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bCs/>
          <w:sz w:val="20"/>
          <w:szCs w:val="20"/>
        </w:rPr>
        <w:t>МАТРИЦЯ</w:t>
      </w:r>
      <w:r w:rsidRPr="000977F7">
        <w:rPr>
          <w:rFonts w:asciiTheme="majorHAnsi" w:hAnsiTheme="majorHAnsi"/>
          <w:b/>
          <w:bCs/>
          <w:spacing w:val="-4"/>
          <w:sz w:val="20"/>
          <w:szCs w:val="20"/>
        </w:rPr>
        <w:t xml:space="preserve"> </w:t>
      </w:r>
      <w:r w:rsidRPr="000977F7">
        <w:rPr>
          <w:rFonts w:asciiTheme="majorHAnsi" w:hAnsiTheme="majorHAnsi"/>
          <w:b/>
          <w:bCs/>
          <w:sz w:val="20"/>
          <w:szCs w:val="20"/>
        </w:rPr>
        <w:t>ДУБЛЮВАННЯ</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7C385C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Квадратна діагональна матриця, діагональні елементи</w:t>
      </w:r>
      <w:r w:rsidRPr="000977F7">
        <w:rPr>
          <w:rFonts w:asciiTheme="majorHAnsi" w:hAnsiTheme="majorHAnsi"/>
          <w:spacing w:val="1"/>
          <w:sz w:val="20"/>
          <w:szCs w:val="20"/>
        </w:rPr>
        <w:t xml:space="preserve"> </w:t>
      </w:r>
      <w:r w:rsidRPr="000977F7">
        <w:rPr>
          <w:rFonts w:asciiTheme="majorHAnsi" w:hAnsiTheme="majorHAnsi"/>
          <w:sz w:val="20"/>
          <w:szCs w:val="20"/>
        </w:rPr>
        <w:t>якої дорівнюють числам паралельних дослідів у відповідних</w:t>
      </w:r>
      <w:r w:rsidRPr="000977F7">
        <w:rPr>
          <w:rFonts w:asciiTheme="majorHAnsi" w:hAnsiTheme="majorHAnsi"/>
          <w:spacing w:val="-2"/>
          <w:sz w:val="20"/>
          <w:szCs w:val="20"/>
        </w:rPr>
        <w:t xml:space="preserve"> </w:t>
      </w:r>
      <w:r w:rsidRPr="000977F7">
        <w:rPr>
          <w:rFonts w:asciiTheme="majorHAnsi" w:hAnsiTheme="majorHAnsi"/>
          <w:sz w:val="20"/>
          <w:szCs w:val="20"/>
        </w:rPr>
        <w:t>точках</w:t>
      </w:r>
      <w:r w:rsidRPr="000977F7">
        <w:rPr>
          <w:rFonts w:asciiTheme="majorHAnsi" w:hAnsiTheme="majorHAnsi"/>
          <w:spacing w:val="-1"/>
          <w:sz w:val="20"/>
          <w:szCs w:val="20"/>
        </w:rPr>
        <w:t xml:space="preserve"> </w:t>
      </w:r>
      <w:r w:rsidRPr="000977F7">
        <w:rPr>
          <w:rFonts w:asciiTheme="majorHAnsi" w:hAnsiTheme="majorHAnsi"/>
          <w:sz w:val="20"/>
          <w:szCs w:val="20"/>
        </w:rPr>
        <w:t>спектру</w:t>
      </w:r>
      <w:r w:rsidRPr="000977F7">
        <w:rPr>
          <w:rFonts w:asciiTheme="majorHAnsi" w:hAnsiTheme="majorHAnsi"/>
          <w:spacing w:val="-1"/>
          <w:sz w:val="20"/>
          <w:szCs w:val="20"/>
        </w:rPr>
        <w:t xml:space="preserve"> </w:t>
      </w:r>
      <w:r w:rsidRPr="000977F7">
        <w:rPr>
          <w:rFonts w:asciiTheme="majorHAnsi" w:hAnsiTheme="majorHAnsi"/>
          <w:sz w:val="20"/>
          <w:szCs w:val="20"/>
        </w:rPr>
        <w:t>плана</w:t>
      </w:r>
    </w:p>
    <w:p w14:paraId="72F015C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МАТРИЦЯ</w:t>
      </w:r>
      <w:r w:rsidRPr="000977F7">
        <w:rPr>
          <w:color w:val="auto"/>
          <w:spacing w:val="-5"/>
          <w:sz w:val="20"/>
          <w:szCs w:val="20"/>
        </w:rPr>
        <w:t xml:space="preserve"> </w:t>
      </w:r>
      <w:r w:rsidRPr="000977F7">
        <w:rPr>
          <w:color w:val="auto"/>
          <w:sz w:val="20"/>
          <w:szCs w:val="20"/>
        </w:rPr>
        <w:t>МОМЕНТІВ</w:t>
      </w:r>
      <w:r w:rsidRPr="000977F7">
        <w:rPr>
          <w:color w:val="auto"/>
          <w:spacing w:val="-2"/>
          <w:sz w:val="20"/>
          <w:szCs w:val="20"/>
        </w:rPr>
        <w:t xml:space="preserve"> </w:t>
      </w:r>
      <w:r w:rsidRPr="000977F7">
        <w:rPr>
          <w:color w:val="auto"/>
          <w:sz w:val="20"/>
          <w:szCs w:val="20"/>
        </w:rPr>
        <w:t>ПЛАНУ</w:t>
      </w:r>
      <w:r w:rsidRPr="000977F7">
        <w:rPr>
          <w:color w:val="auto"/>
          <w:spacing w:val="-1"/>
          <w:sz w:val="20"/>
          <w:szCs w:val="20"/>
        </w:rPr>
        <w:t xml:space="preserve"> </w:t>
      </w:r>
      <w:r w:rsidRPr="000977F7">
        <w:rPr>
          <w:color w:val="auto"/>
          <w:sz w:val="20"/>
          <w:szCs w:val="20"/>
        </w:rPr>
        <w:t>–</w:t>
      </w:r>
    </w:p>
    <w:p w14:paraId="7F80887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Квадратична матриця, елементи якої уявляють собою</w:t>
      </w:r>
      <w:r w:rsidRPr="000977F7">
        <w:rPr>
          <w:rFonts w:asciiTheme="majorHAnsi" w:hAnsiTheme="majorHAnsi"/>
          <w:spacing w:val="1"/>
          <w:sz w:val="20"/>
          <w:szCs w:val="20"/>
        </w:rPr>
        <w:t xml:space="preserve"> </w:t>
      </w:r>
      <w:r w:rsidRPr="000977F7">
        <w:rPr>
          <w:rFonts w:asciiTheme="majorHAnsi" w:hAnsiTheme="majorHAnsi"/>
          <w:sz w:val="20"/>
          <w:szCs w:val="20"/>
        </w:rPr>
        <w:t>скалярні добутки відповідних векторів-колонок матриці</w:t>
      </w:r>
      <w:r w:rsidRPr="000977F7">
        <w:rPr>
          <w:rFonts w:asciiTheme="majorHAnsi" w:hAnsiTheme="majorHAnsi"/>
          <w:spacing w:val="-2"/>
          <w:sz w:val="20"/>
          <w:szCs w:val="20"/>
        </w:rPr>
        <w:t xml:space="preserve"> </w:t>
      </w:r>
      <w:r w:rsidRPr="000977F7">
        <w:rPr>
          <w:rFonts w:asciiTheme="majorHAnsi" w:hAnsiTheme="majorHAnsi"/>
          <w:sz w:val="20"/>
          <w:szCs w:val="20"/>
        </w:rPr>
        <w:t>базисних</w:t>
      </w:r>
      <w:r w:rsidRPr="000977F7">
        <w:rPr>
          <w:rFonts w:asciiTheme="majorHAnsi" w:hAnsiTheme="majorHAnsi"/>
          <w:spacing w:val="-1"/>
          <w:sz w:val="20"/>
          <w:szCs w:val="20"/>
        </w:rPr>
        <w:t xml:space="preserve"> </w:t>
      </w:r>
      <w:r w:rsidRPr="000977F7">
        <w:rPr>
          <w:rFonts w:asciiTheme="majorHAnsi" w:hAnsiTheme="majorHAnsi"/>
          <w:sz w:val="20"/>
          <w:szCs w:val="20"/>
        </w:rPr>
        <w:t>функцій</w:t>
      </w:r>
    </w:p>
    <w:p w14:paraId="01007CA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МАТРИЦЯ</w:t>
      </w:r>
      <w:r w:rsidRPr="000977F7">
        <w:rPr>
          <w:color w:val="auto"/>
          <w:spacing w:val="-5"/>
          <w:sz w:val="20"/>
          <w:szCs w:val="20"/>
        </w:rPr>
        <w:t xml:space="preserve"> </w:t>
      </w:r>
      <w:r w:rsidRPr="000977F7">
        <w:rPr>
          <w:color w:val="auto"/>
          <w:sz w:val="20"/>
          <w:szCs w:val="20"/>
        </w:rPr>
        <w:t>ПЛАНУ</w:t>
      </w:r>
      <w:r w:rsidRPr="000977F7">
        <w:rPr>
          <w:color w:val="auto"/>
          <w:spacing w:val="-4"/>
          <w:sz w:val="20"/>
          <w:szCs w:val="20"/>
        </w:rPr>
        <w:t xml:space="preserve"> </w:t>
      </w:r>
      <w:r w:rsidRPr="000977F7">
        <w:rPr>
          <w:color w:val="auto"/>
          <w:sz w:val="20"/>
          <w:szCs w:val="20"/>
        </w:rPr>
        <w:t>ВИПРОБУВАНЬ</w:t>
      </w:r>
      <w:r w:rsidRPr="000977F7">
        <w:rPr>
          <w:color w:val="auto"/>
          <w:spacing w:val="-1"/>
          <w:sz w:val="20"/>
          <w:szCs w:val="20"/>
        </w:rPr>
        <w:t xml:space="preserve"> </w:t>
      </w:r>
      <w:r w:rsidRPr="000977F7">
        <w:rPr>
          <w:color w:val="auto"/>
          <w:sz w:val="20"/>
          <w:szCs w:val="20"/>
        </w:rPr>
        <w:t>–</w:t>
      </w:r>
    </w:p>
    <w:p w14:paraId="0ABBAF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Стандартна форма запису умов проведення експериментів у вигляді прямокутної таблиці, рядки якої відповідають</w:t>
      </w:r>
      <w:r w:rsidRPr="000977F7">
        <w:rPr>
          <w:rFonts w:asciiTheme="majorHAnsi" w:hAnsiTheme="majorHAnsi"/>
          <w:spacing w:val="-1"/>
          <w:sz w:val="20"/>
          <w:szCs w:val="20"/>
        </w:rPr>
        <w:t xml:space="preserve"> </w:t>
      </w:r>
      <w:r w:rsidRPr="000977F7">
        <w:rPr>
          <w:rFonts w:asciiTheme="majorHAnsi" w:hAnsiTheme="majorHAnsi"/>
          <w:sz w:val="20"/>
          <w:szCs w:val="20"/>
        </w:rPr>
        <w:t>дослідам, колонки-факторам</w:t>
      </w:r>
    </w:p>
    <w:p w14:paraId="5D58B79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F89074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МАТРИЦЯ</w:t>
      </w:r>
      <w:r w:rsidRPr="000977F7">
        <w:rPr>
          <w:color w:val="auto"/>
          <w:spacing w:val="-4"/>
          <w:sz w:val="20"/>
          <w:szCs w:val="20"/>
        </w:rPr>
        <w:t xml:space="preserve"> </w:t>
      </w:r>
      <w:r w:rsidRPr="000977F7">
        <w:rPr>
          <w:color w:val="auto"/>
          <w:sz w:val="20"/>
          <w:szCs w:val="20"/>
        </w:rPr>
        <w:t>СПЕКТРУ</w:t>
      </w:r>
      <w:r w:rsidRPr="000977F7">
        <w:rPr>
          <w:color w:val="auto"/>
          <w:spacing w:val="-4"/>
          <w:sz w:val="20"/>
          <w:szCs w:val="20"/>
        </w:rPr>
        <w:t xml:space="preserve"> </w:t>
      </w:r>
      <w:r w:rsidRPr="000977F7">
        <w:rPr>
          <w:color w:val="auto"/>
          <w:sz w:val="20"/>
          <w:szCs w:val="20"/>
        </w:rPr>
        <w:t>ПЛАНУ</w:t>
      </w:r>
      <w:r w:rsidRPr="000977F7">
        <w:rPr>
          <w:color w:val="auto"/>
          <w:spacing w:val="-1"/>
          <w:sz w:val="20"/>
          <w:szCs w:val="20"/>
        </w:rPr>
        <w:t xml:space="preserve"> </w:t>
      </w:r>
      <w:r w:rsidRPr="000977F7">
        <w:rPr>
          <w:color w:val="auto"/>
          <w:sz w:val="20"/>
          <w:szCs w:val="20"/>
        </w:rPr>
        <w:t>–</w:t>
      </w:r>
    </w:p>
    <w:p w14:paraId="36E9B7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Матриця, складена із усіх рядків матриці плану, яка</w:t>
      </w:r>
      <w:r w:rsidRPr="000977F7">
        <w:rPr>
          <w:rFonts w:asciiTheme="majorHAnsi" w:hAnsiTheme="majorHAnsi"/>
          <w:spacing w:val="1"/>
          <w:sz w:val="20"/>
          <w:szCs w:val="20"/>
        </w:rPr>
        <w:t xml:space="preserve"> </w:t>
      </w:r>
      <w:r w:rsidRPr="000977F7">
        <w:rPr>
          <w:rFonts w:asciiTheme="majorHAnsi" w:hAnsiTheme="majorHAnsi"/>
          <w:sz w:val="20"/>
          <w:szCs w:val="20"/>
        </w:rPr>
        <w:t>відрізняється</w:t>
      </w:r>
      <w:r w:rsidRPr="000977F7">
        <w:rPr>
          <w:rFonts w:asciiTheme="majorHAnsi" w:hAnsiTheme="majorHAnsi"/>
          <w:spacing w:val="-1"/>
          <w:sz w:val="20"/>
          <w:szCs w:val="20"/>
        </w:rPr>
        <w:t xml:space="preserve"> </w:t>
      </w:r>
      <w:r w:rsidRPr="000977F7">
        <w:rPr>
          <w:rFonts w:asciiTheme="majorHAnsi" w:hAnsiTheme="majorHAnsi"/>
          <w:sz w:val="20"/>
          <w:szCs w:val="20"/>
        </w:rPr>
        <w:t>рівнями хоча</w:t>
      </w:r>
      <w:r w:rsidRPr="000977F7">
        <w:rPr>
          <w:rFonts w:asciiTheme="majorHAnsi" w:hAnsiTheme="majorHAnsi"/>
          <w:spacing w:val="-1"/>
          <w:sz w:val="20"/>
          <w:szCs w:val="20"/>
        </w:rPr>
        <w:t xml:space="preserve"> </w:t>
      </w:r>
      <w:r w:rsidRPr="000977F7">
        <w:rPr>
          <w:rFonts w:asciiTheme="majorHAnsi" w:hAnsiTheme="majorHAnsi"/>
          <w:sz w:val="20"/>
          <w:szCs w:val="20"/>
        </w:rPr>
        <w:t>б одного</w:t>
      </w:r>
      <w:r w:rsidRPr="000977F7">
        <w:rPr>
          <w:rFonts w:asciiTheme="majorHAnsi" w:hAnsiTheme="majorHAnsi"/>
          <w:spacing w:val="1"/>
          <w:sz w:val="20"/>
          <w:szCs w:val="20"/>
        </w:rPr>
        <w:t xml:space="preserve"> </w:t>
      </w:r>
      <w:r w:rsidRPr="000977F7">
        <w:rPr>
          <w:rFonts w:asciiTheme="majorHAnsi" w:hAnsiTheme="majorHAnsi"/>
          <w:sz w:val="20"/>
          <w:szCs w:val="20"/>
        </w:rPr>
        <w:t>фактора</w:t>
      </w:r>
    </w:p>
    <w:p w14:paraId="3F23B353"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b/>
          <w:bCs/>
          <w:sz w:val="20"/>
          <w:szCs w:val="20"/>
          <w:lang w:val="uk-UA"/>
        </w:rPr>
      </w:pPr>
      <w:r w:rsidRPr="000977F7">
        <w:rPr>
          <w:rFonts w:asciiTheme="majorHAnsi" w:hAnsiTheme="majorHAnsi"/>
          <w:b/>
          <w:bCs/>
          <w:sz w:val="20"/>
          <w:szCs w:val="20"/>
          <w:lang w:val="uk-UA"/>
        </w:rPr>
        <w:t>МАШИНА -</w:t>
      </w:r>
    </w:p>
    <w:p w14:paraId="57A3496C"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r w:rsidRPr="000977F7">
        <w:rPr>
          <w:rFonts w:asciiTheme="majorHAnsi" w:hAnsiTheme="majorHAnsi"/>
          <w:sz w:val="20"/>
          <w:szCs w:val="20"/>
          <w:lang w:val="uk-UA"/>
        </w:rPr>
        <w:t>Сукупність взаємозв’язаних частин або компонентів, з яких принаймні один є рухомим, що мають у своєму складі або пристосовані до приєднання силового приводу іншого, ніж безпосередньо прикладене зусилля людини або тварини, та з’єднані для виконання визначених функцій;</w:t>
      </w:r>
    </w:p>
    <w:p w14:paraId="2E449F02"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r w:rsidRPr="000977F7">
        <w:rPr>
          <w:rFonts w:asciiTheme="majorHAnsi" w:hAnsiTheme="majorHAnsi"/>
          <w:sz w:val="20"/>
          <w:szCs w:val="20"/>
          <w:lang w:val="uk-UA"/>
        </w:rPr>
        <w:t xml:space="preserve">сукупність взаємозв’язаних частин або компонентів, з яких принаймні один є рухомим, що мають у своєму складі або пристосовані до приєднання </w:t>
      </w:r>
      <w:r w:rsidRPr="000977F7">
        <w:rPr>
          <w:rFonts w:asciiTheme="majorHAnsi" w:hAnsiTheme="majorHAnsi"/>
          <w:sz w:val="20"/>
          <w:szCs w:val="20"/>
          <w:lang w:val="uk-UA"/>
        </w:rPr>
        <w:lastRenderedPageBreak/>
        <w:t>силового приводу іншого, ніж безпосередньо прикладене зусилля людини або тварини, та з’єднані для виконання визначених функцій; зазначені взаємозв’язані частини або компоненти не мають компонентів для їх встановлення на місці або для з’єднання з джерелом енергії та руху;</w:t>
      </w:r>
    </w:p>
    <w:p w14:paraId="1994E359"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r w:rsidRPr="000977F7">
        <w:rPr>
          <w:rFonts w:asciiTheme="majorHAnsi" w:hAnsiTheme="majorHAnsi"/>
          <w:sz w:val="20"/>
          <w:szCs w:val="20"/>
          <w:lang w:val="uk-UA"/>
        </w:rPr>
        <w:t>сукупність взаємозв’язаних частин або компонентів, з яких принаймні один є рухомим, що мають у своєму складі або пристосовані до приєднання силового приводу іншого, ніж безпосередньо прикладене зусилля людини або тварини, та з’єднані для виконання визначених функцій; зазначені взаємозв’язані частини або компоненти мають чи не мають компонентів для їх встановлення на місці або для з’єднання з джерелом енергії та руху, готові до встановлення і спроможні до виконання визначених функцій тільки за умови необхідності їх монтування на транспортному засобі або в будівлі чи споруді;</w:t>
      </w:r>
    </w:p>
    <w:p w14:paraId="7FE29C14"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r w:rsidRPr="000977F7">
        <w:rPr>
          <w:rFonts w:asciiTheme="majorHAnsi" w:hAnsiTheme="majorHAnsi"/>
          <w:sz w:val="20"/>
          <w:szCs w:val="20"/>
          <w:lang w:val="uk-UA"/>
        </w:rPr>
        <w:t xml:space="preserve">комбінація взаємозв’язаних частин чи компонентів, зазначених в </w:t>
      </w:r>
      <w:hyperlink r:id="rId27" w:anchor="n17" w:history="1">
        <w:r w:rsidRPr="000977F7">
          <w:rPr>
            <w:rStyle w:val="af1"/>
            <w:rFonts w:asciiTheme="majorHAnsi" w:hAnsiTheme="majorHAnsi"/>
            <w:color w:val="auto"/>
            <w:sz w:val="20"/>
            <w:szCs w:val="20"/>
            <w:lang w:val="uk-UA"/>
          </w:rPr>
          <w:t>абзацах другому четвертому</w:t>
        </w:r>
      </w:hyperlink>
      <w:r w:rsidRPr="000977F7">
        <w:rPr>
          <w:rStyle w:val="af1"/>
          <w:rFonts w:asciiTheme="majorHAnsi" w:hAnsiTheme="majorHAnsi"/>
          <w:color w:val="auto"/>
          <w:sz w:val="20"/>
          <w:szCs w:val="20"/>
          <w:lang w:val="uk-UA"/>
        </w:rPr>
        <w:t xml:space="preserve"> </w:t>
      </w:r>
      <w:r w:rsidRPr="000977F7">
        <w:rPr>
          <w:rFonts w:asciiTheme="majorHAnsi" w:hAnsiTheme="majorHAnsi"/>
          <w:sz w:val="20"/>
          <w:szCs w:val="20"/>
          <w:lang w:val="uk-UA"/>
        </w:rPr>
        <w:t>цього підпункту, та незавершених машин, зазначених у 1 цього пункту, які для досягнення спільної мети з’єднуються і керуються так, що діють як єдине ціле;</w:t>
      </w:r>
    </w:p>
    <w:p w14:paraId="338AA7C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shd w:val="clear" w:color="auto" w:fill="FFFFFF"/>
          <w:lang w:val="uk-UA"/>
        </w:rPr>
        <w:t>сукупність взаємозв’язаних частин або компонентів, принаймні один з яких є рухомим, що з’єднані та призначені для підіймання вантажів, єдиним джерелом живлення яких є безпосереднє прикладення зусилля людини</w:t>
      </w:r>
    </w:p>
    <w:p w14:paraId="695412C0"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безпеки машин</w:t>
      </w:r>
    </w:p>
    <w:p w14:paraId="59604131"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bookmarkStart w:id="122" w:name="_Hlk103611328"/>
      <w:r w:rsidRPr="000977F7">
        <w:rPr>
          <w:rFonts w:asciiTheme="majorHAnsi" w:hAnsiTheme="majorHAnsi"/>
          <w:b/>
          <w:bCs/>
          <w:sz w:val="20"/>
          <w:szCs w:val="20"/>
        </w:rPr>
        <w:t xml:space="preserve">МАШИНИ ДЛЯ ОБРОБКИ РІЗНИХ МАТЕРІАЛІВ - </w:t>
      </w:r>
    </w:p>
    <w:p w14:paraId="5CB1CE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Автомат – в якому всі основні та допоміжні рухи,</w:t>
      </w:r>
      <w:r w:rsidRPr="000977F7">
        <w:rPr>
          <w:rFonts w:asciiTheme="majorHAnsi" w:hAnsiTheme="majorHAnsi"/>
          <w:spacing w:val="1"/>
          <w:sz w:val="20"/>
          <w:szCs w:val="20"/>
        </w:rPr>
        <w:t xml:space="preserve"> </w:t>
      </w:r>
      <w:r w:rsidRPr="000977F7">
        <w:rPr>
          <w:rFonts w:asciiTheme="majorHAnsi" w:hAnsiTheme="majorHAnsi"/>
          <w:sz w:val="20"/>
          <w:szCs w:val="20"/>
        </w:rPr>
        <w:t>необхідні для технологічного циклу обробки загото</w:t>
      </w:r>
      <w:r w:rsidRPr="000977F7">
        <w:rPr>
          <w:rFonts w:asciiTheme="majorHAnsi" w:hAnsiTheme="majorHAnsi"/>
          <w:spacing w:val="1"/>
          <w:sz w:val="20"/>
          <w:szCs w:val="20"/>
        </w:rPr>
        <w:t xml:space="preserve"> </w:t>
      </w:r>
      <w:r w:rsidRPr="000977F7">
        <w:rPr>
          <w:rFonts w:asciiTheme="majorHAnsi" w:hAnsiTheme="majorHAnsi"/>
          <w:sz w:val="20"/>
          <w:szCs w:val="20"/>
        </w:rPr>
        <w:t>вок,</w:t>
      </w:r>
      <w:r w:rsidRPr="000977F7">
        <w:rPr>
          <w:rFonts w:asciiTheme="majorHAnsi" w:hAnsiTheme="majorHAnsi"/>
          <w:spacing w:val="-1"/>
          <w:sz w:val="20"/>
          <w:szCs w:val="20"/>
        </w:rPr>
        <w:t xml:space="preserve"> </w:t>
      </w:r>
      <w:r w:rsidRPr="000977F7">
        <w:rPr>
          <w:rFonts w:asciiTheme="majorHAnsi" w:hAnsiTheme="majorHAnsi"/>
          <w:sz w:val="20"/>
          <w:szCs w:val="20"/>
        </w:rPr>
        <w:t>здійснюються</w:t>
      </w:r>
      <w:r w:rsidRPr="000977F7">
        <w:rPr>
          <w:rFonts w:asciiTheme="majorHAnsi" w:hAnsiTheme="majorHAnsi"/>
          <w:spacing w:val="-2"/>
          <w:sz w:val="20"/>
          <w:szCs w:val="20"/>
        </w:rPr>
        <w:t xml:space="preserve"> </w:t>
      </w:r>
      <w:r w:rsidRPr="000977F7">
        <w:rPr>
          <w:rFonts w:asciiTheme="majorHAnsi" w:hAnsiTheme="majorHAnsi"/>
          <w:sz w:val="20"/>
          <w:szCs w:val="20"/>
        </w:rPr>
        <w:t>без</w:t>
      </w:r>
      <w:r w:rsidRPr="000977F7">
        <w:rPr>
          <w:rFonts w:asciiTheme="majorHAnsi" w:hAnsiTheme="majorHAnsi"/>
          <w:spacing w:val="-1"/>
          <w:sz w:val="20"/>
          <w:szCs w:val="20"/>
        </w:rPr>
        <w:t xml:space="preserve"> </w:t>
      </w:r>
      <w:r w:rsidRPr="000977F7">
        <w:rPr>
          <w:rFonts w:asciiTheme="majorHAnsi" w:hAnsiTheme="majorHAnsi"/>
          <w:sz w:val="20"/>
          <w:szCs w:val="20"/>
        </w:rPr>
        <w:t>втручання</w:t>
      </w:r>
      <w:r w:rsidRPr="000977F7">
        <w:rPr>
          <w:rFonts w:asciiTheme="majorHAnsi" w:hAnsiTheme="majorHAnsi"/>
          <w:spacing w:val="-1"/>
          <w:sz w:val="20"/>
          <w:szCs w:val="20"/>
        </w:rPr>
        <w:t xml:space="preserve"> </w:t>
      </w:r>
      <w:r w:rsidRPr="000977F7">
        <w:rPr>
          <w:rFonts w:asciiTheme="majorHAnsi" w:hAnsiTheme="majorHAnsi"/>
          <w:sz w:val="20"/>
          <w:szCs w:val="20"/>
        </w:rPr>
        <w:t>людини</w:t>
      </w:r>
    </w:p>
    <w:p w14:paraId="2C56FAF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Агрегатний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складається</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кінематично</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47"/>
          <w:sz w:val="20"/>
          <w:szCs w:val="20"/>
        </w:rPr>
        <w:t xml:space="preserve"> </w:t>
      </w:r>
      <w:r w:rsidRPr="000977F7">
        <w:rPr>
          <w:rFonts w:asciiTheme="majorHAnsi" w:hAnsiTheme="majorHAnsi"/>
          <w:sz w:val="20"/>
          <w:szCs w:val="20"/>
        </w:rPr>
        <w:t>зв’язаних між собою агрегатів (силових головок), взаємозалежність та послідовність рухів яких задаються</w:t>
      </w:r>
      <w:r w:rsidRPr="000977F7">
        <w:rPr>
          <w:rFonts w:asciiTheme="majorHAnsi" w:hAnsiTheme="majorHAnsi"/>
          <w:spacing w:val="1"/>
          <w:sz w:val="20"/>
          <w:szCs w:val="20"/>
        </w:rPr>
        <w:t xml:space="preserve"> </w:t>
      </w:r>
      <w:r w:rsidRPr="000977F7">
        <w:rPr>
          <w:rFonts w:asciiTheme="majorHAnsi" w:hAnsiTheme="majorHAnsi"/>
          <w:sz w:val="20"/>
          <w:szCs w:val="20"/>
        </w:rPr>
        <w:t>єдиною</w:t>
      </w:r>
      <w:r w:rsidRPr="000977F7">
        <w:rPr>
          <w:rFonts w:asciiTheme="majorHAnsi" w:hAnsiTheme="majorHAnsi"/>
          <w:spacing w:val="-1"/>
          <w:sz w:val="20"/>
          <w:szCs w:val="20"/>
        </w:rPr>
        <w:t xml:space="preserve"> </w:t>
      </w:r>
      <w:r w:rsidRPr="000977F7">
        <w:rPr>
          <w:rFonts w:asciiTheme="majorHAnsi" w:hAnsiTheme="majorHAnsi"/>
          <w:sz w:val="20"/>
          <w:szCs w:val="20"/>
        </w:rPr>
        <w:t>системою</w:t>
      </w:r>
      <w:r w:rsidRPr="000977F7">
        <w:rPr>
          <w:rFonts w:asciiTheme="majorHAnsi" w:hAnsiTheme="majorHAnsi"/>
          <w:spacing w:val="2"/>
          <w:sz w:val="20"/>
          <w:szCs w:val="20"/>
        </w:rPr>
        <w:t xml:space="preserve"> </w:t>
      </w:r>
      <w:r w:rsidRPr="000977F7">
        <w:rPr>
          <w:rFonts w:asciiTheme="majorHAnsi" w:hAnsiTheme="majorHAnsi"/>
          <w:sz w:val="20"/>
          <w:szCs w:val="20"/>
        </w:rPr>
        <w:t>управління</w:t>
      </w:r>
    </w:p>
    <w:p w14:paraId="1FE7B36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Алмазно-розточувальний – для тонкого опоряджувального розточування отворів алмазними або твердосплавними різцями при високих швидкостях різання,</w:t>
      </w:r>
      <w:r w:rsidRPr="000977F7">
        <w:rPr>
          <w:rFonts w:asciiTheme="majorHAnsi" w:hAnsiTheme="majorHAnsi"/>
          <w:spacing w:val="-1"/>
          <w:sz w:val="20"/>
          <w:szCs w:val="20"/>
        </w:rPr>
        <w:t xml:space="preserve"> </w:t>
      </w:r>
      <w:r w:rsidRPr="000977F7">
        <w:rPr>
          <w:rFonts w:asciiTheme="majorHAnsi" w:hAnsiTheme="majorHAnsi"/>
          <w:sz w:val="20"/>
          <w:szCs w:val="20"/>
        </w:rPr>
        <w:t>малих подачах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глибинах</w:t>
      </w:r>
      <w:r w:rsidRPr="000977F7">
        <w:rPr>
          <w:rFonts w:asciiTheme="majorHAnsi" w:hAnsiTheme="majorHAnsi"/>
          <w:spacing w:val="-1"/>
          <w:sz w:val="20"/>
          <w:szCs w:val="20"/>
        </w:rPr>
        <w:t xml:space="preserve"> </w:t>
      </w:r>
      <w:r w:rsidRPr="000977F7">
        <w:rPr>
          <w:rFonts w:asciiTheme="majorHAnsi" w:hAnsiTheme="majorHAnsi"/>
          <w:sz w:val="20"/>
          <w:szCs w:val="20"/>
        </w:rPr>
        <w:t>різання</w:t>
      </w:r>
    </w:p>
    <w:p w14:paraId="16DB05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Багатоопераційний з ЧПУ – верстат з ЧПУ для різнотипних (фрезерувальних, свердлувальних, розточувальних,</w:t>
      </w:r>
      <w:r w:rsidRPr="000977F7">
        <w:rPr>
          <w:rFonts w:asciiTheme="majorHAnsi" w:hAnsiTheme="majorHAnsi"/>
          <w:spacing w:val="1"/>
          <w:sz w:val="20"/>
          <w:szCs w:val="20"/>
        </w:rPr>
        <w:t xml:space="preserve"> </w:t>
      </w:r>
      <w:r w:rsidRPr="000977F7">
        <w:rPr>
          <w:rFonts w:asciiTheme="majorHAnsi" w:hAnsiTheme="majorHAnsi"/>
          <w:sz w:val="20"/>
          <w:szCs w:val="20"/>
        </w:rPr>
        <w:t>токарних)</w:t>
      </w:r>
      <w:r w:rsidRPr="000977F7">
        <w:rPr>
          <w:rFonts w:asciiTheme="majorHAnsi" w:hAnsiTheme="majorHAnsi"/>
          <w:spacing w:val="1"/>
          <w:sz w:val="20"/>
          <w:szCs w:val="20"/>
        </w:rPr>
        <w:t xml:space="preserve"> </w:t>
      </w:r>
      <w:r w:rsidRPr="000977F7">
        <w:rPr>
          <w:rFonts w:asciiTheme="majorHAnsi" w:hAnsiTheme="majorHAnsi"/>
          <w:sz w:val="20"/>
          <w:szCs w:val="20"/>
        </w:rPr>
        <w:t>операцій</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необхідним</w:t>
      </w:r>
      <w:r w:rsidRPr="000977F7">
        <w:rPr>
          <w:rFonts w:asciiTheme="majorHAnsi" w:hAnsiTheme="majorHAnsi"/>
          <w:spacing w:val="1"/>
          <w:sz w:val="20"/>
          <w:szCs w:val="20"/>
        </w:rPr>
        <w:t xml:space="preserve"> </w:t>
      </w:r>
      <w:r w:rsidRPr="000977F7">
        <w:rPr>
          <w:rFonts w:asciiTheme="majorHAnsi" w:hAnsiTheme="majorHAnsi"/>
          <w:sz w:val="20"/>
          <w:szCs w:val="20"/>
        </w:rPr>
        <w:t>запасом</w:t>
      </w:r>
      <w:r w:rsidRPr="000977F7">
        <w:rPr>
          <w:rFonts w:asciiTheme="majorHAnsi" w:hAnsiTheme="majorHAnsi"/>
          <w:spacing w:val="1"/>
          <w:sz w:val="20"/>
          <w:szCs w:val="20"/>
        </w:rPr>
        <w:t xml:space="preserve"> </w:t>
      </w:r>
      <w:r w:rsidRPr="000977F7">
        <w:rPr>
          <w:rFonts w:asciiTheme="majorHAnsi" w:hAnsiTheme="majorHAnsi"/>
          <w:sz w:val="20"/>
          <w:szCs w:val="20"/>
        </w:rPr>
        <w:t>інструментів</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нагромаджувачі</w:t>
      </w:r>
    </w:p>
    <w:p w14:paraId="6B63AD5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Багатопозиційний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агрегатний</w:t>
      </w:r>
      <w:r w:rsidRPr="000977F7">
        <w:rPr>
          <w:rFonts w:asciiTheme="majorHAnsi" w:hAnsiTheme="majorHAnsi"/>
          <w:spacing w:val="1"/>
          <w:sz w:val="20"/>
          <w:szCs w:val="20"/>
        </w:rPr>
        <w:t xml:space="preserve"> </w:t>
      </w:r>
      <w:r w:rsidRPr="000977F7">
        <w:rPr>
          <w:rFonts w:asciiTheme="majorHAnsi" w:hAnsiTheme="majorHAnsi"/>
          <w:sz w:val="20"/>
          <w:szCs w:val="20"/>
        </w:rPr>
        <w:t>верстат,</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якому</w:t>
      </w:r>
      <w:r w:rsidRPr="000977F7">
        <w:rPr>
          <w:rFonts w:asciiTheme="majorHAnsi" w:hAnsiTheme="majorHAnsi"/>
          <w:spacing w:val="1"/>
          <w:sz w:val="20"/>
          <w:szCs w:val="20"/>
        </w:rPr>
        <w:t xml:space="preserve"> </w:t>
      </w:r>
      <w:r w:rsidRPr="000977F7">
        <w:rPr>
          <w:rFonts w:asciiTheme="majorHAnsi" w:hAnsiTheme="majorHAnsi"/>
          <w:sz w:val="20"/>
          <w:szCs w:val="20"/>
        </w:rPr>
        <w:t>обробка заготовок здійснюється паралельно або послідовно на декількох</w:t>
      </w:r>
      <w:r w:rsidRPr="000977F7">
        <w:rPr>
          <w:rFonts w:asciiTheme="majorHAnsi" w:hAnsiTheme="majorHAnsi"/>
          <w:spacing w:val="1"/>
          <w:sz w:val="20"/>
          <w:szCs w:val="20"/>
        </w:rPr>
        <w:t xml:space="preserve"> </w:t>
      </w:r>
      <w:r w:rsidRPr="000977F7">
        <w:rPr>
          <w:rFonts w:asciiTheme="majorHAnsi" w:hAnsiTheme="majorHAnsi"/>
          <w:sz w:val="20"/>
          <w:szCs w:val="20"/>
        </w:rPr>
        <w:t>позиціях</w:t>
      </w:r>
    </w:p>
    <w:p w14:paraId="69FD38A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Багаторізцевий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одночасної</w:t>
      </w:r>
      <w:r w:rsidRPr="000977F7">
        <w:rPr>
          <w:rFonts w:asciiTheme="majorHAnsi" w:hAnsiTheme="majorHAnsi"/>
          <w:spacing w:val="1"/>
          <w:sz w:val="20"/>
          <w:szCs w:val="20"/>
        </w:rPr>
        <w:t xml:space="preserve"> </w:t>
      </w:r>
      <w:r w:rsidRPr="000977F7">
        <w:rPr>
          <w:rFonts w:asciiTheme="majorHAnsi" w:hAnsiTheme="majorHAnsi"/>
          <w:sz w:val="20"/>
          <w:szCs w:val="20"/>
        </w:rPr>
        <w:t>обробки</w:t>
      </w:r>
      <w:r w:rsidRPr="000977F7">
        <w:rPr>
          <w:rFonts w:asciiTheme="majorHAnsi" w:hAnsiTheme="majorHAnsi"/>
          <w:spacing w:val="1"/>
          <w:sz w:val="20"/>
          <w:szCs w:val="20"/>
        </w:rPr>
        <w:t xml:space="preserve"> </w:t>
      </w:r>
      <w:r w:rsidRPr="000977F7">
        <w:rPr>
          <w:rFonts w:asciiTheme="majorHAnsi" w:hAnsiTheme="majorHAnsi"/>
          <w:sz w:val="20"/>
          <w:szCs w:val="20"/>
        </w:rPr>
        <w:t>різцями</w:t>
      </w:r>
      <w:r w:rsidRPr="000977F7">
        <w:rPr>
          <w:rFonts w:asciiTheme="majorHAnsi" w:hAnsiTheme="majorHAnsi"/>
          <w:spacing w:val="-47"/>
          <w:sz w:val="20"/>
          <w:szCs w:val="20"/>
        </w:rPr>
        <w:t xml:space="preserve"> </w:t>
      </w:r>
      <w:r w:rsidRPr="000977F7">
        <w:rPr>
          <w:rFonts w:asciiTheme="majorHAnsi" w:hAnsiTheme="majorHAnsi"/>
          <w:sz w:val="20"/>
          <w:szCs w:val="20"/>
        </w:rPr>
        <w:t>різних</w:t>
      </w:r>
      <w:r w:rsidRPr="000977F7">
        <w:rPr>
          <w:rFonts w:asciiTheme="majorHAnsi" w:hAnsiTheme="majorHAnsi"/>
          <w:spacing w:val="-2"/>
          <w:sz w:val="20"/>
          <w:szCs w:val="20"/>
        </w:rPr>
        <w:t xml:space="preserve"> </w:t>
      </w:r>
      <w:r w:rsidRPr="000977F7">
        <w:rPr>
          <w:rFonts w:asciiTheme="majorHAnsi" w:hAnsiTheme="majorHAnsi"/>
          <w:sz w:val="20"/>
          <w:szCs w:val="20"/>
        </w:rPr>
        <w:t>поверхонь заготовок</w:t>
      </w:r>
    </w:p>
    <w:p w14:paraId="3272F69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Багатошпиндельний – з трьома або більше шпинделями для закріплювання та обертання заготовки або</w:t>
      </w:r>
      <w:r w:rsidRPr="000977F7">
        <w:rPr>
          <w:rFonts w:asciiTheme="majorHAnsi" w:hAnsiTheme="majorHAnsi"/>
          <w:spacing w:val="1"/>
          <w:sz w:val="20"/>
          <w:szCs w:val="20"/>
        </w:rPr>
        <w:t xml:space="preserve"> </w:t>
      </w:r>
      <w:r w:rsidRPr="000977F7">
        <w:rPr>
          <w:rFonts w:asciiTheme="majorHAnsi" w:hAnsiTheme="majorHAnsi"/>
          <w:sz w:val="20"/>
          <w:szCs w:val="20"/>
        </w:rPr>
        <w:t>інструментів, якими обробляють заготовку одночасно</w:t>
      </w:r>
      <w:r w:rsidRPr="000977F7">
        <w:rPr>
          <w:rFonts w:asciiTheme="majorHAnsi" w:hAnsiTheme="majorHAnsi"/>
          <w:spacing w:val="1"/>
          <w:sz w:val="20"/>
          <w:szCs w:val="20"/>
        </w:rPr>
        <w:t xml:space="preserve"> </w:t>
      </w:r>
      <w:r w:rsidRPr="000977F7">
        <w:rPr>
          <w:rFonts w:asciiTheme="majorHAnsi" w:hAnsiTheme="majorHAnsi"/>
          <w:sz w:val="20"/>
          <w:szCs w:val="20"/>
        </w:rPr>
        <w:t>або послідовно</w:t>
      </w:r>
    </w:p>
    <w:p w14:paraId="7F6A16B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Балансувальний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зрівноваження</w:t>
      </w:r>
      <w:r w:rsidRPr="000977F7">
        <w:rPr>
          <w:rFonts w:asciiTheme="majorHAnsi" w:hAnsiTheme="majorHAnsi"/>
          <w:spacing w:val="1"/>
          <w:sz w:val="20"/>
          <w:szCs w:val="20"/>
        </w:rPr>
        <w:t xml:space="preserve"> </w:t>
      </w:r>
      <w:r w:rsidRPr="000977F7">
        <w:rPr>
          <w:rFonts w:asciiTheme="majorHAnsi" w:hAnsiTheme="majorHAnsi"/>
          <w:sz w:val="20"/>
          <w:szCs w:val="20"/>
        </w:rPr>
        <w:t>деталей,</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47"/>
          <w:sz w:val="20"/>
          <w:szCs w:val="20"/>
        </w:rPr>
        <w:t xml:space="preserve"> </w:t>
      </w:r>
      <w:r w:rsidRPr="000977F7">
        <w:rPr>
          <w:rFonts w:asciiTheme="majorHAnsi" w:hAnsiTheme="majorHAnsi"/>
          <w:sz w:val="20"/>
          <w:szCs w:val="20"/>
        </w:rPr>
        <w:t>обертаються</w:t>
      </w:r>
    </w:p>
    <w:p w14:paraId="23F5E52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Барабанно-фрезерний – фрезерний верстат з установкою заготовок на гранях барабана, що обертається,</w:t>
      </w:r>
      <w:r w:rsidRPr="000977F7">
        <w:rPr>
          <w:rFonts w:asciiTheme="majorHAnsi" w:hAnsiTheme="majorHAnsi"/>
          <w:spacing w:val="1"/>
          <w:sz w:val="20"/>
          <w:szCs w:val="20"/>
        </w:rPr>
        <w:t xml:space="preserve"> </w:t>
      </w:r>
      <w:r w:rsidRPr="000977F7">
        <w:rPr>
          <w:rFonts w:asciiTheme="majorHAnsi" w:hAnsiTheme="majorHAnsi"/>
          <w:sz w:val="20"/>
          <w:szCs w:val="20"/>
        </w:rPr>
        <w:t>для одночасної обробки двох торцових поверхонь, а</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2"/>
          <w:sz w:val="20"/>
          <w:szCs w:val="20"/>
        </w:rPr>
        <w:t xml:space="preserve"> </w:t>
      </w:r>
      <w:r w:rsidRPr="000977F7">
        <w:rPr>
          <w:rFonts w:asciiTheme="majorHAnsi" w:hAnsiTheme="majorHAnsi"/>
          <w:sz w:val="20"/>
          <w:szCs w:val="20"/>
        </w:rPr>
        <w:t>фрезерування</w:t>
      </w:r>
      <w:r w:rsidRPr="000977F7">
        <w:rPr>
          <w:rFonts w:asciiTheme="majorHAnsi" w:hAnsiTheme="majorHAnsi"/>
          <w:spacing w:val="-1"/>
          <w:sz w:val="20"/>
          <w:szCs w:val="20"/>
        </w:rPr>
        <w:t xml:space="preserve"> </w:t>
      </w:r>
      <w:r w:rsidRPr="000977F7">
        <w:rPr>
          <w:rFonts w:asciiTheme="majorHAnsi" w:hAnsiTheme="majorHAnsi"/>
          <w:sz w:val="20"/>
          <w:szCs w:val="20"/>
        </w:rPr>
        <w:t>пазів</w:t>
      </w:r>
    </w:p>
    <w:p w14:paraId="2B6533C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Безконсольний вертикальний фрезерний – вертикально-фрезерний</w:t>
      </w:r>
      <w:r w:rsidRPr="000977F7">
        <w:rPr>
          <w:rFonts w:asciiTheme="majorHAnsi" w:hAnsiTheme="majorHAnsi"/>
          <w:spacing w:val="1"/>
          <w:sz w:val="20"/>
          <w:szCs w:val="20"/>
        </w:rPr>
        <w:t xml:space="preserve"> </w:t>
      </w:r>
      <w:r w:rsidRPr="000977F7">
        <w:rPr>
          <w:rFonts w:asciiTheme="majorHAnsi" w:hAnsiTheme="majorHAnsi"/>
          <w:sz w:val="20"/>
          <w:szCs w:val="20"/>
        </w:rPr>
        <w:t>верстат</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хрестоподібними</w:t>
      </w:r>
      <w:r w:rsidRPr="000977F7">
        <w:rPr>
          <w:rFonts w:asciiTheme="majorHAnsi" w:hAnsiTheme="majorHAnsi"/>
          <w:spacing w:val="1"/>
          <w:sz w:val="20"/>
          <w:szCs w:val="20"/>
        </w:rPr>
        <w:t xml:space="preserve"> </w:t>
      </w:r>
      <w:r w:rsidRPr="000977F7">
        <w:rPr>
          <w:rFonts w:asciiTheme="majorHAnsi" w:hAnsiTheme="majorHAnsi"/>
          <w:sz w:val="20"/>
          <w:szCs w:val="20"/>
        </w:rPr>
        <w:t>направляючими</w:t>
      </w:r>
      <w:r w:rsidRPr="000977F7">
        <w:rPr>
          <w:rFonts w:asciiTheme="majorHAnsi" w:hAnsiTheme="majorHAnsi"/>
          <w:spacing w:val="-3"/>
          <w:sz w:val="20"/>
          <w:szCs w:val="20"/>
        </w:rPr>
        <w:t xml:space="preserve"> </w:t>
      </w:r>
      <w:r w:rsidRPr="000977F7">
        <w:rPr>
          <w:rFonts w:asciiTheme="majorHAnsi" w:hAnsiTheme="majorHAnsi"/>
          <w:sz w:val="20"/>
          <w:szCs w:val="20"/>
        </w:rPr>
        <w:t>стола, який не</w:t>
      </w:r>
      <w:r w:rsidRPr="000977F7">
        <w:rPr>
          <w:rFonts w:asciiTheme="majorHAnsi" w:hAnsiTheme="majorHAnsi"/>
          <w:spacing w:val="-1"/>
          <w:sz w:val="20"/>
          <w:szCs w:val="20"/>
        </w:rPr>
        <w:t xml:space="preserve"> </w:t>
      </w:r>
      <w:r w:rsidRPr="000977F7">
        <w:rPr>
          <w:rFonts w:asciiTheme="majorHAnsi" w:hAnsiTheme="majorHAnsi"/>
          <w:sz w:val="20"/>
          <w:szCs w:val="20"/>
        </w:rPr>
        <w:t>має вертикальної</w:t>
      </w:r>
      <w:r w:rsidRPr="000977F7">
        <w:rPr>
          <w:rFonts w:asciiTheme="majorHAnsi" w:hAnsiTheme="majorHAnsi"/>
          <w:spacing w:val="-2"/>
          <w:sz w:val="20"/>
          <w:szCs w:val="20"/>
        </w:rPr>
        <w:t xml:space="preserve"> </w:t>
      </w:r>
      <w:r w:rsidRPr="000977F7">
        <w:rPr>
          <w:rFonts w:asciiTheme="majorHAnsi" w:hAnsiTheme="majorHAnsi"/>
          <w:sz w:val="20"/>
          <w:szCs w:val="20"/>
        </w:rPr>
        <w:t>подачі</w:t>
      </w:r>
    </w:p>
    <w:p w14:paraId="648049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Безцентрово-шліфувальний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внутрішнього</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зовнішнього</w:t>
      </w:r>
      <w:r w:rsidRPr="000977F7">
        <w:rPr>
          <w:rFonts w:asciiTheme="majorHAnsi" w:hAnsiTheme="majorHAnsi"/>
          <w:spacing w:val="1"/>
          <w:sz w:val="20"/>
          <w:szCs w:val="20"/>
        </w:rPr>
        <w:t xml:space="preserve"> </w:t>
      </w:r>
      <w:r w:rsidRPr="000977F7">
        <w:rPr>
          <w:rFonts w:asciiTheme="majorHAnsi" w:hAnsiTheme="majorHAnsi"/>
          <w:sz w:val="20"/>
          <w:szCs w:val="20"/>
        </w:rPr>
        <w:t>шліфування,</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якому</w:t>
      </w:r>
      <w:r w:rsidRPr="000977F7">
        <w:rPr>
          <w:rFonts w:asciiTheme="majorHAnsi" w:hAnsiTheme="majorHAnsi"/>
          <w:spacing w:val="1"/>
          <w:sz w:val="20"/>
          <w:szCs w:val="20"/>
        </w:rPr>
        <w:t xml:space="preserve"> </w:t>
      </w:r>
      <w:r w:rsidRPr="000977F7">
        <w:rPr>
          <w:rFonts w:asciiTheme="majorHAnsi" w:hAnsiTheme="majorHAnsi"/>
          <w:sz w:val="20"/>
          <w:szCs w:val="20"/>
        </w:rPr>
        <w:t>оброблювана</w:t>
      </w:r>
      <w:r w:rsidRPr="000977F7">
        <w:rPr>
          <w:rFonts w:asciiTheme="majorHAnsi" w:hAnsiTheme="majorHAnsi"/>
          <w:spacing w:val="1"/>
          <w:sz w:val="20"/>
          <w:szCs w:val="20"/>
        </w:rPr>
        <w:t xml:space="preserve"> </w:t>
      </w:r>
      <w:r w:rsidRPr="000977F7">
        <w:rPr>
          <w:rFonts w:asciiTheme="majorHAnsi" w:hAnsiTheme="majorHAnsi"/>
          <w:sz w:val="20"/>
          <w:szCs w:val="20"/>
        </w:rPr>
        <w:t>деталь розташована між двома шліфувальними кругами</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перехрещуваними</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малим</w:t>
      </w:r>
      <w:r w:rsidRPr="000977F7">
        <w:rPr>
          <w:rFonts w:asciiTheme="majorHAnsi" w:hAnsiTheme="majorHAnsi"/>
          <w:spacing w:val="1"/>
          <w:sz w:val="20"/>
          <w:szCs w:val="20"/>
        </w:rPr>
        <w:t xml:space="preserve"> </w:t>
      </w:r>
      <w:r w:rsidRPr="000977F7">
        <w:rPr>
          <w:rFonts w:asciiTheme="majorHAnsi" w:hAnsiTheme="majorHAnsi"/>
          <w:sz w:val="20"/>
          <w:szCs w:val="20"/>
        </w:rPr>
        <w:t>кутом)</w:t>
      </w:r>
      <w:r w:rsidRPr="000977F7">
        <w:rPr>
          <w:rFonts w:asciiTheme="majorHAnsi" w:hAnsiTheme="majorHAnsi"/>
          <w:spacing w:val="1"/>
          <w:sz w:val="20"/>
          <w:szCs w:val="20"/>
        </w:rPr>
        <w:t xml:space="preserve"> </w:t>
      </w:r>
      <w:r w:rsidRPr="000977F7">
        <w:rPr>
          <w:rFonts w:asciiTheme="majorHAnsi" w:hAnsiTheme="majorHAnsi"/>
          <w:sz w:val="20"/>
          <w:szCs w:val="20"/>
        </w:rPr>
        <w:t>вісями</w:t>
      </w:r>
      <w:r w:rsidRPr="000977F7">
        <w:rPr>
          <w:rFonts w:asciiTheme="majorHAnsi" w:hAnsiTheme="majorHAnsi"/>
          <w:spacing w:val="-47"/>
          <w:sz w:val="20"/>
          <w:szCs w:val="20"/>
        </w:rPr>
        <w:t xml:space="preserve"> </w:t>
      </w:r>
      <w:r w:rsidRPr="000977F7">
        <w:rPr>
          <w:rFonts w:asciiTheme="majorHAnsi" w:hAnsiTheme="majorHAnsi"/>
          <w:sz w:val="20"/>
          <w:szCs w:val="20"/>
        </w:rPr>
        <w:t>обертається за рахунок сил тертя і переміщується за</w:t>
      </w:r>
      <w:r w:rsidRPr="000977F7">
        <w:rPr>
          <w:rFonts w:asciiTheme="majorHAnsi" w:hAnsiTheme="majorHAnsi"/>
          <w:spacing w:val="1"/>
          <w:sz w:val="20"/>
          <w:szCs w:val="20"/>
        </w:rPr>
        <w:t xml:space="preserve"> </w:t>
      </w:r>
      <w:r w:rsidRPr="000977F7">
        <w:rPr>
          <w:rFonts w:asciiTheme="majorHAnsi" w:hAnsiTheme="majorHAnsi"/>
          <w:sz w:val="20"/>
          <w:szCs w:val="20"/>
        </w:rPr>
        <w:t>рахунок</w:t>
      </w:r>
      <w:r w:rsidRPr="000977F7">
        <w:rPr>
          <w:rFonts w:asciiTheme="majorHAnsi" w:hAnsiTheme="majorHAnsi"/>
          <w:spacing w:val="-2"/>
          <w:sz w:val="20"/>
          <w:szCs w:val="20"/>
        </w:rPr>
        <w:t xml:space="preserve"> </w:t>
      </w:r>
      <w:r w:rsidRPr="000977F7">
        <w:rPr>
          <w:rFonts w:asciiTheme="majorHAnsi" w:hAnsiTheme="majorHAnsi"/>
          <w:sz w:val="20"/>
          <w:szCs w:val="20"/>
        </w:rPr>
        <w:t>осьової</w:t>
      </w:r>
      <w:r w:rsidRPr="000977F7">
        <w:rPr>
          <w:rFonts w:asciiTheme="majorHAnsi" w:hAnsiTheme="majorHAnsi"/>
          <w:spacing w:val="-1"/>
          <w:sz w:val="20"/>
          <w:szCs w:val="20"/>
        </w:rPr>
        <w:t xml:space="preserve"> </w:t>
      </w:r>
      <w:r w:rsidRPr="000977F7">
        <w:rPr>
          <w:rFonts w:asciiTheme="majorHAnsi" w:hAnsiTheme="majorHAnsi"/>
          <w:sz w:val="20"/>
          <w:szCs w:val="20"/>
        </w:rPr>
        <w:t>складової</w:t>
      </w:r>
      <w:r w:rsidRPr="000977F7">
        <w:rPr>
          <w:rFonts w:asciiTheme="majorHAnsi" w:hAnsiTheme="majorHAnsi"/>
          <w:spacing w:val="-2"/>
          <w:sz w:val="20"/>
          <w:szCs w:val="20"/>
        </w:rPr>
        <w:t xml:space="preserve"> </w:t>
      </w:r>
      <w:r w:rsidRPr="000977F7">
        <w:rPr>
          <w:rFonts w:asciiTheme="majorHAnsi" w:hAnsiTheme="majorHAnsi"/>
          <w:sz w:val="20"/>
          <w:szCs w:val="20"/>
        </w:rPr>
        <w:t>сили</w:t>
      </w:r>
      <w:r w:rsidRPr="000977F7">
        <w:rPr>
          <w:rFonts w:asciiTheme="majorHAnsi" w:hAnsiTheme="majorHAnsi"/>
          <w:spacing w:val="-1"/>
          <w:sz w:val="20"/>
          <w:szCs w:val="20"/>
        </w:rPr>
        <w:t xml:space="preserve"> </w:t>
      </w:r>
      <w:r w:rsidRPr="000977F7">
        <w:rPr>
          <w:rFonts w:asciiTheme="majorHAnsi" w:hAnsiTheme="majorHAnsi"/>
          <w:sz w:val="20"/>
          <w:szCs w:val="20"/>
        </w:rPr>
        <w:t>різання</w:t>
      </w:r>
    </w:p>
    <w:p w14:paraId="28A3299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Болтонарізний – для нарізання різі на болтах, шпильках,</w:t>
      </w:r>
      <w:r w:rsidRPr="000977F7">
        <w:rPr>
          <w:rFonts w:asciiTheme="majorHAnsi" w:hAnsiTheme="majorHAnsi"/>
          <w:spacing w:val="-1"/>
          <w:sz w:val="20"/>
          <w:szCs w:val="20"/>
        </w:rPr>
        <w:t xml:space="preserve"> </w:t>
      </w:r>
      <w:r w:rsidRPr="000977F7">
        <w:rPr>
          <w:rFonts w:asciiTheme="majorHAnsi" w:hAnsiTheme="majorHAnsi"/>
          <w:sz w:val="20"/>
          <w:szCs w:val="20"/>
        </w:rPr>
        <w:t>гвинтах</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т.п.</w:t>
      </w:r>
    </w:p>
    <w:p w14:paraId="167EF5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Вальцетокарний – спеціалізований верстат для </w:t>
      </w:r>
    </w:p>
    <w:p w14:paraId="1F9259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обробки гладких та фасонних валків прокатних станів та</w:t>
      </w:r>
      <w:r w:rsidRPr="000977F7">
        <w:rPr>
          <w:rFonts w:asciiTheme="majorHAnsi" w:hAnsiTheme="majorHAnsi"/>
          <w:spacing w:val="-47"/>
          <w:sz w:val="20"/>
          <w:szCs w:val="20"/>
        </w:rPr>
        <w:t xml:space="preserve">               </w:t>
      </w:r>
      <w:r w:rsidRPr="000977F7">
        <w:rPr>
          <w:rFonts w:asciiTheme="majorHAnsi" w:hAnsiTheme="majorHAnsi"/>
          <w:sz w:val="20"/>
          <w:szCs w:val="20"/>
        </w:rPr>
        <w:t>великогабаритних</w:t>
      </w:r>
      <w:r w:rsidRPr="000977F7">
        <w:rPr>
          <w:rFonts w:asciiTheme="majorHAnsi" w:hAnsiTheme="majorHAnsi"/>
          <w:spacing w:val="-2"/>
          <w:sz w:val="20"/>
          <w:szCs w:val="20"/>
        </w:rPr>
        <w:t xml:space="preserve"> </w:t>
      </w:r>
      <w:r w:rsidRPr="000977F7">
        <w:rPr>
          <w:rFonts w:asciiTheme="majorHAnsi" w:hAnsiTheme="majorHAnsi"/>
          <w:sz w:val="20"/>
          <w:szCs w:val="20"/>
        </w:rPr>
        <w:t>циліндрів</w:t>
      </w:r>
    </w:p>
    <w:p w14:paraId="4C71530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Вертикально-протяжний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обробки</w:t>
      </w:r>
      <w:r w:rsidRPr="000977F7">
        <w:rPr>
          <w:rFonts w:asciiTheme="majorHAnsi" w:hAnsiTheme="majorHAnsi"/>
          <w:spacing w:val="1"/>
          <w:sz w:val="20"/>
          <w:szCs w:val="20"/>
        </w:rPr>
        <w:t xml:space="preserve"> </w:t>
      </w:r>
      <w:r w:rsidRPr="000977F7">
        <w:rPr>
          <w:rFonts w:asciiTheme="majorHAnsi" w:hAnsiTheme="majorHAnsi"/>
          <w:sz w:val="20"/>
          <w:szCs w:val="20"/>
        </w:rPr>
        <w:t>зовнішніх</w:t>
      </w:r>
      <w:r w:rsidRPr="000977F7">
        <w:rPr>
          <w:rFonts w:asciiTheme="majorHAnsi" w:hAnsiTheme="majorHAnsi"/>
          <w:spacing w:val="1"/>
          <w:sz w:val="20"/>
          <w:szCs w:val="20"/>
        </w:rPr>
        <w:t xml:space="preserve"> </w:t>
      </w:r>
      <w:r w:rsidRPr="000977F7">
        <w:rPr>
          <w:rFonts w:asciiTheme="majorHAnsi" w:hAnsiTheme="majorHAnsi"/>
          <w:sz w:val="20"/>
          <w:szCs w:val="20"/>
        </w:rPr>
        <w:t>поверхонь різних профілів із зворотньо поступовим</w:t>
      </w:r>
      <w:r w:rsidRPr="000977F7">
        <w:rPr>
          <w:rFonts w:asciiTheme="majorHAnsi" w:hAnsiTheme="majorHAnsi"/>
          <w:spacing w:val="1"/>
          <w:sz w:val="20"/>
          <w:szCs w:val="20"/>
        </w:rPr>
        <w:t xml:space="preserve"> </w:t>
      </w:r>
      <w:r w:rsidRPr="000977F7">
        <w:rPr>
          <w:rFonts w:asciiTheme="majorHAnsi" w:hAnsiTheme="majorHAnsi"/>
          <w:sz w:val="20"/>
          <w:szCs w:val="20"/>
        </w:rPr>
        <w:t>вертикальним</w:t>
      </w:r>
      <w:r w:rsidRPr="000977F7">
        <w:rPr>
          <w:rFonts w:asciiTheme="majorHAnsi" w:hAnsiTheme="majorHAnsi"/>
          <w:spacing w:val="-3"/>
          <w:sz w:val="20"/>
          <w:szCs w:val="20"/>
        </w:rPr>
        <w:t xml:space="preserve"> </w:t>
      </w:r>
      <w:r w:rsidRPr="000977F7">
        <w:rPr>
          <w:rFonts w:asciiTheme="majorHAnsi" w:hAnsiTheme="majorHAnsi"/>
          <w:sz w:val="20"/>
          <w:szCs w:val="20"/>
        </w:rPr>
        <w:t>переміщенням</w:t>
      </w:r>
      <w:r w:rsidRPr="000977F7">
        <w:rPr>
          <w:rFonts w:asciiTheme="majorHAnsi" w:hAnsiTheme="majorHAnsi"/>
          <w:spacing w:val="-3"/>
          <w:sz w:val="20"/>
          <w:szCs w:val="20"/>
        </w:rPr>
        <w:t xml:space="preserve"> </w:t>
      </w:r>
      <w:r w:rsidRPr="000977F7">
        <w:rPr>
          <w:rFonts w:asciiTheme="majorHAnsi" w:hAnsiTheme="majorHAnsi"/>
          <w:sz w:val="20"/>
          <w:szCs w:val="20"/>
        </w:rPr>
        <w:t>інструментів-протяжок</w:t>
      </w:r>
    </w:p>
    <w:p w14:paraId="3289F9F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Вертикально-свердлувальний – з вертикальним розташуванням</w:t>
      </w:r>
      <w:r w:rsidRPr="000977F7">
        <w:rPr>
          <w:rFonts w:asciiTheme="majorHAnsi" w:hAnsiTheme="majorHAnsi"/>
          <w:spacing w:val="-1"/>
          <w:sz w:val="20"/>
          <w:szCs w:val="20"/>
        </w:rPr>
        <w:t xml:space="preserve"> </w:t>
      </w:r>
      <w:r w:rsidRPr="000977F7">
        <w:rPr>
          <w:rFonts w:asciiTheme="majorHAnsi" w:hAnsiTheme="majorHAnsi"/>
          <w:sz w:val="20"/>
          <w:szCs w:val="20"/>
        </w:rPr>
        <w:t>вісі шпинделя</w:t>
      </w:r>
    </w:p>
    <w:p w14:paraId="724695A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Внутрішньошліфувальний – для внутрішнього шліфування</w:t>
      </w:r>
      <w:r w:rsidRPr="000977F7">
        <w:rPr>
          <w:rFonts w:asciiTheme="majorHAnsi" w:hAnsiTheme="majorHAnsi"/>
          <w:spacing w:val="-2"/>
          <w:sz w:val="20"/>
          <w:szCs w:val="20"/>
        </w:rPr>
        <w:t xml:space="preserve"> </w:t>
      </w:r>
      <w:r w:rsidRPr="000977F7">
        <w:rPr>
          <w:rFonts w:asciiTheme="majorHAnsi" w:hAnsiTheme="majorHAnsi"/>
          <w:sz w:val="20"/>
          <w:szCs w:val="20"/>
        </w:rPr>
        <w:t>різних</w:t>
      </w:r>
      <w:r w:rsidRPr="000977F7">
        <w:rPr>
          <w:rFonts w:asciiTheme="majorHAnsi" w:hAnsiTheme="majorHAnsi"/>
          <w:spacing w:val="-1"/>
          <w:sz w:val="20"/>
          <w:szCs w:val="20"/>
        </w:rPr>
        <w:t xml:space="preserve"> </w:t>
      </w:r>
      <w:r w:rsidRPr="000977F7">
        <w:rPr>
          <w:rFonts w:asciiTheme="majorHAnsi" w:hAnsiTheme="majorHAnsi"/>
          <w:sz w:val="20"/>
          <w:szCs w:val="20"/>
        </w:rPr>
        <w:t>поверхонь</w:t>
      </w:r>
    </w:p>
    <w:p w14:paraId="18E8E2BE"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Вісетокарний – для виготовлення вісей колісних пар</w:t>
      </w:r>
      <w:r w:rsidRPr="000977F7">
        <w:rPr>
          <w:rFonts w:asciiTheme="majorHAnsi" w:hAnsiTheme="majorHAnsi"/>
          <w:spacing w:val="-47"/>
          <w:sz w:val="20"/>
          <w:szCs w:val="20"/>
        </w:rPr>
        <w:t xml:space="preserve"> </w:t>
      </w:r>
    </w:p>
    <w:p w14:paraId="394F65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Гайконарізний – для нарізання різі в гайках</w:t>
      </w:r>
      <w:r w:rsidRPr="000977F7">
        <w:rPr>
          <w:rFonts w:asciiTheme="majorHAnsi" w:hAnsiTheme="majorHAnsi"/>
          <w:spacing w:val="1"/>
          <w:sz w:val="20"/>
          <w:szCs w:val="20"/>
        </w:rPr>
        <w:t xml:space="preserve"> </w:t>
      </w:r>
      <w:r w:rsidRPr="000977F7">
        <w:rPr>
          <w:rFonts w:asciiTheme="majorHAnsi" w:hAnsiTheme="majorHAnsi"/>
          <w:sz w:val="20"/>
          <w:szCs w:val="20"/>
        </w:rPr>
        <w:t>Гідрокопіювальний</w:t>
      </w:r>
      <w:r w:rsidRPr="000977F7">
        <w:rPr>
          <w:rFonts w:asciiTheme="majorHAnsi" w:hAnsiTheme="majorHAnsi"/>
          <w:spacing w:val="17"/>
          <w:sz w:val="20"/>
          <w:szCs w:val="20"/>
        </w:rPr>
        <w:t xml:space="preserve"> </w:t>
      </w:r>
      <w:r w:rsidRPr="000977F7">
        <w:rPr>
          <w:rFonts w:asciiTheme="majorHAnsi" w:hAnsiTheme="majorHAnsi"/>
          <w:sz w:val="20"/>
          <w:szCs w:val="20"/>
        </w:rPr>
        <w:t>–</w:t>
      </w:r>
      <w:r w:rsidRPr="000977F7">
        <w:rPr>
          <w:rFonts w:asciiTheme="majorHAnsi" w:hAnsiTheme="majorHAnsi"/>
          <w:spacing w:val="17"/>
          <w:sz w:val="20"/>
          <w:szCs w:val="20"/>
        </w:rPr>
        <w:t xml:space="preserve"> </w:t>
      </w:r>
      <w:r w:rsidRPr="000977F7">
        <w:rPr>
          <w:rFonts w:asciiTheme="majorHAnsi" w:hAnsiTheme="majorHAnsi"/>
          <w:sz w:val="20"/>
          <w:szCs w:val="20"/>
        </w:rPr>
        <w:t>з</w:t>
      </w:r>
      <w:r w:rsidRPr="000977F7">
        <w:rPr>
          <w:rFonts w:asciiTheme="majorHAnsi" w:hAnsiTheme="majorHAnsi"/>
          <w:spacing w:val="16"/>
          <w:sz w:val="20"/>
          <w:szCs w:val="20"/>
        </w:rPr>
        <w:t xml:space="preserve"> </w:t>
      </w:r>
      <w:r w:rsidRPr="000977F7">
        <w:rPr>
          <w:rFonts w:asciiTheme="majorHAnsi" w:hAnsiTheme="majorHAnsi"/>
          <w:sz w:val="20"/>
          <w:szCs w:val="20"/>
        </w:rPr>
        <w:t>гідравлічно</w:t>
      </w:r>
      <w:r w:rsidRPr="000977F7">
        <w:rPr>
          <w:rFonts w:asciiTheme="majorHAnsi" w:hAnsiTheme="majorHAnsi"/>
          <w:spacing w:val="16"/>
          <w:sz w:val="20"/>
          <w:szCs w:val="20"/>
        </w:rPr>
        <w:t xml:space="preserve"> </w:t>
      </w:r>
      <w:r w:rsidRPr="000977F7">
        <w:rPr>
          <w:rFonts w:asciiTheme="majorHAnsi" w:hAnsiTheme="majorHAnsi"/>
          <w:sz w:val="20"/>
          <w:szCs w:val="20"/>
        </w:rPr>
        <w:t>керованим</w:t>
      </w:r>
      <w:r w:rsidRPr="000977F7">
        <w:rPr>
          <w:rFonts w:asciiTheme="majorHAnsi" w:hAnsiTheme="majorHAnsi"/>
          <w:spacing w:val="18"/>
          <w:sz w:val="20"/>
          <w:szCs w:val="20"/>
        </w:rPr>
        <w:t xml:space="preserve"> </w:t>
      </w:r>
      <w:r w:rsidRPr="000977F7">
        <w:rPr>
          <w:rFonts w:asciiTheme="majorHAnsi" w:hAnsiTheme="majorHAnsi"/>
          <w:sz w:val="20"/>
          <w:szCs w:val="20"/>
        </w:rPr>
        <w:t>копі-</w:t>
      </w:r>
    </w:p>
    <w:p w14:paraId="35EAF9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ювальним</w:t>
      </w:r>
      <w:r w:rsidRPr="000977F7">
        <w:rPr>
          <w:rFonts w:asciiTheme="majorHAnsi" w:hAnsiTheme="majorHAnsi"/>
          <w:spacing w:val="-5"/>
          <w:sz w:val="20"/>
          <w:szCs w:val="20"/>
        </w:rPr>
        <w:t xml:space="preserve"> </w:t>
      </w:r>
      <w:r w:rsidRPr="000977F7">
        <w:rPr>
          <w:rFonts w:asciiTheme="majorHAnsi" w:hAnsiTheme="majorHAnsi"/>
          <w:sz w:val="20"/>
          <w:szCs w:val="20"/>
        </w:rPr>
        <w:t>пристроєм</w:t>
      </w:r>
    </w:p>
    <w:p w14:paraId="1264FE8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Горизонтально-протяжний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головним</w:t>
      </w:r>
      <w:r w:rsidRPr="000977F7">
        <w:rPr>
          <w:rFonts w:asciiTheme="majorHAnsi" w:hAnsiTheme="majorHAnsi"/>
          <w:spacing w:val="1"/>
          <w:sz w:val="20"/>
          <w:szCs w:val="20"/>
        </w:rPr>
        <w:t xml:space="preserve"> </w:t>
      </w:r>
      <w:r w:rsidRPr="000977F7">
        <w:rPr>
          <w:rFonts w:asciiTheme="majorHAnsi" w:hAnsiTheme="majorHAnsi"/>
          <w:sz w:val="20"/>
          <w:szCs w:val="20"/>
        </w:rPr>
        <w:t>чином</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внутрішнього</w:t>
      </w:r>
      <w:r w:rsidRPr="000977F7">
        <w:rPr>
          <w:rFonts w:asciiTheme="majorHAnsi" w:hAnsiTheme="majorHAnsi"/>
          <w:spacing w:val="1"/>
          <w:sz w:val="20"/>
          <w:szCs w:val="20"/>
        </w:rPr>
        <w:t xml:space="preserve"> </w:t>
      </w:r>
      <w:r w:rsidRPr="000977F7">
        <w:rPr>
          <w:rFonts w:asciiTheme="majorHAnsi" w:hAnsiTheme="majorHAnsi"/>
          <w:sz w:val="20"/>
          <w:szCs w:val="20"/>
        </w:rPr>
        <w:t>протягування</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горизонтальним</w:t>
      </w:r>
      <w:r w:rsidRPr="000977F7">
        <w:rPr>
          <w:rFonts w:asciiTheme="majorHAnsi" w:hAnsiTheme="majorHAnsi"/>
          <w:spacing w:val="1"/>
          <w:sz w:val="20"/>
          <w:szCs w:val="20"/>
        </w:rPr>
        <w:t xml:space="preserve"> </w:t>
      </w:r>
      <w:r w:rsidRPr="000977F7">
        <w:rPr>
          <w:rFonts w:asciiTheme="majorHAnsi" w:hAnsiTheme="majorHAnsi"/>
          <w:sz w:val="20"/>
          <w:szCs w:val="20"/>
        </w:rPr>
        <w:t>пере</w:t>
      </w:r>
      <w:r w:rsidRPr="000977F7">
        <w:rPr>
          <w:rFonts w:asciiTheme="majorHAnsi" w:hAnsiTheme="majorHAnsi"/>
          <w:spacing w:val="-47"/>
          <w:sz w:val="20"/>
          <w:szCs w:val="20"/>
        </w:rPr>
        <w:t xml:space="preserve"> </w:t>
      </w:r>
      <w:r w:rsidRPr="000977F7">
        <w:rPr>
          <w:rFonts w:asciiTheme="majorHAnsi" w:hAnsiTheme="majorHAnsi"/>
          <w:sz w:val="20"/>
          <w:szCs w:val="20"/>
        </w:rPr>
        <w:t>міщенням</w:t>
      </w:r>
      <w:r w:rsidRPr="000977F7">
        <w:rPr>
          <w:rFonts w:asciiTheme="majorHAnsi" w:hAnsiTheme="majorHAnsi"/>
          <w:spacing w:val="-1"/>
          <w:sz w:val="20"/>
          <w:szCs w:val="20"/>
        </w:rPr>
        <w:t xml:space="preserve"> </w:t>
      </w:r>
      <w:r w:rsidRPr="000977F7">
        <w:rPr>
          <w:rFonts w:asciiTheme="majorHAnsi" w:hAnsiTheme="majorHAnsi"/>
          <w:sz w:val="20"/>
          <w:szCs w:val="20"/>
        </w:rPr>
        <w:t>інструментів-протяжок</w:t>
      </w:r>
    </w:p>
    <w:p w14:paraId="47860F3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Горизонтально-розточувальний</w:t>
      </w:r>
      <w:r w:rsidRPr="000977F7">
        <w:rPr>
          <w:rFonts w:asciiTheme="majorHAnsi" w:hAnsiTheme="majorHAnsi"/>
          <w:spacing w:val="1"/>
          <w:sz w:val="20"/>
          <w:szCs w:val="20"/>
        </w:rPr>
        <w:t xml:space="preserve"> </w:t>
      </w:r>
      <w:r w:rsidRPr="000977F7">
        <w:rPr>
          <w:rFonts w:asciiTheme="majorHAnsi" w:hAnsiTheme="majorHAnsi"/>
          <w:sz w:val="20"/>
          <w:szCs w:val="20"/>
        </w:rPr>
        <w:t>(свердлувальний,</w:t>
      </w:r>
      <w:r w:rsidRPr="000977F7">
        <w:rPr>
          <w:rFonts w:asciiTheme="majorHAnsi" w:hAnsiTheme="majorHAnsi"/>
          <w:spacing w:val="-47"/>
          <w:sz w:val="20"/>
          <w:szCs w:val="20"/>
        </w:rPr>
        <w:t xml:space="preserve"> </w:t>
      </w:r>
      <w:r w:rsidRPr="000977F7">
        <w:rPr>
          <w:rFonts w:asciiTheme="majorHAnsi" w:hAnsiTheme="majorHAnsi"/>
          <w:sz w:val="20"/>
          <w:szCs w:val="20"/>
        </w:rPr>
        <w:t>фрезерний)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горизонтальним</w:t>
      </w:r>
      <w:r w:rsidRPr="000977F7">
        <w:rPr>
          <w:rFonts w:asciiTheme="majorHAnsi" w:hAnsiTheme="majorHAnsi"/>
          <w:spacing w:val="1"/>
          <w:sz w:val="20"/>
          <w:szCs w:val="20"/>
        </w:rPr>
        <w:t xml:space="preserve"> </w:t>
      </w:r>
      <w:r w:rsidRPr="000977F7">
        <w:rPr>
          <w:rFonts w:asciiTheme="majorHAnsi" w:hAnsiTheme="majorHAnsi"/>
          <w:sz w:val="20"/>
          <w:szCs w:val="20"/>
        </w:rPr>
        <w:t>розташуванням</w:t>
      </w:r>
      <w:r w:rsidRPr="000977F7">
        <w:rPr>
          <w:rFonts w:asciiTheme="majorHAnsi" w:hAnsiTheme="majorHAnsi"/>
          <w:spacing w:val="1"/>
          <w:sz w:val="20"/>
          <w:szCs w:val="20"/>
        </w:rPr>
        <w:t xml:space="preserve"> </w:t>
      </w:r>
      <w:r w:rsidRPr="000977F7">
        <w:rPr>
          <w:rFonts w:asciiTheme="majorHAnsi" w:hAnsiTheme="majorHAnsi"/>
          <w:sz w:val="20"/>
          <w:szCs w:val="20"/>
        </w:rPr>
        <w:t>вісі</w:t>
      </w:r>
      <w:r w:rsidRPr="000977F7">
        <w:rPr>
          <w:rFonts w:asciiTheme="majorHAnsi" w:hAnsiTheme="majorHAnsi"/>
          <w:spacing w:val="-47"/>
          <w:sz w:val="20"/>
          <w:szCs w:val="20"/>
        </w:rPr>
        <w:t xml:space="preserve"> </w:t>
      </w:r>
      <w:r w:rsidRPr="000977F7">
        <w:rPr>
          <w:rFonts w:asciiTheme="majorHAnsi" w:hAnsiTheme="majorHAnsi"/>
          <w:sz w:val="20"/>
          <w:szCs w:val="20"/>
        </w:rPr>
        <w:t>шпинделя</w:t>
      </w:r>
    </w:p>
    <w:p w14:paraId="7D034A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Гравіювальний – копіювально фрезерний верстат з</w:t>
      </w:r>
      <w:r w:rsidRPr="000977F7">
        <w:rPr>
          <w:rFonts w:asciiTheme="majorHAnsi" w:hAnsiTheme="majorHAnsi"/>
          <w:spacing w:val="1"/>
          <w:sz w:val="20"/>
          <w:szCs w:val="20"/>
        </w:rPr>
        <w:t xml:space="preserve"> </w:t>
      </w:r>
      <w:r w:rsidRPr="000977F7">
        <w:rPr>
          <w:rFonts w:asciiTheme="majorHAnsi" w:hAnsiTheme="majorHAnsi"/>
          <w:sz w:val="20"/>
          <w:szCs w:val="20"/>
        </w:rPr>
        <w:t>пристроєм для</w:t>
      </w:r>
      <w:r w:rsidRPr="000977F7">
        <w:rPr>
          <w:rFonts w:asciiTheme="majorHAnsi" w:hAnsiTheme="majorHAnsi"/>
          <w:spacing w:val="-1"/>
          <w:sz w:val="20"/>
          <w:szCs w:val="20"/>
        </w:rPr>
        <w:t xml:space="preserve"> </w:t>
      </w:r>
      <w:r w:rsidRPr="000977F7">
        <w:rPr>
          <w:rFonts w:asciiTheme="majorHAnsi" w:hAnsiTheme="majorHAnsi"/>
          <w:sz w:val="20"/>
          <w:szCs w:val="20"/>
        </w:rPr>
        <w:t>гравіювання</w:t>
      </w:r>
    </w:p>
    <w:p w14:paraId="024D61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глибокого</w:t>
      </w:r>
      <w:r w:rsidRPr="000977F7">
        <w:rPr>
          <w:rFonts w:asciiTheme="majorHAnsi" w:hAnsiTheme="majorHAnsi"/>
          <w:spacing w:val="1"/>
          <w:sz w:val="20"/>
          <w:szCs w:val="20"/>
        </w:rPr>
        <w:t xml:space="preserve"> </w:t>
      </w:r>
      <w:r w:rsidRPr="000977F7">
        <w:rPr>
          <w:rFonts w:asciiTheme="majorHAnsi" w:hAnsiTheme="majorHAnsi"/>
          <w:sz w:val="20"/>
          <w:szCs w:val="20"/>
        </w:rPr>
        <w:t>свердлування</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 xml:space="preserve">горизонтальносвердлувальний верстат для обробки глибоких </w:t>
      </w:r>
    </w:p>
    <w:p w14:paraId="6D94AA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отворів</w:t>
      </w:r>
    </w:p>
    <w:p w14:paraId="7B4D686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Доводочний – для доводки поверхонь деталей, кінцевих</w:t>
      </w:r>
      <w:r w:rsidRPr="000977F7">
        <w:rPr>
          <w:rFonts w:asciiTheme="majorHAnsi" w:hAnsiTheme="majorHAnsi"/>
          <w:spacing w:val="41"/>
          <w:sz w:val="20"/>
          <w:szCs w:val="20"/>
        </w:rPr>
        <w:t xml:space="preserve"> </w:t>
      </w:r>
      <w:r w:rsidRPr="000977F7">
        <w:rPr>
          <w:rFonts w:asciiTheme="majorHAnsi" w:hAnsiTheme="majorHAnsi"/>
          <w:sz w:val="20"/>
          <w:szCs w:val="20"/>
        </w:rPr>
        <w:t>мір</w:t>
      </w:r>
      <w:r w:rsidRPr="000977F7">
        <w:rPr>
          <w:rFonts w:asciiTheme="majorHAnsi" w:hAnsiTheme="majorHAnsi"/>
          <w:spacing w:val="42"/>
          <w:sz w:val="20"/>
          <w:szCs w:val="20"/>
        </w:rPr>
        <w:t xml:space="preserve"> </w:t>
      </w:r>
      <w:r w:rsidRPr="000977F7">
        <w:rPr>
          <w:rFonts w:asciiTheme="majorHAnsi" w:hAnsiTheme="majorHAnsi"/>
          <w:sz w:val="20"/>
          <w:szCs w:val="20"/>
        </w:rPr>
        <w:t>довжини,</w:t>
      </w:r>
      <w:r w:rsidRPr="000977F7">
        <w:rPr>
          <w:rFonts w:asciiTheme="majorHAnsi" w:hAnsiTheme="majorHAnsi"/>
          <w:spacing w:val="43"/>
          <w:sz w:val="20"/>
          <w:szCs w:val="20"/>
        </w:rPr>
        <w:t xml:space="preserve"> </w:t>
      </w:r>
      <w:r w:rsidRPr="000977F7">
        <w:rPr>
          <w:rFonts w:asciiTheme="majorHAnsi" w:hAnsiTheme="majorHAnsi"/>
          <w:sz w:val="20"/>
          <w:szCs w:val="20"/>
        </w:rPr>
        <w:t>скоб,</w:t>
      </w:r>
      <w:r w:rsidRPr="000977F7">
        <w:rPr>
          <w:rFonts w:asciiTheme="majorHAnsi" w:hAnsiTheme="majorHAnsi"/>
          <w:spacing w:val="42"/>
          <w:sz w:val="20"/>
          <w:szCs w:val="20"/>
        </w:rPr>
        <w:t xml:space="preserve"> </w:t>
      </w:r>
      <w:r w:rsidRPr="000977F7">
        <w:rPr>
          <w:rFonts w:asciiTheme="majorHAnsi" w:hAnsiTheme="majorHAnsi"/>
          <w:sz w:val="20"/>
          <w:szCs w:val="20"/>
        </w:rPr>
        <w:t>штихмасів,</w:t>
      </w:r>
      <w:r w:rsidRPr="000977F7">
        <w:rPr>
          <w:rFonts w:asciiTheme="majorHAnsi" w:hAnsiTheme="majorHAnsi"/>
          <w:spacing w:val="43"/>
          <w:sz w:val="20"/>
          <w:szCs w:val="20"/>
        </w:rPr>
        <w:t xml:space="preserve"> </w:t>
      </w:r>
      <w:r w:rsidRPr="000977F7">
        <w:rPr>
          <w:rFonts w:asciiTheme="majorHAnsi" w:hAnsiTheme="majorHAnsi"/>
          <w:sz w:val="20"/>
          <w:szCs w:val="20"/>
        </w:rPr>
        <w:t>калібрів</w:t>
      </w:r>
      <w:r w:rsidRPr="000977F7">
        <w:rPr>
          <w:rFonts w:asciiTheme="majorHAnsi" w:hAnsiTheme="majorHAnsi"/>
          <w:spacing w:val="42"/>
          <w:sz w:val="20"/>
          <w:szCs w:val="20"/>
        </w:rPr>
        <w:t xml:space="preserve"> </w:t>
      </w:r>
      <w:r w:rsidRPr="000977F7">
        <w:rPr>
          <w:rFonts w:asciiTheme="majorHAnsi" w:hAnsiTheme="majorHAnsi"/>
          <w:sz w:val="20"/>
          <w:szCs w:val="20"/>
        </w:rPr>
        <w:t>різі</w:t>
      </w:r>
      <w:r w:rsidRPr="000977F7">
        <w:rPr>
          <w:rFonts w:asciiTheme="majorHAnsi" w:hAnsiTheme="majorHAnsi"/>
          <w:spacing w:val="43"/>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т.п.</w:t>
      </w:r>
    </w:p>
    <w:p w14:paraId="63AA3B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Довбальний – верстат стругального типу для довбання</w:t>
      </w:r>
      <w:r w:rsidRPr="000977F7">
        <w:rPr>
          <w:rFonts w:asciiTheme="majorHAnsi" w:hAnsiTheme="majorHAnsi"/>
          <w:spacing w:val="-3"/>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вертикально розташованим повзуном</w:t>
      </w:r>
    </w:p>
    <w:p w14:paraId="14AA94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Діркопробивний</w:t>
      </w:r>
      <w:r w:rsidRPr="000977F7">
        <w:rPr>
          <w:rFonts w:asciiTheme="majorHAnsi" w:hAnsiTheme="majorHAnsi"/>
          <w:spacing w:val="1"/>
          <w:sz w:val="20"/>
          <w:szCs w:val="20"/>
        </w:rPr>
        <w:t xml:space="preserve"> </w:t>
      </w:r>
      <w:r w:rsidRPr="000977F7">
        <w:rPr>
          <w:rFonts w:asciiTheme="majorHAnsi" w:hAnsiTheme="majorHAnsi"/>
          <w:sz w:val="20"/>
          <w:szCs w:val="20"/>
        </w:rPr>
        <w:t>– спеціальний верстат пружинної</w:t>
      </w:r>
      <w:r w:rsidRPr="000977F7">
        <w:rPr>
          <w:rFonts w:asciiTheme="majorHAnsi" w:hAnsiTheme="majorHAnsi"/>
          <w:spacing w:val="1"/>
          <w:sz w:val="20"/>
          <w:szCs w:val="20"/>
        </w:rPr>
        <w:t xml:space="preserve"> </w:t>
      </w:r>
      <w:r w:rsidRPr="000977F7">
        <w:rPr>
          <w:rFonts w:asciiTheme="majorHAnsi" w:hAnsiTheme="majorHAnsi"/>
          <w:sz w:val="20"/>
          <w:szCs w:val="20"/>
        </w:rPr>
        <w:t xml:space="preserve">або вибухової дії для пробивання отворів в заготовках </w:t>
      </w:r>
      <w:r w:rsidRPr="000977F7">
        <w:rPr>
          <w:rFonts w:asciiTheme="majorHAnsi" w:hAnsiTheme="majorHAnsi"/>
          <w:spacing w:val="-47"/>
          <w:sz w:val="20"/>
          <w:szCs w:val="20"/>
        </w:rPr>
        <w:t xml:space="preserve"> </w:t>
      </w:r>
      <w:r w:rsidRPr="000977F7">
        <w:rPr>
          <w:rFonts w:asciiTheme="majorHAnsi" w:hAnsiTheme="majorHAnsi"/>
          <w:sz w:val="20"/>
          <w:szCs w:val="20"/>
        </w:rPr>
        <w:t>або матеріалі</w:t>
      </w:r>
    </w:p>
    <w:p w14:paraId="6F09880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Електроімпульсний – для обробки заготовок (головним чином отворів в них) за допомогою дугових розрядів</w:t>
      </w:r>
    </w:p>
    <w:p w14:paraId="5BB52846"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Електроіскровий</w:t>
      </w:r>
      <w:r w:rsidRPr="000977F7">
        <w:rPr>
          <w:rFonts w:asciiTheme="majorHAnsi" w:hAnsiTheme="majorHAnsi"/>
          <w:spacing w:val="33"/>
          <w:sz w:val="20"/>
          <w:szCs w:val="20"/>
        </w:rPr>
        <w:t xml:space="preserve"> </w:t>
      </w:r>
      <w:r w:rsidRPr="000977F7">
        <w:rPr>
          <w:rFonts w:asciiTheme="majorHAnsi" w:hAnsiTheme="majorHAnsi"/>
          <w:sz w:val="20"/>
          <w:szCs w:val="20"/>
        </w:rPr>
        <w:t>–</w:t>
      </w:r>
      <w:r w:rsidRPr="000977F7">
        <w:rPr>
          <w:rFonts w:asciiTheme="majorHAnsi" w:hAnsiTheme="majorHAnsi"/>
          <w:spacing w:val="34"/>
          <w:sz w:val="20"/>
          <w:szCs w:val="20"/>
        </w:rPr>
        <w:t xml:space="preserve"> </w:t>
      </w:r>
      <w:r w:rsidRPr="000977F7">
        <w:rPr>
          <w:rFonts w:asciiTheme="majorHAnsi" w:hAnsiTheme="majorHAnsi"/>
          <w:sz w:val="20"/>
          <w:szCs w:val="20"/>
        </w:rPr>
        <w:t>для</w:t>
      </w:r>
      <w:r w:rsidRPr="000977F7">
        <w:rPr>
          <w:rFonts w:asciiTheme="majorHAnsi" w:hAnsiTheme="majorHAnsi"/>
          <w:spacing w:val="32"/>
          <w:sz w:val="20"/>
          <w:szCs w:val="20"/>
        </w:rPr>
        <w:t xml:space="preserve"> </w:t>
      </w:r>
      <w:r w:rsidRPr="000977F7">
        <w:rPr>
          <w:rFonts w:asciiTheme="majorHAnsi" w:hAnsiTheme="majorHAnsi"/>
          <w:sz w:val="20"/>
          <w:szCs w:val="20"/>
        </w:rPr>
        <w:t>обробки</w:t>
      </w:r>
      <w:r w:rsidRPr="000977F7">
        <w:rPr>
          <w:rFonts w:asciiTheme="majorHAnsi" w:hAnsiTheme="majorHAnsi"/>
          <w:spacing w:val="33"/>
          <w:sz w:val="20"/>
          <w:szCs w:val="20"/>
        </w:rPr>
        <w:t xml:space="preserve"> </w:t>
      </w:r>
      <w:r w:rsidRPr="000977F7">
        <w:rPr>
          <w:rFonts w:asciiTheme="majorHAnsi" w:hAnsiTheme="majorHAnsi"/>
          <w:sz w:val="20"/>
          <w:szCs w:val="20"/>
        </w:rPr>
        <w:t>заготовок</w:t>
      </w:r>
      <w:r w:rsidRPr="000977F7">
        <w:rPr>
          <w:rFonts w:asciiTheme="majorHAnsi" w:hAnsiTheme="majorHAnsi"/>
          <w:spacing w:val="32"/>
          <w:sz w:val="20"/>
          <w:szCs w:val="20"/>
        </w:rPr>
        <w:t xml:space="preserve"> </w:t>
      </w:r>
      <w:r w:rsidRPr="000977F7">
        <w:rPr>
          <w:rFonts w:asciiTheme="majorHAnsi" w:hAnsiTheme="majorHAnsi"/>
          <w:sz w:val="20"/>
          <w:szCs w:val="20"/>
        </w:rPr>
        <w:t>за</w:t>
      </w:r>
      <w:r w:rsidRPr="000977F7">
        <w:rPr>
          <w:rFonts w:asciiTheme="majorHAnsi" w:hAnsiTheme="majorHAnsi"/>
          <w:spacing w:val="33"/>
          <w:sz w:val="20"/>
          <w:szCs w:val="20"/>
        </w:rPr>
        <w:t xml:space="preserve"> </w:t>
      </w:r>
      <w:r w:rsidRPr="000977F7">
        <w:rPr>
          <w:rFonts w:asciiTheme="majorHAnsi" w:hAnsiTheme="majorHAnsi"/>
          <w:sz w:val="20"/>
          <w:szCs w:val="20"/>
        </w:rPr>
        <w:t>допомогою імпульсних іскрових розрядів між електродами</w:t>
      </w:r>
      <w:r w:rsidRPr="000977F7">
        <w:rPr>
          <w:rFonts w:asciiTheme="majorHAnsi" w:hAnsiTheme="majorHAnsi"/>
          <w:spacing w:val="-47"/>
          <w:sz w:val="20"/>
          <w:szCs w:val="20"/>
        </w:rPr>
        <w:t xml:space="preserve"> </w:t>
      </w:r>
    </w:p>
    <w:p w14:paraId="4FD6DF4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Електроконтактний</w:t>
      </w:r>
      <w:r w:rsidRPr="000977F7">
        <w:rPr>
          <w:rFonts w:asciiTheme="majorHAnsi" w:hAnsiTheme="majorHAnsi"/>
          <w:spacing w:val="13"/>
          <w:sz w:val="20"/>
          <w:szCs w:val="20"/>
        </w:rPr>
        <w:t xml:space="preserve"> </w:t>
      </w:r>
      <w:r w:rsidRPr="000977F7">
        <w:rPr>
          <w:rFonts w:asciiTheme="majorHAnsi" w:hAnsiTheme="majorHAnsi"/>
          <w:sz w:val="20"/>
          <w:szCs w:val="20"/>
        </w:rPr>
        <w:t>–</w:t>
      </w:r>
      <w:r w:rsidRPr="000977F7">
        <w:rPr>
          <w:rFonts w:asciiTheme="majorHAnsi" w:hAnsiTheme="majorHAnsi"/>
          <w:spacing w:val="15"/>
          <w:sz w:val="20"/>
          <w:szCs w:val="20"/>
        </w:rPr>
        <w:t xml:space="preserve"> </w:t>
      </w:r>
      <w:r w:rsidRPr="000977F7">
        <w:rPr>
          <w:rFonts w:asciiTheme="majorHAnsi" w:hAnsiTheme="majorHAnsi"/>
          <w:sz w:val="20"/>
          <w:szCs w:val="20"/>
        </w:rPr>
        <w:t>для</w:t>
      </w:r>
      <w:r w:rsidRPr="000977F7">
        <w:rPr>
          <w:rFonts w:asciiTheme="majorHAnsi" w:hAnsiTheme="majorHAnsi"/>
          <w:spacing w:val="14"/>
          <w:sz w:val="20"/>
          <w:szCs w:val="20"/>
        </w:rPr>
        <w:t xml:space="preserve"> </w:t>
      </w:r>
      <w:r w:rsidRPr="000977F7">
        <w:rPr>
          <w:rFonts w:asciiTheme="majorHAnsi" w:hAnsiTheme="majorHAnsi"/>
          <w:sz w:val="20"/>
          <w:szCs w:val="20"/>
        </w:rPr>
        <w:t>обробки</w:t>
      </w:r>
      <w:r w:rsidRPr="000977F7">
        <w:rPr>
          <w:rFonts w:asciiTheme="majorHAnsi" w:hAnsiTheme="majorHAnsi"/>
          <w:spacing w:val="11"/>
          <w:sz w:val="20"/>
          <w:szCs w:val="20"/>
        </w:rPr>
        <w:t xml:space="preserve"> </w:t>
      </w:r>
      <w:r w:rsidRPr="000977F7">
        <w:rPr>
          <w:rFonts w:asciiTheme="majorHAnsi" w:hAnsiTheme="majorHAnsi"/>
          <w:sz w:val="20"/>
          <w:szCs w:val="20"/>
        </w:rPr>
        <w:t>заготовок</w:t>
      </w:r>
      <w:r w:rsidRPr="000977F7">
        <w:rPr>
          <w:rFonts w:asciiTheme="majorHAnsi" w:hAnsiTheme="majorHAnsi"/>
          <w:spacing w:val="12"/>
          <w:sz w:val="20"/>
          <w:szCs w:val="20"/>
        </w:rPr>
        <w:t xml:space="preserve"> </w:t>
      </w:r>
      <w:r w:rsidRPr="000977F7">
        <w:rPr>
          <w:rFonts w:asciiTheme="majorHAnsi" w:hAnsiTheme="majorHAnsi"/>
          <w:sz w:val="20"/>
          <w:szCs w:val="20"/>
        </w:rPr>
        <w:t>з</w:t>
      </w:r>
      <w:r w:rsidRPr="000977F7">
        <w:rPr>
          <w:rFonts w:asciiTheme="majorHAnsi" w:hAnsiTheme="majorHAnsi"/>
          <w:spacing w:val="13"/>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локальним</w:t>
      </w:r>
      <w:r w:rsidRPr="000977F7">
        <w:rPr>
          <w:rFonts w:asciiTheme="majorHAnsi" w:hAnsiTheme="majorHAnsi"/>
          <w:spacing w:val="2"/>
          <w:sz w:val="20"/>
          <w:szCs w:val="20"/>
        </w:rPr>
        <w:t xml:space="preserve"> </w:t>
      </w:r>
      <w:r w:rsidRPr="000977F7">
        <w:rPr>
          <w:rFonts w:asciiTheme="majorHAnsi" w:hAnsiTheme="majorHAnsi"/>
          <w:sz w:val="20"/>
          <w:szCs w:val="20"/>
        </w:rPr>
        <w:t>нагріванням</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місці</w:t>
      </w:r>
      <w:r w:rsidRPr="000977F7">
        <w:rPr>
          <w:rFonts w:asciiTheme="majorHAnsi" w:hAnsiTheme="majorHAnsi"/>
          <w:spacing w:val="49"/>
          <w:sz w:val="20"/>
          <w:szCs w:val="20"/>
        </w:rPr>
        <w:t xml:space="preserve"> </w:t>
      </w:r>
      <w:r w:rsidRPr="000977F7">
        <w:rPr>
          <w:rFonts w:asciiTheme="majorHAnsi" w:hAnsiTheme="majorHAnsi"/>
          <w:sz w:val="20"/>
          <w:szCs w:val="20"/>
        </w:rPr>
        <w:t>контакту</w:t>
      </w:r>
      <w:r w:rsidRPr="000977F7">
        <w:rPr>
          <w:rFonts w:asciiTheme="majorHAnsi" w:hAnsiTheme="majorHAnsi"/>
          <w:spacing w:val="49"/>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електродом-інструментом</w:t>
      </w:r>
    </w:p>
    <w:p w14:paraId="01402B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Електроннопроменевий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обробки</w:t>
      </w:r>
      <w:r w:rsidRPr="000977F7">
        <w:rPr>
          <w:rFonts w:asciiTheme="majorHAnsi" w:hAnsiTheme="majorHAnsi"/>
          <w:spacing w:val="1"/>
          <w:sz w:val="20"/>
          <w:szCs w:val="20"/>
        </w:rPr>
        <w:t xml:space="preserve"> </w:t>
      </w:r>
      <w:r w:rsidRPr="000977F7">
        <w:rPr>
          <w:rFonts w:asciiTheme="majorHAnsi" w:hAnsiTheme="majorHAnsi"/>
          <w:sz w:val="20"/>
          <w:szCs w:val="20"/>
        </w:rPr>
        <w:t>будь-яких</w:t>
      </w:r>
      <w:r w:rsidRPr="000977F7">
        <w:rPr>
          <w:rFonts w:asciiTheme="majorHAnsi" w:hAnsiTheme="majorHAnsi"/>
          <w:spacing w:val="1"/>
          <w:sz w:val="20"/>
          <w:szCs w:val="20"/>
        </w:rPr>
        <w:t xml:space="preserve"> </w:t>
      </w:r>
      <w:r w:rsidRPr="000977F7">
        <w:rPr>
          <w:rFonts w:asciiTheme="majorHAnsi" w:hAnsiTheme="majorHAnsi"/>
          <w:sz w:val="20"/>
          <w:szCs w:val="20"/>
        </w:rPr>
        <w:t>матеріалів потоком електронів високих енергій за допомогою</w:t>
      </w:r>
      <w:r w:rsidRPr="000977F7">
        <w:rPr>
          <w:rFonts w:asciiTheme="majorHAnsi" w:hAnsiTheme="majorHAnsi"/>
          <w:spacing w:val="-1"/>
          <w:sz w:val="20"/>
          <w:szCs w:val="20"/>
        </w:rPr>
        <w:t xml:space="preserve"> </w:t>
      </w:r>
      <w:r w:rsidRPr="000977F7">
        <w:rPr>
          <w:rFonts w:asciiTheme="majorHAnsi" w:hAnsiTheme="majorHAnsi"/>
          <w:sz w:val="20"/>
          <w:szCs w:val="20"/>
        </w:rPr>
        <w:t>електронної</w:t>
      </w:r>
      <w:r w:rsidRPr="000977F7">
        <w:rPr>
          <w:rFonts w:asciiTheme="majorHAnsi" w:hAnsiTheme="majorHAnsi"/>
          <w:spacing w:val="-1"/>
          <w:sz w:val="20"/>
          <w:szCs w:val="20"/>
        </w:rPr>
        <w:t xml:space="preserve"> </w:t>
      </w:r>
      <w:r w:rsidRPr="000977F7">
        <w:rPr>
          <w:rFonts w:asciiTheme="majorHAnsi" w:hAnsiTheme="majorHAnsi"/>
          <w:sz w:val="20"/>
          <w:szCs w:val="20"/>
        </w:rPr>
        <w:t>гармати</w:t>
      </w:r>
    </w:p>
    <w:p w14:paraId="15DACB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Електрофізичний – верстат, дія якого заснована на</w:t>
      </w:r>
      <w:r w:rsidRPr="000977F7">
        <w:rPr>
          <w:rFonts w:asciiTheme="majorHAnsi" w:hAnsiTheme="majorHAnsi"/>
          <w:spacing w:val="1"/>
          <w:sz w:val="20"/>
          <w:szCs w:val="20"/>
        </w:rPr>
        <w:t xml:space="preserve"> </w:t>
      </w:r>
      <w:r w:rsidRPr="000977F7">
        <w:rPr>
          <w:rFonts w:asciiTheme="majorHAnsi" w:hAnsiTheme="majorHAnsi"/>
          <w:sz w:val="20"/>
          <w:szCs w:val="20"/>
        </w:rPr>
        <w:t xml:space="preserve">використанні електроерозійного, </w:t>
      </w:r>
      <w:r w:rsidRPr="000977F7">
        <w:rPr>
          <w:rFonts w:asciiTheme="majorHAnsi" w:hAnsiTheme="majorHAnsi"/>
          <w:sz w:val="20"/>
          <w:szCs w:val="20"/>
        </w:rPr>
        <w:lastRenderedPageBreak/>
        <w:t>електромеханічного,</w:t>
      </w:r>
      <w:r w:rsidRPr="000977F7">
        <w:rPr>
          <w:rFonts w:asciiTheme="majorHAnsi" w:hAnsiTheme="majorHAnsi"/>
          <w:spacing w:val="-47"/>
          <w:sz w:val="20"/>
          <w:szCs w:val="20"/>
        </w:rPr>
        <w:t xml:space="preserve"> </w:t>
      </w:r>
      <w:r w:rsidRPr="000977F7">
        <w:rPr>
          <w:rFonts w:asciiTheme="majorHAnsi" w:hAnsiTheme="majorHAnsi"/>
          <w:sz w:val="20"/>
          <w:szCs w:val="20"/>
        </w:rPr>
        <w:t>променевого та плазмового методів обробки матеріалів</w:t>
      </w:r>
    </w:p>
    <w:p w14:paraId="05AC7F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Електрохімічний – верстат, дія якого заснована на</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використанні</w:t>
      </w:r>
      <w:r w:rsidRPr="000977F7">
        <w:rPr>
          <w:rFonts w:asciiTheme="majorHAnsi" w:hAnsiTheme="majorHAnsi"/>
          <w:spacing w:val="1"/>
          <w:sz w:val="20"/>
          <w:szCs w:val="20"/>
        </w:rPr>
        <w:t xml:space="preserve"> </w:t>
      </w:r>
      <w:r w:rsidRPr="000977F7">
        <w:rPr>
          <w:rFonts w:asciiTheme="majorHAnsi" w:hAnsiTheme="majorHAnsi"/>
          <w:sz w:val="20"/>
          <w:szCs w:val="20"/>
        </w:rPr>
        <w:t>поверхневого</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розмірного</w:t>
      </w:r>
      <w:r w:rsidRPr="000977F7">
        <w:rPr>
          <w:rFonts w:asciiTheme="majorHAnsi" w:hAnsiTheme="majorHAnsi"/>
          <w:spacing w:val="1"/>
          <w:sz w:val="20"/>
          <w:szCs w:val="20"/>
        </w:rPr>
        <w:t xml:space="preserve"> </w:t>
      </w:r>
      <w:r w:rsidRPr="000977F7">
        <w:rPr>
          <w:rFonts w:asciiTheme="majorHAnsi" w:hAnsiTheme="majorHAnsi"/>
          <w:sz w:val="20"/>
          <w:szCs w:val="20"/>
        </w:rPr>
        <w:t>методів</w:t>
      </w:r>
      <w:r w:rsidRPr="000977F7">
        <w:rPr>
          <w:rFonts w:asciiTheme="majorHAnsi" w:hAnsiTheme="majorHAnsi"/>
          <w:spacing w:val="1"/>
          <w:sz w:val="20"/>
          <w:szCs w:val="20"/>
        </w:rPr>
        <w:t xml:space="preserve"> </w:t>
      </w:r>
      <w:r w:rsidRPr="000977F7">
        <w:rPr>
          <w:rFonts w:asciiTheme="majorHAnsi" w:hAnsiTheme="majorHAnsi"/>
          <w:sz w:val="20"/>
          <w:szCs w:val="20"/>
        </w:rPr>
        <w:t>обробки</w:t>
      </w:r>
      <w:r w:rsidRPr="000977F7">
        <w:rPr>
          <w:rFonts w:asciiTheme="majorHAnsi" w:hAnsiTheme="majorHAnsi"/>
          <w:spacing w:val="-4"/>
          <w:sz w:val="20"/>
          <w:szCs w:val="20"/>
        </w:rPr>
        <w:t xml:space="preserve"> </w:t>
      </w:r>
      <w:r w:rsidRPr="000977F7">
        <w:rPr>
          <w:rFonts w:asciiTheme="majorHAnsi" w:hAnsiTheme="majorHAnsi"/>
          <w:sz w:val="20"/>
          <w:szCs w:val="20"/>
        </w:rPr>
        <w:t>матеріалів,</w:t>
      </w:r>
      <w:r w:rsidRPr="000977F7">
        <w:rPr>
          <w:rFonts w:asciiTheme="majorHAnsi" w:hAnsiTheme="majorHAnsi"/>
          <w:spacing w:val="-2"/>
          <w:sz w:val="20"/>
          <w:szCs w:val="20"/>
        </w:rPr>
        <w:t xml:space="preserve"> </w:t>
      </w:r>
      <w:r w:rsidRPr="000977F7">
        <w:rPr>
          <w:rFonts w:asciiTheme="majorHAnsi" w:hAnsiTheme="majorHAnsi"/>
          <w:sz w:val="20"/>
          <w:szCs w:val="20"/>
        </w:rPr>
        <w:t>пов’язаних</w:t>
      </w:r>
      <w:r w:rsidRPr="000977F7">
        <w:rPr>
          <w:rFonts w:asciiTheme="majorHAnsi" w:hAnsiTheme="majorHAnsi"/>
          <w:spacing w:val="-3"/>
          <w:sz w:val="20"/>
          <w:szCs w:val="20"/>
        </w:rPr>
        <w:t xml:space="preserve"> </w:t>
      </w:r>
      <w:r w:rsidRPr="000977F7">
        <w:rPr>
          <w:rFonts w:asciiTheme="majorHAnsi" w:hAnsiTheme="majorHAnsi"/>
          <w:sz w:val="20"/>
          <w:szCs w:val="20"/>
        </w:rPr>
        <w:t>з</w:t>
      </w:r>
      <w:r w:rsidRPr="000977F7">
        <w:rPr>
          <w:rFonts w:asciiTheme="majorHAnsi" w:hAnsiTheme="majorHAnsi"/>
          <w:spacing w:val="-3"/>
          <w:sz w:val="20"/>
          <w:szCs w:val="20"/>
        </w:rPr>
        <w:t xml:space="preserve"> </w:t>
      </w:r>
      <w:r w:rsidRPr="000977F7">
        <w:rPr>
          <w:rFonts w:asciiTheme="majorHAnsi" w:hAnsiTheme="majorHAnsi"/>
          <w:sz w:val="20"/>
          <w:szCs w:val="20"/>
        </w:rPr>
        <w:t>хімічними</w:t>
      </w:r>
      <w:r w:rsidRPr="000977F7">
        <w:rPr>
          <w:rFonts w:asciiTheme="majorHAnsi" w:hAnsiTheme="majorHAnsi"/>
          <w:spacing w:val="1"/>
          <w:sz w:val="20"/>
          <w:szCs w:val="20"/>
        </w:rPr>
        <w:t xml:space="preserve"> </w:t>
      </w:r>
      <w:r w:rsidRPr="000977F7">
        <w:rPr>
          <w:rFonts w:asciiTheme="majorHAnsi" w:hAnsiTheme="majorHAnsi"/>
          <w:sz w:val="20"/>
          <w:szCs w:val="20"/>
        </w:rPr>
        <w:t>явищами</w:t>
      </w:r>
    </w:p>
    <w:p w14:paraId="45B564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Електроерозійний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обробки струмопровідних</w:t>
      </w:r>
      <w:r w:rsidRPr="000977F7">
        <w:rPr>
          <w:rFonts w:asciiTheme="majorHAnsi" w:hAnsiTheme="majorHAnsi"/>
          <w:spacing w:val="1"/>
          <w:sz w:val="20"/>
          <w:szCs w:val="20"/>
        </w:rPr>
        <w:t xml:space="preserve"> </w:t>
      </w:r>
      <w:r w:rsidRPr="000977F7">
        <w:rPr>
          <w:rFonts w:asciiTheme="majorHAnsi" w:hAnsiTheme="majorHAnsi"/>
          <w:sz w:val="20"/>
          <w:szCs w:val="20"/>
        </w:rPr>
        <w:t>матеріалів будь-якої в’язкості та твердості за рахунок</w:t>
      </w:r>
      <w:r w:rsidRPr="000977F7">
        <w:rPr>
          <w:rFonts w:asciiTheme="majorHAnsi" w:hAnsiTheme="majorHAnsi"/>
          <w:spacing w:val="1"/>
          <w:sz w:val="20"/>
          <w:szCs w:val="20"/>
        </w:rPr>
        <w:t xml:space="preserve"> </w:t>
      </w:r>
      <w:r w:rsidRPr="000977F7">
        <w:rPr>
          <w:rFonts w:asciiTheme="majorHAnsi" w:hAnsiTheme="majorHAnsi"/>
          <w:sz w:val="20"/>
          <w:szCs w:val="20"/>
        </w:rPr>
        <w:t>руйнування (ерозії) електродів при пропусканні між</w:t>
      </w:r>
      <w:r w:rsidRPr="000977F7">
        <w:rPr>
          <w:rFonts w:asciiTheme="majorHAnsi" w:hAnsiTheme="majorHAnsi"/>
          <w:spacing w:val="1"/>
          <w:sz w:val="20"/>
          <w:szCs w:val="20"/>
        </w:rPr>
        <w:t xml:space="preserve"> </w:t>
      </w:r>
      <w:r w:rsidRPr="000977F7">
        <w:rPr>
          <w:rFonts w:asciiTheme="majorHAnsi" w:hAnsiTheme="majorHAnsi"/>
          <w:sz w:val="20"/>
          <w:szCs w:val="20"/>
        </w:rPr>
        <w:t>ними</w:t>
      </w:r>
      <w:r w:rsidRPr="000977F7">
        <w:rPr>
          <w:rFonts w:asciiTheme="majorHAnsi" w:hAnsiTheme="majorHAnsi"/>
          <w:spacing w:val="-2"/>
          <w:sz w:val="20"/>
          <w:szCs w:val="20"/>
        </w:rPr>
        <w:t xml:space="preserve"> </w:t>
      </w:r>
      <w:r w:rsidRPr="000977F7">
        <w:rPr>
          <w:rFonts w:asciiTheme="majorHAnsi" w:hAnsiTheme="majorHAnsi"/>
          <w:sz w:val="20"/>
          <w:szCs w:val="20"/>
        </w:rPr>
        <w:t>імпульсного електричного</w:t>
      </w:r>
      <w:r w:rsidRPr="000977F7">
        <w:rPr>
          <w:rFonts w:asciiTheme="majorHAnsi" w:hAnsiTheme="majorHAnsi"/>
          <w:spacing w:val="1"/>
          <w:sz w:val="20"/>
          <w:szCs w:val="20"/>
        </w:rPr>
        <w:t xml:space="preserve"> </w:t>
      </w:r>
      <w:r w:rsidRPr="000977F7">
        <w:rPr>
          <w:rFonts w:asciiTheme="majorHAnsi" w:hAnsiTheme="majorHAnsi"/>
          <w:sz w:val="20"/>
          <w:szCs w:val="20"/>
        </w:rPr>
        <w:t>струму</w:t>
      </w:r>
    </w:p>
    <w:p w14:paraId="5ADE90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Заточувальний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верстат</w:t>
      </w:r>
      <w:r w:rsidRPr="000977F7">
        <w:rPr>
          <w:rFonts w:asciiTheme="majorHAnsi" w:hAnsiTheme="majorHAnsi"/>
          <w:spacing w:val="1"/>
          <w:sz w:val="20"/>
          <w:szCs w:val="20"/>
        </w:rPr>
        <w:t xml:space="preserve"> </w:t>
      </w:r>
      <w:r w:rsidRPr="000977F7">
        <w:rPr>
          <w:rFonts w:asciiTheme="majorHAnsi" w:hAnsiTheme="majorHAnsi"/>
          <w:sz w:val="20"/>
          <w:szCs w:val="20"/>
        </w:rPr>
        <w:t>шліфувальної</w:t>
      </w:r>
      <w:r w:rsidRPr="000977F7">
        <w:rPr>
          <w:rFonts w:asciiTheme="majorHAnsi" w:hAnsiTheme="majorHAnsi"/>
          <w:spacing w:val="1"/>
          <w:sz w:val="20"/>
          <w:szCs w:val="20"/>
        </w:rPr>
        <w:t xml:space="preserve"> </w:t>
      </w:r>
      <w:r w:rsidRPr="000977F7">
        <w:rPr>
          <w:rFonts w:asciiTheme="majorHAnsi" w:hAnsiTheme="majorHAnsi"/>
          <w:sz w:val="20"/>
          <w:szCs w:val="20"/>
        </w:rPr>
        <w:t>групи</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заточування</w:t>
      </w:r>
    </w:p>
    <w:p w14:paraId="2748642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Затилувальний верстат токарної групи для затилування</w:t>
      </w:r>
      <w:r w:rsidRPr="000977F7">
        <w:rPr>
          <w:rFonts w:asciiTheme="majorHAnsi" w:hAnsiTheme="majorHAnsi"/>
          <w:spacing w:val="-2"/>
          <w:sz w:val="20"/>
          <w:szCs w:val="20"/>
        </w:rPr>
        <w:t xml:space="preserve"> </w:t>
      </w:r>
      <w:r w:rsidRPr="000977F7">
        <w:rPr>
          <w:rFonts w:asciiTheme="majorHAnsi" w:hAnsiTheme="majorHAnsi"/>
          <w:sz w:val="20"/>
          <w:szCs w:val="20"/>
        </w:rPr>
        <w:t>задніх поверхонь інструментів</w:t>
      </w:r>
    </w:p>
    <w:p w14:paraId="1F37704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Зубодовбальний – з повзуном, який має зворотньо-поступальний та обертовий рух, узгоджений з круговою подачею заготовки, призначений для нарізання</w:t>
      </w:r>
      <w:r w:rsidRPr="000977F7">
        <w:rPr>
          <w:rFonts w:asciiTheme="majorHAnsi" w:hAnsiTheme="majorHAnsi"/>
          <w:spacing w:val="1"/>
          <w:sz w:val="20"/>
          <w:szCs w:val="20"/>
        </w:rPr>
        <w:t xml:space="preserve"> </w:t>
      </w:r>
      <w:r w:rsidRPr="000977F7">
        <w:rPr>
          <w:rFonts w:asciiTheme="majorHAnsi" w:hAnsiTheme="majorHAnsi"/>
          <w:sz w:val="20"/>
          <w:szCs w:val="20"/>
        </w:rPr>
        <w:t>циліндричних зубчастих коліс зовнішнього та внутрішнього зачеплення з прямими та гвинтовими зубами</w:t>
      </w:r>
    </w:p>
    <w:p w14:paraId="2CDA550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Зубозакруглювальний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спеціальний</w:t>
      </w:r>
      <w:r w:rsidRPr="000977F7">
        <w:rPr>
          <w:rFonts w:asciiTheme="majorHAnsi" w:hAnsiTheme="majorHAnsi"/>
          <w:spacing w:val="1"/>
          <w:sz w:val="20"/>
          <w:szCs w:val="20"/>
        </w:rPr>
        <w:t xml:space="preserve"> </w:t>
      </w:r>
      <w:r w:rsidRPr="000977F7">
        <w:rPr>
          <w:rFonts w:asciiTheme="majorHAnsi" w:hAnsiTheme="majorHAnsi"/>
          <w:sz w:val="20"/>
          <w:szCs w:val="20"/>
        </w:rPr>
        <w:t>верстат</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закруглювання</w:t>
      </w:r>
      <w:r w:rsidRPr="000977F7">
        <w:rPr>
          <w:rFonts w:asciiTheme="majorHAnsi" w:hAnsiTheme="majorHAnsi"/>
          <w:spacing w:val="-3"/>
          <w:sz w:val="20"/>
          <w:szCs w:val="20"/>
        </w:rPr>
        <w:t xml:space="preserve"> </w:t>
      </w:r>
      <w:r w:rsidRPr="000977F7">
        <w:rPr>
          <w:rFonts w:asciiTheme="majorHAnsi" w:hAnsiTheme="majorHAnsi"/>
          <w:sz w:val="20"/>
          <w:szCs w:val="20"/>
        </w:rPr>
        <w:t>торців</w:t>
      </w:r>
      <w:r w:rsidRPr="000977F7">
        <w:rPr>
          <w:rFonts w:asciiTheme="majorHAnsi" w:hAnsiTheme="majorHAnsi"/>
          <w:spacing w:val="-3"/>
          <w:sz w:val="20"/>
          <w:szCs w:val="20"/>
        </w:rPr>
        <w:t xml:space="preserve"> </w:t>
      </w:r>
      <w:r w:rsidRPr="000977F7">
        <w:rPr>
          <w:rFonts w:asciiTheme="majorHAnsi" w:hAnsiTheme="majorHAnsi"/>
          <w:sz w:val="20"/>
          <w:szCs w:val="20"/>
        </w:rPr>
        <w:t>зубів спеціальними</w:t>
      </w:r>
      <w:r w:rsidRPr="000977F7">
        <w:rPr>
          <w:rFonts w:asciiTheme="majorHAnsi" w:hAnsiTheme="majorHAnsi"/>
          <w:spacing w:val="-2"/>
          <w:sz w:val="20"/>
          <w:szCs w:val="20"/>
        </w:rPr>
        <w:t xml:space="preserve"> </w:t>
      </w:r>
      <w:r w:rsidRPr="000977F7">
        <w:rPr>
          <w:rFonts w:asciiTheme="majorHAnsi" w:hAnsiTheme="majorHAnsi"/>
          <w:sz w:val="20"/>
          <w:szCs w:val="20"/>
        </w:rPr>
        <w:t>фрезами</w:t>
      </w:r>
    </w:p>
    <w:p w14:paraId="4EFC476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Зубонакатувальний – для холодного та гарячого накатування зубів методом пластичного деформування з</w:t>
      </w:r>
      <w:r w:rsidRPr="000977F7">
        <w:rPr>
          <w:rFonts w:asciiTheme="majorHAnsi" w:hAnsiTheme="majorHAnsi"/>
          <w:spacing w:val="-47"/>
          <w:sz w:val="20"/>
          <w:szCs w:val="20"/>
        </w:rPr>
        <w:t xml:space="preserve"> </w:t>
      </w:r>
      <w:r w:rsidRPr="000977F7">
        <w:rPr>
          <w:rFonts w:asciiTheme="majorHAnsi" w:hAnsiTheme="majorHAnsi"/>
          <w:sz w:val="20"/>
          <w:szCs w:val="20"/>
        </w:rPr>
        <w:t>метою</w:t>
      </w:r>
      <w:r w:rsidRPr="000977F7">
        <w:rPr>
          <w:rFonts w:asciiTheme="majorHAnsi" w:hAnsiTheme="majorHAnsi"/>
          <w:spacing w:val="-1"/>
          <w:sz w:val="20"/>
          <w:szCs w:val="20"/>
        </w:rPr>
        <w:t xml:space="preserve"> </w:t>
      </w:r>
      <w:r w:rsidRPr="000977F7">
        <w:rPr>
          <w:rFonts w:asciiTheme="majorHAnsi" w:hAnsiTheme="majorHAnsi"/>
          <w:sz w:val="20"/>
          <w:szCs w:val="20"/>
        </w:rPr>
        <w:t>формоутворення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зміцнення</w:t>
      </w:r>
    </w:p>
    <w:p w14:paraId="3F4C292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Зубопритиральний – для обробки із застосуванням</w:t>
      </w:r>
      <w:r w:rsidRPr="000977F7">
        <w:rPr>
          <w:rFonts w:asciiTheme="majorHAnsi" w:hAnsiTheme="majorHAnsi"/>
          <w:spacing w:val="1"/>
          <w:sz w:val="20"/>
          <w:szCs w:val="20"/>
        </w:rPr>
        <w:t xml:space="preserve"> </w:t>
      </w:r>
      <w:r w:rsidRPr="000977F7">
        <w:rPr>
          <w:rFonts w:asciiTheme="majorHAnsi" w:hAnsiTheme="majorHAnsi"/>
          <w:sz w:val="20"/>
          <w:szCs w:val="20"/>
        </w:rPr>
        <w:t xml:space="preserve">спеціальної пасти циліндричних коліс в процесі </w:t>
      </w:r>
    </w:p>
    <w:p w14:paraId="67D3F59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зачеплення їх із зубчатими колесами притирами, що </w:t>
      </w:r>
    </w:p>
    <w:p w14:paraId="4980963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обе</w:t>
      </w:r>
      <w:r w:rsidRPr="000977F7">
        <w:rPr>
          <w:rFonts w:asciiTheme="majorHAnsi" w:hAnsiTheme="majorHAnsi"/>
          <w:spacing w:val="-47"/>
          <w:sz w:val="20"/>
          <w:szCs w:val="20"/>
        </w:rPr>
        <w:t xml:space="preserve"> </w:t>
      </w:r>
      <w:r w:rsidRPr="000977F7">
        <w:rPr>
          <w:rFonts w:asciiTheme="majorHAnsi" w:hAnsiTheme="majorHAnsi"/>
          <w:sz w:val="20"/>
          <w:szCs w:val="20"/>
        </w:rPr>
        <w:t>ртаються</w:t>
      </w:r>
    </w:p>
    <w:p w14:paraId="650E997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Зубопротяжний – для нарізання циліндричних зубчатих коліс зовнішнього зачеплення дисковою </w:t>
      </w:r>
    </w:p>
    <w:p w14:paraId="7C221E8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протяжкою,</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обертається</w:t>
      </w:r>
    </w:p>
    <w:p w14:paraId="43FA19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Зубострогальний – для нарізання прямозубих конічних</w:t>
      </w:r>
      <w:r w:rsidRPr="000977F7">
        <w:rPr>
          <w:rFonts w:asciiTheme="majorHAnsi" w:hAnsiTheme="majorHAnsi"/>
          <w:spacing w:val="-2"/>
          <w:sz w:val="20"/>
          <w:szCs w:val="20"/>
        </w:rPr>
        <w:t xml:space="preserve"> </w:t>
      </w:r>
      <w:r w:rsidRPr="000977F7">
        <w:rPr>
          <w:rFonts w:asciiTheme="majorHAnsi" w:hAnsiTheme="majorHAnsi"/>
          <w:sz w:val="20"/>
          <w:szCs w:val="20"/>
        </w:rPr>
        <w:t>зубчатих коліс спеціальними</w:t>
      </w:r>
      <w:r w:rsidRPr="000977F7">
        <w:rPr>
          <w:rFonts w:asciiTheme="majorHAnsi" w:hAnsiTheme="majorHAnsi"/>
          <w:spacing w:val="-2"/>
          <w:sz w:val="20"/>
          <w:szCs w:val="20"/>
        </w:rPr>
        <w:t xml:space="preserve"> </w:t>
      </w:r>
      <w:r w:rsidRPr="000977F7">
        <w:rPr>
          <w:rFonts w:asciiTheme="majorHAnsi" w:hAnsiTheme="majorHAnsi"/>
          <w:sz w:val="20"/>
          <w:szCs w:val="20"/>
        </w:rPr>
        <w:t>різцями</w:t>
      </w:r>
    </w:p>
    <w:p w14:paraId="6C9E0DD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Зубофрезерний – для нарізання фрезами прямозубих</w:t>
      </w:r>
      <w:r w:rsidRPr="000977F7">
        <w:rPr>
          <w:rFonts w:asciiTheme="majorHAnsi" w:hAnsiTheme="majorHAnsi"/>
          <w:spacing w:val="-47"/>
          <w:sz w:val="20"/>
          <w:szCs w:val="20"/>
        </w:rPr>
        <w:t xml:space="preserve"> </w:t>
      </w:r>
      <w:r w:rsidRPr="000977F7">
        <w:rPr>
          <w:rFonts w:asciiTheme="majorHAnsi" w:hAnsiTheme="majorHAnsi"/>
          <w:sz w:val="20"/>
          <w:szCs w:val="20"/>
        </w:rPr>
        <w:t>та косозубих циліндричних зубчастих коліс зовнішнього зачеплення,</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2"/>
          <w:sz w:val="20"/>
          <w:szCs w:val="20"/>
        </w:rPr>
        <w:t xml:space="preserve"> </w:t>
      </w:r>
      <w:r w:rsidRPr="000977F7">
        <w:rPr>
          <w:rFonts w:asciiTheme="majorHAnsi" w:hAnsiTheme="majorHAnsi"/>
          <w:sz w:val="20"/>
          <w:szCs w:val="20"/>
        </w:rPr>
        <w:t>черв’ячних</w:t>
      </w:r>
      <w:r w:rsidRPr="000977F7">
        <w:rPr>
          <w:rFonts w:asciiTheme="majorHAnsi" w:hAnsiTheme="majorHAnsi"/>
          <w:spacing w:val="-1"/>
          <w:sz w:val="20"/>
          <w:szCs w:val="20"/>
        </w:rPr>
        <w:t xml:space="preserve"> </w:t>
      </w:r>
      <w:r w:rsidRPr="000977F7">
        <w:rPr>
          <w:rFonts w:asciiTheme="majorHAnsi" w:hAnsiTheme="majorHAnsi"/>
          <w:sz w:val="20"/>
          <w:szCs w:val="20"/>
        </w:rPr>
        <w:t>коліс</w:t>
      </w:r>
    </w:p>
    <w:p w14:paraId="06868A3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Зубошевінгувальний – для кінцевої обробки попередньо нарізаних циліндричних і черв’ячних коліс спеціальним інструментом</w:t>
      </w:r>
      <w:r w:rsidRPr="000977F7">
        <w:rPr>
          <w:rFonts w:asciiTheme="majorHAnsi" w:hAnsiTheme="majorHAnsi"/>
          <w:spacing w:val="2"/>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шевером</w:t>
      </w:r>
    </w:p>
    <w:p w14:paraId="72720D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Зубошліфувальний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обробки</w:t>
      </w:r>
      <w:r w:rsidRPr="000977F7">
        <w:rPr>
          <w:rFonts w:asciiTheme="majorHAnsi" w:hAnsiTheme="majorHAnsi"/>
          <w:spacing w:val="1"/>
          <w:sz w:val="20"/>
          <w:szCs w:val="20"/>
        </w:rPr>
        <w:t xml:space="preserve"> </w:t>
      </w:r>
      <w:r w:rsidRPr="000977F7">
        <w:rPr>
          <w:rFonts w:asciiTheme="majorHAnsi" w:hAnsiTheme="majorHAnsi"/>
          <w:sz w:val="20"/>
          <w:szCs w:val="20"/>
        </w:rPr>
        <w:t>робочих</w:t>
      </w:r>
      <w:r w:rsidRPr="000977F7">
        <w:rPr>
          <w:rFonts w:asciiTheme="majorHAnsi" w:hAnsiTheme="majorHAnsi"/>
          <w:spacing w:val="1"/>
          <w:sz w:val="20"/>
          <w:szCs w:val="20"/>
        </w:rPr>
        <w:t xml:space="preserve"> </w:t>
      </w:r>
      <w:r w:rsidRPr="000977F7">
        <w:rPr>
          <w:rFonts w:asciiTheme="majorHAnsi" w:hAnsiTheme="majorHAnsi"/>
          <w:sz w:val="20"/>
          <w:szCs w:val="20"/>
        </w:rPr>
        <w:t>поверхонь</w:t>
      </w:r>
      <w:r w:rsidRPr="000977F7">
        <w:rPr>
          <w:rFonts w:asciiTheme="majorHAnsi" w:hAnsiTheme="majorHAnsi"/>
          <w:spacing w:val="-1"/>
          <w:sz w:val="20"/>
          <w:szCs w:val="20"/>
        </w:rPr>
        <w:t xml:space="preserve"> </w:t>
      </w:r>
      <w:r w:rsidRPr="000977F7">
        <w:rPr>
          <w:rFonts w:asciiTheme="majorHAnsi" w:hAnsiTheme="majorHAnsi"/>
          <w:sz w:val="20"/>
          <w:szCs w:val="20"/>
        </w:rPr>
        <w:t>зубів</w:t>
      </w:r>
      <w:r w:rsidRPr="000977F7">
        <w:rPr>
          <w:rFonts w:asciiTheme="majorHAnsi" w:hAnsiTheme="majorHAnsi"/>
          <w:spacing w:val="-1"/>
          <w:sz w:val="20"/>
          <w:szCs w:val="20"/>
        </w:rPr>
        <w:t xml:space="preserve"> </w:t>
      </w:r>
      <w:r w:rsidRPr="000977F7">
        <w:rPr>
          <w:rFonts w:asciiTheme="majorHAnsi" w:hAnsiTheme="majorHAnsi"/>
          <w:sz w:val="20"/>
          <w:szCs w:val="20"/>
        </w:rPr>
        <w:t>абразивними</w:t>
      </w:r>
      <w:r w:rsidRPr="000977F7">
        <w:rPr>
          <w:rFonts w:asciiTheme="majorHAnsi" w:hAnsiTheme="majorHAnsi"/>
          <w:spacing w:val="-2"/>
          <w:sz w:val="20"/>
          <w:szCs w:val="20"/>
        </w:rPr>
        <w:t xml:space="preserve"> </w:t>
      </w:r>
      <w:r w:rsidRPr="000977F7">
        <w:rPr>
          <w:rFonts w:asciiTheme="majorHAnsi" w:hAnsiTheme="majorHAnsi"/>
          <w:sz w:val="20"/>
          <w:szCs w:val="20"/>
        </w:rPr>
        <w:t>кругами</w:t>
      </w:r>
    </w:p>
    <w:p w14:paraId="1C7991B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Карусельно-протяжний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протягування</w:t>
      </w:r>
      <w:r w:rsidRPr="000977F7">
        <w:rPr>
          <w:rFonts w:asciiTheme="majorHAnsi" w:hAnsiTheme="majorHAnsi"/>
          <w:spacing w:val="1"/>
          <w:sz w:val="20"/>
          <w:szCs w:val="20"/>
        </w:rPr>
        <w:t xml:space="preserve"> </w:t>
      </w:r>
      <w:r w:rsidRPr="000977F7">
        <w:rPr>
          <w:rFonts w:asciiTheme="majorHAnsi" w:hAnsiTheme="majorHAnsi"/>
          <w:sz w:val="20"/>
          <w:szCs w:val="20"/>
        </w:rPr>
        <w:t>поверхонь,</w:t>
      </w:r>
      <w:r w:rsidRPr="000977F7">
        <w:rPr>
          <w:rFonts w:asciiTheme="majorHAnsi" w:hAnsiTheme="majorHAnsi"/>
          <w:spacing w:val="-1"/>
          <w:sz w:val="20"/>
          <w:szCs w:val="20"/>
        </w:rPr>
        <w:t xml:space="preserve"> </w:t>
      </w:r>
      <w:r w:rsidRPr="000977F7">
        <w:rPr>
          <w:rFonts w:asciiTheme="majorHAnsi" w:hAnsiTheme="majorHAnsi"/>
          <w:sz w:val="20"/>
          <w:szCs w:val="20"/>
        </w:rPr>
        <w:t>окреслених</w:t>
      </w:r>
      <w:r w:rsidRPr="000977F7">
        <w:rPr>
          <w:rFonts w:asciiTheme="majorHAnsi" w:hAnsiTheme="majorHAnsi"/>
          <w:spacing w:val="-1"/>
          <w:sz w:val="20"/>
          <w:szCs w:val="20"/>
        </w:rPr>
        <w:t xml:space="preserve"> </w:t>
      </w:r>
      <w:r w:rsidRPr="000977F7">
        <w:rPr>
          <w:rFonts w:asciiTheme="majorHAnsi" w:hAnsiTheme="majorHAnsi"/>
          <w:sz w:val="20"/>
          <w:szCs w:val="20"/>
        </w:rPr>
        <w:t>радіусом</w:t>
      </w:r>
      <w:r w:rsidRPr="000977F7">
        <w:rPr>
          <w:rFonts w:asciiTheme="majorHAnsi" w:hAnsiTheme="majorHAnsi"/>
          <w:spacing w:val="1"/>
          <w:sz w:val="20"/>
          <w:szCs w:val="20"/>
        </w:rPr>
        <w:t xml:space="preserve"> </w:t>
      </w:r>
      <w:r w:rsidRPr="000977F7">
        <w:rPr>
          <w:rFonts w:asciiTheme="majorHAnsi" w:hAnsiTheme="majorHAnsi"/>
          <w:sz w:val="20"/>
          <w:szCs w:val="20"/>
        </w:rPr>
        <w:t>кола</w:t>
      </w:r>
    </w:p>
    <w:p w14:paraId="7ED9182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Карусельно-фрезерний – для обробки плоских елементів</w:t>
      </w:r>
      <w:r w:rsidRPr="000977F7">
        <w:rPr>
          <w:rFonts w:asciiTheme="majorHAnsi" w:hAnsiTheme="majorHAnsi"/>
          <w:spacing w:val="-3"/>
          <w:sz w:val="20"/>
          <w:szCs w:val="20"/>
        </w:rPr>
        <w:t xml:space="preserve"> </w:t>
      </w:r>
      <w:r w:rsidRPr="000977F7">
        <w:rPr>
          <w:rFonts w:asciiTheme="majorHAnsi" w:hAnsiTheme="majorHAnsi"/>
          <w:sz w:val="20"/>
          <w:szCs w:val="20"/>
        </w:rPr>
        <w:t>заготовок безперервним</w:t>
      </w:r>
      <w:r w:rsidRPr="000977F7">
        <w:rPr>
          <w:rFonts w:asciiTheme="majorHAnsi" w:hAnsiTheme="majorHAnsi"/>
          <w:spacing w:val="-1"/>
          <w:sz w:val="20"/>
          <w:szCs w:val="20"/>
        </w:rPr>
        <w:t xml:space="preserve"> </w:t>
      </w:r>
      <w:r w:rsidRPr="000977F7">
        <w:rPr>
          <w:rFonts w:asciiTheme="majorHAnsi" w:hAnsiTheme="majorHAnsi"/>
          <w:sz w:val="20"/>
          <w:szCs w:val="20"/>
        </w:rPr>
        <w:t>фрезеруванням</w:t>
      </w:r>
    </w:p>
    <w:p w14:paraId="697FE9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Копіювально-фрезерний – із системою слідкування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площинної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об’ємної</w:t>
      </w:r>
      <w:r w:rsidRPr="000977F7">
        <w:rPr>
          <w:rFonts w:asciiTheme="majorHAnsi" w:hAnsiTheme="majorHAnsi"/>
          <w:spacing w:val="1"/>
          <w:sz w:val="20"/>
          <w:szCs w:val="20"/>
        </w:rPr>
        <w:t xml:space="preserve"> </w:t>
      </w:r>
      <w:r w:rsidRPr="000977F7">
        <w:rPr>
          <w:rFonts w:asciiTheme="majorHAnsi" w:hAnsiTheme="majorHAnsi"/>
          <w:sz w:val="20"/>
          <w:szCs w:val="20"/>
        </w:rPr>
        <w:t>обробки</w:t>
      </w:r>
      <w:r w:rsidRPr="000977F7">
        <w:rPr>
          <w:rFonts w:asciiTheme="majorHAnsi" w:hAnsiTheme="majorHAnsi"/>
          <w:spacing w:val="1"/>
          <w:sz w:val="20"/>
          <w:szCs w:val="20"/>
        </w:rPr>
        <w:t xml:space="preserve"> </w:t>
      </w:r>
      <w:r w:rsidRPr="000977F7">
        <w:rPr>
          <w:rFonts w:asciiTheme="majorHAnsi" w:hAnsiTheme="majorHAnsi"/>
          <w:sz w:val="20"/>
          <w:szCs w:val="20"/>
        </w:rPr>
        <w:t>криволінійних</w:t>
      </w:r>
      <w:r w:rsidRPr="000977F7">
        <w:rPr>
          <w:rFonts w:asciiTheme="majorHAnsi" w:hAnsiTheme="majorHAnsi"/>
          <w:spacing w:val="1"/>
          <w:sz w:val="20"/>
          <w:szCs w:val="20"/>
        </w:rPr>
        <w:t xml:space="preserve"> </w:t>
      </w:r>
      <w:r w:rsidRPr="000977F7">
        <w:rPr>
          <w:rFonts w:asciiTheme="majorHAnsi" w:hAnsiTheme="majorHAnsi"/>
          <w:sz w:val="20"/>
          <w:szCs w:val="20"/>
        </w:rPr>
        <w:t>поверхонь</w:t>
      </w:r>
      <w:r w:rsidRPr="000977F7">
        <w:rPr>
          <w:rFonts w:asciiTheme="majorHAnsi" w:hAnsiTheme="majorHAnsi"/>
          <w:spacing w:val="1"/>
          <w:sz w:val="20"/>
          <w:szCs w:val="20"/>
        </w:rPr>
        <w:t xml:space="preserve"> </w:t>
      </w:r>
      <w:r w:rsidRPr="000977F7">
        <w:rPr>
          <w:rFonts w:asciiTheme="majorHAnsi" w:hAnsiTheme="majorHAnsi"/>
          <w:sz w:val="20"/>
          <w:szCs w:val="20"/>
        </w:rPr>
        <w:t>по</w:t>
      </w:r>
      <w:r w:rsidRPr="000977F7">
        <w:rPr>
          <w:rFonts w:asciiTheme="majorHAnsi" w:hAnsiTheme="majorHAnsi"/>
          <w:spacing w:val="1"/>
          <w:sz w:val="20"/>
          <w:szCs w:val="20"/>
        </w:rPr>
        <w:t xml:space="preserve"> </w:t>
      </w:r>
      <w:r w:rsidRPr="000977F7">
        <w:rPr>
          <w:rFonts w:asciiTheme="majorHAnsi" w:hAnsiTheme="majorHAnsi"/>
          <w:sz w:val="20"/>
          <w:szCs w:val="20"/>
        </w:rPr>
        <w:t>копіру</w:t>
      </w:r>
    </w:p>
    <w:p w14:paraId="6B1C9F1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Копіювальний – для обробки криволінійних поверхонь</w:t>
      </w:r>
      <w:r w:rsidRPr="000977F7">
        <w:rPr>
          <w:rFonts w:asciiTheme="majorHAnsi" w:hAnsiTheme="majorHAnsi"/>
          <w:spacing w:val="-1"/>
          <w:sz w:val="20"/>
          <w:szCs w:val="20"/>
        </w:rPr>
        <w:t xml:space="preserve"> </w:t>
      </w:r>
      <w:r w:rsidRPr="000977F7">
        <w:rPr>
          <w:rFonts w:asciiTheme="majorHAnsi" w:hAnsiTheme="majorHAnsi"/>
          <w:sz w:val="20"/>
          <w:szCs w:val="20"/>
        </w:rPr>
        <w:t>по</w:t>
      </w:r>
      <w:r w:rsidRPr="000977F7">
        <w:rPr>
          <w:rFonts w:asciiTheme="majorHAnsi" w:hAnsiTheme="majorHAnsi"/>
          <w:spacing w:val="1"/>
          <w:sz w:val="20"/>
          <w:szCs w:val="20"/>
        </w:rPr>
        <w:t xml:space="preserve"> </w:t>
      </w:r>
      <w:r w:rsidRPr="000977F7">
        <w:rPr>
          <w:rFonts w:asciiTheme="majorHAnsi" w:hAnsiTheme="majorHAnsi"/>
          <w:sz w:val="20"/>
          <w:szCs w:val="20"/>
        </w:rPr>
        <w:t>копіру</w:t>
      </w:r>
    </w:p>
    <w:p w14:paraId="441124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Кромкостругальний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обробки</w:t>
      </w:r>
      <w:r w:rsidRPr="000977F7">
        <w:rPr>
          <w:rFonts w:asciiTheme="majorHAnsi" w:hAnsiTheme="majorHAnsi"/>
          <w:spacing w:val="1"/>
          <w:sz w:val="20"/>
          <w:szCs w:val="20"/>
        </w:rPr>
        <w:t xml:space="preserve"> </w:t>
      </w:r>
      <w:r w:rsidRPr="000977F7">
        <w:rPr>
          <w:rFonts w:asciiTheme="majorHAnsi" w:hAnsiTheme="majorHAnsi"/>
          <w:sz w:val="20"/>
          <w:szCs w:val="20"/>
        </w:rPr>
        <w:t>прямолінійних</w:t>
      </w:r>
      <w:r w:rsidRPr="000977F7">
        <w:rPr>
          <w:rFonts w:asciiTheme="majorHAnsi" w:hAnsiTheme="majorHAnsi"/>
          <w:spacing w:val="-47"/>
          <w:sz w:val="20"/>
          <w:szCs w:val="20"/>
        </w:rPr>
        <w:t xml:space="preserve"> </w:t>
      </w:r>
      <w:r w:rsidRPr="000977F7">
        <w:rPr>
          <w:rFonts w:asciiTheme="majorHAnsi" w:hAnsiTheme="majorHAnsi"/>
          <w:sz w:val="20"/>
          <w:szCs w:val="20"/>
        </w:rPr>
        <w:t>кромок</w:t>
      </w:r>
      <w:r w:rsidRPr="000977F7">
        <w:rPr>
          <w:rFonts w:asciiTheme="majorHAnsi" w:hAnsiTheme="majorHAnsi"/>
          <w:spacing w:val="-2"/>
          <w:sz w:val="20"/>
          <w:szCs w:val="20"/>
        </w:rPr>
        <w:t xml:space="preserve"> </w:t>
      </w:r>
      <w:r w:rsidRPr="000977F7">
        <w:rPr>
          <w:rFonts w:asciiTheme="majorHAnsi" w:hAnsiTheme="majorHAnsi"/>
          <w:sz w:val="20"/>
          <w:szCs w:val="20"/>
        </w:rPr>
        <w:t>заготовок</w:t>
      </w:r>
    </w:p>
    <w:p w14:paraId="60AC84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Круглопильний – для поздовжнього, поперечного та</w:t>
      </w:r>
      <w:r w:rsidRPr="000977F7">
        <w:rPr>
          <w:rFonts w:asciiTheme="majorHAnsi" w:hAnsiTheme="majorHAnsi"/>
          <w:spacing w:val="-47"/>
          <w:sz w:val="20"/>
          <w:szCs w:val="20"/>
        </w:rPr>
        <w:t xml:space="preserve"> </w:t>
      </w:r>
      <w:r w:rsidRPr="000977F7">
        <w:rPr>
          <w:rFonts w:asciiTheme="majorHAnsi" w:hAnsiTheme="majorHAnsi"/>
          <w:sz w:val="20"/>
          <w:szCs w:val="20"/>
        </w:rPr>
        <w:t>змішаного розпилювання та розпилювання матеріалів</w:t>
      </w:r>
      <w:r w:rsidRPr="000977F7">
        <w:rPr>
          <w:rFonts w:asciiTheme="majorHAnsi" w:hAnsiTheme="majorHAnsi"/>
          <w:spacing w:val="1"/>
          <w:sz w:val="20"/>
          <w:szCs w:val="20"/>
        </w:rPr>
        <w:t xml:space="preserve"> </w:t>
      </w:r>
      <w:r w:rsidRPr="000977F7">
        <w:rPr>
          <w:rFonts w:asciiTheme="majorHAnsi" w:hAnsiTheme="majorHAnsi"/>
          <w:sz w:val="20"/>
          <w:szCs w:val="20"/>
        </w:rPr>
        <w:t>круглою</w:t>
      </w:r>
      <w:r w:rsidRPr="000977F7">
        <w:rPr>
          <w:rFonts w:asciiTheme="majorHAnsi" w:hAnsiTheme="majorHAnsi"/>
          <w:spacing w:val="-2"/>
          <w:sz w:val="20"/>
          <w:szCs w:val="20"/>
        </w:rPr>
        <w:t xml:space="preserve"> </w:t>
      </w:r>
      <w:r w:rsidRPr="000977F7">
        <w:rPr>
          <w:rFonts w:asciiTheme="majorHAnsi" w:hAnsiTheme="majorHAnsi"/>
          <w:sz w:val="20"/>
          <w:szCs w:val="20"/>
        </w:rPr>
        <w:t>(циліндричною,</w:t>
      </w:r>
      <w:r w:rsidRPr="000977F7">
        <w:rPr>
          <w:rFonts w:asciiTheme="majorHAnsi" w:hAnsiTheme="majorHAnsi"/>
          <w:spacing w:val="-1"/>
          <w:sz w:val="20"/>
          <w:szCs w:val="20"/>
        </w:rPr>
        <w:t xml:space="preserve"> </w:t>
      </w:r>
      <w:r w:rsidRPr="000977F7">
        <w:rPr>
          <w:rFonts w:asciiTheme="majorHAnsi" w:hAnsiTheme="majorHAnsi"/>
          <w:sz w:val="20"/>
          <w:szCs w:val="20"/>
        </w:rPr>
        <w:t>дисковою)</w:t>
      </w:r>
      <w:r w:rsidRPr="000977F7">
        <w:rPr>
          <w:rFonts w:asciiTheme="majorHAnsi" w:hAnsiTheme="majorHAnsi"/>
          <w:spacing w:val="-1"/>
          <w:sz w:val="20"/>
          <w:szCs w:val="20"/>
        </w:rPr>
        <w:t xml:space="preserve"> </w:t>
      </w:r>
      <w:r w:rsidRPr="000977F7">
        <w:rPr>
          <w:rFonts w:asciiTheme="majorHAnsi" w:hAnsiTheme="majorHAnsi"/>
          <w:sz w:val="20"/>
          <w:szCs w:val="20"/>
        </w:rPr>
        <w:t>пилкою</w:t>
      </w:r>
    </w:p>
    <w:p w14:paraId="55682E6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Круглошліфувальний – для обробки зовнішніх </w:t>
      </w:r>
    </w:p>
    <w:p w14:paraId="18CA496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циліндричних, конічних, фасонних і плоских (торцових)</w:t>
      </w:r>
      <w:r w:rsidRPr="000977F7">
        <w:rPr>
          <w:rFonts w:asciiTheme="majorHAnsi" w:hAnsiTheme="majorHAnsi"/>
          <w:spacing w:val="1"/>
          <w:sz w:val="20"/>
          <w:szCs w:val="20"/>
        </w:rPr>
        <w:t xml:space="preserve"> </w:t>
      </w:r>
      <w:r w:rsidRPr="000977F7">
        <w:rPr>
          <w:rFonts w:asciiTheme="majorHAnsi" w:hAnsiTheme="majorHAnsi"/>
          <w:sz w:val="20"/>
          <w:szCs w:val="20"/>
        </w:rPr>
        <w:t>поверхонь</w:t>
      </w:r>
      <w:r w:rsidRPr="000977F7">
        <w:rPr>
          <w:rFonts w:asciiTheme="majorHAnsi" w:hAnsiTheme="majorHAnsi"/>
          <w:spacing w:val="1"/>
          <w:sz w:val="20"/>
          <w:szCs w:val="20"/>
        </w:rPr>
        <w:t xml:space="preserve"> </w:t>
      </w:r>
      <w:r w:rsidRPr="000977F7">
        <w:rPr>
          <w:rFonts w:asciiTheme="majorHAnsi" w:hAnsiTheme="majorHAnsi"/>
          <w:sz w:val="20"/>
          <w:szCs w:val="20"/>
        </w:rPr>
        <w:t>заготовок,</w:t>
      </w:r>
      <w:r w:rsidRPr="000977F7">
        <w:rPr>
          <w:rFonts w:asciiTheme="majorHAnsi" w:hAnsiTheme="majorHAnsi"/>
          <w:spacing w:val="1"/>
          <w:sz w:val="20"/>
          <w:szCs w:val="20"/>
        </w:rPr>
        <w:t xml:space="preserve"> </w:t>
      </w:r>
      <w:r w:rsidRPr="000977F7">
        <w:rPr>
          <w:rFonts w:asciiTheme="majorHAnsi" w:hAnsiTheme="majorHAnsi"/>
          <w:sz w:val="20"/>
          <w:szCs w:val="20"/>
        </w:rPr>
        <w:t>установлених</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центрах</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закріплених</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патроні</w:t>
      </w:r>
    </w:p>
    <w:p w14:paraId="236E5ED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Лоботокарний – токарний верстат з горизонтальним</w:t>
      </w:r>
      <w:r w:rsidRPr="000977F7">
        <w:rPr>
          <w:rFonts w:asciiTheme="majorHAnsi" w:hAnsiTheme="majorHAnsi"/>
          <w:spacing w:val="1"/>
          <w:sz w:val="20"/>
          <w:szCs w:val="20"/>
        </w:rPr>
        <w:t xml:space="preserve"> </w:t>
      </w:r>
      <w:r w:rsidRPr="000977F7">
        <w:rPr>
          <w:rFonts w:asciiTheme="majorHAnsi" w:hAnsiTheme="majorHAnsi"/>
          <w:sz w:val="20"/>
          <w:szCs w:val="20"/>
        </w:rPr>
        <w:t>розташуванням шпинделя для виготовлення деталей</w:t>
      </w:r>
      <w:r w:rsidRPr="000977F7">
        <w:rPr>
          <w:rFonts w:asciiTheme="majorHAnsi" w:hAnsiTheme="majorHAnsi"/>
          <w:spacing w:val="1"/>
          <w:sz w:val="20"/>
          <w:szCs w:val="20"/>
        </w:rPr>
        <w:t xml:space="preserve"> </w:t>
      </w:r>
      <w:r w:rsidRPr="000977F7">
        <w:rPr>
          <w:rFonts w:asciiTheme="majorHAnsi" w:hAnsiTheme="majorHAnsi"/>
          <w:sz w:val="20"/>
          <w:szCs w:val="20"/>
        </w:rPr>
        <w:t>великого діаметра і</w:t>
      </w:r>
      <w:r w:rsidRPr="000977F7">
        <w:rPr>
          <w:rFonts w:asciiTheme="majorHAnsi" w:hAnsiTheme="majorHAnsi"/>
          <w:spacing w:val="-2"/>
          <w:sz w:val="20"/>
          <w:szCs w:val="20"/>
        </w:rPr>
        <w:t xml:space="preserve"> </w:t>
      </w:r>
      <w:r w:rsidRPr="000977F7">
        <w:rPr>
          <w:rFonts w:asciiTheme="majorHAnsi" w:hAnsiTheme="majorHAnsi"/>
          <w:sz w:val="20"/>
          <w:szCs w:val="20"/>
        </w:rPr>
        <w:t>малої</w:t>
      </w:r>
      <w:r w:rsidRPr="000977F7">
        <w:rPr>
          <w:rFonts w:asciiTheme="majorHAnsi" w:hAnsiTheme="majorHAnsi"/>
          <w:spacing w:val="-1"/>
          <w:sz w:val="20"/>
          <w:szCs w:val="20"/>
        </w:rPr>
        <w:t xml:space="preserve"> </w:t>
      </w:r>
      <w:r w:rsidRPr="000977F7">
        <w:rPr>
          <w:rFonts w:asciiTheme="majorHAnsi" w:hAnsiTheme="majorHAnsi"/>
          <w:sz w:val="20"/>
          <w:szCs w:val="20"/>
        </w:rPr>
        <w:t>довжини</w:t>
      </w:r>
    </w:p>
    <w:p w14:paraId="5C392B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Накатувальний – для формоутворювального та </w:t>
      </w:r>
    </w:p>
    <w:p w14:paraId="1858254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зміцнювального накатування</w:t>
      </w:r>
    </w:p>
    <w:p w14:paraId="089AF56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Нарізний – для нарізання зовнішніх та внутрішніх</w:t>
      </w:r>
      <w:r w:rsidRPr="000977F7">
        <w:rPr>
          <w:rFonts w:asciiTheme="majorHAnsi" w:hAnsiTheme="majorHAnsi"/>
          <w:spacing w:val="1"/>
          <w:sz w:val="20"/>
          <w:szCs w:val="20"/>
        </w:rPr>
        <w:t xml:space="preserve"> </w:t>
      </w:r>
      <w:r w:rsidRPr="000977F7">
        <w:rPr>
          <w:rFonts w:asciiTheme="majorHAnsi" w:hAnsiTheme="majorHAnsi"/>
          <w:sz w:val="20"/>
          <w:szCs w:val="20"/>
        </w:rPr>
        <w:t>різей</w:t>
      </w:r>
      <w:r w:rsidRPr="000977F7">
        <w:rPr>
          <w:rFonts w:asciiTheme="majorHAnsi" w:hAnsiTheme="majorHAnsi"/>
          <w:spacing w:val="-2"/>
          <w:sz w:val="20"/>
          <w:szCs w:val="20"/>
        </w:rPr>
        <w:t xml:space="preserve"> </w:t>
      </w:r>
      <w:r w:rsidRPr="000977F7">
        <w:rPr>
          <w:rFonts w:asciiTheme="majorHAnsi" w:hAnsiTheme="majorHAnsi"/>
          <w:sz w:val="20"/>
          <w:szCs w:val="20"/>
        </w:rPr>
        <w:t>з’єднувальних</w:t>
      </w:r>
      <w:r w:rsidRPr="000977F7">
        <w:rPr>
          <w:rFonts w:asciiTheme="majorHAnsi" w:hAnsiTheme="majorHAnsi"/>
          <w:spacing w:val="-2"/>
          <w:sz w:val="20"/>
          <w:szCs w:val="20"/>
        </w:rPr>
        <w:t xml:space="preserve"> </w:t>
      </w:r>
      <w:r w:rsidRPr="000977F7">
        <w:rPr>
          <w:rFonts w:asciiTheme="majorHAnsi" w:hAnsiTheme="majorHAnsi"/>
          <w:sz w:val="20"/>
          <w:szCs w:val="20"/>
        </w:rPr>
        <w:t>муфт</w:t>
      </w:r>
      <w:r w:rsidRPr="000977F7">
        <w:rPr>
          <w:rFonts w:asciiTheme="majorHAnsi" w:hAnsiTheme="majorHAnsi"/>
          <w:spacing w:val="-1"/>
          <w:sz w:val="20"/>
          <w:szCs w:val="20"/>
        </w:rPr>
        <w:t xml:space="preserve"> </w:t>
      </w:r>
      <w:r w:rsidRPr="000977F7">
        <w:rPr>
          <w:rFonts w:asciiTheme="majorHAnsi" w:hAnsiTheme="majorHAnsi"/>
          <w:sz w:val="20"/>
          <w:szCs w:val="20"/>
        </w:rPr>
        <w:t>трубопроводів</w:t>
      </w:r>
    </w:p>
    <w:p w14:paraId="3BC442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Ножовочний – з робочим органом у вигляді ножовочного полотна, який має електричний або пневматичний</w:t>
      </w:r>
      <w:r w:rsidRPr="000977F7">
        <w:rPr>
          <w:rFonts w:asciiTheme="majorHAnsi" w:hAnsiTheme="majorHAnsi"/>
          <w:spacing w:val="-2"/>
          <w:sz w:val="20"/>
          <w:szCs w:val="20"/>
        </w:rPr>
        <w:t xml:space="preserve"> </w:t>
      </w:r>
      <w:r w:rsidRPr="000977F7">
        <w:rPr>
          <w:rFonts w:asciiTheme="majorHAnsi" w:hAnsiTheme="majorHAnsi"/>
          <w:sz w:val="20"/>
          <w:szCs w:val="20"/>
        </w:rPr>
        <w:t>привод</w:t>
      </w:r>
    </w:p>
    <w:p w14:paraId="7346BE3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Обдирний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попередньої</w:t>
      </w:r>
      <w:r w:rsidRPr="000977F7">
        <w:rPr>
          <w:rFonts w:asciiTheme="majorHAnsi" w:hAnsiTheme="majorHAnsi"/>
          <w:spacing w:val="1"/>
          <w:sz w:val="20"/>
          <w:szCs w:val="20"/>
        </w:rPr>
        <w:t xml:space="preserve"> </w:t>
      </w:r>
      <w:r w:rsidRPr="000977F7">
        <w:rPr>
          <w:rFonts w:asciiTheme="majorHAnsi" w:hAnsiTheme="majorHAnsi"/>
          <w:sz w:val="20"/>
          <w:szCs w:val="20"/>
        </w:rPr>
        <w:t>(чорнової)</w:t>
      </w:r>
      <w:r w:rsidRPr="000977F7">
        <w:rPr>
          <w:rFonts w:asciiTheme="majorHAnsi" w:hAnsiTheme="majorHAnsi"/>
          <w:spacing w:val="1"/>
          <w:sz w:val="20"/>
          <w:szCs w:val="20"/>
        </w:rPr>
        <w:t xml:space="preserve"> </w:t>
      </w:r>
      <w:r w:rsidRPr="000977F7">
        <w:rPr>
          <w:rFonts w:asciiTheme="majorHAnsi" w:hAnsiTheme="majorHAnsi"/>
          <w:sz w:val="20"/>
          <w:szCs w:val="20"/>
        </w:rPr>
        <w:t>обробки</w:t>
      </w:r>
      <w:r w:rsidRPr="000977F7">
        <w:rPr>
          <w:rFonts w:asciiTheme="majorHAnsi" w:hAnsiTheme="majorHAnsi"/>
          <w:spacing w:val="1"/>
          <w:sz w:val="20"/>
          <w:szCs w:val="20"/>
        </w:rPr>
        <w:t xml:space="preserve"> </w:t>
      </w:r>
      <w:r w:rsidRPr="000977F7">
        <w:rPr>
          <w:rFonts w:asciiTheme="majorHAnsi" w:hAnsiTheme="majorHAnsi"/>
          <w:sz w:val="20"/>
          <w:szCs w:val="20"/>
        </w:rPr>
        <w:t>заготовок</w:t>
      </w:r>
      <w:r w:rsidRPr="000977F7">
        <w:rPr>
          <w:rFonts w:asciiTheme="majorHAnsi" w:hAnsiTheme="majorHAnsi"/>
          <w:spacing w:val="-4"/>
          <w:sz w:val="20"/>
          <w:szCs w:val="20"/>
        </w:rPr>
        <w:t xml:space="preserve"> </w:t>
      </w:r>
      <w:r w:rsidRPr="000977F7">
        <w:rPr>
          <w:rFonts w:asciiTheme="majorHAnsi" w:hAnsiTheme="majorHAnsi"/>
          <w:sz w:val="20"/>
          <w:szCs w:val="20"/>
        </w:rPr>
        <w:t>лезвійним</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абразивним</w:t>
      </w:r>
      <w:r w:rsidRPr="000977F7">
        <w:rPr>
          <w:rFonts w:asciiTheme="majorHAnsi" w:hAnsiTheme="majorHAnsi"/>
          <w:spacing w:val="-2"/>
          <w:sz w:val="20"/>
          <w:szCs w:val="20"/>
        </w:rPr>
        <w:t xml:space="preserve"> </w:t>
      </w:r>
      <w:r w:rsidRPr="000977F7">
        <w:rPr>
          <w:rFonts w:asciiTheme="majorHAnsi" w:hAnsiTheme="majorHAnsi"/>
          <w:sz w:val="20"/>
          <w:szCs w:val="20"/>
        </w:rPr>
        <w:t>інструментом</w:t>
      </w:r>
    </w:p>
    <w:p w14:paraId="7BFCA70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Обкатувальний – для припрацювання при обертанні</w:t>
      </w:r>
      <w:r w:rsidRPr="000977F7">
        <w:rPr>
          <w:rFonts w:asciiTheme="majorHAnsi" w:hAnsiTheme="majorHAnsi"/>
          <w:spacing w:val="1"/>
          <w:sz w:val="20"/>
          <w:szCs w:val="20"/>
        </w:rPr>
        <w:t xml:space="preserve"> </w:t>
      </w:r>
      <w:r w:rsidRPr="000977F7">
        <w:rPr>
          <w:rFonts w:asciiTheme="majorHAnsi" w:hAnsiTheme="majorHAnsi"/>
          <w:sz w:val="20"/>
          <w:szCs w:val="20"/>
        </w:rPr>
        <w:t>на холостому ходу і під навантажуванням спарених</w:t>
      </w:r>
      <w:r w:rsidRPr="000977F7">
        <w:rPr>
          <w:rFonts w:asciiTheme="majorHAnsi" w:hAnsiTheme="majorHAnsi"/>
          <w:spacing w:val="1"/>
          <w:sz w:val="20"/>
          <w:szCs w:val="20"/>
        </w:rPr>
        <w:t xml:space="preserve"> </w:t>
      </w:r>
      <w:r w:rsidRPr="000977F7">
        <w:rPr>
          <w:rFonts w:asciiTheme="majorHAnsi" w:hAnsiTheme="majorHAnsi"/>
          <w:sz w:val="20"/>
          <w:szCs w:val="20"/>
        </w:rPr>
        <w:t>зубчатих</w:t>
      </w:r>
      <w:r w:rsidRPr="000977F7">
        <w:rPr>
          <w:rFonts w:asciiTheme="majorHAnsi" w:hAnsiTheme="majorHAnsi"/>
          <w:spacing w:val="-2"/>
          <w:sz w:val="20"/>
          <w:szCs w:val="20"/>
        </w:rPr>
        <w:t xml:space="preserve"> </w:t>
      </w:r>
      <w:r w:rsidRPr="000977F7">
        <w:rPr>
          <w:rFonts w:asciiTheme="majorHAnsi" w:hAnsiTheme="majorHAnsi"/>
          <w:sz w:val="20"/>
          <w:szCs w:val="20"/>
        </w:rPr>
        <w:t>коліс</w:t>
      </w:r>
    </w:p>
    <w:p w14:paraId="26A0065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Однопозиційний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агрегатний</w:t>
      </w:r>
      <w:r w:rsidRPr="000977F7">
        <w:rPr>
          <w:rFonts w:asciiTheme="majorHAnsi" w:hAnsiTheme="majorHAnsi"/>
          <w:spacing w:val="1"/>
          <w:sz w:val="20"/>
          <w:szCs w:val="20"/>
        </w:rPr>
        <w:t xml:space="preserve"> </w:t>
      </w:r>
      <w:r w:rsidRPr="000977F7">
        <w:rPr>
          <w:rFonts w:asciiTheme="majorHAnsi" w:hAnsiTheme="majorHAnsi"/>
          <w:sz w:val="20"/>
          <w:szCs w:val="20"/>
        </w:rPr>
        <w:t>верстат,</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якому</w:t>
      </w:r>
      <w:r w:rsidRPr="000977F7">
        <w:rPr>
          <w:rFonts w:asciiTheme="majorHAnsi" w:hAnsiTheme="majorHAnsi"/>
          <w:spacing w:val="1"/>
          <w:sz w:val="20"/>
          <w:szCs w:val="20"/>
        </w:rPr>
        <w:t xml:space="preserve"> </w:t>
      </w:r>
      <w:r w:rsidRPr="000977F7">
        <w:rPr>
          <w:rFonts w:asciiTheme="majorHAnsi" w:hAnsiTheme="majorHAnsi"/>
          <w:sz w:val="20"/>
          <w:szCs w:val="20"/>
        </w:rPr>
        <w:t>операція</w:t>
      </w:r>
      <w:r w:rsidRPr="000977F7">
        <w:rPr>
          <w:rFonts w:asciiTheme="majorHAnsi" w:hAnsiTheme="majorHAnsi"/>
          <w:spacing w:val="1"/>
          <w:sz w:val="20"/>
          <w:szCs w:val="20"/>
        </w:rPr>
        <w:t xml:space="preserve"> </w:t>
      </w:r>
      <w:r w:rsidRPr="000977F7">
        <w:rPr>
          <w:rFonts w:asciiTheme="majorHAnsi" w:hAnsiTheme="majorHAnsi"/>
          <w:sz w:val="20"/>
          <w:szCs w:val="20"/>
        </w:rPr>
        <w:t>повністю</w:t>
      </w:r>
      <w:r w:rsidRPr="000977F7">
        <w:rPr>
          <w:rFonts w:asciiTheme="majorHAnsi" w:hAnsiTheme="majorHAnsi"/>
          <w:spacing w:val="1"/>
          <w:sz w:val="20"/>
          <w:szCs w:val="20"/>
        </w:rPr>
        <w:t xml:space="preserve"> </w:t>
      </w:r>
      <w:r w:rsidRPr="000977F7">
        <w:rPr>
          <w:rFonts w:asciiTheme="majorHAnsi" w:hAnsiTheme="majorHAnsi"/>
          <w:sz w:val="20"/>
          <w:szCs w:val="20"/>
        </w:rPr>
        <w:t>закінчується</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одному</w:t>
      </w:r>
      <w:r w:rsidRPr="000977F7">
        <w:rPr>
          <w:rFonts w:asciiTheme="majorHAnsi" w:hAnsiTheme="majorHAnsi"/>
          <w:spacing w:val="1"/>
          <w:sz w:val="20"/>
          <w:szCs w:val="20"/>
        </w:rPr>
        <w:t xml:space="preserve"> </w:t>
      </w:r>
      <w:r w:rsidRPr="000977F7">
        <w:rPr>
          <w:rFonts w:asciiTheme="majorHAnsi" w:hAnsiTheme="majorHAnsi"/>
          <w:sz w:val="20"/>
          <w:szCs w:val="20"/>
        </w:rPr>
        <w:t>постійному</w:t>
      </w:r>
      <w:r w:rsidRPr="000977F7">
        <w:rPr>
          <w:rFonts w:asciiTheme="majorHAnsi" w:hAnsiTheme="majorHAnsi"/>
          <w:spacing w:val="-5"/>
          <w:sz w:val="20"/>
          <w:szCs w:val="20"/>
        </w:rPr>
        <w:t xml:space="preserve"> </w:t>
      </w:r>
      <w:r w:rsidRPr="000977F7">
        <w:rPr>
          <w:rFonts w:asciiTheme="majorHAnsi" w:hAnsiTheme="majorHAnsi"/>
          <w:sz w:val="20"/>
          <w:szCs w:val="20"/>
        </w:rPr>
        <w:t>положенні</w:t>
      </w:r>
      <w:r w:rsidRPr="000977F7">
        <w:rPr>
          <w:rFonts w:asciiTheme="majorHAnsi" w:hAnsiTheme="majorHAnsi"/>
          <w:spacing w:val="-1"/>
          <w:sz w:val="20"/>
          <w:szCs w:val="20"/>
        </w:rPr>
        <w:t xml:space="preserve"> </w:t>
      </w:r>
      <w:r w:rsidRPr="000977F7">
        <w:rPr>
          <w:rFonts w:asciiTheme="majorHAnsi" w:hAnsiTheme="majorHAnsi"/>
          <w:sz w:val="20"/>
          <w:szCs w:val="20"/>
        </w:rPr>
        <w:t>заготовки</w:t>
      </w:r>
    </w:p>
    <w:p w14:paraId="641F1E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Обпилювально-зачищувальний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механічного</w:t>
      </w:r>
      <w:r w:rsidRPr="000977F7">
        <w:rPr>
          <w:rFonts w:asciiTheme="majorHAnsi" w:hAnsiTheme="majorHAnsi"/>
          <w:spacing w:val="1"/>
          <w:sz w:val="20"/>
          <w:szCs w:val="20"/>
        </w:rPr>
        <w:t xml:space="preserve"> </w:t>
      </w:r>
      <w:r w:rsidRPr="000977F7">
        <w:rPr>
          <w:rFonts w:asciiTheme="majorHAnsi" w:hAnsiTheme="majorHAnsi"/>
          <w:sz w:val="20"/>
          <w:szCs w:val="20"/>
        </w:rPr>
        <w:t>попереднього обпилювання заготовок, а також обдирання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зачищування</w:t>
      </w:r>
      <w:r w:rsidRPr="000977F7">
        <w:rPr>
          <w:rFonts w:asciiTheme="majorHAnsi" w:hAnsiTheme="majorHAnsi"/>
          <w:spacing w:val="1"/>
          <w:sz w:val="20"/>
          <w:szCs w:val="20"/>
        </w:rPr>
        <w:t xml:space="preserve"> </w:t>
      </w:r>
      <w:r w:rsidRPr="000977F7">
        <w:rPr>
          <w:rFonts w:asciiTheme="majorHAnsi" w:hAnsiTheme="majorHAnsi"/>
          <w:sz w:val="20"/>
          <w:szCs w:val="20"/>
        </w:rPr>
        <w:t>відливок</w:t>
      </w:r>
    </w:p>
    <w:p w14:paraId="18DD379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Пазувальний – деревообробний верстат для фрезерування</w:t>
      </w:r>
      <w:r w:rsidRPr="000977F7">
        <w:rPr>
          <w:rFonts w:asciiTheme="majorHAnsi" w:hAnsiTheme="majorHAnsi"/>
          <w:spacing w:val="1"/>
          <w:sz w:val="20"/>
          <w:szCs w:val="20"/>
        </w:rPr>
        <w:t xml:space="preserve"> </w:t>
      </w:r>
      <w:r w:rsidRPr="000977F7">
        <w:rPr>
          <w:rFonts w:asciiTheme="majorHAnsi" w:hAnsiTheme="majorHAnsi"/>
          <w:sz w:val="20"/>
          <w:szCs w:val="20"/>
        </w:rPr>
        <w:t>пазів</w:t>
      </w:r>
    </w:p>
    <w:p w14:paraId="79AB941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Пилконасікальний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насічок</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терпугах</w:t>
      </w:r>
      <w:r w:rsidRPr="000977F7">
        <w:rPr>
          <w:rFonts w:asciiTheme="majorHAnsi" w:hAnsiTheme="majorHAnsi"/>
          <w:spacing w:val="-2"/>
          <w:sz w:val="20"/>
          <w:szCs w:val="20"/>
        </w:rPr>
        <w:t xml:space="preserve"> </w:t>
      </w:r>
      <w:r w:rsidRPr="000977F7">
        <w:rPr>
          <w:rFonts w:asciiTheme="majorHAnsi" w:hAnsiTheme="majorHAnsi"/>
          <w:sz w:val="20"/>
          <w:szCs w:val="20"/>
        </w:rPr>
        <w:t>спеціальним інструментом</w:t>
      </w:r>
    </w:p>
    <w:p w14:paraId="465C51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Планетарно-шліфувальний – для планетарного шліфування</w:t>
      </w:r>
      <w:r w:rsidRPr="000977F7">
        <w:rPr>
          <w:rFonts w:asciiTheme="majorHAnsi" w:hAnsiTheme="majorHAnsi"/>
          <w:spacing w:val="-3"/>
          <w:sz w:val="20"/>
          <w:szCs w:val="20"/>
        </w:rPr>
        <w:t xml:space="preserve"> </w:t>
      </w:r>
      <w:r w:rsidRPr="000977F7">
        <w:rPr>
          <w:rFonts w:asciiTheme="majorHAnsi" w:hAnsiTheme="majorHAnsi"/>
          <w:sz w:val="20"/>
          <w:szCs w:val="20"/>
        </w:rPr>
        <w:t>отворів</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5"/>
          <w:sz w:val="20"/>
          <w:szCs w:val="20"/>
        </w:rPr>
        <w:t xml:space="preserve"> </w:t>
      </w:r>
      <w:r w:rsidRPr="000977F7">
        <w:rPr>
          <w:rFonts w:asciiTheme="majorHAnsi" w:hAnsiTheme="majorHAnsi"/>
          <w:sz w:val="20"/>
          <w:szCs w:val="20"/>
        </w:rPr>
        <w:t>великогабаритних</w:t>
      </w:r>
      <w:r w:rsidRPr="000977F7">
        <w:rPr>
          <w:rFonts w:asciiTheme="majorHAnsi" w:hAnsiTheme="majorHAnsi"/>
          <w:spacing w:val="-3"/>
          <w:sz w:val="20"/>
          <w:szCs w:val="20"/>
        </w:rPr>
        <w:t xml:space="preserve"> </w:t>
      </w:r>
      <w:r w:rsidRPr="000977F7">
        <w:rPr>
          <w:rFonts w:asciiTheme="majorHAnsi" w:hAnsiTheme="majorHAnsi"/>
          <w:sz w:val="20"/>
          <w:szCs w:val="20"/>
        </w:rPr>
        <w:t>заготовках</w:t>
      </w:r>
    </w:p>
    <w:p w14:paraId="5E9E49B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Плоскошліфувальний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плоского</w:t>
      </w:r>
      <w:r w:rsidRPr="000977F7">
        <w:rPr>
          <w:rFonts w:asciiTheme="majorHAnsi" w:hAnsiTheme="majorHAnsi"/>
          <w:spacing w:val="1"/>
          <w:sz w:val="20"/>
          <w:szCs w:val="20"/>
        </w:rPr>
        <w:t xml:space="preserve"> </w:t>
      </w:r>
      <w:r w:rsidRPr="000977F7">
        <w:rPr>
          <w:rFonts w:asciiTheme="majorHAnsi" w:hAnsiTheme="majorHAnsi"/>
          <w:sz w:val="20"/>
          <w:szCs w:val="20"/>
        </w:rPr>
        <w:t>шліфування</w:t>
      </w:r>
      <w:r w:rsidRPr="000977F7">
        <w:rPr>
          <w:rFonts w:asciiTheme="majorHAnsi" w:hAnsiTheme="majorHAnsi"/>
          <w:spacing w:val="1"/>
          <w:sz w:val="20"/>
          <w:szCs w:val="20"/>
        </w:rPr>
        <w:t xml:space="preserve"> </w:t>
      </w:r>
      <w:r w:rsidRPr="000977F7">
        <w:rPr>
          <w:rFonts w:asciiTheme="majorHAnsi" w:hAnsiTheme="majorHAnsi"/>
          <w:sz w:val="20"/>
          <w:szCs w:val="20"/>
        </w:rPr>
        <w:t>периферією</w:t>
      </w:r>
      <w:r w:rsidRPr="000977F7">
        <w:rPr>
          <w:rFonts w:asciiTheme="majorHAnsi" w:hAnsiTheme="majorHAnsi"/>
          <w:spacing w:val="-2"/>
          <w:sz w:val="20"/>
          <w:szCs w:val="20"/>
        </w:rPr>
        <w:t xml:space="preserve"> </w:t>
      </w:r>
      <w:r w:rsidRPr="000977F7">
        <w:rPr>
          <w:rFonts w:asciiTheme="majorHAnsi" w:hAnsiTheme="majorHAnsi"/>
          <w:sz w:val="20"/>
          <w:szCs w:val="20"/>
        </w:rPr>
        <w:t>або торцем шліфувального круга</w:t>
      </w:r>
    </w:p>
    <w:p w14:paraId="797FFF0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Полірувальний</w:t>
      </w:r>
      <w:r w:rsidRPr="000977F7">
        <w:rPr>
          <w:rFonts w:asciiTheme="majorHAnsi" w:hAnsiTheme="majorHAnsi"/>
          <w:spacing w:val="-5"/>
          <w:sz w:val="20"/>
          <w:szCs w:val="20"/>
        </w:rPr>
        <w:t xml:space="preserve"> </w:t>
      </w:r>
      <w:r w:rsidRPr="000977F7">
        <w:rPr>
          <w:rFonts w:asciiTheme="majorHAnsi" w:hAnsiTheme="majorHAnsi"/>
          <w:sz w:val="20"/>
          <w:szCs w:val="20"/>
        </w:rPr>
        <w:t>–</w:t>
      </w:r>
      <w:r w:rsidRPr="000977F7">
        <w:rPr>
          <w:rFonts w:asciiTheme="majorHAnsi" w:hAnsiTheme="majorHAnsi"/>
          <w:spacing w:val="-3"/>
          <w:sz w:val="20"/>
          <w:szCs w:val="20"/>
        </w:rPr>
        <w:t xml:space="preserve"> </w:t>
      </w:r>
      <w:r w:rsidRPr="000977F7">
        <w:rPr>
          <w:rFonts w:asciiTheme="majorHAnsi" w:hAnsiTheme="majorHAnsi"/>
          <w:sz w:val="20"/>
          <w:szCs w:val="20"/>
        </w:rPr>
        <w:t>для</w:t>
      </w:r>
      <w:r w:rsidRPr="000977F7">
        <w:rPr>
          <w:rFonts w:asciiTheme="majorHAnsi" w:hAnsiTheme="majorHAnsi"/>
          <w:spacing w:val="-5"/>
          <w:sz w:val="20"/>
          <w:szCs w:val="20"/>
        </w:rPr>
        <w:t xml:space="preserve"> </w:t>
      </w:r>
      <w:r w:rsidRPr="000977F7">
        <w:rPr>
          <w:rFonts w:asciiTheme="majorHAnsi" w:hAnsiTheme="majorHAnsi"/>
          <w:sz w:val="20"/>
          <w:szCs w:val="20"/>
        </w:rPr>
        <w:t>полірування</w:t>
      </w:r>
    </w:p>
    <w:p w14:paraId="3E68675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Поперечно-стругальний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головний</w:t>
      </w:r>
      <w:r w:rsidRPr="000977F7">
        <w:rPr>
          <w:rFonts w:asciiTheme="majorHAnsi" w:hAnsiTheme="majorHAnsi"/>
          <w:spacing w:val="1"/>
          <w:sz w:val="20"/>
          <w:szCs w:val="20"/>
        </w:rPr>
        <w:t xml:space="preserve"> </w:t>
      </w:r>
      <w:r w:rsidRPr="000977F7">
        <w:rPr>
          <w:rFonts w:asciiTheme="majorHAnsi" w:hAnsiTheme="majorHAnsi"/>
          <w:sz w:val="20"/>
          <w:szCs w:val="20"/>
        </w:rPr>
        <w:t>рух</w:t>
      </w:r>
      <w:r w:rsidRPr="000977F7">
        <w:rPr>
          <w:rFonts w:asciiTheme="majorHAnsi" w:hAnsiTheme="majorHAnsi"/>
          <w:spacing w:val="1"/>
          <w:sz w:val="20"/>
          <w:szCs w:val="20"/>
        </w:rPr>
        <w:t xml:space="preserve"> </w:t>
      </w:r>
      <w:r w:rsidRPr="000977F7">
        <w:rPr>
          <w:rFonts w:asciiTheme="majorHAnsi" w:hAnsiTheme="majorHAnsi"/>
          <w:sz w:val="20"/>
          <w:szCs w:val="20"/>
        </w:rPr>
        <w:t>здійснює інструмент, а періодичний рух подачі – заготовка</w:t>
      </w:r>
    </w:p>
    <w:p w14:paraId="4650874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Правильно-відрізний – для усунення кривизни довгомірних металевих заготовок та відрізання залишків</w:t>
      </w:r>
      <w:r w:rsidRPr="000977F7">
        <w:rPr>
          <w:rFonts w:asciiTheme="majorHAnsi" w:hAnsiTheme="majorHAnsi"/>
          <w:spacing w:val="1"/>
          <w:sz w:val="20"/>
          <w:szCs w:val="20"/>
        </w:rPr>
        <w:t xml:space="preserve"> </w:t>
      </w:r>
      <w:r w:rsidRPr="000977F7">
        <w:rPr>
          <w:rFonts w:asciiTheme="majorHAnsi" w:hAnsiTheme="majorHAnsi"/>
          <w:sz w:val="20"/>
          <w:szCs w:val="20"/>
        </w:rPr>
        <w:t>матеріалу</w:t>
      </w:r>
    </w:p>
    <w:p w14:paraId="1A62D4D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Прецизійний – особливої точності для обробки </w:t>
      </w:r>
    </w:p>
    <w:p w14:paraId="5C8BDCF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деталей</w:t>
      </w:r>
      <w:r w:rsidRPr="000977F7">
        <w:rPr>
          <w:rFonts w:asciiTheme="majorHAnsi" w:hAnsiTheme="majorHAnsi"/>
          <w:spacing w:val="-2"/>
          <w:sz w:val="20"/>
          <w:szCs w:val="20"/>
        </w:rPr>
        <w:t xml:space="preserve"> </w:t>
      </w:r>
      <w:r w:rsidRPr="000977F7">
        <w:rPr>
          <w:rFonts w:asciiTheme="majorHAnsi" w:hAnsiTheme="majorHAnsi"/>
          <w:sz w:val="20"/>
          <w:szCs w:val="20"/>
        </w:rPr>
        <w:t>з допусками до часток</w:t>
      </w:r>
      <w:r w:rsidRPr="000977F7">
        <w:rPr>
          <w:rFonts w:asciiTheme="majorHAnsi" w:hAnsiTheme="majorHAnsi"/>
          <w:spacing w:val="4"/>
          <w:sz w:val="20"/>
          <w:szCs w:val="20"/>
        </w:rPr>
        <w:t xml:space="preserve"> </w:t>
      </w:r>
      <w:r w:rsidRPr="000977F7">
        <w:rPr>
          <w:rFonts w:asciiTheme="majorHAnsi" w:hAnsiTheme="majorHAnsi"/>
          <w:i/>
          <w:sz w:val="20"/>
          <w:szCs w:val="20"/>
        </w:rPr>
        <w:t>мкм</w:t>
      </w:r>
    </w:p>
    <w:p w14:paraId="7CAA18D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Поздовжньо-стругальний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головний</w:t>
      </w:r>
      <w:r w:rsidRPr="000977F7">
        <w:rPr>
          <w:rFonts w:asciiTheme="majorHAnsi" w:hAnsiTheme="majorHAnsi"/>
          <w:spacing w:val="1"/>
          <w:sz w:val="20"/>
          <w:szCs w:val="20"/>
        </w:rPr>
        <w:t xml:space="preserve"> </w:t>
      </w:r>
      <w:r w:rsidRPr="000977F7">
        <w:rPr>
          <w:rFonts w:asciiTheme="majorHAnsi" w:hAnsiTheme="majorHAnsi"/>
          <w:sz w:val="20"/>
          <w:szCs w:val="20"/>
        </w:rPr>
        <w:t>рух</w:t>
      </w:r>
      <w:r w:rsidRPr="000977F7">
        <w:rPr>
          <w:rFonts w:asciiTheme="majorHAnsi" w:hAnsiTheme="majorHAnsi"/>
          <w:spacing w:val="1"/>
          <w:sz w:val="20"/>
          <w:szCs w:val="20"/>
        </w:rPr>
        <w:t xml:space="preserve"> </w:t>
      </w:r>
      <w:r w:rsidRPr="000977F7">
        <w:rPr>
          <w:rFonts w:asciiTheme="majorHAnsi" w:hAnsiTheme="majorHAnsi"/>
          <w:sz w:val="20"/>
          <w:szCs w:val="20"/>
        </w:rPr>
        <w:t>здійснює заготовка, а періодичний рух подачі</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інструмент</w:t>
      </w:r>
    </w:p>
    <w:p w14:paraId="248914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Поздовжньо-фрезерний – для обробки плоских елементів великогабаритних деталей, який має стіл, що</w:t>
      </w:r>
      <w:r w:rsidRPr="000977F7">
        <w:rPr>
          <w:rFonts w:asciiTheme="majorHAnsi" w:hAnsiTheme="majorHAnsi"/>
          <w:spacing w:val="1"/>
          <w:sz w:val="20"/>
          <w:szCs w:val="20"/>
        </w:rPr>
        <w:t xml:space="preserve"> </w:t>
      </w:r>
      <w:r w:rsidRPr="000977F7">
        <w:rPr>
          <w:rFonts w:asciiTheme="majorHAnsi" w:hAnsiTheme="majorHAnsi"/>
          <w:sz w:val="20"/>
          <w:szCs w:val="20"/>
        </w:rPr>
        <w:t>здійснює зворотно-поступове переміщення, і декілька</w:t>
      </w:r>
      <w:r w:rsidRPr="000977F7">
        <w:rPr>
          <w:rFonts w:asciiTheme="majorHAnsi" w:hAnsiTheme="majorHAnsi"/>
          <w:spacing w:val="1"/>
          <w:sz w:val="20"/>
          <w:szCs w:val="20"/>
        </w:rPr>
        <w:t xml:space="preserve"> </w:t>
      </w:r>
      <w:r w:rsidRPr="000977F7">
        <w:rPr>
          <w:rFonts w:asciiTheme="majorHAnsi" w:hAnsiTheme="majorHAnsi"/>
          <w:sz w:val="20"/>
          <w:szCs w:val="20"/>
        </w:rPr>
        <w:t>фрезерних</w:t>
      </w:r>
      <w:r w:rsidRPr="000977F7">
        <w:rPr>
          <w:rFonts w:asciiTheme="majorHAnsi" w:hAnsiTheme="majorHAnsi"/>
          <w:spacing w:val="-2"/>
          <w:sz w:val="20"/>
          <w:szCs w:val="20"/>
        </w:rPr>
        <w:t xml:space="preserve"> </w:t>
      </w:r>
      <w:r w:rsidRPr="000977F7">
        <w:rPr>
          <w:rFonts w:asciiTheme="majorHAnsi" w:hAnsiTheme="majorHAnsi"/>
          <w:sz w:val="20"/>
          <w:szCs w:val="20"/>
        </w:rPr>
        <w:t>шпинделів</w:t>
      </w:r>
    </w:p>
    <w:p w14:paraId="39F69F4D"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Профілешліфувальний</w:t>
      </w:r>
      <w:r w:rsidRPr="000977F7">
        <w:rPr>
          <w:rFonts w:asciiTheme="majorHAnsi" w:hAnsiTheme="majorHAnsi"/>
          <w:spacing w:val="24"/>
          <w:sz w:val="20"/>
          <w:szCs w:val="20"/>
        </w:rPr>
        <w:t xml:space="preserve"> </w:t>
      </w:r>
      <w:r w:rsidRPr="000977F7">
        <w:rPr>
          <w:rFonts w:asciiTheme="majorHAnsi" w:hAnsiTheme="majorHAnsi"/>
          <w:sz w:val="20"/>
          <w:szCs w:val="20"/>
        </w:rPr>
        <w:t>–</w:t>
      </w:r>
      <w:r w:rsidRPr="000977F7">
        <w:rPr>
          <w:rFonts w:asciiTheme="majorHAnsi" w:hAnsiTheme="majorHAnsi"/>
          <w:spacing w:val="26"/>
          <w:sz w:val="20"/>
          <w:szCs w:val="20"/>
        </w:rPr>
        <w:t xml:space="preserve"> </w:t>
      </w:r>
      <w:r w:rsidRPr="000977F7">
        <w:rPr>
          <w:rFonts w:asciiTheme="majorHAnsi" w:hAnsiTheme="majorHAnsi"/>
          <w:sz w:val="20"/>
          <w:szCs w:val="20"/>
        </w:rPr>
        <w:t>для</w:t>
      </w:r>
      <w:r w:rsidRPr="000977F7">
        <w:rPr>
          <w:rFonts w:asciiTheme="majorHAnsi" w:hAnsiTheme="majorHAnsi"/>
          <w:spacing w:val="24"/>
          <w:sz w:val="20"/>
          <w:szCs w:val="20"/>
        </w:rPr>
        <w:t xml:space="preserve"> </w:t>
      </w:r>
      <w:r w:rsidRPr="000977F7">
        <w:rPr>
          <w:rFonts w:asciiTheme="majorHAnsi" w:hAnsiTheme="majorHAnsi"/>
          <w:sz w:val="20"/>
          <w:szCs w:val="20"/>
        </w:rPr>
        <w:t>обробки</w:t>
      </w:r>
      <w:r w:rsidRPr="000977F7">
        <w:rPr>
          <w:rFonts w:asciiTheme="majorHAnsi" w:hAnsiTheme="majorHAnsi"/>
          <w:spacing w:val="24"/>
          <w:sz w:val="20"/>
          <w:szCs w:val="20"/>
        </w:rPr>
        <w:t xml:space="preserve"> </w:t>
      </w:r>
      <w:r w:rsidRPr="000977F7">
        <w:rPr>
          <w:rFonts w:asciiTheme="majorHAnsi" w:hAnsiTheme="majorHAnsi"/>
          <w:sz w:val="20"/>
          <w:szCs w:val="20"/>
        </w:rPr>
        <w:t>заготовок</w:t>
      </w:r>
      <w:r w:rsidRPr="000977F7">
        <w:rPr>
          <w:rFonts w:asciiTheme="majorHAnsi" w:hAnsiTheme="majorHAnsi"/>
          <w:spacing w:val="23"/>
          <w:sz w:val="20"/>
          <w:szCs w:val="20"/>
        </w:rPr>
        <w:t xml:space="preserve"> </w:t>
      </w:r>
      <w:r w:rsidRPr="000977F7">
        <w:rPr>
          <w:rFonts w:asciiTheme="majorHAnsi" w:hAnsiTheme="majorHAnsi"/>
          <w:sz w:val="20"/>
          <w:szCs w:val="20"/>
        </w:rPr>
        <w:t>абразивними профільними кругами методом копіювання</w:t>
      </w:r>
      <w:r w:rsidRPr="000977F7">
        <w:rPr>
          <w:rFonts w:asciiTheme="majorHAnsi" w:hAnsiTheme="majorHAnsi"/>
          <w:spacing w:val="-47"/>
          <w:sz w:val="20"/>
          <w:szCs w:val="20"/>
        </w:rPr>
        <w:t xml:space="preserve"> </w:t>
      </w:r>
    </w:p>
    <w:p w14:paraId="454A16B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Радіально-свердлувальний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обробки отворів</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великогабаритних</w:t>
      </w:r>
      <w:r w:rsidRPr="000977F7">
        <w:rPr>
          <w:rFonts w:asciiTheme="majorHAnsi" w:hAnsiTheme="majorHAnsi"/>
          <w:spacing w:val="39"/>
          <w:sz w:val="20"/>
          <w:szCs w:val="20"/>
        </w:rPr>
        <w:t xml:space="preserve"> </w:t>
      </w:r>
      <w:r w:rsidRPr="000977F7">
        <w:rPr>
          <w:rFonts w:asciiTheme="majorHAnsi" w:hAnsiTheme="majorHAnsi"/>
          <w:sz w:val="20"/>
          <w:szCs w:val="20"/>
        </w:rPr>
        <w:t>деталях</w:t>
      </w:r>
      <w:r w:rsidRPr="000977F7">
        <w:rPr>
          <w:rFonts w:asciiTheme="majorHAnsi" w:hAnsiTheme="majorHAnsi"/>
          <w:spacing w:val="43"/>
          <w:sz w:val="20"/>
          <w:szCs w:val="20"/>
        </w:rPr>
        <w:t xml:space="preserve"> </w:t>
      </w:r>
      <w:r w:rsidRPr="000977F7">
        <w:rPr>
          <w:rFonts w:asciiTheme="majorHAnsi" w:hAnsiTheme="majorHAnsi"/>
          <w:sz w:val="20"/>
          <w:szCs w:val="20"/>
        </w:rPr>
        <w:t>із</w:t>
      </w:r>
      <w:r w:rsidRPr="000977F7">
        <w:rPr>
          <w:rFonts w:asciiTheme="majorHAnsi" w:hAnsiTheme="majorHAnsi"/>
          <w:spacing w:val="41"/>
          <w:sz w:val="20"/>
          <w:szCs w:val="20"/>
        </w:rPr>
        <w:t xml:space="preserve"> </w:t>
      </w:r>
      <w:r w:rsidRPr="000977F7">
        <w:rPr>
          <w:rFonts w:asciiTheme="majorHAnsi" w:hAnsiTheme="majorHAnsi"/>
          <w:sz w:val="20"/>
          <w:szCs w:val="20"/>
        </w:rPr>
        <w:t>свердлувальною</w:t>
      </w:r>
      <w:r w:rsidRPr="000977F7">
        <w:rPr>
          <w:rFonts w:asciiTheme="majorHAnsi" w:hAnsiTheme="majorHAnsi"/>
          <w:spacing w:val="41"/>
          <w:sz w:val="20"/>
          <w:szCs w:val="20"/>
        </w:rPr>
        <w:t xml:space="preserve"> </w:t>
      </w:r>
      <w:r w:rsidRPr="000977F7">
        <w:rPr>
          <w:rFonts w:asciiTheme="majorHAnsi" w:hAnsiTheme="majorHAnsi"/>
          <w:sz w:val="20"/>
          <w:szCs w:val="20"/>
        </w:rPr>
        <w:t>головкою</w:t>
      </w:r>
      <w:r w:rsidRPr="000977F7">
        <w:rPr>
          <w:rFonts w:asciiTheme="majorHAnsi" w:hAnsiTheme="majorHAnsi"/>
          <w:spacing w:val="37"/>
          <w:sz w:val="20"/>
          <w:szCs w:val="20"/>
        </w:rPr>
        <w:t xml:space="preserve"> </w:t>
      </w:r>
      <w:r w:rsidRPr="000977F7">
        <w:rPr>
          <w:rFonts w:asciiTheme="majorHAnsi" w:hAnsiTheme="majorHAnsi"/>
          <w:sz w:val="20"/>
          <w:szCs w:val="20"/>
        </w:rPr>
        <w:t>(бабкою),</w:t>
      </w:r>
      <w:r w:rsidRPr="000977F7">
        <w:rPr>
          <w:rFonts w:asciiTheme="majorHAnsi" w:hAnsiTheme="majorHAnsi"/>
          <w:spacing w:val="38"/>
          <w:sz w:val="20"/>
          <w:szCs w:val="20"/>
        </w:rPr>
        <w:t xml:space="preserve"> </w:t>
      </w:r>
      <w:r w:rsidRPr="000977F7">
        <w:rPr>
          <w:rFonts w:asciiTheme="majorHAnsi" w:hAnsiTheme="majorHAnsi"/>
          <w:sz w:val="20"/>
          <w:szCs w:val="20"/>
        </w:rPr>
        <w:t>розташованою</w:t>
      </w:r>
      <w:r w:rsidRPr="000977F7">
        <w:rPr>
          <w:rFonts w:asciiTheme="majorHAnsi" w:hAnsiTheme="majorHAnsi"/>
          <w:spacing w:val="37"/>
          <w:sz w:val="20"/>
          <w:szCs w:val="20"/>
        </w:rPr>
        <w:t xml:space="preserve"> </w:t>
      </w:r>
      <w:r w:rsidRPr="000977F7">
        <w:rPr>
          <w:rFonts w:asciiTheme="majorHAnsi" w:hAnsiTheme="majorHAnsi"/>
          <w:sz w:val="20"/>
          <w:szCs w:val="20"/>
        </w:rPr>
        <w:t>на</w:t>
      </w:r>
      <w:r w:rsidRPr="000977F7">
        <w:rPr>
          <w:rFonts w:asciiTheme="majorHAnsi" w:hAnsiTheme="majorHAnsi"/>
          <w:spacing w:val="38"/>
          <w:sz w:val="20"/>
          <w:szCs w:val="20"/>
        </w:rPr>
        <w:t xml:space="preserve"> </w:t>
      </w:r>
      <w:r w:rsidRPr="000977F7">
        <w:rPr>
          <w:rFonts w:asciiTheme="majorHAnsi" w:hAnsiTheme="majorHAnsi"/>
          <w:sz w:val="20"/>
          <w:szCs w:val="20"/>
        </w:rPr>
        <w:t>поворотній</w:t>
      </w:r>
      <w:r w:rsidRPr="000977F7">
        <w:rPr>
          <w:rFonts w:asciiTheme="majorHAnsi" w:hAnsiTheme="majorHAnsi"/>
          <w:spacing w:val="35"/>
          <w:sz w:val="20"/>
          <w:szCs w:val="20"/>
        </w:rPr>
        <w:t xml:space="preserve"> </w:t>
      </w:r>
      <w:r w:rsidRPr="000977F7">
        <w:rPr>
          <w:rFonts w:asciiTheme="majorHAnsi" w:hAnsiTheme="majorHAnsi"/>
          <w:sz w:val="20"/>
          <w:szCs w:val="20"/>
        </w:rPr>
        <w:t>поперечині</w:t>
      </w:r>
    </w:p>
    <w:p w14:paraId="4655C70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Револьверний – верстат токарної групи з поворотною</w:t>
      </w:r>
      <w:r w:rsidRPr="000977F7">
        <w:rPr>
          <w:rFonts w:asciiTheme="majorHAnsi" w:hAnsiTheme="majorHAnsi"/>
          <w:spacing w:val="20"/>
          <w:sz w:val="20"/>
          <w:szCs w:val="20"/>
        </w:rPr>
        <w:t xml:space="preserve"> </w:t>
      </w:r>
      <w:r w:rsidRPr="000977F7">
        <w:rPr>
          <w:rFonts w:asciiTheme="majorHAnsi" w:hAnsiTheme="majorHAnsi"/>
          <w:sz w:val="20"/>
          <w:szCs w:val="20"/>
        </w:rPr>
        <w:t>револьверною</w:t>
      </w:r>
      <w:r w:rsidRPr="000977F7">
        <w:rPr>
          <w:rFonts w:asciiTheme="majorHAnsi" w:hAnsiTheme="majorHAnsi"/>
          <w:spacing w:val="20"/>
          <w:sz w:val="20"/>
          <w:szCs w:val="20"/>
        </w:rPr>
        <w:t xml:space="preserve"> </w:t>
      </w:r>
      <w:r w:rsidRPr="000977F7">
        <w:rPr>
          <w:rFonts w:asciiTheme="majorHAnsi" w:hAnsiTheme="majorHAnsi"/>
          <w:sz w:val="20"/>
          <w:szCs w:val="20"/>
        </w:rPr>
        <w:t>головкою</w:t>
      </w:r>
      <w:r w:rsidRPr="000977F7">
        <w:rPr>
          <w:rFonts w:asciiTheme="majorHAnsi" w:hAnsiTheme="majorHAnsi"/>
          <w:spacing w:val="20"/>
          <w:sz w:val="20"/>
          <w:szCs w:val="20"/>
        </w:rPr>
        <w:t xml:space="preserve"> </w:t>
      </w:r>
      <w:r w:rsidRPr="000977F7">
        <w:rPr>
          <w:rFonts w:asciiTheme="majorHAnsi" w:hAnsiTheme="majorHAnsi"/>
          <w:sz w:val="20"/>
          <w:szCs w:val="20"/>
        </w:rPr>
        <w:t>(замість</w:t>
      </w:r>
      <w:r w:rsidRPr="000977F7">
        <w:rPr>
          <w:rFonts w:asciiTheme="majorHAnsi" w:hAnsiTheme="majorHAnsi"/>
          <w:spacing w:val="20"/>
          <w:sz w:val="20"/>
          <w:szCs w:val="20"/>
        </w:rPr>
        <w:t xml:space="preserve"> </w:t>
      </w:r>
      <w:r w:rsidRPr="000977F7">
        <w:rPr>
          <w:rFonts w:asciiTheme="majorHAnsi" w:hAnsiTheme="majorHAnsi"/>
          <w:sz w:val="20"/>
          <w:szCs w:val="20"/>
        </w:rPr>
        <w:t>задньої</w:t>
      </w:r>
      <w:r w:rsidRPr="000977F7">
        <w:rPr>
          <w:rFonts w:asciiTheme="majorHAnsi" w:hAnsiTheme="majorHAnsi"/>
          <w:spacing w:val="20"/>
          <w:sz w:val="20"/>
          <w:szCs w:val="20"/>
        </w:rPr>
        <w:t xml:space="preserve"> </w:t>
      </w:r>
      <w:r w:rsidRPr="000977F7">
        <w:rPr>
          <w:rFonts w:asciiTheme="majorHAnsi" w:hAnsiTheme="majorHAnsi"/>
          <w:sz w:val="20"/>
          <w:szCs w:val="20"/>
        </w:rPr>
        <w:t>бабки),</w:t>
      </w:r>
      <w:r w:rsidRPr="000977F7">
        <w:rPr>
          <w:rFonts w:asciiTheme="majorHAnsi" w:hAnsiTheme="majorHAnsi"/>
          <w:spacing w:val="-48"/>
          <w:sz w:val="20"/>
          <w:szCs w:val="20"/>
        </w:rPr>
        <w:t xml:space="preserve"> </w:t>
      </w:r>
      <w:r w:rsidRPr="000977F7">
        <w:rPr>
          <w:rFonts w:asciiTheme="majorHAnsi" w:hAnsiTheme="majorHAnsi"/>
          <w:sz w:val="20"/>
          <w:szCs w:val="20"/>
        </w:rPr>
        <w:t>у гніздах якої розташовуються інструменти для обробки</w:t>
      </w:r>
      <w:r w:rsidRPr="000977F7">
        <w:rPr>
          <w:rFonts w:asciiTheme="majorHAnsi" w:hAnsiTheme="majorHAnsi"/>
          <w:spacing w:val="-2"/>
          <w:sz w:val="20"/>
          <w:szCs w:val="20"/>
        </w:rPr>
        <w:t xml:space="preserve"> </w:t>
      </w:r>
      <w:r w:rsidRPr="000977F7">
        <w:rPr>
          <w:rFonts w:asciiTheme="majorHAnsi" w:hAnsiTheme="majorHAnsi"/>
          <w:sz w:val="20"/>
          <w:szCs w:val="20"/>
        </w:rPr>
        <w:t>заготовок</w:t>
      </w:r>
    </w:p>
    <w:p w14:paraId="63C1A7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Рейкофрезерувальний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для нарізання зубів рейок</w:t>
      </w:r>
      <w:r w:rsidRPr="000977F7">
        <w:rPr>
          <w:rFonts w:asciiTheme="majorHAnsi" w:hAnsiTheme="majorHAnsi"/>
          <w:spacing w:val="1"/>
          <w:sz w:val="20"/>
          <w:szCs w:val="20"/>
        </w:rPr>
        <w:t xml:space="preserve"> </w:t>
      </w:r>
      <w:r w:rsidRPr="000977F7">
        <w:rPr>
          <w:rFonts w:asciiTheme="majorHAnsi" w:hAnsiTheme="majorHAnsi"/>
          <w:sz w:val="20"/>
          <w:szCs w:val="20"/>
        </w:rPr>
        <w:t>фрезами</w:t>
      </w:r>
    </w:p>
    <w:p w14:paraId="174B22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Різьбонакатувальний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утворення</w:t>
      </w:r>
      <w:r w:rsidRPr="000977F7">
        <w:rPr>
          <w:rFonts w:asciiTheme="majorHAnsi" w:hAnsiTheme="majorHAnsi"/>
          <w:spacing w:val="50"/>
          <w:sz w:val="20"/>
          <w:szCs w:val="20"/>
        </w:rPr>
        <w:t xml:space="preserve"> </w:t>
      </w:r>
      <w:r w:rsidRPr="000977F7">
        <w:rPr>
          <w:rFonts w:asciiTheme="majorHAnsi" w:hAnsiTheme="majorHAnsi"/>
          <w:sz w:val="20"/>
          <w:szCs w:val="20"/>
        </w:rPr>
        <w:t>зовнішньої</w:t>
      </w:r>
      <w:r w:rsidRPr="000977F7">
        <w:rPr>
          <w:rFonts w:asciiTheme="majorHAnsi" w:hAnsiTheme="majorHAnsi"/>
          <w:spacing w:val="1"/>
          <w:sz w:val="20"/>
          <w:szCs w:val="20"/>
        </w:rPr>
        <w:t xml:space="preserve"> </w:t>
      </w:r>
      <w:r w:rsidRPr="000977F7">
        <w:rPr>
          <w:rFonts w:asciiTheme="majorHAnsi" w:hAnsiTheme="majorHAnsi"/>
          <w:sz w:val="20"/>
          <w:szCs w:val="20"/>
        </w:rPr>
        <w:t>різі</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деталях</w:t>
      </w:r>
      <w:r w:rsidRPr="000977F7">
        <w:rPr>
          <w:rFonts w:asciiTheme="majorHAnsi" w:hAnsiTheme="majorHAnsi"/>
          <w:spacing w:val="-1"/>
          <w:sz w:val="20"/>
          <w:szCs w:val="20"/>
        </w:rPr>
        <w:t xml:space="preserve"> </w:t>
      </w:r>
      <w:r w:rsidRPr="000977F7">
        <w:rPr>
          <w:rFonts w:asciiTheme="majorHAnsi" w:hAnsiTheme="majorHAnsi"/>
          <w:sz w:val="20"/>
          <w:szCs w:val="20"/>
        </w:rPr>
        <w:t>холодним прокатуванням</w:t>
      </w:r>
    </w:p>
    <w:p w14:paraId="3866CE2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Різьботокарний – токарний металорізальний верстат</w:t>
      </w:r>
      <w:r w:rsidRPr="000977F7">
        <w:rPr>
          <w:rFonts w:asciiTheme="majorHAnsi" w:hAnsiTheme="majorHAnsi"/>
          <w:spacing w:val="-47"/>
          <w:sz w:val="20"/>
          <w:szCs w:val="20"/>
        </w:rPr>
        <w:t xml:space="preserve"> </w:t>
      </w:r>
      <w:r w:rsidRPr="000977F7">
        <w:rPr>
          <w:rFonts w:asciiTheme="majorHAnsi" w:hAnsiTheme="majorHAnsi"/>
          <w:sz w:val="20"/>
          <w:szCs w:val="20"/>
        </w:rPr>
        <w:t>(без</w:t>
      </w:r>
      <w:r w:rsidRPr="000977F7">
        <w:rPr>
          <w:rFonts w:asciiTheme="majorHAnsi" w:hAnsiTheme="majorHAnsi"/>
          <w:spacing w:val="1"/>
          <w:sz w:val="20"/>
          <w:szCs w:val="20"/>
        </w:rPr>
        <w:t xml:space="preserve"> </w:t>
      </w:r>
      <w:r w:rsidRPr="000977F7">
        <w:rPr>
          <w:rFonts w:asciiTheme="majorHAnsi" w:hAnsiTheme="majorHAnsi"/>
          <w:sz w:val="20"/>
          <w:szCs w:val="20"/>
        </w:rPr>
        <w:t>ходового</w:t>
      </w:r>
      <w:r w:rsidRPr="000977F7">
        <w:rPr>
          <w:rFonts w:asciiTheme="majorHAnsi" w:hAnsiTheme="majorHAnsi"/>
          <w:spacing w:val="1"/>
          <w:sz w:val="20"/>
          <w:szCs w:val="20"/>
        </w:rPr>
        <w:t xml:space="preserve"> </w:t>
      </w:r>
      <w:r w:rsidRPr="000977F7">
        <w:rPr>
          <w:rFonts w:asciiTheme="majorHAnsi" w:hAnsiTheme="majorHAnsi"/>
          <w:sz w:val="20"/>
          <w:szCs w:val="20"/>
        </w:rPr>
        <w:t>вала)</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нарізання</w:t>
      </w:r>
      <w:r w:rsidRPr="000977F7">
        <w:rPr>
          <w:rFonts w:asciiTheme="majorHAnsi" w:hAnsiTheme="majorHAnsi"/>
          <w:spacing w:val="1"/>
          <w:sz w:val="20"/>
          <w:szCs w:val="20"/>
        </w:rPr>
        <w:t xml:space="preserve"> </w:t>
      </w:r>
      <w:r w:rsidRPr="000977F7">
        <w:rPr>
          <w:rFonts w:asciiTheme="majorHAnsi" w:hAnsiTheme="majorHAnsi"/>
          <w:sz w:val="20"/>
          <w:szCs w:val="20"/>
        </w:rPr>
        <w:t>різей</w:t>
      </w:r>
      <w:r w:rsidRPr="000977F7">
        <w:rPr>
          <w:rFonts w:asciiTheme="majorHAnsi" w:hAnsiTheme="majorHAnsi"/>
          <w:spacing w:val="1"/>
          <w:sz w:val="20"/>
          <w:szCs w:val="20"/>
        </w:rPr>
        <w:t xml:space="preserve"> </w:t>
      </w:r>
      <w:r w:rsidRPr="000977F7">
        <w:rPr>
          <w:rFonts w:asciiTheme="majorHAnsi" w:hAnsiTheme="majorHAnsi"/>
          <w:sz w:val="20"/>
          <w:szCs w:val="20"/>
        </w:rPr>
        <w:t xml:space="preserve">різьбовими </w:t>
      </w:r>
      <w:r w:rsidRPr="000977F7">
        <w:rPr>
          <w:rFonts w:asciiTheme="majorHAnsi" w:hAnsiTheme="majorHAnsi"/>
          <w:spacing w:val="-47"/>
          <w:sz w:val="20"/>
          <w:szCs w:val="20"/>
        </w:rPr>
        <w:t xml:space="preserve"> </w:t>
      </w:r>
      <w:r w:rsidRPr="000977F7">
        <w:rPr>
          <w:rFonts w:asciiTheme="majorHAnsi" w:hAnsiTheme="majorHAnsi"/>
          <w:sz w:val="20"/>
          <w:szCs w:val="20"/>
        </w:rPr>
        <w:t>різцями</w:t>
      </w:r>
      <w:r w:rsidRPr="000977F7">
        <w:rPr>
          <w:rFonts w:asciiTheme="majorHAnsi" w:hAnsiTheme="majorHAnsi"/>
          <w:spacing w:val="-2"/>
          <w:sz w:val="20"/>
          <w:szCs w:val="20"/>
        </w:rPr>
        <w:t xml:space="preserve"> </w:t>
      </w:r>
      <w:r w:rsidRPr="000977F7">
        <w:rPr>
          <w:rFonts w:asciiTheme="majorHAnsi" w:hAnsiTheme="majorHAnsi"/>
          <w:sz w:val="20"/>
          <w:szCs w:val="20"/>
        </w:rPr>
        <w:t>та різьбовими</w:t>
      </w:r>
      <w:r w:rsidRPr="000977F7">
        <w:rPr>
          <w:rFonts w:asciiTheme="majorHAnsi" w:hAnsiTheme="majorHAnsi"/>
          <w:spacing w:val="-1"/>
          <w:sz w:val="20"/>
          <w:szCs w:val="20"/>
        </w:rPr>
        <w:t xml:space="preserve"> </w:t>
      </w:r>
      <w:r w:rsidRPr="000977F7">
        <w:rPr>
          <w:rFonts w:asciiTheme="majorHAnsi" w:hAnsiTheme="majorHAnsi"/>
          <w:sz w:val="20"/>
          <w:szCs w:val="20"/>
        </w:rPr>
        <w:t>гребінками</w:t>
      </w:r>
    </w:p>
    <w:p w14:paraId="5B0072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Різьбофрезерний – для нарізання довгих різей дисковою</w:t>
      </w:r>
      <w:r w:rsidRPr="000977F7">
        <w:rPr>
          <w:rFonts w:asciiTheme="majorHAnsi" w:hAnsiTheme="majorHAnsi"/>
          <w:spacing w:val="-2"/>
          <w:sz w:val="20"/>
          <w:szCs w:val="20"/>
        </w:rPr>
        <w:t xml:space="preserve"> </w:t>
      </w:r>
      <w:r w:rsidRPr="000977F7">
        <w:rPr>
          <w:rFonts w:asciiTheme="majorHAnsi" w:hAnsiTheme="majorHAnsi"/>
          <w:sz w:val="20"/>
          <w:szCs w:val="20"/>
        </w:rPr>
        <w:t>фрезою</w:t>
      </w:r>
      <w:r w:rsidRPr="000977F7">
        <w:rPr>
          <w:rFonts w:asciiTheme="majorHAnsi" w:hAnsiTheme="majorHAnsi"/>
          <w:spacing w:val="-1"/>
          <w:sz w:val="20"/>
          <w:szCs w:val="20"/>
        </w:rPr>
        <w:t xml:space="preserve"> </w:t>
      </w:r>
      <w:r w:rsidRPr="000977F7">
        <w:rPr>
          <w:rFonts w:asciiTheme="majorHAnsi" w:hAnsiTheme="majorHAnsi"/>
          <w:sz w:val="20"/>
          <w:szCs w:val="20"/>
        </w:rPr>
        <w:t>або коротких – гребінчатою</w:t>
      </w:r>
      <w:r w:rsidRPr="000977F7">
        <w:rPr>
          <w:rFonts w:asciiTheme="majorHAnsi" w:hAnsiTheme="majorHAnsi"/>
          <w:spacing w:val="-1"/>
          <w:sz w:val="20"/>
          <w:szCs w:val="20"/>
        </w:rPr>
        <w:t xml:space="preserve"> </w:t>
      </w:r>
      <w:r w:rsidRPr="000977F7">
        <w:rPr>
          <w:rFonts w:asciiTheme="majorHAnsi" w:hAnsiTheme="majorHAnsi"/>
          <w:sz w:val="20"/>
          <w:szCs w:val="20"/>
        </w:rPr>
        <w:t>фрезою</w:t>
      </w:r>
    </w:p>
    <w:p w14:paraId="3B3C715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Різьбошліфувальний – для чистової обробки точних</w:t>
      </w:r>
      <w:r w:rsidRPr="000977F7">
        <w:rPr>
          <w:rFonts w:asciiTheme="majorHAnsi" w:hAnsiTheme="majorHAnsi"/>
          <w:spacing w:val="1"/>
          <w:sz w:val="20"/>
          <w:szCs w:val="20"/>
        </w:rPr>
        <w:t xml:space="preserve"> </w:t>
      </w:r>
      <w:r w:rsidRPr="000977F7">
        <w:rPr>
          <w:rFonts w:asciiTheme="majorHAnsi" w:hAnsiTheme="majorHAnsi"/>
          <w:sz w:val="20"/>
          <w:szCs w:val="20"/>
        </w:rPr>
        <w:t>гвинтових поверхонь профільним шліфувальним кругом</w:t>
      </w:r>
    </w:p>
    <w:p w14:paraId="18D552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Розрізувальний – для розрізування матеріалів і заготовок</w:t>
      </w:r>
      <w:r w:rsidRPr="000977F7">
        <w:rPr>
          <w:rFonts w:asciiTheme="majorHAnsi" w:hAnsiTheme="majorHAnsi"/>
          <w:spacing w:val="-2"/>
          <w:sz w:val="20"/>
          <w:szCs w:val="20"/>
        </w:rPr>
        <w:t xml:space="preserve"> </w:t>
      </w:r>
      <w:r w:rsidRPr="000977F7">
        <w:rPr>
          <w:rFonts w:asciiTheme="majorHAnsi" w:hAnsiTheme="majorHAnsi"/>
          <w:sz w:val="20"/>
          <w:szCs w:val="20"/>
        </w:rPr>
        <w:t>на частини</w:t>
      </w:r>
    </w:p>
    <w:p w14:paraId="4AB7AEB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Розпилювальний – для розкроювання та розпилювання</w:t>
      </w:r>
      <w:r w:rsidRPr="000977F7">
        <w:rPr>
          <w:rFonts w:asciiTheme="majorHAnsi" w:hAnsiTheme="majorHAnsi"/>
          <w:spacing w:val="-2"/>
          <w:sz w:val="20"/>
          <w:szCs w:val="20"/>
        </w:rPr>
        <w:t xml:space="preserve"> </w:t>
      </w:r>
      <w:r w:rsidRPr="000977F7">
        <w:rPr>
          <w:rFonts w:asciiTheme="majorHAnsi" w:hAnsiTheme="majorHAnsi"/>
          <w:sz w:val="20"/>
          <w:szCs w:val="20"/>
        </w:rPr>
        <w:t>матеріалів</w:t>
      </w:r>
      <w:r w:rsidRPr="000977F7">
        <w:rPr>
          <w:rFonts w:asciiTheme="majorHAnsi" w:hAnsiTheme="majorHAnsi"/>
          <w:spacing w:val="-1"/>
          <w:sz w:val="20"/>
          <w:szCs w:val="20"/>
        </w:rPr>
        <w:t xml:space="preserve"> </w:t>
      </w:r>
      <w:r w:rsidRPr="000977F7">
        <w:rPr>
          <w:rFonts w:asciiTheme="majorHAnsi" w:hAnsiTheme="majorHAnsi"/>
          <w:sz w:val="20"/>
          <w:szCs w:val="20"/>
        </w:rPr>
        <w:t>на заготовки</w:t>
      </w:r>
    </w:p>
    <w:p w14:paraId="03B60E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Розточувальний – для обробки попередньо отриманих</w:t>
      </w:r>
      <w:r w:rsidRPr="000977F7">
        <w:rPr>
          <w:rFonts w:asciiTheme="majorHAnsi" w:hAnsiTheme="majorHAnsi"/>
          <w:spacing w:val="-2"/>
          <w:sz w:val="20"/>
          <w:szCs w:val="20"/>
        </w:rPr>
        <w:t xml:space="preserve"> </w:t>
      </w:r>
      <w:r w:rsidRPr="000977F7">
        <w:rPr>
          <w:rFonts w:asciiTheme="majorHAnsi" w:hAnsiTheme="majorHAnsi"/>
          <w:sz w:val="20"/>
          <w:szCs w:val="20"/>
        </w:rPr>
        <w:t>отворів</w:t>
      </w:r>
      <w:r w:rsidRPr="000977F7">
        <w:rPr>
          <w:rFonts w:asciiTheme="majorHAnsi" w:hAnsiTheme="majorHAnsi"/>
          <w:spacing w:val="-2"/>
          <w:sz w:val="20"/>
          <w:szCs w:val="20"/>
        </w:rPr>
        <w:t xml:space="preserve"> </w:t>
      </w:r>
      <w:r w:rsidRPr="000977F7">
        <w:rPr>
          <w:rFonts w:asciiTheme="majorHAnsi" w:hAnsiTheme="majorHAnsi"/>
          <w:sz w:val="20"/>
          <w:szCs w:val="20"/>
        </w:rPr>
        <w:t>інструментами,</w:t>
      </w:r>
      <w:r w:rsidRPr="000977F7">
        <w:rPr>
          <w:rFonts w:asciiTheme="majorHAnsi" w:hAnsiTheme="majorHAnsi"/>
          <w:spacing w:val="1"/>
          <w:sz w:val="20"/>
          <w:szCs w:val="20"/>
        </w:rPr>
        <w:t xml:space="preserve"> </w:t>
      </w:r>
      <w:r w:rsidRPr="000977F7">
        <w:rPr>
          <w:rFonts w:asciiTheme="majorHAnsi" w:hAnsiTheme="majorHAnsi"/>
          <w:sz w:val="20"/>
          <w:szCs w:val="20"/>
        </w:rPr>
        <w:t>що обертаються</w:t>
      </w:r>
    </w:p>
    <w:p w14:paraId="7A44E5D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Свердлувальний</w:t>
      </w:r>
      <w:r w:rsidRPr="000977F7">
        <w:rPr>
          <w:rFonts w:asciiTheme="majorHAnsi" w:hAnsiTheme="majorHAnsi"/>
          <w:spacing w:val="8"/>
          <w:sz w:val="20"/>
          <w:szCs w:val="20"/>
        </w:rPr>
        <w:t xml:space="preserve"> </w:t>
      </w:r>
      <w:r w:rsidRPr="000977F7">
        <w:rPr>
          <w:rFonts w:asciiTheme="majorHAnsi" w:hAnsiTheme="majorHAnsi"/>
          <w:sz w:val="20"/>
          <w:szCs w:val="20"/>
        </w:rPr>
        <w:t>–</w:t>
      </w:r>
      <w:r w:rsidRPr="000977F7">
        <w:rPr>
          <w:rFonts w:asciiTheme="majorHAnsi" w:hAnsiTheme="majorHAnsi"/>
          <w:spacing w:val="7"/>
          <w:sz w:val="20"/>
          <w:szCs w:val="20"/>
        </w:rPr>
        <w:t xml:space="preserve"> </w:t>
      </w:r>
      <w:r w:rsidRPr="000977F7">
        <w:rPr>
          <w:rFonts w:asciiTheme="majorHAnsi" w:hAnsiTheme="majorHAnsi"/>
          <w:sz w:val="20"/>
          <w:szCs w:val="20"/>
        </w:rPr>
        <w:t>для</w:t>
      </w:r>
      <w:r w:rsidRPr="000977F7">
        <w:rPr>
          <w:rFonts w:asciiTheme="majorHAnsi" w:hAnsiTheme="majorHAnsi"/>
          <w:spacing w:val="5"/>
          <w:sz w:val="20"/>
          <w:szCs w:val="20"/>
        </w:rPr>
        <w:t xml:space="preserve"> </w:t>
      </w:r>
      <w:r w:rsidRPr="000977F7">
        <w:rPr>
          <w:rFonts w:asciiTheme="majorHAnsi" w:hAnsiTheme="majorHAnsi"/>
          <w:sz w:val="20"/>
          <w:szCs w:val="20"/>
        </w:rPr>
        <w:t>свердлування,</w:t>
      </w:r>
      <w:r w:rsidRPr="000977F7">
        <w:rPr>
          <w:rFonts w:asciiTheme="majorHAnsi" w:hAnsiTheme="majorHAnsi"/>
          <w:spacing w:val="6"/>
          <w:sz w:val="20"/>
          <w:szCs w:val="20"/>
        </w:rPr>
        <w:t xml:space="preserve"> </w:t>
      </w:r>
      <w:r w:rsidRPr="000977F7">
        <w:rPr>
          <w:rFonts w:asciiTheme="majorHAnsi" w:hAnsiTheme="majorHAnsi"/>
          <w:sz w:val="20"/>
          <w:szCs w:val="20"/>
        </w:rPr>
        <w:t>розсвердлювання, зенкування, зенкерування, розвірчування та розточування отворів, а також для нарізання в них різі Свердлувально-відрізний – для відрізання кінців</w:t>
      </w:r>
    </w:p>
    <w:p w14:paraId="4031D4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заготовок вісей та валів і їх центрування</w:t>
      </w:r>
      <w:r w:rsidRPr="000977F7">
        <w:rPr>
          <w:rFonts w:asciiTheme="majorHAnsi" w:hAnsiTheme="majorHAnsi"/>
          <w:spacing w:val="1"/>
          <w:sz w:val="20"/>
          <w:szCs w:val="20"/>
        </w:rPr>
        <w:t xml:space="preserve"> </w:t>
      </w:r>
      <w:r w:rsidRPr="000977F7">
        <w:rPr>
          <w:rFonts w:asciiTheme="majorHAnsi" w:hAnsiTheme="majorHAnsi"/>
          <w:sz w:val="20"/>
          <w:szCs w:val="20"/>
        </w:rPr>
        <w:t>Спеціалізований</w:t>
      </w:r>
      <w:r w:rsidRPr="000977F7">
        <w:rPr>
          <w:rFonts w:asciiTheme="majorHAnsi" w:hAnsiTheme="majorHAnsi"/>
          <w:spacing w:val="15"/>
          <w:sz w:val="20"/>
          <w:szCs w:val="20"/>
        </w:rPr>
        <w:t xml:space="preserve"> </w:t>
      </w:r>
      <w:r w:rsidRPr="000977F7">
        <w:rPr>
          <w:rFonts w:asciiTheme="majorHAnsi" w:hAnsiTheme="majorHAnsi"/>
          <w:sz w:val="20"/>
          <w:szCs w:val="20"/>
        </w:rPr>
        <w:t>–</w:t>
      </w:r>
      <w:r w:rsidRPr="000977F7">
        <w:rPr>
          <w:rFonts w:asciiTheme="majorHAnsi" w:hAnsiTheme="majorHAnsi"/>
          <w:spacing w:val="16"/>
          <w:sz w:val="20"/>
          <w:szCs w:val="20"/>
        </w:rPr>
        <w:t xml:space="preserve"> </w:t>
      </w:r>
      <w:r w:rsidRPr="000977F7">
        <w:rPr>
          <w:rFonts w:asciiTheme="majorHAnsi" w:hAnsiTheme="majorHAnsi"/>
          <w:sz w:val="20"/>
          <w:szCs w:val="20"/>
        </w:rPr>
        <w:t>для</w:t>
      </w:r>
      <w:r w:rsidRPr="000977F7">
        <w:rPr>
          <w:rFonts w:asciiTheme="majorHAnsi" w:hAnsiTheme="majorHAnsi"/>
          <w:spacing w:val="17"/>
          <w:sz w:val="20"/>
          <w:szCs w:val="20"/>
        </w:rPr>
        <w:t xml:space="preserve"> </w:t>
      </w:r>
      <w:r w:rsidRPr="000977F7">
        <w:rPr>
          <w:rFonts w:asciiTheme="majorHAnsi" w:hAnsiTheme="majorHAnsi"/>
          <w:sz w:val="20"/>
          <w:szCs w:val="20"/>
        </w:rPr>
        <w:t>обробки</w:t>
      </w:r>
      <w:r w:rsidRPr="000977F7">
        <w:rPr>
          <w:rFonts w:asciiTheme="majorHAnsi" w:hAnsiTheme="majorHAnsi"/>
          <w:spacing w:val="15"/>
          <w:sz w:val="20"/>
          <w:szCs w:val="20"/>
        </w:rPr>
        <w:t xml:space="preserve"> </w:t>
      </w:r>
      <w:r w:rsidRPr="000977F7">
        <w:rPr>
          <w:rFonts w:asciiTheme="majorHAnsi" w:hAnsiTheme="majorHAnsi"/>
          <w:sz w:val="20"/>
          <w:szCs w:val="20"/>
        </w:rPr>
        <w:t>заготовок,</w:t>
      </w:r>
      <w:r w:rsidRPr="000977F7">
        <w:rPr>
          <w:rFonts w:asciiTheme="majorHAnsi" w:hAnsiTheme="majorHAnsi"/>
          <w:spacing w:val="18"/>
          <w:sz w:val="20"/>
          <w:szCs w:val="20"/>
        </w:rPr>
        <w:t xml:space="preserve"> </w:t>
      </w:r>
      <w:r w:rsidRPr="000977F7">
        <w:rPr>
          <w:rFonts w:asciiTheme="majorHAnsi" w:hAnsiTheme="majorHAnsi"/>
          <w:sz w:val="20"/>
          <w:szCs w:val="20"/>
        </w:rPr>
        <w:t>подібних</w:t>
      </w:r>
    </w:p>
    <w:p w14:paraId="52A68EC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 конфігурацією, але з різними (в деякому діапазоні)</w:t>
      </w:r>
      <w:r w:rsidRPr="000977F7">
        <w:rPr>
          <w:rFonts w:asciiTheme="majorHAnsi" w:hAnsiTheme="majorHAnsi"/>
          <w:spacing w:val="1"/>
          <w:sz w:val="20"/>
          <w:szCs w:val="20"/>
        </w:rPr>
        <w:t xml:space="preserve"> </w:t>
      </w:r>
      <w:r w:rsidRPr="000977F7">
        <w:rPr>
          <w:rFonts w:asciiTheme="majorHAnsi" w:hAnsiTheme="majorHAnsi"/>
          <w:sz w:val="20"/>
          <w:szCs w:val="20"/>
        </w:rPr>
        <w:t>розмірами</w:t>
      </w:r>
    </w:p>
    <w:p w14:paraId="5AC14C5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Спеціальний – призначений для обробки заготовок</w:t>
      </w:r>
      <w:r w:rsidRPr="000977F7">
        <w:rPr>
          <w:rFonts w:asciiTheme="majorHAnsi" w:hAnsiTheme="majorHAnsi"/>
          <w:spacing w:val="1"/>
          <w:sz w:val="20"/>
          <w:szCs w:val="20"/>
        </w:rPr>
        <w:t xml:space="preserve"> </w:t>
      </w:r>
      <w:r w:rsidRPr="000977F7">
        <w:rPr>
          <w:rFonts w:asciiTheme="majorHAnsi" w:hAnsiTheme="majorHAnsi"/>
          <w:sz w:val="20"/>
          <w:szCs w:val="20"/>
        </w:rPr>
        <w:t>одного типорозміру</w:t>
      </w:r>
    </w:p>
    <w:p w14:paraId="449AF88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Стрічкопильний – для розпилювання деревини </w:t>
      </w:r>
    </w:p>
    <w:p w14:paraId="083D39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стрічковою</w:t>
      </w:r>
      <w:r w:rsidRPr="000977F7">
        <w:rPr>
          <w:rFonts w:asciiTheme="majorHAnsi" w:hAnsiTheme="majorHAnsi"/>
          <w:spacing w:val="-1"/>
          <w:sz w:val="20"/>
          <w:szCs w:val="20"/>
        </w:rPr>
        <w:t xml:space="preserve"> </w:t>
      </w:r>
      <w:r w:rsidRPr="000977F7">
        <w:rPr>
          <w:rFonts w:asciiTheme="majorHAnsi" w:hAnsiTheme="majorHAnsi"/>
          <w:sz w:val="20"/>
          <w:szCs w:val="20"/>
        </w:rPr>
        <w:t>пилкою</w:t>
      </w:r>
    </w:p>
    <w:p w14:paraId="2FC436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Стрічко-шліфувальний – для обробки абразивними</w:t>
      </w:r>
      <w:r w:rsidRPr="000977F7">
        <w:rPr>
          <w:rFonts w:asciiTheme="majorHAnsi" w:hAnsiTheme="majorHAnsi"/>
          <w:spacing w:val="1"/>
          <w:sz w:val="20"/>
          <w:szCs w:val="20"/>
        </w:rPr>
        <w:t xml:space="preserve"> </w:t>
      </w:r>
      <w:r w:rsidRPr="000977F7">
        <w:rPr>
          <w:rFonts w:asciiTheme="majorHAnsi" w:hAnsiTheme="majorHAnsi"/>
          <w:sz w:val="20"/>
          <w:szCs w:val="20"/>
        </w:rPr>
        <w:t>стрічками</w:t>
      </w:r>
    </w:p>
    <w:p w14:paraId="1573108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Стрічковий протяжний – протяжний верстат з протяжками, розташованими на приводній нескінченній</w:t>
      </w:r>
      <w:r w:rsidRPr="000977F7">
        <w:rPr>
          <w:rFonts w:asciiTheme="majorHAnsi" w:hAnsiTheme="majorHAnsi"/>
          <w:spacing w:val="1"/>
          <w:sz w:val="20"/>
          <w:szCs w:val="20"/>
        </w:rPr>
        <w:t xml:space="preserve"> </w:t>
      </w:r>
      <w:r w:rsidRPr="000977F7">
        <w:rPr>
          <w:rFonts w:asciiTheme="majorHAnsi" w:hAnsiTheme="majorHAnsi"/>
          <w:sz w:val="20"/>
          <w:szCs w:val="20"/>
        </w:rPr>
        <w:t>стрічці</w:t>
      </w:r>
    </w:p>
    <w:p w14:paraId="7A4CBD1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Токарно-гвинторізний – токарний верстат з задньою</w:t>
      </w:r>
      <w:r w:rsidRPr="000977F7">
        <w:rPr>
          <w:rFonts w:asciiTheme="majorHAnsi" w:hAnsiTheme="majorHAnsi"/>
          <w:spacing w:val="-47"/>
          <w:sz w:val="20"/>
          <w:szCs w:val="20"/>
        </w:rPr>
        <w:t xml:space="preserve"> </w:t>
      </w:r>
      <w:r w:rsidRPr="000977F7">
        <w:rPr>
          <w:rFonts w:asciiTheme="majorHAnsi" w:hAnsiTheme="majorHAnsi"/>
          <w:sz w:val="20"/>
          <w:szCs w:val="20"/>
        </w:rPr>
        <w:t>бабкою, ходовим гвинтом та ходовим валом для точіння,</w:t>
      </w:r>
      <w:r w:rsidRPr="000977F7">
        <w:rPr>
          <w:rFonts w:asciiTheme="majorHAnsi" w:hAnsiTheme="majorHAnsi"/>
          <w:spacing w:val="1"/>
          <w:sz w:val="20"/>
          <w:szCs w:val="20"/>
        </w:rPr>
        <w:t xml:space="preserve"> </w:t>
      </w:r>
      <w:r w:rsidRPr="000977F7">
        <w:rPr>
          <w:rFonts w:asciiTheme="majorHAnsi" w:hAnsiTheme="majorHAnsi"/>
          <w:sz w:val="20"/>
          <w:szCs w:val="20"/>
        </w:rPr>
        <w:t>розточування,</w:t>
      </w:r>
      <w:r w:rsidRPr="000977F7">
        <w:rPr>
          <w:rFonts w:asciiTheme="majorHAnsi" w:hAnsiTheme="majorHAnsi"/>
          <w:spacing w:val="1"/>
          <w:sz w:val="20"/>
          <w:szCs w:val="20"/>
        </w:rPr>
        <w:t xml:space="preserve"> </w:t>
      </w:r>
      <w:r w:rsidRPr="000977F7">
        <w:rPr>
          <w:rFonts w:asciiTheme="majorHAnsi" w:hAnsiTheme="majorHAnsi"/>
          <w:sz w:val="20"/>
          <w:szCs w:val="20"/>
        </w:rPr>
        <w:t>нарізання</w:t>
      </w:r>
      <w:r w:rsidRPr="000977F7">
        <w:rPr>
          <w:rFonts w:asciiTheme="majorHAnsi" w:hAnsiTheme="majorHAnsi"/>
          <w:spacing w:val="1"/>
          <w:sz w:val="20"/>
          <w:szCs w:val="20"/>
        </w:rPr>
        <w:t xml:space="preserve"> </w:t>
      </w:r>
      <w:r w:rsidRPr="000977F7">
        <w:rPr>
          <w:rFonts w:asciiTheme="majorHAnsi" w:hAnsiTheme="majorHAnsi"/>
          <w:sz w:val="20"/>
          <w:szCs w:val="20"/>
        </w:rPr>
        <w:t>різьб</w:t>
      </w:r>
      <w:r w:rsidRPr="000977F7">
        <w:rPr>
          <w:rFonts w:asciiTheme="majorHAnsi" w:hAnsiTheme="majorHAnsi"/>
          <w:spacing w:val="1"/>
          <w:sz w:val="20"/>
          <w:szCs w:val="20"/>
        </w:rPr>
        <w:t xml:space="preserve"> </w:t>
      </w:r>
      <w:r w:rsidRPr="000977F7">
        <w:rPr>
          <w:rFonts w:asciiTheme="majorHAnsi" w:hAnsiTheme="majorHAnsi"/>
          <w:sz w:val="20"/>
          <w:szCs w:val="20"/>
        </w:rPr>
        <w:t>переважно</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деталях типу</w:t>
      </w:r>
      <w:r w:rsidRPr="000977F7">
        <w:rPr>
          <w:rFonts w:asciiTheme="majorHAnsi" w:hAnsiTheme="majorHAnsi"/>
          <w:spacing w:val="-1"/>
          <w:sz w:val="20"/>
          <w:szCs w:val="20"/>
        </w:rPr>
        <w:t xml:space="preserve"> </w:t>
      </w:r>
      <w:r w:rsidRPr="000977F7">
        <w:rPr>
          <w:rFonts w:asciiTheme="majorHAnsi" w:hAnsiTheme="majorHAnsi"/>
          <w:sz w:val="20"/>
          <w:szCs w:val="20"/>
        </w:rPr>
        <w:t>тіл</w:t>
      </w:r>
      <w:r w:rsidRPr="000977F7">
        <w:rPr>
          <w:rFonts w:asciiTheme="majorHAnsi" w:hAnsiTheme="majorHAnsi"/>
          <w:spacing w:val="-1"/>
          <w:sz w:val="20"/>
          <w:szCs w:val="20"/>
        </w:rPr>
        <w:t xml:space="preserve"> </w:t>
      </w:r>
      <w:r w:rsidRPr="000977F7">
        <w:rPr>
          <w:rFonts w:asciiTheme="majorHAnsi" w:hAnsiTheme="majorHAnsi"/>
          <w:sz w:val="20"/>
          <w:szCs w:val="20"/>
        </w:rPr>
        <w:t>обертання</w:t>
      </w:r>
    </w:p>
    <w:p w14:paraId="6CFE025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Ультразвуковий – для ультразвукової обробки високотвердих та крихких</w:t>
      </w:r>
      <w:r w:rsidRPr="000977F7">
        <w:rPr>
          <w:rFonts w:asciiTheme="majorHAnsi" w:hAnsiTheme="majorHAnsi"/>
          <w:spacing w:val="-1"/>
          <w:sz w:val="20"/>
          <w:szCs w:val="20"/>
        </w:rPr>
        <w:t xml:space="preserve"> </w:t>
      </w:r>
      <w:r w:rsidRPr="000977F7">
        <w:rPr>
          <w:rFonts w:asciiTheme="majorHAnsi" w:hAnsiTheme="majorHAnsi"/>
          <w:sz w:val="20"/>
          <w:szCs w:val="20"/>
        </w:rPr>
        <w:t>матеріалів</w:t>
      </w:r>
    </w:p>
    <w:p w14:paraId="67AD14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Універсальний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значної</w:t>
      </w:r>
      <w:r w:rsidRPr="000977F7">
        <w:rPr>
          <w:rFonts w:asciiTheme="majorHAnsi" w:hAnsiTheme="majorHAnsi"/>
          <w:spacing w:val="1"/>
          <w:sz w:val="20"/>
          <w:szCs w:val="20"/>
        </w:rPr>
        <w:t xml:space="preserve"> </w:t>
      </w:r>
      <w:r w:rsidRPr="000977F7">
        <w:rPr>
          <w:rFonts w:asciiTheme="majorHAnsi" w:hAnsiTheme="majorHAnsi"/>
          <w:sz w:val="20"/>
          <w:szCs w:val="20"/>
        </w:rPr>
        <w:t>кількості</w:t>
      </w:r>
      <w:r w:rsidRPr="000977F7">
        <w:rPr>
          <w:rFonts w:asciiTheme="majorHAnsi" w:hAnsiTheme="majorHAnsi"/>
          <w:spacing w:val="-47"/>
          <w:sz w:val="20"/>
          <w:szCs w:val="20"/>
        </w:rPr>
        <w:t xml:space="preserve"> </w:t>
      </w:r>
      <w:r w:rsidRPr="000977F7">
        <w:rPr>
          <w:rFonts w:asciiTheme="majorHAnsi" w:hAnsiTheme="majorHAnsi"/>
          <w:sz w:val="20"/>
          <w:szCs w:val="20"/>
        </w:rPr>
        <w:t>операцій</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обробки</w:t>
      </w:r>
      <w:r w:rsidRPr="000977F7">
        <w:rPr>
          <w:rFonts w:asciiTheme="majorHAnsi" w:hAnsiTheme="majorHAnsi"/>
          <w:spacing w:val="-1"/>
          <w:sz w:val="20"/>
          <w:szCs w:val="20"/>
        </w:rPr>
        <w:t xml:space="preserve"> </w:t>
      </w:r>
      <w:r w:rsidRPr="000977F7">
        <w:rPr>
          <w:rFonts w:asciiTheme="majorHAnsi" w:hAnsiTheme="majorHAnsi"/>
          <w:sz w:val="20"/>
          <w:szCs w:val="20"/>
        </w:rPr>
        <w:t>різноманітних</w:t>
      </w:r>
      <w:r w:rsidRPr="000977F7">
        <w:rPr>
          <w:rFonts w:asciiTheme="majorHAnsi" w:hAnsiTheme="majorHAnsi"/>
          <w:spacing w:val="-2"/>
          <w:sz w:val="20"/>
          <w:szCs w:val="20"/>
        </w:rPr>
        <w:t xml:space="preserve"> </w:t>
      </w:r>
      <w:r w:rsidRPr="000977F7">
        <w:rPr>
          <w:rFonts w:asciiTheme="majorHAnsi" w:hAnsiTheme="majorHAnsi"/>
          <w:sz w:val="20"/>
          <w:szCs w:val="20"/>
        </w:rPr>
        <w:t>заготовок</w:t>
      </w:r>
    </w:p>
    <w:p w14:paraId="75EA234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Фрезерний – для обробки фрезами різних поверхонь</w:t>
      </w:r>
      <w:r w:rsidRPr="000977F7">
        <w:rPr>
          <w:rFonts w:asciiTheme="majorHAnsi" w:hAnsiTheme="majorHAnsi"/>
          <w:spacing w:val="-47"/>
          <w:sz w:val="20"/>
          <w:szCs w:val="20"/>
        </w:rPr>
        <w:t xml:space="preserve"> </w:t>
      </w:r>
      <w:r w:rsidRPr="000977F7">
        <w:rPr>
          <w:rFonts w:asciiTheme="majorHAnsi" w:hAnsiTheme="majorHAnsi"/>
          <w:sz w:val="20"/>
          <w:szCs w:val="20"/>
        </w:rPr>
        <w:t>заготовок</w:t>
      </w:r>
      <w:r w:rsidRPr="000977F7">
        <w:rPr>
          <w:rFonts w:asciiTheme="majorHAnsi" w:hAnsiTheme="majorHAnsi"/>
          <w:spacing w:val="-2"/>
          <w:sz w:val="20"/>
          <w:szCs w:val="20"/>
        </w:rPr>
        <w:t xml:space="preserve"> </w:t>
      </w:r>
      <w:r w:rsidRPr="000977F7">
        <w:rPr>
          <w:rFonts w:asciiTheme="majorHAnsi" w:hAnsiTheme="majorHAnsi"/>
          <w:sz w:val="20"/>
          <w:szCs w:val="20"/>
        </w:rPr>
        <w:t>за їх</w:t>
      </w:r>
      <w:r w:rsidRPr="000977F7">
        <w:rPr>
          <w:rFonts w:asciiTheme="majorHAnsi" w:hAnsiTheme="majorHAnsi"/>
          <w:spacing w:val="-3"/>
          <w:sz w:val="20"/>
          <w:szCs w:val="20"/>
        </w:rPr>
        <w:t xml:space="preserve"> </w:t>
      </w:r>
      <w:r w:rsidRPr="000977F7">
        <w:rPr>
          <w:rFonts w:asciiTheme="majorHAnsi" w:hAnsiTheme="majorHAnsi"/>
          <w:sz w:val="20"/>
          <w:szCs w:val="20"/>
        </w:rPr>
        <w:t>заданим</w:t>
      </w:r>
      <w:r w:rsidRPr="000977F7">
        <w:rPr>
          <w:rFonts w:asciiTheme="majorHAnsi" w:hAnsiTheme="majorHAnsi"/>
          <w:spacing w:val="1"/>
          <w:sz w:val="20"/>
          <w:szCs w:val="20"/>
        </w:rPr>
        <w:t xml:space="preserve"> </w:t>
      </w:r>
      <w:r w:rsidRPr="000977F7">
        <w:rPr>
          <w:rFonts w:asciiTheme="majorHAnsi" w:hAnsiTheme="majorHAnsi"/>
          <w:sz w:val="20"/>
          <w:szCs w:val="20"/>
        </w:rPr>
        <w:t>переміщенням</w:t>
      </w:r>
    </w:p>
    <w:p w14:paraId="3259681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Хонінгувальний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оздоблювальних</w:t>
      </w:r>
      <w:r w:rsidRPr="000977F7">
        <w:rPr>
          <w:rFonts w:asciiTheme="majorHAnsi" w:hAnsiTheme="majorHAnsi"/>
          <w:spacing w:val="1"/>
          <w:sz w:val="20"/>
          <w:szCs w:val="20"/>
        </w:rPr>
        <w:t xml:space="preserve"> </w:t>
      </w:r>
      <w:r w:rsidRPr="000977F7">
        <w:rPr>
          <w:rFonts w:asciiTheme="majorHAnsi" w:hAnsiTheme="majorHAnsi"/>
          <w:sz w:val="20"/>
          <w:szCs w:val="20"/>
        </w:rPr>
        <w:t>операцій</w:t>
      </w:r>
      <w:r w:rsidRPr="000977F7">
        <w:rPr>
          <w:rFonts w:asciiTheme="majorHAnsi" w:hAnsiTheme="majorHAnsi"/>
          <w:spacing w:val="1"/>
          <w:sz w:val="20"/>
          <w:szCs w:val="20"/>
        </w:rPr>
        <w:t xml:space="preserve"> </w:t>
      </w:r>
      <w:r w:rsidRPr="000977F7">
        <w:rPr>
          <w:rFonts w:asciiTheme="majorHAnsi" w:hAnsiTheme="majorHAnsi"/>
          <w:sz w:val="20"/>
          <w:szCs w:val="20"/>
        </w:rPr>
        <w:t>(наприклад, полірування, притирання), в тому числі</w:t>
      </w:r>
      <w:r w:rsidRPr="000977F7">
        <w:rPr>
          <w:rFonts w:asciiTheme="majorHAnsi" w:hAnsiTheme="majorHAnsi"/>
          <w:spacing w:val="1"/>
          <w:sz w:val="20"/>
          <w:szCs w:val="20"/>
        </w:rPr>
        <w:t xml:space="preserve"> </w:t>
      </w:r>
      <w:r w:rsidRPr="000977F7">
        <w:rPr>
          <w:rFonts w:asciiTheme="majorHAnsi" w:hAnsiTheme="majorHAnsi"/>
          <w:sz w:val="20"/>
          <w:szCs w:val="20"/>
        </w:rPr>
        <w:t>остаточної обробки отворів інструментами – хонами,</w:t>
      </w:r>
      <w:r w:rsidRPr="000977F7">
        <w:rPr>
          <w:rFonts w:asciiTheme="majorHAnsi" w:hAnsiTheme="majorHAnsi"/>
          <w:spacing w:val="1"/>
          <w:sz w:val="20"/>
          <w:szCs w:val="20"/>
        </w:rPr>
        <w:t xml:space="preserve"> </w:t>
      </w:r>
      <w:r w:rsidRPr="000977F7">
        <w:rPr>
          <w:rFonts w:asciiTheme="majorHAnsi" w:hAnsiTheme="majorHAnsi"/>
          <w:sz w:val="20"/>
          <w:szCs w:val="20"/>
        </w:rPr>
        <w:t>які здійснюють обертовий рух одночасно із зворотньо-поступальним рухом вподовж</w:t>
      </w:r>
      <w:r w:rsidRPr="000977F7">
        <w:rPr>
          <w:rFonts w:asciiTheme="majorHAnsi" w:hAnsiTheme="majorHAnsi"/>
          <w:spacing w:val="-3"/>
          <w:sz w:val="20"/>
          <w:szCs w:val="20"/>
        </w:rPr>
        <w:t xml:space="preserve"> </w:t>
      </w:r>
      <w:r w:rsidRPr="000977F7">
        <w:rPr>
          <w:rFonts w:asciiTheme="majorHAnsi" w:hAnsiTheme="majorHAnsi"/>
          <w:sz w:val="20"/>
          <w:szCs w:val="20"/>
        </w:rPr>
        <w:t>своєї</w:t>
      </w:r>
      <w:r w:rsidRPr="000977F7">
        <w:rPr>
          <w:rFonts w:asciiTheme="majorHAnsi" w:hAnsiTheme="majorHAnsi"/>
          <w:spacing w:val="-1"/>
          <w:sz w:val="20"/>
          <w:szCs w:val="20"/>
        </w:rPr>
        <w:t xml:space="preserve"> </w:t>
      </w:r>
      <w:r w:rsidRPr="000977F7">
        <w:rPr>
          <w:rFonts w:asciiTheme="majorHAnsi" w:hAnsiTheme="majorHAnsi"/>
          <w:sz w:val="20"/>
          <w:szCs w:val="20"/>
        </w:rPr>
        <w:t>осі</w:t>
      </w:r>
    </w:p>
    <w:p w14:paraId="2AFA0A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Центрувальний – верстат свердлувальної групи для</w:t>
      </w:r>
      <w:r w:rsidRPr="000977F7">
        <w:rPr>
          <w:rFonts w:asciiTheme="majorHAnsi" w:hAnsiTheme="majorHAnsi"/>
          <w:spacing w:val="1"/>
          <w:sz w:val="20"/>
          <w:szCs w:val="20"/>
        </w:rPr>
        <w:t xml:space="preserve"> </w:t>
      </w:r>
      <w:r w:rsidRPr="000977F7">
        <w:rPr>
          <w:rFonts w:asciiTheme="majorHAnsi" w:hAnsiTheme="majorHAnsi"/>
          <w:sz w:val="20"/>
          <w:szCs w:val="20"/>
        </w:rPr>
        <w:t>отримання</w:t>
      </w:r>
      <w:r w:rsidRPr="000977F7">
        <w:rPr>
          <w:rFonts w:asciiTheme="majorHAnsi" w:hAnsiTheme="majorHAnsi"/>
          <w:spacing w:val="-2"/>
          <w:sz w:val="20"/>
          <w:szCs w:val="20"/>
        </w:rPr>
        <w:t xml:space="preserve"> </w:t>
      </w:r>
      <w:r w:rsidRPr="000977F7">
        <w:rPr>
          <w:rFonts w:asciiTheme="majorHAnsi" w:hAnsiTheme="majorHAnsi"/>
          <w:sz w:val="20"/>
          <w:szCs w:val="20"/>
        </w:rPr>
        <w:t>центрових</w:t>
      </w:r>
      <w:r w:rsidRPr="000977F7">
        <w:rPr>
          <w:rFonts w:asciiTheme="majorHAnsi" w:hAnsiTheme="majorHAnsi"/>
          <w:spacing w:val="-1"/>
          <w:sz w:val="20"/>
          <w:szCs w:val="20"/>
        </w:rPr>
        <w:t xml:space="preserve"> </w:t>
      </w:r>
      <w:r w:rsidRPr="000977F7">
        <w:rPr>
          <w:rFonts w:asciiTheme="majorHAnsi" w:hAnsiTheme="majorHAnsi"/>
          <w:sz w:val="20"/>
          <w:szCs w:val="20"/>
        </w:rPr>
        <w:t>отворів</w:t>
      </w:r>
    </w:p>
    <w:p w14:paraId="55605F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Центрувально-відрізний – для відрізання кінців заготовок</w:t>
      </w:r>
      <w:r w:rsidRPr="000977F7">
        <w:rPr>
          <w:rFonts w:asciiTheme="majorHAnsi" w:hAnsiTheme="majorHAnsi"/>
          <w:spacing w:val="-2"/>
          <w:sz w:val="20"/>
          <w:szCs w:val="20"/>
        </w:rPr>
        <w:t xml:space="preserve"> </w:t>
      </w:r>
      <w:r w:rsidRPr="000977F7">
        <w:rPr>
          <w:rFonts w:asciiTheme="majorHAnsi" w:hAnsiTheme="majorHAnsi"/>
          <w:sz w:val="20"/>
          <w:szCs w:val="20"/>
        </w:rPr>
        <w:t>та їх</w:t>
      </w:r>
      <w:r w:rsidRPr="000977F7">
        <w:rPr>
          <w:rFonts w:asciiTheme="majorHAnsi" w:hAnsiTheme="majorHAnsi"/>
          <w:spacing w:val="1"/>
          <w:sz w:val="20"/>
          <w:szCs w:val="20"/>
        </w:rPr>
        <w:t xml:space="preserve"> </w:t>
      </w:r>
      <w:r w:rsidRPr="000977F7">
        <w:rPr>
          <w:rFonts w:asciiTheme="majorHAnsi" w:hAnsiTheme="majorHAnsi"/>
          <w:sz w:val="20"/>
          <w:szCs w:val="20"/>
        </w:rPr>
        <w:t>центрування</w:t>
      </w:r>
    </w:p>
    <w:p w14:paraId="6D3116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Шевінгувальний – оздоблювальний верстат для остаточної обробки зубів зубчастих коліс інструментами</w:t>
      </w:r>
      <w:r w:rsidRPr="000977F7">
        <w:rPr>
          <w:rFonts w:asciiTheme="majorHAnsi" w:hAnsiTheme="majorHAnsi"/>
          <w:spacing w:val="-2"/>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шеверами</w:t>
      </w:r>
    </w:p>
    <w:p w14:paraId="0F38E0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Шліфувальний – для обробки заготовок абразивними інструментами, які обертаються з великою швидкістю</w:t>
      </w:r>
    </w:p>
    <w:p w14:paraId="1403AAD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Шліцефрезерувальний – для обробки шліцевих поверхонь</w:t>
      </w:r>
      <w:r w:rsidRPr="000977F7">
        <w:rPr>
          <w:rFonts w:asciiTheme="majorHAnsi" w:hAnsiTheme="majorHAnsi"/>
          <w:spacing w:val="-3"/>
          <w:sz w:val="20"/>
          <w:szCs w:val="20"/>
        </w:rPr>
        <w:t xml:space="preserve"> </w:t>
      </w:r>
      <w:r w:rsidRPr="000977F7">
        <w:rPr>
          <w:rFonts w:asciiTheme="majorHAnsi" w:hAnsiTheme="majorHAnsi"/>
          <w:sz w:val="20"/>
          <w:szCs w:val="20"/>
        </w:rPr>
        <w:t>за</w:t>
      </w:r>
      <w:r w:rsidRPr="000977F7">
        <w:rPr>
          <w:rFonts w:asciiTheme="majorHAnsi" w:hAnsiTheme="majorHAnsi"/>
          <w:spacing w:val="-3"/>
          <w:sz w:val="20"/>
          <w:szCs w:val="20"/>
        </w:rPr>
        <w:t xml:space="preserve"> </w:t>
      </w:r>
      <w:r w:rsidRPr="000977F7">
        <w:rPr>
          <w:rFonts w:asciiTheme="majorHAnsi" w:hAnsiTheme="majorHAnsi"/>
          <w:sz w:val="20"/>
          <w:szCs w:val="20"/>
        </w:rPr>
        <w:t>методом</w:t>
      </w:r>
      <w:r w:rsidRPr="000977F7">
        <w:rPr>
          <w:rFonts w:asciiTheme="majorHAnsi" w:hAnsiTheme="majorHAnsi"/>
          <w:spacing w:val="-1"/>
          <w:sz w:val="20"/>
          <w:szCs w:val="20"/>
        </w:rPr>
        <w:t xml:space="preserve"> </w:t>
      </w:r>
      <w:r w:rsidRPr="000977F7">
        <w:rPr>
          <w:rFonts w:asciiTheme="majorHAnsi" w:hAnsiTheme="majorHAnsi"/>
          <w:sz w:val="20"/>
          <w:szCs w:val="20"/>
        </w:rPr>
        <w:t>обкатування</w:t>
      </w:r>
      <w:r w:rsidRPr="000977F7">
        <w:rPr>
          <w:rFonts w:asciiTheme="majorHAnsi" w:hAnsiTheme="majorHAnsi"/>
          <w:spacing w:val="-4"/>
          <w:sz w:val="20"/>
          <w:szCs w:val="20"/>
        </w:rPr>
        <w:t xml:space="preserve"> </w:t>
      </w:r>
      <w:r w:rsidRPr="000977F7">
        <w:rPr>
          <w:rFonts w:asciiTheme="majorHAnsi" w:hAnsiTheme="majorHAnsi"/>
          <w:sz w:val="20"/>
          <w:szCs w:val="20"/>
        </w:rPr>
        <w:t>черв’ячною</w:t>
      </w:r>
      <w:r w:rsidRPr="000977F7">
        <w:rPr>
          <w:rFonts w:asciiTheme="majorHAnsi" w:hAnsiTheme="majorHAnsi"/>
          <w:spacing w:val="-2"/>
          <w:sz w:val="20"/>
          <w:szCs w:val="20"/>
        </w:rPr>
        <w:t xml:space="preserve"> </w:t>
      </w:r>
      <w:r w:rsidRPr="000977F7">
        <w:rPr>
          <w:rFonts w:asciiTheme="majorHAnsi" w:hAnsiTheme="majorHAnsi"/>
          <w:sz w:val="20"/>
          <w:szCs w:val="20"/>
        </w:rPr>
        <w:t>фрезою</w:t>
      </w:r>
    </w:p>
    <w:p w14:paraId="6BBE0B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Шліцешліфувальний – для чистової обробки шліцевих</w:t>
      </w:r>
      <w:r w:rsidRPr="000977F7">
        <w:rPr>
          <w:rFonts w:asciiTheme="majorHAnsi" w:hAnsiTheme="majorHAnsi"/>
          <w:spacing w:val="-2"/>
          <w:sz w:val="20"/>
          <w:szCs w:val="20"/>
        </w:rPr>
        <w:t xml:space="preserve"> </w:t>
      </w:r>
      <w:r w:rsidRPr="000977F7">
        <w:rPr>
          <w:rFonts w:asciiTheme="majorHAnsi" w:hAnsiTheme="majorHAnsi"/>
          <w:sz w:val="20"/>
          <w:szCs w:val="20"/>
        </w:rPr>
        <w:t>поверхонь</w:t>
      </w:r>
      <w:r w:rsidRPr="000977F7">
        <w:rPr>
          <w:rFonts w:asciiTheme="majorHAnsi" w:hAnsiTheme="majorHAnsi"/>
          <w:spacing w:val="-1"/>
          <w:sz w:val="20"/>
          <w:szCs w:val="20"/>
        </w:rPr>
        <w:t xml:space="preserve"> </w:t>
      </w:r>
      <w:r w:rsidRPr="000977F7">
        <w:rPr>
          <w:rFonts w:asciiTheme="majorHAnsi" w:hAnsiTheme="majorHAnsi"/>
          <w:sz w:val="20"/>
          <w:szCs w:val="20"/>
        </w:rPr>
        <w:t>абразивними</w:t>
      </w:r>
      <w:r w:rsidRPr="000977F7">
        <w:rPr>
          <w:rFonts w:asciiTheme="majorHAnsi" w:hAnsiTheme="majorHAnsi"/>
          <w:spacing w:val="1"/>
          <w:sz w:val="20"/>
          <w:szCs w:val="20"/>
        </w:rPr>
        <w:t xml:space="preserve"> </w:t>
      </w:r>
      <w:r w:rsidRPr="000977F7">
        <w:rPr>
          <w:rFonts w:asciiTheme="majorHAnsi" w:hAnsiTheme="majorHAnsi"/>
          <w:sz w:val="20"/>
          <w:szCs w:val="20"/>
        </w:rPr>
        <w:t>кругами</w:t>
      </w:r>
    </w:p>
    <w:p w14:paraId="74D07C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Шпоночнофрезерувальний</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фрезерування</w:t>
      </w:r>
      <w:r w:rsidRPr="000977F7">
        <w:rPr>
          <w:rFonts w:asciiTheme="majorHAnsi" w:hAnsiTheme="majorHAnsi"/>
          <w:spacing w:val="1"/>
          <w:sz w:val="20"/>
          <w:szCs w:val="20"/>
        </w:rPr>
        <w:t xml:space="preserve"> </w:t>
      </w:r>
      <w:r w:rsidRPr="000977F7">
        <w:rPr>
          <w:rFonts w:asciiTheme="majorHAnsi" w:hAnsiTheme="majorHAnsi"/>
          <w:sz w:val="20"/>
          <w:szCs w:val="20"/>
        </w:rPr>
        <w:t>шпоночних канавок</w:t>
      </w:r>
    </w:p>
    <w:p w14:paraId="7D44F4B7"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МАШИННЕ УСТАТКОВАННЯ, МАШИНА –</w:t>
      </w:r>
    </w:p>
    <w:p w14:paraId="596D15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bookmarkStart w:id="123" w:name="_Hlk103611154"/>
      <w:r w:rsidRPr="000977F7">
        <w:rPr>
          <w:rFonts w:asciiTheme="majorHAnsi" w:hAnsiTheme="majorHAnsi"/>
          <w:sz w:val="20"/>
          <w:szCs w:val="20"/>
        </w:rPr>
        <w:t>MACHINE</w:t>
      </w:r>
      <w:bookmarkEnd w:id="123"/>
      <w:r w:rsidRPr="000977F7">
        <w:rPr>
          <w:rFonts w:asciiTheme="majorHAnsi" w:hAnsiTheme="majorHAnsi"/>
          <w:sz w:val="20"/>
          <w:szCs w:val="20"/>
        </w:rPr>
        <w:t xml:space="preserve">RY, MACHINE </w:t>
      </w:r>
      <w:bookmarkEnd w:id="122"/>
      <w:r w:rsidRPr="000977F7">
        <w:rPr>
          <w:rFonts w:asciiTheme="majorHAnsi" w:hAnsiTheme="majorHAnsi"/>
          <w:sz w:val="20"/>
          <w:szCs w:val="20"/>
        </w:rPr>
        <w:t>–</w:t>
      </w:r>
    </w:p>
    <w:p w14:paraId="48EF124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Сукупність взаємопов’язаних частин або компонентів, з яких принаймні один є рухомим, що мають у своєму складі силовий привод, або пристосовані до приєднання силового приводу, та з’єднані для виконання визначених функцій. Примітка 1. Термін «машина» поширюється також на сукупність машин, розташованих і керованих так, що вони діють як єдине ціле для досягнення спільного результату. </w:t>
      </w:r>
    </w:p>
    <w:p w14:paraId="169CAD7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2. У додатку А наведено загальну схему машини</w:t>
      </w:r>
    </w:p>
    <w:p w14:paraId="13B89F1B"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2CBC8A9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МАШИНОБУДІВНЕ</w:t>
      </w:r>
      <w:r w:rsidRPr="000977F7">
        <w:rPr>
          <w:color w:val="auto"/>
          <w:spacing w:val="-10"/>
          <w:sz w:val="20"/>
          <w:szCs w:val="20"/>
        </w:rPr>
        <w:t xml:space="preserve"> </w:t>
      </w:r>
      <w:r w:rsidRPr="000977F7">
        <w:rPr>
          <w:color w:val="auto"/>
          <w:sz w:val="20"/>
          <w:szCs w:val="20"/>
        </w:rPr>
        <w:t>ВИРОБНИЦТВО</w:t>
      </w:r>
      <w:r w:rsidRPr="000977F7">
        <w:rPr>
          <w:color w:val="auto"/>
          <w:spacing w:val="-5"/>
          <w:sz w:val="20"/>
          <w:szCs w:val="20"/>
        </w:rPr>
        <w:t xml:space="preserve"> </w:t>
      </w:r>
      <w:r w:rsidRPr="000977F7">
        <w:rPr>
          <w:color w:val="auto"/>
          <w:sz w:val="20"/>
          <w:szCs w:val="20"/>
        </w:rPr>
        <w:t>–</w:t>
      </w:r>
    </w:p>
    <w:p w14:paraId="581E0DD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Виробництво</w:t>
      </w:r>
      <w:r w:rsidRPr="000977F7">
        <w:rPr>
          <w:rFonts w:asciiTheme="majorHAnsi" w:hAnsiTheme="majorHAnsi"/>
          <w:spacing w:val="-6"/>
          <w:sz w:val="20"/>
          <w:szCs w:val="20"/>
        </w:rPr>
        <w:t xml:space="preserve"> </w:t>
      </w:r>
      <w:r w:rsidRPr="000977F7">
        <w:rPr>
          <w:rFonts w:asciiTheme="majorHAnsi" w:hAnsiTheme="majorHAnsi"/>
          <w:sz w:val="20"/>
          <w:szCs w:val="20"/>
        </w:rPr>
        <w:t>з</w:t>
      </w:r>
      <w:r w:rsidRPr="000977F7">
        <w:rPr>
          <w:rFonts w:asciiTheme="majorHAnsi" w:hAnsiTheme="majorHAnsi"/>
          <w:spacing w:val="38"/>
          <w:sz w:val="20"/>
          <w:szCs w:val="20"/>
        </w:rPr>
        <w:t xml:space="preserve"> </w:t>
      </w:r>
      <w:r w:rsidRPr="000977F7">
        <w:rPr>
          <w:rFonts w:asciiTheme="majorHAnsi" w:hAnsiTheme="majorHAnsi"/>
          <w:sz w:val="20"/>
          <w:szCs w:val="20"/>
        </w:rPr>
        <w:t>переважним</w:t>
      </w:r>
      <w:r w:rsidRPr="000977F7">
        <w:rPr>
          <w:rFonts w:asciiTheme="majorHAnsi" w:hAnsiTheme="majorHAnsi"/>
          <w:spacing w:val="-3"/>
          <w:sz w:val="20"/>
          <w:szCs w:val="20"/>
        </w:rPr>
        <w:t xml:space="preserve"> </w:t>
      </w:r>
      <w:r w:rsidRPr="000977F7">
        <w:rPr>
          <w:rFonts w:asciiTheme="majorHAnsi" w:hAnsiTheme="majorHAnsi"/>
          <w:sz w:val="20"/>
          <w:szCs w:val="20"/>
        </w:rPr>
        <w:t>застосуванням</w:t>
      </w:r>
    </w:p>
    <w:p w14:paraId="1405A70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методів технології машинобудування в процесі виготовлення</w:t>
      </w:r>
      <w:r w:rsidRPr="000977F7">
        <w:rPr>
          <w:rFonts w:asciiTheme="majorHAnsi" w:hAnsiTheme="majorHAnsi"/>
          <w:spacing w:val="-2"/>
          <w:sz w:val="20"/>
          <w:szCs w:val="20"/>
        </w:rPr>
        <w:t xml:space="preserve"> </w:t>
      </w:r>
      <w:r w:rsidRPr="000977F7">
        <w:rPr>
          <w:rFonts w:asciiTheme="majorHAnsi" w:hAnsiTheme="majorHAnsi"/>
          <w:sz w:val="20"/>
          <w:szCs w:val="20"/>
        </w:rPr>
        <w:t>виробів</w:t>
      </w:r>
    </w:p>
    <w:p w14:paraId="37E6958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4036D4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МЕДИЦИНА</w:t>
      </w:r>
      <w:r w:rsidRPr="000977F7">
        <w:rPr>
          <w:color w:val="auto"/>
          <w:spacing w:val="-3"/>
          <w:sz w:val="20"/>
          <w:szCs w:val="20"/>
        </w:rPr>
        <w:t xml:space="preserve"> </w:t>
      </w:r>
      <w:r w:rsidRPr="000977F7">
        <w:rPr>
          <w:color w:val="auto"/>
          <w:sz w:val="20"/>
          <w:szCs w:val="20"/>
        </w:rPr>
        <w:t>ПРАЦІ –</w:t>
      </w:r>
    </w:p>
    <w:p w14:paraId="32833134"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Розділ медицини, який вивчає здоров’я професійних</w:t>
      </w:r>
      <w:r w:rsidRPr="000977F7">
        <w:rPr>
          <w:rFonts w:asciiTheme="majorHAnsi" w:hAnsiTheme="majorHAnsi"/>
          <w:spacing w:val="1"/>
          <w:sz w:val="20"/>
          <w:szCs w:val="20"/>
        </w:rPr>
        <w:t xml:space="preserve"> </w:t>
      </w:r>
      <w:r w:rsidRPr="000977F7">
        <w:rPr>
          <w:rFonts w:asciiTheme="majorHAnsi" w:hAnsiTheme="majorHAnsi"/>
          <w:sz w:val="20"/>
          <w:szCs w:val="20"/>
        </w:rPr>
        <w:t>груп населення та чинники, які його формують, розробляє</w:t>
      </w:r>
      <w:r w:rsidRPr="000977F7">
        <w:rPr>
          <w:rFonts w:asciiTheme="majorHAnsi" w:hAnsiTheme="majorHAnsi"/>
          <w:spacing w:val="1"/>
          <w:sz w:val="20"/>
          <w:szCs w:val="20"/>
        </w:rPr>
        <w:t xml:space="preserve"> </w:t>
      </w:r>
      <w:r w:rsidRPr="000977F7">
        <w:rPr>
          <w:rFonts w:asciiTheme="majorHAnsi" w:hAnsiTheme="majorHAnsi"/>
          <w:sz w:val="20"/>
          <w:szCs w:val="20"/>
        </w:rPr>
        <w:t>гігієнічні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лікувально-профілактичні</w:t>
      </w:r>
      <w:r w:rsidRPr="000977F7">
        <w:rPr>
          <w:rFonts w:asciiTheme="majorHAnsi" w:hAnsiTheme="majorHAnsi"/>
          <w:spacing w:val="1"/>
          <w:sz w:val="20"/>
          <w:szCs w:val="20"/>
        </w:rPr>
        <w:t xml:space="preserve"> </w:t>
      </w:r>
      <w:r w:rsidRPr="000977F7">
        <w:rPr>
          <w:rFonts w:asciiTheme="majorHAnsi" w:hAnsiTheme="majorHAnsi"/>
          <w:sz w:val="20"/>
          <w:szCs w:val="20"/>
        </w:rPr>
        <w:t>заходи,</w:t>
      </w:r>
      <w:r w:rsidRPr="000977F7">
        <w:rPr>
          <w:rFonts w:asciiTheme="majorHAnsi" w:hAnsiTheme="majorHAnsi"/>
          <w:spacing w:val="1"/>
          <w:sz w:val="20"/>
          <w:szCs w:val="20"/>
        </w:rPr>
        <w:t xml:space="preserve"> </w:t>
      </w:r>
      <w:r w:rsidRPr="000977F7">
        <w:rPr>
          <w:rFonts w:asciiTheme="majorHAnsi" w:hAnsiTheme="majorHAnsi"/>
          <w:sz w:val="20"/>
          <w:szCs w:val="20"/>
        </w:rPr>
        <w:t>спрямовані на оздоровлення умов праці, підвищення</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працездатності людини в процесі трудової діяльності,</w:t>
      </w:r>
      <w:r w:rsidRPr="000977F7">
        <w:rPr>
          <w:rFonts w:asciiTheme="majorHAnsi" w:hAnsiTheme="majorHAnsi"/>
          <w:spacing w:val="1"/>
          <w:sz w:val="20"/>
          <w:szCs w:val="20"/>
        </w:rPr>
        <w:t xml:space="preserve"> </w:t>
      </w:r>
      <w:r w:rsidRPr="000977F7">
        <w:rPr>
          <w:rFonts w:asciiTheme="majorHAnsi" w:hAnsiTheme="majorHAnsi"/>
          <w:spacing w:val="-2"/>
          <w:sz w:val="20"/>
          <w:szCs w:val="20"/>
        </w:rPr>
        <w:t xml:space="preserve">попередження загальної та професійної </w:t>
      </w:r>
      <w:r w:rsidRPr="000977F7">
        <w:rPr>
          <w:rFonts w:asciiTheme="majorHAnsi" w:hAnsiTheme="majorHAnsi"/>
          <w:spacing w:val="-1"/>
          <w:sz w:val="20"/>
          <w:szCs w:val="20"/>
        </w:rPr>
        <w:t>захворюваності</w:t>
      </w:r>
      <w:r w:rsidRPr="000977F7">
        <w:rPr>
          <w:rFonts w:asciiTheme="majorHAnsi" w:hAnsiTheme="majorHAnsi"/>
          <w:spacing w:val="-47"/>
          <w:sz w:val="20"/>
          <w:szCs w:val="20"/>
        </w:rPr>
        <w:t xml:space="preserve"> </w:t>
      </w:r>
    </w:p>
    <w:p w14:paraId="6E036284"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3038 - 95</w:t>
      </w:r>
    </w:p>
    <w:p w14:paraId="12E75ED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МЕЖА ВІДПОВІДАЛЬНОСТІ ЗА ЯКІСТЬ </w:t>
      </w:r>
    </w:p>
    <w:p w14:paraId="512EEFF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ЕЛЕ</w:t>
      </w:r>
      <w:r w:rsidRPr="000977F7">
        <w:rPr>
          <w:color w:val="auto"/>
          <w:spacing w:val="-48"/>
          <w:sz w:val="20"/>
          <w:szCs w:val="20"/>
        </w:rPr>
        <w:t xml:space="preserve"> </w:t>
      </w:r>
      <w:r w:rsidRPr="000977F7">
        <w:rPr>
          <w:color w:val="auto"/>
          <w:sz w:val="20"/>
          <w:szCs w:val="20"/>
        </w:rPr>
        <w:t>КТРИЧНОЇ</w:t>
      </w:r>
      <w:r w:rsidRPr="000977F7">
        <w:rPr>
          <w:color w:val="auto"/>
          <w:spacing w:val="-2"/>
          <w:sz w:val="20"/>
          <w:szCs w:val="20"/>
        </w:rPr>
        <w:t xml:space="preserve"> </w:t>
      </w:r>
      <w:r w:rsidRPr="000977F7">
        <w:rPr>
          <w:color w:val="auto"/>
          <w:sz w:val="20"/>
          <w:szCs w:val="20"/>
        </w:rPr>
        <w:t>ЕНЕРГІЇ</w:t>
      </w:r>
      <w:r w:rsidRPr="000977F7">
        <w:rPr>
          <w:color w:val="auto"/>
          <w:spacing w:val="1"/>
          <w:sz w:val="20"/>
          <w:szCs w:val="20"/>
        </w:rPr>
        <w:t xml:space="preserve"> </w:t>
      </w:r>
      <w:r w:rsidRPr="000977F7">
        <w:rPr>
          <w:color w:val="auto"/>
          <w:sz w:val="20"/>
          <w:szCs w:val="20"/>
        </w:rPr>
        <w:t>–</w:t>
      </w:r>
    </w:p>
    <w:p w14:paraId="10B8D2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Пункт контролю якості електричної енергії електропостачальної системи, в якому за її підтримання несе</w:t>
      </w:r>
      <w:r w:rsidRPr="000977F7">
        <w:rPr>
          <w:rFonts w:asciiTheme="majorHAnsi" w:hAnsiTheme="majorHAnsi"/>
          <w:spacing w:val="1"/>
          <w:sz w:val="20"/>
          <w:szCs w:val="20"/>
        </w:rPr>
        <w:t xml:space="preserve"> </w:t>
      </w:r>
      <w:r w:rsidRPr="000977F7">
        <w:rPr>
          <w:rFonts w:asciiTheme="majorHAnsi" w:hAnsiTheme="majorHAnsi"/>
          <w:sz w:val="20"/>
          <w:szCs w:val="20"/>
        </w:rPr>
        <w:t>відповідальність</w:t>
      </w:r>
      <w:r w:rsidRPr="000977F7">
        <w:rPr>
          <w:rFonts w:asciiTheme="majorHAnsi" w:hAnsiTheme="majorHAnsi"/>
          <w:spacing w:val="-2"/>
          <w:sz w:val="20"/>
          <w:szCs w:val="20"/>
        </w:rPr>
        <w:t xml:space="preserve"> </w:t>
      </w:r>
      <w:r w:rsidRPr="000977F7">
        <w:rPr>
          <w:rFonts w:asciiTheme="majorHAnsi" w:hAnsiTheme="majorHAnsi"/>
          <w:sz w:val="20"/>
          <w:szCs w:val="20"/>
        </w:rPr>
        <w:t>електропостачальна</w:t>
      </w:r>
      <w:r w:rsidRPr="000977F7">
        <w:rPr>
          <w:rFonts w:asciiTheme="majorHAnsi" w:hAnsiTheme="majorHAnsi"/>
          <w:spacing w:val="-2"/>
          <w:sz w:val="20"/>
          <w:szCs w:val="20"/>
        </w:rPr>
        <w:t xml:space="preserve"> </w:t>
      </w:r>
      <w:r w:rsidRPr="000977F7">
        <w:rPr>
          <w:rFonts w:asciiTheme="majorHAnsi" w:hAnsiTheme="majorHAnsi"/>
          <w:sz w:val="20"/>
          <w:szCs w:val="20"/>
        </w:rPr>
        <w:t>організація</w:t>
      </w:r>
    </w:p>
    <w:p w14:paraId="1D82075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060D55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Пункт контролю якості, як правило, збігається з межею</w:t>
      </w:r>
      <w:r w:rsidRPr="000977F7">
        <w:rPr>
          <w:rFonts w:asciiTheme="majorHAnsi" w:hAnsiTheme="majorHAnsi"/>
          <w:spacing w:val="-1"/>
          <w:sz w:val="20"/>
          <w:szCs w:val="20"/>
        </w:rPr>
        <w:t xml:space="preserve"> </w:t>
      </w:r>
      <w:r w:rsidRPr="000977F7">
        <w:rPr>
          <w:rFonts w:asciiTheme="majorHAnsi" w:hAnsiTheme="majorHAnsi"/>
          <w:sz w:val="20"/>
          <w:szCs w:val="20"/>
        </w:rPr>
        <w:t>балансового</w:t>
      </w:r>
      <w:r w:rsidRPr="000977F7">
        <w:rPr>
          <w:rFonts w:asciiTheme="majorHAnsi" w:hAnsiTheme="majorHAnsi"/>
          <w:spacing w:val="1"/>
          <w:sz w:val="20"/>
          <w:szCs w:val="20"/>
        </w:rPr>
        <w:t xml:space="preserve"> </w:t>
      </w:r>
      <w:r w:rsidRPr="000977F7">
        <w:rPr>
          <w:rFonts w:asciiTheme="majorHAnsi" w:hAnsiTheme="majorHAnsi"/>
          <w:sz w:val="20"/>
          <w:szCs w:val="20"/>
        </w:rPr>
        <w:t>відомства</w:t>
      </w:r>
      <w:r w:rsidRPr="000977F7">
        <w:rPr>
          <w:rFonts w:asciiTheme="majorHAnsi" w:hAnsiTheme="majorHAnsi"/>
          <w:spacing w:val="3"/>
          <w:sz w:val="20"/>
          <w:szCs w:val="20"/>
        </w:rPr>
        <w:t xml:space="preserve"> </w:t>
      </w:r>
      <w:r w:rsidRPr="000977F7">
        <w:rPr>
          <w:rFonts w:asciiTheme="majorHAnsi" w:hAnsiTheme="majorHAnsi"/>
          <w:sz w:val="20"/>
          <w:szCs w:val="20"/>
        </w:rPr>
        <w:t>мережі</w:t>
      </w:r>
    </w:p>
    <w:p w14:paraId="3DE48B8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03C95A4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МЕЖІ</w:t>
      </w:r>
      <w:r w:rsidRPr="000977F7">
        <w:rPr>
          <w:color w:val="auto"/>
          <w:spacing w:val="-4"/>
          <w:sz w:val="20"/>
          <w:szCs w:val="20"/>
        </w:rPr>
        <w:t xml:space="preserve"> </w:t>
      </w:r>
      <w:r w:rsidRPr="000977F7">
        <w:rPr>
          <w:color w:val="auto"/>
          <w:sz w:val="20"/>
          <w:szCs w:val="20"/>
        </w:rPr>
        <w:t>БЕЗПЕЧНОЇ</w:t>
      </w:r>
      <w:r w:rsidRPr="000977F7">
        <w:rPr>
          <w:color w:val="auto"/>
          <w:spacing w:val="-2"/>
          <w:sz w:val="20"/>
          <w:szCs w:val="20"/>
        </w:rPr>
        <w:t xml:space="preserve"> </w:t>
      </w:r>
      <w:r w:rsidRPr="000977F7">
        <w:rPr>
          <w:color w:val="auto"/>
          <w:sz w:val="20"/>
          <w:szCs w:val="20"/>
        </w:rPr>
        <w:t>ЕКСПЛУАТАЦІЇ</w:t>
      </w:r>
      <w:r w:rsidRPr="000977F7">
        <w:rPr>
          <w:color w:val="auto"/>
          <w:spacing w:val="-3"/>
          <w:sz w:val="20"/>
          <w:szCs w:val="20"/>
        </w:rPr>
        <w:t xml:space="preserve"> </w:t>
      </w:r>
      <w:r w:rsidRPr="000977F7">
        <w:rPr>
          <w:color w:val="auto"/>
          <w:sz w:val="20"/>
          <w:szCs w:val="20"/>
        </w:rPr>
        <w:t>–</w:t>
      </w:r>
    </w:p>
    <w:p w14:paraId="5E989A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SAFE</w:t>
      </w:r>
      <w:r w:rsidRPr="000977F7">
        <w:rPr>
          <w:rFonts w:asciiTheme="majorHAnsi" w:hAnsiTheme="majorHAnsi"/>
          <w:spacing w:val="-2"/>
          <w:sz w:val="20"/>
          <w:szCs w:val="20"/>
        </w:rPr>
        <w:t xml:space="preserve"> </w:t>
      </w:r>
      <w:r w:rsidRPr="000977F7">
        <w:rPr>
          <w:rFonts w:asciiTheme="majorHAnsi" w:hAnsiTheme="majorHAnsi"/>
          <w:sz w:val="20"/>
          <w:szCs w:val="20"/>
        </w:rPr>
        <w:t>OPERATION</w:t>
      </w:r>
      <w:r w:rsidRPr="000977F7">
        <w:rPr>
          <w:rFonts w:asciiTheme="majorHAnsi" w:hAnsiTheme="majorHAnsi"/>
          <w:spacing w:val="-1"/>
          <w:sz w:val="20"/>
          <w:szCs w:val="20"/>
        </w:rPr>
        <w:t xml:space="preserve"> </w:t>
      </w:r>
      <w:r w:rsidRPr="000977F7">
        <w:rPr>
          <w:rFonts w:asciiTheme="majorHAnsi" w:hAnsiTheme="majorHAnsi"/>
          <w:sz w:val="20"/>
          <w:szCs w:val="20"/>
        </w:rPr>
        <w:t>LIMITS</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1F616D67" w14:textId="77777777" w:rsidR="0097612F" w:rsidRPr="000977F7" w:rsidRDefault="0097612F" w:rsidP="000977F7">
      <w:pPr>
        <w:pStyle w:val="af6"/>
        <w:tabs>
          <w:tab w:val="left" w:pos="284"/>
        </w:tabs>
        <w:spacing w:after="0"/>
        <w:ind w:left="170"/>
        <w:mirrorIndents/>
        <w:jc w:val="both"/>
        <w:rPr>
          <w:rFonts w:asciiTheme="majorHAnsi" w:hAnsiTheme="majorHAnsi"/>
          <w:spacing w:val="-4"/>
          <w:sz w:val="20"/>
          <w:szCs w:val="20"/>
        </w:rPr>
      </w:pPr>
      <w:r w:rsidRPr="000977F7">
        <w:rPr>
          <w:rFonts w:asciiTheme="majorHAnsi" w:hAnsiTheme="majorHAnsi"/>
          <w:spacing w:val="-6"/>
          <w:sz w:val="20"/>
          <w:szCs w:val="20"/>
        </w:rPr>
        <w:t>Встановлені</w:t>
      </w:r>
      <w:r w:rsidRPr="000977F7">
        <w:rPr>
          <w:rFonts w:asciiTheme="majorHAnsi" w:hAnsiTheme="majorHAnsi"/>
          <w:spacing w:val="-3"/>
          <w:sz w:val="20"/>
          <w:szCs w:val="20"/>
        </w:rPr>
        <w:t xml:space="preserve"> </w:t>
      </w:r>
      <w:r w:rsidRPr="000977F7">
        <w:rPr>
          <w:rFonts w:asciiTheme="majorHAnsi" w:hAnsiTheme="majorHAnsi"/>
          <w:spacing w:val="-6"/>
          <w:sz w:val="20"/>
          <w:szCs w:val="20"/>
        </w:rPr>
        <w:t>проектом</w:t>
      </w:r>
      <w:r w:rsidRPr="000977F7">
        <w:rPr>
          <w:rFonts w:asciiTheme="majorHAnsi" w:hAnsiTheme="majorHAnsi"/>
          <w:spacing w:val="-5"/>
          <w:sz w:val="20"/>
          <w:szCs w:val="20"/>
        </w:rPr>
        <w:t xml:space="preserve"> </w:t>
      </w:r>
      <w:r w:rsidRPr="000977F7">
        <w:rPr>
          <w:rFonts w:asciiTheme="majorHAnsi" w:hAnsiTheme="majorHAnsi"/>
          <w:spacing w:val="-6"/>
          <w:sz w:val="20"/>
          <w:szCs w:val="20"/>
        </w:rPr>
        <w:t>значення</w:t>
      </w:r>
      <w:r w:rsidRPr="000977F7">
        <w:rPr>
          <w:rFonts w:asciiTheme="majorHAnsi" w:hAnsiTheme="majorHAnsi"/>
          <w:spacing w:val="-3"/>
          <w:sz w:val="20"/>
          <w:szCs w:val="20"/>
        </w:rPr>
        <w:t xml:space="preserve"> </w:t>
      </w:r>
      <w:r w:rsidRPr="000977F7">
        <w:rPr>
          <w:rFonts w:asciiTheme="majorHAnsi" w:hAnsiTheme="majorHAnsi"/>
          <w:spacing w:val="-6"/>
          <w:sz w:val="20"/>
          <w:szCs w:val="20"/>
        </w:rPr>
        <w:t>параметрів</w:t>
      </w:r>
      <w:r w:rsidRPr="000977F7">
        <w:rPr>
          <w:rFonts w:asciiTheme="majorHAnsi" w:hAnsiTheme="majorHAnsi"/>
          <w:spacing w:val="-4"/>
          <w:sz w:val="20"/>
          <w:szCs w:val="20"/>
        </w:rPr>
        <w:t xml:space="preserve"> </w:t>
      </w:r>
      <w:r w:rsidRPr="000977F7">
        <w:rPr>
          <w:rFonts w:asciiTheme="majorHAnsi" w:hAnsiTheme="majorHAnsi"/>
          <w:spacing w:val="-5"/>
          <w:sz w:val="20"/>
          <w:szCs w:val="20"/>
        </w:rPr>
        <w:t>технологічно</w:t>
      </w:r>
      <w:r w:rsidRPr="000977F7">
        <w:rPr>
          <w:rFonts w:asciiTheme="majorHAnsi" w:hAnsiTheme="majorHAnsi"/>
          <w:spacing w:val="-47"/>
          <w:sz w:val="20"/>
          <w:szCs w:val="20"/>
        </w:rPr>
        <w:t xml:space="preserve"> </w:t>
      </w:r>
      <w:r w:rsidRPr="000977F7">
        <w:rPr>
          <w:rFonts w:asciiTheme="majorHAnsi" w:hAnsiTheme="majorHAnsi"/>
          <w:spacing w:val="-6"/>
          <w:sz w:val="20"/>
          <w:szCs w:val="20"/>
        </w:rPr>
        <w:t xml:space="preserve">го процесу, відхилення від </w:t>
      </w:r>
      <w:r w:rsidRPr="000977F7">
        <w:rPr>
          <w:rFonts w:asciiTheme="majorHAnsi" w:hAnsiTheme="majorHAnsi"/>
          <w:spacing w:val="-5"/>
          <w:sz w:val="20"/>
          <w:szCs w:val="20"/>
        </w:rPr>
        <w:t>яких може призвести до аварії</w:t>
      </w:r>
      <w:r w:rsidRPr="000977F7">
        <w:rPr>
          <w:rFonts w:asciiTheme="majorHAnsi" w:hAnsiTheme="majorHAnsi"/>
          <w:spacing w:val="-4"/>
          <w:sz w:val="20"/>
          <w:szCs w:val="20"/>
        </w:rPr>
        <w:t xml:space="preserve"> </w:t>
      </w:r>
    </w:p>
    <w:p w14:paraId="77AEC31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2156 - 93</w:t>
      </w:r>
    </w:p>
    <w:p w14:paraId="067F057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МЕНЕДЖМЕНТ</w:t>
      </w:r>
      <w:r w:rsidRPr="000977F7">
        <w:rPr>
          <w:color w:val="auto"/>
          <w:spacing w:val="-3"/>
          <w:sz w:val="20"/>
          <w:szCs w:val="20"/>
        </w:rPr>
        <w:t xml:space="preserve"> </w:t>
      </w:r>
      <w:r w:rsidRPr="000977F7">
        <w:rPr>
          <w:color w:val="auto"/>
          <w:sz w:val="20"/>
          <w:szCs w:val="20"/>
        </w:rPr>
        <w:t>–</w:t>
      </w:r>
    </w:p>
    <w:p w14:paraId="5200DA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MANAGEMENT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5C4A24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Скоординовані види діяльності з встановлення політики</w:t>
      </w:r>
      <w:r w:rsidRPr="000977F7">
        <w:rPr>
          <w:rFonts w:asciiTheme="majorHAnsi" w:hAnsiTheme="majorHAnsi"/>
          <w:spacing w:val="47"/>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мети,</w:t>
      </w:r>
      <w:r w:rsidRPr="000977F7">
        <w:rPr>
          <w:rFonts w:asciiTheme="majorHAnsi" w:hAnsiTheme="majorHAnsi"/>
          <w:spacing w:val="-1"/>
          <w:sz w:val="20"/>
          <w:szCs w:val="20"/>
        </w:rPr>
        <w:t xml:space="preserve"> </w:t>
      </w:r>
      <w:r w:rsidRPr="000977F7">
        <w:rPr>
          <w:rFonts w:asciiTheme="majorHAnsi" w:hAnsiTheme="majorHAnsi"/>
          <w:sz w:val="20"/>
          <w:szCs w:val="20"/>
        </w:rPr>
        <w:t>а також</w:t>
      </w:r>
      <w:r w:rsidRPr="000977F7">
        <w:rPr>
          <w:rFonts w:asciiTheme="majorHAnsi" w:hAnsiTheme="majorHAnsi"/>
          <w:spacing w:val="-2"/>
          <w:sz w:val="20"/>
          <w:szCs w:val="20"/>
        </w:rPr>
        <w:t xml:space="preserve"> </w:t>
      </w:r>
      <w:r w:rsidRPr="000977F7">
        <w:rPr>
          <w:rFonts w:asciiTheme="majorHAnsi" w:hAnsiTheme="majorHAnsi"/>
          <w:sz w:val="20"/>
          <w:szCs w:val="20"/>
        </w:rPr>
        <w:t>з досягнення</w:t>
      </w:r>
      <w:r w:rsidRPr="000977F7">
        <w:rPr>
          <w:rFonts w:asciiTheme="majorHAnsi" w:hAnsiTheme="majorHAnsi"/>
          <w:spacing w:val="1"/>
          <w:sz w:val="20"/>
          <w:szCs w:val="20"/>
        </w:rPr>
        <w:t xml:space="preserve"> </w:t>
      </w:r>
      <w:r w:rsidRPr="000977F7">
        <w:rPr>
          <w:rFonts w:asciiTheme="majorHAnsi" w:hAnsiTheme="majorHAnsi"/>
          <w:sz w:val="20"/>
          <w:szCs w:val="20"/>
        </w:rPr>
        <w:t>цієї</w:t>
      </w:r>
      <w:r w:rsidRPr="000977F7">
        <w:rPr>
          <w:rFonts w:asciiTheme="majorHAnsi" w:hAnsiTheme="majorHAnsi"/>
          <w:spacing w:val="-2"/>
          <w:sz w:val="20"/>
          <w:szCs w:val="20"/>
        </w:rPr>
        <w:t xml:space="preserve"> </w:t>
      </w:r>
      <w:r w:rsidRPr="000977F7">
        <w:rPr>
          <w:rFonts w:asciiTheme="majorHAnsi" w:hAnsiTheme="majorHAnsi"/>
          <w:sz w:val="20"/>
          <w:szCs w:val="20"/>
        </w:rPr>
        <w:t>мети</w:t>
      </w:r>
    </w:p>
    <w:p w14:paraId="63926E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 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03B3CB70" w14:textId="77777777" w:rsidR="0097612F" w:rsidRPr="000977F7" w:rsidRDefault="0097612F" w:rsidP="00FD39A4">
      <w:pPr>
        <w:pStyle w:val="ac"/>
        <w:widowControl w:val="0"/>
        <w:numPr>
          <w:ilvl w:val="0"/>
          <w:numId w:val="152"/>
        </w:numPr>
        <w:tabs>
          <w:tab w:val="left" w:pos="284"/>
          <w:tab w:val="left" w:pos="67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Мета повинна бути вимірюваною, показовою та</w:t>
      </w:r>
      <w:r w:rsidRPr="000977F7">
        <w:rPr>
          <w:rFonts w:asciiTheme="majorHAnsi" w:hAnsiTheme="majorHAnsi"/>
          <w:spacing w:val="1"/>
          <w:sz w:val="20"/>
          <w:szCs w:val="20"/>
        </w:rPr>
        <w:t xml:space="preserve"> </w:t>
      </w:r>
      <w:r w:rsidRPr="000977F7">
        <w:rPr>
          <w:rFonts w:asciiTheme="majorHAnsi" w:hAnsiTheme="majorHAnsi"/>
          <w:sz w:val="20"/>
          <w:szCs w:val="20"/>
        </w:rPr>
        <w:t>досяжною.</w:t>
      </w:r>
    </w:p>
    <w:p w14:paraId="23902F2D" w14:textId="77777777" w:rsidR="0097612F" w:rsidRPr="000977F7" w:rsidRDefault="0097612F" w:rsidP="00FD39A4">
      <w:pPr>
        <w:pStyle w:val="ac"/>
        <w:widowControl w:val="0"/>
        <w:numPr>
          <w:ilvl w:val="0"/>
          <w:numId w:val="152"/>
        </w:numPr>
        <w:tabs>
          <w:tab w:val="left" w:pos="284"/>
          <w:tab w:val="left" w:pos="67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pacing w:val="3"/>
          <w:w w:val="99"/>
          <w:sz w:val="20"/>
          <w:szCs w:val="20"/>
        </w:rPr>
        <w:t>Т</w:t>
      </w:r>
      <w:r w:rsidRPr="000977F7">
        <w:rPr>
          <w:rFonts w:asciiTheme="majorHAnsi" w:hAnsiTheme="majorHAnsi"/>
          <w:w w:val="99"/>
          <w:sz w:val="20"/>
          <w:szCs w:val="20"/>
        </w:rPr>
        <w:t>е</w:t>
      </w:r>
      <w:r w:rsidRPr="000977F7">
        <w:rPr>
          <w:rFonts w:asciiTheme="majorHAnsi" w:hAnsiTheme="majorHAnsi"/>
          <w:spacing w:val="-1"/>
          <w:w w:val="99"/>
          <w:sz w:val="20"/>
          <w:szCs w:val="20"/>
        </w:rPr>
        <w:t>р</w:t>
      </w:r>
      <w:r w:rsidRPr="000977F7">
        <w:rPr>
          <w:rFonts w:asciiTheme="majorHAnsi" w:hAnsiTheme="majorHAnsi"/>
          <w:spacing w:val="1"/>
          <w:w w:val="99"/>
          <w:sz w:val="20"/>
          <w:szCs w:val="20"/>
        </w:rPr>
        <w:t>м</w:t>
      </w:r>
      <w:r w:rsidRPr="000977F7">
        <w:rPr>
          <w:rFonts w:asciiTheme="majorHAnsi" w:hAnsiTheme="majorHAnsi"/>
          <w:w w:val="99"/>
          <w:sz w:val="20"/>
          <w:szCs w:val="20"/>
        </w:rPr>
        <w:t>ін</w:t>
      </w:r>
      <w:r w:rsidRPr="000977F7">
        <w:rPr>
          <w:rFonts w:asciiTheme="majorHAnsi" w:hAnsiTheme="majorHAnsi"/>
          <w:spacing w:val="10"/>
          <w:sz w:val="20"/>
          <w:szCs w:val="20"/>
        </w:rPr>
        <w:t xml:space="preserve"> "</w:t>
      </w:r>
      <w:r w:rsidRPr="000977F7">
        <w:rPr>
          <w:rFonts w:asciiTheme="majorHAnsi" w:hAnsiTheme="majorHAnsi"/>
          <w:spacing w:val="1"/>
          <w:w w:val="99"/>
          <w:sz w:val="20"/>
          <w:szCs w:val="20"/>
        </w:rPr>
        <w:t>м</w:t>
      </w:r>
      <w:r w:rsidRPr="000977F7">
        <w:rPr>
          <w:rFonts w:asciiTheme="majorHAnsi" w:hAnsiTheme="majorHAnsi"/>
          <w:w w:val="99"/>
          <w:sz w:val="20"/>
          <w:szCs w:val="20"/>
        </w:rPr>
        <w:t>е</w:t>
      </w:r>
      <w:r w:rsidRPr="000977F7">
        <w:rPr>
          <w:rFonts w:asciiTheme="majorHAnsi" w:hAnsiTheme="majorHAnsi"/>
          <w:spacing w:val="-1"/>
          <w:w w:val="99"/>
          <w:sz w:val="20"/>
          <w:szCs w:val="20"/>
        </w:rPr>
        <w:t>н</w:t>
      </w:r>
      <w:r w:rsidRPr="000977F7">
        <w:rPr>
          <w:rFonts w:asciiTheme="majorHAnsi" w:hAnsiTheme="majorHAnsi"/>
          <w:spacing w:val="2"/>
          <w:w w:val="99"/>
          <w:sz w:val="20"/>
          <w:szCs w:val="20"/>
        </w:rPr>
        <w:t>е</w:t>
      </w:r>
      <w:r w:rsidRPr="000977F7">
        <w:rPr>
          <w:rFonts w:asciiTheme="majorHAnsi" w:hAnsiTheme="majorHAnsi"/>
          <w:w w:val="99"/>
          <w:sz w:val="20"/>
          <w:szCs w:val="20"/>
        </w:rPr>
        <w:t>д</w:t>
      </w:r>
      <w:r w:rsidRPr="000977F7">
        <w:rPr>
          <w:rFonts w:asciiTheme="majorHAnsi" w:hAnsiTheme="majorHAnsi"/>
          <w:spacing w:val="-2"/>
          <w:w w:val="99"/>
          <w:sz w:val="20"/>
          <w:szCs w:val="20"/>
        </w:rPr>
        <w:t>ж</w:t>
      </w:r>
      <w:r w:rsidRPr="000977F7">
        <w:rPr>
          <w:rFonts w:asciiTheme="majorHAnsi" w:hAnsiTheme="majorHAnsi"/>
          <w:spacing w:val="1"/>
          <w:w w:val="99"/>
          <w:sz w:val="20"/>
          <w:szCs w:val="20"/>
        </w:rPr>
        <w:t>м</w:t>
      </w:r>
      <w:r w:rsidRPr="000977F7">
        <w:rPr>
          <w:rFonts w:asciiTheme="majorHAnsi" w:hAnsiTheme="majorHAnsi"/>
          <w:spacing w:val="2"/>
          <w:w w:val="99"/>
          <w:sz w:val="20"/>
          <w:szCs w:val="20"/>
        </w:rPr>
        <w:t>е</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т"</w:t>
      </w:r>
      <w:r w:rsidRPr="000977F7">
        <w:rPr>
          <w:rFonts w:asciiTheme="majorHAnsi" w:hAnsiTheme="majorHAnsi"/>
          <w:spacing w:val="15"/>
          <w:sz w:val="20"/>
          <w:szCs w:val="20"/>
        </w:rPr>
        <w:t xml:space="preserve"> </w:t>
      </w:r>
      <w:r w:rsidRPr="000977F7">
        <w:rPr>
          <w:rFonts w:asciiTheme="majorHAnsi" w:hAnsiTheme="majorHAnsi"/>
          <w:spacing w:val="-1"/>
          <w:w w:val="99"/>
          <w:sz w:val="20"/>
          <w:szCs w:val="20"/>
        </w:rPr>
        <w:t>ві</w:t>
      </w:r>
      <w:r w:rsidRPr="000977F7">
        <w:rPr>
          <w:rFonts w:asciiTheme="majorHAnsi" w:hAnsiTheme="majorHAnsi"/>
          <w:spacing w:val="1"/>
          <w:w w:val="99"/>
          <w:sz w:val="20"/>
          <w:szCs w:val="20"/>
        </w:rPr>
        <w:t>д</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о</w:t>
      </w:r>
      <w:r w:rsidRPr="000977F7">
        <w:rPr>
          <w:rFonts w:asciiTheme="majorHAnsi" w:hAnsiTheme="majorHAnsi"/>
          <w:w w:val="99"/>
          <w:sz w:val="20"/>
          <w:szCs w:val="20"/>
        </w:rPr>
        <w:t>с</w:t>
      </w:r>
      <w:r w:rsidRPr="000977F7">
        <w:rPr>
          <w:rFonts w:asciiTheme="majorHAnsi" w:hAnsiTheme="majorHAnsi"/>
          <w:spacing w:val="-1"/>
          <w:w w:val="99"/>
          <w:sz w:val="20"/>
          <w:szCs w:val="20"/>
        </w:rPr>
        <w:t>ить</w:t>
      </w:r>
      <w:r w:rsidRPr="000977F7">
        <w:rPr>
          <w:rFonts w:asciiTheme="majorHAnsi" w:hAnsiTheme="majorHAnsi"/>
          <w:w w:val="99"/>
          <w:sz w:val="20"/>
          <w:szCs w:val="20"/>
        </w:rPr>
        <w:t>ся</w:t>
      </w:r>
      <w:r w:rsidRPr="000977F7">
        <w:rPr>
          <w:rFonts w:asciiTheme="majorHAnsi" w:hAnsiTheme="majorHAnsi"/>
          <w:spacing w:val="14"/>
          <w:sz w:val="20"/>
          <w:szCs w:val="20"/>
        </w:rPr>
        <w:t xml:space="preserve"> </w:t>
      </w:r>
      <w:r w:rsidRPr="000977F7">
        <w:rPr>
          <w:rFonts w:asciiTheme="majorHAnsi" w:hAnsiTheme="majorHAnsi"/>
          <w:w w:val="99"/>
          <w:sz w:val="20"/>
          <w:szCs w:val="20"/>
        </w:rPr>
        <w:t>до</w:t>
      </w:r>
      <w:r w:rsidRPr="000977F7">
        <w:rPr>
          <w:rFonts w:asciiTheme="majorHAnsi" w:hAnsiTheme="majorHAnsi"/>
          <w:spacing w:val="12"/>
          <w:sz w:val="20"/>
          <w:szCs w:val="20"/>
        </w:rPr>
        <w:t xml:space="preserve"> </w:t>
      </w:r>
      <w:r w:rsidRPr="000977F7">
        <w:rPr>
          <w:rFonts w:asciiTheme="majorHAnsi" w:hAnsiTheme="majorHAnsi"/>
          <w:spacing w:val="-1"/>
          <w:w w:val="99"/>
          <w:sz w:val="20"/>
          <w:szCs w:val="20"/>
        </w:rPr>
        <w:t>л</w:t>
      </w:r>
      <w:r w:rsidRPr="000977F7">
        <w:rPr>
          <w:rFonts w:asciiTheme="majorHAnsi" w:hAnsiTheme="majorHAnsi"/>
          <w:spacing w:val="2"/>
          <w:w w:val="99"/>
          <w:sz w:val="20"/>
          <w:szCs w:val="20"/>
        </w:rPr>
        <w:t>ю</w:t>
      </w:r>
      <w:r w:rsidRPr="000977F7">
        <w:rPr>
          <w:rFonts w:asciiTheme="majorHAnsi" w:hAnsiTheme="majorHAnsi"/>
          <w:w w:val="99"/>
          <w:sz w:val="20"/>
          <w:szCs w:val="20"/>
        </w:rPr>
        <w:t>де</w:t>
      </w:r>
      <w:r w:rsidRPr="000977F7">
        <w:rPr>
          <w:rFonts w:asciiTheme="majorHAnsi" w:hAnsiTheme="majorHAnsi"/>
          <w:spacing w:val="-2"/>
          <w:w w:val="99"/>
          <w:sz w:val="20"/>
          <w:szCs w:val="20"/>
        </w:rPr>
        <w:t>й</w:t>
      </w:r>
      <w:r w:rsidRPr="000977F7">
        <w:rPr>
          <w:rFonts w:asciiTheme="majorHAnsi" w:hAnsiTheme="majorHAnsi"/>
          <w:w w:val="99"/>
          <w:sz w:val="20"/>
          <w:szCs w:val="20"/>
        </w:rPr>
        <w:t>,</w:t>
      </w:r>
      <w:r w:rsidRPr="000977F7">
        <w:rPr>
          <w:rFonts w:asciiTheme="majorHAnsi" w:hAnsiTheme="majorHAnsi"/>
          <w:spacing w:val="14"/>
          <w:sz w:val="20"/>
          <w:szCs w:val="20"/>
        </w:rPr>
        <w:t xml:space="preserve"> </w:t>
      </w:r>
      <w:r w:rsidRPr="000977F7">
        <w:rPr>
          <w:rFonts w:asciiTheme="majorHAnsi" w:hAnsiTheme="majorHAnsi"/>
          <w:spacing w:val="-1"/>
          <w:w w:val="99"/>
          <w:sz w:val="20"/>
          <w:szCs w:val="20"/>
        </w:rPr>
        <w:t>т</w:t>
      </w:r>
      <w:r w:rsidRPr="000977F7">
        <w:rPr>
          <w:rFonts w:asciiTheme="majorHAnsi" w:hAnsiTheme="majorHAnsi"/>
          <w:spacing w:val="4"/>
          <w:w w:val="99"/>
          <w:sz w:val="20"/>
          <w:szCs w:val="20"/>
        </w:rPr>
        <w:t>о</w:t>
      </w:r>
      <w:r w:rsidRPr="000977F7">
        <w:rPr>
          <w:rFonts w:asciiTheme="majorHAnsi" w:hAnsiTheme="majorHAnsi"/>
          <w:spacing w:val="1"/>
          <w:w w:val="99"/>
          <w:sz w:val="20"/>
          <w:szCs w:val="20"/>
        </w:rPr>
        <w:t>б</w:t>
      </w:r>
      <w:r w:rsidRPr="000977F7">
        <w:rPr>
          <w:rFonts w:asciiTheme="majorHAnsi" w:hAnsiTheme="majorHAnsi"/>
          <w:sz w:val="20"/>
          <w:szCs w:val="20"/>
        </w:rPr>
        <w:t>то особи або групи людей з повноваженнями і відповідальністю за</w:t>
      </w:r>
      <w:r w:rsidRPr="000977F7">
        <w:rPr>
          <w:rFonts w:asciiTheme="majorHAnsi" w:hAnsiTheme="majorHAnsi"/>
          <w:spacing w:val="1"/>
          <w:sz w:val="20"/>
          <w:szCs w:val="20"/>
        </w:rPr>
        <w:t xml:space="preserve"> </w:t>
      </w:r>
      <w:r w:rsidRPr="000977F7">
        <w:rPr>
          <w:rFonts w:asciiTheme="majorHAnsi" w:hAnsiTheme="majorHAnsi"/>
          <w:sz w:val="20"/>
          <w:szCs w:val="20"/>
        </w:rPr>
        <w:t>функціонування і контроль в</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 який не може використовуватися без</w:t>
      </w:r>
      <w:r w:rsidRPr="000977F7">
        <w:rPr>
          <w:rFonts w:asciiTheme="majorHAnsi" w:hAnsiTheme="majorHAnsi"/>
          <w:spacing w:val="1"/>
          <w:sz w:val="20"/>
          <w:szCs w:val="20"/>
        </w:rPr>
        <w:t xml:space="preserve"> </w:t>
      </w:r>
      <w:r w:rsidRPr="000977F7">
        <w:rPr>
          <w:rFonts w:asciiTheme="majorHAnsi" w:hAnsiTheme="majorHAnsi"/>
          <w:w w:val="99"/>
          <w:sz w:val="20"/>
          <w:szCs w:val="20"/>
        </w:rPr>
        <w:t>де</w:t>
      </w:r>
      <w:r w:rsidRPr="000977F7">
        <w:rPr>
          <w:rFonts w:asciiTheme="majorHAnsi" w:hAnsiTheme="majorHAnsi"/>
          <w:spacing w:val="-1"/>
          <w:w w:val="99"/>
          <w:sz w:val="20"/>
          <w:szCs w:val="20"/>
        </w:rPr>
        <w:t>я</w:t>
      </w:r>
      <w:r w:rsidRPr="000977F7">
        <w:rPr>
          <w:rFonts w:asciiTheme="majorHAnsi" w:hAnsiTheme="majorHAnsi"/>
          <w:spacing w:val="1"/>
          <w:w w:val="99"/>
          <w:sz w:val="20"/>
          <w:szCs w:val="20"/>
        </w:rPr>
        <w:t>к</w:t>
      </w:r>
      <w:r w:rsidRPr="000977F7">
        <w:rPr>
          <w:rFonts w:asciiTheme="majorHAnsi" w:hAnsiTheme="majorHAnsi"/>
          <w:spacing w:val="-2"/>
          <w:w w:val="99"/>
          <w:sz w:val="20"/>
          <w:szCs w:val="20"/>
        </w:rPr>
        <w:t>и</w:t>
      </w:r>
      <w:r w:rsidRPr="000977F7">
        <w:rPr>
          <w:rFonts w:asciiTheme="majorHAnsi" w:hAnsiTheme="majorHAnsi"/>
          <w:w w:val="99"/>
          <w:sz w:val="20"/>
          <w:szCs w:val="20"/>
        </w:rPr>
        <w:t>х</w:t>
      </w:r>
      <w:r w:rsidRPr="000977F7">
        <w:rPr>
          <w:rFonts w:asciiTheme="majorHAnsi" w:hAnsiTheme="majorHAnsi"/>
          <w:sz w:val="20"/>
          <w:szCs w:val="20"/>
        </w:rPr>
        <w:t xml:space="preserve"> </w:t>
      </w:r>
      <w:r w:rsidRPr="000977F7">
        <w:rPr>
          <w:rFonts w:asciiTheme="majorHAnsi" w:hAnsiTheme="majorHAnsi"/>
          <w:w w:val="99"/>
          <w:sz w:val="20"/>
          <w:szCs w:val="20"/>
        </w:rPr>
        <w:t>ф</w:t>
      </w:r>
      <w:r w:rsidRPr="000977F7">
        <w:rPr>
          <w:rFonts w:asciiTheme="majorHAnsi" w:hAnsiTheme="majorHAnsi"/>
          <w:spacing w:val="1"/>
          <w:w w:val="99"/>
          <w:sz w:val="20"/>
          <w:szCs w:val="20"/>
        </w:rPr>
        <w:t>ор</w:t>
      </w:r>
      <w:r w:rsidRPr="000977F7">
        <w:rPr>
          <w:rFonts w:asciiTheme="majorHAnsi" w:hAnsiTheme="majorHAnsi"/>
          <w:w w:val="99"/>
          <w:sz w:val="20"/>
          <w:szCs w:val="20"/>
        </w:rPr>
        <w:t>м</w:t>
      </w:r>
      <w:r w:rsidRPr="000977F7">
        <w:rPr>
          <w:rFonts w:asciiTheme="majorHAnsi" w:hAnsiTheme="majorHAnsi"/>
          <w:sz w:val="20"/>
          <w:szCs w:val="20"/>
        </w:rPr>
        <w:t xml:space="preserve"> </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и</w:t>
      </w:r>
      <w:r w:rsidRPr="000977F7">
        <w:rPr>
          <w:rFonts w:asciiTheme="majorHAnsi" w:hAnsiTheme="majorHAnsi"/>
          <w:spacing w:val="2"/>
          <w:w w:val="99"/>
          <w:sz w:val="20"/>
          <w:szCs w:val="20"/>
        </w:rPr>
        <w:t>з</w:t>
      </w:r>
      <w:r w:rsidRPr="000977F7">
        <w:rPr>
          <w:rFonts w:asciiTheme="majorHAnsi" w:hAnsiTheme="majorHAnsi"/>
          <w:spacing w:val="-2"/>
          <w:w w:val="99"/>
          <w:sz w:val="20"/>
          <w:szCs w:val="20"/>
        </w:rPr>
        <w:t>н</w:t>
      </w:r>
      <w:r w:rsidRPr="000977F7">
        <w:rPr>
          <w:rFonts w:asciiTheme="majorHAnsi" w:hAnsiTheme="majorHAnsi"/>
          <w:w w:val="99"/>
          <w:sz w:val="20"/>
          <w:szCs w:val="20"/>
        </w:rPr>
        <w:t>ач</w:t>
      </w:r>
      <w:r w:rsidRPr="000977F7">
        <w:rPr>
          <w:rFonts w:asciiTheme="majorHAnsi" w:hAnsiTheme="majorHAnsi"/>
          <w:spacing w:val="1"/>
          <w:w w:val="99"/>
          <w:sz w:val="20"/>
          <w:szCs w:val="20"/>
        </w:rPr>
        <w:t>ни</w:t>
      </w:r>
      <w:r w:rsidRPr="000977F7">
        <w:rPr>
          <w:rFonts w:asciiTheme="majorHAnsi" w:hAnsiTheme="majorHAnsi"/>
          <w:spacing w:val="-1"/>
          <w:w w:val="99"/>
          <w:sz w:val="20"/>
          <w:szCs w:val="20"/>
        </w:rPr>
        <w:t>к</w:t>
      </w:r>
      <w:r w:rsidRPr="000977F7">
        <w:rPr>
          <w:rFonts w:asciiTheme="majorHAnsi" w:hAnsiTheme="majorHAnsi"/>
          <w:w w:val="99"/>
          <w:sz w:val="20"/>
          <w:szCs w:val="20"/>
        </w:rPr>
        <w:t>і</w:t>
      </w:r>
      <w:r w:rsidRPr="000977F7">
        <w:rPr>
          <w:rFonts w:asciiTheme="majorHAnsi" w:hAnsiTheme="majorHAnsi"/>
          <w:spacing w:val="-1"/>
          <w:w w:val="99"/>
          <w:sz w:val="20"/>
          <w:szCs w:val="20"/>
        </w:rPr>
        <w:t>в</w:t>
      </w:r>
      <w:r w:rsidRPr="000977F7">
        <w:rPr>
          <w:rFonts w:asciiTheme="majorHAnsi" w:hAnsiTheme="majorHAnsi"/>
          <w:w w:val="99"/>
          <w:sz w:val="20"/>
          <w:szCs w:val="20"/>
        </w:rPr>
        <w:t>.</w:t>
      </w:r>
      <w:r w:rsidRPr="000977F7">
        <w:rPr>
          <w:rFonts w:asciiTheme="majorHAnsi" w:hAnsiTheme="majorHAnsi"/>
          <w:sz w:val="20"/>
          <w:szCs w:val="20"/>
        </w:rPr>
        <w:t xml:space="preserve"> </w:t>
      </w:r>
      <w:r w:rsidRPr="000977F7">
        <w:rPr>
          <w:rFonts w:asciiTheme="majorHAnsi" w:hAnsiTheme="majorHAnsi"/>
          <w:spacing w:val="1"/>
          <w:sz w:val="20"/>
          <w:szCs w:val="20"/>
        </w:rPr>
        <w:t xml:space="preserve"> </w:t>
      </w:r>
      <w:r w:rsidRPr="000977F7">
        <w:rPr>
          <w:rFonts w:asciiTheme="majorHAnsi" w:hAnsiTheme="majorHAnsi"/>
          <w:spacing w:val="-1"/>
          <w:w w:val="99"/>
          <w:sz w:val="20"/>
          <w:szCs w:val="20"/>
        </w:rPr>
        <w:t>Нап</w:t>
      </w:r>
      <w:r w:rsidRPr="000977F7">
        <w:rPr>
          <w:rFonts w:asciiTheme="majorHAnsi" w:hAnsiTheme="majorHAnsi"/>
          <w:w w:val="99"/>
          <w:sz w:val="20"/>
          <w:szCs w:val="20"/>
        </w:rPr>
        <w:t>р</w:t>
      </w:r>
      <w:r w:rsidRPr="000977F7">
        <w:rPr>
          <w:rFonts w:asciiTheme="majorHAnsi" w:hAnsiTheme="majorHAnsi"/>
          <w:spacing w:val="1"/>
          <w:w w:val="99"/>
          <w:sz w:val="20"/>
          <w:szCs w:val="20"/>
        </w:rPr>
        <w:t>и</w:t>
      </w:r>
      <w:r w:rsidRPr="000977F7">
        <w:rPr>
          <w:rFonts w:asciiTheme="majorHAnsi" w:hAnsiTheme="majorHAnsi"/>
          <w:spacing w:val="-1"/>
          <w:w w:val="99"/>
          <w:sz w:val="20"/>
          <w:szCs w:val="20"/>
        </w:rPr>
        <w:t>кл</w:t>
      </w:r>
      <w:r w:rsidRPr="000977F7">
        <w:rPr>
          <w:rFonts w:asciiTheme="majorHAnsi" w:hAnsiTheme="majorHAnsi"/>
          <w:spacing w:val="2"/>
          <w:w w:val="99"/>
          <w:sz w:val="20"/>
          <w:szCs w:val="20"/>
        </w:rPr>
        <w:t>а</w:t>
      </w:r>
      <w:r w:rsidRPr="000977F7">
        <w:rPr>
          <w:rFonts w:asciiTheme="majorHAnsi" w:hAnsiTheme="majorHAnsi"/>
          <w:w w:val="99"/>
          <w:sz w:val="20"/>
          <w:szCs w:val="20"/>
        </w:rPr>
        <w:t>д,</w:t>
      </w:r>
      <w:r w:rsidRPr="000977F7">
        <w:rPr>
          <w:rFonts w:asciiTheme="majorHAnsi" w:hAnsiTheme="majorHAnsi"/>
          <w:sz w:val="20"/>
          <w:szCs w:val="20"/>
        </w:rPr>
        <w:t xml:space="preserve"> "</w:t>
      </w:r>
      <w:r w:rsidRPr="000977F7">
        <w:rPr>
          <w:rFonts w:asciiTheme="majorHAnsi" w:hAnsiTheme="majorHAnsi"/>
          <w:spacing w:val="1"/>
          <w:w w:val="99"/>
          <w:sz w:val="20"/>
          <w:szCs w:val="20"/>
        </w:rPr>
        <w:t>м</w:t>
      </w:r>
      <w:r w:rsidRPr="000977F7">
        <w:rPr>
          <w:rFonts w:asciiTheme="majorHAnsi" w:hAnsiTheme="majorHAnsi"/>
          <w:w w:val="99"/>
          <w:sz w:val="20"/>
          <w:szCs w:val="20"/>
        </w:rPr>
        <w:t>е</w:t>
      </w:r>
      <w:r w:rsidRPr="000977F7">
        <w:rPr>
          <w:rFonts w:asciiTheme="majorHAnsi" w:hAnsiTheme="majorHAnsi"/>
          <w:spacing w:val="-1"/>
          <w:w w:val="99"/>
          <w:sz w:val="20"/>
          <w:szCs w:val="20"/>
        </w:rPr>
        <w:t>н</w:t>
      </w:r>
      <w:r w:rsidRPr="000977F7">
        <w:rPr>
          <w:rFonts w:asciiTheme="majorHAnsi" w:hAnsiTheme="majorHAnsi"/>
          <w:spacing w:val="2"/>
          <w:w w:val="99"/>
          <w:sz w:val="20"/>
          <w:szCs w:val="20"/>
        </w:rPr>
        <w:t>е</w:t>
      </w:r>
      <w:r w:rsidRPr="000977F7">
        <w:rPr>
          <w:rFonts w:asciiTheme="majorHAnsi" w:hAnsiTheme="majorHAnsi"/>
          <w:spacing w:val="3"/>
          <w:w w:val="99"/>
          <w:sz w:val="20"/>
          <w:szCs w:val="20"/>
        </w:rPr>
        <w:t>д</w:t>
      </w:r>
      <w:r w:rsidRPr="000977F7">
        <w:rPr>
          <w:rFonts w:asciiTheme="majorHAnsi" w:hAnsiTheme="majorHAnsi"/>
          <w:spacing w:val="1"/>
          <w:w w:val="99"/>
          <w:sz w:val="20"/>
          <w:szCs w:val="20"/>
        </w:rPr>
        <w:t>ж</w:t>
      </w:r>
      <w:r w:rsidRPr="000977F7">
        <w:rPr>
          <w:rFonts w:asciiTheme="majorHAnsi" w:hAnsiTheme="majorHAnsi"/>
          <w:sz w:val="20"/>
          <w:szCs w:val="20"/>
        </w:rPr>
        <w:t>мент повинен…" не допускається, тоді як "вище</w:t>
      </w:r>
      <w:r w:rsidRPr="000977F7">
        <w:rPr>
          <w:rFonts w:asciiTheme="majorHAnsi" w:hAnsiTheme="majorHAnsi"/>
          <w:spacing w:val="1"/>
          <w:sz w:val="20"/>
          <w:szCs w:val="20"/>
        </w:rPr>
        <w:t xml:space="preserve"> </w:t>
      </w:r>
      <w:r w:rsidRPr="000977F7">
        <w:rPr>
          <w:rFonts w:asciiTheme="majorHAnsi" w:hAnsiTheme="majorHAnsi"/>
          <w:sz w:val="20"/>
          <w:szCs w:val="20"/>
        </w:rPr>
        <w:t>керівництво повинне…"</w:t>
      </w:r>
      <w:r w:rsidRPr="000977F7">
        <w:rPr>
          <w:rFonts w:asciiTheme="majorHAnsi" w:hAnsiTheme="majorHAnsi"/>
          <w:spacing w:val="3"/>
          <w:sz w:val="20"/>
          <w:szCs w:val="20"/>
        </w:rPr>
        <w:t xml:space="preserve"> </w:t>
      </w:r>
      <w:r w:rsidRPr="000977F7">
        <w:rPr>
          <w:rFonts w:asciiTheme="majorHAnsi" w:hAnsiTheme="majorHAnsi"/>
          <w:sz w:val="20"/>
          <w:szCs w:val="20"/>
        </w:rPr>
        <w:t>прийнятне</w:t>
      </w:r>
    </w:p>
    <w:p w14:paraId="6D6EA09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МЕНЕДЖМЕНТ</w:t>
      </w:r>
      <w:r w:rsidRPr="000977F7">
        <w:rPr>
          <w:color w:val="auto"/>
          <w:spacing w:val="-6"/>
          <w:sz w:val="20"/>
          <w:szCs w:val="20"/>
        </w:rPr>
        <w:t xml:space="preserve"> </w:t>
      </w:r>
      <w:r w:rsidRPr="000977F7">
        <w:rPr>
          <w:color w:val="auto"/>
          <w:sz w:val="20"/>
          <w:szCs w:val="20"/>
        </w:rPr>
        <w:t>ЯКОСТІ</w:t>
      </w:r>
      <w:r w:rsidRPr="000977F7">
        <w:rPr>
          <w:color w:val="auto"/>
          <w:spacing w:val="-1"/>
          <w:sz w:val="20"/>
          <w:szCs w:val="20"/>
        </w:rPr>
        <w:t xml:space="preserve"> </w:t>
      </w:r>
      <w:r w:rsidRPr="000977F7">
        <w:rPr>
          <w:color w:val="auto"/>
          <w:sz w:val="20"/>
          <w:szCs w:val="20"/>
        </w:rPr>
        <w:t>–</w:t>
      </w:r>
    </w:p>
    <w:p w14:paraId="4814D45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QUALITY</w:t>
      </w:r>
      <w:r w:rsidRPr="000977F7">
        <w:rPr>
          <w:rFonts w:asciiTheme="majorHAnsi" w:hAnsiTheme="majorHAnsi"/>
          <w:spacing w:val="-5"/>
          <w:sz w:val="20"/>
          <w:szCs w:val="20"/>
        </w:rPr>
        <w:t xml:space="preserve"> </w:t>
      </w:r>
      <w:r w:rsidRPr="000977F7">
        <w:rPr>
          <w:rFonts w:asciiTheme="majorHAnsi" w:hAnsiTheme="majorHAnsi"/>
          <w:sz w:val="20"/>
          <w:szCs w:val="20"/>
        </w:rPr>
        <w:t>MANAGEMENT –</w:t>
      </w:r>
    </w:p>
    <w:p w14:paraId="622313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Повний набір процесів, який застосовується в системі</w:t>
      </w:r>
      <w:r w:rsidRPr="000977F7">
        <w:rPr>
          <w:rFonts w:asciiTheme="majorHAnsi" w:hAnsiTheme="majorHAnsi"/>
          <w:spacing w:val="1"/>
          <w:sz w:val="20"/>
          <w:szCs w:val="20"/>
        </w:rPr>
        <w:t xml:space="preserve"> </w:t>
      </w:r>
      <w:r w:rsidRPr="000977F7">
        <w:rPr>
          <w:rFonts w:asciiTheme="majorHAnsi" w:hAnsiTheme="majorHAnsi"/>
          <w:sz w:val="20"/>
          <w:szCs w:val="20"/>
        </w:rPr>
        <w:t>менеджменту</w:t>
      </w:r>
      <w:r w:rsidRPr="000977F7">
        <w:rPr>
          <w:rFonts w:asciiTheme="majorHAnsi" w:hAnsiTheme="majorHAnsi"/>
          <w:spacing w:val="-2"/>
          <w:sz w:val="20"/>
          <w:szCs w:val="20"/>
        </w:rPr>
        <w:t xml:space="preserve"> </w:t>
      </w:r>
      <w:r w:rsidRPr="000977F7">
        <w:rPr>
          <w:rFonts w:asciiTheme="majorHAnsi" w:hAnsiTheme="majorHAnsi"/>
          <w:sz w:val="20"/>
          <w:szCs w:val="20"/>
        </w:rPr>
        <w:t>якості</w:t>
      </w:r>
    </w:p>
    <w:p w14:paraId="769EC6D1"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bookmarkStart w:id="124" w:name="_Hlk101075085"/>
      <w:r w:rsidRPr="000977F7">
        <w:rPr>
          <w:rFonts w:asciiTheme="majorHAnsi" w:hAnsiTheme="majorHAnsi"/>
          <w:b/>
          <w:sz w:val="20"/>
          <w:szCs w:val="20"/>
        </w:rPr>
        <w:t>МЕТА КЕРУВАННЯ –</w:t>
      </w:r>
    </w:p>
    <w:p w14:paraId="443E2BB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CONTROL AIM -</w:t>
      </w:r>
    </w:p>
    <w:bookmarkEnd w:id="124"/>
    <w:p w14:paraId="202126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Бажані значення (співвідношення значень) параметрів</w:t>
      </w:r>
      <w:r w:rsidRPr="000977F7">
        <w:rPr>
          <w:rFonts w:asciiTheme="majorHAnsi" w:hAnsiTheme="majorHAnsi"/>
          <w:spacing w:val="-47"/>
          <w:sz w:val="20"/>
          <w:szCs w:val="20"/>
        </w:rPr>
        <w:t xml:space="preserve"> </w:t>
      </w:r>
      <w:r w:rsidRPr="000977F7">
        <w:rPr>
          <w:rFonts w:asciiTheme="majorHAnsi" w:hAnsiTheme="majorHAnsi"/>
          <w:sz w:val="20"/>
          <w:szCs w:val="20"/>
        </w:rPr>
        <w:t>та (або) процесів, які вважаються найкращими за певних умов</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керування</w:t>
      </w:r>
    </w:p>
    <w:p w14:paraId="32DEA16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21E276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МЕТА</w:t>
      </w:r>
      <w:r w:rsidRPr="000977F7">
        <w:rPr>
          <w:color w:val="auto"/>
          <w:spacing w:val="-5"/>
          <w:sz w:val="20"/>
          <w:szCs w:val="20"/>
        </w:rPr>
        <w:t xml:space="preserve"> </w:t>
      </w:r>
      <w:r w:rsidRPr="000977F7">
        <w:rPr>
          <w:color w:val="auto"/>
          <w:sz w:val="20"/>
          <w:szCs w:val="20"/>
        </w:rPr>
        <w:t>МІЖДЕРЖАВНОЇ</w:t>
      </w:r>
      <w:r w:rsidRPr="000977F7">
        <w:rPr>
          <w:color w:val="auto"/>
          <w:spacing w:val="-5"/>
          <w:sz w:val="20"/>
          <w:szCs w:val="20"/>
        </w:rPr>
        <w:t xml:space="preserve"> </w:t>
      </w:r>
      <w:r w:rsidRPr="000977F7">
        <w:rPr>
          <w:color w:val="auto"/>
          <w:sz w:val="20"/>
          <w:szCs w:val="20"/>
        </w:rPr>
        <w:t>СТАНДАРТИЗАЦІЇ</w:t>
      </w:r>
      <w:r w:rsidRPr="000977F7">
        <w:rPr>
          <w:color w:val="auto"/>
          <w:spacing w:val="-2"/>
          <w:sz w:val="20"/>
          <w:szCs w:val="20"/>
        </w:rPr>
        <w:t xml:space="preserve"> </w:t>
      </w:r>
      <w:r w:rsidRPr="000977F7">
        <w:rPr>
          <w:color w:val="auto"/>
          <w:sz w:val="20"/>
          <w:szCs w:val="20"/>
        </w:rPr>
        <w:t>–</w:t>
      </w:r>
    </w:p>
    <w:p w14:paraId="07FB6C7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Основною</w:t>
      </w:r>
      <w:r w:rsidRPr="000977F7">
        <w:rPr>
          <w:rFonts w:asciiTheme="majorHAnsi" w:hAnsiTheme="majorHAnsi"/>
          <w:spacing w:val="-4"/>
          <w:sz w:val="20"/>
          <w:szCs w:val="20"/>
        </w:rPr>
        <w:t xml:space="preserve"> </w:t>
      </w:r>
      <w:r w:rsidRPr="000977F7">
        <w:rPr>
          <w:rFonts w:asciiTheme="majorHAnsi" w:hAnsiTheme="majorHAnsi"/>
          <w:sz w:val="20"/>
          <w:szCs w:val="20"/>
        </w:rPr>
        <w:t>метою</w:t>
      </w:r>
      <w:r w:rsidRPr="000977F7">
        <w:rPr>
          <w:rFonts w:asciiTheme="majorHAnsi" w:hAnsiTheme="majorHAnsi"/>
          <w:spacing w:val="-4"/>
          <w:sz w:val="20"/>
          <w:szCs w:val="20"/>
        </w:rPr>
        <w:t xml:space="preserve"> </w:t>
      </w:r>
      <w:r w:rsidRPr="000977F7">
        <w:rPr>
          <w:rFonts w:asciiTheme="majorHAnsi" w:hAnsiTheme="majorHAnsi"/>
          <w:sz w:val="20"/>
          <w:szCs w:val="20"/>
        </w:rPr>
        <w:t>міждержавної</w:t>
      </w:r>
      <w:r w:rsidRPr="000977F7">
        <w:rPr>
          <w:rFonts w:asciiTheme="majorHAnsi" w:hAnsiTheme="majorHAnsi"/>
          <w:spacing w:val="-5"/>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5"/>
          <w:sz w:val="20"/>
          <w:szCs w:val="20"/>
        </w:rPr>
        <w:t xml:space="preserve"> </w:t>
      </w:r>
      <w:r w:rsidRPr="000977F7">
        <w:rPr>
          <w:rFonts w:asciiTheme="majorHAnsi" w:hAnsiTheme="majorHAnsi"/>
          <w:sz w:val="20"/>
          <w:szCs w:val="20"/>
        </w:rPr>
        <w:t>є:</w:t>
      </w:r>
    </w:p>
    <w:p w14:paraId="537D505F" w14:textId="77777777" w:rsidR="0097612F" w:rsidRPr="000977F7" w:rsidRDefault="0097612F" w:rsidP="00FD39A4">
      <w:pPr>
        <w:pStyle w:val="ac"/>
        <w:widowControl w:val="0"/>
        <w:numPr>
          <w:ilvl w:val="0"/>
          <w:numId w:val="151"/>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захист інтересів споживачів і кожної держави –</w:t>
      </w:r>
      <w:r w:rsidRPr="000977F7">
        <w:rPr>
          <w:rFonts w:asciiTheme="majorHAnsi" w:hAnsiTheme="majorHAnsi"/>
          <w:spacing w:val="1"/>
          <w:sz w:val="20"/>
          <w:szCs w:val="20"/>
        </w:rPr>
        <w:t xml:space="preserve"> </w:t>
      </w:r>
      <w:r w:rsidRPr="000977F7">
        <w:rPr>
          <w:rFonts w:asciiTheme="majorHAnsi" w:hAnsiTheme="majorHAnsi"/>
          <w:sz w:val="20"/>
          <w:szCs w:val="20"/>
        </w:rPr>
        <w:t>учасника</w:t>
      </w:r>
      <w:r w:rsidRPr="000977F7">
        <w:rPr>
          <w:rFonts w:asciiTheme="majorHAnsi" w:hAnsiTheme="majorHAnsi"/>
          <w:spacing w:val="8"/>
          <w:sz w:val="20"/>
          <w:szCs w:val="20"/>
        </w:rPr>
        <w:t xml:space="preserve"> </w:t>
      </w:r>
      <w:r w:rsidRPr="000977F7">
        <w:rPr>
          <w:rFonts w:asciiTheme="majorHAnsi" w:hAnsiTheme="majorHAnsi"/>
          <w:sz w:val="20"/>
          <w:szCs w:val="20"/>
        </w:rPr>
        <w:t>Угоди</w:t>
      </w:r>
      <w:r w:rsidRPr="000977F7">
        <w:rPr>
          <w:rFonts w:asciiTheme="majorHAnsi" w:hAnsiTheme="majorHAnsi"/>
          <w:spacing w:val="7"/>
          <w:sz w:val="20"/>
          <w:szCs w:val="20"/>
        </w:rPr>
        <w:t xml:space="preserve"> </w:t>
      </w:r>
      <w:r w:rsidRPr="000977F7">
        <w:rPr>
          <w:rFonts w:asciiTheme="majorHAnsi" w:hAnsiTheme="majorHAnsi"/>
          <w:sz w:val="20"/>
          <w:szCs w:val="20"/>
        </w:rPr>
        <w:t>з</w:t>
      </w:r>
      <w:r w:rsidRPr="000977F7">
        <w:rPr>
          <w:rFonts w:asciiTheme="majorHAnsi" w:hAnsiTheme="majorHAnsi"/>
          <w:spacing w:val="8"/>
          <w:sz w:val="20"/>
          <w:szCs w:val="20"/>
        </w:rPr>
        <w:t xml:space="preserve"> </w:t>
      </w:r>
      <w:r w:rsidRPr="000977F7">
        <w:rPr>
          <w:rFonts w:asciiTheme="majorHAnsi" w:hAnsiTheme="majorHAnsi"/>
          <w:sz w:val="20"/>
          <w:szCs w:val="20"/>
        </w:rPr>
        <w:t>питань</w:t>
      </w:r>
      <w:r w:rsidRPr="000977F7">
        <w:rPr>
          <w:rFonts w:asciiTheme="majorHAnsi" w:hAnsiTheme="majorHAnsi"/>
          <w:spacing w:val="9"/>
          <w:sz w:val="20"/>
          <w:szCs w:val="20"/>
        </w:rPr>
        <w:t xml:space="preserve"> </w:t>
      </w:r>
      <w:r w:rsidRPr="000977F7">
        <w:rPr>
          <w:rFonts w:asciiTheme="majorHAnsi" w:hAnsiTheme="majorHAnsi"/>
          <w:sz w:val="20"/>
          <w:szCs w:val="20"/>
        </w:rPr>
        <w:t>якості</w:t>
      </w:r>
      <w:r w:rsidRPr="000977F7">
        <w:rPr>
          <w:rFonts w:asciiTheme="majorHAnsi" w:hAnsiTheme="majorHAnsi"/>
          <w:spacing w:val="7"/>
          <w:sz w:val="20"/>
          <w:szCs w:val="20"/>
        </w:rPr>
        <w:t xml:space="preserve"> </w:t>
      </w:r>
      <w:r w:rsidRPr="000977F7">
        <w:rPr>
          <w:rFonts w:asciiTheme="majorHAnsi" w:hAnsiTheme="majorHAnsi"/>
          <w:sz w:val="20"/>
          <w:szCs w:val="20"/>
        </w:rPr>
        <w:t>продукції,</w:t>
      </w:r>
      <w:r w:rsidRPr="000977F7">
        <w:rPr>
          <w:rFonts w:asciiTheme="majorHAnsi" w:hAnsiTheme="majorHAnsi"/>
          <w:spacing w:val="8"/>
          <w:sz w:val="20"/>
          <w:szCs w:val="20"/>
        </w:rPr>
        <w:t xml:space="preserve"> </w:t>
      </w:r>
      <w:r w:rsidRPr="000977F7">
        <w:rPr>
          <w:rFonts w:asciiTheme="majorHAnsi" w:hAnsiTheme="majorHAnsi"/>
          <w:sz w:val="20"/>
          <w:szCs w:val="20"/>
        </w:rPr>
        <w:t>послуг</w:t>
      </w:r>
      <w:r w:rsidRPr="000977F7">
        <w:rPr>
          <w:rFonts w:asciiTheme="majorHAnsi" w:hAnsiTheme="majorHAnsi"/>
          <w:spacing w:val="-47"/>
          <w:sz w:val="20"/>
          <w:szCs w:val="20"/>
        </w:rPr>
        <w:t xml:space="preserve"> </w:t>
      </w:r>
      <w:r w:rsidRPr="000977F7">
        <w:rPr>
          <w:rFonts w:asciiTheme="majorHAnsi" w:hAnsiTheme="majorHAnsi"/>
          <w:sz w:val="20"/>
          <w:szCs w:val="20"/>
        </w:rPr>
        <w:t>і процесів</w:t>
      </w:r>
      <w:r w:rsidRPr="000977F7">
        <w:rPr>
          <w:rFonts w:asciiTheme="majorHAnsi" w:hAnsiTheme="majorHAnsi"/>
          <w:spacing w:val="1"/>
          <w:sz w:val="20"/>
          <w:szCs w:val="20"/>
        </w:rPr>
        <w:t xml:space="preserve"> </w:t>
      </w:r>
      <w:r w:rsidRPr="000977F7">
        <w:rPr>
          <w:rFonts w:asciiTheme="majorHAnsi" w:hAnsiTheme="majorHAnsi"/>
          <w:sz w:val="20"/>
          <w:szCs w:val="20"/>
        </w:rPr>
        <w:t>(далі продукція), які забезпечують</w:t>
      </w:r>
      <w:r w:rsidRPr="000977F7">
        <w:rPr>
          <w:rFonts w:asciiTheme="majorHAnsi" w:hAnsiTheme="majorHAnsi"/>
          <w:spacing w:val="1"/>
          <w:sz w:val="20"/>
          <w:szCs w:val="20"/>
        </w:rPr>
        <w:t xml:space="preserve"> </w:t>
      </w:r>
      <w:r w:rsidRPr="000977F7">
        <w:rPr>
          <w:rFonts w:asciiTheme="majorHAnsi" w:hAnsiTheme="majorHAnsi"/>
          <w:sz w:val="20"/>
          <w:szCs w:val="20"/>
        </w:rPr>
        <w:t>безпеку для життя, здоров’я та майна населення,</w:t>
      </w:r>
      <w:r w:rsidRPr="000977F7">
        <w:rPr>
          <w:rFonts w:asciiTheme="majorHAnsi" w:hAnsiTheme="majorHAnsi"/>
          <w:spacing w:val="1"/>
          <w:sz w:val="20"/>
          <w:szCs w:val="20"/>
        </w:rPr>
        <w:t xml:space="preserve"> </w:t>
      </w:r>
      <w:r w:rsidRPr="000977F7">
        <w:rPr>
          <w:rFonts w:asciiTheme="majorHAnsi" w:hAnsiTheme="majorHAnsi"/>
          <w:sz w:val="20"/>
          <w:szCs w:val="20"/>
        </w:rPr>
        <w:t>охорону</w:t>
      </w:r>
      <w:r w:rsidRPr="000977F7">
        <w:rPr>
          <w:rFonts w:asciiTheme="majorHAnsi" w:hAnsiTheme="majorHAnsi"/>
          <w:spacing w:val="-5"/>
          <w:sz w:val="20"/>
          <w:szCs w:val="20"/>
        </w:rPr>
        <w:t xml:space="preserve"> </w:t>
      </w:r>
      <w:r w:rsidRPr="000977F7">
        <w:rPr>
          <w:rFonts w:asciiTheme="majorHAnsi" w:hAnsiTheme="majorHAnsi"/>
          <w:sz w:val="20"/>
          <w:szCs w:val="20"/>
        </w:rPr>
        <w:t>навколишнього середовища;</w:t>
      </w:r>
    </w:p>
    <w:p w14:paraId="0981345E" w14:textId="77777777" w:rsidR="0097612F" w:rsidRPr="000977F7" w:rsidRDefault="0097612F" w:rsidP="00FD39A4">
      <w:pPr>
        <w:pStyle w:val="ac"/>
        <w:widowControl w:val="0"/>
        <w:numPr>
          <w:ilvl w:val="0"/>
          <w:numId w:val="151"/>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забезпечення сумісності та взаємозамінності продукції і інших вимог, які представляють міждержавний</w:t>
      </w:r>
      <w:r w:rsidRPr="000977F7">
        <w:rPr>
          <w:rFonts w:asciiTheme="majorHAnsi" w:hAnsiTheme="majorHAnsi"/>
          <w:spacing w:val="-2"/>
          <w:sz w:val="20"/>
          <w:szCs w:val="20"/>
        </w:rPr>
        <w:t xml:space="preserve"> </w:t>
      </w:r>
      <w:r w:rsidRPr="000977F7">
        <w:rPr>
          <w:rFonts w:asciiTheme="majorHAnsi" w:hAnsiTheme="majorHAnsi"/>
          <w:sz w:val="20"/>
          <w:szCs w:val="20"/>
        </w:rPr>
        <w:t>інтерес;</w:t>
      </w:r>
    </w:p>
    <w:p w14:paraId="3CC2A42F" w14:textId="77777777" w:rsidR="0097612F" w:rsidRPr="000977F7" w:rsidRDefault="0097612F" w:rsidP="00FD39A4">
      <w:pPr>
        <w:pStyle w:val="ac"/>
        <w:widowControl w:val="0"/>
        <w:numPr>
          <w:ilvl w:val="0"/>
          <w:numId w:val="151"/>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сприяння економії усіх видів ресурсів та поліпшення економічних показників виробництва держав</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4"/>
          <w:sz w:val="20"/>
          <w:szCs w:val="20"/>
        </w:rPr>
        <w:t xml:space="preserve"> </w:t>
      </w:r>
      <w:r w:rsidRPr="000977F7">
        <w:rPr>
          <w:rFonts w:asciiTheme="majorHAnsi" w:hAnsiTheme="majorHAnsi"/>
          <w:sz w:val="20"/>
          <w:szCs w:val="20"/>
        </w:rPr>
        <w:t>учасників</w:t>
      </w:r>
      <w:r w:rsidRPr="000977F7">
        <w:rPr>
          <w:rFonts w:asciiTheme="majorHAnsi" w:hAnsiTheme="majorHAnsi"/>
          <w:spacing w:val="-1"/>
          <w:sz w:val="20"/>
          <w:szCs w:val="20"/>
        </w:rPr>
        <w:t xml:space="preserve"> </w:t>
      </w:r>
      <w:r w:rsidRPr="000977F7">
        <w:rPr>
          <w:rFonts w:asciiTheme="majorHAnsi" w:hAnsiTheme="majorHAnsi"/>
          <w:sz w:val="20"/>
          <w:szCs w:val="20"/>
        </w:rPr>
        <w:t>Угоди;</w:t>
      </w:r>
    </w:p>
    <w:p w14:paraId="12217518" w14:textId="77777777" w:rsidR="0097612F" w:rsidRPr="000977F7" w:rsidRDefault="0097612F" w:rsidP="00FD39A4">
      <w:pPr>
        <w:pStyle w:val="ac"/>
        <w:widowControl w:val="0"/>
        <w:numPr>
          <w:ilvl w:val="0"/>
          <w:numId w:val="151"/>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усунення технічних бар’єрів у виробництві і торгівлі, сприяння підвищенню конкурентоспроможності продукції держав – учасників Угоди на світових товарних ринках і ефективній участі держав у міждержавному і міжнародному розподілі</w:t>
      </w:r>
      <w:r w:rsidRPr="000977F7">
        <w:rPr>
          <w:rFonts w:asciiTheme="majorHAnsi" w:hAnsiTheme="majorHAnsi"/>
          <w:spacing w:val="1"/>
          <w:sz w:val="20"/>
          <w:szCs w:val="20"/>
        </w:rPr>
        <w:t xml:space="preserve"> </w:t>
      </w:r>
      <w:r w:rsidRPr="000977F7">
        <w:rPr>
          <w:rFonts w:asciiTheme="majorHAnsi" w:hAnsiTheme="majorHAnsi"/>
          <w:sz w:val="20"/>
          <w:szCs w:val="20"/>
        </w:rPr>
        <w:t>праці;</w:t>
      </w:r>
    </w:p>
    <w:p w14:paraId="2895E147" w14:textId="77777777" w:rsidR="0097612F" w:rsidRPr="000977F7" w:rsidRDefault="0097612F" w:rsidP="00FD39A4">
      <w:pPr>
        <w:pStyle w:val="ac"/>
        <w:widowControl w:val="0"/>
        <w:numPr>
          <w:ilvl w:val="0"/>
          <w:numId w:val="151"/>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сприяння</w:t>
      </w:r>
      <w:r w:rsidRPr="000977F7">
        <w:rPr>
          <w:rFonts w:asciiTheme="majorHAnsi" w:hAnsiTheme="majorHAnsi"/>
          <w:spacing w:val="1"/>
          <w:sz w:val="20"/>
          <w:szCs w:val="20"/>
        </w:rPr>
        <w:t xml:space="preserve"> </w:t>
      </w:r>
      <w:r w:rsidRPr="000977F7">
        <w:rPr>
          <w:rFonts w:asciiTheme="majorHAnsi" w:hAnsiTheme="majorHAnsi"/>
          <w:sz w:val="20"/>
          <w:szCs w:val="20"/>
        </w:rPr>
        <w:t>підвищенню</w:t>
      </w:r>
      <w:r w:rsidRPr="000977F7">
        <w:rPr>
          <w:rFonts w:asciiTheme="majorHAnsi" w:hAnsiTheme="majorHAnsi"/>
          <w:spacing w:val="1"/>
          <w:sz w:val="20"/>
          <w:szCs w:val="20"/>
        </w:rPr>
        <w:t xml:space="preserve"> </w:t>
      </w:r>
      <w:r w:rsidRPr="000977F7">
        <w:rPr>
          <w:rFonts w:asciiTheme="majorHAnsi" w:hAnsiTheme="majorHAnsi"/>
          <w:sz w:val="20"/>
          <w:szCs w:val="20"/>
        </w:rPr>
        <w:t>безпеки</w:t>
      </w:r>
      <w:r w:rsidRPr="000977F7">
        <w:rPr>
          <w:rFonts w:asciiTheme="majorHAnsi" w:hAnsiTheme="majorHAnsi"/>
          <w:spacing w:val="1"/>
          <w:sz w:val="20"/>
          <w:szCs w:val="20"/>
        </w:rPr>
        <w:t xml:space="preserve"> </w:t>
      </w:r>
      <w:r w:rsidRPr="000977F7">
        <w:rPr>
          <w:rFonts w:asciiTheme="majorHAnsi" w:hAnsiTheme="majorHAnsi"/>
          <w:sz w:val="20"/>
          <w:szCs w:val="20"/>
        </w:rPr>
        <w:t>господарських</w:t>
      </w:r>
      <w:r w:rsidRPr="000977F7">
        <w:rPr>
          <w:rFonts w:asciiTheme="majorHAnsi" w:hAnsiTheme="majorHAnsi"/>
          <w:spacing w:val="1"/>
          <w:sz w:val="20"/>
          <w:szCs w:val="20"/>
        </w:rPr>
        <w:t xml:space="preserve"> </w:t>
      </w:r>
      <w:r w:rsidRPr="000977F7">
        <w:rPr>
          <w:rFonts w:asciiTheme="majorHAnsi" w:hAnsiTheme="majorHAnsi"/>
          <w:sz w:val="20"/>
          <w:szCs w:val="20"/>
        </w:rPr>
        <w:t>об’єктів держав – учасників Угоди при виникненні природних та техногенних катастроф та інших</w:t>
      </w:r>
      <w:r w:rsidRPr="000977F7">
        <w:rPr>
          <w:rFonts w:asciiTheme="majorHAnsi" w:hAnsiTheme="majorHAnsi"/>
          <w:spacing w:val="1"/>
          <w:sz w:val="20"/>
          <w:szCs w:val="20"/>
        </w:rPr>
        <w:t xml:space="preserve"> </w:t>
      </w:r>
      <w:r w:rsidRPr="000977F7">
        <w:rPr>
          <w:rFonts w:asciiTheme="majorHAnsi" w:hAnsiTheme="majorHAnsi"/>
          <w:sz w:val="20"/>
          <w:szCs w:val="20"/>
        </w:rPr>
        <w:t>надзвичайних</w:t>
      </w:r>
      <w:r w:rsidRPr="000977F7">
        <w:rPr>
          <w:rFonts w:asciiTheme="majorHAnsi" w:hAnsiTheme="majorHAnsi"/>
          <w:spacing w:val="-2"/>
          <w:sz w:val="20"/>
          <w:szCs w:val="20"/>
        </w:rPr>
        <w:t xml:space="preserve"> </w:t>
      </w:r>
      <w:r w:rsidRPr="000977F7">
        <w:rPr>
          <w:rFonts w:asciiTheme="majorHAnsi" w:hAnsiTheme="majorHAnsi"/>
          <w:sz w:val="20"/>
          <w:szCs w:val="20"/>
        </w:rPr>
        <w:t>ситуацій</w:t>
      </w:r>
    </w:p>
    <w:p w14:paraId="18F0262E"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sz w:val="20"/>
          <w:szCs w:val="20"/>
        </w:rPr>
        <w:t>МЕТА</w:t>
      </w:r>
      <w:r w:rsidRPr="000977F7">
        <w:rPr>
          <w:rFonts w:asciiTheme="majorHAnsi" w:hAnsiTheme="majorHAnsi"/>
          <w:b/>
          <w:bCs/>
          <w:spacing w:val="-4"/>
          <w:sz w:val="20"/>
          <w:szCs w:val="20"/>
        </w:rPr>
        <w:t xml:space="preserve"> </w:t>
      </w:r>
      <w:r w:rsidRPr="000977F7">
        <w:rPr>
          <w:rFonts w:asciiTheme="majorHAnsi" w:hAnsiTheme="majorHAnsi"/>
          <w:b/>
          <w:bCs/>
          <w:sz w:val="20"/>
          <w:szCs w:val="20"/>
        </w:rPr>
        <w:t>СТАНДАРТИЗАЦІЇ</w:t>
      </w:r>
      <w:r w:rsidRPr="000977F7">
        <w:rPr>
          <w:rFonts w:asciiTheme="majorHAnsi" w:hAnsiTheme="majorHAnsi"/>
          <w:b/>
          <w:bCs/>
          <w:spacing w:val="-2"/>
          <w:sz w:val="20"/>
          <w:szCs w:val="20"/>
        </w:rPr>
        <w:t xml:space="preserve"> </w:t>
      </w:r>
      <w:r w:rsidRPr="000977F7">
        <w:rPr>
          <w:rFonts w:asciiTheme="majorHAnsi" w:hAnsiTheme="majorHAnsi"/>
          <w:b/>
          <w:bCs/>
          <w:sz w:val="20"/>
          <w:szCs w:val="20"/>
        </w:rPr>
        <w:t>–</w:t>
      </w:r>
    </w:p>
    <w:p w14:paraId="4FF56DD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Метою</w:t>
      </w:r>
      <w:r w:rsidRPr="000977F7">
        <w:rPr>
          <w:rFonts w:asciiTheme="majorHAnsi" w:hAnsiTheme="majorHAnsi"/>
          <w:spacing w:val="-3"/>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3"/>
          <w:sz w:val="20"/>
          <w:szCs w:val="20"/>
        </w:rPr>
        <w:t xml:space="preserve"> </w:t>
      </w:r>
      <w:r w:rsidRPr="000977F7">
        <w:rPr>
          <w:rFonts w:asciiTheme="majorHAnsi" w:hAnsiTheme="majorHAnsi"/>
          <w:sz w:val="20"/>
          <w:szCs w:val="20"/>
        </w:rPr>
        <w:t>в</w:t>
      </w:r>
      <w:r w:rsidRPr="000977F7">
        <w:rPr>
          <w:rFonts w:asciiTheme="majorHAnsi" w:hAnsiTheme="majorHAnsi"/>
          <w:spacing w:val="-3"/>
          <w:sz w:val="20"/>
          <w:szCs w:val="20"/>
        </w:rPr>
        <w:t xml:space="preserve"> </w:t>
      </w:r>
      <w:r w:rsidRPr="000977F7">
        <w:rPr>
          <w:rFonts w:asciiTheme="majorHAnsi" w:hAnsiTheme="majorHAnsi"/>
          <w:sz w:val="20"/>
          <w:szCs w:val="20"/>
        </w:rPr>
        <w:t>Україні</w:t>
      </w:r>
      <w:r w:rsidRPr="000977F7">
        <w:rPr>
          <w:rFonts w:asciiTheme="majorHAnsi" w:hAnsiTheme="majorHAnsi"/>
          <w:spacing w:val="-3"/>
          <w:sz w:val="20"/>
          <w:szCs w:val="20"/>
        </w:rPr>
        <w:t xml:space="preserve"> </w:t>
      </w:r>
      <w:r w:rsidRPr="000977F7">
        <w:rPr>
          <w:rFonts w:asciiTheme="majorHAnsi" w:hAnsiTheme="majorHAnsi"/>
          <w:sz w:val="20"/>
          <w:szCs w:val="20"/>
        </w:rPr>
        <w:t>є:</w:t>
      </w:r>
    </w:p>
    <w:p w14:paraId="158343EC" w14:textId="77777777" w:rsidR="0097612F" w:rsidRPr="000977F7" w:rsidRDefault="0097612F" w:rsidP="00FD39A4">
      <w:pPr>
        <w:pStyle w:val="ac"/>
        <w:widowControl w:val="0"/>
        <w:numPr>
          <w:ilvl w:val="1"/>
          <w:numId w:val="152"/>
        </w:numPr>
        <w:tabs>
          <w:tab w:val="left" w:pos="284"/>
          <w:tab w:val="left" w:pos="72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забезпечення</w:t>
      </w:r>
      <w:r w:rsidRPr="000977F7">
        <w:rPr>
          <w:rFonts w:asciiTheme="majorHAnsi" w:hAnsiTheme="majorHAnsi"/>
          <w:spacing w:val="7"/>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5"/>
          <w:sz w:val="20"/>
          <w:szCs w:val="20"/>
        </w:rPr>
        <w:t xml:space="preserve"> </w:t>
      </w:r>
      <w:r w:rsidRPr="000977F7">
        <w:rPr>
          <w:rFonts w:asciiTheme="majorHAnsi" w:hAnsiTheme="majorHAnsi"/>
          <w:sz w:val="20"/>
          <w:szCs w:val="20"/>
        </w:rPr>
        <w:t>об’єктів</w:t>
      </w:r>
      <w:r w:rsidRPr="000977F7">
        <w:rPr>
          <w:rFonts w:asciiTheme="majorHAnsi" w:hAnsiTheme="majorHAnsi"/>
          <w:spacing w:val="4"/>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47"/>
          <w:sz w:val="20"/>
          <w:szCs w:val="20"/>
        </w:rPr>
        <w:t xml:space="preserve"> </w:t>
      </w:r>
      <w:r w:rsidRPr="000977F7">
        <w:rPr>
          <w:rFonts w:asciiTheme="majorHAnsi" w:hAnsiTheme="majorHAnsi"/>
          <w:sz w:val="20"/>
          <w:szCs w:val="20"/>
        </w:rPr>
        <w:t>своєму</w:t>
      </w:r>
      <w:r w:rsidRPr="000977F7">
        <w:rPr>
          <w:rFonts w:asciiTheme="majorHAnsi" w:hAnsiTheme="majorHAnsi"/>
          <w:spacing w:val="-2"/>
          <w:sz w:val="20"/>
          <w:szCs w:val="20"/>
        </w:rPr>
        <w:t xml:space="preserve"> </w:t>
      </w:r>
      <w:r w:rsidRPr="000977F7">
        <w:rPr>
          <w:rFonts w:asciiTheme="majorHAnsi" w:hAnsiTheme="majorHAnsi"/>
          <w:sz w:val="20"/>
          <w:szCs w:val="20"/>
        </w:rPr>
        <w:t>призначенню;</w:t>
      </w:r>
    </w:p>
    <w:p w14:paraId="67D16968" w14:textId="77777777" w:rsidR="0097612F" w:rsidRPr="000977F7" w:rsidRDefault="0097612F" w:rsidP="00FD39A4">
      <w:pPr>
        <w:pStyle w:val="ac"/>
        <w:widowControl w:val="0"/>
        <w:numPr>
          <w:ilvl w:val="1"/>
          <w:numId w:val="152"/>
        </w:numPr>
        <w:tabs>
          <w:tab w:val="left" w:pos="284"/>
          <w:tab w:val="left" w:pos="76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керування</w:t>
      </w:r>
      <w:r w:rsidRPr="000977F7">
        <w:rPr>
          <w:rFonts w:asciiTheme="majorHAnsi" w:hAnsiTheme="majorHAnsi"/>
          <w:spacing w:val="1"/>
          <w:sz w:val="20"/>
          <w:szCs w:val="20"/>
        </w:rPr>
        <w:t xml:space="preserve"> </w:t>
      </w:r>
      <w:r w:rsidRPr="000977F7">
        <w:rPr>
          <w:rFonts w:asciiTheme="majorHAnsi" w:hAnsiTheme="majorHAnsi"/>
          <w:sz w:val="20"/>
          <w:szCs w:val="20"/>
        </w:rPr>
        <w:t>різноманітністю,</w:t>
      </w:r>
      <w:r w:rsidRPr="000977F7">
        <w:rPr>
          <w:rFonts w:asciiTheme="majorHAnsi" w:hAnsiTheme="majorHAnsi"/>
          <w:spacing w:val="1"/>
          <w:sz w:val="20"/>
          <w:szCs w:val="20"/>
        </w:rPr>
        <w:t xml:space="preserve"> </w:t>
      </w:r>
      <w:r w:rsidRPr="000977F7">
        <w:rPr>
          <w:rFonts w:asciiTheme="majorHAnsi" w:hAnsiTheme="majorHAnsi"/>
          <w:sz w:val="20"/>
          <w:szCs w:val="20"/>
        </w:rPr>
        <w:t>застосовність,</w:t>
      </w:r>
      <w:r w:rsidRPr="000977F7">
        <w:rPr>
          <w:rFonts w:asciiTheme="majorHAnsi" w:hAnsiTheme="majorHAnsi"/>
          <w:spacing w:val="1"/>
          <w:sz w:val="20"/>
          <w:szCs w:val="20"/>
        </w:rPr>
        <w:t xml:space="preserve"> </w:t>
      </w:r>
      <w:r w:rsidRPr="000977F7">
        <w:rPr>
          <w:rFonts w:asciiTheme="majorHAnsi" w:hAnsiTheme="majorHAnsi"/>
          <w:sz w:val="20"/>
          <w:szCs w:val="20"/>
        </w:rPr>
        <w:t>сумісність,</w:t>
      </w:r>
      <w:r w:rsidRPr="000977F7">
        <w:rPr>
          <w:rFonts w:asciiTheme="majorHAnsi" w:hAnsiTheme="majorHAnsi"/>
          <w:spacing w:val="-2"/>
          <w:sz w:val="20"/>
          <w:szCs w:val="20"/>
        </w:rPr>
        <w:t xml:space="preserve"> </w:t>
      </w:r>
      <w:r w:rsidRPr="000977F7">
        <w:rPr>
          <w:rFonts w:asciiTheme="majorHAnsi" w:hAnsiTheme="majorHAnsi"/>
          <w:sz w:val="20"/>
          <w:szCs w:val="20"/>
        </w:rPr>
        <w:t>взаємозамінність</w:t>
      </w:r>
      <w:r w:rsidRPr="000977F7">
        <w:rPr>
          <w:rFonts w:asciiTheme="majorHAnsi" w:hAnsiTheme="majorHAnsi"/>
          <w:spacing w:val="-1"/>
          <w:sz w:val="20"/>
          <w:szCs w:val="20"/>
        </w:rPr>
        <w:t xml:space="preserve"> </w:t>
      </w:r>
      <w:r w:rsidRPr="000977F7">
        <w:rPr>
          <w:rFonts w:asciiTheme="majorHAnsi" w:hAnsiTheme="majorHAnsi"/>
          <w:sz w:val="20"/>
          <w:szCs w:val="20"/>
        </w:rPr>
        <w:t>об’єктів</w:t>
      </w:r>
      <w:r w:rsidRPr="000977F7">
        <w:rPr>
          <w:rFonts w:asciiTheme="majorHAnsi" w:hAnsiTheme="majorHAnsi"/>
          <w:spacing w:val="-3"/>
          <w:sz w:val="20"/>
          <w:szCs w:val="20"/>
        </w:rPr>
        <w:t xml:space="preserve"> </w:t>
      </w:r>
      <w:r w:rsidRPr="000977F7">
        <w:rPr>
          <w:rFonts w:asciiTheme="majorHAnsi" w:hAnsiTheme="majorHAnsi"/>
          <w:sz w:val="20"/>
          <w:szCs w:val="20"/>
        </w:rPr>
        <w:t>стандартизації;</w:t>
      </w:r>
    </w:p>
    <w:p w14:paraId="67C5AF38" w14:textId="77777777" w:rsidR="0097612F" w:rsidRPr="000977F7" w:rsidRDefault="0097612F" w:rsidP="00FD39A4">
      <w:pPr>
        <w:pStyle w:val="ac"/>
        <w:widowControl w:val="0"/>
        <w:numPr>
          <w:ilvl w:val="1"/>
          <w:numId w:val="152"/>
        </w:numPr>
        <w:tabs>
          <w:tab w:val="left" w:pos="284"/>
          <w:tab w:val="left" w:pos="74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забезпечення</w:t>
      </w:r>
      <w:r w:rsidRPr="000977F7">
        <w:rPr>
          <w:rFonts w:asciiTheme="majorHAnsi" w:hAnsiTheme="majorHAnsi"/>
          <w:spacing w:val="27"/>
          <w:sz w:val="20"/>
          <w:szCs w:val="20"/>
        </w:rPr>
        <w:t xml:space="preserve"> </w:t>
      </w:r>
      <w:r w:rsidRPr="000977F7">
        <w:rPr>
          <w:rFonts w:asciiTheme="majorHAnsi" w:hAnsiTheme="majorHAnsi"/>
          <w:sz w:val="20"/>
          <w:szCs w:val="20"/>
        </w:rPr>
        <w:t>раціонального</w:t>
      </w:r>
      <w:r w:rsidRPr="000977F7">
        <w:rPr>
          <w:rFonts w:asciiTheme="majorHAnsi" w:hAnsiTheme="majorHAnsi"/>
          <w:spacing w:val="28"/>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27"/>
          <w:sz w:val="20"/>
          <w:szCs w:val="20"/>
        </w:rPr>
        <w:t xml:space="preserve"> </w:t>
      </w:r>
      <w:r w:rsidRPr="000977F7">
        <w:rPr>
          <w:rFonts w:asciiTheme="majorHAnsi" w:hAnsiTheme="majorHAnsi"/>
          <w:sz w:val="20"/>
          <w:szCs w:val="20"/>
        </w:rPr>
        <w:t>шляхом</w:t>
      </w:r>
      <w:r w:rsidRPr="000977F7">
        <w:rPr>
          <w:rFonts w:asciiTheme="majorHAnsi" w:hAnsiTheme="majorHAnsi"/>
          <w:spacing w:val="-47"/>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4"/>
          <w:sz w:val="20"/>
          <w:szCs w:val="20"/>
        </w:rPr>
        <w:t xml:space="preserve"> </w:t>
      </w:r>
      <w:r w:rsidRPr="000977F7">
        <w:rPr>
          <w:rFonts w:asciiTheme="majorHAnsi" w:hAnsiTheme="majorHAnsi"/>
          <w:sz w:val="20"/>
          <w:szCs w:val="20"/>
        </w:rPr>
        <w:t>визнаних</w:t>
      </w:r>
      <w:r w:rsidRPr="000977F7">
        <w:rPr>
          <w:rFonts w:asciiTheme="majorHAnsi" w:hAnsiTheme="majorHAnsi"/>
          <w:spacing w:val="-3"/>
          <w:sz w:val="20"/>
          <w:szCs w:val="20"/>
        </w:rPr>
        <w:t xml:space="preserve"> </w:t>
      </w:r>
      <w:r w:rsidRPr="000977F7">
        <w:rPr>
          <w:rFonts w:asciiTheme="majorHAnsi" w:hAnsiTheme="majorHAnsi"/>
          <w:sz w:val="20"/>
          <w:szCs w:val="20"/>
        </w:rPr>
        <w:t>правил,</w:t>
      </w:r>
      <w:r w:rsidRPr="000977F7">
        <w:rPr>
          <w:rFonts w:asciiTheme="majorHAnsi" w:hAnsiTheme="majorHAnsi"/>
          <w:spacing w:val="-3"/>
          <w:sz w:val="20"/>
          <w:szCs w:val="20"/>
        </w:rPr>
        <w:t xml:space="preserve"> </w:t>
      </w:r>
      <w:r w:rsidRPr="000977F7">
        <w:rPr>
          <w:rFonts w:asciiTheme="majorHAnsi" w:hAnsiTheme="majorHAnsi"/>
          <w:sz w:val="20"/>
          <w:szCs w:val="20"/>
        </w:rPr>
        <w:t>настанов</w:t>
      </w:r>
      <w:r w:rsidRPr="000977F7">
        <w:rPr>
          <w:rFonts w:asciiTheme="majorHAnsi" w:hAnsiTheme="majorHAnsi"/>
          <w:spacing w:val="-3"/>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процедур;</w:t>
      </w:r>
    </w:p>
    <w:p w14:paraId="25DFDB86" w14:textId="77777777" w:rsidR="0097612F" w:rsidRPr="000977F7" w:rsidRDefault="0097612F" w:rsidP="00FD39A4">
      <w:pPr>
        <w:pStyle w:val="ac"/>
        <w:widowControl w:val="0"/>
        <w:numPr>
          <w:ilvl w:val="1"/>
          <w:numId w:val="152"/>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забезпечення</w:t>
      </w:r>
      <w:r w:rsidRPr="000977F7">
        <w:rPr>
          <w:rFonts w:asciiTheme="majorHAnsi" w:hAnsiTheme="majorHAnsi"/>
          <w:spacing w:val="-4"/>
          <w:sz w:val="20"/>
          <w:szCs w:val="20"/>
        </w:rPr>
        <w:t xml:space="preserve"> </w:t>
      </w:r>
      <w:r w:rsidRPr="000977F7">
        <w:rPr>
          <w:rFonts w:asciiTheme="majorHAnsi" w:hAnsiTheme="majorHAnsi"/>
          <w:sz w:val="20"/>
          <w:szCs w:val="20"/>
        </w:rPr>
        <w:t>охорони</w:t>
      </w:r>
      <w:r w:rsidRPr="000977F7">
        <w:rPr>
          <w:rFonts w:asciiTheme="majorHAnsi" w:hAnsiTheme="majorHAnsi"/>
          <w:spacing w:val="-4"/>
          <w:sz w:val="20"/>
          <w:szCs w:val="20"/>
        </w:rPr>
        <w:t xml:space="preserve"> </w:t>
      </w:r>
      <w:r w:rsidRPr="000977F7">
        <w:rPr>
          <w:rFonts w:asciiTheme="majorHAnsi" w:hAnsiTheme="majorHAnsi"/>
          <w:sz w:val="20"/>
          <w:szCs w:val="20"/>
        </w:rPr>
        <w:t>життя</w:t>
      </w:r>
      <w:r w:rsidRPr="000977F7">
        <w:rPr>
          <w:rFonts w:asciiTheme="majorHAnsi" w:hAnsiTheme="majorHAnsi"/>
          <w:spacing w:val="-3"/>
          <w:sz w:val="20"/>
          <w:szCs w:val="20"/>
        </w:rPr>
        <w:t xml:space="preserve"> </w:t>
      </w:r>
      <w:r w:rsidRPr="000977F7">
        <w:rPr>
          <w:rFonts w:asciiTheme="majorHAnsi" w:hAnsiTheme="majorHAnsi"/>
          <w:sz w:val="20"/>
          <w:szCs w:val="20"/>
        </w:rPr>
        <w:t>та</w:t>
      </w:r>
      <w:r w:rsidRPr="000977F7">
        <w:rPr>
          <w:rFonts w:asciiTheme="majorHAnsi" w:hAnsiTheme="majorHAnsi"/>
          <w:spacing w:val="-4"/>
          <w:sz w:val="20"/>
          <w:szCs w:val="20"/>
        </w:rPr>
        <w:t xml:space="preserve"> </w:t>
      </w:r>
      <w:r w:rsidRPr="000977F7">
        <w:rPr>
          <w:rFonts w:asciiTheme="majorHAnsi" w:hAnsiTheme="majorHAnsi"/>
          <w:sz w:val="20"/>
          <w:szCs w:val="20"/>
        </w:rPr>
        <w:t>здоров’я;</w:t>
      </w:r>
    </w:p>
    <w:p w14:paraId="17F577E7" w14:textId="77777777" w:rsidR="0097612F" w:rsidRPr="000977F7" w:rsidRDefault="0097612F" w:rsidP="00FD39A4">
      <w:pPr>
        <w:pStyle w:val="ac"/>
        <w:widowControl w:val="0"/>
        <w:numPr>
          <w:ilvl w:val="1"/>
          <w:numId w:val="152"/>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забезпечення</w:t>
      </w:r>
      <w:r w:rsidRPr="000977F7">
        <w:rPr>
          <w:rFonts w:asciiTheme="majorHAnsi" w:hAnsiTheme="majorHAnsi"/>
          <w:spacing w:val="-2"/>
          <w:sz w:val="20"/>
          <w:szCs w:val="20"/>
        </w:rPr>
        <w:t xml:space="preserve"> </w:t>
      </w:r>
      <w:r w:rsidRPr="000977F7">
        <w:rPr>
          <w:rFonts w:asciiTheme="majorHAnsi" w:hAnsiTheme="majorHAnsi"/>
          <w:sz w:val="20"/>
          <w:szCs w:val="20"/>
        </w:rPr>
        <w:t>прав</w:t>
      </w:r>
      <w:r w:rsidRPr="000977F7">
        <w:rPr>
          <w:rFonts w:asciiTheme="majorHAnsi" w:hAnsiTheme="majorHAnsi"/>
          <w:spacing w:val="-5"/>
          <w:sz w:val="20"/>
          <w:szCs w:val="20"/>
        </w:rPr>
        <w:t xml:space="preserve"> </w:t>
      </w:r>
      <w:r w:rsidRPr="000977F7">
        <w:rPr>
          <w:rFonts w:asciiTheme="majorHAnsi" w:hAnsiTheme="majorHAnsi"/>
          <w:sz w:val="20"/>
          <w:szCs w:val="20"/>
        </w:rPr>
        <w:t>та</w:t>
      </w:r>
      <w:r w:rsidRPr="000977F7">
        <w:rPr>
          <w:rFonts w:asciiTheme="majorHAnsi" w:hAnsiTheme="majorHAnsi"/>
          <w:spacing w:val="-4"/>
          <w:sz w:val="20"/>
          <w:szCs w:val="20"/>
        </w:rPr>
        <w:t xml:space="preserve"> </w:t>
      </w:r>
      <w:r w:rsidRPr="000977F7">
        <w:rPr>
          <w:rFonts w:asciiTheme="majorHAnsi" w:hAnsiTheme="majorHAnsi"/>
          <w:sz w:val="20"/>
          <w:szCs w:val="20"/>
        </w:rPr>
        <w:t>інтересів</w:t>
      </w:r>
      <w:r w:rsidRPr="000977F7">
        <w:rPr>
          <w:rFonts w:asciiTheme="majorHAnsi" w:hAnsiTheme="majorHAnsi"/>
          <w:spacing w:val="-4"/>
          <w:sz w:val="20"/>
          <w:szCs w:val="20"/>
        </w:rPr>
        <w:t xml:space="preserve"> </w:t>
      </w:r>
      <w:r w:rsidRPr="000977F7">
        <w:rPr>
          <w:rFonts w:asciiTheme="majorHAnsi" w:hAnsiTheme="majorHAnsi"/>
          <w:sz w:val="20"/>
          <w:szCs w:val="20"/>
        </w:rPr>
        <w:t>споживачів;</w:t>
      </w:r>
    </w:p>
    <w:p w14:paraId="3F0592B0" w14:textId="77777777" w:rsidR="0097612F" w:rsidRPr="000977F7" w:rsidRDefault="0097612F" w:rsidP="00FD39A4">
      <w:pPr>
        <w:pStyle w:val="ac"/>
        <w:widowControl w:val="0"/>
        <w:numPr>
          <w:ilvl w:val="1"/>
          <w:numId w:val="152"/>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забезпечення</w:t>
      </w:r>
      <w:r w:rsidRPr="000977F7">
        <w:rPr>
          <w:rFonts w:asciiTheme="majorHAnsi" w:hAnsiTheme="majorHAnsi"/>
          <w:spacing w:val="-3"/>
          <w:sz w:val="20"/>
          <w:szCs w:val="20"/>
        </w:rPr>
        <w:t xml:space="preserve"> </w:t>
      </w:r>
      <w:r w:rsidRPr="000977F7">
        <w:rPr>
          <w:rFonts w:asciiTheme="majorHAnsi" w:hAnsiTheme="majorHAnsi"/>
          <w:sz w:val="20"/>
          <w:szCs w:val="20"/>
        </w:rPr>
        <w:t>безпечності</w:t>
      </w:r>
      <w:r w:rsidRPr="000977F7">
        <w:rPr>
          <w:rFonts w:asciiTheme="majorHAnsi" w:hAnsiTheme="majorHAnsi"/>
          <w:spacing w:val="-3"/>
          <w:sz w:val="20"/>
          <w:szCs w:val="20"/>
        </w:rPr>
        <w:t xml:space="preserve"> </w:t>
      </w:r>
      <w:r w:rsidRPr="000977F7">
        <w:rPr>
          <w:rFonts w:asciiTheme="majorHAnsi" w:hAnsiTheme="majorHAnsi"/>
          <w:sz w:val="20"/>
          <w:szCs w:val="20"/>
        </w:rPr>
        <w:t>праці;</w:t>
      </w:r>
    </w:p>
    <w:p w14:paraId="53D94580" w14:textId="77777777" w:rsidR="0097612F" w:rsidRPr="000977F7" w:rsidRDefault="0097612F" w:rsidP="00FD39A4">
      <w:pPr>
        <w:pStyle w:val="ac"/>
        <w:widowControl w:val="0"/>
        <w:numPr>
          <w:ilvl w:val="1"/>
          <w:numId w:val="152"/>
        </w:numPr>
        <w:tabs>
          <w:tab w:val="left" w:pos="284"/>
          <w:tab w:val="left" w:pos="73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збереження</w:t>
      </w:r>
      <w:r w:rsidRPr="000977F7">
        <w:rPr>
          <w:rFonts w:asciiTheme="majorHAnsi" w:hAnsiTheme="majorHAnsi"/>
          <w:spacing w:val="19"/>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21"/>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21"/>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економія</w:t>
      </w:r>
      <w:r w:rsidRPr="000977F7">
        <w:rPr>
          <w:rFonts w:asciiTheme="majorHAnsi" w:hAnsiTheme="majorHAnsi"/>
          <w:spacing w:val="-1"/>
          <w:sz w:val="20"/>
          <w:szCs w:val="20"/>
        </w:rPr>
        <w:t xml:space="preserve"> </w:t>
      </w:r>
      <w:r w:rsidRPr="000977F7">
        <w:rPr>
          <w:rFonts w:asciiTheme="majorHAnsi" w:hAnsiTheme="majorHAnsi"/>
          <w:sz w:val="20"/>
          <w:szCs w:val="20"/>
        </w:rPr>
        <w:t>всіх</w:t>
      </w:r>
      <w:r w:rsidRPr="000977F7">
        <w:rPr>
          <w:rFonts w:asciiTheme="majorHAnsi" w:hAnsiTheme="majorHAnsi"/>
          <w:spacing w:val="-2"/>
          <w:sz w:val="20"/>
          <w:szCs w:val="20"/>
        </w:rPr>
        <w:t xml:space="preserve"> </w:t>
      </w:r>
      <w:r w:rsidRPr="000977F7">
        <w:rPr>
          <w:rFonts w:asciiTheme="majorHAnsi" w:hAnsiTheme="majorHAnsi"/>
          <w:sz w:val="20"/>
          <w:szCs w:val="20"/>
        </w:rPr>
        <w:t>видів</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p>
    <w:p w14:paraId="514C17FD" w14:textId="77777777" w:rsidR="0097612F" w:rsidRPr="000977F7" w:rsidRDefault="0097612F" w:rsidP="00FD39A4">
      <w:pPr>
        <w:pStyle w:val="ac"/>
        <w:widowControl w:val="0"/>
        <w:numPr>
          <w:ilvl w:val="1"/>
          <w:numId w:val="152"/>
        </w:numPr>
        <w:tabs>
          <w:tab w:val="left" w:pos="284"/>
          <w:tab w:val="left" w:pos="74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усунення технічних бар’єрів у торгівлі та запобігання їх виникненню, підтримка розвитку і міжнародної</w:t>
      </w:r>
      <w:r w:rsidRPr="000977F7">
        <w:rPr>
          <w:rFonts w:asciiTheme="majorHAnsi" w:hAnsiTheme="majorHAnsi"/>
          <w:spacing w:val="-2"/>
          <w:sz w:val="20"/>
          <w:szCs w:val="20"/>
        </w:rPr>
        <w:t xml:space="preserve"> </w:t>
      </w:r>
      <w:r w:rsidRPr="000977F7">
        <w:rPr>
          <w:rFonts w:asciiTheme="majorHAnsi" w:hAnsiTheme="majorHAnsi"/>
          <w:sz w:val="20"/>
          <w:szCs w:val="20"/>
        </w:rPr>
        <w:t>конкурентоспроможності</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6F41329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Ч.</w:t>
      </w:r>
      <w:r w:rsidRPr="000977F7">
        <w:rPr>
          <w:rFonts w:asciiTheme="majorHAnsi" w:hAnsiTheme="majorHAnsi"/>
          <w:i/>
          <w:spacing w:val="-2"/>
          <w:sz w:val="20"/>
          <w:szCs w:val="20"/>
        </w:rPr>
        <w:t xml:space="preserve"> </w:t>
      </w:r>
      <w:r w:rsidRPr="000977F7">
        <w:rPr>
          <w:rFonts w:asciiTheme="majorHAnsi" w:hAnsiTheme="majorHAnsi"/>
          <w:i/>
          <w:sz w:val="20"/>
          <w:szCs w:val="20"/>
        </w:rPr>
        <w:t>1</w:t>
      </w:r>
      <w:r w:rsidRPr="000977F7">
        <w:rPr>
          <w:rFonts w:asciiTheme="majorHAnsi" w:hAnsiTheme="majorHAnsi"/>
          <w:i/>
          <w:spacing w:val="-1"/>
          <w:sz w:val="20"/>
          <w:szCs w:val="20"/>
        </w:rPr>
        <w:t xml:space="preserve"> </w:t>
      </w:r>
      <w:r w:rsidRPr="000977F7">
        <w:rPr>
          <w:rFonts w:asciiTheme="majorHAnsi" w:hAnsiTheme="majorHAnsi"/>
          <w:i/>
          <w:sz w:val="20"/>
          <w:szCs w:val="20"/>
        </w:rPr>
        <w:t>ст.</w:t>
      </w:r>
      <w:r w:rsidRPr="000977F7">
        <w:rPr>
          <w:rFonts w:asciiTheme="majorHAnsi" w:hAnsiTheme="majorHAnsi"/>
          <w:i/>
          <w:spacing w:val="-1"/>
          <w:sz w:val="20"/>
          <w:szCs w:val="20"/>
        </w:rPr>
        <w:t xml:space="preserve"> </w:t>
      </w:r>
      <w:r w:rsidRPr="000977F7">
        <w:rPr>
          <w:rFonts w:asciiTheme="majorHAnsi" w:hAnsiTheme="majorHAnsi"/>
          <w:i/>
          <w:sz w:val="20"/>
          <w:szCs w:val="20"/>
        </w:rPr>
        <w:t>4</w:t>
      </w:r>
      <w:r w:rsidRPr="000977F7">
        <w:rPr>
          <w:rFonts w:asciiTheme="majorHAnsi" w:hAnsiTheme="majorHAnsi"/>
          <w:i/>
          <w:spacing w:val="-1"/>
          <w:sz w:val="20"/>
          <w:szCs w:val="20"/>
        </w:rPr>
        <w:t xml:space="preserve"> </w:t>
      </w:r>
      <w:r w:rsidRPr="000977F7">
        <w:rPr>
          <w:rFonts w:asciiTheme="majorHAnsi" w:hAnsiTheme="majorHAnsi"/>
          <w:i/>
          <w:sz w:val="20"/>
          <w:szCs w:val="20"/>
        </w:rPr>
        <w:t>закону</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2"/>
          <w:sz w:val="20"/>
          <w:szCs w:val="20"/>
        </w:rPr>
        <w:t xml:space="preserve"> "</w:t>
      </w:r>
      <w:r w:rsidRPr="000977F7">
        <w:rPr>
          <w:rFonts w:asciiTheme="majorHAnsi" w:hAnsiTheme="majorHAnsi"/>
          <w:i/>
          <w:sz w:val="20"/>
          <w:szCs w:val="20"/>
        </w:rPr>
        <w:t>Про</w:t>
      </w:r>
      <w:r w:rsidRPr="000977F7">
        <w:rPr>
          <w:rFonts w:asciiTheme="majorHAnsi" w:hAnsiTheme="majorHAnsi"/>
          <w:i/>
          <w:spacing w:val="-1"/>
          <w:sz w:val="20"/>
          <w:szCs w:val="20"/>
        </w:rPr>
        <w:t xml:space="preserve"> </w:t>
      </w:r>
      <w:r w:rsidRPr="000977F7">
        <w:rPr>
          <w:rFonts w:asciiTheme="majorHAnsi" w:hAnsiTheme="majorHAnsi"/>
          <w:i/>
          <w:sz w:val="20"/>
          <w:szCs w:val="20"/>
        </w:rPr>
        <w:t>стандартизацію"</w:t>
      </w:r>
    </w:p>
    <w:p w14:paraId="333F3B27"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МЕТОД</w:t>
      </w:r>
      <w:r w:rsidRPr="000977F7">
        <w:rPr>
          <w:color w:val="auto"/>
          <w:spacing w:val="-6"/>
          <w:sz w:val="20"/>
          <w:szCs w:val="20"/>
        </w:rPr>
        <w:t xml:space="preserve"> </w:t>
      </w:r>
      <w:r w:rsidRPr="000977F7">
        <w:rPr>
          <w:color w:val="auto"/>
          <w:sz w:val="20"/>
          <w:szCs w:val="20"/>
        </w:rPr>
        <w:t>ВИМІРЮВАННЯ -</w:t>
      </w:r>
    </w:p>
    <w:p w14:paraId="1BCD0EB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METHOD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MEASUREMENT</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24BABAF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способів використання засобів вимірювальної техніки та принципу вимірювань для створення</w:t>
      </w:r>
      <w:r w:rsidRPr="000977F7">
        <w:rPr>
          <w:rFonts w:asciiTheme="majorHAnsi" w:hAnsiTheme="majorHAnsi"/>
          <w:spacing w:val="1"/>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2"/>
          <w:sz w:val="20"/>
          <w:szCs w:val="20"/>
        </w:rPr>
        <w:t xml:space="preserve"> </w:t>
      </w:r>
      <w:r w:rsidRPr="000977F7">
        <w:rPr>
          <w:rFonts w:asciiTheme="majorHAnsi" w:hAnsiTheme="majorHAnsi"/>
          <w:sz w:val="20"/>
          <w:szCs w:val="20"/>
        </w:rPr>
        <w:t>інформації</w:t>
      </w:r>
    </w:p>
    <w:p w14:paraId="2AA3042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AE1FF2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МЕТОД</w:t>
      </w:r>
      <w:r w:rsidRPr="000977F7">
        <w:rPr>
          <w:color w:val="auto"/>
          <w:spacing w:val="1"/>
          <w:sz w:val="20"/>
          <w:szCs w:val="20"/>
        </w:rPr>
        <w:t xml:space="preserve"> </w:t>
      </w:r>
      <w:r w:rsidRPr="000977F7">
        <w:rPr>
          <w:color w:val="auto"/>
          <w:sz w:val="20"/>
          <w:szCs w:val="20"/>
        </w:rPr>
        <w:t>ВИПРОБУВАННЯ ПРОГРАМНОГО</w:t>
      </w:r>
      <w:r w:rsidRPr="000977F7">
        <w:rPr>
          <w:color w:val="auto"/>
          <w:spacing w:val="-47"/>
          <w:sz w:val="20"/>
          <w:szCs w:val="20"/>
        </w:rPr>
        <w:t xml:space="preserve"> </w:t>
      </w:r>
      <w:r w:rsidRPr="000977F7">
        <w:rPr>
          <w:color w:val="auto"/>
          <w:sz w:val="20"/>
          <w:szCs w:val="20"/>
        </w:rPr>
        <w:t>ЗАСОБУ –</w:t>
      </w:r>
    </w:p>
    <w:p w14:paraId="5B06C94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SOFTWARE</w:t>
      </w:r>
      <w:r w:rsidRPr="000977F7">
        <w:rPr>
          <w:rFonts w:asciiTheme="majorHAnsi" w:hAnsiTheme="majorHAnsi"/>
          <w:spacing w:val="-3"/>
          <w:sz w:val="20"/>
          <w:szCs w:val="20"/>
        </w:rPr>
        <w:t xml:space="preserve"> </w:t>
      </w:r>
      <w:r w:rsidRPr="000977F7">
        <w:rPr>
          <w:rFonts w:asciiTheme="majorHAnsi" w:hAnsiTheme="majorHAnsi"/>
          <w:sz w:val="20"/>
          <w:szCs w:val="20"/>
        </w:rPr>
        <w:t>TEST METHOD –</w:t>
      </w:r>
    </w:p>
    <w:p w14:paraId="2E6536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Встановлений порядок проведення випробувань програмного засобу</w:t>
      </w:r>
    </w:p>
    <w:p w14:paraId="7BEFBBC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2844 - 94</w:t>
      </w:r>
    </w:p>
    <w:p w14:paraId="3702AF5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МЕТОД</w:t>
      </w:r>
      <w:r w:rsidRPr="000977F7">
        <w:rPr>
          <w:color w:val="auto"/>
          <w:spacing w:val="-4"/>
          <w:sz w:val="20"/>
          <w:szCs w:val="20"/>
        </w:rPr>
        <w:t xml:space="preserve"> </w:t>
      </w:r>
      <w:r w:rsidRPr="000977F7">
        <w:rPr>
          <w:color w:val="auto"/>
          <w:sz w:val="20"/>
          <w:szCs w:val="20"/>
        </w:rPr>
        <w:t>ВИПРОБУВАНЬ</w:t>
      </w:r>
      <w:r w:rsidRPr="000977F7">
        <w:rPr>
          <w:color w:val="auto"/>
          <w:spacing w:val="-2"/>
          <w:sz w:val="20"/>
          <w:szCs w:val="20"/>
        </w:rPr>
        <w:t xml:space="preserve"> </w:t>
      </w:r>
      <w:r w:rsidRPr="000977F7">
        <w:rPr>
          <w:color w:val="auto"/>
          <w:sz w:val="20"/>
          <w:szCs w:val="20"/>
        </w:rPr>
        <w:t>–</w:t>
      </w:r>
    </w:p>
    <w:p w14:paraId="7D0D30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TEST</w:t>
      </w:r>
      <w:r w:rsidRPr="000977F7">
        <w:rPr>
          <w:rFonts w:asciiTheme="majorHAnsi" w:hAnsiTheme="majorHAnsi"/>
          <w:spacing w:val="1"/>
          <w:sz w:val="20"/>
          <w:szCs w:val="20"/>
        </w:rPr>
        <w:t xml:space="preserve"> </w:t>
      </w:r>
      <w:r w:rsidRPr="000977F7">
        <w:rPr>
          <w:rFonts w:asciiTheme="majorHAnsi" w:hAnsiTheme="majorHAnsi"/>
          <w:sz w:val="20"/>
          <w:szCs w:val="20"/>
        </w:rPr>
        <w:t>METHOD -</w:t>
      </w:r>
    </w:p>
    <w:p w14:paraId="7DF7BE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Правила</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певних</w:t>
      </w:r>
      <w:r w:rsidRPr="000977F7">
        <w:rPr>
          <w:rFonts w:asciiTheme="majorHAnsi" w:hAnsiTheme="majorHAnsi"/>
          <w:spacing w:val="1"/>
          <w:sz w:val="20"/>
          <w:szCs w:val="20"/>
        </w:rPr>
        <w:t xml:space="preserve"> </w:t>
      </w:r>
      <w:r w:rsidRPr="000977F7">
        <w:rPr>
          <w:rFonts w:asciiTheme="majorHAnsi" w:hAnsiTheme="majorHAnsi"/>
          <w:sz w:val="20"/>
          <w:szCs w:val="20"/>
        </w:rPr>
        <w:t>принципів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засобів</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p>
    <w:p w14:paraId="2459E54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w:t>
      </w:r>
      <w:r w:rsidRPr="000977F7">
        <w:rPr>
          <w:rFonts w:asciiTheme="majorHAnsi" w:hAnsiTheme="majorHAnsi"/>
          <w:i/>
          <w:spacing w:val="-1"/>
          <w:sz w:val="20"/>
          <w:szCs w:val="20"/>
        </w:rPr>
        <w:t xml:space="preserve"> </w:t>
      </w:r>
      <w:r w:rsidRPr="000977F7">
        <w:rPr>
          <w:rFonts w:asciiTheme="majorHAnsi" w:hAnsiTheme="majorHAnsi"/>
          <w:i/>
          <w:sz w:val="20"/>
          <w:szCs w:val="20"/>
        </w:rPr>
        <w:t>95;</w:t>
      </w:r>
      <w:r w:rsidRPr="000977F7">
        <w:rPr>
          <w:rFonts w:asciiTheme="majorHAnsi" w:hAnsiTheme="majorHAnsi"/>
          <w:i/>
          <w:spacing w:val="-2"/>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7BEDD0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МЕТОД</w:t>
      </w:r>
      <w:r w:rsidRPr="000977F7">
        <w:rPr>
          <w:color w:val="auto"/>
          <w:spacing w:val="-6"/>
          <w:sz w:val="20"/>
          <w:szCs w:val="20"/>
        </w:rPr>
        <w:t xml:space="preserve"> </w:t>
      </w:r>
      <w:r w:rsidRPr="000977F7">
        <w:rPr>
          <w:color w:val="auto"/>
          <w:sz w:val="20"/>
          <w:szCs w:val="20"/>
        </w:rPr>
        <w:t>ВИПАДКОВОГО</w:t>
      </w:r>
      <w:r w:rsidRPr="000977F7">
        <w:rPr>
          <w:color w:val="auto"/>
          <w:spacing w:val="-5"/>
          <w:sz w:val="20"/>
          <w:szCs w:val="20"/>
        </w:rPr>
        <w:t xml:space="preserve"> </w:t>
      </w:r>
      <w:r w:rsidRPr="000977F7">
        <w:rPr>
          <w:color w:val="auto"/>
          <w:sz w:val="20"/>
          <w:szCs w:val="20"/>
        </w:rPr>
        <w:t>БАЛАНСУ</w:t>
      </w:r>
      <w:r w:rsidRPr="000977F7">
        <w:rPr>
          <w:color w:val="auto"/>
          <w:spacing w:val="-2"/>
          <w:sz w:val="20"/>
          <w:szCs w:val="20"/>
        </w:rPr>
        <w:t xml:space="preserve"> </w:t>
      </w:r>
      <w:r w:rsidRPr="000977F7">
        <w:rPr>
          <w:color w:val="auto"/>
          <w:sz w:val="20"/>
          <w:szCs w:val="20"/>
        </w:rPr>
        <w:t>–</w:t>
      </w:r>
    </w:p>
    <w:p w14:paraId="6032C49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відсіву факторів, заснований на використанні</w:t>
      </w:r>
      <w:r w:rsidRPr="000977F7">
        <w:rPr>
          <w:rFonts w:asciiTheme="majorHAnsi" w:hAnsiTheme="majorHAnsi"/>
          <w:spacing w:val="1"/>
          <w:sz w:val="20"/>
          <w:szCs w:val="20"/>
        </w:rPr>
        <w:t xml:space="preserve"> </w:t>
      </w:r>
      <w:r w:rsidRPr="000977F7">
        <w:rPr>
          <w:rFonts w:asciiTheme="majorHAnsi" w:hAnsiTheme="majorHAnsi"/>
          <w:sz w:val="20"/>
          <w:szCs w:val="20"/>
        </w:rPr>
        <w:t>зверхнасичених планів з випадковим вибором сполучень</w:t>
      </w:r>
      <w:r w:rsidRPr="000977F7">
        <w:rPr>
          <w:rFonts w:asciiTheme="majorHAnsi" w:hAnsiTheme="majorHAnsi"/>
          <w:spacing w:val="-1"/>
          <w:sz w:val="20"/>
          <w:szCs w:val="20"/>
        </w:rPr>
        <w:t xml:space="preserve"> </w:t>
      </w:r>
      <w:r w:rsidRPr="000977F7">
        <w:rPr>
          <w:rFonts w:asciiTheme="majorHAnsi" w:hAnsiTheme="majorHAnsi"/>
          <w:sz w:val="20"/>
          <w:szCs w:val="20"/>
        </w:rPr>
        <w:t>рівнів</w:t>
      </w:r>
      <w:r w:rsidRPr="000977F7">
        <w:rPr>
          <w:rFonts w:asciiTheme="majorHAnsi" w:hAnsiTheme="majorHAnsi"/>
          <w:spacing w:val="-1"/>
          <w:sz w:val="20"/>
          <w:szCs w:val="20"/>
        </w:rPr>
        <w:t xml:space="preserve"> </w:t>
      </w:r>
      <w:r w:rsidRPr="000977F7">
        <w:rPr>
          <w:rFonts w:asciiTheme="majorHAnsi" w:hAnsiTheme="majorHAnsi"/>
          <w:sz w:val="20"/>
          <w:szCs w:val="20"/>
        </w:rPr>
        <w:t>факторів</w:t>
      </w:r>
    </w:p>
    <w:p w14:paraId="16ABB2C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МЕТОД</w:t>
      </w:r>
      <w:r w:rsidRPr="000977F7">
        <w:rPr>
          <w:color w:val="auto"/>
          <w:spacing w:val="1"/>
          <w:sz w:val="20"/>
          <w:szCs w:val="20"/>
        </w:rPr>
        <w:t xml:space="preserve"> </w:t>
      </w:r>
      <w:r w:rsidRPr="000977F7">
        <w:rPr>
          <w:color w:val="auto"/>
          <w:sz w:val="20"/>
          <w:szCs w:val="20"/>
        </w:rPr>
        <w:t>ЗРІВНОВАЖЕННЯ</w:t>
      </w:r>
      <w:r w:rsidRPr="000977F7">
        <w:rPr>
          <w:color w:val="auto"/>
          <w:spacing w:val="1"/>
          <w:sz w:val="20"/>
          <w:szCs w:val="20"/>
        </w:rPr>
        <w:t xml:space="preserve"> </w:t>
      </w:r>
      <w:r w:rsidRPr="000977F7">
        <w:rPr>
          <w:color w:val="auto"/>
          <w:sz w:val="20"/>
          <w:szCs w:val="20"/>
        </w:rPr>
        <w:t xml:space="preserve">З </w:t>
      </w:r>
    </w:p>
    <w:p w14:paraId="53F6A72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РЕГУЛЬОВА</w:t>
      </w:r>
      <w:r w:rsidRPr="000977F7">
        <w:rPr>
          <w:color w:val="auto"/>
          <w:spacing w:val="-47"/>
          <w:sz w:val="20"/>
          <w:szCs w:val="20"/>
        </w:rPr>
        <w:t xml:space="preserve"> </w:t>
      </w:r>
      <w:r w:rsidRPr="000977F7">
        <w:rPr>
          <w:color w:val="auto"/>
          <w:sz w:val="20"/>
          <w:szCs w:val="20"/>
        </w:rPr>
        <w:t>НОЮ</w:t>
      </w:r>
      <w:r w:rsidRPr="000977F7">
        <w:rPr>
          <w:color w:val="auto"/>
          <w:spacing w:val="-2"/>
          <w:sz w:val="20"/>
          <w:szCs w:val="20"/>
        </w:rPr>
        <w:t xml:space="preserve"> </w:t>
      </w:r>
      <w:r w:rsidRPr="000977F7">
        <w:rPr>
          <w:color w:val="auto"/>
          <w:sz w:val="20"/>
          <w:szCs w:val="20"/>
        </w:rPr>
        <w:t>МІРОЮ –</w:t>
      </w:r>
    </w:p>
    <w:p w14:paraId="38767C3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NULL</w:t>
      </w:r>
      <w:r w:rsidRPr="004D2D14">
        <w:rPr>
          <w:rFonts w:asciiTheme="majorHAnsi" w:hAnsiTheme="majorHAnsi"/>
          <w:spacing w:val="-4"/>
          <w:sz w:val="20"/>
          <w:szCs w:val="20"/>
          <w:lang w:val="uk-UA"/>
        </w:rPr>
        <w:t xml:space="preserve"> </w:t>
      </w:r>
      <w:r w:rsidRPr="000977F7">
        <w:rPr>
          <w:rFonts w:asciiTheme="majorHAnsi" w:hAnsiTheme="majorHAnsi"/>
          <w:sz w:val="20"/>
          <w:szCs w:val="20"/>
        </w:rPr>
        <w:t>METHOD</w:t>
      </w:r>
      <w:r w:rsidRPr="004D2D14">
        <w:rPr>
          <w:rFonts w:asciiTheme="majorHAnsi" w:hAnsiTheme="majorHAnsi"/>
          <w:spacing w:val="-1"/>
          <w:sz w:val="20"/>
          <w:szCs w:val="20"/>
          <w:lang w:val="uk-UA"/>
        </w:rPr>
        <w:t xml:space="preserve"> </w:t>
      </w:r>
      <w:r w:rsidRPr="000977F7">
        <w:rPr>
          <w:rFonts w:asciiTheme="majorHAnsi" w:hAnsiTheme="majorHAnsi"/>
          <w:sz w:val="20"/>
          <w:szCs w:val="20"/>
        </w:rPr>
        <w:t>OF</w:t>
      </w:r>
      <w:r w:rsidRPr="004D2D14">
        <w:rPr>
          <w:rFonts w:asciiTheme="majorHAnsi" w:hAnsiTheme="majorHAnsi"/>
          <w:spacing w:val="-2"/>
          <w:sz w:val="20"/>
          <w:szCs w:val="20"/>
          <w:lang w:val="uk-UA"/>
        </w:rPr>
        <w:t xml:space="preserve"> </w:t>
      </w:r>
      <w:r w:rsidRPr="000977F7">
        <w:rPr>
          <w:rFonts w:asciiTheme="majorHAnsi" w:hAnsiTheme="majorHAnsi"/>
          <w:sz w:val="20"/>
          <w:szCs w:val="20"/>
        </w:rPr>
        <w:t>MEASUREMENT</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w:t>
      </w:r>
    </w:p>
    <w:p w14:paraId="34886B6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Метод прямого вимірювання з багаторазовим порівнянням вимірюваної величини та величини, що відтворюється мірою, яка регулюється, до їх повного зрівноваження</w:t>
      </w:r>
    </w:p>
    <w:p w14:paraId="708C257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л</w:t>
      </w:r>
      <w:r w:rsidRPr="000977F7">
        <w:rPr>
          <w:rFonts w:asciiTheme="majorHAnsi" w:hAnsiTheme="majorHAnsi"/>
          <w:spacing w:val="-2"/>
          <w:sz w:val="20"/>
          <w:szCs w:val="20"/>
        </w:rPr>
        <w:t xml:space="preserve"> </w:t>
      </w:r>
      <w:r w:rsidRPr="000977F7">
        <w:rPr>
          <w:rFonts w:asciiTheme="majorHAnsi" w:hAnsiTheme="majorHAnsi"/>
          <w:sz w:val="20"/>
          <w:szCs w:val="20"/>
        </w:rPr>
        <w:t>а д:</w:t>
      </w:r>
    </w:p>
    <w:p w14:paraId="4B85BC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Вимірювання</w:t>
      </w:r>
      <w:r w:rsidRPr="000977F7">
        <w:rPr>
          <w:rFonts w:asciiTheme="majorHAnsi" w:hAnsiTheme="majorHAnsi"/>
          <w:spacing w:val="-6"/>
          <w:sz w:val="20"/>
          <w:szCs w:val="20"/>
        </w:rPr>
        <w:t xml:space="preserve"> </w:t>
      </w:r>
      <w:r w:rsidRPr="000977F7">
        <w:rPr>
          <w:rFonts w:asciiTheme="majorHAnsi" w:hAnsiTheme="majorHAnsi"/>
          <w:sz w:val="20"/>
          <w:szCs w:val="20"/>
        </w:rPr>
        <w:t>електричної</w:t>
      </w:r>
      <w:r w:rsidRPr="000977F7">
        <w:rPr>
          <w:rFonts w:asciiTheme="majorHAnsi" w:hAnsiTheme="majorHAnsi"/>
          <w:spacing w:val="-5"/>
          <w:sz w:val="20"/>
          <w:szCs w:val="20"/>
        </w:rPr>
        <w:t xml:space="preserve"> </w:t>
      </w:r>
      <w:r w:rsidRPr="000977F7">
        <w:rPr>
          <w:rFonts w:asciiTheme="majorHAnsi" w:hAnsiTheme="majorHAnsi"/>
          <w:sz w:val="20"/>
          <w:szCs w:val="20"/>
        </w:rPr>
        <w:t>напруги</w:t>
      </w:r>
      <w:r w:rsidRPr="000977F7">
        <w:rPr>
          <w:rFonts w:asciiTheme="majorHAnsi" w:hAnsiTheme="majorHAnsi"/>
          <w:spacing w:val="-5"/>
          <w:sz w:val="20"/>
          <w:szCs w:val="20"/>
        </w:rPr>
        <w:t xml:space="preserve"> </w:t>
      </w:r>
      <w:r w:rsidRPr="000977F7">
        <w:rPr>
          <w:rFonts w:asciiTheme="majorHAnsi" w:hAnsiTheme="majorHAnsi"/>
          <w:sz w:val="20"/>
          <w:szCs w:val="20"/>
        </w:rPr>
        <w:t>компенсатором</w:t>
      </w:r>
    </w:p>
    <w:p w14:paraId="6497305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17267889"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МЕТОД</w:t>
      </w:r>
      <w:r w:rsidRPr="004D2D14">
        <w:rPr>
          <w:rFonts w:asciiTheme="majorHAnsi" w:hAnsiTheme="majorHAnsi"/>
          <w:b/>
          <w:sz w:val="20"/>
          <w:szCs w:val="20"/>
          <w:lang w:val="en-US"/>
        </w:rPr>
        <w:t xml:space="preserve"> </w:t>
      </w:r>
      <w:r w:rsidRPr="000977F7">
        <w:rPr>
          <w:rFonts w:asciiTheme="majorHAnsi" w:hAnsiTheme="majorHAnsi"/>
          <w:b/>
          <w:sz w:val="20"/>
          <w:szCs w:val="20"/>
        </w:rPr>
        <w:t>ГРУПУВАННЯ</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p>
    <w:p w14:paraId="39EAEE12"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CLUSTERING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METHOD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04BBFB4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статистичного</w:t>
      </w:r>
      <w:r w:rsidRPr="000977F7">
        <w:rPr>
          <w:rFonts w:asciiTheme="majorHAnsi" w:hAnsiTheme="majorHAnsi"/>
          <w:spacing w:val="1"/>
          <w:sz w:val="20"/>
          <w:szCs w:val="20"/>
        </w:rPr>
        <w:t xml:space="preserve"> </w:t>
      </w:r>
      <w:r w:rsidRPr="000977F7">
        <w:rPr>
          <w:rFonts w:asciiTheme="majorHAnsi" w:hAnsiTheme="majorHAnsi"/>
          <w:sz w:val="20"/>
          <w:szCs w:val="20"/>
        </w:rPr>
        <w:t>регулювання</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 який характеризується тим, що висновок про</w:t>
      </w:r>
      <w:r w:rsidRPr="000977F7">
        <w:rPr>
          <w:rFonts w:asciiTheme="majorHAnsi" w:hAnsiTheme="majorHAnsi"/>
          <w:spacing w:val="-47"/>
          <w:sz w:val="20"/>
          <w:szCs w:val="20"/>
        </w:rPr>
        <w:t xml:space="preserve"> </w:t>
      </w:r>
      <w:r w:rsidRPr="000977F7">
        <w:rPr>
          <w:rFonts w:asciiTheme="majorHAnsi" w:hAnsiTheme="majorHAnsi"/>
          <w:sz w:val="20"/>
          <w:szCs w:val="20"/>
        </w:rPr>
        <w:t>розлагодження процесу роблять на підставі розподілу</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відповідної вибіркової характеристики у певних зонах</w:t>
      </w:r>
      <w:r w:rsidRPr="000977F7">
        <w:rPr>
          <w:rFonts w:asciiTheme="majorHAnsi" w:hAnsiTheme="majorHAnsi"/>
          <w:spacing w:val="-47"/>
          <w:sz w:val="20"/>
          <w:szCs w:val="20"/>
        </w:rPr>
        <w:t xml:space="preserve"> </w:t>
      </w:r>
      <w:r w:rsidRPr="000977F7">
        <w:rPr>
          <w:rFonts w:asciiTheme="majorHAnsi" w:hAnsiTheme="majorHAnsi"/>
          <w:sz w:val="20"/>
          <w:szCs w:val="20"/>
        </w:rPr>
        <w:t>контрольної</w:t>
      </w:r>
      <w:r w:rsidRPr="000977F7">
        <w:rPr>
          <w:rFonts w:asciiTheme="majorHAnsi" w:hAnsiTheme="majorHAnsi"/>
          <w:spacing w:val="-2"/>
          <w:sz w:val="20"/>
          <w:szCs w:val="20"/>
        </w:rPr>
        <w:t xml:space="preserve"> </w:t>
      </w:r>
      <w:r w:rsidRPr="000977F7">
        <w:rPr>
          <w:rFonts w:asciiTheme="majorHAnsi" w:hAnsiTheme="majorHAnsi"/>
          <w:sz w:val="20"/>
          <w:szCs w:val="20"/>
        </w:rPr>
        <w:t>карти</w:t>
      </w:r>
    </w:p>
    <w:p w14:paraId="3AA30132"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3514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97</w:t>
      </w:r>
    </w:p>
    <w:p w14:paraId="1A71BC6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МЕТОД</w:t>
      </w:r>
      <w:r w:rsidRPr="000977F7">
        <w:rPr>
          <w:color w:val="auto"/>
          <w:spacing w:val="46"/>
          <w:sz w:val="20"/>
          <w:szCs w:val="20"/>
        </w:rPr>
        <w:t xml:space="preserve"> </w:t>
      </w:r>
      <w:r w:rsidRPr="000977F7">
        <w:rPr>
          <w:color w:val="auto"/>
          <w:sz w:val="20"/>
          <w:szCs w:val="20"/>
        </w:rPr>
        <w:t>ЗАМІЩЕННЯ</w:t>
      </w:r>
      <w:r w:rsidRPr="000977F7">
        <w:rPr>
          <w:color w:val="auto"/>
          <w:spacing w:val="-2"/>
          <w:sz w:val="20"/>
          <w:szCs w:val="20"/>
        </w:rPr>
        <w:t xml:space="preserve"> </w:t>
      </w:r>
      <w:r w:rsidRPr="000977F7">
        <w:rPr>
          <w:color w:val="auto"/>
          <w:sz w:val="20"/>
          <w:szCs w:val="20"/>
        </w:rPr>
        <w:t>–</w:t>
      </w:r>
    </w:p>
    <w:p w14:paraId="18564C3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SUBSTITUTION</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METHOD</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ME</w:t>
      </w:r>
      <w:r w:rsidRPr="000977F7">
        <w:rPr>
          <w:rFonts w:asciiTheme="majorHAnsi" w:hAnsiTheme="majorHAnsi"/>
          <w:sz w:val="20"/>
          <w:szCs w:val="20"/>
        </w:rPr>
        <w:t>А</w:t>
      </w:r>
      <w:r w:rsidRPr="004D2D14">
        <w:rPr>
          <w:rFonts w:asciiTheme="majorHAnsi" w:hAnsiTheme="majorHAnsi"/>
          <w:sz w:val="20"/>
          <w:szCs w:val="20"/>
          <w:lang w:val="en-US"/>
        </w:rPr>
        <w:t>SUREMENT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41B75AD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Метод</w:t>
      </w:r>
      <w:r w:rsidRPr="004D2D14">
        <w:rPr>
          <w:rFonts w:asciiTheme="majorHAnsi" w:hAnsiTheme="majorHAnsi"/>
          <w:sz w:val="20"/>
          <w:szCs w:val="20"/>
          <w:lang w:val="en-US"/>
        </w:rPr>
        <w:t xml:space="preserve"> </w:t>
      </w:r>
      <w:r w:rsidRPr="000977F7">
        <w:rPr>
          <w:rFonts w:asciiTheme="majorHAnsi" w:hAnsiTheme="majorHAnsi"/>
          <w:sz w:val="20"/>
          <w:szCs w:val="20"/>
        </w:rPr>
        <w:t>непрямого</w:t>
      </w:r>
      <w:r w:rsidRPr="004D2D14">
        <w:rPr>
          <w:rFonts w:asciiTheme="majorHAnsi" w:hAnsiTheme="majorHAnsi"/>
          <w:sz w:val="20"/>
          <w:szCs w:val="20"/>
          <w:lang w:val="en-US"/>
        </w:rPr>
        <w:t xml:space="preserve"> </w:t>
      </w:r>
      <w:r w:rsidRPr="000977F7">
        <w:rPr>
          <w:rFonts w:asciiTheme="majorHAnsi" w:hAnsiTheme="majorHAnsi"/>
          <w:sz w:val="20"/>
          <w:szCs w:val="20"/>
        </w:rPr>
        <w:t>вимірювання</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багаторазовим</w:t>
      </w:r>
      <w:r w:rsidRPr="004D2D14">
        <w:rPr>
          <w:rFonts w:asciiTheme="majorHAnsi" w:hAnsiTheme="majorHAnsi"/>
          <w:sz w:val="20"/>
          <w:szCs w:val="20"/>
          <w:lang w:val="en-US"/>
        </w:rPr>
        <w:t xml:space="preserve"> </w:t>
      </w:r>
      <w:r w:rsidRPr="000977F7">
        <w:rPr>
          <w:rFonts w:asciiTheme="majorHAnsi" w:hAnsiTheme="majorHAnsi"/>
          <w:sz w:val="20"/>
          <w:szCs w:val="20"/>
        </w:rPr>
        <w:t>порівнянням</w:t>
      </w:r>
      <w:r w:rsidRPr="004D2D14">
        <w:rPr>
          <w:rFonts w:asciiTheme="majorHAnsi" w:hAnsiTheme="majorHAnsi"/>
          <w:sz w:val="20"/>
          <w:szCs w:val="20"/>
          <w:lang w:val="en-US"/>
        </w:rPr>
        <w:t xml:space="preserve"> </w:t>
      </w:r>
      <w:r w:rsidRPr="000977F7">
        <w:rPr>
          <w:rFonts w:asciiTheme="majorHAnsi" w:hAnsiTheme="majorHAnsi"/>
          <w:sz w:val="20"/>
          <w:szCs w:val="20"/>
        </w:rPr>
        <w:t>до</w:t>
      </w:r>
      <w:r w:rsidRPr="004D2D14">
        <w:rPr>
          <w:rFonts w:asciiTheme="majorHAnsi" w:hAnsiTheme="majorHAnsi"/>
          <w:sz w:val="20"/>
          <w:szCs w:val="20"/>
          <w:lang w:val="en-US"/>
        </w:rPr>
        <w:t xml:space="preserve"> </w:t>
      </w:r>
      <w:r w:rsidRPr="000977F7">
        <w:rPr>
          <w:rFonts w:asciiTheme="majorHAnsi" w:hAnsiTheme="majorHAnsi"/>
          <w:sz w:val="20"/>
          <w:szCs w:val="20"/>
        </w:rPr>
        <w:t>повного</w:t>
      </w:r>
      <w:r w:rsidRPr="004D2D14">
        <w:rPr>
          <w:rFonts w:asciiTheme="majorHAnsi" w:hAnsiTheme="majorHAnsi"/>
          <w:sz w:val="20"/>
          <w:szCs w:val="20"/>
          <w:lang w:val="en-US"/>
        </w:rPr>
        <w:t xml:space="preserve"> </w:t>
      </w:r>
      <w:r w:rsidRPr="000977F7">
        <w:rPr>
          <w:rFonts w:asciiTheme="majorHAnsi" w:hAnsiTheme="majorHAnsi"/>
          <w:sz w:val="20"/>
          <w:szCs w:val="20"/>
        </w:rPr>
        <w:t>зрівноваження</w:t>
      </w:r>
      <w:r w:rsidRPr="004D2D14">
        <w:rPr>
          <w:rFonts w:asciiTheme="majorHAnsi" w:hAnsiTheme="majorHAnsi"/>
          <w:sz w:val="20"/>
          <w:szCs w:val="20"/>
          <w:lang w:val="en-US"/>
        </w:rPr>
        <w:t xml:space="preserve"> </w:t>
      </w:r>
      <w:r w:rsidRPr="000977F7">
        <w:rPr>
          <w:rFonts w:asciiTheme="majorHAnsi" w:hAnsiTheme="majorHAnsi"/>
          <w:sz w:val="20"/>
          <w:szCs w:val="20"/>
        </w:rPr>
        <w:t>вихідних</w:t>
      </w:r>
      <w:r w:rsidRPr="004D2D14">
        <w:rPr>
          <w:rFonts w:asciiTheme="majorHAnsi" w:hAnsiTheme="majorHAnsi"/>
          <w:sz w:val="20"/>
          <w:szCs w:val="20"/>
          <w:lang w:val="en-US"/>
        </w:rPr>
        <w:t xml:space="preserve"> </w:t>
      </w:r>
      <w:r w:rsidRPr="000977F7">
        <w:rPr>
          <w:rFonts w:asciiTheme="majorHAnsi" w:hAnsiTheme="majorHAnsi"/>
          <w:sz w:val="20"/>
          <w:szCs w:val="20"/>
        </w:rPr>
        <w:t>величин</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вимірювального</w:t>
      </w:r>
      <w:r w:rsidRPr="004D2D14">
        <w:rPr>
          <w:rFonts w:asciiTheme="majorHAnsi" w:hAnsiTheme="majorHAnsi"/>
          <w:sz w:val="20"/>
          <w:szCs w:val="20"/>
          <w:lang w:val="en-US"/>
        </w:rPr>
        <w:t xml:space="preserve"> </w:t>
      </w:r>
      <w:r w:rsidRPr="000977F7">
        <w:rPr>
          <w:rFonts w:asciiTheme="majorHAnsi" w:hAnsiTheme="majorHAnsi"/>
          <w:sz w:val="20"/>
          <w:szCs w:val="20"/>
        </w:rPr>
        <w:t>перетворювача</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почерговим</w:t>
      </w:r>
      <w:r w:rsidRPr="004D2D14">
        <w:rPr>
          <w:rFonts w:asciiTheme="majorHAnsi" w:hAnsiTheme="majorHAnsi"/>
          <w:sz w:val="20"/>
          <w:szCs w:val="20"/>
          <w:lang w:val="en-US"/>
        </w:rPr>
        <w:t xml:space="preserve"> </w:t>
      </w:r>
      <w:r w:rsidRPr="000977F7">
        <w:rPr>
          <w:rFonts w:asciiTheme="majorHAnsi" w:hAnsiTheme="majorHAnsi"/>
          <w:sz w:val="20"/>
          <w:szCs w:val="20"/>
        </w:rPr>
        <w:t>перетворенням</w:t>
      </w:r>
      <w:r w:rsidRPr="004D2D14">
        <w:rPr>
          <w:rFonts w:asciiTheme="majorHAnsi" w:hAnsiTheme="majorHAnsi"/>
          <w:sz w:val="20"/>
          <w:szCs w:val="20"/>
          <w:lang w:val="en-US"/>
        </w:rPr>
        <w:t xml:space="preserve"> </w:t>
      </w:r>
      <w:r w:rsidRPr="000977F7">
        <w:rPr>
          <w:rFonts w:asciiTheme="majorHAnsi" w:hAnsiTheme="majorHAnsi"/>
          <w:sz w:val="20"/>
          <w:szCs w:val="20"/>
        </w:rPr>
        <w:t>ним</w:t>
      </w:r>
      <w:r w:rsidRPr="004D2D14">
        <w:rPr>
          <w:rFonts w:asciiTheme="majorHAnsi" w:hAnsiTheme="majorHAnsi"/>
          <w:sz w:val="20"/>
          <w:szCs w:val="20"/>
          <w:lang w:val="en-US"/>
        </w:rPr>
        <w:t xml:space="preserve"> </w:t>
      </w:r>
      <w:r w:rsidRPr="000977F7">
        <w:rPr>
          <w:rFonts w:asciiTheme="majorHAnsi" w:hAnsiTheme="majorHAnsi"/>
          <w:sz w:val="20"/>
          <w:szCs w:val="20"/>
        </w:rPr>
        <w:t>вимірюваної</w:t>
      </w:r>
      <w:r w:rsidRPr="004D2D14">
        <w:rPr>
          <w:rFonts w:asciiTheme="majorHAnsi" w:hAnsiTheme="majorHAnsi"/>
          <w:sz w:val="20"/>
          <w:szCs w:val="20"/>
          <w:lang w:val="en-US"/>
        </w:rPr>
        <w:t xml:space="preserve"> </w:t>
      </w:r>
      <w:r w:rsidRPr="000977F7">
        <w:rPr>
          <w:rFonts w:asciiTheme="majorHAnsi" w:hAnsiTheme="majorHAnsi"/>
          <w:sz w:val="20"/>
          <w:szCs w:val="20"/>
        </w:rPr>
        <w:t>величини</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вихідної</w:t>
      </w:r>
      <w:r w:rsidRPr="004D2D14">
        <w:rPr>
          <w:rFonts w:asciiTheme="majorHAnsi" w:hAnsiTheme="majorHAnsi"/>
          <w:sz w:val="20"/>
          <w:szCs w:val="20"/>
          <w:lang w:val="en-US"/>
        </w:rPr>
        <w:t xml:space="preserve"> </w:t>
      </w:r>
      <w:r w:rsidRPr="000977F7">
        <w:rPr>
          <w:rFonts w:asciiTheme="majorHAnsi" w:hAnsiTheme="majorHAnsi"/>
          <w:sz w:val="20"/>
          <w:szCs w:val="20"/>
        </w:rPr>
        <w:t>величини</w:t>
      </w:r>
      <w:r w:rsidRPr="004D2D14">
        <w:rPr>
          <w:rFonts w:asciiTheme="majorHAnsi" w:hAnsiTheme="majorHAnsi"/>
          <w:spacing w:val="-2"/>
          <w:sz w:val="20"/>
          <w:szCs w:val="20"/>
          <w:lang w:val="en-US"/>
        </w:rPr>
        <w:t xml:space="preserve"> </w:t>
      </w:r>
      <w:r w:rsidRPr="000977F7">
        <w:rPr>
          <w:rFonts w:asciiTheme="majorHAnsi" w:hAnsiTheme="majorHAnsi"/>
          <w:sz w:val="20"/>
          <w:szCs w:val="20"/>
        </w:rPr>
        <w:t>регульованої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міри</w:t>
      </w:r>
    </w:p>
    <w:p w14:paraId="322490B2"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 </w:t>
      </w:r>
      <w:r w:rsidRPr="004D2D14">
        <w:rPr>
          <w:rFonts w:asciiTheme="majorHAnsi" w:hAnsiTheme="majorHAnsi"/>
          <w:i/>
          <w:sz w:val="20"/>
          <w:szCs w:val="20"/>
          <w:lang w:val="en-US"/>
        </w:rPr>
        <w:t>94</w:t>
      </w:r>
    </w:p>
    <w:p w14:paraId="3FCFC50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МЕТОД</w:t>
      </w:r>
      <w:r w:rsidRPr="000977F7">
        <w:rPr>
          <w:color w:val="auto"/>
          <w:spacing w:val="-5"/>
          <w:sz w:val="20"/>
          <w:szCs w:val="20"/>
        </w:rPr>
        <w:t xml:space="preserve"> </w:t>
      </w:r>
      <w:r w:rsidRPr="000977F7">
        <w:rPr>
          <w:color w:val="auto"/>
          <w:sz w:val="20"/>
          <w:szCs w:val="20"/>
        </w:rPr>
        <w:t>ЗІСТАВЛЕННЯ</w:t>
      </w:r>
      <w:r w:rsidRPr="000977F7">
        <w:rPr>
          <w:color w:val="auto"/>
          <w:spacing w:val="-3"/>
          <w:sz w:val="20"/>
          <w:szCs w:val="20"/>
        </w:rPr>
        <w:t xml:space="preserve"> </w:t>
      </w:r>
      <w:r w:rsidRPr="000977F7">
        <w:rPr>
          <w:color w:val="auto"/>
          <w:sz w:val="20"/>
          <w:szCs w:val="20"/>
        </w:rPr>
        <w:t>–</w:t>
      </w:r>
    </w:p>
    <w:p w14:paraId="20C722A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DIRECT – COMPARISON METHOD OF</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MEASUREMENT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1289D4A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Метод</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прямого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вимірювання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з</w:t>
      </w:r>
      <w:r w:rsidRPr="004D2D14">
        <w:rPr>
          <w:rFonts w:asciiTheme="majorHAnsi" w:hAnsiTheme="majorHAnsi"/>
          <w:spacing w:val="1"/>
          <w:sz w:val="20"/>
          <w:szCs w:val="20"/>
          <w:lang w:val="en-US"/>
        </w:rPr>
        <w:t xml:space="preserve"> </w:t>
      </w:r>
      <w:r w:rsidRPr="000977F7">
        <w:rPr>
          <w:rFonts w:asciiTheme="majorHAnsi" w:hAnsiTheme="majorHAnsi"/>
          <w:sz w:val="20"/>
          <w:szCs w:val="20"/>
        </w:rPr>
        <w:t>одноразовим</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порівнянням</w:t>
      </w:r>
      <w:r w:rsidRPr="004D2D14">
        <w:rPr>
          <w:rFonts w:asciiTheme="majorHAnsi" w:hAnsiTheme="majorHAnsi"/>
          <w:sz w:val="20"/>
          <w:szCs w:val="20"/>
          <w:lang w:val="en-US"/>
        </w:rPr>
        <w:t xml:space="preserve"> </w:t>
      </w:r>
      <w:r w:rsidRPr="000977F7">
        <w:rPr>
          <w:rFonts w:asciiTheme="majorHAnsi" w:hAnsiTheme="majorHAnsi"/>
          <w:sz w:val="20"/>
          <w:szCs w:val="20"/>
        </w:rPr>
        <w:t>вимірюваної</w:t>
      </w:r>
      <w:r w:rsidRPr="004D2D14">
        <w:rPr>
          <w:rFonts w:asciiTheme="majorHAnsi" w:hAnsiTheme="majorHAnsi"/>
          <w:sz w:val="20"/>
          <w:szCs w:val="20"/>
          <w:lang w:val="en-US"/>
        </w:rPr>
        <w:t xml:space="preserve"> </w:t>
      </w:r>
      <w:r w:rsidRPr="000977F7">
        <w:rPr>
          <w:rFonts w:asciiTheme="majorHAnsi" w:hAnsiTheme="majorHAnsi"/>
          <w:sz w:val="20"/>
          <w:szCs w:val="20"/>
        </w:rPr>
        <w:t>величини</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усіма</w:t>
      </w:r>
      <w:r w:rsidRPr="004D2D14">
        <w:rPr>
          <w:rFonts w:asciiTheme="majorHAnsi" w:hAnsiTheme="majorHAnsi"/>
          <w:sz w:val="20"/>
          <w:szCs w:val="20"/>
          <w:lang w:val="en-US"/>
        </w:rPr>
        <w:t xml:space="preserve"> </w:t>
      </w:r>
      <w:r w:rsidRPr="000977F7">
        <w:rPr>
          <w:rFonts w:asciiTheme="majorHAnsi" w:hAnsiTheme="majorHAnsi"/>
          <w:sz w:val="20"/>
          <w:szCs w:val="20"/>
        </w:rPr>
        <w:t>вихідними</w:t>
      </w:r>
      <w:r w:rsidRPr="004D2D14">
        <w:rPr>
          <w:rFonts w:asciiTheme="majorHAnsi" w:hAnsiTheme="majorHAnsi"/>
          <w:sz w:val="20"/>
          <w:szCs w:val="20"/>
          <w:lang w:val="en-US"/>
        </w:rPr>
        <w:t xml:space="preserve"> </w:t>
      </w:r>
      <w:r w:rsidRPr="000977F7">
        <w:rPr>
          <w:rFonts w:asciiTheme="majorHAnsi" w:hAnsiTheme="majorHAnsi"/>
          <w:sz w:val="20"/>
          <w:szCs w:val="20"/>
        </w:rPr>
        <w:t>величинами</w:t>
      </w:r>
      <w:r w:rsidRPr="004D2D14">
        <w:rPr>
          <w:rFonts w:asciiTheme="majorHAnsi" w:hAnsiTheme="majorHAnsi"/>
          <w:spacing w:val="-2"/>
          <w:sz w:val="20"/>
          <w:szCs w:val="20"/>
          <w:lang w:val="en-US"/>
        </w:rPr>
        <w:t xml:space="preserve"> </w:t>
      </w:r>
      <w:r w:rsidRPr="000977F7">
        <w:rPr>
          <w:rFonts w:asciiTheme="majorHAnsi" w:hAnsiTheme="majorHAnsi"/>
          <w:sz w:val="20"/>
          <w:szCs w:val="20"/>
        </w:rPr>
        <w:t>багатозначної</w:t>
      </w:r>
      <w:r w:rsidRPr="004D2D14">
        <w:rPr>
          <w:rFonts w:asciiTheme="majorHAnsi" w:hAnsiTheme="majorHAnsi"/>
          <w:spacing w:val="-2"/>
          <w:sz w:val="20"/>
          <w:szCs w:val="20"/>
          <w:lang w:val="en-US"/>
        </w:rPr>
        <w:t xml:space="preserve"> </w:t>
      </w:r>
      <w:r w:rsidRPr="000977F7">
        <w:rPr>
          <w:rFonts w:asciiTheme="majorHAnsi" w:hAnsiTheme="majorHAnsi"/>
          <w:sz w:val="20"/>
          <w:szCs w:val="20"/>
        </w:rPr>
        <w:t>нерегульованої</w:t>
      </w:r>
      <w:r w:rsidRPr="004D2D14">
        <w:rPr>
          <w:rFonts w:asciiTheme="majorHAnsi" w:hAnsiTheme="majorHAnsi"/>
          <w:spacing w:val="-2"/>
          <w:sz w:val="20"/>
          <w:szCs w:val="20"/>
          <w:lang w:val="en-US"/>
        </w:rPr>
        <w:t xml:space="preserve"> </w:t>
      </w:r>
      <w:r w:rsidRPr="000977F7">
        <w:rPr>
          <w:rFonts w:asciiTheme="majorHAnsi" w:hAnsiTheme="majorHAnsi"/>
          <w:sz w:val="20"/>
          <w:szCs w:val="20"/>
        </w:rPr>
        <w:t>міри</w:t>
      </w:r>
    </w:p>
    <w:p w14:paraId="4CAF34E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л</w:t>
      </w:r>
      <w:r w:rsidRPr="000977F7">
        <w:rPr>
          <w:rFonts w:asciiTheme="majorHAnsi" w:hAnsiTheme="majorHAnsi"/>
          <w:spacing w:val="-1"/>
          <w:sz w:val="20"/>
          <w:szCs w:val="20"/>
        </w:rPr>
        <w:t xml:space="preserve"> </w:t>
      </w:r>
      <w:r w:rsidRPr="000977F7">
        <w:rPr>
          <w:rFonts w:asciiTheme="majorHAnsi" w:hAnsiTheme="majorHAnsi"/>
          <w:sz w:val="20"/>
          <w:szCs w:val="20"/>
        </w:rPr>
        <w:t>а д</w:t>
      </w:r>
      <w:r w:rsidRPr="000977F7">
        <w:rPr>
          <w:rFonts w:asciiTheme="majorHAnsi" w:hAnsiTheme="majorHAnsi"/>
          <w:spacing w:val="-2"/>
          <w:sz w:val="20"/>
          <w:szCs w:val="20"/>
        </w:rPr>
        <w:t xml:space="preserve"> </w:t>
      </w:r>
      <w:r w:rsidRPr="000977F7">
        <w:rPr>
          <w:rFonts w:asciiTheme="majorHAnsi" w:hAnsiTheme="majorHAnsi"/>
          <w:sz w:val="20"/>
          <w:szCs w:val="20"/>
        </w:rPr>
        <w:t>и:</w:t>
      </w:r>
    </w:p>
    <w:p w14:paraId="788C5009" w14:textId="77777777" w:rsidR="0097612F" w:rsidRPr="000977F7" w:rsidRDefault="0097612F" w:rsidP="00FD39A4">
      <w:pPr>
        <w:pStyle w:val="ac"/>
        <w:widowControl w:val="0"/>
        <w:numPr>
          <w:ilvl w:val="0"/>
          <w:numId w:val="150"/>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Вимірювання</w:t>
      </w:r>
      <w:r w:rsidRPr="000977F7">
        <w:rPr>
          <w:rFonts w:asciiTheme="majorHAnsi" w:hAnsiTheme="majorHAnsi"/>
          <w:spacing w:val="-5"/>
          <w:sz w:val="20"/>
          <w:szCs w:val="20"/>
        </w:rPr>
        <w:t xml:space="preserve"> </w:t>
      </w:r>
      <w:r w:rsidRPr="000977F7">
        <w:rPr>
          <w:rFonts w:asciiTheme="majorHAnsi" w:hAnsiTheme="majorHAnsi"/>
          <w:sz w:val="20"/>
          <w:szCs w:val="20"/>
        </w:rPr>
        <w:t>довжини</w:t>
      </w:r>
      <w:r w:rsidRPr="000977F7">
        <w:rPr>
          <w:rFonts w:asciiTheme="majorHAnsi" w:hAnsiTheme="majorHAnsi"/>
          <w:spacing w:val="-5"/>
          <w:sz w:val="20"/>
          <w:szCs w:val="20"/>
        </w:rPr>
        <w:t xml:space="preserve"> </w:t>
      </w:r>
      <w:r w:rsidRPr="000977F7">
        <w:rPr>
          <w:rFonts w:asciiTheme="majorHAnsi" w:hAnsiTheme="majorHAnsi"/>
          <w:sz w:val="20"/>
          <w:szCs w:val="20"/>
        </w:rPr>
        <w:t>лінійкою</w:t>
      </w:r>
      <w:r w:rsidRPr="000977F7">
        <w:rPr>
          <w:rFonts w:asciiTheme="majorHAnsi" w:hAnsiTheme="majorHAnsi"/>
          <w:spacing w:val="-4"/>
          <w:sz w:val="20"/>
          <w:szCs w:val="20"/>
        </w:rPr>
        <w:t xml:space="preserve"> </w:t>
      </w:r>
      <w:r w:rsidRPr="000977F7">
        <w:rPr>
          <w:rFonts w:asciiTheme="majorHAnsi" w:hAnsiTheme="majorHAnsi"/>
          <w:sz w:val="20"/>
          <w:szCs w:val="20"/>
        </w:rPr>
        <w:t>з</w:t>
      </w:r>
      <w:r w:rsidRPr="000977F7">
        <w:rPr>
          <w:rFonts w:asciiTheme="majorHAnsi" w:hAnsiTheme="majorHAnsi"/>
          <w:spacing w:val="-3"/>
          <w:sz w:val="20"/>
          <w:szCs w:val="20"/>
        </w:rPr>
        <w:t xml:space="preserve"> </w:t>
      </w:r>
      <w:r w:rsidRPr="000977F7">
        <w:rPr>
          <w:rFonts w:asciiTheme="majorHAnsi" w:hAnsiTheme="majorHAnsi"/>
          <w:sz w:val="20"/>
          <w:szCs w:val="20"/>
        </w:rPr>
        <w:t>поділками.</w:t>
      </w:r>
    </w:p>
    <w:p w14:paraId="39E7613B" w14:textId="77777777" w:rsidR="0097612F" w:rsidRPr="000977F7" w:rsidRDefault="0097612F" w:rsidP="00FD39A4">
      <w:pPr>
        <w:pStyle w:val="ac"/>
        <w:widowControl w:val="0"/>
        <w:numPr>
          <w:ilvl w:val="0"/>
          <w:numId w:val="150"/>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Вимірювання</w:t>
      </w:r>
      <w:r w:rsidRPr="000977F7">
        <w:rPr>
          <w:rFonts w:asciiTheme="majorHAnsi" w:hAnsiTheme="majorHAnsi"/>
          <w:spacing w:val="-5"/>
          <w:sz w:val="20"/>
          <w:szCs w:val="20"/>
        </w:rPr>
        <w:t xml:space="preserve"> </w:t>
      </w:r>
      <w:r w:rsidRPr="000977F7">
        <w:rPr>
          <w:rFonts w:asciiTheme="majorHAnsi" w:hAnsiTheme="majorHAnsi"/>
          <w:sz w:val="20"/>
          <w:szCs w:val="20"/>
        </w:rPr>
        <w:t>інтервалу</w:t>
      </w:r>
      <w:r w:rsidRPr="000977F7">
        <w:rPr>
          <w:rFonts w:asciiTheme="majorHAnsi" w:hAnsiTheme="majorHAnsi"/>
          <w:spacing w:val="-5"/>
          <w:sz w:val="20"/>
          <w:szCs w:val="20"/>
        </w:rPr>
        <w:t xml:space="preserve"> </w:t>
      </w:r>
      <w:r w:rsidRPr="000977F7">
        <w:rPr>
          <w:rFonts w:asciiTheme="majorHAnsi" w:hAnsiTheme="majorHAnsi"/>
          <w:sz w:val="20"/>
          <w:szCs w:val="20"/>
        </w:rPr>
        <w:t>часу</w:t>
      </w:r>
      <w:r w:rsidRPr="000977F7">
        <w:rPr>
          <w:rFonts w:asciiTheme="majorHAnsi" w:hAnsiTheme="majorHAnsi"/>
          <w:spacing w:val="-4"/>
          <w:sz w:val="20"/>
          <w:szCs w:val="20"/>
        </w:rPr>
        <w:t xml:space="preserve"> </w:t>
      </w:r>
      <w:r w:rsidRPr="000977F7">
        <w:rPr>
          <w:rFonts w:asciiTheme="majorHAnsi" w:hAnsiTheme="majorHAnsi"/>
          <w:sz w:val="20"/>
          <w:szCs w:val="20"/>
        </w:rPr>
        <w:t>годинником</w:t>
      </w:r>
    </w:p>
    <w:p w14:paraId="7C89E6E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16D11C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МЕТОД</w:t>
      </w:r>
      <w:r w:rsidRPr="000977F7">
        <w:rPr>
          <w:color w:val="auto"/>
          <w:spacing w:val="-5"/>
          <w:sz w:val="20"/>
          <w:szCs w:val="20"/>
        </w:rPr>
        <w:t xml:space="preserve"> </w:t>
      </w:r>
      <w:r w:rsidRPr="000977F7">
        <w:rPr>
          <w:color w:val="auto"/>
          <w:sz w:val="20"/>
          <w:szCs w:val="20"/>
        </w:rPr>
        <w:t>КЕРУВАННЯ</w:t>
      </w:r>
      <w:r w:rsidRPr="000977F7">
        <w:rPr>
          <w:color w:val="auto"/>
          <w:spacing w:val="-1"/>
          <w:sz w:val="20"/>
          <w:szCs w:val="20"/>
        </w:rPr>
        <w:t xml:space="preserve"> </w:t>
      </w:r>
      <w:r w:rsidRPr="000977F7">
        <w:rPr>
          <w:color w:val="auto"/>
          <w:sz w:val="20"/>
          <w:szCs w:val="20"/>
        </w:rPr>
        <w:t>–</w:t>
      </w:r>
    </w:p>
    <w:p w14:paraId="604FC68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Спосіб або захід цілеспрямованого впливу на виконавців з метою забезпечення досягнення визначених</w:t>
      </w:r>
      <w:r w:rsidRPr="000977F7">
        <w:rPr>
          <w:rFonts w:asciiTheme="majorHAnsi" w:hAnsiTheme="majorHAnsi"/>
          <w:spacing w:val="1"/>
          <w:sz w:val="20"/>
          <w:szCs w:val="20"/>
        </w:rPr>
        <w:t xml:space="preserve"> </w:t>
      </w:r>
      <w:r w:rsidRPr="000977F7">
        <w:rPr>
          <w:rFonts w:asciiTheme="majorHAnsi" w:hAnsiTheme="majorHAnsi"/>
          <w:sz w:val="20"/>
          <w:szCs w:val="20"/>
        </w:rPr>
        <w:t>цілей</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2"/>
          <w:sz w:val="20"/>
          <w:szCs w:val="20"/>
        </w:rPr>
        <w:t xml:space="preserve"> </w:t>
      </w:r>
      <w:r w:rsidRPr="000977F7">
        <w:rPr>
          <w:rFonts w:asciiTheme="majorHAnsi" w:hAnsiTheme="majorHAnsi"/>
          <w:sz w:val="20"/>
          <w:szCs w:val="20"/>
        </w:rPr>
        <w:t>встановлених</w:t>
      </w:r>
      <w:r w:rsidRPr="000977F7">
        <w:rPr>
          <w:rFonts w:asciiTheme="majorHAnsi" w:hAnsiTheme="majorHAnsi"/>
          <w:spacing w:val="-1"/>
          <w:sz w:val="20"/>
          <w:szCs w:val="20"/>
        </w:rPr>
        <w:t xml:space="preserve"> </w:t>
      </w:r>
      <w:r w:rsidRPr="000977F7">
        <w:rPr>
          <w:rFonts w:asciiTheme="majorHAnsi" w:hAnsiTheme="majorHAnsi"/>
          <w:sz w:val="20"/>
          <w:szCs w:val="20"/>
        </w:rPr>
        <w:t>завдань</w:t>
      </w:r>
    </w:p>
    <w:p w14:paraId="6F80DF1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DFB8DA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7"/>
          <w:sz w:val="20"/>
          <w:szCs w:val="20"/>
        </w:rPr>
        <w:t xml:space="preserve"> </w:t>
      </w:r>
      <w:r w:rsidRPr="000977F7">
        <w:rPr>
          <w:rFonts w:asciiTheme="majorHAnsi" w:hAnsiTheme="majorHAnsi"/>
          <w:sz w:val="20"/>
          <w:szCs w:val="20"/>
        </w:rPr>
        <w:t>КОВАРІАЦІЙНОГО</w:t>
      </w:r>
      <w:r w:rsidRPr="000977F7">
        <w:rPr>
          <w:rFonts w:asciiTheme="majorHAnsi" w:hAnsiTheme="majorHAnsi"/>
          <w:spacing w:val="-4"/>
          <w:sz w:val="20"/>
          <w:szCs w:val="20"/>
        </w:rPr>
        <w:t xml:space="preserve"> </w:t>
      </w:r>
      <w:r w:rsidRPr="000977F7">
        <w:rPr>
          <w:rFonts w:asciiTheme="majorHAnsi" w:hAnsiTheme="majorHAnsi"/>
          <w:sz w:val="20"/>
          <w:szCs w:val="20"/>
        </w:rPr>
        <w:t>АНАЛІЗУ</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767757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Статистичний метод аналізу та обробки експериментальних</w:t>
      </w:r>
      <w:r w:rsidRPr="000977F7">
        <w:rPr>
          <w:rFonts w:asciiTheme="majorHAnsi" w:hAnsiTheme="majorHAnsi"/>
          <w:spacing w:val="4"/>
          <w:sz w:val="20"/>
          <w:szCs w:val="20"/>
        </w:rPr>
        <w:t xml:space="preserve"> </w:t>
      </w:r>
      <w:r w:rsidRPr="000977F7">
        <w:rPr>
          <w:rFonts w:asciiTheme="majorHAnsi" w:hAnsiTheme="majorHAnsi"/>
          <w:sz w:val="20"/>
          <w:szCs w:val="20"/>
        </w:rPr>
        <w:t>даних</w:t>
      </w:r>
      <w:r w:rsidRPr="000977F7">
        <w:rPr>
          <w:rFonts w:asciiTheme="majorHAnsi" w:hAnsiTheme="majorHAnsi"/>
          <w:spacing w:val="7"/>
          <w:sz w:val="20"/>
          <w:szCs w:val="20"/>
        </w:rPr>
        <w:t xml:space="preserve"> </w:t>
      </w:r>
      <w:r w:rsidRPr="000977F7">
        <w:rPr>
          <w:rFonts w:asciiTheme="majorHAnsi" w:hAnsiTheme="majorHAnsi"/>
          <w:sz w:val="20"/>
          <w:szCs w:val="20"/>
        </w:rPr>
        <w:t>при</w:t>
      </w:r>
      <w:r w:rsidRPr="000977F7">
        <w:rPr>
          <w:rFonts w:asciiTheme="majorHAnsi" w:hAnsiTheme="majorHAnsi"/>
          <w:spacing w:val="7"/>
          <w:sz w:val="20"/>
          <w:szCs w:val="20"/>
        </w:rPr>
        <w:t xml:space="preserve"> </w:t>
      </w:r>
      <w:r w:rsidRPr="000977F7">
        <w:rPr>
          <w:rFonts w:asciiTheme="majorHAnsi" w:hAnsiTheme="majorHAnsi"/>
          <w:sz w:val="20"/>
          <w:szCs w:val="20"/>
        </w:rPr>
        <w:t>впливі</w:t>
      </w:r>
      <w:r w:rsidRPr="000977F7">
        <w:rPr>
          <w:rFonts w:asciiTheme="majorHAnsi" w:hAnsiTheme="majorHAnsi"/>
          <w:spacing w:val="8"/>
          <w:sz w:val="20"/>
          <w:szCs w:val="20"/>
        </w:rPr>
        <w:t xml:space="preserve"> </w:t>
      </w:r>
      <w:r w:rsidRPr="000977F7">
        <w:rPr>
          <w:rFonts w:asciiTheme="majorHAnsi" w:hAnsiTheme="majorHAnsi"/>
          <w:sz w:val="20"/>
          <w:szCs w:val="20"/>
        </w:rPr>
        <w:t>на</w:t>
      </w:r>
      <w:r w:rsidRPr="000977F7">
        <w:rPr>
          <w:rFonts w:asciiTheme="majorHAnsi" w:hAnsiTheme="majorHAnsi"/>
          <w:spacing w:val="6"/>
          <w:sz w:val="20"/>
          <w:szCs w:val="20"/>
        </w:rPr>
        <w:t xml:space="preserve"> </w:t>
      </w:r>
      <w:r w:rsidRPr="000977F7">
        <w:rPr>
          <w:rFonts w:asciiTheme="majorHAnsi" w:hAnsiTheme="majorHAnsi"/>
          <w:sz w:val="20"/>
          <w:szCs w:val="20"/>
        </w:rPr>
        <w:t>відгук</w:t>
      </w:r>
      <w:r w:rsidRPr="000977F7">
        <w:rPr>
          <w:rFonts w:asciiTheme="majorHAnsi" w:hAnsiTheme="majorHAnsi"/>
          <w:spacing w:val="8"/>
          <w:sz w:val="20"/>
          <w:szCs w:val="20"/>
        </w:rPr>
        <w:t xml:space="preserve"> </w:t>
      </w:r>
      <w:r w:rsidRPr="000977F7">
        <w:rPr>
          <w:rFonts w:asciiTheme="majorHAnsi" w:hAnsiTheme="majorHAnsi"/>
          <w:sz w:val="20"/>
          <w:szCs w:val="20"/>
        </w:rPr>
        <w:t>як</w:t>
      </w:r>
      <w:r w:rsidRPr="000977F7">
        <w:rPr>
          <w:rFonts w:asciiTheme="majorHAnsi" w:hAnsiTheme="majorHAnsi"/>
          <w:spacing w:val="7"/>
          <w:sz w:val="20"/>
          <w:szCs w:val="20"/>
        </w:rPr>
        <w:t xml:space="preserve"> </w:t>
      </w:r>
      <w:r w:rsidRPr="000977F7">
        <w:rPr>
          <w:rFonts w:asciiTheme="majorHAnsi" w:hAnsiTheme="majorHAnsi"/>
          <w:sz w:val="20"/>
          <w:szCs w:val="20"/>
        </w:rPr>
        <w:t>кількісних,</w:t>
      </w:r>
      <w:r w:rsidRPr="000977F7">
        <w:rPr>
          <w:rFonts w:asciiTheme="majorHAnsi" w:hAnsiTheme="majorHAnsi"/>
          <w:spacing w:val="9"/>
          <w:sz w:val="20"/>
          <w:szCs w:val="20"/>
        </w:rPr>
        <w:t xml:space="preserve"> </w:t>
      </w:r>
      <w:r w:rsidRPr="000977F7">
        <w:rPr>
          <w:rFonts w:asciiTheme="majorHAnsi" w:hAnsiTheme="majorHAnsi"/>
          <w:sz w:val="20"/>
          <w:szCs w:val="20"/>
        </w:rPr>
        <w:t>так</w:t>
      </w:r>
      <w:r w:rsidRPr="000977F7">
        <w:rPr>
          <w:rFonts w:asciiTheme="majorHAnsi" w:hAnsiTheme="majorHAnsi"/>
          <w:spacing w:val="-48"/>
          <w:sz w:val="20"/>
          <w:szCs w:val="20"/>
        </w:rPr>
        <w:t xml:space="preserve"> </w:t>
      </w:r>
      <w:r w:rsidRPr="000977F7">
        <w:rPr>
          <w:rFonts w:asciiTheme="majorHAnsi" w:hAnsiTheme="majorHAnsi"/>
          <w:sz w:val="20"/>
          <w:szCs w:val="20"/>
        </w:rPr>
        <w:t>і якісних факторів, заснований на сполученні елементів</w:t>
      </w:r>
      <w:r w:rsidRPr="000977F7">
        <w:rPr>
          <w:rFonts w:asciiTheme="majorHAnsi" w:hAnsiTheme="majorHAnsi"/>
          <w:spacing w:val="-2"/>
          <w:sz w:val="20"/>
          <w:szCs w:val="20"/>
        </w:rPr>
        <w:t xml:space="preserve"> </w:t>
      </w:r>
      <w:r w:rsidRPr="000977F7">
        <w:rPr>
          <w:rFonts w:asciiTheme="majorHAnsi" w:hAnsiTheme="majorHAnsi"/>
          <w:sz w:val="20"/>
          <w:szCs w:val="20"/>
        </w:rPr>
        <w:t>регресійного та дисперсійного аналізу</w:t>
      </w:r>
    </w:p>
    <w:p w14:paraId="5B537DD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МЕТОД КОНТРОЛЮ </w:t>
      </w:r>
      <w:r w:rsidRPr="000977F7">
        <w:rPr>
          <w:rFonts w:asciiTheme="majorHAnsi" w:hAnsiTheme="majorHAnsi"/>
          <w:sz w:val="20"/>
          <w:szCs w:val="20"/>
        </w:rPr>
        <w:t>–</w:t>
      </w:r>
      <w:r w:rsidRPr="000977F7">
        <w:rPr>
          <w:rFonts w:asciiTheme="majorHAnsi" w:hAnsiTheme="majorHAnsi"/>
          <w:spacing w:val="-47"/>
          <w:sz w:val="20"/>
          <w:szCs w:val="20"/>
        </w:rPr>
        <w:t xml:space="preserve"> </w:t>
      </w:r>
      <w:r w:rsidRPr="000977F7">
        <w:rPr>
          <w:rFonts w:asciiTheme="majorHAnsi" w:hAnsiTheme="majorHAnsi"/>
          <w:sz w:val="20"/>
          <w:szCs w:val="20"/>
        </w:rPr>
        <w:t>INSPECTION</w:t>
      </w:r>
      <w:r w:rsidRPr="000977F7">
        <w:rPr>
          <w:rFonts w:asciiTheme="majorHAnsi" w:hAnsiTheme="majorHAnsi"/>
          <w:spacing w:val="-8"/>
          <w:sz w:val="20"/>
          <w:szCs w:val="20"/>
        </w:rPr>
        <w:t xml:space="preserve"> </w:t>
      </w:r>
      <w:r w:rsidRPr="000977F7">
        <w:rPr>
          <w:rFonts w:asciiTheme="majorHAnsi" w:hAnsiTheme="majorHAnsi"/>
          <w:sz w:val="20"/>
          <w:szCs w:val="20"/>
        </w:rPr>
        <w:t>METHOD</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2D0E8A9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Правила</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певних</w:t>
      </w:r>
      <w:r w:rsidRPr="000977F7">
        <w:rPr>
          <w:rFonts w:asciiTheme="majorHAnsi" w:hAnsiTheme="majorHAnsi"/>
          <w:spacing w:val="1"/>
          <w:sz w:val="20"/>
          <w:szCs w:val="20"/>
        </w:rPr>
        <w:t xml:space="preserve"> </w:t>
      </w:r>
      <w:r w:rsidRPr="000977F7">
        <w:rPr>
          <w:rFonts w:asciiTheme="majorHAnsi" w:hAnsiTheme="majorHAnsi"/>
          <w:sz w:val="20"/>
          <w:szCs w:val="20"/>
        </w:rPr>
        <w:t>принципів</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засобів</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p>
    <w:p w14:paraId="21E7067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3021 – 95</w:t>
      </w:r>
    </w:p>
    <w:p w14:paraId="36EFCDA3"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МЕТОД</w:t>
      </w:r>
      <w:r w:rsidRPr="004D2D14">
        <w:rPr>
          <w:rFonts w:asciiTheme="majorHAnsi" w:hAnsiTheme="majorHAnsi"/>
          <w:b/>
          <w:sz w:val="20"/>
          <w:szCs w:val="20"/>
          <w:lang w:val="en-US"/>
        </w:rPr>
        <w:t xml:space="preserve"> </w:t>
      </w:r>
      <w:r w:rsidRPr="000977F7">
        <w:rPr>
          <w:rFonts w:asciiTheme="majorHAnsi" w:hAnsiTheme="majorHAnsi"/>
          <w:b/>
          <w:sz w:val="20"/>
          <w:szCs w:val="20"/>
        </w:rPr>
        <w:t>КРАЙНІХ</w:t>
      </w:r>
      <w:r w:rsidRPr="004D2D14">
        <w:rPr>
          <w:rFonts w:asciiTheme="majorHAnsi" w:hAnsiTheme="majorHAnsi"/>
          <w:b/>
          <w:sz w:val="20"/>
          <w:szCs w:val="20"/>
          <w:lang w:val="en-US"/>
        </w:rPr>
        <w:t xml:space="preserve"> </w:t>
      </w:r>
      <w:r w:rsidRPr="000977F7">
        <w:rPr>
          <w:rFonts w:asciiTheme="majorHAnsi" w:hAnsiTheme="majorHAnsi"/>
          <w:b/>
          <w:sz w:val="20"/>
          <w:szCs w:val="20"/>
        </w:rPr>
        <w:t>ЗНАЧЕНЬ</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METHOD</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EXTREME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VALUES</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28B0A7D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Метод</w:t>
      </w:r>
      <w:r w:rsidRPr="000977F7">
        <w:rPr>
          <w:rFonts w:asciiTheme="majorHAnsi" w:hAnsiTheme="majorHAnsi"/>
          <w:spacing w:val="1"/>
          <w:sz w:val="20"/>
          <w:szCs w:val="20"/>
        </w:rPr>
        <w:t xml:space="preserve"> </w:t>
      </w:r>
      <w:r w:rsidRPr="000977F7">
        <w:rPr>
          <w:rFonts w:asciiTheme="majorHAnsi" w:hAnsiTheme="majorHAnsi"/>
          <w:sz w:val="20"/>
          <w:szCs w:val="20"/>
        </w:rPr>
        <w:t>статистичного</w:t>
      </w:r>
      <w:r w:rsidRPr="000977F7">
        <w:rPr>
          <w:rFonts w:asciiTheme="majorHAnsi" w:hAnsiTheme="majorHAnsi"/>
          <w:spacing w:val="1"/>
          <w:sz w:val="20"/>
          <w:szCs w:val="20"/>
        </w:rPr>
        <w:t xml:space="preserve"> </w:t>
      </w:r>
      <w:r w:rsidRPr="000977F7">
        <w:rPr>
          <w:rFonts w:asciiTheme="majorHAnsi" w:hAnsiTheme="majorHAnsi"/>
          <w:sz w:val="20"/>
          <w:szCs w:val="20"/>
        </w:rPr>
        <w:t>регулювання</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47"/>
          <w:sz w:val="20"/>
          <w:szCs w:val="20"/>
        </w:rPr>
        <w:t xml:space="preserve"> </w:t>
      </w:r>
      <w:r w:rsidRPr="000977F7">
        <w:rPr>
          <w:rFonts w:asciiTheme="majorHAnsi" w:hAnsiTheme="majorHAnsi"/>
          <w:sz w:val="20"/>
          <w:szCs w:val="20"/>
        </w:rPr>
        <w:t>процесу, який характеризується тим, що висновок про</w:t>
      </w:r>
      <w:r w:rsidRPr="000977F7">
        <w:rPr>
          <w:rFonts w:asciiTheme="majorHAnsi" w:hAnsiTheme="majorHAnsi"/>
          <w:spacing w:val="-47"/>
          <w:sz w:val="20"/>
          <w:szCs w:val="20"/>
        </w:rPr>
        <w:t xml:space="preserve"> </w:t>
      </w:r>
      <w:r w:rsidRPr="000977F7">
        <w:rPr>
          <w:rFonts w:asciiTheme="majorHAnsi" w:hAnsiTheme="majorHAnsi"/>
          <w:sz w:val="20"/>
          <w:szCs w:val="20"/>
        </w:rPr>
        <w:t>розлад процесу роблять на підставі</w:t>
      </w:r>
      <w:r w:rsidRPr="000977F7">
        <w:rPr>
          <w:rFonts w:asciiTheme="majorHAnsi" w:hAnsiTheme="majorHAnsi"/>
          <w:spacing w:val="1"/>
          <w:sz w:val="20"/>
          <w:szCs w:val="20"/>
        </w:rPr>
        <w:t xml:space="preserve"> </w:t>
      </w:r>
      <w:r w:rsidRPr="000977F7">
        <w:rPr>
          <w:rFonts w:asciiTheme="majorHAnsi" w:hAnsiTheme="majorHAnsi"/>
          <w:sz w:val="20"/>
          <w:szCs w:val="20"/>
        </w:rPr>
        <w:t>найбільших</w:t>
      </w:r>
      <w:r w:rsidRPr="000977F7">
        <w:rPr>
          <w:rFonts w:asciiTheme="majorHAnsi" w:hAnsiTheme="majorHAnsi"/>
          <w:spacing w:val="5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(чи) найменших значень контрольованих параметрів у</w:t>
      </w:r>
      <w:r w:rsidRPr="000977F7">
        <w:rPr>
          <w:rFonts w:asciiTheme="majorHAnsi" w:hAnsiTheme="majorHAnsi"/>
          <w:spacing w:val="-47"/>
          <w:sz w:val="20"/>
          <w:szCs w:val="20"/>
        </w:rPr>
        <w:t xml:space="preserve"> </w:t>
      </w:r>
      <w:r w:rsidRPr="000977F7">
        <w:rPr>
          <w:rFonts w:asciiTheme="majorHAnsi" w:hAnsiTheme="majorHAnsi"/>
          <w:sz w:val="20"/>
          <w:szCs w:val="20"/>
        </w:rPr>
        <w:t>вибірках</w:t>
      </w:r>
    </w:p>
    <w:p w14:paraId="1C24348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3400132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МЕТОД</w:t>
      </w:r>
      <w:r w:rsidRPr="000977F7">
        <w:rPr>
          <w:color w:val="auto"/>
          <w:spacing w:val="-5"/>
          <w:sz w:val="20"/>
          <w:szCs w:val="20"/>
        </w:rPr>
        <w:t xml:space="preserve"> </w:t>
      </w:r>
      <w:r w:rsidRPr="000977F7">
        <w:rPr>
          <w:color w:val="auto"/>
          <w:sz w:val="20"/>
          <w:szCs w:val="20"/>
        </w:rPr>
        <w:t>КРУТОГО</w:t>
      </w:r>
      <w:r w:rsidRPr="000977F7">
        <w:rPr>
          <w:color w:val="auto"/>
          <w:spacing w:val="-2"/>
          <w:sz w:val="20"/>
          <w:szCs w:val="20"/>
        </w:rPr>
        <w:t xml:space="preserve"> </w:t>
      </w:r>
      <w:r w:rsidRPr="000977F7">
        <w:rPr>
          <w:color w:val="auto"/>
          <w:sz w:val="20"/>
          <w:szCs w:val="20"/>
        </w:rPr>
        <w:t>СХОДЖЕННЯ</w:t>
      </w:r>
      <w:r w:rsidRPr="000977F7">
        <w:rPr>
          <w:color w:val="auto"/>
          <w:spacing w:val="-2"/>
          <w:sz w:val="20"/>
          <w:szCs w:val="20"/>
        </w:rPr>
        <w:t xml:space="preserve"> </w:t>
      </w:r>
      <w:r w:rsidRPr="000977F7">
        <w:rPr>
          <w:color w:val="auto"/>
          <w:sz w:val="20"/>
          <w:szCs w:val="20"/>
        </w:rPr>
        <w:t>–</w:t>
      </w:r>
    </w:p>
    <w:p w14:paraId="01ECBA6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експериментальної</w:t>
      </w:r>
      <w:r w:rsidRPr="000977F7">
        <w:rPr>
          <w:rFonts w:asciiTheme="majorHAnsi" w:hAnsiTheme="majorHAnsi"/>
          <w:spacing w:val="1"/>
          <w:sz w:val="20"/>
          <w:szCs w:val="20"/>
        </w:rPr>
        <w:t xml:space="preserve"> </w:t>
      </w:r>
      <w:r w:rsidRPr="000977F7">
        <w:rPr>
          <w:rFonts w:asciiTheme="majorHAnsi" w:hAnsiTheme="majorHAnsi"/>
          <w:sz w:val="20"/>
          <w:szCs w:val="20"/>
        </w:rPr>
        <w:t>оптимізації,</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поєднує</w:t>
      </w:r>
      <w:r w:rsidRPr="000977F7">
        <w:rPr>
          <w:rFonts w:asciiTheme="majorHAnsi" w:hAnsiTheme="majorHAnsi"/>
          <w:spacing w:val="1"/>
          <w:sz w:val="20"/>
          <w:szCs w:val="20"/>
        </w:rPr>
        <w:t xml:space="preserve"> </w:t>
      </w:r>
      <w:r w:rsidRPr="000977F7">
        <w:rPr>
          <w:rFonts w:asciiTheme="majorHAnsi" w:hAnsiTheme="majorHAnsi"/>
          <w:sz w:val="20"/>
          <w:szCs w:val="20"/>
        </w:rPr>
        <w:t>повний та дрібний факторний експеримент з рухом за</w:t>
      </w:r>
      <w:r w:rsidRPr="000977F7">
        <w:rPr>
          <w:rFonts w:asciiTheme="majorHAnsi" w:hAnsiTheme="majorHAnsi"/>
          <w:spacing w:val="1"/>
          <w:sz w:val="20"/>
          <w:szCs w:val="20"/>
        </w:rPr>
        <w:t xml:space="preserve"> </w:t>
      </w:r>
      <w:r w:rsidRPr="000977F7">
        <w:rPr>
          <w:rFonts w:asciiTheme="majorHAnsi" w:hAnsiTheme="majorHAnsi"/>
          <w:sz w:val="20"/>
          <w:szCs w:val="20"/>
        </w:rPr>
        <w:t>градієнтом функції</w:t>
      </w:r>
      <w:r w:rsidRPr="000977F7">
        <w:rPr>
          <w:rFonts w:asciiTheme="majorHAnsi" w:hAnsiTheme="majorHAnsi"/>
          <w:spacing w:val="-1"/>
          <w:sz w:val="20"/>
          <w:szCs w:val="20"/>
        </w:rPr>
        <w:t xml:space="preserve"> </w:t>
      </w:r>
      <w:r w:rsidRPr="000977F7">
        <w:rPr>
          <w:rFonts w:asciiTheme="majorHAnsi" w:hAnsiTheme="majorHAnsi"/>
          <w:sz w:val="20"/>
          <w:szCs w:val="20"/>
        </w:rPr>
        <w:t>відгуку</w:t>
      </w:r>
    </w:p>
    <w:p w14:paraId="71B6FFF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МЕТОД КУМУЛЯТИВНИХ СУМ </w:t>
      </w:r>
      <w:r w:rsidRPr="000977F7">
        <w:rPr>
          <w:rFonts w:asciiTheme="majorHAnsi" w:hAnsiTheme="majorHAnsi"/>
          <w:sz w:val="20"/>
          <w:szCs w:val="20"/>
        </w:rPr>
        <w:t>–</w:t>
      </w:r>
    </w:p>
    <w:p w14:paraId="14859F3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pacing w:val="-47"/>
          <w:sz w:val="20"/>
          <w:szCs w:val="20"/>
        </w:rPr>
        <w:t xml:space="preserve"> </w:t>
      </w:r>
      <w:r w:rsidRPr="000977F7">
        <w:rPr>
          <w:rFonts w:asciiTheme="majorHAnsi" w:hAnsiTheme="majorHAnsi"/>
          <w:sz w:val="20"/>
          <w:szCs w:val="20"/>
        </w:rPr>
        <w:t>CUSUM</w:t>
      </w:r>
      <w:r w:rsidRPr="000977F7">
        <w:rPr>
          <w:rFonts w:asciiTheme="majorHAnsi" w:hAnsiTheme="majorHAnsi"/>
          <w:spacing w:val="-1"/>
          <w:sz w:val="20"/>
          <w:szCs w:val="20"/>
        </w:rPr>
        <w:t xml:space="preserve"> </w:t>
      </w:r>
      <w:r w:rsidRPr="000977F7">
        <w:rPr>
          <w:rFonts w:asciiTheme="majorHAnsi" w:hAnsiTheme="majorHAnsi"/>
          <w:sz w:val="20"/>
          <w:szCs w:val="20"/>
        </w:rPr>
        <w:t>METHOD</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538CE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статистичного</w:t>
      </w:r>
      <w:r w:rsidRPr="000977F7">
        <w:rPr>
          <w:rFonts w:asciiTheme="majorHAnsi" w:hAnsiTheme="majorHAnsi"/>
          <w:spacing w:val="1"/>
          <w:sz w:val="20"/>
          <w:szCs w:val="20"/>
        </w:rPr>
        <w:t xml:space="preserve"> </w:t>
      </w:r>
      <w:r w:rsidRPr="000977F7">
        <w:rPr>
          <w:rFonts w:asciiTheme="majorHAnsi" w:hAnsiTheme="majorHAnsi"/>
          <w:sz w:val="20"/>
          <w:szCs w:val="20"/>
        </w:rPr>
        <w:t>регулювання</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характеризується</w:t>
      </w:r>
      <w:r w:rsidRPr="000977F7">
        <w:rPr>
          <w:rFonts w:asciiTheme="majorHAnsi" w:hAnsiTheme="majorHAnsi"/>
          <w:spacing w:val="1"/>
          <w:sz w:val="20"/>
          <w:szCs w:val="20"/>
        </w:rPr>
        <w:t xml:space="preserve"> </w:t>
      </w:r>
      <w:r w:rsidRPr="000977F7">
        <w:rPr>
          <w:rFonts w:asciiTheme="majorHAnsi" w:hAnsiTheme="majorHAnsi"/>
          <w:sz w:val="20"/>
          <w:szCs w:val="20"/>
        </w:rPr>
        <w:t>тим,</w:t>
      </w:r>
      <w:r w:rsidRPr="000977F7">
        <w:rPr>
          <w:rFonts w:asciiTheme="majorHAnsi" w:hAnsiTheme="majorHAnsi"/>
          <w:spacing w:val="50"/>
          <w:sz w:val="20"/>
          <w:szCs w:val="20"/>
        </w:rPr>
        <w:t xml:space="preserve"> </w:t>
      </w:r>
      <w:r w:rsidRPr="000977F7">
        <w:rPr>
          <w:rFonts w:asciiTheme="majorHAnsi" w:hAnsiTheme="majorHAnsi"/>
          <w:sz w:val="20"/>
          <w:szCs w:val="20"/>
        </w:rPr>
        <w:t>що</w:t>
      </w:r>
      <w:r w:rsidRPr="000977F7">
        <w:rPr>
          <w:rFonts w:asciiTheme="majorHAnsi" w:hAnsiTheme="majorHAnsi"/>
          <w:spacing w:val="50"/>
          <w:sz w:val="20"/>
          <w:szCs w:val="20"/>
        </w:rPr>
        <w:t xml:space="preserve"> </w:t>
      </w:r>
      <w:r w:rsidRPr="000977F7">
        <w:rPr>
          <w:rFonts w:asciiTheme="majorHAnsi" w:hAnsiTheme="majorHAnsi"/>
          <w:sz w:val="20"/>
          <w:szCs w:val="20"/>
        </w:rPr>
        <w:t>висновок</w:t>
      </w:r>
      <w:r w:rsidRPr="000977F7">
        <w:rPr>
          <w:rFonts w:asciiTheme="majorHAnsi" w:hAnsiTheme="majorHAnsi"/>
          <w:spacing w:val="1"/>
          <w:sz w:val="20"/>
          <w:szCs w:val="20"/>
        </w:rPr>
        <w:t xml:space="preserve"> </w:t>
      </w:r>
      <w:r w:rsidRPr="000977F7">
        <w:rPr>
          <w:rFonts w:asciiTheme="majorHAnsi" w:hAnsiTheme="majorHAnsi"/>
          <w:sz w:val="20"/>
          <w:szCs w:val="20"/>
        </w:rPr>
        <w:t>про розлад процесу роблять залежно від кумулятивних сум значень відповідної</w:t>
      </w:r>
      <w:r w:rsidRPr="000977F7">
        <w:rPr>
          <w:rFonts w:asciiTheme="majorHAnsi" w:hAnsiTheme="majorHAnsi"/>
          <w:spacing w:val="1"/>
          <w:sz w:val="20"/>
          <w:szCs w:val="20"/>
        </w:rPr>
        <w:t xml:space="preserve"> </w:t>
      </w:r>
      <w:r w:rsidRPr="000977F7">
        <w:rPr>
          <w:rFonts w:asciiTheme="majorHAnsi" w:hAnsiTheme="majorHAnsi"/>
          <w:sz w:val="20"/>
          <w:szCs w:val="20"/>
        </w:rPr>
        <w:t>вибіркової характеристики контрольованого параметра у міру їхнього накопичення</w:t>
      </w:r>
    </w:p>
    <w:p w14:paraId="4F5F8AB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3514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97</w:t>
      </w:r>
    </w:p>
    <w:p w14:paraId="1F5868F7"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МЕТОД</w:t>
      </w:r>
      <w:r w:rsidRPr="004D2D14">
        <w:rPr>
          <w:rFonts w:asciiTheme="majorHAnsi" w:hAnsiTheme="majorHAnsi"/>
          <w:b/>
          <w:sz w:val="20"/>
          <w:szCs w:val="20"/>
          <w:lang w:val="en-US"/>
        </w:rPr>
        <w:t xml:space="preserve"> </w:t>
      </w:r>
      <w:r w:rsidRPr="000977F7">
        <w:rPr>
          <w:rFonts w:asciiTheme="majorHAnsi" w:hAnsiTheme="majorHAnsi"/>
          <w:b/>
          <w:sz w:val="20"/>
          <w:szCs w:val="20"/>
        </w:rPr>
        <w:t>МЕДІАН</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p>
    <w:p w14:paraId="1DBF9C35"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METHOD</w:t>
      </w:r>
      <w:r w:rsidRPr="004D2D14">
        <w:rPr>
          <w:rFonts w:asciiTheme="majorHAnsi" w:hAnsiTheme="majorHAnsi"/>
          <w:spacing w:val="-9"/>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9"/>
          <w:sz w:val="20"/>
          <w:szCs w:val="20"/>
          <w:lang w:val="en-US"/>
        </w:rPr>
        <w:t xml:space="preserve"> </w:t>
      </w:r>
      <w:r w:rsidRPr="004D2D14">
        <w:rPr>
          <w:rFonts w:asciiTheme="majorHAnsi" w:hAnsiTheme="majorHAnsi"/>
          <w:sz w:val="20"/>
          <w:szCs w:val="20"/>
          <w:lang w:val="en-US"/>
        </w:rPr>
        <w:t>MEDIANS–</w:t>
      </w:r>
    </w:p>
    <w:p w14:paraId="5AD853E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статистичного</w:t>
      </w:r>
      <w:r w:rsidRPr="000977F7">
        <w:rPr>
          <w:rFonts w:asciiTheme="majorHAnsi" w:hAnsiTheme="majorHAnsi"/>
          <w:spacing w:val="1"/>
          <w:sz w:val="20"/>
          <w:szCs w:val="20"/>
        </w:rPr>
        <w:t xml:space="preserve"> </w:t>
      </w:r>
      <w:r w:rsidRPr="000977F7">
        <w:rPr>
          <w:rFonts w:asciiTheme="majorHAnsi" w:hAnsiTheme="majorHAnsi"/>
          <w:sz w:val="20"/>
          <w:szCs w:val="20"/>
        </w:rPr>
        <w:t>регулювання</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47"/>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характеризується</w:t>
      </w:r>
      <w:r w:rsidRPr="000977F7">
        <w:rPr>
          <w:rFonts w:asciiTheme="majorHAnsi" w:hAnsiTheme="majorHAnsi"/>
          <w:spacing w:val="1"/>
          <w:sz w:val="20"/>
          <w:szCs w:val="20"/>
        </w:rPr>
        <w:t xml:space="preserve"> </w:t>
      </w:r>
      <w:r w:rsidRPr="000977F7">
        <w:rPr>
          <w:rFonts w:asciiTheme="majorHAnsi" w:hAnsiTheme="majorHAnsi"/>
          <w:sz w:val="20"/>
          <w:szCs w:val="20"/>
        </w:rPr>
        <w:t>тим,</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50"/>
          <w:sz w:val="20"/>
          <w:szCs w:val="20"/>
        </w:rPr>
        <w:t xml:space="preserve"> </w:t>
      </w:r>
      <w:r w:rsidRPr="000977F7">
        <w:rPr>
          <w:rFonts w:asciiTheme="majorHAnsi" w:hAnsiTheme="majorHAnsi"/>
          <w:sz w:val="20"/>
          <w:szCs w:val="20"/>
        </w:rPr>
        <w:t>висновок</w:t>
      </w:r>
      <w:r w:rsidRPr="000977F7">
        <w:rPr>
          <w:rFonts w:asciiTheme="majorHAnsi" w:hAnsiTheme="majorHAnsi"/>
          <w:spacing w:val="-47"/>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розлад</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роблять</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підставі</w:t>
      </w:r>
      <w:r w:rsidRPr="000977F7">
        <w:rPr>
          <w:rFonts w:asciiTheme="majorHAnsi" w:hAnsiTheme="majorHAnsi"/>
          <w:spacing w:val="1"/>
          <w:sz w:val="20"/>
          <w:szCs w:val="20"/>
        </w:rPr>
        <w:t xml:space="preserve"> </w:t>
      </w:r>
      <w:r w:rsidRPr="000977F7">
        <w:rPr>
          <w:rFonts w:asciiTheme="majorHAnsi" w:hAnsiTheme="majorHAnsi"/>
          <w:sz w:val="20"/>
          <w:szCs w:val="20"/>
        </w:rPr>
        <w:t>вибіркових</w:t>
      </w:r>
      <w:r w:rsidRPr="000977F7">
        <w:rPr>
          <w:rFonts w:asciiTheme="majorHAnsi" w:hAnsiTheme="majorHAnsi"/>
          <w:spacing w:val="-47"/>
          <w:sz w:val="20"/>
          <w:szCs w:val="20"/>
        </w:rPr>
        <w:t xml:space="preserve"> </w:t>
      </w:r>
      <w:r w:rsidRPr="000977F7">
        <w:rPr>
          <w:rFonts w:asciiTheme="majorHAnsi" w:hAnsiTheme="majorHAnsi"/>
          <w:sz w:val="20"/>
          <w:szCs w:val="20"/>
        </w:rPr>
        <w:t>медіан</w:t>
      </w:r>
      <w:r w:rsidRPr="000977F7">
        <w:rPr>
          <w:rFonts w:asciiTheme="majorHAnsi" w:hAnsiTheme="majorHAnsi"/>
          <w:spacing w:val="-2"/>
          <w:sz w:val="20"/>
          <w:szCs w:val="20"/>
        </w:rPr>
        <w:t xml:space="preserve"> </w:t>
      </w:r>
      <w:r w:rsidRPr="000977F7">
        <w:rPr>
          <w:rFonts w:asciiTheme="majorHAnsi" w:hAnsiTheme="majorHAnsi"/>
          <w:sz w:val="20"/>
          <w:szCs w:val="20"/>
        </w:rPr>
        <w:t>контрольованих</w:t>
      </w:r>
      <w:r w:rsidRPr="000977F7">
        <w:rPr>
          <w:rFonts w:asciiTheme="majorHAnsi" w:hAnsiTheme="majorHAnsi"/>
          <w:spacing w:val="-1"/>
          <w:sz w:val="20"/>
          <w:szCs w:val="20"/>
        </w:rPr>
        <w:t xml:space="preserve"> </w:t>
      </w:r>
      <w:r w:rsidRPr="000977F7">
        <w:rPr>
          <w:rFonts w:asciiTheme="majorHAnsi" w:hAnsiTheme="majorHAnsi"/>
          <w:sz w:val="20"/>
          <w:szCs w:val="20"/>
        </w:rPr>
        <w:t>параметрів</w:t>
      </w:r>
    </w:p>
    <w:p w14:paraId="3816A22D"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3514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97</w:t>
      </w:r>
    </w:p>
    <w:p w14:paraId="57585E1B"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МЕТОД</w:t>
      </w:r>
      <w:r w:rsidRPr="004D2D14">
        <w:rPr>
          <w:rFonts w:asciiTheme="majorHAnsi" w:hAnsiTheme="majorHAnsi"/>
          <w:b/>
          <w:sz w:val="20"/>
          <w:szCs w:val="20"/>
          <w:lang w:val="en-US"/>
        </w:rPr>
        <w:t xml:space="preserve"> </w:t>
      </w:r>
      <w:r w:rsidRPr="000977F7">
        <w:rPr>
          <w:rFonts w:asciiTheme="majorHAnsi" w:hAnsiTheme="majorHAnsi"/>
          <w:b/>
          <w:sz w:val="20"/>
          <w:szCs w:val="20"/>
        </w:rPr>
        <w:t>НЕРУЙНІВНОГО</w:t>
      </w:r>
      <w:r w:rsidRPr="004D2D14">
        <w:rPr>
          <w:rFonts w:asciiTheme="majorHAnsi" w:hAnsiTheme="majorHAnsi"/>
          <w:b/>
          <w:sz w:val="20"/>
          <w:szCs w:val="20"/>
          <w:lang w:val="en-US"/>
        </w:rPr>
        <w:t xml:space="preserve"> </w:t>
      </w:r>
      <w:r w:rsidRPr="000977F7">
        <w:rPr>
          <w:rFonts w:asciiTheme="majorHAnsi" w:hAnsiTheme="majorHAnsi"/>
          <w:b/>
          <w:sz w:val="20"/>
          <w:szCs w:val="20"/>
        </w:rPr>
        <w:t>КОНТРОЛЮ</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METHOD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NONDESTRUCTIVE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INSPECTION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741F0FC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контролю, за якого не повинна порушуватися</w:t>
      </w:r>
      <w:r w:rsidRPr="000977F7">
        <w:rPr>
          <w:rFonts w:asciiTheme="majorHAnsi" w:hAnsiTheme="majorHAnsi"/>
          <w:spacing w:val="1"/>
          <w:sz w:val="20"/>
          <w:szCs w:val="20"/>
        </w:rPr>
        <w:t xml:space="preserve"> </w:t>
      </w:r>
      <w:r w:rsidRPr="000977F7">
        <w:rPr>
          <w:rFonts w:asciiTheme="majorHAnsi" w:hAnsiTheme="majorHAnsi"/>
          <w:sz w:val="20"/>
          <w:szCs w:val="20"/>
        </w:rPr>
        <w:t>придатність</w:t>
      </w:r>
      <w:r w:rsidRPr="000977F7">
        <w:rPr>
          <w:rFonts w:asciiTheme="majorHAnsi" w:hAnsiTheme="majorHAnsi"/>
          <w:spacing w:val="-1"/>
          <w:sz w:val="20"/>
          <w:szCs w:val="20"/>
        </w:rPr>
        <w:t xml:space="preserve"> </w:t>
      </w:r>
      <w:r w:rsidRPr="000977F7">
        <w:rPr>
          <w:rFonts w:asciiTheme="majorHAnsi" w:hAnsiTheme="majorHAnsi"/>
          <w:sz w:val="20"/>
          <w:szCs w:val="20"/>
        </w:rPr>
        <w:t>об’єкта до</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p>
    <w:p w14:paraId="66ACC9D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0DC9004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Правила</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певних</w:t>
      </w:r>
      <w:r w:rsidRPr="000977F7">
        <w:rPr>
          <w:rFonts w:asciiTheme="majorHAnsi" w:hAnsiTheme="majorHAnsi"/>
          <w:spacing w:val="1"/>
          <w:sz w:val="20"/>
          <w:szCs w:val="20"/>
        </w:rPr>
        <w:t xml:space="preserve"> </w:t>
      </w:r>
      <w:r w:rsidRPr="000977F7">
        <w:rPr>
          <w:rFonts w:asciiTheme="majorHAnsi" w:hAnsiTheme="majorHAnsi"/>
          <w:sz w:val="20"/>
          <w:szCs w:val="20"/>
        </w:rPr>
        <w:t>прийомів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засобів</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 за якими не повинна бути пропущена</w:t>
      </w:r>
      <w:r w:rsidRPr="000977F7">
        <w:rPr>
          <w:rFonts w:asciiTheme="majorHAnsi" w:hAnsiTheme="majorHAnsi"/>
          <w:spacing w:val="1"/>
          <w:sz w:val="20"/>
          <w:szCs w:val="20"/>
        </w:rPr>
        <w:t xml:space="preserve"> </w:t>
      </w:r>
      <w:r w:rsidRPr="000977F7">
        <w:rPr>
          <w:rFonts w:asciiTheme="majorHAnsi" w:hAnsiTheme="majorHAnsi"/>
          <w:sz w:val="20"/>
          <w:szCs w:val="20"/>
        </w:rPr>
        <w:t>придатність</w:t>
      </w:r>
      <w:r w:rsidRPr="000977F7">
        <w:rPr>
          <w:rFonts w:asciiTheme="majorHAnsi" w:hAnsiTheme="majorHAnsi"/>
          <w:spacing w:val="-1"/>
          <w:sz w:val="20"/>
          <w:szCs w:val="20"/>
        </w:rPr>
        <w:t xml:space="preserve"> </w:t>
      </w:r>
      <w:r w:rsidRPr="000977F7">
        <w:rPr>
          <w:rFonts w:asciiTheme="majorHAnsi" w:hAnsiTheme="majorHAnsi"/>
          <w:sz w:val="20"/>
          <w:szCs w:val="20"/>
        </w:rPr>
        <w:t>об’єкту</w:t>
      </w:r>
      <w:r w:rsidRPr="000977F7">
        <w:rPr>
          <w:rFonts w:asciiTheme="majorHAnsi" w:hAnsiTheme="majorHAnsi"/>
          <w:spacing w:val="-2"/>
          <w:sz w:val="20"/>
          <w:szCs w:val="20"/>
        </w:rPr>
        <w:t xml:space="preserve"> </w:t>
      </w:r>
      <w:r w:rsidRPr="000977F7">
        <w:rPr>
          <w:rFonts w:asciiTheme="majorHAnsi" w:hAnsiTheme="majorHAnsi"/>
          <w:sz w:val="20"/>
          <w:szCs w:val="20"/>
        </w:rPr>
        <w:t>щодо застосування</w:t>
      </w:r>
    </w:p>
    <w:p w14:paraId="731C40DD"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2865 - 94</w:t>
      </w:r>
    </w:p>
    <w:p w14:paraId="1DF14A69"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МЕТОД</w:t>
      </w:r>
      <w:r w:rsidRPr="004D2D14">
        <w:rPr>
          <w:rFonts w:asciiTheme="majorHAnsi" w:hAnsiTheme="majorHAnsi"/>
          <w:b/>
          <w:sz w:val="20"/>
          <w:szCs w:val="20"/>
          <w:lang w:val="en-US"/>
        </w:rPr>
        <w:t xml:space="preserve"> </w:t>
      </w:r>
      <w:r w:rsidRPr="000977F7">
        <w:rPr>
          <w:rFonts w:asciiTheme="majorHAnsi" w:hAnsiTheme="majorHAnsi"/>
          <w:b/>
          <w:sz w:val="20"/>
          <w:szCs w:val="20"/>
        </w:rPr>
        <w:t>ОБЛІКУ</w:t>
      </w:r>
      <w:r w:rsidRPr="004D2D14">
        <w:rPr>
          <w:rFonts w:asciiTheme="majorHAnsi" w:hAnsiTheme="majorHAnsi"/>
          <w:b/>
          <w:sz w:val="20"/>
          <w:szCs w:val="20"/>
          <w:lang w:val="en-US"/>
        </w:rPr>
        <w:t xml:space="preserve"> </w:t>
      </w:r>
      <w:r w:rsidRPr="000977F7">
        <w:rPr>
          <w:rFonts w:asciiTheme="majorHAnsi" w:hAnsiTheme="majorHAnsi"/>
          <w:b/>
          <w:sz w:val="20"/>
          <w:szCs w:val="20"/>
        </w:rPr>
        <w:t>ДЕФЕКТІВ</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p>
    <w:p w14:paraId="4CC055D1"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METHOD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SCORE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DEFECTS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09A90B3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статистичного</w:t>
      </w:r>
      <w:r w:rsidRPr="000977F7">
        <w:rPr>
          <w:rFonts w:asciiTheme="majorHAnsi" w:hAnsiTheme="majorHAnsi"/>
          <w:spacing w:val="1"/>
          <w:sz w:val="20"/>
          <w:szCs w:val="20"/>
        </w:rPr>
        <w:t xml:space="preserve"> </w:t>
      </w:r>
      <w:r w:rsidRPr="000977F7">
        <w:rPr>
          <w:rFonts w:asciiTheme="majorHAnsi" w:hAnsiTheme="majorHAnsi"/>
          <w:sz w:val="20"/>
          <w:szCs w:val="20"/>
        </w:rPr>
        <w:t>регулювання</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47"/>
          <w:sz w:val="20"/>
          <w:szCs w:val="20"/>
        </w:rPr>
        <w:t xml:space="preserve"> </w:t>
      </w:r>
      <w:r w:rsidRPr="000977F7">
        <w:rPr>
          <w:rFonts w:asciiTheme="majorHAnsi" w:hAnsiTheme="majorHAnsi"/>
          <w:sz w:val="20"/>
          <w:szCs w:val="20"/>
        </w:rPr>
        <w:t>процесу, який характеризується тим, що висновок про</w:t>
      </w:r>
      <w:r w:rsidRPr="000977F7">
        <w:rPr>
          <w:rFonts w:asciiTheme="majorHAnsi" w:hAnsiTheme="majorHAnsi"/>
          <w:spacing w:val="-47"/>
          <w:sz w:val="20"/>
          <w:szCs w:val="20"/>
        </w:rPr>
        <w:t xml:space="preserve"> </w:t>
      </w:r>
      <w:r w:rsidRPr="000977F7">
        <w:rPr>
          <w:rFonts w:asciiTheme="majorHAnsi" w:hAnsiTheme="majorHAnsi"/>
          <w:sz w:val="20"/>
          <w:szCs w:val="20"/>
        </w:rPr>
        <w:t>розлад процесу роблять на підставі</w:t>
      </w:r>
      <w:r w:rsidRPr="000977F7">
        <w:rPr>
          <w:rFonts w:asciiTheme="majorHAnsi" w:hAnsiTheme="majorHAnsi"/>
          <w:spacing w:val="1"/>
          <w:sz w:val="20"/>
          <w:szCs w:val="20"/>
        </w:rPr>
        <w:t xml:space="preserve"> </w:t>
      </w:r>
      <w:r w:rsidRPr="000977F7">
        <w:rPr>
          <w:rFonts w:asciiTheme="majorHAnsi" w:hAnsiTheme="majorHAnsi"/>
          <w:sz w:val="20"/>
          <w:szCs w:val="20"/>
        </w:rPr>
        <w:t>кількості дефектів</w:t>
      </w:r>
      <w:r w:rsidRPr="000977F7">
        <w:rPr>
          <w:rFonts w:asciiTheme="majorHAnsi" w:hAnsiTheme="majorHAnsi"/>
          <w:spacing w:val="-47"/>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дефектних</w:t>
      </w:r>
      <w:r w:rsidRPr="000977F7">
        <w:rPr>
          <w:rFonts w:asciiTheme="majorHAnsi" w:hAnsiTheme="majorHAnsi"/>
          <w:spacing w:val="1"/>
          <w:sz w:val="20"/>
          <w:szCs w:val="20"/>
        </w:rPr>
        <w:t xml:space="preserve"> </w:t>
      </w:r>
      <w:r w:rsidRPr="000977F7">
        <w:rPr>
          <w:rFonts w:asciiTheme="majorHAnsi" w:hAnsiTheme="majorHAnsi"/>
          <w:sz w:val="20"/>
          <w:szCs w:val="20"/>
        </w:rPr>
        <w:t>одиниць</w:t>
      </w:r>
      <w:r w:rsidRPr="000977F7">
        <w:rPr>
          <w:rFonts w:asciiTheme="majorHAnsi" w:hAnsiTheme="majorHAnsi"/>
          <w:spacing w:val="1"/>
          <w:sz w:val="20"/>
          <w:szCs w:val="20"/>
        </w:rPr>
        <w:t xml:space="preserve"> </w:t>
      </w:r>
      <w:r w:rsidRPr="000977F7">
        <w:rPr>
          <w:rFonts w:asciiTheme="majorHAnsi" w:hAnsiTheme="majorHAnsi"/>
          <w:sz w:val="20"/>
          <w:szCs w:val="20"/>
        </w:rPr>
        <w:t>виготовлюваної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вибірках</w:t>
      </w:r>
    </w:p>
    <w:p w14:paraId="351F2F9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3514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97</w:t>
      </w:r>
    </w:p>
    <w:p w14:paraId="08719710"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МЕТОД</w:t>
      </w:r>
      <w:r w:rsidRPr="004D2D14">
        <w:rPr>
          <w:rFonts w:asciiTheme="majorHAnsi" w:hAnsiTheme="majorHAnsi"/>
          <w:b/>
          <w:sz w:val="20"/>
          <w:szCs w:val="20"/>
          <w:lang w:val="en-US"/>
        </w:rPr>
        <w:t xml:space="preserve"> </w:t>
      </w:r>
      <w:r w:rsidRPr="000977F7">
        <w:rPr>
          <w:rFonts w:asciiTheme="majorHAnsi" w:hAnsiTheme="majorHAnsi"/>
          <w:b/>
          <w:sz w:val="20"/>
          <w:szCs w:val="20"/>
        </w:rPr>
        <w:t>РОЗМАХІВ</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p>
    <w:p w14:paraId="08BD072D"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METHOD</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RANGES</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w:t>
      </w:r>
    </w:p>
    <w:p w14:paraId="56C8EB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статистичного</w:t>
      </w:r>
      <w:r w:rsidRPr="000977F7">
        <w:rPr>
          <w:rFonts w:asciiTheme="majorHAnsi" w:hAnsiTheme="majorHAnsi"/>
          <w:spacing w:val="1"/>
          <w:sz w:val="20"/>
          <w:szCs w:val="20"/>
        </w:rPr>
        <w:t xml:space="preserve"> </w:t>
      </w:r>
      <w:r w:rsidRPr="000977F7">
        <w:rPr>
          <w:rFonts w:asciiTheme="majorHAnsi" w:hAnsiTheme="majorHAnsi"/>
          <w:sz w:val="20"/>
          <w:szCs w:val="20"/>
        </w:rPr>
        <w:t>регулювання</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47"/>
          <w:sz w:val="20"/>
          <w:szCs w:val="20"/>
        </w:rPr>
        <w:t xml:space="preserve"> </w:t>
      </w:r>
      <w:r w:rsidRPr="000977F7">
        <w:rPr>
          <w:rFonts w:asciiTheme="majorHAnsi" w:hAnsiTheme="majorHAnsi"/>
          <w:sz w:val="20"/>
          <w:szCs w:val="20"/>
        </w:rPr>
        <w:t>процесу, який характеризується тим, що висновок про</w:t>
      </w:r>
      <w:r w:rsidRPr="000977F7">
        <w:rPr>
          <w:rFonts w:asciiTheme="majorHAnsi" w:hAnsiTheme="majorHAnsi"/>
          <w:spacing w:val="-47"/>
          <w:sz w:val="20"/>
          <w:szCs w:val="20"/>
        </w:rPr>
        <w:t xml:space="preserve"> </w:t>
      </w:r>
      <w:r w:rsidRPr="000977F7">
        <w:rPr>
          <w:rFonts w:asciiTheme="majorHAnsi" w:hAnsiTheme="majorHAnsi"/>
          <w:sz w:val="20"/>
          <w:szCs w:val="20"/>
        </w:rPr>
        <w:t>розлад процесу роблять на підставі вибіркових розмахів</w:t>
      </w:r>
      <w:r w:rsidRPr="000977F7">
        <w:rPr>
          <w:rFonts w:asciiTheme="majorHAnsi" w:hAnsiTheme="majorHAnsi"/>
          <w:spacing w:val="-2"/>
          <w:sz w:val="20"/>
          <w:szCs w:val="20"/>
        </w:rPr>
        <w:t xml:space="preserve"> </w:t>
      </w:r>
      <w:r w:rsidRPr="000977F7">
        <w:rPr>
          <w:rFonts w:asciiTheme="majorHAnsi" w:hAnsiTheme="majorHAnsi"/>
          <w:sz w:val="20"/>
          <w:szCs w:val="20"/>
        </w:rPr>
        <w:t>контрольованих</w:t>
      </w:r>
      <w:r w:rsidRPr="000977F7">
        <w:rPr>
          <w:rFonts w:asciiTheme="majorHAnsi" w:hAnsiTheme="majorHAnsi"/>
          <w:spacing w:val="-1"/>
          <w:sz w:val="20"/>
          <w:szCs w:val="20"/>
        </w:rPr>
        <w:t xml:space="preserve"> </w:t>
      </w:r>
      <w:r w:rsidRPr="000977F7">
        <w:rPr>
          <w:rFonts w:asciiTheme="majorHAnsi" w:hAnsiTheme="majorHAnsi"/>
          <w:sz w:val="20"/>
          <w:szCs w:val="20"/>
        </w:rPr>
        <w:t>параметрів</w:t>
      </w:r>
    </w:p>
    <w:p w14:paraId="7511396B"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3514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97</w:t>
      </w:r>
    </w:p>
    <w:p w14:paraId="30D4C425"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МЕТОД</w:t>
      </w:r>
      <w:r w:rsidRPr="004D2D14">
        <w:rPr>
          <w:rFonts w:asciiTheme="majorHAnsi" w:hAnsiTheme="majorHAnsi"/>
          <w:b/>
          <w:sz w:val="20"/>
          <w:szCs w:val="20"/>
          <w:lang w:val="en-US"/>
        </w:rPr>
        <w:t xml:space="preserve"> </w:t>
      </w:r>
      <w:r w:rsidRPr="000977F7">
        <w:rPr>
          <w:rFonts w:asciiTheme="majorHAnsi" w:hAnsiTheme="majorHAnsi"/>
          <w:b/>
          <w:sz w:val="20"/>
          <w:szCs w:val="20"/>
        </w:rPr>
        <w:t>РУЙНІВНОГО</w:t>
      </w:r>
      <w:r w:rsidRPr="004D2D14">
        <w:rPr>
          <w:rFonts w:asciiTheme="majorHAnsi" w:hAnsiTheme="majorHAnsi"/>
          <w:b/>
          <w:sz w:val="20"/>
          <w:szCs w:val="20"/>
          <w:lang w:val="en-US"/>
        </w:rPr>
        <w:t xml:space="preserve"> </w:t>
      </w:r>
      <w:r w:rsidRPr="000977F7">
        <w:rPr>
          <w:rFonts w:asciiTheme="majorHAnsi" w:hAnsiTheme="majorHAnsi"/>
          <w:b/>
          <w:sz w:val="20"/>
          <w:szCs w:val="20"/>
        </w:rPr>
        <w:t>КОНТРОЛЮ</w:t>
      </w:r>
      <w:r w:rsidRPr="004D2D14">
        <w:rPr>
          <w:rFonts w:asciiTheme="majorHAnsi" w:hAnsiTheme="majorHAnsi"/>
          <w:b/>
          <w:sz w:val="20"/>
          <w:szCs w:val="20"/>
          <w:lang w:val="en-US"/>
        </w:rPr>
        <w:t xml:space="preserve"> </w:t>
      </w:r>
      <w:r w:rsidRPr="004D2D14">
        <w:rPr>
          <w:rFonts w:asciiTheme="majorHAnsi" w:hAnsiTheme="majorHAnsi"/>
          <w:sz w:val="20"/>
          <w:szCs w:val="20"/>
          <w:lang w:val="en-US"/>
        </w:rPr>
        <w:t>–METHOD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DESTRUCTIVE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INSPECTION –</w:t>
      </w:r>
    </w:p>
    <w:p w14:paraId="6D7586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контролю, за якого може бути порушена придатність</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3"/>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p>
    <w:p w14:paraId="50A651E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7A22A8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МЕТОД</w:t>
      </w:r>
      <w:r w:rsidRPr="000977F7">
        <w:rPr>
          <w:color w:val="auto"/>
          <w:spacing w:val="-5"/>
          <w:sz w:val="20"/>
          <w:szCs w:val="20"/>
        </w:rPr>
        <w:t xml:space="preserve"> </w:t>
      </w:r>
      <w:r w:rsidRPr="000977F7">
        <w:rPr>
          <w:color w:val="auto"/>
          <w:sz w:val="20"/>
          <w:szCs w:val="20"/>
        </w:rPr>
        <w:t>СЕРЕДНІХ</w:t>
      </w:r>
      <w:r w:rsidRPr="000977F7">
        <w:rPr>
          <w:color w:val="auto"/>
          <w:spacing w:val="-3"/>
          <w:sz w:val="20"/>
          <w:szCs w:val="20"/>
        </w:rPr>
        <w:t xml:space="preserve"> </w:t>
      </w:r>
      <w:r w:rsidRPr="000977F7">
        <w:rPr>
          <w:color w:val="auto"/>
          <w:sz w:val="20"/>
          <w:szCs w:val="20"/>
        </w:rPr>
        <w:t>АРИФМЕТИЧНИХ –</w:t>
      </w:r>
    </w:p>
    <w:p w14:paraId="434705D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METHOD</w:t>
      </w:r>
      <w:r w:rsidRPr="000977F7">
        <w:rPr>
          <w:rFonts w:asciiTheme="majorHAnsi" w:hAnsiTheme="majorHAnsi"/>
          <w:spacing w:val="-2"/>
          <w:sz w:val="20"/>
          <w:szCs w:val="20"/>
        </w:rPr>
        <w:t xml:space="preserve"> </w:t>
      </w:r>
      <w:r w:rsidRPr="000977F7">
        <w:rPr>
          <w:rFonts w:asciiTheme="majorHAnsi" w:hAnsiTheme="majorHAnsi"/>
          <w:sz w:val="20"/>
          <w:szCs w:val="20"/>
        </w:rPr>
        <w:t>OF</w:t>
      </w:r>
      <w:r w:rsidRPr="000977F7">
        <w:rPr>
          <w:rFonts w:asciiTheme="majorHAnsi" w:hAnsiTheme="majorHAnsi"/>
          <w:spacing w:val="-2"/>
          <w:sz w:val="20"/>
          <w:szCs w:val="20"/>
        </w:rPr>
        <w:t xml:space="preserve"> </w:t>
      </w:r>
      <w:r w:rsidRPr="000977F7">
        <w:rPr>
          <w:rFonts w:asciiTheme="majorHAnsi" w:hAnsiTheme="majorHAnsi"/>
          <w:sz w:val="20"/>
          <w:szCs w:val="20"/>
        </w:rPr>
        <w:t>ARITHMETIC</w:t>
      </w:r>
      <w:r w:rsidRPr="000977F7">
        <w:rPr>
          <w:rFonts w:asciiTheme="majorHAnsi" w:hAnsiTheme="majorHAnsi"/>
          <w:spacing w:val="-2"/>
          <w:sz w:val="20"/>
          <w:szCs w:val="20"/>
        </w:rPr>
        <w:t xml:space="preserve"> </w:t>
      </w:r>
      <w:r w:rsidRPr="000977F7">
        <w:rPr>
          <w:rFonts w:asciiTheme="majorHAnsi" w:hAnsiTheme="majorHAnsi"/>
          <w:sz w:val="20"/>
          <w:szCs w:val="20"/>
        </w:rPr>
        <w:t>MEANS</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6B7DF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статистичного</w:t>
      </w:r>
      <w:r w:rsidRPr="000977F7">
        <w:rPr>
          <w:rFonts w:asciiTheme="majorHAnsi" w:hAnsiTheme="majorHAnsi"/>
          <w:spacing w:val="1"/>
          <w:sz w:val="20"/>
          <w:szCs w:val="20"/>
        </w:rPr>
        <w:t xml:space="preserve"> </w:t>
      </w:r>
      <w:r w:rsidRPr="000977F7">
        <w:rPr>
          <w:rFonts w:asciiTheme="majorHAnsi" w:hAnsiTheme="majorHAnsi"/>
          <w:sz w:val="20"/>
          <w:szCs w:val="20"/>
        </w:rPr>
        <w:t>регулювання</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47"/>
          <w:sz w:val="20"/>
          <w:szCs w:val="20"/>
        </w:rPr>
        <w:t xml:space="preserve"> </w:t>
      </w:r>
      <w:r w:rsidRPr="000977F7">
        <w:rPr>
          <w:rFonts w:asciiTheme="majorHAnsi" w:hAnsiTheme="majorHAnsi"/>
          <w:sz w:val="20"/>
          <w:szCs w:val="20"/>
        </w:rPr>
        <w:t>процесу, який характеризується тим, що висновок про</w:t>
      </w:r>
      <w:r w:rsidRPr="000977F7">
        <w:rPr>
          <w:rFonts w:asciiTheme="majorHAnsi" w:hAnsiTheme="majorHAnsi"/>
          <w:spacing w:val="-47"/>
          <w:sz w:val="20"/>
          <w:szCs w:val="20"/>
        </w:rPr>
        <w:t xml:space="preserve"> </w:t>
      </w:r>
      <w:r w:rsidRPr="000977F7">
        <w:rPr>
          <w:rFonts w:asciiTheme="majorHAnsi" w:hAnsiTheme="majorHAnsi"/>
          <w:sz w:val="20"/>
          <w:szCs w:val="20"/>
        </w:rPr>
        <w:t>розлад процесу роблять на підставі вибіркових середніх</w:t>
      </w:r>
      <w:r w:rsidRPr="000977F7">
        <w:rPr>
          <w:rFonts w:asciiTheme="majorHAnsi" w:hAnsiTheme="majorHAnsi"/>
          <w:spacing w:val="-3"/>
          <w:sz w:val="20"/>
          <w:szCs w:val="20"/>
        </w:rPr>
        <w:t xml:space="preserve"> </w:t>
      </w:r>
      <w:r w:rsidRPr="000977F7">
        <w:rPr>
          <w:rFonts w:asciiTheme="majorHAnsi" w:hAnsiTheme="majorHAnsi"/>
          <w:sz w:val="20"/>
          <w:szCs w:val="20"/>
        </w:rPr>
        <w:t>арифметичних</w:t>
      </w:r>
      <w:r w:rsidRPr="000977F7">
        <w:rPr>
          <w:rFonts w:asciiTheme="majorHAnsi" w:hAnsiTheme="majorHAnsi"/>
          <w:spacing w:val="-2"/>
          <w:sz w:val="20"/>
          <w:szCs w:val="20"/>
        </w:rPr>
        <w:t xml:space="preserve"> </w:t>
      </w:r>
      <w:r w:rsidRPr="000977F7">
        <w:rPr>
          <w:rFonts w:asciiTheme="majorHAnsi" w:hAnsiTheme="majorHAnsi"/>
          <w:sz w:val="20"/>
          <w:szCs w:val="20"/>
        </w:rPr>
        <w:t>контрольованих</w:t>
      </w:r>
      <w:r w:rsidRPr="000977F7">
        <w:rPr>
          <w:rFonts w:asciiTheme="majorHAnsi" w:hAnsiTheme="majorHAnsi"/>
          <w:spacing w:val="-2"/>
          <w:sz w:val="20"/>
          <w:szCs w:val="20"/>
        </w:rPr>
        <w:t xml:space="preserve"> </w:t>
      </w:r>
      <w:r w:rsidRPr="000977F7">
        <w:rPr>
          <w:rFonts w:asciiTheme="majorHAnsi" w:hAnsiTheme="majorHAnsi"/>
          <w:sz w:val="20"/>
          <w:szCs w:val="20"/>
        </w:rPr>
        <w:t>параметрів</w:t>
      </w:r>
    </w:p>
    <w:p w14:paraId="2711750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63C30779"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 xml:space="preserve">МЕТОД СЕРЕДНІХ КВАДРАТИЧНИХ ВІДХИЛЕНЬ </w:t>
      </w:r>
      <w:r w:rsidRPr="000977F7">
        <w:rPr>
          <w:b w:val="0"/>
          <w:color w:val="auto"/>
          <w:sz w:val="20"/>
          <w:szCs w:val="20"/>
        </w:rPr>
        <w:t>–</w:t>
      </w:r>
    </w:p>
    <w:p w14:paraId="4C0291C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METHOD</w:t>
      </w:r>
      <w:r w:rsidRPr="004D2D14">
        <w:rPr>
          <w:rFonts w:asciiTheme="majorHAnsi" w:hAnsiTheme="majorHAnsi"/>
          <w:spacing w:val="-3"/>
          <w:sz w:val="20"/>
          <w:szCs w:val="20"/>
          <w:lang w:val="uk-UA"/>
        </w:rPr>
        <w:t xml:space="preserve"> </w:t>
      </w:r>
      <w:r w:rsidRPr="000977F7">
        <w:rPr>
          <w:rFonts w:asciiTheme="majorHAnsi" w:hAnsiTheme="majorHAnsi"/>
          <w:sz w:val="20"/>
          <w:szCs w:val="20"/>
        </w:rPr>
        <w:t>OF</w:t>
      </w:r>
      <w:r w:rsidRPr="004D2D14">
        <w:rPr>
          <w:rFonts w:asciiTheme="majorHAnsi" w:hAnsiTheme="majorHAnsi"/>
          <w:spacing w:val="-4"/>
          <w:sz w:val="20"/>
          <w:szCs w:val="20"/>
          <w:lang w:val="uk-UA"/>
        </w:rPr>
        <w:t xml:space="preserve"> </w:t>
      </w:r>
      <w:r w:rsidRPr="000977F7">
        <w:rPr>
          <w:rFonts w:asciiTheme="majorHAnsi" w:hAnsiTheme="majorHAnsi"/>
          <w:sz w:val="20"/>
          <w:szCs w:val="20"/>
        </w:rPr>
        <w:t>STANDARD</w:t>
      </w:r>
      <w:r w:rsidRPr="004D2D14">
        <w:rPr>
          <w:rFonts w:asciiTheme="majorHAnsi" w:hAnsiTheme="majorHAnsi"/>
          <w:spacing w:val="-1"/>
          <w:sz w:val="20"/>
          <w:szCs w:val="20"/>
          <w:lang w:val="uk-UA"/>
        </w:rPr>
        <w:t xml:space="preserve"> </w:t>
      </w:r>
      <w:r w:rsidRPr="000977F7">
        <w:rPr>
          <w:rFonts w:asciiTheme="majorHAnsi" w:hAnsiTheme="majorHAnsi"/>
          <w:sz w:val="20"/>
          <w:szCs w:val="20"/>
        </w:rPr>
        <w:t>DEVIATIONS</w:t>
      </w:r>
      <w:r w:rsidRPr="004D2D14">
        <w:rPr>
          <w:rFonts w:asciiTheme="majorHAnsi" w:hAnsiTheme="majorHAnsi"/>
          <w:sz w:val="20"/>
          <w:szCs w:val="20"/>
          <w:lang w:val="uk-UA"/>
        </w:rPr>
        <w:t xml:space="preserve"> –</w:t>
      </w:r>
    </w:p>
    <w:p w14:paraId="19A09EC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Метод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статистичного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регулювання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технологічного</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процесу,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характеризується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тим,</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висновок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розлад процесу роблять на підставі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вибіркових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середніх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квадратичних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відхилень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контрольованих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параметрів</w:t>
      </w:r>
    </w:p>
    <w:p w14:paraId="41F7CCF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3514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97</w:t>
      </w:r>
    </w:p>
    <w:p w14:paraId="5A7F4B6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МЕТОД</w:t>
      </w:r>
      <w:r w:rsidRPr="000977F7">
        <w:rPr>
          <w:color w:val="auto"/>
          <w:spacing w:val="-4"/>
          <w:sz w:val="20"/>
          <w:szCs w:val="20"/>
        </w:rPr>
        <w:t xml:space="preserve"> </w:t>
      </w:r>
      <w:r w:rsidRPr="000977F7">
        <w:rPr>
          <w:color w:val="auto"/>
          <w:sz w:val="20"/>
          <w:szCs w:val="20"/>
        </w:rPr>
        <w:t>СЕРЕДНІХ</w:t>
      </w:r>
      <w:r w:rsidRPr="000977F7">
        <w:rPr>
          <w:color w:val="auto"/>
          <w:spacing w:val="-3"/>
          <w:sz w:val="20"/>
          <w:szCs w:val="20"/>
        </w:rPr>
        <w:t xml:space="preserve"> </w:t>
      </w:r>
      <w:r w:rsidRPr="000977F7">
        <w:rPr>
          <w:color w:val="auto"/>
          <w:sz w:val="20"/>
          <w:szCs w:val="20"/>
        </w:rPr>
        <w:t>РОЗМАХІВ –</w:t>
      </w:r>
    </w:p>
    <w:p w14:paraId="607C1A7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METHOD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AVERAGE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RANGES –</w:t>
      </w:r>
    </w:p>
    <w:p w14:paraId="1410FB1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статистичного</w:t>
      </w:r>
      <w:r w:rsidRPr="000977F7">
        <w:rPr>
          <w:rFonts w:asciiTheme="majorHAnsi" w:hAnsiTheme="majorHAnsi"/>
          <w:spacing w:val="1"/>
          <w:sz w:val="20"/>
          <w:szCs w:val="20"/>
        </w:rPr>
        <w:t xml:space="preserve"> </w:t>
      </w:r>
      <w:r w:rsidRPr="000977F7">
        <w:rPr>
          <w:rFonts w:asciiTheme="majorHAnsi" w:hAnsiTheme="majorHAnsi"/>
          <w:sz w:val="20"/>
          <w:szCs w:val="20"/>
        </w:rPr>
        <w:t>регулювання</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47"/>
          <w:sz w:val="20"/>
          <w:szCs w:val="20"/>
        </w:rPr>
        <w:t xml:space="preserve"> </w:t>
      </w:r>
      <w:r w:rsidRPr="000977F7">
        <w:rPr>
          <w:rFonts w:asciiTheme="majorHAnsi" w:hAnsiTheme="majorHAnsi"/>
          <w:sz w:val="20"/>
          <w:szCs w:val="20"/>
        </w:rPr>
        <w:t>процесу, який характеризується тим, що висновок про</w:t>
      </w:r>
      <w:r w:rsidRPr="000977F7">
        <w:rPr>
          <w:rFonts w:asciiTheme="majorHAnsi" w:hAnsiTheme="majorHAnsi"/>
          <w:spacing w:val="-47"/>
          <w:sz w:val="20"/>
          <w:szCs w:val="20"/>
        </w:rPr>
        <w:t xml:space="preserve"> </w:t>
      </w:r>
      <w:r w:rsidRPr="000977F7">
        <w:rPr>
          <w:rFonts w:asciiTheme="majorHAnsi" w:hAnsiTheme="majorHAnsi"/>
          <w:sz w:val="20"/>
          <w:szCs w:val="20"/>
        </w:rPr>
        <w:t>розлад процесу роблять на підставі середніх розмахів</w:t>
      </w:r>
      <w:r w:rsidRPr="000977F7">
        <w:rPr>
          <w:rFonts w:asciiTheme="majorHAnsi" w:hAnsiTheme="majorHAnsi"/>
          <w:spacing w:val="1"/>
          <w:sz w:val="20"/>
          <w:szCs w:val="20"/>
        </w:rPr>
        <w:t xml:space="preserve"> </w:t>
      </w:r>
      <w:r w:rsidRPr="000977F7">
        <w:rPr>
          <w:rFonts w:asciiTheme="majorHAnsi" w:hAnsiTheme="majorHAnsi"/>
          <w:sz w:val="20"/>
          <w:szCs w:val="20"/>
        </w:rPr>
        <w:t>контрольованих</w:t>
      </w:r>
      <w:r w:rsidRPr="000977F7">
        <w:rPr>
          <w:rFonts w:asciiTheme="majorHAnsi" w:hAnsiTheme="majorHAnsi"/>
          <w:spacing w:val="1"/>
          <w:sz w:val="20"/>
          <w:szCs w:val="20"/>
        </w:rPr>
        <w:t xml:space="preserve"> </w:t>
      </w:r>
      <w:r w:rsidRPr="000977F7">
        <w:rPr>
          <w:rFonts w:asciiTheme="majorHAnsi" w:hAnsiTheme="majorHAnsi"/>
          <w:sz w:val="20"/>
          <w:szCs w:val="20"/>
        </w:rPr>
        <w:t>параметрів,</w:t>
      </w:r>
      <w:r w:rsidRPr="000977F7">
        <w:rPr>
          <w:rFonts w:asciiTheme="majorHAnsi" w:hAnsiTheme="majorHAnsi"/>
          <w:spacing w:val="1"/>
          <w:sz w:val="20"/>
          <w:szCs w:val="20"/>
        </w:rPr>
        <w:t xml:space="preserve"> </w:t>
      </w:r>
      <w:r w:rsidRPr="000977F7">
        <w:rPr>
          <w:rFonts w:asciiTheme="majorHAnsi" w:hAnsiTheme="majorHAnsi"/>
          <w:sz w:val="20"/>
          <w:szCs w:val="20"/>
        </w:rPr>
        <w:t>отриманих</w:t>
      </w:r>
      <w:r w:rsidRPr="000977F7">
        <w:rPr>
          <w:rFonts w:asciiTheme="majorHAnsi" w:hAnsiTheme="majorHAnsi"/>
          <w:spacing w:val="1"/>
          <w:sz w:val="20"/>
          <w:szCs w:val="20"/>
        </w:rPr>
        <w:t xml:space="preserve"> </w:t>
      </w:r>
      <w:r w:rsidRPr="000977F7">
        <w:rPr>
          <w:rFonts w:asciiTheme="majorHAnsi" w:hAnsiTheme="majorHAnsi"/>
          <w:sz w:val="20"/>
          <w:szCs w:val="20"/>
        </w:rPr>
        <w:t>внаслідок</w:t>
      </w:r>
      <w:r w:rsidRPr="000977F7">
        <w:rPr>
          <w:rFonts w:asciiTheme="majorHAnsi" w:hAnsiTheme="majorHAnsi"/>
          <w:spacing w:val="1"/>
          <w:sz w:val="20"/>
          <w:szCs w:val="20"/>
        </w:rPr>
        <w:t xml:space="preserve"> </w:t>
      </w:r>
      <w:r w:rsidRPr="000977F7">
        <w:rPr>
          <w:rFonts w:asciiTheme="majorHAnsi" w:hAnsiTheme="majorHAnsi"/>
          <w:sz w:val="20"/>
          <w:szCs w:val="20"/>
        </w:rPr>
        <w:t>усереднення</w:t>
      </w:r>
      <w:r w:rsidRPr="000977F7">
        <w:rPr>
          <w:rFonts w:asciiTheme="majorHAnsi" w:hAnsiTheme="majorHAnsi"/>
          <w:spacing w:val="-2"/>
          <w:sz w:val="20"/>
          <w:szCs w:val="20"/>
        </w:rPr>
        <w:t xml:space="preserve"> </w:t>
      </w:r>
      <w:r w:rsidRPr="000977F7">
        <w:rPr>
          <w:rFonts w:asciiTheme="majorHAnsi" w:hAnsiTheme="majorHAnsi"/>
          <w:sz w:val="20"/>
          <w:szCs w:val="20"/>
        </w:rPr>
        <w:t>розмахів</w:t>
      </w:r>
      <w:r w:rsidRPr="000977F7">
        <w:rPr>
          <w:rFonts w:asciiTheme="majorHAnsi" w:hAnsiTheme="majorHAnsi"/>
          <w:spacing w:val="-1"/>
          <w:sz w:val="20"/>
          <w:szCs w:val="20"/>
        </w:rPr>
        <w:t xml:space="preserve"> </w:t>
      </w:r>
      <w:r w:rsidRPr="000977F7">
        <w:rPr>
          <w:rFonts w:asciiTheme="majorHAnsi" w:hAnsiTheme="majorHAnsi"/>
          <w:sz w:val="20"/>
          <w:szCs w:val="20"/>
        </w:rPr>
        <w:t>декількох</w:t>
      </w:r>
      <w:r w:rsidRPr="000977F7">
        <w:rPr>
          <w:rFonts w:asciiTheme="majorHAnsi" w:hAnsiTheme="majorHAnsi"/>
          <w:spacing w:val="-2"/>
          <w:sz w:val="20"/>
          <w:szCs w:val="20"/>
        </w:rPr>
        <w:t xml:space="preserve"> </w:t>
      </w:r>
      <w:r w:rsidRPr="000977F7">
        <w:rPr>
          <w:rFonts w:asciiTheme="majorHAnsi" w:hAnsiTheme="majorHAnsi"/>
          <w:sz w:val="20"/>
          <w:szCs w:val="20"/>
        </w:rPr>
        <w:t>вибірок</w:t>
      </w:r>
    </w:p>
    <w:p w14:paraId="6A7E48D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i/>
          <w:sz w:val="20"/>
          <w:szCs w:val="20"/>
        </w:rPr>
        <w:t>97</w:t>
      </w:r>
    </w:p>
    <w:p w14:paraId="09BE7BD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МЕТОДИ</w:t>
      </w:r>
      <w:r w:rsidRPr="000977F7">
        <w:rPr>
          <w:color w:val="auto"/>
          <w:spacing w:val="-4"/>
          <w:sz w:val="20"/>
          <w:szCs w:val="20"/>
        </w:rPr>
        <w:t xml:space="preserve"> </w:t>
      </w:r>
      <w:r w:rsidRPr="000977F7">
        <w:rPr>
          <w:color w:val="auto"/>
          <w:sz w:val="20"/>
          <w:szCs w:val="20"/>
        </w:rPr>
        <w:t>ЦІНОУТВОРЕННЯ</w:t>
      </w:r>
      <w:r w:rsidRPr="000977F7">
        <w:rPr>
          <w:color w:val="auto"/>
          <w:spacing w:val="-1"/>
          <w:sz w:val="20"/>
          <w:szCs w:val="20"/>
        </w:rPr>
        <w:t xml:space="preserve"> </w:t>
      </w:r>
      <w:r w:rsidRPr="000977F7">
        <w:rPr>
          <w:color w:val="auto"/>
          <w:sz w:val="20"/>
          <w:szCs w:val="20"/>
        </w:rPr>
        <w:t>–</w:t>
      </w:r>
    </w:p>
    <w:p w14:paraId="6BA19F0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світовий</w:t>
      </w:r>
      <w:r w:rsidRPr="000977F7">
        <w:rPr>
          <w:rFonts w:asciiTheme="majorHAnsi" w:hAnsiTheme="majorHAnsi"/>
          <w:spacing w:val="1"/>
          <w:sz w:val="20"/>
          <w:szCs w:val="20"/>
        </w:rPr>
        <w:t xml:space="preserve"> </w:t>
      </w:r>
      <w:r w:rsidRPr="000977F7">
        <w:rPr>
          <w:rFonts w:asciiTheme="majorHAnsi" w:hAnsiTheme="majorHAnsi"/>
          <w:sz w:val="20"/>
          <w:szCs w:val="20"/>
        </w:rPr>
        <w:t>практиці</w:t>
      </w:r>
      <w:r w:rsidRPr="000977F7">
        <w:rPr>
          <w:rFonts w:asciiTheme="majorHAnsi" w:hAnsiTheme="majorHAnsi"/>
          <w:spacing w:val="1"/>
          <w:sz w:val="20"/>
          <w:szCs w:val="20"/>
        </w:rPr>
        <w:t xml:space="preserve"> </w:t>
      </w:r>
      <w:r w:rsidRPr="000977F7">
        <w:rPr>
          <w:rFonts w:asciiTheme="majorHAnsi" w:hAnsiTheme="majorHAnsi"/>
          <w:sz w:val="20"/>
          <w:szCs w:val="20"/>
        </w:rPr>
        <w:t>двох</w:t>
      </w:r>
      <w:r w:rsidRPr="000977F7">
        <w:rPr>
          <w:rFonts w:asciiTheme="majorHAnsi" w:hAnsiTheme="majorHAnsi"/>
          <w:spacing w:val="1"/>
          <w:sz w:val="20"/>
          <w:szCs w:val="20"/>
        </w:rPr>
        <w:t xml:space="preserve"> </w:t>
      </w:r>
      <w:r w:rsidRPr="000977F7">
        <w:rPr>
          <w:rFonts w:asciiTheme="majorHAnsi" w:hAnsiTheme="majorHAnsi"/>
          <w:sz w:val="20"/>
          <w:szCs w:val="20"/>
        </w:rPr>
        <w:t>основних</w:t>
      </w:r>
      <w:r w:rsidRPr="000977F7">
        <w:rPr>
          <w:rFonts w:asciiTheme="majorHAnsi" w:hAnsiTheme="majorHAnsi"/>
          <w:spacing w:val="1"/>
          <w:sz w:val="20"/>
          <w:szCs w:val="20"/>
        </w:rPr>
        <w:t xml:space="preserve"> </w:t>
      </w:r>
      <w:r w:rsidRPr="000977F7">
        <w:rPr>
          <w:rFonts w:asciiTheme="majorHAnsi" w:hAnsiTheme="majorHAnsi"/>
          <w:sz w:val="20"/>
          <w:szCs w:val="20"/>
        </w:rPr>
        <w:t>принципів ціноутворення – ринкового та адміністративного</w:t>
      </w:r>
    </w:p>
    <w:p w14:paraId="325DB02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F3C547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МЕТОДИКА;</w:t>
      </w:r>
      <w:r w:rsidRPr="000977F7">
        <w:rPr>
          <w:color w:val="auto"/>
          <w:spacing w:val="-4"/>
          <w:sz w:val="20"/>
          <w:szCs w:val="20"/>
        </w:rPr>
        <w:t xml:space="preserve"> </w:t>
      </w:r>
      <w:r w:rsidRPr="000977F7">
        <w:rPr>
          <w:color w:val="auto"/>
          <w:sz w:val="20"/>
          <w:szCs w:val="20"/>
        </w:rPr>
        <w:t>ПРОЦЕДУРА</w:t>
      </w:r>
      <w:r w:rsidRPr="000977F7">
        <w:rPr>
          <w:color w:val="auto"/>
          <w:spacing w:val="-1"/>
          <w:sz w:val="20"/>
          <w:szCs w:val="20"/>
        </w:rPr>
        <w:t xml:space="preserve"> </w:t>
      </w:r>
      <w:r w:rsidRPr="000977F7">
        <w:rPr>
          <w:color w:val="auto"/>
          <w:sz w:val="20"/>
          <w:szCs w:val="20"/>
        </w:rPr>
        <w:t>–</w:t>
      </w:r>
    </w:p>
    <w:p w14:paraId="5882045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PROCEDURE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0EED82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Установлений</w:t>
      </w:r>
      <w:r w:rsidRPr="000977F7">
        <w:rPr>
          <w:rFonts w:asciiTheme="majorHAnsi" w:hAnsiTheme="majorHAnsi"/>
          <w:spacing w:val="-4"/>
          <w:sz w:val="20"/>
          <w:szCs w:val="20"/>
        </w:rPr>
        <w:t xml:space="preserve"> </w:t>
      </w:r>
      <w:r w:rsidRPr="000977F7">
        <w:rPr>
          <w:rFonts w:asciiTheme="majorHAnsi" w:hAnsiTheme="majorHAnsi"/>
          <w:sz w:val="20"/>
          <w:szCs w:val="20"/>
        </w:rPr>
        <w:t>спосіб</w:t>
      </w:r>
      <w:r w:rsidRPr="000977F7">
        <w:rPr>
          <w:rFonts w:asciiTheme="majorHAnsi" w:hAnsiTheme="majorHAnsi"/>
          <w:spacing w:val="-4"/>
          <w:sz w:val="20"/>
          <w:szCs w:val="20"/>
        </w:rPr>
        <w:t xml:space="preserve"> </w:t>
      </w:r>
      <w:r w:rsidRPr="000977F7">
        <w:rPr>
          <w:rFonts w:asciiTheme="majorHAnsi" w:hAnsiTheme="majorHAnsi"/>
          <w:sz w:val="20"/>
          <w:szCs w:val="20"/>
        </w:rPr>
        <w:t>виконування</w:t>
      </w:r>
      <w:r w:rsidRPr="000977F7">
        <w:rPr>
          <w:rFonts w:asciiTheme="majorHAnsi" w:hAnsiTheme="majorHAnsi"/>
          <w:spacing w:val="-3"/>
          <w:sz w:val="20"/>
          <w:szCs w:val="20"/>
        </w:rPr>
        <w:t xml:space="preserve"> </w:t>
      </w:r>
      <w:r w:rsidRPr="000977F7">
        <w:rPr>
          <w:rFonts w:asciiTheme="majorHAnsi" w:hAnsiTheme="majorHAnsi"/>
          <w:sz w:val="20"/>
          <w:szCs w:val="20"/>
        </w:rPr>
        <w:t>роботи</w:t>
      </w:r>
      <w:r w:rsidRPr="000977F7">
        <w:rPr>
          <w:rFonts w:asciiTheme="majorHAnsi" w:hAnsiTheme="majorHAnsi"/>
          <w:spacing w:val="-4"/>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процесу</w:t>
      </w:r>
    </w:p>
    <w:p w14:paraId="48A138A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 ISO/IEC</w:t>
      </w:r>
      <w:r w:rsidRPr="000977F7">
        <w:rPr>
          <w:rFonts w:asciiTheme="majorHAnsi" w:hAnsiTheme="majorHAnsi"/>
          <w:i/>
          <w:spacing w:val="-28"/>
          <w:sz w:val="20"/>
          <w:szCs w:val="20"/>
        </w:rPr>
        <w:t xml:space="preserve"> </w:t>
      </w:r>
      <w:r w:rsidRPr="000977F7">
        <w:rPr>
          <w:rFonts w:asciiTheme="majorHAnsi" w:hAnsiTheme="majorHAnsi"/>
          <w:i/>
          <w:spacing w:val="-12"/>
          <w:sz w:val="20"/>
          <w:szCs w:val="20"/>
        </w:rPr>
        <w:t>17000:2007; ДСТУISO</w:t>
      </w:r>
      <w:r w:rsidRPr="000977F7">
        <w:rPr>
          <w:rFonts w:asciiTheme="majorHAnsi" w:hAnsiTheme="majorHAnsi"/>
          <w:i/>
          <w:spacing w:val="-27"/>
          <w:sz w:val="20"/>
          <w:szCs w:val="20"/>
        </w:rPr>
        <w:t xml:space="preserve"> </w:t>
      </w:r>
      <w:r w:rsidRPr="000977F7">
        <w:rPr>
          <w:rFonts w:asciiTheme="majorHAnsi" w:hAnsiTheme="majorHAnsi"/>
          <w:i/>
          <w:spacing w:val="-11"/>
          <w:sz w:val="20"/>
          <w:szCs w:val="20"/>
        </w:rPr>
        <w:t>9000:2015</w:t>
      </w:r>
    </w:p>
    <w:p w14:paraId="6C0651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4968F3FF" w14:textId="77777777" w:rsidR="0097612F" w:rsidRPr="000977F7" w:rsidRDefault="0097612F" w:rsidP="00FD39A4">
      <w:pPr>
        <w:pStyle w:val="ac"/>
        <w:widowControl w:val="0"/>
        <w:numPr>
          <w:ilvl w:val="0"/>
          <w:numId w:val="149"/>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багатьох</w:t>
      </w:r>
      <w:r w:rsidRPr="000977F7">
        <w:rPr>
          <w:rFonts w:asciiTheme="majorHAnsi" w:hAnsiTheme="majorHAnsi"/>
          <w:spacing w:val="1"/>
          <w:sz w:val="20"/>
          <w:szCs w:val="20"/>
        </w:rPr>
        <w:t xml:space="preserve"> </w:t>
      </w:r>
      <w:r w:rsidRPr="000977F7">
        <w:rPr>
          <w:rFonts w:asciiTheme="majorHAnsi" w:hAnsiTheme="majorHAnsi"/>
          <w:sz w:val="20"/>
          <w:szCs w:val="20"/>
        </w:rPr>
        <w:t>випадках</w:t>
      </w:r>
      <w:r w:rsidRPr="000977F7">
        <w:rPr>
          <w:rFonts w:asciiTheme="majorHAnsi" w:hAnsiTheme="majorHAnsi"/>
          <w:spacing w:val="1"/>
          <w:sz w:val="20"/>
          <w:szCs w:val="20"/>
        </w:rPr>
        <w:t xml:space="preserve"> </w:t>
      </w:r>
      <w:r w:rsidRPr="000977F7">
        <w:rPr>
          <w:rFonts w:asciiTheme="majorHAnsi" w:hAnsiTheme="majorHAnsi"/>
          <w:sz w:val="20"/>
          <w:szCs w:val="20"/>
        </w:rPr>
        <w:t>методики</w:t>
      </w:r>
      <w:r w:rsidRPr="000977F7">
        <w:rPr>
          <w:rFonts w:asciiTheme="majorHAnsi" w:hAnsiTheme="majorHAnsi"/>
          <w:spacing w:val="1"/>
          <w:sz w:val="20"/>
          <w:szCs w:val="20"/>
        </w:rPr>
        <w:t xml:space="preserve"> </w:t>
      </w:r>
      <w:r w:rsidRPr="000977F7">
        <w:rPr>
          <w:rFonts w:asciiTheme="majorHAnsi" w:hAnsiTheme="majorHAnsi"/>
          <w:sz w:val="20"/>
          <w:szCs w:val="20"/>
        </w:rPr>
        <w:t>документують</w:t>
      </w:r>
      <w:r w:rsidRPr="000977F7">
        <w:rPr>
          <w:rFonts w:asciiTheme="majorHAnsi" w:hAnsiTheme="majorHAnsi"/>
          <w:spacing w:val="1"/>
          <w:sz w:val="20"/>
          <w:szCs w:val="20"/>
        </w:rPr>
        <w:t xml:space="preserve"> </w:t>
      </w:r>
      <w:r w:rsidRPr="000977F7">
        <w:rPr>
          <w:rFonts w:asciiTheme="majorHAnsi" w:hAnsiTheme="majorHAnsi"/>
          <w:w w:val="99"/>
          <w:sz w:val="20"/>
          <w:szCs w:val="20"/>
        </w:rPr>
        <w:t>(</w:t>
      </w:r>
      <w:r w:rsidRPr="000977F7">
        <w:rPr>
          <w:rFonts w:asciiTheme="majorHAnsi" w:hAnsiTheme="majorHAnsi"/>
          <w:spacing w:val="-2"/>
          <w:w w:val="99"/>
          <w:sz w:val="20"/>
          <w:szCs w:val="20"/>
        </w:rPr>
        <w:t>н</w:t>
      </w:r>
      <w:r w:rsidRPr="000977F7">
        <w:rPr>
          <w:rFonts w:asciiTheme="majorHAnsi" w:hAnsiTheme="majorHAnsi"/>
          <w:w w:val="99"/>
          <w:sz w:val="20"/>
          <w:szCs w:val="20"/>
        </w:rPr>
        <w:t>а</w:t>
      </w:r>
      <w:r w:rsidRPr="000977F7">
        <w:rPr>
          <w:rFonts w:asciiTheme="majorHAnsi" w:hAnsiTheme="majorHAnsi"/>
          <w:spacing w:val="-1"/>
          <w:w w:val="99"/>
          <w:sz w:val="20"/>
          <w:szCs w:val="20"/>
        </w:rPr>
        <w:t>п</w:t>
      </w:r>
      <w:r w:rsidRPr="000977F7">
        <w:rPr>
          <w:rFonts w:asciiTheme="majorHAnsi" w:hAnsiTheme="majorHAnsi"/>
          <w:spacing w:val="1"/>
          <w:w w:val="99"/>
          <w:sz w:val="20"/>
          <w:szCs w:val="20"/>
        </w:rPr>
        <w:t>ри</w:t>
      </w:r>
      <w:r w:rsidRPr="000977F7">
        <w:rPr>
          <w:rFonts w:asciiTheme="majorHAnsi" w:hAnsiTheme="majorHAnsi"/>
          <w:spacing w:val="-1"/>
          <w:w w:val="99"/>
          <w:sz w:val="20"/>
          <w:szCs w:val="20"/>
        </w:rPr>
        <w:t>кл</w:t>
      </w:r>
      <w:r w:rsidRPr="000977F7">
        <w:rPr>
          <w:rFonts w:asciiTheme="majorHAnsi" w:hAnsiTheme="majorHAnsi"/>
          <w:spacing w:val="2"/>
          <w:w w:val="99"/>
          <w:sz w:val="20"/>
          <w:szCs w:val="20"/>
        </w:rPr>
        <w:t>а</w:t>
      </w:r>
      <w:r w:rsidRPr="000977F7">
        <w:rPr>
          <w:rFonts w:asciiTheme="majorHAnsi" w:hAnsiTheme="majorHAnsi"/>
          <w:w w:val="99"/>
          <w:sz w:val="20"/>
          <w:szCs w:val="20"/>
        </w:rPr>
        <w:t>д,</w:t>
      </w:r>
      <w:r w:rsidRPr="000977F7">
        <w:rPr>
          <w:rFonts w:asciiTheme="majorHAnsi" w:hAnsiTheme="majorHAnsi"/>
          <w:sz w:val="20"/>
          <w:szCs w:val="20"/>
        </w:rPr>
        <w:t xml:space="preserve"> "</w:t>
      </w:r>
      <w:r w:rsidRPr="000977F7">
        <w:rPr>
          <w:rFonts w:asciiTheme="majorHAnsi" w:hAnsiTheme="majorHAnsi"/>
          <w:spacing w:val="1"/>
          <w:w w:val="99"/>
          <w:sz w:val="20"/>
          <w:szCs w:val="20"/>
        </w:rPr>
        <w:t>м</w:t>
      </w:r>
      <w:r w:rsidRPr="000977F7">
        <w:rPr>
          <w:rFonts w:asciiTheme="majorHAnsi" w:hAnsiTheme="majorHAnsi"/>
          <w:w w:val="99"/>
          <w:sz w:val="20"/>
          <w:szCs w:val="20"/>
        </w:rPr>
        <w:t>ет</w:t>
      </w:r>
      <w:r w:rsidRPr="000977F7">
        <w:rPr>
          <w:rFonts w:asciiTheme="majorHAnsi" w:hAnsiTheme="majorHAnsi"/>
          <w:spacing w:val="3"/>
          <w:w w:val="99"/>
          <w:sz w:val="20"/>
          <w:szCs w:val="20"/>
        </w:rPr>
        <w:t>о</w:t>
      </w:r>
      <w:r w:rsidRPr="000977F7">
        <w:rPr>
          <w:rFonts w:asciiTheme="majorHAnsi" w:hAnsiTheme="majorHAnsi"/>
          <w:w w:val="99"/>
          <w:sz w:val="20"/>
          <w:szCs w:val="20"/>
        </w:rPr>
        <w:t>ди</w:t>
      </w:r>
      <w:r w:rsidRPr="000977F7">
        <w:rPr>
          <w:rFonts w:asciiTheme="majorHAnsi" w:hAnsiTheme="majorHAnsi"/>
          <w:spacing w:val="-1"/>
          <w:w w:val="99"/>
          <w:sz w:val="20"/>
          <w:szCs w:val="20"/>
        </w:rPr>
        <w:t>к</w:t>
      </w:r>
      <w:r w:rsidRPr="000977F7">
        <w:rPr>
          <w:rFonts w:asciiTheme="majorHAnsi" w:hAnsiTheme="majorHAnsi"/>
          <w:w w:val="99"/>
          <w:sz w:val="20"/>
          <w:szCs w:val="20"/>
        </w:rPr>
        <w:t>а</w:t>
      </w:r>
      <w:r w:rsidRPr="000977F7">
        <w:rPr>
          <w:rFonts w:asciiTheme="majorHAnsi" w:hAnsiTheme="majorHAnsi"/>
          <w:sz w:val="20"/>
          <w:szCs w:val="20"/>
        </w:rPr>
        <w:t xml:space="preserve"> </w:t>
      </w:r>
      <w:r w:rsidRPr="000977F7">
        <w:rPr>
          <w:rFonts w:asciiTheme="majorHAnsi" w:hAnsiTheme="majorHAnsi"/>
          <w:w w:val="99"/>
          <w:sz w:val="20"/>
          <w:szCs w:val="20"/>
        </w:rPr>
        <w:t>с</w:t>
      </w:r>
      <w:r w:rsidRPr="000977F7">
        <w:rPr>
          <w:rFonts w:asciiTheme="majorHAnsi" w:hAnsiTheme="majorHAnsi"/>
          <w:spacing w:val="-1"/>
          <w:w w:val="99"/>
          <w:sz w:val="20"/>
          <w:szCs w:val="20"/>
        </w:rPr>
        <w:t>и</w:t>
      </w:r>
      <w:r w:rsidRPr="000977F7">
        <w:rPr>
          <w:rFonts w:asciiTheme="majorHAnsi" w:hAnsiTheme="majorHAnsi"/>
          <w:w w:val="99"/>
          <w:sz w:val="20"/>
          <w:szCs w:val="20"/>
        </w:rPr>
        <w:t>с</w:t>
      </w:r>
      <w:r w:rsidRPr="000977F7">
        <w:rPr>
          <w:rFonts w:asciiTheme="majorHAnsi" w:hAnsiTheme="majorHAnsi"/>
          <w:spacing w:val="2"/>
          <w:w w:val="99"/>
          <w:sz w:val="20"/>
          <w:szCs w:val="20"/>
        </w:rPr>
        <w:t>т</w:t>
      </w:r>
      <w:r w:rsidRPr="000977F7">
        <w:rPr>
          <w:rFonts w:asciiTheme="majorHAnsi" w:hAnsiTheme="majorHAnsi"/>
          <w:w w:val="99"/>
          <w:sz w:val="20"/>
          <w:szCs w:val="20"/>
        </w:rPr>
        <w:t>е</w:t>
      </w:r>
      <w:r w:rsidRPr="000977F7">
        <w:rPr>
          <w:rFonts w:asciiTheme="majorHAnsi" w:hAnsiTheme="majorHAnsi"/>
          <w:spacing w:val="1"/>
          <w:w w:val="99"/>
          <w:sz w:val="20"/>
          <w:szCs w:val="20"/>
        </w:rPr>
        <w:t>м</w:t>
      </w:r>
      <w:r w:rsidRPr="000977F7">
        <w:rPr>
          <w:rFonts w:asciiTheme="majorHAnsi" w:hAnsiTheme="majorHAnsi"/>
          <w:w w:val="99"/>
          <w:sz w:val="20"/>
          <w:szCs w:val="20"/>
        </w:rPr>
        <w:t>и</w:t>
      </w:r>
      <w:r w:rsidRPr="000977F7">
        <w:rPr>
          <w:rFonts w:asciiTheme="majorHAnsi" w:hAnsiTheme="majorHAnsi"/>
          <w:spacing w:val="1"/>
          <w:sz w:val="20"/>
          <w:szCs w:val="20"/>
        </w:rPr>
        <w:t xml:space="preserve"> </w:t>
      </w:r>
      <w:r w:rsidRPr="000977F7">
        <w:rPr>
          <w:rFonts w:asciiTheme="majorHAnsi" w:hAnsiTheme="majorHAnsi"/>
          <w:w w:val="99"/>
          <w:sz w:val="20"/>
          <w:szCs w:val="20"/>
        </w:rPr>
        <w:t>я</w:t>
      </w:r>
      <w:r w:rsidRPr="000977F7">
        <w:rPr>
          <w:rFonts w:asciiTheme="majorHAnsi" w:hAnsiTheme="majorHAnsi"/>
          <w:spacing w:val="-2"/>
          <w:w w:val="99"/>
          <w:sz w:val="20"/>
          <w:szCs w:val="20"/>
        </w:rPr>
        <w:t>к</w:t>
      </w:r>
      <w:r w:rsidRPr="000977F7">
        <w:rPr>
          <w:rFonts w:asciiTheme="majorHAnsi" w:hAnsiTheme="majorHAnsi"/>
          <w:spacing w:val="1"/>
          <w:w w:val="99"/>
          <w:sz w:val="20"/>
          <w:szCs w:val="20"/>
        </w:rPr>
        <w:t>о</w:t>
      </w:r>
      <w:r w:rsidRPr="000977F7">
        <w:rPr>
          <w:rFonts w:asciiTheme="majorHAnsi" w:hAnsiTheme="majorHAnsi"/>
          <w:w w:val="110"/>
          <w:sz w:val="20"/>
          <w:szCs w:val="20"/>
        </w:rPr>
        <w:t>сті"</w:t>
      </w:r>
      <w:r w:rsidRPr="000977F7">
        <w:rPr>
          <w:rFonts w:asciiTheme="majorHAnsi" w:hAnsiTheme="majorHAnsi"/>
          <w:spacing w:val="1"/>
          <w:w w:val="99"/>
          <w:sz w:val="20"/>
          <w:szCs w:val="20"/>
        </w:rPr>
        <w:t>)</w:t>
      </w:r>
      <w:r w:rsidRPr="000977F7">
        <w:rPr>
          <w:rFonts w:asciiTheme="majorHAnsi" w:hAnsiTheme="majorHAnsi"/>
          <w:w w:val="99"/>
          <w:sz w:val="20"/>
          <w:szCs w:val="20"/>
        </w:rPr>
        <w:t>.</w:t>
      </w:r>
    </w:p>
    <w:p w14:paraId="5A656A5B" w14:textId="77777777" w:rsidR="0097612F" w:rsidRPr="000977F7" w:rsidRDefault="0097612F" w:rsidP="00FD39A4">
      <w:pPr>
        <w:pStyle w:val="ac"/>
        <w:widowControl w:val="0"/>
        <w:numPr>
          <w:ilvl w:val="0"/>
          <w:numId w:val="149"/>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Якщо</w:t>
      </w:r>
      <w:r w:rsidRPr="000977F7">
        <w:rPr>
          <w:rFonts w:asciiTheme="majorHAnsi" w:hAnsiTheme="majorHAnsi"/>
          <w:spacing w:val="1"/>
          <w:sz w:val="20"/>
          <w:szCs w:val="20"/>
        </w:rPr>
        <w:t xml:space="preserve"> </w:t>
      </w:r>
      <w:r w:rsidRPr="000977F7">
        <w:rPr>
          <w:rFonts w:asciiTheme="majorHAnsi" w:hAnsiTheme="majorHAnsi"/>
          <w:sz w:val="20"/>
          <w:szCs w:val="20"/>
        </w:rPr>
        <w:t>якусь</w:t>
      </w:r>
      <w:r w:rsidRPr="000977F7">
        <w:rPr>
          <w:rFonts w:asciiTheme="majorHAnsi" w:hAnsiTheme="majorHAnsi"/>
          <w:spacing w:val="1"/>
          <w:sz w:val="20"/>
          <w:szCs w:val="20"/>
        </w:rPr>
        <w:t xml:space="preserve"> </w:t>
      </w:r>
      <w:r w:rsidRPr="000977F7">
        <w:rPr>
          <w:rFonts w:asciiTheme="majorHAnsi" w:hAnsiTheme="majorHAnsi"/>
          <w:sz w:val="20"/>
          <w:szCs w:val="20"/>
        </w:rPr>
        <w:t>методику</w:t>
      </w:r>
      <w:r w:rsidRPr="000977F7">
        <w:rPr>
          <w:rFonts w:asciiTheme="majorHAnsi" w:hAnsiTheme="majorHAnsi"/>
          <w:spacing w:val="1"/>
          <w:sz w:val="20"/>
          <w:szCs w:val="20"/>
        </w:rPr>
        <w:t xml:space="preserve"> </w:t>
      </w:r>
      <w:r w:rsidRPr="000977F7">
        <w:rPr>
          <w:rFonts w:asciiTheme="majorHAnsi" w:hAnsiTheme="majorHAnsi"/>
          <w:sz w:val="20"/>
          <w:szCs w:val="20"/>
        </w:rPr>
        <w:t>документують,</w:t>
      </w:r>
      <w:r w:rsidRPr="000977F7">
        <w:rPr>
          <w:rFonts w:asciiTheme="majorHAnsi" w:hAnsiTheme="majorHAnsi"/>
          <w:spacing w:val="1"/>
          <w:sz w:val="20"/>
          <w:szCs w:val="20"/>
        </w:rPr>
        <w:t xml:space="preserve"> </w:t>
      </w:r>
      <w:r w:rsidRPr="000977F7">
        <w:rPr>
          <w:rFonts w:asciiTheme="majorHAnsi" w:hAnsiTheme="majorHAnsi"/>
          <w:sz w:val="20"/>
          <w:szCs w:val="20"/>
        </w:rPr>
        <w:t>краще</w:t>
      </w:r>
      <w:r w:rsidRPr="000977F7">
        <w:rPr>
          <w:rFonts w:asciiTheme="majorHAnsi" w:hAnsiTheme="majorHAnsi"/>
          <w:spacing w:val="1"/>
          <w:sz w:val="20"/>
          <w:szCs w:val="20"/>
        </w:rPr>
        <w:t xml:space="preserve"> </w:t>
      </w:r>
      <w:r w:rsidRPr="000977F7">
        <w:rPr>
          <w:rFonts w:asciiTheme="majorHAnsi" w:hAnsiTheme="majorHAnsi"/>
          <w:sz w:val="20"/>
          <w:szCs w:val="20"/>
        </w:rPr>
        <w:t>застосовувати</w:t>
      </w:r>
      <w:r w:rsidRPr="000977F7">
        <w:rPr>
          <w:rFonts w:asciiTheme="majorHAnsi" w:hAnsiTheme="majorHAnsi"/>
          <w:spacing w:val="34"/>
          <w:sz w:val="20"/>
          <w:szCs w:val="20"/>
        </w:rPr>
        <w:t xml:space="preserve"> </w:t>
      </w:r>
      <w:r w:rsidRPr="000977F7">
        <w:rPr>
          <w:rFonts w:asciiTheme="majorHAnsi" w:hAnsiTheme="majorHAnsi"/>
          <w:sz w:val="20"/>
          <w:szCs w:val="20"/>
        </w:rPr>
        <w:t>терміни</w:t>
      </w:r>
      <w:r w:rsidRPr="000977F7">
        <w:rPr>
          <w:rFonts w:asciiTheme="majorHAnsi" w:hAnsiTheme="majorHAnsi"/>
          <w:spacing w:val="34"/>
          <w:sz w:val="20"/>
          <w:szCs w:val="20"/>
        </w:rPr>
        <w:t xml:space="preserve"> "</w:t>
      </w:r>
      <w:r w:rsidRPr="000977F7">
        <w:rPr>
          <w:rFonts w:asciiTheme="majorHAnsi" w:hAnsiTheme="majorHAnsi"/>
          <w:sz w:val="20"/>
          <w:szCs w:val="20"/>
        </w:rPr>
        <w:t>письмова</w:t>
      </w:r>
      <w:r w:rsidRPr="000977F7">
        <w:rPr>
          <w:rFonts w:asciiTheme="majorHAnsi" w:hAnsiTheme="majorHAnsi"/>
          <w:spacing w:val="33"/>
          <w:sz w:val="20"/>
          <w:szCs w:val="20"/>
        </w:rPr>
        <w:t xml:space="preserve"> </w:t>
      </w:r>
      <w:r w:rsidRPr="000977F7">
        <w:rPr>
          <w:rFonts w:asciiTheme="majorHAnsi" w:hAnsiTheme="majorHAnsi"/>
          <w:sz w:val="20"/>
          <w:szCs w:val="20"/>
        </w:rPr>
        <w:t>методика"</w:t>
      </w:r>
      <w:r w:rsidRPr="000977F7">
        <w:rPr>
          <w:rFonts w:asciiTheme="majorHAnsi" w:hAnsiTheme="majorHAnsi"/>
          <w:spacing w:val="34"/>
          <w:sz w:val="20"/>
          <w:szCs w:val="20"/>
        </w:rPr>
        <w:t xml:space="preserve"> </w:t>
      </w:r>
      <w:r w:rsidRPr="000977F7">
        <w:rPr>
          <w:rFonts w:asciiTheme="majorHAnsi" w:hAnsiTheme="majorHAnsi"/>
          <w:sz w:val="20"/>
          <w:szCs w:val="20"/>
        </w:rPr>
        <w:t>чи</w:t>
      </w:r>
    </w:p>
    <w:p w14:paraId="7FAE146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w w:val="99"/>
          <w:sz w:val="20"/>
          <w:szCs w:val="20"/>
        </w:rPr>
        <w:t>"д</w:t>
      </w:r>
      <w:r w:rsidRPr="000977F7">
        <w:rPr>
          <w:rFonts w:asciiTheme="majorHAnsi" w:hAnsiTheme="majorHAnsi"/>
          <w:spacing w:val="2"/>
          <w:w w:val="99"/>
          <w:sz w:val="20"/>
          <w:szCs w:val="20"/>
        </w:rPr>
        <w:t>о</w:t>
      </w:r>
      <w:r w:rsidRPr="000977F7">
        <w:rPr>
          <w:rFonts w:asciiTheme="majorHAnsi" w:hAnsiTheme="majorHAnsi"/>
          <w:spacing w:val="1"/>
          <w:w w:val="99"/>
          <w:sz w:val="20"/>
          <w:szCs w:val="20"/>
        </w:rPr>
        <w:t>к</w:t>
      </w:r>
      <w:r w:rsidRPr="000977F7">
        <w:rPr>
          <w:rFonts w:asciiTheme="majorHAnsi" w:hAnsiTheme="majorHAnsi"/>
          <w:spacing w:val="-4"/>
          <w:w w:val="99"/>
          <w:sz w:val="20"/>
          <w:szCs w:val="20"/>
        </w:rPr>
        <w:t>у</w:t>
      </w:r>
      <w:r w:rsidRPr="000977F7">
        <w:rPr>
          <w:rFonts w:asciiTheme="majorHAnsi" w:hAnsiTheme="majorHAnsi"/>
          <w:spacing w:val="1"/>
          <w:w w:val="99"/>
          <w:sz w:val="20"/>
          <w:szCs w:val="20"/>
        </w:rPr>
        <w:t>м</w:t>
      </w:r>
      <w:r w:rsidRPr="000977F7">
        <w:rPr>
          <w:rFonts w:asciiTheme="majorHAnsi" w:hAnsiTheme="majorHAnsi"/>
          <w:spacing w:val="2"/>
          <w:w w:val="99"/>
          <w:sz w:val="20"/>
          <w:szCs w:val="20"/>
        </w:rPr>
        <w:t>е</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т</w:t>
      </w:r>
      <w:r w:rsidRPr="000977F7">
        <w:rPr>
          <w:rFonts w:asciiTheme="majorHAnsi" w:hAnsiTheme="majorHAnsi"/>
          <w:spacing w:val="2"/>
          <w:w w:val="99"/>
          <w:sz w:val="20"/>
          <w:szCs w:val="20"/>
        </w:rPr>
        <w:t>а</w:t>
      </w:r>
      <w:r w:rsidRPr="000977F7">
        <w:rPr>
          <w:rFonts w:asciiTheme="majorHAnsi" w:hAnsiTheme="majorHAnsi"/>
          <w:spacing w:val="-1"/>
          <w:w w:val="99"/>
          <w:sz w:val="20"/>
          <w:szCs w:val="20"/>
        </w:rPr>
        <w:t>льн</w:t>
      </w:r>
      <w:r w:rsidRPr="000977F7">
        <w:rPr>
          <w:rFonts w:asciiTheme="majorHAnsi" w:hAnsiTheme="majorHAnsi"/>
          <w:w w:val="99"/>
          <w:sz w:val="20"/>
          <w:szCs w:val="20"/>
        </w:rPr>
        <w:t>а</w:t>
      </w:r>
      <w:r w:rsidRPr="000977F7">
        <w:rPr>
          <w:rFonts w:asciiTheme="majorHAnsi" w:hAnsiTheme="majorHAnsi"/>
          <w:sz w:val="20"/>
          <w:szCs w:val="20"/>
        </w:rPr>
        <w:t xml:space="preserve"> </w:t>
      </w:r>
      <w:r w:rsidRPr="000977F7">
        <w:rPr>
          <w:rFonts w:asciiTheme="majorHAnsi" w:hAnsiTheme="majorHAnsi"/>
          <w:spacing w:val="1"/>
          <w:w w:val="99"/>
          <w:sz w:val="20"/>
          <w:szCs w:val="20"/>
        </w:rPr>
        <w:t>м</w:t>
      </w:r>
      <w:r w:rsidRPr="000977F7">
        <w:rPr>
          <w:rFonts w:asciiTheme="majorHAnsi" w:hAnsiTheme="majorHAnsi"/>
          <w:w w:val="99"/>
          <w:sz w:val="20"/>
          <w:szCs w:val="20"/>
        </w:rPr>
        <w:t>ето</w:t>
      </w:r>
      <w:r w:rsidRPr="000977F7">
        <w:rPr>
          <w:rFonts w:asciiTheme="majorHAnsi" w:hAnsiTheme="majorHAnsi"/>
          <w:spacing w:val="1"/>
          <w:w w:val="99"/>
          <w:sz w:val="20"/>
          <w:szCs w:val="20"/>
        </w:rPr>
        <w:t>д</w:t>
      </w:r>
      <w:r w:rsidRPr="000977F7">
        <w:rPr>
          <w:rFonts w:asciiTheme="majorHAnsi" w:hAnsiTheme="majorHAnsi"/>
          <w:spacing w:val="-2"/>
          <w:w w:val="99"/>
          <w:sz w:val="20"/>
          <w:szCs w:val="20"/>
        </w:rPr>
        <w:t>и</w:t>
      </w:r>
      <w:r w:rsidRPr="000977F7">
        <w:rPr>
          <w:rFonts w:asciiTheme="majorHAnsi" w:hAnsiTheme="majorHAnsi"/>
          <w:spacing w:val="-1"/>
          <w:w w:val="99"/>
          <w:sz w:val="20"/>
          <w:szCs w:val="20"/>
        </w:rPr>
        <w:t>к</w:t>
      </w:r>
      <w:r w:rsidRPr="000977F7">
        <w:rPr>
          <w:rFonts w:asciiTheme="majorHAnsi" w:hAnsiTheme="majorHAnsi"/>
          <w:w w:val="99"/>
          <w:sz w:val="20"/>
          <w:szCs w:val="20"/>
        </w:rPr>
        <w:t>а"</w:t>
      </w:r>
      <w:r w:rsidRPr="000977F7">
        <w:rPr>
          <w:rFonts w:asciiTheme="majorHAnsi" w:hAnsiTheme="majorHAnsi"/>
          <w:w w:val="130"/>
          <w:sz w:val="20"/>
          <w:szCs w:val="20"/>
        </w:rPr>
        <w:t>.</w:t>
      </w:r>
    </w:p>
    <w:p w14:paraId="54518A1C" w14:textId="77777777" w:rsidR="0097612F" w:rsidRPr="000977F7" w:rsidRDefault="0097612F" w:rsidP="00FD39A4">
      <w:pPr>
        <w:pStyle w:val="ac"/>
        <w:widowControl w:val="0"/>
        <w:numPr>
          <w:ilvl w:val="0"/>
          <w:numId w:val="149"/>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Письмова чи документальна методика здебільшого містить: мету і галузь діяльності; що і ким повинно бути зроблено; коли, де і як це має бути</w:t>
      </w:r>
      <w:r w:rsidRPr="000977F7">
        <w:rPr>
          <w:rFonts w:asciiTheme="majorHAnsi" w:hAnsiTheme="majorHAnsi"/>
          <w:spacing w:val="1"/>
          <w:sz w:val="20"/>
          <w:szCs w:val="20"/>
        </w:rPr>
        <w:t xml:space="preserve"> </w:t>
      </w:r>
      <w:r w:rsidRPr="000977F7">
        <w:rPr>
          <w:rFonts w:asciiTheme="majorHAnsi" w:hAnsiTheme="majorHAnsi"/>
          <w:sz w:val="20"/>
          <w:szCs w:val="20"/>
        </w:rPr>
        <w:t>зроблене; які матеріали, документи і обладнання</w:t>
      </w:r>
      <w:r w:rsidRPr="000977F7">
        <w:rPr>
          <w:rFonts w:asciiTheme="majorHAnsi" w:hAnsiTheme="majorHAnsi"/>
          <w:spacing w:val="1"/>
          <w:sz w:val="20"/>
          <w:szCs w:val="20"/>
        </w:rPr>
        <w:t xml:space="preserve"> </w:t>
      </w:r>
      <w:r w:rsidRPr="000977F7">
        <w:rPr>
          <w:rFonts w:asciiTheme="majorHAnsi" w:hAnsiTheme="majorHAnsi"/>
          <w:sz w:val="20"/>
          <w:szCs w:val="20"/>
        </w:rPr>
        <w:t>має</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використане,</w:t>
      </w:r>
      <w:r w:rsidRPr="000977F7">
        <w:rPr>
          <w:rFonts w:asciiTheme="majorHAnsi" w:hAnsiTheme="majorHAnsi"/>
          <w:spacing w:val="1"/>
          <w:sz w:val="20"/>
          <w:szCs w:val="20"/>
        </w:rPr>
        <w:t xml:space="preserve"> </w:t>
      </w:r>
      <w:r w:rsidRPr="000977F7">
        <w:rPr>
          <w:rFonts w:asciiTheme="majorHAnsi" w:hAnsiTheme="majorHAnsi"/>
          <w:sz w:val="20"/>
          <w:szCs w:val="20"/>
        </w:rPr>
        <w:t>яким</w:t>
      </w:r>
      <w:r w:rsidRPr="000977F7">
        <w:rPr>
          <w:rFonts w:asciiTheme="majorHAnsi" w:hAnsiTheme="majorHAnsi"/>
          <w:spacing w:val="1"/>
          <w:sz w:val="20"/>
          <w:szCs w:val="20"/>
        </w:rPr>
        <w:t xml:space="preserve"> </w:t>
      </w:r>
      <w:r w:rsidRPr="000977F7">
        <w:rPr>
          <w:rFonts w:asciiTheme="majorHAnsi" w:hAnsiTheme="majorHAnsi"/>
          <w:sz w:val="20"/>
          <w:szCs w:val="20"/>
        </w:rPr>
        <w:t>чином</w:t>
      </w:r>
      <w:r w:rsidRPr="000977F7">
        <w:rPr>
          <w:rFonts w:asciiTheme="majorHAnsi" w:hAnsiTheme="majorHAnsi"/>
          <w:spacing w:val="1"/>
          <w:sz w:val="20"/>
          <w:szCs w:val="20"/>
        </w:rPr>
        <w:t xml:space="preserve"> </w:t>
      </w:r>
      <w:r w:rsidRPr="000977F7">
        <w:rPr>
          <w:rFonts w:asciiTheme="majorHAnsi" w:hAnsiTheme="majorHAnsi"/>
          <w:sz w:val="20"/>
          <w:szCs w:val="20"/>
        </w:rPr>
        <w:t>це</w:t>
      </w:r>
      <w:r w:rsidRPr="000977F7">
        <w:rPr>
          <w:rFonts w:asciiTheme="majorHAnsi" w:hAnsiTheme="majorHAnsi"/>
          <w:spacing w:val="1"/>
          <w:sz w:val="20"/>
          <w:szCs w:val="20"/>
        </w:rPr>
        <w:t xml:space="preserve"> </w:t>
      </w:r>
      <w:r w:rsidRPr="000977F7">
        <w:rPr>
          <w:rFonts w:asciiTheme="majorHAnsi" w:hAnsiTheme="majorHAnsi"/>
          <w:sz w:val="20"/>
          <w:szCs w:val="20"/>
        </w:rPr>
        <w:t>повинно</w:t>
      </w:r>
      <w:r w:rsidRPr="000977F7">
        <w:rPr>
          <w:rFonts w:asciiTheme="majorHAnsi" w:hAnsiTheme="majorHAnsi"/>
          <w:spacing w:val="-47"/>
          <w:sz w:val="20"/>
          <w:szCs w:val="20"/>
        </w:rPr>
        <w:t xml:space="preserve"> </w:t>
      </w:r>
      <w:r w:rsidRPr="000977F7">
        <w:rPr>
          <w:rFonts w:asciiTheme="majorHAnsi" w:hAnsiTheme="majorHAnsi"/>
          <w:sz w:val="20"/>
          <w:szCs w:val="20"/>
        </w:rPr>
        <w:t>бути проконтрольовано і</w:t>
      </w:r>
      <w:r w:rsidRPr="000977F7">
        <w:rPr>
          <w:rFonts w:asciiTheme="majorHAnsi" w:hAnsiTheme="majorHAnsi"/>
          <w:spacing w:val="-2"/>
          <w:sz w:val="20"/>
          <w:szCs w:val="20"/>
        </w:rPr>
        <w:t xml:space="preserve"> </w:t>
      </w:r>
      <w:r w:rsidRPr="000977F7">
        <w:rPr>
          <w:rFonts w:asciiTheme="majorHAnsi" w:hAnsiTheme="majorHAnsi"/>
          <w:sz w:val="20"/>
          <w:szCs w:val="20"/>
        </w:rPr>
        <w:t>зареєстровано</w:t>
      </w:r>
    </w:p>
    <w:p w14:paraId="572C342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МЕТОДИКА</w:t>
      </w:r>
      <w:r w:rsidRPr="000977F7">
        <w:rPr>
          <w:color w:val="auto"/>
          <w:spacing w:val="-6"/>
          <w:sz w:val="20"/>
          <w:szCs w:val="20"/>
        </w:rPr>
        <w:t xml:space="preserve"> </w:t>
      </w:r>
      <w:r w:rsidRPr="000977F7">
        <w:rPr>
          <w:color w:val="auto"/>
          <w:sz w:val="20"/>
          <w:szCs w:val="20"/>
        </w:rPr>
        <w:t>ВИКОНАННЯ</w:t>
      </w:r>
      <w:r w:rsidRPr="000977F7">
        <w:rPr>
          <w:color w:val="auto"/>
          <w:spacing w:val="-4"/>
          <w:sz w:val="20"/>
          <w:szCs w:val="20"/>
        </w:rPr>
        <w:t xml:space="preserve"> </w:t>
      </w:r>
      <w:r w:rsidRPr="000977F7">
        <w:rPr>
          <w:color w:val="auto"/>
          <w:sz w:val="20"/>
          <w:szCs w:val="20"/>
        </w:rPr>
        <w:t>ВИМІРЮВАННЯ</w:t>
      </w:r>
      <w:r w:rsidRPr="000977F7">
        <w:rPr>
          <w:color w:val="auto"/>
          <w:spacing w:val="-1"/>
          <w:sz w:val="20"/>
          <w:szCs w:val="20"/>
        </w:rPr>
        <w:t xml:space="preserve"> </w:t>
      </w:r>
    </w:p>
    <w:p w14:paraId="55D9B02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процедур і правил, виконання яких забезпечує одержання результатів вимірювання з потрібною</w:t>
      </w:r>
      <w:r w:rsidRPr="000977F7">
        <w:rPr>
          <w:rFonts w:asciiTheme="majorHAnsi" w:hAnsiTheme="majorHAnsi"/>
          <w:spacing w:val="-1"/>
          <w:sz w:val="20"/>
          <w:szCs w:val="20"/>
        </w:rPr>
        <w:t xml:space="preserve"> </w:t>
      </w:r>
      <w:r w:rsidRPr="000977F7">
        <w:rPr>
          <w:rFonts w:asciiTheme="majorHAnsi" w:hAnsiTheme="majorHAnsi"/>
          <w:sz w:val="20"/>
          <w:szCs w:val="20"/>
        </w:rPr>
        <w:t>точністю</w:t>
      </w:r>
    </w:p>
    <w:p w14:paraId="1B47CF4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CE72A4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МЕТОДИКА</w:t>
      </w:r>
      <w:r w:rsidRPr="000977F7">
        <w:rPr>
          <w:color w:val="auto"/>
          <w:spacing w:val="-6"/>
          <w:sz w:val="20"/>
          <w:szCs w:val="20"/>
        </w:rPr>
        <w:t xml:space="preserve"> </w:t>
      </w:r>
      <w:r w:rsidRPr="000977F7">
        <w:rPr>
          <w:color w:val="auto"/>
          <w:sz w:val="20"/>
          <w:szCs w:val="20"/>
        </w:rPr>
        <w:t>ВИПРОБУВАНЬ</w:t>
      </w:r>
      <w:r w:rsidRPr="000977F7">
        <w:rPr>
          <w:color w:val="auto"/>
          <w:spacing w:val="-1"/>
          <w:sz w:val="20"/>
          <w:szCs w:val="20"/>
        </w:rPr>
        <w:t xml:space="preserve"> </w:t>
      </w:r>
      <w:r w:rsidRPr="000977F7">
        <w:rPr>
          <w:color w:val="auto"/>
          <w:sz w:val="20"/>
          <w:szCs w:val="20"/>
        </w:rPr>
        <w:t>–</w:t>
      </w:r>
    </w:p>
    <w:p w14:paraId="3B4E106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TEST</w:t>
      </w:r>
      <w:r w:rsidRPr="000977F7">
        <w:rPr>
          <w:rFonts w:asciiTheme="majorHAnsi" w:hAnsiTheme="majorHAnsi"/>
          <w:spacing w:val="-2"/>
          <w:sz w:val="20"/>
          <w:szCs w:val="20"/>
        </w:rPr>
        <w:t xml:space="preserve"> </w:t>
      </w:r>
      <w:r w:rsidRPr="000977F7">
        <w:rPr>
          <w:rFonts w:asciiTheme="majorHAnsi" w:hAnsiTheme="majorHAnsi"/>
          <w:sz w:val="20"/>
          <w:szCs w:val="20"/>
        </w:rPr>
        <w:t>PROCEDURE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CD830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Організаційно-методичний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обов’язковий</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виконання, в якому міститься опис методу,</w:t>
      </w:r>
      <w:r w:rsidRPr="000977F7">
        <w:rPr>
          <w:rFonts w:asciiTheme="majorHAnsi" w:hAnsiTheme="majorHAnsi"/>
          <w:spacing w:val="50"/>
          <w:sz w:val="20"/>
          <w:szCs w:val="20"/>
        </w:rPr>
        <w:t xml:space="preserve"> </w:t>
      </w:r>
      <w:r w:rsidRPr="000977F7">
        <w:rPr>
          <w:rFonts w:asciiTheme="majorHAnsi" w:hAnsiTheme="majorHAnsi"/>
          <w:sz w:val="20"/>
          <w:szCs w:val="20"/>
        </w:rPr>
        <w:t>умов</w:t>
      </w:r>
      <w:r w:rsidRPr="000977F7">
        <w:rPr>
          <w:rFonts w:asciiTheme="majorHAnsi" w:hAnsiTheme="majorHAnsi"/>
          <w:spacing w:val="1"/>
          <w:sz w:val="20"/>
          <w:szCs w:val="20"/>
        </w:rPr>
        <w:t xml:space="preserve"> </w:t>
      </w:r>
      <w:r w:rsidRPr="000977F7">
        <w:rPr>
          <w:rFonts w:asciiTheme="majorHAnsi" w:hAnsiTheme="majorHAnsi"/>
          <w:sz w:val="20"/>
          <w:szCs w:val="20"/>
        </w:rPr>
        <w:t>та засобів випробувань, правил добору і (чи) 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зразків,</w:t>
      </w:r>
      <w:r w:rsidRPr="000977F7">
        <w:rPr>
          <w:rFonts w:asciiTheme="majorHAnsi" w:hAnsiTheme="majorHAnsi"/>
          <w:spacing w:val="1"/>
          <w:sz w:val="20"/>
          <w:szCs w:val="20"/>
        </w:rPr>
        <w:t xml:space="preserve"> </w:t>
      </w:r>
      <w:r w:rsidRPr="000977F7">
        <w:rPr>
          <w:rFonts w:asciiTheme="majorHAnsi" w:hAnsiTheme="majorHAnsi"/>
          <w:sz w:val="20"/>
          <w:szCs w:val="20"/>
        </w:rPr>
        <w:t>алгоритмів</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операцій</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14"/>
          <w:sz w:val="20"/>
          <w:szCs w:val="20"/>
        </w:rPr>
        <w:t xml:space="preserve"> </w:t>
      </w:r>
      <w:r w:rsidRPr="000977F7">
        <w:rPr>
          <w:rFonts w:asciiTheme="majorHAnsi" w:hAnsiTheme="majorHAnsi"/>
          <w:sz w:val="20"/>
          <w:szCs w:val="20"/>
        </w:rPr>
        <w:t>однієї</w:t>
      </w:r>
      <w:r w:rsidRPr="000977F7">
        <w:rPr>
          <w:rFonts w:asciiTheme="majorHAnsi" w:hAnsiTheme="majorHAnsi"/>
          <w:spacing w:val="14"/>
          <w:sz w:val="20"/>
          <w:szCs w:val="20"/>
        </w:rPr>
        <w:t xml:space="preserve"> </w:t>
      </w:r>
      <w:r w:rsidRPr="000977F7">
        <w:rPr>
          <w:rFonts w:asciiTheme="majorHAnsi" w:hAnsiTheme="majorHAnsi"/>
          <w:sz w:val="20"/>
          <w:szCs w:val="20"/>
        </w:rPr>
        <w:t>чи</w:t>
      </w:r>
      <w:r w:rsidRPr="000977F7">
        <w:rPr>
          <w:rFonts w:asciiTheme="majorHAnsi" w:hAnsiTheme="majorHAnsi"/>
          <w:spacing w:val="13"/>
          <w:sz w:val="20"/>
          <w:szCs w:val="20"/>
        </w:rPr>
        <w:t xml:space="preserve"> </w:t>
      </w:r>
      <w:r w:rsidRPr="000977F7">
        <w:rPr>
          <w:rFonts w:asciiTheme="majorHAnsi" w:hAnsiTheme="majorHAnsi"/>
          <w:sz w:val="20"/>
          <w:szCs w:val="20"/>
        </w:rPr>
        <w:t>декількох</w:t>
      </w:r>
      <w:r w:rsidRPr="000977F7">
        <w:rPr>
          <w:rFonts w:asciiTheme="majorHAnsi" w:hAnsiTheme="majorHAnsi"/>
          <w:spacing w:val="14"/>
          <w:sz w:val="20"/>
          <w:szCs w:val="20"/>
        </w:rPr>
        <w:t xml:space="preserve"> </w:t>
      </w:r>
      <w:r w:rsidRPr="000977F7">
        <w:rPr>
          <w:rFonts w:asciiTheme="majorHAnsi" w:hAnsiTheme="majorHAnsi"/>
          <w:sz w:val="20"/>
          <w:szCs w:val="20"/>
        </w:rPr>
        <w:t>взаємозв’язаних</w:t>
      </w:r>
      <w:r w:rsidRPr="000977F7">
        <w:rPr>
          <w:rFonts w:asciiTheme="majorHAnsi" w:hAnsiTheme="majorHAnsi"/>
          <w:spacing w:val="13"/>
          <w:sz w:val="20"/>
          <w:szCs w:val="20"/>
        </w:rPr>
        <w:t xml:space="preserve"> </w:t>
      </w:r>
      <w:r w:rsidRPr="000977F7">
        <w:rPr>
          <w:rFonts w:asciiTheme="majorHAnsi" w:hAnsiTheme="majorHAnsi"/>
          <w:sz w:val="20"/>
          <w:szCs w:val="20"/>
        </w:rPr>
        <w:t>характеристик властивостей об’єкта, форми подання даних та оцінювання точності, вірогідності результатів,</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техніки</w:t>
      </w:r>
      <w:r w:rsidRPr="000977F7">
        <w:rPr>
          <w:rFonts w:asciiTheme="majorHAnsi" w:hAnsiTheme="majorHAnsi"/>
          <w:spacing w:val="1"/>
          <w:sz w:val="20"/>
          <w:szCs w:val="20"/>
        </w:rPr>
        <w:t xml:space="preserve"> </w:t>
      </w:r>
      <w:r w:rsidRPr="000977F7">
        <w:rPr>
          <w:rFonts w:asciiTheme="majorHAnsi" w:hAnsiTheme="majorHAnsi"/>
          <w:sz w:val="20"/>
          <w:szCs w:val="20"/>
        </w:rPr>
        <w:t>безпеки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47"/>
          <w:sz w:val="20"/>
          <w:szCs w:val="20"/>
        </w:rPr>
        <w:t xml:space="preserve"> </w:t>
      </w:r>
      <w:r w:rsidRPr="000977F7">
        <w:rPr>
          <w:rFonts w:asciiTheme="majorHAnsi" w:hAnsiTheme="majorHAnsi"/>
          <w:sz w:val="20"/>
          <w:szCs w:val="20"/>
        </w:rPr>
        <w:t>середовища</w:t>
      </w:r>
    </w:p>
    <w:p w14:paraId="4CBA833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w:t>
      </w:r>
      <w:r w:rsidRPr="000977F7">
        <w:rPr>
          <w:rFonts w:asciiTheme="majorHAnsi" w:hAnsiTheme="majorHAnsi"/>
          <w:i/>
          <w:spacing w:val="-1"/>
          <w:sz w:val="20"/>
          <w:szCs w:val="20"/>
        </w:rPr>
        <w:t xml:space="preserve"> </w:t>
      </w:r>
      <w:r w:rsidRPr="000977F7">
        <w:rPr>
          <w:rFonts w:asciiTheme="majorHAnsi" w:hAnsiTheme="majorHAnsi"/>
          <w:i/>
          <w:sz w:val="20"/>
          <w:szCs w:val="20"/>
        </w:rPr>
        <w:t>95;</w:t>
      </w:r>
      <w:r w:rsidRPr="000977F7">
        <w:rPr>
          <w:rFonts w:asciiTheme="majorHAnsi" w:hAnsiTheme="majorHAnsi"/>
          <w:i/>
          <w:spacing w:val="-2"/>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A48445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МЕТОДИЧНА</w:t>
      </w:r>
      <w:r w:rsidRPr="000977F7">
        <w:rPr>
          <w:color w:val="auto"/>
          <w:spacing w:val="-4"/>
          <w:sz w:val="20"/>
          <w:szCs w:val="20"/>
        </w:rPr>
        <w:t xml:space="preserve"> </w:t>
      </w:r>
      <w:r w:rsidRPr="000977F7">
        <w:rPr>
          <w:color w:val="auto"/>
          <w:sz w:val="20"/>
          <w:szCs w:val="20"/>
        </w:rPr>
        <w:t>ІМОВІРНІСТЬ</w:t>
      </w:r>
      <w:r w:rsidRPr="000977F7">
        <w:rPr>
          <w:color w:val="auto"/>
          <w:spacing w:val="-4"/>
          <w:sz w:val="20"/>
          <w:szCs w:val="20"/>
        </w:rPr>
        <w:t xml:space="preserve"> </w:t>
      </w:r>
      <w:r w:rsidRPr="000977F7">
        <w:rPr>
          <w:color w:val="auto"/>
          <w:sz w:val="20"/>
          <w:szCs w:val="20"/>
        </w:rPr>
        <w:t>КОНТРОЛЮ</w:t>
      </w:r>
      <w:r w:rsidRPr="000977F7">
        <w:rPr>
          <w:color w:val="auto"/>
          <w:spacing w:val="-1"/>
          <w:sz w:val="20"/>
          <w:szCs w:val="20"/>
        </w:rPr>
        <w:t xml:space="preserve"> </w:t>
      </w:r>
      <w:r w:rsidRPr="000977F7">
        <w:rPr>
          <w:color w:val="auto"/>
          <w:sz w:val="20"/>
          <w:szCs w:val="20"/>
        </w:rPr>
        <w:t>–</w:t>
      </w:r>
    </w:p>
    <w:p w14:paraId="3172D7B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Складова імовірності контролю, яка визначається сукупністю</w:t>
      </w:r>
      <w:r w:rsidRPr="000977F7">
        <w:rPr>
          <w:rFonts w:asciiTheme="majorHAnsi" w:hAnsiTheme="majorHAnsi"/>
          <w:spacing w:val="1"/>
          <w:sz w:val="20"/>
          <w:szCs w:val="20"/>
        </w:rPr>
        <w:t xml:space="preserve"> </w:t>
      </w:r>
      <w:r w:rsidRPr="000977F7">
        <w:rPr>
          <w:rFonts w:asciiTheme="majorHAnsi" w:hAnsiTheme="majorHAnsi"/>
          <w:sz w:val="20"/>
          <w:szCs w:val="20"/>
        </w:rPr>
        <w:t>контрольованих</w:t>
      </w:r>
      <w:r w:rsidRPr="000977F7">
        <w:rPr>
          <w:rFonts w:asciiTheme="majorHAnsi" w:hAnsiTheme="majorHAnsi"/>
          <w:spacing w:val="1"/>
          <w:sz w:val="20"/>
          <w:szCs w:val="20"/>
        </w:rPr>
        <w:t xml:space="preserve"> </w:t>
      </w:r>
      <w:r w:rsidRPr="000977F7">
        <w:rPr>
          <w:rFonts w:asciiTheme="majorHAnsi" w:hAnsiTheme="majorHAnsi"/>
          <w:sz w:val="20"/>
          <w:szCs w:val="20"/>
        </w:rPr>
        <w:t>параметрів</w:t>
      </w:r>
      <w:r w:rsidRPr="000977F7">
        <w:rPr>
          <w:rFonts w:asciiTheme="majorHAnsi" w:hAnsiTheme="majorHAnsi"/>
          <w:spacing w:val="1"/>
          <w:sz w:val="20"/>
          <w:szCs w:val="20"/>
        </w:rPr>
        <w:t xml:space="preserve"> </w:t>
      </w:r>
      <w:r w:rsidRPr="000977F7">
        <w:rPr>
          <w:rFonts w:asciiTheme="majorHAnsi" w:hAnsiTheme="majorHAnsi"/>
          <w:sz w:val="20"/>
          <w:szCs w:val="20"/>
        </w:rPr>
        <w:t>цього</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47"/>
          <w:sz w:val="20"/>
          <w:szCs w:val="20"/>
        </w:rPr>
        <w:t xml:space="preserve"> </w:t>
      </w:r>
      <w:r w:rsidRPr="000977F7">
        <w:rPr>
          <w:rFonts w:asciiTheme="majorHAnsi" w:hAnsiTheme="majorHAnsi"/>
          <w:sz w:val="20"/>
          <w:szCs w:val="20"/>
        </w:rPr>
        <w:t>методикою контролю та прийнятими в ній критеріями</w:t>
      </w:r>
      <w:r w:rsidRPr="000977F7">
        <w:rPr>
          <w:rFonts w:asciiTheme="majorHAnsi" w:hAnsiTheme="majorHAnsi"/>
          <w:spacing w:val="-47"/>
          <w:sz w:val="20"/>
          <w:szCs w:val="20"/>
        </w:rPr>
        <w:t xml:space="preserve"> </w:t>
      </w:r>
      <w:r w:rsidRPr="000977F7">
        <w:rPr>
          <w:rFonts w:asciiTheme="majorHAnsi" w:hAnsiTheme="majorHAnsi"/>
          <w:sz w:val="20"/>
          <w:szCs w:val="20"/>
        </w:rPr>
        <w:t>оцінки</w:t>
      </w:r>
      <w:r w:rsidRPr="000977F7">
        <w:rPr>
          <w:rFonts w:asciiTheme="majorHAnsi" w:hAnsiTheme="majorHAnsi"/>
          <w:spacing w:val="-2"/>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стану</w:t>
      </w:r>
    </w:p>
    <w:p w14:paraId="1DCB132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12A9859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При</w:t>
      </w:r>
      <w:r w:rsidRPr="000977F7">
        <w:rPr>
          <w:rFonts w:asciiTheme="majorHAnsi" w:hAnsiTheme="majorHAnsi"/>
          <w:spacing w:val="1"/>
          <w:sz w:val="20"/>
          <w:szCs w:val="20"/>
        </w:rPr>
        <w:t xml:space="preserve"> </w:t>
      </w:r>
      <w:r w:rsidRPr="000977F7">
        <w:rPr>
          <w:rFonts w:asciiTheme="majorHAnsi" w:hAnsiTheme="majorHAnsi"/>
          <w:sz w:val="20"/>
          <w:szCs w:val="20"/>
        </w:rPr>
        <w:t>оцінюванні</w:t>
      </w:r>
      <w:r w:rsidRPr="000977F7">
        <w:rPr>
          <w:rFonts w:asciiTheme="majorHAnsi" w:hAnsiTheme="majorHAnsi"/>
          <w:spacing w:val="1"/>
          <w:sz w:val="20"/>
          <w:szCs w:val="20"/>
        </w:rPr>
        <w:t xml:space="preserve"> </w:t>
      </w:r>
      <w:r w:rsidRPr="000977F7">
        <w:rPr>
          <w:rFonts w:asciiTheme="majorHAnsi" w:hAnsiTheme="majorHAnsi"/>
          <w:sz w:val="20"/>
          <w:szCs w:val="20"/>
        </w:rPr>
        <w:t>методичної</w:t>
      </w:r>
      <w:r w:rsidRPr="000977F7">
        <w:rPr>
          <w:rFonts w:asciiTheme="majorHAnsi" w:hAnsiTheme="majorHAnsi"/>
          <w:spacing w:val="1"/>
          <w:sz w:val="20"/>
          <w:szCs w:val="20"/>
        </w:rPr>
        <w:t xml:space="preserve"> </w:t>
      </w:r>
      <w:r w:rsidRPr="000977F7">
        <w:rPr>
          <w:rFonts w:asciiTheme="majorHAnsi" w:hAnsiTheme="majorHAnsi"/>
          <w:sz w:val="20"/>
          <w:szCs w:val="20"/>
        </w:rPr>
        <w:t>імовірності</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характеристики засобу контролю, як правило, приймаються</w:t>
      </w:r>
      <w:r w:rsidRPr="000977F7">
        <w:rPr>
          <w:rFonts w:asciiTheme="majorHAnsi" w:hAnsiTheme="majorHAnsi"/>
          <w:spacing w:val="-2"/>
          <w:sz w:val="20"/>
          <w:szCs w:val="20"/>
        </w:rPr>
        <w:t xml:space="preserve"> </w:t>
      </w:r>
      <w:r w:rsidRPr="000977F7">
        <w:rPr>
          <w:rFonts w:asciiTheme="majorHAnsi" w:hAnsiTheme="majorHAnsi"/>
          <w:sz w:val="20"/>
          <w:szCs w:val="20"/>
        </w:rPr>
        <w:t>ідеальними</w:t>
      </w:r>
    </w:p>
    <w:p w14:paraId="0C760EC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МЕТОДИЧНА</w:t>
      </w:r>
      <w:r w:rsidRPr="000977F7">
        <w:rPr>
          <w:color w:val="auto"/>
          <w:spacing w:val="-5"/>
          <w:sz w:val="20"/>
          <w:szCs w:val="20"/>
        </w:rPr>
        <w:t xml:space="preserve"> </w:t>
      </w:r>
      <w:r w:rsidRPr="000977F7">
        <w:rPr>
          <w:color w:val="auto"/>
          <w:sz w:val="20"/>
          <w:szCs w:val="20"/>
        </w:rPr>
        <w:t>ПОХИБКА</w:t>
      </w:r>
      <w:r w:rsidRPr="000977F7">
        <w:rPr>
          <w:color w:val="auto"/>
          <w:spacing w:val="-4"/>
          <w:sz w:val="20"/>
          <w:szCs w:val="20"/>
        </w:rPr>
        <w:t xml:space="preserve"> </w:t>
      </w:r>
      <w:r w:rsidRPr="000977F7">
        <w:rPr>
          <w:color w:val="auto"/>
          <w:sz w:val="20"/>
          <w:szCs w:val="20"/>
        </w:rPr>
        <w:t>ВИМІРЮВАННЯ –</w:t>
      </w:r>
    </w:p>
    <w:p w14:paraId="2822A35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ERROR</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METHOD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MEASUREMENT</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53E21F4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Складова</w:t>
      </w:r>
      <w:r w:rsidRPr="004D2D14">
        <w:rPr>
          <w:rFonts w:asciiTheme="majorHAnsi" w:hAnsiTheme="majorHAnsi"/>
          <w:sz w:val="20"/>
          <w:szCs w:val="20"/>
          <w:lang w:val="en-US"/>
        </w:rPr>
        <w:t xml:space="preserve"> </w:t>
      </w:r>
      <w:r w:rsidRPr="000977F7">
        <w:rPr>
          <w:rFonts w:asciiTheme="majorHAnsi" w:hAnsiTheme="majorHAnsi"/>
          <w:sz w:val="20"/>
          <w:szCs w:val="20"/>
        </w:rPr>
        <w:t>похибки</w:t>
      </w:r>
      <w:r w:rsidRPr="004D2D14">
        <w:rPr>
          <w:rFonts w:asciiTheme="majorHAnsi" w:hAnsiTheme="majorHAnsi"/>
          <w:sz w:val="20"/>
          <w:szCs w:val="20"/>
          <w:lang w:val="en-US"/>
        </w:rPr>
        <w:t xml:space="preserve"> </w:t>
      </w:r>
      <w:r w:rsidRPr="000977F7">
        <w:rPr>
          <w:rFonts w:asciiTheme="majorHAnsi" w:hAnsiTheme="majorHAnsi"/>
          <w:sz w:val="20"/>
          <w:szCs w:val="20"/>
        </w:rPr>
        <w:t>вимірювання</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зумовлена</w:t>
      </w:r>
      <w:r w:rsidRPr="004D2D14">
        <w:rPr>
          <w:rFonts w:asciiTheme="majorHAnsi" w:hAnsiTheme="majorHAnsi"/>
          <w:sz w:val="20"/>
          <w:szCs w:val="20"/>
          <w:lang w:val="en-US"/>
        </w:rPr>
        <w:t xml:space="preserve"> </w:t>
      </w:r>
      <w:r w:rsidRPr="000977F7">
        <w:rPr>
          <w:rFonts w:asciiTheme="majorHAnsi" w:hAnsiTheme="majorHAnsi"/>
          <w:sz w:val="20"/>
          <w:szCs w:val="20"/>
        </w:rPr>
        <w:t>неадекватністю</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r w:rsidRPr="004D2D14">
        <w:rPr>
          <w:rFonts w:asciiTheme="majorHAnsi" w:hAnsiTheme="majorHAnsi"/>
          <w:sz w:val="20"/>
          <w:szCs w:val="20"/>
          <w:lang w:val="en-US"/>
        </w:rPr>
        <w:t xml:space="preserve"> </w:t>
      </w:r>
      <w:r w:rsidRPr="000977F7">
        <w:rPr>
          <w:rFonts w:asciiTheme="majorHAnsi" w:hAnsiTheme="majorHAnsi"/>
          <w:sz w:val="20"/>
          <w:szCs w:val="20"/>
        </w:rPr>
        <w:t>вимірювання</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його</w:t>
      </w:r>
      <w:r w:rsidRPr="004D2D14">
        <w:rPr>
          <w:rFonts w:asciiTheme="majorHAnsi" w:hAnsiTheme="majorHAnsi"/>
          <w:sz w:val="20"/>
          <w:szCs w:val="20"/>
          <w:lang w:val="en-US"/>
        </w:rPr>
        <w:t xml:space="preserve"> </w:t>
      </w:r>
      <w:r w:rsidRPr="000977F7">
        <w:rPr>
          <w:rFonts w:asciiTheme="majorHAnsi" w:hAnsiTheme="majorHAnsi"/>
          <w:sz w:val="20"/>
          <w:szCs w:val="20"/>
        </w:rPr>
        <w:t>моделі</w:t>
      </w:r>
      <w:r w:rsidRPr="004D2D14">
        <w:rPr>
          <w:rFonts w:asciiTheme="majorHAnsi" w:hAnsiTheme="majorHAnsi"/>
          <w:sz w:val="20"/>
          <w:szCs w:val="20"/>
          <w:lang w:val="en-US"/>
        </w:rPr>
        <w:t xml:space="preserve">, </w:t>
      </w:r>
      <w:r w:rsidRPr="000977F7">
        <w:rPr>
          <w:rFonts w:asciiTheme="majorHAnsi" w:hAnsiTheme="majorHAnsi"/>
          <w:sz w:val="20"/>
          <w:szCs w:val="20"/>
        </w:rPr>
        <w:t>прийнятою</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при</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вимірюванні</w:t>
      </w:r>
    </w:p>
    <w:p w14:paraId="24D676E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29C57C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МЕТОДИЧНЕ ПОЛОЖЕННЯ (ПОЛОЖЕННЯ,</w:t>
      </w:r>
      <w:r w:rsidRPr="000977F7">
        <w:rPr>
          <w:color w:val="auto"/>
          <w:spacing w:val="-47"/>
          <w:sz w:val="20"/>
          <w:szCs w:val="20"/>
        </w:rPr>
        <w:t xml:space="preserve"> </w:t>
      </w:r>
      <w:r w:rsidRPr="000977F7">
        <w:rPr>
          <w:color w:val="auto"/>
          <w:sz w:val="20"/>
          <w:szCs w:val="20"/>
        </w:rPr>
        <w:t>НАПРАВЛЕНЕ НА ДОСЯГНЕННЯ ВІДПОВІДНОСТІ) –</w:t>
      </w:r>
    </w:p>
    <w:p w14:paraId="52E061A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DEEMED</w:t>
      </w:r>
      <w:r w:rsidRPr="004D2D14">
        <w:rPr>
          <w:rFonts w:asciiTheme="majorHAnsi" w:hAnsiTheme="majorHAnsi"/>
          <w:spacing w:val="-2"/>
          <w:sz w:val="20"/>
          <w:szCs w:val="20"/>
          <w:lang w:val="uk-UA"/>
        </w:rPr>
        <w:t xml:space="preserve"> </w:t>
      </w:r>
      <w:r w:rsidRPr="000977F7">
        <w:rPr>
          <w:rFonts w:asciiTheme="majorHAnsi" w:hAnsiTheme="majorHAnsi"/>
          <w:sz w:val="20"/>
          <w:szCs w:val="20"/>
        </w:rPr>
        <w:t>TO</w:t>
      </w:r>
      <w:r w:rsidRPr="004D2D14">
        <w:rPr>
          <w:rFonts w:asciiTheme="majorHAnsi" w:hAnsiTheme="majorHAnsi"/>
          <w:sz w:val="20"/>
          <w:szCs w:val="20"/>
          <w:lang w:val="uk-UA"/>
        </w:rPr>
        <w:t>-</w:t>
      </w:r>
      <w:r w:rsidRPr="000977F7">
        <w:rPr>
          <w:rFonts w:asciiTheme="majorHAnsi" w:hAnsiTheme="majorHAnsi"/>
          <w:sz w:val="20"/>
          <w:szCs w:val="20"/>
        </w:rPr>
        <w:t>STATISFY</w:t>
      </w:r>
      <w:r w:rsidRPr="004D2D14">
        <w:rPr>
          <w:rFonts w:asciiTheme="majorHAnsi" w:hAnsiTheme="majorHAnsi"/>
          <w:spacing w:val="-2"/>
          <w:sz w:val="20"/>
          <w:szCs w:val="20"/>
          <w:lang w:val="uk-UA"/>
        </w:rPr>
        <w:t xml:space="preserve"> </w:t>
      </w:r>
      <w:r w:rsidRPr="000977F7">
        <w:rPr>
          <w:rFonts w:asciiTheme="majorHAnsi" w:hAnsiTheme="majorHAnsi"/>
          <w:sz w:val="20"/>
          <w:szCs w:val="20"/>
        </w:rPr>
        <w:t>PROVISION</w:t>
      </w:r>
      <w:r w:rsidRPr="004D2D14">
        <w:rPr>
          <w:rFonts w:asciiTheme="majorHAnsi" w:hAnsiTheme="majorHAnsi"/>
          <w:sz w:val="20"/>
          <w:szCs w:val="20"/>
          <w:lang w:val="uk-UA"/>
        </w:rPr>
        <w:t xml:space="preserve"> –</w:t>
      </w:r>
    </w:p>
    <w:p w14:paraId="050F473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Положення, спрямоване на досягнення відповідності;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положення, яке визначає один або декілька способів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досягнення відповідності вимозі нормативного документа</w:t>
      </w:r>
    </w:p>
    <w:p w14:paraId="362CEDDD"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МЕТОДИЧНІ</w:t>
      </w:r>
      <w:r w:rsidRPr="004D2D14">
        <w:rPr>
          <w:rFonts w:asciiTheme="majorHAnsi" w:hAnsiTheme="majorHAnsi"/>
          <w:b/>
          <w:spacing w:val="-6"/>
          <w:sz w:val="20"/>
          <w:szCs w:val="20"/>
          <w:lang w:val="en-US"/>
        </w:rPr>
        <w:t xml:space="preserve"> </w:t>
      </w:r>
      <w:r w:rsidRPr="000977F7">
        <w:rPr>
          <w:rFonts w:asciiTheme="majorHAnsi" w:hAnsiTheme="majorHAnsi"/>
          <w:b/>
          <w:sz w:val="20"/>
          <w:szCs w:val="20"/>
        </w:rPr>
        <w:t>ВКАЗІВКИ</w:t>
      </w:r>
      <w:r w:rsidRPr="004D2D14">
        <w:rPr>
          <w:rFonts w:asciiTheme="majorHAnsi" w:hAnsiTheme="majorHAnsi"/>
          <w:b/>
          <w:spacing w:val="-6"/>
          <w:sz w:val="20"/>
          <w:szCs w:val="20"/>
          <w:lang w:val="en-US"/>
        </w:rPr>
        <w:t xml:space="preserve"> </w:t>
      </w:r>
      <w:r w:rsidRPr="000977F7">
        <w:rPr>
          <w:rFonts w:asciiTheme="majorHAnsi" w:hAnsiTheme="majorHAnsi"/>
          <w:b/>
          <w:sz w:val="20"/>
          <w:szCs w:val="20"/>
        </w:rPr>
        <w:t>ІЗ</w:t>
      </w:r>
      <w:r w:rsidRPr="004D2D14">
        <w:rPr>
          <w:rFonts w:asciiTheme="majorHAnsi" w:hAnsiTheme="majorHAnsi"/>
          <w:b/>
          <w:spacing w:val="-5"/>
          <w:sz w:val="20"/>
          <w:szCs w:val="20"/>
          <w:lang w:val="en-US"/>
        </w:rPr>
        <w:t xml:space="preserve"> </w:t>
      </w:r>
      <w:r w:rsidRPr="000977F7">
        <w:rPr>
          <w:rFonts w:asciiTheme="majorHAnsi" w:hAnsiTheme="majorHAnsi"/>
          <w:b/>
          <w:sz w:val="20"/>
          <w:szCs w:val="20"/>
        </w:rPr>
        <w:t>СТАНДАРТИЗАЦІЇ</w:t>
      </w:r>
      <w:r w:rsidRPr="004D2D14">
        <w:rPr>
          <w:rFonts w:asciiTheme="majorHAnsi" w:hAnsiTheme="majorHAnsi"/>
          <w:b/>
          <w:spacing w:val="-2"/>
          <w:sz w:val="20"/>
          <w:szCs w:val="20"/>
          <w:lang w:val="en-US"/>
        </w:rPr>
        <w:t xml:space="preserve"> </w:t>
      </w:r>
      <w:r w:rsidRPr="004D2D14">
        <w:rPr>
          <w:rFonts w:asciiTheme="majorHAnsi" w:hAnsiTheme="majorHAnsi"/>
          <w:sz w:val="20"/>
          <w:szCs w:val="20"/>
          <w:lang w:val="en-US"/>
        </w:rPr>
        <w:t>–</w:t>
      </w:r>
    </w:p>
    <w:p w14:paraId="74AE170A"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METHODICAL DIRECTIVES 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STANDARDIZATION –</w:t>
      </w:r>
    </w:p>
    <w:p w14:paraId="55B6E0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Нормативний</w:t>
      </w:r>
      <w:r w:rsidRPr="000977F7">
        <w:rPr>
          <w:rFonts w:asciiTheme="majorHAnsi" w:hAnsiTheme="majorHAnsi"/>
          <w:spacing w:val="-4"/>
          <w:sz w:val="20"/>
          <w:szCs w:val="20"/>
        </w:rPr>
        <w:t xml:space="preserve"> </w:t>
      </w:r>
      <w:r w:rsidRPr="000977F7">
        <w:rPr>
          <w:rFonts w:asciiTheme="majorHAnsi" w:hAnsiTheme="majorHAnsi"/>
          <w:sz w:val="20"/>
          <w:szCs w:val="20"/>
        </w:rPr>
        <w:t>документ</w:t>
      </w:r>
      <w:r w:rsidRPr="000977F7">
        <w:rPr>
          <w:rFonts w:asciiTheme="majorHAnsi" w:hAnsiTheme="majorHAnsi"/>
          <w:spacing w:val="-6"/>
          <w:sz w:val="20"/>
          <w:szCs w:val="20"/>
        </w:rPr>
        <w:t xml:space="preserve"> </w:t>
      </w:r>
      <w:r w:rsidRPr="000977F7">
        <w:rPr>
          <w:rFonts w:asciiTheme="majorHAnsi" w:hAnsiTheme="majorHAnsi"/>
          <w:sz w:val="20"/>
          <w:szCs w:val="20"/>
        </w:rPr>
        <w:t>із</w:t>
      </w:r>
      <w:r w:rsidRPr="000977F7">
        <w:rPr>
          <w:rFonts w:asciiTheme="majorHAnsi" w:hAnsiTheme="majorHAnsi"/>
          <w:spacing w:val="-5"/>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4"/>
          <w:sz w:val="20"/>
          <w:szCs w:val="20"/>
        </w:rPr>
        <w:t xml:space="preserve"> </w:t>
      </w:r>
      <w:r w:rsidRPr="000977F7">
        <w:rPr>
          <w:rFonts w:asciiTheme="majorHAnsi" w:hAnsiTheme="majorHAnsi"/>
          <w:sz w:val="20"/>
          <w:szCs w:val="20"/>
        </w:rPr>
        <w:t>що</w:t>
      </w:r>
      <w:r w:rsidRPr="000977F7">
        <w:rPr>
          <w:rFonts w:asciiTheme="majorHAnsi" w:hAnsiTheme="majorHAnsi"/>
          <w:spacing w:val="-4"/>
          <w:sz w:val="20"/>
          <w:szCs w:val="20"/>
        </w:rPr>
        <w:t xml:space="preserve"> </w:t>
      </w:r>
      <w:r w:rsidRPr="000977F7">
        <w:rPr>
          <w:rFonts w:asciiTheme="majorHAnsi" w:hAnsiTheme="majorHAnsi"/>
          <w:sz w:val="20"/>
          <w:szCs w:val="20"/>
        </w:rPr>
        <w:t>визначає</w:t>
      </w:r>
      <w:r w:rsidRPr="000977F7">
        <w:rPr>
          <w:rFonts w:asciiTheme="majorHAnsi" w:hAnsiTheme="majorHAnsi"/>
          <w:spacing w:val="-47"/>
          <w:sz w:val="20"/>
          <w:szCs w:val="20"/>
        </w:rPr>
        <w:t xml:space="preserve"> </w:t>
      </w:r>
      <w:r w:rsidRPr="000977F7">
        <w:rPr>
          <w:rFonts w:asciiTheme="majorHAnsi" w:hAnsiTheme="majorHAnsi"/>
          <w:sz w:val="20"/>
          <w:szCs w:val="20"/>
        </w:rPr>
        <w:t>організаційні та методичні правила проведення робіт</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p>
    <w:p w14:paraId="63BF4C6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МЕТОД</w:t>
      </w:r>
      <w:r w:rsidRPr="000977F7">
        <w:rPr>
          <w:color w:val="auto"/>
          <w:spacing w:val="-4"/>
          <w:sz w:val="20"/>
          <w:szCs w:val="20"/>
        </w:rPr>
        <w:t xml:space="preserve"> </w:t>
      </w:r>
      <w:r w:rsidRPr="000977F7">
        <w:rPr>
          <w:color w:val="auto"/>
          <w:sz w:val="20"/>
          <w:szCs w:val="20"/>
        </w:rPr>
        <w:t>ОДНОГО</w:t>
      </w:r>
      <w:r w:rsidRPr="000977F7">
        <w:rPr>
          <w:color w:val="auto"/>
          <w:spacing w:val="-1"/>
          <w:sz w:val="20"/>
          <w:szCs w:val="20"/>
        </w:rPr>
        <w:t xml:space="preserve"> </w:t>
      </w:r>
      <w:r w:rsidRPr="000977F7">
        <w:rPr>
          <w:color w:val="auto"/>
          <w:sz w:val="20"/>
          <w:szCs w:val="20"/>
        </w:rPr>
        <w:t>ЗБІГУ;</w:t>
      </w:r>
      <w:r w:rsidRPr="000977F7">
        <w:rPr>
          <w:color w:val="auto"/>
          <w:spacing w:val="-3"/>
          <w:sz w:val="20"/>
          <w:szCs w:val="20"/>
        </w:rPr>
        <w:t xml:space="preserve"> </w:t>
      </w:r>
      <w:r w:rsidRPr="000977F7">
        <w:rPr>
          <w:color w:val="auto"/>
          <w:sz w:val="20"/>
          <w:szCs w:val="20"/>
        </w:rPr>
        <w:t>МЕТОД</w:t>
      </w:r>
      <w:r w:rsidRPr="000977F7">
        <w:rPr>
          <w:color w:val="auto"/>
          <w:spacing w:val="46"/>
          <w:sz w:val="20"/>
          <w:szCs w:val="20"/>
        </w:rPr>
        <w:t xml:space="preserve"> </w:t>
      </w:r>
      <w:r w:rsidRPr="000977F7">
        <w:rPr>
          <w:color w:val="auto"/>
          <w:sz w:val="20"/>
          <w:szCs w:val="20"/>
        </w:rPr>
        <w:t>НОНІУСА</w:t>
      </w:r>
      <w:r w:rsidRPr="000977F7">
        <w:rPr>
          <w:color w:val="auto"/>
          <w:spacing w:val="1"/>
          <w:sz w:val="20"/>
          <w:szCs w:val="20"/>
        </w:rPr>
        <w:t xml:space="preserve"> </w:t>
      </w:r>
      <w:r w:rsidRPr="000977F7">
        <w:rPr>
          <w:color w:val="auto"/>
          <w:sz w:val="20"/>
          <w:szCs w:val="20"/>
        </w:rPr>
        <w:t>–</w:t>
      </w:r>
    </w:p>
    <w:p w14:paraId="3CE4311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Метод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прямого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вимірювання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одноразовим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порівнянням вихідних величин двох багатозначних нерегульованих мір, з різними за значенням ступенями, нульові позначки яких зсунути між собою на вимірювану</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величину</w:t>
      </w:r>
    </w:p>
    <w:p w14:paraId="193D09D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л</w:t>
      </w:r>
      <w:r w:rsidRPr="000977F7">
        <w:rPr>
          <w:rFonts w:asciiTheme="majorHAnsi" w:hAnsiTheme="majorHAnsi"/>
          <w:spacing w:val="-1"/>
          <w:sz w:val="20"/>
          <w:szCs w:val="20"/>
        </w:rPr>
        <w:t xml:space="preserve"> </w:t>
      </w:r>
      <w:r w:rsidRPr="000977F7">
        <w:rPr>
          <w:rFonts w:asciiTheme="majorHAnsi" w:hAnsiTheme="majorHAnsi"/>
          <w:sz w:val="20"/>
          <w:szCs w:val="20"/>
        </w:rPr>
        <w:t>а д</w:t>
      </w:r>
      <w:r w:rsidRPr="000977F7">
        <w:rPr>
          <w:rFonts w:asciiTheme="majorHAnsi" w:hAnsiTheme="majorHAnsi"/>
          <w:spacing w:val="-2"/>
          <w:sz w:val="20"/>
          <w:szCs w:val="20"/>
        </w:rPr>
        <w:t xml:space="preserve"> </w:t>
      </w:r>
      <w:r w:rsidRPr="000977F7">
        <w:rPr>
          <w:rFonts w:asciiTheme="majorHAnsi" w:hAnsiTheme="majorHAnsi"/>
          <w:sz w:val="20"/>
          <w:szCs w:val="20"/>
        </w:rPr>
        <w:t>и:</w:t>
      </w:r>
    </w:p>
    <w:p w14:paraId="55B04571" w14:textId="77777777" w:rsidR="0097612F" w:rsidRPr="000977F7" w:rsidRDefault="0097612F" w:rsidP="00FD39A4">
      <w:pPr>
        <w:pStyle w:val="ac"/>
        <w:widowControl w:val="0"/>
        <w:numPr>
          <w:ilvl w:val="1"/>
          <w:numId w:val="149"/>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Вимірювання довжини за допомогою двох лінійок</w:t>
      </w:r>
      <w:r w:rsidRPr="000977F7">
        <w:rPr>
          <w:rFonts w:asciiTheme="majorHAnsi" w:hAnsiTheme="majorHAnsi"/>
          <w:spacing w:val="-47"/>
          <w:sz w:val="20"/>
          <w:szCs w:val="20"/>
        </w:rPr>
        <w:t xml:space="preserve"> </w:t>
      </w:r>
      <w:r w:rsidRPr="000977F7">
        <w:rPr>
          <w:rFonts w:asciiTheme="majorHAnsi" w:hAnsiTheme="majorHAnsi"/>
          <w:sz w:val="20"/>
          <w:szCs w:val="20"/>
        </w:rPr>
        <w:t>з поділками, ціни яких знаходяться в певному відношенні.</w:t>
      </w:r>
    </w:p>
    <w:p w14:paraId="6664D7F1" w14:textId="77777777" w:rsidR="0097612F" w:rsidRPr="000977F7" w:rsidRDefault="0097612F" w:rsidP="00FD39A4">
      <w:pPr>
        <w:pStyle w:val="ac"/>
        <w:widowControl w:val="0"/>
        <w:numPr>
          <w:ilvl w:val="1"/>
          <w:numId w:val="149"/>
        </w:numPr>
        <w:tabs>
          <w:tab w:val="left" w:pos="284"/>
          <w:tab w:val="left" w:pos="65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Вимірювання часу за допомогою двох послідовностей</w:t>
      </w:r>
      <w:r w:rsidRPr="000977F7">
        <w:rPr>
          <w:rFonts w:asciiTheme="majorHAnsi" w:hAnsiTheme="majorHAnsi"/>
          <w:spacing w:val="1"/>
          <w:sz w:val="20"/>
          <w:szCs w:val="20"/>
        </w:rPr>
        <w:t xml:space="preserve"> </w:t>
      </w:r>
      <w:r w:rsidRPr="000977F7">
        <w:rPr>
          <w:rFonts w:asciiTheme="majorHAnsi" w:hAnsiTheme="majorHAnsi"/>
          <w:sz w:val="20"/>
          <w:szCs w:val="20"/>
        </w:rPr>
        <w:t>періодичних</w:t>
      </w:r>
      <w:r w:rsidRPr="000977F7">
        <w:rPr>
          <w:rFonts w:asciiTheme="majorHAnsi" w:hAnsiTheme="majorHAnsi"/>
          <w:spacing w:val="1"/>
          <w:sz w:val="20"/>
          <w:szCs w:val="20"/>
        </w:rPr>
        <w:t xml:space="preserve"> </w:t>
      </w:r>
      <w:r w:rsidRPr="000977F7">
        <w:rPr>
          <w:rFonts w:asciiTheme="majorHAnsi" w:hAnsiTheme="majorHAnsi"/>
          <w:sz w:val="20"/>
          <w:szCs w:val="20"/>
        </w:rPr>
        <w:t>імпульсів,</w:t>
      </w:r>
      <w:r w:rsidRPr="000977F7">
        <w:rPr>
          <w:rFonts w:asciiTheme="majorHAnsi" w:hAnsiTheme="majorHAnsi"/>
          <w:spacing w:val="1"/>
          <w:sz w:val="20"/>
          <w:szCs w:val="20"/>
        </w:rPr>
        <w:t xml:space="preserve"> </w:t>
      </w:r>
      <w:r w:rsidRPr="000977F7">
        <w:rPr>
          <w:rFonts w:asciiTheme="majorHAnsi" w:hAnsiTheme="majorHAnsi"/>
          <w:sz w:val="20"/>
          <w:szCs w:val="20"/>
        </w:rPr>
        <w:t>періоди яких знаходяться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певному</w:t>
      </w:r>
      <w:r w:rsidRPr="000977F7">
        <w:rPr>
          <w:rFonts w:asciiTheme="majorHAnsi" w:hAnsiTheme="majorHAnsi"/>
          <w:spacing w:val="-4"/>
          <w:sz w:val="20"/>
          <w:szCs w:val="20"/>
        </w:rPr>
        <w:t xml:space="preserve"> </w:t>
      </w:r>
      <w:r w:rsidRPr="000977F7">
        <w:rPr>
          <w:rFonts w:asciiTheme="majorHAnsi" w:hAnsiTheme="majorHAnsi"/>
          <w:sz w:val="20"/>
          <w:szCs w:val="20"/>
        </w:rPr>
        <w:t>відношенні</w:t>
      </w:r>
    </w:p>
    <w:p w14:paraId="45BD14D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1D633B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МЕТОД ПОДВІЙНОГО ЗБІГУ; МЕТОД КОІНЦИДЕНЦІЇ</w:t>
      </w:r>
      <w:r w:rsidRPr="000977F7">
        <w:rPr>
          <w:color w:val="auto"/>
          <w:spacing w:val="-1"/>
          <w:sz w:val="20"/>
          <w:szCs w:val="20"/>
        </w:rPr>
        <w:t xml:space="preserve"> </w:t>
      </w:r>
      <w:r w:rsidRPr="000977F7">
        <w:rPr>
          <w:color w:val="auto"/>
          <w:sz w:val="20"/>
          <w:szCs w:val="20"/>
        </w:rPr>
        <w:t>–</w:t>
      </w:r>
    </w:p>
    <w:p w14:paraId="118B77C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COINCIDENCE</w:t>
      </w:r>
      <w:r w:rsidRPr="004D2D14">
        <w:rPr>
          <w:rFonts w:asciiTheme="majorHAnsi" w:hAnsiTheme="majorHAnsi"/>
          <w:spacing w:val="-2"/>
          <w:sz w:val="20"/>
          <w:szCs w:val="20"/>
          <w:lang w:val="uk-UA"/>
        </w:rPr>
        <w:t xml:space="preserve"> </w:t>
      </w:r>
      <w:r w:rsidRPr="000977F7">
        <w:rPr>
          <w:rFonts w:asciiTheme="majorHAnsi" w:hAnsiTheme="majorHAnsi"/>
          <w:sz w:val="20"/>
          <w:szCs w:val="20"/>
        </w:rPr>
        <w:t>MEASURING</w:t>
      </w:r>
      <w:r w:rsidRPr="004D2D14">
        <w:rPr>
          <w:rFonts w:asciiTheme="majorHAnsi" w:hAnsiTheme="majorHAnsi"/>
          <w:spacing w:val="-2"/>
          <w:sz w:val="20"/>
          <w:szCs w:val="20"/>
          <w:lang w:val="uk-UA"/>
        </w:rPr>
        <w:t xml:space="preserve"> </w:t>
      </w:r>
      <w:r w:rsidRPr="000977F7">
        <w:rPr>
          <w:rFonts w:asciiTheme="majorHAnsi" w:hAnsiTheme="majorHAnsi"/>
          <w:sz w:val="20"/>
          <w:szCs w:val="20"/>
        </w:rPr>
        <w:t>METHOD</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2E7F0E4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Метод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прямого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вимірювання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одноразовим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порівнянням двох квантованих фізичних величин: вимірюваної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відтворюваної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багатозначною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нерегульованою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мірою</w:t>
      </w:r>
    </w:p>
    <w:p w14:paraId="5B52688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л</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а д:</w:t>
      </w:r>
    </w:p>
    <w:p w14:paraId="038083CC" w14:textId="77777777" w:rsidR="0097612F" w:rsidRPr="004D2D14" w:rsidRDefault="0097612F" w:rsidP="000977F7">
      <w:pPr>
        <w:pStyle w:val="af6"/>
        <w:tabs>
          <w:tab w:val="left" w:pos="284"/>
        </w:tabs>
        <w:spacing w:after="0"/>
        <w:ind w:left="170"/>
        <w:mirrorIndents/>
        <w:jc w:val="both"/>
        <w:rPr>
          <w:rFonts w:asciiTheme="majorHAnsi" w:hAnsiTheme="majorHAnsi"/>
          <w:spacing w:val="-3"/>
          <w:sz w:val="20"/>
          <w:szCs w:val="20"/>
          <w:lang w:val="uk-UA"/>
        </w:rPr>
      </w:pPr>
      <w:r w:rsidRPr="004D2D14">
        <w:rPr>
          <w:rFonts w:asciiTheme="majorHAnsi" w:hAnsiTheme="majorHAnsi"/>
          <w:spacing w:val="-2"/>
          <w:sz w:val="20"/>
          <w:szCs w:val="20"/>
          <w:lang w:val="uk-UA"/>
        </w:rPr>
        <w:t xml:space="preserve">Вимірювання </w:t>
      </w:r>
      <w:r w:rsidRPr="004D2D14">
        <w:rPr>
          <w:rFonts w:asciiTheme="majorHAnsi" w:hAnsiTheme="majorHAnsi"/>
          <w:spacing w:val="-1"/>
          <w:sz w:val="20"/>
          <w:szCs w:val="20"/>
          <w:lang w:val="uk-UA"/>
        </w:rPr>
        <w:t>зістикованих інтервалів часу або зістикованих</w:t>
      </w:r>
      <w:r w:rsidRPr="004D2D14">
        <w:rPr>
          <w:rFonts w:asciiTheme="majorHAnsi" w:hAnsiTheme="majorHAnsi"/>
          <w:spacing w:val="-8"/>
          <w:sz w:val="20"/>
          <w:szCs w:val="20"/>
          <w:lang w:val="uk-UA"/>
        </w:rPr>
        <w:t xml:space="preserve"> </w:t>
      </w:r>
      <w:r w:rsidRPr="004D2D14">
        <w:rPr>
          <w:rFonts w:asciiTheme="majorHAnsi" w:hAnsiTheme="majorHAnsi"/>
          <w:spacing w:val="-1"/>
          <w:sz w:val="20"/>
          <w:szCs w:val="20"/>
          <w:lang w:val="uk-UA"/>
        </w:rPr>
        <w:t>відрізків</w:t>
      </w:r>
      <w:r w:rsidRPr="004D2D14">
        <w:rPr>
          <w:rFonts w:asciiTheme="majorHAnsi" w:hAnsiTheme="majorHAnsi"/>
          <w:spacing w:val="-7"/>
          <w:sz w:val="20"/>
          <w:szCs w:val="20"/>
          <w:lang w:val="uk-UA"/>
        </w:rPr>
        <w:t xml:space="preserve"> </w:t>
      </w:r>
      <w:r w:rsidRPr="004D2D14">
        <w:rPr>
          <w:rFonts w:asciiTheme="majorHAnsi" w:hAnsiTheme="majorHAnsi"/>
          <w:spacing w:val="-1"/>
          <w:sz w:val="20"/>
          <w:szCs w:val="20"/>
          <w:lang w:val="uk-UA"/>
        </w:rPr>
        <w:t>довжини</w:t>
      </w:r>
      <w:r w:rsidRPr="004D2D14">
        <w:rPr>
          <w:rFonts w:asciiTheme="majorHAnsi" w:hAnsiTheme="majorHAnsi"/>
          <w:spacing w:val="-7"/>
          <w:sz w:val="20"/>
          <w:szCs w:val="20"/>
          <w:lang w:val="uk-UA"/>
        </w:rPr>
        <w:t xml:space="preserve"> </w:t>
      </w:r>
      <w:r w:rsidRPr="004D2D14">
        <w:rPr>
          <w:rFonts w:asciiTheme="majorHAnsi" w:hAnsiTheme="majorHAnsi"/>
          <w:spacing w:val="-1"/>
          <w:sz w:val="20"/>
          <w:szCs w:val="20"/>
          <w:lang w:val="uk-UA"/>
        </w:rPr>
        <w:t>за</w:t>
      </w:r>
      <w:r w:rsidRPr="004D2D14">
        <w:rPr>
          <w:rFonts w:asciiTheme="majorHAnsi" w:hAnsiTheme="majorHAnsi"/>
          <w:spacing w:val="-7"/>
          <w:sz w:val="20"/>
          <w:szCs w:val="20"/>
          <w:lang w:val="uk-UA"/>
        </w:rPr>
        <w:t xml:space="preserve"> </w:t>
      </w:r>
      <w:r w:rsidRPr="004D2D14">
        <w:rPr>
          <w:rFonts w:asciiTheme="majorHAnsi" w:hAnsiTheme="majorHAnsi"/>
          <w:spacing w:val="-1"/>
          <w:sz w:val="20"/>
          <w:szCs w:val="20"/>
          <w:lang w:val="uk-UA"/>
        </w:rPr>
        <w:t>допомогою</w:t>
      </w:r>
      <w:r w:rsidRPr="004D2D14">
        <w:rPr>
          <w:rFonts w:asciiTheme="majorHAnsi" w:hAnsiTheme="majorHAnsi"/>
          <w:spacing w:val="-6"/>
          <w:sz w:val="20"/>
          <w:szCs w:val="20"/>
          <w:lang w:val="uk-UA"/>
        </w:rPr>
        <w:t xml:space="preserve"> </w:t>
      </w:r>
      <w:r w:rsidRPr="004D2D14">
        <w:rPr>
          <w:rFonts w:asciiTheme="majorHAnsi" w:hAnsiTheme="majorHAnsi"/>
          <w:spacing w:val="-1"/>
          <w:sz w:val="20"/>
          <w:szCs w:val="20"/>
          <w:lang w:val="uk-UA"/>
        </w:rPr>
        <w:t>відповідно:</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пос</w:t>
      </w:r>
      <w:r w:rsidRPr="004D2D14">
        <w:rPr>
          <w:rFonts w:asciiTheme="majorHAnsi" w:hAnsiTheme="majorHAnsi"/>
          <w:spacing w:val="-1"/>
          <w:sz w:val="20"/>
          <w:szCs w:val="20"/>
          <w:lang w:val="uk-UA"/>
        </w:rPr>
        <w:t>лідовності періодичних імпульсів з відомим значенням</w:t>
      </w:r>
      <w:r w:rsidRPr="004D2D14">
        <w:rPr>
          <w:rFonts w:asciiTheme="majorHAnsi" w:hAnsiTheme="majorHAnsi"/>
          <w:spacing w:val="-47"/>
          <w:sz w:val="20"/>
          <w:szCs w:val="20"/>
          <w:lang w:val="uk-UA"/>
        </w:rPr>
        <w:t xml:space="preserve"> </w:t>
      </w:r>
      <w:r w:rsidRPr="004D2D14">
        <w:rPr>
          <w:rFonts w:asciiTheme="majorHAnsi" w:hAnsiTheme="majorHAnsi"/>
          <w:spacing w:val="-4"/>
          <w:sz w:val="20"/>
          <w:szCs w:val="20"/>
          <w:lang w:val="uk-UA"/>
        </w:rPr>
        <w:t>їх</w:t>
      </w:r>
      <w:r w:rsidRPr="004D2D14">
        <w:rPr>
          <w:rFonts w:asciiTheme="majorHAnsi" w:hAnsiTheme="majorHAnsi"/>
          <w:spacing w:val="-6"/>
          <w:sz w:val="20"/>
          <w:szCs w:val="20"/>
          <w:lang w:val="uk-UA"/>
        </w:rPr>
        <w:t xml:space="preserve"> </w:t>
      </w:r>
      <w:r w:rsidRPr="004D2D14">
        <w:rPr>
          <w:rFonts w:asciiTheme="majorHAnsi" w:hAnsiTheme="majorHAnsi"/>
          <w:spacing w:val="-4"/>
          <w:sz w:val="20"/>
          <w:szCs w:val="20"/>
          <w:lang w:val="uk-UA"/>
        </w:rPr>
        <w:t>періоду</w:t>
      </w:r>
      <w:r w:rsidRPr="004D2D14">
        <w:rPr>
          <w:rFonts w:asciiTheme="majorHAnsi" w:hAnsiTheme="majorHAnsi"/>
          <w:spacing w:val="-8"/>
          <w:sz w:val="20"/>
          <w:szCs w:val="20"/>
          <w:lang w:val="uk-UA"/>
        </w:rPr>
        <w:t xml:space="preserve"> </w:t>
      </w:r>
      <w:r w:rsidRPr="004D2D14">
        <w:rPr>
          <w:rFonts w:asciiTheme="majorHAnsi" w:hAnsiTheme="majorHAnsi"/>
          <w:spacing w:val="-4"/>
          <w:sz w:val="20"/>
          <w:szCs w:val="20"/>
          <w:lang w:val="uk-UA"/>
        </w:rPr>
        <w:t>або</w:t>
      </w:r>
      <w:r w:rsidRPr="004D2D14">
        <w:rPr>
          <w:rFonts w:asciiTheme="majorHAnsi" w:hAnsiTheme="majorHAnsi"/>
          <w:spacing w:val="-6"/>
          <w:sz w:val="20"/>
          <w:szCs w:val="20"/>
          <w:lang w:val="uk-UA"/>
        </w:rPr>
        <w:t xml:space="preserve"> </w:t>
      </w:r>
      <w:r w:rsidRPr="004D2D14">
        <w:rPr>
          <w:rFonts w:asciiTheme="majorHAnsi" w:hAnsiTheme="majorHAnsi"/>
          <w:spacing w:val="-4"/>
          <w:sz w:val="20"/>
          <w:szCs w:val="20"/>
          <w:lang w:val="uk-UA"/>
        </w:rPr>
        <w:t>лінійки</w:t>
      </w:r>
      <w:r w:rsidRPr="004D2D14">
        <w:rPr>
          <w:rFonts w:asciiTheme="majorHAnsi" w:hAnsiTheme="majorHAnsi"/>
          <w:spacing w:val="-11"/>
          <w:sz w:val="20"/>
          <w:szCs w:val="20"/>
          <w:lang w:val="uk-UA"/>
        </w:rPr>
        <w:t xml:space="preserve"> </w:t>
      </w:r>
      <w:r w:rsidRPr="004D2D14">
        <w:rPr>
          <w:rFonts w:asciiTheme="majorHAnsi" w:hAnsiTheme="majorHAnsi"/>
          <w:spacing w:val="-4"/>
          <w:sz w:val="20"/>
          <w:szCs w:val="20"/>
          <w:lang w:val="uk-UA"/>
        </w:rPr>
        <w:t>з</w:t>
      </w:r>
      <w:r w:rsidRPr="004D2D14">
        <w:rPr>
          <w:rFonts w:asciiTheme="majorHAnsi" w:hAnsiTheme="majorHAnsi"/>
          <w:spacing w:val="-7"/>
          <w:sz w:val="20"/>
          <w:szCs w:val="20"/>
          <w:lang w:val="uk-UA"/>
        </w:rPr>
        <w:t xml:space="preserve"> </w:t>
      </w:r>
      <w:r w:rsidRPr="004D2D14">
        <w:rPr>
          <w:rFonts w:asciiTheme="majorHAnsi" w:hAnsiTheme="majorHAnsi"/>
          <w:spacing w:val="-4"/>
          <w:sz w:val="20"/>
          <w:szCs w:val="20"/>
          <w:lang w:val="uk-UA"/>
        </w:rPr>
        <w:t>відомим</w:t>
      </w:r>
      <w:r w:rsidRPr="004D2D14">
        <w:rPr>
          <w:rFonts w:asciiTheme="majorHAnsi" w:hAnsiTheme="majorHAnsi"/>
          <w:spacing w:val="-9"/>
          <w:sz w:val="20"/>
          <w:szCs w:val="20"/>
          <w:lang w:val="uk-UA"/>
        </w:rPr>
        <w:t xml:space="preserve"> </w:t>
      </w:r>
      <w:r w:rsidRPr="004D2D14">
        <w:rPr>
          <w:rFonts w:asciiTheme="majorHAnsi" w:hAnsiTheme="majorHAnsi"/>
          <w:spacing w:val="-4"/>
          <w:sz w:val="20"/>
          <w:szCs w:val="20"/>
          <w:lang w:val="uk-UA"/>
        </w:rPr>
        <w:t>значенням</w:t>
      </w:r>
      <w:r w:rsidRPr="004D2D14">
        <w:rPr>
          <w:rFonts w:asciiTheme="majorHAnsi" w:hAnsiTheme="majorHAnsi"/>
          <w:spacing w:val="-5"/>
          <w:sz w:val="20"/>
          <w:szCs w:val="20"/>
          <w:lang w:val="uk-UA"/>
        </w:rPr>
        <w:t xml:space="preserve"> </w:t>
      </w:r>
      <w:r w:rsidRPr="004D2D14">
        <w:rPr>
          <w:rFonts w:asciiTheme="majorHAnsi" w:hAnsiTheme="majorHAnsi"/>
          <w:spacing w:val="-3"/>
          <w:sz w:val="20"/>
          <w:szCs w:val="20"/>
          <w:lang w:val="uk-UA"/>
        </w:rPr>
        <w:t>поділок</w:t>
      </w:r>
    </w:p>
    <w:p w14:paraId="744CD58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42A9045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МЕТОДИ</w:t>
      </w:r>
      <w:r w:rsidRPr="000977F7">
        <w:rPr>
          <w:color w:val="auto"/>
          <w:spacing w:val="-4"/>
          <w:sz w:val="20"/>
          <w:szCs w:val="20"/>
        </w:rPr>
        <w:t xml:space="preserve"> </w:t>
      </w:r>
      <w:r w:rsidRPr="000977F7">
        <w:rPr>
          <w:color w:val="auto"/>
          <w:sz w:val="20"/>
          <w:szCs w:val="20"/>
        </w:rPr>
        <w:t>ВИБОРУ</w:t>
      </w:r>
      <w:r w:rsidRPr="000977F7">
        <w:rPr>
          <w:color w:val="auto"/>
          <w:spacing w:val="-3"/>
          <w:sz w:val="20"/>
          <w:szCs w:val="20"/>
        </w:rPr>
        <w:t xml:space="preserve"> </w:t>
      </w:r>
      <w:r w:rsidRPr="000977F7">
        <w:rPr>
          <w:color w:val="auto"/>
          <w:sz w:val="20"/>
          <w:szCs w:val="20"/>
        </w:rPr>
        <w:t>ПРОЕКТУ</w:t>
      </w:r>
      <w:r w:rsidRPr="000977F7">
        <w:rPr>
          <w:color w:val="auto"/>
          <w:spacing w:val="-1"/>
          <w:sz w:val="20"/>
          <w:szCs w:val="20"/>
        </w:rPr>
        <w:t xml:space="preserve"> </w:t>
      </w:r>
      <w:r w:rsidRPr="000977F7">
        <w:rPr>
          <w:color w:val="auto"/>
          <w:sz w:val="20"/>
          <w:szCs w:val="20"/>
        </w:rPr>
        <w:t>–</w:t>
      </w:r>
    </w:p>
    <w:p w14:paraId="69179A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Методи вибору проекту звичайно попадають в одну з</w:t>
      </w:r>
      <w:r w:rsidRPr="000977F7">
        <w:rPr>
          <w:rFonts w:asciiTheme="majorHAnsi" w:hAnsiTheme="majorHAnsi"/>
          <w:spacing w:val="1"/>
          <w:sz w:val="20"/>
          <w:szCs w:val="20"/>
        </w:rPr>
        <w:t xml:space="preserve"> </w:t>
      </w:r>
      <w:r w:rsidRPr="000977F7">
        <w:rPr>
          <w:rFonts w:asciiTheme="majorHAnsi" w:hAnsiTheme="majorHAnsi"/>
          <w:sz w:val="20"/>
          <w:szCs w:val="20"/>
        </w:rPr>
        <w:t>двох</w:t>
      </w:r>
      <w:r w:rsidRPr="000977F7">
        <w:rPr>
          <w:rFonts w:asciiTheme="majorHAnsi" w:hAnsiTheme="majorHAnsi"/>
          <w:spacing w:val="-2"/>
          <w:sz w:val="20"/>
          <w:szCs w:val="20"/>
        </w:rPr>
        <w:t xml:space="preserve"> </w:t>
      </w:r>
      <w:r w:rsidRPr="000977F7">
        <w:rPr>
          <w:rFonts w:asciiTheme="majorHAnsi" w:hAnsiTheme="majorHAnsi"/>
          <w:sz w:val="20"/>
          <w:szCs w:val="20"/>
        </w:rPr>
        <w:t>широких</w:t>
      </w:r>
      <w:r w:rsidRPr="000977F7">
        <w:rPr>
          <w:rFonts w:asciiTheme="majorHAnsi" w:hAnsiTheme="majorHAnsi"/>
          <w:spacing w:val="-1"/>
          <w:sz w:val="20"/>
          <w:szCs w:val="20"/>
        </w:rPr>
        <w:t xml:space="preserve"> </w:t>
      </w:r>
      <w:r w:rsidRPr="000977F7">
        <w:rPr>
          <w:rFonts w:asciiTheme="majorHAnsi" w:hAnsiTheme="majorHAnsi"/>
          <w:sz w:val="20"/>
          <w:szCs w:val="20"/>
        </w:rPr>
        <w:t>категорій:</w:t>
      </w:r>
    </w:p>
    <w:p w14:paraId="499F4778" w14:textId="77777777" w:rsidR="0097612F" w:rsidRPr="000977F7" w:rsidRDefault="0097612F" w:rsidP="00FD39A4">
      <w:pPr>
        <w:pStyle w:val="ac"/>
        <w:widowControl w:val="0"/>
        <w:numPr>
          <w:ilvl w:val="1"/>
          <w:numId w:val="180"/>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Методи вимірювання прибутку – порівняльні підходи, виграшні моделі, вклад прибутку або економічні</w:t>
      </w:r>
      <w:r w:rsidRPr="000977F7">
        <w:rPr>
          <w:rFonts w:asciiTheme="majorHAnsi" w:hAnsiTheme="majorHAnsi"/>
          <w:spacing w:val="-2"/>
          <w:sz w:val="20"/>
          <w:szCs w:val="20"/>
        </w:rPr>
        <w:t xml:space="preserve"> </w:t>
      </w:r>
      <w:r w:rsidRPr="000977F7">
        <w:rPr>
          <w:rFonts w:asciiTheme="majorHAnsi" w:hAnsiTheme="majorHAnsi"/>
          <w:sz w:val="20"/>
          <w:szCs w:val="20"/>
        </w:rPr>
        <w:t>моделі.</w:t>
      </w:r>
    </w:p>
    <w:p w14:paraId="7E85AA78" w14:textId="77777777" w:rsidR="0097612F" w:rsidRPr="000977F7" w:rsidRDefault="0097612F" w:rsidP="00FD39A4">
      <w:pPr>
        <w:pStyle w:val="ac"/>
        <w:widowControl w:val="0"/>
        <w:numPr>
          <w:ilvl w:val="1"/>
          <w:numId w:val="180"/>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Методи оптимізації з обмеженнями – математичні</w:t>
      </w:r>
      <w:r w:rsidRPr="000977F7">
        <w:rPr>
          <w:rFonts w:asciiTheme="majorHAnsi" w:hAnsiTheme="majorHAnsi"/>
          <w:spacing w:val="-47"/>
          <w:sz w:val="20"/>
          <w:szCs w:val="20"/>
        </w:rPr>
        <w:t xml:space="preserve"> </w:t>
      </w:r>
      <w:r w:rsidRPr="000977F7">
        <w:rPr>
          <w:rFonts w:asciiTheme="majorHAnsi" w:hAnsiTheme="majorHAnsi"/>
          <w:sz w:val="20"/>
          <w:szCs w:val="20"/>
        </w:rPr>
        <w:t>моделі</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використанням</w:t>
      </w:r>
      <w:r w:rsidRPr="000977F7">
        <w:rPr>
          <w:rFonts w:asciiTheme="majorHAnsi" w:hAnsiTheme="majorHAnsi"/>
          <w:spacing w:val="1"/>
          <w:sz w:val="20"/>
          <w:szCs w:val="20"/>
        </w:rPr>
        <w:t xml:space="preserve"> </w:t>
      </w:r>
      <w:r w:rsidRPr="000977F7">
        <w:rPr>
          <w:rFonts w:asciiTheme="majorHAnsi" w:hAnsiTheme="majorHAnsi"/>
          <w:sz w:val="20"/>
          <w:szCs w:val="20"/>
        </w:rPr>
        <w:t>лінійного,</w:t>
      </w:r>
      <w:r w:rsidRPr="000977F7">
        <w:rPr>
          <w:rFonts w:asciiTheme="majorHAnsi" w:hAnsiTheme="majorHAnsi"/>
          <w:spacing w:val="1"/>
          <w:sz w:val="20"/>
          <w:szCs w:val="20"/>
        </w:rPr>
        <w:t xml:space="preserve"> </w:t>
      </w:r>
      <w:r w:rsidRPr="000977F7">
        <w:rPr>
          <w:rFonts w:asciiTheme="majorHAnsi" w:hAnsiTheme="majorHAnsi"/>
          <w:sz w:val="20"/>
          <w:szCs w:val="20"/>
        </w:rPr>
        <w:t>нелінійного,</w:t>
      </w:r>
      <w:r w:rsidRPr="000977F7">
        <w:rPr>
          <w:rFonts w:asciiTheme="majorHAnsi" w:hAnsiTheme="majorHAnsi"/>
          <w:spacing w:val="1"/>
          <w:sz w:val="20"/>
          <w:szCs w:val="20"/>
        </w:rPr>
        <w:t xml:space="preserve"> </w:t>
      </w:r>
      <w:r w:rsidRPr="000977F7">
        <w:rPr>
          <w:rFonts w:asciiTheme="majorHAnsi" w:hAnsiTheme="majorHAnsi"/>
          <w:sz w:val="20"/>
          <w:szCs w:val="20"/>
        </w:rPr>
        <w:t>динамічного, цілочисельного й багатокритеріального програмування.</w:t>
      </w:r>
    </w:p>
    <w:p w14:paraId="68E9C2A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Ці методи часто називаються моделями рішення. Мо</w:t>
      </w:r>
      <w:r w:rsidRPr="000977F7">
        <w:rPr>
          <w:rFonts w:asciiTheme="majorHAnsi" w:hAnsiTheme="majorHAnsi"/>
          <w:spacing w:val="-3"/>
          <w:sz w:val="20"/>
          <w:szCs w:val="20"/>
        </w:rPr>
        <w:t>делі</w:t>
      </w:r>
      <w:r w:rsidRPr="000977F7">
        <w:rPr>
          <w:rFonts w:asciiTheme="majorHAnsi" w:hAnsiTheme="majorHAnsi"/>
          <w:spacing w:val="-9"/>
          <w:sz w:val="20"/>
          <w:szCs w:val="20"/>
        </w:rPr>
        <w:t xml:space="preserve"> </w:t>
      </w:r>
      <w:r w:rsidRPr="000977F7">
        <w:rPr>
          <w:rFonts w:asciiTheme="majorHAnsi" w:hAnsiTheme="majorHAnsi"/>
          <w:spacing w:val="-3"/>
          <w:sz w:val="20"/>
          <w:szCs w:val="20"/>
        </w:rPr>
        <w:t>рішення</w:t>
      </w:r>
      <w:r w:rsidRPr="000977F7">
        <w:rPr>
          <w:rFonts w:asciiTheme="majorHAnsi" w:hAnsiTheme="majorHAnsi"/>
          <w:spacing w:val="-9"/>
          <w:sz w:val="20"/>
          <w:szCs w:val="20"/>
        </w:rPr>
        <w:t xml:space="preserve"> </w:t>
      </w:r>
      <w:r w:rsidRPr="000977F7">
        <w:rPr>
          <w:rFonts w:asciiTheme="majorHAnsi" w:hAnsiTheme="majorHAnsi"/>
          <w:spacing w:val="-3"/>
          <w:sz w:val="20"/>
          <w:szCs w:val="20"/>
        </w:rPr>
        <w:t>включають</w:t>
      </w:r>
      <w:r w:rsidRPr="000977F7">
        <w:rPr>
          <w:rFonts w:asciiTheme="majorHAnsi" w:hAnsiTheme="majorHAnsi"/>
          <w:spacing w:val="-8"/>
          <w:sz w:val="20"/>
          <w:szCs w:val="20"/>
        </w:rPr>
        <w:t xml:space="preserve"> </w:t>
      </w:r>
      <w:r w:rsidRPr="000977F7">
        <w:rPr>
          <w:rFonts w:asciiTheme="majorHAnsi" w:hAnsiTheme="majorHAnsi"/>
          <w:spacing w:val="-3"/>
          <w:sz w:val="20"/>
          <w:szCs w:val="20"/>
        </w:rPr>
        <w:t>загальні</w:t>
      </w:r>
      <w:r w:rsidRPr="000977F7">
        <w:rPr>
          <w:rFonts w:asciiTheme="majorHAnsi" w:hAnsiTheme="majorHAnsi"/>
          <w:spacing w:val="-9"/>
          <w:sz w:val="20"/>
          <w:szCs w:val="20"/>
        </w:rPr>
        <w:t xml:space="preserve"> </w:t>
      </w:r>
      <w:r w:rsidRPr="000977F7">
        <w:rPr>
          <w:rFonts w:asciiTheme="majorHAnsi" w:hAnsiTheme="majorHAnsi"/>
          <w:spacing w:val="-3"/>
          <w:sz w:val="20"/>
          <w:szCs w:val="20"/>
        </w:rPr>
        <w:t>(дерева</w:t>
      </w:r>
      <w:r w:rsidRPr="000977F7">
        <w:rPr>
          <w:rFonts w:asciiTheme="majorHAnsi" w:hAnsiTheme="majorHAnsi"/>
          <w:spacing w:val="-8"/>
          <w:sz w:val="20"/>
          <w:szCs w:val="20"/>
        </w:rPr>
        <w:t xml:space="preserve"> </w:t>
      </w:r>
      <w:r w:rsidRPr="000977F7">
        <w:rPr>
          <w:rFonts w:asciiTheme="majorHAnsi" w:hAnsiTheme="majorHAnsi"/>
          <w:spacing w:val="-3"/>
          <w:sz w:val="20"/>
          <w:szCs w:val="20"/>
        </w:rPr>
        <w:t>рішень,</w:t>
      </w:r>
      <w:r w:rsidRPr="000977F7">
        <w:rPr>
          <w:rFonts w:asciiTheme="majorHAnsi" w:hAnsiTheme="majorHAnsi"/>
          <w:spacing w:val="-8"/>
          <w:sz w:val="20"/>
          <w:szCs w:val="20"/>
        </w:rPr>
        <w:t xml:space="preserve"> </w:t>
      </w:r>
      <w:r w:rsidRPr="000977F7">
        <w:rPr>
          <w:rFonts w:asciiTheme="majorHAnsi" w:hAnsiTheme="majorHAnsi"/>
          <w:spacing w:val="-3"/>
          <w:sz w:val="20"/>
          <w:szCs w:val="20"/>
        </w:rPr>
        <w:t>форсо</w:t>
      </w:r>
      <w:r w:rsidRPr="000977F7">
        <w:rPr>
          <w:rFonts w:asciiTheme="majorHAnsi" w:hAnsiTheme="majorHAnsi"/>
          <w:spacing w:val="-2"/>
          <w:sz w:val="20"/>
          <w:szCs w:val="20"/>
        </w:rPr>
        <w:t>ваний</w:t>
      </w:r>
      <w:r w:rsidRPr="000977F7">
        <w:rPr>
          <w:rFonts w:asciiTheme="majorHAnsi" w:hAnsiTheme="majorHAnsi"/>
          <w:spacing w:val="-11"/>
          <w:sz w:val="20"/>
          <w:szCs w:val="20"/>
        </w:rPr>
        <w:t xml:space="preserve"> </w:t>
      </w:r>
      <w:r w:rsidRPr="000977F7">
        <w:rPr>
          <w:rFonts w:asciiTheme="majorHAnsi" w:hAnsiTheme="majorHAnsi"/>
          <w:spacing w:val="-2"/>
          <w:sz w:val="20"/>
          <w:szCs w:val="20"/>
        </w:rPr>
        <w:t>вибір</w:t>
      </w:r>
      <w:r w:rsidRPr="000977F7">
        <w:rPr>
          <w:rFonts w:asciiTheme="majorHAnsi" w:hAnsiTheme="majorHAnsi"/>
          <w:spacing w:val="-6"/>
          <w:sz w:val="20"/>
          <w:szCs w:val="20"/>
        </w:rPr>
        <w:t xml:space="preserve"> </w:t>
      </w:r>
      <w:r w:rsidRPr="000977F7">
        <w:rPr>
          <w:rFonts w:asciiTheme="majorHAnsi" w:hAnsiTheme="majorHAnsi"/>
          <w:spacing w:val="-2"/>
          <w:sz w:val="20"/>
          <w:szCs w:val="20"/>
        </w:rPr>
        <w:t>та</w:t>
      </w:r>
      <w:r w:rsidRPr="000977F7">
        <w:rPr>
          <w:rFonts w:asciiTheme="majorHAnsi" w:hAnsiTheme="majorHAnsi"/>
          <w:spacing w:val="-8"/>
          <w:sz w:val="20"/>
          <w:szCs w:val="20"/>
        </w:rPr>
        <w:t xml:space="preserve"> </w:t>
      </w:r>
      <w:r w:rsidRPr="000977F7">
        <w:rPr>
          <w:rFonts w:asciiTheme="majorHAnsi" w:hAnsiTheme="majorHAnsi"/>
          <w:spacing w:val="-2"/>
          <w:sz w:val="20"/>
          <w:szCs w:val="20"/>
        </w:rPr>
        <w:t>ін.)</w:t>
      </w:r>
      <w:r w:rsidRPr="000977F7">
        <w:rPr>
          <w:rFonts w:asciiTheme="majorHAnsi" w:hAnsiTheme="majorHAnsi"/>
          <w:spacing w:val="-7"/>
          <w:sz w:val="20"/>
          <w:szCs w:val="20"/>
        </w:rPr>
        <w:t xml:space="preserve"> </w:t>
      </w:r>
      <w:r w:rsidRPr="000977F7">
        <w:rPr>
          <w:rFonts w:asciiTheme="majorHAnsi" w:hAnsiTheme="majorHAnsi"/>
          <w:spacing w:val="-2"/>
          <w:sz w:val="20"/>
          <w:szCs w:val="20"/>
        </w:rPr>
        <w:t>та</w:t>
      </w:r>
      <w:r w:rsidRPr="000977F7">
        <w:rPr>
          <w:rFonts w:asciiTheme="majorHAnsi" w:hAnsiTheme="majorHAnsi"/>
          <w:spacing w:val="-8"/>
          <w:sz w:val="20"/>
          <w:szCs w:val="20"/>
        </w:rPr>
        <w:t xml:space="preserve"> </w:t>
      </w:r>
      <w:r w:rsidRPr="000977F7">
        <w:rPr>
          <w:rFonts w:asciiTheme="majorHAnsi" w:hAnsiTheme="majorHAnsi"/>
          <w:spacing w:val="-2"/>
          <w:sz w:val="20"/>
          <w:szCs w:val="20"/>
        </w:rPr>
        <w:t>спеціалізовані</w:t>
      </w:r>
      <w:r w:rsidRPr="000977F7">
        <w:rPr>
          <w:rFonts w:asciiTheme="majorHAnsi" w:hAnsiTheme="majorHAnsi"/>
          <w:spacing w:val="-10"/>
          <w:sz w:val="20"/>
          <w:szCs w:val="20"/>
        </w:rPr>
        <w:t xml:space="preserve"> </w:t>
      </w:r>
      <w:r w:rsidRPr="000977F7">
        <w:rPr>
          <w:rFonts w:asciiTheme="majorHAnsi" w:hAnsiTheme="majorHAnsi"/>
          <w:spacing w:val="-2"/>
          <w:sz w:val="20"/>
          <w:szCs w:val="20"/>
        </w:rPr>
        <w:t>(процес</w:t>
      </w:r>
      <w:r w:rsidRPr="000977F7">
        <w:rPr>
          <w:rFonts w:asciiTheme="majorHAnsi" w:hAnsiTheme="majorHAnsi"/>
          <w:spacing w:val="-8"/>
          <w:sz w:val="20"/>
          <w:szCs w:val="20"/>
        </w:rPr>
        <w:t xml:space="preserve"> </w:t>
      </w:r>
      <w:r w:rsidRPr="000977F7">
        <w:rPr>
          <w:rFonts w:asciiTheme="majorHAnsi" w:hAnsiTheme="majorHAnsi"/>
          <w:spacing w:val="-1"/>
          <w:sz w:val="20"/>
          <w:szCs w:val="20"/>
        </w:rPr>
        <w:t>аналітичної</w:t>
      </w:r>
      <w:r w:rsidRPr="000977F7">
        <w:rPr>
          <w:rFonts w:asciiTheme="majorHAnsi" w:hAnsiTheme="majorHAnsi"/>
          <w:spacing w:val="-48"/>
          <w:sz w:val="20"/>
          <w:szCs w:val="20"/>
        </w:rPr>
        <w:t xml:space="preserve"> </w:t>
      </w:r>
      <w:r w:rsidRPr="000977F7">
        <w:rPr>
          <w:rFonts w:asciiTheme="majorHAnsi" w:hAnsiTheme="majorHAnsi"/>
          <w:spacing w:val="-1"/>
          <w:w w:val="95"/>
          <w:sz w:val="20"/>
          <w:szCs w:val="20"/>
        </w:rPr>
        <w:t>ієрархії,</w:t>
      </w:r>
      <w:r w:rsidRPr="000977F7">
        <w:rPr>
          <w:rFonts w:asciiTheme="majorHAnsi" w:hAnsiTheme="majorHAnsi"/>
          <w:spacing w:val="-7"/>
          <w:w w:val="95"/>
          <w:sz w:val="20"/>
          <w:szCs w:val="20"/>
        </w:rPr>
        <w:t xml:space="preserve"> </w:t>
      </w:r>
      <w:r w:rsidRPr="000977F7">
        <w:rPr>
          <w:rFonts w:asciiTheme="majorHAnsi" w:hAnsiTheme="majorHAnsi"/>
          <w:spacing w:val="-1"/>
          <w:w w:val="95"/>
          <w:sz w:val="20"/>
          <w:szCs w:val="20"/>
        </w:rPr>
        <w:t>аналіз</w:t>
      </w:r>
      <w:r w:rsidRPr="000977F7">
        <w:rPr>
          <w:rFonts w:asciiTheme="majorHAnsi" w:hAnsiTheme="majorHAnsi"/>
          <w:spacing w:val="-9"/>
          <w:w w:val="95"/>
          <w:sz w:val="20"/>
          <w:szCs w:val="20"/>
        </w:rPr>
        <w:t xml:space="preserve"> </w:t>
      </w:r>
      <w:r w:rsidRPr="000977F7">
        <w:rPr>
          <w:rFonts w:asciiTheme="majorHAnsi" w:hAnsiTheme="majorHAnsi"/>
          <w:spacing w:val="-1"/>
          <w:w w:val="95"/>
          <w:sz w:val="20"/>
          <w:szCs w:val="20"/>
        </w:rPr>
        <w:t>логічної</w:t>
      </w:r>
      <w:r w:rsidRPr="000977F7">
        <w:rPr>
          <w:rFonts w:asciiTheme="majorHAnsi" w:hAnsiTheme="majorHAnsi"/>
          <w:spacing w:val="-13"/>
          <w:w w:val="95"/>
          <w:sz w:val="20"/>
          <w:szCs w:val="20"/>
        </w:rPr>
        <w:t xml:space="preserve"> </w:t>
      </w:r>
      <w:r w:rsidRPr="000977F7">
        <w:rPr>
          <w:rFonts w:asciiTheme="majorHAnsi" w:hAnsiTheme="majorHAnsi"/>
          <w:spacing w:val="-1"/>
          <w:w w:val="95"/>
          <w:sz w:val="20"/>
          <w:szCs w:val="20"/>
        </w:rPr>
        <w:t>основи</w:t>
      </w:r>
      <w:r w:rsidRPr="000977F7">
        <w:rPr>
          <w:rFonts w:asciiTheme="majorHAnsi" w:hAnsiTheme="majorHAnsi"/>
          <w:spacing w:val="-10"/>
          <w:w w:val="95"/>
          <w:sz w:val="20"/>
          <w:szCs w:val="20"/>
        </w:rPr>
        <w:t xml:space="preserve"> </w:t>
      </w:r>
      <w:r w:rsidRPr="000977F7">
        <w:rPr>
          <w:rFonts w:asciiTheme="majorHAnsi" w:hAnsiTheme="majorHAnsi"/>
          <w:w w:val="95"/>
          <w:sz w:val="20"/>
          <w:szCs w:val="20"/>
        </w:rPr>
        <w:t>та</w:t>
      </w:r>
      <w:r w:rsidRPr="000977F7">
        <w:rPr>
          <w:rFonts w:asciiTheme="majorHAnsi" w:hAnsiTheme="majorHAnsi"/>
          <w:spacing w:val="-9"/>
          <w:w w:val="95"/>
          <w:sz w:val="20"/>
          <w:szCs w:val="20"/>
        </w:rPr>
        <w:t xml:space="preserve"> </w:t>
      </w:r>
      <w:r w:rsidRPr="000977F7">
        <w:rPr>
          <w:rFonts w:asciiTheme="majorHAnsi" w:hAnsiTheme="majorHAnsi"/>
          <w:w w:val="95"/>
          <w:sz w:val="20"/>
          <w:szCs w:val="20"/>
        </w:rPr>
        <w:t>ін.)</w:t>
      </w:r>
      <w:r w:rsidRPr="000977F7">
        <w:rPr>
          <w:rFonts w:asciiTheme="majorHAnsi" w:hAnsiTheme="majorHAnsi"/>
          <w:spacing w:val="-12"/>
          <w:w w:val="95"/>
          <w:sz w:val="20"/>
          <w:szCs w:val="20"/>
        </w:rPr>
        <w:t xml:space="preserve"> </w:t>
      </w:r>
      <w:r w:rsidRPr="000977F7">
        <w:rPr>
          <w:rFonts w:asciiTheme="majorHAnsi" w:hAnsiTheme="majorHAnsi"/>
          <w:w w:val="95"/>
          <w:sz w:val="20"/>
          <w:szCs w:val="20"/>
        </w:rPr>
        <w:t>методи</w:t>
      </w:r>
    </w:p>
    <w:p w14:paraId="6ADDE45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
          <w:sz w:val="20"/>
          <w:szCs w:val="20"/>
        </w:rPr>
        <w:t>Кер.</w:t>
      </w:r>
      <w:r w:rsidRPr="000977F7">
        <w:rPr>
          <w:rFonts w:asciiTheme="majorHAnsi" w:hAnsiTheme="majorHAnsi"/>
          <w:i/>
          <w:spacing w:val="-11"/>
          <w:sz w:val="20"/>
          <w:szCs w:val="20"/>
        </w:rPr>
        <w:t xml:space="preserve"> </w:t>
      </w:r>
      <w:r w:rsidRPr="000977F7">
        <w:rPr>
          <w:rFonts w:asciiTheme="majorHAnsi" w:hAnsiTheme="majorHAnsi"/>
          <w:i/>
          <w:spacing w:val="-1"/>
          <w:sz w:val="20"/>
          <w:szCs w:val="20"/>
        </w:rPr>
        <w:t>проектн.</w:t>
      </w:r>
      <w:r w:rsidRPr="000977F7">
        <w:rPr>
          <w:rFonts w:asciiTheme="majorHAnsi" w:hAnsiTheme="majorHAnsi"/>
          <w:i/>
          <w:spacing w:val="-10"/>
          <w:sz w:val="20"/>
          <w:szCs w:val="20"/>
        </w:rPr>
        <w:t xml:space="preserve"> </w:t>
      </w:r>
      <w:r w:rsidRPr="000977F7">
        <w:rPr>
          <w:rFonts w:asciiTheme="majorHAnsi" w:hAnsiTheme="majorHAnsi"/>
          <w:i/>
          <w:sz w:val="20"/>
          <w:szCs w:val="20"/>
        </w:rPr>
        <w:t>менеджм.-ту‖</w:t>
      </w:r>
    </w:p>
    <w:p w14:paraId="5D8F10F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125" w:name="_Hlk101103474"/>
      <w:r w:rsidRPr="000977F7">
        <w:rPr>
          <w:color w:val="auto"/>
          <w:sz w:val="20"/>
          <w:szCs w:val="20"/>
        </w:rPr>
        <w:t>МЕТОДИЧНА</w:t>
      </w:r>
      <w:r w:rsidRPr="000977F7">
        <w:rPr>
          <w:color w:val="auto"/>
          <w:spacing w:val="-5"/>
          <w:sz w:val="20"/>
          <w:szCs w:val="20"/>
        </w:rPr>
        <w:t xml:space="preserve"> </w:t>
      </w:r>
      <w:r w:rsidRPr="000977F7">
        <w:rPr>
          <w:color w:val="auto"/>
          <w:sz w:val="20"/>
          <w:szCs w:val="20"/>
        </w:rPr>
        <w:t>ПОХИБКА</w:t>
      </w:r>
      <w:r w:rsidRPr="000977F7">
        <w:rPr>
          <w:color w:val="auto"/>
          <w:spacing w:val="-4"/>
          <w:sz w:val="20"/>
          <w:szCs w:val="20"/>
        </w:rPr>
        <w:t xml:space="preserve"> </w:t>
      </w:r>
      <w:r w:rsidRPr="000977F7">
        <w:rPr>
          <w:color w:val="auto"/>
          <w:sz w:val="20"/>
          <w:szCs w:val="20"/>
        </w:rPr>
        <w:t>ВИМІРЮВАННЯ –</w:t>
      </w:r>
    </w:p>
    <w:p w14:paraId="5489ADE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ERROR</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METHOD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MEASUREMENT</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bookmarkEnd w:id="125"/>
    <w:p w14:paraId="40E1C4F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Складова</w:t>
      </w:r>
      <w:r w:rsidRPr="004D2D14">
        <w:rPr>
          <w:rFonts w:asciiTheme="majorHAnsi" w:hAnsiTheme="majorHAnsi"/>
          <w:sz w:val="20"/>
          <w:szCs w:val="20"/>
          <w:lang w:val="en-US"/>
        </w:rPr>
        <w:t xml:space="preserve"> </w:t>
      </w:r>
      <w:r w:rsidRPr="000977F7">
        <w:rPr>
          <w:rFonts w:asciiTheme="majorHAnsi" w:hAnsiTheme="majorHAnsi"/>
          <w:sz w:val="20"/>
          <w:szCs w:val="20"/>
        </w:rPr>
        <w:t>похибка</w:t>
      </w:r>
      <w:r w:rsidRPr="004D2D14">
        <w:rPr>
          <w:rFonts w:asciiTheme="majorHAnsi" w:hAnsiTheme="majorHAnsi"/>
          <w:sz w:val="20"/>
          <w:szCs w:val="20"/>
          <w:lang w:val="en-US"/>
        </w:rPr>
        <w:t xml:space="preserve"> </w:t>
      </w:r>
      <w:r w:rsidRPr="000977F7">
        <w:rPr>
          <w:rFonts w:asciiTheme="majorHAnsi" w:hAnsiTheme="majorHAnsi"/>
          <w:sz w:val="20"/>
          <w:szCs w:val="20"/>
        </w:rPr>
        <w:t>вимірювання</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зумовлена</w:t>
      </w:r>
      <w:r w:rsidRPr="004D2D14">
        <w:rPr>
          <w:rFonts w:asciiTheme="majorHAnsi" w:hAnsiTheme="majorHAnsi"/>
          <w:sz w:val="20"/>
          <w:szCs w:val="20"/>
          <w:lang w:val="en-US"/>
        </w:rPr>
        <w:t xml:space="preserve"> </w:t>
      </w:r>
      <w:r w:rsidRPr="000977F7">
        <w:rPr>
          <w:rFonts w:asciiTheme="majorHAnsi" w:hAnsiTheme="majorHAnsi"/>
          <w:sz w:val="20"/>
          <w:szCs w:val="20"/>
        </w:rPr>
        <w:t>неадекватністю</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r w:rsidRPr="004D2D14">
        <w:rPr>
          <w:rFonts w:asciiTheme="majorHAnsi" w:hAnsiTheme="majorHAnsi"/>
          <w:sz w:val="20"/>
          <w:szCs w:val="20"/>
          <w:lang w:val="en-US"/>
        </w:rPr>
        <w:t xml:space="preserve"> </w:t>
      </w:r>
      <w:r w:rsidRPr="000977F7">
        <w:rPr>
          <w:rFonts w:asciiTheme="majorHAnsi" w:hAnsiTheme="majorHAnsi"/>
          <w:sz w:val="20"/>
          <w:szCs w:val="20"/>
        </w:rPr>
        <w:t>вимірювання</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його</w:t>
      </w:r>
      <w:r w:rsidRPr="004D2D14">
        <w:rPr>
          <w:rFonts w:asciiTheme="majorHAnsi" w:hAnsiTheme="majorHAnsi"/>
          <w:sz w:val="20"/>
          <w:szCs w:val="20"/>
          <w:lang w:val="en-US"/>
        </w:rPr>
        <w:t xml:space="preserve"> </w:t>
      </w:r>
      <w:r w:rsidRPr="000977F7">
        <w:rPr>
          <w:rFonts w:asciiTheme="majorHAnsi" w:hAnsiTheme="majorHAnsi"/>
          <w:sz w:val="20"/>
          <w:szCs w:val="20"/>
        </w:rPr>
        <w:t>моделі</w:t>
      </w:r>
      <w:r w:rsidRPr="004D2D14">
        <w:rPr>
          <w:rFonts w:asciiTheme="majorHAnsi" w:hAnsiTheme="majorHAnsi"/>
          <w:sz w:val="20"/>
          <w:szCs w:val="20"/>
          <w:lang w:val="en-US"/>
        </w:rPr>
        <w:t xml:space="preserve">, </w:t>
      </w:r>
      <w:r w:rsidRPr="000977F7">
        <w:rPr>
          <w:rFonts w:asciiTheme="majorHAnsi" w:hAnsiTheme="majorHAnsi"/>
          <w:sz w:val="20"/>
          <w:szCs w:val="20"/>
        </w:rPr>
        <w:t>прийнятою</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при</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вимірюванні</w:t>
      </w:r>
    </w:p>
    <w:p w14:paraId="304E4B91" w14:textId="77777777" w:rsidR="0097612F" w:rsidRPr="000977F7" w:rsidRDefault="0097612F" w:rsidP="000977F7">
      <w:pPr>
        <w:tabs>
          <w:tab w:val="left" w:pos="284"/>
          <w:tab w:val="left" w:pos="1276"/>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2681 – 94</w:t>
      </w:r>
    </w:p>
    <w:p w14:paraId="46B5BB9D" w14:textId="77777777" w:rsidR="0097612F" w:rsidRPr="000977F7" w:rsidRDefault="0097612F" w:rsidP="000977F7">
      <w:pPr>
        <w:tabs>
          <w:tab w:val="left" w:pos="284"/>
          <w:tab w:val="left" w:pos="1276"/>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МЕТРОЛОГІЯ –</w:t>
      </w:r>
      <w:r w:rsidRPr="000977F7">
        <w:rPr>
          <w:rFonts w:asciiTheme="majorHAnsi" w:hAnsiTheme="majorHAnsi"/>
          <w:b/>
          <w:spacing w:val="-47"/>
          <w:sz w:val="20"/>
          <w:szCs w:val="20"/>
        </w:rPr>
        <w:t xml:space="preserve"> </w:t>
      </w:r>
    </w:p>
    <w:p w14:paraId="44EB49E1" w14:textId="77777777" w:rsidR="0097612F" w:rsidRPr="000977F7" w:rsidRDefault="0097612F" w:rsidP="000977F7">
      <w:pPr>
        <w:tabs>
          <w:tab w:val="left" w:pos="284"/>
          <w:tab w:val="left" w:pos="1276"/>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METROLOGY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17E206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Наука</w:t>
      </w:r>
      <w:r w:rsidRPr="000977F7">
        <w:rPr>
          <w:rFonts w:asciiTheme="majorHAnsi" w:hAnsiTheme="majorHAnsi"/>
          <w:spacing w:val="-2"/>
          <w:sz w:val="20"/>
          <w:szCs w:val="20"/>
        </w:rPr>
        <w:t xml:space="preserve"> </w:t>
      </w:r>
      <w:r w:rsidRPr="000977F7">
        <w:rPr>
          <w:rFonts w:asciiTheme="majorHAnsi" w:hAnsiTheme="majorHAnsi"/>
          <w:sz w:val="20"/>
          <w:szCs w:val="20"/>
        </w:rPr>
        <w:t>про</w:t>
      </w:r>
      <w:r w:rsidRPr="000977F7">
        <w:rPr>
          <w:rFonts w:asciiTheme="majorHAnsi" w:hAnsiTheme="majorHAnsi"/>
          <w:spacing w:val="-4"/>
          <w:sz w:val="20"/>
          <w:szCs w:val="20"/>
        </w:rPr>
        <w:t xml:space="preserve"> </w:t>
      </w:r>
      <w:r w:rsidRPr="000977F7">
        <w:rPr>
          <w:rFonts w:asciiTheme="majorHAnsi" w:hAnsiTheme="majorHAnsi"/>
          <w:sz w:val="20"/>
          <w:szCs w:val="20"/>
        </w:rPr>
        <w:t>вимірювання</w:t>
      </w:r>
    </w:p>
    <w:p w14:paraId="2EAD8C7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2F3BAC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МЕТРОЛОГІЧНА АТЕСТАЦІЯ ЗАСОБІВ ВИМІРЮВАЛЬНОЇ</w:t>
      </w:r>
      <w:r w:rsidRPr="000977F7">
        <w:rPr>
          <w:color w:val="auto"/>
          <w:spacing w:val="-2"/>
          <w:sz w:val="20"/>
          <w:szCs w:val="20"/>
        </w:rPr>
        <w:t xml:space="preserve"> </w:t>
      </w:r>
      <w:r w:rsidRPr="000977F7">
        <w:rPr>
          <w:color w:val="auto"/>
          <w:sz w:val="20"/>
          <w:szCs w:val="20"/>
        </w:rPr>
        <w:t>ТЕХНІКИ</w:t>
      </w:r>
      <w:r w:rsidRPr="000977F7">
        <w:rPr>
          <w:color w:val="auto"/>
          <w:spacing w:val="3"/>
          <w:sz w:val="20"/>
          <w:szCs w:val="20"/>
        </w:rPr>
        <w:t xml:space="preserve"> </w:t>
      </w:r>
      <w:r w:rsidRPr="000977F7">
        <w:rPr>
          <w:color w:val="auto"/>
          <w:sz w:val="20"/>
          <w:szCs w:val="20"/>
        </w:rPr>
        <w:t>–</w:t>
      </w:r>
    </w:p>
    <w:p w14:paraId="6B50570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Дослідження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засобів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вимірювальної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техніки,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підлягають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державним випробуванням, 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метою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визначення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їх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метрологічних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характеристик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видачі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відповідного документа</w:t>
      </w:r>
    </w:p>
    <w:p w14:paraId="04287ED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 – 94</w:t>
      </w:r>
    </w:p>
    <w:p w14:paraId="2097C8E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МЕТРОЛОГІЧНА ВІДМОВА ЗАСОБУ ВИМІРЮВАЛЬНОЇ</w:t>
      </w:r>
      <w:r w:rsidRPr="000977F7">
        <w:rPr>
          <w:color w:val="auto"/>
          <w:spacing w:val="-2"/>
          <w:sz w:val="20"/>
          <w:szCs w:val="20"/>
        </w:rPr>
        <w:t xml:space="preserve"> </w:t>
      </w:r>
      <w:r w:rsidRPr="000977F7">
        <w:rPr>
          <w:color w:val="auto"/>
          <w:sz w:val="20"/>
          <w:szCs w:val="20"/>
        </w:rPr>
        <w:t>ТЕХНІКИ</w:t>
      </w:r>
      <w:r w:rsidRPr="000977F7">
        <w:rPr>
          <w:color w:val="auto"/>
          <w:spacing w:val="2"/>
          <w:sz w:val="20"/>
          <w:szCs w:val="20"/>
        </w:rPr>
        <w:t xml:space="preserve"> </w:t>
      </w:r>
      <w:r w:rsidRPr="000977F7">
        <w:rPr>
          <w:color w:val="auto"/>
          <w:sz w:val="20"/>
          <w:szCs w:val="20"/>
        </w:rPr>
        <w:t>–</w:t>
      </w:r>
    </w:p>
    <w:p w14:paraId="7A0390A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Вихід метрологічної характеристики засобу вимірювальної</w:t>
      </w:r>
      <w:r w:rsidRPr="000977F7">
        <w:rPr>
          <w:rFonts w:asciiTheme="majorHAnsi" w:hAnsiTheme="majorHAnsi"/>
          <w:spacing w:val="-2"/>
          <w:sz w:val="20"/>
          <w:szCs w:val="20"/>
        </w:rPr>
        <w:t xml:space="preserve"> </w:t>
      </w:r>
      <w:r w:rsidRPr="000977F7">
        <w:rPr>
          <w:rFonts w:asciiTheme="majorHAnsi" w:hAnsiTheme="majorHAnsi"/>
          <w:sz w:val="20"/>
          <w:szCs w:val="20"/>
        </w:rPr>
        <w:t>техніки</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нормовані</w:t>
      </w:r>
      <w:r w:rsidRPr="000977F7">
        <w:rPr>
          <w:rFonts w:asciiTheme="majorHAnsi" w:hAnsiTheme="majorHAnsi"/>
          <w:spacing w:val="-1"/>
          <w:sz w:val="20"/>
          <w:szCs w:val="20"/>
        </w:rPr>
        <w:t xml:space="preserve"> </w:t>
      </w:r>
      <w:r w:rsidRPr="000977F7">
        <w:rPr>
          <w:rFonts w:asciiTheme="majorHAnsi" w:hAnsiTheme="majorHAnsi"/>
          <w:sz w:val="20"/>
          <w:szCs w:val="20"/>
        </w:rPr>
        <w:t>границі</w:t>
      </w:r>
    </w:p>
    <w:p w14:paraId="75D2044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4FA0F80"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МЕТРОЛОГІЧНА ЕКСПЕРТИЗА</w:t>
      </w:r>
      <w:r w:rsidRPr="000977F7">
        <w:rPr>
          <w:rFonts w:asciiTheme="majorHAnsi" w:hAnsiTheme="majorHAnsi"/>
          <w:b/>
          <w:spacing w:val="-47"/>
          <w:sz w:val="20"/>
          <w:szCs w:val="20"/>
        </w:rPr>
        <w:t xml:space="preserve"> </w:t>
      </w:r>
      <w:r w:rsidRPr="000977F7">
        <w:rPr>
          <w:rFonts w:asciiTheme="majorHAnsi" w:hAnsiTheme="majorHAnsi"/>
          <w:b/>
          <w:sz w:val="20"/>
          <w:szCs w:val="20"/>
        </w:rPr>
        <w:t>ДОКУМЕНТАЦІЇ –</w:t>
      </w:r>
    </w:p>
    <w:p w14:paraId="58316BE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METROLOGICAL</w:t>
      </w:r>
      <w:r w:rsidRPr="000977F7">
        <w:rPr>
          <w:rFonts w:asciiTheme="majorHAnsi" w:hAnsiTheme="majorHAnsi"/>
          <w:spacing w:val="-2"/>
          <w:sz w:val="20"/>
          <w:szCs w:val="20"/>
        </w:rPr>
        <w:t xml:space="preserve"> </w:t>
      </w:r>
      <w:r w:rsidRPr="000977F7">
        <w:rPr>
          <w:rFonts w:asciiTheme="majorHAnsi" w:hAnsiTheme="majorHAnsi"/>
          <w:sz w:val="20"/>
          <w:szCs w:val="20"/>
        </w:rPr>
        <w:t>EVALUTION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B0564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Аналіз і оцінка правильності прийнятих в документації технічних рішень щодо реалізації метрологічних</w:t>
      </w:r>
      <w:r w:rsidRPr="000977F7">
        <w:rPr>
          <w:rFonts w:asciiTheme="majorHAnsi" w:hAnsiTheme="majorHAnsi"/>
          <w:spacing w:val="1"/>
          <w:sz w:val="20"/>
          <w:szCs w:val="20"/>
        </w:rPr>
        <w:t xml:space="preserve"> </w:t>
      </w:r>
      <w:r w:rsidRPr="000977F7">
        <w:rPr>
          <w:rFonts w:asciiTheme="majorHAnsi" w:hAnsiTheme="majorHAnsi"/>
          <w:sz w:val="20"/>
          <w:szCs w:val="20"/>
        </w:rPr>
        <w:t>норм і</w:t>
      </w:r>
      <w:r w:rsidRPr="000977F7">
        <w:rPr>
          <w:rFonts w:asciiTheme="majorHAnsi" w:hAnsiTheme="majorHAnsi"/>
          <w:spacing w:val="-1"/>
          <w:sz w:val="20"/>
          <w:szCs w:val="20"/>
        </w:rPr>
        <w:t xml:space="preserve"> </w:t>
      </w:r>
      <w:r w:rsidRPr="000977F7">
        <w:rPr>
          <w:rFonts w:asciiTheme="majorHAnsi" w:hAnsiTheme="majorHAnsi"/>
          <w:sz w:val="20"/>
          <w:szCs w:val="20"/>
        </w:rPr>
        <w:t>правил</w:t>
      </w:r>
    </w:p>
    <w:p w14:paraId="18FD69B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4CCD129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МЕТРОЛОГІЧНА</w:t>
      </w:r>
      <w:r w:rsidRPr="000977F7">
        <w:rPr>
          <w:color w:val="auto"/>
          <w:spacing w:val="-4"/>
          <w:sz w:val="20"/>
          <w:szCs w:val="20"/>
        </w:rPr>
        <w:t xml:space="preserve"> </w:t>
      </w:r>
      <w:r w:rsidRPr="000977F7">
        <w:rPr>
          <w:color w:val="auto"/>
          <w:sz w:val="20"/>
          <w:szCs w:val="20"/>
        </w:rPr>
        <w:t>СЛУЖБА</w:t>
      </w:r>
      <w:r w:rsidRPr="000977F7">
        <w:rPr>
          <w:color w:val="auto"/>
          <w:spacing w:val="-2"/>
          <w:sz w:val="20"/>
          <w:szCs w:val="20"/>
        </w:rPr>
        <w:t xml:space="preserve"> </w:t>
      </w:r>
      <w:r w:rsidRPr="000977F7">
        <w:rPr>
          <w:color w:val="auto"/>
          <w:sz w:val="20"/>
          <w:szCs w:val="20"/>
        </w:rPr>
        <w:t>–</w:t>
      </w:r>
    </w:p>
    <w:p w14:paraId="724F939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SERVICE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LEGAL</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METROLOGY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1DD9BB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pacing w:val="-1"/>
          <w:sz w:val="20"/>
          <w:szCs w:val="20"/>
        </w:rPr>
        <w:t>Мережа</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організацій</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окрема</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організація</w:t>
      </w:r>
      <w:r w:rsidRPr="004D2D14">
        <w:rPr>
          <w:rFonts w:asciiTheme="majorHAnsi" w:hAnsiTheme="majorHAnsi"/>
          <w:spacing w:val="-1"/>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окремий</w:t>
      </w:r>
      <w:r w:rsidRPr="004D2D14">
        <w:rPr>
          <w:rFonts w:asciiTheme="majorHAnsi" w:hAnsiTheme="majorHAnsi"/>
          <w:sz w:val="20"/>
          <w:szCs w:val="20"/>
          <w:lang w:val="en-US"/>
        </w:rPr>
        <w:t xml:space="preserve"> </w:t>
      </w:r>
      <w:r w:rsidRPr="000977F7">
        <w:rPr>
          <w:rFonts w:asciiTheme="majorHAnsi" w:hAnsiTheme="majorHAnsi"/>
          <w:sz w:val="20"/>
          <w:szCs w:val="20"/>
        </w:rPr>
        <w:t>під</w:t>
      </w:r>
      <w:r w:rsidRPr="000977F7">
        <w:rPr>
          <w:rFonts w:asciiTheme="majorHAnsi" w:hAnsiTheme="majorHAnsi"/>
          <w:spacing w:val="-1"/>
          <w:sz w:val="20"/>
          <w:szCs w:val="20"/>
        </w:rPr>
        <w:t>розділ</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на</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які</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покладена</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відповідальність</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за</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забезпечення</w:t>
      </w:r>
      <w:r w:rsidRPr="004D2D14">
        <w:rPr>
          <w:rFonts w:asciiTheme="majorHAnsi" w:hAnsiTheme="majorHAnsi"/>
          <w:spacing w:val="-47"/>
          <w:sz w:val="20"/>
          <w:szCs w:val="20"/>
          <w:lang w:val="en-US"/>
        </w:rPr>
        <w:t xml:space="preserve"> </w:t>
      </w:r>
      <w:r w:rsidRPr="000977F7">
        <w:rPr>
          <w:rFonts w:asciiTheme="majorHAnsi" w:hAnsiTheme="majorHAnsi"/>
          <w:spacing w:val="-4"/>
          <w:sz w:val="20"/>
          <w:szCs w:val="20"/>
        </w:rPr>
        <w:t>єдності</w:t>
      </w:r>
      <w:r w:rsidRPr="004D2D14">
        <w:rPr>
          <w:rFonts w:asciiTheme="majorHAnsi" w:hAnsiTheme="majorHAnsi"/>
          <w:spacing w:val="-7"/>
          <w:sz w:val="20"/>
          <w:szCs w:val="20"/>
          <w:lang w:val="en-US"/>
        </w:rPr>
        <w:t xml:space="preserve"> </w:t>
      </w:r>
      <w:r w:rsidRPr="000977F7">
        <w:rPr>
          <w:rFonts w:asciiTheme="majorHAnsi" w:hAnsiTheme="majorHAnsi"/>
          <w:spacing w:val="-4"/>
          <w:sz w:val="20"/>
          <w:szCs w:val="20"/>
        </w:rPr>
        <w:t>вимірювань</w:t>
      </w:r>
      <w:r w:rsidRPr="004D2D14">
        <w:rPr>
          <w:rFonts w:asciiTheme="majorHAnsi" w:hAnsiTheme="majorHAnsi"/>
          <w:spacing w:val="-9"/>
          <w:sz w:val="20"/>
          <w:szCs w:val="20"/>
          <w:lang w:val="en-US"/>
        </w:rPr>
        <w:t xml:space="preserve"> </w:t>
      </w:r>
      <w:r w:rsidRPr="000977F7">
        <w:rPr>
          <w:rFonts w:asciiTheme="majorHAnsi" w:hAnsiTheme="majorHAnsi"/>
          <w:spacing w:val="-4"/>
          <w:sz w:val="20"/>
          <w:szCs w:val="20"/>
        </w:rPr>
        <w:t>в</w:t>
      </w:r>
      <w:r w:rsidRPr="004D2D14">
        <w:rPr>
          <w:rFonts w:asciiTheme="majorHAnsi" w:hAnsiTheme="majorHAnsi"/>
          <w:spacing w:val="-8"/>
          <w:sz w:val="20"/>
          <w:szCs w:val="20"/>
          <w:lang w:val="en-US"/>
        </w:rPr>
        <w:t xml:space="preserve"> </w:t>
      </w:r>
      <w:r w:rsidRPr="000977F7">
        <w:rPr>
          <w:rFonts w:asciiTheme="majorHAnsi" w:hAnsiTheme="majorHAnsi"/>
          <w:spacing w:val="-4"/>
          <w:sz w:val="20"/>
          <w:szCs w:val="20"/>
        </w:rPr>
        <w:t>закріпленій</w:t>
      </w:r>
      <w:r w:rsidRPr="004D2D14">
        <w:rPr>
          <w:rFonts w:asciiTheme="majorHAnsi" w:hAnsiTheme="majorHAnsi"/>
          <w:spacing w:val="-11"/>
          <w:sz w:val="20"/>
          <w:szCs w:val="20"/>
          <w:lang w:val="en-US"/>
        </w:rPr>
        <w:t xml:space="preserve"> </w:t>
      </w:r>
      <w:r w:rsidRPr="000977F7">
        <w:rPr>
          <w:rFonts w:asciiTheme="majorHAnsi" w:hAnsiTheme="majorHAnsi"/>
          <w:spacing w:val="-4"/>
          <w:sz w:val="20"/>
          <w:szCs w:val="20"/>
        </w:rPr>
        <w:t>сфері</w:t>
      </w:r>
      <w:r w:rsidRPr="004D2D14">
        <w:rPr>
          <w:rFonts w:asciiTheme="majorHAnsi" w:hAnsiTheme="majorHAnsi"/>
          <w:spacing w:val="-7"/>
          <w:sz w:val="20"/>
          <w:szCs w:val="20"/>
          <w:lang w:val="en-US"/>
        </w:rPr>
        <w:t xml:space="preserve"> </w:t>
      </w:r>
      <w:r w:rsidRPr="000977F7">
        <w:rPr>
          <w:rFonts w:asciiTheme="majorHAnsi" w:hAnsiTheme="majorHAnsi"/>
          <w:spacing w:val="-4"/>
          <w:sz w:val="20"/>
          <w:szCs w:val="20"/>
        </w:rPr>
        <w:t>діяльності</w:t>
      </w:r>
    </w:p>
    <w:p w14:paraId="5DAB7433"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2681 - 94</w:t>
      </w:r>
    </w:p>
    <w:p w14:paraId="1595B5B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METROLOGICAL FUNCTION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B68607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Функційний</w:t>
      </w:r>
      <w:r w:rsidRPr="004D2D14">
        <w:rPr>
          <w:rFonts w:asciiTheme="majorHAnsi" w:hAnsiTheme="majorHAnsi"/>
          <w:spacing w:val="1"/>
          <w:sz w:val="20"/>
          <w:szCs w:val="20"/>
          <w:lang w:val="en-US"/>
        </w:rPr>
        <w:t xml:space="preserve"> </w:t>
      </w:r>
      <w:r w:rsidRPr="000977F7">
        <w:rPr>
          <w:rFonts w:asciiTheme="majorHAnsi" w:hAnsiTheme="majorHAnsi"/>
          <w:sz w:val="20"/>
          <w:szCs w:val="20"/>
        </w:rPr>
        <w:t>підрозділ</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що</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відповідає</w:t>
      </w:r>
      <w:r w:rsidRPr="004D2D14">
        <w:rPr>
          <w:rFonts w:asciiTheme="majorHAnsi" w:hAnsiTheme="majorHAnsi"/>
          <w:spacing w:val="50"/>
          <w:sz w:val="20"/>
          <w:szCs w:val="20"/>
          <w:lang w:val="en-US"/>
        </w:rPr>
        <w:t xml:space="preserve"> </w:t>
      </w:r>
      <w:r w:rsidRPr="000977F7">
        <w:rPr>
          <w:rFonts w:asciiTheme="majorHAnsi" w:hAnsiTheme="majorHAnsi"/>
          <w:sz w:val="20"/>
          <w:szCs w:val="20"/>
        </w:rPr>
        <w:t>адміністративно</w:t>
      </w:r>
      <w:r w:rsidRPr="004D2D14">
        <w:rPr>
          <w:rFonts w:asciiTheme="majorHAnsi" w:hAnsiTheme="majorHAnsi"/>
          <w:spacing w:val="-47"/>
          <w:sz w:val="20"/>
          <w:szCs w:val="20"/>
          <w:lang w:val="en-US"/>
        </w:rPr>
        <w:t xml:space="preserve"> </w:t>
      </w:r>
      <w:r w:rsidRPr="000977F7">
        <w:rPr>
          <w:rFonts w:asciiTheme="majorHAnsi" w:hAnsiTheme="majorHAnsi"/>
          <w:sz w:val="20"/>
          <w:szCs w:val="20"/>
        </w:rPr>
        <w:t>та</w:t>
      </w:r>
      <w:r w:rsidRPr="004D2D14">
        <w:rPr>
          <w:rFonts w:asciiTheme="majorHAnsi" w:hAnsiTheme="majorHAnsi"/>
          <w:spacing w:val="1"/>
          <w:sz w:val="20"/>
          <w:szCs w:val="20"/>
          <w:lang w:val="en-US"/>
        </w:rPr>
        <w:t xml:space="preserve"> </w:t>
      </w:r>
      <w:r w:rsidRPr="000977F7">
        <w:rPr>
          <w:rFonts w:asciiTheme="majorHAnsi" w:hAnsiTheme="majorHAnsi"/>
          <w:sz w:val="20"/>
          <w:szCs w:val="20"/>
        </w:rPr>
        <w:t>технічно</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визначення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та</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запровадження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системи</w:t>
      </w:r>
      <w:r w:rsidRPr="004D2D14">
        <w:rPr>
          <w:rFonts w:asciiTheme="majorHAnsi" w:hAnsiTheme="majorHAnsi"/>
          <w:spacing w:val="-47"/>
          <w:sz w:val="20"/>
          <w:szCs w:val="20"/>
          <w:lang w:val="en-US"/>
        </w:rPr>
        <w:t xml:space="preserve"> </w:t>
      </w:r>
      <w:r w:rsidRPr="000977F7">
        <w:rPr>
          <w:rFonts w:asciiTheme="majorHAnsi" w:hAnsiTheme="majorHAnsi"/>
          <w:sz w:val="20"/>
          <w:szCs w:val="20"/>
        </w:rPr>
        <w:t>керування</w:t>
      </w:r>
      <w:r w:rsidRPr="004D2D14">
        <w:rPr>
          <w:rFonts w:asciiTheme="majorHAnsi" w:hAnsiTheme="majorHAnsi"/>
          <w:spacing w:val="-2"/>
          <w:sz w:val="20"/>
          <w:szCs w:val="20"/>
          <w:lang w:val="en-US"/>
        </w:rPr>
        <w:t xml:space="preserve"> </w:t>
      </w:r>
      <w:r w:rsidRPr="000977F7">
        <w:rPr>
          <w:rFonts w:asciiTheme="majorHAnsi" w:hAnsiTheme="majorHAnsi"/>
          <w:sz w:val="20"/>
          <w:szCs w:val="20"/>
        </w:rPr>
        <w:t>вимірюванням</w:t>
      </w:r>
      <w:r w:rsidRPr="004D2D14">
        <w:rPr>
          <w:rFonts w:asciiTheme="majorHAnsi" w:hAnsiTheme="majorHAnsi"/>
          <w:sz w:val="20"/>
          <w:szCs w:val="20"/>
          <w:lang w:val="en-US"/>
        </w:rPr>
        <w:t>.</w:t>
      </w:r>
    </w:p>
    <w:p w14:paraId="5E49267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ISO</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9000:2015</w:t>
      </w:r>
    </w:p>
    <w:p w14:paraId="3755ABC0"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МЕТРОЛОГІЧНЕ</w:t>
      </w:r>
      <w:r w:rsidRPr="004D2D14">
        <w:rPr>
          <w:rFonts w:asciiTheme="majorHAnsi" w:hAnsiTheme="majorHAnsi"/>
          <w:b/>
          <w:spacing w:val="-2"/>
          <w:sz w:val="20"/>
          <w:szCs w:val="20"/>
          <w:lang w:val="en-US"/>
        </w:rPr>
        <w:t xml:space="preserve"> </w:t>
      </w:r>
      <w:r w:rsidRPr="000977F7">
        <w:rPr>
          <w:rFonts w:asciiTheme="majorHAnsi" w:hAnsiTheme="majorHAnsi"/>
          <w:b/>
          <w:sz w:val="20"/>
          <w:szCs w:val="20"/>
        </w:rPr>
        <w:t>ЗАБЕЗПЕЧЕННЯ</w:t>
      </w:r>
      <w:r w:rsidRPr="004D2D14">
        <w:rPr>
          <w:rFonts w:asciiTheme="majorHAnsi" w:hAnsiTheme="majorHAnsi"/>
          <w:b/>
          <w:spacing w:val="2"/>
          <w:sz w:val="20"/>
          <w:szCs w:val="20"/>
          <w:lang w:val="en-US"/>
        </w:rPr>
        <w:t xml:space="preserve"> </w:t>
      </w:r>
      <w:r w:rsidRPr="004D2D14">
        <w:rPr>
          <w:rFonts w:asciiTheme="majorHAnsi" w:hAnsiTheme="majorHAnsi"/>
          <w:b/>
          <w:sz w:val="20"/>
          <w:szCs w:val="20"/>
          <w:lang w:val="en-US"/>
        </w:rPr>
        <w:t>–</w:t>
      </w:r>
      <w:r w:rsidRPr="004D2D14">
        <w:rPr>
          <w:rFonts w:asciiTheme="majorHAnsi" w:hAnsiTheme="majorHAnsi"/>
          <w:sz w:val="20"/>
          <w:szCs w:val="20"/>
          <w:lang w:val="en-US"/>
        </w:rPr>
        <w:t>METROLOGICAL ASSURENCE; METROLOGICAL</w:t>
      </w:r>
      <w:r w:rsidRPr="004D2D14">
        <w:rPr>
          <w:rFonts w:asciiTheme="majorHAnsi" w:hAnsiTheme="majorHAnsi"/>
          <w:spacing w:val="-48"/>
          <w:sz w:val="20"/>
          <w:szCs w:val="20"/>
          <w:lang w:val="en-US"/>
        </w:rPr>
        <w:t xml:space="preserve"> </w:t>
      </w:r>
      <w:r w:rsidRPr="004D2D14">
        <w:rPr>
          <w:rFonts w:asciiTheme="majorHAnsi" w:hAnsiTheme="majorHAnsi"/>
          <w:sz w:val="20"/>
          <w:szCs w:val="20"/>
          <w:lang w:val="en-US"/>
        </w:rPr>
        <w:t>QUARANTEE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6CAABCA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Установлення та застосування метрологічних норм і</w:t>
      </w:r>
      <w:r w:rsidRPr="000977F7">
        <w:rPr>
          <w:rFonts w:asciiTheme="majorHAnsi" w:hAnsiTheme="majorHAnsi"/>
          <w:spacing w:val="1"/>
          <w:sz w:val="20"/>
          <w:szCs w:val="20"/>
        </w:rPr>
        <w:t xml:space="preserve"> </w:t>
      </w:r>
      <w:r w:rsidRPr="000977F7">
        <w:rPr>
          <w:rFonts w:asciiTheme="majorHAnsi" w:hAnsiTheme="majorHAnsi"/>
          <w:sz w:val="20"/>
          <w:szCs w:val="20"/>
        </w:rPr>
        <w:t>правил, а також розроблення, виготовлення та застосування технічних засобів, необхідних для досягнення</w:t>
      </w:r>
      <w:r w:rsidRPr="000977F7">
        <w:rPr>
          <w:rFonts w:asciiTheme="majorHAnsi" w:hAnsiTheme="majorHAnsi"/>
          <w:spacing w:val="-47"/>
          <w:sz w:val="20"/>
          <w:szCs w:val="20"/>
        </w:rPr>
        <w:t xml:space="preserve"> </w:t>
      </w:r>
      <w:r w:rsidRPr="000977F7">
        <w:rPr>
          <w:rFonts w:asciiTheme="majorHAnsi" w:hAnsiTheme="majorHAnsi"/>
          <w:sz w:val="20"/>
          <w:szCs w:val="20"/>
        </w:rPr>
        <w:t>єдності</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потрібної</w:t>
      </w:r>
      <w:r w:rsidRPr="000977F7">
        <w:rPr>
          <w:rFonts w:asciiTheme="majorHAnsi" w:hAnsiTheme="majorHAnsi"/>
          <w:spacing w:val="-1"/>
          <w:sz w:val="20"/>
          <w:szCs w:val="20"/>
        </w:rPr>
        <w:t xml:space="preserve"> </w:t>
      </w:r>
      <w:r w:rsidRPr="000977F7">
        <w:rPr>
          <w:rFonts w:asciiTheme="majorHAnsi" w:hAnsiTheme="majorHAnsi"/>
          <w:sz w:val="20"/>
          <w:szCs w:val="20"/>
        </w:rPr>
        <w:t>точності</w:t>
      </w:r>
      <w:r w:rsidRPr="000977F7">
        <w:rPr>
          <w:rFonts w:asciiTheme="majorHAnsi" w:hAnsiTheme="majorHAnsi"/>
          <w:spacing w:val="1"/>
          <w:sz w:val="20"/>
          <w:szCs w:val="20"/>
        </w:rPr>
        <w:t xml:space="preserve"> </w:t>
      </w:r>
      <w:r w:rsidRPr="000977F7">
        <w:rPr>
          <w:rFonts w:asciiTheme="majorHAnsi" w:hAnsiTheme="majorHAnsi"/>
          <w:sz w:val="20"/>
          <w:szCs w:val="20"/>
        </w:rPr>
        <w:t>вимірювань</w:t>
      </w:r>
    </w:p>
    <w:p w14:paraId="6D13BBE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91BEB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операцій,</w:t>
      </w:r>
      <w:r w:rsidRPr="000977F7">
        <w:rPr>
          <w:rFonts w:asciiTheme="majorHAnsi" w:hAnsiTheme="majorHAnsi"/>
          <w:spacing w:val="1"/>
          <w:sz w:val="20"/>
          <w:szCs w:val="20"/>
        </w:rPr>
        <w:t xml:space="preserve"> </w:t>
      </w:r>
      <w:r w:rsidRPr="000977F7">
        <w:rPr>
          <w:rFonts w:asciiTheme="majorHAnsi" w:hAnsiTheme="majorHAnsi"/>
          <w:sz w:val="20"/>
          <w:szCs w:val="20"/>
        </w:rPr>
        <w:t>потрібних</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гарантування</w:t>
      </w:r>
      <w:r w:rsidRPr="000977F7">
        <w:rPr>
          <w:rFonts w:asciiTheme="majorHAnsi" w:hAnsiTheme="majorHAnsi"/>
          <w:spacing w:val="1"/>
          <w:sz w:val="20"/>
          <w:szCs w:val="20"/>
        </w:rPr>
        <w:t xml:space="preserve"> </w:t>
      </w:r>
      <w:r w:rsidRPr="000977F7">
        <w:rPr>
          <w:rFonts w:asciiTheme="majorHAnsi" w:hAnsiTheme="majorHAnsi"/>
          <w:sz w:val="20"/>
          <w:szCs w:val="20"/>
        </w:rPr>
        <w:t>того, що вимірювальне устатковання відповідає вимогам</w:t>
      </w:r>
      <w:r w:rsidRPr="000977F7">
        <w:rPr>
          <w:rFonts w:asciiTheme="majorHAnsi" w:hAnsiTheme="majorHAnsi"/>
          <w:spacing w:val="-1"/>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2"/>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призначеністю.</w:t>
      </w:r>
    </w:p>
    <w:p w14:paraId="2F1DC75B"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Примітка</w:t>
      </w:r>
      <w:r w:rsidRPr="000977F7">
        <w:rPr>
          <w:rFonts w:asciiTheme="majorHAnsi" w:hAnsiTheme="majorHAnsi"/>
          <w:spacing w:val="1"/>
          <w:sz w:val="20"/>
          <w:szCs w:val="20"/>
        </w:rPr>
        <w:t xml:space="preserve"> </w:t>
      </w:r>
      <w:r w:rsidRPr="000977F7">
        <w:rPr>
          <w:rFonts w:asciiTheme="majorHAnsi" w:hAnsiTheme="majorHAnsi"/>
          <w:sz w:val="20"/>
          <w:szCs w:val="20"/>
        </w:rPr>
        <w:t>1.</w:t>
      </w:r>
      <w:r w:rsidRPr="000977F7">
        <w:rPr>
          <w:rFonts w:asciiTheme="majorHAnsi" w:hAnsiTheme="majorHAnsi"/>
          <w:spacing w:val="1"/>
          <w:sz w:val="20"/>
          <w:szCs w:val="20"/>
        </w:rPr>
        <w:t xml:space="preserve"> </w:t>
      </w:r>
      <w:r w:rsidRPr="000977F7">
        <w:rPr>
          <w:rFonts w:asciiTheme="majorHAnsi" w:hAnsiTheme="majorHAnsi"/>
          <w:sz w:val="20"/>
          <w:szCs w:val="20"/>
        </w:rPr>
        <w:t>Метрологічне</w:t>
      </w:r>
      <w:r w:rsidRPr="000977F7">
        <w:rPr>
          <w:rFonts w:asciiTheme="majorHAnsi" w:hAnsiTheme="majorHAnsi"/>
          <w:spacing w:val="1"/>
          <w:sz w:val="20"/>
          <w:szCs w:val="20"/>
        </w:rPr>
        <w:t xml:space="preserve"> </w:t>
      </w:r>
      <w:r w:rsidRPr="000977F7">
        <w:rPr>
          <w:rFonts w:asciiTheme="majorHAnsi" w:hAnsiTheme="majorHAnsi"/>
          <w:sz w:val="20"/>
          <w:szCs w:val="20"/>
        </w:rPr>
        <w:t>підтвердження</w:t>
      </w:r>
      <w:r w:rsidRPr="000977F7">
        <w:rPr>
          <w:rFonts w:asciiTheme="majorHAnsi" w:hAnsiTheme="majorHAnsi"/>
          <w:spacing w:val="1"/>
          <w:sz w:val="20"/>
          <w:szCs w:val="20"/>
        </w:rPr>
        <w:t xml:space="preserve"> </w:t>
      </w:r>
      <w:r w:rsidRPr="000977F7">
        <w:rPr>
          <w:rFonts w:asciiTheme="majorHAnsi" w:hAnsiTheme="majorHAnsi"/>
          <w:sz w:val="20"/>
          <w:szCs w:val="20"/>
        </w:rPr>
        <w:t>зазвичай</w:t>
      </w:r>
      <w:r w:rsidRPr="000977F7">
        <w:rPr>
          <w:rFonts w:asciiTheme="majorHAnsi" w:hAnsiTheme="majorHAnsi"/>
          <w:spacing w:val="-47"/>
          <w:sz w:val="20"/>
          <w:szCs w:val="20"/>
        </w:rPr>
        <w:t xml:space="preserve"> </w:t>
      </w:r>
      <w:r w:rsidRPr="000977F7">
        <w:rPr>
          <w:rFonts w:asciiTheme="majorHAnsi" w:hAnsiTheme="majorHAnsi"/>
          <w:sz w:val="20"/>
          <w:szCs w:val="20"/>
        </w:rPr>
        <w:t>охоплює</w:t>
      </w:r>
      <w:r w:rsidRPr="000977F7">
        <w:rPr>
          <w:rFonts w:asciiTheme="majorHAnsi" w:hAnsiTheme="majorHAnsi"/>
          <w:spacing w:val="30"/>
          <w:sz w:val="20"/>
          <w:szCs w:val="20"/>
        </w:rPr>
        <w:t xml:space="preserve"> </w:t>
      </w:r>
      <w:r w:rsidRPr="000977F7">
        <w:rPr>
          <w:rFonts w:asciiTheme="majorHAnsi" w:hAnsiTheme="majorHAnsi"/>
          <w:sz w:val="20"/>
          <w:szCs w:val="20"/>
        </w:rPr>
        <w:t>калібрування</w:t>
      </w:r>
      <w:r w:rsidRPr="000977F7">
        <w:rPr>
          <w:rFonts w:asciiTheme="majorHAnsi" w:hAnsiTheme="majorHAnsi"/>
          <w:spacing w:val="29"/>
          <w:sz w:val="20"/>
          <w:szCs w:val="20"/>
        </w:rPr>
        <w:t xml:space="preserve"> </w:t>
      </w:r>
      <w:r w:rsidRPr="000977F7">
        <w:rPr>
          <w:rFonts w:asciiTheme="majorHAnsi" w:hAnsiTheme="majorHAnsi"/>
          <w:sz w:val="20"/>
          <w:szCs w:val="20"/>
        </w:rPr>
        <w:t>чи</w:t>
      </w:r>
      <w:r w:rsidRPr="000977F7">
        <w:rPr>
          <w:rFonts w:asciiTheme="majorHAnsi" w:hAnsiTheme="majorHAnsi"/>
          <w:spacing w:val="29"/>
          <w:sz w:val="20"/>
          <w:szCs w:val="20"/>
        </w:rPr>
        <w:t xml:space="preserve"> </w:t>
      </w:r>
      <w:r w:rsidRPr="000977F7">
        <w:rPr>
          <w:rFonts w:asciiTheme="majorHAnsi" w:hAnsiTheme="majorHAnsi"/>
          <w:sz w:val="20"/>
          <w:szCs w:val="20"/>
        </w:rPr>
        <w:t>перевіряння,</w:t>
      </w:r>
      <w:r w:rsidRPr="000977F7">
        <w:rPr>
          <w:rFonts w:asciiTheme="majorHAnsi" w:hAnsiTheme="majorHAnsi"/>
          <w:spacing w:val="30"/>
          <w:sz w:val="20"/>
          <w:szCs w:val="20"/>
        </w:rPr>
        <w:t xml:space="preserve"> </w:t>
      </w:r>
      <w:r w:rsidRPr="000977F7">
        <w:rPr>
          <w:rFonts w:asciiTheme="majorHAnsi" w:hAnsiTheme="majorHAnsi"/>
          <w:sz w:val="20"/>
          <w:szCs w:val="20"/>
        </w:rPr>
        <w:t>будь-яке</w:t>
      </w:r>
      <w:r w:rsidRPr="000977F7">
        <w:rPr>
          <w:rFonts w:asciiTheme="majorHAnsi" w:hAnsiTheme="majorHAnsi"/>
          <w:spacing w:val="30"/>
          <w:sz w:val="20"/>
          <w:szCs w:val="20"/>
        </w:rPr>
        <w:t xml:space="preserve"> </w:t>
      </w:r>
      <w:r w:rsidRPr="000977F7">
        <w:rPr>
          <w:rFonts w:asciiTheme="majorHAnsi" w:hAnsiTheme="majorHAnsi"/>
          <w:sz w:val="20"/>
          <w:szCs w:val="20"/>
        </w:rPr>
        <w:t>потрібне</w:t>
      </w:r>
      <w:r w:rsidRPr="000977F7">
        <w:rPr>
          <w:rFonts w:asciiTheme="majorHAnsi" w:hAnsiTheme="majorHAnsi"/>
          <w:spacing w:val="1"/>
          <w:sz w:val="20"/>
          <w:szCs w:val="20"/>
        </w:rPr>
        <w:t xml:space="preserve"> </w:t>
      </w:r>
      <w:r w:rsidRPr="000977F7">
        <w:rPr>
          <w:rFonts w:asciiTheme="majorHAnsi" w:hAnsiTheme="majorHAnsi"/>
          <w:sz w:val="20"/>
          <w:szCs w:val="20"/>
        </w:rPr>
        <w:t>регулювання</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ремонтування</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наступне</w:t>
      </w:r>
      <w:r w:rsidRPr="000977F7">
        <w:rPr>
          <w:rFonts w:asciiTheme="majorHAnsi" w:hAnsiTheme="majorHAnsi"/>
          <w:spacing w:val="1"/>
          <w:sz w:val="20"/>
          <w:szCs w:val="20"/>
        </w:rPr>
        <w:t xml:space="preserve"> </w:t>
      </w:r>
      <w:r w:rsidRPr="000977F7">
        <w:rPr>
          <w:rFonts w:asciiTheme="majorHAnsi" w:hAnsiTheme="majorHAnsi"/>
          <w:sz w:val="20"/>
          <w:szCs w:val="20"/>
        </w:rPr>
        <w:t>повторне</w:t>
      </w:r>
      <w:r w:rsidRPr="000977F7">
        <w:rPr>
          <w:rFonts w:asciiTheme="majorHAnsi" w:hAnsiTheme="majorHAnsi"/>
          <w:spacing w:val="17"/>
          <w:sz w:val="20"/>
          <w:szCs w:val="20"/>
        </w:rPr>
        <w:t xml:space="preserve"> </w:t>
      </w:r>
      <w:r w:rsidRPr="000977F7">
        <w:rPr>
          <w:rFonts w:asciiTheme="majorHAnsi" w:hAnsiTheme="majorHAnsi"/>
          <w:sz w:val="20"/>
          <w:szCs w:val="20"/>
        </w:rPr>
        <w:t>калібрування,</w:t>
      </w:r>
      <w:r w:rsidRPr="000977F7">
        <w:rPr>
          <w:rFonts w:asciiTheme="majorHAnsi" w:hAnsiTheme="majorHAnsi"/>
          <w:spacing w:val="17"/>
          <w:sz w:val="20"/>
          <w:szCs w:val="20"/>
        </w:rPr>
        <w:t xml:space="preserve"> </w:t>
      </w:r>
      <w:r w:rsidRPr="000977F7">
        <w:rPr>
          <w:rFonts w:asciiTheme="majorHAnsi" w:hAnsiTheme="majorHAnsi"/>
          <w:sz w:val="20"/>
          <w:szCs w:val="20"/>
        </w:rPr>
        <w:t>порівняння</w:t>
      </w:r>
      <w:r w:rsidRPr="000977F7">
        <w:rPr>
          <w:rFonts w:asciiTheme="majorHAnsi" w:hAnsiTheme="majorHAnsi"/>
          <w:spacing w:val="16"/>
          <w:sz w:val="20"/>
          <w:szCs w:val="20"/>
        </w:rPr>
        <w:t xml:space="preserve"> </w:t>
      </w:r>
      <w:r w:rsidRPr="000977F7">
        <w:rPr>
          <w:rFonts w:asciiTheme="majorHAnsi" w:hAnsiTheme="majorHAnsi"/>
          <w:sz w:val="20"/>
          <w:szCs w:val="20"/>
        </w:rPr>
        <w:t>з</w:t>
      </w:r>
      <w:r w:rsidRPr="000977F7">
        <w:rPr>
          <w:rFonts w:asciiTheme="majorHAnsi" w:hAnsiTheme="majorHAnsi"/>
          <w:spacing w:val="17"/>
          <w:sz w:val="20"/>
          <w:szCs w:val="20"/>
        </w:rPr>
        <w:t xml:space="preserve"> </w:t>
      </w:r>
      <w:r w:rsidRPr="000977F7">
        <w:rPr>
          <w:rFonts w:asciiTheme="majorHAnsi" w:hAnsiTheme="majorHAnsi"/>
          <w:sz w:val="20"/>
          <w:szCs w:val="20"/>
        </w:rPr>
        <w:t>метрологічними</w:t>
      </w:r>
      <w:r w:rsidRPr="000977F7">
        <w:rPr>
          <w:rFonts w:asciiTheme="majorHAnsi" w:hAnsiTheme="majorHAnsi"/>
          <w:spacing w:val="-47"/>
          <w:sz w:val="20"/>
          <w:szCs w:val="20"/>
        </w:rPr>
        <w:t xml:space="preserve"> </w:t>
      </w:r>
      <w:r w:rsidRPr="000977F7">
        <w:rPr>
          <w:rFonts w:asciiTheme="majorHAnsi" w:hAnsiTheme="majorHAnsi"/>
          <w:sz w:val="20"/>
          <w:szCs w:val="20"/>
        </w:rPr>
        <w:t>вимогами</w:t>
      </w:r>
      <w:r w:rsidRPr="000977F7">
        <w:rPr>
          <w:rFonts w:asciiTheme="majorHAnsi" w:hAnsiTheme="majorHAnsi"/>
          <w:spacing w:val="9"/>
          <w:sz w:val="20"/>
          <w:szCs w:val="20"/>
        </w:rPr>
        <w:t xml:space="preserve"> </w:t>
      </w:r>
      <w:r w:rsidRPr="000977F7">
        <w:rPr>
          <w:rFonts w:asciiTheme="majorHAnsi" w:hAnsiTheme="majorHAnsi"/>
          <w:sz w:val="20"/>
          <w:szCs w:val="20"/>
        </w:rPr>
        <w:t>до</w:t>
      </w:r>
      <w:r w:rsidRPr="000977F7">
        <w:rPr>
          <w:rFonts w:asciiTheme="majorHAnsi" w:hAnsiTheme="majorHAnsi"/>
          <w:spacing w:val="10"/>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2"/>
          <w:sz w:val="20"/>
          <w:szCs w:val="20"/>
        </w:rPr>
        <w:t xml:space="preserve"> </w:t>
      </w:r>
      <w:r w:rsidRPr="000977F7">
        <w:rPr>
          <w:rFonts w:asciiTheme="majorHAnsi" w:hAnsiTheme="majorHAnsi"/>
          <w:sz w:val="20"/>
          <w:szCs w:val="20"/>
        </w:rPr>
        <w:t>за</w:t>
      </w:r>
      <w:r w:rsidRPr="000977F7">
        <w:rPr>
          <w:rFonts w:asciiTheme="majorHAnsi" w:hAnsiTheme="majorHAnsi"/>
          <w:spacing w:val="11"/>
          <w:sz w:val="20"/>
          <w:szCs w:val="20"/>
        </w:rPr>
        <w:t xml:space="preserve"> </w:t>
      </w:r>
      <w:r w:rsidRPr="000977F7">
        <w:rPr>
          <w:rFonts w:asciiTheme="majorHAnsi" w:hAnsiTheme="majorHAnsi"/>
          <w:sz w:val="20"/>
          <w:szCs w:val="20"/>
        </w:rPr>
        <w:t>призначеністю</w:t>
      </w:r>
      <w:r w:rsidRPr="000977F7">
        <w:rPr>
          <w:rFonts w:asciiTheme="majorHAnsi" w:hAnsiTheme="majorHAnsi"/>
          <w:spacing w:val="12"/>
          <w:sz w:val="20"/>
          <w:szCs w:val="20"/>
        </w:rPr>
        <w:t xml:space="preserve"> </w:t>
      </w:r>
      <w:r w:rsidRPr="000977F7">
        <w:rPr>
          <w:rFonts w:asciiTheme="majorHAnsi" w:hAnsiTheme="majorHAnsi"/>
          <w:sz w:val="20"/>
          <w:szCs w:val="20"/>
        </w:rPr>
        <w:t>устатковання, а також необхідні пломбування та маркування.</w:t>
      </w:r>
      <w:r w:rsidRPr="000977F7">
        <w:rPr>
          <w:rFonts w:asciiTheme="majorHAnsi" w:hAnsiTheme="majorHAnsi"/>
          <w:spacing w:val="1"/>
          <w:sz w:val="20"/>
          <w:szCs w:val="20"/>
        </w:rPr>
        <w:t xml:space="preserve"> </w:t>
      </w:r>
    </w:p>
    <w:p w14:paraId="2475A94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1"/>
          <w:sz w:val="20"/>
          <w:szCs w:val="20"/>
        </w:rPr>
        <w:t xml:space="preserve"> </w:t>
      </w:r>
      <w:r w:rsidRPr="000977F7">
        <w:rPr>
          <w:rFonts w:asciiTheme="majorHAnsi" w:hAnsiTheme="majorHAnsi"/>
          <w:sz w:val="20"/>
          <w:szCs w:val="20"/>
        </w:rPr>
        <w:t>2.</w:t>
      </w:r>
      <w:r w:rsidRPr="000977F7">
        <w:rPr>
          <w:rFonts w:asciiTheme="majorHAnsi" w:hAnsiTheme="majorHAnsi"/>
          <w:spacing w:val="1"/>
          <w:sz w:val="20"/>
          <w:szCs w:val="20"/>
        </w:rPr>
        <w:t xml:space="preserve"> </w:t>
      </w:r>
      <w:r w:rsidRPr="000977F7">
        <w:rPr>
          <w:rFonts w:asciiTheme="majorHAnsi" w:hAnsiTheme="majorHAnsi"/>
          <w:sz w:val="20"/>
          <w:szCs w:val="20"/>
        </w:rPr>
        <w:t>Метрологічне</w:t>
      </w:r>
      <w:r w:rsidRPr="000977F7">
        <w:rPr>
          <w:rFonts w:asciiTheme="majorHAnsi" w:hAnsiTheme="majorHAnsi"/>
          <w:spacing w:val="1"/>
          <w:sz w:val="20"/>
          <w:szCs w:val="20"/>
        </w:rPr>
        <w:t xml:space="preserve"> </w:t>
      </w:r>
      <w:r w:rsidRPr="000977F7">
        <w:rPr>
          <w:rFonts w:asciiTheme="majorHAnsi" w:hAnsiTheme="majorHAnsi"/>
          <w:sz w:val="20"/>
          <w:szCs w:val="20"/>
        </w:rPr>
        <w:t>підтвердження</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вважають</w:t>
      </w:r>
      <w:r w:rsidRPr="000977F7">
        <w:rPr>
          <w:rFonts w:asciiTheme="majorHAnsi" w:hAnsiTheme="majorHAnsi"/>
          <w:spacing w:val="19"/>
          <w:sz w:val="20"/>
          <w:szCs w:val="20"/>
        </w:rPr>
        <w:t xml:space="preserve"> </w:t>
      </w:r>
      <w:r w:rsidRPr="000977F7">
        <w:rPr>
          <w:rFonts w:asciiTheme="majorHAnsi" w:hAnsiTheme="majorHAnsi"/>
          <w:sz w:val="20"/>
          <w:szCs w:val="20"/>
        </w:rPr>
        <w:t>завершеним</w:t>
      </w:r>
      <w:r w:rsidRPr="000977F7">
        <w:rPr>
          <w:rFonts w:asciiTheme="majorHAnsi" w:hAnsiTheme="majorHAnsi"/>
          <w:spacing w:val="21"/>
          <w:sz w:val="20"/>
          <w:szCs w:val="20"/>
        </w:rPr>
        <w:t xml:space="preserve"> </w:t>
      </w:r>
      <w:r w:rsidRPr="000977F7">
        <w:rPr>
          <w:rFonts w:asciiTheme="majorHAnsi" w:hAnsiTheme="majorHAnsi"/>
          <w:sz w:val="20"/>
          <w:szCs w:val="20"/>
        </w:rPr>
        <w:t>доти,</w:t>
      </w:r>
      <w:r w:rsidRPr="000977F7">
        <w:rPr>
          <w:rFonts w:asciiTheme="majorHAnsi" w:hAnsiTheme="majorHAnsi"/>
          <w:spacing w:val="20"/>
          <w:sz w:val="20"/>
          <w:szCs w:val="20"/>
        </w:rPr>
        <w:t xml:space="preserve"> </w:t>
      </w:r>
      <w:r w:rsidRPr="000977F7">
        <w:rPr>
          <w:rFonts w:asciiTheme="majorHAnsi" w:hAnsiTheme="majorHAnsi"/>
          <w:sz w:val="20"/>
          <w:szCs w:val="20"/>
        </w:rPr>
        <w:t>доки</w:t>
      </w:r>
      <w:r w:rsidRPr="000977F7">
        <w:rPr>
          <w:rFonts w:asciiTheme="majorHAnsi" w:hAnsiTheme="majorHAnsi"/>
          <w:spacing w:val="21"/>
          <w:sz w:val="20"/>
          <w:szCs w:val="20"/>
        </w:rPr>
        <w:t xml:space="preserve"> </w:t>
      </w:r>
      <w:r w:rsidRPr="000977F7">
        <w:rPr>
          <w:rFonts w:asciiTheme="majorHAnsi" w:hAnsiTheme="majorHAnsi"/>
          <w:sz w:val="20"/>
          <w:szCs w:val="20"/>
        </w:rPr>
        <w:t>придатність</w:t>
      </w:r>
      <w:r w:rsidRPr="000977F7">
        <w:rPr>
          <w:rFonts w:asciiTheme="majorHAnsi" w:hAnsiTheme="majorHAnsi"/>
          <w:spacing w:val="20"/>
          <w:sz w:val="20"/>
          <w:szCs w:val="20"/>
        </w:rPr>
        <w:t xml:space="preserve"> </w:t>
      </w:r>
      <w:r w:rsidRPr="000977F7">
        <w:rPr>
          <w:rFonts w:asciiTheme="majorHAnsi" w:hAnsiTheme="majorHAnsi"/>
          <w:sz w:val="20"/>
          <w:szCs w:val="20"/>
        </w:rPr>
        <w:t>вимірювального</w:t>
      </w:r>
      <w:r w:rsidRPr="000977F7">
        <w:rPr>
          <w:rFonts w:asciiTheme="majorHAnsi" w:hAnsiTheme="majorHAnsi"/>
          <w:spacing w:val="15"/>
          <w:sz w:val="20"/>
          <w:szCs w:val="20"/>
        </w:rPr>
        <w:t xml:space="preserve"> </w:t>
      </w:r>
      <w:r w:rsidRPr="000977F7">
        <w:rPr>
          <w:rFonts w:asciiTheme="majorHAnsi" w:hAnsiTheme="majorHAnsi"/>
          <w:sz w:val="20"/>
          <w:szCs w:val="20"/>
        </w:rPr>
        <w:t>устатковання</w:t>
      </w:r>
      <w:r w:rsidRPr="000977F7">
        <w:rPr>
          <w:rFonts w:asciiTheme="majorHAnsi" w:hAnsiTheme="majorHAnsi"/>
          <w:spacing w:val="13"/>
          <w:sz w:val="20"/>
          <w:szCs w:val="20"/>
        </w:rPr>
        <w:t xml:space="preserve"> </w:t>
      </w:r>
      <w:r w:rsidRPr="000977F7">
        <w:rPr>
          <w:rFonts w:asciiTheme="majorHAnsi" w:hAnsiTheme="majorHAnsi"/>
          <w:sz w:val="20"/>
          <w:szCs w:val="20"/>
        </w:rPr>
        <w:t>до</w:t>
      </w:r>
      <w:r w:rsidRPr="000977F7">
        <w:rPr>
          <w:rFonts w:asciiTheme="majorHAnsi" w:hAnsiTheme="majorHAnsi"/>
          <w:spacing w:val="12"/>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1"/>
          <w:sz w:val="20"/>
          <w:szCs w:val="20"/>
        </w:rPr>
        <w:t xml:space="preserve"> </w:t>
      </w:r>
      <w:r w:rsidRPr="000977F7">
        <w:rPr>
          <w:rFonts w:asciiTheme="majorHAnsi" w:hAnsiTheme="majorHAnsi"/>
          <w:sz w:val="20"/>
          <w:szCs w:val="20"/>
        </w:rPr>
        <w:t>за</w:t>
      </w:r>
      <w:r w:rsidRPr="000977F7">
        <w:rPr>
          <w:rFonts w:asciiTheme="majorHAnsi" w:hAnsiTheme="majorHAnsi"/>
          <w:spacing w:val="14"/>
          <w:sz w:val="20"/>
          <w:szCs w:val="20"/>
        </w:rPr>
        <w:t xml:space="preserve"> </w:t>
      </w:r>
      <w:r w:rsidRPr="000977F7">
        <w:rPr>
          <w:rFonts w:asciiTheme="majorHAnsi" w:hAnsiTheme="majorHAnsi"/>
          <w:sz w:val="20"/>
          <w:szCs w:val="20"/>
        </w:rPr>
        <w:lastRenderedPageBreak/>
        <w:t>призначеністю</w:t>
      </w:r>
      <w:r w:rsidRPr="000977F7">
        <w:rPr>
          <w:rFonts w:asciiTheme="majorHAnsi" w:hAnsiTheme="majorHAnsi"/>
          <w:spacing w:val="-47"/>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буде</w:t>
      </w:r>
      <w:r w:rsidRPr="000977F7">
        <w:rPr>
          <w:rFonts w:asciiTheme="majorHAnsi" w:hAnsiTheme="majorHAnsi"/>
          <w:spacing w:val="-1"/>
          <w:sz w:val="20"/>
          <w:szCs w:val="20"/>
        </w:rPr>
        <w:t xml:space="preserve"> </w:t>
      </w:r>
      <w:r w:rsidRPr="000977F7">
        <w:rPr>
          <w:rFonts w:asciiTheme="majorHAnsi" w:hAnsiTheme="majorHAnsi"/>
          <w:sz w:val="20"/>
          <w:szCs w:val="20"/>
        </w:rPr>
        <w:t>доведено та задокументовано.</w:t>
      </w:r>
    </w:p>
    <w:p w14:paraId="50EAE91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3. Вимоги до використання за призначеністю охоплюють такі характеристики як діапазон, роздільну</w:t>
      </w:r>
      <w:r w:rsidRPr="000977F7">
        <w:rPr>
          <w:rFonts w:asciiTheme="majorHAnsi" w:hAnsiTheme="majorHAnsi"/>
          <w:spacing w:val="-6"/>
          <w:sz w:val="20"/>
          <w:szCs w:val="20"/>
        </w:rPr>
        <w:t xml:space="preserve"> </w:t>
      </w:r>
      <w:r w:rsidRPr="000977F7">
        <w:rPr>
          <w:rFonts w:asciiTheme="majorHAnsi" w:hAnsiTheme="majorHAnsi"/>
          <w:sz w:val="20"/>
          <w:szCs w:val="20"/>
        </w:rPr>
        <w:t>здатність</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гранично</w:t>
      </w:r>
      <w:r w:rsidRPr="000977F7">
        <w:rPr>
          <w:rFonts w:asciiTheme="majorHAnsi" w:hAnsiTheme="majorHAnsi"/>
          <w:spacing w:val="-1"/>
          <w:sz w:val="20"/>
          <w:szCs w:val="20"/>
        </w:rPr>
        <w:t xml:space="preserve"> </w:t>
      </w:r>
      <w:r w:rsidRPr="000977F7">
        <w:rPr>
          <w:rFonts w:asciiTheme="majorHAnsi" w:hAnsiTheme="majorHAnsi"/>
          <w:sz w:val="20"/>
          <w:szCs w:val="20"/>
        </w:rPr>
        <w:t>допустимі</w:t>
      </w:r>
      <w:r w:rsidRPr="000977F7">
        <w:rPr>
          <w:rFonts w:asciiTheme="majorHAnsi" w:hAnsiTheme="majorHAnsi"/>
          <w:spacing w:val="1"/>
          <w:sz w:val="20"/>
          <w:szCs w:val="20"/>
        </w:rPr>
        <w:t xml:space="preserve"> </w:t>
      </w:r>
      <w:r w:rsidRPr="000977F7">
        <w:rPr>
          <w:rFonts w:asciiTheme="majorHAnsi" w:hAnsiTheme="majorHAnsi"/>
          <w:sz w:val="20"/>
          <w:szCs w:val="20"/>
        </w:rPr>
        <w:t>похибки.</w:t>
      </w:r>
    </w:p>
    <w:p w14:paraId="5EFE212D"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Примітка</w:t>
      </w:r>
      <w:r w:rsidRPr="000977F7">
        <w:rPr>
          <w:rFonts w:asciiTheme="majorHAnsi" w:hAnsiTheme="majorHAnsi"/>
          <w:spacing w:val="30"/>
          <w:sz w:val="20"/>
          <w:szCs w:val="20"/>
        </w:rPr>
        <w:t xml:space="preserve"> </w:t>
      </w:r>
      <w:r w:rsidRPr="000977F7">
        <w:rPr>
          <w:rFonts w:asciiTheme="majorHAnsi" w:hAnsiTheme="majorHAnsi"/>
          <w:sz w:val="20"/>
          <w:szCs w:val="20"/>
        </w:rPr>
        <w:t>4.</w:t>
      </w:r>
      <w:r w:rsidRPr="000977F7">
        <w:rPr>
          <w:rFonts w:asciiTheme="majorHAnsi" w:hAnsiTheme="majorHAnsi"/>
          <w:spacing w:val="29"/>
          <w:sz w:val="20"/>
          <w:szCs w:val="20"/>
        </w:rPr>
        <w:t xml:space="preserve"> </w:t>
      </w:r>
      <w:r w:rsidRPr="000977F7">
        <w:rPr>
          <w:rFonts w:asciiTheme="majorHAnsi" w:hAnsiTheme="majorHAnsi"/>
          <w:sz w:val="20"/>
          <w:szCs w:val="20"/>
        </w:rPr>
        <w:t>Метрологічні</w:t>
      </w:r>
      <w:r w:rsidRPr="000977F7">
        <w:rPr>
          <w:rFonts w:asciiTheme="majorHAnsi" w:hAnsiTheme="majorHAnsi"/>
          <w:spacing w:val="30"/>
          <w:sz w:val="20"/>
          <w:szCs w:val="20"/>
        </w:rPr>
        <w:t xml:space="preserve"> </w:t>
      </w:r>
      <w:r w:rsidRPr="000977F7">
        <w:rPr>
          <w:rFonts w:asciiTheme="majorHAnsi" w:hAnsiTheme="majorHAnsi"/>
          <w:sz w:val="20"/>
          <w:szCs w:val="20"/>
        </w:rPr>
        <w:t>вимоги</w:t>
      </w:r>
      <w:r w:rsidRPr="000977F7">
        <w:rPr>
          <w:rFonts w:asciiTheme="majorHAnsi" w:hAnsiTheme="majorHAnsi"/>
          <w:spacing w:val="28"/>
          <w:sz w:val="20"/>
          <w:szCs w:val="20"/>
        </w:rPr>
        <w:t xml:space="preserve"> </w:t>
      </w:r>
      <w:r w:rsidRPr="000977F7">
        <w:rPr>
          <w:rFonts w:asciiTheme="majorHAnsi" w:hAnsiTheme="majorHAnsi"/>
          <w:sz w:val="20"/>
          <w:szCs w:val="20"/>
        </w:rPr>
        <w:t>звичайно</w:t>
      </w:r>
      <w:r w:rsidRPr="000977F7">
        <w:rPr>
          <w:rFonts w:asciiTheme="majorHAnsi" w:hAnsiTheme="majorHAnsi"/>
          <w:spacing w:val="30"/>
          <w:sz w:val="20"/>
          <w:szCs w:val="20"/>
        </w:rPr>
        <w:t xml:space="preserve"> </w:t>
      </w:r>
      <w:r w:rsidRPr="000977F7">
        <w:rPr>
          <w:rFonts w:asciiTheme="majorHAnsi" w:hAnsiTheme="majorHAnsi"/>
          <w:sz w:val="20"/>
          <w:szCs w:val="20"/>
        </w:rPr>
        <w:t>відрізняються від вимог до продукції й не зазначені в них</w:t>
      </w:r>
      <w:r w:rsidRPr="000977F7">
        <w:rPr>
          <w:rFonts w:asciiTheme="majorHAnsi" w:hAnsiTheme="majorHAnsi"/>
          <w:spacing w:val="1"/>
          <w:sz w:val="20"/>
          <w:szCs w:val="20"/>
        </w:rPr>
        <w:t xml:space="preserve"> </w:t>
      </w:r>
    </w:p>
    <w:p w14:paraId="564BB029" w14:textId="77777777" w:rsidR="0097612F" w:rsidRPr="004D2D14" w:rsidRDefault="0097612F" w:rsidP="000977F7">
      <w:pPr>
        <w:pStyle w:val="af6"/>
        <w:tabs>
          <w:tab w:val="left" w:pos="284"/>
        </w:tabs>
        <w:spacing w:after="0"/>
        <w:ind w:left="170"/>
        <w:mirrorIndents/>
        <w:jc w:val="both"/>
        <w:rPr>
          <w:rFonts w:asciiTheme="majorHAnsi" w:hAnsiTheme="majorHAnsi"/>
          <w:i/>
          <w:iCs/>
          <w:sz w:val="20"/>
          <w:szCs w:val="20"/>
          <w:lang w:val="en-US"/>
        </w:rPr>
      </w:pPr>
      <w:r w:rsidRPr="000977F7">
        <w:rPr>
          <w:rFonts w:asciiTheme="majorHAnsi" w:hAnsiTheme="majorHAnsi"/>
          <w:i/>
          <w:iCs/>
          <w:sz w:val="20"/>
          <w:szCs w:val="20"/>
        </w:rPr>
        <w:t>ДСТУ</w:t>
      </w:r>
      <w:r w:rsidRPr="004D2D14">
        <w:rPr>
          <w:rFonts w:asciiTheme="majorHAnsi" w:hAnsiTheme="majorHAnsi"/>
          <w:i/>
          <w:iCs/>
          <w:sz w:val="20"/>
          <w:szCs w:val="20"/>
          <w:lang w:val="en-US"/>
        </w:rPr>
        <w:t xml:space="preserve"> ISO 9000:2015</w:t>
      </w:r>
    </w:p>
    <w:p w14:paraId="30B1F58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МЕТРОЛОГІЧНІ</w:t>
      </w:r>
      <w:r w:rsidRPr="000977F7">
        <w:rPr>
          <w:color w:val="auto"/>
          <w:spacing w:val="-7"/>
          <w:sz w:val="20"/>
          <w:szCs w:val="20"/>
        </w:rPr>
        <w:t xml:space="preserve"> </w:t>
      </w:r>
      <w:r w:rsidRPr="000977F7">
        <w:rPr>
          <w:color w:val="auto"/>
          <w:sz w:val="20"/>
          <w:szCs w:val="20"/>
        </w:rPr>
        <w:t>ХАРАКТЕРИСТИКИ</w:t>
      </w:r>
      <w:r w:rsidRPr="000977F7">
        <w:rPr>
          <w:color w:val="auto"/>
          <w:spacing w:val="-3"/>
          <w:sz w:val="20"/>
          <w:szCs w:val="20"/>
        </w:rPr>
        <w:t xml:space="preserve"> </w:t>
      </w:r>
      <w:r w:rsidRPr="000977F7">
        <w:rPr>
          <w:color w:val="auto"/>
          <w:sz w:val="20"/>
          <w:szCs w:val="20"/>
        </w:rPr>
        <w:t>–</w:t>
      </w:r>
    </w:p>
    <w:p w14:paraId="3626083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METROLOGICAL</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CHARACTERISTICS –</w:t>
      </w:r>
    </w:p>
    <w:p w14:paraId="6C156E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Характеристика,</w:t>
      </w:r>
      <w:r w:rsidRPr="000977F7">
        <w:rPr>
          <w:rFonts w:asciiTheme="majorHAnsi" w:hAnsiTheme="majorHAnsi"/>
          <w:spacing w:val="18"/>
          <w:sz w:val="20"/>
          <w:szCs w:val="20"/>
        </w:rPr>
        <w:t xml:space="preserve"> </w:t>
      </w:r>
      <w:r w:rsidRPr="000977F7">
        <w:rPr>
          <w:rFonts w:asciiTheme="majorHAnsi" w:hAnsiTheme="majorHAnsi"/>
          <w:sz w:val="20"/>
          <w:szCs w:val="20"/>
        </w:rPr>
        <w:t>яка</w:t>
      </w:r>
      <w:r w:rsidRPr="000977F7">
        <w:rPr>
          <w:rFonts w:asciiTheme="majorHAnsi" w:hAnsiTheme="majorHAnsi"/>
          <w:spacing w:val="20"/>
          <w:sz w:val="20"/>
          <w:szCs w:val="20"/>
        </w:rPr>
        <w:t xml:space="preserve"> </w:t>
      </w:r>
      <w:r w:rsidRPr="000977F7">
        <w:rPr>
          <w:rFonts w:asciiTheme="majorHAnsi" w:hAnsiTheme="majorHAnsi"/>
          <w:sz w:val="20"/>
          <w:szCs w:val="20"/>
        </w:rPr>
        <w:t>може</w:t>
      </w:r>
      <w:r w:rsidRPr="000977F7">
        <w:rPr>
          <w:rFonts w:asciiTheme="majorHAnsi" w:hAnsiTheme="majorHAnsi"/>
          <w:spacing w:val="20"/>
          <w:sz w:val="20"/>
          <w:szCs w:val="20"/>
        </w:rPr>
        <w:t xml:space="preserve"> </w:t>
      </w:r>
      <w:r w:rsidRPr="000977F7">
        <w:rPr>
          <w:rFonts w:asciiTheme="majorHAnsi" w:hAnsiTheme="majorHAnsi"/>
          <w:sz w:val="20"/>
          <w:szCs w:val="20"/>
        </w:rPr>
        <w:t>впливати</w:t>
      </w:r>
      <w:r w:rsidRPr="000977F7">
        <w:rPr>
          <w:rFonts w:asciiTheme="majorHAnsi" w:hAnsiTheme="majorHAnsi"/>
          <w:spacing w:val="19"/>
          <w:sz w:val="20"/>
          <w:szCs w:val="20"/>
        </w:rPr>
        <w:t xml:space="preserve"> </w:t>
      </w:r>
      <w:r w:rsidRPr="000977F7">
        <w:rPr>
          <w:rFonts w:asciiTheme="majorHAnsi" w:hAnsiTheme="majorHAnsi"/>
          <w:sz w:val="20"/>
          <w:szCs w:val="20"/>
        </w:rPr>
        <w:t>на</w:t>
      </w:r>
      <w:r w:rsidRPr="000977F7">
        <w:rPr>
          <w:rFonts w:asciiTheme="majorHAnsi" w:hAnsiTheme="majorHAnsi"/>
          <w:spacing w:val="18"/>
          <w:sz w:val="20"/>
          <w:szCs w:val="20"/>
        </w:rPr>
        <w:t xml:space="preserve"> </w:t>
      </w:r>
      <w:r w:rsidRPr="000977F7">
        <w:rPr>
          <w:rFonts w:asciiTheme="majorHAnsi" w:hAnsiTheme="majorHAnsi"/>
          <w:sz w:val="20"/>
          <w:szCs w:val="20"/>
        </w:rPr>
        <w:t>результати</w:t>
      </w:r>
      <w:r w:rsidRPr="000977F7">
        <w:rPr>
          <w:rFonts w:asciiTheme="majorHAnsi" w:hAnsiTheme="majorHAnsi"/>
          <w:spacing w:val="-47"/>
          <w:sz w:val="20"/>
          <w:szCs w:val="20"/>
        </w:rPr>
        <w:t xml:space="preserve"> </w:t>
      </w:r>
      <w:r w:rsidRPr="000977F7">
        <w:rPr>
          <w:rFonts w:asciiTheme="majorHAnsi" w:hAnsiTheme="majorHAnsi"/>
          <w:sz w:val="20"/>
          <w:szCs w:val="20"/>
        </w:rPr>
        <w:t>вимірювання.</w:t>
      </w:r>
    </w:p>
    <w:p w14:paraId="0D3E47B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Примітка 1. Вимірювальне устаткування звичайно має </w:t>
      </w:r>
      <w:r w:rsidRPr="000977F7">
        <w:rPr>
          <w:rFonts w:asciiTheme="majorHAnsi" w:hAnsiTheme="majorHAnsi"/>
          <w:spacing w:val="-47"/>
          <w:sz w:val="20"/>
          <w:szCs w:val="20"/>
        </w:rPr>
        <w:t xml:space="preserve"> </w:t>
      </w:r>
      <w:r w:rsidRPr="000977F7">
        <w:rPr>
          <w:rFonts w:asciiTheme="majorHAnsi" w:hAnsiTheme="majorHAnsi"/>
          <w:sz w:val="20"/>
          <w:szCs w:val="20"/>
        </w:rPr>
        <w:t>кілька</w:t>
      </w:r>
      <w:r w:rsidRPr="000977F7">
        <w:rPr>
          <w:rFonts w:asciiTheme="majorHAnsi" w:hAnsiTheme="majorHAnsi"/>
          <w:spacing w:val="-1"/>
          <w:sz w:val="20"/>
          <w:szCs w:val="20"/>
        </w:rPr>
        <w:t xml:space="preserve"> </w:t>
      </w:r>
      <w:r w:rsidRPr="000977F7">
        <w:rPr>
          <w:rFonts w:asciiTheme="majorHAnsi" w:hAnsiTheme="majorHAnsi"/>
          <w:sz w:val="20"/>
          <w:szCs w:val="20"/>
        </w:rPr>
        <w:t>метрологічних характеристик.</w:t>
      </w:r>
    </w:p>
    <w:p w14:paraId="295268D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41"/>
          <w:sz w:val="20"/>
          <w:szCs w:val="20"/>
        </w:rPr>
        <w:t xml:space="preserve"> </w:t>
      </w:r>
      <w:r w:rsidRPr="000977F7">
        <w:rPr>
          <w:rFonts w:asciiTheme="majorHAnsi" w:hAnsiTheme="majorHAnsi"/>
          <w:sz w:val="20"/>
          <w:szCs w:val="20"/>
        </w:rPr>
        <w:t>2.</w:t>
      </w:r>
      <w:r w:rsidRPr="000977F7">
        <w:rPr>
          <w:rFonts w:asciiTheme="majorHAnsi" w:hAnsiTheme="majorHAnsi"/>
          <w:spacing w:val="39"/>
          <w:sz w:val="20"/>
          <w:szCs w:val="20"/>
        </w:rPr>
        <w:t xml:space="preserve"> </w:t>
      </w:r>
      <w:r w:rsidRPr="000977F7">
        <w:rPr>
          <w:rFonts w:asciiTheme="majorHAnsi" w:hAnsiTheme="majorHAnsi"/>
          <w:sz w:val="20"/>
          <w:szCs w:val="20"/>
        </w:rPr>
        <w:t>Метрологічні</w:t>
      </w:r>
      <w:r w:rsidRPr="000977F7">
        <w:rPr>
          <w:rFonts w:asciiTheme="majorHAnsi" w:hAnsiTheme="majorHAnsi"/>
          <w:spacing w:val="40"/>
          <w:sz w:val="20"/>
          <w:szCs w:val="20"/>
        </w:rPr>
        <w:t xml:space="preserve"> </w:t>
      </w:r>
      <w:r w:rsidRPr="000977F7">
        <w:rPr>
          <w:rFonts w:asciiTheme="majorHAnsi" w:hAnsiTheme="majorHAnsi"/>
          <w:sz w:val="20"/>
          <w:szCs w:val="20"/>
        </w:rPr>
        <w:t>характеристики</w:t>
      </w:r>
      <w:r w:rsidRPr="000977F7">
        <w:rPr>
          <w:rFonts w:asciiTheme="majorHAnsi" w:hAnsiTheme="majorHAnsi"/>
          <w:spacing w:val="37"/>
          <w:sz w:val="20"/>
          <w:szCs w:val="20"/>
        </w:rPr>
        <w:t xml:space="preserve"> </w:t>
      </w:r>
      <w:r w:rsidRPr="000977F7">
        <w:rPr>
          <w:rFonts w:asciiTheme="majorHAnsi" w:hAnsiTheme="majorHAnsi"/>
          <w:sz w:val="20"/>
          <w:szCs w:val="20"/>
        </w:rPr>
        <w:t>можуть</w:t>
      </w:r>
      <w:r w:rsidRPr="000977F7">
        <w:rPr>
          <w:rFonts w:asciiTheme="majorHAnsi" w:hAnsiTheme="majorHAnsi"/>
          <w:spacing w:val="-47"/>
          <w:sz w:val="20"/>
          <w:szCs w:val="20"/>
        </w:rPr>
        <w:t xml:space="preserve"> </w:t>
      </w:r>
      <w:r w:rsidRPr="000977F7">
        <w:rPr>
          <w:rFonts w:asciiTheme="majorHAnsi" w:hAnsiTheme="majorHAnsi"/>
          <w:sz w:val="20"/>
          <w:szCs w:val="20"/>
        </w:rPr>
        <w:t>бути предметом</w:t>
      </w:r>
      <w:r w:rsidRPr="000977F7">
        <w:rPr>
          <w:rFonts w:asciiTheme="majorHAnsi" w:hAnsiTheme="majorHAnsi"/>
          <w:spacing w:val="1"/>
          <w:sz w:val="20"/>
          <w:szCs w:val="20"/>
        </w:rPr>
        <w:t xml:space="preserve"> </w:t>
      </w:r>
      <w:r w:rsidRPr="000977F7">
        <w:rPr>
          <w:rFonts w:asciiTheme="majorHAnsi" w:hAnsiTheme="majorHAnsi"/>
          <w:sz w:val="20"/>
          <w:szCs w:val="20"/>
        </w:rPr>
        <w:t>калібрування</w:t>
      </w:r>
    </w:p>
    <w:p w14:paraId="598CB168"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1"/>
          <w:sz w:val="20"/>
          <w:szCs w:val="20"/>
        </w:rPr>
        <w:t xml:space="preserve"> </w:t>
      </w:r>
      <w:r w:rsidRPr="000977F7">
        <w:rPr>
          <w:rFonts w:asciiTheme="majorHAnsi" w:hAnsiTheme="majorHAnsi"/>
          <w:i/>
          <w:iCs/>
          <w:sz w:val="20"/>
          <w:szCs w:val="20"/>
        </w:rPr>
        <w:t>ISO</w:t>
      </w:r>
      <w:r w:rsidRPr="000977F7">
        <w:rPr>
          <w:rFonts w:asciiTheme="majorHAnsi" w:hAnsiTheme="majorHAnsi"/>
          <w:i/>
          <w:iCs/>
          <w:spacing w:val="-2"/>
          <w:sz w:val="20"/>
          <w:szCs w:val="20"/>
        </w:rPr>
        <w:t xml:space="preserve"> </w:t>
      </w:r>
      <w:r w:rsidRPr="000977F7">
        <w:rPr>
          <w:rFonts w:asciiTheme="majorHAnsi" w:hAnsiTheme="majorHAnsi"/>
          <w:i/>
          <w:iCs/>
          <w:sz w:val="20"/>
          <w:szCs w:val="20"/>
        </w:rPr>
        <w:t>9000:2015</w:t>
      </w:r>
    </w:p>
    <w:p w14:paraId="057ED08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Характеристики</w:t>
      </w:r>
      <w:r w:rsidRPr="000977F7">
        <w:rPr>
          <w:rFonts w:asciiTheme="majorHAnsi" w:hAnsiTheme="majorHAnsi"/>
          <w:spacing w:val="1"/>
          <w:sz w:val="20"/>
          <w:szCs w:val="20"/>
        </w:rPr>
        <w:t xml:space="preserve"> </w:t>
      </w:r>
      <w:r w:rsidRPr="000977F7">
        <w:rPr>
          <w:rFonts w:asciiTheme="majorHAnsi" w:hAnsiTheme="majorHAnsi"/>
          <w:sz w:val="20"/>
          <w:szCs w:val="20"/>
        </w:rPr>
        <w:t>засобів</w:t>
      </w:r>
      <w:r w:rsidRPr="000977F7">
        <w:rPr>
          <w:rFonts w:asciiTheme="majorHAnsi" w:hAnsiTheme="majorHAnsi"/>
          <w:spacing w:val="1"/>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1"/>
          <w:sz w:val="20"/>
          <w:szCs w:val="20"/>
        </w:rPr>
        <w:t xml:space="preserve"> </w:t>
      </w:r>
      <w:r w:rsidRPr="000977F7">
        <w:rPr>
          <w:rFonts w:asciiTheme="majorHAnsi" w:hAnsiTheme="majorHAnsi"/>
          <w:sz w:val="20"/>
          <w:szCs w:val="20"/>
        </w:rPr>
        <w:t>техніки,</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нормуються для визначення результату вимірювання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похибок</w:t>
      </w:r>
    </w:p>
    <w:p w14:paraId="6D138F08"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94</w:t>
      </w:r>
      <w:r w:rsidRPr="004D2D14">
        <w:rPr>
          <w:rFonts w:asciiTheme="majorHAnsi" w:hAnsiTheme="majorHAnsi"/>
          <w:i/>
          <w:spacing w:val="1"/>
          <w:sz w:val="20"/>
          <w:szCs w:val="20"/>
          <w:lang w:val="en-US"/>
        </w:rPr>
        <w:t xml:space="preserve"> </w:t>
      </w:r>
      <w:r w:rsidRPr="000977F7">
        <w:rPr>
          <w:rFonts w:asciiTheme="majorHAnsi" w:hAnsiTheme="majorHAnsi"/>
          <w:b/>
          <w:sz w:val="20"/>
          <w:szCs w:val="20"/>
        </w:rPr>
        <w:t>МЕХАНІЗМ</w:t>
      </w:r>
      <w:r w:rsidRPr="004D2D14">
        <w:rPr>
          <w:rFonts w:asciiTheme="majorHAnsi" w:hAnsiTheme="majorHAnsi"/>
          <w:b/>
          <w:sz w:val="20"/>
          <w:szCs w:val="20"/>
          <w:lang w:val="en-US"/>
        </w:rPr>
        <w:t xml:space="preserve"> </w:t>
      </w:r>
      <w:r w:rsidRPr="000977F7">
        <w:rPr>
          <w:rFonts w:asciiTheme="majorHAnsi" w:hAnsiTheme="majorHAnsi"/>
          <w:b/>
          <w:sz w:val="20"/>
          <w:szCs w:val="20"/>
        </w:rPr>
        <w:t>ВІДМОВИ</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AILURE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MECHANISM</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2630F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Фізичний,</w:t>
      </w:r>
      <w:r w:rsidRPr="000977F7">
        <w:rPr>
          <w:rFonts w:asciiTheme="majorHAnsi" w:hAnsiTheme="majorHAnsi"/>
          <w:spacing w:val="30"/>
          <w:sz w:val="20"/>
          <w:szCs w:val="20"/>
        </w:rPr>
        <w:t xml:space="preserve"> </w:t>
      </w:r>
      <w:r w:rsidRPr="000977F7">
        <w:rPr>
          <w:rFonts w:asciiTheme="majorHAnsi" w:hAnsiTheme="majorHAnsi"/>
          <w:sz w:val="20"/>
          <w:szCs w:val="20"/>
        </w:rPr>
        <w:t>хімічний</w:t>
      </w:r>
      <w:r w:rsidRPr="000977F7">
        <w:rPr>
          <w:rFonts w:asciiTheme="majorHAnsi" w:hAnsiTheme="majorHAnsi"/>
          <w:spacing w:val="27"/>
          <w:sz w:val="20"/>
          <w:szCs w:val="20"/>
        </w:rPr>
        <w:t xml:space="preserve"> </w:t>
      </w:r>
      <w:r w:rsidRPr="000977F7">
        <w:rPr>
          <w:rFonts w:asciiTheme="majorHAnsi" w:hAnsiTheme="majorHAnsi"/>
          <w:sz w:val="20"/>
          <w:szCs w:val="20"/>
        </w:rPr>
        <w:t>або</w:t>
      </w:r>
      <w:r w:rsidRPr="000977F7">
        <w:rPr>
          <w:rFonts w:asciiTheme="majorHAnsi" w:hAnsiTheme="majorHAnsi"/>
          <w:spacing w:val="29"/>
          <w:sz w:val="20"/>
          <w:szCs w:val="20"/>
        </w:rPr>
        <w:t xml:space="preserve"> </w:t>
      </w:r>
      <w:r w:rsidRPr="000977F7">
        <w:rPr>
          <w:rFonts w:asciiTheme="majorHAnsi" w:hAnsiTheme="majorHAnsi"/>
          <w:sz w:val="20"/>
          <w:szCs w:val="20"/>
        </w:rPr>
        <w:t>інший</w:t>
      </w:r>
      <w:r w:rsidRPr="000977F7">
        <w:rPr>
          <w:rFonts w:asciiTheme="majorHAnsi" w:hAnsiTheme="majorHAnsi"/>
          <w:spacing w:val="29"/>
          <w:sz w:val="20"/>
          <w:szCs w:val="20"/>
        </w:rPr>
        <w:t xml:space="preserve"> </w:t>
      </w:r>
      <w:r w:rsidRPr="000977F7">
        <w:rPr>
          <w:rFonts w:asciiTheme="majorHAnsi" w:hAnsiTheme="majorHAnsi"/>
          <w:sz w:val="20"/>
          <w:szCs w:val="20"/>
        </w:rPr>
        <w:t>процес,</w:t>
      </w:r>
      <w:r w:rsidRPr="000977F7">
        <w:rPr>
          <w:rFonts w:asciiTheme="majorHAnsi" w:hAnsiTheme="majorHAnsi"/>
          <w:spacing w:val="27"/>
          <w:sz w:val="20"/>
          <w:szCs w:val="20"/>
        </w:rPr>
        <w:t xml:space="preserve"> </w:t>
      </w:r>
      <w:r w:rsidRPr="000977F7">
        <w:rPr>
          <w:rFonts w:asciiTheme="majorHAnsi" w:hAnsiTheme="majorHAnsi"/>
          <w:sz w:val="20"/>
          <w:szCs w:val="20"/>
        </w:rPr>
        <w:t>що</w:t>
      </w:r>
      <w:r w:rsidRPr="000977F7">
        <w:rPr>
          <w:rFonts w:asciiTheme="majorHAnsi" w:hAnsiTheme="majorHAnsi"/>
          <w:spacing w:val="29"/>
          <w:sz w:val="20"/>
          <w:szCs w:val="20"/>
        </w:rPr>
        <w:t xml:space="preserve"> </w:t>
      </w:r>
      <w:r w:rsidRPr="000977F7">
        <w:rPr>
          <w:rFonts w:asciiTheme="majorHAnsi" w:hAnsiTheme="majorHAnsi"/>
          <w:sz w:val="20"/>
          <w:szCs w:val="20"/>
        </w:rPr>
        <w:t>привів</w:t>
      </w:r>
      <w:r w:rsidRPr="000977F7">
        <w:rPr>
          <w:rFonts w:asciiTheme="majorHAnsi" w:hAnsiTheme="majorHAnsi"/>
          <w:spacing w:val="30"/>
          <w:sz w:val="20"/>
          <w:szCs w:val="20"/>
        </w:rPr>
        <w:t xml:space="preserve"> </w:t>
      </w:r>
      <w:r w:rsidRPr="000977F7">
        <w:rPr>
          <w:rFonts w:asciiTheme="majorHAnsi" w:hAnsiTheme="majorHAnsi"/>
          <w:sz w:val="20"/>
          <w:szCs w:val="20"/>
        </w:rPr>
        <w:t>до</w:t>
      </w:r>
      <w:r w:rsidRPr="000977F7">
        <w:rPr>
          <w:rFonts w:asciiTheme="majorHAnsi" w:hAnsiTheme="majorHAnsi"/>
          <w:spacing w:val="-47"/>
          <w:sz w:val="20"/>
          <w:szCs w:val="20"/>
        </w:rPr>
        <w:t xml:space="preserve"> </w:t>
      </w:r>
      <w:r w:rsidRPr="000977F7">
        <w:rPr>
          <w:rFonts w:asciiTheme="majorHAnsi" w:hAnsiTheme="majorHAnsi"/>
          <w:sz w:val="20"/>
          <w:szCs w:val="20"/>
        </w:rPr>
        <w:t>відмови</w:t>
      </w:r>
    </w:p>
    <w:p w14:paraId="4D5B78B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932ED8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МЕХАНІЗМ</w:t>
      </w:r>
      <w:r w:rsidRPr="000977F7">
        <w:rPr>
          <w:color w:val="auto"/>
          <w:spacing w:val="-7"/>
          <w:sz w:val="20"/>
          <w:szCs w:val="20"/>
        </w:rPr>
        <w:t xml:space="preserve"> </w:t>
      </w:r>
      <w:r w:rsidRPr="000977F7">
        <w:rPr>
          <w:color w:val="auto"/>
          <w:sz w:val="20"/>
          <w:szCs w:val="20"/>
        </w:rPr>
        <w:t>РЕГУЛЮВАННЯ</w:t>
      </w:r>
      <w:r w:rsidRPr="000977F7">
        <w:rPr>
          <w:color w:val="auto"/>
          <w:spacing w:val="-11"/>
          <w:sz w:val="20"/>
          <w:szCs w:val="20"/>
        </w:rPr>
        <w:t xml:space="preserve"> </w:t>
      </w:r>
      <w:r w:rsidRPr="000977F7">
        <w:rPr>
          <w:color w:val="auto"/>
          <w:sz w:val="20"/>
          <w:szCs w:val="20"/>
        </w:rPr>
        <w:t>МІЖНАРОДНИХ</w:t>
      </w:r>
      <w:r w:rsidRPr="000977F7">
        <w:rPr>
          <w:color w:val="auto"/>
          <w:spacing w:val="-47"/>
          <w:sz w:val="20"/>
          <w:szCs w:val="20"/>
        </w:rPr>
        <w:t xml:space="preserve"> </w:t>
      </w:r>
      <w:r w:rsidRPr="000977F7">
        <w:rPr>
          <w:color w:val="auto"/>
          <w:sz w:val="20"/>
          <w:szCs w:val="20"/>
        </w:rPr>
        <w:t>ЕКОНОМІЧНИХ</w:t>
      </w:r>
      <w:r w:rsidRPr="000977F7">
        <w:rPr>
          <w:color w:val="auto"/>
          <w:spacing w:val="-1"/>
          <w:sz w:val="20"/>
          <w:szCs w:val="20"/>
        </w:rPr>
        <w:t xml:space="preserve"> </w:t>
      </w:r>
      <w:r w:rsidRPr="000977F7">
        <w:rPr>
          <w:color w:val="auto"/>
          <w:sz w:val="20"/>
          <w:szCs w:val="20"/>
        </w:rPr>
        <w:t>ВІДНОСИН</w:t>
      </w:r>
      <w:r w:rsidRPr="000977F7">
        <w:rPr>
          <w:color w:val="auto"/>
          <w:spacing w:val="2"/>
          <w:sz w:val="20"/>
          <w:szCs w:val="20"/>
        </w:rPr>
        <w:t xml:space="preserve"> </w:t>
      </w:r>
    </w:p>
    <w:p w14:paraId="41CF47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принципів,</w:t>
      </w:r>
      <w:r w:rsidRPr="000977F7">
        <w:rPr>
          <w:rFonts w:asciiTheme="majorHAnsi" w:hAnsiTheme="majorHAnsi"/>
          <w:spacing w:val="1"/>
          <w:sz w:val="20"/>
          <w:szCs w:val="20"/>
        </w:rPr>
        <w:t xml:space="preserve"> </w:t>
      </w:r>
      <w:r w:rsidRPr="000977F7">
        <w:rPr>
          <w:rFonts w:asciiTheme="majorHAnsi" w:hAnsiTheme="majorHAnsi"/>
          <w:sz w:val="20"/>
          <w:szCs w:val="20"/>
        </w:rPr>
        <w:t>інструментів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методів</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господарськими</w:t>
      </w:r>
      <w:r w:rsidRPr="000977F7">
        <w:rPr>
          <w:rFonts w:asciiTheme="majorHAnsi" w:hAnsiTheme="majorHAnsi"/>
          <w:spacing w:val="1"/>
          <w:sz w:val="20"/>
          <w:szCs w:val="20"/>
        </w:rPr>
        <w:t xml:space="preserve"> </w:t>
      </w:r>
      <w:r w:rsidRPr="000977F7">
        <w:rPr>
          <w:rFonts w:asciiTheme="majorHAnsi" w:hAnsiTheme="majorHAnsi"/>
          <w:sz w:val="20"/>
          <w:szCs w:val="20"/>
        </w:rPr>
        <w:t>зв’язками,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вступають</w:t>
      </w:r>
      <w:r w:rsidRPr="000977F7">
        <w:rPr>
          <w:rFonts w:asciiTheme="majorHAnsi" w:hAnsiTheme="majorHAnsi"/>
          <w:spacing w:val="1"/>
          <w:sz w:val="20"/>
          <w:szCs w:val="20"/>
        </w:rPr>
        <w:t xml:space="preserve"> </w:t>
      </w:r>
      <w:r w:rsidRPr="000977F7">
        <w:rPr>
          <w:rFonts w:asciiTheme="majorHAnsi" w:hAnsiTheme="majorHAnsi"/>
          <w:sz w:val="20"/>
          <w:szCs w:val="20"/>
        </w:rPr>
        <w:t>суб’єкти</w:t>
      </w:r>
      <w:r w:rsidRPr="000977F7">
        <w:rPr>
          <w:rFonts w:asciiTheme="majorHAnsi" w:hAnsiTheme="majorHAnsi"/>
          <w:spacing w:val="-2"/>
          <w:sz w:val="20"/>
          <w:szCs w:val="20"/>
        </w:rPr>
        <w:t xml:space="preserve"> </w:t>
      </w:r>
      <w:r w:rsidRPr="000977F7">
        <w:rPr>
          <w:rFonts w:asciiTheme="majorHAnsi" w:hAnsiTheme="majorHAnsi"/>
          <w:sz w:val="20"/>
          <w:szCs w:val="20"/>
        </w:rPr>
        <w:t>міжнародних</w:t>
      </w:r>
      <w:r w:rsidRPr="000977F7">
        <w:rPr>
          <w:rFonts w:asciiTheme="majorHAnsi" w:hAnsiTheme="majorHAnsi"/>
          <w:spacing w:val="-2"/>
          <w:sz w:val="20"/>
          <w:szCs w:val="20"/>
        </w:rPr>
        <w:t xml:space="preserve"> </w:t>
      </w:r>
      <w:r w:rsidRPr="000977F7">
        <w:rPr>
          <w:rFonts w:asciiTheme="majorHAnsi" w:hAnsiTheme="majorHAnsi"/>
          <w:sz w:val="20"/>
          <w:szCs w:val="20"/>
        </w:rPr>
        <w:t>економічних відносин</w:t>
      </w:r>
    </w:p>
    <w:p w14:paraId="47EB9D1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3293</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34F53C5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МЕХАНІЗОВАНИЙ</w:t>
      </w:r>
      <w:r w:rsidRPr="000977F7">
        <w:rPr>
          <w:color w:val="auto"/>
          <w:spacing w:val="-5"/>
          <w:sz w:val="20"/>
          <w:szCs w:val="20"/>
        </w:rPr>
        <w:t xml:space="preserve"> </w:t>
      </w:r>
      <w:r w:rsidRPr="000977F7">
        <w:rPr>
          <w:color w:val="auto"/>
          <w:sz w:val="20"/>
          <w:szCs w:val="20"/>
        </w:rPr>
        <w:t>КОНТРОЛЬ -</w:t>
      </w:r>
    </w:p>
    <w:p w14:paraId="3F19958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REMOTE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CONTROLLED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TESTING -</w:t>
      </w:r>
    </w:p>
    <w:p w14:paraId="538B0C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 який випробування повністю чи частково</w:t>
      </w:r>
      <w:r w:rsidRPr="000977F7">
        <w:rPr>
          <w:rFonts w:asciiTheme="majorHAnsi" w:hAnsiTheme="majorHAnsi"/>
          <w:spacing w:val="1"/>
          <w:sz w:val="20"/>
          <w:szCs w:val="20"/>
        </w:rPr>
        <w:t xml:space="preserve"> </w:t>
      </w:r>
      <w:r w:rsidRPr="000977F7">
        <w:rPr>
          <w:rFonts w:asciiTheme="majorHAnsi" w:hAnsiTheme="majorHAnsi"/>
          <w:sz w:val="20"/>
          <w:szCs w:val="20"/>
        </w:rPr>
        <w:t>виконується з використанням машин і механізмів, а</w:t>
      </w:r>
      <w:r w:rsidRPr="000977F7">
        <w:rPr>
          <w:rFonts w:asciiTheme="majorHAnsi" w:hAnsiTheme="majorHAnsi"/>
          <w:spacing w:val="1"/>
          <w:sz w:val="20"/>
          <w:szCs w:val="20"/>
        </w:rPr>
        <w:t xml:space="preserve"> </w:t>
      </w:r>
      <w:r w:rsidRPr="000977F7">
        <w:rPr>
          <w:rFonts w:asciiTheme="majorHAnsi" w:hAnsiTheme="majorHAnsi"/>
          <w:sz w:val="20"/>
          <w:szCs w:val="20"/>
        </w:rPr>
        <w:t>показання апаратури оцінюються повністю чи частково</w:t>
      </w:r>
      <w:r w:rsidRPr="000977F7">
        <w:rPr>
          <w:rFonts w:asciiTheme="majorHAnsi" w:hAnsiTheme="majorHAnsi"/>
          <w:spacing w:val="-1"/>
          <w:sz w:val="20"/>
          <w:szCs w:val="20"/>
        </w:rPr>
        <w:t xml:space="preserve"> </w:t>
      </w:r>
      <w:r w:rsidRPr="000977F7">
        <w:rPr>
          <w:rFonts w:asciiTheme="majorHAnsi" w:hAnsiTheme="majorHAnsi"/>
          <w:sz w:val="20"/>
          <w:szCs w:val="20"/>
        </w:rPr>
        <w:t>оператором</w:t>
      </w:r>
    </w:p>
    <w:p w14:paraId="187BBD9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2865 - 94</w:t>
      </w:r>
    </w:p>
    <w:p w14:paraId="5E25D78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МЕХАНІЧНИЙ</w:t>
      </w:r>
      <w:r w:rsidRPr="000977F7">
        <w:rPr>
          <w:color w:val="auto"/>
          <w:spacing w:val="-3"/>
          <w:sz w:val="20"/>
          <w:szCs w:val="20"/>
        </w:rPr>
        <w:t xml:space="preserve"> </w:t>
      </w:r>
      <w:r w:rsidRPr="000977F7">
        <w:rPr>
          <w:color w:val="auto"/>
          <w:sz w:val="20"/>
          <w:szCs w:val="20"/>
        </w:rPr>
        <w:t>СИГНАЛ-</w:t>
      </w:r>
    </w:p>
    <w:p w14:paraId="6CC9FE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MECHABICAL</w:t>
      </w:r>
      <w:r w:rsidRPr="000977F7">
        <w:rPr>
          <w:rFonts w:asciiTheme="majorHAnsi" w:hAnsiTheme="majorHAnsi"/>
          <w:spacing w:val="-4"/>
          <w:sz w:val="20"/>
          <w:szCs w:val="20"/>
        </w:rPr>
        <w:t xml:space="preserve"> </w:t>
      </w:r>
      <w:r w:rsidRPr="000977F7">
        <w:rPr>
          <w:rFonts w:asciiTheme="majorHAnsi" w:hAnsiTheme="majorHAnsi"/>
          <w:sz w:val="20"/>
          <w:szCs w:val="20"/>
        </w:rPr>
        <w:t>SIGNAL-</w:t>
      </w:r>
    </w:p>
    <w:p w14:paraId="1C46B73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 у вигляді механічного діяння твердого тіла, у</w:t>
      </w:r>
      <w:r w:rsidRPr="000977F7">
        <w:rPr>
          <w:rFonts w:asciiTheme="majorHAnsi" w:hAnsiTheme="majorHAnsi"/>
          <w:spacing w:val="-48"/>
          <w:sz w:val="20"/>
          <w:szCs w:val="20"/>
        </w:rPr>
        <w:t xml:space="preserve"> </w:t>
      </w:r>
      <w:r w:rsidRPr="000977F7">
        <w:rPr>
          <w:rFonts w:asciiTheme="majorHAnsi" w:hAnsiTheme="majorHAnsi"/>
          <w:sz w:val="20"/>
          <w:szCs w:val="20"/>
        </w:rPr>
        <w:t>якого дієвою величиною є сила, момент сили або переміщення</w:t>
      </w:r>
    </w:p>
    <w:p w14:paraId="5FEFE4CA"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3956 - 2000</w:t>
      </w:r>
    </w:p>
    <w:p w14:paraId="1129067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МЕХАНІЧНІ</w:t>
      </w:r>
      <w:r w:rsidRPr="000977F7">
        <w:rPr>
          <w:color w:val="auto"/>
          <w:spacing w:val="-6"/>
          <w:sz w:val="20"/>
          <w:szCs w:val="20"/>
        </w:rPr>
        <w:t xml:space="preserve"> </w:t>
      </w:r>
      <w:r w:rsidRPr="000977F7">
        <w:rPr>
          <w:color w:val="auto"/>
          <w:sz w:val="20"/>
          <w:szCs w:val="20"/>
        </w:rPr>
        <w:t>ВИПРОБУВАННЯ</w:t>
      </w:r>
      <w:r w:rsidRPr="000977F7">
        <w:rPr>
          <w:color w:val="auto"/>
          <w:spacing w:val="-1"/>
          <w:sz w:val="20"/>
          <w:szCs w:val="20"/>
        </w:rPr>
        <w:t xml:space="preserve"> </w:t>
      </w:r>
      <w:r w:rsidRPr="000977F7">
        <w:rPr>
          <w:color w:val="auto"/>
          <w:sz w:val="20"/>
          <w:szCs w:val="20"/>
        </w:rPr>
        <w:t>–</w:t>
      </w:r>
    </w:p>
    <w:p w14:paraId="6DEA622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MECHANICAL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TESTS –</w:t>
      </w:r>
    </w:p>
    <w:p w14:paraId="53C3E78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4"/>
          <w:sz w:val="20"/>
          <w:szCs w:val="20"/>
        </w:rPr>
        <w:t xml:space="preserve"> </w:t>
      </w:r>
      <w:r w:rsidRPr="000977F7">
        <w:rPr>
          <w:rFonts w:asciiTheme="majorHAnsi" w:hAnsiTheme="majorHAnsi"/>
          <w:sz w:val="20"/>
          <w:szCs w:val="20"/>
        </w:rPr>
        <w:t>дію</w:t>
      </w:r>
      <w:r w:rsidRPr="000977F7">
        <w:rPr>
          <w:rFonts w:asciiTheme="majorHAnsi" w:hAnsiTheme="majorHAnsi"/>
          <w:spacing w:val="-3"/>
          <w:sz w:val="20"/>
          <w:szCs w:val="20"/>
        </w:rPr>
        <w:t xml:space="preserve"> </w:t>
      </w:r>
      <w:r w:rsidRPr="000977F7">
        <w:rPr>
          <w:rFonts w:asciiTheme="majorHAnsi" w:hAnsiTheme="majorHAnsi"/>
          <w:sz w:val="20"/>
          <w:szCs w:val="20"/>
        </w:rPr>
        <w:t>механічних</w:t>
      </w:r>
      <w:r w:rsidRPr="000977F7">
        <w:rPr>
          <w:rFonts w:asciiTheme="majorHAnsi" w:hAnsiTheme="majorHAnsi"/>
          <w:spacing w:val="-5"/>
          <w:sz w:val="20"/>
          <w:szCs w:val="20"/>
        </w:rPr>
        <w:t xml:space="preserve"> </w:t>
      </w:r>
      <w:r w:rsidRPr="000977F7">
        <w:rPr>
          <w:rFonts w:asciiTheme="majorHAnsi" w:hAnsiTheme="majorHAnsi"/>
          <w:sz w:val="20"/>
          <w:szCs w:val="20"/>
        </w:rPr>
        <w:t>чинників</w:t>
      </w:r>
    </w:p>
    <w:p w14:paraId="1D9607F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FBCC4C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34"/>
          <w:sz w:val="20"/>
          <w:szCs w:val="20"/>
        </w:rPr>
        <w:t xml:space="preserve"> </w:t>
      </w:r>
      <w:r w:rsidRPr="000977F7">
        <w:rPr>
          <w:rFonts w:asciiTheme="majorHAnsi" w:hAnsiTheme="majorHAnsi"/>
          <w:sz w:val="20"/>
          <w:szCs w:val="20"/>
        </w:rPr>
        <w:t>що</w:t>
      </w:r>
      <w:r w:rsidRPr="000977F7">
        <w:rPr>
          <w:rFonts w:asciiTheme="majorHAnsi" w:hAnsiTheme="majorHAnsi"/>
          <w:spacing w:val="36"/>
          <w:sz w:val="20"/>
          <w:szCs w:val="20"/>
        </w:rPr>
        <w:t xml:space="preserve"> </w:t>
      </w:r>
      <w:r w:rsidRPr="000977F7">
        <w:rPr>
          <w:rFonts w:asciiTheme="majorHAnsi" w:hAnsiTheme="majorHAnsi"/>
          <w:sz w:val="20"/>
          <w:szCs w:val="20"/>
        </w:rPr>
        <w:t>проводяться</w:t>
      </w:r>
      <w:r w:rsidRPr="000977F7">
        <w:rPr>
          <w:rFonts w:asciiTheme="majorHAnsi" w:hAnsiTheme="majorHAnsi"/>
          <w:spacing w:val="34"/>
          <w:sz w:val="20"/>
          <w:szCs w:val="20"/>
        </w:rPr>
        <w:t xml:space="preserve"> </w:t>
      </w:r>
      <w:r w:rsidRPr="000977F7">
        <w:rPr>
          <w:rFonts w:asciiTheme="majorHAnsi" w:hAnsiTheme="majorHAnsi"/>
          <w:sz w:val="20"/>
          <w:szCs w:val="20"/>
        </w:rPr>
        <w:t>для</w:t>
      </w:r>
      <w:r w:rsidRPr="000977F7">
        <w:rPr>
          <w:rFonts w:asciiTheme="majorHAnsi" w:hAnsiTheme="majorHAnsi"/>
          <w:spacing w:val="35"/>
          <w:sz w:val="20"/>
          <w:szCs w:val="20"/>
        </w:rPr>
        <w:t xml:space="preserve"> </w:t>
      </w:r>
      <w:r w:rsidRPr="000977F7">
        <w:rPr>
          <w:rFonts w:asciiTheme="majorHAnsi" w:hAnsiTheme="majorHAnsi"/>
          <w:sz w:val="20"/>
          <w:szCs w:val="20"/>
        </w:rPr>
        <w:t>експериментального</w:t>
      </w:r>
      <w:r w:rsidRPr="000977F7">
        <w:rPr>
          <w:rFonts w:asciiTheme="majorHAnsi" w:hAnsiTheme="majorHAnsi"/>
          <w:spacing w:val="33"/>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35"/>
          <w:sz w:val="20"/>
          <w:szCs w:val="20"/>
        </w:rPr>
        <w:t xml:space="preserve"> </w:t>
      </w:r>
      <w:r w:rsidRPr="000977F7">
        <w:rPr>
          <w:rFonts w:asciiTheme="majorHAnsi" w:hAnsiTheme="majorHAnsi"/>
          <w:sz w:val="20"/>
          <w:szCs w:val="20"/>
        </w:rPr>
        <w:t>кількісних</w:t>
      </w:r>
      <w:r w:rsidRPr="000977F7">
        <w:rPr>
          <w:rFonts w:asciiTheme="majorHAnsi" w:hAnsiTheme="majorHAnsi"/>
          <w:spacing w:val="34"/>
          <w:sz w:val="20"/>
          <w:szCs w:val="20"/>
        </w:rPr>
        <w:t xml:space="preserve"> </w:t>
      </w:r>
      <w:r w:rsidRPr="000977F7">
        <w:rPr>
          <w:rFonts w:asciiTheme="majorHAnsi" w:hAnsiTheme="majorHAnsi"/>
          <w:sz w:val="20"/>
          <w:szCs w:val="20"/>
        </w:rPr>
        <w:t>та</w:t>
      </w:r>
      <w:r w:rsidRPr="000977F7">
        <w:rPr>
          <w:rFonts w:asciiTheme="majorHAnsi" w:hAnsiTheme="majorHAnsi"/>
          <w:spacing w:val="32"/>
          <w:sz w:val="20"/>
          <w:szCs w:val="20"/>
        </w:rPr>
        <w:t xml:space="preserve"> </w:t>
      </w:r>
      <w:r w:rsidRPr="000977F7">
        <w:rPr>
          <w:rFonts w:asciiTheme="majorHAnsi" w:hAnsiTheme="majorHAnsi"/>
          <w:sz w:val="20"/>
          <w:szCs w:val="20"/>
        </w:rPr>
        <w:t>(чи)</w:t>
      </w:r>
      <w:r w:rsidRPr="000977F7">
        <w:rPr>
          <w:rFonts w:asciiTheme="majorHAnsi" w:hAnsiTheme="majorHAnsi"/>
          <w:spacing w:val="33"/>
          <w:sz w:val="20"/>
          <w:szCs w:val="20"/>
        </w:rPr>
        <w:t xml:space="preserve"> </w:t>
      </w:r>
      <w:r w:rsidRPr="000977F7">
        <w:rPr>
          <w:rFonts w:asciiTheme="majorHAnsi" w:hAnsiTheme="majorHAnsi"/>
          <w:sz w:val="20"/>
          <w:szCs w:val="20"/>
        </w:rPr>
        <w:t>якісних</w:t>
      </w:r>
      <w:r w:rsidRPr="000977F7">
        <w:rPr>
          <w:rFonts w:asciiTheme="majorHAnsi" w:hAnsiTheme="majorHAnsi"/>
          <w:spacing w:val="36"/>
          <w:sz w:val="20"/>
          <w:szCs w:val="20"/>
        </w:rPr>
        <w:t xml:space="preserve"> </w:t>
      </w:r>
      <w:r w:rsidRPr="000977F7">
        <w:rPr>
          <w:rFonts w:asciiTheme="majorHAnsi" w:hAnsiTheme="majorHAnsi"/>
          <w:sz w:val="20"/>
          <w:szCs w:val="20"/>
        </w:rPr>
        <w:t>механічних</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дослідження</w:t>
      </w:r>
      <w:r w:rsidRPr="000977F7">
        <w:rPr>
          <w:rFonts w:asciiTheme="majorHAnsi" w:hAnsiTheme="majorHAnsi"/>
          <w:spacing w:val="-3"/>
          <w:sz w:val="20"/>
          <w:szCs w:val="20"/>
        </w:rPr>
        <w:t xml:space="preserve"> </w:t>
      </w:r>
      <w:r w:rsidRPr="000977F7">
        <w:rPr>
          <w:rFonts w:asciiTheme="majorHAnsi" w:hAnsiTheme="majorHAnsi"/>
          <w:sz w:val="20"/>
          <w:szCs w:val="20"/>
        </w:rPr>
        <w:t>його напружено</w:t>
      </w:r>
      <w:r w:rsidRPr="000977F7">
        <w:rPr>
          <w:rFonts w:asciiTheme="majorHAnsi" w:hAnsiTheme="majorHAnsi"/>
          <w:spacing w:val="2"/>
          <w:sz w:val="20"/>
          <w:szCs w:val="20"/>
        </w:rPr>
        <w:t xml:space="preserve"> </w:t>
      </w:r>
      <w:r w:rsidRPr="000977F7">
        <w:rPr>
          <w:rFonts w:asciiTheme="majorHAnsi" w:hAnsiTheme="majorHAnsi"/>
          <w:sz w:val="20"/>
          <w:szCs w:val="20"/>
        </w:rPr>
        <w:t>– деформованого стану</w:t>
      </w:r>
    </w:p>
    <w:p w14:paraId="27D6FB8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2825 - 94</w:t>
      </w:r>
    </w:p>
    <w:p w14:paraId="7D7BA0E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0AD9001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Механічні</w:t>
      </w:r>
      <w:r w:rsidRPr="000977F7">
        <w:rPr>
          <w:rFonts w:asciiTheme="majorHAnsi" w:hAnsiTheme="majorHAnsi"/>
          <w:spacing w:val="-5"/>
          <w:sz w:val="20"/>
          <w:szCs w:val="20"/>
        </w:rPr>
        <w:t xml:space="preserve"> </w:t>
      </w:r>
      <w:r w:rsidRPr="000977F7">
        <w:rPr>
          <w:rFonts w:asciiTheme="majorHAnsi" w:hAnsiTheme="majorHAnsi"/>
          <w:sz w:val="20"/>
          <w:szCs w:val="20"/>
        </w:rPr>
        <w:t>випробування</w:t>
      </w:r>
      <w:r w:rsidRPr="000977F7">
        <w:rPr>
          <w:rFonts w:asciiTheme="majorHAnsi" w:hAnsiTheme="majorHAnsi"/>
          <w:spacing w:val="-5"/>
          <w:sz w:val="20"/>
          <w:szCs w:val="20"/>
        </w:rPr>
        <w:t xml:space="preserve"> </w:t>
      </w:r>
      <w:r w:rsidRPr="000977F7">
        <w:rPr>
          <w:rFonts w:asciiTheme="majorHAnsi" w:hAnsiTheme="majorHAnsi"/>
          <w:sz w:val="20"/>
          <w:szCs w:val="20"/>
        </w:rPr>
        <w:t>провадяться</w:t>
      </w:r>
      <w:r w:rsidRPr="000977F7">
        <w:rPr>
          <w:rFonts w:asciiTheme="majorHAnsi" w:hAnsiTheme="majorHAnsi"/>
          <w:spacing w:val="-5"/>
          <w:sz w:val="20"/>
          <w:szCs w:val="20"/>
        </w:rPr>
        <w:t xml:space="preserve"> </w:t>
      </w:r>
      <w:r w:rsidRPr="000977F7">
        <w:rPr>
          <w:rFonts w:asciiTheme="majorHAnsi" w:hAnsiTheme="majorHAnsi"/>
          <w:sz w:val="20"/>
          <w:szCs w:val="20"/>
        </w:rPr>
        <w:t>з</w:t>
      </w:r>
      <w:r w:rsidRPr="000977F7">
        <w:rPr>
          <w:rFonts w:asciiTheme="majorHAnsi" w:hAnsiTheme="majorHAnsi"/>
          <w:spacing w:val="-4"/>
          <w:sz w:val="20"/>
          <w:szCs w:val="20"/>
        </w:rPr>
        <w:t xml:space="preserve"> </w:t>
      </w:r>
      <w:r w:rsidRPr="000977F7">
        <w:rPr>
          <w:rFonts w:asciiTheme="majorHAnsi" w:hAnsiTheme="majorHAnsi"/>
          <w:sz w:val="20"/>
          <w:szCs w:val="20"/>
        </w:rPr>
        <w:t>метою:</w:t>
      </w:r>
    </w:p>
    <w:p w14:paraId="41E40B34" w14:textId="77777777" w:rsidR="0097612F" w:rsidRPr="000977F7" w:rsidRDefault="0097612F" w:rsidP="00FD39A4">
      <w:pPr>
        <w:pStyle w:val="ac"/>
        <w:widowControl w:val="0"/>
        <w:numPr>
          <w:ilvl w:val="1"/>
          <w:numId w:val="180"/>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визначення</w:t>
      </w:r>
      <w:r w:rsidRPr="000977F7">
        <w:rPr>
          <w:rFonts w:asciiTheme="majorHAnsi" w:hAnsiTheme="majorHAnsi"/>
          <w:spacing w:val="-5"/>
          <w:sz w:val="20"/>
          <w:szCs w:val="20"/>
        </w:rPr>
        <w:t xml:space="preserve"> </w:t>
      </w:r>
      <w:r w:rsidRPr="000977F7">
        <w:rPr>
          <w:rFonts w:asciiTheme="majorHAnsi" w:hAnsiTheme="majorHAnsi"/>
          <w:sz w:val="20"/>
          <w:szCs w:val="20"/>
        </w:rPr>
        <w:t>механічних</w:t>
      </w:r>
      <w:r w:rsidRPr="000977F7">
        <w:rPr>
          <w:rFonts w:asciiTheme="majorHAnsi" w:hAnsiTheme="majorHAnsi"/>
          <w:spacing w:val="-5"/>
          <w:sz w:val="20"/>
          <w:szCs w:val="20"/>
        </w:rPr>
        <w:t xml:space="preserve"> </w:t>
      </w:r>
      <w:r w:rsidRPr="000977F7">
        <w:rPr>
          <w:rFonts w:asciiTheme="majorHAnsi" w:hAnsiTheme="majorHAnsi"/>
          <w:sz w:val="20"/>
          <w:szCs w:val="20"/>
        </w:rPr>
        <w:t>характеристик</w:t>
      </w:r>
      <w:r w:rsidRPr="000977F7">
        <w:rPr>
          <w:rFonts w:asciiTheme="majorHAnsi" w:hAnsiTheme="majorHAnsi"/>
          <w:spacing w:val="-5"/>
          <w:sz w:val="20"/>
          <w:szCs w:val="20"/>
        </w:rPr>
        <w:t xml:space="preserve"> </w:t>
      </w:r>
      <w:r w:rsidRPr="000977F7">
        <w:rPr>
          <w:rFonts w:asciiTheme="majorHAnsi" w:hAnsiTheme="majorHAnsi"/>
          <w:sz w:val="20"/>
          <w:szCs w:val="20"/>
        </w:rPr>
        <w:t>об’єкта;</w:t>
      </w:r>
    </w:p>
    <w:p w14:paraId="648E95DE" w14:textId="77777777" w:rsidR="0097612F" w:rsidRPr="000977F7" w:rsidRDefault="0097612F" w:rsidP="00FD39A4">
      <w:pPr>
        <w:pStyle w:val="ac"/>
        <w:widowControl w:val="0"/>
        <w:numPr>
          <w:ilvl w:val="1"/>
          <w:numId w:val="180"/>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визначення несівної здатності та (чи) ресурсу чи</w:t>
      </w:r>
      <w:r w:rsidRPr="000977F7">
        <w:rPr>
          <w:rFonts w:asciiTheme="majorHAnsi" w:hAnsiTheme="majorHAnsi"/>
          <w:spacing w:val="1"/>
          <w:sz w:val="20"/>
          <w:szCs w:val="20"/>
        </w:rPr>
        <w:t xml:space="preserve"> </w:t>
      </w:r>
      <w:r w:rsidRPr="000977F7">
        <w:rPr>
          <w:rFonts w:asciiTheme="majorHAnsi" w:hAnsiTheme="majorHAnsi"/>
          <w:sz w:val="20"/>
          <w:szCs w:val="20"/>
        </w:rPr>
        <w:t>залишкової довговічності виробу чи його елементів;</w:t>
      </w:r>
    </w:p>
    <w:p w14:paraId="4D184688" w14:textId="77777777" w:rsidR="0097612F" w:rsidRPr="000977F7" w:rsidRDefault="0097612F" w:rsidP="00FD39A4">
      <w:pPr>
        <w:pStyle w:val="ac"/>
        <w:widowControl w:val="0"/>
        <w:numPr>
          <w:ilvl w:val="1"/>
          <w:numId w:val="180"/>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напружено</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деформованого</w:t>
      </w:r>
      <w:r w:rsidRPr="000977F7">
        <w:rPr>
          <w:rFonts w:asciiTheme="majorHAnsi" w:hAnsiTheme="majorHAnsi"/>
          <w:spacing w:val="1"/>
          <w:sz w:val="20"/>
          <w:szCs w:val="20"/>
        </w:rPr>
        <w:t xml:space="preserve"> </w:t>
      </w:r>
      <w:r w:rsidRPr="000977F7">
        <w:rPr>
          <w:rFonts w:asciiTheme="majorHAnsi" w:hAnsiTheme="majorHAnsi"/>
          <w:sz w:val="20"/>
          <w:szCs w:val="20"/>
        </w:rPr>
        <w:t>стану</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5"/>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елементу;</w:t>
      </w:r>
    </w:p>
    <w:p w14:paraId="3756A3ED" w14:textId="77777777" w:rsidR="0097612F" w:rsidRPr="000977F7" w:rsidRDefault="0097612F" w:rsidP="00FD39A4">
      <w:pPr>
        <w:pStyle w:val="ac"/>
        <w:widowControl w:val="0"/>
        <w:numPr>
          <w:ilvl w:val="1"/>
          <w:numId w:val="180"/>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визначення</w:t>
      </w:r>
      <w:r w:rsidRPr="000977F7">
        <w:rPr>
          <w:rFonts w:asciiTheme="majorHAnsi" w:hAnsiTheme="majorHAnsi"/>
          <w:spacing w:val="-3"/>
          <w:sz w:val="20"/>
          <w:szCs w:val="20"/>
        </w:rPr>
        <w:t xml:space="preserve"> </w:t>
      </w:r>
      <w:r w:rsidRPr="000977F7">
        <w:rPr>
          <w:rFonts w:asciiTheme="majorHAnsi" w:hAnsiTheme="majorHAnsi"/>
          <w:sz w:val="20"/>
          <w:szCs w:val="20"/>
        </w:rPr>
        <w:t>умов</w:t>
      </w:r>
      <w:r w:rsidRPr="000977F7">
        <w:rPr>
          <w:rFonts w:asciiTheme="majorHAnsi" w:hAnsiTheme="majorHAnsi"/>
          <w:spacing w:val="-3"/>
          <w:sz w:val="20"/>
          <w:szCs w:val="20"/>
        </w:rPr>
        <w:t xml:space="preserve"> </w:t>
      </w:r>
      <w:r w:rsidRPr="000977F7">
        <w:rPr>
          <w:rFonts w:asciiTheme="majorHAnsi" w:hAnsiTheme="majorHAnsi"/>
          <w:sz w:val="20"/>
          <w:szCs w:val="20"/>
        </w:rPr>
        <w:t>появи</w:t>
      </w:r>
      <w:r w:rsidRPr="000977F7">
        <w:rPr>
          <w:rFonts w:asciiTheme="majorHAnsi" w:hAnsiTheme="majorHAnsi"/>
          <w:spacing w:val="-5"/>
          <w:sz w:val="20"/>
          <w:szCs w:val="20"/>
        </w:rPr>
        <w:t xml:space="preserve"> </w:t>
      </w:r>
      <w:r w:rsidRPr="000977F7">
        <w:rPr>
          <w:rFonts w:asciiTheme="majorHAnsi" w:hAnsiTheme="majorHAnsi"/>
          <w:sz w:val="20"/>
          <w:szCs w:val="20"/>
        </w:rPr>
        <w:t>граничного</w:t>
      </w:r>
      <w:r w:rsidRPr="000977F7">
        <w:rPr>
          <w:rFonts w:asciiTheme="majorHAnsi" w:hAnsiTheme="majorHAnsi"/>
          <w:spacing w:val="-4"/>
          <w:sz w:val="20"/>
          <w:szCs w:val="20"/>
        </w:rPr>
        <w:t xml:space="preserve"> </w:t>
      </w:r>
      <w:r w:rsidRPr="000977F7">
        <w:rPr>
          <w:rFonts w:asciiTheme="majorHAnsi" w:hAnsiTheme="majorHAnsi"/>
          <w:sz w:val="20"/>
          <w:szCs w:val="20"/>
        </w:rPr>
        <w:t>стану</w:t>
      </w:r>
      <w:r w:rsidRPr="000977F7">
        <w:rPr>
          <w:rFonts w:asciiTheme="majorHAnsi" w:hAnsiTheme="majorHAnsi"/>
          <w:spacing w:val="-6"/>
          <w:sz w:val="20"/>
          <w:szCs w:val="20"/>
        </w:rPr>
        <w:t xml:space="preserve"> </w:t>
      </w:r>
      <w:r w:rsidRPr="000977F7">
        <w:rPr>
          <w:rFonts w:asciiTheme="majorHAnsi" w:hAnsiTheme="majorHAnsi"/>
          <w:sz w:val="20"/>
          <w:szCs w:val="20"/>
        </w:rPr>
        <w:t>об’єкта;</w:t>
      </w:r>
    </w:p>
    <w:p w14:paraId="11DB90BE" w14:textId="77777777" w:rsidR="0097612F" w:rsidRPr="000977F7" w:rsidRDefault="0097612F" w:rsidP="00FD39A4">
      <w:pPr>
        <w:pStyle w:val="ac"/>
        <w:widowControl w:val="0"/>
        <w:numPr>
          <w:ilvl w:val="1"/>
          <w:numId w:val="180"/>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перевірка гіпотез, теорії механіки деформованого</w:t>
      </w:r>
      <w:r w:rsidRPr="000977F7">
        <w:rPr>
          <w:rFonts w:asciiTheme="majorHAnsi" w:hAnsiTheme="majorHAnsi"/>
          <w:spacing w:val="1"/>
          <w:sz w:val="20"/>
          <w:szCs w:val="20"/>
        </w:rPr>
        <w:t xml:space="preserve"> </w:t>
      </w:r>
      <w:r w:rsidRPr="000977F7">
        <w:rPr>
          <w:rFonts w:asciiTheme="majorHAnsi" w:hAnsiTheme="majorHAnsi"/>
          <w:sz w:val="20"/>
          <w:szCs w:val="20"/>
        </w:rPr>
        <w:t>твердого тіла</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визначальних рівнянь;</w:t>
      </w:r>
    </w:p>
    <w:p w14:paraId="2F4C941A" w14:textId="77777777" w:rsidR="0097612F" w:rsidRPr="000977F7" w:rsidRDefault="0097612F" w:rsidP="00FD39A4">
      <w:pPr>
        <w:pStyle w:val="ac"/>
        <w:widowControl w:val="0"/>
        <w:numPr>
          <w:ilvl w:val="1"/>
          <w:numId w:val="180"/>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оцінення</w:t>
      </w:r>
      <w:r w:rsidRPr="000977F7">
        <w:rPr>
          <w:rFonts w:asciiTheme="majorHAnsi" w:hAnsiTheme="majorHAnsi"/>
          <w:spacing w:val="1"/>
          <w:sz w:val="20"/>
          <w:szCs w:val="20"/>
        </w:rPr>
        <w:t xml:space="preserve"> </w:t>
      </w:r>
      <w:r w:rsidRPr="000977F7">
        <w:rPr>
          <w:rFonts w:asciiTheme="majorHAnsi" w:hAnsiTheme="majorHAnsi"/>
          <w:sz w:val="20"/>
          <w:szCs w:val="20"/>
        </w:rPr>
        <w:t>пошкодженості</w:t>
      </w:r>
      <w:r w:rsidRPr="000977F7">
        <w:rPr>
          <w:rFonts w:asciiTheme="majorHAnsi" w:hAnsiTheme="majorHAnsi"/>
          <w:spacing w:val="1"/>
          <w:sz w:val="20"/>
          <w:szCs w:val="20"/>
        </w:rPr>
        <w:t xml:space="preserve"> </w:t>
      </w:r>
      <w:r w:rsidRPr="000977F7">
        <w:rPr>
          <w:rFonts w:asciiTheme="majorHAnsi" w:hAnsiTheme="majorHAnsi"/>
          <w:sz w:val="20"/>
          <w:szCs w:val="20"/>
        </w:rPr>
        <w:t>матеріалу</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елементів</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оцінення</w:t>
      </w:r>
      <w:r w:rsidRPr="000977F7">
        <w:rPr>
          <w:rFonts w:asciiTheme="majorHAnsi" w:hAnsiTheme="majorHAnsi"/>
          <w:spacing w:val="1"/>
          <w:sz w:val="20"/>
          <w:szCs w:val="20"/>
        </w:rPr>
        <w:t xml:space="preserve"> </w:t>
      </w:r>
      <w:r w:rsidRPr="000977F7">
        <w:rPr>
          <w:rFonts w:asciiTheme="majorHAnsi" w:hAnsiTheme="majorHAnsi"/>
          <w:sz w:val="20"/>
          <w:szCs w:val="20"/>
        </w:rPr>
        <w:t>міцності</w:t>
      </w:r>
      <w:r w:rsidRPr="000977F7">
        <w:rPr>
          <w:rFonts w:asciiTheme="majorHAnsi" w:hAnsiTheme="majorHAnsi"/>
          <w:spacing w:val="-3"/>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станом</w:t>
      </w:r>
    </w:p>
    <w:p w14:paraId="27DA837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2824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04F118F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МЕХАНІЧНІ</w:t>
      </w:r>
      <w:r w:rsidRPr="000977F7">
        <w:rPr>
          <w:color w:val="auto"/>
          <w:spacing w:val="-6"/>
          <w:sz w:val="20"/>
          <w:szCs w:val="20"/>
        </w:rPr>
        <w:t xml:space="preserve"> </w:t>
      </w:r>
      <w:r w:rsidRPr="000977F7">
        <w:rPr>
          <w:color w:val="auto"/>
          <w:sz w:val="20"/>
          <w:szCs w:val="20"/>
        </w:rPr>
        <w:t>ХАРАКТЕРИСТИКИ</w:t>
      </w:r>
      <w:r w:rsidRPr="000977F7">
        <w:rPr>
          <w:color w:val="auto"/>
          <w:spacing w:val="-2"/>
          <w:sz w:val="20"/>
          <w:szCs w:val="20"/>
        </w:rPr>
        <w:t xml:space="preserve"> </w:t>
      </w:r>
      <w:r w:rsidRPr="000977F7">
        <w:rPr>
          <w:color w:val="auto"/>
          <w:sz w:val="20"/>
          <w:szCs w:val="20"/>
        </w:rPr>
        <w:t>–</w:t>
      </w:r>
    </w:p>
    <w:p w14:paraId="305659F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MECHANICAL</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CHARACTERISTICS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BC674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Характеристики</w:t>
      </w:r>
      <w:r w:rsidRPr="000977F7">
        <w:rPr>
          <w:rFonts w:asciiTheme="majorHAnsi" w:hAnsiTheme="majorHAnsi"/>
          <w:spacing w:val="-8"/>
          <w:sz w:val="20"/>
          <w:szCs w:val="20"/>
        </w:rPr>
        <w:t xml:space="preserve"> </w:t>
      </w:r>
      <w:r w:rsidRPr="000977F7">
        <w:rPr>
          <w:rFonts w:asciiTheme="majorHAnsi" w:hAnsiTheme="majorHAnsi"/>
          <w:sz w:val="20"/>
          <w:szCs w:val="20"/>
        </w:rPr>
        <w:t>механічних</w:t>
      </w:r>
      <w:r w:rsidRPr="000977F7">
        <w:rPr>
          <w:rFonts w:asciiTheme="majorHAnsi" w:hAnsiTheme="majorHAnsi"/>
          <w:spacing w:val="-5"/>
          <w:sz w:val="20"/>
          <w:szCs w:val="20"/>
        </w:rPr>
        <w:t xml:space="preserve"> </w:t>
      </w:r>
      <w:r w:rsidRPr="000977F7">
        <w:rPr>
          <w:rFonts w:asciiTheme="majorHAnsi" w:hAnsiTheme="majorHAnsi"/>
          <w:sz w:val="20"/>
          <w:szCs w:val="20"/>
        </w:rPr>
        <w:t>властивостей</w:t>
      </w:r>
      <w:r w:rsidRPr="000977F7">
        <w:rPr>
          <w:rFonts w:asciiTheme="majorHAnsi" w:hAnsiTheme="majorHAnsi"/>
          <w:spacing w:val="-7"/>
          <w:sz w:val="20"/>
          <w:szCs w:val="20"/>
        </w:rPr>
        <w:t xml:space="preserve"> </w:t>
      </w:r>
      <w:r w:rsidRPr="000977F7">
        <w:rPr>
          <w:rFonts w:asciiTheme="majorHAnsi" w:hAnsiTheme="majorHAnsi"/>
          <w:sz w:val="20"/>
          <w:szCs w:val="20"/>
        </w:rPr>
        <w:t>об’єкта</w:t>
      </w:r>
      <w:r w:rsidRPr="000977F7">
        <w:rPr>
          <w:rFonts w:asciiTheme="majorHAnsi" w:hAnsiTheme="majorHAnsi"/>
          <w:spacing w:val="-48"/>
          <w:sz w:val="20"/>
          <w:szCs w:val="20"/>
        </w:rPr>
        <w:t xml:space="preserve"> </w:t>
      </w: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76D8B0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Механічні</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характеристики</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різновидом</w:t>
      </w:r>
      <w:r w:rsidRPr="000977F7">
        <w:rPr>
          <w:rFonts w:asciiTheme="majorHAnsi" w:hAnsiTheme="majorHAnsi"/>
          <w:spacing w:val="1"/>
          <w:sz w:val="20"/>
          <w:szCs w:val="20"/>
        </w:rPr>
        <w:t xml:space="preserve"> </w:t>
      </w:r>
      <w:r w:rsidRPr="000977F7">
        <w:rPr>
          <w:rFonts w:asciiTheme="majorHAnsi" w:hAnsiTheme="majorHAnsi"/>
          <w:sz w:val="20"/>
          <w:szCs w:val="20"/>
        </w:rPr>
        <w:t>фізичних</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w:t>
      </w:r>
      <w:r w:rsidRPr="000977F7">
        <w:rPr>
          <w:rFonts w:asciiTheme="majorHAnsi" w:hAnsiTheme="majorHAnsi"/>
          <w:spacing w:val="1"/>
          <w:sz w:val="20"/>
          <w:szCs w:val="20"/>
        </w:rPr>
        <w:t xml:space="preserve"> </w:t>
      </w:r>
      <w:r w:rsidRPr="000977F7">
        <w:rPr>
          <w:rFonts w:asciiTheme="majorHAnsi" w:hAnsiTheme="majorHAnsi"/>
          <w:sz w:val="20"/>
          <w:szCs w:val="20"/>
        </w:rPr>
        <w:t>поділяються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силові,</w:t>
      </w:r>
      <w:r w:rsidRPr="000977F7">
        <w:rPr>
          <w:rFonts w:asciiTheme="majorHAnsi" w:hAnsiTheme="majorHAnsi"/>
          <w:spacing w:val="1"/>
          <w:sz w:val="20"/>
          <w:szCs w:val="20"/>
        </w:rPr>
        <w:t xml:space="preserve"> </w:t>
      </w:r>
      <w:r w:rsidRPr="000977F7">
        <w:rPr>
          <w:rFonts w:asciiTheme="majorHAnsi" w:hAnsiTheme="majorHAnsi"/>
          <w:sz w:val="20"/>
          <w:szCs w:val="20"/>
        </w:rPr>
        <w:t>енергетичні,</w:t>
      </w:r>
      <w:r w:rsidRPr="000977F7">
        <w:rPr>
          <w:rFonts w:asciiTheme="majorHAnsi" w:hAnsiTheme="majorHAnsi"/>
          <w:spacing w:val="1"/>
          <w:sz w:val="20"/>
          <w:szCs w:val="20"/>
        </w:rPr>
        <w:t xml:space="preserve"> </w:t>
      </w:r>
      <w:r w:rsidRPr="000977F7">
        <w:rPr>
          <w:rFonts w:asciiTheme="majorHAnsi" w:hAnsiTheme="majorHAnsi"/>
          <w:sz w:val="20"/>
          <w:szCs w:val="20"/>
        </w:rPr>
        <w:t>деформаційні</w:t>
      </w:r>
      <w:r w:rsidRPr="000977F7">
        <w:rPr>
          <w:rFonts w:asciiTheme="majorHAnsi" w:hAnsiTheme="majorHAnsi"/>
          <w:spacing w:val="-2"/>
          <w:sz w:val="20"/>
          <w:szCs w:val="20"/>
        </w:rPr>
        <w:t xml:space="preserve"> </w:t>
      </w:r>
      <w:r w:rsidRPr="000977F7">
        <w:rPr>
          <w:rFonts w:asciiTheme="majorHAnsi" w:hAnsiTheme="majorHAnsi"/>
          <w:sz w:val="20"/>
          <w:szCs w:val="20"/>
        </w:rPr>
        <w:t>та комбіновані</w:t>
      </w:r>
    </w:p>
    <w:p w14:paraId="107BA17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24</w:t>
      </w:r>
    </w:p>
    <w:p w14:paraId="71EE8A8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МЕХАНІЧНЕ</w:t>
      </w:r>
      <w:r w:rsidRPr="000977F7">
        <w:rPr>
          <w:color w:val="auto"/>
          <w:spacing w:val="-5"/>
          <w:sz w:val="20"/>
          <w:szCs w:val="20"/>
        </w:rPr>
        <w:t xml:space="preserve"> </w:t>
      </w:r>
      <w:r w:rsidRPr="000977F7">
        <w:rPr>
          <w:color w:val="auto"/>
          <w:sz w:val="20"/>
          <w:szCs w:val="20"/>
        </w:rPr>
        <w:t>ОБРОБЛЕННЯ –</w:t>
      </w:r>
    </w:p>
    <w:p w14:paraId="67463D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Оброблення</w:t>
      </w:r>
      <w:r w:rsidRPr="000977F7">
        <w:rPr>
          <w:rFonts w:asciiTheme="majorHAnsi" w:hAnsiTheme="majorHAnsi"/>
          <w:spacing w:val="-2"/>
          <w:sz w:val="20"/>
          <w:szCs w:val="20"/>
        </w:rPr>
        <w:t xml:space="preserve"> </w:t>
      </w:r>
      <w:r w:rsidRPr="000977F7">
        <w:rPr>
          <w:rFonts w:asciiTheme="majorHAnsi" w:hAnsiTheme="majorHAnsi"/>
          <w:sz w:val="20"/>
          <w:szCs w:val="20"/>
        </w:rPr>
        <w:t>тиском</w:t>
      </w:r>
      <w:r w:rsidRPr="000977F7">
        <w:rPr>
          <w:rFonts w:asciiTheme="majorHAnsi" w:hAnsiTheme="majorHAnsi"/>
          <w:spacing w:val="-3"/>
          <w:sz w:val="20"/>
          <w:szCs w:val="20"/>
        </w:rPr>
        <w:t xml:space="preserve"> </w:t>
      </w:r>
      <w:r w:rsidRPr="000977F7">
        <w:rPr>
          <w:rFonts w:asciiTheme="majorHAnsi" w:hAnsiTheme="majorHAnsi"/>
          <w:sz w:val="20"/>
          <w:szCs w:val="20"/>
        </w:rPr>
        <w:t>чи</w:t>
      </w:r>
      <w:r w:rsidRPr="000977F7">
        <w:rPr>
          <w:rFonts w:asciiTheme="majorHAnsi" w:hAnsiTheme="majorHAnsi"/>
          <w:spacing w:val="-5"/>
          <w:sz w:val="20"/>
          <w:szCs w:val="20"/>
        </w:rPr>
        <w:t xml:space="preserve"> </w:t>
      </w:r>
      <w:r w:rsidRPr="000977F7">
        <w:rPr>
          <w:rFonts w:asciiTheme="majorHAnsi" w:hAnsiTheme="majorHAnsi"/>
          <w:sz w:val="20"/>
          <w:szCs w:val="20"/>
        </w:rPr>
        <w:t>різанням</w:t>
      </w:r>
    </w:p>
    <w:p w14:paraId="0CA4093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2391:2010</w:t>
      </w:r>
    </w:p>
    <w:p w14:paraId="0C02178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МИТНА</w:t>
      </w:r>
      <w:r w:rsidRPr="000977F7">
        <w:rPr>
          <w:color w:val="auto"/>
          <w:spacing w:val="-4"/>
          <w:sz w:val="20"/>
          <w:szCs w:val="20"/>
        </w:rPr>
        <w:t xml:space="preserve"> </w:t>
      </w:r>
      <w:r w:rsidRPr="000977F7">
        <w:rPr>
          <w:color w:val="auto"/>
          <w:sz w:val="20"/>
          <w:szCs w:val="20"/>
        </w:rPr>
        <w:t>ДЕКЛАРАЦІЯ</w:t>
      </w:r>
      <w:r w:rsidRPr="000977F7">
        <w:rPr>
          <w:color w:val="auto"/>
          <w:spacing w:val="-2"/>
          <w:sz w:val="20"/>
          <w:szCs w:val="20"/>
        </w:rPr>
        <w:t xml:space="preserve"> </w:t>
      </w:r>
      <w:r w:rsidRPr="000977F7">
        <w:rPr>
          <w:color w:val="auto"/>
          <w:sz w:val="20"/>
          <w:szCs w:val="20"/>
        </w:rPr>
        <w:t>–</w:t>
      </w:r>
    </w:p>
    <w:p w14:paraId="474CCD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що містить відомості про вантаж, що переміщується через кордон, включаючи експортовані та</w:t>
      </w:r>
      <w:r w:rsidRPr="000977F7">
        <w:rPr>
          <w:rFonts w:asciiTheme="majorHAnsi" w:hAnsiTheme="majorHAnsi"/>
          <w:spacing w:val="1"/>
          <w:sz w:val="20"/>
          <w:szCs w:val="20"/>
        </w:rPr>
        <w:t xml:space="preserve"> </w:t>
      </w:r>
      <w:r w:rsidRPr="000977F7">
        <w:rPr>
          <w:rFonts w:asciiTheme="majorHAnsi" w:hAnsiTheme="majorHAnsi"/>
          <w:sz w:val="20"/>
          <w:szCs w:val="20"/>
        </w:rPr>
        <w:t>імпортовані товари, пасажирський багаж, ручний вантаж,</w:t>
      </w:r>
      <w:r w:rsidRPr="000977F7">
        <w:rPr>
          <w:rFonts w:asciiTheme="majorHAnsi" w:hAnsiTheme="majorHAnsi"/>
          <w:spacing w:val="-1"/>
          <w:sz w:val="20"/>
          <w:szCs w:val="20"/>
        </w:rPr>
        <w:t xml:space="preserve"> </w:t>
      </w:r>
      <w:r w:rsidRPr="000977F7">
        <w:rPr>
          <w:rFonts w:asciiTheme="majorHAnsi" w:hAnsiTheme="majorHAnsi"/>
          <w:sz w:val="20"/>
          <w:szCs w:val="20"/>
        </w:rPr>
        <w:t>коштовності</w:t>
      </w:r>
      <w:r w:rsidRPr="000977F7">
        <w:rPr>
          <w:rFonts w:asciiTheme="majorHAnsi" w:hAnsiTheme="majorHAnsi"/>
          <w:spacing w:val="2"/>
          <w:sz w:val="20"/>
          <w:szCs w:val="20"/>
        </w:rPr>
        <w:t xml:space="preserve"> </w:t>
      </w:r>
      <w:r w:rsidRPr="000977F7">
        <w:rPr>
          <w:rFonts w:asciiTheme="majorHAnsi" w:hAnsiTheme="majorHAnsi"/>
          <w:sz w:val="20"/>
          <w:szCs w:val="20"/>
        </w:rPr>
        <w:t>та валюту</w:t>
      </w:r>
    </w:p>
    <w:p w14:paraId="6877DAE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91550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Письмова</w:t>
      </w:r>
      <w:r w:rsidRPr="000977F7">
        <w:rPr>
          <w:rFonts w:asciiTheme="majorHAnsi" w:hAnsiTheme="majorHAnsi"/>
          <w:spacing w:val="1"/>
          <w:sz w:val="20"/>
          <w:szCs w:val="20"/>
        </w:rPr>
        <w:t xml:space="preserve"> </w:t>
      </w:r>
      <w:r w:rsidRPr="000977F7">
        <w:rPr>
          <w:rFonts w:asciiTheme="majorHAnsi" w:hAnsiTheme="majorHAnsi"/>
          <w:sz w:val="20"/>
          <w:szCs w:val="20"/>
        </w:rPr>
        <w:t>заява</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встановленої</w:t>
      </w:r>
      <w:r w:rsidRPr="000977F7">
        <w:rPr>
          <w:rFonts w:asciiTheme="majorHAnsi" w:hAnsiTheme="majorHAnsi"/>
          <w:spacing w:val="1"/>
          <w:sz w:val="20"/>
          <w:szCs w:val="20"/>
        </w:rPr>
        <w:t xml:space="preserve"> </w:t>
      </w:r>
      <w:r w:rsidRPr="000977F7">
        <w:rPr>
          <w:rFonts w:asciiTheme="majorHAnsi" w:hAnsiTheme="majorHAnsi"/>
          <w:sz w:val="20"/>
          <w:szCs w:val="20"/>
        </w:rPr>
        <w:t>форми,</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подається</w:t>
      </w:r>
      <w:r w:rsidRPr="000977F7">
        <w:rPr>
          <w:rFonts w:asciiTheme="majorHAnsi" w:hAnsiTheme="majorHAnsi"/>
          <w:spacing w:val="1"/>
          <w:sz w:val="20"/>
          <w:szCs w:val="20"/>
        </w:rPr>
        <w:t xml:space="preserve"> </w:t>
      </w:r>
      <w:r w:rsidRPr="000977F7">
        <w:rPr>
          <w:rFonts w:asciiTheme="majorHAnsi" w:hAnsiTheme="majorHAnsi"/>
          <w:sz w:val="20"/>
          <w:szCs w:val="20"/>
        </w:rPr>
        <w:t>митному органу і</w:t>
      </w:r>
      <w:r w:rsidRPr="000977F7">
        <w:rPr>
          <w:rFonts w:asciiTheme="majorHAnsi" w:hAnsiTheme="majorHAnsi"/>
          <w:spacing w:val="1"/>
          <w:sz w:val="20"/>
          <w:szCs w:val="20"/>
        </w:rPr>
        <w:t xml:space="preserve"> </w:t>
      </w:r>
      <w:r w:rsidRPr="000977F7">
        <w:rPr>
          <w:rFonts w:asciiTheme="majorHAnsi" w:hAnsiTheme="majorHAnsi"/>
          <w:sz w:val="20"/>
          <w:szCs w:val="20"/>
        </w:rPr>
        <w:t>містить</w:t>
      </w:r>
      <w:r w:rsidRPr="000977F7">
        <w:rPr>
          <w:rFonts w:asciiTheme="majorHAnsi" w:hAnsiTheme="majorHAnsi"/>
          <w:spacing w:val="1"/>
          <w:sz w:val="20"/>
          <w:szCs w:val="20"/>
        </w:rPr>
        <w:t xml:space="preserve"> </w:t>
      </w:r>
      <w:r w:rsidRPr="000977F7">
        <w:rPr>
          <w:rFonts w:asciiTheme="majorHAnsi" w:hAnsiTheme="majorHAnsi"/>
          <w:sz w:val="20"/>
          <w:szCs w:val="20"/>
        </w:rPr>
        <w:t>відомості</w:t>
      </w:r>
      <w:r w:rsidRPr="000977F7">
        <w:rPr>
          <w:rFonts w:asciiTheme="majorHAnsi" w:hAnsiTheme="majorHAnsi"/>
          <w:spacing w:val="1"/>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товарів</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транспортних засобів, які переміщуються через митний кордон України, необхідні для їх митного оформлення</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переоформлення.</w:t>
      </w:r>
    </w:p>
    <w:p w14:paraId="21B063D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w:t>
      </w:r>
      <w:r w:rsidRPr="000977F7">
        <w:rPr>
          <w:rFonts w:asciiTheme="majorHAnsi" w:hAnsiTheme="majorHAnsi"/>
          <w:i/>
          <w:spacing w:val="-2"/>
          <w:sz w:val="20"/>
          <w:szCs w:val="20"/>
        </w:rPr>
        <w:t xml:space="preserve"> </w:t>
      </w:r>
      <w:r w:rsidRPr="000977F7">
        <w:rPr>
          <w:rFonts w:asciiTheme="majorHAnsi" w:hAnsiTheme="majorHAnsi"/>
          <w:i/>
          <w:sz w:val="20"/>
          <w:szCs w:val="20"/>
        </w:rPr>
        <w:t>кодекс</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p>
    <w:p w14:paraId="06F25AF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МИТНЕ</w:t>
      </w:r>
      <w:r w:rsidRPr="000977F7">
        <w:rPr>
          <w:color w:val="auto"/>
          <w:spacing w:val="-4"/>
          <w:sz w:val="20"/>
          <w:szCs w:val="20"/>
        </w:rPr>
        <w:t xml:space="preserve"> </w:t>
      </w:r>
      <w:r w:rsidRPr="000977F7">
        <w:rPr>
          <w:color w:val="auto"/>
          <w:sz w:val="20"/>
          <w:szCs w:val="20"/>
        </w:rPr>
        <w:t>ЗАБЕЗПЕЧЕННЯ-</w:t>
      </w:r>
    </w:p>
    <w:p w14:paraId="1A9869E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Одноразові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номерні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запірно-пломбувальні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пристрої,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печатки, штампи, голографічні мітки та інші засоби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ідентифікації,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використовуються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митними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органами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відображення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закріплення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результатів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митного контролю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митного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оформлення</w:t>
      </w:r>
    </w:p>
    <w:p w14:paraId="6422C6C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w:t>
      </w:r>
      <w:r w:rsidRPr="000977F7">
        <w:rPr>
          <w:rFonts w:asciiTheme="majorHAnsi" w:hAnsiTheme="majorHAnsi"/>
          <w:i/>
          <w:spacing w:val="-2"/>
          <w:sz w:val="20"/>
          <w:szCs w:val="20"/>
        </w:rPr>
        <w:t xml:space="preserve"> </w:t>
      </w:r>
      <w:r w:rsidRPr="000977F7">
        <w:rPr>
          <w:rFonts w:asciiTheme="majorHAnsi" w:hAnsiTheme="majorHAnsi"/>
          <w:i/>
          <w:sz w:val="20"/>
          <w:szCs w:val="20"/>
        </w:rPr>
        <w:t>кодекс</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p>
    <w:p w14:paraId="2530018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МИТНЕ</w:t>
      </w:r>
      <w:r w:rsidRPr="000977F7">
        <w:rPr>
          <w:color w:val="auto"/>
          <w:spacing w:val="-5"/>
          <w:sz w:val="20"/>
          <w:szCs w:val="20"/>
        </w:rPr>
        <w:t xml:space="preserve"> </w:t>
      </w:r>
      <w:r w:rsidRPr="000977F7">
        <w:rPr>
          <w:color w:val="auto"/>
          <w:sz w:val="20"/>
          <w:szCs w:val="20"/>
        </w:rPr>
        <w:t>ОФОРМЛЕННЯ-</w:t>
      </w:r>
    </w:p>
    <w:p w14:paraId="3DB6837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Виконання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митним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(процедур),</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пов’язані із закріпленням результатів митного контролю товарів і транспортних засобів, що переміщуються через митний кордон України, і мають юридичне значення для подальшого використання цих товарів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транспортних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засобів</w:t>
      </w:r>
    </w:p>
    <w:p w14:paraId="1DDE184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w:t>
      </w:r>
      <w:r w:rsidRPr="000977F7">
        <w:rPr>
          <w:rFonts w:asciiTheme="majorHAnsi" w:hAnsiTheme="majorHAnsi"/>
          <w:i/>
          <w:spacing w:val="-2"/>
          <w:sz w:val="20"/>
          <w:szCs w:val="20"/>
        </w:rPr>
        <w:t xml:space="preserve"> </w:t>
      </w:r>
      <w:r w:rsidRPr="000977F7">
        <w:rPr>
          <w:rFonts w:asciiTheme="majorHAnsi" w:hAnsiTheme="majorHAnsi"/>
          <w:i/>
          <w:sz w:val="20"/>
          <w:szCs w:val="20"/>
        </w:rPr>
        <w:t>кодекс</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p>
    <w:p w14:paraId="6C56A13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МИТНЕ</w:t>
      </w:r>
      <w:r w:rsidRPr="000977F7">
        <w:rPr>
          <w:color w:val="auto"/>
          <w:spacing w:val="-5"/>
          <w:sz w:val="20"/>
          <w:szCs w:val="20"/>
        </w:rPr>
        <w:t xml:space="preserve"> </w:t>
      </w:r>
      <w:r w:rsidRPr="000977F7">
        <w:rPr>
          <w:color w:val="auto"/>
          <w:sz w:val="20"/>
          <w:szCs w:val="20"/>
        </w:rPr>
        <w:t>РЕГУЛЮВАННЯ</w:t>
      </w:r>
      <w:r w:rsidRPr="000977F7">
        <w:rPr>
          <w:color w:val="auto"/>
          <w:spacing w:val="1"/>
          <w:sz w:val="20"/>
          <w:szCs w:val="20"/>
        </w:rPr>
        <w:t xml:space="preserve"> </w:t>
      </w:r>
      <w:r w:rsidRPr="000977F7">
        <w:rPr>
          <w:color w:val="auto"/>
          <w:sz w:val="20"/>
          <w:szCs w:val="20"/>
        </w:rPr>
        <w:t>–</w:t>
      </w:r>
    </w:p>
    <w:p w14:paraId="52741FD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Регулювання</w:t>
      </w:r>
      <w:r w:rsidRPr="000977F7">
        <w:rPr>
          <w:rFonts w:asciiTheme="majorHAnsi" w:hAnsiTheme="majorHAnsi"/>
          <w:spacing w:val="4"/>
          <w:sz w:val="20"/>
          <w:szCs w:val="20"/>
        </w:rPr>
        <w:t xml:space="preserve"> </w:t>
      </w:r>
      <w:r w:rsidRPr="000977F7">
        <w:rPr>
          <w:rFonts w:asciiTheme="majorHAnsi" w:hAnsiTheme="majorHAnsi"/>
          <w:sz w:val="20"/>
          <w:szCs w:val="20"/>
        </w:rPr>
        <w:t>питань,</w:t>
      </w:r>
      <w:r w:rsidRPr="000977F7">
        <w:rPr>
          <w:rFonts w:asciiTheme="majorHAnsi" w:hAnsiTheme="majorHAnsi"/>
          <w:spacing w:val="6"/>
          <w:sz w:val="20"/>
          <w:szCs w:val="20"/>
        </w:rPr>
        <w:t xml:space="preserve"> </w:t>
      </w:r>
      <w:r w:rsidRPr="000977F7">
        <w:rPr>
          <w:rFonts w:asciiTheme="majorHAnsi" w:hAnsiTheme="majorHAnsi"/>
          <w:sz w:val="20"/>
          <w:szCs w:val="20"/>
        </w:rPr>
        <w:t>пов’язаних</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6"/>
          <w:sz w:val="20"/>
          <w:szCs w:val="20"/>
        </w:rPr>
        <w:t xml:space="preserve"> </w:t>
      </w:r>
      <w:r w:rsidRPr="000977F7">
        <w:rPr>
          <w:rFonts w:asciiTheme="majorHAnsi" w:hAnsiTheme="majorHAnsi"/>
          <w:sz w:val="20"/>
          <w:szCs w:val="20"/>
        </w:rPr>
        <w:t>установленням</w:t>
      </w:r>
      <w:r w:rsidRPr="000977F7">
        <w:rPr>
          <w:rFonts w:asciiTheme="majorHAnsi" w:hAnsiTheme="majorHAnsi"/>
          <w:spacing w:val="3"/>
          <w:sz w:val="20"/>
          <w:szCs w:val="20"/>
        </w:rPr>
        <w:t xml:space="preserve"> </w:t>
      </w:r>
      <w:r w:rsidRPr="000977F7">
        <w:rPr>
          <w:rFonts w:asciiTheme="majorHAnsi" w:hAnsiTheme="majorHAnsi"/>
          <w:sz w:val="20"/>
          <w:szCs w:val="20"/>
        </w:rPr>
        <w:t>мит</w:t>
      </w:r>
      <w:r w:rsidRPr="000977F7">
        <w:rPr>
          <w:rFonts w:asciiTheme="majorHAnsi" w:hAnsiTheme="majorHAnsi"/>
          <w:spacing w:val="-47"/>
          <w:sz w:val="20"/>
          <w:szCs w:val="20"/>
        </w:rPr>
        <w:t xml:space="preserve"> </w:t>
      </w:r>
      <w:r w:rsidRPr="000977F7">
        <w:rPr>
          <w:rFonts w:asciiTheme="majorHAnsi" w:hAnsiTheme="majorHAnsi"/>
          <w:sz w:val="20"/>
          <w:szCs w:val="20"/>
        </w:rPr>
        <w:t>та</w:t>
      </w:r>
      <w:r w:rsidRPr="000977F7">
        <w:rPr>
          <w:rFonts w:asciiTheme="majorHAnsi" w:hAnsiTheme="majorHAnsi"/>
          <w:spacing w:val="10"/>
          <w:sz w:val="20"/>
          <w:szCs w:val="20"/>
        </w:rPr>
        <w:t xml:space="preserve"> </w:t>
      </w:r>
      <w:r w:rsidRPr="000977F7">
        <w:rPr>
          <w:rFonts w:asciiTheme="majorHAnsi" w:hAnsiTheme="majorHAnsi"/>
          <w:sz w:val="20"/>
          <w:szCs w:val="20"/>
        </w:rPr>
        <w:t>митних</w:t>
      </w:r>
      <w:r w:rsidRPr="000977F7">
        <w:rPr>
          <w:rFonts w:asciiTheme="majorHAnsi" w:hAnsiTheme="majorHAnsi"/>
          <w:spacing w:val="8"/>
          <w:sz w:val="20"/>
          <w:szCs w:val="20"/>
        </w:rPr>
        <w:t xml:space="preserve"> </w:t>
      </w:r>
      <w:r w:rsidRPr="000977F7">
        <w:rPr>
          <w:rFonts w:asciiTheme="majorHAnsi" w:hAnsiTheme="majorHAnsi"/>
          <w:sz w:val="20"/>
          <w:szCs w:val="20"/>
        </w:rPr>
        <w:t>зборів,</w:t>
      </w:r>
      <w:r w:rsidRPr="000977F7">
        <w:rPr>
          <w:rFonts w:asciiTheme="majorHAnsi" w:hAnsiTheme="majorHAnsi"/>
          <w:spacing w:val="9"/>
          <w:sz w:val="20"/>
          <w:szCs w:val="20"/>
        </w:rPr>
        <w:t xml:space="preserve"> </w:t>
      </w:r>
      <w:r w:rsidRPr="000977F7">
        <w:rPr>
          <w:rFonts w:asciiTheme="majorHAnsi" w:hAnsiTheme="majorHAnsi"/>
          <w:sz w:val="20"/>
          <w:szCs w:val="20"/>
        </w:rPr>
        <w:t>процедурами</w:t>
      </w:r>
      <w:r w:rsidRPr="000977F7">
        <w:rPr>
          <w:rFonts w:asciiTheme="majorHAnsi" w:hAnsiTheme="majorHAnsi"/>
          <w:spacing w:val="8"/>
          <w:sz w:val="20"/>
          <w:szCs w:val="20"/>
        </w:rPr>
        <w:t xml:space="preserve"> </w:t>
      </w:r>
      <w:r w:rsidRPr="000977F7">
        <w:rPr>
          <w:rFonts w:asciiTheme="majorHAnsi" w:hAnsiTheme="majorHAnsi"/>
          <w:sz w:val="20"/>
          <w:szCs w:val="20"/>
        </w:rPr>
        <w:t>митного</w:t>
      </w:r>
      <w:r w:rsidRPr="000977F7">
        <w:rPr>
          <w:rFonts w:asciiTheme="majorHAnsi" w:hAnsiTheme="majorHAnsi"/>
          <w:spacing w:val="10"/>
          <w:sz w:val="20"/>
          <w:szCs w:val="20"/>
        </w:rPr>
        <w:t xml:space="preserve"> </w:t>
      </w:r>
      <w:r w:rsidRPr="000977F7">
        <w:rPr>
          <w:rFonts w:asciiTheme="majorHAnsi" w:hAnsiTheme="majorHAnsi"/>
          <w:sz w:val="20"/>
          <w:szCs w:val="20"/>
        </w:rPr>
        <w:t>контролю,</w:t>
      </w:r>
      <w:r w:rsidRPr="000977F7">
        <w:rPr>
          <w:rFonts w:asciiTheme="majorHAnsi" w:hAnsiTheme="majorHAnsi"/>
          <w:spacing w:val="-47"/>
          <w:sz w:val="20"/>
          <w:szCs w:val="20"/>
        </w:rPr>
        <w:t xml:space="preserve"> </w:t>
      </w:r>
      <w:r w:rsidRPr="000977F7">
        <w:rPr>
          <w:rFonts w:asciiTheme="majorHAnsi" w:hAnsiTheme="majorHAnsi"/>
          <w:sz w:val="20"/>
          <w:szCs w:val="20"/>
        </w:rPr>
        <w:t>організацією діяльності органів митного контролю</w:t>
      </w:r>
    </w:p>
    <w:p w14:paraId="4BF53E36"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A607AA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МИТНИЙ</w:t>
      </w:r>
      <w:r w:rsidRPr="000977F7">
        <w:rPr>
          <w:color w:val="auto"/>
          <w:spacing w:val="-3"/>
          <w:sz w:val="20"/>
          <w:szCs w:val="20"/>
        </w:rPr>
        <w:t xml:space="preserve"> </w:t>
      </w:r>
      <w:r w:rsidRPr="000977F7">
        <w:rPr>
          <w:color w:val="auto"/>
          <w:sz w:val="20"/>
          <w:szCs w:val="20"/>
        </w:rPr>
        <w:t>КОНТРОЛЬ-</w:t>
      </w:r>
    </w:p>
    <w:p w14:paraId="024F2F9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заходів, що здійснюються митними органами</w:t>
      </w:r>
      <w:r w:rsidRPr="000977F7">
        <w:rPr>
          <w:rFonts w:asciiTheme="majorHAnsi" w:hAnsiTheme="majorHAnsi"/>
          <w:spacing w:val="6"/>
          <w:sz w:val="20"/>
          <w:szCs w:val="20"/>
        </w:rPr>
        <w:t xml:space="preserve"> </w:t>
      </w:r>
      <w:r w:rsidRPr="000977F7">
        <w:rPr>
          <w:rFonts w:asciiTheme="majorHAnsi" w:hAnsiTheme="majorHAnsi"/>
          <w:sz w:val="20"/>
          <w:szCs w:val="20"/>
        </w:rPr>
        <w:t>в</w:t>
      </w:r>
      <w:r w:rsidRPr="000977F7">
        <w:rPr>
          <w:rFonts w:asciiTheme="majorHAnsi" w:hAnsiTheme="majorHAnsi"/>
          <w:spacing w:val="4"/>
          <w:sz w:val="20"/>
          <w:szCs w:val="20"/>
        </w:rPr>
        <w:t xml:space="preserve"> </w:t>
      </w:r>
      <w:r w:rsidRPr="000977F7">
        <w:rPr>
          <w:rFonts w:asciiTheme="majorHAnsi" w:hAnsiTheme="majorHAnsi"/>
          <w:sz w:val="20"/>
          <w:szCs w:val="20"/>
        </w:rPr>
        <w:t>межах</w:t>
      </w:r>
      <w:r w:rsidRPr="000977F7">
        <w:rPr>
          <w:rFonts w:asciiTheme="majorHAnsi" w:hAnsiTheme="majorHAnsi"/>
          <w:spacing w:val="5"/>
          <w:sz w:val="20"/>
          <w:szCs w:val="20"/>
        </w:rPr>
        <w:t xml:space="preserve"> </w:t>
      </w:r>
      <w:r w:rsidRPr="000977F7">
        <w:rPr>
          <w:rFonts w:asciiTheme="majorHAnsi" w:hAnsiTheme="majorHAnsi"/>
          <w:sz w:val="20"/>
          <w:szCs w:val="20"/>
        </w:rPr>
        <w:t>своєї</w:t>
      </w:r>
      <w:r w:rsidRPr="000977F7">
        <w:rPr>
          <w:rFonts w:asciiTheme="majorHAnsi" w:hAnsiTheme="majorHAnsi"/>
          <w:spacing w:val="5"/>
          <w:sz w:val="20"/>
          <w:szCs w:val="20"/>
        </w:rPr>
        <w:t xml:space="preserve"> </w:t>
      </w:r>
      <w:r w:rsidRPr="000977F7">
        <w:rPr>
          <w:rFonts w:asciiTheme="majorHAnsi" w:hAnsiTheme="majorHAnsi"/>
          <w:sz w:val="20"/>
          <w:szCs w:val="20"/>
        </w:rPr>
        <w:t>компетенції</w:t>
      </w:r>
      <w:r w:rsidRPr="000977F7">
        <w:rPr>
          <w:rFonts w:asciiTheme="majorHAnsi" w:hAnsiTheme="majorHAnsi"/>
          <w:spacing w:val="5"/>
          <w:sz w:val="20"/>
          <w:szCs w:val="20"/>
        </w:rPr>
        <w:t xml:space="preserve"> </w:t>
      </w:r>
      <w:r w:rsidRPr="000977F7">
        <w:rPr>
          <w:rFonts w:asciiTheme="majorHAnsi" w:hAnsiTheme="majorHAnsi"/>
          <w:sz w:val="20"/>
          <w:szCs w:val="20"/>
        </w:rPr>
        <w:t>з</w:t>
      </w:r>
      <w:r w:rsidRPr="000977F7">
        <w:rPr>
          <w:rFonts w:asciiTheme="majorHAnsi" w:hAnsiTheme="majorHAnsi"/>
          <w:spacing w:val="6"/>
          <w:sz w:val="20"/>
          <w:szCs w:val="20"/>
        </w:rPr>
        <w:t xml:space="preserve"> </w:t>
      </w:r>
      <w:r w:rsidRPr="000977F7">
        <w:rPr>
          <w:rFonts w:asciiTheme="majorHAnsi" w:hAnsiTheme="majorHAnsi"/>
          <w:sz w:val="20"/>
          <w:szCs w:val="20"/>
        </w:rPr>
        <w:t>метою</w:t>
      </w:r>
      <w:r w:rsidRPr="000977F7">
        <w:rPr>
          <w:rFonts w:asciiTheme="majorHAnsi" w:hAnsiTheme="majorHAnsi"/>
          <w:spacing w:val="5"/>
          <w:sz w:val="20"/>
          <w:szCs w:val="20"/>
        </w:rPr>
        <w:t xml:space="preserve"> </w:t>
      </w:r>
      <w:r w:rsidRPr="000977F7">
        <w:rPr>
          <w:rFonts w:asciiTheme="majorHAnsi" w:hAnsiTheme="majorHAnsi"/>
          <w:sz w:val="20"/>
          <w:szCs w:val="20"/>
        </w:rPr>
        <w:t>забезпечення додержання</w:t>
      </w:r>
      <w:r w:rsidRPr="000977F7">
        <w:rPr>
          <w:rFonts w:asciiTheme="majorHAnsi" w:hAnsiTheme="majorHAnsi"/>
          <w:spacing w:val="1"/>
          <w:sz w:val="20"/>
          <w:szCs w:val="20"/>
        </w:rPr>
        <w:t xml:space="preserve"> </w:t>
      </w:r>
      <w:r w:rsidRPr="000977F7">
        <w:rPr>
          <w:rFonts w:asciiTheme="majorHAnsi" w:hAnsiTheme="majorHAnsi"/>
          <w:sz w:val="20"/>
          <w:szCs w:val="20"/>
        </w:rPr>
        <w:t>норм</w:t>
      </w:r>
      <w:r w:rsidRPr="000977F7">
        <w:rPr>
          <w:rFonts w:asciiTheme="majorHAnsi" w:hAnsiTheme="majorHAnsi"/>
          <w:spacing w:val="1"/>
          <w:sz w:val="20"/>
          <w:szCs w:val="20"/>
        </w:rPr>
        <w:t xml:space="preserve"> </w:t>
      </w:r>
      <w:r w:rsidRPr="000977F7">
        <w:rPr>
          <w:rFonts w:asciiTheme="majorHAnsi" w:hAnsiTheme="majorHAnsi"/>
          <w:sz w:val="20"/>
          <w:szCs w:val="20"/>
        </w:rPr>
        <w:t>цього</w:t>
      </w:r>
      <w:r w:rsidRPr="000977F7">
        <w:rPr>
          <w:rFonts w:asciiTheme="majorHAnsi" w:hAnsiTheme="majorHAnsi"/>
          <w:spacing w:val="1"/>
          <w:sz w:val="20"/>
          <w:szCs w:val="20"/>
        </w:rPr>
        <w:t xml:space="preserve"> </w:t>
      </w:r>
      <w:r w:rsidRPr="000977F7">
        <w:rPr>
          <w:rFonts w:asciiTheme="majorHAnsi" w:hAnsiTheme="majorHAnsi"/>
          <w:sz w:val="20"/>
          <w:szCs w:val="20"/>
        </w:rPr>
        <w:t>Кодексу,</w:t>
      </w:r>
      <w:r w:rsidRPr="000977F7">
        <w:rPr>
          <w:rFonts w:asciiTheme="majorHAnsi" w:hAnsiTheme="majorHAnsi"/>
          <w:spacing w:val="1"/>
          <w:sz w:val="20"/>
          <w:szCs w:val="20"/>
        </w:rPr>
        <w:t xml:space="preserve"> </w:t>
      </w:r>
      <w:r w:rsidRPr="000977F7">
        <w:rPr>
          <w:rFonts w:asciiTheme="majorHAnsi" w:hAnsiTheme="majorHAnsi"/>
          <w:sz w:val="20"/>
          <w:szCs w:val="20"/>
        </w:rPr>
        <w:t>законів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нормативно-правових актів з питань митної справи,</w:t>
      </w:r>
      <w:r w:rsidRPr="000977F7">
        <w:rPr>
          <w:rFonts w:asciiTheme="majorHAnsi" w:hAnsiTheme="majorHAnsi"/>
          <w:spacing w:val="1"/>
          <w:sz w:val="20"/>
          <w:szCs w:val="20"/>
        </w:rPr>
        <w:t xml:space="preserve"> </w:t>
      </w:r>
      <w:r w:rsidRPr="000977F7">
        <w:rPr>
          <w:rFonts w:asciiTheme="majorHAnsi" w:hAnsiTheme="majorHAnsi"/>
          <w:sz w:val="20"/>
          <w:szCs w:val="20"/>
        </w:rPr>
        <w:t>міжнародних договорів України, укладених в установленому</w:t>
      </w:r>
      <w:r w:rsidRPr="000977F7">
        <w:rPr>
          <w:rFonts w:asciiTheme="majorHAnsi" w:hAnsiTheme="majorHAnsi"/>
          <w:spacing w:val="-5"/>
          <w:sz w:val="20"/>
          <w:szCs w:val="20"/>
        </w:rPr>
        <w:t xml:space="preserve"> </w:t>
      </w:r>
      <w:r w:rsidRPr="000977F7">
        <w:rPr>
          <w:rFonts w:asciiTheme="majorHAnsi" w:hAnsiTheme="majorHAnsi"/>
          <w:sz w:val="20"/>
          <w:szCs w:val="20"/>
        </w:rPr>
        <w:t>законом</w:t>
      </w:r>
      <w:r w:rsidRPr="000977F7">
        <w:rPr>
          <w:rFonts w:asciiTheme="majorHAnsi" w:hAnsiTheme="majorHAnsi"/>
          <w:spacing w:val="1"/>
          <w:sz w:val="20"/>
          <w:szCs w:val="20"/>
        </w:rPr>
        <w:t xml:space="preserve"> </w:t>
      </w:r>
      <w:r w:rsidRPr="000977F7">
        <w:rPr>
          <w:rFonts w:asciiTheme="majorHAnsi" w:hAnsiTheme="majorHAnsi"/>
          <w:sz w:val="20"/>
          <w:szCs w:val="20"/>
        </w:rPr>
        <w:t>порядку</w:t>
      </w:r>
    </w:p>
    <w:p w14:paraId="32E2820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w:t>
      </w:r>
      <w:r w:rsidRPr="000977F7">
        <w:rPr>
          <w:rFonts w:asciiTheme="majorHAnsi" w:hAnsiTheme="majorHAnsi"/>
          <w:i/>
          <w:spacing w:val="-2"/>
          <w:sz w:val="20"/>
          <w:szCs w:val="20"/>
        </w:rPr>
        <w:t xml:space="preserve"> </w:t>
      </w:r>
      <w:r w:rsidRPr="000977F7">
        <w:rPr>
          <w:rFonts w:asciiTheme="majorHAnsi" w:hAnsiTheme="majorHAnsi"/>
          <w:i/>
          <w:sz w:val="20"/>
          <w:szCs w:val="20"/>
        </w:rPr>
        <w:t>кодекс</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p>
    <w:p w14:paraId="36A3719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МИТНИЙ</w:t>
      </w:r>
      <w:r w:rsidRPr="000977F7">
        <w:rPr>
          <w:color w:val="auto"/>
          <w:spacing w:val="-2"/>
          <w:sz w:val="20"/>
          <w:szCs w:val="20"/>
        </w:rPr>
        <w:t xml:space="preserve"> </w:t>
      </w:r>
      <w:r w:rsidRPr="000977F7">
        <w:rPr>
          <w:color w:val="auto"/>
          <w:sz w:val="20"/>
          <w:szCs w:val="20"/>
        </w:rPr>
        <w:t>РЕЖИМ-</w:t>
      </w:r>
    </w:p>
    <w:p w14:paraId="374A2C1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норм, встановлених законами України з</w:t>
      </w:r>
      <w:r w:rsidRPr="000977F7">
        <w:rPr>
          <w:rFonts w:asciiTheme="majorHAnsi" w:hAnsiTheme="majorHAnsi"/>
          <w:spacing w:val="1"/>
          <w:sz w:val="20"/>
          <w:szCs w:val="20"/>
        </w:rPr>
        <w:t xml:space="preserve"> </w:t>
      </w:r>
      <w:r w:rsidRPr="000977F7">
        <w:rPr>
          <w:rFonts w:asciiTheme="majorHAnsi" w:hAnsiTheme="majorHAnsi"/>
          <w:sz w:val="20"/>
          <w:szCs w:val="20"/>
        </w:rPr>
        <w:t>питань митної справи, що залежно від заявленої мети</w:t>
      </w:r>
      <w:r w:rsidRPr="000977F7">
        <w:rPr>
          <w:rFonts w:asciiTheme="majorHAnsi" w:hAnsiTheme="majorHAnsi"/>
          <w:spacing w:val="1"/>
          <w:sz w:val="20"/>
          <w:szCs w:val="20"/>
        </w:rPr>
        <w:t xml:space="preserve"> </w:t>
      </w:r>
      <w:r w:rsidRPr="000977F7">
        <w:rPr>
          <w:rFonts w:asciiTheme="majorHAnsi" w:hAnsiTheme="majorHAnsi"/>
          <w:sz w:val="20"/>
          <w:szCs w:val="20"/>
        </w:rPr>
        <w:t>переміщення</w:t>
      </w:r>
      <w:r w:rsidRPr="000977F7">
        <w:rPr>
          <w:rFonts w:asciiTheme="majorHAnsi" w:hAnsiTheme="majorHAnsi"/>
          <w:spacing w:val="1"/>
          <w:sz w:val="20"/>
          <w:szCs w:val="20"/>
        </w:rPr>
        <w:t xml:space="preserve"> </w:t>
      </w:r>
      <w:r w:rsidRPr="000977F7">
        <w:rPr>
          <w:rFonts w:asciiTheme="majorHAnsi" w:hAnsiTheme="majorHAnsi"/>
          <w:sz w:val="20"/>
          <w:szCs w:val="20"/>
        </w:rPr>
        <w:t>товарів</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транспортних</w:t>
      </w:r>
      <w:r w:rsidRPr="000977F7">
        <w:rPr>
          <w:rFonts w:asciiTheme="majorHAnsi" w:hAnsiTheme="majorHAnsi"/>
          <w:spacing w:val="1"/>
          <w:sz w:val="20"/>
          <w:szCs w:val="20"/>
        </w:rPr>
        <w:t xml:space="preserve"> </w:t>
      </w:r>
      <w:r w:rsidRPr="000977F7">
        <w:rPr>
          <w:rFonts w:asciiTheme="majorHAnsi" w:hAnsiTheme="majorHAnsi"/>
          <w:sz w:val="20"/>
          <w:szCs w:val="20"/>
        </w:rPr>
        <w:t>засобів</w:t>
      </w:r>
      <w:r w:rsidRPr="000977F7">
        <w:rPr>
          <w:rFonts w:asciiTheme="majorHAnsi" w:hAnsiTheme="majorHAnsi"/>
          <w:spacing w:val="1"/>
          <w:sz w:val="20"/>
          <w:szCs w:val="20"/>
        </w:rPr>
        <w:t xml:space="preserve"> </w:t>
      </w:r>
      <w:r w:rsidRPr="000977F7">
        <w:rPr>
          <w:rFonts w:asciiTheme="majorHAnsi" w:hAnsiTheme="majorHAnsi"/>
          <w:sz w:val="20"/>
          <w:szCs w:val="20"/>
        </w:rPr>
        <w:t>через</w:t>
      </w:r>
      <w:r w:rsidRPr="000977F7">
        <w:rPr>
          <w:rFonts w:asciiTheme="majorHAnsi" w:hAnsiTheme="majorHAnsi"/>
          <w:spacing w:val="1"/>
          <w:sz w:val="20"/>
          <w:szCs w:val="20"/>
        </w:rPr>
        <w:t xml:space="preserve"> </w:t>
      </w:r>
      <w:r w:rsidRPr="000977F7">
        <w:rPr>
          <w:rFonts w:asciiTheme="majorHAnsi" w:hAnsiTheme="majorHAnsi"/>
          <w:sz w:val="20"/>
          <w:szCs w:val="20"/>
        </w:rPr>
        <w:t>митний кордон України визначають порядок такого</w:t>
      </w:r>
      <w:r w:rsidRPr="000977F7">
        <w:rPr>
          <w:rFonts w:asciiTheme="majorHAnsi" w:hAnsiTheme="majorHAnsi"/>
          <w:spacing w:val="1"/>
          <w:sz w:val="20"/>
          <w:szCs w:val="20"/>
        </w:rPr>
        <w:t xml:space="preserve"> </w:t>
      </w:r>
      <w:r w:rsidRPr="000977F7">
        <w:rPr>
          <w:rFonts w:asciiTheme="majorHAnsi" w:hAnsiTheme="majorHAnsi"/>
          <w:sz w:val="20"/>
          <w:szCs w:val="20"/>
        </w:rPr>
        <w:t>переміщення та обсяг митних процедур, які при цьому</w:t>
      </w:r>
      <w:r w:rsidRPr="000977F7">
        <w:rPr>
          <w:rFonts w:asciiTheme="majorHAnsi" w:hAnsiTheme="majorHAnsi"/>
          <w:spacing w:val="-48"/>
          <w:sz w:val="20"/>
          <w:szCs w:val="20"/>
        </w:rPr>
        <w:t xml:space="preserve"> </w:t>
      </w:r>
      <w:r w:rsidRPr="000977F7">
        <w:rPr>
          <w:rFonts w:asciiTheme="majorHAnsi" w:hAnsiTheme="majorHAnsi"/>
          <w:sz w:val="20"/>
          <w:szCs w:val="20"/>
        </w:rPr>
        <w:t>здійснюються</w:t>
      </w:r>
    </w:p>
    <w:p w14:paraId="338A2D9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w:t>
      </w:r>
      <w:r w:rsidRPr="000977F7">
        <w:rPr>
          <w:rFonts w:asciiTheme="majorHAnsi" w:hAnsiTheme="majorHAnsi"/>
          <w:i/>
          <w:spacing w:val="-2"/>
          <w:sz w:val="20"/>
          <w:szCs w:val="20"/>
        </w:rPr>
        <w:t xml:space="preserve"> </w:t>
      </w:r>
      <w:r w:rsidRPr="000977F7">
        <w:rPr>
          <w:rFonts w:asciiTheme="majorHAnsi" w:hAnsiTheme="majorHAnsi"/>
          <w:i/>
          <w:sz w:val="20"/>
          <w:szCs w:val="20"/>
        </w:rPr>
        <w:t>кодекс</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p>
    <w:p w14:paraId="570405B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МИТНИЙ</w:t>
      </w:r>
      <w:r w:rsidRPr="000977F7">
        <w:rPr>
          <w:color w:val="auto"/>
          <w:spacing w:val="-2"/>
          <w:sz w:val="20"/>
          <w:szCs w:val="20"/>
        </w:rPr>
        <w:t xml:space="preserve"> </w:t>
      </w:r>
      <w:r w:rsidRPr="000977F7">
        <w:rPr>
          <w:color w:val="auto"/>
          <w:sz w:val="20"/>
          <w:szCs w:val="20"/>
        </w:rPr>
        <w:t>ТАРИФ</w:t>
      </w:r>
      <w:r w:rsidRPr="000977F7">
        <w:rPr>
          <w:color w:val="auto"/>
          <w:spacing w:val="-2"/>
          <w:sz w:val="20"/>
          <w:szCs w:val="20"/>
        </w:rPr>
        <w:t xml:space="preserve"> </w:t>
      </w:r>
      <w:r w:rsidRPr="000977F7">
        <w:rPr>
          <w:color w:val="auto"/>
          <w:sz w:val="20"/>
          <w:szCs w:val="20"/>
        </w:rPr>
        <w:t>–</w:t>
      </w:r>
    </w:p>
    <w:p w14:paraId="505D4EF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Податок</w:t>
      </w:r>
      <w:r w:rsidRPr="000977F7">
        <w:rPr>
          <w:rFonts w:asciiTheme="majorHAnsi" w:hAnsiTheme="majorHAnsi"/>
          <w:spacing w:val="33"/>
          <w:sz w:val="20"/>
          <w:szCs w:val="20"/>
        </w:rPr>
        <w:t xml:space="preserve"> </w:t>
      </w:r>
      <w:r w:rsidRPr="000977F7">
        <w:rPr>
          <w:rFonts w:asciiTheme="majorHAnsi" w:hAnsiTheme="majorHAnsi"/>
          <w:sz w:val="20"/>
          <w:szCs w:val="20"/>
        </w:rPr>
        <w:t>на</w:t>
      </w:r>
      <w:r w:rsidRPr="000977F7">
        <w:rPr>
          <w:rFonts w:asciiTheme="majorHAnsi" w:hAnsiTheme="majorHAnsi"/>
          <w:spacing w:val="38"/>
          <w:sz w:val="20"/>
          <w:szCs w:val="20"/>
        </w:rPr>
        <w:t xml:space="preserve"> </w:t>
      </w:r>
      <w:r w:rsidRPr="000977F7">
        <w:rPr>
          <w:rFonts w:asciiTheme="majorHAnsi" w:hAnsiTheme="majorHAnsi"/>
          <w:sz w:val="20"/>
          <w:szCs w:val="20"/>
        </w:rPr>
        <w:t>деякі</w:t>
      </w:r>
      <w:r w:rsidRPr="000977F7">
        <w:rPr>
          <w:rFonts w:asciiTheme="majorHAnsi" w:hAnsiTheme="majorHAnsi"/>
          <w:spacing w:val="34"/>
          <w:sz w:val="20"/>
          <w:szCs w:val="20"/>
        </w:rPr>
        <w:t xml:space="preserve"> </w:t>
      </w:r>
      <w:r w:rsidRPr="000977F7">
        <w:rPr>
          <w:rFonts w:asciiTheme="majorHAnsi" w:hAnsiTheme="majorHAnsi"/>
          <w:sz w:val="20"/>
          <w:szCs w:val="20"/>
        </w:rPr>
        <w:t>види</w:t>
      </w:r>
      <w:r w:rsidRPr="000977F7">
        <w:rPr>
          <w:rFonts w:asciiTheme="majorHAnsi" w:hAnsiTheme="majorHAnsi"/>
          <w:spacing w:val="34"/>
          <w:sz w:val="20"/>
          <w:szCs w:val="20"/>
        </w:rPr>
        <w:t xml:space="preserve"> </w:t>
      </w:r>
      <w:r w:rsidRPr="000977F7">
        <w:rPr>
          <w:rFonts w:asciiTheme="majorHAnsi" w:hAnsiTheme="majorHAnsi"/>
          <w:sz w:val="20"/>
          <w:szCs w:val="20"/>
        </w:rPr>
        <w:t>імпортованих</w:t>
      </w:r>
      <w:r w:rsidRPr="000977F7">
        <w:rPr>
          <w:rFonts w:asciiTheme="majorHAnsi" w:hAnsiTheme="majorHAnsi"/>
          <w:spacing w:val="34"/>
          <w:sz w:val="20"/>
          <w:szCs w:val="20"/>
        </w:rPr>
        <w:t xml:space="preserve"> </w:t>
      </w:r>
      <w:r w:rsidRPr="000977F7">
        <w:rPr>
          <w:rFonts w:asciiTheme="majorHAnsi" w:hAnsiTheme="majorHAnsi"/>
          <w:sz w:val="20"/>
          <w:szCs w:val="20"/>
        </w:rPr>
        <w:t>чи</w:t>
      </w:r>
      <w:r w:rsidRPr="000977F7">
        <w:rPr>
          <w:rFonts w:asciiTheme="majorHAnsi" w:hAnsiTheme="majorHAnsi"/>
          <w:spacing w:val="33"/>
          <w:sz w:val="20"/>
          <w:szCs w:val="20"/>
        </w:rPr>
        <w:t xml:space="preserve"> </w:t>
      </w:r>
      <w:r w:rsidRPr="000977F7">
        <w:rPr>
          <w:rFonts w:asciiTheme="majorHAnsi" w:hAnsiTheme="majorHAnsi"/>
          <w:sz w:val="20"/>
          <w:szCs w:val="20"/>
        </w:rPr>
        <w:t>експортованих</w:t>
      </w:r>
      <w:r w:rsidRPr="000977F7">
        <w:rPr>
          <w:rFonts w:asciiTheme="majorHAnsi" w:hAnsiTheme="majorHAnsi"/>
          <w:spacing w:val="5"/>
          <w:sz w:val="20"/>
          <w:szCs w:val="20"/>
        </w:rPr>
        <w:t xml:space="preserve"> </w:t>
      </w:r>
      <w:r w:rsidRPr="000977F7">
        <w:rPr>
          <w:rFonts w:asciiTheme="majorHAnsi" w:hAnsiTheme="majorHAnsi"/>
          <w:sz w:val="20"/>
          <w:szCs w:val="20"/>
        </w:rPr>
        <w:t>товарів,</w:t>
      </w:r>
      <w:r w:rsidRPr="000977F7">
        <w:rPr>
          <w:rFonts w:asciiTheme="majorHAnsi" w:hAnsiTheme="majorHAnsi"/>
          <w:spacing w:val="4"/>
          <w:sz w:val="20"/>
          <w:szCs w:val="20"/>
        </w:rPr>
        <w:t xml:space="preserve"> </w:t>
      </w:r>
      <w:r w:rsidRPr="000977F7">
        <w:rPr>
          <w:rFonts w:asciiTheme="majorHAnsi" w:hAnsiTheme="majorHAnsi"/>
          <w:sz w:val="20"/>
          <w:szCs w:val="20"/>
        </w:rPr>
        <w:t>метою</w:t>
      </w:r>
      <w:r w:rsidRPr="000977F7">
        <w:rPr>
          <w:rFonts w:asciiTheme="majorHAnsi" w:hAnsiTheme="majorHAnsi"/>
          <w:spacing w:val="7"/>
          <w:sz w:val="20"/>
          <w:szCs w:val="20"/>
        </w:rPr>
        <w:t xml:space="preserve"> </w:t>
      </w:r>
      <w:r w:rsidRPr="000977F7">
        <w:rPr>
          <w:rFonts w:asciiTheme="majorHAnsi" w:hAnsiTheme="majorHAnsi"/>
          <w:sz w:val="20"/>
          <w:szCs w:val="20"/>
        </w:rPr>
        <w:t>якого</w:t>
      </w:r>
      <w:r w:rsidRPr="000977F7">
        <w:rPr>
          <w:rFonts w:asciiTheme="majorHAnsi" w:hAnsiTheme="majorHAnsi"/>
          <w:spacing w:val="5"/>
          <w:sz w:val="20"/>
          <w:szCs w:val="20"/>
        </w:rPr>
        <w:t xml:space="preserve"> </w:t>
      </w:r>
      <w:r w:rsidRPr="000977F7">
        <w:rPr>
          <w:rFonts w:asciiTheme="majorHAnsi" w:hAnsiTheme="majorHAnsi"/>
          <w:sz w:val="20"/>
          <w:szCs w:val="20"/>
        </w:rPr>
        <w:t>є</w:t>
      </w:r>
      <w:r w:rsidRPr="000977F7">
        <w:rPr>
          <w:rFonts w:asciiTheme="majorHAnsi" w:hAnsiTheme="majorHAnsi"/>
          <w:spacing w:val="8"/>
          <w:sz w:val="20"/>
          <w:szCs w:val="20"/>
        </w:rPr>
        <w:t xml:space="preserve"> </w:t>
      </w:r>
      <w:r w:rsidRPr="000977F7">
        <w:rPr>
          <w:rFonts w:asciiTheme="majorHAnsi" w:hAnsiTheme="majorHAnsi"/>
          <w:sz w:val="20"/>
          <w:szCs w:val="20"/>
        </w:rPr>
        <w:t>збільшення</w:t>
      </w:r>
      <w:r w:rsidRPr="000977F7">
        <w:rPr>
          <w:rFonts w:asciiTheme="majorHAnsi" w:hAnsiTheme="majorHAnsi"/>
          <w:spacing w:val="3"/>
          <w:sz w:val="20"/>
          <w:szCs w:val="20"/>
        </w:rPr>
        <w:t xml:space="preserve"> </w:t>
      </w:r>
      <w:r w:rsidRPr="000977F7">
        <w:rPr>
          <w:rFonts w:asciiTheme="majorHAnsi" w:hAnsiTheme="majorHAnsi"/>
          <w:sz w:val="20"/>
          <w:szCs w:val="20"/>
        </w:rPr>
        <w:t>грошових</w:t>
      </w:r>
      <w:r w:rsidRPr="000977F7">
        <w:rPr>
          <w:rFonts w:asciiTheme="majorHAnsi" w:hAnsiTheme="majorHAnsi"/>
          <w:spacing w:val="6"/>
          <w:sz w:val="20"/>
          <w:szCs w:val="20"/>
        </w:rPr>
        <w:t xml:space="preserve"> </w:t>
      </w:r>
      <w:r w:rsidRPr="000977F7">
        <w:rPr>
          <w:rFonts w:asciiTheme="majorHAnsi" w:hAnsiTheme="majorHAnsi"/>
          <w:sz w:val="20"/>
          <w:szCs w:val="20"/>
        </w:rPr>
        <w:t>надходжень або захист інтересів вітчизняних організацій</w:t>
      </w:r>
    </w:p>
    <w:p w14:paraId="26AA7C9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57AB58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МИТНИЦЯ</w:t>
      </w:r>
      <w:r w:rsidRPr="000977F7">
        <w:rPr>
          <w:color w:val="auto"/>
          <w:spacing w:val="-2"/>
          <w:sz w:val="20"/>
          <w:szCs w:val="20"/>
        </w:rPr>
        <w:t xml:space="preserve"> </w:t>
      </w:r>
      <w:r w:rsidRPr="000977F7">
        <w:rPr>
          <w:color w:val="auto"/>
          <w:sz w:val="20"/>
          <w:szCs w:val="20"/>
        </w:rPr>
        <w:t>–</w:t>
      </w:r>
    </w:p>
    <w:p w14:paraId="7F92BB8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Державна</w:t>
      </w:r>
      <w:r w:rsidRPr="000977F7">
        <w:rPr>
          <w:rFonts w:asciiTheme="majorHAnsi" w:hAnsiTheme="majorHAnsi"/>
          <w:spacing w:val="1"/>
          <w:sz w:val="20"/>
          <w:szCs w:val="20"/>
        </w:rPr>
        <w:t xml:space="preserve"> </w:t>
      </w:r>
      <w:r w:rsidRPr="000977F7">
        <w:rPr>
          <w:rFonts w:asciiTheme="majorHAnsi" w:hAnsiTheme="majorHAnsi"/>
          <w:sz w:val="20"/>
          <w:szCs w:val="20"/>
        </w:rPr>
        <w:t>установа,</w:t>
      </w:r>
      <w:r w:rsidRPr="000977F7">
        <w:rPr>
          <w:rFonts w:asciiTheme="majorHAnsi" w:hAnsiTheme="majorHAnsi"/>
          <w:spacing w:val="1"/>
          <w:sz w:val="20"/>
          <w:szCs w:val="20"/>
        </w:rPr>
        <w:t xml:space="preserve"> </w:t>
      </w:r>
      <w:r w:rsidRPr="000977F7">
        <w:rPr>
          <w:rFonts w:asciiTheme="majorHAnsi" w:hAnsiTheme="majorHAnsi"/>
          <w:sz w:val="20"/>
          <w:szCs w:val="20"/>
        </w:rPr>
        <w:t>через</w:t>
      </w:r>
      <w:r w:rsidRPr="000977F7">
        <w:rPr>
          <w:rFonts w:asciiTheme="majorHAnsi" w:hAnsiTheme="majorHAnsi"/>
          <w:spacing w:val="1"/>
          <w:sz w:val="20"/>
          <w:szCs w:val="20"/>
        </w:rPr>
        <w:t xml:space="preserve"> </w:t>
      </w:r>
      <w:r w:rsidRPr="000977F7">
        <w:rPr>
          <w:rFonts w:asciiTheme="majorHAnsi" w:hAnsiTheme="majorHAnsi"/>
          <w:sz w:val="20"/>
          <w:szCs w:val="20"/>
        </w:rPr>
        <w:t>яку</w:t>
      </w:r>
      <w:r w:rsidRPr="000977F7">
        <w:rPr>
          <w:rFonts w:asciiTheme="majorHAnsi" w:hAnsiTheme="majorHAnsi"/>
          <w:spacing w:val="1"/>
          <w:sz w:val="20"/>
          <w:szCs w:val="20"/>
        </w:rPr>
        <w:t xml:space="preserve"> </w:t>
      </w:r>
      <w:r w:rsidRPr="000977F7">
        <w:rPr>
          <w:rFonts w:asciiTheme="majorHAnsi" w:hAnsiTheme="majorHAnsi"/>
          <w:sz w:val="20"/>
          <w:szCs w:val="20"/>
        </w:rPr>
        <w:t>повинні</w:t>
      </w:r>
      <w:r w:rsidRPr="000977F7">
        <w:rPr>
          <w:rFonts w:asciiTheme="majorHAnsi" w:hAnsiTheme="majorHAnsi"/>
          <w:spacing w:val="1"/>
          <w:sz w:val="20"/>
          <w:szCs w:val="20"/>
        </w:rPr>
        <w:t xml:space="preserve"> </w:t>
      </w:r>
      <w:r w:rsidRPr="000977F7">
        <w:rPr>
          <w:rFonts w:asciiTheme="majorHAnsi" w:hAnsiTheme="majorHAnsi"/>
          <w:sz w:val="20"/>
          <w:szCs w:val="20"/>
        </w:rPr>
        <w:t>ввозитися</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країну та вивозитися з країни усі імпортовані та експортовані товари, у тому числі багаж, поштові відправлення та інші вантажі, з метою їх митного контролю</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стягнення</w:t>
      </w:r>
      <w:r w:rsidRPr="000977F7">
        <w:rPr>
          <w:rFonts w:asciiTheme="majorHAnsi" w:hAnsiTheme="majorHAnsi"/>
          <w:spacing w:val="-2"/>
          <w:sz w:val="20"/>
          <w:szCs w:val="20"/>
        </w:rPr>
        <w:t xml:space="preserve"> </w:t>
      </w:r>
      <w:r w:rsidRPr="000977F7">
        <w:rPr>
          <w:rFonts w:asciiTheme="majorHAnsi" w:hAnsiTheme="majorHAnsi"/>
          <w:sz w:val="20"/>
          <w:szCs w:val="20"/>
        </w:rPr>
        <w:t>встановлених</w:t>
      </w:r>
      <w:r w:rsidRPr="000977F7">
        <w:rPr>
          <w:rFonts w:asciiTheme="majorHAnsi" w:hAnsiTheme="majorHAnsi"/>
          <w:spacing w:val="1"/>
          <w:sz w:val="20"/>
          <w:szCs w:val="20"/>
        </w:rPr>
        <w:t xml:space="preserve"> </w:t>
      </w:r>
      <w:r w:rsidRPr="000977F7">
        <w:rPr>
          <w:rFonts w:asciiTheme="majorHAnsi" w:hAnsiTheme="majorHAnsi"/>
          <w:sz w:val="20"/>
          <w:szCs w:val="20"/>
        </w:rPr>
        <w:t>мита</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зборів</w:t>
      </w:r>
    </w:p>
    <w:p w14:paraId="3B303E5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3293 95</w:t>
      </w:r>
    </w:p>
    <w:p w14:paraId="44D59BC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МИТНІ</w:t>
      </w:r>
      <w:r w:rsidRPr="000977F7">
        <w:rPr>
          <w:color w:val="auto"/>
          <w:spacing w:val="-4"/>
          <w:sz w:val="20"/>
          <w:szCs w:val="20"/>
        </w:rPr>
        <w:t xml:space="preserve"> </w:t>
      </w:r>
      <w:r w:rsidRPr="000977F7">
        <w:rPr>
          <w:color w:val="auto"/>
          <w:sz w:val="20"/>
          <w:szCs w:val="20"/>
        </w:rPr>
        <w:t>ОРГАНИ-</w:t>
      </w:r>
    </w:p>
    <w:p w14:paraId="51C4FB6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Спеціально уповноважені органи виконавчої влади в</w:t>
      </w:r>
      <w:r w:rsidRPr="000977F7">
        <w:rPr>
          <w:rFonts w:asciiTheme="majorHAnsi" w:hAnsiTheme="majorHAnsi"/>
          <w:spacing w:val="1"/>
          <w:sz w:val="20"/>
          <w:szCs w:val="20"/>
        </w:rPr>
        <w:t xml:space="preserve"> </w:t>
      </w:r>
      <w:r w:rsidRPr="000977F7">
        <w:rPr>
          <w:rFonts w:asciiTheme="majorHAnsi" w:hAnsiTheme="majorHAnsi"/>
          <w:sz w:val="20"/>
          <w:szCs w:val="20"/>
        </w:rPr>
        <w:t>галузі митної справи, на які відповідно до цього Кодексу та інших законів України покладено безпосереднє</w:t>
      </w:r>
      <w:r w:rsidRPr="000977F7">
        <w:rPr>
          <w:rFonts w:asciiTheme="majorHAnsi" w:hAnsiTheme="majorHAnsi"/>
          <w:spacing w:val="-1"/>
          <w:sz w:val="20"/>
          <w:szCs w:val="20"/>
        </w:rPr>
        <w:t xml:space="preserve"> </w:t>
      </w:r>
      <w:r w:rsidRPr="000977F7">
        <w:rPr>
          <w:rFonts w:asciiTheme="majorHAnsi" w:hAnsiTheme="majorHAnsi"/>
          <w:sz w:val="20"/>
          <w:szCs w:val="20"/>
        </w:rPr>
        <w:t>здійснення</w:t>
      </w:r>
      <w:r w:rsidRPr="000977F7">
        <w:rPr>
          <w:rFonts w:asciiTheme="majorHAnsi" w:hAnsiTheme="majorHAnsi"/>
          <w:spacing w:val="-1"/>
          <w:sz w:val="20"/>
          <w:szCs w:val="20"/>
        </w:rPr>
        <w:t xml:space="preserve"> </w:t>
      </w:r>
      <w:r w:rsidRPr="000977F7">
        <w:rPr>
          <w:rFonts w:asciiTheme="majorHAnsi" w:hAnsiTheme="majorHAnsi"/>
          <w:sz w:val="20"/>
          <w:szCs w:val="20"/>
        </w:rPr>
        <w:t>митної</w:t>
      </w:r>
      <w:r w:rsidRPr="000977F7">
        <w:rPr>
          <w:rFonts w:asciiTheme="majorHAnsi" w:hAnsiTheme="majorHAnsi"/>
          <w:spacing w:val="-1"/>
          <w:sz w:val="20"/>
          <w:szCs w:val="20"/>
        </w:rPr>
        <w:t xml:space="preserve"> </w:t>
      </w:r>
      <w:r w:rsidRPr="000977F7">
        <w:rPr>
          <w:rFonts w:asciiTheme="majorHAnsi" w:hAnsiTheme="majorHAnsi"/>
          <w:sz w:val="20"/>
          <w:szCs w:val="20"/>
        </w:rPr>
        <w:t>справи</w:t>
      </w:r>
    </w:p>
    <w:p w14:paraId="0CED726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w:t>
      </w:r>
      <w:r w:rsidRPr="000977F7">
        <w:rPr>
          <w:rFonts w:asciiTheme="majorHAnsi" w:hAnsiTheme="majorHAnsi"/>
          <w:i/>
          <w:spacing w:val="-2"/>
          <w:sz w:val="20"/>
          <w:szCs w:val="20"/>
        </w:rPr>
        <w:t xml:space="preserve"> </w:t>
      </w:r>
      <w:r w:rsidRPr="000977F7">
        <w:rPr>
          <w:rFonts w:asciiTheme="majorHAnsi" w:hAnsiTheme="majorHAnsi"/>
          <w:i/>
          <w:sz w:val="20"/>
          <w:szCs w:val="20"/>
        </w:rPr>
        <w:t>кодекс</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p>
    <w:p w14:paraId="0C4B17B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МИТНІ</w:t>
      </w:r>
      <w:r w:rsidRPr="000977F7">
        <w:rPr>
          <w:color w:val="auto"/>
          <w:spacing w:val="-4"/>
          <w:sz w:val="20"/>
          <w:szCs w:val="20"/>
        </w:rPr>
        <w:t xml:space="preserve"> </w:t>
      </w:r>
      <w:r w:rsidRPr="000977F7">
        <w:rPr>
          <w:color w:val="auto"/>
          <w:sz w:val="20"/>
          <w:szCs w:val="20"/>
        </w:rPr>
        <w:t>ПРАВИЛА-</w:t>
      </w:r>
    </w:p>
    <w:p w14:paraId="37DA6F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Встановлений законодавством України порядок переміщення товарів і транспортних засобів через митний</w:t>
      </w:r>
      <w:r w:rsidRPr="000977F7">
        <w:rPr>
          <w:rFonts w:asciiTheme="majorHAnsi" w:hAnsiTheme="majorHAnsi"/>
          <w:spacing w:val="1"/>
          <w:sz w:val="20"/>
          <w:szCs w:val="20"/>
        </w:rPr>
        <w:t xml:space="preserve"> </w:t>
      </w:r>
      <w:r w:rsidRPr="000977F7">
        <w:rPr>
          <w:rFonts w:asciiTheme="majorHAnsi" w:hAnsiTheme="majorHAnsi"/>
          <w:sz w:val="20"/>
          <w:szCs w:val="20"/>
        </w:rPr>
        <w:t>кордон</w:t>
      </w:r>
      <w:r w:rsidRPr="000977F7">
        <w:rPr>
          <w:rFonts w:asciiTheme="majorHAnsi" w:hAnsiTheme="majorHAnsi"/>
          <w:spacing w:val="-2"/>
          <w:sz w:val="20"/>
          <w:szCs w:val="20"/>
        </w:rPr>
        <w:t xml:space="preserve"> </w:t>
      </w:r>
      <w:r w:rsidRPr="000977F7">
        <w:rPr>
          <w:rFonts w:asciiTheme="majorHAnsi" w:hAnsiTheme="majorHAnsi"/>
          <w:sz w:val="20"/>
          <w:szCs w:val="20"/>
        </w:rPr>
        <w:t>України</w:t>
      </w:r>
    </w:p>
    <w:p w14:paraId="51E9B51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w:t>
      </w:r>
      <w:r w:rsidRPr="000977F7">
        <w:rPr>
          <w:rFonts w:asciiTheme="majorHAnsi" w:hAnsiTheme="majorHAnsi"/>
          <w:i/>
          <w:spacing w:val="-3"/>
          <w:sz w:val="20"/>
          <w:szCs w:val="20"/>
        </w:rPr>
        <w:t xml:space="preserve"> </w:t>
      </w:r>
      <w:r w:rsidRPr="000977F7">
        <w:rPr>
          <w:rFonts w:asciiTheme="majorHAnsi" w:hAnsiTheme="majorHAnsi"/>
          <w:i/>
          <w:sz w:val="20"/>
          <w:szCs w:val="20"/>
        </w:rPr>
        <w:t>кодекс</w:t>
      </w:r>
      <w:r w:rsidRPr="000977F7">
        <w:rPr>
          <w:rFonts w:asciiTheme="majorHAnsi" w:hAnsiTheme="majorHAnsi"/>
          <w:i/>
          <w:spacing w:val="-4"/>
          <w:sz w:val="20"/>
          <w:szCs w:val="20"/>
        </w:rPr>
        <w:t xml:space="preserve"> </w:t>
      </w:r>
      <w:r w:rsidRPr="000977F7">
        <w:rPr>
          <w:rFonts w:asciiTheme="majorHAnsi" w:hAnsiTheme="majorHAnsi"/>
          <w:i/>
          <w:sz w:val="20"/>
          <w:szCs w:val="20"/>
        </w:rPr>
        <w:t>України.</w:t>
      </w:r>
    </w:p>
    <w:p w14:paraId="0DD46BCD"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МИТНІ</w:t>
      </w:r>
      <w:r w:rsidRPr="000977F7">
        <w:rPr>
          <w:color w:val="auto"/>
          <w:spacing w:val="-9"/>
          <w:sz w:val="20"/>
          <w:szCs w:val="20"/>
        </w:rPr>
        <w:t xml:space="preserve"> </w:t>
      </w:r>
      <w:r w:rsidRPr="000977F7">
        <w:rPr>
          <w:color w:val="auto"/>
          <w:sz w:val="20"/>
          <w:szCs w:val="20"/>
        </w:rPr>
        <w:t>ПРОЦЕДУРИ</w:t>
      </w:r>
      <w:r w:rsidRPr="000977F7">
        <w:rPr>
          <w:b w:val="0"/>
          <w:color w:val="auto"/>
          <w:sz w:val="20"/>
          <w:szCs w:val="20"/>
        </w:rPr>
        <w:t>-</w:t>
      </w:r>
    </w:p>
    <w:p w14:paraId="29385F6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Операції, пов’язані із здійсненням митного контролю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 переміщенням товарів і транспортних засобів через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митний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кордон</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України,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митного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оформлення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цих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товарів і транспортних засобів, а також із справлянням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передбачених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законом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податків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зборів</w:t>
      </w:r>
    </w:p>
    <w:p w14:paraId="72B0DAA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w:t>
      </w:r>
      <w:r w:rsidRPr="000977F7">
        <w:rPr>
          <w:rFonts w:asciiTheme="majorHAnsi" w:hAnsiTheme="majorHAnsi"/>
          <w:i/>
          <w:spacing w:val="-2"/>
          <w:sz w:val="20"/>
          <w:szCs w:val="20"/>
        </w:rPr>
        <w:t xml:space="preserve"> </w:t>
      </w:r>
      <w:r w:rsidRPr="000977F7">
        <w:rPr>
          <w:rFonts w:asciiTheme="majorHAnsi" w:hAnsiTheme="majorHAnsi"/>
          <w:i/>
          <w:sz w:val="20"/>
          <w:szCs w:val="20"/>
        </w:rPr>
        <w:t>кодекс</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p>
    <w:p w14:paraId="05C0B8D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МИТО</w:t>
      </w:r>
      <w:r w:rsidRPr="000977F7">
        <w:rPr>
          <w:color w:val="auto"/>
          <w:spacing w:val="-1"/>
          <w:sz w:val="20"/>
          <w:szCs w:val="20"/>
        </w:rPr>
        <w:t xml:space="preserve"> </w:t>
      </w:r>
      <w:r w:rsidRPr="000977F7">
        <w:rPr>
          <w:color w:val="auto"/>
          <w:sz w:val="20"/>
          <w:szCs w:val="20"/>
        </w:rPr>
        <w:t>–</w:t>
      </w:r>
    </w:p>
    <w:p w14:paraId="4D7F11D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Грошовий збір, що стягується державою через мережу</w:t>
      </w:r>
      <w:r w:rsidRPr="000977F7">
        <w:rPr>
          <w:rFonts w:asciiTheme="majorHAnsi" w:hAnsiTheme="majorHAnsi"/>
          <w:spacing w:val="-47"/>
          <w:sz w:val="20"/>
          <w:szCs w:val="20"/>
        </w:rPr>
        <w:t xml:space="preserve"> </w:t>
      </w:r>
      <w:r w:rsidRPr="000977F7">
        <w:rPr>
          <w:rFonts w:asciiTheme="majorHAnsi" w:hAnsiTheme="majorHAnsi"/>
          <w:sz w:val="20"/>
          <w:szCs w:val="20"/>
        </w:rPr>
        <w:t>митних установ з товарів, майна та цінностей під час</w:t>
      </w:r>
      <w:r w:rsidRPr="000977F7">
        <w:rPr>
          <w:rFonts w:asciiTheme="majorHAnsi" w:hAnsiTheme="majorHAnsi"/>
          <w:spacing w:val="1"/>
          <w:sz w:val="20"/>
          <w:szCs w:val="20"/>
        </w:rPr>
        <w:t xml:space="preserve"> </w:t>
      </w:r>
      <w:r w:rsidRPr="000977F7">
        <w:rPr>
          <w:rFonts w:asciiTheme="majorHAnsi" w:hAnsiTheme="majorHAnsi"/>
          <w:sz w:val="20"/>
          <w:szCs w:val="20"/>
        </w:rPr>
        <w:t>перетинання</w:t>
      </w:r>
      <w:r w:rsidRPr="000977F7">
        <w:rPr>
          <w:rFonts w:asciiTheme="majorHAnsi" w:hAnsiTheme="majorHAnsi"/>
          <w:spacing w:val="1"/>
          <w:sz w:val="20"/>
          <w:szCs w:val="20"/>
        </w:rPr>
        <w:t xml:space="preserve"> </w:t>
      </w:r>
      <w:r w:rsidRPr="000977F7">
        <w:rPr>
          <w:rFonts w:asciiTheme="majorHAnsi" w:hAnsiTheme="majorHAnsi"/>
          <w:sz w:val="20"/>
          <w:szCs w:val="20"/>
        </w:rPr>
        <w:t>ними</w:t>
      </w:r>
      <w:r w:rsidRPr="000977F7">
        <w:rPr>
          <w:rFonts w:asciiTheme="majorHAnsi" w:hAnsiTheme="majorHAnsi"/>
          <w:spacing w:val="-1"/>
          <w:sz w:val="20"/>
          <w:szCs w:val="20"/>
        </w:rPr>
        <w:t xml:space="preserve"> </w:t>
      </w:r>
      <w:r w:rsidRPr="000977F7">
        <w:rPr>
          <w:rFonts w:asciiTheme="majorHAnsi" w:hAnsiTheme="majorHAnsi"/>
          <w:sz w:val="20"/>
          <w:szCs w:val="20"/>
        </w:rPr>
        <w:t>кордону</w:t>
      </w:r>
      <w:r w:rsidRPr="000977F7">
        <w:rPr>
          <w:rFonts w:asciiTheme="majorHAnsi" w:hAnsiTheme="majorHAnsi"/>
          <w:spacing w:val="1"/>
          <w:sz w:val="20"/>
          <w:szCs w:val="20"/>
        </w:rPr>
        <w:t xml:space="preserve"> </w:t>
      </w:r>
      <w:r w:rsidRPr="000977F7">
        <w:rPr>
          <w:rFonts w:asciiTheme="majorHAnsi" w:hAnsiTheme="majorHAnsi"/>
          <w:sz w:val="20"/>
          <w:szCs w:val="20"/>
        </w:rPr>
        <w:t>країн</w:t>
      </w:r>
    </w:p>
    <w:p w14:paraId="1EDCAF9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w:t>
      </w:r>
      <w:r w:rsidRPr="000977F7">
        <w:rPr>
          <w:rFonts w:asciiTheme="majorHAnsi" w:hAnsiTheme="majorHAnsi"/>
          <w:i/>
          <w:spacing w:val="2"/>
          <w:sz w:val="20"/>
          <w:szCs w:val="20"/>
        </w:rPr>
        <w:t xml:space="preserve"> – </w:t>
      </w:r>
      <w:r w:rsidRPr="000977F7">
        <w:rPr>
          <w:rFonts w:asciiTheme="majorHAnsi" w:hAnsiTheme="majorHAnsi"/>
          <w:i/>
          <w:sz w:val="20"/>
          <w:szCs w:val="20"/>
        </w:rPr>
        <w:t>95</w:t>
      </w:r>
    </w:p>
    <w:p w14:paraId="1347F93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МИТТЄВА</w:t>
      </w:r>
      <w:r w:rsidRPr="000977F7">
        <w:rPr>
          <w:rFonts w:asciiTheme="majorHAnsi" w:hAnsiTheme="majorHAnsi"/>
          <w:b/>
          <w:spacing w:val="-6"/>
          <w:sz w:val="20"/>
          <w:szCs w:val="20"/>
        </w:rPr>
        <w:t xml:space="preserve"> </w:t>
      </w:r>
      <w:r w:rsidRPr="000977F7">
        <w:rPr>
          <w:rFonts w:asciiTheme="majorHAnsi" w:hAnsiTheme="majorHAnsi"/>
          <w:b/>
          <w:sz w:val="20"/>
          <w:szCs w:val="20"/>
        </w:rPr>
        <w:t>ВИБІРКА</w:t>
      </w:r>
      <w:r w:rsidRPr="000977F7">
        <w:rPr>
          <w:rFonts w:asciiTheme="majorHAnsi" w:hAnsiTheme="majorHAnsi"/>
          <w:b/>
          <w:spacing w:val="-4"/>
          <w:sz w:val="20"/>
          <w:szCs w:val="20"/>
        </w:rPr>
        <w:t xml:space="preserve"> </w:t>
      </w:r>
      <w:r w:rsidRPr="000977F7">
        <w:rPr>
          <w:rFonts w:asciiTheme="majorHAnsi" w:hAnsiTheme="majorHAnsi"/>
          <w:sz w:val="20"/>
          <w:szCs w:val="20"/>
        </w:rPr>
        <w:t>–</w:t>
      </w:r>
    </w:p>
    <w:p w14:paraId="4B30548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pacing w:val="-47"/>
          <w:sz w:val="20"/>
          <w:szCs w:val="20"/>
        </w:rPr>
        <w:t xml:space="preserve"> </w:t>
      </w:r>
      <w:r w:rsidRPr="000977F7">
        <w:rPr>
          <w:rFonts w:asciiTheme="majorHAnsi" w:hAnsiTheme="majorHAnsi"/>
          <w:sz w:val="20"/>
          <w:szCs w:val="20"/>
        </w:rPr>
        <w:t>INGREMENT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1828671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Вибірка</w:t>
      </w:r>
      <w:r w:rsidRPr="000977F7">
        <w:rPr>
          <w:rFonts w:asciiTheme="majorHAnsi" w:hAnsiTheme="majorHAnsi"/>
          <w:spacing w:val="44"/>
          <w:sz w:val="20"/>
          <w:szCs w:val="20"/>
        </w:rPr>
        <w:t xml:space="preserve"> </w:t>
      </w:r>
      <w:r w:rsidRPr="000977F7">
        <w:rPr>
          <w:rFonts w:asciiTheme="majorHAnsi" w:hAnsiTheme="majorHAnsi"/>
          <w:sz w:val="20"/>
          <w:szCs w:val="20"/>
        </w:rPr>
        <w:t>з</w:t>
      </w:r>
      <w:r w:rsidRPr="000977F7">
        <w:rPr>
          <w:rFonts w:asciiTheme="majorHAnsi" w:hAnsiTheme="majorHAnsi"/>
          <w:spacing w:val="45"/>
          <w:sz w:val="20"/>
          <w:szCs w:val="20"/>
        </w:rPr>
        <w:t xml:space="preserve"> </w:t>
      </w:r>
      <w:r w:rsidRPr="000977F7">
        <w:rPr>
          <w:rFonts w:asciiTheme="majorHAnsi" w:hAnsiTheme="majorHAnsi"/>
          <w:sz w:val="20"/>
          <w:szCs w:val="20"/>
        </w:rPr>
        <w:t>потоку</w:t>
      </w:r>
      <w:r w:rsidRPr="000977F7">
        <w:rPr>
          <w:rFonts w:asciiTheme="majorHAnsi" w:hAnsiTheme="majorHAnsi"/>
          <w:spacing w:val="44"/>
          <w:sz w:val="20"/>
          <w:szCs w:val="20"/>
        </w:rPr>
        <w:t xml:space="preserve"> </w:t>
      </w:r>
      <w:r w:rsidRPr="000977F7">
        <w:rPr>
          <w:rFonts w:asciiTheme="majorHAnsi" w:hAnsiTheme="majorHAnsi"/>
          <w:sz w:val="20"/>
          <w:szCs w:val="20"/>
        </w:rPr>
        <w:t>продукції,</w:t>
      </w:r>
      <w:r w:rsidRPr="000977F7">
        <w:rPr>
          <w:rFonts w:asciiTheme="majorHAnsi" w:hAnsiTheme="majorHAnsi"/>
          <w:spacing w:val="44"/>
          <w:sz w:val="20"/>
          <w:szCs w:val="20"/>
        </w:rPr>
        <w:t xml:space="preserve"> </w:t>
      </w:r>
      <w:r w:rsidRPr="000977F7">
        <w:rPr>
          <w:rFonts w:asciiTheme="majorHAnsi" w:hAnsiTheme="majorHAnsi"/>
          <w:sz w:val="20"/>
          <w:szCs w:val="20"/>
        </w:rPr>
        <w:t>яку</w:t>
      </w:r>
      <w:r w:rsidRPr="000977F7">
        <w:rPr>
          <w:rFonts w:asciiTheme="majorHAnsi" w:hAnsiTheme="majorHAnsi"/>
          <w:spacing w:val="41"/>
          <w:sz w:val="20"/>
          <w:szCs w:val="20"/>
        </w:rPr>
        <w:t xml:space="preserve"> </w:t>
      </w:r>
      <w:r w:rsidRPr="000977F7">
        <w:rPr>
          <w:rFonts w:asciiTheme="majorHAnsi" w:hAnsiTheme="majorHAnsi"/>
          <w:sz w:val="20"/>
          <w:szCs w:val="20"/>
        </w:rPr>
        <w:t>складають</w:t>
      </w:r>
      <w:r w:rsidRPr="000977F7">
        <w:rPr>
          <w:rFonts w:asciiTheme="majorHAnsi" w:hAnsiTheme="majorHAnsi"/>
          <w:spacing w:val="45"/>
          <w:sz w:val="20"/>
          <w:szCs w:val="20"/>
        </w:rPr>
        <w:t xml:space="preserve"> </w:t>
      </w:r>
      <w:r w:rsidRPr="000977F7">
        <w:rPr>
          <w:rFonts w:asciiTheme="majorHAnsi" w:hAnsiTheme="majorHAnsi"/>
          <w:sz w:val="20"/>
          <w:szCs w:val="20"/>
        </w:rPr>
        <w:t>одиниці</w:t>
      </w:r>
      <w:r w:rsidRPr="000977F7">
        <w:rPr>
          <w:rFonts w:asciiTheme="majorHAnsi" w:hAnsiTheme="majorHAnsi"/>
          <w:spacing w:val="-47"/>
          <w:sz w:val="20"/>
          <w:szCs w:val="20"/>
        </w:rPr>
        <w:t xml:space="preserve"> </w:t>
      </w:r>
      <w:r w:rsidRPr="000977F7">
        <w:rPr>
          <w:rFonts w:asciiTheme="majorHAnsi" w:hAnsiTheme="majorHAnsi"/>
          <w:sz w:val="20"/>
          <w:szCs w:val="20"/>
        </w:rPr>
        <w:t>продукції,</w:t>
      </w:r>
      <w:r w:rsidRPr="000977F7">
        <w:rPr>
          <w:rFonts w:asciiTheme="majorHAnsi" w:hAnsiTheme="majorHAnsi"/>
          <w:spacing w:val="40"/>
          <w:sz w:val="20"/>
          <w:szCs w:val="20"/>
        </w:rPr>
        <w:t xml:space="preserve"> </w:t>
      </w:r>
      <w:r w:rsidRPr="000977F7">
        <w:rPr>
          <w:rFonts w:asciiTheme="majorHAnsi" w:hAnsiTheme="majorHAnsi"/>
          <w:sz w:val="20"/>
          <w:szCs w:val="20"/>
        </w:rPr>
        <w:t>виготовлені</w:t>
      </w:r>
      <w:r w:rsidRPr="000977F7">
        <w:rPr>
          <w:rFonts w:asciiTheme="majorHAnsi" w:hAnsiTheme="majorHAnsi"/>
          <w:spacing w:val="39"/>
          <w:sz w:val="20"/>
          <w:szCs w:val="20"/>
        </w:rPr>
        <w:t xml:space="preserve"> </w:t>
      </w:r>
      <w:r w:rsidRPr="000977F7">
        <w:rPr>
          <w:rFonts w:asciiTheme="majorHAnsi" w:hAnsiTheme="majorHAnsi"/>
          <w:sz w:val="20"/>
          <w:szCs w:val="20"/>
        </w:rPr>
        <w:t>останніми</w:t>
      </w:r>
      <w:r w:rsidRPr="000977F7">
        <w:rPr>
          <w:rFonts w:asciiTheme="majorHAnsi" w:hAnsiTheme="majorHAnsi"/>
          <w:spacing w:val="38"/>
          <w:sz w:val="20"/>
          <w:szCs w:val="20"/>
        </w:rPr>
        <w:t xml:space="preserve"> </w:t>
      </w:r>
      <w:r w:rsidRPr="000977F7">
        <w:rPr>
          <w:rFonts w:asciiTheme="majorHAnsi" w:hAnsiTheme="majorHAnsi"/>
          <w:sz w:val="20"/>
          <w:szCs w:val="20"/>
        </w:rPr>
        <w:t>перед</w:t>
      </w:r>
      <w:r w:rsidRPr="000977F7">
        <w:rPr>
          <w:rFonts w:asciiTheme="majorHAnsi" w:hAnsiTheme="majorHAnsi"/>
          <w:spacing w:val="39"/>
          <w:sz w:val="20"/>
          <w:szCs w:val="20"/>
        </w:rPr>
        <w:t xml:space="preserve"> </w:t>
      </w:r>
      <w:r w:rsidRPr="000977F7">
        <w:rPr>
          <w:rFonts w:asciiTheme="majorHAnsi" w:hAnsiTheme="majorHAnsi"/>
          <w:sz w:val="20"/>
          <w:szCs w:val="20"/>
        </w:rPr>
        <w:t>моментом</w:t>
      </w:r>
      <w:r w:rsidRPr="000977F7">
        <w:rPr>
          <w:rFonts w:asciiTheme="majorHAnsi" w:hAnsiTheme="majorHAnsi"/>
          <w:spacing w:val="-47"/>
          <w:sz w:val="20"/>
          <w:szCs w:val="20"/>
        </w:rPr>
        <w:t xml:space="preserve"> </w:t>
      </w:r>
      <w:r w:rsidRPr="000977F7">
        <w:rPr>
          <w:rFonts w:asciiTheme="majorHAnsi" w:hAnsiTheme="majorHAnsi"/>
          <w:sz w:val="20"/>
          <w:szCs w:val="20"/>
        </w:rPr>
        <w:t>відбору протягом досить короткого проміжку часу</w:t>
      </w:r>
    </w:p>
    <w:p w14:paraId="610783DE"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3514 -</w:t>
      </w:r>
      <w:r w:rsidRPr="000977F7">
        <w:rPr>
          <w:rFonts w:asciiTheme="majorHAnsi" w:hAnsiTheme="majorHAnsi"/>
          <w:i/>
          <w:spacing w:val="2"/>
          <w:sz w:val="20"/>
          <w:szCs w:val="20"/>
        </w:rPr>
        <w:t xml:space="preserve"> </w:t>
      </w:r>
      <w:r w:rsidRPr="000977F7">
        <w:rPr>
          <w:rFonts w:asciiTheme="majorHAnsi" w:hAnsiTheme="majorHAnsi"/>
          <w:i/>
          <w:sz w:val="20"/>
          <w:szCs w:val="20"/>
        </w:rPr>
        <w:t>97</w:t>
      </w:r>
    </w:p>
    <w:p w14:paraId="785AC36C" w14:textId="77777777" w:rsidR="0097612F" w:rsidRPr="000977F7" w:rsidRDefault="0097612F" w:rsidP="000977F7">
      <w:pPr>
        <w:pStyle w:val="7"/>
        <w:tabs>
          <w:tab w:val="left" w:pos="284"/>
        </w:tabs>
        <w:spacing w:before="0" w:line="240" w:lineRule="auto"/>
        <w:ind w:left="170"/>
        <w:mirrorIndents/>
        <w:jc w:val="both"/>
        <w:rPr>
          <w:color w:val="auto"/>
          <w:spacing w:val="-4"/>
          <w:sz w:val="20"/>
          <w:szCs w:val="20"/>
        </w:rPr>
      </w:pPr>
      <w:r w:rsidRPr="000977F7">
        <w:rPr>
          <w:color w:val="auto"/>
          <w:sz w:val="20"/>
          <w:szCs w:val="20"/>
        </w:rPr>
        <w:t>МИТТЄВЕ</w:t>
      </w:r>
      <w:r w:rsidRPr="000977F7">
        <w:rPr>
          <w:color w:val="auto"/>
          <w:spacing w:val="-6"/>
          <w:sz w:val="20"/>
          <w:szCs w:val="20"/>
        </w:rPr>
        <w:t xml:space="preserve"> </w:t>
      </w:r>
      <w:r w:rsidRPr="000977F7">
        <w:rPr>
          <w:color w:val="auto"/>
          <w:sz w:val="20"/>
          <w:szCs w:val="20"/>
        </w:rPr>
        <w:t>ЗНАЧЕННЯ</w:t>
      </w:r>
      <w:r w:rsidRPr="000977F7">
        <w:rPr>
          <w:color w:val="auto"/>
          <w:spacing w:val="42"/>
          <w:sz w:val="20"/>
          <w:szCs w:val="20"/>
        </w:rPr>
        <w:t xml:space="preserve"> </w:t>
      </w:r>
      <w:r w:rsidRPr="000977F7">
        <w:rPr>
          <w:color w:val="auto"/>
          <w:sz w:val="20"/>
          <w:szCs w:val="20"/>
        </w:rPr>
        <w:t>ПАРАМЕТРА</w:t>
      </w:r>
      <w:r w:rsidRPr="000977F7">
        <w:rPr>
          <w:color w:val="auto"/>
          <w:spacing w:val="-4"/>
          <w:sz w:val="20"/>
          <w:szCs w:val="20"/>
        </w:rPr>
        <w:t xml:space="preserve"> </w:t>
      </w:r>
    </w:p>
    <w:p w14:paraId="4D07F60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ЕЛЕКТ</w:t>
      </w:r>
      <w:r w:rsidRPr="000977F7">
        <w:rPr>
          <w:color w:val="auto"/>
          <w:spacing w:val="-47"/>
          <w:sz w:val="20"/>
          <w:szCs w:val="20"/>
        </w:rPr>
        <w:t xml:space="preserve"> </w:t>
      </w:r>
      <w:r w:rsidRPr="000977F7">
        <w:rPr>
          <w:color w:val="auto"/>
          <w:sz w:val="20"/>
          <w:szCs w:val="20"/>
        </w:rPr>
        <w:t>РИЧНОЇ</w:t>
      </w:r>
      <w:r w:rsidRPr="000977F7">
        <w:rPr>
          <w:color w:val="auto"/>
          <w:spacing w:val="-2"/>
          <w:sz w:val="20"/>
          <w:szCs w:val="20"/>
        </w:rPr>
        <w:t xml:space="preserve"> </w:t>
      </w:r>
      <w:r w:rsidRPr="000977F7">
        <w:rPr>
          <w:color w:val="auto"/>
          <w:sz w:val="20"/>
          <w:szCs w:val="20"/>
        </w:rPr>
        <w:t>ЕНЕРГІЇ</w:t>
      </w:r>
      <w:r w:rsidRPr="000977F7">
        <w:rPr>
          <w:color w:val="auto"/>
          <w:spacing w:val="1"/>
          <w:sz w:val="20"/>
          <w:szCs w:val="20"/>
        </w:rPr>
        <w:t xml:space="preserve"> </w:t>
      </w:r>
      <w:r w:rsidRPr="000977F7">
        <w:rPr>
          <w:color w:val="auto"/>
          <w:sz w:val="20"/>
          <w:szCs w:val="20"/>
        </w:rPr>
        <w:t>–</w:t>
      </w:r>
    </w:p>
    <w:p w14:paraId="457644A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r w:rsidRPr="000977F7">
        <w:rPr>
          <w:rFonts w:asciiTheme="majorHAnsi" w:hAnsiTheme="majorHAnsi"/>
          <w:spacing w:val="1"/>
          <w:sz w:val="20"/>
          <w:szCs w:val="20"/>
        </w:rPr>
        <w:t xml:space="preserve"> </w:t>
      </w:r>
      <w:r w:rsidRPr="000977F7">
        <w:rPr>
          <w:rFonts w:asciiTheme="majorHAnsi" w:hAnsiTheme="majorHAnsi"/>
          <w:sz w:val="20"/>
          <w:szCs w:val="20"/>
        </w:rPr>
        <w:t>електричної</w:t>
      </w:r>
      <w:r w:rsidRPr="000977F7">
        <w:rPr>
          <w:rFonts w:asciiTheme="majorHAnsi" w:hAnsiTheme="majorHAnsi"/>
          <w:spacing w:val="1"/>
          <w:sz w:val="20"/>
          <w:szCs w:val="20"/>
        </w:rPr>
        <w:t xml:space="preserve"> </w:t>
      </w:r>
      <w:r w:rsidRPr="000977F7">
        <w:rPr>
          <w:rFonts w:asciiTheme="majorHAnsi" w:hAnsiTheme="majorHAnsi"/>
          <w:sz w:val="20"/>
          <w:szCs w:val="20"/>
        </w:rPr>
        <w:t>енергії</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кожний</w:t>
      </w:r>
      <w:r w:rsidRPr="000977F7">
        <w:rPr>
          <w:rFonts w:asciiTheme="majorHAnsi" w:hAnsiTheme="majorHAnsi"/>
          <w:spacing w:val="1"/>
          <w:sz w:val="20"/>
          <w:szCs w:val="20"/>
        </w:rPr>
        <w:t xml:space="preserve"> </w:t>
      </w:r>
      <w:r w:rsidRPr="000977F7">
        <w:rPr>
          <w:rFonts w:asciiTheme="majorHAnsi" w:hAnsiTheme="majorHAnsi"/>
          <w:sz w:val="20"/>
          <w:szCs w:val="20"/>
        </w:rPr>
        <w:t>момент</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6535B4C1"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3466 - 96</w:t>
      </w:r>
    </w:p>
    <w:p w14:paraId="58643F61"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МІЖВІДОМЧІ</w:t>
      </w:r>
      <w:r w:rsidRPr="004D2D14">
        <w:rPr>
          <w:rFonts w:asciiTheme="majorHAnsi" w:hAnsiTheme="majorHAnsi"/>
          <w:b/>
          <w:sz w:val="20"/>
          <w:szCs w:val="20"/>
          <w:lang w:val="en-US"/>
        </w:rPr>
        <w:t xml:space="preserve"> </w:t>
      </w:r>
      <w:r w:rsidRPr="000977F7">
        <w:rPr>
          <w:rFonts w:asciiTheme="majorHAnsi" w:hAnsiTheme="majorHAnsi"/>
          <w:b/>
          <w:sz w:val="20"/>
          <w:szCs w:val="20"/>
        </w:rPr>
        <w:t>ВИПРОБУВАННЯ</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INTERDEPARTMENTAL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w:t>
      </w:r>
    </w:p>
    <w:p w14:paraId="18E0625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Випробування</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проводяться</w:t>
      </w:r>
      <w:r w:rsidRPr="004D2D14">
        <w:rPr>
          <w:rFonts w:asciiTheme="majorHAnsi" w:hAnsiTheme="majorHAnsi"/>
          <w:sz w:val="20"/>
          <w:szCs w:val="20"/>
          <w:lang w:val="en-US"/>
        </w:rPr>
        <w:t xml:space="preserve"> </w:t>
      </w:r>
      <w:r w:rsidRPr="000977F7">
        <w:rPr>
          <w:rFonts w:asciiTheme="majorHAnsi" w:hAnsiTheme="majorHAnsi"/>
          <w:sz w:val="20"/>
          <w:szCs w:val="20"/>
        </w:rPr>
        <w:t>комісією</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представників</w:t>
      </w:r>
      <w:r w:rsidRPr="004D2D14">
        <w:rPr>
          <w:rFonts w:asciiTheme="majorHAnsi" w:hAnsiTheme="majorHAnsi"/>
          <w:spacing w:val="7"/>
          <w:sz w:val="20"/>
          <w:szCs w:val="20"/>
          <w:lang w:val="en-US"/>
        </w:rPr>
        <w:t xml:space="preserve"> </w:t>
      </w:r>
      <w:r w:rsidRPr="000977F7">
        <w:rPr>
          <w:rFonts w:asciiTheme="majorHAnsi" w:hAnsiTheme="majorHAnsi"/>
          <w:sz w:val="20"/>
          <w:szCs w:val="20"/>
        </w:rPr>
        <w:t>декількох</w:t>
      </w:r>
      <w:r w:rsidRPr="004D2D14">
        <w:rPr>
          <w:rFonts w:asciiTheme="majorHAnsi" w:hAnsiTheme="majorHAnsi"/>
          <w:spacing w:val="7"/>
          <w:sz w:val="20"/>
          <w:szCs w:val="20"/>
          <w:lang w:val="en-US"/>
        </w:rPr>
        <w:t xml:space="preserve"> </w:t>
      </w:r>
      <w:r w:rsidRPr="000977F7">
        <w:rPr>
          <w:rFonts w:asciiTheme="majorHAnsi" w:hAnsiTheme="majorHAnsi"/>
          <w:sz w:val="20"/>
          <w:szCs w:val="20"/>
        </w:rPr>
        <w:t>зацікавлених</w:t>
      </w:r>
      <w:r w:rsidRPr="004D2D14">
        <w:rPr>
          <w:rFonts w:asciiTheme="majorHAnsi" w:hAnsiTheme="majorHAnsi"/>
          <w:spacing w:val="4"/>
          <w:sz w:val="20"/>
          <w:szCs w:val="20"/>
          <w:lang w:val="en-US"/>
        </w:rPr>
        <w:t xml:space="preserve"> </w:t>
      </w:r>
      <w:r w:rsidRPr="000977F7">
        <w:rPr>
          <w:rFonts w:asciiTheme="majorHAnsi" w:hAnsiTheme="majorHAnsi"/>
          <w:sz w:val="20"/>
          <w:szCs w:val="20"/>
        </w:rPr>
        <w:t>міністерств</w:t>
      </w:r>
      <w:r w:rsidRPr="004D2D14">
        <w:rPr>
          <w:rFonts w:asciiTheme="majorHAnsi" w:hAnsiTheme="majorHAnsi"/>
          <w:spacing w:val="5"/>
          <w:sz w:val="20"/>
          <w:szCs w:val="20"/>
          <w:lang w:val="en-US"/>
        </w:rPr>
        <w:t xml:space="preserve"> </w:t>
      </w:r>
      <w:r w:rsidRPr="000977F7">
        <w:rPr>
          <w:rFonts w:asciiTheme="majorHAnsi" w:hAnsiTheme="majorHAnsi"/>
          <w:sz w:val="20"/>
          <w:szCs w:val="20"/>
        </w:rPr>
        <w:t>і</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w:t>
      </w:r>
      <w:r w:rsidRPr="000977F7">
        <w:rPr>
          <w:rFonts w:asciiTheme="majorHAnsi" w:hAnsiTheme="majorHAnsi"/>
          <w:sz w:val="20"/>
          <w:szCs w:val="20"/>
        </w:rPr>
        <w:t>чи</w:t>
      </w:r>
      <w:r w:rsidRPr="004D2D14">
        <w:rPr>
          <w:rFonts w:asciiTheme="majorHAnsi" w:hAnsiTheme="majorHAnsi"/>
          <w:sz w:val="20"/>
          <w:szCs w:val="20"/>
          <w:lang w:val="en-US"/>
        </w:rPr>
        <w:t>)</w:t>
      </w:r>
      <w:r w:rsidRPr="004D2D14">
        <w:rPr>
          <w:rFonts w:asciiTheme="majorHAnsi" w:hAnsiTheme="majorHAnsi"/>
          <w:spacing w:val="9"/>
          <w:sz w:val="20"/>
          <w:szCs w:val="20"/>
          <w:lang w:val="en-US"/>
        </w:rPr>
        <w:t xml:space="preserve"> </w:t>
      </w:r>
      <w:r w:rsidRPr="000977F7">
        <w:rPr>
          <w:rFonts w:asciiTheme="majorHAnsi" w:hAnsiTheme="majorHAnsi"/>
          <w:sz w:val="20"/>
          <w:szCs w:val="20"/>
        </w:rPr>
        <w:t>відомств</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приймальні</w:t>
      </w:r>
      <w:r w:rsidRPr="004D2D14">
        <w:rPr>
          <w:rFonts w:asciiTheme="majorHAnsi" w:hAnsiTheme="majorHAnsi"/>
          <w:sz w:val="20"/>
          <w:szCs w:val="20"/>
          <w:lang w:val="en-US"/>
        </w:rPr>
        <w:t xml:space="preserve"> </w:t>
      </w:r>
      <w:r w:rsidRPr="000977F7">
        <w:rPr>
          <w:rFonts w:asciiTheme="majorHAnsi" w:hAnsiTheme="majorHAnsi"/>
          <w:sz w:val="20"/>
          <w:szCs w:val="20"/>
        </w:rPr>
        <w:t>випробування</w:t>
      </w:r>
      <w:r w:rsidRPr="004D2D14">
        <w:rPr>
          <w:rFonts w:asciiTheme="majorHAnsi" w:hAnsiTheme="majorHAnsi"/>
          <w:sz w:val="20"/>
          <w:szCs w:val="20"/>
          <w:lang w:val="en-US"/>
        </w:rPr>
        <w:t xml:space="preserve"> </w:t>
      </w:r>
      <w:r w:rsidRPr="000977F7">
        <w:rPr>
          <w:rFonts w:asciiTheme="majorHAnsi" w:hAnsiTheme="majorHAnsi"/>
          <w:sz w:val="20"/>
          <w:szCs w:val="20"/>
        </w:rPr>
        <w:t>встановлених</w:t>
      </w:r>
      <w:r w:rsidRPr="004D2D14">
        <w:rPr>
          <w:rFonts w:asciiTheme="majorHAnsi" w:hAnsiTheme="majorHAnsi"/>
          <w:sz w:val="20"/>
          <w:szCs w:val="20"/>
          <w:lang w:val="en-US"/>
        </w:rPr>
        <w:t xml:space="preserve"> </w:t>
      </w:r>
      <w:r w:rsidRPr="000977F7">
        <w:rPr>
          <w:rFonts w:asciiTheme="majorHAnsi" w:hAnsiTheme="majorHAnsi"/>
          <w:sz w:val="20"/>
          <w:szCs w:val="20"/>
        </w:rPr>
        <w:t>видів</w:t>
      </w:r>
      <w:r w:rsidRPr="004D2D14">
        <w:rPr>
          <w:rFonts w:asciiTheme="majorHAnsi" w:hAnsiTheme="majorHAnsi"/>
          <w:spacing w:val="-47"/>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приймання</w:t>
      </w:r>
      <w:r w:rsidRPr="004D2D14">
        <w:rPr>
          <w:rFonts w:asciiTheme="majorHAnsi" w:hAnsiTheme="majorHAnsi"/>
          <w:sz w:val="20"/>
          <w:szCs w:val="20"/>
          <w:lang w:val="en-US"/>
        </w:rPr>
        <w:t xml:space="preserve"> </w:t>
      </w:r>
      <w:r w:rsidRPr="000977F7">
        <w:rPr>
          <w:rFonts w:asciiTheme="majorHAnsi" w:hAnsiTheme="majorHAnsi"/>
          <w:sz w:val="20"/>
          <w:szCs w:val="20"/>
        </w:rPr>
        <w:t>складових</w:t>
      </w:r>
      <w:r w:rsidRPr="004D2D14">
        <w:rPr>
          <w:rFonts w:asciiTheme="majorHAnsi" w:hAnsiTheme="majorHAnsi"/>
          <w:sz w:val="20"/>
          <w:szCs w:val="20"/>
          <w:lang w:val="en-US"/>
        </w:rPr>
        <w:t xml:space="preserve"> </w:t>
      </w:r>
      <w:r w:rsidRPr="000977F7">
        <w:rPr>
          <w:rFonts w:asciiTheme="majorHAnsi" w:hAnsiTheme="majorHAnsi"/>
          <w:sz w:val="20"/>
          <w:szCs w:val="20"/>
        </w:rPr>
        <w:t>частин</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розробленого</w:t>
      </w:r>
      <w:r w:rsidRPr="004D2D14">
        <w:rPr>
          <w:rFonts w:asciiTheme="majorHAnsi" w:hAnsiTheme="majorHAnsi"/>
          <w:sz w:val="20"/>
          <w:szCs w:val="20"/>
          <w:lang w:val="en-US"/>
        </w:rPr>
        <w:t xml:space="preserve"> </w:t>
      </w:r>
      <w:r w:rsidRPr="000977F7">
        <w:rPr>
          <w:rFonts w:asciiTheme="majorHAnsi" w:hAnsiTheme="majorHAnsi"/>
          <w:sz w:val="20"/>
          <w:szCs w:val="20"/>
        </w:rPr>
        <w:t>спільно</w:t>
      </w:r>
      <w:r w:rsidRPr="004D2D14">
        <w:rPr>
          <w:rFonts w:asciiTheme="majorHAnsi" w:hAnsiTheme="majorHAnsi"/>
          <w:spacing w:val="49"/>
          <w:sz w:val="20"/>
          <w:szCs w:val="20"/>
          <w:lang w:val="en-US"/>
        </w:rPr>
        <w:t xml:space="preserve"> </w:t>
      </w:r>
      <w:r w:rsidRPr="000977F7">
        <w:rPr>
          <w:rFonts w:asciiTheme="majorHAnsi" w:hAnsiTheme="majorHAnsi"/>
          <w:sz w:val="20"/>
          <w:szCs w:val="20"/>
        </w:rPr>
        <w:t>кількома</w:t>
      </w:r>
      <w:r w:rsidRPr="004D2D14">
        <w:rPr>
          <w:rFonts w:asciiTheme="majorHAnsi" w:hAnsiTheme="majorHAnsi"/>
          <w:sz w:val="20"/>
          <w:szCs w:val="20"/>
          <w:lang w:val="en-US"/>
        </w:rPr>
        <w:t xml:space="preserve"> </w:t>
      </w:r>
      <w:r w:rsidRPr="000977F7">
        <w:rPr>
          <w:rFonts w:asciiTheme="majorHAnsi" w:hAnsiTheme="majorHAnsi"/>
          <w:sz w:val="20"/>
          <w:szCs w:val="20"/>
        </w:rPr>
        <w:t>відомствами</w:t>
      </w:r>
    </w:p>
    <w:p w14:paraId="7328EE2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0446475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МІЖДЕРЖАВНА</w:t>
      </w:r>
      <w:r w:rsidRPr="000977F7">
        <w:rPr>
          <w:color w:val="auto"/>
          <w:spacing w:val="-6"/>
          <w:sz w:val="20"/>
          <w:szCs w:val="20"/>
        </w:rPr>
        <w:t xml:space="preserve"> </w:t>
      </w:r>
      <w:r w:rsidRPr="000977F7">
        <w:rPr>
          <w:color w:val="auto"/>
          <w:sz w:val="20"/>
          <w:szCs w:val="20"/>
        </w:rPr>
        <w:t>СТАНДАРТИЗАЦІЯ</w:t>
      </w:r>
      <w:r w:rsidRPr="000977F7">
        <w:rPr>
          <w:color w:val="auto"/>
          <w:spacing w:val="-3"/>
          <w:sz w:val="20"/>
          <w:szCs w:val="20"/>
        </w:rPr>
        <w:t xml:space="preserve"> </w:t>
      </w:r>
      <w:r w:rsidRPr="000977F7">
        <w:rPr>
          <w:color w:val="auto"/>
          <w:sz w:val="20"/>
          <w:szCs w:val="20"/>
        </w:rPr>
        <w:t>–</w:t>
      </w:r>
    </w:p>
    <w:p w14:paraId="172C56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Стандартизація</w:t>
      </w:r>
      <w:r w:rsidRPr="000977F7">
        <w:rPr>
          <w:rFonts w:asciiTheme="majorHAnsi" w:hAnsiTheme="majorHAnsi"/>
          <w:spacing w:val="1"/>
          <w:sz w:val="20"/>
          <w:szCs w:val="20"/>
        </w:rPr>
        <w:t xml:space="preserve"> </w:t>
      </w:r>
      <w:r w:rsidRPr="000977F7">
        <w:rPr>
          <w:rFonts w:asciiTheme="majorHAnsi" w:hAnsiTheme="majorHAnsi"/>
          <w:sz w:val="20"/>
          <w:szCs w:val="20"/>
        </w:rPr>
        <w:t>об’єктів,</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представляють</w:t>
      </w:r>
      <w:r w:rsidRPr="000977F7">
        <w:rPr>
          <w:rFonts w:asciiTheme="majorHAnsi" w:hAnsiTheme="majorHAnsi"/>
          <w:spacing w:val="1"/>
          <w:sz w:val="20"/>
          <w:szCs w:val="20"/>
        </w:rPr>
        <w:t xml:space="preserve"> </w:t>
      </w:r>
      <w:r w:rsidRPr="000977F7">
        <w:rPr>
          <w:rFonts w:asciiTheme="majorHAnsi" w:hAnsiTheme="majorHAnsi"/>
          <w:sz w:val="20"/>
          <w:szCs w:val="20"/>
        </w:rPr>
        <w:t>міждержавний</w:t>
      </w:r>
      <w:r w:rsidRPr="000977F7">
        <w:rPr>
          <w:rFonts w:asciiTheme="majorHAnsi" w:hAnsiTheme="majorHAnsi"/>
          <w:spacing w:val="-2"/>
          <w:sz w:val="20"/>
          <w:szCs w:val="20"/>
        </w:rPr>
        <w:t xml:space="preserve"> </w:t>
      </w:r>
      <w:r w:rsidRPr="000977F7">
        <w:rPr>
          <w:rFonts w:asciiTheme="majorHAnsi" w:hAnsiTheme="majorHAnsi"/>
          <w:sz w:val="20"/>
          <w:szCs w:val="20"/>
        </w:rPr>
        <w:t>інтерес</w:t>
      </w:r>
    </w:p>
    <w:p w14:paraId="1B027A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4930E108"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Міждержавна стандартизація відкрита для інших дер</w:t>
      </w:r>
      <w:r w:rsidRPr="000977F7">
        <w:rPr>
          <w:rFonts w:asciiTheme="majorHAnsi" w:hAnsiTheme="majorHAnsi"/>
          <w:spacing w:val="-1"/>
          <w:sz w:val="20"/>
          <w:szCs w:val="20"/>
        </w:rPr>
        <w:t>жав,</w:t>
      </w:r>
      <w:r w:rsidRPr="000977F7">
        <w:rPr>
          <w:rFonts w:asciiTheme="majorHAnsi" w:hAnsiTheme="majorHAnsi"/>
          <w:spacing w:val="-8"/>
          <w:sz w:val="20"/>
          <w:szCs w:val="20"/>
        </w:rPr>
        <w:t xml:space="preserve"> </w:t>
      </w:r>
      <w:r w:rsidRPr="000977F7">
        <w:rPr>
          <w:rFonts w:asciiTheme="majorHAnsi" w:hAnsiTheme="majorHAnsi"/>
          <w:spacing w:val="-1"/>
          <w:sz w:val="20"/>
          <w:szCs w:val="20"/>
        </w:rPr>
        <w:t>які</w:t>
      </w:r>
      <w:r w:rsidRPr="000977F7">
        <w:rPr>
          <w:rFonts w:asciiTheme="majorHAnsi" w:hAnsiTheme="majorHAnsi"/>
          <w:spacing w:val="-10"/>
          <w:sz w:val="20"/>
          <w:szCs w:val="20"/>
        </w:rPr>
        <w:t xml:space="preserve"> </w:t>
      </w:r>
      <w:r w:rsidRPr="000977F7">
        <w:rPr>
          <w:rFonts w:asciiTheme="majorHAnsi" w:hAnsiTheme="majorHAnsi"/>
          <w:spacing w:val="-1"/>
          <w:sz w:val="20"/>
          <w:szCs w:val="20"/>
        </w:rPr>
        <w:t>визнають</w:t>
      </w:r>
      <w:r w:rsidRPr="000977F7">
        <w:rPr>
          <w:rFonts w:asciiTheme="majorHAnsi" w:hAnsiTheme="majorHAnsi"/>
          <w:spacing w:val="-8"/>
          <w:sz w:val="20"/>
          <w:szCs w:val="20"/>
        </w:rPr>
        <w:t xml:space="preserve"> </w:t>
      </w:r>
      <w:r w:rsidRPr="000977F7">
        <w:rPr>
          <w:rFonts w:asciiTheme="majorHAnsi" w:hAnsiTheme="majorHAnsi"/>
          <w:spacing w:val="-1"/>
          <w:sz w:val="20"/>
          <w:szCs w:val="20"/>
        </w:rPr>
        <w:t>її</w:t>
      </w:r>
      <w:r w:rsidRPr="000977F7">
        <w:rPr>
          <w:rFonts w:asciiTheme="majorHAnsi" w:hAnsiTheme="majorHAnsi"/>
          <w:spacing w:val="-9"/>
          <w:sz w:val="20"/>
          <w:szCs w:val="20"/>
        </w:rPr>
        <w:t xml:space="preserve"> </w:t>
      </w:r>
      <w:r w:rsidRPr="000977F7">
        <w:rPr>
          <w:rFonts w:asciiTheme="majorHAnsi" w:hAnsiTheme="majorHAnsi"/>
          <w:spacing w:val="-1"/>
          <w:sz w:val="20"/>
          <w:szCs w:val="20"/>
        </w:rPr>
        <w:t>принципи</w:t>
      </w:r>
      <w:r w:rsidRPr="000977F7">
        <w:rPr>
          <w:rFonts w:asciiTheme="majorHAnsi" w:hAnsiTheme="majorHAnsi"/>
          <w:spacing w:val="-11"/>
          <w:sz w:val="20"/>
          <w:szCs w:val="20"/>
        </w:rPr>
        <w:t xml:space="preserve"> </w:t>
      </w:r>
      <w:r w:rsidRPr="000977F7">
        <w:rPr>
          <w:rFonts w:asciiTheme="majorHAnsi" w:hAnsiTheme="majorHAnsi"/>
          <w:spacing w:val="-1"/>
          <w:sz w:val="20"/>
          <w:szCs w:val="20"/>
        </w:rPr>
        <w:t>та</w:t>
      </w:r>
      <w:r w:rsidRPr="000977F7">
        <w:rPr>
          <w:rFonts w:asciiTheme="majorHAnsi" w:hAnsiTheme="majorHAnsi"/>
          <w:spacing w:val="-9"/>
          <w:sz w:val="20"/>
          <w:szCs w:val="20"/>
        </w:rPr>
        <w:t xml:space="preserve"> </w:t>
      </w:r>
      <w:r w:rsidRPr="000977F7">
        <w:rPr>
          <w:rFonts w:asciiTheme="majorHAnsi" w:hAnsiTheme="majorHAnsi"/>
          <w:spacing w:val="-1"/>
          <w:sz w:val="20"/>
          <w:szCs w:val="20"/>
        </w:rPr>
        <w:t>приєдналися</w:t>
      </w:r>
      <w:r w:rsidRPr="000977F7">
        <w:rPr>
          <w:rFonts w:asciiTheme="majorHAnsi" w:hAnsiTheme="majorHAnsi"/>
          <w:spacing w:val="-9"/>
          <w:sz w:val="20"/>
          <w:szCs w:val="20"/>
        </w:rPr>
        <w:t xml:space="preserve"> </w:t>
      </w:r>
      <w:r w:rsidRPr="000977F7">
        <w:rPr>
          <w:rFonts w:asciiTheme="majorHAnsi" w:hAnsiTheme="majorHAnsi"/>
          <w:spacing w:val="-1"/>
          <w:sz w:val="20"/>
          <w:szCs w:val="20"/>
        </w:rPr>
        <w:t>до</w:t>
      </w:r>
      <w:r w:rsidRPr="000977F7">
        <w:rPr>
          <w:rFonts w:asciiTheme="majorHAnsi" w:hAnsiTheme="majorHAnsi"/>
          <w:spacing w:val="-9"/>
          <w:sz w:val="20"/>
          <w:szCs w:val="20"/>
        </w:rPr>
        <w:t xml:space="preserve"> </w:t>
      </w:r>
      <w:r w:rsidRPr="000977F7">
        <w:rPr>
          <w:rFonts w:asciiTheme="majorHAnsi" w:hAnsiTheme="majorHAnsi"/>
          <w:spacing w:val="-1"/>
          <w:sz w:val="20"/>
          <w:szCs w:val="20"/>
        </w:rPr>
        <w:t>Угоди</w:t>
      </w:r>
      <w:r w:rsidRPr="000977F7">
        <w:rPr>
          <w:rFonts w:asciiTheme="majorHAnsi" w:hAnsiTheme="majorHAnsi"/>
          <w:spacing w:val="-48"/>
          <w:sz w:val="20"/>
          <w:szCs w:val="20"/>
        </w:rPr>
        <w:t xml:space="preserve"> </w:t>
      </w:r>
    </w:p>
    <w:p w14:paraId="7335BAD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МІЖКРИСТАЛІТНА</w:t>
      </w:r>
      <w:r w:rsidRPr="000977F7">
        <w:rPr>
          <w:color w:val="auto"/>
          <w:spacing w:val="-7"/>
          <w:sz w:val="20"/>
          <w:szCs w:val="20"/>
        </w:rPr>
        <w:t xml:space="preserve"> </w:t>
      </w:r>
      <w:r w:rsidRPr="000977F7">
        <w:rPr>
          <w:color w:val="auto"/>
          <w:sz w:val="20"/>
          <w:szCs w:val="20"/>
        </w:rPr>
        <w:t>КОРОЗІЯ</w:t>
      </w:r>
      <w:r w:rsidRPr="000977F7">
        <w:rPr>
          <w:color w:val="auto"/>
          <w:spacing w:val="-7"/>
          <w:sz w:val="20"/>
          <w:szCs w:val="20"/>
        </w:rPr>
        <w:t xml:space="preserve"> </w:t>
      </w:r>
      <w:r w:rsidRPr="000977F7">
        <w:rPr>
          <w:color w:val="auto"/>
          <w:sz w:val="20"/>
          <w:szCs w:val="20"/>
        </w:rPr>
        <w:t>–</w:t>
      </w:r>
    </w:p>
    <w:p w14:paraId="6F4D6FC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INTERGRANULAR</w:t>
      </w:r>
      <w:r w:rsidRPr="000977F7">
        <w:rPr>
          <w:rFonts w:asciiTheme="majorHAnsi" w:hAnsiTheme="majorHAnsi"/>
          <w:spacing w:val="-6"/>
          <w:sz w:val="20"/>
          <w:szCs w:val="20"/>
        </w:rPr>
        <w:t xml:space="preserve"> </w:t>
      </w:r>
      <w:r w:rsidRPr="000977F7">
        <w:rPr>
          <w:rFonts w:asciiTheme="majorHAnsi" w:hAnsiTheme="majorHAnsi"/>
          <w:sz w:val="20"/>
          <w:szCs w:val="20"/>
        </w:rPr>
        <w:t>CORROSION</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08C6A6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Корозія, що поширюється границями кристалітів (зерен)</w:t>
      </w:r>
      <w:r w:rsidRPr="000977F7">
        <w:rPr>
          <w:rFonts w:asciiTheme="majorHAnsi" w:hAnsiTheme="majorHAnsi"/>
          <w:spacing w:val="-1"/>
          <w:sz w:val="20"/>
          <w:szCs w:val="20"/>
        </w:rPr>
        <w:t xml:space="preserve"> </w:t>
      </w:r>
      <w:r w:rsidRPr="000977F7">
        <w:rPr>
          <w:rFonts w:asciiTheme="majorHAnsi" w:hAnsiTheme="majorHAnsi"/>
          <w:sz w:val="20"/>
          <w:szCs w:val="20"/>
        </w:rPr>
        <w:t>металу</w:t>
      </w:r>
    </w:p>
    <w:p w14:paraId="47F4EBE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3830 - 98</w:t>
      </w:r>
    </w:p>
    <w:p w14:paraId="1A0BBBF7"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 xml:space="preserve">МІЖЛАБОРАТОРНІ ПОРІВНЯЛЬНІ ВИПРОБУВАННЯ </w:t>
      </w:r>
      <w:r w:rsidRPr="000977F7">
        <w:rPr>
          <w:b w:val="0"/>
          <w:color w:val="auto"/>
          <w:sz w:val="20"/>
          <w:szCs w:val="20"/>
        </w:rPr>
        <w:t>–</w:t>
      </w:r>
    </w:p>
    <w:p w14:paraId="4F36B6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INTERLABORATORY TEST</w:t>
      </w:r>
      <w:r w:rsidRPr="000977F7">
        <w:rPr>
          <w:rFonts w:asciiTheme="majorHAnsi" w:hAnsiTheme="majorHAnsi"/>
          <w:spacing w:val="-47"/>
          <w:sz w:val="20"/>
          <w:szCs w:val="20"/>
        </w:rPr>
        <w:t xml:space="preserve"> </w:t>
      </w:r>
      <w:r w:rsidRPr="000977F7">
        <w:rPr>
          <w:rFonts w:asciiTheme="majorHAnsi" w:hAnsiTheme="majorHAnsi"/>
          <w:sz w:val="20"/>
          <w:szCs w:val="20"/>
        </w:rPr>
        <w:t>COMPARISONS</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105B4B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проведення та оцінка випробувань одних</w:t>
      </w:r>
      <w:r w:rsidRPr="000977F7">
        <w:rPr>
          <w:rFonts w:asciiTheme="majorHAnsi" w:hAnsiTheme="majorHAnsi"/>
          <w:spacing w:val="1"/>
          <w:sz w:val="20"/>
          <w:szCs w:val="20"/>
        </w:rPr>
        <w:t xml:space="preserve"> </w:t>
      </w:r>
      <w:r w:rsidRPr="000977F7">
        <w:rPr>
          <w:rFonts w:asciiTheme="majorHAnsi" w:hAnsiTheme="majorHAnsi"/>
          <w:sz w:val="20"/>
          <w:szCs w:val="20"/>
        </w:rPr>
        <w:t>і тих самих подібних</w:t>
      </w:r>
      <w:r w:rsidRPr="000977F7">
        <w:rPr>
          <w:rFonts w:asciiTheme="majorHAnsi" w:hAnsiTheme="majorHAnsi"/>
          <w:spacing w:val="1"/>
          <w:sz w:val="20"/>
          <w:szCs w:val="20"/>
        </w:rPr>
        <w:t xml:space="preserve"> </w:t>
      </w:r>
      <w:r w:rsidRPr="000977F7">
        <w:rPr>
          <w:rFonts w:asciiTheme="majorHAnsi" w:hAnsiTheme="majorHAnsi"/>
          <w:sz w:val="20"/>
          <w:szCs w:val="20"/>
        </w:rPr>
        <w:t>виробів або матеріалів двома чи</w:t>
      </w:r>
      <w:r w:rsidRPr="000977F7">
        <w:rPr>
          <w:rFonts w:asciiTheme="majorHAnsi" w:hAnsiTheme="majorHAnsi"/>
          <w:spacing w:val="-47"/>
          <w:sz w:val="20"/>
          <w:szCs w:val="20"/>
        </w:rPr>
        <w:t xml:space="preserve"> </w:t>
      </w:r>
      <w:r w:rsidRPr="000977F7">
        <w:rPr>
          <w:rFonts w:asciiTheme="majorHAnsi" w:hAnsiTheme="majorHAnsi"/>
          <w:sz w:val="20"/>
          <w:szCs w:val="20"/>
        </w:rPr>
        <w:t>кількома</w:t>
      </w:r>
      <w:r w:rsidRPr="000977F7">
        <w:rPr>
          <w:rFonts w:asciiTheme="majorHAnsi" w:hAnsiTheme="majorHAnsi"/>
          <w:spacing w:val="1"/>
          <w:sz w:val="20"/>
          <w:szCs w:val="20"/>
        </w:rPr>
        <w:t xml:space="preserve"> </w:t>
      </w:r>
      <w:r w:rsidRPr="000977F7">
        <w:rPr>
          <w:rFonts w:asciiTheme="majorHAnsi" w:hAnsiTheme="majorHAnsi"/>
          <w:sz w:val="20"/>
          <w:szCs w:val="20"/>
        </w:rPr>
        <w:t>різними</w:t>
      </w:r>
      <w:r w:rsidRPr="000977F7">
        <w:rPr>
          <w:rFonts w:asciiTheme="majorHAnsi" w:hAnsiTheme="majorHAnsi"/>
          <w:spacing w:val="1"/>
          <w:sz w:val="20"/>
          <w:szCs w:val="20"/>
        </w:rPr>
        <w:t xml:space="preserve"> </w:t>
      </w:r>
      <w:r w:rsidRPr="000977F7">
        <w:rPr>
          <w:rFonts w:asciiTheme="majorHAnsi" w:hAnsiTheme="majorHAnsi"/>
          <w:sz w:val="20"/>
          <w:szCs w:val="20"/>
        </w:rPr>
        <w:t>лабораторіями</w:t>
      </w:r>
      <w:r w:rsidRPr="000977F7">
        <w:rPr>
          <w:rFonts w:asciiTheme="majorHAnsi" w:hAnsiTheme="majorHAnsi"/>
          <w:spacing w:val="1"/>
          <w:sz w:val="20"/>
          <w:szCs w:val="20"/>
        </w:rPr>
        <w:t xml:space="preserve"> </w:t>
      </w:r>
      <w:r w:rsidRPr="000977F7">
        <w:rPr>
          <w:rFonts w:asciiTheme="majorHAnsi" w:hAnsiTheme="majorHAnsi"/>
          <w:sz w:val="20"/>
          <w:szCs w:val="20"/>
        </w:rPr>
        <w:t>згідно</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наперед</w:t>
      </w:r>
      <w:r w:rsidRPr="000977F7">
        <w:rPr>
          <w:rFonts w:asciiTheme="majorHAnsi" w:hAnsiTheme="majorHAnsi"/>
          <w:spacing w:val="1"/>
          <w:sz w:val="20"/>
          <w:szCs w:val="20"/>
        </w:rPr>
        <w:t xml:space="preserve"> </w:t>
      </w:r>
      <w:r w:rsidRPr="000977F7">
        <w:rPr>
          <w:rFonts w:asciiTheme="majorHAnsi" w:hAnsiTheme="majorHAnsi"/>
          <w:sz w:val="20"/>
          <w:szCs w:val="20"/>
        </w:rPr>
        <w:t>установленими умовами</w:t>
      </w:r>
    </w:p>
    <w:p w14:paraId="52F359A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95</w:t>
      </w:r>
    </w:p>
    <w:p w14:paraId="5CC32ED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виконання та оцінювання вимірювання або випробування на тому самому чи подібних зразках двома або більше лабораторіями відповідно до заздалегідь визначених умов.</w:t>
      </w:r>
    </w:p>
    <w:p w14:paraId="46E8C4D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EN ISO/IEC 17025:2019</w:t>
      </w:r>
    </w:p>
    <w:p w14:paraId="6AD585E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МІЖНАРОДНА РЕЄСТРАЦІЯ –</w:t>
      </w:r>
    </w:p>
    <w:p w14:paraId="1C7E3E5E"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 xml:space="preserve">Міжнародна реєстрація промислового зразка, здійснена відповідно до </w:t>
      </w:r>
      <w:hyperlink r:id="rId28" w:tgtFrame="_blank" w:history="1">
        <w:r w:rsidRPr="000977F7">
          <w:rPr>
            <w:b w:val="0"/>
            <w:bCs/>
            <w:color w:val="auto"/>
            <w:sz w:val="20"/>
            <w:szCs w:val="20"/>
          </w:rPr>
          <w:t>Гаазької угоди про міжнародну реєстрацію промислових зразків</w:t>
        </w:r>
      </w:hyperlink>
    </w:p>
    <w:p w14:paraId="322B5B04"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охорону прав на промислові зразки"</w:t>
      </w:r>
    </w:p>
    <w:p w14:paraId="444F6B24"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МІЖНАРОДНИЙ</w:t>
      </w:r>
      <w:r w:rsidRPr="000977F7">
        <w:rPr>
          <w:color w:val="auto"/>
          <w:spacing w:val="-7"/>
          <w:sz w:val="20"/>
          <w:szCs w:val="20"/>
        </w:rPr>
        <w:t xml:space="preserve"> </w:t>
      </w:r>
      <w:r w:rsidRPr="000977F7">
        <w:rPr>
          <w:color w:val="auto"/>
          <w:sz w:val="20"/>
          <w:szCs w:val="20"/>
        </w:rPr>
        <w:t>ОРГАН,</w:t>
      </w:r>
      <w:r w:rsidRPr="000977F7">
        <w:rPr>
          <w:color w:val="auto"/>
          <w:spacing w:val="-9"/>
          <w:sz w:val="20"/>
          <w:szCs w:val="20"/>
        </w:rPr>
        <w:t xml:space="preserve"> </w:t>
      </w:r>
      <w:r w:rsidRPr="000977F7">
        <w:rPr>
          <w:color w:val="auto"/>
          <w:sz w:val="20"/>
          <w:szCs w:val="20"/>
        </w:rPr>
        <w:t>ЩО</w:t>
      </w:r>
      <w:r w:rsidRPr="000977F7">
        <w:rPr>
          <w:color w:val="auto"/>
          <w:spacing w:val="-7"/>
          <w:sz w:val="20"/>
          <w:szCs w:val="20"/>
        </w:rPr>
        <w:t xml:space="preserve"> </w:t>
      </w:r>
      <w:r w:rsidRPr="000977F7">
        <w:rPr>
          <w:color w:val="auto"/>
          <w:sz w:val="20"/>
          <w:szCs w:val="20"/>
        </w:rPr>
        <w:t>ЗАЙМАЄТЬСЯ</w:t>
      </w:r>
      <w:r w:rsidRPr="000977F7">
        <w:rPr>
          <w:color w:val="auto"/>
          <w:spacing w:val="-47"/>
          <w:sz w:val="20"/>
          <w:szCs w:val="20"/>
        </w:rPr>
        <w:t xml:space="preserve"> </w:t>
      </w:r>
      <w:r w:rsidRPr="000977F7">
        <w:rPr>
          <w:color w:val="auto"/>
          <w:sz w:val="20"/>
          <w:szCs w:val="20"/>
        </w:rPr>
        <w:t>СТАНДАРТИЗАЦІЄЮ</w:t>
      </w:r>
      <w:r w:rsidRPr="000977F7">
        <w:rPr>
          <w:color w:val="auto"/>
          <w:spacing w:val="-1"/>
          <w:sz w:val="20"/>
          <w:szCs w:val="20"/>
        </w:rPr>
        <w:t xml:space="preserve"> </w:t>
      </w:r>
      <w:r w:rsidRPr="000977F7">
        <w:rPr>
          <w:b w:val="0"/>
          <w:color w:val="auto"/>
          <w:sz w:val="20"/>
          <w:szCs w:val="20"/>
        </w:rPr>
        <w:t>–</w:t>
      </w:r>
    </w:p>
    <w:p w14:paraId="35CE10E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INTERNATIONAL</w:t>
      </w:r>
      <w:r w:rsidRPr="004D2D14">
        <w:rPr>
          <w:rFonts w:asciiTheme="majorHAnsi" w:hAnsiTheme="majorHAnsi"/>
          <w:spacing w:val="-4"/>
          <w:sz w:val="20"/>
          <w:szCs w:val="20"/>
          <w:lang w:val="uk-UA"/>
        </w:rPr>
        <w:t xml:space="preserve"> </w:t>
      </w:r>
      <w:r w:rsidRPr="000977F7">
        <w:rPr>
          <w:rFonts w:asciiTheme="majorHAnsi" w:hAnsiTheme="majorHAnsi"/>
          <w:sz w:val="20"/>
          <w:szCs w:val="20"/>
        </w:rPr>
        <w:t>STANDARDIZING</w:t>
      </w:r>
      <w:r w:rsidRPr="004D2D14">
        <w:rPr>
          <w:rFonts w:asciiTheme="majorHAnsi" w:hAnsiTheme="majorHAnsi"/>
          <w:spacing w:val="-3"/>
          <w:sz w:val="20"/>
          <w:szCs w:val="20"/>
          <w:lang w:val="uk-UA"/>
        </w:rPr>
        <w:t xml:space="preserve"> </w:t>
      </w:r>
      <w:r w:rsidRPr="000977F7">
        <w:rPr>
          <w:rFonts w:asciiTheme="majorHAnsi" w:hAnsiTheme="majorHAnsi"/>
          <w:sz w:val="20"/>
          <w:szCs w:val="20"/>
        </w:rPr>
        <w:t>BODY</w:t>
      </w:r>
      <w:r w:rsidRPr="004D2D14">
        <w:rPr>
          <w:rFonts w:asciiTheme="majorHAnsi" w:hAnsiTheme="majorHAnsi"/>
          <w:sz w:val="20"/>
          <w:szCs w:val="20"/>
          <w:lang w:val="uk-UA"/>
        </w:rPr>
        <w:t xml:space="preserve"> -</w:t>
      </w:r>
    </w:p>
    <w:p w14:paraId="3D6A688C"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uk-UA"/>
        </w:rPr>
      </w:pPr>
      <w:r w:rsidRPr="004D2D14">
        <w:rPr>
          <w:rFonts w:asciiTheme="majorHAnsi" w:hAnsiTheme="majorHAnsi"/>
          <w:sz w:val="20"/>
          <w:szCs w:val="20"/>
          <w:lang w:val="uk-UA"/>
        </w:rPr>
        <w:t>Орган,</w:t>
      </w:r>
      <w:r w:rsidRPr="004D2D14">
        <w:rPr>
          <w:rFonts w:asciiTheme="majorHAnsi" w:hAnsiTheme="majorHAnsi"/>
          <w:spacing w:val="13"/>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4"/>
          <w:sz w:val="20"/>
          <w:szCs w:val="20"/>
          <w:lang w:val="uk-UA"/>
        </w:rPr>
        <w:t xml:space="preserve"> </w:t>
      </w:r>
      <w:r w:rsidRPr="004D2D14">
        <w:rPr>
          <w:rFonts w:asciiTheme="majorHAnsi" w:hAnsiTheme="majorHAnsi"/>
          <w:sz w:val="20"/>
          <w:szCs w:val="20"/>
          <w:lang w:val="uk-UA"/>
        </w:rPr>
        <w:t>займається</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стандартизацією,</w:t>
      </w:r>
      <w:r w:rsidRPr="004D2D14">
        <w:rPr>
          <w:rFonts w:asciiTheme="majorHAnsi" w:hAnsiTheme="majorHAnsi"/>
          <w:spacing w:val="13"/>
          <w:sz w:val="20"/>
          <w:szCs w:val="20"/>
          <w:lang w:val="uk-UA"/>
        </w:rPr>
        <w:t xml:space="preserve"> </w:t>
      </w:r>
      <w:r w:rsidRPr="004D2D14">
        <w:rPr>
          <w:rFonts w:asciiTheme="majorHAnsi" w:hAnsiTheme="majorHAnsi"/>
          <w:sz w:val="20"/>
          <w:szCs w:val="20"/>
          <w:lang w:val="uk-UA"/>
        </w:rPr>
        <w:t>членство</w:t>
      </w:r>
      <w:r w:rsidRPr="004D2D14">
        <w:rPr>
          <w:rFonts w:asciiTheme="majorHAnsi" w:hAnsiTheme="majorHAnsi"/>
          <w:spacing w:val="13"/>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якому відкрите для відповідних органів усіх країн</w:t>
      </w:r>
      <w:r w:rsidRPr="004D2D14">
        <w:rPr>
          <w:rFonts w:asciiTheme="majorHAnsi" w:hAnsiTheme="majorHAnsi"/>
          <w:spacing w:val="1"/>
          <w:sz w:val="20"/>
          <w:szCs w:val="20"/>
          <w:lang w:val="uk-UA"/>
        </w:rPr>
        <w:t xml:space="preserve"> </w:t>
      </w:r>
      <w:r w:rsidRPr="004D2D14">
        <w:rPr>
          <w:rFonts w:asciiTheme="majorHAnsi" w:hAnsiTheme="majorHAnsi"/>
          <w:b/>
          <w:sz w:val="20"/>
          <w:szCs w:val="20"/>
          <w:lang w:val="uk-UA"/>
        </w:rPr>
        <w:t>МІЖНАРОДНІ</w:t>
      </w:r>
      <w:r w:rsidRPr="004D2D14">
        <w:rPr>
          <w:rFonts w:asciiTheme="majorHAnsi" w:hAnsiTheme="majorHAnsi"/>
          <w:b/>
          <w:spacing w:val="-2"/>
          <w:sz w:val="20"/>
          <w:szCs w:val="20"/>
          <w:lang w:val="uk-UA"/>
        </w:rPr>
        <w:t xml:space="preserve"> </w:t>
      </w:r>
      <w:r w:rsidRPr="004D2D14">
        <w:rPr>
          <w:rFonts w:asciiTheme="majorHAnsi" w:hAnsiTheme="majorHAnsi"/>
          <w:b/>
          <w:sz w:val="20"/>
          <w:szCs w:val="20"/>
          <w:lang w:val="uk-UA"/>
        </w:rPr>
        <w:t>ДОГОВОРИ</w:t>
      </w:r>
      <w:r w:rsidRPr="004D2D14">
        <w:rPr>
          <w:rFonts w:asciiTheme="majorHAnsi" w:hAnsiTheme="majorHAnsi"/>
          <w:b/>
          <w:spacing w:val="4"/>
          <w:sz w:val="20"/>
          <w:szCs w:val="20"/>
          <w:lang w:val="uk-UA"/>
        </w:rPr>
        <w:t xml:space="preserve"> </w:t>
      </w:r>
      <w:r w:rsidRPr="004D2D14">
        <w:rPr>
          <w:rFonts w:asciiTheme="majorHAnsi" w:hAnsiTheme="majorHAnsi"/>
          <w:b/>
          <w:sz w:val="20"/>
          <w:szCs w:val="20"/>
          <w:lang w:val="uk-UA"/>
        </w:rPr>
        <w:t>–</w:t>
      </w:r>
    </w:p>
    <w:p w14:paraId="363990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Якщо міжнародним</w:t>
      </w:r>
      <w:r w:rsidRPr="000977F7">
        <w:rPr>
          <w:rFonts w:asciiTheme="majorHAnsi" w:hAnsiTheme="majorHAnsi"/>
          <w:spacing w:val="1"/>
          <w:sz w:val="20"/>
          <w:szCs w:val="20"/>
        </w:rPr>
        <w:t xml:space="preserve"> </w:t>
      </w:r>
      <w:r w:rsidRPr="000977F7">
        <w:rPr>
          <w:rFonts w:asciiTheme="majorHAnsi" w:hAnsiTheme="majorHAnsi"/>
          <w:sz w:val="20"/>
          <w:szCs w:val="20"/>
        </w:rPr>
        <w:t>договором України, згода на обов'язковість якого надана Верховною Радою України,</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встановлено інші правила, ніж ті, що є в законодавстві</w:t>
      </w:r>
      <w:r w:rsidRPr="000977F7">
        <w:rPr>
          <w:rFonts w:asciiTheme="majorHAnsi" w:hAnsiTheme="majorHAnsi"/>
          <w:spacing w:val="-47"/>
          <w:sz w:val="20"/>
          <w:szCs w:val="20"/>
        </w:rPr>
        <w:t xml:space="preserve"> </w:t>
      </w:r>
      <w:r w:rsidRPr="000977F7">
        <w:rPr>
          <w:rFonts w:asciiTheme="majorHAnsi" w:hAnsiTheme="majorHAnsi"/>
          <w:sz w:val="20"/>
          <w:szCs w:val="20"/>
        </w:rPr>
        <w:t>України про захист прав споживачів, то на її території</w:t>
      </w:r>
      <w:r w:rsidRPr="000977F7">
        <w:rPr>
          <w:rFonts w:asciiTheme="majorHAnsi" w:hAnsiTheme="majorHAnsi"/>
          <w:spacing w:val="-47"/>
          <w:sz w:val="20"/>
          <w:szCs w:val="20"/>
        </w:rPr>
        <w:t xml:space="preserve"> </w:t>
      </w:r>
      <w:r w:rsidRPr="000977F7">
        <w:rPr>
          <w:rFonts w:asciiTheme="majorHAnsi" w:hAnsiTheme="majorHAnsi"/>
          <w:sz w:val="20"/>
          <w:szCs w:val="20"/>
        </w:rPr>
        <w:t>застосовуються</w:t>
      </w:r>
      <w:r w:rsidRPr="000977F7">
        <w:rPr>
          <w:rFonts w:asciiTheme="majorHAnsi" w:hAnsiTheme="majorHAnsi"/>
          <w:spacing w:val="-9"/>
          <w:sz w:val="20"/>
          <w:szCs w:val="20"/>
        </w:rPr>
        <w:t xml:space="preserve"> </w:t>
      </w:r>
      <w:r w:rsidRPr="000977F7">
        <w:rPr>
          <w:rFonts w:asciiTheme="majorHAnsi" w:hAnsiTheme="majorHAnsi"/>
          <w:sz w:val="20"/>
          <w:szCs w:val="20"/>
        </w:rPr>
        <w:t>правила</w:t>
      </w:r>
      <w:r w:rsidRPr="000977F7">
        <w:rPr>
          <w:rFonts w:asciiTheme="majorHAnsi" w:hAnsiTheme="majorHAnsi"/>
          <w:spacing w:val="-10"/>
          <w:sz w:val="20"/>
          <w:szCs w:val="20"/>
        </w:rPr>
        <w:t xml:space="preserve"> </w:t>
      </w:r>
      <w:r w:rsidRPr="000977F7">
        <w:rPr>
          <w:rFonts w:asciiTheme="majorHAnsi" w:hAnsiTheme="majorHAnsi"/>
          <w:sz w:val="20"/>
          <w:szCs w:val="20"/>
        </w:rPr>
        <w:t>міжнародного</w:t>
      </w:r>
      <w:r w:rsidRPr="000977F7">
        <w:rPr>
          <w:rFonts w:asciiTheme="majorHAnsi" w:hAnsiTheme="majorHAnsi"/>
          <w:spacing w:val="-7"/>
          <w:sz w:val="20"/>
          <w:szCs w:val="20"/>
        </w:rPr>
        <w:t xml:space="preserve"> </w:t>
      </w:r>
      <w:r w:rsidRPr="000977F7">
        <w:rPr>
          <w:rFonts w:asciiTheme="majorHAnsi" w:hAnsiTheme="majorHAnsi"/>
          <w:sz w:val="20"/>
          <w:szCs w:val="20"/>
        </w:rPr>
        <w:t>договору</w:t>
      </w:r>
    </w:p>
    <w:p w14:paraId="5965E5E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Закон</w:t>
      </w:r>
      <w:r w:rsidRPr="000977F7">
        <w:rPr>
          <w:rFonts w:asciiTheme="majorHAnsi" w:hAnsiTheme="majorHAnsi"/>
          <w:i/>
          <w:spacing w:val="-9"/>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8"/>
          <w:sz w:val="20"/>
          <w:szCs w:val="20"/>
        </w:rPr>
        <w:t xml:space="preserve"> "П</w:t>
      </w:r>
      <w:r w:rsidRPr="000977F7">
        <w:rPr>
          <w:rFonts w:asciiTheme="majorHAnsi" w:hAnsiTheme="majorHAnsi"/>
          <w:i/>
          <w:sz w:val="20"/>
          <w:szCs w:val="20"/>
        </w:rPr>
        <w:t>ро</w:t>
      </w:r>
      <w:r w:rsidRPr="000977F7">
        <w:rPr>
          <w:rFonts w:asciiTheme="majorHAnsi" w:hAnsiTheme="majorHAnsi"/>
          <w:i/>
          <w:spacing w:val="-6"/>
          <w:sz w:val="20"/>
          <w:szCs w:val="20"/>
        </w:rPr>
        <w:t xml:space="preserve"> </w:t>
      </w:r>
      <w:r w:rsidRPr="000977F7">
        <w:rPr>
          <w:rFonts w:asciiTheme="majorHAnsi" w:hAnsiTheme="majorHAnsi"/>
          <w:i/>
          <w:sz w:val="20"/>
          <w:szCs w:val="20"/>
        </w:rPr>
        <w:t>захист</w:t>
      </w:r>
      <w:r w:rsidRPr="000977F7">
        <w:rPr>
          <w:rFonts w:asciiTheme="majorHAnsi" w:hAnsiTheme="majorHAnsi"/>
          <w:i/>
          <w:spacing w:val="-10"/>
          <w:sz w:val="20"/>
          <w:szCs w:val="20"/>
        </w:rPr>
        <w:t xml:space="preserve"> </w:t>
      </w:r>
      <w:r w:rsidRPr="000977F7">
        <w:rPr>
          <w:rFonts w:asciiTheme="majorHAnsi" w:hAnsiTheme="majorHAnsi"/>
          <w:i/>
          <w:sz w:val="20"/>
          <w:szCs w:val="20"/>
        </w:rPr>
        <w:t>прав</w:t>
      </w:r>
      <w:r w:rsidRPr="000977F7">
        <w:rPr>
          <w:rFonts w:asciiTheme="majorHAnsi" w:hAnsiTheme="majorHAnsi"/>
          <w:i/>
          <w:spacing w:val="-8"/>
          <w:sz w:val="20"/>
          <w:szCs w:val="20"/>
        </w:rPr>
        <w:t xml:space="preserve"> </w:t>
      </w:r>
      <w:r w:rsidRPr="000977F7">
        <w:rPr>
          <w:rFonts w:asciiTheme="majorHAnsi" w:hAnsiTheme="majorHAnsi"/>
          <w:i/>
          <w:sz w:val="20"/>
          <w:szCs w:val="20"/>
        </w:rPr>
        <w:t>споживачів"</w:t>
      </w:r>
    </w:p>
    <w:p w14:paraId="3531E65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МІЖНАРОДНА</w:t>
      </w:r>
      <w:r w:rsidRPr="000977F7">
        <w:rPr>
          <w:color w:val="auto"/>
          <w:spacing w:val="-5"/>
          <w:sz w:val="20"/>
          <w:szCs w:val="20"/>
        </w:rPr>
        <w:t xml:space="preserve"> </w:t>
      </w:r>
      <w:r w:rsidRPr="000977F7">
        <w:rPr>
          <w:color w:val="auto"/>
          <w:sz w:val="20"/>
          <w:szCs w:val="20"/>
        </w:rPr>
        <w:t>КООПЕРАЦІЯ</w:t>
      </w:r>
      <w:r w:rsidRPr="000977F7">
        <w:rPr>
          <w:color w:val="auto"/>
          <w:spacing w:val="-2"/>
          <w:sz w:val="20"/>
          <w:szCs w:val="20"/>
        </w:rPr>
        <w:t xml:space="preserve"> </w:t>
      </w:r>
      <w:r w:rsidRPr="000977F7">
        <w:rPr>
          <w:color w:val="auto"/>
          <w:sz w:val="20"/>
          <w:szCs w:val="20"/>
        </w:rPr>
        <w:t>–</w:t>
      </w:r>
    </w:p>
    <w:p w14:paraId="565EC1D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Взаємодія</w:t>
      </w:r>
      <w:r w:rsidRPr="000977F7">
        <w:rPr>
          <w:rFonts w:asciiTheme="majorHAnsi" w:hAnsiTheme="majorHAnsi"/>
          <w:spacing w:val="1"/>
          <w:sz w:val="20"/>
          <w:szCs w:val="20"/>
        </w:rPr>
        <w:t xml:space="preserve"> </w:t>
      </w:r>
      <w:r w:rsidRPr="000977F7">
        <w:rPr>
          <w:rFonts w:asciiTheme="majorHAnsi" w:hAnsiTheme="majorHAnsi"/>
          <w:sz w:val="20"/>
          <w:szCs w:val="20"/>
        </w:rPr>
        <w:t>двох</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більше</w:t>
      </w:r>
      <w:r w:rsidRPr="000977F7">
        <w:rPr>
          <w:rFonts w:asciiTheme="majorHAnsi" w:hAnsiTheme="majorHAnsi"/>
          <w:spacing w:val="1"/>
          <w:sz w:val="20"/>
          <w:szCs w:val="20"/>
        </w:rPr>
        <w:t xml:space="preserve"> </w:t>
      </w:r>
      <w:r w:rsidRPr="000977F7">
        <w:rPr>
          <w:rFonts w:asciiTheme="majorHAnsi" w:hAnsiTheme="majorHAnsi"/>
          <w:sz w:val="20"/>
          <w:szCs w:val="20"/>
        </w:rPr>
        <w:t>суб’єктів</w:t>
      </w:r>
      <w:r w:rsidRPr="000977F7">
        <w:rPr>
          <w:rFonts w:asciiTheme="majorHAnsi" w:hAnsiTheme="majorHAnsi"/>
          <w:spacing w:val="1"/>
          <w:sz w:val="20"/>
          <w:szCs w:val="20"/>
        </w:rPr>
        <w:t xml:space="preserve"> </w:t>
      </w:r>
      <w:r w:rsidRPr="000977F7">
        <w:rPr>
          <w:rFonts w:asciiTheme="majorHAnsi" w:hAnsiTheme="majorHAnsi"/>
          <w:sz w:val="20"/>
          <w:szCs w:val="20"/>
        </w:rPr>
        <w:t>господарської</w:t>
      </w:r>
      <w:r w:rsidRPr="000977F7">
        <w:rPr>
          <w:rFonts w:asciiTheme="majorHAnsi" w:hAnsiTheme="majorHAnsi"/>
          <w:spacing w:val="1"/>
          <w:sz w:val="20"/>
          <w:szCs w:val="20"/>
        </w:rPr>
        <w:t xml:space="preserve"> </w:t>
      </w:r>
      <w:r w:rsidRPr="000977F7">
        <w:rPr>
          <w:rFonts w:asciiTheme="majorHAnsi" w:hAnsiTheme="majorHAnsi"/>
          <w:sz w:val="20"/>
          <w:szCs w:val="20"/>
        </w:rPr>
        <w:t>діяльності, серед яких хоча б один із них є іноземним,</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якої</w:t>
      </w:r>
      <w:r w:rsidRPr="000977F7">
        <w:rPr>
          <w:rFonts w:asciiTheme="majorHAnsi" w:hAnsiTheme="majorHAnsi"/>
          <w:spacing w:val="1"/>
          <w:sz w:val="20"/>
          <w:szCs w:val="20"/>
        </w:rPr>
        <w:t xml:space="preserve"> </w:t>
      </w:r>
      <w:r w:rsidRPr="000977F7">
        <w:rPr>
          <w:rFonts w:asciiTheme="majorHAnsi" w:hAnsiTheme="majorHAnsi"/>
          <w:sz w:val="20"/>
          <w:szCs w:val="20"/>
        </w:rPr>
        <w:t>здійснюються</w:t>
      </w:r>
      <w:r w:rsidRPr="000977F7">
        <w:rPr>
          <w:rFonts w:asciiTheme="majorHAnsi" w:hAnsiTheme="majorHAnsi"/>
          <w:spacing w:val="1"/>
          <w:sz w:val="20"/>
          <w:szCs w:val="20"/>
        </w:rPr>
        <w:t xml:space="preserve"> </w:t>
      </w:r>
      <w:r w:rsidRPr="000977F7">
        <w:rPr>
          <w:rFonts w:asciiTheme="majorHAnsi" w:hAnsiTheme="majorHAnsi"/>
          <w:sz w:val="20"/>
          <w:szCs w:val="20"/>
        </w:rPr>
        <w:t>спільні</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47"/>
          <w:sz w:val="20"/>
          <w:szCs w:val="20"/>
        </w:rPr>
        <w:t xml:space="preserve"> </w:t>
      </w:r>
      <w:r w:rsidRPr="000977F7">
        <w:rPr>
          <w:rFonts w:asciiTheme="majorHAnsi" w:hAnsiTheme="majorHAnsi"/>
          <w:sz w:val="20"/>
          <w:szCs w:val="20"/>
        </w:rPr>
        <w:t>спільне виробництво, спільна реалізація кінцевої продукції та інших товарів на основі спеціалізації у виробництві проміжної продукції або на окремих технологічних стадіях</w:t>
      </w:r>
      <w:r w:rsidRPr="000977F7">
        <w:rPr>
          <w:rFonts w:asciiTheme="majorHAnsi" w:hAnsiTheme="majorHAnsi"/>
          <w:spacing w:val="1"/>
          <w:sz w:val="20"/>
          <w:szCs w:val="20"/>
        </w:rPr>
        <w:t xml:space="preserve"> </w:t>
      </w:r>
      <w:r w:rsidRPr="000977F7">
        <w:rPr>
          <w:rFonts w:asciiTheme="majorHAnsi" w:hAnsiTheme="majorHAnsi"/>
          <w:sz w:val="20"/>
          <w:szCs w:val="20"/>
        </w:rPr>
        <w:t>науково – дослідних робіт, виробництва та реалізації з координацією відповідних програм</w:t>
      </w:r>
      <w:r w:rsidRPr="000977F7">
        <w:rPr>
          <w:rFonts w:asciiTheme="majorHAnsi" w:hAnsiTheme="majorHAnsi"/>
          <w:spacing w:val="1"/>
          <w:sz w:val="20"/>
          <w:szCs w:val="20"/>
        </w:rPr>
        <w:t xml:space="preserve"> </w:t>
      </w:r>
      <w:r w:rsidRPr="000977F7">
        <w:rPr>
          <w:rFonts w:asciiTheme="majorHAnsi" w:hAnsiTheme="majorHAnsi"/>
          <w:sz w:val="20"/>
          <w:szCs w:val="20"/>
        </w:rPr>
        <w:t>господарської</w:t>
      </w:r>
      <w:r w:rsidRPr="000977F7">
        <w:rPr>
          <w:rFonts w:asciiTheme="majorHAnsi" w:hAnsiTheme="majorHAnsi"/>
          <w:spacing w:val="-2"/>
          <w:sz w:val="20"/>
          <w:szCs w:val="20"/>
        </w:rPr>
        <w:t xml:space="preserve"> </w:t>
      </w:r>
      <w:r w:rsidRPr="000977F7">
        <w:rPr>
          <w:rFonts w:asciiTheme="majorHAnsi" w:hAnsiTheme="majorHAnsi"/>
          <w:sz w:val="20"/>
          <w:szCs w:val="20"/>
        </w:rPr>
        <w:t>діяльності</w:t>
      </w:r>
    </w:p>
    <w:p w14:paraId="0C3F495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2EC9E0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МІЖНАРОДНА ОРГАНІЗАЦІЯ ІЗ </w:t>
      </w:r>
    </w:p>
    <w:p w14:paraId="7A78AC64"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СТАНДАРТИ</w:t>
      </w:r>
      <w:r w:rsidRPr="000977F7">
        <w:rPr>
          <w:color w:val="auto"/>
          <w:spacing w:val="-47"/>
          <w:sz w:val="20"/>
          <w:szCs w:val="20"/>
        </w:rPr>
        <w:t xml:space="preserve"> </w:t>
      </w:r>
      <w:r w:rsidRPr="000977F7">
        <w:rPr>
          <w:color w:val="auto"/>
          <w:sz w:val="20"/>
          <w:szCs w:val="20"/>
        </w:rPr>
        <w:t>ЗАЦІЇ</w:t>
      </w:r>
      <w:r w:rsidRPr="000977F7">
        <w:rPr>
          <w:color w:val="auto"/>
          <w:spacing w:val="-2"/>
          <w:sz w:val="20"/>
          <w:szCs w:val="20"/>
        </w:rPr>
        <w:t xml:space="preserve"> </w:t>
      </w:r>
      <w:r w:rsidRPr="000977F7">
        <w:rPr>
          <w:b w:val="0"/>
          <w:color w:val="auto"/>
          <w:sz w:val="20"/>
          <w:szCs w:val="20"/>
        </w:rPr>
        <w:t>–</w:t>
      </w:r>
    </w:p>
    <w:p w14:paraId="027A7DC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pacing w:val="-1"/>
          <w:sz w:val="20"/>
          <w:szCs w:val="20"/>
        </w:rPr>
        <w:t>INTERNATIONAL</w:t>
      </w:r>
      <w:r w:rsidRPr="004D2D14">
        <w:rPr>
          <w:rFonts w:asciiTheme="majorHAnsi" w:hAnsiTheme="majorHAnsi"/>
          <w:spacing w:val="-1"/>
          <w:sz w:val="20"/>
          <w:szCs w:val="20"/>
          <w:lang w:val="uk-UA"/>
        </w:rPr>
        <w:t xml:space="preserve"> </w:t>
      </w:r>
      <w:r w:rsidRPr="000977F7">
        <w:rPr>
          <w:rFonts w:asciiTheme="majorHAnsi" w:hAnsiTheme="majorHAnsi"/>
          <w:sz w:val="20"/>
          <w:szCs w:val="20"/>
        </w:rPr>
        <w:t>STANDARDS</w:t>
      </w:r>
      <w:r w:rsidRPr="004D2D14">
        <w:rPr>
          <w:rFonts w:asciiTheme="majorHAnsi" w:hAnsiTheme="majorHAnsi"/>
          <w:spacing w:val="-47"/>
          <w:sz w:val="20"/>
          <w:szCs w:val="20"/>
          <w:lang w:val="uk-UA"/>
        </w:rPr>
        <w:t xml:space="preserve"> </w:t>
      </w:r>
      <w:r w:rsidRPr="000977F7">
        <w:rPr>
          <w:rFonts w:asciiTheme="majorHAnsi" w:hAnsiTheme="majorHAnsi"/>
          <w:sz w:val="20"/>
          <w:szCs w:val="20"/>
        </w:rPr>
        <w:t>ORGANISATION</w:t>
      </w:r>
      <w:r w:rsidRPr="004D2D14">
        <w:rPr>
          <w:rFonts w:asciiTheme="majorHAnsi" w:hAnsiTheme="majorHAnsi"/>
          <w:sz w:val="20"/>
          <w:szCs w:val="20"/>
          <w:lang w:val="uk-UA"/>
        </w:rPr>
        <w:t xml:space="preserve"> </w:t>
      </w:r>
    </w:p>
    <w:p w14:paraId="3038021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pacing w:val="-6"/>
          <w:sz w:val="20"/>
          <w:szCs w:val="20"/>
          <w:lang w:val="uk-UA"/>
        </w:rPr>
        <w:lastRenderedPageBreak/>
        <w:t xml:space="preserve">Організація із стандартизації, членство </w:t>
      </w:r>
      <w:r w:rsidRPr="004D2D14">
        <w:rPr>
          <w:rFonts w:asciiTheme="majorHAnsi" w:hAnsiTheme="majorHAnsi"/>
          <w:spacing w:val="-5"/>
          <w:sz w:val="20"/>
          <w:szCs w:val="20"/>
          <w:lang w:val="uk-UA"/>
        </w:rPr>
        <w:t>в якій відкрите для</w:t>
      </w:r>
      <w:r w:rsidRPr="004D2D14">
        <w:rPr>
          <w:rFonts w:asciiTheme="majorHAnsi" w:hAnsiTheme="majorHAnsi"/>
          <w:spacing w:val="-47"/>
          <w:sz w:val="20"/>
          <w:szCs w:val="20"/>
          <w:lang w:val="uk-UA"/>
        </w:rPr>
        <w:t xml:space="preserve">             </w:t>
      </w:r>
      <w:r w:rsidRPr="004D2D14">
        <w:rPr>
          <w:rFonts w:asciiTheme="majorHAnsi" w:hAnsiTheme="majorHAnsi"/>
          <w:spacing w:val="-2"/>
          <w:w w:val="95"/>
          <w:sz w:val="20"/>
          <w:szCs w:val="20"/>
          <w:lang w:val="uk-UA"/>
        </w:rPr>
        <w:t xml:space="preserve">відповідного національного </w:t>
      </w:r>
      <w:r w:rsidRPr="004D2D14">
        <w:rPr>
          <w:rFonts w:asciiTheme="majorHAnsi" w:hAnsiTheme="majorHAnsi"/>
          <w:spacing w:val="-1"/>
          <w:w w:val="95"/>
          <w:sz w:val="20"/>
          <w:szCs w:val="20"/>
          <w:lang w:val="uk-UA"/>
        </w:rPr>
        <w:t>органу будь-якої країни</w:t>
      </w:r>
      <w:r w:rsidRPr="004D2D14">
        <w:rPr>
          <w:rFonts w:asciiTheme="majorHAnsi" w:hAnsiTheme="majorHAnsi"/>
          <w:w w:val="95"/>
          <w:sz w:val="20"/>
          <w:szCs w:val="20"/>
          <w:lang w:val="uk-UA"/>
        </w:rPr>
        <w:t xml:space="preserve"> </w:t>
      </w:r>
      <w:r w:rsidRPr="004D2D14">
        <w:rPr>
          <w:rFonts w:asciiTheme="majorHAnsi" w:hAnsiTheme="majorHAnsi"/>
          <w:sz w:val="20"/>
          <w:szCs w:val="20"/>
          <w:lang w:val="uk-UA"/>
        </w:rPr>
        <w:t>Урядова</w:t>
      </w:r>
      <w:r w:rsidRPr="004D2D14">
        <w:rPr>
          <w:rFonts w:asciiTheme="majorHAnsi" w:hAnsiTheme="majorHAnsi"/>
          <w:spacing w:val="4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46"/>
          <w:sz w:val="20"/>
          <w:szCs w:val="20"/>
          <w:lang w:val="uk-UA"/>
        </w:rPr>
        <w:t xml:space="preserve"> </w:t>
      </w:r>
      <w:r w:rsidRPr="004D2D14">
        <w:rPr>
          <w:rFonts w:asciiTheme="majorHAnsi" w:hAnsiTheme="majorHAnsi"/>
          <w:sz w:val="20"/>
          <w:szCs w:val="20"/>
          <w:lang w:val="uk-UA"/>
        </w:rPr>
        <w:t>неурядова</w:t>
      </w:r>
      <w:r w:rsidRPr="004D2D14">
        <w:rPr>
          <w:rFonts w:asciiTheme="majorHAnsi" w:hAnsiTheme="majorHAnsi"/>
          <w:spacing w:val="42"/>
          <w:sz w:val="20"/>
          <w:szCs w:val="20"/>
          <w:lang w:val="uk-UA"/>
        </w:rPr>
        <w:t xml:space="preserve"> </w:t>
      </w:r>
      <w:r w:rsidRPr="004D2D14">
        <w:rPr>
          <w:rFonts w:asciiTheme="majorHAnsi" w:hAnsiTheme="majorHAnsi"/>
          <w:sz w:val="20"/>
          <w:szCs w:val="20"/>
          <w:lang w:val="uk-UA"/>
        </w:rPr>
        <w:t>організація,</w:t>
      </w:r>
      <w:r w:rsidRPr="004D2D14">
        <w:rPr>
          <w:rFonts w:asciiTheme="majorHAnsi" w:hAnsiTheme="majorHAnsi"/>
          <w:spacing w:val="43"/>
          <w:sz w:val="20"/>
          <w:szCs w:val="20"/>
          <w:lang w:val="uk-UA"/>
        </w:rPr>
        <w:t xml:space="preserve"> </w:t>
      </w:r>
      <w:r w:rsidRPr="004D2D14">
        <w:rPr>
          <w:rFonts w:asciiTheme="majorHAnsi" w:hAnsiTheme="majorHAnsi"/>
          <w:sz w:val="20"/>
          <w:szCs w:val="20"/>
          <w:lang w:val="uk-UA"/>
        </w:rPr>
        <w:t>членство</w:t>
      </w:r>
      <w:r w:rsidRPr="004D2D14">
        <w:rPr>
          <w:rFonts w:asciiTheme="majorHAnsi" w:hAnsiTheme="majorHAnsi"/>
          <w:spacing w:val="42"/>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44"/>
          <w:sz w:val="20"/>
          <w:szCs w:val="20"/>
          <w:lang w:val="uk-UA"/>
        </w:rPr>
        <w:t xml:space="preserve"> </w:t>
      </w:r>
      <w:r w:rsidRPr="004D2D14">
        <w:rPr>
          <w:rFonts w:asciiTheme="majorHAnsi" w:hAnsiTheme="majorHAnsi"/>
          <w:sz w:val="20"/>
          <w:szCs w:val="20"/>
          <w:lang w:val="uk-UA"/>
        </w:rPr>
        <w:t>якій</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відкрите</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будь-якої</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країни</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світу</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основна</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функція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якої,</w:t>
      </w:r>
      <w:r w:rsidRPr="004D2D14">
        <w:rPr>
          <w:rFonts w:asciiTheme="majorHAnsi" w:hAnsiTheme="majorHAnsi"/>
          <w:spacing w:val="21"/>
          <w:sz w:val="20"/>
          <w:szCs w:val="20"/>
          <w:lang w:val="uk-UA"/>
        </w:rPr>
        <w:t xml:space="preserve"> </w:t>
      </w:r>
      <w:r w:rsidRPr="004D2D14">
        <w:rPr>
          <w:rFonts w:asciiTheme="majorHAnsi" w:hAnsiTheme="majorHAnsi"/>
          <w:sz w:val="20"/>
          <w:szCs w:val="20"/>
          <w:lang w:val="uk-UA"/>
        </w:rPr>
        <w:t>відповідно</w:t>
      </w:r>
      <w:r w:rsidRPr="004D2D14">
        <w:rPr>
          <w:rFonts w:asciiTheme="majorHAnsi" w:hAnsiTheme="majorHAnsi"/>
          <w:spacing w:val="22"/>
          <w:sz w:val="20"/>
          <w:szCs w:val="20"/>
          <w:lang w:val="uk-UA"/>
        </w:rPr>
        <w:t xml:space="preserve"> </w:t>
      </w:r>
      <w:r w:rsidRPr="004D2D14">
        <w:rPr>
          <w:rFonts w:asciiTheme="majorHAnsi" w:hAnsiTheme="majorHAnsi"/>
          <w:sz w:val="20"/>
          <w:szCs w:val="20"/>
          <w:lang w:val="uk-UA"/>
        </w:rPr>
        <w:t>її</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статусу,</w:t>
      </w:r>
      <w:r w:rsidRPr="004D2D14">
        <w:rPr>
          <w:rFonts w:asciiTheme="majorHAnsi" w:hAnsiTheme="majorHAnsi"/>
          <w:spacing w:val="24"/>
          <w:sz w:val="20"/>
          <w:szCs w:val="20"/>
          <w:lang w:val="uk-UA"/>
        </w:rPr>
        <w:t xml:space="preserve"> </w:t>
      </w:r>
      <w:r w:rsidRPr="004D2D14">
        <w:rPr>
          <w:rFonts w:asciiTheme="majorHAnsi" w:hAnsiTheme="majorHAnsi"/>
          <w:sz w:val="20"/>
          <w:szCs w:val="20"/>
          <w:lang w:val="uk-UA"/>
        </w:rPr>
        <w:t>полягає</w:t>
      </w:r>
      <w:r w:rsidRPr="004D2D14">
        <w:rPr>
          <w:rFonts w:asciiTheme="majorHAnsi" w:hAnsiTheme="majorHAnsi"/>
          <w:spacing w:val="22"/>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розробці</w:t>
      </w:r>
      <w:r w:rsidRPr="004D2D14">
        <w:rPr>
          <w:rFonts w:asciiTheme="majorHAnsi" w:hAnsiTheme="majorHAnsi"/>
          <w:spacing w:val="25"/>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2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публікації</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стандартів</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гармонізації</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стандартів</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 xml:space="preserve">її </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членів</w:t>
      </w:r>
    </w:p>
    <w:p w14:paraId="6FB56BD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МІЖНАРОДНА</w:t>
      </w:r>
      <w:r w:rsidRPr="000977F7">
        <w:rPr>
          <w:color w:val="auto"/>
          <w:spacing w:val="-4"/>
          <w:sz w:val="20"/>
          <w:szCs w:val="20"/>
        </w:rPr>
        <w:t xml:space="preserve"> </w:t>
      </w:r>
      <w:r w:rsidRPr="000977F7">
        <w:rPr>
          <w:color w:val="auto"/>
          <w:sz w:val="20"/>
          <w:szCs w:val="20"/>
        </w:rPr>
        <w:t>СИСТЕМА</w:t>
      </w:r>
      <w:r w:rsidRPr="000977F7">
        <w:rPr>
          <w:color w:val="auto"/>
          <w:spacing w:val="-4"/>
          <w:sz w:val="20"/>
          <w:szCs w:val="20"/>
        </w:rPr>
        <w:t xml:space="preserve"> </w:t>
      </w:r>
      <w:r w:rsidRPr="000977F7">
        <w:rPr>
          <w:color w:val="auto"/>
          <w:sz w:val="20"/>
          <w:szCs w:val="20"/>
        </w:rPr>
        <w:t>ОДИНИЦЬ</w:t>
      </w:r>
      <w:r w:rsidRPr="000977F7">
        <w:rPr>
          <w:color w:val="auto"/>
          <w:spacing w:val="-3"/>
          <w:sz w:val="20"/>
          <w:szCs w:val="20"/>
        </w:rPr>
        <w:t xml:space="preserve"> </w:t>
      </w:r>
      <w:r w:rsidRPr="000977F7">
        <w:rPr>
          <w:color w:val="auto"/>
          <w:sz w:val="20"/>
          <w:szCs w:val="20"/>
        </w:rPr>
        <w:t>SI</w:t>
      </w:r>
      <w:r w:rsidRPr="000977F7">
        <w:rPr>
          <w:color w:val="auto"/>
          <w:spacing w:val="-1"/>
          <w:sz w:val="20"/>
          <w:szCs w:val="20"/>
        </w:rPr>
        <w:t xml:space="preserve"> </w:t>
      </w:r>
      <w:r w:rsidRPr="000977F7">
        <w:rPr>
          <w:color w:val="auto"/>
          <w:sz w:val="20"/>
          <w:szCs w:val="20"/>
        </w:rPr>
        <w:t>-</w:t>
      </w:r>
    </w:p>
    <w:p w14:paraId="1DF8455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INTENATIONAL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SYSTEM</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UNITS;</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SI</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58891A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Когерентна</w:t>
      </w:r>
      <w:r w:rsidRPr="000977F7">
        <w:rPr>
          <w:rFonts w:asciiTheme="majorHAnsi" w:hAnsiTheme="majorHAnsi"/>
          <w:spacing w:val="7"/>
          <w:sz w:val="20"/>
          <w:szCs w:val="20"/>
        </w:rPr>
        <w:t xml:space="preserve"> </w:t>
      </w:r>
      <w:r w:rsidRPr="000977F7">
        <w:rPr>
          <w:rFonts w:asciiTheme="majorHAnsi" w:hAnsiTheme="majorHAnsi"/>
          <w:sz w:val="20"/>
          <w:szCs w:val="20"/>
        </w:rPr>
        <w:t>система</w:t>
      </w:r>
      <w:r w:rsidRPr="000977F7">
        <w:rPr>
          <w:rFonts w:asciiTheme="majorHAnsi" w:hAnsiTheme="majorHAnsi"/>
          <w:spacing w:val="7"/>
          <w:sz w:val="20"/>
          <w:szCs w:val="20"/>
        </w:rPr>
        <w:t xml:space="preserve"> </w:t>
      </w:r>
      <w:r w:rsidRPr="000977F7">
        <w:rPr>
          <w:rFonts w:asciiTheme="majorHAnsi" w:hAnsiTheme="majorHAnsi"/>
          <w:sz w:val="20"/>
          <w:szCs w:val="20"/>
        </w:rPr>
        <w:t>одиниць,</w:t>
      </w:r>
      <w:r w:rsidRPr="000977F7">
        <w:rPr>
          <w:rFonts w:asciiTheme="majorHAnsi" w:hAnsiTheme="majorHAnsi"/>
          <w:spacing w:val="7"/>
          <w:sz w:val="20"/>
          <w:szCs w:val="20"/>
        </w:rPr>
        <w:t xml:space="preserve"> </w:t>
      </w:r>
      <w:r w:rsidRPr="000977F7">
        <w:rPr>
          <w:rFonts w:asciiTheme="majorHAnsi" w:hAnsiTheme="majorHAnsi"/>
          <w:sz w:val="20"/>
          <w:szCs w:val="20"/>
        </w:rPr>
        <w:t>прийнята</w:t>
      </w:r>
      <w:r w:rsidRPr="000977F7">
        <w:rPr>
          <w:rFonts w:asciiTheme="majorHAnsi" w:hAnsiTheme="majorHAnsi"/>
          <w:spacing w:val="7"/>
          <w:sz w:val="20"/>
          <w:szCs w:val="20"/>
        </w:rPr>
        <w:t xml:space="preserve"> </w:t>
      </w:r>
      <w:r w:rsidRPr="000977F7">
        <w:rPr>
          <w:rFonts w:asciiTheme="majorHAnsi" w:hAnsiTheme="majorHAnsi"/>
          <w:sz w:val="20"/>
          <w:szCs w:val="20"/>
        </w:rPr>
        <w:t>та</w:t>
      </w:r>
      <w:r w:rsidRPr="000977F7">
        <w:rPr>
          <w:rFonts w:asciiTheme="majorHAnsi" w:hAnsiTheme="majorHAnsi"/>
          <w:spacing w:val="7"/>
          <w:sz w:val="20"/>
          <w:szCs w:val="20"/>
        </w:rPr>
        <w:t xml:space="preserve"> </w:t>
      </w:r>
      <w:r w:rsidRPr="000977F7">
        <w:rPr>
          <w:rFonts w:asciiTheme="majorHAnsi" w:hAnsiTheme="majorHAnsi"/>
          <w:sz w:val="20"/>
          <w:szCs w:val="20"/>
        </w:rPr>
        <w:t>рекомендована</w:t>
      </w:r>
      <w:r w:rsidRPr="000977F7">
        <w:rPr>
          <w:rFonts w:asciiTheme="majorHAnsi" w:hAnsiTheme="majorHAnsi"/>
          <w:spacing w:val="-3"/>
          <w:sz w:val="20"/>
          <w:szCs w:val="20"/>
        </w:rPr>
        <w:t xml:space="preserve"> </w:t>
      </w:r>
      <w:r w:rsidRPr="000977F7">
        <w:rPr>
          <w:rFonts w:asciiTheme="majorHAnsi" w:hAnsiTheme="majorHAnsi"/>
          <w:sz w:val="20"/>
          <w:szCs w:val="20"/>
        </w:rPr>
        <w:t>Генеральною</w:t>
      </w:r>
      <w:r w:rsidRPr="000977F7">
        <w:rPr>
          <w:rFonts w:asciiTheme="majorHAnsi" w:hAnsiTheme="majorHAnsi"/>
          <w:spacing w:val="-1"/>
          <w:sz w:val="20"/>
          <w:szCs w:val="20"/>
        </w:rPr>
        <w:t xml:space="preserve"> </w:t>
      </w:r>
      <w:r w:rsidRPr="000977F7">
        <w:rPr>
          <w:rFonts w:asciiTheme="majorHAnsi" w:hAnsiTheme="majorHAnsi"/>
          <w:sz w:val="20"/>
          <w:szCs w:val="20"/>
        </w:rPr>
        <w:t>Конференцію</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3"/>
          <w:sz w:val="20"/>
          <w:szCs w:val="20"/>
        </w:rPr>
        <w:t xml:space="preserve"> </w:t>
      </w:r>
      <w:r w:rsidRPr="000977F7">
        <w:rPr>
          <w:rFonts w:asciiTheme="majorHAnsi" w:hAnsiTheme="majorHAnsi"/>
          <w:sz w:val="20"/>
          <w:szCs w:val="20"/>
        </w:rPr>
        <w:t>мір</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ваг</w:t>
      </w:r>
      <w:r w:rsidRPr="000977F7">
        <w:rPr>
          <w:rFonts w:asciiTheme="majorHAnsi" w:hAnsiTheme="majorHAnsi"/>
          <w:spacing w:val="-3"/>
          <w:sz w:val="20"/>
          <w:szCs w:val="20"/>
        </w:rPr>
        <w:t xml:space="preserve"> </w:t>
      </w:r>
      <w:r w:rsidRPr="000977F7">
        <w:rPr>
          <w:rFonts w:asciiTheme="majorHAnsi" w:hAnsiTheme="majorHAnsi"/>
          <w:sz w:val="20"/>
          <w:szCs w:val="20"/>
        </w:rPr>
        <w:t>(ГКМВ)</w:t>
      </w:r>
    </w:p>
    <w:p w14:paraId="1EBF49E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МІЖНАРОДНА СТАНДАРТИЗАЦІЯ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INTERNATIONAL</w:t>
      </w:r>
      <w:r w:rsidRPr="000977F7">
        <w:rPr>
          <w:rFonts w:asciiTheme="majorHAnsi" w:hAnsiTheme="majorHAnsi"/>
          <w:spacing w:val="-6"/>
          <w:sz w:val="20"/>
          <w:szCs w:val="20"/>
        </w:rPr>
        <w:t xml:space="preserve"> </w:t>
      </w:r>
      <w:r w:rsidRPr="000977F7">
        <w:rPr>
          <w:rFonts w:asciiTheme="majorHAnsi" w:hAnsiTheme="majorHAnsi"/>
          <w:sz w:val="20"/>
          <w:szCs w:val="20"/>
        </w:rPr>
        <w:t>STANDARDIZATION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B831D4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Стандартизація,</w:t>
      </w:r>
      <w:r w:rsidRPr="000977F7">
        <w:rPr>
          <w:rFonts w:asciiTheme="majorHAnsi" w:hAnsiTheme="majorHAnsi"/>
          <w:spacing w:val="40"/>
          <w:sz w:val="20"/>
          <w:szCs w:val="20"/>
        </w:rPr>
        <w:t xml:space="preserve"> </w:t>
      </w:r>
      <w:r w:rsidRPr="000977F7">
        <w:rPr>
          <w:rFonts w:asciiTheme="majorHAnsi" w:hAnsiTheme="majorHAnsi"/>
          <w:sz w:val="20"/>
          <w:szCs w:val="20"/>
        </w:rPr>
        <w:t>участь</w:t>
      </w:r>
      <w:r w:rsidRPr="000977F7">
        <w:rPr>
          <w:rFonts w:asciiTheme="majorHAnsi" w:hAnsiTheme="majorHAnsi"/>
          <w:spacing w:val="40"/>
          <w:sz w:val="20"/>
          <w:szCs w:val="20"/>
        </w:rPr>
        <w:t xml:space="preserve"> </w:t>
      </w:r>
      <w:r w:rsidRPr="000977F7">
        <w:rPr>
          <w:rFonts w:asciiTheme="majorHAnsi" w:hAnsiTheme="majorHAnsi"/>
          <w:sz w:val="20"/>
          <w:szCs w:val="20"/>
        </w:rPr>
        <w:t>у</w:t>
      </w:r>
      <w:r w:rsidRPr="000977F7">
        <w:rPr>
          <w:rFonts w:asciiTheme="majorHAnsi" w:hAnsiTheme="majorHAnsi"/>
          <w:spacing w:val="39"/>
          <w:sz w:val="20"/>
          <w:szCs w:val="20"/>
        </w:rPr>
        <w:t xml:space="preserve"> </w:t>
      </w:r>
      <w:r w:rsidRPr="000977F7">
        <w:rPr>
          <w:rFonts w:asciiTheme="majorHAnsi" w:hAnsiTheme="majorHAnsi"/>
          <w:sz w:val="20"/>
          <w:szCs w:val="20"/>
        </w:rPr>
        <w:t>якій</w:t>
      </w:r>
      <w:r w:rsidRPr="000977F7">
        <w:rPr>
          <w:rFonts w:asciiTheme="majorHAnsi" w:hAnsiTheme="majorHAnsi"/>
          <w:spacing w:val="40"/>
          <w:sz w:val="20"/>
          <w:szCs w:val="20"/>
        </w:rPr>
        <w:t xml:space="preserve"> </w:t>
      </w:r>
      <w:r w:rsidRPr="000977F7">
        <w:rPr>
          <w:rFonts w:asciiTheme="majorHAnsi" w:hAnsiTheme="majorHAnsi"/>
          <w:sz w:val="20"/>
          <w:szCs w:val="20"/>
        </w:rPr>
        <w:t>відкрита</w:t>
      </w:r>
      <w:r w:rsidRPr="000977F7">
        <w:rPr>
          <w:rFonts w:asciiTheme="majorHAnsi" w:hAnsiTheme="majorHAnsi"/>
          <w:spacing w:val="39"/>
          <w:sz w:val="20"/>
          <w:szCs w:val="20"/>
        </w:rPr>
        <w:t xml:space="preserve"> </w:t>
      </w:r>
      <w:r w:rsidRPr="000977F7">
        <w:rPr>
          <w:rFonts w:asciiTheme="majorHAnsi" w:hAnsiTheme="majorHAnsi"/>
          <w:sz w:val="20"/>
          <w:szCs w:val="20"/>
        </w:rPr>
        <w:t>для</w:t>
      </w:r>
      <w:r w:rsidRPr="000977F7">
        <w:rPr>
          <w:rFonts w:asciiTheme="majorHAnsi" w:hAnsiTheme="majorHAnsi"/>
          <w:spacing w:val="40"/>
          <w:sz w:val="20"/>
          <w:szCs w:val="20"/>
        </w:rPr>
        <w:t xml:space="preserve"> </w:t>
      </w:r>
      <w:r w:rsidRPr="000977F7">
        <w:rPr>
          <w:rFonts w:asciiTheme="majorHAnsi" w:hAnsiTheme="majorHAnsi"/>
          <w:sz w:val="20"/>
          <w:szCs w:val="20"/>
        </w:rPr>
        <w:t>відповідних</w:t>
      </w:r>
      <w:r w:rsidRPr="000977F7">
        <w:rPr>
          <w:rFonts w:asciiTheme="majorHAnsi" w:hAnsiTheme="majorHAnsi"/>
          <w:spacing w:val="-1"/>
          <w:sz w:val="20"/>
          <w:szCs w:val="20"/>
        </w:rPr>
        <w:t xml:space="preserve"> </w:t>
      </w:r>
      <w:r w:rsidRPr="000977F7">
        <w:rPr>
          <w:rFonts w:asciiTheme="majorHAnsi" w:hAnsiTheme="majorHAnsi"/>
          <w:sz w:val="20"/>
          <w:szCs w:val="20"/>
        </w:rPr>
        <w:t>органів</w:t>
      </w:r>
      <w:r w:rsidRPr="000977F7">
        <w:rPr>
          <w:rFonts w:asciiTheme="majorHAnsi" w:hAnsiTheme="majorHAnsi"/>
          <w:spacing w:val="-1"/>
          <w:sz w:val="20"/>
          <w:szCs w:val="20"/>
        </w:rPr>
        <w:t xml:space="preserve"> </w:t>
      </w:r>
      <w:r w:rsidRPr="000977F7">
        <w:rPr>
          <w:rFonts w:asciiTheme="majorHAnsi" w:hAnsiTheme="majorHAnsi"/>
          <w:sz w:val="20"/>
          <w:szCs w:val="20"/>
        </w:rPr>
        <w:t>усіх</w:t>
      </w:r>
      <w:r w:rsidRPr="000977F7">
        <w:rPr>
          <w:rFonts w:asciiTheme="majorHAnsi" w:hAnsiTheme="majorHAnsi"/>
          <w:spacing w:val="-3"/>
          <w:sz w:val="20"/>
          <w:szCs w:val="20"/>
        </w:rPr>
        <w:t xml:space="preserve"> </w:t>
      </w:r>
      <w:r w:rsidRPr="000977F7">
        <w:rPr>
          <w:rFonts w:asciiTheme="majorHAnsi" w:hAnsiTheme="majorHAnsi"/>
          <w:sz w:val="20"/>
          <w:szCs w:val="20"/>
        </w:rPr>
        <w:t>держав.</w:t>
      </w:r>
    </w:p>
    <w:p w14:paraId="6006F805" w14:textId="77777777" w:rsidR="0097612F" w:rsidRPr="000977F7" w:rsidRDefault="0097612F" w:rsidP="000977F7">
      <w:pPr>
        <w:tabs>
          <w:tab w:val="left" w:pos="284"/>
          <w:tab w:val="left" w:pos="2397"/>
          <w:tab w:val="left" w:pos="4957"/>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П. 9 ч. 1 ст. 1 закону України "Про стандартизацію"</w:t>
      </w:r>
    </w:p>
    <w:p w14:paraId="0665BFBF" w14:textId="77777777" w:rsidR="0097612F" w:rsidRPr="000977F7" w:rsidRDefault="0097612F" w:rsidP="000977F7">
      <w:pPr>
        <w:tabs>
          <w:tab w:val="left" w:pos="284"/>
          <w:tab w:val="left" w:pos="2397"/>
          <w:tab w:val="left" w:pos="4957"/>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 xml:space="preserve">МІЖНАРОДНЕ СПІВРОБІТНИЦТВО </w:t>
      </w:r>
      <w:r w:rsidRPr="000977F7">
        <w:rPr>
          <w:rFonts w:asciiTheme="majorHAnsi" w:hAnsiTheme="majorHAnsi"/>
          <w:b/>
          <w:spacing w:val="-3"/>
          <w:sz w:val="20"/>
          <w:szCs w:val="20"/>
        </w:rPr>
        <w:t>У</w:t>
      </w:r>
      <w:r w:rsidRPr="000977F7">
        <w:rPr>
          <w:rFonts w:asciiTheme="majorHAnsi" w:hAnsiTheme="majorHAnsi"/>
          <w:b/>
          <w:spacing w:val="-52"/>
          <w:sz w:val="20"/>
          <w:szCs w:val="20"/>
        </w:rPr>
        <w:t xml:space="preserve"> </w:t>
      </w:r>
      <w:r w:rsidRPr="000977F7">
        <w:rPr>
          <w:rFonts w:asciiTheme="majorHAnsi" w:hAnsiTheme="majorHAnsi"/>
          <w:b/>
          <w:sz w:val="20"/>
          <w:szCs w:val="20"/>
        </w:rPr>
        <w:t>СФЕРІ</w:t>
      </w:r>
      <w:r w:rsidRPr="000977F7">
        <w:rPr>
          <w:rFonts w:asciiTheme="majorHAnsi" w:hAnsiTheme="majorHAnsi"/>
          <w:b/>
          <w:spacing w:val="-1"/>
          <w:sz w:val="20"/>
          <w:szCs w:val="20"/>
        </w:rPr>
        <w:t xml:space="preserve"> </w:t>
      </w:r>
      <w:r w:rsidRPr="000977F7">
        <w:rPr>
          <w:rFonts w:asciiTheme="majorHAnsi" w:hAnsiTheme="majorHAnsi"/>
          <w:b/>
          <w:sz w:val="20"/>
          <w:szCs w:val="20"/>
        </w:rPr>
        <w:t>СТАНДАРТИЗАЦІЇ -</w:t>
      </w:r>
    </w:p>
    <w:p w14:paraId="0879B36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Центральний орган виконавчої влади, що забезпечує</w:t>
      </w:r>
      <w:r w:rsidRPr="000977F7">
        <w:rPr>
          <w:rFonts w:asciiTheme="majorHAnsi" w:hAnsiTheme="majorHAnsi"/>
          <w:spacing w:val="1"/>
          <w:sz w:val="20"/>
          <w:szCs w:val="20"/>
        </w:rPr>
        <w:t xml:space="preserve"> </w:t>
      </w:r>
      <w:r w:rsidRPr="000977F7">
        <w:rPr>
          <w:rFonts w:asciiTheme="majorHAnsi" w:hAnsiTheme="majorHAnsi"/>
          <w:sz w:val="20"/>
          <w:szCs w:val="20"/>
        </w:rPr>
        <w:t>формування державної політики у сфері 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вживає</w:t>
      </w:r>
      <w:r w:rsidRPr="000977F7">
        <w:rPr>
          <w:rFonts w:asciiTheme="majorHAnsi" w:hAnsiTheme="majorHAnsi"/>
          <w:spacing w:val="1"/>
          <w:sz w:val="20"/>
          <w:szCs w:val="20"/>
        </w:rPr>
        <w:t xml:space="preserve"> </w:t>
      </w:r>
      <w:r w:rsidRPr="000977F7">
        <w:rPr>
          <w:rFonts w:asciiTheme="majorHAnsi" w:hAnsiTheme="majorHAnsi"/>
          <w:sz w:val="20"/>
          <w:szCs w:val="20"/>
        </w:rPr>
        <w:t>заходів</w:t>
      </w:r>
      <w:r w:rsidRPr="000977F7">
        <w:rPr>
          <w:rFonts w:asciiTheme="majorHAnsi" w:hAnsiTheme="majorHAnsi"/>
          <w:spacing w:val="1"/>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адаптації</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законодавства</w:t>
      </w:r>
      <w:r w:rsidRPr="000977F7">
        <w:rPr>
          <w:rFonts w:asciiTheme="majorHAnsi" w:hAnsiTheme="majorHAnsi"/>
          <w:spacing w:val="1"/>
          <w:sz w:val="20"/>
          <w:szCs w:val="20"/>
        </w:rPr>
        <w:t xml:space="preserve"> </w:t>
      </w:r>
      <w:r w:rsidRPr="000977F7">
        <w:rPr>
          <w:rFonts w:asciiTheme="majorHAnsi" w:hAnsiTheme="majorHAnsi"/>
          <w:sz w:val="20"/>
          <w:szCs w:val="20"/>
        </w:rPr>
        <w:t>України у сфері стандартизації до законодавства Європейського Союзу.</w:t>
      </w:r>
    </w:p>
    <w:p w14:paraId="3FE3D53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Центральний орган виконавчої влади, що забезпечує</w:t>
      </w:r>
      <w:r w:rsidRPr="000977F7">
        <w:rPr>
          <w:rFonts w:asciiTheme="majorHAnsi" w:hAnsiTheme="majorHAnsi"/>
          <w:spacing w:val="1"/>
          <w:sz w:val="20"/>
          <w:szCs w:val="20"/>
        </w:rPr>
        <w:t xml:space="preserve"> </w:t>
      </w:r>
      <w:r w:rsidRPr="000977F7">
        <w:rPr>
          <w:rFonts w:asciiTheme="majorHAnsi" w:hAnsiTheme="majorHAnsi"/>
          <w:sz w:val="20"/>
          <w:szCs w:val="20"/>
        </w:rPr>
        <w:t>формування державної політики у сфері стандартизації, та національний орган стандартизації в межах своїх повноважень здійснюють співробітництво у зазначеній</w:t>
      </w:r>
      <w:r w:rsidRPr="000977F7">
        <w:rPr>
          <w:rFonts w:asciiTheme="majorHAnsi" w:hAnsiTheme="majorHAnsi"/>
          <w:spacing w:val="-3"/>
          <w:sz w:val="20"/>
          <w:szCs w:val="20"/>
        </w:rPr>
        <w:t xml:space="preserve"> </w:t>
      </w:r>
      <w:r w:rsidRPr="000977F7">
        <w:rPr>
          <w:rFonts w:asciiTheme="majorHAnsi" w:hAnsiTheme="majorHAnsi"/>
          <w:sz w:val="20"/>
          <w:szCs w:val="20"/>
        </w:rPr>
        <w:t>сфері</w:t>
      </w:r>
      <w:r w:rsidRPr="000977F7">
        <w:rPr>
          <w:rFonts w:asciiTheme="majorHAnsi" w:hAnsiTheme="majorHAnsi"/>
          <w:spacing w:val="-3"/>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відповідними</w:t>
      </w:r>
      <w:r w:rsidRPr="000977F7">
        <w:rPr>
          <w:rFonts w:asciiTheme="majorHAnsi" w:hAnsiTheme="majorHAnsi"/>
          <w:spacing w:val="-1"/>
          <w:sz w:val="20"/>
          <w:szCs w:val="20"/>
        </w:rPr>
        <w:t xml:space="preserve"> </w:t>
      </w:r>
      <w:r w:rsidRPr="000977F7">
        <w:rPr>
          <w:rFonts w:asciiTheme="majorHAnsi" w:hAnsiTheme="majorHAnsi"/>
          <w:sz w:val="20"/>
          <w:szCs w:val="20"/>
        </w:rPr>
        <w:t>органами</w:t>
      </w:r>
      <w:r w:rsidRPr="000977F7">
        <w:rPr>
          <w:rFonts w:asciiTheme="majorHAnsi" w:hAnsiTheme="majorHAnsi"/>
          <w:spacing w:val="-3"/>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держав.</w:t>
      </w:r>
    </w:p>
    <w:p w14:paraId="2277DA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Центральний орган виконавчої влади, що забезпечує</w:t>
      </w:r>
      <w:r w:rsidRPr="000977F7">
        <w:rPr>
          <w:rFonts w:asciiTheme="majorHAnsi" w:hAnsiTheme="majorHAnsi"/>
          <w:spacing w:val="1"/>
          <w:sz w:val="20"/>
          <w:szCs w:val="20"/>
        </w:rPr>
        <w:t xml:space="preserve"> </w:t>
      </w:r>
      <w:r w:rsidRPr="000977F7">
        <w:rPr>
          <w:rFonts w:asciiTheme="majorHAnsi" w:hAnsiTheme="majorHAnsi"/>
          <w:sz w:val="20"/>
          <w:szCs w:val="20"/>
        </w:rPr>
        <w:t>формування державної політики у сфері стандартизації, представляє інтереси України в міжурядових організаціях стандартизації, укладає міжнародні договори України про співробітництво та проведення робіт у</w:t>
      </w:r>
      <w:r w:rsidRPr="000977F7">
        <w:rPr>
          <w:rFonts w:asciiTheme="majorHAnsi" w:hAnsiTheme="majorHAnsi"/>
          <w:spacing w:val="-47"/>
          <w:sz w:val="20"/>
          <w:szCs w:val="20"/>
        </w:rPr>
        <w:t xml:space="preserve"> </w:t>
      </w:r>
      <w:r w:rsidRPr="000977F7">
        <w:rPr>
          <w:rFonts w:asciiTheme="majorHAnsi" w:hAnsiTheme="majorHAnsi"/>
          <w:sz w:val="20"/>
          <w:szCs w:val="20"/>
        </w:rPr>
        <w:t>сфері стандартизації з такими організаціями та відповідними урядовими і міжурядовими органами інших</w:t>
      </w:r>
      <w:r w:rsidRPr="000977F7">
        <w:rPr>
          <w:rFonts w:asciiTheme="majorHAnsi" w:hAnsiTheme="majorHAnsi"/>
          <w:spacing w:val="1"/>
          <w:sz w:val="20"/>
          <w:szCs w:val="20"/>
        </w:rPr>
        <w:t xml:space="preserve"> </w:t>
      </w:r>
      <w:r w:rsidRPr="000977F7">
        <w:rPr>
          <w:rFonts w:asciiTheme="majorHAnsi" w:hAnsiTheme="majorHAnsi"/>
          <w:sz w:val="20"/>
          <w:szCs w:val="20"/>
        </w:rPr>
        <w:t xml:space="preserve">держав відповідно до </w:t>
      </w:r>
      <w:bookmarkStart w:id="126" w:name="_Hlk105849599"/>
      <w:r w:rsidRPr="000977F7">
        <w:rPr>
          <w:rFonts w:asciiTheme="majorHAnsi" w:hAnsiTheme="majorHAnsi"/>
          <w:sz w:val="20"/>
          <w:szCs w:val="20"/>
        </w:rPr>
        <w:t>Закону України "Про міжнародні</w:t>
      </w:r>
      <w:r w:rsidRPr="000977F7">
        <w:rPr>
          <w:rFonts w:asciiTheme="majorHAnsi" w:hAnsiTheme="majorHAnsi"/>
          <w:spacing w:val="-2"/>
          <w:sz w:val="20"/>
          <w:szCs w:val="20"/>
        </w:rPr>
        <w:t xml:space="preserve"> </w:t>
      </w:r>
      <w:r w:rsidRPr="000977F7">
        <w:rPr>
          <w:rFonts w:asciiTheme="majorHAnsi" w:hAnsiTheme="majorHAnsi"/>
          <w:sz w:val="20"/>
          <w:szCs w:val="20"/>
        </w:rPr>
        <w:t>договори</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p>
    <w:bookmarkEnd w:id="126"/>
    <w:p w14:paraId="6AF31A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Національний орган стандартизації представляє інтереси України в міжнародних та регіональних організаціях</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приймає</w:t>
      </w:r>
      <w:r w:rsidRPr="000977F7">
        <w:rPr>
          <w:rFonts w:asciiTheme="majorHAnsi" w:hAnsiTheme="majorHAnsi"/>
          <w:spacing w:val="1"/>
          <w:sz w:val="20"/>
          <w:szCs w:val="20"/>
        </w:rPr>
        <w:t xml:space="preserve"> </w:t>
      </w:r>
      <w:r w:rsidRPr="000977F7">
        <w:rPr>
          <w:rFonts w:asciiTheme="majorHAnsi" w:hAnsiTheme="majorHAnsi"/>
          <w:sz w:val="20"/>
          <w:szCs w:val="20"/>
        </w:rPr>
        <w:t>рішення</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приєднання до них, укладає договори про співробітництво</w:t>
      </w:r>
      <w:r w:rsidRPr="000977F7">
        <w:rPr>
          <w:rFonts w:asciiTheme="majorHAnsi" w:hAnsiTheme="majorHAnsi"/>
          <w:spacing w:val="1"/>
          <w:sz w:val="20"/>
          <w:szCs w:val="20"/>
        </w:rPr>
        <w:t xml:space="preserve"> </w:t>
      </w:r>
      <w:r w:rsidRPr="000977F7">
        <w:rPr>
          <w:rFonts w:asciiTheme="majorHAnsi" w:hAnsiTheme="majorHAnsi"/>
          <w:sz w:val="20"/>
          <w:szCs w:val="20"/>
        </w:rPr>
        <w:t>та проведення робіт у сфері стандартизації з національними</w:t>
      </w:r>
      <w:r w:rsidRPr="000977F7">
        <w:rPr>
          <w:rFonts w:asciiTheme="majorHAnsi" w:hAnsiTheme="majorHAnsi"/>
          <w:spacing w:val="-2"/>
          <w:sz w:val="20"/>
          <w:szCs w:val="20"/>
        </w:rPr>
        <w:t xml:space="preserve"> </w:t>
      </w:r>
      <w:r w:rsidRPr="000977F7">
        <w:rPr>
          <w:rFonts w:asciiTheme="majorHAnsi" w:hAnsiTheme="majorHAnsi"/>
          <w:sz w:val="20"/>
          <w:szCs w:val="20"/>
        </w:rPr>
        <w:t>органами</w:t>
      </w:r>
      <w:r w:rsidRPr="000977F7">
        <w:rPr>
          <w:rFonts w:asciiTheme="majorHAnsi" w:hAnsiTheme="majorHAnsi"/>
          <w:spacing w:val="-2"/>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2"/>
          <w:sz w:val="20"/>
          <w:szCs w:val="20"/>
        </w:rPr>
        <w:t xml:space="preserve"> </w:t>
      </w:r>
      <w:r w:rsidRPr="000977F7">
        <w:rPr>
          <w:rFonts w:asciiTheme="majorHAnsi" w:hAnsiTheme="majorHAnsi"/>
          <w:sz w:val="20"/>
          <w:szCs w:val="20"/>
        </w:rPr>
        <w:t>інших</w:t>
      </w:r>
      <w:r w:rsidRPr="000977F7">
        <w:rPr>
          <w:rFonts w:asciiTheme="majorHAnsi" w:hAnsiTheme="majorHAnsi"/>
          <w:spacing w:val="-2"/>
          <w:sz w:val="20"/>
          <w:szCs w:val="20"/>
        </w:rPr>
        <w:t xml:space="preserve"> </w:t>
      </w:r>
      <w:r w:rsidRPr="000977F7">
        <w:rPr>
          <w:rFonts w:asciiTheme="majorHAnsi" w:hAnsiTheme="majorHAnsi"/>
          <w:sz w:val="20"/>
          <w:szCs w:val="20"/>
        </w:rPr>
        <w:t>держав.</w:t>
      </w:r>
    </w:p>
    <w:p w14:paraId="0B41EFF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Національний</w:t>
      </w:r>
      <w:r w:rsidRPr="000977F7">
        <w:rPr>
          <w:rFonts w:asciiTheme="majorHAnsi" w:hAnsiTheme="majorHAnsi"/>
          <w:spacing w:val="1"/>
          <w:sz w:val="20"/>
          <w:szCs w:val="20"/>
        </w:rPr>
        <w:t xml:space="preserve"> </w:t>
      </w:r>
      <w:r w:rsidRPr="000977F7">
        <w:rPr>
          <w:rFonts w:asciiTheme="majorHAnsi" w:hAnsiTheme="majorHAnsi"/>
          <w:sz w:val="20"/>
          <w:szCs w:val="20"/>
        </w:rPr>
        <w:t>орган</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вживає</w:t>
      </w:r>
      <w:r w:rsidRPr="000977F7">
        <w:rPr>
          <w:rFonts w:asciiTheme="majorHAnsi" w:hAnsiTheme="majorHAnsi"/>
          <w:spacing w:val="1"/>
          <w:sz w:val="20"/>
          <w:szCs w:val="20"/>
        </w:rPr>
        <w:t xml:space="preserve"> </w:t>
      </w:r>
      <w:r w:rsidRPr="000977F7">
        <w:rPr>
          <w:rFonts w:asciiTheme="majorHAnsi" w:hAnsiTheme="majorHAnsi"/>
          <w:sz w:val="20"/>
          <w:szCs w:val="20"/>
        </w:rPr>
        <w:t>заходів</w:t>
      </w:r>
      <w:r w:rsidRPr="000977F7">
        <w:rPr>
          <w:rFonts w:asciiTheme="majorHAnsi" w:hAnsiTheme="majorHAnsi"/>
          <w:spacing w:val="1"/>
          <w:sz w:val="20"/>
          <w:szCs w:val="20"/>
        </w:rPr>
        <w:t xml:space="preserve"> </w:t>
      </w:r>
      <w:r w:rsidRPr="000977F7">
        <w:rPr>
          <w:rFonts w:asciiTheme="majorHAnsi" w:hAnsiTheme="majorHAnsi"/>
          <w:sz w:val="20"/>
          <w:szCs w:val="20"/>
        </w:rPr>
        <w:t>щодо виконання зобов’язань, узятих за результатами</w:t>
      </w:r>
      <w:r w:rsidRPr="000977F7">
        <w:rPr>
          <w:rFonts w:asciiTheme="majorHAnsi" w:hAnsiTheme="majorHAnsi"/>
          <w:spacing w:val="1"/>
          <w:sz w:val="20"/>
          <w:szCs w:val="20"/>
        </w:rPr>
        <w:t xml:space="preserve"> </w:t>
      </w:r>
      <w:r w:rsidRPr="000977F7">
        <w:rPr>
          <w:rFonts w:asciiTheme="majorHAnsi" w:hAnsiTheme="majorHAnsi"/>
          <w:sz w:val="20"/>
          <w:szCs w:val="20"/>
        </w:rPr>
        <w:t>участі</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міжнародних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регіональних</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організаціях</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p>
    <w:p w14:paraId="7B9EFED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разі</w:t>
      </w:r>
      <w:r w:rsidRPr="000977F7">
        <w:rPr>
          <w:rFonts w:asciiTheme="majorHAnsi" w:hAnsiTheme="majorHAnsi"/>
          <w:spacing w:val="1"/>
          <w:sz w:val="20"/>
          <w:szCs w:val="20"/>
        </w:rPr>
        <w:t xml:space="preserve"> </w:t>
      </w:r>
      <w:r w:rsidRPr="000977F7">
        <w:rPr>
          <w:rFonts w:asciiTheme="majorHAnsi" w:hAnsiTheme="majorHAnsi"/>
          <w:sz w:val="20"/>
          <w:szCs w:val="20"/>
        </w:rPr>
        <w:t>якщо</w:t>
      </w:r>
      <w:r w:rsidRPr="000977F7">
        <w:rPr>
          <w:rFonts w:asciiTheme="majorHAnsi" w:hAnsiTheme="majorHAnsi"/>
          <w:spacing w:val="1"/>
          <w:sz w:val="20"/>
          <w:szCs w:val="20"/>
        </w:rPr>
        <w:t xml:space="preserve"> </w:t>
      </w:r>
      <w:r w:rsidRPr="000977F7">
        <w:rPr>
          <w:rFonts w:asciiTheme="majorHAnsi" w:hAnsiTheme="majorHAnsi"/>
          <w:sz w:val="20"/>
          <w:szCs w:val="20"/>
        </w:rPr>
        <w:t>міжнародними</w:t>
      </w:r>
      <w:r w:rsidRPr="000977F7">
        <w:rPr>
          <w:rFonts w:asciiTheme="majorHAnsi" w:hAnsiTheme="majorHAnsi"/>
          <w:spacing w:val="1"/>
          <w:sz w:val="20"/>
          <w:szCs w:val="20"/>
        </w:rPr>
        <w:t xml:space="preserve"> </w:t>
      </w:r>
      <w:r w:rsidRPr="000977F7">
        <w:rPr>
          <w:rFonts w:asciiTheme="majorHAnsi" w:hAnsiTheme="majorHAnsi"/>
          <w:sz w:val="20"/>
          <w:szCs w:val="20"/>
        </w:rPr>
        <w:t>договорами</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r w:rsidRPr="000977F7">
        <w:rPr>
          <w:rFonts w:asciiTheme="majorHAnsi" w:hAnsiTheme="majorHAnsi"/>
          <w:spacing w:val="1"/>
          <w:sz w:val="20"/>
          <w:szCs w:val="20"/>
        </w:rPr>
        <w:t xml:space="preserve"> </w:t>
      </w:r>
      <w:r w:rsidRPr="000977F7">
        <w:rPr>
          <w:rFonts w:asciiTheme="majorHAnsi" w:hAnsiTheme="majorHAnsi"/>
          <w:sz w:val="20"/>
          <w:szCs w:val="20"/>
        </w:rPr>
        <w:t>згода на обов’язковість яких надана Верховною Радою України, встановлено інші правила, ніж ті, що</w:t>
      </w:r>
      <w:r w:rsidRPr="000977F7">
        <w:rPr>
          <w:rFonts w:asciiTheme="majorHAnsi" w:hAnsiTheme="majorHAnsi"/>
          <w:spacing w:val="1"/>
          <w:sz w:val="20"/>
          <w:szCs w:val="20"/>
        </w:rPr>
        <w:t xml:space="preserve"> </w:t>
      </w:r>
      <w:r w:rsidRPr="000977F7">
        <w:rPr>
          <w:rFonts w:asciiTheme="majorHAnsi" w:hAnsiTheme="majorHAnsi"/>
          <w:sz w:val="20"/>
          <w:szCs w:val="20"/>
        </w:rPr>
        <w:t>передбачені</w:t>
      </w:r>
      <w:r w:rsidRPr="000977F7">
        <w:rPr>
          <w:rFonts w:asciiTheme="majorHAnsi" w:hAnsiTheme="majorHAnsi"/>
          <w:spacing w:val="1"/>
          <w:sz w:val="20"/>
          <w:szCs w:val="20"/>
        </w:rPr>
        <w:t xml:space="preserve"> </w:t>
      </w:r>
      <w:r w:rsidRPr="000977F7">
        <w:rPr>
          <w:rFonts w:asciiTheme="majorHAnsi" w:hAnsiTheme="majorHAnsi"/>
          <w:sz w:val="20"/>
          <w:szCs w:val="20"/>
        </w:rPr>
        <w:t>цим</w:t>
      </w:r>
      <w:r w:rsidRPr="000977F7">
        <w:rPr>
          <w:rFonts w:asciiTheme="majorHAnsi" w:hAnsiTheme="majorHAnsi"/>
          <w:spacing w:val="1"/>
          <w:sz w:val="20"/>
          <w:szCs w:val="20"/>
        </w:rPr>
        <w:t xml:space="preserve"> </w:t>
      </w:r>
      <w:r w:rsidRPr="000977F7">
        <w:rPr>
          <w:rFonts w:asciiTheme="majorHAnsi" w:hAnsiTheme="majorHAnsi"/>
          <w:sz w:val="20"/>
          <w:szCs w:val="20"/>
        </w:rPr>
        <w:t>Законом,</w:t>
      </w:r>
      <w:r w:rsidRPr="000977F7">
        <w:rPr>
          <w:rFonts w:asciiTheme="majorHAnsi" w:hAnsiTheme="majorHAnsi"/>
          <w:spacing w:val="1"/>
          <w:sz w:val="20"/>
          <w:szCs w:val="20"/>
        </w:rPr>
        <w:t xml:space="preserve"> </w:t>
      </w:r>
      <w:r w:rsidRPr="000977F7">
        <w:rPr>
          <w:rFonts w:asciiTheme="majorHAnsi" w:hAnsiTheme="majorHAnsi"/>
          <w:sz w:val="20"/>
          <w:szCs w:val="20"/>
        </w:rPr>
        <w:t>застосовуються</w:t>
      </w:r>
      <w:r w:rsidRPr="000977F7">
        <w:rPr>
          <w:rFonts w:asciiTheme="majorHAnsi" w:hAnsiTheme="majorHAnsi"/>
          <w:spacing w:val="1"/>
          <w:sz w:val="20"/>
          <w:szCs w:val="20"/>
        </w:rPr>
        <w:t xml:space="preserve"> </w:t>
      </w:r>
      <w:r w:rsidRPr="000977F7">
        <w:rPr>
          <w:rFonts w:asciiTheme="majorHAnsi" w:hAnsiTheme="majorHAnsi"/>
          <w:sz w:val="20"/>
          <w:szCs w:val="20"/>
        </w:rPr>
        <w:t>правила</w:t>
      </w:r>
      <w:r w:rsidRPr="000977F7">
        <w:rPr>
          <w:rFonts w:asciiTheme="majorHAnsi" w:hAnsiTheme="majorHAnsi"/>
          <w:spacing w:val="1"/>
          <w:sz w:val="20"/>
          <w:szCs w:val="20"/>
        </w:rPr>
        <w:t xml:space="preserve"> </w:t>
      </w:r>
      <w:r w:rsidRPr="000977F7">
        <w:rPr>
          <w:rFonts w:asciiTheme="majorHAnsi" w:hAnsiTheme="majorHAnsi"/>
          <w:sz w:val="20"/>
          <w:szCs w:val="20"/>
        </w:rPr>
        <w:t>міжнародних</w:t>
      </w:r>
      <w:r w:rsidRPr="000977F7">
        <w:rPr>
          <w:rFonts w:asciiTheme="majorHAnsi" w:hAnsiTheme="majorHAnsi"/>
          <w:spacing w:val="-2"/>
          <w:sz w:val="20"/>
          <w:szCs w:val="20"/>
        </w:rPr>
        <w:t xml:space="preserve"> </w:t>
      </w:r>
      <w:r w:rsidRPr="000977F7">
        <w:rPr>
          <w:rFonts w:asciiTheme="majorHAnsi" w:hAnsiTheme="majorHAnsi"/>
          <w:sz w:val="20"/>
          <w:szCs w:val="20"/>
        </w:rPr>
        <w:t>договорів</w:t>
      </w:r>
    </w:p>
    <w:p w14:paraId="1DA3557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3"/>
          <w:sz w:val="20"/>
          <w:szCs w:val="20"/>
        </w:rPr>
        <w:t xml:space="preserve"> </w:t>
      </w:r>
      <w:r w:rsidRPr="000977F7">
        <w:rPr>
          <w:rFonts w:asciiTheme="majorHAnsi" w:hAnsiTheme="majorHAnsi"/>
          <w:i/>
          <w:sz w:val="20"/>
          <w:szCs w:val="20"/>
        </w:rPr>
        <w:t>27</w:t>
      </w:r>
      <w:r w:rsidRPr="000977F7">
        <w:rPr>
          <w:rFonts w:asciiTheme="majorHAnsi" w:hAnsiTheme="majorHAnsi"/>
          <w:i/>
          <w:spacing w:val="-1"/>
          <w:sz w:val="20"/>
          <w:szCs w:val="20"/>
        </w:rPr>
        <w:t xml:space="preserve"> </w:t>
      </w:r>
      <w:r w:rsidRPr="000977F7">
        <w:rPr>
          <w:rFonts w:asciiTheme="majorHAnsi" w:hAnsiTheme="majorHAnsi"/>
          <w:i/>
          <w:sz w:val="20"/>
          <w:szCs w:val="20"/>
        </w:rPr>
        <w:t>закону</w:t>
      </w:r>
      <w:r w:rsidRPr="000977F7">
        <w:rPr>
          <w:rFonts w:asciiTheme="majorHAnsi" w:hAnsiTheme="majorHAnsi"/>
          <w:i/>
          <w:spacing w:val="-4"/>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2"/>
          <w:sz w:val="20"/>
          <w:szCs w:val="20"/>
        </w:rPr>
        <w:t xml:space="preserve"> "</w:t>
      </w:r>
      <w:r w:rsidRPr="000977F7">
        <w:rPr>
          <w:rFonts w:asciiTheme="majorHAnsi" w:hAnsiTheme="majorHAnsi"/>
          <w:i/>
          <w:sz w:val="20"/>
          <w:szCs w:val="20"/>
        </w:rPr>
        <w:t>Про</w:t>
      </w:r>
      <w:r w:rsidRPr="000977F7">
        <w:rPr>
          <w:rFonts w:asciiTheme="majorHAnsi" w:hAnsiTheme="majorHAnsi"/>
          <w:i/>
          <w:spacing w:val="-3"/>
          <w:sz w:val="20"/>
          <w:szCs w:val="20"/>
        </w:rPr>
        <w:t xml:space="preserve"> </w:t>
      </w:r>
      <w:r w:rsidRPr="000977F7">
        <w:rPr>
          <w:rFonts w:asciiTheme="majorHAnsi" w:hAnsiTheme="majorHAnsi"/>
          <w:i/>
          <w:sz w:val="20"/>
          <w:szCs w:val="20"/>
        </w:rPr>
        <w:t>стандартизацію"</w:t>
      </w:r>
    </w:p>
    <w:p w14:paraId="1E12D50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МІЖНАРОДНИЙ</w:t>
      </w:r>
      <w:r w:rsidRPr="000977F7">
        <w:rPr>
          <w:color w:val="auto"/>
          <w:spacing w:val="-3"/>
          <w:sz w:val="20"/>
          <w:szCs w:val="20"/>
        </w:rPr>
        <w:t xml:space="preserve"> </w:t>
      </w:r>
      <w:r w:rsidRPr="000977F7">
        <w:rPr>
          <w:color w:val="auto"/>
          <w:sz w:val="20"/>
          <w:szCs w:val="20"/>
        </w:rPr>
        <w:t>АРБІТРАЖ</w:t>
      </w:r>
      <w:r w:rsidRPr="000977F7">
        <w:rPr>
          <w:color w:val="auto"/>
          <w:spacing w:val="45"/>
          <w:sz w:val="20"/>
          <w:szCs w:val="20"/>
        </w:rPr>
        <w:t xml:space="preserve"> </w:t>
      </w:r>
      <w:r w:rsidRPr="000977F7">
        <w:rPr>
          <w:color w:val="auto"/>
          <w:sz w:val="20"/>
          <w:szCs w:val="20"/>
        </w:rPr>
        <w:t>–</w:t>
      </w:r>
    </w:p>
    <w:p w14:paraId="53825D3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Спосіб розв’язання суперечок за допомогою арбітражного розгляду, що проводиться арбітрами, які обираються</w:t>
      </w:r>
      <w:r w:rsidRPr="000977F7">
        <w:rPr>
          <w:rFonts w:asciiTheme="majorHAnsi" w:hAnsiTheme="majorHAnsi"/>
          <w:spacing w:val="-2"/>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взаємним  погодженням</w:t>
      </w:r>
      <w:r w:rsidRPr="000977F7">
        <w:rPr>
          <w:rFonts w:asciiTheme="majorHAnsi" w:hAnsiTheme="majorHAnsi"/>
          <w:spacing w:val="-1"/>
          <w:sz w:val="20"/>
          <w:szCs w:val="20"/>
        </w:rPr>
        <w:t xml:space="preserve"> </w:t>
      </w:r>
      <w:r w:rsidRPr="000977F7">
        <w:rPr>
          <w:rFonts w:asciiTheme="majorHAnsi" w:hAnsiTheme="majorHAnsi"/>
          <w:sz w:val="20"/>
          <w:szCs w:val="20"/>
        </w:rPr>
        <w:t>сторін</w:t>
      </w:r>
    </w:p>
    <w:p w14:paraId="4B3F806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E2E567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4"/>
          <w:sz w:val="20"/>
          <w:szCs w:val="20"/>
        </w:rPr>
        <w:t>Його</w:t>
      </w:r>
      <w:r w:rsidRPr="000977F7">
        <w:rPr>
          <w:rFonts w:asciiTheme="majorHAnsi" w:hAnsiTheme="majorHAnsi"/>
          <w:spacing w:val="-7"/>
          <w:sz w:val="20"/>
          <w:szCs w:val="20"/>
        </w:rPr>
        <w:t xml:space="preserve"> </w:t>
      </w:r>
      <w:r w:rsidRPr="000977F7">
        <w:rPr>
          <w:rFonts w:asciiTheme="majorHAnsi" w:hAnsiTheme="majorHAnsi"/>
          <w:spacing w:val="-4"/>
          <w:sz w:val="20"/>
          <w:szCs w:val="20"/>
        </w:rPr>
        <w:t>рішення</w:t>
      </w:r>
      <w:r w:rsidRPr="000977F7">
        <w:rPr>
          <w:rFonts w:asciiTheme="majorHAnsi" w:hAnsiTheme="majorHAnsi"/>
          <w:spacing w:val="-9"/>
          <w:sz w:val="20"/>
          <w:szCs w:val="20"/>
        </w:rPr>
        <w:t xml:space="preserve"> </w:t>
      </w:r>
      <w:r w:rsidRPr="000977F7">
        <w:rPr>
          <w:rFonts w:asciiTheme="majorHAnsi" w:hAnsiTheme="majorHAnsi"/>
          <w:spacing w:val="-4"/>
          <w:sz w:val="20"/>
          <w:szCs w:val="20"/>
        </w:rPr>
        <w:t>обов’язкове</w:t>
      </w:r>
      <w:r w:rsidRPr="000977F7">
        <w:rPr>
          <w:rFonts w:asciiTheme="majorHAnsi" w:hAnsiTheme="majorHAnsi"/>
          <w:spacing w:val="-7"/>
          <w:sz w:val="20"/>
          <w:szCs w:val="20"/>
        </w:rPr>
        <w:t xml:space="preserve"> </w:t>
      </w:r>
      <w:r w:rsidRPr="000977F7">
        <w:rPr>
          <w:rFonts w:asciiTheme="majorHAnsi" w:hAnsiTheme="majorHAnsi"/>
          <w:spacing w:val="-4"/>
          <w:sz w:val="20"/>
          <w:szCs w:val="20"/>
        </w:rPr>
        <w:t>для</w:t>
      </w:r>
      <w:r w:rsidRPr="000977F7">
        <w:rPr>
          <w:rFonts w:asciiTheme="majorHAnsi" w:hAnsiTheme="majorHAnsi"/>
          <w:spacing w:val="-9"/>
          <w:sz w:val="20"/>
          <w:szCs w:val="20"/>
        </w:rPr>
        <w:t xml:space="preserve"> </w:t>
      </w:r>
      <w:r w:rsidRPr="000977F7">
        <w:rPr>
          <w:rFonts w:asciiTheme="majorHAnsi" w:hAnsiTheme="majorHAnsi"/>
          <w:spacing w:val="-4"/>
          <w:sz w:val="20"/>
          <w:szCs w:val="20"/>
        </w:rPr>
        <w:t>сторін,</w:t>
      </w:r>
      <w:r w:rsidRPr="000977F7">
        <w:rPr>
          <w:rFonts w:asciiTheme="majorHAnsi" w:hAnsiTheme="majorHAnsi"/>
          <w:spacing w:val="-7"/>
          <w:sz w:val="20"/>
          <w:szCs w:val="20"/>
        </w:rPr>
        <w:t xml:space="preserve"> </w:t>
      </w:r>
      <w:r w:rsidRPr="000977F7">
        <w:rPr>
          <w:rFonts w:asciiTheme="majorHAnsi" w:hAnsiTheme="majorHAnsi"/>
          <w:spacing w:val="-4"/>
          <w:sz w:val="20"/>
          <w:szCs w:val="20"/>
        </w:rPr>
        <w:t>що</w:t>
      </w:r>
      <w:r w:rsidRPr="000977F7">
        <w:rPr>
          <w:rFonts w:asciiTheme="majorHAnsi" w:hAnsiTheme="majorHAnsi"/>
          <w:spacing w:val="-5"/>
          <w:sz w:val="20"/>
          <w:szCs w:val="20"/>
        </w:rPr>
        <w:t xml:space="preserve"> </w:t>
      </w:r>
      <w:r w:rsidRPr="000977F7">
        <w:rPr>
          <w:rFonts w:asciiTheme="majorHAnsi" w:hAnsiTheme="majorHAnsi"/>
          <w:spacing w:val="-4"/>
          <w:sz w:val="20"/>
          <w:szCs w:val="20"/>
        </w:rPr>
        <w:t>домовляються</w:t>
      </w:r>
    </w:p>
    <w:p w14:paraId="32B926DF"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3293 – 95</w:t>
      </w:r>
    </w:p>
    <w:p w14:paraId="0414FF9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МІЖНАРОДНИЙ</w:t>
      </w:r>
      <w:r w:rsidRPr="000977F7">
        <w:rPr>
          <w:color w:val="auto"/>
          <w:spacing w:val="-4"/>
          <w:sz w:val="20"/>
          <w:szCs w:val="20"/>
        </w:rPr>
        <w:t xml:space="preserve"> </w:t>
      </w:r>
      <w:r w:rsidRPr="000977F7">
        <w:rPr>
          <w:color w:val="auto"/>
          <w:sz w:val="20"/>
          <w:szCs w:val="20"/>
        </w:rPr>
        <w:t>ЕТАЛОН</w:t>
      </w:r>
      <w:r w:rsidRPr="000977F7">
        <w:rPr>
          <w:color w:val="auto"/>
          <w:spacing w:val="-1"/>
          <w:sz w:val="20"/>
          <w:szCs w:val="20"/>
        </w:rPr>
        <w:t xml:space="preserve"> </w:t>
      </w:r>
      <w:r w:rsidRPr="000977F7">
        <w:rPr>
          <w:color w:val="auto"/>
          <w:sz w:val="20"/>
          <w:szCs w:val="20"/>
        </w:rPr>
        <w:t>–</w:t>
      </w:r>
    </w:p>
    <w:p w14:paraId="349E481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INTERNATIONAL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STANDART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3740FE2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Еталон,</w:t>
      </w:r>
      <w:r w:rsidRPr="000977F7">
        <w:rPr>
          <w:rFonts w:asciiTheme="majorHAnsi" w:hAnsiTheme="majorHAnsi"/>
          <w:spacing w:val="6"/>
          <w:sz w:val="20"/>
          <w:szCs w:val="20"/>
        </w:rPr>
        <w:t xml:space="preserve"> </w:t>
      </w:r>
      <w:r w:rsidRPr="000977F7">
        <w:rPr>
          <w:rFonts w:asciiTheme="majorHAnsi" w:hAnsiTheme="majorHAnsi"/>
          <w:sz w:val="20"/>
          <w:szCs w:val="20"/>
        </w:rPr>
        <w:t>який</w:t>
      </w:r>
      <w:r w:rsidRPr="000977F7">
        <w:rPr>
          <w:rFonts w:asciiTheme="majorHAnsi" w:hAnsiTheme="majorHAnsi"/>
          <w:spacing w:val="5"/>
          <w:sz w:val="20"/>
          <w:szCs w:val="20"/>
        </w:rPr>
        <w:t xml:space="preserve"> </w:t>
      </w:r>
      <w:r w:rsidRPr="000977F7">
        <w:rPr>
          <w:rFonts w:asciiTheme="majorHAnsi" w:hAnsiTheme="majorHAnsi"/>
          <w:sz w:val="20"/>
          <w:szCs w:val="20"/>
        </w:rPr>
        <w:t>за</w:t>
      </w:r>
      <w:r w:rsidRPr="000977F7">
        <w:rPr>
          <w:rFonts w:asciiTheme="majorHAnsi" w:hAnsiTheme="majorHAnsi"/>
          <w:spacing w:val="6"/>
          <w:sz w:val="20"/>
          <w:szCs w:val="20"/>
        </w:rPr>
        <w:t xml:space="preserve"> </w:t>
      </w:r>
      <w:r w:rsidRPr="000977F7">
        <w:rPr>
          <w:rFonts w:asciiTheme="majorHAnsi" w:hAnsiTheme="majorHAnsi"/>
          <w:sz w:val="20"/>
          <w:szCs w:val="20"/>
        </w:rPr>
        <w:t>міжнародною</w:t>
      </w:r>
      <w:r w:rsidRPr="000977F7">
        <w:rPr>
          <w:rFonts w:asciiTheme="majorHAnsi" w:hAnsiTheme="majorHAnsi"/>
          <w:spacing w:val="8"/>
          <w:sz w:val="20"/>
          <w:szCs w:val="20"/>
        </w:rPr>
        <w:t xml:space="preserve"> </w:t>
      </w:r>
      <w:r w:rsidRPr="000977F7">
        <w:rPr>
          <w:rFonts w:asciiTheme="majorHAnsi" w:hAnsiTheme="majorHAnsi"/>
          <w:sz w:val="20"/>
          <w:szCs w:val="20"/>
        </w:rPr>
        <w:t>угодою</w:t>
      </w:r>
      <w:r w:rsidRPr="000977F7">
        <w:rPr>
          <w:rFonts w:asciiTheme="majorHAnsi" w:hAnsiTheme="majorHAnsi"/>
          <w:spacing w:val="6"/>
          <w:sz w:val="20"/>
          <w:szCs w:val="20"/>
        </w:rPr>
        <w:t xml:space="preserve"> </w:t>
      </w:r>
      <w:r w:rsidRPr="000977F7">
        <w:rPr>
          <w:rFonts w:asciiTheme="majorHAnsi" w:hAnsiTheme="majorHAnsi"/>
          <w:sz w:val="20"/>
          <w:szCs w:val="20"/>
        </w:rPr>
        <w:t>призначений</w:t>
      </w:r>
      <w:r w:rsidRPr="000977F7">
        <w:rPr>
          <w:rFonts w:asciiTheme="majorHAnsi" w:hAnsiTheme="majorHAnsi"/>
          <w:spacing w:val="-47"/>
          <w:sz w:val="20"/>
          <w:szCs w:val="20"/>
        </w:rPr>
        <w:t xml:space="preserve"> </w:t>
      </w:r>
      <w:r w:rsidRPr="000977F7">
        <w:rPr>
          <w:rFonts w:asciiTheme="majorHAnsi" w:hAnsiTheme="majorHAnsi"/>
          <w:sz w:val="20"/>
          <w:szCs w:val="20"/>
        </w:rPr>
        <w:t>для</w:t>
      </w:r>
      <w:r w:rsidRPr="000977F7">
        <w:rPr>
          <w:rFonts w:asciiTheme="majorHAnsi" w:hAnsiTheme="majorHAnsi"/>
          <w:spacing w:val="12"/>
          <w:sz w:val="20"/>
          <w:szCs w:val="20"/>
        </w:rPr>
        <w:t xml:space="preserve"> </w:t>
      </w:r>
      <w:r w:rsidRPr="000977F7">
        <w:rPr>
          <w:rFonts w:asciiTheme="majorHAnsi" w:hAnsiTheme="majorHAnsi"/>
          <w:sz w:val="20"/>
          <w:szCs w:val="20"/>
        </w:rPr>
        <w:t>погодження</w:t>
      </w:r>
      <w:r w:rsidRPr="000977F7">
        <w:rPr>
          <w:rFonts w:asciiTheme="majorHAnsi" w:hAnsiTheme="majorHAnsi"/>
          <w:spacing w:val="11"/>
          <w:sz w:val="20"/>
          <w:szCs w:val="20"/>
        </w:rPr>
        <w:t xml:space="preserve"> </w:t>
      </w:r>
      <w:r w:rsidRPr="000977F7">
        <w:rPr>
          <w:rFonts w:asciiTheme="majorHAnsi" w:hAnsiTheme="majorHAnsi"/>
          <w:sz w:val="20"/>
          <w:szCs w:val="20"/>
        </w:rPr>
        <w:t>розмірів</w:t>
      </w:r>
      <w:r w:rsidRPr="000977F7">
        <w:rPr>
          <w:rFonts w:asciiTheme="majorHAnsi" w:hAnsiTheme="majorHAnsi"/>
          <w:spacing w:val="11"/>
          <w:sz w:val="20"/>
          <w:szCs w:val="20"/>
        </w:rPr>
        <w:t xml:space="preserve"> </w:t>
      </w:r>
      <w:r w:rsidRPr="000977F7">
        <w:rPr>
          <w:rFonts w:asciiTheme="majorHAnsi" w:hAnsiTheme="majorHAnsi"/>
          <w:sz w:val="20"/>
          <w:szCs w:val="20"/>
        </w:rPr>
        <w:t>одиниць,</w:t>
      </w:r>
      <w:r w:rsidRPr="000977F7">
        <w:rPr>
          <w:rFonts w:asciiTheme="majorHAnsi" w:hAnsiTheme="majorHAnsi"/>
          <w:spacing w:val="12"/>
          <w:sz w:val="20"/>
          <w:szCs w:val="20"/>
        </w:rPr>
        <w:t xml:space="preserve"> </w:t>
      </w:r>
      <w:r w:rsidRPr="000977F7">
        <w:rPr>
          <w:rFonts w:asciiTheme="majorHAnsi" w:hAnsiTheme="majorHAnsi"/>
          <w:sz w:val="20"/>
          <w:szCs w:val="20"/>
        </w:rPr>
        <w:t>що</w:t>
      </w:r>
      <w:r w:rsidRPr="000977F7">
        <w:rPr>
          <w:rFonts w:asciiTheme="majorHAnsi" w:hAnsiTheme="majorHAnsi"/>
          <w:spacing w:val="13"/>
          <w:sz w:val="20"/>
          <w:szCs w:val="20"/>
        </w:rPr>
        <w:t xml:space="preserve"> </w:t>
      </w:r>
      <w:r w:rsidRPr="000977F7">
        <w:rPr>
          <w:rFonts w:asciiTheme="majorHAnsi" w:hAnsiTheme="majorHAnsi"/>
          <w:sz w:val="20"/>
          <w:szCs w:val="20"/>
        </w:rPr>
        <w:t>відтворюються</w:t>
      </w:r>
      <w:r w:rsidRPr="000977F7">
        <w:rPr>
          <w:rFonts w:asciiTheme="majorHAnsi" w:hAnsiTheme="majorHAnsi"/>
          <w:spacing w:val="-47"/>
          <w:sz w:val="20"/>
          <w:szCs w:val="20"/>
        </w:rPr>
        <w:t xml:space="preserve"> </w:t>
      </w:r>
      <w:r w:rsidRPr="000977F7">
        <w:rPr>
          <w:rFonts w:asciiTheme="majorHAnsi" w:hAnsiTheme="majorHAnsi"/>
          <w:sz w:val="20"/>
          <w:szCs w:val="20"/>
        </w:rPr>
        <w:t>і зберігаються державними національними еталонами</w:t>
      </w:r>
    </w:p>
    <w:p w14:paraId="536265BF"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00E632D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МІЖНАРОДНИЙ</w:t>
      </w:r>
      <w:r w:rsidRPr="000977F7">
        <w:rPr>
          <w:color w:val="auto"/>
          <w:spacing w:val="-4"/>
          <w:sz w:val="20"/>
          <w:szCs w:val="20"/>
        </w:rPr>
        <w:t xml:space="preserve"> </w:t>
      </w:r>
      <w:r w:rsidRPr="000977F7">
        <w:rPr>
          <w:color w:val="auto"/>
          <w:sz w:val="20"/>
          <w:szCs w:val="20"/>
        </w:rPr>
        <w:t>СТАНДАРТ</w:t>
      </w:r>
      <w:r w:rsidRPr="000977F7">
        <w:rPr>
          <w:color w:val="auto"/>
          <w:spacing w:val="-3"/>
          <w:sz w:val="20"/>
          <w:szCs w:val="20"/>
        </w:rPr>
        <w:t xml:space="preserve"> </w:t>
      </w:r>
      <w:r w:rsidRPr="000977F7">
        <w:rPr>
          <w:color w:val="auto"/>
          <w:sz w:val="20"/>
          <w:szCs w:val="20"/>
        </w:rPr>
        <w:t>–</w:t>
      </w:r>
    </w:p>
    <w:p w14:paraId="1A3955D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INTERNATIONAL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STANDARD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4A017D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прийнятий міжнародною організацією, що</w:t>
      </w:r>
      <w:r w:rsidRPr="000977F7">
        <w:rPr>
          <w:rFonts w:asciiTheme="majorHAnsi" w:hAnsiTheme="majorHAnsi"/>
          <w:spacing w:val="1"/>
          <w:sz w:val="20"/>
          <w:szCs w:val="20"/>
        </w:rPr>
        <w:t xml:space="preserve"> </w:t>
      </w:r>
      <w:r w:rsidRPr="000977F7">
        <w:rPr>
          <w:rFonts w:asciiTheme="majorHAnsi" w:hAnsiTheme="majorHAnsi"/>
          <w:sz w:val="20"/>
          <w:szCs w:val="20"/>
        </w:rPr>
        <w:t>займається стандартизацією і доступна для широкого</w:t>
      </w:r>
      <w:r w:rsidRPr="000977F7">
        <w:rPr>
          <w:rFonts w:asciiTheme="majorHAnsi" w:hAnsiTheme="majorHAnsi"/>
          <w:spacing w:val="1"/>
          <w:sz w:val="20"/>
          <w:szCs w:val="20"/>
        </w:rPr>
        <w:t xml:space="preserve"> </w:t>
      </w:r>
      <w:r w:rsidRPr="000977F7">
        <w:rPr>
          <w:rFonts w:asciiTheme="majorHAnsi" w:hAnsiTheme="majorHAnsi"/>
          <w:sz w:val="20"/>
          <w:szCs w:val="20"/>
        </w:rPr>
        <w:t>кола</w:t>
      </w:r>
      <w:r w:rsidRPr="000977F7">
        <w:rPr>
          <w:rFonts w:asciiTheme="majorHAnsi" w:hAnsiTheme="majorHAnsi"/>
          <w:spacing w:val="-1"/>
          <w:sz w:val="20"/>
          <w:szCs w:val="20"/>
        </w:rPr>
        <w:t xml:space="preserve"> </w:t>
      </w:r>
      <w:r w:rsidRPr="000977F7">
        <w:rPr>
          <w:rFonts w:asciiTheme="majorHAnsi" w:hAnsiTheme="majorHAnsi"/>
          <w:sz w:val="20"/>
          <w:szCs w:val="20"/>
        </w:rPr>
        <w:t>споживачів</w:t>
      </w:r>
    </w:p>
    <w:p w14:paraId="2CBF718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МІЖНАРОДНА</w:t>
      </w:r>
      <w:r w:rsidRPr="000977F7">
        <w:rPr>
          <w:color w:val="auto"/>
          <w:spacing w:val="-4"/>
          <w:sz w:val="20"/>
          <w:szCs w:val="20"/>
        </w:rPr>
        <w:t xml:space="preserve"> </w:t>
      </w:r>
      <w:r w:rsidRPr="000977F7">
        <w:rPr>
          <w:color w:val="auto"/>
          <w:sz w:val="20"/>
          <w:szCs w:val="20"/>
        </w:rPr>
        <w:t>СТАНДАРТИЗАЦІЯ</w:t>
      </w:r>
      <w:r w:rsidRPr="000977F7">
        <w:rPr>
          <w:color w:val="auto"/>
          <w:spacing w:val="-4"/>
          <w:sz w:val="20"/>
          <w:szCs w:val="20"/>
        </w:rPr>
        <w:t xml:space="preserve"> </w:t>
      </w:r>
      <w:r w:rsidRPr="000977F7">
        <w:rPr>
          <w:color w:val="auto"/>
          <w:sz w:val="20"/>
          <w:szCs w:val="20"/>
        </w:rPr>
        <w:t>–</w:t>
      </w:r>
    </w:p>
    <w:p w14:paraId="477419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Стандартизація, участь в якій є відкритою для відповідних</w:t>
      </w:r>
      <w:r w:rsidRPr="000977F7">
        <w:rPr>
          <w:rFonts w:asciiTheme="majorHAnsi" w:hAnsiTheme="majorHAnsi"/>
          <w:spacing w:val="-2"/>
          <w:sz w:val="20"/>
          <w:szCs w:val="20"/>
        </w:rPr>
        <w:t xml:space="preserve"> </w:t>
      </w:r>
      <w:r w:rsidRPr="000977F7">
        <w:rPr>
          <w:rFonts w:asciiTheme="majorHAnsi" w:hAnsiTheme="majorHAnsi"/>
          <w:sz w:val="20"/>
          <w:szCs w:val="20"/>
        </w:rPr>
        <w:t>органів</w:t>
      </w:r>
      <w:r w:rsidRPr="000977F7">
        <w:rPr>
          <w:rFonts w:asciiTheme="majorHAnsi" w:hAnsiTheme="majorHAnsi"/>
          <w:spacing w:val="-1"/>
          <w:sz w:val="20"/>
          <w:szCs w:val="20"/>
        </w:rPr>
        <w:t xml:space="preserve"> </w:t>
      </w:r>
      <w:r w:rsidRPr="000977F7">
        <w:rPr>
          <w:rFonts w:asciiTheme="majorHAnsi" w:hAnsiTheme="majorHAnsi"/>
          <w:sz w:val="20"/>
          <w:szCs w:val="20"/>
        </w:rPr>
        <w:t>всіх</w:t>
      </w:r>
      <w:r w:rsidRPr="000977F7">
        <w:rPr>
          <w:rFonts w:asciiTheme="majorHAnsi" w:hAnsiTheme="majorHAnsi"/>
          <w:spacing w:val="1"/>
          <w:sz w:val="20"/>
          <w:szCs w:val="20"/>
        </w:rPr>
        <w:t xml:space="preserve"> </w:t>
      </w:r>
      <w:r w:rsidRPr="000977F7">
        <w:rPr>
          <w:rFonts w:asciiTheme="majorHAnsi" w:hAnsiTheme="majorHAnsi"/>
          <w:sz w:val="20"/>
          <w:szCs w:val="20"/>
        </w:rPr>
        <w:t>країн</w:t>
      </w:r>
    </w:p>
    <w:p w14:paraId="4C083128"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МІЖРЕМОНТНИЙ</w:t>
      </w:r>
      <w:r w:rsidRPr="000977F7">
        <w:rPr>
          <w:rFonts w:asciiTheme="majorHAnsi" w:hAnsiTheme="majorHAnsi"/>
          <w:b/>
          <w:bCs/>
          <w:spacing w:val="-6"/>
          <w:sz w:val="20"/>
          <w:szCs w:val="20"/>
        </w:rPr>
        <w:t xml:space="preserve"> </w:t>
      </w:r>
      <w:r w:rsidRPr="000977F7">
        <w:rPr>
          <w:rFonts w:asciiTheme="majorHAnsi" w:hAnsiTheme="majorHAnsi"/>
          <w:b/>
          <w:bCs/>
          <w:sz w:val="20"/>
          <w:szCs w:val="20"/>
        </w:rPr>
        <w:t>ПЕРІОД</w:t>
      </w:r>
      <w:r w:rsidRPr="000977F7">
        <w:rPr>
          <w:rFonts w:asciiTheme="majorHAnsi" w:hAnsiTheme="majorHAnsi"/>
          <w:b/>
          <w:bCs/>
          <w:spacing w:val="-3"/>
          <w:sz w:val="20"/>
          <w:szCs w:val="20"/>
        </w:rPr>
        <w:t xml:space="preserve"> </w:t>
      </w:r>
      <w:r w:rsidRPr="000977F7">
        <w:rPr>
          <w:rFonts w:asciiTheme="majorHAnsi" w:hAnsiTheme="majorHAnsi"/>
          <w:b/>
          <w:bCs/>
          <w:sz w:val="20"/>
          <w:szCs w:val="20"/>
        </w:rPr>
        <w:t>–</w:t>
      </w:r>
    </w:p>
    <w:p w14:paraId="7152B0D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 між двома плановими ремонтами, що виконуються</w:t>
      </w:r>
      <w:r w:rsidRPr="000977F7">
        <w:rPr>
          <w:rFonts w:asciiTheme="majorHAnsi" w:hAnsiTheme="majorHAnsi"/>
          <w:spacing w:val="-2"/>
          <w:sz w:val="20"/>
          <w:szCs w:val="20"/>
        </w:rPr>
        <w:t xml:space="preserve"> </w:t>
      </w:r>
      <w:r w:rsidRPr="000977F7">
        <w:rPr>
          <w:rFonts w:asciiTheme="majorHAnsi" w:hAnsiTheme="majorHAnsi"/>
          <w:sz w:val="20"/>
          <w:szCs w:val="20"/>
        </w:rPr>
        <w:t>послідовно</w:t>
      </w:r>
    </w:p>
    <w:p w14:paraId="0C56CB66"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 94</w:t>
      </w:r>
    </w:p>
    <w:p w14:paraId="78C5D0CF"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МІКРОКЛІМАТ –</w:t>
      </w:r>
      <w:r w:rsidRPr="000977F7">
        <w:rPr>
          <w:rFonts w:asciiTheme="majorHAnsi" w:hAnsiTheme="majorHAnsi"/>
          <w:b/>
          <w:spacing w:val="-47"/>
          <w:sz w:val="20"/>
          <w:szCs w:val="20"/>
        </w:rPr>
        <w:t xml:space="preserve"> </w:t>
      </w:r>
    </w:p>
    <w:p w14:paraId="57E87D5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pacing w:val="-1"/>
          <w:sz w:val="20"/>
          <w:szCs w:val="20"/>
        </w:rPr>
        <w:t>MICROCLIMATE</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0D1DABC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 фізичних чинників навколишнього середовища в обмеженому просторі, який впливає на тепловий</w:t>
      </w:r>
      <w:r w:rsidRPr="000977F7">
        <w:rPr>
          <w:rFonts w:asciiTheme="majorHAnsi" w:hAnsiTheme="majorHAnsi"/>
          <w:spacing w:val="-1"/>
          <w:sz w:val="20"/>
          <w:szCs w:val="20"/>
        </w:rPr>
        <w:t xml:space="preserve"> </w:t>
      </w:r>
      <w:r w:rsidRPr="000977F7">
        <w:rPr>
          <w:rFonts w:asciiTheme="majorHAnsi" w:hAnsiTheme="majorHAnsi"/>
          <w:sz w:val="20"/>
          <w:szCs w:val="20"/>
        </w:rPr>
        <w:t>обмін</w:t>
      </w:r>
      <w:r w:rsidRPr="000977F7">
        <w:rPr>
          <w:rFonts w:asciiTheme="majorHAnsi" w:hAnsiTheme="majorHAnsi"/>
          <w:spacing w:val="-2"/>
          <w:sz w:val="20"/>
          <w:szCs w:val="20"/>
        </w:rPr>
        <w:t xml:space="preserve"> </w:t>
      </w:r>
      <w:r w:rsidRPr="000977F7">
        <w:rPr>
          <w:rFonts w:asciiTheme="majorHAnsi" w:hAnsiTheme="majorHAnsi"/>
          <w:sz w:val="20"/>
          <w:szCs w:val="20"/>
        </w:rPr>
        <w:t>організму</w:t>
      </w:r>
    </w:p>
    <w:p w14:paraId="4652DE9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3038 - 95</w:t>
      </w:r>
    </w:p>
    <w:p w14:paraId="7431E14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МІКРОСЕРЕДОВИЩЕ-</w:t>
      </w:r>
    </w:p>
    <w:p w14:paraId="389D4BB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чинників маркетингового середовища, які</w:t>
      </w:r>
      <w:r w:rsidRPr="000977F7">
        <w:rPr>
          <w:rFonts w:asciiTheme="majorHAnsi" w:hAnsiTheme="majorHAnsi"/>
          <w:spacing w:val="1"/>
          <w:sz w:val="20"/>
          <w:szCs w:val="20"/>
        </w:rPr>
        <w:t xml:space="preserve"> </w:t>
      </w:r>
      <w:r w:rsidRPr="000977F7">
        <w:rPr>
          <w:rFonts w:asciiTheme="majorHAnsi" w:hAnsiTheme="majorHAnsi"/>
          <w:sz w:val="20"/>
          <w:szCs w:val="20"/>
        </w:rPr>
        <w:t>мають відношення до самої організації та її можливостей</w:t>
      </w:r>
      <w:r w:rsidRPr="000977F7">
        <w:rPr>
          <w:rFonts w:asciiTheme="majorHAnsi" w:hAnsiTheme="majorHAnsi"/>
          <w:spacing w:val="-2"/>
          <w:sz w:val="20"/>
          <w:szCs w:val="20"/>
        </w:rPr>
        <w:t xml:space="preserve"> </w:t>
      </w:r>
      <w:r w:rsidRPr="000977F7">
        <w:rPr>
          <w:rFonts w:asciiTheme="majorHAnsi" w:hAnsiTheme="majorHAnsi"/>
          <w:sz w:val="20"/>
          <w:szCs w:val="20"/>
        </w:rPr>
        <w:t>щодо обслуговування</w:t>
      </w:r>
      <w:r w:rsidRPr="000977F7">
        <w:rPr>
          <w:rFonts w:asciiTheme="majorHAnsi" w:hAnsiTheme="majorHAnsi"/>
          <w:spacing w:val="-2"/>
          <w:sz w:val="20"/>
          <w:szCs w:val="20"/>
        </w:rPr>
        <w:t xml:space="preserve"> </w:t>
      </w:r>
      <w:r w:rsidRPr="000977F7">
        <w:rPr>
          <w:rFonts w:asciiTheme="majorHAnsi" w:hAnsiTheme="majorHAnsi"/>
          <w:sz w:val="20"/>
          <w:szCs w:val="20"/>
        </w:rPr>
        <w:t>клієнтури</w:t>
      </w:r>
    </w:p>
    <w:p w14:paraId="056FB32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3294 - 95</w:t>
      </w:r>
    </w:p>
    <w:p w14:paraId="2937E38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МІКРОФІЛЬМ</w:t>
      </w:r>
      <w:r w:rsidRPr="000977F7">
        <w:rPr>
          <w:color w:val="auto"/>
          <w:spacing w:val="-1"/>
          <w:sz w:val="20"/>
          <w:szCs w:val="20"/>
        </w:rPr>
        <w:t xml:space="preserve"> </w:t>
      </w:r>
      <w:r w:rsidRPr="000977F7">
        <w:rPr>
          <w:color w:val="auto"/>
          <w:sz w:val="20"/>
          <w:szCs w:val="20"/>
        </w:rPr>
        <w:t>–</w:t>
      </w:r>
    </w:p>
    <w:p w14:paraId="6020E3D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27"/>
          <w:sz w:val="20"/>
          <w:szCs w:val="20"/>
        </w:rPr>
        <w:t xml:space="preserve"> </w:t>
      </w:r>
      <w:r w:rsidRPr="000977F7">
        <w:rPr>
          <w:rFonts w:asciiTheme="majorHAnsi" w:hAnsiTheme="majorHAnsi"/>
          <w:sz w:val="20"/>
          <w:szCs w:val="20"/>
        </w:rPr>
        <w:t>мікрофотокопій,</w:t>
      </w:r>
      <w:r w:rsidRPr="000977F7">
        <w:rPr>
          <w:rFonts w:asciiTheme="majorHAnsi" w:hAnsiTheme="majorHAnsi"/>
          <w:spacing w:val="25"/>
          <w:sz w:val="20"/>
          <w:szCs w:val="20"/>
        </w:rPr>
        <w:t xml:space="preserve"> </w:t>
      </w:r>
      <w:r w:rsidRPr="000977F7">
        <w:rPr>
          <w:rFonts w:asciiTheme="majorHAnsi" w:hAnsiTheme="majorHAnsi"/>
          <w:sz w:val="20"/>
          <w:szCs w:val="20"/>
        </w:rPr>
        <w:t>об’єднаних</w:t>
      </w:r>
      <w:r w:rsidRPr="000977F7">
        <w:rPr>
          <w:rFonts w:asciiTheme="majorHAnsi" w:hAnsiTheme="majorHAnsi"/>
          <w:spacing w:val="26"/>
          <w:sz w:val="20"/>
          <w:szCs w:val="20"/>
        </w:rPr>
        <w:t xml:space="preserve"> </w:t>
      </w:r>
      <w:r w:rsidRPr="000977F7">
        <w:rPr>
          <w:rFonts w:asciiTheme="majorHAnsi" w:hAnsiTheme="majorHAnsi"/>
          <w:sz w:val="20"/>
          <w:szCs w:val="20"/>
        </w:rPr>
        <w:t>спільним</w:t>
      </w:r>
      <w:r w:rsidRPr="000977F7">
        <w:rPr>
          <w:rFonts w:asciiTheme="majorHAnsi" w:hAnsiTheme="majorHAnsi"/>
          <w:spacing w:val="-47"/>
          <w:sz w:val="20"/>
          <w:szCs w:val="20"/>
        </w:rPr>
        <w:t xml:space="preserve"> </w:t>
      </w:r>
      <w:r w:rsidRPr="000977F7">
        <w:rPr>
          <w:rFonts w:asciiTheme="majorHAnsi" w:hAnsiTheme="majorHAnsi"/>
          <w:sz w:val="20"/>
          <w:szCs w:val="20"/>
        </w:rPr>
        <w:t>змістом</w:t>
      </w:r>
    </w:p>
    <w:p w14:paraId="68D1D6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52FD6F5"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Мікрофільм</w:t>
      </w:r>
      <w:r w:rsidRPr="000977F7">
        <w:rPr>
          <w:rFonts w:asciiTheme="majorHAnsi" w:hAnsiTheme="majorHAnsi"/>
          <w:spacing w:val="15"/>
          <w:sz w:val="20"/>
          <w:szCs w:val="20"/>
        </w:rPr>
        <w:t xml:space="preserve"> </w:t>
      </w:r>
      <w:r w:rsidRPr="000977F7">
        <w:rPr>
          <w:rFonts w:asciiTheme="majorHAnsi" w:hAnsiTheme="majorHAnsi"/>
          <w:sz w:val="20"/>
          <w:szCs w:val="20"/>
        </w:rPr>
        <w:t>виконується</w:t>
      </w:r>
      <w:r w:rsidRPr="000977F7">
        <w:rPr>
          <w:rFonts w:asciiTheme="majorHAnsi" w:hAnsiTheme="majorHAnsi"/>
          <w:spacing w:val="14"/>
          <w:sz w:val="20"/>
          <w:szCs w:val="20"/>
        </w:rPr>
        <w:t xml:space="preserve"> </w:t>
      </w:r>
      <w:r w:rsidRPr="000977F7">
        <w:rPr>
          <w:rFonts w:asciiTheme="majorHAnsi" w:hAnsiTheme="majorHAnsi"/>
          <w:sz w:val="20"/>
          <w:szCs w:val="20"/>
        </w:rPr>
        <w:t>на</w:t>
      </w:r>
      <w:r w:rsidRPr="000977F7">
        <w:rPr>
          <w:rFonts w:asciiTheme="majorHAnsi" w:hAnsiTheme="majorHAnsi"/>
          <w:spacing w:val="15"/>
          <w:sz w:val="20"/>
          <w:szCs w:val="20"/>
        </w:rPr>
        <w:t xml:space="preserve"> </w:t>
      </w:r>
      <w:r w:rsidRPr="000977F7">
        <w:rPr>
          <w:rFonts w:asciiTheme="majorHAnsi" w:hAnsiTheme="majorHAnsi"/>
          <w:sz w:val="20"/>
          <w:szCs w:val="20"/>
        </w:rPr>
        <w:t>комплект</w:t>
      </w:r>
      <w:r w:rsidRPr="000977F7">
        <w:rPr>
          <w:rFonts w:asciiTheme="majorHAnsi" w:hAnsiTheme="majorHAnsi"/>
          <w:spacing w:val="14"/>
          <w:sz w:val="20"/>
          <w:szCs w:val="20"/>
        </w:rPr>
        <w:t xml:space="preserve"> </w:t>
      </w:r>
      <w:r w:rsidRPr="000977F7">
        <w:rPr>
          <w:rFonts w:asciiTheme="majorHAnsi" w:hAnsiTheme="majorHAnsi"/>
          <w:sz w:val="20"/>
          <w:szCs w:val="20"/>
        </w:rPr>
        <w:t>документації</w:t>
      </w:r>
      <w:r w:rsidRPr="000977F7">
        <w:rPr>
          <w:rFonts w:asciiTheme="majorHAnsi" w:hAnsiTheme="majorHAnsi"/>
          <w:spacing w:val="-47"/>
          <w:sz w:val="20"/>
          <w:szCs w:val="20"/>
        </w:rPr>
        <w:t xml:space="preserve">    </w:t>
      </w:r>
      <w:r w:rsidRPr="000977F7">
        <w:rPr>
          <w:rFonts w:asciiTheme="majorHAnsi" w:hAnsiTheme="majorHAnsi"/>
          <w:sz w:val="20"/>
          <w:szCs w:val="20"/>
        </w:rPr>
        <w:t>одного чи кількох виробів (складових частин виробу)</w:t>
      </w:r>
      <w:r w:rsidRPr="000977F7">
        <w:rPr>
          <w:rFonts w:asciiTheme="majorHAnsi" w:hAnsiTheme="majorHAnsi"/>
          <w:spacing w:val="1"/>
          <w:sz w:val="20"/>
          <w:szCs w:val="20"/>
        </w:rPr>
        <w:t xml:space="preserve"> </w:t>
      </w:r>
    </w:p>
    <w:p w14:paraId="2756551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3321</w:t>
      </w:r>
      <w:r w:rsidRPr="000977F7">
        <w:rPr>
          <w:rFonts w:asciiTheme="majorHAnsi" w:hAnsiTheme="majorHAnsi"/>
          <w:i/>
          <w:spacing w:val="2"/>
          <w:sz w:val="20"/>
          <w:szCs w:val="20"/>
        </w:rPr>
        <w:t xml:space="preserve"> </w:t>
      </w:r>
      <w:r w:rsidRPr="000977F7">
        <w:rPr>
          <w:rFonts w:asciiTheme="majorHAnsi" w:hAnsiTheme="majorHAnsi"/>
          <w:b/>
          <w:i/>
          <w:sz w:val="20"/>
          <w:szCs w:val="20"/>
        </w:rPr>
        <w:t>–</w:t>
      </w:r>
      <w:r w:rsidRPr="000977F7">
        <w:rPr>
          <w:rFonts w:asciiTheme="majorHAnsi" w:hAnsiTheme="majorHAnsi"/>
          <w:b/>
          <w:i/>
          <w:spacing w:val="1"/>
          <w:sz w:val="20"/>
          <w:szCs w:val="20"/>
        </w:rPr>
        <w:t xml:space="preserve"> </w:t>
      </w:r>
      <w:r w:rsidRPr="000977F7">
        <w:rPr>
          <w:rFonts w:asciiTheme="majorHAnsi" w:hAnsiTheme="majorHAnsi"/>
          <w:sz w:val="20"/>
          <w:szCs w:val="20"/>
        </w:rPr>
        <w:t>2003</w:t>
      </w:r>
    </w:p>
    <w:p w14:paraId="360A1B6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МІКРОФОТОКОПІЯ</w:t>
      </w:r>
      <w:r w:rsidRPr="000977F7">
        <w:rPr>
          <w:color w:val="auto"/>
          <w:spacing w:val="-4"/>
          <w:sz w:val="20"/>
          <w:szCs w:val="20"/>
        </w:rPr>
        <w:t xml:space="preserve"> </w:t>
      </w:r>
      <w:r w:rsidRPr="000977F7">
        <w:rPr>
          <w:color w:val="auto"/>
          <w:sz w:val="20"/>
          <w:szCs w:val="20"/>
        </w:rPr>
        <w:t>–</w:t>
      </w:r>
    </w:p>
    <w:p w14:paraId="3CCA4165"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Фотографічна</w:t>
      </w:r>
      <w:r w:rsidRPr="000977F7">
        <w:rPr>
          <w:rFonts w:asciiTheme="majorHAnsi" w:hAnsiTheme="majorHAnsi"/>
          <w:spacing w:val="1"/>
          <w:sz w:val="20"/>
          <w:szCs w:val="20"/>
        </w:rPr>
        <w:t xml:space="preserve"> </w:t>
      </w:r>
      <w:r w:rsidRPr="000977F7">
        <w:rPr>
          <w:rFonts w:asciiTheme="majorHAnsi" w:hAnsiTheme="majorHAnsi"/>
          <w:sz w:val="20"/>
          <w:szCs w:val="20"/>
        </w:rPr>
        <w:t>копія</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читання</w:t>
      </w:r>
      <w:r w:rsidRPr="000977F7">
        <w:rPr>
          <w:rFonts w:asciiTheme="majorHAnsi" w:hAnsiTheme="majorHAnsi"/>
          <w:spacing w:val="1"/>
          <w:sz w:val="20"/>
          <w:szCs w:val="20"/>
        </w:rPr>
        <w:t xml:space="preserve"> </w:t>
      </w:r>
      <w:r w:rsidRPr="000977F7">
        <w:rPr>
          <w:rFonts w:asciiTheme="majorHAnsi" w:hAnsiTheme="majorHAnsi"/>
          <w:sz w:val="20"/>
          <w:szCs w:val="20"/>
        </w:rPr>
        <w:t>якої</w:t>
      </w:r>
      <w:r w:rsidRPr="000977F7">
        <w:rPr>
          <w:rFonts w:asciiTheme="majorHAnsi" w:hAnsiTheme="majorHAnsi"/>
          <w:spacing w:val="1"/>
          <w:sz w:val="20"/>
          <w:szCs w:val="20"/>
        </w:rPr>
        <w:t xml:space="preserve"> </w:t>
      </w:r>
      <w:r w:rsidRPr="000977F7">
        <w:rPr>
          <w:rFonts w:asciiTheme="majorHAnsi" w:hAnsiTheme="majorHAnsi"/>
          <w:sz w:val="20"/>
          <w:szCs w:val="20"/>
        </w:rPr>
        <w:t>можливе</w:t>
      </w:r>
      <w:r w:rsidRPr="000977F7">
        <w:rPr>
          <w:rFonts w:asciiTheme="majorHAnsi" w:hAnsiTheme="majorHAnsi"/>
          <w:spacing w:val="1"/>
          <w:sz w:val="20"/>
          <w:szCs w:val="20"/>
        </w:rPr>
        <w:t xml:space="preserve"> </w:t>
      </w:r>
      <w:r w:rsidRPr="000977F7">
        <w:rPr>
          <w:rFonts w:asciiTheme="majorHAnsi" w:hAnsiTheme="majorHAnsi"/>
          <w:sz w:val="20"/>
          <w:szCs w:val="20"/>
        </w:rPr>
        <w:t>лише із застосуванням засобів збільшення зображення</w:t>
      </w:r>
      <w:r w:rsidRPr="000977F7">
        <w:rPr>
          <w:rFonts w:asciiTheme="majorHAnsi" w:hAnsiTheme="majorHAnsi"/>
          <w:spacing w:val="-47"/>
          <w:sz w:val="20"/>
          <w:szCs w:val="20"/>
        </w:rPr>
        <w:t xml:space="preserve"> </w:t>
      </w:r>
    </w:p>
    <w:p w14:paraId="363B86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xml:space="preserve">– </w:t>
      </w:r>
      <w:r w:rsidRPr="000977F7">
        <w:rPr>
          <w:rFonts w:asciiTheme="majorHAnsi" w:hAnsiTheme="majorHAnsi"/>
          <w:sz w:val="20"/>
          <w:szCs w:val="20"/>
        </w:rPr>
        <w:t>2003</w:t>
      </w:r>
    </w:p>
    <w:p w14:paraId="24A968AC"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МІНІМАЛЬНА/МАКСИМАЛЬНА ДОПУСТИМА ТЕМПЕРАТУРА (ТS) –</w:t>
      </w:r>
    </w:p>
    <w:p w14:paraId="122144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Визначена виробником мінімальна/максимальна температура, на яку розраховане обладнання, що працює під тиском</w:t>
      </w:r>
    </w:p>
    <w:p w14:paraId="21428829"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обладнання, що працює під тиском</w:t>
      </w:r>
    </w:p>
    <w:p w14:paraId="106E5DB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МІНІМАЛЬНЕ ЗНАЧЕННЯ РОЗПОДІЛУ НАВАНТАЖЕННЯ –</w:t>
      </w:r>
    </w:p>
    <w:p w14:paraId="750F1B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MINIMUM</w:t>
      </w:r>
      <w:r w:rsidRPr="000977F7">
        <w:rPr>
          <w:rFonts w:asciiTheme="majorHAnsi" w:hAnsiTheme="majorHAnsi"/>
          <w:spacing w:val="-4"/>
          <w:sz w:val="20"/>
          <w:szCs w:val="20"/>
        </w:rPr>
        <w:t xml:space="preserve"> </w:t>
      </w:r>
      <w:r w:rsidRPr="000977F7">
        <w:rPr>
          <w:rFonts w:asciiTheme="majorHAnsi" w:hAnsiTheme="majorHAnsi"/>
          <w:sz w:val="20"/>
          <w:szCs w:val="20"/>
        </w:rPr>
        <w:t>VALUE</w:t>
      </w:r>
      <w:r w:rsidRPr="000977F7">
        <w:rPr>
          <w:rFonts w:asciiTheme="majorHAnsi" w:hAnsiTheme="majorHAnsi"/>
          <w:spacing w:val="-4"/>
          <w:sz w:val="20"/>
          <w:szCs w:val="20"/>
        </w:rPr>
        <w:t xml:space="preserve"> </w:t>
      </w:r>
      <w:r w:rsidRPr="000977F7">
        <w:rPr>
          <w:rFonts w:asciiTheme="majorHAnsi" w:hAnsiTheme="majorHAnsi"/>
          <w:sz w:val="20"/>
          <w:szCs w:val="20"/>
        </w:rPr>
        <w:t>DISTRIBUTION</w:t>
      </w:r>
      <w:r w:rsidRPr="000977F7">
        <w:rPr>
          <w:rFonts w:asciiTheme="majorHAnsi" w:hAnsiTheme="majorHAnsi"/>
          <w:spacing w:val="-4"/>
          <w:sz w:val="20"/>
          <w:szCs w:val="20"/>
        </w:rPr>
        <w:t xml:space="preserve"> </w:t>
      </w:r>
      <w:r w:rsidRPr="000977F7">
        <w:rPr>
          <w:rFonts w:asciiTheme="majorHAnsi" w:hAnsiTheme="majorHAnsi"/>
          <w:sz w:val="20"/>
          <w:szCs w:val="20"/>
        </w:rPr>
        <w:t>LOADING</w:t>
      </w:r>
      <w:r w:rsidRPr="000977F7">
        <w:rPr>
          <w:rFonts w:asciiTheme="majorHAnsi" w:hAnsiTheme="majorHAnsi"/>
          <w:spacing w:val="-47"/>
          <w:sz w:val="20"/>
          <w:szCs w:val="20"/>
        </w:rPr>
        <w:t xml:space="preserve"> </w:t>
      </w:r>
      <w:r w:rsidRPr="000977F7">
        <w:rPr>
          <w:rFonts w:asciiTheme="majorHAnsi" w:hAnsiTheme="majorHAnsi"/>
          <w:sz w:val="20"/>
          <w:szCs w:val="20"/>
        </w:rPr>
        <w:t>FUNCTION –</w:t>
      </w:r>
    </w:p>
    <w:p w14:paraId="5F9E5F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Абсолютний</w:t>
      </w:r>
      <w:r w:rsidRPr="000977F7">
        <w:rPr>
          <w:rFonts w:asciiTheme="majorHAnsi" w:hAnsiTheme="majorHAnsi"/>
          <w:spacing w:val="-5"/>
          <w:sz w:val="20"/>
          <w:szCs w:val="20"/>
        </w:rPr>
        <w:t xml:space="preserve"> </w:t>
      </w:r>
      <w:r w:rsidRPr="000977F7">
        <w:rPr>
          <w:rFonts w:asciiTheme="majorHAnsi" w:hAnsiTheme="majorHAnsi"/>
          <w:sz w:val="20"/>
          <w:szCs w:val="20"/>
        </w:rPr>
        <w:t>мінімум</w:t>
      </w:r>
      <w:r w:rsidRPr="000977F7">
        <w:rPr>
          <w:rFonts w:asciiTheme="majorHAnsi" w:hAnsiTheme="majorHAnsi"/>
          <w:spacing w:val="-3"/>
          <w:sz w:val="20"/>
          <w:szCs w:val="20"/>
        </w:rPr>
        <w:t xml:space="preserve"> </w:t>
      </w:r>
      <w:r w:rsidRPr="000977F7">
        <w:rPr>
          <w:rFonts w:asciiTheme="majorHAnsi" w:hAnsiTheme="majorHAnsi"/>
          <w:sz w:val="20"/>
          <w:szCs w:val="20"/>
        </w:rPr>
        <w:t>навантаження</w:t>
      </w:r>
      <w:r w:rsidRPr="000977F7">
        <w:rPr>
          <w:rFonts w:asciiTheme="majorHAnsi" w:hAnsiTheme="majorHAnsi"/>
          <w:spacing w:val="-5"/>
          <w:sz w:val="20"/>
          <w:szCs w:val="20"/>
        </w:rPr>
        <w:t xml:space="preserve"> </w:t>
      </w:r>
      <w:r w:rsidRPr="000977F7">
        <w:rPr>
          <w:rFonts w:asciiTheme="majorHAnsi" w:hAnsiTheme="majorHAnsi"/>
          <w:sz w:val="20"/>
          <w:szCs w:val="20"/>
        </w:rPr>
        <w:t>в</w:t>
      </w:r>
      <w:r w:rsidRPr="000977F7">
        <w:rPr>
          <w:rFonts w:asciiTheme="majorHAnsi" w:hAnsiTheme="majorHAnsi"/>
          <w:spacing w:val="-5"/>
          <w:sz w:val="20"/>
          <w:szCs w:val="20"/>
        </w:rPr>
        <w:t xml:space="preserve"> </w:t>
      </w:r>
      <w:r w:rsidRPr="000977F7">
        <w:rPr>
          <w:rFonts w:asciiTheme="majorHAnsi" w:hAnsiTheme="majorHAnsi"/>
          <w:sz w:val="20"/>
          <w:szCs w:val="20"/>
        </w:rPr>
        <w:t>розподілі</w:t>
      </w:r>
    </w:p>
    <w:p w14:paraId="59C6850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2444 - 94</w:t>
      </w:r>
    </w:p>
    <w:p w14:paraId="2FE9BDC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МІНІМАЛЬНИЙ</w:t>
      </w:r>
      <w:r w:rsidRPr="000977F7">
        <w:rPr>
          <w:color w:val="auto"/>
          <w:spacing w:val="-5"/>
          <w:sz w:val="20"/>
          <w:szCs w:val="20"/>
        </w:rPr>
        <w:t xml:space="preserve"> </w:t>
      </w:r>
      <w:r w:rsidRPr="000977F7">
        <w:rPr>
          <w:color w:val="auto"/>
          <w:sz w:val="20"/>
          <w:szCs w:val="20"/>
        </w:rPr>
        <w:t>НАРОБІТОК</w:t>
      </w:r>
      <w:r w:rsidRPr="000977F7">
        <w:rPr>
          <w:color w:val="auto"/>
          <w:spacing w:val="-4"/>
          <w:sz w:val="20"/>
          <w:szCs w:val="20"/>
        </w:rPr>
        <w:t xml:space="preserve"> </w:t>
      </w:r>
      <w:r w:rsidRPr="000977F7">
        <w:rPr>
          <w:color w:val="auto"/>
          <w:sz w:val="20"/>
          <w:szCs w:val="20"/>
        </w:rPr>
        <w:t>–</w:t>
      </w:r>
    </w:p>
    <w:p w14:paraId="35222E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Мінімальна</w:t>
      </w:r>
      <w:r w:rsidRPr="000977F7">
        <w:rPr>
          <w:rFonts w:asciiTheme="majorHAnsi" w:hAnsiTheme="majorHAnsi"/>
          <w:spacing w:val="1"/>
          <w:sz w:val="20"/>
          <w:szCs w:val="20"/>
        </w:rPr>
        <w:t xml:space="preserve"> </w:t>
      </w:r>
      <w:r w:rsidRPr="000977F7">
        <w:rPr>
          <w:rFonts w:asciiTheme="majorHAnsi" w:hAnsiTheme="majorHAnsi"/>
          <w:sz w:val="20"/>
          <w:szCs w:val="20"/>
        </w:rPr>
        <w:t>тривалість</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r w:rsidRPr="000977F7">
        <w:rPr>
          <w:rFonts w:asciiTheme="majorHAnsi" w:hAnsiTheme="majorHAnsi"/>
          <w:spacing w:val="1"/>
          <w:sz w:val="20"/>
          <w:szCs w:val="20"/>
        </w:rPr>
        <w:t xml:space="preserve"> </w:t>
      </w:r>
      <w:r w:rsidRPr="000977F7">
        <w:rPr>
          <w:rFonts w:asciiTheme="majorHAnsi" w:hAnsiTheme="majorHAnsi"/>
          <w:sz w:val="20"/>
          <w:szCs w:val="20"/>
        </w:rPr>
        <w:t>виробів</w:t>
      </w:r>
      <w:r w:rsidRPr="000977F7">
        <w:rPr>
          <w:rFonts w:asciiTheme="majorHAnsi" w:hAnsiTheme="majorHAnsi"/>
          <w:spacing w:val="1"/>
          <w:sz w:val="20"/>
          <w:szCs w:val="20"/>
        </w:rPr>
        <w:t xml:space="preserve"> </w:t>
      </w:r>
      <w:r w:rsidRPr="000977F7">
        <w:rPr>
          <w:rFonts w:asciiTheme="majorHAnsi" w:hAnsiTheme="majorHAnsi"/>
          <w:sz w:val="20"/>
          <w:szCs w:val="20"/>
        </w:rPr>
        <w:t>(об’єктів)</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заданих режимах і</w:t>
      </w:r>
      <w:r w:rsidRPr="000977F7">
        <w:rPr>
          <w:rFonts w:asciiTheme="majorHAnsi" w:hAnsiTheme="majorHAnsi"/>
          <w:spacing w:val="1"/>
          <w:sz w:val="20"/>
          <w:szCs w:val="20"/>
        </w:rPr>
        <w:t xml:space="preserve"> </w:t>
      </w:r>
      <w:r w:rsidRPr="000977F7">
        <w:rPr>
          <w:rFonts w:asciiTheme="majorHAnsi" w:hAnsiTheme="majorHAnsi"/>
          <w:sz w:val="20"/>
          <w:szCs w:val="20"/>
        </w:rPr>
        <w:t>умовах,</w:t>
      </w:r>
      <w:r w:rsidRPr="000977F7">
        <w:rPr>
          <w:rFonts w:asciiTheme="majorHAnsi" w:hAnsiTheme="majorHAnsi"/>
          <w:spacing w:val="1"/>
          <w:sz w:val="20"/>
          <w:szCs w:val="20"/>
        </w:rPr>
        <w:t xml:space="preserve"> </w:t>
      </w:r>
      <w:r w:rsidRPr="000977F7">
        <w:rPr>
          <w:rFonts w:asciiTheme="majorHAnsi" w:hAnsiTheme="majorHAnsi"/>
          <w:sz w:val="20"/>
          <w:szCs w:val="20"/>
        </w:rPr>
        <w:t>протягом якої виробник</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забезпечує</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працездатність</w:t>
      </w:r>
    </w:p>
    <w:p w14:paraId="7B520E4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2634 – 94</w:t>
      </w:r>
    </w:p>
    <w:p w14:paraId="15FA676D"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pacing w:val="-1"/>
          <w:sz w:val="20"/>
          <w:szCs w:val="20"/>
        </w:rPr>
        <w:lastRenderedPageBreak/>
        <w:t xml:space="preserve">МІНЛИВІСТЬ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425E8BE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VARIABILITY</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029E573" w14:textId="77777777" w:rsidR="0097612F" w:rsidRPr="000977F7" w:rsidRDefault="0097612F" w:rsidP="000977F7">
      <w:pPr>
        <w:pStyle w:val="af6"/>
        <w:tabs>
          <w:tab w:val="left" w:pos="284"/>
        </w:tabs>
        <w:spacing w:after="0"/>
        <w:ind w:left="170"/>
        <w:mirrorIndents/>
        <w:jc w:val="both"/>
        <w:rPr>
          <w:rFonts w:asciiTheme="majorHAnsi" w:hAnsiTheme="majorHAnsi"/>
          <w:spacing w:val="-5"/>
          <w:sz w:val="20"/>
          <w:szCs w:val="20"/>
        </w:rPr>
      </w:pPr>
      <w:r w:rsidRPr="000977F7">
        <w:rPr>
          <w:rFonts w:asciiTheme="majorHAnsi" w:hAnsiTheme="majorHAnsi"/>
          <w:spacing w:val="-4"/>
          <w:sz w:val="20"/>
          <w:szCs w:val="20"/>
        </w:rPr>
        <w:t>Властивість</w:t>
      </w:r>
      <w:r w:rsidRPr="000977F7">
        <w:rPr>
          <w:rFonts w:asciiTheme="majorHAnsi" w:hAnsiTheme="majorHAnsi"/>
          <w:spacing w:val="-9"/>
          <w:sz w:val="20"/>
          <w:szCs w:val="20"/>
        </w:rPr>
        <w:t xml:space="preserve"> </w:t>
      </w:r>
      <w:r w:rsidRPr="000977F7">
        <w:rPr>
          <w:rFonts w:asciiTheme="majorHAnsi" w:hAnsiTheme="majorHAnsi"/>
          <w:spacing w:val="-4"/>
          <w:sz w:val="20"/>
          <w:szCs w:val="20"/>
        </w:rPr>
        <w:t>продукції,</w:t>
      </w:r>
      <w:r w:rsidRPr="000977F7">
        <w:rPr>
          <w:rFonts w:asciiTheme="majorHAnsi" w:hAnsiTheme="majorHAnsi"/>
          <w:spacing w:val="-8"/>
          <w:sz w:val="20"/>
          <w:szCs w:val="20"/>
        </w:rPr>
        <w:t xml:space="preserve"> </w:t>
      </w:r>
      <w:r w:rsidRPr="000977F7">
        <w:rPr>
          <w:rFonts w:asciiTheme="majorHAnsi" w:hAnsiTheme="majorHAnsi"/>
          <w:spacing w:val="-3"/>
          <w:sz w:val="20"/>
          <w:szCs w:val="20"/>
        </w:rPr>
        <w:t>яка</w:t>
      </w:r>
      <w:r w:rsidRPr="000977F7">
        <w:rPr>
          <w:rFonts w:asciiTheme="majorHAnsi" w:hAnsiTheme="majorHAnsi"/>
          <w:spacing w:val="-6"/>
          <w:sz w:val="20"/>
          <w:szCs w:val="20"/>
        </w:rPr>
        <w:t xml:space="preserve"> </w:t>
      </w:r>
      <w:r w:rsidRPr="000977F7">
        <w:rPr>
          <w:rFonts w:asciiTheme="majorHAnsi" w:hAnsiTheme="majorHAnsi"/>
          <w:spacing w:val="-3"/>
          <w:sz w:val="20"/>
          <w:szCs w:val="20"/>
        </w:rPr>
        <w:t>полягає</w:t>
      </w:r>
      <w:r w:rsidRPr="000977F7">
        <w:rPr>
          <w:rFonts w:asciiTheme="majorHAnsi" w:hAnsiTheme="majorHAnsi"/>
          <w:spacing w:val="-6"/>
          <w:sz w:val="20"/>
          <w:szCs w:val="20"/>
        </w:rPr>
        <w:t xml:space="preserve"> </w:t>
      </w:r>
      <w:r w:rsidRPr="000977F7">
        <w:rPr>
          <w:rFonts w:asciiTheme="majorHAnsi" w:hAnsiTheme="majorHAnsi"/>
          <w:spacing w:val="-3"/>
          <w:sz w:val="20"/>
          <w:szCs w:val="20"/>
        </w:rPr>
        <w:t>в</w:t>
      </w:r>
      <w:r w:rsidRPr="000977F7">
        <w:rPr>
          <w:rFonts w:asciiTheme="majorHAnsi" w:hAnsiTheme="majorHAnsi"/>
          <w:spacing w:val="-9"/>
          <w:sz w:val="20"/>
          <w:szCs w:val="20"/>
        </w:rPr>
        <w:t xml:space="preserve"> </w:t>
      </w:r>
      <w:r w:rsidRPr="000977F7">
        <w:rPr>
          <w:rFonts w:asciiTheme="majorHAnsi" w:hAnsiTheme="majorHAnsi"/>
          <w:spacing w:val="-3"/>
          <w:sz w:val="20"/>
          <w:szCs w:val="20"/>
        </w:rPr>
        <w:t>тому,</w:t>
      </w:r>
      <w:r w:rsidRPr="000977F7">
        <w:rPr>
          <w:rFonts w:asciiTheme="majorHAnsi" w:hAnsiTheme="majorHAnsi"/>
          <w:spacing w:val="-7"/>
          <w:sz w:val="20"/>
          <w:szCs w:val="20"/>
        </w:rPr>
        <w:t xml:space="preserve"> </w:t>
      </w:r>
      <w:r w:rsidRPr="000977F7">
        <w:rPr>
          <w:rFonts w:asciiTheme="majorHAnsi" w:hAnsiTheme="majorHAnsi"/>
          <w:spacing w:val="-3"/>
          <w:sz w:val="20"/>
          <w:szCs w:val="20"/>
        </w:rPr>
        <w:t>що</w:t>
      </w:r>
      <w:r w:rsidRPr="000977F7">
        <w:rPr>
          <w:rFonts w:asciiTheme="majorHAnsi" w:hAnsiTheme="majorHAnsi"/>
          <w:spacing w:val="-5"/>
          <w:sz w:val="20"/>
          <w:szCs w:val="20"/>
        </w:rPr>
        <w:t xml:space="preserve"> </w:t>
      </w:r>
      <w:r w:rsidRPr="000977F7">
        <w:rPr>
          <w:rFonts w:asciiTheme="majorHAnsi" w:hAnsiTheme="majorHAnsi"/>
          <w:spacing w:val="-3"/>
          <w:sz w:val="20"/>
          <w:szCs w:val="20"/>
        </w:rPr>
        <w:t>параметри</w:t>
      </w:r>
      <w:r w:rsidRPr="000977F7">
        <w:rPr>
          <w:rFonts w:asciiTheme="majorHAnsi" w:hAnsiTheme="majorHAnsi"/>
          <w:spacing w:val="-47"/>
          <w:sz w:val="20"/>
          <w:szCs w:val="20"/>
        </w:rPr>
        <w:t xml:space="preserve"> </w:t>
      </w:r>
      <w:r w:rsidRPr="000977F7">
        <w:rPr>
          <w:rFonts w:asciiTheme="majorHAnsi" w:hAnsiTheme="majorHAnsi"/>
          <w:spacing w:val="-6"/>
          <w:sz w:val="20"/>
          <w:szCs w:val="20"/>
        </w:rPr>
        <w:t xml:space="preserve">чи показники якості її </w:t>
      </w:r>
      <w:r w:rsidRPr="000977F7">
        <w:rPr>
          <w:rFonts w:asciiTheme="majorHAnsi" w:hAnsiTheme="majorHAnsi"/>
          <w:spacing w:val="-5"/>
          <w:sz w:val="20"/>
          <w:szCs w:val="20"/>
        </w:rPr>
        <w:t>одиниць набувають різних значень</w:t>
      </w:r>
    </w:p>
    <w:p w14:paraId="22544006" w14:textId="77777777" w:rsidR="0097612F" w:rsidRPr="004D2D14" w:rsidRDefault="0097612F" w:rsidP="000977F7">
      <w:pPr>
        <w:pStyle w:val="af6"/>
        <w:tabs>
          <w:tab w:val="left" w:pos="284"/>
        </w:tabs>
        <w:spacing w:after="0"/>
        <w:ind w:left="170"/>
        <w:mirrorIndents/>
        <w:jc w:val="both"/>
        <w:rPr>
          <w:rFonts w:asciiTheme="majorHAnsi" w:hAnsiTheme="majorHAnsi"/>
          <w:i/>
          <w:iCs/>
          <w:sz w:val="20"/>
          <w:szCs w:val="20"/>
          <w:lang w:val="en-US"/>
        </w:rPr>
      </w:pPr>
      <w:r w:rsidRPr="000977F7">
        <w:rPr>
          <w:rFonts w:asciiTheme="majorHAnsi" w:hAnsiTheme="majorHAnsi"/>
          <w:i/>
          <w:iCs/>
          <w:sz w:val="20"/>
          <w:szCs w:val="20"/>
        </w:rPr>
        <w:t>ДСТУ</w:t>
      </w:r>
      <w:r w:rsidRPr="004D2D14">
        <w:rPr>
          <w:rFonts w:asciiTheme="majorHAnsi" w:hAnsiTheme="majorHAnsi"/>
          <w:i/>
          <w:iCs/>
          <w:spacing w:val="-1"/>
          <w:sz w:val="20"/>
          <w:szCs w:val="20"/>
          <w:lang w:val="en-US"/>
        </w:rPr>
        <w:t xml:space="preserve"> </w:t>
      </w:r>
      <w:r w:rsidRPr="004D2D14">
        <w:rPr>
          <w:rFonts w:asciiTheme="majorHAnsi" w:hAnsiTheme="majorHAnsi"/>
          <w:i/>
          <w:iCs/>
          <w:sz w:val="20"/>
          <w:szCs w:val="20"/>
          <w:lang w:val="en-US"/>
        </w:rPr>
        <w:t>3278</w:t>
      </w:r>
      <w:r w:rsidRPr="004D2D14">
        <w:rPr>
          <w:rFonts w:asciiTheme="majorHAnsi" w:hAnsiTheme="majorHAnsi"/>
          <w:i/>
          <w:iCs/>
          <w:spacing w:val="-1"/>
          <w:sz w:val="20"/>
          <w:szCs w:val="20"/>
          <w:lang w:val="en-US"/>
        </w:rPr>
        <w:t xml:space="preserve"> </w:t>
      </w:r>
      <w:r w:rsidRPr="004D2D14">
        <w:rPr>
          <w:rFonts w:asciiTheme="majorHAnsi" w:hAnsiTheme="majorHAnsi"/>
          <w:i/>
          <w:iCs/>
          <w:sz w:val="20"/>
          <w:szCs w:val="20"/>
          <w:lang w:val="en-US"/>
        </w:rPr>
        <w:t>–</w:t>
      </w:r>
      <w:r w:rsidRPr="004D2D14">
        <w:rPr>
          <w:rFonts w:asciiTheme="majorHAnsi" w:hAnsiTheme="majorHAnsi"/>
          <w:i/>
          <w:iCs/>
          <w:spacing w:val="1"/>
          <w:sz w:val="20"/>
          <w:szCs w:val="20"/>
          <w:lang w:val="en-US"/>
        </w:rPr>
        <w:t xml:space="preserve"> </w:t>
      </w:r>
      <w:r w:rsidRPr="004D2D14">
        <w:rPr>
          <w:rFonts w:asciiTheme="majorHAnsi" w:hAnsiTheme="majorHAnsi"/>
          <w:i/>
          <w:iCs/>
          <w:sz w:val="20"/>
          <w:szCs w:val="20"/>
          <w:lang w:val="en-US"/>
        </w:rPr>
        <w:t>95</w:t>
      </w:r>
    </w:p>
    <w:p w14:paraId="1528F87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127" w:name="_Hlk101105057"/>
      <w:r w:rsidRPr="000977F7">
        <w:rPr>
          <w:color w:val="auto"/>
          <w:sz w:val="20"/>
          <w:szCs w:val="20"/>
        </w:rPr>
        <w:t>МІРА</w:t>
      </w:r>
      <w:r w:rsidRPr="000977F7">
        <w:rPr>
          <w:color w:val="auto"/>
          <w:spacing w:val="-2"/>
          <w:sz w:val="20"/>
          <w:szCs w:val="20"/>
        </w:rPr>
        <w:t xml:space="preserve"> </w:t>
      </w:r>
      <w:r w:rsidRPr="000977F7">
        <w:rPr>
          <w:color w:val="auto"/>
          <w:sz w:val="20"/>
          <w:szCs w:val="20"/>
        </w:rPr>
        <w:t>ВЕЛИЧИНИ</w:t>
      </w:r>
      <w:r w:rsidRPr="000977F7">
        <w:rPr>
          <w:color w:val="auto"/>
          <w:spacing w:val="-1"/>
          <w:sz w:val="20"/>
          <w:szCs w:val="20"/>
        </w:rPr>
        <w:t xml:space="preserve"> </w:t>
      </w:r>
      <w:r w:rsidRPr="000977F7">
        <w:rPr>
          <w:color w:val="auto"/>
          <w:sz w:val="20"/>
          <w:szCs w:val="20"/>
        </w:rPr>
        <w:t>–</w:t>
      </w:r>
    </w:p>
    <w:p w14:paraId="5FD03E8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MATERIAL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MEASURE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bookmarkEnd w:id="127"/>
    <w:p w14:paraId="52FC7AD8"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Вимірювальний пристрій, що реалізує відтворення та</w:t>
      </w:r>
      <w:r w:rsidRPr="000977F7">
        <w:rPr>
          <w:rFonts w:asciiTheme="majorHAnsi" w:hAnsiTheme="majorHAnsi"/>
          <w:spacing w:val="1"/>
          <w:sz w:val="20"/>
          <w:szCs w:val="20"/>
        </w:rPr>
        <w:t xml:space="preserve"> </w:t>
      </w:r>
      <w:r w:rsidRPr="000977F7">
        <w:rPr>
          <w:rFonts w:asciiTheme="majorHAnsi" w:hAnsiTheme="majorHAnsi"/>
          <w:spacing w:val="-2"/>
          <w:sz w:val="20"/>
          <w:szCs w:val="20"/>
        </w:rPr>
        <w:t xml:space="preserve">(або) збереження </w:t>
      </w:r>
      <w:r w:rsidRPr="000977F7">
        <w:rPr>
          <w:rFonts w:asciiTheme="majorHAnsi" w:hAnsiTheme="majorHAnsi"/>
          <w:spacing w:val="-1"/>
          <w:sz w:val="20"/>
          <w:szCs w:val="20"/>
        </w:rPr>
        <w:t>фізичної величини заданого значення</w:t>
      </w:r>
      <w:r w:rsidRPr="000977F7">
        <w:rPr>
          <w:rFonts w:asciiTheme="majorHAnsi" w:hAnsiTheme="majorHAnsi"/>
          <w:spacing w:val="-47"/>
          <w:sz w:val="20"/>
          <w:szCs w:val="20"/>
        </w:rPr>
        <w:t xml:space="preserve"> </w:t>
      </w:r>
    </w:p>
    <w:p w14:paraId="3B017F38"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437A5D83" w14:textId="77777777" w:rsidR="0097612F" w:rsidRPr="000977F7" w:rsidRDefault="0097612F" w:rsidP="000977F7">
      <w:pPr>
        <w:pStyle w:val="7"/>
        <w:tabs>
          <w:tab w:val="left" w:pos="284"/>
        </w:tabs>
        <w:spacing w:before="0" w:line="240" w:lineRule="auto"/>
        <w:ind w:left="170"/>
        <w:mirrorIndents/>
        <w:jc w:val="both"/>
        <w:rPr>
          <w:i/>
          <w:color w:val="auto"/>
          <w:sz w:val="20"/>
          <w:szCs w:val="20"/>
        </w:rPr>
      </w:pPr>
      <w:r w:rsidRPr="000977F7">
        <w:rPr>
          <w:color w:val="auto"/>
          <w:sz w:val="20"/>
          <w:szCs w:val="20"/>
        </w:rPr>
        <w:t>МІСІЯ</w:t>
      </w:r>
      <w:r w:rsidRPr="000977F7">
        <w:rPr>
          <w:color w:val="auto"/>
          <w:spacing w:val="-5"/>
          <w:sz w:val="20"/>
          <w:szCs w:val="20"/>
        </w:rPr>
        <w:t xml:space="preserve"> </w:t>
      </w:r>
      <w:r w:rsidRPr="000977F7">
        <w:rPr>
          <w:color w:val="auto"/>
          <w:sz w:val="20"/>
          <w:szCs w:val="20"/>
        </w:rPr>
        <w:t>ОРГАНІЗАЦІЇ</w:t>
      </w:r>
      <w:r w:rsidRPr="000977F7">
        <w:rPr>
          <w:color w:val="auto"/>
          <w:spacing w:val="-2"/>
          <w:sz w:val="20"/>
          <w:szCs w:val="20"/>
        </w:rPr>
        <w:t xml:space="preserve"> </w:t>
      </w:r>
      <w:r w:rsidRPr="000977F7">
        <w:rPr>
          <w:i/>
          <w:color w:val="auto"/>
          <w:sz w:val="20"/>
          <w:szCs w:val="20"/>
        </w:rPr>
        <w:t>–</w:t>
      </w:r>
    </w:p>
    <w:p w14:paraId="48624015" w14:textId="77777777" w:rsidR="0097612F" w:rsidRPr="004D2D14" w:rsidRDefault="0097612F" w:rsidP="000977F7">
      <w:pPr>
        <w:pStyle w:val="af6"/>
        <w:tabs>
          <w:tab w:val="left" w:pos="284"/>
        </w:tabs>
        <w:spacing w:after="0"/>
        <w:ind w:left="170"/>
        <w:mirrorIndents/>
        <w:jc w:val="both"/>
        <w:rPr>
          <w:rFonts w:asciiTheme="majorHAnsi" w:hAnsiTheme="majorHAnsi"/>
          <w:b/>
          <w:i/>
          <w:sz w:val="20"/>
          <w:szCs w:val="20"/>
          <w:lang w:val="en-US"/>
        </w:rPr>
      </w:pPr>
      <w:r w:rsidRPr="004D2D14">
        <w:rPr>
          <w:rFonts w:asciiTheme="majorHAnsi" w:hAnsiTheme="majorHAnsi"/>
          <w:sz w:val="20"/>
          <w:szCs w:val="20"/>
          <w:lang w:val="en-US"/>
        </w:rPr>
        <w:t>MISSION</w:t>
      </w:r>
      <w:r w:rsidRPr="004D2D14">
        <w:rPr>
          <w:rFonts w:asciiTheme="majorHAnsi" w:hAnsiTheme="majorHAnsi"/>
          <w:spacing w:val="-4"/>
          <w:sz w:val="20"/>
          <w:szCs w:val="20"/>
          <w:lang w:val="en-US"/>
        </w:rPr>
        <w:t xml:space="preserve"> </w:t>
      </w:r>
      <w:r w:rsidRPr="000977F7">
        <w:rPr>
          <w:rFonts w:asciiTheme="majorHAnsi" w:hAnsiTheme="majorHAnsi"/>
          <w:sz w:val="20"/>
          <w:szCs w:val="20"/>
        </w:rPr>
        <w:t>О</w:t>
      </w:r>
      <w:r w:rsidRPr="004D2D14">
        <w:rPr>
          <w:rFonts w:asciiTheme="majorHAnsi" w:hAnsiTheme="majorHAnsi"/>
          <w:sz w:val="20"/>
          <w:szCs w:val="20"/>
          <w:lang w:val="en-US"/>
        </w:rPr>
        <w:t>RGANIZATION</w:t>
      </w:r>
      <w:r w:rsidRPr="004D2D14">
        <w:rPr>
          <w:rFonts w:asciiTheme="majorHAnsi" w:hAnsiTheme="majorHAnsi"/>
          <w:spacing w:val="-1"/>
          <w:sz w:val="20"/>
          <w:szCs w:val="20"/>
          <w:lang w:val="en-US"/>
        </w:rPr>
        <w:t xml:space="preserve"> </w:t>
      </w:r>
      <w:r w:rsidRPr="004D2D14">
        <w:rPr>
          <w:rFonts w:asciiTheme="majorHAnsi" w:hAnsiTheme="majorHAnsi"/>
          <w:b/>
          <w:i/>
          <w:sz w:val="20"/>
          <w:szCs w:val="20"/>
          <w:lang w:val="en-US"/>
        </w:rPr>
        <w:t>–</w:t>
      </w:r>
    </w:p>
    <w:p w14:paraId="7C414921" w14:textId="77777777" w:rsidR="0097612F" w:rsidRPr="000977F7" w:rsidRDefault="0097612F" w:rsidP="000977F7">
      <w:pPr>
        <w:pStyle w:val="6"/>
        <w:tabs>
          <w:tab w:val="left" w:pos="284"/>
        </w:tabs>
        <w:ind w:left="170" w:right="0"/>
        <w:mirrorIndents/>
        <w:jc w:val="both"/>
        <w:rPr>
          <w:rFonts w:asciiTheme="majorHAnsi" w:hAnsiTheme="majorHAnsi"/>
          <w:sz w:val="20"/>
          <w:szCs w:val="20"/>
        </w:rPr>
      </w:pPr>
      <w:r w:rsidRPr="000977F7">
        <w:rPr>
          <w:rFonts w:asciiTheme="majorHAnsi" w:hAnsiTheme="majorHAnsi"/>
          <w:sz w:val="20"/>
          <w:szCs w:val="20"/>
        </w:rPr>
        <w:t xml:space="preserve">Сенс існування організації, як це сформулювало </w:t>
      </w:r>
      <w:r w:rsidRPr="000977F7">
        <w:rPr>
          <w:rFonts w:asciiTheme="majorHAnsi" w:hAnsiTheme="majorHAnsi"/>
          <w:spacing w:val="-52"/>
          <w:sz w:val="20"/>
          <w:szCs w:val="20"/>
        </w:rPr>
        <w:t xml:space="preserve"> </w:t>
      </w:r>
      <w:r w:rsidRPr="000977F7">
        <w:rPr>
          <w:rFonts w:asciiTheme="majorHAnsi" w:hAnsiTheme="majorHAnsi"/>
          <w:sz w:val="20"/>
          <w:szCs w:val="20"/>
        </w:rPr>
        <w:t>найвище</w:t>
      </w:r>
      <w:r w:rsidRPr="000977F7">
        <w:rPr>
          <w:rFonts w:asciiTheme="majorHAnsi" w:hAnsiTheme="majorHAnsi"/>
          <w:spacing w:val="-1"/>
          <w:sz w:val="20"/>
          <w:szCs w:val="20"/>
        </w:rPr>
        <w:t xml:space="preserve"> </w:t>
      </w:r>
      <w:r w:rsidRPr="000977F7">
        <w:rPr>
          <w:rFonts w:asciiTheme="majorHAnsi" w:hAnsiTheme="majorHAnsi"/>
          <w:sz w:val="20"/>
          <w:szCs w:val="20"/>
        </w:rPr>
        <w:t>керівництво</w:t>
      </w:r>
    </w:p>
    <w:p w14:paraId="6F9F7F94"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ISO</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9000:2015</w:t>
      </w:r>
    </w:p>
    <w:p w14:paraId="54EE5610"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МІСЦЕВА</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КОРОЗІЯ</w:t>
      </w:r>
      <w:r w:rsidRPr="004D2D14">
        <w:rPr>
          <w:rFonts w:asciiTheme="majorHAnsi" w:hAnsiTheme="majorHAnsi"/>
          <w:b/>
          <w:spacing w:val="1"/>
          <w:sz w:val="20"/>
          <w:szCs w:val="20"/>
          <w:lang w:val="en-US"/>
        </w:rPr>
        <w:t xml:space="preserve"> </w:t>
      </w:r>
      <w:r w:rsidRPr="004D2D14">
        <w:rPr>
          <w:rFonts w:asciiTheme="majorHAnsi" w:hAnsiTheme="majorHAnsi"/>
          <w:b/>
          <w:sz w:val="20"/>
          <w:szCs w:val="20"/>
          <w:lang w:val="en-US"/>
        </w:rPr>
        <w:t>–</w:t>
      </w:r>
      <w:r w:rsidRPr="004D2D14">
        <w:rPr>
          <w:rFonts w:asciiTheme="majorHAnsi" w:hAnsiTheme="majorHAnsi"/>
          <w:b/>
          <w:spacing w:val="1"/>
          <w:sz w:val="20"/>
          <w:szCs w:val="20"/>
          <w:lang w:val="en-US"/>
        </w:rPr>
        <w:t xml:space="preserve"> </w:t>
      </w:r>
      <w:r w:rsidRPr="004D2D14">
        <w:rPr>
          <w:rFonts w:asciiTheme="majorHAnsi" w:hAnsiTheme="majorHAnsi"/>
          <w:sz w:val="20"/>
          <w:szCs w:val="20"/>
          <w:lang w:val="en-US"/>
        </w:rPr>
        <w:t>LOCALIZED</w:t>
      </w:r>
      <w:r w:rsidRPr="004D2D14">
        <w:rPr>
          <w:rFonts w:asciiTheme="majorHAnsi" w:hAnsiTheme="majorHAnsi"/>
          <w:spacing w:val="-9"/>
          <w:sz w:val="20"/>
          <w:szCs w:val="20"/>
          <w:lang w:val="en-US"/>
        </w:rPr>
        <w:t xml:space="preserve"> </w:t>
      </w:r>
      <w:r w:rsidRPr="004D2D14">
        <w:rPr>
          <w:rFonts w:asciiTheme="majorHAnsi" w:hAnsiTheme="majorHAnsi"/>
          <w:sz w:val="20"/>
          <w:szCs w:val="20"/>
          <w:lang w:val="en-US"/>
        </w:rPr>
        <w:t>CORROSION</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5668830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Корозія,</w:t>
      </w:r>
      <w:r w:rsidRPr="000977F7">
        <w:rPr>
          <w:rFonts w:asciiTheme="majorHAnsi" w:hAnsiTheme="majorHAnsi"/>
          <w:spacing w:val="-3"/>
          <w:sz w:val="20"/>
          <w:szCs w:val="20"/>
        </w:rPr>
        <w:t xml:space="preserve"> </w:t>
      </w:r>
      <w:r w:rsidRPr="000977F7">
        <w:rPr>
          <w:rFonts w:asciiTheme="majorHAnsi" w:hAnsiTheme="majorHAnsi"/>
          <w:sz w:val="20"/>
          <w:szCs w:val="20"/>
        </w:rPr>
        <w:t>яка</w:t>
      </w:r>
      <w:r w:rsidRPr="000977F7">
        <w:rPr>
          <w:rFonts w:asciiTheme="majorHAnsi" w:hAnsiTheme="majorHAnsi"/>
          <w:spacing w:val="-2"/>
          <w:sz w:val="20"/>
          <w:szCs w:val="20"/>
        </w:rPr>
        <w:t xml:space="preserve"> </w:t>
      </w:r>
      <w:r w:rsidRPr="000977F7">
        <w:rPr>
          <w:rFonts w:asciiTheme="majorHAnsi" w:hAnsiTheme="majorHAnsi"/>
          <w:sz w:val="20"/>
          <w:szCs w:val="20"/>
        </w:rPr>
        <w:t>охоплює</w:t>
      </w:r>
      <w:r w:rsidRPr="000977F7">
        <w:rPr>
          <w:rFonts w:asciiTheme="majorHAnsi" w:hAnsiTheme="majorHAnsi"/>
          <w:spacing w:val="-3"/>
          <w:sz w:val="20"/>
          <w:szCs w:val="20"/>
        </w:rPr>
        <w:t xml:space="preserve"> </w:t>
      </w:r>
      <w:r w:rsidRPr="000977F7">
        <w:rPr>
          <w:rFonts w:asciiTheme="majorHAnsi" w:hAnsiTheme="majorHAnsi"/>
          <w:sz w:val="20"/>
          <w:szCs w:val="20"/>
        </w:rPr>
        <w:t>окремі</w:t>
      </w:r>
      <w:r w:rsidRPr="000977F7">
        <w:rPr>
          <w:rFonts w:asciiTheme="majorHAnsi" w:hAnsiTheme="majorHAnsi"/>
          <w:spacing w:val="-3"/>
          <w:sz w:val="20"/>
          <w:szCs w:val="20"/>
        </w:rPr>
        <w:t xml:space="preserve"> </w:t>
      </w:r>
      <w:r w:rsidRPr="000977F7">
        <w:rPr>
          <w:rFonts w:asciiTheme="majorHAnsi" w:hAnsiTheme="majorHAnsi"/>
          <w:sz w:val="20"/>
          <w:szCs w:val="20"/>
        </w:rPr>
        <w:t>ділянки</w:t>
      </w:r>
      <w:r w:rsidRPr="000977F7">
        <w:rPr>
          <w:rFonts w:asciiTheme="majorHAnsi" w:hAnsiTheme="majorHAnsi"/>
          <w:spacing w:val="-3"/>
          <w:sz w:val="20"/>
          <w:szCs w:val="20"/>
        </w:rPr>
        <w:t xml:space="preserve"> </w:t>
      </w:r>
      <w:r w:rsidRPr="000977F7">
        <w:rPr>
          <w:rFonts w:asciiTheme="majorHAnsi" w:hAnsiTheme="majorHAnsi"/>
          <w:sz w:val="20"/>
          <w:szCs w:val="20"/>
        </w:rPr>
        <w:t>поверхні</w:t>
      </w:r>
      <w:r w:rsidRPr="000977F7">
        <w:rPr>
          <w:rFonts w:asciiTheme="majorHAnsi" w:hAnsiTheme="majorHAnsi"/>
          <w:spacing w:val="-4"/>
          <w:sz w:val="20"/>
          <w:szCs w:val="20"/>
        </w:rPr>
        <w:t xml:space="preserve"> </w:t>
      </w:r>
      <w:r w:rsidRPr="000977F7">
        <w:rPr>
          <w:rFonts w:asciiTheme="majorHAnsi" w:hAnsiTheme="majorHAnsi"/>
          <w:sz w:val="20"/>
          <w:szCs w:val="20"/>
        </w:rPr>
        <w:t>металу</w:t>
      </w:r>
    </w:p>
    <w:p w14:paraId="0278380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3830 - 98</w:t>
      </w:r>
    </w:p>
    <w:p w14:paraId="590A481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МІСЦЕВЕ</w:t>
      </w:r>
      <w:r w:rsidRPr="000977F7">
        <w:rPr>
          <w:color w:val="auto"/>
          <w:spacing w:val="-5"/>
          <w:sz w:val="20"/>
          <w:szCs w:val="20"/>
        </w:rPr>
        <w:t xml:space="preserve"> </w:t>
      </w:r>
      <w:r w:rsidRPr="000977F7">
        <w:rPr>
          <w:color w:val="auto"/>
          <w:sz w:val="20"/>
          <w:szCs w:val="20"/>
        </w:rPr>
        <w:t>РЕГУЛЮВАННЯ</w:t>
      </w:r>
      <w:r w:rsidRPr="000977F7">
        <w:rPr>
          <w:color w:val="auto"/>
          <w:spacing w:val="-1"/>
          <w:sz w:val="20"/>
          <w:szCs w:val="20"/>
        </w:rPr>
        <w:t xml:space="preserve"> </w:t>
      </w:r>
      <w:r w:rsidRPr="000977F7">
        <w:rPr>
          <w:color w:val="auto"/>
          <w:sz w:val="20"/>
          <w:szCs w:val="20"/>
        </w:rPr>
        <w:t>НАПРУГИ</w:t>
      </w:r>
      <w:r w:rsidRPr="000977F7">
        <w:rPr>
          <w:color w:val="auto"/>
          <w:spacing w:val="-2"/>
          <w:sz w:val="20"/>
          <w:szCs w:val="20"/>
        </w:rPr>
        <w:t xml:space="preserve"> </w:t>
      </w:r>
      <w:r w:rsidRPr="000977F7">
        <w:rPr>
          <w:color w:val="auto"/>
          <w:sz w:val="20"/>
          <w:szCs w:val="20"/>
        </w:rPr>
        <w:t>–</w:t>
      </w:r>
    </w:p>
    <w:p w14:paraId="7A7DB67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Регулювання</w:t>
      </w:r>
      <w:r w:rsidRPr="000977F7">
        <w:rPr>
          <w:rFonts w:asciiTheme="majorHAnsi" w:hAnsiTheme="majorHAnsi"/>
          <w:spacing w:val="28"/>
          <w:sz w:val="20"/>
          <w:szCs w:val="20"/>
        </w:rPr>
        <w:t xml:space="preserve"> </w:t>
      </w:r>
      <w:r w:rsidRPr="000977F7">
        <w:rPr>
          <w:rFonts w:asciiTheme="majorHAnsi" w:hAnsiTheme="majorHAnsi"/>
          <w:sz w:val="20"/>
          <w:szCs w:val="20"/>
        </w:rPr>
        <w:t>напруги,</w:t>
      </w:r>
      <w:r w:rsidRPr="000977F7">
        <w:rPr>
          <w:rFonts w:asciiTheme="majorHAnsi" w:hAnsiTheme="majorHAnsi"/>
          <w:spacing w:val="29"/>
          <w:sz w:val="20"/>
          <w:szCs w:val="20"/>
        </w:rPr>
        <w:t xml:space="preserve"> </w:t>
      </w:r>
      <w:r w:rsidRPr="000977F7">
        <w:rPr>
          <w:rFonts w:asciiTheme="majorHAnsi" w:hAnsiTheme="majorHAnsi"/>
          <w:sz w:val="20"/>
          <w:szCs w:val="20"/>
        </w:rPr>
        <w:t>що</w:t>
      </w:r>
      <w:r w:rsidRPr="000977F7">
        <w:rPr>
          <w:rFonts w:asciiTheme="majorHAnsi" w:hAnsiTheme="majorHAnsi"/>
          <w:spacing w:val="30"/>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29"/>
          <w:sz w:val="20"/>
          <w:szCs w:val="20"/>
        </w:rPr>
        <w:t xml:space="preserve"> </w:t>
      </w:r>
      <w:r w:rsidRPr="000977F7">
        <w:rPr>
          <w:rFonts w:asciiTheme="majorHAnsi" w:hAnsiTheme="majorHAnsi"/>
          <w:sz w:val="20"/>
          <w:szCs w:val="20"/>
        </w:rPr>
        <w:t>для</w:t>
      </w:r>
      <w:r w:rsidRPr="000977F7">
        <w:rPr>
          <w:rFonts w:asciiTheme="majorHAnsi" w:hAnsiTheme="majorHAnsi"/>
          <w:spacing w:val="28"/>
          <w:sz w:val="20"/>
          <w:szCs w:val="20"/>
        </w:rPr>
        <w:t xml:space="preserve"> </w:t>
      </w:r>
      <w:r w:rsidRPr="000977F7">
        <w:rPr>
          <w:rFonts w:asciiTheme="majorHAnsi" w:hAnsiTheme="majorHAnsi"/>
          <w:sz w:val="20"/>
          <w:szCs w:val="20"/>
        </w:rPr>
        <w:t>окремих</w:t>
      </w:r>
      <w:r w:rsidRPr="000977F7">
        <w:rPr>
          <w:rFonts w:asciiTheme="majorHAnsi" w:hAnsiTheme="majorHAnsi"/>
          <w:spacing w:val="-47"/>
          <w:sz w:val="20"/>
          <w:szCs w:val="20"/>
        </w:rPr>
        <w:t xml:space="preserve"> </w:t>
      </w:r>
      <w:r w:rsidRPr="000977F7">
        <w:rPr>
          <w:rFonts w:asciiTheme="majorHAnsi" w:hAnsiTheme="majorHAnsi"/>
          <w:sz w:val="20"/>
          <w:szCs w:val="20"/>
        </w:rPr>
        <w:t>споживачів</w:t>
      </w:r>
      <w:r w:rsidRPr="000977F7">
        <w:rPr>
          <w:rFonts w:asciiTheme="majorHAnsi" w:hAnsiTheme="majorHAnsi"/>
          <w:spacing w:val="-3"/>
          <w:sz w:val="20"/>
          <w:szCs w:val="20"/>
        </w:rPr>
        <w:t xml:space="preserve"> </w:t>
      </w:r>
      <w:r w:rsidRPr="000977F7">
        <w:rPr>
          <w:rFonts w:asciiTheme="majorHAnsi" w:hAnsiTheme="majorHAnsi"/>
          <w:sz w:val="20"/>
          <w:szCs w:val="20"/>
        </w:rPr>
        <w:t>або</w:t>
      </w:r>
      <w:r w:rsidRPr="000977F7">
        <w:rPr>
          <w:rFonts w:asciiTheme="majorHAnsi" w:hAnsiTheme="majorHAnsi"/>
          <w:spacing w:val="2"/>
          <w:sz w:val="20"/>
          <w:szCs w:val="20"/>
        </w:rPr>
        <w:t xml:space="preserve"> </w:t>
      </w:r>
      <w:r w:rsidRPr="000977F7">
        <w:rPr>
          <w:rFonts w:asciiTheme="majorHAnsi" w:hAnsiTheme="majorHAnsi"/>
          <w:sz w:val="20"/>
          <w:szCs w:val="20"/>
        </w:rPr>
        <w:t>приймачів</w:t>
      </w:r>
      <w:r w:rsidRPr="000977F7">
        <w:rPr>
          <w:rFonts w:asciiTheme="majorHAnsi" w:hAnsiTheme="majorHAnsi"/>
          <w:spacing w:val="-2"/>
          <w:sz w:val="20"/>
          <w:szCs w:val="20"/>
        </w:rPr>
        <w:t xml:space="preserve"> </w:t>
      </w:r>
      <w:r w:rsidRPr="000977F7">
        <w:rPr>
          <w:rFonts w:asciiTheme="majorHAnsi" w:hAnsiTheme="majorHAnsi"/>
          <w:sz w:val="20"/>
          <w:szCs w:val="20"/>
        </w:rPr>
        <w:t>електричної</w:t>
      </w:r>
      <w:r w:rsidRPr="000977F7">
        <w:rPr>
          <w:rFonts w:asciiTheme="majorHAnsi" w:hAnsiTheme="majorHAnsi"/>
          <w:spacing w:val="-3"/>
          <w:sz w:val="20"/>
          <w:szCs w:val="20"/>
        </w:rPr>
        <w:t xml:space="preserve"> </w:t>
      </w:r>
      <w:r w:rsidRPr="000977F7">
        <w:rPr>
          <w:rFonts w:asciiTheme="majorHAnsi" w:hAnsiTheme="majorHAnsi"/>
          <w:sz w:val="20"/>
          <w:szCs w:val="20"/>
        </w:rPr>
        <w:t>енергії</w:t>
      </w:r>
    </w:p>
    <w:p w14:paraId="43CDBE9C" w14:textId="77777777" w:rsidR="0097612F" w:rsidRPr="000977F7" w:rsidRDefault="0097612F" w:rsidP="000977F7">
      <w:pPr>
        <w:tabs>
          <w:tab w:val="left" w:pos="284"/>
          <w:tab w:val="left" w:pos="113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3466 - 96</w:t>
      </w:r>
      <w:r w:rsidRPr="000977F7">
        <w:rPr>
          <w:rFonts w:asciiTheme="majorHAnsi" w:hAnsiTheme="majorHAnsi"/>
          <w:i/>
          <w:spacing w:val="-47"/>
          <w:sz w:val="20"/>
          <w:szCs w:val="20"/>
        </w:rPr>
        <w:t xml:space="preserve"> </w:t>
      </w:r>
    </w:p>
    <w:p w14:paraId="47163652" w14:textId="77777777" w:rsidR="0097612F" w:rsidRPr="000977F7" w:rsidRDefault="0097612F" w:rsidP="000977F7">
      <w:pPr>
        <w:tabs>
          <w:tab w:val="left" w:pos="284"/>
          <w:tab w:val="left" w:pos="113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МІЦНІСТЬ –</w:t>
      </w:r>
      <w:r w:rsidRPr="000977F7">
        <w:rPr>
          <w:rFonts w:asciiTheme="majorHAnsi" w:hAnsiTheme="majorHAnsi"/>
          <w:b/>
          <w:spacing w:val="-47"/>
          <w:sz w:val="20"/>
          <w:szCs w:val="20"/>
        </w:rPr>
        <w:t xml:space="preserve"> </w:t>
      </w:r>
    </w:p>
    <w:p w14:paraId="3A2EC4DA" w14:textId="77777777" w:rsidR="0097612F" w:rsidRPr="000977F7" w:rsidRDefault="0097612F" w:rsidP="000977F7">
      <w:pPr>
        <w:tabs>
          <w:tab w:val="left" w:pos="284"/>
          <w:tab w:val="left" w:pos="113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STRENGTH</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F42A9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w:t>
      </w:r>
      <w:r w:rsidRPr="000977F7">
        <w:rPr>
          <w:rFonts w:asciiTheme="majorHAnsi" w:hAnsiTheme="majorHAnsi"/>
          <w:spacing w:val="-4"/>
          <w:sz w:val="20"/>
          <w:szCs w:val="20"/>
        </w:rPr>
        <w:t xml:space="preserve"> </w:t>
      </w:r>
      <w:r w:rsidRPr="000977F7">
        <w:rPr>
          <w:rFonts w:asciiTheme="majorHAnsi" w:hAnsiTheme="majorHAnsi"/>
          <w:sz w:val="20"/>
          <w:szCs w:val="20"/>
        </w:rPr>
        <w:t>матеріалу</w:t>
      </w:r>
      <w:r w:rsidRPr="000977F7">
        <w:rPr>
          <w:rFonts w:asciiTheme="majorHAnsi" w:hAnsiTheme="majorHAnsi"/>
          <w:spacing w:val="-7"/>
          <w:sz w:val="20"/>
          <w:szCs w:val="20"/>
        </w:rPr>
        <w:t xml:space="preserve"> </w:t>
      </w:r>
      <w:r w:rsidRPr="000977F7">
        <w:rPr>
          <w:rFonts w:asciiTheme="majorHAnsi" w:hAnsiTheme="majorHAnsi"/>
          <w:sz w:val="20"/>
          <w:szCs w:val="20"/>
        </w:rPr>
        <w:t>чинити</w:t>
      </w:r>
      <w:r w:rsidRPr="000977F7">
        <w:rPr>
          <w:rFonts w:asciiTheme="majorHAnsi" w:hAnsiTheme="majorHAnsi"/>
          <w:spacing w:val="-4"/>
          <w:sz w:val="20"/>
          <w:szCs w:val="20"/>
        </w:rPr>
        <w:t xml:space="preserve"> </w:t>
      </w:r>
      <w:r w:rsidRPr="000977F7">
        <w:rPr>
          <w:rFonts w:asciiTheme="majorHAnsi" w:hAnsiTheme="majorHAnsi"/>
          <w:sz w:val="20"/>
          <w:szCs w:val="20"/>
        </w:rPr>
        <w:t>опір</w:t>
      </w:r>
      <w:r w:rsidRPr="000977F7">
        <w:rPr>
          <w:rFonts w:asciiTheme="majorHAnsi" w:hAnsiTheme="majorHAnsi"/>
          <w:spacing w:val="-1"/>
          <w:sz w:val="20"/>
          <w:szCs w:val="20"/>
        </w:rPr>
        <w:t xml:space="preserve"> </w:t>
      </w:r>
      <w:r w:rsidRPr="000977F7">
        <w:rPr>
          <w:rFonts w:asciiTheme="majorHAnsi" w:hAnsiTheme="majorHAnsi"/>
          <w:sz w:val="20"/>
          <w:szCs w:val="20"/>
        </w:rPr>
        <w:t>навантаженням</w:t>
      </w:r>
      <w:r w:rsidRPr="000977F7">
        <w:rPr>
          <w:rFonts w:asciiTheme="majorHAnsi" w:hAnsiTheme="majorHAnsi"/>
          <w:spacing w:val="-3"/>
          <w:sz w:val="20"/>
          <w:szCs w:val="20"/>
        </w:rPr>
        <w:t xml:space="preserve"> </w:t>
      </w:r>
      <w:r w:rsidRPr="000977F7">
        <w:rPr>
          <w:rFonts w:asciiTheme="majorHAnsi" w:hAnsiTheme="majorHAnsi"/>
          <w:sz w:val="20"/>
          <w:szCs w:val="20"/>
        </w:rPr>
        <w:t>без</w:t>
      </w:r>
      <w:r w:rsidRPr="000977F7">
        <w:rPr>
          <w:rFonts w:asciiTheme="majorHAnsi" w:hAnsiTheme="majorHAnsi"/>
          <w:spacing w:val="-48"/>
          <w:sz w:val="20"/>
          <w:szCs w:val="20"/>
        </w:rPr>
        <w:t xml:space="preserve"> </w:t>
      </w:r>
      <w:r w:rsidRPr="000977F7">
        <w:rPr>
          <w:rFonts w:asciiTheme="majorHAnsi" w:hAnsiTheme="majorHAnsi"/>
          <w:sz w:val="20"/>
          <w:szCs w:val="20"/>
        </w:rPr>
        <w:t>руйнування</w:t>
      </w:r>
    </w:p>
    <w:p w14:paraId="2B713A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1E144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Міцність матеріалу оцінюють межею міцності (тимчасовим опором ) – максимальним</w:t>
      </w:r>
      <w:r w:rsidRPr="000977F7">
        <w:rPr>
          <w:rFonts w:asciiTheme="majorHAnsi" w:hAnsiTheme="majorHAnsi"/>
          <w:spacing w:val="1"/>
          <w:sz w:val="20"/>
          <w:szCs w:val="20"/>
        </w:rPr>
        <w:t xml:space="preserve"> </w:t>
      </w:r>
      <w:r w:rsidRPr="000977F7">
        <w:rPr>
          <w:rFonts w:asciiTheme="majorHAnsi" w:hAnsiTheme="majorHAnsi"/>
          <w:sz w:val="20"/>
          <w:szCs w:val="20"/>
        </w:rPr>
        <w:t>умовним напруженням,</w:t>
      </w:r>
      <w:r w:rsidRPr="000977F7">
        <w:rPr>
          <w:rFonts w:asciiTheme="majorHAnsi" w:hAnsiTheme="majorHAnsi"/>
          <w:spacing w:val="-1"/>
          <w:sz w:val="20"/>
          <w:szCs w:val="20"/>
        </w:rPr>
        <w:t xml:space="preserve"> </w:t>
      </w:r>
      <w:r w:rsidRPr="000977F7">
        <w:rPr>
          <w:rFonts w:asciiTheme="majorHAnsi" w:hAnsiTheme="majorHAnsi"/>
          <w:sz w:val="20"/>
          <w:szCs w:val="20"/>
        </w:rPr>
        <w:t>яке</w:t>
      </w:r>
      <w:r w:rsidRPr="000977F7">
        <w:rPr>
          <w:rFonts w:asciiTheme="majorHAnsi" w:hAnsiTheme="majorHAnsi"/>
          <w:spacing w:val="3"/>
          <w:sz w:val="20"/>
          <w:szCs w:val="20"/>
        </w:rPr>
        <w:t xml:space="preserve"> </w:t>
      </w:r>
      <w:r w:rsidRPr="000977F7">
        <w:rPr>
          <w:rFonts w:asciiTheme="majorHAnsi" w:hAnsiTheme="majorHAnsi"/>
          <w:sz w:val="20"/>
          <w:szCs w:val="20"/>
        </w:rPr>
        <w:t>витримує зразок</w:t>
      </w:r>
    </w:p>
    <w:p w14:paraId="2A0C570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672B00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Здатність</w:t>
      </w:r>
      <w:r w:rsidRPr="000977F7">
        <w:rPr>
          <w:rFonts w:asciiTheme="majorHAnsi" w:hAnsiTheme="majorHAnsi"/>
          <w:spacing w:val="1"/>
          <w:sz w:val="20"/>
          <w:szCs w:val="20"/>
        </w:rPr>
        <w:t xml:space="preserve"> </w:t>
      </w:r>
      <w:r w:rsidRPr="000977F7">
        <w:rPr>
          <w:rFonts w:asciiTheme="majorHAnsi" w:hAnsiTheme="majorHAnsi"/>
          <w:sz w:val="20"/>
          <w:szCs w:val="20"/>
        </w:rPr>
        <w:t>матеріалу</w:t>
      </w:r>
      <w:r w:rsidRPr="000977F7">
        <w:rPr>
          <w:rFonts w:asciiTheme="majorHAnsi" w:hAnsiTheme="majorHAnsi"/>
          <w:spacing w:val="1"/>
          <w:sz w:val="20"/>
          <w:szCs w:val="20"/>
        </w:rPr>
        <w:t xml:space="preserve"> </w:t>
      </w:r>
      <w:r w:rsidRPr="000977F7">
        <w:rPr>
          <w:rFonts w:asciiTheme="majorHAnsi" w:hAnsiTheme="majorHAnsi"/>
          <w:sz w:val="20"/>
          <w:szCs w:val="20"/>
        </w:rPr>
        <w:t>витримувати</w:t>
      </w:r>
      <w:r w:rsidRPr="000977F7">
        <w:rPr>
          <w:rFonts w:asciiTheme="majorHAnsi" w:hAnsiTheme="majorHAnsi"/>
          <w:spacing w:val="1"/>
          <w:sz w:val="20"/>
          <w:szCs w:val="20"/>
        </w:rPr>
        <w:t xml:space="preserve"> </w:t>
      </w:r>
      <w:r w:rsidRPr="000977F7">
        <w:rPr>
          <w:rFonts w:asciiTheme="majorHAnsi" w:hAnsiTheme="majorHAnsi"/>
          <w:sz w:val="20"/>
          <w:szCs w:val="20"/>
        </w:rPr>
        <w:t>напруження</w:t>
      </w:r>
      <w:r w:rsidRPr="000977F7">
        <w:rPr>
          <w:rFonts w:asciiTheme="majorHAnsi" w:hAnsiTheme="majorHAnsi"/>
          <w:spacing w:val="1"/>
          <w:sz w:val="20"/>
          <w:szCs w:val="20"/>
        </w:rPr>
        <w:t xml:space="preserve"> </w:t>
      </w:r>
      <w:r w:rsidRPr="000977F7">
        <w:rPr>
          <w:rFonts w:asciiTheme="majorHAnsi" w:hAnsiTheme="majorHAnsi"/>
          <w:sz w:val="20"/>
          <w:szCs w:val="20"/>
        </w:rPr>
        <w:t>без</w:t>
      </w:r>
      <w:r w:rsidRPr="000977F7">
        <w:rPr>
          <w:rFonts w:asciiTheme="majorHAnsi" w:hAnsiTheme="majorHAnsi"/>
          <w:spacing w:val="-47"/>
          <w:sz w:val="20"/>
          <w:szCs w:val="20"/>
        </w:rPr>
        <w:t xml:space="preserve"> </w:t>
      </w:r>
      <w:r w:rsidRPr="000977F7">
        <w:rPr>
          <w:rFonts w:asciiTheme="majorHAnsi" w:hAnsiTheme="majorHAnsi"/>
          <w:sz w:val="20"/>
          <w:szCs w:val="20"/>
        </w:rPr>
        <w:t>руйнування</w:t>
      </w:r>
    </w:p>
    <w:p w14:paraId="68D8079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2825 - 94</w:t>
      </w:r>
    </w:p>
    <w:p w14:paraId="42A8CA4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МОДЕЛЬ</w:t>
      </w:r>
      <w:r w:rsidRPr="000977F7">
        <w:rPr>
          <w:color w:val="auto"/>
          <w:spacing w:val="-5"/>
          <w:sz w:val="20"/>
          <w:szCs w:val="20"/>
        </w:rPr>
        <w:t xml:space="preserve"> </w:t>
      </w:r>
      <w:r w:rsidRPr="000977F7">
        <w:rPr>
          <w:color w:val="auto"/>
          <w:sz w:val="20"/>
          <w:szCs w:val="20"/>
        </w:rPr>
        <w:t>БЕЗВІДМОВНОСТІ</w:t>
      </w:r>
      <w:r w:rsidRPr="000977F7">
        <w:rPr>
          <w:color w:val="auto"/>
          <w:spacing w:val="-4"/>
          <w:sz w:val="20"/>
          <w:szCs w:val="20"/>
        </w:rPr>
        <w:t xml:space="preserve"> </w:t>
      </w:r>
      <w:r w:rsidRPr="000977F7">
        <w:rPr>
          <w:color w:val="auto"/>
          <w:sz w:val="20"/>
          <w:szCs w:val="20"/>
        </w:rPr>
        <w:t>–</w:t>
      </w:r>
    </w:p>
    <w:p w14:paraId="6065FB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RELIABILITY</w:t>
      </w:r>
      <w:r w:rsidRPr="000977F7">
        <w:rPr>
          <w:rFonts w:asciiTheme="majorHAnsi" w:hAnsiTheme="majorHAnsi"/>
          <w:spacing w:val="-3"/>
          <w:sz w:val="20"/>
          <w:szCs w:val="20"/>
        </w:rPr>
        <w:t xml:space="preserve"> </w:t>
      </w:r>
      <w:r w:rsidRPr="000977F7">
        <w:rPr>
          <w:rFonts w:asciiTheme="majorHAnsi" w:hAnsiTheme="majorHAnsi"/>
          <w:sz w:val="20"/>
          <w:szCs w:val="20"/>
        </w:rPr>
        <w:t>MODEL</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4380D0B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Математична</w:t>
      </w:r>
      <w:r w:rsidRPr="000977F7">
        <w:rPr>
          <w:rFonts w:asciiTheme="majorHAnsi" w:hAnsiTheme="majorHAnsi"/>
          <w:spacing w:val="1"/>
          <w:sz w:val="20"/>
          <w:szCs w:val="20"/>
        </w:rPr>
        <w:t xml:space="preserve"> </w:t>
      </w:r>
      <w:r w:rsidRPr="000977F7">
        <w:rPr>
          <w:rFonts w:asciiTheme="majorHAnsi" w:hAnsiTheme="majorHAnsi"/>
          <w:sz w:val="20"/>
          <w:szCs w:val="20"/>
        </w:rPr>
        <w:t>модель,</w:t>
      </w:r>
      <w:r w:rsidRPr="000977F7">
        <w:rPr>
          <w:rFonts w:asciiTheme="majorHAnsi" w:hAnsiTheme="majorHAnsi"/>
          <w:spacing w:val="1"/>
          <w:sz w:val="20"/>
          <w:szCs w:val="20"/>
        </w:rPr>
        <w:t xml:space="preserve"> </w:t>
      </w:r>
      <w:r w:rsidRPr="000977F7">
        <w:rPr>
          <w:rFonts w:asciiTheme="majorHAnsi" w:hAnsiTheme="majorHAnsi"/>
          <w:sz w:val="20"/>
          <w:szCs w:val="20"/>
        </w:rPr>
        <w:t>яку</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використовують</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прогнозування чи оцінювання показників безвідмовності</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3FD47C2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5AB1B4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МОДЕЛЬ</w:t>
      </w:r>
      <w:r w:rsidRPr="000977F7">
        <w:rPr>
          <w:color w:val="auto"/>
          <w:spacing w:val="-3"/>
          <w:sz w:val="20"/>
          <w:szCs w:val="20"/>
        </w:rPr>
        <w:t xml:space="preserve"> </w:t>
      </w:r>
      <w:r w:rsidRPr="000977F7">
        <w:rPr>
          <w:color w:val="auto"/>
          <w:sz w:val="20"/>
          <w:szCs w:val="20"/>
        </w:rPr>
        <w:t>ВИРОБУ</w:t>
      </w:r>
      <w:r w:rsidRPr="000977F7">
        <w:rPr>
          <w:color w:val="auto"/>
          <w:spacing w:val="-1"/>
          <w:sz w:val="20"/>
          <w:szCs w:val="20"/>
        </w:rPr>
        <w:t xml:space="preserve"> </w:t>
      </w:r>
      <w:r w:rsidRPr="000977F7">
        <w:rPr>
          <w:color w:val="auto"/>
          <w:sz w:val="20"/>
          <w:szCs w:val="20"/>
        </w:rPr>
        <w:t>–</w:t>
      </w:r>
    </w:p>
    <w:p w14:paraId="2041BD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 який відтворює або імітує конкретні властивості даного виробу, виготовлений для перевірки даного</w:t>
      </w:r>
      <w:r w:rsidRPr="000977F7">
        <w:rPr>
          <w:rFonts w:asciiTheme="majorHAnsi" w:hAnsiTheme="majorHAnsi"/>
          <w:spacing w:val="-47"/>
          <w:sz w:val="20"/>
          <w:szCs w:val="20"/>
        </w:rPr>
        <w:t xml:space="preserve"> </w:t>
      </w:r>
      <w:r w:rsidRPr="000977F7">
        <w:rPr>
          <w:rFonts w:asciiTheme="majorHAnsi" w:hAnsiTheme="majorHAnsi"/>
          <w:sz w:val="20"/>
          <w:szCs w:val="20"/>
        </w:rPr>
        <w:t>виробу,</w:t>
      </w:r>
      <w:r w:rsidRPr="000977F7">
        <w:rPr>
          <w:rFonts w:asciiTheme="majorHAnsi" w:hAnsiTheme="majorHAnsi"/>
          <w:spacing w:val="50"/>
          <w:sz w:val="20"/>
          <w:szCs w:val="20"/>
        </w:rPr>
        <w:t xml:space="preserve"> </w:t>
      </w:r>
      <w:r w:rsidRPr="000977F7">
        <w:rPr>
          <w:rFonts w:asciiTheme="majorHAnsi" w:hAnsiTheme="majorHAnsi"/>
          <w:sz w:val="20"/>
          <w:szCs w:val="20"/>
        </w:rPr>
        <w:t>виготовлений для перевірки принципу його</w:t>
      </w:r>
      <w:r w:rsidRPr="000977F7">
        <w:rPr>
          <w:rFonts w:asciiTheme="majorHAnsi" w:hAnsiTheme="majorHAnsi"/>
          <w:spacing w:val="1"/>
          <w:sz w:val="20"/>
          <w:szCs w:val="20"/>
        </w:rPr>
        <w:t xml:space="preserve"> </w:t>
      </w:r>
      <w:r w:rsidRPr="000977F7">
        <w:rPr>
          <w:rFonts w:asciiTheme="majorHAnsi" w:hAnsiTheme="majorHAnsi"/>
          <w:sz w:val="20"/>
          <w:szCs w:val="20"/>
        </w:rPr>
        <w:t>дії</w:t>
      </w:r>
      <w:r w:rsidRPr="000977F7">
        <w:rPr>
          <w:rFonts w:asciiTheme="majorHAnsi" w:hAnsiTheme="majorHAnsi"/>
          <w:spacing w:val="-2"/>
          <w:sz w:val="20"/>
          <w:szCs w:val="20"/>
        </w:rPr>
        <w:t xml:space="preserve"> </w:t>
      </w:r>
      <w:r w:rsidRPr="000977F7">
        <w:rPr>
          <w:rFonts w:asciiTheme="majorHAnsi" w:hAnsiTheme="majorHAnsi"/>
          <w:sz w:val="20"/>
          <w:szCs w:val="20"/>
        </w:rPr>
        <w:t>та 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w:t>
      </w:r>
    </w:p>
    <w:p w14:paraId="1507CBE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xml:space="preserve">– </w:t>
      </w:r>
      <w:r w:rsidRPr="000977F7">
        <w:rPr>
          <w:rFonts w:asciiTheme="majorHAnsi" w:hAnsiTheme="majorHAnsi"/>
          <w:sz w:val="20"/>
          <w:szCs w:val="20"/>
        </w:rPr>
        <w:t>2003</w:t>
      </w:r>
    </w:p>
    <w:p w14:paraId="6727093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w:t>
      </w:r>
      <w:r w:rsidRPr="000977F7">
        <w:rPr>
          <w:rFonts w:asciiTheme="majorHAnsi" w:hAnsiTheme="majorHAnsi"/>
          <w:spacing w:val="2"/>
          <w:sz w:val="20"/>
          <w:szCs w:val="20"/>
        </w:rPr>
        <w:t xml:space="preserve"> </w:t>
      </w:r>
      <w:r w:rsidRPr="000977F7">
        <w:rPr>
          <w:rFonts w:asciiTheme="majorHAnsi" w:hAnsiTheme="majorHAnsi"/>
          <w:sz w:val="20"/>
          <w:szCs w:val="20"/>
        </w:rPr>
        <w:t>що</w:t>
      </w:r>
      <w:r w:rsidRPr="000977F7">
        <w:rPr>
          <w:rFonts w:asciiTheme="majorHAnsi" w:hAnsiTheme="majorHAnsi"/>
          <w:spacing w:val="3"/>
          <w:sz w:val="20"/>
          <w:szCs w:val="20"/>
        </w:rPr>
        <w:t xml:space="preserve"> </w:t>
      </w:r>
      <w:r w:rsidRPr="000977F7">
        <w:rPr>
          <w:rFonts w:asciiTheme="majorHAnsi" w:hAnsiTheme="majorHAnsi"/>
          <w:sz w:val="20"/>
          <w:szCs w:val="20"/>
        </w:rPr>
        <w:t>має</w:t>
      </w:r>
      <w:r w:rsidRPr="000977F7">
        <w:rPr>
          <w:rFonts w:asciiTheme="majorHAnsi" w:hAnsiTheme="majorHAnsi"/>
          <w:spacing w:val="3"/>
          <w:sz w:val="20"/>
          <w:szCs w:val="20"/>
        </w:rPr>
        <w:t xml:space="preserve"> </w:t>
      </w:r>
      <w:r w:rsidRPr="000977F7">
        <w:rPr>
          <w:rFonts w:asciiTheme="majorHAnsi" w:hAnsiTheme="majorHAnsi"/>
          <w:sz w:val="20"/>
          <w:szCs w:val="20"/>
        </w:rPr>
        <w:t>певну</w:t>
      </w:r>
      <w:r w:rsidRPr="000977F7">
        <w:rPr>
          <w:rFonts w:asciiTheme="majorHAnsi" w:hAnsiTheme="majorHAnsi"/>
          <w:spacing w:val="-2"/>
          <w:sz w:val="20"/>
          <w:szCs w:val="20"/>
        </w:rPr>
        <w:t xml:space="preserve"> </w:t>
      </w:r>
      <w:r w:rsidRPr="000977F7">
        <w:rPr>
          <w:rFonts w:asciiTheme="majorHAnsi" w:hAnsiTheme="majorHAnsi"/>
          <w:sz w:val="20"/>
          <w:szCs w:val="20"/>
        </w:rPr>
        <w:t>подібність</w:t>
      </w:r>
      <w:r w:rsidRPr="000977F7">
        <w:rPr>
          <w:rFonts w:asciiTheme="majorHAnsi" w:hAnsiTheme="majorHAnsi"/>
          <w:spacing w:val="2"/>
          <w:sz w:val="20"/>
          <w:szCs w:val="20"/>
        </w:rPr>
        <w:t xml:space="preserve"> </w:t>
      </w:r>
      <w:r w:rsidRPr="000977F7">
        <w:rPr>
          <w:rFonts w:asciiTheme="majorHAnsi" w:hAnsiTheme="majorHAnsi"/>
          <w:sz w:val="20"/>
          <w:szCs w:val="20"/>
        </w:rPr>
        <w:t>до</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r w:rsidRPr="000977F7">
        <w:rPr>
          <w:rFonts w:asciiTheme="majorHAnsi" w:hAnsiTheme="majorHAnsi"/>
          <w:spacing w:val="4"/>
          <w:sz w:val="20"/>
          <w:szCs w:val="20"/>
        </w:rPr>
        <w:t xml:space="preserve"> </w:t>
      </w:r>
      <w:r w:rsidRPr="000977F7">
        <w:rPr>
          <w:rFonts w:asciiTheme="majorHAnsi" w:hAnsiTheme="majorHAnsi"/>
          <w:sz w:val="20"/>
          <w:szCs w:val="20"/>
        </w:rPr>
        <w:t>досліджень</w:t>
      </w:r>
      <w:r w:rsidRPr="000977F7">
        <w:rPr>
          <w:rFonts w:asciiTheme="majorHAnsi" w:hAnsiTheme="majorHAnsi"/>
          <w:spacing w:val="-47"/>
          <w:sz w:val="20"/>
          <w:szCs w:val="20"/>
        </w:rPr>
        <w:t xml:space="preserve"> </w:t>
      </w:r>
      <w:r w:rsidRPr="000977F7">
        <w:rPr>
          <w:rFonts w:asciiTheme="majorHAnsi" w:hAnsiTheme="majorHAnsi"/>
          <w:sz w:val="20"/>
          <w:szCs w:val="20"/>
        </w:rPr>
        <w:t>і здатний замінювати його у процесі випробувань</w:t>
      </w:r>
    </w:p>
    <w:p w14:paraId="5F99F6D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0A0AC1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МОДЕЛЬ</w:t>
      </w:r>
      <w:r w:rsidRPr="000977F7">
        <w:rPr>
          <w:color w:val="auto"/>
          <w:spacing w:val="-6"/>
          <w:sz w:val="20"/>
          <w:szCs w:val="20"/>
        </w:rPr>
        <w:t xml:space="preserve"> </w:t>
      </w:r>
      <w:r w:rsidRPr="000977F7">
        <w:rPr>
          <w:color w:val="auto"/>
          <w:sz w:val="20"/>
          <w:szCs w:val="20"/>
        </w:rPr>
        <w:t>ДИСПЕРСІЙНОГО</w:t>
      </w:r>
      <w:r w:rsidRPr="000977F7">
        <w:rPr>
          <w:color w:val="auto"/>
          <w:spacing w:val="-4"/>
          <w:sz w:val="20"/>
          <w:szCs w:val="20"/>
        </w:rPr>
        <w:t xml:space="preserve"> </w:t>
      </w:r>
      <w:r w:rsidRPr="000977F7">
        <w:rPr>
          <w:color w:val="auto"/>
          <w:sz w:val="20"/>
          <w:szCs w:val="20"/>
        </w:rPr>
        <w:t>АНАЛІЗУ</w:t>
      </w:r>
      <w:r w:rsidRPr="000977F7">
        <w:rPr>
          <w:color w:val="auto"/>
          <w:spacing w:val="-2"/>
          <w:sz w:val="20"/>
          <w:szCs w:val="20"/>
        </w:rPr>
        <w:t xml:space="preserve"> </w:t>
      </w:r>
      <w:r w:rsidRPr="000977F7">
        <w:rPr>
          <w:color w:val="auto"/>
          <w:sz w:val="20"/>
          <w:szCs w:val="20"/>
        </w:rPr>
        <w:t>–</w:t>
      </w:r>
    </w:p>
    <w:p w14:paraId="1EF5E6F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Залежність відгуку від якісних факторів та помилок</w:t>
      </w:r>
      <w:r w:rsidRPr="000977F7">
        <w:rPr>
          <w:rFonts w:asciiTheme="majorHAnsi" w:hAnsiTheme="majorHAnsi"/>
          <w:spacing w:val="1"/>
          <w:sz w:val="20"/>
          <w:szCs w:val="20"/>
        </w:rPr>
        <w:t xml:space="preserve"> </w:t>
      </w:r>
      <w:r w:rsidRPr="000977F7">
        <w:rPr>
          <w:rFonts w:asciiTheme="majorHAnsi" w:hAnsiTheme="majorHAnsi"/>
          <w:sz w:val="20"/>
          <w:szCs w:val="20"/>
        </w:rPr>
        <w:t>спостережень</w:t>
      </w:r>
      <w:r w:rsidRPr="000977F7">
        <w:rPr>
          <w:rFonts w:asciiTheme="majorHAnsi" w:hAnsiTheme="majorHAnsi"/>
          <w:spacing w:val="1"/>
          <w:sz w:val="20"/>
          <w:szCs w:val="20"/>
        </w:rPr>
        <w:t xml:space="preserve"> </w:t>
      </w:r>
      <w:r w:rsidRPr="000977F7">
        <w:rPr>
          <w:rFonts w:asciiTheme="majorHAnsi" w:hAnsiTheme="majorHAnsi"/>
          <w:sz w:val="20"/>
          <w:szCs w:val="20"/>
        </w:rPr>
        <w:t>відгуку</w:t>
      </w:r>
    </w:p>
    <w:p w14:paraId="5AAA3C97"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МОДЕЛЬ ДЛЯ ВИПРОБУВАНЬ –</w:t>
      </w:r>
    </w:p>
    <w:p w14:paraId="4FE342C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TEST</w:t>
      </w:r>
      <w:r w:rsidRPr="000977F7">
        <w:rPr>
          <w:rFonts w:asciiTheme="majorHAnsi" w:hAnsiTheme="majorHAnsi"/>
          <w:spacing w:val="2"/>
          <w:sz w:val="20"/>
          <w:szCs w:val="20"/>
        </w:rPr>
        <w:t xml:space="preserve"> </w:t>
      </w:r>
      <w:r w:rsidRPr="000977F7">
        <w:rPr>
          <w:rFonts w:asciiTheme="majorHAnsi" w:hAnsiTheme="majorHAnsi"/>
          <w:sz w:val="20"/>
          <w:szCs w:val="20"/>
        </w:rPr>
        <w:t>MODEL -</w:t>
      </w:r>
    </w:p>
    <w:p w14:paraId="5C86730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Вибір,</w:t>
      </w:r>
      <w:r w:rsidRPr="000977F7">
        <w:rPr>
          <w:rFonts w:asciiTheme="majorHAnsi" w:hAnsiTheme="majorHAnsi"/>
          <w:spacing w:val="-6"/>
          <w:sz w:val="20"/>
          <w:szCs w:val="20"/>
        </w:rPr>
        <w:t xml:space="preserve"> </w:t>
      </w:r>
      <w:r w:rsidRPr="000977F7">
        <w:rPr>
          <w:rFonts w:asciiTheme="majorHAnsi" w:hAnsiTheme="majorHAnsi"/>
          <w:sz w:val="20"/>
          <w:szCs w:val="20"/>
        </w:rPr>
        <w:t>процес,</w:t>
      </w:r>
      <w:r w:rsidRPr="000977F7">
        <w:rPr>
          <w:rFonts w:asciiTheme="majorHAnsi" w:hAnsiTheme="majorHAnsi"/>
          <w:spacing w:val="-6"/>
          <w:sz w:val="20"/>
          <w:szCs w:val="20"/>
        </w:rPr>
        <w:t xml:space="preserve"> </w:t>
      </w:r>
      <w:r w:rsidRPr="000977F7">
        <w:rPr>
          <w:rFonts w:asciiTheme="majorHAnsi" w:hAnsiTheme="majorHAnsi"/>
          <w:sz w:val="20"/>
          <w:szCs w:val="20"/>
        </w:rPr>
        <w:t>явище,</w:t>
      </w:r>
      <w:r w:rsidRPr="000977F7">
        <w:rPr>
          <w:rFonts w:asciiTheme="majorHAnsi" w:hAnsiTheme="majorHAnsi"/>
          <w:spacing w:val="-8"/>
          <w:sz w:val="20"/>
          <w:szCs w:val="20"/>
        </w:rPr>
        <w:t xml:space="preserve"> </w:t>
      </w:r>
      <w:r w:rsidRPr="000977F7">
        <w:rPr>
          <w:rFonts w:asciiTheme="majorHAnsi" w:hAnsiTheme="majorHAnsi"/>
          <w:sz w:val="20"/>
          <w:szCs w:val="20"/>
        </w:rPr>
        <w:t>математична</w:t>
      </w:r>
      <w:r w:rsidRPr="000977F7">
        <w:rPr>
          <w:rFonts w:asciiTheme="majorHAnsi" w:hAnsiTheme="majorHAnsi"/>
          <w:spacing w:val="-8"/>
          <w:sz w:val="20"/>
          <w:szCs w:val="20"/>
        </w:rPr>
        <w:t xml:space="preserve"> </w:t>
      </w:r>
      <w:r w:rsidRPr="000977F7">
        <w:rPr>
          <w:rFonts w:asciiTheme="majorHAnsi" w:hAnsiTheme="majorHAnsi"/>
          <w:sz w:val="20"/>
          <w:szCs w:val="20"/>
        </w:rPr>
        <w:t>модель,</w:t>
      </w:r>
      <w:r w:rsidRPr="000977F7">
        <w:rPr>
          <w:rFonts w:asciiTheme="majorHAnsi" w:hAnsiTheme="majorHAnsi"/>
          <w:spacing w:val="-6"/>
          <w:sz w:val="20"/>
          <w:szCs w:val="20"/>
        </w:rPr>
        <w:t xml:space="preserve"> </w:t>
      </w:r>
      <w:r w:rsidRPr="000977F7">
        <w:rPr>
          <w:rFonts w:asciiTheme="majorHAnsi" w:hAnsiTheme="majorHAnsi"/>
          <w:sz w:val="20"/>
          <w:szCs w:val="20"/>
        </w:rPr>
        <w:t>які</w:t>
      </w:r>
      <w:r w:rsidRPr="000977F7">
        <w:rPr>
          <w:rFonts w:asciiTheme="majorHAnsi" w:hAnsiTheme="majorHAnsi"/>
          <w:spacing w:val="-6"/>
          <w:sz w:val="20"/>
          <w:szCs w:val="20"/>
        </w:rPr>
        <w:t xml:space="preserve"> </w:t>
      </w:r>
      <w:r w:rsidRPr="000977F7">
        <w:rPr>
          <w:rFonts w:asciiTheme="majorHAnsi" w:hAnsiTheme="majorHAnsi"/>
          <w:sz w:val="20"/>
          <w:szCs w:val="20"/>
        </w:rPr>
        <w:t>певним</w:t>
      </w:r>
      <w:r w:rsidRPr="000977F7">
        <w:rPr>
          <w:rFonts w:asciiTheme="majorHAnsi" w:hAnsiTheme="majorHAnsi"/>
          <w:spacing w:val="-47"/>
          <w:sz w:val="20"/>
          <w:szCs w:val="20"/>
        </w:rPr>
        <w:t xml:space="preserve"> </w:t>
      </w:r>
      <w:r w:rsidRPr="000977F7">
        <w:rPr>
          <w:rFonts w:asciiTheme="majorHAnsi" w:hAnsiTheme="majorHAnsi"/>
          <w:sz w:val="20"/>
          <w:szCs w:val="20"/>
        </w:rPr>
        <w:t>чином</w:t>
      </w:r>
      <w:r w:rsidRPr="000977F7">
        <w:rPr>
          <w:rFonts w:asciiTheme="majorHAnsi" w:hAnsiTheme="majorHAnsi"/>
          <w:spacing w:val="-6"/>
          <w:sz w:val="20"/>
          <w:szCs w:val="20"/>
        </w:rPr>
        <w:t xml:space="preserve"> </w:t>
      </w:r>
      <w:r w:rsidRPr="000977F7">
        <w:rPr>
          <w:rFonts w:asciiTheme="majorHAnsi" w:hAnsiTheme="majorHAnsi"/>
          <w:sz w:val="20"/>
          <w:szCs w:val="20"/>
        </w:rPr>
        <w:t>відповідають</w:t>
      </w:r>
      <w:r w:rsidRPr="000977F7">
        <w:rPr>
          <w:rFonts w:asciiTheme="majorHAnsi" w:hAnsiTheme="majorHAnsi"/>
          <w:spacing w:val="-6"/>
          <w:sz w:val="20"/>
          <w:szCs w:val="20"/>
        </w:rPr>
        <w:t xml:space="preserve"> </w:t>
      </w:r>
      <w:r w:rsidRPr="000977F7">
        <w:rPr>
          <w:rFonts w:asciiTheme="majorHAnsi" w:hAnsiTheme="majorHAnsi"/>
          <w:sz w:val="20"/>
          <w:szCs w:val="20"/>
        </w:rPr>
        <w:t>об’єктові</w:t>
      </w:r>
      <w:r w:rsidRPr="000977F7">
        <w:rPr>
          <w:rFonts w:asciiTheme="majorHAnsi" w:hAnsiTheme="majorHAnsi"/>
          <w:spacing w:val="-7"/>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6"/>
          <w:sz w:val="20"/>
          <w:szCs w:val="20"/>
        </w:rPr>
        <w:t xml:space="preserve"> </w:t>
      </w:r>
      <w:r w:rsidRPr="000977F7">
        <w:rPr>
          <w:rFonts w:asciiTheme="majorHAnsi" w:hAnsiTheme="majorHAnsi"/>
          <w:sz w:val="20"/>
          <w:szCs w:val="20"/>
        </w:rPr>
        <w:t>і</w:t>
      </w:r>
      <w:r w:rsidRPr="000977F7">
        <w:rPr>
          <w:rFonts w:asciiTheme="majorHAnsi" w:hAnsiTheme="majorHAnsi"/>
          <w:spacing w:val="-6"/>
          <w:sz w:val="20"/>
          <w:szCs w:val="20"/>
        </w:rPr>
        <w:t xml:space="preserve"> </w:t>
      </w:r>
      <w:r w:rsidRPr="000977F7">
        <w:rPr>
          <w:rFonts w:asciiTheme="majorHAnsi" w:hAnsiTheme="majorHAnsi"/>
          <w:sz w:val="20"/>
          <w:szCs w:val="20"/>
        </w:rPr>
        <w:t>(чи)</w:t>
      </w:r>
      <w:r w:rsidRPr="000977F7">
        <w:rPr>
          <w:rFonts w:asciiTheme="majorHAnsi" w:hAnsiTheme="majorHAnsi"/>
          <w:spacing w:val="-6"/>
          <w:sz w:val="20"/>
          <w:szCs w:val="20"/>
        </w:rPr>
        <w:t xml:space="preserve"> </w:t>
      </w:r>
      <w:r w:rsidRPr="000977F7">
        <w:rPr>
          <w:rFonts w:asciiTheme="majorHAnsi" w:hAnsiTheme="majorHAnsi"/>
          <w:sz w:val="20"/>
          <w:szCs w:val="20"/>
        </w:rPr>
        <w:t>дії</w:t>
      </w:r>
      <w:r w:rsidRPr="000977F7">
        <w:rPr>
          <w:rFonts w:asciiTheme="majorHAnsi" w:hAnsiTheme="majorHAnsi"/>
          <w:spacing w:val="-5"/>
          <w:sz w:val="20"/>
          <w:szCs w:val="20"/>
        </w:rPr>
        <w:t xml:space="preserve"> </w:t>
      </w:r>
      <w:r w:rsidRPr="000977F7">
        <w:rPr>
          <w:rFonts w:asciiTheme="majorHAnsi" w:hAnsiTheme="majorHAnsi"/>
          <w:sz w:val="20"/>
          <w:szCs w:val="20"/>
        </w:rPr>
        <w:t>на</w:t>
      </w:r>
      <w:r w:rsidRPr="000977F7">
        <w:rPr>
          <w:rFonts w:asciiTheme="majorHAnsi" w:hAnsiTheme="majorHAnsi"/>
          <w:spacing w:val="-47"/>
          <w:sz w:val="20"/>
          <w:szCs w:val="20"/>
        </w:rPr>
        <w:t xml:space="preserve"> </w:t>
      </w:r>
      <w:r w:rsidRPr="000977F7">
        <w:rPr>
          <w:rFonts w:asciiTheme="majorHAnsi" w:hAnsiTheme="majorHAnsi"/>
          <w:sz w:val="20"/>
          <w:szCs w:val="20"/>
        </w:rPr>
        <w:t>нього і здатні заміняти його в процесі випробувань</w:t>
      </w:r>
    </w:p>
    <w:p w14:paraId="2CF8F652"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3021 - 95</w:t>
      </w:r>
    </w:p>
    <w:p w14:paraId="660E628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МОДЕЛЬ</w:t>
      </w:r>
      <w:r w:rsidRPr="000977F7">
        <w:rPr>
          <w:color w:val="auto"/>
          <w:spacing w:val="-4"/>
          <w:sz w:val="20"/>
          <w:szCs w:val="20"/>
        </w:rPr>
        <w:t xml:space="preserve"> </w:t>
      </w:r>
      <w:r w:rsidRPr="000977F7">
        <w:rPr>
          <w:color w:val="auto"/>
          <w:sz w:val="20"/>
          <w:szCs w:val="20"/>
        </w:rPr>
        <w:t>ЗАБЕЗПЕЧЕННЯ</w:t>
      </w:r>
      <w:r w:rsidRPr="000977F7">
        <w:rPr>
          <w:color w:val="auto"/>
          <w:spacing w:val="-4"/>
          <w:sz w:val="20"/>
          <w:szCs w:val="20"/>
        </w:rPr>
        <w:t xml:space="preserve"> </w:t>
      </w:r>
      <w:r w:rsidRPr="000977F7">
        <w:rPr>
          <w:color w:val="auto"/>
          <w:sz w:val="20"/>
          <w:szCs w:val="20"/>
        </w:rPr>
        <w:t>ЯКОСТІ</w:t>
      </w:r>
      <w:r w:rsidRPr="000977F7">
        <w:rPr>
          <w:color w:val="auto"/>
          <w:spacing w:val="-2"/>
          <w:sz w:val="20"/>
          <w:szCs w:val="20"/>
        </w:rPr>
        <w:t xml:space="preserve"> </w:t>
      </w:r>
      <w:r w:rsidRPr="000977F7">
        <w:rPr>
          <w:color w:val="auto"/>
          <w:sz w:val="20"/>
          <w:szCs w:val="20"/>
        </w:rPr>
        <w:t>–</w:t>
      </w:r>
    </w:p>
    <w:p w14:paraId="50E6E4D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MODEL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FOR</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QUALITY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ASSURANCE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44E588A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Стандартизований чи вибраний набір вимог системи</w:t>
      </w:r>
      <w:r w:rsidRPr="000977F7">
        <w:rPr>
          <w:rFonts w:asciiTheme="majorHAnsi" w:hAnsiTheme="majorHAnsi"/>
          <w:spacing w:val="1"/>
          <w:sz w:val="20"/>
          <w:szCs w:val="20"/>
        </w:rPr>
        <w:t xml:space="preserve"> </w:t>
      </w:r>
      <w:r w:rsidRPr="000977F7">
        <w:rPr>
          <w:rFonts w:asciiTheme="majorHAnsi" w:hAnsiTheme="majorHAnsi"/>
          <w:sz w:val="20"/>
          <w:szCs w:val="20"/>
        </w:rPr>
        <w:t>якості, об’єднаних з метою задоволення потреб забезпечення</w:t>
      </w:r>
      <w:r w:rsidRPr="000977F7">
        <w:rPr>
          <w:rFonts w:asciiTheme="majorHAnsi" w:hAnsiTheme="majorHAnsi"/>
          <w:spacing w:val="-2"/>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даній</w:t>
      </w:r>
      <w:r w:rsidRPr="000977F7">
        <w:rPr>
          <w:rFonts w:asciiTheme="majorHAnsi" w:hAnsiTheme="majorHAnsi"/>
          <w:spacing w:val="-1"/>
          <w:sz w:val="20"/>
          <w:szCs w:val="20"/>
        </w:rPr>
        <w:t xml:space="preserve"> </w:t>
      </w:r>
      <w:r w:rsidRPr="000977F7">
        <w:rPr>
          <w:rFonts w:asciiTheme="majorHAnsi" w:hAnsiTheme="majorHAnsi"/>
          <w:sz w:val="20"/>
          <w:szCs w:val="20"/>
        </w:rPr>
        <w:t>ситуації</w:t>
      </w:r>
    </w:p>
    <w:p w14:paraId="34B8879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МОДЕЛЬ</w:t>
      </w:r>
      <w:r w:rsidRPr="000977F7">
        <w:rPr>
          <w:color w:val="auto"/>
          <w:spacing w:val="-4"/>
          <w:sz w:val="20"/>
          <w:szCs w:val="20"/>
        </w:rPr>
        <w:t xml:space="preserve"> </w:t>
      </w:r>
      <w:r w:rsidRPr="000977F7">
        <w:rPr>
          <w:color w:val="auto"/>
          <w:sz w:val="20"/>
          <w:szCs w:val="20"/>
        </w:rPr>
        <w:t>НАВАНТАЖЕНЬ</w:t>
      </w:r>
      <w:r w:rsidRPr="000977F7">
        <w:rPr>
          <w:color w:val="auto"/>
          <w:spacing w:val="-1"/>
          <w:sz w:val="20"/>
          <w:szCs w:val="20"/>
        </w:rPr>
        <w:t xml:space="preserve"> </w:t>
      </w:r>
      <w:r w:rsidRPr="000977F7">
        <w:rPr>
          <w:color w:val="auto"/>
          <w:sz w:val="20"/>
          <w:szCs w:val="20"/>
        </w:rPr>
        <w:t>–</w:t>
      </w:r>
    </w:p>
    <w:p w14:paraId="2636C8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STRESS</w:t>
      </w:r>
      <w:r w:rsidRPr="000977F7">
        <w:rPr>
          <w:rFonts w:asciiTheme="majorHAnsi" w:hAnsiTheme="majorHAnsi"/>
          <w:spacing w:val="-2"/>
          <w:sz w:val="20"/>
          <w:szCs w:val="20"/>
        </w:rPr>
        <w:t xml:space="preserve"> </w:t>
      </w:r>
      <w:r w:rsidRPr="000977F7">
        <w:rPr>
          <w:rFonts w:asciiTheme="majorHAnsi" w:hAnsiTheme="majorHAnsi"/>
          <w:sz w:val="20"/>
          <w:szCs w:val="20"/>
        </w:rPr>
        <w:t>MODEL</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1EA3BCE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Математична</w:t>
      </w:r>
      <w:r w:rsidRPr="000977F7">
        <w:rPr>
          <w:rFonts w:asciiTheme="majorHAnsi" w:hAnsiTheme="majorHAnsi"/>
          <w:spacing w:val="1"/>
          <w:sz w:val="20"/>
          <w:szCs w:val="20"/>
        </w:rPr>
        <w:t xml:space="preserve"> </w:t>
      </w:r>
      <w:r w:rsidRPr="000977F7">
        <w:rPr>
          <w:rFonts w:asciiTheme="majorHAnsi" w:hAnsiTheme="majorHAnsi"/>
          <w:sz w:val="20"/>
          <w:szCs w:val="20"/>
        </w:rPr>
        <w:t>модель,</w:t>
      </w:r>
      <w:r w:rsidRPr="000977F7">
        <w:rPr>
          <w:rFonts w:asciiTheme="majorHAnsi" w:hAnsiTheme="majorHAnsi"/>
          <w:spacing w:val="1"/>
          <w:sz w:val="20"/>
          <w:szCs w:val="20"/>
        </w:rPr>
        <w:t xml:space="preserve"> </w:t>
      </w:r>
      <w:r w:rsidRPr="000977F7">
        <w:rPr>
          <w:rFonts w:asciiTheme="majorHAnsi" w:hAnsiTheme="majorHAnsi"/>
          <w:sz w:val="20"/>
          <w:szCs w:val="20"/>
        </w:rPr>
        <w:t>прийнята</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опису</w:t>
      </w:r>
      <w:r w:rsidRPr="000977F7">
        <w:rPr>
          <w:rFonts w:asciiTheme="majorHAnsi" w:hAnsiTheme="majorHAnsi"/>
          <w:spacing w:val="1"/>
          <w:sz w:val="20"/>
          <w:szCs w:val="20"/>
        </w:rPr>
        <w:t xml:space="preserve"> </w:t>
      </w:r>
      <w:r w:rsidRPr="000977F7">
        <w:rPr>
          <w:rFonts w:asciiTheme="majorHAnsi" w:hAnsiTheme="majorHAnsi"/>
          <w:sz w:val="20"/>
          <w:szCs w:val="20"/>
        </w:rPr>
        <w:t>впливів</w:t>
      </w:r>
      <w:r w:rsidRPr="000977F7">
        <w:rPr>
          <w:rFonts w:asciiTheme="majorHAnsi" w:hAnsiTheme="majorHAnsi"/>
          <w:spacing w:val="1"/>
          <w:sz w:val="20"/>
          <w:szCs w:val="20"/>
        </w:rPr>
        <w:t xml:space="preserve"> </w:t>
      </w:r>
      <w:r w:rsidRPr="000977F7">
        <w:rPr>
          <w:rFonts w:asciiTheme="majorHAnsi" w:hAnsiTheme="majorHAnsi"/>
          <w:sz w:val="20"/>
          <w:szCs w:val="20"/>
        </w:rPr>
        <w:t>прикладених навантажень на показники безвідмовності</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інші</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властивості</w:t>
      </w:r>
      <w:r w:rsidRPr="000977F7">
        <w:rPr>
          <w:rFonts w:asciiTheme="majorHAnsi" w:hAnsiTheme="majorHAnsi"/>
          <w:spacing w:val="-1"/>
          <w:sz w:val="20"/>
          <w:szCs w:val="20"/>
        </w:rPr>
        <w:t xml:space="preserve"> </w:t>
      </w:r>
      <w:r w:rsidRPr="000977F7">
        <w:rPr>
          <w:rFonts w:asciiTheme="majorHAnsi" w:hAnsiTheme="majorHAnsi"/>
          <w:sz w:val="20"/>
          <w:szCs w:val="20"/>
        </w:rPr>
        <w:t>надійності</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p>
    <w:p w14:paraId="0A9200D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E382B8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МОДЕЛЬ</w:t>
      </w:r>
      <w:r w:rsidRPr="000977F7">
        <w:rPr>
          <w:color w:val="auto"/>
          <w:spacing w:val="-5"/>
          <w:sz w:val="20"/>
          <w:szCs w:val="20"/>
        </w:rPr>
        <w:t xml:space="preserve"> </w:t>
      </w:r>
      <w:r w:rsidRPr="000977F7">
        <w:rPr>
          <w:color w:val="auto"/>
          <w:sz w:val="20"/>
          <w:szCs w:val="20"/>
        </w:rPr>
        <w:t>РЕГРЕСІЙНОГО</w:t>
      </w:r>
      <w:r w:rsidRPr="000977F7">
        <w:rPr>
          <w:color w:val="auto"/>
          <w:spacing w:val="-4"/>
          <w:sz w:val="20"/>
          <w:szCs w:val="20"/>
        </w:rPr>
        <w:t xml:space="preserve"> </w:t>
      </w:r>
      <w:r w:rsidRPr="000977F7">
        <w:rPr>
          <w:color w:val="auto"/>
          <w:sz w:val="20"/>
          <w:szCs w:val="20"/>
        </w:rPr>
        <w:t>АНАЛІЗУ</w:t>
      </w:r>
      <w:r w:rsidRPr="000977F7">
        <w:rPr>
          <w:color w:val="auto"/>
          <w:spacing w:val="-2"/>
          <w:sz w:val="20"/>
          <w:szCs w:val="20"/>
        </w:rPr>
        <w:t xml:space="preserve"> </w:t>
      </w:r>
      <w:r w:rsidRPr="000977F7">
        <w:rPr>
          <w:color w:val="auto"/>
          <w:sz w:val="20"/>
          <w:szCs w:val="20"/>
        </w:rPr>
        <w:t>–</w:t>
      </w:r>
    </w:p>
    <w:p w14:paraId="6BEA9C9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Залежність відгуку від кількісних факторів і похибок</w:t>
      </w:r>
      <w:r w:rsidRPr="000977F7">
        <w:rPr>
          <w:rFonts w:asciiTheme="majorHAnsi" w:hAnsiTheme="majorHAnsi"/>
          <w:spacing w:val="1"/>
          <w:sz w:val="20"/>
          <w:szCs w:val="20"/>
        </w:rPr>
        <w:t xml:space="preserve"> </w:t>
      </w:r>
      <w:r w:rsidRPr="000977F7">
        <w:rPr>
          <w:rFonts w:asciiTheme="majorHAnsi" w:hAnsiTheme="majorHAnsi"/>
          <w:sz w:val="20"/>
          <w:szCs w:val="20"/>
        </w:rPr>
        <w:t>спостережень</w:t>
      </w:r>
      <w:r w:rsidRPr="000977F7">
        <w:rPr>
          <w:rFonts w:asciiTheme="majorHAnsi" w:hAnsiTheme="majorHAnsi"/>
          <w:spacing w:val="1"/>
          <w:sz w:val="20"/>
          <w:szCs w:val="20"/>
        </w:rPr>
        <w:t xml:space="preserve"> </w:t>
      </w:r>
      <w:r w:rsidRPr="000977F7">
        <w:rPr>
          <w:rFonts w:asciiTheme="majorHAnsi" w:hAnsiTheme="majorHAnsi"/>
          <w:sz w:val="20"/>
          <w:szCs w:val="20"/>
        </w:rPr>
        <w:t>відгуку</w:t>
      </w:r>
    </w:p>
    <w:p w14:paraId="2285BEF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МОДЕЛЬ</w:t>
      </w:r>
      <w:r w:rsidRPr="000977F7">
        <w:rPr>
          <w:color w:val="auto"/>
          <w:spacing w:val="-10"/>
          <w:sz w:val="20"/>
          <w:szCs w:val="20"/>
        </w:rPr>
        <w:t xml:space="preserve"> </w:t>
      </w:r>
      <w:r w:rsidRPr="000977F7">
        <w:rPr>
          <w:color w:val="auto"/>
          <w:sz w:val="20"/>
          <w:szCs w:val="20"/>
        </w:rPr>
        <w:t>РЕГРЕСІЙНОГО</w:t>
      </w:r>
      <w:r w:rsidRPr="000977F7">
        <w:rPr>
          <w:color w:val="auto"/>
          <w:spacing w:val="-8"/>
          <w:sz w:val="20"/>
          <w:szCs w:val="20"/>
        </w:rPr>
        <w:t xml:space="preserve"> </w:t>
      </w:r>
      <w:r w:rsidRPr="000977F7">
        <w:rPr>
          <w:color w:val="auto"/>
          <w:sz w:val="20"/>
          <w:szCs w:val="20"/>
        </w:rPr>
        <w:t>АНАЛІЗУ</w:t>
      </w:r>
      <w:r w:rsidRPr="000977F7">
        <w:rPr>
          <w:color w:val="auto"/>
          <w:spacing w:val="-47"/>
          <w:sz w:val="20"/>
          <w:szCs w:val="20"/>
        </w:rPr>
        <w:t xml:space="preserve"> </w:t>
      </w:r>
      <w:r w:rsidRPr="000977F7">
        <w:rPr>
          <w:color w:val="auto"/>
          <w:sz w:val="20"/>
          <w:szCs w:val="20"/>
        </w:rPr>
        <w:t>ДРУГОГО ПОРЯДКУ</w:t>
      </w:r>
      <w:r w:rsidRPr="000977F7">
        <w:rPr>
          <w:color w:val="auto"/>
          <w:spacing w:val="1"/>
          <w:sz w:val="20"/>
          <w:szCs w:val="20"/>
        </w:rPr>
        <w:t xml:space="preserve"> </w:t>
      </w:r>
      <w:r w:rsidRPr="000977F7">
        <w:rPr>
          <w:color w:val="auto"/>
          <w:sz w:val="20"/>
          <w:szCs w:val="20"/>
        </w:rPr>
        <w:t>–</w:t>
      </w:r>
    </w:p>
    <w:p w14:paraId="7FFCFF6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Модель</w:t>
      </w:r>
      <w:r w:rsidRPr="000977F7">
        <w:rPr>
          <w:rFonts w:asciiTheme="majorHAnsi" w:hAnsiTheme="majorHAnsi"/>
          <w:spacing w:val="1"/>
          <w:sz w:val="20"/>
          <w:szCs w:val="20"/>
        </w:rPr>
        <w:t xml:space="preserve"> </w:t>
      </w:r>
      <w:r w:rsidRPr="000977F7">
        <w:rPr>
          <w:rFonts w:asciiTheme="majorHAnsi" w:hAnsiTheme="majorHAnsi"/>
          <w:sz w:val="20"/>
          <w:szCs w:val="20"/>
        </w:rPr>
        <w:t>регресійного</w:t>
      </w:r>
      <w:r w:rsidRPr="000977F7">
        <w:rPr>
          <w:rFonts w:asciiTheme="majorHAnsi" w:hAnsiTheme="majorHAnsi"/>
          <w:spacing w:val="1"/>
          <w:sz w:val="20"/>
          <w:szCs w:val="20"/>
        </w:rPr>
        <w:t xml:space="preserve"> </w:t>
      </w:r>
      <w:r w:rsidRPr="000977F7">
        <w:rPr>
          <w:rFonts w:asciiTheme="majorHAnsi" w:hAnsiTheme="majorHAnsi"/>
          <w:sz w:val="20"/>
          <w:szCs w:val="20"/>
        </w:rPr>
        <w:t>аналізу,</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задається</w:t>
      </w:r>
      <w:r w:rsidRPr="000977F7">
        <w:rPr>
          <w:rFonts w:asciiTheme="majorHAnsi" w:hAnsiTheme="majorHAnsi"/>
          <w:spacing w:val="1"/>
          <w:sz w:val="20"/>
          <w:szCs w:val="20"/>
        </w:rPr>
        <w:t xml:space="preserve"> </w:t>
      </w:r>
      <w:r w:rsidRPr="000977F7">
        <w:rPr>
          <w:rFonts w:asciiTheme="majorHAnsi" w:hAnsiTheme="majorHAnsi"/>
          <w:sz w:val="20"/>
          <w:szCs w:val="20"/>
        </w:rPr>
        <w:t>поліномом другого</w:t>
      </w:r>
      <w:r w:rsidRPr="000977F7">
        <w:rPr>
          <w:rFonts w:asciiTheme="majorHAnsi" w:hAnsiTheme="majorHAnsi"/>
          <w:spacing w:val="1"/>
          <w:sz w:val="20"/>
          <w:szCs w:val="20"/>
        </w:rPr>
        <w:t xml:space="preserve"> </w:t>
      </w:r>
      <w:r w:rsidRPr="000977F7">
        <w:rPr>
          <w:rFonts w:asciiTheme="majorHAnsi" w:hAnsiTheme="majorHAnsi"/>
          <w:sz w:val="20"/>
          <w:szCs w:val="20"/>
        </w:rPr>
        <w:t>порядку по</w:t>
      </w:r>
      <w:r w:rsidRPr="000977F7">
        <w:rPr>
          <w:rFonts w:asciiTheme="majorHAnsi" w:hAnsiTheme="majorHAnsi"/>
          <w:spacing w:val="1"/>
          <w:sz w:val="20"/>
          <w:szCs w:val="20"/>
        </w:rPr>
        <w:t xml:space="preserve"> </w:t>
      </w:r>
      <w:r w:rsidRPr="000977F7">
        <w:rPr>
          <w:rFonts w:asciiTheme="majorHAnsi" w:hAnsiTheme="majorHAnsi"/>
          <w:sz w:val="20"/>
          <w:szCs w:val="20"/>
        </w:rPr>
        <w:t>факторам</w:t>
      </w:r>
    </w:p>
    <w:p w14:paraId="27DEBFD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МОДЕЛЬ</w:t>
      </w:r>
      <w:r w:rsidRPr="000977F7">
        <w:rPr>
          <w:color w:val="auto"/>
          <w:spacing w:val="-8"/>
          <w:sz w:val="20"/>
          <w:szCs w:val="20"/>
        </w:rPr>
        <w:t xml:space="preserve"> </w:t>
      </w:r>
      <w:r w:rsidRPr="000977F7">
        <w:rPr>
          <w:color w:val="auto"/>
          <w:sz w:val="20"/>
          <w:szCs w:val="20"/>
        </w:rPr>
        <w:t>РЕГРЕСІЙНОГО</w:t>
      </w:r>
      <w:r w:rsidRPr="000977F7">
        <w:rPr>
          <w:color w:val="auto"/>
          <w:spacing w:val="-7"/>
          <w:sz w:val="20"/>
          <w:szCs w:val="20"/>
        </w:rPr>
        <w:t xml:space="preserve"> </w:t>
      </w:r>
      <w:r w:rsidRPr="000977F7">
        <w:rPr>
          <w:color w:val="auto"/>
          <w:sz w:val="20"/>
          <w:szCs w:val="20"/>
        </w:rPr>
        <w:t>АНАЛІЗУ,</w:t>
      </w:r>
      <w:r w:rsidRPr="000977F7">
        <w:rPr>
          <w:color w:val="auto"/>
          <w:spacing w:val="-9"/>
          <w:sz w:val="20"/>
          <w:szCs w:val="20"/>
        </w:rPr>
        <w:t xml:space="preserve"> </w:t>
      </w:r>
      <w:r w:rsidRPr="000977F7">
        <w:rPr>
          <w:color w:val="auto"/>
          <w:sz w:val="20"/>
          <w:szCs w:val="20"/>
        </w:rPr>
        <w:t>ЛІНІЙНА</w:t>
      </w:r>
      <w:r w:rsidRPr="000977F7">
        <w:rPr>
          <w:color w:val="auto"/>
          <w:spacing w:val="-47"/>
          <w:sz w:val="20"/>
          <w:szCs w:val="20"/>
        </w:rPr>
        <w:t xml:space="preserve"> </w:t>
      </w:r>
      <w:r w:rsidRPr="000977F7">
        <w:rPr>
          <w:color w:val="auto"/>
          <w:sz w:val="20"/>
          <w:szCs w:val="20"/>
        </w:rPr>
        <w:t>ЗА</w:t>
      </w:r>
      <w:r w:rsidRPr="000977F7">
        <w:rPr>
          <w:color w:val="auto"/>
          <w:spacing w:val="-1"/>
          <w:sz w:val="20"/>
          <w:szCs w:val="20"/>
        </w:rPr>
        <w:t xml:space="preserve"> </w:t>
      </w:r>
      <w:r w:rsidRPr="000977F7">
        <w:rPr>
          <w:color w:val="auto"/>
          <w:sz w:val="20"/>
          <w:szCs w:val="20"/>
        </w:rPr>
        <w:t>ПАРАМЕТРАМИ –</w:t>
      </w:r>
    </w:p>
    <w:p w14:paraId="2771DE7E"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4D2D14">
        <w:rPr>
          <w:rFonts w:asciiTheme="majorHAnsi" w:hAnsiTheme="majorHAnsi"/>
          <w:sz w:val="20"/>
          <w:szCs w:val="20"/>
          <w:lang w:val="uk-UA"/>
        </w:rPr>
        <w:t>Модель</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регресійного</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аналізу,</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якій</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функція</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відгуку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є</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лінійна комбінація базисних функцій від факторів</w:t>
      </w:r>
    </w:p>
    <w:p w14:paraId="56713D45"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МОДЕЛЬ РЕГРЕСІЙНОГО АНАЛІЗУ ПЕРШОГО</w:t>
      </w:r>
      <w:r w:rsidRPr="000977F7">
        <w:rPr>
          <w:rFonts w:asciiTheme="majorHAnsi" w:hAnsiTheme="majorHAnsi"/>
          <w:b/>
          <w:spacing w:val="-47"/>
          <w:sz w:val="20"/>
          <w:szCs w:val="20"/>
        </w:rPr>
        <w:t xml:space="preserve"> </w:t>
      </w:r>
      <w:r w:rsidRPr="000977F7">
        <w:rPr>
          <w:rFonts w:asciiTheme="majorHAnsi" w:hAnsiTheme="majorHAnsi"/>
          <w:b/>
          <w:sz w:val="20"/>
          <w:szCs w:val="20"/>
        </w:rPr>
        <w:t>ПОРЯДКУ</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514874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Модель</w:t>
      </w:r>
      <w:r w:rsidRPr="000977F7">
        <w:rPr>
          <w:rFonts w:asciiTheme="majorHAnsi" w:hAnsiTheme="majorHAnsi"/>
          <w:spacing w:val="1"/>
          <w:sz w:val="20"/>
          <w:szCs w:val="20"/>
        </w:rPr>
        <w:t xml:space="preserve"> </w:t>
      </w:r>
      <w:r w:rsidRPr="000977F7">
        <w:rPr>
          <w:rFonts w:asciiTheme="majorHAnsi" w:hAnsiTheme="majorHAnsi"/>
          <w:sz w:val="20"/>
          <w:szCs w:val="20"/>
        </w:rPr>
        <w:t>регресійного</w:t>
      </w:r>
      <w:r w:rsidRPr="000977F7">
        <w:rPr>
          <w:rFonts w:asciiTheme="majorHAnsi" w:hAnsiTheme="majorHAnsi"/>
          <w:spacing w:val="1"/>
          <w:sz w:val="20"/>
          <w:szCs w:val="20"/>
        </w:rPr>
        <w:t xml:space="preserve"> </w:t>
      </w:r>
      <w:r w:rsidRPr="000977F7">
        <w:rPr>
          <w:rFonts w:asciiTheme="majorHAnsi" w:hAnsiTheme="majorHAnsi"/>
          <w:sz w:val="20"/>
          <w:szCs w:val="20"/>
        </w:rPr>
        <w:t>аналізу,</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задається</w:t>
      </w:r>
      <w:r w:rsidRPr="000977F7">
        <w:rPr>
          <w:rFonts w:asciiTheme="majorHAnsi" w:hAnsiTheme="majorHAnsi"/>
          <w:spacing w:val="1"/>
          <w:sz w:val="20"/>
          <w:szCs w:val="20"/>
        </w:rPr>
        <w:t xml:space="preserve"> </w:t>
      </w:r>
      <w:r w:rsidRPr="000977F7">
        <w:rPr>
          <w:rFonts w:asciiTheme="majorHAnsi" w:hAnsiTheme="majorHAnsi"/>
          <w:sz w:val="20"/>
          <w:szCs w:val="20"/>
        </w:rPr>
        <w:t>поліномом першого</w:t>
      </w:r>
      <w:r w:rsidRPr="000977F7">
        <w:rPr>
          <w:rFonts w:asciiTheme="majorHAnsi" w:hAnsiTheme="majorHAnsi"/>
          <w:spacing w:val="2"/>
          <w:sz w:val="20"/>
          <w:szCs w:val="20"/>
        </w:rPr>
        <w:t xml:space="preserve"> </w:t>
      </w:r>
      <w:r w:rsidRPr="000977F7">
        <w:rPr>
          <w:rFonts w:asciiTheme="majorHAnsi" w:hAnsiTheme="majorHAnsi"/>
          <w:sz w:val="20"/>
          <w:szCs w:val="20"/>
        </w:rPr>
        <w:t>порядку</w:t>
      </w:r>
      <w:r w:rsidRPr="000977F7">
        <w:rPr>
          <w:rFonts w:asciiTheme="majorHAnsi" w:hAnsiTheme="majorHAnsi"/>
          <w:spacing w:val="-4"/>
          <w:sz w:val="20"/>
          <w:szCs w:val="20"/>
        </w:rPr>
        <w:t xml:space="preserve"> </w:t>
      </w:r>
      <w:r w:rsidRPr="000977F7">
        <w:rPr>
          <w:rFonts w:asciiTheme="majorHAnsi" w:hAnsiTheme="majorHAnsi"/>
          <w:sz w:val="20"/>
          <w:szCs w:val="20"/>
        </w:rPr>
        <w:t>по</w:t>
      </w:r>
      <w:r w:rsidRPr="000977F7">
        <w:rPr>
          <w:rFonts w:asciiTheme="majorHAnsi" w:hAnsiTheme="majorHAnsi"/>
          <w:spacing w:val="1"/>
          <w:sz w:val="20"/>
          <w:szCs w:val="20"/>
        </w:rPr>
        <w:t xml:space="preserve"> </w:t>
      </w:r>
      <w:r w:rsidRPr="000977F7">
        <w:rPr>
          <w:rFonts w:asciiTheme="majorHAnsi" w:hAnsiTheme="majorHAnsi"/>
          <w:sz w:val="20"/>
          <w:szCs w:val="20"/>
        </w:rPr>
        <w:t>факторам</w:t>
      </w:r>
    </w:p>
    <w:p w14:paraId="63A77D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
          <w:bCs/>
          <w:sz w:val="20"/>
          <w:szCs w:val="20"/>
        </w:rPr>
        <w:t>МОДЕЛЬ</w:t>
      </w:r>
      <w:r w:rsidRPr="000977F7">
        <w:rPr>
          <w:rFonts w:asciiTheme="majorHAnsi" w:hAnsiTheme="majorHAnsi"/>
          <w:b/>
          <w:bCs/>
          <w:spacing w:val="-6"/>
          <w:sz w:val="20"/>
          <w:szCs w:val="20"/>
        </w:rPr>
        <w:t xml:space="preserve"> </w:t>
      </w:r>
      <w:r w:rsidRPr="000977F7">
        <w:rPr>
          <w:rFonts w:asciiTheme="majorHAnsi" w:hAnsiTheme="majorHAnsi"/>
          <w:b/>
          <w:bCs/>
          <w:sz w:val="20"/>
          <w:szCs w:val="20"/>
        </w:rPr>
        <w:t>РЕМОНТОПРИДАТНОСТІ</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B79D9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MAINTAINABILITY</w:t>
      </w:r>
      <w:r w:rsidRPr="000977F7">
        <w:rPr>
          <w:rFonts w:asciiTheme="majorHAnsi" w:hAnsiTheme="majorHAnsi"/>
          <w:spacing w:val="45"/>
          <w:sz w:val="20"/>
          <w:szCs w:val="20"/>
        </w:rPr>
        <w:t xml:space="preserve"> </w:t>
      </w:r>
      <w:r w:rsidRPr="000977F7">
        <w:rPr>
          <w:rFonts w:asciiTheme="majorHAnsi" w:hAnsiTheme="majorHAnsi"/>
          <w:sz w:val="20"/>
          <w:szCs w:val="20"/>
        </w:rPr>
        <w:t>MODEL</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C9324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Математична</w:t>
      </w:r>
      <w:r w:rsidRPr="000977F7">
        <w:rPr>
          <w:rFonts w:asciiTheme="majorHAnsi" w:hAnsiTheme="majorHAnsi"/>
          <w:spacing w:val="1"/>
          <w:sz w:val="20"/>
          <w:szCs w:val="20"/>
        </w:rPr>
        <w:t xml:space="preserve"> </w:t>
      </w:r>
      <w:r w:rsidRPr="000977F7">
        <w:rPr>
          <w:rFonts w:asciiTheme="majorHAnsi" w:hAnsiTheme="majorHAnsi"/>
          <w:sz w:val="20"/>
          <w:szCs w:val="20"/>
        </w:rPr>
        <w:t>модель,</w:t>
      </w:r>
      <w:r w:rsidRPr="000977F7">
        <w:rPr>
          <w:rFonts w:asciiTheme="majorHAnsi" w:hAnsiTheme="majorHAnsi"/>
          <w:spacing w:val="1"/>
          <w:sz w:val="20"/>
          <w:szCs w:val="20"/>
        </w:rPr>
        <w:t xml:space="preserve"> </w:t>
      </w:r>
      <w:r w:rsidRPr="000977F7">
        <w:rPr>
          <w:rFonts w:asciiTheme="majorHAnsi" w:hAnsiTheme="majorHAnsi"/>
          <w:sz w:val="20"/>
          <w:szCs w:val="20"/>
        </w:rPr>
        <w:t>яку</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використовують</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прогнозування чи оцінювання показників ремонтопридатності</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p>
    <w:p w14:paraId="33FBDDB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607615B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Прикладом моделі є граф технічного 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p>
    <w:p w14:paraId="2D2CE67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E91AE1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МОДЕРНІЗОВАНИЙ</w:t>
      </w:r>
      <w:r w:rsidRPr="000977F7">
        <w:rPr>
          <w:color w:val="auto"/>
          <w:spacing w:val="-4"/>
          <w:sz w:val="20"/>
          <w:szCs w:val="20"/>
        </w:rPr>
        <w:t xml:space="preserve"> </w:t>
      </w:r>
      <w:r w:rsidRPr="000977F7">
        <w:rPr>
          <w:color w:val="auto"/>
          <w:sz w:val="20"/>
          <w:szCs w:val="20"/>
        </w:rPr>
        <w:t>ВИРІБ</w:t>
      </w:r>
      <w:r w:rsidRPr="000977F7">
        <w:rPr>
          <w:color w:val="auto"/>
          <w:spacing w:val="-1"/>
          <w:sz w:val="20"/>
          <w:szCs w:val="20"/>
        </w:rPr>
        <w:t xml:space="preserve"> </w:t>
      </w:r>
      <w:r w:rsidRPr="000977F7">
        <w:rPr>
          <w:color w:val="auto"/>
          <w:sz w:val="20"/>
          <w:szCs w:val="20"/>
        </w:rPr>
        <w:t>–</w:t>
      </w:r>
    </w:p>
    <w:p w14:paraId="25D123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w:t>
      </w:r>
      <w:r w:rsidRPr="000977F7">
        <w:rPr>
          <w:rFonts w:asciiTheme="majorHAnsi" w:hAnsiTheme="majorHAnsi"/>
          <w:spacing w:val="-4"/>
          <w:sz w:val="20"/>
          <w:szCs w:val="20"/>
        </w:rPr>
        <w:t xml:space="preserve"> </w:t>
      </w:r>
      <w:r w:rsidRPr="000977F7">
        <w:rPr>
          <w:rFonts w:asciiTheme="majorHAnsi" w:hAnsiTheme="majorHAnsi"/>
          <w:sz w:val="20"/>
          <w:szCs w:val="20"/>
        </w:rPr>
        <w:t>отриманий</w:t>
      </w:r>
      <w:r w:rsidRPr="000977F7">
        <w:rPr>
          <w:rFonts w:asciiTheme="majorHAnsi" w:hAnsiTheme="majorHAnsi"/>
          <w:spacing w:val="-4"/>
          <w:sz w:val="20"/>
          <w:szCs w:val="20"/>
        </w:rPr>
        <w:t xml:space="preserve"> </w:t>
      </w:r>
      <w:r w:rsidRPr="000977F7">
        <w:rPr>
          <w:rFonts w:asciiTheme="majorHAnsi" w:hAnsiTheme="majorHAnsi"/>
          <w:sz w:val="20"/>
          <w:szCs w:val="20"/>
        </w:rPr>
        <w:t>в</w:t>
      </w:r>
      <w:r w:rsidRPr="000977F7">
        <w:rPr>
          <w:rFonts w:asciiTheme="majorHAnsi" w:hAnsiTheme="majorHAnsi"/>
          <w:spacing w:val="-4"/>
          <w:sz w:val="20"/>
          <w:szCs w:val="20"/>
        </w:rPr>
        <w:t xml:space="preserve"> </w:t>
      </w:r>
      <w:r w:rsidRPr="000977F7">
        <w:rPr>
          <w:rFonts w:asciiTheme="majorHAnsi" w:hAnsiTheme="majorHAnsi"/>
          <w:sz w:val="20"/>
          <w:szCs w:val="20"/>
        </w:rPr>
        <w:t>результаті</w:t>
      </w:r>
      <w:r w:rsidRPr="000977F7">
        <w:rPr>
          <w:rFonts w:asciiTheme="majorHAnsi" w:hAnsiTheme="majorHAnsi"/>
          <w:spacing w:val="-3"/>
          <w:sz w:val="20"/>
          <w:szCs w:val="20"/>
        </w:rPr>
        <w:t xml:space="preserve"> </w:t>
      </w:r>
      <w:r w:rsidRPr="000977F7">
        <w:rPr>
          <w:rFonts w:asciiTheme="majorHAnsi" w:hAnsiTheme="majorHAnsi"/>
          <w:sz w:val="20"/>
          <w:szCs w:val="20"/>
        </w:rPr>
        <w:t>модернізації</w:t>
      </w:r>
    </w:p>
    <w:p w14:paraId="635D929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7CEBA1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МОДЕРНІЗАЦІЯ</w:t>
      </w:r>
      <w:r w:rsidRPr="000977F7">
        <w:rPr>
          <w:color w:val="auto"/>
          <w:spacing w:val="-5"/>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70C53C5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Створення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поліпшеними</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властивостями</w:t>
      </w:r>
      <w:r w:rsidRPr="000977F7">
        <w:rPr>
          <w:rFonts w:asciiTheme="majorHAnsi" w:hAnsiTheme="majorHAnsi"/>
          <w:spacing w:val="-47"/>
          <w:sz w:val="20"/>
          <w:szCs w:val="20"/>
        </w:rPr>
        <w:t xml:space="preserve"> </w:t>
      </w:r>
      <w:r w:rsidRPr="000977F7">
        <w:rPr>
          <w:rFonts w:asciiTheme="majorHAnsi" w:hAnsiTheme="majorHAnsi"/>
          <w:sz w:val="20"/>
          <w:szCs w:val="20"/>
        </w:rPr>
        <w:t>шляхом обмеженої</w:t>
      </w:r>
      <w:r w:rsidRPr="000977F7">
        <w:rPr>
          <w:rFonts w:asciiTheme="majorHAnsi" w:hAnsiTheme="majorHAnsi"/>
          <w:spacing w:val="-2"/>
          <w:sz w:val="20"/>
          <w:szCs w:val="20"/>
        </w:rPr>
        <w:t xml:space="preserve"> </w:t>
      </w:r>
      <w:r w:rsidRPr="000977F7">
        <w:rPr>
          <w:rFonts w:asciiTheme="majorHAnsi" w:hAnsiTheme="majorHAnsi"/>
          <w:sz w:val="20"/>
          <w:szCs w:val="20"/>
        </w:rPr>
        <w:t>зміни</w:t>
      </w:r>
      <w:r w:rsidRPr="000977F7">
        <w:rPr>
          <w:rFonts w:asciiTheme="majorHAnsi" w:hAnsiTheme="majorHAnsi"/>
          <w:spacing w:val="-2"/>
          <w:sz w:val="20"/>
          <w:szCs w:val="20"/>
        </w:rPr>
        <w:t xml:space="preserve"> </w:t>
      </w:r>
      <w:r w:rsidRPr="000977F7">
        <w:rPr>
          <w:rFonts w:asciiTheme="majorHAnsi" w:hAnsiTheme="majorHAnsi"/>
          <w:sz w:val="20"/>
          <w:szCs w:val="20"/>
        </w:rPr>
        <w:t>вихідної</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59A90D2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56B787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процесі поставлення на виробництво модернізованої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вихідну</w:t>
      </w:r>
      <w:r w:rsidRPr="000977F7">
        <w:rPr>
          <w:rFonts w:asciiTheme="majorHAnsi" w:hAnsiTheme="majorHAnsi"/>
          <w:spacing w:val="1"/>
          <w:sz w:val="20"/>
          <w:szCs w:val="20"/>
        </w:rPr>
        <w:t xml:space="preserve"> </w:t>
      </w:r>
      <w:r w:rsidRPr="000977F7">
        <w:rPr>
          <w:rFonts w:asciiTheme="majorHAnsi" w:hAnsiTheme="majorHAnsi"/>
          <w:sz w:val="20"/>
          <w:szCs w:val="20"/>
        </w:rPr>
        <w:t>продукцію</w:t>
      </w:r>
      <w:r w:rsidRPr="000977F7">
        <w:rPr>
          <w:rFonts w:asciiTheme="majorHAnsi" w:hAnsiTheme="majorHAnsi"/>
          <w:spacing w:val="1"/>
          <w:sz w:val="20"/>
          <w:szCs w:val="20"/>
        </w:rPr>
        <w:t xml:space="preserve"> </w:t>
      </w:r>
      <w:r w:rsidRPr="000977F7">
        <w:rPr>
          <w:rFonts w:asciiTheme="majorHAnsi" w:hAnsiTheme="majorHAnsi"/>
          <w:sz w:val="20"/>
          <w:szCs w:val="20"/>
        </w:rPr>
        <w:t>вважають</w:t>
      </w:r>
      <w:r w:rsidRPr="000977F7">
        <w:rPr>
          <w:rFonts w:asciiTheme="majorHAnsi" w:hAnsiTheme="majorHAnsi"/>
          <w:spacing w:val="1"/>
          <w:sz w:val="20"/>
          <w:szCs w:val="20"/>
        </w:rPr>
        <w:t xml:space="preserve"> </w:t>
      </w:r>
      <w:r w:rsidRPr="000977F7">
        <w:rPr>
          <w:rFonts w:asciiTheme="majorHAnsi" w:hAnsiTheme="majorHAnsi"/>
          <w:sz w:val="20"/>
          <w:szCs w:val="20"/>
        </w:rPr>
        <w:t>застарі</w:t>
      </w:r>
      <w:r w:rsidRPr="000977F7">
        <w:rPr>
          <w:rFonts w:asciiTheme="majorHAnsi" w:hAnsiTheme="majorHAnsi"/>
          <w:spacing w:val="-47"/>
          <w:sz w:val="20"/>
          <w:szCs w:val="20"/>
        </w:rPr>
        <w:t xml:space="preserve"> </w:t>
      </w:r>
      <w:r w:rsidRPr="000977F7">
        <w:rPr>
          <w:rFonts w:asciiTheme="majorHAnsi" w:hAnsiTheme="majorHAnsi"/>
          <w:sz w:val="20"/>
          <w:szCs w:val="20"/>
        </w:rPr>
        <w:t>лою</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знімають з</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p>
    <w:p w14:paraId="46F8AC5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CF87A4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МОДЕРНІЗАЦІЯ</w:t>
      </w:r>
      <w:r w:rsidRPr="000977F7">
        <w:rPr>
          <w:color w:val="auto"/>
          <w:spacing w:val="-5"/>
          <w:sz w:val="20"/>
          <w:szCs w:val="20"/>
        </w:rPr>
        <w:t xml:space="preserve"> </w:t>
      </w:r>
      <w:r w:rsidRPr="000977F7">
        <w:rPr>
          <w:color w:val="auto"/>
          <w:sz w:val="20"/>
          <w:szCs w:val="20"/>
        </w:rPr>
        <w:t>УСТАТКУВАННЯ</w:t>
      </w:r>
      <w:r w:rsidRPr="000977F7">
        <w:rPr>
          <w:color w:val="auto"/>
          <w:spacing w:val="-1"/>
          <w:sz w:val="20"/>
          <w:szCs w:val="20"/>
        </w:rPr>
        <w:t xml:space="preserve"> </w:t>
      </w:r>
      <w:r w:rsidRPr="000977F7">
        <w:rPr>
          <w:color w:val="auto"/>
          <w:sz w:val="20"/>
          <w:szCs w:val="20"/>
        </w:rPr>
        <w:t>–</w:t>
      </w:r>
    </w:p>
    <w:p w14:paraId="73777BC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 робіт з поліпшенням експлуатаційних характеристик</w:t>
      </w:r>
      <w:r w:rsidRPr="000977F7">
        <w:rPr>
          <w:rFonts w:asciiTheme="majorHAnsi" w:hAnsiTheme="majorHAnsi"/>
          <w:spacing w:val="1"/>
          <w:sz w:val="20"/>
          <w:szCs w:val="20"/>
        </w:rPr>
        <w:t xml:space="preserve"> </w:t>
      </w:r>
      <w:r w:rsidRPr="000977F7">
        <w:rPr>
          <w:rFonts w:asciiTheme="majorHAnsi" w:hAnsiTheme="majorHAnsi"/>
          <w:sz w:val="20"/>
          <w:szCs w:val="20"/>
        </w:rPr>
        <w:t>діючого</w:t>
      </w:r>
      <w:r w:rsidRPr="000977F7">
        <w:rPr>
          <w:rFonts w:asciiTheme="majorHAnsi" w:hAnsiTheme="majorHAnsi"/>
          <w:spacing w:val="1"/>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1"/>
          <w:sz w:val="20"/>
          <w:szCs w:val="20"/>
        </w:rPr>
        <w:t xml:space="preserve"> </w:t>
      </w:r>
      <w:r w:rsidRPr="000977F7">
        <w:rPr>
          <w:rFonts w:asciiTheme="majorHAnsi" w:hAnsiTheme="majorHAnsi"/>
          <w:sz w:val="20"/>
          <w:szCs w:val="20"/>
        </w:rPr>
        <w:t>заміною</w:t>
      </w:r>
      <w:r w:rsidRPr="000977F7">
        <w:rPr>
          <w:rFonts w:asciiTheme="majorHAnsi" w:hAnsiTheme="majorHAnsi"/>
          <w:spacing w:val="1"/>
          <w:sz w:val="20"/>
          <w:szCs w:val="20"/>
        </w:rPr>
        <w:t xml:space="preserve"> </w:t>
      </w:r>
      <w:r w:rsidRPr="000977F7">
        <w:rPr>
          <w:rFonts w:asciiTheme="majorHAnsi" w:hAnsiTheme="majorHAnsi"/>
          <w:sz w:val="20"/>
          <w:szCs w:val="20"/>
        </w:rPr>
        <w:t>окремих</w:t>
      </w:r>
      <w:r w:rsidRPr="000977F7">
        <w:rPr>
          <w:rFonts w:asciiTheme="majorHAnsi" w:hAnsiTheme="majorHAnsi"/>
          <w:spacing w:val="1"/>
          <w:sz w:val="20"/>
          <w:szCs w:val="20"/>
        </w:rPr>
        <w:t xml:space="preserve"> </w:t>
      </w:r>
      <w:r w:rsidRPr="000977F7">
        <w:rPr>
          <w:rFonts w:asciiTheme="majorHAnsi" w:hAnsiTheme="majorHAnsi"/>
          <w:sz w:val="20"/>
          <w:szCs w:val="20"/>
        </w:rPr>
        <w:t>складових частин досконалішими згідно з сучасними</w:t>
      </w:r>
      <w:r w:rsidRPr="000977F7">
        <w:rPr>
          <w:rFonts w:asciiTheme="majorHAnsi" w:hAnsiTheme="majorHAnsi"/>
          <w:spacing w:val="1"/>
          <w:sz w:val="20"/>
          <w:szCs w:val="20"/>
        </w:rPr>
        <w:t xml:space="preserve"> </w:t>
      </w:r>
      <w:r w:rsidRPr="000977F7">
        <w:rPr>
          <w:rFonts w:asciiTheme="majorHAnsi" w:hAnsiTheme="majorHAnsi"/>
          <w:sz w:val="20"/>
          <w:szCs w:val="20"/>
        </w:rPr>
        <w:t>вимогами</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нормами</w:t>
      </w:r>
    </w:p>
    <w:p w14:paraId="49D4BC3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0146517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МОДИФІКАЦІЯ</w:t>
      </w:r>
      <w:r w:rsidRPr="000977F7">
        <w:rPr>
          <w:color w:val="auto"/>
          <w:spacing w:val="-4"/>
          <w:sz w:val="20"/>
          <w:szCs w:val="20"/>
        </w:rPr>
        <w:t xml:space="preserve"> </w:t>
      </w:r>
      <w:r w:rsidRPr="000977F7">
        <w:rPr>
          <w:color w:val="auto"/>
          <w:sz w:val="20"/>
          <w:szCs w:val="20"/>
        </w:rPr>
        <w:t>ВИРОБУ</w:t>
      </w:r>
      <w:r w:rsidRPr="000977F7">
        <w:rPr>
          <w:color w:val="auto"/>
          <w:spacing w:val="-1"/>
          <w:sz w:val="20"/>
          <w:szCs w:val="20"/>
        </w:rPr>
        <w:t xml:space="preserve"> </w:t>
      </w:r>
      <w:r w:rsidRPr="000977F7">
        <w:rPr>
          <w:color w:val="auto"/>
          <w:sz w:val="20"/>
          <w:szCs w:val="20"/>
        </w:rPr>
        <w:t>–</w:t>
      </w:r>
    </w:p>
    <w:p w14:paraId="01B126BE"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Різновид виробу, створений на основі базового, для</w:t>
      </w:r>
      <w:r w:rsidRPr="000977F7">
        <w:rPr>
          <w:rFonts w:asciiTheme="majorHAnsi" w:hAnsiTheme="majorHAnsi"/>
          <w:spacing w:val="1"/>
          <w:sz w:val="20"/>
          <w:szCs w:val="20"/>
        </w:rPr>
        <w:t xml:space="preserve"> </w:t>
      </w:r>
      <w:r w:rsidRPr="000977F7">
        <w:rPr>
          <w:rFonts w:asciiTheme="majorHAnsi" w:hAnsiTheme="majorHAnsi"/>
          <w:spacing w:val="-2"/>
          <w:sz w:val="20"/>
          <w:szCs w:val="20"/>
        </w:rPr>
        <w:t xml:space="preserve">розширення або спеціалізації </w:t>
      </w:r>
      <w:r w:rsidRPr="000977F7">
        <w:rPr>
          <w:rFonts w:asciiTheme="majorHAnsi" w:hAnsiTheme="majorHAnsi"/>
          <w:spacing w:val="-1"/>
          <w:sz w:val="20"/>
          <w:szCs w:val="20"/>
        </w:rPr>
        <w:t>сфери його використання</w:t>
      </w:r>
      <w:r w:rsidRPr="000977F7">
        <w:rPr>
          <w:rFonts w:asciiTheme="majorHAnsi" w:hAnsiTheme="majorHAnsi"/>
          <w:spacing w:val="-47"/>
          <w:sz w:val="20"/>
          <w:szCs w:val="20"/>
        </w:rPr>
        <w:t xml:space="preserve"> </w:t>
      </w:r>
    </w:p>
    <w:p w14:paraId="042803F2"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3278 -</w:t>
      </w:r>
      <w:r w:rsidRPr="000977F7">
        <w:rPr>
          <w:rFonts w:asciiTheme="majorHAnsi" w:hAnsiTheme="majorHAnsi"/>
          <w:i/>
          <w:spacing w:val="2"/>
          <w:sz w:val="20"/>
          <w:szCs w:val="20"/>
        </w:rPr>
        <w:t xml:space="preserve"> </w:t>
      </w:r>
      <w:r w:rsidRPr="000977F7">
        <w:rPr>
          <w:rFonts w:asciiTheme="majorHAnsi" w:hAnsiTheme="majorHAnsi"/>
          <w:i/>
          <w:sz w:val="20"/>
          <w:szCs w:val="20"/>
        </w:rPr>
        <w:t>95</w:t>
      </w:r>
    </w:p>
    <w:p w14:paraId="0E2C0D6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МОДИФІКУВАННЯ</w:t>
      </w:r>
      <w:r w:rsidRPr="000977F7">
        <w:rPr>
          <w:color w:val="auto"/>
          <w:spacing w:val="-5"/>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4B09FEC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Створення продукції, спорідненої з вихідною (типовою), але для іншої сфери застосування, обмеженою</w:t>
      </w:r>
      <w:r w:rsidRPr="000977F7">
        <w:rPr>
          <w:rFonts w:asciiTheme="majorHAnsi" w:hAnsiTheme="majorHAnsi"/>
          <w:spacing w:val="1"/>
          <w:sz w:val="20"/>
          <w:szCs w:val="20"/>
        </w:rPr>
        <w:t xml:space="preserve"> </w:t>
      </w:r>
      <w:r w:rsidRPr="000977F7">
        <w:rPr>
          <w:rFonts w:asciiTheme="majorHAnsi" w:hAnsiTheme="majorHAnsi"/>
          <w:sz w:val="20"/>
          <w:szCs w:val="20"/>
        </w:rPr>
        <w:t>зміною</w:t>
      </w:r>
      <w:r w:rsidRPr="000977F7">
        <w:rPr>
          <w:rFonts w:asciiTheme="majorHAnsi" w:hAnsiTheme="majorHAnsi"/>
          <w:spacing w:val="-1"/>
          <w:sz w:val="20"/>
          <w:szCs w:val="20"/>
        </w:rPr>
        <w:t xml:space="preserve"> </w:t>
      </w:r>
      <w:r w:rsidRPr="000977F7">
        <w:rPr>
          <w:rFonts w:asciiTheme="majorHAnsi" w:hAnsiTheme="majorHAnsi"/>
          <w:sz w:val="20"/>
          <w:szCs w:val="20"/>
        </w:rPr>
        <w:t>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597EFB8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784DDA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МОДУЛЬ ОЦІНКИ ВІДПОВІДНОСТІ –</w:t>
      </w:r>
    </w:p>
    <w:p w14:paraId="3F377D66"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Уніфікована процедура оцінки відповідності чи її частина</w:t>
      </w:r>
    </w:p>
    <w:p w14:paraId="4ED27B1C"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bookmarkStart w:id="128" w:name="_Hlk103180763"/>
      <w:r w:rsidRPr="000977F7">
        <w:rPr>
          <w:b w:val="0"/>
          <w:bCs/>
          <w:i/>
          <w:iCs w:val="0"/>
          <w:color w:val="auto"/>
          <w:sz w:val="20"/>
          <w:szCs w:val="20"/>
        </w:rPr>
        <w:t>Ст. 1 закону</w:t>
      </w:r>
      <w:r w:rsidRPr="000977F7">
        <w:rPr>
          <w:i/>
          <w:iCs w:val="0"/>
          <w:color w:val="auto"/>
          <w:sz w:val="20"/>
          <w:szCs w:val="20"/>
        </w:rPr>
        <w:t xml:space="preserve"> </w:t>
      </w:r>
      <w:r w:rsidRPr="000977F7">
        <w:rPr>
          <w:b w:val="0"/>
          <w:bCs/>
          <w:i/>
          <w:iCs w:val="0"/>
          <w:color w:val="auto"/>
          <w:sz w:val="20"/>
          <w:szCs w:val="20"/>
        </w:rPr>
        <w:t>України "Про технічні регламенти та оцінку відповідності"</w:t>
      </w:r>
    </w:p>
    <w:p w14:paraId="7BC9BED4" w14:textId="77777777" w:rsidR="0097612F" w:rsidRPr="004D2D14" w:rsidRDefault="0097612F" w:rsidP="000977F7">
      <w:pPr>
        <w:tabs>
          <w:tab w:val="left" w:pos="284"/>
        </w:tabs>
        <w:spacing w:after="0" w:line="240" w:lineRule="auto"/>
        <w:ind w:left="170"/>
        <w:mirrorIndents/>
        <w:jc w:val="both"/>
        <w:rPr>
          <w:rFonts w:asciiTheme="majorHAnsi" w:hAnsiTheme="majorHAnsi"/>
          <w:b/>
          <w:bCs/>
          <w:sz w:val="20"/>
          <w:szCs w:val="20"/>
          <w:lang w:val="uk-UA"/>
        </w:rPr>
      </w:pPr>
      <w:r w:rsidRPr="004D2D14">
        <w:rPr>
          <w:rFonts w:asciiTheme="majorHAnsi" w:hAnsiTheme="majorHAnsi"/>
          <w:b/>
          <w:bCs/>
          <w:sz w:val="20"/>
          <w:szCs w:val="20"/>
          <w:lang w:val="uk-UA"/>
        </w:rPr>
        <w:t>МОДУЛІ ОЦІНКИ ВІДПОВІДНОСТІ, ЯКІ ВИКОРИСТОВУЮТЬСЯ ДЛЯ РОЗРОБЛЕННЯ ПРОЦЕДУР ОЦІНКИ ВІДПОВІДНОСТІ:</w:t>
      </w:r>
    </w:p>
    <w:p w14:paraId="05AACD2C" w14:textId="77777777" w:rsidR="0097612F" w:rsidRPr="000977F7" w:rsidRDefault="0097612F" w:rsidP="000977F7">
      <w:pPr>
        <w:pStyle w:val="af6"/>
        <w:tabs>
          <w:tab w:val="left" w:pos="284"/>
        </w:tabs>
        <w:spacing w:after="0"/>
        <w:ind w:left="170"/>
        <w:mirrorIndents/>
        <w:jc w:val="both"/>
        <w:rPr>
          <w:rStyle w:val="rvts23"/>
          <w:rFonts w:asciiTheme="majorHAnsi" w:hAnsiTheme="majorHAnsi"/>
          <w:sz w:val="20"/>
          <w:szCs w:val="20"/>
          <w:shd w:val="clear" w:color="auto" w:fill="FFFFFF"/>
        </w:rPr>
      </w:pPr>
      <w:r w:rsidRPr="000977F7">
        <w:rPr>
          <w:rFonts w:asciiTheme="majorHAnsi" w:hAnsiTheme="majorHAnsi"/>
          <w:sz w:val="20"/>
          <w:szCs w:val="20"/>
          <w:shd w:val="clear" w:color="auto" w:fill="FFFFFF"/>
        </w:rPr>
        <w:t>A внутрішній контроль виробництва;</w:t>
      </w:r>
    </w:p>
    <w:p w14:paraId="048DB1BB" w14:textId="77777777" w:rsidR="0097612F" w:rsidRPr="000977F7" w:rsidRDefault="0097612F" w:rsidP="000977F7">
      <w:pPr>
        <w:pStyle w:val="af6"/>
        <w:tabs>
          <w:tab w:val="left" w:pos="284"/>
        </w:tabs>
        <w:spacing w:after="0"/>
        <w:ind w:left="170"/>
        <w:mirrorIndents/>
        <w:jc w:val="both"/>
        <w:rPr>
          <w:rStyle w:val="rvts23"/>
          <w:rFonts w:asciiTheme="majorHAnsi" w:hAnsiTheme="majorHAnsi"/>
          <w:sz w:val="20"/>
          <w:szCs w:val="20"/>
          <w:shd w:val="clear" w:color="auto" w:fill="FFFFFF"/>
        </w:rPr>
      </w:pPr>
      <w:r w:rsidRPr="000977F7">
        <w:rPr>
          <w:rFonts w:asciiTheme="majorHAnsi" w:hAnsiTheme="majorHAnsi"/>
          <w:sz w:val="20"/>
          <w:szCs w:val="20"/>
          <w:shd w:val="clear" w:color="auto" w:fill="FFFFFF"/>
        </w:rPr>
        <w:t>A1 внутрішній контроль виробництва з проведенням випробувань продукції під наглядом;</w:t>
      </w:r>
    </w:p>
    <w:p w14:paraId="4AE814DF" w14:textId="77777777" w:rsidR="0097612F" w:rsidRPr="000977F7" w:rsidRDefault="0097612F" w:rsidP="000977F7">
      <w:pPr>
        <w:pStyle w:val="af6"/>
        <w:tabs>
          <w:tab w:val="left" w:pos="284"/>
        </w:tabs>
        <w:spacing w:after="0"/>
        <w:ind w:left="170"/>
        <w:mirrorIndents/>
        <w:jc w:val="both"/>
        <w:rPr>
          <w:rStyle w:val="rvts23"/>
          <w:rFonts w:asciiTheme="majorHAnsi" w:hAnsiTheme="majorHAnsi"/>
          <w:sz w:val="20"/>
          <w:szCs w:val="20"/>
          <w:shd w:val="clear" w:color="auto" w:fill="FFFFFF"/>
        </w:rPr>
      </w:pPr>
      <w:r w:rsidRPr="000977F7">
        <w:rPr>
          <w:rFonts w:asciiTheme="majorHAnsi" w:hAnsiTheme="majorHAnsi"/>
          <w:sz w:val="20"/>
          <w:szCs w:val="20"/>
          <w:shd w:val="clear" w:color="auto" w:fill="FFFFFF"/>
        </w:rPr>
        <w:t>A2 внутрішній контроль виробництва з проведенням перевірок продукції під наглядом через певні інтервали часу;</w:t>
      </w:r>
    </w:p>
    <w:p w14:paraId="447582DB" w14:textId="77777777" w:rsidR="0097612F" w:rsidRPr="000977F7" w:rsidRDefault="0097612F" w:rsidP="000977F7">
      <w:pPr>
        <w:pStyle w:val="af6"/>
        <w:tabs>
          <w:tab w:val="left" w:pos="284"/>
        </w:tabs>
        <w:spacing w:after="0"/>
        <w:ind w:left="170"/>
        <w:mirrorIndents/>
        <w:jc w:val="both"/>
        <w:rPr>
          <w:rStyle w:val="rvts23"/>
          <w:rFonts w:asciiTheme="majorHAnsi" w:hAnsiTheme="majorHAnsi"/>
          <w:sz w:val="20"/>
          <w:szCs w:val="20"/>
          <w:shd w:val="clear" w:color="auto" w:fill="FFFFFF"/>
        </w:rPr>
      </w:pPr>
      <w:r w:rsidRPr="000977F7">
        <w:rPr>
          <w:rFonts w:asciiTheme="majorHAnsi" w:hAnsiTheme="majorHAnsi"/>
          <w:sz w:val="20"/>
          <w:szCs w:val="20"/>
          <w:shd w:val="clear" w:color="auto" w:fill="FFFFFF"/>
        </w:rPr>
        <w:t>B експертиза типу;</w:t>
      </w:r>
    </w:p>
    <w:p w14:paraId="6B29EF36" w14:textId="77777777" w:rsidR="0097612F" w:rsidRPr="000977F7" w:rsidRDefault="0097612F" w:rsidP="000977F7">
      <w:pPr>
        <w:pStyle w:val="af6"/>
        <w:tabs>
          <w:tab w:val="left" w:pos="284"/>
        </w:tabs>
        <w:spacing w:after="0"/>
        <w:ind w:left="170"/>
        <w:mirrorIndents/>
        <w:jc w:val="both"/>
        <w:rPr>
          <w:rStyle w:val="rvts23"/>
          <w:rFonts w:asciiTheme="majorHAnsi" w:hAnsiTheme="majorHAnsi"/>
          <w:sz w:val="20"/>
          <w:szCs w:val="20"/>
          <w:shd w:val="clear" w:color="auto" w:fill="FFFFFF"/>
        </w:rPr>
      </w:pPr>
      <w:r w:rsidRPr="000977F7">
        <w:rPr>
          <w:rFonts w:asciiTheme="majorHAnsi" w:hAnsiTheme="majorHAnsi"/>
          <w:sz w:val="20"/>
          <w:szCs w:val="20"/>
          <w:shd w:val="clear" w:color="auto" w:fill="FFFFFF"/>
        </w:rPr>
        <w:t>C відповідність типові на основі внутрішнього контролю виробництва;</w:t>
      </w:r>
    </w:p>
    <w:p w14:paraId="42CADAC9"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shd w:val="clear" w:color="auto" w:fill="FFFFFF"/>
        </w:rPr>
      </w:pPr>
      <w:r w:rsidRPr="000977F7">
        <w:rPr>
          <w:rFonts w:asciiTheme="majorHAnsi" w:hAnsiTheme="majorHAnsi"/>
          <w:sz w:val="20"/>
          <w:szCs w:val="20"/>
          <w:shd w:val="clear" w:color="auto" w:fill="FFFFFF"/>
        </w:rPr>
        <w:t>C1 відповідність типові на основі внутрішнього контролю виробництва з проведенням випробувань продукції під</w:t>
      </w:r>
      <w:r w:rsidRPr="000977F7">
        <w:rPr>
          <w:rFonts w:asciiTheme="majorHAnsi" w:hAnsiTheme="majorHAnsi"/>
          <w:b/>
          <w:bCs/>
          <w:sz w:val="20"/>
          <w:szCs w:val="20"/>
          <w:shd w:val="clear" w:color="auto" w:fill="FFFFFF"/>
        </w:rPr>
        <w:t xml:space="preserve"> </w:t>
      </w:r>
      <w:r w:rsidRPr="000977F7">
        <w:rPr>
          <w:rFonts w:asciiTheme="majorHAnsi" w:hAnsiTheme="majorHAnsi"/>
          <w:sz w:val="20"/>
          <w:szCs w:val="20"/>
          <w:shd w:val="clear" w:color="auto" w:fill="FFFFFF"/>
        </w:rPr>
        <w:t>наглядом;</w:t>
      </w:r>
    </w:p>
    <w:p w14:paraId="7B3827B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C2 відповідність типові на основі внутрішнього контролю виробництва з проведенням перевірок продукції під наглядом через певні інтервали часу;</w:t>
      </w:r>
    </w:p>
    <w:p w14:paraId="345851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D відповідність типові на основі забезпечення якості виробничого процесу;</w:t>
      </w:r>
    </w:p>
    <w:p w14:paraId="3B2940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D1 забезпечення якості виробничого процесу;</w:t>
      </w:r>
    </w:p>
    <w:p w14:paraId="3890C96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E відповідність типові на основі забезпечення якості продукції;</w:t>
      </w:r>
    </w:p>
    <w:p w14:paraId="258A7AD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E1 забезпечення якості контролю та проведення випробувань готової продукції);</w:t>
      </w:r>
    </w:p>
    <w:p w14:paraId="4C96389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F відповідність типові на основі перевірки продукції;</w:t>
      </w:r>
    </w:p>
    <w:p w14:paraId="3A06713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F1 відповідність на основі перевірки продукції;</w:t>
      </w:r>
    </w:p>
    <w:p w14:paraId="243336A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G відповідність на основі перевірки одиниці продукції;</w:t>
      </w:r>
    </w:p>
    <w:p w14:paraId="5BC5A54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H відповідність на основі цілковитого забезпечення якості;</w:t>
      </w:r>
    </w:p>
    <w:p w14:paraId="486256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H1 відповідність на основі цілковитого забезпечення якості з експертизою проекту</w:t>
      </w:r>
    </w:p>
    <w:p w14:paraId="7F8F18CF"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модулів оцінки відповідності</w:t>
      </w:r>
    </w:p>
    <w:bookmarkEnd w:id="128"/>
    <w:p w14:paraId="2FB7C1D3"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sz w:val="20"/>
          <w:szCs w:val="20"/>
        </w:rPr>
        <w:t>МОДУЛЬ</w:t>
      </w:r>
      <w:r w:rsidRPr="000977F7">
        <w:rPr>
          <w:rFonts w:asciiTheme="majorHAnsi" w:hAnsiTheme="majorHAnsi"/>
          <w:b/>
          <w:bCs/>
          <w:spacing w:val="-3"/>
          <w:sz w:val="20"/>
          <w:szCs w:val="20"/>
        </w:rPr>
        <w:t xml:space="preserve"> </w:t>
      </w:r>
      <w:r w:rsidRPr="000977F7">
        <w:rPr>
          <w:rFonts w:asciiTheme="majorHAnsi" w:hAnsiTheme="majorHAnsi"/>
          <w:b/>
          <w:bCs/>
          <w:sz w:val="20"/>
          <w:szCs w:val="20"/>
        </w:rPr>
        <w:t>ПРУЖНОСТІ</w:t>
      </w:r>
      <w:r w:rsidRPr="000977F7">
        <w:rPr>
          <w:rFonts w:asciiTheme="majorHAnsi" w:hAnsiTheme="majorHAnsi"/>
          <w:b/>
          <w:bCs/>
          <w:spacing w:val="-3"/>
          <w:sz w:val="20"/>
          <w:szCs w:val="20"/>
        </w:rPr>
        <w:t xml:space="preserve"> </w:t>
      </w:r>
      <w:r w:rsidRPr="000977F7">
        <w:rPr>
          <w:rFonts w:asciiTheme="majorHAnsi" w:hAnsiTheme="majorHAnsi"/>
          <w:b/>
          <w:bCs/>
          <w:sz w:val="20"/>
          <w:szCs w:val="20"/>
        </w:rPr>
        <w:t>ПІД ЧАС</w:t>
      </w:r>
      <w:r w:rsidRPr="000977F7">
        <w:rPr>
          <w:rFonts w:asciiTheme="majorHAnsi" w:hAnsiTheme="majorHAnsi"/>
          <w:b/>
          <w:bCs/>
          <w:spacing w:val="-2"/>
          <w:sz w:val="20"/>
          <w:szCs w:val="20"/>
        </w:rPr>
        <w:t xml:space="preserve"> </w:t>
      </w:r>
      <w:r w:rsidRPr="000977F7">
        <w:rPr>
          <w:rFonts w:asciiTheme="majorHAnsi" w:hAnsiTheme="majorHAnsi"/>
          <w:b/>
          <w:bCs/>
          <w:sz w:val="20"/>
          <w:szCs w:val="20"/>
        </w:rPr>
        <w:t>ЗСУВУ</w:t>
      </w:r>
      <w:r w:rsidRPr="000977F7">
        <w:rPr>
          <w:rFonts w:asciiTheme="majorHAnsi" w:hAnsiTheme="majorHAnsi"/>
          <w:b/>
          <w:bCs/>
          <w:spacing w:val="-2"/>
          <w:sz w:val="20"/>
          <w:szCs w:val="20"/>
        </w:rPr>
        <w:t xml:space="preserve"> </w:t>
      </w:r>
      <w:r w:rsidRPr="000977F7">
        <w:rPr>
          <w:rFonts w:asciiTheme="majorHAnsi" w:hAnsiTheme="majorHAnsi"/>
          <w:b/>
          <w:bCs/>
          <w:sz w:val="20"/>
          <w:szCs w:val="20"/>
        </w:rPr>
        <w:t>-</w:t>
      </w:r>
    </w:p>
    <w:p w14:paraId="379382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SHEAR</w:t>
      </w:r>
      <w:r w:rsidRPr="000977F7">
        <w:rPr>
          <w:rFonts w:asciiTheme="majorHAnsi" w:hAnsiTheme="majorHAnsi"/>
          <w:spacing w:val="-3"/>
          <w:sz w:val="20"/>
          <w:szCs w:val="20"/>
        </w:rPr>
        <w:t xml:space="preserve"> </w:t>
      </w:r>
      <w:r w:rsidRPr="000977F7">
        <w:rPr>
          <w:rFonts w:asciiTheme="majorHAnsi" w:hAnsiTheme="majorHAnsi"/>
          <w:sz w:val="20"/>
          <w:szCs w:val="20"/>
        </w:rPr>
        <w:t>MODULUS</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106750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w:t>
      </w:r>
      <w:r w:rsidRPr="000977F7">
        <w:rPr>
          <w:rFonts w:asciiTheme="majorHAnsi" w:hAnsiTheme="majorHAnsi"/>
          <w:spacing w:val="1"/>
          <w:sz w:val="20"/>
          <w:szCs w:val="20"/>
        </w:rPr>
        <w:t xml:space="preserve"> </w:t>
      </w:r>
      <w:r w:rsidRPr="000977F7">
        <w:rPr>
          <w:rFonts w:asciiTheme="majorHAnsi" w:hAnsiTheme="majorHAnsi"/>
          <w:sz w:val="20"/>
          <w:szCs w:val="20"/>
        </w:rPr>
        <w:t>дотичного</w:t>
      </w:r>
      <w:r w:rsidRPr="000977F7">
        <w:rPr>
          <w:rFonts w:asciiTheme="majorHAnsi" w:hAnsiTheme="majorHAnsi"/>
          <w:spacing w:val="1"/>
          <w:sz w:val="20"/>
          <w:szCs w:val="20"/>
        </w:rPr>
        <w:t xml:space="preserve"> </w:t>
      </w:r>
      <w:r w:rsidRPr="000977F7">
        <w:rPr>
          <w:rFonts w:asciiTheme="majorHAnsi" w:hAnsiTheme="majorHAnsi"/>
          <w:sz w:val="20"/>
          <w:szCs w:val="20"/>
        </w:rPr>
        <w:t>напруження</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відповідної</w:t>
      </w:r>
      <w:r w:rsidRPr="000977F7">
        <w:rPr>
          <w:rFonts w:asciiTheme="majorHAnsi" w:hAnsiTheme="majorHAnsi"/>
          <w:spacing w:val="1"/>
          <w:sz w:val="20"/>
          <w:szCs w:val="20"/>
        </w:rPr>
        <w:t xml:space="preserve"> </w:t>
      </w:r>
      <w:r w:rsidRPr="000977F7">
        <w:rPr>
          <w:rFonts w:asciiTheme="majorHAnsi" w:hAnsiTheme="majorHAnsi"/>
          <w:sz w:val="20"/>
          <w:szCs w:val="20"/>
        </w:rPr>
        <w:t>кутової деформації за чистого зсуву до границі пропорційності</w:t>
      </w:r>
    </w:p>
    <w:p w14:paraId="5FC4B65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2825 - 94</w:t>
      </w:r>
    </w:p>
    <w:p w14:paraId="1894A3F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МОДУЛЬ</w:t>
      </w:r>
      <w:r w:rsidRPr="000977F7">
        <w:rPr>
          <w:color w:val="auto"/>
          <w:spacing w:val="-3"/>
          <w:sz w:val="20"/>
          <w:szCs w:val="20"/>
        </w:rPr>
        <w:t xml:space="preserve"> </w:t>
      </w:r>
      <w:r w:rsidRPr="000977F7">
        <w:rPr>
          <w:color w:val="auto"/>
          <w:sz w:val="20"/>
          <w:szCs w:val="20"/>
        </w:rPr>
        <w:t>ПРУЖНОСТІ</w:t>
      </w:r>
      <w:r w:rsidRPr="000977F7">
        <w:rPr>
          <w:color w:val="auto"/>
          <w:spacing w:val="-3"/>
          <w:sz w:val="20"/>
          <w:szCs w:val="20"/>
        </w:rPr>
        <w:t xml:space="preserve"> </w:t>
      </w:r>
      <w:r w:rsidRPr="000977F7">
        <w:rPr>
          <w:color w:val="auto"/>
          <w:sz w:val="20"/>
          <w:szCs w:val="20"/>
        </w:rPr>
        <w:t>ПІД ЧАС</w:t>
      </w:r>
      <w:r w:rsidRPr="000977F7">
        <w:rPr>
          <w:color w:val="auto"/>
          <w:spacing w:val="-2"/>
          <w:sz w:val="20"/>
          <w:szCs w:val="20"/>
        </w:rPr>
        <w:t xml:space="preserve"> </w:t>
      </w:r>
      <w:r w:rsidRPr="000977F7">
        <w:rPr>
          <w:color w:val="auto"/>
          <w:sz w:val="20"/>
          <w:szCs w:val="20"/>
        </w:rPr>
        <w:t>РОЗТЯГУ</w:t>
      </w:r>
      <w:r w:rsidRPr="000977F7">
        <w:rPr>
          <w:color w:val="auto"/>
          <w:spacing w:val="-1"/>
          <w:sz w:val="20"/>
          <w:szCs w:val="20"/>
        </w:rPr>
        <w:t xml:space="preserve"> </w:t>
      </w:r>
      <w:r w:rsidRPr="000977F7">
        <w:rPr>
          <w:color w:val="auto"/>
          <w:sz w:val="20"/>
          <w:szCs w:val="20"/>
        </w:rPr>
        <w:t>-</w:t>
      </w:r>
    </w:p>
    <w:p w14:paraId="19630B9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ELASTICITY</w:t>
      </w:r>
      <w:r w:rsidRPr="004D2D14">
        <w:rPr>
          <w:rFonts w:asciiTheme="majorHAnsi" w:hAnsiTheme="majorHAnsi"/>
          <w:spacing w:val="-4"/>
          <w:sz w:val="20"/>
          <w:szCs w:val="20"/>
          <w:lang w:val="uk-UA"/>
        </w:rPr>
        <w:t xml:space="preserve"> </w:t>
      </w:r>
      <w:r w:rsidRPr="000977F7">
        <w:rPr>
          <w:rFonts w:asciiTheme="majorHAnsi" w:hAnsiTheme="majorHAnsi"/>
          <w:sz w:val="20"/>
          <w:szCs w:val="20"/>
        </w:rPr>
        <w:t>MODULUS</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07C0063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Відношення нормального напруження до відповідної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лінійної деформації за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лінійного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напруженого</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стану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границі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пропорційності</w:t>
      </w:r>
    </w:p>
    <w:p w14:paraId="6CBBDAA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50"/>
          <w:sz w:val="20"/>
          <w:szCs w:val="20"/>
          <w:lang w:val="en-US"/>
        </w:rPr>
        <w:t xml:space="preserve"> </w:t>
      </w:r>
      <w:r w:rsidRPr="004D2D14">
        <w:rPr>
          <w:rFonts w:asciiTheme="majorHAnsi" w:hAnsiTheme="majorHAnsi"/>
          <w:i/>
          <w:sz w:val="20"/>
          <w:szCs w:val="20"/>
          <w:lang w:val="en-US"/>
        </w:rPr>
        <w:t>2825 - 94</w:t>
      </w:r>
    </w:p>
    <w:p w14:paraId="7DBF1A1E" w14:textId="77777777" w:rsidR="0097612F" w:rsidRPr="004D2D14" w:rsidRDefault="0097612F" w:rsidP="000977F7">
      <w:pPr>
        <w:tabs>
          <w:tab w:val="left" w:pos="284"/>
        </w:tabs>
        <w:spacing w:after="0" w:line="240" w:lineRule="auto"/>
        <w:ind w:left="170"/>
        <w:mirrorIndents/>
        <w:jc w:val="both"/>
        <w:rPr>
          <w:rFonts w:asciiTheme="majorHAnsi" w:hAnsiTheme="majorHAnsi"/>
          <w:spacing w:val="1"/>
          <w:sz w:val="20"/>
          <w:szCs w:val="20"/>
          <w:lang w:val="en-US"/>
        </w:rPr>
      </w:pPr>
      <w:r w:rsidRPr="000977F7">
        <w:rPr>
          <w:rFonts w:asciiTheme="majorHAnsi" w:hAnsiTheme="majorHAnsi"/>
          <w:b/>
          <w:sz w:val="20"/>
          <w:szCs w:val="20"/>
        </w:rPr>
        <w:t>МОМЕНТ</w:t>
      </w:r>
      <w:r w:rsidRPr="004D2D14">
        <w:rPr>
          <w:rFonts w:asciiTheme="majorHAnsi" w:hAnsiTheme="majorHAnsi"/>
          <w:b/>
          <w:sz w:val="20"/>
          <w:szCs w:val="20"/>
          <w:lang w:val="en-US"/>
        </w:rPr>
        <w:t xml:space="preserve"> </w:t>
      </w:r>
      <w:r w:rsidRPr="000977F7">
        <w:rPr>
          <w:rFonts w:asciiTheme="majorHAnsi" w:hAnsiTheme="majorHAnsi"/>
          <w:b/>
          <w:sz w:val="20"/>
          <w:szCs w:val="20"/>
        </w:rPr>
        <w:t>ВІДМОВИ</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p>
    <w:p w14:paraId="2759E39E"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INSTANT</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3E7DDB7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Момент переходу об’єкта із працездатного стану до</w:t>
      </w:r>
      <w:r w:rsidRPr="000977F7">
        <w:rPr>
          <w:rFonts w:asciiTheme="majorHAnsi" w:hAnsiTheme="majorHAnsi"/>
          <w:spacing w:val="1"/>
          <w:sz w:val="20"/>
          <w:szCs w:val="20"/>
        </w:rPr>
        <w:t xml:space="preserve"> </w:t>
      </w:r>
      <w:r w:rsidRPr="000977F7">
        <w:rPr>
          <w:rFonts w:asciiTheme="majorHAnsi" w:hAnsiTheme="majorHAnsi"/>
          <w:sz w:val="20"/>
          <w:szCs w:val="20"/>
        </w:rPr>
        <w:t>непрацездатного</w:t>
      </w:r>
    </w:p>
    <w:p w14:paraId="7D5977D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МОМЕНТ ЗДІЙСНЕННЯ ЕКСПОРТНОГО (ІМ</w:t>
      </w:r>
      <w:r w:rsidRPr="000977F7">
        <w:rPr>
          <w:color w:val="auto"/>
          <w:spacing w:val="-47"/>
          <w:sz w:val="20"/>
          <w:szCs w:val="20"/>
        </w:rPr>
        <w:t xml:space="preserve"> </w:t>
      </w:r>
      <w:r w:rsidRPr="000977F7">
        <w:rPr>
          <w:color w:val="auto"/>
          <w:sz w:val="20"/>
          <w:szCs w:val="20"/>
        </w:rPr>
        <w:t>ПОРТНОГО)</w:t>
      </w:r>
      <w:r w:rsidRPr="000977F7">
        <w:rPr>
          <w:color w:val="auto"/>
          <w:spacing w:val="-1"/>
          <w:sz w:val="20"/>
          <w:szCs w:val="20"/>
        </w:rPr>
        <w:t xml:space="preserve"> </w:t>
      </w:r>
      <w:r w:rsidRPr="000977F7">
        <w:rPr>
          <w:color w:val="auto"/>
          <w:sz w:val="20"/>
          <w:szCs w:val="20"/>
        </w:rPr>
        <w:t>КОНТРАКТУ</w:t>
      </w:r>
      <w:r w:rsidRPr="000977F7">
        <w:rPr>
          <w:color w:val="auto"/>
          <w:spacing w:val="4"/>
          <w:sz w:val="20"/>
          <w:szCs w:val="20"/>
        </w:rPr>
        <w:t xml:space="preserve"> </w:t>
      </w:r>
      <w:r w:rsidRPr="000977F7">
        <w:rPr>
          <w:color w:val="auto"/>
          <w:sz w:val="20"/>
          <w:szCs w:val="20"/>
        </w:rPr>
        <w:t>–</w:t>
      </w:r>
    </w:p>
    <w:p w14:paraId="6C57468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Момент, на який здійснено всі обов’язки за зазначеним контрактом</w:t>
      </w:r>
    </w:p>
    <w:p w14:paraId="6B387CC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3293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117EE3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МОМЕНТ ЗДІЙСНЕННЯ ЕКСПОРТУ</w:t>
      </w:r>
      <w:r w:rsidRPr="000977F7">
        <w:rPr>
          <w:color w:val="auto"/>
          <w:spacing w:val="-47"/>
          <w:sz w:val="20"/>
          <w:szCs w:val="20"/>
        </w:rPr>
        <w:t xml:space="preserve"> </w:t>
      </w:r>
      <w:r w:rsidRPr="000977F7">
        <w:rPr>
          <w:color w:val="auto"/>
          <w:sz w:val="20"/>
          <w:szCs w:val="20"/>
        </w:rPr>
        <w:t>(ІМПОРТУ)</w:t>
      </w:r>
      <w:r w:rsidRPr="000977F7">
        <w:rPr>
          <w:color w:val="auto"/>
          <w:spacing w:val="1"/>
          <w:sz w:val="20"/>
          <w:szCs w:val="20"/>
        </w:rPr>
        <w:t xml:space="preserve"> </w:t>
      </w:r>
      <w:r w:rsidRPr="000977F7">
        <w:rPr>
          <w:color w:val="auto"/>
          <w:sz w:val="20"/>
          <w:szCs w:val="20"/>
        </w:rPr>
        <w:t>–</w:t>
      </w:r>
    </w:p>
    <w:p w14:paraId="3E1B24BA"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Момент</w:t>
      </w:r>
      <w:r w:rsidRPr="000977F7">
        <w:rPr>
          <w:rFonts w:asciiTheme="majorHAnsi" w:hAnsiTheme="majorHAnsi"/>
          <w:spacing w:val="6"/>
          <w:sz w:val="20"/>
          <w:szCs w:val="20"/>
        </w:rPr>
        <w:t xml:space="preserve"> </w:t>
      </w:r>
      <w:r w:rsidRPr="000977F7">
        <w:rPr>
          <w:rFonts w:asciiTheme="majorHAnsi" w:hAnsiTheme="majorHAnsi"/>
          <w:sz w:val="20"/>
          <w:szCs w:val="20"/>
        </w:rPr>
        <w:t>перетину</w:t>
      </w:r>
      <w:r w:rsidRPr="000977F7">
        <w:rPr>
          <w:rFonts w:asciiTheme="majorHAnsi" w:hAnsiTheme="majorHAnsi"/>
          <w:spacing w:val="4"/>
          <w:sz w:val="20"/>
          <w:szCs w:val="20"/>
        </w:rPr>
        <w:t xml:space="preserve"> </w:t>
      </w:r>
      <w:r w:rsidRPr="000977F7">
        <w:rPr>
          <w:rFonts w:asciiTheme="majorHAnsi" w:hAnsiTheme="majorHAnsi"/>
          <w:sz w:val="20"/>
          <w:szCs w:val="20"/>
        </w:rPr>
        <w:t>товаром</w:t>
      </w:r>
      <w:r w:rsidRPr="000977F7">
        <w:rPr>
          <w:rFonts w:asciiTheme="majorHAnsi" w:hAnsiTheme="majorHAnsi"/>
          <w:spacing w:val="7"/>
          <w:sz w:val="20"/>
          <w:szCs w:val="20"/>
        </w:rPr>
        <w:t xml:space="preserve"> </w:t>
      </w:r>
      <w:r w:rsidRPr="000977F7">
        <w:rPr>
          <w:rFonts w:asciiTheme="majorHAnsi" w:hAnsiTheme="majorHAnsi"/>
          <w:sz w:val="20"/>
          <w:szCs w:val="20"/>
        </w:rPr>
        <w:t>митного</w:t>
      </w:r>
      <w:r w:rsidRPr="000977F7">
        <w:rPr>
          <w:rFonts w:asciiTheme="majorHAnsi" w:hAnsiTheme="majorHAnsi"/>
          <w:spacing w:val="8"/>
          <w:sz w:val="20"/>
          <w:szCs w:val="20"/>
        </w:rPr>
        <w:t xml:space="preserve"> </w:t>
      </w:r>
      <w:r w:rsidRPr="000977F7">
        <w:rPr>
          <w:rFonts w:asciiTheme="majorHAnsi" w:hAnsiTheme="majorHAnsi"/>
          <w:sz w:val="20"/>
          <w:szCs w:val="20"/>
        </w:rPr>
        <w:t>кордону</w:t>
      </w:r>
      <w:r w:rsidRPr="000977F7">
        <w:rPr>
          <w:rFonts w:asciiTheme="majorHAnsi" w:hAnsiTheme="majorHAnsi"/>
          <w:spacing w:val="4"/>
          <w:sz w:val="20"/>
          <w:szCs w:val="20"/>
        </w:rPr>
        <w:t xml:space="preserve"> </w:t>
      </w:r>
      <w:r w:rsidRPr="000977F7">
        <w:rPr>
          <w:rFonts w:asciiTheme="majorHAnsi" w:hAnsiTheme="majorHAnsi"/>
          <w:sz w:val="20"/>
          <w:szCs w:val="20"/>
        </w:rPr>
        <w:t>або</w:t>
      </w:r>
      <w:r w:rsidRPr="000977F7">
        <w:rPr>
          <w:rFonts w:asciiTheme="majorHAnsi" w:hAnsiTheme="majorHAnsi"/>
          <w:spacing w:val="7"/>
          <w:sz w:val="20"/>
          <w:szCs w:val="20"/>
        </w:rPr>
        <w:t xml:space="preserve"> </w:t>
      </w:r>
      <w:r w:rsidRPr="000977F7">
        <w:rPr>
          <w:rFonts w:asciiTheme="majorHAnsi" w:hAnsiTheme="majorHAnsi"/>
          <w:sz w:val="20"/>
          <w:szCs w:val="20"/>
        </w:rPr>
        <w:t>пере</w:t>
      </w:r>
      <w:r w:rsidRPr="000977F7">
        <w:rPr>
          <w:rFonts w:asciiTheme="majorHAnsi" w:hAnsiTheme="majorHAnsi"/>
          <w:spacing w:val="-47"/>
          <w:sz w:val="20"/>
          <w:szCs w:val="20"/>
        </w:rPr>
        <w:t xml:space="preserve"> </w:t>
      </w:r>
      <w:r w:rsidRPr="000977F7">
        <w:rPr>
          <w:rFonts w:asciiTheme="majorHAnsi" w:hAnsiTheme="majorHAnsi"/>
          <w:sz w:val="20"/>
          <w:szCs w:val="20"/>
        </w:rPr>
        <w:t>ходу</w:t>
      </w:r>
      <w:r w:rsidRPr="000977F7">
        <w:rPr>
          <w:rFonts w:asciiTheme="majorHAnsi" w:hAnsiTheme="majorHAnsi"/>
          <w:spacing w:val="28"/>
          <w:sz w:val="20"/>
          <w:szCs w:val="20"/>
        </w:rPr>
        <w:t xml:space="preserve"> </w:t>
      </w:r>
      <w:r w:rsidRPr="000977F7">
        <w:rPr>
          <w:rFonts w:asciiTheme="majorHAnsi" w:hAnsiTheme="majorHAnsi"/>
          <w:sz w:val="20"/>
          <w:szCs w:val="20"/>
        </w:rPr>
        <w:t>права</w:t>
      </w:r>
      <w:r w:rsidRPr="000977F7">
        <w:rPr>
          <w:rFonts w:asciiTheme="majorHAnsi" w:hAnsiTheme="majorHAnsi"/>
          <w:spacing w:val="29"/>
          <w:sz w:val="20"/>
          <w:szCs w:val="20"/>
        </w:rPr>
        <w:t xml:space="preserve"> </w:t>
      </w:r>
      <w:r w:rsidRPr="000977F7">
        <w:rPr>
          <w:rFonts w:asciiTheme="majorHAnsi" w:hAnsiTheme="majorHAnsi"/>
          <w:sz w:val="20"/>
          <w:szCs w:val="20"/>
        </w:rPr>
        <w:t>власності</w:t>
      </w:r>
      <w:r w:rsidRPr="000977F7">
        <w:rPr>
          <w:rFonts w:asciiTheme="majorHAnsi" w:hAnsiTheme="majorHAnsi"/>
          <w:spacing w:val="28"/>
          <w:sz w:val="20"/>
          <w:szCs w:val="20"/>
        </w:rPr>
        <w:t xml:space="preserve"> </w:t>
      </w:r>
      <w:r w:rsidRPr="000977F7">
        <w:rPr>
          <w:rFonts w:asciiTheme="majorHAnsi" w:hAnsiTheme="majorHAnsi"/>
          <w:sz w:val="20"/>
          <w:szCs w:val="20"/>
        </w:rPr>
        <w:t>на</w:t>
      </w:r>
      <w:r w:rsidRPr="000977F7">
        <w:rPr>
          <w:rFonts w:asciiTheme="majorHAnsi" w:hAnsiTheme="majorHAnsi"/>
          <w:spacing w:val="29"/>
          <w:sz w:val="20"/>
          <w:szCs w:val="20"/>
        </w:rPr>
        <w:t xml:space="preserve"> </w:t>
      </w:r>
      <w:r w:rsidRPr="000977F7">
        <w:rPr>
          <w:rFonts w:asciiTheme="majorHAnsi" w:hAnsiTheme="majorHAnsi"/>
          <w:sz w:val="20"/>
          <w:szCs w:val="20"/>
        </w:rPr>
        <w:t>зазначений</w:t>
      </w:r>
      <w:r w:rsidRPr="000977F7">
        <w:rPr>
          <w:rFonts w:asciiTheme="majorHAnsi" w:hAnsiTheme="majorHAnsi"/>
          <w:spacing w:val="28"/>
          <w:sz w:val="20"/>
          <w:szCs w:val="20"/>
        </w:rPr>
        <w:t xml:space="preserve"> </w:t>
      </w:r>
      <w:r w:rsidRPr="000977F7">
        <w:rPr>
          <w:rFonts w:asciiTheme="majorHAnsi" w:hAnsiTheme="majorHAnsi"/>
          <w:sz w:val="20"/>
          <w:szCs w:val="20"/>
        </w:rPr>
        <w:t>товар,</w:t>
      </w:r>
      <w:r w:rsidRPr="000977F7">
        <w:rPr>
          <w:rFonts w:asciiTheme="majorHAnsi" w:hAnsiTheme="majorHAnsi"/>
          <w:spacing w:val="29"/>
          <w:sz w:val="20"/>
          <w:szCs w:val="20"/>
        </w:rPr>
        <w:t xml:space="preserve"> </w:t>
      </w:r>
      <w:r w:rsidRPr="000977F7">
        <w:rPr>
          <w:rFonts w:asciiTheme="majorHAnsi" w:hAnsiTheme="majorHAnsi"/>
          <w:sz w:val="20"/>
          <w:szCs w:val="20"/>
        </w:rPr>
        <w:t>експорто</w:t>
      </w:r>
      <w:r w:rsidRPr="000977F7">
        <w:rPr>
          <w:rFonts w:asciiTheme="majorHAnsi" w:hAnsiTheme="majorHAnsi"/>
          <w:spacing w:val="-47"/>
          <w:sz w:val="20"/>
          <w:szCs w:val="20"/>
        </w:rPr>
        <w:t xml:space="preserve"> </w:t>
      </w:r>
      <w:r w:rsidRPr="000977F7">
        <w:rPr>
          <w:rFonts w:asciiTheme="majorHAnsi" w:hAnsiTheme="majorHAnsi"/>
          <w:sz w:val="20"/>
          <w:szCs w:val="20"/>
        </w:rPr>
        <w:t>ваний чи імпортований, від продавця до покупця</w:t>
      </w:r>
      <w:r w:rsidRPr="000977F7">
        <w:rPr>
          <w:rFonts w:asciiTheme="majorHAnsi" w:hAnsiTheme="majorHAnsi"/>
          <w:spacing w:val="1"/>
          <w:sz w:val="20"/>
          <w:szCs w:val="20"/>
        </w:rPr>
        <w:t xml:space="preserve"> </w:t>
      </w:r>
    </w:p>
    <w:p w14:paraId="325CBE93"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B07E06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
          <w:bCs/>
          <w:sz w:val="20"/>
          <w:szCs w:val="20"/>
        </w:rPr>
        <w:t>МОНІТОРИНГ</w:t>
      </w:r>
      <w:r w:rsidRPr="000977F7">
        <w:rPr>
          <w:rFonts w:asciiTheme="majorHAnsi" w:hAnsiTheme="majorHAnsi"/>
          <w:b/>
          <w:bCs/>
          <w:spacing w:val="-2"/>
          <w:sz w:val="20"/>
          <w:szCs w:val="20"/>
        </w:rPr>
        <w:t xml:space="preserve"> </w:t>
      </w:r>
      <w:r w:rsidRPr="000977F7">
        <w:rPr>
          <w:rFonts w:asciiTheme="majorHAnsi" w:hAnsiTheme="majorHAnsi"/>
          <w:sz w:val="20"/>
          <w:szCs w:val="20"/>
        </w:rPr>
        <w:t>–</w:t>
      </w:r>
    </w:p>
    <w:p w14:paraId="683972F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MONITORING</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EFC3E8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Визначання</w:t>
      </w:r>
      <w:r w:rsidRPr="000977F7">
        <w:rPr>
          <w:rFonts w:asciiTheme="majorHAnsi" w:hAnsiTheme="majorHAnsi"/>
          <w:spacing w:val="7"/>
          <w:sz w:val="20"/>
          <w:szCs w:val="20"/>
        </w:rPr>
        <w:t xml:space="preserve"> </w:t>
      </w:r>
      <w:r w:rsidRPr="000977F7">
        <w:rPr>
          <w:rFonts w:asciiTheme="majorHAnsi" w:hAnsiTheme="majorHAnsi"/>
          <w:sz w:val="20"/>
          <w:szCs w:val="20"/>
        </w:rPr>
        <w:t>статусу</w:t>
      </w:r>
      <w:r w:rsidRPr="000977F7">
        <w:rPr>
          <w:rFonts w:asciiTheme="majorHAnsi" w:hAnsiTheme="majorHAnsi"/>
          <w:spacing w:val="5"/>
          <w:sz w:val="20"/>
          <w:szCs w:val="20"/>
        </w:rPr>
        <w:t xml:space="preserve"> </w:t>
      </w:r>
      <w:r w:rsidRPr="000977F7">
        <w:rPr>
          <w:rFonts w:asciiTheme="majorHAnsi" w:hAnsiTheme="majorHAnsi"/>
          <w:sz w:val="20"/>
          <w:szCs w:val="20"/>
        </w:rPr>
        <w:t>системи,</w:t>
      </w:r>
      <w:r w:rsidRPr="000977F7">
        <w:rPr>
          <w:rFonts w:asciiTheme="majorHAnsi" w:hAnsiTheme="majorHAnsi"/>
          <w:spacing w:val="9"/>
          <w:sz w:val="20"/>
          <w:szCs w:val="20"/>
        </w:rPr>
        <w:t xml:space="preserve"> </w:t>
      </w:r>
      <w:r w:rsidRPr="000977F7">
        <w:rPr>
          <w:rFonts w:asciiTheme="majorHAnsi" w:hAnsiTheme="majorHAnsi"/>
          <w:sz w:val="20"/>
          <w:szCs w:val="20"/>
        </w:rPr>
        <w:t>процесу,</w:t>
      </w:r>
      <w:r w:rsidRPr="000977F7">
        <w:rPr>
          <w:rFonts w:asciiTheme="majorHAnsi" w:hAnsiTheme="majorHAnsi"/>
          <w:spacing w:val="9"/>
          <w:sz w:val="20"/>
          <w:szCs w:val="20"/>
        </w:rPr>
        <w:t xml:space="preserve"> </w:t>
      </w:r>
      <w:r w:rsidRPr="000977F7">
        <w:rPr>
          <w:rFonts w:asciiTheme="majorHAnsi" w:hAnsiTheme="majorHAnsi"/>
          <w:sz w:val="20"/>
          <w:szCs w:val="20"/>
        </w:rPr>
        <w:t>продукції,</w:t>
      </w:r>
      <w:r w:rsidRPr="000977F7">
        <w:rPr>
          <w:rFonts w:asciiTheme="majorHAnsi" w:hAnsiTheme="majorHAnsi"/>
          <w:spacing w:val="8"/>
          <w:sz w:val="20"/>
          <w:szCs w:val="20"/>
        </w:rPr>
        <w:t xml:space="preserve"> </w:t>
      </w:r>
      <w:r w:rsidRPr="000977F7">
        <w:rPr>
          <w:rFonts w:asciiTheme="majorHAnsi" w:hAnsiTheme="majorHAnsi"/>
          <w:sz w:val="20"/>
          <w:szCs w:val="20"/>
        </w:rPr>
        <w:t>послуги</w:t>
      </w:r>
      <w:r w:rsidRPr="000977F7">
        <w:rPr>
          <w:rFonts w:asciiTheme="majorHAnsi" w:hAnsiTheme="majorHAnsi"/>
          <w:spacing w:val="-2"/>
          <w:sz w:val="20"/>
          <w:szCs w:val="20"/>
        </w:rPr>
        <w:t xml:space="preserve"> </w:t>
      </w:r>
      <w:r w:rsidRPr="000977F7">
        <w:rPr>
          <w:rFonts w:asciiTheme="majorHAnsi" w:hAnsiTheme="majorHAnsi"/>
          <w:sz w:val="20"/>
          <w:szCs w:val="20"/>
        </w:rPr>
        <w:t>чи роботи.</w:t>
      </w:r>
    </w:p>
    <w:p w14:paraId="2DF6AD5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1.Для</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статусу може бути потрібно перевіряти, наглядати чи критично спостерігати.</w:t>
      </w:r>
      <w:r w:rsidRPr="000977F7">
        <w:rPr>
          <w:rFonts w:asciiTheme="majorHAnsi" w:hAnsiTheme="majorHAnsi"/>
          <w:spacing w:val="1"/>
          <w:sz w:val="20"/>
          <w:szCs w:val="20"/>
        </w:rPr>
        <w:t xml:space="preserve"> </w:t>
      </w:r>
      <w:r w:rsidRPr="000977F7">
        <w:rPr>
          <w:rFonts w:asciiTheme="majorHAnsi" w:hAnsiTheme="majorHAnsi"/>
          <w:sz w:val="20"/>
          <w:szCs w:val="20"/>
        </w:rPr>
        <w:t>Примітка</w:t>
      </w:r>
      <w:r w:rsidRPr="000977F7">
        <w:rPr>
          <w:rFonts w:asciiTheme="majorHAnsi" w:hAnsiTheme="majorHAnsi"/>
          <w:spacing w:val="3"/>
          <w:sz w:val="20"/>
          <w:szCs w:val="20"/>
        </w:rPr>
        <w:t xml:space="preserve"> </w:t>
      </w:r>
      <w:r w:rsidRPr="000977F7">
        <w:rPr>
          <w:rFonts w:asciiTheme="majorHAnsi" w:hAnsiTheme="majorHAnsi"/>
          <w:sz w:val="20"/>
          <w:szCs w:val="20"/>
        </w:rPr>
        <w:t>2.Зазвичай,</w:t>
      </w:r>
      <w:r w:rsidRPr="000977F7">
        <w:rPr>
          <w:rFonts w:asciiTheme="majorHAnsi" w:hAnsiTheme="majorHAnsi"/>
          <w:spacing w:val="4"/>
          <w:sz w:val="20"/>
          <w:szCs w:val="20"/>
        </w:rPr>
        <w:t xml:space="preserve"> </w:t>
      </w:r>
      <w:r w:rsidRPr="000977F7">
        <w:rPr>
          <w:rFonts w:asciiTheme="majorHAnsi" w:hAnsiTheme="majorHAnsi"/>
          <w:sz w:val="20"/>
          <w:szCs w:val="20"/>
        </w:rPr>
        <w:t>моніторинг</w:t>
      </w:r>
      <w:r w:rsidRPr="000977F7">
        <w:rPr>
          <w:rFonts w:asciiTheme="majorHAnsi" w:hAnsiTheme="majorHAnsi"/>
          <w:spacing w:val="2"/>
          <w:sz w:val="20"/>
          <w:szCs w:val="20"/>
        </w:rPr>
        <w:t xml:space="preserve"> </w:t>
      </w:r>
      <w:r w:rsidRPr="000977F7">
        <w:rPr>
          <w:rFonts w:asciiTheme="majorHAnsi" w:hAnsiTheme="majorHAnsi"/>
          <w:sz w:val="20"/>
          <w:szCs w:val="20"/>
        </w:rPr>
        <w:t>–</w:t>
      </w:r>
      <w:r w:rsidRPr="000977F7">
        <w:rPr>
          <w:rFonts w:asciiTheme="majorHAnsi" w:hAnsiTheme="majorHAnsi"/>
          <w:spacing w:val="5"/>
          <w:sz w:val="20"/>
          <w:szCs w:val="20"/>
        </w:rPr>
        <w:t xml:space="preserve"> </w:t>
      </w:r>
      <w:r w:rsidRPr="000977F7">
        <w:rPr>
          <w:rFonts w:asciiTheme="majorHAnsi" w:hAnsiTheme="majorHAnsi"/>
          <w:sz w:val="20"/>
          <w:szCs w:val="20"/>
        </w:rPr>
        <w:t>це</w:t>
      </w:r>
      <w:r w:rsidRPr="000977F7">
        <w:rPr>
          <w:rFonts w:asciiTheme="majorHAnsi" w:hAnsiTheme="majorHAnsi"/>
          <w:spacing w:val="2"/>
          <w:sz w:val="20"/>
          <w:szCs w:val="20"/>
        </w:rPr>
        <w:t xml:space="preserve"> </w:t>
      </w:r>
      <w:r w:rsidRPr="000977F7">
        <w:rPr>
          <w:rFonts w:asciiTheme="majorHAnsi" w:hAnsiTheme="majorHAnsi"/>
          <w:sz w:val="20"/>
          <w:szCs w:val="20"/>
        </w:rPr>
        <w:t>визначання</w:t>
      </w:r>
      <w:r w:rsidRPr="000977F7">
        <w:rPr>
          <w:rFonts w:asciiTheme="majorHAnsi" w:hAnsiTheme="majorHAnsi"/>
          <w:spacing w:val="2"/>
          <w:sz w:val="20"/>
          <w:szCs w:val="20"/>
        </w:rPr>
        <w:t xml:space="preserve"> </w:t>
      </w:r>
      <w:r w:rsidRPr="000977F7">
        <w:rPr>
          <w:rFonts w:asciiTheme="majorHAnsi" w:hAnsiTheme="majorHAnsi"/>
          <w:sz w:val="20"/>
          <w:szCs w:val="20"/>
        </w:rPr>
        <w:t>статусу</w:t>
      </w:r>
      <w:r w:rsidRPr="000977F7">
        <w:rPr>
          <w:rFonts w:asciiTheme="majorHAnsi" w:hAnsiTheme="majorHAnsi"/>
          <w:spacing w:val="10"/>
          <w:sz w:val="20"/>
          <w:szCs w:val="20"/>
        </w:rPr>
        <w:t xml:space="preserve"> </w:t>
      </w:r>
      <w:r w:rsidRPr="000977F7">
        <w:rPr>
          <w:rFonts w:asciiTheme="majorHAnsi" w:hAnsiTheme="majorHAnsi"/>
          <w:sz w:val="20"/>
          <w:szCs w:val="20"/>
        </w:rPr>
        <w:t>об’єкта,</w:t>
      </w:r>
      <w:r w:rsidRPr="000977F7">
        <w:rPr>
          <w:rFonts w:asciiTheme="majorHAnsi" w:hAnsiTheme="majorHAnsi"/>
          <w:spacing w:val="12"/>
          <w:sz w:val="20"/>
          <w:szCs w:val="20"/>
        </w:rPr>
        <w:t xml:space="preserve"> </w:t>
      </w:r>
      <w:r w:rsidRPr="000977F7">
        <w:rPr>
          <w:rFonts w:asciiTheme="majorHAnsi" w:hAnsiTheme="majorHAnsi"/>
          <w:sz w:val="20"/>
          <w:szCs w:val="20"/>
        </w:rPr>
        <w:t>здійснюване</w:t>
      </w:r>
      <w:r w:rsidRPr="000977F7">
        <w:rPr>
          <w:rFonts w:asciiTheme="majorHAnsi" w:hAnsiTheme="majorHAnsi"/>
          <w:spacing w:val="15"/>
          <w:sz w:val="20"/>
          <w:szCs w:val="20"/>
        </w:rPr>
        <w:t xml:space="preserve"> </w:t>
      </w:r>
      <w:r w:rsidRPr="000977F7">
        <w:rPr>
          <w:rFonts w:asciiTheme="majorHAnsi" w:hAnsiTheme="majorHAnsi"/>
          <w:sz w:val="20"/>
          <w:szCs w:val="20"/>
        </w:rPr>
        <w:t>на</w:t>
      </w:r>
      <w:r w:rsidRPr="000977F7">
        <w:rPr>
          <w:rFonts w:asciiTheme="majorHAnsi" w:hAnsiTheme="majorHAnsi"/>
          <w:spacing w:val="13"/>
          <w:sz w:val="20"/>
          <w:szCs w:val="20"/>
        </w:rPr>
        <w:t xml:space="preserve"> </w:t>
      </w:r>
      <w:r w:rsidRPr="000977F7">
        <w:rPr>
          <w:rFonts w:asciiTheme="majorHAnsi" w:hAnsiTheme="majorHAnsi"/>
          <w:sz w:val="20"/>
          <w:szCs w:val="20"/>
        </w:rPr>
        <w:t>різних</w:t>
      </w:r>
      <w:r w:rsidRPr="000977F7">
        <w:rPr>
          <w:rFonts w:asciiTheme="majorHAnsi" w:hAnsiTheme="majorHAnsi"/>
          <w:spacing w:val="10"/>
          <w:sz w:val="20"/>
          <w:szCs w:val="20"/>
        </w:rPr>
        <w:t xml:space="preserve"> </w:t>
      </w:r>
      <w:r w:rsidRPr="000977F7">
        <w:rPr>
          <w:rFonts w:asciiTheme="majorHAnsi" w:hAnsiTheme="majorHAnsi"/>
          <w:sz w:val="20"/>
          <w:szCs w:val="20"/>
        </w:rPr>
        <w:t>стадіях</w:t>
      </w:r>
      <w:r w:rsidRPr="000977F7">
        <w:rPr>
          <w:rFonts w:asciiTheme="majorHAnsi" w:hAnsiTheme="majorHAnsi"/>
          <w:spacing w:val="10"/>
          <w:sz w:val="20"/>
          <w:szCs w:val="20"/>
        </w:rPr>
        <w:t xml:space="preserve"> </w:t>
      </w:r>
      <w:r w:rsidRPr="000977F7">
        <w:rPr>
          <w:rFonts w:asciiTheme="majorHAnsi" w:hAnsiTheme="majorHAnsi"/>
          <w:sz w:val="20"/>
          <w:szCs w:val="20"/>
        </w:rPr>
        <w:t>або</w:t>
      </w:r>
      <w:r w:rsidRPr="000977F7">
        <w:rPr>
          <w:rFonts w:asciiTheme="majorHAnsi" w:hAnsiTheme="majorHAnsi"/>
          <w:spacing w:val="13"/>
          <w:sz w:val="20"/>
          <w:szCs w:val="20"/>
        </w:rPr>
        <w:t xml:space="preserve"> </w:t>
      </w:r>
      <w:r w:rsidRPr="000977F7">
        <w:rPr>
          <w:rFonts w:asciiTheme="majorHAnsi" w:hAnsiTheme="majorHAnsi"/>
          <w:sz w:val="20"/>
          <w:szCs w:val="20"/>
        </w:rPr>
        <w:t>в</w:t>
      </w:r>
      <w:r w:rsidRPr="000977F7">
        <w:rPr>
          <w:rFonts w:asciiTheme="majorHAnsi" w:hAnsiTheme="majorHAnsi"/>
          <w:spacing w:val="11"/>
          <w:sz w:val="20"/>
          <w:szCs w:val="20"/>
        </w:rPr>
        <w:t xml:space="preserve"> </w:t>
      </w:r>
      <w:r w:rsidRPr="000977F7">
        <w:rPr>
          <w:rFonts w:asciiTheme="majorHAnsi" w:hAnsiTheme="majorHAnsi"/>
          <w:sz w:val="20"/>
          <w:szCs w:val="20"/>
        </w:rPr>
        <w:t>різний</w:t>
      </w:r>
      <w:r w:rsidRPr="000977F7">
        <w:rPr>
          <w:rFonts w:asciiTheme="majorHAnsi" w:hAnsiTheme="majorHAnsi"/>
          <w:spacing w:val="-2"/>
          <w:sz w:val="20"/>
          <w:szCs w:val="20"/>
        </w:rPr>
        <w:t xml:space="preserve"> </w:t>
      </w:r>
      <w:r w:rsidRPr="000977F7">
        <w:rPr>
          <w:rFonts w:asciiTheme="majorHAnsi" w:hAnsiTheme="majorHAnsi"/>
          <w:sz w:val="20"/>
          <w:szCs w:val="20"/>
        </w:rPr>
        <w:t>час.</w:t>
      </w:r>
    </w:p>
    <w:p w14:paraId="6B657BC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2F4BA8C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МОНТАЖ</w:t>
      </w:r>
      <w:r w:rsidRPr="000977F7">
        <w:rPr>
          <w:color w:val="auto"/>
          <w:spacing w:val="-5"/>
          <w:sz w:val="20"/>
          <w:szCs w:val="20"/>
        </w:rPr>
        <w:t xml:space="preserve"> </w:t>
      </w:r>
      <w:r w:rsidRPr="000977F7">
        <w:rPr>
          <w:color w:val="auto"/>
          <w:sz w:val="20"/>
          <w:szCs w:val="20"/>
        </w:rPr>
        <w:t>–</w:t>
      </w:r>
    </w:p>
    <w:p w14:paraId="049719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MOUNTING –</w:t>
      </w:r>
    </w:p>
    <w:p w14:paraId="33AC1F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Установлення виробу чи його складових на місці використання</w:t>
      </w:r>
    </w:p>
    <w:p w14:paraId="6D48AA2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17B5A199"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b/>
          <w:bCs/>
          <w:sz w:val="20"/>
          <w:szCs w:val="20"/>
          <w:lang w:val="uk-UA"/>
        </w:rPr>
      </w:pPr>
      <w:r w:rsidRPr="000977F7">
        <w:rPr>
          <w:rFonts w:asciiTheme="majorHAnsi" w:hAnsiTheme="majorHAnsi"/>
          <w:b/>
          <w:bCs/>
          <w:sz w:val="20"/>
          <w:szCs w:val="20"/>
          <w:lang w:val="uk-UA"/>
        </w:rPr>
        <w:t>МОНТАЖНИК –</w:t>
      </w:r>
    </w:p>
    <w:p w14:paraId="2E0519DD"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r w:rsidRPr="000977F7">
        <w:rPr>
          <w:rFonts w:asciiTheme="majorHAnsi" w:hAnsiTheme="majorHAnsi"/>
          <w:sz w:val="20"/>
          <w:szCs w:val="20"/>
          <w:lang w:val="uk-UA"/>
        </w:rPr>
        <w:t>Фізична чи юридична особа, яка бере на себе відповідальність за розроблення, виготовлення, монтаж і введення в обіг ліфта</w:t>
      </w:r>
    </w:p>
    <w:p w14:paraId="14BDFE5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Технічний регламент ліфтів і компонентів безпеки для ліфтів</w:t>
      </w:r>
    </w:p>
    <w:p w14:paraId="57D40FC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МОНТАЖНЕ</w:t>
      </w:r>
      <w:r w:rsidRPr="000977F7">
        <w:rPr>
          <w:color w:val="auto"/>
          <w:spacing w:val="-5"/>
          <w:sz w:val="20"/>
          <w:szCs w:val="20"/>
        </w:rPr>
        <w:t xml:space="preserve"> </w:t>
      </w:r>
      <w:r w:rsidRPr="000977F7">
        <w:rPr>
          <w:color w:val="auto"/>
          <w:sz w:val="20"/>
          <w:szCs w:val="20"/>
        </w:rPr>
        <w:t>КРЕСЛЕННЯ</w:t>
      </w:r>
      <w:r w:rsidRPr="000977F7">
        <w:rPr>
          <w:color w:val="auto"/>
          <w:spacing w:val="-1"/>
          <w:sz w:val="20"/>
          <w:szCs w:val="20"/>
        </w:rPr>
        <w:t xml:space="preserve"> </w:t>
      </w:r>
      <w:r w:rsidRPr="000977F7">
        <w:rPr>
          <w:color w:val="auto"/>
          <w:sz w:val="20"/>
          <w:szCs w:val="20"/>
        </w:rPr>
        <w:t>–</w:t>
      </w:r>
    </w:p>
    <w:p w14:paraId="7D6DFE8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Креслення, яке являє собою контурне (спрощене) зображення виробу,</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1"/>
          <w:sz w:val="20"/>
          <w:szCs w:val="20"/>
        </w:rPr>
        <w:t xml:space="preserve"> </w:t>
      </w:r>
      <w:r w:rsidRPr="000977F7">
        <w:rPr>
          <w:rFonts w:asciiTheme="majorHAnsi" w:hAnsiTheme="majorHAnsi"/>
          <w:sz w:val="20"/>
          <w:szCs w:val="20"/>
        </w:rPr>
        <w:t>дані,</w:t>
      </w:r>
      <w:r w:rsidRPr="000977F7">
        <w:rPr>
          <w:rFonts w:asciiTheme="majorHAnsi" w:hAnsiTheme="majorHAnsi"/>
          <w:spacing w:val="1"/>
          <w:sz w:val="20"/>
          <w:szCs w:val="20"/>
        </w:rPr>
        <w:t xml:space="preserve"> </w:t>
      </w:r>
      <w:r w:rsidRPr="000977F7">
        <w:rPr>
          <w:rFonts w:asciiTheme="majorHAnsi" w:hAnsiTheme="majorHAnsi"/>
          <w:sz w:val="20"/>
          <w:szCs w:val="20"/>
        </w:rPr>
        <w:t>необхідні для його</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встановлення</w:t>
      </w:r>
      <w:r w:rsidRPr="000977F7">
        <w:rPr>
          <w:rFonts w:asciiTheme="majorHAnsi" w:hAnsiTheme="majorHAnsi"/>
          <w:spacing w:val="-3"/>
          <w:sz w:val="20"/>
          <w:szCs w:val="20"/>
        </w:rPr>
        <w:t xml:space="preserve"> </w:t>
      </w:r>
      <w:r w:rsidRPr="000977F7">
        <w:rPr>
          <w:rFonts w:asciiTheme="majorHAnsi" w:hAnsiTheme="majorHAnsi"/>
          <w:sz w:val="20"/>
          <w:szCs w:val="20"/>
        </w:rPr>
        <w:t>(монтажу)</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місці</w:t>
      </w:r>
      <w:r w:rsidRPr="000977F7">
        <w:rPr>
          <w:rFonts w:asciiTheme="majorHAnsi" w:hAnsiTheme="majorHAnsi"/>
          <w:spacing w:val="-2"/>
          <w:sz w:val="20"/>
          <w:szCs w:val="20"/>
        </w:rPr>
        <w:t xml:space="preserve"> </w:t>
      </w:r>
      <w:r w:rsidRPr="000977F7">
        <w:rPr>
          <w:rFonts w:asciiTheme="majorHAnsi" w:hAnsiTheme="majorHAnsi"/>
          <w:sz w:val="20"/>
          <w:szCs w:val="20"/>
        </w:rPr>
        <w:t>експлуатації</w:t>
      </w:r>
    </w:p>
    <w:p w14:paraId="7FCAC54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xml:space="preserve">– </w:t>
      </w:r>
      <w:r w:rsidRPr="000977F7">
        <w:rPr>
          <w:rFonts w:asciiTheme="majorHAnsi" w:hAnsiTheme="majorHAnsi"/>
          <w:sz w:val="20"/>
          <w:szCs w:val="20"/>
        </w:rPr>
        <w:t>2003</w:t>
      </w:r>
    </w:p>
    <w:p w14:paraId="20FF2A3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МОРАЛЬНА</w:t>
      </w:r>
      <w:r w:rsidRPr="000977F7">
        <w:rPr>
          <w:color w:val="auto"/>
          <w:spacing w:val="-4"/>
          <w:sz w:val="20"/>
          <w:szCs w:val="20"/>
        </w:rPr>
        <w:t xml:space="preserve"> </w:t>
      </w:r>
      <w:r w:rsidRPr="000977F7">
        <w:rPr>
          <w:color w:val="auto"/>
          <w:sz w:val="20"/>
          <w:szCs w:val="20"/>
        </w:rPr>
        <w:t>ШКОДА</w:t>
      </w:r>
      <w:r w:rsidRPr="000977F7">
        <w:rPr>
          <w:color w:val="auto"/>
          <w:spacing w:val="-1"/>
          <w:sz w:val="20"/>
          <w:szCs w:val="20"/>
        </w:rPr>
        <w:t xml:space="preserve"> </w:t>
      </w:r>
      <w:r w:rsidRPr="000977F7">
        <w:rPr>
          <w:color w:val="auto"/>
          <w:sz w:val="20"/>
          <w:szCs w:val="20"/>
        </w:rPr>
        <w:t>–</w:t>
      </w:r>
    </w:p>
    <w:p w14:paraId="7802FF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Шкода, яку заподіяно особистим немайновим правам</w:t>
      </w:r>
      <w:r w:rsidRPr="000977F7">
        <w:rPr>
          <w:rFonts w:asciiTheme="majorHAnsi" w:hAnsiTheme="majorHAnsi"/>
          <w:spacing w:val="1"/>
          <w:sz w:val="20"/>
          <w:szCs w:val="20"/>
        </w:rPr>
        <w:t xml:space="preserve"> </w:t>
      </w:r>
      <w:r w:rsidRPr="000977F7">
        <w:rPr>
          <w:rFonts w:asciiTheme="majorHAnsi" w:hAnsiTheme="majorHAnsi"/>
          <w:sz w:val="20"/>
          <w:szCs w:val="20"/>
        </w:rPr>
        <w:t>суб’єктів зовнішньоекономічної діяльності і яка спричинила або може спричинити до збитків, що мають</w:t>
      </w:r>
      <w:r w:rsidRPr="000977F7">
        <w:rPr>
          <w:rFonts w:asciiTheme="majorHAnsi" w:hAnsiTheme="majorHAnsi"/>
          <w:spacing w:val="1"/>
          <w:sz w:val="20"/>
          <w:szCs w:val="20"/>
        </w:rPr>
        <w:t xml:space="preserve"> </w:t>
      </w:r>
      <w:r w:rsidRPr="000977F7">
        <w:rPr>
          <w:rFonts w:asciiTheme="majorHAnsi" w:hAnsiTheme="majorHAnsi"/>
          <w:sz w:val="20"/>
          <w:szCs w:val="20"/>
        </w:rPr>
        <w:t>матеріальне</w:t>
      </w:r>
      <w:r w:rsidRPr="000977F7">
        <w:rPr>
          <w:rFonts w:asciiTheme="majorHAnsi" w:hAnsiTheme="majorHAnsi"/>
          <w:spacing w:val="-1"/>
          <w:sz w:val="20"/>
          <w:szCs w:val="20"/>
        </w:rPr>
        <w:t xml:space="preserve"> </w:t>
      </w:r>
      <w:r w:rsidRPr="000977F7">
        <w:rPr>
          <w:rFonts w:asciiTheme="majorHAnsi" w:hAnsiTheme="majorHAnsi"/>
          <w:sz w:val="20"/>
          <w:szCs w:val="20"/>
        </w:rPr>
        <w:t>вираження</w:t>
      </w:r>
    </w:p>
    <w:p w14:paraId="25FDBBB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 – 95</w:t>
      </w:r>
    </w:p>
    <w:p w14:paraId="1216C96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МУЛЬТИПЛІКАТИВНА</w:t>
      </w:r>
      <w:r w:rsidRPr="000977F7">
        <w:rPr>
          <w:color w:val="auto"/>
          <w:spacing w:val="-10"/>
          <w:sz w:val="20"/>
          <w:szCs w:val="20"/>
        </w:rPr>
        <w:t xml:space="preserve"> </w:t>
      </w:r>
      <w:r w:rsidRPr="000977F7">
        <w:rPr>
          <w:color w:val="auto"/>
          <w:sz w:val="20"/>
          <w:szCs w:val="20"/>
        </w:rPr>
        <w:t>ПОХИБКА</w:t>
      </w:r>
      <w:r w:rsidRPr="000977F7">
        <w:rPr>
          <w:color w:val="auto"/>
          <w:spacing w:val="-10"/>
          <w:sz w:val="20"/>
          <w:szCs w:val="20"/>
        </w:rPr>
        <w:t xml:space="preserve"> </w:t>
      </w:r>
      <w:r w:rsidRPr="000977F7">
        <w:rPr>
          <w:color w:val="auto"/>
          <w:sz w:val="20"/>
          <w:szCs w:val="20"/>
        </w:rPr>
        <w:t>ЗАСОБУ</w:t>
      </w:r>
      <w:r w:rsidRPr="000977F7">
        <w:rPr>
          <w:color w:val="auto"/>
          <w:spacing w:val="-47"/>
          <w:sz w:val="20"/>
          <w:szCs w:val="20"/>
        </w:rPr>
        <w:t xml:space="preserve"> </w:t>
      </w:r>
      <w:r w:rsidRPr="000977F7">
        <w:rPr>
          <w:color w:val="auto"/>
          <w:sz w:val="20"/>
          <w:szCs w:val="20"/>
        </w:rPr>
        <w:t>ВИМІРЮВАЛЬНОЇ</w:t>
      </w:r>
      <w:r w:rsidRPr="000977F7">
        <w:rPr>
          <w:color w:val="auto"/>
          <w:spacing w:val="-2"/>
          <w:sz w:val="20"/>
          <w:szCs w:val="20"/>
        </w:rPr>
        <w:t xml:space="preserve"> </w:t>
      </w:r>
      <w:r w:rsidRPr="000977F7">
        <w:rPr>
          <w:color w:val="auto"/>
          <w:sz w:val="20"/>
          <w:szCs w:val="20"/>
        </w:rPr>
        <w:t>ТЕХНІКИ</w:t>
      </w:r>
      <w:r w:rsidRPr="000977F7">
        <w:rPr>
          <w:color w:val="auto"/>
          <w:spacing w:val="2"/>
          <w:sz w:val="20"/>
          <w:szCs w:val="20"/>
        </w:rPr>
        <w:t xml:space="preserve"> </w:t>
      </w:r>
      <w:r w:rsidRPr="000977F7">
        <w:rPr>
          <w:color w:val="auto"/>
          <w:sz w:val="20"/>
          <w:szCs w:val="20"/>
        </w:rPr>
        <w:t>–</w:t>
      </w:r>
    </w:p>
    <w:p w14:paraId="0F3A16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Складова абсолютної похибки засобу вимірювальної</w:t>
      </w:r>
      <w:r w:rsidRPr="000977F7">
        <w:rPr>
          <w:rFonts w:asciiTheme="majorHAnsi" w:hAnsiTheme="majorHAnsi"/>
          <w:spacing w:val="1"/>
          <w:sz w:val="20"/>
          <w:szCs w:val="20"/>
        </w:rPr>
        <w:t xml:space="preserve"> </w:t>
      </w:r>
      <w:r w:rsidRPr="000977F7">
        <w:rPr>
          <w:rFonts w:asciiTheme="majorHAnsi" w:hAnsiTheme="majorHAnsi"/>
          <w:sz w:val="20"/>
          <w:szCs w:val="20"/>
        </w:rPr>
        <w:t>техніки,</w:t>
      </w:r>
      <w:r w:rsidRPr="000977F7">
        <w:rPr>
          <w:rFonts w:asciiTheme="majorHAnsi" w:hAnsiTheme="majorHAnsi"/>
          <w:spacing w:val="-2"/>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пропорційна</w:t>
      </w:r>
      <w:r w:rsidRPr="000977F7">
        <w:rPr>
          <w:rFonts w:asciiTheme="majorHAnsi" w:hAnsiTheme="majorHAnsi"/>
          <w:spacing w:val="-2"/>
          <w:sz w:val="20"/>
          <w:szCs w:val="20"/>
        </w:rPr>
        <w:t xml:space="preserve"> </w:t>
      </w:r>
      <w:r w:rsidRPr="000977F7">
        <w:rPr>
          <w:rFonts w:asciiTheme="majorHAnsi" w:hAnsiTheme="majorHAnsi"/>
          <w:sz w:val="20"/>
          <w:szCs w:val="20"/>
        </w:rPr>
        <w:t>вимірюваній</w:t>
      </w:r>
      <w:r w:rsidRPr="000977F7">
        <w:rPr>
          <w:rFonts w:asciiTheme="majorHAnsi" w:hAnsiTheme="majorHAnsi"/>
          <w:spacing w:val="-2"/>
          <w:sz w:val="20"/>
          <w:szCs w:val="20"/>
        </w:rPr>
        <w:t xml:space="preserve"> </w:t>
      </w:r>
      <w:r w:rsidRPr="000977F7">
        <w:rPr>
          <w:rFonts w:asciiTheme="majorHAnsi" w:hAnsiTheme="majorHAnsi"/>
          <w:sz w:val="20"/>
          <w:szCs w:val="20"/>
        </w:rPr>
        <w:t>величині</w:t>
      </w:r>
    </w:p>
    <w:p w14:paraId="428551B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F9C323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М’ЯКИЙ РЕЖИМ НАВАНТАЖУВАННЯ; М’ЯКЕ</w:t>
      </w:r>
      <w:r w:rsidRPr="000977F7">
        <w:rPr>
          <w:color w:val="auto"/>
          <w:spacing w:val="-47"/>
          <w:sz w:val="20"/>
          <w:szCs w:val="20"/>
        </w:rPr>
        <w:t xml:space="preserve"> </w:t>
      </w:r>
      <w:r w:rsidRPr="000977F7">
        <w:rPr>
          <w:color w:val="auto"/>
          <w:sz w:val="20"/>
          <w:szCs w:val="20"/>
        </w:rPr>
        <w:t>НАВАНТАЖУВАННЯ</w:t>
      </w:r>
      <w:r w:rsidRPr="000977F7">
        <w:rPr>
          <w:color w:val="auto"/>
          <w:spacing w:val="1"/>
          <w:sz w:val="20"/>
          <w:szCs w:val="20"/>
        </w:rPr>
        <w:t xml:space="preserve"> </w:t>
      </w:r>
      <w:r w:rsidRPr="000977F7">
        <w:rPr>
          <w:color w:val="auto"/>
          <w:sz w:val="20"/>
          <w:szCs w:val="20"/>
        </w:rPr>
        <w:t>–</w:t>
      </w:r>
    </w:p>
    <w:p w14:paraId="763F614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STRESS</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r w:rsidRPr="004D2D14">
        <w:rPr>
          <w:rFonts w:asciiTheme="majorHAnsi" w:hAnsiTheme="majorHAnsi"/>
          <w:spacing w:val="-1"/>
          <w:sz w:val="20"/>
          <w:szCs w:val="20"/>
          <w:lang w:val="uk-UA"/>
        </w:rPr>
        <w:t xml:space="preserve"> </w:t>
      </w:r>
      <w:r w:rsidRPr="000977F7">
        <w:rPr>
          <w:rFonts w:asciiTheme="majorHAnsi" w:hAnsiTheme="majorHAnsi"/>
          <w:sz w:val="20"/>
          <w:szCs w:val="20"/>
        </w:rPr>
        <w:t>CONTROLLED</w:t>
      </w:r>
      <w:r w:rsidRPr="004D2D14">
        <w:rPr>
          <w:rFonts w:asciiTheme="majorHAnsi" w:hAnsiTheme="majorHAnsi"/>
          <w:sz w:val="20"/>
          <w:szCs w:val="20"/>
          <w:lang w:val="uk-UA"/>
        </w:rPr>
        <w:t xml:space="preserve"> </w:t>
      </w:r>
      <w:r w:rsidRPr="000977F7">
        <w:rPr>
          <w:rFonts w:asciiTheme="majorHAnsi" w:hAnsiTheme="majorHAnsi"/>
          <w:sz w:val="20"/>
          <w:szCs w:val="20"/>
        </w:rPr>
        <w:t>LOADING</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788430A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Режим навантажування, що забезпечує задану залежність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зміни напруження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навантаження</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об’єкт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часу</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іншого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параметра</w:t>
      </w:r>
    </w:p>
    <w:p w14:paraId="024AFEF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224E9A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sectPr w:rsidR="0097612F" w:rsidRPr="000977F7" w:rsidSect="000977F7">
          <w:type w:val="continuous"/>
          <w:pgSz w:w="11910" w:h="16840"/>
          <w:pgMar w:top="800" w:right="570" w:bottom="960" w:left="1000" w:header="0" w:footer="751" w:gutter="0"/>
          <w:cols w:num="2" w:space="454"/>
        </w:sectPr>
      </w:pPr>
    </w:p>
    <w:p w14:paraId="2D2593C7" w14:textId="77777777" w:rsidR="0097612F" w:rsidRPr="000F35DA" w:rsidRDefault="0097612F" w:rsidP="000F35DA">
      <w:pPr>
        <w:pStyle w:val="1"/>
        <w:rPr>
          <w:lang w:val="uk-UA"/>
        </w:rPr>
      </w:pPr>
      <w:bookmarkStart w:id="129" w:name="_Toc132629639"/>
      <w:r w:rsidRPr="000F35DA">
        <w:rPr>
          <w:lang w:val="uk-UA"/>
        </w:rPr>
        <w:lastRenderedPageBreak/>
        <w:t>Н</w:t>
      </w:r>
      <w:bookmarkEnd w:id="129"/>
    </w:p>
    <w:p w14:paraId="15A3026D" w14:textId="77777777" w:rsidR="0097612F" w:rsidRPr="000F35DA" w:rsidRDefault="0097612F" w:rsidP="000F35DA">
      <w:pPr>
        <w:pStyle w:val="1"/>
        <w:rPr>
          <w:lang w:val="uk-UA"/>
        </w:rPr>
        <w:sectPr w:rsidR="0097612F" w:rsidRPr="000F35DA" w:rsidSect="000977F7">
          <w:pgSz w:w="11910" w:h="16840"/>
          <w:pgMar w:top="800" w:right="428" w:bottom="960" w:left="1000" w:header="0" w:footer="751" w:gutter="0"/>
          <w:cols w:num="2" w:space="454"/>
        </w:sectPr>
      </w:pPr>
    </w:p>
    <w:p w14:paraId="29A0CDDD"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НАБУВАННЯ, НАБУТТЯ КОМПЕТЕНТНОСТІ –</w:t>
      </w:r>
    </w:p>
    <w:p w14:paraId="19066E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COMPETENCE</w:t>
      </w:r>
      <w:r w:rsidRPr="000977F7">
        <w:rPr>
          <w:rFonts w:asciiTheme="majorHAnsi" w:hAnsiTheme="majorHAnsi"/>
          <w:spacing w:val="-4"/>
          <w:sz w:val="20"/>
          <w:szCs w:val="20"/>
        </w:rPr>
        <w:t xml:space="preserve"> </w:t>
      </w:r>
      <w:r w:rsidRPr="000977F7">
        <w:rPr>
          <w:rFonts w:asciiTheme="majorHAnsi" w:hAnsiTheme="majorHAnsi"/>
          <w:sz w:val="20"/>
          <w:szCs w:val="20"/>
        </w:rPr>
        <w:t>ACQUISITION –</w:t>
      </w:r>
    </w:p>
    <w:p w14:paraId="26DB4E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w:t>
      </w:r>
      <w:r w:rsidRPr="000977F7">
        <w:rPr>
          <w:rFonts w:asciiTheme="majorHAnsi" w:hAnsiTheme="majorHAnsi"/>
          <w:spacing w:val="-4"/>
          <w:sz w:val="20"/>
          <w:szCs w:val="20"/>
        </w:rPr>
        <w:t xml:space="preserve"> </w:t>
      </w:r>
      <w:r w:rsidRPr="000977F7">
        <w:rPr>
          <w:rFonts w:asciiTheme="majorHAnsi" w:hAnsiTheme="majorHAnsi"/>
          <w:sz w:val="20"/>
          <w:szCs w:val="20"/>
        </w:rPr>
        <w:t>наслідок</w:t>
      </w:r>
      <w:r w:rsidRPr="000977F7">
        <w:rPr>
          <w:rFonts w:asciiTheme="majorHAnsi" w:hAnsiTheme="majorHAnsi"/>
          <w:spacing w:val="-5"/>
          <w:sz w:val="20"/>
          <w:szCs w:val="20"/>
        </w:rPr>
        <w:t xml:space="preserve"> </w:t>
      </w:r>
      <w:r w:rsidRPr="000977F7">
        <w:rPr>
          <w:rFonts w:asciiTheme="majorHAnsi" w:hAnsiTheme="majorHAnsi"/>
          <w:sz w:val="20"/>
          <w:szCs w:val="20"/>
        </w:rPr>
        <w:t>процесу</w:t>
      </w:r>
      <w:r w:rsidRPr="000977F7">
        <w:rPr>
          <w:rFonts w:asciiTheme="majorHAnsi" w:hAnsiTheme="majorHAnsi"/>
          <w:spacing w:val="-5"/>
          <w:sz w:val="20"/>
          <w:szCs w:val="20"/>
        </w:rPr>
        <w:t xml:space="preserve"> </w:t>
      </w:r>
      <w:r w:rsidRPr="000977F7">
        <w:rPr>
          <w:rFonts w:asciiTheme="majorHAnsi" w:hAnsiTheme="majorHAnsi"/>
          <w:sz w:val="20"/>
          <w:szCs w:val="20"/>
        </w:rPr>
        <w:t>досягнення</w:t>
      </w:r>
      <w:r w:rsidRPr="000977F7">
        <w:rPr>
          <w:rFonts w:asciiTheme="majorHAnsi" w:hAnsiTheme="majorHAnsi"/>
          <w:spacing w:val="-2"/>
          <w:sz w:val="20"/>
          <w:szCs w:val="20"/>
        </w:rPr>
        <w:t xml:space="preserve"> </w:t>
      </w:r>
      <w:r w:rsidRPr="000977F7">
        <w:rPr>
          <w:rFonts w:asciiTheme="majorHAnsi" w:hAnsiTheme="majorHAnsi"/>
          <w:sz w:val="20"/>
          <w:szCs w:val="20"/>
        </w:rPr>
        <w:t>компетентності</w:t>
      </w:r>
    </w:p>
    <w:p w14:paraId="464E002B"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ISO</w:t>
      </w:r>
      <w:r w:rsidRPr="000977F7">
        <w:rPr>
          <w:rFonts w:asciiTheme="majorHAnsi" w:hAnsiTheme="majorHAnsi"/>
          <w:i/>
          <w:spacing w:val="50"/>
          <w:sz w:val="20"/>
          <w:szCs w:val="20"/>
        </w:rPr>
        <w:t xml:space="preserve"> </w:t>
      </w:r>
      <w:r w:rsidRPr="000977F7">
        <w:rPr>
          <w:rFonts w:asciiTheme="majorHAnsi" w:hAnsiTheme="majorHAnsi"/>
          <w:i/>
          <w:sz w:val="20"/>
          <w:szCs w:val="20"/>
        </w:rPr>
        <w:t>9000:2015</w:t>
      </w:r>
    </w:p>
    <w:p w14:paraId="39695B5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НАВАНТАЖЕНЕ РЕЗЕРВУВАННЯ –</w:t>
      </w:r>
      <w:r w:rsidRPr="000977F7">
        <w:rPr>
          <w:rFonts w:asciiTheme="majorHAnsi" w:hAnsiTheme="majorHAnsi"/>
          <w:b/>
          <w:spacing w:val="-47"/>
          <w:sz w:val="20"/>
          <w:szCs w:val="20"/>
        </w:rPr>
        <w:t xml:space="preserve"> </w:t>
      </w:r>
      <w:r w:rsidRPr="000977F7">
        <w:rPr>
          <w:rFonts w:asciiTheme="majorHAnsi" w:hAnsiTheme="majorHAnsi"/>
          <w:sz w:val="20"/>
          <w:szCs w:val="20"/>
        </w:rPr>
        <w:t>ACTIVE</w:t>
      </w:r>
      <w:r w:rsidRPr="000977F7">
        <w:rPr>
          <w:rFonts w:asciiTheme="majorHAnsi" w:hAnsiTheme="majorHAnsi"/>
          <w:spacing w:val="-1"/>
          <w:sz w:val="20"/>
          <w:szCs w:val="20"/>
        </w:rPr>
        <w:t xml:space="preserve"> </w:t>
      </w:r>
      <w:r w:rsidRPr="000977F7">
        <w:rPr>
          <w:rFonts w:asciiTheme="majorHAnsi" w:hAnsiTheme="majorHAnsi"/>
          <w:sz w:val="20"/>
          <w:szCs w:val="20"/>
        </w:rPr>
        <w:t>REDUNDANCY</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19E22420"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z w:val="20"/>
          <w:szCs w:val="20"/>
        </w:rPr>
        <w:t>Резервування,</w:t>
      </w:r>
      <w:r w:rsidRPr="000977F7">
        <w:rPr>
          <w:rFonts w:asciiTheme="majorHAnsi" w:hAnsiTheme="majorHAnsi"/>
          <w:spacing w:val="32"/>
          <w:sz w:val="20"/>
          <w:szCs w:val="20"/>
        </w:rPr>
        <w:t xml:space="preserve"> </w:t>
      </w:r>
      <w:r w:rsidRPr="000977F7">
        <w:rPr>
          <w:rFonts w:asciiTheme="majorHAnsi" w:hAnsiTheme="majorHAnsi"/>
          <w:sz w:val="20"/>
          <w:szCs w:val="20"/>
        </w:rPr>
        <w:t>при</w:t>
      </w:r>
      <w:r w:rsidRPr="000977F7">
        <w:rPr>
          <w:rFonts w:asciiTheme="majorHAnsi" w:hAnsiTheme="majorHAnsi"/>
          <w:spacing w:val="34"/>
          <w:sz w:val="20"/>
          <w:szCs w:val="20"/>
        </w:rPr>
        <w:t xml:space="preserve"> </w:t>
      </w:r>
      <w:r w:rsidRPr="000977F7">
        <w:rPr>
          <w:rFonts w:asciiTheme="majorHAnsi" w:hAnsiTheme="majorHAnsi"/>
          <w:sz w:val="20"/>
          <w:szCs w:val="20"/>
        </w:rPr>
        <w:t>якому</w:t>
      </w:r>
      <w:r w:rsidRPr="000977F7">
        <w:rPr>
          <w:rFonts w:asciiTheme="majorHAnsi" w:hAnsiTheme="majorHAnsi"/>
          <w:spacing w:val="32"/>
          <w:sz w:val="20"/>
          <w:szCs w:val="20"/>
        </w:rPr>
        <w:t xml:space="preserve"> </w:t>
      </w:r>
      <w:r w:rsidRPr="000977F7">
        <w:rPr>
          <w:rFonts w:asciiTheme="majorHAnsi" w:hAnsiTheme="majorHAnsi"/>
          <w:sz w:val="20"/>
          <w:szCs w:val="20"/>
        </w:rPr>
        <w:t>всі</w:t>
      </w:r>
      <w:r w:rsidRPr="000977F7">
        <w:rPr>
          <w:rFonts w:asciiTheme="majorHAnsi" w:hAnsiTheme="majorHAnsi"/>
          <w:spacing w:val="32"/>
          <w:sz w:val="20"/>
          <w:szCs w:val="20"/>
        </w:rPr>
        <w:t xml:space="preserve"> </w:t>
      </w:r>
      <w:r w:rsidRPr="000977F7">
        <w:rPr>
          <w:rFonts w:asciiTheme="majorHAnsi" w:hAnsiTheme="majorHAnsi"/>
          <w:sz w:val="20"/>
          <w:szCs w:val="20"/>
        </w:rPr>
        <w:t>засоби,</w:t>
      </w:r>
      <w:r w:rsidRPr="000977F7">
        <w:rPr>
          <w:rFonts w:asciiTheme="majorHAnsi" w:hAnsiTheme="majorHAnsi"/>
          <w:spacing w:val="33"/>
          <w:sz w:val="20"/>
          <w:szCs w:val="20"/>
        </w:rPr>
        <w:t xml:space="preserve"> </w:t>
      </w:r>
      <w:r w:rsidRPr="000977F7">
        <w:rPr>
          <w:rFonts w:asciiTheme="majorHAnsi" w:hAnsiTheme="majorHAnsi"/>
          <w:sz w:val="20"/>
          <w:szCs w:val="20"/>
        </w:rPr>
        <w:t>що</w:t>
      </w:r>
      <w:r w:rsidRPr="000977F7">
        <w:rPr>
          <w:rFonts w:asciiTheme="majorHAnsi" w:hAnsiTheme="majorHAnsi"/>
          <w:spacing w:val="34"/>
          <w:sz w:val="20"/>
          <w:szCs w:val="20"/>
        </w:rPr>
        <w:t xml:space="preserve"> </w:t>
      </w:r>
      <w:r w:rsidRPr="000977F7">
        <w:rPr>
          <w:rFonts w:asciiTheme="majorHAnsi" w:hAnsiTheme="majorHAnsi"/>
          <w:sz w:val="20"/>
          <w:szCs w:val="20"/>
        </w:rPr>
        <w:t>виробляють</w:t>
      </w:r>
      <w:r w:rsidRPr="000977F7">
        <w:rPr>
          <w:rFonts w:asciiTheme="majorHAnsi" w:hAnsiTheme="majorHAnsi"/>
          <w:spacing w:val="-47"/>
          <w:sz w:val="20"/>
          <w:szCs w:val="20"/>
        </w:rPr>
        <w:t xml:space="preserve"> </w:t>
      </w:r>
      <w:r w:rsidRPr="000977F7">
        <w:rPr>
          <w:rFonts w:asciiTheme="majorHAnsi" w:hAnsiTheme="majorHAnsi"/>
          <w:sz w:val="20"/>
          <w:szCs w:val="20"/>
        </w:rPr>
        <w:t>задану продукцію, діють одночасно</w:t>
      </w:r>
      <w:r w:rsidRPr="000977F7">
        <w:rPr>
          <w:rFonts w:asciiTheme="majorHAnsi" w:hAnsiTheme="majorHAnsi"/>
          <w:spacing w:val="1"/>
          <w:sz w:val="20"/>
          <w:szCs w:val="20"/>
        </w:rPr>
        <w:t xml:space="preserve"> </w:t>
      </w:r>
      <w:r w:rsidRPr="000977F7">
        <w:rPr>
          <w:rFonts w:asciiTheme="majorHAnsi" w:hAnsiTheme="majorHAnsi"/>
          <w:b/>
          <w:sz w:val="20"/>
          <w:szCs w:val="20"/>
        </w:rPr>
        <w:t>НАВАНТАЖЕНИЙ РЕЗЕРВ</w:t>
      </w:r>
      <w:r w:rsidRPr="000977F7">
        <w:rPr>
          <w:rFonts w:asciiTheme="majorHAnsi" w:hAnsiTheme="majorHAnsi"/>
          <w:b/>
          <w:spacing w:val="4"/>
          <w:sz w:val="20"/>
          <w:szCs w:val="20"/>
        </w:rPr>
        <w:t xml:space="preserve"> </w:t>
      </w:r>
      <w:r w:rsidRPr="000977F7">
        <w:rPr>
          <w:rFonts w:asciiTheme="majorHAnsi" w:hAnsiTheme="majorHAnsi"/>
          <w:b/>
          <w:sz w:val="20"/>
          <w:szCs w:val="20"/>
        </w:rPr>
        <w:t>–</w:t>
      </w:r>
    </w:p>
    <w:p w14:paraId="13909B5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ACTIVE</w:t>
      </w:r>
      <w:r w:rsidRPr="000977F7">
        <w:rPr>
          <w:rFonts w:asciiTheme="majorHAnsi" w:hAnsiTheme="majorHAnsi"/>
          <w:spacing w:val="-3"/>
          <w:sz w:val="20"/>
          <w:szCs w:val="20"/>
        </w:rPr>
        <w:t xml:space="preserve"> </w:t>
      </w:r>
      <w:r w:rsidRPr="000977F7">
        <w:rPr>
          <w:rFonts w:asciiTheme="majorHAnsi" w:hAnsiTheme="majorHAnsi"/>
          <w:sz w:val="20"/>
          <w:szCs w:val="20"/>
        </w:rPr>
        <w:t>RESERVE;</w:t>
      </w:r>
      <w:r w:rsidRPr="000977F7">
        <w:rPr>
          <w:rFonts w:asciiTheme="majorHAnsi" w:hAnsiTheme="majorHAnsi"/>
          <w:spacing w:val="-1"/>
          <w:sz w:val="20"/>
          <w:szCs w:val="20"/>
        </w:rPr>
        <w:t xml:space="preserve"> </w:t>
      </w:r>
      <w:r w:rsidRPr="000977F7">
        <w:rPr>
          <w:rFonts w:asciiTheme="majorHAnsi" w:hAnsiTheme="majorHAnsi"/>
          <w:sz w:val="20"/>
          <w:szCs w:val="20"/>
        </w:rPr>
        <w:t>LOADED</w:t>
      </w:r>
      <w:r w:rsidRPr="000977F7">
        <w:rPr>
          <w:rFonts w:asciiTheme="majorHAnsi" w:hAnsiTheme="majorHAnsi"/>
          <w:spacing w:val="-2"/>
          <w:sz w:val="20"/>
          <w:szCs w:val="20"/>
        </w:rPr>
        <w:t xml:space="preserve"> </w:t>
      </w:r>
      <w:r w:rsidRPr="000977F7">
        <w:rPr>
          <w:rFonts w:asciiTheme="majorHAnsi" w:hAnsiTheme="majorHAnsi"/>
          <w:sz w:val="20"/>
          <w:szCs w:val="20"/>
        </w:rPr>
        <w:t>RESERVE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DA44FE5"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Резерв,</w:t>
      </w:r>
      <w:r w:rsidRPr="000977F7">
        <w:rPr>
          <w:rFonts w:asciiTheme="majorHAnsi" w:hAnsiTheme="majorHAnsi"/>
          <w:spacing w:val="5"/>
          <w:sz w:val="20"/>
          <w:szCs w:val="20"/>
        </w:rPr>
        <w:t xml:space="preserve"> </w:t>
      </w:r>
      <w:r w:rsidRPr="000977F7">
        <w:rPr>
          <w:rFonts w:asciiTheme="majorHAnsi" w:hAnsiTheme="majorHAnsi"/>
          <w:sz w:val="20"/>
          <w:szCs w:val="20"/>
        </w:rPr>
        <w:t>що</w:t>
      </w:r>
      <w:r w:rsidRPr="000977F7">
        <w:rPr>
          <w:rFonts w:asciiTheme="majorHAnsi" w:hAnsiTheme="majorHAnsi"/>
          <w:spacing w:val="6"/>
          <w:sz w:val="20"/>
          <w:szCs w:val="20"/>
        </w:rPr>
        <w:t xml:space="preserve"> </w:t>
      </w:r>
      <w:r w:rsidRPr="000977F7">
        <w:rPr>
          <w:rFonts w:asciiTheme="majorHAnsi" w:hAnsiTheme="majorHAnsi"/>
          <w:sz w:val="20"/>
          <w:szCs w:val="20"/>
        </w:rPr>
        <w:t>містить</w:t>
      </w:r>
      <w:r w:rsidRPr="000977F7">
        <w:rPr>
          <w:rFonts w:asciiTheme="majorHAnsi" w:hAnsiTheme="majorHAnsi"/>
          <w:spacing w:val="5"/>
          <w:sz w:val="20"/>
          <w:szCs w:val="20"/>
        </w:rPr>
        <w:t xml:space="preserve"> </w:t>
      </w:r>
      <w:r w:rsidRPr="000977F7">
        <w:rPr>
          <w:rFonts w:asciiTheme="majorHAnsi" w:hAnsiTheme="majorHAnsi"/>
          <w:sz w:val="20"/>
          <w:szCs w:val="20"/>
        </w:rPr>
        <w:t>один</w:t>
      </w:r>
      <w:r w:rsidRPr="000977F7">
        <w:rPr>
          <w:rFonts w:asciiTheme="majorHAnsi" w:hAnsiTheme="majorHAnsi"/>
          <w:spacing w:val="4"/>
          <w:sz w:val="20"/>
          <w:szCs w:val="20"/>
        </w:rPr>
        <w:t xml:space="preserve"> </w:t>
      </w:r>
      <w:r w:rsidRPr="000977F7">
        <w:rPr>
          <w:rFonts w:asciiTheme="majorHAnsi" w:hAnsiTheme="majorHAnsi"/>
          <w:sz w:val="20"/>
          <w:szCs w:val="20"/>
        </w:rPr>
        <w:t>чи</w:t>
      </w:r>
      <w:r w:rsidRPr="000977F7">
        <w:rPr>
          <w:rFonts w:asciiTheme="majorHAnsi" w:hAnsiTheme="majorHAnsi"/>
          <w:spacing w:val="7"/>
          <w:sz w:val="20"/>
          <w:szCs w:val="20"/>
        </w:rPr>
        <w:t xml:space="preserve"> </w:t>
      </w:r>
      <w:r w:rsidRPr="000977F7">
        <w:rPr>
          <w:rFonts w:asciiTheme="majorHAnsi" w:hAnsiTheme="majorHAnsi"/>
          <w:sz w:val="20"/>
          <w:szCs w:val="20"/>
        </w:rPr>
        <w:t>декілька</w:t>
      </w:r>
      <w:r w:rsidRPr="000977F7">
        <w:rPr>
          <w:rFonts w:asciiTheme="majorHAnsi" w:hAnsiTheme="majorHAnsi"/>
          <w:spacing w:val="5"/>
          <w:sz w:val="20"/>
          <w:szCs w:val="20"/>
        </w:rPr>
        <w:t xml:space="preserve"> </w:t>
      </w:r>
      <w:r w:rsidRPr="000977F7">
        <w:rPr>
          <w:rFonts w:asciiTheme="majorHAnsi" w:hAnsiTheme="majorHAnsi"/>
          <w:sz w:val="20"/>
          <w:szCs w:val="20"/>
        </w:rPr>
        <w:t>резервних</w:t>
      </w:r>
      <w:r w:rsidRPr="000977F7">
        <w:rPr>
          <w:rFonts w:asciiTheme="majorHAnsi" w:hAnsiTheme="majorHAnsi"/>
          <w:spacing w:val="4"/>
          <w:sz w:val="20"/>
          <w:szCs w:val="20"/>
        </w:rPr>
        <w:t xml:space="preserve"> </w:t>
      </w:r>
      <w:r w:rsidRPr="000977F7">
        <w:rPr>
          <w:rFonts w:asciiTheme="majorHAnsi" w:hAnsiTheme="majorHAnsi"/>
          <w:sz w:val="20"/>
          <w:szCs w:val="20"/>
        </w:rPr>
        <w:t>еле-ментів, які перебувають у режимі основного елемента</w:t>
      </w:r>
      <w:r w:rsidRPr="000977F7">
        <w:rPr>
          <w:rFonts w:asciiTheme="majorHAnsi" w:hAnsiTheme="majorHAns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399BE4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НАВАНТАЖЕННЯ</w:t>
      </w:r>
      <w:r w:rsidRPr="000977F7">
        <w:rPr>
          <w:color w:val="auto"/>
          <w:spacing w:val="-5"/>
          <w:sz w:val="20"/>
          <w:szCs w:val="20"/>
        </w:rPr>
        <w:t xml:space="preserve"> </w:t>
      </w:r>
      <w:r w:rsidRPr="000977F7">
        <w:rPr>
          <w:color w:val="auto"/>
          <w:sz w:val="20"/>
          <w:szCs w:val="20"/>
        </w:rPr>
        <w:t>–</w:t>
      </w:r>
    </w:p>
    <w:p w14:paraId="0C24E1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LOAD</w:t>
      </w:r>
      <w:r w:rsidRPr="000977F7">
        <w:rPr>
          <w:rFonts w:asciiTheme="majorHAnsi" w:hAnsiTheme="majorHAnsi"/>
          <w:spacing w:val="-6"/>
          <w:sz w:val="20"/>
          <w:szCs w:val="20"/>
        </w:rPr>
        <w:t xml:space="preserve"> </w:t>
      </w:r>
      <w:r w:rsidRPr="000977F7">
        <w:rPr>
          <w:rFonts w:asciiTheme="majorHAnsi" w:hAnsiTheme="majorHAnsi"/>
          <w:sz w:val="20"/>
          <w:szCs w:val="20"/>
        </w:rPr>
        <w:t>–</w:t>
      </w:r>
    </w:p>
    <w:p w14:paraId="7DE8678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Чинник або сукупність чинників, дія яких на об’єкт</w:t>
      </w:r>
      <w:r w:rsidRPr="000977F7">
        <w:rPr>
          <w:rFonts w:asciiTheme="majorHAnsi" w:hAnsiTheme="majorHAnsi"/>
          <w:spacing w:val="1"/>
          <w:sz w:val="20"/>
          <w:szCs w:val="20"/>
        </w:rPr>
        <w:t xml:space="preserve"> </w:t>
      </w:r>
      <w:r w:rsidRPr="000977F7">
        <w:rPr>
          <w:rFonts w:asciiTheme="majorHAnsi" w:hAnsiTheme="majorHAnsi"/>
          <w:sz w:val="20"/>
          <w:szCs w:val="20"/>
        </w:rPr>
        <w:t>призводить до зміни його напружено – деформованого стану</w:t>
      </w:r>
    </w:p>
    <w:p w14:paraId="57D7FBC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2825 - 94; ДСТУ 2444 - 94</w:t>
      </w:r>
    </w:p>
    <w:p w14:paraId="13E316C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НАВАНТАЖУВАННЯ –</w:t>
      </w:r>
      <w:r w:rsidRPr="000977F7">
        <w:rPr>
          <w:rFonts w:asciiTheme="majorHAnsi" w:hAnsiTheme="majorHAnsi"/>
          <w:b/>
          <w:spacing w:val="1"/>
          <w:sz w:val="20"/>
          <w:szCs w:val="20"/>
        </w:rPr>
        <w:t xml:space="preserve"> </w:t>
      </w:r>
      <w:r w:rsidRPr="000977F7">
        <w:rPr>
          <w:rFonts w:asciiTheme="majorHAnsi" w:hAnsiTheme="majorHAnsi"/>
          <w:sz w:val="20"/>
          <w:szCs w:val="20"/>
        </w:rPr>
        <w:t>LOADING –</w:t>
      </w:r>
    </w:p>
    <w:p w14:paraId="09ED921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w:t>
      </w:r>
      <w:r w:rsidRPr="000977F7">
        <w:rPr>
          <w:rFonts w:asciiTheme="majorHAnsi" w:hAnsiTheme="majorHAnsi"/>
          <w:spacing w:val="-4"/>
          <w:sz w:val="20"/>
          <w:szCs w:val="20"/>
        </w:rPr>
        <w:t xml:space="preserve"> </w:t>
      </w:r>
      <w:r w:rsidRPr="000977F7">
        <w:rPr>
          <w:rFonts w:asciiTheme="majorHAnsi" w:hAnsiTheme="majorHAnsi"/>
          <w:sz w:val="20"/>
          <w:szCs w:val="20"/>
        </w:rPr>
        <w:t>дії</w:t>
      </w:r>
      <w:r w:rsidRPr="000977F7">
        <w:rPr>
          <w:rFonts w:asciiTheme="majorHAnsi" w:hAnsiTheme="majorHAnsi"/>
          <w:spacing w:val="-4"/>
          <w:sz w:val="20"/>
          <w:szCs w:val="20"/>
        </w:rPr>
        <w:t xml:space="preserve"> </w:t>
      </w:r>
      <w:r w:rsidRPr="000977F7">
        <w:rPr>
          <w:rFonts w:asciiTheme="majorHAnsi" w:hAnsiTheme="majorHAnsi"/>
          <w:sz w:val="20"/>
          <w:szCs w:val="20"/>
        </w:rPr>
        <w:t>навантаження</w:t>
      </w:r>
      <w:r w:rsidRPr="000977F7">
        <w:rPr>
          <w:rFonts w:asciiTheme="majorHAnsi" w:hAnsiTheme="majorHAnsi"/>
          <w:spacing w:val="-4"/>
          <w:sz w:val="20"/>
          <w:szCs w:val="20"/>
        </w:rPr>
        <w:t xml:space="preserve"> </w:t>
      </w:r>
      <w:r w:rsidRPr="000977F7">
        <w:rPr>
          <w:rFonts w:asciiTheme="majorHAnsi" w:hAnsiTheme="majorHAnsi"/>
          <w:sz w:val="20"/>
          <w:szCs w:val="20"/>
        </w:rPr>
        <w:t>на об’єкт</w:t>
      </w:r>
    </w:p>
    <w:p w14:paraId="7A09F58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2825 - 94</w:t>
      </w:r>
    </w:p>
    <w:p w14:paraId="6B1D74A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НАВАНТАЖУВАЛЬНЕ</w:t>
      </w:r>
      <w:r w:rsidRPr="000977F7">
        <w:rPr>
          <w:color w:val="auto"/>
          <w:spacing w:val="-6"/>
          <w:sz w:val="20"/>
          <w:szCs w:val="20"/>
        </w:rPr>
        <w:t xml:space="preserve"> </w:t>
      </w:r>
      <w:r w:rsidRPr="000977F7">
        <w:rPr>
          <w:color w:val="auto"/>
          <w:sz w:val="20"/>
          <w:szCs w:val="20"/>
        </w:rPr>
        <w:t>РЕЗЕРВУВАННЯ</w:t>
      </w:r>
      <w:r w:rsidRPr="000977F7">
        <w:rPr>
          <w:color w:val="auto"/>
          <w:spacing w:val="-3"/>
          <w:sz w:val="20"/>
          <w:szCs w:val="20"/>
        </w:rPr>
        <w:t xml:space="preserve"> </w:t>
      </w:r>
      <w:r w:rsidRPr="000977F7">
        <w:rPr>
          <w:color w:val="auto"/>
          <w:sz w:val="20"/>
          <w:szCs w:val="20"/>
        </w:rPr>
        <w:t>–</w:t>
      </w:r>
    </w:p>
    <w:p w14:paraId="64118D2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DERATING</w:t>
      </w:r>
      <w:r w:rsidRPr="000977F7">
        <w:rPr>
          <w:rFonts w:asciiTheme="majorHAnsi" w:hAnsiTheme="majorHAnsi"/>
          <w:spacing w:val="-3"/>
          <w:sz w:val="20"/>
          <w:szCs w:val="20"/>
        </w:rPr>
        <w:t xml:space="preserve"> </w:t>
      </w:r>
      <w:r w:rsidRPr="000977F7">
        <w:rPr>
          <w:rFonts w:asciiTheme="majorHAnsi" w:hAnsiTheme="majorHAnsi"/>
          <w:sz w:val="20"/>
          <w:szCs w:val="20"/>
        </w:rPr>
        <w:t>REDUNDANCY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061D51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Резервування, при якому використовується здатність</w:t>
      </w:r>
      <w:r w:rsidRPr="000977F7">
        <w:rPr>
          <w:rFonts w:asciiTheme="majorHAnsi" w:hAnsiTheme="majorHAnsi"/>
          <w:spacing w:val="1"/>
          <w:sz w:val="20"/>
          <w:szCs w:val="20"/>
        </w:rPr>
        <w:t xml:space="preserve"> </w:t>
      </w:r>
      <w:r w:rsidRPr="000977F7">
        <w:rPr>
          <w:rFonts w:asciiTheme="majorHAnsi" w:hAnsiTheme="majorHAnsi"/>
          <w:sz w:val="20"/>
          <w:szCs w:val="20"/>
        </w:rPr>
        <w:t>елементів об’єкта сприймати додаткові навантаження</w:t>
      </w:r>
      <w:r w:rsidRPr="000977F7">
        <w:rPr>
          <w:rFonts w:asciiTheme="majorHAnsi" w:hAnsiTheme="majorHAnsi"/>
          <w:spacing w:val="1"/>
          <w:sz w:val="20"/>
          <w:szCs w:val="20"/>
        </w:rPr>
        <w:t xml:space="preserve"> </w:t>
      </w:r>
      <w:r w:rsidRPr="000977F7">
        <w:rPr>
          <w:rFonts w:asciiTheme="majorHAnsi" w:hAnsiTheme="majorHAnsi"/>
          <w:sz w:val="20"/>
          <w:szCs w:val="20"/>
        </w:rPr>
        <w:t>поверх</w:t>
      </w:r>
      <w:r w:rsidRPr="000977F7">
        <w:rPr>
          <w:rFonts w:asciiTheme="majorHAnsi" w:hAnsiTheme="majorHAnsi"/>
          <w:spacing w:val="-2"/>
          <w:sz w:val="20"/>
          <w:szCs w:val="20"/>
        </w:rPr>
        <w:t xml:space="preserve"> </w:t>
      </w:r>
      <w:r w:rsidRPr="000977F7">
        <w:rPr>
          <w:rFonts w:asciiTheme="majorHAnsi" w:hAnsiTheme="majorHAnsi"/>
          <w:sz w:val="20"/>
          <w:szCs w:val="20"/>
        </w:rPr>
        <w:t>номінальних</w:t>
      </w:r>
    </w:p>
    <w:p w14:paraId="1438696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 94</w:t>
      </w:r>
      <w:r w:rsidRPr="000977F7">
        <w:rPr>
          <w:rFonts w:asciiTheme="majorHAnsi" w:hAnsiTheme="majorHAnsi"/>
          <w:i/>
          <w:spacing w:val="1"/>
          <w:sz w:val="20"/>
          <w:szCs w:val="20"/>
        </w:rPr>
        <w:t xml:space="preserve"> </w:t>
      </w:r>
      <w:r w:rsidRPr="000977F7">
        <w:rPr>
          <w:rFonts w:asciiTheme="majorHAnsi" w:hAnsiTheme="majorHAnsi"/>
          <w:b/>
          <w:sz w:val="20"/>
          <w:szCs w:val="20"/>
        </w:rPr>
        <w:t xml:space="preserve">НАВМИСНА ВИБІРКА </w:t>
      </w:r>
      <w:r w:rsidRPr="000977F7">
        <w:rPr>
          <w:rFonts w:asciiTheme="majorHAnsi" w:hAnsiTheme="majorHAnsi"/>
          <w:sz w:val="20"/>
          <w:szCs w:val="20"/>
        </w:rPr>
        <w:t>–</w:t>
      </w:r>
      <w:r w:rsidRPr="000977F7">
        <w:rPr>
          <w:rFonts w:asciiTheme="majorHAnsi" w:hAnsiTheme="majorHAnsi"/>
          <w:spacing w:val="-47"/>
          <w:sz w:val="20"/>
          <w:szCs w:val="20"/>
        </w:rPr>
        <w:t xml:space="preserve"> </w:t>
      </w:r>
      <w:r w:rsidRPr="000977F7">
        <w:rPr>
          <w:rFonts w:asciiTheme="majorHAnsi" w:hAnsiTheme="majorHAnsi"/>
          <w:sz w:val="20"/>
          <w:szCs w:val="20"/>
        </w:rPr>
        <w:t>SPOT</w:t>
      </w:r>
      <w:r w:rsidRPr="000977F7">
        <w:rPr>
          <w:rFonts w:asciiTheme="majorHAnsi" w:hAnsiTheme="majorHAnsi"/>
          <w:spacing w:val="2"/>
          <w:sz w:val="20"/>
          <w:szCs w:val="20"/>
        </w:rPr>
        <w:t xml:space="preserve"> </w:t>
      </w:r>
      <w:r w:rsidRPr="000977F7">
        <w:rPr>
          <w:rFonts w:asciiTheme="majorHAnsi" w:hAnsiTheme="majorHAnsi"/>
          <w:sz w:val="20"/>
          <w:szCs w:val="20"/>
        </w:rPr>
        <w:t>SAMPLE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32FBDE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Вибірка, в яку одиниці продукції (спостережені значення)</w:t>
      </w:r>
      <w:r w:rsidRPr="000977F7">
        <w:rPr>
          <w:rFonts w:asciiTheme="majorHAnsi" w:hAnsiTheme="majorHAnsi"/>
          <w:spacing w:val="1"/>
          <w:sz w:val="20"/>
          <w:szCs w:val="20"/>
        </w:rPr>
        <w:t xml:space="preserve"> </w:t>
      </w:r>
      <w:r w:rsidRPr="000977F7">
        <w:rPr>
          <w:rFonts w:asciiTheme="majorHAnsi" w:hAnsiTheme="majorHAnsi"/>
          <w:sz w:val="20"/>
          <w:szCs w:val="20"/>
        </w:rPr>
        <w:t>відбирають</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тенденцією</w:t>
      </w:r>
      <w:r w:rsidRPr="000977F7">
        <w:rPr>
          <w:rFonts w:asciiTheme="majorHAnsi" w:hAnsiTheme="majorHAnsi"/>
          <w:spacing w:val="1"/>
          <w:sz w:val="20"/>
          <w:szCs w:val="20"/>
        </w:rPr>
        <w:t xml:space="preserve"> </w:t>
      </w:r>
      <w:r w:rsidRPr="000977F7">
        <w:rPr>
          <w:rFonts w:asciiTheme="majorHAnsi" w:hAnsiTheme="majorHAnsi"/>
          <w:sz w:val="20"/>
          <w:szCs w:val="20"/>
        </w:rPr>
        <w:t>зміни</w:t>
      </w:r>
      <w:r w:rsidRPr="000977F7">
        <w:rPr>
          <w:rFonts w:asciiTheme="majorHAnsi" w:hAnsiTheme="majorHAnsi"/>
          <w:spacing w:val="1"/>
          <w:sz w:val="20"/>
          <w:szCs w:val="20"/>
        </w:rPr>
        <w:t xml:space="preserve"> </w:t>
      </w:r>
      <w:r w:rsidRPr="000977F7">
        <w:rPr>
          <w:rFonts w:asciiTheme="majorHAnsi" w:hAnsiTheme="majorHAnsi"/>
          <w:sz w:val="20"/>
          <w:szCs w:val="20"/>
        </w:rPr>
        <w:t>ймовірності</w:t>
      </w:r>
      <w:r w:rsidRPr="000977F7">
        <w:rPr>
          <w:rFonts w:asciiTheme="majorHAnsi" w:hAnsiTheme="majorHAnsi"/>
          <w:spacing w:val="1"/>
          <w:sz w:val="20"/>
          <w:szCs w:val="20"/>
        </w:rPr>
        <w:t xml:space="preserve"> </w:t>
      </w:r>
      <w:r w:rsidRPr="000977F7">
        <w:rPr>
          <w:rFonts w:asciiTheme="majorHAnsi" w:hAnsiTheme="majorHAnsi"/>
          <w:sz w:val="20"/>
          <w:szCs w:val="20"/>
        </w:rPr>
        <w:t>відбору</w:t>
      </w:r>
      <w:r w:rsidRPr="000977F7">
        <w:rPr>
          <w:rFonts w:asciiTheme="majorHAnsi" w:hAnsiTheme="majorHAnsi"/>
          <w:spacing w:val="-2"/>
          <w:sz w:val="20"/>
          <w:szCs w:val="20"/>
        </w:rPr>
        <w:t xml:space="preserve"> </w:t>
      </w:r>
      <w:r w:rsidRPr="000977F7">
        <w:rPr>
          <w:rFonts w:asciiTheme="majorHAnsi" w:hAnsiTheme="majorHAnsi"/>
          <w:sz w:val="20"/>
          <w:szCs w:val="20"/>
        </w:rPr>
        <w:t>визначених</w:t>
      </w:r>
      <w:r w:rsidRPr="000977F7">
        <w:rPr>
          <w:rFonts w:asciiTheme="majorHAnsi" w:hAnsiTheme="majorHAnsi"/>
          <w:spacing w:val="-2"/>
          <w:sz w:val="20"/>
          <w:szCs w:val="20"/>
        </w:rPr>
        <w:t xml:space="preserve"> </w:t>
      </w:r>
      <w:r w:rsidRPr="000977F7">
        <w:rPr>
          <w:rFonts w:asciiTheme="majorHAnsi" w:hAnsiTheme="majorHAnsi"/>
          <w:sz w:val="20"/>
          <w:szCs w:val="20"/>
        </w:rPr>
        <w:t>одиниць</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69941C1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7206261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НАВЧАННЯ</w:t>
      </w:r>
      <w:r w:rsidRPr="000977F7">
        <w:rPr>
          <w:color w:val="auto"/>
          <w:spacing w:val="-3"/>
          <w:sz w:val="20"/>
          <w:szCs w:val="20"/>
        </w:rPr>
        <w:t xml:space="preserve"> </w:t>
      </w:r>
      <w:r w:rsidRPr="000977F7">
        <w:rPr>
          <w:color w:val="auto"/>
          <w:sz w:val="20"/>
          <w:szCs w:val="20"/>
        </w:rPr>
        <w:t>З</w:t>
      </w:r>
      <w:r w:rsidRPr="000977F7">
        <w:rPr>
          <w:color w:val="auto"/>
          <w:spacing w:val="-3"/>
          <w:sz w:val="20"/>
          <w:szCs w:val="20"/>
        </w:rPr>
        <w:t xml:space="preserve"> </w:t>
      </w:r>
      <w:r w:rsidRPr="000977F7">
        <w:rPr>
          <w:color w:val="auto"/>
          <w:sz w:val="20"/>
          <w:szCs w:val="20"/>
        </w:rPr>
        <w:t>ПИТАНЬ</w:t>
      </w:r>
      <w:r w:rsidRPr="000977F7">
        <w:rPr>
          <w:color w:val="auto"/>
          <w:spacing w:val="-3"/>
          <w:sz w:val="20"/>
          <w:szCs w:val="20"/>
        </w:rPr>
        <w:t xml:space="preserve"> </w:t>
      </w:r>
      <w:r w:rsidRPr="000977F7">
        <w:rPr>
          <w:color w:val="auto"/>
          <w:sz w:val="20"/>
          <w:szCs w:val="20"/>
        </w:rPr>
        <w:t>ОХОРОНИ</w:t>
      </w:r>
      <w:r w:rsidRPr="000977F7">
        <w:rPr>
          <w:color w:val="auto"/>
          <w:spacing w:val="-2"/>
          <w:sz w:val="20"/>
          <w:szCs w:val="20"/>
        </w:rPr>
        <w:t xml:space="preserve"> </w:t>
      </w:r>
      <w:r w:rsidRPr="000977F7">
        <w:rPr>
          <w:color w:val="auto"/>
          <w:sz w:val="20"/>
          <w:szCs w:val="20"/>
        </w:rPr>
        <w:t>ПРАЦІ</w:t>
      </w:r>
      <w:r w:rsidRPr="000977F7">
        <w:rPr>
          <w:color w:val="auto"/>
          <w:spacing w:val="1"/>
          <w:sz w:val="20"/>
          <w:szCs w:val="20"/>
        </w:rPr>
        <w:t xml:space="preserve"> </w:t>
      </w:r>
      <w:r w:rsidRPr="000977F7">
        <w:rPr>
          <w:color w:val="auto"/>
          <w:sz w:val="20"/>
          <w:szCs w:val="20"/>
        </w:rPr>
        <w:t>-</w:t>
      </w:r>
    </w:p>
    <w:p w14:paraId="70EF759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Працівники під час прийняття на роботу і в процесі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роботи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повинні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проходити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рахунок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роботодавця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інструктаж, навчання з питань охорони праці, з надання першої медичної допомоги потерпілим від нещасних випадків і правил поведінки у разі виникнення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аварії.</w:t>
      </w:r>
    </w:p>
    <w:p w14:paraId="2D7E7E1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Працівники, зайняті на роботах з підвищеною небезпекою або там, де є потреба у професійному доборі,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повинні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щороку проходити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рахунок роботодавця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спеціальне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навчання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перевірку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знань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відповідних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нормативно-правових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актів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охорони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праці.</w:t>
      </w:r>
    </w:p>
    <w:p w14:paraId="68B9062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Перелік робіт з підвищеною небезпекою затверджується центральним органом виконавчої влади, що забезпечує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формування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державної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політики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сфері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охорони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праці.</w:t>
      </w:r>
    </w:p>
    <w:p w14:paraId="1D2E34C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Посадові особи, діяльність яких пов'язана з організацією безпечного ведення робіт, під час прийняття на</w:t>
      </w:r>
      <w:r w:rsidRPr="000977F7">
        <w:rPr>
          <w:rFonts w:asciiTheme="majorHAnsi" w:hAnsiTheme="majorHAnsi"/>
          <w:spacing w:val="1"/>
          <w:sz w:val="20"/>
          <w:szCs w:val="20"/>
        </w:rPr>
        <w:t xml:space="preserve"> </w:t>
      </w:r>
      <w:r w:rsidRPr="000977F7">
        <w:rPr>
          <w:rFonts w:asciiTheme="majorHAnsi" w:hAnsiTheme="majorHAnsi"/>
          <w:sz w:val="20"/>
          <w:szCs w:val="20"/>
        </w:rPr>
        <w:t>роботу і періодично, один раз на три роки, проходять</w:t>
      </w:r>
      <w:r w:rsidRPr="000977F7">
        <w:rPr>
          <w:rFonts w:asciiTheme="majorHAnsi" w:hAnsiTheme="majorHAnsi"/>
          <w:spacing w:val="1"/>
          <w:sz w:val="20"/>
          <w:szCs w:val="20"/>
        </w:rPr>
        <w:t xml:space="preserve"> </w:t>
      </w:r>
      <w:r w:rsidRPr="000977F7">
        <w:rPr>
          <w:rFonts w:asciiTheme="majorHAnsi" w:hAnsiTheme="majorHAnsi"/>
          <w:sz w:val="20"/>
          <w:szCs w:val="20"/>
        </w:rPr>
        <w:t>навчання, а також перевірку знань з питань охорони</w:t>
      </w:r>
      <w:r w:rsidRPr="000977F7">
        <w:rPr>
          <w:rFonts w:asciiTheme="majorHAnsi" w:hAnsiTheme="majorHAnsi"/>
          <w:spacing w:val="1"/>
          <w:sz w:val="20"/>
          <w:szCs w:val="20"/>
        </w:rPr>
        <w:t xml:space="preserve"> </w:t>
      </w:r>
      <w:r w:rsidRPr="000977F7">
        <w:rPr>
          <w:rFonts w:asciiTheme="majorHAnsi" w:hAnsiTheme="majorHAnsi"/>
          <w:sz w:val="20"/>
          <w:szCs w:val="20"/>
        </w:rPr>
        <w:t>праці</w:t>
      </w:r>
      <w:r w:rsidRPr="000977F7">
        <w:rPr>
          <w:rFonts w:asciiTheme="majorHAnsi" w:hAnsiTheme="majorHAnsi"/>
          <w:spacing w:val="-2"/>
          <w:sz w:val="20"/>
          <w:szCs w:val="20"/>
        </w:rPr>
        <w:t xml:space="preserve"> </w:t>
      </w:r>
      <w:r w:rsidRPr="000977F7">
        <w:rPr>
          <w:rFonts w:asciiTheme="majorHAnsi" w:hAnsiTheme="majorHAnsi"/>
          <w:sz w:val="20"/>
          <w:szCs w:val="20"/>
        </w:rPr>
        <w:t>за</w:t>
      </w:r>
      <w:r w:rsidRPr="000977F7">
        <w:rPr>
          <w:rFonts w:asciiTheme="majorHAnsi" w:hAnsiTheme="majorHAnsi"/>
          <w:spacing w:val="3"/>
          <w:sz w:val="20"/>
          <w:szCs w:val="20"/>
        </w:rPr>
        <w:t xml:space="preserve"> </w:t>
      </w:r>
      <w:r w:rsidRPr="000977F7">
        <w:rPr>
          <w:rFonts w:asciiTheme="majorHAnsi" w:hAnsiTheme="majorHAnsi"/>
          <w:sz w:val="20"/>
          <w:szCs w:val="20"/>
        </w:rPr>
        <w:t>участю профспілок.</w:t>
      </w:r>
    </w:p>
    <w:p w14:paraId="10AA8C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Порядок</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1"/>
          <w:sz w:val="20"/>
          <w:szCs w:val="20"/>
        </w:rPr>
        <w:t xml:space="preserve"> </w:t>
      </w:r>
      <w:r w:rsidRPr="000977F7">
        <w:rPr>
          <w:rFonts w:asciiTheme="majorHAnsi" w:hAnsiTheme="majorHAnsi"/>
          <w:sz w:val="20"/>
          <w:szCs w:val="20"/>
        </w:rPr>
        <w:t>навчання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перевірки</w:t>
      </w:r>
      <w:r w:rsidRPr="000977F7">
        <w:rPr>
          <w:rFonts w:asciiTheme="majorHAnsi" w:hAnsiTheme="majorHAnsi"/>
          <w:spacing w:val="1"/>
          <w:sz w:val="20"/>
          <w:szCs w:val="20"/>
        </w:rPr>
        <w:t xml:space="preserve"> </w:t>
      </w:r>
      <w:r w:rsidRPr="000977F7">
        <w:rPr>
          <w:rFonts w:asciiTheme="majorHAnsi" w:hAnsiTheme="majorHAnsi"/>
          <w:sz w:val="20"/>
          <w:szCs w:val="20"/>
        </w:rPr>
        <w:t>знань</w:t>
      </w:r>
      <w:r w:rsidRPr="000977F7">
        <w:rPr>
          <w:rFonts w:asciiTheme="majorHAnsi" w:hAnsiTheme="majorHAnsi"/>
          <w:spacing w:val="1"/>
          <w:sz w:val="20"/>
          <w:szCs w:val="20"/>
        </w:rPr>
        <w:t xml:space="preserve"> </w:t>
      </w:r>
      <w:r w:rsidRPr="000977F7">
        <w:rPr>
          <w:rFonts w:asciiTheme="majorHAnsi" w:hAnsiTheme="majorHAnsi"/>
          <w:sz w:val="20"/>
          <w:szCs w:val="20"/>
        </w:rPr>
        <w:t>посадових осіб з питань охорони праці визначається</w:t>
      </w:r>
      <w:r w:rsidRPr="000977F7">
        <w:rPr>
          <w:rFonts w:asciiTheme="majorHAnsi" w:hAnsiTheme="majorHAnsi"/>
          <w:spacing w:val="1"/>
          <w:sz w:val="20"/>
          <w:szCs w:val="20"/>
        </w:rPr>
        <w:t xml:space="preserve"> </w:t>
      </w:r>
      <w:r w:rsidRPr="000977F7">
        <w:rPr>
          <w:rFonts w:asciiTheme="majorHAnsi" w:hAnsiTheme="majorHAnsi"/>
          <w:sz w:val="20"/>
          <w:szCs w:val="20"/>
        </w:rPr>
        <w:t>типовим</w:t>
      </w:r>
      <w:r w:rsidRPr="000977F7">
        <w:rPr>
          <w:rFonts w:asciiTheme="majorHAnsi" w:hAnsiTheme="majorHAnsi"/>
          <w:spacing w:val="1"/>
          <w:sz w:val="20"/>
          <w:szCs w:val="20"/>
        </w:rPr>
        <w:t xml:space="preserve"> </w:t>
      </w:r>
      <w:r w:rsidRPr="000977F7">
        <w:rPr>
          <w:rFonts w:asciiTheme="majorHAnsi" w:hAnsiTheme="majorHAnsi"/>
          <w:sz w:val="20"/>
          <w:szCs w:val="20"/>
        </w:rPr>
        <w:t>положенням,</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затверджується</w:t>
      </w:r>
      <w:r w:rsidRPr="000977F7">
        <w:rPr>
          <w:rFonts w:asciiTheme="majorHAnsi" w:hAnsiTheme="majorHAnsi"/>
          <w:spacing w:val="1"/>
          <w:sz w:val="20"/>
          <w:szCs w:val="20"/>
        </w:rPr>
        <w:t xml:space="preserve"> </w:t>
      </w:r>
      <w:r w:rsidRPr="000977F7">
        <w:rPr>
          <w:rFonts w:asciiTheme="majorHAnsi" w:hAnsiTheme="majorHAnsi"/>
          <w:sz w:val="20"/>
          <w:szCs w:val="20"/>
        </w:rPr>
        <w:t>центральним органом виконавчої влади, що забезпечує формування</w:t>
      </w:r>
      <w:r w:rsidRPr="000977F7">
        <w:rPr>
          <w:rFonts w:asciiTheme="majorHAnsi" w:hAnsiTheme="majorHAnsi"/>
          <w:spacing w:val="-3"/>
          <w:sz w:val="20"/>
          <w:szCs w:val="20"/>
        </w:rPr>
        <w:t xml:space="preserve"> </w:t>
      </w:r>
      <w:r w:rsidRPr="000977F7">
        <w:rPr>
          <w:rFonts w:asciiTheme="majorHAnsi" w:hAnsiTheme="majorHAnsi"/>
          <w:sz w:val="20"/>
          <w:szCs w:val="20"/>
        </w:rPr>
        <w:t>державної</w:t>
      </w:r>
      <w:r w:rsidRPr="000977F7">
        <w:rPr>
          <w:rFonts w:asciiTheme="majorHAnsi" w:hAnsiTheme="majorHAnsi"/>
          <w:spacing w:val="1"/>
          <w:sz w:val="20"/>
          <w:szCs w:val="20"/>
        </w:rPr>
        <w:t xml:space="preserve"> </w:t>
      </w:r>
      <w:r w:rsidRPr="000977F7">
        <w:rPr>
          <w:rFonts w:asciiTheme="majorHAnsi" w:hAnsiTheme="majorHAnsi"/>
          <w:sz w:val="20"/>
          <w:szCs w:val="20"/>
        </w:rPr>
        <w:t>політики</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сфері</w:t>
      </w:r>
      <w:r w:rsidRPr="000977F7">
        <w:rPr>
          <w:rFonts w:asciiTheme="majorHAnsi" w:hAnsiTheme="majorHAnsi"/>
          <w:spacing w:val="-2"/>
          <w:sz w:val="20"/>
          <w:szCs w:val="20"/>
        </w:rPr>
        <w:t xml:space="preserve"> </w:t>
      </w:r>
      <w:r w:rsidRPr="000977F7">
        <w:rPr>
          <w:rFonts w:asciiTheme="majorHAnsi" w:hAnsiTheme="majorHAnsi"/>
          <w:sz w:val="20"/>
          <w:szCs w:val="20"/>
        </w:rPr>
        <w:t>охорони</w:t>
      </w:r>
      <w:r w:rsidRPr="000977F7">
        <w:rPr>
          <w:rFonts w:asciiTheme="majorHAnsi" w:hAnsiTheme="majorHAnsi"/>
          <w:spacing w:val="-3"/>
          <w:sz w:val="20"/>
          <w:szCs w:val="20"/>
        </w:rPr>
        <w:t xml:space="preserve"> </w:t>
      </w:r>
      <w:r w:rsidRPr="000977F7">
        <w:rPr>
          <w:rFonts w:asciiTheme="majorHAnsi" w:hAnsiTheme="majorHAnsi"/>
          <w:sz w:val="20"/>
          <w:szCs w:val="20"/>
        </w:rPr>
        <w:t>праці.</w:t>
      </w:r>
    </w:p>
    <w:p w14:paraId="79CEBAC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 допускаються до роботи працівники, у тому числі</w:t>
      </w:r>
      <w:r w:rsidRPr="000977F7">
        <w:rPr>
          <w:rFonts w:asciiTheme="majorHAnsi" w:hAnsiTheme="majorHAnsi"/>
          <w:spacing w:val="1"/>
          <w:sz w:val="20"/>
          <w:szCs w:val="20"/>
        </w:rPr>
        <w:t xml:space="preserve"> </w:t>
      </w:r>
      <w:r w:rsidRPr="000977F7">
        <w:rPr>
          <w:rFonts w:asciiTheme="majorHAnsi" w:hAnsiTheme="majorHAnsi"/>
          <w:sz w:val="20"/>
          <w:szCs w:val="20"/>
        </w:rPr>
        <w:t>посадові</w:t>
      </w:r>
      <w:r w:rsidRPr="000977F7">
        <w:rPr>
          <w:rFonts w:asciiTheme="majorHAnsi" w:hAnsiTheme="majorHAnsi"/>
          <w:spacing w:val="9"/>
          <w:sz w:val="20"/>
          <w:szCs w:val="20"/>
        </w:rPr>
        <w:t xml:space="preserve"> </w:t>
      </w:r>
      <w:r w:rsidRPr="000977F7">
        <w:rPr>
          <w:rFonts w:asciiTheme="majorHAnsi" w:hAnsiTheme="majorHAnsi"/>
          <w:sz w:val="20"/>
          <w:szCs w:val="20"/>
        </w:rPr>
        <w:t>особи,</w:t>
      </w:r>
      <w:r w:rsidRPr="000977F7">
        <w:rPr>
          <w:rFonts w:asciiTheme="majorHAnsi" w:hAnsiTheme="majorHAnsi"/>
          <w:spacing w:val="10"/>
          <w:sz w:val="20"/>
          <w:szCs w:val="20"/>
        </w:rPr>
        <w:t xml:space="preserve"> </w:t>
      </w:r>
      <w:r w:rsidRPr="000977F7">
        <w:rPr>
          <w:rFonts w:asciiTheme="majorHAnsi" w:hAnsiTheme="majorHAnsi"/>
          <w:sz w:val="20"/>
          <w:szCs w:val="20"/>
        </w:rPr>
        <w:t>які</w:t>
      </w:r>
      <w:r w:rsidRPr="000977F7">
        <w:rPr>
          <w:rFonts w:asciiTheme="majorHAnsi" w:hAnsiTheme="majorHAnsi"/>
          <w:spacing w:val="12"/>
          <w:sz w:val="20"/>
          <w:szCs w:val="20"/>
        </w:rPr>
        <w:t xml:space="preserve"> </w:t>
      </w:r>
      <w:r w:rsidRPr="000977F7">
        <w:rPr>
          <w:rFonts w:asciiTheme="majorHAnsi" w:hAnsiTheme="majorHAnsi"/>
          <w:sz w:val="20"/>
          <w:szCs w:val="20"/>
        </w:rPr>
        <w:t>не</w:t>
      </w:r>
      <w:r w:rsidRPr="000977F7">
        <w:rPr>
          <w:rFonts w:asciiTheme="majorHAnsi" w:hAnsiTheme="majorHAnsi"/>
          <w:spacing w:val="12"/>
          <w:sz w:val="20"/>
          <w:szCs w:val="20"/>
        </w:rPr>
        <w:t xml:space="preserve"> </w:t>
      </w:r>
      <w:r w:rsidRPr="000977F7">
        <w:rPr>
          <w:rFonts w:asciiTheme="majorHAnsi" w:hAnsiTheme="majorHAnsi"/>
          <w:sz w:val="20"/>
          <w:szCs w:val="20"/>
        </w:rPr>
        <w:t>пройшли</w:t>
      </w:r>
      <w:r w:rsidRPr="000977F7">
        <w:rPr>
          <w:rFonts w:asciiTheme="majorHAnsi" w:hAnsiTheme="majorHAnsi"/>
          <w:spacing w:val="11"/>
          <w:sz w:val="20"/>
          <w:szCs w:val="20"/>
        </w:rPr>
        <w:t xml:space="preserve"> </w:t>
      </w:r>
      <w:r w:rsidRPr="000977F7">
        <w:rPr>
          <w:rFonts w:asciiTheme="majorHAnsi" w:hAnsiTheme="majorHAnsi"/>
          <w:sz w:val="20"/>
          <w:szCs w:val="20"/>
        </w:rPr>
        <w:t>навчання,</w:t>
      </w:r>
      <w:r w:rsidRPr="000977F7">
        <w:rPr>
          <w:rFonts w:asciiTheme="majorHAnsi" w:hAnsiTheme="majorHAnsi"/>
          <w:spacing w:val="13"/>
          <w:sz w:val="20"/>
          <w:szCs w:val="20"/>
        </w:rPr>
        <w:t xml:space="preserve"> </w:t>
      </w:r>
      <w:r w:rsidRPr="000977F7">
        <w:rPr>
          <w:rFonts w:asciiTheme="majorHAnsi" w:hAnsiTheme="majorHAnsi"/>
          <w:sz w:val="20"/>
          <w:szCs w:val="20"/>
        </w:rPr>
        <w:t>інструктаж</w:t>
      </w:r>
      <w:r w:rsidRPr="000977F7">
        <w:rPr>
          <w:rFonts w:asciiTheme="majorHAnsi" w:hAnsiTheme="majorHAnsi"/>
          <w:spacing w:val="-47"/>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перевірку</w:t>
      </w:r>
      <w:r w:rsidRPr="000977F7">
        <w:rPr>
          <w:rFonts w:asciiTheme="majorHAnsi" w:hAnsiTheme="majorHAnsi"/>
          <w:spacing w:val="-4"/>
          <w:sz w:val="20"/>
          <w:szCs w:val="20"/>
        </w:rPr>
        <w:t xml:space="preserve"> </w:t>
      </w:r>
      <w:r w:rsidRPr="000977F7">
        <w:rPr>
          <w:rFonts w:asciiTheme="majorHAnsi" w:hAnsiTheme="majorHAnsi"/>
          <w:sz w:val="20"/>
          <w:szCs w:val="20"/>
        </w:rPr>
        <w:t>знань з</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1"/>
          <w:sz w:val="20"/>
          <w:szCs w:val="20"/>
        </w:rPr>
        <w:t xml:space="preserve"> </w:t>
      </w:r>
      <w:r w:rsidRPr="000977F7">
        <w:rPr>
          <w:rFonts w:asciiTheme="majorHAnsi" w:hAnsiTheme="majorHAnsi"/>
          <w:sz w:val="20"/>
          <w:szCs w:val="20"/>
        </w:rPr>
        <w:t>праці.</w:t>
      </w:r>
    </w:p>
    <w:p w14:paraId="0AE080F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разі виявлення у працівників, у тому числі посадових осіб, незадовільних знань з питань охорони праці,</w:t>
      </w:r>
      <w:r w:rsidRPr="000977F7">
        <w:rPr>
          <w:rFonts w:asciiTheme="majorHAnsi" w:hAnsiTheme="majorHAnsi"/>
          <w:spacing w:val="1"/>
          <w:sz w:val="20"/>
          <w:szCs w:val="20"/>
        </w:rPr>
        <w:t xml:space="preserve"> </w:t>
      </w:r>
      <w:r w:rsidRPr="000977F7">
        <w:rPr>
          <w:rFonts w:asciiTheme="majorHAnsi" w:hAnsiTheme="majorHAnsi"/>
          <w:sz w:val="20"/>
          <w:szCs w:val="20"/>
        </w:rPr>
        <w:t>вони повинні у місячний строк пройти повторне навчання</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перевірку</w:t>
      </w:r>
      <w:r w:rsidRPr="000977F7">
        <w:rPr>
          <w:rFonts w:asciiTheme="majorHAnsi" w:hAnsiTheme="majorHAnsi"/>
          <w:spacing w:val="-4"/>
          <w:sz w:val="20"/>
          <w:szCs w:val="20"/>
        </w:rPr>
        <w:t xml:space="preserve"> </w:t>
      </w:r>
      <w:r w:rsidRPr="000977F7">
        <w:rPr>
          <w:rFonts w:asciiTheme="majorHAnsi" w:hAnsiTheme="majorHAnsi"/>
          <w:sz w:val="20"/>
          <w:szCs w:val="20"/>
        </w:rPr>
        <w:t>знань.</w:t>
      </w:r>
    </w:p>
    <w:p w14:paraId="61C07CB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Вивчення основ охорони праці, а також підготовка та</w:t>
      </w:r>
      <w:r w:rsidRPr="000977F7">
        <w:rPr>
          <w:rFonts w:asciiTheme="majorHAnsi" w:hAnsiTheme="majorHAnsi"/>
          <w:spacing w:val="1"/>
          <w:sz w:val="20"/>
          <w:szCs w:val="20"/>
        </w:rPr>
        <w:t xml:space="preserve"> </w:t>
      </w:r>
      <w:r w:rsidRPr="000977F7">
        <w:rPr>
          <w:rFonts w:asciiTheme="majorHAnsi" w:hAnsiTheme="majorHAnsi"/>
          <w:sz w:val="20"/>
          <w:szCs w:val="20"/>
        </w:rPr>
        <w:t>підвищення</w:t>
      </w:r>
      <w:r w:rsidRPr="000977F7">
        <w:rPr>
          <w:rFonts w:asciiTheme="majorHAnsi" w:hAnsiTheme="majorHAnsi"/>
          <w:spacing w:val="19"/>
          <w:sz w:val="20"/>
          <w:szCs w:val="20"/>
        </w:rPr>
        <w:t xml:space="preserve"> </w:t>
      </w:r>
      <w:r w:rsidRPr="000977F7">
        <w:rPr>
          <w:rFonts w:asciiTheme="majorHAnsi" w:hAnsiTheme="majorHAnsi"/>
          <w:sz w:val="20"/>
          <w:szCs w:val="20"/>
        </w:rPr>
        <w:t>кваліфікації</w:t>
      </w:r>
      <w:r w:rsidRPr="000977F7">
        <w:rPr>
          <w:rFonts w:asciiTheme="majorHAnsi" w:hAnsiTheme="majorHAnsi"/>
          <w:spacing w:val="19"/>
          <w:sz w:val="20"/>
          <w:szCs w:val="20"/>
        </w:rPr>
        <w:t xml:space="preserve"> </w:t>
      </w:r>
      <w:r w:rsidRPr="000977F7">
        <w:rPr>
          <w:rFonts w:asciiTheme="majorHAnsi" w:hAnsiTheme="majorHAnsi"/>
          <w:sz w:val="20"/>
          <w:szCs w:val="20"/>
        </w:rPr>
        <w:t>спеціалістів</w:t>
      </w:r>
      <w:r w:rsidRPr="000977F7">
        <w:rPr>
          <w:rFonts w:asciiTheme="majorHAnsi" w:hAnsiTheme="majorHAnsi"/>
          <w:spacing w:val="19"/>
          <w:sz w:val="20"/>
          <w:szCs w:val="20"/>
        </w:rPr>
        <w:t xml:space="preserve"> </w:t>
      </w:r>
      <w:r w:rsidRPr="000977F7">
        <w:rPr>
          <w:rFonts w:asciiTheme="majorHAnsi" w:hAnsiTheme="majorHAnsi"/>
          <w:sz w:val="20"/>
          <w:szCs w:val="20"/>
        </w:rPr>
        <w:t>з</w:t>
      </w:r>
      <w:r w:rsidRPr="000977F7">
        <w:rPr>
          <w:rFonts w:asciiTheme="majorHAnsi" w:hAnsiTheme="majorHAnsi"/>
          <w:spacing w:val="20"/>
          <w:sz w:val="20"/>
          <w:szCs w:val="20"/>
        </w:rPr>
        <w:t xml:space="preserve"> </w:t>
      </w:r>
      <w:r w:rsidRPr="000977F7">
        <w:rPr>
          <w:rFonts w:asciiTheme="majorHAnsi" w:hAnsiTheme="majorHAnsi"/>
          <w:sz w:val="20"/>
          <w:szCs w:val="20"/>
        </w:rPr>
        <w:t>охорони</w:t>
      </w:r>
      <w:r w:rsidRPr="000977F7">
        <w:rPr>
          <w:rFonts w:asciiTheme="majorHAnsi" w:hAnsiTheme="majorHAnsi"/>
          <w:spacing w:val="19"/>
          <w:sz w:val="20"/>
          <w:szCs w:val="20"/>
        </w:rPr>
        <w:t xml:space="preserve"> </w:t>
      </w:r>
      <w:r w:rsidRPr="000977F7">
        <w:rPr>
          <w:rFonts w:asciiTheme="majorHAnsi" w:hAnsiTheme="majorHAnsi"/>
          <w:sz w:val="20"/>
          <w:szCs w:val="20"/>
        </w:rPr>
        <w:t>праці</w:t>
      </w:r>
      <w:r w:rsidRPr="000977F7">
        <w:rPr>
          <w:rFonts w:asciiTheme="majorHAnsi" w:hAnsiTheme="majorHAnsi"/>
          <w:spacing w:val="-47"/>
          <w:sz w:val="20"/>
          <w:szCs w:val="20"/>
        </w:rPr>
        <w:t xml:space="preserve"> </w:t>
      </w:r>
      <w:r w:rsidRPr="000977F7">
        <w:rPr>
          <w:rFonts w:asciiTheme="majorHAnsi" w:hAnsiTheme="majorHAnsi"/>
          <w:sz w:val="20"/>
          <w:szCs w:val="20"/>
        </w:rPr>
        <w:t>з урахуванням особливостей виробництва відповідних</w:t>
      </w:r>
      <w:r w:rsidRPr="000977F7">
        <w:rPr>
          <w:rFonts w:asciiTheme="majorHAnsi" w:hAnsiTheme="majorHAnsi"/>
          <w:spacing w:val="-47"/>
          <w:sz w:val="20"/>
          <w:szCs w:val="20"/>
        </w:rPr>
        <w:t xml:space="preserve"> </w:t>
      </w:r>
      <w:r w:rsidRPr="000977F7">
        <w:rPr>
          <w:rFonts w:asciiTheme="majorHAnsi" w:hAnsiTheme="majorHAnsi"/>
          <w:sz w:val="20"/>
          <w:szCs w:val="20"/>
        </w:rPr>
        <w:t>об'єктів економіки забезпечуються центральним органом</w:t>
      </w:r>
      <w:r w:rsidRPr="000977F7">
        <w:rPr>
          <w:rFonts w:asciiTheme="majorHAnsi" w:hAnsiTheme="majorHAnsi"/>
          <w:spacing w:val="1"/>
          <w:sz w:val="20"/>
          <w:szCs w:val="20"/>
        </w:rPr>
        <w:t xml:space="preserve"> </w:t>
      </w:r>
      <w:r w:rsidRPr="000977F7">
        <w:rPr>
          <w:rFonts w:asciiTheme="majorHAnsi" w:hAnsiTheme="majorHAnsi"/>
          <w:sz w:val="20"/>
          <w:szCs w:val="20"/>
        </w:rPr>
        <w:t>виконавчої</w:t>
      </w:r>
      <w:r w:rsidRPr="000977F7">
        <w:rPr>
          <w:rFonts w:asciiTheme="majorHAnsi" w:hAnsiTheme="majorHAnsi"/>
          <w:spacing w:val="1"/>
          <w:sz w:val="20"/>
          <w:szCs w:val="20"/>
        </w:rPr>
        <w:t xml:space="preserve"> </w:t>
      </w:r>
      <w:r w:rsidRPr="000977F7">
        <w:rPr>
          <w:rFonts w:asciiTheme="majorHAnsi" w:hAnsiTheme="majorHAnsi"/>
          <w:sz w:val="20"/>
          <w:szCs w:val="20"/>
        </w:rPr>
        <w:t>влади,</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забезпечує</w:t>
      </w:r>
      <w:r w:rsidRPr="000977F7">
        <w:rPr>
          <w:rFonts w:asciiTheme="majorHAnsi" w:hAnsiTheme="majorHAnsi"/>
          <w:spacing w:val="1"/>
          <w:sz w:val="20"/>
          <w:szCs w:val="20"/>
        </w:rPr>
        <w:t xml:space="preserve"> </w:t>
      </w:r>
      <w:r w:rsidRPr="000977F7">
        <w:rPr>
          <w:rFonts w:asciiTheme="majorHAnsi" w:hAnsiTheme="majorHAnsi"/>
          <w:sz w:val="20"/>
          <w:szCs w:val="20"/>
        </w:rPr>
        <w:t>формування</w:t>
      </w:r>
      <w:r w:rsidRPr="000977F7">
        <w:rPr>
          <w:rFonts w:asciiTheme="majorHAnsi" w:hAnsiTheme="majorHAnsi"/>
          <w:spacing w:val="1"/>
          <w:sz w:val="20"/>
          <w:szCs w:val="20"/>
        </w:rPr>
        <w:t xml:space="preserve"> </w:t>
      </w:r>
      <w:r w:rsidRPr="000977F7">
        <w:rPr>
          <w:rFonts w:asciiTheme="majorHAnsi" w:hAnsiTheme="majorHAnsi"/>
          <w:sz w:val="20"/>
          <w:szCs w:val="20"/>
        </w:rPr>
        <w:t>державної політики у сфері освіти і науки, в усіх навчальних</w:t>
      </w:r>
      <w:r w:rsidRPr="000977F7">
        <w:rPr>
          <w:rFonts w:asciiTheme="majorHAnsi" w:hAnsiTheme="majorHAnsi"/>
          <w:spacing w:val="1"/>
          <w:sz w:val="20"/>
          <w:szCs w:val="20"/>
        </w:rPr>
        <w:t xml:space="preserve"> </w:t>
      </w:r>
      <w:r w:rsidRPr="000977F7">
        <w:rPr>
          <w:rFonts w:asciiTheme="majorHAnsi" w:hAnsiTheme="majorHAnsi"/>
          <w:sz w:val="20"/>
          <w:szCs w:val="20"/>
        </w:rPr>
        <w:t>закладах</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програмами,</w:t>
      </w:r>
      <w:r w:rsidRPr="000977F7">
        <w:rPr>
          <w:rFonts w:asciiTheme="majorHAnsi" w:hAnsiTheme="majorHAnsi"/>
          <w:spacing w:val="1"/>
          <w:sz w:val="20"/>
          <w:szCs w:val="20"/>
        </w:rPr>
        <w:t xml:space="preserve"> </w:t>
      </w:r>
      <w:r w:rsidRPr="000977F7">
        <w:rPr>
          <w:rFonts w:asciiTheme="majorHAnsi" w:hAnsiTheme="majorHAnsi"/>
          <w:sz w:val="20"/>
          <w:szCs w:val="20"/>
        </w:rPr>
        <w:t>погодженими</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центральним органом виконавчої влади, що реалізує</w:t>
      </w:r>
      <w:r w:rsidRPr="000977F7">
        <w:rPr>
          <w:rFonts w:asciiTheme="majorHAnsi" w:hAnsiTheme="majorHAnsi"/>
          <w:spacing w:val="1"/>
          <w:sz w:val="20"/>
          <w:szCs w:val="20"/>
        </w:rPr>
        <w:t xml:space="preserve"> </w:t>
      </w:r>
      <w:r w:rsidRPr="000977F7">
        <w:rPr>
          <w:rFonts w:asciiTheme="majorHAnsi" w:hAnsiTheme="majorHAnsi"/>
          <w:sz w:val="20"/>
          <w:szCs w:val="20"/>
        </w:rPr>
        <w:t>державну</w:t>
      </w:r>
      <w:r w:rsidRPr="000977F7">
        <w:rPr>
          <w:rFonts w:asciiTheme="majorHAnsi" w:hAnsiTheme="majorHAnsi"/>
          <w:spacing w:val="-2"/>
          <w:sz w:val="20"/>
          <w:szCs w:val="20"/>
        </w:rPr>
        <w:t xml:space="preserve"> </w:t>
      </w:r>
      <w:r w:rsidRPr="000977F7">
        <w:rPr>
          <w:rFonts w:asciiTheme="majorHAnsi" w:hAnsiTheme="majorHAnsi"/>
          <w:sz w:val="20"/>
          <w:szCs w:val="20"/>
        </w:rPr>
        <w:t>політику</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сфері</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1"/>
          <w:sz w:val="20"/>
          <w:szCs w:val="20"/>
        </w:rPr>
        <w:t xml:space="preserve"> </w:t>
      </w:r>
      <w:r w:rsidRPr="000977F7">
        <w:rPr>
          <w:rFonts w:asciiTheme="majorHAnsi" w:hAnsiTheme="majorHAnsi"/>
          <w:sz w:val="20"/>
          <w:szCs w:val="20"/>
        </w:rPr>
        <w:t>праці.</w:t>
      </w:r>
    </w:p>
    <w:p w14:paraId="307E45E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18 закону України "Про охорону праці"</w:t>
      </w:r>
    </w:p>
    <w:p w14:paraId="774CE105"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НАГЛЯД В ХОДІ ПЕРЕВІРКИ ЯКОСТІ –</w:t>
      </w:r>
    </w:p>
    <w:p w14:paraId="5B6173C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QUALITY</w:t>
      </w:r>
      <w:r w:rsidRPr="000977F7">
        <w:rPr>
          <w:rFonts w:asciiTheme="majorHAnsi" w:hAnsiTheme="majorHAnsi"/>
          <w:spacing w:val="-1"/>
          <w:sz w:val="20"/>
          <w:szCs w:val="20"/>
        </w:rPr>
        <w:t xml:space="preserve"> </w:t>
      </w:r>
      <w:r w:rsidRPr="000977F7">
        <w:rPr>
          <w:rFonts w:asciiTheme="majorHAnsi" w:hAnsiTheme="majorHAnsi"/>
          <w:sz w:val="20"/>
          <w:szCs w:val="20"/>
        </w:rPr>
        <w:t>AUDIT</w:t>
      </w:r>
      <w:r w:rsidRPr="000977F7">
        <w:rPr>
          <w:rFonts w:asciiTheme="majorHAnsi" w:hAnsiTheme="majorHAnsi"/>
          <w:spacing w:val="2"/>
          <w:sz w:val="20"/>
          <w:szCs w:val="20"/>
        </w:rPr>
        <w:t xml:space="preserve"> </w:t>
      </w:r>
      <w:r w:rsidRPr="000977F7">
        <w:rPr>
          <w:rFonts w:asciiTheme="majorHAnsi" w:hAnsiTheme="majorHAnsi"/>
          <w:sz w:val="20"/>
          <w:szCs w:val="20"/>
        </w:rPr>
        <w:t>OBSERVATION</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44A46A6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Констатація факту, зроблена в ході перевірки якості і</w:t>
      </w:r>
      <w:r w:rsidRPr="000977F7">
        <w:rPr>
          <w:rFonts w:asciiTheme="majorHAnsi" w:hAnsiTheme="majorHAnsi"/>
          <w:spacing w:val="1"/>
          <w:sz w:val="20"/>
          <w:szCs w:val="20"/>
        </w:rPr>
        <w:t xml:space="preserve"> </w:t>
      </w:r>
      <w:r w:rsidRPr="000977F7">
        <w:rPr>
          <w:rFonts w:asciiTheme="majorHAnsi" w:hAnsiTheme="majorHAnsi"/>
          <w:sz w:val="20"/>
          <w:szCs w:val="20"/>
        </w:rPr>
        <w:t>обґрунтована</w:t>
      </w:r>
      <w:r w:rsidRPr="000977F7">
        <w:rPr>
          <w:rFonts w:asciiTheme="majorHAnsi" w:hAnsiTheme="majorHAnsi"/>
          <w:spacing w:val="-1"/>
          <w:sz w:val="20"/>
          <w:szCs w:val="20"/>
        </w:rPr>
        <w:t xml:space="preserve"> </w:t>
      </w:r>
      <w:r w:rsidRPr="000977F7">
        <w:rPr>
          <w:rFonts w:asciiTheme="majorHAnsi" w:hAnsiTheme="majorHAnsi"/>
          <w:sz w:val="20"/>
          <w:szCs w:val="20"/>
        </w:rPr>
        <w:t>об’єктивним</w:t>
      </w:r>
      <w:r w:rsidRPr="000977F7">
        <w:rPr>
          <w:rFonts w:asciiTheme="majorHAnsi" w:hAnsiTheme="majorHAnsi"/>
          <w:spacing w:val="1"/>
          <w:sz w:val="20"/>
          <w:szCs w:val="20"/>
        </w:rPr>
        <w:t xml:space="preserve"> </w:t>
      </w:r>
      <w:r w:rsidRPr="000977F7">
        <w:rPr>
          <w:rFonts w:asciiTheme="majorHAnsi" w:hAnsiTheme="majorHAnsi"/>
          <w:sz w:val="20"/>
          <w:szCs w:val="20"/>
        </w:rPr>
        <w:t>доказом</w:t>
      </w:r>
    </w:p>
    <w:p w14:paraId="7292863F"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НАГЛЯД</w:t>
      </w:r>
      <w:r w:rsidRPr="004D2D14">
        <w:rPr>
          <w:rFonts w:asciiTheme="majorHAnsi" w:hAnsiTheme="majorHAnsi"/>
          <w:b/>
          <w:sz w:val="20"/>
          <w:szCs w:val="20"/>
          <w:lang w:val="en-US"/>
        </w:rPr>
        <w:t xml:space="preserve"> ( </w:t>
      </w:r>
      <w:r w:rsidRPr="000977F7">
        <w:rPr>
          <w:rFonts w:asciiTheme="majorHAnsi" w:hAnsiTheme="majorHAnsi"/>
          <w:b/>
          <w:sz w:val="20"/>
          <w:szCs w:val="20"/>
        </w:rPr>
        <w:t>ЗА</w:t>
      </w:r>
      <w:r w:rsidRPr="004D2D14">
        <w:rPr>
          <w:rFonts w:asciiTheme="majorHAnsi" w:hAnsiTheme="majorHAnsi"/>
          <w:b/>
          <w:sz w:val="20"/>
          <w:szCs w:val="20"/>
          <w:lang w:val="en-US"/>
        </w:rPr>
        <w:t xml:space="preserve"> </w:t>
      </w:r>
      <w:r w:rsidRPr="000977F7">
        <w:rPr>
          <w:rFonts w:asciiTheme="majorHAnsi" w:hAnsiTheme="majorHAnsi"/>
          <w:b/>
          <w:sz w:val="20"/>
          <w:szCs w:val="20"/>
        </w:rPr>
        <w:t>ВІДПОВІДНІСТЮ</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p>
    <w:p w14:paraId="7A350BC1"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CONFORMITY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SURVEILLANCE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6010E87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Систематичне</w:t>
      </w:r>
      <w:r w:rsidRPr="004D2D14">
        <w:rPr>
          <w:rFonts w:asciiTheme="majorHAnsi" w:hAnsiTheme="majorHAnsi"/>
          <w:sz w:val="20"/>
          <w:szCs w:val="20"/>
          <w:lang w:val="en-US"/>
        </w:rPr>
        <w:t xml:space="preserve"> </w:t>
      </w:r>
      <w:r w:rsidRPr="000977F7">
        <w:rPr>
          <w:rFonts w:asciiTheme="majorHAnsi" w:hAnsiTheme="majorHAnsi"/>
          <w:sz w:val="20"/>
          <w:szCs w:val="20"/>
        </w:rPr>
        <w:t>спостерігання</w:t>
      </w:r>
      <w:r w:rsidRPr="004D2D14">
        <w:rPr>
          <w:rFonts w:asciiTheme="majorHAnsi" w:hAnsiTheme="majorHAnsi"/>
          <w:sz w:val="20"/>
          <w:szCs w:val="20"/>
          <w:lang w:val="en-US"/>
        </w:rPr>
        <w:t xml:space="preserve"> </w:t>
      </w:r>
      <w:r w:rsidRPr="000977F7">
        <w:rPr>
          <w:rFonts w:asciiTheme="majorHAnsi" w:hAnsiTheme="majorHAnsi"/>
          <w:sz w:val="20"/>
          <w:szCs w:val="20"/>
        </w:rPr>
        <w:t>за</w:t>
      </w:r>
      <w:r w:rsidRPr="004D2D14">
        <w:rPr>
          <w:rFonts w:asciiTheme="majorHAnsi" w:hAnsiTheme="majorHAnsi"/>
          <w:sz w:val="20"/>
          <w:szCs w:val="20"/>
          <w:lang w:val="en-US"/>
        </w:rPr>
        <w:t xml:space="preserve"> </w:t>
      </w:r>
      <w:r w:rsidRPr="000977F7">
        <w:rPr>
          <w:rFonts w:asciiTheme="majorHAnsi" w:hAnsiTheme="majorHAnsi"/>
          <w:sz w:val="20"/>
          <w:szCs w:val="20"/>
        </w:rPr>
        <w:t>діями</w:t>
      </w:r>
      <w:r w:rsidRPr="004D2D14">
        <w:rPr>
          <w:rFonts w:asciiTheme="majorHAnsi" w:hAnsiTheme="majorHAnsi"/>
          <w:sz w:val="20"/>
          <w:szCs w:val="20"/>
          <w:lang w:val="en-US"/>
        </w:rPr>
        <w:t xml:space="preserve"> </w:t>
      </w:r>
      <w:r w:rsidRPr="000977F7">
        <w:rPr>
          <w:rFonts w:asciiTheme="majorHAnsi" w:hAnsiTheme="majorHAnsi"/>
          <w:sz w:val="20"/>
          <w:szCs w:val="20"/>
        </w:rPr>
        <w:t>щодо</w:t>
      </w:r>
      <w:r w:rsidRPr="004D2D14">
        <w:rPr>
          <w:rFonts w:asciiTheme="majorHAnsi" w:hAnsiTheme="majorHAnsi"/>
          <w:sz w:val="20"/>
          <w:szCs w:val="20"/>
          <w:lang w:val="en-US"/>
        </w:rPr>
        <w:t xml:space="preserve"> </w:t>
      </w:r>
      <w:r w:rsidRPr="000977F7">
        <w:rPr>
          <w:rFonts w:asciiTheme="majorHAnsi" w:hAnsiTheme="majorHAnsi"/>
          <w:sz w:val="20"/>
          <w:szCs w:val="20"/>
        </w:rPr>
        <w:t>оцінювання</w:t>
      </w:r>
      <w:r w:rsidRPr="004D2D14">
        <w:rPr>
          <w:rFonts w:asciiTheme="majorHAnsi" w:hAnsiTheme="majorHAnsi"/>
          <w:sz w:val="20"/>
          <w:szCs w:val="20"/>
          <w:lang w:val="en-US"/>
        </w:rPr>
        <w:t xml:space="preserve"> </w:t>
      </w:r>
      <w:r w:rsidRPr="000977F7">
        <w:rPr>
          <w:rFonts w:asciiTheme="majorHAnsi" w:hAnsiTheme="majorHAnsi"/>
          <w:sz w:val="20"/>
          <w:szCs w:val="20"/>
        </w:rPr>
        <w:t>відповідності</w:t>
      </w:r>
      <w:r w:rsidRPr="004D2D14">
        <w:rPr>
          <w:rFonts w:asciiTheme="majorHAnsi" w:hAnsiTheme="majorHAnsi"/>
          <w:sz w:val="20"/>
          <w:szCs w:val="20"/>
          <w:lang w:val="en-US"/>
        </w:rPr>
        <w:t xml:space="preserve"> </w:t>
      </w:r>
      <w:r w:rsidRPr="000977F7">
        <w:rPr>
          <w:rFonts w:asciiTheme="majorHAnsi" w:hAnsiTheme="majorHAnsi"/>
          <w:sz w:val="20"/>
          <w:szCs w:val="20"/>
        </w:rPr>
        <w:t>як</w:t>
      </w:r>
      <w:r w:rsidRPr="004D2D14">
        <w:rPr>
          <w:rFonts w:asciiTheme="majorHAnsi" w:hAnsiTheme="majorHAnsi"/>
          <w:sz w:val="20"/>
          <w:szCs w:val="20"/>
          <w:lang w:val="en-US"/>
        </w:rPr>
        <w:t xml:space="preserve"> </w:t>
      </w:r>
      <w:r w:rsidRPr="000977F7">
        <w:rPr>
          <w:rFonts w:asciiTheme="majorHAnsi" w:hAnsiTheme="majorHAnsi"/>
          <w:sz w:val="20"/>
          <w:szCs w:val="20"/>
        </w:rPr>
        <w:t>основи</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підтримання</w:t>
      </w:r>
      <w:r w:rsidRPr="004D2D14">
        <w:rPr>
          <w:rFonts w:asciiTheme="majorHAnsi" w:hAnsiTheme="majorHAnsi"/>
          <w:sz w:val="20"/>
          <w:szCs w:val="20"/>
          <w:lang w:val="en-US"/>
        </w:rPr>
        <w:t xml:space="preserve"> </w:t>
      </w:r>
      <w:r w:rsidRPr="000977F7">
        <w:rPr>
          <w:rFonts w:asciiTheme="majorHAnsi" w:hAnsiTheme="majorHAnsi"/>
          <w:sz w:val="20"/>
          <w:szCs w:val="20"/>
        </w:rPr>
        <w:t>правомірності</w:t>
      </w:r>
      <w:r w:rsidRPr="004D2D14">
        <w:rPr>
          <w:rFonts w:asciiTheme="majorHAnsi" w:hAnsiTheme="majorHAnsi"/>
          <w:spacing w:val="-2"/>
          <w:sz w:val="20"/>
          <w:szCs w:val="20"/>
          <w:lang w:val="en-US"/>
        </w:rPr>
        <w:t xml:space="preserve"> </w:t>
      </w:r>
      <w:r w:rsidRPr="000977F7">
        <w:rPr>
          <w:rFonts w:asciiTheme="majorHAnsi" w:hAnsiTheme="majorHAnsi"/>
          <w:sz w:val="20"/>
          <w:szCs w:val="20"/>
        </w:rPr>
        <w:t>заяви</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про</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відповідність</w:t>
      </w:r>
    </w:p>
    <w:p w14:paraId="03B31917"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bCs/>
          <w:i/>
          <w:iCs/>
          <w:sz w:val="20"/>
          <w:szCs w:val="20"/>
        </w:rPr>
        <w:t>ДСТУ</w:t>
      </w:r>
      <w:r w:rsidRPr="000977F7">
        <w:rPr>
          <w:rFonts w:asciiTheme="majorHAnsi" w:hAnsiTheme="majorHAnsi"/>
          <w:b/>
          <w:i/>
          <w:iCs/>
          <w:sz w:val="20"/>
          <w:szCs w:val="20"/>
        </w:rPr>
        <w:t xml:space="preserve"> </w:t>
      </w:r>
      <w:r w:rsidRPr="000977F7">
        <w:rPr>
          <w:rFonts w:asciiTheme="majorHAnsi" w:hAnsiTheme="majorHAnsi"/>
          <w:i/>
          <w:iCs/>
          <w:sz w:val="20"/>
          <w:szCs w:val="20"/>
        </w:rPr>
        <w:t>ISO/IEC 17000:2007</w:t>
      </w:r>
    </w:p>
    <w:p w14:paraId="08D64480"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НАГЛЯД</w:t>
      </w:r>
      <w:r w:rsidRPr="000977F7">
        <w:rPr>
          <w:rFonts w:asciiTheme="majorHAnsi" w:hAnsiTheme="majorHAnsi"/>
          <w:b/>
          <w:spacing w:val="1"/>
          <w:sz w:val="20"/>
          <w:szCs w:val="20"/>
        </w:rPr>
        <w:t xml:space="preserve"> </w:t>
      </w:r>
      <w:r w:rsidRPr="000977F7">
        <w:rPr>
          <w:rFonts w:asciiTheme="majorHAnsi" w:hAnsiTheme="majorHAnsi"/>
          <w:b/>
          <w:sz w:val="20"/>
          <w:szCs w:val="20"/>
        </w:rPr>
        <w:t>ЗА ЯКІСТЮ –</w:t>
      </w:r>
    </w:p>
    <w:p w14:paraId="1F0E9E5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QUALITY</w:t>
      </w:r>
      <w:r w:rsidRPr="000977F7">
        <w:rPr>
          <w:rFonts w:asciiTheme="majorHAnsi" w:hAnsiTheme="majorHAnsi"/>
          <w:spacing w:val="-11"/>
          <w:sz w:val="20"/>
          <w:szCs w:val="20"/>
        </w:rPr>
        <w:t xml:space="preserve"> </w:t>
      </w:r>
      <w:r w:rsidRPr="000977F7">
        <w:rPr>
          <w:rFonts w:asciiTheme="majorHAnsi" w:hAnsiTheme="majorHAnsi"/>
          <w:sz w:val="20"/>
          <w:szCs w:val="20"/>
        </w:rPr>
        <w:t>SURVEILLANCE</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0EDE5B0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Безперервне</w:t>
      </w:r>
      <w:r w:rsidRPr="000977F7">
        <w:rPr>
          <w:rFonts w:asciiTheme="majorHAnsi" w:hAnsiTheme="majorHAnsi"/>
          <w:spacing w:val="1"/>
          <w:sz w:val="20"/>
          <w:szCs w:val="20"/>
        </w:rPr>
        <w:t xml:space="preserve"> </w:t>
      </w:r>
      <w:r w:rsidRPr="000977F7">
        <w:rPr>
          <w:rFonts w:asciiTheme="majorHAnsi" w:hAnsiTheme="majorHAnsi"/>
          <w:sz w:val="20"/>
          <w:szCs w:val="20"/>
        </w:rPr>
        <w:t>спостереження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перевірка</w:t>
      </w:r>
      <w:r w:rsidRPr="000977F7">
        <w:rPr>
          <w:rFonts w:asciiTheme="majorHAnsi" w:hAnsiTheme="majorHAnsi"/>
          <w:spacing w:val="1"/>
          <w:sz w:val="20"/>
          <w:szCs w:val="20"/>
        </w:rPr>
        <w:t xml:space="preserve"> </w:t>
      </w:r>
      <w:r w:rsidRPr="000977F7">
        <w:rPr>
          <w:rFonts w:asciiTheme="majorHAnsi" w:hAnsiTheme="majorHAnsi"/>
          <w:sz w:val="20"/>
          <w:szCs w:val="20"/>
        </w:rPr>
        <w:t>стану</w:t>
      </w:r>
      <w:r w:rsidRPr="000977F7">
        <w:rPr>
          <w:rFonts w:asciiTheme="majorHAnsi" w:hAnsiTheme="majorHAnsi"/>
          <w:spacing w:val="1"/>
          <w:sz w:val="20"/>
          <w:szCs w:val="20"/>
        </w:rPr>
        <w:t xml:space="preserve"> </w:t>
      </w:r>
      <w:r w:rsidRPr="000977F7">
        <w:rPr>
          <w:rFonts w:asciiTheme="majorHAnsi" w:hAnsiTheme="majorHAnsi"/>
          <w:sz w:val="20"/>
          <w:szCs w:val="20"/>
        </w:rPr>
        <w:t>об’єкта, а також аналіз протоколів для</w:t>
      </w:r>
      <w:r w:rsidRPr="000977F7">
        <w:rPr>
          <w:rFonts w:asciiTheme="majorHAnsi" w:hAnsiTheme="majorHAnsi"/>
          <w:spacing w:val="50"/>
          <w:sz w:val="20"/>
          <w:szCs w:val="20"/>
        </w:rPr>
        <w:t xml:space="preserve"> </w:t>
      </w:r>
      <w:r w:rsidRPr="000977F7">
        <w:rPr>
          <w:rFonts w:asciiTheme="majorHAnsi" w:hAnsiTheme="majorHAnsi"/>
          <w:sz w:val="20"/>
          <w:szCs w:val="20"/>
        </w:rPr>
        <w:t>пересвідчення</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тому,</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2"/>
          <w:sz w:val="20"/>
          <w:szCs w:val="20"/>
        </w:rPr>
        <w:t xml:space="preserve"> </w:t>
      </w:r>
      <w:r w:rsidRPr="000977F7">
        <w:rPr>
          <w:rFonts w:asciiTheme="majorHAnsi" w:hAnsiTheme="majorHAnsi"/>
          <w:sz w:val="20"/>
          <w:szCs w:val="20"/>
        </w:rPr>
        <w:t>установлені</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2"/>
          <w:sz w:val="20"/>
          <w:szCs w:val="20"/>
        </w:rPr>
        <w:t xml:space="preserve"> </w:t>
      </w:r>
      <w:r w:rsidRPr="000977F7">
        <w:rPr>
          <w:rFonts w:asciiTheme="majorHAnsi" w:hAnsiTheme="majorHAnsi"/>
          <w:sz w:val="20"/>
          <w:szCs w:val="20"/>
        </w:rPr>
        <w:t>виконуються</w:t>
      </w:r>
    </w:p>
    <w:p w14:paraId="035633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1D129032" w14:textId="77777777" w:rsidR="0097612F" w:rsidRPr="000977F7" w:rsidRDefault="0097612F" w:rsidP="00FD39A4">
      <w:pPr>
        <w:pStyle w:val="ac"/>
        <w:widowControl w:val="0"/>
        <w:numPr>
          <w:ilvl w:val="0"/>
          <w:numId w:val="148"/>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Нагляд</w:t>
      </w:r>
      <w:r w:rsidRPr="000977F7">
        <w:rPr>
          <w:rFonts w:asciiTheme="majorHAnsi" w:hAnsiTheme="majorHAnsi"/>
          <w:spacing w:val="-5"/>
          <w:sz w:val="20"/>
          <w:szCs w:val="20"/>
        </w:rPr>
        <w:t xml:space="preserve"> </w:t>
      </w:r>
      <w:r w:rsidRPr="000977F7">
        <w:rPr>
          <w:rFonts w:asciiTheme="majorHAnsi" w:hAnsiTheme="majorHAnsi"/>
          <w:sz w:val="20"/>
          <w:szCs w:val="20"/>
        </w:rPr>
        <w:t>за</w:t>
      </w:r>
      <w:r w:rsidRPr="000977F7">
        <w:rPr>
          <w:rFonts w:asciiTheme="majorHAnsi" w:hAnsiTheme="majorHAnsi"/>
          <w:spacing w:val="-3"/>
          <w:sz w:val="20"/>
          <w:szCs w:val="20"/>
        </w:rPr>
        <w:t xml:space="preserve"> </w:t>
      </w:r>
      <w:r w:rsidRPr="000977F7">
        <w:rPr>
          <w:rFonts w:asciiTheme="majorHAnsi" w:hAnsiTheme="majorHAnsi"/>
          <w:sz w:val="20"/>
          <w:szCs w:val="20"/>
        </w:rPr>
        <w:t>якістю</w:t>
      </w:r>
      <w:r w:rsidRPr="000977F7">
        <w:rPr>
          <w:rFonts w:asciiTheme="majorHAnsi" w:hAnsiTheme="majorHAnsi"/>
          <w:spacing w:val="-3"/>
          <w:sz w:val="20"/>
          <w:szCs w:val="20"/>
        </w:rPr>
        <w:t xml:space="preserve"> </w:t>
      </w:r>
      <w:r w:rsidRPr="000977F7">
        <w:rPr>
          <w:rFonts w:asciiTheme="majorHAnsi" w:hAnsiTheme="majorHAnsi"/>
          <w:sz w:val="20"/>
          <w:szCs w:val="20"/>
        </w:rPr>
        <w:t>може</w:t>
      </w:r>
      <w:r w:rsidRPr="000977F7">
        <w:rPr>
          <w:rFonts w:asciiTheme="majorHAnsi" w:hAnsiTheme="majorHAnsi"/>
          <w:spacing w:val="-4"/>
          <w:sz w:val="20"/>
          <w:szCs w:val="20"/>
        </w:rPr>
        <w:t xml:space="preserve"> </w:t>
      </w:r>
      <w:r w:rsidRPr="000977F7">
        <w:rPr>
          <w:rFonts w:asciiTheme="majorHAnsi" w:hAnsiTheme="majorHAnsi"/>
          <w:sz w:val="20"/>
          <w:szCs w:val="20"/>
        </w:rPr>
        <w:t>виконуватися</w:t>
      </w:r>
      <w:r w:rsidRPr="000977F7">
        <w:rPr>
          <w:rFonts w:asciiTheme="majorHAnsi" w:hAnsiTheme="majorHAnsi"/>
          <w:spacing w:val="-4"/>
          <w:sz w:val="20"/>
          <w:szCs w:val="20"/>
        </w:rPr>
        <w:t xml:space="preserve"> </w:t>
      </w:r>
      <w:r w:rsidRPr="000977F7">
        <w:rPr>
          <w:rFonts w:asciiTheme="majorHAnsi" w:hAnsiTheme="majorHAnsi"/>
          <w:sz w:val="20"/>
          <w:szCs w:val="20"/>
        </w:rPr>
        <w:t>споживачем</w:t>
      </w:r>
    </w:p>
    <w:p w14:paraId="6C328F20" w14:textId="77777777" w:rsidR="0097612F" w:rsidRPr="000977F7" w:rsidRDefault="0097612F" w:rsidP="00FD39A4">
      <w:pPr>
        <w:pStyle w:val="ac"/>
        <w:widowControl w:val="0"/>
        <w:numPr>
          <w:ilvl w:val="0"/>
          <w:numId w:val="148"/>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Нагляд за якістю може містити управління спостереженням та перевіркою для запобігання</w:t>
      </w:r>
      <w:r w:rsidRPr="000977F7">
        <w:rPr>
          <w:rFonts w:asciiTheme="majorHAnsi" w:hAnsiTheme="majorHAnsi"/>
          <w:spacing w:val="1"/>
          <w:sz w:val="20"/>
          <w:szCs w:val="20"/>
        </w:rPr>
        <w:t xml:space="preserve"> </w:t>
      </w:r>
      <w:r w:rsidRPr="000977F7">
        <w:rPr>
          <w:rFonts w:asciiTheme="majorHAnsi" w:hAnsiTheme="majorHAnsi"/>
          <w:sz w:val="20"/>
          <w:szCs w:val="20"/>
        </w:rPr>
        <w:t>зношування</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погіршення</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2"/>
          <w:sz w:val="20"/>
          <w:szCs w:val="20"/>
        </w:rPr>
        <w:t xml:space="preserve"> </w:t>
      </w:r>
      <w:r w:rsidRPr="000977F7">
        <w:rPr>
          <w:rFonts w:asciiTheme="majorHAnsi" w:hAnsiTheme="majorHAnsi"/>
          <w:sz w:val="20"/>
          <w:szCs w:val="20"/>
        </w:rPr>
        <w:t>процесу) з часом</w:t>
      </w:r>
    </w:p>
    <w:p w14:paraId="6AA9AAF8" w14:textId="77777777" w:rsidR="0097612F" w:rsidRPr="000977F7" w:rsidRDefault="0097612F" w:rsidP="00FD39A4">
      <w:pPr>
        <w:pStyle w:val="ac"/>
        <w:widowControl w:val="0"/>
        <w:numPr>
          <w:ilvl w:val="0"/>
          <w:numId w:val="148"/>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pacing w:val="-1"/>
          <w:w w:val="99"/>
          <w:sz w:val="20"/>
          <w:szCs w:val="20"/>
        </w:rPr>
        <w:t>Сл</w:t>
      </w:r>
      <w:r w:rsidRPr="000977F7">
        <w:rPr>
          <w:rFonts w:asciiTheme="majorHAnsi" w:hAnsiTheme="majorHAnsi"/>
          <w:spacing w:val="1"/>
          <w:w w:val="99"/>
          <w:sz w:val="20"/>
          <w:szCs w:val="20"/>
        </w:rPr>
        <w:t>о</w:t>
      </w:r>
      <w:r w:rsidRPr="000977F7">
        <w:rPr>
          <w:rFonts w:asciiTheme="majorHAnsi" w:hAnsiTheme="majorHAnsi"/>
          <w:spacing w:val="-1"/>
          <w:w w:val="99"/>
          <w:sz w:val="20"/>
          <w:szCs w:val="20"/>
        </w:rPr>
        <w:t>в</w:t>
      </w:r>
      <w:r w:rsidRPr="000977F7">
        <w:rPr>
          <w:rFonts w:asciiTheme="majorHAnsi" w:hAnsiTheme="majorHAnsi"/>
          <w:w w:val="99"/>
          <w:sz w:val="20"/>
          <w:szCs w:val="20"/>
        </w:rPr>
        <w:t>о</w:t>
      </w:r>
      <w:r w:rsidRPr="000977F7">
        <w:rPr>
          <w:rFonts w:asciiTheme="majorHAnsi" w:hAnsiTheme="majorHAnsi"/>
          <w:spacing w:val="7"/>
          <w:sz w:val="20"/>
          <w:szCs w:val="20"/>
        </w:rPr>
        <w:t xml:space="preserve"> </w:t>
      </w:r>
      <w:r w:rsidRPr="000977F7">
        <w:rPr>
          <w:rFonts w:asciiTheme="majorHAnsi" w:hAnsiTheme="majorHAnsi"/>
          <w:spacing w:val="-2"/>
          <w:w w:val="44"/>
          <w:sz w:val="20"/>
          <w:szCs w:val="20"/>
        </w:rPr>
        <w:t>―</w:t>
      </w:r>
      <w:r w:rsidRPr="000977F7">
        <w:rPr>
          <w:rFonts w:asciiTheme="majorHAnsi" w:hAnsiTheme="majorHAnsi"/>
          <w:w w:val="99"/>
          <w:sz w:val="20"/>
          <w:szCs w:val="20"/>
        </w:rPr>
        <w:t>c</w:t>
      </w:r>
      <w:r w:rsidRPr="000977F7">
        <w:rPr>
          <w:rFonts w:asciiTheme="majorHAnsi" w:hAnsiTheme="majorHAnsi"/>
          <w:spacing w:val="1"/>
          <w:w w:val="99"/>
          <w:sz w:val="20"/>
          <w:szCs w:val="20"/>
        </w:rPr>
        <w:t>o</w:t>
      </w:r>
      <w:r w:rsidRPr="000977F7">
        <w:rPr>
          <w:rFonts w:asciiTheme="majorHAnsi" w:hAnsiTheme="majorHAnsi"/>
          <w:spacing w:val="-2"/>
          <w:w w:val="99"/>
          <w:sz w:val="20"/>
          <w:szCs w:val="20"/>
        </w:rPr>
        <w:t>n</w:t>
      </w:r>
      <w:r w:rsidRPr="000977F7">
        <w:rPr>
          <w:rFonts w:asciiTheme="majorHAnsi" w:hAnsiTheme="majorHAnsi"/>
          <w:spacing w:val="2"/>
          <w:w w:val="99"/>
          <w:sz w:val="20"/>
          <w:szCs w:val="20"/>
        </w:rPr>
        <w:t>t</w:t>
      </w:r>
      <w:r w:rsidRPr="000977F7">
        <w:rPr>
          <w:rFonts w:asciiTheme="majorHAnsi" w:hAnsiTheme="majorHAnsi"/>
          <w:w w:val="99"/>
          <w:sz w:val="20"/>
          <w:szCs w:val="20"/>
        </w:rPr>
        <w:t>in</w:t>
      </w:r>
      <w:r w:rsidRPr="000977F7">
        <w:rPr>
          <w:rFonts w:asciiTheme="majorHAnsi" w:hAnsiTheme="majorHAnsi"/>
          <w:spacing w:val="-2"/>
          <w:w w:val="99"/>
          <w:sz w:val="20"/>
          <w:szCs w:val="20"/>
        </w:rPr>
        <w:t>u</w:t>
      </w:r>
      <w:r w:rsidRPr="000977F7">
        <w:rPr>
          <w:rFonts w:asciiTheme="majorHAnsi" w:hAnsiTheme="majorHAnsi"/>
          <w:spacing w:val="1"/>
          <w:w w:val="99"/>
          <w:sz w:val="20"/>
          <w:szCs w:val="20"/>
        </w:rPr>
        <w:t>ou</w:t>
      </w:r>
      <w:r w:rsidRPr="000977F7">
        <w:rPr>
          <w:rFonts w:asciiTheme="majorHAnsi" w:hAnsiTheme="majorHAnsi"/>
          <w:spacing w:val="-1"/>
          <w:w w:val="99"/>
          <w:sz w:val="20"/>
          <w:szCs w:val="20"/>
        </w:rPr>
        <w:t>s</w:t>
      </w:r>
      <w:r w:rsidRPr="000977F7">
        <w:rPr>
          <w:rFonts w:asciiTheme="majorHAnsi" w:hAnsiTheme="majorHAnsi"/>
          <w:spacing w:val="5"/>
          <w:sz w:val="20"/>
          <w:szCs w:val="20"/>
        </w:rPr>
        <w:t xml:space="preserve"> </w:t>
      </w:r>
      <w:r w:rsidRPr="000977F7">
        <w:rPr>
          <w:rFonts w:asciiTheme="majorHAnsi" w:hAnsiTheme="majorHAnsi"/>
          <w:w w:val="99"/>
          <w:sz w:val="20"/>
          <w:szCs w:val="20"/>
        </w:rPr>
        <w:t>(бе</w:t>
      </w:r>
      <w:r w:rsidRPr="000977F7">
        <w:rPr>
          <w:rFonts w:asciiTheme="majorHAnsi" w:hAnsiTheme="majorHAnsi"/>
          <w:spacing w:val="2"/>
          <w:w w:val="99"/>
          <w:sz w:val="20"/>
          <w:szCs w:val="20"/>
        </w:rPr>
        <w:t>з</w:t>
      </w:r>
      <w:r w:rsidRPr="000977F7">
        <w:rPr>
          <w:rFonts w:asciiTheme="majorHAnsi" w:hAnsiTheme="majorHAnsi"/>
          <w:spacing w:val="-2"/>
          <w:w w:val="99"/>
          <w:sz w:val="20"/>
          <w:szCs w:val="20"/>
        </w:rPr>
        <w:t>п</w:t>
      </w:r>
      <w:r w:rsidRPr="000977F7">
        <w:rPr>
          <w:rFonts w:asciiTheme="majorHAnsi" w:hAnsiTheme="majorHAnsi"/>
          <w:w w:val="99"/>
          <w:sz w:val="20"/>
          <w:szCs w:val="20"/>
        </w:rPr>
        <w:t>е</w:t>
      </w:r>
      <w:r w:rsidRPr="000977F7">
        <w:rPr>
          <w:rFonts w:asciiTheme="majorHAnsi" w:hAnsiTheme="majorHAnsi"/>
          <w:spacing w:val="1"/>
          <w:w w:val="99"/>
          <w:sz w:val="20"/>
          <w:szCs w:val="20"/>
        </w:rPr>
        <w:t>р</w:t>
      </w:r>
      <w:r w:rsidRPr="000977F7">
        <w:rPr>
          <w:rFonts w:asciiTheme="majorHAnsi" w:hAnsiTheme="majorHAnsi"/>
          <w:w w:val="99"/>
          <w:sz w:val="20"/>
          <w:szCs w:val="20"/>
        </w:rPr>
        <w:t>е</w:t>
      </w:r>
      <w:r w:rsidRPr="000977F7">
        <w:rPr>
          <w:rFonts w:asciiTheme="majorHAnsi" w:hAnsiTheme="majorHAnsi"/>
          <w:spacing w:val="1"/>
          <w:w w:val="99"/>
          <w:sz w:val="20"/>
          <w:szCs w:val="20"/>
        </w:rPr>
        <w:t>р</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и</w:t>
      </w:r>
      <w:r w:rsidRPr="000977F7">
        <w:rPr>
          <w:rFonts w:asciiTheme="majorHAnsi" w:hAnsiTheme="majorHAnsi"/>
          <w:spacing w:val="-2"/>
          <w:w w:val="99"/>
          <w:sz w:val="20"/>
          <w:szCs w:val="20"/>
        </w:rPr>
        <w:t>й</w:t>
      </w:r>
      <w:r w:rsidRPr="000977F7">
        <w:rPr>
          <w:rFonts w:asciiTheme="majorHAnsi" w:hAnsiTheme="majorHAnsi"/>
          <w:w w:val="99"/>
          <w:sz w:val="20"/>
          <w:szCs w:val="20"/>
        </w:rPr>
        <w:t>)</w:t>
      </w:r>
      <w:r w:rsidRPr="000977F7">
        <w:rPr>
          <w:rFonts w:asciiTheme="majorHAnsi" w:hAnsiTheme="majorHAnsi"/>
          <w:spacing w:val="5"/>
          <w:sz w:val="20"/>
          <w:szCs w:val="20"/>
        </w:rPr>
        <w:t xml:space="preserve"> </w:t>
      </w:r>
      <w:r w:rsidRPr="000977F7">
        <w:rPr>
          <w:rFonts w:asciiTheme="majorHAnsi" w:hAnsiTheme="majorHAnsi"/>
          <w:spacing w:val="1"/>
          <w:w w:val="99"/>
          <w:sz w:val="20"/>
          <w:szCs w:val="20"/>
        </w:rPr>
        <w:t>мо</w:t>
      </w:r>
      <w:r w:rsidRPr="000977F7">
        <w:rPr>
          <w:rFonts w:asciiTheme="majorHAnsi" w:hAnsiTheme="majorHAnsi"/>
          <w:spacing w:val="-1"/>
          <w:w w:val="99"/>
          <w:sz w:val="20"/>
          <w:szCs w:val="20"/>
        </w:rPr>
        <w:t>ж</w:t>
      </w:r>
      <w:r w:rsidRPr="000977F7">
        <w:rPr>
          <w:rFonts w:asciiTheme="majorHAnsi" w:hAnsiTheme="majorHAnsi"/>
          <w:w w:val="99"/>
          <w:sz w:val="20"/>
          <w:szCs w:val="20"/>
        </w:rPr>
        <w:t>е</w:t>
      </w:r>
      <w:r w:rsidRPr="000977F7">
        <w:rPr>
          <w:rFonts w:asciiTheme="majorHAnsi" w:hAnsiTheme="majorHAnsi"/>
          <w:spacing w:val="5"/>
          <w:sz w:val="20"/>
          <w:szCs w:val="20"/>
        </w:rPr>
        <w:t xml:space="preserve"> </w:t>
      </w:r>
      <w:r w:rsidRPr="000977F7">
        <w:rPr>
          <w:rFonts w:asciiTheme="majorHAnsi" w:hAnsiTheme="majorHAnsi"/>
          <w:spacing w:val="1"/>
          <w:w w:val="99"/>
          <w:sz w:val="20"/>
          <w:szCs w:val="20"/>
        </w:rPr>
        <w:t>о</w:t>
      </w:r>
      <w:r w:rsidRPr="000977F7">
        <w:rPr>
          <w:rFonts w:asciiTheme="majorHAnsi" w:hAnsiTheme="majorHAnsi"/>
          <w:w w:val="99"/>
          <w:sz w:val="20"/>
          <w:szCs w:val="20"/>
        </w:rPr>
        <w:t>знача</w:t>
      </w:r>
      <w:r w:rsidRPr="000977F7">
        <w:rPr>
          <w:rFonts w:asciiTheme="majorHAnsi" w:hAnsiTheme="majorHAnsi"/>
          <w:spacing w:val="1"/>
          <w:w w:val="99"/>
          <w:sz w:val="20"/>
          <w:szCs w:val="20"/>
        </w:rPr>
        <w:t>т</w:t>
      </w:r>
      <w:r w:rsidRPr="000977F7">
        <w:rPr>
          <w:rFonts w:asciiTheme="majorHAnsi" w:hAnsiTheme="majorHAnsi"/>
          <w:w w:val="99"/>
          <w:sz w:val="20"/>
          <w:szCs w:val="20"/>
        </w:rPr>
        <w:t xml:space="preserve">и </w:t>
      </w:r>
      <w:r w:rsidRPr="000977F7">
        <w:rPr>
          <w:rFonts w:asciiTheme="majorHAnsi" w:hAnsiTheme="majorHAnsi"/>
          <w:sz w:val="20"/>
          <w:szCs w:val="20"/>
        </w:rPr>
        <w:t>постійне</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часто</w:t>
      </w:r>
      <w:r w:rsidRPr="000977F7">
        <w:rPr>
          <w:rFonts w:asciiTheme="majorHAnsi" w:hAnsiTheme="majorHAnsi"/>
          <w:spacing w:val="1"/>
          <w:sz w:val="20"/>
          <w:szCs w:val="20"/>
        </w:rPr>
        <w:t xml:space="preserve"> </w:t>
      </w:r>
      <w:r w:rsidRPr="000977F7">
        <w:rPr>
          <w:rFonts w:asciiTheme="majorHAnsi" w:hAnsiTheme="majorHAnsi"/>
          <w:sz w:val="20"/>
          <w:szCs w:val="20"/>
        </w:rPr>
        <w:t>повторюване</w:t>
      </w:r>
    </w:p>
    <w:p w14:paraId="0A10DF1D" w14:textId="77777777" w:rsidR="0097612F" w:rsidRPr="000977F7" w:rsidRDefault="0097612F" w:rsidP="000977F7">
      <w:pPr>
        <w:pStyle w:val="ac"/>
        <w:shd w:val="clear" w:color="auto" w:fill="FFFFFF"/>
        <w:tabs>
          <w:tab w:val="left" w:pos="284"/>
        </w:tabs>
        <w:spacing w:after="0" w:line="240" w:lineRule="auto"/>
        <w:ind w:left="170"/>
        <w:mirrorIndents/>
        <w:jc w:val="both"/>
        <w:rPr>
          <w:rFonts w:asciiTheme="majorHAnsi" w:hAnsiTheme="majorHAnsi"/>
          <w:b/>
          <w:bCs/>
          <w:sz w:val="20"/>
          <w:szCs w:val="20"/>
          <w:lang w:eastAsia="ru-RU"/>
        </w:rPr>
      </w:pPr>
      <w:r w:rsidRPr="000977F7">
        <w:rPr>
          <w:rFonts w:asciiTheme="majorHAnsi" w:hAnsiTheme="majorHAnsi"/>
          <w:b/>
          <w:bCs/>
          <w:sz w:val="20"/>
          <w:szCs w:val="20"/>
          <w:lang w:eastAsia="ru-RU"/>
        </w:rPr>
        <w:t>НАДАННЯ НА РИНКУ –</w:t>
      </w:r>
    </w:p>
    <w:p w14:paraId="444C080B" w14:textId="77777777" w:rsidR="0097612F" w:rsidRPr="000977F7" w:rsidRDefault="0097612F" w:rsidP="000977F7">
      <w:pPr>
        <w:pStyle w:val="ac"/>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Будь-яке платне або безоплатне постачання продукції для розповсюдження, споживання чи використання на ринку України в процесі здійснення господарської діяльності</w:t>
      </w:r>
    </w:p>
    <w:p w14:paraId="33DD63CA"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Ст. 1 закону України "Про технічні регламенти та оцінку відповідності"</w:t>
      </w:r>
    </w:p>
    <w:p w14:paraId="4F4A156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bookmarkStart w:id="130" w:name="_Hlk103231737"/>
      <w:r w:rsidRPr="000977F7">
        <w:rPr>
          <w:rFonts w:asciiTheme="majorHAnsi" w:hAnsiTheme="majorHAnsi"/>
          <w:i/>
          <w:sz w:val="20"/>
          <w:szCs w:val="20"/>
        </w:rPr>
        <w:t>Технічний регламент безпеки машин</w:t>
      </w:r>
    </w:p>
    <w:p w14:paraId="6823BBCD"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r w:rsidRPr="000977F7">
        <w:rPr>
          <w:rFonts w:asciiTheme="majorHAnsi" w:hAnsiTheme="majorHAnsi"/>
          <w:sz w:val="20"/>
          <w:szCs w:val="20"/>
          <w:lang w:val="uk-UA"/>
        </w:rPr>
        <w:t>Будь-яке платне або безоплатне постачання компонента безпеки для ліфтів для розповсюдження чи використання на ринку України в процесі провадження господарської діяльності</w:t>
      </w:r>
    </w:p>
    <w:p w14:paraId="3DE887D5"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ліфтів і компонентів безпеки для ліфтів</w:t>
      </w:r>
    </w:p>
    <w:p w14:paraId="1CAFC07C"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sz w:val="20"/>
          <w:szCs w:val="20"/>
          <w:lang w:eastAsia="ru-RU"/>
        </w:rPr>
        <w:t>Будь-яке платне або безоплатне постачання апаратури для розповсюдження, споживання чи використання на ринку України в процесі провадження господарської діяльності</w:t>
      </w:r>
    </w:p>
    <w:p w14:paraId="1D78212D"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lastRenderedPageBreak/>
        <w:t>Технічний регламент з електромагнітрої сумісності обладнання</w:t>
      </w:r>
    </w:p>
    <w:p w14:paraId="249D83C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Платне або безоплатне постачання обладнання, що працює під тиском, або агрегатів для розповсюдження, споживання чи використання на ринку України в процесі провадження господарської діяльності</w:t>
      </w:r>
    </w:p>
    <w:p w14:paraId="49D6421D"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обладнання, що працює під тиском</w:t>
      </w:r>
    </w:p>
    <w:bookmarkEnd w:id="130"/>
    <w:p w14:paraId="3BB328E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НАДАННЯ</w:t>
      </w:r>
      <w:r w:rsidRPr="000977F7">
        <w:rPr>
          <w:color w:val="auto"/>
          <w:spacing w:val="-5"/>
          <w:sz w:val="20"/>
          <w:szCs w:val="20"/>
        </w:rPr>
        <w:t xml:space="preserve"> </w:t>
      </w:r>
      <w:r w:rsidRPr="000977F7">
        <w:rPr>
          <w:color w:val="auto"/>
          <w:sz w:val="20"/>
          <w:szCs w:val="20"/>
        </w:rPr>
        <w:t>ПОСЛУГИ –</w:t>
      </w:r>
    </w:p>
    <w:p w14:paraId="6335F6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SERVICE</w:t>
      </w:r>
      <w:r w:rsidRPr="000977F7">
        <w:rPr>
          <w:rFonts w:asciiTheme="majorHAnsi" w:hAnsiTheme="majorHAnsi"/>
          <w:spacing w:val="-3"/>
          <w:sz w:val="20"/>
          <w:szCs w:val="20"/>
        </w:rPr>
        <w:t xml:space="preserve"> </w:t>
      </w:r>
      <w:r w:rsidRPr="000977F7">
        <w:rPr>
          <w:rFonts w:asciiTheme="majorHAnsi" w:hAnsiTheme="majorHAnsi"/>
          <w:sz w:val="20"/>
          <w:szCs w:val="20"/>
        </w:rPr>
        <w:t>DELIVERY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83E3D4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Діяльність постачальника, необхідна для забезпечення</w:t>
      </w:r>
      <w:r w:rsidRPr="000977F7">
        <w:rPr>
          <w:rFonts w:asciiTheme="majorHAnsi" w:hAnsiTheme="majorHAnsi"/>
          <w:spacing w:val="-2"/>
          <w:sz w:val="20"/>
          <w:szCs w:val="20"/>
        </w:rPr>
        <w:t xml:space="preserve"> </w:t>
      </w:r>
      <w:r w:rsidRPr="000977F7">
        <w:rPr>
          <w:rFonts w:asciiTheme="majorHAnsi" w:hAnsiTheme="majorHAnsi"/>
          <w:sz w:val="20"/>
          <w:szCs w:val="20"/>
        </w:rPr>
        <w:t>послуги</w:t>
      </w:r>
    </w:p>
    <w:p w14:paraId="76C1B02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НАДІЙНІСТЬ </w:t>
      </w:r>
      <w:r w:rsidRPr="000977F7">
        <w:rPr>
          <w:rFonts w:asciiTheme="majorHAnsi" w:hAnsiTheme="majorHAnsi"/>
          <w:sz w:val="20"/>
          <w:szCs w:val="20"/>
        </w:rPr>
        <w:t>–</w:t>
      </w:r>
    </w:p>
    <w:p w14:paraId="7F8F761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DEPENDABILITY</w:t>
      </w:r>
      <w:r w:rsidRPr="000977F7">
        <w:rPr>
          <w:rFonts w:asciiTheme="majorHAnsi" w:hAnsiTheme="majorHAnsi"/>
          <w:spacing w:val="-11"/>
          <w:sz w:val="20"/>
          <w:szCs w:val="20"/>
        </w:rPr>
        <w:t xml:space="preserve"> </w:t>
      </w:r>
      <w:r w:rsidRPr="000977F7">
        <w:rPr>
          <w:rFonts w:asciiTheme="majorHAnsi" w:hAnsiTheme="majorHAnsi"/>
          <w:sz w:val="20"/>
          <w:szCs w:val="20"/>
        </w:rPr>
        <w:t>–</w:t>
      </w:r>
    </w:p>
    <w:p w14:paraId="3DB2844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Здатність</w:t>
      </w:r>
      <w:r w:rsidRPr="000977F7">
        <w:rPr>
          <w:rFonts w:asciiTheme="majorHAnsi" w:hAnsiTheme="majorHAnsi"/>
          <w:spacing w:val="-4"/>
          <w:sz w:val="20"/>
          <w:szCs w:val="20"/>
        </w:rPr>
        <w:t xml:space="preserve"> </w:t>
      </w:r>
      <w:r w:rsidRPr="000977F7">
        <w:rPr>
          <w:rFonts w:asciiTheme="majorHAnsi" w:hAnsiTheme="majorHAnsi"/>
          <w:sz w:val="20"/>
          <w:szCs w:val="20"/>
        </w:rPr>
        <w:t>функціювати</w:t>
      </w:r>
      <w:r w:rsidRPr="000977F7">
        <w:rPr>
          <w:rFonts w:asciiTheme="majorHAnsi" w:hAnsiTheme="majorHAnsi"/>
          <w:spacing w:val="-4"/>
          <w:sz w:val="20"/>
          <w:szCs w:val="20"/>
        </w:rPr>
        <w:t xml:space="preserve"> </w:t>
      </w:r>
      <w:r w:rsidRPr="000977F7">
        <w:rPr>
          <w:rFonts w:asciiTheme="majorHAnsi" w:hAnsiTheme="majorHAnsi"/>
          <w:sz w:val="20"/>
          <w:szCs w:val="20"/>
        </w:rPr>
        <w:t>як</w:t>
      </w:r>
      <w:r w:rsidRPr="000977F7">
        <w:rPr>
          <w:rFonts w:asciiTheme="majorHAnsi" w:hAnsiTheme="majorHAnsi"/>
          <w:spacing w:val="-2"/>
          <w:sz w:val="20"/>
          <w:szCs w:val="20"/>
        </w:rPr>
        <w:t xml:space="preserve"> </w:t>
      </w:r>
      <w:r w:rsidRPr="000977F7">
        <w:rPr>
          <w:rFonts w:asciiTheme="majorHAnsi" w:hAnsiTheme="majorHAnsi"/>
          <w:sz w:val="20"/>
          <w:szCs w:val="20"/>
        </w:rPr>
        <w:t>потрібно</w:t>
      </w:r>
      <w:r w:rsidRPr="000977F7">
        <w:rPr>
          <w:rFonts w:asciiTheme="majorHAnsi" w:hAnsiTheme="majorHAnsi"/>
          <w:spacing w:val="-3"/>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коли</w:t>
      </w:r>
      <w:r w:rsidRPr="000977F7">
        <w:rPr>
          <w:rFonts w:asciiTheme="majorHAnsi" w:hAnsiTheme="majorHAnsi"/>
          <w:spacing w:val="-4"/>
          <w:sz w:val="20"/>
          <w:szCs w:val="20"/>
        </w:rPr>
        <w:t xml:space="preserve"> </w:t>
      </w:r>
      <w:r w:rsidRPr="000977F7">
        <w:rPr>
          <w:rFonts w:asciiTheme="majorHAnsi" w:hAnsiTheme="majorHAnsi"/>
          <w:sz w:val="20"/>
          <w:szCs w:val="20"/>
        </w:rPr>
        <w:t>потрібно</w:t>
      </w:r>
    </w:p>
    <w:p w14:paraId="0488B67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4"/>
          <w:sz w:val="20"/>
          <w:szCs w:val="20"/>
        </w:rPr>
        <w:t xml:space="preserve"> </w:t>
      </w:r>
      <w:r w:rsidRPr="000977F7">
        <w:rPr>
          <w:rFonts w:asciiTheme="majorHAnsi" w:hAnsiTheme="majorHAnsi"/>
          <w:i/>
          <w:sz w:val="20"/>
          <w:szCs w:val="20"/>
        </w:rPr>
        <w:t>ISO:9000:2015</w:t>
      </w:r>
    </w:p>
    <w:p w14:paraId="0BCCA89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bookmarkStart w:id="131" w:name="_Hlk103613140"/>
      <w:r w:rsidRPr="000977F7">
        <w:rPr>
          <w:rFonts w:asciiTheme="majorHAnsi" w:hAnsiTheme="majorHAnsi"/>
          <w:sz w:val="20"/>
          <w:szCs w:val="20"/>
        </w:rPr>
        <w:t>RELIABILITY</w:t>
      </w:r>
      <w:bookmarkEnd w:id="131"/>
      <w:r w:rsidRPr="000977F7">
        <w:rPr>
          <w:rFonts w:asciiTheme="majorHAnsi" w:hAnsiTheme="majorHAnsi"/>
          <w:sz w:val="20"/>
          <w:szCs w:val="20"/>
        </w:rPr>
        <w:t xml:space="preserve"> –</w:t>
      </w:r>
    </w:p>
    <w:p w14:paraId="456C1C3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Здатність машини або її компонентів чи устаткування безвідмовно виконувати потрібну функцію в певних умовах і у визначеному проміжку часу</w:t>
      </w:r>
    </w:p>
    <w:p w14:paraId="5F826941"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290CBA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 об’єкта зберігати у часі в установлених</w:t>
      </w:r>
      <w:r w:rsidRPr="000977F7">
        <w:rPr>
          <w:rFonts w:asciiTheme="majorHAnsi" w:hAnsiTheme="majorHAnsi"/>
          <w:spacing w:val="1"/>
          <w:sz w:val="20"/>
          <w:szCs w:val="20"/>
        </w:rPr>
        <w:t xml:space="preserve"> </w:t>
      </w:r>
      <w:r w:rsidRPr="000977F7">
        <w:rPr>
          <w:rFonts w:asciiTheme="majorHAnsi" w:hAnsiTheme="majorHAnsi"/>
          <w:sz w:val="20"/>
          <w:szCs w:val="20"/>
        </w:rPr>
        <w:t>межах значення всіх параметрів, які характеризують</w:t>
      </w:r>
      <w:r w:rsidRPr="000977F7">
        <w:rPr>
          <w:rFonts w:asciiTheme="majorHAnsi" w:hAnsiTheme="majorHAnsi"/>
          <w:spacing w:val="1"/>
          <w:sz w:val="20"/>
          <w:szCs w:val="20"/>
        </w:rPr>
        <w:t xml:space="preserve"> </w:t>
      </w:r>
      <w:r w:rsidRPr="000977F7">
        <w:rPr>
          <w:rFonts w:asciiTheme="majorHAnsi" w:hAnsiTheme="majorHAnsi"/>
          <w:sz w:val="20"/>
          <w:szCs w:val="20"/>
        </w:rPr>
        <w:t>здатність виконувати потрібні функції в заданих режимах та умовах застосування, технічного 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зберігання</w:t>
      </w:r>
      <w:r w:rsidRPr="000977F7">
        <w:rPr>
          <w:rFonts w:asciiTheme="majorHAnsi" w:hAnsiTheme="majorHAnsi"/>
          <w:spacing w:val="1"/>
          <w:sz w:val="20"/>
          <w:szCs w:val="20"/>
        </w:rPr>
        <w:t xml:space="preserve"> </w:t>
      </w:r>
      <w:r w:rsidRPr="000977F7">
        <w:rPr>
          <w:rFonts w:asciiTheme="majorHAnsi" w:hAnsiTheme="majorHAnsi"/>
          <w:sz w:val="20"/>
          <w:szCs w:val="20"/>
        </w:rPr>
        <w:t>та транспортування</w:t>
      </w:r>
    </w:p>
    <w:p w14:paraId="685043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6A41BF3B" w14:textId="77777777" w:rsidR="0097612F" w:rsidRPr="000977F7" w:rsidRDefault="0097612F" w:rsidP="00FD39A4">
      <w:pPr>
        <w:pStyle w:val="ac"/>
        <w:widowControl w:val="0"/>
        <w:numPr>
          <w:ilvl w:val="0"/>
          <w:numId w:val="147"/>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Надійність є комплексною властивістю, що залежно від призначення об’єкта і умов його застосування, може містити в собі безвідмовність, довговічність,</w:t>
      </w:r>
      <w:r w:rsidRPr="000977F7">
        <w:rPr>
          <w:rFonts w:asciiTheme="majorHAnsi" w:hAnsiTheme="majorHAnsi"/>
          <w:spacing w:val="1"/>
          <w:sz w:val="20"/>
          <w:szCs w:val="20"/>
        </w:rPr>
        <w:t xml:space="preserve"> </w:t>
      </w:r>
      <w:r w:rsidRPr="000977F7">
        <w:rPr>
          <w:rFonts w:asciiTheme="majorHAnsi" w:hAnsiTheme="majorHAnsi"/>
          <w:sz w:val="20"/>
          <w:szCs w:val="20"/>
        </w:rPr>
        <w:t>ремонтопридатність</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50"/>
          <w:sz w:val="20"/>
          <w:szCs w:val="20"/>
        </w:rPr>
        <w:t xml:space="preserve"> </w:t>
      </w:r>
      <w:r w:rsidRPr="000977F7">
        <w:rPr>
          <w:rFonts w:asciiTheme="majorHAnsi" w:hAnsiTheme="majorHAnsi"/>
          <w:sz w:val="20"/>
          <w:szCs w:val="20"/>
        </w:rPr>
        <w:t>збережуваність</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певні</w:t>
      </w:r>
      <w:r w:rsidRPr="000977F7">
        <w:rPr>
          <w:rFonts w:asciiTheme="majorHAnsi" w:hAnsiTheme="majorHAnsi"/>
          <w:spacing w:val="-2"/>
          <w:sz w:val="20"/>
          <w:szCs w:val="20"/>
        </w:rPr>
        <w:t xml:space="preserve"> </w:t>
      </w:r>
      <w:r w:rsidRPr="000977F7">
        <w:rPr>
          <w:rFonts w:asciiTheme="majorHAnsi" w:hAnsiTheme="majorHAnsi"/>
          <w:sz w:val="20"/>
          <w:szCs w:val="20"/>
        </w:rPr>
        <w:t>поєднання</w:t>
      </w:r>
      <w:r w:rsidRPr="000977F7">
        <w:rPr>
          <w:rFonts w:asciiTheme="majorHAnsi" w:hAnsiTheme="majorHAnsi"/>
          <w:spacing w:val="1"/>
          <w:sz w:val="20"/>
          <w:szCs w:val="20"/>
        </w:rPr>
        <w:t xml:space="preserve"> </w:t>
      </w:r>
      <w:r w:rsidRPr="000977F7">
        <w:rPr>
          <w:rFonts w:asciiTheme="majorHAnsi" w:hAnsiTheme="majorHAnsi"/>
          <w:sz w:val="20"/>
          <w:szCs w:val="20"/>
        </w:rPr>
        <w:t>цих</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властивостей</w:t>
      </w:r>
    </w:p>
    <w:p w14:paraId="775223C8" w14:textId="77777777" w:rsidR="0097612F" w:rsidRPr="000977F7" w:rsidRDefault="0097612F" w:rsidP="00FD39A4">
      <w:pPr>
        <w:pStyle w:val="ac"/>
        <w:widowControl w:val="0"/>
        <w:numPr>
          <w:ilvl w:val="0"/>
          <w:numId w:val="147"/>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Наведений термін використовують лише для загального некількісного опису вказаних властивостей</w:t>
      </w:r>
    </w:p>
    <w:p w14:paraId="2533985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48"/>
          <w:sz w:val="20"/>
          <w:szCs w:val="20"/>
        </w:rPr>
        <w:t xml:space="preserve"> </w:t>
      </w:r>
      <w:r w:rsidRPr="000977F7">
        <w:rPr>
          <w:rFonts w:asciiTheme="majorHAnsi" w:hAnsiTheme="majorHAnsi"/>
          <w:i/>
          <w:sz w:val="20"/>
          <w:szCs w:val="20"/>
        </w:rPr>
        <w:t>94</w:t>
      </w:r>
    </w:p>
    <w:p w14:paraId="4767C5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 об’єкта з часом зберігати у встановлених</w:t>
      </w:r>
      <w:r w:rsidRPr="000977F7">
        <w:rPr>
          <w:rFonts w:asciiTheme="majorHAnsi" w:hAnsiTheme="majorHAnsi"/>
          <w:spacing w:val="1"/>
          <w:sz w:val="20"/>
          <w:szCs w:val="20"/>
        </w:rPr>
        <w:t xml:space="preserve"> </w:t>
      </w:r>
      <w:r w:rsidRPr="000977F7">
        <w:rPr>
          <w:rFonts w:asciiTheme="majorHAnsi" w:hAnsiTheme="majorHAnsi"/>
          <w:sz w:val="20"/>
          <w:szCs w:val="20"/>
        </w:rPr>
        <w:t>межах значення всіх параметрів, що характеризують</w:t>
      </w:r>
      <w:r w:rsidRPr="000977F7">
        <w:rPr>
          <w:rFonts w:asciiTheme="majorHAnsi" w:hAnsiTheme="majorHAnsi"/>
          <w:spacing w:val="1"/>
          <w:sz w:val="20"/>
          <w:szCs w:val="20"/>
        </w:rPr>
        <w:t xml:space="preserve"> </w:t>
      </w:r>
      <w:r w:rsidRPr="000977F7">
        <w:rPr>
          <w:rFonts w:asciiTheme="majorHAnsi" w:hAnsiTheme="majorHAnsi"/>
          <w:sz w:val="20"/>
          <w:szCs w:val="20"/>
        </w:rPr>
        <w:t>здатність виконувати необхідні функції у заданих режимах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умовах</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використовування,</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зберігання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транспортування</w:t>
      </w:r>
    </w:p>
    <w:p w14:paraId="73080AC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2634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693951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 об’єкта зберігати в часі у встановлених</w:t>
      </w:r>
      <w:r w:rsidRPr="000977F7">
        <w:rPr>
          <w:rFonts w:asciiTheme="majorHAnsi" w:hAnsiTheme="majorHAnsi"/>
          <w:spacing w:val="1"/>
          <w:sz w:val="20"/>
          <w:szCs w:val="20"/>
        </w:rPr>
        <w:t xml:space="preserve"> </w:t>
      </w:r>
      <w:r w:rsidRPr="000977F7">
        <w:rPr>
          <w:rFonts w:asciiTheme="majorHAnsi" w:hAnsiTheme="majorHAnsi"/>
          <w:sz w:val="20"/>
          <w:szCs w:val="20"/>
        </w:rPr>
        <w:t>межах значення всіх параметрів, які характеризують</w:t>
      </w:r>
      <w:r w:rsidRPr="000977F7">
        <w:rPr>
          <w:rFonts w:asciiTheme="majorHAnsi" w:hAnsiTheme="majorHAnsi"/>
          <w:spacing w:val="1"/>
          <w:sz w:val="20"/>
          <w:szCs w:val="20"/>
        </w:rPr>
        <w:t xml:space="preserve"> </w:t>
      </w:r>
      <w:r w:rsidRPr="000977F7">
        <w:rPr>
          <w:rFonts w:asciiTheme="majorHAnsi" w:hAnsiTheme="majorHAnsi"/>
          <w:sz w:val="20"/>
          <w:szCs w:val="20"/>
        </w:rPr>
        <w:t>здатність виконувати потрібні функції в заданих режимах та умовах застосування, технічного 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зберігання</w:t>
      </w:r>
      <w:r w:rsidRPr="000977F7">
        <w:rPr>
          <w:rFonts w:asciiTheme="majorHAnsi" w:hAnsiTheme="majorHAnsi"/>
          <w:spacing w:val="1"/>
          <w:sz w:val="20"/>
          <w:szCs w:val="20"/>
        </w:rPr>
        <w:t xml:space="preserve"> </w:t>
      </w:r>
      <w:r w:rsidRPr="000977F7">
        <w:rPr>
          <w:rFonts w:asciiTheme="majorHAnsi" w:hAnsiTheme="majorHAnsi"/>
          <w:sz w:val="20"/>
          <w:szCs w:val="20"/>
        </w:rPr>
        <w:t>та транспортування</w:t>
      </w:r>
    </w:p>
    <w:p w14:paraId="36CC8B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6018FA4B" w14:textId="77777777" w:rsidR="0097612F" w:rsidRPr="000977F7" w:rsidRDefault="0097612F" w:rsidP="00FD39A4">
      <w:pPr>
        <w:pStyle w:val="ac"/>
        <w:widowControl w:val="0"/>
        <w:numPr>
          <w:ilvl w:val="0"/>
          <w:numId w:val="146"/>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Надійність є комплексною властивістю, що залежно від призначення об’єкта і умов його застосування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містити</w:t>
      </w:r>
      <w:r w:rsidRPr="000977F7">
        <w:rPr>
          <w:rFonts w:asciiTheme="majorHAnsi" w:hAnsiTheme="majorHAnsi"/>
          <w:spacing w:val="1"/>
          <w:sz w:val="20"/>
          <w:szCs w:val="20"/>
        </w:rPr>
        <w:t xml:space="preserve"> </w:t>
      </w:r>
      <w:r w:rsidRPr="000977F7">
        <w:rPr>
          <w:rFonts w:asciiTheme="majorHAnsi" w:hAnsiTheme="majorHAnsi"/>
          <w:sz w:val="20"/>
          <w:szCs w:val="20"/>
        </w:rPr>
        <w:t>безвідмовність,</w:t>
      </w:r>
      <w:r w:rsidRPr="000977F7">
        <w:rPr>
          <w:rFonts w:asciiTheme="majorHAnsi" w:hAnsiTheme="majorHAnsi"/>
          <w:spacing w:val="1"/>
          <w:sz w:val="20"/>
          <w:szCs w:val="20"/>
        </w:rPr>
        <w:t xml:space="preserve"> </w:t>
      </w:r>
      <w:r w:rsidRPr="000977F7">
        <w:rPr>
          <w:rFonts w:asciiTheme="majorHAnsi" w:hAnsiTheme="majorHAnsi"/>
          <w:sz w:val="20"/>
          <w:szCs w:val="20"/>
        </w:rPr>
        <w:t>довговічність,</w:t>
      </w:r>
      <w:r w:rsidRPr="000977F7">
        <w:rPr>
          <w:rFonts w:asciiTheme="majorHAnsi" w:hAnsiTheme="majorHAnsi"/>
          <w:spacing w:val="1"/>
          <w:sz w:val="20"/>
          <w:szCs w:val="20"/>
        </w:rPr>
        <w:t xml:space="preserve"> </w:t>
      </w:r>
      <w:r w:rsidRPr="000977F7">
        <w:rPr>
          <w:rFonts w:asciiTheme="majorHAnsi" w:hAnsiTheme="majorHAnsi"/>
          <w:sz w:val="20"/>
          <w:szCs w:val="20"/>
        </w:rPr>
        <w:t>ремонтопридатність</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збережуваність</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47"/>
          <w:sz w:val="20"/>
          <w:szCs w:val="20"/>
        </w:rPr>
        <w:t xml:space="preserve"> </w:t>
      </w:r>
      <w:r w:rsidRPr="000977F7">
        <w:rPr>
          <w:rFonts w:asciiTheme="majorHAnsi" w:hAnsiTheme="majorHAnsi"/>
          <w:sz w:val="20"/>
          <w:szCs w:val="20"/>
        </w:rPr>
        <w:t>поєднання</w:t>
      </w:r>
      <w:r w:rsidRPr="000977F7">
        <w:rPr>
          <w:rFonts w:asciiTheme="majorHAnsi" w:hAnsiTheme="majorHAnsi"/>
          <w:spacing w:val="-2"/>
          <w:sz w:val="20"/>
          <w:szCs w:val="20"/>
        </w:rPr>
        <w:t xml:space="preserve"> </w:t>
      </w:r>
      <w:r w:rsidRPr="000977F7">
        <w:rPr>
          <w:rFonts w:asciiTheme="majorHAnsi" w:hAnsiTheme="majorHAnsi"/>
          <w:sz w:val="20"/>
          <w:szCs w:val="20"/>
        </w:rPr>
        <w:t>цих</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властивостей</w:t>
      </w:r>
    </w:p>
    <w:p w14:paraId="3946F107" w14:textId="77777777" w:rsidR="0097612F" w:rsidRPr="000977F7" w:rsidRDefault="0097612F" w:rsidP="00FD39A4">
      <w:pPr>
        <w:pStyle w:val="ac"/>
        <w:widowControl w:val="0"/>
        <w:numPr>
          <w:ilvl w:val="0"/>
          <w:numId w:val="146"/>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Наведений термін використовують лише для зага</w:t>
      </w:r>
      <w:r w:rsidRPr="000977F7">
        <w:rPr>
          <w:rFonts w:asciiTheme="majorHAnsi" w:hAnsiTheme="majorHAnsi"/>
          <w:spacing w:val="-2"/>
          <w:sz w:val="20"/>
          <w:szCs w:val="20"/>
        </w:rPr>
        <w:t>льного</w:t>
      </w:r>
      <w:r w:rsidRPr="000977F7">
        <w:rPr>
          <w:rFonts w:asciiTheme="majorHAnsi" w:hAnsiTheme="majorHAnsi"/>
          <w:spacing w:val="-10"/>
          <w:sz w:val="20"/>
          <w:szCs w:val="20"/>
        </w:rPr>
        <w:t xml:space="preserve"> </w:t>
      </w:r>
      <w:r w:rsidRPr="000977F7">
        <w:rPr>
          <w:rFonts w:asciiTheme="majorHAnsi" w:hAnsiTheme="majorHAnsi"/>
          <w:spacing w:val="-2"/>
          <w:sz w:val="20"/>
          <w:szCs w:val="20"/>
        </w:rPr>
        <w:t>некількісного</w:t>
      </w:r>
      <w:r w:rsidRPr="000977F7">
        <w:rPr>
          <w:rFonts w:asciiTheme="majorHAnsi" w:hAnsiTheme="majorHAnsi"/>
          <w:spacing w:val="-10"/>
          <w:sz w:val="20"/>
          <w:szCs w:val="20"/>
        </w:rPr>
        <w:t xml:space="preserve"> </w:t>
      </w:r>
      <w:r w:rsidRPr="000977F7">
        <w:rPr>
          <w:rFonts w:asciiTheme="majorHAnsi" w:hAnsiTheme="majorHAnsi"/>
          <w:spacing w:val="-1"/>
          <w:sz w:val="20"/>
          <w:szCs w:val="20"/>
        </w:rPr>
        <w:t>опису</w:t>
      </w:r>
      <w:r w:rsidRPr="000977F7">
        <w:rPr>
          <w:rFonts w:asciiTheme="majorHAnsi" w:hAnsiTheme="majorHAnsi"/>
          <w:spacing w:val="-11"/>
          <w:sz w:val="20"/>
          <w:szCs w:val="20"/>
        </w:rPr>
        <w:t xml:space="preserve"> </w:t>
      </w:r>
      <w:r w:rsidRPr="000977F7">
        <w:rPr>
          <w:rFonts w:asciiTheme="majorHAnsi" w:hAnsiTheme="majorHAnsi"/>
          <w:spacing w:val="-1"/>
          <w:sz w:val="20"/>
          <w:szCs w:val="20"/>
        </w:rPr>
        <w:t>вказаних</w:t>
      </w:r>
      <w:r w:rsidRPr="000977F7">
        <w:rPr>
          <w:rFonts w:asciiTheme="majorHAnsi" w:hAnsiTheme="majorHAnsi"/>
          <w:spacing w:val="-10"/>
          <w:sz w:val="20"/>
          <w:szCs w:val="20"/>
        </w:rPr>
        <w:t xml:space="preserve"> </w:t>
      </w:r>
      <w:r w:rsidRPr="000977F7">
        <w:rPr>
          <w:rFonts w:asciiTheme="majorHAnsi" w:hAnsiTheme="majorHAnsi"/>
          <w:spacing w:val="-1"/>
          <w:sz w:val="20"/>
          <w:szCs w:val="20"/>
        </w:rPr>
        <w:t>властивостей</w:t>
      </w:r>
    </w:p>
    <w:p w14:paraId="719974F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 2860 – 94; ДСТУ ISO/IEC 2382:2017</w:t>
      </w:r>
      <w:r w:rsidRPr="000977F7">
        <w:rPr>
          <w:rFonts w:asciiTheme="majorHAnsi" w:hAnsiTheme="majorHAnsi"/>
          <w:i/>
          <w:spacing w:val="1"/>
          <w:sz w:val="20"/>
          <w:szCs w:val="20"/>
        </w:rPr>
        <w:t xml:space="preserve"> </w:t>
      </w:r>
      <w:r w:rsidRPr="000977F7">
        <w:rPr>
          <w:rFonts w:asciiTheme="majorHAnsi" w:hAnsiTheme="majorHAnsi"/>
          <w:b/>
          <w:sz w:val="20"/>
          <w:szCs w:val="20"/>
        </w:rPr>
        <w:t>НАДМІРНА ПОХИБКА ВИМІРЮВАННЯ –</w:t>
      </w:r>
      <w:r w:rsidRPr="000977F7">
        <w:rPr>
          <w:rFonts w:asciiTheme="majorHAnsi" w:hAnsiTheme="majorHAnsi"/>
          <w:sz w:val="20"/>
          <w:szCs w:val="20"/>
        </w:rPr>
        <w:t>GROSS</w:t>
      </w:r>
      <w:r w:rsidRPr="000977F7">
        <w:rPr>
          <w:rFonts w:asciiTheme="majorHAnsi" w:hAnsiTheme="majorHAnsi"/>
          <w:spacing w:val="-2"/>
          <w:sz w:val="20"/>
          <w:szCs w:val="20"/>
        </w:rPr>
        <w:t xml:space="preserve"> </w:t>
      </w:r>
      <w:r w:rsidRPr="000977F7">
        <w:rPr>
          <w:rFonts w:asciiTheme="majorHAnsi" w:hAnsiTheme="majorHAnsi"/>
          <w:sz w:val="20"/>
          <w:szCs w:val="20"/>
        </w:rPr>
        <w:t>MEASUREMENT</w:t>
      </w:r>
      <w:r w:rsidRPr="000977F7">
        <w:rPr>
          <w:rFonts w:asciiTheme="majorHAnsi" w:hAnsiTheme="majorHAnsi"/>
          <w:spacing w:val="3"/>
          <w:sz w:val="20"/>
          <w:szCs w:val="20"/>
        </w:rPr>
        <w:t xml:space="preserve"> </w:t>
      </w:r>
      <w:r w:rsidRPr="000977F7">
        <w:rPr>
          <w:rFonts w:asciiTheme="majorHAnsi" w:hAnsiTheme="majorHAnsi"/>
          <w:sz w:val="20"/>
          <w:szCs w:val="20"/>
        </w:rPr>
        <w:t>ERROR</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728A5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Похибка вимірювання, що суттєво перебільшує очікувану</w:t>
      </w:r>
      <w:r w:rsidRPr="000977F7">
        <w:rPr>
          <w:rFonts w:asciiTheme="majorHAnsi" w:hAnsiTheme="majorHAnsi"/>
          <w:spacing w:val="-5"/>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даних</w:t>
      </w:r>
      <w:r w:rsidRPr="000977F7">
        <w:rPr>
          <w:rFonts w:asciiTheme="majorHAnsi" w:hAnsiTheme="majorHAnsi"/>
          <w:spacing w:val="1"/>
          <w:sz w:val="20"/>
          <w:szCs w:val="20"/>
        </w:rPr>
        <w:t xml:space="preserve"> </w:t>
      </w:r>
      <w:r w:rsidRPr="000977F7">
        <w:rPr>
          <w:rFonts w:asciiTheme="majorHAnsi" w:hAnsiTheme="majorHAnsi"/>
          <w:sz w:val="20"/>
          <w:szCs w:val="20"/>
        </w:rPr>
        <w:t>умовах) похибку</w:t>
      </w:r>
    </w:p>
    <w:p w14:paraId="5D642E9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2681 –</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675C80A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НАДРІЗ</w:t>
      </w:r>
      <w:r w:rsidRPr="000977F7">
        <w:rPr>
          <w:color w:val="auto"/>
          <w:spacing w:val="-2"/>
          <w:sz w:val="20"/>
          <w:szCs w:val="20"/>
        </w:rPr>
        <w:t xml:space="preserve"> </w:t>
      </w:r>
      <w:r w:rsidRPr="000977F7">
        <w:rPr>
          <w:color w:val="auto"/>
          <w:sz w:val="20"/>
          <w:szCs w:val="20"/>
        </w:rPr>
        <w:t>–</w:t>
      </w:r>
    </w:p>
    <w:p w14:paraId="62C0045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STRESS</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CONCENTRATOR;</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STRESS</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RAISER</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7B738B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Раптова зміна розмірів і форми об’єкта, яка спричиняє</w:t>
      </w:r>
      <w:r w:rsidRPr="000977F7">
        <w:rPr>
          <w:rFonts w:asciiTheme="majorHAnsi" w:hAnsiTheme="majorHAnsi"/>
          <w:spacing w:val="-47"/>
          <w:sz w:val="20"/>
          <w:szCs w:val="20"/>
        </w:rPr>
        <w:t xml:space="preserve"> </w:t>
      </w:r>
      <w:r w:rsidRPr="000977F7">
        <w:rPr>
          <w:rFonts w:asciiTheme="majorHAnsi" w:hAnsiTheme="majorHAnsi"/>
          <w:sz w:val="20"/>
          <w:szCs w:val="20"/>
        </w:rPr>
        <w:t>концентрацію</w:t>
      </w:r>
      <w:r w:rsidRPr="000977F7">
        <w:rPr>
          <w:rFonts w:asciiTheme="majorHAnsi" w:hAnsiTheme="majorHAnsi"/>
          <w:spacing w:val="-2"/>
          <w:sz w:val="20"/>
          <w:szCs w:val="20"/>
        </w:rPr>
        <w:t xml:space="preserve"> </w:t>
      </w:r>
      <w:r w:rsidRPr="000977F7">
        <w:rPr>
          <w:rFonts w:asciiTheme="majorHAnsi" w:hAnsiTheme="majorHAnsi"/>
          <w:sz w:val="20"/>
          <w:szCs w:val="20"/>
        </w:rPr>
        <w:t>напруження</w:t>
      </w:r>
    </w:p>
    <w:p w14:paraId="1ACD876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2444 - 94</w:t>
      </w:r>
    </w:p>
    <w:p w14:paraId="59D154C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НАЗЕМНИЙ ЗАСІБ ТЕХНІЧНОГО </w:t>
      </w:r>
    </w:p>
    <w:p w14:paraId="4EAF7ED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ДІАГНОСТУВАННЯ –</w:t>
      </w:r>
    </w:p>
    <w:p w14:paraId="3DA1B85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Засіб діагностування, який входить до складу наземного 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обслуговування</w:t>
      </w:r>
    </w:p>
    <w:p w14:paraId="0029272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5D0360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НАЗЕМНО</w:t>
      </w:r>
      <w:r w:rsidRPr="000977F7">
        <w:rPr>
          <w:color w:val="auto"/>
          <w:spacing w:val="-6"/>
          <w:sz w:val="20"/>
          <w:szCs w:val="20"/>
        </w:rPr>
        <w:t xml:space="preserve"> </w:t>
      </w:r>
      <w:r w:rsidRPr="000977F7">
        <w:rPr>
          <w:color w:val="auto"/>
          <w:sz w:val="20"/>
          <w:szCs w:val="20"/>
        </w:rPr>
        <w:t>–</w:t>
      </w:r>
      <w:r w:rsidRPr="000977F7">
        <w:rPr>
          <w:color w:val="auto"/>
          <w:spacing w:val="-3"/>
          <w:sz w:val="20"/>
          <w:szCs w:val="20"/>
        </w:rPr>
        <w:t xml:space="preserve"> </w:t>
      </w:r>
      <w:r w:rsidRPr="000977F7">
        <w:rPr>
          <w:color w:val="auto"/>
          <w:sz w:val="20"/>
          <w:szCs w:val="20"/>
        </w:rPr>
        <w:t>БОРТОВИЙ</w:t>
      </w:r>
      <w:r w:rsidRPr="000977F7">
        <w:rPr>
          <w:color w:val="auto"/>
          <w:spacing w:val="-6"/>
          <w:sz w:val="20"/>
          <w:szCs w:val="20"/>
        </w:rPr>
        <w:t xml:space="preserve"> </w:t>
      </w:r>
      <w:r w:rsidRPr="000977F7">
        <w:rPr>
          <w:color w:val="auto"/>
          <w:sz w:val="20"/>
          <w:szCs w:val="20"/>
        </w:rPr>
        <w:t>ЗАСІБ</w:t>
      </w:r>
      <w:r w:rsidRPr="000977F7">
        <w:rPr>
          <w:color w:val="auto"/>
          <w:spacing w:val="-6"/>
          <w:sz w:val="20"/>
          <w:szCs w:val="20"/>
        </w:rPr>
        <w:t xml:space="preserve"> </w:t>
      </w:r>
      <w:r w:rsidRPr="000977F7">
        <w:rPr>
          <w:color w:val="auto"/>
          <w:sz w:val="20"/>
          <w:szCs w:val="20"/>
        </w:rPr>
        <w:t>ТЕХНІЧНОГО</w:t>
      </w:r>
      <w:r w:rsidRPr="000977F7">
        <w:rPr>
          <w:color w:val="auto"/>
          <w:spacing w:val="-47"/>
          <w:sz w:val="20"/>
          <w:szCs w:val="20"/>
        </w:rPr>
        <w:t xml:space="preserve"> </w:t>
      </w:r>
      <w:r w:rsidRPr="000977F7">
        <w:rPr>
          <w:color w:val="auto"/>
          <w:sz w:val="20"/>
          <w:szCs w:val="20"/>
        </w:rPr>
        <w:t>ДІАГНОСТУВАННЯ –</w:t>
      </w:r>
    </w:p>
    <w:p w14:paraId="5FB54DC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Засіб діагностування, що містить бортовий пристрій</w:t>
      </w:r>
      <w:r w:rsidRPr="000977F7">
        <w:rPr>
          <w:rFonts w:asciiTheme="majorHAnsi" w:hAnsiTheme="majorHAnsi"/>
          <w:spacing w:val="1"/>
          <w:sz w:val="20"/>
          <w:szCs w:val="20"/>
        </w:rPr>
        <w:t xml:space="preserve"> </w:t>
      </w:r>
      <w:r w:rsidRPr="000977F7">
        <w:rPr>
          <w:rFonts w:asciiTheme="majorHAnsi" w:hAnsiTheme="majorHAnsi"/>
          <w:sz w:val="20"/>
          <w:szCs w:val="20"/>
        </w:rPr>
        <w:t>реєстрації параметрів, а також апаратуру</w:t>
      </w:r>
      <w:r w:rsidRPr="000977F7">
        <w:rPr>
          <w:rFonts w:asciiTheme="majorHAnsi" w:hAnsiTheme="majorHAnsi"/>
          <w:spacing w:val="1"/>
          <w:sz w:val="20"/>
          <w:szCs w:val="20"/>
        </w:rPr>
        <w:t xml:space="preserve"> </w:t>
      </w:r>
      <w:r w:rsidRPr="000977F7">
        <w:rPr>
          <w:rFonts w:asciiTheme="majorHAnsi" w:hAnsiTheme="majorHAnsi"/>
          <w:sz w:val="20"/>
          <w:szCs w:val="20"/>
        </w:rPr>
        <w:t>оброблення,</w:t>
      </w:r>
      <w:r w:rsidRPr="000977F7">
        <w:rPr>
          <w:rFonts w:asciiTheme="majorHAnsi" w:hAnsiTheme="majorHAnsi"/>
          <w:spacing w:val="-47"/>
          <w:sz w:val="20"/>
          <w:szCs w:val="20"/>
        </w:rPr>
        <w:t xml:space="preserve"> </w:t>
      </w:r>
      <w:r w:rsidRPr="000977F7">
        <w:rPr>
          <w:rFonts w:asciiTheme="majorHAnsi" w:hAnsiTheme="majorHAnsi"/>
          <w:sz w:val="20"/>
          <w:szCs w:val="20"/>
        </w:rPr>
        <w:t>відображення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документування,</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входить</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складу засобів наземного технічного 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літального (плавального, самохідного чи іншого рухомого)</w:t>
      </w:r>
      <w:r w:rsidRPr="000977F7">
        <w:rPr>
          <w:rFonts w:asciiTheme="majorHAnsi" w:hAnsiTheme="majorHAnsi"/>
          <w:spacing w:val="-1"/>
          <w:sz w:val="20"/>
          <w:szCs w:val="20"/>
        </w:rPr>
        <w:t xml:space="preserve"> </w:t>
      </w:r>
      <w:r w:rsidRPr="000977F7">
        <w:rPr>
          <w:rFonts w:asciiTheme="majorHAnsi" w:hAnsiTheme="majorHAnsi"/>
          <w:sz w:val="20"/>
          <w:szCs w:val="20"/>
        </w:rPr>
        <w:t>апарата</w:t>
      </w:r>
    </w:p>
    <w:p w14:paraId="497501F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28D834B2" w14:textId="77777777" w:rsidR="0097612F" w:rsidRPr="000977F7" w:rsidRDefault="0097612F" w:rsidP="000977F7">
      <w:pPr>
        <w:pStyle w:val="7"/>
        <w:tabs>
          <w:tab w:val="left" w:pos="284"/>
        </w:tabs>
        <w:spacing w:before="0" w:line="240" w:lineRule="auto"/>
        <w:ind w:left="170"/>
        <w:mirrorIndents/>
        <w:jc w:val="both"/>
        <w:rPr>
          <w:color w:val="auto"/>
          <w:spacing w:val="-4"/>
          <w:sz w:val="20"/>
          <w:szCs w:val="20"/>
        </w:rPr>
      </w:pPr>
      <w:r w:rsidRPr="000977F7">
        <w:rPr>
          <w:color w:val="auto"/>
          <w:sz w:val="20"/>
          <w:szCs w:val="20"/>
        </w:rPr>
        <w:t>НАЙБІЛЬША</w:t>
      </w:r>
      <w:r w:rsidRPr="000977F7">
        <w:rPr>
          <w:color w:val="auto"/>
          <w:spacing w:val="42"/>
          <w:sz w:val="20"/>
          <w:szCs w:val="20"/>
        </w:rPr>
        <w:t xml:space="preserve"> </w:t>
      </w:r>
      <w:r w:rsidRPr="000977F7">
        <w:rPr>
          <w:color w:val="auto"/>
          <w:sz w:val="20"/>
          <w:szCs w:val="20"/>
        </w:rPr>
        <w:t>ДОПУСТИМА</w:t>
      </w:r>
      <w:r w:rsidRPr="000977F7">
        <w:rPr>
          <w:color w:val="auto"/>
          <w:spacing w:val="43"/>
          <w:sz w:val="20"/>
          <w:szCs w:val="20"/>
        </w:rPr>
        <w:t xml:space="preserve"> </w:t>
      </w:r>
      <w:r w:rsidRPr="000977F7">
        <w:rPr>
          <w:color w:val="auto"/>
          <w:sz w:val="20"/>
          <w:szCs w:val="20"/>
        </w:rPr>
        <w:t>НАПРУГА</w:t>
      </w:r>
      <w:r w:rsidRPr="000977F7">
        <w:rPr>
          <w:color w:val="auto"/>
          <w:spacing w:val="-4"/>
          <w:sz w:val="20"/>
          <w:szCs w:val="20"/>
        </w:rPr>
        <w:t xml:space="preserve"> </w:t>
      </w:r>
    </w:p>
    <w:p w14:paraId="096A68B5"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ЕЛЕКТРООБЛАДНАННЯ</w:t>
      </w:r>
      <w:r w:rsidRPr="000977F7">
        <w:rPr>
          <w:color w:val="auto"/>
          <w:spacing w:val="1"/>
          <w:sz w:val="20"/>
          <w:szCs w:val="20"/>
        </w:rPr>
        <w:t xml:space="preserve"> </w:t>
      </w:r>
      <w:r w:rsidRPr="000977F7">
        <w:rPr>
          <w:b w:val="0"/>
          <w:color w:val="auto"/>
          <w:sz w:val="20"/>
          <w:szCs w:val="20"/>
        </w:rPr>
        <w:t>–</w:t>
      </w:r>
    </w:p>
    <w:p w14:paraId="523FABA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HIGHEST</w:t>
      </w:r>
      <w:r w:rsidRPr="004D2D14">
        <w:rPr>
          <w:rFonts w:asciiTheme="majorHAnsi" w:hAnsiTheme="majorHAnsi"/>
          <w:spacing w:val="-1"/>
          <w:sz w:val="20"/>
          <w:szCs w:val="20"/>
          <w:lang w:val="uk-UA"/>
        </w:rPr>
        <w:t xml:space="preserve"> </w:t>
      </w:r>
      <w:r w:rsidRPr="000977F7">
        <w:rPr>
          <w:rFonts w:asciiTheme="majorHAnsi" w:hAnsiTheme="majorHAnsi"/>
          <w:sz w:val="20"/>
          <w:szCs w:val="20"/>
        </w:rPr>
        <w:t>VOLTAGE</w:t>
      </w:r>
      <w:r w:rsidRPr="004D2D14">
        <w:rPr>
          <w:rFonts w:asciiTheme="majorHAnsi" w:hAnsiTheme="majorHAnsi"/>
          <w:spacing w:val="-3"/>
          <w:sz w:val="20"/>
          <w:szCs w:val="20"/>
          <w:lang w:val="uk-UA"/>
        </w:rPr>
        <w:t xml:space="preserve"> </w:t>
      </w:r>
      <w:r w:rsidRPr="000977F7">
        <w:rPr>
          <w:rFonts w:asciiTheme="majorHAnsi" w:hAnsiTheme="majorHAnsi"/>
          <w:sz w:val="20"/>
          <w:szCs w:val="20"/>
        </w:rPr>
        <w:t>FOR</w:t>
      </w:r>
      <w:r w:rsidRPr="004D2D14">
        <w:rPr>
          <w:rFonts w:asciiTheme="majorHAnsi" w:hAnsiTheme="majorHAnsi"/>
          <w:spacing w:val="1"/>
          <w:sz w:val="20"/>
          <w:szCs w:val="20"/>
          <w:lang w:val="uk-UA"/>
        </w:rPr>
        <w:t xml:space="preserve"> </w:t>
      </w:r>
      <w:r w:rsidRPr="000977F7">
        <w:rPr>
          <w:rFonts w:asciiTheme="majorHAnsi" w:hAnsiTheme="majorHAnsi"/>
          <w:sz w:val="20"/>
          <w:szCs w:val="20"/>
        </w:rPr>
        <w:t>EQUIPMENT</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6FA87BC8" w14:textId="77777777" w:rsidR="0097612F" w:rsidRPr="004D2D14" w:rsidRDefault="0097612F" w:rsidP="000977F7">
      <w:pPr>
        <w:pStyle w:val="af6"/>
        <w:tabs>
          <w:tab w:val="left" w:pos="284"/>
        </w:tabs>
        <w:spacing w:after="0"/>
        <w:ind w:left="170"/>
        <w:mirrorIndents/>
        <w:jc w:val="both"/>
        <w:rPr>
          <w:rFonts w:asciiTheme="majorHAnsi" w:hAnsiTheme="majorHAnsi"/>
          <w:spacing w:val="-3"/>
          <w:sz w:val="20"/>
          <w:szCs w:val="20"/>
          <w:lang w:val="uk-UA"/>
        </w:rPr>
      </w:pPr>
      <w:r w:rsidRPr="004D2D14">
        <w:rPr>
          <w:rFonts w:asciiTheme="majorHAnsi" w:hAnsiTheme="majorHAnsi"/>
          <w:spacing w:val="-2"/>
          <w:sz w:val="20"/>
          <w:szCs w:val="20"/>
          <w:lang w:val="uk-UA"/>
        </w:rPr>
        <w:t>Максимальне</w:t>
      </w:r>
      <w:r w:rsidRPr="004D2D14">
        <w:rPr>
          <w:rFonts w:asciiTheme="majorHAnsi" w:hAnsiTheme="majorHAnsi"/>
          <w:spacing w:val="-9"/>
          <w:sz w:val="20"/>
          <w:szCs w:val="20"/>
          <w:lang w:val="uk-UA"/>
        </w:rPr>
        <w:t xml:space="preserve"> </w:t>
      </w:r>
      <w:r w:rsidRPr="004D2D14">
        <w:rPr>
          <w:rFonts w:asciiTheme="majorHAnsi" w:hAnsiTheme="majorHAnsi"/>
          <w:spacing w:val="-2"/>
          <w:sz w:val="20"/>
          <w:szCs w:val="20"/>
          <w:lang w:val="uk-UA"/>
        </w:rPr>
        <w:t>дійове</w:t>
      </w:r>
      <w:r w:rsidRPr="004D2D14">
        <w:rPr>
          <w:rFonts w:asciiTheme="majorHAnsi" w:hAnsiTheme="majorHAnsi"/>
          <w:spacing w:val="-9"/>
          <w:sz w:val="20"/>
          <w:szCs w:val="20"/>
          <w:lang w:val="uk-UA"/>
        </w:rPr>
        <w:t xml:space="preserve"> </w:t>
      </w:r>
      <w:r w:rsidRPr="004D2D14">
        <w:rPr>
          <w:rFonts w:asciiTheme="majorHAnsi" w:hAnsiTheme="majorHAnsi"/>
          <w:spacing w:val="-2"/>
          <w:sz w:val="20"/>
          <w:szCs w:val="20"/>
          <w:lang w:val="uk-UA"/>
        </w:rPr>
        <w:t>значення</w:t>
      </w:r>
      <w:r w:rsidRPr="004D2D14">
        <w:rPr>
          <w:rFonts w:asciiTheme="majorHAnsi" w:hAnsiTheme="majorHAnsi"/>
          <w:spacing w:val="-9"/>
          <w:sz w:val="20"/>
          <w:szCs w:val="20"/>
          <w:lang w:val="uk-UA"/>
        </w:rPr>
        <w:t xml:space="preserve"> </w:t>
      </w:r>
      <w:r w:rsidRPr="004D2D14">
        <w:rPr>
          <w:rFonts w:asciiTheme="majorHAnsi" w:hAnsiTheme="majorHAnsi"/>
          <w:spacing w:val="-1"/>
          <w:sz w:val="20"/>
          <w:szCs w:val="20"/>
          <w:lang w:val="uk-UA"/>
        </w:rPr>
        <w:t>напруги</w:t>
      </w:r>
      <w:r w:rsidRPr="004D2D14">
        <w:rPr>
          <w:rFonts w:asciiTheme="majorHAnsi" w:hAnsiTheme="majorHAnsi"/>
          <w:spacing w:val="-10"/>
          <w:sz w:val="20"/>
          <w:szCs w:val="20"/>
          <w:lang w:val="uk-UA"/>
        </w:rPr>
        <w:t xml:space="preserve"> </w:t>
      </w:r>
      <w:r w:rsidRPr="004D2D14">
        <w:rPr>
          <w:rFonts w:asciiTheme="majorHAnsi" w:hAnsiTheme="majorHAnsi"/>
          <w:spacing w:val="-1"/>
          <w:sz w:val="20"/>
          <w:szCs w:val="20"/>
          <w:lang w:val="uk-UA"/>
        </w:rPr>
        <w:t>між</w:t>
      </w:r>
      <w:r w:rsidRPr="004D2D14">
        <w:rPr>
          <w:rFonts w:asciiTheme="majorHAnsi" w:hAnsiTheme="majorHAnsi"/>
          <w:spacing w:val="-11"/>
          <w:sz w:val="20"/>
          <w:szCs w:val="20"/>
          <w:lang w:val="uk-UA"/>
        </w:rPr>
        <w:t xml:space="preserve"> </w:t>
      </w:r>
      <w:r w:rsidRPr="004D2D14">
        <w:rPr>
          <w:rFonts w:asciiTheme="majorHAnsi" w:hAnsiTheme="majorHAnsi"/>
          <w:spacing w:val="-1"/>
          <w:sz w:val="20"/>
          <w:szCs w:val="20"/>
          <w:lang w:val="uk-UA"/>
        </w:rPr>
        <w:t>фазою</w:t>
      </w:r>
      <w:r w:rsidRPr="004D2D14">
        <w:rPr>
          <w:rFonts w:asciiTheme="majorHAnsi" w:hAnsiTheme="majorHAnsi"/>
          <w:spacing w:val="-10"/>
          <w:sz w:val="20"/>
          <w:szCs w:val="20"/>
          <w:lang w:val="uk-UA"/>
        </w:rPr>
        <w:t xml:space="preserve"> </w:t>
      </w:r>
      <w:r w:rsidRPr="004D2D14">
        <w:rPr>
          <w:rFonts w:asciiTheme="majorHAnsi" w:hAnsiTheme="majorHAnsi"/>
          <w:spacing w:val="-1"/>
          <w:sz w:val="20"/>
          <w:szCs w:val="20"/>
          <w:lang w:val="uk-UA"/>
        </w:rPr>
        <w:t>і</w:t>
      </w:r>
      <w:r w:rsidRPr="004D2D14">
        <w:rPr>
          <w:rFonts w:asciiTheme="majorHAnsi" w:hAnsiTheme="majorHAnsi"/>
          <w:spacing w:val="-9"/>
          <w:sz w:val="20"/>
          <w:szCs w:val="20"/>
          <w:lang w:val="uk-UA"/>
        </w:rPr>
        <w:t xml:space="preserve"> </w:t>
      </w:r>
      <w:r w:rsidRPr="004D2D14">
        <w:rPr>
          <w:rFonts w:asciiTheme="majorHAnsi" w:hAnsiTheme="majorHAnsi"/>
          <w:spacing w:val="-1"/>
          <w:sz w:val="20"/>
          <w:szCs w:val="20"/>
          <w:lang w:val="uk-UA"/>
        </w:rPr>
        <w:t>землею</w:t>
      </w:r>
      <w:r w:rsidRPr="004D2D14">
        <w:rPr>
          <w:rFonts w:asciiTheme="majorHAnsi" w:hAnsiTheme="majorHAnsi"/>
          <w:spacing w:val="-10"/>
          <w:sz w:val="20"/>
          <w:szCs w:val="20"/>
          <w:lang w:val="uk-UA"/>
        </w:rPr>
        <w:t xml:space="preserve"> </w:t>
      </w:r>
      <w:r w:rsidRPr="004D2D14">
        <w:rPr>
          <w:rFonts w:asciiTheme="majorHAnsi" w:hAnsiTheme="majorHAnsi"/>
          <w:spacing w:val="-1"/>
          <w:sz w:val="20"/>
          <w:szCs w:val="20"/>
          <w:lang w:val="uk-UA"/>
        </w:rPr>
        <w:t>чи</w:t>
      </w:r>
      <w:r w:rsidRPr="004D2D14">
        <w:rPr>
          <w:rFonts w:asciiTheme="majorHAnsi" w:hAnsiTheme="majorHAnsi"/>
          <w:spacing w:val="-8"/>
          <w:sz w:val="20"/>
          <w:szCs w:val="20"/>
          <w:lang w:val="uk-UA"/>
        </w:rPr>
        <w:t xml:space="preserve"> </w:t>
      </w:r>
      <w:r w:rsidRPr="004D2D14">
        <w:rPr>
          <w:rFonts w:asciiTheme="majorHAnsi" w:hAnsiTheme="majorHAnsi"/>
          <w:spacing w:val="-1"/>
          <w:sz w:val="20"/>
          <w:szCs w:val="20"/>
          <w:lang w:val="uk-UA"/>
        </w:rPr>
        <w:t>між</w:t>
      </w:r>
      <w:r w:rsidRPr="004D2D14">
        <w:rPr>
          <w:rFonts w:asciiTheme="majorHAnsi" w:hAnsiTheme="majorHAnsi"/>
          <w:spacing w:val="-9"/>
          <w:sz w:val="20"/>
          <w:szCs w:val="20"/>
          <w:lang w:val="uk-UA"/>
        </w:rPr>
        <w:t xml:space="preserve"> </w:t>
      </w:r>
      <w:r w:rsidRPr="004D2D14">
        <w:rPr>
          <w:rFonts w:asciiTheme="majorHAnsi" w:hAnsiTheme="majorHAnsi"/>
          <w:spacing w:val="-1"/>
          <w:sz w:val="20"/>
          <w:szCs w:val="20"/>
          <w:lang w:val="uk-UA"/>
        </w:rPr>
        <w:t>фазами</w:t>
      </w:r>
      <w:r w:rsidRPr="004D2D14">
        <w:rPr>
          <w:rFonts w:asciiTheme="majorHAnsi" w:hAnsiTheme="majorHAnsi"/>
          <w:spacing w:val="-9"/>
          <w:sz w:val="20"/>
          <w:szCs w:val="20"/>
          <w:lang w:val="uk-UA"/>
        </w:rPr>
        <w:t xml:space="preserve"> </w:t>
      </w:r>
      <w:r w:rsidRPr="004D2D14">
        <w:rPr>
          <w:rFonts w:asciiTheme="majorHAnsi" w:hAnsiTheme="majorHAnsi"/>
          <w:spacing w:val="-1"/>
          <w:sz w:val="20"/>
          <w:szCs w:val="20"/>
          <w:lang w:val="uk-UA"/>
        </w:rPr>
        <w:t>електрообладнання,</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тривале</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припи</w:t>
      </w:r>
      <w:r w:rsidRPr="004D2D14">
        <w:rPr>
          <w:rFonts w:asciiTheme="majorHAnsi" w:hAnsiTheme="majorHAnsi"/>
          <w:spacing w:val="-4"/>
          <w:sz w:val="20"/>
          <w:szCs w:val="20"/>
          <w:lang w:val="uk-UA"/>
        </w:rPr>
        <w:t xml:space="preserve">нення якого допустиме за умовами роботи його </w:t>
      </w:r>
      <w:r w:rsidRPr="004D2D14">
        <w:rPr>
          <w:rFonts w:asciiTheme="majorHAnsi" w:hAnsiTheme="majorHAnsi"/>
          <w:spacing w:val="-3"/>
          <w:sz w:val="20"/>
          <w:szCs w:val="20"/>
          <w:lang w:val="uk-UA"/>
        </w:rPr>
        <w:t>ізоляції</w:t>
      </w:r>
    </w:p>
    <w:p w14:paraId="2DA19341"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3466 - 96</w:t>
      </w:r>
    </w:p>
    <w:p w14:paraId="2A9AF82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НАЙМЕНУВАННЯ</w:t>
      </w:r>
      <w:r w:rsidRPr="000977F7">
        <w:rPr>
          <w:color w:val="auto"/>
          <w:spacing w:val="-6"/>
          <w:sz w:val="20"/>
          <w:szCs w:val="20"/>
        </w:rPr>
        <w:t xml:space="preserve"> </w:t>
      </w:r>
      <w:r w:rsidRPr="000977F7">
        <w:rPr>
          <w:color w:val="auto"/>
          <w:sz w:val="20"/>
          <w:szCs w:val="20"/>
        </w:rPr>
        <w:t>СТАНДАРТА</w:t>
      </w:r>
      <w:r w:rsidRPr="000977F7">
        <w:rPr>
          <w:color w:val="auto"/>
          <w:spacing w:val="-3"/>
          <w:sz w:val="20"/>
          <w:szCs w:val="20"/>
        </w:rPr>
        <w:t xml:space="preserve"> </w:t>
      </w:r>
      <w:r w:rsidRPr="000977F7">
        <w:rPr>
          <w:color w:val="auto"/>
          <w:sz w:val="20"/>
          <w:szCs w:val="20"/>
        </w:rPr>
        <w:t>–</w:t>
      </w:r>
    </w:p>
    <w:p w14:paraId="162F04A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TITLE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STANDARD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4D33B2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стандарту, яка містить стислу характеристику</w:t>
      </w:r>
      <w:r w:rsidRPr="000977F7">
        <w:rPr>
          <w:rFonts w:asciiTheme="majorHAnsi" w:hAnsiTheme="majorHAnsi"/>
          <w:spacing w:val="-47"/>
          <w:sz w:val="20"/>
          <w:szCs w:val="20"/>
        </w:rPr>
        <w:t xml:space="preserve"> </w:t>
      </w:r>
      <w:r w:rsidRPr="000977F7">
        <w:rPr>
          <w:rFonts w:asciiTheme="majorHAnsi" w:hAnsiTheme="majorHAnsi"/>
          <w:sz w:val="20"/>
          <w:szCs w:val="20"/>
        </w:rPr>
        <w:t>об’єкта стандартизації, відрізняє даний стандарт від</w:t>
      </w:r>
      <w:r w:rsidRPr="000977F7">
        <w:rPr>
          <w:rFonts w:asciiTheme="majorHAnsi" w:hAnsiTheme="majorHAnsi"/>
          <w:spacing w:val="1"/>
          <w:sz w:val="20"/>
          <w:szCs w:val="20"/>
        </w:rPr>
        <w:t xml:space="preserve"> </w:t>
      </w:r>
      <w:r w:rsidRPr="000977F7">
        <w:rPr>
          <w:rFonts w:asciiTheme="majorHAnsi" w:hAnsiTheme="majorHAnsi"/>
          <w:sz w:val="20"/>
          <w:szCs w:val="20"/>
        </w:rPr>
        <w:t>будь-якого іншого стандарту і забезпечує правильну</w:t>
      </w:r>
      <w:r w:rsidRPr="000977F7">
        <w:rPr>
          <w:rFonts w:asciiTheme="majorHAnsi" w:hAnsiTheme="majorHAnsi"/>
          <w:spacing w:val="1"/>
          <w:sz w:val="20"/>
          <w:szCs w:val="20"/>
        </w:rPr>
        <w:t xml:space="preserve"> </w:t>
      </w:r>
      <w:r w:rsidRPr="000977F7">
        <w:rPr>
          <w:rFonts w:asciiTheme="majorHAnsi" w:hAnsiTheme="majorHAnsi"/>
          <w:sz w:val="20"/>
          <w:szCs w:val="20"/>
        </w:rPr>
        <w:t>класифікацію стандартів для його включення до показника</w:t>
      </w:r>
      <w:r w:rsidRPr="000977F7">
        <w:rPr>
          <w:rFonts w:asciiTheme="majorHAnsi" w:hAnsiTheme="majorHAnsi"/>
          <w:spacing w:val="-1"/>
          <w:sz w:val="20"/>
          <w:szCs w:val="20"/>
        </w:rPr>
        <w:t xml:space="preserve"> </w:t>
      </w:r>
      <w:r w:rsidRPr="000977F7">
        <w:rPr>
          <w:rFonts w:asciiTheme="majorHAnsi" w:hAnsiTheme="majorHAnsi"/>
          <w:sz w:val="20"/>
          <w:szCs w:val="20"/>
        </w:rPr>
        <w:t>стандартів</w:t>
      </w:r>
    </w:p>
    <w:p w14:paraId="569082D5" w14:textId="77777777" w:rsidR="0097612F" w:rsidRPr="000977F7" w:rsidRDefault="0097612F" w:rsidP="000977F7">
      <w:pPr>
        <w:pStyle w:val="af6"/>
        <w:tabs>
          <w:tab w:val="left" w:pos="284"/>
        </w:tabs>
        <w:spacing w:after="0"/>
        <w:ind w:left="170"/>
        <w:mirrorIndents/>
        <w:jc w:val="both"/>
        <w:rPr>
          <w:rFonts w:asciiTheme="majorHAnsi" w:hAnsiTheme="majorHAnsi"/>
          <w:b/>
          <w:caps/>
          <w:sz w:val="20"/>
          <w:szCs w:val="20"/>
        </w:rPr>
      </w:pPr>
      <w:r w:rsidRPr="000977F7">
        <w:rPr>
          <w:rFonts w:asciiTheme="majorHAnsi" w:hAnsiTheme="majorHAnsi"/>
          <w:b/>
          <w:caps/>
          <w:sz w:val="20"/>
          <w:szCs w:val="20"/>
        </w:rPr>
        <w:t>Найвище керівництво -</w:t>
      </w:r>
    </w:p>
    <w:p w14:paraId="00F80C69" w14:textId="77777777" w:rsidR="0097612F" w:rsidRPr="000977F7" w:rsidRDefault="0097612F" w:rsidP="000977F7">
      <w:pPr>
        <w:pStyle w:val="af6"/>
        <w:tabs>
          <w:tab w:val="left" w:pos="284"/>
        </w:tabs>
        <w:spacing w:after="0"/>
        <w:ind w:left="170"/>
        <w:mirrorIndents/>
        <w:jc w:val="both"/>
        <w:rPr>
          <w:rFonts w:asciiTheme="majorHAnsi" w:hAnsiTheme="majorHAnsi"/>
          <w:caps/>
          <w:sz w:val="20"/>
          <w:szCs w:val="20"/>
        </w:rPr>
      </w:pPr>
      <w:r w:rsidRPr="000977F7">
        <w:rPr>
          <w:rFonts w:asciiTheme="majorHAnsi" w:hAnsiTheme="majorHAnsi"/>
          <w:caps/>
          <w:sz w:val="20"/>
          <w:szCs w:val="20"/>
        </w:rPr>
        <w:t>Top management</w:t>
      </w:r>
    </w:p>
    <w:p w14:paraId="4700C24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Особа чи група осіб, яка спрямовує та контролює діяльність організації на найвищому рівні </w:t>
      </w:r>
    </w:p>
    <w:p w14:paraId="0329149B"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4"/>
          <w:sz w:val="20"/>
          <w:szCs w:val="20"/>
        </w:rPr>
        <w:t xml:space="preserve"> </w:t>
      </w:r>
      <w:r w:rsidRPr="000977F7">
        <w:rPr>
          <w:rFonts w:asciiTheme="majorHAnsi" w:hAnsiTheme="majorHAnsi"/>
          <w:i/>
          <w:sz w:val="20"/>
          <w:szCs w:val="20"/>
        </w:rPr>
        <w:t>ISO:9000:2015</w:t>
      </w:r>
    </w:p>
    <w:p w14:paraId="5A0826D8"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НАЛЕЖНА ЯКІСТЬ ТОВАРУ, РОБОТИ АБО ПОСЛУГИ –</w:t>
      </w:r>
    </w:p>
    <w:p w14:paraId="05C7109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 продукції, яка відповідає вимогам, встановленим для цієї категорії продукції у нормативно-правових актах, та умовам договору із споживачем</w:t>
      </w:r>
    </w:p>
    <w:p w14:paraId="40D3BBA8"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sz w:val="20"/>
          <w:szCs w:val="20"/>
        </w:rPr>
        <w:t>Ст. 1 закону України "Про захист прав споживачів</w:t>
      </w:r>
      <w:r w:rsidRPr="000977F7">
        <w:rPr>
          <w:rFonts w:asciiTheme="majorHAnsi" w:hAnsiTheme="majorHAnsi"/>
          <w:i/>
          <w:iCs/>
          <w:sz w:val="20"/>
          <w:szCs w:val="20"/>
        </w:rPr>
        <w:t>"</w:t>
      </w:r>
    </w:p>
    <w:p w14:paraId="15D2F739"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НАНЕСЕННЯ</w:t>
      </w:r>
      <w:r w:rsidRPr="000977F7">
        <w:rPr>
          <w:rFonts w:asciiTheme="majorHAnsi" w:hAnsiTheme="majorHAnsi"/>
          <w:b/>
          <w:bCs/>
          <w:spacing w:val="-7"/>
          <w:sz w:val="20"/>
          <w:szCs w:val="20"/>
        </w:rPr>
        <w:t xml:space="preserve"> </w:t>
      </w:r>
      <w:r w:rsidRPr="000977F7">
        <w:rPr>
          <w:rFonts w:asciiTheme="majorHAnsi" w:hAnsiTheme="majorHAnsi"/>
          <w:b/>
          <w:bCs/>
          <w:sz w:val="20"/>
          <w:szCs w:val="20"/>
        </w:rPr>
        <w:t>ПОКРИТТЯ</w:t>
      </w:r>
      <w:r w:rsidRPr="000977F7">
        <w:rPr>
          <w:rFonts w:asciiTheme="majorHAnsi" w:hAnsiTheme="majorHAnsi"/>
          <w:b/>
          <w:bCs/>
          <w:spacing w:val="-5"/>
          <w:sz w:val="20"/>
          <w:szCs w:val="20"/>
        </w:rPr>
        <w:t xml:space="preserve"> </w:t>
      </w:r>
      <w:r w:rsidRPr="000977F7">
        <w:rPr>
          <w:rFonts w:asciiTheme="majorHAnsi" w:hAnsiTheme="majorHAnsi"/>
          <w:b/>
          <w:bCs/>
          <w:sz w:val="20"/>
          <w:szCs w:val="20"/>
        </w:rPr>
        <w:t>–</w:t>
      </w:r>
    </w:p>
    <w:p w14:paraId="5962FB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COATING</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551ADF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Оброблення,</w:t>
      </w:r>
      <w:r w:rsidRPr="000977F7">
        <w:rPr>
          <w:rFonts w:asciiTheme="majorHAnsi" w:hAnsiTheme="majorHAnsi"/>
          <w:spacing w:val="13"/>
          <w:sz w:val="20"/>
          <w:szCs w:val="20"/>
        </w:rPr>
        <w:t xml:space="preserve"> </w:t>
      </w:r>
      <w:r w:rsidRPr="000977F7">
        <w:rPr>
          <w:rFonts w:asciiTheme="majorHAnsi" w:hAnsiTheme="majorHAnsi"/>
          <w:sz w:val="20"/>
          <w:szCs w:val="20"/>
        </w:rPr>
        <w:t>яке</w:t>
      </w:r>
      <w:r w:rsidRPr="000977F7">
        <w:rPr>
          <w:rFonts w:asciiTheme="majorHAnsi" w:hAnsiTheme="majorHAnsi"/>
          <w:spacing w:val="13"/>
          <w:sz w:val="20"/>
          <w:szCs w:val="20"/>
        </w:rPr>
        <w:t xml:space="preserve"> </w:t>
      </w:r>
      <w:r w:rsidRPr="000977F7">
        <w:rPr>
          <w:rFonts w:asciiTheme="majorHAnsi" w:hAnsiTheme="majorHAnsi"/>
          <w:sz w:val="20"/>
          <w:szCs w:val="20"/>
        </w:rPr>
        <w:t>полягає</w:t>
      </w:r>
      <w:r w:rsidRPr="000977F7">
        <w:rPr>
          <w:rFonts w:asciiTheme="majorHAnsi" w:hAnsiTheme="majorHAnsi"/>
          <w:spacing w:val="12"/>
          <w:sz w:val="20"/>
          <w:szCs w:val="20"/>
        </w:rPr>
        <w:t xml:space="preserve"> </w:t>
      </w:r>
      <w:r w:rsidRPr="000977F7">
        <w:rPr>
          <w:rFonts w:asciiTheme="majorHAnsi" w:hAnsiTheme="majorHAnsi"/>
          <w:sz w:val="20"/>
          <w:szCs w:val="20"/>
        </w:rPr>
        <w:t>в</w:t>
      </w:r>
      <w:r w:rsidRPr="000977F7">
        <w:rPr>
          <w:rFonts w:asciiTheme="majorHAnsi" w:hAnsiTheme="majorHAnsi"/>
          <w:spacing w:val="12"/>
          <w:sz w:val="20"/>
          <w:szCs w:val="20"/>
        </w:rPr>
        <w:t xml:space="preserve"> </w:t>
      </w:r>
      <w:r w:rsidRPr="000977F7">
        <w:rPr>
          <w:rFonts w:asciiTheme="majorHAnsi" w:hAnsiTheme="majorHAnsi"/>
          <w:sz w:val="20"/>
          <w:szCs w:val="20"/>
        </w:rPr>
        <w:t>утворенні</w:t>
      </w:r>
      <w:r w:rsidRPr="000977F7">
        <w:rPr>
          <w:rFonts w:asciiTheme="majorHAnsi" w:hAnsiTheme="majorHAnsi"/>
          <w:spacing w:val="13"/>
          <w:sz w:val="20"/>
          <w:szCs w:val="20"/>
        </w:rPr>
        <w:t xml:space="preserve"> </w:t>
      </w:r>
      <w:r w:rsidRPr="000977F7">
        <w:rPr>
          <w:rFonts w:asciiTheme="majorHAnsi" w:hAnsiTheme="majorHAnsi"/>
          <w:sz w:val="20"/>
          <w:szCs w:val="20"/>
        </w:rPr>
        <w:t>на</w:t>
      </w:r>
      <w:r w:rsidRPr="000977F7">
        <w:rPr>
          <w:rFonts w:asciiTheme="majorHAnsi" w:hAnsiTheme="majorHAnsi"/>
          <w:spacing w:val="12"/>
          <w:sz w:val="20"/>
          <w:szCs w:val="20"/>
        </w:rPr>
        <w:t xml:space="preserve"> </w:t>
      </w:r>
      <w:r w:rsidRPr="000977F7">
        <w:rPr>
          <w:rFonts w:asciiTheme="majorHAnsi" w:hAnsiTheme="majorHAnsi"/>
          <w:sz w:val="20"/>
          <w:szCs w:val="20"/>
        </w:rPr>
        <w:t>заготовці</w:t>
      </w:r>
      <w:r w:rsidRPr="000977F7">
        <w:rPr>
          <w:rFonts w:asciiTheme="majorHAnsi" w:hAnsiTheme="majorHAnsi"/>
          <w:spacing w:val="12"/>
          <w:sz w:val="20"/>
          <w:szCs w:val="20"/>
        </w:rPr>
        <w:t xml:space="preserve"> </w:t>
      </w:r>
      <w:r w:rsidRPr="000977F7">
        <w:rPr>
          <w:rFonts w:asciiTheme="majorHAnsi" w:hAnsiTheme="majorHAnsi"/>
          <w:sz w:val="20"/>
          <w:szCs w:val="20"/>
        </w:rPr>
        <w:t>поверхневого шару</w:t>
      </w:r>
      <w:r w:rsidRPr="000977F7">
        <w:rPr>
          <w:rFonts w:asciiTheme="majorHAnsi" w:hAnsiTheme="majorHAnsi"/>
          <w:spacing w:val="-5"/>
          <w:sz w:val="20"/>
          <w:szCs w:val="20"/>
        </w:rPr>
        <w:t xml:space="preserve"> </w:t>
      </w:r>
      <w:r w:rsidRPr="000977F7">
        <w:rPr>
          <w:rFonts w:asciiTheme="majorHAnsi" w:hAnsiTheme="majorHAnsi"/>
          <w:sz w:val="20"/>
          <w:szCs w:val="20"/>
        </w:rPr>
        <w:t>із стороннього матеріалу</w:t>
      </w:r>
    </w:p>
    <w:p w14:paraId="698CE4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D2AE76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Прикладом</w:t>
      </w:r>
      <w:r w:rsidRPr="000977F7">
        <w:rPr>
          <w:rFonts w:asciiTheme="majorHAnsi" w:hAnsiTheme="majorHAnsi"/>
          <w:spacing w:val="9"/>
          <w:sz w:val="20"/>
          <w:szCs w:val="20"/>
        </w:rPr>
        <w:t xml:space="preserve"> </w:t>
      </w:r>
      <w:r w:rsidRPr="000977F7">
        <w:rPr>
          <w:rFonts w:asciiTheme="majorHAnsi" w:hAnsiTheme="majorHAnsi"/>
          <w:sz w:val="20"/>
          <w:szCs w:val="20"/>
        </w:rPr>
        <w:t>одержування</w:t>
      </w:r>
      <w:r w:rsidRPr="000977F7">
        <w:rPr>
          <w:rFonts w:asciiTheme="majorHAnsi" w:hAnsiTheme="majorHAnsi"/>
          <w:spacing w:val="11"/>
          <w:sz w:val="20"/>
          <w:szCs w:val="20"/>
        </w:rPr>
        <w:t xml:space="preserve"> </w:t>
      </w:r>
      <w:r w:rsidRPr="000977F7">
        <w:rPr>
          <w:rFonts w:asciiTheme="majorHAnsi" w:hAnsiTheme="majorHAnsi"/>
          <w:sz w:val="20"/>
          <w:szCs w:val="20"/>
        </w:rPr>
        <w:t>покриття</w:t>
      </w:r>
      <w:r w:rsidRPr="000977F7">
        <w:rPr>
          <w:rFonts w:asciiTheme="majorHAnsi" w:hAnsiTheme="majorHAnsi"/>
          <w:spacing w:val="7"/>
          <w:sz w:val="20"/>
          <w:szCs w:val="20"/>
        </w:rPr>
        <w:t xml:space="preserve"> </w:t>
      </w:r>
      <w:r w:rsidRPr="000977F7">
        <w:rPr>
          <w:rFonts w:asciiTheme="majorHAnsi" w:hAnsiTheme="majorHAnsi"/>
          <w:sz w:val="20"/>
          <w:szCs w:val="20"/>
        </w:rPr>
        <w:t>є</w:t>
      </w:r>
      <w:r w:rsidRPr="000977F7">
        <w:rPr>
          <w:rFonts w:asciiTheme="majorHAnsi" w:hAnsiTheme="majorHAnsi"/>
          <w:spacing w:val="9"/>
          <w:sz w:val="20"/>
          <w:szCs w:val="20"/>
        </w:rPr>
        <w:t xml:space="preserve"> </w:t>
      </w:r>
      <w:r w:rsidRPr="000977F7">
        <w:rPr>
          <w:rFonts w:asciiTheme="majorHAnsi" w:hAnsiTheme="majorHAnsi"/>
          <w:sz w:val="20"/>
          <w:szCs w:val="20"/>
        </w:rPr>
        <w:t>фарбування,</w:t>
      </w:r>
      <w:r w:rsidRPr="000977F7">
        <w:rPr>
          <w:rFonts w:asciiTheme="majorHAnsi" w:hAnsiTheme="majorHAnsi"/>
          <w:spacing w:val="8"/>
          <w:sz w:val="20"/>
          <w:szCs w:val="20"/>
        </w:rPr>
        <w:t xml:space="preserve"> </w:t>
      </w:r>
      <w:r w:rsidRPr="000977F7">
        <w:rPr>
          <w:rFonts w:asciiTheme="majorHAnsi" w:hAnsiTheme="majorHAnsi"/>
          <w:sz w:val="20"/>
          <w:szCs w:val="20"/>
        </w:rPr>
        <w:t>анодування,</w:t>
      </w:r>
      <w:r w:rsidRPr="000977F7">
        <w:rPr>
          <w:rFonts w:asciiTheme="majorHAnsi" w:hAnsiTheme="majorHAnsi"/>
          <w:spacing w:val="-1"/>
          <w:sz w:val="20"/>
          <w:szCs w:val="20"/>
        </w:rPr>
        <w:t xml:space="preserve"> </w:t>
      </w:r>
      <w:r w:rsidRPr="000977F7">
        <w:rPr>
          <w:rFonts w:asciiTheme="majorHAnsi" w:hAnsiTheme="majorHAnsi"/>
          <w:sz w:val="20"/>
          <w:szCs w:val="20"/>
        </w:rPr>
        <w:t>оксидування,</w:t>
      </w:r>
      <w:r w:rsidRPr="000977F7">
        <w:rPr>
          <w:rFonts w:asciiTheme="majorHAnsi" w:hAnsiTheme="majorHAnsi"/>
          <w:spacing w:val="-1"/>
          <w:sz w:val="20"/>
          <w:szCs w:val="20"/>
        </w:rPr>
        <w:t xml:space="preserve"> </w:t>
      </w:r>
      <w:r w:rsidRPr="000977F7">
        <w:rPr>
          <w:rFonts w:asciiTheme="majorHAnsi" w:hAnsiTheme="majorHAnsi"/>
          <w:sz w:val="20"/>
          <w:szCs w:val="20"/>
        </w:rPr>
        <w:t>металізація</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51FC0CC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4D82BDC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НАПІВФАБРИКАТ</w:t>
      </w:r>
      <w:r w:rsidRPr="000977F7">
        <w:rPr>
          <w:color w:val="auto"/>
          <w:spacing w:val="-5"/>
          <w:sz w:val="20"/>
          <w:szCs w:val="20"/>
        </w:rPr>
        <w:t xml:space="preserve"> </w:t>
      </w:r>
      <w:r w:rsidRPr="000977F7">
        <w:rPr>
          <w:color w:val="auto"/>
          <w:sz w:val="20"/>
          <w:szCs w:val="20"/>
        </w:rPr>
        <w:t>–</w:t>
      </w:r>
    </w:p>
    <w:p w14:paraId="2BB8525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Предмет праці, який підлягає подальшому оброблюванню</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підприємстві</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споживачеві</w:t>
      </w:r>
    </w:p>
    <w:p w14:paraId="593AB60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 – 2010;</w:t>
      </w:r>
      <w:r w:rsidRPr="000977F7">
        <w:rPr>
          <w:rFonts w:asciiTheme="majorHAnsi" w:hAnsiTheme="majorHAnsi"/>
          <w:i/>
          <w:spacing w:val="-2"/>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95;</w:t>
      </w:r>
    </w:p>
    <w:p w14:paraId="3C662B1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691126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НАПРУГА</w:t>
      </w:r>
      <w:r w:rsidRPr="000977F7">
        <w:rPr>
          <w:color w:val="auto"/>
          <w:spacing w:val="-4"/>
          <w:sz w:val="20"/>
          <w:szCs w:val="20"/>
        </w:rPr>
        <w:t xml:space="preserve"> </w:t>
      </w:r>
      <w:r w:rsidRPr="000977F7">
        <w:rPr>
          <w:color w:val="auto"/>
          <w:sz w:val="20"/>
          <w:szCs w:val="20"/>
        </w:rPr>
        <w:t>В</w:t>
      </w:r>
      <w:r w:rsidRPr="000977F7">
        <w:rPr>
          <w:color w:val="auto"/>
          <w:spacing w:val="-3"/>
          <w:sz w:val="20"/>
          <w:szCs w:val="20"/>
        </w:rPr>
        <w:t xml:space="preserve"> </w:t>
      </w:r>
      <w:r w:rsidRPr="000977F7">
        <w:rPr>
          <w:color w:val="auto"/>
          <w:sz w:val="20"/>
          <w:szCs w:val="20"/>
        </w:rPr>
        <w:t>СПОЖИВАЧА –</w:t>
      </w:r>
    </w:p>
    <w:p w14:paraId="767C314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SUPPLY</w:t>
      </w:r>
      <w:r w:rsidRPr="004D2D14">
        <w:rPr>
          <w:rFonts w:asciiTheme="majorHAnsi" w:hAnsiTheme="majorHAnsi"/>
          <w:spacing w:val="-3"/>
          <w:sz w:val="20"/>
          <w:szCs w:val="20"/>
          <w:lang w:val="uk-UA"/>
        </w:rPr>
        <w:t xml:space="preserve"> </w:t>
      </w:r>
      <w:r w:rsidRPr="000977F7">
        <w:rPr>
          <w:rFonts w:asciiTheme="majorHAnsi" w:hAnsiTheme="majorHAnsi"/>
          <w:sz w:val="20"/>
          <w:szCs w:val="20"/>
        </w:rPr>
        <w:t>VOLTAGE</w:t>
      </w:r>
      <w:r w:rsidRPr="004D2D14">
        <w:rPr>
          <w:rFonts w:asciiTheme="majorHAnsi" w:hAnsiTheme="majorHAnsi"/>
          <w:sz w:val="20"/>
          <w:szCs w:val="20"/>
          <w:lang w:val="uk-UA"/>
        </w:rPr>
        <w:t xml:space="preserve"> –</w:t>
      </w:r>
    </w:p>
    <w:p w14:paraId="157BDA5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lastRenderedPageBreak/>
        <w:t>Напруга, яку електропостачальна організація підтримує</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на вводі 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споживача.</w:t>
      </w:r>
    </w:p>
    <w:p w14:paraId="4B7442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629FA3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Якщо значення напруги наперед установлене, наприклад, в договорі на електропостачання, то це значення</w:t>
      </w:r>
      <w:r w:rsidRPr="000977F7">
        <w:rPr>
          <w:rFonts w:asciiTheme="majorHAnsi" w:hAnsiTheme="majorHAnsi"/>
          <w:spacing w:val="-47"/>
          <w:sz w:val="20"/>
          <w:szCs w:val="20"/>
        </w:rPr>
        <w:t xml:space="preserve"> </w:t>
      </w:r>
      <w:r w:rsidRPr="000977F7">
        <w:rPr>
          <w:rFonts w:asciiTheme="majorHAnsi" w:hAnsiTheme="majorHAnsi"/>
          <w:sz w:val="20"/>
          <w:szCs w:val="20"/>
        </w:rPr>
        <w:t>називають</w:t>
      </w:r>
      <w:r w:rsidRPr="000977F7">
        <w:rPr>
          <w:rFonts w:asciiTheme="majorHAnsi" w:hAnsiTheme="majorHAnsi"/>
          <w:spacing w:val="-2"/>
          <w:sz w:val="20"/>
          <w:szCs w:val="20"/>
        </w:rPr>
        <w:t xml:space="preserve"> </w:t>
      </w:r>
      <w:r w:rsidRPr="000977F7">
        <w:rPr>
          <w:rFonts w:asciiTheme="majorHAnsi" w:hAnsiTheme="majorHAnsi"/>
          <w:sz w:val="20"/>
          <w:szCs w:val="20"/>
        </w:rPr>
        <w:t>обумовленою</w:t>
      </w:r>
      <w:r w:rsidRPr="000977F7">
        <w:rPr>
          <w:rFonts w:asciiTheme="majorHAnsi" w:hAnsiTheme="majorHAnsi"/>
          <w:spacing w:val="-1"/>
          <w:sz w:val="20"/>
          <w:szCs w:val="20"/>
        </w:rPr>
        <w:t xml:space="preserve"> </w:t>
      </w:r>
      <w:r w:rsidRPr="000977F7">
        <w:rPr>
          <w:rFonts w:asciiTheme="majorHAnsi" w:hAnsiTheme="majorHAnsi"/>
          <w:sz w:val="20"/>
          <w:szCs w:val="20"/>
        </w:rPr>
        <w:t>договором напругою</w:t>
      </w:r>
    </w:p>
    <w:p w14:paraId="53718F8F"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3466 - 96</w:t>
      </w:r>
    </w:p>
    <w:p w14:paraId="469D50E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НАПРУГА</w:t>
      </w:r>
      <w:r w:rsidRPr="000977F7">
        <w:rPr>
          <w:color w:val="auto"/>
          <w:spacing w:val="-3"/>
          <w:sz w:val="20"/>
          <w:szCs w:val="20"/>
        </w:rPr>
        <w:t xml:space="preserve"> </w:t>
      </w:r>
      <w:r w:rsidRPr="000977F7">
        <w:rPr>
          <w:color w:val="auto"/>
          <w:sz w:val="20"/>
          <w:szCs w:val="20"/>
        </w:rPr>
        <w:t>ЗМІЩЕННЯ</w:t>
      </w:r>
      <w:r w:rsidRPr="000977F7">
        <w:rPr>
          <w:color w:val="auto"/>
          <w:spacing w:val="-3"/>
          <w:sz w:val="20"/>
          <w:szCs w:val="20"/>
        </w:rPr>
        <w:t xml:space="preserve"> </w:t>
      </w:r>
      <w:r w:rsidRPr="000977F7">
        <w:rPr>
          <w:color w:val="auto"/>
          <w:sz w:val="20"/>
          <w:szCs w:val="20"/>
        </w:rPr>
        <w:t>НЕЙТРАЛІ</w:t>
      </w:r>
      <w:r w:rsidRPr="000977F7">
        <w:rPr>
          <w:color w:val="auto"/>
          <w:spacing w:val="-3"/>
          <w:sz w:val="20"/>
          <w:szCs w:val="20"/>
        </w:rPr>
        <w:t xml:space="preserve"> </w:t>
      </w:r>
      <w:r w:rsidRPr="000977F7">
        <w:rPr>
          <w:color w:val="auto"/>
          <w:sz w:val="20"/>
          <w:szCs w:val="20"/>
        </w:rPr>
        <w:t>–</w:t>
      </w:r>
    </w:p>
    <w:p w14:paraId="1C3522E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NEUTRAL</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POINT DISPLACEMENT VOLTAGE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3D88DD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Напруга між реальною чи штучною нейтраллю і землею чи заземленим корпусом електротехнічного обладнання</w:t>
      </w:r>
    </w:p>
    <w:p w14:paraId="469B9D5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5AF0C17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НАПРУЖЕНИЙ</w:t>
      </w:r>
      <w:r w:rsidRPr="000977F7">
        <w:rPr>
          <w:color w:val="auto"/>
          <w:spacing w:val="-4"/>
          <w:sz w:val="20"/>
          <w:szCs w:val="20"/>
        </w:rPr>
        <w:t xml:space="preserve"> </w:t>
      </w:r>
      <w:r w:rsidRPr="000977F7">
        <w:rPr>
          <w:color w:val="auto"/>
          <w:sz w:val="20"/>
          <w:szCs w:val="20"/>
        </w:rPr>
        <w:t>СТАН</w:t>
      </w:r>
      <w:r w:rsidRPr="000977F7">
        <w:rPr>
          <w:color w:val="auto"/>
          <w:spacing w:val="-1"/>
          <w:sz w:val="20"/>
          <w:szCs w:val="20"/>
        </w:rPr>
        <w:t xml:space="preserve"> </w:t>
      </w:r>
      <w:r w:rsidRPr="000977F7">
        <w:rPr>
          <w:color w:val="auto"/>
          <w:sz w:val="20"/>
          <w:szCs w:val="20"/>
        </w:rPr>
        <w:t>–</w:t>
      </w:r>
    </w:p>
    <w:p w14:paraId="613AD3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STRESS</w:t>
      </w:r>
      <w:r w:rsidRPr="000977F7">
        <w:rPr>
          <w:rFonts w:asciiTheme="majorHAnsi" w:hAnsiTheme="majorHAnsi"/>
          <w:spacing w:val="-2"/>
          <w:sz w:val="20"/>
          <w:szCs w:val="20"/>
        </w:rPr>
        <w:t xml:space="preserve"> </w:t>
      </w:r>
      <w:r w:rsidRPr="000977F7">
        <w:rPr>
          <w:rFonts w:asciiTheme="majorHAnsi" w:hAnsiTheme="majorHAnsi"/>
          <w:sz w:val="20"/>
          <w:szCs w:val="20"/>
        </w:rPr>
        <w:t>STATE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8CD53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 елементарного об’єму тіла довкола даної точки,</w:t>
      </w:r>
      <w:r w:rsidRPr="000977F7">
        <w:rPr>
          <w:rFonts w:asciiTheme="majorHAnsi" w:hAnsiTheme="majorHAnsi"/>
          <w:spacing w:val="1"/>
          <w:sz w:val="20"/>
          <w:szCs w:val="20"/>
        </w:rPr>
        <w:t xml:space="preserve"> </w:t>
      </w:r>
      <w:r w:rsidRPr="000977F7">
        <w:rPr>
          <w:rFonts w:asciiTheme="majorHAnsi" w:hAnsiTheme="majorHAnsi"/>
          <w:sz w:val="20"/>
          <w:szCs w:val="20"/>
        </w:rPr>
        <w:t>який характеризується сукупністю всіх векторів напружень</w:t>
      </w:r>
    </w:p>
    <w:p w14:paraId="680A9A4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2825 - 94</w:t>
      </w:r>
    </w:p>
    <w:p w14:paraId="79CDFBD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НАПРУЖЕНІСТЬ</w:t>
      </w:r>
      <w:r w:rsidRPr="000977F7">
        <w:rPr>
          <w:color w:val="auto"/>
          <w:spacing w:val="-4"/>
          <w:sz w:val="20"/>
          <w:szCs w:val="20"/>
        </w:rPr>
        <w:t xml:space="preserve"> </w:t>
      </w:r>
      <w:r w:rsidRPr="000977F7">
        <w:rPr>
          <w:color w:val="auto"/>
          <w:sz w:val="20"/>
          <w:szCs w:val="20"/>
        </w:rPr>
        <w:t>ПРАЦІ –</w:t>
      </w:r>
    </w:p>
    <w:p w14:paraId="6E4299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Характеристика</w:t>
      </w:r>
      <w:r w:rsidRPr="000977F7">
        <w:rPr>
          <w:rFonts w:asciiTheme="majorHAnsi" w:hAnsiTheme="majorHAnsi"/>
          <w:spacing w:val="1"/>
          <w:sz w:val="20"/>
          <w:szCs w:val="20"/>
        </w:rPr>
        <w:t xml:space="preserve"> </w:t>
      </w:r>
      <w:r w:rsidRPr="000977F7">
        <w:rPr>
          <w:rFonts w:asciiTheme="majorHAnsi" w:hAnsiTheme="majorHAnsi"/>
          <w:sz w:val="20"/>
          <w:szCs w:val="20"/>
        </w:rPr>
        <w:t>трудового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відображає</w:t>
      </w:r>
      <w:r w:rsidRPr="000977F7">
        <w:rPr>
          <w:rFonts w:asciiTheme="majorHAnsi" w:hAnsiTheme="majorHAnsi"/>
          <w:spacing w:val="1"/>
          <w:sz w:val="20"/>
          <w:szCs w:val="20"/>
        </w:rPr>
        <w:t xml:space="preserve"> </w:t>
      </w:r>
      <w:r w:rsidRPr="000977F7">
        <w:rPr>
          <w:rFonts w:asciiTheme="majorHAnsi" w:hAnsiTheme="majorHAnsi"/>
          <w:sz w:val="20"/>
          <w:szCs w:val="20"/>
        </w:rPr>
        <w:t>переважне навантаження на центральну нервову систему</w:t>
      </w:r>
    </w:p>
    <w:p w14:paraId="0C09B69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2293:2014;</w:t>
      </w:r>
      <w:r w:rsidRPr="000977F7">
        <w:rPr>
          <w:rFonts w:asciiTheme="majorHAnsi" w:hAnsiTheme="majorHAnsi"/>
          <w:i/>
          <w:spacing w:val="-2"/>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3038 - 95</w:t>
      </w:r>
    </w:p>
    <w:p w14:paraId="6BAE051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НАПРУЖЕННЯ</w:t>
      </w:r>
      <w:r w:rsidRPr="000977F7">
        <w:rPr>
          <w:color w:val="auto"/>
          <w:spacing w:val="-3"/>
          <w:sz w:val="20"/>
          <w:szCs w:val="20"/>
        </w:rPr>
        <w:t xml:space="preserve"> </w:t>
      </w:r>
      <w:r w:rsidRPr="000977F7">
        <w:rPr>
          <w:color w:val="auto"/>
          <w:sz w:val="20"/>
          <w:szCs w:val="20"/>
        </w:rPr>
        <w:t>–</w:t>
      </w:r>
    </w:p>
    <w:p w14:paraId="0E05F5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STRESS</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598FE07" w14:textId="77777777" w:rsidR="0097612F" w:rsidRPr="000977F7" w:rsidRDefault="0097612F" w:rsidP="000977F7">
      <w:pPr>
        <w:pStyle w:val="af6"/>
        <w:tabs>
          <w:tab w:val="left" w:pos="284"/>
        </w:tabs>
        <w:spacing w:after="0"/>
        <w:ind w:left="170"/>
        <w:mirrorIndents/>
        <w:jc w:val="both"/>
        <w:rPr>
          <w:rFonts w:asciiTheme="majorHAnsi" w:hAnsiTheme="majorHAnsi"/>
          <w:spacing w:val="-4"/>
          <w:sz w:val="20"/>
          <w:szCs w:val="20"/>
        </w:rPr>
      </w:pPr>
      <w:r w:rsidRPr="000977F7">
        <w:rPr>
          <w:rFonts w:asciiTheme="majorHAnsi" w:hAnsiTheme="majorHAnsi"/>
          <w:spacing w:val="-6"/>
          <w:sz w:val="20"/>
          <w:szCs w:val="20"/>
        </w:rPr>
        <w:t>Вектор</w:t>
      </w:r>
      <w:r w:rsidRPr="000977F7">
        <w:rPr>
          <w:rFonts w:asciiTheme="majorHAnsi" w:hAnsiTheme="majorHAnsi"/>
          <w:spacing w:val="-11"/>
          <w:sz w:val="20"/>
          <w:szCs w:val="20"/>
        </w:rPr>
        <w:t xml:space="preserve"> </w:t>
      </w:r>
      <w:r w:rsidRPr="000977F7">
        <w:rPr>
          <w:rFonts w:asciiTheme="majorHAnsi" w:hAnsiTheme="majorHAnsi"/>
          <w:spacing w:val="-6"/>
          <w:sz w:val="20"/>
          <w:szCs w:val="20"/>
        </w:rPr>
        <w:t>внутрішніх</w:t>
      </w:r>
      <w:r w:rsidRPr="000977F7">
        <w:rPr>
          <w:rFonts w:asciiTheme="majorHAnsi" w:hAnsiTheme="majorHAnsi"/>
          <w:spacing w:val="-13"/>
          <w:sz w:val="20"/>
          <w:szCs w:val="20"/>
        </w:rPr>
        <w:t xml:space="preserve"> </w:t>
      </w:r>
      <w:r w:rsidRPr="000977F7">
        <w:rPr>
          <w:rFonts w:asciiTheme="majorHAnsi" w:hAnsiTheme="majorHAnsi"/>
          <w:spacing w:val="-5"/>
          <w:sz w:val="20"/>
          <w:szCs w:val="20"/>
        </w:rPr>
        <w:t>сил,</w:t>
      </w:r>
      <w:r w:rsidRPr="000977F7">
        <w:rPr>
          <w:rFonts w:asciiTheme="majorHAnsi" w:hAnsiTheme="majorHAnsi"/>
          <w:spacing w:val="-10"/>
          <w:sz w:val="20"/>
          <w:szCs w:val="20"/>
        </w:rPr>
        <w:t xml:space="preserve"> </w:t>
      </w:r>
      <w:r w:rsidRPr="000977F7">
        <w:rPr>
          <w:rFonts w:asciiTheme="majorHAnsi" w:hAnsiTheme="majorHAnsi"/>
          <w:spacing w:val="-5"/>
          <w:sz w:val="20"/>
          <w:szCs w:val="20"/>
        </w:rPr>
        <w:t>що</w:t>
      </w:r>
      <w:r w:rsidRPr="000977F7">
        <w:rPr>
          <w:rFonts w:asciiTheme="majorHAnsi" w:hAnsiTheme="majorHAnsi"/>
          <w:spacing w:val="-8"/>
          <w:sz w:val="20"/>
          <w:szCs w:val="20"/>
        </w:rPr>
        <w:t xml:space="preserve"> </w:t>
      </w:r>
      <w:r w:rsidRPr="000977F7">
        <w:rPr>
          <w:rFonts w:asciiTheme="majorHAnsi" w:hAnsiTheme="majorHAnsi"/>
          <w:spacing w:val="-5"/>
          <w:sz w:val="20"/>
          <w:szCs w:val="20"/>
        </w:rPr>
        <w:t>діють</w:t>
      </w:r>
      <w:r w:rsidRPr="000977F7">
        <w:rPr>
          <w:rFonts w:asciiTheme="majorHAnsi" w:hAnsiTheme="majorHAnsi"/>
          <w:spacing w:val="-8"/>
          <w:sz w:val="20"/>
          <w:szCs w:val="20"/>
        </w:rPr>
        <w:t xml:space="preserve"> </w:t>
      </w:r>
      <w:r w:rsidRPr="000977F7">
        <w:rPr>
          <w:rFonts w:asciiTheme="majorHAnsi" w:hAnsiTheme="majorHAnsi"/>
          <w:spacing w:val="-5"/>
          <w:sz w:val="20"/>
          <w:szCs w:val="20"/>
        </w:rPr>
        <w:t>на</w:t>
      </w:r>
      <w:r w:rsidRPr="000977F7">
        <w:rPr>
          <w:rFonts w:asciiTheme="majorHAnsi" w:hAnsiTheme="majorHAnsi"/>
          <w:spacing w:val="-12"/>
          <w:sz w:val="20"/>
          <w:szCs w:val="20"/>
        </w:rPr>
        <w:t xml:space="preserve"> </w:t>
      </w:r>
      <w:r w:rsidRPr="000977F7">
        <w:rPr>
          <w:rFonts w:asciiTheme="majorHAnsi" w:hAnsiTheme="majorHAnsi"/>
          <w:spacing w:val="-5"/>
          <w:sz w:val="20"/>
          <w:szCs w:val="20"/>
        </w:rPr>
        <w:t>одиницю</w:t>
      </w:r>
      <w:r w:rsidRPr="000977F7">
        <w:rPr>
          <w:rFonts w:asciiTheme="majorHAnsi" w:hAnsiTheme="majorHAnsi"/>
          <w:spacing w:val="-10"/>
          <w:sz w:val="20"/>
          <w:szCs w:val="20"/>
        </w:rPr>
        <w:t xml:space="preserve"> </w:t>
      </w:r>
      <w:r w:rsidRPr="000977F7">
        <w:rPr>
          <w:rFonts w:asciiTheme="majorHAnsi" w:hAnsiTheme="majorHAnsi"/>
          <w:spacing w:val="-5"/>
          <w:sz w:val="20"/>
          <w:szCs w:val="20"/>
        </w:rPr>
        <w:t>площі</w:t>
      </w:r>
      <w:r w:rsidRPr="000977F7">
        <w:rPr>
          <w:rFonts w:asciiTheme="majorHAnsi" w:hAnsiTheme="majorHAnsi"/>
          <w:spacing w:val="-11"/>
          <w:sz w:val="20"/>
          <w:szCs w:val="20"/>
        </w:rPr>
        <w:t xml:space="preserve"> </w:t>
      </w:r>
      <w:r w:rsidRPr="000977F7">
        <w:rPr>
          <w:rFonts w:asciiTheme="majorHAnsi" w:hAnsiTheme="majorHAnsi"/>
          <w:spacing w:val="-5"/>
          <w:sz w:val="20"/>
          <w:szCs w:val="20"/>
        </w:rPr>
        <w:t>даної</w:t>
      </w:r>
      <w:r w:rsidRPr="000977F7">
        <w:rPr>
          <w:rFonts w:asciiTheme="majorHAnsi" w:hAnsiTheme="majorHAnsi"/>
          <w:spacing w:val="-47"/>
          <w:sz w:val="20"/>
          <w:szCs w:val="20"/>
        </w:rPr>
        <w:t xml:space="preserve"> </w:t>
      </w:r>
      <w:r w:rsidRPr="000977F7">
        <w:rPr>
          <w:rFonts w:asciiTheme="majorHAnsi" w:hAnsiTheme="majorHAnsi"/>
          <w:spacing w:val="-6"/>
          <w:sz w:val="20"/>
          <w:szCs w:val="20"/>
        </w:rPr>
        <w:t xml:space="preserve">елементарної площадки </w:t>
      </w:r>
      <w:r w:rsidRPr="000977F7">
        <w:rPr>
          <w:rFonts w:asciiTheme="majorHAnsi" w:hAnsiTheme="majorHAnsi"/>
          <w:spacing w:val="-5"/>
          <w:sz w:val="20"/>
          <w:szCs w:val="20"/>
        </w:rPr>
        <w:t>під час стягування її у точку</w:t>
      </w:r>
      <w:r w:rsidRPr="000977F7">
        <w:rPr>
          <w:rFonts w:asciiTheme="majorHAnsi" w:hAnsiTheme="majorHAnsi"/>
          <w:spacing w:val="-4"/>
          <w:sz w:val="20"/>
          <w:szCs w:val="20"/>
        </w:rPr>
        <w:t xml:space="preserve"> </w:t>
      </w:r>
    </w:p>
    <w:p w14:paraId="295617A1"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2825 - 94</w:t>
      </w:r>
    </w:p>
    <w:p w14:paraId="66D5411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НАПРУЖЕННЯ</w:t>
      </w:r>
      <w:r w:rsidRPr="000977F7">
        <w:rPr>
          <w:color w:val="auto"/>
          <w:spacing w:val="-4"/>
          <w:sz w:val="20"/>
          <w:szCs w:val="20"/>
        </w:rPr>
        <w:t xml:space="preserve"> </w:t>
      </w:r>
      <w:r w:rsidRPr="000977F7">
        <w:rPr>
          <w:color w:val="auto"/>
          <w:sz w:val="20"/>
          <w:szCs w:val="20"/>
        </w:rPr>
        <w:t>ДІЙСНЕ</w:t>
      </w:r>
      <w:r w:rsidRPr="000977F7">
        <w:rPr>
          <w:color w:val="auto"/>
          <w:spacing w:val="1"/>
          <w:sz w:val="20"/>
          <w:szCs w:val="20"/>
        </w:rPr>
        <w:t xml:space="preserve"> </w:t>
      </w:r>
      <w:r w:rsidRPr="000977F7">
        <w:rPr>
          <w:color w:val="auto"/>
          <w:sz w:val="20"/>
          <w:szCs w:val="20"/>
        </w:rPr>
        <w:t>–</w:t>
      </w:r>
    </w:p>
    <w:p w14:paraId="1E2F2C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ACTUAL</w:t>
      </w:r>
      <w:r w:rsidRPr="000977F7">
        <w:rPr>
          <w:rFonts w:asciiTheme="majorHAnsi" w:hAnsiTheme="majorHAnsi"/>
          <w:spacing w:val="-4"/>
          <w:sz w:val="20"/>
          <w:szCs w:val="20"/>
        </w:rPr>
        <w:t xml:space="preserve"> </w:t>
      </w:r>
      <w:r w:rsidRPr="000977F7">
        <w:rPr>
          <w:rFonts w:asciiTheme="majorHAnsi" w:hAnsiTheme="majorHAnsi"/>
          <w:sz w:val="20"/>
          <w:szCs w:val="20"/>
        </w:rPr>
        <w:t>STRESS</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2BBE15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Напруження в матеріалі зразка, обчислене виходячи з</w:t>
      </w:r>
      <w:r w:rsidRPr="000977F7">
        <w:rPr>
          <w:rFonts w:asciiTheme="majorHAnsi" w:hAnsiTheme="majorHAnsi"/>
          <w:spacing w:val="1"/>
          <w:sz w:val="20"/>
          <w:szCs w:val="20"/>
        </w:rPr>
        <w:t xml:space="preserve"> </w:t>
      </w:r>
      <w:r w:rsidRPr="000977F7">
        <w:rPr>
          <w:rFonts w:asciiTheme="majorHAnsi" w:hAnsiTheme="majorHAnsi"/>
          <w:sz w:val="20"/>
          <w:szCs w:val="20"/>
        </w:rPr>
        <w:t>поточної</w:t>
      </w:r>
      <w:r w:rsidRPr="000977F7">
        <w:rPr>
          <w:rFonts w:asciiTheme="majorHAnsi" w:hAnsiTheme="majorHAnsi"/>
          <w:spacing w:val="-2"/>
          <w:sz w:val="20"/>
          <w:szCs w:val="20"/>
        </w:rPr>
        <w:t xml:space="preserve"> </w:t>
      </w:r>
      <w:r w:rsidRPr="000977F7">
        <w:rPr>
          <w:rFonts w:asciiTheme="majorHAnsi" w:hAnsiTheme="majorHAnsi"/>
          <w:sz w:val="20"/>
          <w:szCs w:val="20"/>
        </w:rPr>
        <w:t>площі</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поперечного перерізу</w:t>
      </w:r>
    </w:p>
    <w:p w14:paraId="4CC0EF7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2825 - 94</w:t>
      </w:r>
    </w:p>
    <w:p w14:paraId="20B09EA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НАПРУЖЕННЯ</w:t>
      </w:r>
      <w:r w:rsidRPr="000977F7">
        <w:rPr>
          <w:color w:val="auto"/>
          <w:spacing w:val="-3"/>
          <w:sz w:val="20"/>
          <w:szCs w:val="20"/>
        </w:rPr>
        <w:t xml:space="preserve"> </w:t>
      </w:r>
      <w:r w:rsidRPr="000977F7">
        <w:rPr>
          <w:color w:val="auto"/>
          <w:sz w:val="20"/>
          <w:szCs w:val="20"/>
        </w:rPr>
        <w:t>УМОВНЕ</w:t>
      </w:r>
      <w:r w:rsidRPr="000977F7">
        <w:rPr>
          <w:color w:val="auto"/>
          <w:spacing w:val="-1"/>
          <w:sz w:val="20"/>
          <w:szCs w:val="20"/>
        </w:rPr>
        <w:t xml:space="preserve"> </w:t>
      </w:r>
      <w:r w:rsidRPr="000977F7">
        <w:rPr>
          <w:color w:val="auto"/>
          <w:sz w:val="20"/>
          <w:szCs w:val="20"/>
        </w:rPr>
        <w:t>–</w:t>
      </w:r>
    </w:p>
    <w:p w14:paraId="32C3130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ENGINEERING</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STRESS –</w:t>
      </w:r>
    </w:p>
    <w:p w14:paraId="00BDF3C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Напруження в матеріалі зразка, обчислене виходячи з</w:t>
      </w:r>
      <w:r w:rsidRPr="000977F7">
        <w:rPr>
          <w:rFonts w:asciiTheme="majorHAnsi" w:hAnsiTheme="majorHAnsi"/>
          <w:spacing w:val="1"/>
          <w:sz w:val="20"/>
          <w:szCs w:val="20"/>
        </w:rPr>
        <w:t xml:space="preserve"> </w:t>
      </w:r>
      <w:r w:rsidRPr="000977F7">
        <w:rPr>
          <w:rFonts w:asciiTheme="majorHAnsi" w:hAnsiTheme="majorHAnsi"/>
          <w:sz w:val="20"/>
          <w:szCs w:val="20"/>
        </w:rPr>
        <w:t>початкової</w:t>
      </w:r>
      <w:r w:rsidRPr="000977F7">
        <w:rPr>
          <w:rFonts w:asciiTheme="majorHAnsi" w:hAnsiTheme="majorHAnsi"/>
          <w:spacing w:val="-2"/>
          <w:sz w:val="20"/>
          <w:szCs w:val="20"/>
        </w:rPr>
        <w:t xml:space="preserve"> </w:t>
      </w:r>
      <w:r w:rsidRPr="000977F7">
        <w:rPr>
          <w:rFonts w:asciiTheme="majorHAnsi" w:hAnsiTheme="majorHAnsi"/>
          <w:sz w:val="20"/>
          <w:szCs w:val="20"/>
        </w:rPr>
        <w:t>площі</w:t>
      </w:r>
      <w:r w:rsidRPr="000977F7">
        <w:rPr>
          <w:rFonts w:asciiTheme="majorHAnsi" w:hAnsiTheme="majorHAnsi"/>
          <w:spacing w:val="-1"/>
          <w:sz w:val="20"/>
          <w:szCs w:val="20"/>
        </w:rPr>
        <w:t xml:space="preserve"> </w:t>
      </w:r>
      <w:r w:rsidRPr="000977F7">
        <w:rPr>
          <w:rFonts w:asciiTheme="majorHAnsi" w:hAnsiTheme="majorHAnsi"/>
          <w:sz w:val="20"/>
          <w:szCs w:val="20"/>
        </w:rPr>
        <w:t>його поперечного перерізу</w:t>
      </w:r>
    </w:p>
    <w:p w14:paraId="123CB81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2825 – 94</w:t>
      </w:r>
    </w:p>
    <w:p w14:paraId="3E6DF0D7"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НАРОБІТОК –</w:t>
      </w:r>
    </w:p>
    <w:p w14:paraId="1ABD41D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OPERATING</w:t>
      </w:r>
      <w:r w:rsidRPr="000977F7">
        <w:rPr>
          <w:rFonts w:asciiTheme="majorHAnsi" w:hAnsiTheme="majorHAnsi"/>
          <w:spacing w:val="-7"/>
          <w:sz w:val="20"/>
          <w:szCs w:val="20"/>
        </w:rPr>
        <w:t xml:space="preserve"> </w:t>
      </w:r>
      <w:r w:rsidRPr="000977F7">
        <w:rPr>
          <w:rFonts w:asciiTheme="majorHAnsi" w:hAnsiTheme="majorHAnsi"/>
          <w:sz w:val="20"/>
          <w:szCs w:val="20"/>
        </w:rPr>
        <w:t>TIME</w:t>
      </w:r>
      <w:r w:rsidRPr="000977F7">
        <w:rPr>
          <w:rFonts w:asciiTheme="majorHAnsi" w:hAnsiTheme="majorHAnsi"/>
          <w:spacing w:val="-7"/>
          <w:sz w:val="20"/>
          <w:szCs w:val="20"/>
        </w:rPr>
        <w:t xml:space="preserve"> </w:t>
      </w:r>
      <w:r w:rsidRPr="000977F7">
        <w:rPr>
          <w:rFonts w:asciiTheme="majorHAnsi" w:hAnsiTheme="majorHAnsi"/>
          <w:sz w:val="20"/>
          <w:szCs w:val="20"/>
        </w:rPr>
        <w:t>–</w:t>
      </w:r>
    </w:p>
    <w:p w14:paraId="699362B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Тривалість чи обсяг роботи об’єкта</w:t>
      </w:r>
      <w:r w:rsidRPr="000977F7">
        <w:rPr>
          <w:rFonts w:asciiTheme="majorHAnsi" w:hAnsiTheme="majorHAnsi"/>
          <w:spacing w:val="-48"/>
          <w:sz w:val="20"/>
          <w:szCs w:val="20"/>
        </w:rPr>
        <w:t xml:space="preserve"> </w:t>
      </w: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63FEF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Наробіток</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неперервною</w:t>
      </w:r>
      <w:r w:rsidRPr="000977F7">
        <w:rPr>
          <w:rFonts w:asciiTheme="majorHAnsi" w:hAnsiTheme="majorHAnsi"/>
          <w:spacing w:val="1"/>
          <w:sz w:val="20"/>
          <w:szCs w:val="20"/>
        </w:rPr>
        <w:t xml:space="preserve"> </w:t>
      </w:r>
      <w:r w:rsidRPr="000977F7">
        <w:rPr>
          <w:rFonts w:asciiTheme="majorHAnsi" w:hAnsiTheme="majorHAnsi"/>
          <w:sz w:val="20"/>
          <w:szCs w:val="20"/>
        </w:rPr>
        <w:t>величиною</w:t>
      </w:r>
      <w:r w:rsidRPr="000977F7">
        <w:rPr>
          <w:rFonts w:asciiTheme="majorHAnsi" w:hAnsiTheme="majorHAnsi"/>
          <w:spacing w:val="1"/>
          <w:sz w:val="20"/>
          <w:szCs w:val="20"/>
        </w:rPr>
        <w:t xml:space="preserve"> </w:t>
      </w:r>
      <w:r w:rsidRPr="000977F7">
        <w:rPr>
          <w:rFonts w:asciiTheme="majorHAnsi" w:hAnsiTheme="majorHAnsi"/>
          <w:sz w:val="20"/>
          <w:szCs w:val="20"/>
        </w:rPr>
        <w:t>(тривалість роботи в годинах, кілометраж пробігу тощо),</w:t>
      </w:r>
      <w:r w:rsidRPr="000977F7">
        <w:rPr>
          <w:rFonts w:asciiTheme="majorHAnsi" w:hAnsiTheme="majorHAnsi"/>
          <w:spacing w:val="1"/>
          <w:sz w:val="20"/>
          <w:szCs w:val="20"/>
        </w:rPr>
        <w:t xml:space="preserve"> </w:t>
      </w:r>
      <w:r w:rsidRPr="000977F7">
        <w:rPr>
          <w:rFonts w:asciiTheme="majorHAnsi" w:hAnsiTheme="majorHAnsi"/>
          <w:sz w:val="20"/>
          <w:szCs w:val="20"/>
        </w:rPr>
        <w:t>так і суцільнокількісною величиною (кількість</w:t>
      </w:r>
      <w:r w:rsidRPr="000977F7">
        <w:rPr>
          <w:rFonts w:asciiTheme="majorHAnsi" w:hAnsiTheme="majorHAnsi"/>
          <w:spacing w:val="1"/>
          <w:sz w:val="20"/>
          <w:szCs w:val="20"/>
        </w:rPr>
        <w:t xml:space="preserve"> </w:t>
      </w:r>
      <w:r w:rsidRPr="000977F7">
        <w:rPr>
          <w:rFonts w:asciiTheme="majorHAnsi" w:hAnsiTheme="majorHAnsi"/>
          <w:sz w:val="20"/>
          <w:szCs w:val="20"/>
        </w:rPr>
        <w:t>робочих</w:t>
      </w:r>
      <w:r w:rsidRPr="000977F7">
        <w:rPr>
          <w:rFonts w:asciiTheme="majorHAnsi" w:hAnsiTheme="majorHAnsi"/>
          <w:spacing w:val="-2"/>
          <w:sz w:val="20"/>
          <w:szCs w:val="20"/>
        </w:rPr>
        <w:t xml:space="preserve"> </w:t>
      </w:r>
      <w:r w:rsidRPr="000977F7">
        <w:rPr>
          <w:rFonts w:asciiTheme="majorHAnsi" w:hAnsiTheme="majorHAnsi"/>
          <w:sz w:val="20"/>
          <w:szCs w:val="20"/>
        </w:rPr>
        <w:t>циклів, запусків</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6DC4E813" w14:textId="77777777" w:rsidR="0097612F" w:rsidRPr="000977F7" w:rsidRDefault="0097612F" w:rsidP="000977F7">
      <w:pPr>
        <w:pStyle w:val="af6"/>
        <w:tabs>
          <w:tab w:val="left" w:pos="284"/>
        </w:tabs>
        <w:spacing w:after="0"/>
        <w:ind w:left="170"/>
        <w:mirrorIndents/>
        <w:jc w:val="both"/>
        <w:rPr>
          <w:rFonts w:asciiTheme="majorHAnsi" w:hAnsiTheme="majorHAnsi"/>
          <w:i/>
          <w:spacing w:val="1"/>
          <w:sz w:val="20"/>
          <w:szCs w:val="20"/>
        </w:rPr>
      </w:pPr>
      <w:r w:rsidRPr="000977F7">
        <w:rPr>
          <w:rFonts w:asciiTheme="majorHAnsi" w:hAnsiTheme="majorHAnsi"/>
          <w:i/>
          <w:sz w:val="20"/>
          <w:szCs w:val="20"/>
        </w:rPr>
        <w:t>ДСТУ 2634 – 94; ДСТУ 2860 - 94</w:t>
      </w:r>
    </w:p>
    <w:p w14:paraId="3608181D" w14:textId="77777777" w:rsidR="0097612F" w:rsidRPr="000977F7" w:rsidRDefault="0097612F" w:rsidP="000977F7">
      <w:pPr>
        <w:pStyle w:val="af6"/>
        <w:tabs>
          <w:tab w:val="left" w:pos="284"/>
        </w:tabs>
        <w:spacing w:after="0"/>
        <w:ind w:left="170"/>
        <w:mirrorIndents/>
        <w:jc w:val="both"/>
        <w:rPr>
          <w:rFonts w:asciiTheme="majorHAnsi" w:hAnsiTheme="majorHAnsi"/>
          <w:b/>
          <w:spacing w:val="1"/>
          <w:sz w:val="20"/>
          <w:szCs w:val="20"/>
        </w:rPr>
      </w:pPr>
      <w:r w:rsidRPr="000977F7">
        <w:rPr>
          <w:rFonts w:asciiTheme="majorHAnsi" w:hAnsiTheme="majorHAnsi"/>
          <w:b/>
          <w:sz w:val="20"/>
          <w:szCs w:val="20"/>
        </w:rPr>
        <w:t>НАРОБІТОК ДО ВІДМОВИ –</w:t>
      </w:r>
      <w:r w:rsidRPr="000977F7">
        <w:rPr>
          <w:rFonts w:asciiTheme="majorHAnsi" w:hAnsiTheme="majorHAnsi"/>
          <w:b/>
          <w:spacing w:val="1"/>
          <w:sz w:val="20"/>
          <w:szCs w:val="20"/>
        </w:rPr>
        <w:t xml:space="preserve"> </w:t>
      </w:r>
    </w:p>
    <w:p w14:paraId="6F91EA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OPERATING</w:t>
      </w:r>
      <w:r w:rsidRPr="000977F7">
        <w:rPr>
          <w:rFonts w:asciiTheme="majorHAnsi" w:hAnsiTheme="majorHAnsi"/>
          <w:spacing w:val="-5"/>
          <w:sz w:val="20"/>
          <w:szCs w:val="20"/>
        </w:rPr>
        <w:t xml:space="preserve"> </w:t>
      </w:r>
      <w:r w:rsidRPr="000977F7">
        <w:rPr>
          <w:rFonts w:asciiTheme="majorHAnsi" w:hAnsiTheme="majorHAnsi"/>
          <w:sz w:val="20"/>
          <w:szCs w:val="20"/>
        </w:rPr>
        <w:t>TIME</w:t>
      </w:r>
      <w:r w:rsidRPr="000977F7">
        <w:rPr>
          <w:rFonts w:asciiTheme="majorHAnsi" w:hAnsiTheme="majorHAnsi"/>
          <w:spacing w:val="-5"/>
          <w:sz w:val="20"/>
          <w:szCs w:val="20"/>
        </w:rPr>
        <w:t xml:space="preserve"> </w:t>
      </w:r>
      <w:r w:rsidRPr="000977F7">
        <w:rPr>
          <w:rFonts w:asciiTheme="majorHAnsi" w:hAnsiTheme="majorHAnsi"/>
          <w:sz w:val="20"/>
          <w:szCs w:val="20"/>
        </w:rPr>
        <w:t>TO</w:t>
      </w:r>
      <w:r w:rsidRPr="000977F7">
        <w:rPr>
          <w:rFonts w:asciiTheme="majorHAnsi" w:hAnsiTheme="majorHAnsi"/>
          <w:spacing w:val="-4"/>
          <w:sz w:val="20"/>
          <w:szCs w:val="20"/>
        </w:rPr>
        <w:t xml:space="preserve"> </w:t>
      </w:r>
      <w:r w:rsidRPr="000977F7">
        <w:rPr>
          <w:rFonts w:asciiTheme="majorHAnsi" w:hAnsiTheme="majorHAnsi"/>
          <w:sz w:val="20"/>
          <w:szCs w:val="20"/>
        </w:rPr>
        <w:t>FAILURE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BCDB71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Наробіток об’єкта від початку експлуатації до виникнення</w:t>
      </w:r>
      <w:r w:rsidRPr="000977F7">
        <w:rPr>
          <w:rFonts w:asciiTheme="majorHAnsi" w:hAnsiTheme="majorHAnsi"/>
          <w:spacing w:val="1"/>
          <w:sz w:val="20"/>
          <w:szCs w:val="20"/>
        </w:rPr>
        <w:t xml:space="preserve"> </w:t>
      </w:r>
      <w:r w:rsidRPr="000977F7">
        <w:rPr>
          <w:rFonts w:asciiTheme="majorHAnsi" w:hAnsiTheme="majorHAnsi"/>
          <w:sz w:val="20"/>
          <w:szCs w:val="20"/>
        </w:rPr>
        <w:t>першої</w:t>
      </w:r>
      <w:r w:rsidRPr="000977F7">
        <w:rPr>
          <w:rFonts w:asciiTheme="majorHAnsi" w:hAnsiTheme="majorHAnsi"/>
          <w:spacing w:val="-1"/>
          <w:sz w:val="20"/>
          <w:szCs w:val="20"/>
        </w:rPr>
        <w:t xml:space="preserve"> </w:t>
      </w:r>
      <w:r w:rsidRPr="000977F7">
        <w:rPr>
          <w:rFonts w:asciiTheme="majorHAnsi" w:hAnsiTheme="majorHAnsi"/>
          <w:sz w:val="20"/>
          <w:szCs w:val="20"/>
        </w:rPr>
        <w:t>відмови</w:t>
      </w:r>
    </w:p>
    <w:p w14:paraId="2DF4CAD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23164E6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НАРОБІТОК</w:t>
      </w:r>
      <w:r w:rsidRPr="000977F7">
        <w:rPr>
          <w:color w:val="auto"/>
          <w:spacing w:val="-4"/>
          <w:sz w:val="20"/>
          <w:szCs w:val="20"/>
        </w:rPr>
        <w:t xml:space="preserve"> </w:t>
      </w:r>
      <w:r w:rsidRPr="000977F7">
        <w:rPr>
          <w:color w:val="auto"/>
          <w:sz w:val="20"/>
          <w:szCs w:val="20"/>
        </w:rPr>
        <w:t>МІЖ</w:t>
      </w:r>
      <w:r w:rsidRPr="000977F7">
        <w:rPr>
          <w:color w:val="auto"/>
          <w:spacing w:val="-5"/>
          <w:sz w:val="20"/>
          <w:szCs w:val="20"/>
        </w:rPr>
        <w:t xml:space="preserve"> </w:t>
      </w:r>
      <w:r w:rsidRPr="000977F7">
        <w:rPr>
          <w:color w:val="auto"/>
          <w:sz w:val="20"/>
          <w:szCs w:val="20"/>
        </w:rPr>
        <w:t>ВІДМОВАМИ</w:t>
      </w:r>
      <w:r w:rsidRPr="000977F7">
        <w:rPr>
          <w:color w:val="auto"/>
          <w:spacing w:val="1"/>
          <w:sz w:val="20"/>
          <w:szCs w:val="20"/>
        </w:rPr>
        <w:t xml:space="preserve"> </w:t>
      </w:r>
      <w:r w:rsidRPr="000977F7">
        <w:rPr>
          <w:color w:val="auto"/>
          <w:sz w:val="20"/>
          <w:szCs w:val="20"/>
        </w:rPr>
        <w:t>–</w:t>
      </w:r>
    </w:p>
    <w:p w14:paraId="29CABD6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OPERATING</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BETWEEN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FAILURES</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61D004A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Наробіток об’єкта від завершення відновлення його</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працездатного стану після відмов до виникнення наступної</w:t>
      </w:r>
      <w:r w:rsidRPr="000977F7">
        <w:rPr>
          <w:rFonts w:asciiTheme="majorHAnsi" w:hAnsiTheme="majorHAnsi"/>
          <w:spacing w:val="-2"/>
          <w:sz w:val="20"/>
          <w:szCs w:val="20"/>
        </w:rPr>
        <w:t xml:space="preserve"> </w:t>
      </w:r>
      <w:r w:rsidRPr="000977F7">
        <w:rPr>
          <w:rFonts w:asciiTheme="majorHAnsi" w:hAnsiTheme="majorHAnsi"/>
          <w:sz w:val="20"/>
          <w:szCs w:val="20"/>
        </w:rPr>
        <w:t>відмови</w:t>
      </w:r>
    </w:p>
    <w:p w14:paraId="044F99B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7CC9D96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НАРЯД</w:t>
      </w:r>
      <w:r w:rsidRPr="000977F7">
        <w:rPr>
          <w:color w:val="auto"/>
          <w:spacing w:val="-5"/>
          <w:sz w:val="20"/>
          <w:szCs w:val="20"/>
        </w:rPr>
        <w:t xml:space="preserve"> </w:t>
      </w:r>
      <w:r w:rsidRPr="000977F7">
        <w:rPr>
          <w:color w:val="auto"/>
          <w:sz w:val="20"/>
          <w:szCs w:val="20"/>
        </w:rPr>
        <w:t>НА</w:t>
      </w:r>
      <w:r w:rsidRPr="000977F7">
        <w:rPr>
          <w:color w:val="auto"/>
          <w:spacing w:val="-3"/>
          <w:sz w:val="20"/>
          <w:szCs w:val="20"/>
        </w:rPr>
        <w:t xml:space="preserve"> </w:t>
      </w:r>
      <w:r w:rsidRPr="000977F7">
        <w:rPr>
          <w:color w:val="auto"/>
          <w:sz w:val="20"/>
          <w:szCs w:val="20"/>
        </w:rPr>
        <w:t>ВИГОТОВЛЕННЯ</w:t>
      </w:r>
      <w:r w:rsidRPr="000977F7">
        <w:rPr>
          <w:color w:val="auto"/>
          <w:spacing w:val="-3"/>
          <w:sz w:val="20"/>
          <w:szCs w:val="20"/>
        </w:rPr>
        <w:t xml:space="preserve"> </w:t>
      </w:r>
      <w:r w:rsidRPr="000977F7">
        <w:rPr>
          <w:color w:val="auto"/>
          <w:sz w:val="20"/>
          <w:szCs w:val="20"/>
        </w:rPr>
        <w:t>КОПІЙ –</w:t>
      </w:r>
    </w:p>
    <w:p w14:paraId="66A613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Документ, на підставі якого службою технічної документації видаються правдники </w:t>
      </w:r>
      <w:r w:rsidRPr="000977F7">
        <w:rPr>
          <w:rFonts w:asciiTheme="majorHAnsi" w:hAnsiTheme="majorHAnsi"/>
          <w:sz w:val="20"/>
          <w:szCs w:val="20"/>
        </w:rPr>
        <w:t>конструкторських документів для зняття з них копій чи виготовлення дублікатів</w:t>
      </w:r>
    </w:p>
    <w:p w14:paraId="0C56ED9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7DE4D3A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НАРОБІТОК</w:t>
      </w:r>
      <w:r w:rsidRPr="000977F7">
        <w:rPr>
          <w:color w:val="auto"/>
          <w:spacing w:val="-4"/>
          <w:sz w:val="20"/>
          <w:szCs w:val="20"/>
        </w:rPr>
        <w:t xml:space="preserve"> </w:t>
      </w:r>
      <w:r w:rsidRPr="000977F7">
        <w:rPr>
          <w:color w:val="auto"/>
          <w:sz w:val="20"/>
          <w:szCs w:val="20"/>
        </w:rPr>
        <w:t>ДО</w:t>
      </w:r>
      <w:r w:rsidRPr="000977F7">
        <w:rPr>
          <w:color w:val="auto"/>
          <w:spacing w:val="-1"/>
          <w:sz w:val="20"/>
          <w:szCs w:val="20"/>
        </w:rPr>
        <w:t xml:space="preserve"> </w:t>
      </w:r>
      <w:r w:rsidRPr="000977F7">
        <w:rPr>
          <w:color w:val="auto"/>
          <w:sz w:val="20"/>
          <w:szCs w:val="20"/>
        </w:rPr>
        <w:t>КРИТИЧНОЇ</w:t>
      </w:r>
      <w:r w:rsidRPr="000977F7">
        <w:rPr>
          <w:color w:val="auto"/>
          <w:spacing w:val="-3"/>
          <w:sz w:val="20"/>
          <w:szCs w:val="20"/>
        </w:rPr>
        <w:t xml:space="preserve"> </w:t>
      </w:r>
      <w:r w:rsidRPr="000977F7">
        <w:rPr>
          <w:color w:val="auto"/>
          <w:sz w:val="20"/>
          <w:szCs w:val="20"/>
        </w:rPr>
        <w:t>ВІДМОВИ</w:t>
      </w:r>
      <w:r w:rsidRPr="000977F7">
        <w:rPr>
          <w:color w:val="auto"/>
          <w:spacing w:val="1"/>
          <w:sz w:val="20"/>
          <w:szCs w:val="20"/>
        </w:rPr>
        <w:t xml:space="preserve"> </w:t>
      </w:r>
      <w:r w:rsidRPr="000977F7">
        <w:rPr>
          <w:color w:val="auto"/>
          <w:sz w:val="20"/>
          <w:szCs w:val="20"/>
        </w:rPr>
        <w:t>–</w:t>
      </w:r>
    </w:p>
    <w:p w14:paraId="4E9890C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OPERATING</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CRITICAL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4DF7C7F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Сумарний наробіток об’єкта від початку його експлуатації</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виникнення</w:t>
      </w:r>
      <w:r w:rsidRPr="000977F7">
        <w:rPr>
          <w:rFonts w:asciiTheme="majorHAnsi" w:hAnsiTheme="majorHAnsi"/>
          <w:spacing w:val="-1"/>
          <w:sz w:val="20"/>
          <w:szCs w:val="20"/>
        </w:rPr>
        <w:t xml:space="preserve"> </w:t>
      </w:r>
      <w:r w:rsidRPr="000977F7">
        <w:rPr>
          <w:rFonts w:asciiTheme="majorHAnsi" w:hAnsiTheme="majorHAnsi"/>
          <w:sz w:val="20"/>
          <w:szCs w:val="20"/>
        </w:rPr>
        <w:t>критичної</w:t>
      </w:r>
      <w:r w:rsidRPr="000977F7">
        <w:rPr>
          <w:rFonts w:asciiTheme="majorHAnsi" w:hAnsiTheme="majorHAnsi"/>
          <w:spacing w:val="-2"/>
          <w:sz w:val="20"/>
          <w:szCs w:val="20"/>
        </w:rPr>
        <w:t xml:space="preserve"> </w:t>
      </w:r>
      <w:r w:rsidRPr="000977F7">
        <w:rPr>
          <w:rFonts w:asciiTheme="majorHAnsi" w:hAnsiTheme="majorHAnsi"/>
          <w:sz w:val="20"/>
          <w:szCs w:val="20"/>
        </w:rPr>
        <w:t>відмови</w:t>
      </w:r>
    </w:p>
    <w:p w14:paraId="35BE164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868B42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НАСИЧЕНІСТЬ</w:t>
      </w:r>
      <w:r w:rsidRPr="000977F7">
        <w:rPr>
          <w:color w:val="auto"/>
          <w:spacing w:val="-4"/>
          <w:sz w:val="20"/>
          <w:szCs w:val="20"/>
        </w:rPr>
        <w:t xml:space="preserve"> </w:t>
      </w:r>
      <w:r w:rsidRPr="000977F7">
        <w:rPr>
          <w:color w:val="auto"/>
          <w:sz w:val="20"/>
          <w:szCs w:val="20"/>
        </w:rPr>
        <w:t>ПЛАНУ –</w:t>
      </w:r>
    </w:p>
    <w:p w14:paraId="43D4DF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 плану, яка задається різницею між числом точок спектра плану і числом оцінюваних параметрів</w:t>
      </w:r>
      <w:r w:rsidRPr="000977F7">
        <w:rPr>
          <w:rFonts w:asciiTheme="majorHAnsi" w:hAnsiTheme="majorHAnsi"/>
          <w:spacing w:val="-2"/>
          <w:sz w:val="20"/>
          <w:szCs w:val="20"/>
        </w:rPr>
        <w:t xml:space="preserve"> </w:t>
      </w:r>
      <w:r w:rsidRPr="000977F7">
        <w:rPr>
          <w:rFonts w:asciiTheme="majorHAnsi" w:hAnsiTheme="majorHAnsi"/>
          <w:sz w:val="20"/>
          <w:szCs w:val="20"/>
        </w:rPr>
        <w:t>моделі</w:t>
      </w:r>
    </w:p>
    <w:p w14:paraId="589A201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НАСЛІДКИ</w:t>
      </w:r>
      <w:r w:rsidRPr="000977F7">
        <w:rPr>
          <w:color w:val="auto"/>
          <w:spacing w:val="-2"/>
          <w:sz w:val="20"/>
          <w:szCs w:val="20"/>
        </w:rPr>
        <w:t xml:space="preserve"> </w:t>
      </w:r>
      <w:r w:rsidRPr="000977F7">
        <w:rPr>
          <w:color w:val="auto"/>
          <w:sz w:val="20"/>
          <w:szCs w:val="20"/>
        </w:rPr>
        <w:t>ВІДМОВИ –</w:t>
      </w:r>
    </w:p>
    <w:p w14:paraId="2BCF3A0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FAILURE</w:t>
      </w:r>
      <w:r w:rsidRPr="000977F7">
        <w:rPr>
          <w:rFonts w:asciiTheme="majorHAnsi" w:hAnsiTheme="majorHAnsi"/>
          <w:spacing w:val="-3"/>
          <w:sz w:val="20"/>
          <w:szCs w:val="20"/>
        </w:rPr>
        <w:t xml:space="preserve"> </w:t>
      </w:r>
      <w:r w:rsidRPr="000977F7">
        <w:rPr>
          <w:rFonts w:asciiTheme="majorHAnsi" w:hAnsiTheme="majorHAnsi"/>
          <w:sz w:val="20"/>
          <w:szCs w:val="20"/>
        </w:rPr>
        <w:t>EFFECT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7F0EB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Явища, процеси, події та стани, зумовлені виникненням</w:t>
      </w:r>
      <w:r w:rsidRPr="000977F7">
        <w:rPr>
          <w:rFonts w:asciiTheme="majorHAnsi" w:hAnsiTheme="majorHAnsi"/>
          <w:spacing w:val="-1"/>
          <w:sz w:val="20"/>
          <w:szCs w:val="20"/>
        </w:rPr>
        <w:t xml:space="preserve"> </w:t>
      </w:r>
      <w:r w:rsidRPr="000977F7">
        <w:rPr>
          <w:rFonts w:asciiTheme="majorHAnsi" w:hAnsiTheme="majorHAnsi"/>
          <w:sz w:val="20"/>
          <w:szCs w:val="20"/>
        </w:rPr>
        <w:t>відмови</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008EA90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BF79FE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НАСТАНОВА</w:t>
      </w:r>
      <w:r w:rsidRPr="000977F7">
        <w:rPr>
          <w:color w:val="auto"/>
          <w:spacing w:val="-5"/>
          <w:sz w:val="20"/>
          <w:szCs w:val="20"/>
        </w:rPr>
        <w:t xml:space="preserve"> </w:t>
      </w:r>
      <w:r w:rsidRPr="000977F7">
        <w:rPr>
          <w:color w:val="auto"/>
          <w:sz w:val="20"/>
          <w:szCs w:val="20"/>
        </w:rPr>
        <w:t>З</w:t>
      </w:r>
      <w:r w:rsidRPr="000977F7">
        <w:rPr>
          <w:color w:val="auto"/>
          <w:spacing w:val="-4"/>
          <w:sz w:val="20"/>
          <w:szCs w:val="20"/>
        </w:rPr>
        <w:t xml:space="preserve"> </w:t>
      </w:r>
      <w:r w:rsidRPr="000977F7">
        <w:rPr>
          <w:color w:val="auto"/>
          <w:sz w:val="20"/>
          <w:szCs w:val="20"/>
        </w:rPr>
        <w:t>ЕКСПЛУАТАЦІЇ</w:t>
      </w:r>
      <w:r w:rsidRPr="000977F7">
        <w:rPr>
          <w:color w:val="auto"/>
          <w:spacing w:val="-3"/>
          <w:sz w:val="20"/>
          <w:szCs w:val="20"/>
        </w:rPr>
        <w:t xml:space="preserve"> </w:t>
      </w:r>
      <w:r w:rsidRPr="000977F7">
        <w:rPr>
          <w:color w:val="auto"/>
          <w:sz w:val="20"/>
          <w:szCs w:val="20"/>
        </w:rPr>
        <w:t>–</w:t>
      </w:r>
    </w:p>
    <w:p w14:paraId="65BE2E6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Експлуатаційний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містить</w:t>
      </w:r>
      <w:r w:rsidRPr="000977F7">
        <w:rPr>
          <w:rFonts w:asciiTheme="majorHAnsi" w:hAnsiTheme="majorHAnsi"/>
          <w:spacing w:val="1"/>
          <w:sz w:val="20"/>
          <w:szCs w:val="20"/>
        </w:rPr>
        <w:t xml:space="preserve"> </w:t>
      </w:r>
      <w:r w:rsidRPr="000977F7">
        <w:rPr>
          <w:rFonts w:asciiTheme="majorHAnsi" w:hAnsiTheme="majorHAnsi"/>
          <w:sz w:val="20"/>
          <w:szCs w:val="20"/>
        </w:rPr>
        <w:t>настанови</w:t>
      </w:r>
      <w:r w:rsidRPr="000977F7">
        <w:rPr>
          <w:rFonts w:asciiTheme="majorHAnsi" w:hAnsiTheme="majorHAnsi"/>
          <w:spacing w:val="-47"/>
          <w:sz w:val="20"/>
          <w:szCs w:val="20"/>
        </w:rPr>
        <w:t xml:space="preserve"> </w:t>
      </w:r>
      <w:r w:rsidRPr="000977F7">
        <w:rPr>
          <w:rFonts w:asciiTheme="majorHAnsi" w:hAnsiTheme="majorHAnsi"/>
          <w:sz w:val="20"/>
          <w:szCs w:val="20"/>
        </w:rPr>
        <w:t>щодо правильного застосування і обслуговування виробу</w:t>
      </w:r>
    </w:p>
    <w:p w14:paraId="4C06B70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3321 -</w:t>
      </w:r>
      <w:r w:rsidRPr="000977F7">
        <w:rPr>
          <w:rFonts w:asciiTheme="majorHAnsi" w:hAnsiTheme="majorHAnsi"/>
          <w:i/>
          <w:spacing w:val="1"/>
          <w:sz w:val="20"/>
          <w:szCs w:val="20"/>
        </w:rPr>
        <w:t xml:space="preserve"> </w:t>
      </w:r>
      <w:r w:rsidRPr="000977F7">
        <w:rPr>
          <w:rFonts w:asciiTheme="majorHAnsi" w:hAnsiTheme="majorHAnsi"/>
          <w:sz w:val="20"/>
          <w:szCs w:val="20"/>
        </w:rPr>
        <w:t>2003</w:t>
      </w:r>
    </w:p>
    <w:p w14:paraId="38A8555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НАСТАНОВА</w:t>
      </w:r>
      <w:r w:rsidRPr="000977F7">
        <w:rPr>
          <w:color w:val="auto"/>
          <w:spacing w:val="-5"/>
          <w:sz w:val="20"/>
          <w:szCs w:val="20"/>
        </w:rPr>
        <w:t xml:space="preserve"> </w:t>
      </w:r>
      <w:r w:rsidRPr="000977F7">
        <w:rPr>
          <w:color w:val="auto"/>
          <w:sz w:val="20"/>
          <w:szCs w:val="20"/>
        </w:rPr>
        <w:t>З</w:t>
      </w:r>
      <w:r w:rsidRPr="000977F7">
        <w:rPr>
          <w:color w:val="auto"/>
          <w:spacing w:val="-4"/>
          <w:sz w:val="20"/>
          <w:szCs w:val="20"/>
        </w:rPr>
        <w:t xml:space="preserve"> </w:t>
      </w:r>
      <w:r w:rsidRPr="000977F7">
        <w:rPr>
          <w:color w:val="auto"/>
          <w:sz w:val="20"/>
          <w:szCs w:val="20"/>
        </w:rPr>
        <w:t>КАПІТАЛЬНОГО</w:t>
      </w:r>
      <w:r w:rsidRPr="000977F7">
        <w:rPr>
          <w:color w:val="auto"/>
          <w:spacing w:val="-3"/>
          <w:sz w:val="20"/>
          <w:szCs w:val="20"/>
        </w:rPr>
        <w:t xml:space="preserve"> </w:t>
      </w:r>
      <w:r w:rsidRPr="000977F7">
        <w:rPr>
          <w:color w:val="auto"/>
          <w:sz w:val="20"/>
          <w:szCs w:val="20"/>
        </w:rPr>
        <w:t>РЕМОНТУ</w:t>
      </w:r>
      <w:r w:rsidRPr="000977F7">
        <w:rPr>
          <w:color w:val="auto"/>
          <w:spacing w:val="-1"/>
          <w:sz w:val="20"/>
          <w:szCs w:val="20"/>
        </w:rPr>
        <w:t xml:space="preserve"> </w:t>
      </w:r>
      <w:r w:rsidRPr="000977F7">
        <w:rPr>
          <w:color w:val="auto"/>
          <w:sz w:val="20"/>
          <w:szCs w:val="20"/>
        </w:rPr>
        <w:t>–</w:t>
      </w:r>
    </w:p>
    <w:p w14:paraId="2CDDF3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на ремонт, який встановлює правила і порядок виконання капітального ремонту виробу, контролю,</w:t>
      </w:r>
      <w:r w:rsidRPr="000977F7">
        <w:rPr>
          <w:rFonts w:asciiTheme="majorHAnsi" w:hAnsiTheme="majorHAnsi"/>
          <w:spacing w:val="1"/>
          <w:sz w:val="20"/>
          <w:szCs w:val="20"/>
        </w:rPr>
        <w:t xml:space="preserve"> </w:t>
      </w:r>
      <w:r w:rsidRPr="000977F7">
        <w:rPr>
          <w:rFonts w:asciiTheme="majorHAnsi" w:hAnsiTheme="majorHAnsi"/>
          <w:sz w:val="20"/>
          <w:szCs w:val="20"/>
        </w:rPr>
        <w:t>регулювання,</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1"/>
          <w:sz w:val="20"/>
          <w:szCs w:val="20"/>
        </w:rPr>
        <w:t xml:space="preserve"> </w:t>
      </w:r>
      <w:r w:rsidRPr="000977F7">
        <w:rPr>
          <w:rFonts w:asciiTheme="majorHAnsi" w:hAnsiTheme="majorHAnsi"/>
          <w:sz w:val="20"/>
          <w:szCs w:val="20"/>
        </w:rPr>
        <w:t>консервування,</w:t>
      </w:r>
      <w:r w:rsidRPr="000977F7">
        <w:rPr>
          <w:rFonts w:asciiTheme="majorHAnsi" w:hAnsiTheme="majorHAnsi"/>
          <w:spacing w:val="1"/>
          <w:sz w:val="20"/>
          <w:szCs w:val="20"/>
        </w:rPr>
        <w:t xml:space="preserve"> </w:t>
      </w:r>
      <w:r w:rsidRPr="000977F7">
        <w:rPr>
          <w:rFonts w:asciiTheme="majorHAnsi" w:hAnsiTheme="majorHAnsi"/>
          <w:sz w:val="20"/>
          <w:szCs w:val="20"/>
        </w:rPr>
        <w:t>транспортування і зберігання виробу після ремонту,</w:t>
      </w:r>
      <w:r w:rsidRPr="000977F7">
        <w:rPr>
          <w:rFonts w:asciiTheme="majorHAnsi" w:hAnsiTheme="majorHAnsi"/>
          <w:spacing w:val="1"/>
          <w:sz w:val="20"/>
          <w:szCs w:val="20"/>
        </w:rPr>
        <w:t xml:space="preserve"> </w:t>
      </w:r>
      <w:r w:rsidRPr="000977F7">
        <w:rPr>
          <w:rFonts w:asciiTheme="majorHAnsi" w:hAnsiTheme="majorHAnsi"/>
          <w:sz w:val="20"/>
          <w:szCs w:val="20"/>
        </w:rPr>
        <w:t>монтажу</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1"/>
          <w:sz w:val="20"/>
          <w:szCs w:val="20"/>
        </w:rPr>
        <w:t xml:space="preserve"> </w:t>
      </w:r>
      <w:r w:rsidRPr="000977F7">
        <w:rPr>
          <w:rFonts w:asciiTheme="majorHAnsi" w:hAnsiTheme="majorHAnsi"/>
          <w:sz w:val="20"/>
          <w:szCs w:val="20"/>
        </w:rPr>
        <w:t>на об’єкті</w:t>
      </w:r>
    </w:p>
    <w:p w14:paraId="59C3C46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xml:space="preserve">– </w:t>
      </w:r>
      <w:r w:rsidRPr="000977F7">
        <w:rPr>
          <w:rFonts w:asciiTheme="majorHAnsi" w:hAnsiTheme="majorHAnsi"/>
          <w:sz w:val="20"/>
          <w:szCs w:val="20"/>
        </w:rPr>
        <w:t>2003</w:t>
      </w:r>
    </w:p>
    <w:p w14:paraId="465341D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НАСТАНОВА</w:t>
      </w:r>
      <w:r w:rsidRPr="000977F7">
        <w:rPr>
          <w:color w:val="auto"/>
          <w:spacing w:val="-5"/>
          <w:sz w:val="20"/>
          <w:szCs w:val="20"/>
        </w:rPr>
        <w:t xml:space="preserve"> </w:t>
      </w:r>
      <w:r w:rsidRPr="000977F7">
        <w:rPr>
          <w:color w:val="auto"/>
          <w:sz w:val="20"/>
          <w:szCs w:val="20"/>
        </w:rPr>
        <w:t>З</w:t>
      </w:r>
      <w:r w:rsidRPr="000977F7">
        <w:rPr>
          <w:color w:val="auto"/>
          <w:spacing w:val="-4"/>
          <w:sz w:val="20"/>
          <w:szCs w:val="20"/>
        </w:rPr>
        <w:t xml:space="preserve"> </w:t>
      </w:r>
      <w:r w:rsidRPr="000977F7">
        <w:rPr>
          <w:color w:val="auto"/>
          <w:sz w:val="20"/>
          <w:szCs w:val="20"/>
        </w:rPr>
        <w:t>СЕРЕДНЬОГО</w:t>
      </w:r>
      <w:r w:rsidRPr="000977F7">
        <w:rPr>
          <w:color w:val="auto"/>
          <w:spacing w:val="-4"/>
          <w:sz w:val="20"/>
          <w:szCs w:val="20"/>
        </w:rPr>
        <w:t xml:space="preserve"> </w:t>
      </w:r>
      <w:r w:rsidRPr="000977F7">
        <w:rPr>
          <w:color w:val="auto"/>
          <w:sz w:val="20"/>
          <w:szCs w:val="20"/>
        </w:rPr>
        <w:t>РЕМОНТУ–</w:t>
      </w:r>
    </w:p>
    <w:p w14:paraId="0312CB4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на ремонт, який встановлює правила і порядок виконання середнього ремонту виробу, контролю, регулювання і випробувань виробу після ремонту,</w:t>
      </w:r>
      <w:r w:rsidRPr="000977F7">
        <w:rPr>
          <w:rFonts w:asciiTheme="majorHAnsi" w:hAnsiTheme="majorHAnsi"/>
          <w:spacing w:val="-47"/>
          <w:sz w:val="20"/>
          <w:szCs w:val="20"/>
        </w:rPr>
        <w:t xml:space="preserve"> </w:t>
      </w:r>
      <w:r w:rsidRPr="000977F7">
        <w:rPr>
          <w:rFonts w:asciiTheme="majorHAnsi" w:hAnsiTheme="majorHAnsi"/>
          <w:sz w:val="20"/>
          <w:szCs w:val="20"/>
        </w:rPr>
        <w:t>монтажу</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1"/>
          <w:sz w:val="20"/>
          <w:szCs w:val="20"/>
        </w:rPr>
        <w:t xml:space="preserve"> </w:t>
      </w:r>
      <w:r w:rsidRPr="000977F7">
        <w:rPr>
          <w:rFonts w:asciiTheme="majorHAnsi" w:hAnsiTheme="majorHAnsi"/>
          <w:sz w:val="20"/>
          <w:szCs w:val="20"/>
        </w:rPr>
        <w:t>на об’єкті</w:t>
      </w:r>
    </w:p>
    <w:p w14:paraId="030E00C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xml:space="preserve">– </w:t>
      </w:r>
      <w:r w:rsidRPr="000977F7">
        <w:rPr>
          <w:rFonts w:asciiTheme="majorHAnsi" w:hAnsiTheme="majorHAnsi"/>
          <w:sz w:val="20"/>
          <w:szCs w:val="20"/>
        </w:rPr>
        <w:t>2003</w:t>
      </w:r>
    </w:p>
    <w:p w14:paraId="4B4151F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НАСТАНОВИ</w:t>
      </w:r>
      <w:r w:rsidRPr="000977F7">
        <w:rPr>
          <w:color w:val="auto"/>
          <w:spacing w:val="1"/>
          <w:sz w:val="20"/>
          <w:szCs w:val="20"/>
        </w:rPr>
        <w:t xml:space="preserve"> </w:t>
      </w:r>
      <w:r w:rsidRPr="000977F7">
        <w:rPr>
          <w:color w:val="auto"/>
          <w:sz w:val="20"/>
          <w:szCs w:val="20"/>
        </w:rPr>
        <w:t>ЩОДО</w:t>
      </w:r>
      <w:r w:rsidRPr="000977F7">
        <w:rPr>
          <w:color w:val="auto"/>
          <w:spacing w:val="1"/>
          <w:sz w:val="20"/>
          <w:szCs w:val="20"/>
        </w:rPr>
        <w:t xml:space="preserve"> </w:t>
      </w:r>
      <w:r w:rsidRPr="000977F7">
        <w:rPr>
          <w:color w:val="auto"/>
          <w:sz w:val="20"/>
          <w:szCs w:val="20"/>
        </w:rPr>
        <w:t>ЗАСТОСУВАННЯ</w:t>
      </w:r>
      <w:r w:rsidRPr="000977F7">
        <w:rPr>
          <w:color w:val="auto"/>
          <w:spacing w:val="1"/>
          <w:sz w:val="20"/>
          <w:szCs w:val="20"/>
        </w:rPr>
        <w:t xml:space="preserve"> </w:t>
      </w:r>
      <w:r w:rsidRPr="000977F7">
        <w:rPr>
          <w:color w:val="auto"/>
          <w:sz w:val="20"/>
          <w:szCs w:val="20"/>
        </w:rPr>
        <w:t>ЕЛЕМЕНТІВ</w:t>
      </w:r>
      <w:r w:rsidRPr="000977F7">
        <w:rPr>
          <w:color w:val="auto"/>
          <w:spacing w:val="1"/>
          <w:sz w:val="20"/>
          <w:szCs w:val="20"/>
        </w:rPr>
        <w:t xml:space="preserve"> </w:t>
      </w:r>
      <w:r w:rsidRPr="000977F7">
        <w:rPr>
          <w:color w:val="auto"/>
          <w:sz w:val="20"/>
          <w:szCs w:val="20"/>
        </w:rPr>
        <w:t>СИСТЕМИ</w:t>
      </w:r>
      <w:r w:rsidRPr="000977F7">
        <w:rPr>
          <w:color w:val="auto"/>
          <w:spacing w:val="1"/>
          <w:sz w:val="20"/>
          <w:szCs w:val="20"/>
        </w:rPr>
        <w:t xml:space="preserve"> </w:t>
      </w:r>
      <w:r w:rsidRPr="000977F7">
        <w:rPr>
          <w:color w:val="auto"/>
          <w:sz w:val="20"/>
          <w:szCs w:val="20"/>
        </w:rPr>
        <w:t>УПРАВЛІННЯ</w:t>
      </w:r>
      <w:r w:rsidRPr="000977F7">
        <w:rPr>
          <w:color w:val="auto"/>
          <w:spacing w:val="1"/>
          <w:sz w:val="20"/>
          <w:szCs w:val="20"/>
        </w:rPr>
        <w:t xml:space="preserve"> </w:t>
      </w:r>
      <w:r w:rsidRPr="000977F7">
        <w:rPr>
          <w:color w:val="auto"/>
          <w:sz w:val="20"/>
          <w:szCs w:val="20"/>
        </w:rPr>
        <w:t>НАВКОЛИШНІМ</w:t>
      </w:r>
      <w:r w:rsidRPr="000977F7">
        <w:rPr>
          <w:color w:val="auto"/>
          <w:spacing w:val="3"/>
          <w:sz w:val="20"/>
          <w:szCs w:val="20"/>
        </w:rPr>
        <w:t xml:space="preserve"> </w:t>
      </w:r>
      <w:r w:rsidRPr="000977F7">
        <w:rPr>
          <w:color w:val="auto"/>
          <w:sz w:val="20"/>
          <w:szCs w:val="20"/>
        </w:rPr>
        <w:t>СЕРЕДОВИЩЕМ</w:t>
      </w:r>
      <w:r w:rsidRPr="000977F7">
        <w:rPr>
          <w:color w:val="auto"/>
          <w:spacing w:val="6"/>
          <w:sz w:val="20"/>
          <w:szCs w:val="20"/>
        </w:rPr>
        <w:t xml:space="preserve"> </w:t>
      </w:r>
      <w:r w:rsidRPr="000977F7">
        <w:rPr>
          <w:color w:val="auto"/>
          <w:sz w:val="20"/>
          <w:szCs w:val="20"/>
        </w:rPr>
        <w:t>–</w:t>
      </w:r>
    </w:p>
    <w:p w14:paraId="23F1BED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цій статті наведені додаткові пояснення стосовно вимог стандарту з тим, щоб уникнути їх неправильної інтерпретації. Пояснення стосуються тільки</w:t>
      </w:r>
      <w:r w:rsidRPr="000977F7">
        <w:rPr>
          <w:rFonts w:asciiTheme="majorHAnsi" w:hAnsiTheme="majorHAnsi"/>
          <w:spacing w:val="1"/>
          <w:sz w:val="20"/>
          <w:szCs w:val="20"/>
        </w:rPr>
        <w:t xml:space="preserve"> </w:t>
      </w:r>
      <w:r w:rsidRPr="000977F7">
        <w:rPr>
          <w:rFonts w:asciiTheme="majorHAnsi" w:hAnsiTheme="majorHAnsi"/>
          <w:sz w:val="20"/>
          <w:szCs w:val="20"/>
        </w:rPr>
        <w:t>вимог</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навколишнім</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середовищем, які містяться в статті "Вимоги до системи</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 навколишнім середовищем" за ДСТУ ISO</w:t>
      </w:r>
      <w:r w:rsidRPr="000977F7">
        <w:rPr>
          <w:rFonts w:asciiTheme="majorHAnsi" w:hAnsiTheme="majorHAnsi"/>
          <w:spacing w:val="1"/>
          <w:sz w:val="20"/>
          <w:szCs w:val="20"/>
        </w:rPr>
        <w:t xml:space="preserve"> </w:t>
      </w:r>
      <w:r w:rsidRPr="000977F7">
        <w:rPr>
          <w:rFonts w:asciiTheme="majorHAnsi" w:hAnsiTheme="majorHAnsi"/>
          <w:sz w:val="20"/>
          <w:szCs w:val="20"/>
        </w:rPr>
        <w:t>14001-97</w:t>
      </w:r>
    </w:p>
    <w:p w14:paraId="0C3277E7"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Загальні</w:t>
      </w:r>
      <w:r w:rsidRPr="000977F7">
        <w:rPr>
          <w:b w:val="0"/>
          <w:bCs/>
          <w:color w:val="auto"/>
          <w:spacing w:val="-2"/>
          <w:sz w:val="20"/>
          <w:szCs w:val="20"/>
        </w:rPr>
        <w:t xml:space="preserve"> </w:t>
      </w:r>
      <w:r w:rsidRPr="000977F7">
        <w:rPr>
          <w:b w:val="0"/>
          <w:bCs/>
          <w:color w:val="auto"/>
          <w:sz w:val="20"/>
          <w:szCs w:val="20"/>
        </w:rPr>
        <w:t>вимоги</w:t>
      </w:r>
    </w:p>
    <w:p w14:paraId="072E84D4"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Передбачається,</w:t>
      </w:r>
      <w:r w:rsidRPr="000977F7">
        <w:rPr>
          <w:b w:val="0"/>
          <w:bCs/>
          <w:color w:val="auto"/>
          <w:spacing w:val="1"/>
          <w:sz w:val="20"/>
          <w:szCs w:val="20"/>
        </w:rPr>
        <w:t xml:space="preserve"> </w:t>
      </w:r>
      <w:r w:rsidRPr="000977F7">
        <w:rPr>
          <w:b w:val="0"/>
          <w:bCs/>
          <w:color w:val="auto"/>
          <w:sz w:val="20"/>
          <w:szCs w:val="20"/>
        </w:rPr>
        <w:t>що</w:t>
      </w:r>
      <w:r w:rsidRPr="000977F7">
        <w:rPr>
          <w:b w:val="0"/>
          <w:bCs/>
          <w:color w:val="auto"/>
          <w:spacing w:val="1"/>
          <w:sz w:val="20"/>
          <w:szCs w:val="20"/>
        </w:rPr>
        <w:t xml:space="preserve"> </w:t>
      </w:r>
      <w:r w:rsidRPr="000977F7">
        <w:rPr>
          <w:b w:val="0"/>
          <w:bCs/>
          <w:color w:val="auto"/>
          <w:sz w:val="20"/>
          <w:szCs w:val="20"/>
        </w:rPr>
        <w:t>результатом</w:t>
      </w:r>
      <w:r w:rsidRPr="000977F7">
        <w:rPr>
          <w:b w:val="0"/>
          <w:bCs/>
          <w:color w:val="auto"/>
          <w:spacing w:val="1"/>
          <w:sz w:val="20"/>
          <w:szCs w:val="20"/>
        </w:rPr>
        <w:t xml:space="preserve"> </w:t>
      </w:r>
      <w:r w:rsidRPr="000977F7">
        <w:rPr>
          <w:b w:val="0"/>
          <w:bCs/>
          <w:color w:val="auto"/>
          <w:sz w:val="20"/>
          <w:szCs w:val="20"/>
        </w:rPr>
        <w:t>впровадження</w:t>
      </w:r>
      <w:r w:rsidRPr="000977F7">
        <w:rPr>
          <w:b w:val="0"/>
          <w:bCs/>
          <w:color w:val="auto"/>
          <w:spacing w:val="-47"/>
          <w:sz w:val="20"/>
          <w:szCs w:val="20"/>
        </w:rPr>
        <w:t xml:space="preserve"> </w:t>
      </w:r>
      <w:r w:rsidRPr="000977F7">
        <w:rPr>
          <w:b w:val="0"/>
          <w:bCs/>
          <w:color w:val="auto"/>
          <w:sz w:val="20"/>
          <w:szCs w:val="20"/>
        </w:rPr>
        <w:t>системи управління навколишнім середовищем, регламентованої в стандарті, буде поліпшення екологічних характеристик. Вимоги стандарту ґрунтуються на</w:t>
      </w:r>
      <w:r w:rsidRPr="000977F7">
        <w:rPr>
          <w:b w:val="0"/>
          <w:bCs/>
          <w:color w:val="auto"/>
          <w:spacing w:val="1"/>
          <w:sz w:val="20"/>
          <w:szCs w:val="20"/>
        </w:rPr>
        <w:t xml:space="preserve"> </w:t>
      </w:r>
      <w:r w:rsidRPr="000977F7">
        <w:rPr>
          <w:b w:val="0"/>
          <w:bCs/>
          <w:color w:val="auto"/>
          <w:sz w:val="20"/>
          <w:szCs w:val="20"/>
        </w:rPr>
        <w:t>концепції, що організація буде періодично аналізувати і оцінювати свою систему управління навколишнім</w:t>
      </w:r>
      <w:r w:rsidRPr="000977F7">
        <w:rPr>
          <w:b w:val="0"/>
          <w:bCs/>
          <w:color w:val="auto"/>
          <w:spacing w:val="-47"/>
          <w:sz w:val="20"/>
          <w:szCs w:val="20"/>
        </w:rPr>
        <w:t xml:space="preserve"> </w:t>
      </w:r>
      <w:r w:rsidRPr="000977F7">
        <w:rPr>
          <w:b w:val="0"/>
          <w:bCs/>
          <w:color w:val="auto"/>
          <w:sz w:val="20"/>
          <w:szCs w:val="20"/>
        </w:rPr>
        <w:t>середовищем</w:t>
      </w:r>
      <w:r w:rsidRPr="000977F7">
        <w:rPr>
          <w:b w:val="0"/>
          <w:bCs/>
          <w:color w:val="auto"/>
          <w:spacing w:val="1"/>
          <w:sz w:val="20"/>
          <w:szCs w:val="20"/>
        </w:rPr>
        <w:t xml:space="preserve"> </w:t>
      </w:r>
      <w:r w:rsidRPr="000977F7">
        <w:rPr>
          <w:b w:val="0"/>
          <w:bCs/>
          <w:color w:val="auto"/>
          <w:sz w:val="20"/>
          <w:szCs w:val="20"/>
        </w:rPr>
        <w:t>з</w:t>
      </w:r>
      <w:r w:rsidRPr="000977F7">
        <w:rPr>
          <w:b w:val="0"/>
          <w:bCs/>
          <w:color w:val="auto"/>
          <w:spacing w:val="1"/>
          <w:sz w:val="20"/>
          <w:szCs w:val="20"/>
        </w:rPr>
        <w:t xml:space="preserve"> </w:t>
      </w:r>
      <w:r w:rsidRPr="000977F7">
        <w:rPr>
          <w:b w:val="0"/>
          <w:bCs/>
          <w:color w:val="auto"/>
          <w:sz w:val="20"/>
          <w:szCs w:val="20"/>
        </w:rPr>
        <w:t>метою</w:t>
      </w:r>
      <w:r w:rsidRPr="000977F7">
        <w:rPr>
          <w:b w:val="0"/>
          <w:bCs/>
          <w:color w:val="auto"/>
          <w:spacing w:val="1"/>
          <w:sz w:val="20"/>
          <w:szCs w:val="20"/>
        </w:rPr>
        <w:t xml:space="preserve"> </w:t>
      </w:r>
      <w:r w:rsidRPr="000977F7">
        <w:rPr>
          <w:b w:val="0"/>
          <w:bCs/>
          <w:color w:val="auto"/>
          <w:sz w:val="20"/>
          <w:szCs w:val="20"/>
        </w:rPr>
        <w:t>виявлення</w:t>
      </w:r>
      <w:r w:rsidRPr="000977F7">
        <w:rPr>
          <w:b w:val="0"/>
          <w:bCs/>
          <w:color w:val="auto"/>
          <w:spacing w:val="1"/>
          <w:sz w:val="20"/>
          <w:szCs w:val="20"/>
        </w:rPr>
        <w:t xml:space="preserve"> </w:t>
      </w:r>
      <w:r w:rsidRPr="000977F7">
        <w:rPr>
          <w:b w:val="0"/>
          <w:bCs/>
          <w:color w:val="auto"/>
          <w:sz w:val="20"/>
          <w:szCs w:val="20"/>
        </w:rPr>
        <w:t>можливостей</w:t>
      </w:r>
      <w:r w:rsidRPr="000977F7">
        <w:rPr>
          <w:b w:val="0"/>
          <w:bCs/>
          <w:color w:val="auto"/>
          <w:spacing w:val="1"/>
          <w:sz w:val="20"/>
          <w:szCs w:val="20"/>
        </w:rPr>
        <w:t xml:space="preserve"> </w:t>
      </w:r>
      <w:r w:rsidRPr="000977F7">
        <w:rPr>
          <w:b w:val="0"/>
          <w:bCs/>
          <w:color w:val="auto"/>
          <w:sz w:val="20"/>
          <w:szCs w:val="20"/>
        </w:rPr>
        <w:t>удосконалення</w:t>
      </w:r>
      <w:r w:rsidRPr="000977F7">
        <w:rPr>
          <w:b w:val="0"/>
          <w:bCs/>
          <w:color w:val="auto"/>
          <w:spacing w:val="1"/>
          <w:sz w:val="20"/>
          <w:szCs w:val="20"/>
        </w:rPr>
        <w:t xml:space="preserve"> </w:t>
      </w:r>
      <w:r w:rsidRPr="000977F7">
        <w:rPr>
          <w:b w:val="0"/>
          <w:bCs/>
          <w:color w:val="auto"/>
          <w:sz w:val="20"/>
          <w:szCs w:val="20"/>
        </w:rPr>
        <w:t>та</w:t>
      </w:r>
      <w:r w:rsidRPr="000977F7">
        <w:rPr>
          <w:b w:val="0"/>
          <w:bCs/>
          <w:color w:val="auto"/>
          <w:spacing w:val="1"/>
          <w:sz w:val="20"/>
          <w:szCs w:val="20"/>
        </w:rPr>
        <w:t xml:space="preserve"> </w:t>
      </w:r>
      <w:r w:rsidRPr="000977F7">
        <w:rPr>
          <w:b w:val="0"/>
          <w:bCs/>
          <w:color w:val="auto"/>
          <w:sz w:val="20"/>
          <w:szCs w:val="20"/>
        </w:rPr>
        <w:t>їх</w:t>
      </w:r>
      <w:r w:rsidRPr="000977F7">
        <w:rPr>
          <w:b w:val="0"/>
          <w:bCs/>
          <w:color w:val="auto"/>
          <w:spacing w:val="1"/>
          <w:sz w:val="20"/>
          <w:szCs w:val="20"/>
        </w:rPr>
        <w:t xml:space="preserve"> </w:t>
      </w:r>
      <w:r w:rsidRPr="000977F7">
        <w:rPr>
          <w:b w:val="0"/>
          <w:bCs/>
          <w:color w:val="auto"/>
          <w:sz w:val="20"/>
          <w:szCs w:val="20"/>
        </w:rPr>
        <w:t>реалізації.</w:t>
      </w:r>
      <w:r w:rsidRPr="000977F7">
        <w:rPr>
          <w:b w:val="0"/>
          <w:bCs/>
          <w:color w:val="auto"/>
          <w:spacing w:val="1"/>
          <w:sz w:val="20"/>
          <w:szCs w:val="20"/>
        </w:rPr>
        <w:t xml:space="preserve"> </w:t>
      </w:r>
      <w:r w:rsidRPr="000977F7">
        <w:rPr>
          <w:b w:val="0"/>
          <w:bCs/>
          <w:color w:val="auto"/>
          <w:sz w:val="20"/>
          <w:szCs w:val="20"/>
        </w:rPr>
        <w:t>Метою</w:t>
      </w:r>
      <w:r w:rsidRPr="000977F7">
        <w:rPr>
          <w:b w:val="0"/>
          <w:bCs/>
          <w:color w:val="auto"/>
          <w:spacing w:val="1"/>
          <w:sz w:val="20"/>
          <w:szCs w:val="20"/>
        </w:rPr>
        <w:t xml:space="preserve"> </w:t>
      </w:r>
      <w:r w:rsidRPr="000977F7">
        <w:rPr>
          <w:b w:val="0"/>
          <w:bCs/>
          <w:color w:val="auto"/>
          <w:sz w:val="20"/>
          <w:szCs w:val="20"/>
        </w:rPr>
        <w:t>вдосконалення</w:t>
      </w:r>
      <w:r w:rsidRPr="000977F7">
        <w:rPr>
          <w:b w:val="0"/>
          <w:bCs/>
          <w:color w:val="auto"/>
          <w:spacing w:val="1"/>
          <w:sz w:val="20"/>
          <w:szCs w:val="20"/>
        </w:rPr>
        <w:t xml:space="preserve"> </w:t>
      </w:r>
      <w:r w:rsidRPr="000977F7">
        <w:rPr>
          <w:b w:val="0"/>
          <w:bCs/>
          <w:color w:val="auto"/>
          <w:sz w:val="20"/>
          <w:szCs w:val="20"/>
        </w:rPr>
        <w:t>системи управління навколишнім середовищем є додаткове поліпшення</w:t>
      </w:r>
      <w:r w:rsidRPr="000977F7">
        <w:rPr>
          <w:b w:val="0"/>
          <w:bCs/>
          <w:color w:val="auto"/>
          <w:spacing w:val="-3"/>
          <w:sz w:val="20"/>
          <w:szCs w:val="20"/>
        </w:rPr>
        <w:t xml:space="preserve"> </w:t>
      </w:r>
      <w:r w:rsidRPr="000977F7">
        <w:rPr>
          <w:b w:val="0"/>
          <w:bCs/>
          <w:color w:val="auto"/>
          <w:sz w:val="20"/>
          <w:szCs w:val="20"/>
        </w:rPr>
        <w:t>екологічних</w:t>
      </w:r>
      <w:r w:rsidRPr="000977F7">
        <w:rPr>
          <w:b w:val="0"/>
          <w:bCs/>
          <w:color w:val="auto"/>
          <w:spacing w:val="-2"/>
          <w:sz w:val="20"/>
          <w:szCs w:val="20"/>
        </w:rPr>
        <w:t xml:space="preserve"> </w:t>
      </w:r>
      <w:r w:rsidRPr="000977F7">
        <w:rPr>
          <w:b w:val="0"/>
          <w:bCs/>
          <w:color w:val="auto"/>
          <w:sz w:val="20"/>
          <w:szCs w:val="20"/>
        </w:rPr>
        <w:t>характеристик.</w:t>
      </w:r>
    </w:p>
    <w:p w14:paraId="1EAA7D6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навколишнім</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середовищем</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призначена для забезпечення структурованого процесу</w:t>
      </w:r>
      <w:r w:rsidRPr="000977F7">
        <w:rPr>
          <w:rFonts w:asciiTheme="majorHAnsi" w:hAnsiTheme="majorHAnsi"/>
          <w:spacing w:val="1"/>
          <w:sz w:val="20"/>
          <w:szCs w:val="20"/>
        </w:rPr>
        <w:t xml:space="preserve"> </w:t>
      </w:r>
      <w:r w:rsidRPr="000977F7">
        <w:rPr>
          <w:rFonts w:asciiTheme="majorHAnsi" w:hAnsiTheme="majorHAnsi"/>
          <w:sz w:val="20"/>
          <w:szCs w:val="20"/>
        </w:rPr>
        <w:t>постійного</w:t>
      </w:r>
      <w:r w:rsidRPr="000977F7">
        <w:rPr>
          <w:rFonts w:asciiTheme="majorHAnsi" w:hAnsiTheme="majorHAnsi"/>
          <w:spacing w:val="1"/>
          <w:sz w:val="20"/>
          <w:szCs w:val="20"/>
        </w:rPr>
        <w:t xml:space="preserve"> </w:t>
      </w:r>
      <w:r w:rsidRPr="000977F7">
        <w:rPr>
          <w:rFonts w:asciiTheme="majorHAnsi" w:hAnsiTheme="majorHAnsi"/>
          <w:sz w:val="20"/>
          <w:szCs w:val="20"/>
        </w:rPr>
        <w:t>вдосконалення,</w:t>
      </w:r>
      <w:r w:rsidRPr="000977F7">
        <w:rPr>
          <w:rFonts w:asciiTheme="majorHAnsi" w:hAnsiTheme="majorHAnsi"/>
          <w:spacing w:val="1"/>
          <w:sz w:val="20"/>
          <w:szCs w:val="20"/>
        </w:rPr>
        <w:t xml:space="preserve"> </w:t>
      </w:r>
      <w:r w:rsidRPr="000977F7">
        <w:rPr>
          <w:rFonts w:asciiTheme="majorHAnsi" w:hAnsiTheme="majorHAnsi"/>
          <w:sz w:val="20"/>
          <w:szCs w:val="20"/>
        </w:rPr>
        <w:t>обґрунтований</w:t>
      </w:r>
      <w:r w:rsidRPr="000977F7">
        <w:rPr>
          <w:rFonts w:asciiTheme="majorHAnsi" w:hAnsiTheme="majorHAnsi"/>
          <w:spacing w:val="1"/>
          <w:sz w:val="20"/>
          <w:szCs w:val="20"/>
        </w:rPr>
        <w:t xml:space="preserve"> </w:t>
      </w:r>
      <w:r w:rsidRPr="000977F7">
        <w:rPr>
          <w:rFonts w:asciiTheme="majorHAnsi" w:hAnsiTheme="majorHAnsi"/>
          <w:sz w:val="20"/>
          <w:szCs w:val="20"/>
        </w:rPr>
        <w:t>рівень</w:t>
      </w:r>
      <w:r w:rsidRPr="000977F7">
        <w:rPr>
          <w:rFonts w:asciiTheme="majorHAnsi" w:hAnsiTheme="majorHAnsi"/>
          <w:spacing w:val="-47"/>
          <w:sz w:val="20"/>
          <w:szCs w:val="20"/>
        </w:rPr>
        <w:t xml:space="preserve"> </w:t>
      </w:r>
      <w:r w:rsidRPr="000977F7">
        <w:rPr>
          <w:rFonts w:asciiTheme="majorHAnsi" w:hAnsiTheme="majorHAnsi"/>
          <w:sz w:val="20"/>
          <w:szCs w:val="20"/>
        </w:rPr>
        <w:t>якого встановлюється організацією, виходячи з економічних та інших умов. Хоча певного поліпшення</w:t>
      </w:r>
      <w:r w:rsidRPr="000977F7">
        <w:rPr>
          <w:rFonts w:asciiTheme="majorHAnsi" w:hAnsiTheme="majorHAnsi"/>
          <w:spacing w:val="1"/>
          <w:sz w:val="20"/>
          <w:szCs w:val="20"/>
        </w:rPr>
        <w:t xml:space="preserve"> </w:t>
      </w:r>
      <w:r w:rsidRPr="000977F7">
        <w:rPr>
          <w:rFonts w:asciiTheme="majorHAnsi" w:hAnsiTheme="majorHAnsi"/>
          <w:sz w:val="20"/>
          <w:szCs w:val="20"/>
        </w:rPr>
        <w:t>екологічних</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w:t>
      </w:r>
      <w:r w:rsidRPr="000977F7">
        <w:rPr>
          <w:rFonts w:asciiTheme="majorHAnsi" w:hAnsiTheme="majorHAnsi"/>
          <w:spacing w:val="1"/>
          <w:sz w:val="20"/>
          <w:szCs w:val="20"/>
        </w:rPr>
        <w:t xml:space="preserve"> </w:t>
      </w:r>
      <w:r w:rsidRPr="000977F7">
        <w:rPr>
          <w:rFonts w:asciiTheme="majorHAnsi" w:hAnsiTheme="majorHAnsi"/>
          <w:sz w:val="20"/>
          <w:szCs w:val="20"/>
        </w:rPr>
        <w:t>можна</w:t>
      </w:r>
      <w:r w:rsidRPr="000977F7">
        <w:rPr>
          <w:rFonts w:asciiTheme="majorHAnsi" w:hAnsiTheme="majorHAnsi"/>
          <w:spacing w:val="1"/>
          <w:sz w:val="20"/>
          <w:szCs w:val="20"/>
        </w:rPr>
        <w:t xml:space="preserve"> </w:t>
      </w:r>
      <w:r w:rsidRPr="000977F7">
        <w:rPr>
          <w:rFonts w:asciiTheme="majorHAnsi" w:hAnsiTheme="majorHAnsi"/>
          <w:sz w:val="20"/>
          <w:szCs w:val="20"/>
        </w:rPr>
        <w:t>очікувати</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методу</w:t>
      </w:r>
      <w:r w:rsidRPr="000977F7">
        <w:rPr>
          <w:rFonts w:asciiTheme="majorHAnsi" w:hAnsiTheme="majorHAnsi"/>
          <w:spacing w:val="1"/>
          <w:sz w:val="20"/>
          <w:szCs w:val="20"/>
        </w:rPr>
        <w:t xml:space="preserve"> </w:t>
      </w:r>
      <w:r w:rsidRPr="000977F7">
        <w:rPr>
          <w:rFonts w:asciiTheme="majorHAnsi" w:hAnsiTheme="majorHAnsi"/>
          <w:sz w:val="20"/>
          <w:szCs w:val="20"/>
        </w:rPr>
        <w:t>поступового</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lastRenderedPageBreak/>
        <w:t>систематичного</w:t>
      </w:r>
      <w:r w:rsidRPr="000977F7">
        <w:rPr>
          <w:rFonts w:asciiTheme="majorHAnsi" w:hAnsiTheme="majorHAnsi"/>
          <w:spacing w:val="1"/>
          <w:sz w:val="20"/>
          <w:szCs w:val="20"/>
        </w:rPr>
        <w:t xml:space="preserve"> </w:t>
      </w:r>
      <w:r w:rsidRPr="000977F7">
        <w:rPr>
          <w:rFonts w:asciiTheme="majorHAnsi" w:hAnsiTheme="majorHAnsi"/>
          <w:sz w:val="20"/>
          <w:szCs w:val="20"/>
        </w:rPr>
        <w:t>наближення, слід розуміти, що тільки система 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навколишнім</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середовищем</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51"/>
          <w:sz w:val="20"/>
          <w:szCs w:val="20"/>
        </w:rPr>
        <w:t xml:space="preserve"> </w:t>
      </w:r>
      <w:r w:rsidRPr="000977F7">
        <w:rPr>
          <w:rFonts w:asciiTheme="majorHAnsi" w:hAnsiTheme="majorHAnsi"/>
          <w:sz w:val="20"/>
          <w:szCs w:val="20"/>
        </w:rPr>
        <w:t>інструментом,</w:t>
      </w:r>
      <w:r w:rsidRPr="000977F7">
        <w:rPr>
          <w:rFonts w:asciiTheme="majorHAnsi" w:hAnsiTheme="majorHAnsi"/>
          <w:spacing w:val="-47"/>
          <w:sz w:val="20"/>
          <w:szCs w:val="20"/>
        </w:rPr>
        <w:t xml:space="preserve"> </w:t>
      </w:r>
      <w:r w:rsidRPr="000977F7">
        <w:rPr>
          <w:rFonts w:asciiTheme="majorHAnsi" w:hAnsiTheme="majorHAnsi"/>
          <w:sz w:val="20"/>
          <w:szCs w:val="20"/>
        </w:rPr>
        <w:t>який дає можливість організації досягти встановленого нею рівня екологічних характеристик і систематично контролювати його. Однак розроблення та впровадження</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навколишнім</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середовищем не призведуть самі по собі до негайного зменшення несприятливого впливу на навколишнє середовище.</w:t>
      </w:r>
    </w:p>
    <w:p w14:paraId="0D9A92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має можливість вільно і гнучко визначати ті сфери своєї діяльності, де доцільно здійснювати впровадження цього стандарту, а саме: або стосовно всієї організації, чи конкретного функціонального</w:t>
      </w:r>
      <w:r w:rsidRPr="000977F7">
        <w:rPr>
          <w:rFonts w:asciiTheme="majorHAnsi" w:hAnsiTheme="majorHAnsi"/>
          <w:spacing w:val="1"/>
          <w:sz w:val="20"/>
          <w:szCs w:val="20"/>
        </w:rPr>
        <w:t xml:space="preserve"> </w:t>
      </w:r>
      <w:r w:rsidRPr="000977F7">
        <w:rPr>
          <w:rFonts w:asciiTheme="majorHAnsi" w:hAnsiTheme="majorHAnsi"/>
          <w:sz w:val="20"/>
          <w:szCs w:val="20"/>
        </w:rPr>
        <w:t>підрозділу, чи конкретного виду діяльності. Якщо цей</w:t>
      </w:r>
      <w:r w:rsidRPr="000977F7">
        <w:rPr>
          <w:rFonts w:asciiTheme="majorHAnsi" w:hAnsiTheme="majorHAnsi"/>
          <w:spacing w:val="-47"/>
          <w:sz w:val="20"/>
          <w:szCs w:val="20"/>
        </w:rPr>
        <w:t xml:space="preserve"> </w:t>
      </w:r>
      <w:r w:rsidRPr="000977F7">
        <w:rPr>
          <w:rFonts w:asciiTheme="majorHAnsi" w:hAnsiTheme="majorHAnsi"/>
          <w:sz w:val="20"/>
          <w:szCs w:val="20"/>
        </w:rPr>
        <w:t>стандарт впроваджено в конкретному підрозділі або</w:t>
      </w:r>
      <w:r w:rsidRPr="000977F7">
        <w:rPr>
          <w:rFonts w:asciiTheme="majorHAnsi" w:hAnsiTheme="majorHAnsi"/>
          <w:spacing w:val="1"/>
          <w:sz w:val="20"/>
          <w:szCs w:val="20"/>
        </w:rPr>
        <w:t xml:space="preserve"> </w:t>
      </w:r>
      <w:r w:rsidRPr="000977F7">
        <w:rPr>
          <w:rFonts w:asciiTheme="majorHAnsi" w:hAnsiTheme="majorHAnsi"/>
          <w:sz w:val="20"/>
          <w:szCs w:val="20"/>
        </w:rPr>
        <w:t>стосовно конкретного виду діяльності, то розроблені</w:t>
      </w:r>
      <w:r w:rsidRPr="000977F7">
        <w:rPr>
          <w:rFonts w:asciiTheme="majorHAnsi" w:hAnsiTheme="majorHAnsi"/>
          <w:spacing w:val="1"/>
          <w:sz w:val="20"/>
          <w:szCs w:val="20"/>
        </w:rPr>
        <w:t xml:space="preserve"> </w:t>
      </w:r>
      <w:r w:rsidRPr="000977F7">
        <w:rPr>
          <w:rFonts w:asciiTheme="majorHAnsi" w:hAnsiTheme="majorHAnsi"/>
          <w:sz w:val="20"/>
          <w:szCs w:val="20"/>
        </w:rPr>
        <w:t>політика та методика також можуть бути використані</w:t>
      </w:r>
      <w:r w:rsidRPr="000977F7">
        <w:rPr>
          <w:rFonts w:asciiTheme="majorHAnsi" w:hAnsiTheme="majorHAnsi"/>
          <w:spacing w:val="1"/>
          <w:sz w:val="20"/>
          <w:szCs w:val="20"/>
        </w:rPr>
        <w:t xml:space="preserve"> </w:t>
      </w:r>
      <w:r w:rsidRPr="000977F7">
        <w:rPr>
          <w:rFonts w:asciiTheme="majorHAnsi" w:hAnsiTheme="majorHAnsi"/>
          <w:sz w:val="20"/>
          <w:szCs w:val="20"/>
        </w:rPr>
        <w:t>для виконання вимог цього стандарту іншими підрозділами організації за умови, що ці вимоги є застосовними до конкретного функціонального підрозділу чи</w:t>
      </w:r>
      <w:r w:rsidRPr="000977F7">
        <w:rPr>
          <w:rFonts w:asciiTheme="majorHAnsi" w:hAnsiTheme="majorHAnsi"/>
          <w:spacing w:val="1"/>
          <w:sz w:val="20"/>
          <w:szCs w:val="20"/>
        </w:rPr>
        <w:t xml:space="preserve"> </w:t>
      </w:r>
      <w:r w:rsidRPr="000977F7">
        <w:rPr>
          <w:rFonts w:asciiTheme="majorHAnsi" w:hAnsiTheme="majorHAnsi"/>
          <w:sz w:val="20"/>
          <w:szCs w:val="20"/>
        </w:rPr>
        <w:t>виду</w:t>
      </w:r>
      <w:r w:rsidRPr="000977F7">
        <w:rPr>
          <w:rFonts w:asciiTheme="majorHAnsi" w:hAnsiTheme="majorHAnsi"/>
          <w:spacing w:val="-2"/>
          <w:sz w:val="20"/>
          <w:szCs w:val="20"/>
        </w:rPr>
        <w:t xml:space="preserve"> </w:t>
      </w:r>
      <w:r w:rsidRPr="000977F7">
        <w:rPr>
          <w:rFonts w:asciiTheme="majorHAnsi" w:hAnsiTheme="majorHAnsi"/>
          <w:sz w:val="20"/>
          <w:szCs w:val="20"/>
        </w:rPr>
        <w:t>діяльності.</w:t>
      </w:r>
    </w:p>
    <w:p w14:paraId="7DE83D1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Рівень деталізації та складності системи 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навколишнім</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середовищем,</w:t>
      </w:r>
      <w:r w:rsidRPr="000977F7">
        <w:rPr>
          <w:rFonts w:asciiTheme="majorHAnsi" w:hAnsiTheme="majorHAnsi"/>
          <w:spacing w:val="1"/>
          <w:sz w:val="20"/>
          <w:szCs w:val="20"/>
        </w:rPr>
        <w:t xml:space="preserve"> </w:t>
      </w:r>
      <w:r w:rsidRPr="000977F7">
        <w:rPr>
          <w:rFonts w:asciiTheme="majorHAnsi" w:hAnsiTheme="majorHAnsi"/>
          <w:sz w:val="20"/>
          <w:szCs w:val="20"/>
        </w:rPr>
        <w:t>обсяг</w:t>
      </w:r>
      <w:r w:rsidRPr="000977F7">
        <w:rPr>
          <w:rFonts w:asciiTheme="majorHAnsi" w:hAnsiTheme="majorHAnsi"/>
          <w:spacing w:val="1"/>
          <w:sz w:val="20"/>
          <w:szCs w:val="20"/>
        </w:rPr>
        <w:t xml:space="preserve"> </w:t>
      </w:r>
      <w:r w:rsidRPr="000977F7">
        <w:rPr>
          <w:rFonts w:asciiTheme="majorHAnsi" w:hAnsiTheme="majorHAnsi"/>
          <w:sz w:val="20"/>
          <w:szCs w:val="20"/>
        </w:rPr>
        <w:t>необхідної</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документації та ресурсів, повинні залежати від масштабу та характеру діяльності організації. Це особливо</w:t>
      </w:r>
      <w:r w:rsidRPr="000977F7">
        <w:rPr>
          <w:rFonts w:asciiTheme="majorHAnsi" w:hAnsiTheme="majorHAnsi"/>
          <w:spacing w:val="1"/>
          <w:sz w:val="20"/>
          <w:szCs w:val="20"/>
        </w:rPr>
        <w:t xml:space="preserve"> </w:t>
      </w:r>
      <w:r w:rsidRPr="000977F7">
        <w:rPr>
          <w:rFonts w:asciiTheme="majorHAnsi" w:hAnsiTheme="majorHAnsi"/>
          <w:sz w:val="20"/>
          <w:szCs w:val="20"/>
        </w:rPr>
        <w:t>стосується</w:t>
      </w:r>
      <w:r w:rsidRPr="000977F7">
        <w:rPr>
          <w:rFonts w:asciiTheme="majorHAnsi" w:hAnsiTheme="majorHAnsi"/>
          <w:spacing w:val="-2"/>
          <w:sz w:val="20"/>
          <w:szCs w:val="20"/>
        </w:rPr>
        <w:t xml:space="preserve"> </w:t>
      </w:r>
      <w:r w:rsidRPr="000977F7">
        <w:rPr>
          <w:rFonts w:asciiTheme="majorHAnsi" w:hAnsiTheme="majorHAnsi"/>
          <w:sz w:val="20"/>
          <w:szCs w:val="20"/>
        </w:rPr>
        <w:t>малих</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середніх підприємств.</w:t>
      </w:r>
    </w:p>
    <w:p w14:paraId="517C97E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Об’єднання екологічних проблем з цілями загальної системи управління може бути корисним для ефективного</w:t>
      </w:r>
      <w:r w:rsidRPr="000977F7">
        <w:rPr>
          <w:rFonts w:asciiTheme="majorHAnsi" w:hAnsiTheme="majorHAnsi"/>
          <w:spacing w:val="1"/>
          <w:sz w:val="20"/>
          <w:szCs w:val="20"/>
        </w:rPr>
        <w:t xml:space="preserve"> </w:t>
      </w:r>
      <w:r w:rsidRPr="000977F7">
        <w:rPr>
          <w:rFonts w:asciiTheme="majorHAnsi" w:hAnsiTheme="majorHAnsi"/>
          <w:sz w:val="20"/>
          <w:szCs w:val="20"/>
        </w:rPr>
        <w:t>впровадження</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 xml:space="preserve">навколишнім середовищем, а також для чіткого розподілу її </w:t>
      </w:r>
      <w:r w:rsidRPr="000977F7">
        <w:rPr>
          <w:rFonts w:asciiTheme="majorHAnsi" w:hAnsiTheme="majorHAnsi"/>
          <w:spacing w:val="-47"/>
          <w:sz w:val="20"/>
          <w:szCs w:val="20"/>
        </w:rPr>
        <w:t xml:space="preserve"> </w:t>
      </w:r>
      <w:r w:rsidRPr="000977F7">
        <w:rPr>
          <w:rFonts w:asciiTheme="majorHAnsi" w:hAnsiTheme="majorHAnsi"/>
          <w:sz w:val="20"/>
          <w:szCs w:val="20"/>
        </w:rPr>
        <w:t>функцій.</w:t>
      </w:r>
    </w:p>
    <w:p w14:paraId="33DBB5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Цей стандарт включає вимоги до системи управління навколишнім середовищем, що ґрунтуються на</w:t>
      </w:r>
      <w:r w:rsidRPr="000977F7">
        <w:rPr>
          <w:rFonts w:asciiTheme="majorHAnsi" w:hAnsiTheme="majorHAnsi"/>
          <w:spacing w:val="1"/>
          <w:sz w:val="20"/>
          <w:szCs w:val="20"/>
        </w:rPr>
        <w:t xml:space="preserve"> </w:t>
      </w:r>
      <w:r w:rsidRPr="000977F7">
        <w:rPr>
          <w:rFonts w:asciiTheme="majorHAnsi" w:hAnsiTheme="majorHAnsi"/>
          <w:w w:val="99"/>
          <w:sz w:val="20"/>
          <w:szCs w:val="20"/>
        </w:rPr>
        <w:t>ди</w:t>
      </w:r>
      <w:r w:rsidRPr="000977F7">
        <w:rPr>
          <w:rFonts w:asciiTheme="majorHAnsi" w:hAnsiTheme="majorHAnsi"/>
          <w:spacing w:val="-2"/>
          <w:w w:val="99"/>
          <w:sz w:val="20"/>
          <w:szCs w:val="20"/>
        </w:rPr>
        <w:t>н</w:t>
      </w:r>
      <w:r w:rsidRPr="000977F7">
        <w:rPr>
          <w:rFonts w:asciiTheme="majorHAnsi" w:hAnsiTheme="majorHAnsi"/>
          <w:w w:val="99"/>
          <w:sz w:val="20"/>
          <w:szCs w:val="20"/>
        </w:rPr>
        <w:t>а</w:t>
      </w:r>
      <w:r w:rsidRPr="000977F7">
        <w:rPr>
          <w:rFonts w:asciiTheme="majorHAnsi" w:hAnsiTheme="majorHAnsi"/>
          <w:spacing w:val="1"/>
          <w:w w:val="99"/>
          <w:sz w:val="20"/>
          <w:szCs w:val="20"/>
        </w:rPr>
        <w:t>м</w:t>
      </w:r>
      <w:r w:rsidRPr="000977F7">
        <w:rPr>
          <w:rFonts w:asciiTheme="majorHAnsi" w:hAnsiTheme="majorHAnsi"/>
          <w:w w:val="99"/>
          <w:sz w:val="20"/>
          <w:szCs w:val="20"/>
        </w:rPr>
        <w:t>ічно</w:t>
      </w:r>
      <w:r w:rsidRPr="000977F7">
        <w:rPr>
          <w:rFonts w:asciiTheme="majorHAnsi" w:hAnsiTheme="majorHAnsi"/>
          <w:spacing w:val="3"/>
          <w:w w:val="99"/>
          <w:sz w:val="20"/>
          <w:szCs w:val="20"/>
        </w:rPr>
        <w:t>м</w:t>
      </w:r>
      <w:r w:rsidRPr="000977F7">
        <w:rPr>
          <w:rFonts w:asciiTheme="majorHAnsi" w:hAnsiTheme="majorHAnsi"/>
          <w:w w:val="99"/>
          <w:sz w:val="20"/>
          <w:szCs w:val="20"/>
        </w:rPr>
        <w:t>у</w:t>
      </w:r>
      <w:r w:rsidRPr="000977F7">
        <w:rPr>
          <w:rFonts w:asciiTheme="majorHAnsi" w:hAnsiTheme="majorHAnsi"/>
          <w:sz w:val="20"/>
          <w:szCs w:val="20"/>
        </w:rPr>
        <w:t xml:space="preserve">  </w:t>
      </w:r>
      <w:r w:rsidRPr="000977F7">
        <w:rPr>
          <w:rFonts w:asciiTheme="majorHAnsi" w:hAnsiTheme="majorHAnsi"/>
          <w:spacing w:val="14"/>
          <w:sz w:val="20"/>
          <w:szCs w:val="20"/>
        </w:rPr>
        <w:t xml:space="preserve"> </w:t>
      </w:r>
      <w:r w:rsidRPr="000977F7">
        <w:rPr>
          <w:rFonts w:asciiTheme="majorHAnsi" w:hAnsiTheme="majorHAnsi"/>
          <w:spacing w:val="-2"/>
          <w:w w:val="99"/>
          <w:sz w:val="20"/>
          <w:szCs w:val="20"/>
        </w:rPr>
        <w:t>ц</w:t>
      </w:r>
      <w:r w:rsidRPr="000977F7">
        <w:rPr>
          <w:rFonts w:asciiTheme="majorHAnsi" w:hAnsiTheme="majorHAnsi"/>
          <w:spacing w:val="2"/>
          <w:w w:val="99"/>
          <w:sz w:val="20"/>
          <w:szCs w:val="20"/>
        </w:rPr>
        <w:t>и</w:t>
      </w:r>
      <w:r w:rsidRPr="000977F7">
        <w:rPr>
          <w:rFonts w:asciiTheme="majorHAnsi" w:hAnsiTheme="majorHAnsi"/>
          <w:spacing w:val="-1"/>
          <w:w w:val="99"/>
          <w:sz w:val="20"/>
          <w:szCs w:val="20"/>
        </w:rPr>
        <w:t>к</w:t>
      </w:r>
      <w:r w:rsidRPr="000977F7">
        <w:rPr>
          <w:rFonts w:asciiTheme="majorHAnsi" w:hAnsiTheme="majorHAnsi"/>
          <w:spacing w:val="1"/>
          <w:w w:val="99"/>
          <w:sz w:val="20"/>
          <w:szCs w:val="20"/>
        </w:rPr>
        <w:t>л</w:t>
      </w:r>
      <w:r w:rsidRPr="000977F7">
        <w:rPr>
          <w:rFonts w:asciiTheme="majorHAnsi" w:hAnsiTheme="majorHAnsi"/>
          <w:w w:val="99"/>
          <w:sz w:val="20"/>
          <w:szCs w:val="20"/>
        </w:rPr>
        <w:t>ічно</w:t>
      </w:r>
      <w:r w:rsidRPr="000977F7">
        <w:rPr>
          <w:rFonts w:asciiTheme="majorHAnsi" w:hAnsiTheme="majorHAnsi"/>
          <w:spacing w:val="3"/>
          <w:w w:val="99"/>
          <w:sz w:val="20"/>
          <w:szCs w:val="20"/>
        </w:rPr>
        <w:t>м</w:t>
      </w:r>
      <w:r w:rsidRPr="000977F7">
        <w:rPr>
          <w:rFonts w:asciiTheme="majorHAnsi" w:hAnsiTheme="majorHAnsi"/>
          <w:w w:val="99"/>
          <w:sz w:val="20"/>
          <w:szCs w:val="20"/>
        </w:rPr>
        <w:t>у</w:t>
      </w:r>
      <w:r w:rsidRPr="000977F7">
        <w:rPr>
          <w:rFonts w:asciiTheme="majorHAnsi" w:hAnsiTheme="majorHAnsi"/>
          <w:sz w:val="20"/>
          <w:szCs w:val="20"/>
        </w:rPr>
        <w:t xml:space="preserve">  </w:t>
      </w:r>
      <w:r w:rsidRPr="000977F7">
        <w:rPr>
          <w:rFonts w:asciiTheme="majorHAnsi" w:hAnsiTheme="majorHAnsi"/>
          <w:spacing w:val="14"/>
          <w:sz w:val="20"/>
          <w:szCs w:val="20"/>
        </w:rPr>
        <w:t xml:space="preserve"> </w:t>
      </w:r>
      <w:r w:rsidRPr="000977F7">
        <w:rPr>
          <w:rFonts w:asciiTheme="majorHAnsi" w:hAnsiTheme="majorHAnsi"/>
          <w:spacing w:val="-2"/>
          <w:w w:val="99"/>
          <w:sz w:val="20"/>
          <w:szCs w:val="20"/>
        </w:rPr>
        <w:t>п</w:t>
      </w:r>
      <w:r w:rsidRPr="000977F7">
        <w:rPr>
          <w:rFonts w:asciiTheme="majorHAnsi" w:hAnsiTheme="majorHAnsi"/>
          <w:spacing w:val="1"/>
          <w:w w:val="99"/>
          <w:sz w:val="20"/>
          <w:szCs w:val="20"/>
        </w:rPr>
        <w:t>ро</w:t>
      </w:r>
      <w:r w:rsidRPr="000977F7">
        <w:rPr>
          <w:rFonts w:asciiTheme="majorHAnsi" w:hAnsiTheme="majorHAnsi"/>
          <w:spacing w:val="-2"/>
          <w:w w:val="99"/>
          <w:sz w:val="20"/>
          <w:szCs w:val="20"/>
        </w:rPr>
        <w:t>ц</w:t>
      </w:r>
      <w:r w:rsidRPr="000977F7">
        <w:rPr>
          <w:rFonts w:asciiTheme="majorHAnsi" w:hAnsiTheme="majorHAnsi"/>
          <w:w w:val="99"/>
          <w:sz w:val="20"/>
          <w:szCs w:val="20"/>
        </w:rPr>
        <w:t>есі:</w:t>
      </w:r>
      <w:r w:rsidRPr="000977F7">
        <w:rPr>
          <w:rFonts w:asciiTheme="majorHAnsi" w:hAnsiTheme="majorHAnsi"/>
          <w:sz w:val="20"/>
          <w:szCs w:val="20"/>
        </w:rPr>
        <w:t xml:space="preserve">  </w:t>
      </w:r>
      <w:r w:rsidRPr="000977F7">
        <w:rPr>
          <w:rFonts w:asciiTheme="majorHAnsi" w:hAnsiTheme="majorHAnsi"/>
          <w:spacing w:val="17"/>
          <w:sz w:val="20"/>
          <w:szCs w:val="20"/>
        </w:rPr>
        <w:t xml:space="preserve"> </w:t>
      </w:r>
      <w:r w:rsidRPr="000977F7">
        <w:rPr>
          <w:rFonts w:asciiTheme="majorHAnsi" w:hAnsiTheme="majorHAnsi"/>
          <w:spacing w:val="-2"/>
          <w:w w:val="44"/>
          <w:sz w:val="20"/>
          <w:szCs w:val="20"/>
        </w:rPr>
        <w:t>―</w:t>
      </w:r>
      <w:r w:rsidRPr="000977F7">
        <w:rPr>
          <w:rFonts w:asciiTheme="majorHAnsi" w:hAnsiTheme="majorHAnsi"/>
          <w:spacing w:val="1"/>
          <w:w w:val="99"/>
          <w:sz w:val="20"/>
          <w:szCs w:val="20"/>
        </w:rPr>
        <w:t>п</w:t>
      </w:r>
      <w:r w:rsidRPr="000977F7">
        <w:rPr>
          <w:rFonts w:asciiTheme="majorHAnsi" w:hAnsiTheme="majorHAnsi"/>
          <w:spacing w:val="-1"/>
          <w:w w:val="99"/>
          <w:sz w:val="20"/>
          <w:szCs w:val="20"/>
        </w:rPr>
        <w:t>л</w:t>
      </w:r>
      <w:r w:rsidRPr="000977F7">
        <w:rPr>
          <w:rFonts w:asciiTheme="majorHAnsi" w:hAnsiTheme="majorHAnsi"/>
          <w:spacing w:val="2"/>
          <w:w w:val="99"/>
          <w:sz w:val="20"/>
          <w:szCs w:val="20"/>
        </w:rPr>
        <w:t>а</w:t>
      </w:r>
      <w:r w:rsidRPr="000977F7">
        <w:rPr>
          <w:rFonts w:asciiTheme="majorHAnsi" w:hAnsiTheme="majorHAnsi"/>
          <w:spacing w:val="-2"/>
          <w:w w:val="99"/>
          <w:sz w:val="20"/>
          <w:szCs w:val="20"/>
        </w:rPr>
        <w:t>н</w:t>
      </w:r>
      <w:r w:rsidRPr="000977F7">
        <w:rPr>
          <w:rFonts w:asciiTheme="majorHAnsi" w:hAnsiTheme="majorHAnsi"/>
          <w:w w:val="99"/>
          <w:sz w:val="20"/>
          <w:szCs w:val="20"/>
        </w:rPr>
        <w:t>,</w:t>
      </w:r>
      <w:r w:rsidRPr="000977F7">
        <w:rPr>
          <w:rFonts w:asciiTheme="majorHAnsi" w:hAnsiTheme="majorHAnsi"/>
          <w:sz w:val="20"/>
          <w:szCs w:val="20"/>
        </w:rPr>
        <w:t xml:space="preserve">  </w:t>
      </w:r>
      <w:r w:rsidRPr="000977F7">
        <w:rPr>
          <w:rFonts w:asciiTheme="majorHAnsi" w:hAnsiTheme="majorHAnsi"/>
          <w:spacing w:val="15"/>
          <w:sz w:val="20"/>
          <w:szCs w:val="20"/>
        </w:rPr>
        <w:t xml:space="preserve"> </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п</w:t>
      </w:r>
      <w:r w:rsidRPr="000977F7">
        <w:rPr>
          <w:rFonts w:asciiTheme="majorHAnsi" w:hAnsiTheme="majorHAnsi"/>
          <w:spacing w:val="1"/>
          <w:w w:val="99"/>
          <w:sz w:val="20"/>
          <w:szCs w:val="20"/>
        </w:rPr>
        <w:t>ро</w:t>
      </w:r>
      <w:r w:rsidRPr="000977F7">
        <w:rPr>
          <w:rFonts w:asciiTheme="majorHAnsi" w:hAnsiTheme="majorHAnsi"/>
          <w:spacing w:val="3"/>
          <w:w w:val="99"/>
          <w:sz w:val="20"/>
          <w:szCs w:val="20"/>
        </w:rPr>
        <w:t>в</w:t>
      </w:r>
      <w:r w:rsidRPr="000977F7">
        <w:rPr>
          <w:rFonts w:asciiTheme="majorHAnsi" w:hAnsiTheme="majorHAnsi"/>
          <w:spacing w:val="2"/>
          <w:w w:val="99"/>
          <w:sz w:val="20"/>
          <w:szCs w:val="20"/>
        </w:rPr>
        <w:t>а</w:t>
      </w:r>
      <w:r w:rsidRPr="000977F7">
        <w:rPr>
          <w:rFonts w:asciiTheme="majorHAnsi" w:hAnsiTheme="majorHAnsi"/>
          <w:sz w:val="20"/>
          <w:szCs w:val="20"/>
        </w:rPr>
        <w:t>дження, контроль і аналіз‖.</w:t>
      </w:r>
    </w:p>
    <w:p w14:paraId="0EBFBE4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w:t>
      </w:r>
      <w:r w:rsidRPr="000977F7">
        <w:rPr>
          <w:rFonts w:asciiTheme="majorHAnsi" w:hAnsiTheme="majorHAnsi"/>
          <w:spacing w:val="-4"/>
          <w:sz w:val="20"/>
          <w:szCs w:val="20"/>
        </w:rPr>
        <w:t xml:space="preserve"> </w:t>
      </w:r>
      <w:r w:rsidRPr="000977F7">
        <w:rPr>
          <w:rFonts w:asciiTheme="majorHAnsi" w:hAnsiTheme="majorHAnsi"/>
          <w:sz w:val="20"/>
          <w:szCs w:val="20"/>
        </w:rPr>
        <w:t>створює</w:t>
      </w:r>
      <w:r w:rsidRPr="000977F7">
        <w:rPr>
          <w:rFonts w:asciiTheme="majorHAnsi" w:hAnsiTheme="majorHAnsi"/>
          <w:spacing w:val="-4"/>
          <w:sz w:val="20"/>
          <w:szCs w:val="20"/>
        </w:rPr>
        <w:t xml:space="preserve"> </w:t>
      </w:r>
      <w:r w:rsidRPr="000977F7">
        <w:rPr>
          <w:rFonts w:asciiTheme="majorHAnsi" w:hAnsiTheme="majorHAnsi"/>
          <w:sz w:val="20"/>
          <w:szCs w:val="20"/>
        </w:rPr>
        <w:t>для</w:t>
      </w:r>
      <w:r w:rsidRPr="000977F7">
        <w:rPr>
          <w:rFonts w:asciiTheme="majorHAnsi" w:hAnsiTheme="majorHAnsi"/>
          <w:spacing w:val="-5"/>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4"/>
          <w:sz w:val="20"/>
          <w:szCs w:val="20"/>
        </w:rPr>
        <w:t xml:space="preserve"> </w:t>
      </w:r>
      <w:r w:rsidRPr="000977F7">
        <w:rPr>
          <w:rFonts w:asciiTheme="majorHAnsi" w:hAnsiTheme="majorHAnsi"/>
          <w:sz w:val="20"/>
          <w:szCs w:val="20"/>
        </w:rPr>
        <w:t>можливість:</w:t>
      </w:r>
    </w:p>
    <w:p w14:paraId="6CF2773D" w14:textId="77777777" w:rsidR="0097612F" w:rsidRPr="000977F7" w:rsidRDefault="0097612F" w:rsidP="00FD39A4">
      <w:pPr>
        <w:pStyle w:val="ac"/>
        <w:widowControl w:val="0"/>
        <w:numPr>
          <w:ilvl w:val="1"/>
          <w:numId w:val="146"/>
        </w:numPr>
        <w:tabs>
          <w:tab w:val="left" w:pos="284"/>
          <w:tab w:val="left" w:pos="103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розробити</w:t>
      </w:r>
      <w:r w:rsidRPr="000977F7">
        <w:rPr>
          <w:rFonts w:asciiTheme="majorHAnsi" w:hAnsiTheme="majorHAnsi"/>
          <w:spacing w:val="-4"/>
          <w:sz w:val="20"/>
          <w:szCs w:val="20"/>
        </w:rPr>
        <w:t xml:space="preserve"> </w:t>
      </w:r>
      <w:r w:rsidRPr="000977F7">
        <w:rPr>
          <w:rFonts w:asciiTheme="majorHAnsi" w:hAnsiTheme="majorHAnsi"/>
          <w:sz w:val="20"/>
          <w:szCs w:val="20"/>
        </w:rPr>
        <w:t>прийнятну</w:t>
      </w:r>
      <w:r w:rsidRPr="000977F7">
        <w:rPr>
          <w:rFonts w:asciiTheme="majorHAnsi" w:hAnsiTheme="majorHAnsi"/>
          <w:spacing w:val="-7"/>
          <w:sz w:val="20"/>
          <w:szCs w:val="20"/>
        </w:rPr>
        <w:t xml:space="preserve"> </w:t>
      </w:r>
      <w:r w:rsidRPr="000977F7">
        <w:rPr>
          <w:rFonts w:asciiTheme="majorHAnsi" w:hAnsiTheme="majorHAnsi"/>
          <w:sz w:val="20"/>
          <w:szCs w:val="20"/>
        </w:rPr>
        <w:t>екологічну</w:t>
      </w:r>
      <w:r w:rsidRPr="000977F7">
        <w:rPr>
          <w:rFonts w:asciiTheme="majorHAnsi" w:hAnsiTheme="majorHAnsi"/>
          <w:spacing w:val="-3"/>
          <w:sz w:val="20"/>
          <w:szCs w:val="20"/>
        </w:rPr>
        <w:t xml:space="preserve"> </w:t>
      </w:r>
      <w:r w:rsidRPr="000977F7">
        <w:rPr>
          <w:rFonts w:asciiTheme="majorHAnsi" w:hAnsiTheme="majorHAnsi"/>
          <w:sz w:val="20"/>
          <w:szCs w:val="20"/>
        </w:rPr>
        <w:t>політику;</w:t>
      </w:r>
    </w:p>
    <w:p w14:paraId="2CD53EC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 визначити екологічні аспекти, що</w:t>
      </w:r>
      <w:r w:rsidRPr="000977F7">
        <w:rPr>
          <w:rFonts w:asciiTheme="majorHAnsi" w:hAnsiTheme="majorHAnsi"/>
          <w:spacing w:val="1"/>
          <w:sz w:val="20"/>
          <w:szCs w:val="20"/>
        </w:rPr>
        <w:t xml:space="preserve"> </w:t>
      </w:r>
      <w:r w:rsidRPr="000977F7">
        <w:rPr>
          <w:rFonts w:asciiTheme="majorHAnsi" w:hAnsiTheme="majorHAnsi"/>
          <w:sz w:val="20"/>
          <w:szCs w:val="20"/>
        </w:rPr>
        <w:t>випливають з</w:t>
      </w:r>
      <w:r w:rsidRPr="000977F7">
        <w:rPr>
          <w:rFonts w:asciiTheme="majorHAnsi" w:hAnsiTheme="majorHAnsi"/>
          <w:spacing w:val="-47"/>
          <w:sz w:val="20"/>
          <w:szCs w:val="20"/>
        </w:rPr>
        <w:t xml:space="preserve"> </w:t>
      </w:r>
      <w:r w:rsidRPr="000977F7">
        <w:rPr>
          <w:rFonts w:asciiTheme="majorHAnsi" w:hAnsiTheme="majorHAnsi"/>
          <w:sz w:val="20"/>
          <w:szCs w:val="20"/>
        </w:rPr>
        <w:t>минулої,</w:t>
      </w:r>
      <w:r w:rsidRPr="000977F7">
        <w:rPr>
          <w:rFonts w:asciiTheme="majorHAnsi" w:hAnsiTheme="majorHAnsi"/>
          <w:spacing w:val="1"/>
          <w:sz w:val="20"/>
          <w:szCs w:val="20"/>
        </w:rPr>
        <w:t xml:space="preserve"> </w:t>
      </w:r>
      <w:r w:rsidRPr="000977F7">
        <w:rPr>
          <w:rFonts w:asciiTheme="majorHAnsi" w:hAnsiTheme="majorHAnsi"/>
          <w:sz w:val="20"/>
          <w:szCs w:val="20"/>
        </w:rPr>
        <w:t>теперішньої</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запланованої</w:t>
      </w:r>
      <w:r w:rsidRPr="000977F7">
        <w:rPr>
          <w:rFonts w:asciiTheme="majorHAnsi" w:hAnsiTheme="majorHAnsi"/>
          <w:spacing w:val="1"/>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2"/>
          <w:sz w:val="20"/>
          <w:szCs w:val="20"/>
        </w:rPr>
        <w:t xml:space="preserve"> </w:t>
      </w:r>
      <w:r w:rsidRPr="000977F7">
        <w:rPr>
          <w:rFonts w:asciiTheme="majorHAnsi" w:hAnsiTheme="majorHAnsi"/>
          <w:sz w:val="20"/>
          <w:szCs w:val="20"/>
        </w:rPr>
        <w:t>чи послуг</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p>
    <w:p w14:paraId="0BD5DCB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 установити відповідні до її діяльності законодавчі</w:t>
      </w:r>
      <w:r w:rsidRPr="000977F7">
        <w:rPr>
          <w:rFonts w:asciiTheme="majorHAnsi" w:hAnsiTheme="majorHAnsi"/>
          <w:spacing w:val="-1"/>
          <w:sz w:val="20"/>
          <w:szCs w:val="20"/>
        </w:rPr>
        <w:t xml:space="preserve"> </w:t>
      </w:r>
      <w:r w:rsidRPr="000977F7">
        <w:rPr>
          <w:rFonts w:asciiTheme="majorHAnsi" w:hAnsiTheme="majorHAnsi"/>
          <w:sz w:val="20"/>
          <w:szCs w:val="20"/>
        </w:rPr>
        <w:t>та нормативні</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p>
    <w:p w14:paraId="2681277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 установити пріоритети та визначити прийнятні</w:t>
      </w:r>
      <w:r w:rsidRPr="000977F7">
        <w:rPr>
          <w:rFonts w:asciiTheme="majorHAnsi" w:hAnsiTheme="majorHAnsi"/>
          <w:spacing w:val="1"/>
          <w:sz w:val="20"/>
          <w:szCs w:val="20"/>
        </w:rPr>
        <w:t xml:space="preserve"> </w:t>
      </w:r>
      <w:r w:rsidRPr="000977F7">
        <w:rPr>
          <w:rFonts w:asciiTheme="majorHAnsi" w:hAnsiTheme="majorHAnsi"/>
          <w:sz w:val="20"/>
          <w:szCs w:val="20"/>
        </w:rPr>
        <w:t>екологічні</w:t>
      </w:r>
      <w:r w:rsidRPr="000977F7">
        <w:rPr>
          <w:rFonts w:asciiTheme="majorHAnsi" w:hAnsiTheme="majorHAnsi"/>
          <w:spacing w:val="1"/>
          <w:sz w:val="20"/>
          <w:szCs w:val="20"/>
        </w:rPr>
        <w:t xml:space="preserve"> </w:t>
      </w:r>
      <w:r w:rsidRPr="000977F7">
        <w:rPr>
          <w:rFonts w:asciiTheme="majorHAnsi" w:hAnsiTheme="majorHAnsi"/>
          <w:sz w:val="20"/>
          <w:szCs w:val="20"/>
        </w:rPr>
        <w:t>цілі</w:t>
      </w:r>
      <w:r w:rsidRPr="000977F7">
        <w:rPr>
          <w:rFonts w:asciiTheme="majorHAnsi" w:hAnsiTheme="majorHAnsi"/>
          <w:spacing w:val="-1"/>
          <w:sz w:val="20"/>
          <w:szCs w:val="20"/>
        </w:rPr>
        <w:t xml:space="preserve"> </w:t>
      </w:r>
      <w:r w:rsidRPr="000977F7">
        <w:rPr>
          <w:rFonts w:asciiTheme="majorHAnsi" w:hAnsiTheme="majorHAnsi"/>
          <w:sz w:val="20"/>
          <w:szCs w:val="20"/>
        </w:rPr>
        <w:t>і завдання;</w:t>
      </w:r>
    </w:p>
    <w:p w14:paraId="43D3783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 розробити структуру і програму реалізації політики,</w:t>
      </w:r>
      <w:r w:rsidRPr="000977F7">
        <w:rPr>
          <w:rFonts w:asciiTheme="majorHAnsi" w:hAnsiTheme="majorHAnsi"/>
          <w:spacing w:val="-1"/>
          <w:sz w:val="20"/>
          <w:szCs w:val="20"/>
        </w:rPr>
        <w:t xml:space="preserve"> </w:t>
      </w:r>
      <w:r w:rsidRPr="000977F7">
        <w:rPr>
          <w:rFonts w:asciiTheme="majorHAnsi" w:hAnsiTheme="majorHAnsi"/>
          <w:sz w:val="20"/>
          <w:szCs w:val="20"/>
        </w:rPr>
        <w:t>досягнення</w:t>
      </w:r>
      <w:r w:rsidRPr="000977F7">
        <w:rPr>
          <w:rFonts w:asciiTheme="majorHAnsi" w:hAnsiTheme="majorHAnsi"/>
          <w:spacing w:val="2"/>
          <w:sz w:val="20"/>
          <w:szCs w:val="20"/>
        </w:rPr>
        <w:t xml:space="preserve"> </w:t>
      </w:r>
      <w:r w:rsidRPr="000977F7">
        <w:rPr>
          <w:rFonts w:asciiTheme="majorHAnsi" w:hAnsiTheme="majorHAnsi"/>
          <w:sz w:val="20"/>
          <w:szCs w:val="20"/>
        </w:rPr>
        <w:t>цілей</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завдань;</w:t>
      </w:r>
    </w:p>
    <w:p w14:paraId="22B79F1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 поліпшити планування, управління, моніторинг,</w:t>
      </w:r>
      <w:r w:rsidRPr="000977F7">
        <w:rPr>
          <w:rFonts w:asciiTheme="majorHAnsi" w:hAnsiTheme="majorHAnsi"/>
          <w:spacing w:val="1"/>
          <w:sz w:val="20"/>
          <w:szCs w:val="20"/>
        </w:rPr>
        <w:t xml:space="preserve"> </w:t>
      </w:r>
      <w:r w:rsidRPr="000977F7">
        <w:rPr>
          <w:rFonts w:asciiTheme="majorHAnsi" w:hAnsiTheme="majorHAnsi"/>
          <w:sz w:val="20"/>
          <w:szCs w:val="20"/>
        </w:rPr>
        <w:t>коригувальні</w:t>
      </w:r>
      <w:r w:rsidRPr="000977F7">
        <w:rPr>
          <w:rFonts w:asciiTheme="majorHAnsi" w:hAnsiTheme="majorHAnsi"/>
          <w:spacing w:val="1"/>
          <w:sz w:val="20"/>
          <w:szCs w:val="20"/>
        </w:rPr>
        <w:t xml:space="preserve"> </w:t>
      </w:r>
      <w:r w:rsidRPr="000977F7">
        <w:rPr>
          <w:rFonts w:asciiTheme="majorHAnsi" w:hAnsiTheme="majorHAnsi"/>
          <w:sz w:val="20"/>
          <w:szCs w:val="20"/>
        </w:rPr>
        <w:t>дії,</w:t>
      </w:r>
      <w:r w:rsidRPr="000977F7">
        <w:rPr>
          <w:rFonts w:asciiTheme="majorHAnsi" w:hAnsiTheme="majorHAnsi"/>
          <w:spacing w:val="1"/>
          <w:sz w:val="20"/>
          <w:szCs w:val="20"/>
        </w:rPr>
        <w:t xml:space="preserve"> </w:t>
      </w:r>
      <w:r w:rsidRPr="000977F7">
        <w:rPr>
          <w:rFonts w:asciiTheme="majorHAnsi" w:hAnsiTheme="majorHAnsi"/>
          <w:sz w:val="20"/>
          <w:szCs w:val="20"/>
        </w:rPr>
        <w:t>здійснення</w:t>
      </w:r>
      <w:r w:rsidRPr="000977F7">
        <w:rPr>
          <w:rFonts w:asciiTheme="majorHAnsi" w:hAnsiTheme="majorHAnsi"/>
          <w:spacing w:val="1"/>
          <w:sz w:val="20"/>
          <w:szCs w:val="20"/>
        </w:rPr>
        <w:t xml:space="preserve"> </w:t>
      </w:r>
      <w:r w:rsidRPr="000977F7">
        <w:rPr>
          <w:rFonts w:asciiTheme="majorHAnsi" w:hAnsiTheme="majorHAnsi"/>
          <w:sz w:val="20"/>
          <w:szCs w:val="20"/>
        </w:rPr>
        <w:t>аудиту</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аналізу,</w:t>
      </w:r>
      <w:r w:rsidRPr="000977F7">
        <w:rPr>
          <w:rFonts w:asciiTheme="majorHAnsi" w:hAnsiTheme="majorHAnsi"/>
          <w:spacing w:val="1"/>
          <w:sz w:val="20"/>
          <w:szCs w:val="20"/>
        </w:rPr>
        <w:t xml:space="preserve"> </w:t>
      </w:r>
      <w:r w:rsidRPr="000977F7">
        <w:rPr>
          <w:rFonts w:asciiTheme="majorHAnsi" w:hAnsiTheme="majorHAnsi"/>
          <w:sz w:val="20"/>
          <w:szCs w:val="20"/>
        </w:rPr>
        <w:t>щоб</w:t>
      </w:r>
      <w:r w:rsidRPr="000977F7">
        <w:rPr>
          <w:rFonts w:asciiTheme="majorHAnsi" w:hAnsiTheme="majorHAnsi"/>
          <w:spacing w:val="1"/>
          <w:sz w:val="20"/>
          <w:szCs w:val="20"/>
        </w:rPr>
        <w:t xml:space="preserve"> </w:t>
      </w:r>
      <w:r w:rsidRPr="000977F7">
        <w:rPr>
          <w:rFonts w:asciiTheme="majorHAnsi" w:hAnsiTheme="majorHAnsi"/>
          <w:sz w:val="20"/>
          <w:szCs w:val="20"/>
        </w:rPr>
        <w:t>забезпечити</w:t>
      </w:r>
      <w:r w:rsidRPr="000977F7">
        <w:rPr>
          <w:rFonts w:asciiTheme="majorHAnsi" w:hAnsiTheme="majorHAnsi"/>
          <w:spacing w:val="1"/>
          <w:sz w:val="20"/>
          <w:szCs w:val="20"/>
        </w:rPr>
        <w:t xml:space="preserve"> </w:t>
      </w:r>
      <w:r w:rsidRPr="000977F7">
        <w:rPr>
          <w:rFonts w:asciiTheme="majorHAnsi" w:hAnsiTheme="majorHAnsi"/>
          <w:sz w:val="20"/>
          <w:szCs w:val="20"/>
        </w:rPr>
        <w:t>ефективність</w:t>
      </w:r>
      <w:r w:rsidRPr="000977F7">
        <w:rPr>
          <w:rFonts w:asciiTheme="majorHAnsi" w:hAnsiTheme="majorHAnsi"/>
          <w:spacing w:val="1"/>
          <w:sz w:val="20"/>
          <w:szCs w:val="20"/>
        </w:rPr>
        <w:t xml:space="preserve"> </w:t>
      </w:r>
      <w:r w:rsidRPr="000977F7">
        <w:rPr>
          <w:rFonts w:asciiTheme="majorHAnsi" w:hAnsiTheme="majorHAnsi"/>
          <w:sz w:val="20"/>
          <w:szCs w:val="20"/>
        </w:rPr>
        <w:t>екологічної</w:t>
      </w:r>
      <w:r w:rsidRPr="000977F7">
        <w:rPr>
          <w:rFonts w:asciiTheme="majorHAnsi" w:hAnsiTheme="majorHAnsi"/>
          <w:spacing w:val="1"/>
          <w:sz w:val="20"/>
          <w:szCs w:val="20"/>
        </w:rPr>
        <w:t xml:space="preserve"> </w:t>
      </w:r>
      <w:r w:rsidRPr="000977F7">
        <w:rPr>
          <w:rFonts w:asciiTheme="majorHAnsi" w:hAnsiTheme="majorHAnsi"/>
          <w:sz w:val="20"/>
          <w:szCs w:val="20"/>
        </w:rPr>
        <w:t>політики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2"/>
          <w:sz w:val="20"/>
          <w:szCs w:val="20"/>
        </w:rPr>
        <w:t xml:space="preserve"> </w:t>
      </w:r>
      <w:r w:rsidRPr="000977F7">
        <w:rPr>
          <w:rFonts w:asciiTheme="majorHAnsi" w:hAnsiTheme="majorHAnsi"/>
          <w:sz w:val="20"/>
          <w:szCs w:val="20"/>
        </w:rPr>
        <w:t>навколишнім середовищем;</w:t>
      </w:r>
    </w:p>
    <w:p w14:paraId="795FD9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ж)</w:t>
      </w:r>
      <w:r w:rsidRPr="000977F7">
        <w:rPr>
          <w:rFonts w:asciiTheme="majorHAnsi" w:hAnsiTheme="majorHAnsi"/>
          <w:spacing w:val="-4"/>
          <w:sz w:val="20"/>
          <w:szCs w:val="20"/>
        </w:rPr>
        <w:t xml:space="preserve"> </w:t>
      </w:r>
      <w:r w:rsidRPr="000977F7">
        <w:rPr>
          <w:rFonts w:asciiTheme="majorHAnsi" w:hAnsiTheme="majorHAnsi"/>
          <w:sz w:val="20"/>
          <w:szCs w:val="20"/>
        </w:rPr>
        <w:t>адаптуватись</w:t>
      </w:r>
      <w:r w:rsidRPr="000977F7">
        <w:rPr>
          <w:rFonts w:asciiTheme="majorHAnsi" w:hAnsiTheme="majorHAnsi"/>
          <w:spacing w:val="-4"/>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умов,</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3"/>
          <w:sz w:val="20"/>
          <w:szCs w:val="20"/>
        </w:rPr>
        <w:t xml:space="preserve"> </w:t>
      </w:r>
      <w:r w:rsidRPr="000977F7">
        <w:rPr>
          <w:rFonts w:asciiTheme="majorHAnsi" w:hAnsiTheme="majorHAnsi"/>
          <w:sz w:val="20"/>
          <w:szCs w:val="20"/>
        </w:rPr>
        <w:t>змінюються.</w:t>
      </w:r>
    </w:p>
    <w:p w14:paraId="6D336523" w14:textId="77777777" w:rsidR="0097612F" w:rsidRPr="000977F7" w:rsidRDefault="0097612F" w:rsidP="00FD39A4">
      <w:pPr>
        <w:pStyle w:val="7"/>
        <w:keepNext w:val="0"/>
        <w:keepLines w:val="0"/>
        <w:widowControl w:val="0"/>
        <w:numPr>
          <w:ilvl w:val="0"/>
          <w:numId w:val="62"/>
        </w:numPr>
        <w:tabs>
          <w:tab w:val="left" w:pos="284"/>
          <w:tab w:val="left" w:pos="1161"/>
        </w:tabs>
        <w:autoSpaceDE w:val="0"/>
        <w:autoSpaceDN w:val="0"/>
        <w:spacing w:before="0" w:line="240" w:lineRule="auto"/>
        <w:ind w:left="170" w:firstLine="0"/>
        <w:mirrorIndents/>
        <w:jc w:val="both"/>
        <w:rPr>
          <w:color w:val="auto"/>
          <w:sz w:val="20"/>
          <w:szCs w:val="20"/>
        </w:rPr>
      </w:pPr>
      <w:r w:rsidRPr="000977F7">
        <w:rPr>
          <w:color w:val="auto"/>
          <w:sz w:val="20"/>
          <w:szCs w:val="20"/>
        </w:rPr>
        <w:t>Екологічна</w:t>
      </w:r>
      <w:r w:rsidRPr="000977F7">
        <w:rPr>
          <w:color w:val="auto"/>
          <w:spacing w:val="-4"/>
          <w:sz w:val="20"/>
          <w:szCs w:val="20"/>
        </w:rPr>
        <w:t xml:space="preserve"> </w:t>
      </w:r>
      <w:r w:rsidRPr="000977F7">
        <w:rPr>
          <w:color w:val="auto"/>
          <w:sz w:val="20"/>
          <w:szCs w:val="20"/>
        </w:rPr>
        <w:t>політика</w:t>
      </w:r>
    </w:p>
    <w:p w14:paraId="67BBDD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4D2D14">
        <w:rPr>
          <w:rFonts w:asciiTheme="majorHAnsi" w:hAnsiTheme="majorHAnsi"/>
          <w:sz w:val="20"/>
          <w:szCs w:val="20"/>
          <w:lang w:val="uk-UA"/>
        </w:rPr>
        <w:t>Документ з екологічної політики є загальною настановою щодо впровадження і вдосконалення в організації системи управління навколишнім середовищем для того, щоб організація могла зберігати і, за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можливості, поліпшувати свої екологічні характеристики.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Тому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ця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політика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повинна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відображати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 xml:space="preserve">зобов’язання вищого керівництва щодо дотримання відповідних законів та постійного вдосконалення. </w:t>
      </w:r>
      <w:r w:rsidRPr="000977F7">
        <w:rPr>
          <w:rFonts w:asciiTheme="majorHAnsi" w:hAnsiTheme="majorHAnsi"/>
          <w:sz w:val="20"/>
          <w:szCs w:val="20"/>
        </w:rPr>
        <w:t>Політика</w:t>
      </w:r>
      <w:r w:rsidRPr="000977F7">
        <w:rPr>
          <w:rFonts w:asciiTheme="majorHAnsi" w:hAnsiTheme="majorHAnsi"/>
          <w:spacing w:val="1"/>
          <w:sz w:val="20"/>
          <w:szCs w:val="20"/>
        </w:rPr>
        <w:t xml:space="preserve"> </w:t>
      </w:r>
      <w:r w:rsidRPr="000977F7">
        <w:rPr>
          <w:rFonts w:asciiTheme="majorHAnsi" w:hAnsiTheme="majorHAnsi"/>
          <w:sz w:val="20"/>
          <w:szCs w:val="20"/>
        </w:rPr>
        <w:t>створює</w:t>
      </w:r>
      <w:r w:rsidRPr="000977F7">
        <w:rPr>
          <w:rFonts w:asciiTheme="majorHAnsi" w:hAnsiTheme="majorHAnsi"/>
          <w:spacing w:val="1"/>
          <w:sz w:val="20"/>
          <w:szCs w:val="20"/>
        </w:rPr>
        <w:t xml:space="preserve"> </w:t>
      </w:r>
      <w:r w:rsidRPr="000977F7">
        <w:rPr>
          <w:rFonts w:asciiTheme="majorHAnsi" w:hAnsiTheme="majorHAnsi"/>
          <w:sz w:val="20"/>
          <w:szCs w:val="20"/>
        </w:rPr>
        <w:t>основу</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організацією</w:t>
      </w:r>
      <w:r w:rsidRPr="000977F7">
        <w:rPr>
          <w:rFonts w:asciiTheme="majorHAnsi" w:hAnsiTheme="majorHAnsi"/>
          <w:spacing w:val="1"/>
          <w:sz w:val="20"/>
          <w:szCs w:val="20"/>
        </w:rPr>
        <w:t xml:space="preserve"> </w:t>
      </w:r>
      <w:r w:rsidRPr="000977F7">
        <w:rPr>
          <w:rFonts w:asciiTheme="majorHAnsi" w:hAnsiTheme="majorHAnsi"/>
          <w:sz w:val="20"/>
          <w:szCs w:val="20"/>
        </w:rPr>
        <w:t>своїх цілей і завдань. Тому вона повинна бути достатньо чіткою, щоб її могли зрозуміти внутрішні зацікавлені сторони, а також періодично аналізуватись і переглядатись для забезпечення її відповідності умовам</w:t>
      </w:r>
      <w:r w:rsidRPr="000977F7">
        <w:rPr>
          <w:rFonts w:asciiTheme="majorHAnsi" w:hAnsiTheme="majorHAnsi"/>
          <w:spacing w:val="1"/>
          <w:sz w:val="20"/>
          <w:szCs w:val="20"/>
        </w:rPr>
        <w:t xml:space="preserve"> </w:t>
      </w:r>
      <w:r w:rsidRPr="000977F7">
        <w:rPr>
          <w:rFonts w:asciiTheme="majorHAnsi" w:hAnsiTheme="majorHAnsi"/>
          <w:sz w:val="20"/>
          <w:szCs w:val="20"/>
        </w:rPr>
        <w:t>та даним, які змінюються. Сфера застосування політики повинна</w:t>
      </w:r>
      <w:r w:rsidRPr="000977F7">
        <w:rPr>
          <w:rFonts w:asciiTheme="majorHAnsi" w:hAnsiTheme="majorHAnsi"/>
          <w:spacing w:val="2"/>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чітко визначена.</w:t>
      </w:r>
    </w:p>
    <w:p w14:paraId="2D327B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Вище керівництво повинно визначити і документально</w:t>
      </w:r>
      <w:r w:rsidRPr="000977F7">
        <w:rPr>
          <w:rFonts w:asciiTheme="majorHAnsi" w:hAnsiTheme="majorHAnsi"/>
          <w:spacing w:val="1"/>
          <w:sz w:val="20"/>
          <w:szCs w:val="20"/>
        </w:rPr>
        <w:t xml:space="preserve"> </w:t>
      </w:r>
      <w:r w:rsidRPr="000977F7">
        <w:rPr>
          <w:rFonts w:asciiTheme="majorHAnsi" w:hAnsiTheme="majorHAnsi"/>
          <w:sz w:val="20"/>
          <w:szCs w:val="20"/>
        </w:rPr>
        <w:t>оформити</w:t>
      </w:r>
      <w:r w:rsidRPr="000977F7">
        <w:rPr>
          <w:rFonts w:asciiTheme="majorHAnsi" w:hAnsiTheme="majorHAnsi"/>
          <w:spacing w:val="1"/>
          <w:sz w:val="20"/>
          <w:szCs w:val="20"/>
        </w:rPr>
        <w:t xml:space="preserve"> </w:t>
      </w:r>
      <w:r w:rsidRPr="000977F7">
        <w:rPr>
          <w:rFonts w:asciiTheme="majorHAnsi" w:hAnsiTheme="majorHAnsi"/>
          <w:sz w:val="20"/>
          <w:szCs w:val="20"/>
        </w:rPr>
        <w:t>екологічну</w:t>
      </w:r>
      <w:r w:rsidRPr="000977F7">
        <w:rPr>
          <w:rFonts w:asciiTheme="majorHAnsi" w:hAnsiTheme="majorHAnsi"/>
          <w:spacing w:val="1"/>
          <w:sz w:val="20"/>
          <w:szCs w:val="20"/>
        </w:rPr>
        <w:t xml:space="preserve"> </w:t>
      </w:r>
      <w:r w:rsidRPr="000977F7">
        <w:rPr>
          <w:rFonts w:asciiTheme="majorHAnsi" w:hAnsiTheme="majorHAnsi"/>
          <w:sz w:val="20"/>
          <w:szCs w:val="20"/>
        </w:rPr>
        <w:t>політику</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контексті екологічної політики будь-якої корпоративної</w:t>
      </w:r>
      <w:r w:rsidRPr="000977F7">
        <w:rPr>
          <w:rFonts w:asciiTheme="majorHAnsi" w:hAnsiTheme="majorHAnsi"/>
          <w:spacing w:val="20"/>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20"/>
          <w:sz w:val="20"/>
          <w:szCs w:val="20"/>
        </w:rPr>
        <w:t xml:space="preserve"> </w:t>
      </w:r>
      <w:r w:rsidRPr="000977F7">
        <w:rPr>
          <w:rFonts w:asciiTheme="majorHAnsi" w:hAnsiTheme="majorHAnsi"/>
          <w:sz w:val="20"/>
          <w:szCs w:val="20"/>
        </w:rPr>
        <w:t>частиною</w:t>
      </w:r>
      <w:r w:rsidRPr="000977F7">
        <w:rPr>
          <w:rFonts w:asciiTheme="majorHAnsi" w:hAnsiTheme="majorHAnsi"/>
          <w:spacing w:val="21"/>
          <w:sz w:val="20"/>
          <w:szCs w:val="20"/>
        </w:rPr>
        <w:t xml:space="preserve"> </w:t>
      </w:r>
      <w:r w:rsidRPr="000977F7">
        <w:rPr>
          <w:rFonts w:asciiTheme="majorHAnsi" w:hAnsiTheme="majorHAnsi"/>
          <w:sz w:val="20"/>
          <w:szCs w:val="20"/>
        </w:rPr>
        <w:t>якої</w:t>
      </w:r>
      <w:r w:rsidRPr="000977F7">
        <w:rPr>
          <w:rFonts w:asciiTheme="majorHAnsi" w:hAnsiTheme="majorHAnsi"/>
          <w:spacing w:val="20"/>
          <w:sz w:val="20"/>
          <w:szCs w:val="20"/>
        </w:rPr>
        <w:t xml:space="preserve"> </w:t>
      </w:r>
      <w:r w:rsidRPr="000977F7">
        <w:rPr>
          <w:rFonts w:asciiTheme="majorHAnsi" w:hAnsiTheme="majorHAnsi"/>
          <w:sz w:val="20"/>
          <w:szCs w:val="20"/>
        </w:rPr>
        <w:t>вона</w:t>
      </w:r>
      <w:r w:rsidRPr="000977F7">
        <w:rPr>
          <w:rFonts w:asciiTheme="majorHAnsi" w:hAnsiTheme="majorHAnsi"/>
          <w:spacing w:val="21"/>
          <w:sz w:val="20"/>
          <w:szCs w:val="20"/>
        </w:rPr>
        <w:t xml:space="preserve"> </w:t>
      </w:r>
      <w:r w:rsidRPr="000977F7">
        <w:rPr>
          <w:rFonts w:asciiTheme="majorHAnsi" w:hAnsiTheme="majorHAnsi"/>
          <w:sz w:val="20"/>
          <w:szCs w:val="20"/>
        </w:rPr>
        <w:t>є</w:t>
      </w:r>
      <w:r w:rsidRPr="000977F7">
        <w:rPr>
          <w:rFonts w:asciiTheme="majorHAnsi" w:hAnsiTheme="majorHAnsi"/>
          <w:spacing w:val="20"/>
          <w:sz w:val="20"/>
          <w:szCs w:val="20"/>
        </w:rPr>
        <w:t xml:space="preserve"> </w:t>
      </w:r>
      <w:r w:rsidRPr="000977F7">
        <w:rPr>
          <w:rFonts w:asciiTheme="majorHAnsi" w:hAnsiTheme="majorHAnsi"/>
          <w:sz w:val="20"/>
          <w:szCs w:val="20"/>
        </w:rPr>
        <w:t>або</w:t>
      </w:r>
      <w:r w:rsidRPr="000977F7">
        <w:rPr>
          <w:rFonts w:asciiTheme="majorHAnsi" w:hAnsiTheme="majorHAnsi"/>
          <w:spacing w:val="20"/>
          <w:sz w:val="20"/>
          <w:szCs w:val="20"/>
        </w:rPr>
        <w:t xml:space="preserve"> </w:t>
      </w:r>
      <w:r w:rsidRPr="000977F7">
        <w:rPr>
          <w:rFonts w:asciiTheme="majorHAnsi" w:hAnsiTheme="majorHAnsi"/>
          <w:sz w:val="20"/>
          <w:szCs w:val="20"/>
        </w:rPr>
        <w:t>функціонує</w:t>
      </w:r>
      <w:r w:rsidRPr="000977F7">
        <w:rPr>
          <w:rFonts w:asciiTheme="majorHAnsi" w:hAnsiTheme="majorHAnsi"/>
          <w:spacing w:val="-47"/>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2"/>
          <w:sz w:val="20"/>
          <w:szCs w:val="20"/>
        </w:rPr>
        <w:t xml:space="preserve"> </w:t>
      </w:r>
      <w:r w:rsidRPr="000977F7">
        <w:rPr>
          <w:rFonts w:asciiTheme="majorHAnsi" w:hAnsiTheme="majorHAnsi"/>
          <w:sz w:val="20"/>
          <w:szCs w:val="20"/>
        </w:rPr>
        <w:t>підтримкою,</w:t>
      </w:r>
      <w:r w:rsidRPr="000977F7">
        <w:rPr>
          <w:rFonts w:asciiTheme="majorHAnsi" w:hAnsiTheme="majorHAnsi"/>
          <w:spacing w:val="-1"/>
          <w:sz w:val="20"/>
          <w:szCs w:val="20"/>
        </w:rPr>
        <w:t xml:space="preserve"> </w:t>
      </w:r>
      <w:r w:rsidRPr="000977F7">
        <w:rPr>
          <w:rFonts w:asciiTheme="majorHAnsi" w:hAnsiTheme="majorHAnsi"/>
          <w:sz w:val="20"/>
          <w:szCs w:val="20"/>
        </w:rPr>
        <w:t>якщо така</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організація</w:t>
      </w:r>
      <w:r w:rsidRPr="000977F7">
        <w:rPr>
          <w:rFonts w:asciiTheme="majorHAnsi" w:hAnsiTheme="majorHAnsi"/>
          <w:spacing w:val="-2"/>
          <w:sz w:val="20"/>
          <w:szCs w:val="20"/>
        </w:rPr>
        <w:t xml:space="preserve"> </w:t>
      </w:r>
      <w:r w:rsidRPr="000977F7">
        <w:rPr>
          <w:rFonts w:asciiTheme="majorHAnsi" w:hAnsiTheme="majorHAnsi"/>
          <w:sz w:val="20"/>
          <w:szCs w:val="20"/>
        </w:rPr>
        <w:t>існує.</w:t>
      </w:r>
    </w:p>
    <w:p w14:paraId="04BF5DF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 :</w:t>
      </w:r>
    </w:p>
    <w:p w14:paraId="3C837B9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Вище керівництво може складатись з особи чи групи</w:t>
      </w:r>
      <w:r w:rsidRPr="000977F7">
        <w:rPr>
          <w:rFonts w:asciiTheme="majorHAnsi" w:hAnsiTheme="majorHAnsi"/>
          <w:spacing w:val="1"/>
          <w:sz w:val="20"/>
          <w:szCs w:val="20"/>
        </w:rPr>
        <w:t xml:space="preserve"> </w:t>
      </w:r>
      <w:r w:rsidRPr="000977F7">
        <w:rPr>
          <w:rFonts w:asciiTheme="majorHAnsi" w:hAnsiTheme="majorHAnsi"/>
          <w:sz w:val="20"/>
          <w:szCs w:val="20"/>
        </w:rPr>
        <w:t>осіб, наділених головними адміністративними функціями в</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p>
    <w:p w14:paraId="1B29C4B9" w14:textId="77777777" w:rsidR="0097612F" w:rsidRPr="000977F7" w:rsidRDefault="0097612F" w:rsidP="00FD39A4">
      <w:pPr>
        <w:pStyle w:val="7"/>
        <w:keepNext w:val="0"/>
        <w:keepLines w:val="0"/>
        <w:widowControl w:val="0"/>
        <w:numPr>
          <w:ilvl w:val="0"/>
          <w:numId w:val="62"/>
        </w:numPr>
        <w:tabs>
          <w:tab w:val="left" w:pos="284"/>
          <w:tab w:val="left" w:pos="1161"/>
        </w:tabs>
        <w:autoSpaceDE w:val="0"/>
        <w:autoSpaceDN w:val="0"/>
        <w:spacing w:before="0" w:line="240" w:lineRule="auto"/>
        <w:ind w:left="170" w:firstLine="0"/>
        <w:mirrorIndents/>
        <w:jc w:val="both"/>
        <w:rPr>
          <w:color w:val="auto"/>
          <w:sz w:val="20"/>
          <w:szCs w:val="20"/>
        </w:rPr>
      </w:pPr>
      <w:r w:rsidRPr="000977F7">
        <w:rPr>
          <w:color w:val="auto"/>
          <w:sz w:val="20"/>
          <w:szCs w:val="20"/>
        </w:rPr>
        <w:t>Планування</w:t>
      </w:r>
    </w:p>
    <w:p w14:paraId="2C6CB7C3" w14:textId="77777777" w:rsidR="0097612F" w:rsidRPr="000977F7" w:rsidRDefault="0097612F" w:rsidP="00FD39A4">
      <w:pPr>
        <w:pStyle w:val="ac"/>
        <w:widowControl w:val="0"/>
        <w:numPr>
          <w:ilvl w:val="1"/>
          <w:numId w:val="62"/>
        </w:numPr>
        <w:tabs>
          <w:tab w:val="left" w:pos="284"/>
          <w:tab w:val="left" w:pos="1161"/>
        </w:tabs>
        <w:autoSpaceDE w:val="0"/>
        <w:autoSpaceDN w:val="0"/>
        <w:spacing w:after="0" w:line="240" w:lineRule="auto"/>
        <w:ind w:left="170" w:firstLine="0"/>
        <w:contextualSpacing w:val="0"/>
        <w:mirrorIndents/>
        <w:jc w:val="both"/>
        <w:rPr>
          <w:rFonts w:asciiTheme="majorHAnsi" w:hAnsiTheme="majorHAnsi"/>
          <w:b/>
          <w:sz w:val="20"/>
          <w:szCs w:val="20"/>
        </w:rPr>
      </w:pPr>
      <w:r w:rsidRPr="000977F7">
        <w:rPr>
          <w:rFonts w:asciiTheme="majorHAnsi" w:hAnsiTheme="majorHAnsi"/>
          <w:b/>
          <w:sz w:val="20"/>
          <w:szCs w:val="20"/>
        </w:rPr>
        <w:t>Екологічні</w:t>
      </w:r>
      <w:r w:rsidRPr="000977F7">
        <w:rPr>
          <w:rFonts w:asciiTheme="majorHAnsi" w:hAnsiTheme="majorHAnsi"/>
          <w:b/>
          <w:spacing w:val="-5"/>
          <w:sz w:val="20"/>
          <w:szCs w:val="20"/>
        </w:rPr>
        <w:t xml:space="preserve"> </w:t>
      </w:r>
      <w:r w:rsidRPr="000977F7">
        <w:rPr>
          <w:rFonts w:asciiTheme="majorHAnsi" w:hAnsiTheme="majorHAnsi"/>
          <w:b/>
          <w:sz w:val="20"/>
          <w:szCs w:val="20"/>
        </w:rPr>
        <w:t>аспекти.</w:t>
      </w:r>
    </w:p>
    <w:p w14:paraId="61D283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w w:val="99"/>
          <w:sz w:val="20"/>
          <w:szCs w:val="20"/>
        </w:rPr>
        <w:t>В</w:t>
      </w:r>
      <w:r w:rsidRPr="000977F7">
        <w:rPr>
          <w:rFonts w:asciiTheme="majorHAnsi" w:hAnsiTheme="majorHAnsi"/>
          <w:spacing w:val="3"/>
          <w:sz w:val="20"/>
          <w:szCs w:val="20"/>
        </w:rPr>
        <w:t xml:space="preserve"> </w:t>
      </w:r>
      <w:r w:rsidRPr="000977F7">
        <w:rPr>
          <w:rFonts w:asciiTheme="majorHAnsi" w:hAnsiTheme="majorHAnsi"/>
          <w:spacing w:val="1"/>
          <w:w w:val="99"/>
          <w:sz w:val="20"/>
          <w:szCs w:val="20"/>
        </w:rPr>
        <w:t>п</w:t>
      </w:r>
      <w:r w:rsidRPr="000977F7">
        <w:rPr>
          <w:rFonts w:asciiTheme="majorHAnsi" w:hAnsiTheme="majorHAnsi"/>
          <w:spacing w:val="-2"/>
          <w:w w:val="99"/>
          <w:sz w:val="20"/>
          <w:szCs w:val="20"/>
        </w:rPr>
        <w:t>ун</w:t>
      </w:r>
      <w:r w:rsidRPr="000977F7">
        <w:rPr>
          <w:rFonts w:asciiTheme="majorHAnsi" w:hAnsiTheme="majorHAnsi"/>
          <w:spacing w:val="-1"/>
          <w:w w:val="99"/>
          <w:sz w:val="20"/>
          <w:szCs w:val="20"/>
        </w:rPr>
        <w:t>к</w:t>
      </w:r>
      <w:r w:rsidRPr="000977F7">
        <w:rPr>
          <w:rFonts w:asciiTheme="majorHAnsi" w:hAnsiTheme="majorHAnsi"/>
          <w:spacing w:val="1"/>
          <w:w w:val="99"/>
          <w:sz w:val="20"/>
          <w:szCs w:val="20"/>
        </w:rPr>
        <w:t>т</w:t>
      </w:r>
      <w:r w:rsidRPr="000977F7">
        <w:rPr>
          <w:rFonts w:asciiTheme="majorHAnsi" w:hAnsiTheme="majorHAnsi"/>
          <w:w w:val="99"/>
          <w:sz w:val="20"/>
          <w:szCs w:val="20"/>
        </w:rPr>
        <w:t>і</w:t>
      </w:r>
      <w:r w:rsidRPr="000977F7">
        <w:rPr>
          <w:rFonts w:asciiTheme="majorHAnsi" w:hAnsiTheme="majorHAnsi"/>
          <w:spacing w:val="2"/>
          <w:sz w:val="20"/>
          <w:szCs w:val="20"/>
        </w:rPr>
        <w:t xml:space="preserve"> </w:t>
      </w:r>
      <w:r w:rsidRPr="000977F7">
        <w:rPr>
          <w:rFonts w:asciiTheme="majorHAnsi" w:hAnsiTheme="majorHAnsi"/>
          <w:spacing w:val="1"/>
          <w:w w:val="99"/>
          <w:sz w:val="20"/>
          <w:szCs w:val="20"/>
        </w:rPr>
        <w:t>3</w:t>
      </w:r>
      <w:r w:rsidRPr="000977F7">
        <w:rPr>
          <w:rFonts w:asciiTheme="majorHAnsi" w:hAnsiTheme="majorHAnsi"/>
          <w:w w:val="99"/>
          <w:sz w:val="20"/>
          <w:szCs w:val="20"/>
        </w:rPr>
        <w:t>.1</w:t>
      </w:r>
      <w:r w:rsidRPr="000977F7">
        <w:rPr>
          <w:rFonts w:asciiTheme="majorHAnsi" w:hAnsiTheme="majorHAnsi"/>
          <w:spacing w:val="3"/>
          <w:sz w:val="20"/>
          <w:szCs w:val="20"/>
        </w:rPr>
        <w:t xml:space="preserve"> </w:t>
      </w:r>
      <w:r w:rsidRPr="000977F7">
        <w:rPr>
          <w:rFonts w:asciiTheme="majorHAnsi" w:hAnsiTheme="majorHAnsi"/>
          <w:w w:val="99"/>
          <w:sz w:val="20"/>
          <w:szCs w:val="20"/>
        </w:rPr>
        <w:t>стат</w:t>
      </w:r>
      <w:r w:rsidRPr="000977F7">
        <w:rPr>
          <w:rFonts w:asciiTheme="majorHAnsi" w:hAnsiTheme="majorHAnsi"/>
          <w:spacing w:val="-2"/>
          <w:w w:val="99"/>
          <w:sz w:val="20"/>
          <w:szCs w:val="20"/>
        </w:rPr>
        <w:t>т</w:t>
      </w:r>
      <w:r w:rsidRPr="000977F7">
        <w:rPr>
          <w:rFonts w:asciiTheme="majorHAnsi" w:hAnsiTheme="majorHAnsi"/>
          <w:w w:val="99"/>
          <w:sz w:val="20"/>
          <w:szCs w:val="20"/>
        </w:rPr>
        <w:t>і</w:t>
      </w:r>
      <w:r w:rsidRPr="000977F7">
        <w:rPr>
          <w:rFonts w:asciiTheme="majorHAnsi" w:hAnsiTheme="majorHAnsi"/>
          <w:spacing w:val="4"/>
          <w:sz w:val="20"/>
          <w:szCs w:val="20"/>
        </w:rPr>
        <w:t xml:space="preserve"> </w:t>
      </w:r>
      <w:r w:rsidRPr="000977F7">
        <w:rPr>
          <w:rFonts w:asciiTheme="majorHAnsi" w:hAnsiTheme="majorHAnsi"/>
          <w:spacing w:val="-2"/>
          <w:w w:val="44"/>
          <w:sz w:val="20"/>
          <w:szCs w:val="20"/>
        </w:rPr>
        <w:t>―</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и</w:t>
      </w:r>
      <w:r w:rsidRPr="000977F7">
        <w:rPr>
          <w:rFonts w:asciiTheme="majorHAnsi" w:hAnsiTheme="majorHAnsi"/>
          <w:spacing w:val="1"/>
          <w:w w:val="99"/>
          <w:sz w:val="20"/>
          <w:szCs w:val="20"/>
        </w:rPr>
        <w:t>мо</w:t>
      </w:r>
      <w:r w:rsidRPr="000977F7">
        <w:rPr>
          <w:rFonts w:asciiTheme="majorHAnsi" w:hAnsiTheme="majorHAnsi"/>
          <w:spacing w:val="2"/>
          <w:w w:val="99"/>
          <w:sz w:val="20"/>
          <w:szCs w:val="20"/>
        </w:rPr>
        <w:t>г</w:t>
      </w:r>
      <w:r w:rsidRPr="000977F7">
        <w:rPr>
          <w:rFonts w:asciiTheme="majorHAnsi" w:hAnsiTheme="majorHAnsi"/>
          <w:w w:val="99"/>
          <w:sz w:val="20"/>
          <w:szCs w:val="20"/>
        </w:rPr>
        <w:t>и</w:t>
      </w:r>
      <w:r w:rsidRPr="000977F7">
        <w:rPr>
          <w:rFonts w:asciiTheme="majorHAnsi" w:hAnsiTheme="majorHAnsi"/>
          <w:spacing w:val="3"/>
          <w:sz w:val="20"/>
          <w:szCs w:val="20"/>
        </w:rPr>
        <w:t xml:space="preserve"> </w:t>
      </w:r>
      <w:r w:rsidRPr="000977F7">
        <w:rPr>
          <w:rFonts w:asciiTheme="majorHAnsi" w:hAnsiTheme="majorHAnsi"/>
          <w:w w:val="99"/>
          <w:sz w:val="20"/>
          <w:szCs w:val="20"/>
        </w:rPr>
        <w:t>до</w:t>
      </w:r>
      <w:r w:rsidRPr="000977F7">
        <w:rPr>
          <w:rFonts w:asciiTheme="majorHAnsi" w:hAnsiTheme="majorHAnsi"/>
          <w:spacing w:val="3"/>
          <w:sz w:val="20"/>
          <w:szCs w:val="20"/>
        </w:rPr>
        <w:t xml:space="preserve"> </w:t>
      </w:r>
      <w:r w:rsidRPr="000977F7">
        <w:rPr>
          <w:rFonts w:asciiTheme="majorHAnsi" w:hAnsiTheme="majorHAnsi"/>
          <w:w w:val="99"/>
          <w:sz w:val="20"/>
          <w:szCs w:val="20"/>
        </w:rPr>
        <w:t>с</w:t>
      </w:r>
      <w:r w:rsidRPr="000977F7">
        <w:rPr>
          <w:rFonts w:asciiTheme="majorHAnsi" w:hAnsiTheme="majorHAnsi"/>
          <w:spacing w:val="-1"/>
          <w:w w:val="99"/>
          <w:sz w:val="20"/>
          <w:szCs w:val="20"/>
        </w:rPr>
        <w:t>и</w:t>
      </w:r>
      <w:r w:rsidRPr="000977F7">
        <w:rPr>
          <w:rFonts w:asciiTheme="majorHAnsi" w:hAnsiTheme="majorHAnsi"/>
          <w:w w:val="99"/>
          <w:sz w:val="20"/>
          <w:szCs w:val="20"/>
        </w:rPr>
        <w:t>сте</w:t>
      </w:r>
      <w:r w:rsidRPr="000977F7">
        <w:rPr>
          <w:rFonts w:asciiTheme="majorHAnsi" w:hAnsiTheme="majorHAnsi"/>
          <w:spacing w:val="1"/>
          <w:w w:val="99"/>
          <w:sz w:val="20"/>
          <w:szCs w:val="20"/>
        </w:rPr>
        <w:t>м</w:t>
      </w:r>
      <w:r w:rsidRPr="000977F7">
        <w:rPr>
          <w:rFonts w:asciiTheme="majorHAnsi" w:hAnsiTheme="majorHAnsi"/>
          <w:w w:val="99"/>
          <w:sz w:val="20"/>
          <w:szCs w:val="20"/>
        </w:rPr>
        <w:t>и</w:t>
      </w:r>
      <w:r w:rsidRPr="000977F7">
        <w:rPr>
          <w:rFonts w:asciiTheme="majorHAnsi" w:hAnsiTheme="majorHAnsi"/>
          <w:spacing w:val="6"/>
          <w:sz w:val="20"/>
          <w:szCs w:val="20"/>
        </w:rPr>
        <w:t xml:space="preserve"> </w:t>
      </w:r>
      <w:r w:rsidRPr="000977F7">
        <w:rPr>
          <w:rFonts w:asciiTheme="majorHAnsi" w:hAnsiTheme="majorHAnsi"/>
          <w:spacing w:val="-2"/>
          <w:w w:val="99"/>
          <w:sz w:val="20"/>
          <w:szCs w:val="20"/>
        </w:rPr>
        <w:t>уп</w:t>
      </w:r>
      <w:r w:rsidRPr="000977F7">
        <w:rPr>
          <w:rFonts w:asciiTheme="majorHAnsi" w:hAnsiTheme="majorHAnsi"/>
          <w:spacing w:val="1"/>
          <w:w w:val="99"/>
          <w:sz w:val="20"/>
          <w:szCs w:val="20"/>
        </w:rPr>
        <w:t>р</w:t>
      </w:r>
      <w:r w:rsidRPr="000977F7">
        <w:rPr>
          <w:rFonts w:asciiTheme="majorHAnsi" w:hAnsiTheme="majorHAnsi"/>
          <w:w w:val="99"/>
          <w:sz w:val="20"/>
          <w:szCs w:val="20"/>
        </w:rPr>
        <w:t>ав</w:t>
      </w:r>
      <w:r w:rsidRPr="000977F7">
        <w:rPr>
          <w:rFonts w:asciiTheme="majorHAnsi" w:hAnsiTheme="majorHAnsi"/>
          <w:spacing w:val="1"/>
          <w:w w:val="99"/>
          <w:sz w:val="20"/>
          <w:szCs w:val="20"/>
        </w:rPr>
        <w:t>л</w:t>
      </w:r>
      <w:r w:rsidRPr="000977F7">
        <w:rPr>
          <w:rFonts w:asciiTheme="majorHAnsi" w:hAnsiTheme="majorHAnsi"/>
          <w:w w:val="99"/>
          <w:sz w:val="20"/>
          <w:szCs w:val="20"/>
        </w:rPr>
        <w:t>і</w:t>
      </w:r>
      <w:r w:rsidRPr="000977F7">
        <w:rPr>
          <w:rFonts w:asciiTheme="majorHAnsi" w:hAnsiTheme="majorHAnsi"/>
          <w:spacing w:val="1"/>
          <w:w w:val="99"/>
          <w:sz w:val="20"/>
          <w:szCs w:val="20"/>
        </w:rPr>
        <w:t>н</w:t>
      </w:r>
      <w:r w:rsidRPr="000977F7">
        <w:rPr>
          <w:rFonts w:asciiTheme="majorHAnsi" w:hAnsiTheme="majorHAnsi"/>
          <w:spacing w:val="-2"/>
          <w:w w:val="99"/>
          <w:sz w:val="20"/>
          <w:szCs w:val="20"/>
        </w:rPr>
        <w:t>н</w:t>
      </w:r>
      <w:r w:rsidRPr="000977F7">
        <w:rPr>
          <w:rFonts w:asciiTheme="majorHAnsi" w:hAnsiTheme="majorHAnsi"/>
          <w:w w:val="99"/>
          <w:sz w:val="20"/>
          <w:szCs w:val="20"/>
        </w:rPr>
        <w:t xml:space="preserve">я </w:t>
      </w:r>
      <w:r w:rsidRPr="000977F7">
        <w:rPr>
          <w:rFonts w:asciiTheme="majorHAnsi" w:hAnsiTheme="majorHAnsi"/>
          <w:sz w:val="20"/>
          <w:szCs w:val="20"/>
        </w:rPr>
        <w:t>навколишнім</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середовищем‖</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ДСТУ</w:t>
      </w:r>
      <w:r w:rsidRPr="000977F7">
        <w:rPr>
          <w:rFonts w:asciiTheme="majorHAnsi" w:hAnsiTheme="majorHAnsi"/>
          <w:spacing w:val="1"/>
          <w:sz w:val="20"/>
          <w:szCs w:val="20"/>
        </w:rPr>
        <w:t xml:space="preserve"> </w:t>
      </w:r>
      <w:r w:rsidRPr="000977F7">
        <w:rPr>
          <w:rFonts w:asciiTheme="majorHAnsi" w:hAnsiTheme="majorHAnsi"/>
          <w:sz w:val="20"/>
          <w:szCs w:val="20"/>
        </w:rPr>
        <w:t>ISO</w:t>
      </w:r>
      <w:r w:rsidRPr="000977F7">
        <w:rPr>
          <w:rFonts w:asciiTheme="majorHAnsi" w:hAnsiTheme="majorHAnsi"/>
          <w:spacing w:val="1"/>
          <w:sz w:val="20"/>
          <w:szCs w:val="20"/>
        </w:rPr>
        <w:t xml:space="preserve"> </w:t>
      </w:r>
      <w:r w:rsidRPr="000977F7">
        <w:rPr>
          <w:rFonts w:asciiTheme="majorHAnsi" w:hAnsiTheme="majorHAnsi"/>
          <w:sz w:val="20"/>
          <w:szCs w:val="20"/>
        </w:rPr>
        <w:t>14001-97</w:t>
      </w:r>
      <w:r w:rsidRPr="000977F7">
        <w:rPr>
          <w:rFonts w:asciiTheme="majorHAnsi" w:hAnsiTheme="majorHAnsi"/>
          <w:spacing w:val="1"/>
          <w:sz w:val="20"/>
          <w:szCs w:val="20"/>
        </w:rPr>
        <w:t xml:space="preserve"> </w:t>
      </w:r>
      <w:r w:rsidRPr="000977F7">
        <w:rPr>
          <w:rFonts w:asciiTheme="majorHAnsi" w:hAnsiTheme="majorHAnsi"/>
          <w:sz w:val="20"/>
          <w:szCs w:val="20"/>
        </w:rPr>
        <w:t>встановлюється вимога до впровадження в організації</w:t>
      </w:r>
      <w:r w:rsidRPr="000977F7">
        <w:rPr>
          <w:rFonts w:asciiTheme="majorHAnsi" w:hAnsiTheme="majorHAnsi"/>
          <w:spacing w:val="-47"/>
          <w:sz w:val="20"/>
          <w:szCs w:val="20"/>
        </w:rPr>
        <w:t xml:space="preserve"> </w:t>
      </w:r>
      <w:r w:rsidRPr="000977F7">
        <w:rPr>
          <w:rFonts w:asciiTheme="majorHAnsi" w:hAnsiTheme="majorHAnsi"/>
          <w:sz w:val="20"/>
          <w:szCs w:val="20"/>
        </w:rPr>
        <w:t>процесу для визначення суттєвих екологічних аспектів, яким повинен бути наданий пріоритет у системі</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навколишнім</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середовищем.</w:t>
      </w:r>
      <w:r w:rsidRPr="000977F7">
        <w:rPr>
          <w:rFonts w:asciiTheme="majorHAnsi" w:hAnsiTheme="majorHAnsi"/>
          <w:spacing w:val="1"/>
          <w:sz w:val="20"/>
          <w:szCs w:val="20"/>
        </w:rPr>
        <w:t xml:space="preserve"> </w:t>
      </w:r>
      <w:r w:rsidRPr="000977F7">
        <w:rPr>
          <w:rFonts w:asciiTheme="majorHAnsi" w:hAnsiTheme="majorHAnsi"/>
          <w:sz w:val="20"/>
          <w:szCs w:val="20"/>
        </w:rPr>
        <w:t>Цей</w:t>
      </w:r>
      <w:r w:rsidRPr="000977F7">
        <w:rPr>
          <w:rFonts w:asciiTheme="majorHAnsi" w:hAnsiTheme="majorHAnsi"/>
          <w:spacing w:val="1"/>
          <w:sz w:val="20"/>
          <w:szCs w:val="20"/>
        </w:rPr>
        <w:t xml:space="preserve"> </w:t>
      </w:r>
      <w:r w:rsidRPr="000977F7">
        <w:rPr>
          <w:rFonts w:asciiTheme="majorHAnsi" w:hAnsiTheme="majorHAnsi"/>
          <w:sz w:val="20"/>
          <w:szCs w:val="20"/>
        </w:rPr>
        <w:t>процес</w:t>
      </w:r>
      <w:r w:rsidRPr="000977F7">
        <w:rPr>
          <w:rFonts w:asciiTheme="majorHAnsi" w:hAnsiTheme="majorHAnsi"/>
          <w:spacing w:val="1"/>
          <w:sz w:val="20"/>
          <w:szCs w:val="20"/>
        </w:rPr>
        <w:t xml:space="preserve"> </w:t>
      </w:r>
      <w:r w:rsidRPr="000977F7">
        <w:rPr>
          <w:rFonts w:asciiTheme="majorHAnsi" w:hAnsiTheme="majorHAnsi"/>
          <w:sz w:val="20"/>
          <w:szCs w:val="20"/>
        </w:rPr>
        <w:t>повинен</w:t>
      </w:r>
      <w:r w:rsidRPr="000977F7">
        <w:rPr>
          <w:rFonts w:asciiTheme="majorHAnsi" w:hAnsiTheme="majorHAnsi"/>
          <w:spacing w:val="1"/>
          <w:sz w:val="20"/>
          <w:szCs w:val="20"/>
        </w:rPr>
        <w:t xml:space="preserve"> </w:t>
      </w:r>
      <w:r w:rsidRPr="000977F7">
        <w:rPr>
          <w:rFonts w:asciiTheme="majorHAnsi" w:hAnsiTheme="majorHAnsi"/>
          <w:sz w:val="20"/>
          <w:szCs w:val="20"/>
        </w:rPr>
        <w:t>враховувати</w:t>
      </w:r>
      <w:r w:rsidRPr="000977F7">
        <w:rPr>
          <w:rFonts w:asciiTheme="majorHAnsi" w:hAnsiTheme="majorHAnsi"/>
          <w:spacing w:val="1"/>
          <w:sz w:val="20"/>
          <w:szCs w:val="20"/>
        </w:rPr>
        <w:t xml:space="preserve"> </w:t>
      </w:r>
      <w:r w:rsidRPr="000977F7">
        <w:rPr>
          <w:rFonts w:asciiTheme="majorHAnsi" w:hAnsiTheme="majorHAnsi"/>
          <w:sz w:val="20"/>
          <w:szCs w:val="20"/>
        </w:rPr>
        <w:t>матеріальні</w:t>
      </w:r>
      <w:r w:rsidRPr="000977F7">
        <w:rPr>
          <w:rFonts w:asciiTheme="majorHAnsi" w:hAnsiTheme="majorHAnsi"/>
          <w:spacing w:val="1"/>
          <w:sz w:val="20"/>
          <w:szCs w:val="20"/>
        </w:rPr>
        <w:t xml:space="preserve"> </w:t>
      </w:r>
      <w:r w:rsidRPr="000977F7">
        <w:rPr>
          <w:rFonts w:asciiTheme="majorHAnsi" w:hAnsiTheme="majorHAnsi"/>
          <w:sz w:val="20"/>
          <w:szCs w:val="20"/>
        </w:rPr>
        <w:t>витрати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період</w:t>
      </w:r>
      <w:r w:rsidRPr="000977F7">
        <w:rPr>
          <w:rFonts w:asciiTheme="majorHAnsi" w:hAnsiTheme="majorHAnsi"/>
          <w:spacing w:val="-47"/>
          <w:sz w:val="20"/>
          <w:szCs w:val="20"/>
        </w:rPr>
        <w:t xml:space="preserve"> </w:t>
      </w:r>
      <w:r w:rsidRPr="000977F7">
        <w:rPr>
          <w:rFonts w:asciiTheme="majorHAnsi" w:hAnsiTheme="majorHAnsi"/>
          <w:sz w:val="20"/>
          <w:szCs w:val="20"/>
        </w:rPr>
        <w:t>часу на проведення аналізу і отримання достовірних</w:t>
      </w:r>
      <w:r w:rsidRPr="000977F7">
        <w:rPr>
          <w:rFonts w:asciiTheme="majorHAnsi" w:hAnsiTheme="majorHAnsi"/>
          <w:spacing w:val="1"/>
          <w:sz w:val="20"/>
          <w:szCs w:val="20"/>
        </w:rPr>
        <w:t xml:space="preserve"> </w:t>
      </w:r>
      <w:r w:rsidRPr="000977F7">
        <w:rPr>
          <w:rFonts w:asciiTheme="majorHAnsi" w:hAnsiTheme="majorHAnsi"/>
          <w:sz w:val="20"/>
          <w:szCs w:val="20"/>
        </w:rPr>
        <w:t>даних. Інформація, яка вже нагромаджена для регулювання чи інших цілей,</w:t>
      </w:r>
      <w:r w:rsidRPr="000977F7">
        <w:rPr>
          <w:rFonts w:asciiTheme="majorHAnsi" w:hAnsiTheme="majorHAnsi"/>
          <w:spacing w:val="1"/>
          <w:sz w:val="20"/>
          <w:szCs w:val="20"/>
        </w:rPr>
        <w:t xml:space="preserve"> </w:t>
      </w:r>
      <w:r w:rsidRPr="000977F7">
        <w:rPr>
          <w:rFonts w:asciiTheme="majorHAnsi" w:hAnsiTheme="majorHAnsi"/>
          <w:sz w:val="20"/>
          <w:szCs w:val="20"/>
        </w:rPr>
        <w:t>може бути використана в</w:t>
      </w:r>
      <w:r w:rsidRPr="000977F7">
        <w:rPr>
          <w:rFonts w:asciiTheme="majorHAnsi" w:hAnsiTheme="majorHAnsi"/>
          <w:spacing w:val="1"/>
          <w:sz w:val="20"/>
          <w:szCs w:val="20"/>
        </w:rPr>
        <w:t xml:space="preserve"> </w:t>
      </w:r>
      <w:r w:rsidRPr="000977F7">
        <w:rPr>
          <w:rFonts w:asciiTheme="majorHAnsi" w:hAnsiTheme="majorHAnsi"/>
          <w:sz w:val="20"/>
          <w:szCs w:val="20"/>
        </w:rPr>
        <w:t>цьому процесі. Організація повинна також враховувати ступінь свого реального контролю за екологічними</w:t>
      </w:r>
      <w:r w:rsidRPr="000977F7">
        <w:rPr>
          <w:rFonts w:asciiTheme="majorHAnsi" w:hAnsiTheme="majorHAnsi"/>
          <w:spacing w:val="1"/>
          <w:sz w:val="20"/>
          <w:szCs w:val="20"/>
        </w:rPr>
        <w:t xml:space="preserve"> </w:t>
      </w:r>
      <w:r w:rsidRPr="000977F7">
        <w:rPr>
          <w:rFonts w:asciiTheme="majorHAnsi" w:hAnsiTheme="majorHAnsi"/>
          <w:sz w:val="20"/>
          <w:szCs w:val="20"/>
        </w:rPr>
        <w:t>аспектами, що розглядаються. Організації слід визначити, що являють собою її екологічні аспекти, враховуючи входи та виходи, пов’язані з її теперішньою та</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відповідною минулою діяльністю, продукцією та(чи)</w:t>
      </w:r>
      <w:r w:rsidRPr="000977F7">
        <w:rPr>
          <w:rFonts w:asciiTheme="majorHAnsi" w:hAnsiTheme="majorHAnsi"/>
          <w:spacing w:val="1"/>
          <w:sz w:val="20"/>
          <w:szCs w:val="20"/>
        </w:rPr>
        <w:t xml:space="preserve"> </w:t>
      </w:r>
      <w:r w:rsidRPr="000977F7">
        <w:rPr>
          <w:rFonts w:asciiTheme="majorHAnsi" w:hAnsiTheme="majorHAnsi"/>
          <w:sz w:val="20"/>
          <w:szCs w:val="20"/>
        </w:rPr>
        <w:t>послугами.</w:t>
      </w:r>
    </w:p>
    <w:p w14:paraId="64084F9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яка не має системи управління навколишнім середовищем, повинна спочатку встановити</w:t>
      </w:r>
      <w:r w:rsidRPr="000977F7">
        <w:rPr>
          <w:rFonts w:asciiTheme="majorHAnsi" w:hAnsiTheme="majorHAnsi"/>
          <w:spacing w:val="1"/>
          <w:sz w:val="20"/>
          <w:szCs w:val="20"/>
        </w:rPr>
        <w:t xml:space="preserve"> </w:t>
      </w:r>
      <w:r w:rsidRPr="000977F7">
        <w:rPr>
          <w:rFonts w:asciiTheme="majorHAnsi" w:hAnsiTheme="majorHAnsi"/>
          <w:sz w:val="20"/>
          <w:szCs w:val="20"/>
        </w:rPr>
        <w:t>своє реальне становище стосовно впливу на навколишнє середовище за допомогою відповідної перевірки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аналізу.</w:t>
      </w:r>
    </w:p>
    <w:p w14:paraId="2DE2957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Мета аналізу повинна полягати в тому, щоб розглянути всі екологічні аспекти організації і визначити</w:t>
      </w:r>
      <w:r w:rsidRPr="000977F7">
        <w:rPr>
          <w:rFonts w:asciiTheme="majorHAnsi" w:hAnsiTheme="majorHAnsi"/>
          <w:spacing w:val="1"/>
          <w:sz w:val="20"/>
          <w:szCs w:val="20"/>
        </w:rPr>
        <w:t xml:space="preserve"> </w:t>
      </w:r>
      <w:r w:rsidRPr="000977F7">
        <w:rPr>
          <w:rFonts w:asciiTheme="majorHAnsi" w:hAnsiTheme="majorHAnsi"/>
          <w:sz w:val="20"/>
          <w:szCs w:val="20"/>
        </w:rPr>
        <w:t>основи для створення системи управління навколишнім середовищем.</w:t>
      </w:r>
    </w:p>
    <w:p w14:paraId="688D04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Організації, в яких функціонує система управління</w:t>
      </w:r>
      <w:r w:rsidRPr="000977F7">
        <w:rPr>
          <w:rFonts w:asciiTheme="majorHAnsi" w:hAnsiTheme="majorHAnsi"/>
          <w:spacing w:val="-47"/>
          <w:sz w:val="20"/>
          <w:szCs w:val="20"/>
        </w:rPr>
        <w:t xml:space="preserve"> </w:t>
      </w:r>
      <w:r w:rsidRPr="000977F7">
        <w:rPr>
          <w:rFonts w:asciiTheme="majorHAnsi" w:hAnsiTheme="majorHAnsi"/>
          <w:sz w:val="20"/>
          <w:szCs w:val="20"/>
        </w:rPr>
        <w:t>навколишнім середовищем, не мають потреби проводити</w:t>
      </w:r>
      <w:r w:rsidRPr="000977F7">
        <w:rPr>
          <w:rFonts w:asciiTheme="majorHAnsi" w:hAnsiTheme="majorHAnsi"/>
          <w:spacing w:val="-2"/>
          <w:sz w:val="20"/>
          <w:szCs w:val="20"/>
        </w:rPr>
        <w:t xml:space="preserve"> </w:t>
      </w:r>
      <w:r w:rsidRPr="000977F7">
        <w:rPr>
          <w:rFonts w:asciiTheme="majorHAnsi" w:hAnsiTheme="majorHAnsi"/>
          <w:sz w:val="20"/>
          <w:szCs w:val="20"/>
        </w:rPr>
        <w:t>такий</w:t>
      </w:r>
      <w:r w:rsidRPr="000977F7">
        <w:rPr>
          <w:rFonts w:asciiTheme="majorHAnsi" w:hAnsiTheme="majorHAnsi"/>
          <w:spacing w:val="-1"/>
          <w:sz w:val="20"/>
          <w:szCs w:val="20"/>
        </w:rPr>
        <w:t xml:space="preserve"> </w:t>
      </w:r>
      <w:r w:rsidRPr="000977F7">
        <w:rPr>
          <w:rFonts w:asciiTheme="majorHAnsi" w:hAnsiTheme="majorHAnsi"/>
          <w:sz w:val="20"/>
          <w:szCs w:val="20"/>
        </w:rPr>
        <w:t>аналіз.</w:t>
      </w:r>
    </w:p>
    <w:p w14:paraId="04E7BA3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Аналіз</w:t>
      </w:r>
      <w:r w:rsidRPr="000977F7">
        <w:rPr>
          <w:rFonts w:asciiTheme="majorHAnsi" w:hAnsiTheme="majorHAnsi"/>
          <w:spacing w:val="-5"/>
          <w:sz w:val="20"/>
          <w:szCs w:val="20"/>
        </w:rPr>
        <w:t xml:space="preserve"> </w:t>
      </w:r>
      <w:r w:rsidRPr="000977F7">
        <w:rPr>
          <w:rFonts w:asciiTheme="majorHAnsi" w:hAnsiTheme="majorHAnsi"/>
          <w:sz w:val="20"/>
          <w:szCs w:val="20"/>
        </w:rPr>
        <w:t>повинен</w:t>
      </w:r>
      <w:r w:rsidRPr="000977F7">
        <w:rPr>
          <w:rFonts w:asciiTheme="majorHAnsi" w:hAnsiTheme="majorHAnsi"/>
          <w:spacing w:val="-5"/>
          <w:sz w:val="20"/>
          <w:szCs w:val="20"/>
        </w:rPr>
        <w:t xml:space="preserve"> </w:t>
      </w:r>
      <w:r w:rsidRPr="000977F7">
        <w:rPr>
          <w:rFonts w:asciiTheme="majorHAnsi" w:hAnsiTheme="majorHAnsi"/>
          <w:sz w:val="20"/>
          <w:szCs w:val="20"/>
        </w:rPr>
        <w:t>охоплювати</w:t>
      </w:r>
      <w:r w:rsidRPr="000977F7">
        <w:rPr>
          <w:rFonts w:asciiTheme="majorHAnsi" w:hAnsiTheme="majorHAnsi"/>
          <w:spacing w:val="-3"/>
          <w:sz w:val="20"/>
          <w:szCs w:val="20"/>
        </w:rPr>
        <w:t xml:space="preserve"> </w:t>
      </w:r>
      <w:r w:rsidRPr="000977F7">
        <w:rPr>
          <w:rFonts w:asciiTheme="majorHAnsi" w:hAnsiTheme="majorHAnsi"/>
          <w:sz w:val="20"/>
          <w:szCs w:val="20"/>
        </w:rPr>
        <w:t>чотири</w:t>
      </w:r>
      <w:r w:rsidRPr="000977F7">
        <w:rPr>
          <w:rFonts w:asciiTheme="majorHAnsi" w:hAnsiTheme="majorHAnsi"/>
          <w:spacing w:val="-5"/>
          <w:sz w:val="20"/>
          <w:szCs w:val="20"/>
        </w:rPr>
        <w:t xml:space="preserve"> </w:t>
      </w:r>
      <w:r w:rsidRPr="000977F7">
        <w:rPr>
          <w:rFonts w:asciiTheme="majorHAnsi" w:hAnsiTheme="majorHAnsi"/>
          <w:sz w:val="20"/>
          <w:szCs w:val="20"/>
        </w:rPr>
        <w:t>головні</w:t>
      </w:r>
      <w:r w:rsidRPr="000977F7">
        <w:rPr>
          <w:rFonts w:asciiTheme="majorHAnsi" w:hAnsiTheme="majorHAnsi"/>
          <w:spacing w:val="-5"/>
          <w:sz w:val="20"/>
          <w:szCs w:val="20"/>
        </w:rPr>
        <w:t xml:space="preserve"> </w:t>
      </w:r>
      <w:r w:rsidRPr="000977F7">
        <w:rPr>
          <w:rFonts w:asciiTheme="majorHAnsi" w:hAnsiTheme="majorHAnsi"/>
          <w:sz w:val="20"/>
          <w:szCs w:val="20"/>
        </w:rPr>
        <w:t>сфери:</w:t>
      </w:r>
    </w:p>
    <w:p w14:paraId="48DF18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 вимоги</w:t>
      </w:r>
      <w:r w:rsidRPr="000977F7">
        <w:rPr>
          <w:rFonts w:asciiTheme="majorHAnsi" w:hAnsiTheme="majorHAnsi"/>
          <w:spacing w:val="-3"/>
          <w:sz w:val="20"/>
          <w:szCs w:val="20"/>
        </w:rPr>
        <w:t xml:space="preserve"> </w:t>
      </w:r>
      <w:r w:rsidRPr="000977F7">
        <w:rPr>
          <w:rFonts w:asciiTheme="majorHAnsi" w:hAnsiTheme="majorHAnsi"/>
          <w:sz w:val="20"/>
          <w:szCs w:val="20"/>
        </w:rPr>
        <w:t>законодавчих</w:t>
      </w:r>
      <w:r w:rsidRPr="000977F7">
        <w:rPr>
          <w:rFonts w:asciiTheme="majorHAnsi" w:hAnsiTheme="majorHAnsi"/>
          <w:spacing w:val="-3"/>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нормативних</w:t>
      </w:r>
      <w:r w:rsidRPr="000977F7">
        <w:rPr>
          <w:rFonts w:asciiTheme="majorHAnsi" w:hAnsiTheme="majorHAnsi"/>
          <w:spacing w:val="-3"/>
          <w:sz w:val="20"/>
          <w:szCs w:val="20"/>
        </w:rPr>
        <w:t xml:space="preserve"> </w:t>
      </w:r>
      <w:r w:rsidRPr="000977F7">
        <w:rPr>
          <w:rFonts w:asciiTheme="majorHAnsi" w:hAnsiTheme="majorHAnsi"/>
          <w:sz w:val="20"/>
          <w:szCs w:val="20"/>
        </w:rPr>
        <w:t>актів;</w:t>
      </w:r>
    </w:p>
    <w:p w14:paraId="31CB69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w:t>
      </w:r>
      <w:r w:rsidRPr="000977F7">
        <w:rPr>
          <w:rFonts w:asciiTheme="majorHAnsi" w:hAnsiTheme="majorHAnsi"/>
          <w:spacing w:val="-4"/>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4"/>
          <w:sz w:val="20"/>
          <w:szCs w:val="20"/>
        </w:rPr>
        <w:t xml:space="preserve"> </w:t>
      </w:r>
      <w:r w:rsidRPr="000977F7">
        <w:rPr>
          <w:rFonts w:asciiTheme="majorHAnsi" w:hAnsiTheme="majorHAnsi"/>
          <w:sz w:val="20"/>
          <w:szCs w:val="20"/>
        </w:rPr>
        <w:t>суттєвих</w:t>
      </w:r>
      <w:r w:rsidRPr="000977F7">
        <w:rPr>
          <w:rFonts w:asciiTheme="majorHAnsi" w:hAnsiTheme="majorHAnsi"/>
          <w:spacing w:val="-4"/>
          <w:sz w:val="20"/>
          <w:szCs w:val="20"/>
        </w:rPr>
        <w:t xml:space="preserve"> </w:t>
      </w:r>
      <w:r w:rsidRPr="000977F7">
        <w:rPr>
          <w:rFonts w:asciiTheme="majorHAnsi" w:hAnsiTheme="majorHAnsi"/>
          <w:sz w:val="20"/>
          <w:szCs w:val="20"/>
        </w:rPr>
        <w:t>екологічних</w:t>
      </w:r>
      <w:r w:rsidRPr="000977F7">
        <w:rPr>
          <w:rFonts w:asciiTheme="majorHAnsi" w:hAnsiTheme="majorHAnsi"/>
          <w:spacing w:val="43"/>
          <w:sz w:val="20"/>
          <w:szCs w:val="20"/>
        </w:rPr>
        <w:t xml:space="preserve"> </w:t>
      </w:r>
      <w:r w:rsidRPr="000977F7">
        <w:rPr>
          <w:rFonts w:asciiTheme="majorHAnsi" w:hAnsiTheme="majorHAnsi"/>
          <w:sz w:val="20"/>
          <w:szCs w:val="20"/>
        </w:rPr>
        <w:t>аспектів;</w:t>
      </w:r>
    </w:p>
    <w:p w14:paraId="638AF4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 вивчення всіх існуючих методів та методик з</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2"/>
          <w:sz w:val="20"/>
          <w:szCs w:val="20"/>
        </w:rPr>
        <w:t xml:space="preserve"> </w:t>
      </w:r>
      <w:r w:rsidRPr="000977F7">
        <w:rPr>
          <w:rFonts w:asciiTheme="majorHAnsi" w:hAnsiTheme="majorHAnsi"/>
          <w:sz w:val="20"/>
          <w:szCs w:val="20"/>
        </w:rPr>
        <w:t>навколишнім</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середовищем;</w:t>
      </w:r>
    </w:p>
    <w:p w14:paraId="64C7B4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w:t>
      </w:r>
      <w:r w:rsidRPr="000977F7">
        <w:rPr>
          <w:rFonts w:asciiTheme="majorHAnsi" w:hAnsiTheme="majorHAnsi"/>
          <w:spacing w:val="-2"/>
          <w:sz w:val="20"/>
          <w:szCs w:val="20"/>
        </w:rPr>
        <w:t xml:space="preserve"> </w:t>
      </w:r>
      <w:r w:rsidRPr="000977F7">
        <w:rPr>
          <w:rFonts w:asciiTheme="majorHAnsi" w:hAnsiTheme="majorHAnsi"/>
          <w:sz w:val="20"/>
          <w:szCs w:val="20"/>
        </w:rPr>
        <w:t>оцінювання</w:t>
      </w:r>
      <w:r w:rsidRPr="000977F7">
        <w:rPr>
          <w:rFonts w:asciiTheme="majorHAnsi" w:hAnsiTheme="majorHAnsi"/>
          <w:spacing w:val="-5"/>
          <w:sz w:val="20"/>
          <w:szCs w:val="20"/>
        </w:rPr>
        <w:t xml:space="preserve"> </w:t>
      </w:r>
      <w:r w:rsidRPr="000977F7">
        <w:rPr>
          <w:rFonts w:asciiTheme="majorHAnsi" w:hAnsiTheme="majorHAnsi"/>
          <w:sz w:val="20"/>
          <w:szCs w:val="20"/>
        </w:rPr>
        <w:t>за</w:t>
      </w:r>
      <w:r w:rsidRPr="000977F7">
        <w:rPr>
          <w:rFonts w:asciiTheme="majorHAnsi" w:hAnsiTheme="majorHAnsi"/>
          <w:spacing w:val="-3"/>
          <w:sz w:val="20"/>
          <w:szCs w:val="20"/>
        </w:rPr>
        <w:t xml:space="preserve"> </w:t>
      </w:r>
      <w:r w:rsidRPr="000977F7">
        <w:rPr>
          <w:rFonts w:asciiTheme="majorHAnsi" w:hAnsiTheme="majorHAnsi"/>
          <w:sz w:val="20"/>
          <w:szCs w:val="20"/>
        </w:rPr>
        <w:t>принципом</w:t>
      </w:r>
      <w:r w:rsidRPr="000977F7">
        <w:rPr>
          <w:rFonts w:asciiTheme="majorHAnsi" w:hAnsiTheme="majorHAnsi"/>
          <w:spacing w:val="-2"/>
          <w:sz w:val="20"/>
          <w:szCs w:val="20"/>
        </w:rPr>
        <w:t xml:space="preserve"> </w:t>
      </w:r>
      <w:r w:rsidRPr="000977F7">
        <w:rPr>
          <w:rFonts w:asciiTheme="majorHAnsi" w:hAnsiTheme="majorHAnsi"/>
          <w:sz w:val="20"/>
          <w:szCs w:val="20"/>
        </w:rPr>
        <w:t>зворотного</w:t>
      </w:r>
      <w:r w:rsidRPr="000977F7">
        <w:rPr>
          <w:rFonts w:asciiTheme="majorHAnsi" w:hAnsiTheme="majorHAnsi"/>
          <w:spacing w:val="-4"/>
          <w:sz w:val="20"/>
          <w:szCs w:val="20"/>
        </w:rPr>
        <w:t xml:space="preserve"> </w:t>
      </w:r>
      <w:r w:rsidRPr="000977F7">
        <w:rPr>
          <w:rFonts w:asciiTheme="majorHAnsi" w:hAnsiTheme="majorHAnsi"/>
          <w:sz w:val="20"/>
          <w:szCs w:val="20"/>
        </w:rPr>
        <w:t>зв’язку</w:t>
      </w:r>
      <w:r w:rsidRPr="000977F7">
        <w:rPr>
          <w:rFonts w:asciiTheme="majorHAnsi" w:hAnsiTheme="majorHAnsi"/>
          <w:spacing w:val="-8"/>
          <w:sz w:val="20"/>
          <w:szCs w:val="20"/>
        </w:rPr>
        <w:t xml:space="preserve"> </w:t>
      </w:r>
      <w:r w:rsidRPr="000977F7">
        <w:rPr>
          <w:rFonts w:asciiTheme="majorHAnsi" w:hAnsiTheme="majorHAnsi"/>
          <w:sz w:val="20"/>
          <w:szCs w:val="20"/>
        </w:rPr>
        <w:t>ре</w:t>
      </w:r>
      <w:r w:rsidRPr="000977F7">
        <w:rPr>
          <w:rFonts w:asciiTheme="majorHAnsi" w:hAnsiTheme="majorHAnsi"/>
          <w:spacing w:val="-1"/>
          <w:sz w:val="20"/>
          <w:szCs w:val="20"/>
        </w:rPr>
        <w:t>зультатів</w:t>
      </w:r>
      <w:r w:rsidRPr="000977F7">
        <w:rPr>
          <w:rFonts w:asciiTheme="majorHAnsi" w:hAnsiTheme="majorHAnsi"/>
          <w:spacing w:val="-11"/>
          <w:sz w:val="20"/>
          <w:szCs w:val="20"/>
        </w:rPr>
        <w:t xml:space="preserve"> </w:t>
      </w:r>
      <w:r w:rsidRPr="000977F7">
        <w:rPr>
          <w:rFonts w:asciiTheme="majorHAnsi" w:hAnsiTheme="majorHAnsi"/>
          <w:spacing w:val="-1"/>
          <w:sz w:val="20"/>
          <w:szCs w:val="20"/>
        </w:rPr>
        <w:t>розслідування</w:t>
      </w:r>
      <w:r w:rsidRPr="000977F7">
        <w:rPr>
          <w:rFonts w:asciiTheme="majorHAnsi" w:hAnsiTheme="majorHAnsi"/>
          <w:spacing w:val="-10"/>
          <w:sz w:val="20"/>
          <w:szCs w:val="20"/>
        </w:rPr>
        <w:t xml:space="preserve"> </w:t>
      </w:r>
      <w:r w:rsidRPr="000977F7">
        <w:rPr>
          <w:rFonts w:asciiTheme="majorHAnsi" w:hAnsiTheme="majorHAnsi"/>
          <w:spacing w:val="-1"/>
          <w:sz w:val="20"/>
          <w:szCs w:val="20"/>
        </w:rPr>
        <w:t>минулих</w:t>
      </w:r>
      <w:r w:rsidRPr="000977F7">
        <w:rPr>
          <w:rFonts w:asciiTheme="majorHAnsi" w:hAnsiTheme="majorHAnsi"/>
          <w:spacing w:val="-11"/>
          <w:sz w:val="20"/>
          <w:szCs w:val="20"/>
        </w:rPr>
        <w:t xml:space="preserve"> </w:t>
      </w:r>
      <w:r w:rsidRPr="000977F7">
        <w:rPr>
          <w:rFonts w:asciiTheme="majorHAnsi" w:hAnsiTheme="majorHAnsi"/>
          <w:spacing w:val="-1"/>
          <w:sz w:val="20"/>
          <w:szCs w:val="20"/>
        </w:rPr>
        <w:t>аварійних</w:t>
      </w:r>
      <w:r w:rsidRPr="000977F7">
        <w:rPr>
          <w:rFonts w:asciiTheme="majorHAnsi" w:hAnsiTheme="majorHAnsi"/>
          <w:spacing w:val="-11"/>
          <w:sz w:val="20"/>
          <w:szCs w:val="20"/>
        </w:rPr>
        <w:t xml:space="preserve"> </w:t>
      </w:r>
      <w:r w:rsidRPr="000977F7">
        <w:rPr>
          <w:rFonts w:asciiTheme="majorHAnsi" w:hAnsiTheme="majorHAnsi"/>
          <w:spacing w:val="-1"/>
          <w:sz w:val="20"/>
          <w:szCs w:val="20"/>
        </w:rPr>
        <w:t>ситуацій.</w:t>
      </w:r>
    </w:p>
    <w:p w14:paraId="5C66658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всіх випадках слід старанно розглянути нормальні режими роботи організації та режими з відхиленням від норми, а також потенційно можливі аварійні</w:t>
      </w:r>
      <w:r w:rsidRPr="000977F7">
        <w:rPr>
          <w:rFonts w:asciiTheme="majorHAnsi" w:hAnsiTheme="majorHAnsi"/>
          <w:spacing w:val="1"/>
          <w:sz w:val="20"/>
          <w:szCs w:val="20"/>
        </w:rPr>
        <w:t xml:space="preserve"> </w:t>
      </w:r>
      <w:r w:rsidRPr="000977F7">
        <w:rPr>
          <w:rFonts w:asciiTheme="majorHAnsi" w:hAnsiTheme="majorHAnsi"/>
          <w:sz w:val="20"/>
          <w:szCs w:val="20"/>
        </w:rPr>
        <w:t>ситуації.</w:t>
      </w:r>
    </w:p>
    <w:p w14:paraId="5F50EF5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Придатний підхід до проведення перевірки може</w:t>
      </w:r>
      <w:r w:rsidRPr="000977F7">
        <w:rPr>
          <w:rFonts w:asciiTheme="majorHAnsi" w:hAnsiTheme="majorHAnsi"/>
          <w:spacing w:val="1"/>
          <w:sz w:val="20"/>
          <w:szCs w:val="20"/>
        </w:rPr>
        <w:t xml:space="preserve"> </w:t>
      </w:r>
      <w:r w:rsidRPr="000977F7">
        <w:rPr>
          <w:rFonts w:asciiTheme="majorHAnsi" w:hAnsiTheme="majorHAnsi"/>
          <w:sz w:val="20"/>
          <w:szCs w:val="20"/>
        </w:rPr>
        <w:t>включати застосування переліків контрольних питань,</w:t>
      </w:r>
      <w:r w:rsidRPr="000977F7">
        <w:rPr>
          <w:rFonts w:asciiTheme="majorHAnsi" w:hAnsiTheme="majorHAnsi"/>
          <w:spacing w:val="-47"/>
          <w:sz w:val="20"/>
          <w:szCs w:val="20"/>
        </w:rPr>
        <w:t xml:space="preserve"> </w:t>
      </w:r>
      <w:r w:rsidRPr="000977F7">
        <w:rPr>
          <w:rFonts w:asciiTheme="majorHAnsi" w:hAnsiTheme="majorHAnsi"/>
          <w:sz w:val="20"/>
          <w:szCs w:val="20"/>
        </w:rPr>
        <w:t>опитування,</w:t>
      </w:r>
      <w:r w:rsidRPr="000977F7">
        <w:rPr>
          <w:rFonts w:asciiTheme="majorHAnsi" w:hAnsiTheme="majorHAnsi"/>
          <w:spacing w:val="1"/>
          <w:sz w:val="20"/>
          <w:szCs w:val="20"/>
        </w:rPr>
        <w:t xml:space="preserve"> </w:t>
      </w:r>
      <w:r w:rsidRPr="000977F7">
        <w:rPr>
          <w:rFonts w:asciiTheme="majorHAnsi" w:hAnsiTheme="majorHAnsi"/>
          <w:sz w:val="20"/>
          <w:szCs w:val="20"/>
        </w:rPr>
        <w:t>безпосередній</w:t>
      </w:r>
      <w:r w:rsidRPr="000977F7">
        <w:rPr>
          <w:rFonts w:asciiTheme="majorHAnsi" w:hAnsiTheme="majorHAnsi"/>
          <w:spacing w:val="1"/>
          <w:sz w:val="20"/>
          <w:szCs w:val="20"/>
        </w:rPr>
        <w:t xml:space="preserve"> </w:t>
      </w:r>
      <w:r w:rsidRPr="000977F7">
        <w:rPr>
          <w:rFonts w:asciiTheme="majorHAnsi" w:hAnsiTheme="majorHAnsi"/>
          <w:sz w:val="20"/>
          <w:szCs w:val="20"/>
        </w:rPr>
        <w:t>контроль</w:t>
      </w:r>
      <w:r w:rsidRPr="000977F7">
        <w:rPr>
          <w:rFonts w:asciiTheme="majorHAnsi" w:hAnsiTheme="majorHAnsi"/>
          <w:spacing w:val="1"/>
          <w:sz w:val="20"/>
          <w:szCs w:val="20"/>
        </w:rPr>
        <w:t xml:space="preserve"> </w:t>
      </w:r>
      <w:r w:rsidRPr="000977F7">
        <w:rPr>
          <w:rFonts w:asciiTheme="majorHAnsi" w:hAnsiTheme="majorHAnsi"/>
          <w:sz w:val="20"/>
          <w:szCs w:val="20"/>
        </w:rPr>
        <w:t>і вимірювання,</w:t>
      </w:r>
      <w:r w:rsidRPr="000977F7">
        <w:rPr>
          <w:rFonts w:asciiTheme="majorHAnsi" w:hAnsiTheme="majorHAnsi"/>
          <w:spacing w:val="1"/>
          <w:sz w:val="20"/>
          <w:szCs w:val="20"/>
        </w:rPr>
        <w:t xml:space="preserve"> </w:t>
      </w:r>
      <w:r w:rsidRPr="000977F7">
        <w:rPr>
          <w:rFonts w:asciiTheme="majorHAnsi" w:hAnsiTheme="majorHAnsi"/>
          <w:sz w:val="20"/>
          <w:szCs w:val="20"/>
        </w:rPr>
        <w:t>розгляд результатів минулих аудиторських та інших</w:t>
      </w:r>
      <w:r w:rsidRPr="000977F7">
        <w:rPr>
          <w:rFonts w:asciiTheme="majorHAnsi" w:hAnsiTheme="majorHAnsi"/>
          <w:spacing w:val="1"/>
          <w:sz w:val="20"/>
          <w:szCs w:val="20"/>
        </w:rPr>
        <w:t xml:space="preserve"> </w:t>
      </w:r>
      <w:r w:rsidRPr="000977F7">
        <w:rPr>
          <w:rFonts w:asciiTheme="majorHAnsi" w:hAnsiTheme="majorHAnsi"/>
          <w:sz w:val="20"/>
          <w:szCs w:val="20"/>
        </w:rPr>
        <w:t>перевірок. Вибір конкретних засобів залежить від характеру</w:t>
      </w:r>
      <w:r w:rsidRPr="000977F7">
        <w:rPr>
          <w:rFonts w:asciiTheme="majorHAnsi" w:hAnsiTheme="majorHAnsi"/>
          <w:spacing w:val="-5"/>
          <w:sz w:val="20"/>
          <w:szCs w:val="20"/>
        </w:rPr>
        <w:t xml:space="preserve"> </w:t>
      </w:r>
      <w:r w:rsidRPr="000977F7">
        <w:rPr>
          <w:rFonts w:asciiTheme="majorHAnsi" w:hAnsiTheme="majorHAnsi"/>
          <w:sz w:val="20"/>
          <w:szCs w:val="20"/>
        </w:rPr>
        <w:t>діяльності, яка розглядається.</w:t>
      </w:r>
    </w:p>
    <w:p w14:paraId="3EFB930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процесі визначення суттєвих екологічних аспектів, пов’язаних з діяльністю функціональних підрозділів, може розглядатися, якщо це відповідає характеру</w:t>
      </w:r>
      <w:r w:rsidRPr="000977F7">
        <w:rPr>
          <w:rFonts w:asciiTheme="majorHAnsi" w:hAnsiTheme="majorHAnsi"/>
          <w:spacing w:val="-2"/>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2"/>
          <w:sz w:val="20"/>
          <w:szCs w:val="20"/>
        </w:rPr>
        <w:t xml:space="preserve"> </w:t>
      </w:r>
      <w:r w:rsidRPr="000977F7">
        <w:rPr>
          <w:rFonts w:asciiTheme="majorHAnsi" w:hAnsiTheme="majorHAnsi"/>
          <w:sz w:val="20"/>
          <w:szCs w:val="20"/>
        </w:rPr>
        <w:t>таке:</w:t>
      </w:r>
    </w:p>
    <w:p w14:paraId="5444885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викиди в повітря;</w:t>
      </w:r>
      <w:r w:rsidRPr="000977F7">
        <w:rPr>
          <w:rFonts w:asciiTheme="majorHAnsi" w:hAnsiTheme="majorHAnsi"/>
          <w:spacing w:val="-48"/>
          <w:sz w:val="20"/>
          <w:szCs w:val="20"/>
        </w:rPr>
        <w:t xml:space="preserve"> </w:t>
      </w:r>
      <w:r w:rsidRPr="000977F7">
        <w:rPr>
          <w:rFonts w:asciiTheme="majorHAnsi" w:hAnsiTheme="majorHAnsi"/>
          <w:sz w:val="20"/>
          <w:szCs w:val="20"/>
        </w:rPr>
        <w:t>б)</w:t>
      </w:r>
      <w:r w:rsidRPr="000977F7">
        <w:rPr>
          <w:rFonts w:asciiTheme="majorHAnsi" w:hAnsiTheme="majorHAnsi"/>
          <w:spacing w:val="-1"/>
          <w:sz w:val="20"/>
          <w:szCs w:val="20"/>
        </w:rPr>
        <w:t xml:space="preserve"> </w:t>
      </w:r>
      <w:r w:rsidRPr="000977F7">
        <w:rPr>
          <w:rFonts w:asciiTheme="majorHAnsi" w:hAnsiTheme="majorHAnsi"/>
          <w:sz w:val="20"/>
          <w:szCs w:val="20"/>
        </w:rPr>
        <w:t>скиди у</w:t>
      </w:r>
      <w:r w:rsidRPr="000977F7">
        <w:rPr>
          <w:rFonts w:asciiTheme="majorHAnsi" w:hAnsiTheme="majorHAnsi"/>
          <w:spacing w:val="-2"/>
          <w:sz w:val="20"/>
          <w:szCs w:val="20"/>
        </w:rPr>
        <w:t xml:space="preserve"> </w:t>
      </w:r>
      <w:r w:rsidRPr="000977F7">
        <w:rPr>
          <w:rFonts w:asciiTheme="majorHAnsi" w:hAnsiTheme="majorHAnsi"/>
          <w:sz w:val="20"/>
          <w:szCs w:val="20"/>
        </w:rPr>
        <w:t>воду;</w:t>
      </w:r>
    </w:p>
    <w:p w14:paraId="642FB4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w:t>
      </w:r>
      <w:r w:rsidRPr="000977F7">
        <w:rPr>
          <w:rFonts w:asciiTheme="majorHAnsi" w:hAnsiTheme="majorHAnsi"/>
          <w:spacing w:val="-7"/>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6"/>
          <w:sz w:val="20"/>
          <w:szCs w:val="20"/>
        </w:rPr>
        <w:t xml:space="preserve"> </w:t>
      </w:r>
      <w:r w:rsidRPr="000977F7">
        <w:rPr>
          <w:rFonts w:asciiTheme="majorHAnsi" w:hAnsiTheme="majorHAnsi"/>
          <w:sz w:val="20"/>
          <w:szCs w:val="20"/>
        </w:rPr>
        <w:t>відходами;</w:t>
      </w:r>
      <w:r w:rsidRPr="000977F7">
        <w:rPr>
          <w:rFonts w:asciiTheme="majorHAnsi" w:hAnsiTheme="majorHAnsi"/>
          <w:spacing w:val="-47"/>
          <w:sz w:val="20"/>
          <w:szCs w:val="20"/>
        </w:rPr>
        <w:t xml:space="preserve"> </w:t>
      </w:r>
      <w:r w:rsidRPr="000977F7">
        <w:rPr>
          <w:rFonts w:asciiTheme="majorHAnsi" w:hAnsiTheme="majorHAnsi"/>
          <w:sz w:val="20"/>
          <w:szCs w:val="20"/>
        </w:rPr>
        <w:t>г)</w:t>
      </w:r>
      <w:r w:rsidRPr="000977F7">
        <w:rPr>
          <w:rFonts w:asciiTheme="majorHAnsi" w:hAnsiTheme="majorHAnsi"/>
          <w:spacing w:val="-3"/>
          <w:sz w:val="20"/>
          <w:szCs w:val="20"/>
        </w:rPr>
        <w:t xml:space="preserve"> </w:t>
      </w:r>
      <w:r w:rsidRPr="000977F7">
        <w:rPr>
          <w:rFonts w:asciiTheme="majorHAnsi" w:hAnsiTheme="majorHAnsi"/>
          <w:sz w:val="20"/>
          <w:szCs w:val="20"/>
        </w:rPr>
        <w:t>контамінація</w:t>
      </w:r>
      <w:r w:rsidRPr="000977F7">
        <w:rPr>
          <w:rFonts w:asciiTheme="majorHAnsi" w:hAnsiTheme="majorHAnsi"/>
          <w:spacing w:val="-3"/>
          <w:sz w:val="20"/>
          <w:szCs w:val="20"/>
        </w:rPr>
        <w:t xml:space="preserve"> </w:t>
      </w:r>
      <w:r w:rsidRPr="000977F7">
        <w:rPr>
          <w:rFonts w:asciiTheme="majorHAnsi" w:hAnsiTheme="majorHAnsi"/>
          <w:sz w:val="20"/>
          <w:szCs w:val="20"/>
        </w:rPr>
        <w:t>ґрунту;</w:t>
      </w:r>
    </w:p>
    <w:p w14:paraId="152C30C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 використання сировини, матеріалів і природних</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p>
    <w:p w14:paraId="5B57DE1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 інші місцеві проблеми стану навколишнього 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та біоценозів.</w:t>
      </w:r>
    </w:p>
    <w:p w14:paraId="54F001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 час визначення суттєвих екологічних аспектів</w:t>
      </w:r>
      <w:r w:rsidRPr="000977F7">
        <w:rPr>
          <w:rFonts w:asciiTheme="majorHAnsi" w:hAnsiTheme="majorHAnsi"/>
          <w:spacing w:val="1"/>
          <w:sz w:val="20"/>
          <w:szCs w:val="20"/>
        </w:rPr>
        <w:t xml:space="preserve"> </w:t>
      </w:r>
      <w:r w:rsidRPr="000977F7">
        <w:rPr>
          <w:rFonts w:asciiTheme="majorHAnsi" w:hAnsiTheme="majorHAnsi"/>
          <w:sz w:val="20"/>
          <w:szCs w:val="20"/>
        </w:rPr>
        <w:t>повинні</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враховані</w:t>
      </w:r>
      <w:r w:rsidRPr="000977F7">
        <w:rPr>
          <w:rFonts w:asciiTheme="majorHAnsi" w:hAnsiTheme="majorHAnsi"/>
          <w:spacing w:val="1"/>
          <w:sz w:val="20"/>
          <w:szCs w:val="20"/>
        </w:rPr>
        <w:t xml:space="preserve"> </w:t>
      </w:r>
      <w:r w:rsidRPr="000977F7">
        <w:rPr>
          <w:rFonts w:asciiTheme="majorHAnsi" w:hAnsiTheme="majorHAnsi"/>
          <w:sz w:val="20"/>
          <w:szCs w:val="20"/>
        </w:rPr>
        <w:t>нормальний</w:t>
      </w:r>
      <w:r w:rsidRPr="000977F7">
        <w:rPr>
          <w:rFonts w:asciiTheme="majorHAnsi" w:hAnsiTheme="majorHAnsi"/>
          <w:spacing w:val="1"/>
          <w:sz w:val="20"/>
          <w:szCs w:val="20"/>
        </w:rPr>
        <w:t xml:space="preserve"> </w:t>
      </w:r>
      <w:r w:rsidRPr="000977F7">
        <w:rPr>
          <w:rFonts w:asciiTheme="majorHAnsi" w:hAnsiTheme="majorHAnsi"/>
          <w:sz w:val="20"/>
          <w:szCs w:val="20"/>
        </w:rPr>
        <w:t>режим</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r w:rsidRPr="000977F7">
        <w:rPr>
          <w:rFonts w:asciiTheme="majorHAnsi" w:hAnsiTheme="majorHAnsi"/>
          <w:spacing w:val="-47"/>
          <w:sz w:val="20"/>
          <w:szCs w:val="20"/>
        </w:rPr>
        <w:t xml:space="preserve"> </w:t>
      </w:r>
      <w:r w:rsidRPr="000977F7">
        <w:rPr>
          <w:rFonts w:asciiTheme="majorHAnsi" w:hAnsiTheme="majorHAnsi"/>
          <w:sz w:val="20"/>
          <w:szCs w:val="20"/>
        </w:rPr>
        <w:t>режими запуску і зупинки,</w:t>
      </w:r>
      <w:r w:rsidRPr="000977F7">
        <w:rPr>
          <w:rFonts w:asciiTheme="majorHAnsi" w:hAnsiTheme="majorHAnsi"/>
          <w:spacing w:val="1"/>
          <w:sz w:val="20"/>
          <w:szCs w:val="20"/>
        </w:rPr>
        <w:t xml:space="preserve"> </w:t>
      </w:r>
      <w:r w:rsidRPr="000977F7">
        <w:rPr>
          <w:rFonts w:asciiTheme="majorHAnsi" w:hAnsiTheme="majorHAnsi"/>
          <w:sz w:val="20"/>
          <w:szCs w:val="20"/>
        </w:rPr>
        <w:t>а також можливі значні</w:t>
      </w:r>
      <w:r w:rsidRPr="000977F7">
        <w:rPr>
          <w:rFonts w:asciiTheme="majorHAnsi" w:hAnsiTheme="majorHAnsi"/>
          <w:spacing w:val="1"/>
          <w:sz w:val="20"/>
          <w:szCs w:val="20"/>
        </w:rPr>
        <w:t xml:space="preserve"> </w:t>
      </w:r>
      <w:r w:rsidRPr="000977F7">
        <w:rPr>
          <w:rFonts w:asciiTheme="majorHAnsi" w:hAnsiTheme="majorHAnsi"/>
          <w:sz w:val="20"/>
          <w:szCs w:val="20"/>
        </w:rPr>
        <w:t>впливи, пов’язані з достатньо передбачуваними і не</w:t>
      </w:r>
      <w:r w:rsidRPr="000977F7">
        <w:rPr>
          <w:rFonts w:asciiTheme="majorHAnsi" w:hAnsiTheme="majorHAnsi"/>
          <w:spacing w:val="1"/>
          <w:sz w:val="20"/>
          <w:szCs w:val="20"/>
        </w:rPr>
        <w:t xml:space="preserve"> </w:t>
      </w:r>
      <w:r w:rsidRPr="000977F7">
        <w:rPr>
          <w:rFonts w:asciiTheme="majorHAnsi" w:hAnsiTheme="majorHAnsi"/>
          <w:sz w:val="20"/>
          <w:szCs w:val="20"/>
        </w:rPr>
        <w:t>передбачуваними</w:t>
      </w:r>
      <w:r w:rsidRPr="000977F7">
        <w:rPr>
          <w:rFonts w:asciiTheme="majorHAnsi" w:hAnsiTheme="majorHAnsi"/>
          <w:spacing w:val="-2"/>
          <w:sz w:val="20"/>
          <w:szCs w:val="20"/>
        </w:rPr>
        <w:t xml:space="preserve"> </w:t>
      </w:r>
      <w:r w:rsidRPr="000977F7">
        <w:rPr>
          <w:rFonts w:asciiTheme="majorHAnsi" w:hAnsiTheme="majorHAnsi"/>
          <w:sz w:val="20"/>
          <w:szCs w:val="20"/>
        </w:rPr>
        <w:t>ситуаціями.</w:t>
      </w:r>
    </w:p>
    <w:p w14:paraId="166740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Цей</w:t>
      </w:r>
      <w:r w:rsidRPr="000977F7">
        <w:rPr>
          <w:rFonts w:asciiTheme="majorHAnsi" w:hAnsiTheme="majorHAnsi"/>
          <w:spacing w:val="-4"/>
          <w:sz w:val="20"/>
          <w:szCs w:val="20"/>
        </w:rPr>
        <w:t xml:space="preserve"> </w:t>
      </w:r>
      <w:r w:rsidRPr="000977F7">
        <w:rPr>
          <w:rFonts w:asciiTheme="majorHAnsi" w:hAnsiTheme="majorHAnsi"/>
          <w:sz w:val="20"/>
          <w:szCs w:val="20"/>
        </w:rPr>
        <w:t>процес</w:t>
      </w:r>
      <w:r w:rsidRPr="000977F7">
        <w:rPr>
          <w:rFonts w:asciiTheme="majorHAnsi" w:hAnsiTheme="majorHAnsi"/>
          <w:spacing w:val="-5"/>
          <w:sz w:val="20"/>
          <w:szCs w:val="20"/>
        </w:rPr>
        <w:t xml:space="preserve"> </w:t>
      </w:r>
      <w:r w:rsidRPr="000977F7">
        <w:rPr>
          <w:rFonts w:asciiTheme="majorHAnsi" w:hAnsiTheme="majorHAnsi"/>
          <w:sz w:val="20"/>
          <w:szCs w:val="20"/>
        </w:rPr>
        <w:t>передбачає</w:t>
      </w:r>
      <w:r w:rsidRPr="000977F7">
        <w:rPr>
          <w:rFonts w:asciiTheme="majorHAnsi" w:hAnsiTheme="majorHAnsi"/>
          <w:spacing w:val="-2"/>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3"/>
          <w:sz w:val="20"/>
          <w:szCs w:val="20"/>
        </w:rPr>
        <w:t xml:space="preserve"> </w:t>
      </w:r>
      <w:r w:rsidRPr="000977F7">
        <w:rPr>
          <w:rFonts w:asciiTheme="majorHAnsi" w:hAnsiTheme="majorHAnsi"/>
          <w:sz w:val="20"/>
          <w:szCs w:val="20"/>
        </w:rPr>
        <w:t>суттєвих</w:t>
      </w:r>
      <w:r w:rsidRPr="000977F7">
        <w:rPr>
          <w:rFonts w:asciiTheme="majorHAnsi" w:hAnsiTheme="majorHAnsi"/>
          <w:spacing w:val="-6"/>
          <w:sz w:val="20"/>
          <w:szCs w:val="20"/>
        </w:rPr>
        <w:t xml:space="preserve"> </w:t>
      </w:r>
      <w:r w:rsidRPr="000977F7">
        <w:rPr>
          <w:rFonts w:asciiTheme="majorHAnsi" w:hAnsiTheme="majorHAnsi"/>
          <w:sz w:val="20"/>
          <w:szCs w:val="20"/>
        </w:rPr>
        <w:t>екологічних аспектів, пов’язаних з діяльністю, продукцією</w:t>
      </w:r>
      <w:r w:rsidRPr="000977F7">
        <w:rPr>
          <w:rFonts w:asciiTheme="majorHAnsi" w:hAnsiTheme="majorHAnsi"/>
          <w:spacing w:val="1"/>
          <w:sz w:val="20"/>
          <w:szCs w:val="20"/>
        </w:rPr>
        <w:t xml:space="preserve"> </w:t>
      </w:r>
      <w:r w:rsidRPr="000977F7">
        <w:rPr>
          <w:rFonts w:asciiTheme="majorHAnsi" w:hAnsiTheme="majorHAnsi"/>
          <w:sz w:val="20"/>
          <w:szCs w:val="20"/>
        </w:rPr>
        <w:t>чи послугами. Організація не мусить оцінювати кожний вхідний виріб; компонент, сировину чи матеріал.</w:t>
      </w:r>
      <w:r w:rsidRPr="000977F7">
        <w:rPr>
          <w:rFonts w:asciiTheme="majorHAnsi" w:hAnsiTheme="majorHAnsi"/>
          <w:spacing w:val="1"/>
          <w:sz w:val="20"/>
          <w:szCs w:val="20"/>
        </w:rPr>
        <w:t xml:space="preserve"> </w:t>
      </w:r>
      <w:r w:rsidRPr="000977F7">
        <w:rPr>
          <w:rFonts w:asciiTheme="majorHAnsi" w:hAnsiTheme="majorHAnsi"/>
          <w:sz w:val="20"/>
          <w:szCs w:val="20"/>
        </w:rPr>
        <w:t>Вона може вибрати види діяльності, продукції чи послуг для визначення тих аспектів, які, ймовірно, мають</w:t>
      </w:r>
      <w:r w:rsidRPr="000977F7">
        <w:rPr>
          <w:rFonts w:asciiTheme="majorHAnsi" w:hAnsiTheme="majorHAnsi"/>
          <w:spacing w:val="1"/>
          <w:sz w:val="20"/>
          <w:szCs w:val="20"/>
        </w:rPr>
        <w:t xml:space="preserve"> </w:t>
      </w:r>
      <w:r w:rsidRPr="000977F7">
        <w:rPr>
          <w:rFonts w:asciiTheme="majorHAnsi" w:hAnsiTheme="majorHAnsi"/>
          <w:sz w:val="20"/>
          <w:szCs w:val="20"/>
        </w:rPr>
        <w:t>значний вплив. Ступінь контролю за екологічними аспектами</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залежить</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особливостей</w:t>
      </w:r>
      <w:r w:rsidRPr="000977F7">
        <w:rPr>
          <w:rFonts w:asciiTheme="majorHAnsi" w:hAnsiTheme="majorHAnsi"/>
          <w:spacing w:val="1"/>
          <w:sz w:val="20"/>
          <w:szCs w:val="20"/>
        </w:rPr>
        <w:t xml:space="preserve"> </w:t>
      </w:r>
      <w:r w:rsidRPr="000977F7">
        <w:rPr>
          <w:rFonts w:asciiTheme="majorHAnsi" w:hAnsiTheme="majorHAnsi"/>
          <w:sz w:val="20"/>
          <w:szCs w:val="20"/>
        </w:rPr>
        <w:t>кон’юнктури ринку, на якому діє організація. Підрядник</w:t>
      </w:r>
      <w:r w:rsidRPr="000977F7">
        <w:rPr>
          <w:rFonts w:asciiTheme="majorHAnsi" w:hAnsiTheme="majorHAnsi"/>
          <w:spacing w:val="-9"/>
          <w:sz w:val="20"/>
          <w:szCs w:val="20"/>
        </w:rPr>
        <w:t xml:space="preserve"> </w:t>
      </w:r>
      <w:r w:rsidRPr="000977F7">
        <w:rPr>
          <w:rFonts w:asciiTheme="majorHAnsi" w:hAnsiTheme="majorHAnsi"/>
          <w:sz w:val="20"/>
          <w:szCs w:val="20"/>
        </w:rPr>
        <w:t>або</w:t>
      </w:r>
      <w:r w:rsidRPr="000977F7">
        <w:rPr>
          <w:rFonts w:asciiTheme="majorHAnsi" w:hAnsiTheme="majorHAnsi"/>
          <w:spacing w:val="-5"/>
          <w:sz w:val="20"/>
          <w:szCs w:val="20"/>
        </w:rPr>
        <w:t xml:space="preserve"> </w:t>
      </w:r>
      <w:r w:rsidRPr="000977F7">
        <w:rPr>
          <w:rFonts w:asciiTheme="majorHAnsi" w:hAnsiTheme="majorHAnsi"/>
          <w:sz w:val="20"/>
          <w:szCs w:val="20"/>
        </w:rPr>
        <w:t>постачальник</w:t>
      </w:r>
      <w:r w:rsidRPr="000977F7">
        <w:rPr>
          <w:rFonts w:asciiTheme="majorHAnsi" w:hAnsiTheme="majorHAnsi"/>
          <w:spacing w:val="-8"/>
          <w:sz w:val="20"/>
          <w:szCs w:val="20"/>
        </w:rPr>
        <w:t xml:space="preserve"> </w:t>
      </w:r>
      <w:r w:rsidRPr="000977F7">
        <w:rPr>
          <w:rFonts w:asciiTheme="majorHAnsi" w:hAnsiTheme="majorHAnsi"/>
          <w:sz w:val="20"/>
          <w:szCs w:val="20"/>
        </w:rPr>
        <w:t>може</w:t>
      </w:r>
      <w:r w:rsidRPr="000977F7">
        <w:rPr>
          <w:rFonts w:asciiTheme="majorHAnsi" w:hAnsiTheme="majorHAnsi"/>
          <w:spacing w:val="-3"/>
          <w:sz w:val="20"/>
          <w:szCs w:val="20"/>
        </w:rPr>
        <w:t xml:space="preserve"> </w:t>
      </w:r>
      <w:r w:rsidRPr="000977F7">
        <w:rPr>
          <w:rFonts w:asciiTheme="majorHAnsi" w:hAnsiTheme="majorHAnsi"/>
          <w:sz w:val="20"/>
          <w:szCs w:val="20"/>
        </w:rPr>
        <w:t>мати</w:t>
      </w:r>
      <w:r w:rsidRPr="000977F7">
        <w:rPr>
          <w:rFonts w:asciiTheme="majorHAnsi" w:hAnsiTheme="majorHAnsi"/>
          <w:spacing w:val="-7"/>
          <w:sz w:val="20"/>
          <w:szCs w:val="20"/>
        </w:rPr>
        <w:t xml:space="preserve"> </w:t>
      </w:r>
      <w:r w:rsidRPr="000977F7">
        <w:rPr>
          <w:rFonts w:asciiTheme="majorHAnsi" w:hAnsiTheme="majorHAnsi"/>
          <w:sz w:val="20"/>
          <w:szCs w:val="20"/>
        </w:rPr>
        <w:t>порівняно</w:t>
      </w:r>
      <w:r w:rsidRPr="000977F7">
        <w:rPr>
          <w:rFonts w:asciiTheme="majorHAnsi" w:hAnsiTheme="majorHAnsi"/>
          <w:spacing w:val="-6"/>
          <w:sz w:val="20"/>
          <w:szCs w:val="20"/>
        </w:rPr>
        <w:t xml:space="preserve"> </w:t>
      </w:r>
      <w:r w:rsidRPr="000977F7">
        <w:rPr>
          <w:rFonts w:asciiTheme="majorHAnsi" w:hAnsiTheme="majorHAnsi"/>
          <w:sz w:val="20"/>
          <w:szCs w:val="20"/>
        </w:rPr>
        <w:t>малий</w:t>
      </w:r>
      <w:r w:rsidRPr="000977F7">
        <w:rPr>
          <w:rFonts w:asciiTheme="majorHAnsi" w:hAnsiTheme="majorHAnsi"/>
          <w:spacing w:val="-9"/>
          <w:sz w:val="20"/>
          <w:szCs w:val="20"/>
        </w:rPr>
        <w:t xml:space="preserve"> </w:t>
      </w:r>
      <w:r w:rsidRPr="000977F7">
        <w:rPr>
          <w:rFonts w:asciiTheme="majorHAnsi" w:hAnsiTheme="majorHAnsi"/>
          <w:sz w:val="20"/>
          <w:szCs w:val="20"/>
        </w:rPr>
        <w:t>ступінь контролю, в той час, як організація відповідальна</w:t>
      </w:r>
      <w:r w:rsidRPr="000977F7">
        <w:rPr>
          <w:rFonts w:asciiTheme="majorHAnsi" w:hAnsiTheme="majorHAnsi"/>
          <w:spacing w:val="-47"/>
          <w:sz w:val="20"/>
          <w:szCs w:val="20"/>
        </w:rPr>
        <w:t xml:space="preserve"> </w:t>
      </w:r>
      <w:r w:rsidRPr="000977F7">
        <w:rPr>
          <w:rFonts w:asciiTheme="majorHAnsi" w:hAnsiTheme="majorHAnsi"/>
          <w:sz w:val="20"/>
          <w:szCs w:val="20"/>
        </w:rPr>
        <w:t>за проектування виробів, може суттєво змінювати екологічні аспекти, наприклад, змінюючи окремі вхідні</w:t>
      </w:r>
      <w:r w:rsidRPr="000977F7">
        <w:rPr>
          <w:rFonts w:asciiTheme="majorHAnsi" w:hAnsiTheme="majorHAnsi"/>
          <w:spacing w:val="1"/>
          <w:sz w:val="20"/>
          <w:szCs w:val="20"/>
        </w:rPr>
        <w:t xml:space="preserve"> </w:t>
      </w:r>
      <w:r w:rsidRPr="000977F7">
        <w:rPr>
          <w:rFonts w:asciiTheme="majorHAnsi" w:hAnsiTheme="majorHAnsi"/>
          <w:sz w:val="20"/>
          <w:szCs w:val="20"/>
        </w:rPr>
        <w:t>матеріали.</w:t>
      </w:r>
      <w:r w:rsidRPr="000977F7">
        <w:rPr>
          <w:rFonts w:asciiTheme="majorHAnsi" w:hAnsiTheme="majorHAnsi"/>
          <w:spacing w:val="1"/>
          <w:sz w:val="20"/>
          <w:szCs w:val="20"/>
        </w:rPr>
        <w:t xml:space="preserve"> </w:t>
      </w:r>
      <w:r w:rsidRPr="000977F7">
        <w:rPr>
          <w:rFonts w:asciiTheme="majorHAnsi" w:hAnsiTheme="majorHAnsi"/>
          <w:sz w:val="20"/>
          <w:szCs w:val="20"/>
        </w:rPr>
        <w:t>Якщо</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мати</w:t>
      </w:r>
      <w:r w:rsidRPr="000977F7">
        <w:rPr>
          <w:rFonts w:asciiTheme="majorHAnsi" w:hAnsiTheme="majorHAnsi"/>
          <w:spacing w:val="1"/>
          <w:sz w:val="20"/>
          <w:szCs w:val="20"/>
        </w:rPr>
        <w:t xml:space="preserve"> </w:t>
      </w:r>
      <w:r w:rsidRPr="000977F7">
        <w:rPr>
          <w:rFonts w:asciiTheme="majorHAnsi" w:hAnsiTheme="majorHAnsi"/>
          <w:sz w:val="20"/>
          <w:szCs w:val="20"/>
        </w:rPr>
        <w:t>обмежений</w:t>
      </w:r>
      <w:r w:rsidRPr="000977F7">
        <w:rPr>
          <w:rFonts w:asciiTheme="majorHAnsi" w:hAnsiTheme="majorHAnsi"/>
          <w:spacing w:val="-47"/>
          <w:sz w:val="20"/>
          <w:szCs w:val="20"/>
        </w:rPr>
        <w:t xml:space="preserve"> </w:t>
      </w:r>
      <w:r w:rsidRPr="000977F7">
        <w:rPr>
          <w:rFonts w:asciiTheme="majorHAnsi" w:hAnsiTheme="majorHAnsi"/>
          <w:spacing w:val="-1"/>
          <w:sz w:val="20"/>
          <w:szCs w:val="20"/>
        </w:rPr>
        <w:t>контроль</w:t>
      </w:r>
      <w:r w:rsidRPr="000977F7">
        <w:rPr>
          <w:rFonts w:asciiTheme="majorHAnsi" w:hAnsiTheme="majorHAnsi"/>
          <w:spacing w:val="-12"/>
          <w:sz w:val="20"/>
          <w:szCs w:val="20"/>
        </w:rPr>
        <w:t xml:space="preserve"> </w:t>
      </w:r>
      <w:r w:rsidRPr="000977F7">
        <w:rPr>
          <w:rFonts w:asciiTheme="majorHAnsi" w:hAnsiTheme="majorHAnsi"/>
          <w:spacing w:val="-1"/>
          <w:sz w:val="20"/>
          <w:szCs w:val="20"/>
        </w:rPr>
        <w:t>за</w:t>
      </w:r>
      <w:r w:rsidRPr="000977F7">
        <w:rPr>
          <w:rFonts w:asciiTheme="majorHAnsi" w:hAnsiTheme="majorHAnsi"/>
          <w:spacing w:val="-9"/>
          <w:sz w:val="20"/>
          <w:szCs w:val="20"/>
        </w:rPr>
        <w:t xml:space="preserve"> </w:t>
      </w:r>
      <w:r w:rsidRPr="000977F7">
        <w:rPr>
          <w:rFonts w:asciiTheme="majorHAnsi" w:hAnsiTheme="majorHAnsi"/>
          <w:spacing w:val="-1"/>
          <w:sz w:val="20"/>
          <w:szCs w:val="20"/>
        </w:rPr>
        <w:t>використанням</w:t>
      </w:r>
      <w:r w:rsidRPr="000977F7">
        <w:rPr>
          <w:rFonts w:asciiTheme="majorHAnsi" w:hAnsiTheme="majorHAnsi"/>
          <w:spacing w:val="-10"/>
          <w:sz w:val="20"/>
          <w:szCs w:val="20"/>
        </w:rPr>
        <w:t xml:space="preserve"> </w:t>
      </w:r>
      <w:r w:rsidRPr="000977F7">
        <w:rPr>
          <w:rFonts w:asciiTheme="majorHAnsi" w:hAnsiTheme="majorHAnsi"/>
          <w:sz w:val="20"/>
          <w:szCs w:val="20"/>
        </w:rPr>
        <w:t>і</w:t>
      </w:r>
      <w:r w:rsidRPr="000977F7">
        <w:rPr>
          <w:rFonts w:asciiTheme="majorHAnsi" w:hAnsiTheme="majorHAnsi"/>
          <w:spacing w:val="-10"/>
          <w:sz w:val="20"/>
          <w:szCs w:val="20"/>
        </w:rPr>
        <w:t xml:space="preserve"> </w:t>
      </w:r>
      <w:r w:rsidRPr="000977F7">
        <w:rPr>
          <w:rFonts w:asciiTheme="majorHAnsi" w:hAnsiTheme="majorHAnsi"/>
          <w:sz w:val="20"/>
          <w:szCs w:val="20"/>
        </w:rPr>
        <w:t>розміщенням</w:t>
      </w:r>
      <w:r w:rsidRPr="000977F7">
        <w:rPr>
          <w:rFonts w:asciiTheme="majorHAnsi" w:hAnsiTheme="majorHAnsi"/>
          <w:spacing w:val="-11"/>
          <w:sz w:val="20"/>
          <w:szCs w:val="20"/>
        </w:rPr>
        <w:t xml:space="preserve"> </w:t>
      </w:r>
      <w:r w:rsidRPr="000977F7">
        <w:rPr>
          <w:rFonts w:asciiTheme="majorHAnsi" w:hAnsiTheme="majorHAnsi"/>
          <w:sz w:val="20"/>
          <w:szCs w:val="20"/>
        </w:rPr>
        <w:t>своєї</w:t>
      </w:r>
      <w:r w:rsidRPr="000977F7">
        <w:rPr>
          <w:rFonts w:asciiTheme="majorHAnsi" w:hAnsiTheme="majorHAnsi"/>
          <w:spacing w:val="-11"/>
          <w:sz w:val="20"/>
          <w:szCs w:val="20"/>
        </w:rPr>
        <w:t xml:space="preserve"> </w:t>
      </w:r>
      <w:r w:rsidRPr="000977F7">
        <w:rPr>
          <w:rFonts w:asciiTheme="majorHAnsi" w:hAnsiTheme="majorHAnsi"/>
          <w:sz w:val="20"/>
          <w:szCs w:val="20"/>
        </w:rPr>
        <w:t>продукції, то вона повинна передбачити та запропонувати,</w:t>
      </w:r>
      <w:r w:rsidRPr="000977F7">
        <w:rPr>
          <w:rFonts w:asciiTheme="majorHAnsi" w:hAnsiTheme="majorHAnsi"/>
          <w:spacing w:val="1"/>
          <w:sz w:val="20"/>
          <w:szCs w:val="20"/>
        </w:rPr>
        <w:t xml:space="preserve"> </w:t>
      </w:r>
      <w:r w:rsidRPr="000977F7">
        <w:rPr>
          <w:rFonts w:asciiTheme="majorHAnsi" w:hAnsiTheme="majorHAnsi"/>
          <w:sz w:val="20"/>
          <w:szCs w:val="20"/>
        </w:rPr>
        <w:t>якщо це доцільно, механізм належного управління та</w:t>
      </w:r>
      <w:r w:rsidRPr="000977F7">
        <w:rPr>
          <w:rFonts w:asciiTheme="majorHAnsi" w:hAnsiTheme="majorHAnsi"/>
          <w:spacing w:val="1"/>
          <w:sz w:val="20"/>
          <w:szCs w:val="20"/>
        </w:rPr>
        <w:t xml:space="preserve"> </w:t>
      </w:r>
      <w:r w:rsidRPr="000977F7">
        <w:rPr>
          <w:rFonts w:asciiTheme="majorHAnsi" w:hAnsiTheme="majorHAnsi"/>
          <w:sz w:val="20"/>
          <w:szCs w:val="20"/>
        </w:rPr>
        <w:t>контролю. Цей стандарт не передбачає зміни чи розширення</w:t>
      </w:r>
      <w:r w:rsidRPr="000977F7">
        <w:rPr>
          <w:rFonts w:asciiTheme="majorHAnsi" w:hAnsiTheme="majorHAnsi"/>
          <w:spacing w:val="-7"/>
          <w:sz w:val="20"/>
          <w:szCs w:val="20"/>
        </w:rPr>
        <w:t xml:space="preserve"> </w:t>
      </w:r>
      <w:r w:rsidRPr="000977F7">
        <w:rPr>
          <w:rFonts w:asciiTheme="majorHAnsi" w:hAnsiTheme="majorHAnsi"/>
          <w:sz w:val="20"/>
          <w:szCs w:val="20"/>
        </w:rPr>
        <w:t>правових</w:t>
      </w:r>
      <w:r w:rsidRPr="000977F7">
        <w:rPr>
          <w:rFonts w:asciiTheme="majorHAnsi" w:hAnsiTheme="majorHAnsi"/>
          <w:spacing w:val="-9"/>
          <w:sz w:val="20"/>
          <w:szCs w:val="20"/>
        </w:rPr>
        <w:t xml:space="preserve"> </w:t>
      </w:r>
      <w:r w:rsidRPr="000977F7">
        <w:rPr>
          <w:rFonts w:asciiTheme="majorHAnsi" w:hAnsiTheme="majorHAnsi"/>
          <w:sz w:val="20"/>
          <w:szCs w:val="20"/>
        </w:rPr>
        <w:t>зобов’язань</w:t>
      </w:r>
      <w:r w:rsidRPr="000977F7">
        <w:rPr>
          <w:rFonts w:asciiTheme="majorHAnsi" w:hAnsiTheme="majorHAnsi"/>
          <w:spacing w:val="-7"/>
          <w:sz w:val="20"/>
          <w:szCs w:val="20"/>
        </w:rPr>
        <w:t xml:space="preserve"> </w:t>
      </w:r>
      <w:r w:rsidRPr="000977F7">
        <w:rPr>
          <w:rFonts w:asciiTheme="majorHAnsi" w:hAnsiTheme="majorHAnsi"/>
          <w:sz w:val="20"/>
          <w:szCs w:val="20"/>
        </w:rPr>
        <w:t>організації.</w:t>
      </w:r>
    </w:p>
    <w:p w14:paraId="1212F060" w14:textId="77777777" w:rsidR="0097612F" w:rsidRPr="000977F7" w:rsidRDefault="0097612F" w:rsidP="00FD39A4">
      <w:pPr>
        <w:pStyle w:val="7"/>
        <w:keepNext w:val="0"/>
        <w:keepLines w:val="0"/>
        <w:widowControl w:val="0"/>
        <w:numPr>
          <w:ilvl w:val="1"/>
          <w:numId w:val="62"/>
        </w:numPr>
        <w:tabs>
          <w:tab w:val="left" w:pos="284"/>
          <w:tab w:val="left" w:pos="1002"/>
        </w:tabs>
        <w:autoSpaceDE w:val="0"/>
        <w:autoSpaceDN w:val="0"/>
        <w:spacing w:before="0" w:line="240" w:lineRule="auto"/>
        <w:ind w:left="170" w:firstLine="0"/>
        <w:mirrorIndents/>
        <w:jc w:val="both"/>
        <w:rPr>
          <w:color w:val="auto"/>
          <w:sz w:val="20"/>
          <w:szCs w:val="20"/>
        </w:rPr>
      </w:pPr>
      <w:r w:rsidRPr="000977F7">
        <w:rPr>
          <w:color w:val="auto"/>
          <w:sz w:val="20"/>
          <w:szCs w:val="20"/>
        </w:rPr>
        <w:t>Законодавчі</w:t>
      </w:r>
      <w:r w:rsidRPr="000977F7">
        <w:rPr>
          <w:color w:val="auto"/>
          <w:spacing w:val="-7"/>
          <w:sz w:val="20"/>
          <w:szCs w:val="20"/>
        </w:rPr>
        <w:t xml:space="preserve"> </w:t>
      </w:r>
      <w:r w:rsidRPr="000977F7">
        <w:rPr>
          <w:color w:val="auto"/>
          <w:sz w:val="20"/>
          <w:szCs w:val="20"/>
        </w:rPr>
        <w:t>та інші</w:t>
      </w:r>
      <w:r w:rsidRPr="000977F7">
        <w:rPr>
          <w:color w:val="auto"/>
          <w:spacing w:val="-3"/>
          <w:sz w:val="20"/>
          <w:szCs w:val="20"/>
        </w:rPr>
        <w:t xml:space="preserve"> </w:t>
      </w:r>
      <w:r w:rsidRPr="000977F7">
        <w:rPr>
          <w:color w:val="auto"/>
          <w:sz w:val="20"/>
          <w:szCs w:val="20"/>
        </w:rPr>
        <w:t>вимоги</w:t>
      </w:r>
    </w:p>
    <w:p w14:paraId="7B9C5E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Прикладами інших документів, вимоги яких може</w:t>
      </w:r>
      <w:r w:rsidRPr="000977F7">
        <w:rPr>
          <w:rFonts w:asciiTheme="majorHAnsi" w:hAnsiTheme="majorHAnsi"/>
          <w:spacing w:val="1"/>
          <w:sz w:val="20"/>
          <w:szCs w:val="20"/>
        </w:rPr>
        <w:t xml:space="preserve"> </w:t>
      </w:r>
      <w:r w:rsidRPr="000977F7">
        <w:rPr>
          <w:rFonts w:asciiTheme="majorHAnsi" w:hAnsiTheme="majorHAnsi"/>
          <w:sz w:val="20"/>
          <w:szCs w:val="20"/>
        </w:rPr>
        <w:t>зобов’язатись</w:t>
      </w:r>
      <w:r w:rsidRPr="000977F7">
        <w:rPr>
          <w:rFonts w:asciiTheme="majorHAnsi" w:hAnsiTheme="majorHAnsi"/>
          <w:spacing w:val="-1"/>
          <w:sz w:val="20"/>
          <w:szCs w:val="20"/>
        </w:rPr>
        <w:t xml:space="preserve"> </w:t>
      </w:r>
      <w:r w:rsidRPr="000977F7">
        <w:rPr>
          <w:rFonts w:asciiTheme="majorHAnsi" w:hAnsiTheme="majorHAnsi"/>
          <w:sz w:val="20"/>
          <w:szCs w:val="20"/>
        </w:rPr>
        <w:t>виконувати</w:t>
      </w:r>
      <w:r w:rsidRPr="000977F7">
        <w:rPr>
          <w:rFonts w:asciiTheme="majorHAnsi" w:hAnsiTheme="majorHAnsi"/>
          <w:spacing w:val="-2"/>
          <w:sz w:val="20"/>
          <w:szCs w:val="20"/>
        </w:rPr>
        <w:t xml:space="preserve"> </w:t>
      </w:r>
      <w:r w:rsidRPr="000977F7">
        <w:rPr>
          <w:rFonts w:asciiTheme="majorHAnsi" w:hAnsiTheme="majorHAnsi"/>
          <w:sz w:val="20"/>
          <w:szCs w:val="20"/>
        </w:rPr>
        <w:t>організація, є:</w:t>
      </w:r>
    </w:p>
    <w:p w14:paraId="38F291F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 промислові кодекси, галузеві правила та норми,</w:t>
      </w:r>
      <w:r w:rsidRPr="000977F7">
        <w:rPr>
          <w:rFonts w:asciiTheme="majorHAnsi" w:hAnsiTheme="majorHAnsi"/>
          <w:spacing w:val="1"/>
          <w:sz w:val="20"/>
          <w:szCs w:val="20"/>
        </w:rPr>
        <w:t xml:space="preserve"> </w:t>
      </w:r>
      <w:r w:rsidRPr="000977F7">
        <w:rPr>
          <w:rFonts w:asciiTheme="majorHAnsi" w:hAnsiTheme="majorHAnsi"/>
          <w:sz w:val="20"/>
          <w:szCs w:val="20"/>
        </w:rPr>
        <w:t>інші</w:t>
      </w:r>
      <w:r w:rsidRPr="000977F7">
        <w:rPr>
          <w:rFonts w:asciiTheme="majorHAnsi" w:hAnsiTheme="majorHAnsi"/>
          <w:spacing w:val="-1"/>
          <w:sz w:val="20"/>
          <w:szCs w:val="20"/>
        </w:rPr>
        <w:t xml:space="preserve"> </w:t>
      </w:r>
      <w:r w:rsidRPr="000977F7">
        <w:rPr>
          <w:rFonts w:asciiTheme="majorHAnsi" w:hAnsiTheme="majorHAnsi"/>
          <w:sz w:val="20"/>
          <w:szCs w:val="20"/>
        </w:rPr>
        <w:t>кодекси</w:t>
      </w:r>
      <w:r w:rsidRPr="000977F7">
        <w:rPr>
          <w:rFonts w:asciiTheme="majorHAnsi" w:hAnsiTheme="majorHAnsi"/>
          <w:spacing w:val="-1"/>
          <w:sz w:val="20"/>
          <w:szCs w:val="20"/>
        </w:rPr>
        <w:t xml:space="preserve"> </w:t>
      </w:r>
      <w:r w:rsidRPr="000977F7">
        <w:rPr>
          <w:rFonts w:asciiTheme="majorHAnsi" w:hAnsiTheme="majorHAnsi"/>
          <w:sz w:val="20"/>
          <w:szCs w:val="20"/>
        </w:rPr>
        <w:t>практичної</w:t>
      </w:r>
      <w:r w:rsidRPr="000977F7">
        <w:rPr>
          <w:rFonts w:asciiTheme="majorHAnsi" w:hAnsiTheme="majorHAnsi"/>
          <w:spacing w:val="-2"/>
          <w:sz w:val="20"/>
          <w:szCs w:val="20"/>
        </w:rPr>
        <w:t xml:space="preserve"> </w:t>
      </w:r>
      <w:r w:rsidRPr="000977F7">
        <w:rPr>
          <w:rFonts w:asciiTheme="majorHAnsi" w:hAnsiTheme="majorHAnsi"/>
          <w:sz w:val="20"/>
          <w:szCs w:val="20"/>
        </w:rPr>
        <w:t>діяльності;</w:t>
      </w:r>
    </w:p>
    <w:p w14:paraId="4CD5E7D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 угоди та / або домовленості з органами державної</w:t>
      </w:r>
      <w:r w:rsidRPr="000977F7">
        <w:rPr>
          <w:rFonts w:asciiTheme="majorHAnsi" w:hAnsiTheme="majorHAnsi"/>
          <w:spacing w:val="-2"/>
          <w:sz w:val="20"/>
          <w:szCs w:val="20"/>
        </w:rPr>
        <w:t xml:space="preserve"> </w:t>
      </w:r>
      <w:r w:rsidRPr="000977F7">
        <w:rPr>
          <w:rFonts w:asciiTheme="majorHAnsi" w:hAnsiTheme="majorHAnsi"/>
          <w:sz w:val="20"/>
          <w:szCs w:val="20"/>
        </w:rPr>
        <w:t>і місцевої</w:t>
      </w:r>
      <w:r w:rsidRPr="000977F7">
        <w:rPr>
          <w:rFonts w:asciiTheme="majorHAnsi" w:hAnsiTheme="majorHAnsi"/>
          <w:spacing w:val="-1"/>
          <w:sz w:val="20"/>
          <w:szCs w:val="20"/>
        </w:rPr>
        <w:t xml:space="preserve"> </w:t>
      </w:r>
      <w:r w:rsidRPr="000977F7">
        <w:rPr>
          <w:rFonts w:asciiTheme="majorHAnsi" w:hAnsiTheme="majorHAnsi"/>
          <w:sz w:val="20"/>
          <w:szCs w:val="20"/>
        </w:rPr>
        <w:t>влади;</w:t>
      </w:r>
    </w:p>
    <w:p w14:paraId="452B6D9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w:t>
      </w:r>
      <w:r w:rsidRPr="000977F7">
        <w:rPr>
          <w:rFonts w:asciiTheme="majorHAnsi" w:hAnsiTheme="majorHAnsi"/>
          <w:spacing w:val="-3"/>
          <w:sz w:val="20"/>
          <w:szCs w:val="20"/>
        </w:rPr>
        <w:t xml:space="preserve"> </w:t>
      </w:r>
      <w:r w:rsidRPr="000977F7">
        <w:rPr>
          <w:rFonts w:asciiTheme="majorHAnsi" w:hAnsiTheme="majorHAnsi"/>
          <w:sz w:val="20"/>
          <w:szCs w:val="20"/>
        </w:rPr>
        <w:t>настанови,</w:t>
      </w:r>
      <w:r w:rsidRPr="000977F7">
        <w:rPr>
          <w:rFonts w:asciiTheme="majorHAnsi" w:hAnsiTheme="majorHAnsi"/>
          <w:spacing w:val="-2"/>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2"/>
          <w:sz w:val="20"/>
          <w:szCs w:val="20"/>
        </w:rPr>
        <w:t xml:space="preserve"> </w:t>
      </w:r>
      <w:r w:rsidRPr="000977F7">
        <w:rPr>
          <w:rFonts w:asciiTheme="majorHAnsi" w:hAnsiTheme="majorHAnsi"/>
          <w:sz w:val="20"/>
          <w:szCs w:val="20"/>
        </w:rPr>
        <w:t>є</w:t>
      </w:r>
      <w:r w:rsidRPr="000977F7">
        <w:rPr>
          <w:rFonts w:asciiTheme="majorHAnsi" w:hAnsiTheme="majorHAnsi"/>
          <w:spacing w:val="-2"/>
          <w:sz w:val="20"/>
          <w:szCs w:val="20"/>
        </w:rPr>
        <w:t xml:space="preserve"> </w:t>
      </w:r>
      <w:r w:rsidRPr="000977F7">
        <w:rPr>
          <w:rFonts w:asciiTheme="majorHAnsi" w:hAnsiTheme="majorHAnsi"/>
          <w:sz w:val="20"/>
          <w:szCs w:val="20"/>
        </w:rPr>
        <w:t>обов’язковими</w:t>
      </w:r>
      <w:r w:rsidRPr="000977F7">
        <w:rPr>
          <w:rFonts w:asciiTheme="majorHAnsi" w:hAnsiTheme="majorHAnsi"/>
          <w:spacing w:val="-3"/>
          <w:sz w:val="20"/>
          <w:szCs w:val="20"/>
        </w:rPr>
        <w:t xml:space="preserve"> </w:t>
      </w:r>
      <w:r w:rsidRPr="000977F7">
        <w:rPr>
          <w:rFonts w:asciiTheme="majorHAnsi" w:hAnsiTheme="majorHAnsi"/>
          <w:sz w:val="20"/>
          <w:szCs w:val="20"/>
        </w:rPr>
        <w:t>регламентами.</w:t>
      </w:r>
    </w:p>
    <w:p w14:paraId="2E18B8FD" w14:textId="77777777" w:rsidR="0097612F" w:rsidRPr="000977F7" w:rsidRDefault="0097612F" w:rsidP="00FD39A4">
      <w:pPr>
        <w:pStyle w:val="7"/>
        <w:keepNext w:val="0"/>
        <w:keepLines w:val="0"/>
        <w:widowControl w:val="0"/>
        <w:numPr>
          <w:ilvl w:val="1"/>
          <w:numId w:val="62"/>
        </w:numPr>
        <w:tabs>
          <w:tab w:val="left" w:pos="284"/>
          <w:tab w:val="left" w:pos="1002"/>
        </w:tabs>
        <w:autoSpaceDE w:val="0"/>
        <w:autoSpaceDN w:val="0"/>
        <w:spacing w:before="0" w:line="240" w:lineRule="auto"/>
        <w:ind w:left="170" w:firstLine="0"/>
        <w:mirrorIndents/>
        <w:jc w:val="both"/>
        <w:rPr>
          <w:color w:val="auto"/>
          <w:sz w:val="20"/>
          <w:szCs w:val="20"/>
        </w:rPr>
      </w:pPr>
      <w:r w:rsidRPr="000977F7">
        <w:rPr>
          <w:color w:val="auto"/>
          <w:sz w:val="20"/>
          <w:szCs w:val="20"/>
        </w:rPr>
        <w:t>Цілі</w:t>
      </w:r>
      <w:r w:rsidRPr="000977F7">
        <w:rPr>
          <w:color w:val="auto"/>
          <w:spacing w:val="-5"/>
          <w:sz w:val="20"/>
          <w:szCs w:val="20"/>
        </w:rPr>
        <w:t xml:space="preserve"> </w:t>
      </w:r>
      <w:r w:rsidRPr="000977F7">
        <w:rPr>
          <w:color w:val="auto"/>
          <w:sz w:val="20"/>
          <w:szCs w:val="20"/>
        </w:rPr>
        <w:t>та</w:t>
      </w:r>
      <w:r w:rsidRPr="000977F7">
        <w:rPr>
          <w:color w:val="auto"/>
          <w:spacing w:val="-1"/>
          <w:sz w:val="20"/>
          <w:szCs w:val="20"/>
        </w:rPr>
        <w:t xml:space="preserve"> </w:t>
      </w:r>
      <w:r w:rsidRPr="000977F7">
        <w:rPr>
          <w:color w:val="auto"/>
          <w:sz w:val="20"/>
          <w:szCs w:val="20"/>
        </w:rPr>
        <w:t>завдання</w:t>
      </w:r>
    </w:p>
    <w:p w14:paraId="057D880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Цілі повинні бути конкретними, а завдання повинні підлягати оцінюванню, де це можливо, і враховувати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запобіжні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заходи, якщо це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їм властиво.</w:t>
      </w:r>
    </w:p>
    <w:p w14:paraId="3BD8E86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Під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вибору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варіантів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технологій</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організації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слід обміркувати можливість застосування найкращої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екологічної точки зору 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наявних технологій,</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якщо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це доцільно, враховуючи при цьому її вартість і прийнятність.</w:t>
      </w:r>
    </w:p>
    <w:p w14:paraId="0B59CD6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Посилання на фінансові вимоги чи обмеження не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 xml:space="preserve">означає, що необхідно застосовувати методології </w:t>
      </w:r>
      <w:r w:rsidRPr="004D2D14">
        <w:rPr>
          <w:rFonts w:asciiTheme="majorHAnsi" w:hAnsiTheme="majorHAnsi"/>
          <w:sz w:val="20"/>
          <w:szCs w:val="20"/>
          <w:lang w:val="uk-UA"/>
        </w:rPr>
        <w:t>розрахунку собівартості, спеціалізовані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врахування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вимог</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екології.</w:t>
      </w:r>
    </w:p>
    <w:p w14:paraId="0F28E107" w14:textId="77777777" w:rsidR="0097612F" w:rsidRPr="000977F7" w:rsidRDefault="0097612F" w:rsidP="00FD39A4">
      <w:pPr>
        <w:pStyle w:val="7"/>
        <w:keepNext w:val="0"/>
        <w:keepLines w:val="0"/>
        <w:widowControl w:val="0"/>
        <w:numPr>
          <w:ilvl w:val="1"/>
          <w:numId w:val="62"/>
        </w:numPr>
        <w:tabs>
          <w:tab w:val="left" w:pos="284"/>
          <w:tab w:val="left" w:pos="1162"/>
        </w:tabs>
        <w:autoSpaceDE w:val="0"/>
        <w:autoSpaceDN w:val="0"/>
        <w:spacing w:before="0" w:line="240" w:lineRule="auto"/>
        <w:ind w:left="170" w:firstLine="0"/>
        <w:mirrorIndents/>
        <w:jc w:val="both"/>
        <w:rPr>
          <w:color w:val="auto"/>
          <w:sz w:val="20"/>
          <w:szCs w:val="20"/>
        </w:rPr>
      </w:pPr>
      <w:r w:rsidRPr="000977F7">
        <w:rPr>
          <w:color w:val="auto"/>
          <w:sz w:val="20"/>
          <w:szCs w:val="20"/>
        </w:rPr>
        <w:t>Програма(и) управління навколишнім середовищем.</w:t>
      </w:r>
    </w:p>
    <w:p w14:paraId="2E4D746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Розроблення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однієї</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кількох</w:t>
      </w:r>
      <w:r w:rsidRPr="000977F7">
        <w:rPr>
          <w:rFonts w:asciiTheme="majorHAnsi" w:hAnsiTheme="majorHAnsi"/>
          <w:spacing w:val="1"/>
          <w:sz w:val="20"/>
          <w:szCs w:val="20"/>
        </w:rPr>
        <w:t xml:space="preserve"> </w:t>
      </w:r>
      <w:r w:rsidRPr="000977F7">
        <w:rPr>
          <w:rFonts w:asciiTheme="majorHAnsi" w:hAnsiTheme="majorHAnsi"/>
          <w:sz w:val="20"/>
          <w:szCs w:val="20"/>
        </w:rPr>
        <w:t>програм</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головним</w:t>
      </w:r>
      <w:r w:rsidRPr="000977F7">
        <w:rPr>
          <w:rFonts w:asciiTheme="majorHAnsi" w:hAnsiTheme="majorHAnsi"/>
          <w:spacing w:val="1"/>
          <w:sz w:val="20"/>
          <w:szCs w:val="20"/>
        </w:rPr>
        <w:t xml:space="preserve"> </w:t>
      </w:r>
      <w:r w:rsidRPr="000977F7">
        <w:rPr>
          <w:rFonts w:asciiTheme="majorHAnsi" w:hAnsiTheme="majorHAnsi"/>
          <w:sz w:val="20"/>
          <w:szCs w:val="20"/>
        </w:rPr>
        <w:t>елементом</w:t>
      </w:r>
      <w:r w:rsidRPr="000977F7">
        <w:rPr>
          <w:rFonts w:asciiTheme="majorHAnsi" w:hAnsiTheme="majorHAnsi"/>
          <w:spacing w:val="1"/>
          <w:sz w:val="20"/>
          <w:szCs w:val="20"/>
        </w:rPr>
        <w:t xml:space="preserve"> </w:t>
      </w:r>
      <w:r w:rsidRPr="000977F7">
        <w:rPr>
          <w:rFonts w:asciiTheme="majorHAnsi" w:hAnsiTheme="majorHAnsi"/>
          <w:sz w:val="20"/>
          <w:szCs w:val="20"/>
        </w:rPr>
        <w:t>успішного</w:t>
      </w:r>
      <w:r w:rsidRPr="000977F7">
        <w:rPr>
          <w:rFonts w:asciiTheme="majorHAnsi" w:hAnsiTheme="majorHAnsi"/>
          <w:spacing w:val="1"/>
          <w:sz w:val="20"/>
          <w:szCs w:val="20"/>
        </w:rPr>
        <w:t xml:space="preserve"> </w:t>
      </w:r>
      <w:r w:rsidRPr="000977F7">
        <w:rPr>
          <w:rFonts w:asciiTheme="majorHAnsi" w:hAnsiTheme="majorHAnsi"/>
          <w:sz w:val="20"/>
          <w:szCs w:val="20"/>
        </w:rPr>
        <w:t>впровадження і функціонування системи управління навколишнім середовищем. Програма повинна описувати,</w:t>
      </w:r>
      <w:r w:rsidRPr="000977F7">
        <w:rPr>
          <w:rFonts w:asciiTheme="majorHAnsi" w:hAnsiTheme="majorHAnsi"/>
          <w:spacing w:val="1"/>
          <w:sz w:val="20"/>
          <w:szCs w:val="20"/>
        </w:rPr>
        <w:t xml:space="preserve"> </w:t>
      </w:r>
      <w:r w:rsidRPr="000977F7">
        <w:rPr>
          <w:rFonts w:asciiTheme="majorHAnsi" w:hAnsiTheme="majorHAnsi"/>
          <w:sz w:val="20"/>
          <w:szCs w:val="20"/>
        </w:rPr>
        <w:t>яким чином будуть досягнуті цілі та завдання організації, включаючи відповідний період часу, ресурси, а</w:t>
      </w:r>
      <w:r w:rsidRPr="000977F7">
        <w:rPr>
          <w:rFonts w:asciiTheme="majorHAnsi" w:hAnsiTheme="majorHAnsi"/>
          <w:spacing w:val="1"/>
          <w:sz w:val="20"/>
          <w:szCs w:val="20"/>
        </w:rPr>
        <w:t xml:space="preserve"> </w:t>
      </w:r>
      <w:r w:rsidRPr="000977F7">
        <w:rPr>
          <w:rFonts w:asciiTheme="majorHAnsi" w:hAnsiTheme="majorHAnsi"/>
          <w:sz w:val="20"/>
          <w:szCs w:val="20"/>
        </w:rPr>
        <w:t>також персонал, відповідальний за реалізацію економічної політики.</w:t>
      </w:r>
      <w:r w:rsidRPr="000977F7">
        <w:rPr>
          <w:rFonts w:asciiTheme="majorHAnsi" w:hAnsiTheme="majorHAnsi"/>
          <w:spacing w:val="1"/>
          <w:sz w:val="20"/>
          <w:szCs w:val="20"/>
        </w:rPr>
        <w:t xml:space="preserve"> </w:t>
      </w:r>
      <w:r w:rsidRPr="000977F7">
        <w:rPr>
          <w:rFonts w:asciiTheme="majorHAnsi" w:hAnsiTheme="majorHAnsi"/>
          <w:sz w:val="20"/>
          <w:szCs w:val="20"/>
        </w:rPr>
        <w:t>Ця програма може бути достатньо</w:t>
      </w:r>
      <w:r w:rsidRPr="000977F7">
        <w:rPr>
          <w:rFonts w:asciiTheme="majorHAnsi" w:hAnsiTheme="majorHAnsi"/>
          <w:spacing w:val="1"/>
          <w:sz w:val="20"/>
          <w:szCs w:val="20"/>
        </w:rPr>
        <w:t xml:space="preserve"> </w:t>
      </w:r>
      <w:r w:rsidRPr="000977F7">
        <w:rPr>
          <w:rFonts w:asciiTheme="majorHAnsi" w:hAnsiTheme="majorHAnsi"/>
          <w:sz w:val="20"/>
          <w:szCs w:val="20"/>
        </w:rPr>
        <w:t>деталізованою для того, щоб охопити конкретні елементи функціонування організації. Програма повинна</w:t>
      </w:r>
      <w:r w:rsidRPr="000977F7">
        <w:rPr>
          <w:rFonts w:asciiTheme="majorHAnsi" w:hAnsiTheme="majorHAnsi"/>
          <w:spacing w:val="1"/>
          <w:sz w:val="20"/>
          <w:szCs w:val="20"/>
        </w:rPr>
        <w:t xml:space="preserve"> </w:t>
      </w:r>
      <w:r w:rsidRPr="000977F7">
        <w:rPr>
          <w:rFonts w:asciiTheme="majorHAnsi" w:hAnsiTheme="majorHAnsi"/>
          <w:sz w:val="20"/>
          <w:szCs w:val="20"/>
        </w:rPr>
        <w:t>включати перевірку дотримання вимог щодо екології</w:t>
      </w:r>
      <w:r w:rsidRPr="000977F7">
        <w:rPr>
          <w:rFonts w:asciiTheme="majorHAnsi" w:hAnsiTheme="majorHAnsi"/>
          <w:spacing w:val="1"/>
          <w:sz w:val="20"/>
          <w:szCs w:val="20"/>
        </w:rPr>
        <w:t xml:space="preserve"> </w:t>
      </w:r>
      <w:r w:rsidRPr="000977F7">
        <w:rPr>
          <w:rFonts w:asciiTheme="majorHAnsi" w:hAnsiTheme="majorHAnsi"/>
          <w:sz w:val="20"/>
          <w:szCs w:val="20"/>
        </w:rPr>
        <w:t>під час впровадження нових видів діяльності, продукції</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 чи</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p>
    <w:p w14:paraId="6C77695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Програма може включати де це доцільно і можливо, роботи на стадіях планування, проектування, виробництва, збуду і реалізації. Це може бути виконано</w:t>
      </w:r>
      <w:r w:rsidRPr="000977F7">
        <w:rPr>
          <w:rFonts w:asciiTheme="majorHAnsi" w:hAnsiTheme="majorHAnsi"/>
          <w:spacing w:val="1"/>
          <w:sz w:val="20"/>
          <w:szCs w:val="20"/>
        </w:rPr>
        <w:t xml:space="preserve"> </w:t>
      </w:r>
      <w:r w:rsidRPr="000977F7">
        <w:rPr>
          <w:rFonts w:asciiTheme="majorHAnsi" w:hAnsiTheme="majorHAnsi"/>
          <w:sz w:val="20"/>
          <w:szCs w:val="20"/>
        </w:rPr>
        <w:t>як для здійснюваної, так і для нової діяльності,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чи послуг.</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програма</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наприклад, охоплювати стадію розроблення, матеріали, виробничі процеси, умови передання в користуванні</w:t>
      </w:r>
      <w:r w:rsidRPr="000977F7">
        <w:rPr>
          <w:rFonts w:asciiTheme="majorHAnsi" w:hAnsiTheme="majorHAnsi"/>
          <w:spacing w:val="1"/>
          <w:sz w:val="20"/>
          <w:szCs w:val="20"/>
        </w:rPr>
        <w:t xml:space="preserve"> </w:t>
      </w:r>
      <w:r w:rsidRPr="000977F7">
        <w:rPr>
          <w:rFonts w:asciiTheme="majorHAnsi" w:hAnsiTheme="majorHAnsi"/>
          <w:sz w:val="20"/>
          <w:szCs w:val="20"/>
        </w:rPr>
        <w:t>чи в</w:t>
      </w:r>
      <w:r w:rsidRPr="000977F7">
        <w:rPr>
          <w:rFonts w:asciiTheme="majorHAnsi" w:hAnsiTheme="majorHAnsi"/>
          <w:spacing w:val="1"/>
          <w:sz w:val="20"/>
          <w:szCs w:val="20"/>
        </w:rPr>
        <w:t xml:space="preserve"> </w:t>
      </w:r>
      <w:r w:rsidRPr="000977F7">
        <w:rPr>
          <w:rFonts w:asciiTheme="majorHAnsi" w:hAnsiTheme="majorHAnsi"/>
          <w:sz w:val="20"/>
          <w:szCs w:val="20"/>
        </w:rPr>
        <w:t>повне</w:t>
      </w:r>
      <w:r w:rsidRPr="000977F7">
        <w:rPr>
          <w:rFonts w:asciiTheme="majorHAnsi" w:hAnsiTheme="majorHAnsi"/>
          <w:spacing w:val="1"/>
          <w:sz w:val="20"/>
          <w:szCs w:val="20"/>
        </w:rPr>
        <w:t xml:space="preserve"> </w:t>
      </w:r>
      <w:r w:rsidRPr="000977F7">
        <w:rPr>
          <w:rFonts w:asciiTheme="majorHAnsi" w:hAnsiTheme="majorHAnsi"/>
          <w:sz w:val="20"/>
          <w:szCs w:val="20"/>
        </w:rPr>
        <w:t>розпорядження.</w:t>
      </w:r>
      <w:r w:rsidRPr="000977F7">
        <w:rPr>
          <w:rFonts w:asciiTheme="majorHAnsi" w:hAnsiTheme="majorHAnsi"/>
          <w:spacing w:val="1"/>
          <w:sz w:val="20"/>
          <w:szCs w:val="20"/>
        </w:rPr>
        <w:t xml:space="preserve"> </w:t>
      </w:r>
      <w:r w:rsidRPr="000977F7">
        <w:rPr>
          <w:rFonts w:asciiTheme="majorHAnsi" w:hAnsiTheme="majorHAnsi"/>
          <w:sz w:val="20"/>
          <w:szCs w:val="20"/>
        </w:rPr>
        <w:t>Стосовно</w:t>
      </w:r>
      <w:r w:rsidRPr="000977F7">
        <w:rPr>
          <w:rFonts w:asciiTheme="majorHAnsi" w:hAnsiTheme="majorHAnsi"/>
          <w:spacing w:val="1"/>
          <w:sz w:val="20"/>
          <w:szCs w:val="20"/>
        </w:rPr>
        <w:t xml:space="preserve"> </w:t>
      </w:r>
      <w:r w:rsidRPr="000977F7">
        <w:rPr>
          <w:rFonts w:asciiTheme="majorHAnsi" w:hAnsiTheme="majorHAnsi"/>
          <w:sz w:val="20"/>
          <w:szCs w:val="20"/>
        </w:rPr>
        <w:t>впроваджуваних нових технологічних процесів або значних</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модифікацій</w:t>
      </w:r>
      <w:r w:rsidRPr="000977F7">
        <w:rPr>
          <w:rFonts w:asciiTheme="majorHAnsi" w:hAnsiTheme="majorHAnsi"/>
          <w:spacing w:val="1"/>
          <w:sz w:val="20"/>
          <w:szCs w:val="20"/>
        </w:rPr>
        <w:t xml:space="preserve"> </w:t>
      </w:r>
      <w:r w:rsidRPr="000977F7">
        <w:rPr>
          <w:rFonts w:asciiTheme="majorHAnsi" w:hAnsiTheme="majorHAnsi"/>
          <w:sz w:val="20"/>
          <w:szCs w:val="20"/>
        </w:rPr>
        <w:t>програма</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охоплювати</w:t>
      </w:r>
      <w:r w:rsidRPr="000977F7">
        <w:rPr>
          <w:rFonts w:asciiTheme="majorHAnsi" w:hAnsiTheme="majorHAnsi"/>
          <w:spacing w:val="1"/>
          <w:sz w:val="20"/>
          <w:szCs w:val="20"/>
        </w:rPr>
        <w:t xml:space="preserve"> </w:t>
      </w:r>
      <w:r w:rsidRPr="000977F7">
        <w:rPr>
          <w:rFonts w:asciiTheme="majorHAnsi" w:hAnsiTheme="majorHAnsi"/>
          <w:sz w:val="20"/>
          <w:szCs w:val="20"/>
        </w:rPr>
        <w:t>стадії</w:t>
      </w:r>
      <w:r w:rsidRPr="000977F7">
        <w:rPr>
          <w:rFonts w:asciiTheme="majorHAnsi" w:hAnsiTheme="majorHAnsi"/>
          <w:spacing w:val="1"/>
          <w:sz w:val="20"/>
          <w:szCs w:val="20"/>
        </w:rPr>
        <w:t xml:space="preserve"> </w:t>
      </w:r>
      <w:r w:rsidRPr="000977F7">
        <w:rPr>
          <w:rFonts w:asciiTheme="majorHAnsi" w:hAnsiTheme="majorHAnsi"/>
          <w:sz w:val="20"/>
          <w:szCs w:val="20"/>
        </w:rPr>
        <w:t>планування,</w:t>
      </w:r>
      <w:r w:rsidRPr="000977F7">
        <w:rPr>
          <w:rFonts w:asciiTheme="majorHAnsi" w:hAnsiTheme="majorHAnsi"/>
          <w:spacing w:val="34"/>
          <w:sz w:val="20"/>
          <w:szCs w:val="20"/>
        </w:rPr>
        <w:t xml:space="preserve"> </w:t>
      </w:r>
      <w:r w:rsidRPr="000977F7">
        <w:rPr>
          <w:rFonts w:asciiTheme="majorHAnsi" w:hAnsiTheme="majorHAnsi"/>
          <w:sz w:val="20"/>
          <w:szCs w:val="20"/>
        </w:rPr>
        <w:t>проектування,</w:t>
      </w:r>
      <w:r w:rsidRPr="000977F7">
        <w:rPr>
          <w:rFonts w:asciiTheme="majorHAnsi" w:hAnsiTheme="majorHAnsi"/>
          <w:spacing w:val="35"/>
          <w:sz w:val="20"/>
          <w:szCs w:val="20"/>
        </w:rPr>
        <w:t xml:space="preserve"> </w:t>
      </w:r>
      <w:r w:rsidRPr="000977F7">
        <w:rPr>
          <w:rFonts w:asciiTheme="majorHAnsi" w:hAnsiTheme="majorHAnsi"/>
          <w:sz w:val="20"/>
          <w:szCs w:val="20"/>
        </w:rPr>
        <w:t>конструювання,</w:t>
      </w:r>
      <w:r w:rsidRPr="000977F7">
        <w:rPr>
          <w:rFonts w:asciiTheme="majorHAnsi" w:hAnsiTheme="majorHAnsi"/>
          <w:spacing w:val="34"/>
          <w:sz w:val="20"/>
          <w:szCs w:val="20"/>
        </w:rPr>
        <w:t xml:space="preserve"> </w:t>
      </w:r>
      <w:r w:rsidRPr="000977F7">
        <w:rPr>
          <w:rFonts w:asciiTheme="majorHAnsi" w:hAnsiTheme="majorHAnsi"/>
          <w:sz w:val="20"/>
          <w:szCs w:val="20"/>
        </w:rPr>
        <w:t>введення</w:t>
      </w:r>
      <w:r w:rsidRPr="000977F7">
        <w:rPr>
          <w:rFonts w:asciiTheme="majorHAnsi" w:hAnsiTheme="majorHAnsi"/>
          <w:spacing w:val="-48"/>
          <w:sz w:val="20"/>
          <w:szCs w:val="20"/>
        </w:rPr>
        <w:t xml:space="preserve"> </w:t>
      </w:r>
      <w:r w:rsidRPr="000977F7">
        <w:rPr>
          <w:rFonts w:asciiTheme="majorHAnsi" w:hAnsiTheme="majorHAnsi"/>
          <w:sz w:val="20"/>
          <w:szCs w:val="20"/>
        </w:rPr>
        <w:t>в промислову експлуатацію, експлуатації та виводу з</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експлуатації через певний період часу, встановлений</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організацією.</w:t>
      </w:r>
    </w:p>
    <w:p w14:paraId="3C11D560" w14:textId="77777777" w:rsidR="0097612F" w:rsidRPr="000977F7" w:rsidRDefault="0097612F" w:rsidP="00FD39A4">
      <w:pPr>
        <w:pStyle w:val="7"/>
        <w:keepNext w:val="0"/>
        <w:keepLines w:val="0"/>
        <w:widowControl w:val="0"/>
        <w:numPr>
          <w:ilvl w:val="0"/>
          <w:numId w:val="145"/>
        </w:numPr>
        <w:tabs>
          <w:tab w:val="left" w:pos="284"/>
          <w:tab w:val="left" w:pos="925"/>
        </w:tabs>
        <w:autoSpaceDE w:val="0"/>
        <w:autoSpaceDN w:val="0"/>
        <w:spacing w:before="0" w:line="240" w:lineRule="auto"/>
        <w:ind w:left="170" w:firstLine="0"/>
        <w:mirrorIndents/>
        <w:jc w:val="both"/>
        <w:rPr>
          <w:color w:val="auto"/>
          <w:sz w:val="20"/>
          <w:szCs w:val="20"/>
        </w:rPr>
      </w:pPr>
      <w:r w:rsidRPr="000977F7">
        <w:rPr>
          <w:color w:val="auto"/>
          <w:sz w:val="20"/>
          <w:szCs w:val="20"/>
        </w:rPr>
        <w:t>Впровадження</w:t>
      </w:r>
      <w:r w:rsidRPr="000977F7">
        <w:rPr>
          <w:color w:val="auto"/>
          <w:spacing w:val="-7"/>
          <w:sz w:val="20"/>
          <w:szCs w:val="20"/>
        </w:rPr>
        <w:t xml:space="preserve"> </w:t>
      </w:r>
      <w:r w:rsidRPr="000977F7">
        <w:rPr>
          <w:color w:val="auto"/>
          <w:sz w:val="20"/>
          <w:szCs w:val="20"/>
        </w:rPr>
        <w:t>та</w:t>
      </w:r>
      <w:r w:rsidRPr="000977F7">
        <w:rPr>
          <w:color w:val="auto"/>
          <w:spacing w:val="-3"/>
          <w:sz w:val="20"/>
          <w:szCs w:val="20"/>
        </w:rPr>
        <w:t xml:space="preserve"> </w:t>
      </w:r>
      <w:r w:rsidRPr="000977F7">
        <w:rPr>
          <w:color w:val="auto"/>
          <w:sz w:val="20"/>
          <w:szCs w:val="20"/>
        </w:rPr>
        <w:t>функціонування</w:t>
      </w:r>
    </w:p>
    <w:p w14:paraId="13338D88" w14:textId="77777777" w:rsidR="0097612F" w:rsidRPr="000977F7" w:rsidRDefault="0097612F" w:rsidP="00FD39A4">
      <w:pPr>
        <w:pStyle w:val="ac"/>
        <w:widowControl w:val="0"/>
        <w:numPr>
          <w:ilvl w:val="1"/>
          <w:numId w:val="145"/>
        </w:numPr>
        <w:tabs>
          <w:tab w:val="left" w:pos="284"/>
          <w:tab w:val="left" w:pos="1122"/>
        </w:tabs>
        <w:autoSpaceDE w:val="0"/>
        <w:autoSpaceDN w:val="0"/>
        <w:spacing w:after="0" w:line="240" w:lineRule="auto"/>
        <w:ind w:left="170" w:firstLine="0"/>
        <w:contextualSpacing w:val="0"/>
        <w:mirrorIndents/>
        <w:jc w:val="both"/>
        <w:rPr>
          <w:rFonts w:asciiTheme="majorHAnsi" w:hAnsiTheme="majorHAnsi"/>
          <w:b/>
          <w:sz w:val="20"/>
          <w:szCs w:val="20"/>
        </w:rPr>
      </w:pPr>
      <w:r w:rsidRPr="000977F7">
        <w:rPr>
          <w:rFonts w:asciiTheme="majorHAnsi" w:hAnsiTheme="majorHAnsi"/>
          <w:b/>
          <w:sz w:val="20"/>
          <w:szCs w:val="20"/>
        </w:rPr>
        <w:t>Організаційна</w:t>
      </w:r>
      <w:r w:rsidRPr="000977F7">
        <w:rPr>
          <w:rFonts w:asciiTheme="majorHAnsi" w:hAnsiTheme="majorHAnsi"/>
          <w:b/>
          <w:spacing w:val="1"/>
          <w:sz w:val="20"/>
          <w:szCs w:val="20"/>
        </w:rPr>
        <w:t xml:space="preserve"> </w:t>
      </w:r>
      <w:r w:rsidRPr="000977F7">
        <w:rPr>
          <w:rFonts w:asciiTheme="majorHAnsi" w:hAnsiTheme="majorHAnsi"/>
          <w:b/>
          <w:sz w:val="20"/>
          <w:szCs w:val="20"/>
        </w:rPr>
        <w:t>структура</w:t>
      </w:r>
      <w:r w:rsidRPr="000977F7">
        <w:rPr>
          <w:rFonts w:asciiTheme="majorHAnsi" w:hAnsiTheme="majorHAnsi"/>
          <w:b/>
          <w:spacing w:val="1"/>
          <w:sz w:val="20"/>
          <w:szCs w:val="20"/>
        </w:rPr>
        <w:t xml:space="preserve"> </w:t>
      </w:r>
      <w:r w:rsidRPr="000977F7">
        <w:rPr>
          <w:rFonts w:asciiTheme="majorHAnsi" w:hAnsiTheme="majorHAnsi"/>
          <w:b/>
          <w:sz w:val="20"/>
          <w:szCs w:val="20"/>
        </w:rPr>
        <w:t>та</w:t>
      </w:r>
      <w:r w:rsidRPr="000977F7">
        <w:rPr>
          <w:rFonts w:asciiTheme="majorHAnsi" w:hAnsiTheme="majorHAnsi"/>
          <w:b/>
          <w:spacing w:val="1"/>
          <w:sz w:val="20"/>
          <w:szCs w:val="20"/>
        </w:rPr>
        <w:t xml:space="preserve"> </w:t>
      </w:r>
      <w:r w:rsidRPr="000977F7">
        <w:rPr>
          <w:rFonts w:asciiTheme="majorHAnsi" w:hAnsiTheme="majorHAnsi"/>
          <w:b/>
          <w:sz w:val="20"/>
          <w:szCs w:val="20"/>
        </w:rPr>
        <w:t>відповідальність</w:t>
      </w:r>
    </w:p>
    <w:p w14:paraId="3BC9631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Успішне</w:t>
      </w:r>
      <w:r w:rsidRPr="000977F7">
        <w:rPr>
          <w:rFonts w:asciiTheme="majorHAnsi" w:hAnsiTheme="majorHAnsi"/>
          <w:spacing w:val="1"/>
          <w:sz w:val="20"/>
          <w:szCs w:val="20"/>
        </w:rPr>
        <w:t xml:space="preserve"> </w:t>
      </w:r>
      <w:r w:rsidRPr="000977F7">
        <w:rPr>
          <w:rFonts w:asciiTheme="majorHAnsi" w:hAnsiTheme="majorHAnsi"/>
          <w:sz w:val="20"/>
          <w:szCs w:val="20"/>
        </w:rPr>
        <w:t>впровадження</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навколишнім середовищем вимагає участі всіх працівників організації. Тому обов’язки в цій сфері не повинні розглядатись як такі, що обмежуються функціями, пов’язаними з суто екологічними аспектами діяльності організації. Вони можуть охоплювати також</w:t>
      </w:r>
      <w:r w:rsidRPr="000977F7">
        <w:rPr>
          <w:rFonts w:asciiTheme="majorHAnsi" w:hAnsiTheme="majorHAnsi"/>
          <w:spacing w:val="1"/>
          <w:sz w:val="20"/>
          <w:szCs w:val="20"/>
        </w:rPr>
        <w:t xml:space="preserve"> </w:t>
      </w:r>
      <w:r w:rsidRPr="000977F7">
        <w:rPr>
          <w:rFonts w:asciiTheme="majorHAnsi" w:hAnsiTheme="majorHAnsi"/>
          <w:sz w:val="20"/>
          <w:szCs w:val="20"/>
        </w:rPr>
        <w:t>інші сфери функціонування організації, такі як 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роботами</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функції</w:t>
      </w:r>
      <w:r w:rsidRPr="000977F7">
        <w:rPr>
          <w:rFonts w:asciiTheme="majorHAnsi" w:hAnsiTheme="majorHAnsi"/>
          <w:spacing w:val="1"/>
          <w:sz w:val="20"/>
          <w:szCs w:val="20"/>
        </w:rPr>
        <w:t xml:space="preserve"> </w:t>
      </w:r>
      <w:r w:rsidRPr="000977F7">
        <w:rPr>
          <w:rFonts w:asciiTheme="majorHAnsi" w:hAnsiTheme="majorHAnsi"/>
          <w:sz w:val="20"/>
          <w:szCs w:val="20"/>
        </w:rPr>
        <w:t>персоналу,</w:t>
      </w:r>
      <w:r w:rsidRPr="000977F7">
        <w:rPr>
          <w:rFonts w:asciiTheme="majorHAnsi" w:hAnsiTheme="majorHAnsi"/>
          <w:spacing w:val="1"/>
          <w:sz w:val="20"/>
          <w:szCs w:val="20"/>
        </w:rPr>
        <w:t xml:space="preserve"> </w:t>
      </w:r>
      <w:r w:rsidRPr="000977F7">
        <w:rPr>
          <w:rFonts w:asciiTheme="majorHAnsi" w:hAnsiTheme="majorHAnsi"/>
          <w:sz w:val="20"/>
          <w:szCs w:val="20"/>
        </w:rPr>
        <w:t>непов’язані</w:t>
      </w:r>
      <w:r w:rsidRPr="000977F7">
        <w:rPr>
          <w:rFonts w:asciiTheme="majorHAnsi" w:hAnsiTheme="majorHAnsi"/>
          <w:spacing w:val="1"/>
          <w:sz w:val="20"/>
          <w:szCs w:val="20"/>
        </w:rPr>
        <w:t xml:space="preserve"> </w:t>
      </w:r>
      <w:r w:rsidRPr="000977F7">
        <w:rPr>
          <w:rFonts w:asciiTheme="majorHAnsi" w:hAnsiTheme="majorHAnsi"/>
          <w:sz w:val="20"/>
          <w:szCs w:val="20"/>
        </w:rPr>
        <w:t>безпосередньо з</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навколишнім середовищем.</w:t>
      </w:r>
    </w:p>
    <w:p w14:paraId="37EB242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 участі у впровадженні системи повинні залучатись</w:t>
      </w:r>
      <w:r w:rsidRPr="000977F7">
        <w:rPr>
          <w:rFonts w:asciiTheme="majorHAnsi" w:hAnsiTheme="majorHAnsi"/>
          <w:spacing w:val="1"/>
          <w:sz w:val="20"/>
          <w:szCs w:val="20"/>
        </w:rPr>
        <w:t xml:space="preserve"> </w:t>
      </w:r>
      <w:r w:rsidRPr="000977F7">
        <w:rPr>
          <w:rFonts w:asciiTheme="majorHAnsi" w:hAnsiTheme="majorHAnsi"/>
          <w:sz w:val="20"/>
          <w:szCs w:val="20"/>
        </w:rPr>
        <w:t>всі</w:t>
      </w:r>
      <w:r w:rsidRPr="000977F7">
        <w:rPr>
          <w:rFonts w:asciiTheme="majorHAnsi" w:hAnsiTheme="majorHAnsi"/>
          <w:spacing w:val="1"/>
          <w:sz w:val="20"/>
          <w:szCs w:val="20"/>
        </w:rPr>
        <w:t xml:space="preserve"> </w:t>
      </w:r>
      <w:r w:rsidRPr="000977F7">
        <w:rPr>
          <w:rFonts w:asciiTheme="majorHAnsi" w:hAnsiTheme="majorHAnsi"/>
          <w:sz w:val="20"/>
          <w:szCs w:val="20"/>
        </w:rPr>
        <w:t>працівники,</w:t>
      </w:r>
      <w:r w:rsidRPr="000977F7">
        <w:rPr>
          <w:rFonts w:asciiTheme="majorHAnsi" w:hAnsiTheme="majorHAnsi"/>
          <w:spacing w:val="1"/>
          <w:sz w:val="20"/>
          <w:szCs w:val="20"/>
        </w:rPr>
        <w:t xml:space="preserve"> </w:t>
      </w:r>
      <w:r w:rsidRPr="000977F7">
        <w:rPr>
          <w:rFonts w:asciiTheme="majorHAnsi" w:hAnsiTheme="majorHAnsi"/>
          <w:sz w:val="20"/>
          <w:szCs w:val="20"/>
        </w:rPr>
        <w:t>починаючи</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найвищих</w:t>
      </w:r>
      <w:r w:rsidRPr="000977F7">
        <w:rPr>
          <w:rFonts w:asciiTheme="majorHAnsi" w:hAnsiTheme="majorHAnsi"/>
          <w:spacing w:val="1"/>
          <w:sz w:val="20"/>
          <w:szCs w:val="20"/>
        </w:rPr>
        <w:t xml:space="preserve"> </w:t>
      </w:r>
      <w:r w:rsidRPr="000977F7">
        <w:rPr>
          <w:rFonts w:asciiTheme="majorHAnsi" w:hAnsiTheme="majorHAnsi"/>
          <w:sz w:val="20"/>
          <w:szCs w:val="20"/>
        </w:rPr>
        <w:t>рівнів</w:t>
      </w:r>
      <w:r w:rsidRPr="000977F7">
        <w:rPr>
          <w:rFonts w:asciiTheme="majorHAnsi" w:hAnsiTheme="majorHAnsi"/>
          <w:spacing w:val="-47"/>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w:t>
      </w:r>
      <w:r w:rsidRPr="000977F7">
        <w:rPr>
          <w:rFonts w:asciiTheme="majorHAnsi" w:hAnsiTheme="majorHAnsi"/>
          <w:spacing w:val="1"/>
          <w:sz w:val="20"/>
          <w:szCs w:val="20"/>
        </w:rPr>
        <w:t xml:space="preserve"> </w:t>
      </w:r>
      <w:r w:rsidRPr="000977F7">
        <w:rPr>
          <w:rFonts w:asciiTheme="majorHAnsi" w:hAnsiTheme="majorHAnsi"/>
          <w:sz w:val="20"/>
          <w:szCs w:val="20"/>
        </w:rPr>
        <w:t>вище</w:t>
      </w:r>
      <w:r w:rsidRPr="000977F7">
        <w:rPr>
          <w:rFonts w:asciiTheme="majorHAnsi" w:hAnsiTheme="majorHAnsi"/>
          <w:spacing w:val="1"/>
          <w:sz w:val="20"/>
          <w:szCs w:val="20"/>
        </w:rPr>
        <w:t xml:space="preserve"> </w:t>
      </w:r>
      <w:r w:rsidRPr="000977F7">
        <w:rPr>
          <w:rFonts w:asciiTheme="majorHAnsi" w:hAnsiTheme="majorHAnsi"/>
          <w:sz w:val="20"/>
          <w:szCs w:val="20"/>
        </w:rPr>
        <w:t>керівництво</w:t>
      </w:r>
      <w:r w:rsidRPr="000977F7">
        <w:rPr>
          <w:rFonts w:asciiTheme="majorHAnsi" w:hAnsiTheme="majorHAnsi"/>
          <w:spacing w:val="1"/>
          <w:sz w:val="20"/>
          <w:szCs w:val="20"/>
        </w:rPr>
        <w:t xml:space="preserve"> </w:t>
      </w:r>
      <w:r w:rsidRPr="000977F7">
        <w:rPr>
          <w:rFonts w:asciiTheme="majorHAnsi" w:hAnsiTheme="majorHAnsi"/>
          <w:sz w:val="20"/>
          <w:szCs w:val="20"/>
        </w:rPr>
        <w:t>повинно</w:t>
      </w:r>
      <w:r w:rsidRPr="000977F7">
        <w:rPr>
          <w:rFonts w:asciiTheme="majorHAnsi" w:hAnsiTheme="majorHAnsi"/>
          <w:spacing w:val="1"/>
          <w:sz w:val="20"/>
          <w:szCs w:val="20"/>
        </w:rPr>
        <w:t xml:space="preserve"> </w:t>
      </w:r>
      <w:r w:rsidRPr="000977F7">
        <w:rPr>
          <w:rFonts w:asciiTheme="majorHAnsi" w:hAnsiTheme="majorHAnsi"/>
          <w:sz w:val="20"/>
          <w:szCs w:val="20"/>
        </w:rPr>
        <w:t>визначити екологічну політику організації і забезпечити впровадження системи управління навколишнім</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середовищем. Вище керівництво повинно також призначити свого спеціального представника з установленою відповідальністю і повноваженнями для впровадження</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навколишнім</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середовищем.</w:t>
      </w:r>
      <w:r w:rsidRPr="000977F7">
        <w:rPr>
          <w:rFonts w:asciiTheme="majorHAnsi" w:hAnsiTheme="majorHAnsi"/>
          <w:spacing w:val="32"/>
          <w:sz w:val="20"/>
          <w:szCs w:val="20"/>
        </w:rPr>
        <w:t xml:space="preserve"> </w:t>
      </w:r>
      <w:r w:rsidRPr="000977F7">
        <w:rPr>
          <w:rFonts w:asciiTheme="majorHAnsi" w:hAnsiTheme="majorHAnsi"/>
          <w:sz w:val="20"/>
          <w:szCs w:val="20"/>
        </w:rPr>
        <w:t>У</w:t>
      </w:r>
      <w:r w:rsidRPr="000977F7">
        <w:rPr>
          <w:rFonts w:asciiTheme="majorHAnsi" w:hAnsiTheme="majorHAnsi"/>
          <w:spacing w:val="34"/>
          <w:sz w:val="20"/>
          <w:szCs w:val="20"/>
        </w:rPr>
        <w:t xml:space="preserve"> </w:t>
      </w:r>
      <w:r w:rsidRPr="000977F7">
        <w:rPr>
          <w:rFonts w:asciiTheme="majorHAnsi" w:hAnsiTheme="majorHAnsi"/>
          <w:sz w:val="20"/>
          <w:szCs w:val="20"/>
        </w:rPr>
        <w:t>великих</w:t>
      </w:r>
      <w:r w:rsidRPr="000977F7">
        <w:rPr>
          <w:rFonts w:asciiTheme="majorHAnsi" w:hAnsiTheme="majorHAnsi"/>
          <w:spacing w:val="30"/>
          <w:sz w:val="20"/>
          <w:szCs w:val="20"/>
        </w:rPr>
        <w:t xml:space="preserve"> </w:t>
      </w:r>
      <w:r w:rsidRPr="000977F7">
        <w:rPr>
          <w:rFonts w:asciiTheme="majorHAnsi" w:hAnsiTheme="majorHAnsi"/>
          <w:sz w:val="20"/>
          <w:szCs w:val="20"/>
        </w:rPr>
        <w:t>організаціях</w:t>
      </w:r>
      <w:r w:rsidRPr="000977F7">
        <w:rPr>
          <w:rFonts w:asciiTheme="majorHAnsi" w:hAnsiTheme="majorHAnsi"/>
          <w:spacing w:val="30"/>
          <w:sz w:val="20"/>
          <w:szCs w:val="20"/>
        </w:rPr>
        <w:t xml:space="preserve"> </w:t>
      </w:r>
      <w:r w:rsidRPr="000977F7">
        <w:rPr>
          <w:rFonts w:asciiTheme="majorHAnsi" w:hAnsiTheme="majorHAnsi"/>
          <w:sz w:val="20"/>
          <w:szCs w:val="20"/>
        </w:rPr>
        <w:t>або</w:t>
      </w:r>
      <w:r w:rsidRPr="000977F7">
        <w:rPr>
          <w:rFonts w:asciiTheme="majorHAnsi" w:hAnsiTheme="majorHAnsi"/>
          <w:spacing w:val="35"/>
          <w:sz w:val="20"/>
          <w:szCs w:val="20"/>
        </w:rPr>
        <w:t xml:space="preserve"> </w:t>
      </w:r>
      <w:r w:rsidRPr="000977F7">
        <w:rPr>
          <w:rFonts w:asciiTheme="majorHAnsi" w:hAnsiTheme="majorHAnsi"/>
          <w:sz w:val="20"/>
          <w:szCs w:val="20"/>
        </w:rPr>
        <w:t>в</w:t>
      </w:r>
      <w:r w:rsidRPr="000977F7">
        <w:rPr>
          <w:rFonts w:asciiTheme="majorHAnsi" w:hAnsiTheme="majorHAnsi"/>
          <w:spacing w:val="31"/>
          <w:sz w:val="20"/>
          <w:szCs w:val="20"/>
        </w:rPr>
        <w:t xml:space="preserve"> </w:t>
      </w:r>
      <w:r w:rsidRPr="000977F7">
        <w:rPr>
          <w:rFonts w:asciiTheme="majorHAnsi" w:hAnsiTheme="majorHAnsi"/>
          <w:sz w:val="20"/>
          <w:szCs w:val="20"/>
        </w:rPr>
        <w:t>організаціях</w:t>
      </w:r>
      <w:r w:rsidRPr="000977F7">
        <w:rPr>
          <w:rFonts w:asciiTheme="majorHAnsi" w:hAnsiTheme="majorHAnsi"/>
          <w:spacing w:val="30"/>
          <w:sz w:val="20"/>
          <w:szCs w:val="20"/>
        </w:rPr>
        <w:t xml:space="preserve"> </w:t>
      </w:r>
      <w:r w:rsidRPr="000977F7">
        <w:rPr>
          <w:rFonts w:asciiTheme="majorHAnsi" w:hAnsiTheme="majorHAnsi"/>
          <w:sz w:val="20"/>
          <w:szCs w:val="20"/>
        </w:rPr>
        <w:t>зі складною структурою можуть призначатись декілька</w:t>
      </w:r>
      <w:r w:rsidRPr="000977F7">
        <w:rPr>
          <w:rFonts w:asciiTheme="majorHAnsi" w:hAnsiTheme="majorHAnsi"/>
          <w:spacing w:val="1"/>
          <w:sz w:val="20"/>
          <w:szCs w:val="20"/>
        </w:rPr>
        <w:t xml:space="preserve"> </w:t>
      </w:r>
      <w:r w:rsidRPr="000977F7">
        <w:rPr>
          <w:rFonts w:asciiTheme="majorHAnsi" w:hAnsiTheme="majorHAnsi"/>
          <w:sz w:val="20"/>
          <w:szCs w:val="20"/>
        </w:rPr>
        <w:t>представників. На малих або середніх підприємствах</w:t>
      </w:r>
      <w:r w:rsidRPr="000977F7">
        <w:rPr>
          <w:rFonts w:asciiTheme="majorHAnsi" w:hAnsiTheme="majorHAnsi"/>
          <w:spacing w:val="1"/>
          <w:sz w:val="20"/>
          <w:szCs w:val="20"/>
        </w:rPr>
        <w:t xml:space="preserve"> </w:t>
      </w:r>
      <w:r w:rsidRPr="000977F7">
        <w:rPr>
          <w:rFonts w:asciiTheme="majorHAnsi" w:hAnsiTheme="majorHAnsi"/>
          <w:sz w:val="20"/>
          <w:szCs w:val="20"/>
        </w:rPr>
        <w:t>ці функції може виконувати одна особа. Вище керівництво повинно також забезпечувати надання відповідних ресурсів для впровадження і підтримання функціонування</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навколишнім</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середовищем.</w:t>
      </w:r>
      <w:r w:rsidRPr="000977F7">
        <w:rPr>
          <w:rFonts w:asciiTheme="majorHAnsi" w:hAnsiTheme="majorHAnsi"/>
          <w:spacing w:val="1"/>
          <w:sz w:val="20"/>
          <w:szCs w:val="20"/>
        </w:rPr>
        <w:t xml:space="preserve"> </w:t>
      </w:r>
      <w:r w:rsidRPr="000977F7">
        <w:rPr>
          <w:rFonts w:asciiTheme="majorHAnsi" w:hAnsiTheme="majorHAnsi"/>
          <w:sz w:val="20"/>
          <w:szCs w:val="20"/>
        </w:rPr>
        <w:t>Дуже</w:t>
      </w:r>
      <w:r w:rsidRPr="000977F7">
        <w:rPr>
          <w:rFonts w:asciiTheme="majorHAnsi" w:hAnsiTheme="majorHAnsi"/>
          <w:spacing w:val="1"/>
          <w:sz w:val="20"/>
          <w:szCs w:val="20"/>
        </w:rPr>
        <w:t xml:space="preserve"> </w:t>
      </w:r>
      <w:r w:rsidRPr="000977F7">
        <w:rPr>
          <w:rFonts w:asciiTheme="majorHAnsi" w:hAnsiTheme="majorHAnsi"/>
          <w:sz w:val="20"/>
          <w:szCs w:val="20"/>
        </w:rPr>
        <w:t>важливо,</w:t>
      </w:r>
      <w:r w:rsidRPr="000977F7">
        <w:rPr>
          <w:rFonts w:asciiTheme="majorHAnsi" w:hAnsiTheme="majorHAnsi"/>
          <w:spacing w:val="1"/>
          <w:sz w:val="20"/>
          <w:szCs w:val="20"/>
        </w:rPr>
        <w:t xml:space="preserve"> </w:t>
      </w:r>
      <w:r w:rsidRPr="000977F7">
        <w:rPr>
          <w:rFonts w:asciiTheme="majorHAnsi" w:hAnsiTheme="majorHAnsi"/>
          <w:sz w:val="20"/>
          <w:szCs w:val="20"/>
        </w:rPr>
        <w:t xml:space="preserve">щоб </w:t>
      </w:r>
      <w:r w:rsidRPr="000977F7">
        <w:rPr>
          <w:rFonts w:asciiTheme="majorHAnsi" w:hAnsiTheme="majorHAnsi"/>
          <w:sz w:val="20"/>
          <w:szCs w:val="20"/>
        </w:rPr>
        <w:lastRenderedPageBreak/>
        <w:t>основні обов’язки та</w:t>
      </w:r>
      <w:r w:rsidRPr="000977F7">
        <w:rPr>
          <w:rFonts w:asciiTheme="majorHAnsi" w:hAnsiTheme="majorHAnsi"/>
          <w:spacing w:val="1"/>
          <w:sz w:val="20"/>
          <w:szCs w:val="20"/>
        </w:rPr>
        <w:t xml:space="preserve"> </w:t>
      </w:r>
      <w:r w:rsidRPr="000977F7">
        <w:rPr>
          <w:rFonts w:asciiTheme="majorHAnsi" w:hAnsiTheme="majorHAnsi"/>
          <w:sz w:val="20"/>
          <w:szCs w:val="20"/>
        </w:rPr>
        <w:t>відповідальність щодо системи управління навколишнім середовищем були чітко визначені, документовані</w:t>
      </w:r>
      <w:r w:rsidRPr="000977F7">
        <w:rPr>
          <w:rFonts w:asciiTheme="majorHAnsi" w:hAnsiTheme="majorHAnsi"/>
          <w:spacing w:val="-47"/>
          <w:sz w:val="20"/>
          <w:szCs w:val="20"/>
        </w:rPr>
        <w:t xml:space="preserve"> </w:t>
      </w:r>
      <w:r w:rsidRPr="000977F7">
        <w:rPr>
          <w:rFonts w:asciiTheme="majorHAnsi" w:hAnsiTheme="majorHAnsi"/>
          <w:sz w:val="20"/>
          <w:szCs w:val="20"/>
        </w:rPr>
        <w:t>і</w:t>
      </w:r>
      <w:r w:rsidRPr="000977F7">
        <w:rPr>
          <w:rFonts w:asciiTheme="majorHAnsi" w:hAnsiTheme="majorHAnsi"/>
          <w:spacing w:val="-3"/>
          <w:sz w:val="20"/>
          <w:szCs w:val="20"/>
        </w:rPr>
        <w:t xml:space="preserve"> </w:t>
      </w:r>
      <w:r w:rsidRPr="000977F7">
        <w:rPr>
          <w:rFonts w:asciiTheme="majorHAnsi" w:hAnsiTheme="majorHAnsi"/>
          <w:sz w:val="20"/>
          <w:szCs w:val="20"/>
        </w:rPr>
        <w:t>доведені</w:t>
      </w:r>
      <w:r w:rsidRPr="000977F7">
        <w:rPr>
          <w:rFonts w:asciiTheme="majorHAnsi" w:hAnsiTheme="majorHAnsi"/>
          <w:spacing w:val="-2"/>
          <w:sz w:val="20"/>
          <w:szCs w:val="20"/>
        </w:rPr>
        <w:t xml:space="preserve"> </w:t>
      </w:r>
      <w:r w:rsidRPr="000977F7">
        <w:rPr>
          <w:rFonts w:asciiTheme="majorHAnsi" w:hAnsiTheme="majorHAnsi"/>
          <w:sz w:val="20"/>
          <w:szCs w:val="20"/>
        </w:rPr>
        <w:t>до відома</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відповідних</w:t>
      </w:r>
      <w:r w:rsidRPr="000977F7">
        <w:rPr>
          <w:rFonts w:asciiTheme="majorHAnsi" w:hAnsiTheme="majorHAnsi"/>
          <w:spacing w:val="-1"/>
          <w:sz w:val="20"/>
          <w:szCs w:val="20"/>
        </w:rPr>
        <w:t xml:space="preserve"> </w:t>
      </w:r>
      <w:r w:rsidRPr="000977F7">
        <w:rPr>
          <w:rFonts w:asciiTheme="majorHAnsi" w:hAnsiTheme="majorHAnsi"/>
          <w:sz w:val="20"/>
          <w:szCs w:val="20"/>
        </w:rPr>
        <w:t>посадових</w:t>
      </w:r>
      <w:r w:rsidRPr="000977F7">
        <w:rPr>
          <w:rFonts w:asciiTheme="majorHAnsi" w:hAnsiTheme="majorHAnsi"/>
          <w:spacing w:val="-2"/>
          <w:sz w:val="20"/>
          <w:szCs w:val="20"/>
        </w:rPr>
        <w:t xml:space="preserve"> </w:t>
      </w:r>
      <w:r w:rsidRPr="000977F7">
        <w:rPr>
          <w:rFonts w:asciiTheme="majorHAnsi" w:hAnsiTheme="majorHAnsi"/>
          <w:sz w:val="20"/>
          <w:szCs w:val="20"/>
        </w:rPr>
        <w:t>осіб.</w:t>
      </w:r>
    </w:p>
    <w:p w14:paraId="52D79C60" w14:textId="77777777" w:rsidR="0097612F" w:rsidRPr="000977F7" w:rsidRDefault="0097612F" w:rsidP="00FD39A4">
      <w:pPr>
        <w:pStyle w:val="7"/>
        <w:keepNext w:val="0"/>
        <w:keepLines w:val="0"/>
        <w:widowControl w:val="0"/>
        <w:numPr>
          <w:ilvl w:val="1"/>
          <w:numId w:val="145"/>
        </w:numPr>
        <w:tabs>
          <w:tab w:val="left" w:pos="284"/>
          <w:tab w:val="left" w:pos="952"/>
        </w:tabs>
        <w:autoSpaceDE w:val="0"/>
        <w:autoSpaceDN w:val="0"/>
        <w:spacing w:before="0" w:line="240" w:lineRule="auto"/>
        <w:ind w:left="170" w:firstLine="0"/>
        <w:mirrorIndents/>
        <w:jc w:val="both"/>
        <w:rPr>
          <w:color w:val="auto"/>
          <w:sz w:val="20"/>
          <w:szCs w:val="20"/>
        </w:rPr>
      </w:pPr>
      <w:r w:rsidRPr="000977F7">
        <w:rPr>
          <w:color w:val="auto"/>
          <w:sz w:val="20"/>
          <w:szCs w:val="20"/>
        </w:rPr>
        <w:t>Підготовка,</w:t>
      </w:r>
      <w:r w:rsidRPr="000977F7">
        <w:rPr>
          <w:color w:val="auto"/>
          <w:spacing w:val="-7"/>
          <w:sz w:val="20"/>
          <w:szCs w:val="20"/>
        </w:rPr>
        <w:t xml:space="preserve"> </w:t>
      </w:r>
      <w:r w:rsidRPr="000977F7">
        <w:rPr>
          <w:color w:val="auto"/>
          <w:sz w:val="20"/>
          <w:szCs w:val="20"/>
        </w:rPr>
        <w:t>обізнаність</w:t>
      </w:r>
      <w:r w:rsidRPr="000977F7">
        <w:rPr>
          <w:color w:val="auto"/>
          <w:spacing w:val="-5"/>
          <w:sz w:val="20"/>
          <w:szCs w:val="20"/>
        </w:rPr>
        <w:t xml:space="preserve"> </w:t>
      </w:r>
      <w:r w:rsidRPr="000977F7">
        <w:rPr>
          <w:color w:val="auto"/>
          <w:sz w:val="20"/>
          <w:szCs w:val="20"/>
        </w:rPr>
        <w:t>і</w:t>
      </w:r>
      <w:r w:rsidRPr="000977F7">
        <w:rPr>
          <w:color w:val="auto"/>
          <w:spacing w:val="-5"/>
          <w:sz w:val="20"/>
          <w:szCs w:val="20"/>
        </w:rPr>
        <w:t xml:space="preserve"> </w:t>
      </w:r>
      <w:r w:rsidRPr="000977F7">
        <w:rPr>
          <w:color w:val="auto"/>
          <w:sz w:val="20"/>
          <w:szCs w:val="20"/>
        </w:rPr>
        <w:t>компетентність</w:t>
      </w:r>
    </w:p>
    <w:p w14:paraId="3496FA6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Організації слід розробити і підтримувати в робочому стані методики визначення потреби в підготовці</w:t>
      </w:r>
      <w:r w:rsidRPr="000977F7">
        <w:rPr>
          <w:rFonts w:asciiTheme="majorHAnsi" w:hAnsiTheme="majorHAnsi"/>
          <w:spacing w:val="1"/>
          <w:sz w:val="20"/>
          <w:szCs w:val="20"/>
        </w:rPr>
        <w:t xml:space="preserve"> </w:t>
      </w:r>
      <w:r w:rsidRPr="000977F7">
        <w:rPr>
          <w:rFonts w:asciiTheme="majorHAnsi" w:hAnsiTheme="majorHAnsi"/>
          <w:sz w:val="20"/>
          <w:szCs w:val="20"/>
        </w:rPr>
        <w:t>працівників.</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необхідно</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50"/>
          <w:sz w:val="20"/>
          <w:szCs w:val="20"/>
        </w:rPr>
        <w:t xml:space="preserve"> </w:t>
      </w:r>
      <w:r w:rsidRPr="000977F7">
        <w:rPr>
          <w:rFonts w:asciiTheme="majorHAnsi" w:hAnsiTheme="majorHAnsi"/>
          <w:sz w:val="20"/>
          <w:szCs w:val="20"/>
        </w:rPr>
        <w:t>вимагати</w:t>
      </w:r>
      <w:r w:rsidRPr="000977F7">
        <w:rPr>
          <w:rFonts w:asciiTheme="majorHAnsi" w:hAnsiTheme="majorHAnsi"/>
          <w:spacing w:val="1"/>
          <w:sz w:val="20"/>
          <w:szCs w:val="20"/>
        </w:rPr>
        <w:t xml:space="preserve"> </w:t>
      </w:r>
      <w:r w:rsidRPr="000977F7">
        <w:rPr>
          <w:rFonts w:asciiTheme="majorHAnsi" w:hAnsiTheme="majorHAnsi"/>
          <w:sz w:val="20"/>
          <w:szCs w:val="20"/>
        </w:rPr>
        <w:t>від підрядників, що діють від її імені, щоб вони були в</w:t>
      </w:r>
      <w:r w:rsidRPr="000977F7">
        <w:rPr>
          <w:rFonts w:asciiTheme="majorHAnsi" w:hAnsiTheme="majorHAnsi"/>
          <w:spacing w:val="-47"/>
          <w:sz w:val="20"/>
          <w:szCs w:val="20"/>
        </w:rPr>
        <w:t xml:space="preserve"> </w:t>
      </w:r>
      <w:r w:rsidRPr="000977F7">
        <w:rPr>
          <w:rFonts w:asciiTheme="majorHAnsi" w:hAnsiTheme="majorHAnsi"/>
          <w:sz w:val="20"/>
          <w:szCs w:val="20"/>
        </w:rPr>
        <w:t>змозі надати докази того, що їхні працівники мають</w:t>
      </w:r>
      <w:r w:rsidRPr="000977F7">
        <w:rPr>
          <w:rFonts w:asciiTheme="majorHAnsi" w:hAnsiTheme="majorHAnsi"/>
          <w:spacing w:val="1"/>
          <w:sz w:val="20"/>
          <w:szCs w:val="20"/>
        </w:rPr>
        <w:t xml:space="preserve"> </w:t>
      </w:r>
      <w:r w:rsidRPr="000977F7">
        <w:rPr>
          <w:rFonts w:asciiTheme="majorHAnsi" w:hAnsiTheme="majorHAnsi"/>
          <w:sz w:val="20"/>
          <w:szCs w:val="20"/>
        </w:rPr>
        <w:t>необхідну підготовку.</w:t>
      </w:r>
    </w:p>
    <w:p w14:paraId="1F10E7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Керівництво</w:t>
      </w:r>
      <w:r w:rsidRPr="000977F7">
        <w:rPr>
          <w:rFonts w:asciiTheme="majorHAnsi" w:hAnsiTheme="majorHAnsi"/>
          <w:spacing w:val="1"/>
          <w:sz w:val="20"/>
          <w:szCs w:val="20"/>
        </w:rPr>
        <w:t xml:space="preserve"> </w:t>
      </w:r>
      <w:r w:rsidRPr="000977F7">
        <w:rPr>
          <w:rFonts w:asciiTheme="majorHAnsi" w:hAnsiTheme="majorHAnsi"/>
          <w:sz w:val="20"/>
          <w:szCs w:val="20"/>
        </w:rPr>
        <w:t>повинно</w:t>
      </w:r>
      <w:r w:rsidRPr="000977F7">
        <w:rPr>
          <w:rFonts w:asciiTheme="majorHAnsi" w:hAnsiTheme="majorHAnsi"/>
          <w:spacing w:val="1"/>
          <w:sz w:val="20"/>
          <w:szCs w:val="20"/>
        </w:rPr>
        <w:t xml:space="preserve"> </w:t>
      </w:r>
      <w:r w:rsidRPr="000977F7">
        <w:rPr>
          <w:rFonts w:asciiTheme="majorHAnsi" w:hAnsiTheme="majorHAnsi"/>
          <w:sz w:val="20"/>
          <w:szCs w:val="20"/>
        </w:rPr>
        <w:t>визначити</w:t>
      </w:r>
      <w:r w:rsidRPr="000977F7">
        <w:rPr>
          <w:rFonts w:asciiTheme="majorHAnsi" w:hAnsiTheme="majorHAnsi"/>
          <w:spacing w:val="1"/>
          <w:sz w:val="20"/>
          <w:szCs w:val="20"/>
        </w:rPr>
        <w:t xml:space="preserve"> </w:t>
      </w:r>
      <w:r w:rsidRPr="000977F7">
        <w:rPr>
          <w:rFonts w:asciiTheme="majorHAnsi" w:hAnsiTheme="majorHAnsi"/>
          <w:sz w:val="20"/>
          <w:szCs w:val="20"/>
        </w:rPr>
        <w:t>рівень</w:t>
      </w:r>
      <w:r w:rsidRPr="000977F7">
        <w:rPr>
          <w:rFonts w:asciiTheme="majorHAnsi" w:hAnsiTheme="majorHAnsi"/>
          <w:spacing w:val="1"/>
          <w:sz w:val="20"/>
          <w:szCs w:val="20"/>
        </w:rPr>
        <w:t xml:space="preserve"> </w:t>
      </w:r>
      <w:r w:rsidRPr="000977F7">
        <w:rPr>
          <w:rFonts w:asciiTheme="majorHAnsi" w:hAnsiTheme="majorHAnsi"/>
          <w:sz w:val="20"/>
          <w:szCs w:val="20"/>
        </w:rPr>
        <w:t>досвіду,</w:t>
      </w:r>
      <w:r w:rsidRPr="000977F7">
        <w:rPr>
          <w:rFonts w:asciiTheme="majorHAnsi" w:hAnsiTheme="majorHAnsi"/>
          <w:spacing w:val="1"/>
          <w:sz w:val="20"/>
          <w:szCs w:val="20"/>
        </w:rPr>
        <w:t xml:space="preserve"> </w:t>
      </w:r>
      <w:r w:rsidRPr="000977F7">
        <w:rPr>
          <w:rFonts w:asciiTheme="majorHAnsi" w:hAnsiTheme="majorHAnsi"/>
          <w:sz w:val="20"/>
          <w:szCs w:val="20"/>
        </w:rPr>
        <w:t>компетентності</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підготовки,</w:t>
      </w:r>
      <w:r w:rsidRPr="000977F7">
        <w:rPr>
          <w:rFonts w:asciiTheme="majorHAnsi" w:hAnsiTheme="majorHAnsi"/>
          <w:spacing w:val="1"/>
          <w:sz w:val="20"/>
          <w:szCs w:val="20"/>
        </w:rPr>
        <w:t xml:space="preserve"> </w:t>
      </w:r>
      <w:r w:rsidRPr="000977F7">
        <w:rPr>
          <w:rFonts w:asciiTheme="majorHAnsi" w:hAnsiTheme="majorHAnsi"/>
          <w:sz w:val="20"/>
          <w:szCs w:val="20"/>
        </w:rPr>
        <w:t>необхідний</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50"/>
          <w:sz w:val="20"/>
          <w:szCs w:val="20"/>
        </w:rPr>
        <w:t xml:space="preserve"> </w:t>
      </w:r>
      <w:r w:rsidRPr="000977F7">
        <w:rPr>
          <w:rFonts w:asciiTheme="majorHAnsi" w:hAnsiTheme="majorHAnsi"/>
          <w:sz w:val="20"/>
          <w:szCs w:val="20"/>
        </w:rPr>
        <w:t>того,</w:t>
      </w:r>
      <w:r w:rsidRPr="000977F7">
        <w:rPr>
          <w:rFonts w:asciiTheme="majorHAnsi" w:hAnsiTheme="majorHAnsi"/>
          <w:spacing w:val="1"/>
          <w:sz w:val="20"/>
          <w:szCs w:val="20"/>
        </w:rPr>
        <w:t xml:space="preserve"> </w:t>
      </w:r>
      <w:r w:rsidRPr="000977F7">
        <w:rPr>
          <w:rFonts w:asciiTheme="majorHAnsi" w:hAnsiTheme="majorHAnsi"/>
          <w:sz w:val="20"/>
          <w:szCs w:val="20"/>
        </w:rPr>
        <w:t>щоб гарантувати професійну придатність персоналу,</w:t>
      </w:r>
      <w:r w:rsidRPr="000977F7">
        <w:rPr>
          <w:rFonts w:asciiTheme="majorHAnsi" w:hAnsiTheme="majorHAnsi"/>
          <w:spacing w:val="1"/>
          <w:sz w:val="20"/>
          <w:szCs w:val="20"/>
        </w:rPr>
        <w:t xml:space="preserve"> </w:t>
      </w:r>
      <w:r w:rsidRPr="000977F7">
        <w:rPr>
          <w:rFonts w:asciiTheme="majorHAnsi" w:hAnsiTheme="majorHAnsi"/>
          <w:sz w:val="20"/>
          <w:szCs w:val="20"/>
        </w:rPr>
        <w:t>особливо</w:t>
      </w:r>
      <w:r w:rsidRPr="000977F7">
        <w:rPr>
          <w:rFonts w:asciiTheme="majorHAnsi" w:hAnsiTheme="majorHAnsi"/>
          <w:spacing w:val="1"/>
          <w:sz w:val="20"/>
          <w:szCs w:val="20"/>
        </w:rPr>
        <w:t xml:space="preserve"> </w:t>
      </w:r>
      <w:r w:rsidRPr="000977F7">
        <w:rPr>
          <w:rFonts w:asciiTheme="majorHAnsi" w:hAnsiTheme="majorHAnsi"/>
          <w:sz w:val="20"/>
          <w:szCs w:val="20"/>
        </w:rPr>
        <w:t>того,</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виконує</w:t>
      </w:r>
      <w:r w:rsidRPr="000977F7">
        <w:rPr>
          <w:rFonts w:asciiTheme="majorHAnsi" w:hAnsiTheme="majorHAnsi"/>
          <w:spacing w:val="1"/>
          <w:sz w:val="20"/>
          <w:szCs w:val="20"/>
        </w:rPr>
        <w:t xml:space="preserve"> </w:t>
      </w:r>
      <w:r w:rsidRPr="000977F7">
        <w:rPr>
          <w:rFonts w:asciiTheme="majorHAnsi" w:hAnsiTheme="majorHAnsi"/>
          <w:sz w:val="20"/>
          <w:szCs w:val="20"/>
        </w:rPr>
        <w:t>спеціалізовані</w:t>
      </w:r>
      <w:r w:rsidRPr="000977F7">
        <w:rPr>
          <w:rFonts w:asciiTheme="majorHAnsi" w:hAnsiTheme="majorHAnsi"/>
          <w:spacing w:val="1"/>
          <w:sz w:val="20"/>
          <w:szCs w:val="20"/>
        </w:rPr>
        <w:t xml:space="preserve"> </w:t>
      </w:r>
      <w:r w:rsidRPr="000977F7">
        <w:rPr>
          <w:rFonts w:asciiTheme="majorHAnsi" w:hAnsiTheme="majorHAnsi"/>
          <w:sz w:val="20"/>
          <w:szCs w:val="20"/>
        </w:rPr>
        <w:t>функції,</w:t>
      </w:r>
      <w:r w:rsidRPr="000977F7">
        <w:rPr>
          <w:rFonts w:asciiTheme="majorHAnsi" w:hAnsiTheme="majorHAnsi"/>
          <w:spacing w:val="1"/>
          <w:sz w:val="20"/>
          <w:szCs w:val="20"/>
        </w:rPr>
        <w:t xml:space="preserve"> </w:t>
      </w:r>
      <w:r w:rsidRPr="000977F7">
        <w:rPr>
          <w:rFonts w:asciiTheme="majorHAnsi" w:hAnsiTheme="majorHAnsi"/>
          <w:sz w:val="20"/>
          <w:szCs w:val="20"/>
        </w:rPr>
        <w:t>пов’язані</w:t>
      </w:r>
      <w:r w:rsidRPr="000977F7">
        <w:rPr>
          <w:rFonts w:asciiTheme="majorHAnsi" w:hAnsiTheme="majorHAnsi"/>
          <w:spacing w:val="-4"/>
          <w:sz w:val="20"/>
          <w:szCs w:val="20"/>
        </w:rPr>
        <w:t xml:space="preserve"> </w:t>
      </w:r>
      <w:r w:rsidRPr="000977F7">
        <w:rPr>
          <w:rFonts w:asciiTheme="majorHAnsi" w:hAnsiTheme="majorHAnsi"/>
          <w:sz w:val="20"/>
          <w:szCs w:val="20"/>
        </w:rPr>
        <w:t>з управлінням</w:t>
      </w:r>
      <w:r w:rsidRPr="000977F7">
        <w:rPr>
          <w:rFonts w:asciiTheme="majorHAnsi" w:hAnsiTheme="majorHAnsi"/>
          <w:spacing w:val="-3"/>
          <w:sz w:val="20"/>
          <w:szCs w:val="20"/>
        </w:rPr>
        <w:t xml:space="preserve"> </w:t>
      </w:r>
      <w:r w:rsidRPr="000977F7">
        <w:rPr>
          <w:rFonts w:asciiTheme="majorHAnsi" w:hAnsiTheme="majorHAnsi"/>
          <w:sz w:val="20"/>
          <w:szCs w:val="20"/>
        </w:rPr>
        <w:t>навколишнім</w:t>
      </w:r>
      <w:r w:rsidRPr="000977F7">
        <w:rPr>
          <w:rFonts w:asciiTheme="majorHAnsi" w:hAnsiTheme="majorHAnsi"/>
          <w:spacing w:val="-2"/>
          <w:sz w:val="20"/>
          <w:szCs w:val="20"/>
        </w:rPr>
        <w:t xml:space="preserve"> </w:t>
      </w:r>
      <w:r w:rsidRPr="000977F7">
        <w:rPr>
          <w:rFonts w:asciiTheme="majorHAnsi" w:hAnsiTheme="majorHAnsi"/>
          <w:sz w:val="20"/>
          <w:szCs w:val="20"/>
        </w:rPr>
        <w:t>середовищем.</w:t>
      </w:r>
    </w:p>
    <w:p w14:paraId="6692FDC0" w14:textId="77777777" w:rsidR="0097612F" w:rsidRPr="000977F7" w:rsidRDefault="0097612F" w:rsidP="00FD39A4">
      <w:pPr>
        <w:pStyle w:val="7"/>
        <w:keepNext w:val="0"/>
        <w:keepLines w:val="0"/>
        <w:widowControl w:val="0"/>
        <w:numPr>
          <w:ilvl w:val="1"/>
          <w:numId w:val="145"/>
        </w:numPr>
        <w:tabs>
          <w:tab w:val="left" w:pos="284"/>
          <w:tab w:val="left" w:pos="952"/>
        </w:tabs>
        <w:autoSpaceDE w:val="0"/>
        <w:autoSpaceDN w:val="0"/>
        <w:spacing w:before="0" w:line="240" w:lineRule="auto"/>
        <w:ind w:left="170" w:firstLine="0"/>
        <w:mirrorIndents/>
        <w:jc w:val="both"/>
        <w:rPr>
          <w:color w:val="auto"/>
          <w:sz w:val="20"/>
          <w:szCs w:val="20"/>
        </w:rPr>
      </w:pPr>
      <w:r w:rsidRPr="000977F7">
        <w:rPr>
          <w:color w:val="auto"/>
          <w:sz w:val="20"/>
          <w:szCs w:val="20"/>
        </w:rPr>
        <w:t>Зв’язки</w:t>
      </w:r>
    </w:p>
    <w:p w14:paraId="301DAF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4D2D14">
        <w:rPr>
          <w:rFonts w:asciiTheme="majorHAnsi" w:hAnsiTheme="majorHAnsi"/>
          <w:sz w:val="20"/>
          <w:szCs w:val="20"/>
          <w:lang w:val="uk-UA"/>
        </w:rPr>
        <w:t xml:space="preserve">Організації слід за відповідно визначеною методикою впровадити процедуру реєстрації та документування отриманих повідомлень і запитів від зацікавлених сторін та надання відповідей на них. </w:t>
      </w:r>
      <w:r w:rsidRPr="000977F7">
        <w:rPr>
          <w:rFonts w:asciiTheme="majorHAnsi" w:hAnsiTheme="majorHAnsi"/>
          <w:sz w:val="20"/>
          <w:szCs w:val="20"/>
        </w:rPr>
        <w:t>Ця процедура може включати діалог із зацікавленими сторонами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розгляд</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відповідних</w:t>
      </w:r>
      <w:r w:rsidRPr="000977F7">
        <w:rPr>
          <w:rFonts w:asciiTheme="majorHAnsi" w:hAnsiTheme="majorHAnsi"/>
          <w:spacing w:val="1"/>
          <w:sz w:val="20"/>
          <w:szCs w:val="20"/>
        </w:rPr>
        <w:t xml:space="preserve"> </w:t>
      </w:r>
      <w:r w:rsidRPr="000977F7">
        <w:rPr>
          <w:rFonts w:asciiTheme="majorHAnsi" w:hAnsiTheme="majorHAnsi"/>
          <w:sz w:val="20"/>
          <w:szCs w:val="20"/>
        </w:rPr>
        <w:t>питань,</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цікавлять.</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47"/>
          <w:sz w:val="20"/>
          <w:szCs w:val="20"/>
        </w:rPr>
        <w:t xml:space="preserve"> </w:t>
      </w:r>
      <w:r w:rsidRPr="000977F7">
        <w:rPr>
          <w:rFonts w:asciiTheme="majorHAnsi" w:hAnsiTheme="majorHAnsi"/>
          <w:sz w:val="20"/>
          <w:szCs w:val="20"/>
        </w:rPr>
        <w:t>певних обставин відповіді на запитання зацікавлених</w:t>
      </w:r>
      <w:r w:rsidRPr="000977F7">
        <w:rPr>
          <w:rFonts w:asciiTheme="majorHAnsi" w:hAnsiTheme="majorHAnsi"/>
          <w:spacing w:val="1"/>
          <w:sz w:val="20"/>
          <w:szCs w:val="20"/>
        </w:rPr>
        <w:t xml:space="preserve"> </w:t>
      </w:r>
      <w:r w:rsidRPr="000977F7">
        <w:rPr>
          <w:rFonts w:asciiTheme="majorHAnsi" w:hAnsiTheme="majorHAnsi"/>
          <w:sz w:val="20"/>
          <w:szCs w:val="20"/>
        </w:rPr>
        <w:t>сторін можуть містити належну інформацію про екологічні аспекти, пов’язані з діяльністю організації. Ця</w:t>
      </w:r>
      <w:r w:rsidRPr="000977F7">
        <w:rPr>
          <w:rFonts w:asciiTheme="majorHAnsi" w:hAnsiTheme="majorHAnsi"/>
          <w:spacing w:val="1"/>
          <w:sz w:val="20"/>
          <w:szCs w:val="20"/>
        </w:rPr>
        <w:t xml:space="preserve"> </w:t>
      </w:r>
      <w:r w:rsidRPr="000977F7">
        <w:rPr>
          <w:rFonts w:asciiTheme="majorHAnsi" w:hAnsiTheme="majorHAnsi"/>
          <w:sz w:val="20"/>
          <w:szCs w:val="20"/>
        </w:rPr>
        <w:t>процедура повинна також охоплювати зв’язки з органами державної влади з питань розроблення планів на</w:t>
      </w:r>
      <w:r w:rsidRPr="000977F7">
        <w:rPr>
          <w:rFonts w:asciiTheme="majorHAnsi" w:hAnsiTheme="majorHAnsi"/>
          <w:spacing w:val="1"/>
          <w:sz w:val="20"/>
          <w:szCs w:val="20"/>
        </w:rPr>
        <w:t xml:space="preserve"> </w:t>
      </w:r>
      <w:r w:rsidRPr="000977F7">
        <w:rPr>
          <w:rFonts w:asciiTheme="majorHAnsi" w:hAnsiTheme="majorHAnsi"/>
          <w:sz w:val="20"/>
          <w:szCs w:val="20"/>
        </w:rPr>
        <w:t>випадок аварійних ситуацій та з інших можливих питань.</w:t>
      </w:r>
    </w:p>
    <w:p w14:paraId="7DD0782E" w14:textId="77777777" w:rsidR="0097612F" w:rsidRPr="000977F7" w:rsidRDefault="0097612F" w:rsidP="00FD39A4">
      <w:pPr>
        <w:pStyle w:val="7"/>
        <w:keepNext w:val="0"/>
        <w:keepLines w:val="0"/>
        <w:widowControl w:val="0"/>
        <w:numPr>
          <w:ilvl w:val="1"/>
          <w:numId w:val="145"/>
        </w:numPr>
        <w:tabs>
          <w:tab w:val="left" w:pos="284"/>
          <w:tab w:val="left" w:pos="1050"/>
        </w:tabs>
        <w:autoSpaceDE w:val="0"/>
        <w:autoSpaceDN w:val="0"/>
        <w:spacing w:before="0" w:line="240" w:lineRule="auto"/>
        <w:ind w:left="170" w:firstLine="0"/>
        <w:mirrorIndents/>
        <w:jc w:val="both"/>
        <w:rPr>
          <w:color w:val="auto"/>
          <w:sz w:val="20"/>
          <w:szCs w:val="20"/>
        </w:rPr>
      </w:pPr>
      <w:r w:rsidRPr="000977F7">
        <w:rPr>
          <w:color w:val="auto"/>
          <w:sz w:val="20"/>
          <w:szCs w:val="20"/>
        </w:rPr>
        <w:t>Документація</w:t>
      </w:r>
      <w:r w:rsidRPr="000977F7">
        <w:rPr>
          <w:color w:val="auto"/>
          <w:spacing w:val="1"/>
          <w:sz w:val="20"/>
          <w:szCs w:val="20"/>
        </w:rPr>
        <w:t xml:space="preserve"> </w:t>
      </w:r>
      <w:r w:rsidRPr="000977F7">
        <w:rPr>
          <w:color w:val="auto"/>
          <w:sz w:val="20"/>
          <w:szCs w:val="20"/>
        </w:rPr>
        <w:t>системи управління навколишнім середовищем</w:t>
      </w:r>
    </w:p>
    <w:p w14:paraId="419F785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4D2D14">
        <w:rPr>
          <w:rFonts w:asciiTheme="majorHAnsi" w:hAnsiTheme="majorHAnsi"/>
          <w:sz w:val="20"/>
          <w:szCs w:val="20"/>
          <w:lang w:val="uk-UA"/>
        </w:rPr>
        <w:t>Рівень деталізації документації повинен бути достатнім, щоб описати найсуттєвіші елементи системи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управління навколишнім середовищем та взаємодію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між</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ними,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також,</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щоб</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забезпечити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можливість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управління більш детальною інформацією про функціонування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конкретних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елементів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цієї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системи.</w:t>
      </w:r>
      <w:r w:rsidRPr="004D2D14">
        <w:rPr>
          <w:rFonts w:asciiTheme="majorHAnsi" w:hAnsiTheme="majorHAnsi"/>
          <w:spacing w:val="1"/>
          <w:sz w:val="20"/>
          <w:szCs w:val="20"/>
          <w:lang w:val="uk-UA"/>
        </w:rPr>
        <w:t xml:space="preserve"> </w:t>
      </w:r>
      <w:r w:rsidRPr="000977F7">
        <w:rPr>
          <w:rFonts w:asciiTheme="majorHAnsi" w:hAnsiTheme="majorHAnsi"/>
          <w:sz w:val="20"/>
          <w:szCs w:val="20"/>
        </w:rPr>
        <w:t>Ця</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документація може</w:t>
      </w:r>
      <w:r w:rsidRPr="000977F7">
        <w:rPr>
          <w:rFonts w:asciiTheme="majorHAnsi" w:hAnsiTheme="majorHAnsi"/>
          <w:spacing w:val="1"/>
          <w:sz w:val="20"/>
          <w:szCs w:val="20"/>
        </w:rPr>
        <w:t xml:space="preserve"> </w:t>
      </w:r>
      <w:r w:rsidRPr="000977F7">
        <w:rPr>
          <w:rFonts w:asciiTheme="majorHAnsi" w:hAnsiTheme="majorHAnsi"/>
          <w:sz w:val="20"/>
          <w:szCs w:val="20"/>
        </w:rPr>
        <w:t>бути об’єднана</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50"/>
          <w:sz w:val="20"/>
          <w:szCs w:val="20"/>
        </w:rPr>
        <w:t xml:space="preserve"> </w:t>
      </w:r>
      <w:r w:rsidRPr="000977F7">
        <w:rPr>
          <w:rFonts w:asciiTheme="majorHAnsi" w:hAnsiTheme="majorHAnsi"/>
          <w:sz w:val="20"/>
          <w:szCs w:val="20"/>
        </w:rPr>
        <w:t>документацією</w:t>
      </w:r>
      <w:r w:rsidRPr="000977F7">
        <w:rPr>
          <w:rFonts w:asciiTheme="majorHAnsi" w:hAnsiTheme="majorHAnsi"/>
          <w:spacing w:val="1"/>
          <w:sz w:val="20"/>
          <w:szCs w:val="20"/>
        </w:rPr>
        <w:t xml:space="preserve"> </w:t>
      </w:r>
      <w:r w:rsidRPr="000977F7">
        <w:rPr>
          <w:rFonts w:asciiTheme="majorHAnsi" w:hAnsiTheme="majorHAnsi"/>
          <w:sz w:val="20"/>
          <w:szCs w:val="20"/>
        </w:rPr>
        <w:t>на інші системи, впроваджені в організації. Вона не</w:t>
      </w:r>
      <w:r w:rsidRPr="000977F7">
        <w:rPr>
          <w:rFonts w:asciiTheme="majorHAnsi" w:hAnsiTheme="majorHAnsi"/>
          <w:spacing w:val="1"/>
          <w:sz w:val="20"/>
          <w:szCs w:val="20"/>
        </w:rPr>
        <w:t xml:space="preserve"> </w:t>
      </w:r>
      <w:r w:rsidRPr="000977F7">
        <w:rPr>
          <w:rFonts w:asciiTheme="majorHAnsi" w:hAnsiTheme="majorHAnsi"/>
          <w:sz w:val="20"/>
          <w:szCs w:val="20"/>
        </w:rPr>
        <w:t>обов’язково мусить бути подана у формі окремих настанов.</w:t>
      </w:r>
    </w:p>
    <w:p w14:paraId="1DD896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Суміжна</w:t>
      </w:r>
      <w:r w:rsidRPr="000977F7">
        <w:rPr>
          <w:rFonts w:asciiTheme="majorHAnsi" w:hAnsiTheme="majorHAnsi"/>
          <w:spacing w:val="-2"/>
          <w:sz w:val="20"/>
          <w:szCs w:val="20"/>
        </w:rPr>
        <w:t xml:space="preserve"> </w:t>
      </w:r>
      <w:r w:rsidRPr="000977F7">
        <w:rPr>
          <w:rFonts w:asciiTheme="majorHAnsi" w:hAnsiTheme="majorHAnsi"/>
          <w:sz w:val="20"/>
          <w:szCs w:val="20"/>
        </w:rPr>
        <w:t>документація</w:t>
      </w:r>
      <w:r w:rsidRPr="000977F7">
        <w:rPr>
          <w:rFonts w:asciiTheme="majorHAnsi" w:hAnsiTheme="majorHAnsi"/>
          <w:spacing w:val="-6"/>
          <w:sz w:val="20"/>
          <w:szCs w:val="20"/>
        </w:rPr>
        <w:t xml:space="preserve"> </w:t>
      </w:r>
      <w:r w:rsidRPr="000977F7">
        <w:rPr>
          <w:rFonts w:asciiTheme="majorHAnsi" w:hAnsiTheme="majorHAnsi"/>
          <w:sz w:val="20"/>
          <w:szCs w:val="20"/>
        </w:rPr>
        <w:t>може</w:t>
      </w:r>
      <w:r w:rsidRPr="000977F7">
        <w:rPr>
          <w:rFonts w:asciiTheme="majorHAnsi" w:hAnsiTheme="majorHAnsi"/>
          <w:spacing w:val="-2"/>
          <w:sz w:val="20"/>
          <w:szCs w:val="20"/>
        </w:rPr>
        <w:t xml:space="preserve"> </w:t>
      </w:r>
      <w:r w:rsidRPr="000977F7">
        <w:rPr>
          <w:rFonts w:asciiTheme="majorHAnsi" w:hAnsiTheme="majorHAnsi"/>
          <w:sz w:val="20"/>
          <w:szCs w:val="20"/>
        </w:rPr>
        <w:t>включати:</w:t>
      </w:r>
    </w:p>
    <w:p w14:paraId="191AE704" w14:textId="77777777" w:rsidR="0097612F" w:rsidRPr="000977F7" w:rsidRDefault="0097612F" w:rsidP="00FD39A4">
      <w:pPr>
        <w:pStyle w:val="ac"/>
        <w:widowControl w:val="0"/>
        <w:numPr>
          <w:ilvl w:val="0"/>
          <w:numId w:val="144"/>
        </w:numPr>
        <w:tabs>
          <w:tab w:val="left" w:pos="284"/>
          <w:tab w:val="left" w:pos="675"/>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дані</w:t>
      </w:r>
      <w:r w:rsidRPr="000977F7">
        <w:rPr>
          <w:rFonts w:asciiTheme="majorHAnsi" w:hAnsiTheme="majorHAnsi"/>
          <w:spacing w:val="-8"/>
          <w:sz w:val="20"/>
          <w:szCs w:val="20"/>
        </w:rPr>
        <w:t xml:space="preserve"> </w:t>
      </w:r>
      <w:r w:rsidRPr="000977F7">
        <w:rPr>
          <w:rFonts w:asciiTheme="majorHAnsi" w:hAnsiTheme="majorHAnsi"/>
          <w:sz w:val="20"/>
          <w:szCs w:val="20"/>
        </w:rPr>
        <w:t>про</w:t>
      </w:r>
      <w:r w:rsidRPr="000977F7">
        <w:rPr>
          <w:rFonts w:asciiTheme="majorHAnsi" w:hAnsiTheme="majorHAnsi"/>
          <w:spacing w:val="-9"/>
          <w:sz w:val="20"/>
          <w:szCs w:val="20"/>
        </w:rPr>
        <w:t xml:space="preserve"> п</w:t>
      </w:r>
      <w:r w:rsidRPr="000977F7">
        <w:rPr>
          <w:rFonts w:asciiTheme="majorHAnsi" w:hAnsiTheme="majorHAnsi"/>
          <w:sz w:val="20"/>
          <w:szCs w:val="20"/>
        </w:rPr>
        <w:t>роцеси;</w:t>
      </w:r>
    </w:p>
    <w:p w14:paraId="381D3395" w14:textId="77777777" w:rsidR="0097612F" w:rsidRPr="000977F7" w:rsidRDefault="0097612F" w:rsidP="000977F7">
      <w:pPr>
        <w:pStyle w:val="ac"/>
        <w:tabs>
          <w:tab w:val="left" w:pos="284"/>
          <w:tab w:val="left" w:pos="675"/>
          <w:tab w:val="left" w:pos="677"/>
        </w:tabs>
        <w:spacing w:after="0" w:line="240" w:lineRule="auto"/>
        <w:ind w:left="170"/>
        <w:mirrorIndents/>
        <w:jc w:val="both"/>
        <w:rPr>
          <w:rFonts w:asciiTheme="majorHAnsi" w:hAnsiTheme="majorHAnsi"/>
          <w:sz w:val="20"/>
          <w:szCs w:val="20"/>
        </w:rPr>
      </w:pPr>
      <w:r w:rsidRPr="000977F7">
        <w:rPr>
          <w:rFonts w:asciiTheme="majorHAnsi" w:hAnsiTheme="majorHAnsi"/>
          <w:spacing w:val="-47"/>
          <w:sz w:val="20"/>
          <w:szCs w:val="20"/>
        </w:rPr>
        <w:t xml:space="preserve"> </w:t>
      </w:r>
      <w:r w:rsidRPr="000977F7">
        <w:rPr>
          <w:rFonts w:asciiTheme="majorHAnsi" w:hAnsiTheme="majorHAnsi"/>
          <w:sz w:val="20"/>
          <w:szCs w:val="20"/>
        </w:rPr>
        <w:t>б)</w:t>
      </w:r>
      <w:r w:rsidRPr="000977F7">
        <w:rPr>
          <w:rFonts w:asciiTheme="majorHAnsi" w:hAnsiTheme="majorHAnsi"/>
          <w:sz w:val="20"/>
          <w:szCs w:val="20"/>
        </w:rPr>
        <w:tab/>
      </w:r>
      <w:r w:rsidRPr="000977F7">
        <w:rPr>
          <w:rFonts w:asciiTheme="majorHAnsi" w:hAnsiTheme="majorHAnsi"/>
          <w:sz w:val="20"/>
          <w:szCs w:val="20"/>
        </w:rPr>
        <w:tab/>
        <w:t>статуси;</w:t>
      </w:r>
    </w:p>
    <w:p w14:paraId="5350BE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w:t>
      </w:r>
      <w:r w:rsidRPr="000977F7">
        <w:rPr>
          <w:rFonts w:asciiTheme="majorHAnsi" w:hAnsiTheme="majorHAnsi"/>
          <w:spacing w:val="8"/>
          <w:sz w:val="20"/>
          <w:szCs w:val="20"/>
        </w:rPr>
        <w:t xml:space="preserve"> </w:t>
      </w:r>
      <w:r w:rsidRPr="000977F7">
        <w:rPr>
          <w:rFonts w:asciiTheme="majorHAnsi" w:hAnsiTheme="majorHAnsi"/>
          <w:sz w:val="20"/>
          <w:szCs w:val="20"/>
        </w:rPr>
        <w:t>внутрішні</w:t>
      </w:r>
      <w:r w:rsidRPr="000977F7">
        <w:rPr>
          <w:rFonts w:asciiTheme="majorHAnsi" w:hAnsiTheme="majorHAnsi"/>
          <w:spacing w:val="9"/>
          <w:sz w:val="20"/>
          <w:szCs w:val="20"/>
        </w:rPr>
        <w:t xml:space="preserve"> </w:t>
      </w:r>
      <w:r w:rsidRPr="000977F7">
        <w:rPr>
          <w:rFonts w:asciiTheme="majorHAnsi" w:hAnsiTheme="majorHAnsi"/>
          <w:sz w:val="20"/>
          <w:szCs w:val="20"/>
        </w:rPr>
        <w:t>стандарти</w:t>
      </w:r>
      <w:r w:rsidRPr="000977F7">
        <w:rPr>
          <w:rFonts w:asciiTheme="majorHAnsi" w:hAnsiTheme="majorHAnsi"/>
          <w:spacing w:val="7"/>
          <w:sz w:val="20"/>
          <w:szCs w:val="20"/>
        </w:rPr>
        <w:t xml:space="preserve"> </w:t>
      </w:r>
      <w:r w:rsidRPr="000977F7">
        <w:rPr>
          <w:rFonts w:asciiTheme="majorHAnsi" w:hAnsiTheme="majorHAnsi"/>
          <w:sz w:val="20"/>
          <w:szCs w:val="20"/>
        </w:rPr>
        <w:t>та</w:t>
      </w:r>
      <w:r w:rsidRPr="000977F7">
        <w:rPr>
          <w:rFonts w:asciiTheme="majorHAnsi" w:hAnsiTheme="majorHAnsi"/>
          <w:spacing w:val="10"/>
          <w:sz w:val="20"/>
          <w:szCs w:val="20"/>
        </w:rPr>
        <w:t xml:space="preserve"> </w:t>
      </w:r>
      <w:r w:rsidRPr="000977F7">
        <w:rPr>
          <w:rFonts w:asciiTheme="majorHAnsi" w:hAnsiTheme="majorHAnsi"/>
          <w:sz w:val="20"/>
          <w:szCs w:val="20"/>
        </w:rPr>
        <w:t>встановлені</w:t>
      </w:r>
      <w:r w:rsidRPr="000977F7">
        <w:rPr>
          <w:rFonts w:asciiTheme="majorHAnsi" w:hAnsiTheme="majorHAnsi"/>
          <w:spacing w:val="9"/>
          <w:sz w:val="20"/>
          <w:szCs w:val="20"/>
        </w:rPr>
        <w:t xml:space="preserve"> </w:t>
      </w:r>
      <w:r w:rsidRPr="000977F7">
        <w:rPr>
          <w:rFonts w:asciiTheme="majorHAnsi" w:hAnsiTheme="majorHAnsi"/>
          <w:sz w:val="20"/>
          <w:szCs w:val="20"/>
        </w:rPr>
        <w:t>схеми</w:t>
      </w:r>
      <w:r w:rsidRPr="000977F7">
        <w:rPr>
          <w:rFonts w:asciiTheme="majorHAnsi" w:hAnsiTheme="majorHAnsi"/>
          <w:spacing w:val="7"/>
          <w:sz w:val="20"/>
          <w:szCs w:val="20"/>
        </w:rPr>
        <w:t xml:space="preserve"> </w:t>
      </w:r>
      <w:r w:rsidRPr="000977F7">
        <w:rPr>
          <w:rFonts w:asciiTheme="majorHAnsi" w:hAnsiTheme="majorHAnsi"/>
          <w:sz w:val="20"/>
          <w:szCs w:val="20"/>
        </w:rPr>
        <w:t>експлуатації;</w:t>
      </w:r>
    </w:p>
    <w:p w14:paraId="5BAE2F15" w14:textId="77777777" w:rsidR="0097612F" w:rsidRPr="000977F7" w:rsidRDefault="0097612F" w:rsidP="000977F7">
      <w:pPr>
        <w:pStyle w:val="af6"/>
        <w:tabs>
          <w:tab w:val="left" w:pos="284"/>
          <w:tab w:val="left" w:pos="665"/>
        </w:tabs>
        <w:spacing w:after="0"/>
        <w:ind w:left="170"/>
        <w:mirrorIndents/>
        <w:jc w:val="both"/>
        <w:rPr>
          <w:rFonts w:asciiTheme="majorHAnsi" w:hAnsiTheme="majorHAnsi"/>
          <w:sz w:val="20"/>
          <w:szCs w:val="20"/>
        </w:rPr>
      </w:pPr>
      <w:r w:rsidRPr="000977F7">
        <w:rPr>
          <w:rFonts w:asciiTheme="majorHAnsi" w:hAnsiTheme="majorHAnsi"/>
          <w:sz w:val="20"/>
          <w:szCs w:val="20"/>
        </w:rPr>
        <w:t>г)</w:t>
      </w:r>
      <w:r w:rsidRPr="000977F7">
        <w:rPr>
          <w:rFonts w:asciiTheme="majorHAnsi" w:hAnsiTheme="majorHAnsi"/>
          <w:sz w:val="20"/>
          <w:szCs w:val="20"/>
        </w:rPr>
        <w:tab/>
        <w:t>ситуаційні</w:t>
      </w:r>
      <w:r w:rsidRPr="000977F7">
        <w:rPr>
          <w:rFonts w:asciiTheme="majorHAnsi" w:hAnsiTheme="majorHAnsi"/>
          <w:spacing w:val="-5"/>
          <w:sz w:val="20"/>
          <w:szCs w:val="20"/>
        </w:rPr>
        <w:t xml:space="preserve"> </w:t>
      </w:r>
      <w:r w:rsidRPr="000977F7">
        <w:rPr>
          <w:rFonts w:asciiTheme="majorHAnsi" w:hAnsiTheme="majorHAnsi"/>
          <w:sz w:val="20"/>
          <w:szCs w:val="20"/>
        </w:rPr>
        <w:t>плани</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випадок</w:t>
      </w:r>
      <w:r w:rsidRPr="000977F7">
        <w:rPr>
          <w:rFonts w:asciiTheme="majorHAnsi" w:hAnsiTheme="majorHAnsi"/>
          <w:spacing w:val="-4"/>
          <w:sz w:val="20"/>
          <w:szCs w:val="20"/>
        </w:rPr>
        <w:t xml:space="preserve"> </w:t>
      </w:r>
      <w:r w:rsidRPr="000977F7">
        <w:rPr>
          <w:rFonts w:asciiTheme="majorHAnsi" w:hAnsiTheme="majorHAnsi"/>
          <w:sz w:val="20"/>
          <w:szCs w:val="20"/>
        </w:rPr>
        <w:t>аварії.</w:t>
      </w:r>
    </w:p>
    <w:p w14:paraId="4451177D" w14:textId="77777777" w:rsidR="0097612F" w:rsidRPr="000977F7" w:rsidRDefault="0097612F" w:rsidP="00FD39A4">
      <w:pPr>
        <w:pStyle w:val="7"/>
        <w:keepNext w:val="0"/>
        <w:keepLines w:val="0"/>
        <w:widowControl w:val="0"/>
        <w:numPr>
          <w:ilvl w:val="1"/>
          <w:numId w:val="145"/>
        </w:numPr>
        <w:tabs>
          <w:tab w:val="left" w:pos="284"/>
          <w:tab w:val="left" w:pos="952"/>
        </w:tabs>
        <w:autoSpaceDE w:val="0"/>
        <w:autoSpaceDN w:val="0"/>
        <w:spacing w:before="0" w:line="240" w:lineRule="auto"/>
        <w:ind w:left="170" w:firstLine="0"/>
        <w:mirrorIndents/>
        <w:jc w:val="both"/>
        <w:rPr>
          <w:color w:val="auto"/>
          <w:sz w:val="20"/>
          <w:szCs w:val="20"/>
        </w:rPr>
      </w:pPr>
      <w:r w:rsidRPr="000977F7">
        <w:rPr>
          <w:color w:val="auto"/>
          <w:sz w:val="20"/>
          <w:szCs w:val="20"/>
        </w:rPr>
        <w:t>Управління</w:t>
      </w:r>
      <w:r w:rsidRPr="000977F7">
        <w:rPr>
          <w:color w:val="auto"/>
          <w:spacing w:val="-7"/>
          <w:sz w:val="20"/>
          <w:szCs w:val="20"/>
        </w:rPr>
        <w:t xml:space="preserve"> </w:t>
      </w:r>
      <w:r w:rsidRPr="000977F7">
        <w:rPr>
          <w:color w:val="auto"/>
          <w:sz w:val="20"/>
          <w:szCs w:val="20"/>
        </w:rPr>
        <w:t>документацією</w:t>
      </w:r>
    </w:p>
    <w:p w14:paraId="75FEEE9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4D2D14">
        <w:rPr>
          <w:rFonts w:asciiTheme="majorHAnsi" w:hAnsiTheme="majorHAnsi"/>
          <w:w w:val="99"/>
          <w:sz w:val="20"/>
          <w:szCs w:val="20"/>
          <w:lang w:val="uk-UA"/>
        </w:rPr>
        <w:t>В</w:t>
      </w:r>
      <w:r w:rsidRPr="004D2D14">
        <w:rPr>
          <w:rFonts w:asciiTheme="majorHAnsi" w:hAnsiTheme="majorHAnsi"/>
          <w:spacing w:val="13"/>
          <w:sz w:val="20"/>
          <w:szCs w:val="20"/>
          <w:lang w:val="uk-UA"/>
        </w:rPr>
        <w:t xml:space="preserve"> </w:t>
      </w:r>
      <w:r w:rsidRPr="004D2D14">
        <w:rPr>
          <w:rFonts w:asciiTheme="majorHAnsi" w:hAnsiTheme="majorHAnsi"/>
          <w:spacing w:val="-2"/>
          <w:w w:val="99"/>
          <w:sz w:val="20"/>
          <w:szCs w:val="20"/>
          <w:lang w:val="uk-UA"/>
        </w:rPr>
        <w:t>п</w:t>
      </w:r>
      <w:r w:rsidRPr="004D2D14">
        <w:rPr>
          <w:rFonts w:asciiTheme="majorHAnsi" w:hAnsiTheme="majorHAnsi"/>
          <w:w w:val="99"/>
          <w:sz w:val="20"/>
          <w:szCs w:val="20"/>
          <w:lang w:val="uk-UA"/>
        </w:rPr>
        <w:t>.</w:t>
      </w:r>
      <w:r w:rsidRPr="004D2D14">
        <w:rPr>
          <w:rFonts w:asciiTheme="majorHAnsi" w:hAnsiTheme="majorHAnsi"/>
          <w:spacing w:val="12"/>
          <w:sz w:val="20"/>
          <w:szCs w:val="20"/>
          <w:lang w:val="uk-UA"/>
        </w:rPr>
        <w:t xml:space="preserve"> </w:t>
      </w:r>
      <w:r w:rsidRPr="004D2D14">
        <w:rPr>
          <w:rFonts w:asciiTheme="majorHAnsi" w:hAnsiTheme="majorHAnsi"/>
          <w:spacing w:val="1"/>
          <w:w w:val="99"/>
          <w:sz w:val="20"/>
          <w:szCs w:val="20"/>
          <w:lang w:val="uk-UA"/>
        </w:rPr>
        <w:t>4</w:t>
      </w:r>
      <w:r w:rsidRPr="004D2D14">
        <w:rPr>
          <w:rFonts w:asciiTheme="majorHAnsi" w:hAnsiTheme="majorHAnsi"/>
          <w:w w:val="99"/>
          <w:sz w:val="20"/>
          <w:szCs w:val="20"/>
          <w:lang w:val="uk-UA"/>
        </w:rPr>
        <w:t>.5</w:t>
      </w:r>
      <w:r w:rsidRPr="004D2D14">
        <w:rPr>
          <w:rFonts w:asciiTheme="majorHAnsi" w:hAnsiTheme="majorHAnsi"/>
          <w:spacing w:val="13"/>
          <w:sz w:val="20"/>
          <w:szCs w:val="20"/>
          <w:lang w:val="uk-UA"/>
        </w:rPr>
        <w:t xml:space="preserve"> </w:t>
      </w:r>
      <w:r w:rsidRPr="004D2D14">
        <w:rPr>
          <w:rFonts w:asciiTheme="majorHAnsi" w:hAnsiTheme="majorHAnsi"/>
          <w:w w:val="99"/>
          <w:sz w:val="20"/>
          <w:szCs w:val="20"/>
          <w:lang w:val="uk-UA"/>
        </w:rPr>
        <w:t>стат</w:t>
      </w:r>
      <w:r w:rsidRPr="004D2D14">
        <w:rPr>
          <w:rFonts w:asciiTheme="majorHAnsi" w:hAnsiTheme="majorHAnsi"/>
          <w:spacing w:val="1"/>
          <w:w w:val="99"/>
          <w:sz w:val="20"/>
          <w:szCs w:val="20"/>
          <w:lang w:val="uk-UA"/>
        </w:rPr>
        <w:t>т</w:t>
      </w:r>
      <w:r w:rsidRPr="004D2D14">
        <w:rPr>
          <w:rFonts w:asciiTheme="majorHAnsi" w:hAnsiTheme="majorHAnsi"/>
          <w:w w:val="99"/>
          <w:sz w:val="20"/>
          <w:szCs w:val="20"/>
          <w:lang w:val="uk-UA"/>
        </w:rPr>
        <w:t>і</w:t>
      </w:r>
      <w:r w:rsidRPr="004D2D14">
        <w:rPr>
          <w:rFonts w:asciiTheme="majorHAnsi" w:hAnsiTheme="majorHAnsi"/>
          <w:spacing w:val="14"/>
          <w:sz w:val="20"/>
          <w:szCs w:val="20"/>
          <w:lang w:val="uk-UA"/>
        </w:rPr>
        <w:t xml:space="preserve"> "</w:t>
      </w:r>
      <w:r w:rsidRPr="004D2D14">
        <w:rPr>
          <w:rFonts w:asciiTheme="majorHAnsi" w:hAnsiTheme="majorHAnsi"/>
          <w:spacing w:val="1"/>
          <w:w w:val="99"/>
          <w:sz w:val="20"/>
          <w:szCs w:val="20"/>
          <w:lang w:val="uk-UA"/>
        </w:rPr>
        <w:t>В</w:t>
      </w:r>
      <w:r w:rsidRPr="004D2D14">
        <w:rPr>
          <w:rFonts w:asciiTheme="majorHAnsi" w:hAnsiTheme="majorHAnsi"/>
          <w:spacing w:val="-2"/>
          <w:w w:val="99"/>
          <w:sz w:val="20"/>
          <w:szCs w:val="20"/>
          <w:lang w:val="uk-UA"/>
        </w:rPr>
        <w:t>и</w:t>
      </w:r>
      <w:r w:rsidRPr="004D2D14">
        <w:rPr>
          <w:rFonts w:asciiTheme="majorHAnsi" w:hAnsiTheme="majorHAnsi"/>
          <w:spacing w:val="1"/>
          <w:w w:val="99"/>
          <w:sz w:val="20"/>
          <w:szCs w:val="20"/>
          <w:lang w:val="uk-UA"/>
        </w:rPr>
        <w:t>мо</w:t>
      </w:r>
      <w:r w:rsidRPr="004D2D14">
        <w:rPr>
          <w:rFonts w:asciiTheme="majorHAnsi" w:hAnsiTheme="majorHAnsi"/>
          <w:spacing w:val="-1"/>
          <w:w w:val="99"/>
          <w:sz w:val="20"/>
          <w:szCs w:val="20"/>
          <w:lang w:val="uk-UA"/>
        </w:rPr>
        <w:t>г</w:t>
      </w:r>
      <w:r w:rsidRPr="004D2D14">
        <w:rPr>
          <w:rFonts w:asciiTheme="majorHAnsi" w:hAnsiTheme="majorHAnsi"/>
          <w:w w:val="99"/>
          <w:sz w:val="20"/>
          <w:szCs w:val="20"/>
          <w:lang w:val="uk-UA"/>
        </w:rPr>
        <w:t>и</w:t>
      </w:r>
      <w:r w:rsidRPr="004D2D14">
        <w:rPr>
          <w:rFonts w:asciiTheme="majorHAnsi" w:hAnsiTheme="majorHAnsi"/>
          <w:spacing w:val="13"/>
          <w:sz w:val="20"/>
          <w:szCs w:val="20"/>
          <w:lang w:val="uk-UA"/>
        </w:rPr>
        <w:t xml:space="preserve"> </w:t>
      </w:r>
      <w:r w:rsidRPr="004D2D14">
        <w:rPr>
          <w:rFonts w:asciiTheme="majorHAnsi" w:hAnsiTheme="majorHAnsi"/>
          <w:w w:val="99"/>
          <w:sz w:val="20"/>
          <w:szCs w:val="20"/>
          <w:lang w:val="uk-UA"/>
        </w:rPr>
        <w:t>до</w:t>
      </w:r>
      <w:r w:rsidRPr="004D2D14">
        <w:rPr>
          <w:rFonts w:asciiTheme="majorHAnsi" w:hAnsiTheme="majorHAnsi"/>
          <w:spacing w:val="12"/>
          <w:sz w:val="20"/>
          <w:szCs w:val="20"/>
          <w:lang w:val="uk-UA"/>
        </w:rPr>
        <w:t xml:space="preserve"> </w:t>
      </w:r>
      <w:r w:rsidRPr="004D2D14">
        <w:rPr>
          <w:rFonts w:asciiTheme="majorHAnsi" w:hAnsiTheme="majorHAnsi"/>
          <w:spacing w:val="2"/>
          <w:w w:val="99"/>
          <w:sz w:val="20"/>
          <w:szCs w:val="20"/>
          <w:lang w:val="uk-UA"/>
        </w:rPr>
        <w:t>с</w:t>
      </w:r>
      <w:r w:rsidRPr="004D2D14">
        <w:rPr>
          <w:rFonts w:asciiTheme="majorHAnsi" w:hAnsiTheme="majorHAnsi"/>
          <w:spacing w:val="-2"/>
          <w:w w:val="99"/>
          <w:sz w:val="20"/>
          <w:szCs w:val="20"/>
          <w:lang w:val="uk-UA"/>
        </w:rPr>
        <w:t>и</w:t>
      </w:r>
      <w:r w:rsidRPr="004D2D14">
        <w:rPr>
          <w:rFonts w:asciiTheme="majorHAnsi" w:hAnsiTheme="majorHAnsi"/>
          <w:w w:val="99"/>
          <w:sz w:val="20"/>
          <w:szCs w:val="20"/>
          <w:lang w:val="uk-UA"/>
        </w:rPr>
        <w:t>сте</w:t>
      </w:r>
      <w:r w:rsidRPr="004D2D14">
        <w:rPr>
          <w:rFonts w:asciiTheme="majorHAnsi" w:hAnsiTheme="majorHAnsi"/>
          <w:spacing w:val="1"/>
          <w:w w:val="99"/>
          <w:sz w:val="20"/>
          <w:szCs w:val="20"/>
          <w:lang w:val="uk-UA"/>
        </w:rPr>
        <w:t>м</w:t>
      </w:r>
      <w:r w:rsidRPr="004D2D14">
        <w:rPr>
          <w:rFonts w:asciiTheme="majorHAnsi" w:hAnsiTheme="majorHAnsi"/>
          <w:w w:val="99"/>
          <w:sz w:val="20"/>
          <w:szCs w:val="20"/>
          <w:lang w:val="uk-UA"/>
        </w:rPr>
        <w:t>и</w:t>
      </w:r>
      <w:r w:rsidRPr="004D2D14">
        <w:rPr>
          <w:rFonts w:asciiTheme="majorHAnsi" w:hAnsiTheme="majorHAnsi"/>
          <w:spacing w:val="15"/>
          <w:sz w:val="20"/>
          <w:szCs w:val="20"/>
          <w:lang w:val="uk-UA"/>
        </w:rPr>
        <w:t xml:space="preserve"> </w:t>
      </w:r>
      <w:r w:rsidRPr="004D2D14">
        <w:rPr>
          <w:rFonts w:asciiTheme="majorHAnsi" w:hAnsiTheme="majorHAnsi"/>
          <w:spacing w:val="-2"/>
          <w:w w:val="99"/>
          <w:sz w:val="20"/>
          <w:szCs w:val="20"/>
          <w:lang w:val="uk-UA"/>
        </w:rPr>
        <w:t>уп</w:t>
      </w:r>
      <w:r w:rsidRPr="004D2D14">
        <w:rPr>
          <w:rFonts w:asciiTheme="majorHAnsi" w:hAnsiTheme="majorHAnsi"/>
          <w:spacing w:val="1"/>
          <w:w w:val="99"/>
          <w:sz w:val="20"/>
          <w:szCs w:val="20"/>
          <w:lang w:val="uk-UA"/>
        </w:rPr>
        <w:t>р</w:t>
      </w:r>
      <w:r w:rsidRPr="004D2D14">
        <w:rPr>
          <w:rFonts w:asciiTheme="majorHAnsi" w:hAnsiTheme="majorHAnsi"/>
          <w:w w:val="99"/>
          <w:sz w:val="20"/>
          <w:szCs w:val="20"/>
          <w:lang w:val="uk-UA"/>
        </w:rPr>
        <w:t>а</w:t>
      </w:r>
      <w:r w:rsidRPr="004D2D14">
        <w:rPr>
          <w:rFonts w:asciiTheme="majorHAnsi" w:hAnsiTheme="majorHAnsi"/>
          <w:spacing w:val="2"/>
          <w:w w:val="99"/>
          <w:sz w:val="20"/>
          <w:szCs w:val="20"/>
          <w:lang w:val="uk-UA"/>
        </w:rPr>
        <w:t>в</w:t>
      </w:r>
      <w:r w:rsidRPr="004D2D14">
        <w:rPr>
          <w:rFonts w:asciiTheme="majorHAnsi" w:hAnsiTheme="majorHAnsi"/>
          <w:spacing w:val="-1"/>
          <w:w w:val="99"/>
          <w:sz w:val="20"/>
          <w:szCs w:val="20"/>
          <w:lang w:val="uk-UA"/>
        </w:rPr>
        <w:t>л</w:t>
      </w:r>
      <w:r w:rsidRPr="004D2D14">
        <w:rPr>
          <w:rFonts w:asciiTheme="majorHAnsi" w:hAnsiTheme="majorHAnsi"/>
          <w:w w:val="99"/>
          <w:sz w:val="20"/>
          <w:szCs w:val="20"/>
          <w:lang w:val="uk-UA"/>
        </w:rPr>
        <w:t>і</w:t>
      </w:r>
      <w:r w:rsidRPr="004D2D14">
        <w:rPr>
          <w:rFonts w:asciiTheme="majorHAnsi" w:hAnsiTheme="majorHAnsi"/>
          <w:spacing w:val="1"/>
          <w:w w:val="99"/>
          <w:sz w:val="20"/>
          <w:szCs w:val="20"/>
          <w:lang w:val="uk-UA"/>
        </w:rPr>
        <w:t>н</w:t>
      </w:r>
      <w:r w:rsidRPr="004D2D14">
        <w:rPr>
          <w:rFonts w:asciiTheme="majorHAnsi" w:hAnsiTheme="majorHAnsi"/>
          <w:spacing w:val="-2"/>
          <w:w w:val="99"/>
          <w:sz w:val="20"/>
          <w:szCs w:val="20"/>
          <w:lang w:val="uk-UA"/>
        </w:rPr>
        <w:t>н</w:t>
      </w:r>
      <w:r w:rsidRPr="004D2D14">
        <w:rPr>
          <w:rFonts w:asciiTheme="majorHAnsi" w:hAnsiTheme="majorHAnsi"/>
          <w:w w:val="99"/>
          <w:sz w:val="20"/>
          <w:szCs w:val="20"/>
          <w:lang w:val="uk-UA"/>
        </w:rPr>
        <w:t>я</w:t>
      </w:r>
      <w:r w:rsidRPr="004D2D14">
        <w:rPr>
          <w:rFonts w:asciiTheme="majorHAnsi" w:hAnsiTheme="majorHAnsi"/>
          <w:spacing w:val="13"/>
          <w:sz w:val="20"/>
          <w:szCs w:val="20"/>
          <w:lang w:val="uk-UA"/>
        </w:rPr>
        <w:t xml:space="preserve"> </w:t>
      </w:r>
      <w:r w:rsidRPr="004D2D14">
        <w:rPr>
          <w:rFonts w:asciiTheme="majorHAnsi" w:hAnsiTheme="majorHAnsi"/>
          <w:spacing w:val="5"/>
          <w:w w:val="99"/>
          <w:sz w:val="20"/>
          <w:szCs w:val="20"/>
          <w:lang w:val="uk-UA"/>
        </w:rPr>
        <w:t>н</w:t>
      </w:r>
      <w:r w:rsidRPr="004D2D14">
        <w:rPr>
          <w:rFonts w:asciiTheme="majorHAnsi" w:hAnsiTheme="majorHAnsi"/>
          <w:spacing w:val="2"/>
          <w:w w:val="99"/>
          <w:sz w:val="20"/>
          <w:szCs w:val="20"/>
          <w:lang w:val="uk-UA"/>
        </w:rPr>
        <w:t>а</w:t>
      </w:r>
      <w:r w:rsidRPr="004D2D14">
        <w:rPr>
          <w:rFonts w:asciiTheme="majorHAnsi" w:hAnsiTheme="majorHAnsi"/>
          <w:sz w:val="20"/>
          <w:szCs w:val="20"/>
          <w:lang w:val="uk-UA"/>
        </w:rPr>
        <w:t xml:space="preserve">вколишнім середовищем" за ДСТУ </w:t>
      </w:r>
      <w:r w:rsidRPr="000977F7">
        <w:rPr>
          <w:rFonts w:asciiTheme="majorHAnsi" w:hAnsiTheme="majorHAnsi"/>
          <w:sz w:val="20"/>
          <w:szCs w:val="20"/>
        </w:rPr>
        <w:t>ISO</w:t>
      </w:r>
      <w:r w:rsidRPr="004D2D14">
        <w:rPr>
          <w:rFonts w:asciiTheme="majorHAnsi" w:hAnsiTheme="majorHAnsi"/>
          <w:sz w:val="20"/>
          <w:szCs w:val="20"/>
          <w:lang w:val="uk-UA"/>
        </w:rPr>
        <w:t xml:space="preserve"> 14001-97 вказується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необхідність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забезпечення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розроблення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підтримання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робочому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документації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мірі,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 xml:space="preserve">достатній для впровадження системи управління навколишнім середовищем. </w:t>
      </w:r>
      <w:r w:rsidRPr="000977F7">
        <w:rPr>
          <w:rFonts w:asciiTheme="majorHAnsi" w:hAnsiTheme="majorHAnsi"/>
          <w:sz w:val="20"/>
          <w:szCs w:val="20"/>
        </w:rPr>
        <w:t>Однак організація повинна</w:t>
      </w:r>
      <w:r w:rsidRPr="000977F7">
        <w:rPr>
          <w:rFonts w:asciiTheme="majorHAnsi" w:hAnsiTheme="majorHAnsi"/>
          <w:spacing w:val="1"/>
          <w:sz w:val="20"/>
          <w:szCs w:val="20"/>
        </w:rPr>
        <w:t xml:space="preserve"> </w:t>
      </w:r>
      <w:r w:rsidRPr="000977F7">
        <w:rPr>
          <w:rFonts w:asciiTheme="majorHAnsi" w:hAnsiTheme="majorHAnsi"/>
          <w:sz w:val="20"/>
          <w:szCs w:val="20"/>
        </w:rPr>
        <w:t>зосереджувати свою увагу, в першу чергу, на ефективному</w:t>
      </w:r>
      <w:r w:rsidRPr="000977F7">
        <w:rPr>
          <w:rFonts w:asciiTheme="majorHAnsi" w:hAnsiTheme="majorHAnsi"/>
          <w:spacing w:val="39"/>
          <w:sz w:val="20"/>
          <w:szCs w:val="20"/>
        </w:rPr>
        <w:t xml:space="preserve"> </w:t>
      </w:r>
      <w:r w:rsidRPr="000977F7">
        <w:rPr>
          <w:rFonts w:asciiTheme="majorHAnsi" w:hAnsiTheme="majorHAnsi"/>
          <w:sz w:val="20"/>
          <w:szCs w:val="20"/>
        </w:rPr>
        <w:t>функціонуванні</w:t>
      </w:r>
      <w:r w:rsidRPr="000977F7">
        <w:rPr>
          <w:rFonts w:asciiTheme="majorHAnsi" w:hAnsiTheme="majorHAnsi"/>
          <w:spacing w:val="44"/>
          <w:sz w:val="20"/>
          <w:szCs w:val="20"/>
        </w:rPr>
        <w:t xml:space="preserve"> </w:t>
      </w:r>
      <w:r w:rsidRPr="000977F7">
        <w:rPr>
          <w:rFonts w:asciiTheme="majorHAnsi" w:hAnsiTheme="majorHAnsi"/>
          <w:sz w:val="20"/>
          <w:szCs w:val="20"/>
        </w:rPr>
        <w:t>системи</w:t>
      </w:r>
      <w:r w:rsidRPr="000977F7">
        <w:rPr>
          <w:rFonts w:asciiTheme="majorHAnsi" w:hAnsiTheme="majorHAnsi"/>
          <w:spacing w:val="45"/>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45"/>
          <w:sz w:val="20"/>
          <w:szCs w:val="20"/>
        </w:rPr>
        <w:t xml:space="preserve"> </w:t>
      </w:r>
      <w:r w:rsidRPr="000977F7">
        <w:rPr>
          <w:rFonts w:asciiTheme="majorHAnsi" w:hAnsiTheme="majorHAnsi"/>
          <w:sz w:val="20"/>
          <w:szCs w:val="20"/>
        </w:rPr>
        <w:t>навколишнім середовищем та на екологічних характеристиках, а не на створенні складної системи 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документацією.</w:t>
      </w:r>
    </w:p>
    <w:p w14:paraId="50145BC4" w14:textId="77777777" w:rsidR="0097612F" w:rsidRPr="000977F7" w:rsidRDefault="0097612F" w:rsidP="00FD39A4">
      <w:pPr>
        <w:pStyle w:val="7"/>
        <w:keepNext w:val="0"/>
        <w:keepLines w:val="0"/>
        <w:widowControl w:val="0"/>
        <w:numPr>
          <w:ilvl w:val="1"/>
          <w:numId w:val="145"/>
        </w:numPr>
        <w:tabs>
          <w:tab w:val="left" w:pos="284"/>
          <w:tab w:val="left" w:pos="1076"/>
        </w:tabs>
        <w:autoSpaceDE w:val="0"/>
        <w:autoSpaceDN w:val="0"/>
        <w:spacing w:before="0" w:line="240" w:lineRule="auto"/>
        <w:ind w:left="170" w:firstLine="0"/>
        <w:mirrorIndents/>
        <w:jc w:val="both"/>
        <w:rPr>
          <w:color w:val="auto"/>
          <w:sz w:val="20"/>
          <w:szCs w:val="20"/>
        </w:rPr>
      </w:pPr>
      <w:r w:rsidRPr="000977F7">
        <w:rPr>
          <w:color w:val="auto"/>
          <w:sz w:val="20"/>
          <w:szCs w:val="20"/>
        </w:rPr>
        <w:t>Управління</w:t>
      </w:r>
      <w:r w:rsidRPr="000977F7">
        <w:rPr>
          <w:color w:val="auto"/>
          <w:spacing w:val="-5"/>
          <w:sz w:val="20"/>
          <w:szCs w:val="20"/>
        </w:rPr>
        <w:t xml:space="preserve"> </w:t>
      </w:r>
      <w:r w:rsidRPr="000977F7">
        <w:rPr>
          <w:color w:val="auto"/>
          <w:sz w:val="20"/>
          <w:szCs w:val="20"/>
        </w:rPr>
        <w:t>роботами</w:t>
      </w:r>
    </w:p>
    <w:p w14:paraId="381155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Сюди може бути включено текст, підготовлений</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2"/>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майбутнього перегляду</w:t>
      </w:r>
      <w:r w:rsidRPr="000977F7">
        <w:rPr>
          <w:rFonts w:asciiTheme="majorHAnsi" w:hAnsiTheme="majorHAnsi"/>
          <w:spacing w:val="-4"/>
          <w:sz w:val="20"/>
          <w:szCs w:val="20"/>
        </w:rPr>
        <w:t xml:space="preserve"> </w:t>
      </w:r>
      <w:r w:rsidRPr="000977F7">
        <w:rPr>
          <w:rFonts w:asciiTheme="majorHAnsi" w:hAnsiTheme="majorHAnsi"/>
          <w:sz w:val="20"/>
          <w:szCs w:val="20"/>
        </w:rPr>
        <w:t>стандарту.</w:t>
      </w:r>
    </w:p>
    <w:p w14:paraId="0C0B0865" w14:textId="77777777" w:rsidR="0097612F" w:rsidRPr="000977F7" w:rsidRDefault="0097612F" w:rsidP="00FD39A4">
      <w:pPr>
        <w:pStyle w:val="7"/>
        <w:keepNext w:val="0"/>
        <w:keepLines w:val="0"/>
        <w:widowControl w:val="0"/>
        <w:numPr>
          <w:ilvl w:val="1"/>
          <w:numId w:val="145"/>
        </w:numPr>
        <w:tabs>
          <w:tab w:val="left" w:pos="284"/>
          <w:tab w:val="left" w:pos="1167"/>
        </w:tabs>
        <w:autoSpaceDE w:val="0"/>
        <w:autoSpaceDN w:val="0"/>
        <w:spacing w:before="0" w:line="240" w:lineRule="auto"/>
        <w:ind w:left="170" w:firstLine="0"/>
        <w:mirrorIndents/>
        <w:jc w:val="both"/>
        <w:rPr>
          <w:color w:val="auto"/>
          <w:sz w:val="20"/>
          <w:szCs w:val="20"/>
        </w:rPr>
      </w:pPr>
      <w:r w:rsidRPr="000977F7">
        <w:rPr>
          <w:color w:val="auto"/>
          <w:sz w:val="20"/>
          <w:szCs w:val="20"/>
        </w:rPr>
        <w:t>Готовність</w:t>
      </w:r>
      <w:r w:rsidRPr="000977F7">
        <w:rPr>
          <w:color w:val="auto"/>
          <w:spacing w:val="4"/>
          <w:sz w:val="20"/>
          <w:szCs w:val="20"/>
        </w:rPr>
        <w:t xml:space="preserve"> </w:t>
      </w:r>
      <w:r w:rsidRPr="000977F7">
        <w:rPr>
          <w:color w:val="auto"/>
          <w:sz w:val="20"/>
          <w:szCs w:val="20"/>
        </w:rPr>
        <w:t>до</w:t>
      </w:r>
      <w:r w:rsidRPr="000977F7">
        <w:rPr>
          <w:color w:val="auto"/>
          <w:spacing w:val="5"/>
          <w:sz w:val="20"/>
          <w:szCs w:val="20"/>
        </w:rPr>
        <w:t xml:space="preserve"> </w:t>
      </w:r>
      <w:r w:rsidRPr="000977F7">
        <w:rPr>
          <w:color w:val="auto"/>
          <w:sz w:val="20"/>
          <w:szCs w:val="20"/>
        </w:rPr>
        <w:t>аварійних</w:t>
      </w:r>
      <w:r w:rsidRPr="000977F7">
        <w:rPr>
          <w:color w:val="auto"/>
          <w:spacing w:val="3"/>
          <w:sz w:val="20"/>
          <w:szCs w:val="20"/>
        </w:rPr>
        <w:t xml:space="preserve"> </w:t>
      </w:r>
      <w:r w:rsidRPr="000977F7">
        <w:rPr>
          <w:color w:val="auto"/>
          <w:sz w:val="20"/>
          <w:szCs w:val="20"/>
        </w:rPr>
        <w:t>ситуацій</w:t>
      </w:r>
      <w:r w:rsidRPr="000977F7">
        <w:rPr>
          <w:color w:val="auto"/>
          <w:spacing w:val="3"/>
          <w:sz w:val="20"/>
          <w:szCs w:val="20"/>
        </w:rPr>
        <w:t xml:space="preserve"> </w:t>
      </w:r>
      <w:r w:rsidRPr="000977F7">
        <w:rPr>
          <w:color w:val="auto"/>
          <w:sz w:val="20"/>
          <w:szCs w:val="20"/>
        </w:rPr>
        <w:t>та</w:t>
      </w:r>
      <w:r w:rsidRPr="000977F7">
        <w:rPr>
          <w:color w:val="auto"/>
          <w:spacing w:val="10"/>
          <w:sz w:val="20"/>
          <w:szCs w:val="20"/>
        </w:rPr>
        <w:t xml:space="preserve"> </w:t>
      </w:r>
      <w:r w:rsidRPr="000977F7">
        <w:rPr>
          <w:color w:val="auto"/>
          <w:sz w:val="20"/>
          <w:szCs w:val="20"/>
        </w:rPr>
        <w:t>реагування</w:t>
      </w:r>
      <w:r w:rsidRPr="000977F7">
        <w:rPr>
          <w:color w:val="auto"/>
          <w:spacing w:val="-1"/>
          <w:sz w:val="20"/>
          <w:szCs w:val="20"/>
        </w:rPr>
        <w:t xml:space="preserve"> </w:t>
      </w:r>
      <w:r w:rsidRPr="000977F7">
        <w:rPr>
          <w:color w:val="auto"/>
          <w:sz w:val="20"/>
          <w:szCs w:val="20"/>
        </w:rPr>
        <w:t>на</w:t>
      </w:r>
      <w:r w:rsidRPr="000977F7">
        <w:rPr>
          <w:color w:val="auto"/>
          <w:spacing w:val="1"/>
          <w:sz w:val="20"/>
          <w:szCs w:val="20"/>
        </w:rPr>
        <w:t xml:space="preserve"> </w:t>
      </w:r>
      <w:r w:rsidRPr="000977F7">
        <w:rPr>
          <w:color w:val="auto"/>
          <w:sz w:val="20"/>
          <w:szCs w:val="20"/>
        </w:rPr>
        <w:t>них</w:t>
      </w:r>
    </w:p>
    <w:p w14:paraId="1E4DB0D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Сюди</w:t>
      </w:r>
      <w:r w:rsidRPr="000977F7">
        <w:rPr>
          <w:rFonts w:asciiTheme="majorHAnsi" w:hAnsiTheme="majorHAnsi"/>
          <w:spacing w:val="10"/>
          <w:sz w:val="20"/>
          <w:szCs w:val="20"/>
        </w:rPr>
        <w:t xml:space="preserve"> </w:t>
      </w:r>
      <w:r w:rsidRPr="000977F7">
        <w:rPr>
          <w:rFonts w:asciiTheme="majorHAnsi" w:hAnsiTheme="majorHAnsi"/>
          <w:sz w:val="20"/>
          <w:szCs w:val="20"/>
        </w:rPr>
        <w:t>може</w:t>
      </w:r>
      <w:r w:rsidRPr="000977F7">
        <w:rPr>
          <w:rFonts w:asciiTheme="majorHAnsi" w:hAnsiTheme="majorHAnsi"/>
          <w:spacing w:val="14"/>
          <w:sz w:val="20"/>
          <w:szCs w:val="20"/>
        </w:rPr>
        <w:t xml:space="preserve"> </w:t>
      </w:r>
      <w:r w:rsidRPr="000977F7">
        <w:rPr>
          <w:rFonts w:asciiTheme="majorHAnsi" w:hAnsiTheme="majorHAnsi"/>
          <w:sz w:val="20"/>
          <w:szCs w:val="20"/>
        </w:rPr>
        <w:t>бути</w:t>
      </w:r>
      <w:r w:rsidRPr="000977F7">
        <w:rPr>
          <w:rFonts w:asciiTheme="majorHAnsi" w:hAnsiTheme="majorHAnsi"/>
          <w:spacing w:val="13"/>
          <w:sz w:val="20"/>
          <w:szCs w:val="20"/>
        </w:rPr>
        <w:t xml:space="preserve"> </w:t>
      </w:r>
      <w:r w:rsidRPr="000977F7">
        <w:rPr>
          <w:rFonts w:asciiTheme="majorHAnsi" w:hAnsiTheme="majorHAnsi"/>
          <w:sz w:val="20"/>
          <w:szCs w:val="20"/>
        </w:rPr>
        <w:t>включено</w:t>
      </w:r>
      <w:r w:rsidRPr="000977F7">
        <w:rPr>
          <w:rFonts w:asciiTheme="majorHAnsi" w:hAnsiTheme="majorHAnsi"/>
          <w:spacing w:val="12"/>
          <w:sz w:val="20"/>
          <w:szCs w:val="20"/>
        </w:rPr>
        <w:t xml:space="preserve"> </w:t>
      </w:r>
      <w:r w:rsidRPr="000977F7">
        <w:rPr>
          <w:rFonts w:asciiTheme="majorHAnsi" w:hAnsiTheme="majorHAnsi"/>
          <w:sz w:val="20"/>
          <w:szCs w:val="20"/>
        </w:rPr>
        <w:t>текст,</w:t>
      </w:r>
      <w:r w:rsidRPr="000977F7">
        <w:rPr>
          <w:rFonts w:asciiTheme="majorHAnsi" w:hAnsiTheme="majorHAnsi"/>
          <w:spacing w:val="14"/>
          <w:sz w:val="20"/>
          <w:szCs w:val="20"/>
        </w:rPr>
        <w:t xml:space="preserve"> </w:t>
      </w:r>
      <w:r w:rsidRPr="000977F7">
        <w:rPr>
          <w:rFonts w:asciiTheme="majorHAnsi" w:hAnsiTheme="majorHAnsi"/>
          <w:sz w:val="20"/>
          <w:szCs w:val="20"/>
        </w:rPr>
        <w:t>підготовлений</w:t>
      </w:r>
      <w:r w:rsidRPr="000977F7">
        <w:rPr>
          <w:rFonts w:asciiTheme="majorHAnsi" w:hAnsiTheme="majorHAnsi"/>
          <w:spacing w:val="-47"/>
          <w:sz w:val="20"/>
          <w:szCs w:val="20"/>
        </w:rPr>
        <w:t xml:space="preserve"> </w:t>
      </w:r>
      <w:r w:rsidRPr="000977F7">
        <w:rPr>
          <w:rFonts w:asciiTheme="majorHAnsi" w:hAnsiTheme="majorHAnsi"/>
          <w:sz w:val="20"/>
          <w:szCs w:val="20"/>
        </w:rPr>
        <w:t>під</w:t>
      </w:r>
      <w:r w:rsidRPr="000977F7">
        <w:rPr>
          <w:rFonts w:asciiTheme="majorHAnsi" w:hAnsiTheme="majorHAnsi"/>
          <w:spacing w:val="-2"/>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майбутнього перегляду</w:t>
      </w:r>
      <w:r w:rsidRPr="000977F7">
        <w:rPr>
          <w:rFonts w:asciiTheme="majorHAnsi" w:hAnsiTheme="majorHAnsi"/>
          <w:spacing w:val="-4"/>
          <w:sz w:val="20"/>
          <w:szCs w:val="20"/>
        </w:rPr>
        <w:t xml:space="preserve"> </w:t>
      </w:r>
      <w:r w:rsidRPr="000977F7">
        <w:rPr>
          <w:rFonts w:asciiTheme="majorHAnsi" w:hAnsiTheme="majorHAnsi"/>
          <w:sz w:val="20"/>
          <w:szCs w:val="20"/>
        </w:rPr>
        <w:t>стандарту.</w:t>
      </w:r>
    </w:p>
    <w:p w14:paraId="2585A051" w14:textId="77777777" w:rsidR="0097612F" w:rsidRPr="000977F7" w:rsidRDefault="0097612F" w:rsidP="00FD39A4">
      <w:pPr>
        <w:pStyle w:val="7"/>
        <w:keepNext w:val="0"/>
        <w:keepLines w:val="0"/>
        <w:widowControl w:val="0"/>
        <w:numPr>
          <w:ilvl w:val="0"/>
          <w:numId w:val="143"/>
        </w:numPr>
        <w:tabs>
          <w:tab w:val="left" w:pos="284"/>
          <w:tab w:val="left" w:pos="1119"/>
        </w:tabs>
        <w:autoSpaceDE w:val="0"/>
        <w:autoSpaceDN w:val="0"/>
        <w:spacing w:before="0" w:line="240" w:lineRule="auto"/>
        <w:ind w:left="170" w:firstLine="0"/>
        <w:mirrorIndents/>
        <w:jc w:val="both"/>
        <w:rPr>
          <w:color w:val="auto"/>
          <w:sz w:val="20"/>
          <w:szCs w:val="20"/>
        </w:rPr>
      </w:pPr>
      <w:r w:rsidRPr="000977F7">
        <w:rPr>
          <w:color w:val="auto"/>
          <w:sz w:val="20"/>
          <w:szCs w:val="20"/>
        </w:rPr>
        <w:t>Контроль</w:t>
      </w:r>
      <w:r w:rsidRPr="000977F7">
        <w:rPr>
          <w:color w:val="auto"/>
          <w:spacing w:val="-5"/>
          <w:sz w:val="20"/>
          <w:szCs w:val="20"/>
        </w:rPr>
        <w:t xml:space="preserve"> </w:t>
      </w:r>
      <w:r w:rsidRPr="000977F7">
        <w:rPr>
          <w:color w:val="auto"/>
          <w:sz w:val="20"/>
          <w:szCs w:val="20"/>
        </w:rPr>
        <w:t>та</w:t>
      </w:r>
      <w:r w:rsidRPr="000977F7">
        <w:rPr>
          <w:color w:val="auto"/>
          <w:spacing w:val="-4"/>
          <w:sz w:val="20"/>
          <w:szCs w:val="20"/>
        </w:rPr>
        <w:t xml:space="preserve"> </w:t>
      </w:r>
      <w:r w:rsidRPr="000977F7">
        <w:rPr>
          <w:color w:val="auto"/>
          <w:sz w:val="20"/>
          <w:szCs w:val="20"/>
        </w:rPr>
        <w:t>коригувальні</w:t>
      </w:r>
      <w:r w:rsidRPr="000977F7">
        <w:rPr>
          <w:color w:val="auto"/>
          <w:spacing w:val="-4"/>
          <w:sz w:val="20"/>
          <w:szCs w:val="20"/>
        </w:rPr>
        <w:t xml:space="preserve"> </w:t>
      </w:r>
      <w:r w:rsidRPr="000977F7">
        <w:rPr>
          <w:color w:val="auto"/>
          <w:sz w:val="20"/>
          <w:szCs w:val="20"/>
        </w:rPr>
        <w:t>дії</w:t>
      </w:r>
    </w:p>
    <w:p w14:paraId="1263FB1A" w14:textId="77777777" w:rsidR="0097612F" w:rsidRPr="000977F7" w:rsidRDefault="0097612F" w:rsidP="00FD39A4">
      <w:pPr>
        <w:pStyle w:val="ac"/>
        <w:widowControl w:val="0"/>
        <w:numPr>
          <w:ilvl w:val="1"/>
          <w:numId w:val="143"/>
        </w:numPr>
        <w:tabs>
          <w:tab w:val="left" w:pos="284"/>
          <w:tab w:val="left" w:pos="1268"/>
        </w:tabs>
        <w:autoSpaceDE w:val="0"/>
        <w:autoSpaceDN w:val="0"/>
        <w:spacing w:after="0" w:line="240" w:lineRule="auto"/>
        <w:ind w:left="170" w:firstLine="0"/>
        <w:contextualSpacing w:val="0"/>
        <w:mirrorIndents/>
        <w:jc w:val="both"/>
        <w:rPr>
          <w:rFonts w:asciiTheme="majorHAnsi" w:hAnsiTheme="majorHAnsi"/>
          <w:b/>
          <w:sz w:val="20"/>
          <w:szCs w:val="20"/>
        </w:rPr>
      </w:pPr>
      <w:r w:rsidRPr="000977F7">
        <w:rPr>
          <w:rFonts w:asciiTheme="majorHAnsi" w:hAnsiTheme="majorHAnsi"/>
          <w:b/>
          <w:sz w:val="20"/>
          <w:szCs w:val="20"/>
        </w:rPr>
        <w:t>Моніторинг</w:t>
      </w:r>
      <w:r w:rsidRPr="000977F7">
        <w:rPr>
          <w:rFonts w:asciiTheme="majorHAnsi" w:hAnsiTheme="majorHAnsi"/>
          <w:b/>
          <w:spacing w:val="-4"/>
          <w:sz w:val="20"/>
          <w:szCs w:val="20"/>
        </w:rPr>
        <w:t xml:space="preserve"> </w:t>
      </w:r>
      <w:r w:rsidRPr="000977F7">
        <w:rPr>
          <w:rFonts w:asciiTheme="majorHAnsi" w:hAnsiTheme="majorHAnsi"/>
          <w:b/>
          <w:sz w:val="20"/>
          <w:szCs w:val="20"/>
        </w:rPr>
        <w:t>і</w:t>
      </w:r>
      <w:r w:rsidRPr="000977F7">
        <w:rPr>
          <w:rFonts w:asciiTheme="majorHAnsi" w:hAnsiTheme="majorHAnsi"/>
          <w:b/>
          <w:spacing w:val="-5"/>
          <w:sz w:val="20"/>
          <w:szCs w:val="20"/>
        </w:rPr>
        <w:t xml:space="preserve"> </w:t>
      </w:r>
      <w:r w:rsidRPr="000977F7">
        <w:rPr>
          <w:rFonts w:asciiTheme="majorHAnsi" w:hAnsiTheme="majorHAnsi"/>
          <w:b/>
          <w:sz w:val="20"/>
          <w:szCs w:val="20"/>
        </w:rPr>
        <w:t>вимірювання</w:t>
      </w:r>
    </w:p>
    <w:p w14:paraId="20A4C65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Сюди</w:t>
      </w:r>
      <w:r w:rsidRPr="000977F7">
        <w:rPr>
          <w:rFonts w:asciiTheme="majorHAnsi" w:hAnsiTheme="majorHAnsi"/>
          <w:spacing w:val="10"/>
          <w:sz w:val="20"/>
          <w:szCs w:val="20"/>
        </w:rPr>
        <w:t xml:space="preserve"> </w:t>
      </w:r>
      <w:r w:rsidRPr="000977F7">
        <w:rPr>
          <w:rFonts w:asciiTheme="majorHAnsi" w:hAnsiTheme="majorHAnsi"/>
          <w:sz w:val="20"/>
          <w:szCs w:val="20"/>
        </w:rPr>
        <w:t>може</w:t>
      </w:r>
      <w:r w:rsidRPr="000977F7">
        <w:rPr>
          <w:rFonts w:asciiTheme="majorHAnsi" w:hAnsiTheme="majorHAnsi"/>
          <w:spacing w:val="14"/>
          <w:sz w:val="20"/>
          <w:szCs w:val="20"/>
        </w:rPr>
        <w:t xml:space="preserve"> </w:t>
      </w:r>
      <w:r w:rsidRPr="000977F7">
        <w:rPr>
          <w:rFonts w:asciiTheme="majorHAnsi" w:hAnsiTheme="majorHAnsi"/>
          <w:sz w:val="20"/>
          <w:szCs w:val="20"/>
        </w:rPr>
        <w:t>бути</w:t>
      </w:r>
      <w:r w:rsidRPr="000977F7">
        <w:rPr>
          <w:rFonts w:asciiTheme="majorHAnsi" w:hAnsiTheme="majorHAnsi"/>
          <w:spacing w:val="13"/>
          <w:sz w:val="20"/>
          <w:szCs w:val="20"/>
        </w:rPr>
        <w:t xml:space="preserve"> </w:t>
      </w:r>
      <w:r w:rsidRPr="000977F7">
        <w:rPr>
          <w:rFonts w:asciiTheme="majorHAnsi" w:hAnsiTheme="majorHAnsi"/>
          <w:sz w:val="20"/>
          <w:szCs w:val="20"/>
        </w:rPr>
        <w:t>включено</w:t>
      </w:r>
      <w:r w:rsidRPr="000977F7">
        <w:rPr>
          <w:rFonts w:asciiTheme="majorHAnsi" w:hAnsiTheme="majorHAnsi"/>
          <w:spacing w:val="12"/>
          <w:sz w:val="20"/>
          <w:szCs w:val="20"/>
        </w:rPr>
        <w:t xml:space="preserve"> </w:t>
      </w:r>
      <w:r w:rsidRPr="000977F7">
        <w:rPr>
          <w:rFonts w:asciiTheme="majorHAnsi" w:hAnsiTheme="majorHAnsi"/>
          <w:sz w:val="20"/>
          <w:szCs w:val="20"/>
        </w:rPr>
        <w:t>текст,</w:t>
      </w:r>
      <w:r w:rsidRPr="000977F7">
        <w:rPr>
          <w:rFonts w:asciiTheme="majorHAnsi" w:hAnsiTheme="majorHAnsi"/>
          <w:spacing w:val="14"/>
          <w:sz w:val="20"/>
          <w:szCs w:val="20"/>
        </w:rPr>
        <w:t xml:space="preserve"> </w:t>
      </w:r>
      <w:r w:rsidRPr="000977F7">
        <w:rPr>
          <w:rFonts w:asciiTheme="majorHAnsi" w:hAnsiTheme="majorHAnsi"/>
          <w:sz w:val="20"/>
          <w:szCs w:val="20"/>
        </w:rPr>
        <w:t>підготовлений</w:t>
      </w:r>
      <w:r w:rsidRPr="000977F7">
        <w:rPr>
          <w:rFonts w:asciiTheme="majorHAnsi" w:hAnsiTheme="majorHAnsi"/>
          <w:spacing w:val="-47"/>
          <w:sz w:val="20"/>
          <w:szCs w:val="20"/>
        </w:rPr>
        <w:t xml:space="preserve"> </w:t>
      </w:r>
      <w:r w:rsidRPr="000977F7">
        <w:rPr>
          <w:rFonts w:asciiTheme="majorHAnsi" w:hAnsiTheme="majorHAnsi"/>
          <w:sz w:val="20"/>
          <w:szCs w:val="20"/>
        </w:rPr>
        <w:t>під</w:t>
      </w:r>
      <w:r w:rsidRPr="000977F7">
        <w:rPr>
          <w:rFonts w:asciiTheme="majorHAnsi" w:hAnsiTheme="majorHAnsi"/>
          <w:spacing w:val="-2"/>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майбутнього перегляду</w:t>
      </w:r>
      <w:r w:rsidRPr="000977F7">
        <w:rPr>
          <w:rFonts w:asciiTheme="majorHAnsi" w:hAnsiTheme="majorHAnsi"/>
          <w:spacing w:val="-4"/>
          <w:sz w:val="20"/>
          <w:szCs w:val="20"/>
        </w:rPr>
        <w:t xml:space="preserve"> </w:t>
      </w:r>
      <w:r w:rsidRPr="000977F7">
        <w:rPr>
          <w:rFonts w:asciiTheme="majorHAnsi" w:hAnsiTheme="majorHAnsi"/>
          <w:sz w:val="20"/>
          <w:szCs w:val="20"/>
        </w:rPr>
        <w:t>стандарту.</w:t>
      </w:r>
    </w:p>
    <w:p w14:paraId="6C5A1D1F" w14:textId="77777777" w:rsidR="0097612F" w:rsidRPr="000977F7" w:rsidRDefault="0097612F" w:rsidP="00FD39A4">
      <w:pPr>
        <w:pStyle w:val="7"/>
        <w:keepNext w:val="0"/>
        <w:keepLines w:val="0"/>
        <w:widowControl w:val="0"/>
        <w:numPr>
          <w:ilvl w:val="1"/>
          <w:numId w:val="143"/>
        </w:numPr>
        <w:tabs>
          <w:tab w:val="left" w:pos="284"/>
          <w:tab w:val="left" w:pos="1172"/>
        </w:tabs>
        <w:autoSpaceDE w:val="0"/>
        <w:autoSpaceDN w:val="0"/>
        <w:spacing w:before="0" w:line="240" w:lineRule="auto"/>
        <w:ind w:left="170" w:firstLine="0"/>
        <w:mirrorIndents/>
        <w:jc w:val="both"/>
        <w:rPr>
          <w:color w:val="auto"/>
          <w:sz w:val="20"/>
          <w:szCs w:val="20"/>
        </w:rPr>
      </w:pPr>
      <w:r w:rsidRPr="000977F7">
        <w:rPr>
          <w:color w:val="auto"/>
          <w:sz w:val="20"/>
          <w:szCs w:val="20"/>
        </w:rPr>
        <w:t>Невідповідність,</w:t>
      </w:r>
      <w:r w:rsidRPr="000977F7">
        <w:rPr>
          <w:color w:val="auto"/>
          <w:spacing w:val="-5"/>
          <w:sz w:val="20"/>
          <w:szCs w:val="20"/>
        </w:rPr>
        <w:t xml:space="preserve"> </w:t>
      </w:r>
      <w:r w:rsidRPr="000977F7">
        <w:rPr>
          <w:color w:val="auto"/>
          <w:sz w:val="20"/>
          <w:szCs w:val="20"/>
        </w:rPr>
        <w:t>коригувальні</w:t>
      </w:r>
      <w:r w:rsidRPr="000977F7">
        <w:rPr>
          <w:color w:val="auto"/>
          <w:spacing w:val="-6"/>
          <w:sz w:val="20"/>
          <w:szCs w:val="20"/>
        </w:rPr>
        <w:t xml:space="preserve"> </w:t>
      </w:r>
      <w:r w:rsidRPr="000977F7">
        <w:rPr>
          <w:color w:val="auto"/>
          <w:sz w:val="20"/>
          <w:szCs w:val="20"/>
        </w:rPr>
        <w:t>та</w:t>
      </w:r>
      <w:r w:rsidRPr="000977F7">
        <w:rPr>
          <w:color w:val="auto"/>
          <w:spacing w:val="-4"/>
          <w:sz w:val="20"/>
          <w:szCs w:val="20"/>
        </w:rPr>
        <w:t xml:space="preserve"> </w:t>
      </w:r>
      <w:r w:rsidRPr="000977F7">
        <w:rPr>
          <w:color w:val="auto"/>
          <w:sz w:val="20"/>
          <w:szCs w:val="20"/>
        </w:rPr>
        <w:t>запобіжні</w:t>
      </w:r>
    </w:p>
    <w:p w14:paraId="581C1177"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дії</w:t>
      </w:r>
    </w:p>
    <w:p w14:paraId="47D6EE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 час розроблення і впровадження методик з розслідування,</w:t>
      </w:r>
      <w:r w:rsidRPr="000977F7">
        <w:rPr>
          <w:rFonts w:asciiTheme="majorHAnsi" w:hAnsiTheme="majorHAnsi"/>
          <w:spacing w:val="1"/>
          <w:sz w:val="20"/>
          <w:szCs w:val="20"/>
        </w:rPr>
        <w:t xml:space="preserve"> </w:t>
      </w:r>
      <w:r w:rsidRPr="000977F7">
        <w:rPr>
          <w:rFonts w:asciiTheme="majorHAnsi" w:hAnsiTheme="majorHAnsi"/>
          <w:sz w:val="20"/>
          <w:szCs w:val="20"/>
        </w:rPr>
        <w:t>аналізу</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усунення</w:t>
      </w:r>
      <w:r w:rsidRPr="000977F7">
        <w:rPr>
          <w:rFonts w:asciiTheme="majorHAnsi" w:hAnsiTheme="majorHAnsi"/>
          <w:spacing w:val="1"/>
          <w:sz w:val="20"/>
          <w:szCs w:val="20"/>
        </w:rPr>
        <w:t xml:space="preserve"> </w:t>
      </w:r>
      <w:r w:rsidRPr="000977F7">
        <w:rPr>
          <w:rFonts w:asciiTheme="majorHAnsi" w:hAnsiTheme="majorHAnsi"/>
          <w:sz w:val="20"/>
          <w:szCs w:val="20"/>
        </w:rPr>
        <w:t>невідповідностей</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організація повинна передбачити необхідність виконання</w:t>
      </w:r>
      <w:r w:rsidRPr="000977F7">
        <w:rPr>
          <w:rFonts w:asciiTheme="majorHAnsi" w:hAnsiTheme="majorHAnsi"/>
          <w:spacing w:val="-2"/>
          <w:sz w:val="20"/>
          <w:szCs w:val="20"/>
        </w:rPr>
        <w:t xml:space="preserve"> </w:t>
      </w:r>
      <w:r w:rsidRPr="000977F7">
        <w:rPr>
          <w:rFonts w:asciiTheme="majorHAnsi" w:hAnsiTheme="majorHAnsi"/>
          <w:sz w:val="20"/>
          <w:szCs w:val="20"/>
        </w:rPr>
        <w:t>таких</w:t>
      </w:r>
      <w:r w:rsidRPr="000977F7">
        <w:rPr>
          <w:rFonts w:asciiTheme="majorHAnsi" w:hAnsiTheme="majorHAnsi"/>
          <w:spacing w:val="-1"/>
          <w:sz w:val="20"/>
          <w:szCs w:val="20"/>
        </w:rPr>
        <w:t xml:space="preserve"> </w:t>
      </w:r>
      <w:r w:rsidRPr="000977F7">
        <w:rPr>
          <w:rFonts w:asciiTheme="majorHAnsi" w:hAnsiTheme="majorHAnsi"/>
          <w:sz w:val="20"/>
          <w:szCs w:val="20"/>
        </w:rPr>
        <w:t>базових</w:t>
      </w:r>
      <w:r w:rsidRPr="000977F7">
        <w:rPr>
          <w:rFonts w:asciiTheme="majorHAnsi" w:hAnsiTheme="majorHAnsi"/>
          <w:spacing w:val="-1"/>
          <w:sz w:val="20"/>
          <w:szCs w:val="20"/>
        </w:rPr>
        <w:t xml:space="preserve"> </w:t>
      </w:r>
      <w:r w:rsidRPr="000977F7">
        <w:rPr>
          <w:rFonts w:asciiTheme="majorHAnsi" w:hAnsiTheme="majorHAnsi"/>
          <w:sz w:val="20"/>
          <w:szCs w:val="20"/>
        </w:rPr>
        <w:t>процедур:</w:t>
      </w:r>
    </w:p>
    <w:p w14:paraId="1B99CFA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w:t>
      </w:r>
      <w:r w:rsidRPr="000977F7">
        <w:rPr>
          <w:rFonts w:asciiTheme="majorHAnsi" w:hAnsiTheme="majorHAnsi"/>
          <w:spacing w:val="-3"/>
          <w:sz w:val="20"/>
          <w:szCs w:val="20"/>
        </w:rPr>
        <w:t xml:space="preserve"> </w:t>
      </w:r>
      <w:r w:rsidRPr="000977F7">
        <w:rPr>
          <w:rFonts w:asciiTheme="majorHAnsi" w:hAnsiTheme="majorHAnsi"/>
          <w:sz w:val="20"/>
          <w:szCs w:val="20"/>
        </w:rPr>
        <w:t>встановлення</w:t>
      </w:r>
      <w:r w:rsidRPr="000977F7">
        <w:rPr>
          <w:rFonts w:asciiTheme="majorHAnsi" w:hAnsiTheme="majorHAnsi"/>
          <w:spacing w:val="-5"/>
          <w:sz w:val="20"/>
          <w:szCs w:val="20"/>
        </w:rPr>
        <w:t xml:space="preserve"> </w:t>
      </w:r>
      <w:r w:rsidRPr="000977F7">
        <w:rPr>
          <w:rFonts w:asciiTheme="majorHAnsi" w:hAnsiTheme="majorHAnsi"/>
          <w:sz w:val="20"/>
          <w:szCs w:val="20"/>
        </w:rPr>
        <w:t>причин</w:t>
      </w:r>
      <w:r w:rsidRPr="000977F7">
        <w:rPr>
          <w:rFonts w:asciiTheme="majorHAnsi" w:hAnsiTheme="majorHAnsi"/>
          <w:spacing w:val="-4"/>
          <w:sz w:val="20"/>
          <w:szCs w:val="20"/>
        </w:rPr>
        <w:t xml:space="preserve"> </w:t>
      </w:r>
      <w:r w:rsidRPr="000977F7">
        <w:rPr>
          <w:rFonts w:asciiTheme="majorHAnsi" w:hAnsiTheme="majorHAnsi"/>
          <w:sz w:val="20"/>
          <w:szCs w:val="20"/>
        </w:rPr>
        <w:t>невідповідності;</w:t>
      </w:r>
    </w:p>
    <w:p w14:paraId="76BEDD7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 встановлення та виконання необхідних коригувальних</w:t>
      </w:r>
      <w:r w:rsidRPr="000977F7">
        <w:rPr>
          <w:rFonts w:asciiTheme="majorHAnsi" w:hAnsiTheme="majorHAnsi"/>
          <w:spacing w:val="-2"/>
          <w:sz w:val="20"/>
          <w:szCs w:val="20"/>
        </w:rPr>
        <w:t xml:space="preserve"> </w:t>
      </w:r>
      <w:r w:rsidRPr="000977F7">
        <w:rPr>
          <w:rFonts w:asciiTheme="majorHAnsi" w:hAnsiTheme="majorHAnsi"/>
          <w:sz w:val="20"/>
          <w:szCs w:val="20"/>
        </w:rPr>
        <w:t>дій;</w:t>
      </w:r>
    </w:p>
    <w:p w14:paraId="13428B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 впровадження або модифікацію засобів контролю, необхідних для того, щоб уникнути повторення</w:t>
      </w:r>
      <w:r w:rsidRPr="000977F7">
        <w:rPr>
          <w:rFonts w:asciiTheme="majorHAnsi" w:hAnsiTheme="majorHAnsi"/>
          <w:spacing w:val="1"/>
          <w:sz w:val="20"/>
          <w:szCs w:val="20"/>
        </w:rPr>
        <w:t xml:space="preserve"> </w:t>
      </w:r>
      <w:r w:rsidRPr="000977F7">
        <w:rPr>
          <w:rFonts w:asciiTheme="majorHAnsi" w:hAnsiTheme="majorHAnsi"/>
          <w:sz w:val="20"/>
          <w:szCs w:val="20"/>
        </w:rPr>
        <w:t>невідповідності;</w:t>
      </w:r>
    </w:p>
    <w:p w14:paraId="7ADD38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 документування будь-яких змін у нормативних</w:t>
      </w:r>
      <w:r w:rsidRPr="000977F7">
        <w:rPr>
          <w:rFonts w:asciiTheme="majorHAnsi" w:hAnsiTheme="majorHAnsi"/>
          <w:spacing w:val="1"/>
          <w:sz w:val="20"/>
          <w:szCs w:val="20"/>
        </w:rPr>
        <w:t xml:space="preserve"> </w:t>
      </w:r>
      <w:r w:rsidRPr="000977F7">
        <w:rPr>
          <w:rFonts w:asciiTheme="majorHAnsi" w:hAnsiTheme="majorHAnsi"/>
          <w:sz w:val="20"/>
          <w:szCs w:val="20"/>
        </w:rPr>
        <w:t>методиках,</w:t>
      </w:r>
      <w:r w:rsidRPr="000977F7">
        <w:rPr>
          <w:rFonts w:asciiTheme="majorHAnsi" w:hAnsiTheme="majorHAnsi"/>
          <w:spacing w:val="-2"/>
          <w:sz w:val="20"/>
          <w:szCs w:val="20"/>
        </w:rPr>
        <w:t xml:space="preserve"> </w:t>
      </w:r>
      <w:r w:rsidRPr="000977F7">
        <w:rPr>
          <w:rFonts w:asciiTheme="majorHAnsi" w:hAnsiTheme="majorHAnsi"/>
          <w:sz w:val="20"/>
          <w:szCs w:val="20"/>
        </w:rPr>
        <w:t>які</w:t>
      </w:r>
      <w:r w:rsidRPr="000977F7">
        <w:rPr>
          <w:rFonts w:asciiTheme="majorHAnsi" w:hAnsiTheme="majorHAnsi"/>
          <w:spacing w:val="-2"/>
          <w:sz w:val="20"/>
          <w:szCs w:val="20"/>
        </w:rPr>
        <w:t xml:space="preserve"> </w:t>
      </w:r>
      <w:r w:rsidRPr="000977F7">
        <w:rPr>
          <w:rFonts w:asciiTheme="majorHAnsi" w:hAnsiTheme="majorHAnsi"/>
          <w:sz w:val="20"/>
          <w:szCs w:val="20"/>
        </w:rPr>
        <w:t>є результатом</w:t>
      </w:r>
      <w:r w:rsidRPr="000977F7">
        <w:rPr>
          <w:rFonts w:asciiTheme="majorHAnsi" w:hAnsiTheme="majorHAnsi"/>
          <w:spacing w:val="-1"/>
          <w:sz w:val="20"/>
          <w:szCs w:val="20"/>
        </w:rPr>
        <w:t xml:space="preserve"> </w:t>
      </w:r>
      <w:r w:rsidRPr="000977F7">
        <w:rPr>
          <w:rFonts w:asciiTheme="majorHAnsi" w:hAnsiTheme="majorHAnsi"/>
          <w:sz w:val="20"/>
          <w:szCs w:val="20"/>
        </w:rPr>
        <w:t>коригувальних</w:t>
      </w:r>
      <w:r w:rsidRPr="000977F7">
        <w:rPr>
          <w:rFonts w:asciiTheme="majorHAnsi" w:hAnsiTheme="majorHAnsi"/>
          <w:spacing w:val="-2"/>
          <w:sz w:val="20"/>
          <w:szCs w:val="20"/>
        </w:rPr>
        <w:t xml:space="preserve"> </w:t>
      </w:r>
      <w:r w:rsidRPr="000977F7">
        <w:rPr>
          <w:rFonts w:asciiTheme="majorHAnsi" w:hAnsiTheme="majorHAnsi"/>
          <w:sz w:val="20"/>
          <w:szCs w:val="20"/>
        </w:rPr>
        <w:t>дій.</w:t>
      </w:r>
    </w:p>
    <w:p w14:paraId="13C8C618" w14:textId="77777777" w:rsidR="0097612F" w:rsidRPr="000977F7" w:rsidRDefault="0097612F" w:rsidP="00FD39A4">
      <w:pPr>
        <w:pStyle w:val="7"/>
        <w:keepNext w:val="0"/>
        <w:keepLines w:val="0"/>
        <w:widowControl w:val="0"/>
        <w:numPr>
          <w:ilvl w:val="1"/>
          <w:numId w:val="143"/>
        </w:numPr>
        <w:tabs>
          <w:tab w:val="left" w:pos="284"/>
          <w:tab w:val="left" w:pos="1076"/>
        </w:tabs>
        <w:autoSpaceDE w:val="0"/>
        <w:autoSpaceDN w:val="0"/>
        <w:spacing w:before="0" w:line="240" w:lineRule="auto"/>
        <w:ind w:left="170" w:firstLine="0"/>
        <w:mirrorIndents/>
        <w:jc w:val="both"/>
        <w:rPr>
          <w:color w:val="auto"/>
          <w:sz w:val="20"/>
          <w:szCs w:val="20"/>
        </w:rPr>
      </w:pPr>
      <w:r w:rsidRPr="000977F7">
        <w:rPr>
          <w:color w:val="auto"/>
          <w:sz w:val="20"/>
          <w:szCs w:val="20"/>
        </w:rPr>
        <w:t>Інформаційні</w:t>
      </w:r>
      <w:r w:rsidRPr="000977F7">
        <w:rPr>
          <w:color w:val="auto"/>
          <w:spacing w:val="-6"/>
          <w:sz w:val="20"/>
          <w:szCs w:val="20"/>
        </w:rPr>
        <w:t xml:space="preserve"> </w:t>
      </w:r>
      <w:r w:rsidRPr="000977F7">
        <w:rPr>
          <w:color w:val="auto"/>
          <w:sz w:val="20"/>
          <w:szCs w:val="20"/>
        </w:rPr>
        <w:t>документи</w:t>
      </w:r>
    </w:p>
    <w:p w14:paraId="18644D1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Методики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ідентифікації,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зберігання,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розповсюдження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використання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інформаційних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документів</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(протоколів, довідок, оглядів, звітів чи інших записів)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повинні зосереджуватися на документах, необхідних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 впровадження і функціонування системи управління навколишнім середовищем, та для документування того, наскільки виконано заплановані цілі і завдання.</w:t>
      </w:r>
    </w:p>
    <w:p w14:paraId="5AEDC1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Документи, що стосуються управління навколишнім середовищем, можуть містити належну інформацію</w:t>
      </w:r>
      <w:r w:rsidRPr="000977F7">
        <w:rPr>
          <w:rFonts w:asciiTheme="majorHAnsi" w:hAnsiTheme="majorHAnsi"/>
          <w:spacing w:val="-2"/>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таке:</w:t>
      </w:r>
    </w:p>
    <w:p w14:paraId="6E1B6494" w14:textId="77777777" w:rsidR="0097612F" w:rsidRPr="000977F7" w:rsidRDefault="0097612F" w:rsidP="00FD39A4">
      <w:pPr>
        <w:pStyle w:val="ac"/>
        <w:widowControl w:val="0"/>
        <w:numPr>
          <w:ilvl w:val="1"/>
          <w:numId w:val="144"/>
        </w:numPr>
        <w:tabs>
          <w:tab w:val="left" w:pos="284"/>
          <w:tab w:val="left" w:pos="65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застосовані</w:t>
      </w:r>
      <w:r w:rsidRPr="000977F7">
        <w:rPr>
          <w:rFonts w:asciiTheme="majorHAnsi" w:hAnsiTheme="majorHAnsi"/>
          <w:spacing w:val="9"/>
          <w:sz w:val="20"/>
          <w:szCs w:val="20"/>
        </w:rPr>
        <w:t xml:space="preserve"> </w:t>
      </w:r>
      <w:r w:rsidRPr="000977F7">
        <w:rPr>
          <w:rFonts w:asciiTheme="majorHAnsi" w:hAnsiTheme="majorHAnsi"/>
          <w:sz w:val="20"/>
          <w:szCs w:val="20"/>
        </w:rPr>
        <w:t>закони</w:t>
      </w:r>
      <w:r w:rsidRPr="000977F7">
        <w:rPr>
          <w:rFonts w:asciiTheme="majorHAnsi" w:hAnsiTheme="majorHAnsi"/>
          <w:spacing w:val="9"/>
          <w:sz w:val="20"/>
          <w:szCs w:val="20"/>
        </w:rPr>
        <w:t xml:space="preserve"> </w:t>
      </w:r>
      <w:r w:rsidRPr="000977F7">
        <w:rPr>
          <w:rFonts w:asciiTheme="majorHAnsi" w:hAnsiTheme="majorHAnsi"/>
          <w:sz w:val="20"/>
          <w:szCs w:val="20"/>
        </w:rPr>
        <w:t>або</w:t>
      </w:r>
      <w:r w:rsidRPr="000977F7">
        <w:rPr>
          <w:rFonts w:asciiTheme="majorHAnsi" w:hAnsiTheme="majorHAnsi"/>
          <w:spacing w:val="10"/>
          <w:sz w:val="20"/>
          <w:szCs w:val="20"/>
        </w:rPr>
        <w:t xml:space="preserve"> </w:t>
      </w:r>
      <w:r w:rsidRPr="000977F7">
        <w:rPr>
          <w:rFonts w:asciiTheme="majorHAnsi" w:hAnsiTheme="majorHAnsi"/>
          <w:sz w:val="20"/>
          <w:szCs w:val="20"/>
        </w:rPr>
        <w:t>інші</w:t>
      </w:r>
      <w:r w:rsidRPr="000977F7">
        <w:rPr>
          <w:rFonts w:asciiTheme="majorHAnsi" w:hAnsiTheme="majorHAnsi"/>
          <w:spacing w:val="10"/>
          <w:sz w:val="20"/>
          <w:szCs w:val="20"/>
        </w:rPr>
        <w:t xml:space="preserve"> </w:t>
      </w:r>
      <w:r w:rsidRPr="000977F7">
        <w:rPr>
          <w:rFonts w:asciiTheme="majorHAnsi" w:hAnsiTheme="majorHAnsi"/>
          <w:sz w:val="20"/>
          <w:szCs w:val="20"/>
        </w:rPr>
        <w:t>акти</w:t>
      </w:r>
      <w:r w:rsidRPr="000977F7">
        <w:rPr>
          <w:rFonts w:asciiTheme="majorHAnsi" w:hAnsiTheme="majorHAnsi"/>
          <w:spacing w:val="9"/>
          <w:sz w:val="20"/>
          <w:szCs w:val="20"/>
        </w:rPr>
        <w:t xml:space="preserve"> </w:t>
      </w:r>
      <w:r w:rsidRPr="000977F7">
        <w:rPr>
          <w:rFonts w:asciiTheme="majorHAnsi" w:hAnsiTheme="majorHAnsi"/>
          <w:sz w:val="20"/>
          <w:szCs w:val="20"/>
        </w:rPr>
        <w:t>з</w:t>
      </w:r>
      <w:r w:rsidRPr="000977F7">
        <w:rPr>
          <w:rFonts w:asciiTheme="majorHAnsi" w:hAnsiTheme="majorHAnsi"/>
          <w:spacing w:val="9"/>
          <w:sz w:val="20"/>
          <w:szCs w:val="20"/>
        </w:rPr>
        <w:t xml:space="preserve"> </w:t>
      </w:r>
      <w:r w:rsidRPr="000977F7">
        <w:rPr>
          <w:rFonts w:asciiTheme="majorHAnsi" w:hAnsiTheme="majorHAnsi"/>
          <w:sz w:val="20"/>
          <w:szCs w:val="20"/>
        </w:rPr>
        <w:t>питань</w:t>
      </w:r>
      <w:r w:rsidRPr="000977F7">
        <w:rPr>
          <w:rFonts w:asciiTheme="majorHAnsi" w:hAnsiTheme="majorHAnsi"/>
          <w:spacing w:val="12"/>
          <w:sz w:val="20"/>
          <w:szCs w:val="20"/>
        </w:rPr>
        <w:t xml:space="preserve"> </w:t>
      </w:r>
      <w:r w:rsidRPr="000977F7">
        <w:rPr>
          <w:rFonts w:asciiTheme="majorHAnsi" w:hAnsiTheme="majorHAnsi"/>
          <w:sz w:val="20"/>
          <w:szCs w:val="20"/>
        </w:rPr>
        <w:t>навколишнього середовища;</w:t>
      </w:r>
    </w:p>
    <w:p w14:paraId="2BEE61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w:t>
      </w:r>
      <w:r w:rsidRPr="000977F7">
        <w:rPr>
          <w:rFonts w:asciiTheme="majorHAnsi" w:hAnsiTheme="majorHAnsi"/>
          <w:spacing w:val="46"/>
          <w:sz w:val="20"/>
          <w:szCs w:val="20"/>
        </w:rPr>
        <w:t xml:space="preserve"> </w:t>
      </w:r>
      <w:r w:rsidRPr="000977F7">
        <w:rPr>
          <w:rFonts w:asciiTheme="majorHAnsi" w:hAnsiTheme="majorHAnsi"/>
          <w:sz w:val="20"/>
          <w:szCs w:val="20"/>
        </w:rPr>
        <w:t>претензії;</w:t>
      </w:r>
    </w:p>
    <w:p w14:paraId="7325F08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w:t>
      </w:r>
      <w:r w:rsidRPr="000977F7">
        <w:rPr>
          <w:rFonts w:asciiTheme="majorHAnsi" w:hAnsiTheme="majorHAnsi"/>
          <w:spacing w:val="40"/>
          <w:sz w:val="20"/>
          <w:szCs w:val="20"/>
        </w:rPr>
        <w:t xml:space="preserve"> </w:t>
      </w:r>
      <w:r w:rsidRPr="000977F7">
        <w:rPr>
          <w:rFonts w:asciiTheme="majorHAnsi" w:hAnsiTheme="majorHAnsi"/>
          <w:sz w:val="20"/>
          <w:szCs w:val="20"/>
        </w:rPr>
        <w:t>підготовка</w:t>
      </w:r>
      <w:r w:rsidRPr="000977F7">
        <w:rPr>
          <w:rFonts w:asciiTheme="majorHAnsi" w:hAnsiTheme="majorHAnsi"/>
          <w:spacing w:val="-5"/>
          <w:sz w:val="20"/>
          <w:szCs w:val="20"/>
        </w:rPr>
        <w:t xml:space="preserve"> </w:t>
      </w:r>
      <w:r w:rsidRPr="000977F7">
        <w:rPr>
          <w:rFonts w:asciiTheme="majorHAnsi" w:hAnsiTheme="majorHAnsi"/>
          <w:sz w:val="20"/>
          <w:szCs w:val="20"/>
        </w:rPr>
        <w:t>персоналу;</w:t>
      </w:r>
      <w:r w:rsidRPr="000977F7">
        <w:rPr>
          <w:rFonts w:asciiTheme="majorHAnsi" w:hAnsiTheme="majorHAnsi"/>
          <w:spacing w:val="-47"/>
          <w:sz w:val="20"/>
          <w:szCs w:val="20"/>
        </w:rPr>
        <w:t xml:space="preserve"> </w:t>
      </w:r>
      <w:r w:rsidRPr="000977F7">
        <w:rPr>
          <w:rFonts w:asciiTheme="majorHAnsi" w:hAnsiTheme="majorHAnsi"/>
          <w:sz w:val="20"/>
          <w:szCs w:val="20"/>
        </w:rPr>
        <w:t>г)</w:t>
      </w:r>
      <w:r w:rsidRPr="000977F7">
        <w:rPr>
          <w:rFonts w:asciiTheme="majorHAnsi" w:hAnsiTheme="majorHAnsi"/>
          <w:spacing w:val="49"/>
          <w:sz w:val="20"/>
          <w:szCs w:val="20"/>
        </w:rPr>
        <w:t xml:space="preserve"> </w:t>
      </w:r>
      <w:r w:rsidRPr="000977F7">
        <w:rPr>
          <w:rFonts w:asciiTheme="majorHAnsi" w:hAnsiTheme="majorHAnsi"/>
          <w:sz w:val="20"/>
          <w:szCs w:val="20"/>
        </w:rPr>
        <w:t>процеси;</w:t>
      </w:r>
    </w:p>
    <w:p w14:paraId="118869B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w:t>
      </w:r>
      <w:r w:rsidRPr="000977F7">
        <w:rPr>
          <w:rFonts w:asciiTheme="majorHAnsi" w:hAnsiTheme="majorHAnsi"/>
          <w:spacing w:val="45"/>
          <w:sz w:val="20"/>
          <w:szCs w:val="20"/>
        </w:rPr>
        <w:t xml:space="preserve"> </w:t>
      </w:r>
      <w:r w:rsidRPr="000977F7">
        <w:rPr>
          <w:rFonts w:asciiTheme="majorHAnsi" w:hAnsiTheme="majorHAnsi"/>
          <w:sz w:val="20"/>
          <w:szCs w:val="20"/>
        </w:rPr>
        <w:t>продукція;</w:t>
      </w:r>
    </w:p>
    <w:p w14:paraId="394C7E3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w:t>
      </w:r>
      <w:r w:rsidRPr="000977F7">
        <w:rPr>
          <w:rFonts w:asciiTheme="majorHAnsi" w:hAnsiTheme="majorHAnsi"/>
          <w:spacing w:val="44"/>
          <w:sz w:val="20"/>
          <w:szCs w:val="20"/>
        </w:rPr>
        <w:t xml:space="preserve"> </w:t>
      </w:r>
      <w:r w:rsidRPr="000977F7">
        <w:rPr>
          <w:rFonts w:asciiTheme="majorHAnsi" w:hAnsiTheme="majorHAnsi"/>
          <w:sz w:val="20"/>
          <w:szCs w:val="20"/>
        </w:rPr>
        <w:t>перевірка,</w:t>
      </w:r>
      <w:r w:rsidRPr="000977F7">
        <w:rPr>
          <w:rFonts w:asciiTheme="majorHAnsi" w:hAnsiTheme="majorHAnsi"/>
          <w:spacing w:val="-2"/>
          <w:sz w:val="20"/>
          <w:szCs w:val="20"/>
        </w:rPr>
        <w:t xml:space="preserve"> </w:t>
      </w:r>
      <w:r w:rsidRPr="000977F7">
        <w:rPr>
          <w:rFonts w:asciiTheme="majorHAnsi" w:hAnsiTheme="majorHAnsi"/>
          <w:sz w:val="20"/>
          <w:szCs w:val="20"/>
        </w:rPr>
        <w:t>калібрування</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експлуатація;</w:t>
      </w:r>
      <w:r w:rsidRPr="000977F7">
        <w:rPr>
          <w:rFonts w:asciiTheme="majorHAnsi" w:hAnsiTheme="majorHAnsi"/>
          <w:spacing w:val="-47"/>
          <w:sz w:val="20"/>
          <w:szCs w:val="20"/>
        </w:rPr>
        <w:t xml:space="preserve"> </w:t>
      </w:r>
      <w:r w:rsidRPr="000977F7">
        <w:rPr>
          <w:rFonts w:asciiTheme="majorHAnsi" w:hAnsiTheme="majorHAnsi"/>
          <w:sz w:val="20"/>
          <w:szCs w:val="20"/>
        </w:rPr>
        <w:t>ж)</w:t>
      </w:r>
      <w:r w:rsidRPr="000977F7">
        <w:rPr>
          <w:rFonts w:asciiTheme="majorHAnsi" w:hAnsiTheme="majorHAnsi"/>
          <w:spacing w:val="-1"/>
          <w:sz w:val="20"/>
          <w:szCs w:val="20"/>
        </w:rPr>
        <w:t xml:space="preserve"> </w:t>
      </w:r>
      <w:r w:rsidRPr="000977F7">
        <w:rPr>
          <w:rFonts w:asciiTheme="majorHAnsi" w:hAnsiTheme="majorHAnsi"/>
          <w:sz w:val="20"/>
          <w:szCs w:val="20"/>
        </w:rPr>
        <w:t>підрядники</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постачальники;</w:t>
      </w:r>
    </w:p>
    <w:p w14:paraId="469259D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и)</w:t>
      </w:r>
      <w:r w:rsidRPr="000977F7">
        <w:rPr>
          <w:rFonts w:asciiTheme="majorHAnsi" w:hAnsiTheme="majorHAnsi"/>
          <w:spacing w:val="-4"/>
          <w:sz w:val="20"/>
          <w:szCs w:val="20"/>
        </w:rPr>
        <w:t xml:space="preserve"> </w:t>
      </w:r>
      <w:r w:rsidRPr="000977F7">
        <w:rPr>
          <w:rFonts w:asciiTheme="majorHAnsi" w:hAnsiTheme="majorHAnsi"/>
          <w:sz w:val="20"/>
          <w:szCs w:val="20"/>
        </w:rPr>
        <w:t>аварійні</w:t>
      </w:r>
      <w:r w:rsidRPr="000977F7">
        <w:rPr>
          <w:rFonts w:asciiTheme="majorHAnsi" w:hAnsiTheme="majorHAnsi"/>
          <w:spacing w:val="-4"/>
          <w:sz w:val="20"/>
          <w:szCs w:val="20"/>
        </w:rPr>
        <w:t xml:space="preserve"> </w:t>
      </w:r>
      <w:r w:rsidRPr="000977F7">
        <w:rPr>
          <w:rFonts w:asciiTheme="majorHAnsi" w:hAnsiTheme="majorHAnsi"/>
          <w:sz w:val="20"/>
          <w:szCs w:val="20"/>
        </w:rPr>
        <w:t>ситуації;</w:t>
      </w:r>
    </w:p>
    <w:p w14:paraId="778E96B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w:t>
      </w:r>
      <w:r w:rsidRPr="000977F7">
        <w:rPr>
          <w:rFonts w:asciiTheme="majorHAnsi" w:hAnsiTheme="majorHAnsi"/>
          <w:spacing w:val="18"/>
          <w:sz w:val="20"/>
          <w:szCs w:val="20"/>
        </w:rPr>
        <w:t xml:space="preserve"> </w:t>
      </w:r>
      <w:r w:rsidRPr="000977F7">
        <w:rPr>
          <w:rFonts w:asciiTheme="majorHAnsi" w:hAnsiTheme="majorHAnsi"/>
          <w:sz w:val="20"/>
          <w:szCs w:val="20"/>
        </w:rPr>
        <w:t>готовність</w:t>
      </w:r>
      <w:r w:rsidRPr="000977F7">
        <w:rPr>
          <w:rFonts w:asciiTheme="majorHAnsi" w:hAnsiTheme="majorHAnsi"/>
          <w:spacing w:val="21"/>
          <w:sz w:val="20"/>
          <w:szCs w:val="20"/>
        </w:rPr>
        <w:t xml:space="preserve"> </w:t>
      </w:r>
      <w:r w:rsidRPr="000977F7">
        <w:rPr>
          <w:rFonts w:asciiTheme="majorHAnsi" w:hAnsiTheme="majorHAnsi"/>
          <w:sz w:val="20"/>
          <w:szCs w:val="20"/>
        </w:rPr>
        <w:t>до</w:t>
      </w:r>
      <w:r w:rsidRPr="000977F7">
        <w:rPr>
          <w:rFonts w:asciiTheme="majorHAnsi" w:hAnsiTheme="majorHAnsi"/>
          <w:spacing w:val="19"/>
          <w:sz w:val="20"/>
          <w:szCs w:val="20"/>
        </w:rPr>
        <w:t xml:space="preserve"> </w:t>
      </w:r>
      <w:r w:rsidRPr="000977F7">
        <w:rPr>
          <w:rFonts w:asciiTheme="majorHAnsi" w:hAnsiTheme="majorHAnsi"/>
          <w:sz w:val="20"/>
          <w:szCs w:val="20"/>
        </w:rPr>
        <w:t>аварійних</w:t>
      </w:r>
      <w:r w:rsidRPr="000977F7">
        <w:rPr>
          <w:rFonts w:asciiTheme="majorHAnsi" w:hAnsiTheme="majorHAnsi"/>
          <w:spacing w:val="21"/>
          <w:sz w:val="20"/>
          <w:szCs w:val="20"/>
        </w:rPr>
        <w:t xml:space="preserve"> </w:t>
      </w:r>
      <w:r w:rsidRPr="000977F7">
        <w:rPr>
          <w:rFonts w:asciiTheme="majorHAnsi" w:hAnsiTheme="majorHAnsi"/>
          <w:sz w:val="20"/>
          <w:szCs w:val="20"/>
        </w:rPr>
        <w:t>ситуацій</w:t>
      </w:r>
      <w:r w:rsidRPr="000977F7">
        <w:rPr>
          <w:rFonts w:asciiTheme="majorHAnsi" w:hAnsiTheme="majorHAnsi"/>
          <w:spacing w:val="20"/>
          <w:sz w:val="20"/>
          <w:szCs w:val="20"/>
        </w:rPr>
        <w:t xml:space="preserve"> </w:t>
      </w:r>
      <w:r w:rsidRPr="000977F7">
        <w:rPr>
          <w:rFonts w:asciiTheme="majorHAnsi" w:hAnsiTheme="majorHAnsi"/>
          <w:sz w:val="20"/>
          <w:szCs w:val="20"/>
        </w:rPr>
        <w:t>та</w:t>
      </w:r>
      <w:r w:rsidRPr="000977F7">
        <w:rPr>
          <w:rFonts w:asciiTheme="majorHAnsi" w:hAnsiTheme="majorHAnsi"/>
          <w:spacing w:val="19"/>
          <w:sz w:val="20"/>
          <w:szCs w:val="20"/>
        </w:rPr>
        <w:t xml:space="preserve"> </w:t>
      </w:r>
      <w:r w:rsidRPr="000977F7">
        <w:rPr>
          <w:rFonts w:asciiTheme="majorHAnsi" w:hAnsiTheme="majorHAnsi"/>
          <w:sz w:val="20"/>
          <w:szCs w:val="20"/>
        </w:rPr>
        <w:t>реагування</w:t>
      </w:r>
      <w:r w:rsidRPr="000977F7">
        <w:rPr>
          <w:rFonts w:asciiTheme="majorHAnsi" w:hAnsiTheme="majorHAnsi"/>
          <w:spacing w:val="20"/>
          <w:sz w:val="20"/>
          <w:szCs w:val="20"/>
        </w:rPr>
        <w:t xml:space="preserve"> </w:t>
      </w:r>
      <w:r w:rsidRPr="000977F7">
        <w:rPr>
          <w:rFonts w:asciiTheme="majorHAnsi" w:hAnsiTheme="majorHAnsi"/>
          <w:sz w:val="20"/>
          <w:szCs w:val="20"/>
        </w:rPr>
        <w:t>на</w:t>
      </w:r>
      <w:r w:rsidRPr="000977F7">
        <w:rPr>
          <w:rFonts w:asciiTheme="majorHAnsi" w:hAnsiTheme="majorHAnsi"/>
          <w:spacing w:val="-47"/>
          <w:sz w:val="20"/>
          <w:szCs w:val="20"/>
        </w:rPr>
        <w:t xml:space="preserve"> </w:t>
      </w:r>
      <w:r w:rsidRPr="000977F7">
        <w:rPr>
          <w:rFonts w:asciiTheme="majorHAnsi" w:hAnsiTheme="majorHAnsi"/>
          <w:sz w:val="20"/>
          <w:szCs w:val="20"/>
        </w:rPr>
        <w:t>них;</w:t>
      </w:r>
    </w:p>
    <w:p w14:paraId="3438574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л)</w:t>
      </w:r>
      <w:r w:rsidRPr="000977F7">
        <w:rPr>
          <w:rFonts w:asciiTheme="majorHAnsi" w:hAnsiTheme="majorHAnsi"/>
          <w:spacing w:val="-5"/>
          <w:sz w:val="20"/>
          <w:szCs w:val="20"/>
        </w:rPr>
        <w:t xml:space="preserve"> </w:t>
      </w:r>
      <w:r w:rsidRPr="000977F7">
        <w:rPr>
          <w:rFonts w:asciiTheme="majorHAnsi" w:hAnsiTheme="majorHAnsi"/>
          <w:sz w:val="20"/>
          <w:szCs w:val="20"/>
        </w:rPr>
        <w:t>суттєві</w:t>
      </w:r>
      <w:r w:rsidRPr="000977F7">
        <w:rPr>
          <w:rFonts w:asciiTheme="majorHAnsi" w:hAnsiTheme="majorHAnsi"/>
          <w:spacing w:val="-5"/>
          <w:sz w:val="20"/>
          <w:szCs w:val="20"/>
        </w:rPr>
        <w:t xml:space="preserve"> </w:t>
      </w:r>
      <w:r w:rsidRPr="000977F7">
        <w:rPr>
          <w:rFonts w:asciiTheme="majorHAnsi" w:hAnsiTheme="majorHAnsi"/>
          <w:sz w:val="20"/>
          <w:szCs w:val="20"/>
        </w:rPr>
        <w:t>екологічні</w:t>
      </w:r>
      <w:r w:rsidRPr="000977F7">
        <w:rPr>
          <w:rFonts w:asciiTheme="majorHAnsi" w:hAnsiTheme="majorHAnsi"/>
          <w:spacing w:val="-5"/>
          <w:sz w:val="20"/>
          <w:szCs w:val="20"/>
        </w:rPr>
        <w:t xml:space="preserve"> </w:t>
      </w:r>
      <w:r w:rsidRPr="000977F7">
        <w:rPr>
          <w:rFonts w:asciiTheme="majorHAnsi" w:hAnsiTheme="majorHAnsi"/>
          <w:sz w:val="20"/>
          <w:szCs w:val="20"/>
        </w:rPr>
        <w:t>аспекти;</w:t>
      </w:r>
      <w:r w:rsidRPr="000977F7">
        <w:rPr>
          <w:rFonts w:asciiTheme="majorHAnsi" w:hAnsiTheme="majorHAnsi"/>
          <w:spacing w:val="-47"/>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результати</w:t>
      </w:r>
      <w:r w:rsidRPr="000977F7">
        <w:rPr>
          <w:rFonts w:asciiTheme="majorHAnsi" w:hAnsiTheme="majorHAnsi"/>
          <w:spacing w:val="-2"/>
          <w:sz w:val="20"/>
          <w:szCs w:val="20"/>
        </w:rPr>
        <w:t xml:space="preserve"> </w:t>
      </w:r>
      <w:r w:rsidRPr="000977F7">
        <w:rPr>
          <w:rFonts w:asciiTheme="majorHAnsi" w:hAnsiTheme="majorHAnsi"/>
          <w:sz w:val="20"/>
          <w:szCs w:val="20"/>
        </w:rPr>
        <w:t>аудитів;</w:t>
      </w:r>
    </w:p>
    <w:p w14:paraId="7079EB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w:t>
      </w:r>
      <w:r w:rsidRPr="000977F7">
        <w:rPr>
          <w:rFonts w:asciiTheme="majorHAnsi" w:hAnsiTheme="majorHAnsi"/>
          <w:spacing w:val="-3"/>
          <w:sz w:val="20"/>
          <w:szCs w:val="20"/>
        </w:rPr>
        <w:t xml:space="preserve"> </w:t>
      </w:r>
      <w:r w:rsidRPr="000977F7">
        <w:rPr>
          <w:rFonts w:asciiTheme="majorHAnsi" w:hAnsiTheme="majorHAnsi"/>
          <w:sz w:val="20"/>
          <w:szCs w:val="20"/>
        </w:rPr>
        <w:t>аналіз</w:t>
      </w:r>
      <w:r w:rsidRPr="000977F7">
        <w:rPr>
          <w:rFonts w:asciiTheme="majorHAnsi" w:hAnsiTheme="majorHAnsi"/>
          <w:spacing w:val="-3"/>
          <w:sz w:val="20"/>
          <w:szCs w:val="20"/>
        </w:rPr>
        <w:t xml:space="preserve"> </w:t>
      </w:r>
      <w:r w:rsidRPr="000977F7">
        <w:rPr>
          <w:rFonts w:asciiTheme="majorHAnsi" w:hAnsiTheme="majorHAnsi"/>
          <w:sz w:val="20"/>
          <w:szCs w:val="20"/>
        </w:rPr>
        <w:t>з</w:t>
      </w:r>
      <w:r w:rsidRPr="000977F7">
        <w:rPr>
          <w:rFonts w:asciiTheme="majorHAnsi" w:hAnsiTheme="majorHAnsi"/>
          <w:spacing w:val="-3"/>
          <w:sz w:val="20"/>
          <w:szCs w:val="20"/>
        </w:rPr>
        <w:t xml:space="preserve"> </w:t>
      </w:r>
      <w:r w:rsidRPr="000977F7">
        <w:rPr>
          <w:rFonts w:asciiTheme="majorHAnsi" w:hAnsiTheme="majorHAnsi"/>
          <w:sz w:val="20"/>
          <w:szCs w:val="20"/>
        </w:rPr>
        <w:t>боку</w:t>
      </w:r>
      <w:r w:rsidRPr="000977F7">
        <w:rPr>
          <w:rFonts w:asciiTheme="majorHAnsi" w:hAnsiTheme="majorHAnsi"/>
          <w:spacing w:val="-4"/>
          <w:sz w:val="20"/>
          <w:szCs w:val="20"/>
        </w:rPr>
        <w:t xml:space="preserve"> </w:t>
      </w:r>
      <w:r w:rsidRPr="000977F7">
        <w:rPr>
          <w:rFonts w:asciiTheme="majorHAnsi" w:hAnsiTheme="majorHAnsi"/>
          <w:sz w:val="20"/>
          <w:szCs w:val="20"/>
        </w:rPr>
        <w:t>керівництва.</w:t>
      </w:r>
    </w:p>
    <w:p w14:paraId="1051645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Слід</w:t>
      </w:r>
      <w:r w:rsidRPr="000977F7">
        <w:rPr>
          <w:rFonts w:asciiTheme="majorHAnsi" w:hAnsiTheme="majorHAnsi"/>
          <w:spacing w:val="37"/>
          <w:sz w:val="20"/>
          <w:szCs w:val="20"/>
        </w:rPr>
        <w:t xml:space="preserve"> </w:t>
      </w:r>
      <w:r w:rsidRPr="000977F7">
        <w:rPr>
          <w:rFonts w:asciiTheme="majorHAnsi" w:hAnsiTheme="majorHAnsi"/>
          <w:sz w:val="20"/>
          <w:szCs w:val="20"/>
        </w:rPr>
        <w:t>надавати</w:t>
      </w:r>
      <w:r w:rsidRPr="000977F7">
        <w:rPr>
          <w:rFonts w:asciiTheme="majorHAnsi" w:hAnsiTheme="majorHAnsi"/>
          <w:spacing w:val="39"/>
          <w:sz w:val="20"/>
          <w:szCs w:val="20"/>
        </w:rPr>
        <w:t xml:space="preserve"> </w:t>
      </w:r>
      <w:r w:rsidRPr="000977F7">
        <w:rPr>
          <w:rFonts w:asciiTheme="majorHAnsi" w:hAnsiTheme="majorHAnsi"/>
          <w:sz w:val="20"/>
          <w:szCs w:val="20"/>
        </w:rPr>
        <w:t>належного</w:t>
      </w:r>
      <w:r w:rsidRPr="000977F7">
        <w:rPr>
          <w:rFonts w:asciiTheme="majorHAnsi" w:hAnsiTheme="majorHAnsi"/>
          <w:spacing w:val="39"/>
          <w:sz w:val="20"/>
          <w:szCs w:val="20"/>
        </w:rPr>
        <w:t xml:space="preserve"> </w:t>
      </w:r>
      <w:r w:rsidRPr="000977F7">
        <w:rPr>
          <w:rFonts w:asciiTheme="majorHAnsi" w:hAnsiTheme="majorHAnsi"/>
          <w:sz w:val="20"/>
          <w:szCs w:val="20"/>
        </w:rPr>
        <w:t>значення</w:t>
      </w:r>
      <w:r w:rsidRPr="000977F7">
        <w:rPr>
          <w:rFonts w:asciiTheme="majorHAnsi" w:hAnsiTheme="majorHAnsi"/>
          <w:spacing w:val="38"/>
          <w:sz w:val="20"/>
          <w:szCs w:val="20"/>
        </w:rPr>
        <w:t xml:space="preserve"> </w:t>
      </w:r>
      <w:r w:rsidRPr="000977F7">
        <w:rPr>
          <w:rFonts w:asciiTheme="majorHAnsi" w:hAnsiTheme="majorHAnsi"/>
          <w:sz w:val="20"/>
          <w:szCs w:val="20"/>
        </w:rPr>
        <w:t>забезпеченню</w:t>
      </w:r>
      <w:r w:rsidRPr="000977F7">
        <w:rPr>
          <w:rFonts w:asciiTheme="majorHAnsi" w:hAnsiTheme="majorHAnsi"/>
          <w:spacing w:val="-47"/>
          <w:sz w:val="20"/>
          <w:szCs w:val="20"/>
        </w:rPr>
        <w:t xml:space="preserve"> </w:t>
      </w:r>
      <w:r w:rsidRPr="000977F7">
        <w:rPr>
          <w:rFonts w:asciiTheme="majorHAnsi" w:hAnsiTheme="majorHAnsi"/>
          <w:sz w:val="20"/>
          <w:szCs w:val="20"/>
        </w:rPr>
        <w:t>конфіденційності</w:t>
      </w:r>
      <w:r w:rsidRPr="000977F7">
        <w:rPr>
          <w:rFonts w:asciiTheme="majorHAnsi" w:hAnsiTheme="majorHAnsi"/>
          <w:spacing w:val="-2"/>
          <w:sz w:val="20"/>
          <w:szCs w:val="20"/>
        </w:rPr>
        <w:t xml:space="preserve"> </w:t>
      </w:r>
      <w:r w:rsidRPr="000977F7">
        <w:rPr>
          <w:rFonts w:asciiTheme="majorHAnsi" w:hAnsiTheme="majorHAnsi"/>
          <w:sz w:val="20"/>
          <w:szCs w:val="20"/>
        </w:rPr>
        <w:t>ділової</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інформації.</w:t>
      </w:r>
    </w:p>
    <w:p w14:paraId="1D834A54" w14:textId="77777777" w:rsidR="0097612F" w:rsidRPr="000977F7" w:rsidRDefault="0097612F" w:rsidP="00FD39A4">
      <w:pPr>
        <w:pStyle w:val="7"/>
        <w:keepNext w:val="0"/>
        <w:keepLines w:val="0"/>
        <w:widowControl w:val="0"/>
        <w:numPr>
          <w:ilvl w:val="1"/>
          <w:numId w:val="143"/>
        </w:numPr>
        <w:tabs>
          <w:tab w:val="left" w:pos="284"/>
          <w:tab w:val="left" w:pos="1204"/>
          <w:tab w:val="left" w:pos="1205"/>
        </w:tabs>
        <w:autoSpaceDE w:val="0"/>
        <w:autoSpaceDN w:val="0"/>
        <w:spacing w:before="0" w:line="240" w:lineRule="auto"/>
        <w:ind w:left="170" w:firstLine="0"/>
        <w:mirrorIndents/>
        <w:jc w:val="both"/>
        <w:rPr>
          <w:color w:val="auto"/>
          <w:sz w:val="20"/>
          <w:szCs w:val="20"/>
        </w:rPr>
      </w:pPr>
      <w:r w:rsidRPr="000977F7">
        <w:rPr>
          <w:color w:val="auto"/>
          <w:sz w:val="20"/>
          <w:szCs w:val="20"/>
        </w:rPr>
        <w:t>Аудит</w:t>
      </w:r>
      <w:r w:rsidRPr="000977F7">
        <w:rPr>
          <w:color w:val="auto"/>
          <w:spacing w:val="9"/>
          <w:sz w:val="20"/>
          <w:szCs w:val="20"/>
        </w:rPr>
        <w:t xml:space="preserve"> </w:t>
      </w:r>
      <w:r w:rsidRPr="000977F7">
        <w:rPr>
          <w:color w:val="auto"/>
          <w:sz w:val="20"/>
          <w:szCs w:val="20"/>
        </w:rPr>
        <w:t>системи</w:t>
      </w:r>
      <w:r w:rsidRPr="000977F7">
        <w:rPr>
          <w:color w:val="auto"/>
          <w:spacing w:val="9"/>
          <w:sz w:val="20"/>
          <w:szCs w:val="20"/>
        </w:rPr>
        <w:t xml:space="preserve"> </w:t>
      </w:r>
      <w:r w:rsidRPr="000977F7">
        <w:rPr>
          <w:color w:val="auto"/>
          <w:sz w:val="20"/>
          <w:szCs w:val="20"/>
        </w:rPr>
        <w:t>управління</w:t>
      </w:r>
      <w:r w:rsidRPr="000977F7">
        <w:rPr>
          <w:color w:val="auto"/>
          <w:spacing w:val="9"/>
          <w:sz w:val="20"/>
          <w:szCs w:val="20"/>
        </w:rPr>
        <w:t xml:space="preserve"> </w:t>
      </w:r>
      <w:r w:rsidRPr="000977F7">
        <w:rPr>
          <w:color w:val="auto"/>
          <w:sz w:val="20"/>
          <w:szCs w:val="20"/>
        </w:rPr>
        <w:t>навколишнім</w:t>
      </w:r>
      <w:r w:rsidRPr="000977F7">
        <w:rPr>
          <w:color w:val="auto"/>
          <w:spacing w:val="-47"/>
          <w:sz w:val="20"/>
          <w:szCs w:val="20"/>
        </w:rPr>
        <w:t xml:space="preserve"> </w:t>
      </w:r>
      <w:r w:rsidRPr="000977F7">
        <w:rPr>
          <w:color w:val="auto"/>
          <w:sz w:val="20"/>
          <w:szCs w:val="20"/>
        </w:rPr>
        <w:t>середовищем</w:t>
      </w:r>
    </w:p>
    <w:p w14:paraId="50C7417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Програма</w:t>
      </w:r>
      <w:r w:rsidRPr="000977F7">
        <w:rPr>
          <w:rFonts w:asciiTheme="majorHAnsi" w:hAnsiTheme="majorHAnsi"/>
          <w:spacing w:val="13"/>
          <w:sz w:val="20"/>
          <w:szCs w:val="20"/>
        </w:rPr>
        <w:t xml:space="preserve"> </w:t>
      </w:r>
      <w:r w:rsidRPr="000977F7">
        <w:rPr>
          <w:rFonts w:asciiTheme="majorHAnsi" w:hAnsiTheme="majorHAnsi"/>
          <w:sz w:val="20"/>
          <w:szCs w:val="20"/>
        </w:rPr>
        <w:t>та</w:t>
      </w:r>
      <w:r w:rsidRPr="000977F7">
        <w:rPr>
          <w:rFonts w:asciiTheme="majorHAnsi" w:hAnsiTheme="majorHAnsi"/>
          <w:spacing w:val="13"/>
          <w:sz w:val="20"/>
          <w:szCs w:val="20"/>
        </w:rPr>
        <w:t xml:space="preserve"> </w:t>
      </w:r>
      <w:r w:rsidRPr="000977F7">
        <w:rPr>
          <w:rFonts w:asciiTheme="majorHAnsi" w:hAnsiTheme="majorHAnsi"/>
          <w:sz w:val="20"/>
          <w:szCs w:val="20"/>
        </w:rPr>
        <w:t>методики</w:t>
      </w:r>
      <w:r w:rsidRPr="000977F7">
        <w:rPr>
          <w:rFonts w:asciiTheme="majorHAnsi" w:hAnsiTheme="majorHAnsi"/>
          <w:spacing w:val="11"/>
          <w:sz w:val="20"/>
          <w:szCs w:val="20"/>
        </w:rPr>
        <w:t xml:space="preserve"> </w:t>
      </w:r>
      <w:r w:rsidRPr="000977F7">
        <w:rPr>
          <w:rFonts w:asciiTheme="majorHAnsi" w:hAnsiTheme="majorHAnsi"/>
          <w:sz w:val="20"/>
          <w:szCs w:val="20"/>
        </w:rPr>
        <w:t>аудиту</w:t>
      </w:r>
      <w:r w:rsidRPr="000977F7">
        <w:rPr>
          <w:rFonts w:asciiTheme="majorHAnsi" w:hAnsiTheme="majorHAnsi"/>
          <w:spacing w:val="11"/>
          <w:sz w:val="20"/>
          <w:szCs w:val="20"/>
        </w:rPr>
        <w:t xml:space="preserve"> </w:t>
      </w:r>
      <w:r w:rsidRPr="000977F7">
        <w:rPr>
          <w:rFonts w:asciiTheme="majorHAnsi" w:hAnsiTheme="majorHAnsi"/>
          <w:sz w:val="20"/>
          <w:szCs w:val="20"/>
        </w:rPr>
        <w:t>повинні</w:t>
      </w:r>
      <w:r w:rsidRPr="000977F7">
        <w:rPr>
          <w:rFonts w:asciiTheme="majorHAnsi" w:hAnsiTheme="majorHAnsi"/>
          <w:spacing w:val="15"/>
          <w:sz w:val="20"/>
          <w:szCs w:val="20"/>
        </w:rPr>
        <w:t xml:space="preserve"> </w:t>
      </w:r>
      <w:r w:rsidRPr="000977F7">
        <w:rPr>
          <w:rFonts w:asciiTheme="majorHAnsi" w:hAnsiTheme="majorHAnsi"/>
          <w:sz w:val="20"/>
          <w:szCs w:val="20"/>
        </w:rPr>
        <w:t>встановлювати:</w:t>
      </w:r>
    </w:p>
    <w:p w14:paraId="07287BD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w:t>
      </w:r>
      <w:r w:rsidRPr="000977F7">
        <w:rPr>
          <w:rFonts w:asciiTheme="majorHAnsi" w:hAnsiTheme="majorHAnsi"/>
          <w:spacing w:val="-3"/>
          <w:sz w:val="20"/>
          <w:szCs w:val="20"/>
        </w:rPr>
        <w:t xml:space="preserve"> </w:t>
      </w:r>
      <w:r w:rsidRPr="000977F7">
        <w:rPr>
          <w:rFonts w:asciiTheme="majorHAnsi" w:hAnsiTheme="majorHAnsi"/>
          <w:sz w:val="20"/>
          <w:szCs w:val="20"/>
        </w:rPr>
        <w:t>види</w:t>
      </w:r>
      <w:r w:rsidRPr="000977F7">
        <w:rPr>
          <w:rFonts w:asciiTheme="majorHAnsi" w:hAnsiTheme="majorHAnsi"/>
          <w:spacing w:val="-4"/>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сфери,</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4"/>
          <w:sz w:val="20"/>
          <w:szCs w:val="20"/>
        </w:rPr>
        <w:t xml:space="preserve"> </w:t>
      </w:r>
      <w:r w:rsidRPr="000977F7">
        <w:rPr>
          <w:rFonts w:asciiTheme="majorHAnsi" w:hAnsiTheme="majorHAnsi"/>
          <w:sz w:val="20"/>
          <w:szCs w:val="20"/>
        </w:rPr>
        <w:t>підлягають</w:t>
      </w:r>
      <w:r w:rsidRPr="000977F7">
        <w:rPr>
          <w:rFonts w:asciiTheme="majorHAnsi" w:hAnsiTheme="majorHAnsi"/>
          <w:spacing w:val="-3"/>
          <w:sz w:val="20"/>
          <w:szCs w:val="20"/>
        </w:rPr>
        <w:t xml:space="preserve"> </w:t>
      </w:r>
      <w:r w:rsidRPr="000977F7">
        <w:rPr>
          <w:rFonts w:asciiTheme="majorHAnsi" w:hAnsiTheme="majorHAnsi"/>
          <w:sz w:val="20"/>
          <w:szCs w:val="20"/>
        </w:rPr>
        <w:t>аудиту;</w:t>
      </w:r>
    </w:p>
    <w:p w14:paraId="372353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47"/>
          <w:sz w:val="20"/>
          <w:szCs w:val="20"/>
        </w:rPr>
        <w:t xml:space="preserve"> </w:t>
      </w:r>
      <w:r w:rsidRPr="000977F7">
        <w:rPr>
          <w:rFonts w:asciiTheme="majorHAnsi" w:hAnsiTheme="majorHAnsi"/>
          <w:sz w:val="20"/>
          <w:szCs w:val="20"/>
        </w:rPr>
        <w:t>б)</w:t>
      </w:r>
      <w:r w:rsidRPr="000977F7">
        <w:rPr>
          <w:rFonts w:asciiTheme="majorHAnsi" w:hAnsiTheme="majorHAnsi"/>
          <w:spacing w:val="-1"/>
          <w:sz w:val="20"/>
          <w:szCs w:val="20"/>
        </w:rPr>
        <w:t xml:space="preserve"> </w:t>
      </w:r>
      <w:r w:rsidRPr="000977F7">
        <w:rPr>
          <w:rFonts w:asciiTheme="majorHAnsi" w:hAnsiTheme="majorHAnsi"/>
          <w:sz w:val="20"/>
          <w:szCs w:val="20"/>
        </w:rPr>
        <w:t>періодичність</w:t>
      </w:r>
      <w:r w:rsidRPr="000977F7">
        <w:rPr>
          <w:rFonts w:asciiTheme="majorHAnsi" w:hAnsiTheme="majorHAnsi"/>
          <w:spacing w:val="-2"/>
          <w:sz w:val="20"/>
          <w:szCs w:val="20"/>
        </w:rPr>
        <w:t xml:space="preserve"> </w:t>
      </w:r>
      <w:r w:rsidRPr="000977F7">
        <w:rPr>
          <w:rFonts w:asciiTheme="majorHAnsi" w:hAnsiTheme="majorHAnsi"/>
          <w:sz w:val="20"/>
          <w:szCs w:val="20"/>
        </w:rPr>
        <w:t>виконання</w:t>
      </w:r>
      <w:r w:rsidRPr="000977F7">
        <w:rPr>
          <w:rFonts w:asciiTheme="majorHAnsi" w:hAnsiTheme="majorHAnsi"/>
          <w:spacing w:val="2"/>
          <w:sz w:val="20"/>
          <w:szCs w:val="20"/>
        </w:rPr>
        <w:t xml:space="preserve"> </w:t>
      </w:r>
      <w:r w:rsidRPr="000977F7">
        <w:rPr>
          <w:rFonts w:asciiTheme="majorHAnsi" w:hAnsiTheme="majorHAnsi"/>
          <w:sz w:val="20"/>
          <w:szCs w:val="20"/>
        </w:rPr>
        <w:t>аудиту;</w:t>
      </w:r>
    </w:p>
    <w:p w14:paraId="615771C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 відповідальність, пов’язану з</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управлінням та</w:t>
      </w:r>
      <w:r w:rsidRPr="000977F7">
        <w:rPr>
          <w:rFonts w:asciiTheme="majorHAnsi" w:hAnsiTheme="majorHAnsi"/>
          <w:spacing w:val="1"/>
          <w:sz w:val="20"/>
          <w:szCs w:val="20"/>
        </w:rPr>
        <w:t xml:space="preserve"> </w:t>
      </w:r>
      <w:r w:rsidRPr="000977F7">
        <w:rPr>
          <w:rFonts w:asciiTheme="majorHAnsi" w:hAnsiTheme="majorHAnsi"/>
          <w:sz w:val="20"/>
          <w:szCs w:val="20"/>
        </w:rPr>
        <w:t>виконанням</w:t>
      </w:r>
      <w:r w:rsidRPr="000977F7">
        <w:rPr>
          <w:rFonts w:asciiTheme="majorHAnsi" w:hAnsiTheme="majorHAnsi"/>
          <w:spacing w:val="-1"/>
          <w:sz w:val="20"/>
          <w:szCs w:val="20"/>
        </w:rPr>
        <w:t xml:space="preserve"> </w:t>
      </w:r>
      <w:r w:rsidRPr="000977F7">
        <w:rPr>
          <w:rFonts w:asciiTheme="majorHAnsi" w:hAnsiTheme="majorHAnsi"/>
          <w:sz w:val="20"/>
          <w:szCs w:val="20"/>
        </w:rPr>
        <w:t>аудиту;</w:t>
      </w:r>
    </w:p>
    <w:p w14:paraId="72B3DD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w:t>
      </w:r>
      <w:r w:rsidRPr="000977F7">
        <w:rPr>
          <w:rFonts w:asciiTheme="majorHAnsi" w:hAnsiTheme="majorHAnsi"/>
          <w:spacing w:val="-6"/>
          <w:sz w:val="20"/>
          <w:szCs w:val="20"/>
        </w:rPr>
        <w:t xml:space="preserve"> </w:t>
      </w:r>
      <w:r w:rsidRPr="000977F7">
        <w:rPr>
          <w:rFonts w:asciiTheme="majorHAnsi" w:hAnsiTheme="majorHAnsi"/>
          <w:sz w:val="20"/>
          <w:szCs w:val="20"/>
        </w:rPr>
        <w:t>повідомлення</w:t>
      </w:r>
      <w:r w:rsidRPr="000977F7">
        <w:rPr>
          <w:rFonts w:asciiTheme="majorHAnsi" w:hAnsiTheme="majorHAnsi"/>
          <w:spacing w:val="-3"/>
          <w:sz w:val="20"/>
          <w:szCs w:val="20"/>
        </w:rPr>
        <w:t xml:space="preserve"> </w:t>
      </w:r>
      <w:r w:rsidRPr="000977F7">
        <w:rPr>
          <w:rFonts w:asciiTheme="majorHAnsi" w:hAnsiTheme="majorHAnsi"/>
          <w:sz w:val="20"/>
          <w:szCs w:val="20"/>
        </w:rPr>
        <w:t>про</w:t>
      </w:r>
      <w:r w:rsidRPr="000977F7">
        <w:rPr>
          <w:rFonts w:asciiTheme="majorHAnsi" w:hAnsiTheme="majorHAnsi"/>
          <w:spacing w:val="-5"/>
          <w:sz w:val="20"/>
          <w:szCs w:val="20"/>
        </w:rPr>
        <w:t xml:space="preserve"> </w:t>
      </w:r>
      <w:r w:rsidRPr="000977F7">
        <w:rPr>
          <w:rFonts w:asciiTheme="majorHAnsi" w:hAnsiTheme="majorHAnsi"/>
          <w:sz w:val="20"/>
          <w:szCs w:val="20"/>
        </w:rPr>
        <w:t>результати</w:t>
      </w:r>
      <w:r w:rsidRPr="000977F7">
        <w:rPr>
          <w:rFonts w:asciiTheme="majorHAnsi" w:hAnsiTheme="majorHAnsi"/>
          <w:spacing w:val="-6"/>
          <w:sz w:val="20"/>
          <w:szCs w:val="20"/>
        </w:rPr>
        <w:t xml:space="preserve"> </w:t>
      </w:r>
      <w:r w:rsidRPr="000977F7">
        <w:rPr>
          <w:rFonts w:asciiTheme="majorHAnsi" w:hAnsiTheme="majorHAnsi"/>
          <w:sz w:val="20"/>
          <w:szCs w:val="20"/>
        </w:rPr>
        <w:t>аудиту;</w:t>
      </w:r>
      <w:r w:rsidRPr="000977F7">
        <w:rPr>
          <w:rFonts w:asciiTheme="majorHAnsi" w:hAnsiTheme="majorHAnsi"/>
          <w:spacing w:val="-47"/>
          <w:sz w:val="20"/>
          <w:szCs w:val="20"/>
        </w:rPr>
        <w:t xml:space="preserve"> </w:t>
      </w:r>
      <w:r w:rsidRPr="000977F7">
        <w:rPr>
          <w:rFonts w:asciiTheme="majorHAnsi" w:hAnsiTheme="majorHAnsi"/>
          <w:sz w:val="20"/>
          <w:szCs w:val="20"/>
        </w:rPr>
        <w:t>д)</w:t>
      </w:r>
      <w:r w:rsidRPr="000977F7">
        <w:rPr>
          <w:rFonts w:asciiTheme="majorHAnsi" w:hAnsiTheme="majorHAnsi"/>
          <w:spacing w:val="-1"/>
          <w:sz w:val="20"/>
          <w:szCs w:val="20"/>
        </w:rPr>
        <w:t xml:space="preserve"> </w:t>
      </w:r>
      <w:r w:rsidRPr="000977F7">
        <w:rPr>
          <w:rFonts w:asciiTheme="majorHAnsi" w:hAnsiTheme="majorHAnsi"/>
          <w:sz w:val="20"/>
          <w:szCs w:val="20"/>
        </w:rPr>
        <w:t>компетентність</w:t>
      </w:r>
      <w:r w:rsidRPr="000977F7">
        <w:rPr>
          <w:rFonts w:asciiTheme="majorHAnsi" w:hAnsiTheme="majorHAnsi"/>
          <w:spacing w:val="-1"/>
          <w:sz w:val="20"/>
          <w:szCs w:val="20"/>
        </w:rPr>
        <w:t xml:space="preserve"> </w:t>
      </w:r>
      <w:r w:rsidRPr="000977F7">
        <w:rPr>
          <w:rFonts w:asciiTheme="majorHAnsi" w:hAnsiTheme="majorHAnsi"/>
          <w:sz w:val="20"/>
          <w:szCs w:val="20"/>
        </w:rPr>
        <w:t>аудиторів;</w:t>
      </w:r>
    </w:p>
    <w:p w14:paraId="795739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w:t>
      </w:r>
      <w:r w:rsidRPr="000977F7">
        <w:rPr>
          <w:rFonts w:asciiTheme="majorHAnsi" w:hAnsiTheme="majorHAnsi"/>
          <w:spacing w:val="-2"/>
          <w:sz w:val="20"/>
          <w:szCs w:val="20"/>
        </w:rPr>
        <w:t xml:space="preserve"> </w:t>
      </w:r>
      <w:r w:rsidRPr="000977F7">
        <w:rPr>
          <w:rFonts w:asciiTheme="majorHAnsi" w:hAnsiTheme="majorHAnsi"/>
          <w:sz w:val="20"/>
          <w:szCs w:val="20"/>
        </w:rPr>
        <w:t>порядок</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правила</w:t>
      </w:r>
      <w:r w:rsidRPr="000977F7">
        <w:rPr>
          <w:rFonts w:asciiTheme="majorHAnsi" w:hAnsiTheme="majorHAnsi"/>
          <w:spacing w:val="-2"/>
          <w:sz w:val="20"/>
          <w:szCs w:val="20"/>
        </w:rPr>
        <w:t xml:space="preserve"> </w:t>
      </w:r>
      <w:r w:rsidRPr="000977F7">
        <w:rPr>
          <w:rFonts w:asciiTheme="majorHAnsi" w:hAnsiTheme="majorHAnsi"/>
          <w:sz w:val="20"/>
          <w:szCs w:val="20"/>
        </w:rPr>
        <w:t>виконання</w:t>
      </w:r>
      <w:r w:rsidRPr="000977F7">
        <w:rPr>
          <w:rFonts w:asciiTheme="majorHAnsi" w:hAnsiTheme="majorHAnsi"/>
          <w:spacing w:val="-4"/>
          <w:sz w:val="20"/>
          <w:szCs w:val="20"/>
        </w:rPr>
        <w:t xml:space="preserve"> </w:t>
      </w:r>
      <w:r w:rsidRPr="000977F7">
        <w:rPr>
          <w:rFonts w:asciiTheme="majorHAnsi" w:hAnsiTheme="majorHAnsi"/>
          <w:sz w:val="20"/>
          <w:szCs w:val="20"/>
        </w:rPr>
        <w:t>аудиту.</w:t>
      </w:r>
    </w:p>
    <w:p w14:paraId="223E207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Аудит</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виконуватись</w:t>
      </w:r>
      <w:r w:rsidRPr="000977F7">
        <w:rPr>
          <w:rFonts w:asciiTheme="majorHAnsi" w:hAnsiTheme="majorHAnsi"/>
          <w:spacing w:val="1"/>
          <w:sz w:val="20"/>
          <w:szCs w:val="20"/>
        </w:rPr>
        <w:t xml:space="preserve"> </w:t>
      </w:r>
      <w:r w:rsidRPr="000977F7">
        <w:rPr>
          <w:rFonts w:asciiTheme="majorHAnsi" w:hAnsiTheme="majorHAnsi"/>
          <w:sz w:val="20"/>
          <w:szCs w:val="20"/>
        </w:rPr>
        <w:t>власним</w:t>
      </w:r>
      <w:r w:rsidRPr="000977F7">
        <w:rPr>
          <w:rFonts w:asciiTheme="majorHAnsi" w:hAnsiTheme="majorHAnsi"/>
          <w:spacing w:val="1"/>
          <w:sz w:val="20"/>
          <w:szCs w:val="20"/>
        </w:rPr>
        <w:t xml:space="preserve"> </w:t>
      </w:r>
      <w:r w:rsidRPr="000977F7">
        <w:rPr>
          <w:rFonts w:asciiTheme="majorHAnsi" w:hAnsiTheme="majorHAnsi"/>
          <w:sz w:val="20"/>
          <w:szCs w:val="20"/>
        </w:rPr>
        <w:t>персоналом</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та/або</w:t>
      </w:r>
      <w:r w:rsidRPr="000977F7">
        <w:rPr>
          <w:rFonts w:asciiTheme="majorHAnsi" w:hAnsiTheme="majorHAnsi"/>
          <w:spacing w:val="1"/>
          <w:sz w:val="20"/>
          <w:szCs w:val="20"/>
        </w:rPr>
        <w:t xml:space="preserve"> </w:t>
      </w:r>
      <w:r w:rsidRPr="000977F7">
        <w:rPr>
          <w:rFonts w:asciiTheme="majorHAnsi" w:hAnsiTheme="majorHAnsi"/>
          <w:sz w:val="20"/>
          <w:szCs w:val="20"/>
        </w:rPr>
        <w:t>представниками</w:t>
      </w:r>
      <w:r w:rsidRPr="000977F7">
        <w:rPr>
          <w:rFonts w:asciiTheme="majorHAnsi" w:hAnsiTheme="majorHAnsi"/>
          <w:spacing w:val="1"/>
          <w:sz w:val="20"/>
          <w:szCs w:val="20"/>
        </w:rPr>
        <w:t xml:space="preserve"> </w:t>
      </w:r>
      <w:r w:rsidRPr="000977F7">
        <w:rPr>
          <w:rFonts w:asciiTheme="majorHAnsi" w:hAnsiTheme="majorHAnsi"/>
          <w:sz w:val="20"/>
          <w:szCs w:val="20"/>
        </w:rPr>
        <w:t>уповноваженого</w:t>
      </w:r>
      <w:r w:rsidRPr="000977F7">
        <w:rPr>
          <w:rFonts w:asciiTheme="majorHAnsi" w:hAnsiTheme="majorHAnsi"/>
          <w:spacing w:val="1"/>
          <w:sz w:val="20"/>
          <w:szCs w:val="20"/>
        </w:rPr>
        <w:t xml:space="preserve"> </w:t>
      </w:r>
      <w:r w:rsidRPr="000977F7">
        <w:rPr>
          <w:rFonts w:asciiTheme="majorHAnsi" w:hAnsiTheme="majorHAnsi"/>
          <w:sz w:val="20"/>
          <w:szCs w:val="20"/>
        </w:rPr>
        <w:t>органу чи залученими зі сторони особами, яких вибирає організація. У будь-якому випадку особи, які виконують аудит, повинні бути в змозі діяти неупереджено і</w:t>
      </w:r>
      <w:r w:rsidRPr="000977F7">
        <w:rPr>
          <w:rFonts w:asciiTheme="majorHAnsi" w:hAnsiTheme="majorHAnsi"/>
          <w:spacing w:val="-1"/>
          <w:sz w:val="20"/>
          <w:szCs w:val="20"/>
        </w:rPr>
        <w:t xml:space="preserve"> </w:t>
      </w:r>
      <w:r w:rsidRPr="000977F7">
        <w:rPr>
          <w:rFonts w:asciiTheme="majorHAnsi" w:hAnsiTheme="majorHAnsi"/>
          <w:sz w:val="20"/>
          <w:szCs w:val="20"/>
        </w:rPr>
        <w:t>об’єктивно.</w:t>
      </w:r>
    </w:p>
    <w:p w14:paraId="446FE81E" w14:textId="77777777" w:rsidR="0097612F" w:rsidRPr="000977F7" w:rsidRDefault="0097612F" w:rsidP="00FD39A4">
      <w:pPr>
        <w:pStyle w:val="7"/>
        <w:keepNext w:val="0"/>
        <w:keepLines w:val="0"/>
        <w:widowControl w:val="0"/>
        <w:numPr>
          <w:ilvl w:val="0"/>
          <w:numId w:val="143"/>
        </w:numPr>
        <w:tabs>
          <w:tab w:val="left" w:pos="284"/>
          <w:tab w:val="left" w:pos="853"/>
        </w:tabs>
        <w:autoSpaceDE w:val="0"/>
        <w:autoSpaceDN w:val="0"/>
        <w:spacing w:before="0" w:line="240" w:lineRule="auto"/>
        <w:ind w:left="170" w:firstLine="0"/>
        <w:mirrorIndents/>
        <w:jc w:val="both"/>
        <w:rPr>
          <w:color w:val="auto"/>
          <w:sz w:val="20"/>
          <w:szCs w:val="20"/>
        </w:rPr>
      </w:pPr>
      <w:r w:rsidRPr="000977F7">
        <w:rPr>
          <w:color w:val="auto"/>
          <w:sz w:val="20"/>
          <w:szCs w:val="20"/>
        </w:rPr>
        <w:t>Аналіз</w:t>
      </w:r>
      <w:r w:rsidRPr="000977F7">
        <w:rPr>
          <w:color w:val="auto"/>
          <w:spacing w:val="-5"/>
          <w:sz w:val="20"/>
          <w:szCs w:val="20"/>
        </w:rPr>
        <w:t xml:space="preserve"> </w:t>
      </w:r>
      <w:r w:rsidRPr="000977F7">
        <w:rPr>
          <w:color w:val="auto"/>
          <w:sz w:val="20"/>
          <w:szCs w:val="20"/>
        </w:rPr>
        <w:t>з</w:t>
      </w:r>
      <w:r w:rsidRPr="000977F7">
        <w:rPr>
          <w:color w:val="auto"/>
          <w:spacing w:val="-4"/>
          <w:sz w:val="20"/>
          <w:szCs w:val="20"/>
        </w:rPr>
        <w:t xml:space="preserve"> </w:t>
      </w:r>
      <w:r w:rsidRPr="000977F7">
        <w:rPr>
          <w:color w:val="auto"/>
          <w:sz w:val="20"/>
          <w:szCs w:val="20"/>
        </w:rPr>
        <w:t>боку</w:t>
      </w:r>
      <w:r w:rsidRPr="000977F7">
        <w:rPr>
          <w:color w:val="auto"/>
          <w:spacing w:val="-4"/>
          <w:sz w:val="20"/>
          <w:szCs w:val="20"/>
        </w:rPr>
        <w:t xml:space="preserve"> </w:t>
      </w:r>
      <w:r w:rsidRPr="000977F7">
        <w:rPr>
          <w:color w:val="auto"/>
          <w:sz w:val="20"/>
          <w:szCs w:val="20"/>
        </w:rPr>
        <w:t>керівництва</w:t>
      </w:r>
    </w:p>
    <w:p w14:paraId="1428A8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4D2D14">
        <w:rPr>
          <w:rFonts w:asciiTheme="majorHAnsi" w:hAnsiTheme="majorHAnsi"/>
          <w:sz w:val="20"/>
          <w:szCs w:val="20"/>
          <w:lang w:val="uk-UA"/>
        </w:rPr>
        <w:t>Щоб</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підтримувати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процес</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постійного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вдосконалення, придатність і ефективність системи управління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навколишнім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середовищем,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керівництво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організації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повинно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проводити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перевірку,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аналіз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оцінювання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системи управління навколишнім середовищем через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установлені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періоди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часу.</w:t>
      </w:r>
      <w:r w:rsidRPr="004D2D14">
        <w:rPr>
          <w:rFonts w:asciiTheme="majorHAnsi" w:hAnsiTheme="majorHAnsi"/>
          <w:spacing w:val="1"/>
          <w:sz w:val="20"/>
          <w:szCs w:val="20"/>
          <w:lang w:val="uk-UA"/>
        </w:rPr>
        <w:t xml:space="preserve"> </w:t>
      </w:r>
      <w:r w:rsidRPr="000977F7">
        <w:rPr>
          <w:rFonts w:asciiTheme="majorHAnsi" w:hAnsiTheme="majorHAnsi"/>
          <w:sz w:val="20"/>
          <w:szCs w:val="20"/>
        </w:rPr>
        <w:t>Перевірка</w:t>
      </w:r>
      <w:r w:rsidRPr="000977F7">
        <w:rPr>
          <w:rFonts w:asciiTheme="majorHAnsi" w:hAnsiTheme="majorHAnsi"/>
          <w:spacing w:val="1"/>
          <w:sz w:val="20"/>
          <w:szCs w:val="20"/>
        </w:rPr>
        <w:t xml:space="preserve"> </w:t>
      </w:r>
      <w:r w:rsidRPr="000977F7">
        <w:rPr>
          <w:rFonts w:asciiTheme="majorHAnsi" w:hAnsiTheme="majorHAnsi"/>
          <w:sz w:val="20"/>
          <w:szCs w:val="20"/>
        </w:rPr>
        <w:t>повинна</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всебічною. Однак немає потреби перевіряти всі елементи системи управління навколишнім середовищем</w:t>
      </w:r>
      <w:r w:rsidRPr="000977F7">
        <w:rPr>
          <w:rFonts w:asciiTheme="majorHAnsi" w:hAnsiTheme="majorHAnsi"/>
          <w:spacing w:val="-47"/>
          <w:sz w:val="20"/>
          <w:szCs w:val="20"/>
        </w:rPr>
        <w:t xml:space="preserve"> </w:t>
      </w:r>
      <w:r w:rsidRPr="000977F7">
        <w:rPr>
          <w:rFonts w:asciiTheme="majorHAnsi" w:hAnsiTheme="majorHAnsi"/>
          <w:sz w:val="20"/>
          <w:szCs w:val="20"/>
        </w:rPr>
        <w:t>одночасно, тобто процес перевірки може тривати певний</w:t>
      </w:r>
      <w:r w:rsidRPr="000977F7">
        <w:rPr>
          <w:rFonts w:asciiTheme="majorHAnsi" w:hAnsiTheme="majorHAnsi"/>
          <w:spacing w:val="-2"/>
          <w:sz w:val="20"/>
          <w:szCs w:val="20"/>
        </w:rPr>
        <w:t xml:space="preserve"> </w:t>
      </w:r>
      <w:r w:rsidRPr="000977F7">
        <w:rPr>
          <w:rFonts w:asciiTheme="majorHAnsi" w:hAnsiTheme="majorHAnsi"/>
          <w:sz w:val="20"/>
          <w:szCs w:val="20"/>
        </w:rPr>
        <w:t>період</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76E4963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Аналіз політики, цілей і завдань повинен проводитись на тому рівні управління, на якому вони були</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встановлені.</w:t>
      </w:r>
    </w:p>
    <w:p w14:paraId="3A64605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Аналіз</w:t>
      </w:r>
      <w:r w:rsidRPr="000977F7">
        <w:rPr>
          <w:rFonts w:asciiTheme="majorHAnsi" w:hAnsiTheme="majorHAnsi"/>
          <w:spacing w:val="-4"/>
          <w:sz w:val="20"/>
          <w:szCs w:val="20"/>
        </w:rPr>
        <w:t xml:space="preserve"> </w:t>
      </w:r>
      <w:r w:rsidRPr="000977F7">
        <w:rPr>
          <w:rFonts w:asciiTheme="majorHAnsi" w:hAnsiTheme="majorHAnsi"/>
          <w:sz w:val="20"/>
          <w:szCs w:val="20"/>
        </w:rPr>
        <w:t>повинен</w:t>
      </w:r>
      <w:r w:rsidRPr="000977F7">
        <w:rPr>
          <w:rFonts w:asciiTheme="majorHAnsi" w:hAnsiTheme="majorHAnsi"/>
          <w:spacing w:val="-5"/>
          <w:sz w:val="20"/>
          <w:szCs w:val="20"/>
        </w:rPr>
        <w:t xml:space="preserve"> </w:t>
      </w:r>
      <w:r w:rsidRPr="000977F7">
        <w:rPr>
          <w:rFonts w:asciiTheme="majorHAnsi" w:hAnsiTheme="majorHAnsi"/>
          <w:sz w:val="20"/>
          <w:szCs w:val="20"/>
        </w:rPr>
        <w:t>охоплювати:</w:t>
      </w:r>
    </w:p>
    <w:p w14:paraId="37D12D8B" w14:textId="77777777" w:rsidR="0097612F" w:rsidRPr="000977F7" w:rsidRDefault="0097612F" w:rsidP="00FD39A4">
      <w:pPr>
        <w:pStyle w:val="ac"/>
        <w:widowControl w:val="0"/>
        <w:numPr>
          <w:ilvl w:val="0"/>
          <w:numId w:val="142"/>
        </w:numPr>
        <w:tabs>
          <w:tab w:val="left" w:pos="284"/>
          <w:tab w:val="left" w:pos="52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результати</w:t>
      </w:r>
      <w:r w:rsidRPr="000977F7">
        <w:rPr>
          <w:rFonts w:asciiTheme="majorHAnsi" w:hAnsiTheme="majorHAnsi"/>
          <w:spacing w:val="-6"/>
          <w:sz w:val="20"/>
          <w:szCs w:val="20"/>
        </w:rPr>
        <w:t xml:space="preserve"> </w:t>
      </w:r>
      <w:r w:rsidRPr="000977F7">
        <w:rPr>
          <w:rFonts w:asciiTheme="majorHAnsi" w:hAnsiTheme="majorHAnsi"/>
          <w:sz w:val="20"/>
          <w:szCs w:val="20"/>
        </w:rPr>
        <w:t>аудитів;</w:t>
      </w:r>
    </w:p>
    <w:p w14:paraId="6ECD06F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w:t>
      </w:r>
      <w:r w:rsidRPr="000977F7">
        <w:rPr>
          <w:rFonts w:asciiTheme="majorHAnsi" w:hAnsiTheme="majorHAnsi"/>
          <w:spacing w:val="-4"/>
          <w:sz w:val="20"/>
          <w:szCs w:val="20"/>
        </w:rPr>
        <w:t xml:space="preserve"> </w:t>
      </w:r>
      <w:r w:rsidRPr="000977F7">
        <w:rPr>
          <w:rFonts w:asciiTheme="majorHAnsi" w:hAnsiTheme="majorHAnsi"/>
          <w:sz w:val="20"/>
          <w:szCs w:val="20"/>
        </w:rPr>
        <w:t>ступінь</w:t>
      </w:r>
      <w:r w:rsidRPr="000977F7">
        <w:rPr>
          <w:rFonts w:asciiTheme="majorHAnsi" w:hAnsiTheme="majorHAnsi"/>
          <w:spacing w:val="-2"/>
          <w:sz w:val="20"/>
          <w:szCs w:val="20"/>
        </w:rPr>
        <w:t xml:space="preserve"> </w:t>
      </w:r>
      <w:r w:rsidRPr="000977F7">
        <w:rPr>
          <w:rFonts w:asciiTheme="majorHAnsi" w:hAnsiTheme="majorHAnsi"/>
          <w:sz w:val="20"/>
          <w:szCs w:val="20"/>
        </w:rPr>
        <w:t>виконання</w:t>
      </w:r>
      <w:r w:rsidRPr="000977F7">
        <w:rPr>
          <w:rFonts w:asciiTheme="majorHAnsi" w:hAnsiTheme="majorHAnsi"/>
          <w:spacing w:val="-5"/>
          <w:sz w:val="20"/>
          <w:szCs w:val="20"/>
        </w:rPr>
        <w:t xml:space="preserve"> </w:t>
      </w:r>
      <w:r w:rsidRPr="000977F7">
        <w:rPr>
          <w:rFonts w:asciiTheme="majorHAnsi" w:hAnsiTheme="majorHAnsi"/>
          <w:sz w:val="20"/>
          <w:szCs w:val="20"/>
        </w:rPr>
        <w:t>цілей</w:t>
      </w:r>
      <w:r w:rsidRPr="000977F7">
        <w:rPr>
          <w:rFonts w:asciiTheme="majorHAnsi" w:hAnsiTheme="majorHAnsi"/>
          <w:spacing w:val="-4"/>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завдань;</w:t>
      </w:r>
    </w:p>
    <w:p w14:paraId="4A90E0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 рівень підтримання відповідності системи</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 навколишнім середовищем умовам і даним, які</w:t>
      </w:r>
      <w:r w:rsidRPr="000977F7">
        <w:rPr>
          <w:rFonts w:asciiTheme="majorHAnsi" w:hAnsiTheme="majorHAnsi"/>
          <w:spacing w:val="1"/>
          <w:sz w:val="20"/>
          <w:szCs w:val="20"/>
        </w:rPr>
        <w:t xml:space="preserve"> </w:t>
      </w:r>
      <w:r w:rsidRPr="000977F7">
        <w:rPr>
          <w:rFonts w:asciiTheme="majorHAnsi" w:hAnsiTheme="majorHAnsi"/>
          <w:sz w:val="20"/>
          <w:szCs w:val="20"/>
        </w:rPr>
        <w:t>змінюються;</w:t>
      </w:r>
    </w:p>
    <w:p w14:paraId="3303BC0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w:t>
      </w:r>
      <w:r w:rsidRPr="000977F7">
        <w:rPr>
          <w:rFonts w:asciiTheme="majorHAnsi" w:hAnsiTheme="majorHAnsi"/>
          <w:spacing w:val="1"/>
          <w:sz w:val="20"/>
          <w:szCs w:val="20"/>
        </w:rPr>
        <w:t xml:space="preserve"> </w:t>
      </w:r>
      <w:r w:rsidRPr="000977F7">
        <w:rPr>
          <w:rFonts w:asciiTheme="majorHAnsi" w:hAnsiTheme="majorHAnsi"/>
          <w:sz w:val="20"/>
          <w:szCs w:val="20"/>
        </w:rPr>
        <w:t>об’єкти,</w:t>
      </w:r>
      <w:r w:rsidRPr="000977F7">
        <w:rPr>
          <w:rFonts w:asciiTheme="majorHAnsi" w:hAnsiTheme="majorHAnsi"/>
          <w:spacing w:val="1"/>
          <w:sz w:val="20"/>
          <w:szCs w:val="20"/>
        </w:rPr>
        <w:t xml:space="preserve"> </w:t>
      </w:r>
      <w:r w:rsidRPr="000977F7">
        <w:rPr>
          <w:rFonts w:asciiTheme="majorHAnsi" w:hAnsiTheme="majorHAnsi"/>
          <w:sz w:val="20"/>
          <w:szCs w:val="20"/>
        </w:rPr>
        <w:t>важливі</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відповідних</w:t>
      </w:r>
      <w:r w:rsidRPr="000977F7">
        <w:rPr>
          <w:rFonts w:asciiTheme="majorHAnsi" w:hAnsiTheme="majorHAnsi"/>
          <w:spacing w:val="1"/>
          <w:sz w:val="20"/>
          <w:szCs w:val="20"/>
        </w:rPr>
        <w:t xml:space="preserve"> </w:t>
      </w:r>
      <w:r w:rsidRPr="000977F7">
        <w:rPr>
          <w:rFonts w:asciiTheme="majorHAnsi" w:hAnsiTheme="majorHAnsi"/>
          <w:sz w:val="20"/>
          <w:szCs w:val="20"/>
        </w:rPr>
        <w:t>зацікавлених</w:t>
      </w:r>
      <w:r w:rsidRPr="000977F7">
        <w:rPr>
          <w:rFonts w:asciiTheme="majorHAnsi" w:hAnsiTheme="majorHAnsi"/>
          <w:spacing w:val="1"/>
          <w:sz w:val="20"/>
          <w:szCs w:val="20"/>
        </w:rPr>
        <w:t xml:space="preserve"> </w:t>
      </w:r>
      <w:r w:rsidRPr="000977F7">
        <w:rPr>
          <w:rFonts w:asciiTheme="majorHAnsi" w:hAnsiTheme="majorHAnsi"/>
          <w:sz w:val="20"/>
          <w:szCs w:val="20"/>
        </w:rPr>
        <w:t>сторін.</w:t>
      </w:r>
    </w:p>
    <w:p w14:paraId="3150DF23"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pacing w:val="-1"/>
          <w:sz w:val="20"/>
          <w:szCs w:val="20"/>
        </w:rPr>
        <w:t xml:space="preserve">Зауваження, </w:t>
      </w:r>
      <w:r w:rsidRPr="000977F7">
        <w:rPr>
          <w:rFonts w:asciiTheme="majorHAnsi" w:hAnsiTheme="majorHAnsi"/>
          <w:sz w:val="20"/>
          <w:szCs w:val="20"/>
        </w:rPr>
        <w:t>висновки і рекомендації повинні бути</w:t>
      </w:r>
      <w:r w:rsidRPr="000977F7">
        <w:rPr>
          <w:rFonts w:asciiTheme="majorHAnsi" w:hAnsiTheme="majorHAnsi"/>
          <w:spacing w:val="1"/>
          <w:sz w:val="20"/>
          <w:szCs w:val="20"/>
        </w:rPr>
        <w:t xml:space="preserve"> </w:t>
      </w:r>
      <w:r w:rsidRPr="000977F7">
        <w:rPr>
          <w:rFonts w:asciiTheme="majorHAnsi" w:hAnsiTheme="majorHAnsi"/>
          <w:spacing w:val="-4"/>
          <w:sz w:val="20"/>
          <w:szCs w:val="20"/>
        </w:rPr>
        <w:t xml:space="preserve">документовані для виконання необхідних подальших </w:t>
      </w:r>
      <w:r w:rsidRPr="000977F7">
        <w:rPr>
          <w:rFonts w:asciiTheme="majorHAnsi" w:hAnsiTheme="majorHAnsi"/>
          <w:spacing w:val="-3"/>
          <w:sz w:val="20"/>
          <w:szCs w:val="20"/>
        </w:rPr>
        <w:t>дій</w:t>
      </w:r>
      <w:r w:rsidRPr="000977F7">
        <w:rPr>
          <w:rFonts w:asciiTheme="majorHAnsi" w:hAnsiTheme="majorHAnsi"/>
          <w:spacing w:val="-47"/>
          <w:sz w:val="20"/>
          <w:szCs w:val="20"/>
        </w:rPr>
        <w:t xml:space="preserve"> </w:t>
      </w:r>
    </w:p>
    <w:p w14:paraId="068D1AF5"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ISO 14001:2015</w:t>
      </w:r>
    </w:p>
    <w:p w14:paraId="6E4FE94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НАТУРНІ</w:t>
      </w:r>
      <w:r w:rsidRPr="000977F7">
        <w:rPr>
          <w:color w:val="auto"/>
          <w:spacing w:val="-8"/>
          <w:sz w:val="20"/>
          <w:szCs w:val="20"/>
        </w:rPr>
        <w:t xml:space="preserve"> </w:t>
      </w:r>
      <w:r w:rsidRPr="000977F7">
        <w:rPr>
          <w:color w:val="auto"/>
          <w:sz w:val="20"/>
          <w:szCs w:val="20"/>
        </w:rPr>
        <w:t>ВИПРОБУВАННЯ</w:t>
      </w:r>
      <w:r w:rsidRPr="000977F7">
        <w:rPr>
          <w:color w:val="auto"/>
          <w:spacing w:val="-5"/>
          <w:sz w:val="20"/>
          <w:szCs w:val="20"/>
        </w:rPr>
        <w:t xml:space="preserve"> </w:t>
      </w:r>
      <w:r w:rsidRPr="000977F7">
        <w:rPr>
          <w:color w:val="auto"/>
          <w:sz w:val="20"/>
          <w:szCs w:val="20"/>
        </w:rPr>
        <w:t>–</w:t>
      </w:r>
    </w:p>
    <w:p w14:paraId="0AB5B63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VERIFICATION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IN</w:t>
      </w:r>
      <w:r w:rsidRPr="004D2D14">
        <w:rPr>
          <w:rFonts w:asciiTheme="majorHAnsi" w:hAnsiTheme="majorHAnsi"/>
          <w:spacing w:val="-3"/>
          <w:sz w:val="20"/>
          <w:szCs w:val="20"/>
          <w:lang w:val="en-US"/>
        </w:rPr>
        <w:t xml:space="preserve"> NATURE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81D33D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Випробування</w:t>
      </w:r>
      <w:r w:rsidRPr="004D2D14">
        <w:rPr>
          <w:rFonts w:asciiTheme="majorHAnsi" w:hAnsiTheme="majorHAnsi"/>
          <w:spacing w:val="31"/>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r w:rsidRPr="004D2D14">
        <w:rPr>
          <w:rFonts w:asciiTheme="majorHAnsi" w:hAnsiTheme="majorHAnsi"/>
          <w:spacing w:val="34"/>
          <w:sz w:val="20"/>
          <w:szCs w:val="20"/>
          <w:lang w:val="en-US"/>
        </w:rPr>
        <w:t xml:space="preserve"> </w:t>
      </w:r>
      <w:r w:rsidRPr="000977F7">
        <w:rPr>
          <w:rFonts w:asciiTheme="majorHAnsi" w:hAnsiTheme="majorHAnsi"/>
          <w:sz w:val="20"/>
          <w:szCs w:val="20"/>
        </w:rPr>
        <w:t>в</w:t>
      </w:r>
      <w:r w:rsidRPr="004D2D14">
        <w:rPr>
          <w:rFonts w:asciiTheme="majorHAnsi" w:hAnsiTheme="majorHAnsi"/>
          <w:spacing w:val="33"/>
          <w:sz w:val="20"/>
          <w:szCs w:val="20"/>
          <w:lang w:val="en-US"/>
        </w:rPr>
        <w:t xml:space="preserve"> </w:t>
      </w:r>
      <w:r w:rsidRPr="000977F7">
        <w:rPr>
          <w:rFonts w:asciiTheme="majorHAnsi" w:hAnsiTheme="majorHAnsi"/>
          <w:sz w:val="20"/>
          <w:szCs w:val="20"/>
        </w:rPr>
        <w:t>умовах</w:t>
      </w:r>
      <w:r w:rsidRPr="004D2D14">
        <w:rPr>
          <w:rFonts w:asciiTheme="majorHAnsi" w:hAnsiTheme="majorHAnsi"/>
          <w:sz w:val="20"/>
          <w:szCs w:val="20"/>
          <w:lang w:val="en-US"/>
        </w:rPr>
        <w:t>,</w:t>
      </w:r>
      <w:r w:rsidRPr="004D2D14">
        <w:rPr>
          <w:rFonts w:asciiTheme="majorHAnsi" w:hAnsiTheme="majorHAnsi"/>
          <w:spacing w:val="34"/>
          <w:sz w:val="20"/>
          <w:szCs w:val="20"/>
          <w:lang w:val="en-US"/>
        </w:rPr>
        <w:t xml:space="preserve"> </w:t>
      </w:r>
      <w:r w:rsidRPr="000977F7">
        <w:rPr>
          <w:rFonts w:asciiTheme="majorHAnsi" w:hAnsiTheme="majorHAnsi"/>
          <w:sz w:val="20"/>
          <w:szCs w:val="20"/>
        </w:rPr>
        <w:t>які</w:t>
      </w:r>
      <w:r w:rsidRPr="004D2D14">
        <w:rPr>
          <w:rFonts w:asciiTheme="majorHAnsi" w:hAnsiTheme="majorHAnsi"/>
          <w:spacing w:val="33"/>
          <w:sz w:val="20"/>
          <w:szCs w:val="20"/>
          <w:lang w:val="en-US"/>
        </w:rPr>
        <w:t xml:space="preserve"> </w:t>
      </w:r>
      <w:r w:rsidRPr="000977F7">
        <w:rPr>
          <w:rFonts w:asciiTheme="majorHAnsi" w:hAnsiTheme="majorHAnsi"/>
          <w:sz w:val="20"/>
          <w:szCs w:val="20"/>
        </w:rPr>
        <w:t>відповідають</w:t>
      </w:r>
      <w:r w:rsidRPr="004D2D14">
        <w:rPr>
          <w:rFonts w:asciiTheme="majorHAnsi" w:hAnsiTheme="majorHAnsi"/>
          <w:spacing w:val="-47"/>
          <w:sz w:val="20"/>
          <w:szCs w:val="20"/>
          <w:lang w:val="en-US"/>
        </w:rPr>
        <w:t xml:space="preserve"> </w:t>
      </w:r>
      <w:r w:rsidRPr="000977F7">
        <w:rPr>
          <w:rFonts w:asciiTheme="majorHAnsi" w:hAnsiTheme="majorHAnsi"/>
          <w:sz w:val="20"/>
          <w:szCs w:val="20"/>
        </w:rPr>
        <w:t>умовам</w:t>
      </w:r>
      <w:r w:rsidRPr="004D2D14">
        <w:rPr>
          <w:rFonts w:asciiTheme="majorHAnsi" w:hAnsiTheme="majorHAnsi"/>
          <w:spacing w:val="1"/>
          <w:sz w:val="20"/>
          <w:szCs w:val="20"/>
          <w:lang w:val="en-US"/>
        </w:rPr>
        <w:t xml:space="preserve"> </w:t>
      </w:r>
      <w:r w:rsidRPr="000977F7">
        <w:rPr>
          <w:rFonts w:asciiTheme="majorHAnsi" w:hAnsiTheme="majorHAnsi"/>
          <w:sz w:val="20"/>
          <w:szCs w:val="20"/>
        </w:rPr>
        <w:t>його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використання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згідно</w:t>
      </w:r>
      <w:r w:rsidRPr="004D2D14">
        <w:rPr>
          <w:rFonts w:asciiTheme="majorHAnsi" w:hAnsiTheme="majorHAnsi"/>
          <w:spacing w:val="1"/>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прямим</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призначенням</w:t>
      </w:r>
      <w:r w:rsidRPr="004D2D14">
        <w:rPr>
          <w:rFonts w:asciiTheme="majorHAnsi" w:hAnsiTheme="majorHAnsi"/>
          <w:spacing w:val="1"/>
          <w:sz w:val="20"/>
          <w:szCs w:val="20"/>
          <w:lang w:val="en-US"/>
        </w:rPr>
        <w:t xml:space="preserve"> </w:t>
      </w:r>
      <w:r w:rsidRPr="000977F7">
        <w:rPr>
          <w:rFonts w:asciiTheme="majorHAnsi" w:hAnsiTheme="majorHAnsi"/>
          <w:sz w:val="20"/>
          <w:szCs w:val="20"/>
        </w:rPr>
        <w:t>з</w:t>
      </w:r>
      <w:r w:rsidRPr="004D2D14">
        <w:rPr>
          <w:rFonts w:asciiTheme="majorHAnsi" w:hAnsiTheme="majorHAnsi"/>
          <w:spacing w:val="1"/>
          <w:sz w:val="20"/>
          <w:szCs w:val="20"/>
          <w:lang w:val="en-US"/>
        </w:rPr>
        <w:t xml:space="preserve"> </w:t>
      </w:r>
      <w:r w:rsidRPr="000977F7">
        <w:rPr>
          <w:rFonts w:asciiTheme="majorHAnsi" w:hAnsiTheme="majorHAnsi"/>
          <w:sz w:val="20"/>
          <w:szCs w:val="20"/>
        </w:rPr>
        <w:t>безпосереднім</w:t>
      </w:r>
      <w:r w:rsidRPr="004D2D14">
        <w:rPr>
          <w:rFonts w:asciiTheme="majorHAnsi" w:hAnsiTheme="majorHAnsi"/>
          <w:spacing w:val="1"/>
          <w:sz w:val="20"/>
          <w:szCs w:val="20"/>
          <w:lang w:val="en-US"/>
        </w:rPr>
        <w:t xml:space="preserve"> </w:t>
      </w:r>
      <w:r w:rsidRPr="000977F7">
        <w:rPr>
          <w:rFonts w:asciiTheme="majorHAnsi" w:hAnsiTheme="majorHAnsi"/>
          <w:sz w:val="20"/>
          <w:szCs w:val="20"/>
        </w:rPr>
        <w:t>оцінюванням</w:t>
      </w:r>
      <w:r w:rsidRPr="004D2D14">
        <w:rPr>
          <w:rFonts w:asciiTheme="majorHAnsi" w:hAnsiTheme="majorHAnsi"/>
          <w:spacing w:val="1"/>
          <w:sz w:val="20"/>
          <w:szCs w:val="20"/>
          <w:lang w:val="en-US"/>
        </w:rPr>
        <w:t xml:space="preserve"> </w:t>
      </w:r>
      <w:r w:rsidRPr="000977F7">
        <w:rPr>
          <w:rFonts w:asciiTheme="majorHAnsi" w:hAnsiTheme="majorHAnsi"/>
          <w:sz w:val="20"/>
          <w:szCs w:val="20"/>
        </w:rPr>
        <w:t>чи</w:t>
      </w:r>
      <w:r w:rsidRPr="004D2D14">
        <w:rPr>
          <w:rFonts w:asciiTheme="majorHAnsi" w:hAnsiTheme="majorHAnsi"/>
          <w:spacing w:val="1"/>
          <w:sz w:val="20"/>
          <w:szCs w:val="20"/>
          <w:lang w:val="en-US"/>
        </w:rPr>
        <w:t xml:space="preserve"> </w:t>
      </w:r>
      <w:r w:rsidRPr="000977F7">
        <w:rPr>
          <w:rFonts w:asciiTheme="majorHAnsi" w:hAnsiTheme="majorHAnsi"/>
          <w:sz w:val="20"/>
          <w:szCs w:val="20"/>
        </w:rPr>
        <w:t>контролем</w:t>
      </w:r>
      <w:r w:rsidRPr="004D2D14">
        <w:rPr>
          <w:rFonts w:asciiTheme="majorHAnsi" w:hAnsiTheme="majorHAnsi"/>
          <w:spacing w:val="-47"/>
          <w:sz w:val="20"/>
          <w:szCs w:val="20"/>
          <w:lang w:val="en-US"/>
        </w:rPr>
        <w:t xml:space="preserve"> </w:t>
      </w:r>
      <w:r w:rsidRPr="000977F7">
        <w:rPr>
          <w:rFonts w:asciiTheme="majorHAnsi" w:hAnsiTheme="majorHAnsi"/>
          <w:sz w:val="20"/>
          <w:szCs w:val="20"/>
        </w:rPr>
        <w:t>визначуваних</w:t>
      </w:r>
      <w:r w:rsidRPr="004D2D14">
        <w:rPr>
          <w:rFonts w:asciiTheme="majorHAnsi" w:hAnsiTheme="majorHAnsi"/>
          <w:spacing w:val="1"/>
          <w:sz w:val="20"/>
          <w:szCs w:val="20"/>
          <w:lang w:val="en-US"/>
        </w:rPr>
        <w:t xml:space="preserve"> </w:t>
      </w:r>
      <w:r w:rsidRPr="000977F7">
        <w:rPr>
          <w:rFonts w:asciiTheme="majorHAnsi" w:hAnsiTheme="majorHAnsi"/>
          <w:sz w:val="20"/>
          <w:szCs w:val="20"/>
        </w:rPr>
        <w:t>характеристик</w:t>
      </w:r>
      <w:r w:rsidRPr="004D2D14">
        <w:rPr>
          <w:rFonts w:asciiTheme="majorHAnsi" w:hAnsiTheme="majorHAnsi"/>
          <w:sz w:val="20"/>
          <w:szCs w:val="20"/>
          <w:lang w:val="en-US"/>
        </w:rPr>
        <w:t xml:space="preserve"> </w:t>
      </w:r>
      <w:r w:rsidRPr="000977F7">
        <w:rPr>
          <w:rFonts w:asciiTheme="majorHAnsi" w:hAnsiTheme="majorHAnsi"/>
          <w:sz w:val="20"/>
          <w:szCs w:val="20"/>
        </w:rPr>
        <w:t>властивостей</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p>
    <w:p w14:paraId="135A148D"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2"/>
          <w:sz w:val="20"/>
          <w:szCs w:val="20"/>
        </w:rPr>
        <w:t xml:space="preserve"> </w:t>
      </w:r>
      <w:r w:rsidRPr="000977F7">
        <w:rPr>
          <w:rFonts w:asciiTheme="majorHAnsi" w:hAnsiTheme="majorHAnsi"/>
          <w:i/>
          <w:sz w:val="20"/>
          <w:szCs w:val="20"/>
        </w:rPr>
        <w:t>– 95</w:t>
      </w:r>
    </w:p>
    <w:p w14:paraId="01D3121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НАЦІОНАЛЬНА</w:t>
      </w:r>
      <w:r w:rsidRPr="000977F7">
        <w:rPr>
          <w:color w:val="auto"/>
          <w:spacing w:val="-5"/>
          <w:sz w:val="20"/>
          <w:szCs w:val="20"/>
        </w:rPr>
        <w:t xml:space="preserve"> </w:t>
      </w:r>
      <w:r w:rsidRPr="000977F7">
        <w:rPr>
          <w:color w:val="auto"/>
          <w:sz w:val="20"/>
          <w:szCs w:val="20"/>
        </w:rPr>
        <w:t>ВАЛЮТА</w:t>
      </w:r>
      <w:r w:rsidRPr="000977F7">
        <w:rPr>
          <w:color w:val="auto"/>
          <w:spacing w:val="-2"/>
          <w:sz w:val="20"/>
          <w:szCs w:val="20"/>
        </w:rPr>
        <w:t xml:space="preserve"> </w:t>
      </w:r>
      <w:r w:rsidRPr="000977F7">
        <w:rPr>
          <w:color w:val="auto"/>
          <w:sz w:val="20"/>
          <w:szCs w:val="20"/>
        </w:rPr>
        <w:t>–</w:t>
      </w:r>
    </w:p>
    <w:p w14:paraId="196A681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Грошова одиниця певної країни, використовувана в</w:t>
      </w:r>
      <w:r w:rsidRPr="000977F7">
        <w:rPr>
          <w:rFonts w:asciiTheme="majorHAnsi" w:hAnsiTheme="majorHAnsi"/>
          <w:spacing w:val="1"/>
          <w:sz w:val="20"/>
          <w:szCs w:val="20"/>
        </w:rPr>
        <w:t xml:space="preserve"> </w:t>
      </w:r>
      <w:r w:rsidRPr="000977F7">
        <w:rPr>
          <w:rFonts w:asciiTheme="majorHAnsi" w:hAnsiTheme="majorHAnsi"/>
          <w:sz w:val="20"/>
          <w:szCs w:val="20"/>
        </w:rPr>
        <w:t>зовнішньоекономічних зв’язках та міжнародних розрахунках</w:t>
      </w:r>
      <w:r w:rsidRPr="000977F7">
        <w:rPr>
          <w:rFonts w:asciiTheme="majorHAnsi" w:hAnsiTheme="majorHAnsi"/>
          <w:spacing w:val="-2"/>
          <w:sz w:val="20"/>
          <w:szCs w:val="20"/>
        </w:rPr>
        <w:t xml:space="preserve"> </w:t>
      </w:r>
      <w:r w:rsidRPr="000977F7">
        <w:rPr>
          <w:rFonts w:asciiTheme="majorHAnsi" w:hAnsiTheme="majorHAnsi"/>
          <w:sz w:val="20"/>
          <w:szCs w:val="20"/>
        </w:rPr>
        <w:t>з іншими</w:t>
      </w:r>
      <w:r w:rsidRPr="000977F7">
        <w:rPr>
          <w:rFonts w:asciiTheme="majorHAnsi" w:hAnsiTheme="majorHAnsi"/>
          <w:spacing w:val="1"/>
          <w:sz w:val="20"/>
          <w:szCs w:val="20"/>
        </w:rPr>
        <w:t xml:space="preserve"> </w:t>
      </w:r>
      <w:r w:rsidRPr="000977F7">
        <w:rPr>
          <w:rFonts w:asciiTheme="majorHAnsi" w:hAnsiTheme="majorHAnsi"/>
          <w:sz w:val="20"/>
          <w:szCs w:val="20"/>
        </w:rPr>
        <w:t>країнами</w:t>
      </w:r>
    </w:p>
    <w:p w14:paraId="2227B20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7E61441" w14:textId="77777777" w:rsidR="0097612F" w:rsidRPr="000977F7" w:rsidRDefault="0097612F" w:rsidP="000977F7">
      <w:pPr>
        <w:pStyle w:val="7"/>
        <w:tabs>
          <w:tab w:val="left" w:pos="284"/>
        </w:tabs>
        <w:spacing w:before="0" w:line="240" w:lineRule="auto"/>
        <w:ind w:left="170"/>
        <w:mirrorIndents/>
        <w:jc w:val="both"/>
        <w:rPr>
          <w:color w:val="auto"/>
          <w:spacing w:val="2"/>
          <w:sz w:val="20"/>
          <w:szCs w:val="20"/>
        </w:rPr>
      </w:pPr>
      <w:r w:rsidRPr="000977F7">
        <w:rPr>
          <w:color w:val="auto"/>
          <w:sz w:val="20"/>
          <w:szCs w:val="20"/>
        </w:rPr>
        <w:t>НАУКОВО</w:t>
      </w:r>
      <w:r w:rsidRPr="000977F7">
        <w:rPr>
          <w:color w:val="auto"/>
          <w:spacing w:val="4"/>
          <w:sz w:val="20"/>
          <w:szCs w:val="20"/>
        </w:rPr>
        <w:t xml:space="preserve"> </w:t>
      </w:r>
      <w:r w:rsidRPr="000977F7">
        <w:rPr>
          <w:color w:val="auto"/>
          <w:sz w:val="20"/>
          <w:szCs w:val="20"/>
        </w:rPr>
        <w:t>–</w:t>
      </w:r>
      <w:r w:rsidRPr="000977F7">
        <w:rPr>
          <w:color w:val="auto"/>
          <w:spacing w:val="3"/>
          <w:sz w:val="20"/>
          <w:szCs w:val="20"/>
        </w:rPr>
        <w:t xml:space="preserve"> </w:t>
      </w:r>
      <w:r w:rsidRPr="000977F7">
        <w:rPr>
          <w:color w:val="auto"/>
          <w:sz w:val="20"/>
          <w:szCs w:val="20"/>
        </w:rPr>
        <w:t>ДОСЛІДНА</w:t>
      </w:r>
      <w:r w:rsidRPr="000977F7">
        <w:rPr>
          <w:color w:val="auto"/>
          <w:spacing w:val="4"/>
          <w:sz w:val="20"/>
          <w:szCs w:val="20"/>
        </w:rPr>
        <w:t xml:space="preserve"> </w:t>
      </w:r>
      <w:r w:rsidRPr="000977F7">
        <w:rPr>
          <w:color w:val="auto"/>
          <w:sz w:val="20"/>
          <w:szCs w:val="20"/>
        </w:rPr>
        <w:t>РОБОТА</w:t>
      </w:r>
      <w:r w:rsidRPr="000977F7">
        <w:rPr>
          <w:color w:val="auto"/>
          <w:spacing w:val="2"/>
          <w:sz w:val="20"/>
          <w:szCs w:val="20"/>
        </w:rPr>
        <w:t xml:space="preserve"> </w:t>
      </w:r>
      <w:r w:rsidRPr="000977F7">
        <w:rPr>
          <w:color w:val="auto"/>
          <w:sz w:val="20"/>
          <w:szCs w:val="20"/>
        </w:rPr>
        <w:t>НАД</w:t>
      </w:r>
      <w:r w:rsidRPr="000977F7">
        <w:rPr>
          <w:color w:val="auto"/>
          <w:spacing w:val="2"/>
          <w:sz w:val="20"/>
          <w:szCs w:val="20"/>
        </w:rPr>
        <w:t xml:space="preserve"> </w:t>
      </w:r>
    </w:p>
    <w:p w14:paraId="00A3EDA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СТВО</w:t>
      </w:r>
      <w:r w:rsidRPr="000977F7">
        <w:rPr>
          <w:color w:val="auto"/>
          <w:spacing w:val="-47"/>
          <w:sz w:val="20"/>
          <w:szCs w:val="20"/>
        </w:rPr>
        <w:t xml:space="preserve"> </w:t>
      </w:r>
      <w:r w:rsidRPr="000977F7">
        <w:rPr>
          <w:color w:val="auto"/>
          <w:sz w:val="20"/>
          <w:szCs w:val="20"/>
        </w:rPr>
        <w:t>РЕННЯМ</w:t>
      </w:r>
      <w:r w:rsidRPr="000977F7">
        <w:rPr>
          <w:color w:val="auto"/>
          <w:spacing w:val="3"/>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2BE1436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Сукупність робіт, які виконують з метою пошуку перспективних принципів та шляхів створення нової 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модернізації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виготовлюваної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продукції</w:t>
      </w:r>
    </w:p>
    <w:p w14:paraId="7BE30262"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3278</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95</w:t>
      </w:r>
    </w:p>
    <w:p w14:paraId="4EDF51A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НАУКОВО</w:t>
      </w:r>
      <w:r w:rsidRPr="000977F7">
        <w:rPr>
          <w:color w:val="auto"/>
          <w:spacing w:val="-3"/>
          <w:sz w:val="20"/>
          <w:szCs w:val="20"/>
        </w:rPr>
        <w:t xml:space="preserve"> </w:t>
      </w:r>
      <w:r w:rsidRPr="000977F7">
        <w:rPr>
          <w:color w:val="auto"/>
          <w:sz w:val="20"/>
          <w:szCs w:val="20"/>
        </w:rPr>
        <w:t>–</w:t>
      </w:r>
      <w:r w:rsidRPr="000977F7">
        <w:rPr>
          <w:color w:val="auto"/>
          <w:spacing w:val="-4"/>
          <w:sz w:val="20"/>
          <w:szCs w:val="20"/>
        </w:rPr>
        <w:t xml:space="preserve"> </w:t>
      </w:r>
      <w:r w:rsidRPr="000977F7">
        <w:rPr>
          <w:color w:val="auto"/>
          <w:sz w:val="20"/>
          <w:szCs w:val="20"/>
        </w:rPr>
        <w:t>ДОСЛІДНЕ</w:t>
      </w:r>
      <w:r w:rsidRPr="000977F7">
        <w:rPr>
          <w:color w:val="auto"/>
          <w:spacing w:val="-4"/>
          <w:sz w:val="20"/>
          <w:szCs w:val="20"/>
        </w:rPr>
        <w:t xml:space="preserve"> </w:t>
      </w:r>
      <w:r w:rsidRPr="000977F7">
        <w:rPr>
          <w:color w:val="auto"/>
          <w:sz w:val="20"/>
          <w:szCs w:val="20"/>
        </w:rPr>
        <w:t>РОЗРОБЛЕННЯ–</w:t>
      </w:r>
    </w:p>
    <w:p w14:paraId="684BCF5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Частина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підготовлення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виробництва,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полягає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проведенні прикладних досліджень, пов’язаних з удосконаленням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техніки,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технології,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складу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застосовуваних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матеріалів,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організації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виробництва,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праці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керування</w:t>
      </w:r>
    </w:p>
    <w:p w14:paraId="3F5D9FA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5C3D212" w14:textId="77777777" w:rsidR="0097612F" w:rsidRPr="000977F7" w:rsidRDefault="0097612F" w:rsidP="000977F7">
      <w:pPr>
        <w:pStyle w:val="7"/>
        <w:tabs>
          <w:tab w:val="left" w:pos="284"/>
        </w:tabs>
        <w:spacing w:before="0" w:line="240" w:lineRule="auto"/>
        <w:ind w:left="170"/>
        <w:mirrorIndents/>
        <w:jc w:val="both"/>
        <w:rPr>
          <w:color w:val="auto"/>
          <w:spacing w:val="-2"/>
          <w:sz w:val="20"/>
          <w:szCs w:val="20"/>
        </w:rPr>
      </w:pPr>
      <w:r w:rsidRPr="000977F7">
        <w:rPr>
          <w:color w:val="auto"/>
          <w:sz w:val="20"/>
          <w:szCs w:val="20"/>
        </w:rPr>
        <w:t>НАУКОВО</w:t>
      </w:r>
      <w:r w:rsidRPr="000977F7">
        <w:rPr>
          <w:color w:val="auto"/>
          <w:spacing w:val="-2"/>
          <w:sz w:val="20"/>
          <w:szCs w:val="20"/>
        </w:rPr>
        <w:t xml:space="preserve"> </w:t>
      </w:r>
      <w:r w:rsidRPr="000977F7">
        <w:rPr>
          <w:color w:val="auto"/>
          <w:sz w:val="20"/>
          <w:szCs w:val="20"/>
        </w:rPr>
        <w:t>–</w:t>
      </w:r>
      <w:r w:rsidRPr="000977F7">
        <w:rPr>
          <w:color w:val="auto"/>
          <w:spacing w:val="-2"/>
          <w:sz w:val="20"/>
          <w:szCs w:val="20"/>
        </w:rPr>
        <w:t xml:space="preserve"> </w:t>
      </w:r>
      <w:r w:rsidRPr="000977F7">
        <w:rPr>
          <w:color w:val="auto"/>
          <w:sz w:val="20"/>
          <w:szCs w:val="20"/>
        </w:rPr>
        <w:t>ТЕХНІЧНИЙ</w:t>
      </w:r>
      <w:r w:rsidRPr="000977F7">
        <w:rPr>
          <w:color w:val="auto"/>
          <w:spacing w:val="-3"/>
          <w:sz w:val="20"/>
          <w:szCs w:val="20"/>
        </w:rPr>
        <w:t xml:space="preserve"> </w:t>
      </w:r>
      <w:r w:rsidRPr="000977F7">
        <w:rPr>
          <w:color w:val="auto"/>
          <w:sz w:val="20"/>
          <w:szCs w:val="20"/>
        </w:rPr>
        <w:t>ЗВІТ</w:t>
      </w:r>
      <w:r w:rsidRPr="000977F7">
        <w:rPr>
          <w:color w:val="auto"/>
          <w:spacing w:val="-4"/>
          <w:sz w:val="20"/>
          <w:szCs w:val="20"/>
        </w:rPr>
        <w:t xml:space="preserve"> </w:t>
      </w:r>
      <w:r w:rsidRPr="000977F7">
        <w:rPr>
          <w:color w:val="auto"/>
          <w:sz w:val="20"/>
          <w:szCs w:val="20"/>
        </w:rPr>
        <w:t>ПРО</w:t>
      </w:r>
      <w:r w:rsidRPr="000977F7">
        <w:rPr>
          <w:color w:val="auto"/>
          <w:spacing w:val="-2"/>
          <w:sz w:val="20"/>
          <w:szCs w:val="20"/>
        </w:rPr>
        <w:t xml:space="preserve"> </w:t>
      </w:r>
    </w:p>
    <w:p w14:paraId="445EB9AE" w14:textId="77777777" w:rsidR="0097612F" w:rsidRPr="000977F7" w:rsidRDefault="0097612F" w:rsidP="000977F7">
      <w:pPr>
        <w:pStyle w:val="7"/>
        <w:tabs>
          <w:tab w:val="left" w:pos="284"/>
        </w:tabs>
        <w:spacing w:before="0" w:line="240" w:lineRule="auto"/>
        <w:ind w:left="170"/>
        <w:mirrorIndents/>
        <w:jc w:val="both"/>
        <w:rPr>
          <w:bCs/>
          <w:color w:val="auto"/>
          <w:spacing w:val="-3"/>
          <w:sz w:val="20"/>
          <w:szCs w:val="20"/>
        </w:rPr>
      </w:pPr>
      <w:r w:rsidRPr="000977F7">
        <w:rPr>
          <w:color w:val="auto"/>
          <w:sz w:val="20"/>
          <w:szCs w:val="20"/>
        </w:rPr>
        <w:t xml:space="preserve">НАУКОВО </w:t>
      </w:r>
      <w:r w:rsidRPr="000977F7">
        <w:rPr>
          <w:b w:val="0"/>
          <w:color w:val="auto"/>
          <w:sz w:val="20"/>
          <w:szCs w:val="20"/>
        </w:rPr>
        <w:t>–</w:t>
      </w:r>
      <w:r w:rsidRPr="000977F7">
        <w:rPr>
          <w:b w:val="0"/>
          <w:color w:val="auto"/>
          <w:spacing w:val="-3"/>
          <w:sz w:val="20"/>
          <w:szCs w:val="20"/>
        </w:rPr>
        <w:t xml:space="preserve"> </w:t>
      </w:r>
      <w:r w:rsidRPr="000977F7">
        <w:rPr>
          <w:bCs/>
          <w:color w:val="auto"/>
          <w:sz w:val="20"/>
          <w:szCs w:val="20"/>
        </w:rPr>
        <w:t>ДОСЛІДНУ</w:t>
      </w:r>
      <w:r w:rsidRPr="000977F7">
        <w:rPr>
          <w:bCs/>
          <w:color w:val="auto"/>
          <w:spacing w:val="-4"/>
          <w:sz w:val="20"/>
          <w:szCs w:val="20"/>
        </w:rPr>
        <w:t xml:space="preserve"> </w:t>
      </w:r>
      <w:r w:rsidRPr="000977F7">
        <w:rPr>
          <w:bCs/>
          <w:color w:val="auto"/>
          <w:sz w:val="20"/>
          <w:szCs w:val="20"/>
        </w:rPr>
        <w:t>РОБОТУ</w:t>
      </w:r>
      <w:r w:rsidRPr="000977F7">
        <w:rPr>
          <w:bCs/>
          <w:color w:val="auto"/>
          <w:spacing w:val="-3"/>
          <w:sz w:val="20"/>
          <w:szCs w:val="20"/>
        </w:rPr>
        <w:t xml:space="preserve"> </w:t>
      </w:r>
    </w:p>
    <w:p w14:paraId="01062A7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bCs/>
          <w:color w:val="auto"/>
          <w:sz w:val="20"/>
          <w:szCs w:val="20"/>
        </w:rPr>
        <w:t>(ДОСЛІДНО –</w:t>
      </w:r>
      <w:r w:rsidRPr="000977F7">
        <w:rPr>
          <w:bCs/>
          <w:color w:val="auto"/>
          <w:spacing w:val="-3"/>
          <w:sz w:val="20"/>
          <w:szCs w:val="20"/>
        </w:rPr>
        <w:t xml:space="preserve"> </w:t>
      </w:r>
      <w:r w:rsidRPr="000977F7">
        <w:rPr>
          <w:bCs/>
          <w:color w:val="auto"/>
          <w:sz w:val="20"/>
          <w:szCs w:val="20"/>
        </w:rPr>
        <w:t>КОНС</w:t>
      </w:r>
      <w:r w:rsidRPr="000977F7">
        <w:rPr>
          <w:color w:val="auto"/>
          <w:sz w:val="20"/>
          <w:szCs w:val="20"/>
        </w:rPr>
        <w:t>ТРУКТОРСЬКУ РОБОТУ; ДОСЛІДНО – ТЕХ</w:t>
      </w:r>
      <w:r w:rsidRPr="000977F7">
        <w:rPr>
          <w:color w:val="auto"/>
          <w:spacing w:val="-48"/>
          <w:sz w:val="20"/>
          <w:szCs w:val="20"/>
        </w:rPr>
        <w:t xml:space="preserve"> </w:t>
      </w:r>
      <w:r w:rsidRPr="000977F7">
        <w:rPr>
          <w:color w:val="auto"/>
          <w:sz w:val="20"/>
          <w:szCs w:val="20"/>
        </w:rPr>
        <w:t>НОЛОГІЧНУ</w:t>
      </w:r>
      <w:r w:rsidRPr="000977F7">
        <w:rPr>
          <w:color w:val="auto"/>
          <w:spacing w:val="-1"/>
          <w:sz w:val="20"/>
          <w:szCs w:val="20"/>
        </w:rPr>
        <w:t xml:space="preserve"> </w:t>
      </w:r>
      <w:r w:rsidRPr="000977F7">
        <w:rPr>
          <w:color w:val="auto"/>
          <w:sz w:val="20"/>
          <w:szCs w:val="20"/>
        </w:rPr>
        <w:t>РОБОТУ)</w:t>
      </w:r>
      <w:r w:rsidRPr="000977F7">
        <w:rPr>
          <w:color w:val="auto"/>
          <w:spacing w:val="3"/>
          <w:sz w:val="20"/>
          <w:szCs w:val="20"/>
        </w:rPr>
        <w:t xml:space="preserve"> </w:t>
      </w:r>
      <w:r w:rsidRPr="000977F7">
        <w:rPr>
          <w:color w:val="auto"/>
          <w:sz w:val="20"/>
          <w:szCs w:val="20"/>
        </w:rPr>
        <w:t>–</w:t>
      </w:r>
    </w:p>
    <w:p w14:paraId="64970F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документів, які містять систематизовану</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інформацію про виконану науково – дослідну роботу</w:t>
      </w:r>
      <w:r w:rsidRPr="000977F7">
        <w:rPr>
          <w:rFonts w:asciiTheme="majorHAnsi" w:hAnsiTheme="majorHAnsi"/>
          <w:spacing w:val="1"/>
          <w:sz w:val="20"/>
          <w:szCs w:val="20"/>
        </w:rPr>
        <w:t xml:space="preserve"> </w:t>
      </w:r>
      <w:r w:rsidRPr="000977F7">
        <w:rPr>
          <w:rFonts w:asciiTheme="majorHAnsi" w:hAnsiTheme="majorHAnsi"/>
          <w:sz w:val="20"/>
          <w:szCs w:val="20"/>
        </w:rPr>
        <w:t>(дослідно – конструкторську роботу; дослідно – технологічну</w:t>
      </w:r>
      <w:r w:rsidRPr="000977F7">
        <w:rPr>
          <w:rFonts w:asciiTheme="majorHAnsi" w:hAnsiTheme="majorHAnsi"/>
          <w:spacing w:val="-2"/>
          <w:sz w:val="20"/>
          <w:szCs w:val="20"/>
        </w:rPr>
        <w:t xml:space="preserve"> </w:t>
      </w:r>
      <w:r w:rsidRPr="000977F7">
        <w:rPr>
          <w:rFonts w:asciiTheme="majorHAnsi" w:hAnsiTheme="majorHAnsi"/>
          <w:sz w:val="20"/>
          <w:szCs w:val="20"/>
        </w:rPr>
        <w:t>роботу) та</w:t>
      </w:r>
      <w:r w:rsidRPr="000977F7">
        <w:rPr>
          <w:rFonts w:asciiTheme="majorHAnsi" w:hAnsiTheme="majorHAnsi"/>
          <w:spacing w:val="-1"/>
          <w:sz w:val="20"/>
          <w:szCs w:val="20"/>
        </w:rPr>
        <w:t xml:space="preserve"> </w:t>
      </w:r>
      <w:r w:rsidRPr="000977F7">
        <w:rPr>
          <w:rFonts w:asciiTheme="majorHAnsi" w:hAnsiTheme="majorHAnsi"/>
          <w:sz w:val="20"/>
          <w:szCs w:val="20"/>
        </w:rPr>
        <w:t>(або) її</w:t>
      </w:r>
      <w:r w:rsidRPr="000977F7">
        <w:rPr>
          <w:rFonts w:asciiTheme="majorHAnsi" w:hAnsiTheme="majorHAnsi"/>
          <w:spacing w:val="1"/>
          <w:sz w:val="20"/>
          <w:szCs w:val="20"/>
        </w:rPr>
        <w:t xml:space="preserve"> </w:t>
      </w:r>
      <w:r w:rsidRPr="000977F7">
        <w:rPr>
          <w:rFonts w:asciiTheme="majorHAnsi" w:hAnsiTheme="majorHAnsi"/>
          <w:sz w:val="20"/>
          <w:szCs w:val="20"/>
        </w:rPr>
        <w:t>етапи</w:t>
      </w:r>
    </w:p>
    <w:p w14:paraId="124A35D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3278</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44003007"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НАЦІОНАЛЬНА</w:t>
      </w:r>
      <w:r w:rsidRPr="004D2D14">
        <w:rPr>
          <w:rFonts w:asciiTheme="majorHAnsi" w:hAnsiTheme="majorHAnsi"/>
          <w:b/>
          <w:spacing w:val="-9"/>
          <w:sz w:val="20"/>
          <w:szCs w:val="20"/>
          <w:lang w:val="en-US"/>
        </w:rPr>
        <w:t xml:space="preserve"> </w:t>
      </w:r>
      <w:r w:rsidRPr="000977F7">
        <w:rPr>
          <w:rFonts w:asciiTheme="majorHAnsi" w:hAnsiTheme="majorHAnsi"/>
          <w:b/>
          <w:sz w:val="20"/>
          <w:szCs w:val="20"/>
        </w:rPr>
        <w:t>СТАНДАРТИЗАЦІЯ</w:t>
      </w:r>
      <w:r w:rsidRPr="004D2D14">
        <w:rPr>
          <w:rFonts w:asciiTheme="majorHAnsi" w:hAnsiTheme="majorHAnsi"/>
          <w:b/>
          <w:spacing w:val="-7"/>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NATIONAL</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STANDARDIZATION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563F5BD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Стандартизація,</w:t>
      </w:r>
      <w:r w:rsidRPr="000977F7">
        <w:rPr>
          <w:rFonts w:asciiTheme="majorHAnsi" w:hAnsiTheme="majorHAnsi"/>
          <w:spacing w:val="-4"/>
          <w:sz w:val="20"/>
          <w:szCs w:val="20"/>
        </w:rPr>
        <w:t xml:space="preserve"> </w:t>
      </w:r>
      <w:r w:rsidRPr="000977F7">
        <w:rPr>
          <w:rFonts w:asciiTheme="majorHAnsi" w:hAnsiTheme="majorHAnsi"/>
          <w:sz w:val="20"/>
          <w:szCs w:val="20"/>
        </w:rPr>
        <w:t>що</w:t>
      </w:r>
      <w:r w:rsidRPr="000977F7">
        <w:rPr>
          <w:rFonts w:asciiTheme="majorHAnsi" w:hAnsiTheme="majorHAnsi"/>
          <w:spacing w:val="-3"/>
          <w:sz w:val="20"/>
          <w:szCs w:val="20"/>
        </w:rPr>
        <w:t xml:space="preserve"> </w:t>
      </w:r>
      <w:r w:rsidRPr="000977F7">
        <w:rPr>
          <w:rFonts w:asciiTheme="majorHAnsi" w:hAnsiTheme="majorHAnsi"/>
          <w:sz w:val="20"/>
          <w:szCs w:val="20"/>
        </w:rPr>
        <w:t>проводиться</w:t>
      </w:r>
      <w:r w:rsidRPr="000977F7">
        <w:rPr>
          <w:rFonts w:asciiTheme="majorHAnsi" w:hAnsiTheme="majorHAnsi"/>
          <w:spacing w:val="-4"/>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рівні</w:t>
      </w:r>
      <w:r w:rsidRPr="000977F7">
        <w:rPr>
          <w:rFonts w:asciiTheme="majorHAnsi" w:hAnsiTheme="majorHAnsi"/>
          <w:spacing w:val="-5"/>
          <w:sz w:val="20"/>
          <w:szCs w:val="20"/>
        </w:rPr>
        <w:t xml:space="preserve"> </w:t>
      </w:r>
      <w:r w:rsidRPr="000977F7">
        <w:rPr>
          <w:rFonts w:asciiTheme="majorHAnsi" w:hAnsiTheme="majorHAnsi"/>
          <w:sz w:val="20"/>
          <w:szCs w:val="20"/>
        </w:rPr>
        <w:t>однієї</w:t>
      </w:r>
      <w:r w:rsidRPr="000977F7">
        <w:rPr>
          <w:rFonts w:asciiTheme="majorHAnsi" w:hAnsiTheme="majorHAnsi"/>
          <w:spacing w:val="-4"/>
          <w:sz w:val="20"/>
          <w:szCs w:val="20"/>
        </w:rPr>
        <w:t xml:space="preserve"> </w:t>
      </w:r>
      <w:r w:rsidRPr="000977F7">
        <w:rPr>
          <w:rFonts w:asciiTheme="majorHAnsi" w:hAnsiTheme="majorHAnsi"/>
          <w:sz w:val="20"/>
          <w:szCs w:val="20"/>
        </w:rPr>
        <w:t>країни</w:t>
      </w:r>
    </w:p>
    <w:p w14:paraId="57B395D5"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i/>
          <w:sz w:val="20"/>
          <w:szCs w:val="20"/>
        </w:rPr>
        <w:t>Закон України "Про стандартизацію"‖</w:t>
      </w:r>
      <w:r w:rsidRPr="000977F7">
        <w:rPr>
          <w:rFonts w:asciiTheme="majorHAnsi" w:hAnsiTheme="majorHAnsi"/>
          <w:i/>
          <w:spacing w:val="1"/>
          <w:sz w:val="20"/>
          <w:szCs w:val="20"/>
        </w:rPr>
        <w:t xml:space="preserve"> </w:t>
      </w:r>
      <w:r w:rsidRPr="000977F7">
        <w:rPr>
          <w:rFonts w:asciiTheme="majorHAnsi" w:hAnsiTheme="majorHAnsi"/>
          <w:b/>
          <w:sz w:val="20"/>
          <w:szCs w:val="20"/>
        </w:rPr>
        <w:t>НАЦІОНАЛЬНИЙ</w:t>
      </w:r>
      <w:r w:rsidRPr="000977F7">
        <w:rPr>
          <w:rFonts w:asciiTheme="majorHAnsi" w:hAnsiTheme="majorHAnsi"/>
          <w:b/>
          <w:spacing w:val="-1"/>
          <w:sz w:val="20"/>
          <w:szCs w:val="20"/>
        </w:rPr>
        <w:t xml:space="preserve"> </w:t>
      </w:r>
      <w:r w:rsidRPr="000977F7">
        <w:rPr>
          <w:rFonts w:asciiTheme="majorHAnsi" w:hAnsiTheme="majorHAnsi"/>
          <w:b/>
          <w:sz w:val="20"/>
          <w:szCs w:val="20"/>
        </w:rPr>
        <w:t>ЗНАК</w:t>
      </w:r>
      <w:r w:rsidRPr="000977F7">
        <w:rPr>
          <w:rFonts w:asciiTheme="majorHAnsi" w:hAnsiTheme="majorHAnsi"/>
          <w:b/>
          <w:spacing w:val="-2"/>
          <w:sz w:val="20"/>
          <w:szCs w:val="20"/>
        </w:rPr>
        <w:t xml:space="preserve"> </w:t>
      </w:r>
      <w:r w:rsidRPr="000977F7">
        <w:rPr>
          <w:rFonts w:asciiTheme="majorHAnsi" w:hAnsiTheme="majorHAnsi"/>
          <w:b/>
          <w:sz w:val="20"/>
          <w:szCs w:val="20"/>
        </w:rPr>
        <w:t>АКРЕДИТАЦІЇ</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1F87EBD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Національний знак акредитації</w:t>
      </w:r>
      <w:r w:rsidRPr="000977F7">
        <w:rPr>
          <w:rFonts w:asciiTheme="majorHAnsi" w:hAnsiTheme="majorHAnsi"/>
          <w:spacing w:val="1"/>
          <w:sz w:val="20"/>
          <w:szCs w:val="20"/>
        </w:rPr>
        <w:t xml:space="preserve"> </w:t>
      </w:r>
      <w:r w:rsidRPr="000977F7">
        <w:rPr>
          <w:rFonts w:asciiTheme="majorHAnsi" w:hAnsiTheme="majorHAnsi"/>
          <w:sz w:val="20"/>
          <w:szCs w:val="20"/>
        </w:rPr>
        <w:t>знак,</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50"/>
          <w:sz w:val="20"/>
          <w:szCs w:val="20"/>
        </w:rPr>
        <w:t xml:space="preserve"> </w:t>
      </w:r>
      <w:r w:rsidRPr="000977F7">
        <w:rPr>
          <w:rFonts w:asciiTheme="majorHAnsi" w:hAnsiTheme="majorHAnsi"/>
          <w:sz w:val="20"/>
          <w:szCs w:val="20"/>
        </w:rPr>
        <w:t>засвідчує,</w:t>
      </w:r>
      <w:r w:rsidRPr="000977F7">
        <w:rPr>
          <w:rFonts w:asciiTheme="majorHAnsi" w:hAnsiTheme="majorHAnsi"/>
          <w:spacing w:val="1"/>
          <w:sz w:val="20"/>
          <w:szCs w:val="20"/>
        </w:rPr>
        <w:t xml:space="preserve"> </w:t>
      </w:r>
      <w:r w:rsidRPr="000977F7">
        <w:rPr>
          <w:rFonts w:asciiTheme="majorHAnsi" w:hAnsiTheme="majorHAnsi"/>
          <w:sz w:val="20"/>
          <w:szCs w:val="20"/>
        </w:rPr>
        <w:t>що організація, яка використовує цей знак, акредитована</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національним органом України з акредитації</w:t>
      </w:r>
    </w:p>
    <w:p w14:paraId="3C6F5A51"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bookmarkStart w:id="132" w:name="_Hlk105831415"/>
      <w:r w:rsidRPr="000977F7">
        <w:rPr>
          <w:rFonts w:asciiTheme="majorHAnsi" w:hAnsiTheme="majorHAnsi"/>
          <w:i/>
          <w:sz w:val="20"/>
          <w:szCs w:val="20"/>
          <w:lang w:val="uk-UA"/>
        </w:rPr>
        <w:t>Ст.</w:t>
      </w:r>
      <w:r w:rsidRPr="000977F7">
        <w:rPr>
          <w:rFonts w:asciiTheme="majorHAnsi" w:hAnsiTheme="majorHAnsi"/>
          <w:i/>
          <w:spacing w:val="1"/>
          <w:sz w:val="20"/>
          <w:szCs w:val="20"/>
          <w:lang w:val="uk-UA"/>
        </w:rPr>
        <w:t xml:space="preserve"> </w:t>
      </w:r>
      <w:r w:rsidRPr="000977F7">
        <w:rPr>
          <w:rFonts w:asciiTheme="majorHAnsi" w:hAnsiTheme="majorHAnsi"/>
          <w:i/>
          <w:sz w:val="20"/>
          <w:szCs w:val="20"/>
          <w:lang w:val="uk-UA"/>
        </w:rPr>
        <w:t>1</w:t>
      </w:r>
      <w:r w:rsidRPr="000977F7">
        <w:rPr>
          <w:rFonts w:asciiTheme="majorHAnsi" w:hAnsiTheme="majorHAnsi"/>
          <w:i/>
          <w:spacing w:val="1"/>
          <w:sz w:val="20"/>
          <w:szCs w:val="20"/>
          <w:lang w:val="uk-UA"/>
        </w:rPr>
        <w:t xml:space="preserve"> </w:t>
      </w:r>
      <w:r w:rsidRPr="000977F7">
        <w:rPr>
          <w:rFonts w:asciiTheme="majorHAnsi" w:hAnsiTheme="majorHAnsi"/>
          <w:i/>
          <w:sz w:val="20"/>
          <w:szCs w:val="20"/>
          <w:lang w:val="uk-UA"/>
        </w:rPr>
        <w:t>закону</w:t>
      </w:r>
      <w:r w:rsidRPr="000977F7">
        <w:rPr>
          <w:rFonts w:asciiTheme="majorHAnsi" w:hAnsiTheme="majorHAnsi"/>
          <w:i/>
          <w:spacing w:val="1"/>
          <w:sz w:val="20"/>
          <w:szCs w:val="20"/>
          <w:lang w:val="uk-UA"/>
        </w:rPr>
        <w:t xml:space="preserve"> </w:t>
      </w:r>
      <w:r w:rsidRPr="000977F7">
        <w:rPr>
          <w:rFonts w:asciiTheme="majorHAnsi" w:hAnsiTheme="majorHAnsi"/>
          <w:i/>
          <w:sz w:val="20"/>
          <w:szCs w:val="20"/>
          <w:lang w:val="uk-UA"/>
        </w:rPr>
        <w:t>України</w:t>
      </w:r>
      <w:r w:rsidRPr="000977F7">
        <w:rPr>
          <w:rFonts w:asciiTheme="majorHAnsi" w:hAnsiTheme="majorHAnsi"/>
          <w:i/>
          <w:spacing w:val="1"/>
          <w:sz w:val="20"/>
          <w:szCs w:val="20"/>
          <w:lang w:val="uk-UA"/>
        </w:rPr>
        <w:t xml:space="preserve"> </w:t>
      </w:r>
      <w:bookmarkEnd w:id="132"/>
      <w:r w:rsidRPr="000977F7">
        <w:rPr>
          <w:rFonts w:asciiTheme="majorHAnsi" w:hAnsiTheme="majorHAnsi"/>
          <w:i/>
          <w:spacing w:val="1"/>
          <w:sz w:val="20"/>
          <w:szCs w:val="20"/>
          <w:lang w:val="uk-UA"/>
        </w:rPr>
        <w:t>"</w:t>
      </w:r>
      <w:r w:rsidRPr="000977F7">
        <w:rPr>
          <w:rFonts w:asciiTheme="majorHAnsi" w:hAnsiTheme="majorHAnsi"/>
          <w:i/>
          <w:sz w:val="20"/>
          <w:szCs w:val="20"/>
          <w:lang w:val="uk-UA"/>
        </w:rPr>
        <w:t>Про</w:t>
      </w:r>
      <w:r w:rsidRPr="000977F7">
        <w:rPr>
          <w:rFonts w:asciiTheme="majorHAnsi" w:hAnsiTheme="majorHAnsi"/>
          <w:i/>
          <w:spacing w:val="1"/>
          <w:sz w:val="20"/>
          <w:szCs w:val="20"/>
          <w:lang w:val="uk-UA"/>
        </w:rPr>
        <w:t xml:space="preserve"> </w:t>
      </w:r>
      <w:r w:rsidRPr="000977F7">
        <w:rPr>
          <w:rFonts w:asciiTheme="majorHAnsi" w:hAnsiTheme="majorHAnsi"/>
          <w:i/>
          <w:sz w:val="20"/>
          <w:szCs w:val="20"/>
          <w:lang w:val="uk-UA"/>
        </w:rPr>
        <w:t>акредитацію</w:t>
      </w:r>
      <w:r w:rsidRPr="000977F7">
        <w:rPr>
          <w:rFonts w:asciiTheme="majorHAnsi" w:hAnsiTheme="majorHAnsi"/>
          <w:i/>
          <w:spacing w:val="1"/>
          <w:sz w:val="20"/>
          <w:szCs w:val="20"/>
          <w:lang w:val="uk-UA"/>
        </w:rPr>
        <w:t xml:space="preserve"> </w:t>
      </w:r>
      <w:r w:rsidRPr="000977F7">
        <w:rPr>
          <w:rFonts w:asciiTheme="majorHAnsi" w:hAnsiTheme="majorHAnsi"/>
          <w:i/>
          <w:sz w:val="20"/>
          <w:szCs w:val="20"/>
          <w:lang w:val="uk-UA"/>
        </w:rPr>
        <w:t>органів</w:t>
      </w:r>
      <w:r w:rsidRPr="000977F7">
        <w:rPr>
          <w:rFonts w:asciiTheme="majorHAnsi" w:hAnsiTheme="majorHAnsi"/>
          <w:i/>
          <w:spacing w:val="1"/>
          <w:sz w:val="20"/>
          <w:szCs w:val="20"/>
          <w:lang w:val="uk-UA"/>
        </w:rPr>
        <w:t xml:space="preserve"> </w:t>
      </w:r>
      <w:r w:rsidRPr="000977F7">
        <w:rPr>
          <w:rFonts w:asciiTheme="majorHAnsi" w:hAnsiTheme="majorHAnsi"/>
          <w:i/>
          <w:sz w:val="20"/>
          <w:szCs w:val="20"/>
          <w:lang w:val="uk-UA"/>
        </w:rPr>
        <w:t>з</w:t>
      </w:r>
      <w:r w:rsidRPr="000977F7">
        <w:rPr>
          <w:rFonts w:asciiTheme="majorHAnsi" w:hAnsiTheme="majorHAnsi"/>
          <w:i/>
          <w:spacing w:val="-47"/>
          <w:sz w:val="20"/>
          <w:szCs w:val="20"/>
          <w:lang w:val="uk-UA"/>
        </w:rPr>
        <w:t xml:space="preserve"> </w:t>
      </w:r>
      <w:r w:rsidRPr="000977F7">
        <w:rPr>
          <w:rFonts w:asciiTheme="majorHAnsi" w:hAnsiTheme="majorHAnsi"/>
          <w:i/>
          <w:sz w:val="20"/>
          <w:szCs w:val="20"/>
          <w:lang w:val="uk-UA"/>
        </w:rPr>
        <w:t>оцінки відповідності"</w:t>
      </w:r>
      <w:r w:rsidRPr="000977F7">
        <w:rPr>
          <w:rFonts w:asciiTheme="majorHAnsi" w:hAnsiTheme="majorHAnsi"/>
          <w:sz w:val="20"/>
          <w:szCs w:val="20"/>
          <w:lang w:val="uk-UA"/>
        </w:rPr>
        <w:t xml:space="preserve"> </w:t>
      </w:r>
    </w:p>
    <w:p w14:paraId="16E8ACA5"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 xml:space="preserve">НАЦІОНАЛЬНИЙ ОРГАН ІНТЕЛЕКТУАЛЬНОЇ ВЛАСНОСТІ </w:t>
      </w:r>
    </w:p>
    <w:p w14:paraId="7733F9E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
          <w:bCs/>
          <w:sz w:val="20"/>
          <w:szCs w:val="20"/>
        </w:rPr>
        <w:t>(далі - НОІВ)</w:t>
      </w:r>
      <w:r w:rsidRPr="000977F7">
        <w:rPr>
          <w:rFonts w:asciiTheme="majorHAnsi" w:hAnsiTheme="majorHAnsi"/>
          <w:sz w:val="20"/>
          <w:szCs w:val="20"/>
        </w:rPr>
        <w:t xml:space="preserve"> -</w:t>
      </w:r>
    </w:p>
    <w:p w14:paraId="2006E31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Державна організація, що входить до державної системи правової охорони інтелектуальної власності, визначена на національному рівні Кабінетом Міністрів України як така, що здійснює повноваження у сфері інтелектуальної власності, визначені цим Законом, іншими законами у сфері інтелектуальної власності, актами центрального органу виконавчої влади, що забезпечує формування та реалізує державну політику у сфері інтелектуальної власності, та статутом, і має право представляти Україну в міжнародних та регіональних організаціях</w:t>
      </w:r>
    </w:p>
    <w:p w14:paraId="4342D0FB"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Ст. 1 закону України "Про охорону прав на промислові зразки"</w:t>
      </w:r>
    </w:p>
    <w:p w14:paraId="75580F0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НАЦІОНАЛЬНИЙ</w:t>
      </w:r>
      <w:r w:rsidRPr="000977F7">
        <w:rPr>
          <w:color w:val="auto"/>
          <w:spacing w:val="16"/>
          <w:sz w:val="20"/>
          <w:szCs w:val="20"/>
        </w:rPr>
        <w:t xml:space="preserve"> </w:t>
      </w:r>
      <w:r w:rsidRPr="000977F7">
        <w:rPr>
          <w:color w:val="auto"/>
          <w:sz w:val="20"/>
          <w:szCs w:val="20"/>
        </w:rPr>
        <w:t>ОРГАН</w:t>
      </w:r>
      <w:r w:rsidRPr="000977F7">
        <w:rPr>
          <w:color w:val="auto"/>
          <w:spacing w:val="16"/>
          <w:sz w:val="20"/>
          <w:szCs w:val="20"/>
        </w:rPr>
        <w:t xml:space="preserve"> </w:t>
      </w:r>
      <w:r w:rsidRPr="000977F7">
        <w:rPr>
          <w:color w:val="auto"/>
          <w:sz w:val="20"/>
          <w:szCs w:val="20"/>
        </w:rPr>
        <w:t>УКРАЇНИ</w:t>
      </w:r>
      <w:r w:rsidRPr="000977F7">
        <w:rPr>
          <w:color w:val="auto"/>
          <w:spacing w:val="16"/>
          <w:sz w:val="20"/>
          <w:szCs w:val="20"/>
        </w:rPr>
        <w:t xml:space="preserve"> </w:t>
      </w:r>
      <w:r w:rsidRPr="000977F7">
        <w:rPr>
          <w:color w:val="auto"/>
          <w:sz w:val="20"/>
          <w:szCs w:val="20"/>
        </w:rPr>
        <w:t>З</w:t>
      </w:r>
      <w:r w:rsidRPr="000977F7">
        <w:rPr>
          <w:color w:val="auto"/>
          <w:spacing w:val="15"/>
          <w:sz w:val="20"/>
          <w:szCs w:val="20"/>
        </w:rPr>
        <w:t xml:space="preserve"> </w:t>
      </w:r>
      <w:r w:rsidRPr="000977F7">
        <w:rPr>
          <w:color w:val="auto"/>
          <w:sz w:val="20"/>
          <w:szCs w:val="20"/>
        </w:rPr>
        <w:t>АКРЕДИТАЦІЇ</w:t>
      </w:r>
      <w:r w:rsidRPr="000977F7">
        <w:rPr>
          <w:color w:val="auto"/>
          <w:spacing w:val="-2"/>
          <w:sz w:val="20"/>
          <w:szCs w:val="20"/>
        </w:rPr>
        <w:t xml:space="preserve"> </w:t>
      </w:r>
      <w:r w:rsidRPr="000977F7">
        <w:rPr>
          <w:color w:val="auto"/>
          <w:sz w:val="20"/>
          <w:szCs w:val="20"/>
        </w:rPr>
        <w:t>–</w:t>
      </w:r>
    </w:p>
    <w:p w14:paraId="4E45D50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Акредитація</w:t>
      </w:r>
      <w:r w:rsidRPr="000977F7">
        <w:rPr>
          <w:rFonts w:asciiTheme="majorHAnsi" w:hAnsiTheme="majorHAnsi"/>
          <w:spacing w:val="51"/>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51"/>
          <w:sz w:val="20"/>
          <w:szCs w:val="20"/>
        </w:rPr>
        <w:t xml:space="preserve"> </w:t>
      </w:r>
      <w:r w:rsidRPr="000977F7">
        <w:rPr>
          <w:rFonts w:asciiTheme="majorHAnsi" w:hAnsiTheme="majorHAnsi"/>
          <w:sz w:val="20"/>
          <w:szCs w:val="20"/>
        </w:rPr>
        <w:t>національним</w:t>
      </w:r>
      <w:r w:rsidRPr="000977F7">
        <w:rPr>
          <w:rFonts w:asciiTheme="majorHAnsi" w:hAnsiTheme="majorHAnsi"/>
          <w:spacing w:val="51"/>
          <w:sz w:val="20"/>
          <w:szCs w:val="20"/>
        </w:rPr>
        <w:t xml:space="preserve"> </w:t>
      </w:r>
      <w:r w:rsidRPr="000977F7">
        <w:rPr>
          <w:rFonts w:asciiTheme="majorHAnsi" w:hAnsiTheme="majorHAnsi"/>
          <w:sz w:val="20"/>
          <w:szCs w:val="20"/>
        </w:rPr>
        <w:t>органом</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r w:rsidRPr="000977F7">
        <w:rPr>
          <w:rFonts w:asciiTheme="majorHAnsi" w:hAnsiTheme="majorHAnsi"/>
          <w:spacing w:val="48"/>
          <w:sz w:val="20"/>
          <w:szCs w:val="20"/>
        </w:rPr>
        <w:t xml:space="preserve"> </w:t>
      </w:r>
      <w:r w:rsidRPr="000977F7">
        <w:rPr>
          <w:rFonts w:asciiTheme="majorHAnsi" w:hAnsiTheme="majorHAnsi"/>
          <w:sz w:val="20"/>
          <w:szCs w:val="20"/>
        </w:rPr>
        <w:t>з акредитації.</w:t>
      </w:r>
    </w:p>
    <w:p w14:paraId="6809C0F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Національний</w:t>
      </w:r>
      <w:r w:rsidRPr="000977F7">
        <w:rPr>
          <w:rFonts w:asciiTheme="majorHAnsi" w:hAnsiTheme="majorHAnsi"/>
          <w:spacing w:val="1"/>
          <w:sz w:val="20"/>
          <w:szCs w:val="20"/>
        </w:rPr>
        <w:t xml:space="preserve"> </w:t>
      </w:r>
      <w:r w:rsidRPr="000977F7">
        <w:rPr>
          <w:rFonts w:asciiTheme="majorHAnsi" w:hAnsiTheme="majorHAnsi"/>
          <w:sz w:val="20"/>
          <w:szCs w:val="20"/>
        </w:rPr>
        <w:t>орган</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акредитації</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державною організацією,</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утворюється</w:t>
      </w:r>
      <w:r w:rsidRPr="000977F7">
        <w:rPr>
          <w:rFonts w:asciiTheme="majorHAnsi" w:hAnsiTheme="majorHAnsi"/>
          <w:spacing w:val="1"/>
          <w:sz w:val="20"/>
          <w:szCs w:val="20"/>
        </w:rPr>
        <w:t xml:space="preserve"> </w:t>
      </w:r>
      <w:r w:rsidRPr="000977F7">
        <w:rPr>
          <w:rFonts w:asciiTheme="majorHAnsi" w:hAnsiTheme="majorHAnsi"/>
          <w:sz w:val="20"/>
          <w:szCs w:val="20"/>
        </w:rPr>
        <w:t>центральним</w:t>
      </w:r>
      <w:r w:rsidRPr="000977F7">
        <w:rPr>
          <w:rFonts w:asciiTheme="majorHAnsi" w:hAnsiTheme="majorHAnsi"/>
          <w:spacing w:val="1"/>
          <w:sz w:val="20"/>
          <w:szCs w:val="20"/>
        </w:rPr>
        <w:t xml:space="preserve"> </w:t>
      </w:r>
      <w:r w:rsidRPr="000977F7">
        <w:rPr>
          <w:rFonts w:asciiTheme="majorHAnsi" w:hAnsiTheme="majorHAnsi"/>
          <w:sz w:val="20"/>
          <w:szCs w:val="20"/>
        </w:rPr>
        <w:t>органом</w:t>
      </w:r>
      <w:r w:rsidRPr="000977F7">
        <w:rPr>
          <w:rFonts w:asciiTheme="majorHAnsi" w:hAnsiTheme="majorHAnsi"/>
          <w:spacing w:val="1"/>
          <w:sz w:val="20"/>
          <w:szCs w:val="20"/>
        </w:rPr>
        <w:t xml:space="preserve"> </w:t>
      </w:r>
      <w:r w:rsidRPr="000977F7">
        <w:rPr>
          <w:rFonts w:asciiTheme="majorHAnsi" w:hAnsiTheme="majorHAnsi"/>
          <w:sz w:val="20"/>
          <w:szCs w:val="20"/>
        </w:rPr>
        <w:t>виконавчої влади,</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забезпечує</w:t>
      </w:r>
      <w:r w:rsidRPr="000977F7">
        <w:rPr>
          <w:rFonts w:asciiTheme="majorHAnsi" w:hAnsiTheme="majorHAnsi"/>
          <w:spacing w:val="1"/>
          <w:sz w:val="20"/>
          <w:szCs w:val="20"/>
        </w:rPr>
        <w:t xml:space="preserve"> </w:t>
      </w:r>
      <w:r w:rsidRPr="000977F7">
        <w:rPr>
          <w:rFonts w:asciiTheme="majorHAnsi" w:hAnsiTheme="majorHAnsi"/>
          <w:sz w:val="20"/>
          <w:szCs w:val="20"/>
        </w:rPr>
        <w:t>формування</w:t>
      </w:r>
      <w:r w:rsidRPr="000977F7">
        <w:rPr>
          <w:rFonts w:asciiTheme="majorHAnsi" w:hAnsiTheme="majorHAnsi"/>
          <w:spacing w:val="1"/>
          <w:sz w:val="20"/>
          <w:szCs w:val="20"/>
        </w:rPr>
        <w:t xml:space="preserve"> </w:t>
      </w:r>
      <w:r w:rsidRPr="000977F7">
        <w:rPr>
          <w:rFonts w:asciiTheme="majorHAnsi" w:hAnsiTheme="majorHAnsi"/>
          <w:sz w:val="20"/>
          <w:szCs w:val="20"/>
        </w:rPr>
        <w:t>державної</w:t>
      </w:r>
      <w:r w:rsidRPr="000977F7">
        <w:rPr>
          <w:rFonts w:asciiTheme="majorHAnsi" w:hAnsiTheme="majorHAnsi"/>
          <w:spacing w:val="1"/>
          <w:sz w:val="20"/>
          <w:szCs w:val="20"/>
        </w:rPr>
        <w:t xml:space="preserve"> </w:t>
      </w:r>
      <w:r w:rsidRPr="000977F7">
        <w:rPr>
          <w:rFonts w:asciiTheme="majorHAnsi" w:hAnsiTheme="majorHAnsi"/>
          <w:sz w:val="20"/>
          <w:szCs w:val="20"/>
        </w:rPr>
        <w:t>політики</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сфері економічного</w:t>
      </w:r>
      <w:r w:rsidRPr="000977F7">
        <w:rPr>
          <w:rFonts w:asciiTheme="majorHAnsi" w:hAnsiTheme="majorHAnsi"/>
          <w:spacing w:val="1"/>
          <w:sz w:val="20"/>
          <w:szCs w:val="20"/>
        </w:rPr>
        <w:t xml:space="preserve"> </w:t>
      </w:r>
      <w:r w:rsidRPr="000977F7">
        <w:rPr>
          <w:rFonts w:asciiTheme="majorHAnsi" w:hAnsiTheme="majorHAnsi"/>
          <w:sz w:val="20"/>
          <w:szCs w:val="20"/>
        </w:rPr>
        <w:t>розвитку,</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провадить</w:t>
      </w:r>
      <w:r w:rsidRPr="000977F7">
        <w:rPr>
          <w:rFonts w:asciiTheme="majorHAnsi" w:hAnsiTheme="majorHAnsi"/>
          <w:spacing w:val="1"/>
          <w:sz w:val="20"/>
          <w:szCs w:val="20"/>
        </w:rPr>
        <w:t xml:space="preserve"> </w:t>
      </w:r>
      <w:r w:rsidRPr="000977F7">
        <w:rPr>
          <w:rFonts w:asciiTheme="majorHAnsi" w:hAnsiTheme="majorHAnsi"/>
          <w:sz w:val="20"/>
          <w:szCs w:val="20"/>
        </w:rPr>
        <w:t>некомерційну</w:t>
      </w:r>
      <w:r w:rsidRPr="000977F7">
        <w:rPr>
          <w:rFonts w:asciiTheme="majorHAnsi" w:hAnsiTheme="majorHAnsi"/>
          <w:spacing w:val="1"/>
          <w:sz w:val="20"/>
          <w:szCs w:val="20"/>
        </w:rPr>
        <w:t xml:space="preserve"> </w:t>
      </w:r>
      <w:r w:rsidRPr="000977F7">
        <w:rPr>
          <w:rFonts w:asciiTheme="majorHAnsi" w:hAnsiTheme="majorHAnsi"/>
          <w:sz w:val="20"/>
          <w:szCs w:val="20"/>
        </w:rPr>
        <w:t>господарську</w:t>
      </w:r>
      <w:r w:rsidRPr="000977F7">
        <w:rPr>
          <w:rFonts w:asciiTheme="majorHAnsi" w:hAnsiTheme="majorHAnsi"/>
          <w:spacing w:val="-5"/>
          <w:sz w:val="20"/>
          <w:szCs w:val="20"/>
        </w:rPr>
        <w:t xml:space="preserve"> </w:t>
      </w:r>
      <w:r w:rsidRPr="000977F7">
        <w:rPr>
          <w:rFonts w:asciiTheme="majorHAnsi" w:hAnsiTheme="majorHAnsi"/>
          <w:sz w:val="20"/>
          <w:szCs w:val="20"/>
        </w:rPr>
        <w:t>діяльність.</w:t>
      </w:r>
    </w:p>
    <w:p w14:paraId="593C744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Положення</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національний</w:t>
      </w:r>
      <w:r w:rsidRPr="000977F7">
        <w:rPr>
          <w:rFonts w:asciiTheme="majorHAnsi" w:hAnsiTheme="majorHAnsi"/>
          <w:spacing w:val="1"/>
          <w:sz w:val="20"/>
          <w:szCs w:val="20"/>
        </w:rPr>
        <w:t xml:space="preserve"> </w:t>
      </w:r>
      <w:r w:rsidRPr="000977F7">
        <w:rPr>
          <w:rFonts w:asciiTheme="majorHAnsi" w:hAnsiTheme="majorHAnsi"/>
          <w:sz w:val="20"/>
          <w:szCs w:val="20"/>
        </w:rPr>
        <w:t>орган</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акредитації</w:t>
      </w:r>
      <w:r w:rsidRPr="000977F7">
        <w:rPr>
          <w:rFonts w:asciiTheme="majorHAnsi" w:hAnsiTheme="majorHAnsi"/>
          <w:spacing w:val="1"/>
          <w:sz w:val="20"/>
          <w:szCs w:val="20"/>
        </w:rPr>
        <w:t xml:space="preserve"> </w:t>
      </w:r>
      <w:r w:rsidRPr="000977F7">
        <w:rPr>
          <w:rFonts w:asciiTheme="majorHAnsi" w:hAnsiTheme="majorHAnsi"/>
          <w:sz w:val="20"/>
          <w:szCs w:val="20"/>
        </w:rPr>
        <w:t>затверджується</w:t>
      </w:r>
      <w:r w:rsidRPr="000977F7">
        <w:rPr>
          <w:rFonts w:asciiTheme="majorHAnsi" w:hAnsiTheme="majorHAnsi"/>
          <w:spacing w:val="1"/>
          <w:sz w:val="20"/>
          <w:szCs w:val="20"/>
        </w:rPr>
        <w:t xml:space="preserve"> </w:t>
      </w:r>
      <w:r w:rsidRPr="000977F7">
        <w:rPr>
          <w:rFonts w:asciiTheme="majorHAnsi" w:hAnsiTheme="majorHAnsi"/>
          <w:sz w:val="20"/>
          <w:szCs w:val="20"/>
        </w:rPr>
        <w:t>центральним</w:t>
      </w:r>
      <w:r w:rsidRPr="000977F7">
        <w:rPr>
          <w:rFonts w:asciiTheme="majorHAnsi" w:hAnsiTheme="majorHAnsi"/>
          <w:spacing w:val="1"/>
          <w:sz w:val="20"/>
          <w:szCs w:val="20"/>
        </w:rPr>
        <w:t xml:space="preserve"> </w:t>
      </w:r>
      <w:r w:rsidRPr="000977F7">
        <w:rPr>
          <w:rFonts w:asciiTheme="majorHAnsi" w:hAnsiTheme="majorHAnsi"/>
          <w:sz w:val="20"/>
          <w:szCs w:val="20"/>
        </w:rPr>
        <w:t>органом</w:t>
      </w:r>
      <w:r w:rsidRPr="000977F7">
        <w:rPr>
          <w:rFonts w:asciiTheme="majorHAnsi" w:hAnsiTheme="majorHAnsi"/>
          <w:spacing w:val="1"/>
          <w:sz w:val="20"/>
          <w:szCs w:val="20"/>
        </w:rPr>
        <w:t xml:space="preserve"> </w:t>
      </w:r>
      <w:r w:rsidRPr="000977F7">
        <w:rPr>
          <w:rFonts w:asciiTheme="majorHAnsi" w:hAnsiTheme="majorHAnsi"/>
          <w:sz w:val="20"/>
          <w:szCs w:val="20"/>
        </w:rPr>
        <w:t>виконавчої влади,</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забезпечує</w:t>
      </w:r>
      <w:r w:rsidRPr="000977F7">
        <w:rPr>
          <w:rFonts w:asciiTheme="majorHAnsi" w:hAnsiTheme="majorHAnsi"/>
          <w:spacing w:val="1"/>
          <w:sz w:val="20"/>
          <w:szCs w:val="20"/>
        </w:rPr>
        <w:t xml:space="preserve"> </w:t>
      </w:r>
      <w:r w:rsidRPr="000977F7">
        <w:rPr>
          <w:rFonts w:asciiTheme="majorHAnsi" w:hAnsiTheme="majorHAnsi"/>
          <w:sz w:val="20"/>
          <w:szCs w:val="20"/>
        </w:rPr>
        <w:t>формування</w:t>
      </w:r>
      <w:r w:rsidRPr="000977F7">
        <w:rPr>
          <w:rFonts w:asciiTheme="majorHAnsi" w:hAnsiTheme="majorHAnsi"/>
          <w:spacing w:val="1"/>
          <w:sz w:val="20"/>
          <w:szCs w:val="20"/>
        </w:rPr>
        <w:t xml:space="preserve"> </w:t>
      </w:r>
      <w:r w:rsidRPr="000977F7">
        <w:rPr>
          <w:rFonts w:asciiTheme="majorHAnsi" w:hAnsiTheme="majorHAnsi"/>
          <w:sz w:val="20"/>
          <w:szCs w:val="20"/>
        </w:rPr>
        <w:t>державної</w:t>
      </w:r>
      <w:r w:rsidRPr="000977F7">
        <w:rPr>
          <w:rFonts w:asciiTheme="majorHAnsi" w:hAnsiTheme="majorHAnsi"/>
          <w:spacing w:val="47"/>
          <w:sz w:val="20"/>
          <w:szCs w:val="20"/>
        </w:rPr>
        <w:t xml:space="preserve"> </w:t>
      </w:r>
      <w:r w:rsidRPr="000977F7">
        <w:rPr>
          <w:rFonts w:asciiTheme="majorHAnsi" w:hAnsiTheme="majorHAnsi"/>
          <w:sz w:val="20"/>
          <w:szCs w:val="20"/>
        </w:rPr>
        <w:t>політики</w:t>
      </w:r>
      <w:r w:rsidRPr="000977F7">
        <w:rPr>
          <w:rFonts w:asciiTheme="majorHAnsi" w:hAnsiTheme="majorHAnsi"/>
          <w:spacing w:val="49"/>
          <w:sz w:val="20"/>
          <w:szCs w:val="20"/>
        </w:rPr>
        <w:t xml:space="preserve"> </w:t>
      </w:r>
      <w:r w:rsidRPr="000977F7">
        <w:rPr>
          <w:rFonts w:asciiTheme="majorHAnsi" w:hAnsiTheme="majorHAnsi"/>
          <w:sz w:val="20"/>
          <w:szCs w:val="20"/>
        </w:rPr>
        <w:t>у</w:t>
      </w:r>
      <w:r w:rsidRPr="000977F7">
        <w:rPr>
          <w:rFonts w:asciiTheme="majorHAnsi" w:hAnsiTheme="majorHAnsi"/>
          <w:spacing w:val="44"/>
          <w:sz w:val="20"/>
          <w:szCs w:val="20"/>
        </w:rPr>
        <w:t xml:space="preserve"> </w:t>
      </w:r>
      <w:r w:rsidRPr="000977F7">
        <w:rPr>
          <w:rFonts w:asciiTheme="majorHAnsi" w:hAnsiTheme="majorHAnsi"/>
          <w:sz w:val="20"/>
          <w:szCs w:val="20"/>
        </w:rPr>
        <w:t>сфері</w:t>
      </w:r>
      <w:r w:rsidRPr="000977F7">
        <w:rPr>
          <w:rFonts w:asciiTheme="majorHAnsi" w:hAnsiTheme="majorHAnsi"/>
          <w:spacing w:val="-2"/>
          <w:sz w:val="20"/>
          <w:szCs w:val="20"/>
        </w:rPr>
        <w:t xml:space="preserve"> </w:t>
      </w:r>
      <w:r w:rsidRPr="000977F7">
        <w:rPr>
          <w:rFonts w:asciiTheme="majorHAnsi" w:hAnsiTheme="majorHAnsi"/>
          <w:sz w:val="20"/>
          <w:szCs w:val="20"/>
        </w:rPr>
        <w:t>економічного розвитку.</w:t>
      </w:r>
    </w:p>
    <w:p w14:paraId="7F45E2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Центральний</w:t>
      </w:r>
      <w:r w:rsidRPr="000977F7">
        <w:rPr>
          <w:rFonts w:asciiTheme="majorHAnsi" w:hAnsiTheme="majorHAnsi"/>
          <w:spacing w:val="1"/>
          <w:sz w:val="20"/>
          <w:szCs w:val="20"/>
        </w:rPr>
        <w:t xml:space="preserve"> </w:t>
      </w:r>
      <w:r w:rsidRPr="000977F7">
        <w:rPr>
          <w:rFonts w:asciiTheme="majorHAnsi" w:hAnsiTheme="majorHAnsi"/>
          <w:sz w:val="20"/>
          <w:szCs w:val="20"/>
        </w:rPr>
        <w:t>орган виконавчої влади, що забезпечує формування державної</w:t>
      </w:r>
      <w:r w:rsidRPr="000977F7">
        <w:rPr>
          <w:rFonts w:asciiTheme="majorHAnsi" w:hAnsiTheme="majorHAnsi"/>
          <w:spacing w:val="1"/>
          <w:sz w:val="20"/>
          <w:szCs w:val="20"/>
        </w:rPr>
        <w:t xml:space="preserve"> </w:t>
      </w:r>
      <w:r w:rsidRPr="000977F7">
        <w:rPr>
          <w:rFonts w:asciiTheme="majorHAnsi" w:hAnsiTheme="majorHAnsi"/>
          <w:sz w:val="20"/>
          <w:szCs w:val="20"/>
        </w:rPr>
        <w:t>політики</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сфері</w:t>
      </w:r>
      <w:r w:rsidRPr="000977F7">
        <w:rPr>
          <w:rFonts w:asciiTheme="majorHAnsi" w:hAnsiTheme="majorHAnsi"/>
          <w:spacing w:val="1"/>
          <w:sz w:val="20"/>
          <w:szCs w:val="20"/>
        </w:rPr>
        <w:t xml:space="preserve"> </w:t>
      </w:r>
      <w:r w:rsidRPr="000977F7">
        <w:rPr>
          <w:rFonts w:asciiTheme="majorHAnsi" w:hAnsiTheme="majorHAnsi"/>
          <w:sz w:val="20"/>
          <w:szCs w:val="20"/>
        </w:rPr>
        <w:t>економічного розвитку,</w:t>
      </w:r>
      <w:r w:rsidRPr="000977F7">
        <w:rPr>
          <w:rFonts w:asciiTheme="majorHAnsi" w:hAnsiTheme="majorHAnsi"/>
          <w:spacing w:val="2"/>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має</w:t>
      </w:r>
      <w:r w:rsidRPr="000977F7">
        <w:rPr>
          <w:rFonts w:asciiTheme="majorHAnsi" w:hAnsiTheme="majorHAnsi"/>
          <w:spacing w:val="1"/>
          <w:sz w:val="20"/>
          <w:szCs w:val="20"/>
        </w:rPr>
        <w:t xml:space="preserve"> </w:t>
      </w:r>
      <w:r w:rsidRPr="000977F7">
        <w:rPr>
          <w:rFonts w:asciiTheme="majorHAnsi" w:hAnsiTheme="majorHAnsi"/>
          <w:sz w:val="20"/>
          <w:szCs w:val="20"/>
        </w:rPr>
        <w:t>права</w:t>
      </w:r>
    </w:p>
    <w:p w14:paraId="372124C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втручатися в діяльність з акредитації національного</w:t>
      </w:r>
      <w:r w:rsidRPr="000977F7">
        <w:rPr>
          <w:rFonts w:asciiTheme="majorHAnsi" w:hAnsiTheme="majorHAnsi"/>
          <w:spacing w:val="1"/>
          <w:sz w:val="20"/>
          <w:szCs w:val="20"/>
        </w:rPr>
        <w:t xml:space="preserve"> </w:t>
      </w:r>
      <w:r w:rsidRPr="000977F7">
        <w:rPr>
          <w:rFonts w:asciiTheme="majorHAnsi" w:hAnsiTheme="majorHAnsi"/>
          <w:sz w:val="20"/>
          <w:szCs w:val="20"/>
        </w:rPr>
        <w:t>органу</w:t>
      </w:r>
      <w:r w:rsidRPr="000977F7">
        <w:rPr>
          <w:rFonts w:asciiTheme="majorHAnsi" w:hAnsiTheme="majorHAnsi"/>
          <w:spacing w:val="-5"/>
          <w:sz w:val="20"/>
          <w:szCs w:val="20"/>
        </w:rPr>
        <w:t xml:space="preserve"> </w:t>
      </w:r>
      <w:r w:rsidRPr="000977F7">
        <w:rPr>
          <w:rFonts w:asciiTheme="majorHAnsi" w:hAnsiTheme="majorHAnsi"/>
          <w:sz w:val="20"/>
          <w:szCs w:val="20"/>
        </w:rPr>
        <w:t>України</w:t>
      </w:r>
      <w:r w:rsidRPr="000977F7">
        <w:rPr>
          <w:rFonts w:asciiTheme="majorHAnsi" w:hAnsiTheme="majorHAnsi"/>
          <w:spacing w:val="-1"/>
          <w:sz w:val="20"/>
          <w:szCs w:val="20"/>
        </w:rPr>
        <w:t xml:space="preserve"> </w:t>
      </w:r>
      <w:r w:rsidRPr="000977F7">
        <w:rPr>
          <w:rFonts w:asciiTheme="majorHAnsi" w:hAnsiTheme="majorHAnsi"/>
          <w:sz w:val="20"/>
          <w:szCs w:val="20"/>
        </w:rPr>
        <w:t>з акредитації.</w:t>
      </w:r>
    </w:p>
    <w:p w14:paraId="0D8BBFE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 складу національного органу України з акредитації</w:t>
      </w:r>
      <w:r w:rsidRPr="000977F7">
        <w:rPr>
          <w:rFonts w:asciiTheme="majorHAnsi" w:hAnsiTheme="majorHAnsi"/>
          <w:spacing w:val="1"/>
          <w:sz w:val="20"/>
          <w:szCs w:val="20"/>
        </w:rPr>
        <w:t xml:space="preserve"> </w:t>
      </w:r>
      <w:r w:rsidRPr="000977F7">
        <w:rPr>
          <w:rFonts w:asciiTheme="majorHAnsi" w:hAnsiTheme="majorHAnsi"/>
          <w:sz w:val="20"/>
          <w:szCs w:val="20"/>
        </w:rPr>
        <w:t>входять:</w:t>
      </w:r>
    </w:p>
    <w:p w14:paraId="454CE45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Рада</w:t>
      </w:r>
      <w:r w:rsidRPr="000977F7">
        <w:rPr>
          <w:rFonts w:asciiTheme="majorHAnsi" w:hAnsiTheme="majorHAnsi"/>
          <w:spacing w:val="-5"/>
          <w:sz w:val="20"/>
          <w:szCs w:val="20"/>
        </w:rPr>
        <w:t xml:space="preserve"> </w:t>
      </w:r>
      <w:r w:rsidRPr="000977F7">
        <w:rPr>
          <w:rFonts w:asciiTheme="majorHAnsi" w:hAnsiTheme="majorHAnsi"/>
          <w:sz w:val="20"/>
          <w:szCs w:val="20"/>
        </w:rPr>
        <w:t>з</w:t>
      </w:r>
      <w:r w:rsidRPr="000977F7">
        <w:rPr>
          <w:rFonts w:asciiTheme="majorHAnsi" w:hAnsiTheme="majorHAnsi"/>
          <w:spacing w:val="-5"/>
          <w:sz w:val="20"/>
          <w:szCs w:val="20"/>
        </w:rPr>
        <w:t xml:space="preserve"> </w:t>
      </w:r>
      <w:r w:rsidRPr="000977F7">
        <w:rPr>
          <w:rFonts w:asciiTheme="majorHAnsi" w:hAnsiTheme="majorHAnsi"/>
          <w:sz w:val="20"/>
          <w:szCs w:val="20"/>
        </w:rPr>
        <w:t>акредитації;</w:t>
      </w:r>
    </w:p>
    <w:p w14:paraId="31DFDF8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технічні</w:t>
      </w:r>
      <w:r w:rsidRPr="000977F7">
        <w:rPr>
          <w:rFonts w:asciiTheme="majorHAnsi" w:hAnsiTheme="majorHAnsi"/>
          <w:spacing w:val="-5"/>
          <w:sz w:val="20"/>
          <w:szCs w:val="20"/>
        </w:rPr>
        <w:t xml:space="preserve"> </w:t>
      </w:r>
      <w:r w:rsidRPr="000977F7">
        <w:rPr>
          <w:rFonts w:asciiTheme="majorHAnsi" w:hAnsiTheme="majorHAnsi"/>
          <w:sz w:val="20"/>
          <w:szCs w:val="20"/>
        </w:rPr>
        <w:t>комітети</w:t>
      </w:r>
      <w:r w:rsidRPr="000977F7">
        <w:rPr>
          <w:rFonts w:asciiTheme="majorHAnsi" w:hAnsiTheme="majorHAnsi"/>
          <w:spacing w:val="-6"/>
          <w:sz w:val="20"/>
          <w:szCs w:val="20"/>
        </w:rPr>
        <w:t xml:space="preserve"> </w:t>
      </w:r>
      <w:r w:rsidRPr="000977F7">
        <w:rPr>
          <w:rFonts w:asciiTheme="majorHAnsi" w:hAnsiTheme="majorHAnsi"/>
          <w:sz w:val="20"/>
          <w:szCs w:val="20"/>
        </w:rPr>
        <w:t>з</w:t>
      </w:r>
      <w:r w:rsidRPr="000977F7">
        <w:rPr>
          <w:rFonts w:asciiTheme="majorHAnsi" w:hAnsiTheme="majorHAnsi"/>
          <w:spacing w:val="-4"/>
          <w:sz w:val="20"/>
          <w:szCs w:val="20"/>
        </w:rPr>
        <w:t xml:space="preserve"> </w:t>
      </w:r>
      <w:r w:rsidRPr="000977F7">
        <w:rPr>
          <w:rFonts w:asciiTheme="majorHAnsi" w:hAnsiTheme="majorHAnsi"/>
          <w:sz w:val="20"/>
          <w:szCs w:val="20"/>
        </w:rPr>
        <w:t>акредитації;</w:t>
      </w:r>
      <w:r w:rsidRPr="000977F7">
        <w:rPr>
          <w:rFonts w:asciiTheme="majorHAnsi" w:hAnsiTheme="majorHAnsi"/>
          <w:spacing w:val="-47"/>
          <w:sz w:val="20"/>
          <w:szCs w:val="20"/>
        </w:rPr>
        <w:t xml:space="preserve"> </w:t>
      </w:r>
      <w:r w:rsidRPr="000977F7">
        <w:rPr>
          <w:rFonts w:asciiTheme="majorHAnsi" w:hAnsiTheme="majorHAnsi"/>
          <w:sz w:val="20"/>
          <w:szCs w:val="20"/>
        </w:rPr>
        <w:t>комісія</w:t>
      </w:r>
      <w:r w:rsidRPr="000977F7">
        <w:rPr>
          <w:rFonts w:asciiTheme="majorHAnsi" w:hAnsiTheme="majorHAnsi"/>
          <w:spacing w:val="-2"/>
          <w:sz w:val="20"/>
          <w:szCs w:val="20"/>
        </w:rPr>
        <w:t xml:space="preserve"> </w:t>
      </w:r>
      <w:r w:rsidRPr="000977F7">
        <w:rPr>
          <w:rFonts w:asciiTheme="majorHAnsi" w:hAnsiTheme="majorHAnsi"/>
          <w:sz w:val="20"/>
          <w:szCs w:val="20"/>
        </w:rPr>
        <w:t>з апеляцій.</w:t>
      </w:r>
    </w:p>
    <w:p w14:paraId="748E16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Основними</w:t>
      </w:r>
      <w:r w:rsidRPr="000977F7">
        <w:rPr>
          <w:rFonts w:asciiTheme="majorHAnsi" w:hAnsiTheme="majorHAnsi"/>
          <w:spacing w:val="1"/>
          <w:sz w:val="20"/>
          <w:szCs w:val="20"/>
        </w:rPr>
        <w:t xml:space="preserve"> </w:t>
      </w:r>
      <w:r w:rsidRPr="000977F7">
        <w:rPr>
          <w:rFonts w:asciiTheme="majorHAnsi" w:hAnsiTheme="majorHAnsi"/>
          <w:sz w:val="20"/>
          <w:szCs w:val="20"/>
        </w:rPr>
        <w:t>функціями</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національного</w:t>
      </w:r>
      <w:r w:rsidRPr="000977F7">
        <w:rPr>
          <w:rFonts w:asciiTheme="majorHAnsi" w:hAnsiTheme="majorHAnsi"/>
          <w:spacing w:val="1"/>
          <w:sz w:val="20"/>
          <w:szCs w:val="20"/>
        </w:rPr>
        <w:t xml:space="preserve"> </w:t>
      </w:r>
      <w:r w:rsidRPr="000977F7">
        <w:rPr>
          <w:rFonts w:asciiTheme="majorHAnsi" w:hAnsiTheme="majorHAnsi"/>
          <w:sz w:val="20"/>
          <w:szCs w:val="20"/>
        </w:rPr>
        <w:t>органу</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r w:rsidRPr="000977F7">
        <w:rPr>
          <w:rFonts w:asciiTheme="majorHAnsi" w:hAnsiTheme="majorHAnsi"/>
          <w:spacing w:val="50"/>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акредитації</w:t>
      </w:r>
      <w:r w:rsidRPr="000977F7">
        <w:rPr>
          <w:rFonts w:asciiTheme="majorHAnsi" w:hAnsiTheme="majorHAnsi"/>
          <w:spacing w:val="-1"/>
          <w:sz w:val="20"/>
          <w:szCs w:val="20"/>
        </w:rPr>
        <w:t xml:space="preserve"> </w:t>
      </w:r>
      <w:r w:rsidRPr="000977F7">
        <w:rPr>
          <w:rFonts w:asciiTheme="majorHAnsi" w:hAnsiTheme="majorHAnsi"/>
          <w:sz w:val="20"/>
          <w:szCs w:val="20"/>
        </w:rPr>
        <w:t>є:</w:t>
      </w:r>
    </w:p>
    <w:p w14:paraId="0A0DA6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акредитація органів</w:t>
      </w:r>
      <w:r w:rsidRPr="000977F7">
        <w:rPr>
          <w:rFonts w:asciiTheme="majorHAnsi" w:hAnsiTheme="majorHAnsi"/>
          <w:spacing w:val="51"/>
          <w:sz w:val="20"/>
          <w:szCs w:val="20"/>
        </w:rPr>
        <w:t xml:space="preserve"> </w:t>
      </w:r>
      <w:r w:rsidRPr="000977F7">
        <w:rPr>
          <w:rFonts w:asciiTheme="majorHAnsi" w:hAnsiTheme="majorHAnsi"/>
          <w:sz w:val="20"/>
          <w:szCs w:val="20"/>
        </w:rPr>
        <w:t>з</w:t>
      </w:r>
      <w:r w:rsidRPr="000977F7">
        <w:rPr>
          <w:rFonts w:asciiTheme="majorHAnsi" w:hAnsiTheme="majorHAnsi"/>
          <w:spacing w:val="51"/>
          <w:sz w:val="20"/>
          <w:szCs w:val="20"/>
        </w:rPr>
        <w:t xml:space="preserve"> </w:t>
      </w:r>
      <w:r w:rsidRPr="000977F7">
        <w:rPr>
          <w:rFonts w:asciiTheme="majorHAnsi" w:hAnsiTheme="majorHAnsi"/>
          <w:sz w:val="20"/>
          <w:szCs w:val="20"/>
        </w:rPr>
        <w:t>оцінки</w:t>
      </w:r>
      <w:r w:rsidRPr="000977F7">
        <w:rPr>
          <w:rFonts w:asciiTheme="majorHAnsi" w:hAnsiTheme="majorHAnsi"/>
          <w:spacing w:val="51"/>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5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тому числі</w:t>
      </w:r>
      <w:r w:rsidRPr="000977F7">
        <w:rPr>
          <w:rFonts w:asciiTheme="majorHAnsi" w:hAnsiTheme="majorHAnsi"/>
          <w:spacing w:val="1"/>
          <w:sz w:val="20"/>
          <w:szCs w:val="20"/>
        </w:rPr>
        <w:t xml:space="preserve"> </w:t>
      </w:r>
      <w:r w:rsidRPr="000977F7">
        <w:rPr>
          <w:rFonts w:asciiTheme="majorHAnsi" w:hAnsiTheme="majorHAnsi"/>
          <w:sz w:val="20"/>
          <w:szCs w:val="20"/>
        </w:rPr>
        <w:t>прийняття</w:t>
      </w:r>
      <w:r w:rsidRPr="000977F7">
        <w:rPr>
          <w:rFonts w:asciiTheme="majorHAnsi" w:hAnsiTheme="majorHAnsi"/>
          <w:spacing w:val="1"/>
          <w:sz w:val="20"/>
          <w:szCs w:val="20"/>
        </w:rPr>
        <w:t xml:space="preserve"> </w:t>
      </w:r>
      <w:r w:rsidRPr="000977F7">
        <w:rPr>
          <w:rFonts w:asciiTheme="majorHAnsi" w:hAnsiTheme="majorHAnsi"/>
          <w:sz w:val="20"/>
          <w:szCs w:val="20"/>
        </w:rPr>
        <w:t>рішень</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акредитацію,</w:t>
      </w:r>
      <w:r w:rsidRPr="000977F7">
        <w:rPr>
          <w:rFonts w:asciiTheme="majorHAnsi" w:hAnsiTheme="majorHAnsi"/>
          <w:spacing w:val="1"/>
          <w:sz w:val="20"/>
          <w:szCs w:val="20"/>
        </w:rPr>
        <w:t xml:space="preserve"> </w:t>
      </w:r>
      <w:r w:rsidRPr="000977F7">
        <w:rPr>
          <w:rFonts w:asciiTheme="majorHAnsi" w:hAnsiTheme="majorHAnsi"/>
          <w:sz w:val="20"/>
          <w:szCs w:val="20"/>
        </w:rPr>
        <w:t>відмову</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акредитації, розширення</w:t>
      </w:r>
      <w:r w:rsidRPr="000977F7">
        <w:rPr>
          <w:rFonts w:asciiTheme="majorHAnsi" w:hAnsiTheme="majorHAnsi"/>
          <w:spacing w:val="1"/>
          <w:sz w:val="20"/>
          <w:szCs w:val="20"/>
        </w:rPr>
        <w:t xml:space="preserve"> </w:t>
      </w:r>
      <w:r w:rsidRPr="000977F7">
        <w:rPr>
          <w:rFonts w:asciiTheme="majorHAnsi" w:hAnsiTheme="majorHAnsi"/>
          <w:sz w:val="20"/>
          <w:szCs w:val="20"/>
        </w:rPr>
        <w:t>та обмеження</w:t>
      </w:r>
      <w:r w:rsidRPr="000977F7">
        <w:rPr>
          <w:rFonts w:asciiTheme="majorHAnsi" w:hAnsiTheme="majorHAnsi"/>
          <w:spacing w:val="1"/>
          <w:sz w:val="20"/>
          <w:szCs w:val="20"/>
        </w:rPr>
        <w:t xml:space="preserve"> </w:t>
      </w:r>
      <w:r w:rsidRPr="000977F7">
        <w:rPr>
          <w:rFonts w:asciiTheme="majorHAnsi" w:hAnsiTheme="majorHAnsi"/>
          <w:sz w:val="20"/>
          <w:szCs w:val="20"/>
        </w:rPr>
        <w:t>сфери акредитації, тимчасове зупинення і поновлення</w:t>
      </w:r>
      <w:r w:rsidRPr="000977F7">
        <w:rPr>
          <w:rFonts w:asciiTheme="majorHAnsi" w:hAnsiTheme="majorHAnsi"/>
          <w:spacing w:val="1"/>
          <w:sz w:val="20"/>
          <w:szCs w:val="20"/>
        </w:rPr>
        <w:t xml:space="preserve"> </w:t>
      </w:r>
      <w:r w:rsidRPr="000977F7">
        <w:rPr>
          <w:rFonts w:asciiTheme="majorHAnsi" w:hAnsiTheme="majorHAnsi"/>
          <w:sz w:val="20"/>
          <w:szCs w:val="20"/>
        </w:rPr>
        <w:t>дії</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скасування</w:t>
      </w:r>
      <w:r w:rsidRPr="000977F7">
        <w:rPr>
          <w:rFonts w:asciiTheme="majorHAnsi" w:hAnsiTheme="majorHAnsi"/>
          <w:spacing w:val="-1"/>
          <w:sz w:val="20"/>
          <w:szCs w:val="20"/>
        </w:rPr>
        <w:t xml:space="preserve"> </w:t>
      </w:r>
      <w:r w:rsidRPr="000977F7">
        <w:rPr>
          <w:rFonts w:asciiTheme="majorHAnsi" w:hAnsiTheme="majorHAnsi"/>
          <w:sz w:val="20"/>
          <w:szCs w:val="20"/>
        </w:rPr>
        <w:t>атестата</w:t>
      </w:r>
      <w:r w:rsidRPr="000977F7">
        <w:rPr>
          <w:rFonts w:asciiTheme="majorHAnsi" w:hAnsiTheme="majorHAnsi"/>
          <w:spacing w:val="-1"/>
          <w:sz w:val="20"/>
          <w:szCs w:val="20"/>
        </w:rPr>
        <w:t xml:space="preserve"> </w:t>
      </w:r>
      <w:r w:rsidRPr="000977F7">
        <w:rPr>
          <w:rFonts w:asciiTheme="majorHAnsi" w:hAnsiTheme="majorHAnsi"/>
          <w:sz w:val="20"/>
          <w:szCs w:val="20"/>
        </w:rPr>
        <w:t>про акредитацію;</w:t>
      </w:r>
    </w:p>
    <w:p w14:paraId="48B8F88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проведення моніторингу</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відповідністю</w:t>
      </w:r>
      <w:r w:rsidRPr="000977F7">
        <w:rPr>
          <w:rFonts w:asciiTheme="majorHAnsi" w:hAnsiTheme="majorHAnsi"/>
          <w:spacing w:val="1"/>
          <w:sz w:val="20"/>
          <w:szCs w:val="20"/>
        </w:rPr>
        <w:t xml:space="preserve"> </w:t>
      </w:r>
      <w:r w:rsidRPr="000977F7">
        <w:rPr>
          <w:rFonts w:asciiTheme="majorHAnsi" w:hAnsiTheme="majorHAnsi"/>
          <w:sz w:val="20"/>
          <w:szCs w:val="20"/>
        </w:rPr>
        <w:t>акредитованих</w:t>
      </w:r>
      <w:r w:rsidRPr="000977F7">
        <w:rPr>
          <w:rFonts w:asciiTheme="majorHAnsi" w:hAnsiTheme="majorHAnsi"/>
          <w:spacing w:val="1"/>
          <w:sz w:val="20"/>
          <w:szCs w:val="20"/>
        </w:rPr>
        <w:t xml:space="preserve"> </w:t>
      </w:r>
      <w:r w:rsidRPr="000977F7">
        <w:rPr>
          <w:rFonts w:asciiTheme="majorHAnsi" w:hAnsiTheme="majorHAnsi"/>
          <w:sz w:val="20"/>
          <w:szCs w:val="20"/>
        </w:rPr>
        <w:t>ним органів</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оцінки</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вимогам</w:t>
      </w:r>
      <w:r w:rsidRPr="000977F7">
        <w:rPr>
          <w:rFonts w:asciiTheme="majorHAnsi" w:hAnsiTheme="majorHAnsi"/>
          <w:spacing w:val="1"/>
          <w:sz w:val="20"/>
          <w:szCs w:val="20"/>
        </w:rPr>
        <w:t xml:space="preserve"> </w:t>
      </w:r>
      <w:r w:rsidRPr="000977F7">
        <w:rPr>
          <w:rFonts w:asciiTheme="majorHAnsi" w:hAnsiTheme="majorHAnsi"/>
          <w:sz w:val="20"/>
          <w:szCs w:val="20"/>
        </w:rPr>
        <w:t>акредитації</w:t>
      </w:r>
      <w:r w:rsidRPr="000977F7">
        <w:rPr>
          <w:rFonts w:asciiTheme="majorHAnsi" w:hAnsiTheme="majorHAnsi"/>
          <w:spacing w:val="1"/>
          <w:sz w:val="20"/>
          <w:szCs w:val="20"/>
        </w:rPr>
        <w:t xml:space="preserve"> </w:t>
      </w:r>
      <w:r w:rsidRPr="000977F7">
        <w:rPr>
          <w:rFonts w:asciiTheme="majorHAnsi" w:hAnsiTheme="majorHAnsi"/>
          <w:sz w:val="20"/>
          <w:szCs w:val="20"/>
        </w:rPr>
        <w:t>(далі</w:t>
      </w:r>
      <w:r w:rsidRPr="000977F7">
        <w:rPr>
          <w:rFonts w:asciiTheme="majorHAnsi" w:hAnsiTheme="majorHAnsi"/>
          <w:spacing w:val="1"/>
          <w:sz w:val="20"/>
          <w:szCs w:val="20"/>
        </w:rPr>
        <w:t xml:space="preserve"> </w:t>
      </w:r>
      <w:r w:rsidRPr="000977F7">
        <w:rPr>
          <w:rFonts w:asciiTheme="majorHAnsi" w:hAnsiTheme="majorHAnsi"/>
          <w:sz w:val="20"/>
          <w:szCs w:val="20"/>
        </w:rPr>
        <w:t>моніторинг) шляхом здійснення</w:t>
      </w:r>
      <w:r w:rsidRPr="000977F7">
        <w:rPr>
          <w:rFonts w:asciiTheme="majorHAnsi" w:hAnsiTheme="majorHAnsi"/>
          <w:spacing w:val="1"/>
          <w:sz w:val="20"/>
          <w:szCs w:val="20"/>
        </w:rPr>
        <w:t xml:space="preserve"> </w:t>
      </w:r>
      <w:r w:rsidRPr="000977F7">
        <w:rPr>
          <w:rFonts w:asciiTheme="majorHAnsi" w:hAnsiTheme="majorHAnsi"/>
          <w:sz w:val="20"/>
          <w:szCs w:val="20"/>
        </w:rPr>
        <w:t>нагляду,</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1"/>
          <w:sz w:val="20"/>
          <w:szCs w:val="20"/>
        </w:rPr>
        <w:t xml:space="preserve"> </w:t>
      </w:r>
      <w:r w:rsidRPr="000977F7">
        <w:rPr>
          <w:rFonts w:asciiTheme="majorHAnsi" w:hAnsiTheme="majorHAnsi"/>
          <w:sz w:val="20"/>
          <w:szCs w:val="20"/>
        </w:rPr>
        <w:t>повторних</w:t>
      </w:r>
      <w:r w:rsidRPr="000977F7">
        <w:rPr>
          <w:rFonts w:asciiTheme="majorHAnsi" w:hAnsiTheme="majorHAnsi"/>
          <w:spacing w:val="1"/>
          <w:sz w:val="20"/>
          <w:szCs w:val="20"/>
        </w:rPr>
        <w:t xml:space="preserve"> </w:t>
      </w:r>
      <w:r w:rsidRPr="000977F7">
        <w:rPr>
          <w:rFonts w:asciiTheme="majorHAnsi" w:hAnsiTheme="majorHAnsi"/>
          <w:sz w:val="20"/>
          <w:szCs w:val="20"/>
        </w:rPr>
        <w:t>та позачергових</w:t>
      </w:r>
      <w:r w:rsidRPr="000977F7">
        <w:rPr>
          <w:rFonts w:asciiTheme="majorHAnsi" w:hAnsiTheme="majorHAnsi"/>
          <w:spacing w:val="-2"/>
          <w:sz w:val="20"/>
          <w:szCs w:val="20"/>
        </w:rPr>
        <w:t xml:space="preserve"> </w:t>
      </w:r>
      <w:r w:rsidRPr="000977F7">
        <w:rPr>
          <w:rFonts w:asciiTheme="majorHAnsi" w:hAnsiTheme="majorHAnsi"/>
          <w:sz w:val="20"/>
          <w:szCs w:val="20"/>
        </w:rPr>
        <w:t>оцінок;</w:t>
      </w:r>
    </w:p>
    <w:p w14:paraId="7B233B3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затвердження:</w:t>
      </w:r>
    </w:p>
    <w:p w14:paraId="11A2B31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порядку</w:t>
      </w:r>
      <w:r w:rsidRPr="000977F7">
        <w:rPr>
          <w:rFonts w:asciiTheme="majorHAnsi" w:hAnsiTheme="majorHAnsi"/>
          <w:spacing w:val="1"/>
          <w:sz w:val="20"/>
          <w:szCs w:val="20"/>
        </w:rPr>
        <w:t xml:space="preserve"> </w:t>
      </w:r>
      <w:r w:rsidRPr="000977F7">
        <w:rPr>
          <w:rFonts w:asciiTheme="majorHAnsi" w:hAnsiTheme="majorHAnsi"/>
          <w:sz w:val="20"/>
          <w:szCs w:val="20"/>
        </w:rPr>
        <w:t>здійснення</w:t>
      </w:r>
      <w:r w:rsidRPr="000977F7">
        <w:rPr>
          <w:rFonts w:asciiTheme="majorHAnsi" w:hAnsiTheme="majorHAnsi"/>
          <w:spacing w:val="6"/>
          <w:sz w:val="20"/>
          <w:szCs w:val="20"/>
        </w:rPr>
        <w:t xml:space="preserve"> </w:t>
      </w:r>
      <w:r w:rsidRPr="000977F7">
        <w:rPr>
          <w:rFonts w:asciiTheme="majorHAnsi" w:hAnsiTheme="majorHAnsi"/>
          <w:sz w:val="20"/>
          <w:szCs w:val="20"/>
        </w:rPr>
        <w:t>акредитації,</w:t>
      </w:r>
      <w:r w:rsidRPr="000977F7">
        <w:rPr>
          <w:rFonts w:asciiTheme="majorHAnsi" w:hAnsiTheme="majorHAnsi"/>
          <w:spacing w:val="7"/>
          <w:sz w:val="20"/>
          <w:szCs w:val="20"/>
        </w:rPr>
        <w:t xml:space="preserve"> </w:t>
      </w:r>
      <w:r w:rsidRPr="000977F7">
        <w:rPr>
          <w:rFonts w:asciiTheme="majorHAnsi" w:hAnsiTheme="majorHAnsi"/>
          <w:sz w:val="20"/>
          <w:szCs w:val="20"/>
        </w:rPr>
        <w:t>програм</w:t>
      </w:r>
      <w:r w:rsidRPr="000977F7">
        <w:rPr>
          <w:rFonts w:asciiTheme="majorHAnsi" w:hAnsiTheme="majorHAnsi"/>
          <w:spacing w:val="6"/>
          <w:sz w:val="20"/>
          <w:szCs w:val="20"/>
        </w:rPr>
        <w:t xml:space="preserve"> </w:t>
      </w:r>
      <w:r w:rsidRPr="000977F7">
        <w:rPr>
          <w:rFonts w:asciiTheme="majorHAnsi" w:hAnsiTheme="majorHAnsi"/>
          <w:sz w:val="20"/>
          <w:szCs w:val="20"/>
        </w:rPr>
        <w:t>робіт</w:t>
      </w:r>
      <w:r w:rsidRPr="000977F7">
        <w:rPr>
          <w:rFonts w:asciiTheme="majorHAnsi" w:hAnsiTheme="majorHAnsi"/>
          <w:spacing w:val="4"/>
          <w:sz w:val="20"/>
          <w:szCs w:val="20"/>
        </w:rPr>
        <w:t xml:space="preserve"> </w:t>
      </w:r>
      <w:r w:rsidRPr="000977F7">
        <w:rPr>
          <w:rFonts w:asciiTheme="majorHAnsi" w:hAnsiTheme="majorHAnsi"/>
          <w:sz w:val="20"/>
          <w:szCs w:val="20"/>
        </w:rPr>
        <w:t>з</w:t>
      </w:r>
      <w:r w:rsidRPr="000977F7">
        <w:rPr>
          <w:rFonts w:asciiTheme="majorHAnsi" w:hAnsiTheme="majorHAnsi"/>
          <w:spacing w:val="-47"/>
          <w:sz w:val="20"/>
          <w:szCs w:val="20"/>
        </w:rPr>
        <w:t xml:space="preserve"> </w:t>
      </w:r>
      <w:r w:rsidRPr="000977F7">
        <w:rPr>
          <w:rFonts w:asciiTheme="majorHAnsi" w:hAnsiTheme="majorHAnsi"/>
          <w:sz w:val="20"/>
          <w:szCs w:val="20"/>
        </w:rPr>
        <w:t>акредитації;</w:t>
      </w:r>
    </w:p>
    <w:p w14:paraId="29BCA58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порядку</w:t>
      </w:r>
      <w:r w:rsidRPr="000977F7">
        <w:rPr>
          <w:rFonts w:asciiTheme="majorHAnsi" w:hAnsiTheme="majorHAnsi"/>
          <w:spacing w:val="-8"/>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4"/>
          <w:sz w:val="20"/>
          <w:szCs w:val="20"/>
        </w:rPr>
        <w:t xml:space="preserve"> </w:t>
      </w:r>
      <w:r w:rsidRPr="000977F7">
        <w:rPr>
          <w:rFonts w:asciiTheme="majorHAnsi" w:hAnsiTheme="majorHAnsi"/>
          <w:sz w:val="20"/>
          <w:szCs w:val="20"/>
        </w:rPr>
        <w:t>моніторингу;</w:t>
      </w:r>
    </w:p>
    <w:p w14:paraId="452662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порядку</w:t>
      </w:r>
      <w:r w:rsidRPr="000977F7">
        <w:rPr>
          <w:rFonts w:asciiTheme="majorHAnsi" w:hAnsiTheme="majorHAnsi"/>
          <w:spacing w:val="4"/>
          <w:sz w:val="20"/>
          <w:szCs w:val="20"/>
        </w:rPr>
        <w:t xml:space="preserve"> </w:t>
      </w:r>
      <w:r w:rsidRPr="000977F7">
        <w:rPr>
          <w:rFonts w:asciiTheme="majorHAnsi" w:hAnsiTheme="majorHAnsi"/>
          <w:sz w:val="20"/>
          <w:szCs w:val="20"/>
        </w:rPr>
        <w:t>розгляду</w:t>
      </w:r>
      <w:r w:rsidRPr="000977F7">
        <w:rPr>
          <w:rFonts w:asciiTheme="majorHAnsi" w:hAnsiTheme="majorHAnsi"/>
          <w:spacing w:val="4"/>
          <w:sz w:val="20"/>
          <w:szCs w:val="20"/>
        </w:rPr>
        <w:t xml:space="preserve"> </w:t>
      </w:r>
      <w:r w:rsidRPr="000977F7">
        <w:rPr>
          <w:rFonts w:asciiTheme="majorHAnsi" w:hAnsiTheme="majorHAnsi"/>
          <w:sz w:val="20"/>
          <w:szCs w:val="20"/>
        </w:rPr>
        <w:t>скарг,</w:t>
      </w:r>
      <w:r w:rsidRPr="000977F7">
        <w:rPr>
          <w:rFonts w:asciiTheme="majorHAnsi" w:hAnsiTheme="majorHAnsi"/>
          <w:spacing w:val="10"/>
          <w:sz w:val="20"/>
          <w:szCs w:val="20"/>
        </w:rPr>
        <w:t xml:space="preserve"> </w:t>
      </w:r>
      <w:r w:rsidRPr="000977F7">
        <w:rPr>
          <w:rFonts w:asciiTheme="majorHAnsi" w:hAnsiTheme="majorHAnsi"/>
          <w:sz w:val="20"/>
          <w:szCs w:val="20"/>
        </w:rPr>
        <w:t>пов'язаних</w:t>
      </w:r>
      <w:r w:rsidRPr="000977F7">
        <w:rPr>
          <w:rFonts w:asciiTheme="majorHAnsi" w:hAnsiTheme="majorHAnsi"/>
          <w:spacing w:val="6"/>
          <w:sz w:val="20"/>
          <w:szCs w:val="20"/>
        </w:rPr>
        <w:t xml:space="preserve"> </w:t>
      </w:r>
      <w:r w:rsidRPr="000977F7">
        <w:rPr>
          <w:rFonts w:asciiTheme="majorHAnsi" w:hAnsiTheme="majorHAnsi"/>
          <w:sz w:val="20"/>
          <w:szCs w:val="20"/>
        </w:rPr>
        <w:t>з</w:t>
      </w:r>
      <w:r w:rsidRPr="000977F7">
        <w:rPr>
          <w:rFonts w:asciiTheme="majorHAnsi" w:hAnsiTheme="majorHAnsi"/>
          <w:spacing w:val="8"/>
          <w:sz w:val="20"/>
          <w:szCs w:val="20"/>
        </w:rPr>
        <w:t xml:space="preserve"> </w:t>
      </w:r>
      <w:r w:rsidRPr="000977F7">
        <w:rPr>
          <w:rFonts w:asciiTheme="majorHAnsi" w:hAnsiTheme="majorHAnsi"/>
          <w:sz w:val="20"/>
          <w:szCs w:val="20"/>
        </w:rPr>
        <w:t>діяльністю</w:t>
      </w:r>
      <w:r w:rsidRPr="000977F7">
        <w:rPr>
          <w:rFonts w:asciiTheme="majorHAnsi" w:hAnsiTheme="majorHAnsi"/>
          <w:spacing w:val="-47"/>
          <w:sz w:val="20"/>
          <w:szCs w:val="20"/>
        </w:rPr>
        <w:t xml:space="preserve"> </w:t>
      </w:r>
      <w:r w:rsidRPr="000977F7">
        <w:rPr>
          <w:rFonts w:asciiTheme="majorHAnsi" w:hAnsiTheme="majorHAnsi"/>
          <w:sz w:val="20"/>
          <w:szCs w:val="20"/>
        </w:rPr>
        <w:t>акредитованих</w:t>
      </w:r>
      <w:r w:rsidRPr="000977F7">
        <w:rPr>
          <w:rFonts w:asciiTheme="majorHAnsi" w:hAnsiTheme="majorHAnsi"/>
          <w:spacing w:val="-2"/>
          <w:sz w:val="20"/>
          <w:szCs w:val="20"/>
        </w:rPr>
        <w:t xml:space="preserve"> </w:t>
      </w:r>
      <w:r w:rsidRPr="000977F7">
        <w:rPr>
          <w:rFonts w:asciiTheme="majorHAnsi" w:hAnsiTheme="majorHAnsi"/>
          <w:sz w:val="20"/>
          <w:szCs w:val="20"/>
        </w:rPr>
        <w:t>органів</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оцінки</w:t>
      </w:r>
      <w:r w:rsidRPr="000977F7">
        <w:rPr>
          <w:rFonts w:asciiTheme="majorHAnsi" w:hAnsiTheme="majorHAnsi"/>
          <w:spacing w:val="-2"/>
          <w:sz w:val="20"/>
          <w:szCs w:val="20"/>
        </w:rPr>
        <w:t xml:space="preserve"> </w:t>
      </w:r>
      <w:r w:rsidRPr="000977F7">
        <w:rPr>
          <w:rFonts w:asciiTheme="majorHAnsi" w:hAnsiTheme="majorHAnsi"/>
          <w:sz w:val="20"/>
          <w:szCs w:val="20"/>
        </w:rPr>
        <w:t>відповідності;</w:t>
      </w:r>
    </w:p>
    <w:p w14:paraId="6CA1FA9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кваліфікаційних вимог, порядку та правил атестації</w:t>
      </w:r>
      <w:r w:rsidRPr="000977F7">
        <w:rPr>
          <w:rFonts w:asciiTheme="majorHAnsi" w:hAnsiTheme="majorHAnsi"/>
          <w:spacing w:val="-47"/>
          <w:sz w:val="20"/>
          <w:szCs w:val="20"/>
        </w:rPr>
        <w:t xml:space="preserve"> </w:t>
      </w:r>
      <w:r w:rsidRPr="000977F7">
        <w:rPr>
          <w:rFonts w:asciiTheme="majorHAnsi" w:hAnsiTheme="majorHAnsi"/>
          <w:sz w:val="20"/>
          <w:szCs w:val="20"/>
        </w:rPr>
        <w:t>персоналу</w:t>
      </w:r>
      <w:r w:rsidRPr="000977F7">
        <w:rPr>
          <w:rFonts w:asciiTheme="majorHAnsi" w:hAnsiTheme="majorHAnsi"/>
          <w:spacing w:val="-2"/>
          <w:sz w:val="20"/>
          <w:szCs w:val="20"/>
        </w:rPr>
        <w:t xml:space="preserve"> </w:t>
      </w:r>
      <w:r w:rsidRPr="000977F7">
        <w:rPr>
          <w:rFonts w:asciiTheme="majorHAnsi" w:hAnsiTheme="majorHAnsi"/>
          <w:sz w:val="20"/>
          <w:szCs w:val="20"/>
        </w:rPr>
        <w:t>з акредитації;</w:t>
      </w:r>
    </w:p>
    <w:p w14:paraId="1D16B59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складу атестаційної комісії персоналу з акредитації;</w:t>
      </w:r>
    </w:p>
    <w:p w14:paraId="0B403F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відбору,</w:t>
      </w:r>
      <w:r w:rsidRPr="000977F7">
        <w:rPr>
          <w:rFonts w:asciiTheme="majorHAnsi" w:hAnsiTheme="majorHAnsi"/>
          <w:spacing w:val="1"/>
          <w:sz w:val="20"/>
          <w:szCs w:val="20"/>
        </w:rPr>
        <w:t xml:space="preserve"> </w:t>
      </w:r>
      <w:r w:rsidRPr="000977F7">
        <w:rPr>
          <w:rFonts w:asciiTheme="majorHAnsi" w:hAnsiTheme="majorHAnsi"/>
          <w:sz w:val="20"/>
          <w:szCs w:val="20"/>
        </w:rPr>
        <w:t>навчання,</w:t>
      </w:r>
      <w:r w:rsidRPr="000977F7">
        <w:rPr>
          <w:rFonts w:asciiTheme="majorHAnsi" w:hAnsiTheme="majorHAnsi"/>
          <w:spacing w:val="1"/>
          <w:sz w:val="20"/>
          <w:szCs w:val="20"/>
        </w:rPr>
        <w:t xml:space="preserve"> </w:t>
      </w:r>
      <w:r w:rsidRPr="000977F7">
        <w:rPr>
          <w:rFonts w:asciiTheme="majorHAnsi" w:hAnsiTheme="majorHAnsi"/>
          <w:sz w:val="20"/>
          <w:szCs w:val="20"/>
        </w:rPr>
        <w:t>підготовки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атестації персоналу з акредитації, залучення</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49"/>
          <w:sz w:val="20"/>
          <w:szCs w:val="20"/>
        </w:rPr>
        <w:t xml:space="preserve"> </w:t>
      </w:r>
      <w:r w:rsidRPr="000977F7">
        <w:rPr>
          <w:rFonts w:asciiTheme="majorHAnsi" w:hAnsiTheme="majorHAnsi"/>
          <w:sz w:val="20"/>
          <w:szCs w:val="20"/>
        </w:rPr>
        <w:t>робіт</w:t>
      </w:r>
      <w:r w:rsidRPr="000977F7">
        <w:rPr>
          <w:rFonts w:asciiTheme="majorHAnsi" w:hAnsiTheme="majorHAnsi"/>
          <w:spacing w:val="48"/>
          <w:sz w:val="20"/>
          <w:szCs w:val="20"/>
        </w:rPr>
        <w:t xml:space="preserve"> </w:t>
      </w:r>
      <w:r w:rsidRPr="000977F7">
        <w:rPr>
          <w:rFonts w:asciiTheme="majorHAnsi" w:hAnsiTheme="majorHAnsi"/>
          <w:sz w:val="20"/>
          <w:szCs w:val="20"/>
        </w:rPr>
        <w:t>з акредитації;</w:t>
      </w:r>
    </w:p>
    <w:p w14:paraId="3ACAA0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ведення</w:t>
      </w:r>
      <w:r w:rsidRPr="000977F7">
        <w:rPr>
          <w:rFonts w:asciiTheme="majorHAnsi" w:hAnsiTheme="majorHAnsi"/>
          <w:spacing w:val="1"/>
          <w:sz w:val="20"/>
          <w:szCs w:val="20"/>
        </w:rPr>
        <w:t xml:space="preserve"> </w:t>
      </w:r>
      <w:r w:rsidRPr="000977F7">
        <w:rPr>
          <w:rFonts w:asciiTheme="majorHAnsi" w:hAnsiTheme="majorHAnsi"/>
          <w:sz w:val="20"/>
          <w:szCs w:val="20"/>
        </w:rPr>
        <w:t>реєстру</w:t>
      </w:r>
      <w:r w:rsidRPr="000977F7">
        <w:rPr>
          <w:rFonts w:asciiTheme="majorHAnsi" w:hAnsiTheme="majorHAnsi"/>
          <w:spacing w:val="1"/>
          <w:sz w:val="20"/>
          <w:szCs w:val="20"/>
        </w:rPr>
        <w:t xml:space="preserve"> </w:t>
      </w:r>
      <w:r w:rsidRPr="000977F7">
        <w:rPr>
          <w:rFonts w:asciiTheme="majorHAnsi" w:hAnsiTheme="majorHAnsi"/>
          <w:sz w:val="20"/>
          <w:szCs w:val="20"/>
        </w:rPr>
        <w:t>акредитованих</w:t>
      </w:r>
      <w:r w:rsidRPr="000977F7">
        <w:rPr>
          <w:rFonts w:asciiTheme="majorHAnsi" w:hAnsiTheme="majorHAnsi"/>
          <w:spacing w:val="1"/>
          <w:sz w:val="20"/>
          <w:szCs w:val="20"/>
        </w:rPr>
        <w:t xml:space="preserve"> </w:t>
      </w:r>
      <w:r w:rsidRPr="000977F7">
        <w:rPr>
          <w:rFonts w:asciiTheme="majorHAnsi" w:hAnsiTheme="majorHAnsi"/>
          <w:sz w:val="20"/>
          <w:szCs w:val="20"/>
        </w:rPr>
        <w:t>органів</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оцінки</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реєстру</w:t>
      </w:r>
      <w:r w:rsidRPr="000977F7">
        <w:rPr>
          <w:rFonts w:asciiTheme="majorHAnsi" w:hAnsiTheme="majorHAnsi"/>
          <w:spacing w:val="-2"/>
          <w:sz w:val="20"/>
          <w:szCs w:val="20"/>
        </w:rPr>
        <w:t xml:space="preserve"> </w:t>
      </w:r>
      <w:r w:rsidRPr="000977F7">
        <w:rPr>
          <w:rFonts w:asciiTheme="majorHAnsi" w:hAnsiTheme="majorHAnsi"/>
          <w:sz w:val="20"/>
          <w:szCs w:val="20"/>
        </w:rPr>
        <w:t>персоналу</w:t>
      </w:r>
      <w:r w:rsidRPr="000977F7">
        <w:rPr>
          <w:rFonts w:asciiTheme="majorHAnsi" w:hAnsiTheme="majorHAnsi"/>
          <w:spacing w:val="-5"/>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акредитації;</w:t>
      </w:r>
    </w:p>
    <w:p w14:paraId="0A8BB5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участь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роботі</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гармонізації</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нормативноправових</w:t>
      </w:r>
      <w:r w:rsidRPr="000977F7">
        <w:rPr>
          <w:rFonts w:asciiTheme="majorHAnsi" w:hAnsiTheme="majorHAnsi"/>
          <w:spacing w:val="1"/>
          <w:sz w:val="20"/>
          <w:szCs w:val="20"/>
        </w:rPr>
        <w:t xml:space="preserve"> </w:t>
      </w:r>
      <w:r w:rsidRPr="000977F7">
        <w:rPr>
          <w:rFonts w:asciiTheme="majorHAnsi" w:hAnsiTheme="majorHAnsi"/>
          <w:sz w:val="20"/>
          <w:szCs w:val="20"/>
        </w:rPr>
        <w:t>актів,</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національних</w:t>
      </w:r>
      <w:r w:rsidRPr="000977F7">
        <w:rPr>
          <w:rFonts w:asciiTheme="majorHAnsi" w:hAnsiTheme="majorHAnsi"/>
          <w:spacing w:val="1"/>
          <w:sz w:val="20"/>
          <w:szCs w:val="20"/>
        </w:rPr>
        <w:t xml:space="preserve"> </w:t>
      </w:r>
      <w:r w:rsidRPr="000977F7">
        <w:rPr>
          <w:rFonts w:asciiTheme="majorHAnsi" w:hAnsiTheme="majorHAnsi"/>
          <w:sz w:val="20"/>
          <w:szCs w:val="20"/>
        </w:rPr>
        <w:t>стандартів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документів з питань акредитації з міжнародними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європейськими</w:t>
      </w:r>
      <w:r w:rsidRPr="000977F7">
        <w:rPr>
          <w:rFonts w:asciiTheme="majorHAnsi" w:hAnsiTheme="majorHAnsi"/>
          <w:spacing w:val="1"/>
          <w:sz w:val="20"/>
          <w:szCs w:val="20"/>
        </w:rPr>
        <w:t xml:space="preserve"> </w:t>
      </w:r>
      <w:r w:rsidRPr="000977F7">
        <w:rPr>
          <w:rFonts w:asciiTheme="majorHAnsi" w:hAnsiTheme="majorHAnsi"/>
          <w:sz w:val="20"/>
          <w:szCs w:val="20"/>
        </w:rPr>
        <w:t>правилами</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стандартами,</w:t>
      </w:r>
      <w:r w:rsidRPr="000977F7">
        <w:rPr>
          <w:rFonts w:asciiTheme="majorHAnsi" w:hAnsiTheme="majorHAnsi"/>
          <w:spacing w:val="1"/>
          <w:sz w:val="20"/>
          <w:szCs w:val="20"/>
        </w:rPr>
        <w:t xml:space="preserve"> </w:t>
      </w:r>
      <w:r w:rsidRPr="000977F7">
        <w:rPr>
          <w:rFonts w:asciiTheme="majorHAnsi" w:hAnsiTheme="majorHAnsi"/>
          <w:sz w:val="20"/>
          <w:szCs w:val="20"/>
        </w:rPr>
        <w:t>які визначають вимоги до національного органу України з</w:t>
      </w:r>
      <w:r w:rsidRPr="000977F7">
        <w:rPr>
          <w:rFonts w:asciiTheme="majorHAnsi" w:hAnsiTheme="majorHAnsi"/>
          <w:spacing w:val="1"/>
          <w:sz w:val="20"/>
          <w:szCs w:val="20"/>
        </w:rPr>
        <w:t xml:space="preserve"> </w:t>
      </w:r>
      <w:r w:rsidRPr="000977F7">
        <w:rPr>
          <w:rFonts w:asciiTheme="majorHAnsi" w:hAnsiTheme="majorHAnsi"/>
          <w:sz w:val="20"/>
          <w:szCs w:val="20"/>
        </w:rPr>
        <w:t>акредитації та акредитованих органів з оцінки відповідності;</w:t>
      </w:r>
    </w:p>
    <w:p w14:paraId="2CCD4B2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науково-дослідних робіт у сфері акредитації;</w:t>
      </w:r>
    </w:p>
    <w:p w14:paraId="5AC9363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51"/>
          <w:sz w:val="20"/>
          <w:szCs w:val="20"/>
        </w:rPr>
        <w:t xml:space="preserve"> </w:t>
      </w:r>
      <w:r w:rsidRPr="000977F7">
        <w:rPr>
          <w:rFonts w:asciiTheme="majorHAnsi" w:hAnsiTheme="majorHAnsi"/>
          <w:sz w:val="20"/>
          <w:szCs w:val="20"/>
        </w:rPr>
        <w:t>інформаційного</w:t>
      </w:r>
      <w:r w:rsidRPr="000977F7">
        <w:rPr>
          <w:rFonts w:asciiTheme="majorHAnsi" w:hAnsiTheme="majorHAnsi"/>
          <w:spacing w:val="51"/>
          <w:sz w:val="20"/>
          <w:szCs w:val="20"/>
        </w:rPr>
        <w:t xml:space="preserve"> </w:t>
      </w:r>
      <w:r w:rsidRPr="000977F7">
        <w:rPr>
          <w:rFonts w:asciiTheme="majorHAnsi" w:hAnsiTheme="majorHAnsi"/>
          <w:sz w:val="20"/>
          <w:szCs w:val="20"/>
        </w:rPr>
        <w:t xml:space="preserve">забезпечення  </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питань</w:t>
      </w:r>
      <w:r w:rsidRPr="000977F7">
        <w:rPr>
          <w:rFonts w:asciiTheme="majorHAnsi" w:hAnsiTheme="majorHAnsi"/>
          <w:spacing w:val="-1"/>
          <w:sz w:val="20"/>
          <w:szCs w:val="20"/>
        </w:rPr>
        <w:t xml:space="preserve"> </w:t>
      </w:r>
      <w:r w:rsidRPr="000977F7">
        <w:rPr>
          <w:rFonts w:asciiTheme="majorHAnsi" w:hAnsiTheme="majorHAnsi"/>
          <w:sz w:val="20"/>
          <w:szCs w:val="20"/>
        </w:rPr>
        <w:t>акредитації.</w:t>
      </w:r>
    </w:p>
    <w:p w14:paraId="7432B3E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випадках,</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встановлених законодавством, національний орган України з акредитації виконує функції</w:t>
      </w:r>
      <w:r w:rsidRPr="000977F7">
        <w:rPr>
          <w:rFonts w:asciiTheme="majorHAnsi" w:hAnsiTheme="majorHAnsi"/>
          <w:spacing w:val="1"/>
          <w:sz w:val="20"/>
          <w:szCs w:val="20"/>
        </w:rPr>
        <w:t xml:space="preserve"> </w:t>
      </w:r>
      <w:r w:rsidRPr="000977F7">
        <w:rPr>
          <w:rFonts w:asciiTheme="majorHAnsi" w:hAnsiTheme="majorHAnsi"/>
          <w:sz w:val="20"/>
          <w:szCs w:val="20"/>
        </w:rPr>
        <w:t>щодо акредитації інших осіб, ніж органи з оцінки 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або засвідчення компетентності осіб щодо</w:t>
      </w:r>
      <w:r w:rsidRPr="000977F7">
        <w:rPr>
          <w:rFonts w:asciiTheme="majorHAnsi" w:hAnsiTheme="majorHAnsi"/>
          <w:spacing w:val="-47"/>
          <w:sz w:val="20"/>
          <w:szCs w:val="20"/>
        </w:rPr>
        <w:t xml:space="preserve"> </w:t>
      </w:r>
      <w:r w:rsidRPr="000977F7">
        <w:rPr>
          <w:rFonts w:asciiTheme="majorHAnsi" w:hAnsiTheme="majorHAnsi"/>
          <w:sz w:val="20"/>
          <w:szCs w:val="20"/>
        </w:rPr>
        <w:t>провадження діяльності, іншої ніж оцінка відповідності.</w:t>
      </w:r>
    </w:p>
    <w:p w14:paraId="582C74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Національний</w:t>
      </w:r>
      <w:r w:rsidRPr="000977F7">
        <w:rPr>
          <w:rFonts w:asciiTheme="majorHAnsi" w:hAnsiTheme="majorHAnsi"/>
          <w:spacing w:val="1"/>
          <w:sz w:val="20"/>
          <w:szCs w:val="20"/>
        </w:rPr>
        <w:t xml:space="preserve"> </w:t>
      </w:r>
      <w:r w:rsidRPr="000977F7">
        <w:rPr>
          <w:rFonts w:asciiTheme="majorHAnsi" w:hAnsiTheme="majorHAnsi"/>
          <w:sz w:val="20"/>
          <w:szCs w:val="20"/>
        </w:rPr>
        <w:t>орган</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акредитації</w:t>
      </w:r>
      <w:r w:rsidRPr="000977F7">
        <w:rPr>
          <w:rFonts w:asciiTheme="majorHAnsi" w:hAnsiTheme="majorHAnsi"/>
          <w:spacing w:val="1"/>
          <w:sz w:val="20"/>
          <w:szCs w:val="20"/>
        </w:rPr>
        <w:t xml:space="preserve"> </w:t>
      </w:r>
      <w:r w:rsidRPr="000977F7">
        <w:rPr>
          <w:rFonts w:asciiTheme="majorHAnsi" w:hAnsiTheme="majorHAnsi"/>
          <w:sz w:val="20"/>
          <w:szCs w:val="20"/>
        </w:rPr>
        <w:t>оприлюднює</w:t>
      </w:r>
      <w:r w:rsidRPr="000977F7">
        <w:rPr>
          <w:rFonts w:asciiTheme="majorHAnsi" w:hAnsiTheme="majorHAnsi"/>
          <w:spacing w:val="1"/>
          <w:sz w:val="20"/>
          <w:szCs w:val="20"/>
        </w:rPr>
        <w:t xml:space="preserve"> </w:t>
      </w:r>
      <w:r w:rsidRPr="000977F7">
        <w:rPr>
          <w:rFonts w:asciiTheme="majorHAnsi" w:hAnsiTheme="majorHAnsi"/>
          <w:sz w:val="20"/>
          <w:szCs w:val="20"/>
        </w:rPr>
        <w:t>на власному веб-сайті в Інтернеті інформацію про</w:t>
      </w:r>
      <w:r w:rsidRPr="000977F7">
        <w:rPr>
          <w:rFonts w:asciiTheme="majorHAnsi" w:hAnsiTheme="majorHAnsi"/>
          <w:spacing w:val="1"/>
          <w:sz w:val="20"/>
          <w:szCs w:val="20"/>
        </w:rPr>
        <w:t xml:space="preserve"> </w:t>
      </w:r>
      <w:r w:rsidRPr="000977F7">
        <w:rPr>
          <w:rFonts w:asciiTheme="majorHAnsi" w:hAnsiTheme="majorHAnsi"/>
          <w:sz w:val="20"/>
          <w:szCs w:val="20"/>
        </w:rPr>
        <w:t>види</w:t>
      </w:r>
      <w:r w:rsidRPr="000977F7">
        <w:rPr>
          <w:rFonts w:asciiTheme="majorHAnsi" w:hAnsiTheme="majorHAnsi"/>
          <w:spacing w:val="1"/>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1"/>
          <w:sz w:val="20"/>
          <w:szCs w:val="20"/>
        </w:rPr>
        <w:t xml:space="preserve"> </w:t>
      </w:r>
      <w:r w:rsidRPr="000977F7">
        <w:rPr>
          <w:rFonts w:asciiTheme="majorHAnsi" w:hAnsiTheme="majorHAnsi"/>
          <w:sz w:val="20"/>
          <w:szCs w:val="20"/>
        </w:rPr>
        <w:t>з оцінки 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щодо яких він здійснює акредитацію,</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про будь-які</w:t>
      </w:r>
      <w:r w:rsidRPr="000977F7">
        <w:rPr>
          <w:rFonts w:asciiTheme="majorHAnsi" w:hAnsiTheme="majorHAnsi"/>
          <w:spacing w:val="-47"/>
          <w:sz w:val="20"/>
          <w:szCs w:val="20"/>
        </w:rPr>
        <w:t xml:space="preserve"> </w:t>
      </w:r>
      <w:r w:rsidRPr="000977F7">
        <w:rPr>
          <w:rFonts w:asciiTheme="majorHAnsi" w:hAnsiTheme="majorHAnsi"/>
          <w:sz w:val="20"/>
          <w:szCs w:val="20"/>
        </w:rPr>
        <w:t>пов'язані</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цим</w:t>
      </w:r>
      <w:r w:rsidRPr="000977F7">
        <w:rPr>
          <w:rFonts w:asciiTheme="majorHAnsi" w:hAnsiTheme="majorHAnsi"/>
          <w:spacing w:val="1"/>
          <w:sz w:val="20"/>
          <w:szCs w:val="20"/>
        </w:rPr>
        <w:t xml:space="preserve"> </w:t>
      </w:r>
      <w:r w:rsidRPr="000977F7">
        <w:rPr>
          <w:rFonts w:asciiTheme="majorHAnsi" w:hAnsiTheme="majorHAnsi"/>
          <w:sz w:val="20"/>
          <w:szCs w:val="20"/>
        </w:rPr>
        <w:t>зміни.</w:t>
      </w:r>
    </w:p>
    <w:p w14:paraId="3C7AFC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Національний</w:t>
      </w:r>
      <w:r w:rsidRPr="000977F7">
        <w:rPr>
          <w:rFonts w:asciiTheme="majorHAnsi" w:hAnsiTheme="majorHAnsi"/>
          <w:spacing w:val="1"/>
          <w:sz w:val="20"/>
          <w:szCs w:val="20"/>
        </w:rPr>
        <w:t xml:space="preserve"> </w:t>
      </w:r>
      <w:r w:rsidRPr="000977F7">
        <w:rPr>
          <w:rFonts w:asciiTheme="majorHAnsi" w:hAnsiTheme="majorHAnsi"/>
          <w:sz w:val="20"/>
          <w:szCs w:val="20"/>
        </w:rPr>
        <w:t>орган</w:t>
      </w:r>
      <w:r w:rsidRPr="000977F7">
        <w:rPr>
          <w:rFonts w:asciiTheme="majorHAnsi" w:hAnsiTheme="majorHAnsi"/>
          <w:spacing w:val="1"/>
          <w:sz w:val="20"/>
          <w:szCs w:val="20"/>
        </w:rPr>
        <w:t xml:space="preserve"> </w:t>
      </w:r>
      <w:r w:rsidRPr="000977F7">
        <w:rPr>
          <w:rFonts w:asciiTheme="majorHAnsi" w:hAnsiTheme="majorHAnsi"/>
          <w:sz w:val="20"/>
          <w:szCs w:val="20"/>
        </w:rPr>
        <w:t>України з акредитації надає</w:t>
      </w:r>
      <w:r w:rsidRPr="000977F7">
        <w:rPr>
          <w:rFonts w:asciiTheme="majorHAnsi" w:hAnsiTheme="majorHAnsi"/>
          <w:spacing w:val="1"/>
          <w:sz w:val="20"/>
          <w:szCs w:val="20"/>
        </w:rPr>
        <w:t xml:space="preserve"> </w:t>
      </w:r>
      <w:r w:rsidRPr="000977F7">
        <w:rPr>
          <w:rFonts w:asciiTheme="majorHAnsi" w:hAnsiTheme="majorHAnsi"/>
          <w:sz w:val="20"/>
          <w:szCs w:val="20"/>
        </w:rPr>
        <w:t>центральному органу</w:t>
      </w:r>
      <w:r w:rsidRPr="000977F7">
        <w:rPr>
          <w:rFonts w:asciiTheme="majorHAnsi" w:hAnsiTheme="majorHAnsi"/>
          <w:spacing w:val="1"/>
          <w:sz w:val="20"/>
          <w:szCs w:val="20"/>
        </w:rPr>
        <w:t xml:space="preserve"> </w:t>
      </w:r>
      <w:r w:rsidRPr="000977F7">
        <w:rPr>
          <w:rFonts w:asciiTheme="majorHAnsi" w:hAnsiTheme="majorHAnsi"/>
          <w:sz w:val="20"/>
          <w:szCs w:val="20"/>
        </w:rPr>
        <w:t>виконавчої</w:t>
      </w:r>
      <w:r w:rsidRPr="000977F7">
        <w:rPr>
          <w:rFonts w:asciiTheme="majorHAnsi" w:hAnsiTheme="majorHAnsi"/>
          <w:spacing w:val="1"/>
          <w:sz w:val="20"/>
          <w:szCs w:val="20"/>
        </w:rPr>
        <w:t xml:space="preserve"> </w:t>
      </w:r>
      <w:r w:rsidRPr="000977F7">
        <w:rPr>
          <w:rFonts w:asciiTheme="majorHAnsi" w:hAnsiTheme="majorHAnsi"/>
          <w:sz w:val="20"/>
          <w:szCs w:val="20"/>
        </w:rPr>
        <w:t>влади,</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забезпечує</w:t>
      </w:r>
      <w:r w:rsidRPr="000977F7">
        <w:rPr>
          <w:rFonts w:asciiTheme="majorHAnsi" w:hAnsiTheme="majorHAnsi"/>
          <w:spacing w:val="1"/>
          <w:sz w:val="20"/>
          <w:szCs w:val="20"/>
        </w:rPr>
        <w:t xml:space="preserve"> </w:t>
      </w:r>
      <w:r w:rsidRPr="000977F7">
        <w:rPr>
          <w:rFonts w:asciiTheme="majorHAnsi" w:hAnsiTheme="majorHAnsi"/>
          <w:sz w:val="20"/>
          <w:szCs w:val="20"/>
        </w:rPr>
        <w:t>формування</w:t>
      </w:r>
      <w:r w:rsidRPr="000977F7">
        <w:rPr>
          <w:rFonts w:asciiTheme="majorHAnsi" w:hAnsiTheme="majorHAnsi"/>
          <w:spacing w:val="1"/>
          <w:sz w:val="20"/>
          <w:szCs w:val="20"/>
        </w:rPr>
        <w:t xml:space="preserve"> </w:t>
      </w:r>
      <w:r w:rsidRPr="000977F7">
        <w:rPr>
          <w:rFonts w:asciiTheme="majorHAnsi" w:hAnsiTheme="majorHAnsi"/>
          <w:sz w:val="20"/>
          <w:szCs w:val="20"/>
        </w:rPr>
        <w:t>державної політики у сфері економічного</w:t>
      </w:r>
      <w:r w:rsidRPr="000977F7">
        <w:rPr>
          <w:rFonts w:asciiTheme="majorHAnsi" w:hAnsiTheme="majorHAnsi"/>
          <w:spacing w:val="1"/>
          <w:sz w:val="20"/>
          <w:szCs w:val="20"/>
        </w:rPr>
        <w:t xml:space="preserve"> </w:t>
      </w:r>
      <w:r w:rsidRPr="000977F7">
        <w:rPr>
          <w:rFonts w:asciiTheme="majorHAnsi" w:hAnsiTheme="majorHAnsi"/>
          <w:sz w:val="20"/>
          <w:szCs w:val="20"/>
        </w:rPr>
        <w:t>розвитку,</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інформацію</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50"/>
          <w:sz w:val="20"/>
          <w:szCs w:val="20"/>
        </w:rPr>
        <w:t xml:space="preserve"> </w:t>
      </w:r>
      <w:r w:rsidRPr="000977F7">
        <w:rPr>
          <w:rFonts w:asciiTheme="majorHAnsi" w:hAnsiTheme="majorHAnsi"/>
          <w:sz w:val="20"/>
          <w:szCs w:val="20"/>
        </w:rPr>
        <w:t>провадження</w:t>
      </w:r>
      <w:r w:rsidRPr="000977F7">
        <w:rPr>
          <w:rFonts w:asciiTheme="majorHAnsi" w:hAnsiTheme="majorHAnsi"/>
          <w:spacing w:val="1"/>
          <w:sz w:val="20"/>
          <w:szCs w:val="20"/>
        </w:rPr>
        <w:t xml:space="preserve"> </w:t>
      </w:r>
      <w:r w:rsidRPr="000977F7">
        <w:rPr>
          <w:rFonts w:asciiTheme="majorHAnsi" w:hAnsiTheme="majorHAnsi"/>
          <w:sz w:val="20"/>
          <w:szCs w:val="20"/>
        </w:rPr>
        <w:t>ним</w:t>
      </w:r>
      <w:r w:rsidRPr="000977F7">
        <w:rPr>
          <w:rFonts w:asciiTheme="majorHAnsi" w:hAnsiTheme="majorHAnsi"/>
          <w:spacing w:val="1"/>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акредитації</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обсязі</w:t>
      </w:r>
      <w:r w:rsidRPr="000977F7">
        <w:rPr>
          <w:rFonts w:asciiTheme="majorHAnsi" w:hAnsiTheme="majorHAnsi"/>
          <w:spacing w:val="1"/>
          <w:sz w:val="20"/>
          <w:szCs w:val="20"/>
        </w:rPr>
        <w:t xml:space="preserve"> </w:t>
      </w:r>
      <w:r w:rsidRPr="000977F7">
        <w:rPr>
          <w:rFonts w:asciiTheme="majorHAnsi" w:hAnsiTheme="majorHAnsi"/>
          <w:sz w:val="20"/>
          <w:szCs w:val="20"/>
        </w:rPr>
        <w:t>та порядку,</w:t>
      </w:r>
      <w:r w:rsidRPr="000977F7">
        <w:rPr>
          <w:rFonts w:asciiTheme="majorHAnsi" w:hAnsiTheme="majorHAnsi"/>
          <w:spacing w:val="1"/>
          <w:sz w:val="20"/>
          <w:szCs w:val="20"/>
        </w:rPr>
        <w:t xml:space="preserve"> </w:t>
      </w:r>
      <w:r w:rsidRPr="000977F7">
        <w:rPr>
          <w:rFonts w:asciiTheme="majorHAnsi" w:hAnsiTheme="majorHAnsi"/>
          <w:sz w:val="20"/>
          <w:szCs w:val="20"/>
        </w:rPr>
        <w:t>визначених</w:t>
      </w:r>
      <w:r w:rsidRPr="000977F7">
        <w:rPr>
          <w:rFonts w:asciiTheme="majorHAnsi" w:hAnsiTheme="majorHAnsi"/>
          <w:spacing w:val="1"/>
          <w:sz w:val="20"/>
          <w:szCs w:val="20"/>
        </w:rPr>
        <w:t xml:space="preserve"> </w:t>
      </w:r>
      <w:r w:rsidRPr="000977F7">
        <w:rPr>
          <w:rFonts w:asciiTheme="majorHAnsi" w:hAnsiTheme="majorHAnsi"/>
          <w:sz w:val="20"/>
          <w:szCs w:val="20"/>
        </w:rPr>
        <w:t>положенням</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національний</w:t>
      </w:r>
      <w:r w:rsidRPr="000977F7">
        <w:rPr>
          <w:rFonts w:asciiTheme="majorHAnsi" w:hAnsiTheme="majorHAnsi"/>
          <w:spacing w:val="1"/>
          <w:sz w:val="20"/>
          <w:szCs w:val="20"/>
        </w:rPr>
        <w:t xml:space="preserve"> </w:t>
      </w:r>
      <w:r w:rsidRPr="000977F7">
        <w:rPr>
          <w:rFonts w:asciiTheme="majorHAnsi" w:hAnsiTheme="majorHAnsi"/>
          <w:sz w:val="20"/>
          <w:szCs w:val="20"/>
        </w:rPr>
        <w:t>орган</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r w:rsidRPr="000977F7">
        <w:rPr>
          <w:rFonts w:asciiTheme="majorHAnsi" w:hAnsiTheme="majorHAnsi"/>
          <w:spacing w:val="-2"/>
          <w:sz w:val="20"/>
          <w:szCs w:val="20"/>
        </w:rPr>
        <w:t xml:space="preserve"> </w:t>
      </w:r>
      <w:r w:rsidRPr="000977F7">
        <w:rPr>
          <w:rFonts w:asciiTheme="majorHAnsi" w:hAnsiTheme="majorHAnsi"/>
          <w:sz w:val="20"/>
          <w:szCs w:val="20"/>
        </w:rPr>
        <w:t>з акредитації.</w:t>
      </w:r>
    </w:p>
    <w:p w14:paraId="5525182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1"/>
          <w:sz w:val="20"/>
          <w:szCs w:val="20"/>
        </w:rPr>
        <w:t xml:space="preserve"> </w:t>
      </w:r>
      <w:r w:rsidRPr="000977F7">
        <w:rPr>
          <w:rFonts w:asciiTheme="majorHAnsi" w:hAnsiTheme="majorHAnsi"/>
          <w:i/>
          <w:sz w:val="20"/>
          <w:szCs w:val="20"/>
        </w:rPr>
        <w:t>6</w:t>
      </w:r>
      <w:r w:rsidRPr="000977F7">
        <w:rPr>
          <w:rFonts w:asciiTheme="majorHAnsi" w:hAnsiTheme="majorHAnsi"/>
          <w:i/>
          <w:spacing w:val="1"/>
          <w:sz w:val="20"/>
          <w:szCs w:val="20"/>
        </w:rPr>
        <w:t xml:space="preserve"> </w:t>
      </w:r>
      <w:r w:rsidRPr="000977F7">
        <w:rPr>
          <w:rFonts w:asciiTheme="majorHAnsi" w:hAnsiTheme="majorHAnsi"/>
          <w:i/>
          <w:sz w:val="20"/>
          <w:szCs w:val="20"/>
        </w:rPr>
        <w:t>закону</w:t>
      </w:r>
      <w:r w:rsidRPr="000977F7">
        <w:rPr>
          <w:rFonts w:asciiTheme="majorHAnsi" w:hAnsiTheme="majorHAnsi"/>
          <w:i/>
          <w:spacing w:val="1"/>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1"/>
          <w:sz w:val="20"/>
          <w:szCs w:val="20"/>
        </w:rPr>
        <w:t xml:space="preserve"> "</w:t>
      </w:r>
      <w:r w:rsidRPr="000977F7">
        <w:rPr>
          <w:rFonts w:asciiTheme="majorHAnsi" w:hAnsiTheme="majorHAnsi"/>
          <w:i/>
          <w:sz w:val="20"/>
          <w:szCs w:val="20"/>
        </w:rPr>
        <w:t>Про</w:t>
      </w:r>
      <w:r w:rsidRPr="000977F7">
        <w:rPr>
          <w:rFonts w:asciiTheme="majorHAnsi" w:hAnsiTheme="majorHAnsi"/>
          <w:i/>
          <w:spacing w:val="1"/>
          <w:sz w:val="20"/>
          <w:szCs w:val="20"/>
        </w:rPr>
        <w:t xml:space="preserve"> </w:t>
      </w:r>
      <w:r w:rsidRPr="000977F7">
        <w:rPr>
          <w:rFonts w:asciiTheme="majorHAnsi" w:hAnsiTheme="majorHAnsi"/>
          <w:i/>
          <w:sz w:val="20"/>
          <w:szCs w:val="20"/>
        </w:rPr>
        <w:t>акредитацію</w:t>
      </w:r>
      <w:r w:rsidRPr="000977F7">
        <w:rPr>
          <w:rFonts w:asciiTheme="majorHAnsi" w:hAnsiTheme="majorHAnsi"/>
          <w:i/>
          <w:spacing w:val="1"/>
          <w:sz w:val="20"/>
          <w:szCs w:val="20"/>
        </w:rPr>
        <w:t xml:space="preserve"> </w:t>
      </w:r>
      <w:r w:rsidRPr="000977F7">
        <w:rPr>
          <w:rFonts w:asciiTheme="majorHAnsi" w:hAnsiTheme="majorHAnsi"/>
          <w:i/>
          <w:sz w:val="20"/>
          <w:szCs w:val="20"/>
        </w:rPr>
        <w:t>органів</w:t>
      </w:r>
      <w:r w:rsidRPr="000977F7">
        <w:rPr>
          <w:rFonts w:asciiTheme="majorHAnsi" w:hAnsiTheme="majorHAnsi"/>
          <w:i/>
          <w:spacing w:val="1"/>
          <w:sz w:val="20"/>
          <w:szCs w:val="20"/>
        </w:rPr>
        <w:t xml:space="preserve"> </w:t>
      </w:r>
      <w:r w:rsidRPr="000977F7">
        <w:rPr>
          <w:rFonts w:asciiTheme="majorHAnsi" w:hAnsiTheme="majorHAnsi"/>
          <w:i/>
          <w:sz w:val="20"/>
          <w:szCs w:val="20"/>
        </w:rPr>
        <w:t>з</w:t>
      </w:r>
      <w:r w:rsidRPr="000977F7">
        <w:rPr>
          <w:rFonts w:asciiTheme="majorHAnsi" w:hAnsiTheme="majorHAnsi"/>
          <w:i/>
          <w:spacing w:val="-47"/>
          <w:sz w:val="20"/>
          <w:szCs w:val="20"/>
        </w:rPr>
        <w:t xml:space="preserve"> </w:t>
      </w:r>
      <w:r w:rsidRPr="000977F7">
        <w:rPr>
          <w:rFonts w:asciiTheme="majorHAnsi" w:hAnsiTheme="majorHAnsi"/>
          <w:i/>
          <w:sz w:val="20"/>
          <w:szCs w:val="20"/>
        </w:rPr>
        <w:t>оцінки відповідност"</w:t>
      </w:r>
    </w:p>
    <w:p w14:paraId="0B1C734D" w14:textId="77777777" w:rsidR="0097612F" w:rsidRPr="000977F7" w:rsidRDefault="0097612F" w:rsidP="000977F7">
      <w:pPr>
        <w:pStyle w:val="7"/>
        <w:tabs>
          <w:tab w:val="left" w:pos="284"/>
        </w:tabs>
        <w:spacing w:before="0" w:line="240" w:lineRule="auto"/>
        <w:ind w:left="170"/>
        <w:mirrorIndents/>
        <w:jc w:val="both"/>
        <w:rPr>
          <w:color w:val="auto"/>
          <w:spacing w:val="-6"/>
          <w:sz w:val="20"/>
          <w:szCs w:val="20"/>
        </w:rPr>
      </w:pPr>
      <w:r w:rsidRPr="000977F7">
        <w:rPr>
          <w:color w:val="auto"/>
          <w:spacing w:val="-6"/>
          <w:sz w:val="20"/>
          <w:szCs w:val="20"/>
        </w:rPr>
        <w:t>НАЦІОНАЛЬНИЙ ОРГАН СТАНДАРТИЗАЦІЇ –</w:t>
      </w:r>
    </w:p>
    <w:p w14:paraId="5D80105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визнаний</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національному</w:t>
      </w:r>
      <w:r w:rsidRPr="000977F7">
        <w:rPr>
          <w:rFonts w:asciiTheme="majorHAnsi" w:hAnsiTheme="majorHAnsi"/>
          <w:spacing w:val="1"/>
          <w:sz w:val="20"/>
          <w:szCs w:val="20"/>
        </w:rPr>
        <w:t xml:space="preserve"> </w:t>
      </w:r>
      <w:r w:rsidRPr="000977F7">
        <w:rPr>
          <w:rFonts w:asciiTheme="majorHAnsi" w:hAnsiTheme="majorHAnsi"/>
          <w:sz w:val="20"/>
          <w:szCs w:val="20"/>
        </w:rPr>
        <w:t>рівні, що має право бути національним членом відповідних міжнародних та регіональних організацій стандартизації.</w:t>
      </w:r>
    </w:p>
    <w:p w14:paraId="15008CE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П.13</w:t>
      </w:r>
      <w:r w:rsidRPr="000977F7">
        <w:rPr>
          <w:rFonts w:asciiTheme="majorHAnsi" w:hAnsiTheme="majorHAnsi"/>
          <w:i/>
          <w:spacing w:val="-2"/>
          <w:sz w:val="20"/>
          <w:szCs w:val="20"/>
        </w:rPr>
        <w:t xml:space="preserve"> </w:t>
      </w:r>
      <w:r w:rsidRPr="000977F7">
        <w:rPr>
          <w:rFonts w:asciiTheme="majorHAnsi" w:hAnsiTheme="majorHAnsi"/>
          <w:i/>
          <w:sz w:val="20"/>
          <w:szCs w:val="20"/>
        </w:rPr>
        <w:t>ч.</w:t>
      </w:r>
      <w:r w:rsidRPr="000977F7">
        <w:rPr>
          <w:rFonts w:asciiTheme="majorHAnsi" w:hAnsiTheme="majorHAnsi"/>
          <w:i/>
          <w:spacing w:val="-4"/>
          <w:sz w:val="20"/>
          <w:szCs w:val="20"/>
        </w:rPr>
        <w:t xml:space="preserve"> </w:t>
      </w:r>
      <w:r w:rsidRPr="000977F7">
        <w:rPr>
          <w:rFonts w:asciiTheme="majorHAnsi" w:hAnsiTheme="majorHAnsi"/>
          <w:i/>
          <w:sz w:val="20"/>
          <w:szCs w:val="20"/>
        </w:rPr>
        <w:t>1</w:t>
      </w:r>
      <w:r w:rsidRPr="000977F7">
        <w:rPr>
          <w:rFonts w:asciiTheme="majorHAnsi" w:hAnsiTheme="majorHAnsi"/>
          <w:i/>
          <w:spacing w:val="-1"/>
          <w:sz w:val="20"/>
          <w:szCs w:val="20"/>
        </w:rPr>
        <w:t xml:space="preserve"> </w:t>
      </w:r>
      <w:r w:rsidRPr="000977F7">
        <w:rPr>
          <w:rFonts w:asciiTheme="majorHAnsi" w:hAnsiTheme="majorHAnsi"/>
          <w:i/>
          <w:sz w:val="20"/>
          <w:szCs w:val="20"/>
        </w:rPr>
        <w:t>ст.</w:t>
      </w:r>
      <w:r w:rsidRPr="000977F7">
        <w:rPr>
          <w:rFonts w:asciiTheme="majorHAnsi" w:hAnsiTheme="majorHAnsi"/>
          <w:i/>
          <w:spacing w:val="-1"/>
          <w:sz w:val="20"/>
          <w:szCs w:val="20"/>
        </w:rPr>
        <w:t xml:space="preserve"> </w:t>
      </w:r>
      <w:r w:rsidRPr="000977F7">
        <w:rPr>
          <w:rFonts w:asciiTheme="majorHAnsi" w:hAnsiTheme="majorHAnsi"/>
          <w:i/>
          <w:sz w:val="20"/>
          <w:szCs w:val="20"/>
        </w:rPr>
        <w:t>1</w:t>
      </w:r>
      <w:r w:rsidRPr="000977F7">
        <w:rPr>
          <w:rFonts w:asciiTheme="majorHAnsi" w:hAnsiTheme="majorHAnsi"/>
          <w:i/>
          <w:spacing w:val="-3"/>
          <w:sz w:val="20"/>
          <w:szCs w:val="20"/>
        </w:rPr>
        <w:t xml:space="preserve"> </w:t>
      </w:r>
      <w:r w:rsidRPr="000977F7">
        <w:rPr>
          <w:rFonts w:asciiTheme="majorHAnsi" w:hAnsiTheme="majorHAnsi"/>
          <w:i/>
          <w:sz w:val="20"/>
          <w:szCs w:val="20"/>
        </w:rPr>
        <w:t>закону</w:t>
      </w:r>
      <w:r w:rsidRPr="000977F7">
        <w:rPr>
          <w:rFonts w:asciiTheme="majorHAnsi" w:hAnsiTheme="majorHAnsi"/>
          <w:i/>
          <w:spacing w:val="-3"/>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2"/>
          <w:sz w:val="20"/>
          <w:szCs w:val="20"/>
        </w:rPr>
        <w:t xml:space="preserve"> "</w:t>
      </w:r>
      <w:r w:rsidRPr="000977F7">
        <w:rPr>
          <w:rFonts w:asciiTheme="majorHAnsi" w:hAnsiTheme="majorHAnsi"/>
          <w:i/>
          <w:sz w:val="20"/>
          <w:szCs w:val="20"/>
        </w:rPr>
        <w:t>Про</w:t>
      </w:r>
      <w:r w:rsidRPr="000977F7">
        <w:rPr>
          <w:rFonts w:asciiTheme="majorHAnsi" w:hAnsiTheme="majorHAnsi"/>
          <w:i/>
          <w:spacing w:val="-1"/>
          <w:sz w:val="20"/>
          <w:szCs w:val="20"/>
        </w:rPr>
        <w:t xml:space="preserve"> </w:t>
      </w:r>
      <w:r w:rsidRPr="000977F7">
        <w:rPr>
          <w:rFonts w:asciiTheme="majorHAnsi" w:hAnsiTheme="majorHAnsi"/>
          <w:i/>
          <w:sz w:val="20"/>
          <w:szCs w:val="20"/>
        </w:rPr>
        <w:t>стандартизацію"</w:t>
      </w:r>
    </w:p>
    <w:p w14:paraId="5129B6C8" w14:textId="77777777" w:rsidR="0097612F" w:rsidRPr="000977F7" w:rsidRDefault="0097612F" w:rsidP="00FD39A4">
      <w:pPr>
        <w:pStyle w:val="ac"/>
        <w:widowControl w:val="0"/>
        <w:numPr>
          <w:ilvl w:val="0"/>
          <w:numId w:val="141"/>
        </w:numPr>
        <w:tabs>
          <w:tab w:val="left" w:pos="284"/>
          <w:tab w:val="left" w:pos="53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 xml:space="preserve">Функції національного органу стандартизації виконує державне підприємство, що не підлягає </w:t>
      </w:r>
      <w:r w:rsidRPr="000977F7">
        <w:rPr>
          <w:rFonts w:asciiTheme="majorHAnsi" w:hAnsiTheme="majorHAnsi"/>
          <w:sz w:val="20"/>
          <w:szCs w:val="20"/>
        </w:rPr>
        <w:t>приватизації, утворене центральним органом виконавчої влади, що реалізує державну політику у сфері стандартизації.</w:t>
      </w:r>
    </w:p>
    <w:p w14:paraId="4855FA1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Національний орган стандартизації не може мати на</w:t>
      </w:r>
      <w:r w:rsidRPr="000977F7">
        <w:rPr>
          <w:rFonts w:asciiTheme="majorHAnsi" w:hAnsiTheme="majorHAnsi"/>
          <w:spacing w:val="1"/>
          <w:sz w:val="20"/>
          <w:szCs w:val="20"/>
        </w:rPr>
        <w:t xml:space="preserve"> </w:t>
      </w:r>
      <w:r w:rsidRPr="000977F7">
        <w:rPr>
          <w:rFonts w:asciiTheme="majorHAnsi" w:hAnsiTheme="majorHAnsi"/>
          <w:sz w:val="20"/>
          <w:szCs w:val="20"/>
        </w:rPr>
        <w:t>меті</w:t>
      </w:r>
      <w:r w:rsidRPr="000977F7">
        <w:rPr>
          <w:rFonts w:asciiTheme="majorHAnsi" w:hAnsiTheme="majorHAnsi"/>
          <w:spacing w:val="-2"/>
          <w:sz w:val="20"/>
          <w:szCs w:val="20"/>
        </w:rPr>
        <w:t xml:space="preserve"> </w:t>
      </w:r>
      <w:r w:rsidRPr="000977F7">
        <w:rPr>
          <w:rFonts w:asciiTheme="majorHAnsi" w:hAnsiTheme="majorHAnsi"/>
          <w:sz w:val="20"/>
          <w:szCs w:val="20"/>
        </w:rPr>
        <w:t>одержання</w:t>
      </w:r>
      <w:r w:rsidRPr="000977F7">
        <w:rPr>
          <w:rFonts w:asciiTheme="majorHAnsi" w:hAnsiTheme="majorHAnsi"/>
          <w:spacing w:val="-2"/>
          <w:sz w:val="20"/>
          <w:szCs w:val="20"/>
        </w:rPr>
        <w:t xml:space="preserve"> </w:t>
      </w:r>
      <w:r w:rsidRPr="000977F7">
        <w:rPr>
          <w:rFonts w:asciiTheme="majorHAnsi" w:hAnsiTheme="majorHAnsi"/>
          <w:sz w:val="20"/>
          <w:szCs w:val="20"/>
        </w:rPr>
        <w:t>прибутку</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2"/>
          <w:sz w:val="20"/>
          <w:szCs w:val="20"/>
        </w:rPr>
        <w:t xml:space="preserve"> </w:t>
      </w:r>
      <w:r w:rsidRPr="000977F7">
        <w:rPr>
          <w:rFonts w:asciiTheme="majorHAnsi" w:hAnsiTheme="majorHAnsi"/>
          <w:sz w:val="20"/>
          <w:szCs w:val="20"/>
        </w:rPr>
        <w:t>своєї</w:t>
      </w:r>
      <w:r w:rsidRPr="000977F7">
        <w:rPr>
          <w:rFonts w:asciiTheme="majorHAnsi" w:hAnsiTheme="majorHAnsi"/>
          <w:spacing w:val="-2"/>
          <w:sz w:val="20"/>
          <w:szCs w:val="20"/>
        </w:rPr>
        <w:t xml:space="preserve"> </w:t>
      </w:r>
      <w:r w:rsidRPr="000977F7">
        <w:rPr>
          <w:rFonts w:asciiTheme="majorHAnsi" w:hAnsiTheme="majorHAnsi"/>
          <w:sz w:val="20"/>
          <w:szCs w:val="20"/>
        </w:rPr>
        <w:t>діяльності.</w:t>
      </w:r>
    </w:p>
    <w:p w14:paraId="2567F942" w14:textId="77777777" w:rsidR="0097612F" w:rsidRPr="000977F7" w:rsidRDefault="0097612F" w:rsidP="00FD39A4">
      <w:pPr>
        <w:pStyle w:val="ac"/>
        <w:widowControl w:val="0"/>
        <w:numPr>
          <w:ilvl w:val="0"/>
          <w:numId w:val="141"/>
        </w:numPr>
        <w:tabs>
          <w:tab w:val="left" w:pos="284"/>
          <w:tab w:val="left" w:pos="59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 повноважень національного органу стандартизації</w:t>
      </w:r>
      <w:r w:rsidRPr="000977F7">
        <w:rPr>
          <w:rFonts w:asciiTheme="majorHAnsi" w:hAnsiTheme="majorHAnsi"/>
          <w:spacing w:val="-2"/>
          <w:sz w:val="20"/>
          <w:szCs w:val="20"/>
        </w:rPr>
        <w:t xml:space="preserve"> </w:t>
      </w:r>
      <w:r w:rsidRPr="000977F7">
        <w:rPr>
          <w:rFonts w:asciiTheme="majorHAnsi" w:hAnsiTheme="majorHAnsi"/>
          <w:sz w:val="20"/>
          <w:szCs w:val="20"/>
        </w:rPr>
        <w:t>належить:</w:t>
      </w:r>
    </w:p>
    <w:p w14:paraId="20D21599" w14:textId="77777777" w:rsidR="0097612F" w:rsidRPr="000977F7" w:rsidRDefault="0097612F" w:rsidP="00FD39A4">
      <w:pPr>
        <w:pStyle w:val="ac"/>
        <w:widowControl w:val="0"/>
        <w:numPr>
          <w:ilvl w:val="0"/>
          <w:numId w:val="140"/>
        </w:numPr>
        <w:tabs>
          <w:tab w:val="left" w:pos="284"/>
          <w:tab w:val="left" w:pos="60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організація та координація діяльності щодо розроблення, прийняття, перевірки, перегляду, скасування</w:t>
      </w:r>
      <w:r w:rsidRPr="000977F7">
        <w:rPr>
          <w:rFonts w:asciiTheme="majorHAnsi" w:hAnsiTheme="majorHAnsi"/>
          <w:spacing w:val="1"/>
          <w:sz w:val="20"/>
          <w:szCs w:val="20"/>
        </w:rPr>
        <w:t xml:space="preserve"> </w:t>
      </w:r>
      <w:r w:rsidRPr="000977F7">
        <w:rPr>
          <w:rFonts w:asciiTheme="majorHAnsi" w:hAnsiTheme="majorHAnsi"/>
          <w:sz w:val="20"/>
          <w:szCs w:val="20"/>
        </w:rPr>
        <w:t>та відновлення дії національних стандартів, кодексів</w:t>
      </w:r>
      <w:r w:rsidRPr="000977F7">
        <w:rPr>
          <w:rFonts w:asciiTheme="majorHAnsi" w:hAnsiTheme="majorHAnsi"/>
          <w:spacing w:val="1"/>
          <w:sz w:val="20"/>
          <w:szCs w:val="20"/>
        </w:rPr>
        <w:t xml:space="preserve"> </w:t>
      </w:r>
      <w:r w:rsidRPr="000977F7">
        <w:rPr>
          <w:rFonts w:asciiTheme="majorHAnsi" w:hAnsiTheme="majorHAnsi"/>
          <w:sz w:val="20"/>
          <w:szCs w:val="20"/>
        </w:rPr>
        <w:t>усталеної практики та змін до них відповідно до цього</w:t>
      </w:r>
      <w:r w:rsidRPr="000977F7">
        <w:rPr>
          <w:rFonts w:asciiTheme="majorHAnsi" w:hAnsiTheme="majorHAnsi"/>
          <w:spacing w:val="-47"/>
          <w:sz w:val="20"/>
          <w:szCs w:val="20"/>
        </w:rPr>
        <w:t xml:space="preserve"> </w:t>
      </w:r>
      <w:r w:rsidRPr="000977F7">
        <w:rPr>
          <w:rFonts w:asciiTheme="majorHAnsi" w:hAnsiTheme="majorHAnsi"/>
          <w:sz w:val="20"/>
          <w:szCs w:val="20"/>
        </w:rPr>
        <w:t>Закону;</w:t>
      </w:r>
    </w:p>
    <w:p w14:paraId="36934009" w14:textId="77777777" w:rsidR="0097612F" w:rsidRPr="000977F7" w:rsidRDefault="0097612F" w:rsidP="00FD39A4">
      <w:pPr>
        <w:pStyle w:val="ac"/>
        <w:widowControl w:val="0"/>
        <w:numPr>
          <w:ilvl w:val="0"/>
          <w:numId w:val="140"/>
        </w:numPr>
        <w:tabs>
          <w:tab w:val="left" w:pos="284"/>
          <w:tab w:val="left" w:pos="60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прийняття, скасування та відновлення дії національних стандартів, кодексів усталеної практики та змін</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них</w:t>
      </w:r>
      <w:r w:rsidRPr="000977F7">
        <w:rPr>
          <w:rFonts w:asciiTheme="majorHAnsi" w:hAnsiTheme="majorHAnsi"/>
          <w:spacing w:val="-2"/>
          <w:sz w:val="20"/>
          <w:szCs w:val="20"/>
        </w:rPr>
        <w:t xml:space="preserve"> </w:t>
      </w:r>
      <w:r w:rsidRPr="000977F7">
        <w:rPr>
          <w:rFonts w:asciiTheme="majorHAnsi" w:hAnsiTheme="majorHAnsi"/>
          <w:sz w:val="20"/>
          <w:szCs w:val="20"/>
        </w:rPr>
        <w:t>відповідно</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цього</w:t>
      </w:r>
      <w:r w:rsidRPr="000977F7">
        <w:rPr>
          <w:rFonts w:asciiTheme="majorHAnsi" w:hAnsiTheme="majorHAnsi"/>
          <w:spacing w:val="3"/>
          <w:sz w:val="20"/>
          <w:szCs w:val="20"/>
        </w:rPr>
        <w:t xml:space="preserve"> </w:t>
      </w:r>
      <w:r w:rsidRPr="000977F7">
        <w:rPr>
          <w:rFonts w:asciiTheme="majorHAnsi" w:hAnsiTheme="majorHAnsi"/>
          <w:sz w:val="20"/>
          <w:szCs w:val="20"/>
        </w:rPr>
        <w:t>Закону;</w:t>
      </w:r>
    </w:p>
    <w:p w14:paraId="4A0C6E9D" w14:textId="77777777" w:rsidR="0097612F" w:rsidRPr="000977F7" w:rsidRDefault="0097612F" w:rsidP="00FD39A4">
      <w:pPr>
        <w:pStyle w:val="ac"/>
        <w:widowControl w:val="0"/>
        <w:numPr>
          <w:ilvl w:val="0"/>
          <w:numId w:val="140"/>
        </w:numPr>
        <w:tabs>
          <w:tab w:val="left" w:pos="284"/>
          <w:tab w:val="left" w:pos="77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вжиття</w:t>
      </w:r>
      <w:r w:rsidRPr="000977F7">
        <w:rPr>
          <w:rFonts w:asciiTheme="majorHAnsi" w:hAnsiTheme="majorHAnsi"/>
          <w:spacing w:val="1"/>
          <w:sz w:val="20"/>
          <w:szCs w:val="20"/>
        </w:rPr>
        <w:t xml:space="preserve"> </w:t>
      </w:r>
      <w:r w:rsidRPr="000977F7">
        <w:rPr>
          <w:rFonts w:asciiTheme="majorHAnsi" w:hAnsiTheme="majorHAnsi"/>
          <w:sz w:val="20"/>
          <w:szCs w:val="20"/>
        </w:rPr>
        <w:t>заходів</w:t>
      </w:r>
      <w:r w:rsidRPr="000977F7">
        <w:rPr>
          <w:rFonts w:asciiTheme="majorHAnsi" w:hAnsiTheme="majorHAnsi"/>
          <w:spacing w:val="1"/>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гармонізації</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національних</w:t>
      </w:r>
      <w:r w:rsidRPr="000977F7">
        <w:rPr>
          <w:rFonts w:asciiTheme="majorHAnsi" w:hAnsiTheme="majorHAnsi"/>
          <w:spacing w:val="1"/>
          <w:sz w:val="20"/>
          <w:szCs w:val="20"/>
        </w:rPr>
        <w:t xml:space="preserve"> </w:t>
      </w:r>
      <w:r w:rsidRPr="000977F7">
        <w:rPr>
          <w:rFonts w:asciiTheme="majorHAnsi" w:hAnsiTheme="majorHAnsi"/>
          <w:sz w:val="20"/>
          <w:szCs w:val="20"/>
        </w:rPr>
        <w:t>стандартів та кодексів усталеної практики з відповідними міжнародними,</w:t>
      </w:r>
      <w:r w:rsidRPr="000977F7">
        <w:rPr>
          <w:rFonts w:asciiTheme="majorHAnsi" w:hAnsiTheme="majorHAnsi"/>
          <w:spacing w:val="1"/>
          <w:sz w:val="20"/>
          <w:szCs w:val="20"/>
        </w:rPr>
        <w:t xml:space="preserve"> </w:t>
      </w:r>
      <w:r w:rsidRPr="000977F7">
        <w:rPr>
          <w:rFonts w:asciiTheme="majorHAnsi" w:hAnsiTheme="majorHAnsi"/>
          <w:sz w:val="20"/>
          <w:szCs w:val="20"/>
        </w:rPr>
        <w:t>регіональними стандартами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кодексами усталеної</w:t>
      </w:r>
      <w:r w:rsidRPr="000977F7">
        <w:rPr>
          <w:rFonts w:asciiTheme="majorHAnsi" w:hAnsiTheme="majorHAnsi"/>
          <w:spacing w:val="2"/>
          <w:sz w:val="20"/>
          <w:szCs w:val="20"/>
        </w:rPr>
        <w:t xml:space="preserve"> </w:t>
      </w:r>
      <w:r w:rsidRPr="000977F7">
        <w:rPr>
          <w:rFonts w:asciiTheme="majorHAnsi" w:hAnsiTheme="majorHAnsi"/>
          <w:sz w:val="20"/>
          <w:szCs w:val="20"/>
        </w:rPr>
        <w:t>практики;</w:t>
      </w:r>
    </w:p>
    <w:p w14:paraId="59FC529A" w14:textId="77777777" w:rsidR="0097612F" w:rsidRPr="000977F7" w:rsidRDefault="0097612F" w:rsidP="00FD39A4">
      <w:pPr>
        <w:pStyle w:val="ac"/>
        <w:widowControl w:val="0"/>
        <w:numPr>
          <w:ilvl w:val="0"/>
          <w:numId w:val="140"/>
        </w:numPr>
        <w:tabs>
          <w:tab w:val="left" w:pos="284"/>
          <w:tab w:val="left" w:pos="73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розроблення за погодженням з центральним органом виконавчої влади, що реалізує державну політику</w:t>
      </w:r>
      <w:r w:rsidRPr="000977F7">
        <w:rPr>
          <w:rFonts w:asciiTheme="majorHAnsi" w:hAnsiTheme="majorHAnsi"/>
          <w:spacing w:val="-47"/>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сфері</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національних</w:t>
      </w:r>
      <w:r w:rsidRPr="000977F7">
        <w:rPr>
          <w:rFonts w:asciiTheme="majorHAnsi" w:hAnsiTheme="majorHAnsi"/>
          <w:spacing w:val="1"/>
          <w:sz w:val="20"/>
          <w:szCs w:val="20"/>
        </w:rPr>
        <w:t xml:space="preserve"> </w:t>
      </w:r>
      <w:r w:rsidRPr="000977F7">
        <w:rPr>
          <w:rFonts w:asciiTheme="majorHAnsi" w:hAnsiTheme="majorHAnsi"/>
          <w:sz w:val="20"/>
          <w:szCs w:val="20"/>
        </w:rPr>
        <w:t>стандартів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змін</w:t>
      </w:r>
      <w:r w:rsidRPr="000977F7">
        <w:rPr>
          <w:rFonts w:asciiTheme="majorHAnsi" w:hAnsiTheme="majorHAnsi"/>
          <w:spacing w:val="-2"/>
          <w:sz w:val="20"/>
          <w:szCs w:val="20"/>
        </w:rPr>
        <w:t xml:space="preserve"> </w:t>
      </w:r>
      <w:r w:rsidRPr="000977F7">
        <w:rPr>
          <w:rFonts w:asciiTheme="majorHAnsi" w:hAnsiTheme="majorHAnsi"/>
          <w:sz w:val="20"/>
          <w:szCs w:val="20"/>
        </w:rPr>
        <w:t>до них</w:t>
      </w:r>
      <w:r w:rsidRPr="000977F7">
        <w:rPr>
          <w:rFonts w:asciiTheme="majorHAnsi" w:hAnsiTheme="majorHAnsi"/>
          <w:spacing w:val="-1"/>
          <w:sz w:val="20"/>
          <w:szCs w:val="20"/>
        </w:rPr>
        <w:t xml:space="preserve"> </w:t>
      </w:r>
      <w:r w:rsidRPr="000977F7">
        <w:rPr>
          <w:rFonts w:asciiTheme="majorHAnsi" w:hAnsiTheme="majorHAnsi"/>
          <w:sz w:val="20"/>
          <w:szCs w:val="20"/>
        </w:rPr>
        <w:t>щодо:</w:t>
      </w:r>
    </w:p>
    <w:p w14:paraId="3FF9C86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процедур</w:t>
      </w:r>
      <w:r w:rsidRPr="000977F7">
        <w:rPr>
          <w:rFonts w:asciiTheme="majorHAnsi" w:hAnsiTheme="majorHAnsi"/>
          <w:spacing w:val="32"/>
          <w:sz w:val="20"/>
          <w:szCs w:val="20"/>
        </w:rPr>
        <w:t xml:space="preserve"> </w:t>
      </w:r>
      <w:r w:rsidRPr="000977F7">
        <w:rPr>
          <w:rFonts w:asciiTheme="majorHAnsi" w:hAnsiTheme="majorHAnsi"/>
          <w:sz w:val="20"/>
          <w:szCs w:val="20"/>
        </w:rPr>
        <w:t>розроблення,</w:t>
      </w:r>
      <w:r w:rsidRPr="000977F7">
        <w:rPr>
          <w:rFonts w:asciiTheme="majorHAnsi" w:hAnsiTheme="majorHAnsi"/>
          <w:spacing w:val="32"/>
          <w:sz w:val="20"/>
          <w:szCs w:val="20"/>
        </w:rPr>
        <w:t xml:space="preserve"> </w:t>
      </w:r>
      <w:r w:rsidRPr="000977F7">
        <w:rPr>
          <w:rFonts w:asciiTheme="majorHAnsi" w:hAnsiTheme="majorHAnsi"/>
          <w:sz w:val="20"/>
          <w:szCs w:val="20"/>
        </w:rPr>
        <w:t>прийняття,</w:t>
      </w:r>
      <w:r w:rsidRPr="000977F7">
        <w:rPr>
          <w:rFonts w:asciiTheme="majorHAnsi" w:hAnsiTheme="majorHAnsi"/>
          <w:spacing w:val="32"/>
          <w:sz w:val="20"/>
          <w:szCs w:val="20"/>
        </w:rPr>
        <w:t xml:space="preserve"> </w:t>
      </w:r>
      <w:r w:rsidRPr="000977F7">
        <w:rPr>
          <w:rFonts w:asciiTheme="majorHAnsi" w:hAnsiTheme="majorHAnsi"/>
          <w:sz w:val="20"/>
          <w:szCs w:val="20"/>
        </w:rPr>
        <w:t>перевірки,</w:t>
      </w:r>
      <w:r w:rsidRPr="000977F7">
        <w:rPr>
          <w:rFonts w:asciiTheme="majorHAnsi" w:hAnsiTheme="majorHAnsi"/>
          <w:spacing w:val="31"/>
          <w:sz w:val="20"/>
          <w:szCs w:val="20"/>
        </w:rPr>
        <w:t xml:space="preserve"> </w:t>
      </w:r>
      <w:r w:rsidRPr="000977F7">
        <w:rPr>
          <w:rFonts w:asciiTheme="majorHAnsi" w:hAnsiTheme="majorHAnsi"/>
          <w:sz w:val="20"/>
          <w:szCs w:val="20"/>
        </w:rPr>
        <w:t>перегляду,</w:t>
      </w:r>
      <w:r w:rsidRPr="000977F7">
        <w:rPr>
          <w:rFonts w:asciiTheme="majorHAnsi" w:hAnsiTheme="majorHAnsi"/>
          <w:spacing w:val="7"/>
          <w:sz w:val="20"/>
          <w:szCs w:val="20"/>
        </w:rPr>
        <w:t xml:space="preserve"> </w:t>
      </w:r>
      <w:r w:rsidRPr="000977F7">
        <w:rPr>
          <w:rFonts w:asciiTheme="majorHAnsi" w:hAnsiTheme="majorHAnsi"/>
          <w:sz w:val="20"/>
          <w:szCs w:val="20"/>
        </w:rPr>
        <w:t>скасування</w:t>
      </w:r>
      <w:r w:rsidRPr="000977F7">
        <w:rPr>
          <w:rFonts w:asciiTheme="majorHAnsi" w:hAnsiTheme="majorHAnsi"/>
          <w:spacing w:val="7"/>
          <w:sz w:val="20"/>
          <w:szCs w:val="20"/>
        </w:rPr>
        <w:t xml:space="preserve"> </w:t>
      </w:r>
      <w:r w:rsidRPr="000977F7">
        <w:rPr>
          <w:rFonts w:asciiTheme="majorHAnsi" w:hAnsiTheme="majorHAnsi"/>
          <w:sz w:val="20"/>
          <w:szCs w:val="20"/>
        </w:rPr>
        <w:t>та</w:t>
      </w:r>
      <w:r w:rsidRPr="000977F7">
        <w:rPr>
          <w:rFonts w:asciiTheme="majorHAnsi" w:hAnsiTheme="majorHAnsi"/>
          <w:spacing w:val="7"/>
          <w:sz w:val="20"/>
          <w:szCs w:val="20"/>
        </w:rPr>
        <w:t xml:space="preserve"> </w:t>
      </w:r>
      <w:r w:rsidRPr="000977F7">
        <w:rPr>
          <w:rFonts w:asciiTheme="majorHAnsi" w:hAnsiTheme="majorHAnsi"/>
          <w:sz w:val="20"/>
          <w:szCs w:val="20"/>
        </w:rPr>
        <w:t>відновлення</w:t>
      </w:r>
      <w:r w:rsidRPr="000977F7">
        <w:rPr>
          <w:rFonts w:asciiTheme="majorHAnsi" w:hAnsiTheme="majorHAnsi"/>
          <w:spacing w:val="7"/>
          <w:sz w:val="20"/>
          <w:szCs w:val="20"/>
        </w:rPr>
        <w:t xml:space="preserve"> </w:t>
      </w:r>
      <w:r w:rsidRPr="000977F7">
        <w:rPr>
          <w:rFonts w:asciiTheme="majorHAnsi" w:hAnsiTheme="majorHAnsi"/>
          <w:sz w:val="20"/>
          <w:szCs w:val="20"/>
        </w:rPr>
        <w:t>дії</w:t>
      </w:r>
      <w:r w:rsidRPr="000977F7">
        <w:rPr>
          <w:rFonts w:asciiTheme="majorHAnsi" w:hAnsiTheme="majorHAnsi"/>
          <w:spacing w:val="6"/>
          <w:sz w:val="20"/>
          <w:szCs w:val="20"/>
        </w:rPr>
        <w:t xml:space="preserve"> </w:t>
      </w:r>
      <w:r w:rsidRPr="000977F7">
        <w:rPr>
          <w:rFonts w:asciiTheme="majorHAnsi" w:hAnsiTheme="majorHAnsi"/>
          <w:sz w:val="20"/>
          <w:szCs w:val="20"/>
        </w:rPr>
        <w:t>національних</w:t>
      </w:r>
      <w:r w:rsidRPr="000977F7">
        <w:rPr>
          <w:rFonts w:asciiTheme="majorHAnsi" w:hAnsiTheme="majorHAnsi"/>
          <w:spacing w:val="6"/>
          <w:sz w:val="20"/>
          <w:szCs w:val="20"/>
        </w:rPr>
        <w:t xml:space="preserve"> </w:t>
      </w:r>
      <w:r w:rsidRPr="000977F7">
        <w:rPr>
          <w:rFonts w:asciiTheme="majorHAnsi" w:hAnsiTheme="majorHAnsi"/>
          <w:sz w:val="20"/>
          <w:szCs w:val="20"/>
        </w:rPr>
        <w:t>стандартів, кодексів усталеної практики та змін до них;</w:t>
      </w:r>
      <w:r w:rsidRPr="000977F7">
        <w:rPr>
          <w:rFonts w:asciiTheme="majorHAnsi" w:hAnsiTheme="majorHAnsi"/>
          <w:spacing w:val="1"/>
          <w:sz w:val="20"/>
          <w:szCs w:val="20"/>
        </w:rPr>
        <w:t xml:space="preserve"> </w:t>
      </w:r>
      <w:r w:rsidRPr="000977F7">
        <w:rPr>
          <w:rFonts w:asciiTheme="majorHAnsi" w:hAnsiTheme="majorHAnsi"/>
          <w:sz w:val="20"/>
          <w:szCs w:val="20"/>
        </w:rPr>
        <w:t>критеріїв,</w:t>
      </w:r>
      <w:r w:rsidRPr="000977F7">
        <w:rPr>
          <w:rFonts w:asciiTheme="majorHAnsi" w:hAnsiTheme="majorHAnsi"/>
          <w:spacing w:val="1"/>
          <w:sz w:val="20"/>
          <w:szCs w:val="20"/>
        </w:rPr>
        <w:t xml:space="preserve"> </w:t>
      </w:r>
      <w:r w:rsidRPr="000977F7">
        <w:rPr>
          <w:rFonts w:asciiTheme="majorHAnsi" w:hAnsiTheme="majorHAnsi"/>
          <w:sz w:val="20"/>
          <w:szCs w:val="20"/>
        </w:rPr>
        <w:t>форми</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процедур</w:t>
      </w:r>
      <w:r w:rsidRPr="000977F7">
        <w:rPr>
          <w:rFonts w:asciiTheme="majorHAnsi" w:hAnsiTheme="majorHAnsi"/>
          <w:spacing w:val="1"/>
          <w:sz w:val="20"/>
          <w:szCs w:val="20"/>
        </w:rPr>
        <w:t xml:space="preserve"> </w:t>
      </w:r>
      <w:r w:rsidRPr="000977F7">
        <w:rPr>
          <w:rFonts w:asciiTheme="majorHAnsi" w:hAnsiTheme="majorHAnsi"/>
          <w:sz w:val="20"/>
          <w:szCs w:val="20"/>
        </w:rPr>
        <w:t>розгляду</w:t>
      </w:r>
      <w:r w:rsidRPr="000977F7">
        <w:rPr>
          <w:rFonts w:asciiTheme="majorHAnsi" w:hAnsiTheme="majorHAnsi"/>
          <w:spacing w:val="1"/>
          <w:sz w:val="20"/>
          <w:szCs w:val="20"/>
        </w:rPr>
        <w:t xml:space="preserve"> </w:t>
      </w:r>
      <w:r w:rsidRPr="000977F7">
        <w:rPr>
          <w:rFonts w:asciiTheme="majorHAnsi" w:hAnsiTheme="majorHAnsi"/>
          <w:sz w:val="20"/>
          <w:szCs w:val="20"/>
        </w:rPr>
        <w:t>пропозицій</w:t>
      </w:r>
      <w:r w:rsidRPr="000977F7">
        <w:rPr>
          <w:rFonts w:asciiTheme="majorHAnsi" w:hAnsiTheme="majorHAnsi"/>
          <w:spacing w:val="-48"/>
          <w:sz w:val="20"/>
          <w:szCs w:val="20"/>
        </w:rPr>
        <w:t xml:space="preserve"> </w:t>
      </w:r>
      <w:r w:rsidRPr="000977F7">
        <w:rPr>
          <w:rFonts w:asciiTheme="majorHAnsi" w:hAnsiTheme="majorHAnsi"/>
          <w:sz w:val="20"/>
          <w:szCs w:val="20"/>
        </w:rPr>
        <w:t>щодо проведення робіт з національної 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процедур</w:t>
      </w:r>
      <w:r w:rsidRPr="000977F7">
        <w:rPr>
          <w:rFonts w:asciiTheme="majorHAnsi" w:hAnsiTheme="majorHAnsi"/>
          <w:spacing w:val="12"/>
          <w:sz w:val="20"/>
          <w:szCs w:val="20"/>
        </w:rPr>
        <w:t xml:space="preserve"> </w:t>
      </w:r>
      <w:r w:rsidRPr="000977F7">
        <w:rPr>
          <w:rFonts w:asciiTheme="majorHAnsi" w:hAnsiTheme="majorHAnsi"/>
          <w:sz w:val="20"/>
          <w:szCs w:val="20"/>
        </w:rPr>
        <w:t>створення,</w:t>
      </w:r>
      <w:r w:rsidRPr="000977F7">
        <w:rPr>
          <w:rFonts w:asciiTheme="majorHAnsi" w:hAnsiTheme="majorHAnsi"/>
          <w:spacing w:val="12"/>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9"/>
          <w:sz w:val="20"/>
          <w:szCs w:val="20"/>
        </w:rPr>
        <w:t xml:space="preserve"> </w:t>
      </w:r>
      <w:r w:rsidRPr="000977F7">
        <w:rPr>
          <w:rFonts w:asciiTheme="majorHAnsi" w:hAnsiTheme="majorHAnsi"/>
          <w:sz w:val="20"/>
          <w:szCs w:val="20"/>
        </w:rPr>
        <w:t>та</w:t>
      </w:r>
      <w:r w:rsidRPr="000977F7">
        <w:rPr>
          <w:rFonts w:asciiTheme="majorHAnsi" w:hAnsiTheme="majorHAnsi"/>
          <w:spacing w:val="12"/>
          <w:sz w:val="20"/>
          <w:szCs w:val="20"/>
        </w:rPr>
        <w:t xml:space="preserve"> </w:t>
      </w:r>
      <w:r w:rsidRPr="000977F7">
        <w:rPr>
          <w:rFonts w:asciiTheme="majorHAnsi" w:hAnsiTheme="majorHAnsi"/>
          <w:sz w:val="20"/>
          <w:szCs w:val="20"/>
        </w:rPr>
        <w:t>припинення</w:t>
      </w:r>
      <w:r w:rsidRPr="000977F7">
        <w:rPr>
          <w:rFonts w:asciiTheme="majorHAnsi" w:hAnsiTheme="majorHAnsi"/>
          <w:spacing w:val="12"/>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2"/>
          <w:sz w:val="20"/>
          <w:szCs w:val="20"/>
        </w:rPr>
        <w:t xml:space="preserve"> </w:t>
      </w:r>
      <w:r w:rsidRPr="000977F7">
        <w:rPr>
          <w:rFonts w:asciiTheme="majorHAnsi" w:hAnsiTheme="majorHAnsi"/>
          <w:sz w:val="20"/>
          <w:szCs w:val="20"/>
        </w:rPr>
        <w:t>технічних комітетів</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p>
    <w:p w14:paraId="6C8A8EFB" w14:textId="77777777" w:rsidR="0097612F" w:rsidRPr="000977F7" w:rsidRDefault="0097612F" w:rsidP="00FD39A4">
      <w:pPr>
        <w:pStyle w:val="ac"/>
        <w:widowControl w:val="0"/>
        <w:numPr>
          <w:ilvl w:val="0"/>
          <w:numId w:val="140"/>
        </w:numPr>
        <w:tabs>
          <w:tab w:val="left" w:pos="284"/>
          <w:tab w:val="left" w:pos="73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забезпечення відповідності національних стандартів</w:t>
      </w:r>
      <w:r w:rsidRPr="000977F7">
        <w:rPr>
          <w:rFonts w:asciiTheme="majorHAnsi" w:hAnsiTheme="majorHAnsi"/>
          <w:spacing w:val="-3"/>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кодексів усталеної</w:t>
      </w:r>
      <w:r w:rsidRPr="000977F7">
        <w:rPr>
          <w:rFonts w:asciiTheme="majorHAnsi" w:hAnsiTheme="majorHAnsi"/>
          <w:spacing w:val="-2"/>
          <w:sz w:val="20"/>
          <w:szCs w:val="20"/>
        </w:rPr>
        <w:t xml:space="preserve"> </w:t>
      </w:r>
      <w:r w:rsidRPr="000977F7">
        <w:rPr>
          <w:rFonts w:asciiTheme="majorHAnsi" w:hAnsiTheme="majorHAnsi"/>
          <w:sz w:val="20"/>
          <w:szCs w:val="20"/>
        </w:rPr>
        <w:t>практики</w:t>
      </w:r>
      <w:r w:rsidRPr="000977F7">
        <w:rPr>
          <w:rFonts w:asciiTheme="majorHAnsi" w:hAnsiTheme="majorHAnsi"/>
          <w:spacing w:val="-3"/>
          <w:sz w:val="20"/>
          <w:szCs w:val="20"/>
        </w:rPr>
        <w:t xml:space="preserve"> </w:t>
      </w:r>
      <w:r w:rsidRPr="000977F7">
        <w:rPr>
          <w:rFonts w:asciiTheme="majorHAnsi" w:hAnsiTheme="majorHAnsi"/>
          <w:sz w:val="20"/>
          <w:szCs w:val="20"/>
        </w:rPr>
        <w:t>законодавству;</w:t>
      </w:r>
    </w:p>
    <w:p w14:paraId="1A9C126C" w14:textId="77777777" w:rsidR="0097612F" w:rsidRPr="000977F7" w:rsidRDefault="0097612F" w:rsidP="00FD39A4">
      <w:pPr>
        <w:pStyle w:val="ac"/>
        <w:widowControl w:val="0"/>
        <w:numPr>
          <w:ilvl w:val="0"/>
          <w:numId w:val="140"/>
        </w:numPr>
        <w:tabs>
          <w:tab w:val="left" w:pos="284"/>
          <w:tab w:val="left" w:pos="72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забезпечення адаптації національних стандартів та</w:t>
      </w:r>
      <w:r w:rsidRPr="000977F7">
        <w:rPr>
          <w:rFonts w:asciiTheme="majorHAnsi" w:hAnsiTheme="majorHAnsi"/>
          <w:spacing w:val="1"/>
          <w:sz w:val="20"/>
          <w:szCs w:val="20"/>
        </w:rPr>
        <w:t xml:space="preserve"> </w:t>
      </w:r>
      <w:r w:rsidRPr="000977F7">
        <w:rPr>
          <w:rFonts w:asciiTheme="majorHAnsi" w:hAnsiTheme="majorHAnsi"/>
          <w:sz w:val="20"/>
          <w:szCs w:val="20"/>
        </w:rPr>
        <w:t>кодексів</w:t>
      </w:r>
      <w:r w:rsidRPr="000977F7">
        <w:rPr>
          <w:rFonts w:asciiTheme="majorHAnsi" w:hAnsiTheme="majorHAnsi"/>
          <w:spacing w:val="1"/>
          <w:sz w:val="20"/>
          <w:szCs w:val="20"/>
        </w:rPr>
        <w:t xml:space="preserve"> </w:t>
      </w:r>
      <w:r w:rsidRPr="000977F7">
        <w:rPr>
          <w:rFonts w:asciiTheme="majorHAnsi" w:hAnsiTheme="majorHAnsi"/>
          <w:sz w:val="20"/>
          <w:szCs w:val="20"/>
        </w:rPr>
        <w:t>усталеної</w:t>
      </w:r>
      <w:r w:rsidRPr="000977F7">
        <w:rPr>
          <w:rFonts w:asciiTheme="majorHAnsi" w:hAnsiTheme="majorHAnsi"/>
          <w:spacing w:val="1"/>
          <w:sz w:val="20"/>
          <w:szCs w:val="20"/>
        </w:rPr>
        <w:t xml:space="preserve"> </w:t>
      </w:r>
      <w:r w:rsidRPr="000977F7">
        <w:rPr>
          <w:rFonts w:asciiTheme="majorHAnsi" w:hAnsiTheme="majorHAnsi"/>
          <w:sz w:val="20"/>
          <w:szCs w:val="20"/>
        </w:rPr>
        <w:t>практики до</w:t>
      </w:r>
      <w:r w:rsidRPr="000977F7">
        <w:rPr>
          <w:rFonts w:asciiTheme="majorHAnsi" w:hAnsiTheme="majorHAnsi"/>
          <w:spacing w:val="1"/>
          <w:sz w:val="20"/>
          <w:szCs w:val="20"/>
        </w:rPr>
        <w:t xml:space="preserve"> </w:t>
      </w:r>
      <w:r w:rsidRPr="000977F7">
        <w:rPr>
          <w:rFonts w:asciiTheme="majorHAnsi" w:hAnsiTheme="majorHAnsi"/>
          <w:sz w:val="20"/>
          <w:szCs w:val="20"/>
        </w:rPr>
        <w:t>сучасних досягнень</w:t>
      </w:r>
      <w:r w:rsidRPr="000977F7">
        <w:rPr>
          <w:rFonts w:asciiTheme="majorHAnsi" w:hAnsiTheme="majorHAnsi"/>
          <w:spacing w:val="1"/>
          <w:sz w:val="20"/>
          <w:szCs w:val="20"/>
        </w:rPr>
        <w:t xml:space="preserve"> </w:t>
      </w:r>
      <w:r w:rsidRPr="000977F7">
        <w:rPr>
          <w:rFonts w:asciiTheme="majorHAnsi" w:hAnsiTheme="majorHAnsi"/>
          <w:sz w:val="20"/>
          <w:szCs w:val="20"/>
        </w:rPr>
        <w:t>науки</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техніки;</w:t>
      </w:r>
    </w:p>
    <w:p w14:paraId="707B679D" w14:textId="77777777" w:rsidR="0097612F" w:rsidRPr="000977F7" w:rsidRDefault="0097612F" w:rsidP="00FD39A4">
      <w:pPr>
        <w:pStyle w:val="ac"/>
        <w:widowControl w:val="0"/>
        <w:numPr>
          <w:ilvl w:val="0"/>
          <w:numId w:val="140"/>
        </w:numPr>
        <w:tabs>
          <w:tab w:val="left" w:pos="284"/>
          <w:tab w:val="left" w:pos="72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підготовка та затвердження програми робіт з національної</w:t>
      </w:r>
      <w:r w:rsidRPr="000977F7">
        <w:rPr>
          <w:rFonts w:asciiTheme="majorHAnsi" w:hAnsiTheme="majorHAnsi"/>
          <w:spacing w:val="-2"/>
          <w:sz w:val="20"/>
          <w:szCs w:val="20"/>
        </w:rPr>
        <w:t xml:space="preserve"> </w:t>
      </w:r>
      <w:r w:rsidRPr="000977F7">
        <w:rPr>
          <w:rFonts w:asciiTheme="majorHAnsi" w:hAnsiTheme="majorHAnsi"/>
          <w:sz w:val="20"/>
          <w:szCs w:val="20"/>
        </w:rPr>
        <w:t>стандартизації;</w:t>
      </w:r>
    </w:p>
    <w:p w14:paraId="4942DC95" w14:textId="77777777" w:rsidR="0097612F" w:rsidRPr="000977F7" w:rsidRDefault="0097612F" w:rsidP="00FD39A4">
      <w:pPr>
        <w:pStyle w:val="ac"/>
        <w:widowControl w:val="0"/>
        <w:numPr>
          <w:ilvl w:val="0"/>
          <w:numId w:val="140"/>
        </w:numPr>
        <w:tabs>
          <w:tab w:val="left" w:pos="284"/>
          <w:tab w:val="left" w:pos="73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прийняття рішень щодо створення та припинення</w:t>
      </w:r>
      <w:r w:rsidRPr="000977F7">
        <w:rPr>
          <w:rFonts w:asciiTheme="majorHAnsi" w:hAnsiTheme="majorHAnsi"/>
          <w:spacing w:val="1"/>
          <w:sz w:val="20"/>
          <w:szCs w:val="20"/>
        </w:rPr>
        <w:t xml:space="preserve"> </w:t>
      </w:r>
      <w:r w:rsidRPr="000977F7">
        <w:rPr>
          <w:rFonts w:asciiTheme="majorHAnsi" w:hAnsiTheme="majorHAnsi"/>
          <w:sz w:val="20"/>
          <w:szCs w:val="20"/>
        </w:rPr>
        <w:t>діяльності технічних комітетів стандартизації, визначення</w:t>
      </w:r>
      <w:r w:rsidRPr="000977F7">
        <w:rPr>
          <w:rFonts w:asciiTheme="majorHAnsi" w:hAnsiTheme="majorHAnsi"/>
          <w:spacing w:val="-2"/>
          <w:sz w:val="20"/>
          <w:szCs w:val="20"/>
        </w:rPr>
        <w:t xml:space="preserve"> </w:t>
      </w:r>
      <w:r w:rsidRPr="000977F7">
        <w:rPr>
          <w:rFonts w:asciiTheme="majorHAnsi" w:hAnsiTheme="majorHAnsi"/>
          <w:sz w:val="20"/>
          <w:szCs w:val="20"/>
        </w:rPr>
        <w:t>сфери</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2"/>
          <w:sz w:val="20"/>
          <w:szCs w:val="20"/>
        </w:rPr>
        <w:t xml:space="preserve"> </w:t>
      </w:r>
      <w:r w:rsidRPr="000977F7">
        <w:rPr>
          <w:rFonts w:asciiTheme="majorHAnsi" w:hAnsiTheme="majorHAnsi"/>
          <w:sz w:val="20"/>
          <w:szCs w:val="20"/>
        </w:rPr>
        <w:t>діяльності;</w:t>
      </w:r>
    </w:p>
    <w:p w14:paraId="2515255C" w14:textId="77777777" w:rsidR="0097612F" w:rsidRPr="000977F7" w:rsidRDefault="0097612F" w:rsidP="00FD39A4">
      <w:pPr>
        <w:pStyle w:val="ac"/>
        <w:widowControl w:val="0"/>
        <w:numPr>
          <w:ilvl w:val="0"/>
          <w:numId w:val="140"/>
        </w:numPr>
        <w:tabs>
          <w:tab w:val="left" w:pos="284"/>
          <w:tab w:val="left" w:pos="74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координація діяльності технічних комітетів стандартизації;</w:t>
      </w:r>
    </w:p>
    <w:p w14:paraId="3746FD1C" w14:textId="77777777" w:rsidR="0097612F" w:rsidRPr="000977F7" w:rsidRDefault="0097612F" w:rsidP="00FD39A4">
      <w:pPr>
        <w:pStyle w:val="ac"/>
        <w:widowControl w:val="0"/>
        <w:numPr>
          <w:ilvl w:val="0"/>
          <w:numId w:val="140"/>
        </w:numPr>
        <w:tabs>
          <w:tab w:val="left" w:pos="284"/>
          <w:tab w:val="left" w:pos="86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участь</w:t>
      </w:r>
      <w:r w:rsidRPr="000977F7">
        <w:rPr>
          <w:rFonts w:asciiTheme="majorHAnsi" w:hAnsiTheme="majorHAnsi"/>
          <w:spacing w:val="1"/>
          <w:sz w:val="20"/>
          <w:szCs w:val="20"/>
        </w:rPr>
        <w:t xml:space="preserve"> </w:t>
      </w:r>
      <w:r w:rsidRPr="000977F7">
        <w:rPr>
          <w:rFonts w:asciiTheme="majorHAnsi" w:hAnsiTheme="majorHAnsi"/>
          <w:sz w:val="20"/>
          <w:szCs w:val="20"/>
        </w:rPr>
        <w:t>у підготовці міжнародних, регіональних</w:t>
      </w:r>
      <w:r w:rsidRPr="000977F7">
        <w:rPr>
          <w:rFonts w:asciiTheme="majorHAnsi" w:hAnsiTheme="majorHAnsi"/>
          <w:spacing w:val="1"/>
          <w:sz w:val="20"/>
          <w:szCs w:val="20"/>
        </w:rPr>
        <w:t xml:space="preserve"> </w:t>
      </w:r>
      <w:r w:rsidRPr="000977F7">
        <w:rPr>
          <w:rFonts w:asciiTheme="majorHAnsi" w:hAnsiTheme="majorHAnsi"/>
          <w:sz w:val="20"/>
          <w:szCs w:val="20"/>
        </w:rPr>
        <w:t>стандартів та кодексів усталеної практики, що розробляються відповідними міжнародними та регіональними</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організаціями</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членом</w:t>
      </w:r>
      <w:r w:rsidRPr="000977F7">
        <w:rPr>
          <w:rFonts w:asciiTheme="majorHAnsi" w:hAnsiTheme="majorHAnsi"/>
          <w:spacing w:val="1"/>
          <w:sz w:val="20"/>
          <w:szCs w:val="20"/>
        </w:rPr>
        <w:t xml:space="preserve"> </w:t>
      </w:r>
      <w:r w:rsidRPr="000977F7">
        <w:rPr>
          <w:rFonts w:asciiTheme="majorHAnsi" w:hAnsiTheme="majorHAnsi"/>
          <w:sz w:val="20"/>
          <w:szCs w:val="20"/>
        </w:rPr>
        <w:t>яких</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національний</w:t>
      </w:r>
      <w:r w:rsidRPr="000977F7">
        <w:rPr>
          <w:rFonts w:asciiTheme="majorHAnsi" w:hAnsiTheme="majorHAnsi"/>
          <w:spacing w:val="1"/>
          <w:sz w:val="20"/>
          <w:szCs w:val="20"/>
        </w:rPr>
        <w:t xml:space="preserve"> </w:t>
      </w:r>
      <w:r w:rsidRPr="000977F7">
        <w:rPr>
          <w:rFonts w:asciiTheme="majorHAnsi" w:hAnsiTheme="majorHAnsi"/>
          <w:sz w:val="20"/>
          <w:szCs w:val="20"/>
        </w:rPr>
        <w:t>орган</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якими</w:t>
      </w:r>
      <w:r w:rsidRPr="000977F7">
        <w:rPr>
          <w:rFonts w:asciiTheme="majorHAnsi" w:hAnsiTheme="majorHAnsi"/>
          <w:spacing w:val="1"/>
          <w:sz w:val="20"/>
          <w:szCs w:val="20"/>
        </w:rPr>
        <w:t xml:space="preserve"> </w:t>
      </w:r>
      <w:r w:rsidRPr="000977F7">
        <w:rPr>
          <w:rFonts w:asciiTheme="majorHAnsi" w:hAnsiTheme="majorHAnsi"/>
          <w:sz w:val="20"/>
          <w:szCs w:val="20"/>
        </w:rPr>
        <w:t>він</w:t>
      </w:r>
      <w:r w:rsidRPr="000977F7">
        <w:rPr>
          <w:rFonts w:asciiTheme="majorHAnsi" w:hAnsiTheme="majorHAnsi"/>
          <w:spacing w:val="1"/>
          <w:sz w:val="20"/>
          <w:szCs w:val="20"/>
        </w:rPr>
        <w:t xml:space="preserve"> </w:t>
      </w:r>
      <w:r w:rsidRPr="000977F7">
        <w:rPr>
          <w:rFonts w:asciiTheme="majorHAnsi" w:hAnsiTheme="majorHAnsi"/>
          <w:sz w:val="20"/>
          <w:szCs w:val="20"/>
        </w:rPr>
        <w:t>співпрацює згідно з положеннями таких організацій</w:t>
      </w:r>
      <w:r w:rsidRPr="000977F7">
        <w:rPr>
          <w:rFonts w:asciiTheme="majorHAnsi" w:hAnsiTheme="majorHAnsi"/>
          <w:spacing w:val="1"/>
          <w:sz w:val="20"/>
          <w:szCs w:val="20"/>
        </w:rPr>
        <w:t xml:space="preserve"> </w:t>
      </w:r>
      <w:r w:rsidRPr="000977F7">
        <w:rPr>
          <w:rFonts w:asciiTheme="majorHAnsi" w:hAnsiTheme="majorHAnsi"/>
          <w:sz w:val="20"/>
          <w:szCs w:val="20"/>
        </w:rPr>
        <w:t>або відповідними договорами, а також забезпечення</w:t>
      </w:r>
      <w:r w:rsidRPr="000977F7">
        <w:rPr>
          <w:rFonts w:asciiTheme="majorHAnsi" w:hAnsiTheme="majorHAnsi"/>
          <w:spacing w:val="1"/>
          <w:sz w:val="20"/>
          <w:szCs w:val="20"/>
        </w:rPr>
        <w:t xml:space="preserve"> </w:t>
      </w:r>
      <w:r w:rsidRPr="000977F7">
        <w:rPr>
          <w:rFonts w:asciiTheme="majorHAnsi" w:hAnsiTheme="majorHAnsi"/>
          <w:sz w:val="20"/>
          <w:szCs w:val="20"/>
        </w:rPr>
        <w:t>врахування</w:t>
      </w:r>
      <w:r w:rsidRPr="000977F7">
        <w:rPr>
          <w:rFonts w:asciiTheme="majorHAnsi" w:hAnsiTheme="majorHAnsi"/>
          <w:spacing w:val="1"/>
          <w:sz w:val="20"/>
          <w:szCs w:val="20"/>
        </w:rPr>
        <w:t xml:space="preserve"> </w:t>
      </w:r>
      <w:r w:rsidRPr="000977F7">
        <w:rPr>
          <w:rFonts w:asciiTheme="majorHAnsi" w:hAnsiTheme="majorHAnsi"/>
          <w:sz w:val="20"/>
          <w:szCs w:val="20"/>
        </w:rPr>
        <w:t>інтересів</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провадження</w:t>
      </w:r>
      <w:r w:rsidRPr="000977F7">
        <w:rPr>
          <w:rFonts w:asciiTheme="majorHAnsi" w:hAnsiTheme="majorHAnsi"/>
          <w:spacing w:val="1"/>
          <w:sz w:val="20"/>
          <w:szCs w:val="20"/>
        </w:rPr>
        <w:t xml:space="preserve"> </w:t>
      </w:r>
      <w:r w:rsidRPr="000977F7">
        <w:rPr>
          <w:rFonts w:asciiTheme="majorHAnsi" w:hAnsiTheme="majorHAnsi"/>
          <w:sz w:val="20"/>
          <w:szCs w:val="20"/>
        </w:rPr>
        <w:t>зазначеної</w:t>
      </w:r>
      <w:r w:rsidRPr="000977F7">
        <w:rPr>
          <w:rFonts w:asciiTheme="majorHAnsi" w:hAnsiTheme="majorHAnsi"/>
          <w:spacing w:val="-2"/>
          <w:sz w:val="20"/>
          <w:szCs w:val="20"/>
        </w:rPr>
        <w:t xml:space="preserve"> </w:t>
      </w:r>
      <w:r w:rsidRPr="000977F7">
        <w:rPr>
          <w:rFonts w:asciiTheme="majorHAnsi" w:hAnsiTheme="majorHAnsi"/>
          <w:sz w:val="20"/>
          <w:szCs w:val="20"/>
        </w:rPr>
        <w:t>діяльності;</w:t>
      </w:r>
    </w:p>
    <w:p w14:paraId="3968E7F9" w14:textId="77777777" w:rsidR="0097612F" w:rsidRPr="000977F7" w:rsidRDefault="0097612F" w:rsidP="00FD39A4">
      <w:pPr>
        <w:pStyle w:val="ac"/>
        <w:widowControl w:val="0"/>
        <w:numPr>
          <w:ilvl w:val="0"/>
          <w:numId w:val="140"/>
        </w:numPr>
        <w:tabs>
          <w:tab w:val="left" w:pos="284"/>
          <w:tab w:val="left" w:pos="81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забезпечення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4"/>
          <w:sz w:val="20"/>
          <w:szCs w:val="20"/>
        </w:rPr>
        <w:t xml:space="preserve"> </w:t>
      </w:r>
      <w:r w:rsidRPr="000977F7">
        <w:rPr>
          <w:rFonts w:asciiTheme="majorHAnsi" w:hAnsiTheme="majorHAnsi"/>
          <w:sz w:val="20"/>
          <w:szCs w:val="20"/>
        </w:rPr>
        <w:t>сприяння</w:t>
      </w:r>
      <w:r w:rsidRPr="000977F7">
        <w:rPr>
          <w:rFonts w:asciiTheme="majorHAnsi" w:hAnsiTheme="majorHAnsi"/>
          <w:spacing w:val="-4"/>
          <w:sz w:val="20"/>
          <w:szCs w:val="20"/>
        </w:rPr>
        <w:t xml:space="preserve"> </w:t>
      </w:r>
      <w:r w:rsidRPr="000977F7">
        <w:rPr>
          <w:rFonts w:asciiTheme="majorHAnsi" w:hAnsiTheme="majorHAnsi"/>
          <w:sz w:val="20"/>
          <w:szCs w:val="20"/>
        </w:rPr>
        <w:t>співробітництву</w:t>
      </w:r>
      <w:r w:rsidRPr="000977F7">
        <w:rPr>
          <w:rFonts w:asciiTheme="majorHAnsi" w:hAnsiTheme="majorHAnsi"/>
          <w:spacing w:val="-5"/>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сфері</w:t>
      </w:r>
      <w:r w:rsidRPr="000977F7">
        <w:rPr>
          <w:rFonts w:asciiTheme="majorHAnsi" w:hAnsiTheme="majorHAnsi"/>
          <w:spacing w:val="-48"/>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між</w:t>
      </w:r>
      <w:r w:rsidRPr="000977F7">
        <w:rPr>
          <w:rFonts w:asciiTheme="majorHAnsi" w:hAnsiTheme="majorHAnsi"/>
          <w:spacing w:val="1"/>
          <w:sz w:val="20"/>
          <w:szCs w:val="20"/>
        </w:rPr>
        <w:t xml:space="preserve"> </w:t>
      </w:r>
      <w:r w:rsidRPr="000977F7">
        <w:rPr>
          <w:rFonts w:asciiTheme="majorHAnsi" w:hAnsiTheme="majorHAnsi"/>
          <w:sz w:val="20"/>
          <w:szCs w:val="20"/>
        </w:rPr>
        <w:t>виробниками,</w:t>
      </w:r>
      <w:r w:rsidRPr="000977F7">
        <w:rPr>
          <w:rFonts w:asciiTheme="majorHAnsi" w:hAnsiTheme="majorHAnsi"/>
          <w:spacing w:val="1"/>
          <w:sz w:val="20"/>
          <w:szCs w:val="20"/>
        </w:rPr>
        <w:t xml:space="preserve"> </w:t>
      </w:r>
      <w:r w:rsidRPr="000977F7">
        <w:rPr>
          <w:rFonts w:asciiTheme="majorHAnsi" w:hAnsiTheme="majorHAnsi"/>
          <w:sz w:val="20"/>
          <w:szCs w:val="20"/>
        </w:rPr>
        <w:t>постачальниками,</w:t>
      </w:r>
      <w:r w:rsidRPr="000977F7">
        <w:rPr>
          <w:rFonts w:asciiTheme="majorHAnsi" w:hAnsiTheme="majorHAnsi"/>
          <w:spacing w:val="1"/>
          <w:sz w:val="20"/>
          <w:szCs w:val="20"/>
        </w:rPr>
        <w:t xml:space="preserve"> </w:t>
      </w:r>
      <w:r w:rsidRPr="000977F7">
        <w:rPr>
          <w:rFonts w:asciiTheme="majorHAnsi" w:hAnsiTheme="majorHAnsi"/>
          <w:sz w:val="20"/>
          <w:szCs w:val="20"/>
        </w:rPr>
        <w:t>споживачами продукції та відповідними державними</w:t>
      </w:r>
      <w:r w:rsidRPr="000977F7">
        <w:rPr>
          <w:rFonts w:asciiTheme="majorHAnsi" w:hAnsiTheme="majorHAnsi"/>
          <w:spacing w:val="1"/>
          <w:sz w:val="20"/>
          <w:szCs w:val="20"/>
        </w:rPr>
        <w:t xml:space="preserve"> </w:t>
      </w:r>
      <w:r w:rsidRPr="000977F7">
        <w:rPr>
          <w:rFonts w:asciiTheme="majorHAnsi" w:hAnsiTheme="majorHAnsi"/>
          <w:sz w:val="20"/>
          <w:szCs w:val="20"/>
        </w:rPr>
        <w:t>органами;</w:t>
      </w:r>
    </w:p>
    <w:p w14:paraId="08981C45" w14:textId="77777777" w:rsidR="0097612F" w:rsidRPr="000977F7" w:rsidRDefault="0097612F" w:rsidP="00FD39A4">
      <w:pPr>
        <w:pStyle w:val="ac"/>
        <w:widowControl w:val="0"/>
        <w:numPr>
          <w:ilvl w:val="0"/>
          <w:numId w:val="140"/>
        </w:numPr>
        <w:tabs>
          <w:tab w:val="left" w:pos="284"/>
          <w:tab w:val="left" w:pos="82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заохочення суб’єктів малого і середнього підприємництва до участі в розробленні національних стандартів та кодексів усталеної практики, забезпечення</w:t>
      </w:r>
      <w:r w:rsidRPr="000977F7">
        <w:rPr>
          <w:rFonts w:asciiTheme="majorHAnsi" w:hAnsiTheme="majorHAnsi"/>
          <w:spacing w:val="1"/>
          <w:sz w:val="20"/>
          <w:szCs w:val="20"/>
        </w:rPr>
        <w:t xml:space="preserve"> </w:t>
      </w:r>
      <w:r w:rsidRPr="000977F7">
        <w:rPr>
          <w:rFonts w:asciiTheme="majorHAnsi" w:hAnsiTheme="majorHAnsi"/>
          <w:sz w:val="20"/>
          <w:szCs w:val="20"/>
        </w:rPr>
        <w:t xml:space="preserve">доступу зазначених суб’єктів </w:t>
      </w:r>
      <w:r w:rsidRPr="000977F7">
        <w:rPr>
          <w:rFonts w:asciiTheme="majorHAnsi" w:hAnsiTheme="majorHAnsi"/>
          <w:sz w:val="20"/>
          <w:szCs w:val="20"/>
        </w:rPr>
        <w:lastRenderedPageBreak/>
        <w:t>до текстів таких документів;</w:t>
      </w:r>
    </w:p>
    <w:p w14:paraId="4E812A41" w14:textId="77777777" w:rsidR="0097612F" w:rsidRPr="000977F7" w:rsidRDefault="0097612F" w:rsidP="00FD39A4">
      <w:pPr>
        <w:pStyle w:val="ac"/>
        <w:widowControl w:val="0"/>
        <w:numPr>
          <w:ilvl w:val="0"/>
          <w:numId w:val="140"/>
        </w:numPr>
        <w:tabs>
          <w:tab w:val="left" w:pos="284"/>
          <w:tab w:val="left" w:pos="83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підготовка щорічного звіту про свою діяльність,</w:t>
      </w:r>
      <w:r w:rsidRPr="000977F7">
        <w:rPr>
          <w:rFonts w:asciiTheme="majorHAnsi" w:hAnsiTheme="majorHAnsi"/>
          <w:spacing w:val="1"/>
          <w:sz w:val="20"/>
          <w:szCs w:val="20"/>
        </w:rPr>
        <w:t xml:space="preserve"> </w:t>
      </w:r>
      <w:r w:rsidRPr="000977F7">
        <w:rPr>
          <w:rFonts w:asciiTheme="majorHAnsi" w:hAnsiTheme="majorHAnsi"/>
          <w:sz w:val="20"/>
          <w:szCs w:val="20"/>
        </w:rPr>
        <w:t>внесення</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після</w:t>
      </w:r>
      <w:r w:rsidRPr="000977F7">
        <w:rPr>
          <w:rFonts w:asciiTheme="majorHAnsi" w:hAnsiTheme="majorHAnsi"/>
          <w:spacing w:val="1"/>
          <w:sz w:val="20"/>
          <w:szCs w:val="20"/>
        </w:rPr>
        <w:t xml:space="preserve"> </w:t>
      </w:r>
      <w:r w:rsidRPr="000977F7">
        <w:rPr>
          <w:rFonts w:asciiTheme="majorHAnsi" w:hAnsiTheme="majorHAnsi"/>
          <w:sz w:val="20"/>
          <w:szCs w:val="20"/>
        </w:rPr>
        <w:t>схвалення</w:t>
      </w:r>
      <w:r w:rsidRPr="000977F7">
        <w:rPr>
          <w:rFonts w:asciiTheme="majorHAnsi" w:hAnsiTheme="majorHAnsi"/>
          <w:spacing w:val="1"/>
          <w:sz w:val="20"/>
          <w:szCs w:val="20"/>
        </w:rPr>
        <w:t xml:space="preserve"> </w:t>
      </w:r>
      <w:r w:rsidRPr="000977F7">
        <w:rPr>
          <w:rFonts w:asciiTheme="majorHAnsi" w:hAnsiTheme="majorHAnsi"/>
          <w:sz w:val="20"/>
          <w:szCs w:val="20"/>
        </w:rPr>
        <w:t>керівною</w:t>
      </w:r>
      <w:r w:rsidRPr="000977F7">
        <w:rPr>
          <w:rFonts w:asciiTheme="majorHAnsi" w:hAnsiTheme="majorHAnsi"/>
          <w:spacing w:val="1"/>
          <w:sz w:val="20"/>
          <w:szCs w:val="20"/>
        </w:rPr>
        <w:t xml:space="preserve"> </w:t>
      </w:r>
      <w:r w:rsidRPr="000977F7">
        <w:rPr>
          <w:rFonts w:asciiTheme="majorHAnsi" w:hAnsiTheme="majorHAnsi"/>
          <w:sz w:val="20"/>
          <w:szCs w:val="20"/>
        </w:rPr>
        <w:t>радою</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розгляд до центрального органу виконавчої влади, що</w:t>
      </w:r>
      <w:r w:rsidRPr="000977F7">
        <w:rPr>
          <w:rFonts w:asciiTheme="majorHAnsi" w:hAnsiTheme="majorHAnsi"/>
          <w:spacing w:val="-47"/>
          <w:sz w:val="20"/>
          <w:szCs w:val="20"/>
        </w:rPr>
        <w:t xml:space="preserve"> </w:t>
      </w:r>
      <w:r w:rsidRPr="000977F7">
        <w:rPr>
          <w:rFonts w:asciiTheme="majorHAnsi" w:hAnsiTheme="majorHAnsi"/>
          <w:sz w:val="20"/>
          <w:szCs w:val="20"/>
        </w:rPr>
        <w:t>забезпечує</w:t>
      </w:r>
      <w:r w:rsidRPr="000977F7">
        <w:rPr>
          <w:rFonts w:asciiTheme="majorHAnsi" w:hAnsiTheme="majorHAnsi"/>
          <w:spacing w:val="1"/>
          <w:sz w:val="20"/>
          <w:szCs w:val="20"/>
        </w:rPr>
        <w:t xml:space="preserve"> </w:t>
      </w:r>
      <w:r w:rsidRPr="000977F7">
        <w:rPr>
          <w:rFonts w:asciiTheme="majorHAnsi" w:hAnsiTheme="majorHAnsi"/>
          <w:sz w:val="20"/>
          <w:szCs w:val="20"/>
        </w:rPr>
        <w:t>формування</w:t>
      </w:r>
      <w:r w:rsidRPr="000977F7">
        <w:rPr>
          <w:rFonts w:asciiTheme="majorHAnsi" w:hAnsiTheme="majorHAnsi"/>
          <w:spacing w:val="1"/>
          <w:sz w:val="20"/>
          <w:szCs w:val="20"/>
        </w:rPr>
        <w:t xml:space="preserve"> </w:t>
      </w:r>
      <w:r w:rsidRPr="000977F7">
        <w:rPr>
          <w:rFonts w:asciiTheme="majorHAnsi" w:hAnsiTheme="majorHAnsi"/>
          <w:sz w:val="20"/>
          <w:szCs w:val="20"/>
        </w:rPr>
        <w:t>державної</w:t>
      </w:r>
      <w:r w:rsidRPr="000977F7">
        <w:rPr>
          <w:rFonts w:asciiTheme="majorHAnsi" w:hAnsiTheme="majorHAnsi"/>
          <w:spacing w:val="1"/>
          <w:sz w:val="20"/>
          <w:szCs w:val="20"/>
        </w:rPr>
        <w:t xml:space="preserve"> </w:t>
      </w:r>
      <w:r w:rsidRPr="000977F7">
        <w:rPr>
          <w:rFonts w:asciiTheme="majorHAnsi" w:hAnsiTheme="majorHAnsi"/>
          <w:sz w:val="20"/>
          <w:szCs w:val="20"/>
        </w:rPr>
        <w:t>політики</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сфері</w:t>
      </w:r>
      <w:r w:rsidRPr="000977F7">
        <w:rPr>
          <w:rFonts w:asciiTheme="majorHAnsi" w:hAnsiTheme="majorHAnsi"/>
          <w:spacing w:val="-47"/>
          <w:sz w:val="20"/>
          <w:szCs w:val="20"/>
        </w:rPr>
        <w:t xml:space="preserve"> </w:t>
      </w:r>
      <w:r w:rsidRPr="000977F7">
        <w:rPr>
          <w:rFonts w:asciiTheme="majorHAnsi" w:hAnsiTheme="majorHAnsi"/>
          <w:sz w:val="20"/>
          <w:szCs w:val="20"/>
        </w:rPr>
        <w:t>стандартизації, та оприлюднення на офіційному вебсайті не пізніше п’яти робочих днів з дня схвалення</w:t>
      </w:r>
      <w:r w:rsidRPr="000977F7">
        <w:rPr>
          <w:rFonts w:asciiTheme="majorHAnsi" w:hAnsiTheme="majorHAnsi"/>
          <w:spacing w:val="1"/>
          <w:sz w:val="20"/>
          <w:szCs w:val="20"/>
        </w:rPr>
        <w:t xml:space="preserve"> </w:t>
      </w:r>
      <w:r w:rsidRPr="000977F7">
        <w:rPr>
          <w:rFonts w:asciiTheme="majorHAnsi" w:hAnsiTheme="majorHAnsi"/>
          <w:sz w:val="20"/>
          <w:szCs w:val="20"/>
        </w:rPr>
        <w:t>цього звіту керівною радою, але не пізніше 1 квітня</w:t>
      </w:r>
      <w:r w:rsidRPr="000977F7">
        <w:rPr>
          <w:rFonts w:asciiTheme="majorHAnsi" w:hAnsiTheme="majorHAnsi"/>
          <w:spacing w:val="1"/>
          <w:sz w:val="20"/>
          <w:szCs w:val="20"/>
        </w:rPr>
        <w:t xml:space="preserve"> </w:t>
      </w:r>
      <w:r w:rsidRPr="000977F7">
        <w:rPr>
          <w:rFonts w:asciiTheme="majorHAnsi" w:hAnsiTheme="majorHAnsi"/>
          <w:sz w:val="20"/>
          <w:szCs w:val="20"/>
        </w:rPr>
        <w:t>наступного за звітним</w:t>
      </w:r>
      <w:r w:rsidRPr="000977F7">
        <w:rPr>
          <w:rFonts w:asciiTheme="majorHAnsi" w:hAnsiTheme="majorHAnsi"/>
          <w:spacing w:val="1"/>
          <w:sz w:val="20"/>
          <w:szCs w:val="20"/>
        </w:rPr>
        <w:t xml:space="preserve"> </w:t>
      </w:r>
      <w:r w:rsidRPr="000977F7">
        <w:rPr>
          <w:rFonts w:asciiTheme="majorHAnsi" w:hAnsiTheme="majorHAnsi"/>
          <w:sz w:val="20"/>
          <w:szCs w:val="20"/>
        </w:rPr>
        <w:t>року.</w:t>
      </w:r>
    </w:p>
    <w:p w14:paraId="4C3ED961" w14:textId="77777777" w:rsidR="0097612F" w:rsidRPr="000977F7" w:rsidRDefault="0097612F" w:rsidP="00FD39A4">
      <w:pPr>
        <w:pStyle w:val="ac"/>
        <w:widowControl w:val="0"/>
        <w:numPr>
          <w:ilvl w:val="0"/>
          <w:numId w:val="141"/>
        </w:numPr>
        <w:tabs>
          <w:tab w:val="left" w:pos="284"/>
          <w:tab w:val="left" w:pos="74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Національний орган стандартизації виконує інші</w:t>
      </w:r>
      <w:r w:rsidRPr="000977F7">
        <w:rPr>
          <w:rFonts w:asciiTheme="majorHAnsi" w:hAnsiTheme="majorHAnsi"/>
          <w:spacing w:val="1"/>
          <w:sz w:val="20"/>
          <w:szCs w:val="20"/>
        </w:rPr>
        <w:t xml:space="preserve"> </w:t>
      </w:r>
      <w:r w:rsidRPr="000977F7">
        <w:rPr>
          <w:rFonts w:asciiTheme="majorHAnsi" w:hAnsiTheme="majorHAnsi"/>
          <w:sz w:val="20"/>
          <w:szCs w:val="20"/>
        </w:rPr>
        <w:t>функції та повноваження згідно із законами та статутом.</w:t>
      </w:r>
    </w:p>
    <w:p w14:paraId="222628F2" w14:textId="77777777" w:rsidR="0097612F" w:rsidRPr="000977F7" w:rsidRDefault="0097612F" w:rsidP="00FD39A4">
      <w:pPr>
        <w:pStyle w:val="ac"/>
        <w:widowControl w:val="0"/>
        <w:numPr>
          <w:ilvl w:val="0"/>
          <w:numId w:val="141"/>
        </w:numPr>
        <w:tabs>
          <w:tab w:val="left" w:pos="284"/>
          <w:tab w:val="left" w:pos="774"/>
        </w:tabs>
        <w:autoSpaceDE w:val="0"/>
        <w:autoSpaceDN w:val="0"/>
        <w:spacing w:after="0" w:line="240" w:lineRule="auto"/>
        <w:ind w:left="170" w:firstLine="0"/>
        <w:contextualSpacing w:val="0"/>
        <w:mirrorIndents/>
        <w:jc w:val="both"/>
        <w:rPr>
          <w:rFonts w:asciiTheme="majorHAnsi" w:hAnsiTheme="majorHAnsi"/>
          <w:i/>
          <w:sz w:val="20"/>
          <w:szCs w:val="20"/>
        </w:rPr>
      </w:pPr>
      <w:r w:rsidRPr="000977F7">
        <w:rPr>
          <w:rFonts w:asciiTheme="majorHAnsi" w:hAnsiTheme="majorHAnsi"/>
          <w:sz w:val="20"/>
          <w:szCs w:val="20"/>
        </w:rPr>
        <w:t>Статут</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національного</w:t>
      </w:r>
      <w:r w:rsidRPr="000977F7">
        <w:rPr>
          <w:rFonts w:asciiTheme="majorHAnsi" w:hAnsiTheme="majorHAnsi"/>
          <w:spacing w:val="1"/>
          <w:sz w:val="20"/>
          <w:szCs w:val="20"/>
        </w:rPr>
        <w:t xml:space="preserve"> </w:t>
      </w:r>
      <w:r w:rsidRPr="000977F7">
        <w:rPr>
          <w:rFonts w:asciiTheme="majorHAnsi" w:hAnsiTheme="majorHAnsi"/>
          <w:sz w:val="20"/>
          <w:szCs w:val="20"/>
        </w:rPr>
        <w:t>органу</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зміни до нього затверджуються центральним органом</w:t>
      </w:r>
      <w:r w:rsidRPr="000977F7">
        <w:rPr>
          <w:rFonts w:asciiTheme="majorHAnsi" w:hAnsiTheme="majorHAnsi"/>
          <w:spacing w:val="1"/>
          <w:sz w:val="20"/>
          <w:szCs w:val="20"/>
        </w:rPr>
        <w:t xml:space="preserve"> </w:t>
      </w:r>
      <w:r w:rsidRPr="000977F7">
        <w:rPr>
          <w:rFonts w:asciiTheme="majorHAnsi" w:hAnsiTheme="majorHAnsi"/>
          <w:sz w:val="20"/>
          <w:szCs w:val="20"/>
        </w:rPr>
        <w:t>виконавчої влади, що реалізує державну політику у</w:t>
      </w:r>
      <w:r w:rsidRPr="000977F7">
        <w:rPr>
          <w:rFonts w:asciiTheme="majorHAnsi" w:hAnsiTheme="majorHAnsi"/>
          <w:spacing w:val="1"/>
          <w:sz w:val="20"/>
          <w:szCs w:val="20"/>
        </w:rPr>
        <w:t xml:space="preserve"> </w:t>
      </w:r>
      <w:r w:rsidRPr="000977F7">
        <w:rPr>
          <w:rFonts w:asciiTheme="majorHAnsi" w:hAnsiTheme="majorHAnsi"/>
          <w:sz w:val="20"/>
          <w:szCs w:val="20"/>
        </w:rPr>
        <w:t>сфері</w:t>
      </w:r>
      <w:r w:rsidRPr="000977F7">
        <w:rPr>
          <w:rFonts w:asciiTheme="majorHAnsi" w:hAnsiTheme="majorHAnsi"/>
          <w:spacing w:val="-2"/>
          <w:sz w:val="20"/>
          <w:szCs w:val="20"/>
        </w:rPr>
        <w:t xml:space="preserve"> </w:t>
      </w:r>
      <w:r w:rsidRPr="000977F7">
        <w:rPr>
          <w:rFonts w:asciiTheme="majorHAnsi" w:hAnsiTheme="majorHAnsi"/>
          <w:sz w:val="20"/>
          <w:szCs w:val="20"/>
        </w:rPr>
        <w:t>стандартизації.</w:t>
      </w:r>
    </w:p>
    <w:p w14:paraId="2CFD8310" w14:textId="77777777" w:rsidR="0097612F" w:rsidRPr="000977F7" w:rsidRDefault="0097612F" w:rsidP="000977F7">
      <w:pPr>
        <w:pStyle w:val="ac"/>
        <w:tabs>
          <w:tab w:val="left" w:pos="284"/>
          <w:tab w:val="left" w:pos="77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4"/>
          <w:sz w:val="20"/>
          <w:szCs w:val="20"/>
        </w:rPr>
        <w:t xml:space="preserve"> </w:t>
      </w:r>
      <w:r w:rsidRPr="000977F7">
        <w:rPr>
          <w:rFonts w:asciiTheme="majorHAnsi" w:hAnsiTheme="majorHAnsi"/>
          <w:i/>
          <w:sz w:val="20"/>
          <w:szCs w:val="20"/>
        </w:rPr>
        <w:t>11 закону</w:t>
      </w:r>
      <w:r w:rsidRPr="000977F7">
        <w:rPr>
          <w:rFonts w:asciiTheme="majorHAnsi" w:hAnsiTheme="majorHAnsi"/>
          <w:i/>
          <w:spacing w:val="-5"/>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3"/>
          <w:sz w:val="20"/>
          <w:szCs w:val="20"/>
        </w:rPr>
        <w:t xml:space="preserve"> "</w:t>
      </w:r>
      <w:r w:rsidRPr="000977F7">
        <w:rPr>
          <w:rFonts w:asciiTheme="majorHAnsi" w:hAnsiTheme="majorHAnsi"/>
          <w:i/>
          <w:sz w:val="20"/>
          <w:szCs w:val="20"/>
        </w:rPr>
        <w:t>Про</w:t>
      </w:r>
      <w:r w:rsidRPr="000977F7">
        <w:rPr>
          <w:rFonts w:asciiTheme="majorHAnsi" w:hAnsiTheme="majorHAnsi"/>
          <w:i/>
          <w:spacing w:val="-5"/>
          <w:sz w:val="20"/>
          <w:szCs w:val="20"/>
        </w:rPr>
        <w:t xml:space="preserve"> </w:t>
      </w:r>
      <w:r w:rsidRPr="000977F7">
        <w:rPr>
          <w:rFonts w:asciiTheme="majorHAnsi" w:hAnsiTheme="majorHAnsi"/>
          <w:i/>
          <w:sz w:val="20"/>
          <w:szCs w:val="20"/>
        </w:rPr>
        <w:t>стандартизацію"</w:t>
      </w:r>
    </w:p>
    <w:p w14:paraId="1499CAA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НАЦІОНАЛЬНИЙ</w:t>
      </w:r>
      <w:r w:rsidRPr="000977F7">
        <w:rPr>
          <w:color w:val="auto"/>
          <w:spacing w:val="-5"/>
          <w:sz w:val="20"/>
          <w:szCs w:val="20"/>
        </w:rPr>
        <w:t xml:space="preserve"> </w:t>
      </w:r>
      <w:r w:rsidRPr="000977F7">
        <w:rPr>
          <w:color w:val="auto"/>
          <w:sz w:val="20"/>
          <w:szCs w:val="20"/>
        </w:rPr>
        <w:t>ОРГАН</w:t>
      </w:r>
      <w:r w:rsidRPr="000977F7">
        <w:rPr>
          <w:color w:val="auto"/>
          <w:spacing w:val="-4"/>
          <w:sz w:val="20"/>
          <w:szCs w:val="20"/>
        </w:rPr>
        <w:t xml:space="preserve"> </w:t>
      </w:r>
      <w:r w:rsidRPr="000977F7">
        <w:rPr>
          <w:color w:val="auto"/>
          <w:sz w:val="20"/>
          <w:szCs w:val="20"/>
        </w:rPr>
        <w:t>З</w:t>
      </w:r>
      <w:r w:rsidRPr="000977F7">
        <w:rPr>
          <w:color w:val="auto"/>
          <w:spacing w:val="-5"/>
          <w:sz w:val="20"/>
          <w:szCs w:val="20"/>
        </w:rPr>
        <w:t xml:space="preserve"> </w:t>
      </w:r>
      <w:r w:rsidRPr="000977F7">
        <w:rPr>
          <w:color w:val="auto"/>
          <w:sz w:val="20"/>
          <w:szCs w:val="20"/>
        </w:rPr>
        <w:t>СЕРТИФІКАЦІЇ-</w:t>
      </w:r>
    </w:p>
    <w:p w14:paraId="6B00AB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 з сертифікації, визнаний на національному рівні, який має право бути національним членом відповідної міжнародної або регіональної організації з сертифікації</w:t>
      </w:r>
    </w:p>
    <w:p w14:paraId="13AE327E"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НАЦІОНАЛЬНИЙ</w:t>
      </w:r>
      <w:r w:rsidRPr="004D2D14">
        <w:rPr>
          <w:rFonts w:asciiTheme="majorHAnsi" w:hAnsiTheme="majorHAnsi"/>
          <w:b/>
          <w:sz w:val="20"/>
          <w:szCs w:val="20"/>
          <w:lang w:val="en-US"/>
        </w:rPr>
        <w:t xml:space="preserve"> </w:t>
      </w:r>
      <w:r w:rsidRPr="000977F7">
        <w:rPr>
          <w:rFonts w:asciiTheme="majorHAnsi" w:hAnsiTheme="majorHAnsi"/>
          <w:b/>
          <w:sz w:val="20"/>
          <w:szCs w:val="20"/>
        </w:rPr>
        <w:t>ОРГАН</w:t>
      </w:r>
      <w:r w:rsidRPr="004D2D14">
        <w:rPr>
          <w:rFonts w:asciiTheme="majorHAnsi" w:hAnsiTheme="majorHAnsi"/>
          <w:b/>
          <w:sz w:val="20"/>
          <w:szCs w:val="20"/>
          <w:lang w:val="en-US"/>
        </w:rPr>
        <w:t xml:space="preserve"> </w:t>
      </w:r>
      <w:r w:rsidRPr="000977F7">
        <w:rPr>
          <w:rFonts w:asciiTheme="majorHAnsi" w:hAnsiTheme="majorHAnsi"/>
          <w:b/>
          <w:sz w:val="20"/>
          <w:szCs w:val="20"/>
        </w:rPr>
        <w:t>З</w:t>
      </w:r>
      <w:r w:rsidRPr="004D2D14">
        <w:rPr>
          <w:rFonts w:asciiTheme="majorHAnsi" w:hAnsiTheme="majorHAnsi"/>
          <w:b/>
          <w:sz w:val="20"/>
          <w:szCs w:val="20"/>
          <w:lang w:val="en-US"/>
        </w:rPr>
        <w:t xml:space="preserve"> </w:t>
      </w:r>
      <w:r w:rsidRPr="000977F7">
        <w:rPr>
          <w:rFonts w:asciiTheme="majorHAnsi" w:hAnsiTheme="majorHAnsi"/>
          <w:b/>
          <w:sz w:val="20"/>
          <w:szCs w:val="20"/>
        </w:rPr>
        <w:t>СТАНДАРТИЗАЦІЇ</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NATIONAL</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STANDARDS</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BODY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1CD3C47F"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en-US"/>
        </w:rPr>
      </w:pPr>
      <w:r w:rsidRPr="000977F7">
        <w:rPr>
          <w:rFonts w:asciiTheme="majorHAnsi" w:hAnsiTheme="majorHAnsi"/>
          <w:sz w:val="20"/>
          <w:szCs w:val="20"/>
        </w:rPr>
        <w:t>Орган</w:t>
      </w:r>
      <w:r w:rsidRPr="004D2D14">
        <w:rPr>
          <w:rFonts w:asciiTheme="majorHAnsi" w:hAnsiTheme="majorHAnsi"/>
          <w:spacing w:val="1"/>
          <w:sz w:val="20"/>
          <w:szCs w:val="20"/>
          <w:lang w:val="en-US"/>
        </w:rPr>
        <w:t xml:space="preserve"> </w:t>
      </w:r>
      <w:r w:rsidRPr="000977F7">
        <w:rPr>
          <w:rFonts w:asciiTheme="majorHAnsi" w:hAnsiTheme="majorHAnsi"/>
          <w:sz w:val="20"/>
          <w:szCs w:val="20"/>
        </w:rPr>
        <w:t>з</w:t>
      </w:r>
      <w:r w:rsidRPr="004D2D14">
        <w:rPr>
          <w:rFonts w:asciiTheme="majorHAnsi" w:hAnsiTheme="majorHAnsi"/>
          <w:spacing w:val="1"/>
          <w:sz w:val="20"/>
          <w:szCs w:val="20"/>
          <w:lang w:val="en-US"/>
        </w:rPr>
        <w:t xml:space="preserve"> </w:t>
      </w:r>
      <w:r w:rsidRPr="000977F7">
        <w:rPr>
          <w:rFonts w:asciiTheme="majorHAnsi" w:hAnsiTheme="majorHAnsi"/>
          <w:sz w:val="20"/>
          <w:szCs w:val="20"/>
        </w:rPr>
        <w:t>стандартизації</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визнаний</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національному</w:t>
      </w:r>
      <w:r w:rsidRPr="004D2D14">
        <w:rPr>
          <w:rFonts w:asciiTheme="majorHAnsi" w:hAnsiTheme="majorHAnsi"/>
          <w:spacing w:val="-47"/>
          <w:sz w:val="20"/>
          <w:szCs w:val="20"/>
          <w:lang w:val="en-US"/>
        </w:rPr>
        <w:t xml:space="preserve"> </w:t>
      </w:r>
      <w:r w:rsidRPr="000977F7">
        <w:rPr>
          <w:rFonts w:asciiTheme="majorHAnsi" w:hAnsiTheme="majorHAnsi"/>
          <w:sz w:val="20"/>
          <w:szCs w:val="20"/>
        </w:rPr>
        <w:t>рівні</w:t>
      </w:r>
      <w:r w:rsidRPr="004D2D14">
        <w:rPr>
          <w:rFonts w:asciiTheme="majorHAnsi" w:hAnsiTheme="majorHAnsi"/>
          <w:sz w:val="20"/>
          <w:szCs w:val="20"/>
          <w:lang w:val="en-US"/>
        </w:rPr>
        <w:t xml:space="preserve">, </w:t>
      </w:r>
      <w:r w:rsidRPr="000977F7">
        <w:rPr>
          <w:rFonts w:asciiTheme="majorHAnsi" w:hAnsiTheme="majorHAnsi"/>
          <w:sz w:val="20"/>
          <w:szCs w:val="20"/>
        </w:rPr>
        <w:t>який</w:t>
      </w:r>
      <w:r w:rsidRPr="004D2D14">
        <w:rPr>
          <w:rFonts w:asciiTheme="majorHAnsi" w:hAnsiTheme="majorHAnsi"/>
          <w:sz w:val="20"/>
          <w:szCs w:val="20"/>
          <w:lang w:val="en-US"/>
        </w:rPr>
        <w:t xml:space="preserve"> </w:t>
      </w:r>
      <w:r w:rsidRPr="000977F7">
        <w:rPr>
          <w:rFonts w:asciiTheme="majorHAnsi" w:hAnsiTheme="majorHAnsi"/>
          <w:sz w:val="20"/>
          <w:szCs w:val="20"/>
        </w:rPr>
        <w:t>має</w:t>
      </w:r>
      <w:r w:rsidRPr="004D2D14">
        <w:rPr>
          <w:rFonts w:asciiTheme="majorHAnsi" w:hAnsiTheme="majorHAnsi"/>
          <w:sz w:val="20"/>
          <w:szCs w:val="20"/>
          <w:lang w:val="en-US"/>
        </w:rPr>
        <w:t xml:space="preserve"> </w:t>
      </w:r>
      <w:r w:rsidRPr="000977F7">
        <w:rPr>
          <w:rFonts w:asciiTheme="majorHAnsi" w:hAnsiTheme="majorHAnsi"/>
          <w:sz w:val="20"/>
          <w:szCs w:val="20"/>
        </w:rPr>
        <w:t>право</w:t>
      </w:r>
      <w:r w:rsidRPr="004D2D14">
        <w:rPr>
          <w:rFonts w:asciiTheme="majorHAnsi" w:hAnsiTheme="majorHAnsi"/>
          <w:sz w:val="20"/>
          <w:szCs w:val="20"/>
          <w:lang w:val="en-US"/>
        </w:rPr>
        <w:t xml:space="preserve"> </w:t>
      </w:r>
      <w:r w:rsidRPr="000977F7">
        <w:rPr>
          <w:rFonts w:asciiTheme="majorHAnsi" w:hAnsiTheme="majorHAnsi"/>
          <w:sz w:val="20"/>
          <w:szCs w:val="20"/>
        </w:rPr>
        <w:t>бути</w:t>
      </w:r>
      <w:r w:rsidRPr="004D2D14">
        <w:rPr>
          <w:rFonts w:asciiTheme="majorHAnsi" w:hAnsiTheme="majorHAnsi"/>
          <w:sz w:val="20"/>
          <w:szCs w:val="20"/>
          <w:lang w:val="en-US"/>
        </w:rPr>
        <w:t xml:space="preserve"> </w:t>
      </w:r>
      <w:r w:rsidRPr="000977F7">
        <w:rPr>
          <w:rFonts w:asciiTheme="majorHAnsi" w:hAnsiTheme="majorHAnsi"/>
          <w:sz w:val="20"/>
          <w:szCs w:val="20"/>
        </w:rPr>
        <w:t>національним</w:t>
      </w:r>
      <w:r w:rsidRPr="004D2D14">
        <w:rPr>
          <w:rFonts w:asciiTheme="majorHAnsi" w:hAnsiTheme="majorHAnsi"/>
          <w:sz w:val="20"/>
          <w:szCs w:val="20"/>
          <w:lang w:val="en-US"/>
        </w:rPr>
        <w:t xml:space="preserve"> </w:t>
      </w:r>
      <w:r w:rsidRPr="000977F7">
        <w:rPr>
          <w:rFonts w:asciiTheme="majorHAnsi" w:hAnsiTheme="majorHAnsi"/>
          <w:sz w:val="20"/>
          <w:szCs w:val="20"/>
        </w:rPr>
        <w:t>членом</w:t>
      </w:r>
      <w:r w:rsidRPr="004D2D14">
        <w:rPr>
          <w:rFonts w:asciiTheme="majorHAnsi" w:hAnsiTheme="majorHAnsi"/>
          <w:sz w:val="20"/>
          <w:szCs w:val="20"/>
          <w:lang w:val="en-US"/>
        </w:rPr>
        <w:t xml:space="preserve"> </w:t>
      </w:r>
      <w:r w:rsidRPr="000977F7">
        <w:rPr>
          <w:rFonts w:asciiTheme="majorHAnsi" w:hAnsiTheme="majorHAnsi"/>
          <w:sz w:val="20"/>
          <w:szCs w:val="20"/>
        </w:rPr>
        <w:t>відповідної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міжнародної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або</w:t>
      </w:r>
      <w:r w:rsidRPr="004D2D14">
        <w:rPr>
          <w:rFonts w:asciiTheme="majorHAnsi" w:hAnsiTheme="majorHAnsi"/>
          <w:spacing w:val="1"/>
          <w:sz w:val="20"/>
          <w:szCs w:val="20"/>
          <w:lang w:val="en-US"/>
        </w:rPr>
        <w:t xml:space="preserve"> </w:t>
      </w:r>
      <w:r w:rsidRPr="000977F7">
        <w:rPr>
          <w:rFonts w:asciiTheme="majorHAnsi" w:hAnsiTheme="majorHAnsi"/>
          <w:sz w:val="20"/>
          <w:szCs w:val="20"/>
        </w:rPr>
        <w:t>регіональної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організації</w:t>
      </w:r>
      <w:r w:rsidRPr="004D2D14">
        <w:rPr>
          <w:rFonts w:asciiTheme="majorHAnsi" w:hAnsiTheme="majorHAnsi"/>
          <w:spacing w:val="1"/>
          <w:sz w:val="20"/>
          <w:szCs w:val="20"/>
          <w:lang w:val="en-US"/>
        </w:rPr>
        <w:t xml:space="preserve"> </w:t>
      </w:r>
      <w:r w:rsidRPr="000977F7">
        <w:rPr>
          <w:rFonts w:asciiTheme="majorHAnsi" w:hAnsiTheme="majorHAnsi"/>
          <w:sz w:val="20"/>
          <w:szCs w:val="20"/>
        </w:rPr>
        <w:t>з</w:t>
      </w:r>
      <w:r w:rsidRPr="004D2D14">
        <w:rPr>
          <w:rFonts w:asciiTheme="majorHAnsi" w:hAnsiTheme="majorHAnsi"/>
          <w:spacing w:val="-47"/>
          <w:sz w:val="20"/>
          <w:szCs w:val="20"/>
          <w:lang w:val="en-US"/>
        </w:rPr>
        <w:t xml:space="preserve"> </w:t>
      </w:r>
      <w:r w:rsidRPr="000977F7">
        <w:rPr>
          <w:rFonts w:asciiTheme="majorHAnsi" w:hAnsiTheme="majorHAnsi"/>
          <w:sz w:val="20"/>
          <w:szCs w:val="20"/>
        </w:rPr>
        <w:t>стандартизації</w:t>
      </w:r>
    </w:p>
    <w:p w14:paraId="032602E0" w14:textId="77777777" w:rsidR="0097612F" w:rsidRPr="004D2D14" w:rsidRDefault="0097612F" w:rsidP="000977F7">
      <w:pPr>
        <w:tabs>
          <w:tab w:val="left" w:pos="284"/>
        </w:tabs>
        <w:spacing w:after="0" w:line="240" w:lineRule="auto"/>
        <w:ind w:left="170"/>
        <w:mirrorIndents/>
        <w:jc w:val="both"/>
        <w:rPr>
          <w:rFonts w:asciiTheme="majorHAnsi" w:hAnsiTheme="majorHAnsi"/>
          <w:spacing w:val="-47"/>
          <w:sz w:val="20"/>
          <w:szCs w:val="20"/>
          <w:lang w:val="en-US"/>
        </w:rPr>
      </w:pPr>
      <w:r w:rsidRPr="000977F7">
        <w:rPr>
          <w:rFonts w:asciiTheme="majorHAnsi" w:hAnsiTheme="majorHAnsi"/>
          <w:b/>
          <w:sz w:val="20"/>
          <w:szCs w:val="20"/>
        </w:rPr>
        <w:t>НАЦІОНАЛЬНИЙ</w:t>
      </w:r>
      <w:r w:rsidRPr="004D2D14">
        <w:rPr>
          <w:rFonts w:asciiTheme="majorHAnsi" w:hAnsiTheme="majorHAnsi"/>
          <w:b/>
          <w:sz w:val="20"/>
          <w:szCs w:val="20"/>
          <w:lang w:val="en-US"/>
        </w:rPr>
        <w:t xml:space="preserve"> </w:t>
      </w:r>
      <w:r w:rsidRPr="000977F7">
        <w:rPr>
          <w:rFonts w:asciiTheme="majorHAnsi" w:hAnsiTheme="majorHAnsi"/>
          <w:b/>
          <w:sz w:val="20"/>
          <w:szCs w:val="20"/>
        </w:rPr>
        <w:t>РЕЖИМ</w:t>
      </w:r>
      <w:r w:rsidRPr="004D2D14">
        <w:rPr>
          <w:rFonts w:asciiTheme="majorHAnsi" w:hAnsiTheme="majorHAnsi"/>
          <w:b/>
          <w:spacing w:val="1"/>
          <w:sz w:val="20"/>
          <w:szCs w:val="20"/>
          <w:lang w:val="en-US"/>
        </w:rPr>
        <w:t xml:space="preserve"> </w:t>
      </w:r>
      <w:r w:rsidRPr="004D2D14">
        <w:rPr>
          <w:rFonts w:asciiTheme="majorHAnsi" w:hAnsiTheme="majorHAnsi"/>
          <w:sz w:val="20"/>
          <w:szCs w:val="20"/>
          <w:lang w:val="en-US"/>
        </w:rPr>
        <w:t>–</w:t>
      </w:r>
    </w:p>
    <w:p w14:paraId="6448EA78"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NATIONAL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TREATMENT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5C57E60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Режим</w:t>
      </w:r>
      <w:r w:rsidRPr="004D2D14">
        <w:rPr>
          <w:rFonts w:asciiTheme="majorHAnsi" w:hAnsiTheme="majorHAnsi"/>
          <w:sz w:val="20"/>
          <w:szCs w:val="20"/>
          <w:lang w:val="en-US"/>
        </w:rPr>
        <w:t xml:space="preserve">, </w:t>
      </w:r>
      <w:r w:rsidRPr="000977F7">
        <w:rPr>
          <w:rFonts w:asciiTheme="majorHAnsi" w:hAnsiTheme="majorHAnsi"/>
          <w:sz w:val="20"/>
          <w:szCs w:val="20"/>
        </w:rPr>
        <w:t>наданий</w:t>
      </w:r>
      <w:r w:rsidRPr="004D2D14">
        <w:rPr>
          <w:rFonts w:asciiTheme="majorHAnsi" w:hAnsiTheme="majorHAnsi"/>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процесам</w:t>
      </w:r>
      <w:r w:rsidRPr="004D2D14">
        <w:rPr>
          <w:rFonts w:asciiTheme="majorHAnsi" w:hAnsiTheme="majorHAnsi"/>
          <w:sz w:val="20"/>
          <w:szCs w:val="20"/>
          <w:lang w:val="en-US"/>
        </w:rPr>
        <w:t xml:space="preserve"> </w:t>
      </w:r>
      <w:r w:rsidRPr="000977F7">
        <w:rPr>
          <w:rFonts w:asciiTheme="majorHAnsi" w:hAnsiTheme="majorHAnsi"/>
          <w:sz w:val="20"/>
          <w:szCs w:val="20"/>
        </w:rPr>
        <w:t>інших</w:t>
      </w:r>
      <w:r w:rsidRPr="004D2D14">
        <w:rPr>
          <w:rFonts w:asciiTheme="majorHAnsi" w:hAnsiTheme="majorHAnsi"/>
          <w:sz w:val="20"/>
          <w:szCs w:val="20"/>
          <w:lang w:val="en-US"/>
        </w:rPr>
        <w:t xml:space="preserve"> </w:t>
      </w:r>
      <w:r w:rsidRPr="000977F7">
        <w:rPr>
          <w:rFonts w:asciiTheme="majorHAnsi" w:hAnsiTheme="majorHAnsi"/>
          <w:sz w:val="20"/>
          <w:szCs w:val="20"/>
        </w:rPr>
        <w:t>країн</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який</w:t>
      </w:r>
      <w:r w:rsidRPr="004D2D14">
        <w:rPr>
          <w:rFonts w:asciiTheme="majorHAnsi" w:hAnsiTheme="majorHAnsi"/>
          <w:spacing w:val="1"/>
          <w:sz w:val="20"/>
          <w:szCs w:val="20"/>
          <w:lang w:val="en-US"/>
        </w:rPr>
        <w:t xml:space="preserve"> </w:t>
      </w:r>
      <w:r w:rsidRPr="000977F7">
        <w:rPr>
          <w:rFonts w:asciiTheme="majorHAnsi" w:hAnsiTheme="majorHAnsi"/>
          <w:sz w:val="20"/>
          <w:szCs w:val="20"/>
        </w:rPr>
        <w:t>є</w:t>
      </w:r>
      <w:r w:rsidRPr="004D2D14">
        <w:rPr>
          <w:rFonts w:asciiTheme="majorHAnsi" w:hAnsiTheme="majorHAnsi"/>
          <w:spacing w:val="1"/>
          <w:sz w:val="20"/>
          <w:szCs w:val="20"/>
          <w:lang w:val="en-US"/>
        </w:rPr>
        <w:t xml:space="preserve"> </w:t>
      </w:r>
      <w:r w:rsidRPr="000977F7">
        <w:rPr>
          <w:rFonts w:asciiTheme="majorHAnsi" w:hAnsiTheme="majorHAnsi"/>
          <w:sz w:val="20"/>
          <w:szCs w:val="20"/>
        </w:rPr>
        <w:t>не</w:t>
      </w:r>
      <w:r w:rsidRPr="004D2D14">
        <w:rPr>
          <w:rFonts w:asciiTheme="majorHAnsi" w:hAnsiTheme="majorHAnsi"/>
          <w:spacing w:val="1"/>
          <w:sz w:val="20"/>
          <w:szCs w:val="20"/>
          <w:lang w:val="en-US"/>
        </w:rPr>
        <w:t xml:space="preserve"> </w:t>
      </w:r>
      <w:r w:rsidRPr="000977F7">
        <w:rPr>
          <w:rFonts w:asciiTheme="majorHAnsi" w:hAnsiTheme="majorHAnsi"/>
          <w:sz w:val="20"/>
          <w:szCs w:val="20"/>
        </w:rPr>
        <w:t>менш</w:t>
      </w:r>
      <w:r w:rsidRPr="004D2D14">
        <w:rPr>
          <w:rFonts w:asciiTheme="majorHAnsi" w:hAnsiTheme="majorHAnsi"/>
          <w:spacing w:val="1"/>
          <w:sz w:val="20"/>
          <w:szCs w:val="20"/>
          <w:lang w:val="en-US"/>
        </w:rPr>
        <w:t xml:space="preserve"> </w:t>
      </w:r>
      <w:r w:rsidRPr="000977F7">
        <w:rPr>
          <w:rFonts w:asciiTheme="majorHAnsi" w:hAnsiTheme="majorHAnsi"/>
          <w:sz w:val="20"/>
          <w:szCs w:val="20"/>
        </w:rPr>
        <w:t>сприятливим</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ніж</w:t>
      </w:r>
      <w:r w:rsidRPr="004D2D14">
        <w:rPr>
          <w:rFonts w:asciiTheme="majorHAnsi" w:hAnsiTheme="majorHAnsi"/>
          <w:spacing w:val="1"/>
          <w:sz w:val="20"/>
          <w:szCs w:val="20"/>
          <w:lang w:val="en-US"/>
        </w:rPr>
        <w:t xml:space="preserve"> </w:t>
      </w:r>
      <w:r w:rsidRPr="000977F7">
        <w:rPr>
          <w:rFonts w:asciiTheme="majorHAnsi" w:hAnsiTheme="majorHAnsi"/>
          <w:sz w:val="20"/>
          <w:szCs w:val="20"/>
        </w:rPr>
        <w:t>режим</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наданий</w:t>
      </w:r>
      <w:r w:rsidRPr="004D2D14">
        <w:rPr>
          <w:rFonts w:asciiTheme="majorHAnsi" w:hAnsiTheme="majorHAnsi"/>
          <w:spacing w:val="-47"/>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процесам</w:t>
      </w:r>
      <w:r w:rsidRPr="004D2D14">
        <w:rPr>
          <w:rFonts w:asciiTheme="majorHAnsi" w:hAnsiTheme="majorHAnsi"/>
          <w:sz w:val="20"/>
          <w:szCs w:val="20"/>
          <w:lang w:val="en-US"/>
        </w:rPr>
        <w:t xml:space="preserve"> </w:t>
      </w:r>
      <w:r w:rsidRPr="000977F7">
        <w:rPr>
          <w:rFonts w:asciiTheme="majorHAnsi" w:hAnsiTheme="majorHAnsi"/>
          <w:sz w:val="20"/>
          <w:szCs w:val="20"/>
        </w:rPr>
        <w:t>національного</w:t>
      </w:r>
      <w:r w:rsidRPr="004D2D14">
        <w:rPr>
          <w:rFonts w:asciiTheme="majorHAnsi" w:hAnsiTheme="majorHAnsi"/>
          <w:sz w:val="20"/>
          <w:szCs w:val="20"/>
          <w:lang w:val="en-US"/>
        </w:rPr>
        <w:t xml:space="preserve"> </w:t>
      </w:r>
      <w:r w:rsidRPr="000977F7">
        <w:rPr>
          <w:rFonts w:asciiTheme="majorHAnsi" w:hAnsiTheme="majorHAnsi"/>
          <w:sz w:val="20"/>
          <w:szCs w:val="20"/>
        </w:rPr>
        <w:t>походження</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pacing w:val="1"/>
          <w:sz w:val="20"/>
          <w:szCs w:val="20"/>
          <w:lang w:val="en-US"/>
        </w:rPr>
        <w:t xml:space="preserve"> </w:t>
      </w:r>
      <w:r w:rsidRPr="000977F7">
        <w:rPr>
          <w:rFonts w:asciiTheme="majorHAnsi" w:hAnsiTheme="majorHAnsi"/>
          <w:sz w:val="20"/>
          <w:szCs w:val="20"/>
        </w:rPr>
        <w:t>однаковій</w:t>
      </w:r>
      <w:r w:rsidRPr="004D2D14">
        <w:rPr>
          <w:rFonts w:asciiTheme="majorHAnsi" w:hAnsiTheme="majorHAnsi"/>
          <w:spacing w:val="-2"/>
          <w:sz w:val="20"/>
          <w:szCs w:val="20"/>
          <w:lang w:val="en-US"/>
        </w:rPr>
        <w:t xml:space="preserve"> </w:t>
      </w:r>
      <w:r w:rsidRPr="000977F7">
        <w:rPr>
          <w:rFonts w:asciiTheme="majorHAnsi" w:hAnsiTheme="majorHAnsi"/>
          <w:sz w:val="20"/>
          <w:szCs w:val="20"/>
        </w:rPr>
        <w:t>ситуації</w:t>
      </w:r>
    </w:p>
    <w:p w14:paraId="33212CC8"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bCs/>
          <w:i/>
          <w:iCs/>
          <w:spacing w:val="-1"/>
          <w:sz w:val="20"/>
          <w:szCs w:val="20"/>
        </w:rPr>
        <w:t>ДСТУ</w:t>
      </w:r>
      <w:r w:rsidRPr="000977F7">
        <w:rPr>
          <w:rFonts w:asciiTheme="majorHAnsi" w:hAnsiTheme="majorHAnsi"/>
          <w:b/>
          <w:i/>
          <w:iCs/>
          <w:spacing w:val="-6"/>
          <w:sz w:val="20"/>
          <w:szCs w:val="20"/>
        </w:rPr>
        <w:t xml:space="preserve"> </w:t>
      </w:r>
      <w:r w:rsidRPr="000977F7">
        <w:rPr>
          <w:rFonts w:asciiTheme="majorHAnsi" w:hAnsiTheme="majorHAnsi"/>
          <w:i/>
          <w:iCs/>
          <w:spacing w:val="-1"/>
          <w:sz w:val="20"/>
          <w:szCs w:val="20"/>
        </w:rPr>
        <w:t>ISO/IEC</w:t>
      </w:r>
      <w:r w:rsidRPr="000977F7">
        <w:rPr>
          <w:rFonts w:asciiTheme="majorHAnsi" w:hAnsiTheme="majorHAnsi"/>
          <w:i/>
          <w:iCs/>
          <w:spacing w:val="-10"/>
          <w:sz w:val="20"/>
          <w:szCs w:val="20"/>
        </w:rPr>
        <w:t xml:space="preserve"> </w:t>
      </w:r>
      <w:r w:rsidRPr="000977F7">
        <w:rPr>
          <w:rFonts w:asciiTheme="majorHAnsi" w:hAnsiTheme="majorHAnsi"/>
          <w:i/>
          <w:iCs/>
          <w:spacing w:val="-1"/>
          <w:sz w:val="20"/>
          <w:szCs w:val="20"/>
        </w:rPr>
        <w:t>17000:2007</w:t>
      </w:r>
    </w:p>
    <w:p w14:paraId="1ABFC701"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НАЦІОНАЛЬНИЙ</w:t>
      </w:r>
      <w:r w:rsidRPr="000977F7">
        <w:rPr>
          <w:color w:val="auto"/>
          <w:spacing w:val="-5"/>
          <w:sz w:val="20"/>
          <w:szCs w:val="20"/>
        </w:rPr>
        <w:t xml:space="preserve"> </w:t>
      </w:r>
      <w:r w:rsidRPr="000977F7">
        <w:rPr>
          <w:color w:val="auto"/>
          <w:sz w:val="20"/>
          <w:szCs w:val="20"/>
        </w:rPr>
        <w:t>СТАНДАРТ</w:t>
      </w:r>
      <w:r w:rsidRPr="000977F7">
        <w:rPr>
          <w:color w:val="auto"/>
          <w:spacing w:val="-4"/>
          <w:sz w:val="20"/>
          <w:szCs w:val="20"/>
        </w:rPr>
        <w:t xml:space="preserve"> </w:t>
      </w:r>
      <w:r w:rsidRPr="000977F7">
        <w:rPr>
          <w:b w:val="0"/>
          <w:color w:val="auto"/>
          <w:sz w:val="20"/>
          <w:szCs w:val="20"/>
        </w:rPr>
        <w:t>–</w:t>
      </w:r>
    </w:p>
    <w:p w14:paraId="4A423CB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Стандарт, прийнятий національним органом стандартизації та доступний для широкого кола користувачів</w:t>
      </w:r>
    </w:p>
    <w:p w14:paraId="6A21148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spacing w:val="-47"/>
          <w:sz w:val="20"/>
          <w:szCs w:val="20"/>
        </w:rPr>
        <w:t xml:space="preserve"> </w:t>
      </w:r>
      <w:r w:rsidRPr="000977F7">
        <w:rPr>
          <w:rFonts w:asciiTheme="majorHAnsi" w:hAnsiTheme="majorHAnsi"/>
          <w:i/>
          <w:sz w:val="20"/>
          <w:szCs w:val="20"/>
        </w:rPr>
        <w:t>П.13 ч. 1 ст. 1 закону України "Про стандартизацію"</w:t>
      </w:r>
      <w:r w:rsidRPr="000977F7">
        <w:rPr>
          <w:rFonts w:asciiTheme="majorHAnsi" w:hAnsiTheme="majorHAnsi"/>
          <w:i/>
          <w:spacing w:val="-48"/>
          <w:sz w:val="20"/>
          <w:szCs w:val="20"/>
        </w:rPr>
        <w:t xml:space="preserve"> </w:t>
      </w:r>
    </w:p>
    <w:p w14:paraId="121D27C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НЕБАЛАНС</w:t>
      </w:r>
      <w:r w:rsidRPr="000977F7">
        <w:rPr>
          <w:color w:val="auto"/>
          <w:spacing w:val="-3"/>
          <w:sz w:val="20"/>
          <w:szCs w:val="20"/>
        </w:rPr>
        <w:t xml:space="preserve"> </w:t>
      </w:r>
      <w:r w:rsidRPr="000977F7">
        <w:rPr>
          <w:color w:val="auto"/>
          <w:sz w:val="20"/>
          <w:szCs w:val="20"/>
        </w:rPr>
        <w:t>НАПРУГ</w:t>
      </w:r>
      <w:r w:rsidRPr="000977F7">
        <w:rPr>
          <w:color w:val="auto"/>
          <w:spacing w:val="-2"/>
          <w:sz w:val="20"/>
          <w:szCs w:val="20"/>
        </w:rPr>
        <w:t xml:space="preserve"> </w:t>
      </w:r>
      <w:r w:rsidRPr="000977F7">
        <w:rPr>
          <w:color w:val="auto"/>
          <w:sz w:val="20"/>
          <w:szCs w:val="20"/>
        </w:rPr>
        <w:t>(СТРУМІВ)</w:t>
      </w:r>
      <w:r w:rsidRPr="000977F7">
        <w:rPr>
          <w:color w:val="auto"/>
          <w:spacing w:val="-4"/>
          <w:sz w:val="20"/>
          <w:szCs w:val="20"/>
        </w:rPr>
        <w:t xml:space="preserve"> </w:t>
      </w:r>
      <w:r w:rsidRPr="000977F7">
        <w:rPr>
          <w:color w:val="auto"/>
          <w:sz w:val="20"/>
          <w:szCs w:val="20"/>
        </w:rPr>
        <w:t>–</w:t>
      </w:r>
    </w:p>
    <w:p w14:paraId="038CDC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Відмінність за модулем значень хоча б однієї з фазних</w:t>
      </w:r>
      <w:r w:rsidRPr="000977F7">
        <w:rPr>
          <w:rFonts w:asciiTheme="majorHAnsi" w:hAnsiTheme="majorHAnsi"/>
          <w:spacing w:val="-47"/>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лінійних</w:t>
      </w:r>
      <w:r w:rsidRPr="000977F7">
        <w:rPr>
          <w:rFonts w:asciiTheme="majorHAnsi" w:hAnsiTheme="majorHAnsi"/>
          <w:spacing w:val="1"/>
          <w:sz w:val="20"/>
          <w:szCs w:val="20"/>
        </w:rPr>
        <w:t xml:space="preserve"> </w:t>
      </w:r>
      <w:r w:rsidRPr="000977F7">
        <w:rPr>
          <w:rFonts w:asciiTheme="majorHAnsi" w:hAnsiTheme="majorHAnsi"/>
          <w:sz w:val="20"/>
          <w:szCs w:val="20"/>
        </w:rPr>
        <w:t>напруг</w:t>
      </w:r>
      <w:r w:rsidRPr="000977F7">
        <w:rPr>
          <w:rFonts w:asciiTheme="majorHAnsi" w:hAnsiTheme="majorHAnsi"/>
          <w:spacing w:val="-2"/>
          <w:sz w:val="20"/>
          <w:szCs w:val="20"/>
        </w:rPr>
        <w:t xml:space="preserve"> </w:t>
      </w:r>
      <w:r w:rsidRPr="000977F7">
        <w:rPr>
          <w:rFonts w:asciiTheme="majorHAnsi" w:hAnsiTheme="majorHAnsi"/>
          <w:sz w:val="20"/>
          <w:szCs w:val="20"/>
        </w:rPr>
        <w:t>(струмів) інших</w:t>
      </w:r>
      <w:r w:rsidRPr="000977F7">
        <w:rPr>
          <w:rFonts w:asciiTheme="majorHAnsi" w:hAnsiTheme="majorHAnsi"/>
          <w:spacing w:val="-2"/>
          <w:sz w:val="20"/>
          <w:szCs w:val="20"/>
        </w:rPr>
        <w:t xml:space="preserve"> </w:t>
      </w:r>
      <w:r w:rsidRPr="000977F7">
        <w:rPr>
          <w:rFonts w:asciiTheme="majorHAnsi" w:hAnsiTheme="majorHAnsi"/>
          <w:sz w:val="20"/>
          <w:szCs w:val="20"/>
        </w:rPr>
        <w:t>фаз</w:t>
      </w:r>
    </w:p>
    <w:p w14:paraId="4DF341EF"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3466 - 96</w:t>
      </w:r>
    </w:p>
    <w:p w14:paraId="08355335"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pacing w:val="-1"/>
          <w:sz w:val="20"/>
          <w:szCs w:val="20"/>
        </w:rPr>
        <w:t xml:space="preserve">НЕБЕЗПЕКА </w:t>
      </w:r>
      <w:r w:rsidRPr="000977F7">
        <w:rPr>
          <w:rFonts w:asciiTheme="majorHAnsi" w:hAnsiTheme="majorHAnsi"/>
          <w:b/>
          <w:sz w:val="20"/>
          <w:szCs w:val="20"/>
        </w:rPr>
        <w:t>–</w:t>
      </w:r>
      <w:r w:rsidRPr="000977F7">
        <w:rPr>
          <w:rFonts w:asciiTheme="majorHAnsi" w:hAnsiTheme="majorHAnsi"/>
          <w:b/>
          <w:spacing w:val="-47"/>
          <w:sz w:val="20"/>
          <w:szCs w:val="20"/>
        </w:rPr>
        <w:t xml:space="preserve"> </w:t>
      </w:r>
    </w:p>
    <w:p w14:paraId="00C5C28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HAZARD</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DC4068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Потенційне джерело травмування або заподіяння шкоди здоров’ю</w:t>
      </w:r>
    </w:p>
    <w:p w14:paraId="243AB126"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безпеки машин</w:t>
      </w:r>
    </w:p>
    <w:p w14:paraId="7AAAD0C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Потенційне джерело заподіяння шкоди. </w:t>
      </w:r>
    </w:p>
    <w:p w14:paraId="0618313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Термін «небезпека» може характеризувати її походження (наприклад, механічна небезпека, електрична небезпека) або тип потенційної шкоди (наприклад, небезпека ураження електричним струмом, небезпека порізу, небезпека отруєння, небезпека загоряння).</w:t>
      </w:r>
    </w:p>
    <w:p w14:paraId="692408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Примітка 2. Небезпека, на яку поширюється це визначення: — постійно є протягом використання машини за призначеністю (наприклад, пересування небезпечних рухомих елементів, електрична дуга під час зварювання, незручне положення оператора, шум, висока температура); — або може виникнути несподівано (наприклад, вибух, небезпека </w:t>
      </w:r>
      <w:r w:rsidRPr="000977F7">
        <w:rPr>
          <w:rFonts w:asciiTheme="majorHAnsi" w:hAnsiTheme="majorHAnsi"/>
          <w:sz w:val="20"/>
          <w:szCs w:val="20"/>
        </w:rPr>
        <w:t xml:space="preserve">здавлювання, спричинена ненавмисним/неочікуваним пуском, викидання внаслідок руйнування, падіння внаслідок прискорення/сповільнення) </w:t>
      </w:r>
    </w:p>
    <w:p w14:paraId="26795968"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1867A48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факторів, пов’язана з експлуатацією промислового підприємства, що діє постійно або виникає</w:t>
      </w:r>
      <w:r w:rsidRPr="000977F7">
        <w:rPr>
          <w:rFonts w:asciiTheme="majorHAnsi" w:hAnsiTheme="majorHAnsi"/>
          <w:spacing w:val="1"/>
          <w:sz w:val="20"/>
          <w:szCs w:val="20"/>
        </w:rPr>
        <w:t xml:space="preserve"> </w:t>
      </w:r>
      <w:r w:rsidRPr="000977F7">
        <w:rPr>
          <w:rFonts w:asciiTheme="majorHAnsi" w:hAnsiTheme="majorHAnsi"/>
          <w:sz w:val="20"/>
          <w:szCs w:val="20"/>
        </w:rPr>
        <w:t>внаслідок</w:t>
      </w:r>
      <w:r w:rsidRPr="000977F7">
        <w:rPr>
          <w:rFonts w:asciiTheme="majorHAnsi" w:hAnsiTheme="majorHAnsi"/>
          <w:spacing w:val="1"/>
          <w:sz w:val="20"/>
          <w:szCs w:val="20"/>
        </w:rPr>
        <w:t xml:space="preserve"> </w:t>
      </w:r>
      <w:r w:rsidRPr="000977F7">
        <w:rPr>
          <w:rFonts w:asciiTheme="majorHAnsi" w:hAnsiTheme="majorHAnsi"/>
          <w:sz w:val="20"/>
          <w:szCs w:val="20"/>
        </w:rPr>
        <w:t>певної</w:t>
      </w:r>
      <w:r w:rsidRPr="000977F7">
        <w:rPr>
          <w:rFonts w:asciiTheme="majorHAnsi" w:hAnsiTheme="majorHAnsi"/>
          <w:spacing w:val="1"/>
          <w:sz w:val="20"/>
          <w:szCs w:val="20"/>
        </w:rPr>
        <w:t xml:space="preserve"> </w:t>
      </w:r>
      <w:r w:rsidRPr="000977F7">
        <w:rPr>
          <w:rFonts w:asciiTheme="majorHAnsi" w:hAnsiTheme="majorHAnsi"/>
          <w:sz w:val="20"/>
          <w:szCs w:val="20"/>
        </w:rPr>
        <w:t>ініціюючої</w:t>
      </w:r>
      <w:r w:rsidRPr="000977F7">
        <w:rPr>
          <w:rFonts w:asciiTheme="majorHAnsi" w:hAnsiTheme="majorHAnsi"/>
          <w:spacing w:val="1"/>
          <w:sz w:val="20"/>
          <w:szCs w:val="20"/>
        </w:rPr>
        <w:t xml:space="preserve"> </w:t>
      </w:r>
      <w:r w:rsidRPr="000977F7">
        <w:rPr>
          <w:rFonts w:asciiTheme="majorHAnsi" w:hAnsiTheme="majorHAnsi"/>
          <w:sz w:val="20"/>
          <w:szCs w:val="20"/>
        </w:rPr>
        <w:t>події</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певного</w:t>
      </w:r>
      <w:r w:rsidRPr="000977F7">
        <w:rPr>
          <w:rFonts w:asciiTheme="majorHAnsi" w:hAnsiTheme="majorHAnsi"/>
          <w:spacing w:val="1"/>
          <w:sz w:val="20"/>
          <w:szCs w:val="20"/>
        </w:rPr>
        <w:t xml:space="preserve"> </w:t>
      </w:r>
      <w:r w:rsidRPr="000977F7">
        <w:rPr>
          <w:rFonts w:asciiTheme="majorHAnsi" w:hAnsiTheme="majorHAnsi"/>
          <w:sz w:val="20"/>
          <w:szCs w:val="20"/>
        </w:rPr>
        <w:t>збігу</w:t>
      </w:r>
      <w:r w:rsidRPr="000977F7">
        <w:rPr>
          <w:rFonts w:asciiTheme="majorHAnsi" w:hAnsiTheme="majorHAnsi"/>
          <w:spacing w:val="-47"/>
          <w:sz w:val="20"/>
          <w:szCs w:val="20"/>
        </w:rPr>
        <w:t xml:space="preserve"> </w:t>
      </w:r>
      <w:r w:rsidRPr="000977F7">
        <w:rPr>
          <w:rFonts w:asciiTheme="majorHAnsi" w:hAnsiTheme="majorHAnsi"/>
          <w:sz w:val="20"/>
          <w:szCs w:val="20"/>
        </w:rPr>
        <w:t>обставин,</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чинять</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здатні</w:t>
      </w:r>
      <w:r w:rsidRPr="000977F7">
        <w:rPr>
          <w:rFonts w:asciiTheme="majorHAnsi" w:hAnsiTheme="majorHAnsi"/>
          <w:spacing w:val="1"/>
          <w:sz w:val="20"/>
          <w:szCs w:val="20"/>
        </w:rPr>
        <w:t xml:space="preserve"> </w:t>
      </w:r>
      <w:r w:rsidRPr="000977F7">
        <w:rPr>
          <w:rFonts w:asciiTheme="majorHAnsi" w:hAnsiTheme="majorHAnsi"/>
          <w:sz w:val="20"/>
          <w:szCs w:val="20"/>
        </w:rPr>
        <w:t>чинити)</w:t>
      </w:r>
      <w:r w:rsidRPr="000977F7">
        <w:rPr>
          <w:rFonts w:asciiTheme="majorHAnsi" w:hAnsiTheme="majorHAnsi"/>
          <w:spacing w:val="1"/>
          <w:sz w:val="20"/>
          <w:szCs w:val="20"/>
        </w:rPr>
        <w:t xml:space="preserve"> </w:t>
      </w:r>
      <w:r w:rsidRPr="000977F7">
        <w:rPr>
          <w:rFonts w:asciiTheme="majorHAnsi" w:hAnsiTheme="majorHAnsi"/>
          <w:sz w:val="20"/>
          <w:szCs w:val="20"/>
        </w:rPr>
        <w:t>негативний</w:t>
      </w:r>
      <w:r w:rsidRPr="000977F7">
        <w:rPr>
          <w:rFonts w:asciiTheme="majorHAnsi" w:hAnsiTheme="majorHAnsi"/>
          <w:spacing w:val="1"/>
          <w:sz w:val="20"/>
          <w:szCs w:val="20"/>
        </w:rPr>
        <w:t xml:space="preserve"> </w:t>
      </w:r>
      <w:r w:rsidRPr="000977F7">
        <w:rPr>
          <w:rFonts w:asciiTheme="majorHAnsi" w:hAnsiTheme="majorHAnsi"/>
          <w:sz w:val="20"/>
          <w:szCs w:val="20"/>
        </w:rPr>
        <w:t>вплив</w:t>
      </w:r>
      <w:r w:rsidRPr="000977F7">
        <w:rPr>
          <w:rFonts w:asciiTheme="majorHAnsi" w:hAnsiTheme="majorHAnsi"/>
          <w:spacing w:val="1"/>
          <w:sz w:val="20"/>
          <w:szCs w:val="20"/>
        </w:rPr>
        <w:t xml:space="preserve"> </w:t>
      </w:r>
      <w:r w:rsidRPr="000977F7">
        <w:rPr>
          <w:rFonts w:asciiTheme="majorHAnsi" w:hAnsiTheme="majorHAnsi"/>
          <w:sz w:val="20"/>
          <w:szCs w:val="20"/>
        </w:rPr>
        <w:t>на реципієнтів</w:t>
      </w:r>
    </w:p>
    <w:p w14:paraId="5B2090C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2156 - 93</w:t>
      </w:r>
    </w:p>
    <w:p w14:paraId="0B5F4783"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bookmarkStart w:id="133" w:name="_Hlk103656394"/>
      <w:r w:rsidRPr="000977F7">
        <w:rPr>
          <w:rFonts w:asciiTheme="majorHAnsi" w:hAnsiTheme="majorHAnsi"/>
          <w:b/>
          <w:sz w:val="20"/>
          <w:szCs w:val="20"/>
        </w:rPr>
        <w:t>НЕБЕЗПЕЧНА ЗОНА –</w:t>
      </w:r>
    </w:p>
    <w:p w14:paraId="614733EB"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HAZARD ZONE, DANGER ZONE -</w:t>
      </w:r>
    </w:p>
    <w:bookmarkEnd w:id="133"/>
    <w:p w14:paraId="039FBB95"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Будь-яка зона усередині та/або ззовні машини, у якій особа наражається на ризик для здоров’я або небезпеку</w:t>
      </w:r>
    </w:p>
    <w:p w14:paraId="21EBE440" w14:textId="77777777" w:rsidR="0097612F" w:rsidRPr="000977F7" w:rsidRDefault="0097612F" w:rsidP="000977F7">
      <w:pPr>
        <w:tabs>
          <w:tab w:val="left" w:pos="284"/>
        </w:tabs>
        <w:spacing w:after="0" w:line="240" w:lineRule="auto"/>
        <w:ind w:left="170"/>
        <w:mirrorIndents/>
        <w:jc w:val="both"/>
        <w:rPr>
          <w:rFonts w:asciiTheme="majorHAnsi" w:hAnsiTheme="majorHAnsi"/>
          <w:bCs/>
          <w:i/>
          <w:iCs/>
          <w:sz w:val="20"/>
          <w:szCs w:val="20"/>
        </w:rPr>
      </w:pPr>
      <w:r w:rsidRPr="000977F7">
        <w:rPr>
          <w:rFonts w:asciiTheme="majorHAnsi" w:hAnsiTheme="majorHAnsi"/>
          <w:bCs/>
          <w:i/>
          <w:iCs/>
          <w:sz w:val="20"/>
          <w:szCs w:val="20"/>
        </w:rPr>
        <w:t>Техніцчний регламент безпеки машин</w:t>
      </w:r>
    </w:p>
    <w:p w14:paraId="71A029A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Буь-яке місце всередині та/або навколо машини, у якій людина може наражатися на небезпеку </w:t>
      </w:r>
    </w:p>
    <w:p w14:paraId="286B445D" w14:textId="77777777" w:rsidR="0097612F" w:rsidRPr="000977F7" w:rsidRDefault="0097612F" w:rsidP="000977F7">
      <w:pPr>
        <w:pStyle w:val="af6"/>
        <w:tabs>
          <w:tab w:val="left" w:pos="284"/>
        </w:tabs>
        <w:spacing w:after="0"/>
        <w:ind w:left="170"/>
        <w:mirrorIndents/>
        <w:jc w:val="both"/>
        <w:rPr>
          <w:rFonts w:asciiTheme="majorHAnsi" w:hAnsiTheme="majorHAnsi"/>
          <w:bCs/>
          <w:i/>
          <w:iCs/>
          <w:sz w:val="20"/>
          <w:szCs w:val="20"/>
        </w:rPr>
      </w:pPr>
      <w:r w:rsidRPr="000977F7">
        <w:rPr>
          <w:rFonts w:asciiTheme="majorHAnsi" w:hAnsiTheme="majorHAnsi"/>
          <w:i/>
          <w:iCs/>
          <w:sz w:val="20"/>
          <w:szCs w:val="20"/>
        </w:rPr>
        <w:t>ДСТУ EN ISO 12100:2016</w:t>
      </w:r>
    </w:p>
    <w:p w14:paraId="362A62F3"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
          <w:sz w:val="20"/>
          <w:szCs w:val="20"/>
        </w:rPr>
        <w:t>НЕБЕЗПЕЧНА НЕХАРЧОВА ПРОДУКЦІЯ</w:t>
      </w:r>
      <w:r w:rsidRPr="000977F7">
        <w:rPr>
          <w:rFonts w:asciiTheme="majorHAnsi" w:hAnsiTheme="majorHAnsi"/>
          <w:bCs/>
          <w:sz w:val="20"/>
          <w:szCs w:val="20"/>
        </w:rPr>
        <w:t xml:space="preserve"> –-Будь-яка продукція, що не відповідає визначенню терміна "безпечна нехарчова продукція", зазначеному у цій статті</w:t>
      </w:r>
    </w:p>
    <w:p w14:paraId="1322E2D7"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bCs/>
          <w:i/>
          <w:iCs/>
          <w:sz w:val="20"/>
          <w:szCs w:val="20"/>
        </w:rPr>
        <w:t>Закон України "Про загальну безпечність нехарчової продукції</w:t>
      </w:r>
      <w:r w:rsidRPr="000977F7">
        <w:rPr>
          <w:rFonts w:asciiTheme="majorHAnsi" w:hAnsiTheme="majorHAnsi"/>
          <w:i/>
          <w:iCs/>
          <w:sz w:val="20"/>
          <w:szCs w:val="20"/>
        </w:rPr>
        <w:t>"</w:t>
      </w:r>
    </w:p>
    <w:p w14:paraId="3C650E6C"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bookmarkStart w:id="134" w:name="_Hlk103655464"/>
      <w:bookmarkStart w:id="135" w:name="_Hlk103655225"/>
      <w:r w:rsidRPr="000977F7">
        <w:rPr>
          <w:rFonts w:asciiTheme="majorHAnsi" w:hAnsiTheme="majorHAnsi"/>
          <w:b/>
          <w:bCs/>
          <w:sz w:val="20"/>
          <w:szCs w:val="20"/>
        </w:rPr>
        <w:t xml:space="preserve">НЕБЕЗПЕЧНА </w:t>
      </w:r>
      <w:bookmarkEnd w:id="134"/>
      <w:r w:rsidRPr="000977F7">
        <w:rPr>
          <w:rFonts w:asciiTheme="majorHAnsi" w:hAnsiTheme="majorHAnsi"/>
          <w:b/>
          <w:bCs/>
          <w:sz w:val="20"/>
          <w:szCs w:val="20"/>
        </w:rPr>
        <w:t>ПОДІЯ –</w:t>
      </w:r>
    </w:p>
    <w:p w14:paraId="0BE7278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bookmarkStart w:id="136" w:name="_Hlk103655531"/>
      <w:r w:rsidRPr="000977F7">
        <w:rPr>
          <w:rFonts w:asciiTheme="majorHAnsi" w:hAnsiTheme="majorHAnsi"/>
          <w:sz w:val="20"/>
          <w:szCs w:val="20"/>
        </w:rPr>
        <w:t>HAZARDOUS</w:t>
      </w:r>
      <w:bookmarkEnd w:id="136"/>
      <w:r w:rsidRPr="000977F7">
        <w:rPr>
          <w:rFonts w:asciiTheme="majorHAnsi" w:hAnsiTheme="majorHAnsi"/>
          <w:sz w:val="20"/>
          <w:szCs w:val="20"/>
        </w:rPr>
        <w:t xml:space="preserve"> EVENT –</w:t>
      </w:r>
    </w:p>
    <w:bookmarkEnd w:id="135"/>
    <w:p w14:paraId="3DE4BEF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Подія, яка може завдати шкоди Примітка. Небезпечна подія може тривати короткий час або тривалий час </w:t>
      </w:r>
    </w:p>
    <w:p w14:paraId="0B7EB771"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bookmarkStart w:id="137" w:name="_Hlk103656259"/>
      <w:r w:rsidRPr="000977F7">
        <w:rPr>
          <w:rFonts w:asciiTheme="majorHAnsi" w:hAnsiTheme="majorHAnsi"/>
          <w:i/>
          <w:iCs/>
          <w:sz w:val="20"/>
          <w:szCs w:val="20"/>
        </w:rPr>
        <w:t>ДСТУ EN ISO 12100:2016</w:t>
      </w:r>
    </w:p>
    <w:p w14:paraId="175015E3"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bookmarkStart w:id="138" w:name="_Hlk103655728"/>
      <w:bookmarkEnd w:id="137"/>
      <w:r w:rsidRPr="000977F7">
        <w:rPr>
          <w:rFonts w:asciiTheme="majorHAnsi" w:hAnsiTheme="majorHAnsi"/>
          <w:b/>
          <w:bCs/>
          <w:sz w:val="20"/>
          <w:szCs w:val="20"/>
        </w:rPr>
        <w:t>НЕБЕЗПЕЧНА СИТУАЦІЯ –</w:t>
      </w:r>
    </w:p>
    <w:p w14:paraId="766462E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HAZARDOUS SITUATION –</w:t>
      </w:r>
    </w:p>
    <w:bookmarkEnd w:id="138"/>
    <w:p w14:paraId="043336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Умови, під час яких людина наражається принаймні на одну небезпеку.</w:t>
      </w:r>
    </w:p>
    <w:p w14:paraId="3BAC52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Примітка. </w:t>
      </w:r>
    </w:p>
    <w:p w14:paraId="5CEACB2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Наражання може призвести до шкоди одразу або через деякий час </w:t>
      </w:r>
    </w:p>
    <w:p w14:paraId="3680306B"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6ECE5AE0"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bookmarkStart w:id="139" w:name="_Hlk103746102"/>
      <w:r w:rsidRPr="000977F7">
        <w:rPr>
          <w:rFonts w:asciiTheme="majorHAnsi" w:hAnsiTheme="majorHAnsi"/>
          <w:b/>
          <w:bCs/>
          <w:sz w:val="20"/>
          <w:szCs w:val="20"/>
        </w:rPr>
        <w:t>НЕБЕЗПЕЧНИЙ ЗБІЙ –</w:t>
      </w:r>
    </w:p>
    <w:p w14:paraId="7D8133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FAILURE TO DANGER –</w:t>
      </w:r>
    </w:p>
    <w:bookmarkEnd w:id="139"/>
    <w:p w14:paraId="60A8F1E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Будь-яке неправильне функціонування машини або в системі її енергопостачання, що підвищує ризик </w:t>
      </w:r>
    </w:p>
    <w:p w14:paraId="4C560F34"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1C920C45"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НЕБЕЗПЕЧНИЙ ПРИ КСПЛУАТАЦІЇ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29ED666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HAZARDOUS</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37DF4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Стосовно до виготовленого виробу, це означає створення потенційно небезпечних або неминуче небезпечних умов для здоров’я або майна; виробом, небезпечним при експлуатації, є такий виріб, доля якого є</w:t>
      </w:r>
      <w:r w:rsidRPr="000977F7">
        <w:rPr>
          <w:rFonts w:asciiTheme="majorHAnsi" w:hAnsiTheme="majorHAnsi"/>
          <w:spacing w:val="1"/>
          <w:sz w:val="20"/>
          <w:szCs w:val="20"/>
        </w:rPr>
        <w:t xml:space="preserve"> </w:t>
      </w:r>
      <w:r w:rsidRPr="000977F7">
        <w:rPr>
          <w:rFonts w:asciiTheme="majorHAnsi" w:hAnsiTheme="majorHAnsi"/>
          <w:sz w:val="20"/>
          <w:szCs w:val="20"/>
        </w:rPr>
        <w:t xml:space="preserve">неприйнятною за причинами: </w:t>
      </w:r>
    </w:p>
    <w:p w14:paraId="6216DB3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а) ненадійної конструкції; </w:t>
      </w:r>
    </w:p>
    <w:p w14:paraId="21E533E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 непередбаченої широкої експлуатації виробу,</w:t>
      </w:r>
      <w:r w:rsidRPr="000977F7">
        <w:rPr>
          <w:rFonts w:asciiTheme="majorHAnsi" w:hAnsiTheme="majorHAnsi"/>
          <w:spacing w:val="1"/>
          <w:sz w:val="20"/>
          <w:szCs w:val="20"/>
        </w:rPr>
        <w:t xml:space="preserve"> </w:t>
      </w:r>
      <w:r w:rsidRPr="000977F7">
        <w:rPr>
          <w:rFonts w:asciiTheme="majorHAnsi" w:hAnsiTheme="majorHAnsi"/>
          <w:sz w:val="20"/>
          <w:szCs w:val="20"/>
        </w:rPr>
        <w:t>яка не була передбачена ні в період розробки стандарту, ні при сертифікації цього виробу, а також, якщо</w:t>
      </w:r>
      <w:r w:rsidRPr="000977F7">
        <w:rPr>
          <w:rFonts w:asciiTheme="majorHAnsi" w:hAnsiTheme="majorHAnsi"/>
          <w:spacing w:val="1"/>
          <w:sz w:val="20"/>
          <w:szCs w:val="20"/>
        </w:rPr>
        <w:t xml:space="preserve"> </w:t>
      </w:r>
      <w:r w:rsidRPr="000977F7">
        <w:rPr>
          <w:rFonts w:asciiTheme="majorHAnsi" w:hAnsiTheme="majorHAnsi"/>
          <w:sz w:val="20"/>
          <w:szCs w:val="20"/>
        </w:rPr>
        <w:t>стандарт</w:t>
      </w:r>
      <w:r w:rsidRPr="000977F7">
        <w:rPr>
          <w:rFonts w:asciiTheme="majorHAnsi" w:hAnsiTheme="majorHAnsi"/>
          <w:spacing w:val="18"/>
          <w:sz w:val="20"/>
          <w:szCs w:val="20"/>
        </w:rPr>
        <w:t xml:space="preserve"> </w:t>
      </w:r>
      <w:r w:rsidRPr="000977F7">
        <w:rPr>
          <w:rFonts w:asciiTheme="majorHAnsi" w:hAnsiTheme="majorHAnsi"/>
          <w:sz w:val="20"/>
          <w:szCs w:val="20"/>
        </w:rPr>
        <w:t>не</w:t>
      </w:r>
      <w:r w:rsidRPr="000977F7">
        <w:rPr>
          <w:rFonts w:asciiTheme="majorHAnsi" w:hAnsiTheme="majorHAnsi"/>
          <w:spacing w:val="17"/>
          <w:sz w:val="20"/>
          <w:szCs w:val="20"/>
        </w:rPr>
        <w:t xml:space="preserve"> </w:t>
      </w:r>
      <w:r w:rsidRPr="000977F7">
        <w:rPr>
          <w:rFonts w:asciiTheme="majorHAnsi" w:hAnsiTheme="majorHAnsi"/>
          <w:sz w:val="20"/>
          <w:szCs w:val="20"/>
        </w:rPr>
        <w:t>визначає</w:t>
      </w:r>
      <w:r w:rsidRPr="000977F7">
        <w:rPr>
          <w:rFonts w:asciiTheme="majorHAnsi" w:hAnsiTheme="majorHAnsi"/>
          <w:spacing w:val="18"/>
          <w:sz w:val="20"/>
          <w:szCs w:val="20"/>
        </w:rPr>
        <w:t xml:space="preserve"> </w:t>
      </w:r>
      <w:r w:rsidRPr="000977F7">
        <w:rPr>
          <w:rFonts w:asciiTheme="majorHAnsi" w:hAnsiTheme="majorHAnsi"/>
          <w:sz w:val="20"/>
          <w:szCs w:val="20"/>
        </w:rPr>
        <w:t>конкретної</w:t>
      </w:r>
      <w:r w:rsidRPr="000977F7">
        <w:rPr>
          <w:rFonts w:asciiTheme="majorHAnsi" w:hAnsiTheme="majorHAnsi"/>
          <w:spacing w:val="16"/>
          <w:sz w:val="20"/>
          <w:szCs w:val="20"/>
        </w:rPr>
        <w:t xml:space="preserve"> </w:t>
      </w:r>
      <w:r w:rsidRPr="000977F7">
        <w:rPr>
          <w:rFonts w:asciiTheme="majorHAnsi" w:hAnsiTheme="majorHAnsi"/>
          <w:sz w:val="20"/>
          <w:szCs w:val="20"/>
        </w:rPr>
        <w:t>сфери</w:t>
      </w:r>
      <w:r w:rsidRPr="000977F7">
        <w:rPr>
          <w:rFonts w:asciiTheme="majorHAnsi" w:hAnsiTheme="majorHAnsi"/>
          <w:spacing w:val="16"/>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48"/>
          <w:sz w:val="20"/>
          <w:szCs w:val="20"/>
        </w:rPr>
        <w:t xml:space="preserve"> </w:t>
      </w:r>
      <w:r w:rsidRPr="000977F7">
        <w:rPr>
          <w:rFonts w:asciiTheme="majorHAnsi" w:hAnsiTheme="majorHAnsi"/>
          <w:sz w:val="20"/>
          <w:szCs w:val="20"/>
        </w:rPr>
        <w:t>а виготовлювач не обмежує сферу застосування в документації,</w:t>
      </w:r>
      <w:r w:rsidRPr="000977F7">
        <w:rPr>
          <w:rFonts w:asciiTheme="majorHAnsi" w:hAnsiTheme="majorHAnsi"/>
          <w:spacing w:val="-2"/>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додається</w:t>
      </w:r>
      <w:r w:rsidRPr="000977F7">
        <w:rPr>
          <w:rFonts w:asciiTheme="majorHAnsi" w:hAnsiTheme="majorHAnsi"/>
          <w:spacing w:val="-2"/>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реалізованого</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p>
    <w:p w14:paraId="7105447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21F71D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Якщо притаманна виробу небезпека є обов’язковою</w:t>
      </w:r>
      <w:r w:rsidRPr="000977F7">
        <w:rPr>
          <w:rFonts w:asciiTheme="majorHAnsi" w:hAnsiTheme="majorHAnsi"/>
          <w:spacing w:val="1"/>
          <w:sz w:val="20"/>
          <w:szCs w:val="20"/>
        </w:rPr>
        <w:t xml:space="preserve"> </w:t>
      </w:r>
      <w:r w:rsidRPr="000977F7">
        <w:rPr>
          <w:rFonts w:asciiTheme="majorHAnsi" w:hAnsiTheme="majorHAnsi"/>
          <w:sz w:val="20"/>
          <w:szCs w:val="20"/>
        </w:rPr>
        <w:t>умовою</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функціонування,</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обертові</w:t>
      </w:r>
      <w:r w:rsidRPr="000977F7">
        <w:rPr>
          <w:rFonts w:asciiTheme="majorHAnsi" w:hAnsiTheme="majorHAnsi"/>
          <w:spacing w:val="1"/>
          <w:sz w:val="20"/>
          <w:szCs w:val="20"/>
        </w:rPr>
        <w:t xml:space="preserve"> </w:t>
      </w:r>
      <w:r w:rsidRPr="000977F7">
        <w:rPr>
          <w:rFonts w:asciiTheme="majorHAnsi" w:hAnsiTheme="majorHAnsi"/>
          <w:sz w:val="20"/>
          <w:szCs w:val="20"/>
        </w:rPr>
        <w:lastRenderedPageBreak/>
        <w:t>збивалки в побутовому міксері, така небезпека виходить</w:t>
      </w:r>
      <w:r w:rsidRPr="000977F7">
        <w:rPr>
          <w:rFonts w:asciiTheme="majorHAnsi" w:hAnsiTheme="majorHAnsi"/>
          <w:spacing w:val="-1"/>
          <w:sz w:val="20"/>
          <w:szCs w:val="20"/>
        </w:rPr>
        <w:t xml:space="preserve"> </w:t>
      </w:r>
      <w:r w:rsidRPr="000977F7">
        <w:rPr>
          <w:rFonts w:asciiTheme="majorHAnsi" w:hAnsiTheme="majorHAnsi"/>
          <w:sz w:val="20"/>
          <w:szCs w:val="20"/>
        </w:rPr>
        <w:t>за межі</w:t>
      </w:r>
      <w:r w:rsidRPr="000977F7">
        <w:rPr>
          <w:rFonts w:asciiTheme="majorHAnsi" w:hAnsiTheme="majorHAnsi"/>
          <w:spacing w:val="1"/>
          <w:sz w:val="20"/>
          <w:szCs w:val="20"/>
        </w:rPr>
        <w:t xml:space="preserve"> </w:t>
      </w:r>
      <w:r w:rsidRPr="000977F7">
        <w:rPr>
          <w:rFonts w:asciiTheme="majorHAnsi" w:hAnsiTheme="majorHAnsi"/>
          <w:sz w:val="20"/>
          <w:szCs w:val="20"/>
        </w:rPr>
        <w:t>цього</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w:t>
      </w:r>
    </w:p>
    <w:p w14:paraId="3B607B83"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НЕБЕЗПЕЧНИЙ ФАКТОР –</w:t>
      </w:r>
    </w:p>
    <w:p w14:paraId="7F6F2209"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Будь-який хімічний, фізичний, біологічний чинник, речовина, матеріал або продукт, що впливає або за певних умов може негативно впливати на здоров'я людини</w:t>
      </w:r>
    </w:p>
    <w:p w14:paraId="65799E1E" w14:textId="77777777" w:rsidR="0097612F" w:rsidRPr="000977F7" w:rsidRDefault="0097612F" w:rsidP="000977F7">
      <w:pPr>
        <w:tabs>
          <w:tab w:val="left" w:pos="284"/>
        </w:tabs>
        <w:spacing w:after="0" w:line="240" w:lineRule="auto"/>
        <w:ind w:left="170"/>
        <w:mirrorIndents/>
        <w:jc w:val="both"/>
        <w:rPr>
          <w:rFonts w:asciiTheme="majorHAnsi" w:hAnsiTheme="majorHAnsi"/>
          <w:bCs/>
          <w:i/>
          <w:iCs/>
          <w:sz w:val="20"/>
          <w:szCs w:val="20"/>
        </w:rPr>
      </w:pPr>
      <w:r w:rsidRPr="000977F7">
        <w:rPr>
          <w:rFonts w:asciiTheme="majorHAnsi" w:hAnsiTheme="majorHAnsi"/>
          <w:bCs/>
          <w:i/>
          <w:iCs/>
          <w:sz w:val="20"/>
          <w:szCs w:val="20"/>
        </w:rPr>
        <w:t>Ст. 1 закону України "Про забезпечення санітарного та епідемічного благополуччя населення"</w:t>
      </w:r>
    </w:p>
    <w:p w14:paraId="05B3BFA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НЕВИЗНАЧЕНІСТЬ</w:t>
      </w:r>
      <w:r w:rsidRPr="000977F7">
        <w:rPr>
          <w:color w:val="auto"/>
          <w:spacing w:val="-6"/>
          <w:sz w:val="20"/>
          <w:szCs w:val="20"/>
        </w:rPr>
        <w:t xml:space="preserve"> </w:t>
      </w:r>
      <w:r w:rsidRPr="000977F7">
        <w:rPr>
          <w:color w:val="auto"/>
          <w:sz w:val="20"/>
          <w:szCs w:val="20"/>
        </w:rPr>
        <w:t>ВИМІРЮВАНЬ</w:t>
      </w:r>
      <w:r w:rsidRPr="000977F7">
        <w:rPr>
          <w:color w:val="auto"/>
          <w:spacing w:val="-2"/>
          <w:sz w:val="20"/>
          <w:szCs w:val="20"/>
        </w:rPr>
        <w:t xml:space="preserve"> </w:t>
      </w:r>
      <w:r w:rsidRPr="000977F7">
        <w:rPr>
          <w:color w:val="auto"/>
          <w:sz w:val="20"/>
          <w:szCs w:val="20"/>
        </w:rPr>
        <w:t>-</w:t>
      </w:r>
    </w:p>
    <w:p w14:paraId="5BCBA8C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UNCERTAINTY</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MEASUREMENT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2F16CEF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Оцінка, що характеризує діапазон значень, в якому є</w:t>
      </w:r>
      <w:r w:rsidRPr="000977F7">
        <w:rPr>
          <w:rFonts w:asciiTheme="majorHAnsi" w:hAnsiTheme="majorHAnsi"/>
          <w:spacing w:val="1"/>
          <w:sz w:val="20"/>
          <w:szCs w:val="20"/>
        </w:rPr>
        <w:t xml:space="preserve"> </w:t>
      </w:r>
      <w:r w:rsidRPr="000977F7">
        <w:rPr>
          <w:rFonts w:asciiTheme="majorHAnsi" w:hAnsiTheme="majorHAnsi"/>
          <w:sz w:val="20"/>
          <w:szCs w:val="20"/>
        </w:rPr>
        <w:t>істинне</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2"/>
          <w:sz w:val="20"/>
          <w:szCs w:val="20"/>
        </w:rPr>
        <w:t xml:space="preserve"> </w:t>
      </w:r>
      <w:r w:rsidRPr="000977F7">
        <w:rPr>
          <w:rFonts w:asciiTheme="majorHAnsi" w:hAnsiTheme="majorHAnsi"/>
          <w:sz w:val="20"/>
          <w:szCs w:val="20"/>
        </w:rPr>
        <w:t>вимірюваної</w:t>
      </w:r>
      <w:r w:rsidRPr="000977F7">
        <w:rPr>
          <w:rFonts w:asciiTheme="majorHAnsi" w:hAnsiTheme="majorHAnsi"/>
          <w:spacing w:val="-2"/>
          <w:sz w:val="20"/>
          <w:szCs w:val="20"/>
        </w:rPr>
        <w:t xml:space="preserve"> </w:t>
      </w:r>
      <w:r w:rsidRPr="000977F7">
        <w:rPr>
          <w:rFonts w:asciiTheme="majorHAnsi" w:hAnsiTheme="majorHAnsi"/>
          <w:sz w:val="20"/>
          <w:szCs w:val="20"/>
        </w:rPr>
        <w:t>величини</w:t>
      </w:r>
    </w:p>
    <w:p w14:paraId="190E5FB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77B2A6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Невизначеність</w:t>
      </w:r>
      <w:r w:rsidRPr="000977F7">
        <w:rPr>
          <w:rFonts w:asciiTheme="majorHAnsi" w:hAnsiTheme="majorHAnsi"/>
          <w:spacing w:val="1"/>
          <w:sz w:val="20"/>
          <w:szCs w:val="20"/>
        </w:rPr>
        <w:t xml:space="preserve"> </w:t>
      </w:r>
      <w:r w:rsidRPr="000977F7">
        <w:rPr>
          <w:rFonts w:asciiTheme="majorHAnsi" w:hAnsiTheme="majorHAnsi"/>
          <w:sz w:val="20"/>
          <w:szCs w:val="20"/>
        </w:rPr>
        <w:t>вимірювань</w:t>
      </w:r>
      <w:r w:rsidRPr="000977F7">
        <w:rPr>
          <w:rFonts w:asciiTheme="majorHAnsi" w:hAnsiTheme="majorHAnsi"/>
          <w:spacing w:val="1"/>
          <w:sz w:val="20"/>
          <w:szCs w:val="20"/>
        </w:rPr>
        <w:t xml:space="preserve"> </w:t>
      </w:r>
      <w:r w:rsidRPr="000977F7">
        <w:rPr>
          <w:rFonts w:asciiTheme="majorHAnsi" w:hAnsiTheme="majorHAnsi"/>
          <w:sz w:val="20"/>
          <w:szCs w:val="20"/>
        </w:rPr>
        <w:t>має</w:t>
      </w:r>
      <w:r w:rsidRPr="000977F7">
        <w:rPr>
          <w:rFonts w:asciiTheme="majorHAnsi" w:hAnsiTheme="majorHAnsi"/>
          <w:spacing w:val="1"/>
          <w:sz w:val="20"/>
          <w:szCs w:val="20"/>
        </w:rPr>
        <w:t xml:space="preserve"> </w:t>
      </w:r>
      <w:r w:rsidRPr="000977F7">
        <w:rPr>
          <w:rFonts w:asciiTheme="majorHAnsi" w:hAnsiTheme="majorHAnsi"/>
          <w:sz w:val="20"/>
          <w:szCs w:val="20"/>
        </w:rPr>
        <w:t>звичайно</w:t>
      </w:r>
      <w:r w:rsidRPr="000977F7">
        <w:rPr>
          <w:rFonts w:asciiTheme="majorHAnsi" w:hAnsiTheme="majorHAnsi"/>
          <w:spacing w:val="1"/>
          <w:sz w:val="20"/>
          <w:szCs w:val="20"/>
        </w:rPr>
        <w:t xml:space="preserve"> </w:t>
      </w:r>
      <w:r w:rsidRPr="000977F7">
        <w:rPr>
          <w:rFonts w:asciiTheme="majorHAnsi" w:hAnsiTheme="majorHAnsi"/>
          <w:sz w:val="20"/>
          <w:szCs w:val="20"/>
        </w:rPr>
        <w:t>декілька</w:t>
      </w:r>
      <w:r w:rsidRPr="000977F7">
        <w:rPr>
          <w:rFonts w:asciiTheme="majorHAnsi" w:hAnsiTheme="majorHAnsi"/>
          <w:spacing w:val="1"/>
          <w:sz w:val="20"/>
          <w:szCs w:val="20"/>
        </w:rPr>
        <w:t xml:space="preserve"> </w:t>
      </w:r>
      <w:r w:rsidRPr="000977F7">
        <w:rPr>
          <w:rFonts w:asciiTheme="majorHAnsi" w:hAnsiTheme="majorHAnsi"/>
          <w:sz w:val="20"/>
          <w:szCs w:val="20"/>
        </w:rPr>
        <w:t>складових. Деякі з них можуть бути оцінені на основі</w:t>
      </w:r>
      <w:r w:rsidRPr="000977F7">
        <w:rPr>
          <w:rFonts w:asciiTheme="majorHAnsi" w:hAnsiTheme="majorHAnsi"/>
          <w:spacing w:val="1"/>
          <w:sz w:val="20"/>
          <w:szCs w:val="20"/>
        </w:rPr>
        <w:t xml:space="preserve"> </w:t>
      </w:r>
      <w:r w:rsidRPr="000977F7">
        <w:rPr>
          <w:rFonts w:asciiTheme="majorHAnsi" w:hAnsiTheme="majorHAnsi"/>
          <w:sz w:val="20"/>
          <w:szCs w:val="20"/>
        </w:rPr>
        <w:t>статистичного</w:t>
      </w:r>
      <w:r w:rsidRPr="000977F7">
        <w:rPr>
          <w:rFonts w:asciiTheme="majorHAnsi" w:hAnsiTheme="majorHAnsi"/>
          <w:spacing w:val="1"/>
          <w:sz w:val="20"/>
          <w:szCs w:val="20"/>
        </w:rPr>
        <w:t xml:space="preserve"> </w:t>
      </w:r>
      <w:r w:rsidRPr="000977F7">
        <w:rPr>
          <w:rFonts w:asciiTheme="majorHAnsi" w:hAnsiTheme="majorHAnsi"/>
          <w:sz w:val="20"/>
          <w:szCs w:val="20"/>
        </w:rPr>
        <w:t>розподілу</w:t>
      </w:r>
      <w:r w:rsidRPr="000977F7">
        <w:rPr>
          <w:rFonts w:asciiTheme="majorHAnsi" w:hAnsiTheme="majorHAnsi"/>
          <w:spacing w:val="1"/>
          <w:sz w:val="20"/>
          <w:szCs w:val="20"/>
        </w:rPr>
        <w:t xml:space="preserve"> </w:t>
      </w:r>
      <w:r w:rsidRPr="000977F7">
        <w:rPr>
          <w:rFonts w:asciiTheme="majorHAnsi" w:hAnsiTheme="majorHAnsi"/>
          <w:sz w:val="20"/>
          <w:szCs w:val="20"/>
        </w:rPr>
        <w:t>результатів</w:t>
      </w:r>
      <w:r w:rsidRPr="000977F7">
        <w:rPr>
          <w:rFonts w:asciiTheme="majorHAnsi" w:hAnsiTheme="majorHAnsi"/>
          <w:spacing w:val="1"/>
          <w:sz w:val="20"/>
          <w:szCs w:val="20"/>
        </w:rPr>
        <w:t xml:space="preserve"> </w:t>
      </w:r>
      <w:r w:rsidRPr="000977F7">
        <w:rPr>
          <w:rFonts w:asciiTheme="majorHAnsi" w:hAnsiTheme="majorHAnsi"/>
          <w:sz w:val="20"/>
          <w:szCs w:val="20"/>
        </w:rPr>
        <w:t>вимірювань</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експериментальним</w:t>
      </w:r>
      <w:r w:rsidRPr="000977F7">
        <w:rPr>
          <w:rFonts w:asciiTheme="majorHAnsi" w:hAnsiTheme="majorHAnsi"/>
          <w:spacing w:val="1"/>
          <w:sz w:val="20"/>
          <w:szCs w:val="20"/>
        </w:rPr>
        <w:t xml:space="preserve"> </w:t>
      </w:r>
      <w:r w:rsidRPr="000977F7">
        <w:rPr>
          <w:rFonts w:asciiTheme="majorHAnsi" w:hAnsiTheme="majorHAnsi"/>
          <w:sz w:val="20"/>
          <w:szCs w:val="20"/>
        </w:rPr>
        <w:t>середнім</w:t>
      </w:r>
      <w:r w:rsidRPr="000977F7">
        <w:rPr>
          <w:rFonts w:asciiTheme="majorHAnsi" w:hAnsiTheme="majorHAnsi"/>
          <w:spacing w:val="1"/>
          <w:sz w:val="20"/>
          <w:szCs w:val="20"/>
        </w:rPr>
        <w:t xml:space="preserve"> </w:t>
      </w:r>
      <w:r w:rsidRPr="000977F7">
        <w:rPr>
          <w:rFonts w:asciiTheme="majorHAnsi" w:hAnsiTheme="majorHAnsi"/>
          <w:sz w:val="20"/>
          <w:szCs w:val="20"/>
        </w:rPr>
        <w:t>квадратичним</w:t>
      </w:r>
      <w:r w:rsidRPr="000977F7">
        <w:rPr>
          <w:rFonts w:asciiTheme="majorHAnsi" w:hAnsiTheme="majorHAnsi"/>
          <w:spacing w:val="1"/>
          <w:sz w:val="20"/>
          <w:szCs w:val="20"/>
        </w:rPr>
        <w:t xml:space="preserve"> </w:t>
      </w:r>
      <w:r w:rsidRPr="000977F7">
        <w:rPr>
          <w:rFonts w:asciiTheme="majorHAnsi" w:hAnsiTheme="majorHAnsi"/>
          <w:sz w:val="20"/>
          <w:szCs w:val="20"/>
        </w:rPr>
        <w:t>відхиленням.</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Характеристики</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складових</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визначатись</w:t>
      </w:r>
      <w:r w:rsidRPr="000977F7">
        <w:rPr>
          <w:rFonts w:asciiTheme="majorHAnsi" w:hAnsiTheme="majorHAnsi"/>
          <w:spacing w:val="-1"/>
          <w:sz w:val="20"/>
          <w:szCs w:val="20"/>
        </w:rPr>
        <w:t xml:space="preserve"> </w:t>
      </w:r>
      <w:r w:rsidRPr="000977F7">
        <w:rPr>
          <w:rFonts w:asciiTheme="majorHAnsi" w:hAnsiTheme="majorHAnsi"/>
          <w:sz w:val="20"/>
          <w:szCs w:val="20"/>
        </w:rPr>
        <w:t>іншим шляхом,</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2"/>
          <w:sz w:val="20"/>
          <w:szCs w:val="20"/>
        </w:rPr>
        <w:t xml:space="preserve"> </w:t>
      </w:r>
      <w:r w:rsidRPr="000977F7">
        <w:rPr>
          <w:rFonts w:asciiTheme="majorHAnsi" w:hAnsiTheme="majorHAnsi"/>
          <w:sz w:val="20"/>
          <w:szCs w:val="20"/>
        </w:rPr>
        <w:t>приписані</w:t>
      </w:r>
    </w:p>
    <w:p w14:paraId="2B1778D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E843A8E"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НЕВИКОНАННЯ</w:t>
      </w:r>
      <w:r w:rsidRPr="000977F7">
        <w:rPr>
          <w:color w:val="auto"/>
          <w:spacing w:val="1"/>
          <w:sz w:val="20"/>
          <w:szCs w:val="20"/>
        </w:rPr>
        <w:t xml:space="preserve"> </w:t>
      </w:r>
      <w:r w:rsidRPr="000977F7">
        <w:rPr>
          <w:color w:val="auto"/>
          <w:sz w:val="20"/>
          <w:szCs w:val="20"/>
        </w:rPr>
        <w:t>ЗАКОННИХ</w:t>
      </w:r>
      <w:r w:rsidRPr="000977F7">
        <w:rPr>
          <w:color w:val="auto"/>
          <w:spacing w:val="1"/>
          <w:sz w:val="20"/>
          <w:szCs w:val="20"/>
        </w:rPr>
        <w:t xml:space="preserve"> </w:t>
      </w:r>
      <w:r w:rsidRPr="000977F7">
        <w:rPr>
          <w:color w:val="auto"/>
          <w:sz w:val="20"/>
          <w:szCs w:val="20"/>
        </w:rPr>
        <w:t>ВИМОГ</w:t>
      </w:r>
      <w:r w:rsidRPr="000977F7">
        <w:rPr>
          <w:color w:val="auto"/>
          <w:spacing w:val="1"/>
          <w:sz w:val="20"/>
          <w:szCs w:val="20"/>
        </w:rPr>
        <w:t xml:space="preserve"> </w:t>
      </w:r>
    </w:p>
    <w:p w14:paraId="71C740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ПОСАДОВИХ</w:t>
      </w:r>
      <w:r w:rsidRPr="000977F7">
        <w:rPr>
          <w:color w:val="auto"/>
          <w:spacing w:val="1"/>
          <w:sz w:val="20"/>
          <w:szCs w:val="20"/>
        </w:rPr>
        <w:t xml:space="preserve"> </w:t>
      </w:r>
      <w:r w:rsidRPr="000977F7">
        <w:rPr>
          <w:color w:val="auto"/>
          <w:sz w:val="20"/>
          <w:szCs w:val="20"/>
        </w:rPr>
        <w:t>ОСІБ</w:t>
      </w:r>
      <w:r w:rsidRPr="000977F7">
        <w:rPr>
          <w:color w:val="auto"/>
          <w:spacing w:val="1"/>
          <w:sz w:val="20"/>
          <w:szCs w:val="20"/>
        </w:rPr>
        <w:t xml:space="preserve"> </w:t>
      </w:r>
      <w:r w:rsidRPr="000977F7">
        <w:rPr>
          <w:color w:val="auto"/>
          <w:sz w:val="20"/>
          <w:szCs w:val="20"/>
        </w:rPr>
        <w:t>ЦЕНТРАЛЬНОГО</w:t>
      </w:r>
      <w:r w:rsidRPr="000977F7">
        <w:rPr>
          <w:color w:val="auto"/>
          <w:spacing w:val="1"/>
          <w:sz w:val="20"/>
          <w:szCs w:val="20"/>
        </w:rPr>
        <w:t xml:space="preserve"> </w:t>
      </w:r>
      <w:r w:rsidRPr="000977F7">
        <w:rPr>
          <w:color w:val="auto"/>
          <w:sz w:val="20"/>
          <w:szCs w:val="20"/>
        </w:rPr>
        <w:t>ОРГАНУ</w:t>
      </w:r>
      <w:r w:rsidRPr="000977F7">
        <w:rPr>
          <w:color w:val="auto"/>
          <w:spacing w:val="1"/>
          <w:sz w:val="20"/>
          <w:szCs w:val="20"/>
        </w:rPr>
        <w:t xml:space="preserve"> </w:t>
      </w:r>
      <w:r w:rsidRPr="000977F7">
        <w:rPr>
          <w:color w:val="auto"/>
          <w:sz w:val="20"/>
          <w:szCs w:val="20"/>
        </w:rPr>
        <w:t>ВИКОНАВЧОЇ ВЛАДИ, ЩО РЕАЛІЗУЄ ПОЛІТИКУ</w:t>
      </w:r>
      <w:r w:rsidRPr="000977F7">
        <w:rPr>
          <w:color w:val="auto"/>
          <w:spacing w:val="1"/>
          <w:sz w:val="20"/>
          <w:szCs w:val="20"/>
        </w:rPr>
        <w:t xml:space="preserve"> </w:t>
      </w:r>
      <w:r w:rsidRPr="000977F7">
        <w:rPr>
          <w:color w:val="auto"/>
          <w:sz w:val="20"/>
          <w:szCs w:val="20"/>
        </w:rPr>
        <w:t>У СФЕРІ СТАНДАРТИЗАЦІЇ, МЕТРОЛОГІЇ</w:t>
      </w:r>
      <w:r w:rsidRPr="000977F7">
        <w:rPr>
          <w:color w:val="auto"/>
          <w:spacing w:val="1"/>
          <w:sz w:val="20"/>
          <w:szCs w:val="20"/>
        </w:rPr>
        <w:t xml:space="preserve"> </w:t>
      </w:r>
      <w:r w:rsidRPr="000977F7">
        <w:rPr>
          <w:color w:val="auto"/>
          <w:sz w:val="20"/>
          <w:szCs w:val="20"/>
        </w:rPr>
        <w:t>ТА</w:t>
      </w:r>
      <w:r w:rsidRPr="000977F7">
        <w:rPr>
          <w:color w:val="auto"/>
          <w:spacing w:val="1"/>
          <w:sz w:val="20"/>
          <w:szCs w:val="20"/>
        </w:rPr>
        <w:t xml:space="preserve"> </w:t>
      </w:r>
      <w:r w:rsidRPr="000977F7">
        <w:rPr>
          <w:color w:val="auto"/>
          <w:sz w:val="20"/>
          <w:szCs w:val="20"/>
        </w:rPr>
        <w:t>МЕТРОЛОГІЧНОЇ</w:t>
      </w:r>
      <w:r w:rsidRPr="000977F7">
        <w:rPr>
          <w:color w:val="auto"/>
          <w:spacing w:val="1"/>
          <w:sz w:val="20"/>
          <w:szCs w:val="20"/>
        </w:rPr>
        <w:t xml:space="preserve"> </w:t>
      </w:r>
      <w:r w:rsidRPr="000977F7">
        <w:rPr>
          <w:color w:val="auto"/>
          <w:sz w:val="20"/>
          <w:szCs w:val="20"/>
        </w:rPr>
        <w:t>ДІЯЛЬНОСТІ</w:t>
      </w:r>
      <w:r w:rsidRPr="000977F7">
        <w:rPr>
          <w:color w:val="auto"/>
          <w:spacing w:val="1"/>
          <w:sz w:val="20"/>
          <w:szCs w:val="20"/>
        </w:rPr>
        <w:t xml:space="preserve"> </w:t>
      </w:r>
      <w:r w:rsidRPr="000977F7">
        <w:rPr>
          <w:color w:val="auto"/>
          <w:sz w:val="20"/>
          <w:szCs w:val="20"/>
        </w:rPr>
        <w:t>І</w:t>
      </w:r>
      <w:r w:rsidRPr="000977F7">
        <w:rPr>
          <w:color w:val="auto"/>
          <w:spacing w:val="1"/>
          <w:sz w:val="20"/>
          <w:szCs w:val="20"/>
        </w:rPr>
        <w:t xml:space="preserve"> </w:t>
      </w:r>
      <w:r w:rsidRPr="000977F7">
        <w:rPr>
          <w:color w:val="auto"/>
          <w:sz w:val="20"/>
          <w:szCs w:val="20"/>
        </w:rPr>
        <w:t>ТЕХНІЧНОГО РЕГУЛЮВАННЯ</w:t>
      </w:r>
      <w:r w:rsidRPr="000977F7">
        <w:rPr>
          <w:color w:val="auto"/>
          <w:spacing w:val="2"/>
          <w:sz w:val="20"/>
          <w:szCs w:val="20"/>
        </w:rPr>
        <w:t xml:space="preserve"> </w:t>
      </w:r>
      <w:r w:rsidRPr="000977F7">
        <w:rPr>
          <w:color w:val="auto"/>
          <w:sz w:val="20"/>
          <w:szCs w:val="20"/>
        </w:rPr>
        <w:t>–</w:t>
      </w:r>
    </w:p>
    <w:p w14:paraId="0414F6D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Невиконання законних вимог посадових осіб центрального органу виконавчої влади, що реалізує державну політику у сфері стандартизації, метрології та метрологічної діяльності і технічного регулювання, щодо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усунення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порушень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законодавства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стандартизацію, метрологію та метрологічну діяльність, технічні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регламенти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оцінку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відповідності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сертифікацію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 в державній системі сертифікації або створення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перешкод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виконання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покладених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обов’язків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тягне за собою накладення штрафу на посадових осіб</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 двадцяти до п’ятдесяти неоподатковуваних мінімумів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доходів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громадян.</w:t>
      </w:r>
    </w:p>
    <w:p w14:paraId="334F44B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самі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вчинені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повторно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протягом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року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після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накладення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адміністративного стягнення,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тягнуть за собою накладення штрафу на посадових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осіб</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п’ятдесяти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неоподатковуваних</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мінімумів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доходів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громадян.</w:t>
      </w:r>
    </w:p>
    <w:p w14:paraId="030CF94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188-9 Кодексу України про адміністративні порушення</w:t>
      </w:r>
    </w:p>
    <w:p w14:paraId="23C4D55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НЕВИКОРИСТАНИЙ</w:t>
      </w:r>
      <w:r w:rsidRPr="000977F7">
        <w:rPr>
          <w:color w:val="auto"/>
          <w:spacing w:val="-4"/>
          <w:sz w:val="20"/>
          <w:szCs w:val="20"/>
        </w:rPr>
        <w:t xml:space="preserve"> </w:t>
      </w:r>
      <w:r w:rsidRPr="000977F7">
        <w:rPr>
          <w:color w:val="auto"/>
          <w:sz w:val="20"/>
          <w:szCs w:val="20"/>
        </w:rPr>
        <w:t>ЧАС</w:t>
      </w:r>
      <w:r w:rsidRPr="000977F7">
        <w:rPr>
          <w:color w:val="auto"/>
          <w:spacing w:val="-1"/>
          <w:sz w:val="20"/>
          <w:szCs w:val="20"/>
        </w:rPr>
        <w:t xml:space="preserve"> </w:t>
      </w:r>
      <w:r w:rsidRPr="000977F7">
        <w:rPr>
          <w:color w:val="auto"/>
          <w:sz w:val="20"/>
          <w:szCs w:val="20"/>
        </w:rPr>
        <w:t>–</w:t>
      </w:r>
    </w:p>
    <w:p w14:paraId="513A3B2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INOPERABLE</w:t>
      </w:r>
      <w:r w:rsidRPr="000977F7">
        <w:rPr>
          <w:rFonts w:asciiTheme="majorHAnsi" w:hAnsiTheme="majorHAnsi"/>
          <w:spacing w:val="-2"/>
          <w:sz w:val="20"/>
          <w:szCs w:val="20"/>
        </w:rPr>
        <w:t xml:space="preserve"> </w:t>
      </w:r>
      <w:r w:rsidRPr="000977F7">
        <w:rPr>
          <w:rFonts w:asciiTheme="majorHAnsi" w:hAnsiTheme="majorHAnsi"/>
          <w:sz w:val="20"/>
          <w:szCs w:val="20"/>
        </w:rPr>
        <w:t>TIME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1FD68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тривалості простоювання, протягом якої функційний модуль (система) за всіх нормальних умов</w:t>
      </w:r>
      <w:r w:rsidRPr="000977F7">
        <w:rPr>
          <w:rFonts w:asciiTheme="majorHAnsi" w:hAnsiTheme="majorHAnsi"/>
          <w:spacing w:val="1"/>
          <w:sz w:val="20"/>
          <w:szCs w:val="20"/>
        </w:rPr>
        <w:t xml:space="preserve"> </w:t>
      </w:r>
      <w:r w:rsidRPr="000977F7">
        <w:rPr>
          <w:rFonts w:asciiTheme="majorHAnsi" w:hAnsiTheme="majorHAnsi"/>
          <w:sz w:val="20"/>
          <w:szCs w:val="20"/>
        </w:rPr>
        <w:t>здатний давати правильні результати у випадку, якби</w:t>
      </w:r>
      <w:r w:rsidRPr="000977F7">
        <w:rPr>
          <w:rFonts w:asciiTheme="majorHAnsi" w:hAnsiTheme="majorHAnsi"/>
          <w:spacing w:val="1"/>
          <w:sz w:val="20"/>
          <w:szCs w:val="20"/>
        </w:rPr>
        <w:t xml:space="preserve"> </w:t>
      </w:r>
      <w:r w:rsidRPr="000977F7">
        <w:rPr>
          <w:rFonts w:asciiTheme="majorHAnsi" w:hAnsiTheme="majorHAnsi"/>
          <w:sz w:val="20"/>
          <w:szCs w:val="20"/>
        </w:rPr>
        <w:t>був</w:t>
      </w:r>
      <w:r w:rsidRPr="000977F7">
        <w:rPr>
          <w:rFonts w:asciiTheme="majorHAnsi" w:hAnsiTheme="majorHAnsi"/>
          <w:spacing w:val="1"/>
          <w:sz w:val="20"/>
          <w:szCs w:val="20"/>
        </w:rPr>
        <w:t xml:space="preserve"> </w:t>
      </w:r>
      <w:r w:rsidRPr="000977F7">
        <w:rPr>
          <w:rFonts w:asciiTheme="majorHAnsi" w:hAnsiTheme="majorHAnsi"/>
          <w:sz w:val="20"/>
          <w:szCs w:val="20"/>
        </w:rPr>
        <w:t>ввімкнений</w:t>
      </w:r>
    </w:p>
    <w:p w14:paraId="319406A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ISO/IEC 2382:2017</w:t>
      </w:r>
    </w:p>
    <w:p w14:paraId="16CF49F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1"/>
          <w:sz w:val="20"/>
          <w:szCs w:val="20"/>
        </w:rPr>
        <w:t xml:space="preserve">НЕВИПАДКОВА </w:t>
      </w:r>
      <w:r w:rsidRPr="000977F7">
        <w:rPr>
          <w:rFonts w:asciiTheme="majorHAnsi" w:hAnsiTheme="majorHAnsi"/>
          <w:b/>
          <w:sz w:val="20"/>
          <w:szCs w:val="20"/>
        </w:rPr>
        <w:t>НЕОДНОРІДНІСТЬ</w:t>
      </w:r>
      <w:r w:rsidRPr="000977F7">
        <w:rPr>
          <w:rFonts w:asciiTheme="majorHAnsi" w:hAnsiTheme="majorHAnsi"/>
          <w:b/>
          <w:spacing w:val="-47"/>
          <w:sz w:val="20"/>
          <w:szCs w:val="20"/>
        </w:rPr>
        <w:t xml:space="preserve"> </w:t>
      </w:r>
      <w:r w:rsidRPr="000977F7">
        <w:rPr>
          <w:rFonts w:asciiTheme="majorHAnsi" w:hAnsiTheme="majorHAnsi"/>
          <w:b/>
          <w:sz w:val="20"/>
          <w:szCs w:val="20"/>
        </w:rPr>
        <w:t>ПРОДУКЦІЇ</w:t>
      </w:r>
      <w:r w:rsidRPr="000977F7">
        <w:rPr>
          <w:rFonts w:asciiTheme="majorHAnsi" w:hAnsiTheme="majorHAnsi"/>
          <w:b/>
          <w:spacing w:val="-1"/>
          <w:sz w:val="20"/>
          <w:szCs w:val="20"/>
        </w:rPr>
        <w:t xml:space="preserve"> </w:t>
      </w:r>
      <w:r w:rsidRPr="000977F7">
        <w:rPr>
          <w:rFonts w:asciiTheme="majorHAnsi" w:hAnsiTheme="majorHAnsi"/>
          <w:sz w:val="20"/>
          <w:szCs w:val="20"/>
        </w:rPr>
        <w:t>–</w:t>
      </w:r>
    </w:p>
    <w:p w14:paraId="2955961F" w14:textId="77777777" w:rsidR="0097612F" w:rsidRPr="000977F7" w:rsidRDefault="0097612F" w:rsidP="000977F7">
      <w:pPr>
        <w:pStyle w:val="af6"/>
        <w:tabs>
          <w:tab w:val="left" w:pos="284"/>
        </w:tabs>
        <w:spacing w:after="0"/>
        <w:ind w:left="170"/>
        <w:mirrorIndents/>
        <w:jc w:val="both"/>
        <w:rPr>
          <w:rFonts w:asciiTheme="majorHAnsi" w:hAnsiTheme="majorHAnsi"/>
          <w:spacing w:val="-4"/>
          <w:sz w:val="20"/>
          <w:szCs w:val="20"/>
        </w:rPr>
      </w:pPr>
      <w:r w:rsidRPr="000977F7">
        <w:rPr>
          <w:rFonts w:asciiTheme="majorHAnsi" w:hAnsiTheme="majorHAnsi"/>
          <w:sz w:val="20"/>
          <w:szCs w:val="20"/>
        </w:rPr>
        <w:t>NONRANDOM</w:t>
      </w:r>
      <w:r w:rsidRPr="000977F7">
        <w:rPr>
          <w:rFonts w:asciiTheme="majorHAnsi" w:hAnsiTheme="majorHAnsi"/>
          <w:spacing w:val="-2"/>
          <w:sz w:val="20"/>
          <w:szCs w:val="20"/>
        </w:rPr>
        <w:t xml:space="preserve"> </w:t>
      </w:r>
      <w:r w:rsidRPr="000977F7">
        <w:rPr>
          <w:rFonts w:asciiTheme="majorHAnsi" w:hAnsiTheme="majorHAnsi"/>
          <w:sz w:val="20"/>
          <w:szCs w:val="20"/>
        </w:rPr>
        <w:t>HETEROGENEITY</w:t>
      </w:r>
      <w:r w:rsidRPr="000977F7">
        <w:rPr>
          <w:rFonts w:asciiTheme="majorHAnsi" w:hAnsiTheme="majorHAnsi"/>
          <w:spacing w:val="-1"/>
          <w:sz w:val="20"/>
          <w:szCs w:val="20"/>
        </w:rPr>
        <w:t xml:space="preserve"> </w:t>
      </w:r>
      <w:r w:rsidRPr="000977F7">
        <w:rPr>
          <w:rFonts w:asciiTheme="majorHAnsi" w:hAnsiTheme="majorHAnsi"/>
          <w:sz w:val="20"/>
          <w:szCs w:val="20"/>
        </w:rPr>
        <w:t>OF</w:t>
      </w:r>
      <w:r w:rsidRPr="000977F7">
        <w:rPr>
          <w:rFonts w:asciiTheme="majorHAnsi" w:hAnsiTheme="majorHAnsi"/>
          <w:spacing w:val="-4"/>
          <w:sz w:val="20"/>
          <w:szCs w:val="20"/>
        </w:rPr>
        <w:t xml:space="preserve"> </w:t>
      </w:r>
    </w:p>
    <w:p w14:paraId="536CF3B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PRODUCTS</w:t>
      </w:r>
      <w:r w:rsidRPr="000977F7">
        <w:rPr>
          <w:rFonts w:asciiTheme="majorHAnsi" w:hAnsiTheme="majorHAnsi"/>
          <w:spacing w:val="1"/>
          <w:sz w:val="20"/>
          <w:szCs w:val="20"/>
        </w:rPr>
        <w:t xml:space="preserve"> -</w:t>
      </w:r>
    </w:p>
    <w:p w14:paraId="15CF504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Неоднорідність продукції, при якій її мінливість або</w:t>
      </w:r>
      <w:r w:rsidRPr="000977F7">
        <w:rPr>
          <w:rFonts w:asciiTheme="majorHAnsi" w:hAnsiTheme="majorHAnsi"/>
          <w:spacing w:val="1"/>
          <w:sz w:val="20"/>
          <w:szCs w:val="20"/>
        </w:rPr>
        <w:t xml:space="preserve"> </w:t>
      </w:r>
      <w:r w:rsidRPr="000977F7">
        <w:rPr>
          <w:rFonts w:asciiTheme="majorHAnsi" w:hAnsiTheme="majorHAnsi"/>
          <w:sz w:val="20"/>
          <w:szCs w:val="20"/>
        </w:rPr>
        <w:t>цілеспрямована, або невипадкова</w:t>
      </w:r>
    </w:p>
    <w:p w14:paraId="4D47C3F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НЕВІДНОВЛЮВАНИЙ</w:t>
      </w:r>
      <w:r w:rsidRPr="000977F7">
        <w:rPr>
          <w:color w:val="auto"/>
          <w:spacing w:val="-4"/>
          <w:sz w:val="20"/>
          <w:szCs w:val="20"/>
        </w:rPr>
        <w:t xml:space="preserve"> </w:t>
      </w:r>
      <w:r w:rsidRPr="000977F7">
        <w:rPr>
          <w:color w:val="auto"/>
          <w:sz w:val="20"/>
          <w:szCs w:val="20"/>
        </w:rPr>
        <w:t>ОБ’ЄКТ</w:t>
      </w:r>
      <w:r w:rsidRPr="000977F7">
        <w:rPr>
          <w:color w:val="auto"/>
          <w:spacing w:val="-4"/>
          <w:sz w:val="20"/>
          <w:szCs w:val="20"/>
        </w:rPr>
        <w:t xml:space="preserve"> </w:t>
      </w:r>
      <w:r w:rsidRPr="000977F7">
        <w:rPr>
          <w:color w:val="auto"/>
          <w:sz w:val="20"/>
          <w:szCs w:val="20"/>
        </w:rPr>
        <w:t>–</w:t>
      </w:r>
    </w:p>
    <w:p w14:paraId="553553C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NON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REPAIRED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ITEM</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9DB3D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 ремонт якого неможливий чи не дозволяє відновити працездатність із заданими</w:t>
      </w:r>
      <w:r w:rsidRPr="000977F7">
        <w:rPr>
          <w:rFonts w:asciiTheme="majorHAnsi" w:hAnsiTheme="majorHAnsi"/>
          <w:spacing w:val="1"/>
          <w:sz w:val="20"/>
          <w:szCs w:val="20"/>
        </w:rPr>
        <w:t xml:space="preserve"> </w:t>
      </w:r>
      <w:r w:rsidRPr="000977F7">
        <w:rPr>
          <w:rFonts w:asciiTheme="majorHAnsi" w:hAnsiTheme="majorHAnsi"/>
          <w:sz w:val="20"/>
          <w:szCs w:val="20"/>
        </w:rPr>
        <w:t>кількісними показниками</w:t>
      </w:r>
      <w:r w:rsidRPr="000977F7">
        <w:rPr>
          <w:rFonts w:asciiTheme="majorHAnsi" w:hAnsiTheme="majorHAnsi"/>
          <w:spacing w:val="-2"/>
          <w:sz w:val="20"/>
          <w:szCs w:val="20"/>
        </w:rPr>
        <w:t xml:space="preserve"> </w:t>
      </w:r>
      <w:r w:rsidRPr="000977F7">
        <w:rPr>
          <w:rFonts w:asciiTheme="majorHAnsi" w:hAnsiTheme="majorHAnsi"/>
          <w:sz w:val="20"/>
          <w:szCs w:val="20"/>
        </w:rPr>
        <w:t>надійності</w:t>
      </w:r>
    </w:p>
    <w:p w14:paraId="6ADEB2C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C7D0C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Невідновлюваний об’єкт може бути як ремонтовним</w:t>
      </w:r>
      <w:r w:rsidRPr="000977F7">
        <w:rPr>
          <w:rFonts w:asciiTheme="majorHAnsi" w:hAnsiTheme="majorHAnsi"/>
          <w:spacing w:val="1"/>
          <w:sz w:val="20"/>
          <w:szCs w:val="20"/>
        </w:rPr>
        <w:t xml:space="preserve"> </w:t>
      </w:r>
      <w:r w:rsidRPr="000977F7">
        <w:rPr>
          <w:rFonts w:asciiTheme="majorHAnsi" w:hAnsiTheme="majorHAnsi"/>
          <w:sz w:val="20"/>
          <w:szCs w:val="20"/>
        </w:rPr>
        <w:t>так</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ремонтовним</w:t>
      </w:r>
    </w:p>
    <w:p w14:paraId="6457671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 94</w:t>
      </w:r>
    </w:p>
    <w:p w14:paraId="081AF6E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НЕВІДПОВІДНІСТЬ –</w:t>
      </w:r>
    </w:p>
    <w:p w14:paraId="0D7E1C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NON</w:t>
      </w:r>
      <w:r w:rsidRPr="000977F7">
        <w:rPr>
          <w:rFonts w:asciiTheme="majorHAnsi" w:hAnsiTheme="majorHAnsi"/>
          <w:spacing w:val="-1"/>
          <w:sz w:val="20"/>
          <w:szCs w:val="20"/>
        </w:rPr>
        <w:t xml:space="preserve"> </w:t>
      </w:r>
      <w:r w:rsidRPr="000977F7">
        <w:rPr>
          <w:rFonts w:asciiTheme="majorHAnsi" w:hAnsiTheme="majorHAnsi"/>
          <w:sz w:val="20"/>
          <w:szCs w:val="20"/>
        </w:rPr>
        <w:t>– CONFORMITY –</w:t>
      </w:r>
    </w:p>
    <w:p w14:paraId="3A27E43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Невиконання</w:t>
      </w:r>
      <w:r w:rsidRPr="000977F7">
        <w:rPr>
          <w:rFonts w:asciiTheme="majorHAnsi" w:hAnsiTheme="majorHAnsi"/>
          <w:spacing w:val="-4"/>
          <w:sz w:val="20"/>
          <w:szCs w:val="20"/>
        </w:rPr>
        <w:t xml:space="preserve"> </w:t>
      </w:r>
      <w:r w:rsidRPr="000977F7">
        <w:rPr>
          <w:rFonts w:asciiTheme="majorHAnsi" w:hAnsiTheme="majorHAnsi"/>
          <w:sz w:val="20"/>
          <w:szCs w:val="20"/>
        </w:rPr>
        <w:t>вимоги</w:t>
      </w:r>
    </w:p>
    <w:p w14:paraId="276A2BEE" w14:textId="77777777" w:rsidR="0097612F" w:rsidRPr="004D2D14" w:rsidRDefault="0097612F" w:rsidP="000977F7">
      <w:pPr>
        <w:tabs>
          <w:tab w:val="left" w:pos="284"/>
        </w:tabs>
        <w:spacing w:after="0" w:line="240" w:lineRule="auto"/>
        <w:ind w:left="170"/>
        <w:mirrorIndents/>
        <w:jc w:val="both"/>
        <w:rPr>
          <w:rFonts w:asciiTheme="majorHAnsi" w:hAnsiTheme="majorHAnsi"/>
          <w:i/>
          <w:iCs/>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xml:space="preserve">ISO 9000:2015; </w:t>
      </w:r>
      <w:r w:rsidRPr="000977F7">
        <w:rPr>
          <w:rFonts w:asciiTheme="majorHAnsi" w:hAnsiTheme="majorHAnsi"/>
          <w:i/>
          <w:iCs/>
          <w:sz w:val="20"/>
          <w:szCs w:val="20"/>
        </w:rPr>
        <w:t>ДСТУ</w:t>
      </w:r>
      <w:r w:rsidRPr="004D2D14">
        <w:rPr>
          <w:rFonts w:asciiTheme="majorHAnsi" w:hAnsiTheme="majorHAnsi"/>
          <w:i/>
          <w:iCs/>
          <w:sz w:val="20"/>
          <w:szCs w:val="20"/>
          <w:lang w:val="en-US"/>
        </w:rPr>
        <w:t xml:space="preserve"> EN ISO/IEC 17021-1:2015</w:t>
      </w:r>
    </w:p>
    <w:p w14:paraId="2F24142A"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НЕВІДПОВІДНІСТЬ</w:t>
      </w:r>
      <w:r w:rsidRPr="000977F7">
        <w:rPr>
          <w:color w:val="auto"/>
          <w:spacing w:val="-4"/>
          <w:sz w:val="20"/>
          <w:szCs w:val="20"/>
        </w:rPr>
        <w:t xml:space="preserve"> </w:t>
      </w:r>
      <w:r w:rsidRPr="000977F7">
        <w:rPr>
          <w:color w:val="auto"/>
          <w:sz w:val="20"/>
          <w:szCs w:val="20"/>
        </w:rPr>
        <w:t>І</w:t>
      </w:r>
      <w:r w:rsidRPr="000977F7">
        <w:rPr>
          <w:color w:val="auto"/>
          <w:spacing w:val="-5"/>
          <w:sz w:val="20"/>
          <w:szCs w:val="20"/>
        </w:rPr>
        <w:t xml:space="preserve"> </w:t>
      </w:r>
      <w:r w:rsidRPr="000977F7">
        <w:rPr>
          <w:color w:val="auto"/>
          <w:sz w:val="20"/>
          <w:szCs w:val="20"/>
        </w:rPr>
        <w:t>КОРИГУВАЛЬНІ</w:t>
      </w:r>
      <w:r w:rsidRPr="000977F7">
        <w:rPr>
          <w:color w:val="auto"/>
          <w:spacing w:val="-4"/>
          <w:sz w:val="20"/>
          <w:szCs w:val="20"/>
        </w:rPr>
        <w:t xml:space="preserve"> </w:t>
      </w:r>
      <w:r w:rsidRPr="000977F7">
        <w:rPr>
          <w:color w:val="auto"/>
          <w:sz w:val="20"/>
          <w:szCs w:val="20"/>
        </w:rPr>
        <w:t>ДІЇ</w:t>
      </w:r>
      <w:r w:rsidRPr="000977F7">
        <w:rPr>
          <w:color w:val="auto"/>
          <w:spacing w:val="-1"/>
          <w:sz w:val="20"/>
          <w:szCs w:val="20"/>
        </w:rPr>
        <w:t xml:space="preserve"> </w:t>
      </w:r>
      <w:r w:rsidRPr="000977F7">
        <w:rPr>
          <w:b w:val="0"/>
          <w:color w:val="auto"/>
          <w:sz w:val="20"/>
          <w:szCs w:val="20"/>
        </w:rPr>
        <w:t>–</w:t>
      </w:r>
    </w:p>
    <w:p w14:paraId="16266CC5" w14:textId="77777777" w:rsidR="0097612F" w:rsidRPr="004D2D14" w:rsidRDefault="0097612F" w:rsidP="000977F7">
      <w:pPr>
        <w:pStyle w:val="af6"/>
        <w:tabs>
          <w:tab w:val="left" w:pos="284"/>
          <w:tab w:val="left" w:pos="862"/>
          <w:tab w:val="left" w:pos="1466"/>
          <w:tab w:val="left" w:pos="2761"/>
          <w:tab w:val="left" w:pos="4435"/>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У</w:t>
      </w:r>
      <w:r w:rsidRPr="004D2D14">
        <w:rPr>
          <w:rFonts w:asciiTheme="majorHAnsi" w:hAnsiTheme="majorHAnsi"/>
          <w:sz w:val="20"/>
          <w:szCs w:val="20"/>
          <w:lang w:val="en-US"/>
        </w:rPr>
        <w:tab/>
      </w:r>
      <w:r w:rsidRPr="000977F7">
        <w:rPr>
          <w:rFonts w:asciiTheme="majorHAnsi" w:hAnsiTheme="majorHAnsi"/>
          <w:sz w:val="20"/>
          <w:szCs w:val="20"/>
        </w:rPr>
        <w:t>разі</w:t>
      </w:r>
      <w:r w:rsidRPr="004D2D14">
        <w:rPr>
          <w:rFonts w:asciiTheme="majorHAnsi" w:hAnsiTheme="majorHAnsi"/>
          <w:sz w:val="20"/>
          <w:szCs w:val="20"/>
          <w:lang w:val="en-US"/>
        </w:rPr>
        <w:t xml:space="preserve"> </w:t>
      </w:r>
      <w:r w:rsidRPr="000977F7">
        <w:rPr>
          <w:rFonts w:asciiTheme="majorHAnsi" w:hAnsiTheme="majorHAnsi"/>
          <w:sz w:val="20"/>
          <w:szCs w:val="20"/>
        </w:rPr>
        <w:t>виникнення</w:t>
      </w:r>
      <w:r w:rsidRPr="004D2D14">
        <w:rPr>
          <w:rFonts w:asciiTheme="majorHAnsi" w:hAnsiTheme="majorHAnsi"/>
          <w:sz w:val="20"/>
          <w:szCs w:val="20"/>
          <w:lang w:val="en-US"/>
        </w:rPr>
        <w:t xml:space="preserve"> </w:t>
      </w:r>
      <w:r w:rsidRPr="000977F7">
        <w:rPr>
          <w:rFonts w:asciiTheme="majorHAnsi" w:hAnsiTheme="majorHAnsi"/>
          <w:sz w:val="20"/>
          <w:szCs w:val="20"/>
        </w:rPr>
        <w:t>невідповідності</w:t>
      </w:r>
      <w:r w:rsidRPr="004D2D14">
        <w:rPr>
          <w:rFonts w:asciiTheme="majorHAnsi" w:hAnsiTheme="majorHAnsi"/>
          <w:sz w:val="20"/>
          <w:szCs w:val="20"/>
          <w:lang w:val="en-US"/>
        </w:rPr>
        <w:t xml:space="preserve">, </w:t>
      </w:r>
      <w:r w:rsidRPr="000977F7">
        <w:rPr>
          <w:rFonts w:asciiTheme="majorHAnsi" w:hAnsiTheme="majorHAnsi"/>
          <w:spacing w:val="-1"/>
          <w:sz w:val="20"/>
          <w:szCs w:val="20"/>
        </w:rPr>
        <w:t>зокрема</w:t>
      </w:r>
      <w:r w:rsidRPr="004D2D14">
        <w:rPr>
          <w:rFonts w:asciiTheme="majorHAnsi" w:hAnsiTheme="majorHAnsi"/>
          <w:spacing w:val="-47"/>
          <w:sz w:val="20"/>
          <w:szCs w:val="20"/>
          <w:lang w:val="en-US"/>
        </w:rPr>
        <w:t xml:space="preserve"> </w:t>
      </w:r>
      <w:r w:rsidRPr="000977F7">
        <w:rPr>
          <w:rFonts w:asciiTheme="majorHAnsi" w:hAnsiTheme="majorHAnsi"/>
          <w:sz w:val="20"/>
          <w:szCs w:val="20"/>
        </w:rPr>
        <w:t>пов</w:t>
      </w:r>
      <w:r w:rsidRPr="004D2D14">
        <w:rPr>
          <w:rFonts w:asciiTheme="majorHAnsi" w:hAnsiTheme="majorHAnsi"/>
          <w:sz w:val="20"/>
          <w:szCs w:val="20"/>
          <w:lang w:val="en-US"/>
        </w:rPr>
        <w:t>’</w:t>
      </w:r>
      <w:r w:rsidRPr="000977F7">
        <w:rPr>
          <w:rFonts w:asciiTheme="majorHAnsi" w:hAnsiTheme="majorHAnsi"/>
          <w:sz w:val="20"/>
          <w:szCs w:val="20"/>
        </w:rPr>
        <w:t>язаною</w:t>
      </w:r>
      <w:r w:rsidRPr="004D2D14">
        <w:rPr>
          <w:rFonts w:asciiTheme="majorHAnsi" w:hAnsiTheme="majorHAnsi"/>
          <w:spacing w:val="-2"/>
          <w:sz w:val="20"/>
          <w:szCs w:val="20"/>
          <w:lang w:val="en-US"/>
        </w:rPr>
        <w:t xml:space="preserve"> </w:t>
      </w:r>
      <w:r w:rsidRPr="000977F7">
        <w:rPr>
          <w:rFonts w:asciiTheme="majorHAnsi" w:hAnsiTheme="majorHAnsi"/>
          <w:sz w:val="20"/>
          <w:szCs w:val="20"/>
        </w:rPr>
        <w:t>зі</w:t>
      </w:r>
      <w:r w:rsidRPr="004D2D14">
        <w:rPr>
          <w:rFonts w:asciiTheme="majorHAnsi" w:hAnsiTheme="majorHAnsi"/>
          <w:spacing w:val="-1"/>
          <w:sz w:val="20"/>
          <w:szCs w:val="20"/>
          <w:lang w:val="en-US"/>
        </w:rPr>
        <w:t xml:space="preserve"> </w:t>
      </w:r>
      <w:r w:rsidRPr="000977F7">
        <w:rPr>
          <w:rFonts w:asciiTheme="majorHAnsi" w:hAnsiTheme="majorHAnsi"/>
          <w:sz w:val="20"/>
          <w:szCs w:val="20"/>
        </w:rPr>
        <w:t>скаргами</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організація</w:t>
      </w:r>
      <w:r w:rsidRPr="004D2D14">
        <w:rPr>
          <w:rFonts w:asciiTheme="majorHAnsi" w:hAnsiTheme="majorHAnsi"/>
          <w:spacing w:val="-2"/>
          <w:sz w:val="20"/>
          <w:szCs w:val="20"/>
          <w:lang w:val="en-US"/>
        </w:rPr>
        <w:t xml:space="preserve"> </w:t>
      </w:r>
      <w:r w:rsidRPr="000977F7">
        <w:rPr>
          <w:rFonts w:asciiTheme="majorHAnsi" w:hAnsiTheme="majorHAnsi"/>
          <w:sz w:val="20"/>
          <w:szCs w:val="20"/>
        </w:rPr>
        <w:t>повинна</w:t>
      </w:r>
    </w:p>
    <w:p w14:paraId="5B278F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12"/>
          <w:sz w:val="20"/>
          <w:szCs w:val="20"/>
        </w:rPr>
        <w:t xml:space="preserve"> </w:t>
      </w:r>
      <w:r w:rsidRPr="000977F7">
        <w:rPr>
          <w:rFonts w:asciiTheme="majorHAnsi" w:hAnsiTheme="majorHAnsi"/>
          <w:sz w:val="20"/>
          <w:szCs w:val="20"/>
        </w:rPr>
        <w:t>відреагувати</w:t>
      </w:r>
      <w:r w:rsidRPr="000977F7">
        <w:rPr>
          <w:rFonts w:asciiTheme="majorHAnsi" w:hAnsiTheme="majorHAnsi"/>
          <w:spacing w:val="10"/>
          <w:sz w:val="20"/>
          <w:szCs w:val="20"/>
        </w:rPr>
        <w:t xml:space="preserve"> </w:t>
      </w:r>
      <w:r w:rsidRPr="000977F7">
        <w:rPr>
          <w:rFonts w:asciiTheme="majorHAnsi" w:hAnsiTheme="majorHAnsi"/>
          <w:sz w:val="20"/>
          <w:szCs w:val="20"/>
        </w:rPr>
        <w:t>на</w:t>
      </w:r>
      <w:r w:rsidRPr="000977F7">
        <w:rPr>
          <w:rFonts w:asciiTheme="majorHAnsi" w:hAnsiTheme="majorHAnsi"/>
          <w:spacing w:val="14"/>
          <w:sz w:val="20"/>
          <w:szCs w:val="20"/>
        </w:rPr>
        <w:t xml:space="preserve"> </w:t>
      </w:r>
      <w:r w:rsidRPr="000977F7">
        <w:rPr>
          <w:rFonts w:asciiTheme="majorHAnsi" w:hAnsiTheme="majorHAnsi"/>
          <w:sz w:val="20"/>
          <w:szCs w:val="20"/>
        </w:rPr>
        <w:t>невідповідність</w:t>
      </w:r>
      <w:r w:rsidRPr="000977F7">
        <w:rPr>
          <w:rFonts w:asciiTheme="majorHAnsi" w:hAnsiTheme="majorHAnsi"/>
          <w:spacing w:val="11"/>
          <w:sz w:val="20"/>
          <w:szCs w:val="20"/>
        </w:rPr>
        <w:t xml:space="preserve"> </w:t>
      </w:r>
      <w:r w:rsidRPr="000977F7">
        <w:rPr>
          <w:rFonts w:asciiTheme="majorHAnsi" w:hAnsiTheme="majorHAnsi"/>
          <w:sz w:val="20"/>
          <w:szCs w:val="20"/>
        </w:rPr>
        <w:t>та,</w:t>
      </w:r>
      <w:r w:rsidRPr="000977F7">
        <w:rPr>
          <w:rFonts w:asciiTheme="majorHAnsi" w:hAnsiTheme="majorHAnsi"/>
          <w:spacing w:val="12"/>
          <w:sz w:val="20"/>
          <w:szCs w:val="20"/>
        </w:rPr>
        <w:t xml:space="preserve"> </w:t>
      </w:r>
      <w:r w:rsidRPr="000977F7">
        <w:rPr>
          <w:rFonts w:asciiTheme="majorHAnsi" w:hAnsiTheme="majorHAnsi"/>
          <w:sz w:val="20"/>
          <w:szCs w:val="20"/>
        </w:rPr>
        <w:t>залежно</w:t>
      </w:r>
      <w:r w:rsidRPr="000977F7">
        <w:rPr>
          <w:rFonts w:asciiTheme="majorHAnsi" w:hAnsiTheme="majorHAnsi"/>
          <w:spacing w:val="12"/>
          <w:sz w:val="20"/>
          <w:szCs w:val="20"/>
        </w:rPr>
        <w:t xml:space="preserve"> </w:t>
      </w:r>
      <w:r w:rsidRPr="000977F7">
        <w:rPr>
          <w:rFonts w:asciiTheme="majorHAnsi" w:hAnsiTheme="majorHAnsi"/>
          <w:sz w:val="20"/>
          <w:szCs w:val="20"/>
        </w:rPr>
        <w:t>від</w:t>
      </w:r>
      <w:r w:rsidRPr="000977F7">
        <w:rPr>
          <w:rFonts w:asciiTheme="majorHAnsi" w:hAnsiTheme="majorHAnsi"/>
          <w:spacing w:val="13"/>
          <w:sz w:val="20"/>
          <w:szCs w:val="20"/>
        </w:rPr>
        <w:t xml:space="preserve"> </w:t>
      </w:r>
      <w:r w:rsidRPr="000977F7">
        <w:rPr>
          <w:rFonts w:asciiTheme="majorHAnsi" w:hAnsiTheme="majorHAnsi"/>
          <w:sz w:val="20"/>
          <w:szCs w:val="20"/>
        </w:rPr>
        <w:t>обставин</w:t>
      </w:r>
    </w:p>
    <w:p w14:paraId="17B5CB26" w14:textId="77777777" w:rsidR="0097612F" w:rsidRPr="000977F7" w:rsidRDefault="0097612F" w:rsidP="00FD39A4">
      <w:pPr>
        <w:pStyle w:val="ac"/>
        <w:widowControl w:val="0"/>
        <w:numPr>
          <w:ilvl w:val="1"/>
          <w:numId w:val="141"/>
        </w:numPr>
        <w:tabs>
          <w:tab w:val="left" w:pos="284"/>
          <w:tab w:val="left" w:pos="84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виконувати</w:t>
      </w:r>
      <w:r w:rsidRPr="000977F7">
        <w:rPr>
          <w:rFonts w:asciiTheme="majorHAnsi" w:hAnsiTheme="majorHAnsi"/>
          <w:spacing w:val="4"/>
          <w:sz w:val="20"/>
          <w:szCs w:val="20"/>
        </w:rPr>
        <w:t xml:space="preserve"> </w:t>
      </w:r>
      <w:r w:rsidRPr="000977F7">
        <w:rPr>
          <w:rFonts w:asciiTheme="majorHAnsi" w:hAnsiTheme="majorHAnsi"/>
          <w:sz w:val="20"/>
          <w:szCs w:val="20"/>
        </w:rPr>
        <w:t>дії</w:t>
      </w:r>
      <w:r w:rsidRPr="000977F7">
        <w:rPr>
          <w:rFonts w:asciiTheme="majorHAnsi" w:hAnsiTheme="majorHAnsi"/>
          <w:spacing w:val="6"/>
          <w:sz w:val="20"/>
          <w:szCs w:val="20"/>
        </w:rPr>
        <w:t xml:space="preserve"> </w:t>
      </w:r>
      <w:r w:rsidRPr="000977F7">
        <w:rPr>
          <w:rFonts w:asciiTheme="majorHAnsi" w:hAnsiTheme="majorHAnsi"/>
          <w:sz w:val="20"/>
          <w:szCs w:val="20"/>
        </w:rPr>
        <w:t>щодо</w:t>
      </w:r>
      <w:r w:rsidRPr="000977F7">
        <w:rPr>
          <w:rFonts w:asciiTheme="majorHAnsi" w:hAnsiTheme="majorHAnsi"/>
          <w:spacing w:val="7"/>
          <w:sz w:val="20"/>
          <w:szCs w:val="20"/>
        </w:rPr>
        <w:t xml:space="preserve"> </w:t>
      </w:r>
      <w:r w:rsidRPr="000977F7">
        <w:rPr>
          <w:rFonts w:asciiTheme="majorHAnsi" w:hAnsiTheme="majorHAnsi"/>
          <w:sz w:val="20"/>
          <w:szCs w:val="20"/>
        </w:rPr>
        <w:t>її</w:t>
      </w:r>
      <w:r w:rsidRPr="000977F7">
        <w:rPr>
          <w:rFonts w:asciiTheme="majorHAnsi" w:hAnsiTheme="majorHAnsi"/>
          <w:spacing w:val="6"/>
          <w:sz w:val="20"/>
          <w:szCs w:val="20"/>
        </w:rPr>
        <w:t xml:space="preserve"> </w:t>
      </w:r>
      <w:r w:rsidRPr="000977F7">
        <w:rPr>
          <w:rFonts w:asciiTheme="majorHAnsi" w:hAnsiTheme="majorHAnsi"/>
          <w:sz w:val="20"/>
          <w:szCs w:val="20"/>
        </w:rPr>
        <w:t>контролювання</w:t>
      </w:r>
      <w:r w:rsidRPr="000977F7">
        <w:rPr>
          <w:rFonts w:asciiTheme="majorHAnsi" w:hAnsiTheme="majorHAnsi"/>
          <w:spacing w:val="5"/>
          <w:sz w:val="20"/>
          <w:szCs w:val="20"/>
        </w:rPr>
        <w:t xml:space="preserve"> </w:t>
      </w:r>
      <w:r w:rsidRPr="000977F7">
        <w:rPr>
          <w:rFonts w:asciiTheme="majorHAnsi" w:hAnsiTheme="majorHAnsi"/>
          <w:sz w:val="20"/>
          <w:szCs w:val="20"/>
        </w:rPr>
        <w:t>та</w:t>
      </w:r>
      <w:r w:rsidRPr="000977F7">
        <w:rPr>
          <w:rFonts w:asciiTheme="majorHAnsi" w:hAnsiTheme="majorHAnsi"/>
          <w:spacing w:val="9"/>
          <w:sz w:val="20"/>
          <w:szCs w:val="20"/>
        </w:rPr>
        <w:t xml:space="preserve"> </w:t>
      </w:r>
      <w:r w:rsidRPr="000977F7">
        <w:rPr>
          <w:rFonts w:asciiTheme="majorHAnsi" w:hAnsiTheme="majorHAnsi"/>
          <w:sz w:val="20"/>
          <w:szCs w:val="20"/>
        </w:rPr>
        <w:t>коригування;</w:t>
      </w:r>
    </w:p>
    <w:p w14:paraId="343F2B06" w14:textId="77777777" w:rsidR="0097612F" w:rsidRPr="000977F7" w:rsidRDefault="0097612F" w:rsidP="00FD39A4">
      <w:pPr>
        <w:pStyle w:val="ac"/>
        <w:widowControl w:val="0"/>
        <w:numPr>
          <w:ilvl w:val="0"/>
          <w:numId w:val="142"/>
        </w:numPr>
        <w:tabs>
          <w:tab w:val="left" w:pos="284"/>
          <w:tab w:val="left" w:pos="83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приймати</w:t>
      </w:r>
      <w:r w:rsidRPr="000977F7">
        <w:rPr>
          <w:rFonts w:asciiTheme="majorHAnsi" w:hAnsiTheme="majorHAnsi"/>
          <w:spacing w:val="-5"/>
          <w:sz w:val="20"/>
          <w:szCs w:val="20"/>
        </w:rPr>
        <w:t xml:space="preserve"> </w:t>
      </w:r>
      <w:r w:rsidRPr="000977F7">
        <w:rPr>
          <w:rFonts w:asciiTheme="majorHAnsi" w:hAnsiTheme="majorHAnsi"/>
          <w:sz w:val="20"/>
          <w:szCs w:val="20"/>
        </w:rPr>
        <w:t>рішення</w:t>
      </w:r>
      <w:r w:rsidRPr="000977F7">
        <w:rPr>
          <w:rFonts w:asciiTheme="majorHAnsi" w:hAnsiTheme="majorHAnsi"/>
          <w:spacing w:val="-4"/>
          <w:sz w:val="20"/>
          <w:szCs w:val="20"/>
        </w:rPr>
        <w:t xml:space="preserve"> </w:t>
      </w:r>
      <w:r w:rsidRPr="000977F7">
        <w:rPr>
          <w:rFonts w:asciiTheme="majorHAnsi" w:hAnsiTheme="majorHAnsi"/>
          <w:sz w:val="20"/>
          <w:szCs w:val="20"/>
        </w:rPr>
        <w:t>щодо</w:t>
      </w:r>
      <w:r w:rsidRPr="000977F7">
        <w:rPr>
          <w:rFonts w:asciiTheme="majorHAnsi" w:hAnsiTheme="majorHAnsi"/>
          <w:spacing w:val="-4"/>
          <w:sz w:val="20"/>
          <w:szCs w:val="20"/>
        </w:rPr>
        <w:t xml:space="preserve"> </w:t>
      </w:r>
      <w:r w:rsidRPr="000977F7">
        <w:rPr>
          <w:rFonts w:asciiTheme="majorHAnsi" w:hAnsiTheme="majorHAnsi"/>
          <w:sz w:val="20"/>
          <w:szCs w:val="20"/>
        </w:rPr>
        <w:t>наслідків;</w:t>
      </w:r>
    </w:p>
    <w:p w14:paraId="76626430" w14:textId="77777777" w:rsidR="0097612F" w:rsidRPr="000977F7" w:rsidRDefault="0097612F" w:rsidP="00FD39A4">
      <w:pPr>
        <w:pStyle w:val="ac"/>
        <w:widowControl w:val="0"/>
        <w:numPr>
          <w:ilvl w:val="0"/>
          <w:numId w:val="142"/>
        </w:numPr>
        <w:tabs>
          <w:tab w:val="left" w:pos="284"/>
          <w:tab w:val="left" w:pos="83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оцінювати потребу в діях щодо усунення причин(и)</w:t>
      </w:r>
      <w:r w:rsidRPr="000977F7">
        <w:rPr>
          <w:rFonts w:asciiTheme="majorHAnsi" w:hAnsiTheme="majorHAnsi"/>
          <w:spacing w:val="-47"/>
          <w:sz w:val="20"/>
          <w:szCs w:val="20"/>
        </w:rPr>
        <w:t xml:space="preserve"> </w:t>
      </w:r>
      <w:r w:rsidRPr="000977F7">
        <w:rPr>
          <w:rFonts w:asciiTheme="majorHAnsi" w:hAnsiTheme="majorHAnsi"/>
          <w:sz w:val="20"/>
          <w:szCs w:val="20"/>
        </w:rPr>
        <w:t>невідповідності з тим, щоб вона не виникала повторно</w:t>
      </w:r>
      <w:r w:rsidRPr="000977F7">
        <w:rPr>
          <w:rFonts w:asciiTheme="majorHAnsi" w:hAnsiTheme="majorHAnsi"/>
          <w:spacing w:val="-47"/>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іншому</w:t>
      </w:r>
      <w:r w:rsidRPr="000977F7">
        <w:rPr>
          <w:rFonts w:asciiTheme="majorHAnsi" w:hAnsiTheme="majorHAnsi"/>
          <w:spacing w:val="-4"/>
          <w:sz w:val="20"/>
          <w:szCs w:val="20"/>
        </w:rPr>
        <w:t xml:space="preserve"> </w:t>
      </w:r>
      <w:r w:rsidRPr="000977F7">
        <w:rPr>
          <w:rFonts w:asciiTheme="majorHAnsi" w:hAnsiTheme="majorHAnsi"/>
          <w:sz w:val="20"/>
          <w:szCs w:val="20"/>
        </w:rPr>
        <w:t>місті,</w:t>
      </w:r>
    </w:p>
    <w:p w14:paraId="37AA6B91" w14:textId="77777777" w:rsidR="0097612F" w:rsidRPr="000977F7" w:rsidRDefault="0097612F" w:rsidP="00FD39A4">
      <w:pPr>
        <w:pStyle w:val="ac"/>
        <w:widowControl w:val="0"/>
        <w:numPr>
          <w:ilvl w:val="1"/>
          <w:numId w:val="142"/>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аналізуючи</w:t>
      </w:r>
      <w:r w:rsidRPr="000977F7">
        <w:rPr>
          <w:rFonts w:asciiTheme="majorHAnsi" w:hAnsiTheme="majorHAnsi"/>
          <w:spacing w:val="-9"/>
          <w:sz w:val="20"/>
          <w:szCs w:val="20"/>
        </w:rPr>
        <w:t xml:space="preserve"> </w:t>
      </w:r>
      <w:r w:rsidRPr="000977F7">
        <w:rPr>
          <w:rFonts w:asciiTheme="majorHAnsi" w:hAnsiTheme="majorHAnsi"/>
          <w:sz w:val="20"/>
          <w:szCs w:val="20"/>
        </w:rPr>
        <w:t>невідповідність;</w:t>
      </w:r>
    </w:p>
    <w:p w14:paraId="1FED6355" w14:textId="77777777" w:rsidR="0097612F" w:rsidRPr="000977F7" w:rsidRDefault="0097612F" w:rsidP="00FD39A4">
      <w:pPr>
        <w:pStyle w:val="ac"/>
        <w:widowControl w:val="0"/>
        <w:numPr>
          <w:ilvl w:val="1"/>
          <w:numId w:val="142"/>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визначаючи</w:t>
      </w:r>
      <w:r w:rsidRPr="000977F7">
        <w:rPr>
          <w:rFonts w:asciiTheme="majorHAnsi" w:hAnsiTheme="majorHAnsi"/>
          <w:spacing w:val="-5"/>
          <w:sz w:val="20"/>
          <w:szCs w:val="20"/>
        </w:rPr>
        <w:t xml:space="preserve"> </w:t>
      </w:r>
      <w:r w:rsidRPr="000977F7">
        <w:rPr>
          <w:rFonts w:asciiTheme="majorHAnsi" w:hAnsiTheme="majorHAnsi"/>
          <w:sz w:val="20"/>
          <w:szCs w:val="20"/>
        </w:rPr>
        <w:t>причини</w:t>
      </w:r>
      <w:r w:rsidRPr="000977F7">
        <w:rPr>
          <w:rFonts w:asciiTheme="majorHAnsi" w:hAnsiTheme="majorHAnsi"/>
          <w:spacing w:val="-7"/>
          <w:sz w:val="20"/>
          <w:szCs w:val="20"/>
        </w:rPr>
        <w:t xml:space="preserve"> </w:t>
      </w:r>
      <w:r w:rsidRPr="000977F7">
        <w:rPr>
          <w:rFonts w:asciiTheme="majorHAnsi" w:hAnsiTheme="majorHAnsi"/>
          <w:sz w:val="20"/>
          <w:szCs w:val="20"/>
        </w:rPr>
        <w:t>невідповідності;</w:t>
      </w:r>
    </w:p>
    <w:p w14:paraId="71087C8F" w14:textId="77777777" w:rsidR="0097612F" w:rsidRPr="000977F7" w:rsidRDefault="0097612F" w:rsidP="00FD39A4">
      <w:pPr>
        <w:pStyle w:val="ac"/>
        <w:widowControl w:val="0"/>
        <w:numPr>
          <w:ilvl w:val="1"/>
          <w:numId w:val="142"/>
        </w:numPr>
        <w:tabs>
          <w:tab w:val="left" w:pos="284"/>
          <w:tab w:val="left" w:pos="71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визначаючи наявність подібних невідповідностей</w:t>
      </w:r>
      <w:r w:rsidRPr="000977F7">
        <w:rPr>
          <w:rFonts w:asciiTheme="majorHAnsi" w:hAnsiTheme="majorHAnsi"/>
          <w:spacing w:val="-47"/>
          <w:sz w:val="20"/>
          <w:szCs w:val="20"/>
        </w:rPr>
        <w:t xml:space="preserve"> </w:t>
      </w:r>
      <w:r w:rsidRPr="000977F7">
        <w:rPr>
          <w:rFonts w:asciiTheme="majorHAnsi" w:hAnsiTheme="majorHAnsi"/>
          <w:sz w:val="20"/>
          <w:szCs w:val="20"/>
        </w:rPr>
        <w:t>або потенційну</w:t>
      </w:r>
      <w:r w:rsidRPr="000977F7">
        <w:rPr>
          <w:rFonts w:asciiTheme="majorHAnsi" w:hAnsiTheme="majorHAnsi"/>
          <w:spacing w:val="-2"/>
          <w:sz w:val="20"/>
          <w:szCs w:val="20"/>
        </w:rPr>
        <w:t xml:space="preserve"> </w:t>
      </w:r>
      <w:r w:rsidRPr="000977F7">
        <w:rPr>
          <w:rFonts w:asciiTheme="majorHAnsi" w:hAnsiTheme="majorHAnsi"/>
          <w:sz w:val="20"/>
          <w:szCs w:val="20"/>
        </w:rPr>
        <w:t>можливість</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2"/>
          <w:sz w:val="20"/>
          <w:szCs w:val="20"/>
        </w:rPr>
        <w:t xml:space="preserve"> </w:t>
      </w:r>
      <w:r w:rsidRPr="000977F7">
        <w:rPr>
          <w:rFonts w:asciiTheme="majorHAnsi" w:hAnsiTheme="majorHAnsi"/>
          <w:sz w:val="20"/>
          <w:szCs w:val="20"/>
        </w:rPr>
        <w:t>виникнення;</w:t>
      </w:r>
    </w:p>
    <w:p w14:paraId="6D9F5B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w:t>
      </w:r>
      <w:r w:rsidRPr="000977F7">
        <w:rPr>
          <w:rFonts w:asciiTheme="majorHAnsi" w:hAnsiTheme="majorHAnsi"/>
          <w:spacing w:val="-3"/>
          <w:sz w:val="20"/>
          <w:szCs w:val="20"/>
        </w:rPr>
        <w:t xml:space="preserve"> </w:t>
      </w:r>
      <w:r w:rsidRPr="000977F7">
        <w:rPr>
          <w:rFonts w:asciiTheme="majorHAnsi" w:hAnsiTheme="majorHAnsi"/>
          <w:sz w:val="20"/>
          <w:szCs w:val="20"/>
        </w:rPr>
        <w:t>виконувати</w:t>
      </w:r>
      <w:r w:rsidRPr="000977F7">
        <w:rPr>
          <w:rFonts w:asciiTheme="majorHAnsi" w:hAnsiTheme="majorHAnsi"/>
          <w:spacing w:val="-2"/>
          <w:sz w:val="20"/>
          <w:szCs w:val="20"/>
        </w:rPr>
        <w:t xml:space="preserve"> </w:t>
      </w:r>
      <w:r w:rsidRPr="000977F7">
        <w:rPr>
          <w:rFonts w:asciiTheme="majorHAnsi" w:hAnsiTheme="majorHAnsi"/>
          <w:sz w:val="20"/>
          <w:szCs w:val="20"/>
        </w:rPr>
        <w:t>будь-які</w:t>
      </w:r>
      <w:r w:rsidRPr="000977F7">
        <w:rPr>
          <w:rFonts w:asciiTheme="majorHAnsi" w:hAnsiTheme="majorHAnsi"/>
          <w:spacing w:val="-1"/>
          <w:sz w:val="20"/>
          <w:szCs w:val="20"/>
        </w:rPr>
        <w:t xml:space="preserve"> </w:t>
      </w:r>
      <w:r w:rsidRPr="000977F7">
        <w:rPr>
          <w:rFonts w:asciiTheme="majorHAnsi" w:hAnsiTheme="majorHAnsi"/>
          <w:sz w:val="20"/>
          <w:szCs w:val="20"/>
        </w:rPr>
        <w:t>потрібні</w:t>
      </w:r>
      <w:r w:rsidRPr="000977F7">
        <w:rPr>
          <w:rFonts w:asciiTheme="majorHAnsi" w:hAnsiTheme="majorHAnsi"/>
          <w:spacing w:val="-4"/>
          <w:sz w:val="20"/>
          <w:szCs w:val="20"/>
        </w:rPr>
        <w:t xml:space="preserve"> </w:t>
      </w:r>
      <w:r w:rsidRPr="000977F7">
        <w:rPr>
          <w:rFonts w:asciiTheme="majorHAnsi" w:hAnsiTheme="majorHAnsi"/>
          <w:sz w:val="20"/>
          <w:szCs w:val="20"/>
        </w:rPr>
        <w:t>дії;</w:t>
      </w:r>
    </w:p>
    <w:p w14:paraId="1577F175" w14:textId="77777777" w:rsidR="0097612F" w:rsidRPr="000977F7" w:rsidRDefault="0097612F" w:rsidP="00FD39A4">
      <w:pPr>
        <w:pStyle w:val="ac"/>
        <w:widowControl w:val="0"/>
        <w:numPr>
          <w:ilvl w:val="0"/>
          <w:numId w:val="139"/>
        </w:numPr>
        <w:tabs>
          <w:tab w:val="left" w:pos="284"/>
          <w:tab w:val="left" w:pos="58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аналізувати</w:t>
      </w:r>
      <w:r w:rsidRPr="000977F7">
        <w:rPr>
          <w:rFonts w:asciiTheme="majorHAnsi" w:hAnsiTheme="majorHAnsi"/>
          <w:spacing w:val="1"/>
          <w:sz w:val="20"/>
          <w:szCs w:val="20"/>
        </w:rPr>
        <w:t xml:space="preserve"> </w:t>
      </w:r>
      <w:r w:rsidRPr="000977F7">
        <w:rPr>
          <w:rFonts w:asciiTheme="majorHAnsi" w:hAnsiTheme="majorHAnsi"/>
          <w:sz w:val="20"/>
          <w:szCs w:val="20"/>
        </w:rPr>
        <w:t>результативність</w:t>
      </w:r>
      <w:r w:rsidRPr="000977F7">
        <w:rPr>
          <w:rFonts w:asciiTheme="majorHAnsi" w:hAnsiTheme="majorHAnsi"/>
          <w:spacing w:val="1"/>
          <w:sz w:val="20"/>
          <w:szCs w:val="20"/>
        </w:rPr>
        <w:t xml:space="preserve"> </w:t>
      </w:r>
      <w:r w:rsidRPr="000977F7">
        <w:rPr>
          <w:rFonts w:asciiTheme="majorHAnsi" w:hAnsiTheme="majorHAnsi"/>
          <w:sz w:val="20"/>
          <w:szCs w:val="20"/>
        </w:rPr>
        <w:t>будь-якої</w:t>
      </w:r>
      <w:r w:rsidRPr="000977F7">
        <w:rPr>
          <w:rFonts w:asciiTheme="majorHAnsi" w:hAnsiTheme="majorHAnsi"/>
          <w:spacing w:val="1"/>
          <w:sz w:val="20"/>
          <w:szCs w:val="20"/>
        </w:rPr>
        <w:t xml:space="preserve"> </w:t>
      </w:r>
      <w:r w:rsidRPr="000977F7">
        <w:rPr>
          <w:rFonts w:asciiTheme="majorHAnsi" w:hAnsiTheme="majorHAnsi"/>
          <w:sz w:val="20"/>
          <w:szCs w:val="20"/>
        </w:rPr>
        <w:t>виконаної</w:t>
      </w:r>
      <w:r w:rsidRPr="000977F7">
        <w:rPr>
          <w:rFonts w:asciiTheme="majorHAnsi" w:hAnsiTheme="majorHAnsi"/>
          <w:spacing w:val="-47"/>
          <w:sz w:val="20"/>
          <w:szCs w:val="20"/>
        </w:rPr>
        <w:t xml:space="preserve"> </w:t>
      </w:r>
      <w:r w:rsidRPr="000977F7">
        <w:rPr>
          <w:rFonts w:asciiTheme="majorHAnsi" w:hAnsiTheme="majorHAnsi"/>
          <w:sz w:val="20"/>
          <w:szCs w:val="20"/>
        </w:rPr>
        <w:t>коригувальної</w:t>
      </w:r>
      <w:r w:rsidRPr="000977F7">
        <w:rPr>
          <w:rFonts w:asciiTheme="majorHAnsi" w:hAnsiTheme="majorHAnsi"/>
          <w:spacing w:val="-2"/>
          <w:sz w:val="20"/>
          <w:szCs w:val="20"/>
        </w:rPr>
        <w:t xml:space="preserve"> </w:t>
      </w:r>
      <w:r w:rsidRPr="000977F7">
        <w:rPr>
          <w:rFonts w:asciiTheme="majorHAnsi" w:hAnsiTheme="majorHAnsi"/>
          <w:sz w:val="20"/>
          <w:szCs w:val="20"/>
        </w:rPr>
        <w:t>дії;</w:t>
      </w:r>
    </w:p>
    <w:p w14:paraId="3576E1B5" w14:textId="77777777" w:rsidR="0097612F" w:rsidRPr="000977F7" w:rsidRDefault="0097612F" w:rsidP="00FD39A4">
      <w:pPr>
        <w:pStyle w:val="ac"/>
        <w:widowControl w:val="0"/>
        <w:numPr>
          <w:ilvl w:val="0"/>
          <w:numId w:val="139"/>
        </w:numPr>
        <w:tabs>
          <w:tab w:val="left" w:pos="284"/>
          <w:tab w:val="left" w:pos="55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w:t>
      </w:r>
      <w:r w:rsidRPr="000977F7">
        <w:rPr>
          <w:rFonts w:asciiTheme="majorHAnsi" w:hAnsiTheme="majorHAnsi"/>
          <w:spacing w:val="26"/>
          <w:sz w:val="20"/>
          <w:szCs w:val="20"/>
        </w:rPr>
        <w:t xml:space="preserve"> </w:t>
      </w:r>
      <w:r w:rsidRPr="000977F7">
        <w:rPr>
          <w:rFonts w:asciiTheme="majorHAnsi" w:hAnsiTheme="majorHAnsi"/>
          <w:sz w:val="20"/>
          <w:szCs w:val="20"/>
        </w:rPr>
        <w:t>потреби,</w:t>
      </w:r>
      <w:r w:rsidRPr="000977F7">
        <w:rPr>
          <w:rFonts w:asciiTheme="majorHAnsi" w:hAnsiTheme="majorHAnsi"/>
          <w:spacing w:val="26"/>
          <w:sz w:val="20"/>
          <w:szCs w:val="20"/>
        </w:rPr>
        <w:t xml:space="preserve"> </w:t>
      </w:r>
      <w:r w:rsidRPr="000977F7">
        <w:rPr>
          <w:rFonts w:asciiTheme="majorHAnsi" w:hAnsiTheme="majorHAnsi"/>
          <w:sz w:val="20"/>
          <w:szCs w:val="20"/>
        </w:rPr>
        <w:t>оновити</w:t>
      </w:r>
      <w:r w:rsidRPr="000977F7">
        <w:rPr>
          <w:rFonts w:asciiTheme="majorHAnsi" w:hAnsiTheme="majorHAnsi"/>
          <w:spacing w:val="25"/>
          <w:sz w:val="20"/>
          <w:szCs w:val="20"/>
        </w:rPr>
        <w:t xml:space="preserve"> </w:t>
      </w:r>
      <w:r w:rsidRPr="000977F7">
        <w:rPr>
          <w:rFonts w:asciiTheme="majorHAnsi" w:hAnsiTheme="majorHAnsi"/>
          <w:sz w:val="20"/>
          <w:szCs w:val="20"/>
        </w:rPr>
        <w:t>ризики</w:t>
      </w:r>
      <w:r w:rsidRPr="000977F7">
        <w:rPr>
          <w:rFonts w:asciiTheme="majorHAnsi" w:hAnsiTheme="majorHAnsi"/>
          <w:spacing w:val="26"/>
          <w:sz w:val="20"/>
          <w:szCs w:val="20"/>
        </w:rPr>
        <w:t xml:space="preserve"> </w:t>
      </w:r>
      <w:r w:rsidRPr="000977F7">
        <w:rPr>
          <w:rFonts w:asciiTheme="majorHAnsi" w:hAnsiTheme="majorHAnsi"/>
          <w:sz w:val="20"/>
          <w:szCs w:val="20"/>
        </w:rPr>
        <w:t>та</w:t>
      </w:r>
      <w:r w:rsidRPr="000977F7">
        <w:rPr>
          <w:rFonts w:asciiTheme="majorHAnsi" w:hAnsiTheme="majorHAnsi"/>
          <w:spacing w:val="26"/>
          <w:sz w:val="20"/>
          <w:szCs w:val="20"/>
        </w:rPr>
        <w:t xml:space="preserve"> </w:t>
      </w:r>
      <w:r w:rsidRPr="000977F7">
        <w:rPr>
          <w:rFonts w:asciiTheme="majorHAnsi" w:hAnsiTheme="majorHAnsi"/>
          <w:sz w:val="20"/>
          <w:szCs w:val="20"/>
        </w:rPr>
        <w:t>можливості,</w:t>
      </w:r>
      <w:r w:rsidRPr="000977F7">
        <w:rPr>
          <w:rFonts w:asciiTheme="majorHAnsi" w:hAnsiTheme="majorHAnsi"/>
          <w:spacing w:val="26"/>
          <w:sz w:val="20"/>
          <w:szCs w:val="20"/>
        </w:rPr>
        <w:t xml:space="preserve"> </w:t>
      </w:r>
      <w:r w:rsidRPr="000977F7">
        <w:rPr>
          <w:rFonts w:asciiTheme="majorHAnsi" w:hAnsiTheme="majorHAnsi"/>
          <w:sz w:val="20"/>
          <w:szCs w:val="20"/>
        </w:rPr>
        <w:t>визначені</w:t>
      </w:r>
      <w:r w:rsidRPr="000977F7">
        <w:rPr>
          <w:rFonts w:asciiTheme="majorHAnsi" w:hAnsiTheme="majorHAnsi"/>
          <w:spacing w:val="-2"/>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 планування;</w:t>
      </w:r>
    </w:p>
    <w:p w14:paraId="2CBDAC2E" w14:textId="77777777" w:rsidR="0097612F" w:rsidRPr="000977F7" w:rsidRDefault="0097612F" w:rsidP="00FD39A4">
      <w:pPr>
        <w:pStyle w:val="ac"/>
        <w:widowControl w:val="0"/>
        <w:numPr>
          <w:ilvl w:val="0"/>
          <w:numId w:val="139"/>
        </w:numPr>
        <w:tabs>
          <w:tab w:val="left" w:pos="284"/>
          <w:tab w:val="left" w:pos="53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w:t>
      </w:r>
      <w:r w:rsidRPr="000977F7">
        <w:rPr>
          <w:rFonts w:asciiTheme="majorHAnsi" w:hAnsiTheme="majorHAnsi"/>
          <w:spacing w:val="36"/>
          <w:sz w:val="20"/>
          <w:szCs w:val="20"/>
        </w:rPr>
        <w:t xml:space="preserve"> </w:t>
      </w:r>
      <w:r w:rsidRPr="000977F7">
        <w:rPr>
          <w:rFonts w:asciiTheme="majorHAnsi" w:hAnsiTheme="majorHAnsi"/>
          <w:sz w:val="20"/>
          <w:szCs w:val="20"/>
        </w:rPr>
        <w:t>потреби,</w:t>
      </w:r>
      <w:r w:rsidRPr="000977F7">
        <w:rPr>
          <w:rFonts w:asciiTheme="majorHAnsi" w:hAnsiTheme="majorHAnsi"/>
          <w:spacing w:val="36"/>
          <w:sz w:val="20"/>
          <w:szCs w:val="20"/>
        </w:rPr>
        <w:t xml:space="preserve"> </w:t>
      </w:r>
      <w:r w:rsidRPr="000977F7">
        <w:rPr>
          <w:rFonts w:asciiTheme="majorHAnsi" w:hAnsiTheme="majorHAnsi"/>
          <w:sz w:val="20"/>
          <w:szCs w:val="20"/>
        </w:rPr>
        <w:t>вносити</w:t>
      </w:r>
      <w:r w:rsidRPr="000977F7">
        <w:rPr>
          <w:rFonts w:asciiTheme="majorHAnsi" w:hAnsiTheme="majorHAnsi"/>
          <w:spacing w:val="34"/>
          <w:sz w:val="20"/>
          <w:szCs w:val="20"/>
        </w:rPr>
        <w:t xml:space="preserve"> </w:t>
      </w:r>
      <w:r w:rsidRPr="000977F7">
        <w:rPr>
          <w:rFonts w:asciiTheme="majorHAnsi" w:hAnsiTheme="majorHAnsi"/>
          <w:sz w:val="20"/>
          <w:szCs w:val="20"/>
        </w:rPr>
        <w:t>зміни</w:t>
      </w:r>
      <w:r w:rsidRPr="000977F7">
        <w:rPr>
          <w:rFonts w:asciiTheme="majorHAnsi" w:hAnsiTheme="majorHAnsi"/>
          <w:spacing w:val="38"/>
          <w:sz w:val="20"/>
          <w:szCs w:val="20"/>
        </w:rPr>
        <w:t xml:space="preserve"> </w:t>
      </w:r>
      <w:r w:rsidRPr="000977F7">
        <w:rPr>
          <w:rFonts w:asciiTheme="majorHAnsi" w:hAnsiTheme="majorHAnsi"/>
          <w:sz w:val="20"/>
          <w:szCs w:val="20"/>
        </w:rPr>
        <w:t>до</w:t>
      </w:r>
      <w:r w:rsidRPr="000977F7">
        <w:rPr>
          <w:rFonts w:asciiTheme="majorHAnsi" w:hAnsiTheme="majorHAnsi"/>
          <w:spacing w:val="36"/>
          <w:sz w:val="20"/>
          <w:szCs w:val="20"/>
        </w:rPr>
        <w:t xml:space="preserve"> </w:t>
      </w:r>
      <w:r w:rsidRPr="000977F7">
        <w:rPr>
          <w:rFonts w:asciiTheme="majorHAnsi" w:hAnsiTheme="majorHAnsi"/>
          <w:sz w:val="20"/>
          <w:szCs w:val="20"/>
        </w:rPr>
        <w:t>системи</w:t>
      </w:r>
      <w:r w:rsidRPr="000977F7">
        <w:rPr>
          <w:rFonts w:asciiTheme="majorHAnsi" w:hAnsiTheme="majorHAnsi"/>
          <w:spacing w:val="37"/>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47"/>
          <w:sz w:val="20"/>
          <w:szCs w:val="20"/>
        </w:rPr>
        <w:t xml:space="preserve"> </w:t>
      </w:r>
      <w:r w:rsidRPr="000977F7">
        <w:rPr>
          <w:rFonts w:asciiTheme="majorHAnsi" w:hAnsiTheme="majorHAnsi"/>
          <w:sz w:val="20"/>
          <w:szCs w:val="20"/>
        </w:rPr>
        <w:t>якістю.</w:t>
      </w:r>
    </w:p>
    <w:p w14:paraId="038328D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Потрібно,</w:t>
      </w:r>
      <w:r w:rsidRPr="000977F7">
        <w:rPr>
          <w:rFonts w:asciiTheme="majorHAnsi" w:hAnsiTheme="majorHAnsi"/>
          <w:spacing w:val="33"/>
          <w:sz w:val="20"/>
          <w:szCs w:val="20"/>
        </w:rPr>
        <w:t xml:space="preserve"> </w:t>
      </w:r>
      <w:r w:rsidRPr="000977F7">
        <w:rPr>
          <w:rFonts w:asciiTheme="majorHAnsi" w:hAnsiTheme="majorHAnsi"/>
          <w:sz w:val="20"/>
          <w:szCs w:val="20"/>
        </w:rPr>
        <w:t>щоб</w:t>
      </w:r>
      <w:r w:rsidRPr="000977F7">
        <w:rPr>
          <w:rFonts w:asciiTheme="majorHAnsi" w:hAnsiTheme="majorHAnsi"/>
          <w:spacing w:val="32"/>
          <w:sz w:val="20"/>
          <w:szCs w:val="20"/>
        </w:rPr>
        <w:t xml:space="preserve"> </w:t>
      </w:r>
      <w:r w:rsidRPr="000977F7">
        <w:rPr>
          <w:rFonts w:asciiTheme="majorHAnsi" w:hAnsiTheme="majorHAnsi"/>
          <w:sz w:val="20"/>
          <w:szCs w:val="20"/>
        </w:rPr>
        <w:t>коригувальні</w:t>
      </w:r>
      <w:r w:rsidRPr="000977F7">
        <w:rPr>
          <w:rFonts w:asciiTheme="majorHAnsi" w:hAnsiTheme="majorHAnsi"/>
          <w:spacing w:val="33"/>
          <w:sz w:val="20"/>
          <w:szCs w:val="20"/>
        </w:rPr>
        <w:t xml:space="preserve"> </w:t>
      </w:r>
      <w:r w:rsidRPr="000977F7">
        <w:rPr>
          <w:rFonts w:asciiTheme="majorHAnsi" w:hAnsiTheme="majorHAnsi"/>
          <w:sz w:val="20"/>
          <w:szCs w:val="20"/>
        </w:rPr>
        <w:t>дії</w:t>
      </w:r>
      <w:r w:rsidRPr="000977F7">
        <w:rPr>
          <w:rFonts w:asciiTheme="majorHAnsi" w:hAnsiTheme="majorHAnsi"/>
          <w:spacing w:val="33"/>
          <w:sz w:val="20"/>
          <w:szCs w:val="20"/>
        </w:rPr>
        <w:t xml:space="preserve"> </w:t>
      </w:r>
      <w:r w:rsidRPr="000977F7">
        <w:rPr>
          <w:rFonts w:asciiTheme="majorHAnsi" w:hAnsiTheme="majorHAnsi"/>
          <w:sz w:val="20"/>
          <w:szCs w:val="20"/>
        </w:rPr>
        <w:t>відповідали</w:t>
      </w:r>
      <w:r w:rsidRPr="000977F7">
        <w:rPr>
          <w:rFonts w:asciiTheme="majorHAnsi" w:hAnsiTheme="majorHAnsi"/>
          <w:spacing w:val="32"/>
          <w:sz w:val="20"/>
          <w:szCs w:val="20"/>
        </w:rPr>
        <w:t xml:space="preserve"> </w:t>
      </w:r>
      <w:r w:rsidRPr="000977F7">
        <w:rPr>
          <w:rFonts w:asciiTheme="majorHAnsi" w:hAnsiTheme="majorHAnsi"/>
          <w:sz w:val="20"/>
          <w:szCs w:val="20"/>
        </w:rPr>
        <w:t>наслідкам виявлених</w:t>
      </w:r>
      <w:r w:rsidRPr="000977F7">
        <w:rPr>
          <w:rFonts w:asciiTheme="majorHAnsi" w:hAnsiTheme="majorHAnsi"/>
          <w:spacing w:val="1"/>
          <w:sz w:val="20"/>
          <w:szCs w:val="20"/>
        </w:rPr>
        <w:t xml:space="preserve"> </w:t>
      </w:r>
      <w:r w:rsidRPr="000977F7">
        <w:rPr>
          <w:rFonts w:asciiTheme="majorHAnsi" w:hAnsiTheme="majorHAnsi"/>
          <w:sz w:val="20"/>
          <w:szCs w:val="20"/>
        </w:rPr>
        <w:t>невідповідностей.</w:t>
      </w:r>
    </w:p>
    <w:p w14:paraId="59C3A3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43"/>
          <w:sz w:val="20"/>
          <w:szCs w:val="20"/>
        </w:rPr>
        <w:t xml:space="preserve"> </w:t>
      </w:r>
      <w:r w:rsidRPr="000977F7">
        <w:rPr>
          <w:rFonts w:asciiTheme="majorHAnsi" w:hAnsiTheme="majorHAnsi"/>
          <w:sz w:val="20"/>
          <w:szCs w:val="20"/>
        </w:rPr>
        <w:t>повинна</w:t>
      </w:r>
      <w:r w:rsidRPr="000977F7">
        <w:rPr>
          <w:rFonts w:asciiTheme="majorHAnsi" w:hAnsiTheme="majorHAnsi"/>
          <w:spacing w:val="43"/>
          <w:sz w:val="20"/>
          <w:szCs w:val="20"/>
        </w:rPr>
        <w:t xml:space="preserve"> </w:t>
      </w:r>
      <w:r w:rsidRPr="000977F7">
        <w:rPr>
          <w:rFonts w:asciiTheme="majorHAnsi" w:hAnsiTheme="majorHAnsi"/>
          <w:sz w:val="20"/>
          <w:szCs w:val="20"/>
        </w:rPr>
        <w:t>зберігати</w:t>
      </w:r>
      <w:r w:rsidRPr="000977F7">
        <w:rPr>
          <w:rFonts w:asciiTheme="majorHAnsi" w:hAnsiTheme="majorHAnsi"/>
          <w:spacing w:val="41"/>
          <w:sz w:val="20"/>
          <w:szCs w:val="20"/>
        </w:rPr>
        <w:t xml:space="preserve"> </w:t>
      </w:r>
      <w:r w:rsidRPr="000977F7">
        <w:rPr>
          <w:rFonts w:asciiTheme="majorHAnsi" w:hAnsiTheme="majorHAnsi"/>
          <w:sz w:val="20"/>
          <w:szCs w:val="20"/>
        </w:rPr>
        <w:t>задокументовану</w:t>
      </w:r>
      <w:r w:rsidRPr="000977F7">
        <w:rPr>
          <w:rFonts w:asciiTheme="majorHAnsi" w:hAnsiTheme="majorHAnsi"/>
          <w:spacing w:val="40"/>
          <w:sz w:val="20"/>
          <w:szCs w:val="20"/>
        </w:rPr>
        <w:t xml:space="preserve"> </w:t>
      </w:r>
      <w:r w:rsidRPr="000977F7">
        <w:rPr>
          <w:rFonts w:asciiTheme="majorHAnsi" w:hAnsiTheme="majorHAnsi"/>
          <w:sz w:val="20"/>
          <w:szCs w:val="20"/>
        </w:rPr>
        <w:t>інформацію</w:t>
      </w:r>
      <w:r w:rsidRPr="000977F7">
        <w:rPr>
          <w:rFonts w:asciiTheme="majorHAnsi" w:hAnsiTheme="majorHAnsi"/>
          <w:spacing w:val="-2"/>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доказ</w:t>
      </w:r>
    </w:p>
    <w:p w14:paraId="4161006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характеру</w:t>
      </w:r>
      <w:r w:rsidRPr="000977F7">
        <w:rPr>
          <w:rFonts w:asciiTheme="majorHAnsi" w:hAnsiTheme="majorHAnsi"/>
          <w:spacing w:val="1"/>
          <w:sz w:val="20"/>
          <w:szCs w:val="20"/>
        </w:rPr>
        <w:t xml:space="preserve"> </w:t>
      </w:r>
      <w:r w:rsidRPr="000977F7">
        <w:rPr>
          <w:rFonts w:asciiTheme="majorHAnsi" w:hAnsiTheme="majorHAnsi"/>
          <w:sz w:val="20"/>
          <w:szCs w:val="20"/>
        </w:rPr>
        <w:t>невідповідностей</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будь-яких</w:t>
      </w:r>
      <w:r w:rsidRPr="000977F7">
        <w:rPr>
          <w:rFonts w:asciiTheme="majorHAnsi" w:hAnsiTheme="majorHAnsi"/>
          <w:spacing w:val="1"/>
          <w:sz w:val="20"/>
          <w:szCs w:val="20"/>
        </w:rPr>
        <w:t xml:space="preserve"> </w:t>
      </w:r>
      <w:r w:rsidRPr="000977F7">
        <w:rPr>
          <w:rFonts w:asciiTheme="majorHAnsi" w:hAnsiTheme="majorHAnsi"/>
          <w:sz w:val="20"/>
          <w:szCs w:val="20"/>
        </w:rPr>
        <w:t>подальших виконаних</w:t>
      </w:r>
      <w:r w:rsidRPr="000977F7">
        <w:rPr>
          <w:rFonts w:asciiTheme="majorHAnsi" w:hAnsiTheme="majorHAnsi"/>
          <w:spacing w:val="-1"/>
          <w:sz w:val="20"/>
          <w:szCs w:val="20"/>
        </w:rPr>
        <w:t xml:space="preserve"> </w:t>
      </w:r>
      <w:r w:rsidRPr="000977F7">
        <w:rPr>
          <w:rFonts w:asciiTheme="majorHAnsi" w:hAnsiTheme="majorHAnsi"/>
          <w:sz w:val="20"/>
          <w:szCs w:val="20"/>
        </w:rPr>
        <w:t>дій;</w:t>
      </w:r>
    </w:p>
    <w:p w14:paraId="41589880" w14:textId="77777777" w:rsidR="0097612F" w:rsidRPr="000977F7" w:rsidRDefault="0097612F" w:rsidP="00FD39A4">
      <w:pPr>
        <w:pStyle w:val="ac"/>
        <w:widowControl w:val="0"/>
        <w:numPr>
          <w:ilvl w:val="0"/>
          <w:numId w:val="138"/>
        </w:numPr>
        <w:tabs>
          <w:tab w:val="left" w:pos="284"/>
          <w:tab w:val="left" w:pos="53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результатів</w:t>
      </w:r>
      <w:r w:rsidRPr="000977F7">
        <w:rPr>
          <w:rFonts w:asciiTheme="majorHAnsi" w:hAnsiTheme="majorHAnsi"/>
          <w:spacing w:val="-4"/>
          <w:sz w:val="20"/>
          <w:szCs w:val="20"/>
        </w:rPr>
        <w:t xml:space="preserve"> </w:t>
      </w:r>
      <w:r w:rsidRPr="000977F7">
        <w:rPr>
          <w:rFonts w:asciiTheme="majorHAnsi" w:hAnsiTheme="majorHAnsi"/>
          <w:sz w:val="20"/>
          <w:szCs w:val="20"/>
        </w:rPr>
        <w:t>будь-якої</w:t>
      </w:r>
      <w:r w:rsidRPr="000977F7">
        <w:rPr>
          <w:rFonts w:asciiTheme="majorHAnsi" w:hAnsiTheme="majorHAnsi"/>
          <w:spacing w:val="-5"/>
          <w:sz w:val="20"/>
          <w:szCs w:val="20"/>
        </w:rPr>
        <w:t xml:space="preserve"> </w:t>
      </w:r>
      <w:r w:rsidRPr="000977F7">
        <w:rPr>
          <w:rFonts w:asciiTheme="majorHAnsi" w:hAnsiTheme="majorHAnsi"/>
          <w:sz w:val="20"/>
          <w:szCs w:val="20"/>
        </w:rPr>
        <w:t>коригувальної</w:t>
      </w:r>
      <w:r w:rsidRPr="000977F7">
        <w:rPr>
          <w:rFonts w:asciiTheme="majorHAnsi" w:hAnsiTheme="majorHAnsi"/>
          <w:spacing w:val="-6"/>
          <w:sz w:val="20"/>
          <w:szCs w:val="20"/>
        </w:rPr>
        <w:t xml:space="preserve"> </w:t>
      </w:r>
      <w:r w:rsidRPr="000977F7">
        <w:rPr>
          <w:rFonts w:asciiTheme="majorHAnsi" w:hAnsiTheme="majorHAnsi"/>
          <w:sz w:val="20"/>
          <w:szCs w:val="20"/>
        </w:rPr>
        <w:t>дії.</w:t>
      </w:r>
    </w:p>
    <w:p w14:paraId="7EDF4BB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5769079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НЕВІДПОВІДНІСТЬ</w:t>
      </w:r>
      <w:r w:rsidRPr="000977F7">
        <w:rPr>
          <w:color w:val="auto"/>
          <w:spacing w:val="-4"/>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73562BB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NON</w:t>
      </w:r>
      <w:r w:rsidRPr="000977F7">
        <w:rPr>
          <w:rFonts w:asciiTheme="majorHAnsi" w:hAnsiTheme="majorHAnsi"/>
          <w:spacing w:val="-1"/>
          <w:sz w:val="20"/>
          <w:szCs w:val="20"/>
        </w:rPr>
        <w:t xml:space="preserve"> </w:t>
      </w:r>
      <w:r w:rsidRPr="000977F7">
        <w:rPr>
          <w:rFonts w:asciiTheme="majorHAnsi" w:hAnsiTheme="majorHAnsi"/>
          <w:sz w:val="20"/>
          <w:szCs w:val="20"/>
        </w:rPr>
        <w:t>– CONFORMITY –</w:t>
      </w:r>
    </w:p>
    <w:p w14:paraId="4BD7D3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Невиконання</w:t>
      </w:r>
      <w:r w:rsidRPr="000977F7">
        <w:rPr>
          <w:rFonts w:asciiTheme="majorHAnsi" w:hAnsiTheme="majorHAnsi"/>
          <w:spacing w:val="-4"/>
          <w:sz w:val="20"/>
          <w:szCs w:val="20"/>
        </w:rPr>
        <w:t xml:space="preserve"> </w:t>
      </w:r>
      <w:r w:rsidRPr="000977F7">
        <w:rPr>
          <w:rFonts w:asciiTheme="majorHAnsi" w:hAnsiTheme="majorHAnsi"/>
          <w:sz w:val="20"/>
          <w:szCs w:val="20"/>
        </w:rPr>
        <w:t>встановлених</w:t>
      </w:r>
      <w:r w:rsidRPr="000977F7">
        <w:rPr>
          <w:rFonts w:asciiTheme="majorHAnsi" w:hAnsiTheme="majorHAnsi"/>
          <w:spacing w:val="-5"/>
          <w:sz w:val="20"/>
          <w:szCs w:val="20"/>
        </w:rPr>
        <w:t xml:space="preserve"> </w:t>
      </w:r>
      <w:r w:rsidRPr="000977F7">
        <w:rPr>
          <w:rFonts w:asciiTheme="majorHAnsi" w:hAnsiTheme="majorHAnsi"/>
          <w:sz w:val="20"/>
          <w:szCs w:val="20"/>
        </w:rPr>
        <w:t>до</w:t>
      </w:r>
      <w:r w:rsidRPr="000977F7">
        <w:rPr>
          <w:rFonts w:asciiTheme="majorHAnsi" w:hAnsiTheme="majorHAnsi"/>
          <w:spacing w:val="-5"/>
          <w:sz w:val="20"/>
          <w:szCs w:val="20"/>
        </w:rPr>
        <w:t xml:space="preserve"> </w:t>
      </w:r>
      <w:r w:rsidRPr="000977F7">
        <w:rPr>
          <w:rFonts w:asciiTheme="majorHAnsi" w:hAnsiTheme="majorHAnsi"/>
          <w:sz w:val="20"/>
          <w:szCs w:val="20"/>
        </w:rPr>
        <w:t>продукції</w:t>
      </w:r>
      <w:r w:rsidRPr="000977F7">
        <w:rPr>
          <w:rFonts w:asciiTheme="majorHAnsi" w:hAnsiTheme="majorHAnsi"/>
          <w:spacing w:val="-4"/>
          <w:sz w:val="20"/>
          <w:szCs w:val="20"/>
        </w:rPr>
        <w:t xml:space="preserve"> </w:t>
      </w:r>
      <w:r w:rsidRPr="000977F7">
        <w:rPr>
          <w:rFonts w:asciiTheme="majorHAnsi" w:hAnsiTheme="majorHAnsi"/>
          <w:sz w:val="20"/>
          <w:szCs w:val="20"/>
        </w:rPr>
        <w:t>вимог</w:t>
      </w:r>
    </w:p>
    <w:p w14:paraId="31E78AB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AC2837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НЕВРАХОВУВАНА</w:t>
      </w:r>
      <w:r w:rsidRPr="000977F7">
        <w:rPr>
          <w:color w:val="auto"/>
          <w:spacing w:val="-4"/>
          <w:sz w:val="20"/>
          <w:szCs w:val="20"/>
        </w:rPr>
        <w:t xml:space="preserve"> </w:t>
      </w:r>
      <w:r w:rsidRPr="000977F7">
        <w:rPr>
          <w:color w:val="auto"/>
          <w:sz w:val="20"/>
          <w:szCs w:val="20"/>
        </w:rPr>
        <w:t>ВІДМОВА</w:t>
      </w:r>
      <w:r w:rsidRPr="000977F7">
        <w:rPr>
          <w:color w:val="auto"/>
          <w:spacing w:val="-1"/>
          <w:sz w:val="20"/>
          <w:szCs w:val="20"/>
        </w:rPr>
        <w:t xml:space="preserve"> </w:t>
      </w:r>
      <w:r w:rsidRPr="000977F7">
        <w:rPr>
          <w:color w:val="auto"/>
          <w:sz w:val="20"/>
          <w:szCs w:val="20"/>
        </w:rPr>
        <w:t>–</w:t>
      </w:r>
    </w:p>
    <w:p w14:paraId="333A9AB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NON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RELEVANT FAILURE –</w:t>
      </w:r>
    </w:p>
    <w:p w14:paraId="6A4F20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 яку належить вилучити з пояснювальної записки до наслідків випробувань чи експлуатації або з</w:t>
      </w:r>
      <w:r w:rsidRPr="000977F7">
        <w:rPr>
          <w:rFonts w:asciiTheme="majorHAnsi" w:hAnsiTheme="majorHAnsi"/>
          <w:spacing w:val="1"/>
          <w:sz w:val="20"/>
          <w:szCs w:val="20"/>
        </w:rPr>
        <w:t xml:space="preserve"> </w:t>
      </w:r>
      <w:r w:rsidRPr="000977F7">
        <w:rPr>
          <w:rFonts w:asciiTheme="majorHAnsi" w:hAnsiTheme="majorHAnsi"/>
          <w:sz w:val="20"/>
          <w:szCs w:val="20"/>
        </w:rPr>
        <w:t>розрахунків</w:t>
      </w:r>
      <w:r w:rsidRPr="000977F7">
        <w:rPr>
          <w:rFonts w:asciiTheme="majorHAnsi" w:hAnsiTheme="majorHAnsi"/>
          <w:spacing w:val="-3"/>
          <w:sz w:val="20"/>
          <w:szCs w:val="20"/>
        </w:rPr>
        <w:t xml:space="preserve"> </w:t>
      </w:r>
      <w:r w:rsidRPr="000977F7">
        <w:rPr>
          <w:rFonts w:asciiTheme="majorHAnsi" w:hAnsiTheme="majorHAnsi"/>
          <w:sz w:val="20"/>
          <w:szCs w:val="20"/>
        </w:rPr>
        <w:t>величини</w:t>
      </w:r>
      <w:r w:rsidRPr="000977F7">
        <w:rPr>
          <w:rFonts w:asciiTheme="majorHAnsi" w:hAnsiTheme="majorHAnsi"/>
          <w:spacing w:val="-2"/>
          <w:sz w:val="20"/>
          <w:szCs w:val="20"/>
        </w:rPr>
        <w:t xml:space="preserve"> </w:t>
      </w:r>
      <w:r w:rsidRPr="000977F7">
        <w:rPr>
          <w:rFonts w:asciiTheme="majorHAnsi" w:hAnsiTheme="majorHAnsi"/>
          <w:sz w:val="20"/>
          <w:szCs w:val="20"/>
        </w:rPr>
        <w:t>показника</w:t>
      </w:r>
      <w:r w:rsidRPr="000977F7">
        <w:rPr>
          <w:rFonts w:asciiTheme="majorHAnsi" w:hAnsiTheme="majorHAnsi"/>
          <w:spacing w:val="-2"/>
          <w:sz w:val="20"/>
          <w:szCs w:val="20"/>
        </w:rPr>
        <w:t xml:space="preserve"> </w:t>
      </w:r>
      <w:r w:rsidRPr="000977F7">
        <w:rPr>
          <w:rFonts w:asciiTheme="majorHAnsi" w:hAnsiTheme="majorHAnsi"/>
          <w:sz w:val="20"/>
          <w:szCs w:val="20"/>
        </w:rPr>
        <w:t>безвідмовності</w:t>
      </w:r>
    </w:p>
    <w:p w14:paraId="788E437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4BEAF1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Повинні</w:t>
      </w:r>
      <w:r w:rsidRPr="000977F7">
        <w:rPr>
          <w:rFonts w:asciiTheme="majorHAnsi" w:hAnsiTheme="majorHAnsi"/>
          <w:spacing w:val="-5"/>
          <w:sz w:val="20"/>
          <w:szCs w:val="20"/>
        </w:rPr>
        <w:t xml:space="preserve"> </w:t>
      </w:r>
      <w:r w:rsidRPr="000977F7">
        <w:rPr>
          <w:rFonts w:asciiTheme="majorHAnsi" w:hAnsiTheme="majorHAnsi"/>
          <w:sz w:val="20"/>
          <w:szCs w:val="20"/>
        </w:rPr>
        <w:t>бути</w:t>
      </w:r>
      <w:r w:rsidRPr="000977F7">
        <w:rPr>
          <w:rFonts w:asciiTheme="majorHAnsi" w:hAnsiTheme="majorHAnsi"/>
          <w:spacing w:val="-5"/>
          <w:sz w:val="20"/>
          <w:szCs w:val="20"/>
        </w:rPr>
        <w:t xml:space="preserve"> </w:t>
      </w:r>
      <w:r w:rsidRPr="000977F7">
        <w:rPr>
          <w:rFonts w:asciiTheme="majorHAnsi" w:hAnsiTheme="majorHAnsi"/>
          <w:sz w:val="20"/>
          <w:szCs w:val="20"/>
        </w:rPr>
        <w:t>встановлені</w:t>
      </w:r>
      <w:r w:rsidRPr="000977F7">
        <w:rPr>
          <w:rFonts w:asciiTheme="majorHAnsi" w:hAnsiTheme="majorHAnsi"/>
          <w:spacing w:val="-5"/>
          <w:sz w:val="20"/>
          <w:szCs w:val="20"/>
        </w:rPr>
        <w:t xml:space="preserve"> </w:t>
      </w:r>
      <w:r w:rsidRPr="000977F7">
        <w:rPr>
          <w:rFonts w:asciiTheme="majorHAnsi" w:hAnsiTheme="majorHAnsi"/>
          <w:sz w:val="20"/>
          <w:szCs w:val="20"/>
        </w:rPr>
        <w:t>критерії</w:t>
      </w:r>
      <w:r w:rsidRPr="000977F7">
        <w:rPr>
          <w:rFonts w:asciiTheme="majorHAnsi" w:hAnsiTheme="majorHAnsi"/>
          <w:spacing w:val="-4"/>
          <w:sz w:val="20"/>
          <w:szCs w:val="20"/>
        </w:rPr>
        <w:t xml:space="preserve"> </w:t>
      </w:r>
      <w:r w:rsidRPr="000977F7">
        <w:rPr>
          <w:rFonts w:asciiTheme="majorHAnsi" w:hAnsiTheme="majorHAnsi"/>
          <w:sz w:val="20"/>
          <w:szCs w:val="20"/>
        </w:rPr>
        <w:t>вилучення</w:t>
      </w:r>
      <w:r w:rsidRPr="000977F7">
        <w:rPr>
          <w:rFonts w:asciiTheme="majorHAnsi" w:hAnsiTheme="majorHAnsi"/>
          <w:spacing w:val="-5"/>
          <w:sz w:val="20"/>
          <w:szCs w:val="20"/>
        </w:rPr>
        <w:t xml:space="preserve"> </w:t>
      </w:r>
      <w:r w:rsidRPr="000977F7">
        <w:rPr>
          <w:rFonts w:asciiTheme="majorHAnsi" w:hAnsiTheme="majorHAnsi"/>
          <w:sz w:val="20"/>
          <w:szCs w:val="20"/>
        </w:rPr>
        <w:t>відмови</w:t>
      </w:r>
    </w:p>
    <w:p w14:paraId="224F6883"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2"/>
          <w:sz w:val="20"/>
          <w:szCs w:val="20"/>
        </w:rPr>
        <w:t xml:space="preserve"> </w:t>
      </w:r>
      <w:r w:rsidRPr="000977F7">
        <w:rPr>
          <w:rFonts w:asciiTheme="majorHAnsi" w:hAnsiTheme="majorHAnsi"/>
          <w:i/>
          <w:sz w:val="20"/>
          <w:szCs w:val="20"/>
        </w:rPr>
        <w:t>2860</w:t>
      </w:r>
      <w:r w:rsidRPr="000977F7">
        <w:rPr>
          <w:rFonts w:asciiTheme="majorHAnsi" w:hAnsiTheme="majorHAnsi"/>
          <w:i/>
          <w:spacing w:val="14"/>
          <w:sz w:val="20"/>
          <w:szCs w:val="20"/>
        </w:rPr>
        <w:t xml:space="preserve"> </w:t>
      </w:r>
      <w:r w:rsidRPr="000977F7">
        <w:rPr>
          <w:rFonts w:asciiTheme="majorHAnsi" w:hAnsiTheme="majorHAnsi"/>
          <w:i/>
          <w:sz w:val="20"/>
          <w:szCs w:val="20"/>
        </w:rPr>
        <w:t>–</w:t>
      </w:r>
      <w:r w:rsidRPr="000977F7">
        <w:rPr>
          <w:rFonts w:asciiTheme="majorHAnsi" w:hAnsiTheme="majorHAnsi"/>
          <w:i/>
          <w:spacing w:val="13"/>
          <w:sz w:val="20"/>
          <w:szCs w:val="20"/>
        </w:rPr>
        <w:t xml:space="preserve"> </w:t>
      </w:r>
      <w:r w:rsidRPr="000977F7">
        <w:rPr>
          <w:rFonts w:asciiTheme="majorHAnsi" w:hAnsiTheme="majorHAnsi"/>
          <w:i/>
          <w:sz w:val="20"/>
          <w:szCs w:val="20"/>
        </w:rPr>
        <w:t>94</w:t>
      </w:r>
      <w:bookmarkStart w:id="140" w:name="_Hlk102196355"/>
    </w:p>
    <w:p w14:paraId="5B691FB0"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НЕГОТОВНІСТЬ (СИСТЕМИ) –</w:t>
      </w:r>
    </w:p>
    <w:p w14:paraId="6AF1825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DISABLE</w:t>
      </w:r>
      <w:r w:rsidRPr="000977F7">
        <w:rPr>
          <w:rFonts w:asciiTheme="majorHAnsi" w:hAnsiTheme="majorHAnsi"/>
          <w:spacing w:val="-1"/>
          <w:sz w:val="20"/>
          <w:szCs w:val="20"/>
        </w:rPr>
        <w:t xml:space="preserve"> </w:t>
      </w:r>
      <w:r w:rsidRPr="000977F7">
        <w:rPr>
          <w:rFonts w:asciiTheme="majorHAnsi" w:hAnsiTheme="majorHAnsi"/>
          <w:sz w:val="20"/>
          <w:szCs w:val="20"/>
        </w:rPr>
        <w:t>STАTE</w:t>
      </w:r>
      <w:r w:rsidRPr="000977F7">
        <w:rPr>
          <w:rFonts w:asciiTheme="majorHAnsi" w:hAnsiTheme="majorHAnsi"/>
          <w:spacing w:val="2"/>
          <w:sz w:val="20"/>
          <w:szCs w:val="20"/>
        </w:rPr>
        <w:t xml:space="preserve"> </w:t>
      </w:r>
      <w:r w:rsidRPr="000977F7">
        <w:rPr>
          <w:rFonts w:asciiTheme="majorHAnsi" w:hAnsiTheme="majorHAnsi"/>
          <w:sz w:val="20"/>
          <w:szCs w:val="20"/>
        </w:rPr>
        <w:t>–</w:t>
      </w:r>
    </w:p>
    <w:bookmarkEnd w:id="140"/>
    <w:p w14:paraId="4E21666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 об’єкта в якому він нездатний виконувати потрібну</w:t>
      </w:r>
      <w:r w:rsidRPr="000977F7">
        <w:rPr>
          <w:rFonts w:asciiTheme="majorHAnsi" w:hAnsiTheme="majorHAnsi"/>
          <w:spacing w:val="-2"/>
          <w:sz w:val="20"/>
          <w:szCs w:val="20"/>
        </w:rPr>
        <w:t xml:space="preserve"> </w:t>
      </w:r>
      <w:r w:rsidRPr="000977F7">
        <w:rPr>
          <w:rFonts w:asciiTheme="majorHAnsi" w:hAnsiTheme="majorHAnsi"/>
          <w:sz w:val="20"/>
          <w:szCs w:val="20"/>
        </w:rPr>
        <w:t>функцію</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будь –</w:t>
      </w:r>
      <w:r w:rsidRPr="000977F7">
        <w:rPr>
          <w:rFonts w:asciiTheme="majorHAnsi" w:hAnsiTheme="majorHAnsi"/>
          <w:spacing w:val="1"/>
          <w:sz w:val="20"/>
          <w:szCs w:val="20"/>
        </w:rPr>
        <w:t xml:space="preserve"> </w:t>
      </w:r>
      <w:r w:rsidRPr="000977F7">
        <w:rPr>
          <w:rFonts w:asciiTheme="majorHAnsi" w:hAnsiTheme="majorHAnsi"/>
          <w:sz w:val="20"/>
          <w:szCs w:val="20"/>
        </w:rPr>
        <w:t>якої</w:t>
      </w:r>
      <w:r w:rsidRPr="000977F7">
        <w:rPr>
          <w:rFonts w:asciiTheme="majorHAnsi" w:hAnsiTheme="majorHAnsi"/>
          <w:spacing w:val="-1"/>
          <w:sz w:val="20"/>
          <w:szCs w:val="20"/>
        </w:rPr>
        <w:t xml:space="preserve"> </w:t>
      </w:r>
      <w:r w:rsidRPr="000977F7">
        <w:rPr>
          <w:rFonts w:asciiTheme="majorHAnsi" w:hAnsiTheme="majorHAnsi"/>
          <w:sz w:val="20"/>
          <w:szCs w:val="20"/>
        </w:rPr>
        <w:t>причини</w:t>
      </w:r>
    </w:p>
    <w:p w14:paraId="72620C0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ISO/IEC</w:t>
      </w:r>
      <w:r w:rsidRPr="000977F7">
        <w:rPr>
          <w:rFonts w:asciiTheme="majorHAnsi" w:hAnsiTheme="majorHAnsi"/>
          <w:i/>
          <w:spacing w:val="-4"/>
          <w:sz w:val="20"/>
          <w:szCs w:val="20"/>
        </w:rPr>
        <w:t xml:space="preserve"> </w:t>
      </w:r>
      <w:r w:rsidRPr="000977F7">
        <w:rPr>
          <w:rFonts w:asciiTheme="majorHAnsi" w:hAnsiTheme="majorHAnsi"/>
          <w:i/>
          <w:sz w:val="20"/>
          <w:szCs w:val="20"/>
        </w:rPr>
        <w:t>2382:2017</w:t>
      </w:r>
    </w:p>
    <w:p w14:paraId="3674527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НЕДІЄЗДАТНІСТЬ;</w:t>
      </w:r>
      <w:r w:rsidRPr="000977F7">
        <w:rPr>
          <w:color w:val="auto"/>
          <w:spacing w:val="-4"/>
          <w:sz w:val="20"/>
          <w:szCs w:val="20"/>
        </w:rPr>
        <w:t xml:space="preserve"> </w:t>
      </w:r>
      <w:r w:rsidRPr="000977F7">
        <w:rPr>
          <w:color w:val="auto"/>
          <w:sz w:val="20"/>
          <w:szCs w:val="20"/>
        </w:rPr>
        <w:t>ПРОСТІЙ</w:t>
      </w:r>
      <w:r w:rsidRPr="000977F7">
        <w:rPr>
          <w:color w:val="auto"/>
          <w:spacing w:val="-2"/>
          <w:sz w:val="20"/>
          <w:szCs w:val="20"/>
        </w:rPr>
        <w:t xml:space="preserve"> </w:t>
      </w:r>
      <w:r w:rsidRPr="000977F7">
        <w:rPr>
          <w:color w:val="auto"/>
          <w:sz w:val="20"/>
          <w:szCs w:val="20"/>
        </w:rPr>
        <w:t>–</w:t>
      </w:r>
    </w:p>
    <w:p w14:paraId="278D7F9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NON</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 xml:space="preserve">– </w:t>
      </w:r>
      <w:r w:rsidRPr="000977F7">
        <w:rPr>
          <w:rFonts w:asciiTheme="majorHAnsi" w:hAnsiTheme="majorHAnsi"/>
          <w:sz w:val="20"/>
          <w:szCs w:val="20"/>
        </w:rPr>
        <w:t>OPERATING</w:t>
      </w:r>
      <w:r w:rsidRPr="004D2D14">
        <w:rPr>
          <w:rFonts w:asciiTheme="majorHAnsi" w:hAnsiTheme="majorHAnsi"/>
          <w:spacing w:val="-1"/>
          <w:sz w:val="20"/>
          <w:szCs w:val="20"/>
          <w:lang w:val="uk-UA"/>
        </w:rPr>
        <w:t xml:space="preserve"> </w:t>
      </w:r>
      <w:r w:rsidRPr="000977F7">
        <w:rPr>
          <w:rFonts w:asciiTheme="majorHAnsi" w:hAnsiTheme="majorHAnsi"/>
          <w:sz w:val="20"/>
          <w:szCs w:val="20"/>
        </w:rPr>
        <w:t>STATE</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7A65B40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lastRenderedPageBreak/>
        <w:t>Стан об’єкта, в якому він не виконує потрібну функцію</w:t>
      </w:r>
    </w:p>
    <w:p w14:paraId="2AB946E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 94</w:t>
      </w:r>
    </w:p>
    <w:p w14:paraId="20E16F8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НЕДОДЕРЖАННЯ</w:t>
      </w:r>
      <w:r w:rsidRPr="000977F7">
        <w:rPr>
          <w:color w:val="auto"/>
          <w:spacing w:val="1"/>
          <w:sz w:val="20"/>
          <w:szCs w:val="20"/>
        </w:rPr>
        <w:t xml:space="preserve"> </w:t>
      </w:r>
      <w:r w:rsidRPr="000977F7">
        <w:rPr>
          <w:color w:val="auto"/>
          <w:sz w:val="20"/>
          <w:szCs w:val="20"/>
        </w:rPr>
        <w:t>СТАНДАРТІВ</w:t>
      </w:r>
      <w:r w:rsidRPr="000977F7">
        <w:rPr>
          <w:color w:val="auto"/>
          <w:spacing w:val="1"/>
          <w:sz w:val="20"/>
          <w:szCs w:val="20"/>
        </w:rPr>
        <w:t xml:space="preserve"> </w:t>
      </w:r>
      <w:r w:rsidRPr="000977F7">
        <w:rPr>
          <w:color w:val="auto"/>
          <w:sz w:val="20"/>
          <w:szCs w:val="20"/>
        </w:rPr>
        <w:t>ПРИ</w:t>
      </w:r>
      <w:r w:rsidRPr="000977F7">
        <w:rPr>
          <w:color w:val="auto"/>
          <w:spacing w:val="1"/>
          <w:sz w:val="20"/>
          <w:szCs w:val="20"/>
        </w:rPr>
        <w:t xml:space="preserve"> </w:t>
      </w:r>
      <w:r w:rsidRPr="000977F7">
        <w:rPr>
          <w:color w:val="auto"/>
          <w:sz w:val="20"/>
          <w:szCs w:val="20"/>
        </w:rPr>
        <w:t>ТРАНСПОРТУВАННІ, ЗБЕРІГАННІ І ВИКОРИСТАННІ</w:t>
      </w:r>
      <w:r w:rsidRPr="000977F7">
        <w:rPr>
          <w:color w:val="auto"/>
          <w:spacing w:val="1"/>
          <w:sz w:val="20"/>
          <w:szCs w:val="20"/>
        </w:rPr>
        <w:t xml:space="preserve"> </w:t>
      </w:r>
      <w:r w:rsidRPr="000977F7">
        <w:rPr>
          <w:color w:val="auto"/>
          <w:sz w:val="20"/>
          <w:szCs w:val="20"/>
        </w:rPr>
        <w:t>ПРОДУКЦІЇ</w:t>
      </w:r>
      <w:r w:rsidRPr="000977F7">
        <w:rPr>
          <w:color w:val="auto"/>
          <w:spacing w:val="-4"/>
          <w:sz w:val="20"/>
          <w:szCs w:val="20"/>
        </w:rPr>
        <w:t xml:space="preserve"> </w:t>
      </w:r>
      <w:r w:rsidRPr="000977F7">
        <w:rPr>
          <w:color w:val="auto"/>
          <w:sz w:val="20"/>
          <w:szCs w:val="20"/>
        </w:rPr>
        <w:t>(КРІМ</w:t>
      </w:r>
      <w:r w:rsidRPr="000977F7">
        <w:rPr>
          <w:color w:val="auto"/>
          <w:spacing w:val="2"/>
          <w:sz w:val="20"/>
          <w:szCs w:val="20"/>
        </w:rPr>
        <w:t xml:space="preserve"> </w:t>
      </w:r>
      <w:r w:rsidRPr="000977F7">
        <w:rPr>
          <w:color w:val="auto"/>
          <w:sz w:val="20"/>
          <w:szCs w:val="20"/>
        </w:rPr>
        <w:t>ХАРЧОВИХ</w:t>
      </w:r>
      <w:r w:rsidRPr="000977F7">
        <w:rPr>
          <w:color w:val="auto"/>
          <w:spacing w:val="-3"/>
          <w:sz w:val="20"/>
          <w:szCs w:val="20"/>
        </w:rPr>
        <w:t xml:space="preserve"> </w:t>
      </w:r>
      <w:r w:rsidRPr="000977F7">
        <w:rPr>
          <w:color w:val="auto"/>
          <w:sz w:val="20"/>
          <w:szCs w:val="20"/>
        </w:rPr>
        <w:t>ПРОДУКТІВ</w:t>
      </w:r>
      <w:r w:rsidRPr="000977F7">
        <w:rPr>
          <w:color w:val="auto"/>
          <w:spacing w:val="4"/>
          <w:sz w:val="20"/>
          <w:szCs w:val="20"/>
        </w:rPr>
        <w:t xml:space="preserve"> </w:t>
      </w:r>
      <w:r w:rsidRPr="000977F7">
        <w:rPr>
          <w:color w:val="auto"/>
          <w:sz w:val="20"/>
          <w:szCs w:val="20"/>
        </w:rPr>
        <w:t>-</w:t>
      </w:r>
    </w:p>
    <w:p w14:paraId="0380213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Недодержання стандартів і технічних умов при транспортуванні, зберіганні і використанні (експлуатації)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 (крім харчових продуктів), якщо це спричинило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зниження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псування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наднормативні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втрати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(крім харчових продуктів),</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тягне за собою накладення штрафу на посадових осіб</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від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трьох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сорока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неоподатковуваних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мінімумів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доходів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громадян.</w:t>
      </w:r>
    </w:p>
    <w:p w14:paraId="658774B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170 Кодексу України про адміністративні порушення</w:t>
      </w:r>
    </w:p>
    <w:p w14:paraId="1895E86D"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b/>
          <w:bCs/>
          <w:sz w:val="20"/>
          <w:szCs w:val="20"/>
          <w:lang w:eastAsia="ru-RU"/>
        </w:rPr>
      </w:pPr>
      <w:r w:rsidRPr="000977F7">
        <w:rPr>
          <w:rFonts w:asciiTheme="majorHAnsi" w:hAnsiTheme="majorHAnsi"/>
          <w:b/>
          <w:bCs/>
          <w:sz w:val="20"/>
          <w:szCs w:val="20"/>
          <w:lang w:eastAsia="ru-RU"/>
        </w:rPr>
        <w:t>НЕДОЛІК –</w:t>
      </w:r>
    </w:p>
    <w:p w14:paraId="4A0263CE"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Будь-яка невідповідність продукції вимогам нормативно-правових актів, умовам договорів або вимогам, що пред'являються до неї, а також інформації про продукцію, наданій виробником (виконавцем, продавцем)</w:t>
      </w:r>
    </w:p>
    <w:p w14:paraId="58BBB73E"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Закон України "Про захист прав споживачів"</w:t>
      </w:r>
    </w:p>
    <w:p w14:paraId="3471A475"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НЕДОСТУПНИЙ ЧАС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06BEFBA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UNAVAILABLE</w:t>
      </w:r>
      <w:r w:rsidRPr="000977F7">
        <w:rPr>
          <w:rFonts w:asciiTheme="majorHAnsi" w:hAnsiTheme="majorHAnsi"/>
          <w:spacing w:val="-2"/>
          <w:sz w:val="20"/>
          <w:szCs w:val="20"/>
        </w:rPr>
        <w:t xml:space="preserve"> </w:t>
      </w:r>
      <w:r w:rsidRPr="000977F7">
        <w:rPr>
          <w:rFonts w:asciiTheme="majorHAnsi" w:hAnsiTheme="majorHAnsi"/>
          <w:sz w:val="20"/>
          <w:szCs w:val="20"/>
        </w:rPr>
        <w:t>TIME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67C97675"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точки</w:t>
      </w:r>
      <w:r w:rsidRPr="000977F7">
        <w:rPr>
          <w:rFonts w:asciiTheme="majorHAnsi" w:hAnsiTheme="majorHAnsi"/>
          <w:spacing w:val="1"/>
          <w:sz w:val="20"/>
          <w:szCs w:val="20"/>
        </w:rPr>
        <w:t xml:space="preserve"> </w:t>
      </w:r>
      <w:r w:rsidRPr="000977F7">
        <w:rPr>
          <w:rFonts w:asciiTheme="majorHAnsi" w:hAnsiTheme="majorHAnsi"/>
          <w:sz w:val="20"/>
          <w:szCs w:val="20"/>
        </w:rPr>
        <w:t>зору користувача</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це</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протягом</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47"/>
          <w:sz w:val="20"/>
          <w:szCs w:val="20"/>
        </w:rPr>
        <w:t xml:space="preserve"> </w:t>
      </w:r>
      <w:r w:rsidRPr="000977F7">
        <w:rPr>
          <w:rFonts w:asciiTheme="majorHAnsi" w:hAnsiTheme="majorHAnsi"/>
          <w:sz w:val="20"/>
          <w:szCs w:val="20"/>
        </w:rPr>
        <w:t>функціональний блок не може використовуватися</w:t>
      </w:r>
      <w:r w:rsidRPr="000977F7">
        <w:rPr>
          <w:rFonts w:asciiTheme="majorHAnsi" w:hAnsiTheme="majorHAnsi"/>
          <w:spacing w:val="1"/>
          <w:sz w:val="20"/>
          <w:szCs w:val="20"/>
        </w:rPr>
        <w:t xml:space="preserve"> </w:t>
      </w:r>
    </w:p>
    <w:p w14:paraId="36D24E35"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shd w:val="clear" w:color="auto" w:fill="FFFFFF"/>
        </w:rPr>
      </w:pPr>
      <w:r w:rsidRPr="000977F7">
        <w:rPr>
          <w:rFonts w:asciiTheme="majorHAnsi" w:hAnsiTheme="majorHAnsi"/>
          <w:b/>
          <w:bCs/>
          <w:sz w:val="20"/>
          <w:szCs w:val="20"/>
          <w:shd w:val="clear" w:color="auto" w:fill="FFFFFF"/>
        </w:rPr>
        <w:t>НЕЗАВЕРШЕНА МАШИНА –</w:t>
      </w:r>
    </w:p>
    <w:p w14:paraId="3D0F09B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shd w:val="clear" w:color="auto" w:fill="FFFFFF"/>
        </w:rPr>
        <w:t>Сукупність вузлів, яка є майже машиною, але самостійно не може виконувати конкретну функцію. Система приводу машини є незавершеною машиною. Незавершена машина призначена тільки для вбудовування або з’єднання з іншою машиною або з іншою незавершеною машиною чи устаткуванням, разом утворюючи машину, на яку поширюється дія цього Технічного регламенту;</w:t>
      </w:r>
    </w:p>
    <w:p w14:paraId="04F48FBF"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безпеки машин</w:t>
      </w:r>
    </w:p>
    <w:p w14:paraId="353B32D5"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НЕЗАЛЕЖНА</w:t>
      </w:r>
      <w:r w:rsidRPr="000977F7">
        <w:rPr>
          <w:rFonts w:asciiTheme="majorHAnsi" w:hAnsiTheme="majorHAnsi"/>
          <w:b/>
          <w:spacing w:val="-1"/>
          <w:sz w:val="20"/>
          <w:szCs w:val="20"/>
        </w:rPr>
        <w:t xml:space="preserve"> </w:t>
      </w:r>
      <w:r w:rsidRPr="000977F7">
        <w:rPr>
          <w:rFonts w:asciiTheme="majorHAnsi" w:hAnsiTheme="majorHAnsi"/>
          <w:b/>
          <w:sz w:val="20"/>
          <w:szCs w:val="20"/>
        </w:rPr>
        <w:t>ВІДМОВА –</w:t>
      </w:r>
    </w:p>
    <w:p w14:paraId="3B19E1C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PRIMARY</w:t>
      </w:r>
      <w:r w:rsidRPr="000977F7">
        <w:rPr>
          <w:rFonts w:asciiTheme="majorHAnsi" w:hAnsiTheme="majorHAnsi"/>
          <w:spacing w:val="-3"/>
          <w:sz w:val="20"/>
          <w:szCs w:val="20"/>
        </w:rPr>
        <w:t xml:space="preserve"> </w:t>
      </w:r>
      <w:r w:rsidRPr="000977F7">
        <w:rPr>
          <w:rFonts w:asciiTheme="majorHAnsi" w:hAnsiTheme="majorHAnsi"/>
          <w:sz w:val="20"/>
          <w:szCs w:val="20"/>
        </w:rPr>
        <w:t>FAILURE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AF8802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спричинена</w:t>
      </w:r>
      <w:r w:rsidRPr="000977F7">
        <w:rPr>
          <w:rFonts w:asciiTheme="majorHAnsi" w:hAnsiTheme="majorHAnsi"/>
          <w:spacing w:val="1"/>
          <w:sz w:val="20"/>
          <w:szCs w:val="20"/>
        </w:rPr>
        <w:t xml:space="preserve"> </w:t>
      </w:r>
      <w:r w:rsidRPr="000977F7">
        <w:rPr>
          <w:rFonts w:asciiTheme="majorHAnsi" w:hAnsiTheme="majorHAnsi"/>
          <w:sz w:val="20"/>
          <w:szCs w:val="20"/>
        </w:rPr>
        <w:t>прямо</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непрямо</w:t>
      </w:r>
      <w:r w:rsidRPr="000977F7">
        <w:rPr>
          <w:rFonts w:asciiTheme="majorHAnsi" w:hAnsiTheme="majorHAnsi"/>
          <w:spacing w:val="-47"/>
          <w:sz w:val="20"/>
          <w:szCs w:val="20"/>
        </w:rPr>
        <w:t xml:space="preserve"> </w:t>
      </w:r>
      <w:r w:rsidRPr="000977F7">
        <w:rPr>
          <w:rFonts w:asciiTheme="majorHAnsi" w:hAnsiTheme="majorHAnsi"/>
          <w:sz w:val="20"/>
          <w:szCs w:val="20"/>
        </w:rPr>
        <w:t>відмовою</w:t>
      </w:r>
      <w:r w:rsidRPr="000977F7">
        <w:rPr>
          <w:rFonts w:asciiTheme="majorHAnsi" w:hAnsiTheme="majorHAnsi"/>
          <w:spacing w:val="-1"/>
          <w:sz w:val="20"/>
          <w:szCs w:val="20"/>
        </w:rPr>
        <w:t xml:space="preserve"> </w:t>
      </w:r>
      <w:r w:rsidRPr="000977F7">
        <w:rPr>
          <w:rFonts w:asciiTheme="majorHAnsi" w:hAnsiTheme="majorHAnsi"/>
          <w:sz w:val="20"/>
          <w:szCs w:val="20"/>
        </w:rPr>
        <w:t>або несправністю</w:t>
      </w:r>
      <w:r w:rsidRPr="000977F7">
        <w:rPr>
          <w:rFonts w:asciiTheme="majorHAnsi" w:hAnsiTheme="majorHAnsi"/>
          <w:spacing w:val="1"/>
          <w:sz w:val="20"/>
          <w:szCs w:val="20"/>
        </w:rPr>
        <w:t xml:space="preserve"> </w:t>
      </w:r>
      <w:r w:rsidRPr="000977F7">
        <w:rPr>
          <w:rFonts w:asciiTheme="majorHAnsi" w:hAnsiTheme="majorHAnsi"/>
          <w:sz w:val="20"/>
          <w:szCs w:val="20"/>
        </w:rPr>
        <w:t>іншого об’єкта</w:t>
      </w:r>
    </w:p>
    <w:p w14:paraId="5A59AD6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D5E938D"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НЕЗАХИЩЕНА ОСОБА –</w:t>
      </w:r>
    </w:p>
    <w:p w14:paraId="704F4C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Будь-яка особа, яка повністю або частково перебуває у небезпечній зоні;</w:t>
      </w:r>
    </w:p>
    <w:p w14:paraId="2D279761"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shd w:val="clear" w:color="auto" w:fill="FFFFFF"/>
        </w:rPr>
      </w:pPr>
      <w:r w:rsidRPr="000977F7">
        <w:rPr>
          <w:rFonts w:asciiTheme="majorHAnsi" w:hAnsiTheme="majorHAnsi"/>
          <w:i/>
          <w:iCs/>
          <w:sz w:val="20"/>
          <w:szCs w:val="20"/>
          <w:shd w:val="clear" w:color="auto" w:fill="FFFFFF"/>
        </w:rPr>
        <w:t>Технічний регламент безпеки машин</w:t>
      </w:r>
    </w:p>
    <w:p w14:paraId="62E7298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НЕЗБУРЕНИЙ</w:t>
      </w:r>
      <w:r w:rsidRPr="000977F7">
        <w:rPr>
          <w:color w:val="auto"/>
          <w:spacing w:val="-4"/>
          <w:sz w:val="20"/>
          <w:szCs w:val="20"/>
        </w:rPr>
        <w:t xml:space="preserve"> </w:t>
      </w:r>
      <w:r w:rsidRPr="000977F7">
        <w:rPr>
          <w:color w:val="auto"/>
          <w:sz w:val="20"/>
          <w:szCs w:val="20"/>
        </w:rPr>
        <w:t>ПРОЦЕС-</w:t>
      </w:r>
    </w:p>
    <w:p w14:paraId="5931BA5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NON</w:t>
      </w:r>
      <w:r w:rsidRPr="004D2D14">
        <w:rPr>
          <w:rFonts w:asciiTheme="majorHAnsi" w:hAnsiTheme="majorHAnsi"/>
          <w:sz w:val="20"/>
          <w:szCs w:val="20"/>
          <w:lang w:val="uk-UA"/>
        </w:rPr>
        <w:t>-</w:t>
      </w:r>
      <w:r w:rsidRPr="000977F7">
        <w:rPr>
          <w:rFonts w:asciiTheme="majorHAnsi" w:hAnsiTheme="majorHAnsi"/>
          <w:sz w:val="20"/>
          <w:szCs w:val="20"/>
        </w:rPr>
        <w:t>DISTORBED</w:t>
      </w:r>
      <w:r w:rsidRPr="004D2D14">
        <w:rPr>
          <w:rFonts w:asciiTheme="majorHAnsi" w:hAnsiTheme="majorHAnsi"/>
          <w:spacing w:val="-4"/>
          <w:sz w:val="20"/>
          <w:szCs w:val="20"/>
          <w:lang w:val="uk-UA"/>
        </w:rPr>
        <w:t xml:space="preserve"> </w:t>
      </w:r>
      <w:r w:rsidRPr="000977F7">
        <w:rPr>
          <w:rFonts w:asciiTheme="majorHAnsi" w:hAnsiTheme="majorHAnsi"/>
          <w:sz w:val="20"/>
          <w:szCs w:val="20"/>
        </w:rPr>
        <w:t>PRROCESS</w:t>
      </w:r>
      <w:r w:rsidRPr="004D2D14">
        <w:rPr>
          <w:rFonts w:asciiTheme="majorHAnsi" w:hAnsiTheme="majorHAnsi"/>
          <w:sz w:val="20"/>
          <w:szCs w:val="20"/>
          <w:lang w:val="uk-UA"/>
        </w:rPr>
        <w:t>-</w:t>
      </w:r>
    </w:p>
    <w:p w14:paraId="63C7B88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Процес, що відбувається в об’єкті за відсутності збурювань,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 нього</w:t>
      </w:r>
    </w:p>
    <w:p w14:paraId="7FFF3A6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3956 - 2000</w:t>
      </w:r>
    </w:p>
    <w:p w14:paraId="7D7185EB"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4D2D14">
        <w:rPr>
          <w:rFonts w:asciiTheme="majorHAnsi" w:hAnsiTheme="majorHAnsi"/>
          <w:b/>
          <w:sz w:val="20"/>
          <w:szCs w:val="20"/>
          <w:lang w:val="uk-UA"/>
        </w:rPr>
        <w:t xml:space="preserve">НЕЗНАЧНА ВІДМОВА </w:t>
      </w:r>
      <w:r w:rsidRPr="004D2D14">
        <w:rPr>
          <w:rFonts w:asciiTheme="majorHAnsi" w:hAnsiTheme="majorHAnsi"/>
          <w:sz w:val="20"/>
          <w:szCs w:val="20"/>
          <w:lang w:val="uk-UA"/>
        </w:rPr>
        <w:t>–</w:t>
      </w:r>
    </w:p>
    <w:p w14:paraId="072B813C"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4D2D14">
        <w:rPr>
          <w:rFonts w:asciiTheme="majorHAnsi" w:hAnsiTheme="majorHAnsi"/>
          <w:spacing w:val="-47"/>
          <w:sz w:val="20"/>
          <w:szCs w:val="20"/>
          <w:lang w:val="uk-UA"/>
        </w:rPr>
        <w:t xml:space="preserve"> </w:t>
      </w:r>
      <w:r w:rsidRPr="000977F7">
        <w:rPr>
          <w:rFonts w:asciiTheme="majorHAnsi" w:hAnsiTheme="majorHAnsi"/>
          <w:sz w:val="20"/>
          <w:szCs w:val="20"/>
        </w:rPr>
        <w:t>MINOR</w:t>
      </w:r>
      <w:r w:rsidRPr="004D2D14">
        <w:rPr>
          <w:rFonts w:asciiTheme="majorHAnsi" w:hAnsiTheme="majorHAnsi"/>
          <w:spacing w:val="-2"/>
          <w:sz w:val="20"/>
          <w:szCs w:val="20"/>
          <w:lang w:val="uk-UA"/>
        </w:rPr>
        <w:t xml:space="preserve"> </w:t>
      </w:r>
      <w:r w:rsidRPr="000977F7">
        <w:rPr>
          <w:rFonts w:asciiTheme="majorHAnsi" w:hAnsiTheme="majorHAnsi"/>
          <w:sz w:val="20"/>
          <w:szCs w:val="20"/>
        </w:rPr>
        <w:t>FAILURE</w:t>
      </w:r>
      <w:r w:rsidRPr="004D2D14">
        <w:rPr>
          <w:rFonts w:asciiTheme="majorHAnsi" w:hAnsiTheme="majorHAnsi"/>
          <w:sz w:val="20"/>
          <w:szCs w:val="20"/>
          <w:lang w:val="uk-UA"/>
        </w:rPr>
        <w:t xml:space="preserve"> –</w:t>
      </w:r>
    </w:p>
    <w:p w14:paraId="2B098DD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Відмова, яка не є критичною і не знижує здатності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більш складного виробу виконувати потрібну функцію</w:t>
      </w:r>
    </w:p>
    <w:p w14:paraId="2892A5E1" w14:textId="77777777" w:rsidR="0097612F" w:rsidRPr="004D2D14" w:rsidRDefault="0097612F" w:rsidP="000977F7">
      <w:pPr>
        <w:tabs>
          <w:tab w:val="left" w:pos="284"/>
        </w:tabs>
        <w:spacing w:after="0" w:line="240" w:lineRule="auto"/>
        <w:ind w:left="170"/>
        <w:mirrorIndents/>
        <w:jc w:val="both"/>
        <w:rPr>
          <w:rFonts w:asciiTheme="majorHAnsi" w:hAnsiTheme="majorHAnsi"/>
          <w:spacing w:val="-47"/>
          <w:sz w:val="20"/>
          <w:szCs w:val="20"/>
          <w:lang w:val="uk-UA"/>
        </w:rPr>
      </w:pPr>
      <w:r w:rsidRPr="004D2D14">
        <w:rPr>
          <w:rFonts w:asciiTheme="majorHAnsi" w:hAnsiTheme="majorHAnsi"/>
          <w:b/>
          <w:sz w:val="20"/>
          <w:szCs w:val="20"/>
          <w:lang w:val="uk-UA"/>
        </w:rPr>
        <w:t xml:space="preserve">НЕЗНАЧНА НЕСПРАВНІСТЬ </w:t>
      </w:r>
      <w:r w:rsidRPr="004D2D14">
        <w:rPr>
          <w:rFonts w:asciiTheme="majorHAnsi" w:hAnsiTheme="majorHAnsi"/>
          <w:sz w:val="20"/>
          <w:szCs w:val="20"/>
          <w:lang w:val="uk-UA"/>
        </w:rPr>
        <w:t>–</w:t>
      </w:r>
      <w:r w:rsidRPr="004D2D14">
        <w:rPr>
          <w:rFonts w:asciiTheme="majorHAnsi" w:hAnsiTheme="majorHAnsi"/>
          <w:spacing w:val="-47"/>
          <w:sz w:val="20"/>
          <w:szCs w:val="20"/>
          <w:lang w:val="uk-UA"/>
        </w:rPr>
        <w:t xml:space="preserve"> </w:t>
      </w:r>
    </w:p>
    <w:p w14:paraId="1CF2747E"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0977F7">
        <w:rPr>
          <w:rFonts w:asciiTheme="majorHAnsi" w:hAnsiTheme="majorHAnsi"/>
          <w:sz w:val="20"/>
          <w:szCs w:val="20"/>
        </w:rPr>
        <w:t>MINOR</w:t>
      </w:r>
      <w:r w:rsidRPr="004D2D14">
        <w:rPr>
          <w:rFonts w:asciiTheme="majorHAnsi" w:hAnsiTheme="majorHAnsi"/>
          <w:spacing w:val="-2"/>
          <w:sz w:val="20"/>
          <w:szCs w:val="20"/>
          <w:lang w:val="uk-UA"/>
        </w:rPr>
        <w:t xml:space="preserve"> </w:t>
      </w:r>
      <w:r w:rsidRPr="000977F7">
        <w:rPr>
          <w:rFonts w:asciiTheme="majorHAnsi" w:hAnsiTheme="majorHAnsi"/>
          <w:sz w:val="20"/>
          <w:szCs w:val="20"/>
        </w:rPr>
        <w:t>FAULT</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w:t>
      </w:r>
    </w:p>
    <w:p w14:paraId="1C6BD1C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Несправність,</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не</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порушує</w:t>
      </w:r>
      <w:r w:rsidRPr="004D2D14">
        <w:rPr>
          <w:rFonts w:asciiTheme="majorHAnsi" w:hAnsiTheme="majorHAnsi"/>
          <w:spacing w:val="13"/>
          <w:sz w:val="20"/>
          <w:szCs w:val="20"/>
          <w:lang w:val="uk-UA"/>
        </w:rPr>
        <w:t xml:space="preserve"> </w:t>
      </w:r>
      <w:r w:rsidRPr="004D2D14">
        <w:rPr>
          <w:rFonts w:asciiTheme="majorHAnsi" w:hAnsiTheme="majorHAnsi"/>
          <w:sz w:val="20"/>
          <w:szCs w:val="20"/>
          <w:lang w:val="uk-UA"/>
        </w:rPr>
        <w:t>жодної</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потрібних</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функцій</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об’єкта</w:t>
      </w:r>
    </w:p>
    <w:p w14:paraId="6F5A93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0DE82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Дефект</w:t>
      </w:r>
      <w:r w:rsidRPr="000977F7">
        <w:rPr>
          <w:rFonts w:asciiTheme="majorHAnsi" w:hAnsiTheme="majorHAnsi"/>
          <w:spacing w:val="27"/>
          <w:sz w:val="20"/>
          <w:szCs w:val="20"/>
        </w:rPr>
        <w:t xml:space="preserve"> </w:t>
      </w:r>
      <w:r w:rsidRPr="000977F7">
        <w:rPr>
          <w:rFonts w:asciiTheme="majorHAnsi" w:hAnsiTheme="majorHAnsi"/>
          <w:sz w:val="20"/>
          <w:szCs w:val="20"/>
        </w:rPr>
        <w:t>чи</w:t>
      </w:r>
      <w:r w:rsidRPr="000977F7">
        <w:rPr>
          <w:rFonts w:asciiTheme="majorHAnsi" w:hAnsiTheme="majorHAnsi"/>
          <w:spacing w:val="27"/>
          <w:sz w:val="20"/>
          <w:szCs w:val="20"/>
        </w:rPr>
        <w:t xml:space="preserve"> </w:t>
      </w:r>
      <w:r w:rsidRPr="000977F7">
        <w:rPr>
          <w:rFonts w:asciiTheme="majorHAnsi" w:hAnsiTheme="majorHAnsi"/>
          <w:sz w:val="20"/>
          <w:szCs w:val="20"/>
        </w:rPr>
        <w:t>несправність,</w:t>
      </w:r>
      <w:r w:rsidRPr="000977F7">
        <w:rPr>
          <w:rFonts w:asciiTheme="majorHAnsi" w:hAnsiTheme="majorHAnsi"/>
          <w:spacing w:val="29"/>
          <w:sz w:val="20"/>
          <w:szCs w:val="20"/>
        </w:rPr>
        <w:t xml:space="preserve"> </w:t>
      </w:r>
      <w:r w:rsidRPr="000977F7">
        <w:rPr>
          <w:rFonts w:asciiTheme="majorHAnsi" w:hAnsiTheme="majorHAnsi"/>
          <w:sz w:val="20"/>
          <w:szCs w:val="20"/>
        </w:rPr>
        <w:t>викликані</w:t>
      </w:r>
      <w:r w:rsidRPr="000977F7">
        <w:rPr>
          <w:rFonts w:asciiTheme="majorHAnsi" w:hAnsiTheme="majorHAnsi"/>
          <w:spacing w:val="28"/>
          <w:sz w:val="20"/>
          <w:szCs w:val="20"/>
        </w:rPr>
        <w:t xml:space="preserve"> </w:t>
      </w:r>
      <w:r w:rsidRPr="000977F7">
        <w:rPr>
          <w:rFonts w:asciiTheme="majorHAnsi" w:hAnsiTheme="majorHAnsi"/>
          <w:sz w:val="20"/>
          <w:szCs w:val="20"/>
        </w:rPr>
        <w:t>порушенням</w:t>
      </w:r>
      <w:r w:rsidRPr="000977F7">
        <w:rPr>
          <w:rFonts w:asciiTheme="majorHAnsi" w:hAnsiTheme="majorHAnsi"/>
          <w:spacing w:val="9"/>
          <w:sz w:val="20"/>
          <w:szCs w:val="20"/>
        </w:rPr>
        <w:t xml:space="preserve"> </w:t>
      </w:r>
      <w:r w:rsidRPr="000977F7">
        <w:rPr>
          <w:rFonts w:asciiTheme="majorHAnsi" w:hAnsiTheme="majorHAnsi"/>
          <w:sz w:val="20"/>
          <w:szCs w:val="20"/>
        </w:rPr>
        <w:t>допоміжної</w:t>
      </w:r>
      <w:r w:rsidRPr="000977F7">
        <w:rPr>
          <w:rFonts w:asciiTheme="majorHAnsi" w:hAnsiTheme="majorHAnsi"/>
          <w:spacing w:val="-2"/>
          <w:sz w:val="20"/>
          <w:szCs w:val="20"/>
        </w:rPr>
        <w:t xml:space="preserve"> </w:t>
      </w:r>
      <w:r w:rsidRPr="000977F7">
        <w:rPr>
          <w:rFonts w:asciiTheme="majorHAnsi" w:hAnsiTheme="majorHAnsi"/>
          <w:sz w:val="20"/>
          <w:szCs w:val="20"/>
        </w:rPr>
        <w:t>функції</w:t>
      </w:r>
      <w:r w:rsidRPr="000977F7">
        <w:rPr>
          <w:rFonts w:asciiTheme="majorHAnsi" w:hAnsiTheme="majorHAnsi"/>
          <w:spacing w:val="-1"/>
          <w:sz w:val="20"/>
          <w:szCs w:val="20"/>
        </w:rPr>
        <w:t xml:space="preserve"> </w:t>
      </w:r>
      <w:r w:rsidRPr="000977F7">
        <w:rPr>
          <w:rFonts w:asciiTheme="majorHAnsi" w:hAnsiTheme="majorHAnsi"/>
          <w:sz w:val="20"/>
          <w:szCs w:val="20"/>
        </w:rPr>
        <w:t>внаслідок ушкодження</w:t>
      </w:r>
    </w:p>
    <w:p w14:paraId="733C4C2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B42659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НЕЗРУЙНОВАНИЙ</w:t>
      </w:r>
      <w:r w:rsidRPr="000977F7">
        <w:rPr>
          <w:color w:val="auto"/>
          <w:spacing w:val="-3"/>
          <w:sz w:val="20"/>
          <w:szCs w:val="20"/>
        </w:rPr>
        <w:t xml:space="preserve"> </w:t>
      </w:r>
      <w:r w:rsidRPr="000977F7">
        <w:rPr>
          <w:color w:val="auto"/>
          <w:sz w:val="20"/>
          <w:szCs w:val="20"/>
        </w:rPr>
        <w:t>ЗРАЗОК</w:t>
      </w:r>
      <w:r w:rsidRPr="000977F7">
        <w:rPr>
          <w:color w:val="auto"/>
          <w:spacing w:val="-2"/>
          <w:sz w:val="20"/>
          <w:szCs w:val="20"/>
        </w:rPr>
        <w:t xml:space="preserve"> </w:t>
      </w:r>
      <w:r w:rsidRPr="000977F7">
        <w:rPr>
          <w:color w:val="auto"/>
          <w:sz w:val="20"/>
          <w:szCs w:val="20"/>
        </w:rPr>
        <w:t>–</w:t>
      </w:r>
    </w:p>
    <w:p w14:paraId="6D40F7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UNBROKEN</w:t>
      </w:r>
      <w:r w:rsidRPr="000977F7">
        <w:rPr>
          <w:rFonts w:asciiTheme="majorHAnsi" w:hAnsiTheme="majorHAnsi"/>
          <w:spacing w:val="-2"/>
          <w:sz w:val="20"/>
          <w:szCs w:val="20"/>
        </w:rPr>
        <w:t xml:space="preserve"> </w:t>
      </w:r>
      <w:r w:rsidRPr="000977F7">
        <w:rPr>
          <w:rFonts w:asciiTheme="majorHAnsi" w:hAnsiTheme="majorHAnsi"/>
          <w:sz w:val="20"/>
          <w:szCs w:val="20"/>
        </w:rPr>
        <w:t>TEST</w:t>
      </w:r>
      <w:r w:rsidRPr="000977F7">
        <w:rPr>
          <w:rFonts w:asciiTheme="majorHAnsi" w:hAnsiTheme="majorHAnsi"/>
          <w:spacing w:val="-1"/>
          <w:sz w:val="20"/>
          <w:szCs w:val="20"/>
        </w:rPr>
        <w:t xml:space="preserve"> </w:t>
      </w:r>
      <w:r w:rsidRPr="000977F7">
        <w:rPr>
          <w:rFonts w:asciiTheme="majorHAnsi" w:hAnsiTheme="majorHAnsi"/>
          <w:sz w:val="20"/>
          <w:szCs w:val="20"/>
        </w:rPr>
        <w:t>PIECE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0583E2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Зразок,</w:t>
      </w:r>
      <w:r w:rsidRPr="000977F7">
        <w:rPr>
          <w:rFonts w:asciiTheme="majorHAnsi" w:hAnsiTheme="majorHAnsi"/>
          <w:spacing w:val="19"/>
          <w:sz w:val="20"/>
          <w:szCs w:val="20"/>
        </w:rPr>
        <w:t xml:space="preserve"> </w:t>
      </w:r>
      <w:r w:rsidRPr="000977F7">
        <w:rPr>
          <w:rFonts w:asciiTheme="majorHAnsi" w:hAnsiTheme="majorHAnsi"/>
          <w:sz w:val="20"/>
          <w:szCs w:val="20"/>
        </w:rPr>
        <w:t>циклічна</w:t>
      </w:r>
      <w:r w:rsidRPr="000977F7">
        <w:rPr>
          <w:rFonts w:asciiTheme="majorHAnsi" w:hAnsiTheme="majorHAnsi"/>
          <w:spacing w:val="20"/>
          <w:sz w:val="20"/>
          <w:szCs w:val="20"/>
        </w:rPr>
        <w:t xml:space="preserve"> </w:t>
      </w:r>
      <w:r w:rsidRPr="000977F7">
        <w:rPr>
          <w:rFonts w:asciiTheme="majorHAnsi" w:hAnsiTheme="majorHAnsi"/>
          <w:sz w:val="20"/>
          <w:szCs w:val="20"/>
        </w:rPr>
        <w:t>довговічність</w:t>
      </w:r>
      <w:r w:rsidRPr="000977F7">
        <w:rPr>
          <w:rFonts w:asciiTheme="majorHAnsi" w:hAnsiTheme="majorHAnsi"/>
          <w:spacing w:val="20"/>
          <w:sz w:val="20"/>
          <w:szCs w:val="20"/>
        </w:rPr>
        <w:t xml:space="preserve"> </w:t>
      </w:r>
      <w:r w:rsidRPr="000977F7">
        <w:rPr>
          <w:rFonts w:asciiTheme="majorHAnsi" w:hAnsiTheme="majorHAnsi"/>
          <w:sz w:val="20"/>
          <w:szCs w:val="20"/>
        </w:rPr>
        <w:t>якого</w:t>
      </w:r>
      <w:r w:rsidRPr="000977F7">
        <w:rPr>
          <w:rFonts w:asciiTheme="majorHAnsi" w:hAnsiTheme="majorHAnsi"/>
          <w:spacing w:val="20"/>
          <w:sz w:val="20"/>
          <w:szCs w:val="20"/>
        </w:rPr>
        <w:t xml:space="preserve"> </w:t>
      </w:r>
      <w:r w:rsidRPr="000977F7">
        <w:rPr>
          <w:rFonts w:asciiTheme="majorHAnsi" w:hAnsiTheme="majorHAnsi"/>
          <w:sz w:val="20"/>
          <w:szCs w:val="20"/>
        </w:rPr>
        <w:t>перевищує</w:t>
      </w:r>
      <w:r w:rsidRPr="000977F7">
        <w:rPr>
          <w:rFonts w:asciiTheme="majorHAnsi" w:hAnsiTheme="majorHAnsi"/>
          <w:spacing w:val="23"/>
          <w:sz w:val="20"/>
          <w:szCs w:val="20"/>
        </w:rPr>
        <w:t xml:space="preserve"> </w:t>
      </w:r>
      <w:r w:rsidRPr="000977F7">
        <w:rPr>
          <w:rFonts w:asciiTheme="majorHAnsi" w:hAnsiTheme="majorHAnsi"/>
          <w:sz w:val="20"/>
          <w:szCs w:val="20"/>
        </w:rPr>
        <w:t>базу</w:t>
      </w:r>
      <w:r w:rsidRPr="000977F7">
        <w:rPr>
          <w:rFonts w:asciiTheme="majorHAnsi" w:hAnsiTheme="majorHAnsi"/>
          <w:spacing w:val="-47"/>
          <w:sz w:val="20"/>
          <w:szCs w:val="20"/>
        </w:rPr>
        <w:t xml:space="preserve"> </w:t>
      </w:r>
      <w:r w:rsidRPr="000977F7">
        <w:rPr>
          <w:rFonts w:asciiTheme="majorHAnsi" w:hAnsiTheme="majorHAnsi"/>
          <w:sz w:val="20"/>
          <w:szCs w:val="20"/>
        </w:rPr>
        <w:t>випробування</w:t>
      </w:r>
    </w:p>
    <w:p w14:paraId="0455949F"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2444 - 94</w:t>
      </w:r>
      <w:bookmarkStart w:id="141" w:name="_Hlk101075472"/>
    </w:p>
    <w:p w14:paraId="623356A0"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НЕІНТЕРФЕЙСНИЙ</w:t>
      </w:r>
      <w:r w:rsidRPr="004D2D14">
        <w:rPr>
          <w:rFonts w:asciiTheme="majorHAnsi" w:hAnsiTheme="majorHAnsi"/>
          <w:b/>
          <w:sz w:val="20"/>
          <w:szCs w:val="20"/>
          <w:lang w:val="en-US"/>
        </w:rPr>
        <w:t xml:space="preserve"> </w:t>
      </w:r>
      <w:r w:rsidRPr="000977F7">
        <w:rPr>
          <w:rFonts w:asciiTheme="majorHAnsi" w:hAnsiTheme="majorHAnsi"/>
          <w:b/>
          <w:sz w:val="20"/>
          <w:szCs w:val="20"/>
        </w:rPr>
        <w:t>СИГНАЛ</w:t>
      </w:r>
      <w:r w:rsidRPr="004D2D14">
        <w:rPr>
          <w:rFonts w:asciiTheme="majorHAnsi" w:hAnsiTheme="majorHAnsi"/>
          <w:b/>
          <w:sz w:val="20"/>
          <w:szCs w:val="20"/>
          <w:lang w:val="en-US"/>
        </w:rPr>
        <w:t xml:space="preserve"> -</w:t>
      </w:r>
    </w:p>
    <w:p w14:paraId="668F212C"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NON-INTERFACE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SIGNAL</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bookmarkEnd w:id="141"/>
    </w:p>
    <w:p w14:paraId="1BF8882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w:t>
      </w:r>
      <w:r w:rsidRPr="000977F7">
        <w:rPr>
          <w:rFonts w:asciiTheme="majorHAnsi" w:hAnsiTheme="majorHAnsi"/>
          <w:spacing w:val="14"/>
          <w:sz w:val="20"/>
          <w:szCs w:val="20"/>
        </w:rPr>
        <w:t xml:space="preserve"> </w:t>
      </w:r>
      <w:r w:rsidRPr="000977F7">
        <w:rPr>
          <w:rFonts w:asciiTheme="majorHAnsi" w:hAnsiTheme="majorHAnsi"/>
          <w:sz w:val="20"/>
          <w:szCs w:val="20"/>
        </w:rPr>
        <w:t>що</w:t>
      </w:r>
      <w:r w:rsidRPr="000977F7">
        <w:rPr>
          <w:rFonts w:asciiTheme="majorHAnsi" w:hAnsiTheme="majorHAnsi"/>
          <w:spacing w:val="15"/>
          <w:sz w:val="20"/>
          <w:szCs w:val="20"/>
        </w:rPr>
        <w:t xml:space="preserve"> </w:t>
      </w:r>
      <w:r w:rsidRPr="000977F7">
        <w:rPr>
          <w:rFonts w:asciiTheme="majorHAnsi" w:hAnsiTheme="majorHAnsi"/>
          <w:sz w:val="20"/>
          <w:szCs w:val="20"/>
        </w:rPr>
        <w:t>не</w:t>
      </w:r>
      <w:r w:rsidRPr="000977F7">
        <w:rPr>
          <w:rFonts w:asciiTheme="majorHAnsi" w:hAnsiTheme="majorHAnsi"/>
          <w:spacing w:val="14"/>
          <w:sz w:val="20"/>
          <w:szCs w:val="20"/>
        </w:rPr>
        <w:t xml:space="preserve"> </w:t>
      </w:r>
      <w:r w:rsidRPr="000977F7">
        <w:rPr>
          <w:rFonts w:asciiTheme="majorHAnsi" w:hAnsiTheme="majorHAnsi"/>
          <w:sz w:val="20"/>
          <w:szCs w:val="20"/>
        </w:rPr>
        <w:t>входить</w:t>
      </w:r>
      <w:r w:rsidRPr="000977F7">
        <w:rPr>
          <w:rFonts w:asciiTheme="majorHAnsi" w:hAnsiTheme="majorHAnsi"/>
          <w:spacing w:val="15"/>
          <w:sz w:val="20"/>
          <w:szCs w:val="20"/>
        </w:rPr>
        <w:t xml:space="preserve"> </w:t>
      </w:r>
      <w:r w:rsidRPr="000977F7">
        <w:rPr>
          <w:rFonts w:asciiTheme="majorHAnsi" w:hAnsiTheme="majorHAnsi"/>
          <w:sz w:val="20"/>
          <w:szCs w:val="20"/>
        </w:rPr>
        <w:t>до</w:t>
      </w:r>
      <w:r w:rsidRPr="000977F7">
        <w:rPr>
          <w:rFonts w:asciiTheme="majorHAnsi" w:hAnsiTheme="majorHAnsi"/>
          <w:spacing w:val="14"/>
          <w:sz w:val="20"/>
          <w:szCs w:val="20"/>
        </w:rPr>
        <w:t xml:space="preserve"> </w:t>
      </w:r>
      <w:r w:rsidRPr="000977F7">
        <w:rPr>
          <w:rFonts w:asciiTheme="majorHAnsi" w:hAnsiTheme="majorHAnsi"/>
          <w:sz w:val="20"/>
          <w:szCs w:val="20"/>
        </w:rPr>
        <w:t>сукупності</w:t>
      </w:r>
      <w:r w:rsidRPr="000977F7">
        <w:rPr>
          <w:rFonts w:asciiTheme="majorHAnsi" w:hAnsiTheme="majorHAnsi"/>
          <w:spacing w:val="13"/>
          <w:sz w:val="20"/>
          <w:szCs w:val="20"/>
        </w:rPr>
        <w:t xml:space="preserve"> </w:t>
      </w:r>
      <w:r w:rsidRPr="000977F7">
        <w:rPr>
          <w:rFonts w:asciiTheme="majorHAnsi" w:hAnsiTheme="majorHAnsi"/>
          <w:sz w:val="20"/>
          <w:szCs w:val="20"/>
        </w:rPr>
        <w:t>сигналів</w:t>
      </w:r>
      <w:r w:rsidRPr="000977F7">
        <w:rPr>
          <w:rFonts w:asciiTheme="majorHAnsi" w:hAnsiTheme="majorHAnsi"/>
          <w:spacing w:val="13"/>
          <w:sz w:val="20"/>
          <w:szCs w:val="20"/>
        </w:rPr>
        <w:t xml:space="preserve"> </w:t>
      </w:r>
      <w:r w:rsidRPr="000977F7">
        <w:rPr>
          <w:rFonts w:asciiTheme="majorHAnsi" w:hAnsiTheme="majorHAnsi"/>
          <w:sz w:val="20"/>
          <w:szCs w:val="20"/>
        </w:rPr>
        <w:t>інформаційного інтерфейсу</w:t>
      </w:r>
    </w:p>
    <w:p w14:paraId="288BFA9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1D1A269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142" w:name="_Hlk101075583"/>
      <w:r w:rsidRPr="000977F7">
        <w:rPr>
          <w:color w:val="auto"/>
          <w:sz w:val="20"/>
          <w:szCs w:val="20"/>
        </w:rPr>
        <w:t xml:space="preserve">НЕІНФОРМАТИВНА ОЗНАКА </w:t>
      </w:r>
    </w:p>
    <w:p w14:paraId="0F47224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(НЕІНФОРМАТИВНИЙ ПАРАМЕТР)</w:t>
      </w:r>
      <w:r w:rsidRPr="000977F7">
        <w:rPr>
          <w:color w:val="auto"/>
          <w:spacing w:val="-1"/>
          <w:sz w:val="20"/>
          <w:szCs w:val="20"/>
        </w:rPr>
        <w:t xml:space="preserve"> </w:t>
      </w:r>
      <w:r w:rsidRPr="000977F7">
        <w:rPr>
          <w:color w:val="auto"/>
          <w:sz w:val="20"/>
          <w:szCs w:val="20"/>
        </w:rPr>
        <w:t>СИГНАЛУ</w:t>
      </w:r>
      <w:r w:rsidRPr="000977F7">
        <w:rPr>
          <w:color w:val="auto"/>
          <w:spacing w:val="3"/>
          <w:sz w:val="20"/>
          <w:szCs w:val="20"/>
        </w:rPr>
        <w:t xml:space="preserve"> </w:t>
      </w:r>
      <w:r w:rsidRPr="000977F7">
        <w:rPr>
          <w:color w:val="auto"/>
          <w:sz w:val="20"/>
          <w:szCs w:val="20"/>
        </w:rPr>
        <w:t>-</w:t>
      </w:r>
    </w:p>
    <w:p w14:paraId="36FA08A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NON-INFORMATIVE</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SIGNAL</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FEATURE</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(PARAMETER)</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bookmarkEnd w:id="142"/>
    <w:p w14:paraId="312BD8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Ознака (параметр), що характеризує діяння і не залежить</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2"/>
          <w:sz w:val="20"/>
          <w:szCs w:val="20"/>
        </w:rPr>
        <w:t xml:space="preserve"> </w:t>
      </w:r>
      <w:r w:rsidRPr="000977F7">
        <w:rPr>
          <w:rFonts w:asciiTheme="majorHAnsi" w:hAnsiTheme="majorHAnsi"/>
          <w:sz w:val="20"/>
          <w:szCs w:val="20"/>
        </w:rPr>
        <w:t>передаваних</w:t>
      </w:r>
      <w:r w:rsidRPr="000977F7">
        <w:rPr>
          <w:rFonts w:asciiTheme="majorHAnsi" w:hAnsiTheme="majorHAnsi"/>
          <w:spacing w:val="-1"/>
          <w:sz w:val="20"/>
          <w:szCs w:val="20"/>
        </w:rPr>
        <w:t xml:space="preserve"> </w:t>
      </w:r>
      <w:r w:rsidRPr="000977F7">
        <w:rPr>
          <w:rFonts w:asciiTheme="majorHAnsi" w:hAnsiTheme="majorHAnsi"/>
          <w:sz w:val="20"/>
          <w:szCs w:val="20"/>
        </w:rPr>
        <w:t>даних</w:t>
      </w:r>
    </w:p>
    <w:p w14:paraId="7A25FF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1EB6B1B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Приклад неінформативної ознаки форма імпульсів</w:t>
      </w:r>
      <w:r w:rsidRPr="000977F7">
        <w:rPr>
          <w:rFonts w:asciiTheme="majorHAnsi" w:hAnsiTheme="majorHAnsi"/>
          <w:spacing w:val="1"/>
          <w:sz w:val="20"/>
          <w:szCs w:val="20"/>
        </w:rPr>
        <w:t xml:space="preserve"> </w:t>
      </w:r>
      <w:r w:rsidRPr="000977F7">
        <w:rPr>
          <w:rFonts w:asciiTheme="majorHAnsi" w:hAnsiTheme="majorHAnsi"/>
          <w:sz w:val="20"/>
          <w:szCs w:val="20"/>
        </w:rPr>
        <w:t>постійного струму на виході імпульсного давача швидкості; приклад неінформативного параметра – частота змінювання рівнів постійного струму під час пересилання</w:t>
      </w:r>
      <w:r w:rsidRPr="000977F7">
        <w:rPr>
          <w:rFonts w:asciiTheme="majorHAnsi" w:hAnsiTheme="majorHAnsi"/>
          <w:spacing w:val="-2"/>
          <w:sz w:val="20"/>
          <w:szCs w:val="20"/>
        </w:rPr>
        <w:t xml:space="preserve"> </w:t>
      </w:r>
      <w:r w:rsidRPr="000977F7">
        <w:rPr>
          <w:rFonts w:asciiTheme="majorHAnsi" w:hAnsiTheme="majorHAnsi"/>
          <w:sz w:val="20"/>
          <w:szCs w:val="20"/>
        </w:rPr>
        <w:t>цифрового</w:t>
      </w:r>
      <w:r w:rsidRPr="000977F7">
        <w:rPr>
          <w:rFonts w:asciiTheme="majorHAnsi" w:hAnsiTheme="majorHAnsi"/>
          <w:spacing w:val="1"/>
          <w:sz w:val="20"/>
          <w:szCs w:val="20"/>
        </w:rPr>
        <w:t xml:space="preserve"> </w:t>
      </w:r>
      <w:r w:rsidRPr="000977F7">
        <w:rPr>
          <w:rFonts w:asciiTheme="majorHAnsi" w:hAnsiTheme="majorHAnsi"/>
          <w:sz w:val="20"/>
          <w:szCs w:val="20"/>
        </w:rPr>
        <w:t>сигналу</w:t>
      </w:r>
    </w:p>
    <w:p w14:paraId="61CCE6F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0CC47223"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НЕКРУГЛОТА</w:t>
      </w:r>
      <w:r w:rsidRPr="000977F7">
        <w:rPr>
          <w:color w:val="auto"/>
          <w:spacing w:val="-3"/>
          <w:sz w:val="20"/>
          <w:szCs w:val="20"/>
        </w:rPr>
        <w:t xml:space="preserve"> </w:t>
      </w:r>
      <w:r w:rsidRPr="000977F7">
        <w:rPr>
          <w:b w:val="0"/>
          <w:color w:val="auto"/>
          <w:sz w:val="20"/>
          <w:szCs w:val="20"/>
        </w:rPr>
        <w:t>-</w:t>
      </w:r>
    </w:p>
    <w:p w14:paraId="675B603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Відхилення від круглоти, яке визначається як найбільша відстань точок реального профілю до прилягаючого кола</w:t>
      </w:r>
    </w:p>
    <w:p w14:paraId="3787CE7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НЕЛІНІЙНИЙ</w:t>
      </w:r>
      <w:r w:rsidRPr="000977F7">
        <w:rPr>
          <w:color w:val="auto"/>
          <w:spacing w:val="-5"/>
          <w:sz w:val="20"/>
          <w:szCs w:val="20"/>
        </w:rPr>
        <w:t xml:space="preserve"> </w:t>
      </w:r>
      <w:r w:rsidRPr="000977F7">
        <w:rPr>
          <w:color w:val="auto"/>
          <w:sz w:val="20"/>
          <w:szCs w:val="20"/>
        </w:rPr>
        <w:t>ОБ</w:t>
      </w:r>
      <w:r w:rsidRPr="000977F7">
        <w:rPr>
          <w:color w:val="auto"/>
          <w:sz w:val="20"/>
          <w:szCs w:val="20"/>
          <w:rtl/>
        </w:rPr>
        <w:t>׳</w:t>
      </w:r>
      <w:r w:rsidRPr="000977F7">
        <w:rPr>
          <w:color w:val="auto"/>
          <w:sz w:val="20"/>
          <w:szCs w:val="20"/>
        </w:rPr>
        <w:t>ЄКТ</w:t>
      </w:r>
      <w:r w:rsidRPr="000977F7">
        <w:rPr>
          <w:color w:val="auto"/>
          <w:spacing w:val="1"/>
          <w:sz w:val="20"/>
          <w:szCs w:val="20"/>
        </w:rPr>
        <w:t xml:space="preserve"> </w:t>
      </w:r>
      <w:r w:rsidRPr="000977F7">
        <w:rPr>
          <w:color w:val="auto"/>
          <w:sz w:val="20"/>
          <w:szCs w:val="20"/>
        </w:rPr>
        <w:t>-</w:t>
      </w:r>
    </w:p>
    <w:p w14:paraId="7009727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NON-LINEAR</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OBJECT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35783B8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w:t>
      </w:r>
      <w:r w:rsidRPr="004D2D14">
        <w:rPr>
          <w:rFonts w:asciiTheme="majorHAnsi" w:hAnsiTheme="majorHAnsi"/>
          <w:sz w:val="20"/>
          <w:szCs w:val="20"/>
          <w:lang w:val="en-US"/>
        </w:rPr>
        <w:t xml:space="preserve">, </w:t>
      </w:r>
      <w:r w:rsidRPr="000977F7">
        <w:rPr>
          <w:rFonts w:asciiTheme="majorHAnsi" w:hAnsiTheme="majorHAnsi"/>
          <w:sz w:val="20"/>
          <w:szCs w:val="20"/>
        </w:rPr>
        <w:t>структура</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принаймні</w:t>
      </w:r>
      <w:r w:rsidRPr="004D2D14">
        <w:rPr>
          <w:rFonts w:asciiTheme="majorHAnsi" w:hAnsiTheme="majorHAnsi"/>
          <w:sz w:val="20"/>
          <w:szCs w:val="20"/>
          <w:lang w:val="en-US"/>
        </w:rPr>
        <w:t xml:space="preserve"> </w:t>
      </w:r>
      <w:r w:rsidRPr="000977F7">
        <w:rPr>
          <w:rFonts w:asciiTheme="majorHAnsi" w:hAnsiTheme="majorHAnsi"/>
          <w:sz w:val="20"/>
          <w:szCs w:val="20"/>
        </w:rPr>
        <w:t>один</w:t>
      </w:r>
      <w:r w:rsidRPr="004D2D14">
        <w:rPr>
          <w:rFonts w:asciiTheme="majorHAnsi" w:hAnsiTheme="majorHAnsi"/>
          <w:sz w:val="20"/>
          <w:szCs w:val="20"/>
          <w:lang w:val="en-US"/>
        </w:rPr>
        <w:t xml:space="preserve"> </w:t>
      </w:r>
      <w:r w:rsidRPr="000977F7">
        <w:rPr>
          <w:rFonts w:asciiTheme="majorHAnsi" w:hAnsiTheme="majorHAnsi"/>
          <w:sz w:val="20"/>
          <w:szCs w:val="20"/>
        </w:rPr>
        <w:t>із</w:t>
      </w:r>
      <w:r w:rsidRPr="004D2D14">
        <w:rPr>
          <w:rFonts w:asciiTheme="majorHAnsi" w:hAnsiTheme="majorHAnsi"/>
          <w:sz w:val="20"/>
          <w:szCs w:val="20"/>
          <w:lang w:val="en-US"/>
        </w:rPr>
        <w:t xml:space="preserve"> </w:t>
      </w:r>
      <w:r w:rsidRPr="000977F7">
        <w:rPr>
          <w:rFonts w:asciiTheme="majorHAnsi" w:hAnsiTheme="majorHAnsi"/>
          <w:sz w:val="20"/>
          <w:szCs w:val="20"/>
        </w:rPr>
        <w:t>параметрів</w:t>
      </w:r>
      <w:r w:rsidRPr="004D2D14">
        <w:rPr>
          <w:rFonts w:asciiTheme="majorHAnsi" w:hAnsiTheme="majorHAnsi"/>
          <w:spacing w:val="1"/>
          <w:sz w:val="20"/>
          <w:szCs w:val="20"/>
          <w:lang w:val="en-US"/>
        </w:rPr>
        <w:t xml:space="preserve"> </w:t>
      </w:r>
      <w:r w:rsidRPr="000977F7">
        <w:rPr>
          <w:rFonts w:asciiTheme="majorHAnsi" w:hAnsiTheme="majorHAnsi"/>
          <w:sz w:val="20"/>
          <w:szCs w:val="20"/>
        </w:rPr>
        <w:t>математичної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моделі</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змінюються</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при</w:t>
      </w:r>
      <w:r w:rsidRPr="004D2D14">
        <w:rPr>
          <w:rFonts w:asciiTheme="majorHAnsi" w:hAnsiTheme="majorHAnsi"/>
          <w:spacing w:val="1"/>
          <w:sz w:val="20"/>
          <w:szCs w:val="20"/>
          <w:lang w:val="en-US"/>
        </w:rPr>
        <w:t xml:space="preserve"> </w:t>
      </w:r>
      <w:r w:rsidRPr="000977F7">
        <w:rPr>
          <w:rFonts w:asciiTheme="majorHAnsi" w:hAnsiTheme="majorHAnsi"/>
          <w:sz w:val="20"/>
          <w:szCs w:val="20"/>
        </w:rPr>
        <w:t>змінюванні</w:t>
      </w:r>
      <w:r w:rsidRPr="004D2D14">
        <w:rPr>
          <w:rFonts w:asciiTheme="majorHAnsi" w:hAnsiTheme="majorHAnsi"/>
          <w:sz w:val="20"/>
          <w:szCs w:val="20"/>
          <w:lang w:val="en-US"/>
        </w:rPr>
        <w:t xml:space="preserve"> </w:t>
      </w:r>
      <w:r w:rsidRPr="000977F7">
        <w:rPr>
          <w:rFonts w:asciiTheme="majorHAnsi" w:hAnsiTheme="majorHAnsi"/>
          <w:sz w:val="20"/>
          <w:szCs w:val="20"/>
        </w:rPr>
        <w:t>будь</w:t>
      </w:r>
      <w:r w:rsidRPr="004D2D14">
        <w:rPr>
          <w:rFonts w:asciiTheme="majorHAnsi" w:hAnsiTheme="majorHAnsi"/>
          <w:sz w:val="20"/>
          <w:szCs w:val="20"/>
          <w:lang w:val="en-US"/>
        </w:rPr>
        <w:t>-</w:t>
      </w:r>
      <w:r w:rsidRPr="000977F7">
        <w:rPr>
          <w:rFonts w:asciiTheme="majorHAnsi" w:hAnsiTheme="majorHAnsi"/>
          <w:sz w:val="20"/>
          <w:szCs w:val="20"/>
        </w:rPr>
        <w:t>якої</w:t>
      </w:r>
      <w:r w:rsidRPr="004D2D14">
        <w:rPr>
          <w:rFonts w:asciiTheme="majorHAnsi" w:hAnsiTheme="majorHAnsi"/>
          <w:sz w:val="20"/>
          <w:szCs w:val="20"/>
          <w:lang w:val="en-US"/>
        </w:rPr>
        <w:t xml:space="preserve"> </w:t>
      </w:r>
      <w:r w:rsidRPr="000977F7">
        <w:rPr>
          <w:rFonts w:asciiTheme="majorHAnsi" w:hAnsiTheme="majorHAnsi"/>
          <w:sz w:val="20"/>
          <w:szCs w:val="20"/>
        </w:rPr>
        <w:t>із</w:t>
      </w:r>
      <w:r w:rsidRPr="004D2D14">
        <w:rPr>
          <w:rFonts w:asciiTheme="majorHAnsi" w:hAnsiTheme="majorHAnsi"/>
          <w:sz w:val="20"/>
          <w:szCs w:val="20"/>
          <w:lang w:val="en-US"/>
        </w:rPr>
        <w:t xml:space="preserve"> </w:t>
      </w:r>
      <w:r w:rsidRPr="000977F7">
        <w:rPr>
          <w:rFonts w:asciiTheme="majorHAnsi" w:hAnsiTheme="majorHAnsi"/>
          <w:sz w:val="20"/>
          <w:szCs w:val="20"/>
        </w:rPr>
        <w:t>змінних</w:t>
      </w:r>
      <w:r w:rsidRPr="004D2D14">
        <w:rPr>
          <w:rFonts w:asciiTheme="majorHAnsi" w:hAnsiTheme="majorHAnsi"/>
          <w:sz w:val="20"/>
          <w:szCs w:val="20"/>
          <w:lang w:val="en-US"/>
        </w:rPr>
        <w:t xml:space="preserve"> </w:t>
      </w:r>
      <w:r w:rsidRPr="000977F7">
        <w:rPr>
          <w:rFonts w:asciiTheme="majorHAnsi" w:hAnsiTheme="majorHAnsi"/>
          <w:sz w:val="20"/>
          <w:szCs w:val="20"/>
        </w:rPr>
        <w:t>величин</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діапазоні</w:t>
      </w:r>
      <w:r w:rsidRPr="004D2D14">
        <w:rPr>
          <w:rFonts w:asciiTheme="majorHAnsi" w:hAnsiTheme="majorHAnsi"/>
          <w:sz w:val="20"/>
          <w:szCs w:val="20"/>
          <w:lang w:val="en-US"/>
        </w:rPr>
        <w:t xml:space="preserve"> </w:t>
      </w:r>
      <w:r w:rsidRPr="000977F7">
        <w:rPr>
          <w:rFonts w:asciiTheme="majorHAnsi" w:hAnsiTheme="majorHAnsi"/>
          <w:sz w:val="20"/>
          <w:szCs w:val="20"/>
        </w:rPr>
        <w:t>їхніх</w:t>
      </w:r>
      <w:r w:rsidRPr="004D2D14">
        <w:rPr>
          <w:rFonts w:asciiTheme="majorHAnsi" w:hAnsiTheme="majorHAnsi"/>
          <w:spacing w:val="1"/>
          <w:sz w:val="20"/>
          <w:szCs w:val="20"/>
          <w:lang w:val="en-US"/>
        </w:rPr>
        <w:t xml:space="preserve"> </w:t>
      </w:r>
      <w:r w:rsidRPr="000977F7">
        <w:rPr>
          <w:rFonts w:asciiTheme="majorHAnsi" w:hAnsiTheme="majorHAnsi"/>
          <w:sz w:val="20"/>
          <w:szCs w:val="20"/>
        </w:rPr>
        <w:t>можливих</w:t>
      </w:r>
      <w:r w:rsidRPr="004D2D14">
        <w:rPr>
          <w:rFonts w:asciiTheme="majorHAnsi" w:hAnsiTheme="majorHAnsi"/>
          <w:spacing w:val="-2"/>
          <w:sz w:val="20"/>
          <w:szCs w:val="20"/>
          <w:lang w:val="en-US"/>
        </w:rPr>
        <w:t xml:space="preserve"> </w:t>
      </w:r>
      <w:r w:rsidRPr="000977F7">
        <w:rPr>
          <w:rFonts w:asciiTheme="majorHAnsi" w:hAnsiTheme="majorHAnsi"/>
          <w:sz w:val="20"/>
          <w:szCs w:val="20"/>
        </w:rPr>
        <w:t>значень</w:t>
      </w:r>
    </w:p>
    <w:p w14:paraId="608FB7C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3956 - 2000</w:t>
      </w:r>
    </w:p>
    <w:p w14:paraId="048A271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НЕНАВАНТАЖЕНИЙ</w:t>
      </w:r>
      <w:r w:rsidRPr="000977F7">
        <w:rPr>
          <w:color w:val="auto"/>
          <w:spacing w:val="-3"/>
          <w:sz w:val="20"/>
          <w:szCs w:val="20"/>
        </w:rPr>
        <w:t xml:space="preserve"> </w:t>
      </w:r>
      <w:r w:rsidRPr="000977F7">
        <w:rPr>
          <w:color w:val="auto"/>
          <w:sz w:val="20"/>
          <w:szCs w:val="20"/>
        </w:rPr>
        <w:t>РЕЗЕРВ –</w:t>
      </w:r>
    </w:p>
    <w:p w14:paraId="4309352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STANDBY</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RESERV;</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UNLOADED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RESERVE –</w:t>
      </w:r>
    </w:p>
    <w:p w14:paraId="5348F6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Резерв, що складається з одного чи декількох резервних елементів, які перебувають у не навантаженому</w:t>
      </w:r>
      <w:r w:rsidRPr="000977F7">
        <w:rPr>
          <w:rFonts w:asciiTheme="majorHAnsi" w:hAnsiTheme="majorHAnsi"/>
          <w:spacing w:val="1"/>
          <w:sz w:val="20"/>
          <w:szCs w:val="20"/>
        </w:rPr>
        <w:t xml:space="preserve"> </w:t>
      </w:r>
      <w:r w:rsidRPr="000977F7">
        <w:rPr>
          <w:rFonts w:asciiTheme="majorHAnsi" w:hAnsiTheme="majorHAnsi"/>
          <w:sz w:val="20"/>
          <w:szCs w:val="20"/>
        </w:rPr>
        <w:t>стані до початку виконання ними функцій основного</w:t>
      </w:r>
      <w:r w:rsidRPr="000977F7">
        <w:rPr>
          <w:rFonts w:asciiTheme="majorHAnsi" w:hAnsiTheme="majorHAnsi"/>
          <w:spacing w:val="1"/>
          <w:sz w:val="20"/>
          <w:szCs w:val="20"/>
        </w:rPr>
        <w:t xml:space="preserve"> </w:t>
      </w:r>
      <w:r w:rsidRPr="000977F7">
        <w:rPr>
          <w:rFonts w:asciiTheme="majorHAnsi" w:hAnsiTheme="majorHAnsi"/>
          <w:sz w:val="20"/>
          <w:szCs w:val="20"/>
        </w:rPr>
        <w:t>елемента</w:t>
      </w:r>
    </w:p>
    <w:p w14:paraId="312C3F10"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2860 – 94</w:t>
      </w:r>
    </w:p>
    <w:p w14:paraId="097C181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НЕНАВАНТАЖЕНЕ</w:t>
      </w:r>
      <w:r w:rsidRPr="000977F7">
        <w:rPr>
          <w:color w:val="auto"/>
          <w:spacing w:val="-5"/>
          <w:sz w:val="20"/>
          <w:szCs w:val="20"/>
        </w:rPr>
        <w:t xml:space="preserve"> </w:t>
      </w:r>
      <w:r w:rsidRPr="000977F7">
        <w:rPr>
          <w:color w:val="auto"/>
          <w:sz w:val="20"/>
          <w:szCs w:val="20"/>
        </w:rPr>
        <w:t>РЕЗЕРВУВАННЯ</w:t>
      </w:r>
      <w:r w:rsidRPr="000977F7">
        <w:rPr>
          <w:color w:val="auto"/>
          <w:spacing w:val="-1"/>
          <w:sz w:val="20"/>
          <w:szCs w:val="20"/>
        </w:rPr>
        <w:t xml:space="preserve"> </w:t>
      </w:r>
      <w:r w:rsidRPr="000977F7">
        <w:rPr>
          <w:color w:val="auto"/>
          <w:sz w:val="20"/>
          <w:szCs w:val="20"/>
        </w:rPr>
        <w:t>–</w:t>
      </w:r>
    </w:p>
    <w:p w14:paraId="78B4E49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STANDBY</w:t>
      </w:r>
      <w:r w:rsidRPr="000977F7">
        <w:rPr>
          <w:rFonts w:asciiTheme="majorHAnsi" w:hAnsiTheme="majorHAnsi"/>
          <w:spacing w:val="-3"/>
          <w:sz w:val="20"/>
          <w:szCs w:val="20"/>
        </w:rPr>
        <w:t xml:space="preserve"> </w:t>
      </w:r>
      <w:r w:rsidRPr="000977F7">
        <w:rPr>
          <w:rFonts w:asciiTheme="majorHAnsi" w:hAnsiTheme="majorHAnsi"/>
          <w:sz w:val="20"/>
          <w:szCs w:val="20"/>
        </w:rPr>
        <w:t>REDUNDANCY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EB1BA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Таке резервування, при якому запасні засоби, призначені для виконання даної функції, не діють до виникнення</w:t>
      </w:r>
      <w:r w:rsidRPr="000977F7">
        <w:rPr>
          <w:rFonts w:asciiTheme="majorHAnsi" w:hAnsiTheme="majorHAnsi"/>
          <w:spacing w:val="1"/>
          <w:sz w:val="20"/>
          <w:szCs w:val="20"/>
        </w:rPr>
        <w:t xml:space="preserve"> </w:t>
      </w:r>
      <w:r w:rsidRPr="000977F7">
        <w:rPr>
          <w:rFonts w:asciiTheme="majorHAnsi" w:hAnsiTheme="majorHAnsi"/>
          <w:sz w:val="20"/>
          <w:szCs w:val="20"/>
        </w:rPr>
        <w:t>необхідності</w:t>
      </w:r>
    </w:p>
    <w:p w14:paraId="1349344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
          <w:bCs/>
          <w:sz w:val="20"/>
          <w:szCs w:val="20"/>
        </w:rPr>
        <w:t>НЕНАЛЕЖНЕ ЗАСТОСУВАННЯ ЗНАКА ВІДПОВІДНОСТІ ТЕХНІЧНИМ РЕГЛАМЕНТАМ</w:t>
      </w:r>
      <w:r w:rsidRPr="000977F7">
        <w:rPr>
          <w:rFonts w:asciiTheme="majorHAnsi" w:hAnsiTheme="majorHAnsi"/>
          <w:sz w:val="20"/>
          <w:szCs w:val="20"/>
        </w:rPr>
        <w:t xml:space="preserve"> -</w:t>
      </w:r>
    </w:p>
    <w:p w14:paraId="7A672B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Порушення правил застосування і нанесення знаку відповідності технічним регламентам, встановлених законодавством</w:t>
      </w:r>
    </w:p>
    <w:p w14:paraId="62E9D3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i/>
          <w:iCs/>
          <w:sz w:val="20"/>
          <w:szCs w:val="20"/>
        </w:rPr>
        <w:t>Закон України "Про державний ринковий нагляд і контроль нехарчової продукції"</w:t>
      </w:r>
    </w:p>
    <w:p w14:paraId="3F6F44D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НЕОБСЛУГОВУВАНИЙ</w:t>
      </w:r>
      <w:r w:rsidRPr="000977F7">
        <w:rPr>
          <w:color w:val="auto"/>
          <w:spacing w:val="-8"/>
          <w:sz w:val="20"/>
          <w:szCs w:val="20"/>
        </w:rPr>
        <w:t xml:space="preserve"> </w:t>
      </w:r>
      <w:r w:rsidRPr="000977F7">
        <w:rPr>
          <w:color w:val="auto"/>
          <w:sz w:val="20"/>
          <w:szCs w:val="20"/>
        </w:rPr>
        <w:t>ОБ’ЄКТ</w:t>
      </w:r>
      <w:r w:rsidRPr="000977F7">
        <w:rPr>
          <w:color w:val="auto"/>
          <w:spacing w:val="-3"/>
          <w:sz w:val="20"/>
          <w:szCs w:val="20"/>
        </w:rPr>
        <w:t xml:space="preserve"> </w:t>
      </w:r>
      <w:r w:rsidRPr="000977F7">
        <w:rPr>
          <w:color w:val="auto"/>
          <w:sz w:val="20"/>
          <w:szCs w:val="20"/>
        </w:rPr>
        <w:t>–</w:t>
      </w:r>
    </w:p>
    <w:p w14:paraId="2AB12F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NONMAINTAINABLE</w:t>
      </w:r>
      <w:r w:rsidRPr="000977F7">
        <w:rPr>
          <w:rFonts w:asciiTheme="majorHAnsi" w:hAnsiTheme="majorHAnsi"/>
          <w:spacing w:val="-4"/>
          <w:sz w:val="20"/>
          <w:szCs w:val="20"/>
        </w:rPr>
        <w:t xml:space="preserve"> </w:t>
      </w:r>
      <w:r w:rsidRPr="000977F7">
        <w:rPr>
          <w:rFonts w:asciiTheme="majorHAnsi" w:hAnsiTheme="majorHAnsi"/>
          <w:sz w:val="20"/>
          <w:szCs w:val="20"/>
        </w:rPr>
        <w:t>ITEM</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A844FD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 для якого проведення технічного обслуговування не передбачено нормативно технічною документацією</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конструкторською</w:t>
      </w:r>
      <w:r w:rsidRPr="000977F7">
        <w:rPr>
          <w:rFonts w:asciiTheme="majorHAnsi" w:hAnsiTheme="majorHAnsi"/>
          <w:spacing w:val="1"/>
          <w:sz w:val="20"/>
          <w:szCs w:val="20"/>
        </w:rPr>
        <w:t xml:space="preserve"> </w:t>
      </w:r>
      <w:r w:rsidRPr="000977F7">
        <w:rPr>
          <w:rFonts w:asciiTheme="majorHAnsi" w:hAnsiTheme="majorHAnsi"/>
          <w:sz w:val="20"/>
          <w:szCs w:val="20"/>
        </w:rPr>
        <w:t>(проектною)</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документацією</w:t>
      </w:r>
    </w:p>
    <w:p w14:paraId="70F8196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8F2D7D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НЕОБХІДНА</w:t>
      </w:r>
      <w:r w:rsidRPr="000977F7">
        <w:rPr>
          <w:color w:val="auto"/>
          <w:spacing w:val="1"/>
          <w:sz w:val="20"/>
          <w:szCs w:val="20"/>
        </w:rPr>
        <w:t xml:space="preserve"> </w:t>
      </w:r>
      <w:r w:rsidRPr="000977F7">
        <w:rPr>
          <w:color w:val="auto"/>
          <w:sz w:val="20"/>
          <w:szCs w:val="20"/>
        </w:rPr>
        <w:t>ТРИВАЛІСТЬ ПРАЦЕЗДАТНОСТІ;</w:t>
      </w:r>
      <w:r w:rsidRPr="000977F7">
        <w:rPr>
          <w:color w:val="auto"/>
          <w:spacing w:val="-47"/>
          <w:sz w:val="20"/>
          <w:szCs w:val="20"/>
        </w:rPr>
        <w:t xml:space="preserve"> </w:t>
      </w:r>
      <w:r w:rsidRPr="000977F7">
        <w:rPr>
          <w:color w:val="auto"/>
          <w:sz w:val="20"/>
          <w:szCs w:val="20"/>
        </w:rPr>
        <w:t>НЕОБХІДНИЙ НАРОБІТОК</w:t>
      </w:r>
      <w:r w:rsidRPr="000977F7">
        <w:rPr>
          <w:color w:val="auto"/>
          <w:spacing w:val="2"/>
          <w:sz w:val="20"/>
          <w:szCs w:val="20"/>
        </w:rPr>
        <w:t xml:space="preserve"> </w:t>
      </w:r>
      <w:r w:rsidRPr="000977F7">
        <w:rPr>
          <w:color w:val="auto"/>
          <w:sz w:val="20"/>
          <w:szCs w:val="20"/>
        </w:rPr>
        <w:t>–</w:t>
      </w:r>
    </w:p>
    <w:p w14:paraId="174F03B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REQUIRED</w:t>
      </w:r>
      <w:r w:rsidRPr="000977F7">
        <w:rPr>
          <w:rFonts w:asciiTheme="majorHAnsi" w:hAnsiTheme="majorHAnsi"/>
          <w:spacing w:val="-2"/>
          <w:sz w:val="20"/>
          <w:szCs w:val="20"/>
        </w:rPr>
        <w:t xml:space="preserve"> </w:t>
      </w:r>
      <w:r w:rsidRPr="000977F7">
        <w:rPr>
          <w:rFonts w:asciiTheme="majorHAnsi" w:hAnsiTheme="majorHAnsi"/>
          <w:sz w:val="20"/>
          <w:szCs w:val="20"/>
        </w:rPr>
        <w:t>TIME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D4F18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Інтервал часу (наробіток), протягом якого споживач</w:t>
      </w:r>
      <w:r w:rsidRPr="000977F7">
        <w:rPr>
          <w:rFonts w:asciiTheme="majorHAnsi" w:hAnsiTheme="majorHAnsi"/>
          <w:spacing w:val="1"/>
          <w:sz w:val="20"/>
          <w:szCs w:val="20"/>
        </w:rPr>
        <w:t xml:space="preserve"> </w:t>
      </w:r>
      <w:r w:rsidRPr="000977F7">
        <w:rPr>
          <w:rFonts w:asciiTheme="majorHAnsi" w:hAnsiTheme="majorHAnsi"/>
          <w:sz w:val="20"/>
          <w:szCs w:val="20"/>
        </w:rPr>
        <w:t>вимагає, щоб об’єкт був спроможний виконувати потрібну</w:t>
      </w:r>
      <w:r w:rsidRPr="000977F7">
        <w:rPr>
          <w:rFonts w:asciiTheme="majorHAnsi" w:hAnsiTheme="majorHAnsi"/>
          <w:spacing w:val="-5"/>
          <w:sz w:val="20"/>
          <w:szCs w:val="20"/>
        </w:rPr>
        <w:t xml:space="preserve"> </w:t>
      </w:r>
      <w:r w:rsidRPr="000977F7">
        <w:rPr>
          <w:rFonts w:asciiTheme="majorHAnsi" w:hAnsiTheme="majorHAnsi"/>
          <w:sz w:val="20"/>
          <w:szCs w:val="20"/>
        </w:rPr>
        <w:t>функцію</w:t>
      </w:r>
    </w:p>
    <w:p w14:paraId="6E76E0E3"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619E46B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НЕОДНОРІДНІСТЬ</w:t>
      </w:r>
      <w:r w:rsidRPr="000977F7">
        <w:rPr>
          <w:color w:val="auto"/>
          <w:spacing w:val="-7"/>
          <w:sz w:val="20"/>
          <w:szCs w:val="20"/>
        </w:rPr>
        <w:t xml:space="preserve"> </w:t>
      </w:r>
      <w:r w:rsidRPr="000977F7">
        <w:rPr>
          <w:color w:val="auto"/>
          <w:sz w:val="20"/>
          <w:szCs w:val="20"/>
        </w:rPr>
        <w:t>ПРОДУКЦІЇ</w:t>
      </w:r>
      <w:r w:rsidRPr="000977F7">
        <w:rPr>
          <w:color w:val="auto"/>
          <w:spacing w:val="-4"/>
          <w:sz w:val="20"/>
          <w:szCs w:val="20"/>
        </w:rPr>
        <w:t xml:space="preserve"> </w:t>
      </w:r>
      <w:r w:rsidRPr="000977F7">
        <w:rPr>
          <w:color w:val="auto"/>
          <w:sz w:val="20"/>
          <w:szCs w:val="20"/>
        </w:rPr>
        <w:t>–</w:t>
      </w:r>
    </w:p>
    <w:p w14:paraId="100AF99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HETEROGENEITY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PRODUCTS –</w:t>
      </w:r>
    </w:p>
    <w:p w14:paraId="101641BF"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sz w:val="20"/>
          <w:szCs w:val="20"/>
        </w:rPr>
        <w:t>Властивість продукції, при якій її мінливість виходить</w:t>
      </w:r>
      <w:r w:rsidRPr="000977F7">
        <w:rPr>
          <w:rFonts w:asciiTheme="majorHAnsi" w:hAnsiTheme="majorHAnsi"/>
          <w:spacing w:val="-47"/>
          <w:sz w:val="20"/>
          <w:szCs w:val="20"/>
        </w:rPr>
        <w:t xml:space="preserve"> </w:t>
      </w:r>
      <w:r w:rsidRPr="000977F7">
        <w:rPr>
          <w:rFonts w:asciiTheme="majorHAnsi" w:hAnsiTheme="majorHAnsi"/>
          <w:sz w:val="20"/>
          <w:szCs w:val="20"/>
        </w:rPr>
        <w:t>за визначені межі хоча б за одним параметром</w:t>
      </w:r>
      <w:r w:rsidRPr="000977F7">
        <w:rPr>
          <w:rFonts w:asciiTheme="majorHAnsi" w:hAnsiTheme="majorHAnsi"/>
          <w:spacing w:val="1"/>
          <w:sz w:val="20"/>
          <w:szCs w:val="20"/>
        </w:rPr>
        <w:t xml:space="preserve"> </w:t>
      </w:r>
    </w:p>
    <w:p w14:paraId="40E4E3B9"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НЕОСНОВНИЙ КОНСТРУКТОРСЬКИЙ ДОКУ</w:t>
      </w:r>
      <w:r w:rsidRPr="000977F7">
        <w:rPr>
          <w:rFonts w:asciiTheme="majorHAnsi" w:hAnsiTheme="majorHAnsi"/>
          <w:b/>
          <w:spacing w:val="1"/>
          <w:sz w:val="20"/>
          <w:szCs w:val="20"/>
        </w:rPr>
        <w:t xml:space="preserve"> </w:t>
      </w:r>
      <w:r w:rsidRPr="000977F7">
        <w:rPr>
          <w:rFonts w:asciiTheme="majorHAnsi" w:hAnsiTheme="majorHAnsi"/>
          <w:b/>
          <w:sz w:val="20"/>
          <w:szCs w:val="20"/>
        </w:rPr>
        <w:t>МЕНТ</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280117E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Конструкторський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винятком</w:t>
      </w:r>
      <w:r w:rsidRPr="000977F7">
        <w:rPr>
          <w:rFonts w:asciiTheme="majorHAnsi" w:hAnsiTheme="majorHAnsi"/>
          <w:spacing w:val="1"/>
          <w:sz w:val="20"/>
          <w:szCs w:val="20"/>
        </w:rPr>
        <w:t xml:space="preserve"> </w:t>
      </w:r>
      <w:r w:rsidRPr="000977F7">
        <w:rPr>
          <w:rFonts w:asciiTheme="majorHAnsi" w:hAnsiTheme="majorHAnsi"/>
          <w:sz w:val="20"/>
          <w:szCs w:val="20"/>
        </w:rPr>
        <w:t>прийнятого за основний конструкторський документ:</w:t>
      </w:r>
      <w:r w:rsidRPr="000977F7">
        <w:rPr>
          <w:rFonts w:asciiTheme="majorHAnsi" w:hAnsiTheme="majorHAnsi"/>
          <w:spacing w:val="1"/>
          <w:sz w:val="20"/>
          <w:szCs w:val="20"/>
        </w:rPr>
        <w:t xml:space="preserve"> </w:t>
      </w:r>
      <w:r w:rsidRPr="000977F7">
        <w:rPr>
          <w:rFonts w:asciiTheme="majorHAnsi" w:hAnsiTheme="majorHAnsi"/>
          <w:sz w:val="20"/>
          <w:szCs w:val="20"/>
        </w:rPr>
        <w:t>для деталей – креслення деталі, для складальних одиниць,</w:t>
      </w:r>
      <w:r w:rsidRPr="000977F7">
        <w:rPr>
          <w:rFonts w:asciiTheme="majorHAnsi" w:hAnsiTheme="majorHAnsi"/>
          <w:spacing w:val="-1"/>
          <w:sz w:val="20"/>
          <w:szCs w:val="20"/>
        </w:rPr>
        <w:t xml:space="preserve"> </w:t>
      </w:r>
      <w:r w:rsidRPr="000977F7">
        <w:rPr>
          <w:rFonts w:asciiTheme="majorHAnsi" w:hAnsiTheme="majorHAnsi"/>
          <w:sz w:val="20"/>
          <w:szCs w:val="20"/>
        </w:rPr>
        <w:t>комплексів</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комплектів</w:t>
      </w:r>
      <w:r w:rsidRPr="000977F7">
        <w:rPr>
          <w:rFonts w:asciiTheme="majorHAnsi" w:hAnsiTheme="majorHAnsi"/>
          <w:spacing w:val="1"/>
          <w:sz w:val="20"/>
          <w:szCs w:val="20"/>
        </w:rPr>
        <w:t xml:space="preserve"> </w:t>
      </w:r>
      <w:r w:rsidRPr="000977F7">
        <w:rPr>
          <w:rFonts w:asciiTheme="majorHAnsi" w:hAnsiTheme="majorHAnsi"/>
          <w:sz w:val="20"/>
          <w:szCs w:val="20"/>
        </w:rPr>
        <w:t>– специфікації</w:t>
      </w:r>
    </w:p>
    <w:p w14:paraId="4CFF081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xml:space="preserve">– </w:t>
      </w:r>
      <w:r w:rsidRPr="000977F7">
        <w:rPr>
          <w:rFonts w:asciiTheme="majorHAnsi" w:hAnsiTheme="majorHAnsi"/>
          <w:sz w:val="20"/>
          <w:szCs w:val="20"/>
        </w:rPr>
        <w:t>2003</w:t>
      </w:r>
    </w:p>
    <w:p w14:paraId="6EE6D211"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r w:rsidRPr="000977F7">
        <w:rPr>
          <w:rFonts w:asciiTheme="majorHAnsi" w:hAnsiTheme="majorHAnsi"/>
          <w:b/>
          <w:bCs/>
          <w:iCs/>
          <w:sz w:val="20"/>
          <w:szCs w:val="20"/>
        </w:rPr>
        <w:t>НЕОЧІКУВАНИЙ ПУСК –</w:t>
      </w:r>
    </w:p>
    <w:p w14:paraId="2815C35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UNEXPEKTED</w:t>
      </w:r>
      <w:r w:rsidRPr="000977F7">
        <w:rPr>
          <w:rFonts w:asciiTheme="majorHAnsi" w:hAnsiTheme="majorHAnsi"/>
          <w:sz w:val="20"/>
          <w:szCs w:val="20"/>
        </w:rPr>
        <w:t xml:space="preserve"> </w:t>
      </w:r>
      <w:r w:rsidRPr="000977F7">
        <w:rPr>
          <w:rFonts w:asciiTheme="majorHAnsi" w:hAnsiTheme="majorHAnsi"/>
          <w:i/>
          <w:iCs/>
          <w:sz w:val="20"/>
          <w:szCs w:val="20"/>
        </w:rPr>
        <w:t>START_UP</w:t>
      </w:r>
      <w:r w:rsidRPr="000977F7">
        <w:rPr>
          <w:rFonts w:asciiTheme="majorHAnsi" w:hAnsiTheme="majorHAnsi"/>
          <w:sz w:val="20"/>
          <w:szCs w:val="20"/>
        </w:rPr>
        <w:t xml:space="preserve"> –</w:t>
      </w:r>
    </w:p>
    <w:p w14:paraId="65F3F9D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Будь-який пуск, який унаслідок своєї несподіваності спричиняє небезпеку.</w:t>
      </w:r>
    </w:p>
    <w:p w14:paraId="5BC44BA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Примітка 1. Його може бути спричинено, наприклад:</w:t>
      </w:r>
    </w:p>
    <w:p w14:paraId="149809E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командою на пуск унаслідок збою в системі керування або зовнішнього впливу на неї;</w:t>
      </w:r>
    </w:p>
    <w:p w14:paraId="27BFFB5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командою на пуск унаслідок несвоєчасної дії на орган керування пуском або іншу частину машини, наприклад на давач або орган керування енергопостачанням;</w:t>
      </w:r>
    </w:p>
    <w:p w14:paraId="0B1B1DF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поновленням енергопостачання після його переривання;</w:t>
      </w:r>
    </w:p>
    <w:p w14:paraId="2A58636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зовнішніми/внутрішніми впливами (силою тяжіння, вітром, самозагорянням у двигунах внутрішнього згоряння тощо) на частини машини. </w:t>
      </w:r>
    </w:p>
    <w:p w14:paraId="1BE9E00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Примітка 2. Пуск машини протягом нормальної роботи в автоматичному циклі не є ненавмисним, але його можна вважати неочікуваним з точки зору оператора. У цьому разі для запобігання нещасним випадкам вживають заходи захисту (див. 6.3). </w:t>
      </w:r>
    </w:p>
    <w:p w14:paraId="76451BB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Примітка 3. Див. вимоги ISO 14118, 3.2 </w:t>
      </w:r>
    </w:p>
    <w:p w14:paraId="54449F15"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6797C89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НЕПАРАЛЕЛЬНІСТЬ</w:t>
      </w:r>
      <w:r w:rsidRPr="000977F7">
        <w:rPr>
          <w:color w:val="auto"/>
          <w:spacing w:val="-4"/>
          <w:sz w:val="20"/>
          <w:szCs w:val="20"/>
        </w:rPr>
        <w:t xml:space="preserve"> </w:t>
      </w:r>
      <w:r w:rsidRPr="000977F7">
        <w:rPr>
          <w:color w:val="auto"/>
          <w:sz w:val="20"/>
          <w:szCs w:val="20"/>
        </w:rPr>
        <w:t>-</w:t>
      </w:r>
    </w:p>
    <w:p w14:paraId="44F7FCA9" w14:textId="77777777" w:rsidR="0097612F" w:rsidRPr="004D2D14" w:rsidRDefault="0097612F" w:rsidP="00FD39A4">
      <w:pPr>
        <w:pStyle w:val="ac"/>
        <w:widowControl w:val="0"/>
        <w:numPr>
          <w:ilvl w:val="1"/>
          <w:numId w:val="180"/>
        </w:numPr>
        <w:tabs>
          <w:tab w:val="left" w:pos="284"/>
          <w:tab w:val="left" w:pos="439"/>
        </w:tabs>
        <w:autoSpaceDE w:val="0"/>
        <w:autoSpaceDN w:val="0"/>
        <w:spacing w:after="0" w:line="240" w:lineRule="auto"/>
        <w:ind w:left="170" w:firstLine="0"/>
        <w:contextualSpacing w:val="0"/>
        <w:mirrorIndents/>
        <w:jc w:val="both"/>
        <w:rPr>
          <w:rFonts w:asciiTheme="majorHAnsi" w:hAnsiTheme="majorHAnsi"/>
          <w:sz w:val="20"/>
          <w:szCs w:val="20"/>
          <w:lang w:val="uk-UA"/>
        </w:rPr>
      </w:pPr>
      <w:r w:rsidRPr="004D2D14">
        <w:rPr>
          <w:rFonts w:asciiTheme="majorHAnsi" w:hAnsiTheme="majorHAnsi"/>
          <w:sz w:val="20"/>
          <w:szCs w:val="20"/>
          <w:lang w:val="uk-UA"/>
        </w:rPr>
        <w:t>осей – відхилення від паралельності, яке визначається як геометрична сума відхилень від паралельності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проекцій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вісей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двох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взаємно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перпендикулярних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площинах,</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одна</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із</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яких</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є</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загальною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площиною</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вісей;</w:t>
      </w:r>
    </w:p>
    <w:p w14:paraId="78A4C020" w14:textId="77777777" w:rsidR="0097612F" w:rsidRPr="004D2D14" w:rsidRDefault="0097612F" w:rsidP="00FD39A4">
      <w:pPr>
        <w:pStyle w:val="ac"/>
        <w:widowControl w:val="0"/>
        <w:numPr>
          <w:ilvl w:val="1"/>
          <w:numId w:val="180"/>
        </w:numPr>
        <w:tabs>
          <w:tab w:val="left" w:pos="284"/>
          <w:tab w:val="left" w:pos="434"/>
        </w:tabs>
        <w:autoSpaceDE w:val="0"/>
        <w:autoSpaceDN w:val="0"/>
        <w:spacing w:after="0" w:line="240" w:lineRule="auto"/>
        <w:ind w:left="170" w:firstLine="0"/>
        <w:contextualSpacing w:val="0"/>
        <w:mirrorIndents/>
        <w:jc w:val="both"/>
        <w:rPr>
          <w:rFonts w:asciiTheme="majorHAnsi" w:hAnsiTheme="majorHAnsi"/>
          <w:sz w:val="20"/>
          <w:szCs w:val="20"/>
          <w:lang w:val="uk-UA"/>
        </w:rPr>
      </w:pPr>
      <w:r w:rsidRPr="004D2D14">
        <w:rPr>
          <w:rFonts w:asciiTheme="majorHAnsi" w:hAnsiTheme="majorHAnsi"/>
          <w:sz w:val="20"/>
          <w:szCs w:val="20"/>
          <w:lang w:val="uk-UA"/>
        </w:rPr>
        <w:t>площин –</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відхилення від</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паралельності,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яке</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визначається</w:t>
      </w:r>
      <w:r w:rsidRPr="004D2D14">
        <w:rPr>
          <w:rFonts w:asciiTheme="majorHAnsi" w:hAnsiTheme="majorHAnsi"/>
          <w:spacing w:val="29"/>
          <w:sz w:val="20"/>
          <w:szCs w:val="20"/>
          <w:lang w:val="uk-UA"/>
        </w:rPr>
        <w:t xml:space="preserve"> </w:t>
      </w:r>
      <w:r w:rsidRPr="004D2D14">
        <w:rPr>
          <w:rFonts w:asciiTheme="majorHAnsi" w:hAnsiTheme="majorHAnsi"/>
          <w:sz w:val="20"/>
          <w:szCs w:val="20"/>
          <w:lang w:val="uk-UA"/>
        </w:rPr>
        <w:t>як</w:t>
      </w:r>
      <w:r w:rsidRPr="004D2D14">
        <w:rPr>
          <w:rFonts w:asciiTheme="majorHAnsi" w:hAnsiTheme="majorHAnsi"/>
          <w:spacing w:val="30"/>
          <w:sz w:val="20"/>
          <w:szCs w:val="20"/>
          <w:lang w:val="uk-UA"/>
        </w:rPr>
        <w:t xml:space="preserve"> </w:t>
      </w:r>
      <w:r w:rsidRPr="004D2D14">
        <w:rPr>
          <w:rFonts w:asciiTheme="majorHAnsi" w:hAnsiTheme="majorHAnsi"/>
          <w:sz w:val="20"/>
          <w:szCs w:val="20"/>
          <w:lang w:val="uk-UA"/>
        </w:rPr>
        <w:t>різниця</w:t>
      </w:r>
      <w:r w:rsidRPr="004D2D14">
        <w:rPr>
          <w:rFonts w:asciiTheme="majorHAnsi" w:hAnsiTheme="majorHAnsi"/>
          <w:spacing w:val="30"/>
          <w:sz w:val="20"/>
          <w:szCs w:val="20"/>
          <w:lang w:val="uk-UA"/>
        </w:rPr>
        <w:t xml:space="preserve"> </w:t>
      </w:r>
      <w:r w:rsidRPr="004D2D14">
        <w:rPr>
          <w:rFonts w:asciiTheme="majorHAnsi" w:hAnsiTheme="majorHAnsi"/>
          <w:sz w:val="20"/>
          <w:szCs w:val="20"/>
          <w:lang w:val="uk-UA"/>
        </w:rPr>
        <w:t>найбільшої</w:t>
      </w:r>
      <w:r w:rsidRPr="004D2D14">
        <w:rPr>
          <w:rFonts w:asciiTheme="majorHAnsi" w:hAnsiTheme="majorHAnsi"/>
          <w:spacing w:val="30"/>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33"/>
          <w:sz w:val="20"/>
          <w:szCs w:val="20"/>
          <w:lang w:val="uk-UA"/>
        </w:rPr>
        <w:t xml:space="preserve"> </w:t>
      </w:r>
      <w:r w:rsidRPr="004D2D14">
        <w:rPr>
          <w:rFonts w:asciiTheme="majorHAnsi" w:hAnsiTheme="majorHAnsi"/>
          <w:sz w:val="20"/>
          <w:szCs w:val="20"/>
          <w:lang w:val="uk-UA"/>
        </w:rPr>
        <w:t>найменшої</w:t>
      </w:r>
      <w:r w:rsidRPr="004D2D14">
        <w:rPr>
          <w:rFonts w:asciiTheme="majorHAnsi" w:hAnsiTheme="majorHAnsi"/>
          <w:spacing w:val="30"/>
          <w:sz w:val="20"/>
          <w:szCs w:val="20"/>
          <w:lang w:val="uk-UA"/>
        </w:rPr>
        <w:t xml:space="preserve"> </w:t>
      </w:r>
      <w:r w:rsidRPr="004D2D14">
        <w:rPr>
          <w:rFonts w:asciiTheme="majorHAnsi" w:hAnsiTheme="majorHAnsi"/>
          <w:sz w:val="20"/>
          <w:szCs w:val="20"/>
          <w:lang w:val="uk-UA"/>
        </w:rPr>
        <w:t>відстаней</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між площинами в межах нормованої ділянки</w:t>
      </w:r>
      <w:r w:rsidRPr="004D2D14">
        <w:rPr>
          <w:rFonts w:asciiTheme="majorHAnsi" w:hAnsiTheme="majorHAnsi"/>
          <w:spacing w:val="1"/>
          <w:sz w:val="20"/>
          <w:szCs w:val="20"/>
          <w:lang w:val="uk-UA"/>
        </w:rPr>
        <w:t xml:space="preserve"> </w:t>
      </w:r>
    </w:p>
    <w:p w14:paraId="636B7892" w14:textId="77777777" w:rsidR="0097612F" w:rsidRPr="004D2D14" w:rsidRDefault="0097612F" w:rsidP="000977F7">
      <w:pPr>
        <w:pStyle w:val="ac"/>
        <w:tabs>
          <w:tab w:val="left" w:pos="284"/>
          <w:tab w:val="left" w:pos="434"/>
        </w:tabs>
        <w:spacing w:after="0" w:line="240" w:lineRule="auto"/>
        <w:ind w:left="170"/>
        <w:mirrorIndents/>
        <w:jc w:val="both"/>
        <w:rPr>
          <w:rFonts w:asciiTheme="majorHAnsi" w:hAnsiTheme="majorHAnsi"/>
          <w:b/>
          <w:sz w:val="20"/>
          <w:szCs w:val="20"/>
          <w:lang w:val="uk-UA"/>
        </w:rPr>
      </w:pPr>
      <w:r w:rsidRPr="004D2D14">
        <w:rPr>
          <w:rFonts w:asciiTheme="majorHAnsi" w:hAnsiTheme="majorHAnsi"/>
          <w:b/>
          <w:sz w:val="20"/>
          <w:szCs w:val="20"/>
          <w:lang w:val="uk-UA"/>
        </w:rPr>
        <w:t>НЕПЕРЕДБАЧЕНА</w:t>
      </w:r>
      <w:r w:rsidRPr="004D2D14">
        <w:rPr>
          <w:rFonts w:asciiTheme="majorHAnsi" w:hAnsiTheme="majorHAnsi"/>
          <w:b/>
          <w:spacing w:val="-2"/>
          <w:sz w:val="20"/>
          <w:szCs w:val="20"/>
          <w:lang w:val="uk-UA"/>
        </w:rPr>
        <w:t xml:space="preserve"> </w:t>
      </w:r>
      <w:r w:rsidRPr="004D2D14">
        <w:rPr>
          <w:rFonts w:asciiTheme="majorHAnsi" w:hAnsiTheme="majorHAnsi"/>
          <w:b/>
          <w:sz w:val="20"/>
          <w:szCs w:val="20"/>
          <w:lang w:val="uk-UA"/>
        </w:rPr>
        <w:t>(РАПТОВА)</w:t>
      </w:r>
      <w:r w:rsidRPr="004D2D14">
        <w:rPr>
          <w:rFonts w:asciiTheme="majorHAnsi" w:hAnsiTheme="majorHAnsi"/>
          <w:b/>
          <w:spacing w:val="-1"/>
          <w:sz w:val="20"/>
          <w:szCs w:val="20"/>
          <w:lang w:val="uk-UA"/>
        </w:rPr>
        <w:t xml:space="preserve"> </w:t>
      </w:r>
      <w:r w:rsidRPr="004D2D14">
        <w:rPr>
          <w:rFonts w:asciiTheme="majorHAnsi" w:hAnsiTheme="majorHAnsi"/>
          <w:b/>
          <w:sz w:val="20"/>
          <w:szCs w:val="20"/>
          <w:lang w:val="uk-UA"/>
        </w:rPr>
        <w:t>ВІДМОВ</w:t>
      </w:r>
      <w:r w:rsidRPr="000977F7">
        <w:rPr>
          <w:rFonts w:asciiTheme="majorHAnsi" w:hAnsiTheme="majorHAnsi"/>
          <w:b/>
          <w:sz w:val="20"/>
          <w:szCs w:val="20"/>
        </w:rPr>
        <w:t>A</w:t>
      </w:r>
      <w:r w:rsidRPr="004D2D14">
        <w:rPr>
          <w:rFonts w:asciiTheme="majorHAnsi" w:hAnsiTheme="majorHAnsi"/>
          <w:b/>
          <w:spacing w:val="3"/>
          <w:sz w:val="20"/>
          <w:szCs w:val="20"/>
          <w:lang w:val="uk-UA"/>
        </w:rPr>
        <w:t xml:space="preserve"> </w:t>
      </w:r>
      <w:r w:rsidRPr="004D2D14">
        <w:rPr>
          <w:rFonts w:asciiTheme="majorHAnsi" w:hAnsiTheme="majorHAnsi"/>
          <w:b/>
          <w:sz w:val="20"/>
          <w:szCs w:val="20"/>
          <w:lang w:val="uk-UA"/>
        </w:rPr>
        <w:t>–</w:t>
      </w:r>
    </w:p>
    <w:p w14:paraId="2CFD5713" w14:textId="77777777" w:rsidR="0097612F" w:rsidRPr="004D2D14" w:rsidRDefault="0097612F" w:rsidP="000977F7">
      <w:pPr>
        <w:pStyle w:val="ac"/>
        <w:tabs>
          <w:tab w:val="left" w:pos="284"/>
          <w:tab w:val="left" w:pos="434"/>
        </w:tabs>
        <w:spacing w:after="0" w:line="240" w:lineRule="auto"/>
        <w:ind w:left="170"/>
        <w:mirrorIndents/>
        <w:jc w:val="both"/>
        <w:rPr>
          <w:rFonts w:asciiTheme="majorHAnsi" w:hAnsiTheme="majorHAnsi"/>
          <w:sz w:val="20"/>
          <w:szCs w:val="20"/>
          <w:lang w:val="uk-UA"/>
        </w:rPr>
      </w:pPr>
      <w:r w:rsidRPr="000977F7">
        <w:rPr>
          <w:rFonts w:asciiTheme="majorHAnsi" w:hAnsiTheme="majorHAnsi"/>
          <w:sz w:val="20"/>
          <w:szCs w:val="20"/>
        </w:rPr>
        <w:t>SUDDEN</w:t>
      </w:r>
      <w:r w:rsidRPr="004D2D14">
        <w:rPr>
          <w:rFonts w:asciiTheme="majorHAnsi" w:hAnsiTheme="majorHAnsi"/>
          <w:spacing w:val="-1"/>
          <w:sz w:val="20"/>
          <w:szCs w:val="20"/>
          <w:lang w:val="uk-UA"/>
        </w:rPr>
        <w:t xml:space="preserve"> </w:t>
      </w:r>
      <w:r w:rsidRPr="000977F7">
        <w:rPr>
          <w:rFonts w:asciiTheme="majorHAnsi" w:hAnsiTheme="majorHAnsi"/>
          <w:sz w:val="20"/>
          <w:szCs w:val="20"/>
        </w:rPr>
        <w:t>FAILURE</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0E024C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 яку неможливо передбачити при огляді або</w:t>
      </w:r>
      <w:r w:rsidRPr="000977F7">
        <w:rPr>
          <w:rFonts w:asciiTheme="majorHAnsi" w:hAnsiTheme="majorHAnsi"/>
          <w:spacing w:val="1"/>
          <w:sz w:val="20"/>
          <w:szCs w:val="20"/>
        </w:rPr>
        <w:t xml:space="preserve"> </w:t>
      </w:r>
      <w:r w:rsidRPr="000977F7">
        <w:rPr>
          <w:rFonts w:asciiTheme="majorHAnsi" w:hAnsiTheme="majorHAnsi"/>
          <w:sz w:val="20"/>
          <w:szCs w:val="20"/>
        </w:rPr>
        <w:t>профілактичному</w:t>
      </w:r>
      <w:r w:rsidRPr="000977F7">
        <w:rPr>
          <w:rFonts w:asciiTheme="majorHAnsi" w:hAnsiTheme="majorHAnsi"/>
          <w:spacing w:val="-5"/>
          <w:sz w:val="20"/>
          <w:szCs w:val="20"/>
        </w:rPr>
        <w:t xml:space="preserve"> </w:t>
      </w:r>
      <w:r w:rsidRPr="000977F7">
        <w:rPr>
          <w:rFonts w:asciiTheme="majorHAnsi" w:hAnsiTheme="majorHAnsi"/>
          <w:sz w:val="20"/>
          <w:szCs w:val="20"/>
        </w:rPr>
        <w:t>обслуговуванні</w:t>
      </w:r>
    </w:p>
    <w:p w14:paraId="0930E66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НЕПЕРПЕНДИКУЛЯРНІСТЬ</w:t>
      </w:r>
      <w:r w:rsidRPr="000977F7">
        <w:rPr>
          <w:color w:val="auto"/>
          <w:spacing w:val="-7"/>
          <w:sz w:val="20"/>
          <w:szCs w:val="20"/>
        </w:rPr>
        <w:t xml:space="preserve"> </w:t>
      </w:r>
      <w:r w:rsidRPr="000977F7">
        <w:rPr>
          <w:color w:val="auto"/>
          <w:sz w:val="20"/>
          <w:szCs w:val="20"/>
        </w:rPr>
        <w:t>ПЛОЩИН</w:t>
      </w:r>
      <w:r w:rsidRPr="000977F7">
        <w:rPr>
          <w:color w:val="auto"/>
          <w:spacing w:val="-3"/>
          <w:sz w:val="20"/>
          <w:szCs w:val="20"/>
        </w:rPr>
        <w:t xml:space="preserve"> </w:t>
      </w:r>
      <w:r w:rsidRPr="000977F7">
        <w:rPr>
          <w:color w:val="auto"/>
          <w:sz w:val="20"/>
          <w:szCs w:val="20"/>
        </w:rPr>
        <w:t>-</w:t>
      </w:r>
    </w:p>
    <w:p w14:paraId="34042D5A" w14:textId="77777777" w:rsidR="0097612F" w:rsidRPr="000977F7" w:rsidRDefault="0097612F" w:rsidP="000977F7">
      <w:pPr>
        <w:pStyle w:val="af6"/>
        <w:tabs>
          <w:tab w:val="left" w:pos="284"/>
        </w:tabs>
        <w:spacing w:after="0"/>
        <w:ind w:left="170"/>
        <w:mirrorIndents/>
        <w:jc w:val="both"/>
        <w:rPr>
          <w:rFonts w:asciiTheme="majorHAnsi" w:hAnsiTheme="majorHAnsi"/>
          <w:spacing w:val="-3"/>
          <w:sz w:val="20"/>
          <w:szCs w:val="20"/>
        </w:rPr>
      </w:pPr>
      <w:r w:rsidRPr="000977F7">
        <w:rPr>
          <w:rFonts w:asciiTheme="majorHAnsi" w:hAnsiTheme="majorHAnsi"/>
          <w:spacing w:val="-3"/>
          <w:sz w:val="20"/>
          <w:szCs w:val="20"/>
        </w:rPr>
        <w:t>Відхилення</w:t>
      </w:r>
      <w:r w:rsidRPr="000977F7">
        <w:rPr>
          <w:rFonts w:asciiTheme="majorHAnsi" w:hAnsiTheme="majorHAnsi"/>
          <w:spacing w:val="-10"/>
          <w:sz w:val="20"/>
          <w:szCs w:val="20"/>
        </w:rPr>
        <w:t xml:space="preserve"> </w:t>
      </w:r>
      <w:r w:rsidRPr="000977F7">
        <w:rPr>
          <w:rFonts w:asciiTheme="majorHAnsi" w:hAnsiTheme="majorHAnsi"/>
          <w:spacing w:val="-3"/>
          <w:sz w:val="20"/>
          <w:szCs w:val="20"/>
        </w:rPr>
        <w:t>від</w:t>
      </w:r>
      <w:r w:rsidRPr="000977F7">
        <w:rPr>
          <w:rFonts w:asciiTheme="majorHAnsi" w:hAnsiTheme="majorHAnsi"/>
          <w:spacing w:val="-9"/>
          <w:sz w:val="20"/>
          <w:szCs w:val="20"/>
        </w:rPr>
        <w:t xml:space="preserve"> </w:t>
      </w:r>
      <w:r w:rsidRPr="000977F7">
        <w:rPr>
          <w:rFonts w:asciiTheme="majorHAnsi" w:hAnsiTheme="majorHAnsi"/>
          <w:spacing w:val="-3"/>
          <w:sz w:val="20"/>
          <w:szCs w:val="20"/>
        </w:rPr>
        <w:t>перпендикулярності,</w:t>
      </w:r>
      <w:r w:rsidRPr="000977F7">
        <w:rPr>
          <w:rFonts w:asciiTheme="majorHAnsi" w:hAnsiTheme="majorHAnsi"/>
          <w:spacing w:val="-8"/>
          <w:sz w:val="20"/>
          <w:szCs w:val="20"/>
        </w:rPr>
        <w:t xml:space="preserve"> </w:t>
      </w:r>
      <w:r w:rsidRPr="000977F7">
        <w:rPr>
          <w:rFonts w:asciiTheme="majorHAnsi" w:hAnsiTheme="majorHAnsi"/>
          <w:spacing w:val="-3"/>
          <w:sz w:val="20"/>
          <w:szCs w:val="20"/>
        </w:rPr>
        <w:t>яке</w:t>
      </w:r>
      <w:r w:rsidRPr="000977F7">
        <w:rPr>
          <w:rFonts w:asciiTheme="majorHAnsi" w:hAnsiTheme="majorHAnsi"/>
          <w:spacing w:val="-9"/>
          <w:sz w:val="20"/>
          <w:szCs w:val="20"/>
        </w:rPr>
        <w:t xml:space="preserve"> </w:t>
      </w:r>
      <w:r w:rsidRPr="000977F7">
        <w:rPr>
          <w:rFonts w:asciiTheme="majorHAnsi" w:hAnsiTheme="majorHAnsi"/>
          <w:spacing w:val="-3"/>
          <w:sz w:val="20"/>
          <w:szCs w:val="20"/>
        </w:rPr>
        <w:t>визначається</w:t>
      </w:r>
      <w:r w:rsidRPr="000977F7">
        <w:rPr>
          <w:rFonts w:asciiTheme="majorHAnsi" w:hAnsiTheme="majorHAnsi"/>
          <w:spacing w:val="-9"/>
          <w:sz w:val="20"/>
          <w:szCs w:val="20"/>
        </w:rPr>
        <w:t xml:space="preserve"> </w:t>
      </w:r>
      <w:r w:rsidRPr="000977F7">
        <w:rPr>
          <w:rFonts w:asciiTheme="majorHAnsi" w:hAnsiTheme="majorHAnsi"/>
          <w:spacing w:val="-2"/>
          <w:sz w:val="20"/>
          <w:szCs w:val="20"/>
        </w:rPr>
        <w:t>як</w:t>
      </w:r>
      <w:r w:rsidRPr="000977F7">
        <w:rPr>
          <w:rFonts w:asciiTheme="majorHAnsi" w:hAnsiTheme="majorHAnsi"/>
          <w:spacing w:val="-47"/>
          <w:sz w:val="20"/>
          <w:szCs w:val="20"/>
        </w:rPr>
        <w:t xml:space="preserve"> </w:t>
      </w:r>
      <w:r w:rsidRPr="000977F7">
        <w:rPr>
          <w:rFonts w:asciiTheme="majorHAnsi" w:hAnsiTheme="majorHAnsi"/>
          <w:sz w:val="20"/>
          <w:szCs w:val="20"/>
        </w:rPr>
        <w:t>відхилення</w:t>
      </w:r>
      <w:r w:rsidRPr="000977F7">
        <w:rPr>
          <w:rFonts w:asciiTheme="majorHAnsi" w:hAnsiTheme="majorHAnsi"/>
          <w:spacing w:val="3"/>
          <w:sz w:val="20"/>
          <w:szCs w:val="20"/>
        </w:rPr>
        <w:t xml:space="preserve"> </w:t>
      </w:r>
      <w:r w:rsidRPr="000977F7">
        <w:rPr>
          <w:rFonts w:asciiTheme="majorHAnsi" w:hAnsiTheme="majorHAnsi"/>
          <w:sz w:val="20"/>
          <w:szCs w:val="20"/>
        </w:rPr>
        <w:t>кута</w:t>
      </w:r>
      <w:r w:rsidRPr="000977F7">
        <w:rPr>
          <w:rFonts w:asciiTheme="majorHAnsi" w:hAnsiTheme="majorHAnsi"/>
          <w:spacing w:val="3"/>
          <w:sz w:val="20"/>
          <w:szCs w:val="20"/>
        </w:rPr>
        <w:t xml:space="preserve"> </w:t>
      </w:r>
      <w:r w:rsidRPr="000977F7">
        <w:rPr>
          <w:rFonts w:asciiTheme="majorHAnsi" w:hAnsiTheme="majorHAnsi"/>
          <w:sz w:val="20"/>
          <w:szCs w:val="20"/>
        </w:rPr>
        <w:t>між</w:t>
      </w:r>
      <w:r w:rsidRPr="000977F7">
        <w:rPr>
          <w:rFonts w:asciiTheme="majorHAnsi" w:hAnsiTheme="majorHAnsi"/>
          <w:spacing w:val="3"/>
          <w:sz w:val="20"/>
          <w:szCs w:val="20"/>
        </w:rPr>
        <w:t xml:space="preserve"> </w:t>
      </w:r>
      <w:r w:rsidRPr="000977F7">
        <w:rPr>
          <w:rFonts w:asciiTheme="majorHAnsi" w:hAnsiTheme="majorHAnsi"/>
          <w:sz w:val="20"/>
          <w:szCs w:val="20"/>
        </w:rPr>
        <w:t>площинами</w:t>
      </w:r>
      <w:r w:rsidRPr="000977F7">
        <w:rPr>
          <w:rFonts w:asciiTheme="majorHAnsi" w:hAnsiTheme="majorHAnsi"/>
          <w:spacing w:val="3"/>
          <w:sz w:val="20"/>
          <w:szCs w:val="20"/>
        </w:rPr>
        <w:t xml:space="preserve"> </w:t>
      </w:r>
      <w:r w:rsidRPr="000977F7">
        <w:rPr>
          <w:rFonts w:asciiTheme="majorHAnsi" w:hAnsiTheme="majorHAnsi"/>
          <w:sz w:val="20"/>
          <w:szCs w:val="20"/>
        </w:rPr>
        <w:t>від</w:t>
      </w:r>
      <w:r w:rsidRPr="000977F7">
        <w:rPr>
          <w:rFonts w:asciiTheme="majorHAnsi" w:hAnsiTheme="majorHAnsi"/>
          <w:spacing w:val="3"/>
          <w:sz w:val="20"/>
          <w:szCs w:val="20"/>
        </w:rPr>
        <w:t xml:space="preserve"> </w:t>
      </w:r>
      <w:r w:rsidRPr="000977F7">
        <w:rPr>
          <w:rFonts w:asciiTheme="majorHAnsi" w:hAnsiTheme="majorHAnsi"/>
          <w:sz w:val="20"/>
          <w:szCs w:val="20"/>
        </w:rPr>
        <w:t>прямого</w:t>
      </w:r>
      <w:r w:rsidRPr="000977F7">
        <w:rPr>
          <w:rFonts w:asciiTheme="majorHAnsi" w:hAnsiTheme="majorHAnsi"/>
          <w:spacing w:val="5"/>
          <w:sz w:val="20"/>
          <w:szCs w:val="20"/>
        </w:rPr>
        <w:t xml:space="preserve"> </w:t>
      </w:r>
      <w:r w:rsidRPr="000977F7">
        <w:rPr>
          <w:rFonts w:asciiTheme="majorHAnsi" w:hAnsiTheme="majorHAnsi"/>
          <w:sz w:val="20"/>
          <w:szCs w:val="20"/>
        </w:rPr>
        <w:t>кута,</w:t>
      </w:r>
      <w:r w:rsidRPr="000977F7">
        <w:rPr>
          <w:rFonts w:asciiTheme="majorHAnsi" w:hAnsiTheme="majorHAnsi"/>
          <w:spacing w:val="4"/>
          <w:sz w:val="20"/>
          <w:szCs w:val="20"/>
        </w:rPr>
        <w:t xml:space="preserve"> </w:t>
      </w:r>
      <w:r w:rsidRPr="000977F7">
        <w:rPr>
          <w:rFonts w:asciiTheme="majorHAnsi" w:hAnsiTheme="majorHAnsi"/>
          <w:sz w:val="20"/>
          <w:szCs w:val="20"/>
        </w:rPr>
        <w:t>ви</w:t>
      </w:r>
      <w:r w:rsidRPr="000977F7">
        <w:rPr>
          <w:rFonts w:asciiTheme="majorHAnsi" w:hAnsiTheme="majorHAnsi"/>
          <w:spacing w:val="-4"/>
          <w:sz w:val="20"/>
          <w:szCs w:val="20"/>
        </w:rPr>
        <w:t xml:space="preserve">ражене в лінійних одиницях в межах </w:t>
      </w:r>
      <w:r w:rsidRPr="000977F7">
        <w:rPr>
          <w:rFonts w:asciiTheme="majorHAnsi" w:hAnsiTheme="majorHAnsi"/>
          <w:spacing w:val="-3"/>
          <w:sz w:val="20"/>
          <w:szCs w:val="20"/>
        </w:rPr>
        <w:t>нормованої ланки</w:t>
      </w:r>
    </w:p>
    <w:p w14:paraId="1F4C9C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
          <w:sz w:val="20"/>
          <w:szCs w:val="20"/>
        </w:rPr>
        <w:t>НЕПЕРЕРВНЕ</w:t>
      </w:r>
      <w:r w:rsidRPr="000977F7">
        <w:rPr>
          <w:rFonts w:asciiTheme="majorHAnsi" w:hAnsiTheme="majorHAnsi"/>
          <w:b/>
          <w:spacing w:val="-2"/>
          <w:sz w:val="20"/>
          <w:szCs w:val="20"/>
        </w:rPr>
        <w:t xml:space="preserve"> </w:t>
      </w:r>
      <w:r w:rsidRPr="000977F7">
        <w:rPr>
          <w:rFonts w:asciiTheme="majorHAnsi" w:hAnsiTheme="majorHAnsi"/>
          <w:b/>
          <w:sz w:val="20"/>
          <w:szCs w:val="20"/>
        </w:rPr>
        <w:t>ДІЯННЯ</w:t>
      </w:r>
      <w:r w:rsidRPr="000977F7">
        <w:rPr>
          <w:rFonts w:asciiTheme="majorHAnsi" w:hAnsiTheme="majorHAnsi"/>
          <w:b/>
          <w:spacing w:val="3"/>
          <w:sz w:val="20"/>
          <w:szCs w:val="20"/>
        </w:rPr>
        <w:t xml:space="preserve"> </w:t>
      </w:r>
      <w:r w:rsidRPr="000977F7">
        <w:rPr>
          <w:rFonts w:asciiTheme="majorHAnsi" w:hAnsiTheme="majorHAnsi"/>
          <w:sz w:val="20"/>
          <w:szCs w:val="20"/>
        </w:rPr>
        <w:t>-</w:t>
      </w:r>
    </w:p>
    <w:p w14:paraId="590B8E1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CONTINUOUS</w:t>
      </w:r>
      <w:r w:rsidRPr="000977F7">
        <w:rPr>
          <w:rFonts w:asciiTheme="majorHAnsi" w:hAnsiTheme="majorHAnsi"/>
          <w:spacing w:val="-1"/>
          <w:sz w:val="20"/>
          <w:szCs w:val="20"/>
        </w:rPr>
        <w:t xml:space="preserve"> </w:t>
      </w:r>
      <w:r w:rsidRPr="000977F7">
        <w:rPr>
          <w:rFonts w:asciiTheme="majorHAnsi" w:hAnsiTheme="majorHAnsi"/>
          <w:sz w:val="20"/>
          <w:szCs w:val="20"/>
        </w:rPr>
        <w:t>ACTION -</w:t>
      </w:r>
    </w:p>
    <w:p w14:paraId="2B55F8D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Діяння,</w:t>
      </w:r>
      <w:r w:rsidRPr="000977F7">
        <w:rPr>
          <w:rFonts w:asciiTheme="majorHAnsi" w:hAnsiTheme="majorHAnsi"/>
          <w:spacing w:val="-5"/>
          <w:sz w:val="20"/>
          <w:szCs w:val="20"/>
        </w:rPr>
        <w:t xml:space="preserve"> </w:t>
      </w:r>
      <w:r w:rsidRPr="000977F7">
        <w:rPr>
          <w:rFonts w:asciiTheme="majorHAnsi" w:hAnsiTheme="majorHAnsi"/>
          <w:sz w:val="20"/>
          <w:szCs w:val="20"/>
        </w:rPr>
        <w:t>дієва</w:t>
      </w:r>
      <w:r w:rsidRPr="000977F7">
        <w:rPr>
          <w:rFonts w:asciiTheme="majorHAnsi" w:hAnsiTheme="majorHAnsi"/>
          <w:spacing w:val="-5"/>
          <w:sz w:val="20"/>
          <w:szCs w:val="20"/>
        </w:rPr>
        <w:t xml:space="preserve"> </w:t>
      </w:r>
      <w:r w:rsidRPr="000977F7">
        <w:rPr>
          <w:rFonts w:asciiTheme="majorHAnsi" w:hAnsiTheme="majorHAnsi"/>
          <w:sz w:val="20"/>
          <w:szCs w:val="20"/>
        </w:rPr>
        <w:t>величина</w:t>
      </w:r>
      <w:r w:rsidRPr="000977F7">
        <w:rPr>
          <w:rFonts w:asciiTheme="majorHAnsi" w:hAnsiTheme="majorHAnsi"/>
          <w:spacing w:val="-4"/>
          <w:sz w:val="20"/>
          <w:szCs w:val="20"/>
        </w:rPr>
        <w:t xml:space="preserve"> </w:t>
      </w:r>
      <w:r w:rsidRPr="000977F7">
        <w:rPr>
          <w:rFonts w:asciiTheme="majorHAnsi" w:hAnsiTheme="majorHAnsi"/>
          <w:sz w:val="20"/>
          <w:szCs w:val="20"/>
        </w:rPr>
        <w:t>якого</w:t>
      </w:r>
      <w:r w:rsidRPr="000977F7">
        <w:rPr>
          <w:rFonts w:asciiTheme="majorHAnsi" w:hAnsiTheme="majorHAnsi"/>
          <w:spacing w:val="-3"/>
          <w:sz w:val="20"/>
          <w:szCs w:val="20"/>
        </w:rPr>
        <w:t xml:space="preserve"> </w:t>
      </w:r>
      <w:r w:rsidRPr="000977F7">
        <w:rPr>
          <w:rFonts w:asciiTheme="majorHAnsi" w:hAnsiTheme="majorHAnsi"/>
          <w:sz w:val="20"/>
          <w:szCs w:val="20"/>
        </w:rPr>
        <w:t>є</w:t>
      </w:r>
      <w:r w:rsidRPr="000977F7">
        <w:rPr>
          <w:rFonts w:asciiTheme="majorHAnsi" w:hAnsiTheme="majorHAnsi"/>
          <w:spacing w:val="-5"/>
          <w:sz w:val="20"/>
          <w:szCs w:val="20"/>
        </w:rPr>
        <w:t xml:space="preserve"> </w:t>
      </w:r>
      <w:r w:rsidRPr="000977F7">
        <w:rPr>
          <w:rFonts w:asciiTheme="majorHAnsi" w:hAnsiTheme="majorHAnsi"/>
          <w:sz w:val="20"/>
          <w:szCs w:val="20"/>
        </w:rPr>
        <w:t>неперервною</w:t>
      </w:r>
      <w:r w:rsidRPr="000977F7">
        <w:rPr>
          <w:rFonts w:asciiTheme="majorHAnsi" w:hAnsiTheme="majorHAnsi"/>
          <w:spacing w:val="-4"/>
          <w:sz w:val="20"/>
          <w:szCs w:val="20"/>
        </w:rPr>
        <w:t xml:space="preserve"> </w:t>
      </w:r>
      <w:r w:rsidRPr="000977F7">
        <w:rPr>
          <w:rFonts w:asciiTheme="majorHAnsi" w:hAnsiTheme="majorHAnsi"/>
          <w:sz w:val="20"/>
          <w:szCs w:val="20"/>
        </w:rPr>
        <w:t>функцією</w:t>
      </w:r>
      <w:r w:rsidRPr="000977F7">
        <w:rPr>
          <w:rFonts w:asciiTheme="majorHAnsi" w:hAnsiTheme="majorHAnsi"/>
          <w:spacing w:val="-47"/>
          <w:sz w:val="20"/>
          <w:szCs w:val="20"/>
        </w:rPr>
        <w:t xml:space="preserve"> </w:t>
      </w:r>
      <w:r w:rsidRPr="000977F7">
        <w:rPr>
          <w:rFonts w:asciiTheme="majorHAnsi" w:hAnsiTheme="majorHAnsi"/>
          <w:sz w:val="20"/>
          <w:szCs w:val="20"/>
        </w:rPr>
        <w:t>часу</w:t>
      </w:r>
    </w:p>
    <w:p w14:paraId="1C393C8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3956 - 2000</w:t>
      </w:r>
    </w:p>
    <w:p w14:paraId="5AD5009B"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bookmarkStart w:id="143" w:name="_Hlk101075790"/>
      <w:r w:rsidRPr="000977F7">
        <w:rPr>
          <w:rFonts w:asciiTheme="majorHAnsi" w:hAnsiTheme="majorHAnsi"/>
          <w:b/>
          <w:sz w:val="20"/>
          <w:szCs w:val="20"/>
        </w:rPr>
        <w:t>НЕПЕРЕРВНИЙ СИГНАЛ –</w:t>
      </w:r>
    </w:p>
    <w:p w14:paraId="38851F2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CONTINUOUS</w:t>
      </w:r>
      <w:r w:rsidRPr="000977F7">
        <w:rPr>
          <w:rFonts w:asciiTheme="majorHAnsi" w:hAnsiTheme="majorHAnsi"/>
          <w:spacing w:val="-2"/>
          <w:sz w:val="20"/>
          <w:szCs w:val="20"/>
        </w:rPr>
        <w:t xml:space="preserve"> </w:t>
      </w:r>
      <w:r w:rsidRPr="000977F7">
        <w:rPr>
          <w:rFonts w:asciiTheme="majorHAnsi" w:hAnsiTheme="majorHAnsi"/>
          <w:sz w:val="20"/>
          <w:szCs w:val="20"/>
        </w:rPr>
        <w:t>SIGNAL</w:t>
      </w:r>
      <w:r w:rsidRPr="000977F7">
        <w:rPr>
          <w:rFonts w:asciiTheme="majorHAnsi" w:hAnsiTheme="majorHAnsi"/>
          <w:spacing w:val="2"/>
          <w:sz w:val="20"/>
          <w:szCs w:val="20"/>
        </w:rPr>
        <w:t xml:space="preserve"> </w:t>
      </w:r>
      <w:r w:rsidRPr="000977F7">
        <w:rPr>
          <w:rFonts w:asciiTheme="majorHAnsi" w:hAnsiTheme="majorHAnsi"/>
          <w:sz w:val="20"/>
          <w:szCs w:val="20"/>
        </w:rPr>
        <w:t>-</w:t>
      </w:r>
      <w:bookmarkEnd w:id="143"/>
    </w:p>
    <w:p w14:paraId="660954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 інформативний параметр якого може набувати будь-яких значень у деякому діапазоні можливих</w:t>
      </w:r>
      <w:r w:rsidRPr="000977F7">
        <w:rPr>
          <w:rFonts w:asciiTheme="majorHAnsi" w:hAnsiTheme="majorHAnsi"/>
          <w:spacing w:val="1"/>
          <w:sz w:val="20"/>
          <w:szCs w:val="20"/>
        </w:rPr>
        <w:t xml:space="preserve"> </w:t>
      </w:r>
      <w:r w:rsidRPr="000977F7">
        <w:rPr>
          <w:rFonts w:asciiTheme="majorHAnsi" w:hAnsiTheme="majorHAnsi"/>
          <w:sz w:val="20"/>
          <w:szCs w:val="20"/>
        </w:rPr>
        <w:t>значень</w:t>
      </w:r>
    </w:p>
    <w:p w14:paraId="0EFA3AA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0A85E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інформативного</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r w:rsidRPr="000977F7">
        <w:rPr>
          <w:rFonts w:asciiTheme="majorHAnsi" w:hAnsiTheme="majorHAnsi"/>
          <w:spacing w:val="1"/>
          <w:sz w:val="20"/>
          <w:szCs w:val="20"/>
        </w:rPr>
        <w:t xml:space="preserve"> </w:t>
      </w:r>
      <w:r w:rsidRPr="000977F7">
        <w:rPr>
          <w:rFonts w:asciiTheme="majorHAnsi" w:hAnsiTheme="majorHAnsi"/>
          <w:sz w:val="20"/>
          <w:szCs w:val="20"/>
        </w:rPr>
        <w:t>неперервного</w:t>
      </w:r>
      <w:r w:rsidRPr="000977F7">
        <w:rPr>
          <w:rFonts w:asciiTheme="majorHAnsi" w:hAnsiTheme="majorHAnsi"/>
          <w:spacing w:val="1"/>
          <w:sz w:val="20"/>
          <w:szCs w:val="20"/>
        </w:rPr>
        <w:t xml:space="preserve"> </w:t>
      </w:r>
      <w:r w:rsidRPr="000977F7">
        <w:rPr>
          <w:rFonts w:asciiTheme="majorHAnsi" w:hAnsiTheme="majorHAnsi"/>
          <w:sz w:val="20"/>
          <w:szCs w:val="20"/>
        </w:rPr>
        <w:t>сигналу є неперервною функцією величини, що пересилається</w:t>
      </w:r>
    </w:p>
    <w:p w14:paraId="4630B6F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3956 – 2000</w:t>
      </w:r>
    </w:p>
    <w:p w14:paraId="55E7EF6E"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НЕПЛАНОВАНИЙ</w:t>
      </w:r>
      <w:r w:rsidRPr="004D2D14">
        <w:rPr>
          <w:rFonts w:asciiTheme="majorHAnsi" w:hAnsiTheme="majorHAnsi"/>
          <w:b/>
          <w:sz w:val="20"/>
          <w:szCs w:val="20"/>
          <w:lang w:val="en-US"/>
        </w:rPr>
        <w:t xml:space="preserve"> </w:t>
      </w:r>
      <w:r w:rsidRPr="000977F7">
        <w:rPr>
          <w:rFonts w:asciiTheme="majorHAnsi" w:hAnsiTheme="majorHAnsi"/>
          <w:b/>
          <w:sz w:val="20"/>
          <w:szCs w:val="20"/>
        </w:rPr>
        <w:t>РЕМОНТ</w:t>
      </w:r>
      <w:r w:rsidRPr="004D2D14">
        <w:rPr>
          <w:rFonts w:asciiTheme="majorHAnsi" w:hAnsiTheme="majorHAnsi"/>
          <w:b/>
          <w:sz w:val="20"/>
          <w:szCs w:val="20"/>
          <w:lang w:val="en-US"/>
        </w:rPr>
        <w:t xml:space="preserve"> –</w:t>
      </w:r>
    </w:p>
    <w:p w14:paraId="3DD936AA"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b/>
          <w:spacing w:val="-47"/>
          <w:sz w:val="20"/>
          <w:szCs w:val="20"/>
          <w:lang w:val="en-US"/>
        </w:rPr>
        <w:t xml:space="preserve"> </w:t>
      </w:r>
      <w:r w:rsidRPr="004D2D14">
        <w:rPr>
          <w:rFonts w:asciiTheme="majorHAnsi" w:hAnsiTheme="majorHAnsi"/>
          <w:sz w:val="20"/>
          <w:szCs w:val="20"/>
          <w:lang w:val="en-US"/>
        </w:rPr>
        <w:t>CORRECTIVE</w:t>
      </w:r>
      <w:r w:rsidRPr="004D2D14">
        <w:rPr>
          <w:rFonts w:asciiTheme="majorHAnsi" w:hAnsiTheme="majorHAnsi"/>
          <w:spacing w:val="-9"/>
          <w:sz w:val="20"/>
          <w:szCs w:val="20"/>
          <w:lang w:val="en-US"/>
        </w:rPr>
        <w:t xml:space="preserve"> </w:t>
      </w:r>
      <w:r w:rsidRPr="004D2D14">
        <w:rPr>
          <w:rFonts w:asciiTheme="majorHAnsi" w:hAnsiTheme="majorHAnsi"/>
          <w:sz w:val="20"/>
          <w:szCs w:val="20"/>
          <w:lang w:val="en-US"/>
        </w:rPr>
        <w:t>MAINTENANCE</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w:t>
      </w:r>
    </w:p>
    <w:p w14:paraId="5112DA38" w14:textId="77777777" w:rsidR="0097612F" w:rsidRPr="000977F7" w:rsidRDefault="0097612F" w:rsidP="000977F7">
      <w:pPr>
        <w:pStyle w:val="af6"/>
        <w:tabs>
          <w:tab w:val="left" w:pos="284"/>
        </w:tabs>
        <w:spacing w:after="0"/>
        <w:ind w:left="170"/>
        <w:mirrorIndents/>
        <w:jc w:val="both"/>
        <w:rPr>
          <w:rFonts w:asciiTheme="majorHAnsi" w:hAnsiTheme="majorHAnsi"/>
          <w:spacing w:val="-3"/>
          <w:sz w:val="20"/>
          <w:szCs w:val="20"/>
        </w:rPr>
      </w:pPr>
      <w:r w:rsidRPr="000977F7">
        <w:rPr>
          <w:rFonts w:asciiTheme="majorHAnsi" w:hAnsiTheme="majorHAnsi"/>
          <w:sz w:val="20"/>
          <w:szCs w:val="20"/>
        </w:rPr>
        <w:t>Технічне</w:t>
      </w:r>
      <w:r w:rsidRPr="000977F7">
        <w:rPr>
          <w:rFonts w:asciiTheme="majorHAnsi" w:hAnsiTheme="majorHAnsi"/>
          <w:spacing w:val="11"/>
          <w:sz w:val="20"/>
          <w:szCs w:val="20"/>
        </w:rPr>
        <w:t xml:space="preserve"> </w:t>
      </w:r>
      <w:r w:rsidRPr="000977F7">
        <w:rPr>
          <w:rFonts w:asciiTheme="majorHAnsi" w:hAnsiTheme="majorHAnsi"/>
          <w:sz w:val="20"/>
          <w:szCs w:val="20"/>
        </w:rPr>
        <w:t>обслуговування</w:t>
      </w:r>
      <w:r w:rsidRPr="000977F7">
        <w:rPr>
          <w:rFonts w:asciiTheme="majorHAnsi" w:hAnsiTheme="majorHAnsi"/>
          <w:spacing w:val="12"/>
          <w:sz w:val="20"/>
          <w:szCs w:val="20"/>
        </w:rPr>
        <w:t xml:space="preserve"> </w:t>
      </w:r>
      <w:r w:rsidRPr="000977F7">
        <w:rPr>
          <w:rFonts w:asciiTheme="majorHAnsi" w:hAnsiTheme="majorHAnsi"/>
          <w:sz w:val="20"/>
          <w:szCs w:val="20"/>
        </w:rPr>
        <w:t>та</w:t>
      </w:r>
      <w:r w:rsidRPr="000977F7">
        <w:rPr>
          <w:rFonts w:asciiTheme="majorHAnsi" w:hAnsiTheme="majorHAnsi"/>
          <w:spacing w:val="11"/>
          <w:sz w:val="20"/>
          <w:szCs w:val="20"/>
        </w:rPr>
        <w:t xml:space="preserve"> </w:t>
      </w:r>
      <w:r w:rsidRPr="000977F7">
        <w:rPr>
          <w:rFonts w:asciiTheme="majorHAnsi" w:hAnsiTheme="majorHAnsi"/>
          <w:sz w:val="20"/>
          <w:szCs w:val="20"/>
        </w:rPr>
        <w:t>ремонт,</w:t>
      </w:r>
      <w:r w:rsidRPr="000977F7">
        <w:rPr>
          <w:rFonts w:asciiTheme="majorHAnsi" w:hAnsiTheme="majorHAnsi"/>
          <w:spacing w:val="10"/>
          <w:sz w:val="20"/>
          <w:szCs w:val="20"/>
        </w:rPr>
        <w:t xml:space="preserve"> </w:t>
      </w:r>
      <w:r w:rsidRPr="000977F7">
        <w:rPr>
          <w:rFonts w:asciiTheme="majorHAnsi" w:hAnsiTheme="majorHAnsi"/>
          <w:sz w:val="20"/>
          <w:szCs w:val="20"/>
        </w:rPr>
        <w:t>що</w:t>
      </w:r>
      <w:r w:rsidRPr="000977F7">
        <w:rPr>
          <w:rFonts w:asciiTheme="majorHAnsi" w:hAnsiTheme="majorHAnsi"/>
          <w:spacing w:val="12"/>
          <w:sz w:val="20"/>
          <w:szCs w:val="20"/>
        </w:rPr>
        <w:t xml:space="preserve"> </w:t>
      </w:r>
      <w:r w:rsidRPr="000977F7">
        <w:rPr>
          <w:rFonts w:asciiTheme="majorHAnsi" w:hAnsiTheme="majorHAnsi"/>
          <w:sz w:val="20"/>
          <w:szCs w:val="20"/>
        </w:rPr>
        <w:t>їх</w:t>
      </w:r>
      <w:r w:rsidRPr="000977F7">
        <w:rPr>
          <w:rFonts w:asciiTheme="majorHAnsi" w:hAnsiTheme="majorHAnsi"/>
          <w:spacing w:val="10"/>
          <w:sz w:val="20"/>
          <w:szCs w:val="20"/>
        </w:rPr>
        <w:t xml:space="preserve"> </w:t>
      </w:r>
      <w:r w:rsidRPr="000977F7">
        <w:rPr>
          <w:rFonts w:asciiTheme="majorHAnsi" w:hAnsiTheme="majorHAnsi"/>
          <w:sz w:val="20"/>
          <w:szCs w:val="20"/>
        </w:rPr>
        <w:t>виконують</w:t>
      </w:r>
      <w:r w:rsidRPr="000977F7">
        <w:rPr>
          <w:rFonts w:asciiTheme="majorHAnsi" w:hAnsiTheme="majorHAnsi"/>
          <w:spacing w:val="-47"/>
          <w:sz w:val="20"/>
          <w:szCs w:val="20"/>
        </w:rPr>
        <w:t xml:space="preserve"> </w:t>
      </w:r>
      <w:r w:rsidRPr="000977F7">
        <w:rPr>
          <w:rFonts w:asciiTheme="majorHAnsi" w:hAnsiTheme="majorHAnsi"/>
          <w:spacing w:val="-1"/>
          <w:sz w:val="20"/>
          <w:szCs w:val="20"/>
        </w:rPr>
        <w:t>після</w:t>
      </w:r>
      <w:r w:rsidRPr="000977F7">
        <w:rPr>
          <w:rFonts w:asciiTheme="majorHAnsi" w:hAnsiTheme="majorHAnsi"/>
          <w:spacing w:val="-7"/>
          <w:sz w:val="20"/>
          <w:szCs w:val="20"/>
        </w:rPr>
        <w:t xml:space="preserve"> </w:t>
      </w:r>
      <w:r w:rsidRPr="000977F7">
        <w:rPr>
          <w:rFonts w:asciiTheme="majorHAnsi" w:hAnsiTheme="majorHAnsi"/>
          <w:spacing w:val="-1"/>
          <w:sz w:val="20"/>
          <w:szCs w:val="20"/>
        </w:rPr>
        <w:t>виявлення</w:t>
      </w:r>
      <w:r w:rsidRPr="000977F7">
        <w:rPr>
          <w:rFonts w:asciiTheme="majorHAnsi" w:hAnsiTheme="majorHAnsi"/>
          <w:spacing w:val="-5"/>
          <w:sz w:val="20"/>
          <w:szCs w:val="20"/>
        </w:rPr>
        <w:t xml:space="preserve"> </w:t>
      </w:r>
      <w:r w:rsidRPr="000977F7">
        <w:rPr>
          <w:rFonts w:asciiTheme="majorHAnsi" w:hAnsiTheme="majorHAnsi"/>
          <w:spacing w:val="-1"/>
          <w:sz w:val="20"/>
          <w:szCs w:val="20"/>
        </w:rPr>
        <w:t>несправності</w:t>
      </w:r>
      <w:r w:rsidRPr="000977F7">
        <w:rPr>
          <w:rFonts w:asciiTheme="majorHAnsi" w:hAnsiTheme="majorHAnsi"/>
          <w:spacing w:val="-7"/>
          <w:sz w:val="20"/>
          <w:szCs w:val="20"/>
        </w:rPr>
        <w:t xml:space="preserve"> </w:t>
      </w:r>
      <w:r w:rsidRPr="000977F7">
        <w:rPr>
          <w:rFonts w:asciiTheme="majorHAnsi" w:hAnsiTheme="majorHAnsi"/>
          <w:spacing w:val="-1"/>
          <w:sz w:val="20"/>
          <w:szCs w:val="20"/>
        </w:rPr>
        <w:t>для</w:t>
      </w:r>
      <w:r w:rsidRPr="000977F7">
        <w:rPr>
          <w:rFonts w:asciiTheme="majorHAnsi" w:hAnsiTheme="majorHAnsi"/>
          <w:spacing w:val="-6"/>
          <w:sz w:val="20"/>
          <w:szCs w:val="20"/>
        </w:rPr>
        <w:t xml:space="preserve"> </w:t>
      </w:r>
      <w:r w:rsidRPr="000977F7">
        <w:rPr>
          <w:rFonts w:asciiTheme="majorHAnsi" w:hAnsiTheme="majorHAnsi"/>
          <w:spacing w:val="-1"/>
          <w:sz w:val="20"/>
          <w:szCs w:val="20"/>
        </w:rPr>
        <w:t>повернення</w:t>
      </w:r>
      <w:r w:rsidRPr="000977F7">
        <w:rPr>
          <w:rFonts w:asciiTheme="majorHAnsi" w:hAnsiTheme="majorHAnsi"/>
          <w:spacing w:val="-8"/>
          <w:sz w:val="20"/>
          <w:szCs w:val="20"/>
        </w:rPr>
        <w:t xml:space="preserve"> </w:t>
      </w:r>
      <w:r w:rsidRPr="000977F7">
        <w:rPr>
          <w:rFonts w:asciiTheme="majorHAnsi" w:hAnsiTheme="majorHAnsi"/>
          <w:sz w:val="20"/>
          <w:szCs w:val="20"/>
        </w:rPr>
        <w:t>об’єкта</w:t>
      </w:r>
      <w:r w:rsidRPr="000977F7">
        <w:rPr>
          <w:rFonts w:asciiTheme="majorHAnsi" w:hAnsiTheme="majorHAnsi"/>
          <w:spacing w:val="-5"/>
          <w:sz w:val="20"/>
          <w:szCs w:val="20"/>
        </w:rPr>
        <w:t xml:space="preserve"> </w:t>
      </w:r>
      <w:r w:rsidRPr="000977F7">
        <w:rPr>
          <w:rFonts w:asciiTheme="majorHAnsi" w:hAnsiTheme="majorHAnsi"/>
          <w:sz w:val="20"/>
          <w:szCs w:val="20"/>
        </w:rPr>
        <w:t>в</w:t>
      </w:r>
      <w:r w:rsidRPr="000977F7">
        <w:rPr>
          <w:rFonts w:asciiTheme="majorHAnsi" w:hAnsiTheme="majorHAnsi"/>
          <w:spacing w:val="-47"/>
          <w:sz w:val="20"/>
          <w:szCs w:val="20"/>
        </w:rPr>
        <w:t xml:space="preserve"> </w:t>
      </w:r>
      <w:r w:rsidRPr="000977F7">
        <w:rPr>
          <w:rFonts w:asciiTheme="majorHAnsi" w:hAnsiTheme="majorHAnsi"/>
          <w:spacing w:val="-4"/>
          <w:sz w:val="20"/>
          <w:szCs w:val="20"/>
        </w:rPr>
        <w:t xml:space="preserve">стан, у якому він здатний виконувати </w:t>
      </w:r>
      <w:r w:rsidRPr="000977F7">
        <w:rPr>
          <w:rFonts w:asciiTheme="majorHAnsi" w:hAnsiTheme="majorHAnsi"/>
          <w:spacing w:val="-3"/>
          <w:sz w:val="20"/>
          <w:szCs w:val="20"/>
        </w:rPr>
        <w:t>потрібну функцію</w:t>
      </w:r>
    </w:p>
    <w:p w14:paraId="5B4A749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268251D"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НЕПЛОЩИННІСТЬ</w:t>
      </w:r>
      <w:r w:rsidRPr="000977F7">
        <w:rPr>
          <w:color w:val="auto"/>
          <w:spacing w:val="-2"/>
          <w:sz w:val="20"/>
          <w:szCs w:val="20"/>
        </w:rPr>
        <w:t xml:space="preserve"> </w:t>
      </w:r>
      <w:r w:rsidRPr="000977F7">
        <w:rPr>
          <w:b w:val="0"/>
          <w:color w:val="auto"/>
          <w:sz w:val="20"/>
          <w:szCs w:val="20"/>
        </w:rPr>
        <w:t>-</w:t>
      </w:r>
    </w:p>
    <w:p w14:paraId="0064BC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Відхилення</w:t>
      </w:r>
      <w:r w:rsidRPr="000977F7">
        <w:rPr>
          <w:rFonts w:asciiTheme="majorHAnsi" w:hAnsiTheme="majorHAnsi"/>
          <w:spacing w:val="34"/>
          <w:sz w:val="20"/>
          <w:szCs w:val="20"/>
        </w:rPr>
        <w:t xml:space="preserve"> </w:t>
      </w:r>
      <w:r w:rsidRPr="000977F7">
        <w:rPr>
          <w:rFonts w:asciiTheme="majorHAnsi" w:hAnsiTheme="majorHAnsi"/>
          <w:sz w:val="20"/>
          <w:szCs w:val="20"/>
        </w:rPr>
        <w:t>від</w:t>
      </w:r>
      <w:r w:rsidRPr="000977F7">
        <w:rPr>
          <w:rFonts w:asciiTheme="majorHAnsi" w:hAnsiTheme="majorHAnsi"/>
          <w:spacing w:val="36"/>
          <w:sz w:val="20"/>
          <w:szCs w:val="20"/>
        </w:rPr>
        <w:t xml:space="preserve"> </w:t>
      </w:r>
      <w:r w:rsidRPr="000977F7">
        <w:rPr>
          <w:rFonts w:asciiTheme="majorHAnsi" w:hAnsiTheme="majorHAnsi"/>
          <w:sz w:val="20"/>
          <w:szCs w:val="20"/>
        </w:rPr>
        <w:t>площинності,</w:t>
      </w:r>
      <w:r w:rsidRPr="000977F7">
        <w:rPr>
          <w:rFonts w:asciiTheme="majorHAnsi" w:hAnsiTheme="majorHAnsi"/>
          <w:spacing w:val="35"/>
          <w:sz w:val="20"/>
          <w:szCs w:val="20"/>
        </w:rPr>
        <w:t xml:space="preserve"> </w:t>
      </w:r>
      <w:r w:rsidRPr="000977F7">
        <w:rPr>
          <w:rFonts w:asciiTheme="majorHAnsi" w:hAnsiTheme="majorHAnsi"/>
          <w:sz w:val="20"/>
          <w:szCs w:val="20"/>
        </w:rPr>
        <w:t>яке</w:t>
      </w:r>
      <w:r w:rsidRPr="000977F7">
        <w:rPr>
          <w:rFonts w:asciiTheme="majorHAnsi" w:hAnsiTheme="majorHAnsi"/>
          <w:spacing w:val="35"/>
          <w:sz w:val="20"/>
          <w:szCs w:val="20"/>
        </w:rPr>
        <w:t xml:space="preserve"> </w:t>
      </w:r>
      <w:r w:rsidRPr="000977F7">
        <w:rPr>
          <w:rFonts w:asciiTheme="majorHAnsi" w:hAnsiTheme="majorHAnsi"/>
          <w:sz w:val="20"/>
          <w:szCs w:val="20"/>
        </w:rPr>
        <w:t>визначається</w:t>
      </w:r>
      <w:r w:rsidRPr="000977F7">
        <w:rPr>
          <w:rFonts w:asciiTheme="majorHAnsi" w:hAnsiTheme="majorHAnsi"/>
          <w:spacing w:val="34"/>
          <w:sz w:val="20"/>
          <w:szCs w:val="20"/>
        </w:rPr>
        <w:t xml:space="preserve"> </w:t>
      </w:r>
      <w:r w:rsidRPr="000977F7">
        <w:rPr>
          <w:rFonts w:asciiTheme="majorHAnsi" w:hAnsiTheme="majorHAnsi"/>
          <w:sz w:val="20"/>
          <w:szCs w:val="20"/>
        </w:rPr>
        <w:t>як</w:t>
      </w:r>
      <w:r w:rsidRPr="000977F7">
        <w:rPr>
          <w:rFonts w:asciiTheme="majorHAnsi" w:hAnsiTheme="majorHAnsi"/>
          <w:spacing w:val="-47"/>
          <w:sz w:val="20"/>
          <w:szCs w:val="20"/>
        </w:rPr>
        <w:t xml:space="preserve"> </w:t>
      </w:r>
      <w:r w:rsidRPr="000977F7">
        <w:rPr>
          <w:rFonts w:asciiTheme="majorHAnsi" w:hAnsiTheme="majorHAnsi"/>
          <w:sz w:val="20"/>
          <w:szCs w:val="20"/>
        </w:rPr>
        <w:t>найбільша</w:t>
      </w:r>
      <w:r w:rsidRPr="000977F7">
        <w:rPr>
          <w:rFonts w:asciiTheme="majorHAnsi" w:hAnsiTheme="majorHAnsi"/>
          <w:spacing w:val="2"/>
          <w:sz w:val="20"/>
          <w:szCs w:val="20"/>
        </w:rPr>
        <w:t xml:space="preserve"> </w:t>
      </w:r>
      <w:r w:rsidRPr="000977F7">
        <w:rPr>
          <w:rFonts w:asciiTheme="majorHAnsi" w:hAnsiTheme="majorHAnsi"/>
          <w:sz w:val="20"/>
          <w:szCs w:val="20"/>
        </w:rPr>
        <w:t>відстань</w:t>
      </w:r>
      <w:r w:rsidRPr="000977F7">
        <w:rPr>
          <w:rFonts w:asciiTheme="majorHAnsi" w:hAnsiTheme="majorHAnsi"/>
          <w:spacing w:val="2"/>
          <w:sz w:val="20"/>
          <w:szCs w:val="20"/>
        </w:rPr>
        <w:t xml:space="preserve"> </w:t>
      </w:r>
      <w:r w:rsidRPr="000977F7">
        <w:rPr>
          <w:rFonts w:asciiTheme="majorHAnsi" w:hAnsiTheme="majorHAnsi"/>
          <w:sz w:val="20"/>
          <w:szCs w:val="20"/>
        </w:rPr>
        <w:t>точок</w:t>
      </w:r>
      <w:r w:rsidRPr="000977F7">
        <w:rPr>
          <w:rFonts w:asciiTheme="majorHAnsi" w:hAnsiTheme="majorHAnsi"/>
          <w:spacing w:val="1"/>
          <w:sz w:val="20"/>
          <w:szCs w:val="20"/>
        </w:rPr>
        <w:t xml:space="preserve"> </w:t>
      </w:r>
      <w:r w:rsidRPr="000977F7">
        <w:rPr>
          <w:rFonts w:asciiTheme="majorHAnsi" w:hAnsiTheme="majorHAnsi"/>
          <w:sz w:val="20"/>
          <w:szCs w:val="20"/>
        </w:rPr>
        <w:t>реальної</w:t>
      </w:r>
      <w:r w:rsidRPr="000977F7">
        <w:rPr>
          <w:rFonts w:asciiTheme="majorHAnsi" w:hAnsiTheme="majorHAnsi"/>
          <w:spacing w:val="2"/>
          <w:sz w:val="20"/>
          <w:szCs w:val="20"/>
        </w:rPr>
        <w:t xml:space="preserve"> </w:t>
      </w:r>
      <w:r w:rsidRPr="000977F7">
        <w:rPr>
          <w:rFonts w:asciiTheme="majorHAnsi" w:hAnsiTheme="majorHAnsi"/>
          <w:sz w:val="20"/>
          <w:szCs w:val="20"/>
        </w:rPr>
        <w:t>поверхні</w:t>
      </w:r>
      <w:r w:rsidRPr="000977F7">
        <w:rPr>
          <w:rFonts w:asciiTheme="majorHAnsi" w:hAnsiTheme="majorHAnsi"/>
          <w:spacing w:val="4"/>
          <w:sz w:val="20"/>
          <w:szCs w:val="20"/>
        </w:rPr>
        <w:t xml:space="preserve"> </w:t>
      </w:r>
      <w:r w:rsidRPr="000977F7">
        <w:rPr>
          <w:rFonts w:asciiTheme="majorHAnsi" w:hAnsiTheme="majorHAnsi"/>
          <w:sz w:val="20"/>
          <w:szCs w:val="20"/>
        </w:rPr>
        <w:t>до</w:t>
      </w:r>
      <w:r w:rsidRPr="000977F7">
        <w:rPr>
          <w:rFonts w:asciiTheme="majorHAnsi" w:hAnsiTheme="majorHAnsi"/>
          <w:spacing w:val="2"/>
          <w:sz w:val="20"/>
          <w:szCs w:val="20"/>
        </w:rPr>
        <w:t xml:space="preserve"> </w:t>
      </w:r>
      <w:r w:rsidRPr="000977F7">
        <w:rPr>
          <w:rFonts w:asciiTheme="majorHAnsi" w:hAnsiTheme="majorHAnsi"/>
          <w:sz w:val="20"/>
          <w:szCs w:val="20"/>
        </w:rPr>
        <w:t>прилягаючої площини в межах нормованої ланки</w:t>
      </w:r>
      <w:r w:rsidRPr="000977F7">
        <w:rPr>
          <w:rFonts w:asciiTheme="majorHAnsi" w:hAnsiTheme="majorHAnsi"/>
          <w:spacing w:val="1"/>
          <w:sz w:val="20"/>
          <w:szCs w:val="20"/>
        </w:rPr>
        <w:t xml:space="preserve"> </w:t>
      </w:r>
      <w:bookmarkStart w:id="144" w:name="_Hlk102573631"/>
      <w:r w:rsidRPr="000977F7">
        <w:rPr>
          <w:rFonts w:asciiTheme="majorHAnsi" w:hAnsiTheme="majorHAnsi"/>
          <w:b/>
          <w:sz w:val="20"/>
          <w:szCs w:val="20"/>
        </w:rPr>
        <w:t>НЕПОПРАВЛЕНИЙ РЕЗУЛЬТАТ</w:t>
      </w:r>
      <w:r w:rsidRPr="000977F7">
        <w:rPr>
          <w:rFonts w:asciiTheme="majorHAnsi" w:hAnsiTheme="majorHAnsi"/>
          <w:b/>
          <w:spacing w:val="1"/>
          <w:sz w:val="20"/>
          <w:szCs w:val="20"/>
        </w:rPr>
        <w:t xml:space="preserve"> </w:t>
      </w:r>
      <w:r w:rsidRPr="000977F7">
        <w:rPr>
          <w:rFonts w:asciiTheme="majorHAnsi" w:hAnsiTheme="majorHAnsi"/>
          <w:b/>
          <w:sz w:val="20"/>
          <w:szCs w:val="20"/>
        </w:rPr>
        <w:t>–</w:t>
      </w:r>
      <w:r w:rsidRPr="000977F7">
        <w:rPr>
          <w:rFonts w:asciiTheme="majorHAnsi" w:hAnsiTheme="majorHAnsi"/>
          <w:sz w:val="20"/>
          <w:szCs w:val="20"/>
        </w:rPr>
        <w:t>UNCORRECTED</w:t>
      </w:r>
      <w:r w:rsidRPr="000977F7">
        <w:rPr>
          <w:rFonts w:asciiTheme="majorHAnsi" w:hAnsiTheme="majorHAnsi"/>
          <w:spacing w:val="-1"/>
          <w:sz w:val="20"/>
          <w:szCs w:val="20"/>
        </w:rPr>
        <w:t xml:space="preserve"> </w:t>
      </w:r>
      <w:r w:rsidRPr="000977F7">
        <w:rPr>
          <w:rFonts w:asciiTheme="majorHAnsi" w:hAnsiTheme="majorHAnsi"/>
          <w:sz w:val="20"/>
          <w:szCs w:val="20"/>
        </w:rPr>
        <w:t>RESULT</w:t>
      </w:r>
      <w:r w:rsidRPr="000977F7">
        <w:rPr>
          <w:rFonts w:asciiTheme="majorHAnsi" w:hAnsiTheme="majorHAnsi"/>
          <w:spacing w:val="5"/>
          <w:sz w:val="20"/>
          <w:szCs w:val="20"/>
        </w:rPr>
        <w:t xml:space="preserve"> </w:t>
      </w:r>
      <w:r w:rsidRPr="000977F7">
        <w:rPr>
          <w:rFonts w:asciiTheme="majorHAnsi" w:hAnsiTheme="majorHAnsi"/>
          <w:sz w:val="20"/>
          <w:szCs w:val="20"/>
        </w:rPr>
        <w:t>–</w:t>
      </w:r>
    </w:p>
    <w:bookmarkEnd w:id="144"/>
    <w:p w14:paraId="3399A07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Результат вимірювання, в якому систематичні похибки не вилучені</w:t>
      </w:r>
    </w:p>
    <w:p w14:paraId="27AE70D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2691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84</w:t>
      </w:r>
    </w:p>
    <w:p w14:paraId="6A2BCE6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НЕПОПРАВНИЙ</w:t>
      </w:r>
      <w:r w:rsidRPr="000977F7">
        <w:rPr>
          <w:color w:val="auto"/>
          <w:spacing w:val="-3"/>
          <w:sz w:val="20"/>
          <w:szCs w:val="20"/>
        </w:rPr>
        <w:t xml:space="preserve"> </w:t>
      </w:r>
      <w:r w:rsidRPr="000977F7">
        <w:rPr>
          <w:color w:val="auto"/>
          <w:sz w:val="20"/>
          <w:szCs w:val="20"/>
        </w:rPr>
        <w:t>БРАК</w:t>
      </w:r>
      <w:r w:rsidRPr="000977F7">
        <w:rPr>
          <w:color w:val="auto"/>
          <w:spacing w:val="-1"/>
          <w:sz w:val="20"/>
          <w:szCs w:val="20"/>
        </w:rPr>
        <w:t xml:space="preserve"> </w:t>
      </w:r>
      <w:r w:rsidRPr="000977F7">
        <w:rPr>
          <w:color w:val="auto"/>
          <w:sz w:val="20"/>
          <w:szCs w:val="20"/>
        </w:rPr>
        <w:t>–</w:t>
      </w:r>
    </w:p>
    <w:p w14:paraId="2D995D1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7"/>
          <w:sz w:val="20"/>
          <w:szCs w:val="20"/>
        </w:rPr>
        <w:t>Брак,</w:t>
      </w:r>
      <w:r w:rsidRPr="000977F7">
        <w:rPr>
          <w:rFonts w:asciiTheme="majorHAnsi" w:hAnsiTheme="majorHAnsi"/>
          <w:spacing w:val="-11"/>
          <w:sz w:val="20"/>
          <w:szCs w:val="20"/>
        </w:rPr>
        <w:t xml:space="preserve"> </w:t>
      </w:r>
      <w:r w:rsidRPr="000977F7">
        <w:rPr>
          <w:rFonts w:asciiTheme="majorHAnsi" w:hAnsiTheme="majorHAnsi"/>
          <w:spacing w:val="-7"/>
          <w:sz w:val="20"/>
          <w:szCs w:val="20"/>
        </w:rPr>
        <w:t>в</w:t>
      </w:r>
      <w:r w:rsidRPr="000977F7">
        <w:rPr>
          <w:rFonts w:asciiTheme="majorHAnsi" w:hAnsiTheme="majorHAnsi"/>
          <w:spacing w:val="-12"/>
          <w:sz w:val="20"/>
          <w:szCs w:val="20"/>
        </w:rPr>
        <w:t xml:space="preserve"> </w:t>
      </w:r>
      <w:r w:rsidRPr="000977F7">
        <w:rPr>
          <w:rFonts w:asciiTheme="majorHAnsi" w:hAnsiTheme="majorHAnsi"/>
          <w:spacing w:val="-7"/>
          <w:sz w:val="20"/>
          <w:szCs w:val="20"/>
        </w:rPr>
        <w:t>якому</w:t>
      </w:r>
      <w:r w:rsidRPr="000977F7">
        <w:rPr>
          <w:rFonts w:asciiTheme="majorHAnsi" w:hAnsiTheme="majorHAnsi"/>
          <w:spacing w:val="-16"/>
          <w:sz w:val="20"/>
          <w:szCs w:val="20"/>
        </w:rPr>
        <w:t xml:space="preserve"> </w:t>
      </w:r>
      <w:r w:rsidRPr="000977F7">
        <w:rPr>
          <w:rFonts w:asciiTheme="majorHAnsi" w:hAnsiTheme="majorHAnsi"/>
          <w:spacing w:val="-7"/>
          <w:sz w:val="20"/>
          <w:szCs w:val="20"/>
        </w:rPr>
        <w:t>хоча</w:t>
      </w:r>
      <w:r w:rsidRPr="000977F7">
        <w:rPr>
          <w:rFonts w:asciiTheme="majorHAnsi" w:hAnsiTheme="majorHAnsi"/>
          <w:spacing w:val="-12"/>
          <w:sz w:val="20"/>
          <w:szCs w:val="20"/>
        </w:rPr>
        <w:t xml:space="preserve"> </w:t>
      </w:r>
      <w:r w:rsidRPr="000977F7">
        <w:rPr>
          <w:rFonts w:asciiTheme="majorHAnsi" w:hAnsiTheme="majorHAnsi"/>
          <w:spacing w:val="-7"/>
          <w:sz w:val="20"/>
          <w:szCs w:val="20"/>
        </w:rPr>
        <w:t>б</w:t>
      </w:r>
      <w:r w:rsidRPr="000977F7">
        <w:rPr>
          <w:rFonts w:asciiTheme="majorHAnsi" w:hAnsiTheme="majorHAnsi"/>
          <w:spacing w:val="-15"/>
          <w:sz w:val="20"/>
          <w:szCs w:val="20"/>
        </w:rPr>
        <w:t xml:space="preserve"> </w:t>
      </w:r>
      <w:r w:rsidRPr="000977F7">
        <w:rPr>
          <w:rFonts w:asciiTheme="majorHAnsi" w:hAnsiTheme="majorHAnsi"/>
          <w:spacing w:val="-7"/>
          <w:sz w:val="20"/>
          <w:szCs w:val="20"/>
        </w:rPr>
        <w:t>один</w:t>
      </w:r>
      <w:r w:rsidRPr="000977F7">
        <w:rPr>
          <w:rFonts w:asciiTheme="majorHAnsi" w:hAnsiTheme="majorHAnsi"/>
          <w:spacing w:val="-13"/>
          <w:sz w:val="20"/>
          <w:szCs w:val="20"/>
        </w:rPr>
        <w:t xml:space="preserve"> </w:t>
      </w:r>
      <w:r w:rsidRPr="000977F7">
        <w:rPr>
          <w:rFonts w:asciiTheme="majorHAnsi" w:hAnsiTheme="majorHAnsi"/>
          <w:spacing w:val="-7"/>
          <w:sz w:val="20"/>
          <w:szCs w:val="20"/>
        </w:rPr>
        <w:t>із</w:t>
      </w:r>
      <w:r w:rsidRPr="000977F7">
        <w:rPr>
          <w:rFonts w:asciiTheme="majorHAnsi" w:hAnsiTheme="majorHAnsi"/>
          <w:spacing w:val="-12"/>
          <w:sz w:val="20"/>
          <w:szCs w:val="20"/>
        </w:rPr>
        <w:t xml:space="preserve"> </w:t>
      </w:r>
      <w:r w:rsidRPr="000977F7">
        <w:rPr>
          <w:rFonts w:asciiTheme="majorHAnsi" w:hAnsiTheme="majorHAnsi"/>
          <w:spacing w:val="-7"/>
          <w:sz w:val="20"/>
          <w:szCs w:val="20"/>
        </w:rPr>
        <w:t>дефектів,</w:t>
      </w:r>
      <w:r w:rsidRPr="000977F7">
        <w:rPr>
          <w:rFonts w:asciiTheme="majorHAnsi" w:hAnsiTheme="majorHAnsi"/>
          <w:spacing w:val="-11"/>
          <w:sz w:val="20"/>
          <w:szCs w:val="20"/>
        </w:rPr>
        <w:t xml:space="preserve"> </w:t>
      </w:r>
      <w:r w:rsidRPr="000977F7">
        <w:rPr>
          <w:rFonts w:asciiTheme="majorHAnsi" w:hAnsiTheme="majorHAnsi"/>
          <w:spacing w:val="-7"/>
          <w:sz w:val="20"/>
          <w:szCs w:val="20"/>
        </w:rPr>
        <w:t>що</w:t>
      </w:r>
      <w:r w:rsidRPr="000977F7">
        <w:rPr>
          <w:rFonts w:asciiTheme="majorHAnsi" w:hAnsiTheme="majorHAnsi"/>
          <w:spacing w:val="-13"/>
          <w:sz w:val="20"/>
          <w:szCs w:val="20"/>
        </w:rPr>
        <w:t xml:space="preserve"> </w:t>
      </w:r>
      <w:r w:rsidRPr="000977F7">
        <w:rPr>
          <w:rFonts w:asciiTheme="majorHAnsi" w:hAnsiTheme="majorHAnsi"/>
          <w:spacing w:val="-6"/>
          <w:sz w:val="20"/>
          <w:szCs w:val="20"/>
        </w:rPr>
        <w:t>обумовили</w:t>
      </w:r>
      <w:r w:rsidRPr="000977F7">
        <w:rPr>
          <w:rFonts w:asciiTheme="majorHAnsi" w:hAnsiTheme="majorHAnsi"/>
          <w:spacing w:val="-13"/>
          <w:sz w:val="20"/>
          <w:szCs w:val="20"/>
        </w:rPr>
        <w:t xml:space="preserve"> </w:t>
      </w:r>
      <w:r w:rsidRPr="000977F7">
        <w:rPr>
          <w:rFonts w:asciiTheme="majorHAnsi" w:hAnsiTheme="majorHAnsi"/>
          <w:spacing w:val="-6"/>
          <w:sz w:val="20"/>
          <w:szCs w:val="20"/>
        </w:rPr>
        <w:t>забра</w:t>
      </w:r>
      <w:r w:rsidRPr="000977F7">
        <w:rPr>
          <w:rFonts w:asciiTheme="majorHAnsi" w:hAnsiTheme="majorHAnsi"/>
          <w:spacing w:val="-8"/>
          <w:sz w:val="20"/>
          <w:szCs w:val="20"/>
        </w:rPr>
        <w:t>кування</w:t>
      </w:r>
      <w:r w:rsidRPr="000977F7">
        <w:rPr>
          <w:rFonts w:asciiTheme="majorHAnsi" w:hAnsiTheme="majorHAnsi"/>
          <w:spacing w:val="-15"/>
          <w:sz w:val="20"/>
          <w:szCs w:val="20"/>
        </w:rPr>
        <w:t xml:space="preserve"> </w:t>
      </w:r>
      <w:r w:rsidRPr="000977F7">
        <w:rPr>
          <w:rFonts w:asciiTheme="majorHAnsi" w:hAnsiTheme="majorHAnsi"/>
          <w:spacing w:val="-8"/>
          <w:sz w:val="20"/>
          <w:szCs w:val="20"/>
        </w:rPr>
        <w:t>продукції,</w:t>
      </w:r>
      <w:r w:rsidRPr="000977F7">
        <w:rPr>
          <w:rFonts w:asciiTheme="majorHAnsi" w:hAnsiTheme="majorHAnsi"/>
          <w:spacing w:val="-14"/>
          <w:sz w:val="20"/>
          <w:szCs w:val="20"/>
        </w:rPr>
        <w:t xml:space="preserve"> </w:t>
      </w:r>
      <w:r w:rsidRPr="000977F7">
        <w:rPr>
          <w:rFonts w:asciiTheme="majorHAnsi" w:hAnsiTheme="majorHAnsi"/>
          <w:spacing w:val="-7"/>
          <w:sz w:val="20"/>
          <w:szCs w:val="20"/>
        </w:rPr>
        <w:t>є</w:t>
      </w:r>
      <w:r w:rsidRPr="000977F7">
        <w:rPr>
          <w:rFonts w:asciiTheme="majorHAnsi" w:hAnsiTheme="majorHAnsi"/>
          <w:spacing w:val="-13"/>
          <w:sz w:val="20"/>
          <w:szCs w:val="20"/>
        </w:rPr>
        <w:t xml:space="preserve"> </w:t>
      </w:r>
      <w:r w:rsidRPr="000977F7">
        <w:rPr>
          <w:rFonts w:asciiTheme="majorHAnsi" w:hAnsiTheme="majorHAnsi"/>
          <w:spacing w:val="-7"/>
          <w:sz w:val="20"/>
          <w:szCs w:val="20"/>
        </w:rPr>
        <w:t>таким,</w:t>
      </w:r>
      <w:r w:rsidRPr="000977F7">
        <w:rPr>
          <w:rFonts w:asciiTheme="majorHAnsi" w:hAnsiTheme="majorHAnsi"/>
          <w:spacing w:val="-16"/>
          <w:sz w:val="20"/>
          <w:szCs w:val="20"/>
        </w:rPr>
        <w:t xml:space="preserve"> </w:t>
      </w:r>
      <w:r w:rsidRPr="000977F7">
        <w:rPr>
          <w:rFonts w:asciiTheme="majorHAnsi" w:hAnsiTheme="majorHAnsi"/>
          <w:spacing w:val="-7"/>
          <w:sz w:val="20"/>
          <w:szCs w:val="20"/>
        </w:rPr>
        <w:t>що</w:t>
      </w:r>
      <w:r w:rsidRPr="000977F7">
        <w:rPr>
          <w:rFonts w:asciiTheme="majorHAnsi" w:hAnsiTheme="majorHAnsi"/>
          <w:spacing w:val="-15"/>
          <w:sz w:val="20"/>
          <w:szCs w:val="20"/>
        </w:rPr>
        <w:t xml:space="preserve"> </w:t>
      </w:r>
      <w:r w:rsidRPr="000977F7">
        <w:rPr>
          <w:rFonts w:asciiTheme="majorHAnsi" w:hAnsiTheme="majorHAnsi"/>
          <w:spacing w:val="-7"/>
          <w:sz w:val="20"/>
          <w:szCs w:val="20"/>
        </w:rPr>
        <w:t>не</w:t>
      </w:r>
      <w:r w:rsidRPr="000977F7">
        <w:rPr>
          <w:rFonts w:asciiTheme="majorHAnsi" w:hAnsiTheme="majorHAnsi"/>
          <w:spacing w:val="-16"/>
          <w:sz w:val="20"/>
          <w:szCs w:val="20"/>
        </w:rPr>
        <w:t xml:space="preserve"> </w:t>
      </w:r>
      <w:r w:rsidRPr="000977F7">
        <w:rPr>
          <w:rFonts w:asciiTheme="majorHAnsi" w:hAnsiTheme="majorHAnsi"/>
          <w:spacing w:val="-7"/>
          <w:sz w:val="20"/>
          <w:szCs w:val="20"/>
        </w:rPr>
        <w:t>може</w:t>
      </w:r>
      <w:r w:rsidRPr="000977F7">
        <w:rPr>
          <w:rFonts w:asciiTheme="majorHAnsi" w:hAnsiTheme="majorHAnsi"/>
          <w:spacing w:val="-16"/>
          <w:sz w:val="20"/>
          <w:szCs w:val="20"/>
        </w:rPr>
        <w:t xml:space="preserve"> </w:t>
      </w:r>
      <w:r w:rsidRPr="000977F7">
        <w:rPr>
          <w:rFonts w:asciiTheme="majorHAnsi" w:hAnsiTheme="majorHAnsi"/>
          <w:spacing w:val="-7"/>
          <w:sz w:val="20"/>
          <w:szCs w:val="20"/>
        </w:rPr>
        <w:t>бути</w:t>
      </w:r>
      <w:r w:rsidRPr="000977F7">
        <w:rPr>
          <w:rFonts w:asciiTheme="majorHAnsi" w:hAnsiTheme="majorHAnsi"/>
          <w:spacing w:val="-13"/>
          <w:sz w:val="20"/>
          <w:szCs w:val="20"/>
        </w:rPr>
        <w:t xml:space="preserve"> </w:t>
      </w:r>
      <w:r w:rsidRPr="000977F7">
        <w:rPr>
          <w:rFonts w:asciiTheme="majorHAnsi" w:hAnsiTheme="majorHAnsi"/>
          <w:spacing w:val="-7"/>
          <w:sz w:val="20"/>
          <w:szCs w:val="20"/>
        </w:rPr>
        <w:t>усуненим</w:t>
      </w:r>
    </w:p>
    <w:p w14:paraId="6F9627BB"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НЕПОТРІБНИЙ</w:t>
      </w:r>
      <w:r w:rsidRPr="004D2D14">
        <w:rPr>
          <w:rFonts w:asciiTheme="majorHAnsi" w:hAnsiTheme="majorHAnsi"/>
          <w:b/>
          <w:sz w:val="20"/>
          <w:szCs w:val="20"/>
          <w:lang w:val="en-US"/>
        </w:rPr>
        <w:t xml:space="preserve"> </w:t>
      </w:r>
      <w:r w:rsidRPr="000977F7">
        <w:rPr>
          <w:rFonts w:asciiTheme="majorHAnsi" w:hAnsiTheme="majorHAnsi"/>
          <w:b/>
          <w:sz w:val="20"/>
          <w:szCs w:val="20"/>
        </w:rPr>
        <w:t>ЧАС</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p>
    <w:p w14:paraId="6E7F16FC"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NON-REQUIRED</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w:t>
      </w:r>
    </w:p>
    <w:p w14:paraId="1CA1AAA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Період</w:t>
      </w:r>
      <w:r w:rsidRPr="000977F7">
        <w:rPr>
          <w:rFonts w:asciiTheme="majorHAnsi" w:hAnsiTheme="majorHAnsi"/>
          <w:spacing w:val="1"/>
          <w:sz w:val="20"/>
          <w:szCs w:val="20"/>
        </w:rPr>
        <w:t xml:space="preserve"> </w:t>
      </w:r>
      <w:r w:rsidRPr="000977F7">
        <w:rPr>
          <w:rFonts w:asciiTheme="majorHAnsi" w:hAnsiTheme="majorHAnsi"/>
          <w:sz w:val="20"/>
          <w:szCs w:val="20"/>
        </w:rPr>
        <w:t>часу,</w:t>
      </w:r>
      <w:r w:rsidRPr="000977F7">
        <w:rPr>
          <w:rFonts w:asciiTheme="majorHAnsi" w:hAnsiTheme="majorHAnsi"/>
          <w:spacing w:val="1"/>
          <w:sz w:val="20"/>
          <w:szCs w:val="20"/>
        </w:rPr>
        <w:t xml:space="preserve"> </w:t>
      </w:r>
      <w:r w:rsidRPr="000977F7">
        <w:rPr>
          <w:rFonts w:asciiTheme="majorHAnsi" w:hAnsiTheme="majorHAnsi"/>
          <w:sz w:val="20"/>
          <w:szCs w:val="20"/>
        </w:rPr>
        <w:t>протягом</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споживач</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вимагає,</w:t>
      </w:r>
      <w:r w:rsidRPr="000977F7">
        <w:rPr>
          <w:rFonts w:asciiTheme="majorHAnsi" w:hAnsiTheme="majorHAnsi"/>
          <w:spacing w:val="1"/>
          <w:sz w:val="20"/>
          <w:szCs w:val="20"/>
        </w:rPr>
        <w:t xml:space="preserve"> </w:t>
      </w:r>
      <w:r w:rsidRPr="000977F7">
        <w:rPr>
          <w:rFonts w:asciiTheme="majorHAnsi" w:hAnsiTheme="majorHAnsi"/>
          <w:sz w:val="20"/>
          <w:szCs w:val="20"/>
        </w:rPr>
        <w:t>щоб</w:t>
      </w:r>
      <w:r w:rsidRPr="000977F7">
        <w:rPr>
          <w:rFonts w:asciiTheme="majorHAnsi" w:hAnsiTheme="majorHAnsi"/>
          <w:spacing w:val="-2"/>
          <w:sz w:val="20"/>
          <w:szCs w:val="20"/>
        </w:rPr>
        <w:t xml:space="preserve"> </w:t>
      </w:r>
      <w:r w:rsidRPr="000977F7">
        <w:rPr>
          <w:rFonts w:asciiTheme="majorHAnsi" w:hAnsiTheme="majorHAnsi"/>
          <w:sz w:val="20"/>
          <w:szCs w:val="20"/>
        </w:rPr>
        <w:t>об’єкт</w:t>
      </w:r>
      <w:r w:rsidRPr="000977F7">
        <w:rPr>
          <w:rFonts w:asciiTheme="majorHAnsi" w:hAnsiTheme="majorHAnsi"/>
          <w:spacing w:val="-1"/>
          <w:sz w:val="20"/>
          <w:szCs w:val="20"/>
        </w:rPr>
        <w:t xml:space="preserve"> </w:t>
      </w:r>
      <w:r w:rsidRPr="000977F7">
        <w:rPr>
          <w:rFonts w:asciiTheme="majorHAnsi" w:hAnsiTheme="majorHAnsi"/>
          <w:sz w:val="20"/>
          <w:szCs w:val="20"/>
        </w:rPr>
        <w:t>був</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працездатному</w:t>
      </w:r>
      <w:r w:rsidRPr="000977F7">
        <w:rPr>
          <w:rFonts w:asciiTheme="majorHAnsi" w:hAnsiTheme="majorHAnsi"/>
          <w:spacing w:val="-4"/>
          <w:sz w:val="20"/>
          <w:szCs w:val="20"/>
        </w:rPr>
        <w:t xml:space="preserve"> </w:t>
      </w:r>
      <w:r w:rsidRPr="000977F7">
        <w:rPr>
          <w:rFonts w:asciiTheme="majorHAnsi" w:hAnsiTheme="majorHAnsi"/>
          <w:sz w:val="20"/>
          <w:szCs w:val="20"/>
        </w:rPr>
        <w:t>стані</w:t>
      </w:r>
    </w:p>
    <w:p w14:paraId="011D5C5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НЕПОШТУЧНА</w:t>
      </w:r>
      <w:r w:rsidRPr="000977F7">
        <w:rPr>
          <w:color w:val="auto"/>
          <w:spacing w:val="-4"/>
          <w:sz w:val="20"/>
          <w:szCs w:val="20"/>
        </w:rPr>
        <w:t xml:space="preserve"> </w:t>
      </w:r>
      <w:r w:rsidRPr="000977F7">
        <w:rPr>
          <w:color w:val="auto"/>
          <w:sz w:val="20"/>
          <w:szCs w:val="20"/>
        </w:rPr>
        <w:t>ПРОДУКЦІЯ</w:t>
      </w:r>
      <w:r w:rsidRPr="000977F7">
        <w:rPr>
          <w:color w:val="auto"/>
          <w:spacing w:val="-2"/>
          <w:sz w:val="20"/>
          <w:szCs w:val="20"/>
        </w:rPr>
        <w:t xml:space="preserve"> </w:t>
      </w:r>
      <w:r w:rsidRPr="000977F7">
        <w:rPr>
          <w:color w:val="auto"/>
          <w:sz w:val="20"/>
          <w:szCs w:val="20"/>
        </w:rPr>
        <w:t>–</w:t>
      </w:r>
    </w:p>
    <w:p w14:paraId="5E6BE6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w:t>
      </w:r>
      <w:r w:rsidRPr="000977F7">
        <w:rPr>
          <w:rFonts w:asciiTheme="majorHAnsi" w:hAnsiTheme="majorHAnsi"/>
          <w:spacing w:val="1"/>
          <w:sz w:val="20"/>
          <w:szCs w:val="20"/>
        </w:rPr>
        <w:t xml:space="preserve"> </w:t>
      </w:r>
      <w:r w:rsidRPr="000977F7">
        <w:rPr>
          <w:rFonts w:asciiTheme="majorHAnsi" w:hAnsiTheme="majorHAnsi"/>
          <w:sz w:val="20"/>
          <w:szCs w:val="20"/>
        </w:rPr>
        <w:t>кількість</w:t>
      </w:r>
      <w:r w:rsidRPr="000977F7">
        <w:rPr>
          <w:rFonts w:asciiTheme="majorHAnsi" w:hAnsiTheme="majorHAnsi"/>
          <w:spacing w:val="1"/>
          <w:sz w:val="20"/>
          <w:szCs w:val="20"/>
        </w:rPr>
        <w:t xml:space="preserve"> </w:t>
      </w:r>
      <w:r w:rsidRPr="000977F7">
        <w:rPr>
          <w:rFonts w:asciiTheme="majorHAnsi" w:hAnsiTheme="majorHAnsi"/>
          <w:sz w:val="20"/>
          <w:szCs w:val="20"/>
        </w:rPr>
        <w:t>якої</w:t>
      </w:r>
      <w:r w:rsidRPr="000977F7">
        <w:rPr>
          <w:rFonts w:asciiTheme="majorHAnsi" w:hAnsiTheme="majorHAnsi"/>
          <w:spacing w:val="1"/>
          <w:sz w:val="20"/>
          <w:szCs w:val="20"/>
        </w:rPr>
        <w:t xml:space="preserve"> </w:t>
      </w:r>
      <w:r w:rsidRPr="000977F7">
        <w:rPr>
          <w:rFonts w:asciiTheme="majorHAnsi" w:hAnsiTheme="majorHAnsi"/>
          <w:sz w:val="20"/>
          <w:szCs w:val="20"/>
        </w:rPr>
        <w:t>визначається</w:t>
      </w:r>
      <w:r w:rsidRPr="000977F7">
        <w:rPr>
          <w:rFonts w:asciiTheme="majorHAnsi" w:hAnsiTheme="majorHAnsi"/>
          <w:spacing w:val="1"/>
          <w:sz w:val="20"/>
          <w:szCs w:val="20"/>
        </w:rPr>
        <w:t xml:space="preserve"> </w:t>
      </w:r>
      <w:r w:rsidRPr="000977F7">
        <w:rPr>
          <w:rFonts w:asciiTheme="majorHAnsi" w:hAnsiTheme="majorHAnsi"/>
          <w:sz w:val="20"/>
          <w:szCs w:val="20"/>
        </w:rPr>
        <w:t>величиною</w:t>
      </w:r>
      <w:r w:rsidRPr="000977F7">
        <w:rPr>
          <w:rFonts w:asciiTheme="majorHAnsi" w:hAnsiTheme="majorHAnsi"/>
          <w:spacing w:val="1"/>
          <w:sz w:val="20"/>
          <w:szCs w:val="20"/>
        </w:rPr>
        <w:t xml:space="preserve"> </w:t>
      </w:r>
      <w:r w:rsidRPr="000977F7">
        <w:rPr>
          <w:rFonts w:asciiTheme="majorHAnsi" w:hAnsiTheme="majorHAnsi"/>
          <w:sz w:val="20"/>
          <w:szCs w:val="20"/>
        </w:rPr>
        <w:t>маси,</w:t>
      </w:r>
      <w:r w:rsidRPr="000977F7">
        <w:rPr>
          <w:rFonts w:asciiTheme="majorHAnsi" w:hAnsiTheme="majorHAnsi"/>
          <w:spacing w:val="-1"/>
          <w:sz w:val="20"/>
          <w:szCs w:val="20"/>
        </w:rPr>
        <w:t xml:space="preserve"> </w:t>
      </w:r>
      <w:r w:rsidRPr="000977F7">
        <w:rPr>
          <w:rFonts w:asciiTheme="majorHAnsi" w:hAnsiTheme="majorHAnsi"/>
          <w:sz w:val="20"/>
          <w:szCs w:val="20"/>
        </w:rPr>
        <w:t>довжини, поверхні,</w:t>
      </w:r>
      <w:r w:rsidRPr="000977F7">
        <w:rPr>
          <w:rFonts w:asciiTheme="majorHAnsi" w:hAnsiTheme="majorHAnsi"/>
          <w:spacing w:val="-1"/>
          <w:sz w:val="20"/>
          <w:szCs w:val="20"/>
        </w:rPr>
        <w:t xml:space="preserve"> </w:t>
      </w:r>
      <w:r w:rsidRPr="000977F7">
        <w:rPr>
          <w:rFonts w:asciiTheme="majorHAnsi" w:hAnsiTheme="majorHAnsi"/>
          <w:sz w:val="20"/>
          <w:szCs w:val="20"/>
        </w:rPr>
        <w:t>об’єму</w:t>
      </w:r>
    </w:p>
    <w:p w14:paraId="6C69EFC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720FA77"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bookmarkStart w:id="145" w:name="_Hlk103750341"/>
      <w:r w:rsidRPr="000977F7">
        <w:rPr>
          <w:rFonts w:asciiTheme="majorHAnsi" w:hAnsiTheme="majorHAnsi"/>
          <w:b/>
          <w:bCs/>
          <w:iCs/>
          <w:sz w:val="20"/>
          <w:szCs w:val="20"/>
        </w:rPr>
        <w:t>НЕПРАВИЛЬНЕ ФУНКЦІОНУВАННЯ -</w:t>
      </w:r>
    </w:p>
    <w:p w14:paraId="0735783B"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iCs/>
          <w:sz w:val="20"/>
          <w:szCs w:val="20"/>
        </w:rPr>
        <w:t>MALFUNCTION –</w:t>
      </w:r>
    </w:p>
    <w:bookmarkEnd w:id="145"/>
    <w:p w14:paraId="2952307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Збій, унаслідок якого машина не може виконувати очікуваних функцій.</w:t>
      </w:r>
    </w:p>
    <w:p w14:paraId="511A5EE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Примітка. Приклади див. 5.4b)2) </w:t>
      </w:r>
    </w:p>
    <w:p w14:paraId="7BB7D906"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570DA6D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146" w:name="_Hlk102573712"/>
      <w:r w:rsidRPr="000977F7">
        <w:rPr>
          <w:color w:val="auto"/>
          <w:sz w:val="20"/>
          <w:szCs w:val="20"/>
        </w:rPr>
        <w:t>НЕПРАЦЕЗДАТНИЙ</w:t>
      </w:r>
      <w:r w:rsidRPr="000977F7">
        <w:rPr>
          <w:color w:val="auto"/>
          <w:spacing w:val="-4"/>
          <w:sz w:val="20"/>
          <w:szCs w:val="20"/>
        </w:rPr>
        <w:t xml:space="preserve"> </w:t>
      </w:r>
      <w:r w:rsidRPr="000977F7">
        <w:rPr>
          <w:color w:val="auto"/>
          <w:sz w:val="20"/>
          <w:szCs w:val="20"/>
        </w:rPr>
        <w:t>СТАН –</w:t>
      </w:r>
    </w:p>
    <w:p w14:paraId="41C6D3C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FAILURE</w:t>
      </w:r>
      <w:r w:rsidRPr="000977F7">
        <w:rPr>
          <w:rFonts w:asciiTheme="majorHAnsi" w:hAnsiTheme="majorHAnsi"/>
          <w:spacing w:val="-3"/>
          <w:sz w:val="20"/>
          <w:szCs w:val="20"/>
        </w:rPr>
        <w:t xml:space="preserve"> </w:t>
      </w:r>
      <w:r w:rsidRPr="000977F7">
        <w:rPr>
          <w:rFonts w:asciiTheme="majorHAnsi" w:hAnsiTheme="majorHAnsi"/>
          <w:sz w:val="20"/>
          <w:szCs w:val="20"/>
        </w:rPr>
        <w:t>STATE –</w:t>
      </w:r>
    </w:p>
    <w:p w14:paraId="03B790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Стан об’єкта, який </w:t>
      </w:r>
      <w:bookmarkEnd w:id="146"/>
      <w:r w:rsidRPr="000977F7">
        <w:rPr>
          <w:rFonts w:asciiTheme="majorHAnsi" w:hAnsiTheme="majorHAnsi"/>
          <w:sz w:val="20"/>
          <w:szCs w:val="20"/>
        </w:rPr>
        <w:t>характеризується відсутністю здатності</w:t>
      </w:r>
      <w:r w:rsidRPr="000977F7">
        <w:rPr>
          <w:rFonts w:asciiTheme="majorHAnsi" w:hAnsiTheme="majorHAnsi"/>
          <w:spacing w:val="-2"/>
          <w:sz w:val="20"/>
          <w:szCs w:val="20"/>
        </w:rPr>
        <w:t xml:space="preserve"> </w:t>
      </w:r>
      <w:r w:rsidRPr="000977F7">
        <w:rPr>
          <w:rFonts w:asciiTheme="majorHAnsi" w:hAnsiTheme="majorHAnsi"/>
          <w:sz w:val="20"/>
          <w:szCs w:val="20"/>
        </w:rPr>
        <w:t>виконувати</w:t>
      </w:r>
      <w:r w:rsidRPr="000977F7">
        <w:rPr>
          <w:rFonts w:asciiTheme="majorHAnsi" w:hAnsiTheme="majorHAnsi"/>
          <w:spacing w:val="-1"/>
          <w:sz w:val="20"/>
          <w:szCs w:val="20"/>
        </w:rPr>
        <w:t xml:space="preserve"> </w:t>
      </w:r>
      <w:r w:rsidRPr="000977F7">
        <w:rPr>
          <w:rFonts w:asciiTheme="majorHAnsi" w:hAnsiTheme="majorHAnsi"/>
          <w:sz w:val="20"/>
          <w:szCs w:val="20"/>
        </w:rPr>
        <w:t>потрібні</w:t>
      </w:r>
      <w:r w:rsidRPr="000977F7">
        <w:rPr>
          <w:rFonts w:asciiTheme="majorHAnsi" w:hAnsiTheme="majorHAnsi"/>
          <w:spacing w:val="1"/>
          <w:sz w:val="20"/>
          <w:szCs w:val="20"/>
        </w:rPr>
        <w:t xml:space="preserve"> </w:t>
      </w:r>
      <w:r w:rsidRPr="000977F7">
        <w:rPr>
          <w:rFonts w:asciiTheme="majorHAnsi" w:hAnsiTheme="majorHAnsi"/>
          <w:sz w:val="20"/>
          <w:szCs w:val="20"/>
        </w:rPr>
        <w:t>функції</w:t>
      </w:r>
    </w:p>
    <w:p w14:paraId="343506D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bookmarkStart w:id="147" w:name="_Hlk102574681"/>
      <w:bookmarkStart w:id="148" w:name="_Hlk102574227"/>
      <w:r w:rsidRPr="004D2D14">
        <w:rPr>
          <w:rFonts w:asciiTheme="majorHAnsi" w:hAnsiTheme="majorHAnsi"/>
          <w:sz w:val="20"/>
          <w:szCs w:val="20"/>
          <w:lang w:val="en-US"/>
        </w:rPr>
        <w:t>INTERNAL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DISABLED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STATE;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DOWN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STATE</w:t>
      </w:r>
      <w:bookmarkEnd w:id="147"/>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bookmarkEnd w:id="148"/>
    <w:p w14:paraId="715484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w:t>
      </w:r>
      <w:r w:rsidRPr="000977F7">
        <w:rPr>
          <w:rFonts w:asciiTheme="majorHAnsi" w:hAnsiTheme="majorHAnsi"/>
          <w:spacing w:val="28"/>
          <w:sz w:val="20"/>
          <w:szCs w:val="20"/>
        </w:rPr>
        <w:t xml:space="preserve"> </w:t>
      </w:r>
      <w:r w:rsidRPr="000977F7">
        <w:rPr>
          <w:rFonts w:asciiTheme="majorHAnsi" w:hAnsiTheme="majorHAnsi"/>
          <w:sz w:val="20"/>
          <w:szCs w:val="20"/>
        </w:rPr>
        <w:t>об’єкта,</w:t>
      </w:r>
      <w:r w:rsidRPr="000977F7">
        <w:rPr>
          <w:rFonts w:asciiTheme="majorHAnsi" w:hAnsiTheme="majorHAnsi"/>
          <w:spacing w:val="29"/>
          <w:sz w:val="20"/>
          <w:szCs w:val="20"/>
        </w:rPr>
        <w:t xml:space="preserve"> </w:t>
      </w:r>
      <w:r w:rsidRPr="000977F7">
        <w:rPr>
          <w:rFonts w:asciiTheme="majorHAnsi" w:hAnsiTheme="majorHAnsi"/>
          <w:sz w:val="20"/>
          <w:szCs w:val="20"/>
        </w:rPr>
        <w:t>за</w:t>
      </w:r>
      <w:r w:rsidRPr="000977F7">
        <w:rPr>
          <w:rFonts w:asciiTheme="majorHAnsi" w:hAnsiTheme="majorHAnsi"/>
          <w:spacing w:val="30"/>
          <w:sz w:val="20"/>
          <w:szCs w:val="20"/>
        </w:rPr>
        <w:t xml:space="preserve"> </w:t>
      </w:r>
      <w:r w:rsidRPr="000977F7">
        <w:rPr>
          <w:rFonts w:asciiTheme="majorHAnsi" w:hAnsiTheme="majorHAnsi"/>
          <w:sz w:val="20"/>
          <w:szCs w:val="20"/>
        </w:rPr>
        <w:t>яким</w:t>
      </w:r>
      <w:r w:rsidRPr="000977F7">
        <w:rPr>
          <w:rFonts w:asciiTheme="majorHAnsi" w:hAnsiTheme="majorHAnsi"/>
          <w:spacing w:val="30"/>
          <w:sz w:val="20"/>
          <w:szCs w:val="20"/>
        </w:rPr>
        <w:t xml:space="preserve"> </w:t>
      </w:r>
      <w:r w:rsidRPr="000977F7">
        <w:rPr>
          <w:rFonts w:asciiTheme="majorHAnsi" w:hAnsiTheme="majorHAnsi"/>
          <w:sz w:val="20"/>
          <w:szCs w:val="20"/>
        </w:rPr>
        <w:t>він</w:t>
      </w:r>
      <w:r w:rsidRPr="000977F7">
        <w:rPr>
          <w:rFonts w:asciiTheme="majorHAnsi" w:hAnsiTheme="majorHAnsi"/>
          <w:spacing w:val="31"/>
          <w:sz w:val="20"/>
          <w:szCs w:val="20"/>
        </w:rPr>
        <w:t xml:space="preserve"> </w:t>
      </w:r>
      <w:r w:rsidRPr="000977F7">
        <w:rPr>
          <w:rFonts w:asciiTheme="majorHAnsi" w:hAnsiTheme="majorHAnsi"/>
          <w:sz w:val="20"/>
          <w:szCs w:val="20"/>
        </w:rPr>
        <w:t>нездатний</w:t>
      </w:r>
      <w:r w:rsidRPr="000977F7">
        <w:rPr>
          <w:rFonts w:asciiTheme="majorHAnsi" w:hAnsiTheme="majorHAnsi"/>
          <w:spacing w:val="28"/>
          <w:sz w:val="20"/>
          <w:szCs w:val="20"/>
        </w:rPr>
        <w:t xml:space="preserve"> </w:t>
      </w:r>
      <w:r w:rsidRPr="000977F7">
        <w:rPr>
          <w:rFonts w:asciiTheme="majorHAnsi" w:hAnsiTheme="majorHAnsi"/>
          <w:sz w:val="20"/>
          <w:szCs w:val="20"/>
        </w:rPr>
        <w:t>виконувати</w:t>
      </w:r>
      <w:r w:rsidRPr="000977F7">
        <w:rPr>
          <w:rFonts w:asciiTheme="majorHAnsi" w:hAnsiTheme="majorHAnsi"/>
          <w:spacing w:val="31"/>
          <w:sz w:val="20"/>
          <w:szCs w:val="20"/>
        </w:rPr>
        <w:t xml:space="preserve"> </w:t>
      </w:r>
      <w:r w:rsidRPr="000977F7">
        <w:rPr>
          <w:rFonts w:asciiTheme="majorHAnsi" w:hAnsiTheme="majorHAnsi"/>
          <w:sz w:val="20"/>
          <w:szCs w:val="20"/>
        </w:rPr>
        <w:t>хоч</w:t>
      </w:r>
      <w:r w:rsidRPr="000977F7">
        <w:rPr>
          <w:rFonts w:asciiTheme="majorHAnsi" w:hAnsiTheme="majorHAnsi"/>
          <w:spacing w:val="-47"/>
          <w:sz w:val="20"/>
          <w:szCs w:val="20"/>
        </w:rPr>
        <w:t xml:space="preserve"> </w:t>
      </w:r>
      <w:r w:rsidRPr="000977F7">
        <w:rPr>
          <w:rFonts w:asciiTheme="majorHAnsi" w:hAnsiTheme="majorHAnsi"/>
          <w:sz w:val="20"/>
          <w:szCs w:val="20"/>
        </w:rPr>
        <w:t>би</w:t>
      </w:r>
      <w:r w:rsidRPr="000977F7">
        <w:rPr>
          <w:rFonts w:asciiTheme="majorHAnsi" w:hAnsiTheme="majorHAnsi"/>
          <w:spacing w:val="-3"/>
          <w:sz w:val="20"/>
          <w:szCs w:val="20"/>
        </w:rPr>
        <w:t xml:space="preserve"> </w:t>
      </w:r>
      <w:r w:rsidRPr="000977F7">
        <w:rPr>
          <w:rFonts w:asciiTheme="majorHAnsi" w:hAnsiTheme="majorHAnsi"/>
          <w:sz w:val="20"/>
          <w:szCs w:val="20"/>
        </w:rPr>
        <w:t>одну</w:t>
      </w:r>
      <w:r w:rsidRPr="000977F7">
        <w:rPr>
          <w:rFonts w:asciiTheme="majorHAnsi" w:hAnsiTheme="majorHAnsi"/>
          <w:spacing w:val="-4"/>
          <w:sz w:val="20"/>
          <w:szCs w:val="20"/>
        </w:rPr>
        <w:t xml:space="preserve"> </w:t>
      </w:r>
      <w:r w:rsidRPr="000977F7">
        <w:rPr>
          <w:rFonts w:asciiTheme="majorHAnsi" w:hAnsiTheme="majorHAnsi"/>
          <w:sz w:val="20"/>
          <w:szCs w:val="20"/>
        </w:rPr>
        <w:t>з потрібних</w:t>
      </w:r>
      <w:r w:rsidRPr="000977F7">
        <w:rPr>
          <w:rFonts w:asciiTheme="majorHAnsi" w:hAnsiTheme="majorHAnsi"/>
          <w:spacing w:val="-1"/>
          <w:sz w:val="20"/>
          <w:szCs w:val="20"/>
        </w:rPr>
        <w:t xml:space="preserve"> </w:t>
      </w:r>
      <w:r w:rsidRPr="000977F7">
        <w:rPr>
          <w:rFonts w:asciiTheme="majorHAnsi" w:hAnsiTheme="majorHAnsi"/>
          <w:sz w:val="20"/>
          <w:szCs w:val="20"/>
        </w:rPr>
        <w:t>функцій</w:t>
      </w:r>
    </w:p>
    <w:p w14:paraId="5277A1B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2848D7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НЕПРАЦЕЗДАТНИЙ</w:t>
      </w:r>
      <w:r w:rsidRPr="000977F7">
        <w:rPr>
          <w:color w:val="auto"/>
          <w:spacing w:val="-10"/>
          <w:sz w:val="20"/>
          <w:szCs w:val="20"/>
        </w:rPr>
        <w:t xml:space="preserve"> </w:t>
      </w:r>
      <w:r w:rsidRPr="000977F7">
        <w:rPr>
          <w:color w:val="auto"/>
          <w:sz w:val="20"/>
          <w:szCs w:val="20"/>
        </w:rPr>
        <w:t>СТАН</w:t>
      </w:r>
      <w:r w:rsidRPr="000977F7">
        <w:rPr>
          <w:color w:val="auto"/>
          <w:spacing w:val="-10"/>
          <w:sz w:val="20"/>
          <w:szCs w:val="20"/>
        </w:rPr>
        <w:t xml:space="preserve"> </w:t>
      </w:r>
      <w:r w:rsidRPr="000977F7">
        <w:rPr>
          <w:color w:val="auto"/>
          <w:sz w:val="20"/>
          <w:szCs w:val="20"/>
        </w:rPr>
        <w:t>ТЕХНОЛОГІЧНОЇ</w:t>
      </w:r>
      <w:r w:rsidRPr="000977F7">
        <w:rPr>
          <w:color w:val="auto"/>
          <w:spacing w:val="-47"/>
          <w:sz w:val="20"/>
          <w:szCs w:val="20"/>
        </w:rPr>
        <w:t xml:space="preserve"> </w:t>
      </w:r>
      <w:r w:rsidRPr="000977F7">
        <w:rPr>
          <w:color w:val="auto"/>
          <w:sz w:val="20"/>
          <w:szCs w:val="20"/>
        </w:rPr>
        <w:t>СИСТЕМИ –</w:t>
      </w:r>
    </w:p>
    <w:p w14:paraId="4234558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SERVICEABLE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CONDITION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TECHOLOGICAL</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SYSTEM –</w:t>
      </w:r>
    </w:p>
    <w:p w14:paraId="6CC26F4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 технологічної системи, за якого вона не в змозі</w:t>
      </w:r>
      <w:r w:rsidRPr="000977F7">
        <w:rPr>
          <w:rFonts w:asciiTheme="majorHAnsi" w:hAnsiTheme="majorHAnsi"/>
          <w:spacing w:val="1"/>
          <w:sz w:val="20"/>
          <w:szCs w:val="20"/>
        </w:rPr>
        <w:t xml:space="preserve"> </w:t>
      </w:r>
      <w:r w:rsidRPr="000977F7">
        <w:rPr>
          <w:rFonts w:asciiTheme="majorHAnsi" w:hAnsiTheme="majorHAnsi"/>
          <w:sz w:val="20"/>
          <w:szCs w:val="20"/>
        </w:rPr>
        <w:t>виконувати</w:t>
      </w:r>
      <w:r w:rsidRPr="000977F7">
        <w:rPr>
          <w:rFonts w:asciiTheme="majorHAnsi" w:hAnsiTheme="majorHAnsi"/>
          <w:spacing w:val="-2"/>
          <w:sz w:val="20"/>
          <w:szCs w:val="20"/>
        </w:rPr>
        <w:t xml:space="preserve"> </w:t>
      </w:r>
      <w:r w:rsidRPr="000977F7">
        <w:rPr>
          <w:rFonts w:asciiTheme="majorHAnsi" w:hAnsiTheme="majorHAnsi"/>
          <w:sz w:val="20"/>
          <w:szCs w:val="20"/>
        </w:rPr>
        <w:t>хоч</w:t>
      </w:r>
      <w:r w:rsidRPr="000977F7">
        <w:rPr>
          <w:rFonts w:asciiTheme="majorHAnsi" w:hAnsiTheme="majorHAnsi"/>
          <w:spacing w:val="-1"/>
          <w:sz w:val="20"/>
          <w:szCs w:val="20"/>
        </w:rPr>
        <w:t xml:space="preserve"> </w:t>
      </w:r>
      <w:r w:rsidRPr="000977F7">
        <w:rPr>
          <w:rFonts w:asciiTheme="majorHAnsi" w:hAnsiTheme="majorHAnsi"/>
          <w:sz w:val="20"/>
          <w:szCs w:val="20"/>
        </w:rPr>
        <w:t>би</w:t>
      </w:r>
      <w:r w:rsidRPr="000977F7">
        <w:rPr>
          <w:rFonts w:asciiTheme="majorHAnsi" w:hAnsiTheme="majorHAnsi"/>
          <w:spacing w:val="-2"/>
          <w:sz w:val="20"/>
          <w:szCs w:val="20"/>
        </w:rPr>
        <w:t xml:space="preserve"> </w:t>
      </w:r>
      <w:r w:rsidRPr="000977F7">
        <w:rPr>
          <w:rFonts w:asciiTheme="majorHAnsi" w:hAnsiTheme="majorHAnsi"/>
          <w:sz w:val="20"/>
          <w:szCs w:val="20"/>
        </w:rPr>
        <w:t>одну</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потрібних</w:t>
      </w:r>
      <w:r w:rsidRPr="000977F7">
        <w:rPr>
          <w:rFonts w:asciiTheme="majorHAnsi" w:hAnsiTheme="majorHAnsi"/>
          <w:spacing w:val="-2"/>
          <w:sz w:val="20"/>
          <w:szCs w:val="20"/>
        </w:rPr>
        <w:t xml:space="preserve"> </w:t>
      </w:r>
      <w:r w:rsidRPr="000977F7">
        <w:rPr>
          <w:rFonts w:asciiTheme="majorHAnsi" w:hAnsiTheme="majorHAnsi"/>
          <w:sz w:val="20"/>
          <w:szCs w:val="20"/>
        </w:rPr>
        <w:t>функцій</w:t>
      </w:r>
    </w:p>
    <w:p w14:paraId="7A335F4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2470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FDA8C58"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НЕПРАЦЕЗДАТНИЙ</w:t>
      </w:r>
      <w:r w:rsidRPr="000977F7">
        <w:rPr>
          <w:color w:val="auto"/>
          <w:spacing w:val="-10"/>
          <w:sz w:val="20"/>
          <w:szCs w:val="20"/>
        </w:rPr>
        <w:t xml:space="preserve"> </w:t>
      </w:r>
      <w:r w:rsidRPr="000977F7">
        <w:rPr>
          <w:color w:val="auto"/>
          <w:sz w:val="20"/>
          <w:szCs w:val="20"/>
        </w:rPr>
        <w:t>СТАН</w:t>
      </w:r>
      <w:r w:rsidRPr="000977F7">
        <w:rPr>
          <w:color w:val="auto"/>
          <w:spacing w:val="-10"/>
          <w:sz w:val="20"/>
          <w:szCs w:val="20"/>
        </w:rPr>
        <w:t xml:space="preserve"> </w:t>
      </w:r>
      <w:r w:rsidRPr="000977F7">
        <w:rPr>
          <w:color w:val="auto"/>
          <w:sz w:val="20"/>
          <w:szCs w:val="20"/>
        </w:rPr>
        <w:t>ТЕХНОЛОГІЧНОЇ</w:t>
      </w:r>
      <w:r w:rsidRPr="000977F7">
        <w:rPr>
          <w:color w:val="auto"/>
          <w:spacing w:val="-47"/>
          <w:sz w:val="20"/>
          <w:szCs w:val="20"/>
        </w:rPr>
        <w:t xml:space="preserve"> </w:t>
      </w:r>
      <w:r w:rsidRPr="000977F7">
        <w:rPr>
          <w:color w:val="auto"/>
          <w:sz w:val="20"/>
          <w:szCs w:val="20"/>
        </w:rPr>
        <w:t>СИСТЕМИ ЗА ВИТРАТАМИ</w:t>
      </w:r>
      <w:r w:rsidRPr="000977F7">
        <w:rPr>
          <w:color w:val="auto"/>
          <w:spacing w:val="3"/>
          <w:sz w:val="20"/>
          <w:szCs w:val="20"/>
        </w:rPr>
        <w:t xml:space="preserve"> </w:t>
      </w:r>
      <w:r w:rsidRPr="000977F7">
        <w:rPr>
          <w:b w:val="0"/>
          <w:color w:val="auto"/>
          <w:sz w:val="20"/>
          <w:szCs w:val="20"/>
        </w:rPr>
        <w:t>–</w:t>
      </w:r>
    </w:p>
    <w:p w14:paraId="1E46E15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NON-SERVICEABLE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CONDITION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TECHNOLOGICAL SYSTEM AS RELATED TO</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COSTS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03E8F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Стан технологічної системи, за якого значення принаймні одного параметра матеріальних і (чи) вартісних витрат не відповідає вимогам, які встановлені в</w:t>
      </w:r>
      <w:r w:rsidRPr="000977F7">
        <w:rPr>
          <w:rFonts w:asciiTheme="majorHAnsi" w:hAnsiTheme="majorHAnsi"/>
          <w:spacing w:val="1"/>
          <w:sz w:val="20"/>
          <w:szCs w:val="20"/>
        </w:rPr>
        <w:t xml:space="preserve"> </w:t>
      </w:r>
      <w:r w:rsidRPr="000977F7">
        <w:rPr>
          <w:rFonts w:asciiTheme="majorHAnsi" w:hAnsiTheme="majorHAnsi"/>
          <w:sz w:val="20"/>
          <w:szCs w:val="20"/>
        </w:rPr>
        <w:t>технічній</w:t>
      </w:r>
      <w:r w:rsidRPr="000977F7">
        <w:rPr>
          <w:rFonts w:asciiTheme="majorHAnsi" w:hAnsiTheme="majorHAnsi"/>
          <w:spacing w:val="-2"/>
          <w:sz w:val="20"/>
          <w:szCs w:val="20"/>
        </w:rPr>
        <w:t xml:space="preserve"> </w:t>
      </w:r>
      <w:r w:rsidRPr="000977F7">
        <w:rPr>
          <w:rFonts w:asciiTheme="majorHAnsi" w:hAnsiTheme="majorHAnsi"/>
          <w:sz w:val="20"/>
          <w:szCs w:val="20"/>
        </w:rPr>
        <w:t>документації</w:t>
      </w:r>
    </w:p>
    <w:p w14:paraId="1B18FDF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2470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28D3A47B"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НЕПРАЦЕЗДАТНИЙ</w:t>
      </w:r>
      <w:r w:rsidRPr="004D2D14">
        <w:rPr>
          <w:rFonts w:asciiTheme="majorHAnsi" w:hAnsiTheme="majorHAnsi"/>
          <w:b/>
          <w:spacing w:val="12"/>
          <w:sz w:val="20"/>
          <w:szCs w:val="20"/>
          <w:lang w:val="en-US"/>
        </w:rPr>
        <w:t xml:space="preserve"> </w:t>
      </w:r>
      <w:r w:rsidRPr="000977F7">
        <w:rPr>
          <w:rFonts w:asciiTheme="majorHAnsi" w:hAnsiTheme="majorHAnsi"/>
          <w:b/>
          <w:sz w:val="20"/>
          <w:szCs w:val="20"/>
        </w:rPr>
        <w:t>СТАН</w:t>
      </w:r>
      <w:r w:rsidRPr="004D2D14">
        <w:rPr>
          <w:rFonts w:asciiTheme="majorHAnsi" w:hAnsiTheme="majorHAnsi"/>
          <w:b/>
          <w:spacing w:val="12"/>
          <w:sz w:val="20"/>
          <w:szCs w:val="20"/>
          <w:lang w:val="en-US"/>
        </w:rPr>
        <w:t xml:space="preserve"> </w:t>
      </w:r>
      <w:r w:rsidRPr="000977F7">
        <w:rPr>
          <w:rFonts w:asciiTheme="majorHAnsi" w:hAnsiTheme="majorHAnsi"/>
          <w:b/>
          <w:sz w:val="20"/>
          <w:szCs w:val="20"/>
        </w:rPr>
        <w:t>ТЕХНОЛОГІЧНОЇ</w:t>
      </w:r>
      <w:r w:rsidRPr="004D2D14">
        <w:rPr>
          <w:rFonts w:asciiTheme="majorHAnsi" w:hAnsiTheme="majorHAnsi"/>
          <w:b/>
          <w:spacing w:val="-47"/>
          <w:sz w:val="20"/>
          <w:szCs w:val="20"/>
          <w:lang w:val="en-US"/>
        </w:rPr>
        <w:t xml:space="preserve"> </w:t>
      </w:r>
      <w:r w:rsidRPr="000977F7">
        <w:rPr>
          <w:rFonts w:asciiTheme="majorHAnsi" w:hAnsiTheme="majorHAnsi"/>
          <w:b/>
          <w:sz w:val="20"/>
          <w:szCs w:val="20"/>
        </w:rPr>
        <w:t>СИСТЕМИ</w:t>
      </w:r>
      <w:r w:rsidRPr="004D2D14">
        <w:rPr>
          <w:rFonts w:asciiTheme="majorHAnsi" w:hAnsiTheme="majorHAnsi"/>
          <w:b/>
          <w:sz w:val="20"/>
          <w:szCs w:val="20"/>
          <w:lang w:val="en-US"/>
        </w:rPr>
        <w:t xml:space="preserve"> </w:t>
      </w:r>
      <w:r w:rsidRPr="000977F7">
        <w:rPr>
          <w:rFonts w:asciiTheme="majorHAnsi" w:hAnsiTheme="majorHAnsi"/>
          <w:b/>
          <w:sz w:val="20"/>
          <w:szCs w:val="20"/>
        </w:rPr>
        <w:t>ЗА</w:t>
      </w:r>
      <w:r w:rsidRPr="004D2D14">
        <w:rPr>
          <w:rFonts w:asciiTheme="majorHAnsi" w:hAnsiTheme="majorHAnsi"/>
          <w:b/>
          <w:sz w:val="20"/>
          <w:szCs w:val="20"/>
          <w:lang w:val="en-US"/>
        </w:rPr>
        <w:t xml:space="preserve"> </w:t>
      </w:r>
      <w:r w:rsidRPr="000977F7">
        <w:rPr>
          <w:rFonts w:asciiTheme="majorHAnsi" w:hAnsiTheme="majorHAnsi"/>
          <w:b/>
          <w:sz w:val="20"/>
          <w:szCs w:val="20"/>
        </w:rPr>
        <w:t>ПАРАМЕТРАМИ</w:t>
      </w:r>
      <w:r w:rsidRPr="004D2D14">
        <w:rPr>
          <w:rFonts w:asciiTheme="majorHAnsi" w:hAnsiTheme="majorHAnsi"/>
          <w:b/>
          <w:sz w:val="20"/>
          <w:szCs w:val="20"/>
          <w:lang w:val="en-US"/>
        </w:rPr>
        <w:t xml:space="preserve"> </w:t>
      </w:r>
      <w:r w:rsidRPr="000977F7">
        <w:rPr>
          <w:rFonts w:asciiTheme="majorHAnsi" w:hAnsiTheme="majorHAnsi"/>
          <w:b/>
          <w:sz w:val="20"/>
          <w:szCs w:val="20"/>
        </w:rPr>
        <w:t>ПРОДУКЦІЇ</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NON-SERVICEABLE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CONDITION OF</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TECHNOLOGICAL SYSTEM AS RELATED TO</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PRODUCTS</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PARAMETERS</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5A59BB8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 технологічної системи, за якого значення принаймні одного параметра і (чи) показника якості виготовлюваної</w:t>
      </w:r>
      <w:r w:rsidRPr="000977F7">
        <w:rPr>
          <w:rFonts w:asciiTheme="majorHAnsi" w:hAnsiTheme="majorHAnsi"/>
          <w:spacing w:val="5"/>
          <w:sz w:val="20"/>
          <w:szCs w:val="20"/>
        </w:rPr>
        <w:t xml:space="preserve"> </w:t>
      </w:r>
      <w:r w:rsidRPr="000977F7">
        <w:rPr>
          <w:rFonts w:asciiTheme="majorHAnsi" w:hAnsiTheme="majorHAnsi"/>
          <w:sz w:val="20"/>
          <w:szCs w:val="20"/>
        </w:rPr>
        <w:t>продукції</w:t>
      </w:r>
      <w:r w:rsidRPr="000977F7">
        <w:rPr>
          <w:rFonts w:asciiTheme="majorHAnsi" w:hAnsiTheme="majorHAnsi"/>
          <w:spacing w:val="5"/>
          <w:sz w:val="20"/>
          <w:szCs w:val="20"/>
        </w:rPr>
        <w:t xml:space="preserve"> </w:t>
      </w:r>
      <w:r w:rsidRPr="000977F7">
        <w:rPr>
          <w:rFonts w:asciiTheme="majorHAnsi" w:hAnsiTheme="majorHAnsi"/>
          <w:sz w:val="20"/>
          <w:szCs w:val="20"/>
        </w:rPr>
        <w:t>не</w:t>
      </w:r>
      <w:r w:rsidRPr="000977F7">
        <w:rPr>
          <w:rFonts w:asciiTheme="majorHAnsi" w:hAnsiTheme="majorHAnsi"/>
          <w:spacing w:val="6"/>
          <w:sz w:val="20"/>
          <w:szCs w:val="20"/>
        </w:rPr>
        <w:t xml:space="preserve"> </w:t>
      </w:r>
      <w:r w:rsidRPr="000977F7">
        <w:rPr>
          <w:rFonts w:asciiTheme="majorHAnsi" w:hAnsiTheme="majorHAnsi"/>
          <w:sz w:val="20"/>
          <w:szCs w:val="20"/>
        </w:rPr>
        <w:t>відповідає</w:t>
      </w:r>
      <w:r w:rsidRPr="000977F7">
        <w:rPr>
          <w:rFonts w:asciiTheme="majorHAnsi" w:hAnsiTheme="majorHAnsi"/>
          <w:spacing w:val="6"/>
          <w:sz w:val="20"/>
          <w:szCs w:val="20"/>
        </w:rPr>
        <w:t xml:space="preserve"> </w:t>
      </w:r>
      <w:r w:rsidRPr="000977F7">
        <w:rPr>
          <w:rFonts w:asciiTheme="majorHAnsi" w:hAnsiTheme="majorHAnsi"/>
          <w:sz w:val="20"/>
          <w:szCs w:val="20"/>
        </w:rPr>
        <w:t>вимогам,</w:t>
      </w:r>
      <w:r w:rsidRPr="000977F7">
        <w:rPr>
          <w:rFonts w:asciiTheme="majorHAnsi" w:hAnsiTheme="majorHAnsi"/>
          <w:spacing w:val="3"/>
          <w:sz w:val="20"/>
          <w:szCs w:val="20"/>
        </w:rPr>
        <w:t xml:space="preserve"> </w:t>
      </w:r>
      <w:r w:rsidRPr="000977F7">
        <w:rPr>
          <w:rFonts w:asciiTheme="majorHAnsi" w:hAnsiTheme="majorHAnsi"/>
          <w:sz w:val="20"/>
          <w:szCs w:val="20"/>
        </w:rPr>
        <w:t>які</w:t>
      </w:r>
      <w:r w:rsidRPr="000977F7">
        <w:rPr>
          <w:rFonts w:asciiTheme="majorHAnsi" w:hAnsiTheme="majorHAnsi"/>
          <w:spacing w:val="5"/>
          <w:sz w:val="20"/>
          <w:szCs w:val="20"/>
        </w:rPr>
        <w:t xml:space="preserve"> </w:t>
      </w:r>
      <w:r w:rsidRPr="000977F7">
        <w:rPr>
          <w:rFonts w:asciiTheme="majorHAnsi" w:hAnsiTheme="majorHAnsi"/>
          <w:sz w:val="20"/>
          <w:szCs w:val="20"/>
        </w:rPr>
        <w:t>встановлені в нормативно-технічній і (чи) в конструкторській</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технологічній</w:t>
      </w:r>
      <w:r w:rsidRPr="000977F7">
        <w:rPr>
          <w:rFonts w:asciiTheme="majorHAnsi" w:hAnsiTheme="majorHAnsi"/>
          <w:spacing w:val="-2"/>
          <w:sz w:val="20"/>
          <w:szCs w:val="20"/>
        </w:rPr>
        <w:t xml:space="preserve"> </w:t>
      </w:r>
      <w:r w:rsidRPr="000977F7">
        <w:rPr>
          <w:rFonts w:asciiTheme="majorHAnsi" w:hAnsiTheme="majorHAnsi"/>
          <w:sz w:val="20"/>
          <w:szCs w:val="20"/>
        </w:rPr>
        <w:t>документації</w:t>
      </w:r>
    </w:p>
    <w:p w14:paraId="3F7D0B4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2470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B25A032"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НЕПРАЦЕЗДАТНИЙ</w:t>
      </w:r>
      <w:r w:rsidRPr="000977F7">
        <w:rPr>
          <w:color w:val="auto"/>
          <w:spacing w:val="12"/>
          <w:sz w:val="20"/>
          <w:szCs w:val="20"/>
        </w:rPr>
        <w:t xml:space="preserve"> </w:t>
      </w:r>
      <w:r w:rsidRPr="000977F7">
        <w:rPr>
          <w:color w:val="auto"/>
          <w:sz w:val="20"/>
          <w:szCs w:val="20"/>
        </w:rPr>
        <w:t>СТАН</w:t>
      </w:r>
      <w:r w:rsidRPr="000977F7">
        <w:rPr>
          <w:color w:val="auto"/>
          <w:spacing w:val="12"/>
          <w:sz w:val="20"/>
          <w:szCs w:val="20"/>
        </w:rPr>
        <w:t xml:space="preserve"> </w:t>
      </w:r>
      <w:r w:rsidRPr="000977F7">
        <w:rPr>
          <w:color w:val="auto"/>
          <w:sz w:val="20"/>
          <w:szCs w:val="20"/>
        </w:rPr>
        <w:t>ТЕХНОЛОГІЧНОЇ</w:t>
      </w:r>
      <w:r w:rsidRPr="000977F7">
        <w:rPr>
          <w:color w:val="auto"/>
          <w:spacing w:val="-47"/>
          <w:sz w:val="20"/>
          <w:szCs w:val="20"/>
        </w:rPr>
        <w:t xml:space="preserve"> </w:t>
      </w:r>
      <w:r w:rsidRPr="000977F7">
        <w:rPr>
          <w:color w:val="auto"/>
          <w:sz w:val="20"/>
          <w:szCs w:val="20"/>
        </w:rPr>
        <w:t>СИСТЕМИ ЗА</w:t>
      </w:r>
      <w:r w:rsidRPr="000977F7">
        <w:rPr>
          <w:color w:val="auto"/>
          <w:spacing w:val="-1"/>
          <w:sz w:val="20"/>
          <w:szCs w:val="20"/>
        </w:rPr>
        <w:t xml:space="preserve"> </w:t>
      </w:r>
      <w:r w:rsidRPr="000977F7">
        <w:rPr>
          <w:color w:val="auto"/>
          <w:sz w:val="20"/>
          <w:szCs w:val="20"/>
        </w:rPr>
        <w:t>ПРОДУКТИВНІСТЮ</w:t>
      </w:r>
      <w:r w:rsidRPr="000977F7">
        <w:rPr>
          <w:color w:val="auto"/>
          <w:spacing w:val="1"/>
          <w:sz w:val="20"/>
          <w:szCs w:val="20"/>
        </w:rPr>
        <w:t xml:space="preserve"> </w:t>
      </w:r>
      <w:r w:rsidRPr="000977F7">
        <w:rPr>
          <w:b w:val="0"/>
          <w:color w:val="auto"/>
          <w:sz w:val="20"/>
          <w:szCs w:val="20"/>
        </w:rPr>
        <w:t>–</w:t>
      </w:r>
    </w:p>
    <w:p w14:paraId="2D7F610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NON-SERVICEABLE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CONDITION OF</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TECHNOLOGICAL</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SYSTEM AS RELATED TO</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OUT-PUT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0AB917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 технологічної системи, за якого значення принаймні одного параметра продуктивності технологічної системи не відповідає вимогам, які встановлені</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нормативно-технічній і (чи) конструкторській</w:t>
      </w:r>
      <w:r w:rsidRPr="000977F7">
        <w:rPr>
          <w:rFonts w:asciiTheme="majorHAnsi" w:hAnsiTheme="majorHAnsi"/>
          <w:spacing w:val="1"/>
          <w:sz w:val="20"/>
          <w:szCs w:val="20"/>
        </w:rPr>
        <w:t xml:space="preserve"> </w:t>
      </w:r>
      <w:r w:rsidRPr="000977F7">
        <w:rPr>
          <w:rFonts w:asciiTheme="majorHAnsi" w:hAnsiTheme="majorHAnsi"/>
          <w:sz w:val="20"/>
          <w:szCs w:val="20"/>
        </w:rPr>
        <w:t>та технологічній</w:t>
      </w:r>
      <w:r w:rsidRPr="000977F7">
        <w:rPr>
          <w:rFonts w:asciiTheme="majorHAnsi" w:hAnsiTheme="majorHAnsi"/>
          <w:spacing w:val="-2"/>
          <w:sz w:val="20"/>
          <w:szCs w:val="20"/>
        </w:rPr>
        <w:t xml:space="preserve"> </w:t>
      </w:r>
      <w:r w:rsidRPr="000977F7">
        <w:rPr>
          <w:rFonts w:asciiTheme="majorHAnsi" w:hAnsiTheme="majorHAnsi"/>
          <w:sz w:val="20"/>
          <w:szCs w:val="20"/>
        </w:rPr>
        <w:t>документації</w:t>
      </w:r>
    </w:p>
    <w:p w14:paraId="79D0863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2470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FBA2D5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НЕПРАЦЕЗДАТНІСТЬ</w:t>
      </w:r>
      <w:r w:rsidRPr="000977F7">
        <w:rPr>
          <w:color w:val="auto"/>
          <w:spacing w:val="-3"/>
          <w:sz w:val="20"/>
          <w:szCs w:val="20"/>
        </w:rPr>
        <w:t xml:space="preserve"> </w:t>
      </w:r>
      <w:r w:rsidRPr="000977F7">
        <w:rPr>
          <w:color w:val="auto"/>
          <w:sz w:val="20"/>
          <w:szCs w:val="20"/>
        </w:rPr>
        <w:t>–</w:t>
      </w:r>
    </w:p>
    <w:p w14:paraId="346B684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Втрата загальної або професійної працездатності внаслідок захворювання, нещасного випадку або природженої</w:t>
      </w:r>
      <w:r w:rsidRPr="000977F7">
        <w:rPr>
          <w:rFonts w:asciiTheme="majorHAnsi" w:hAnsiTheme="majorHAnsi"/>
          <w:spacing w:val="-2"/>
          <w:sz w:val="20"/>
          <w:szCs w:val="20"/>
        </w:rPr>
        <w:t xml:space="preserve"> </w:t>
      </w:r>
      <w:r w:rsidRPr="000977F7">
        <w:rPr>
          <w:rFonts w:asciiTheme="majorHAnsi" w:hAnsiTheme="majorHAnsi"/>
          <w:sz w:val="20"/>
          <w:szCs w:val="20"/>
        </w:rPr>
        <w:t>фізичної</w:t>
      </w:r>
      <w:r w:rsidRPr="000977F7">
        <w:rPr>
          <w:rFonts w:asciiTheme="majorHAnsi" w:hAnsiTheme="majorHAnsi"/>
          <w:spacing w:val="-1"/>
          <w:sz w:val="20"/>
          <w:szCs w:val="20"/>
        </w:rPr>
        <w:t xml:space="preserve"> </w:t>
      </w:r>
      <w:r w:rsidRPr="000977F7">
        <w:rPr>
          <w:rFonts w:asciiTheme="majorHAnsi" w:hAnsiTheme="majorHAnsi"/>
          <w:sz w:val="20"/>
          <w:szCs w:val="20"/>
        </w:rPr>
        <w:t>вади</w:t>
      </w:r>
    </w:p>
    <w:p w14:paraId="178D6D8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2293:2014;</w:t>
      </w:r>
      <w:r w:rsidRPr="000977F7">
        <w:rPr>
          <w:rFonts w:asciiTheme="majorHAnsi" w:hAnsiTheme="majorHAnsi"/>
          <w:i/>
          <w:spacing w:val="-2"/>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3038 - 95</w:t>
      </w:r>
    </w:p>
    <w:p w14:paraId="27AF8AD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НЕПРЯМЕ</w:t>
      </w:r>
      <w:r w:rsidRPr="000977F7">
        <w:rPr>
          <w:color w:val="auto"/>
          <w:spacing w:val="-5"/>
          <w:sz w:val="20"/>
          <w:szCs w:val="20"/>
        </w:rPr>
        <w:t xml:space="preserve"> </w:t>
      </w:r>
      <w:r w:rsidRPr="000977F7">
        <w:rPr>
          <w:color w:val="auto"/>
          <w:sz w:val="20"/>
          <w:szCs w:val="20"/>
        </w:rPr>
        <w:t>ВИМІРЮВАННЯ</w:t>
      </w:r>
      <w:r w:rsidRPr="000977F7">
        <w:rPr>
          <w:color w:val="auto"/>
          <w:spacing w:val="-1"/>
          <w:sz w:val="20"/>
          <w:szCs w:val="20"/>
        </w:rPr>
        <w:t xml:space="preserve"> </w:t>
      </w:r>
      <w:r w:rsidRPr="000977F7">
        <w:rPr>
          <w:color w:val="auto"/>
          <w:sz w:val="20"/>
          <w:szCs w:val="20"/>
        </w:rPr>
        <w:t>–</w:t>
      </w:r>
    </w:p>
    <w:p w14:paraId="146D454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Вимірювання, у якому значення однієї чи декількох</w:t>
      </w:r>
      <w:r w:rsidRPr="000977F7">
        <w:rPr>
          <w:rFonts w:asciiTheme="majorHAnsi" w:hAnsiTheme="majorHAnsi"/>
          <w:spacing w:val="1"/>
          <w:sz w:val="20"/>
          <w:szCs w:val="20"/>
        </w:rPr>
        <w:t xml:space="preserve"> </w:t>
      </w:r>
      <w:r w:rsidRPr="000977F7">
        <w:rPr>
          <w:rFonts w:asciiTheme="majorHAnsi" w:hAnsiTheme="majorHAnsi"/>
          <w:sz w:val="20"/>
          <w:szCs w:val="20"/>
        </w:rPr>
        <w:t>вимірюваних величин знаходять після</w:t>
      </w:r>
      <w:r w:rsidRPr="000977F7">
        <w:rPr>
          <w:rFonts w:asciiTheme="majorHAnsi" w:hAnsiTheme="majorHAnsi"/>
          <w:spacing w:val="1"/>
          <w:sz w:val="20"/>
          <w:szCs w:val="20"/>
        </w:rPr>
        <w:t xml:space="preserve"> </w:t>
      </w:r>
      <w:r w:rsidRPr="000977F7">
        <w:rPr>
          <w:rFonts w:asciiTheme="majorHAnsi" w:hAnsiTheme="majorHAnsi"/>
          <w:sz w:val="20"/>
          <w:szCs w:val="20"/>
        </w:rPr>
        <w:t>перетворення</w:t>
      </w:r>
      <w:r w:rsidRPr="000977F7">
        <w:rPr>
          <w:rFonts w:asciiTheme="majorHAnsi" w:hAnsiTheme="majorHAnsi"/>
          <w:spacing w:val="1"/>
          <w:sz w:val="20"/>
          <w:szCs w:val="20"/>
        </w:rPr>
        <w:t xml:space="preserve"> </w:t>
      </w:r>
      <w:r w:rsidRPr="000977F7">
        <w:rPr>
          <w:rFonts w:asciiTheme="majorHAnsi" w:hAnsiTheme="majorHAnsi"/>
          <w:sz w:val="20"/>
          <w:szCs w:val="20"/>
        </w:rPr>
        <w:t>роду величини чи обчислення за відомими залежностями їх від декількох величин аргументів, що вимірюються</w:t>
      </w:r>
      <w:r w:rsidRPr="000977F7">
        <w:rPr>
          <w:rFonts w:asciiTheme="majorHAnsi" w:hAnsiTheme="majorHAnsi"/>
          <w:spacing w:val="-2"/>
          <w:sz w:val="20"/>
          <w:szCs w:val="20"/>
        </w:rPr>
        <w:t xml:space="preserve"> </w:t>
      </w:r>
      <w:r w:rsidRPr="000977F7">
        <w:rPr>
          <w:rFonts w:asciiTheme="majorHAnsi" w:hAnsiTheme="majorHAnsi"/>
          <w:sz w:val="20"/>
          <w:szCs w:val="20"/>
        </w:rPr>
        <w:t>прямо</w:t>
      </w:r>
    </w:p>
    <w:p w14:paraId="3F08587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2681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E37921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НЕПРЯМЕ</w:t>
      </w:r>
      <w:r w:rsidRPr="000977F7">
        <w:rPr>
          <w:color w:val="auto"/>
          <w:spacing w:val="-9"/>
          <w:sz w:val="20"/>
          <w:szCs w:val="20"/>
        </w:rPr>
        <w:t xml:space="preserve"> </w:t>
      </w:r>
      <w:r w:rsidRPr="000977F7">
        <w:rPr>
          <w:color w:val="auto"/>
          <w:sz w:val="20"/>
          <w:szCs w:val="20"/>
        </w:rPr>
        <w:t>ЗАСТОСУВАННЯ</w:t>
      </w:r>
      <w:r w:rsidRPr="000977F7">
        <w:rPr>
          <w:color w:val="auto"/>
          <w:spacing w:val="34"/>
          <w:sz w:val="20"/>
          <w:szCs w:val="20"/>
        </w:rPr>
        <w:t xml:space="preserve"> </w:t>
      </w:r>
      <w:r w:rsidRPr="000977F7">
        <w:rPr>
          <w:color w:val="auto"/>
          <w:sz w:val="20"/>
          <w:szCs w:val="20"/>
        </w:rPr>
        <w:t>МІЖНАРОДНОГО</w:t>
      </w:r>
      <w:r w:rsidRPr="000977F7">
        <w:rPr>
          <w:color w:val="auto"/>
          <w:spacing w:val="-47"/>
          <w:sz w:val="20"/>
          <w:szCs w:val="20"/>
        </w:rPr>
        <w:t xml:space="preserve"> </w:t>
      </w:r>
      <w:r w:rsidRPr="000977F7">
        <w:rPr>
          <w:color w:val="auto"/>
          <w:sz w:val="20"/>
          <w:szCs w:val="20"/>
        </w:rPr>
        <w:t>СТАНДАРТА</w:t>
      </w:r>
      <w:r w:rsidRPr="000977F7">
        <w:rPr>
          <w:color w:val="auto"/>
          <w:spacing w:val="-1"/>
          <w:sz w:val="20"/>
          <w:szCs w:val="20"/>
        </w:rPr>
        <w:t xml:space="preserve"> </w:t>
      </w:r>
      <w:r w:rsidRPr="000977F7">
        <w:rPr>
          <w:color w:val="auto"/>
          <w:sz w:val="20"/>
          <w:szCs w:val="20"/>
        </w:rPr>
        <w:t>–</w:t>
      </w:r>
    </w:p>
    <w:p w14:paraId="74ED7983"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4D2D14">
        <w:rPr>
          <w:rFonts w:asciiTheme="majorHAnsi" w:hAnsiTheme="majorHAnsi"/>
          <w:sz w:val="20"/>
          <w:szCs w:val="20"/>
          <w:lang w:val="en-US"/>
        </w:rPr>
        <w:t>INDIRECT</w:t>
      </w:r>
      <w:r w:rsidRPr="004D2D14">
        <w:rPr>
          <w:rFonts w:asciiTheme="majorHAnsi" w:hAnsiTheme="majorHAnsi"/>
          <w:spacing w:val="13"/>
          <w:sz w:val="20"/>
          <w:szCs w:val="20"/>
          <w:lang w:val="en-US"/>
        </w:rPr>
        <w:t xml:space="preserve"> </w:t>
      </w:r>
      <w:r w:rsidRPr="004D2D14">
        <w:rPr>
          <w:rFonts w:asciiTheme="majorHAnsi" w:hAnsiTheme="majorHAnsi"/>
          <w:sz w:val="20"/>
          <w:szCs w:val="20"/>
          <w:lang w:val="en-US"/>
        </w:rPr>
        <w:t>APPLICATION</w:t>
      </w:r>
      <w:r w:rsidRPr="004D2D14">
        <w:rPr>
          <w:rFonts w:asciiTheme="majorHAnsi" w:hAnsiTheme="majorHAnsi"/>
          <w:spacing w:val="1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4"/>
          <w:sz w:val="20"/>
          <w:szCs w:val="20"/>
          <w:lang w:val="en-US"/>
        </w:rPr>
        <w:t xml:space="preserve"> </w:t>
      </w:r>
      <w:r w:rsidRPr="004D2D14">
        <w:rPr>
          <w:rFonts w:asciiTheme="majorHAnsi" w:hAnsiTheme="majorHAnsi"/>
          <w:sz w:val="20"/>
          <w:szCs w:val="20"/>
          <w:lang w:val="en-US"/>
        </w:rPr>
        <w:t>AN</w:t>
      </w:r>
      <w:r w:rsidRPr="004D2D14">
        <w:rPr>
          <w:rFonts w:asciiTheme="majorHAnsi" w:hAnsiTheme="majorHAnsi"/>
          <w:spacing w:val="12"/>
          <w:sz w:val="20"/>
          <w:szCs w:val="20"/>
          <w:lang w:val="en-US"/>
        </w:rPr>
        <w:t xml:space="preserve"> </w:t>
      </w:r>
      <w:r w:rsidRPr="004D2D14">
        <w:rPr>
          <w:rFonts w:asciiTheme="majorHAnsi" w:hAnsiTheme="majorHAnsi"/>
          <w:sz w:val="20"/>
          <w:szCs w:val="20"/>
          <w:lang w:val="en-US"/>
        </w:rPr>
        <w:t>INTERNATIONAL</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STANDARD</w:t>
      </w:r>
      <w:r w:rsidRPr="004D2D14">
        <w:rPr>
          <w:rFonts w:asciiTheme="majorHAnsi" w:hAnsiTheme="majorHAnsi"/>
          <w:spacing w:val="-1"/>
          <w:sz w:val="20"/>
          <w:szCs w:val="20"/>
          <w:lang w:val="en-US"/>
        </w:rPr>
        <w:t xml:space="preserve"> </w:t>
      </w:r>
      <w:r w:rsidRPr="004D2D14">
        <w:rPr>
          <w:rFonts w:asciiTheme="majorHAnsi" w:hAnsiTheme="majorHAnsi"/>
          <w:b/>
          <w:sz w:val="20"/>
          <w:szCs w:val="20"/>
          <w:lang w:val="en-US"/>
        </w:rPr>
        <w:t>–</w:t>
      </w:r>
    </w:p>
    <w:p w14:paraId="555B970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міжнародного</w:t>
      </w:r>
      <w:r w:rsidRPr="000977F7">
        <w:rPr>
          <w:rFonts w:asciiTheme="majorHAnsi" w:hAnsiTheme="majorHAnsi"/>
          <w:spacing w:val="1"/>
          <w:sz w:val="20"/>
          <w:szCs w:val="20"/>
        </w:rPr>
        <w:t xml:space="preserve"> </w:t>
      </w:r>
      <w:r w:rsidRPr="000977F7">
        <w:rPr>
          <w:rFonts w:asciiTheme="majorHAnsi" w:hAnsiTheme="majorHAnsi"/>
          <w:sz w:val="20"/>
          <w:szCs w:val="20"/>
        </w:rPr>
        <w:t>стандарту</w:t>
      </w:r>
      <w:r w:rsidRPr="000977F7">
        <w:rPr>
          <w:rFonts w:asciiTheme="majorHAnsi" w:hAnsiTheme="majorHAnsi"/>
          <w:spacing w:val="1"/>
          <w:sz w:val="20"/>
          <w:szCs w:val="20"/>
        </w:rPr>
        <w:t xml:space="preserve"> </w:t>
      </w:r>
      <w:r w:rsidRPr="000977F7">
        <w:rPr>
          <w:rFonts w:asciiTheme="majorHAnsi" w:hAnsiTheme="majorHAnsi"/>
          <w:sz w:val="20"/>
          <w:szCs w:val="20"/>
        </w:rPr>
        <w:t>через</w:t>
      </w:r>
      <w:r w:rsidRPr="000977F7">
        <w:rPr>
          <w:rFonts w:asciiTheme="majorHAnsi" w:hAnsiTheme="majorHAnsi"/>
          <w:spacing w:val="1"/>
          <w:sz w:val="20"/>
          <w:szCs w:val="20"/>
        </w:rPr>
        <w:t xml:space="preserve"> </w:t>
      </w:r>
      <w:r w:rsidRPr="000977F7">
        <w:rPr>
          <w:rFonts w:asciiTheme="majorHAnsi" w:hAnsiTheme="majorHAnsi"/>
          <w:sz w:val="20"/>
          <w:szCs w:val="20"/>
        </w:rPr>
        <w:t>інший</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якому</w:t>
      </w:r>
      <w:r w:rsidRPr="000977F7">
        <w:rPr>
          <w:rFonts w:asciiTheme="majorHAnsi" w:hAnsiTheme="majorHAnsi"/>
          <w:spacing w:val="1"/>
          <w:sz w:val="20"/>
          <w:szCs w:val="20"/>
        </w:rPr>
        <w:t xml:space="preserve"> </w:t>
      </w:r>
      <w:r w:rsidRPr="000977F7">
        <w:rPr>
          <w:rFonts w:asciiTheme="majorHAnsi" w:hAnsiTheme="majorHAnsi"/>
          <w:sz w:val="20"/>
          <w:szCs w:val="20"/>
        </w:rPr>
        <w:t>цей</w:t>
      </w:r>
      <w:r w:rsidRPr="000977F7">
        <w:rPr>
          <w:rFonts w:asciiTheme="majorHAnsi" w:hAnsiTheme="majorHAnsi"/>
          <w:spacing w:val="1"/>
          <w:sz w:val="20"/>
          <w:szCs w:val="20"/>
        </w:rPr>
        <w:t xml:space="preserve"> </w:t>
      </w:r>
      <w:r w:rsidRPr="000977F7">
        <w:rPr>
          <w:rFonts w:asciiTheme="majorHAnsi" w:hAnsiTheme="majorHAnsi"/>
          <w:sz w:val="20"/>
          <w:szCs w:val="20"/>
        </w:rPr>
        <w:t>стандарт</w:t>
      </w:r>
      <w:r w:rsidRPr="000977F7">
        <w:rPr>
          <w:rFonts w:asciiTheme="majorHAnsi" w:hAnsiTheme="majorHAnsi"/>
          <w:spacing w:val="1"/>
          <w:sz w:val="20"/>
          <w:szCs w:val="20"/>
        </w:rPr>
        <w:t xml:space="preserve"> </w:t>
      </w:r>
      <w:r w:rsidRPr="000977F7">
        <w:rPr>
          <w:rFonts w:asciiTheme="majorHAnsi" w:hAnsiTheme="majorHAnsi"/>
          <w:sz w:val="20"/>
          <w:szCs w:val="20"/>
        </w:rPr>
        <w:t>був</w:t>
      </w:r>
      <w:r w:rsidRPr="000977F7">
        <w:rPr>
          <w:rFonts w:asciiTheme="majorHAnsi" w:hAnsiTheme="majorHAnsi"/>
          <w:spacing w:val="1"/>
          <w:sz w:val="20"/>
          <w:szCs w:val="20"/>
        </w:rPr>
        <w:t xml:space="preserve"> </w:t>
      </w:r>
      <w:r w:rsidRPr="000977F7">
        <w:rPr>
          <w:rFonts w:asciiTheme="majorHAnsi" w:hAnsiTheme="majorHAnsi"/>
          <w:sz w:val="20"/>
          <w:szCs w:val="20"/>
        </w:rPr>
        <w:t>прийнятий</w:t>
      </w:r>
    </w:p>
    <w:p w14:paraId="35BD5B2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НЕПРЯМОЛІНІЙНІСТЬ</w:t>
      </w:r>
      <w:r w:rsidRPr="000977F7">
        <w:rPr>
          <w:color w:val="auto"/>
          <w:spacing w:val="-5"/>
          <w:sz w:val="20"/>
          <w:szCs w:val="20"/>
        </w:rPr>
        <w:t xml:space="preserve"> </w:t>
      </w:r>
      <w:r w:rsidRPr="000977F7">
        <w:rPr>
          <w:color w:val="auto"/>
          <w:sz w:val="20"/>
          <w:szCs w:val="20"/>
        </w:rPr>
        <w:t>-</w:t>
      </w:r>
    </w:p>
    <w:p w14:paraId="3C5FCE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Відхилення від прямолінійності, яке визначається як</w:t>
      </w:r>
      <w:r w:rsidRPr="000977F7">
        <w:rPr>
          <w:rFonts w:asciiTheme="majorHAnsi" w:hAnsiTheme="majorHAnsi"/>
          <w:spacing w:val="1"/>
          <w:sz w:val="20"/>
          <w:szCs w:val="20"/>
        </w:rPr>
        <w:t xml:space="preserve"> </w:t>
      </w:r>
      <w:r w:rsidRPr="000977F7">
        <w:rPr>
          <w:rFonts w:asciiTheme="majorHAnsi" w:hAnsiTheme="majorHAnsi"/>
          <w:sz w:val="20"/>
          <w:szCs w:val="20"/>
        </w:rPr>
        <w:t>найбільша відстань точок реального профілю до прилеглої</w:t>
      </w:r>
      <w:r w:rsidRPr="000977F7">
        <w:rPr>
          <w:rFonts w:asciiTheme="majorHAnsi" w:hAnsiTheme="majorHAnsi"/>
          <w:spacing w:val="1"/>
          <w:sz w:val="20"/>
          <w:szCs w:val="20"/>
        </w:rPr>
        <w:t xml:space="preserve"> </w:t>
      </w:r>
      <w:r w:rsidRPr="000977F7">
        <w:rPr>
          <w:rFonts w:asciiTheme="majorHAnsi" w:hAnsiTheme="majorHAnsi"/>
          <w:sz w:val="20"/>
          <w:szCs w:val="20"/>
        </w:rPr>
        <w:t>прямої</w:t>
      </w:r>
      <w:r w:rsidRPr="000977F7">
        <w:rPr>
          <w:rFonts w:asciiTheme="majorHAnsi" w:hAnsiTheme="majorHAnsi"/>
          <w:spacing w:val="-2"/>
          <w:sz w:val="20"/>
          <w:szCs w:val="20"/>
        </w:rPr>
        <w:t xml:space="preserve"> </w:t>
      </w:r>
      <w:r w:rsidRPr="000977F7">
        <w:rPr>
          <w:rFonts w:asciiTheme="majorHAnsi" w:hAnsiTheme="majorHAnsi"/>
          <w:sz w:val="20"/>
          <w:szCs w:val="20"/>
        </w:rPr>
        <w:t>в межах нормованої</w:t>
      </w:r>
      <w:r w:rsidRPr="000977F7">
        <w:rPr>
          <w:rFonts w:asciiTheme="majorHAnsi" w:hAnsiTheme="majorHAnsi"/>
          <w:spacing w:val="-2"/>
          <w:sz w:val="20"/>
          <w:szCs w:val="20"/>
        </w:rPr>
        <w:t xml:space="preserve"> </w:t>
      </w:r>
      <w:r w:rsidRPr="000977F7">
        <w:rPr>
          <w:rFonts w:asciiTheme="majorHAnsi" w:hAnsiTheme="majorHAnsi"/>
          <w:sz w:val="20"/>
          <w:szCs w:val="20"/>
        </w:rPr>
        <w:t>ділянки</w:t>
      </w:r>
    </w:p>
    <w:p w14:paraId="428889F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НЕРЕЗИДЕНТИ -</w:t>
      </w:r>
    </w:p>
    <w:p w14:paraId="0B213DF2"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а) юридичні особи, утворені відповідно до законодавства інших держав, які здійснюють свою діяльність за межами України, а також їх відокремлені підрозділи з місцезнаходженням на території України, які не здійснюють господарську діяльність відповідно до законодавства України;</w:t>
      </w:r>
    </w:p>
    <w:p w14:paraId="15521A66"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б) розташовані на території України дипломатичні представництва, консульські установи, інші офіційні представництва іноземних держав та міжнародних організацій, які мають дипломатичні привілеї та імунітет;</w:t>
      </w:r>
    </w:p>
    <w:p w14:paraId="09CB785A"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 xml:space="preserve">в) фізичні особи: іноземці та особи без громадянства, громадяни України, які мають постійне місце </w:t>
      </w:r>
      <w:r w:rsidRPr="000977F7">
        <w:rPr>
          <w:rFonts w:asciiTheme="majorHAnsi" w:hAnsiTheme="majorHAnsi"/>
          <w:sz w:val="20"/>
          <w:szCs w:val="20"/>
          <w:lang w:eastAsia="ru-RU"/>
        </w:rPr>
        <w:t>проживання за межами України, у тому числі ті, які тимчасово перебувають на території України</w:t>
      </w:r>
    </w:p>
    <w:p w14:paraId="5DD4B82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 кодекс України.</w:t>
      </w:r>
    </w:p>
    <w:p w14:paraId="44A8ED55"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НЕРЕМОНТОВНИЙ (НЕРЕМОНТОПРИДАТ</w:t>
      </w:r>
      <w:r w:rsidRPr="000977F7">
        <w:rPr>
          <w:rFonts w:asciiTheme="majorHAnsi" w:hAnsiTheme="majorHAnsi"/>
          <w:b/>
          <w:spacing w:val="-47"/>
          <w:sz w:val="20"/>
          <w:szCs w:val="20"/>
        </w:rPr>
        <w:t xml:space="preserve"> </w:t>
      </w:r>
      <w:r w:rsidRPr="000977F7">
        <w:rPr>
          <w:rFonts w:asciiTheme="majorHAnsi" w:hAnsiTheme="majorHAnsi"/>
          <w:b/>
          <w:sz w:val="20"/>
          <w:szCs w:val="20"/>
        </w:rPr>
        <w:t>НИЙ)</w:t>
      </w:r>
      <w:r w:rsidRPr="000977F7">
        <w:rPr>
          <w:rFonts w:asciiTheme="majorHAnsi" w:hAnsiTheme="majorHAnsi"/>
          <w:b/>
          <w:spacing w:val="-1"/>
          <w:sz w:val="20"/>
          <w:szCs w:val="20"/>
        </w:rPr>
        <w:t xml:space="preserve"> </w:t>
      </w:r>
      <w:r w:rsidRPr="000977F7">
        <w:rPr>
          <w:rFonts w:asciiTheme="majorHAnsi" w:hAnsiTheme="majorHAnsi"/>
          <w:b/>
          <w:sz w:val="20"/>
          <w:szCs w:val="20"/>
        </w:rPr>
        <w:t>ОБ’ЄКТ –</w:t>
      </w:r>
    </w:p>
    <w:p w14:paraId="1FA5AE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NONREPAIRABLE</w:t>
      </w:r>
      <w:r w:rsidRPr="000977F7">
        <w:rPr>
          <w:rFonts w:asciiTheme="majorHAnsi" w:hAnsiTheme="majorHAnsi"/>
          <w:spacing w:val="-2"/>
          <w:sz w:val="20"/>
          <w:szCs w:val="20"/>
        </w:rPr>
        <w:t xml:space="preserve"> </w:t>
      </w:r>
      <w:r w:rsidRPr="000977F7">
        <w:rPr>
          <w:rFonts w:asciiTheme="majorHAnsi" w:hAnsiTheme="majorHAnsi"/>
          <w:sz w:val="20"/>
          <w:szCs w:val="20"/>
        </w:rPr>
        <w:t>ITEM</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23079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 ремонт якого неможливий чи непередбачений</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нормативною, ремонтною та (чи) конструкторською</w:t>
      </w:r>
      <w:r w:rsidRPr="000977F7">
        <w:rPr>
          <w:rFonts w:asciiTheme="majorHAnsi" w:hAnsiTheme="majorHAnsi"/>
          <w:spacing w:val="1"/>
          <w:sz w:val="20"/>
          <w:szCs w:val="20"/>
        </w:rPr>
        <w:t xml:space="preserve"> </w:t>
      </w:r>
      <w:r w:rsidRPr="000977F7">
        <w:rPr>
          <w:rFonts w:asciiTheme="majorHAnsi" w:hAnsiTheme="majorHAnsi"/>
          <w:sz w:val="20"/>
          <w:szCs w:val="20"/>
        </w:rPr>
        <w:t>(проектною)</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документацією</w:t>
      </w:r>
    </w:p>
    <w:p w14:paraId="08A165A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 94</w:t>
      </w:r>
    </w:p>
    <w:p w14:paraId="32C5A7C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НЕРІВНОМІРНА</w:t>
      </w:r>
      <w:r w:rsidRPr="000977F7">
        <w:rPr>
          <w:color w:val="auto"/>
          <w:spacing w:val="-4"/>
          <w:sz w:val="20"/>
          <w:szCs w:val="20"/>
        </w:rPr>
        <w:t xml:space="preserve"> </w:t>
      </w:r>
      <w:r w:rsidRPr="000977F7">
        <w:rPr>
          <w:color w:val="auto"/>
          <w:sz w:val="20"/>
          <w:szCs w:val="20"/>
        </w:rPr>
        <w:t>КОРОЗІЯ</w:t>
      </w:r>
      <w:r w:rsidRPr="000977F7">
        <w:rPr>
          <w:color w:val="auto"/>
          <w:spacing w:val="-2"/>
          <w:sz w:val="20"/>
          <w:szCs w:val="20"/>
        </w:rPr>
        <w:t xml:space="preserve"> </w:t>
      </w:r>
      <w:r w:rsidRPr="000977F7">
        <w:rPr>
          <w:color w:val="auto"/>
          <w:sz w:val="20"/>
          <w:szCs w:val="20"/>
        </w:rPr>
        <w:t>–</w:t>
      </w:r>
    </w:p>
    <w:p w14:paraId="63C1B37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Суцільна</w:t>
      </w:r>
      <w:r w:rsidRPr="000977F7">
        <w:rPr>
          <w:rFonts w:asciiTheme="majorHAnsi" w:hAnsiTheme="majorHAnsi"/>
          <w:spacing w:val="1"/>
          <w:sz w:val="20"/>
          <w:szCs w:val="20"/>
        </w:rPr>
        <w:t xml:space="preserve"> </w:t>
      </w:r>
      <w:r w:rsidRPr="000977F7">
        <w:rPr>
          <w:rFonts w:asciiTheme="majorHAnsi" w:hAnsiTheme="majorHAnsi"/>
          <w:sz w:val="20"/>
          <w:szCs w:val="20"/>
        </w:rPr>
        <w:t>корозія,</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поширюється</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неоднаковою</w:t>
      </w:r>
      <w:r w:rsidRPr="000977F7">
        <w:rPr>
          <w:rFonts w:asciiTheme="majorHAnsi" w:hAnsiTheme="majorHAnsi"/>
          <w:spacing w:val="1"/>
          <w:sz w:val="20"/>
          <w:szCs w:val="20"/>
        </w:rPr>
        <w:t xml:space="preserve"> </w:t>
      </w:r>
      <w:r w:rsidRPr="000977F7">
        <w:rPr>
          <w:rFonts w:asciiTheme="majorHAnsi" w:hAnsiTheme="majorHAnsi"/>
          <w:sz w:val="20"/>
          <w:szCs w:val="20"/>
        </w:rPr>
        <w:t>швидкістю</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різних</w:t>
      </w:r>
      <w:r w:rsidRPr="000977F7">
        <w:rPr>
          <w:rFonts w:asciiTheme="majorHAnsi" w:hAnsiTheme="majorHAnsi"/>
          <w:spacing w:val="-2"/>
          <w:sz w:val="20"/>
          <w:szCs w:val="20"/>
        </w:rPr>
        <w:t xml:space="preserve"> </w:t>
      </w:r>
      <w:r w:rsidRPr="000977F7">
        <w:rPr>
          <w:rFonts w:asciiTheme="majorHAnsi" w:hAnsiTheme="majorHAnsi"/>
          <w:sz w:val="20"/>
          <w:szCs w:val="20"/>
        </w:rPr>
        <w:t>ділянках</w:t>
      </w:r>
      <w:r w:rsidRPr="000977F7">
        <w:rPr>
          <w:rFonts w:asciiTheme="majorHAnsi" w:hAnsiTheme="majorHAnsi"/>
          <w:spacing w:val="-1"/>
          <w:sz w:val="20"/>
          <w:szCs w:val="20"/>
        </w:rPr>
        <w:t xml:space="preserve"> </w:t>
      </w:r>
      <w:r w:rsidRPr="000977F7">
        <w:rPr>
          <w:rFonts w:asciiTheme="majorHAnsi" w:hAnsiTheme="majorHAnsi"/>
          <w:sz w:val="20"/>
          <w:szCs w:val="20"/>
        </w:rPr>
        <w:t>поверхні</w:t>
      </w:r>
      <w:r w:rsidRPr="000977F7">
        <w:rPr>
          <w:rFonts w:asciiTheme="majorHAnsi" w:hAnsiTheme="majorHAnsi"/>
          <w:spacing w:val="-2"/>
          <w:sz w:val="20"/>
          <w:szCs w:val="20"/>
        </w:rPr>
        <w:t xml:space="preserve"> </w:t>
      </w:r>
      <w:r w:rsidRPr="000977F7">
        <w:rPr>
          <w:rFonts w:asciiTheme="majorHAnsi" w:hAnsiTheme="majorHAnsi"/>
          <w:sz w:val="20"/>
          <w:szCs w:val="20"/>
        </w:rPr>
        <w:t>металу</w:t>
      </w:r>
    </w:p>
    <w:p w14:paraId="190F9F7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3830 - 98</w:t>
      </w:r>
    </w:p>
    <w:p w14:paraId="0765AF5D"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lang w:eastAsia="ru-RU"/>
        </w:rPr>
      </w:pPr>
      <w:r w:rsidRPr="000977F7">
        <w:rPr>
          <w:rFonts w:asciiTheme="majorHAnsi" w:hAnsiTheme="majorHAnsi"/>
          <w:b/>
          <w:bCs/>
          <w:sz w:val="20"/>
          <w:szCs w:val="20"/>
          <w:lang w:eastAsia="ru-RU"/>
        </w:rPr>
        <w:t>НЕРОЗНІМНІ З’ЄДНАННЯ –</w:t>
      </w:r>
    </w:p>
    <w:p w14:paraId="6305446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З’єднання, які можуть бути роз’єднані лише методами, що включають руйнування</w:t>
      </w:r>
    </w:p>
    <w:p w14:paraId="5C1EC19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Технічний регламент обладнання, що працює під тиском</w:t>
      </w:r>
    </w:p>
    <w:p w14:paraId="22F4CBD1"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1"/>
          <w:sz w:val="20"/>
          <w:szCs w:val="20"/>
          <w:lang w:val="en-US"/>
        </w:rPr>
      </w:pPr>
      <w:r w:rsidRPr="000977F7">
        <w:rPr>
          <w:rFonts w:asciiTheme="majorHAnsi" w:hAnsiTheme="majorHAnsi"/>
          <w:b/>
          <w:sz w:val="20"/>
          <w:szCs w:val="20"/>
        </w:rPr>
        <w:t>НЕРУЙНІВНИЙ</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КОНТРОЛЬ</w:t>
      </w:r>
      <w:r w:rsidRPr="004D2D14">
        <w:rPr>
          <w:rFonts w:asciiTheme="majorHAnsi" w:hAnsiTheme="majorHAnsi"/>
          <w:b/>
          <w:spacing w:val="1"/>
          <w:sz w:val="20"/>
          <w:szCs w:val="20"/>
          <w:lang w:val="en-US"/>
        </w:rPr>
        <w:t xml:space="preserve"> </w:t>
      </w:r>
      <w:r w:rsidRPr="004D2D14">
        <w:rPr>
          <w:rFonts w:asciiTheme="majorHAnsi" w:hAnsiTheme="majorHAnsi"/>
          <w:b/>
          <w:sz w:val="20"/>
          <w:szCs w:val="20"/>
          <w:lang w:val="en-US"/>
        </w:rPr>
        <w:t>–</w:t>
      </w:r>
    </w:p>
    <w:p w14:paraId="243BD93C" w14:textId="77777777" w:rsidR="0097612F" w:rsidRPr="004D2D14" w:rsidRDefault="0097612F" w:rsidP="000977F7">
      <w:pPr>
        <w:tabs>
          <w:tab w:val="left" w:pos="284"/>
        </w:tabs>
        <w:spacing w:after="0" w:line="240" w:lineRule="auto"/>
        <w:ind w:left="170"/>
        <w:mirrorIndents/>
        <w:jc w:val="both"/>
        <w:rPr>
          <w:rFonts w:asciiTheme="majorHAnsi" w:hAnsiTheme="majorHAnsi"/>
          <w:spacing w:val="-47"/>
          <w:sz w:val="20"/>
          <w:szCs w:val="20"/>
          <w:lang w:val="en-US"/>
        </w:rPr>
      </w:pPr>
      <w:r w:rsidRPr="004D2D14">
        <w:rPr>
          <w:rFonts w:asciiTheme="majorHAnsi" w:hAnsiTheme="majorHAnsi"/>
          <w:sz w:val="20"/>
          <w:szCs w:val="20"/>
          <w:lang w:val="en-US"/>
        </w:rPr>
        <w:t>NON-DESTRUCTIVE INSPECTION –</w:t>
      </w:r>
      <w:r w:rsidRPr="004D2D14">
        <w:rPr>
          <w:rFonts w:asciiTheme="majorHAnsi" w:hAnsiTheme="majorHAnsi"/>
          <w:spacing w:val="-47"/>
          <w:sz w:val="20"/>
          <w:szCs w:val="20"/>
          <w:lang w:val="en-US"/>
        </w:rPr>
        <w:t xml:space="preserve"> </w:t>
      </w:r>
    </w:p>
    <w:p w14:paraId="27099124"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3021</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3511CA5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NON-DESTRUCTIVE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TESTING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068CA1FC"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sz w:val="20"/>
          <w:szCs w:val="20"/>
        </w:rPr>
        <w:t>Контроль</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якості</w:t>
      </w:r>
      <w:r w:rsidRPr="004D2D14">
        <w:rPr>
          <w:rFonts w:asciiTheme="majorHAnsi" w:hAnsiTheme="majorHAnsi"/>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w:t>
      </w:r>
      <w:r w:rsidRPr="004D2D14">
        <w:rPr>
          <w:rFonts w:asciiTheme="majorHAnsi" w:hAnsiTheme="majorHAnsi"/>
          <w:sz w:val="20"/>
          <w:szCs w:val="20"/>
          <w:lang w:val="en-US"/>
        </w:rPr>
        <w:t xml:space="preserve"> </w:t>
      </w:r>
      <w:r w:rsidRPr="000977F7">
        <w:rPr>
          <w:rFonts w:asciiTheme="majorHAnsi" w:hAnsiTheme="majorHAnsi"/>
          <w:sz w:val="20"/>
          <w:szCs w:val="20"/>
        </w:rPr>
        <w:t>якого</w:t>
      </w:r>
      <w:r w:rsidRPr="004D2D14">
        <w:rPr>
          <w:rFonts w:asciiTheme="majorHAnsi" w:hAnsiTheme="majorHAnsi"/>
          <w:sz w:val="20"/>
          <w:szCs w:val="20"/>
          <w:lang w:val="en-US"/>
        </w:rPr>
        <w:t xml:space="preserve"> </w:t>
      </w:r>
      <w:r w:rsidRPr="000977F7">
        <w:rPr>
          <w:rFonts w:asciiTheme="majorHAnsi" w:hAnsiTheme="majorHAnsi"/>
          <w:sz w:val="20"/>
          <w:szCs w:val="20"/>
        </w:rPr>
        <w:t>не</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повинна</w:t>
      </w:r>
      <w:r w:rsidRPr="004D2D14">
        <w:rPr>
          <w:rFonts w:asciiTheme="majorHAnsi" w:hAnsiTheme="majorHAnsi"/>
          <w:sz w:val="20"/>
          <w:szCs w:val="20"/>
          <w:lang w:val="en-US"/>
        </w:rPr>
        <w:t xml:space="preserve"> </w:t>
      </w:r>
      <w:r w:rsidRPr="000977F7">
        <w:rPr>
          <w:rFonts w:asciiTheme="majorHAnsi" w:hAnsiTheme="majorHAnsi"/>
          <w:sz w:val="20"/>
          <w:szCs w:val="20"/>
        </w:rPr>
        <w:t>бути</w:t>
      </w:r>
      <w:r w:rsidRPr="004D2D14">
        <w:rPr>
          <w:rFonts w:asciiTheme="majorHAnsi" w:hAnsiTheme="majorHAnsi"/>
          <w:spacing w:val="-47"/>
          <w:sz w:val="20"/>
          <w:szCs w:val="20"/>
          <w:lang w:val="en-US"/>
        </w:rPr>
        <w:t xml:space="preserve"> </w:t>
      </w:r>
      <w:r w:rsidRPr="000977F7">
        <w:rPr>
          <w:rFonts w:asciiTheme="majorHAnsi" w:hAnsiTheme="majorHAnsi"/>
          <w:sz w:val="20"/>
          <w:szCs w:val="20"/>
        </w:rPr>
        <w:t>порушена</w:t>
      </w:r>
      <w:r w:rsidRPr="004D2D14">
        <w:rPr>
          <w:rFonts w:asciiTheme="majorHAnsi" w:hAnsiTheme="majorHAnsi"/>
          <w:spacing w:val="38"/>
          <w:sz w:val="20"/>
          <w:szCs w:val="20"/>
          <w:lang w:val="en-US"/>
        </w:rPr>
        <w:t xml:space="preserve"> </w:t>
      </w:r>
      <w:r w:rsidRPr="000977F7">
        <w:rPr>
          <w:rFonts w:asciiTheme="majorHAnsi" w:hAnsiTheme="majorHAnsi"/>
          <w:sz w:val="20"/>
          <w:szCs w:val="20"/>
        </w:rPr>
        <w:t>придатність</w:t>
      </w:r>
      <w:r w:rsidRPr="004D2D14">
        <w:rPr>
          <w:rFonts w:asciiTheme="majorHAnsi" w:hAnsiTheme="majorHAnsi"/>
          <w:spacing w:val="39"/>
          <w:sz w:val="20"/>
          <w:szCs w:val="20"/>
          <w:lang w:val="en-US"/>
        </w:rPr>
        <w:t xml:space="preserve"> </w:t>
      </w:r>
      <w:r w:rsidRPr="000977F7">
        <w:rPr>
          <w:rFonts w:asciiTheme="majorHAnsi" w:hAnsiTheme="majorHAnsi"/>
          <w:sz w:val="20"/>
          <w:szCs w:val="20"/>
        </w:rPr>
        <w:t>щодо</w:t>
      </w:r>
      <w:r w:rsidRPr="004D2D14">
        <w:rPr>
          <w:rFonts w:asciiTheme="majorHAnsi" w:hAnsiTheme="majorHAnsi"/>
          <w:spacing w:val="37"/>
          <w:sz w:val="20"/>
          <w:szCs w:val="20"/>
          <w:lang w:val="en-US"/>
        </w:rPr>
        <w:t xml:space="preserve"> </w:t>
      </w:r>
      <w:r w:rsidRPr="000977F7">
        <w:rPr>
          <w:rFonts w:asciiTheme="majorHAnsi" w:hAnsiTheme="majorHAnsi"/>
          <w:sz w:val="20"/>
          <w:szCs w:val="20"/>
        </w:rPr>
        <w:t>застосування</w:t>
      </w:r>
      <w:r w:rsidRPr="004D2D14">
        <w:rPr>
          <w:rFonts w:asciiTheme="majorHAnsi" w:hAnsiTheme="majorHAnsi"/>
          <w:spacing w:val="38"/>
          <w:sz w:val="20"/>
          <w:szCs w:val="20"/>
          <w:lang w:val="en-US"/>
        </w:rPr>
        <w:t xml:space="preserve"> </w:t>
      </w:r>
      <w:r w:rsidRPr="000977F7">
        <w:rPr>
          <w:rFonts w:asciiTheme="majorHAnsi" w:hAnsiTheme="majorHAnsi"/>
          <w:sz w:val="20"/>
          <w:szCs w:val="20"/>
        </w:rPr>
        <w:t>із</w:t>
      </w:r>
      <w:r w:rsidRPr="004D2D14">
        <w:rPr>
          <w:rFonts w:asciiTheme="majorHAnsi" w:hAnsiTheme="majorHAnsi"/>
          <w:spacing w:val="36"/>
          <w:sz w:val="20"/>
          <w:szCs w:val="20"/>
          <w:lang w:val="en-US"/>
        </w:rPr>
        <w:t xml:space="preserve"> </w:t>
      </w:r>
      <w:r w:rsidRPr="000977F7">
        <w:rPr>
          <w:rFonts w:asciiTheme="majorHAnsi" w:hAnsiTheme="majorHAnsi"/>
          <w:sz w:val="20"/>
          <w:szCs w:val="20"/>
        </w:rPr>
        <w:t>повним</w:t>
      </w:r>
      <w:r w:rsidRPr="004D2D14">
        <w:rPr>
          <w:rFonts w:asciiTheme="majorHAnsi" w:hAnsiTheme="majorHAnsi"/>
          <w:spacing w:val="-47"/>
          <w:sz w:val="20"/>
          <w:szCs w:val="20"/>
          <w:lang w:val="en-US"/>
        </w:rPr>
        <w:t xml:space="preserve"> </w:t>
      </w:r>
      <w:r w:rsidRPr="000977F7">
        <w:rPr>
          <w:rFonts w:asciiTheme="majorHAnsi" w:hAnsiTheme="majorHAnsi"/>
          <w:sz w:val="20"/>
          <w:szCs w:val="20"/>
        </w:rPr>
        <w:t>збереженням</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самого</w:t>
      </w:r>
      <w:r w:rsidRPr="004D2D14">
        <w:rPr>
          <w:rFonts w:asciiTheme="majorHAnsi" w:hAnsiTheme="majorHAnsi"/>
          <w:sz w:val="20"/>
          <w:szCs w:val="20"/>
          <w:lang w:val="en-US"/>
        </w:rPr>
        <w:t xml:space="preserve"> </w:t>
      </w:r>
      <w:r w:rsidRPr="000977F7">
        <w:rPr>
          <w:rFonts w:asciiTheme="majorHAnsi" w:hAnsiTheme="majorHAnsi"/>
          <w:sz w:val="20"/>
          <w:szCs w:val="20"/>
        </w:rPr>
        <w:t>початку</w:t>
      </w:r>
      <w:r w:rsidRPr="004D2D14">
        <w:rPr>
          <w:rFonts w:asciiTheme="majorHAnsi" w:hAnsiTheme="majorHAnsi"/>
          <w:sz w:val="20"/>
          <w:szCs w:val="20"/>
          <w:lang w:val="en-US"/>
        </w:rPr>
        <w:t xml:space="preserve"> </w:t>
      </w:r>
      <w:r w:rsidRPr="000977F7">
        <w:rPr>
          <w:rFonts w:asciiTheme="majorHAnsi" w:hAnsiTheme="majorHAnsi"/>
          <w:sz w:val="20"/>
          <w:szCs w:val="20"/>
        </w:rPr>
        <w:t>закладених</w:t>
      </w:r>
      <w:r w:rsidRPr="004D2D14">
        <w:rPr>
          <w:rFonts w:asciiTheme="majorHAnsi" w:hAnsiTheme="majorHAnsi"/>
          <w:sz w:val="20"/>
          <w:szCs w:val="20"/>
          <w:lang w:val="en-US"/>
        </w:rPr>
        <w:t xml:space="preserve"> </w:t>
      </w:r>
      <w:r w:rsidRPr="000977F7">
        <w:rPr>
          <w:rFonts w:asciiTheme="majorHAnsi" w:hAnsiTheme="majorHAnsi"/>
          <w:sz w:val="20"/>
          <w:szCs w:val="20"/>
        </w:rPr>
        <w:t>функцій</w:t>
      </w:r>
      <w:r w:rsidRPr="004D2D14">
        <w:rPr>
          <w:rFonts w:asciiTheme="majorHAnsi" w:hAnsiTheme="majorHAnsi"/>
          <w:spacing w:val="1"/>
          <w:sz w:val="20"/>
          <w:szCs w:val="20"/>
          <w:lang w:val="en-US"/>
        </w:rPr>
        <w:t xml:space="preserve"> </w:t>
      </w: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2865</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5C2EF85E" w14:textId="77777777" w:rsidR="0097612F" w:rsidRPr="004D2D14" w:rsidRDefault="0097612F" w:rsidP="000977F7">
      <w:pPr>
        <w:tabs>
          <w:tab w:val="left" w:pos="284"/>
        </w:tabs>
        <w:spacing w:after="0" w:line="240" w:lineRule="auto"/>
        <w:ind w:left="170"/>
        <w:mirrorIndents/>
        <w:jc w:val="both"/>
        <w:rPr>
          <w:rFonts w:asciiTheme="majorHAnsi" w:hAnsiTheme="majorHAnsi"/>
          <w:spacing w:val="-47"/>
          <w:sz w:val="20"/>
          <w:szCs w:val="20"/>
          <w:lang w:val="en-US"/>
        </w:rPr>
      </w:pPr>
      <w:r w:rsidRPr="000977F7">
        <w:rPr>
          <w:rFonts w:asciiTheme="majorHAnsi" w:hAnsiTheme="majorHAnsi"/>
          <w:b/>
          <w:sz w:val="20"/>
          <w:szCs w:val="20"/>
        </w:rPr>
        <w:t>НЕРУЙНІВНІ</w:t>
      </w:r>
      <w:r w:rsidRPr="004D2D14">
        <w:rPr>
          <w:rFonts w:asciiTheme="majorHAnsi" w:hAnsiTheme="majorHAnsi"/>
          <w:b/>
          <w:sz w:val="20"/>
          <w:szCs w:val="20"/>
          <w:lang w:val="en-US"/>
        </w:rPr>
        <w:t xml:space="preserve"> </w:t>
      </w:r>
      <w:r w:rsidRPr="000977F7">
        <w:rPr>
          <w:rFonts w:asciiTheme="majorHAnsi" w:hAnsiTheme="majorHAnsi"/>
          <w:b/>
          <w:sz w:val="20"/>
          <w:szCs w:val="20"/>
        </w:rPr>
        <w:t>ВИПРОБУВАННЯ</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p>
    <w:p w14:paraId="10FB145B"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NON</w:t>
      </w:r>
      <w:r w:rsidRPr="004D2D14">
        <w:rPr>
          <w:rFonts w:asciiTheme="majorHAnsi" w:hAnsiTheme="majorHAnsi"/>
          <w:spacing w:val="-1"/>
          <w:sz w:val="20"/>
          <w:szCs w:val="20"/>
          <w:lang w:val="en-US"/>
        </w:rPr>
        <w:t xml:space="preserve"> </w:t>
      </w:r>
      <w:r w:rsidRPr="004D2D14">
        <w:rPr>
          <w:rFonts w:asciiTheme="majorHAnsi" w:hAnsiTheme="majorHAnsi"/>
          <w:b/>
          <w:sz w:val="20"/>
          <w:szCs w:val="20"/>
          <w:lang w:val="en-US"/>
        </w:rPr>
        <w:t>–</w:t>
      </w:r>
      <w:r w:rsidRPr="004D2D14">
        <w:rPr>
          <w:rFonts w:asciiTheme="majorHAnsi" w:hAnsiTheme="majorHAnsi"/>
          <w:b/>
          <w:spacing w:val="1"/>
          <w:sz w:val="20"/>
          <w:szCs w:val="20"/>
          <w:lang w:val="en-US"/>
        </w:rPr>
        <w:t xml:space="preserve"> </w:t>
      </w:r>
      <w:r w:rsidRPr="004D2D14">
        <w:rPr>
          <w:rFonts w:asciiTheme="majorHAnsi" w:hAnsiTheme="majorHAnsi"/>
          <w:sz w:val="20"/>
          <w:szCs w:val="20"/>
          <w:lang w:val="en-US"/>
        </w:rPr>
        <w:t>DESTRUCTIVE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0B4891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із застосуванням неруйнівних методів</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p>
    <w:p w14:paraId="79F8DB7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B08BCFF"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r w:rsidRPr="000977F7">
        <w:rPr>
          <w:rFonts w:asciiTheme="majorHAnsi" w:hAnsiTheme="majorHAnsi"/>
          <w:b/>
          <w:bCs/>
          <w:iCs/>
          <w:sz w:val="20"/>
          <w:szCs w:val="20"/>
        </w:rPr>
        <w:t>НЕРУХОМА ОГОРОЖА –</w:t>
      </w:r>
    </w:p>
    <w:p w14:paraId="79476F34"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iCs/>
          <w:sz w:val="20"/>
          <w:szCs w:val="20"/>
        </w:rPr>
        <w:t>FIXED GUARD -</w:t>
      </w:r>
    </w:p>
    <w:p w14:paraId="448225A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Огорожа, закріплена в такий спосіб (наприклад, за допомогою ґвинтів, гайок, зварювання), що її можна відкрити або усунути за допомогою інструментів або руйнуванням засобів кріплення </w:t>
      </w:r>
    </w:p>
    <w:p w14:paraId="4FEBA354"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1DE5ACA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НЕСИМЕТРИЧНІСТЬ</w:t>
      </w:r>
      <w:r w:rsidRPr="000977F7">
        <w:rPr>
          <w:color w:val="auto"/>
          <w:spacing w:val="-5"/>
          <w:sz w:val="20"/>
          <w:szCs w:val="20"/>
        </w:rPr>
        <w:t xml:space="preserve"> </w:t>
      </w:r>
      <w:r w:rsidRPr="000977F7">
        <w:rPr>
          <w:color w:val="auto"/>
          <w:sz w:val="20"/>
          <w:szCs w:val="20"/>
        </w:rPr>
        <w:t>ПЛОЩИН</w:t>
      </w:r>
      <w:r w:rsidRPr="000977F7">
        <w:rPr>
          <w:color w:val="auto"/>
          <w:spacing w:val="-1"/>
          <w:sz w:val="20"/>
          <w:szCs w:val="20"/>
        </w:rPr>
        <w:t xml:space="preserve"> </w:t>
      </w:r>
      <w:r w:rsidRPr="000977F7">
        <w:rPr>
          <w:color w:val="auto"/>
          <w:sz w:val="20"/>
          <w:szCs w:val="20"/>
        </w:rPr>
        <w:t>-</w:t>
      </w:r>
    </w:p>
    <w:p w14:paraId="0F1E368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Відхилення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симетричності,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визначається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найбільша відстань між площинами симетрії розглядуваного (реального) елемента і базового елемента 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межах</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нормованої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ділянки</w:t>
      </w:r>
    </w:p>
    <w:p w14:paraId="151F809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НЕСІВНА</w:t>
      </w:r>
      <w:r w:rsidRPr="000977F7">
        <w:rPr>
          <w:color w:val="auto"/>
          <w:spacing w:val="-6"/>
          <w:sz w:val="20"/>
          <w:szCs w:val="20"/>
        </w:rPr>
        <w:t xml:space="preserve"> </w:t>
      </w:r>
      <w:r w:rsidRPr="000977F7">
        <w:rPr>
          <w:color w:val="auto"/>
          <w:sz w:val="20"/>
          <w:szCs w:val="20"/>
        </w:rPr>
        <w:t>ЗДАТНІСТЬ</w:t>
      </w:r>
      <w:r w:rsidRPr="000977F7">
        <w:rPr>
          <w:color w:val="auto"/>
          <w:spacing w:val="-3"/>
          <w:sz w:val="20"/>
          <w:szCs w:val="20"/>
        </w:rPr>
        <w:t xml:space="preserve"> </w:t>
      </w:r>
      <w:r w:rsidRPr="000977F7">
        <w:rPr>
          <w:color w:val="auto"/>
          <w:sz w:val="20"/>
          <w:szCs w:val="20"/>
        </w:rPr>
        <w:t>–</w:t>
      </w:r>
    </w:p>
    <w:p w14:paraId="7493D6C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LOAD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BEARING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CAPABILITY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66A3483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Здатність</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зберігати під час</w:t>
      </w:r>
      <w:r w:rsidRPr="000977F7">
        <w:rPr>
          <w:rFonts w:asciiTheme="majorHAnsi" w:hAnsiTheme="majorHAnsi"/>
          <w:spacing w:val="1"/>
          <w:sz w:val="20"/>
          <w:szCs w:val="20"/>
        </w:rPr>
        <w:t xml:space="preserve"> </w:t>
      </w:r>
      <w:r w:rsidRPr="000977F7">
        <w:rPr>
          <w:rFonts w:asciiTheme="majorHAnsi" w:hAnsiTheme="majorHAnsi"/>
          <w:sz w:val="20"/>
          <w:szCs w:val="20"/>
        </w:rPr>
        <w:t>навантажування</w:t>
      </w:r>
      <w:r w:rsidRPr="000977F7">
        <w:rPr>
          <w:rFonts w:asciiTheme="majorHAnsi" w:hAnsiTheme="majorHAnsi"/>
          <w:spacing w:val="1"/>
          <w:sz w:val="20"/>
          <w:szCs w:val="20"/>
        </w:rPr>
        <w:t xml:space="preserve"> </w:t>
      </w:r>
      <w:r w:rsidRPr="000977F7">
        <w:rPr>
          <w:rFonts w:asciiTheme="majorHAnsi" w:hAnsiTheme="majorHAnsi"/>
          <w:sz w:val="20"/>
          <w:szCs w:val="20"/>
        </w:rPr>
        <w:t>стан,</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відповідає</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функціональному</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призначенню</w:t>
      </w:r>
    </w:p>
    <w:p w14:paraId="211546C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2825 - 94</w:t>
      </w:r>
    </w:p>
    <w:p w14:paraId="48485AD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НЕСПЕЦИФІКОВАНИЙ</w:t>
      </w:r>
      <w:r w:rsidRPr="000977F7">
        <w:rPr>
          <w:color w:val="auto"/>
          <w:spacing w:val="-4"/>
          <w:sz w:val="20"/>
          <w:szCs w:val="20"/>
        </w:rPr>
        <w:t xml:space="preserve"> </w:t>
      </w:r>
      <w:r w:rsidRPr="000977F7">
        <w:rPr>
          <w:color w:val="auto"/>
          <w:sz w:val="20"/>
          <w:szCs w:val="20"/>
        </w:rPr>
        <w:t>ВИРІБ</w:t>
      </w:r>
      <w:r w:rsidRPr="000977F7">
        <w:rPr>
          <w:color w:val="auto"/>
          <w:spacing w:val="-1"/>
          <w:sz w:val="20"/>
          <w:szCs w:val="20"/>
        </w:rPr>
        <w:t xml:space="preserve"> </w:t>
      </w:r>
      <w:r w:rsidRPr="000977F7">
        <w:rPr>
          <w:color w:val="auto"/>
          <w:sz w:val="20"/>
          <w:szCs w:val="20"/>
        </w:rPr>
        <w:t>–</w:t>
      </w:r>
    </w:p>
    <w:p w14:paraId="1AD1C63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w:t>
      </w:r>
      <w:r w:rsidRPr="000977F7">
        <w:rPr>
          <w:rFonts w:asciiTheme="majorHAnsi" w:hAnsiTheme="majorHAnsi"/>
          <w:spacing w:val="-4"/>
          <w:sz w:val="20"/>
          <w:szCs w:val="20"/>
        </w:rPr>
        <w:t xml:space="preserve"> </w:t>
      </w:r>
      <w:r w:rsidRPr="000977F7">
        <w:rPr>
          <w:rFonts w:asciiTheme="majorHAnsi" w:hAnsiTheme="majorHAnsi"/>
          <w:sz w:val="20"/>
          <w:szCs w:val="20"/>
        </w:rPr>
        <w:t>що</w:t>
      </w:r>
      <w:r w:rsidRPr="000977F7">
        <w:rPr>
          <w:rFonts w:asciiTheme="majorHAnsi" w:hAnsiTheme="majorHAnsi"/>
          <w:spacing w:val="-2"/>
          <w:sz w:val="20"/>
          <w:szCs w:val="20"/>
        </w:rPr>
        <w:t xml:space="preserve"> </w:t>
      </w:r>
      <w:r w:rsidRPr="000977F7">
        <w:rPr>
          <w:rFonts w:asciiTheme="majorHAnsi" w:hAnsiTheme="majorHAnsi"/>
          <w:sz w:val="20"/>
          <w:szCs w:val="20"/>
        </w:rPr>
        <w:t>не</w:t>
      </w:r>
      <w:r w:rsidRPr="000977F7">
        <w:rPr>
          <w:rFonts w:asciiTheme="majorHAnsi" w:hAnsiTheme="majorHAnsi"/>
          <w:spacing w:val="-3"/>
          <w:sz w:val="20"/>
          <w:szCs w:val="20"/>
        </w:rPr>
        <w:t xml:space="preserve"> </w:t>
      </w:r>
      <w:r w:rsidRPr="000977F7">
        <w:rPr>
          <w:rFonts w:asciiTheme="majorHAnsi" w:hAnsiTheme="majorHAnsi"/>
          <w:sz w:val="20"/>
          <w:szCs w:val="20"/>
        </w:rPr>
        <w:t>має</w:t>
      </w:r>
      <w:r w:rsidRPr="000977F7">
        <w:rPr>
          <w:rFonts w:asciiTheme="majorHAnsi" w:hAnsiTheme="majorHAnsi"/>
          <w:spacing w:val="-2"/>
          <w:sz w:val="20"/>
          <w:szCs w:val="20"/>
        </w:rPr>
        <w:t xml:space="preserve"> </w:t>
      </w:r>
      <w:r w:rsidRPr="000977F7">
        <w:rPr>
          <w:rFonts w:asciiTheme="majorHAnsi" w:hAnsiTheme="majorHAnsi"/>
          <w:sz w:val="20"/>
          <w:szCs w:val="20"/>
        </w:rPr>
        <w:t>складових</w:t>
      </w:r>
      <w:r w:rsidRPr="000977F7">
        <w:rPr>
          <w:rFonts w:asciiTheme="majorHAnsi" w:hAnsiTheme="majorHAnsi"/>
          <w:spacing w:val="-2"/>
          <w:sz w:val="20"/>
          <w:szCs w:val="20"/>
        </w:rPr>
        <w:t xml:space="preserve"> </w:t>
      </w:r>
      <w:r w:rsidRPr="000977F7">
        <w:rPr>
          <w:rFonts w:asciiTheme="majorHAnsi" w:hAnsiTheme="majorHAnsi"/>
          <w:sz w:val="20"/>
          <w:szCs w:val="20"/>
        </w:rPr>
        <w:t>частин</w:t>
      </w:r>
      <w:r w:rsidRPr="000977F7">
        <w:rPr>
          <w:rFonts w:asciiTheme="majorHAnsi" w:hAnsiTheme="majorHAnsi"/>
          <w:spacing w:val="-47"/>
          <w:sz w:val="20"/>
          <w:szCs w:val="20"/>
        </w:rPr>
        <w:t xml:space="preserve"> </w:t>
      </w: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CAD28B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w w:val="99"/>
          <w:sz w:val="20"/>
          <w:szCs w:val="20"/>
        </w:rPr>
        <w:t>П</w:t>
      </w:r>
      <w:r w:rsidRPr="000977F7">
        <w:rPr>
          <w:rFonts w:asciiTheme="majorHAnsi" w:hAnsiTheme="majorHAnsi"/>
          <w:spacing w:val="1"/>
          <w:w w:val="99"/>
          <w:sz w:val="20"/>
          <w:szCs w:val="20"/>
        </w:rPr>
        <w:t>о</w:t>
      </w:r>
      <w:r w:rsidRPr="000977F7">
        <w:rPr>
          <w:rFonts w:asciiTheme="majorHAnsi" w:hAnsiTheme="majorHAnsi"/>
          <w:spacing w:val="-2"/>
          <w:w w:val="99"/>
          <w:sz w:val="20"/>
          <w:szCs w:val="20"/>
        </w:rPr>
        <w:t>н</w:t>
      </w:r>
      <w:r w:rsidRPr="000977F7">
        <w:rPr>
          <w:rFonts w:asciiTheme="majorHAnsi" w:hAnsiTheme="majorHAnsi"/>
          <w:w w:val="99"/>
          <w:sz w:val="20"/>
          <w:szCs w:val="20"/>
        </w:rPr>
        <w:t>я</w:t>
      </w:r>
      <w:r w:rsidRPr="000977F7">
        <w:rPr>
          <w:rFonts w:asciiTheme="majorHAnsi" w:hAnsiTheme="majorHAnsi"/>
          <w:spacing w:val="1"/>
          <w:w w:val="99"/>
          <w:sz w:val="20"/>
          <w:szCs w:val="20"/>
        </w:rPr>
        <w:t>т</w:t>
      </w:r>
      <w:r w:rsidRPr="000977F7">
        <w:rPr>
          <w:rFonts w:asciiTheme="majorHAnsi" w:hAnsiTheme="majorHAnsi"/>
          <w:spacing w:val="-1"/>
          <w:w w:val="99"/>
          <w:sz w:val="20"/>
          <w:szCs w:val="20"/>
        </w:rPr>
        <w:t>т</w:t>
      </w:r>
      <w:r w:rsidRPr="000977F7">
        <w:rPr>
          <w:rFonts w:asciiTheme="majorHAnsi" w:hAnsiTheme="majorHAnsi"/>
          <w:w w:val="99"/>
          <w:sz w:val="20"/>
          <w:szCs w:val="20"/>
        </w:rPr>
        <w:t>я</w:t>
      </w:r>
      <w:r w:rsidRPr="000977F7">
        <w:rPr>
          <w:rFonts w:asciiTheme="majorHAnsi" w:hAnsiTheme="majorHAnsi"/>
          <w:sz w:val="20"/>
          <w:szCs w:val="20"/>
        </w:rPr>
        <w:t xml:space="preserve">  </w:t>
      </w:r>
      <w:r w:rsidRPr="000977F7">
        <w:rPr>
          <w:rFonts w:asciiTheme="majorHAnsi" w:hAnsiTheme="majorHAnsi"/>
          <w:spacing w:val="-7"/>
          <w:sz w:val="20"/>
          <w:szCs w:val="20"/>
        </w:rPr>
        <w:t xml:space="preserve"> </w:t>
      </w:r>
      <w:r w:rsidRPr="000977F7">
        <w:rPr>
          <w:rFonts w:asciiTheme="majorHAnsi" w:hAnsiTheme="majorHAnsi"/>
          <w:spacing w:val="-2"/>
          <w:w w:val="44"/>
          <w:sz w:val="20"/>
          <w:szCs w:val="20"/>
        </w:rPr>
        <w:t>―</w:t>
      </w:r>
      <w:r w:rsidRPr="000977F7">
        <w:rPr>
          <w:rFonts w:asciiTheme="majorHAnsi" w:hAnsiTheme="majorHAnsi"/>
          <w:w w:val="99"/>
          <w:sz w:val="20"/>
          <w:szCs w:val="20"/>
        </w:rPr>
        <w:t>с</w:t>
      </w:r>
      <w:r w:rsidRPr="000977F7">
        <w:rPr>
          <w:rFonts w:asciiTheme="majorHAnsi" w:hAnsiTheme="majorHAnsi"/>
          <w:spacing w:val="1"/>
          <w:w w:val="99"/>
          <w:sz w:val="20"/>
          <w:szCs w:val="20"/>
        </w:rPr>
        <w:t>к</w:t>
      </w:r>
      <w:r w:rsidRPr="000977F7">
        <w:rPr>
          <w:rFonts w:asciiTheme="majorHAnsi" w:hAnsiTheme="majorHAnsi"/>
          <w:spacing w:val="-1"/>
          <w:w w:val="99"/>
          <w:sz w:val="20"/>
          <w:szCs w:val="20"/>
        </w:rPr>
        <w:t>л</w:t>
      </w:r>
      <w:r w:rsidRPr="000977F7">
        <w:rPr>
          <w:rFonts w:asciiTheme="majorHAnsi" w:hAnsiTheme="majorHAnsi"/>
          <w:w w:val="99"/>
          <w:sz w:val="20"/>
          <w:szCs w:val="20"/>
        </w:rPr>
        <w:t>адо</w:t>
      </w:r>
      <w:r w:rsidRPr="000977F7">
        <w:rPr>
          <w:rFonts w:asciiTheme="majorHAnsi" w:hAnsiTheme="majorHAnsi"/>
          <w:spacing w:val="-1"/>
          <w:w w:val="99"/>
          <w:sz w:val="20"/>
          <w:szCs w:val="20"/>
        </w:rPr>
        <w:t>в</w:t>
      </w:r>
      <w:r w:rsidRPr="000977F7">
        <w:rPr>
          <w:rFonts w:asciiTheme="majorHAnsi" w:hAnsiTheme="majorHAnsi"/>
          <w:w w:val="99"/>
          <w:sz w:val="20"/>
          <w:szCs w:val="20"/>
        </w:rPr>
        <w:t>а</w:t>
      </w:r>
      <w:r w:rsidRPr="000977F7">
        <w:rPr>
          <w:rFonts w:asciiTheme="majorHAnsi" w:hAnsiTheme="majorHAnsi"/>
          <w:sz w:val="20"/>
          <w:szCs w:val="20"/>
        </w:rPr>
        <w:t xml:space="preserve">  </w:t>
      </w:r>
      <w:r w:rsidRPr="000977F7">
        <w:rPr>
          <w:rFonts w:asciiTheme="majorHAnsi" w:hAnsiTheme="majorHAnsi"/>
          <w:spacing w:val="-9"/>
          <w:sz w:val="20"/>
          <w:szCs w:val="20"/>
        </w:rPr>
        <w:t xml:space="preserve"> </w:t>
      </w:r>
      <w:r w:rsidRPr="000977F7">
        <w:rPr>
          <w:rFonts w:asciiTheme="majorHAnsi" w:hAnsiTheme="majorHAnsi"/>
          <w:w w:val="99"/>
          <w:sz w:val="20"/>
          <w:szCs w:val="20"/>
        </w:rPr>
        <w:t>час</w:t>
      </w:r>
      <w:r w:rsidRPr="000977F7">
        <w:rPr>
          <w:rFonts w:asciiTheme="majorHAnsi" w:hAnsiTheme="majorHAnsi"/>
          <w:spacing w:val="1"/>
          <w:w w:val="99"/>
          <w:sz w:val="20"/>
          <w:szCs w:val="20"/>
        </w:rPr>
        <w:t>тин</w:t>
      </w:r>
      <w:r w:rsidRPr="000977F7">
        <w:rPr>
          <w:rFonts w:asciiTheme="majorHAnsi" w:hAnsiTheme="majorHAnsi"/>
          <w:w w:val="122"/>
          <w:sz w:val="20"/>
          <w:szCs w:val="20"/>
        </w:rPr>
        <w:t>а‖</w:t>
      </w:r>
      <w:r w:rsidRPr="000977F7">
        <w:rPr>
          <w:rFonts w:asciiTheme="majorHAnsi" w:hAnsiTheme="majorHAnsi"/>
          <w:sz w:val="20"/>
          <w:szCs w:val="20"/>
        </w:rPr>
        <w:t xml:space="preserve">  </w:t>
      </w:r>
      <w:r w:rsidRPr="000977F7">
        <w:rPr>
          <w:rFonts w:asciiTheme="majorHAnsi" w:hAnsiTheme="majorHAnsi"/>
          <w:spacing w:val="-8"/>
          <w:sz w:val="20"/>
          <w:szCs w:val="20"/>
        </w:rPr>
        <w:t xml:space="preserve"> </w:t>
      </w:r>
      <w:r w:rsidRPr="000977F7">
        <w:rPr>
          <w:rFonts w:asciiTheme="majorHAnsi" w:hAnsiTheme="majorHAnsi"/>
          <w:w w:val="99"/>
          <w:sz w:val="20"/>
          <w:szCs w:val="20"/>
        </w:rPr>
        <w:t>с</w:t>
      </w:r>
      <w:r w:rsidRPr="000977F7">
        <w:rPr>
          <w:rFonts w:asciiTheme="majorHAnsi" w:hAnsiTheme="majorHAnsi"/>
          <w:spacing w:val="-1"/>
          <w:w w:val="99"/>
          <w:sz w:val="20"/>
          <w:szCs w:val="20"/>
        </w:rPr>
        <w:t>л</w:t>
      </w:r>
      <w:r w:rsidRPr="000977F7">
        <w:rPr>
          <w:rFonts w:asciiTheme="majorHAnsi" w:hAnsiTheme="majorHAnsi"/>
          <w:w w:val="99"/>
          <w:sz w:val="20"/>
          <w:szCs w:val="20"/>
        </w:rPr>
        <w:t>ід</w:t>
      </w:r>
      <w:r w:rsidRPr="000977F7">
        <w:rPr>
          <w:rFonts w:asciiTheme="majorHAnsi" w:hAnsiTheme="majorHAnsi"/>
          <w:sz w:val="20"/>
          <w:szCs w:val="20"/>
        </w:rPr>
        <w:t xml:space="preserve">  </w:t>
      </w:r>
      <w:r w:rsidRPr="000977F7">
        <w:rPr>
          <w:rFonts w:asciiTheme="majorHAnsi" w:hAnsiTheme="majorHAnsi"/>
          <w:spacing w:val="-10"/>
          <w:sz w:val="20"/>
          <w:szCs w:val="20"/>
        </w:rPr>
        <w:t xml:space="preserve"> </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и</w:t>
      </w:r>
      <w:r w:rsidRPr="000977F7">
        <w:rPr>
          <w:rFonts w:asciiTheme="majorHAnsi" w:hAnsiTheme="majorHAnsi"/>
          <w:spacing w:val="-1"/>
          <w:w w:val="99"/>
          <w:sz w:val="20"/>
          <w:szCs w:val="20"/>
        </w:rPr>
        <w:t>к</w:t>
      </w:r>
      <w:r w:rsidRPr="000977F7">
        <w:rPr>
          <w:rFonts w:asciiTheme="majorHAnsi" w:hAnsiTheme="majorHAnsi"/>
          <w:spacing w:val="1"/>
          <w:w w:val="99"/>
          <w:sz w:val="20"/>
          <w:szCs w:val="20"/>
        </w:rPr>
        <w:t>ор</w:t>
      </w:r>
      <w:r w:rsidRPr="000977F7">
        <w:rPr>
          <w:rFonts w:asciiTheme="majorHAnsi" w:hAnsiTheme="majorHAnsi"/>
          <w:spacing w:val="-2"/>
          <w:w w:val="99"/>
          <w:sz w:val="20"/>
          <w:szCs w:val="20"/>
        </w:rPr>
        <w:t>и</w:t>
      </w:r>
      <w:r w:rsidRPr="000977F7">
        <w:rPr>
          <w:rFonts w:asciiTheme="majorHAnsi" w:hAnsiTheme="majorHAnsi"/>
          <w:spacing w:val="2"/>
          <w:w w:val="99"/>
          <w:sz w:val="20"/>
          <w:szCs w:val="20"/>
        </w:rPr>
        <w:t>с</w:t>
      </w:r>
      <w:r w:rsidRPr="000977F7">
        <w:rPr>
          <w:rFonts w:asciiTheme="majorHAnsi" w:hAnsiTheme="majorHAnsi"/>
          <w:spacing w:val="-1"/>
          <w:w w:val="99"/>
          <w:sz w:val="20"/>
          <w:szCs w:val="20"/>
        </w:rPr>
        <w:t>т</w:t>
      </w:r>
      <w:r w:rsidRPr="000977F7">
        <w:rPr>
          <w:rFonts w:asciiTheme="majorHAnsi" w:hAnsiTheme="majorHAnsi"/>
          <w:spacing w:val="1"/>
          <w:w w:val="99"/>
          <w:sz w:val="20"/>
          <w:szCs w:val="20"/>
        </w:rPr>
        <w:t>ов</w:t>
      </w:r>
      <w:r w:rsidRPr="000977F7">
        <w:rPr>
          <w:rFonts w:asciiTheme="majorHAnsi" w:hAnsiTheme="majorHAnsi"/>
          <w:spacing w:val="-2"/>
          <w:w w:val="99"/>
          <w:sz w:val="20"/>
          <w:szCs w:val="20"/>
        </w:rPr>
        <w:t>у</w:t>
      </w:r>
      <w:r w:rsidRPr="000977F7">
        <w:rPr>
          <w:rFonts w:asciiTheme="majorHAnsi" w:hAnsiTheme="majorHAnsi"/>
          <w:spacing w:val="-1"/>
          <w:w w:val="99"/>
          <w:sz w:val="20"/>
          <w:szCs w:val="20"/>
        </w:rPr>
        <w:t>ва</w:t>
      </w:r>
      <w:r w:rsidRPr="000977F7">
        <w:rPr>
          <w:rFonts w:asciiTheme="majorHAnsi" w:hAnsiTheme="majorHAnsi"/>
          <w:spacing w:val="1"/>
          <w:w w:val="99"/>
          <w:sz w:val="20"/>
          <w:szCs w:val="20"/>
        </w:rPr>
        <w:t>т</w:t>
      </w:r>
      <w:r w:rsidRPr="000977F7">
        <w:rPr>
          <w:rFonts w:asciiTheme="majorHAnsi" w:hAnsiTheme="majorHAnsi"/>
          <w:w w:val="99"/>
          <w:sz w:val="20"/>
          <w:szCs w:val="20"/>
        </w:rPr>
        <w:t xml:space="preserve">и </w:t>
      </w:r>
      <w:r w:rsidRPr="000977F7">
        <w:rPr>
          <w:rFonts w:asciiTheme="majorHAnsi" w:hAnsiTheme="majorHAnsi"/>
          <w:sz w:val="20"/>
          <w:szCs w:val="20"/>
        </w:rPr>
        <w:t>відносно</w:t>
      </w:r>
      <w:r w:rsidRPr="000977F7">
        <w:rPr>
          <w:rFonts w:asciiTheme="majorHAnsi" w:hAnsiTheme="majorHAnsi"/>
          <w:spacing w:val="1"/>
          <w:sz w:val="20"/>
          <w:szCs w:val="20"/>
        </w:rPr>
        <w:t xml:space="preserve"> </w:t>
      </w:r>
      <w:r w:rsidRPr="000977F7">
        <w:rPr>
          <w:rFonts w:asciiTheme="majorHAnsi" w:hAnsiTheme="majorHAnsi"/>
          <w:sz w:val="20"/>
          <w:szCs w:val="20"/>
        </w:rPr>
        <w:t>конкретного</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вона</w:t>
      </w:r>
      <w:r w:rsidRPr="000977F7">
        <w:rPr>
          <w:rFonts w:asciiTheme="majorHAnsi" w:hAnsiTheme="majorHAnsi"/>
          <w:spacing w:val="1"/>
          <w:sz w:val="20"/>
          <w:szCs w:val="20"/>
        </w:rPr>
        <w:t xml:space="preserve"> </w:t>
      </w:r>
      <w:r w:rsidRPr="000977F7">
        <w:rPr>
          <w:rFonts w:asciiTheme="majorHAnsi" w:hAnsiTheme="majorHAnsi"/>
          <w:sz w:val="20"/>
          <w:szCs w:val="20"/>
        </w:rPr>
        <w:t>належить.</w:t>
      </w:r>
      <w:r w:rsidRPr="000977F7">
        <w:rPr>
          <w:rFonts w:asciiTheme="majorHAnsi" w:hAnsiTheme="majorHAnsi"/>
          <w:spacing w:val="-1"/>
          <w:sz w:val="20"/>
          <w:szCs w:val="20"/>
        </w:rPr>
        <w:t xml:space="preserve"> </w:t>
      </w:r>
      <w:r w:rsidRPr="000977F7">
        <w:rPr>
          <w:rFonts w:asciiTheme="majorHAnsi" w:hAnsiTheme="majorHAnsi"/>
          <w:sz w:val="20"/>
          <w:szCs w:val="20"/>
        </w:rPr>
        <w:t>Прикладом складової</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r w:rsidRPr="000977F7">
        <w:rPr>
          <w:rFonts w:asciiTheme="majorHAnsi" w:hAnsiTheme="majorHAnsi"/>
          <w:spacing w:val="-2"/>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деталь</w:t>
      </w:r>
    </w:p>
    <w:p w14:paraId="19FF789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3321 - 2003</w:t>
      </w:r>
    </w:p>
    <w:p w14:paraId="78C2857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НЕСПРАВНИЙ СТАН (СИСТЕМИ); </w:t>
      </w:r>
    </w:p>
    <w:p w14:paraId="5987C23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НЕСПРАВ</w:t>
      </w:r>
      <w:r w:rsidRPr="000977F7">
        <w:rPr>
          <w:color w:val="auto"/>
          <w:spacing w:val="-47"/>
          <w:sz w:val="20"/>
          <w:szCs w:val="20"/>
        </w:rPr>
        <w:t xml:space="preserve"> </w:t>
      </w:r>
      <w:r w:rsidRPr="000977F7">
        <w:rPr>
          <w:color w:val="auto"/>
          <w:sz w:val="20"/>
          <w:szCs w:val="20"/>
        </w:rPr>
        <w:t>НІСТЬ</w:t>
      </w:r>
      <w:r w:rsidRPr="000977F7">
        <w:rPr>
          <w:color w:val="auto"/>
          <w:spacing w:val="-1"/>
          <w:sz w:val="20"/>
          <w:szCs w:val="20"/>
        </w:rPr>
        <w:t xml:space="preserve"> </w:t>
      </w:r>
      <w:r w:rsidRPr="000977F7">
        <w:rPr>
          <w:color w:val="auto"/>
          <w:sz w:val="20"/>
          <w:szCs w:val="20"/>
        </w:rPr>
        <w:t>–</w:t>
      </w:r>
    </w:p>
    <w:p w14:paraId="483255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FAULT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4DFE5F7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 об’єкта, у якому він не здатний виконувати хоч</w:t>
      </w:r>
      <w:r w:rsidRPr="000977F7">
        <w:rPr>
          <w:rFonts w:asciiTheme="majorHAnsi" w:hAnsiTheme="majorHAnsi"/>
          <w:spacing w:val="1"/>
          <w:sz w:val="20"/>
          <w:szCs w:val="20"/>
        </w:rPr>
        <w:t xml:space="preserve"> </w:t>
      </w:r>
      <w:r w:rsidRPr="000977F7">
        <w:rPr>
          <w:rFonts w:asciiTheme="majorHAnsi" w:hAnsiTheme="majorHAnsi"/>
          <w:sz w:val="20"/>
          <w:szCs w:val="20"/>
        </w:rPr>
        <w:t>би</w:t>
      </w:r>
      <w:r w:rsidRPr="000977F7">
        <w:rPr>
          <w:rFonts w:asciiTheme="majorHAnsi" w:hAnsiTheme="majorHAnsi"/>
          <w:spacing w:val="-3"/>
          <w:sz w:val="20"/>
          <w:szCs w:val="20"/>
        </w:rPr>
        <w:t xml:space="preserve"> </w:t>
      </w:r>
      <w:r w:rsidRPr="000977F7">
        <w:rPr>
          <w:rFonts w:asciiTheme="majorHAnsi" w:hAnsiTheme="majorHAnsi"/>
          <w:sz w:val="20"/>
          <w:szCs w:val="20"/>
        </w:rPr>
        <w:t>одну</w:t>
      </w:r>
      <w:r w:rsidRPr="000977F7">
        <w:rPr>
          <w:rFonts w:asciiTheme="majorHAnsi" w:hAnsiTheme="majorHAnsi"/>
          <w:spacing w:val="-4"/>
          <w:sz w:val="20"/>
          <w:szCs w:val="20"/>
        </w:rPr>
        <w:t xml:space="preserve"> </w:t>
      </w:r>
      <w:r w:rsidRPr="000977F7">
        <w:rPr>
          <w:rFonts w:asciiTheme="majorHAnsi" w:hAnsiTheme="majorHAnsi"/>
          <w:sz w:val="20"/>
          <w:szCs w:val="20"/>
        </w:rPr>
        <w:t>зі своїх</w:t>
      </w:r>
      <w:r w:rsidRPr="000977F7">
        <w:rPr>
          <w:rFonts w:asciiTheme="majorHAnsi" w:hAnsiTheme="majorHAnsi"/>
          <w:spacing w:val="-1"/>
          <w:sz w:val="20"/>
          <w:szCs w:val="20"/>
        </w:rPr>
        <w:t xml:space="preserve"> </w:t>
      </w:r>
      <w:r w:rsidRPr="000977F7">
        <w:rPr>
          <w:rFonts w:asciiTheme="majorHAnsi" w:hAnsiTheme="majorHAnsi"/>
          <w:sz w:val="20"/>
          <w:szCs w:val="20"/>
        </w:rPr>
        <w:t>заданих</w:t>
      </w:r>
      <w:r w:rsidRPr="000977F7">
        <w:rPr>
          <w:rFonts w:asciiTheme="majorHAnsi" w:hAnsiTheme="majorHAnsi"/>
          <w:spacing w:val="-1"/>
          <w:sz w:val="20"/>
          <w:szCs w:val="20"/>
        </w:rPr>
        <w:t xml:space="preserve"> </w:t>
      </w:r>
      <w:r w:rsidRPr="000977F7">
        <w:rPr>
          <w:rFonts w:asciiTheme="majorHAnsi" w:hAnsiTheme="majorHAnsi"/>
          <w:sz w:val="20"/>
          <w:szCs w:val="20"/>
        </w:rPr>
        <w:t>функцій</w:t>
      </w:r>
    </w:p>
    <w:p w14:paraId="32A0DD1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ISO/IEC</w:t>
      </w:r>
      <w:r w:rsidRPr="000977F7">
        <w:rPr>
          <w:rFonts w:asciiTheme="majorHAnsi" w:hAnsiTheme="majorHAnsi"/>
          <w:i/>
          <w:spacing w:val="-4"/>
          <w:sz w:val="20"/>
          <w:szCs w:val="20"/>
        </w:rPr>
        <w:t xml:space="preserve"> </w:t>
      </w:r>
      <w:r w:rsidRPr="000977F7">
        <w:rPr>
          <w:rFonts w:asciiTheme="majorHAnsi" w:hAnsiTheme="majorHAnsi"/>
          <w:i/>
          <w:sz w:val="20"/>
          <w:szCs w:val="20"/>
        </w:rPr>
        <w:t>2382:2017</w:t>
      </w:r>
    </w:p>
    <w:p w14:paraId="604F00D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Стан</w:t>
      </w:r>
      <w:r w:rsidRPr="000977F7">
        <w:rPr>
          <w:rFonts w:asciiTheme="majorHAnsi" w:hAnsiTheme="majorHAnsi"/>
          <w:spacing w:val="28"/>
          <w:sz w:val="20"/>
          <w:szCs w:val="20"/>
        </w:rPr>
        <w:t xml:space="preserve"> </w:t>
      </w:r>
      <w:r w:rsidRPr="000977F7">
        <w:rPr>
          <w:rFonts w:asciiTheme="majorHAnsi" w:hAnsiTheme="majorHAnsi"/>
          <w:sz w:val="20"/>
          <w:szCs w:val="20"/>
        </w:rPr>
        <w:t>об’єкта,</w:t>
      </w:r>
      <w:r w:rsidRPr="000977F7">
        <w:rPr>
          <w:rFonts w:asciiTheme="majorHAnsi" w:hAnsiTheme="majorHAnsi"/>
          <w:spacing w:val="29"/>
          <w:sz w:val="20"/>
          <w:szCs w:val="20"/>
        </w:rPr>
        <w:t xml:space="preserve"> </w:t>
      </w:r>
      <w:r w:rsidRPr="000977F7">
        <w:rPr>
          <w:rFonts w:asciiTheme="majorHAnsi" w:hAnsiTheme="majorHAnsi"/>
          <w:sz w:val="20"/>
          <w:szCs w:val="20"/>
        </w:rPr>
        <w:t>за</w:t>
      </w:r>
      <w:r w:rsidRPr="000977F7">
        <w:rPr>
          <w:rFonts w:asciiTheme="majorHAnsi" w:hAnsiTheme="majorHAnsi"/>
          <w:spacing w:val="30"/>
          <w:sz w:val="20"/>
          <w:szCs w:val="20"/>
        </w:rPr>
        <w:t xml:space="preserve"> </w:t>
      </w:r>
      <w:r w:rsidRPr="000977F7">
        <w:rPr>
          <w:rFonts w:asciiTheme="majorHAnsi" w:hAnsiTheme="majorHAnsi"/>
          <w:sz w:val="20"/>
          <w:szCs w:val="20"/>
        </w:rPr>
        <w:t>яким</w:t>
      </w:r>
      <w:r w:rsidRPr="000977F7">
        <w:rPr>
          <w:rFonts w:asciiTheme="majorHAnsi" w:hAnsiTheme="majorHAnsi"/>
          <w:spacing w:val="30"/>
          <w:sz w:val="20"/>
          <w:szCs w:val="20"/>
        </w:rPr>
        <w:t xml:space="preserve"> </w:t>
      </w:r>
      <w:r w:rsidRPr="000977F7">
        <w:rPr>
          <w:rFonts w:asciiTheme="majorHAnsi" w:hAnsiTheme="majorHAnsi"/>
          <w:sz w:val="20"/>
          <w:szCs w:val="20"/>
        </w:rPr>
        <w:t>він</w:t>
      </w:r>
      <w:r w:rsidRPr="000977F7">
        <w:rPr>
          <w:rFonts w:asciiTheme="majorHAnsi" w:hAnsiTheme="majorHAnsi"/>
          <w:spacing w:val="31"/>
          <w:sz w:val="20"/>
          <w:szCs w:val="20"/>
        </w:rPr>
        <w:t xml:space="preserve"> </w:t>
      </w:r>
      <w:r w:rsidRPr="000977F7">
        <w:rPr>
          <w:rFonts w:asciiTheme="majorHAnsi" w:hAnsiTheme="majorHAnsi"/>
          <w:sz w:val="20"/>
          <w:szCs w:val="20"/>
        </w:rPr>
        <w:t>нездатний</w:t>
      </w:r>
      <w:r w:rsidRPr="000977F7">
        <w:rPr>
          <w:rFonts w:asciiTheme="majorHAnsi" w:hAnsiTheme="majorHAnsi"/>
          <w:spacing w:val="28"/>
          <w:sz w:val="20"/>
          <w:szCs w:val="20"/>
        </w:rPr>
        <w:t xml:space="preserve"> </w:t>
      </w:r>
      <w:r w:rsidRPr="000977F7">
        <w:rPr>
          <w:rFonts w:asciiTheme="majorHAnsi" w:hAnsiTheme="majorHAnsi"/>
          <w:sz w:val="20"/>
          <w:szCs w:val="20"/>
        </w:rPr>
        <w:t>виконувати</w:t>
      </w:r>
      <w:r w:rsidRPr="000977F7">
        <w:rPr>
          <w:rFonts w:asciiTheme="majorHAnsi" w:hAnsiTheme="majorHAnsi"/>
          <w:spacing w:val="31"/>
          <w:sz w:val="20"/>
          <w:szCs w:val="20"/>
        </w:rPr>
        <w:t xml:space="preserve"> </w:t>
      </w:r>
      <w:r w:rsidRPr="000977F7">
        <w:rPr>
          <w:rFonts w:asciiTheme="majorHAnsi" w:hAnsiTheme="majorHAnsi"/>
          <w:sz w:val="20"/>
          <w:szCs w:val="20"/>
        </w:rPr>
        <w:t>хоч</w:t>
      </w:r>
      <w:r w:rsidRPr="000977F7">
        <w:rPr>
          <w:rFonts w:asciiTheme="majorHAnsi" w:hAnsiTheme="majorHAnsi"/>
          <w:spacing w:val="-47"/>
          <w:sz w:val="20"/>
          <w:szCs w:val="20"/>
        </w:rPr>
        <w:t xml:space="preserve"> </w:t>
      </w:r>
      <w:r w:rsidRPr="000977F7">
        <w:rPr>
          <w:rFonts w:asciiTheme="majorHAnsi" w:hAnsiTheme="majorHAnsi"/>
          <w:sz w:val="20"/>
          <w:szCs w:val="20"/>
        </w:rPr>
        <w:t>би</w:t>
      </w:r>
      <w:r w:rsidRPr="000977F7">
        <w:rPr>
          <w:rFonts w:asciiTheme="majorHAnsi" w:hAnsiTheme="majorHAnsi"/>
          <w:spacing w:val="-3"/>
          <w:sz w:val="20"/>
          <w:szCs w:val="20"/>
        </w:rPr>
        <w:t xml:space="preserve"> </w:t>
      </w:r>
      <w:r w:rsidRPr="000977F7">
        <w:rPr>
          <w:rFonts w:asciiTheme="majorHAnsi" w:hAnsiTheme="majorHAnsi"/>
          <w:sz w:val="20"/>
          <w:szCs w:val="20"/>
        </w:rPr>
        <w:t>одну</w:t>
      </w:r>
      <w:r w:rsidRPr="000977F7">
        <w:rPr>
          <w:rFonts w:asciiTheme="majorHAnsi" w:hAnsiTheme="majorHAnsi"/>
          <w:spacing w:val="-4"/>
          <w:sz w:val="20"/>
          <w:szCs w:val="20"/>
        </w:rPr>
        <w:t xml:space="preserve"> </w:t>
      </w:r>
      <w:r w:rsidRPr="000977F7">
        <w:rPr>
          <w:rFonts w:asciiTheme="majorHAnsi" w:hAnsiTheme="majorHAnsi"/>
          <w:sz w:val="20"/>
          <w:szCs w:val="20"/>
        </w:rPr>
        <w:t>із заданих</w:t>
      </w:r>
      <w:r w:rsidRPr="000977F7">
        <w:rPr>
          <w:rFonts w:asciiTheme="majorHAnsi" w:hAnsiTheme="majorHAnsi"/>
          <w:spacing w:val="-1"/>
          <w:sz w:val="20"/>
          <w:szCs w:val="20"/>
        </w:rPr>
        <w:t xml:space="preserve"> </w:t>
      </w:r>
      <w:r w:rsidRPr="000977F7">
        <w:rPr>
          <w:rFonts w:asciiTheme="majorHAnsi" w:hAnsiTheme="majorHAnsi"/>
          <w:sz w:val="20"/>
          <w:szCs w:val="20"/>
        </w:rPr>
        <w:t>функцій об’єкта</w:t>
      </w:r>
    </w:p>
    <w:p w14:paraId="51E116F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33C000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Несправність</w:t>
      </w:r>
      <w:r w:rsidRPr="000977F7">
        <w:rPr>
          <w:rFonts w:asciiTheme="majorHAnsi" w:hAnsiTheme="majorHAnsi"/>
          <w:spacing w:val="27"/>
          <w:sz w:val="20"/>
          <w:szCs w:val="20"/>
        </w:rPr>
        <w:t xml:space="preserve"> </w:t>
      </w:r>
      <w:r w:rsidRPr="000977F7">
        <w:rPr>
          <w:rFonts w:asciiTheme="majorHAnsi" w:hAnsiTheme="majorHAnsi"/>
          <w:sz w:val="20"/>
          <w:szCs w:val="20"/>
        </w:rPr>
        <w:t>часто</w:t>
      </w:r>
      <w:r w:rsidRPr="000977F7">
        <w:rPr>
          <w:rFonts w:asciiTheme="majorHAnsi" w:hAnsiTheme="majorHAnsi"/>
          <w:spacing w:val="29"/>
          <w:sz w:val="20"/>
          <w:szCs w:val="20"/>
        </w:rPr>
        <w:t xml:space="preserve"> </w:t>
      </w:r>
      <w:r w:rsidRPr="000977F7">
        <w:rPr>
          <w:rFonts w:asciiTheme="majorHAnsi" w:hAnsiTheme="majorHAnsi"/>
          <w:sz w:val="20"/>
          <w:szCs w:val="20"/>
        </w:rPr>
        <w:t>є</w:t>
      </w:r>
      <w:r w:rsidRPr="000977F7">
        <w:rPr>
          <w:rFonts w:asciiTheme="majorHAnsi" w:hAnsiTheme="majorHAnsi"/>
          <w:spacing w:val="28"/>
          <w:sz w:val="20"/>
          <w:szCs w:val="20"/>
        </w:rPr>
        <w:t xml:space="preserve"> </w:t>
      </w:r>
      <w:r w:rsidRPr="000977F7">
        <w:rPr>
          <w:rFonts w:asciiTheme="majorHAnsi" w:hAnsiTheme="majorHAnsi"/>
          <w:sz w:val="20"/>
          <w:szCs w:val="20"/>
        </w:rPr>
        <w:t>наслідком</w:t>
      </w:r>
      <w:r w:rsidRPr="000977F7">
        <w:rPr>
          <w:rFonts w:asciiTheme="majorHAnsi" w:hAnsiTheme="majorHAnsi"/>
          <w:spacing w:val="29"/>
          <w:sz w:val="20"/>
          <w:szCs w:val="20"/>
        </w:rPr>
        <w:t xml:space="preserve"> </w:t>
      </w:r>
      <w:r w:rsidRPr="000977F7">
        <w:rPr>
          <w:rFonts w:asciiTheme="majorHAnsi" w:hAnsiTheme="majorHAnsi"/>
          <w:sz w:val="20"/>
          <w:szCs w:val="20"/>
        </w:rPr>
        <w:t>відмови</w:t>
      </w:r>
      <w:r w:rsidRPr="000977F7">
        <w:rPr>
          <w:rFonts w:asciiTheme="majorHAnsi" w:hAnsiTheme="majorHAnsi"/>
          <w:spacing w:val="27"/>
          <w:sz w:val="20"/>
          <w:szCs w:val="20"/>
        </w:rPr>
        <w:t xml:space="preserve"> </w:t>
      </w:r>
      <w:r w:rsidRPr="000977F7">
        <w:rPr>
          <w:rFonts w:asciiTheme="majorHAnsi" w:hAnsiTheme="majorHAnsi"/>
          <w:sz w:val="20"/>
          <w:szCs w:val="20"/>
        </w:rPr>
        <w:t>об’єкта,</w:t>
      </w:r>
      <w:r w:rsidRPr="000977F7">
        <w:rPr>
          <w:rFonts w:asciiTheme="majorHAnsi" w:hAnsiTheme="majorHAnsi"/>
          <w:spacing w:val="28"/>
          <w:sz w:val="20"/>
          <w:szCs w:val="20"/>
        </w:rPr>
        <w:t xml:space="preserve"> </w:t>
      </w:r>
      <w:r w:rsidRPr="000977F7">
        <w:rPr>
          <w:rFonts w:asciiTheme="majorHAnsi" w:hAnsiTheme="majorHAnsi"/>
          <w:sz w:val="20"/>
          <w:szCs w:val="20"/>
        </w:rPr>
        <w:t>але</w:t>
      </w:r>
      <w:r w:rsidRPr="000977F7">
        <w:rPr>
          <w:rFonts w:asciiTheme="majorHAnsi" w:hAnsiTheme="majorHAnsi"/>
          <w:spacing w:val="-47"/>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й</w:t>
      </w:r>
      <w:r w:rsidRPr="000977F7">
        <w:rPr>
          <w:rFonts w:asciiTheme="majorHAnsi" w:hAnsiTheme="majorHAnsi"/>
          <w:spacing w:val="1"/>
          <w:sz w:val="20"/>
          <w:szCs w:val="20"/>
        </w:rPr>
        <w:t xml:space="preserve"> </w:t>
      </w:r>
      <w:r w:rsidRPr="000977F7">
        <w:rPr>
          <w:rFonts w:asciiTheme="majorHAnsi" w:hAnsiTheme="majorHAnsi"/>
          <w:sz w:val="20"/>
          <w:szCs w:val="20"/>
        </w:rPr>
        <w:t>без неї</w:t>
      </w:r>
    </w:p>
    <w:p w14:paraId="6FD968F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29C27C5"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bookmarkStart w:id="149" w:name="_Hlk103746768"/>
      <w:r w:rsidRPr="000977F7">
        <w:rPr>
          <w:rFonts w:asciiTheme="majorHAnsi" w:hAnsiTheme="majorHAnsi"/>
          <w:b/>
          <w:bCs/>
          <w:iCs/>
          <w:sz w:val="20"/>
          <w:szCs w:val="20"/>
        </w:rPr>
        <w:t>НЕСПРАВНІСТЬ</w:t>
      </w:r>
    </w:p>
    <w:p w14:paraId="3BAE5CDA"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iCs/>
          <w:sz w:val="20"/>
          <w:szCs w:val="20"/>
        </w:rPr>
        <w:t>FAULT -</w:t>
      </w:r>
    </w:p>
    <w:bookmarkEnd w:id="149"/>
    <w:p w14:paraId="2B2CD81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 об’єкта, у якому він не може виконувати потрібну функцію, за винятком умов превентивного обслуговування або інших запланованих заходів чи відсутності зовнішніх ресурсів</w:t>
      </w:r>
    </w:p>
    <w:p w14:paraId="726A9A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Примітка 1. Несправність часто є результатом збою об’єкта, але може виникати й без попереднього збою. Примітка 2. На практиці терміни «збій» та «несправність» часто вживають як синоніми </w:t>
      </w:r>
    </w:p>
    <w:p w14:paraId="7EA32CA5"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54F4A1C3" w14:textId="77777777" w:rsidR="0097612F" w:rsidRPr="000977F7" w:rsidRDefault="0097612F" w:rsidP="000977F7">
      <w:pPr>
        <w:pStyle w:val="7"/>
        <w:tabs>
          <w:tab w:val="left" w:pos="284"/>
        </w:tabs>
        <w:spacing w:before="0" w:line="240" w:lineRule="auto"/>
        <w:ind w:left="170"/>
        <w:mirrorIndents/>
        <w:jc w:val="both"/>
        <w:rPr>
          <w:color w:val="auto"/>
          <w:spacing w:val="-5"/>
          <w:sz w:val="20"/>
          <w:szCs w:val="20"/>
        </w:rPr>
      </w:pPr>
      <w:r w:rsidRPr="000977F7">
        <w:rPr>
          <w:color w:val="auto"/>
          <w:sz w:val="20"/>
          <w:szCs w:val="20"/>
        </w:rPr>
        <w:t>НЕСПРАВНІСТЬ,</w:t>
      </w:r>
      <w:r w:rsidRPr="000977F7">
        <w:rPr>
          <w:color w:val="auto"/>
          <w:spacing w:val="-5"/>
          <w:sz w:val="20"/>
          <w:szCs w:val="20"/>
        </w:rPr>
        <w:t xml:space="preserve"> </w:t>
      </w:r>
      <w:r w:rsidRPr="000977F7">
        <w:rPr>
          <w:color w:val="auto"/>
          <w:sz w:val="20"/>
          <w:szCs w:val="20"/>
        </w:rPr>
        <w:t>ВИЯВЛЮВАНА</w:t>
      </w:r>
      <w:r w:rsidRPr="000977F7">
        <w:rPr>
          <w:color w:val="auto"/>
          <w:spacing w:val="-5"/>
          <w:sz w:val="20"/>
          <w:szCs w:val="20"/>
        </w:rPr>
        <w:t xml:space="preserve"> </w:t>
      </w:r>
      <w:r w:rsidRPr="000977F7">
        <w:rPr>
          <w:color w:val="auto"/>
          <w:sz w:val="20"/>
          <w:szCs w:val="20"/>
        </w:rPr>
        <w:t>ПІД</w:t>
      </w:r>
      <w:r w:rsidRPr="000977F7">
        <w:rPr>
          <w:color w:val="auto"/>
          <w:spacing w:val="-6"/>
          <w:sz w:val="20"/>
          <w:szCs w:val="20"/>
        </w:rPr>
        <w:t xml:space="preserve"> </w:t>
      </w:r>
      <w:r w:rsidRPr="000977F7">
        <w:rPr>
          <w:color w:val="auto"/>
          <w:sz w:val="20"/>
          <w:szCs w:val="20"/>
        </w:rPr>
        <w:t>ЧАС</w:t>
      </w:r>
      <w:r w:rsidRPr="000977F7">
        <w:rPr>
          <w:color w:val="auto"/>
          <w:spacing w:val="-5"/>
          <w:sz w:val="20"/>
          <w:szCs w:val="20"/>
        </w:rPr>
        <w:t xml:space="preserve"> </w:t>
      </w:r>
    </w:p>
    <w:p w14:paraId="47EE9E5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w:t>
      </w:r>
      <w:r w:rsidRPr="000977F7">
        <w:rPr>
          <w:color w:val="auto"/>
          <w:spacing w:val="-47"/>
          <w:sz w:val="20"/>
          <w:szCs w:val="20"/>
        </w:rPr>
        <w:t xml:space="preserve"> </w:t>
      </w:r>
      <w:r w:rsidRPr="000977F7">
        <w:rPr>
          <w:color w:val="auto"/>
          <w:sz w:val="20"/>
          <w:szCs w:val="20"/>
        </w:rPr>
        <w:t>РОБКИ</w:t>
      </w:r>
      <w:r w:rsidRPr="000977F7">
        <w:rPr>
          <w:color w:val="auto"/>
          <w:spacing w:val="-1"/>
          <w:sz w:val="20"/>
          <w:szCs w:val="20"/>
        </w:rPr>
        <w:t xml:space="preserve"> </w:t>
      </w:r>
      <w:r w:rsidRPr="000977F7">
        <w:rPr>
          <w:color w:val="auto"/>
          <w:sz w:val="20"/>
          <w:szCs w:val="20"/>
        </w:rPr>
        <w:t>ДАНИХ</w:t>
      </w:r>
      <w:r w:rsidRPr="000977F7">
        <w:rPr>
          <w:color w:val="auto"/>
          <w:spacing w:val="1"/>
          <w:sz w:val="20"/>
          <w:szCs w:val="20"/>
        </w:rPr>
        <w:t xml:space="preserve"> </w:t>
      </w:r>
      <w:r w:rsidRPr="000977F7">
        <w:rPr>
          <w:color w:val="auto"/>
          <w:sz w:val="20"/>
          <w:szCs w:val="20"/>
        </w:rPr>
        <w:t>–</w:t>
      </w:r>
    </w:p>
    <w:p w14:paraId="283E3E8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DATA</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 SENSITIVE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FAULT</w:t>
      </w:r>
    </w:p>
    <w:p w14:paraId="76F1E50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8ED61BE" w14:textId="77777777" w:rsidR="0097612F" w:rsidRPr="000977F7" w:rsidRDefault="0097612F" w:rsidP="000977F7">
      <w:pPr>
        <w:pStyle w:val="7"/>
        <w:tabs>
          <w:tab w:val="left" w:pos="284"/>
          <w:tab w:val="left" w:pos="2272"/>
          <w:tab w:val="left" w:pos="3119"/>
          <w:tab w:val="left" w:pos="4838"/>
        </w:tabs>
        <w:spacing w:before="0" w:line="240" w:lineRule="auto"/>
        <w:ind w:left="170"/>
        <w:mirrorIndents/>
        <w:jc w:val="both"/>
        <w:rPr>
          <w:color w:val="auto"/>
          <w:sz w:val="20"/>
          <w:szCs w:val="20"/>
        </w:rPr>
      </w:pPr>
      <w:r w:rsidRPr="000977F7">
        <w:rPr>
          <w:color w:val="auto"/>
          <w:sz w:val="20"/>
          <w:szCs w:val="20"/>
        </w:rPr>
        <w:t xml:space="preserve">НЕСПРАВНІСТЬ ЧЕРЕЗ ЗНОШУВАННЯ </w:t>
      </w:r>
      <w:r w:rsidRPr="000977F7">
        <w:rPr>
          <w:color w:val="auto"/>
          <w:spacing w:val="-3"/>
          <w:sz w:val="20"/>
          <w:szCs w:val="20"/>
        </w:rPr>
        <w:t>ТА</w:t>
      </w:r>
      <w:r w:rsidRPr="000977F7">
        <w:rPr>
          <w:color w:val="auto"/>
          <w:spacing w:val="-47"/>
          <w:sz w:val="20"/>
          <w:szCs w:val="20"/>
        </w:rPr>
        <w:t xml:space="preserve"> </w:t>
      </w:r>
      <w:r w:rsidRPr="000977F7">
        <w:rPr>
          <w:color w:val="auto"/>
          <w:sz w:val="20"/>
          <w:szCs w:val="20"/>
        </w:rPr>
        <w:t>(ЧИ)</w:t>
      </w:r>
      <w:r w:rsidRPr="000977F7">
        <w:rPr>
          <w:color w:val="auto"/>
          <w:spacing w:val="-1"/>
          <w:sz w:val="20"/>
          <w:szCs w:val="20"/>
        </w:rPr>
        <w:t xml:space="preserve"> </w:t>
      </w:r>
      <w:r w:rsidRPr="000977F7">
        <w:rPr>
          <w:color w:val="auto"/>
          <w:sz w:val="20"/>
          <w:szCs w:val="20"/>
        </w:rPr>
        <w:t>СТАРІННЯ</w:t>
      </w:r>
      <w:r w:rsidRPr="000977F7">
        <w:rPr>
          <w:color w:val="auto"/>
          <w:spacing w:val="2"/>
          <w:sz w:val="20"/>
          <w:szCs w:val="20"/>
        </w:rPr>
        <w:t xml:space="preserve"> </w:t>
      </w:r>
      <w:r w:rsidRPr="000977F7">
        <w:rPr>
          <w:color w:val="auto"/>
          <w:sz w:val="20"/>
          <w:szCs w:val="20"/>
        </w:rPr>
        <w:t>–</w:t>
      </w:r>
    </w:p>
    <w:p w14:paraId="05CB821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AGEING</w:t>
      </w:r>
      <w:r w:rsidRPr="004D2D14">
        <w:rPr>
          <w:rFonts w:asciiTheme="majorHAnsi" w:hAnsiTheme="majorHAnsi"/>
          <w:spacing w:val="-2"/>
          <w:sz w:val="20"/>
          <w:szCs w:val="20"/>
          <w:lang w:val="uk-UA"/>
        </w:rPr>
        <w:t xml:space="preserve"> </w:t>
      </w:r>
      <w:r w:rsidRPr="000977F7">
        <w:rPr>
          <w:rFonts w:asciiTheme="majorHAnsi" w:hAnsiTheme="majorHAnsi"/>
          <w:sz w:val="20"/>
          <w:szCs w:val="20"/>
        </w:rPr>
        <w:t>FAULT</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6B49FAC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Несправність,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спричинена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відмовою,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викликаною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природними процесами старіння та (чи) зношування,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 відбувається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всередині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об’єкта</w:t>
      </w:r>
    </w:p>
    <w:p w14:paraId="10258E8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2860 – 94</w:t>
      </w:r>
    </w:p>
    <w:p w14:paraId="0BD90DB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НЕСПРАВНІСТЬ ЧЕРЕЗ НЕВМІЛЕ </w:t>
      </w:r>
    </w:p>
    <w:p w14:paraId="20EEC11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ПОВОДЖЕННЯ -</w:t>
      </w:r>
    </w:p>
    <w:p w14:paraId="0272C3B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MISHANDLING</w:t>
      </w:r>
      <w:r w:rsidRPr="000977F7">
        <w:rPr>
          <w:rFonts w:asciiTheme="majorHAnsi" w:hAnsiTheme="majorHAnsi"/>
          <w:spacing w:val="-3"/>
          <w:sz w:val="20"/>
          <w:szCs w:val="20"/>
        </w:rPr>
        <w:t xml:space="preserve"> </w:t>
      </w:r>
      <w:r w:rsidRPr="000977F7">
        <w:rPr>
          <w:rFonts w:asciiTheme="majorHAnsi" w:hAnsiTheme="majorHAnsi"/>
          <w:sz w:val="20"/>
          <w:szCs w:val="20"/>
        </w:rPr>
        <w:t>FAULT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7CAD8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Несправність, спричинена неправильним чи необережним поводженням з об’єктом</w:t>
      </w:r>
    </w:p>
    <w:p w14:paraId="0BE4BB0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0E8E58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НЕСПРАВНІСТЬ</w:t>
      </w:r>
      <w:r w:rsidRPr="000977F7">
        <w:rPr>
          <w:color w:val="auto"/>
          <w:spacing w:val="-5"/>
          <w:sz w:val="20"/>
          <w:szCs w:val="20"/>
        </w:rPr>
        <w:t xml:space="preserve"> </w:t>
      </w:r>
      <w:r w:rsidRPr="000977F7">
        <w:rPr>
          <w:color w:val="auto"/>
          <w:sz w:val="20"/>
          <w:szCs w:val="20"/>
        </w:rPr>
        <w:t>ЧЕРЕЗ</w:t>
      </w:r>
      <w:r w:rsidRPr="000977F7">
        <w:rPr>
          <w:color w:val="auto"/>
          <w:spacing w:val="-1"/>
          <w:sz w:val="20"/>
          <w:szCs w:val="20"/>
        </w:rPr>
        <w:t xml:space="preserve"> </w:t>
      </w:r>
      <w:r w:rsidRPr="000977F7">
        <w:rPr>
          <w:color w:val="auto"/>
          <w:sz w:val="20"/>
          <w:szCs w:val="20"/>
        </w:rPr>
        <w:t>НЕМІЦНІСТЬ</w:t>
      </w:r>
      <w:r w:rsidRPr="000977F7">
        <w:rPr>
          <w:color w:val="auto"/>
          <w:spacing w:val="-4"/>
          <w:sz w:val="20"/>
          <w:szCs w:val="20"/>
        </w:rPr>
        <w:t xml:space="preserve"> </w:t>
      </w:r>
      <w:r w:rsidRPr="000977F7">
        <w:rPr>
          <w:color w:val="auto"/>
          <w:sz w:val="20"/>
          <w:szCs w:val="20"/>
        </w:rPr>
        <w:t>–</w:t>
      </w:r>
    </w:p>
    <w:p w14:paraId="61B9B09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WEAKNESS</w:t>
      </w:r>
      <w:r w:rsidRPr="000977F7">
        <w:rPr>
          <w:rFonts w:asciiTheme="majorHAnsi" w:hAnsiTheme="majorHAnsi"/>
          <w:spacing w:val="-4"/>
          <w:sz w:val="20"/>
          <w:szCs w:val="20"/>
        </w:rPr>
        <w:t xml:space="preserve"> </w:t>
      </w:r>
      <w:r w:rsidRPr="000977F7">
        <w:rPr>
          <w:rFonts w:asciiTheme="majorHAnsi" w:hAnsiTheme="majorHAnsi"/>
          <w:sz w:val="20"/>
          <w:szCs w:val="20"/>
        </w:rPr>
        <w:t>FAULT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BB7F67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Несправність,</w:t>
      </w:r>
      <w:r w:rsidRPr="000977F7">
        <w:rPr>
          <w:rFonts w:asciiTheme="majorHAnsi" w:hAnsiTheme="majorHAnsi"/>
          <w:spacing w:val="1"/>
          <w:sz w:val="20"/>
          <w:szCs w:val="20"/>
        </w:rPr>
        <w:t xml:space="preserve"> </w:t>
      </w:r>
      <w:r w:rsidRPr="000977F7">
        <w:rPr>
          <w:rFonts w:asciiTheme="majorHAnsi" w:hAnsiTheme="majorHAnsi"/>
          <w:sz w:val="20"/>
          <w:szCs w:val="20"/>
        </w:rPr>
        <w:t>спричинена</w:t>
      </w:r>
      <w:r w:rsidRPr="000977F7">
        <w:rPr>
          <w:rFonts w:asciiTheme="majorHAnsi" w:hAnsiTheme="majorHAnsi"/>
          <w:spacing w:val="1"/>
          <w:sz w:val="20"/>
          <w:szCs w:val="20"/>
        </w:rPr>
        <w:t xml:space="preserve"> </w:t>
      </w:r>
      <w:r w:rsidRPr="000977F7">
        <w:rPr>
          <w:rFonts w:asciiTheme="majorHAnsi" w:hAnsiTheme="majorHAnsi"/>
          <w:sz w:val="20"/>
          <w:szCs w:val="20"/>
        </w:rPr>
        <w:t>недостатньою</w:t>
      </w:r>
      <w:r w:rsidRPr="000977F7">
        <w:rPr>
          <w:rFonts w:asciiTheme="majorHAnsi" w:hAnsiTheme="majorHAnsi"/>
          <w:spacing w:val="1"/>
          <w:sz w:val="20"/>
          <w:szCs w:val="20"/>
        </w:rPr>
        <w:t xml:space="preserve"> </w:t>
      </w:r>
      <w:r w:rsidRPr="000977F7">
        <w:rPr>
          <w:rFonts w:asciiTheme="majorHAnsi" w:hAnsiTheme="majorHAnsi"/>
          <w:sz w:val="20"/>
          <w:szCs w:val="20"/>
        </w:rPr>
        <w:t>міцністю</w:t>
      </w:r>
      <w:r w:rsidRPr="000977F7">
        <w:rPr>
          <w:rFonts w:asciiTheme="majorHAnsi" w:hAnsiTheme="majorHAnsi"/>
          <w:spacing w:val="1"/>
          <w:sz w:val="20"/>
          <w:szCs w:val="20"/>
        </w:rPr>
        <w:t xml:space="preserve"> </w:t>
      </w:r>
      <w:r w:rsidRPr="000977F7">
        <w:rPr>
          <w:rFonts w:asciiTheme="majorHAnsi" w:hAnsiTheme="majorHAnsi"/>
          <w:sz w:val="20"/>
          <w:szCs w:val="20"/>
        </w:rPr>
        <w:t>самого об’єкта, який перебуває під навантаженнями,</w:t>
      </w:r>
      <w:r w:rsidRPr="000977F7">
        <w:rPr>
          <w:rFonts w:asciiTheme="majorHAnsi" w:hAnsiTheme="majorHAnsi"/>
          <w:spacing w:val="1"/>
          <w:sz w:val="20"/>
          <w:szCs w:val="20"/>
        </w:rPr>
        <w:t xml:space="preserve"> </w:t>
      </w:r>
      <w:r w:rsidRPr="000977F7">
        <w:rPr>
          <w:rFonts w:asciiTheme="majorHAnsi" w:hAnsiTheme="majorHAnsi"/>
          <w:sz w:val="20"/>
          <w:szCs w:val="20"/>
        </w:rPr>
        <w:t>що не перевищують можливостей об’єкта, встановлених</w:t>
      </w:r>
      <w:r w:rsidRPr="000977F7">
        <w:rPr>
          <w:rFonts w:asciiTheme="majorHAnsi" w:hAnsiTheme="majorHAnsi"/>
          <w:spacing w:val="-2"/>
          <w:sz w:val="20"/>
          <w:szCs w:val="20"/>
        </w:rPr>
        <w:t xml:space="preserve"> </w:t>
      </w:r>
      <w:r w:rsidRPr="000977F7">
        <w:rPr>
          <w:rFonts w:asciiTheme="majorHAnsi" w:hAnsiTheme="majorHAnsi"/>
          <w:sz w:val="20"/>
          <w:szCs w:val="20"/>
        </w:rPr>
        <w:t>відповідною</w:t>
      </w:r>
      <w:r w:rsidRPr="000977F7">
        <w:rPr>
          <w:rFonts w:asciiTheme="majorHAnsi" w:hAnsiTheme="majorHAnsi"/>
          <w:spacing w:val="2"/>
          <w:sz w:val="20"/>
          <w:szCs w:val="20"/>
        </w:rPr>
        <w:t xml:space="preserve"> </w:t>
      </w:r>
      <w:r w:rsidRPr="000977F7">
        <w:rPr>
          <w:rFonts w:asciiTheme="majorHAnsi" w:hAnsiTheme="majorHAnsi"/>
          <w:sz w:val="20"/>
          <w:szCs w:val="20"/>
        </w:rPr>
        <w:t>документацією</w:t>
      </w:r>
    </w:p>
    <w:p w14:paraId="4B77A8E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898303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НЕСПРАВНІСТЬ</w:t>
      </w:r>
      <w:r w:rsidRPr="000977F7">
        <w:rPr>
          <w:color w:val="auto"/>
          <w:spacing w:val="1"/>
          <w:sz w:val="20"/>
          <w:szCs w:val="20"/>
        </w:rPr>
        <w:t xml:space="preserve"> </w:t>
      </w:r>
      <w:r w:rsidRPr="000977F7">
        <w:rPr>
          <w:color w:val="auto"/>
          <w:sz w:val="20"/>
          <w:szCs w:val="20"/>
        </w:rPr>
        <w:t xml:space="preserve">ЧЕРЕЗ </w:t>
      </w:r>
    </w:p>
    <w:p w14:paraId="117E769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ПЕРЕНАВАНТАЖЕН</w:t>
      </w:r>
      <w:r w:rsidRPr="000977F7">
        <w:rPr>
          <w:color w:val="auto"/>
          <w:spacing w:val="-47"/>
          <w:sz w:val="20"/>
          <w:szCs w:val="20"/>
        </w:rPr>
        <w:t xml:space="preserve"> </w:t>
      </w:r>
      <w:r w:rsidRPr="000977F7">
        <w:rPr>
          <w:color w:val="auto"/>
          <w:sz w:val="20"/>
          <w:szCs w:val="20"/>
        </w:rPr>
        <w:t>НЯ</w:t>
      </w:r>
      <w:r w:rsidRPr="000977F7">
        <w:rPr>
          <w:color w:val="auto"/>
          <w:spacing w:val="5"/>
          <w:sz w:val="20"/>
          <w:szCs w:val="20"/>
        </w:rPr>
        <w:t xml:space="preserve"> </w:t>
      </w:r>
      <w:r w:rsidRPr="000977F7">
        <w:rPr>
          <w:color w:val="auto"/>
          <w:sz w:val="20"/>
          <w:szCs w:val="20"/>
        </w:rPr>
        <w:t>–</w:t>
      </w:r>
    </w:p>
    <w:p w14:paraId="3B9832B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MISUSE</w:t>
      </w:r>
      <w:r w:rsidRPr="000977F7">
        <w:rPr>
          <w:rFonts w:asciiTheme="majorHAnsi" w:hAnsiTheme="majorHAnsi"/>
          <w:spacing w:val="-3"/>
          <w:sz w:val="20"/>
          <w:szCs w:val="20"/>
        </w:rPr>
        <w:t xml:space="preserve"> </w:t>
      </w:r>
      <w:r w:rsidRPr="000977F7">
        <w:rPr>
          <w:rFonts w:asciiTheme="majorHAnsi" w:hAnsiTheme="majorHAnsi"/>
          <w:sz w:val="20"/>
          <w:szCs w:val="20"/>
        </w:rPr>
        <w:t>FAULT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8DE17E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Несправність, викликана прикладанням під час використання об’єкта навантажень, що перевищують його</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встановлені</w:t>
      </w:r>
      <w:r w:rsidRPr="000977F7">
        <w:rPr>
          <w:rFonts w:asciiTheme="majorHAnsi" w:hAnsiTheme="majorHAnsi"/>
          <w:spacing w:val="-2"/>
          <w:sz w:val="20"/>
          <w:szCs w:val="20"/>
        </w:rPr>
        <w:t xml:space="preserve"> </w:t>
      </w:r>
      <w:r w:rsidRPr="000977F7">
        <w:rPr>
          <w:rFonts w:asciiTheme="majorHAnsi" w:hAnsiTheme="majorHAnsi"/>
          <w:sz w:val="20"/>
          <w:szCs w:val="20"/>
        </w:rPr>
        <w:t>можливості</w:t>
      </w:r>
    </w:p>
    <w:p w14:paraId="5B47E41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005304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НЕСТАБІЛЬНІСТЬ ПАРАМЕТРА ЕЛЕКТРИЧНОЇ</w:t>
      </w:r>
      <w:r w:rsidRPr="000977F7">
        <w:rPr>
          <w:color w:val="auto"/>
          <w:spacing w:val="-2"/>
          <w:sz w:val="20"/>
          <w:szCs w:val="20"/>
        </w:rPr>
        <w:t xml:space="preserve"> </w:t>
      </w:r>
      <w:r w:rsidRPr="000977F7">
        <w:rPr>
          <w:color w:val="auto"/>
          <w:sz w:val="20"/>
          <w:szCs w:val="20"/>
        </w:rPr>
        <w:t>ЕНЕРГІЇ –</w:t>
      </w:r>
    </w:p>
    <w:p w14:paraId="1219CD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Несталість параметра електричної енергії, спричинена</w:t>
      </w:r>
      <w:r w:rsidRPr="000977F7">
        <w:rPr>
          <w:rFonts w:asciiTheme="majorHAnsi" w:hAnsiTheme="majorHAnsi"/>
          <w:spacing w:val="-47"/>
          <w:sz w:val="20"/>
          <w:szCs w:val="20"/>
        </w:rPr>
        <w:t xml:space="preserve"> </w:t>
      </w:r>
      <w:r w:rsidRPr="000977F7">
        <w:rPr>
          <w:rFonts w:asciiTheme="majorHAnsi" w:hAnsiTheme="majorHAnsi"/>
          <w:sz w:val="20"/>
          <w:szCs w:val="20"/>
        </w:rPr>
        <w:t>дією</w:t>
      </w:r>
      <w:r w:rsidRPr="000977F7">
        <w:rPr>
          <w:rFonts w:asciiTheme="majorHAnsi" w:hAnsiTheme="majorHAnsi"/>
          <w:spacing w:val="-1"/>
          <w:sz w:val="20"/>
          <w:szCs w:val="20"/>
        </w:rPr>
        <w:t xml:space="preserve"> </w:t>
      </w:r>
      <w:r w:rsidRPr="000977F7">
        <w:rPr>
          <w:rFonts w:asciiTheme="majorHAnsi" w:hAnsiTheme="majorHAnsi"/>
          <w:sz w:val="20"/>
          <w:szCs w:val="20"/>
        </w:rPr>
        <w:t>впливних</w:t>
      </w:r>
      <w:r w:rsidRPr="000977F7">
        <w:rPr>
          <w:rFonts w:asciiTheme="majorHAnsi" w:hAnsiTheme="majorHAnsi"/>
          <w:spacing w:val="-1"/>
          <w:sz w:val="20"/>
          <w:szCs w:val="20"/>
        </w:rPr>
        <w:t xml:space="preserve"> </w:t>
      </w:r>
      <w:r w:rsidRPr="000977F7">
        <w:rPr>
          <w:rFonts w:asciiTheme="majorHAnsi" w:hAnsiTheme="majorHAnsi"/>
          <w:sz w:val="20"/>
          <w:szCs w:val="20"/>
        </w:rPr>
        <w:t>чинників</w:t>
      </w:r>
    </w:p>
    <w:p w14:paraId="02FE483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7025C35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НЕСТАНДАРТИЗОВАНІ ЗАСОБИ ВИМІРЮВАЛЬНОЇ</w:t>
      </w:r>
      <w:r w:rsidRPr="000977F7">
        <w:rPr>
          <w:color w:val="auto"/>
          <w:spacing w:val="-2"/>
          <w:sz w:val="20"/>
          <w:szCs w:val="20"/>
        </w:rPr>
        <w:t xml:space="preserve"> </w:t>
      </w:r>
      <w:r w:rsidRPr="000977F7">
        <w:rPr>
          <w:color w:val="auto"/>
          <w:sz w:val="20"/>
          <w:szCs w:val="20"/>
        </w:rPr>
        <w:t>ТЕХНІКИ</w:t>
      </w:r>
      <w:r w:rsidRPr="000977F7">
        <w:rPr>
          <w:color w:val="auto"/>
          <w:spacing w:val="1"/>
          <w:sz w:val="20"/>
          <w:szCs w:val="20"/>
        </w:rPr>
        <w:t xml:space="preserve"> </w:t>
      </w:r>
      <w:r w:rsidRPr="000977F7">
        <w:rPr>
          <w:color w:val="auto"/>
          <w:sz w:val="20"/>
          <w:szCs w:val="20"/>
        </w:rPr>
        <w:t>–</w:t>
      </w:r>
    </w:p>
    <w:p w14:paraId="73C2E9F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Засоби</w:t>
      </w:r>
      <w:r w:rsidRPr="000977F7">
        <w:rPr>
          <w:rFonts w:asciiTheme="majorHAnsi" w:hAnsiTheme="majorHAnsi"/>
          <w:spacing w:val="12"/>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14"/>
          <w:sz w:val="20"/>
          <w:szCs w:val="20"/>
        </w:rPr>
        <w:t xml:space="preserve"> </w:t>
      </w:r>
      <w:r w:rsidRPr="000977F7">
        <w:rPr>
          <w:rFonts w:asciiTheme="majorHAnsi" w:hAnsiTheme="majorHAnsi"/>
          <w:sz w:val="20"/>
          <w:szCs w:val="20"/>
        </w:rPr>
        <w:t>техніки,</w:t>
      </w:r>
      <w:r w:rsidRPr="000977F7">
        <w:rPr>
          <w:rFonts w:asciiTheme="majorHAnsi" w:hAnsiTheme="majorHAnsi"/>
          <w:spacing w:val="14"/>
          <w:sz w:val="20"/>
          <w:szCs w:val="20"/>
        </w:rPr>
        <w:t xml:space="preserve"> </w:t>
      </w:r>
      <w:r w:rsidRPr="000977F7">
        <w:rPr>
          <w:rFonts w:asciiTheme="majorHAnsi" w:hAnsiTheme="majorHAnsi"/>
          <w:sz w:val="20"/>
          <w:szCs w:val="20"/>
        </w:rPr>
        <w:t>вимоги</w:t>
      </w:r>
      <w:r w:rsidRPr="000977F7">
        <w:rPr>
          <w:rFonts w:asciiTheme="majorHAnsi" w:hAnsiTheme="majorHAnsi"/>
          <w:spacing w:val="13"/>
          <w:sz w:val="20"/>
          <w:szCs w:val="20"/>
        </w:rPr>
        <w:t xml:space="preserve"> </w:t>
      </w:r>
      <w:r w:rsidRPr="000977F7">
        <w:rPr>
          <w:rFonts w:asciiTheme="majorHAnsi" w:hAnsiTheme="majorHAnsi"/>
          <w:sz w:val="20"/>
          <w:szCs w:val="20"/>
        </w:rPr>
        <w:t>до</w:t>
      </w:r>
      <w:r w:rsidRPr="000977F7">
        <w:rPr>
          <w:rFonts w:asciiTheme="majorHAnsi" w:hAnsiTheme="majorHAnsi"/>
          <w:spacing w:val="14"/>
          <w:sz w:val="20"/>
          <w:szCs w:val="20"/>
        </w:rPr>
        <w:t xml:space="preserve"> </w:t>
      </w:r>
      <w:r w:rsidRPr="000977F7">
        <w:rPr>
          <w:rFonts w:asciiTheme="majorHAnsi" w:hAnsiTheme="majorHAnsi"/>
          <w:sz w:val="20"/>
          <w:szCs w:val="20"/>
        </w:rPr>
        <w:t>яких</w:t>
      </w:r>
      <w:r w:rsidRPr="000977F7">
        <w:rPr>
          <w:rFonts w:asciiTheme="majorHAnsi" w:hAnsiTheme="majorHAnsi"/>
          <w:spacing w:val="13"/>
          <w:sz w:val="20"/>
          <w:szCs w:val="20"/>
        </w:rPr>
        <w:t xml:space="preserve"> </w:t>
      </w:r>
      <w:r w:rsidRPr="000977F7">
        <w:rPr>
          <w:rFonts w:asciiTheme="majorHAnsi" w:hAnsiTheme="majorHAnsi"/>
          <w:sz w:val="20"/>
          <w:szCs w:val="20"/>
        </w:rPr>
        <w:t>не</w:t>
      </w:r>
      <w:r w:rsidRPr="000977F7">
        <w:rPr>
          <w:rFonts w:asciiTheme="majorHAnsi" w:hAnsiTheme="majorHAnsi"/>
          <w:spacing w:val="15"/>
          <w:sz w:val="20"/>
          <w:szCs w:val="20"/>
        </w:rPr>
        <w:t xml:space="preserve"> </w:t>
      </w:r>
      <w:r w:rsidRPr="000977F7">
        <w:rPr>
          <w:rFonts w:asciiTheme="majorHAnsi" w:hAnsiTheme="majorHAnsi"/>
          <w:sz w:val="20"/>
          <w:szCs w:val="20"/>
        </w:rPr>
        <w:t>регламентовані у відповідній нормативній документації</w:t>
      </w:r>
    </w:p>
    <w:p w14:paraId="1797B7E0"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275D6E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НЕСТАЦІОНАРНЕ ВИПАДКОВЕ НАВАНТАЖУВАННЯ –</w:t>
      </w:r>
    </w:p>
    <w:p w14:paraId="6DC338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NON-STATIONARY</w:t>
      </w:r>
      <w:r w:rsidRPr="000977F7">
        <w:rPr>
          <w:rFonts w:asciiTheme="majorHAnsi" w:hAnsiTheme="majorHAnsi"/>
          <w:spacing w:val="-3"/>
          <w:sz w:val="20"/>
          <w:szCs w:val="20"/>
        </w:rPr>
        <w:t xml:space="preserve"> </w:t>
      </w:r>
      <w:r w:rsidRPr="000977F7">
        <w:rPr>
          <w:rFonts w:asciiTheme="majorHAnsi" w:hAnsiTheme="majorHAnsi"/>
          <w:sz w:val="20"/>
          <w:szCs w:val="20"/>
        </w:rPr>
        <w:t>RANDOM</w:t>
      </w:r>
      <w:r w:rsidRPr="000977F7">
        <w:rPr>
          <w:rFonts w:asciiTheme="majorHAnsi" w:hAnsiTheme="majorHAnsi"/>
          <w:spacing w:val="-2"/>
          <w:sz w:val="20"/>
          <w:szCs w:val="20"/>
        </w:rPr>
        <w:t xml:space="preserve"> </w:t>
      </w:r>
      <w:r w:rsidRPr="000977F7">
        <w:rPr>
          <w:rFonts w:asciiTheme="majorHAnsi" w:hAnsiTheme="majorHAnsi"/>
          <w:sz w:val="20"/>
          <w:szCs w:val="20"/>
        </w:rPr>
        <w:t>LOADING</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549875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Випадкове навантажування із змінними у часі характеристиками</w:t>
      </w:r>
      <w:r w:rsidRPr="000977F7">
        <w:rPr>
          <w:rFonts w:asciiTheme="majorHAnsi" w:hAnsiTheme="majorHAnsi"/>
          <w:spacing w:val="-2"/>
          <w:sz w:val="20"/>
          <w:szCs w:val="20"/>
        </w:rPr>
        <w:t xml:space="preserve"> </w:t>
      </w:r>
      <w:r w:rsidRPr="000977F7">
        <w:rPr>
          <w:rFonts w:asciiTheme="majorHAnsi" w:hAnsiTheme="majorHAnsi"/>
          <w:sz w:val="20"/>
          <w:szCs w:val="20"/>
        </w:rPr>
        <w:t>процесу</w:t>
      </w:r>
    </w:p>
    <w:p w14:paraId="20DAC963"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2444 – 94</w:t>
      </w:r>
    </w:p>
    <w:p w14:paraId="046CA346"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НЕСТАЦІОНАРНЕ</w:t>
      </w:r>
      <w:r w:rsidRPr="004D2D14">
        <w:rPr>
          <w:rFonts w:asciiTheme="majorHAnsi" w:hAnsiTheme="majorHAnsi"/>
          <w:b/>
          <w:sz w:val="20"/>
          <w:szCs w:val="20"/>
          <w:lang w:val="en-US"/>
        </w:rPr>
        <w:t xml:space="preserve"> </w:t>
      </w:r>
      <w:r w:rsidRPr="000977F7">
        <w:rPr>
          <w:rFonts w:asciiTheme="majorHAnsi" w:hAnsiTheme="majorHAnsi"/>
          <w:b/>
          <w:sz w:val="20"/>
          <w:szCs w:val="20"/>
        </w:rPr>
        <w:t>ДІЯННЯ</w:t>
      </w:r>
      <w:r w:rsidRPr="004D2D14">
        <w:rPr>
          <w:rFonts w:asciiTheme="majorHAnsi" w:hAnsiTheme="majorHAnsi"/>
          <w:b/>
          <w:sz w:val="20"/>
          <w:szCs w:val="20"/>
          <w:lang w:val="en-US"/>
        </w:rPr>
        <w:t xml:space="preserve"> –</w:t>
      </w:r>
    </w:p>
    <w:p w14:paraId="56C072C5"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NON-STATIONARY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ACTION -</w:t>
      </w:r>
    </w:p>
    <w:p w14:paraId="2FFFCE3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Діяння, значення основного параметра якого є однозначно передбачувані</w:t>
      </w:r>
    </w:p>
    <w:p w14:paraId="0396642E" w14:textId="77777777" w:rsidR="0097612F" w:rsidRPr="004D2D14" w:rsidRDefault="0097612F" w:rsidP="000977F7">
      <w:pPr>
        <w:tabs>
          <w:tab w:val="left" w:pos="284"/>
        </w:tabs>
        <w:spacing w:after="0" w:line="240" w:lineRule="auto"/>
        <w:ind w:left="170"/>
        <w:mirrorIndents/>
        <w:jc w:val="both"/>
        <w:rPr>
          <w:rFonts w:asciiTheme="majorHAnsi" w:hAnsiTheme="majorHAnsi"/>
          <w:i/>
          <w:iCs/>
          <w:spacing w:val="1"/>
          <w:sz w:val="20"/>
          <w:szCs w:val="20"/>
          <w:lang w:val="en-US"/>
        </w:rPr>
      </w:pPr>
      <w:r w:rsidRPr="000977F7">
        <w:rPr>
          <w:rFonts w:asciiTheme="majorHAnsi" w:hAnsiTheme="majorHAnsi"/>
          <w:i/>
          <w:iCs/>
          <w:sz w:val="20"/>
          <w:szCs w:val="20"/>
        </w:rPr>
        <w:t>ДСТУ</w:t>
      </w:r>
      <w:r w:rsidRPr="004D2D14">
        <w:rPr>
          <w:rFonts w:asciiTheme="majorHAnsi" w:hAnsiTheme="majorHAnsi"/>
          <w:i/>
          <w:iCs/>
          <w:sz w:val="20"/>
          <w:szCs w:val="20"/>
          <w:lang w:val="en-US"/>
        </w:rPr>
        <w:t xml:space="preserve"> 3956 - 2000</w:t>
      </w:r>
    </w:p>
    <w:p w14:paraId="3B8DF088" w14:textId="77777777" w:rsidR="0097612F" w:rsidRPr="004D2D14" w:rsidRDefault="0097612F" w:rsidP="000977F7">
      <w:pPr>
        <w:tabs>
          <w:tab w:val="left" w:pos="284"/>
        </w:tabs>
        <w:spacing w:after="0" w:line="240" w:lineRule="auto"/>
        <w:ind w:left="170"/>
        <w:mirrorIndents/>
        <w:jc w:val="both"/>
        <w:rPr>
          <w:rFonts w:asciiTheme="majorHAnsi" w:hAnsiTheme="majorHAnsi"/>
          <w:b/>
          <w:bCs/>
          <w:sz w:val="20"/>
          <w:szCs w:val="20"/>
          <w:lang w:val="en-US"/>
        </w:rPr>
      </w:pPr>
      <w:r w:rsidRPr="000977F7">
        <w:rPr>
          <w:rFonts w:asciiTheme="majorHAnsi" w:hAnsiTheme="majorHAnsi"/>
          <w:b/>
          <w:bCs/>
          <w:sz w:val="20"/>
          <w:szCs w:val="20"/>
        </w:rPr>
        <w:t>НЕСТАЦІОНАРНИЙ</w:t>
      </w:r>
      <w:r w:rsidRPr="004D2D14">
        <w:rPr>
          <w:rFonts w:asciiTheme="majorHAnsi" w:hAnsiTheme="majorHAnsi"/>
          <w:b/>
          <w:bCs/>
          <w:sz w:val="20"/>
          <w:szCs w:val="20"/>
          <w:lang w:val="en-US"/>
        </w:rPr>
        <w:t xml:space="preserve"> </w:t>
      </w:r>
      <w:r w:rsidRPr="000977F7">
        <w:rPr>
          <w:rFonts w:asciiTheme="majorHAnsi" w:hAnsiTheme="majorHAnsi"/>
          <w:b/>
          <w:bCs/>
          <w:sz w:val="20"/>
          <w:szCs w:val="20"/>
        </w:rPr>
        <w:t>ОБ</w:t>
      </w:r>
      <w:r w:rsidRPr="000977F7">
        <w:rPr>
          <w:rFonts w:asciiTheme="majorHAnsi" w:hAnsiTheme="majorHAnsi"/>
          <w:b/>
          <w:bCs/>
          <w:sz w:val="20"/>
          <w:szCs w:val="20"/>
          <w:rtl/>
        </w:rPr>
        <w:t>׳</w:t>
      </w:r>
      <w:r w:rsidRPr="000977F7">
        <w:rPr>
          <w:rFonts w:asciiTheme="majorHAnsi" w:hAnsiTheme="majorHAnsi"/>
          <w:b/>
          <w:bCs/>
          <w:sz w:val="20"/>
          <w:szCs w:val="20"/>
        </w:rPr>
        <w:t>ЄКТ</w:t>
      </w:r>
      <w:r w:rsidRPr="004D2D14">
        <w:rPr>
          <w:rFonts w:asciiTheme="majorHAnsi" w:hAnsiTheme="majorHAnsi"/>
          <w:b/>
          <w:bCs/>
          <w:sz w:val="20"/>
          <w:szCs w:val="20"/>
          <w:lang w:val="en-US"/>
        </w:rPr>
        <w:t xml:space="preserve"> -</w:t>
      </w:r>
    </w:p>
    <w:p w14:paraId="4F51779C"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NON-STATIONARY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OBJECT -</w:t>
      </w:r>
    </w:p>
    <w:p w14:paraId="03666C39" w14:textId="77777777" w:rsidR="0097612F" w:rsidRPr="000977F7" w:rsidRDefault="0097612F" w:rsidP="000977F7">
      <w:pPr>
        <w:pStyle w:val="af6"/>
        <w:tabs>
          <w:tab w:val="left" w:pos="284"/>
        </w:tabs>
        <w:spacing w:after="0"/>
        <w:ind w:left="170"/>
        <w:mirrorIndents/>
        <w:jc w:val="both"/>
        <w:rPr>
          <w:rFonts w:asciiTheme="majorHAnsi" w:hAnsiTheme="majorHAnsi"/>
          <w:spacing w:val="-2"/>
          <w:sz w:val="20"/>
          <w:szCs w:val="20"/>
        </w:rPr>
      </w:pPr>
      <w:r w:rsidRPr="000977F7">
        <w:rPr>
          <w:rFonts w:asciiTheme="majorHAnsi" w:hAnsiTheme="majorHAnsi"/>
          <w:spacing w:val="-2"/>
          <w:sz w:val="20"/>
          <w:szCs w:val="20"/>
        </w:rPr>
        <w:t>Об’єкт,</w:t>
      </w:r>
      <w:r w:rsidRPr="000977F7">
        <w:rPr>
          <w:rFonts w:asciiTheme="majorHAnsi" w:hAnsiTheme="majorHAnsi"/>
          <w:spacing w:val="-10"/>
          <w:sz w:val="20"/>
          <w:szCs w:val="20"/>
        </w:rPr>
        <w:t xml:space="preserve"> </w:t>
      </w:r>
      <w:r w:rsidRPr="000977F7">
        <w:rPr>
          <w:rFonts w:asciiTheme="majorHAnsi" w:hAnsiTheme="majorHAnsi"/>
          <w:spacing w:val="-2"/>
          <w:sz w:val="20"/>
          <w:szCs w:val="20"/>
        </w:rPr>
        <w:t>структура</w:t>
      </w:r>
      <w:r w:rsidRPr="000977F7">
        <w:rPr>
          <w:rFonts w:asciiTheme="majorHAnsi" w:hAnsiTheme="majorHAnsi"/>
          <w:spacing w:val="-10"/>
          <w:sz w:val="20"/>
          <w:szCs w:val="20"/>
        </w:rPr>
        <w:t xml:space="preserve"> </w:t>
      </w:r>
      <w:r w:rsidRPr="000977F7">
        <w:rPr>
          <w:rFonts w:asciiTheme="majorHAnsi" w:hAnsiTheme="majorHAnsi"/>
          <w:spacing w:val="-1"/>
          <w:sz w:val="20"/>
          <w:szCs w:val="20"/>
        </w:rPr>
        <w:t>або</w:t>
      </w:r>
      <w:r w:rsidRPr="000977F7">
        <w:rPr>
          <w:rFonts w:asciiTheme="majorHAnsi" w:hAnsiTheme="majorHAnsi"/>
          <w:spacing w:val="-7"/>
          <w:sz w:val="20"/>
          <w:szCs w:val="20"/>
        </w:rPr>
        <w:t xml:space="preserve"> </w:t>
      </w:r>
      <w:r w:rsidRPr="000977F7">
        <w:rPr>
          <w:rFonts w:asciiTheme="majorHAnsi" w:hAnsiTheme="majorHAnsi"/>
          <w:spacing w:val="-1"/>
          <w:sz w:val="20"/>
          <w:szCs w:val="20"/>
        </w:rPr>
        <w:t>принаймні</w:t>
      </w:r>
      <w:r w:rsidRPr="000977F7">
        <w:rPr>
          <w:rFonts w:asciiTheme="majorHAnsi" w:hAnsiTheme="majorHAnsi"/>
          <w:spacing w:val="-11"/>
          <w:sz w:val="20"/>
          <w:szCs w:val="20"/>
        </w:rPr>
        <w:t xml:space="preserve"> </w:t>
      </w:r>
      <w:r w:rsidRPr="000977F7">
        <w:rPr>
          <w:rFonts w:asciiTheme="majorHAnsi" w:hAnsiTheme="majorHAnsi"/>
          <w:spacing w:val="-1"/>
          <w:sz w:val="20"/>
          <w:szCs w:val="20"/>
        </w:rPr>
        <w:t>один</w:t>
      </w:r>
      <w:r w:rsidRPr="000977F7">
        <w:rPr>
          <w:rFonts w:asciiTheme="majorHAnsi" w:hAnsiTheme="majorHAnsi"/>
          <w:spacing w:val="-11"/>
          <w:sz w:val="20"/>
          <w:szCs w:val="20"/>
        </w:rPr>
        <w:t xml:space="preserve"> </w:t>
      </w:r>
      <w:r w:rsidRPr="000977F7">
        <w:rPr>
          <w:rFonts w:asciiTheme="majorHAnsi" w:hAnsiTheme="majorHAnsi"/>
          <w:spacing w:val="-1"/>
          <w:sz w:val="20"/>
          <w:szCs w:val="20"/>
        </w:rPr>
        <w:t>із</w:t>
      </w:r>
      <w:r w:rsidRPr="000977F7">
        <w:rPr>
          <w:rFonts w:asciiTheme="majorHAnsi" w:hAnsiTheme="majorHAnsi"/>
          <w:spacing w:val="-8"/>
          <w:sz w:val="20"/>
          <w:szCs w:val="20"/>
        </w:rPr>
        <w:t xml:space="preserve"> </w:t>
      </w:r>
      <w:r w:rsidRPr="000977F7">
        <w:rPr>
          <w:rFonts w:asciiTheme="majorHAnsi" w:hAnsiTheme="majorHAnsi"/>
          <w:spacing w:val="-1"/>
          <w:sz w:val="20"/>
          <w:szCs w:val="20"/>
        </w:rPr>
        <w:t>параметрів</w:t>
      </w:r>
      <w:r w:rsidRPr="000977F7">
        <w:rPr>
          <w:rFonts w:asciiTheme="majorHAnsi" w:hAnsiTheme="majorHAnsi"/>
          <w:spacing w:val="-11"/>
          <w:sz w:val="20"/>
          <w:szCs w:val="20"/>
        </w:rPr>
        <w:t xml:space="preserve"> </w:t>
      </w:r>
      <w:r w:rsidRPr="000977F7">
        <w:rPr>
          <w:rFonts w:asciiTheme="majorHAnsi" w:hAnsiTheme="majorHAnsi"/>
          <w:spacing w:val="-1"/>
          <w:sz w:val="20"/>
          <w:szCs w:val="20"/>
        </w:rPr>
        <w:t>ма</w:t>
      </w:r>
      <w:r w:rsidRPr="000977F7">
        <w:rPr>
          <w:rFonts w:asciiTheme="majorHAnsi" w:hAnsiTheme="majorHAnsi"/>
          <w:spacing w:val="-4"/>
          <w:sz w:val="20"/>
          <w:szCs w:val="20"/>
        </w:rPr>
        <w:t xml:space="preserve">тематичної моделі якого можуть з часом </w:t>
      </w:r>
      <w:r w:rsidRPr="000977F7">
        <w:rPr>
          <w:rFonts w:asciiTheme="majorHAnsi" w:hAnsiTheme="majorHAnsi"/>
          <w:spacing w:val="-3"/>
          <w:sz w:val="20"/>
          <w:szCs w:val="20"/>
        </w:rPr>
        <w:t>змінюватись</w:t>
      </w:r>
    </w:p>
    <w:p w14:paraId="0B52844D"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3956 - 2000</w:t>
      </w:r>
    </w:p>
    <w:p w14:paraId="77AA3D4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1"/>
          <w:sz w:val="20"/>
          <w:szCs w:val="20"/>
        </w:rPr>
        <w:t xml:space="preserve">НЕСТАЦІОНАРНИЙ </w:t>
      </w:r>
      <w:r w:rsidRPr="000977F7">
        <w:rPr>
          <w:color w:val="auto"/>
          <w:sz w:val="20"/>
          <w:szCs w:val="20"/>
        </w:rPr>
        <w:t>ПОКАЗНИК</w:t>
      </w:r>
      <w:r w:rsidRPr="000977F7">
        <w:rPr>
          <w:color w:val="auto"/>
          <w:spacing w:val="-47"/>
          <w:sz w:val="20"/>
          <w:szCs w:val="20"/>
        </w:rPr>
        <w:t xml:space="preserve"> </w:t>
      </w:r>
      <w:r w:rsidRPr="000977F7">
        <w:rPr>
          <w:color w:val="auto"/>
          <w:sz w:val="20"/>
          <w:szCs w:val="20"/>
        </w:rPr>
        <w:t>НАДІЙНОСТІ</w:t>
      </w:r>
      <w:r w:rsidRPr="000977F7">
        <w:rPr>
          <w:color w:val="auto"/>
          <w:spacing w:val="-1"/>
          <w:sz w:val="20"/>
          <w:szCs w:val="20"/>
        </w:rPr>
        <w:t xml:space="preserve"> </w:t>
      </w:r>
      <w:r w:rsidRPr="000977F7">
        <w:rPr>
          <w:color w:val="auto"/>
          <w:sz w:val="20"/>
          <w:szCs w:val="20"/>
        </w:rPr>
        <w:t>–</w:t>
      </w:r>
    </w:p>
    <w:p w14:paraId="58FE060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ISTANTANEOUS</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DEPENDABILITY</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MEASURE –</w:t>
      </w:r>
    </w:p>
    <w:p w14:paraId="2439A1E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 змінного у часі показника надійності у заданий</w:t>
      </w:r>
      <w:r w:rsidRPr="000977F7">
        <w:rPr>
          <w:rFonts w:asciiTheme="majorHAnsi" w:hAnsiTheme="majorHAnsi"/>
          <w:spacing w:val="-2"/>
          <w:sz w:val="20"/>
          <w:szCs w:val="20"/>
        </w:rPr>
        <w:t xml:space="preserve"> </w:t>
      </w:r>
      <w:r w:rsidRPr="000977F7">
        <w:rPr>
          <w:rFonts w:asciiTheme="majorHAnsi" w:hAnsiTheme="majorHAnsi"/>
          <w:sz w:val="20"/>
          <w:szCs w:val="20"/>
        </w:rPr>
        <w:t>момент</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52048AE2"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350DEE4"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НЕСТІЙКИЙ СТАН</w:t>
      </w:r>
    </w:p>
    <w:p w14:paraId="20837BB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UNSTABLE</w:t>
      </w:r>
      <w:r w:rsidRPr="000977F7">
        <w:rPr>
          <w:rFonts w:asciiTheme="majorHAnsi" w:hAnsiTheme="majorHAnsi"/>
          <w:spacing w:val="-1"/>
          <w:sz w:val="20"/>
          <w:szCs w:val="20"/>
        </w:rPr>
        <w:t xml:space="preserve"> </w:t>
      </w:r>
      <w:r w:rsidRPr="000977F7">
        <w:rPr>
          <w:rFonts w:asciiTheme="majorHAnsi" w:hAnsiTheme="majorHAnsi"/>
          <w:sz w:val="20"/>
          <w:szCs w:val="20"/>
        </w:rPr>
        <w:t>STETE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F2CE4E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 об’єкта, зміна якого можлива тільки без подавання</w:t>
      </w:r>
      <w:r w:rsidRPr="000977F7">
        <w:rPr>
          <w:rFonts w:asciiTheme="majorHAnsi" w:hAnsiTheme="majorHAnsi"/>
          <w:spacing w:val="-2"/>
          <w:sz w:val="20"/>
          <w:szCs w:val="20"/>
        </w:rPr>
        <w:t xml:space="preserve"> </w:t>
      </w:r>
      <w:r w:rsidRPr="000977F7">
        <w:rPr>
          <w:rFonts w:asciiTheme="majorHAnsi" w:hAnsiTheme="majorHAnsi"/>
          <w:sz w:val="20"/>
          <w:szCs w:val="20"/>
        </w:rPr>
        <w:t>вхідних</w:t>
      </w:r>
      <w:r w:rsidRPr="000977F7">
        <w:rPr>
          <w:rFonts w:asciiTheme="majorHAnsi" w:hAnsiTheme="majorHAnsi"/>
          <w:spacing w:val="-1"/>
          <w:sz w:val="20"/>
          <w:szCs w:val="20"/>
        </w:rPr>
        <w:t xml:space="preserve"> </w:t>
      </w:r>
      <w:r w:rsidRPr="000977F7">
        <w:rPr>
          <w:rFonts w:asciiTheme="majorHAnsi" w:hAnsiTheme="majorHAnsi"/>
          <w:sz w:val="20"/>
          <w:szCs w:val="20"/>
        </w:rPr>
        <w:t>діянь</w:t>
      </w:r>
    </w:p>
    <w:p w14:paraId="285572B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3956 - 2000</w:t>
      </w:r>
    </w:p>
    <w:p w14:paraId="711DB9F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НЕТАРИФНЕ</w:t>
      </w:r>
      <w:r w:rsidRPr="000977F7">
        <w:rPr>
          <w:color w:val="auto"/>
          <w:spacing w:val="-4"/>
          <w:sz w:val="20"/>
          <w:szCs w:val="20"/>
        </w:rPr>
        <w:t xml:space="preserve"> </w:t>
      </w:r>
      <w:r w:rsidRPr="000977F7">
        <w:rPr>
          <w:color w:val="auto"/>
          <w:sz w:val="20"/>
          <w:szCs w:val="20"/>
        </w:rPr>
        <w:t>ОБМЕЖЕННЯ –</w:t>
      </w:r>
    </w:p>
    <w:p w14:paraId="1C73B4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заходів захисту внутрішнього ринку від іноземної конкуренції поза сферою митно тарифної політики</w:t>
      </w:r>
    </w:p>
    <w:p w14:paraId="1DE77EE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 – 95</w:t>
      </w:r>
    </w:p>
    <w:p w14:paraId="54FC623F"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bookmarkStart w:id="150" w:name="_Hlk103262730"/>
      <w:r w:rsidRPr="000977F7">
        <w:rPr>
          <w:rFonts w:asciiTheme="majorHAnsi" w:hAnsiTheme="majorHAnsi"/>
          <w:b/>
          <w:sz w:val="20"/>
          <w:szCs w:val="20"/>
        </w:rPr>
        <w:t>НЕУПЕРЕДЖЕНІСТЬ –</w:t>
      </w:r>
    </w:p>
    <w:p w14:paraId="7151EE2A"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sz w:val="20"/>
          <w:szCs w:val="20"/>
        </w:rPr>
        <w:t>IMPARTIALITY -</w:t>
      </w:r>
    </w:p>
    <w:bookmarkEnd w:id="150"/>
    <w:p w14:paraId="6F2AB4F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Наявність об’єктивності. </w:t>
      </w:r>
    </w:p>
    <w:p w14:paraId="546C9323"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ДСТУ EN ISO/IEC 17020:2019</w:t>
      </w:r>
    </w:p>
    <w:p w14:paraId="64557CD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Наявність об’єктивності. </w:t>
      </w:r>
    </w:p>
    <w:p w14:paraId="3EA3C0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Об’єктивність означає відсутність конфліктів інтересів або розв’язання їх у такий спосіб, який не впливає негативно на подальшу діяльність лабораторії.</w:t>
      </w:r>
    </w:p>
    <w:p w14:paraId="2B2CA54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2. Іншими корисними термінами, що характеризують неупередженість, є: «відсутність конфлікту інтересів», «відсутність необ’єктивності», «відсутність упередженості», «нейтральність», «чесність», «відкритість», «об’єктивність», «відстороненість», «збалансованість»</w:t>
      </w:r>
    </w:p>
    <w:p w14:paraId="6ACE6212"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bookmarkStart w:id="151" w:name="_Hlk103264627"/>
      <w:r w:rsidRPr="000977F7">
        <w:rPr>
          <w:rFonts w:asciiTheme="majorHAnsi" w:hAnsiTheme="majorHAnsi"/>
          <w:i/>
          <w:iCs/>
          <w:sz w:val="20"/>
          <w:szCs w:val="20"/>
        </w:rPr>
        <w:t>ДСТУ EN ISO/IEC 17025:2019</w:t>
      </w:r>
    </w:p>
    <w:p w14:paraId="0A954A59"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Style w:val="52"/>
          <w:rFonts w:asciiTheme="majorHAnsi" w:hAnsiTheme="majorHAnsi"/>
          <w:b w:val="0"/>
          <w:bCs w:val="0"/>
          <w:sz w:val="20"/>
          <w:szCs w:val="20"/>
          <w:lang w:eastAsia="uk-UA"/>
        </w:rPr>
        <w:t>ПРИМІТКА 1 Об’єктивність означає відсутність конфліктів інтересів або розв’язання їх у такий спосіб, який не впливає негативно на подальшу діяльність органу з сертифікації.</w:t>
      </w:r>
    </w:p>
    <w:p w14:paraId="1C51EAE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2 Іншими корисними термінами, що характеризують неупередженість, є: незалежність, звільненість від конфлікту інтересів, звільненість від упередженої думки, відсутність упередженості, нейтральність, чесність, широта поглядів, безпристрасність, відособленість, урівноваженість</w:t>
      </w:r>
    </w:p>
    <w:p w14:paraId="0DADB76D"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ISO/IEC 17021-1:2015</w:t>
      </w:r>
    </w:p>
    <w:p w14:paraId="5C628EB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w:t>
      </w:r>
      <w:r w:rsidRPr="000977F7">
        <w:rPr>
          <w:rFonts w:asciiTheme="majorHAnsi" w:hAnsiTheme="majorHAnsi"/>
          <w:i/>
          <w:iCs/>
          <w:sz w:val="20"/>
          <w:szCs w:val="20"/>
        </w:rPr>
        <w:t xml:space="preserve">. </w:t>
      </w:r>
      <w:r w:rsidRPr="000977F7">
        <w:rPr>
          <w:rFonts w:asciiTheme="majorHAnsi" w:hAnsiTheme="majorHAnsi"/>
          <w:sz w:val="20"/>
          <w:szCs w:val="20"/>
        </w:rPr>
        <w:t>Об'єктивність розуміється таким чином</w:t>
      </w:r>
      <w:r w:rsidRPr="000977F7">
        <w:rPr>
          <w:rFonts w:asciiTheme="majorHAnsi" w:hAnsiTheme="majorHAnsi"/>
          <w:b/>
          <w:sz w:val="20"/>
          <w:szCs w:val="20"/>
        </w:rPr>
        <w:t xml:space="preserve">, </w:t>
      </w:r>
      <w:r w:rsidRPr="000977F7">
        <w:rPr>
          <w:rFonts w:asciiTheme="majorHAnsi" w:hAnsiTheme="majorHAnsi"/>
          <w:sz w:val="20"/>
          <w:szCs w:val="20"/>
        </w:rPr>
        <w:t>що конфлікти інтересів відсутні або вирішуються, щоб не впливати на діяльність органу.</w:t>
      </w:r>
    </w:p>
    <w:p w14:paraId="4C09CC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Примітка 2.  Інші терміни, які використовуються для визначення елементів неупередженості, це  незалежність, свобода від конфліктів інтересів, свобода від пристрастей, свобода від забобонів, </w:t>
      </w:r>
      <w:r w:rsidRPr="000977F7">
        <w:rPr>
          <w:rFonts w:asciiTheme="majorHAnsi" w:hAnsiTheme="majorHAnsi"/>
          <w:sz w:val="20"/>
          <w:szCs w:val="20"/>
        </w:rPr>
        <w:lastRenderedPageBreak/>
        <w:t>нейтралітет, чесність, широта поглядів, справедливість, незалежність суджень і баланс.</w:t>
      </w:r>
    </w:p>
    <w:p w14:paraId="2EEC0344"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ISO/IEC 17065:2019</w:t>
      </w:r>
    </w:p>
    <w:bookmarkEnd w:id="151"/>
    <w:p w14:paraId="2F4624C4"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sz w:val="20"/>
          <w:szCs w:val="20"/>
        </w:rPr>
        <w:t>НЕУРИВЧАСТЕ</w:t>
      </w:r>
      <w:r w:rsidRPr="000977F7">
        <w:rPr>
          <w:rFonts w:asciiTheme="majorHAnsi" w:hAnsiTheme="majorHAnsi"/>
          <w:b/>
          <w:bCs/>
          <w:spacing w:val="-5"/>
          <w:sz w:val="20"/>
          <w:szCs w:val="20"/>
        </w:rPr>
        <w:t xml:space="preserve"> </w:t>
      </w:r>
      <w:r w:rsidRPr="000977F7">
        <w:rPr>
          <w:rFonts w:asciiTheme="majorHAnsi" w:hAnsiTheme="majorHAnsi"/>
          <w:b/>
          <w:bCs/>
          <w:sz w:val="20"/>
          <w:szCs w:val="20"/>
        </w:rPr>
        <w:t>ДІЯННЯ</w:t>
      </w:r>
      <w:r w:rsidRPr="000977F7">
        <w:rPr>
          <w:rFonts w:asciiTheme="majorHAnsi" w:hAnsiTheme="majorHAnsi"/>
          <w:b/>
          <w:bCs/>
          <w:spacing w:val="2"/>
          <w:sz w:val="20"/>
          <w:szCs w:val="20"/>
        </w:rPr>
        <w:t xml:space="preserve"> </w:t>
      </w:r>
      <w:r w:rsidRPr="000977F7">
        <w:rPr>
          <w:rFonts w:asciiTheme="majorHAnsi" w:hAnsiTheme="majorHAnsi"/>
          <w:b/>
          <w:bCs/>
          <w:sz w:val="20"/>
          <w:szCs w:val="20"/>
        </w:rPr>
        <w:t>-</w:t>
      </w:r>
    </w:p>
    <w:p w14:paraId="30FD3D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NON-INTERRUPTED</w:t>
      </w:r>
      <w:r w:rsidRPr="000977F7">
        <w:rPr>
          <w:rFonts w:asciiTheme="majorHAnsi" w:hAnsiTheme="majorHAnsi"/>
          <w:spacing w:val="-3"/>
          <w:sz w:val="20"/>
          <w:szCs w:val="20"/>
        </w:rPr>
        <w:t xml:space="preserve"> </w:t>
      </w:r>
      <w:r w:rsidRPr="000977F7">
        <w:rPr>
          <w:rFonts w:asciiTheme="majorHAnsi" w:hAnsiTheme="majorHAnsi"/>
          <w:sz w:val="20"/>
          <w:szCs w:val="20"/>
        </w:rPr>
        <w:t>ACTION -</w:t>
      </w:r>
    </w:p>
    <w:p w14:paraId="7E314B4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Діяння, ознаки і параметри якого визначені в будь який</w:t>
      </w:r>
      <w:r w:rsidRPr="000977F7">
        <w:rPr>
          <w:rFonts w:asciiTheme="majorHAnsi" w:hAnsiTheme="majorHAnsi"/>
          <w:spacing w:val="-2"/>
          <w:sz w:val="20"/>
          <w:szCs w:val="20"/>
        </w:rPr>
        <w:t xml:space="preserve"> </w:t>
      </w:r>
      <w:r w:rsidRPr="000977F7">
        <w:rPr>
          <w:rFonts w:asciiTheme="majorHAnsi" w:hAnsiTheme="majorHAnsi"/>
          <w:sz w:val="20"/>
          <w:szCs w:val="20"/>
        </w:rPr>
        <w:t>момент</w:t>
      </w:r>
      <w:r w:rsidRPr="000977F7">
        <w:rPr>
          <w:rFonts w:asciiTheme="majorHAnsi" w:hAnsiTheme="majorHAnsi"/>
          <w:spacing w:val="-1"/>
          <w:sz w:val="20"/>
          <w:szCs w:val="20"/>
        </w:rPr>
        <w:t xml:space="preserve"> </w:t>
      </w:r>
      <w:r w:rsidRPr="000977F7">
        <w:rPr>
          <w:rFonts w:asciiTheme="majorHAnsi" w:hAnsiTheme="majorHAnsi"/>
          <w:sz w:val="20"/>
          <w:szCs w:val="20"/>
        </w:rPr>
        <w:t>розглядуваного проміжку</w:t>
      </w:r>
      <w:r w:rsidRPr="000977F7">
        <w:rPr>
          <w:rFonts w:asciiTheme="majorHAnsi" w:hAnsiTheme="majorHAnsi"/>
          <w:spacing w:val="-4"/>
          <w:sz w:val="20"/>
          <w:szCs w:val="20"/>
        </w:rPr>
        <w:t xml:space="preserve"> </w:t>
      </w:r>
      <w:r w:rsidRPr="000977F7">
        <w:rPr>
          <w:rFonts w:asciiTheme="majorHAnsi" w:hAnsiTheme="majorHAnsi"/>
          <w:sz w:val="20"/>
          <w:szCs w:val="20"/>
        </w:rPr>
        <w:t>часу</w:t>
      </w:r>
    </w:p>
    <w:p w14:paraId="4422F40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3956 - 2000</w:t>
      </w:r>
    </w:p>
    <w:p w14:paraId="0BF8CB20"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НЕУРИВЧАТИЙ</w:t>
      </w:r>
      <w:r w:rsidRPr="004D2D14">
        <w:rPr>
          <w:rFonts w:asciiTheme="majorHAnsi" w:hAnsiTheme="majorHAnsi"/>
          <w:b/>
          <w:sz w:val="20"/>
          <w:szCs w:val="20"/>
          <w:lang w:val="en-US"/>
        </w:rPr>
        <w:t xml:space="preserve"> </w:t>
      </w:r>
      <w:r w:rsidRPr="000977F7">
        <w:rPr>
          <w:rFonts w:asciiTheme="majorHAnsi" w:hAnsiTheme="majorHAnsi"/>
          <w:b/>
          <w:sz w:val="20"/>
          <w:szCs w:val="20"/>
        </w:rPr>
        <w:t>СИГНАЛ</w:t>
      </w:r>
      <w:r w:rsidRPr="004D2D14">
        <w:rPr>
          <w:rFonts w:asciiTheme="majorHAnsi" w:hAnsiTheme="majorHAnsi"/>
          <w:b/>
          <w:sz w:val="20"/>
          <w:szCs w:val="20"/>
          <w:lang w:val="en-US"/>
        </w:rPr>
        <w:t xml:space="preserve"> </w:t>
      </w:r>
      <w:r w:rsidRPr="004D2D14">
        <w:rPr>
          <w:rFonts w:asciiTheme="majorHAnsi" w:hAnsiTheme="majorHAnsi"/>
          <w:sz w:val="20"/>
          <w:szCs w:val="20"/>
          <w:lang w:val="en-US"/>
        </w:rPr>
        <w:t>NON-INTERRUPTED</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SIGNAL</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w:t>
      </w:r>
    </w:p>
    <w:p w14:paraId="6295338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 інформативна ознака або параметр якого визначені</w:t>
      </w:r>
      <w:r w:rsidRPr="000977F7">
        <w:rPr>
          <w:rFonts w:asciiTheme="majorHAnsi" w:hAnsiTheme="majorHAnsi"/>
          <w:spacing w:val="-2"/>
          <w:sz w:val="20"/>
          <w:szCs w:val="20"/>
        </w:rPr>
        <w:t xml:space="preserve"> </w:t>
      </w:r>
      <w:r w:rsidRPr="000977F7">
        <w:rPr>
          <w:rFonts w:asciiTheme="majorHAnsi" w:hAnsiTheme="majorHAnsi"/>
          <w:sz w:val="20"/>
          <w:szCs w:val="20"/>
        </w:rPr>
        <w:t>тільки для</w:t>
      </w:r>
      <w:r w:rsidRPr="000977F7">
        <w:rPr>
          <w:rFonts w:asciiTheme="majorHAnsi" w:hAnsiTheme="majorHAnsi"/>
          <w:spacing w:val="2"/>
          <w:sz w:val="20"/>
          <w:szCs w:val="20"/>
        </w:rPr>
        <w:t xml:space="preserve"> </w:t>
      </w:r>
      <w:r w:rsidRPr="000977F7">
        <w:rPr>
          <w:rFonts w:asciiTheme="majorHAnsi" w:hAnsiTheme="majorHAnsi"/>
          <w:sz w:val="20"/>
          <w:szCs w:val="20"/>
        </w:rPr>
        <w:t>деяких</w:t>
      </w:r>
      <w:r w:rsidRPr="000977F7">
        <w:rPr>
          <w:rFonts w:asciiTheme="majorHAnsi" w:hAnsiTheme="majorHAnsi"/>
          <w:spacing w:val="-2"/>
          <w:sz w:val="20"/>
          <w:szCs w:val="20"/>
        </w:rPr>
        <w:t xml:space="preserve"> </w:t>
      </w:r>
      <w:r w:rsidRPr="000977F7">
        <w:rPr>
          <w:rFonts w:asciiTheme="majorHAnsi" w:hAnsiTheme="majorHAnsi"/>
          <w:sz w:val="20"/>
          <w:szCs w:val="20"/>
        </w:rPr>
        <w:t>інтервалів</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10E6EF5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06792EB5"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НЕУСУВАНИЙ</w:t>
      </w:r>
      <w:r w:rsidRPr="000977F7">
        <w:rPr>
          <w:color w:val="auto"/>
          <w:spacing w:val="-3"/>
          <w:sz w:val="20"/>
          <w:szCs w:val="20"/>
        </w:rPr>
        <w:t xml:space="preserve"> </w:t>
      </w:r>
      <w:r w:rsidRPr="000977F7">
        <w:rPr>
          <w:color w:val="auto"/>
          <w:sz w:val="20"/>
          <w:szCs w:val="20"/>
        </w:rPr>
        <w:t xml:space="preserve">ДЕФЕКТ </w:t>
      </w:r>
      <w:r w:rsidRPr="000977F7">
        <w:rPr>
          <w:b w:val="0"/>
          <w:color w:val="auto"/>
          <w:sz w:val="20"/>
          <w:szCs w:val="20"/>
        </w:rPr>
        <w:t>–</w:t>
      </w:r>
    </w:p>
    <w:p w14:paraId="7201958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Дефект, усунення якого технічно неможливе або економічно</w:t>
      </w:r>
      <w:r w:rsidRPr="000977F7">
        <w:rPr>
          <w:rFonts w:asciiTheme="majorHAnsi" w:hAnsiTheme="majorHAnsi"/>
          <w:spacing w:val="-1"/>
          <w:sz w:val="20"/>
          <w:szCs w:val="20"/>
        </w:rPr>
        <w:t xml:space="preserve"> </w:t>
      </w:r>
      <w:r w:rsidRPr="000977F7">
        <w:rPr>
          <w:rFonts w:asciiTheme="majorHAnsi" w:hAnsiTheme="majorHAnsi"/>
          <w:sz w:val="20"/>
          <w:szCs w:val="20"/>
        </w:rPr>
        <w:t>недоцільне</w:t>
      </w:r>
    </w:p>
    <w:p w14:paraId="41D1D8E5" w14:textId="77777777" w:rsidR="0097612F" w:rsidRPr="004D2D14" w:rsidRDefault="0097612F" w:rsidP="000977F7">
      <w:pPr>
        <w:tabs>
          <w:tab w:val="left" w:pos="284"/>
        </w:tabs>
        <w:spacing w:after="0" w:line="240" w:lineRule="auto"/>
        <w:ind w:left="170"/>
        <w:mirrorIndents/>
        <w:jc w:val="both"/>
        <w:rPr>
          <w:rFonts w:asciiTheme="majorHAnsi" w:hAnsiTheme="majorHAnsi"/>
          <w:spacing w:val="-47"/>
          <w:sz w:val="20"/>
          <w:szCs w:val="20"/>
          <w:lang w:val="en-US"/>
        </w:rPr>
      </w:pPr>
      <w:r w:rsidRPr="000977F7">
        <w:rPr>
          <w:rFonts w:asciiTheme="majorHAnsi" w:hAnsiTheme="majorHAnsi"/>
          <w:b/>
          <w:sz w:val="20"/>
          <w:szCs w:val="20"/>
        </w:rPr>
        <w:t>НЕХАРАКТЕРНА</w:t>
      </w:r>
      <w:r w:rsidRPr="004D2D14">
        <w:rPr>
          <w:rFonts w:asciiTheme="majorHAnsi" w:hAnsiTheme="majorHAnsi"/>
          <w:b/>
          <w:sz w:val="20"/>
          <w:szCs w:val="20"/>
          <w:lang w:val="en-US"/>
        </w:rPr>
        <w:t xml:space="preserve"> </w:t>
      </w:r>
      <w:r w:rsidRPr="000977F7">
        <w:rPr>
          <w:rFonts w:asciiTheme="majorHAnsi" w:hAnsiTheme="majorHAnsi"/>
          <w:b/>
          <w:sz w:val="20"/>
          <w:szCs w:val="20"/>
        </w:rPr>
        <w:t>ВІДМОВА</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p>
    <w:p w14:paraId="2A7AB16B"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NON-RELEVANT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3FF522B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w:t>
      </w:r>
      <w:r w:rsidRPr="000977F7">
        <w:rPr>
          <w:rFonts w:asciiTheme="majorHAnsi" w:hAnsiTheme="majorHAnsi"/>
          <w:spacing w:val="1"/>
          <w:sz w:val="20"/>
          <w:szCs w:val="20"/>
        </w:rPr>
        <w:t xml:space="preserve"> </w:t>
      </w:r>
      <w:r w:rsidRPr="000977F7">
        <w:rPr>
          <w:rFonts w:asciiTheme="majorHAnsi" w:hAnsiTheme="majorHAnsi"/>
          <w:sz w:val="20"/>
          <w:szCs w:val="20"/>
        </w:rPr>
        <w:t>яку не</w:t>
      </w:r>
      <w:r w:rsidRPr="000977F7">
        <w:rPr>
          <w:rFonts w:asciiTheme="majorHAnsi" w:hAnsiTheme="majorHAnsi"/>
          <w:spacing w:val="1"/>
          <w:sz w:val="20"/>
          <w:szCs w:val="20"/>
        </w:rPr>
        <w:t xml:space="preserve"> </w:t>
      </w:r>
      <w:r w:rsidRPr="000977F7">
        <w:rPr>
          <w:rFonts w:asciiTheme="majorHAnsi" w:hAnsiTheme="majorHAnsi"/>
          <w:sz w:val="20"/>
          <w:szCs w:val="20"/>
        </w:rPr>
        <w:t>слід враховувати при інтерпретації</w:t>
      </w:r>
      <w:r w:rsidRPr="000977F7">
        <w:rPr>
          <w:rFonts w:asciiTheme="majorHAnsi" w:hAnsiTheme="majorHAnsi"/>
          <w:spacing w:val="1"/>
          <w:sz w:val="20"/>
          <w:szCs w:val="20"/>
        </w:rPr>
        <w:t xml:space="preserve"> </w:t>
      </w:r>
      <w:r w:rsidRPr="000977F7">
        <w:rPr>
          <w:rFonts w:asciiTheme="majorHAnsi" w:hAnsiTheme="majorHAnsi"/>
          <w:sz w:val="20"/>
          <w:szCs w:val="20"/>
        </w:rPr>
        <w:t>результатів випробувань або при розрахунках значення</w:t>
      </w:r>
      <w:r w:rsidRPr="000977F7">
        <w:rPr>
          <w:rFonts w:asciiTheme="majorHAnsi" w:hAnsiTheme="majorHAnsi"/>
          <w:spacing w:val="-2"/>
          <w:sz w:val="20"/>
          <w:szCs w:val="20"/>
        </w:rPr>
        <w:t xml:space="preserve"> </w:t>
      </w:r>
      <w:r w:rsidRPr="000977F7">
        <w:rPr>
          <w:rFonts w:asciiTheme="majorHAnsi" w:hAnsiTheme="majorHAnsi"/>
          <w:sz w:val="20"/>
          <w:szCs w:val="20"/>
        </w:rPr>
        <w:t>показника</w:t>
      </w:r>
      <w:r w:rsidRPr="000977F7">
        <w:rPr>
          <w:rFonts w:asciiTheme="majorHAnsi" w:hAnsiTheme="majorHAnsi"/>
          <w:spacing w:val="3"/>
          <w:sz w:val="20"/>
          <w:szCs w:val="20"/>
        </w:rPr>
        <w:t xml:space="preserve"> </w:t>
      </w:r>
      <w:r w:rsidRPr="000977F7">
        <w:rPr>
          <w:rFonts w:asciiTheme="majorHAnsi" w:hAnsiTheme="majorHAnsi"/>
          <w:sz w:val="20"/>
          <w:szCs w:val="20"/>
        </w:rPr>
        <w:t>надійності</w:t>
      </w:r>
    </w:p>
    <w:p w14:paraId="3A42E12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2C4D1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Повинні</w:t>
      </w:r>
      <w:r w:rsidRPr="000977F7">
        <w:rPr>
          <w:rFonts w:asciiTheme="majorHAnsi" w:hAnsiTheme="majorHAnsi"/>
          <w:spacing w:val="-4"/>
          <w:sz w:val="20"/>
          <w:szCs w:val="20"/>
        </w:rPr>
        <w:t xml:space="preserve"> </w:t>
      </w:r>
      <w:r w:rsidRPr="000977F7">
        <w:rPr>
          <w:rFonts w:asciiTheme="majorHAnsi" w:hAnsiTheme="majorHAnsi"/>
          <w:sz w:val="20"/>
          <w:szCs w:val="20"/>
        </w:rPr>
        <w:t>бути</w:t>
      </w:r>
      <w:r w:rsidRPr="000977F7">
        <w:rPr>
          <w:rFonts w:asciiTheme="majorHAnsi" w:hAnsiTheme="majorHAnsi"/>
          <w:spacing w:val="-4"/>
          <w:sz w:val="20"/>
          <w:szCs w:val="20"/>
        </w:rPr>
        <w:t xml:space="preserve"> </w:t>
      </w:r>
      <w:r w:rsidRPr="000977F7">
        <w:rPr>
          <w:rFonts w:asciiTheme="majorHAnsi" w:hAnsiTheme="majorHAnsi"/>
          <w:sz w:val="20"/>
          <w:szCs w:val="20"/>
        </w:rPr>
        <w:t>визначені</w:t>
      </w:r>
      <w:r w:rsidRPr="000977F7">
        <w:rPr>
          <w:rFonts w:asciiTheme="majorHAnsi" w:hAnsiTheme="majorHAnsi"/>
          <w:spacing w:val="-4"/>
          <w:sz w:val="20"/>
          <w:szCs w:val="20"/>
        </w:rPr>
        <w:t xml:space="preserve"> </w:t>
      </w:r>
      <w:r w:rsidRPr="000977F7">
        <w:rPr>
          <w:rFonts w:asciiTheme="majorHAnsi" w:hAnsiTheme="majorHAnsi"/>
          <w:sz w:val="20"/>
          <w:szCs w:val="20"/>
        </w:rPr>
        <w:t>критерії</w:t>
      </w:r>
      <w:r w:rsidRPr="000977F7">
        <w:rPr>
          <w:rFonts w:asciiTheme="majorHAnsi" w:hAnsiTheme="majorHAnsi"/>
          <w:spacing w:val="-4"/>
          <w:sz w:val="20"/>
          <w:szCs w:val="20"/>
        </w:rPr>
        <w:t xml:space="preserve"> </w:t>
      </w:r>
      <w:r w:rsidRPr="000977F7">
        <w:rPr>
          <w:rFonts w:asciiTheme="majorHAnsi" w:hAnsiTheme="majorHAnsi"/>
          <w:sz w:val="20"/>
          <w:szCs w:val="20"/>
        </w:rPr>
        <w:t>відмов</w:t>
      </w:r>
    </w:p>
    <w:p w14:paraId="43AD271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НЕЦИЛІНДРИЧНІСТЬ</w:t>
      </w:r>
      <w:r w:rsidRPr="000977F7">
        <w:rPr>
          <w:color w:val="auto"/>
          <w:spacing w:val="-3"/>
          <w:sz w:val="20"/>
          <w:szCs w:val="20"/>
        </w:rPr>
        <w:t xml:space="preserve"> </w:t>
      </w:r>
      <w:r w:rsidRPr="000977F7">
        <w:rPr>
          <w:color w:val="auto"/>
          <w:sz w:val="20"/>
          <w:szCs w:val="20"/>
        </w:rPr>
        <w:t>-</w:t>
      </w:r>
    </w:p>
    <w:p w14:paraId="64C0F172"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Відхилення</w:t>
      </w:r>
      <w:r w:rsidRPr="000977F7">
        <w:rPr>
          <w:rFonts w:asciiTheme="majorHAnsi" w:hAnsiTheme="majorHAnsi"/>
          <w:spacing w:val="26"/>
          <w:sz w:val="20"/>
          <w:szCs w:val="20"/>
        </w:rPr>
        <w:t xml:space="preserve"> </w:t>
      </w:r>
      <w:r w:rsidRPr="000977F7">
        <w:rPr>
          <w:rFonts w:asciiTheme="majorHAnsi" w:hAnsiTheme="majorHAnsi"/>
          <w:sz w:val="20"/>
          <w:szCs w:val="20"/>
        </w:rPr>
        <w:t>від</w:t>
      </w:r>
      <w:r w:rsidRPr="000977F7">
        <w:rPr>
          <w:rFonts w:asciiTheme="majorHAnsi" w:hAnsiTheme="majorHAnsi"/>
          <w:spacing w:val="26"/>
          <w:sz w:val="20"/>
          <w:szCs w:val="20"/>
        </w:rPr>
        <w:t xml:space="preserve"> </w:t>
      </w:r>
      <w:r w:rsidRPr="000977F7">
        <w:rPr>
          <w:rFonts w:asciiTheme="majorHAnsi" w:hAnsiTheme="majorHAnsi"/>
          <w:sz w:val="20"/>
          <w:szCs w:val="20"/>
        </w:rPr>
        <w:t>циліндричності,</w:t>
      </w:r>
      <w:r w:rsidRPr="000977F7">
        <w:rPr>
          <w:rFonts w:asciiTheme="majorHAnsi" w:hAnsiTheme="majorHAnsi"/>
          <w:spacing w:val="28"/>
          <w:sz w:val="20"/>
          <w:szCs w:val="20"/>
        </w:rPr>
        <w:t xml:space="preserve"> </w:t>
      </w:r>
      <w:r w:rsidRPr="000977F7">
        <w:rPr>
          <w:rFonts w:asciiTheme="majorHAnsi" w:hAnsiTheme="majorHAnsi"/>
          <w:sz w:val="20"/>
          <w:szCs w:val="20"/>
        </w:rPr>
        <w:t>яке</w:t>
      </w:r>
      <w:r w:rsidRPr="000977F7">
        <w:rPr>
          <w:rFonts w:asciiTheme="majorHAnsi" w:hAnsiTheme="majorHAnsi"/>
          <w:spacing w:val="27"/>
          <w:sz w:val="20"/>
          <w:szCs w:val="20"/>
        </w:rPr>
        <w:t xml:space="preserve"> </w:t>
      </w:r>
      <w:r w:rsidRPr="000977F7">
        <w:rPr>
          <w:rFonts w:asciiTheme="majorHAnsi" w:hAnsiTheme="majorHAnsi"/>
          <w:sz w:val="20"/>
          <w:szCs w:val="20"/>
        </w:rPr>
        <w:t>визначається</w:t>
      </w:r>
      <w:r w:rsidRPr="000977F7">
        <w:rPr>
          <w:rFonts w:asciiTheme="majorHAnsi" w:hAnsiTheme="majorHAnsi"/>
          <w:spacing w:val="6"/>
          <w:sz w:val="20"/>
          <w:szCs w:val="20"/>
        </w:rPr>
        <w:t xml:space="preserve"> </w:t>
      </w:r>
      <w:r w:rsidRPr="000977F7">
        <w:rPr>
          <w:rFonts w:asciiTheme="majorHAnsi" w:hAnsiTheme="majorHAnsi"/>
          <w:sz w:val="20"/>
          <w:szCs w:val="20"/>
        </w:rPr>
        <w:t>як</w:t>
      </w:r>
      <w:r w:rsidRPr="000977F7">
        <w:rPr>
          <w:rFonts w:asciiTheme="majorHAnsi" w:hAnsiTheme="majorHAnsi"/>
          <w:spacing w:val="-47"/>
          <w:sz w:val="20"/>
          <w:szCs w:val="20"/>
        </w:rPr>
        <w:t xml:space="preserve"> </w:t>
      </w:r>
      <w:r w:rsidRPr="000977F7">
        <w:rPr>
          <w:rFonts w:asciiTheme="majorHAnsi" w:hAnsiTheme="majorHAnsi"/>
          <w:sz w:val="20"/>
          <w:szCs w:val="20"/>
        </w:rPr>
        <w:t>найбільша</w:t>
      </w:r>
      <w:r w:rsidRPr="000977F7">
        <w:rPr>
          <w:rFonts w:asciiTheme="majorHAnsi" w:hAnsiTheme="majorHAnsi"/>
          <w:spacing w:val="5"/>
          <w:sz w:val="20"/>
          <w:szCs w:val="20"/>
        </w:rPr>
        <w:t xml:space="preserve"> </w:t>
      </w:r>
      <w:r w:rsidRPr="000977F7">
        <w:rPr>
          <w:rFonts w:asciiTheme="majorHAnsi" w:hAnsiTheme="majorHAnsi"/>
          <w:sz w:val="20"/>
          <w:szCs w:val="20"/>
        </w:rPr>
        <w:t>відстань</w:t>
      </w:r>
      <w:r w:rsidRPr="000977F7">
        <w:rPr>
          <w:rFonts w:asciiTheme="majorHAnsi" w:hAnsiTheme="majorHAnsi"/>
          <w:spacing w:val="7"/>
          <w:sz w:val="20"/>
          <w:szCs w:val="20"/>
        </w:rPr>
        <w:t xml:space="preserve"> </w:t>
      </w:r>
      <w:r w:rsidRPr="000977F7">
        <w:rPr>
          <w:rFonts w:asciiTheme="majorHAnsi" w:hAnsiTheme="majorHAnsi"/>
          <w:sz w:val="20"/>
          <w:szCs w:val="20"/>
        </w:rPr>
        <w:t>від</w:t>
      </w:r>
      <w:r w:rsidRPr="000977F7">
        <w:rPr>
          <w:rFonts w:asciiTheme="majorHAnsi" w:hAnsiTheme="majorHAnsi"/>
          <w:spacing w:val="6"/>
          <w:sz w:val="20"/>
          <w:szCs w:val="20"/>
        </w:rPr>
        <w:t xml:space="preserve"> </w:t>
      </w:r>
      <w:r w:rsidRPr="000977F7">
        <w:rPr>
          <w:rFonts w:asciiTheme="majorHAnsi" w:hAnsiTheme="majorHAnsi"/>
          <w:sz w:val="20"/>
          <w:szCs w:val="20"/>
        </w:rPr>
        <w:t>точок</w:t>
      </w:r>
      <w:r w:rsidRPr="000977F7">
        <w:rPr>
          <w:rFonts w:asciiTheme="majorHAnsi" w:hAnsiTheme="majorHAnsi"/>
          <w:spacing w:val="4"/>
          <w:sz w:val="20"/>
          <w:szCs w:val="20"/>
        </w:rPr>
        <w:t xml:space="preserve"> </w:t>
      </w:r>
      <w:r w:rsidRPr="000977F7">
        <w:rPr>
          <w:rFonts w:asciiTheme="majorHAnsi" w:hAnsiTheme="majorHAnsi"/>
          <w:sz w:val="20"/>
          <w:szCs w:val="20"/>
        </w:rPr>
        <w:t>реальної</w:t>
      </w:r>
      <w:r w:rsidRPr="000977F7">
        <w:rPr>
          <w:rFonts w:asciiTheme="majorHAnsi" w:hAnsiTheme="majorHAnsi"/>
          <w:spacing w:val="4"/>
          <w:sz w:val="20"/>
          <w:szCs w:val="20"/>
        </w:rPr>
        <w:t xml:space="preserve"> </w:t>
      </w:r>
      <w:r w:rsidRPr="000977F7">
        <w:rPr>
          <w:rFonts w:asciiTheme="majorHAnsi" w:hAnsiTheme="majorHAnsi"/>
          <w:sz w:val="20"/>
          <w:szCs w:val="20"/>
        </w:rPr>
        <w:t>поверхні</w:t>
      </w:r>
      <w:r w:rsidRPr="000977F7">
        <w:rPr>
          <w:rFonts w:asciiTheme="majorHAnsi" w:hAnsiTheme="majorHAnsi"/>
          <w:spacing w:val="4"/>
          <w:sz w:val="20"/>
          <w:szCs w:val="20"/>
        </w:rPr>
        <w:t xml:space="preserve"> </w:t>
      </w:r>
      <w:r w:rsidRPr="000977F7">
        <w:rPr>
          <w:rFonts w:asciiTheme="majorHAnsi" w:hAnsiTheme="majorHAnsi"/>
          <w:sz w:val="20"/>
          <w:szCs w:val="20"/>
        </w:rPr>
        <w:t>до</w:t>
      </w:r>
      <w:r w:rsidRPr="000977F7">
        <w:rPr>
          <w:rFonts w:asciiTheme="majorHAnsi" w:hAnsiTheme="majorHAnsi"/>
          <w:spacing w:val="-47"/>
          <w:sz w:val="20"/>
          <w:szCs w:val="20"/>
        </w:rPr>
        <w:t xml:space="preserve"> </w:t>
      </w:r>
      <w:r w:rsidRPr="000977F7">
        <w:rPr>
          <w:rFonts w:asciiTheme="majorHAnsi" w:hAnsiTheme="majorHAnsi"/>
          <w:sz w:val="20"/>
          <w:szCs w:val="20"/>
        </w:rPr>
        <w:t>прилягаючого циліндра в межах нормованої ділянки</w:t>
      </w:r>
      <w:r w:rsidRPr="000977F7">
        <w:rPr>
          <w:rFonts w:asciiTheme="majorHAnsi" w:hAnsiTheme="majorHAnsi"/>
          <w:spacing w:val="1"/>
          <w:sz w:val="20"/>
          <w:szCs w:val="20"/>
        </w:rPr>
        <w:t xml:space="preserve"> </w:t>
      </w:r>
    </w:p>
    <w:p w14:paraId="58FB91AE"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b/>
          <w:bCs/>
          <w:sz w:val="20"/>
          <w:szCs w:val="20"/>
          <w:lang w:eastAsia="ru-RU"/>
        </w:rPr>
      </w:pPr>
      <w:r w:rsidRPr="000977F7">
        <w:rPr>
          <w:rFonts w:asciiTheme="majorHAnsi" w:hAnsiTheme="majorHAnsi"/>
          <w:b/>
          <w:bCs/>
          <w:sz w:val="20"/>
          <w:szCs w:val="20"/>
          <w:lang w:eastAsia="ru-RU"/>
        </w:rPr>
        <w:t>НЕЧЕСНА ПІДПРИЄМНИЦЬКА ДІЯЛЬНІСТЬ –</w:t>
      </w:r>
    </w:p>
    <w:p w14:paraId="4610B64C"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Будь-яка підприємницька діяльність або бездіяльність, що суперечить правилам, торговим та іншим чесним звичаям та впливає або може вплинути на економічну поведінку споживача щодо продукції</w:t>
      </w:r>
    </w:p>
    <w:p w14:paraId="0A2E65A4"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Закон України "Про захист прав споживачів"</w:t>
      </w:r>
    </w:p>
    <w:p w14:paraId="30FE0ADD"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НИЖНІЙ ДОПУСК</w:t>
      </w:r>
      <w:r w:rsidRPr="000977F7">
        <w:rPr>
          <w:rFonts w:asciiTheme="majorHAnsi" w:hAnsiTheme="majorHAnsi"/>
          <w:b/>
          <w:spacing w:val="-1"/>
          <w:sz w:val="20"/>
          <w:szCs w:val="20"/>
        </w:rPr>
        <w:t xml:space="preserve"> </w:t>
      </w:r>
      <w:r w:rsidRPr="000977F7">
        <w:rPr>
          <w:rFonts w:asciiTheme="majorHAnsi" w:hAnsiTheme="majorHAnsi"/>
          <w:b/>
          <w:sz w:val="20"/>
          <w:szCs w:val="20"/>
        </w:rPr>
        <w:t>ПАРАМЕТРА</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1CF3824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Алгебраїчна різниця між нижнім гранично допустимим і</w:t>
      </w:r>
      <w:r w:rsidRPr="000977F7">
        <w:rPr>
          <w:rFonts w:asciiTheme="majorHAnsi" w:hAnsiTheme="majorHAnsi"/>
          <w:spacing w:val="-2"/>
          <w:sz w:val="20"/>
          <w:szCs w:val="20"/>
        </w:rPr>
        <w:t xml:space="preserve"> </w:t>
      </w:r>
      <w:r w:rsidRPr="000977F7">
        <w:rPr>
          <w:rFonts w:asciiTheme="majorHAnsi" w:hAnsiTheme="majorHAnsi"/>
          <w:sz w:val="20"/>
          <w:szCs w:val="20"/>
        </w:rPr>
        <w:t>номінальним значенням</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p>
    <w:p w14:paraId="44DA786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НИТКАСТА</w:t>
      </w:r>
      <w:r w:rsidRPr="000977F7">
        <w:rPr>
          <w:color w:val="auto"/>
          <w:spacing w:val="-4"/>
          <w:sz w:val="20"/>
          <w:szCs w:val="20"/>
        </w:rPr>
        <w:t xml:space="preserve"> </w:t>
      </w:r>
      <w:r w:rsidRPr="000977F7">
        <w:rPr>
          <w:color w:val="auto"/>
          <w:sz w:val="20"/>
          <w:szCs w:val="20"/>
        </w:rPr>
        <w:t>КОРОЗІЯ</w:t>
      </w:r>
      <w:r w:rsidRPr="000977F7">
        <w:rPr>
          <w:color w:val="auto"/>
          <w:spacing w:val="-3"/>
          <w:sz w:val="20"/>
          <w:szCs w:val="20"/>
        </w:rPr>
        <w:t xml:space="preserve"> </w:t>
      </w:r>
      <w:r w:rsidRPr="000977F7">
        <w:rPr>
          <w:color w:val="auto"/>
          <w:sz w:val="20"/>
          <w:szCs w:val="20"/>
        </w:rPr>
        <w:t>–</w:t>
      </w:r>
    </w:p>
    <w:p w14:paraId="0C4AA6C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Корозія, що поширюється у вигляді ниток переважно</w:t>
      </w:r>
      <w:r w:rsidRPr="000977F7">
        <w:rPr>
          <w:rFonts w:asciiTheme="majorHAnsi" w:hAnsiTheme="majorHAnsi"/>
          <w:spacing w:val="1"/>
          <w:sz w:val="20"/>
          <w:szCs w:val="20"/>
        </w:rPr>
        <w:t xml:space="preserve"> </w:t>
      </w:r>
      <w:r w:rsidRPr="000977F7">
        <w:rPr>
          <w:rFonts w:asciiTheme="majorHAnsi" w:hAnsiTheme="majorHAnsi"/>
          <w:sz w:val="20"/>
          <w:szCs w:val="20"/>
        </w:rPr>
        <w:t>під неметалевими</w:t>
      </w:r>
      <w:r w:rsidRPr="000977F7">
        <w:rPr>
          <w:rFonts w:asciiTheme="majorHAnsi" w:hAnsiTheme="majorHAnsi"/>
          <w:spacing w:val="-2"/>
          <w:sz w:val="20"/>
          <w:szCs w:val="20"/>
        </w:rPr>
        <w:t xml:space="preserve"> </w:t>
      </w:r>
      <w:r w:rsidRPr="000977F7">
        <w:rPr>
          <w:rFonts w:asciiTheme="majorHAnsi" w:hAnsiTheme="majorHAnsi"/>
          <w:sz w:val="20"/>
          <w:szCs w:val="20"/>
        </w:rPr>
        <w:t>захисними</w:t>
      </w:r>
      <w:r w:rsidRPr="000977F7">
        <w:rPr>
          <w:rFonts w:asciiTheme="majorHAnsi" w:hAnsiTheme="majorHAnsi"/>
          <w:spacing w:val="-1"/>
          <w:sz w:val="20"/>
          <w:szCs w:val="20"/>
        </w:rPr>
        <w:t xml:space="preserve"> </w:t>
      </w:r>
      <w:r w:rsidRPr="000977F7">
        <w:rPr>
          <w:rFonts w:asciiTheme="majorHAnsi" w:hAnsiTheme="majorHAnsi"/>
          <w:sz w:val="20"/>
          <w:szCs w:val="20"/>
        </w:rPr>
        <w:t>покриттями</w:t>
      </w:r>
    </w:p>
    <w:p w14:paraId="26EC9DB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3830 - 98</w:t>
      </w:r>
    </w:p>
    <w:p w14:paraId="5E6C7B7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НІТРОЦЕМЕНТАЦІЯ</w:t>
      </w:r>
      <w:r w:rsidRPr="000977F7">
        <w:rPr>
          <w:color w:val="auto"/>
          <w:spacing w:val="-5"/>
          <w:sz w:val="20"/>
          <w:szCs w:val="20"/>
        </w:rPr>
        <w:t xml:space="preserve"> </w:t>
      </w:r>
      <w:r w:rsidRPr="000977F7">
        <w:rPr>
          <w:color w:val="auto"/>
          <w:sz w:val="20"/>
          <w:szCs w:val="20"/>
        </w:rPr>
        <w:t>-</w:t>
      </w:r>
    </w:p>
    <w:p w14:paraId="02CA086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 дифузійного насичення сталі або сплавів вуглецем і</w:t>
      </w:r>
      <w:r w:rsidRPr="000977F7">
        <w:rPr>
          <w:rFonts w:asciiTheme="majorHAnsi" w:hAnsiTheme="majorHAnsi"/>
          <w:spacing w:val="-1"/>
          <w:sz w:val="20"/>
          <w:szCs w:val="20"/>
        </w:rPr>
        <w:t xml:space="preserve"> </w:t>
      </w:r>
      <w:r w:rsidRPr="000977F7">
        <w:rPr>
          <w:rFonts w:asciiTheme="majorHAnsi" w:hAnsiTheme="majorHAnsi"/>
          <w:sz w:val="20"/>
          <w:szCs w:val="20"/>
        </w:rPr>
        <w:t>азотом в</w:t>
      </w:r>
      <w:r w:rsidRPr="000977F7">
        <w:rPr>
          <w:rFonts w:asciiTheme="majorHAnsi" w:hAnsiTheme="majorHAnsi"/>
          <w:spacing w:val="-1"/>
          <w:sz w:val="20"/>
          <w:szCs w:val="20"/>
        </w:rPr>
        <w:t xml:space="preserve"> </w:t>
      </w:r>
      <w:r w:rsidRPr="000977F7">
        <w:rPr>
          <w:rFonts w:asciiTheme="majorHAnsi" w:hAnsiTheme="majorHAnsi"/>
          <w:sz w:val="20"/>
          <w:szCs w:val="20"/>
        </w:rPr>
        <w:t>газових</w:t>
      </w:r>
      <w:r w:rsidRPr="000977F7">
        <w:rPr>
          <w:rFonts w:asciiTheme="majorHAnsi" w:hAnsiTheme="majorHAnsi"/>
          <w:spacing w:val="-2"/>
          <w:sz w:val="20"/>
          <w:szCs w:val="20"/>
        </w:rPr>
        <w:t xml:space="preserve"> </w:t>
      </w:r>
      <w:r w:rsidRPr="000977F7">
        <w:rPr>
          <w:rFonts w:asciiTheme="majorHAnsi" w:hAnsiTheme="majorHAnsi"/>
          <w:sz w:val="20"/>
          <w:szCs w:val="20"/>
        </w:rPr>
        <w:t>середовищах</w:t>
      </w:r>
    </w:p>
    <w:p w14:paraId="1BB0644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НОВА</w:t>
      </w:r>
      <w:r w:rsidRPr="000977F7">
        <w:rPr>
          <w:color w:val="auto"/>
          <w:spacing w:val="-2"/>
          <w:sz w:val="20"/>
          <w:szCs w:val="20"/>
        </w:rPr>
        <w:t xml:space="preserve"> </w:t>
      </w:r>
      <w:r w:rsidRPr="000977F7">
        <w:rPr>
          <w:color w:val="auto"/>
          <w:sz w:val="20"/>
          <w:szCs w:val="20"/>
        </w:rPr>
        <w:t>ПРОДУКЦІЯ</w:t>
      </w:r>
      <w:r w:rsidRPr="000977F7">
        <w:rPr>
          <w:color w:val="auto"/>
          <w:spacing w:val="-2"/>
          <w:sz w:val="20"/>
          <w:szCs w:val="20"/>
        </w:rPr>
        <w:t xml:space="preserve"> </w:t>
      </w:r>
      <w:r w:rsidRPr="000977F7">
        <w:rPr>
          <w:color w:val="auto"/>
          <w:sz w:val="20"/>
          <w:szCs w:val="20"/>
        </w:rPr>
        <w:t>–</w:t>
      </w:r>
    </w:p>
    <w:p w14:paraId="5902E4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Конкретна</w:t>
      </w:r>
      <w:r w:rsidRPr="000977F7">
        <w:rPr>
          <w:rFonts w:asciiTheme="majorHAnsi" w:hAnsiTheme="majorHAnsi"/>
          <w:spacing w:val="1"/>
          <w:sz w:val="20"/>
          <w:szCs w:val="20"/>
        </w:rPr>
        <w:t xml:space="preserve"> </w:t>
      </w:r>
      <w:r w:rsidRPr="000977F7">
        <w:rPr>
          <w:rFonts w:asciiTheme="majorHAnsi" w:hAnsiTheme="majorHAnsi"/>
          <w:sz w:val="20"/>
          <w:szCs w:val="20"/>
        </w:rPr>
        <w:t>виготовлювана</w:t>
      </w:r>
      <w:r w:rsidRPr="000977F7">
        <w:rPr>
          <w:rFonts w:asciiTheme="majorHAnsi" w:hAnsiTheme="majorHAnsi"/>
          <w:spacing w:val="1"/>
          <w:sz w:val="20"/>
          <w:szCs w:val="20"/>
        </w:rPr>
        <w:t xml:space="preserve"> </w:t>
      </w:r>
      <w:r w:rsidRPr="000977F7">
        <w:rPr>
          <w:rFonts w:asciiTheme="majorHAnsi" w:hAnsiTheme="majorHAnsi"/>
          <w:sz w:val="20"/>
          <w:szCs w:val="20"/>
        </w:rPr>
        <w:t>продукція,</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50"/>
          <w:sz w:val="20"/>
          <w:szCs w:val="20"/>
        </w:rPr>
        <w:t xml:space="preserve"> </w:t>
      </w:r>
      <w:r w:rsidRPr="000977F7">
        <w:rPr>
          <w:rFonts w:asciiTheme="majorHAnsi" w:hAnsiTheme="majorHAnsi"/>
          <w:sz w:val="20"/>
          <w:szCs w:val="20"/>
        </w:rPr>
        <w:t>на</w:t>
      </w:r>
      <w:r w:rsidRPr="000977F7">
        <w:rPr>
          <w:rFonts w:asciiTheme="majorHAnsi" w:hAnsiTheme="majorHAnsi"/>
          <w:spacing w:val="50"/>
          <w:sz w:val="20"/>
          <w:szCs w:val="20"/>
        </w:rPr>
        <w:t xml:space="preserve"> </w:t>
      </w:r>
      <w:r w:rsidRPr="000977F7">
        <w:rPr>
          <w:rFonts w:asciiTheme="majorHAnsi" w:hAnsiTheme="majorHAnsi"/>
          <w:sz w:val="20"/>
          <w:szCs w:val="20"/>
        </w:rPr>
        <w:t>даний</w:t>
      </w:r>
      <w:r w:rsidRPr="000977F7">
        <w:rPr>
          <w:rFonts w:asciiTheme="majorHAnsi" w:hAnsiTheme="majorHAnsi"/>
          <w:spacing w:val="1"/>
          <w:sz w:val="20"/>
          <w:szCs w:val="20"/>
        </w:rPr>
        <w:t xml:space="preserve"> </w:t>
      </w:r>
      <w:r w:rsidRPr="000977F7">
        <w:rPr>
          <w:rFonts w:asciiTheme="majorHAnsi" w:hAnsiTheme="majorHAnsi"/>
          <w:sz w:val="20"/>
          <w:szCs w:val="20"/>
        </w:rPr>
        <w:t>час відповідає найвищим науково й економічно обґрунтованим вимогам щодо рівня її якості та економічності</w:t>
      </w:r>
    </w:p>
    <w:p w14:paraId="5F0455D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445E0F6B"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НОВЕ ВИДАННЯ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67824E7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NEW EDITION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D08255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Новий видрук нормативного документа, який містить</w:t>
      </w:r>
      <w:r w:rsidRPr="000977F7">
        <w:rPr>
          <w:rFonts w:asciiTheme="majorHAnsi" w:hAnsiTheme="majorHAnsi"/>
          <w:spacing w:val="1"/>
          <w:sz w:val="20"/>
          <w:szCs w:val="20"/>
        </w:rPr>
        <w:t xml:space="preserve"> </w:t>
      </w:r>
      <w:r w:rsidRPr="000977F7">
        <w:rPr>
          <w:rFonts w:asciiTheme="majorHAnsi" w:hAnsiTheme="majorHAnsi"/>
          <w:sz w:val="20"/>
          <w:szCs w:val="20"/>
        </w:rPr>
        <w:t>зміни,</w:t>
      </w:r>
      <w:r w:rsidRPr="000977F7">
        <w:rPr>
          <w:rFonts w:asciiTheme="majorHAnsi" w:hAnsiTheme="majorHAnsi"/>
          <w:spacing w:val="-1"/>
          <w:sz w:val="20"/>
          <w:szCs w:val="20"/>
        </w:rPr>
        <w:t xml:space="preserve"> </w:t>
      </w:r>
      <w:r w:rsidRPr="000977F7">
        <w:rPr>
          <w:rFonts w:asciiTheme="majorHAnsi" w:hAnsiTheme="majorHAnsi"/>
          <w:sz w:val="20"/>
          <w:szCs w:val="20"/>
        </w:rPr>
        <w:t>внесені</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попереднього видання</w:t>
      </w:r>
    </w:p>
    <w:p w14:paraId="0C8D176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НОВИЙ</w:t>
      </w:r>
      <w:r w:rsidRPr="000977F7">
        <w:rPr>
          <w:color w:val="auto"/>
          <w:spacing w:val="-1"/>
          <w:sz w:val="20"/>
          <w:szCs w:val="20"/>
        </w:rPr>
        <w:t xml:space="preserve"> </w:t>
      </w:r>
      <w:r w:rsidRPr="000977F7">
        <w:rPr>
          <w:color w:val="auto"/>
          <w:sz w:val="20"/>
          <w:szCs w:val="20"/>
        </w:rPr>
        <w:t>ТОВАР</w:t>
      </w:r>
      <w:r w:rsidRPr="000977F7">
        <w:rPr>
          <w:color w:val="auto"/>
          <w:spacing w:val="-2"/>
          <w:sz w:val="20"/>
          <w:szCs w:val="20"/>
        </w:rPr>
        <w:t xml:space="preserve"> </w:t>
      </w:r>
      <w:r w:rsidRPr="000977F7">
        <w:rPr>
          <w:color w:val="auto"/>
          <w:sz w:val="20"/>
          <w:szCs w:val="20"/>
        </w:rPr>
        <w:t>–</w:t>
      </w:r>
    </w:p>
    <w:p w14:paraId="1BC6B47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 який містить нові чи додаткові функціональні</w:t>
      </w:r>
      <w:r w:rsidRPr="000977F7">
        <w:rPr>
          <w:rFonts w:asciiTheme="majorHAnsi" w:hAnsiTheme="majorHAnsi"/>
          <w:spacing w:val="1"/>
          <w:sz w:val="20"/>
          <w:szCs w:val="20"/>
        </w:rPr>
        <w:t xml:space="preserve"> </w:t>
      </w:r>
      <w:r w:rsidRPr="000977F7">
        <w:rPr>
          <w:rFonts w:asciiTheme="majorHAnsi" w:hAnsiTheme="majorHAnsi"/>
          <w:sz w:val="20"/>
          <w:szCs w:val="20"/>
        </w:rPr>
        <w:t>можливості, зміни у формі, дизайні або паковані, що</w:t>
      </w:r>
      <w:r w:rsidRPr="000977F7">
        <w:rPr>
          <w:rFonts w:asciiTheme="majorHAnsi" w:hAnsiTheme="majorHAnsi"/>
          <w:spacing w:val="1"/>
          <w:sz w:val="20"/>
          <w:szCs w:val="20"/>
        </w:rPr>
        <w:t xml:space="preserve"> </w:t>
      </w:r>
      <w:r w:rsidRPr="000977F7">
        <w:rPr>
          <w:rFonts w:asciiTheme="majorHAnsi" w:hAnsiTheme="majorHAnsi"/>
          <w:sz w:val="20"/>
          <w:szCs w:val="20"/>
        </w:rPr>
        <w:t>мають</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споживача</w:t>
      </w:r>
    </w:p>
    <w:p w14:paraId="3106E77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3294 – 95</w:t>
      </w:r>
    </w:p>
    <w:p w14:paraId="70EB9C9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НОЖОВА</w:t>
      </w:r>
      <w:r w:rsidRPr="000977F7">
        <w:rPr>
          <w:color w:val="auto"/>
          <w:spacing w:val="-4"/>
          <w:sz w:val="20"/>
          <w:szCs w:val="20"/>
        </w:rPr>
        <w:t xml:space="preserve"> </w:t>
      </w:r>
      <w:r w:rsidRPr="000977F7">
        <w:rPr>
          <w:color w:val="auto"/>
          <w:sz w:val="20"/>
          <w:szCs w:val="20"/>
        </w:rPr>
        <w:t>КОРОЗІЯ</w:t>
      </w:r>
      <w:r w:rsidRPr="000977F7">
        <w:rPr>
          <w:color w:val="auto"/>
          <w:spacing w:val="-2"/>
          <w:sz w:val="20"/>
          <w:szCs w:val="20"/>
        </w:rPr>
        <w:t xml:space="preserve"> </w:t>
      </w:r>
      <w:r w:rsidRPr="000977F7">
        <w:rPr>
          <w:color w:val="auto"/>
          <w:sz w:val="20"/>
          <w:szCs w:val="20"/>
        </w:rPr>
        <w:t>–</w:t>
      </w:r>
    </w:p>
    <w:p w14:paraId="19E2780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KNIFE-LINE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CORROSION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2023D9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Корозія,</w:t>
      </w:r>
      <w:r w:rsidRPr="000977F7">
        <w:rPr>
          <w:rFonts w:asciiTheme="majorHAnsi" w:hAnsiTheme="majorHAnsi"/>
          <w:spacing w:val="1"/>
          <w:sz w:val="20"/>
          <w:szCs w:val="20"/>
        </w:rPr>
        <w:t xml:space="preserve"> </w:t>
      </w:r>
      <w:r w:rsidRPr="000977F7">
        <w:rPr>
          <w:rFonts w:asciiTheme="majorHAnsi" w:hAnsiTheme="majorHAnsi"/>
          <w:sz w:val="20"/>
          <w:szCs w:val="20"/>
        </w:rPr>
        <w:t>під час</w:t>
      </w:r>
      <w:r w:rsidRPr="000977F7">
        <w:rPr>
          <w:rFonts w:asciiTheme="majorHAnsi" w:hAnsiTheme="majorHAnsi"/>
          <w:spacing w:val="1"/>
          <w:sz w:val="20"/>
          <w:szCs w:val="20"/>
        </w:rPr>
        <w:t xml:space="preserve"> </w:t>
      </w:r>
      <w:r w:rsidRPr="000977F7">
        <w:rPr>
          <w:rFonts w:asciiTheme="majorHAnsi" w:hAnsiTheme="majorHAnsi"/>
          <w:sz w:val="20"/>
          <w:szCs w:val="20"/>
        </w:rPr>
        <w:t>якої</w:t>
      </w:r>
      <w:r w:rsidRPr="000977F7">
        <w:rPr>
          <w:rFonts w:asciiTheme="majorHAnsi" w:hAnsiTheme="majorHAnsi"/>
          <w:spacing w:val="1"/>
          <w:sz w:val="20"/>
          <w:szCs w:val="20"/>
        </w:rPr>
        <w:t xml:space="preserve"> </w:t>
      </w:r>
      <w:r w:rsidRPr="000977F7">
        <w:rPr>
          <w:rFonts w:asciiTheme="majorHAnsi" w:hAnsiTheme="majorHAnsi"/>
          <w:sz w:val="20"/>
          <w:szCs w:val="20"/>
        </w:rPr>
        <w:t>утворюється</w:t>
      </w:r>
      <w:r w:rsidRPr="000977F7">
        <w:rPr>
          <w:rFonts w:asciiTheme="majorHAnsi" w:hAnsiTheme="majorHAnsi"/>
          <w:spacing w:val="1"/>
          <w:sz w:val="20"/>
          <w:szCs w:val="20"/>
        </w:rPr>
        <w:t xml:space="preserve"> </w:t>
      </w:r>
      <w:r w:rsidRPr="000977F7">
        <w:rPr>
          <w:rFonts w:asciiTheme="majorHAnsi" w:hAnsiTheme="majorHAnsi"/>
          <w:sz w:val="20"/>
          <w:szCs w:val="20"/>
        </w:rPr>
        <w:t>вузький надріз</w:t>
      </w:r>
      <w:r w:rsidRPr="000977F7">
        <w:rPr>
          <w:rFonts w:asciiTheme="majorHAnsi" w:hAnsiTheme="majorHAnsi"/>
          <w:spacing w:val="50"/>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зоні</w:t>
      </w:r>
      <w:r w:rsidRPr="000977F7">
        <w:rPr>
          <w:rFonts w:asciiTheme="majorHAnsi" w:hAnsiTheme="majorHAnsi"/>
          <w:spacing w:val="-2"/>
          <w:sz w:val="20"/>
          <w:szCs w:val="20"/>
        </w:rPr>
        <w:t xml:space="preserve"> </w:t>
      </w:r>
      <w:r w:rsidRPr="000977F7">
        <w:rPr>
          <w:rFonts w:asciiTheme="majorHAnsi" w:hAnsiTheme="majorHAnsi"/>
          <w:sz w:val="20"/>
          <w:szCs w:val="20"/>
        </w:rPr>
        <w:t>шва</w:t>
      </w:r>
      <w:r w:rsidRPr="000977F7">
        <w:rPr>
          <w:rFonts w:asciiTheme="majorHAnsi" w:hAnsiTheme="majorHAnsi"/>
          <w:spacing w:val="-1"/>
          <w:sz w:val="20"/>
          <w:szCs w:val="20"/>
        </w:rPr>
        <w:t xml:space="preserve"> </w:t>
      </w:r>
      <w:r w:rsidRPr="000977F7">
        <w:rPr>
          <w:rFonts w:asciiTheme="majorHAnsi" w:hAnsiTheme="majorHAnsi"/>
          <w:sz w:val="20"/>
          <w:szCs w:val="20"/>
        </w:rPr>
        <w:t>зварного</w:t>
      </w:r>
      <w:r w:rsidRPr="000977F7">
        <w:rPr>
          <w:rFonts w:asciiTheme="majorHAnsi" w:hAnsiTheme="majorHAnsi"/>
          <w:spacing w:val="1"/>
          <w:sz w:val="20"/>
          <w:szCs w:val="20"/>
        </w:rPr>
        <w:t xml:space="preserve"> </w:t>
      </w:r>
      <w:r w:rsidRPr="000977F7">
        <w:rPr>
          <w:rFonts w:asciiTheme="majorHAnsi" w:hAnsiTheme="majorHAnsi"/>
          <w:sz w:val="20"/>
          <w:szCs w:val="20"/>
        </w:rPr>
        <w:t>з’єднання</w:t>
      </w:r>
    </w:p>
    <w:p w14:paraId="1A67298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3830 - 98</w:t>
      </w:r>
    </w:p>
    <w:p w14:paraId="02AFC46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НОМЕНКЛАТУРА</w:t>
      </w:r>
      <w:r w:rsidRPr="000977F7">
        <w:rPr>
          <w:color w:val="auto"/>
          <w:spacing w:val="-5"/>
          <w:sz w:val="20"/>
          <w:szCs w:val="20"/>
        </w:rPr>
        <w:t xml:space="preserve"> </w:t>
      </w:r>
      <w:r w:rsidRPr="000977F7">
        <w:rPr>
          <w:color w:val="auto"/>
          <w:sz w:val="20"/>
          <w:szCs w:val="20"/>
        </w:rPr>
        <w:t>ПРОДУКЦІЇЇ</w:t>
      </w:r>
      <w:r w:rsidRPr="000977F7">
        <w:rPr>
          <w:color w:val="auto"/>
          <w:spacing w:val="-2"/>
          <w:sz w:val="20"/>
          <w:szCs w:val="20"/>
        </w:rPr>
        <w:t xml:space="preserve"> </w:t>
      </w:r>
      <w:r w:rsidRPr="000977F7">
        <w:rPr>
          <w:color w:val="auto"/>
          <w:sz w:val="20"/>
          <w:szCs w:val="20"/>
        </w:rPr>
        <w:t>–</w:t>
      </w:r>
    </w:p>
    <w:p w14:paraId="2C0F7AE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Класифікаційний</w:t>
      </w:r>
      <w:r w:rsidRPr="000977F7">
        <w:rPr>
          <w:rFonts w:asciiTheme="majorHAnsi" w:hAnsiTheme="majorHAnsi"/>
          <w:spacing w:val="14"/>
          <w:sz w:val="20"/>
          <w:szCs w:val="20"/>
        </w:rPr>
        <w:t xml:space="preserve"> </w:t>
      </w:r>
      <w:r w:rsidRPr="000977F7">
        <w:rPr>
          <w:rFonts w:asciiTheme="majorHAnsi" w:hAnsiTheme="majorHAnsi"/>
          <w:sz w:val="20"/>
          <w:szCs w:val="20"/>
        </w:rPr>
        <w:t>перелік</w:t>
      </w:r>
      <w:r w:rsidRPr="000977F7">
        <w:rPr>
          <w:rFonts w:asciiTheme="majorHAnsi" w:hAnsiTheme="majorHAnsi"/>
          <w:spacing w:val="17"/>
          <w:sz w:val="20"/>
          <w:szCs w:val="20"/>
        </w:rPr>
        <w:t xml:space="preserve"> </w:t>
      </w:r>
      <w:r w:rsidRPr="000977F7">
        <w:rPr>
          <w:rFonts w:asciiTheme="majorHAnsi" w:hAnsiTheme="majorHAnsi"/>
          <w:sz w:val="20"/>
          <w:szCs w:val="20"/>
        </w:rPr>
        <w:t>назв</w:t>
      </w:r>
      <w:r w:rsidRPr="000977F7">
        <w:rPr>
          <w:rFonts w:asciiTheme="majorHAnsi" w:hAnsiTheme="majorHAnsi"/>
          <w:spacing w:val="16"/>
          <w:sz w:val="20"/>
          <w:szCs w:val="20"/>
        </w:rPr>
        <w:t xml:space="preserve"> </w:t>
      </w:r>
      <w:r w:rsidRPr="000977F7">
        <w:rPr>
          <w:rFonts w:asciiTheme="majorHAnsi" w:hAnsiTheme="majorHAnsi"/>
          <w:sz w:val="20"/>
          <w:szCs w:val="20"/>
        </w:rPr>
        <w:t>окремих</w:t>
      </w:r>
      <w:r w:rsidRPr="000977F7">
        <w:rPr>
          <w:rFonts w:asciiTheme="majorHAnsi" w:hAnsiTheme="majorHAnsi"/>
          <w:spacing w:val="17"/>
          <w:sz w:val="20"/>
          <w:szCs w:val="20"/>
        </w:rPr>
        <w:t xml:space="preserve"> </w:t>
      </w:r>
      <w:r w:rsidRPr="000977F7">
        <w:rPr>
          <w:rFonts w:asciiTheme="majorHAnsi" w:hAnsiTheme="majorHAnsi"/>
          <w:sz w:val="20"/>
          <w:szCs w:val="20"/>
        </w:rPr>
        <w:t>видів</w:t>
      </w:r>
      <w:r w:rsidRPr="000977F7">
        <w:rPr>
          <w:rFonts w:asciiTheme="majorHAnsi" w:hAnsiTheme="majorHAnsi"/>
          <w:spacing w:val="18"/>
          <w:sz w:val="20"/>
          <w:szCs w:val="20"/>
        </w:rPr>
        <w:t xml:space="preserve"> </w:t>
      </w:r>
      <w:r w:rsidRPr="000977F7">
        <w:rPr>
          <w:rFonts w:asciiTheme="majorHAnsi" w:hAnsiTheme="majorHAnsi"/>
          <w:sz w:val="20"/>
          <w:szCs w:val="20"/>
        </w:rPr>
        <w:t>продукції, яка виробляється промисловими підприємствами</w:t>
      </w:r>
    </w:p>
    <w:p w14:paraId="68EA48E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 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EFADE97" w14:textId="77777777" w:rsidR="0097612F" w:rsidRPr="000977F7" w:rsidRDefault="0097612F" w:rsidP="000977F7">
      <w:pPr>
        <w:pStyle w:val="7"/>
        <w:tabs>
          <w:tab w:val="left" w:pos="284"/>
          <w:tab w:val="left" w:pos="3839"/>
          <w:tab w:val="left" w:pos="4309"/>
        </w:tabs>
        <w:spacing w:before="0" w:line="240" w:lineRule="auto"/>
        <w:ind w:left="170"/>
        <w:mirrorIndents/>
        <w:jc w:val="both"/>
        <w:rPr>
          <w:b w:val="0"/>
          <w:color w:val="auto"/>
          <w:sz w:val="20"/>
          <w:szCs w:val="20"/>
        </w:rPr>
      </w:pPr>
      <w:r w:rsidRPr="000977F7">
        <w:rPr>
          <w:color w:val="auto"/>
          <w:sz w:val="20"/>
          <w:szCs w:val="20"/>
        </w:rPr>
        <w:t>НОМІНАЛЬНА</w:t>
      </w:r>
      <w:r w:rsidRPr="000977F7">
        <w:rPr>
          <w:color w:val="auto"/>
          <w:spacing w:val="-4"/>
          <w:sz w:val="20"/>
          <w:szCs w:val="20"/>
        </w:rPr>
        <w:t xml:space="preserve"> </w:t>
      </w:r>
      <w:r w:rsidRPr="000977F7">
        <w:rPr>
          <w:color w:val="auto"/>
          <w:sz w:val="20"/>
          <w:szCs w:val="20"/>
        </w:rPr>
        <w:t>ДЕФОРМАЦІЯ -</w:t>
      </w:r>
    </w:p>
    <w:p w14:paraId="793A348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Деформація,</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обчислюється</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формулами</w:t>
      </w:r>
      <w:r w:rsidRPr="000977F7">
        <w:rPr>
          <w:rFonts w:asciiTheme="majorHAnsi" w:hAnsiTheme="majorHAnsi"/>
          <w:spacing w:val="1"/>
          <w:sz w:val="20"/>
          <w:szCs w:val="20"/>
        </w:rPr>
        <w:t xml:space="preserve"> </w:t>
      </w:r>
      <w:r w:rsidRPr="000977F7">
        <w:rPr>
          <w:rFonts w:asciiTheme="majorHAnsi" w:hAnsiTheme="majorHAnsi"/>
          <w:sz w:val="20"/>
          <w:szCs w:val="20"/>
        </w:rPr>
        <w:t>опору</w:t>
      </w:r>
      <w:r w:rsidRPr="000977F7">
        <w:rPr>
          <w:rFonts w:asciiTheme="majorHAnsi" w:hAnsiTheme="majorHAnsi"/>
          <w:spacing w:val="-47"/>
          <w:sz w:val="20"/>
          <w:szCs w:val="20"/>
        </w:rPr>
        <w:t xml:space="preserve"> </w:t>
      </w:r>
      <w:r w:rsidRPr="000977F7">
        <w:rPr>
          <w:rFonts w:asciiTheme="majorHAnsi" w:hAnsiTheme="majorHAnsi"/>
          <w:sz w:val="20"/>
          <w:szCs w:val="20"/>
        </w:rPr>
        <w:t>матеріалів</w:t>
      </w:r>
      <w:r w:rsidRPr="000977F7">
        <w:rPr>
          <w:rFonts w:asciiTheme="majorHAnsi" w:hAnsiTheme="majorHAnsi"/>
          <w:spacing w:val="34"/>
          <w:sz w:val="20"/>
          <w:szCs w:val="20"/>
        </w:rPr>
        <w:t xml:space="preserve"> </w:t>
      </w:r>
      <w:r w:rsidRPr="000977F7">
        <w:rPr>
          <w:rFonts w:asciiTheme="majorHAnsi" w:hAnsiTheme="majorHAnsi"/>
          <w:sz w:val="20"/>
          <w:szCs w:val="20"/>
        </w:rPr>
        <w:t>без</w:t>
      </w:r>
      <w:r w:rsidRPr="000977F7">
        <w:rPr>
          <w:rFonts w:asciiTheme="majorHAnsi" w:hAnsiTheme="majorHAnsi"/>
          <w:spacing w:val="35"/>
          <w:sz w:val="20"/>
          <w:szCs w:val="20"/>
        </w:rPr>
        <w:t xml:space="preserve"> </w:t>
      </w:r>
      <w:r w:rsidRPr="000977F7">
        <w:rPr>
          <w:rFonts w:asciiTheme="majorHAnsi" w:hAnsiTheme="majorHAnsi"/>
          <w:sz w:val="20"/>
          <w:szCs w:val="20"/>
        </w:rPr>
        <w:t>урахування</w:t>
      </w:r>
      <w:r w:rsidRPr="000977F7">
        <w:rPr>
          <w:rFonts w:asciiTheme="majorHAnsi" w:hAnsiTheme="majorHAnsi"/>
          <w:spacing w:val="34"/>
          <w:sz w:val="20"/>
          <w:szCs w:val="20"/>
        </w:rPr>
        <w:t xml:space="preserve"> </w:t>
      </w:r>
      <w:r w:rsidRPr="000977F7">
        <w:rPr>
          <w:rFonts w:asciiTheme="majorHAnsi" w:hAnsiTheme="majorHAnsi"/>
          <w:sz w:val="20"/>
          <w:szCs w:val="20"/>
        </w:rPr>
        <w:t>концентрації</w:t>
      </w:r>
      <w:r w:rsidRPr="000977F7">
        <w:rPr>
          <w:rFonts w:asciiTheme="majorHAnsi" w:hAnsiTheme="majorHAnsi"/>
          <w:spacing w:val="34"/>
          <w:sz w:val="20"/>
          <w:szCs w:val="20"/>
        </w:rPr>
        <w:t xml:space="preserve"> </w:t>
      </w:r>
      <w:r w:rsidRPr="000977F7">
        <w:rPr>
          <w:rFonts w:asciiTheme="majorHAnsi" w:hAnsiTheme="majorHAnsi"/>
          <w:sz w:val="20"/>
          <w:szCs w:val="20"/>
        </w:rPr>
        <w:t>напруження, залишкових</w:t>
      </w:r>
      <w:r w:rsidRPr="000977F7">
        <w:rPr>
          <w:rFonts w:asciiTheme="majorHAnsi" w:hAnsiTheme="majorHAnsi"/>
          <w:spacing w:val="1"/>
          <w:sz w:val="20"/>
          <w:szCs w:val="20"/>
        </w:rPr>
        <w:t xml:space="preserve"> </w:t>
      </w:r>
      <w:r w:rsidRPr="000977F7">
        <w:rPr>
          <w:rFonts w:asciiTheme="majorHAnsi" w:hAnsiTheme="majorHAnsi"/>
          <w:sz w:val="20"/>
          <w:szCs w:val="20"/>
        </w:rPr>
        <w:t>напружень</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пружно-пластичного</w:t>
      </w:r>
      <w:r w:rsidRPr="000977F7">
        <w:rPr>
          <w:rFonts w:asciiTheme="majorHAnsi" w:hAnsiTheme="majorHAnsi"/>
          <w:spacing w:val="1"/>
          <w:sz w:val="20"/>
          <w:szCs w:val="20"/>
        </w:rPr>
        <w:t xml:space="preserve"> </w:t>
      </w:r>
      <w:r w:rsidRPr="000977F7">
        <w:rPr>
          <w:rFonts w:asciiTheme="majorHAnsi" w:hAnsiTheme="majorHAnsi"/>
          <w:sz w:val="20"/>
          <w:szCs w:val="20"/>
        </w:rPr>
        <w:t>перерозподілу</w:t>
      </w:r>
      <w:r w:rsidRPr="000977F7">
        <w:rPr>
          <w:rFonts w:asciiTheme="majorHAnsi" w:hAnsiTheme="majorHAnsi"/>
          <w:spacing w:val="-2"/>
          <w:sz w:val="20"/>
          <w:szCs w:val="20"/>
        </w:rPr>
        <w:t xml:space="preserve"> </w:t>
      </w:r>
      <w:r w:rsidRPr="000977F7">
        <w:rPr>
          <w:rFonts w:asciiTheme="majorHAnsi" w:hAnsiTheme="majorHAnsi"/>
          <w:sz w:val="20"/>
          <w:szCs w:val="20"/>
        </w:rPr>
        <w:t>деформації</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процесі</w:t>
      </w:r>
      <w:r w:rsidRPr="000977F7">
        <w:rPr>
          <w:rFonts w:asciiTheme="majorHAnsi" w:hAnsiTheme="majorHAnsi"/>
          <w:spacing w:val="-2"/>
          <w:sz w:val="20"/>
          <w:szCs w:val="20"/>
        </w:rPr>
        <w:t xml:space="preserve"> </w:t>
      </w:r>
      <w:r w:rsidRPr="000977F7">
        <w:rPr>
          <w:rFonts w:asciiTheme="majorHAnsi" w:hAnsiTheme="majorHAnsi"/>
          <w:sz w:val="20"/>
          <w:szCs w:val="20"/>
        </w:rPr>
        <w:t>деформування</w:t>
      </w:r>
    </w:p>
    <w:p w14:paraId="48FEDC10" w14:textId="77777777" w:rsidR="0097612F" w:rsidRPr="000977F7" w:rsidRDefault="0097612F" w:rsidP="00FD39A4">
      <w:pPr>
        <w:pStyle w:val="ac"/>
        <w:widowControl w:val="0"/>
        <w:numPr>
          <w:ilvl w:val="2"/>
          <w:numId w:val="180"/>
        </w:numPr>
        <w:tabs>
          <w:tab w:val="left" w:pos="284"/>
          <w:tab w:val="left" w:pos="113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лінійна</w:t>
      </w:r>
      <w:r w:rsidRPr="000977F7">
        <w:rPr>
          <w:rFonts w:asciiTheme="majorHAnsi" w:hAnsiTheme="majorHAnsi"/>
          <w:spacing w:val="-2"/>
          <w:sz w:val="20"/>
          <w:szCs w:val="20"/>
        </w:rPr>
        <w:t xml:space="preserve"> </w:t>
      </w:r>
      <w:r w:rsidRPr="000977F7">
        <w:rPr>
          <w:rFonts w:asciiTheme="majorHAnsi" w:hAnsiTheme="majorHAnsi"/>
          <w:sz w:val="20"/>
          <w:szCs w:val="20"/>
        </w:rPr>
        <w:t>деформація;</w:t>
      </w:r>
    </w:p>
    <w:p w14:paraId="744D3FBB" w14:textId="77777777" w:rsidR="0097612F" w:rsidRPr="000977F7" w:rsidRDefault="0097612F" w:rsidP="00FD39A4">
      <w:pPr>
        <w:pStyle w:val="ac"/>
        <w:widowControl w:val="0"/>
        <w:numPr>
          <w:ilvl w:val="2"/>
          <w:numId w:val="180"/>
        </w:numPr>
        <w:tabs>
          <w:tab w:val="left" w:pos="284"/>
          <w:tab w:val="left" w:pos="114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деформація</w:t>
      </w:r>
      <w:r w:rsidRPr="000977F7">
        <w:rPr>
          <w:rFonts w:asciiTheme="majorHAnsi" w:hAnsiTheme="majorHAnsi"/>
          <w:spacing w:val="-4"/>
          <w:sz w:val="20"/>
          <w:szCs w:val="20"/>
        </w:rPr>
        <w:t xml:space="preserve"> </w:t>
      </w:r>
      <w:r w:rsidRPr="000977F7">
        <w:rPr>
          <w:rFonts w:asciiTheme="majorHAnsi" w:hAnsiTheme="majorHAnsi"/>
          <w:sz w:val="20"/>
          <w:szCs w:val="20"/>
        </w:rPr>
        <w:t>зсуву.</w:t>
      </w:r>
    </w:p>
    <w:p w14:paraId="5292D4A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2444 - 94</w:t>
      </w:r>
    </w:p>
    <w:p w14:paraId="65F5F8D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НОМІНАЛЬНА</w:t>
      </w:r>
      <w:r w:rsidRPr="000977F7">
        <w:rPr>
          <w:color w:val="auto"/>
          <w:spacing w:val="1"/>
          <w:sz w:val="20"/>
          <w:szCs w:val="20"/>
        </w:rPr>
        <w:t xml:space="preserve"> </w:t>
      </w:r>
      <w:r w:rsidRPr="000977F7">
        <w:rPr>
          <w:color w:val="auto"/>
          <w:sz w:val="20"/>
          <w:szCs w:val="20"/>
        </w:rPr>
        <w:t>НАПРУГА</w:t>
      </w:r>
      <w:r w:rsidRPr="000977F7">
        <w:rPr>
          <w:color w:val="auto"/>
          <w:spacing w:val="1"/>
          <w:sz w:val="20"/>
          <w:szCs w:val="20"/>
        </w:rPr>
        <w:t xml:space="preserve"> </w:t>
      </w:r>
      <w:r w:rsidRPr="000977F7">
        <w:rPr>
          <w:color w:val="auto"/>
          <w:sz w:val="20"/>
          <w:szCs w:val="20"/>
        </w:rPr>
        <w:t xml:space="preserve">ЕЛЕКТРИЧНОЇ </w:t>
      </w:r>
    </w:p>
    <w:p w14:paraId="285843F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МЕ</w:t>
      </w:r>
      <w:r w:rsidRPr="000977F7">
        <w:rPr>
          <w:color w:val="auto"/>
          <w:spacing w:val="-47"/>
          <w:sz w:val="20"/>
          <w:szCs w:val="20"/>
        </w:rPr>
        <w:t xml:space="preserve"> </w:t>
      </w:r>
      <w:r w:rsidRPr="000977F7">
        <w:rPr>
          <w:color w:val="auto"/>
          <w:sz w:val="20"/>
          <w:szCs w:val="20"/>
        </w:rPr>
        <w:t>РЕЖІ</w:t>
      </w:r>
      <w:r w:rsidRPr="000977F7">
        <w:rPr>
          <w:color w:val="auto"/>
          <w:spacing w:val="-1"/>
          <w:sz w:val="20"/>
          <w:szCs w:val="20"/>
        </w:rPr>
        <w:t xml:space="preserve"> </w:t>
      </w:r>
      <w:r w:rsidRPr="000977F7">
        <w:rPr>
          <w:color w:val="auto"/>
          <w:sz w:val="20"/>
          <w:szCs w:val="20"/>
        </w:rPr>
        <w:t>–</w:t>
      </w:r>
    </w:p>
    <w:p w14:paraId="5D336DB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NOMINAL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VOLTAGE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 A</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SYSTEM</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1904ADF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Параметр енергосистеми – напруга, на яку розрахована</w:t>
      </w:r>
      <w:r w:rsidRPr="000977F7">
        <w:rPr>
          <w:rFonts w:asciiTheme="majorHAnsi" w:hAnsiTheme="majorHAnsi"/>
          <w:spacing w:val="-1"/>
          <w:sz w:val="20"/>
          <w:szCs w:val="20"/>
        </w:rPr>
        <w:t xml:space="preserve"> </w:t>
      </w:r>
      <w:r w:rsidRPr="000977F7">
        <w:rPr>
          <w:rFonts w:asciiTheme="majorHAnsi" w:hAnsiTheme="majorHAnsi"/>
          <w:sz w:val="20"/>
          <w:szCs w:val="20"/>
        </w:rPr>
        <w:t>електрична мережа</w:t>
      </w:r>
    </w:p>
    <w:p w14:paraId="6391D3A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6C72D84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НОМІНАЛЬНА</w:t>
      </w:r>
      <w:r w:rsidRPr="000977F7">
        <w:rPr>
          <w:color w:val="auto"/>
          <w:spacing w:val="1"/>
          <w:sz w:val="20"/>
          <w:szCs w:val="20"/>
        </w:rPr>
        <w:t xml:space="preserve"> </w:t>
      </w:r>
      <w:r w:rsidRPr="000977F7">
        <w:rPr>
          <w:color w:val="auto"/>
          <w:sz w:val="20"/>
          <w:szCs w:val="20"/>
        </w:rPr>
        <w:t>ЧАСТОТА</w:t>
      </w:r>
      <w:r w:rsidRPr="000977F7">
        <w:rPr>
          <w:color w:val="auto"/>
          <w:spacing w:val="1"/>
          <w:sz w:val="20"/>
          <w:szCs w:val="20"/>
        </w:rPr>
        <w:t xml:space="preserve"> </w:t>
      </w:r>
      <w:r w:rsidRPr="000977F7">
        <w:rPr>
          <w:color w:val="auto"/>
          <w:sz w:val="20"/>
          <w:szCs w:val="20"/>
        </w:rPr>
        <w:t>ЕЛЕКТРИЧНОЇ МЕ</w:t>
      </w:r>
      <w:r w:rsidRPr="000977F7">
        <w:rPr>
          <w:color w:val="auto"/>
          <w:spacing w:val="-47"/>
          <w:sz w:val="20"/>
          <w:szCs w:val="20"/>
        </w:rPr>
        <w:t xml:space="preserve"> </w:t>
      </w:r>
      <w:r w:rsidRPr="000977F7">
        <w:rPr>
          <w:color w:val="auto"/>
          <w:sz w:val="20"/>
          <w:szCs w:val="20"/>
        </w:rPr>
        <w:t>РЕЖІ</w:t>
      </w:r>
      <w:r w:rsidRPr="000977F7">
        <w:rPr>
          <w:color w:val="auto"/>
          <w:spacing w:val="-1"/>
          <w:sz w:val="20"/>
          <w:szCs w:val="20"/>
        </w:rPr>
        <w:t xml:space="preserve"> </w:t>
      </w:r>
      <w:r w:rsidRPr="000977F7">
        <w:rPr>
          <w:color w:val="auto"/>
          <w:sz w:val="20"/>
          <w:szCs w:val="20"/>
        </w:rPr>
        <w:t>–</w:t>
      </w:r>
    </w:p>
    <w:p w14:paraId="0CE1329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Частота,</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якою</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призначена</w:t>
      </w:r>
      <w:r w:rsidRPr="000977F7">
        <w:rPr>
          <w:rFonts w:asciiTheme="majorHAnsi" w:hAnsiTheme="majorHAnsi"/>
          <w:spacing w:val="1"/>
          <w:sz w:val="20"/>
          <w:szCs w:val="20"/>
        </w:rPr>
        <w:t xml:space="preserve"> </w:t>
      </w:r>
      <w:r w:rsidRPr="000977F7">
        <w:rPr>
          <w:rFonts w:asciiTheme="majorHAnsi" w:hAnsiTheme="majorHAnsi"/>
          <w:sz w:val="20"/>
          <w:szCs w:val="20"/>
        </w:rPr>
        <w:t>електрична</w:t>
      </w:r>
      <w:r w:rsidRPr="000977F7">
        <w:rPr>
          <w:rFonts w:asciiTheme="majorHAnsi" w:hAnsiTheme="majorHAnsi"/>
          <w:spacing w:val="-47"/>
          <w:sz w:val="20"/>
          <w:szCs w:val="20"/>
        </w:rPr>
        <w:t xml:space="preserve"> </w:t>
      </w:r>
      <w:r w:rsidRPr="000977F7">
        <w:rPr>
          <w:rFonts w:asciiTheme="majorHAnsi" w:hAnsiTheme="majorHAnsi"/>
          <w:sz w:val="20"/>
          <w:szCs w:val="20"/>
        </w:rPr>
        <w:t>мережа</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вихідною</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відліку</w:t>
      </w:r>
      <w:r w:rsidRPr="000977F7">
        <w:rPr>
          <w:rFonts w:asciiTheme="majorHAnsi" w:hAnsiTheme="majorHAnsi"/>
          <w:spacing w:val="-2"/>
          <w:sz w:val="20"/>
          <w:szCs w:val="20"/>
        </w:rPr>
        <w:t xml:space="preserve"> </w:t>
      </w:r>
      <w:r w:rsidRPr="000977F7">
        <w:rPr>
          <w:rFonts w:asciiTheme="majorHAnsi" w:hAnsiTheme="majorHAnsi"/>
          <w:sz w:val="20"/>
          <w:szCs w:val="20"/>
        </w:rPr>
        <w:t>відхилень</w:t>
      </w:r>
    </w:p>
    <w:p w14:paraId="365E368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575F907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НОМІНАЛЬНЕ ЗНАЧЕННЯ МІРИ; НОМІНАЛЬ</w:t>
      </w:r>
      <w:r w:rsidRPr="000977F7">
        <w:rPr>
          <w:color w:val="auto"/>
          <w:spacing w:val="-47"/>
          <w:sz w:val="20"/>
          <w:szCs w:val="20"/>
        </w:rPr>
        <w:t xml:space="preserve"> </w:t>
      </w:r>
      <w:r w:rsidRPr="000977F7">
        <w:rPr>
          <w:color w:val="auto"/>
          <w:sz w:val="20"/>
          <w:szCs w:val="20"/>
        </w:rPr>
        <w:t>НЕ ЗНАЧЕННЯ ВЕЛИЧИНИ, ЯКА ВІДТВОРЮЄТЬСЯ</w:t>
      </w:r>
      <w:r w:rsidRPr="000977F7">
        <w:rPr>
          <w:color w:val="auto"/>
          <w:spacing w:val="-1"/>
          <w:sz w:val="20"/>
          <w:szCs w:val="20"/>
        </w:rPr>
        <w:t xml:space="preserve"> </w:t>
      </w:r>
      <w:r w:rsidRPr="000977F7">
        <w:rPr>
          <w:color w:val="auto"/>
          <w:sz w:val="20"/>
          <w:szCs w:val="20"/>
        </w:rPr>
        <w:t>МІРОЮ –</w:t>
      </w:r>
    </w:p>
    <w:p w14:paraId="08353B5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GAUGE</w:t>
      </w:r>
      <w:r w:rsidRPr="004D2D14">
        <w:rPr>
          <w:rFonts w:asciiTheme="majorHAnsi" w:hAnsiTheme="majorHAnsi"/>
          <w:spacing w:val="-2"/>
          <w:sz w:val="20"/>
          <w:szCs w:val="20"/>
          <w:lang w:val="uk-UA"/>
        </w:rPr>
        <w:t xml:space="preserve"> </w:t>
      </w:r>
      <w:r w:rsidRPr="000977F7">
        <w:rPr>
          <w:rFonts w:asciiTheme="majorHAnsi" w:hAnsiTheme="majorHAnsi"/>
          <w:sz w:val="20"/>
          <w:szCs w:val="20"/>
        </w:rPr>
        <w:t>NOMINAL</w:t>
      </w:r>
      <w:r w:rsidRPr="004D2D14">
        <w:rPr>
          <w:rFonts w:asciiTheme="majorHAnsi" w:hAnsiTheme="majorHAnsi"/>
          <w:spacing w:val="-4"/>
          <w:sz w:val="20"/>
          <w:szCs w:val="20"/>
          <w:lang w:val="uk-UA"/>
        </w:rPr>
        <w:t xml:space="preserve"> </w:t>
      </w:r>
      <w:r w:rsidRPr="000977F7">
        <w:rPr>
          <w:rFonts w:asciiTheme="majorHAnsi" w:hAnsiTheme="majorHAnsi"/>
          <w:sz w:val="20"/>
          <w:szCs w:val="20"/>
        </w:rPr>
        <w:t>VALUE</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w:t>
      </w:r>
    </w:p>
    <w:p w14:paraId="7D32F90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Приписане однозначній мірі значення величини, яка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відтворюється</w:t>
      </w:r>
    </w:p>
    <w:p w14:paraId="2787B19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BB4F567"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НОМІНАЛЬНЕ</w:t>
      </w:r>
      <w:r w:rsidRPr="000977F7">
        <w:rPr>
          <w:color w:val="auto"/>
          <w:spacing w:val="-6"/>
          <w:sz w:val="20"/>
          <w:szCs w:val="20"/>
        </w:rPr>
        <w:t xml:space="preserve"> </w:t>
      </w:r>
      <w:r w:rsidRPr="000977F7">
        <w:rPr>
          <w:color w:val="auto"/>
          <w:sz w:val="20"/>
          <w:szCs w:val="20"/>
        </w:rPr>
        <w:t>ЗНАЧЕННЯ</w:t>
      </w:r>
      <w:r w:rsidRPr="000977F7">
        <w:rPr>
          <w:color w:val="auto"/>
          <w:spacing w:val="-5"/>
          <w:sz w:val="20"/>
          <w:szCs w:val="20"/>
        </w:rPr>
        <w:t xml:space="preserve"> </w:t>
      </w:r>
      <w:r w:rsidRPr="000977F7">
        <w:rPr>
          <w:color w:val="auto"/>
          <w:sz w:val="20"/>
          <w:szCs w:val="20"/>
        </w:rPr>
        <w:t xml:space="preserve">ПАРАМЕТРА </w:t>
      </w:r>
      <w:r w:rsidRPr="000977F7">
        <w:rPr>
          <w:b w:val="0"/>
          <w:color w:val="auto"/>
          <w:sz w:val="20"/>
          <w:szCs w:val="20"/>
        </w:rPr>
        <w:t>–</w:t>
      </w:r>
    </w:p>
    <w:p w14:paraId="08373A7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 параметра, яке визначене його функціональним призначенням і служить початком відліку відхилень</w:t>
      </w:r>
    </w:p>
    <w:p w14:paraId="49CA12F0" w14:textId="77777777" w:rsidR="0097612F" w:rsidRPr="000977F7" w:rsidRDefault="0097612F" w:rsidP="000977F7">
      <w:pPr>
        <w:tabs>
          <w:tab w:val="left" w:pos="284"/>
          <w:tab w:val="left" w:pos="3783"/>
          <w:tab w:val="left" w:pos="4306"/>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НОМІНАЛЬНЕ</w:t>
      </w:r>
      <w:r w:rsidRPr="000977F7">
        <w:rPr>
          <w:rFonts w:asciiTheme="majorHAnsi" w:hAnsiTheme="majorHAnsi"/>
          <w:b/>
          <w:spacing w:val="-5"/>
          <w:sz w:val="20"/>
          <w:szCs w:val="20"/>
        </w:rPr>
        <w:t xml:space="preserve"> </w:t>
      </w:r>
      <w:r w:rsidRPr="000977F7">
        <w:rPr>
          <w:rFonts w:asciiTheme="majorHAnsi" w:hAnsiTheme="majorHAnsi"/>
          <w:b/>
          <w:sz w:val="20"/>
          <w:szCs w:val="20"/>
        </w:rPr>
        <w:t>НАПРУЖЕННЯ –</w:t>
      </w:r>
    </w:p>
    <w:p w14:paraId="68454DC3" w14:textId="77777777" w:rsidR="0097612F" w:rsidRPr="000977F7" w:rsidRDefault="0097612F" w:rsidP="000977F7">
      <w:pPr>
        <w:tabs>
          <w:tab w:val="left" w:pos="284"/>
          <w:tab w:val="left" w:pos="3783"/>
          <w:tab w:val="left" w:pos="4306"/>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NOMINAL</w:t>
      </w:r>
      <w:r w:rsidRPr="000977F7">
        <w:rPr>
          <w:rFonts w:asciiTheme="majorHAnsi" w:hAnsiTheme="majorHAnsi"/>
          <w:spacing w:val="-3"/>
          <w:sz w:val="20"/>
          <w:szCs w:val="20"/>
        </w:rPr>
        <w:t xml:space="preserve"> </w:t>
      </w:r>
      <w:r w:rsidRPr="000977F7">
        <w:rPr>
          <w:rFonts w:asciiTheme="majorHAnsi" w:hAnsiTheme="majorHAnsi"/>
          <w:sz w:val="20"/>
          <w:szCs w:val="20"/>
        </w:rPr>
        <w:t>STRESS</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5C524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Напруження, що обчислюється за формулами опору</w:t>
      </w:r>
      <w:r w:rsidRPr="000977F7">
        <w:rPr>
          <w:rFonts w:asciiTheme="majorHAnsi" w:hAnsiTheme="majorHAnsi"/>
          <w:spacing w:val="1"/>
          <w:sz w:val="20"/>
          <w:szCs w:val="20"/>
        </w:rPr>
        <w:t xml:space="preserve"> </w:t>
      </w:r>
      <w:r w:rsidRPr="000977F7">
        <w:rPr>
          <w:rFonts w:asciiTheme="majorHAnsi" w:hAnsiTheme="majorHAnsi"/>
          <w:sz w:val="20"/>
          <w:szCs w:val="20"/>
        </w:rPr>
        <w:t>матеріалів без урахування концентрації напруження,</w:t>
      </w:r>
      <w:r w:rsidRPr="000977F7">
        <w:rPr>
          <w:rFonts w:asciiTheme="majorHAnsi" w:hAnsiTheme="majorHAnsi"/>
          <w:spacing w:val="1"/>
          <w:sz w:val="20"/>
          <w:szCs w:val="20"/>
        </w:rPr>
        <w:t xml:space="preserve"> </w:t>
      </w:r>
      <w:r w:rsidRPr="000977F7">
        <w:rPr>
          <w:rFonts w:asciiTheme="majorHAnsi" w:hAnsiTheme="majorHAnsi"/>
          <w:sz w:val="20"/>
          <w:szCs w:val="20"/>
        </w:rPr>
        <w:t>залишкових</w:t>
      </w:r>
      <w:r w:rsidRPr="000977F7">
        <w:rPr>
          <w:rFonts w:asciiTheme="majorHAnsi" w:hAnsiTheme="majorHAnsi"/>
          <w:spacing w:val="1"/>
          <w:sz w:val="20"/>
          <w:szCs w:val="20"/>
        </w:rPr>
        <w:t xml:space="preserve"> </w:t>
      </w:r>
      <w:r w:rsidRPr="000977F7">
        <w:rPr>
          <w:rFonts w:asciiTheme="majorHAnsi" w:hAnsiTheme="majorHAnsi"/>
          <w:sz w:val="20"/>
          <w:szCs w:val="20"/>
        </w:rPr>
        <w:t>напружень</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пружно-пластичного</w:t>
      </w:r>
      <w:r w:rsidRPr="000977F7">
        <w:rPr>
          <w:rFonts w:asciiTheme="majorHAnsi" w:hAnsiTheme="majorHAnsi"/>
          <w:spacing w:val="1"/>
          <w:sz w:val="20"/>
          <w:szCs w:val="20"/>
        </w:rPr>
        <w:t xml:space="preserve"> </w:t>
      </w:r>
      <w:r w:rsidRPr="000977F7">
        <w:rPr>
          <w:rFonts w:asciiTheme="majorHAnsi" w:hAnsiTheme="majorHAnsi"/>
          <w:sz w:val="20"/>
          <w:szCs w:val="20"/>
        </w:rPr>
        <w:t>перерозподілу</w:t>
      </w:r>
      <w:r w:rsidRPr="000977F7">
        <w:rPr>
          <w:rFonts w:asciiTheme="majorHAnsi" w:hAnsiTheme="majorHAnsi"/>
          <w:spacing w:val="-2"/>
          <w:sz w:val="20"/>
          <w:szCs w:val="20"/>
        </w:rPr>
        <w:t xml:space="preserve"> </w:t>
      </w:r>
      <w:r w:rsidRPr="000977F7">
        <w:rPr>
          <w:rFonts w:asciiTheme="majorHAnsi" w:hAnsiTheme="majorHAnsi"/>
          <w:sz w:val="20"/>
          <w:szCs w:val="20"/>
        </w:rPr>
        <w:t>напруження</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процесі</w:t>
      </w:r>
      <w:r w:rsidRPr="000977F7">
        <w:rPr>
          <w:rFonts w:asciiTheme="majorHAnsi" w:hAnsiTheme="majorHAnsi"/>
          <w:spacing w:val="-2"/>
          <w:sz w:val="20"/>
          <w:szCs w:val="20"/>
        </w:rPr>
        <w:t xml:space="preserve"> </w:t>
      </w:r>
      <w:r w:rsidRPr="000977F7">
        <w:rPr>
          <w:rFonts w:asciiTheme="majorHAnsi" w:hAnsiTheme="majorHAnsi"/>
          <w:sz w:val="20"/>
          <w:szCs w:val="20"/>
        </w:rPr>
        <w:t>деформування</w:t>
      </w:r>
    </w:p>
    <w:p w14:paraId="3706F9B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2444 - 94</w:t>
      </w:r>
    </w:p>
    <w:p w14:paraId="21A706D9"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b/>
          <w:bCs/>
          <w:sz w:val="20"/>
          <w:szCs w:val="20"/>
          <w:lang w:eastAsia="ru-RU"/>
        </w:rPr>
      </w:pPr>
      <w:r w:rsidRPr="000977F7">
        <w:rPr>
          <w:rFonts w:asciiTheme="majorHAnsi" w:hAnsiTheme="majorHAnsi"/>
          <w:b/>
          <w:bCs/>
          <w:sz w:val="20"/>
          <w:szCs w:val="20"/>
          <w:lang w:eastAsia="ru-RU"/>
        </w:rPr>
        <w:t>НОМІНАЛЬНИЙ ДІАМЕТР (DN) –</w:t>
      </w:r>
    </w:p>
    <w:p w14:paraId="1FBE881A"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Цифрове позначення розміру, яке застосовується для всіх елементів, що входять до системи трубопроводу, крім частин, які позначаються за зовнішнім діаметром або параметром нарізки.</w:t>
      </w:r>
    </w:p>
    <w:p w14:paraId="6B781C0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shd w:val="clear" w:color="auto" w:fill="FFFFFF"/>
        </w:rPr>
        <w:t>Це округлене значення, яке використовується як референтний параметр і відповідає розмірам виробництва. Позначається літерами DN, після яких зазначають цифри</w:t>
      </w:r>
    </w:p>
    <w:p w14:paraId="79D8C09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Технічний регламент обладнання, що працює під тиском</w:t>
      </w:r>
    </w:p>
    <w:p w14:paraId="0B613E9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НОРМА</w:t>
      </w:r>
      <w:r w:rsidRPr="000977F7">
        <w:rPr>
          <w:color w:val="auto"/>
          <w:spacing w:val="-1"/>
          <w:sz w:val="20"/>
          <w:szCs w:val="20"/>
        </w:rPr>
        <w:t xml:space="preserve"> </w:t>
      </w:r>
      <w:r w:rsidRPr="000977F7">
        <w:rPr>
          <w:color w:val="auto"/>
          <w:sz w:val="20"/>
          <w:szCs w:val="20"/>
        </w:rPr>
        <w:t>–</w:t>
      </w:r>
    </w:p>
    <w:p w14:paraId="2CAB09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який лежить в основі необхідних властивостей продукту, процесу чи послуги, включаючи застосовувані</w:t>
      </w:r>
      <w:r w:rsidRPr="000977F7">
        <w:rPr>
          <w:rFonts w:asciiTheme="majorHAnsi" w:hAnsiTheme="majorHAnsi"/>
          <w:spacing w:val="1"/>
          <w:sz w:val="20"/>
          <w:szCs w:val="20"/>
        </w:rPr>
        <w:t xml:space="preserve"> </w:t>
      </w:r>
      <w:r w:rsidRPr="000977F7">
        <w:rPr>
          <w:rFonts w:asciiTheme="majorHAnsi" w:hAnsiTheme="majorHAnsi"/>
          <w:sz w:val="20"/>
          <w:szCs w:val="20"/>
        </w:rPr>
        <w:t>адміністративні</w:t>
      </w:r>
      <w:r w:rsidRPr="000977F7">
        <w:rPr>
          <w:rFonts w:asciiTheme="majorHAnsi" w:hAnsiTheme="majorHAnsi"/>
          <w:spacing w:val="1"/>
          <w:sz w:val="20"/>
          <w:szCs w:val="20"/>
        </w:rPr>
        <w:t xml:space="preserve"> </w:t>
      </w:r>
      <w:r w:rsidRPr="000977F7">
        <w:rPr>
          <w:rFonts w:asciiTheme="majorHAnsi" w:hAnsiTheme="majorHAnsi"/>
          <w:sz w:val="20"/>
          <w:szCs w:val="20"/>
        </w:rPr>
        <w:t>процедури,</w:t>
      </w:r>
      <w:r w:rsidRPr="000977F7">
        <w:rPr>
          <w:rFonts w:asciiTheme="majorHAnsi" w:hAnsiTheme="majorHAnsi"/>
          <w:spacing w:val="1"/>
          <w:sz w:val="20"/>
          <w:szCs w:val="20"/>
        </w:rPr>
        <w:t xml:space="preserve"> </w:t>
      </w:r>
      <w:r w:rsidRPr="000977F7">
        <w:rPr>
          <w:rFonts w:asciiTheme="majorHAnsi" w:hAnsiTheme="majorHAnsi"/>
          <w:sz w:val="20"/>
          <w:szCs w:val="20"/>
        </w:rPr>
        <w:t>причому</w:t>
      </w:r>
      <w:r w:rsidRPr="000977F7">
        <w:rPr>
          <w:rFonts w:asciiTheme="majorHAnsi" w:hAnsiTheme="majorHAnsi"/>
          <w:spacing w:val="1"/>
          <w:sz w:val="20"/>
          <w:szCs w:val="20"/>
        </w:rPr>
        <w:t xml:space="preserve"> </w:t>
      </w:r>
      <w:r w:rsidRPr="000977F7">
        <w:rPr>
          <w:rFonts w:asciiTheme="majorHAnsi" w:hAnsiTheme="majorHAnsi"/>
          <w:sz w:val="20"/>
          <w:szCs w:val="20"/>
        </w:rPr>
        <w:t>цей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2"/>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обов’язковим для</w:t>
      </w:r>
      <w:r w:rsidRPr="000977F7">
        <w:rPr>
          <w:rFonts w:asciiTheme="majorHAnsi" w:hAnsiTheme="majorHAnsi"/>
          <w:spacing w:val="-2"/>
          <w:sz w:val="20"/>
          <w:szCs w:val="20"/>
        </w:rPr>
        <w:t xml:space="preserve"> </w:t>
      </w:r>
      <w:r w:rsidRPr="000977F7">
        <w:rPr>
          <w:rFonts w:asciiTheme="majorHAnsi" w:hAnsiTheme="majorHAnsi"/>
          <w:sz w:val="20"/>
          <w:szCs w:val="20"/>
        </w:rPr>
        <w:t>дотримання</w:t>
      </w:r>
    </w:p>
    <w:p w14:paraId="389F6ED1" w14:textId="77777777" w:rsidR="0097612F" w:rsidRPr="000977F7" w:rsidRDefault="0097612F" w:rsidP="000977F7">
      <w:pPr>
        <w:tabs>
          <w:tab w:val="left" w:pos="284"/>
        </w:tabs>
        <w:spacing w:after="0" w:line="240" w:lineRule="auto"/>
        <w:ind w:left="170"/>
        <w:mirrorIndents/>
        <w:jc w:val="both"/>
        <w:rPr>
          <w:rFonts w:asciiTheme="majorHAnsi" w:hAnsiTheme="majorHAnsi"/>
          <w:i/>
          <w:w w:val="137"/>
          <w:sz w:val="20"/>
          <w:szCs w:val="20"/>
        </w:rPr>
      </w:pPr>
      <w:r w:rsidRPr="000977F7">
        <w:rPr>
          <w:rFonts w:asciiTheme="majorHAnsi" w:hAnsiTheme="majorHAnsi"/>
          <w:i/>
          <w:spacing w:val="-1"/>
          <w:w w:val="99"/>
          <w:sz w:val="20"/>
          <w:szCs w:val="20"/>
        </w:rPr>
        <w:t>Ке</w:t>
      </w:r>
      <w:r w:rsidRPr="000977F7">
        <w:rPr>
          <w:rFonts w:asciiTheme="majorHAnsi" w:hAnsiTheme="majorHAnsi"/>
          <w:i/>
          <w:w w:val="99"/>
          <w:sz w:val="20"/>
          <w:szCs w:val="20"/>
        </w:rPr>
        <w:t>р.</w:t>
      </w:r>
      <w:r w:rsidRPr="000977F7">
        <w:rPr>
          <w:rFonts w:asciiTheme="majorHAnsi" w:hAnsiTheme="majorHAnsi"/>
          <w:i/>
          <w:sz w:val="20"/>
          <w:szCs w:val="20"/>
        </w:rPr>
        <w:t xml:space="preserve"> </w:t>
      </w:r>
      <w:r w:rsidRPr="000977F7">
        <w:rPr>
          <w:rFonts w:asciiTheme="majorHAnsi" w:hAnsiTheme="majorHAnsi"/>
          <w:i/>
          <w:spacing w:val="1"/>
          <w:w w:val="99"/>
          <w:sz w:val="20"/>
          <w:szCs w:val="20"/>
        </w:rPr>
        <w:t>про</w:t>
      </w:r>
      <w:r w:rsidRPr="000977F7">
        <w:rPr>
          <w:rFonts w:asciiTheme="majorHAnsi" w:hAnsiTheme="majorHAnsi"/>
          <w:i/>
          <w:w w:val="99"/>
          <w:sz w:val="20"/>
          <w:szCs w:val="20"/>
        </w:rPr>
        <w:t>ек</w:t>
      </w:r>
      <w:r w:rsidRPr="000977F7">
        <w:rPr>
          <w:rFonts w:asciiTheme="majorHAnsi" w:hAnsiTheme="majorHAnsi"/>
          <w:i/>
          <w:spacing w:val="-1"/>
          <w:w w:val="99"/>
          <w:sz w:val="20"/>
          <w:szCs w:val="20"/>
        </w:rPr>
        <w:t>тн</w:t>
      </w:r>
      <w:r w:rsidRPr="000977F7">
        <w:rPr>
          <w:rFonts w:asciiTheme="majorHAnsi" w:hAnsiTheme="majorHAnsi"/>
          <w:i/>
          <w:w w:val="99"/>
          <w:sz w:val="20"/>
          <w:szCs w:val="20"/>
        </w:rPr>
        <w:t>.</w:t>
      </w:r>
      <w:r w:rsidRPr="000977F7">
        <w:rPr>
          <w:rFonts w:asciiTheme="majorHAnsi" w:hAnsiTheme="majorHAnsi"/>
          <w:i/>
          <w:sz w:val="20"/>
          <w:szCs w:val="20"/>
        </w:rPr>
        <w:t xml:space="preserve"> </w:t>
      </w:r>
      <w:r w:rsidRPr="000977F7">
        <w:rPr>
          <w:rFonts w:asciiTheme="majorHAnsi" w:hAnsiTheme="majorHAnsi"/>
          <w:i/>
          <w:spacing w:val="-1"/>
          <w:w w:val="99"/>
          <w:sz w:val="20"/>
          <w:szCs w:val="20"/>
        </w:rPr>
        <w:t>менеджм</w:t>
      </w:r>
      <w:r w:rsidRPr="000977F7">
        <w:rPr>
          <w:rFonts w:asciiTheme="majorHAnsi" w:hAnsiTheme="majorHAnsi"/>
          <w:i/>
          <w:spacing w:val="3"/>
          <w:w w:val="99"/>
          <w:sz w:val="20"/>
          <w:szCs w:val="20"/>
        </w:rPr>
        <w:t>.</w:t>
      </w:r>
      <w:r w:rsidRPr="000977F7">
        <w:rPr>
          <w:rFonts w:asciiTheme="majorHAnsi" w:hAnsiTheme="majorHAnsi"/>
          <w:i/>
          <w:w w:val="99"/>
          <w:sz w:val="20"/>
          <w:szCs w:val="20"/>
        </w:rPr>
        <w:t>-</w:t>
      </w:r>
      <w:r w:rsidRPr="000977F7">
        <w:rPr>
          <w:rFonts w:asciiTheme="majorHAnsi" w:hAnsiTheme="majorHAnsi"/>
          <w:i/>
          <w:spacing w:val="2"/>
          <w:w w:val="99"/>
          <w:sz w:val="20"/>
          <w:szCs w:val="20"/>
        </w:rPr>
        <w:t>т</w:t>
      </w:r>
      <w:r w:rsidRPr="000977F7">
        <w:rPr>
          <w:rFonts w:asciiTheme="majorHAnsi" w:hAnsiTheme="majorHAnsi"/>
          <w:i/>
          <w:w w:val="137"/>
          <w:sz w:val="20"/>
          <w:szCs w:val="20"/>
        </w:rPr>
        <w:t>у‖</w:t>
      </w:r>
      <w:bookmarkStart w:id="152" w:name="_Hlk102105156"/>
    </w:p>
    <w:p w14:paraId="576B2583"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НОРМА</w:t>
      </w:r>
      <w:r w:rsidRPr="000977F7">
        <w:rPr>
          <w:rFonts w:asciiTheme="majorHAnsi" w:hAnsiTheme="majorHAnsi"/>
          <w:b/>
          <w:spacing w:val="-1"/>
          <w:sz w:val="20"/>
          <w:szCs w:val="20"/>
        </w:rPr>
        <w:t xml:space="preserve"> </w:t>
      </w:r>
      <w:r w:rsidRPr="000977F7">
        <w:rPr>
          <w:rFonts w:asciiTheme="majorHAnsi" w:hAnsiTheme="majorHAnsi"/>
          <w:b/>
          <w:sz w:val="20"/>
          <w:szCs w:val="20"/>
        </w:rPr>
        <w:t>ВИРОБІТКУ</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448AE769"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STANDART</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PRODUCTION</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RATE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1FDC724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Регламентований</w:t>
      </w:r>
      <w:r w:rsidRPr="004D2D14">
        <w:rPr>
          <w:rFonts w:asciiTheme="majorHAnsi" w:hAnsiTheme="majorHAnsi"/>
          <w:spacing w:val="-4"/>
          <w:sz w:val="20"/>
          <w:szCs w:val="20"/>
          <w:lang w:val="en-US"/>
        </w:rPr>
        <w:t xml:space="preserve"> </w:t>
      </w:r>
      <w:r w:rsidRPr="000977F7">
        <w:rPr>
          <w:rFonts w:asciiTheme="majorHAnsi" w:hAnsiTheme="majorHAnsi"/>
          <w:sz w:val="20"/>
          <w:szCs w:val="20"/>
        </w:rPr>
        <w:t>обсяг</w:t>
      </w:r>
      <w:r w:rsidRPr="004D2D14">
        <w:rPr>
          <w:rFonts w:asciiTheme="majorHAnsi" w:hAnsiTheme="majorHAnsi"/>
          <w:spacing w:val="-1"/>
          <w:sz w:val="20"/>
          <w:szCs w:val="20"/>
          <w:lang w:val="en-US"/>
        </w:rPr>
        <w:t xml:space="preserve"> </w:t>
      </w:r>
      <w:r w:rsidRPr="000977F7">
        <w:rPr>
          <w:rFonts w:asciiTheme="majorHAnsi" w:hAnsiTheme="majorHAnsi"/>
          <w:sz w:val="20"/>
          <w:szCs w:val="20"/>
        </w:rPr>
        <w:t>роботи</w:t>
      </w:r>
    </w:p>
    <w:p w14:paraId="6719AE9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lastRenderedPageBreak/>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bookmarkEnd w:id="152"/>
    <w:p w14:paraId="5F4ACC2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НОРМА</w:t>
      </w:r>
      <w:r w:rsidRPr="000977F7">
        <w:rPr>
          <w:color w:val="auto"/>
          <w:spacing w:val="-4"/>
          <w:sz w:val="20"/>
          <w:szCs w:val="20"/>
        </w:rPr>
        <w:t xml:space="preserve"> </w:t>
      </w:r>
      <w:r w:rsidRPr="000977F7">
        <w:rPr>
          <w:color w:val="auto"/>
          <w:sz w:val="20"/>
          <w:szCs w:val="20"/>
        </w:rPr>
        <w:t>ДОПОМІЖНОГО</w:t>
      </w:r>
      <w:r w:rsidRPr="000977F7">
        <w:rPr>
          <w:color w:val="auto"/>
          <w:spacing w:val="-3"/>
          <w:sz w:val="20"/>
          <w:szCs w:val="20"/>
        </w:rPr>
        <w:t xml:space="preserve"> </w:t>
      </w:r>
      <w:r w:rsidRPr="000977F7">
        <w:rPr>
          <w:color w:val="auto"/>
          <w:sz w:val="20"/>
          <w:szCs w:val="20"/>
        </w:rPr>
        <w:t>ЧАСУ –</w:t>
      </w:r>
    </w:p>
    <w:p w14:paraId="538738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Норма</w:t>
      </w:r>
      <w:r w:rsidRPr="000977F7">
        <w:rPr>
          <w:rFonts w:asciiTheme="majorHAnsi" w:hAnsiTheme="majorHAnsi"/>
          <w:spacing w:val="1"/>
          <w:sz w:val="20"/>
          <w:szCs w:val="20"/>
        </w:rPr>
        <w:t xml:space="preserve"> </w:t>
      </w:r>
      <w:r w:rsidRPr="000977F7">
        <w:rPr>
          <w:rFonts w:asciiTheme="majorHAnsi" w:hAnsiTheme="majorHAnsi"/>
          <w:sz w:val="20"/>
          <w:szCs w:val="20"/>
        </w:rPr>
        <w:t>часу</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здійснення</w:t>
      </w:r>
      <w:r w:rsidRPr="000977F7">
        <w:rPr>
          <w:rFonts w:asciiTheme="majorHAnsi" w:hAnsiTheme="majorHAnsi"/>
          <w:spacing w:val="1"/>
          <w:sz w:val="20"/>
          <w:szCs w:val="20"/>
        </w:rPr>
        <w:t xml:space="preserve"> </w:t>
      </w:r>
      <w:r w:rsidRPr="000977F7">
        <w:rPr>
          <w:rFonts w:asciiTheme="majorHAnsi" w:hAnsiTheme="majorHAnsi"/>
          <w:sz w:val="20"/>
          <w:szCs w:val="20"/>
        </w:rPr>
        <w:t>дій,</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уможливлюють</w:t>
      </w:r>
      <w:r w:rsidRPr="000977F7">
        <w:rPr>
          <w:rFonts w:asciiTheme="majorHAnsi" w:hAnsiTheme="majorHAnsi"/>
          <w:spacing w:val="1"/>
          <w:sz w:val="20"/>
          <w:szCs w:val="20"/>
        </w:rPr>
        <w:t xml:space="preserve"> </w:t>
      </w:r>
      <w:r w:rsidRPr="000977F7">
        <w:rPr>
          <w:rFonts w:asciiTheme="majorHAnsi" w:hAnsiTheme="majorHAnsi"/>
          <w:sz w:val="20"/>
          <w:szCs w:val="20"/>
        </w:rPr>
        <w:t>виконання основної роботи, яка є метою технологічної</w:t>
      </w:r>
      <w:r w:rsidRPr="000977F7">
        <w:rPr>
          <w:rFonts w:asciiTheme="majorHAnsi" w:hAnsiTheme="majorHAnsi"/>
          <w:spacing w:val="-2"/>
          <w:sz w:val="20"/>
          <w:szCs w:val="20"/>
        </w:rPr>
        <w:t xml:space="preserve"> </w:t>
      </w:r>
      <w:r w:rsidRPr="000977F7">
        <w:rPr>
          <w:rFonts w:asciiTheme="majorHAnsi" w:hAnsiTheme="majorHAnsi"/>
          <w:sz w:val="20"/>
          <w:szCs w:val="20"/>
        </w:rPr>
        <w:t>операції</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переходу</w:t>
      </w:r>
    </w:p>
    <w:p w14:paraId="059A1C1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 xml:space="preserve">2391 </w:t>
      </w:r>
      <w:r w:rsidRPr="000977F7">
        <w:rPr>
          <w:rFonts w:asciiTheme="majorHAnsi" w:hAnsiTheme="majorHAnsi"/>
          <w:sz w:val="20"/>
          <w:szCs w:val="20"/>
        </w:rPr>
        <w:t xml:space="preserve">– </w:t>
      </w:r>
      <w:r w:rsidRPr="000977F7">
        <w:rPr>
          <w:rFonts w:asciiTheme="majorHAnsi" w:hAnsiTheme="majorHAnsi"/>
          <w:i/>
          <w:sz w:val="20"/>
          <w:szCs w:val="20"/>
        </w:rPr>
        <w:t>2010</w:t>
      </w:r>
    </w:p>
    <w:p w14:paraId="043534A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НОРМА</w:t>
      </w:r>
      <w:r w:rsidRPr="000977F7">
        <w:rPr>
          <w:color w:val="auto"/>
          <w:spacing w:val="-4"/>
          <w:sz w:val="20"/>
          <w:szCs w:val="20"/>
        </w:rPr>
        <w:t xml:space="preserve"> </w:t>
      </w:r>
      <w:r w:rsidRPr="000977F7">
        <w:rPr>
          <w:color w:val="auto"/>
          <w:sz w:val="20"/>
          <w:szCs w:val="20"/>
        </w:rPr>
        <w:t>ОПЕРАТИВНОГО</w:t>
      </w:r>
      <w:r w:rsidRPr="000977F7">
        <w:rPr>
          <w:color w:val="auto"/>
          <w:spacing w:val="-3"/>
          <w:sz w:val="20"/>
          <w:szCs w:val="20"/>
        </w:rPr>
        <w:t xml:space="preserve"> </w:t>
      </w:r>
      <w:r w:rsidRPr="000977F7">
        <w:rPr>
          <w:color w:val="auto"/>
          <w:sz w:val="20"/>
          <w:szCs w:val="20"/>
        </w:rPr>
        <w:t>ЧАСУ</w:t>
      </w:r>
      <w:r w:rsidRPr="000977F7">
        <w:rPr>
          <w:color w:val="auto"/>
          <w:spacing w:val="1"/>
          <w:sz w:val="20"/>
          <w:szCs w:val="20"/>
        </w:rPr>
        <w:t xml:space="preserve"> </w:t>
      </w:r>
      <w:r w:rsidRPr="000977F7">
        <w:rPr>
          <w:color w:val="auto"/>
          <w:sz w:val="20"/>
          <w:szCs w:val="20"/>
        </w:rPr>
        <w:t>–</w:t>
      </w:r>
    </w:p>
    <w:p w14:paraId="083142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Норма</w:t>
      </w:r>
      <w:r w:rsidRPr="000977F7">
        <w:rPr>
          <w:rFonts w:asciiTheme="majorHAnsi" w:hAnsiTheme="majorHAnsi"/>
          <w:spacing w:val="19"/>
          <w:sz w:val="20"/>
          <w:szCs w:val="20"/>
        </w:rPr>
        <w:t xml:space="preserve"> </w:t>
      </w:r>
      <w:r w:rsidRPr="000977F7">
        <w:rPr>
          <w:rFonts w:asciiTheme="majorHAnsi" w:hAnsiTheme="majorHAnsi"/>
          <w:sz w:val="20"/>
          <w:szCs w:val="20"/>
        </w:rPr>
        <w:t>часу</w:t>
      </w:r>
      <w:r w:rsidRPr="000977F7">
        <w:rPr>
          <w:rFonts w:asciiTheme="majorHAnsi" w:hAnsiTheme="majorHAnsi"/>
          <w:spacing w:val="15"/>
          <w:sz w:val="20"/>
          <w:szCs w:val="20"/>
        </w:rPr>
        <w:t xml:space="preserve"> </w:t>
      </w:r>
      <w:r w:rsidRPr="000977F7">
        <w:rPr>
          <w:rFonts w:asciiTheme="majorHAnsi" w:hAnsiTheme="majorHAnsi"/>
          <w:sz w:val="20"/>
          <w:szCs w:val="20"/>
        </w:rPr>
        <w:t>на</w:t>
      </w:r>
      <w:r w:rsidRPr="000977F7">
        <w:rPr>
          <w:rFonts w:asciiTheme="majorHAnsi" w:hAnsiTheme="majorHAnsi"/>
          <w:spacing w:val="2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8"/>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18"/>
          <w:sz w:val="20"/>
          <w:szCs w:val="20"/>
        </w:rPr>
        <w:t xml:space="preserve"> </w:t>
      </w:r>
      <w:r w:rsidRPr="000977F7">
        <w:rPr>
          <w:rFonts w:asciiTheme="majorHAnsi" w:hAnsiTheme="majorHAnsi"/>
          <w:sz w:val="20"/>
          <w:szCs w:val="20"/>
        </w:rPr>
        <w:t>операції,</w:t>
      </w:r>
      <w:r w:rsidRPr="000977F7">
        <w:rPr>
          <w:rFonts w:asciiTheme="majorHAnsi" w:hAnsiTheme="majorHAnsi"/>
          <w:spacing w:val="20"/>
          <w:sz w:val="20"/>
          <w:szCs w:val="20"/>
        </w:rPr>
        <w:t xml:space="preserve"> </w:t>
      </w:r>
      <w:r w:rsidRPr="000977F7">
        <w:rPr>
          <w:rFonts w:asciiTheme="majorHAnsi" w:hAnsiTheme="majorHAnsi"/>
          <w:sz w:val="20"/>
          <w:szCs w:val="20"/>
        </w:rPr>
        <w:t>яка</w:t>
      </w:r>
      <w:r w:rsidRPr="000977F7">
        <w:rPr>
          <w:rFonts w:asciiTheme="majorHAnsi" w:hAnsiTheme="majorHAnsi"/>
          <w:spacing w:val="-48"/>
          <w:sz w:val="20"/>
          <w:szCs w:val="20"/>
        </w:rPr>
        <w:t xml:space="preserve"> </w:t>
      </w:r>
      <w:r w:rsidRPr="000977F7">
        <w:rPr>
          <w:rFonts w:asciiTheme="majorHAnsi" w:hAnsiTheme="majorHAnsi"/>
          <w:sz w:val="20"/>
          <w:szCs w:val="20"/>
        </w:rPr>
        <w:t>є складовою норми поштучного часу і складається з</w:t>
      </w:r>
      <w:r w:rsidRPr="000977F7">
        <w:rPr>
          <w:rFonts w:asciiTheme="majorHAnsi" w:hAnsiTheme="majorHAnsi"/>
          <w:spacing w:val="1"/>
          <w:sz w:val="20"/>
          <w:szCs w:val="20"/>
        </w:rPr>
        <w:t xml:space="preserve"> </w:t>
      </w:r>
      <w:r w:rsidRPr="000977F7">
        <w:rPr>
          <w:rFonts w:asciiTheme="majorHAnsi" w:hAnsiTheme="majorHAnsi"/>
          <w:sz w:val="20"/>
          <w:szCs w:val="20"/>
        </w:rPr>
        <w:t>суми</w:t>
      </w:r>
      <w:r w:rsidRPr="000977F7">
        <w:rPr>
          <w:rFonts w:asciiTheme="majorHAnsi" w:hAnsiTheme="majorHAnsi"/>
          <w:spacing w:val="-2"/>
          <w:sz w:val="20"/>
          <w:szCs w:val="20"/>
        </w:rPr>
        <w:t xml:space="preserve"> </w:t>
      </w:r>
      <w:r w:rsidRPr="000977F7">
        <w:rPr>
          <w:rFonts w:asciiTheme="majorHAnsi" w:hAnsiTheme="majorHAnsi"/>
          <w:sz w:val="20"/>
          <w:szCs w:val="20"/>
        </w:rPr>
        <w:t>норм</w:t>
      </w:r>
      <w:r w:rsidRPr="000977F7">
        <w:rPr>
          <w:rFonts w:asciiTheme="majorHAnsi" w:hAnsiTheme="majorHAnsi"/>
          <w:spacing w:val="1"/>
          <w:sz w:val="20"/>
          <w:szCs w:val="20"/>
        </w:rPr>
        <w:t xml:space="preserve"> </w:t>
      </w:r>
      <w:r w:rsidRPr="000977F7">
        <w:rPr>
          <w:rFonts w:asciiTheme="majorHAnsi" w:hAnsiTheme="majorHAnsi"/>
          <w:sz w:val="20"/>
          <w:szCs w:val="20"/>
        </w:rPr>
        <w:t>основного та допоміжного часу</w:t>
      </w:r>
    </w:p>
    <w:p w14:paraId="64D4212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3908928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НОРМА</w:t>
      </w:r>
      <w:r w:rsidRPr="000977F7">
        <w:rPr>
          <w:color w:val="auto"/>
          <w:spacing w:val="-5"/>
          <w:sz w:val="20"/>
          <w:szCs w:val="20"/>
        </w:rPr>
        <w:t xml:space="preserve"> </w:t>
      </w:r>
      <w:r w:rsidRPr="000977F7">
        <w:rPr>
          <w:color w:val="auto"/>
          <w:sz w:val="20"/>
          <w:szCs w:val="20"/>
        </w:rPr>
        <w:t>ОСНОВНОГО</w:t>
      </w:r>
      <w:r w:rsidRPr="000977F7">
        <w:rPr>
          <w:color w:val="auto"/>
          <w:spacing w:val="-3"/>
          <w:sz w:val="20"/>
          <w:szCs w:val="20"/>
        </w:rPr>
        <w:t xml:space="preserve"> </w:t>
      </w:r>
      <w:r w:rsidRPr="000977F7">
        <w:rPr>
          <w:color w:val="auto"/>
          <w:sz w:val="20"/>
          <w:szCs w:val="20"/>
        </w:rPr>
        <w:t>ЧАСУ –</w:t>
      </w:r>
    </w:p>
    <w:p w14:paraId="18EA628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Норма часу на досягнення безпосередньої мети даної</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технологічної операції чи переходу для якісної та (чи)</w:t>
      </w:r>
      <w:r w:rsidRPr="000977F7">
        <w:rPr>
          <w:rFonts w:asciiTheme="majorHAnsi" w:hAnsiTheme="majorHAnsi"/>
          <w:spacing w:val="-47"/>
          <w:sz w:val="20"/>
          <w:szCs w:val="20"/>
        </w:rPr>
        <w:t xml:space="preserve"> </w:t>
      </w:r>
      <w:r w:rsidRPr="000977F7">
        <w:rPr>
          <w:rFonts w:asciiTheme="majorHAnsi" w:hAnsiTheme="majorHAnsi"/>
          <w:sz w:val="20"/>
          <w:szCs w:val="20"/>
        </w:rPr>
        <w:t>кількісної</w:t>
      </w:r>
      <w:r w:rsidRPr="000977F7">
        <w:rPr>
          <w:rFonts w:asciiTheme="majorHAnsi" w:hAnsiTheme="majorHAnsi"/>
          <w:spacing w:val="-2"/>
          <w:sz w:val="20"/>
          <w:szCs w:val="20"/>
        </w:rPr>
        <w:t xml:space="preserve"> </w:t>
      </w:r>
      <w:r w:rsidRPr="000977F7">
        <w:rPr>
          <w:rFonts w:asciiTheme="majorHAnsi" w:hAnsiTheme="majorHAnsi"/>
          <w:sz w:val="20"/>
          <w:szCs w:val="20"/>
        </w:rPr>
        <w:t>зміни</w:t>
      </w:r>
      <w:r w:rsidRPr="000977F7">
        <w:rPr>
          <w:rFonts w:asciiTheme="majorHAnsi" w:hAnsiTheme="majorHAnsi"/>
          <w:spacing w:val="1"/>
          <w:sz w:val="20"/>
          <w:szCs w:val="20"/>
        </w:rPr>
        <w:t xml:space="preserve"> </w:t>
      </w:r>
      <w:r w:rsidRPr="000977F7">
        <w:rPr>
          <w:rFonts w:asciiTheme="majorHAnsi" w:hAnsiTheme="majorHAnsi"/>
          <w:sz w:val="20"/>
          <w:szCs w:val="20"/>
        </w:rPr>
        <w:t>предмета праці</w:t>
      </w:r>
    </w:p>
    <w:p w14:paraId="72D340F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2D71299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w w:val="95"/>
          <w:sz w:val="20"/>
          <w:szCs w:val="20"/>
        </w:rPr>
        <w:t>НОРМА</w:t>
      </w:r>
      <w:r w:rsidRPr="000977F7">
        <w:rPr>
          <w:color w:val="auto"/>
          <w:spacing w:val="10"/>
          <w:w w:val="95"/>
          <w:sz w:val="20"/>
          <w:szCs w:val="20"/>
        </w:rPr>
        <w:t xml:space="preserve"> </w:t>
      </w:r>
      <w:r w:rsidRPr="000977F7">
        <w:rPr>
          <w:color w:val="auto"/>
          <w:w w:val="95"/>
          <w:sz w:val="20"/>
          <w:szCs w:val="20"/>
        </w:rPr>
        <w:t>ПІДГОТОВЧО</w:t>
      </w:r>
      <w:r w:rsidRPr="000977F7">
        <w:rPr>
          <w:color w:val="auto"/>
          <w:spacing w:val="11"/>
          <w:w w:val="95"/>
          <w:sz w:val="20"/>
          <w:szCs w:val="20"/>
        </w:rPr>
        <w:t xml:space="preserve"> </w:t>
      </w:r>
      <w:r w:rsidRPr="000977F7">
        <w:rPr>
          <w:color w:val="auto"/>
          <w:w w:val="95"/>
          <w:sz w:val="20"/>
          <w:szCs w:val="20"/>
        </w:rPr>
        <w:t>–</w:t>
      </w:r>
      <w:r w:rsidRPr="000977F7">
        <w:rPr>
          <w:color w:val="auto"/>
          <w:spacing w:val="15"/>
          <w:w w:val="95"/>
          <w:sz w:val="20"/>
          <w:szCs w:val="20"/>
        </w:rPr>
        <w:t xml:space="preserve"> </w:t>
      </w:r>
      <w:r w:rsidRPr="000977F7">
        <w:rPr>
          <w:color w:val="auto"/>
          <w:w w:val="95"/>
          <w:sz w:val="20"/>
          <w:szCs w:val="20"/>
        </w:rPr>
        <w:t>ОСТАТОЧНОГО</w:t>
      </w:r>
      <w:r w:rsidRPr="000977F7">
        <w:rPr>
          <w:color w:val="auto"/>
          <w:spacing w:val="10"/>
          <w:w w:val="95"/>
          <w:sz w:val="20"/>
          <w:szCs w:val="20"/>
        </w:rPr>
        <w:t xml:space="preserve"> </w:t>
      </w:r>
      <w:r w:rsidRPr="000977F7">
        <w:rPr>
          <w:color w:val="auto"/>
          <w:w w:val="95"/>
          <w:sz w:val="20"/>
          <w:szCs w:val="20"/>
        </w:rPr>
        <w:t>ЧАСУ</w:t>
      </w:r>
      <w:r w:rsidRPr="000977F7">
        <w:rPr>
          <w:color w:val="auto"/>
          <w:spacing w:val="9"/>
          <w:w w:val="95"/>
          <w:sz w:val="20"/>
          <w:szCs w:val="20"/>
        </w:rPr>
        <w:t xml:space="preserve"> </w:t>
      </w:r>
      <w:r w:rsidRPr="000977F7">
        <w:rPr>
          <w:color w:val="auto"/>
          <w:w w:val="95"/>
          <w:sz w:val="20"/>
          <w:szCs w:val="20"/>
        </w:rPr>
        <w:t>–</w:t>
      </w:r>
    </w:p>
    <w:p w14:paraId="69554D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Норма</w:t>
      </w:r>
      <w:r w:rsidRPr="000977F7">
        <w:rPr>
          <w:rFonts w:asciiTheme="majorHAnsi" w:hAnsiTheme="majorHAnsi"/>
          <w:spacing w:val="-8"/>
          <w:sz w:val="20"/>
          <w:szCs w:val="20"/>
        </w:rPr>
        <w:t xml:space="preserve"> </w:t>
      </w:r>
      <w:r w:rsidRPr="000977F7">
        <w:rPr>
          <w:rFonts w:asciiTheme="majorHAnsi" w:hAnsiTheme="majorHAnsi"/>
          <w:spacing w:val="-1"/>
          <w:sz w:val="20"/>
          <w:szCs w:val="20"/>
        </w:rPr>
        <w:t>часу</w:t>
      </w:r>
      <w:r w:rsidRPr="000977F7">
        <w:rPr>
          <w:rFonts w:asciiTheme="majorHAnsi" w:hAnsiTheme="majorHAnsi"/>
          <w:spacing w:val="-10"/>
          <w:sz w:val="20"/>
          <w:szCs w:val="20"/>
        </w:rPr>
        <w:t xml:space="preserve"> </w:t>
      </w:r>
      <w:r w:rsidRPr="000977F7">
        <w:rPr>
          <w:rFonts w:asciiTheme="majorHAnsi" w:hAnsiTheme="majorHAnsi"/>
          <w:spacing w:val="-1"/>
          <w:sz w:val="20"/>
          <w:szCs w:val="20"/>
        </w:rPr>
        <w:t>на</w:t>
      </w:r>
      <w:r w:rsidRPr="000977F7">
        <w:rPr>
          <w:rFonts w:asciiTheme="majorHAnsi" w:hAnsiTheme="majorHAnsi"/>
          <w:spacing w:val="-5"/>
          <w:sz w:val="20"/>
          <w:szCs w:val="20"/>
        </w:rPr>
        <w:t xml:space="preserve"> </w:t>
      </w:r>
      <w:r w:rsidRPr="000977F7">
        <w:rPr>
          <w:rFonts w:asciiTheme="majorHAnsi" w:hAnsiTheme="majorHAnsi"/>
          <w:spacing w:val="-1"/>
          <w:sz w:val="20"/>
          <w:szCs w:val="20"/>
        </w:rPr>
        <w:t>підготовлення</w:t>
      </w:r>
      <w:r w:rsidRPr="000977F7">
        <w:rPr>
          <w:rFonts w:asciiTheme="majorHAnsi" w:hAnsiTheme="majorHAnsi"/>
          <w:spacing w:val="-8"/>
          <w:sz w:val="20"/>
          <w:szCs w:val="20"/>
        </w:rPr>
        <w:t xml:space="preserve"> </w:t>
      </w:r>
      <w:r w:rsidRPr="000977F7">
        <w:rPr>
          <w:rFonts w:asciiTheme="majorHAnsi" w:hAnsiTheme="majorHAnsi"/>
          <w:sz w:val="20"/>
          <w:szCs w:val="20"/>
        </w:rPr>
        <w:t>робітників</w:t>
      </w:r>
      <w:r w:rsidRPr="000977F7">
        <w:rPr>
          <w:rFonts w:asciiTheme="majorHAnsi" w:hAnsiTheme="majorHAnsi"/>
          <w:spacing w:val="-8"/>
          <w:sz w:val="20"/>
          <w:szCs w:val="20"/>
        </w:rPr>
        <w:t xml:space="preserve"> </w:t>
      </w:r>
      <w:r w:rsidRPr="000977F7">
        <w:rPr>
          <w:rFonts w:asciiTheme="majorHAnsi" w:hAnsiTheme="majorHAnsi"/>
          <w:sz w:val="20"/>
          <w:szCs w:val="20"/>
        </w:rPr>
        <w:t>і</w:t>
      </w:r>
      <w:r w:rsidRPr="000977F7">
        <w:rPr>
          <w:rFonts w:asciiTheme="majorHAnsi" w:hAnsiTheme="majorHAnsi"/>
          <w:spacing w:val="-8"/>
          <w:sz w:val="20"/>
          <w:szCs w:val="20"/>
        </w:rPr>
        <w:t xml:space="preserve"> </w:t>
      </w:r>
      <w:r w:rsidRPr="000977F7">
        <w:rPr>
          <w:rFonts w:asciiTheme="majorHAnsi" w:hAnsiTheme="majorHAnsi"/>
          <w:sz w:val="20"/>
          <w:szCs w:val="20"/>
        </w:rPr>
        <w:t>засобів</w:t>
      </w:r>
      <w:r w:rsidRPr="000977F7">
        <w:rPr>
          <w:rFonts w:asciiTheme="majorHAnsi" w:hAnsiTheme="majorHAnsi"/>
          <w:spacing w:val="-6"/>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0"/>
          <w:sz w:val="20"/>
          <w:szCs w:val="20"/>
        </w:rPr>
        <w:t xml:space="preserve"> </w:t>
      </w:r>
      <w:r w:rsidRPr="000977F7">
        <w:rPr>
          <w:rFonts w:asciiTheme="majorHAnsi" w:hAnsiTheme="majorHAnsi"/>
          <w:sz w:val="20"/>
          <w:szCs w:val="20"/>
        </w:rPr>
        <w:t>до</w:t>
      </w:r>
      <w:r w:rsidRPr="000977F7">
        <w:rPr>
          <w:rFonts w:asciiTheme="majorHAnsi" w:hAnsiTheme="majorHAnsi"/>
          <w:spacing w:val="-8"/>
          <w:sz w:val="20"/>
          <w:szCs w:val="20"/>
        </w:rPr>
        <w:t xml:space="preserve"> </w:t>
      </w:r>
      <w:r w:rsidRPr="000977F7">
        <w:rPr>
          <w:rFonts w:asciiTheme="majorHAnsi" w:hAnsiTheme="majorHAnsi"/>
          <w:sz w:val="20"/>
          <w:szCs w:val="20"/>
        </w:rPr>
        <w:t>виконання</w:t>
      </w:r>
      <w:r w:rsidRPr="000977F7">
        <w:rPr>
          <w:rFonts w:asciiTheme="majorHAnsi" w:hAnsiTheme="majorHAnsi"/>
          <w:spacing w:val="-10"/>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9"/>
          <w:sz w:val="20"/>
          <w:szCs w:val="20"/>
        </w:rPr>
        <w:t xml:space="preserve"> </w:t>
      </w:r>
      <w:r w:rsidRPr="000977F7">
        <w:rPr>
          <w:rFonts w:asciiTheme="majorHAnsi" w:hAnsiTheme="majorHAnsi"/>
          <w:sz w:val="20"/>
          <w:szCs w:val="20"/>
        </w:rPr>
        <w:t>операції</w:t>
      </w:r>
      <w:r w:rsidRPr="000977F7">
        <w:rPr>
          <w:rFonts w:asciiTheme="majorHAnsi" w:hAnsiTheme="majorHAnsi"/>
          <w:spacing w:val="-9"/>
          <w:sz w:val="20"/>
          <w:szCs w:val="20"/>
        </w:rPr>
        <w:t xml:space="preserve"> </w:t>
      </w:r>
      <w:r w:rsidRPr="000977F7">
        <w:rPr>
          <w:rFonts w:asciiTheme="majorHAnsi" w:hAnsiTheme="majorHAnsi"/>
          <w:sz w:val="20"/>
          <w:szCs w:val="20"/>
        </w:rPr>
        <w:t>та</w:t>
      </w:r>
      <w:r w:rsidRPr="000977F7">
        <w:rPr>
          <w:rFonts w:asciiTheme="majorHAnsi" w:hAnsiTheme="majorHAnsi"/>
          <w:spacing w:val="-9"/>
          <w:sz w:val="20"/>
          <w:szCs w:val="20"/>
        </w:rPr>
        <w:t xml:space="preserve"> </w:t>
      </w:r>
      <w:r w:rsidRPr="000977F7">
        <w:rPr>
          <w:rFonts w:asciiTheme="majorHAnsi" w:hAnsiTheme="majorHAnsi"/>
          <w:sz w:val="20"/>
          <w:szCs w:val="20"/>
        </w:rPr>
        <w:t>приведення</w:t>
      </w:r>
      <w:r w:rsidRPr="000977F7">
        <w:rPr>
          <w:rFonts w:asciiTheme="majorHAnsi" w:hAnsiTheme="majorHAnsi"/>
          <w:spacing w:val="-10"/>
          <w:sz w:val="20"/>
          <w:szCs w:val="20"/>
        </w:rPr>
        <w:t xml:space="preserve"> </w:t>
      </w:r>
      <w:r w:rsidRPr="000977F7">
        <w:rPr>
          <w:rFonts w:asciiTheme="majorHAnsi" w:hAnsiTheme="majorHAnsi"/>
          <w:sz w:val="20"/>
          <w:szCs w:val="20"/>
        </w:rPr>
        <w:t>їх</w:t>
      </w:r>
      <w:r w:rsidRPr="000977F7">
        <w:rPr>
          <w:rFonts w:asciiTheme="majorHAnsi" w:hAnsiTheme="majorHAnsi"/>
          <w:spacing w:val="-10"/>
          <w:sz w:val="20"/>
          <w:szCs w:val="20"/>
        </w:rPr>
        <w:t xml:space="preserve"> </w:t>
      </w:r>
      <w:r w:rsidRPr="000977F7">
        <w:rPr>
          <w:rFonts w:asciiTheme="majorHAnsi" w:hAnsiTheme="majorHAnsi"/>
          <w:sz w:val="20"/>
          <w:szCs w:val="20"/>
        </w:rPr>
        <w:t>до</w:t>
      </w:r>
      <w:r w:rsidRPr="000977F7">
        <w:rPr>
          <w:rFonts w:asciiTheme="majorHAnsi" w:hAnsiTheme="majorHAnsi"/>
          <w:spacing w:val="-6"/>
          <w:sz w:val="20"/>
          <w:szCs w:val="20"/>
        </w:rPr>
        <w:t xml:space="preserve"> </w:t>
      </w:r>
      <w:r w:rsidRPr="000977F7">
        <w:rPr>
          <w:rFonts w:asciiTheme="majorHAnsi" w:hAnsiTheme="majorHAnsi"/>
          <w:sz w:val="20"/>
          <w:szCs w:val="20"/>
        </w:rPr>
        <w:t>початкового</w:t>
      </w:r>
      <w:r w:rsidRPr="000977F7">
        <w:rPr>
          <w:rFonts w:asciiTheme="majorHAnsi" w:hAnsiTheme="majorHAnsi"/>
          <w:spacing w:val="-8"/>
          <w:sz w:val="20"/>
          <w:szCs w:val="20"/>
        </w:rPr>
        <w:t xml:space="preserve"> </w:t>
      </w:r>
      <w:r w:rsidRPr="000977F7">
        <w:rPr>
          <w:rFonts w:asciiTheme="majorHAnsi" w:hAnsiTheme="majorHAnsi"/>
          <w:sz w:val="20"/>
          <w:szCs w:val="20"/>
        </w:rPr>
        <w:t>стану</w:t>
      </w:r>
      <w:r w:rsidRPr="000977F7">
        <w:rPr>
          <w:rFonts w:asciiTheme="majorHAnsi" w:hAnsiTheme="majorHAnsi"/>
          <w:spacing w:val="-9"/>
          <w:sz w:val="20"/>
          <w:szCs w:val="20"/>
        </w:rPr>
        <w:t xml:space="preserve"> </w:t>
      </w:r>
      <w:r w:rsidRPr="000977F7">
        <w:rPr>
          <w:rFonts w:asciiTheme="majorHAnsi" w:hAnsiTheme="majorHAnsi"/>
          <w:sz w:val="20"/>
          <w:szCs w:val="20"/>
        </w:rPr>
        <w:t>після</w:t>
      </w:r>
      <w:r w:rsidRPr="000977F7">
        <w:rPr>
          <w:rFonts w:asciiTheme="majorHAnsi" w:hAnsiTheme="majorHAnsi"/>
          <w:spacing w:val="-7"/>
          <w:sz w:val="20"/>
          <w:szCs w:val="20"/>
        </w:rPr>
        <w:t xml:space="preserve"> </w:t>
      </w:r>
      <w:r w:rsidRPr="000977F7">
        <w:rPr>
          <w:rFonts w:asciiTheme="majorHAnsi" w:hAnsiTheme="majorHAnsi"/>
          <w:sz w:val="20"/>
          <w:szCs w:val="20"/>
        </w:rPr>
        <w:t>її</w:t>
      </w:r>
      <w:r w:rsidRPr="000977F7">
        <w:rPr>
          <w:rFonts w:asciiTheme="majorHAnsi" w:hAnsiTheme="majorHAnsi"/>
          <w:spacing w:val="-10"/>
          <w:sz w:val="20"/>
          <w:szCs w:val="20"/>
        </w:rPr>
        <w:t xml:space="preserve"> </w:t>
      </w:r>
      <w:r w:rsidRPr="000977F7">
        <w:rPr>
          <w:rFonts w:asciiTheme="majorHAnsi" w:hAnsiTheme="majorHAnsi"/>
          <w:sz w:val="20"/>
          <w:szCs w:val="20"/>
        </w:rPr>
        <w:t>закінчення</w:t>
      </w:r>
    </w:p>
    <w:p w14:paraId="087C216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1D1A84C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НОРМА</w:t>
      </w:r>
      <w:r w:rsidRPr="000977F7">
        <w:rPr>
          <w:color w:val="auto"/>
          <w:spacing w:val="-3"/>
          <w:sz w:val="20"/>
          <w:szCs w:val="20"/>
        </w:rPr>
        <w:t xml:space="preserve"> </w:t>
      </w:r>
      <w:r w:rsidRPr="000977F7">
        <w:rPr>
          <w:color w:val="auto"/>
          <w:sz w:val="20"/>
          <w:szCs w:val="20"/>
        </w:rPr>
        <w:t>ПОШТУЧНОГО</w:t>
      </w:r>
      <w:r w:rsidRPr="000977F7">
        <w:rPr>
          <w:color w:val="auto"/>
          <w:spacing w:val="-2"/>
          <w:sz w:val="20"/>
          <w:szCs w:val="20"/>
        </w:rPr>
        <w:t xml:space="preserve"> </w:t>
      </w:r>
      <w:r w:rsidRPr="000977F7">
        <w:rPr>
          <w:color w:val="auto"/>
          <w:sz w:val="20"/>
          <w:szCs w:val="20"/>
        </w:rPr>
        <w:t>ЧАСУ –</w:t>
      </w:r>
    </w:p>
    <w:p w14:paraId="1D6377C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Норма часу на виконання обсягу роботи, яка дорівнює</w:t>
      </w:r>
      <w:r w:rsidRPr="000977F7">
        <w:rPr>
          <w:rFonts w:asciiTheme="majorHAnsi" w:hAnsiTheme="majorHAnsi"/>
          <w:spacing w:val="-47"/>
          <w:sz w:val="20"/>
          <w:szCs w:val="20"/>
        </w:rPr>
        <w:t xml:space="preserve"> </w:t>
      </w:r>
      <w:r w:rsidRPr="000977F7">
        <w:rPr>
          <w:rFonts w:asciiTheme="majorHAnsi" w:hAnsiTheme="majorHAnsi"/>
          <w:sz w:val="20"/>
          <w:szCs w:val="20"/>
        </w:rPr>
        <w:t>одиниці нормування, під час виконання технологічної</w:t>
      </w:r>
      <w:r w:rsidRPr="000977F7">
        <w:rPr>
          <w:rFonts w:asciiTheme="majorHAnsi" w:hAnsiTheme="majorHAnsi"/>
          <w:spacing w:val="-47"/>
          <w:sz w:val="20"/>
          <w:szCs w:val="20"/>
        </w:rPr>
        <w:t xml:space="preserve"> </w:t>
      </w:r>
      <w:r w:rsidRPr="000977F7">
        <w:rPr>
          <w:rFonts w:asciiTheme="majorHAnsi" w:hAnsiTheme="majorHAnsi"/>
          <w:sz w:val="20"/>
          <w:szCs w:val="20"/>
        </w:rPr>
        <w:t>операції</w:t>
      </w:r>
    </w:p>
    <w:p w14:paraId="0BF76983"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2391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2010</w:t>
      </w:r>
    </w:p>
    <w:p w14:paraId="2D9773F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НОРМА</w:t>
      </w:r>
      <w:r w:rsidRPr="000977F7">
        <w:rPr>
          <w:color w:val="auto"/>
          <w:spacing w:val="-2"/>
          <w:sz w:val="20"/>
          <w:szCs w:val="20"/>
        </w:rPr>
        <w:t xml:space="preserve"> </w:t>
      </w:r>
      <w:r w:rsidRPr="000977F7">
        <w:rPr>
          <w:color w:val="auto"/>
          <w:sz w:val="20"/>
          <w:szCs w:val="20"/>
        </w:rPr>
        <w:t>ЧАСУ –</w:t>
      </w:r>
    </w:p>
    <w:p w14:paraId="2649DA5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STANDARD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PIECE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A49701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Регламентований час виконання деякого обсягу робіт</w:t>
      </w:r>
      <w:r w:rsidRPr="000977F7">
        <w:rPr>
          <w:rFonts w:asciiTheme="majorHAnsi" w:hAnsiTheme="majorHAnsi"/>
          <w:spacing w:val="1"/>
          <w:sz w:val="20"/>
          <w:szCs w:val="20"/>
        </w:rPr>
        <w:t xml:space="preserve"> </w:t>
      </w:r>
      <w:r w:rsidRPr="000977F7">
        <w:rPr>
          <w:rFonts w:asciiTheme="majorHAnsi" w:hAnsiTheme="majorHAnsi"/>
          <w:sz w:val="20"/>
          <w:szCs w:val="20"/>
        </w:rPr>
        <w:t>за певних виробничих умов одним або кількома виконавцями</w:t>
      </w:r>
      <w:r w:rsidRPr="000977F7">
        <w:rPr>
          <w:rFonts w:asciiTheme="majorHAnsi" w:hAnsiTheme="majorHAnsi"/>
          <w:spacing w:val="-2"/>
          <w:sz w:val="20"/>
          <w:szCs w:val="20"/>
        </w:rPr>
        <w:t xml:space="preserve"> </w:t>
      </w:r>
      <w:r w:rsidRPr="000977F7">
        <w:rPr>
          <w:rFonts w:asciiTheme="majorHAnsi" w:hAnsiTheme="majorHAnsi"/>
          <w:sz w:val="20"/>
          <w:szCs w:val="20"/>
        </w:rPr>
        <w:t>відповідної</w:t>
      </w:r>
      <w:r w:rsidRPr="000977F7">
        <w:rPr>
          <w:rFonts w:asciiTheme="majorHAnsi" w:hAnsiTheme="majorHAnsi"/>
          <w:spacing w:val="-1"/>
          <w:sz w:val="20"/>
          <w:szCs w:val="20"/>
        </w:rPr>
        <w:t xml:space="preserve"> </w:t>
      </w:r>
      <w:r w:rsidRPr="000977F7">
        <w:rPr>
          <w:rFonts w:asciiTheme="majorHAnsi" w:hAnsiTheme="majorHAnsi"/>
          <w:sz w:val="20"/>
          <w:szCs w:val="20"/>
        </w:rPr>
        <w:t>кваліфікації</w:t>
      </w:r>
    </w:p>
    <w:p w14:paraId="6E5D858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14D7A8C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НОРМА</w:t>
      </w:r>
      <w:r w:rsidRPr="000977F7">
        <w:rPr>
          <w:color w:val="auto"/>
          <w:spacing w:val="-4"/>
          <w:sz w:val="20"/>
          <w:szCs w:val="20"/>
        </w:rPr>
        <w:t xml:space="preserve"> </w:t>
      </w:r>
      <w:r w:rsidRPr="000977F7">
        <w:rPr>
          <w:color w:val="auto"/>
          <w:sz w:val="20"/>
          <w:szCs w:val="20"/>
        </w:rPr>
        <w:t>ЯКОСТІ</w:t>
      </w:r>
      <w:r w:rsidRPr="000977F7">
        <w:rPr>
          <w:color w:val="auto"/>
          <w:spacing w:val="-4"/>
          <w:sz w:val="20"/>
          <w:szCs w:val="20"/>
        </w:rPr>
        <w:t xml:space="preserve"> </w:t>
      </w:r>
      <w:r w:rsidRPr="000977F7">
        <w:rPr>
          <w:color w:val="auto"/>
          <w:sz w:val="20"/>
          <w:szCs w:val="20"/>
        </w:rPr>
        <w:t>ЕЛЕКТРИЧНОЇ</w:t>
      </w:r>
      <w:r w:rsidRPr="000977F7">
        <w:rPr>
          <w:color w:val="auto"/>
          <w:spacing w:val="-5"/>
          <w:sz w:val="20"/>
          <w:szCs w:val="20"/>
        </w:rPr>
        <w:t xml:space="preserve"> </w:t>
      </w:r>
      <w:r w:rsidRPr="000977F7">
        <w:rPr>
          <w:color w:val="auto"/>
          <w:sz w:val="20"/>
          <w:szCs w:val="20"/>
        </w:rPr>
        <w:t>ЕНЕРГІЇ–</w:t>
      </w:r>
    </w:p>
    <w:p w14:paraId="3072274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Визначене граничне значення показника якості електричної</w:t>
      </w:r>
      <w:r w:rsidRPr="000977F7">
        <w:rPr>
          <w:rFonts w:asciiTheme="majorHAnsi" w:hAnsiTheme="majorHAnsi"/>
          <w:spacing w:val="-2"/>
          <w:sz w:val="20"/>
          <w:szCs w:val="20"/>
        </w:rPr>
        <w:t xml:space="preserve"> </w:t>
      </w:r>
      <w:r w:rsidRPr="000977F7">
        <w:rPr>
          <w:rFonts w:asciiTheme="majorHAnsi" w:hAnsiTheme="majorHAnsi"/>
          <w:sz w:val="20"/>
          <w:szCs w:val="20"/>
        </w:rPr>
        <w:t>енергії</w:t>
      </w:r>
    </w:p>
    <w:p w14:paraId="2659412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4925731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НОРМАЛІЗАЦІЯ-</w:t>
      </w:r>
    </w:p>
    <w:p w14:paraId="3CBE531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Термічна</w:t>
      </w:r>
      <w:r w:rsidRPr="000977F7">
        <w:rPr>
          <w:rFonts w:asciiTheme="majorHAnsi" w:hAnsiTheme="majorHAnsi"/>
          <w:spacing w:val="14"/>
          <w:sz w:val="20"/>
          <w:szCs w:val="20"/>
        </w:rPr>
        <w:t xml:space="preserve"> </w:t>
      </w:r>
      <w:r w:rsidRPr="000977F7">
        <w:rPr>
          <w:rFonts w:asciiTheme="majorHAnsi" w:hAnsiTheme="majorHAnsi"/>
          <w:sz w:val="20"/>
          <w:szCs w:val="20"/>
        </w:rPr>
        <w:t>обробка</w:t>
      </w:r>
      <w:r w:rsidRPr="000977F7">
        <w:rPr>
          <w:rFonts w:asciiTheme="majorHAnsi" w:hAnsiTheme="majorHAnsi"/>
          <w:spacing w:val="15"/>
          <w:sz w:val="20"/>
          <w:szCs w:val="20"/>
        </w:rPr>
        <w:t xml:space="preserve"> </w:t>
      </w:r>
      <w:r w:rsidRPr="000977F7">
        <w:rPr>
          <w:rFonts w:asciiTheme="majorHAnsi" w:hAnsiTheme="majorHAnsi"/>
          <w:sz w:val="20"/>
          <w:szCs w:val="20"/>
        </w:rPr>
        <w:t>сталі</w:t>
      </w:r>
      <w:r w:rsidRPr="000977F7">
        <w:rPr>
          <w:rFonts w:asciiTheme="majorHAnsi" w:hAnsiTheme="majorHAnsi"/>
          <w:spacing w:val="15"/>
          <w:sz w:val="20"/>
          <w:szCs w:val="20"/>
        </w:rPr>
        <w:t xml:space="preserve"> </w:t>
      </w:r>
      <w:r w:rsidRPr="000977F7">
        <w:rPr>
          <w:rFonts w:asciiTheme="majorHAnsi" w:hAnsiTheme="majorHAnsi"/>
          <w:sz w:val="20"/>
          <w:szCs w:val="20"/>
        </w:rPr>
        <w:t>з</w:t>
      </w:r>
      <w:r w:rsidRPr="000977F7">
        <w:rPr>
          <w:rFonts w:asciiTheme="majorHAnsi" w:hAnsiTheme="majorHAnsi"/>
          <w:spacing w:val="17"/>
          <w:sz w:val="20"/>
          <w:szCs w:val="20"/>
        </w:rPr>
        <w:t xml:space="preserve"> </w:t>
      </w:r>
      <w:r w:rsidRPr="000977F7">
        <w:rPr>
          <w:rFonts w:asciiTheme="majorHAnsi" w:hAnsiTheme="majorHAnsi"/>
          <w:sz w:val="20"/>
          <w:szCs w:val="20"/>
        </w:rPr>
        <w:t>нагріванням</w:t>
      </w:r>
      <w:r w:rsidRPr="000977F7">
        <w:rPr>
          <w:rFonts w:asciiTheme="majorHAnsi" w:hAnsiTheme="majorHAnsi"/>
          <w:spacing w:val="15"/>
          <w:sz w:val="20"/>
          <w:szCs w:val="20"/>
        </w:rPr>
        <w:t xml:space="preserve"> </w:t>
      </w:r>
      <w:r w:rsidRPr="000977F7">
        <w:rPr>
          <w:rFonts w:asciiTheme="majorHAnsi" w:hAnsiTheme="majorHAnsi"/>
          <w:sz w:val="20"/>
          <w:szCs w:val="20"/>
        </w:rPr>
        <w:t>до</w:t>
      </w:r>
      <w:r w:rsidRPr="000977F7">
        <w:rPr>
          <w:rFonts w:asciiTheme="majorHAnsi" w:hAnsiTheme="majorHAnsi"/>
          <w:spacing w:val="16"/>
          <w:sz w:val="20"/>
          <w:szCs w:val="20"/>
        </w:rPr>
        <w:t xml:space="preserve"> </w:t>
      </w:r>
      <w:r w:rsidRPr="000977F7">
        <w:rPr>
          <w:rFonts w:asciiTheme="majorHAnsi" w:hAnsiTheme="majorHAnsi"/>
          <w:sz w:val="20"/>
          <w:szCs w:val="20"/>
        </w:rPr>
        <w:t>закалювальних температур та охолодженням на повітрі</w:t>
      </w:r>
    </w:p>
    <w:p w14:paraId="6C856EBE"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НОРМАЛІЗАЦІЯ</w:t>
      </w:r>
      <w:r w:rsidRPr="000977F7">
        <w:rPr>
          <w:rFonts w:asciiTheme="majorHAnsi" w:hAnsiTheme="majorHAnsi"/>
          <w:b/>
          <w:spacing w:val="-1"/>
          <w:sz w:val="20"/>
          <w:szCs w:val="20"/>
        </w:rPr>
        <w:t xml:space="preserve"> </w:t>
      </w:r>
      <w:r w:rsidRPr="000977F7">
        <w:rPr>
          <w:rFonts w:asciiTheme="majorHAnsi" w:hAnsiTheme="majorHAnsi"/>
          <w:b/>
          <w:sz w:val="20"/>
          <w:szCs w:val="20"/>
        </w:rPr>
        <w:t>ФАКТОРІВ</w:t>
      </w:r>
      <w:r w:rsidRPr="000977F7">
        <w:rPr>
          <w:rFonts w:asciiTheme="majorHAnsi" w:hAnsiTheme="majorHAnsi"/>
          <w:b/>
          <w:spacing w:val="4"/>
          <w:sz w:val="20"/>
          <w:szCs w:val="20"/>
        </w:rPr>
        <w:t xml:space="preserve"> </w:t>
      </w:r>
      <w:r w:rsidRPr="000977F7">
        <w:rPr>
          <w:rFonts w:asciiTheme="majorHAnsi" w:hAnsiTheme="majorHAnsi"/>
          <w:b/>
          <w:sz w:val="20"/>
          <w:szCs w:val="20"/>
        </w:rPr>
        <w:t>–</w:t>
      </w:r>
    </w:p>
    <w:p w14:paraId="55F6585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Перетворення натуральних значень факторів в безрозмірні</w:t>
      </w:r>
    </w:p>
    <w:p w14:paraId="66A91D5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НОРМАЛІЗОВАНЕ</w:t>
      </w:r>
      <w:r w:rsidRPr="000977F7">
        <w:rPr>
          <w:color w:val="auto"/>
          <w:spacing w:val="-6"/>
          <w:sz w:val="20"/>
          <w:szCs w:val="20"/>
        </w:rPr>
        <w:t xml:space="preserve"> </w:t>
      </w:r>
      <w:r w:rsidRPr="000977F7">
        <w:rPr>
          <w:color w:val="auto"/>
          <w:sz w:val="20"/>
          <w:szCs w:val="20"/>
        </w:rPr>
        <w:t>ЗНАЧЕННЯ</w:t>
      </w:r>
      <w:r w:rsidRPr="000977F7">
        <w:rPr>
          <w:color w:val="auto"/>
          <w:spacing w:val="42"/>
          <w:sz w:val="20"/>
          <w:szCs w:val="20"/>
        </w:rPr>
        <w:t xml:space="preserve"> </w:t>
      </w:r>
      <w:r w:rsidRPr="000977F7">
        <w:rPr>
          <w:color w:val="auto"/>
          <w:sz w:val="20"/>
          <w:szCs w:val="20"/>
        </w:rPr>
        <w:t>ПАРАМЕТРА –</w:t>
      </w:r>
    </w:p>
    <w:p w14:paraId="00D74A8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3"/>
          <w:sz w:val="20"/>
          <w:szCs w:val="20"/>
        </w:rPr>
        <w:t>Значення</w:t>
      </w:r>
      <w:r w:rsidRPr="000977F7">
        <w:rPr>
          <w:rFonts w:asciiTheme="majorHAnsi" w:hAnsiTheme="majorHAnsi"/>
          <w:spacing w:val="-9"/>
          <w:sz w:val="20"/>
          <w:szCs w:val="20"/>
        </w:rPr>
        <w:t xml:space="preserve"> </w:t>
      </w:r>
      <w:r w:rsidRPr="000977F7">
        <w:rPr>
          <w:rFonts w:asciiTheme="majorHAnsi" w:hAnsiTheme="majorHAnsi"/>
          <w:spacing w:val="-3"/>
          <w:sz w:val="20"/>
          <w:szCs w:val="20"/>
        </w:rPr>
        <w:t>параметра,</w:t>
      </w:r>
      <w:r w:rsidRPr="000977F7">
        <w:rPr>
          <w:rFonts w:asciiTheme="majorHAnsi" w:hAnsiTheme="majorHAnsi"/>
          <w:spacing w:val="-8"/>
          <w:sz w:val="20"/>
          <w:szCs w:val="20"/>
        </w:rPr>
        <w:t xml:space="preserve"> </w:t>
      </w:r>
      <w:r w:rsidRPr="000977F7">
        <w:rPr>
          <w:rFonts w:asciiTheme="majorHAnsi" w:hAnsiTheme="majorHAnsi"/>
          <w:spacing w:val="-3"/>
          <w:sz w:val="20"/>
          <w:szCs w:val="20"/>
        </w:rPr>
        <w:t>отримане</w:t>
      </w:r>
      <w:r w:rsidRPr="000977F7">
        <w:rPr>
          <w:rFonts w:asciiTheme="majorHAnsi" w:hAnsiTheme="majorHAnsi"/>
          <w:spacing w:val="-9"/>
          <w:sz w:val="20"/>
          <w:szCs w:val="20"/>
        </w:rPr>
        <w:t xml:space="preserve"> </w:t>
      </w:r>
      <w:r w:rsidRPr="000977F7">
        <w:rPr>
          <w:rFonts w:asciiTheme="majorHAnsi" w:hAnsiTheme="majorHAnsi"/>
          <w:spacing w:val="-3"/>
          <w:sz w:val="20"/>
          <w:szCs w:val="20"/>
        </w:rPr>
        <w:t>масштабним</w:t>
      </w:r>
      <w:r w:rsidRPr="000977F7">
        <w:rPr>
          <w:rFonts w:asciiTheme="majorHAnsi" w:hAnsiTheme="majorHAnsi"/>
          <w:spacing w:val="-7"/>
          <w:sz w:val="20"/>
          <w:szCs w:val="20"/>
        </w:rPr>
        <w:t xml:space="preserve"> </w:t>
      </w:r>
      <w:r w:rsidRPr="000977F7">
        <w:rPr>
          <w:rFonts w:asciiTheme="majorHAnsi" w:hAnsiTheme="majorHAnsi"/>
          <w:spacing w:val="-2"/>
          <w:sz w:val="20"/>
          <w:szCs w:val="20"/>
        </w:rPr>
        <w:t>перетворен</w:t>
      </w:r>
      <w:r w:rsidRPr="000977F7">
        <w:rPr>
          <w:rFonts w:asciiTheme="majorHAnsi" w:hAnsiTheme="majorHAnsi"/>
          <w:spacing w:val="-4"/>
          <w:sz w:val="20"/>
          <w:szCs w:val="20"/>
        </w:rPr>
        <w:t>ням</w:t>
      </w:r>
      <w:r w:rsidRPr="000977F7">
        <w:rPr>
          <w:rFonts w:asciiTheme="majorHAnsi" w:hAnsiTheme="majorHAnsi"/>
          <w:spacing w:val="-7"/>
          <w:sz w:val="20"/>
          <w:szCs w:val="20"/>
        </w:rPr>
        <w:t xml:space="preserve"> </w:t>
      </w:r>
      <w:r w:rsidRPr="000977F7">
        <w:rPr>
          <w:rFonts w:asciiTheme="majorHAnsi" w:hAnsiTheme="majorHAnsi"/>
          <w:spacing w:val="-4"/>
          <w:sz w:val="20"/>
          <w:szCs w:val="20"/>
        </w:rPr>
        <w:t>виміряного</w:t>
      </w:r>
      <w:r w:rsidRPr="000977F7">
        <w:rPr>
          <w:rFonts w:asciiTheme="majorHAnsi" w:hAnsiTheme="majorHAnsi"/>
          <w:spacing w:val="-6"/>
          <w:sz w:val="20"/>
          <w:szCs w:val="20"/>
        </w:rPr>
        <w:t xml:space="preserve"> </w:t>
      </w:r>
      <w:r w:rsidRPr="000977F7">
        <w:rPr>
          <w:rFonts w:asciiTheme="majorHAnsi" w:hAnsiTheme="majorHAnsi"/>
          <w:spacing w:val="-4"/>
          <w:sz w:val="20"/>
          <w:szCs w:val="20"/>
        </w:rPr>
        <w:t>значення</w:t>
      </w:r>
      <w:r w:rsidRPr="000977F7">
        <w:rPr>
          <w:rFonts w:asciiTheme="majorHAnsi" w:hAnsiTheme="majorHAnsi"/>
          <w:spacing w:val="-8"/>
          <w:sz w:val="20"/>
          <w:szCs w:val="20"/>
        </w:rPr>
        <w:t xml:space="preserve"> </w:t>
      </w:r>
      <w:r w:rsidRPr="000977F7">
        <w:rPr>
          <w:rFonts w:asciiTheme="majorHAnsi" w:hAnsiTheme="majorHAnsi"/>
          <w:spacing w:val="-4"/>
          <w:sz w:val="20"/>
          <w:szCs w:val="20"/>
        </w:rPr>
        <w:t>до</w:t>
      </w:r>
      <w:r w:rsidRPr="000977F7">
        <w:rPr>
          <w:rFonts w:asciiTheme="majorHAnsi" w:hAnsiTheme="majorHAnsi"/>
          <w:spacing w:val="-8"/>
          <w:sz w:val="20"/>
          <w:szCs w:val="20"/>
        </w:rPr>
        <w:t xml:space="preserve"> </w:t>
      </w:r>
      <w:r w:rsidRPr="000977F7">
        <w:rPr>
          <w:rFonts w:asciiTheme="majorHAnsi" w:hAnsiTheme="majorHAnsi"/>
          <w:spacing w:val="-4"/>
          <w:sz w:val="20"/>
          <w:szCs w:val="20"/>
        </w:rPr>
        <w:t>стандартизованого</w:t>
      </w:r>
      <w:r w:rsidRPr="000977F7">
        <w:rPr>
          <w:rFonts w:asciiTheme="majorHAnsi" w:hAnsiTheme="majorHAnsi"/>
          <w:spacing w:val="-6"/>
          <w:sz w:val="20"/>
          <w:szCs w:val="20"/>
        </w:rPr>
        <w:t xml:space="preserve"> </w:t>
      </w:r>
      <w:r w:rsidRPr="000977F7">
        <w:rPr>
          <w:rFonts w:asciiTheme="majorHAnsi" w:hAnsiTheme="majorHAnsi"/>
          <w:spacing w:val="-4"/>
          <w:sz w:val="20"/>
          <w:szCs w:val="20"/>
        </w:rPr>
        <w:t>рівня</w:t>
      </w:r>
    </w:p>
    <w:p w14:paraId="5E51FDA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НОРМАЛЬНА</w:t>
      </w:r>
      <w:r w:rsidRPr="000977F7">
        <w:rPr>
          <w:color w:val="auto"/>
          <w:spacing w:val="-5"/>
          <w:sz w:val="20"/>
          <w:szCs w:val="20"/>
        </w:rPr>
        <w:t xml:space="preserve"> </w:t>
      </w:r>
      <w:r w:rsidRPr="000977F7">
        <w:rPr>
          <w:color w:val="auto"/>
          <w:sz w:val="20"/>
          <w:szCs w:val="20"/>
        </w:rPr>
        <w:t>ЕКСПЛУАТАЦІЯ</w:t>
      </w:r>
      <w:r w:rsidRPr="000977F7">
        <w:rPr>
          <w:color w:val="auto"/>
          <w:spacing w:val="-5"/>
          <w:sz w:val="20"/>
          <w:szCs w:val="20"/>
        </w:rPr>
        <w:t xml:space="preserve"> </w:t>
      </w:r>
      <w:r w:rsidRPr="000977F7">
        <w:rPr>
          <w:color w:val="auto"/>
          <w:sz w:val="20"/>
          <w:szCs w:val="20"/>
        </w:rPr>
        <w:t>–</w:t>
      </w:r>
    </w:p>
    <w:p w14:paraId="0A7D7B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NORMAL</w:t>
      </w:r>
      <w:r w:rsidRPr="000977F7">
        <w:rPr>
          <w:rFonts w:asciiTheme="majorHAnsi" w:hAnsiTheme="majorHAnsi"/>
          <w:spacing w:val="-4"/>
          <w:sz w:val="20"/>
          <w:szCs w:val="20"/>
        </w:rPr>
        <w:t xml:space="preserve"> </w:t>
      </w:r>
      <w:r w:rsidRPr="000977F7">
        <w:rPr>
          <w:rFonts w:asciiTheme="majorHAnsi" w:hAnsiTheme="majorHAnsi"/>
          <w:sz w:val="20"/>
          <w:szCs w:val="20"/>
        </w:rPr>
        <w:t>OPERATION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B07897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Робота підприємства в експлуатаційних режимах, передбачених установленим регламентом</w:t>
      </w:r>
    </w:p>
    <w:p w14:paraId="3B3067D4"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2156 - 93</w:t>
      </w:r>
    </w:p>
    <w:p w14:paraId="4B0BF732"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НОРМАЛЬНА СИЛА –</w:t>
      </w:r>
      <w:r w:rsidRPr="000977F7">
        <w:rPr>
          <w:rFonts w:asciiTheme="majorHAnsi" w:hAnsiTheme="majorHAnsi"/>
          <w:b/>
          <w:spacing w:val="-47"/>
          <w:sz w:val="20"/>
          <w:szCs w:val="20"/>
        </w:rPr>
        <w:t xml:space="preserve"> </w:t>
      </w:r>
    </w:p>
    <w:p w14:paraId="2517286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NORMAL</w:t>
      </w:r>
      <w:r w:rsidRPr="000977F7">
        <w:rPr>
          <w:rFonts w:asciiTheme="majorHAnsi" w:hAnsiTheme="majorHAnsi"/>
          <w:spacing w:val="-3"/>
          <w:sz w:val="20"/>
          <w:szCs w:val="20"/>
        </w:rPr>
        <w:t xml:space="preserve"> </w:t>
      </w:r>
      <w:r w:rsidRPr="000977F7">
        <w:rPr>
          <w:rFonts w:asciiTheme="majorHAnsi" w:hAnsiTheme="majorHAnsi"/>
          <w:sz w:val="20"/>
          <w:szCs w:val="20"/>
        </w:rPr>
        <w:t>FORCE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476FA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Поздовжня</w:t>
      </w:r>
      <w:r w:rsidRPr="000977F7">
        <w:rPr>
          <w:rFonts w:asciiTheme="majorHAnsi" w:hAnsiTheme="majorHAnsi"/>
          <w:spacing w:val="1"/>
          <w:sz w:val="20"/>
          <w:szCs w:val="20"/>
        </w:rPr>
        <w:t xml:space="preserve"> </w:t>
      </w:r>
      <w:r w:rsidRPr="000977F7">
        <w:rPr>
          <w:rFonts w:asciiTheme="majorHAnsi" w:hAnsiTheme="majorHAnsi"/>
          <w:sz w:val="20"/>
          <w:szCs w:val="20"/>
        </w:rPr>
        <w:t>складова</w:t>
      </w:r>
      <w:r w:rsidRPr="000977F7">
        <w:rPr>
          <w:rFonts w:asciiTheme="majorHAnsi" w:hAnsiTheme="majorHAnsi"/>
          <w:spacing w:val="1"/>
          <w:sz w:val="20"/>
          <w:szCs w:val="20"/>
        </w:rPr>
        <w:t xml:space="preserve"> </w:t>
      </w:r>
      <w:r w:rsidRPr="000977F7">
        <w:rPr>
          <w:rFonts w:asciiTheme="majorHAnsi" w:hAnsiTheme="majorHAnsi"/>
          <w:sz w:val="20"/>
          <w:szCs w:val="20"/>
        </w:rPr>
        <w:t>рівнодійної</w:t>
      </w:r>
      <w:r w:rsidRPr="000977F7">
        <w:rPr>
          <w:rFonts w:asciiTheme="majorHAnsi" w:hAnsiTheme="majorHAnsi"/>
          <w:spacing w:val="1"/>
          <w:sz w:val="20"/>
          <w:szCs w:val="20"/>
        </w:rPr>
        <w:t xml:space="preserve"> </w:t>
      </w:r>
      <w:r w:rsidRPr="000977F7">
        <w:rPr>
          <w:rFonts w:asciiTheme="majorHAnsi" w:hAnsiTheme="majorHAnsi"/>
          <w:sz w:val="20"/>
          <w:szCs w:val="20"/>
        </w:rPr>
        <w:t>внутрішніх</w:t>
      </w:r>
      <w:r w:rsidRPr="000977F7">
        <w:rPr>
          <w:rFonts w:asciiTheme="majorHAnsi" w:hAnsiTheme="majorHAnsi"/>
          <w:spacing w:val="1"/>
          <w:sz w:val="20"/>
          <w:szCs w:val="20"/>
        </w:rPr>
        <w:t xml:space="preserve"> </w:t>
      </w:r>
      <w:r w:rsidRPr="000977F7">
        <w:rPr>
          <w:rFonts w:asciiTheme="majorHAnsi" w:hAnsiTheme="majorHAnsi"/>
          <w:sz w:val="20"/>
          <w:szCs w:val="20"/>
        </w:rPr>
        <w:t>сил</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перерізі</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6363826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2825 - 94</w:t>
      </w:r>
    </w:p>
    <w:p w14:paraId="7B8DFC9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НОРМАЛЬНЕ</w:t>
      </w:r>
      <w:r w:rsidRPr="000977F7">
        <w:rPr>
          <w:color w:val="auto"/>
          <w:spacing w:val="-5"/>
          <w:sz w:val="20"/>
          <w:szCs w:val="20"/>
        </w:rPr>
        <w:t xml:space="preserve"> </w:t>
      </w:r>
      <w:r w:rsidRPr="000977F7">
        <w:rPr>
          <w:color w:val="auto"/>
          <w:sz w:val="20"/>
          <w:szCs w:val="20"/>
        </w:rPr>
        <w:t>НАПРУЖЕННЯ</w:t>
      </w:r>
      <w:r w:rsidRPr="000977F7">
        <w:rPr>
          <w:color w:val="auto"/>
          <w:spacing w:val="-1"/>
          <w:sz w:val="20"/>
          <w:szCs w:val="20"/>
        </w:rPr>
        <w:t xml:space="preserve"> </w:t>
      </w:r>
      <w:r w:rsidRPr="000977F7">
        <w:rPr>
          <w:color w:val="auto"/>
          <w:sz w:val="20"/>
          <w:szCs w:val="20"/>
        </w:rPr>
        <w:t>–</w:t>
      </w:r>
    </w:p>
    <w:p w14:paraId="1120D5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NORMAL</w:t>
      </w:r>
      <w:r w:rsidRPr="000977F7">
        <w:rPr>
          <w:rFonts w:asciiTheme="majorHAnsi" w:hAnsiTheme="majorHAnsi"/>
          <w:spacing w:val="-4"/>
          <w:sz w:val="20"/>
          <w:szCs w:val="20"/>
        </w:rPr>
        <w:t xml:space="preserve"> </w:t>
      </w:r>
      <w:r w:rsidRPr="000977F7">
        <w:rPr>
          <w:rFonts w:asciiTheme="majorHAnsi" w:hAnsiTheme="majorHAnsi"/>
          <w:sz w:val="20"/>
          <w:szCs w:val="20"/>
        </w:rPr>
        <w:t>STRESS</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39A084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Складова вектора напруження, спрямована по нормалі</w:t>
      </w:r>
      <w:r w:rsidRPr="000977F7">
        <w:rPr>
          <w:rFonts w:asciiTheme="majorHAnsi" w:hAnsiTheme="majorHAnsi"/>
          <w:spacing w:val="-48"/>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елементарної</w:t>
      </w:r>
      <w:r w:rsidRPr="000977F7">
        <w:rPr>
          <w:rFonts w:asciiTheme="majorHAnsi" w:hAnsiTheme="majorHAnsi"/>
          <w:spacing w:val="2"/>
          <w:sz w:val="20"/>
          <w:szCs w:val="20"/>
        </w:rPr>
        <w:t xml:space="preserve"> </w:t>
      </w:r>
      <w:r w:rsidRPr="000977F7">
        <w:rPr>
          <w:rFonts w:asciiTheme="majorHAnsi" w:hAnsiTheme="majorHAnsi"/>
          <w:sz w:val="20"/>
          <w:szCs w:val="20"/>
        </w:rPr>
        <w:t>площадки</w:t>
      </w:r>
      <w:r w:rsidRPr="000977F7">
        <w:rPr>
          <w:rFonts w:asciiTheme="majorHAnsi" w:hAnsiTheme="majorHAnsi"/>
          <w:spacing w:val="-2"/>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дії</w:t>
      </w:r>
    </w:p>
    <w:p w14:paraId="373B3F6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2825 - 94</w:t>
      </w:r>
    </w:p>
    <w:p w14:paraId="76FBA562"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НОРМАЛЬНИЙ КОНТРОЛЬ </w:t>
      </w:r>
      <w:r w:rsidRPr="000977F7">
        <w:rPr>
          <w:rFonts w:asciiTheme="majorHAnsi" w:hAnsiTheme="majorHAnsi"/>
          <w:sz w:val="20"/>
          <w:szCs w:val="20"/>
        </w:rPr>
        <w:t>–</w:t>
      </w:r>
    </w:p>
    <w:p w14:paraId="2F049A7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NORMAL</w:t>
      </w:r>
      <w:r w:rsidRPr="000977F7">
        <w:rPr>
          <w:rFonts w:asciiTheme="majorHAnsi" w:hAnsiTheme="majorHAnsi"/>
          <w:spacing w:val="-3"/>
          <w:sz w:val="20"/>
          <w:szCs w:val="20"/>
        </w:rPr>
        <w:t xml:space="preserve"> </w:t>
      </w:r>
      <w:r w:rsidRPr="000977F7">
        <w:rPr>
          <w:rFonts w:asciiTheme="majorHAnsi" w:hAnsiTheme="majorHAnsi"/>
          <w:sz w:val="20"/>
          <w:szCs w:val="20"/>
        </w:rPr>
        <w:t>INSPECTION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EA57B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Статистичний приймальний контроль, який застосовують у разі, коли результат контролю певної кількості попередніх партій</w:t>
      </w:r>
      <w:r w:rsidRPr="000977F7">
        <w:rPr>
          <w:rFonts w:asciiTheme="majorHAnsi" w:hAnsiTheme="majorHAnsi"/>
          <w:spacing w:val="1"/>
          <w:sz w:val="20"/>
          <w:szCs w:val="20"/>
        </w:rPr>
        <w:t xml:space="preserve"> </w:t>
      </w:r>
      <w:r w:rsidRPr="000977F7">
        <w:rPr>
          <w:rFonts w:asciiTheme="majorHAnsi" w:hAnsiTheme="majorHAnsi"/>
          <w:sz w:val="20"/>
          <w:szCs w:val="20"/>
        </w:rPr>
        <w:t>продукції не дає підстав для</w:t>
      </w:r>
      <w:r w:rsidRPr="000977F7">
        <w:rPr>
          <w:rFonts w:asciiTheme="majorHAnsi" w:hAnsiTheme="majorHAnsi"/>
          <w:spacing w:val="1"/>
          <w:sz w:val="20"/>
          <w:szCs w:val="20"/>
        </w:rPr>
        <w:t xml:space="preserve"> </w:t>
      </w:r>
      <w:r w:rsidRPr="000977F7">
        <w:rPr>
          <w:rFonts w:asciiTheme="majorHAnsi" w:hAnsiTheme="majorHAnsi"/>
          <w:sz w:val="20"/>
          <w:szCs w:val="20"/>
        </w:rPr>
        <w:t>висновку, що дійсний рівень дефектності значно відхиляється</w:t>
      </w:r>
      <w:r w:rsidRPr="000977F7">
        <w:rPr>
          <w:rFonts w:asciiTheme="majorHAnsi" w:hAnsiTheme="majorHAnsi"/>
          <w:spacing w:val="-2"/>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приймального</w:t>
      </w:r>
    </w:p>
    <w:p w14:paraId="0D857BA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 – 97</w:t>
      </w:r>
    </w:p>
    <w:p w14:paraId="54E5822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НОРМАЛЬНІ</w:t>
      </w:r>
      <w:r w:rsidRPr="000977F7">
        <w:rPr>
          <w:color w:val="auto"/>
          <w:spacing w:val="-6"/>
          <w:sz w:val="20"/>
          <w:szCs w:val="20"/>
        </w:rPr>
        <w:t xml:space="preserve"> </w:t>
      </w:r>
      <w:r w:rsidRPr="000977F7">
        <w:rPr>
          <w:color w:val="auto"/>
          <w:sz w:val="20"/>
          <w:szCs w:val="20"/>
        </w:rPr>
        <w:t>ВИПРОБУВАННЯ</w:t>
      </w:r>
      <w:r w:rsidRPr="000977F7">
        <w:rPr>
          <w:color w:val="auto"/>
          <w:spacing w:val="-2"/>
          <w:sz w:val="20"/>
          <w:szCs w:val="20"/>
        </w:rPr>
        <w:t xml:space="preserve"> </w:t>
      </w:r>
      <w:r w:rsidRPr="000977F7">
        <w:rPr>
          <w:color w:val="auto"/>
          <w:sz w:val="20"/>
          <w:szCs w:val="20"/>
        </w:rPr>
        <w:t>–</w:t>
      </w:r>
    </w:p>
    <w:p w14:paraId="03BF96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NORMAL</w:t>
      </w:r>
      <w:r w:rsidRPr="000977F7">
        <w:rPr>
          <w:rFonts w:asciiTheme="majorHAnsi" w:hAnsiTheme="majorHAnsi"/>
          <w:spacing w:val="-3"/>
          <w:sz w:val="20"/>
          <w:szCs w:val="20"/>
        </w:rPr>
        <w:t xml:space="preserve"> </w:t>
      </w:r>
      <w:r w:rsidRPr="000977F7">
        <w:rPr>
          <w:rFonts w:asciiTheme="majorHAnsi" w:hAnsiTheme="majorHAnsi"/>
          <w:sz w:val="20"/>
          <w:szCs w:val="20"/>
        </w:rPr>
        <w:t>TEST</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680D936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методи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умови</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1"/>
          <w:sz w:val="20"/>
          <w:szCs w:val="20"/>
        </w:rPr>
        <w:t xml:space="preserve"> </w:t>
      </w:r>
      <w:r w:rsidRPr="000977F7">
        <w:rPr>
          <w:rFonts w:asciiTheme="majorHAnsi" w:hAnsiTheme="majorHAnsi"/>
          <w:sz w:val="20"/>
          <w:szCs w:val="20"/>
        </w:rPr>
        <w:t>яких</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забезпечують</w:t>
      </w:r>
      <w:r w:rsidRPr="000977F7">
        <w:rPr>
          <w:rFonts w:asciiTheme="majorHAnsi" w:hAnsiTheme="majorHAnsi"/>
          <w:spacing w:val="1"/>
          <w:sz w:val="20"/>
          <w:szCs w:val="20"/>
        </w:rPr>
        <w:t xml:space="preserve"> </w:t>
      </w:r>
      <w:r w:rsidRPr="000977F7">
        <w:rPr>
          <w:rFonts w:asciiTheme="majorHAnsi" w:hAnsiTheme="majorHAnsi"/>
          <w:sz w:val="20"/>
          <w:szCs w:val="20"/>
        </w:rPr>
        <w:t>одержання</w:t>
      </w:r>
      <w:r w:rsidRPr="000977F7">
        <w:rPr>
          <w:rFonts w:asciiTheme="majorHAnsi" w:hAnsiTheme="majorHAnsi"/>
          <w:spacing w:val="1"/>
          <w:sz w:val="20"/>
          <w:szCs w:val="20"/>
        </w:rPr>
        <w:t xml:space="preserve"> </w:t>
      </w:r>
      <w:r w:rsidRPr="000977F7">
        <w:rPr>
          <w:rFonts w:asciiTheme="majorHAnsi" w:hAnsiTheme="majorHAnsi"/>
          <w:sz w:val="20"/>
          <w:szCs w:val="20"/>
        </w:rPr>
        <w:t>необхідного</w:t>
      </w:r>
      <w:r w:rsidRPr="000977F7">
        <w:rPr>
          <w:rFonts w:asciiTheme="majorHAnsi" w:hAnsiTheme="majorHAnsi"/>
          <w:spacing w:val="1"/>
          <w:sz w:val="20"/>
          <w:szCs w:val="20"/>
        </w:rPr>
        <w:t xml:space="preserve"> </w:t>
      </w:r>
      <w:r w:rsidRPr="000977F7">
        <w:rPr>
          <w:rFonts w:asciiTheme="majorHAnsi" w:hAnsiTheme="majorHAnsi"/>
          <w:sz w:val="20"/>
          <w:szCs w:val="20"/>
        </w:rPr>
        <w:t>обсягу</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характеристики</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властивостей</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такому ж інтервалі часу, як і в передбачених умовах</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експлуатації</w:t>
      </w:r>
    </w:p>
    <w:p w14:paraId="6BDCD50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48"/>
          <w:sz w:val="20"/>
          <w:szCs w:val="20"/>
        </w:rPr>
        <w:t xml:space="preserve"> </w:t>
      </w:r>
      <w:r w:rsidRPr="000977F7">
        <w:rPr>
          <w:rFonts w:asciiTheme="majorHAnsi" w:hAnsiTheme="majorHAnsi"/>
          <w:i/>
          <w:sz w:val="20"/>
          <w:szCs w:val="20"/>
        </w:rPr>
        <w:t>3021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95</w:t>
      </w:r>
    </w:p>
    <w:p w14:paraId="11E60627" w14:textId="77777777" w:rsidR="0097612F" w:rsidRPr="000977F7" w:rsidRDefault="0097612F" w:rsidP="000977F7">
      <w:pPr>
        <w:pStyle w:val="7"/>
        <w:tabs>
          <w:tab w:val="left" w:pos="284"/>
        </w:tabs>
        <w:spacing w:before="0" w:line="240" w:lineRule="auto"/>
        <w:ind w:left="170"/>
        <w:mirrorIndents/>
        <w:jc w:val="both"/>
        <w:rPr>
          <w:bCs/>
          <w:color w:val="auto"/>
          <w:sz w:val="20"/>
          <w:szCs w:val="20"/>
        </w:rPr>
      </w:pPr>
      <w:r w:rsidRPr="000977F7">
        <w:rPr>
          <w:color w:val="auto"/>
          <w:sz w:val="20"/>
          <w:szCs w:val="20"/>
        </w:rPr>
        <w:t>НОРМАЛЬНІ</w:t>
      </w:r>
      <w:r w:rsidRPr="000977F7">
        <w:rPr>
          <w:color w:val="auto"/>
          <w:spacing w:val="-5"/>
          <w:sz w:val="20"/>
          <w:szCs w:val="20"/>
        </w:rPr>
        <w:t xml:space="preserve"> </w:t>
      </w:r>
      <w:r w:rsidRPr="000977F7">
        <w:rPr>
          <w:color w:val="auto"/>
          <w:sz w:val="20"/>
          <w:szCs w:val="20"/>
        </w:rPr>
        <w:t>ВИПРОБУВАННЯ</w:t>
      </w:r>
      <w:r w:rsidRPr="000977F7">
        <w:rPr>
          <w:color w:val="auto"/>
          <w:spacing w:val="42"/>
          <w:sz w:val="20"/>
          <w:szCs w:val="20"/>
        </w:rPr>
        <w:t xml:space="preserve"> </w:t>
      </w:r>
      <w:r w:rsidRPr="000977F7">
        <w:rPr>
          <w:color w:val="auto"/>
          <w:sz w:val="20"/>
          <w:szCs w:val="20"/>
        </w:rPr>
        <w:t xml:space="preserve">НА </w:t>
      </w:r>
      <w:r w:rsidRPr="000977F7">
        <w:rPr>
          <w:bCs/>
          <w:color w:val="auto"/>
          <w:sz w:val="20"/>
          <w:szCs w:val="20"/>
        </w:rPr>
        <w:t>НАДІЙНІСТЬ</w:t>
      </w:r>
      <w:r w:rsidRPr="000977F7">
        <w:rPr>
          <w:bCs/>
          <w:color w:val="auto"/>
          <w:spacing w:val="-8"/>
          <w:sz w:val="20"/>
          <w:szCs w:val="20"/>
        </w:rPr>
        <w:t xml:space="preserve"> </w:t>
      </w:r>
      <w:r w:rsidRPr="000977F7">
        <w:rPr>
          <w:bCs/>
          <w:color w:val="auto"/>
          <w:sz w:val="20"/>
          <w:szCs w:val="20"/>
        </w:rPr>
        <w:t>–</w:t>
      </w:r>
    </w:p>
    <w:p w14:paraId="4086C31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NORMAL</w:t>
      </w:r>
      <w:r w:rsidRPr="004D2D14">
        <w:rPr>
          <w:rFonts w:asciiTheme="majorHAnsi" w:hAnsiTheme="majorHAnsi"/>
          <w:spacing w:val="-1"/>
          <w:sz w:val="20"/>
          <w:szCs w:val="20"/>
          <w:lang w:val="uk-UA"/>
        </w:rPr>
        <w:t xml:space="preserve"> </w:t>
      </w:r>
      <w:r w:rsidRPr="000977F7">
        <w:rPr>
          <w:rFonts w:asciiTheme="majorHAnsi" w:hAnsiTheme="majorHAnsi"/>
          <w:sz w:val="20"/>
          <w:szCs w:val="20"/>
        </w:rPr>
        <w:t>RELIABILITY</w:t>
      </w:r>
      <w:r w:rsidRPr="004D2D14">
        <w:rPr>
          <w:rFonts w:asciiTheme="majorHAnsi" w:hAnsiTheme="majorHAnsi"/>
          <w:spacing w:val="-4"/>
          <w:sz w:val="20"/>
          <w:szCs w:val="20"/>
          <w:lang w:val="uk-UA"/>
        </w:rPr>
        <w:t xml:space="preserve"> </w:t>
      </w:r>
      <w:r w:rsidRPr="000977F7">
        <w:rPr>
          <w:rFonts w:asciiTheme="majorHAnsi" w:hAnsiTheme="majorHAnsi"/>
          <w:sz w:val="20"/>
          <w:szCs w:val="20"/>
        </w:rPr>
        <w:t>TEST</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p>
    <w:p w14:paraId="0CF6F05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Випробування на надійність, методи та умови проведення яких забезпечують необхідний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обсяг інформації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 той самий термін, що й у передбачених умовах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експлуатації</w:t>
      </w:r>
    </w:p>
    <w:p w14:paraId="786E3EA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8663D5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Лабораторні (стендові) випробування, методи й умови</w:t>
      </w:r>
      <w:r w:rsidRPr="000977F7">
        <w:rPr>
          <w:rFonts w:asciiTheme="majorHAnsi" w:hAnsiTheme="majorHAnsi"/>
          <w:spacing w:val="-47"/>
          <w:sz w:val="20"/>
          <w:szCs w:val="20"/>
        </w:rPr>
        <w:t xml:space="preserve"> </w:t>
      </w:r>
      <w:r w:rsidRPr="000977F7">
        <w:rPr>
          <w:rFonts w:asciiTheme="majorHAnsi" w:hAnsiTheme="majorHAnsi"/>
          <w:sz w:val="20"/>
          <w:szCs w:val="20"/>
        </w:rPr>
        <w:t>проведення яких максимально наближені до експлуатаційних</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454D420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FEBACB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НОРМАЛЬНІ</w:t>
      </w:r>
      <w:r w:rsidRPr="000977F7">
        <w:rPr>
          <w:color w:val="auto"/>
          <w:spacing w:val="-4"/>
          <w:sz w:val="20"/>
          <w:szCs w:val="20"/>
        </w:rPr>
        <w:t xml:space="preserve"> </w:t>
      </w:r>
      <w:r w:rsidRPr="000977F7">
        <w:rPr>
          <w:color w:val="auto"/>
          <w:sz w:val="20"/>
          <w:szCs w:val="20"/>
        </w:rPr>
        <w:t>КЛІМАТИЧНІ</w:t>
      </w:r>
      <w:r w:rsidRPr="000977F7">
        <w:rPr>
          <w:color w:val="auto"/>
          <w:spacing w:val="-4"/>
          <w:sz w:val="20"/>
          <w:szCs w:val="20"/>
        </w:rPr>
        <w:t xml:space="preserve"> </w:t>
      </w:r>
      <w:r w:rsidRPr="000977F7">
        <w:rPr>
          <w:color w:val="auto"/>
          <w:sz w:val="20"/>
          <w:szCs w:val="20"/>
        </w:rPr>
        <w:t>УМОВИ –</w:t>
      </w:r>
    </w:p>
    <w:p w14:paraId="4F4DA0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Характеризується</w:t>
      </w:r>
      <w:r w:rsidRPr="000977F7">
        <w:rPr>
          <w:rFonts w:asciiTheme="majorHAnsi" w:hAnsiTheme="majorHAnsi"/>
          <w:spacing w:val="1"/>
          <w:sz w:val="20"/>
          <w:szCs w:val="20"/>
        </w:rPr>
        <w:t xml:space="preserve"> </w:t>
      </w:r>
      <w:r w:rsidRPr="000977F7">
        <w:rPr>
          <w:rFonts w:asciiTheme="majorHAnsi" w:hAnsiTheme="majorHAnsi"/>
          <w:sz w:val="20"/>
          <w:szCs w:val="20"/>
        </w:rPr>
        <w:t>наступними</w:t>
      </w:r>
      <w:r w:rsidRPr="000977F7">
        <w:rPr>
          <w:rFonts w:asciiTheme="majorHAnsi" w:hAnsiTheme="majorHAnsi"/>
          <w:spacing w:val="1"/>
          <w:sz w:val="20"/>
          <w:szCs w:val="20"/>
        </w:rPr>
        <w:t xml:space="preserve"> </w:t>
      </w:r>
      <w:r w:rsidRPr="000977F7">
        <w:rPr>
          <w:rFonts w:asciiTheme="majorHAnsi" w:hAnsiTheme="majorHAnsi"/>
          <w:sz w:val="20"/>
          <w:szCs w:val="20"/>
        </w:rPr>
        <w:t>значеннями</w:t>
      </w:r>
      <w:r w:rsidRPr="000977F7">
        <w:rPr>
          <w:rFonts w:asciiTheme="majorHAnsi" w:hAnsiTheme="majorHAnsi"/>
          <w:spacing w:val="1"/>
          <w:sz w:val="20"/>
          <w:szCs w:val="20"/>
        </w:rPr>
        <w:t xml:space="preserve"> </w:t>
      </w:r>
      <w:r w:rsidRPr="000977F7">
        <w:rPr>
          <w:rFonts w:asciiTheme="majorHAnsi" w:hAnsiTheme="majorHAnsi"/>
          <w:sz w:val="20"/>
          <w:szCs w:val="20"/>
        </w:rPr>
        <w:t>кліматичних</w:t>
      </w:r>
      <w:r w:rsidRPr="000977F7">
        <w:rPr>
          <w:rFonts w:asciiTheme="majorHAnsi" w:hAnsiTheme="majorHAnsi"/>
          <w:spacing w:val="-2"/>
          <w:sz w:val="20"/>
          <w:szCs w:val="20"/>
        </w:rPr>
        <w:t xml:space="preserve"> </w:t>
      </w:r>
      <w:r w:rsidRPr="000977F7">
        <w:rPr>
          <w:rFonts w:asciiTheme="majorHAnsi" w:hAnsiTheme="majorHAnsi"/>
          <w:sz w:val="20"/>
          <w:szCs w:val="20"/>
        </w:rPr>
        <w:t>чинників:</w:t>
      </w:r>
    </w:p>
    <w:p w14:paraId="70170FA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температура</w:t>
      </w:r>
      <w:r w:rsidRPr="000977F7">
        <w:rPr>
          <w:rFonts w:asciiTheme="majorHAnsi" w:hAnsiTheme="majorHAnsi"/>
          <w:spacing w:val="1"/>
          <w:sz w:val="20"/>
          <w:szCs w:val="20"/>
        </w:rPr>
        <w:t xml:space="preserve"> </w:t>
      </w:r>
      <w:r w:rsidRPr="000977F7">
        <w:rPr>
          <w:rFonts w:asciiTheme="majorHAnsi" w:hAnsiTheme="majorHAnsi"/>
          <w:sz w:val="20"/>
          <w:szCs w:val="20"/>
        </w:rPr>
        <w:t xml:space="preserve">повітря від 15 до 35 </w:t>
      </w:r>
      <w:r w:rsidRPr="000977F7">
        <w:rPr>
          <w:rFonts w:asciiTheme="majorHAnsi" w:hAnsiTheme="majorHAnsi"/>
          <w:sz w:val="20"/>
          <w:szCs w:val="20"/>
          <w:vertAlign w:val="superscript"/>
        </w:rPr>
        <w:t>0</w:t>
      </w:r>
      <w:r w:rsidRPr="000977F7">
        <w:rPr>
          <w:rFonts w:asciiTheme="majorHAnsi" w:hAnsiTheme="majorHAnsi"/>
          <w:sz w:val="20"/>
          <w:szCs w:val="20"/>
        </w:rPr>
        <w:t>С;</w:t>
      </w:r>
      <w:r w:rsidRPr="000977F7">
        <w:rPr>
          <w:rFonts w:asciiTheme="majorHAnsi" w:hAnsiTheme="majorHAnsi"/>
          <w:spacing w:val="1"/>
          <w:sz w:val="20"/>
          <w:szCs w:val="20"/>
        </w:rPr>
        <w:t xml:space="preserve"> </w:t>
      </w:r>
      <w:r w:rsidRPr="000977F7">
        <w:rPr>
          <w:rFonts w:asciiTheme="majorHAnsi" w:hAnsiTheme="majorHAnsi"/>
          <w:sz w:val="20"/>
          <w:szCs w:val="20"/>
        </w:rPr>
        <w:t>відносна</w:t>
      </w:r>
      <w:r w:rsidRPr="000977F7">
        <w:rPr>
          <w:rFonts w:asciiTheme="majorHAnsi" w:hAnsiTheme="majorHAnsi"/>
          <w:spacing w:val="-2"/>
          <w:sz w:val="20"/>
          <w:szCs w:val="20"/>
        </w:rPr>
        <w:t xml:space="preserve"> </w:t>
      </w:r>
      <w:r w:rsidRPr="000977F7">
        <w:rPr>
          <w:rFonts w:asciiTheme="majorHAnsi" w:hAnsiTheme="majorHAnsi"/>
          <w:sz w:val="20"/>
          <w:szCs w:val="20"/>
        </w:rPr>
        <w:t>вологість</w:t>
      </w:r>
      <w:r w:rsidRPr="000977F7">
        <w:rPr>
          <w:rFonts w:asciiTheme="majorHAnsi" w:hAnsiTheme="majorHAnsi"/>
          <w:spacing w:val="-2"/>
          <w:sz w:val="20"/>
          <w:szCs w:val="20"/>
        </w:rPr>
        <w:t xml:space="preserve"> </w:t>
      </w:r>
      <w:r w:rsidRPr="000977F7">
        <w:rPr>
          <w:rFonts w:asciiTheme="majorHAnsi" w:hAnsiTheme="majorHAnsi"/>
          <w:sz w:val="20"/>
          <w:szCs w:val="20"/>
        </w:rPr>
        <w:t>повітря</w:t>
      </w:r>
      <w:r w:rsidRPr="000977F7">
        <w:rPr>
          <w:rFonts w:asciiTheme="majorHAnsi" w:hAnsiTheme="majorHAnsi"/>
          <w:spacing w:val="-3"/>
          <w:sz w:val="20"/>
          <w:szCs w:val="20"/>
        </w:rPr>
        <w:t xml:space="preserve"> </w:t>
      </w:r>
      <w:r w:rsidRPr="000977F7">
        <w:rPr>
          <w:rFonts w:asciiTheme="majorHAnsi" w:hAnsiTheme="majorHAnsi"/>
          <w:sz w:val="20"/>
          <w:szCs w:val="20"/>
        </w:rPr>
        <w:t>від</w:t>
      </w:r>
      <w:r w:rsidRPr="000977F7">
        <w:rPr>
          <w:rFonts w:asciiTheme="majorHAnsi" w:hAnsiTheme="majorHAnsi"/>
          <w:spacing w:val="-2"/>
          <w:sz w:val="20"/>
          <w:szCs w:val="20"/>
        </w:rPr>
        <w:t xml:space="preserve"> </w:t>
      </w:r>
      <w:r w:rsidRPr="000977F7">
        <w:rPr>
          <w:rFonts w:asciiTheme="majorHAnsi" w:hAnsiTheme="majorHAnsi"/>
          <w:sz w:val="20"/>
          <w:szCs w:val="20"/>
        </w:rPr>
        <w:t>45</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2"/>
          <w:sz w:val="20"/>
          <w:szCs w:val="20"/>
        </w:rPr>
        <w:t xml:space="preserve"> </w:t>
      </w:r>
      <w:r w:rsidRPr="000977F7">
        <w:rPr>
          <w:rFonts w:asciiTheme="majorHAnsi" w:hAnsiTheme="majorHAnsi"/>
          <w:sz w:val="20"/>
          <w:szCs w:val="20"/>
        </w:rPr>
        <w:t>80</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FC0867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атмосферний</w:t>
      </w:r>
      <w:r w:rsidRPr="000977F7">
        <w:rPr>
          <w:rFonts w:asciiTheme="majorHAnsi" w:hAnsiTheme="majorHAnsi"/>
          <w:spacing w:val="26"/>
          <w:sz w:val="20"/>
          <w:szCs w:val="20"/>
        </w:rPr>
        <w:t xml:space="preserve"> </w:t>
      </w:r>
      <w:r w:rsidRPr="000977F7">
        <w:rPr>
          <w:rFonts w:asciiTheme="majorHAnsi" w:hAnsiTheme="majorHAnsi"/>
          <w:sz w:val="20"/>
          <w:szCs w:val="20"/>
        </w:rPr>
        <w:t>тиск</w:t>
      </w:r>
      <w:r w:rsidRPr="000977F7">
        <w:rPr>
          <w:rFonts w:asciiTheme="majorHAnsi" w:hAnsiTheme="majorHAnsi"/>
          <w:spacing w:val="23"/>
          <w:sz w:val="20"/>
          <w:szCs w:val="20"/>
        </w:rPr>
        <w:t xml:space="preserve"> </w:t>
      </w:r>
      <w:r w:rsidRPr="000977F7">
        <w:rPr>
          <w:rFonts w:asciiTheme="majorHAnsi" w:hAnsiTheme="majorHAnsi"/>
          <w:sz w:val="20"/>
          <w:szCs w:val="20"/>
        </w:rPr>
        <w:t>від</w:t>
      </w:r>
      <w:r w:rsidRPr="000977F7">
        <w:rPr>
          <w:rFonts w:asciiTheme="majorHAnsi" w:hAnsiTheme="majorHAnsi"/>
          <w:spacing w:val="24"/>
          <w:sz w:val="20"/>
          <w:szCs w:val="20"/>
        </w:rPr>
        <w:t xml:space="preserve"> </w:t>
      </w:r>
      <w:r w:rsidRPr="000977F7">
        <w:rPr>
          <w:rFonts w:asciiTheme="majorHAnsi" w:hAnsiTheme="majorHAnsi"/>
          <w:sz w:val="20"/>
          <w:szCs w:val="20"/>
        </w:rPr>
        <w:t>84</w:t>
      </w:r>
      <w:r w:rsidRPr="000977F7">
        <w:rPr>
          <w:rFonts w:asciiTheme="majorHAnsi" w:hAnsiTheme="majorHAnsi"/>
          <w:spacing w:val="25"/>
          <w:sz w:val="20"/>
          <w:szCs w:val="20"/>
        </w:rPr>
        <w:t xml:space="preserve"> </w:t>
      </w:r>
      <w:r w:rsidRPr="000977F7">
        <w:rPr>
          <w:rFonts w:asciiTheme="majorHAnsi" w:hAnsiTheme="majorHAnsi"/>
          <w:sz w:val="20"/>
          <w:szCs w:val="20"/>
        </w:rPr>
        <w:t>до</w:t>
      </w:r>
      <w:r w:rsidRPr="000977F7">
        <w:rPr>
          <w:rFonts w:asciiTheme="majorHAnsi" w:hAnsiTheme="majorHAnsi"/>
          <w:spacing w:val="25"/>
          <w:sz w:val="20"/>
          <w:szCs w:val="20"/>
        </w:rPr>
        <w:t xml:space="preserve"> </w:t>
      </w:r>
      <w:r w:rsidRPr="000977F7">
        <w:rPr>
          <w:rFonts w:asciiTheme="majorHAnsi" w:hAnsiTheme="majorHAnsi"/>
          <w:sz w:val="20"/>
          <w:szCs w:val="20"/>
        </w:rPr>
        <w:t>106</w:t>
      </w:r>
      <w:r w:rsidRPr="000977F7">
        <w:rPr>
          <w:rFonts w:asciiTheme="majorHAnsi" w:hAnsiTheme="majorHAnsi"/>
          <w:spacing w:val="23"/>
          <w:sz w:val="20"/>
          <w:szCs w:val="20"/>
        </w:rPr>
        <w:t xml:space="preserve"> </w:t>
      </w:r>
      <w:r w:rsidRPr="000977F7">
        <w:rPr>
          <w:rFonts w:asciiTheme="majorHAnsi" w:hAnsiTheme="majorHAnsi"/>
          <w:sz w:val="20"/>
          <w:szCs w:val="20"/>
        </w:rPr>
        <w:t>кПа</w:t>
      </w:r>
      <w:r w:rsidRPr="000977F7">
        <w:rPr>
          <w:rFonts w:asciiTheme="majorHAnsi" w:hAnsiTheme="majorHAnsi"/>
          <w:spacing w:val="25"/>
          <w:sz w:val="20"/>
          <w:szCs w:val="20"/>
        </w:rPr>
        <w:t xml:space="preserve"> </w:t>
      </w:r>
      <w:r w:rsidRPr="000977F7">
        <w:rPr>
          <w:rFonts w:asciiTheme="majorHAnsi" w:hAnsiTheme="majorHAnsi"/>
          <w:sz w:val="20"/>
          <w:szCs w:val="20"/>
        </w:rPr>
        <w:t>(від</w:t>
      </w:r>
      <w:r w:rsidRPr="000977F7">
        <w:rPr>
          <w:rFonts w:asciiTheme="majorHAnsi" w:hAnsiTheme="majorHAnsi"/>
          <w:spacing w:val="24"/>
          <w:sz w:val="20"/>
          <w:szCs w:val="20"/>
        </w:rPr>
        <w:t xml:space="preserve"> </w:t>
      </w:r>
      <w:r w:rsidRPr="000977F7">
        <w:rPr>
          <w:rFonts w:asciiTheme="majorHAnsi" w:hAnsiTheme="majorHAnsi"/>
          <w:sz w:val="20"/>
          <w:szCs w:val="20"/>
        </w:rPr>
        <w:t>630</w:t>
      </w:r>
      <w:r w:rsidRPr="000977F7">
        <w:rPr>
          <w:rFonts w:asciiTheme="majorHAnsi" w:hAnsiTheme="majorHAnsi"/>
          <w:spacing w:val="25"/>
          <w:sz w:val="20"/>
          <w:szCs w:val="20"/>
        </w:rPr>
        <w:t xml:space="preserve"> </w:t>
      </w:r>
      <w:r w:rsidRPr="000977F7">
        <w:rPr>
          <w:rFonts w:asciiTheme="majorHAnsi" w:hAnsiTheme="majorHAnsi"/>
          <w:sz w:val="20"/>
          <w:szCs w:val="20"/>
        </w:rPr>
        <w:t>до</w:t>
      </w:r>
      <w:r w:rsidRPr="000977F7">
        <w:rPr>
          <w:rFonts w:asciiTheme="majorHAnsi" w:hAnsiTheme="majorHAnsi"/>
          <w:spacing w:val="25"/>
          <w:sz w:val="20"/>
          <w:szCs w:val="20"/>
        </w:rPr>
        <w:t xml:space="preserve"> </w:t>
      </w:r>
      <w:r w:rsidRPr="000977F7">
        <w:rPr>
          <w:rFonts w:asciiTheme="majorHAnsi" w:hAnsiTheme="majorHAnsi"/>
          <w:sz w:val="20"/>
          <w:szCs w:val="20"/>
        </w:rPr>
        <w:t>800</w:t>
      </w:r>
      <w:r w:rsidRPr="000977F7">
        <w:rPr>
          <w:rFonts w:asciiTheme="majorHAnsi" w:hAnsiTheme="majorHAnsi"/>
          <w:spacing w:val="-47"/>
          <w:sz w:val="20"/>
          <w:szCs w:val="20"/>
        </w:rPr>
        <w:t xml:space="preserve"> </w:t>
      </w:r>
      <w:r w:rsidRPr="000977F7">
        <w:rPr>
          <w:rFonts w:asciiTheme="majorHAnsi" w:hAnsiTheme="majorHAnsi"/>
          <w:sz w:val="20"/>
          <w:szCs w:val="20"/>
        </w:rPr>
        <w:t>мм рт. ст.</w:t>
      </w:r>
      <w:r w:rsidRPr="000977F7">
        <w:rPr>
          <w:rFonts w:asciiTheme="majorHAnsi" w:hAnsiTheme="majorHAnsi"/>
          <w:spacing w:val="-16"/>
          <w:sz w:val="20"/>
          <w:szCs w:val="20"/>
        </w:rPr>
        <w:t xml:space="preserve"> </w:t>
      </w:r>
      <w:r w:rsidRPr="000977F7">
        <w:rPr>
          <w:rFonts w:asciiTheme="majorHAnsi" w:hAnsiTheme="majorHAnsi"/>
          <w:sz w:val="20"/>
          <w:szCs w:val="20"/>
        </w:rPr>
        <w:t>)</w:t>
      </w:r>
    </w:p>
    <w:p w14:paraId="57F31C0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2634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24873D7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НОРМАЛЬНІ</w:t>
      </w:r>
      <w:r w:rsidRPr="000977F7">
        <w:rPr>
          <w:color w:val="auto"/>
          <w:spacing w:val="-5"/>
          <w:sz w:val="20"/>
          <w:szCs w:val="20"/>
        </w:rPr>
        <w:t xml:space="preserve"> </w:t>
      </w:r>
      <w:r w:rsidRPr="000977F7">
        <w:rPr>
          <w:color w:val="auto"/>
          <w:sz w:val="20"/>
          <w:szCs w:val="20"/>
        </w:rPr>
        <w:t>УМОВИ</w:t>
      </w:r>
      <w:r w:rsidRPr="000977F7">
        <w:rPr>
          <w:color w:val="auto"/>
          <w:spacing w:val="-6"/>
          <w:sz w:val="20"/>
          <w:szCs w:val="20"/>
        </w:rPr>
        <w:t xml:space="preserve"> </w:t>
      </w:r>
      <w:r w:rsidRPr="000977F7">
        <w:rPr>
          <w:color w:val="auto"/>
          <w:sz w:val="20"/>
          <w:szCs w:val="20"/>
        </w:rPr>
        <w:t>ВИПРОБУВАНЬ –</w:t>
      </w:r>
    </w:p>
    <w:p w14:paraId="734DE0E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NORMAL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CONDITIONS</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0DBA2C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Умови</w:t>
      </w:r>
      <w:r w:rsidRPr="000977F7">
        <w:rPr>
          <w:rFonts w:asciiTheme="majorHAnsi" w:hAnsiTheme="majorHAnsi"/>
          <w:spacing w:val="2"/>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4"/>
          <w:sz w:val="20"/>
          <w:szCs w:val="20"/>
        </w:rPr>
        <w:t xml:space="preserve"> </w:t>
      </w:r>
      <w:r w:rsidRPr="000977F7">
        <w:rPr>
          <w:rFonts w:asciiTheme="majorHAnsi" w:hAnsiTheme="majorHAnsi"/>
          <w:sz w:val="20"/>
          <w:szCs w:val="20"/>
        </w:rPr>
        <w:t>встановлені</w:t>
      </w:r>
      <w:r w:rsidRPr="000977F7">
        <w:rPr>
          <w:rFonts w:asciiTheme="majorHAnsi" w:hAnsiTheme="majorHAnsi"/>
          <w:spacing w:val="6"/>
          <w:sz w:val="20"/>
          <w:szCs w:val="20"/>
        </w:rPr>
        <w:t xml:space="preserve"> </w:t>
      </w:r>
      <w:r w:rsidRPr="000977F7">
        <w:rPr>
          <w:rFonts w:asciiTheme="majorHAnsi" w:hAnsiTheme="majorHAnsi"/>
          <w:sz w:val="20"/>
          <w:szCs w:val="20"/>
        </w:rPr>
        <w:t>нормативними</w:t>
      </w:r>
      <w:r w:rsidRPr="000977F7">
        <w:rPr>
          <w:rFonts w:asciiTheme="majorHAnsi" w:hAnsiTheme="majorHAnsi"/>
          <w:spacing w:val="2"/>
          <w:sz w:val="20"/>
          <w:szCs w:val="20"/>
        </w:rPr>
        <w:t xml:space="preserve"> </w:t>
      </w:r>
      <w:r w:rsidRPr="000977F7">
        <w:rPr>
          <w:rFonts w:asciiTheme="majorHAnsi" w:hAnsiTheme="majorHAnsi"/>
          <w:sz w:val="20"/>
          <w:szCs w:val="20"/>
        </w:rPr>
        <w:t>документами</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даного</w:t>
      </w:r>
      <w:r w:rsidRPr="000977F7">
        <w:rPr>
          <w:rFonts w:asciiTheme="majorHAnsi" w:hAnsiTheme="majorHAnsi"/>
          <w:spacing w:val="1"/>
          <w:sz w:val="20"/>
          <w:szCs w:val="20"/>
        </w:rPr>
        <w:t xml:space="preserve"> </w:t>
      </w:r>
      <w:r w:rsidRPr="000977F7">
        <w:rPr>
          <w:rFonts w:asciiTheme="majorHAnsi" w:hAnsiTheme="majorHAnsi"/>
          <w:sz w:val="20"/>
          <w:szCs w:val="20"/>
        </w:rPr>
        <w:t>виду</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3A5B4C1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B837BE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AMBIENT</w:t>
      </w:r>
      <w:r w:rsidRPr="000977F7">
        <w:rPr>
          <w:rFonts w:asciiTheme="majorHAnsi" w:hAnsiTheme="majorHAnsi"/>
          <w:spacing w:val="-2"/>
          <w:sz w:val="20"/>
          <w:szCs w:val="20"/>
        </w:rPr>
        <w:t xml:space="preserve"> </w:t>
      </w:r>
      <w:r w:rsidRPr="000977F7">
        <w:rPr>
          <w:rFonts w:asciiTheme="majorHAnsi" w:hAnsiTheme="majorHAnsi"/>
          <w:sz w:val="20"/>
          <w:szCs w:val="20"/>
        </w:rPr>
        <w:t>TEST</w:t>
      </w:r>
      <w:r w:rsidRPr="000977F7">
        <w:rPr>
          <w:rFonts w:asciiTheme="majorHAnsi" w:hAnsiTheme="majorHAnsi"/>
          <w:spacing w:val="-2"/>
          <w:sz w:val="20"/>
          <w:szCs w:val="20"/>
        </w:rPr>
        <w:t xml:space="preserve"> </w:t>
      </w:r>
      <w:r w:rsidRPr="000977F7">
        <w:rPr>
          <w:rFonts w:asciiTheme="majorHAnsi" w:hAnsiTheme="majorHAnsi"/>
          <w:sz w:val="20"/>
          <w:szCs w:val="20"/>
        </w:rPr>
        <w:t>CONDITIONS –</w:t>
      </w:r>
    </w:p>
    <w:p w14:paraId="5E3438E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Умови</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реалізуються</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кімнатної</w:t>
      </w:r>
      <w:r w:rsidRPr="000977F7">
        <w:rPr>
          <w:rFonts w:asciiTheme="majorHAnsi" w:hAnsiTheme="majorHAnsi"/>
          <w:spacing w:val="1"/>
          <w:sz w:val="20"/>
          <w:szCs w:val="20"/>
        </w:rPr>
        <w:t xml:space="preserve"> </w:t>
      </w:r>
      <w:r w:rsidRPr="000977F7">
        <w:rPr>
          <w:rFonts w:asciiTheme="majorHAnsi" w:hAnsiTheme="majorHAnsi"/>
          <w:sz w:val="20"/>
          <w:szCs w:val="20"/>
        </w:rPr>
        <w:t>температури у повітряному середовищі з нормальною</w:t>
      </w:r>
      <w:r w:rsidRPr="000977F7">
        <w:rPr>
          <w:rFonts w:asciiTheme="majorHAnsi" w:hAnsiTheme="majorHAnsi"/>
          <w:spacing w:val="1"/>
          <w:sz w:val="20"/>
          <w:szCs w:val="20"/>
        </w:rPr>
        <w:t xml:space="preserve"> </w:t>
      </w:r>
      <w:r w:rsidRPr="000977F7">
        <w:rPr>
          <w:rFonts w:asciiTheme="majorHAnsi" w:hAnsiTheme="majorHAnsi"/>
          <w:sz w:val="20"/>
          <w:szCs w:val="20"/>
        </w:rPr>
        <w:t>вологістю та атмосферним тиском під час дії механічних чинників, за відсутності чи відповідності інших</w:t>
      </w:r>
      <w:r w:rsidRPr="000977F7">
        <w:rPr>
          <w:rFonts w:asciiTheme="majorHAnsi" w:hAnsiTheme="majorHAnsi"/>
          <w:spacing w:val="1"/>
          <w:sz w:val="20"/>
          <w:szCs w:val="20"/>
        </w:rPr>
        <w:t xml:space="preserve"> </w:t>
      </w:r>
      <w:r w:rsidRPr="000977F7">
        <w:rPr>
          <w:rFonts w:asciiTheme="majorHAnsi" w:hAnsiTheme="majorHAnsi"/>
          <w:sz w:val="20"/>
          <w:szCs w:val="20"/>
        </w:rPr>
        <w:t>чинників</w:t>
      </w:r>
      <w:r w:rsidRPr="000977F7">
        <w:rPr>
          <w:rFonts w:asciiTheme="majorHAnsi" w:hAnsiTheme="majorHAnsi"/>
          <w:spacing w:val="1"/>
          <w:sz w:val="20"/>
          <w:szCs w:val="20"/>
        </w:rPr>
        <w:t xml:space="preserve"> </w:t>
      </w:r>
      <w:r w:rsidRPr="000977F7">
        <w:rPr>
          <w:rFonts w:asciiTheme="majorHAnsi" w:hAnsiTheme="majorHAnsi"/>
          <w:sz w:val="20"/>
          <w:szCs w:val="20"/>
        </w:rPr>
        <w:t>природному</w:t>
      </w:r>
      <w:r w:rsidRPr="000977F7">
        <w:rPr>
          <w:rFonts w:asciiTheme="majorHAnsi" w:hAnsiTheme="majorHAnsi"/>
          <w:spacing w:val="-4"/>
          <w:sz w:val="20"/>
          <w:szCs w:val="20"/>
        </w:rPr>
        <w:t xml:space="preserve"> </w:t>
      </w:r>
      <w:r w:rsidRPr="000977F7">
        <w:rPr>
          <w:rFonts w:asciiTheme="majorHAnsi" w:hAnsiTheme="majorHAnsi"/>
          <w:sz w:val="20"/>
          <w:szCs w:val="20"/>
        </w:rPr>
        <w:t>рівню</w:t>
      </w:r>
    </w:p>
    <w:p w14:paraId="14790CA2"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1"/>
          <w:sz w:val="20"/>
          <w:szCs w:val="20"/>
        </w:rPr>
        <w:t xml:space="preserve"> </w:t>
      </w:r>
      <w:r w:rsidRPr="000977F7">
        <w:rPr>
          <w:rFonts w:asciiTheme="majorHAnsi" w:hAnsiTheme="majorHAnsi"/>
          <w:i/>
          <w:iCs/>
          <w:sz w:val="20"/>
          <w:szCs w:val="20"/>
        </w:rPr>
        <w:t>2824</w:t>
      </w:r>
      <w:r w:rsidRPr="000977F7">
        <w:rPr>
          <w:rFonts w:asciiTheme="majorHAnsi" w:hAnsiTheme="majorHAnsi"/>
          <w:i/>
          <w:iCs/>
          <w:spacing w:val="-1"/>
          <w:sz w:val="20"/>
          <w:szCs w:val="20"/>
        </w:rPr>
        <w:t xml:space="preserve"> </w:t>
      </w:r>
      <w:r w:rsidRPr="000977F7">
        <w:rPr>
          <w:rFonts w:asciiTheme="majorHAnsi" w:hAnsiTheme="majorHAnsi"/>
          <w:i/>
          <w:iCs/>
          <w:sz w:val="20"/>
          <w:szCs w:val="20"/>
        </w:rPr>
        <w:t>–</w:t>
      </w:r>
      <w:r w:rsidRPr="000977F7">
        <w:rPr>
          <w:rFonts w:asciiTheme="majorHAnsi" w:hAnsiTheme="majorHAnsi"/>
          <w:i/>
          <w:iCs/>
          <w:spacing w:val="1"/>
          <w:sz w:val="20"/>
          <w:szCs w:val="20"/>
        </w:rPr>
        <w:t xml:space="preserve"> </w:t>
      </w:r>
      <w:r w:rsidRPr="000977F7">
        <w:rPr>
          <w:rFonts w:asciiTheme="majorHAnsi" w:hAnsiTheme="majorHAnsi"/>
          <w:i/>
          <w:iCs/>
          <w:sz w:val="20"/>
          <w:szCs w:val="20"/>
        </w:rPr>
        <w:t>94</w:t>
      </w:r>
    </w:p>
    <w:p w14:paraId="02E6543C"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НОРМАЛЬНІ</w:t>
      </w:r>
      <w:r w:rsidRPr="000977F7">
        <w:rPr>
          <w:rFonts w:asciiTheme="majorHAnsi" w:hAnsiTheme="majorHAnsi"/>
          <w:b/>
          <w:spacing w:val="1"/>
          <w:sz w:val="20"/>
          <w:szCs w:val="20"/>
        </w:rPr>
        <w:t xml:space="preserve"> </w:t>
      </w:r>
      <w:r w:rsidRPr="000977F7">
        <w:rPr>
          <w:rFonts w:asciiTheme="majorHAnsi" w:hAnsiTheme="majorHAnsi"/>
          <w:b/>
          <w:sz w:val="20"/>
          <w:szCs w:val="20"/>
        </w:rPr>
        <w:t>УМОВИ</w:t>
      </w:r>
      <w:r w:rsidRPr="000977F7">
        <w:rPr>
          <w:rFonts w:asciiTheme="majorHAnsi" w:hAnsiTheme="majorHAnsi"/>
          <w:b/>
          <w:spacing w:val="1"/>
          <w:sz w:val="20"/>
          <w:szCs w:val="20"/>
        </w:rPr>
        <w:t xml:space="preserve"> </w:t>
      </w:r>
      <w:r w:rsidRPr="000977F7">
        <w:rPr>
          <w:rFonts w:asciiTheme="majorHAnsi" w:hAnsiTheme="majorHAnsi"/>
          <w:b/>
          <w:sz w:val="20"/>
          <w:szCs w:val="20"/>
        </w:rPr>
        <w:t xml:space="preserve">ЗАСТОСУВАННЯ </w:t>
      </w:r>
    </w:p>
    <w:p w14:paraId="593A29C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ЗАСОБІВ ВИМІРЮВАЛЬНОЇ ТЕХНІКИ -</w:t>
      </w:r>
      <w:r w:rsidRPr="000977F7">
        <w:rPr>
          <w:rFonts w:asciiTheme="majorHAnsi" w:hAnsiTheme="majorHAnsi"/>
          <w:sz w:val="20"/>
          <w:szCs w:val="20"/>
        </w:rPr>
        <w:t>REFERENCE</w:t>
      </w:r>
      <w:r w:rsidRPr="000977F7">
        <w:rPr>
          <w:rFonts w:asciiTheme="majorHAnsi" w:hAnsiTheme="majorHAnsi"/>
          <w:spacing w:val="-1"/>
          <w:sz w:val="20"/>
          <w:szCs w:val="20"/>
        </w:rPr>
        <w:t xml:space="preserve"> </w:t>
      </w:r>
      <w:r w:rsidRPr="000977F7">
        <w:rPr>
          <w:rFonts w:asciiTheme="majorHAnsi" w:hAnsiTheme="majorHAnsi"/>
          <w:sz w:val="20"/>
          <w:szCs w:val="20"/>
        </w:rPr>
        <w:t>CONDITIONS</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762C3E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Умови застосування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засобів</w:t>
      </w:r>
      <w:r w:rsidRPr="000977F7">
        <w:rPr>
          <w:rFonts w:asciiTheme="majorHAnsi" w:hAnsiTheme="majorHAnsi"/>
          <w:spacing w:val="50"/>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50"/>
          <w:sz w:val="20"/>
          <w:szCs w:val="20"/>
        </w:rPr>
        <w:t xml:space="preserve"> </w:t>
      </w:r>
      <w:r w:rsidRPr="000977F7">
        <w:rPr>
          <w:rFonts w:asciiTheme="majorHAnsi" w:hAnsiTheme="majorHAnsi"/>
          <w:sz w:val="20"/>
          <w:szCs w:val="20"/>
        </w:rPr>
        <w:t>техніки,</w:t>
      </w:r>
      <w:r w:rsidRPr="000977F7">
        <w:rPr>
          <w:rFonts w:asciiTheme="majorHAnsi" w:hAnsiTheme="majorHAnsi"/>
          <w:spacing w:val="1"/>
          <w:sz w:val="20"/>
          <w:szCs w:val="20"/>
        </w:rPr>
        <w:t xml:space="preserve"> </w:t>
      </w:r>
      <w:r w:rsidRPr="000977F7">
        <w:rPr>
          <w:rFonts w:asciiTheme="majorHAnsi" w:hAnsiTheme="majorHAnsi"/>
          <w:sz w:val="20"/>
          <w:szCs w:val="20"/>
        </w:rPr>
        <w:t>за яких впливні величини мають нормальні значення</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знаходяться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границях</w:t>
      </w:r>
      <w:r w:rsidRPr="000977F7">
        <w:rPr>
          <w:rFonts w:asciiTheme="majorHAnsi" w:hAnsiTheme="majorHAnsi"/>
          <w:spacing w:val="1"/>
          <w:sz w:val="20"/>
          <w:szCs w:val="20"/>
        </w:rPr>
        <w:t xml:space="preserve"> </w:t>
      </w:r>
      <w:r w:rsidRPr="000977F7">
        <w:rPr>
          <w:rFonts w:asciiTheme="majorHAnsi" w:hAnsiTheme="majorHAnsi"/>
          <w:sz w:val="20"/>
          <w:szCs w:val="20"/>
        </w:rPr>
        <w:t>нормального</w:t>
      </w:r>
      <w:r w:rsidRPr="000977F7">
        <w:rPr>
          <w:rFonts w:asciiTheme="majorHAnsi" w:hAnsiTheme="majorHAnsi"/>
          <w:spacing w:val="1"/>
          <w:sz w:val="20"/>
          <w:szCs w:val="20"/>
        </w:rPr>
        <w:t xml:space="preserve"> </w:t>
      </w:r>
      <w:r w:rsidRPr="000977F7">
        <w:rPr>
          <w:rFonts w:asciiTheme="majorHAnsi" w:hAnsiTheme="majorHAnsi"/>
          <w:sz w:val="20"/>
          <w:szCs w:val="20"/>
        </w:rPr>
        <w:t>інтервалу</w:t>
      </w:r>
      <w:r w:rsidRPr="000977F7">
        <w:rPr>
          <w:rFonts w:asciiTheme="majorHAnsi" w:hAnsiTheme="majorHAnsi"/>
          <w:spacing w:val="1"/>
          <w:sz w:val="20"/>
          <w:szCs w:val="20"/>
        </w:rPr>
        <w:t xml:space="preserve"> </w:t>
      </w:r>
      <w:r w:rsidRPr="000977F7">
        <w:rPr>
          <w:rFonts w:asciiTheme="majorHAnsi" w:hAnsiTheme="majorHAnsi"/>
          <w:sz w:val="20"/>
          <w:szCs w:val="20"/>
        </w:rPr>
        <w:t>значень</w:t>
      </w:r>
    </w:p>
    <w:p w14:paraId="1301DC9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9777F3E"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Нормальне</w:t>
      </w:r>
      <w:r w:rsidRPr="000977F7">
        <w:rPr>
          <w:rFonts w:asciiTheme="majorHAnsi" w:hAnsiTheme="majorHAnsi"/>
          <w:spacing w:val="21"/>
          <w:sz w:val="20"/>
          <w:szCs w:val="20"/>
        </w:rPr>
        <w:t xml:space="preserve"> </w:t>
      </w:r>
      <w:r w:rsidRPr="000977F7">
        <w:rPr>
          <w:rFonts w:asciiTheme="majorHAnsi" w:hAnsiTheme="majorHAnsi"/>
          <w:sz w:val="20"/>
          <w:szCs w:val="20"/>
        </w:rPr>
        <w:t>значення</w:t>
      </w:r>
      <w:r w:rsidRPr="000977F7">
        <w:rPr>
          <w:rFonts w:asciiTheme="majorHAnsi" w:hAnsiTheme="majorHAnsi"/>
          <w:spacing w:val="21"/>
          <w:sz w:val="20"/>
          <w:szCs w:val="20"/>
        </w:rPr>
        <w:t xml:space="preserve"> </w:t>
      </w:r>
      <w:r w:rsidRPr="000977F7">
        <w:rPr>
          <w:rFonts w:asciiTheme="majorHAnsi" w:hAnsiTheme="majorHAnsi"/>
          <w:sz w:val="20"/>
          <w:szCs w:val="20"/>
        </w:rPr>
        <w:t>(нормальний</w:t>
      </w:r>
      <w:r w:rsidRPr="000977F7">
        <w:rPr>
          <w:rFonts w:asciiTheme="majorHAnsi" w:hAnsiTheme="majorHAnsi"/>
          <w:spacing w:val="20"/>
          <w:sz w:val="20"/>
          <w:szCs w:val="20"/>
        </w:rPr>
        <w:t xml:space="preserve"> </w:t>
      </w:r>
      <w:r w:rsidRPr="000977F7">
        <w:rPr>
          <w:rFonts w:asciiTheme="majorHAnsi" w:hAnsiTheme="majorHAnsi"/>
          <w:sz w:val="20"/>
          <w:szCs w:val="20"/>
        </w:rPr>
        <w:t>інтервал</w:t>
      </w:r>
      <w:r w:rsidRPr="000977F7">
        <w:rPr>
          <w:rFonts w:asciiTheme="majorHAnsi" w:hAnsiTheme="majorHAnsi"/>
          <w:spacing w:val="20"/>
          <w:sz w:val="20"/>
          <w:szCs w:val="20"/>
        </w:rPr>
        <w:t xml:space="preserve"> </w:t>
      </w:r>
      <w:r w:rsidRPr="000977F7">
        <w:rPr>
          <w:rFonts w:asciiTheme="majorHAnsi" w:hAnsiTheme="majorHAnsi"/>
          <w:sz w:val="20"/>
          <w:szCs w:val="20"/>
        </w:rPr>
        <w:t>значення)</w:t>
      </w:r>
      <w:r w:rsidRPr="000977F7">
        <w:rPr>
          <w:rFonts w:asciiTheme="majorHAnsi" w:hAnsiTheme="majorHAnsi"/>
          <w:spacing w:val="-47"/>
          <w:sz w:val="20"/>
          <w:szCs w:val="20"/>
        </w:rPr>
        <w:t xml:space="preserve"> </w:t>
      </w:r>
      <w:r w:rsidRPr="000977F7">
        <w:rPr>
          <w:rFonts w:asciiTheme="majorHAnsi" w:hAnsiTheme="majorHAnsi"/>
          <w:sz w:val="20"/>
          <w:szCs w:val="20"/>
        </w:rPr>
        <w:t>впливної</w:t>
      </w:r>
      <w:r w:rsidRPr="000977F7">
        <w:rPr>
          <w:rFonts w:asciiTheme="majorHAnsi" w:hAnsiTheme="majorHAnsi"/>
          <w:spacing w:val="31"/>
          <w:sz w:val="20"/>
          <w:szCs w:val="20"/>
        </w:rPr>
        <w:t xml:space="preserve"> </w:t>
      </w:r>
      <w:r w:rsidRPr="000977F7">
        <w:rPr>
          <w:rFonts w:asciiTheme="majorHAnsi" w:hAnsiTheme="majorHAnsi"/>
          <w:sz w:val="20"/>
          <w:szCs w:val="20"/>
        </w:rPr>
        <w:t>величини</w:t>
      </w:r>
      <w:r w:rsidRPr="000977F7">
        <w:rPr>
          <w:rFonts w:asciiTheme="majorHAnsi" w:hAnsiTheme="majorHAnsi"/>
          <w:spacing w:val="32"/>
          <w:sz w:val="20"/>
          <w:szCs w:val="20"/>
        </w:rPr>
        <w:t xml:space="preserve"> </w:t>
      </w:r>
      <w:r w:rsidRPr="000977F7">
        <w:rPr>
          <w:rFonts w:asciiTheme="majorHAnsi" w:hAnsiTheme="majorHAnsi"/>
          <w:sz w:val="20"/>
          <w:szCs w:val="20"/>
        </w:rPr>
        <w:t>–</w:t>
      </w:r>
      <w:r w:rsidRPr="000977F7">
        <w:rPr>
          <w:rFonts w:asciiTheme="majorHAnsi" w:hAnsiTheme="majorHAnsi"/>
          <w:spacing w:val="36"/>
          <w:sz w:val="20"/>
          <w:szCs w:val="20"/>
        </w:rPr>
        <w:t xml:space="preserve"> </w:t>
      </w:r>
      <w:r w:rsidRPr="000977F7">
        <w:rPr>
          <w:rFonts w:asciiTheme="majorHAnsi" w:hAnsiTheme="majorHAnsi"/>
          <w:sz w:val="20"/>
          <w:szCs w:val="20"/>
        </w:rPr>
        <w:t>це</w:t>
      </w:r>
      <w:r w:rsidRPr="000977F7">
        <w:rPr>
          <w:rFonts w:asciiTheme="majorHAnsi" w:hAnsiTheme="majorHAnsi"/>
          <w:spacing w:val="31"/>
          <w:sz w:val="20"/>
          <w:szCs w:val="20"/>
        </w:rPr>
        <w:t xml:space="preserve"> </w:t>
      </w:r>
      <w:r w:rsidRPr="000977F7">
        <w:rPr>
          <w:rFonts w:asciiTheme="majorHAnsi" w:hAnsiTheme="majorHAnsi"/>
          <w:sz w:val="20"/>
          <w:szCs w:val="20"/>
        </w:rPr>
        <w:t>значення</w:t>
      </w:r>
      <w:r w:rsidRPr="000977F7">
        <w:rPr>
          <w:rFonts w:asciiTheme="majorHAnsi" w:hAnsiTheme="majorHAnsi"/>
          <w:spacing w:val="33"/>
          <w:sz w:val="20"/>
          <w:szCs w:val="20"/>
        </w:rPr>
        <w:t xml:space="preserve"> </w:t>
      </w:r>
      <w:r w:rsidRPr="000977F7">
        <w:rPr>
          <w:rFonts w:asciiTheme="majorHAnsi" w:hAnsiTheme="majorHAnsi"/>
          <w:sz w:val="20"/>
          <w:szCs w:val="20"/>
        </w:rPr>
        <w:t>(інтервал</w:t>
      </w:r>
      <w:r w:rsidRPr="000977F7">
        <w:rPr>
          <w:rFonts w:asciiTheme="majorHAnsi" w:hAnsiTheme="majorHAnsi"/>
          <w:spacing w:val="31"/>
          <w:sz w:val="20"/>
          <w:szCs w:val="20"/>
        </w:rPr>
        <w:t xml:space="preserve"> </w:t>
      </w:r>
      <w:r w:rsidRPr="000977F7">
        <w:rPr>
          <w:rFonts w:asciiTheme="majorHAnsi" w:hAnsiTheme="majorHAnsi"/>
          <w:sz w:val="20"/>
          <w:szCs w:val="20"/>
        </w:rPr>
        <w:t>значень)</w:t>
      </w:r>
      <w:r w:rsidRPr="000977F7">
        <w:rPr>
          <w:rFonts w:asciiTheme="majorHAnsi" w:hAnsiTheme="majorHAnsi"/>
          <w:spacing w:val="-47"/>
          <w:sz w:val="20"/>
          <w:szCs w:val="20"/>
        </w:rPr>
        <w:t xml:space="preserve"> </w:t>
      </w:r>
      <w:r w:rsidRPr="000977F7">
        <w:rPr>
          <w:rFonts w:asciiTheme="majorHAnsi" w:hAnsiTheme="majorHAnsi"/>
          <w:sz w:val="20"/>
          <w:szCs w:val="20"/>
        </w:rPr>
        <w:t>впливної</w:t>
      </w:r>
      <w:r w:rsidRPr="000977F7">
        <w:rPr>
          <w:rFonts w:asciiTheme="majorHAnsi" w:hAnsiTheme="majorHAnsi"/>
          <w:spacing w:val="10"/>
          <w:sz w:val="20"/>
          <w:szCs w:val="20"/>
        </w:rPr>
        <w:t xml:space="preserve"> </w:t>
      </w:r>
      <w:r w:rsidRPr="000977F7">
        <w:rPr>
          <w:rFonts w:asciiTheme="majorHAnsi" w:hAnsiTheme="majorHAnsi"/>
          <w:sz w:val="20"/>
          <w:szCs w:val="20"/>
        </w:rPr>
        <w:t>величини,</w:t>
      </w:r>
      <w:r w:rsidRPr="000977F7">
        <w:rPr>
          <w:rFonts w:asciiTheme="majorHAnsi" w:hAnsiTheme="majorHAnsi"/>
          <w:spacing w:val="11"/>
          <w:sz w:val="20"/>
          <w:szCs w:val="20"/>
        </w:rPr>
        <w:t xml:space="preserve"> </w:t>
      </w:r>
      <w:r w:rsidRPr="000977F7">
        <w:rPr>
          <w:rFonts w:asciiTheme="majorHAnsi" w:hAnsiTheme="majorHAnsi"/>
          <w:sz w:val="20"/>
          <w:szCs w:val="20"/>
        </w:rPr>
        <w:t>для</w:t>
      </w:r>
      <w:r w:rsidRPr="000977F7">
        <w:rPr>
          <w:rFonts w:asciiTheme="majorHAnsi" w:hAnsiTheme="majorHAnsi"/>
          <w:spacing w:val="11"/>
          <w:sz w:val="20"/>
          <w:szCs w:val="20"/>
        </w:rPr>
        <w:t xml:space="preserve"> </w:t>
      </w:r>
      <w:r w:rsidRPr="000977F7">
        <w:rPr>
          <w:rFonts w:asciiTheme="majorHAnsi" w:hAnsiTheme="majorHAnsi"/>
          <w:sz w:val="20"/>
          <w:szCs w:val="20"/>
        </w:rPr>
        <w:t>якого</w:t>
      </w:r>
      <w:r w:rsidRPr="000977F7">
        <w:rPr>
          <w:rFonts w:asciiTheme="majorHAnsi" w:hAnsiTheme="majorHAnsi"/>
          <w:spacing w:val="12"/>
          <w:sz w:val="20"/>
          <w:szCs w:val="20"/>
        </w:rPr>
        <w:t xml:space="preserve"> </w:t>
      </w:r>
      <w:r w:rsidRPr="000977F7">
        <w:rPr>
          <w:rFonts w:asciiTheme="majorHAnsi" w:hAnsiTheme="majorHAnsi"/>
          <w:sz w:val="20"/>
          <w:szCs w:val="20"/>
        </w:rPr>
        <w:t>(в</w:t>
      </w:r>
      <w:r w:rsidRPr="000977F7">
        <w:rPr>
          <w:rFonts w:asciiTheme="majorHAnsi" w:hAnsiTheme="majorHAnsi"/>
          <w:spacing w:val="11"/>
          <w:sz w:val="20"/>
          <w:szCs w:val="20"/>
        </w:rPr>
        <w:t xml:space="preserve"> </w:t>
      </w:r>
      <w:r w:rsidRPr="000977F7">
        <w:rPr>
          <w:rFonts w:asciiTheme="majorHAnsi" w:hAnsiTheme="majorHAnsi"/>
          <w:sz w:val="20"/>
          <w:szCs w:val="20"/>
        </w:rPr>
        <w:t>межах</w:t>
      </w:r>
      <w:r w:rsidRPr="000977F7">
        <w:rPr>
          <w:rFonts w:asciiTheme="majorHAnsi" w:hAnsiTheme="majorHAnsi"/>
          <w:spacing w:val="10"/>
          <w:sz w:val="20"/>
          <w:szCs w:val="20"/>
        </w:rPr>
        <w:t xml:space="preserve"> </w:t>
      </w:r>
      <w:r w:rsidRPr="000977F7">
        <w:rPr>
          <w:rFonts w:asciiTheme="majorHAnsi" w:hAnsiTheme="majorHAnsi"/>
          <w:sz w:val="20"/>
          <w:szCs w:val="20"/>
        </w:rPr>
        <w:t>якого)</w:t>
      </w:r>
      <w:r w:rsidRPr="000977F7">
        <w:rPr>
          <w:rFonts w:asciiTheme="majorHAnsi" w:hAnsiTheme="majorHAnsi"/>
          <w:spacing w:val="12"/>
          <w:sz w:val="20"/>
          <w:szCs w:val="20"/>
        </w:rPr>
        <w:t xml:space="preserve"> </w:t>
      </w:r>
      <w:r w:rsidRPr="000977F7">
        <w:rPr>
          <w:rFonts w:asciiTheme="majorHAnsi" w:hAnsiTheme="majorHAnsi"/>
          <w:sz w:val="20"/>
          <w:szCs w:val="20"/>
        </w:rPr>
        <w:t>нормується основна похибка засобів вимірювальної техніки</w:t>
      </w:r>
    </w:p>
    <w:p w14:paraId="08593BD4"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84</w:t>
      </w:r>
    </w:p>
    <w:p w14:paraId="6258E05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 xml:space="preserve">НОРМАТИВНА ТРИВАЛІСТЬ ОСВОЄННЯ </w:t>
      </w:r>
    </w:p>
    <w:p w14:paraId="06A48AB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w:t>
      </w:r>
      <w:r w:rsidRPr="000977F7">
        <w:rPr>
          <w:color w:val="auto"/>
          <w:spacing w:val="-47"/>
          <w:sz w:val="20"/>
          <w:szCs w:val="20"/>
        </w:rPr>
        <w:t xml:space="preserve"> </w:t>
      </w:r>
      <w:r w:rsidRPr="000977F7">
        <w:rPr>
          <w:color w:val="auto"/>
          <w:sz w:val="20"/>
          <w:szCs w:val="20"/>
        </w:rPr>
        <w:t>РОБНИЦТВА –</w:t>
      </w:r>
    </w:p>
    <w:p w14:paraId="716B093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Встановлений</w:t>
      </w:r>
      <w:r w:rsidRPr="000977F7">
        <w:rPr>
          <w:rFonts w:asciiTheme="majorHAnsi" w:hAnsiTheme="majorHAnsi"/>
          <w:spacing w:val="1"/>
          <w:sz w:val="20"/>
          <w:szCs w:val="20"/>
        </w:rPr>
        <w:t xml:space="preserve"> </w:t>
      </w:r>
      <w:r w:rsidRPr="000977F7">
        <w:rPr>
          <w:rFonts w:asciiTheme="majorHAnsi" w:hAnsiTheme="majorHAnsi"/>
          <w:sz w:val="20"/>
          <w:szCs w:val="20"/>
        </w:rPr>
        <w:t>нормами</w:t>
      </w:r>
      <w:r w:rsidRPr="000977F7">
        <w:rPr>
          <w:rFonts w:asciiTheme="majorHAnsi" w:hAnsiTheme="majorHAnsi"/>
          <w:spacing w:val="1"/>
          <w:sz w:val="20"/>
          <w:szCs w:val="20"/>
        </w:rPr>
        <w:t xml:space="preserve"> </w:t>
      </w:r>
      <w:r w:rsidRPr="000977F7">
        <w:rPr>
          <w:rFonts w:asciiTheme="majorHAnsi" w:hAnsiTheme="majorHAnsi"/>
          <w:sz w:val="20"/>
          <w:szCs w:val="20"/>
        </w:rPr>
        <w:t>мінімальний</w:t>
      </w:r>
      <w:r w:rsidRPr="000977F7">
        <w:rPr>
          <w:rFonts w:asciiTheme="majorHAnsi" w:hAnsiTheme="majorHAnsi"/>
          <w:spacing w:val="1"/>
          <w:sz w:val="20"/>
          <w:szCs w:val="20"/>
        </w:rPr>
        <w:t xml:space="preserve"> </w:t>
      </w:r>
      <w:r w:rsidRPr="000977F7">
        <w:rPr>
          <w:rFonts w:asciiTheme="majorHAnsi" w:hAnsiTheme="majorHAnsi"/>
          <w:sz w:val="20"/>
          <w:szCs w:val="20"/>
        </w:rPr>
        <w:t>термін</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дня</w:t>
      </w:r>
      <w:r w:rsidRPr="000977F7">
        <w:rPr>
          <w:rFonts w:asciiTheme="majorHAnsi" w:hAnsiTheme="majorHAnsi"/>
          <w:spacing w:val="1"/>
          <w:sz w:val="20"/>
          <w:szCs w:val="20"/>
        </w:rPr>
        <w:t xml:space="preserve"> </w:t>
      </w:r>
      <w:r w:rsidRPr="000977F7">
        <w:rPr>
          <w:rFonts w:asciiTheme="majorHAnsi" w:hAnsiTheme="majorHAnsi"/>
          <w:sz w:val="20"/>
          <w:szCs w:val="20"/>
        </w:rPr>
        <w:t>підписання акта про приймання об’єкта в експлуатацію</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отримання</w:t>
      </w:r>
      <w:r w:rsidRPr="000977F7">
        <w:rPr>
          <w:rFonts w:asciiTheme="majorHAnsi" w:hAnsiTheme="majorHAnsi"/>
          <w:spacing w:val="1"/>
          <w:sz w:val="20"/>
          <w:szCs w:val="20"/>
        </w:rPr>
        <w:t xml:space="preserve"> </w:t>
      </w:r>
      <w:r w:rsidRPr="000977F7">
        <w:rPr>
          <w:rFonts w:asciiTheme="majorHAnsi" w:hAnsiTheme="majorHAnsi"/>
          <w:sz w:val="20"/>
          <w:szCs w:val="20"/>
        </w:rPr>
        <w:t>протягом</w:t>
      </w:r>
      <w:r w:rsidRPr="000977F7">
        <w:rPr>
          <w:rFonts w:asciiTheme="majorHAnsi" w:hAnsiTheme="majorHAnsi"/>
          <w:spacing w:val="1"/>
          <w:sz w:val="20"/>
          <w:szCs w:val="20"/>
        </w:rPr>
        <w:t xml:space="preserve"> </w:t>
      </w:r>
      <w:r w:rsidRPr="000977F7">
        <w:rPr>
          <w:rFonts w:asciiTheme="majorHAnsi" w:hAnsiTheme="majorHAnsi"/>
          <w:sz w:val="20"/>
          <w:szCs w:val="20"/>
        </w:rPr>
        <w:t>місяця</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стійких</w:t>
      </w:r>
      <w:r w:rsidRPr="000977F7">
        <w:rPr>
          <w:rFonts w:asciiTheme="majorHAnsi" w:hAnsiTheme="majorHAnsi"/>
          <w:spacing w:val="50"/>
          <w:sz w:val="20"/>
          <w:szCs w:val="20"/>
        </w:rPr>
        <w:t xml:space="preserve"> </w:t>
      </w:r>
      <w:r w:rsidRPr="000977F7">
        <w:rPr>
          <w:rFonts w:asciiTheme="majorHAnsi" w:hAnsiTheme="majorHAnsi"/>
          <w:sz w:val="20"/>
          <w:szCs w:val="20"/>
        </w:rPr>
        <w:t>значень на рівні проектних техніко-економічних показників середньомісячного проектного обсягу випуску</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324C6DC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2960 - 94</w:t>
      </w:r>
    </w:p>
    <w:p w14:paraId="391D129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НОРМАТИВНИЙ ДОКУМЕНТ </w:t>
      </w:r>
      <w:r w:rsidRPr="000977F7">
        <w:rPr>
          <w:rFonts w:asciiTheme="majorHAnsi" w:hAnsiTheme="majorHAnsi"/>
          <w:sz w:val="20"/>
          <w:szCs w:val="20"/>
        </w:rPr>
        <w:t>–</w:t>
      </w:r>
    </w:p>
    <w:p w14:paraId="2B5ED86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pacing w:val="-47"/>
          <w:sz w:val="20"/>
          <w:szCs w:val="20"/>
        </w:rPr>
        <w:t xml:space="preserve"> </w:t>
      </w:r>
      <w:r w:rsidRPr="000977F7">
        <w:rPr>
          <w:rFonts w:asciiTheme="majorHAnsi" w:hAnsiTheme="majorHAnsi"/>
          <w:sz w:val="20"/>
          <w:szCs w:val="20"/>
        </w:rPr>
        <w:t>NORMATIVE</w:t>
      </w:r>
      <w:r w:rsidRPr="000977F7">
        <w:rPr>
          <w:rFonts w:asciiTheme="majorHAnsi" w:hAnsiTheme="majorHAnsi"/>
          <w:spacing w:val="-1"/>
          <w:sz w:val="20"/>
          <w:szCs w:val="20"/>
        </w:rPr>
        <w:t xml:space="preserve"> </w:t>
      </w:r>
      <w:r w:rsidRPr="000977F7">
        <w:rPr>
          <w:rFonts w:asciiTheme="majorHAnsi" w:hAnsiTheme="majorHAnsi"/>
          <w:sz w:val="20"/>
          <w:szCs w:val="20"/>
        </w:rPr>
        <w:t>DOCUMENT</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70A11EC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w:t>
      </w:r>
      <w:r w:rsidRPr="000977F7">
        <w:rPr>
          <w:rFonts w:asciiTheme="majorHAnsi" w:hAnsiTheme="majorHAnsi"/>
          <w:spacing w:val="24"/>
          <w:sz w:val="20"/>
          <w:szCs w:val="20"/>
        </w:rPr>
        <w:t xml:space="preserve"> </w:t>
      </w:r>
      <w:r w:rsidRPr="000977F7">
        <w:rPr>
          <w:rFonts w:asciiTheme="majorHAnsi" w:hAnsiTheme="majorHAnsi"/>
          <w:sz w:val="20"/>
          <w:szCs w:val="20"/>
        </w:rPr>
        <w:t>що</w:t>
      </w:r>
      <w:r w:rsidRPr="000977F7">
        <w:rPr>
          <w:rFonts w:asciiTheme="majorHAnsi" w:hAnsiTheme="majorHAnsi"/>
          <w:spacing w:val="26"/>
          <w:sz w:val="20"/>
          <w:szCs w:val="20"/>
        </w:rPr>
        <w:t xml:space="preserve"> </w:t>
      </w:r>
      <w:r w:rsidRPr="000977F7">
        <w:rPr>
          <w:rFonts w:asciiTheme="majorHAnsi" w:hAnsiTheme="majorHAnsi"/>
          <w:sz w:val="20"/>
          <w:szCs w:val="20"/>
        </w:rPr>
        <w:t>встановлює</w:t>
      </w:r>
      <w:r w:rsidRPr="000977F7">
        <w:rPr>
          <w:rFonts w:asciiTheme="majorHAnsi" w:hAnsiTheme="majorHAnsi"/>
          <w:spacing w:val="28"/>
          <w:sz w:val="20"/>
          <w:szCs w:val="20"/>
        </w:rPr>
        <w:t xml:space="preserve"> </w:t>
      </w:r>
      <w:r w:rsidRPr="000977F7">
        <w:rPr>
          <w:rFonts w:asciiTheme="majorHAnsi" w:hAnsiTheme="majorHAnsi"/>
          <w:sz w:val="20"/>
          <w:szCs w:val="20"/>
        </w:rPr>
        <w:t>правила,</w:t>
      </w:r>
      <w:r w:rsidRPr="000977F7">
        <w:rPr>
          <w:rFonts w:asciiTheme="majorHAnsi" w:hAnsiTheme="majorHAnsi"/>
          <w:spacing w:val="24"/>
          <w:sz w:val="20"/>
          <w:szCs w:val="20"/>
        </w:rPr>
        <w:t xml:space="preserve"> </w:t>
      </w:r>
      <w:r w:rsidRPr="000977F7">
        <w:rPr>
          <w:rFonts w:asciiTheme="majorHAnsi" w:hAnsiTheme="majorHAnsi"/>
          <w:sz w:val="20"/>
          <w:szCs w:val="20"/>
        </w:rPr>
        <w:t>настанови</w:t>
      </w:r>
      <w:r w:rsidRPr="000977F7">
        <w:rPr>
          <w:rFonts w:asciiTheme="majorHAnsi" w:hAnsiTheme="majorHAnsi"/>
          <w:spacing w:val="23"/>
          <w:sz w:val="20"/>
          <w:szCs w:val="20"/>
        </w:rPr>
        <w:t xml:space="preserve"> </w:t>
      </w:r>
      <w:r w:rsidRPr="000977F7">
        <w:rPr>
          <w:rFonts w:asciiTheme="majorHAnsi" w:hAnsiTheme="majorHAnsi"/>
          <w:sz w:val="20"/>
          <w:szCs w:val="20"/>
        </w:rPr>
        <w:t>чи</w:t>
      </w:r>
      <w:r w:rsidRPr="000977F7">
        <w:rPr>
          <w:rFonts w:asciiTheme="majorHAnsi" w:hAnsiTheme="majorHAnsi"/>
          <w:spacing w:val="26"/>
          <w:sz w:val="20"/>
          <w:szCs w:val="20"/>
        </w:rPr>
        <w:t xml:space="preserve"> </w:t>
      </w:r>
      <w:r w:rsidRPr="000977F7">
        <w:rPr>
          <w:rFonts w:asciiTheme="majorHAnsi" w:hAnsiTheme="majorHAnsi"/>
          <w:sz w:val="20"/>
          <w:szCs w:val="20"/>
        </w:rPr>
        <w:t>характеристики</w:t>
      </w:r>
      <w:r w:rsidRPr="000977F7">
        <w:rPr>
          <w:rFonts w:asciiTheme="majorHAnsi" w:hAnsiTheme="majorHAnsi"/>
          <w:spacing w:val="-3"/>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2"/>
          <w:sz w:val="20"/>
          <w:szCs w:val="20"/>
        </w:rPr>
        <w:t xml:space="preserve"> </w:t>
      </w:r>
      <w:r w:rsidRPr="000977F7">
        <w:rPr>
          <w:rFonts w:asciiTheme="majorHAnsi" w:hAnsiTheme="majorHAnsi"/>
          <w:sz w:val="20"/>
          <w:szCs w:val="20"/>
        </w:rPr>
        <w:t>або її</w:t>
      </w:r>
      <w:r w:rsidRPr="000977F7">
        <w:rPr>
          <w:rFonts w:asciiTheme="majorHAnsi" w:hAnsiTheme="majorHAnsi"/>
          <w:spacing w:val="-2"/>
          <w:sz w:val="20"/>
          <w:szCs w:val="20"/>
        </w:rPr>
        <w:t xml:space="preserve"> </w:t>
      </w:r>
      <w:r w:rsidRPr="000977F7">
        <w:rPr>
          <w:rFonts w:asciiTheme="majorHAnsi" w:hAnsiTheme="majorHAnsi"/>
          <w:sz w:val="20"/>
          <w:szCs w:val="20"/>
        </w:rPr>
        <w:t>результатів.</w:t>
      </w:r>
    </w:p>
    <w:p w14:paraId="7026313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П.14 ч. 1 ст. 1 закону України "Про стандартизацію"</w:t>
      </w:r>
    </w:p>
    <w:p w14:paraId="043C3B65"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i/>
          <w:spacing w:val="-48"/>
          <w:sz w:val="20"/>
          <w:szCs w:val="20"/>
        </w:rPr>
        <w:t xml:space="preserve"> </w:t>
      </w:r>
      <w:r w:rsidRPr="000977F7">
        <w:rPr>
          <w:rFonts w:asciiTheme="majorHAnsi" w:hAnsiTheme="majorHAnsi"/>
          <w:b/>
          <w:sz w:val="20"/>
          <w:szCs w:val="20"/>
        </w:rPr>
        <w:t>НОРМАТИВНИЙ</w:t>
      </w:r>
      <w:r w:rsidRPr="004D2D14">
        <w:rPr>
          <w:rFonts w:asciiTheme="majorHAnsi" w:hAnsiTheme="majorHAnsi"/>
          <w:b/>
          <w:sz w:val="20"/>
          <w:szCs w:val="20"/>
          <w:lang w:val="en-US"/>
        </w:rPr>
        <w:t xml:space="preserve"> </w:t>
      </w:r>
      <w:r w:rsidRPr="000977F7">
        <w:rPr>
          <w:rFonts w:asciiTheme="majorHAnsi" w:hAnsiTheme="majorHAnsi"/>
          <w:b/>
          <w:sz w:val="20"/>
          <w:szCs w:val="20"/>
        </w:rPr>
        <w:t>ДОКУМЕНТ</w:t>
      </w:r>
      <w:r w:rsidRPr="004D2D14">
        <w:rPr>
          <w:rFonts w:asciiTheme="majorHAnsi" w:hAnsiTheme="majorHAnsi"/>
          <w:b/>
          <w:sz w:val="20"/>
          <w:szCs w:val="20"/>
          <w:lang w:val="en-US"/>
        </w:rPr>
        <w:t xml:space="preserve"> </w:t>
      </w:r>
      <w:r w:rsidRPr="000977F7">
        <w:rPr>
          <w:rFonts w:asciiTheme="majorHAnsi" w:hAnsiTheme="majorHAnsi"/>
          <w:b/>
          <w:sz w:val="20"/>
          <w:szCs w:val="20"/>
        </w:rPr>
        <w:t>ІЗ</w:t>
      </w:r>
      <w:r w:rsidRPr="004D2D14">
        <w:rPr>
          <w:rFonts w:asciiTheme="majorHAnsi" w:hAnsiTheme="majorHAnsi"/>
          <w:b/>
          <w:sz w:val="20"/>
          <w:szCs w:val="20"/>
          <w:lang w:val="en-US"/>
        </w:rPr>
        <w:t xml:space="preserve"> </w:t>
      </w:r>
    </w:p>
    <w:p w14:paraId="15BF4EC3"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СТАНДАРТИЗАЦІЇ</w:t>
      </w:r>
      <w:r w:rsidRPr="004D2D14">
        <w:rPr>
          <w:rFonts w:asciiTheme="majorHAnsi" w:hAnsiTheme="majorHAnsi"/>
          <w:b/>
          <w:spacing w:val="-2"/>
          <w:sz w:val="20"/>
          <w:szCs w:val="20"/>
          <w:lang w:val="en-US"/>
        </w:rPr>
        <w:t xml:space="preserve"> </w:t>
      </w:r>
      <w:r w:rsidRPr="004D2D14">
        <w:rPr>
          <w:rFonts w:asciiTheme="majorHAnsi" w:hAnsiTheme="majorHAnsi"/>
          <w:sz w:val="20"/>
          <w:szCs w:val="20"/>
          <w:lang w:val="en-US"/>
        </w:rPr>
        <w:t>–</w:t>
      </w:r>
    </w:p>
    <w:p w14:paraId="673D43B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NORMATIVE DOCUMENT ON</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 xml:space="preserve">STANDARDIZATION </w:t>
      </w:r>
    </w:p>
    <w:p w14:paraId="345C8CA4"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0977F7">
        <w:rPr>
          <w:rFonts w:asciiTheme="majorHAnsi" w:hAnsiTheme="majorHAnsi"/>
          <w:sz w:val="20"/>
          <w:szCs w:val="20"/>
        </w:rPr>
        <w:t>Документ</w:t>
      </w:r>
      <w:r w:rsidRPr="004D2D14">
        <w:rPr>
          <w:rFonts w:asciiTheme="majorHAnsi" w:hAnsiTheme="majorHAnsi"/>
          <w:sz w:val="20"/>
          <w:szCs w:val="20"/>
          <w:lang w:val="en-US"/>
        </w:rPr>
        <w:t>,</w:t>
      </w:r>
      <w:r w:rsidRPr="004D2D14">
        <w:rPr>
          <w:rFonts w:asciiTheme="majorHAnsi" w:hAnsiTheme="majorHAnsi"/>
          <w:spacing w:val="15"/>
          <w:sz w:val="20"/>
          <w:szCs w:val="20"/>
          <w:lang w:val="en-US"/>
        </w:rPr>
        <w:t xml:space="preserve"> </w:t>
      </w:r>
      <w:r w:rsidRPr="000977F7">
        <w:rPr>
          <w:rFonts w:asciiTheme="majorHAnsi" w:hAnsiTheme="majorHAnsi"/>
          <w:sz w:val="20"/>
          <w:szCs w:val="20"/>
        </w:rPr>
        <w:t>що</w:t>
      </w:r>
      <w:r w:rsidRPr="004D2D14">
        <w:rPr>
          <w:rFonts w:asciiTheme="majorHAnsi" w:hAnsiTheme="majorHAnsi"/>
          <w:spacing w:val="16"/>
          <w:sz w:val="20"/>
          <w:szCs w:val="20"/>
          <w:lang w:val="en-US"/>
        </w:rPr>
        <w:t xml:space="preserve"> </w:t>
      </w:r>
      <w:r w:rsidRPr="000977F7">
        <w:rPr>
          <w:rFonts w:asciiTheme="majorHAnsi" w:hAnsiTheme="majorHAnsi"/>
          <w:sz w:val="20"/>
          <w:szCs w:val="20"/>
        </w:rPr>
        <w:t>визначає</w:t>
      </w:r>
      <w:r w:rsidRPr="004D2D14">
        <w:rPr>
          <w:rFonts w:asciiTheme="majorHAnsi" w:hAnsiTheme="majorHAnsi"/>
          <w:spacing w:val="17"/>
          <w:sz w:val="20"/>
          <w:szCs w:val="20"/>
          <w:lang w:val="en-US"/>
        </w:rPr>
        <w:t xml:space="preserve"> </w:t>
      </w:r>
      <w:r w:rsidRPr="000977F7">
        <w:rPr>
          <w:rFonts w:asciiTheme="majorHAnsi" w:hAnsiTheme="majorHAnsi"/>
          <w:sz w:val="20"/>
          <w:szCs w:val="20"/>
        </w:rPr>
        <w:t>правові</w:t>
      </w:r>
      <w:r w:rsidRPr="004D2D14">
        <w:rPr>
          <w:rFonts w:asciiTheme="majorHAnsi" w:hAnsiTheme="majorHAnsi"/>
          <w:spacing w:val="14"/>
          <w:sz w:val="20"/>
          <w:szCs w:val="20"/>
          <w:lang w:val="en-US"/>
        </w:rPr>
        <w:t xml:space="preserve"> </w:t>
      </w:r>
      <w:r w:rsidRPr="000977F7">
        <w:rPr>
          <w:rFonts w:asciiTheme="majorHAnsi" w:hAnsiTheme="majorHAnsi"/>
          <w:sz w:val="20"/>
          <w:szCs w:val="20"/>
        </w:rPr>
        <w:t>і</w:t>
      </w:r>
      <w:r w:rsidRPr="004D2D14">
        <w:rPr>
          <w:rFonts w:asciiTheme="majorHAnsi" w:hAnsiTheme="majorHAnsi"/>
          <w:spacing w:val="15"/>
          <w:sz w:val="20"/>
          <w:szCs w:val="20"/>
          <w:lang w:val="en-US"/>
        </w:rPr>
        <w:t xml:space="preserve"> </w:t>
      </w:r>
      <w:r w:rsidRPr="004D2D14">
        <w:rPr>
          <w:rFonts w:asciiTheme="majorHAnsi" w:hAnsiTheme="majorHAnsi"/>
          <w:sz w:val="20"/>
          <w:szCs w:val="20"/>
          <w:lang w:val="en-US"/>
        </w:rPr>
        <w:t>(</w:t>
      </w:r>
      <w:r w:rsidRPr="000977F7">
        <w:rPr>
          <w:rFonts w:asciiTheme="majorHAnsi" w:hAnsiTheme="majorHAnsi"/>
          <w:sz w:val="20"/>
          <w:szCs w:val="20"/>
        </w:rPr>
        <w:t>або</w:t>
      </w:r>
      <w:r w:rsidRPr="004D2D14">
        <w:rPr>
          <w:rFonts w:asciiTheme="majorHAnsi" w:hAnsiTheme="majorHAnsi"/>
          <w:sz w:val="20"/>
          <w:szCs w:val="20"/>
          <w:lang w:val="en-US"/>
        </w:rPr>
        <w:t>)</w:t>
      </w:r>
      <w:r w:rsidRPr="004D2D14">
        <w:rPr>
          <w:rFonts w:asciiTheme="majorHAnsi" w:hAnsiTheme="majorHAnsi"/>
          <w:spacing w:val="15"/>
          <w:sz w:val="20"/>
          <w:szCs w:val="20"/>
          <w:lang w:val="en-US"/>
        </w:rPr>
        <w:t xml:space="preserve"> </w:t>
      </w:r>
      <w:r w:rsidRPr="000977F7">
        <w:rPr>
          <w:rFonts w:asciiTheme="majorHAnsi" w:hAnsiTheme="majorHAnsi"/>
          <w:sz w:val="20"/>
          <w:szCs w:val="20"/>
        </w:rPr>
        <w:t>організаційні</w:t>
      </w:r>
      <w:r w:rsidRPr="004D2D14">
        <w:rPr>
          <w:rFonts w:asciiTheme="majorHAnsi" w:hAnsiTheme="majorHAnsi"/>
          <w:spacing w:val="15"/>
          <w:sz w:val="20"/>
          <w:szCs w:val="20"/>
          <w:lang w:val="en-US"/>
        </w:rPr>
        <w:t xml:space="preserve"> </w:t>
      </w:r>
      <w:r w:rsidRPr="000977F7">
        <w:rPr>
          <w:rFonts w:asciiTheme="majorHAnsi" w:hAnsiTheme="majorHAnsi"/>
          <w:sz w:val="20"/>
          <w:szCs w:val="20"/>
        </w:rPr>
        <w:t>і</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методичні</w:t>
      </w:r>
      <w:r w:rsidRPr="004D2D14">
        <w:rPr>
          <w:rFonts w:asciiTheme="majorHAnsi" w:hAnsiTheme="majorHAnsi"/>
          <w:sz w:val="20"/>
          <w:szCs w:val="20"/>
          <w:lang w:val="en-US"/>
        </w:rPr>
        <w:t xml:space="preserve"> </w:t>
      </w:r>
      <w:r w:rsidRPr="000977F7">
        <w:rPr>
          <w:rFonts w:asciiTheme="majorHAnsi" w:hAnsiTheme="majorHAnsi"/>
          <w:sz w:val="20"/>
          <w:szCs w:val="20"/>
        </w:rPr>
        <w:t>правила</w:t>
      </w:r>
      <w:r w:rsidRPr="004D2D14">
        <w:rPr>
          <w:rFonts w:asciiTheme="majorHAnsi" w:hAnsiTheme="majorHAnsi"/>
          <w:sz w:val="20"/>
          <w:szCs w:val="20"/>
          <w:lang w:val="en-US"/>
        </w:rPr>
        <w:t xml:space="preserve">, </w:t>
      </w:r>
      <w:r w:rsidRPr="000977F7">
        <w:rPr>
          <w:rFonts w:asciiTheme="majorHAnsi" w:hAnsiTheme="majorHAnsi"/>
          <w:sz w:val="20"/>
          <w:szCs w:val="20"/>
        </w:rPr>
        <w:t>обов</w:t>
      </w:r>
      <w:r w:rsidRPr="004D2D14">
        <w:rPr>
          <w:rFonts w:asciiTheme="majorHAnsi" w:hAnsiTheme="majorHAnsi"/>
          <w:sz w:val="20"/>
          <w:szCs w:val="20"/>
          <w:lang w:val="en-US"/>
        </w:rPr>
        <w:t>’</w:t>
      </w:r>
      <w:r w:rsidRPr="000977F7">
        <w:rPr>
          <w:rFonts w:asciiTheme="majorHAnsi" w:hAnsiTheme="majorHAnsi"/>
          <w:sz w:val="20"/>
          <w:szCs w:val="20"/>
        </w:rPr>
        <w:t>язкові</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застосування</w:t>
      </w:r>
      <w:r w:rsidRPr="004D2D14">
        <w:rPr>
          <w:rFonts w:asciiTheme="majorHAnsi" w:hAnsiTheme="majorHAnsi"/>
          <w:spacing w:val="-47"/>
          <w:sz w:val="20"/>
          <w:szCs w:val="20"/>
          <w:lang w:val="en-US"/>
        </w:rPr>
        <w:t xml:space="preserve"> </w:t>
      </w:r>
      <w:r w:rsidRPr="000977F7">
        <w:rPr>
          <w:rFonts w:asciiTheme="majorHAnsi" w:hAnsiTheme="majorHAnsi"/>
          <w:spacing w:val="-1"/>
          <w:sz w:val="20"/>
          <w:szCs w:val="20"/>
        </w:rPr>
        <w:t>у</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визначеній</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галузі</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співробітництва</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із</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стандартизації</w:t>
      </w:r>
      <w:r w:rsidRPr="004D2D14">
        <w:rPr>
          <w:rFonts w:asciiTheme="majorHAnsi" w:hAnsiTheme="majorHAnsi"/>
          <w:sz w:val="20"/>
          <w:szCs w:val="20"/>
          <w:lang w:val="en-US"/>
        </w:rPr>
        <w:t xml:space="preserve"> </w:t>
      </w:r>
      <w:r w:rsidRPr="000977F7">
        <w:rPr>
          <w:rFonts w:asciiTheme="majorHAnsi" w:hAnsiTheme="majorHAnsi"/>
          <w:b/>
          <w:sz w:val="20"/>
          <w:szCs w:val="20"/>
        </w:rPr>
        <w:t>НОРМАТИВНІ</w:t>
      </w:r>
      <w:r w:rsidRPr="004D2D14">
        <w:rPr>
          <w:rFonts w:asciiTheme="majorHAnsi" w:hAnsiTheme="majorHAnsi"/>
          <w:b/>
          <w:spacing w:val="-2"/>
          <w:sz w:val="20"/>
          <w:szCs w:val="20"/>
          <w:lang w:val="en-US"/>
        </w:rPr>
        <w:t xml:space="preserve"> </w:t>
      </w:r>
      <w:r w:rsidRPr="000977F7">
        <w:rPr>
          <w:rFonts w:asciiTheme="majorHAnsi" w:hAnsiTheme="majorHAnsi"/>
          <w:b/>
          <w:sz w:val="20"/>
          <w:szCs w:val="20"/>
        </w:rPr>
        <w:t>ДОКУМЕНТИ</w:t>
      </w:r>
      <w:r w:rsidRPr="004D2D14">
        <w:rPr>
          <w:rFonts w:asciiTheme="majorHAnsi" w:hAnsiTheme="majorHAnsi"/>
          <w:b/>
          <w:spacing w:val="3"/>
          <w:sz w:val="20"/>
          <w:szCs w:val="20"/>
          <w:lang w:val="en-US"/>
        </w:rPr>
        <w:t xml:space="preserve"> </w:t>
      </w:r>
      <w:r w:rsidRPr="004D2D14">
        <w:rPr>
          <w:rFonts w:asciiTheme="majorHAnsi" w:hAnsiTheme="majorHAnsi"/>
          <w:b/>
          <w:sz w:val="20"/>
          <w:szCs w:val="20"/>
          <w:lang w:val="en-US"/>
        </w:rPr>
        <w:t>–</w:t>
      </w:r>
    </w:p>
    <w:p w14:paraId="5D8C476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Залежно від рівня суб’єкта стандартизації, що приймає</w:t>
      </w:r>
      <w:r w:rsidRPr="000977F7">
        <w:rPr>
          <w:rFonts w:asciiTheme="majorHAnsi" w:hAnsiTheme="majorHAnsi"/>
          <w:spacing w:val="-1"/>
          <w:sz w:val="20"/>
          <w:szCs w:val="20"/>
        </w:rPr>
        <w:t xml:space="preserve"> </w:t>
      </w:r>
      <w:r w:rsidRPr="000977F7">
        <w:rPr>
          <w:rFonts w:asciiTheme="majorHAnsi" w:hAnsiTheme="majorHAnsi"/>
          <w:sz w:val="20"/>
          <w:szCs w:val="20"/>
        </w:rPr>
        <w:t>нормативні</w:t>
      </w:r>
      <w:r w:rsidRPr="000977F7">
        <w:rPr>
          <w:rFonts w:asciiTheme="majorHAnsi" w:hAnsiTheme="majorHAnsi"/>
          <w:spacing w:val="-3"/>
          <w:sz w:val="20"/>
          <w:szCs w:val="20"/>
        </w:rPr>
        <w:t xml:space="preserve"> </w:t>
      </w:r>
      <w:r w:rsidRPr="000977F7">
        <w:rPr>
          <w:rFonts w:asciiTheme="majorHAnsi" w:hAnsiTheme="majorHAnsi"/>
          <w:sz w:val="20"/>
          <w:szCs w:val="20"/>
        </w:rPr>
        <w:t>документи,</w:t>
      </w:r>
      <w:r w:rsidRPr="000977F7">
        <w:rPr>
          <w:rFonts w:asciiTheme="majorHAnsi" w:hAnsiTheme="majorHAnsi"/>
          <w:spacing w:val="-1"/>
          <w:sz w:val="20"/>
          <w:szCs w:val="20"/>
        </w:rPr>
        <w:t xml:space="preserve"> </w:t>
      </w:r>
      <w:r w:rsidRPr="000977F7">
        <w:rPr>
          <w:rFonts w:asciiTheme="majorHAnsi" w:hAnsiTheme="majorHAnsi"/>
          <w:sz w:val="20"/>
          <w:szCs w:val="20"/>
        </w:rPr>
        <w:t>вони</w:t>
      </w:r>
      <w:r w:rsidRPr="000977F7">
        <w:rPr>
          <w:rFonts w:asciiTheme="majorHAnsi" w:hAnsiTheme="majorHAnsi"/>
          <w:spacing w:val="-1"/>
          <w:sz w:val="20"/>
          <w:szCs w:val="20"/>
        </w:rPr>
        <w:t xml:space="preserve"> </w:t>
      </w:r>
      <w:r w:rsidRPr="000977F7">
        <w:rPr>
          <w:rFonts w:asciiTheme="majorHAnsi" w:hAnsiTheme="majorHAnsi"/>
          <w:sz w:val="20"/>
          <w:szCs w:val="20"/>
        </w:rPr>
        <w:t>поділяються</w:t>
      </w:r>
      <w:r w:rsidRPr="000977F7">
        <w:rPr>
          <w:rFonts w:asciiTheme="majorHAnsi" w:hAnsiTheme="majorHAnsi"/>
          <w:spacing w:val="-3"/>
          <w:sz w:val="20"/>
          <w:szCs w:val="20"/>
        </w:rPr>
        <w:t xml:space="preserve"> </w:t>
      </w:r>
      <w:r w:rsidRPr="000977F7">
        <w:rPr>
          <w:rFonts w:asciiTheme="majorHAnsi" w:hAnsiTheme="majorHAnsi"/>
          <w:sz w:val="20"/>
          <w:szCs w:val="20"/>
        </w:rPr>
        <w:t>на:</w:t>
      </w:r>
    </w:p>
    <w:p w14:paraId="699BC308" w14:textId="77777777" w:rsidR="0097612F" w:rsidRPr="000977F7" w:rsidRDefault="0097612F" w:rsidP="00FD39A4">
      <w:pPr>
        <w:pStyle w:val="ac"/>
        <w:widowControl w:val="0"/>
        <w:numPr>
          <w:ilvl w:val="1"/>
          <w:numId w:val="138"/>
        </w:numPr>
        <w:tabs>
          <w:tab w:val="left" w:pos="284"/>
          <w:tab w:val="left" w:pos="73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національні стандарти та кодекси усталеної практики,</w:t>
      </w:r>
      <w:r w:rsidRPr="000977F7">
        <w:rPr>
          <w:rFonts w:asciiTheme="majorHAnsi" w:hAnsiTheme="majorHAnsi"/>
          <w:spacing w:val="-5"/>
          <w:sz w:val="20"/>
          <w:szCs w:val="20"/>
        </w:rPr>
        <w:t xml:space="preserve"> </w:t>
      </w:r>
      <w:r w:rsidRPr="000977F7">
        <w:rPr>
          <w:rFonts w:asciiTheme="majorHAnsi" w:hAnsiTheme="majorHAnsi"/>
          <w:sz w:val="20"/>
          <w:szCs w:val="20"/>
        </w:rPr>
        <w:t>прийняті</w:t>
      </w:r>
      <w:r w:rsidRPr="000977F7">
        <w:rPr>
          <w:rFonts w:asciiTheme="majorHAnsi" w:hAnsiTheme="majorHAnsi"/>
          <w:spacing w:val="-6"/>
          <w:sz w:val="20"/>
          <w:szCs w:val="20"/>
        </w:rPr>
        <w:t xml:space="preserve"> </w:t>
      </w:r>
      <w:r w:rsidRPr="000977F7">
        <w:rPr>
          <w:rFonts w:asciiTheme="majorHAnsi" w:hAnsiTheme="majorHAnsi"/>
          <w:sz w:val="20"/>
          <w:szCs w:val="20"/>
        </w:rPr>
        <w:t>національним</w:t>
      </w:r>
      <w:r w:rsidRPr="000977F7">
        <w:rPr>
          <w:rFonts w:asciiTheme="majorHAnsi" w:hAnsiTheme="majorHAnsi"/>
          <w:spacing w:val="-3"/>
          <w:sz w:val="20"/>
          <w:szCs w:val="20"/>
        </w:rPr>
        <w:t xml:space="preserve"> </w:t>
      </w:r>
      <w:r w:rsidRPr="000977F7">
        <w:rPr>
          <w:rFonts w:asciiTheme="majorHAnsi" w:hAnsiTheme="majorHAnsi"/>
          <w:sz w:val="20"/>
          <w:szCs w:val="20"/>
        </w:rPr>
        <w:t>органом</w:t>
      </w:r>
      <w:r w:rsidRPr="000977F7">
        <w:rPr>
          <w:rFonts w:asciiTheme="majorHAnsi" w:hAnsiTheme="majorHAnsi"/>
          <w:spacing w:val="-4"/>
          <w:sz w:val="20"/>
          <w:szCs w:val="20"/>
        </w:rPr>
        <w:t xml:space="preserve"> </w:t>
      </w:r>
      <w:r w:rsidRPr="000977F7">
        <w:rPr>
          <w:rFonts w:asciiTheme="majorHAnsi" w:hAnsiTheme="majorHAnsi"/>
          <w:sz w:val="20"/>
          <w:szCs w:val="20"/>
        </w:rPr>
        <w:t>стандартизації;</w:t>
      </w:r>
    </w:p>
    <w:p w14:paraId="179605D7" w14:textId="77777777" w:rsidR="0097612F" w:rsidRPr="000977F7" w:rsidRDefault="0097612F" w:rsidP="00FD39A4">
      <w:pPr>
        <w:pStyle w:val="ac"/>
        <w:widowControl w:val="0"/>
        <w:numPr>
          <w:ilvl w:val="1"/>
          <w:numId w:val="138"/>
        </w:numPr>
        <w:tabs>
          <w:tab w:val="left" w:pos="284"/>
          <w:tab w:val="left" w:pos="72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стандарти, кодекси усталеної практики та технічні</w:t>
      </w:r>
      <w:r w:rsidRPr="000977F7">
        <w:rPr>
          <w:rFonts w:asciiTheme="majorHAnsi" w:hAnsiTheme="majorHAnsi"/>
          <w:spacing w:val="1"/>
          <w:sz w:val="20"/>
          <w:szCs w:val="20"/>
        </w:rPr>
        <w:t xml:space="preserve"> </w:t>
      </w:r>
      <w:r w:rsidRPr="000977F7">
        <w:rPr>
          <w:rFonts w:asciiTheme="majorHAnsi" w:hAnsiTheme="majorHAnsi"/>
          <w:sz w:val="20"/>
          <w:szCs w:val="20"/>
        </w:rPr>
        <w:t>умови, прийняті підприємствами, установами та організаціями,</w:t>
      </w:r>
      <w:r w:rsidRPr="000977F7">
        <w:rPr>
          <w:rFonts w:asciiTheme="majorHAnsi" w:hAnsiTheme="majorHAnsi"/>
          <w:spacing w:val="-1"/>
          <w:sz w:val="20"/>
          <w:szCs w:val="20"/>
        </w:rPr>
        <w:t xml:space="preserve"> </w:t>
      </w:r>
      <w:r w:rsidRPr="000977F7">
        <w:rPr>
          <w:rFonts w:asciiTheme="majorHAnsi" w:hAnsiTheme="majorHAnsi"/>
          <w:sz w:val="20"/>
          <w:szCs w:val="20"/>
        </w:rPr>
        <w:t>що здійснюють</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стандартизацію.</w:t>
      </w:r>
    </w:p>
    <w:p w14:paraId="716ACD36"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i/>
          <w:sz w:val="20"/>
          <w:szCs w:val="20"/>
        </w:rPr>
        <w:t>Ст. 6 закону України "Про стандартизацію"</w:t>
      </w:r>
      <w:r w:rsidRPr="000977F7">
        <w:rPr>
          <w:rFonts w:asciiTheme="majorHAnsi" w:hAnsiTheme="majorHAnsi"/>
          <w:i/>
          <w:spacing w:val="1"/>
          <w:sz w:val="20"/>
          <w:szCs w:val="20"/>
        </w:rPr>
        <w:t xml:space="preserve"> </w:t>
      </w:r>
      <w:r w:rsidRPr="000977F7">
        <w:rPr>
          <w:rFonts w:asciiTheme="majorHAnsi" w:hAnsiTheme="majorHAnsi"/>
          <w:b/>
          <w:sz w:val="20"/>
          <w:szCs w:val="20"/>
        </w:rPr>
        <w:t>НОРМАТИВНО-ТЕХНІЧНИЙ ДОКУМЕНТ ІЗ</w:t>
      </w:r>
      <w:r w:rsidRPr="000977F7">
        <w:rPr>
          <w:rFonts w:asciiTheme="majorHAnsi" w:hAnsiTheme="majorHAnsi"/>
          <w:b/>
          <w:spacing w:val="-48"/>
          <w:sz w:val="20"/>
          <w:szCs w:val="20"/>
        </w:rPr>
        <w:t xml:space="preserve"> </w:t>
      </w:r>
      <w:r w:rsidRPr="000977F7">
        <w:rPr>
          <w:rFonts w:asciiTheme="majorHAnsi" w:hAnsiTheme="majorHAnsi"/>
          <w:b/>
          <w:sz w:val="20"/>
          <w:szCs w:val="20"/>
        </w:rPr>
        <w:t>СТАНДАРТИЗАЦІЇ</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294F951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NORMATIVE-AND-TECHNICAL DOCUMENT ON</w:t>
      </w:r>
      <w:r w:rsidRPr="004D2D14">
        <w:rPr>
          <w:rFonts w:asciiTheme="majorHAnsi" w:hAnsiTheme="majorHAnsi"/>
          <w:spacing w:val="-48"/>
          <w:sz w:val="20"/>
          <w:szCs w:val="20"/>
          <w:lang w:val="en-US"/>
        </w:rPr>
        <w:t xml:space="preserve"> </w:t>
      </w:r>
      <w:r w:rsidRPr="004D2D14">
        <w:rPr>
          <w:rFonts w:asciiTheme="majorHAnsi" w:hAnsiTheme="majorHAnsi"/>
          <w:sz w:val="20"/>
          <w:szCs w:val="20"/>
          <w:lang w:val="en-US"/>
        </w:rPr>
        <w:t>STANDARDIZATION –</w:t>
      </w:r>
    </w:p>
    <w:p w14:paraId="6D1772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який визначає технічні норми та вимоги ,</w:t>
      </w:r>
      <w:r w:rsidRPr="000977F7">
        <w:rPr>
          <w:rFonts w:asciiTheme="majorHAnsi" w:hAnsiTheme="majorHAnsi"/>
          <w:spacing w:val="1"/>
          <w:sz w:val="20"/>
          <w:szCs w:val="20"/>
        </w:rPr>
        <w:t xml:space="preserve"> </w:t>
      </w:r>
      <w:r w:rsidRPr="000977F7">
        <w:rPr>
          <w:rFonts w:asciiTheme="majorHAnsi" w:hAnsiTheme="majorHAnsi"/>
          <w:sz w:val="20"/>
          <w:szCs w:val="20"/>
        </w:rPr>
        <w:t>обов’язкові</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p>
    <w:p w14:paraId="3793DF8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EF2FB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 технічних норм і вимог відносяться: класифікація,</w:t>
      </w:r>
      <w:r w:rsidRPr="000977F7">
        <w:rPr>
          <w:rFonts w:asciiTheme="majorHAnsi" w:hAnsiTheme="majorHAnsi"/>
          <w:spacing w:val="1"/>
          <w:sz w:val="20"/>
          <w:szCs w:val="20"/>
        </w:rPr>
        <w:t xml:space="preserve"> </w:t>
      </w:r>
      <w:r w:rsidRPr="000977F7">
        <w:rPr>
          <w:rFonts w:asciiTheme="majorHAnsi" w:hAnsiTheme="majorHAnsi"/>
          <w:sz w:val="20"/>
          <w:szCs w:val="20"/>
        </w:rPr>
        <w:t>термінологія, позначення; типи, параметри, розміри;</w:t>
      </w:r>
      <w:r w:rsidRPr="000977F7">
        <w:rPr>
          <w:rFonts w:asciiTheme="majorHAnsi" w:hAnsiTheme="majorHAnsi"/>
          <w:spacing w:val="1"/>
          <w:sz w:val="20"/>
          <w:szCs w:val="20"/>
        </w:rPr>
        <w:t xml:space="preserve"> </w:t>
      </w:r>
      <w:r w:rsidRPr="000977F7">
        <w:rPr>
          <w:rFonts w:asciiTheme="majorHAnsi" w:hAnsiTheme="majorHAnsi"/>
          <w:sz w:val="20"/>
          <w:szCs w:val="20"/>
        </w:rPr>
        <w:t>технічні вимоги; норми і правила охорони праці і навколишнього середовища; методи випробувань (контролю, аналізу, вимірювань); методи і засоби перевірки</w:t>
      </w:r>
      <w:r w:rsidRPr="000977F7">
        <w:rPr>
          <w:rFonts w:asciiTheme="majorHAnsi" w:hAnsiTheme="majorHAnsi"/>
          <w:spacing w:val="-47"/>
          <w:sz w:val="20"/>
          <w:szCs w:val="20"/>
        </w:rPr>
        <w:t xml:space="preserve"> </w:t>
      </w:r>
      <w:r w:rsidRPr="000977F7">
        <w:rPr>
          <w:rFonts w:asciiTheme="majorHAnsi" w:hAnsiTheme="majorHAnsi"/>
          <w:sz w:val="20"/>
          <w:szCs w:val="20"/>
        </w:rPr>
        <w:t>мір та засобів вимірювальної техніки; правила маркування, пакування, транспортування і зберігання; правила виробництва, приймання, експлуатації і ремонту;</w:t>
      </w:r>
      <w:r w:rsidRPr="000977F7">
        <w:rPr>
          <w:rFonts w:asciiTheme="majorHAnsi" w:hAnsiTheme="majorHAnsi"/>
          <w:spacing w:val="-47"/>
          <w:sz w:val="20"/>
          <w:szCs w:val="20"/>
        </w:rPr>
        <w:t xml:space="preserve"> </w:t>
      </w:r>
      <w:r w:rsidRPr="000977F7">
        <w:rPr>
          <w:rFonts w:asciiTheme="majorHAnsi" w:hAnsiTheme="majorHAnsi"/>
          <w:sz w:val="20"/>
          <w:szCs w:val="20"/>
        </w:rPr>
        <w:t>типові</w:t>
      </w:r>
      <w:r w:rsidRPr="000977F7">
        <w:rPr>
          <w:rFonts w:asciiTheme="majorHAnsi" w:hAnsiTheme="majorHAnsi"/>
          <w:spacing w:val="-2"/>
          <w:sz w:val="20"/>
          <w:szCs w:val="20"/>
        </w:rPr>
        <w:t xml:space="preserve"> </w:t>
      </w:r>
      <w:r w:rsidRPr="000977F7">
        <w:rPr>
          <w:rFonts w:asciiTheme="majorHAnsi" w:hAnsiTheme="majorHAnsi"/>
          <w:sz w:val="20"/>
          <w:szCs w:val="20"/>
        </w:rPr>
        <w:t>технологічні</w:t>
      </w:r>
      <w:r w:rsidRPr="000977F7">
        <w:rPr>
          <w:rFonts w:asciiTheme="majorHAnsi" w:hAnsiTheme="majorHAnsi"/>
          <w:spacing w:val="1"/>
          <w:sz w:val="20"/>
          <w:szCs w:val="20"/>
        </w:rPr>
        <w:t xml:space="preserve"> </w:t>
      </w:r>
      <w:r w:rsidRPr="000977F7">
        <w:rPr>
          <w:rFonts w:asciiTheme="majorHAnsi" w:hAnsiTheme="majorHAnsi"/>
          <w:sz w:val="20"/>
          <w:szCs w:val="20"/>
        </w:rPr>
        <w:t>процеси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інше</w:t>
      </w:r>
    </w:p>
    <w:p w14:paraId="0AA3BBEC" w14:textId="77777777" w:rsidR="0097612F" w:rsidRPr="000977F7" w:rsidRDefault="0097612F" w:rsidP="000977F7">
      <w:pPr>
        <w:pStyle w:val="7"/>
        <w:tabs>
          <w:tab w:val="left" w:pos="284"/>
          <w:tab w:val="left" w:pos="3307"/>
          <w:tab w:val="left" w:pos="4936"/>
        </w:tabs>
        <w:spacing w:before="0" w:line="240" w:lineRule="auto"/>
        <w:ind w:left="170"/>
        <w:mirrorIndents/>
        <w:jc w:val="both"/>
        <w:rPr>
          <w:b w:val="0"/>
          <w:color w:val="auto"/>
          <w:sz w:val="20"/>
          <w:szCs w:val="20"/>
        </w:rPr>
      </w:pPr>
      <w:r w:rsidRPr="000977F7">
        <w:rPr>
          <w:color w:val="auto"/>
          <w:sz w:val="20"/>
          <w:szCs w:val="20"/>
        </w:rPr>
        <w:t xml:space="preserve">НОРМАТИВНО-ТЕХНІЧНІ ДОКУМЕНТИ </w:t>
      </w:r>
      <w:r w:rsidRPr="000977F7">
        <w:rPr>
          <w:color w:val="auto"/>
          <w:spacing w:val="-3"/>
          <w:sz w:val="20"/>
          <w:szCs w:val="20"/>
        </w:rPr>
        <w:t>ІЗ</w:t>
      </w:r>
      <w:r w:rsidRPr="000977F7">
        <w:rPr>
          <w:color w:val="auto"/>
          <w:spacing w:val="-47"/>
          <w:sz w:val="20"/>
          <w:szCs w:val="20"/>
        </w:rPr>
        <w:t xml:space="preserve"> </w:t>
      </w:r>
      <w:r w:rsidRPr="000977F7">
        <w:rPr>
          <w:color w:val="auto"/>
          <w:sz w:val="20"/>
          <w:szCs w:val="20"/>
        </w:rPr>
        <w:t>СЕРТИФІКАЦІЇ</w:t>
      </w:r>
      <w:r w:rsidRPr="000977F7">
        <w:rPr>
          <w:color w:val="auto"/>
          <w:spacing w:val="-1"/>
          <w:sz w:val="20"/>
          <w:szCs w:val="20"/>
        </w:rPr>
        <w:t xml:space="preserve"> </w:t>
      </w:r>
      <w:r w:rsidRPr="000977F7">
        <w:rPr>
          <w:b w:val="0"/>
          <w:color w:val="auto"/>
          <w:sz w:val="20"/>
          <w:szCs w:val="20"/>
        </w:rPr>
        <w:t>–</w:t>
      </w:r>
    </w:p>
    <w:p w14:paraId="466CF8D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NORMATIVE-AND-TECHNICAL</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DOCUMENT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ON</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SERTIFICATION –</w:t>
      </w:r>
    </w:p>
    <w:p w14:paraId="5D9435F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Міжнародні</w:t>
      </w:r>
      <w:r w:rsidRPr="004D2D14">
        <w:rPr>
          <w:rFonts w:asciiTheme="majorHAnsi" w:hAnsiTheme="majorHAnsi"/>
          <w:sz w:val="20"/>
          <w:szCs w:val="20"/>
          <w:lang w:val="en-US"/>
        </w:rPr>
        <w:t>,</w:t>
      </w:r>
      <w:r w:rsidRPr="004D2D14">
        <w:rPr>
          <w:rFonts w:asciiTheme="majorHAnsi" w:hAnsiTheme="majorHAnsi"/>
          <w:spacing w:val="4"/>
          <w:sz w:val="20"/>
          <w:szCs w:val="20"/>
          <w:lang w:val="en-US"/>
        </w:rPr>
        <w:t xml:space="preserve"> </w:t>
      </w:r>
      <w:r w:rsidRPr="000977F7">
        <w:rPr>
          <w:rFonts w:asciiTheme="majorHAnsi" w:hAnsiTheme="majorHAnsi"/>
          <w:sz w:val="20"/>
          <w:szCs w:val="20"/>
        </w:rPr>
        <w:t>національні</w:t>
      </w:r>
      <w:r w:rsidRPr="004D2D14">
        <w:rPr>
          <w:rFonts w:asciiTheme="majorHAnsi" w:hAnsiTheme="majorHAnsi"/>
          <w:spacing w:val="4"/>
          <w:sz w:val="20"/>
          <w:szCs w:val="20"/>
          <w:lang w:val="en-US"/>
        </w:rPr>
        <w:t xml:space="preserve"> </w:t>
      </w:r>
      <w:r w:rsidRPr="000977F7">
        <w:rPr>
          <w:rFonts w:asciiTheme="majorHAnsi" w:hAnsiTheme="majorHAnsi"/>
          <w:sz w:val="20"/>
          <w:szCs w:val="20"/>
        </w:rPr>
        <w:t>стандарти</w:t>
      </w:r>
      <w:r w:rsidRPr="004D2D14">
        <w:rPr>
          <w:rFonts w:asciiTheme="majorHAnsi" w:hAnsiTheme="majorHAnsi"/>
          <w:spacing w:val="3"/>
          <w:sz w:val="20"/>
          <w:szCs w:val="20"/>
          <w:lang w:val="en-US"/>
        </w:rPr>
        <w:t xml:space="preserve"> </w:t>
      </w:r>
      <w:r w:rsidRPr="000977F7">
        <w:rPr>
          <w:rFonts w:asciiTheme="majorHAnsi" w:hAnsiTheme="majorHAnsi"/>
          <w:sz w:val="20"/>
          <w:szCs w:val="20"/>
        </w:rPr>
        <w:t>або</w:t>
      </w:r>
      <w:r w:rsidRPr="004D2D14">
        <w:rPr>
          <w:rFonts w:asciiTheme="majorHAnsi" w:hAnsiTheme="majorHAnsi"/>
          <w:spacing w:val="5"/>
          <w:sz w:val="20"/>
          <w:szCs w:val="20"/>
          <w:lang w:val="en-US"/>
        </w:rPr>
        <w:t xml:space="preserve"> </w:t>
      </w:r>
      <w:r w:rsidRPr="000977F7">
        <w:rPr>
          <w:rFonts w:asciiTheme="majorHAnsi" w:hAnsiTheme="majorHAnsi"/>
          <w:sz w:val="20"/>
          <w:szCs w:val="20"/>
        </w:rPr>
        <w:t>інші</w:t>
      </w:r>
      <w:r w:rsidRPr="004D2D14">
        <w:rPr>
          <w:rFonts w:asciiTheme="majorHAnsi" w:hAnsiTheme="majorHAnsi"/>
          <w:spacing w:val="4"/>
          <w:sz w:val="20"/>
          <w:szCs w:val="20"/>
          <w:lang w:val="en-US"/>
        </w:rPr>
        <w:t xml:space="preserve"> </w:t>
      </w:r>
      <w:r w:rsidRPr="000977F7">
        <w:rPr>
          <w:rFonts w:asciiTheme="majorHAnsi" w:hAnsiTheme="majorHAnsi"/>
          <w:sz w:val="20"/>
          <w:szCs w:val="20"/>
        </w:rPr>
        <w:t>нормативно</w:t>
      </w:r>
      <w:r w:rsidRPr="004D2D14">
        <w:rPr>
          <w:rFonts w:asciiTheme="majorHAnsi" w:hAnsiTheme="majorHAnsi"/>
          <w:sz w:val="20"/>
          <w:szCs w:val="20"/>
          <w:lang w:val="en-US"/>
        </w:rPr>
        <w:t>-</w:t>
      </w:r>
      <w:r w:rsidRPr="000977F7">
        <w:rPr>
          <w:rFonts w:asciiTheme="majorHAnsi" w:hAnsiTheme="majorHAnsi"/>
          <w:sz w:val="20"/>
          <w:szCs w:val="20"/>
        </w:rPr>
        <w:t>технічні</w:t>
      </w:r>
      <w:r w:rsidRPr="004D2D14">
        <w:rPr>
          <w:rFonts w:asciiTheme="majorHAnsi" w:hAnsiTheme="majorHAnsi"/>
          <w:spacing w:val="25"/>
          <w:sz w:val="20"/>
          <w:szCs w:val="20"/>
          <w:lang w:val="en-US"/>
        </w:rPr>
        <w:t xml:space="preserve"> </w:t>
      </w:r>
      <w:r w:rsidRPr="000977F7">
        <w:rPr>
          <w:rFonts w:asciiTheme="majorHAnsi" w:hAnsiTheme="majorHAnsi"/>
          <w:sz w:val="20"/>
          <w:szCs w:val="20"/>
        </w:rPr>
        <w:t>документи</w:t>
      </w:r>
      <w:r w:rsidRPr="004D2D14">
        <w:rPr>
          <w:rFonts w:asciiTheme="majorHAnsi" w:hAnsiTheme="majorHAnsi"/>
          <w:sz w:val="20"/>
          <w:szCs w:val="20"/>
          <w:lang w:val="en-US"/>
        </w:rPr>
        <w:t>,</w:t>
      </w:r>
      <w:r w:rsidRPr="004D2D14">
        <w:rPr>
          <w:rFonts w:asciiTheme="majorHAnsi" w:hAnsiTheme="majorHAnsi"/>
          <w:spacing w:val="26"/>
          <w:sz w:val="20"/>
          <w:szCs w:val="20"/>
          <w:lang w:val="en-US"/>
        </w:rPr>
        <w:t xml:space="preserve"> </w:t>
      </w:r>
      <w:r w:rsidRPr="000977F7">
        <w:rPr>
          <w:rFonts w:asciiTheme="majorHAnsi" w:hAnsiTheme="majorHAnsi"/>
          <w:sz w:val="20"/>
          <w:szCs w:val="20"/>
        </w:rPr>
        <w:t>що</w:t>
      </w:r>
      <w:r w:rsidRPr="004D2D14">
        <w:rPr>
          <w:rFonts w:asciiTheme="majorHAnsi" w:hAnsiTheme="majorHAnsi"/>
          <w:spacing w:val="30"/>
          <w:sz w:val="20"/>
          <w:szCs w:val="20"/>
          <w:lang w:val="en-US"/>
        </w:rPr>
        <w:t xml:space="preserve"> </w:t>
      </w:r>
      <w:r w:rsidRPr="000977F7">
        <w:rPr>
          <w:rFonts w:asciiTheme="majorHAnsi" w:hAnsiTheme="majorHAnsi"/>
          <w:sz w:val="20"/>
          <w:szCs w:val="20"/>
        </w:rPr>
        <w:t>відповідають</w:t>
      </w:r>
      <w:r w:rsidRPr="004D2D14">
        <w:rPr>
          <w:rFonts w:asciiTheme="majorHAnsi" w:hAnsiTheme="majorHAnsi"/>
          <w:spacing w:val="29"/>
          <w:sz w:val="20"/>
          <w:szCs w:val="20"/>
          <w:lang w:val="en-US"/>
        </w:rPr>
        <w:t xml:space="preserve"> </w:t>
      </w:r>
      <w:r w:rsidRPr="000977F7">
        <w:rPr>
          <w:rFonts w:asciiTheme="majorHAnsi" w:hAnsiTheme="majorHAnsi"/>
          <w:sz w:val="20"/>
          <w:szCs w:val="20"/>
        </w:rPr>
        <w:t>прогресивному</w:t>
      </w:r>
      <w:r w:rsidRPr="004D2D14">
        <w:rPr>
          <w:rFonts w:asciiTheme="majorHAnsi" w:hAnsiTheme="majorHAnsi"/>
          <w:spacing w:val="2"/>
          <w:sz w:val="20"/>
          <w:szCs w:val="20"/>
          <w:lang w:val="en-US"/>
        </w:rPr>
        <w:t xml:space="preserve"> </w:t>
      </w:r>
      <w:r w:rsidRPr="000977F7">
        <w:rPr>
          <w:rFonts w:asciiTheme="majorHAnsi" w:hAnsiTheme="majorHAnsi"/>
          <w:sz w:val="20"/>
          <w:szCs w:val="20"/>
        </w:rPr>
        <w:t>світовому</w:t>
      </w:r>
      <w:r w:rsidRPr="004D2D14">
        <w:rPr>
          <w:rFonts w:asciiTheme="majorHAnsi" w:hAnsiTheme="majorHAnsi"/>
          <w:spacing w:val="5"/>
          <w:sz w:val="20"/>
          <w:szCs w:val="20"/>
          <w:lang w:val="en-US"/>
        </w:rPr>
        <w:t xml:space="preserve"> </w:t>
      </w:r>
      <w:r w:rsidRPr="000977F7">
        <w:rPr>
          <w:rFonts w:asciiTheme="majorHAnsi" w:hAnsiTheme="majorHAnsi"/>
          <w:sz w:val="20"/>
          <w:szCs w:val="20"/>
        </w:rPr>
        <w:t>науково</w:t>
      </w:r>
      <w:r w:rsidRPr="004D2D14">
        <w:rPr>
          <w:rFonts w:asciiTheme="majorHAnsi" w:hAnsiTheme="majorHAnsi"/>
          <w:sz w:val="20"/>
          <w:szCs w:val="20"/>
          <w:lang w:val="en-US"/>
        </w:rPr>
        <w:t>-</w:t>
      </w:r>
      <w:r w:rsidRPr="000977F7">
        <w:rPr>
          <w:rFonts w:asciiTheme="majorHAnsi" w:hAnsiTheme="majorHAnsi"/>
          <w:sz w:val="20"/>
          <w:szCs w:val="20"/>
        </w:rPr>
        <w:t>технічному</w:t>
      </w:r>
      <w:r w:rsidRPr="004D2D14">
        <w:rPr>
          <w:rFonts w:asciiTheme="majorHAnsi" w:hAnsiTheme="majorHAnsi"/>
          <w:spacing w:val="4"/>
          <w:sz w:val="20"/>
          <w:szCs w:val="20"/>
          <w:lang w:val="en-US"/>
        </w:rPr>
        <w:t xml:space="preserve"> </w:t>
      </w:r>
      <w:r w:rsidRPr="000977F7">
        <w:rPr>
          <w:rFonts w:asciiTheme="majorHAnsi" w:hAnsiTheme="majorHAnsi"/>
          <w:sz w:val="20"/>
          <w:szCs w:val="20"/>
        </w:rPr>
        <w:t>рівню</w:t>
      </w:r>
      <w:r w:rsidRPr="004D2D14">
        <w:rPr>
          <w:rFonts w:asciiTheme="majorHAnsi" w:hAnsiTheme="majorHAnsi"/>
          <w:spacing w:val="6"/>
          <w:sz w:val="20"/>
          <w:szCs w:val="20"/>
          <w:lang w:val="en-US"/>
        </w:rPr>
        <w:t xml:space="preserve"> </w:t>
      </w:r>
      <w:r w:rsidRPr="000977F7">
        <w:rPr>
          <w:rFonts w:asciiTheme="majorHAnsi" w:hAnsiTheme="majorHAnsi"/>
          <w:sz w:val="20"/>
          <w:szCs w:val="20"/>
        </w:rPr>
        <w:t>і</w:t>
      </w:r>
      <w:r w:rsidRPr="004D2D14">
        <w:rPr>
          <w:rFonts w:asciiTheme="majorHAnsi" w:hAnsiTheme="majorHAnsi"/>
          <w:spacing w:val="6"/>
          <w:sz w:val="20"/>
          <w:szCs w:val="20"/>
          <w:lang w:val="en-US"/>
        </w:rPr>
        <w:t xml:space="preserve"> </w:t>
      </w:r>
      <w:r w:rsidRPr="000977F7">
        <w:rPr>
          <w:rFonts w:asciiTheme="majorHAnsi" w:hAnsiTheme="majorHAnsi"/>
          <w:sz w:val="20"/>
          <w:szCs w:val="20"/>
        </w:rPr>
        <w:t>взаємоузгодженні</w:t>
      </w:r>
      <w:r w:rsidRPr="004D2D14">
        <w:rPr>
          <w:rFonts w:asciiTheme="majorHAnsi" w:hAnsiTheme="majorHAnsi"/>
          <w:sz w:val="20"/>
          <w:szCs w:val="20"/>
          <w:lang w:val="en-US"/>
        </w:rPr>
        <w:t xml:space="preserve"> </w:t>
      </w:r>
      <w:r w:rsidRPr="000977F7">
        <w:rPr>
          <w:rFonts w:asciiTheme="majorHAnsi" w:hAnsiTheme="majorHAnsi"/>
          <w:sz w:val="20"/>
          <w:szCs w:val="20"/>
        </w:rPr>
        <w:t>органами</w:t>
      </w:r>
      <w:r w:rsidRPr="004D2D14">
        <w:rPr>
          <w:rFonts w:asciiTheme="majorHAnsi" w:hAnsiTheme="majorHAnsi"/>
          <w:sz w:val="20"/>
          <w:szCs w:val="20"/>
          <w:lang w:val="en-US"/>
        </w:rPr>
        <w:t xml:space="preserve"> </w:t>
      </w:r>
      <w:r w:rsidRPr="000977F7">
        <w:rPr>
          <w:rFonts w:asciiTheme="majorHAnsi" w:hAnsiTheme="majorHAnsi"/>
          <w:sz w:val="20"/>
          <w:szCs w:val="20"/>
        </w:rPr>
        <w:t>країн</w:t>
      </w:r>
      <w:r w:rsidRPr="004D2D14">
        <w:rPr>
          <w:rFonts w:asciiTheme="majorHAnsi" w:hAnsiTheme="majorHAnsi"/>
          <w:sz w:val="20"/>
          <w:szCs w:val="20"/>
          <w:lang w:val="en-US"/>
        </w:rPr>
        <w:t xml:space="preserve"> </w:t>
      </w:r>
      <w:r w:rsidRPr="000977F7">
        <w:rPr>
          <w:rFonts w:asciiTheme="majorHAnsi" w:hAnsiTheme="majorHAnsi"/>
          <w:sz w:val="20"/>
          <w:szCs w:val="20"/>
        </w:rPr>
        <w:t>сторін</w:t>
      </w:r>
      <w:r w:rsidRPr="004D2D14">
        <w:rPr>
          <w:rFonts w:asciiTheme="majorHAnsi" w:hAnsiTheme="majorHAnsi"/>
          <w:sz w:val="20"/>
          <w:szCs w:val="20"/>
          <w:lang w:val="en-US"/>
        </w:rPr>
        <w:t xml:space="preserve">, </w:t>
      </w:r>
      <w:r w:rsidRPr="000977F7">
        <w:rPr>
          <w:rFonts w:asciiTheme="majorHAnsi" w:hAnsiTheme="majorHAnsi"/>
          <w:sz w:val="20"/>
          <w:szCs w:val="20"/>
        </w:rPr>
        <w:t>які</w:t>
      </w:r>
      <w:r w:rsidRPr="004D2D14">
        <w:rPr>
          <w:rFonts w:asciiTheme="majorHAnsi" w:hAnsiTheme="majorHAnsi"/>
          <w:sz w:val="20"/>
          <w:szCs w:val="20"/>
          <w:lang w:val="en-US"/>
        </w:rPr>
        <w:t xml:space="preserve"> </w:t>
      </w:r>
      <w:r w:rsidRPr="000977F7">
        <w:rPr>
          <w:rFonts w:asciiTheme="majorHAnsi" w:hAnsiTheme="majorHAnsi"/>
          <w:sz w:val="20"/>
          <w:szCs w:val="20"/>
        </w:rPr>
        <w:t>домовляються</w:t>
      </w:r>
    </w:p>
    <w:p w14:paraId="19E70BFD"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НОРМИ</w:t>
      </w:r>
      <w:r w:rsidRPr="000977F7">
        <w:rPr>
          <w:rFonts w:asciiTheme="majorHAnsi" w:hAnsiTheme="majorHAnsi"/>
          <w:b/>
          <w:spacing w:val="-3"/>
          <w:sz w:val="20"/>
          <w:szCs w:val="20"/>
        </w:rPr>
        <w:t xml:space="preserve"> </w:t>
      </w:r>
      <w:r w:rsidRPr="000977F7">
        <w:rPr>
          <w:rFonts w:asciiTheme="majorHAnsi" w:hAnsiTheme="majorHAnsi"/>
          <w:b/>
          <w:sz w:val="20"/>
          <w:szCs w:val="20"/>
        </w:rPr>
        <w:t>ВИТРАТ</w:t>
      </w:r>
      <w:r w:rsidRPr="000977F7">
        <w:rPr>
          <w:rFonts w:asciiTheme="majorHAnsi" w:hAnsiTheme="majorHAnsi"/>
          <w:b/>
          <w:spacing w:val="-2"/>
          <w:sz w:val="20"/>
          <w:szCs w:val="20"/>
        </w:rPr>
        <w:t xml:space="preserve"> </w:t>
      </w:r>
      <w:r w:rsidRPr="000977F7">
        <w:rPr>
          <w:rFonts w:asciiTheme="majorHAnsi" w:hAnsiTheme="majorHAnsi"/>
          <w:b/>
          <w:sz w:val="20"/>
          <w:szCs w:val="20"/>
        </w:rPr>
        <w:t>ЗАПАСНИХ</w:t>
      </w:r>
      <w:r w:rsidRPr="000977F7">
        <w:rPr>
          <w:rFonts w:asciiTheme="majorHAnsi" w:hAnsiTheme="majorHAnsi"/>
          <w:b/>
          <w:spacing w:val="-1"/>
          <w:sz w:val="20"/>
          <w:szCs w:val="20"/>
        </w:rPr>
        <w:t xml:space="preserve"> </w:t>
      </w:r>
      <w:r w:rsidRPr="000977F7">
        <w:rPr>
          <w:rFonts w:asciiTheme="majorHAnsi" w:hAnsiTheme="majorHAnsi"/>
          <w:b/>
          <w:sz w:val="20"/>
          <w:szCs w:val="20"/>
        </w:rPr>
        <w:t>ЧАСТИН</w:t>
      </w:r>
      <w:r w:rsidRPr="000977F7">
        <w:rPr>
          <w:rFonts w:asciiTheme="majorHAnsi" w:hAnsiTheme="majorHAnsi"/>
          <w:b/>
          <w:spacing w:val="4"/>
          <w:sz w:val="20"/>
          <w:szCs w:val="20"/>
        </w:rPr>
        <w:t xml:space="preserve"> </w:t>
      </w:r>
      <w:r w:rsidRPr="000977F7">
        <w:rPr>
          <w:rFonts w:asciiTheme="majorHAnsi" w:hAnsiTheme="majorHAnsi"/>
          <w:b/>
          <w:sz w:val="20"/>
          <w:szCs w:val="20"/>
        </w:rPr>
        <w:t>–</w:t>
      </w:r>
    </w:p>
    <w:p w14:paraId="4FC3B8C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на ремонт, який містить норми витрат запасних частин на середній чи капітальний ремонт одного,</w:t>
      </w:r>
      <w:r w:rsidRPr="000977F7">
        <w:rPr>
          <w:rFonts w:asciiTheme="majorHAnsi" w:hAnsiTheme="majorHAnsi"/>
          <w:spacing w:val="11"/>
          <w:sz w:val="20"/>
          <w:szCs w:val="20"/>
        </w:rPr>
        <w:t xml:space="preserve"> </w:t>
      </w:r>
      <w:r w:rsidRPr="000977F7">
        <w:rPr>
          <w:rFonts w:asciiTheme="majorHAnsi" w:hAnsiTheme="majorHAnsi"/>
          <w:sz w:val="20"/>
          <w:szCs w:val="20"/>
        </w:rPr>
        <w:t>десяти</w:t>
      </w:r>
      <w:r w:rsidRPr="000977F7">
        <w:rPr>
          <w:rFonts w:asciiTheme="majorHAnsi" w:hAnsiTheme="majorHAnsi"/>
          <w:spacing w:val="10"/>
          <w:sz w:val="20"/>
          <w:szCs w:val="20"/>
        </w:rPr>
        <w:t xml:space="preserve"> </w:t>
      </w:r>
      <w:r w:rsidRPr="000977F7">
        <w:rPr>
          <w:rFonts w:asciiTheme="majorHAnsi" w:hAnsiTheme="majorHAnsi"/>
          <w:sz w:val="20"/>
          <w:szCs w:val="20"/>
        </w:rPr>
        <w:t>чи</w:t>
      </w:r>
      <w:r w:rsidRPr="000977F7">
        <w:rPr>
          <w:rFonts w:asciiTheme="majorHAnsi" w:hAnsiTheme="majorHAnsi"/>
          <w:spacing w:val="11"/>
          <w:sz w:val="20"/>
          <w:szCs w:val="20"/>
        </w:rPr>
        <w:t xml:space="preserve"> </w:t>
      </w:r>
      <w:r w:rsidRPr="000977F7">
        <w:rPr>
          <w:rFonts w:asciiTheme="majorHAnsi" w:hAnsiTheme="majorHAnsi"/>
          <w:sz w:val="20"/>
          <w:szCs w:val="20"/>
        </w:rPr>
        <w:t>ста</w:t>
      </w:r>
      <w:r w:rsidRPr="000977F7">
        <w:rPr>
          <w:rFonts w:asciiTheme="majorHAnsi" w:hAnsiTheme="majorHAnsi"/>
          <w:spacing w:val="11"/>
          <w:sz w:val="20"/>
          <w:szCs w:val="20"/>
        </w:rPr>
        <w:t xml:space="preserve"> </w:t>
      </w:r>
      <w:r w:rsidRPr="000977F7">
        <w:rPr>
          <w:rFonts w:asciiTheme="majorHAnsi" w:hAnsiTheme="majorHAnsi"/>
          <w:sz w:val="20"/>
          <w:szCs w:val="20"/>
        </w:rPr>
        <w:t>виробів,</w:t>
      </w:r>
      <w:r w:rsidRPr="000977F7">
        <w:rPr>
          <w:rFonts w:asciiTheme="majorHAnsi" w:hAnsiTheme="majorHAnsi"/>
          <w:spacing w:val="14"/>
          <w:sz w:val="20"/>
          <w:szCs w:val="20"/>
        </w:rPr>
        <w:t xml:space="preserve"> </w:t>
      </w:r>
      <w:r w:rsidRPr="000977F7">
        <w:rPr>
          <w:rFonts w:asciiTheme="majorHAnsi" w:hAnsiTheme="majorHAnsi"/>
          <w:sz w:val="20"/>
          <w:szCs w:val="20"/>
        </w:rPr>
        <w:t>необхідних</w:t>
      </w:r>
      <w:r w:rsidRPr="000977F7">
        <w:rPr>
          <w:rFonts w:asciiTheme="majorHAnsi" w:hAnsiTheme="majorHAnsi"/>
          <w:spacing w:val="11"/>
          <w:sz w:val="20"/>
          <w:szCs w:val="20"/>
        </w:rPr>
        <w:t xml:space="preserve"> </w:t>
      </w:r>
      <w:r w:rsidRPr="000977F7">
        <w:rPr>
          <w:rFonts w:asciiTheme="majorHAnsi" w:hAnsiTheme="majorHAnsi"/>
          <w:sz w:val="20"/>
          <w:szCs w:val="20"/>
        </w:rPr>
        <w:t>для</w:t>
      </w:r>
      <w:r w:rsidRPr="000977F7">
        <w:rPr>
          <w:rFonts w:asciiTheme="majorHAnsi" w:hAnsiTheme="majorHAnsi"/>
          <w:spacing w:val="13"/>
          <w:sz w:val="20"/>
          <w:szCs w:val="20"/>
        </w:rPr>
        <w:t xml:space="preserve"> </w:t>
      </w:r>
      <w:r w:rsidRPr="000977F7">
        <w:rPr>
          <w:rFonts w:asciiTheme="majorHAnsi" w:hAnsiTheme="majorHAnsi"/>
          <w:sz w:val="20"/>
          <w:szCs w:val="20"/>
        </w:rPr>
        <w:t>планування</w:t>
      </w:r>
      <w:r w:rsidRPr="000977F7">
        <w:rPr>
          <w:rFonts w:asciiTheme="majorHAnsi" w:hAnsiTheme="majorHAnsi"/>
          <w:spacing w:val="-48"/>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підготовлення</w:t>
      </w:r>
      <w:r w:rsidRPr="000977F7">
        <w:rPr>
          <w:rFonts w:asciiTheme="majorHAnsi" w:hAnsiTheme="majorHAnsi"/>
          <w:spacing w:val="-2"/>
          <w:sz w:val="20"/>
          <w:szCs w:val="20"/>
        </w:rPr>
        <w:t xml:space="preserve"> </w:t>
      </w:r>
      <w:r w:rsidRPr="000977F7">
        <w:rPr>
          <w:rFonts w:asciiTheme="majorHAnsi" w:hAnsiTheme="majorHAnsi"/>
          <w:sz w:val="20"/>
          <w:szCs w:val="20"/>
        </w:rPr>
        <w:t>ремонтного виробництва</w:t>
      </w:r>
    </w:p>
    <w:p w14:paraId="2294C2A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 </w:t>
      </w:r>
      <w:r w:rsidRPr="000977F7">
        <w:rPr>
          <w:rFonts w:asciiTheme="majorHAnsi" w:hAnsiTheme="majorHAnsi"/>
          <w:i/>
          <w:sz w:val="20"/>
          <w:szCs w:val="20"/>
        </w:rPr>
        <w:t>2003</w:t>
      </w:r>
    </w:p>
    <w:p w14:paraId="3FFB322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НОРМИ</w:t>
      </w:r>
      <w:r w:rsidRPr="000977F7">
        <w:rPr>
          <w:color w:val="auto"/>
          <w:spacing w:val="-6"/>
          <w:sz w:val="20"/>
          <w:szCs w:val="20"/>
        </w:rPr>
        <w:t xml:space="preserve"> </w:t>
      </w:r>
      <w:r w:rsidRPr="000977F7">
        <w:rPr>
          <w:color w:val="auto"/>
          <w:sz w:val="20"/>
          <w:szCs w:val="20"/>
        </w:rPr>
        <w:t>ВИТРАТ</w:t>
      </w:r>
      <w:r w:rsidRPr="000977F7">
        <w:rPr>
          <w:color w:val="auto"/>
          <w:spacing w:val="-5"/>
          <w:sz w:val="20"/>
          <w:szCs w:val="20"/>
        </w:rPr>
        <w:t xml:space="preserve"> </w:t>
      </w:r>
      <w:r w:rsidRPr="000977F7">
        <w:rPr>
          <w:color w:val="auto"/>
          <w:sz w:val="20"/>
          <w:szCs w:val="20"/>
        </w:rPr>
        <w:t>МАТЕРІАЛІВ –</w:t>
      </w:r>
    </w:p>
    <w:p w14:paraId="22C05E6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ремонт,</w:t>
      </w:r>
      <w:r w:rsidRPr="000977F7">
        <w:rPr>
          <w:rFonts w:asciiTheme="majorHAnsi" w:hAnsiTheme="majorHAnsi"/>
          <w:spacing w:val="1"/>
          <w:sz w:val="20"/>
          <w:szCs w:val="20"/>
        </w:rPr>
        <w:t xml:space="preserve"> </w:t>
      </w:r>
      <w:r w:rsidRPr="000977F7">
        <w:rPr>
          <w:rFonts w:asciiTheme="majorHAnsi" w:hAnsiTheme="majorHAnsi"/>
          <w:sz w:val="20"/>
          <w:szCs w:val="20"/>
        </w:rPr>
        <w:t>який містить</w:t>
      </w:r>
      <w:r w:rsidRPr="000977F7">
        <w:rPr>
          <w:rFonts w:asciiTheme="majorHAnsi" w:hAnsiTheme="majorHAnsi"/>
          <w:spacing w:val="1"/>
          <w:sz w:val="20"/>
          <w:szCs w:val="20"/>
        </w:rPr>
        <w:t xml:space="preserve"> </w:t>
      </w:r>
      <w:r w:rsidRPr="000977F7">
        <w:rPr>
          <w:rFonts w:asciiTheme="majorHAnsi" w:hAnsiTheme="majorHAnsi"/>
          <w:sz w:val="20"/>
          <w:szCs w:val="20"/>
        </w:rPr>
        <w:t>норми витрат матеріалів</w:t>
      </w:r>
      <w:r w:rsidRPr="000977F7">
        <w:rPr>
          <w:rFonts w:asciiTheme="majorHAnsi" w:hAnsiTheme="majorHAnsi"/>
          <w:spacing w:val="8"/>
          <w:sz w:val="20"/>
          <w:szCs w:val="20"/>
        </w:rPr>
        <w:t xml:space="preserve"> </w:t>
      </w:r>
      <w:r w:rsidRPr="000977F7">
        <w:rPr>
          <w:rFonts w:asciiTheme="majorHAnsi" w:hAnsiTheme="majorHAnsi"/>
          <w:sz w:val="20"/>
          <w:szCs w:val="20"/>
        </w:rPr>
        <w:t>на</w:t>
      </w:r>
      <w:r w:rsidRPr="000977F7">
        <w:rPr>
          <w:rFonts w:asciiTheme="majorHAnsi" w:hAnsiTheme="majorHAnsi"/>
          <w:spacing w:val="8"/>
          <w:sz w:val="20"/>
          <w:szCs w:val="20"/>
        </w:rPr>
        <w:t xml:space="preserve"> </w:t>
      </w:r>
      <w:r w:rsidRPr="000977F7">
        <w:rPr>
          <w:rFonts w:asciiTheme="majorHAnsi" w:hAnsiTheme="majorHAnsi"/>
          <w:sz w:val="20"/>
          <w:szCs w:val="20"/>
        </w:rPr>
        <w:t>середній</w:t>
      </w:r>
      <w:r w:rsidRPr="000977F7">
        <w:rPr>
          <w:rFonts w:asciiTheme="majorHAnsi" w:hAnsiTheme="majorHAnsi"/>
          <w:spacing w:val="6"/>
          <w:sz w:val="20"/>
          <w:szCs w:val="20"/>
        </w:rPr>
        <w:t xml:space="preserve"> </w:t>
      </w:r>
      <w:r w:rsidRPr="000977F7">
        <w:rPr>
          <w:rFonts w:asciiTheme="majorHAnsi" w:hAnsiTheme="majorHAnsi"/>
          <w:sz w:val="20"/>
          <w:szCs w:val="20"/>
        </w:rPr>
        <w:t>чи</w:t>
      </w:r>
      <w:r w:rsidRPr="000977F7">
        <w:rPr>
          <w:rFonts w:asciiTheme="majorHAnsi" w:hAnsiTheme="majorHAnsi"/>
          <w:spacing w:val="8"/>
          <w:sz w:val="20"/>
          <w:szCs w:val="20"/>
        </w:rPr>
        <w:t xml:space="preserve"> </w:t>
      </w:r>
      <w:r w:rsidRPr="000977F7">
        <w:rPr>
          <w:rFonts w:asciiTheme="majorHAnsi" w:hAnsiTheme="majorHAnsi"/>
          <w:sz w:val="20"/>
          <w:szCs w:val="20"/>
        </w:rPr>
        <w:t>капітальний</w:t>
      </w:r>
      <w:r w:rsidRPr="000977F7">
        <w:rPr>
          <w:rFonts w:asciiTheme="majorHAnsi" w:hAnsiTheme="majorHAnsi"/>
          <w:spacing w:val="6"/>
          <w:sz w:val="20"/>
          <w:szCs w:val="20"/>
        </w:rPr>
        <w:t xml:space="preserve"> </w:t>
      </w:r>
      <w:r w:rsidRPr="000977F7">
        <w:rPr>
          <w:rFonts w:asciiTheme="majorHAnsi" w:hAnsiTheme="majorHAnsi"/>
          <w:sz w:val="20"/>
          <w:szCs w:val="20"/>
        </w:rPr>
        <w:t>ремонт</w:t>
      </w:r>
      <w:r w:rsidRPr="000977F7">
        <w:rPr>
          <w:rFonts w:asciiTheme="majorHAnsi" w:hAnsiTheme="majorHAnsi"/>
          <w:spacing w:val="7"/>
          <w:sz w:val="20"/>
          <w:szCs w:val="20"/>
        </w:rPr>
        <w:t xml:space="preserve"> </w:t>
      </w:r>
      <w:r w:rsidRPr="000977F7">
        <w:rPr>
          <w:rFonts w:asciiTheme="majorHAnsi" w:hAnsiTheme="majorHAnsi"/>
          <w:sz w:val="20"/>
          <w:szCs w:val="20"/>
        </w:rPr>
        <w:t>одного</w:t>
      </w:r>
      <w:r w:rsidRPr="000977F7">
        <w:rPr>
          <w:rFonts w:asciiTheme="majorHAnsi" w:hAnsiTheme="majorHAnsi"/>
          <w:spacing w:val="8"/>
          <w:sz w:val="20"/>
          <w:szCs w:val="20"/>
        </w:rPr>
        <w:t xml:space="preserve"> </w:t>
      </w:r>
      <w:r w:rsidRPr="000977F7">
        <w:rPr>
          <w:rFonts w:asciiTheme="majorHAnsi" w:hAnsiTheme="majorHAnsi"/>
          <w:sz w:val="20"/>
          <w:szCs w:val="20"/>
        </w:rPr>
        <w:t>чи</w:t>
      </w:r>
      <w:r w:rsidRPr="000977F7">
        <w:rPr>
          <w:rFonts w:asciiTheme="majorHAnsi" w:hAnsiTheme="majorHAnsi"/>
          <w:spacing w:val="-47"/>
          <w:sz w:val="20"/>
          <w:szCs w:val="20"/>
        </w:rPr>
        <w:t xml:space="preserve"> </w:t>
      </w:r>
      <w:r w:rsidRPr="000977F7">
        <w:rPr>
          <w:rFonts w:asciiTheme="majorHAnsi" w:hAnsiTheme="majorHAnsi"/>
          <w:sz w:val="20"/>
          <w:szCs w:val="20"/>
        </w:rPr>
        <w:t>більше</w:t>
      </w:r>
      <w:r w:rsidRPr="000977F7">
        <w:rPr>
          <w:rFonts w:asciiTheme="majorHAnsi" w:hAnsiTheme="majorHAnsi"/>
          <w:spacing w:val="11"/>
          <w:sz w:val="20"/>
          <w:szCs w:val="20"/>
        </w:rPr>
        <w:t xml:space="preserve"> </w:t>
      </w:r>
      <w:r w:rsidRPr="000977F7">
        <w:rPr>
          <w:rFonts w:asciiTheme="majorHAnsi" w:hAnsiTheme="majorHAnsi"/>
          <w:sz w:val="20"/>
          <w:szCs w:val="20"/>
        </w:rPr>
        <w:t>виробів,</w:t>
      </w:r>
      <w:r w:rsidRPr="000977F7">
        <w:rPr>
          <w:rFonts w:asciiTheme="majorHAnsi" w:hAnsiTheme="majorHAnsi"/>
          <w:spacing w:val="9"/>
          <w:sz w:val="20"/>
          <w:szCs w:val="20"/>
        </w:rPr>
        <w:t xml:space="preserve"> </w:t>
      </w:r>
      <w:r w:rsidRPr="000977F7">
        <w:rPr>
          <w:rFonts w:asciiTheme="majorHAnsi" w:hAnsiTheme="majorHAnsi"/>
          <w:sz w:val="20"/>
          <w:szCs w:val="20"/>
        </w:rPr>
        <w:t>необхідних</w:t>
      </w:r>
      <w:r w:rsidRPr="000977F7">
        <w:rPr>
          <w:rFonts w:asciiTheme="majorHAnsi" w:hAnsiTheme="majorHAnsi"/>
          <w:spacing w:val="10"/>
          <w:sz w:val="20"/>
          <w:szCs w:val="20"/>
        </w:rPr>
        <w:t xml:space="preserve"> </w:t>
      </w:r>
      <w:r w:rsidRPr="000977F7">
        <w:rPr>
          <w:rFonts w:asciiTheme="majorHAnsi" w:hAnsiTheme="majorHAnsi"/>
          <w:sz w:val="20"/>
          <w:szCs w:val="20"/>
        </w:rPr>
        <w:t>для</w:t>
      </w:r>
      <w:r w:rsidRPr="000977F7">
        <w:rPr>
          <w:rFonts w:asciiTheme="majorHAnsi" w:hAnsiTheme="majorHAnsi"/>
          <w:spacing w:val="10"/>
          <w:sz w:val="20"/>
          <w:szCs w:val="20"/>
        </w:rPr>
        <w:t xml:space="preserve"> </w:t>
      </w:r>
      <w:r w:rsidRPr="000977F7">
        <w:rPr>
          <w:rFonts w:asciiTheme="majorHAnsi" w:hAnsiTheme="majorHAnsi"/>
          <w:sz w:val="20"/>
          <w:szCs w:val="20"/>
        </w:rPr>
        <w:t>планування</w:t>
      </w:r>
      <w:r w:rsidRPr="000977F7">
        <w:rPr>
          <w:rFonts w:asciiTheme="majorHAnsi" w:hAnsiTheme="majorHAnsi"/>
          <w:spacing w:val="8"/>
          <w:sz w:val="20"/>
          <w:szCs w:val="20"/>
        </w:rPr>
        <w:t xml:space="preserve"> </w:t>
      </w:r>
      <w:r w:rsidRPr="000977F7">
        <w:rPr>
          <w:rFonts w:asciiTheme="majorHAnsi" w:hAnsiTheme="majorHAnsi"/>
          <w:sz w:val="20"/>
          <w:szCs w:val="20"/>
        </w:rPr>
        <w:t>і</w:t>
      </w:r>
      <w:r w:rsidRPr="000977F7">
        <w:rPr>
          <w:rFonts w:asciiTheme="majorHAnsi" w:hAnsiTheme="majorHAnsi"/>
          <w:spacing w:val="11"/>
          <w:sz w:val="20"/>
          <w:szCs w:val="20"/>
        </w:rPr>
        <w:t xml:space="preserve"> </w:t>
      </w:r>
      <w:r w:rsidRPr="000977F7">
        <w:rPr>
          <w:rFonts w:asciiTheme="majorHAnsi" w:hAnsiTheme="majorHAnsi"/>
          <w:sz w:val="20"/>
          <w:szCs w:val="20"/>
        </w:rPr>
        <w:t>підготовлення ремонтного виробництва і виконання ремонту</w:t>
      </w:r>
    </w:p>
    <w:p w14:paraId="48F1A95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3321</w:t>
      </w:r>
      <w:r w:rsidRPr="000977F7">
        <w:rPr>
          <w:rFonts w:asciiTheme="majorHAnsi" w:hAnsiTheme="majorHAnsi"/>
          <w:i/>
          <w:spacing w:val="2"/>
          <w:sz w:val="20"/>
          <w:szCs w:val="20"/>
        </w:rPr>
        <w:t xml:space="preserve"> </w:t>
      </w:r>
      <w:r w:rsidRPr="000977F7">
        <w:rPr>
          <w:rFonts w:asciiTheme="majorHAnsi" w:hAnsiTheme="majorHAnsi"/>
          <w:i/>
          <w:sz w:val="20"/>
          <w:szCs w:val="20"/>
        </w:rPr>
        <w:t>– 2003</w:t>
      </w:r>
    </w:p>
    <w:p w14:paraId="79FB7E32" w14:textId="77777777" w:rsidR="0097612F" w:rsidRPr="000977F7" w:rsidRDefault="0097612F" w:rsidP="000977F7">
      <w:pPr>
        <w:pStyle w:val="7"/>
        <w:tabs>
          <w:tab w:val="left" w:pos="284"/>
          <w:tab w:val="left" w:pos="2224"/>
          <w:tab w:val="left" w:pos="3647"/>
        </w:tabs>
        <w:spacing w:before="0" w:line="240" w:lineRule="auto"/>
        <w:ind w:left="170"/>
        <w:mirrorIndents/>
        <w:jc w:val="both"/>
        <w:rPr>
          <w:color w:val="auto"/>
          <w:sz w:val="20"/>
          <w:szCs w:val="20"/>
        </w:rPr>
      </w:pPr>
      <w:r w:rsidRPr="000977F7">
        <w:rPr>
          <w:color w:val="auto"/>
          <w:sz w:val="20"/>
          <w:szCs w:val="20"/>
        </w:rPr>
        <w:t xml:space="preserve">НОРМОВАНИЙ ПОКАЗНИК </w:t>
      </w:r>
      <w:r w:rsidRPr="000977F7">
        <w:rPr>
          <w:color w:val="auto"/>
          <w:spacing w:val="-1"/>
          <w:sz w:val="20"/>
          <w:szCs w:val="20"/>
        </w:rPr>
        <w:t>БЕЗПЕЧНОСТІ</w:t>
      </w:r>
      <w:r w:rsidRPr="000977F7">
        <w:rPr>
          <w:color w:val="auto"/>
          <w:spacing w:val="-47"/>
          <w:sz w:val="20"/>
          <w:szCs w:val="20"/>
        </w:rPr>
        <w:t xml:space="preserve"> </w:t>
      </w:r>
      <w:r w:rsidRPr="000977F7">
        <w:rPr>
          <w:color w:val="auto"/>
          <w:sz w:val="20"/>
          <w:szCs w:val="20"/>
        </w:rPr>
        <w:t>(ПРОМИСЛОВОГО ПІДПРИЄМСТВА) –</w:t>
      </w:r>
    </w:p>
    <w:p w14:paraId="4025387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Показник безпечності, значення якого регламентовано</w:t>
      </w:r>
      <w:r w:rsidRPr="000977F7">
        <w:rPr>
          <w:rFonts w:asciiTheme="majorHAnsi" w:hAnsiTheme="majorHAnsi"/>
          <w:spacing w:val="-47"/>
          <w:sz w:val="20"/>
          <w:szCs w:val="20"/>
        </w:rPr>
        <w:t xml:space="preserve"> </w:t>
      </w:r>
      <w:r w:rsidRPr="000977F7">
        <w:rPr>
          <w:rFonts w:asciiTheme="majorHAnsi" w:hAnsiTheme="majorHAnsi"/>
          <w:sz w:val="20"/>
          <w:szCs w:val="20"/>
        </w:rPr>
        <w:t>нормативно-технічною</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конструкторською</w:t>
      </w:r>
      <w:r w:rsidRPr="000977F7">
        <w:rPr>
          <w:rFonts w:asciiTheme="majorHAnsi" w:hAnsiTheme="majorHAnsi"/>
          <w:spacing w:val="1"/>
          <w:sz w:val="20"/>
          <w:szCs w:val="20"/>
        </w:rPr>
        <w:t xml:space="preserve"> </w:t>
      </w:r>
      <w:r w:rsidRPr="000977F7">
        <w:rPr>
          <w:rFonts w:asciiTheme="majorHAnsi" w:hAnsiTheme="majorHAnsi"/>
          <w:sz w:val="20"/>
          <w:szCs w:val="20"/>
        </w:rPr>
        <w:t>(проектною) документацією промислового підприємства</w:t>
      </w:r>
    </w:p>
    <w:p w14:paraId="6EF3906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 :</w:t>
      </w:r>
    </w:p>
    <w:p w14:paraId="10F6DC1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нормовані</w:t>
      </w:r>
      <w:r w:rsidRPr="000977F7">
        <w:rPr>
          <w:rFonts w:asciiTheme="majorHAnsi" w:hAnsiTheme="majorHAnsi"/>
          <w:spacing w:val="1"/>
          <w:sz w:val="20"/>
          <w:szCs w:val="20"/>
        </w:rPr>
        <w:t xml:space="preserve"> </w:t>
      </w:r>
      <w:r w:rsidRPr="000977F7">
        <w:rPr>
          <w:rFonts w:asciiTheme="majorHAnsi" w:hAnsiTheme="majorHAnsi"/>
          <w:sz w:val="20"/>
          <w:szCs w:val="20"/>
        </w:rPr>
        <w:t>показники</w:t>
      </w:r>
      <w:r w:rsidRPr="000977F7">
        <w:rPr>
          <w:rFonts w:asciiTheme="majorHAnsi" w:hAnsiTheme="majorHAnsi"/>
          <w:spacing w:val="1"/>
          <w:sz w:val="20"/>
          <w:szCs w:val="20"/>
        </w:rPr>
        <w:t xml:space="preserve"> </w:t>
      </w:r>
      <w:r w:rsidRPr="000977F7">
        <w:rPr>
          <w:rFonts w:asciiTheme="majorHAnsi" w:hAnsiTheme="majorHAnsi"/>
          <w:sz w:val="20"/>
          <w:szCs w:val="20"/>
        </w:rPr>
        <w:t>безпечності</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використані один чи декілька показників, включених</w:t>
      </w:r>
      <w:r w:rsidRPr="000977F7">
        <w:rPr>
          <w:rFonts w:asciiTheme="majorHAnsi" w:hAnsiTheme="majorHAnsi"/>
          <w:spacing w:val="1"/>
          <w:sz w:val="20"/>
          <w:szCs w:val="20"/>
        </w:rPr>
        <w:t xml:space="preserve"> </w:t>
      </w:r>
      <w:r w:rsidRPr="000977F7">
        <w:rPr>
          <w:rFonts w:asciiTheme="majorHAnsi" w:hAnsiTheme="majorHAnsi"/>
          <w:sz w:val="20"/>
          <w:szCs w:val="20"/>
        </w:rPr>
        <w:t>до цього стандарту, залежно від виду промислового</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 ступеня його важливості, умов 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наслідків</w:t>
      </w:r>
      <w:r w:rsidRPr="000977F7">
        <w:rPr>
          <w:rFonts w:asciiTheme="majorHAnsi" w:hAnsiTheme="majorHAnsi"/>
          <w:spacing w:val="1"/>
          <w:sz w:val="20"/>
          <w:szCs w:val="20"/>
        </w:rPr>
        <w:t xml:space="preserve"> </w:t>
      </w:r>
      <w:r w:rsidRPr="000977F7">
        <w:rPr>
          <w:rFonts w:asciiTheme="majorHAnsi" w:hAnsiTheme="majorHAnsi"/>
          <w:sz w:val="20"/>
          <w:szCs w:val="20"/>
        </w:rPr>
        <w:t>реалізації</w:t>
      </w:r>
      <w:r w:rsidRPr="000977F7">
        <w:rPr>
          <w:rFonts w:asciiTheme="majorHAnsi" w:hAnsiTheme="majorHAnsi"/>
          <w:spacing w:val="1"/>
          <w:sz w:val="20"/>
          <w:szCs w:val="20"/>
        </w:rPr>
        <w:t xml:space="preserve"> </w:t>
      </w:r>
      <w:r w:rsidRPr="000977F7">
        <w:rPr>
          <w:rFonts w:asciiTheme="majorHAnsi" w:hAnsiTheme="majorHAnsi"/>
          <w:sz w:val="20"/>
          <w:szCs w:val="20"/>
        </w:rPr>
        <w:t>потенційної</w:t>
      </w:r>
      <w:r w:rsidRPr="000977F7">
        <w:rPr>
          <w:rFonts w:asciiTheme="majorHAnsi" w:hAnsiTheme="majorHAnsi"/>
          <w:spacing w:val="1"/>
          <w:sz w:val="20"/>
          <w:szCs w:val="20"/>
        </w:rPr>
        <w:t xml:space="preserve"> </w:t>
      </w:r>
      <w:r w:rsidRPr="000977F7">
        <w:rPr>
          <w:rFonts w:asciiTheme="majorHAnsi" w:hAnsiTheme="majorHAnsi"/>
          <w:sz w:val="20"/>
          <w:szCs w:val="20"/>
        </w:rPr>
        <w:t>небезпеки,</w:t>
      </w:r>
      <w:r w:rsidRPr="000977F7">
        <w:rPr>
          <w:rFonts w:asciiTheme="majorHAnsi" w:hAnsiTheme="majorHAnsi"/>
          <w:spacing w:val="1"/>
          <w:sz w:val="20"/>
          <w:szCs w:val="20"/>
        </w:rPr>
        <w:t xml:space="preserve"> </w:t>
      </w:r>
      <w:r w:rsidRPr="000977F7">
        <w:rPr>
          <w:rFonts w:asciiTheme="majorHAnsi" w:hAnsiTheme="majorHAnsi"/>
          <w:sz w:val="20"/>
          <w:szCs w:val="20"/>
        </w:rPr>
        <w:t>величини (частки) витрат на забезпечення безпечності</w:t>
      </w:r>
      <w:r w:rsidRPr="000977F7">
        <w:rPr>
          <w:rFonts w:asciiTheme="majorHAnsi" w:hAnsiTheme="majorHAnsi"/>
          <w:spacing w:val="-47"/>
          <w:sz w:val="20"/>
          <w:szCs w:val="20"/>
        </w:rPr>
        <w:t xml:space="preserve"> </w:t>
      </w:r>
      <w:r w:rsidRPr="000977F7">
        <w:rPr>
          <w:rFonts w:asciiTheme="majorHAnsi" w:hAnsiTheme="majorHAnsi"/>
          <w:sz w:val="20"/>
          <w:szCs w:val="20"/>
        </w:rPr>
        <w:t>промислового підприємства. В обґрунтованих випадках</w:t>
      </w:r>
      <w:r w:rsidRPr="000977F7">
        <w:rPr>
          <w:rFonts w:asciiTheme="majorHAnsi" w:hAnsiTheme="majorHAnsi"/>
          <w:spacing w:val="47"/>
          <w:sz w:val="20"/>
          <w:szCs w:val="20"/>
        </w:rPr>
        <w:t xml:space="preserve"> </w:t>
      </w:r>
      <w:r w:rsidRPr="000977F7">
        <w:rPr>
          <w:rFonts w:asciiTheme="majorHAnsi" w:hAnsiTheme="majorHAnsi"/>
          <w:sz w:val="20"/>
          <w:szCs w:val="20"/>
        </w:rPr>
        <w:t>допускається</w:t>
      </w:r>
      <w:r w:rsidRPr="000977F7">
        <w:rPr>
          <w:rFonts w:asciiTheme="majorHAnsi" w:hAnsiTheme="majorHAnsi"/>
          <w:spacing w:val="47"/>
          <w:sz w:val="20"/>
          <w:szCs w:val="20"/>
        </w:rPr>
        <w:t xml:space="preserve"> </w:t>
      </w:r>
      <w:r w:rsidRPr="000977F7">
        <w:rPr>
          <w:rFonts w:asciiTheme="majorHAnsi" w:hAnsiTheme="majorHAnsi"/>
          <w:sz w:val="20"/>
          <w:szCs w:val="20"/>
        </w:rPr>
        <w:t>нормувати</w:t>
      </w:r>
      <w:r w:rsidRPr="000977F7">
        <w:rPr>
          <w:rFonts w:asciiTheme="majorHAnsi" w:hAnsiTheme="majorHAnsi"/>
          <w:spacing w:val="46"/>
          <w:sz w:val="20"/>
          <w:szCs w:val="20"/>
        </w:rPr>
        <w:t xml:space="preserve"> </w:t>
      </w:r>
      <w:r w:rsidRPr="000977F7">
        <w:rPr>
          <w:rFonts w:asciiTheme="majorHAnsi" w:hAnsiTheme="majorHAnsi"/>
          <w:sz w:val="20"/>
          <w:szCs w:val="20"/>
        </w:rPr>
        <w:t>показники</w:t>
      </w:r>
      <w:r w:rsidRPr="000977F7">
        <w:rPr>
          <w:rFonts w:asciiTheme="majorHAnsi" w:hAnsiTheme="majorHAnsi"/>
          <w:spacing w:val="47"/>
          <w:sz w:val="20"/>
          <w:szCs w:val="20"/>
        </w:rPr>
        <w:t xml:space="preserve"> </w:t>
      </w:r>
      <w:r w:rsidRPr="000977F7">
        <w:rPr>
          <w:rFonts w:asciiTheme="majorHAnsi" w:hAnsiTheme="majorHAnsi"/>
          <w:sz w:val="20"/>
          <w:szCs w:val="20"/>
        </w:rPr>
        <w:t>безпечності, не зазначені в розділі 3 цього стандарту, якщо вони не</w:t>
      </w:r>
      <w:r w:rsidRPr="000977F7">
        <w:rPr>
          <w:rFonts w:asciiTheme="majorHAnsi" w:hAnsiTheme="majorHAnsi"/>
          <w:spacing w:val="-47"/>
          <w:sz w:val="20"/>
          <w:szCs w:val="20"/>
        </w:rPr>
        <w:t xml:space="preserve"> </w:t>
      </w:r>
      <w:r w:rsidRPr="000977F7">
        <w:rPr>
          <w:rFonts w:asciiTheme="majorHAnsi" w:hAnsiTheme="majorHAnsi"/>
          <w:sz w:val="20"/>
          <w:szCs w:val="20"/>
        </w:rPr>
        <w:t>суперечать визначенням показників цього стандарту.</w:t>
      </w:r>
      <w:r w:rsidRPr="000977F7">
        <w:rPr>
          <w:rFonts w:asciiTheme="majorHAnsi" w:hAnsiTheme="majorHAnsi"/>
          <w:spacing w:val="1"/>
          <w:sz w:val="20"/>
          <w:szCs w:val="20"/>
        </w:rPr>
        <w:t xml:space="preserve"> </w:t>
      </w:r>
      <w:r w:rsidRPr="000977F7">
        <w:rPr>
          <w:rFonts w:asciiTheme="majorHAnsi" w:hAnsiTheme="majorHAnsi"/>
          <w:sz w:val="20"/>
          <w:szCs w:val="20"/>
        </w:rPr>
        <w:t>Значення нормованих показників безпечності враховують під час визначення величини витрат на проектування, спорудження та експлуатацію промислового</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термінів</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промислового</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окупності</w:t>
      </w:r>
    </w:p>
    <w:p w14:paraId="6965315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2156 - 93</w:t>
      </w:r>
    </w:p>
    <w:p w14:paraId="6A22ED8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НОРМОВАНИЙ</w:t>
      </w:r>
      <w:r w:rsidRPr="000977F7">
        <w:rPr>
          <w:color w:val="auto"/>
          <w:spacing w:val="-5"/>
          <w:sz w:val="20"/>
          <w:szCs w:val="20"/>
        </w:rPr>
        <w:t xml:space="preserve"> </w:t>
      </w:r>
      <w:r w:rsidRPr="000977F7">
        <w:rPr>
          <w:color w:val="auto"/>
          <w:sz w:val="20"/>
          <w:szCs w:val="20"/>
        </w:rPr>
        <w:t>ПОКАЗНИК</w:t>
      </w:r>
      <w:r w:rsidRPr="000977F7">
        <w:rPr>
          <w:color w:val="auto"/>
          <w:spacing w:val="-7"/>
          <w:sz w:val="20"/>
          <w:szCs w:val="20"/>
        </w:rPr>
        <w:t xml:space="preserve"> </w:t>
      </w:r>
      <w:r w:rsidRPr="000977F7">
        <w:rPr>
          <w:color w:val="auto"/>
          <w:sz w:val="20"/>
          <w:szCs w:val="20"/>
        </w:rPr>
        <w:t>НАДІЙНОСТІ</w:t>
      </w:r>
      <w:r w:rsidRPr="000977F7">
        <w:rPr>
          <w:color w:val="auto"/>
          <w:spacing w:val="-3"/>
          <w:sz w:val="20"/>
          <w:szCs w:val="20"/>
        </w:rPr>
        <w:t xml:space="preserve"> </w:t>
      </w:r>
      <w:r w:rsidRPr="000977F7">
        <w:rPr>
          <w:color w:val="auto"/>
          <w:sz w:val="20"/>
          <w:szCs w:val="20"/>
        </w:rPr>
        <w:t>–</w:t>
      </w:r>
    </w:p>
    <w:p w14:paraId="58FE8DA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SPECIFIED</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DEPENDABILITY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MEASURE –</w:t>
      </w:r>
    </w:p>
    <w:p w14:paraId="388E5D4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Показник надійності, значення якого регламентовано</w:t>
      </w:r>
      <w:r w:rsidRPr="000977F7">
        <w:rPr>
          <w:rFonts w:asciiTheme="majorHAnsi" w:hAnsiTheme="majorHAnsi"/>
          <w:spacing w:val="1"/>
          <w:sz w:val="20"/>
          <w:szCs w:val="20"/>
        </w:rPr>
        <w:t xml:space="preserve"> </w:t>
      </w:r>
      <w:r w:rsidRPr="000977F7">
        <w:rPr>
          <w:rFonts w:asciiTheme="majorHAnsi" w:hAnsiTheme="majorHAnsi"/>
          <w:sz w:val="20"/>
          <w:szCs w:val="20"/>
        </w:rPr>
        <w:t xml:space="preserve">нормативною та (або) конструкторською (проектною) </w:t>
      </w:r>
      <w:r w:rsidRPr="000977F7">
        <w:rPr>
          <w:rFonts w:asciiTheme="majorHAnsi" w:hAnsiTheme="majorHAnsi"/>
          <w:spacing w:val="-47"/>
          <w:sz w:val="20"/>
          <w:szCs w:val="20"/>
        </w:rPr>
        <w:t xml:space="preserve"> </w:t>
      </w:r>
      <w:r w:rsidRPr="000977F7">
        <w:rPr>
          <w:rFonts w:asciiTheme="majorHAnsi" w:hAnsiTheme="majorHAnsi"/>
          <w:sz w:val="20"/>
          <w:szCs w:val="20"/>
        </w:rPr>
        <w:t>документацією</w:t>
      </w:r>
      <w:r w:rsidRPr="000977F7">
        <w:rPr>
          <w:rFonts w:asciiTheme="majorHAnsi" w:hAnsiTheme="majorHAnsi"/>
          <w:spacing w:val="-1"/>
          <w:sz w:val="20"/>
          <w:szCs w:val="20"/>
        </w:rPr>
        <w:t xml:space="preserve"> </w:t>
      </w:r>
      <w:r w:rsidRPr="000977F7">
        <w:rPr>
          <w:rFonts w:asciiTheme="majorHAnsi" w:hAnsiTheme="majorHAnsi"/>
          <w:sz w:val="20"/>
          <w:szCs w:val="20"/>
        </w:rPr>
        <w:t>на об’єкт</w:t>
      </w:r>
    </w:p>
    <w:p w14:paraId="489D131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CF1DF8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Нормованими</w:t>
      </w:r>
      <w:r w:rsidRPr="000977F7">
        <w:rPr>
          <w:rFonts w:asciiTheme="majorHAnsi" w:hAnsiTheme="majorHAnsi"/>
          <w:spacing w:val="1"/>
          <w:sz w:val="20"/>
          <w:szCs w:val="20"/>
        </w:rPr>
        <w:t xml:space="preserve"> </w:t>
      </w:r>
      <w:r w:rsidRPr="000977F7">
        <w:rPr>
          <w:rFonts w:asciiTheme="majorHAnsi" w:hAnsiTheme="majorHAnsi"/>
          <w:sz w:val="20"/>
          <w:szCs w:val="20"/>
        </w:rPr>
        <w:t>показниками</w:t>
      </w:r>
      <w:r w:rsidRPr="000977F7">
        <w:rPr>
          <w:rFonts w:asciiTheme="majorHAnsi" w:hAnsiTheme="majorHAnsi"/>
          <w:spacing w:val="1"/>
          <w:sz w:val="20"/>
          <w:szCs w:val="20"/>
        </w:rPr>
        <w:t xml:space="preserve"> </w:t>
      </w:r>
      <w:r w:rsidRPr="000977F7">
        <w:rPr>
          <w:rFonts w:asciiTheme="majorHAnsi" w:hAnsiTheme="majorHAnsi"/>
          <w:sz w:val="20"/>
          <w:szCs w:val="20"/>
        </w:rPr>
        <w:t>надійності</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47"/>
          <w:sz w:val="20"/>
          <w:szCs w:val="20"/>
        </w:rPr>
        <w:t xml:space="preserve"> </w:t>
      </w:r>
      <w:r w:rsidRPr="000977F7">
        <w:rPr>
          <w:rFonts w:asciiTheme="majorHAnsi" w:hAnsiTheme="majorHAnsi"/>
          <w:sz w:val="20"/>
          <w:szCs w:val="20"/>
        </w:rPr>
        <w:t>використані один чи декілька із тих показників, які</w:t>
      </w:r>
      <w:r w:rsidRPr="000977F7">
        <w:rPr>
          <w:rFonts w:asciiTheme="majorHAnsi" w:hAnsiTheme="majorHAnsi"/>
          <w:spacing w:val="1"/>
          <w:sz w:val="20"/>
          <w:szCs w:val="20"/>
        </w:rPr>
        <w:t xml:space="preserve"> </w:t>
      </w:r>
      <w:r w:rsidRPr="000977F7">
        <w:rPr>
          <w:rFonts w:asciiTheme="majorHAnsi" w:hAnsiTheme="majorHAnsi"/>
          <w:sz w:val="20"/>
          <w:szCs w:val="20"/>
        </w:rPr>
        <w:t>занесено</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цей</w:t>
      </w:r>
      <w:r w:rsidRPr="000977F7">
        <w:rPr>
          <w:rFonts w:asciiTheme="majorHAnsi" w:hAnsiTheme="majorHAnsi"/>
          <w:spacing w:val="1"/>
          <w:sz w:val="20"/>
          <w:szCs w:val="20"/>
        </w:rPr>
        <w:t xml:space="preserve"> </w:t>
      </w:r>
      <w:r w:rsidRPr="000977F7">
        <w:rPr>
          <w:rFonts w:asciiTheme="majorHAnsi" w:hAnsiTheme="majorHAnsi"/>
          <w:sz w:val="20"/>
          <w:szCs w:val="20"/>
        </w:rPr>
        <w:t>стандарт,</w:t>
      </w:r>
      <w:r w:rsidRPr="000977F7">
        <w:rPr>
          <w:rFonts w:asciiTheme="majorHAnsi" w:hAnsiTheme="majorHAnsi"/>
          <w:spacing w:val="1"/>
          <w:sz w:val="20"/>
          <w:szCs w:val="20"/>
        </w:rPr>
        <w:t xml:space="preserve"> </w:t>
      </w:r>
      <w:r w:rsidRPr="000977F7">
        <w:rPr>
          <w:rFonts w:asciiTheme="majorHAnsi" w:hAnsiTheme="majorHAnsi"/>
          <w:sz w:val="20"/>
          <w:szCs w:val="20"/>
        </w:rPr>
        <w:t>залежно</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об’єкта, ступеню його відповідальності, умов експлуатації, наслідків можливих відмов, обмежень на витрати,</w:t>
      </w:r>
      <w:r w:rsidRPr="000977F7">
        <w:rPr>
          <w:rFonts w:asciiTheme="majorHAnsi" w:hAnsiTheme="majorHAnsi"/>
          <w:spacing w:val="-4"/>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5"/>
          <w:sz w:val="20"/>
          <w:szCs w:val="20"/>
        </w:rPr>
        <w:t xml:space="preserve"> </w:t>
      </w:r>
      <w:r w:rsidRPr="000977F7">
        <w:rPr>
          <w:rFonts w:asciiTheme="majorHAnsi" w:hAnsiTheme="majorHAnsi"/>
          <w:sz w:val="20"/>
          <w:szCs w:val="20"/>
        </w:rPr>
        <w:t>від</w:t>
      </w:r>
      <w:r w:rsidRPr="000977F7">
        <w:rPr>
          <w:rFonts w:asciiTheme="majorHAnsi" w:hAnsiTheme="majorHAnsi"/>
          <w:spacing w:val="-4"/>
          <w:sz w:val="20"/>
          <w:szCs w:val="20"/>
        </w:rPr>
        <w:t xml:space="preserve"> </w:t>
      </w:r>
      <w:r w:rsidRPr="000977F7">
        <w:rPr>
          <w:rFonts w:asciiTheme="majorHAnsi" w:hAnsiTheme="majorHAnsi"/>
          <w:sz w:val="20"/>
          <w:szCs w:val="20"/>
        </w:rPr>
        <w:t>співвідношення</w:t>
      </w:r>
      <w:r w:rsidRPr="000977F7">
        <w:rPr>
          <w:rFonts w:asciiTheme="majorHAnsi" w:hAnsiTheme="majorHAnsi"/>
          <w:spacing w:val="-2"/>
          <w:sz w:val="20"/>
          <w:szCs w:val="20"/>
        </w:rPr>
        <w:t xml:space="preserve"> </w:t>
      </w:r>
      <w:r w:rsidRPr="000977F7">
        <w:rPr>
          <w:rFonts w:asciiTheme="majorHAnsi" w:hAnsiTheme="majorHAnsi"/>
          <w:sz w:val="20"/>
          <w:szCs w:val="20"/>
        </w:rPr>
        <w:t>витрат</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48"/>
          <w:sz w:val="20"/>
          <w:szCs w:val="20"/>
        </w:rPr>
        <w:t xml:space="preserve"> </w:t>
      </w:r>
      <w:r w:rsidRPr="000977F7">
        <w:rPr>
          <w:rFonts w:asciiTheme="majorHAnsi" w:hAnsiTheme="majorHAnsi"/>
          <w:sz w:val="20"/>
          <w:szCs w:val="20"/>
        </w:rPr>
        <w:t>надійності об’єкта та витрат на його технічне обслуговування</w:t>
      </w:r>
      <w:r w:rsidRPr="000977F7">
        <w:rPr>
          <w:rFonts w:asciiTheme="majorHAnsi" w:hAnsiTheme="majorHAnsi"/>
          <w:spacing w:val="-5"/>
          <w:sz w:val="20"/>
          <w:szCs w:val="20"/>
        </w:rPr>
        <w:t xml:space="preserve"> </w:t>
      </w:r>
      <w:r w:rsidRPr="000977F7">
        <w:rPr>
          <w:rFonts w:asciiTheme="majorHAnsi" w:hAnsiTheme="majorHAnsi"/>
          <w:sz w:val="20"/>
          <w:szCs w:val="20"/>
        </w:rPr>
        <w:t>і</w:t>
      </w:r>
      <w:r w:rsidRPr="000977F7">
        <w:rPr>
          <w:rFonts w:asciiTheme="majorHAnsi" w:hAnsiTheme="majorHAnsi"/>
          <w:spacing w:val="-4"/>
          <w:sz w:val="20"/>
          <w:szCs w:val="20"/>
        </w:rPr>
        <w:t xml:space="preserve"> </w:t>
      </w:r>
      <w:r w:rsidRPr="000977F7">
        <w:rPr>
          <w:rFonts w:asciiTheme="majorHAnsi" w:hAnsiTheme="majorHAnsi"/>
          <w:sz w:val="20"/>
          <w:szCs w:val="20"/>
        </w:rPr>
        <w:t>ремонт.</w:t>
      </w:r>
      <w:r w:rsidRPr="000977F7">
        <w:rPr>
          <w:rFonts w:asciiTheme="majorHAnsi" w:hAnsiTheme="majorHAnsi"/>
          <w:spacing w:val="-4"/>
          <w:sz w:val="20"/>
          <w:szCs w:val="20"/>
        </w:rPr>
        <w:t xml:space="preserve"> </w:t>
      </w:r>
      <w:r w:rsidRPr="000977F7">
        <w:rPr>
          <w:rFonts w:asciiTheme="majorHAnsi" w:hAnsiTheme="majorHAnsi"/>
          <w:sz w:val="20"/>
          <w:szCs w:val="20"/>
        </w:rPr>
        <w:t>За</w:t>
      </w:r>
      <w:r w:rsidRPr="000977F7">
        <w:rPr>
          <w:rFonts w:asciiTheme="majorHAnsi" w:hAnsiTheme="majorHAnsi"/>
          <w:spacing w:val="-2"/>
          <w:sz w:val="20"/>
          <w:szCs w:val="20"/>
        </w:rPr>
        <w:t xml:space="preserve"> </w:t>
      </w:r>
      <w:r w:rsidRPr="000977F7">
        <w:rPr>
          <w:rFonts w:asciiTheme="majorHAnsi" w:hAnsiTheme="majorHAnsi"/>
          <w:sz w:val="20"/>
          <w:szCs w:val="20"/>
        </w:rPr>
        <w:t>угодою</w:t>
      </w:r>
      <w:r w:rsidRPr="000977F7">
        <w:rPr>
          <w:rFonts w:asciiTheme="majorHAnsi" w:hAnsiTheme="majorHAnsi"/>
          <w:spacing w:val="-2"/>
          <w:sz w:val="20"/>
          <w:szCs w:val="20"/>
        </w:rPr>
        <w:t xml:space="preserve"> </w:t>
      </w:r>
      <w:r w:rsidRPr="000977F7">
        <w:rPr>
          <w:rFonts w:asciiTheme="majorHAnsi" w:hAnsiTheme="majorHAnsi"/>
          <w:sz w:val="20"/>
          <w:szCs w:val="20"/>
        </w:rPr>
        <w:t>між</w:t>
      </w:r>
      <w:r w:rsidRPr="000977F7">
        <w:rPr>
          <w:rFonts w:asciiTheme="majorHAnsi" w:hAnsiTheme="majorHAnsi"/>
          <w:spacing w:val="-5"/>
          <w:sz w:val="20"/>
          <w:szCs w:val="20"/>
        </w:rPr>
        <w:t xml:space="preserve"> </w:t>
      </w:r>
      <w:r w:rsidRPr="000977F7">
        <w:rPr>
          <w:rFonts w:asciiTheme="majorHAnsi" w:hAnsiTheme="majorHAnsi"/>
          <w:sz w:val="20"/>
          <w:szCs w:val="20"/>
        </w:rPr>
        <w:t>замовником</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4"/>
          <w:sz w:val="20"/>
          <w:szCs w:val="20"/>
        </w:rPr>
        <w:t xml:space="preserve"> </w:t>
      </w:r>
      <w:r w:rsidRPr="000977F7">
        <w:rPr>
          <w:rFonts w:asciiTheme="majorHAnsi" w:hAnsiTheme="majorHAnsi"/>
          <w:sz w:val="20"/>
          <w:szCs w:val="20"/>
        </w:rPr>
        <w:t>розробником</w:t>
      </w:r>
      <w:r w:rsidRPr="000977F7">
        <w:rPr>
          <w:rFonts w:asciiTheme="majorHAnsi" w:hAnsiTheme="majorHAnsi"/>
          <w:spacing w:val="1"/>
          <w:sz w:val="20"/>
          <w:szCs w:val="20"/>
        </w:rPr>
        <w:t xml:space="preserve"> </w:t>
      </w:r>
      <w:r w:rsidRPr="000977F7">
        <w:rPr>
          <w:rFonts w:asciiTheme="majorHAnsi" w:hAnsiTheme="majorHAnsi"/>
          <w:sz w:val="20"/>
          <w:szCs w:val="20"/>
        </w:rPr>
        <w:t>(виготовлювачем)</w:t>
      </w:r>
      <w:r w:rsidRPr="000977F7">
        <w:rPr>
          <w:rFonts w:asciiTheme="majorHAnsi" w:hAnsiTheme="majorHAnsi"/>
          <w:spacing w:val="1"/>
          <w:sz w:val="20"/>
          <w:szCs w:val="20"/>
        </w:rPr>
        <w:t xml:space="preserve"> </w:t>
      </w:r>
      <w:r w:rsidRPr="000977F7">
        <w:rPr>
          <w:rFonts w:asciiTheme="majorHAnsi" w:hAnsiTheme="majorHAnsi"/>
          <w:sz w:val="20"/>
          <w:szCs w:val="20"/>
        </w:rPr>
        <w:t>допускається</w:t>
      </w:r>
      <w:r w:rsidRPr="000977F7">
        <w:rPr>
          <w:rFonts w:asciiTheme="majorHAnsi" w:hAnsiTheme="majorHAnsi"/>
          <w:spacing w:val="1"/>
          <w:sz w:val="20"/>
          <w:szCs w:val="20"/>
        </w:rPr>
        <w:t xml:space="preserve"> </w:t>
      </w:r>
      <w:r w:rsidRPr="000977F7">
        <w:rPr>
          <w:rFonts w:asciiTheme="majorHAnsi" w:hAnsiTheme="majorHAnsi"/>
          <w:sz w:val="20"/>
          <w:szCs w:val="20"/>
        </w:rPr>
        <w:t>нормувати</w:t>
      </w:r>
      <w:r w:rsidRPr="000977F7">
        <w:rPr>
          <w:rFonts w:asciiTheme="majorHAnsi" w:hAnsiTheme="majorHAnsi"/>
          <w:spacing w:val="1"/>
          <w:sz w:val="20"/>
          <w:szCs w:val="20"/>
        </w:rPr>
        <w:t xml:space="preserve"> </w:t>
      </w:r>
      <w:r w:rsidRPr="000977F7">
        <w:rPr>
          <w:rFonts w:asciiTheme="majorHAnsi" w:hAnsiTheme="majorHAnsi"/>
          <w:sz w:val="20"/>
          <w:szCs w:val="20"/>
        </w:rPr>
        <w:t>показники надійності, які відсутні у цьому стандарті,</w:t>
      </w:r>
      <w:r w:rsidRPr="000977F7">
        <w:rPr>
          <w:rFonts w:asciiTheme="majorHAnsi" w:hAnsiTheme="majorHAnsi"/>
          <w:spacing w:val="1"/>
          <w:sz w:val="20"/>
          <w:szCs w:val="20"/>
        </w:rPr>
        <w:t xml:space="preserve"> </w:t>
      </w:r>
      <w:r w:rsidRPr="000977F7">
        <w:rPr>
          <w:rFonts w:asciiTheme="majorHAnsi" w:hAnsiTheme="majorHAnsi"/>
          <w:sz w:val="20"/>
          <w:szCs w:val="20"/>
        </w:rPr>
        <w:t>але не суперечать означенням показників цього стандарту.</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нормованих</w:t>
      </w:r>
      <w:r w:rsidRPr="000977F7">
        <w:rPr>
          <w:rFonts w:asciiTheme="majorHAnsi" w:hAnsiTheme="majorHAnsi"/>
          <w:spacing w:val="1"/>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1"/>
          <w:sz w:val="20"/>
          <w:szCs w:val="20"/>
        </w:rPr>
        <w:t xml:space="preserve"> </w:t>
      </w:r>
      <w:r w:rsidRPr="000977F7">
        <w:rPr>
          <w:rFonts w:asciiTheme="majorHAnsi" w:hAnsiTheme="majorHAnsi"/>
          <w:sz w:val="20"/>
          <w:szCs w:val="20"/>
        </w:rPr>
        <w:t>надійності</w:t>
      </w:r>
      <w:r w:rsidRPr="000977F7">
        <w:rPr>
          <w:rFonts w:asciiTheme="majorHAnsi" w:hAnsiTheme="majorHAnsi"/>
          <w:spacing w:val="1"/>
          <w:sz w:val="20"/>
          <w:szCs w:val="20"/>
        </w:rPr>
        <w:t xml:space="preserve"> </w:t>
      </w:r>
      <w:r w:rsidRPr="000977F7">
        <w:rPr>
          <w:rFonts w:asciiTheme="majorHAnsi" w:hAnsiTheme="majorHAnsi"/>
          <w:sz w:val="20"/>
          <w:szCs w:val="20"/>
        </w:rPr>
        <w:t>враховують, зокрема, при визначенні ціни об’єкта, гарантійного</w:t>
      </w:r>
      <w:r w:rsidRPr="000977F7">
        <w:rPr>
          <w:rFonts w:asciiTheme="majorHAnsi" w:hAnsiTheme="majorHAnsi"/>
          <w:spacing w:val="-6"/>
          <w:sz w:val="20"/>
          <w:szCs w:val="20"/>
        </w:rPr>
        <w:t xml:space="preserve"> </w:t>
      </w:r>
      <w:r w:rsidRPr="000977F7">
        <w:rPr>
          <w:rFonts w:asciiTheme="majorHAnsi" w:hAnsiTheme="majorHAnsi"/>
          <w:sz w:val="20"/>
          <w:szCs w:val="20"/>
        </w:rPr>
        <w:t>терміну</w:t>
      </w:r>
      <w:r w:rsidRPr="000977F7">
        <w:rPr>
          <w:rFonts w:asciiTheme="majorHAnsi" w:hAnsiTheme="majorHAnsi"/>
          <w:spacing w:val="-10"/>
          <w:sz w:val="20"/>
          <w:szCs w:val="20"/>
        </w:rPr>
        <w:t xml:space="preserve"> </w:t>
      </w:r>
      <w:r w:rsidRPr="000977F7">
        <w:rPr>
          <w:rFonts w:asciiTheme="majorHAnsi" w:hAnsiTheme="majorHAnsi"/>
          <w:sz w:val="20"/>
          <w:szCs w:val="20"/>
        </w:rPr>
        <w:t>та</w:t>
      </w:r>
      <w:r w:rsidRPr="000977F7">
        <w:rPr>
          <w:rFonts w:asciiTheme="majorHAnsi" w:hAnsiTheme="majorHAnsi"/>
          <w:spacing w:val="-6"/>
          <w:sz w:val="20"/>
          <w:szCs w:val="20"/>
        </w:rPr>
        <w:t xml:space="preserve"> </w:t>
      </w:r>
      <w:r w:rsidRPr="000977F7">
        <w:rPr>
          <w:rFonts w:asciiTheme="majorHAnsi" w:hAnsiTheme="majorHAnsi"/>
          <w:sz w:val="20"/>
          <w:szCs w:val="20"/>
        </w:rPr>
        <w:t>гарантійного</w:t>
      </w:r>
      <w:r w:rsidRPr="000977F7">
        <w:rPr>
          <w:rFonts w:asciiTheme="majorHAnsi" w:hAnsiTheme="majorHAnsi"/>
          <w:spacing w:val="-5"/>
          <w:sz w:val="20"/>
          <w:szCs w:val="20"/>
        </w:rPr>
        <w:t xml:space="preserve"> </w:t>
      </w:r>
      <w:r w:rsidRPr="000977F7">
        <w:rPr>
          <w:rFonts w:asciiTheme="majorHAnsi" w:hAnsiTheme="majorHAnsi"/>
          <w:sz w:val="20"/>
          <w:szCs w:val="20"/>
        </w:rPr>
        <w:t>наробітку</w:t>
      </w:r>
    </w:p>
    <w:p w14:paraId="7618074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2DCA14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НОРМОКОНТРОЛЬ</w:t>
      </w:r>
      <w:r w:rsidRPr="000977F7">
        <w:rPr>
          <w:color w:val="auto"/>
          <w:spacing w:val="-2"/>
          <w:sz w:val="20"/>
          <w:szCs w:val="20"/>
        </w:rPr>
        <w:t xml:space="preserve"> </w:t>
      </w:r>
      <w:r w:rsidRPr="000977F7">
        <w:rPr>
          <w:color w:val="auto"/>
          <w:sz w:val="20"/>
          <w:szCs w:val="20"/>
        </w:rPr>
        <w:t>–</w:t>
      </w:r>
    </w:p>
    <w:p w14:paraId="3523591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 дотримання у конструкторській документації норм і вимог нормативної документації, використання стандартних та уніфікованих складових частин</w:t>
      </w:r>
      <w:r w:rsidRPr="000977F7">
        <w:rPr>
          <w:rFonts w:asciiTheme="majorHAnsi" w:hAnsiTheme="majorHAnsi"/>
          <w:spacing w:val="1"/>
          <w:sz w:val="20"/>
          <w:szCs w:val="20"/>
        </w:rPr>
        <w:t xml:space="preserve"> </w:t>
      </w:r>
      <w:r w:rsidRPr="000977F7">
        <w:rPr>
          <w:rFonts w:asciiTheme="majorHAnsi" w:hAnsiTheme="majorHAnsi"/>
          <w:sz w:val="20"/>
          <w:szCs w:val="20"/>
        </w:rPr>
        <w:t>виробів</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матеріалів</w:t>
      </w:r>
    </w:p>
    <w:p w14:paraId="281D815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3321 - 2003</w:t>
      </w:r>
    </w:p>
    <w:p w14:paraId="0EF823C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lastRenderedPageBreak/>
        <w:t xml:space="preserve">НОРМОКОНТРОЛЬ ПРОЕКТА СТАНДАРТА </w:t>
      </w:r>
      <w:r w:rsidRPr="000977F7">
        <w:rPr>
          <w:rFonts w:asciiTheme="majorHAnsi" w:hAnsiTheme="majorHAnsi"/>
          <w:sz w:val="20"/>
          <w:szCs w:val="20"/>
        </w:rPr>
        <w:t>–</w:t>
      </w:r>
      <w:r w:rsidRPr="000977F7">
        <w:rPr>
          <w:rFonts w:asciiTheme="majorHAnsi" w:hAnsiTheme="majorHAnsi"/>
          <w:spacing w:val="-47"/>
          <w:sz w:val="20"/>
          <w:szCs w:val="20"/>
        </w:rPr>
        <w:t xml:space="preserve"> </w:t>
      </w:r>
      <w:r w:rsidRPr="000977F7">
        <w:rPr>
          <w:rFonts w:asciiTheme="majorHAnsi" w:hAnsiTheme="majorHAnsi"/>
          <w:sz w:val="20"/>
          <w:szCs w:val="20"/>
        </w:rPr>
        <w:t>VERIFICATION</w:t>
      </w:r>
      <w:r w:rsidRPr="000977F7">
        <w:rPr>
          <w:rFonts w:asciiTheme="majorHAnsi" w:hAnsiTheme="majorHAnsi"/>
          <w:spacing w:val="-2"/>
          <w:sz w:val="20"/>
          <w:szCs w:val="20"/>
        </w:rPr>
        <w:t xml:space="preserve"> </w:t>
      </w:r>
      <w:r w:rsidRPr="000977F7">
        <w:rPr>
          <w:rFonts w:asciiTheme="majorHAnsi" w:hAnsiTheme="majorHAnsi"/>
          <w:sz w:val="20"/>
          <w:szCs w:val="20"/>
        </w:rPr>
        <w:t>OF</w:t>
      </w:r>
      <w:r w:rsidRPr="000977F7">
        <w:rPr>
          <w:rFonts w:asciiTheme="majorHAnsi" w:hAnsiTheme="majorHAnsi"/>
          <w:spacing w:val="1"/>
          <w:sz w:val="20"/>
          <w:szCs w:val="20"/>
        </w:rPr>
        <w:t xml:space="preserve"> </w:t>
      </w:r>
      <w:r w:rsidRPr="000977F7">
        <w:rPr>
          <w:rFonts w:asciiTheme="majorHAnsi" w:hAnsiTheme="majorHAnsi"/>
          <w:sz w:val="20"/>
          <w:szCs w:val="20"/>
        </w:rPr>
        <w:t>A</w:t>
      </w:r>
      <w:r w:rsidRPr="000977F7">
        <w:rPr>
          <w:rFonts w:asciiTheme="majorHAnsi" w:hAnsiTheme="majorHAnsi"/>
          <w:spacing w:val="-5"/>
          <w:sz w:val="20"/>
          <w:szCs w:val="20"/>
        </w:rPr>
        <w:t xml:space="preserve"> </w:t>
      </w:r>
      <w:r w:rsidRPr="000977F7">
        <w:rPr>
          <w:rFonts w:asciiTheme="majorHAnsi" w:hAnsiTheme="majorHAnsi"/>
          <w:sz w:val="20"/>
          <w:szCs w:val="20"/>
        </w:rPr>
        <w:t>DRAFT</w:t>
      </w:r>
      <w:r w:rsidRPr="000977F7">
        <w:rPr>
          <w:rFonts w:asciiTheme="majorHAnsi" w:hAnsiTheme="majorHAnsi"/>
          <w:spacing w:val="1"/>
          <w:sz w:val="20"/>
          <w:szCs w:val="20"/>
        </w:rPr>
        <w:t xml:space="preserve"> </w:t>
      </w:r>
      <w:r w:rsidRPr="000977F7">
        <w:rPr>
          <w:rFonts w:asciiTheme="majorHAnsi" w:hAnsiTheme="majorHAnsi"/>
          <w:sz w:val="20"/>
          <w:szCs w:val="20"/>
        </w:rPr>
        <w:t>STАNDARD</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0823B9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Вид роботи в процесі розробки стандарту, який здійснюється експертною організацією і передбачає перевірку відповідності змісту проекту стандарта вимогам</w:t>
      </w:r>
      <w:r w:rsidRPr="000977F7">
        <w:rPr>
          <w:rFonts w:asciiTheme="majorHAnsi" w:hAnsiTheme="majorHAnsi"/>
          <w:spacing w:val="1"/>
          <w:sz w:val="20"/>
          <w:szCs w:val="20"/>
        </w:rPr>
        <w:t xml:space="preserve"> </w:t>
      </w:r>
      <w:r w:rsidRPr="000977F7">
        <w:rPr>
          <w:rFonts w:asciiTheme="majorHAnsi" w:hAnsiTheme="majorHAnsi"/>
          <w:sz w:val="20"/>
          <w:szCs w:val="20"/>
        </w:rPr>
        <w:t>методичних</w:t>
      </w:r>
      <w:r w:rsidRPr="000977F7">
        <w:rPr>
          <w:rFonts w:asciiTheme="majorHAnsi" w:hAnsiTheme="majorHAnsi"/>
          <w:spacing w:val="-2"/>
          <w:sz w:val="20"/>
          <w:szCs w:val="20"/>
        </w:rPr>
        <w:t xml:space="preserve"> </w:t>
      </w:r>
      <w:r w:rsidRPr="000977F7">
        <w:rPr>
          <w:rFonts w:asciiTheme="majorHAnsi" w:hAnsiTheme="majorHAnsi"/>
          <w:sz w:val="20"/>
          <w:szCs w:val="20"/>
        </w:rPr>
        <w:t>вказівок</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p>
    <w:p w14:paraId="7F354B6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НОРМУВАННЯ БЕЗПЕЧНОСТІ </w:t>
      </w:r>
    </w:p>
    <w:p w14:paraId="3A9A7AB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(ПРОМИСЛО</w:t>
      </w:r>
      <w:r w:rsidRPr="000977F7">
        <w:rPr>
          <w:color w:val="auto"/>
          <w:spacing w:val="-47"/>
          <w:sz w:val="20"/>
          <w:szCs w:val="20"/>
        </w:rPr>
        <w:t xml:space="preserve"> </w:t>
      </w:r>
      <w:r w:rsidRPr="000977F7">
        <w:rPr>
          <w:color w:val="auto"/>
          <w:sz w:val="20"/>
          <w:szCs w:val="20"/>
        </w:rPr>
        <w:t>ВОГО ПІДПРИЄМСТВА)</w:t>
      </w:r>
      <w:r w:rsidRPr="000977F7">
        <w:rPr>
          <w:color w:val="auto"/>
          <w:spacing w:val="3"/>
          <w:sz w:val="20"/>
          <w:szCs w:val="20"/>
        </w:rPr>
        <w:t xml:space="preserve"> </w:t>
      </w:r>
      <w:r w:rsidRPr="000977F7">
        <w:rPr>
          <w:color w:val="auto"/>
          <w:sz w:val="20"/>
          <w:szCs w:val="20"/>
        </w:rPr>
        <w:t>–</w:t>
      </w:r>
    </w:p>
    <w:p w14:paraId="5361D5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Встановлення в нормативно-технічній та (або) конструкторській (проектній) документації кількісних та</w:t>
      </w:r>
      <w:r w:rsidRPr="000977F7">
        <w:rPr>
          <w:rFonts w:asciiTheme="majorHAnsi" w:hAnsiTheme="majorHAnsi"/>
          <w:spacing w:val="1"/>
          <w:sz w:val="20"/>
          <w:szCs w:val="20"/>
        </w:rPr>
        <w:t xml:space="preserve"> </w:t>
      </w:r>
      <w:r w:rsidRPr="000977F7">
        <w:rPr>
          <w:rFonts w:asciiTheme="majorHAnsi" w:hAnsiTheme="majorHAnsi"/>
          <w:sz w:val="20"/>
          <w:szCs w:val="20"/>
        </w:rPr>
        <w:t>якісних</w:t>
      </w:r>
      <w:r w:rsidRPr="000977F7">
        <w:rPr>
          <w:rFonts w:asciiTheme="majorHAnsi" w:hAnsiTheme="majorHAnsi"/>
          <w:spacing w:val="-2"/>
          <w:sz w:val="20"/>
          <w:szCs w:val="20"/>
        </w:rPr>
        <w:t xml:space="preserve"> </w:t>
      </w:r>
      <w:r w:rsidRPr="000977F7">
        <w:rPr>
          <w:rFonts w:asciiTheme="majorHAnsi" w:hAnsiTheme="majorHAnsi"/>
          <w:sz w:val="20"/>
          <w:szCs w:val="20"/>
        </w:rPr>
        <w:t>вимог</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безпечності</w:t>
      </w:r>
    </w:p>
    <w:p w14:paraId="6B3D24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23A393F9"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Нормування</w:t>
      </w:r>
      <w:r w:rsidRPr="000977F7">
        <w:rPr>
          <w:rFonts w:asciiTheme="majorHAnsi" w:hAnsiTheme="majorHAnsi"/>
          <w:spacing w:val="23"/>
          <w:sz w:val="20"/>
          <w:szCs w:val="20"/>
        </w:rPr>
        <w:t xml:space="preserve"> </w:t>
      </w:r>
      <w:r w:rsidRPr="000977F7">
        <w:rPr>
          <w:rFonts w:asciiTheme="majorHAnsi" w:hAnsiTheme="majorHAnsi"/>
          <w:sz w:val="20"/>
          <w:szCs w:val="20"/>
        </w:rPr>
        <w:t>безпечності</w:t>
      </w:r>
      <w:r w:rsidRPr="000977F7">
        <w:rPr>
          <w:rFonts w:asciiTheme="majorHAnsi" w:hAnsiTheme="majorHAnsi"/>
          <w:spacing w:val="25"/>
          <w:sz w:val="20"/>
          <w:szCs w:val="20"/>
        </w:rPr>
        <w:t xml:space="preserve"> </w:t>
      </w:r>
      <w:r w:rsidRPr="000977F7">
        <w:rPr>
          <w:rFonts w:asciiTheme="majorHAnsi" w:hAnsiTheme="majorHAnsi"/>
          <w:sz w:val="20"/>
          <w:szCs w:val="20"/>
        </w:rPr>
        <w:t>включає:</w:t>
      </w:r>
      <w:r w:rsidRPr="000977F7">
        <w:rPr>
          <w:rFonts w:asciiTheme="majorHAnsi" w:hAnsiTheme="majorHAnsi"/>
          <w:spacing w:val="23"/>
          <w:sz w:val="20"/>
          <w:szCs w:val="20"/>
        </w:rPr>
        <w:t xml:space="preserve"> </w:t>
      </w:r>
      <w:r w:rsidRPr="000977F7">
        <w:rPr>
          <w:rFonts w:asciiTheme="majorHAnsi" w:hAnsiTheme="majorHAnsi"/>
          <w:sz w:val="20"/>
          <w:szCs w:val="20"/>
        </w:rPr>
        <w:t>вибір</w:t>
      </w:r>
      <w:r w:rsidRPr="000977F7">
        <w:rPr>
          <w:rFonts w:asciiTheme="majorHAnsi" w:hAnsiTheme="majorHAnsi"/>
          <w:spacing w:val="25"/>
          <w:sz w:val="20"/>
          <w:szCs w:val="20"/>
        </w:rPr>
        <w:t xml:space="preserve"> </w:t>
      </w:r>
      <w:r w:rsidRPr="000977F7">
        <w:rPr>
          <w:rFonts w:asciiTheme="majorHAnsi" w:hAnsiTheme="majorHAnsi"/>
          <w:sz w:val="20"/>
          <w:szCs w:val="20"/>
        </w:rPr>
        <w:t>номенклатури</w:t>
      </w:r>
      <w:r w:rsidRPr="000977F7">
        <w:rPr>
          <w:rFonts w:asciiTheme="majorHAnsi" w:hAnsiTheme="majorHAnsi"/>
          <w:spacing w:val="4"/>
          <w:sz w:val="20"/>
          <w:szCs w:val="20"/>
        </w:rPr>
        <w:t xml:space="preserve"> </w:t>
      </w:r>
      <w:r w:rsidRPr="000977F7">
        <w:rPr>
          <w:rFonts w:asciiTheme="majorHAnsi" w:hAnsiTheme="majorHAnsi"/>
          <w:sz w:val="20"/>
          <w:szCs w:val="20"/>
        </w:rPr>
        <w:t>нормованих</w:t>
      </w:r>
      <w:r w:rsidRPr="000977F7">
        <w:rPr>
          <w:rFonts w:asciiTheme="majorHAnsi" w:hAnsiTheme="majorHAnsi"/>
          <w:spacing w:val="6"/>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8"/>
          <w:sz w:val="20"/>
          <w:szCs w:val="20"/>
        </w:rPr>
        <w:t xml:space="preserve"> </w:t>
      </w:r>
      <w:r w:rsidRPr="000977F7">
        <w:rPr>
          <w:rFonts w:asciiTheme="majorHAnsi" w:hAnsiTheme="majorHAnsi"/>
          <w:sz w:val="20"/>
          <w:szCs w:val="20"/>
        </w:rPr>
        <w:t>техніко-економічне</w:t>
      </w:r>
      <w:r w:rsidRPr="000977F7">
        <w:rPr>
          <w:rFonts w:asciiTheme="majorHAnsi" w:hAnsiTheme="majorHAnsi"/>
          <w:spacing w:val="6"/>
          <w:sz w:val="20"/>
          <w:szCs w:val="20"/>
        </w:rPr>
        <w:t xml:space="preserve"> </w:t>
      </w:r>
      <w:r w:rsidRPr="000977F7">
        <w:rPr>
          <w:rFonts w:asciiTheme="majorHAnsi" w:hAnsiTheme="majorHAnsi"/>
          <w:sz w:val="20"/>
          <w:szCs w:val="20"/>
        </w:rPr>
        <w:t>обґрунтування</w:t>
      </w:r>
      <w:r w:rsidRPr="000977F7">
        <w:rPr>
          <w:rFonts w:asciiTheme="majorHAnsi" w:hAnsiTheme="majorHAnsi"/>
          <w:spacing w:val="1"/>
          <w:sz w:val="20"/>
          <w:szCs w:val="20"/>
        </w:rPr>
        <w:t xml:space="preserve"> </w:t>
      </w:r>
      <w:r w:rsidRPr="000977F7">
        <w:rPr>
          <w:rFonts w:asciiTheme="majorHAnsi" w:hAnsiTheme="majorHAnsi"/>
          <w:sz w:val="20"/>
          <w:szCs w:val="20"/>
        </w:rPr>
        <w:t>значень</w:t>
      </w:r>
      <w:r w:rsidRPr="000977F7">
        <w:rPr>
          <w:rFonts w:asciiTheme="majorHAnsi" w:hAnsiTheme="majorHAnsi"/>
          <w:spacing w:val="1"/>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1"/>
          <w:sz w:val="20"/>
          <w:szCs w:val="20"/>
        </w:rPr>
        <w:t xml:space="preserve"> </w:t>
      </w:r>
      <w:r w:rsidRPr="000977F7">
        <w:rPr>
          <w:rFonts w:asciiTheme="majorHAnsi" w:hAnsiTheme="majorHAnsi"/>
          <w:sz w:val="20"/>
          <w:szCs w:val="20"/>
        </w:rPr>
        <w:t>безпечності</w:t>
      </w:r>
      <w:r w:rsidRPr="000977F7">
        <w:rPr>
          <w:rFonts w:asciiTheme="majorHAnsi" w:hAnsiTheme="majorHAnsi"/>
          <w:spacing w:val="1"/>
          <w:sz w:val="20"/>
          <w:szCs w:val="20"/>
        </w:rPr>
        <w:t xml:space="preserve"> </w:t>
      </w:r>
      <w:r w:rsidRPr="000977F7">
        <w:rPr>
          <w:rFonts w:asciiTheme="majorHAnsi" w:hAnsiTheme="majorHAnsi"/>
          <w:sz w:val="20"/>
          <w:szCs w:val="20"/>
        </w:rPr>
        <w:t>промислового</w:t>
      </w:r>
      <w:r w:rsidRPr="000977F7">
        <w:rPr>
          <w:rFonts w:asciiTheme="majorHAnsi" w:hAnsiTheme="majorHAnsi"/>
          <w:spacing w:val="4"/>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6"/>
          <w:sz w:val="20"/>
          <w:szCs w:val="20"/>
        </w:rPr>
        <w:t xml:space="preserve"> </w:t>
      </w:r>
      <w:r w:rsidRPr="000977F7">
        <w:rPr>
          <w:rFonts w:asciiTheme="majorHAnsi" w:hAnsiTheme="majorHAnsi"/>
          <w:sz w:val="20"/>
          <w:szCs w:val="20"/>
        </w:rPr>
        <w:t>та</w:t>
      </w:r>
      <w:r w:rsidRPr="000977F7">
        <w:rPr>
          <w:rFonts w:asciiTheme="majorHAnsi" w:hAnsiTheme="majorHAnsi"/>
          <w:spacing w:val="4"/>
          <w:sz w:val="20"/>
          <w:szCs w:val="20"/>
        </w:rPr>
        <w:t xml:space="preserve"> </w:t>
      </w:r>
      <w:r w:rsidRPr="000977F7">
        <w:rPr>
          <w:rFonts w:asciiTheme="majorHAnsi" w:hAnsiTheme="majorHAnsi"/>
          <w:sz w:val="20"/>
          <w:szCs w:val="20"/>
        </w:rPr>
        <w:t>(або)</w:t>
      </w:r>
      <w:r w:rsidRPr="000977F7">
        <w:rPr>
          <w:rFonts w:asciiTheme="majorHAnsi" w:hAnsiTheme="majorHAnsi"/>
          <w:spacing w:val="6"/>
          <w:sz w:val="20"/>
          <w:szCs w:val="20"/>
        </w:rPr>
        <w:t xml:space="preserve"> </w:t>
      </w:r>
      <w:r w:rsidRPr="000977F7">
        <w:rPr>
          <w:rFonts w:asciiTheme="majorHAnsi" w:hAnsiTheme="majorHAnsi"/>
          <w:sz w:val="20"/>
          <w:szCs w:val="20"/>
        </w:rPr>
        <w:t>його</w:t>
      </w:r>
      <w:r w:rsidRPr="000977F7">
        <w:rPr>
          <w:rFonts w:asciiTheme="majorHAnsi" w:hAnsiTheme="majorHAnsi"/>
          <w:spacing w:val="4"/>
          <w:sz w:val="20"/>
          <w:szCs w:val="20"/>
        </w:rPr>
        <w:t xml:space="preserve"> </w:t>
      </w:r>
      <w:r w:rsidRPr="000977F7">
        <w:rPr>
          <w:rFonts w:asciiTheme="majorHAnsi" w:hAnsiTheme="majorHAnsi"/>
          <w:sz w:val="20"/>
          <w:szCs w:val="20"/>
        </w:rPr>
        <w:t>складових</w:t>
      </w:r>
      <w:r w:rsidRPr="000977F7">
        <w:rPr>
          <w:rFonts w:asciiTheme="majorHAnsi" w:hAnsiTheme="majorHAnsi"/>
          <w:spacing w:val="4"/>
          <w:sz w:val="20"/>
          <w:szCs w:val="20"/>
        </w:rPr>
        <w:t xml:space="preserve"> </w:t>
      </w:r>
      <w:r w:rsidRPr="000977F7">
        <w:rPr>
          <w:rFonts w:asciiTheme="majorHAnsi" w:hAnsiTheme="majorHAnsi"/>
          <w:sz w:val="20"/>
          <w:szCs w:val="20"/>
        </w:rPr>
        <w:t>частин;</w:t>
      </w:r>
      <w:r w:rsidRPr="000977F7">
        <w:rPr>
          <w:rFonts w:asciiTheme="majorHAnsi" w:hAnsiTheme="majorHAnsi"/>
          <w:spacing w:val="-47"/>
          <w:sz w:val="20"/>
          <w:szCs w:val="20"/>
        </w:rPr>
        <w:t xml:space="preserve"> </w:t>
      </w:r>
      <w:r w:rsidRPr="000977F7">
        <w:rPr>
          <w:rFonts w:asciiTheme="majorHAnsi" w:hAnsiTheme="majorHAnsi"/>
          <w:sz w:val="20"/>
          <w:szCs w:val="20"/>
        </w:rPr>
        <w:t>установлення</w:t>
      </w:r>
      <w:r w:rsidRPr="000977F7">
        <w:rPr>
          <w:rFonts w:asciiTheme="majorHAnsi" w:hAnsiTheme="majorHAnsi"/>
          <w:spacing w:val="29"/>
          <w:sz w:val="20"/>
          <w:szCs w:val="20"/>
        </w:rPr>
        <w:t xml:space="preserve"> </w:t>
      </w:r>
      <w:r w:rsidRPr="000977F7">
        <w:rPr>
          <w:rFonts w:asciiTheme="majorHAnsi" w:hAnsiTheme="majorHAnsi"/>
          <w:sz w:val="20"/>
          <w:szCs w:val="20"/>
        </w:rPr>
        <w:t>вимог</w:t>
      </w:r>
      <w:r w:rsidRPr="000977F7">
        <w:rPr>
          <w:rFonts w:asciiTheme="majorHAnsi" w:hAnsiTheme="majorHAnsi"/>
          <w:spacing w:val="29"/>
          <w:sz w:val="20"/>
          <w:szCs w:val="20"/>
        </w:rPr>
        <w:t xml:space="preserve"> </w:t>
      </w:r>
      <w:r w:rsidRPr="000977F7">
        <w:rPr>
          <w:rFonts w:asciiTheme="majorHAnsi" w:hAnsiTheme="majorHAnsi"/>
          <w:sz w:val="20"/>
          <w:szCs w:val="20"/>
        </w:rPr>
        <w:t>до</w:t>
      </w:r>
      <w:r w:rsidRPr="000977F7">
        <w:rPr>
          <w:rFonts w:asciiTheme="majorHAnsi" w:hAnsiTheme="majorHAnsi"/>
          <w:spacing w:val="30"/>
          <w:sz w:val="20"/>
          <w:szCs w:val="20"/>
        </w:rPr>
        <w:t xml:space="preserve"> </w:t>
      </w:r>
      <w:r w:rsidRPr="000977F7">
        <w:rPr>
          <w:rFonts w:asciiTheme="majorHAnsi" w:hAnsiTheme="majorHAnsi"/>
          <w:sz w:val="20"/>
          <w:szCs w:val="20"/>
        </w:rPr>
        <w:t>якості</w:t>
      </w:r>
      <w:r w:rsidRPr="000977F7">
        <w:rPr>
          <w:rFonts w:asciiTheme="majorHAnsi" w:hAnsiTheme="majorHAnsi"/>
          <w:spacing w:val="29"/>
          <w:sz w:val="20"/>
          <w:szCs w:val="20"/>
        </w:rPr>
        <w:t xml:space="preserve"> </w:t>
      </w:r>
      <w:r w:rsidRPr="000977F7">
        <w:rPr>
          <w:rFonts w:asciiTheme="majorHAnsi" w:hAnsiTheme="majorHAnsi"/>
          <w:sz w:val="20"/>
          <w:szCs w:val="20"/>
        </w:rPr>
        <w:t>(точності,</w:t>
      </w:r>
      <w:r w:rsidRPr="000977F7">
        <w:rPr>
          <w:rFonts w:asciiTheme="majorHAnsi" w:hAnsiTheme="majorHAnsi"/>
          <w:spacing w:val="30"/>
          <w:sz w:val="20"/>
          <w:szCs w:val="20"/>
        </w:rPr>
        <w:t xml:space="preserve"> </w:t>
      </w:r>
      <w:r w:rsidRPr="000977F7">
        <w:rPr>
          <w:rFonts w:asciiTheme="majorHAnsi" w:hAnsiTheme="majorHAnsi"/>
          <w:sz w:val="20"/>
          <w:szCs w:val="20"/>
        </w:rPr>
        <w:t>вірогідності</w:t>
      </w:r>
      <w:r w:rsidRPr="000977F7">
        <w:rPr>
          <w:rFonts w:asciiTheme="majorHAnsi" w:hAnsiTheme="majorHAnsi"/>
          <w:spacing w:val="-47"/>
          <w:sz w:val="20"/>
          <w:szCs w:val="20"/>
        </w:rPr>
        <w:t xml:space="preserve"> </w:t>
      </w:r>
      <w:r w:rsidRPr="000977F7">
        <w:rPr>
          <w:rFonts w:asciiTheme="majorHAnsi" w:hAnsiTheme="majorHAnsi"/>
          <w:sz w:val="20"/>
          <w:szCs w:val="20"/>
        </w:rPr>
        <w:t>та</w:t>
      </w:r>
      <w:r w:rsidRPr="000977F7">
        <w:rPr>
          <w:rFonts w:asciiTheme="majorHAnsi" w:hAnsiTheme="majorHAnsi"/>
          <w:spacing w:val="13"/>
          <w:sz w:val="20"/>
          <w:szCs w:val="20"/>
        </w:rPr>
        <w:t xml:space="preserve"> </w:t>
      </w:r>
      <w:r w:rsidRPr="000977F7">
        <w:rPr>
          <w:rFonts w:asciiTheme="majorHAnsi" w:hAnsiTheme="majorHAnsi"/>
          <w:sz w:val="20"/>
          <w:szCs w:val="20"/>
        </w:rPr>
        <w:t>ін.)</w:t>
      </w:r>
      <w:r w:rsidRPr="000977F7">
        <w:rPr>
          <w:rFonts w:asciiTheme="majorHAnsi" w:hAnsiTheme="majorHAnsi"/>
          <w:spacing w:val="13"/>
          <w:sz w:val="20"/>
          <w:szCs w:val="20"/>
        </w:rPr>
        <w:t xml:space="preserve"> </w:t>
      </w:r>
      <w:r w:rsidRPr="000977F7">
        <w:rPr>
          <w:rFonts w:asciiTheme="majorHAnsi" w:hAnsiTheme="majorHAnsi"/>
          <w:sz w:val="20"/>
          <w:szCs w:val="20"/>
        </w:rPr>
        <w:t>вихідних</w:t>
      </w:r>
      <w:r w:rsidRPr="000977F7">
        <w:rPr>
          <w:rFonts w:asciiTheme="majorHAnsi" w:hAnsiTheme="majorHAnsi"/>
          <w:spacing w:val="12"/>
          <w:sz w:val="20"/>
          <w:szCs w:val="20"/>
        </w:rPr>
        <w:t xml:space="preserve"> </w:t>
      </w:r>
      <w:r w:rsidRPr="000977F7">
        <w:rPr>
          <w:rFonts w:asciiTheme="majorHAnsi" w:hAnsiTheme="majorHAnsi"/>
          <w:sz w:val="20"/>
          <w:szCs w:val="20"/>
        </w:rPr>
        <w:t>даних;</w:t>
      </w:r>
      <w:r w:rsidRPr="000977F7">
        <w:rPr>
          <w:rFonts w:asciiTheme="majorHAnsi" w:hAnsiTheme="majorHAnsi"/>
          <w:spacing w:val="13"/>
          <w:sz w:val="20"/>
          <w:szCs w:val="20"/>
        </w:rPr>
        <w:t xml:space="preserve"> </w:t>
      </w:r>
      <w:r w:rsidRPr="000977F7">
        <w:rPr>
          <w:rFonts w:asciiTheme="majorHAnsi" w:hAnsiTheme="majorHAnsi"/>
          <w:sz w:val="20"/>
          <w:szCs w:val="20"/>
        </w:rPr>
        <w:t>ідентифікацію</w:t>
      </w:r>
      <w:r w:rsidRPr="000977F7">
        <w:rPr>
          <w:rFonts w:asciiTheme="majorHAnsi" w:hAnsiTheme="majorHAnsi"/>
          <w:spacing w:val="15"/>
          <w:sz w:val="20"/>
          <w:szCs w:val="20"/>
        </w:rPr>
        <w:t xml:space="preserve"> </w:t>
      </w:r>
      <w:r w:rsidRPr="000977F7">
        <w:rPr>
          <w:rFonts w:asciiTheme="majorHAnsi" w:hAnsiTheme="majorHAnsi"/>
          <w:sz w:val="20"/>
          <w:szCs w:val="20"/>
        </w:rPr>
        <w:t>потенційних</w:t>
      </w:r>
      <w:r w:rsidRPr="000977F7">
        <w:rPr>
          <w:rFonts w:asciiTheme="majorHAnsi" w:hAnsiTheme="majorHAnsi"/>
          <w:spacing w:val="-47"/>
          <w:sz w:val="20"/>
          <w:szCs w:val="20"/>
        </w:rPr>
        <w:t xml:space="preserve"> </w:t>
      </w:r>
      <w:r w:rsidRPr="000977F7">
        <w:rPr>
          <w:rFonts w:asciiTheme="majorHAnsi" w:hAnsiTheme="majorHAnsi"/>
          <w:sz w:val="20"/>
          <w:szCs w:val="20"/>
        </w:rPr>
        <w:t>небезпечностей,</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ініціюються</w:t>
      </w:r>
      <w:r w:rsidRPr="000977F7">
        <w:rPr>
          <w:rFonts w:asciiTheme="majorHAnsi" w:hAnsiTheme="majorHAnsi"/>
          <w:spacing w:val="1"/>
          <w:sz w:val="20"/>
          <w:szCs w:val="20"/>
        </w:rPr>
        <w:t xml:space="preserve"> </w:t>
      </w:r>
      <w:r w:rsidRPr="000977F7">
        <w:rPr>
          <w:rFonts w:asciiTheme="majorHAnsi" w:hAnsiTheme="majorHAnsi"/>
          <w:sz w:val="20"/>
          <w:szCs w:val="20"/>
        </w:rPr>
        <w:t>промисловим</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підприємством;</w:t>
      </w:r>
      <w:r w:rsidRPr="000977F7">
        <w:rPr>
          <w:rFonts w:asciiTheme="majorHAnsi" w:hAnsiTheme="majorHAnsi"/>
          <w:spacing w:val="18"/>
          <w:sz w:val="20"/>
          <w:szCs w:val="20"/>
        </w:rPr>
        <w:t xml:space="preserve"> </w:t>
      </w:r>
      <w:r w:rsidRPr="000977F7">
        <w:rPr>
          <w:rFonts w:asciiTheme="majorHAnsi" w:hAnsiTheme="majorHAnsi"/>
          <w:sz w:val="20"/>
          <w:szCs w:val="20"/>
        </w:rPr>
        <w:t>установлення</w:t>
      </w:r>
      <w:r w:rsidRPr="000977F7">
        <w:rPr>
          <w:rFonts w:asciiTheme="majorHAnsi" w:hAnsiTheme="majorHAnsi"/>
          <w:spacing w:val="16"/>
          <w:sz w:val="20"/>
          <w:szCs w:val="20"/>
        </w:rPr>
        <w:t xml:space="preserve"> </w:t>
      </w:r>
      <w:r w:rsidRPr="000977F7">
        <w:rPr>
          <w:rFonts w:asciiTheme="majorHAnsi" w:hAnsiTheme="majorHAnsi"/>
          <w:sz w:val="20"/>
          <w:szCs w:val="20"/>
        </w:rPr>
        <w:t>вимог</w:t>
      </w:r>
      <w:r w:rsidRPr="000977F7">
        <w:rPr>
          <w:rFonts w:asciiTheme="majorHAnsi" w:hAnsiTheme="majorHAnsi"/>
          <w:spacing w:val="17"/>
          <w:sz w:val="20"/>
          <w:szCs w:val="20"/>
        </w:rPr>
        <w:t xml:space="preserve"> </w:t>
      </w:r>
      <w:r w:rsidRPr="000977F7">
        <w:rPr>
          <w:rFonts w:asciiTheme="majorHAnsi" w:hAnsiTheme="majorHAnsi"/>
          <w:sz w:val="20"/>
          <w:szCs w:val="20"/>
        </w:rPr>
        <w:t>до</w:t>
      </w:r>
      <w:r w:rsidRPr="000977F7">
        <w:rPr>
          <w:rFonts w:asciiTheme="majorHAnsi" w:hAnsiTheme="majorHAnsi"/>
          <w:spacing w:val="17"/>
          <w:sz w:val="20"/>
          <w:szCs w:val="20"/>
        </w:rPr>
        <w:t xml:space="preserve"> </w:t>
      </w:r>
      <w:r w:rsidRPr="000977F7">
        <w:rPr>
          <w:rFonts w:asciiTheme="majorHAnsi" w:hAnsiTheme="majorHAnsi"/>
          <w:sz w:val="20"/>
          <w:szCs w:val="20"/>
        </w:rPr>
        <w:t>методів</w:t>
      </w:r>
      <w:r w:rsidRPr="000977F7">
        <w:rPr>
          <w:rFonts w:asciiTheme="majorHAnsi" w:hAnsiTheme="majorHAnsi"/>
          <w:spacing w:val="16"/>
          <w:sz w:val="20"/>
          <w:szCs w:val="20"/>
        </w:rPr>
        <w:t xml:space="preserve"> </w:t>
      </w:r>
      <w:r w:rsidRPr="000977F7">
        <w:rPr>
          <w:rFonts w:asciiTheme="majorHAnsi" w:hAnsiTheme="majorHAnsi"/>
          <w:sz w:val="20"/>
          <w:szCs w:val="20"/>
        </w:rPr>
        <w:t>експертизи</w:t>
      </w:r>
      <w:r w:rsidRPr="000977F7">
        <w:rPr>
          <w:rFonts w:asciiTheme="majorHAnsi" w:hAnsiTheme="majorHAnsi"/>
          <w:spacing w:val="20"/>
          <w:sz w:val="20"/>
          <w:szCs w:val="20"/>
        </w:rPr>
        <w:t xml:space="preserve"> </w:t>
      </w:r>
      <w:r w:rsidRPr="000977F7">
        <w:rPr>
          <w:rFonts w:asciiTheme="majorHAnsi" w:hAnsiTheme="majorHAnsi"/>
          <w:sz w:val="20"/>
          <w:szCs w:val="20"/>
        </w:rPr>
        <w:t>та</w:t>
      </w:r>
      <w:r w:rsidRPr="000977F7">
        <w:rPr>
          <w:rFonts w:asciiTheme="majorHAnsi" w:hAnsiTheme="majorHAnsi"/>
          <w:spacing w:val="22"/>
          <w:sz w:val="20"/>
          <w:szCs w:val="20"/>
        </w:rPr>
        <w:t xml:space="preserve"> </w:t>
      </w:r>
      <w:r w:rsidRPr="000977F7">
        <w:rPr>
          <w:rFonts w:asciiTheme="majorHAnsi" w:hAnsiTheme="majorHAnsi"/>
          <w:sz w:val="20"/>
          <w:szCs w:val="20"/>
        </w:rPr>
        <w:t>контролю</w:t>
      </w:r>
      <w:r w:rsidRPr="000977F7">
        <w:rPr>
          <w:rFonts w:asciiTheme="majorHAnsi" w:hAnsiTheme="majorHAnsi"/>
          <w:spacing w:val="21"/>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24"/>
          <w:sz w:val="20"/>
          <w:szCs w:val="20"/>
        </w:rPr>
        <w:t xml:space="preserve"> </w:t>
      </w:r>
      <w:r w:rsidRPr="000977F7">
        <w:rPr>
          <w:rFonts w:asciiTheme="majorHAnsi" w:hAnsiTheme="majorHAnsi"/>
          <w:sz w:val="20"/>
          <w:szCs w:val="20"/>
        </w:rPr>
        <w:t>безпечності</w:t>
      </w:r>
      <w:r w:rsidRPr="000977F7">
        <w:rPr>
          <w:rFonts w:asciiTheme="majorHAnsi" w:hAnsiTheme="majorHAnsi"/>
          <w:spacing w:val="22"/>
          <w:sz w:val="20"/>
          <w:szCs w:val="20"/>
        </w:rPr>
        <w:t xml:space="preserve"> </w:t>
      </w:r>
      <w:r w:rsidRPr="000977F7">
        <w:rPr>
          <w:rFonts w:asciiTheme="majorHAnsi" w:hAnsiTheme="majorHAnsi"/>
          <w:sz w:val="20"/>
          <w:szCs w:val="20"/>
        </w:rPr>
        <w:t>(ризику)</w:t>
      </w:r>
      <w:r w:rsidRPr="000977F7">
        <w:rPr>
          <w:rFonts w:asciiTheme="majorHAnsi" w:hAnsiTheme="majorHAnsi"/>
          <w:spacing w:val="21"/>
          <w:sz w:val="20"/>
          <w:szCs w:val="20"/>
        </w:rPr>
        <w:t xml:space="preserve"> </w:t>
      </w:r>
      <w:r w:rsidRPr="000977F7">
        <w:rPr>
          <w:rFonts w:asciiTheme="majorHAnsi" w:hAnsiTheme="majorHAnsi"/>
          <w:sz w:val="20"/>
          <w:szCs w:val="20"/>
        </w:rPr>
        <w:t>протягом всього циклу існування підприємства (об’єкта)</w:t>
      </w:r>
      <w:r w:rsidRPr="000977F7">
        <w:rPr>
          <w:rFonts w:asciiTheme="majorHAnsi" w:hAnsiTheme="majorHAnsi"/>
          <w:spacing w:val="1"/>
          <w:sz w:val="20"/>
          <w:szCs w:val="20"/>
        </w:rPr>
        <w:t xml:space="preserve"> </w:t>
      </w:r>
    </w:p>
    <w:p w14:paraId="55707546"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2156 - 93</w:t>
      </w:r>
    </w:p>
    <w:p w14:paraId="564FD2A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НОРМУВАННЯ</w:t>
      </w:r>
      <w:r w:rsidRPr="000977F7">
        <w:rPr>
          <w:color w:val="auto"/>
          <w:spacing w:val="-5"/>
          <w:sz w:val="20"/>
          <w:szCs w:val="20"/>
        </w:rPr>
        <w:t xml:space="preserve"> </w:t>
      </w:r>
      <w:r w:rsidRPr="000977F7">
        <w:rPr>
          <w:color w:val="auto"/>
          <w:sz w:val="20"/>
          <w:szCs w:val="20"/>
        </w:rPr>
        <w:t>НАДІЙНОСТІ</w:t>
      </w:r>
      <w:r w:rsidRPr="000977F7">
        <w:rPr>
          <w:color w:val="auto"/>
          <w:spacing w:val="44"/>
          <w:sz w:val="20"/>
          <w:szCs w:val="20"/>
        </w:rPr>
        <w:t xml:space="preserve"> </w:t>
      </w:r>
      <w:r w:rsidRPr="000977F7">
        <w:rPr>
          <w:color w:val="auto"/>
          <w:sz w:val="20"/>
          <w:szCs w:val="20"/>
        </w:rPr>
        <w:t>–</w:t>
      </w:r>
    </w:p>
    <w:p w14:paraId="4F510A7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DEPENDABILITY</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SPECIFICATION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30A46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Встановлення у нормативній та (чи) конструкторській</w:t>
      </w:r>
      <w:r w:rsidRPr="000977F7">
        <w:rPr>
          <w:rFonts w:asciiTheme="majorHAnsi" w:hAnsiTheme="majorHAnsi"/>
          <w:spacing w:val="-47"/>
          <w:sz w:val="20"/>
          <w:szCs w:val="20"/>
        </w:rPr>
        <w:t xml:space="preserve"> </w:t>
      </w:r>
      <w:r w:rsidRPr="000977F7">
        <w:rPr>
          <w:rFonts w:asciiTheme="majorHAnsi" w:hAnsiTheme="majorHAnsi"/>
          <w:sz w:val="20"/>
          <w:szCs w:val="20"/>
        </w:rPr>
        <w:t>(проектній) документації кількісних і</w:t>
      </w:r>
      <w:r w:rsidRPr="000977F7">
        <w:rPr>
          <w:rFonts w:asciiTheme="majorHAnsi" w:hAnsiTheme="majorHAnsi"/>
          <w:spacing w:val="50"/>
          <w:sz w:val="20"/>
          <w:szCs w:val="20"/>
        </w:rPr>
        <w:t xml:space="preserve"> </w:t>
      </w:r>
      <w:r w:rsidRPr="000977F7">
        <w:rPr>
          <w:rFonts w:asciiTheme="majorHAnsi" w:hAnsiTheme="majorHAnsi"/>
          <w:sz w:val="20"/>
          <w:szCs w:val="20"/>
        </w:rPr>
        <w:t>якісних вимог</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надійності</w:t>
      </w:r>
    </w:p>
    <w:p w14:paraId="6C35DDB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98889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Нормування надійності включає: вибір номенклатури</w:t>
      </w:r>
      <w:r w:rsidRPr="000977F7">
        <w:rPr>
          <w:rFonts w:asciiTheme="majorHAnsi" w:hAnsiTheme="majorHAnsi"/>
          <w:spacing w:val="1"/>
          <w:sz w:val="20"/>
          <w:szCs w:val="20"/>
        </w:rPr>
        <w:t xml:space="preserve"> </w:t>
      </w:r>
      <w:r w:rsidRPr="000977F7">
        <w:rPr>
          <w:rFonts w:asciiTheme="majorHAnsi" w:hAnsiTheme="majorHAnsi"/>
          <w:sz w:val="20"/>
          <w:szCs w:val="20"/>
        </w:rPr>
        <w:t>нормованих</w:t>
      </w:r>
      <w:r w:rsidRPr="000977F7">
        <w:rPr>
          <w:rFonts w:asciiTheme="majorHAnsi" w:hAnsiTheme="majorHAnsi"/>
          <w:spacing w:val="1"/>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1"/>
          <w:sz w:val="20"/>
          <w:szCs w:val="20"/>
        </w:rPr>
        <w:t xml:space="preserve"> </w:t>
      </w:r>
      <w:r w:rsidRPr="000977F7">
        <w:rPr>
          <w:rFonts w:asciiTheme="majorHAnsi" w:hAnsiTheme="majorHAnsi"/>
          <w:sz w:val="20"/>
          <w:szCs w:val="20"/>
        </w:rPr>
        <w:t>надійності;</w:t>
      </w:r>
      <w:r w:rsidRPr="000977F7">
        <w:rPr>
          <w:rFonts w:asciiTheme="majorHAnsi" w:hAnsiTheme="majorHAnsi"/>
          <w:spacing w:val="1"/>
          <w:sz w:val="20"/>
          <w:szCs w:val="20"/>
        </w:rPr>
        <w:t xml:space="preserve"> </w:t>
      </w:r>
      <w:r w:rsidRPr="000977F7">
        <w:rPr>
          <w:rFonts w:asciiTheme="majorHAnsi" w:hAnsiTheme="majorHAnsi"/>
          <w:sz w:val="20"/>
          <w:szCs w:val="20"/>
        </w:rPr>
        <w:t>технікоекономічне обґрунтування значень показників надійності об’єкта та його складових частин; задання вимог</w:t>
      </w:r>
      <w:r w:rsidRPr="000977F7">
        <w:rPr>
          <w:rFonts w:asciiTheme="majorHAnsi" w:hAnsiTheme="majorHAnsi"/>
          <w:spacing w:val="-47"/>
          <w:sz w:val="20"/>
          <w:szCs w:val="20"/>
        </w:rPr>
        <w:t xml:space="preserve"> </w:t>
      </w:r>
      <w:r w:rsidRPr="000977F7">
        <w:rPr>
          <w:rFonts w:asciiTheme="majorHAnsi" w:hAnsiTheme="majorHAnsi"/>
          <w:sz w:val="20"/>
          <w:szCs w:val="20"/>
        </w:rPr>
        <w:t>до точності та вірогідності вихідних даних; формулювання</w:t>
      </w:r>
      <w:r w:rsidRPr="000977F7">
        <w:rPr>
          <w:rFonts w:asciiTheme="majorHAnsi" w:hAnsiTheme="majorHAnsi"/>
          <w:spacing w:val="1"/>
          <w:sz w:val="20"/>
          <w:szCs w:val="20"/>
        </w:rPr>
        <w:t xml:space="preserve"> </w:t>
      </w:r>
      <w:r w:rsidRPr="000977F7">
        <w:rPr>
          <w:rFonts w:asciiTheme="majorHAnsi" w:hAnsiTheme="majorHAnsi"/>
          <w:sz w:val="20"/>
          <w:szCs w:val="20"/>
        </w:rPr>
        <w:t>критеріїв</w:t>
      </w:r>
      <w:r w:rsidRPr="000977F7">
        <w:rPr>
          <w:rFonts w:asciiTheme="majorHAnsi" w:hAnsiTheme="majorHAnsi"/>
          <w:spacing w:val="1"/>
          <w:sz w:val="20"/>
          <w:szCs w:val="20"/>
        </w:rPr>
        <w:t xml:space="preserve"> </w:t>
      </w:r>
      <w:r w:rsidRPr="000977F7">
        <w:rPr>
          <w:rFonts w:asciiTheme="majorHAnsi" w:hAnsiTheme="majorHAnsi"/>
          <w:sz w:val="20"/>
          <w:szCs w:val="20"/>
        </w:rPr>
        <w:t>відмов,</w:t>
      </w:r>
      <w:r w:rsidRPr="000977F7">
        <w:rPr>
          <w:rFonts w:asciiTheme="majorHAnsi" w:hAnsiTheme="majorHAnsi"/>
          <w:spacing w:val="1"/>
          <w:sz w:val="20"/>
          <w:szCs w:val="20"/>
        </w:rPr>
        <w:t xml:space="preserve"> </w:t>
      </w:r>
      <w:r w:rsidRPr="000977F7">
        <w:rPr>
          <w:rFonts w:asciiTheme="majorHAnsi" w:hAnsiTheme="majorHAnsi"/>
          <w:sz w:val="20"/>
          <w:szCs w:val="20"/>
        </w:rPr>
        <w:t>пошкоджень</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граничних</w:t>
      </w:r>
      <w:r w:rsidRPr="000977F7">
        <w:rPr>
          <w:rFonts w:asciiTheme="majorHAnsi" w:hAnsiTheme="majorHAnsi"/>
          <w:spacing w:val="1"/>
          <w:sz w:val="20"/>
          <w:szCs w:val="20"/>
        </w:rPr>
        <w:t xml:space="preserve"> </w:t>
      </w:r>
      <w:r w:rsidRPr="000977F7">
        <w:rPr>
          <w:rFonts w:asciiTheme="majorHAnsi" w:hAnsiTheme="majorHAnsi"/>
          <w:sz w:val="20"/>
          <w:szCs w:val="20"/>
        </w:rPr>
        <w:t>станів; задання вимог до методів контролю надійності</w:t>
      </w:r>
      <w:r w:rsidRPr="000977F7">
        <w:rPr>
          <w:rFonts w:asciiTheme="majorHAnsi" w:hAnsiTheme="majorHAnsi"/>
          <w:spacing w:val="-47"/>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всіх</w:t>
      </w:r>
      <w:r w:rsidRPr="000977F7">
        <w:rPr>
          <w:rFonts w:asciiTheme="majorHAnsi" w:hAnsiTheme="majorHAnsi"/>
          <w:spacing w:val="-2"/>
          <w:sz w:val="20"/>
          <w:szCs w:val="20"/>
        </w:rPr>
        <w:t xml:space="preserve"> </w:t>
      </w:r>
      <w:r w:rsidRPr="000977F7">
        <w:rPr>
          <w:rFonts w:asciiTheme="majorHAnsi" w:hAnsiTheme="majorHAnsi"/>
          <w:sz w:val="20"/>
          <w:szCs w:val="20"/>
        </w:rPr>
        <w:t>етапах</w:t>
      </w:r>
      <w:r w:rsidRPr="000977F7">
        <w:rPr>
          <w:rFonts w:asciiTheme="majorHAnsi" w:hAnsiTheme="majorHAnsi"/>
          <w:spacing w:val="1"/>
          <w:sz w:val="20"/>
          <w:szCs w:val="20"/>
        </w:rPr>
        <w:t xml:space="preserve"> </w:t>
      </w:r>
      <w:r w:rsidRPr="000977F7">
        <w:rPr>
          <w:rFonts w:asciiTheme="majorHAnsi" w:hAnsiTheme="majorHAnsi"/>
          <w:sz w:val="20"/>
          <w:szCs w:val="20"/>
        </w:rPr>
        <w:t>життєвого циклу</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360D1ED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065352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НОУ-ХАУ-</w:t>
      </w:r>
    </w:p>
    <w:p w14:paraId="35B546ED"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Повністю або частково конфіденційні знання, включно відомості технічного, економічного, адміністративного та фінансового</w:t>
      </w:r>
      <w:r w:rsidRPr="000977F7">
        <w:rPr>
          <w:b w:val="0"/>
          <w:bCs/>
          <w:color w:val="auto"/>
          <w:spacing w:val="1"/>
          <w:sz w:val="20"/>
          <w:szCs w:val="20"/>
        </w:rPr>
        <w:t xml:space="preserve"> </w:t>
      </w:r>
      <w:r w:rsidRPr="000977F7">
        <w:rPr>
          <w:b w:val="0"/>
          <w:bCs/>
          <w:color w:val="auto"/>
          <w:sz w:val="20"/>
          <w:szCs w:val="20"/>
        </w:rPr>
        <w:t>характеру,</w:t>
      </w:r>
      <w:r w:rsidRPr="000977F7">
        <w:rPr>
          <w:b w:val="0"/>
          <w:bCs/>
          <w:color w:val="auto"/>
          <w:spacing w:val="1"/>
          <w:sz w:val="20"/>
          <w:szCs w:val="20"/>
        </w:rPr>
        <w:t xml:space="preserve"> </w:t>
      </w:r>
      <w:r w:rsidRPr="000977F7">
        <w:rPr>
          <w:b w:val="0"/>
          <w:bCs/>
          <w:color w:val="auto"/>
          <w:sz w:val="20"/>
          <w:szCs w:val="20"/>
        </w:rPr>
        <w:t>використання яких</w:t>
      </w:r>
      <w:r w:rsidRPr="000977F7">
        <w:rPr>
          <w:b w:val="0"/>
          <w:bCs/>
          <w:color w:val="auto"/>
          <w:spacing w:val="1"/>
          <w:sz w:val="20"/>
          <w:szCs w:val="20"/>
        </w:rPr>
        <w:t xml:space="preserve"> </w:t>
      </w:r>
      <w:r w:rsidRPr="000977F7">
        <w:rPr>
          <w:b w:val="0"/>
          <w:bCs/>
          <w:color w:val="auto"/>
          <w:sz w:val="20"/>
          <w:szCs w:val="20"/>
        </w:rPr>
        <w:t>забезпечує</w:t>
      </w:r>
      <w:r w:rsidRPr="000977F7">
        <w:rPr>
          <w:b w:val="0"/>
          <w:bCs/>
          <w:color w:val="auto"/>
          <w:spacing w:val="1"/>
          <w:sz w:val="20"/>
          <w:szCs w:val="20"/>
        </w:rPr>
        <w:t xml:space="preserve"> </w:t>
      </w:r>
      <w:r w:rsidRPr="000977F7">
        <w:rPr>
          <w:b w:val="0"/>
          <w:bCs/>
          <w:color w:val="auto"/>
          <w:sz w:val="20"/>
          <w:szCs w:val="20"/>
        </w:rPr>
        <w:t>певні</w:t>
      </w:r>
      <w:r w:rsidRPr="000977F7">
        <w:rPr>
          <w:b w:val="0"/>
          <w:bCs/>
          <w:color w:val="auto"/>
          <w:spacing w:val="-2"/>
          <w:sz w:val="20"/>
          <w:szCs w:val="20"/>
        </w:rPr>
        <w:t xml:space="preserve"> </w:t>
      </w:r>
      <w:r w:rsidRPr="000977F7">
        <w:rPr>
          <w:b w:val="0"/>
          <w:bCs/>
          <w:color w:val="auto"/>
          <w:sz w:val="20"/>
          <w:szCs w:val="20"/>
        </w:rPr>
        <w:t>переваги</w:t>
      </w:r>
      <w:r w:rsidRPr="000977F7">
        <w:rPr>
          <w:b w:val="0"/>
          <w:bCs/>
          <w:color w:val="auto"/>
          <w:spacing w:val="-2"/>
          <w:sz w:val="20"/>
          <w:szCs w:val="20"/>
        </w:rPr>
        <w:t xml:space="preserve"> </w:t>
      </w:r>
      <w:r w:rsidRPr="000977F7">
        <w:rPr>
          <w:b w:val="0"/>
          <w:bCs/>
          <w:color w:val="auto"/>
          <w:sz w:val="20"/>
          <w:szCs w:val="20"/>
        </w:rPr>
        <w:t>особі,</w:t>
      </w:r>
      <w:r w:rsidRPr="000977F7">
        <w:rPr>
          <w:b w:val="0"/>
          <w:bCs/>
          <w:color w:val="auto"/>
          <w:spacing w:val="-1"/>
          <w:sz w:val="20"/>
          <w:szCs w:val="20"/>
        </w:rPr>
        <w:t xml:space="preserve"> </w:t>
      </w:r>
      <w:r w:rsidRPr="000977F7">
        <w:rPr>
          <w:b w:val="0"/>
          <w:bCs/>
          <w:color w:val="auto"/>
          <w:sz w:val="20"/>
          <w:szCs w:val="20"/>
        </w:rPr>
        <w:t>яка</w:t>
      </w:r>
      <w:r w:rsidRPr="000977F7">
        <w:rPr>
          <w:b w:val="0"/>
          <w:bCs/>
          <w:color w:val="auto"/>
          <w:spacing w:val="-1"/>
          <w:sz w:val="20"/>
          <w:szCs w:val="20"/>
        </w:rPr>
        <w:t xml:space="preserve"> </w:t>
      </w:r>
      <w:r w:rsidRPr="000977F7">
        <w:rPr>
          <w:b w:val="0"/>
          <w:bCs/>
          <w:color w:val="auto"/>
          <w:sz w:val="20"/>
          <w:szCs w:val="20"/>
        </w:rPr>
        <w:t>їх</w:t>
      </w:r>
      <w:r w:rsidRPr="000977F7">
        <w:rPr>
          <w:b w:val="0"/>
          <w:bCs/>
          <w:color w:val="auto"/>
          <w:spacing w:val="-3"/>
          <w:sz w:val="20"/>
          <w:szCs w:val="20"/>
        </w:rPr>
        <w:t xml:space="preserve"> </w:t>
      </w:r>
      <w:r w:rsidRPr="000977F7">
        <w:rPr>
          <w:b w:val="0"/>
          <w:bCs/>
          <w:color w:val="auto"/>
          <w:sz w:val="20"/>
          <w:szCs w:val="20"/>
        </w:rPr>
        <w:t>отримала</w:t>
      </w:r>
    </w:p>
    <w:p w14:paraId="066ED48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НУЛЬОВИЙ</w:t>
      </w:r>
      <w:r w:rsidRPr="000977F7">
        <w:rPr>
          <w:color w:val="auto"/>
          <w:spacing w:val="-3"/>
          <w:sz w:val="20"/>
          <w:szCs w:val="20"/>
        </w:rPr>
        <w:t xml:space="preserve"> </w:t>
      </w:r>
      <w:r w:rsidRPr="000977F7">
        <w:rPr>
          <w:color w:val="auto"/>
          <w:sz w:val="20"/>
          <w:szCs w:val="20"/>
        </w:rPr>
        <w:t>ПОЧАТКОВИЙ</w:t>
      </w:r>
      <w:r w:rsidRPr="000977F7">
        <w:rPr>
          <w:color w:val="auto"/>
          <w:spacing w:val="-2"/>
          <w:sz w:val="20"/>
          <w:szCs w:val="20"/>
        </w:rPr>
        <w:t xml:space="preserve"> </w:t>
      </w:r>
      <w:r w:rsidRPr="000977F7">
        <w:rPr>
          <w:color w:val="auto"/>
          <w:sz w:val="20"/>
          <w:szCs w:val="20"/>
        </w:rPr>
        <w:t>СТАН-</w:t>
      </w:r>
    </w:p>
    <w:p w14:paraId="64DD18F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ZERO</w:t>
      </w:r>
      <w:r w:rsidRPr="004D2D14">
        <w:rPr>
          <w:rFonts w:asciiTheme="majorHAnsi" w:hAnsiTheme="majorHAnsi"/>
          <w:spacing w:val="-2"/>
          <w:sz w:val="20"/>
          <w:szCs w:val="20"/>
          <w:lang w:val="uk-UA"/>
        </w:rPr>
        <w:t xml:space="preserve"> </w:t>
      </w:r>
      <w:r w:rsidRPr="000977F7">
        <w:rPr>
          <w:rFonts w:asciiTheme="majorHAnsi" w:hAnsiTheme="majorHAnsi"/>
          <w:sz w:val="20"/>
          <w:szCs w:val="20"/>
        </w:rPr>
        <w:t>INITIAL</w:t>
      </w:r>
      <w:r w:rsidRPr="004D2D14">
        <w:rPr>
          <w:rFonts w:asciiTheme="majorHAnsi" w:hAnsiTheme="majorHAnsi"/>
          <w:spacing w:val="-3"/>
          <w:sz w:val="20"/>
          <w:szCs w:val="20"/>
          <w:lang w:val="uk-UA"/>
        </w:rPr>
        <w:t xml:space="preserve"> </w:t>
      </w:r>
      <w:r w:rsidRPr="000977F7">
        <w:rPr>
          <w:rFonts w:asciiTheme="majorHAnsi" w:hAnsiTheme="majorHAnsi"/>
          <w:sz w:val="20"/>
          <w:szCs w:val="20"/>
        </w:rPr>
        <w:t>STATE</w:t>
      </w:r>
      <w:r w:rsidRPr="004D2D14">
        <w:rPr>
          <w:rFonts w:asciiTheme="majorHAnsi" w:hAnsiTheme="majorHAnsi"/>
          <w:sz w:val="20"/>
          <w:szCs w:val="20"/>
          <w:lang w:val="uk-UA"/>
        </w:rPr>
        <w:t>-</w:t>
      </w:r>
    </w:p>
    <w:p w14:paraId="11146D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Початковий стан об’єкта, за якого значення його параметрів приймають за початкові, а всі їхні похідні від</w:t>
      </w:r>
      <w:r w:rsidRPr="000977F7">
        <w:rPr>
          <w:rFonts w:asciiTheme="majorHAnsi" w:hAnsiTheme="majorHAnsi"/>
          <w:spacing w:val="-47"/>
          <w:sz w:val="20"/>
          <w:szCs w:val="20"/>
        </w:rPr>
        <w:t xml:space="preserve"> </w:t>
      </w:r>
      <w:r w:rsidRPr="000977F7">
        <w:rPr>
          <w:rFonts w:asciiTheme="majorHAnsi" w:hAnsiTheme="majorHAnsi"/>
          <w:sz w:val="20"/>
          <w:szCs w:val="20"/>
        </w:rPr>
        <w:t>часу</w:t>
      </w:r>
      <w:r w:rsidRPr="000977F7">
        <w:rPr>
          <w:rFonts w:asciiTheme="majorHAnsi" w:hAnsiTheme="majorHAnsi"/>
          <w:spacing w:val="-5"/>
          <w:sz w:val="20"/>
          <w:szCs w:val="20"/>
        </w:rPr>
        <w:t xml:space="preserve"> </w:t>
      </w:r>
      <w:r w:rsidRPr="000977F7">
        <w:rPr>
          <w:rFonts w:asciiTheme="majorHAnsi" w:hAnsiTheme="majorHAnsi"/>
          <w:sz w:val="20"/>
          <w:szCs w:val="20"/>
        </w:rPr>
        <w:t>дорівнюють</w:t>
      </w:r>
      <w:r w:rsidRPr="000977F7">
        <w:rPr>
          <w:rFonts w:asciiTheme="majorHAnsi" w:hAnsiTheme="majorHAnsi"/>
          <w:spacing w:val="2"/>
          <w:sz w:val="20"/>
          <w:szCs w:val="20"/>
        </w:rPr>
        <w:t xml:space="preserve"> </w:t>
      </w:r>
      <w:r w:rsidRPr="000977F7">
        <w:rPr>
          <w:rFonts w:asciiTheme="majorHAnsi" w:hAnsiTheme="majorHAnsi"/>
          <w:sz w:val="20"/>
          <w:szCs w:val="20"/>
        </w:rPr>
        <w:t>нулю</w:t>
      </w:r>
    </w:p>
    <w:p w14:paraId="57C2BE9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65171D1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sectPr w:rsidR="0097612F" w:rsidRPr="000977F7" w:rsidSect="000977F7">
          <w:type w:val="continuous"/>
          <w:pgSz w:w="11910" w:h="16840"/>
          <w:pgMar w:top="800" w:right="380" w:bottom="960" w:left="1000" w:header="0" w:footer="751" w:gutter="0"/>
          <w:cols w:num="2" w:space="454"/>
        </w:sectPr>
      </w:pPr>
    </w:p>
    <w:p w14:paraId="42C3106F" w14:textId="77777777" w:rsidR="0097612F" w:rsidRPr="000F35DA" w:rsidRDefault="0097612F" w:rsidP="000F35DA">
      <w:pPr>
        <w:pStyle w:val="1"/>
        <w:rPr>
          <w:lang w:val="uk-UA"/>
        </w:rPr>
        <w:sectPr w:rsidR="0097612F" w:rsidRPr="000F35DA" w:rsidSect="000977F7">
          <w:pgSz w:w="11910" w:h="16840"/>
          <w:pgMar w:top="800" w:right="380" w:bottom="960" w:left="1000" w:header="0" w:footer="751" w:gutter="0"/>
          <w:cols w:num="2" w:space="454"/>
        </w:sectPr>
      </w:pPr>
      <w:bookmarkStart w:id="153" w:name="_Toc132629640"/>
      <w:r w:rsidRPr="000F35DA">
        <w:rPr>
          <w:lang w:val="uk-UA"/>
        </w:rPr>
        <w:lastRenderedPageBreak/>
        <w:t>О</w:t>
      </w:r>
      <w:bookmarkEnd w:id="153"/>
    </w:p>
    <w:p w14:paraId="505A4472"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ОБГРУНТОВАНО ПЕРЕДБАЧУВАНЕ ЗАСТОСУВАННЯ МАШИНИ НЕ ЗА ПРИЗНАЧЕННЯМ –</w:t>
      </w:r>
    </w:p>
    <w:p w14:paraId="3200A64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Використання машини у такий спосіб, який не передбачено в інструкціях, але який можна легко передбачити, враховуючи поведінку людини;</w:t>
      </w:r>
    </w:p>
    <w:p w14:paraId="5DF6C11C"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безпеки машин</w:t>
      </w:r>
    </w:p>
    <w:p w14:paraId="5E5B438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w w:val="95"/>
          <w:sz w:val="20"/>
          <w:szCs w:val="20"/>
        </w:rPr>
        <w:t>ОБҐРУНТУВАННЯ</w:t>
      </w:r>
      <w:r w:rsidRPr="000977F7">
        <w:rPr>
          <w:color w:val="auto"/>
          <w:spacing w:val="20"/>
          <w:w w:val="95"/>
          <w:sz w:val="20"/>
          <w:szCs w:val="20"/>
        </w:rPr>
        <w:t xml:space="preserve"> </w:t>
      </w:r>
      <w:r w:rsidRPr="000977F7">
        <w:rPr>
          <w:color w:val="auto"/>
          <w:w w:val="95"/>
          <w:sz w:val="20"/>
          <w:szCs w:val="20"/>
        </w:rPr>
        <w:t>ГІГІЄНІЧНИХ</w:t>
      </w:r>
      <w:r w:rsidRPr="000977F7">
        <w:rPr>
          <w:color w:val="auto"/>
          <w:spacing w:val="24"/>
          <w:w w:val="95"/>
          <w:sz w:val="20"/>
          <w:szCs w:val="20"/>
        </w:rPr>
        <w:t xml:space="preserve"> </w:t>
      </w:r>
      <w:r w:rsidRPr="000977F7">
        <w:rPr>
          <w:color w:val="auto"/>
          <w:w w:val="95"/>
          <w:sz w:val="20"/>
          <w:szCs w:val="20"/>
        </w:rPr>
        <w:t>НОРМАТИВІВ</w:t>
      </w:r>
      <w:r w:rsidRPr="000977F7">
        <w:rPr>
          <w:color w:val="auto"/>
          <w:spacing w:val="22"/>
          <w:w w:val="95"/>
          <w:sz w:val="20"/>
          <w:szCs w:val="20"/>
        </w:rPr>
        <w:t xml:space="preserve"> </w:t>
      </w:r>
      <w:r w:rsidRPr="000977F7">
        <w:rPr>
          <w:color w:val="auto"/>
          <w:w w:val="95"/>
          <w:sz w:val="20"/>
          <w:szCs w:val="20"/>
        </w:rPr>
        <w:t>–</w:t>
      </w:r>
    </w:p>
    <w:p w14:paraId="6E3ABBF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SUBSTANTIATION</w:t>
      </w:r>
      <w:r w:rsidRPr="004D2D14">
        <w:rPr>
          <w:rFonts w:asciiTheme="majorHAnsi" w:hAnsiTheme="majorHAnsi"/>
          <w:spacing w:val="-3"/>
          <w:sz w:val="20"/>
          <w:szCs w:val="20"/>
          <w:lang w:val="uk-UA"/>
        </w:rPr>
        <w:t xml:space="preserve"> </w:t>
      </w:r>
      <w:r w:rsidRPr="000977F7">
        <w:rPr>
          <w:rFonts w:asciiTheme="majorHAnsi" w:hAnsiTheme="majorHAnsi"/>
          <w:sz w:val="20"/>
          <w:szCs w:val="20"/>
        </w:rPr>
        <w:t>OF</w:t>
      </w:r>
      <w:r w:rsidRPr="004D2D14">
        <w:rPr>
          <w:rFonts w:asciiTheme="majorHAnsi" w:hAnsiTheme="majorHAnsi"/>
          <w:spacing w:val="-3"/>
          <w:sz w:val="20"/>
          <w:szCs w:val="20"/>
          <w:lang w:val="uk-UA"/>
        </w:rPr>
        <w:t xml:space="preserve"> </w:t>
      </w:r>
      <w:r w:rsidRPr="000977F7">
        <w:rPr>
          <w:rFonts w:asciiTheme="majorHAnsi" w:hAnsiTheme="majorHAnsi"/>
          <w:sz w:val="20"/>
          <w:szCs w:val="20"/>
        </w:rPr>
        <w:t>STANDARDS</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5E4A648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pacing w:val="-1"/>
          <w:sz w:val="20"/>
          <w:szCs w:val="20"/>
          <w:lang w:val="uk-UA"/>
        </w:rPr>
        <w:t>Визначення</w:t>
      </w:r>
      <w:r w:rsidRPr="004D2D14">
        <w:rPr>
          <w:rFonts w:asciiTheme="majorHAnsi" w:hAnsiTheme="majorHAnsi"/>
          <w:spacing w:val="-9"/>
          <w:sz w:val="20"/>
          <w:szCs w:val="20"/>
          <w:lang w:val="uk-UA"/>
        </w:rPr>
        <w:t xml:space="preserve"> </w:t>
      </w:r>
      <w:r w:rsidRPr="004D2D14">
        <w:rPr>
          <w:rFonts w:asciiTheme="majorHAnsi" w:hAnsiTheme="majorHAnsi"/>
          <w:spacing w:val="-1"/>
          <w:sz w:val="20"/>
          <w:szCs w:val="20"/>
          <w:lang w:val="uk-UA"/>
        </w:rPr>
        <w:t>величини</w:t>
      </w:r>
      <w:r w:rsidRPr="004D2D14">
        <w:rPr>
          <w:rFonts w:asciiTheme="majorHAnsi" w:hAnsiTheme="majorHAnsi"/>
          <w:spacing w:val="-10"/>
          <w:sz w:val="20"/>
          <w:szCs w:val="20"/>
          <w:lang w:val="uk-UA"/>
        </w:rPr>
        <w:t xml:space="preserve"> </w:t>
      </w:r>
      <w:r w:rsidRPr="004D2D14">
        <w:rPr>
          <w:rFonts w:asciiTheme="majorHAnsi" w:hAnsiTheme="majorHAnsi"/>
          <w:spacing w:val="-1"/>
          <w:sz w:val="20"/>
          <w:szCs w:val="20"/>
          <w:lang w:val="uk-UA"/>
        </w:rPr>
        <w:t>гігієнічного</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нормативу</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основі</w:t>
      </w:r>
      <w:r w:rsidRPr="004D2D14">
        <w:rPr>
          <w:rFonts w:asciiTheme="majorHAnsi" w:hAnsiTheme="majorHAnsi"/>
          <w:spacing w:val="-48"/>
          <w:sz w:val="20"/>
          <w:szCs w:val="20"/>
          <w:lang w:val="uk-UA"/>
        </w:rPr>
        <w:t xml:space="preserve"> </w:t>
      </w:r>
      <w:r w:rsidRPr="004D2D14">
        <w:rPr>
          <w:rFonts w:asciiTheme="majorHAnsi" w:hAnsiTheme="majorHAnsi"/>
          <w:sz w:val="20"/>
          <w:szCs w:val="20"/>
          <w:lang w:val="uk-UA"/>
        </w:rPr>
        <w:t>експериментальних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епідеміологічних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досліджень</w:t>
      </w:r>
      <w:r w:rsidRPr="004D2D14">
        <w:rPr>
          <w:rFonts w:asciiTheme="majorHAnsi" w:hAnsiTheme="majorHAnsi"/>
          <w:spacing w:val="1"/>
          <w:sz w:val="20"/>
          <w:szCs w:val="20"/>
          <w:lang w:val="uk-UA"/>
        </w:rPr>
        <w:t xml:space="preserve"> </w:t>
      </w:r>
      <w:r w:rsidRPr="004D2D14">
        <w:rPr>
          <w:rFonts w:asciiTheme="majorHAnsi" w:hAnsiTheme="majorHAnsi"/>
          <w:spacing w:val="-1"/>
          <w:sz w:val="20"/>
          <w:szCs w:val="20"/>
          <w:lang w:val="uk-UA"/>
        </w:rPr>
        <w:t>біологічного</w:t>
      </w:r>
      <w:r w:rsidRPr="004D2D14">
        <w:rPr>
          <w:rFonts w:asciiTheme="majorHAnsi" w:hAnsiTheme="majorHAnsi"/>
          <w:spacing w:val="-10"/>
          <w:sz w:val="20"/>
          <w:szCs w:val="20"/>
          <w:lang w:val="uk-UA"/>
        </w:rPr>
        <w:t xml:space="preserve"> </w:t>
      </w:r>
      <w:r w:rsidRPr="004D2D14">
        <w:rPr>
          <w:rFonts w:asciiTheme="majorHAnsi" w:hAnsiTheme="majorHAnsi"/>
          <w:spacing w:val="-1"/>
          <w:sz w:val="20"/>
          <w:szCs w:val="20"/>
          <w:lang w:val="uk-UA"/>
        </w:rPr>
        <w:t>впливу</w:t>
      </w:r>
      <w:r w:rsidRPr="004D2D14">
        <w:rPr>
          <w:rFonts w:asciiTheme="majorHAnsi" w:hAnsiTheme="majorHAnsi"/>
          <w:spacing w:val="-11"/>
          <w:sz w:val="20"/>
          <w:szCs w:val="20"/>
          <w:lang w:val="uk-UA"/>
        </w:rPr>
        <w:t xml:space="preserve"> </w:t>
      </w:r>
      <w:r w:rsidRPr="004D2D14">
        <w:rPr>
          <w:rFonts w:asciiTheme="majorHAnsi" w:hAnsiTheme="majorHAnsi"/>
          <w:spacing w:val="-1"/>
          <w:sz w:val="20"/>
          <w:szCs w:val="20"/>
          <w:lang w:val="uk-UA"/>
        </w:rPr>
        <w:t>повного</w:t>
      </w:r>
      <w:r w:rsidRPr="004D2D14">
        <w:rPr>
          <w:rFonts w:asciiTheme="majorHAnsi" w:hAnsiTheme="majorHAnsi"/>
          <w:spacing w:val="-8"/>
          <w:sz w:val="20"/>
          <w:szCs w:val="20"/>
          <w:lang w:val="uk-UA"/>
        </w:rPr>
        <w:t xml:space="preserve"> </w:t>
      </w:r>
      <w:r w:rsidRPr="004D2D14">
        <w:rPr>
          <w:rFonts w:asciiTheme="majorHAnsi" w:hAnsiTheme="majorHAnsi"/>
          <w:spacing w:val="-1"/>
          <w:sz w:val="20"/>
          <w:szCs w:val="20"/>
          <w:lang w:val="uk-UA"/>
        </w:rPr>
        <w:t>агента</w:t>
      </w:r>
      <w:r w:rsidRPr="004D2D14">
        <w:rPr>
          <w:rFonts w:asciiTheme="majorHAnsi" w:hAnsiTheme="majorHAnsi"/>
          <w:spacing w:val="-9"/>
          <w:sz w:val="20"/>
          <w:szCs w:val="20"/>
          <w:lang w:val="uk-UA"/>
        </w:rPr>
        <w:t xml:space="preserve"> </w:t>
      </w:r>
      <w:r w:rsidRPr="004D2D14">
        <w:rPr>
          <w:rFonts w:asciiTheme="majorHAnsi" w:hAnsiTheme="majorHAnsi"/>
          <w:spacing w:val="-1"/>
          <w:sz w:val="20"/>
          <w:szCs w:val="20"/>
          <w:lang w:val="uk-UA"/>
        </w:rPr>
        <w:t>на</w:t>
      </w:r>
      <w:r w:rsidRPr="004D2D14">
        <w:rPr>
          <w:rFonts w:asciiTheme="majorHAnsi" w:hAnsiTheme="majorHAnsi"/>
          <w:spacing w:val="-11"/>
          <w:sz w:val="20"/>
          <w:szCs w:val="20"/>
          <w:lang w:val="uk-UA"/>
        </w:rPr>
        <w:t xml:space="preserve"> </w:t>
      </w:r>
      <w:r w:rsidRPr="004D2D14">
        <w:rPr>
          <w:rFonts w:asciiTheme="majorHAnsi" w:hAnsiTheme="majorHAnsi"/>
          <w:spacing w:val="-1"/>
          <w:sz w:val="20"/>
          <w:szCs w:val="20"/>
          <w:lang w:val="uk-UA"/>
        </w:rPr>
        <w:t>організм</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його</w:t>
      </w:r>
      <w:r w:rsidRPr="004D2D14">
        <w:rPr>
          <w:rFonts w:asciiTheme="majorHAnsi" w:hAnsiTheme="majorHAnsi"/>
          <w:spacing w:val="-48"/>
          <w:sz w:val="20"/>
          <w:szCs w:val="20"/>
          <w:lang w:val="uk-UA"/>
        </w:rPr>
        <w:t xml:space="preserve"> </w:t>
      </w:r>
      <w:r w:rsidRPr="004D2D14">
        <w:rPr>
          <w:rFonts w:asciiTheme="majorHAnsi" w:hAnsiTheme="majorHAnsi"/>
          <w:sz w:val="20"/>
          <w:szCs w:val="20"/>
          <w:lang w:val="uk-UA"/>
        </w:rPr>
        <w:t>вплив</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стан</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навколишнього</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середовища</w:t>
      </w:r>
    </w:p>
    <w:p w14:paraId="66FF488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3038 - 95</w:t>
      </w:r>
    </w:p>
    <w:p w14:paraId="6A8DAFA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ОБЕРТАННЯ</w:t>
      </w:r>
      <w:r w:rsidRPr="000977F7">
        <w:rPr>
          <w:color w:val="auto"/>
          <w:spacing w:val="-5"/>
          <w:sz w:val="20"/>
          <w:szCs w:val="20"/>
        </w:rPr>
        <w:t xml:space="preserve"> </w:t>
      </w:r>
      <w:r w:rsidRPr="000977F7">
        <w:rPr>
          <w:color w:val="auto"/>
          <w:sz w:val="20"/>
          <w:szCs w:val="20"/>
        </w:rPr>
        <w:t>ПРОДУКЦІЇ-</w:t>
      </w:r>
    </w:p>
    <w:p w14:paraId="58980F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6"/>
          <w:sz w:val="20"/>
          <w:szCs w:val="20"/>
        </w:rPr>
        <w:t xml:space="preserve"> </w:t>
      </w:r>
      <w:r w:rsidRPr="000977F7">
        <w:rPr>
          <w:rFonts w:asciiTheme="majorHAnsi" w:hAnsiTheme="majorHAnsi"/>
          <w:sz w:val="20"/>
          <w:szCs w:val="20"/>
        </w:rPr>
        <w:t>життєвого</w:t>
      </w:r>
      <w:r w:rsidRPr="000977F7">
        <w:rPr>
          <w:rFonts w:asciiTheme="majorHAnsi" w:hAnsiTheme="majorHAnsi"/>
          <w:spacing w:val="-4"/>
          <w:sz w:val="20"/>
          <w:szCs w:val="20"/>
        </w:rPr>
        <w:t xml:space="preserve"> </w:t>
      </w:r>
      <w:r w:rsidRPr="000977F7">
        <w:rPr>
          <w:rFonts w:asciiTheme="majorHAnsi" w:hAnsiTheme="majorHAnsi"/>
          <w:sz w:val="20"/>
          <w:szCs w:val="20"/>
        </w:rPr>
        <w:t>циклу</w:t>
      </w:r>
      <w:r w:rsidRPr="000977F7">
        <w:rPr>
          <w:rFonts w:asciiTheme="majorHAnsi" w:hAnsiTheme="majorHAnsi"/>
          <w:spacing w:val="-6"/>
          <w:sz w:val="20"/>
          <w:szCs w:val="20"/>
        </w:rPr>
        <w:t xml:space="preserve"> </w:t>
      </w:r>
      <w:r w:rsidRPr="000977F7">
        <w:rPr>
          <w:rFonts w:asciiTheme="majorHAnsi" w:hAnsiTheme="majorHAnsi"/>
          <w:sz w:val="20"/>
          <w:szCs w:val="20"/>
        </w:rPr>
        <w:t>продукції</w:t>
      </w:r>
      <w:r w:rsidRPr="000977F7">
        <w:rPr>
          <w:rFonts w:asciiTheme="majorHAnsi" w:hAnsiTheme="majorHAnsi"/>
          <w:spacing w:val="-5"/>
          <w:sz w:val="20"/>
          <w:szCs w:val="20"/>
        </w:rPr>
        <w:t xml:space="preserve"> </w:t>
      </w:r>
      <w:r w:rsidRPr="000977F7">
        <w:rPr>
          <w:rFonts w:asciiTheme="majorHAnsi" w:hAnsiTheme="majorHAnsi"/>
          <w:sz w:val="20"/>
          <w:szCs w:val="20"/>
        </w:rPr>
        <w:t>від</w:t>
      </w:r>
      <w:r w:rsidRPr="000977F7">
        <w:rPr>
          <w:rFonts w:asciiTheme="majorHAnsi" w:hAnsiTheme="majorHAnsi"/>
          <w:spacing w:val="-6"/>
          <w:sz w:val="20"/>
          <w:szCs w:val="20"/>
        </w:rPr>
        <w:t xml:space="preserve"> </w:t>
      </w:r>
      <w:r w:rsidRPr="000977F7">
        <w:rPr>
          <w:rFonts w:asciiTheme="majorHAnsi" w:hAnsiTheme="majorHAnsi"/>
          <w:sz w:val="20"/>
          <w:szCs w:val="20"/>
        </w:rPr>
        <w:t>відвантаження</w:t>
      </w:r>
      <w:r w:rsidRPr="000977F7">
        <w:rPr>
          <w:rFonts w:asciiTheme="majorHAnsi" w:hAnsiTheme="majorHAnsi"/>
          <w:spacing w:val="-47"/>
          <w:sz w:val="20"/>
          <w:szCs w:val="20"/>
        </w:rPr>
        <w:t xml:space="preserve"> </w:t>
      </w:r>
      <w:r w:rsidRPr="000977F7">
        <w:rPr>
          <w:rFonts w:asciiTheme="majorHAnsi" w:hAnsiTheme="majorHAnsi"/>
          <w:sz w:val="20"/>
          <w:szCs w:val="20"/>
        </w:rPr>
        <w:t>її підприємством – виготовлювачем до отримання</w:t>
      </w:r>
      <w:r w:rsidRPr="000977F7">
        <w:rPr>
          <w:rFonts w:asciiTheme="majorHAnsi" w:hAnsiTheme="majorHAnsi"/>
          <w:spacing w:val="1"/>
          <w:sz w:val="20"/>
          <w:szCs w:val="20"/>
        </w:rPr>
        <w:t xml:space="preserve"> </w:t>
      </w:r>
      <w:r w:rsidRPr="000977F7">
        <w:rPr>
          <w:rFonts w:asciiTheme="majorHAnsi" w:hAnsiTheme="majorHAnsi"/>
          <w:sz w:val="20"/>
          <w:szCs w:val="20"/>
        </w:rPr>
        <w:t>споживачем</w:t>
      </w:r>
    </w:p>
    <w:p w14:paraId="5C99806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ОБ’ЄДНАНА</w:t>
      </w:r>
      <w:r w:rsidRPr="000977F7">
        <w:rPr>
          <w:color w:val="auto"/>
          <w:spacing w:val="-5"/>
          <w:sz w:val="20"/>
          <w:szCs w:val="20"/>
        </w:rPr>
        <w:t xml:space="preserve"> </w:t>
      </w:r>
      <w:r w:rsidRPr="000977F7">
        <w:rPr>
          <w:color w:val="auto"/>
          <w:sz w:val="20"/>
          <w:szCs w:val="20"/>
        </w:rPr>
        <w:t>ВИБІРКА</w:t>
      </w:r>
      <w:r w:rsidRPr="000977F7">
        <w:rPr>
          <w:color w:val="auto"/>
          <w:spacing w:val="-3"/>
          <w:sz w:val="20"/>
          <w:szCs w:val="20"/>
        </w:rPr>
        <w:t xml:space="preserve"> </w:t>
      </w:r>
      <w:r w:rsidRPr="000977F7">
        <w:rPr>
          <w:color w:val="auto"/>
          <w:sz w:val="20"/>
          <w:szCs w:val="20"/>
        </w:rPr>
        <w:t>–</w:t>
      </w:r>
    </w:p>
    <w:p w14:paraId="07E06DC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GROSS</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SAMPLE;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BULK</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SAMPLE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47E11EA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Вибірка</w:t>
      </w:r>
      <w:r w:rsidRPr="004D2D14">
        <w:rPr>
          <w:rFonts w:asciiTheme="majorHAnsi" w:hAnsiTheme="majorHAnsi"/>
          <w:sz w:val="20"/>
          <w:szCs w:val="20"/>
          <w:lang w:val="en-US"/>
        </w:rPr>
        <w:t>,</w:t>
      </w:r>
      <w:r w:rsidRPr="004D2D14">
        <w:rPr>
          <w:rFonts w:asciiTheme="majorHAnsi" w:hAnsiTheme="majorHAnsi"/>
          <w:spacing w:val="-2"/>
          <w:sz w:val="20"/>
          <w:szCs w:val="20"/>
          <w:lang w:val="en-US"/>
        </w:rPr>
        <w:t xml:space="preserve"> </w:t>
      </w:r>
      <w:r w:rsidRPr="000977F7">
        <w:rPr>
          <w:rFonts w:asciiTheme="majorHAnsi" w:hAnsiTheme="majorHAnsi"/>
          <w:sz w:val="20"/>
          <w:szCs w:val="20"/>
        </w:rPr>
        <w:t>що</w:t>
      </w:r>
      <w:r w:rsidRPr="004D2D14">
        <w:rPr>
          <w:rFonts w:asciiTheme="majorHAnsi" w:hAnsiTheme="majorHAnsi"/>
          <w:spacing w:val="-2"/>
          <w:sz w:val="20"/>
          <w:szCs w:val="20"/>
          <w:lang w:val="en-US"/>
        </w:rPr>
        <w:t xml:space="preserve"> </w:t>
      </w:r>
      <w:r w:rsidRPr="000977F7">
        <w:rPr>
          <w:rFonts w:asciiTheme="majorHAnsi" w:hAnsiTheme="majorHAnsi"/>
          <w:sz w:val="20"/>
          <w:szCs w:val="20"/>
        </w:rPr>
        <w:t>складена</w:t>
      </w:r>
      <w:r w:rsidRPr="004D2D14">
        <w:rPr>
          <w:rFonts w:asciiTheme="majorHAnsi" w:hAnsiTheme="majorHAnsi"/>
          <w:spacing w:val="-3"/>
          <w:sz w:val="20"/>
          <w:szCs w:val="20"/>
          <w:lang w:val="en-US"/>
        </w:rPr>
        <w:t xml:space="preserve"> </w:t>
      </w:r>
      <w:r w:rsidRPr="000977F7">
        <w:rPr>
          <w:rFonts w:asciiTheme="majorHAnsi" w:hAnsiTheme="majorHAnsi"/>
          <w:sz w:val="20"/>
          <w:szCs w:val="20"/>
        </w:rPr>
        <w:t>з</w:t>
      </w:r>
      <w:r w:rsidRPr="004D2D14">
        <w:rPr>
          <w:rFonts w:asciiTheme="majorHAnsi" w:hAnsiTheme="majorHAnsi"/>
          <w:spacing w:val="-2"/>
          <w:sz w:val="20"/>
          <w:szCs w:val="20"/>
          <w:lang w:val="en-US"/>
        </w:rPr>
        <w:t xml:space="preserve"> </w:t>
      </w:r>
      <w:r w:rsidRPr="000977F7">
        <w:rPr>
          <w:rFonts w:asciiTheme="majorHAnsi" w:hAnsiTheme="majorHAnsi"/>
          <w:sz w:val="20"/>
          <w:szCs w:val="20"/>
        </w:rPr>
        <w:t>кількох</w:t>
      </w:r>
      <w:r w:rsidRPr="004D2D14">
        <w:rPr>
          <w:rFonts w:asciiTheme="majorHAnsi" w:hAnsiTheme="majorHAnsi"/>
          <w:spacing w:val="-4"/>
          <w:sz w:val="20"/>
          <w:szCs w:val="20"/>
          <w:lang w:val="en-US"/>
        </w:rPr>
        <w:t xml:space="preserve"> </w:t>
      </w:r>
      <w:r w:rsidRPr="000977F7">
        <w:rPr>
          <w:rFonts w:asciiTheme="majorHAnsi" w:hAnsiTheme="majorHAnsi"/>
          <w:sz w:val="20"/>
          <w:szCs w:val="20"/>
        </w:rPr>
        <w:t>миттєвих</w:t>
      </w:r>
      <w:r w:rsidRPr="004D2D14">
        <w:rPr>
          <w:rFonts w:asciiTheme="majorHAnsi" w:hAnsiTheme="majorHAnsi"/>
          <w:spacing w:val="-4"/>
          <w:sz w:val="20"/>
          <w:szCs w:val="20"/>
          <w:lang w:val="en-US"/>
        </w:rPr>
        <w:t xml:space="preserve"> </w:t>
      </w:r>
      <w:r w:rsidRPr="000977F7">
        <w:rPr>
          <w:rFonts w:asciiTheme="majorHAnsi" w:hAnsiTheme="majorHAnsi"/>
          <w:sz w:val="20"/>
          <w:szCs w:val="20"/>
        </w:rPr>
        <w:t>вибірок</w:t>
      </w:r>
    </w:p>
    <w:p w14:paraId="2261A39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16CDB72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ОБ’ЄДНАНА ПИТОМА ОПЕРАТИВНА </w:t>
      </w:r>
    </w:p>
    <w:p w14:paraId="6CF8A1E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ВАРТІСТЬ ТЕХНІЧНИХ ОБСЛУГОВУВАНЬ І РЕ</w:t>
      </w:r>
      <w:r w:rsidRPr="000977F7">
        <w:rPr>
          <w:color w:val="auto"/>
          <w:spacing w:val="-48"/>
          <w:sz w:val="20"/>
          <w:szCs w:val="20"/>
        </w:rPr>
        <w:t xml:space="preserve"> </w:t>
      </w:r>
      <w:r w:rsidRPr="000977F7">
        <w:rPr>
          <w:color w:val="auto"/>
          <w:sz w:val="20"/>
          <w:szCs w:val="20"/>
        </w:rPr>
        <w:t>МОНТІВ</w:t>
      </w:r>
      <w:r w:rsidRPr="000977F7">
        <w:rPr>
          <w:color w:val="auto"/>
          <w:spacing w:val="1"/>
          <w:sz w:val="20"/>
          <w:szCs w:val="20"/>
        </w:rPr>
        <w:t xml:space="preserve"> </w:t>
      </w:r>
      <w:r w:rsidRPr="000977F7">
        <w:rPr>
          <w:color w:val="auto"/>
          <w:sz w:val="20"/>
          <w:szCs w:val="20"/>
        </w:rPr>
        <w:t>–</w:t>
      </w:r>
    </w:p>
    <w:p w14:paraId="1967AD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Сума питомних сумарних оперативних вартостей технічних обслуговувань і ремонтів всіх видів за визначені</w:t>
      </w:r>
      <w:r w:rsidRPr="000977F7">
        <w:rPr>
          <w:rFonts w:asciiTheme="majorHAnsi" w:hAnsiTheme="majorHAnsi"/>
          <w:spacing w:val="-2"/>
          <w:sz w:val="20"/>
          <w:szCs w:val="20"/>
        </w:rPr>
        <w:t xml:space="preserve"> </w:t>
      </w:r>
      <w:r w:rsidRPr="000977F7">
        <w:rPr>
          <w:rFonts w:asciiTheme="majorHAnsi" w:hAnsiTheme="majorHAnsi"/>
          <w:sz w:val="20"/>
          <w:szCs w:val="20"/>
        </w:rPr>
        <w:t>період</w:t>
      </w:r>
      <w:r w:rsidRPr="000977F7">
        <w:rPr>
          <w:rFonts w:asciiTheme="majorHAnsi" w:hAnsiTheme="majorHAnsi"/>
          <w:spacing w:val="-2"/>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напрацювання</w:t>
      </w:r>
    </w:p>
    <w:p w14:paraId="397DA30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ОБ’ЄДНАНА ПИТОМА ОПЕРАТИВНА </w:t>
      </w:r>
    </w:p>
    <w:p w14:paraId="23E428B3"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ТРУДОМІСТКІСТЬ ТЕХНІЧНИХ ОБСЛУГОВУВАНЬ І</w:t>
      </w:r>
      <w:r w:rsidRPr="000977F7">
        <w:rPr>
          <w:color w:val="auto"/>
          <w:spacing w:val="-48"/>
          <w:sz w:val="20"/>
          <w:szCs w:val="20"/>
        </w:rPr>
        <w:t xml:space="preserve">   </w:t>
      </w:r>
      <w:r w:rsidRPr="000977F7">
        <w:rPr>
          <w:color w:val="auto"/>
          <w:sz w:val="20"/>
          <w:szCs w:val="20"/>
        </w:rPr>
        <w:t>РЕМОНТІВ</w:t>
      </w:r>
      <w:r w:rsidRPr="000977F7">
        <w:rPr>
          <w:color w:val="auto"/>
          <w:spacing w:val="1"/>
          <w:sz w:val="20"/>
          <w:szCs w:val="20"/>
        </w:rPr>
        <w:t xml:space="preserve"> </w:t>
      </w:r>
      <w:r w:rsidRPr="000977F7">
        <w:rPr>
          <w:b w:val="0"/>
          <w:color w:val="auto"/>
          <w:sz w:val="20"/>
          <w:szCs w:val="20"/>
        </w:rPr>
        <w:t>–</w:t>
      </w:r>
    </w:p>
    <w:p w14:paraId="02FA16C0"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Сума</w:t>
      </w:r>
      <w:r w:rsidRPr="000977F7">
        <w:rPr>
          <w:rFonts w:asciiTheme="majorHAnsi" w:hAnsiTheme="majorHAnsi"/>
          <w:spacing w:val="18"/>
          <w:sz w:val="20"/>
          <w:szCs w:val="20"/>
        </w:rPr>
        <w:t xml:space="preserve"> </w:t>
      </w:r>
      <w:r w:rsidRPr="000977F7">
        <w:rPr>
          <w:rFonts w:asciiTheme="majorHAnsi" w:hAnsiTheme="majorHAnsi"/>
          <w:sz w:val="20"/>
          <w:szCs w:val="20"/>
        </w:rPr>
        <w:t>питомних</w:t>
      </w:r>
      <w:r w:rsidRPr="000977F7">
        <w:rPr>
          <w:rFonts w:asciiTheme="majorHAnsi" w:hAnsiTheme="majorHAnsi"/>
          <w:spacing w:val="16"/>
          <w:sz w:val="20"/>
          <w:szCs w:val="20"/>
        </w:rPr>
        <w:t xml:space="preserve"> </w:t>
      </w:r>
      <w:r w:rsidRPr="000977F7">
        <w:rPr>
          <w:rFonts w:asciiTheme="majorHAnsi" w:hAnsiTheme="majorHAnsi"/>
          <w:sz w:val="20"/>
          <w:szCs w:val="20"/>
        </w:rPr>
        <w:t>сумарних</w:t>
      </w:r>
      <w:r w:rsidRPr="000977F7">
        <w:rPr>
          <w:rFonts w:asciiTheme="majorHAnsi" w:hAnsiTheme="majorHAnsi"/>
          <w:spacing w:val="17"/>
          <w:sz w:val="20"/>
          <w:szCs w:val="20"/>
        </w:rPr>
        <w:t xml:space="preserve"> </w:t>
      </w:r>
      <w:r w:rsidRPr="000977F7">
        <w:rPr>
          <w:rFonts w:asciiTheme="majorHAnsi" w:hAnsiTheme="majorHAnsi"/>
          <w:sz w:val="20"/>
          <w:szCs w:val="20"/>
        </w:rPr>
        <w:t>оперативних</w:t>
      </w:r>
      <w:r w:rsidRPr="000977F7">
        <w:rPr>
          <w:rFonts w:asciiTheme="majorHAnsi" w:hAnsiTheme="majorHAnsi"/>
          <w:spacing w:val="16"/>
          <w:sz w:val="20"/>
          <w:szCs w:val="20"/>
        </w:rPr>
        <w:t xml:space="preserve"> </w:t>
      </w:r>
      <w:r w:rsidRPr="000977F7">
        <w:rPr>
          <w:rFonts w:asciiTheme="majorHAnsi" w:hAnsiTheme="majorHAnsi"/>
          <w:sz w:val="20"/>
          <w:szCs w:val="20"/>
        </w:rPr>
        <w:t>трудомісткостей</w:t>
      </w:r>
      <w:r w:rsidRPr="000977F7">
        <w:rPr>
          <w:rFonts w:asciiTheme="majorHAnsi" w:hAnsiTheme="majorHAnsi"/>
          <w:spacing w:val="20"/>
          <w:sz w:val="20"/>
          <w:szCs w:val="20"/>
        </w:rPr>
        <w:t xml:space="preserve"> </w:t>
      </w:r>
      <w:r w:rsidRPr="000977F7">
        <w:rPr>
          <w:rFonts w:asciiTheme="majorHAnsi" w:hAnsiTheme="majorHAnsi"/>
          <w:sz w:val="20"/>
          <w:szCs w:val="20"/>
        </w:rPr>
        <w:t>технічних</w:t>
      </w:r>
      <w:r w:rsidRPr="000977F7">
        <w:rPr>
          <w:rFonts w:asciiTheme="majorHAnsi" w:hAnsiTheme="majorHAnsi"/>
          <w:spacing w:val="20"/>
          <w:sz w:val="20"/>
          <w:szCs w:val="20"/>
        </w:rPr>
        <w:t xml:space="preserve"> </w:t>
      </w:r>
      <w:r w:rsidRPr="000977F7">
        <w:rPr>
          <w:rFonts w:asciiTheme="majorHAnsi" w:hAnsiTheme="majorHAnsi"/>
          <w:sz w:val="20"/>
          <w:szCs w:val="20"/>
        </w:rPr>
        <w:t>обслуговувань</w:t>
      </w:r>
      <w:r w:rsidRPr="000977F7">
        <w:rPr>
          <w:rFonts w:asciiTheme="majorHAnsi" w:hAnsiTheme="majorHAnsi"/>
          <w:spacing w:val="22"/>
          <w:sz w:val="20"/>
          <w:szCs w:val="20"/>
        </w:rPr>
        <w:t xml:space="preserve"> </w:t>
      </w:r>
      <w:r w:rsidRPr="000977F7">
        <w:rPr>
          <w:rFonts w:asciiTheme="majorHAnsi" w:hAnsiTheme="majorHAnsi"/>
          <w:sz w:val="20"/>
          <w:szCs w:val="20"/>
        </w:rPr>
        <w:t>і</w:t>
      </w:r>
      <w:r w:rsidRPr="000977F7">
        <w:rPr>
          <w:rFonts w:asciiTheme="majorHAnsi" w:hAnsiTheme="majorHAnsi"/>
          <w:spacing w:val="21"/>
          <w:sz w:val="20"/>
          <w:szCs w:val="20"/>
        </w:rPr>
        <w:t xml:space="preserve"> </w:t>
      </w:r>
      <w:r w:rsidRPr="000977F7">
        <w:rPr>
          <w:rFonts w:asciiTheme="majorHAnsi" w:hAnsiTheme="majorHAnsi"/>
          <w:sz w:val="20"/>
          <w:szCs w:val="20"/>
        </w:rPr>
        <w:t>ремонтів</w:t>
      </w:r>
      <w:r w:rsidRPr="000977F7">
        <w:rPr>
          <w:rFonts w:asciiTheme="majorHAnsi" w:hAnsiTheme="majorHAnsi"/>
          <w:spacing w:val="21"/>
          <w:sz w:val="20"/>
          <w:szCs w:val="20"/>
        </w:rPr>
        <w:t xml:space="preserve"> </w:t>
      </w:r>
      <w:r w:rsidRPr="000977F7">
        <w:rPr>
          <w:rFonts w:asciiTheme="majorHAnsi" w:hAnsiTheme="majorHAnsi"/>
          <w:sz w:val="20"/>
          <w:szCs w:val="20"/>
        </w:rPr>
        <w:t>всіх</w:t>
      </w:r>
      <w:r w:rsidRPr="000977F7">
        <w:rPr>
          <w:rFonts w:asciiTheme="majorHAnsi" w:hAnsiTheme="majorHAnsi"/>
          <w:spacing w:val="20"/>
          <w:sz w:val="20"/>
          <w:szCs w:val="20"/>
        </w:rPr>
        <w:t xml:space="preserve"> </w:t>
      </w:r>
      <w:r w:rsidRPr="000977F7">
        <w:rPr>
          <w:rFonts w:asciiTheme="majorHAnsi" w:hAnsiTheme="majorHAnsi"/>
          <w:sz w:val="20"/>
          <w:szCs w:val="20"/>
        </w:rPr>
        <w:t>видів</w:t>
      </w:r>
      <w:r w:rsidRPr="000977F7">
        <w:rPr>
          <w:rFonts w:asciiTheme="majorHAnsi" w:hAnsiTheme="majorHAnsi"/>
          <w:spacing w:val="21"/>
          <w:sz w:val="20"/>
          <w:szCs w:val="20"/>
        </w:rPr>
        <w:t xml:space="preserve"> </w:t>
      </w:r>
      <w:r w:rsidRPr="000977F7">
        <w:rPr>
          <w:rFonts w:asciiTheme="majorHAnsi" w:hAnsiTheme="majorHAnsi"/>
          <w:sz w:val="20"/>
          <w:szCs w:val="20"/>
        </w:rPr>
        <w:t>за</w:t>
      </w:r>
      <w:r w:rsidRPr="000977F7">
        <w:rPr>
          <w:rFonts w:asciiTheme="majorHAnsi" w:hAnsiTheme="majorHAnsi"/>
          <w:spacing w:val="-47"/>
          <w:sz w:val="20"/>
          <w:szCs w:val="20"/>
        </w:rPr>
        <w:t xml:space="preserve"> </w:t>
      </w:r>
      <w:r w:rsidRPr="000977F7">
        <w:rPr>
          <w:rFonts w:asciiTheme="majorHAnsi" w:hAnsiTheme="majorHAnsi"/>
          <w:sz w:val="20"/>
          <w:szCs w:val="20"/>
        </w:rPr>
        <w:t>визначені період експлуатації або напрацювання</w:t>
      </w:r>
      <w:r w:rsidRPr="000977F7">
        <w:rPr>
          <w:rFonts w:asciiTheme="majorHAnsi" w:hAnsiTheme="majorHAnsi"/>
          <w:spacing w:val="1"/>
          <w:sz w:val="20"/>
          <w:szCs w:val="20"/>
        </w:rPr>
        <w:t xml:space="preserve"> </w:t>
      </w:r>
    </w:p>
    <w:p w14:paraId="4F476E4F"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0977F7">
        <w:rPr>
          <w:rFonts w:asciiTheme="majorHAnsi" w:hAnsiTheme="majorHAnsi"/>
          <w:b/>
          <w:sz w:val="20"/>
          <w:szCs w:val="20"/>
        </w:rPr>
        <w:t>ОБ</w:t>
      </w:r>
      <w:r w:rsidRPr="004D2D14">
        <w:rPr>
          <w:rFonts w:asciiTheme="majorHAnsi" w:hAnsiTheme="majorHAnsi"/>
          <w:b/>
          <w:sz w:val="20"/>
          <w:szCs w:val="20"/>
          <w:lang w:val="en-US"/>
        </w:rPr>
        <w:t>’</w:t>
      </w:r>
      <w:r w:rsidRPr="000977F7">
        <w:rPr>
          <w:rFonts w:asciiTheme="majorHAnsi" w:hAnsiTheme="majorHAnsi"/>
          <w:b/>
          <w:sz w:val="20"/>
          <w:szCs w:val="20"/>
        </w:rPr>
        <w:t>ЄДНАНА</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ПРОБА</w:t>
      </w:r>
      <w:r w:rsidRPr="004D2D14">
        <w:rPr>
          <w:rFonts w:asciiTheme="majorHAnsi" w:hAnsiTheme="majorHAnsi"/>
          <w:b/>
          <w:spacing w:val="2"/>
          <w:sz w:val="20"/>
          <w:szCs w:val="20"/>
          <w:lang w:val="en-US"/>
        </w:rPr>
        <w:t xml:space="preserve"> </w:t>
      </w:r>
      <w:r w:rsidRPr="004D2D14">
        <w:rPr>
          <w:rFonts w:asciiTheme="majorHAnsi" w:hAnsiTheme="majorHAnsi"/>
          <w:b/>
          <w:sz w:val="20"/>
          <w:szCs w:val="20"/>
          <w:lang w:val="en-US"/>
        </w:rPr>
        <w:t>–</w:t>
      </w:r>
    </w:p>
    <w:p w14:paraId="025FAD2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BULK</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SAMPLE;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GROSS</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SAMPLE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2B81D9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Проба,</w:t>
      </w:r>
      <w:r w:rsidRPr="000977F7">
        <w:rPr>
          <w:rFonts w:asciiTheme="majorHAnsi" w:hAnsiTheme="majorHAnsi"/>
          <w:spacing w:val="-3"/>
          <w:sz w:val="20"/>
          <w:szCs w:val="20"/>
        </w:rPr>
        <w:t xml:space="preserve"> </w:t>
      </w:r>
      <w:r w:rsidRPr="000977F7">
        <w:rPr>
          <w:rFonts w:asciiTheme="majorHAnsi" w:hAnsiTheme="majorHAnsi"/>
          <w:sz w:val="20"/>
          <w:szCs w:val="20"/>
        </w:rPr>
        <w:t>яка</w:t>
      </w:r>
      <w:r w:rsidRPr="000977F7">
        <w:rPr>
          <w:rFonts w:asciiTheme="majorHAnsi" w:hAnsiTheme="majorHAnsi"/>
          <w:spacing w:val="-2"/>
          <w:sz w:val="20"/>
          <w:szCs w:val="20"/>
        </w:rPr>
        <w:t xml:space="preserve"> </w:t>
      </w:r>
      <w:r w:rsidRPr="000977F7">
        <w:rPr>
          <w:rFonts w:asciiTheme="majorHAnsi" w:hAnsiTheme="majorHAnsi"/>
          <w:sz w:val="20"/>
          <w:szCs w:val="20"/>
        </w:rPr>
        <w:t>складається</w:t>
      </w:r>
      <w:r w:rsidRPr="000977F7">
        <w:rPr>
          <w:rFonts w:asciiTheme="majorHAnsi" w:hAnsiTheme="majorHAnsi"/>
          <w:spacing w:val="-3"/>
          <w:sz w:val="20"/>
          <w:szCs w:val="20"/>
        </w:rPr>
        <w:t xml:space="preserve"> </w:t>
      </w:r>
      <w:r w:rsidRPr="000977F7">
        <w:rPr>
          <w:rFonts w:asciiTheme="majorHAnsi" w:hAnsiTheme="majorHAnsi"/>
          <w:sz w:val="20"/>
          <w:szCs w:val="20"/>
        </w:rPr>
        <w:t>із</w:t>
      </w:r>
      <w:r w:rsidRPr="000977F7">
        <w:rPr>
          <w:rFonts w:asciiTheme="majorHAnsi" w:hAnsiTheme="majorHAnsi"/>
          <w:spacing w:val="-2"/>
          <w:sz w:val="20"/>
          <w:szCs w:val="20"/>
        </w:rPr>
        <w:t xml:space="preserve"> </w:t>
      </w:r>
      <w:r w:rsidRPr="000977F7">
        <w:rPr>
          <w:rFonts w:asciiTheme="majorHAnsi" w:hAnsiTheme="majorHAnsi"/>
          <w:sz w:val="20"/>
          <w:szCs w:val="20"/>
        </w:rPr>
        <w:t>декількох</w:t>
      </w:r>
      <w:r w:rsidRPr="000977F7">
        <w:rPr>
          <w:rFonts w:asciiTheme="majorHAnsi" w:hAnsiTheme="majorHAnsi"/>
          <w:spacing w:val="-3"/>
          <w:sz w:val="20"/>
          <w:szCs w:val="20"/>
        </w:rPr>
        <w:t xml:space="preserve"> </w:t>
      </w:r>
      <w:r w:rsidRPr="000977F7">
        <w:rPr>
          <w:rFonts w:asciiTheme="majorHAnsi" w:hAnsiTheme="majorHAnsi"/>
          <w:sz w:val="20"/>
          <w:szCs w:val="20"/>
        </w:rPr>
        <w:t>точкових</w:t>
      </w:r>
      <w:r w:rsidRPr="000977F7">
        <w:rPr>
          <w:rFonts w:asciiTheme="majorHAnsi" w:hAnsiTheme="majorHAnsi"/>
          <w:spacing w:val="-4"/>
          <w:sz w:val="20"/>
          <w:szCs w:val="20"/>
        </w:rPr>
        <w:t xml:space="preserve"> </w:t>
      </w:r>
      <w:r w:rsidRPr="000977F7">
        <w:rPr>
          <w:rFonts w:asciiTheme="majorHAnsi" w:hAnsiTheme="majorHAnsi"/>
          <w:sz w:val="20"/>
          <w:szCs w:val="20"/>
        </w:rPr>
        <w:t>проб</w:t>
      </w:r>
    </w:p>
    <w:p w14:paraId="2F7F0FE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3891F194"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ОБ’ЄДНАНИЙ</w:t>
      </w:r>
      <w:r w:rsidRPr="000977F7">
        <w:rPr>
          <w:color w:val="auto"/>
          <w:spacing w:val="-7"/>
          <w:sz w:val="20"/>
          <w:szCs w:val="20"/>
        </w:rPr>
        <w:t xml:space="preserve"> </w:t>
      </w:r>
      <w:r w:rsidRPr="000977F7">
        <w:rPr>
          <w:color w:val="auto"/>
          <w:sz w:val="20"/>
          <w:szCs w:val="20"/>
        </w:rPr>
        <w:t>ПОКАЗНИК</w:t>
      </w:r>
      <w:r w:rsidRPr="000977F7">
        <w:rPr>
          <w:color w:val="auto"/>
          <w:spacing w:val="-9"/>
          <w:sz w:val="20"/>
          <w:szCs w:val="20"/>
        </w:rPr>
        <w:t xml:space="preserve"> </w:t>
      </w:r>
      <w:r w:rsidRPr="000977F7">
        <w:rPr>
          <w:color w:val="auto"/>
          <w:sz w:val="20"/>
          <w:szCs w:val="20"/>
        </w:rPr>
        <w:t>ДЛЯ</w:t>
      </w:r>
      <w:r w:rsidRPr="000977F7">
        <w:rPr>
          <w:color w:val="auto"/>
          <w:spacing w:val="-8"/>
          <w:sz w:val="20"/>
          <w:szCs w:val="20"/>
        </w:rPr>
        <w:t xml:space="preserve"> </w:t>
      </w:r>
      <w:r w:rsidRPr="000977F7">
        <w:rPr>
          <w:color w:val="auto"/>
          <w:sz w:val="20"/>
          <w:szCs w:val="20"/>
        </w:rPr>
        <w:t>ОЦІНЮВАННЯ</w:t>
      </w:r>
      <w:r w:rsidRPr="000977F7">
        <w:rPr>
          <w:color w:val="auto"/>
          <w:spacing w:val="-47"/>
          <w:sz w:val="20"/>
          <w:szCs w:val="20"/>
        </w:rPr>
        <w:t xml:space="preserve"> </w:t>
      </w:r>
      <w:r w:rsidRPr="000977F7">
        <w:rPr>
          <w:color w:val="auto"/>
          <w:sz w:val="20"/>
          <w:szCs w:val="20"/>
        </w:rPr>
        <w:t>РЕМОНТОПРИДАТНОСТІ</w:t>
      </w:r>
      <w:r w:rsidRPr="000977F7">
        <w:rPr>
          <w:color w:val="auto"/>
          <w:spacing w:val="1"/>
          <w:sz w:val="20"/>
          <w:szCs w:val="20"/>
        </w:rPr>
        <w:t xml:space="preserve"> </w:t>
      </w:r>
      <w:r w:rsidRPr="000977F7">
        <w:rPr>
          <w:b w:val="0"/>
          <w:color w:val="auto"/>
          <w:sz w:val="20"/>
          <w:szCs w:val="20"/>
        </w:rPr>
        <w:t>–</w:t>
      </w:r>
    </w:p>
    <w:p w14:paraId="51ED7A6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Показник</w:t>
      </w:r>
      <w:r w:rsidRPr="000977F7">
        <w:rPr>
          <w:rFonts w:asciiTheme="majorHAnsi" w:hAnsiTheme="majorHAnsi"/>
          <w:spacing w:val="-10"/>
          <w:sz w:val="20"/>
          <w:szCs w:val="20"/>
        </w:rPr>
        <w:t xml:space="preserve"> </w:t>
      </w:r>
      <w:r w:rsidRPr="000977F7">
        <w:rPr>
          <w:rFonts w:asciiTheme="majorHAnsi" w:hAnsiTheme="majorHAnsi"/>
          <w:sz w:val="20"/>
          <w:szCs w:val="20"/>
        </w:rPr>
        <w:t>для</w:t>
      </w:r>
      <w:r w:rsidRPr="000977F7">
        <w:rPr>
          <w:rFonts w:asciiTheme="majorHAnsi" w:hAnsiTheme="majorHAnsi"/>
          <w:spacing w:val="-10"/>
          <w:sz w:val="20"/>
          <w:szCs w:val="20"/>
        </w:rPr>
        <w:t xml:space="preserve"> </w:t>
      </w:r>
      <w:r w:rsidRPr="000977F7">
        <w:rPr>
          <w:rFonts w:asciiTheme="majorHAnsi" w:hAnsiTheme="majorHAnsi"/>
          <w:sz w:val="20"/>
          <w:szCs w:val="20"/>
        </w:rPr>
        <w:t>оцінки</w:t>
      </w:r>
      <w:r w:rsidRPr="000977F7">
        <w:rPr>
          <w:rFonts w:asciiTheme="majorHAnsi" w:hAnsiTheme="majorHAnsi"/>
          <w:spacing w:val="-12"/>
          <w:sz w:val="20"/>
          <w:szCs w:val="20"/>
        </w:rPr>
        <w:t xml:space="preserve"> </w:t>
      </w:r>
      <w:r w:rsidRPr="000977F7">
        <w:rPr>
          <w:rFonts w:asciiTheme="majorHAnsi" w:hAnsiTheme="majorHAnsi"/>
          <w:sz w:val="20"/>
          <w:szCs w:val="20"/>
        </w:rPr>
        <w:t>ремонтопридатності,</w:t>
      </w:r>
      <w:r w:rsidRPr="000977F7">
        <w:rPr>
          <w:rFonts w:asciiTheme="majorHAnsi" w:hAnsiTheme="majorHAnsi"/>
          <w:spacing w:val="-9"/>
          <w:sz w:val="20"/>
          <w:szCs w:val="20"/>
        </w:rPr>
        <w:t xml:space="preserve"> </w:t>
      </w:r>
      <w:r w:rsidRPr="000977F7">
        <w:rPr>
          <w:rFonts w:asciiTheme="majorHAnsi" w:hAnsiTheme="majorHAnsi"/>
          <w:sz w:val="20"/>
          <w:szCs w:val="20"/>
        </w:rPr>
        <w:t>наведений</w:t>
      </w:r>
      <w:r w:rsidRPr="000977F7">
        <w:rPr>
          <w:rFonts w:asciiTheme="majorHAnsi" w:hAnsiTheme="majorHAnsi"/>
          <w:spacing w:val="-11"/>
          <w:sz w:val="20"/>
          <w:szCs w:val="20"/>
        </w:rPr>
        <w:t xml:space="preserve"> </w:t>
      </w:r>
      <w:r w:rsidRPr="000977F7">
        <w:rPr>
          <w:rFonts w:asciiTheme="majorHAnsi" w:hAnsiTheme="majorHAnsi"/>
          <w:sz w:val="20"/>
          <w:szCs w:val="20"/>
        </w:rPr>
        <w:t>у</w:t>
      </w:r>
      <w:r w:rsidRPr="000977F7">
        <w:rPr>
          <w:rFonts w:asciiTheme="majorHAnsi" w:hAnsiTheme="majorHAnsi"/>
          <w:spacing w:val="-47"/>
          <w:sz w:val="20"/>
          <w:szCs w:val="20"/>
        </w:rPr>
        <w:t xml:space="preserve"> </w:t>
      </w:r>
      <w:r w:rsidRPr="000977F7">
        <w:rPr>
          <w:rFonts w:asciiTheme="majorHAnsi" w:hAnsiTheme="majorHAnsi"/>
          <w:spacing w:val="-1"/>
          <w:sz w:val="20"/>
          <w:szCs w:val="20"/>
        </w:rPr>
        <w:t>вигляді суми питомних показників однієї розмірності</w:t>
      </w:r>
      <w:r w:rsidRPr="000977F7">
        <w:rPr>
          <w:rFonts w:asciiTheme="majorHAnsi" w:hAnsiTheme="majorHAnsi"/>
          <w:sz w:val="20"/>
          <w:szCs w:val="20"/>
        </w:rPr>
        <w:t xml:space="preserve"> </w:t>
      </w:r>
      <w:r w:rsidRPr="000977F7">
        <w:rPr>
          <w:rFonts w:asciiTheme="majorHAnsi" w:hAnsiTheme="majorHAnsi"/>
          <w:b/>
          <w:sz w:val="20"/>
          <w:szCs w:val="20"/>
        </w:rPr>
        <w:t>ОБ’ЄКТ;</w:t>
      </w:r>
      <w:r w:rsidRPr="000977F7">
        <w:rPr>
          <w:rFonts w:asciiTheme="majorHAnsi" w:hAnsiTheme="majorHAnsi"/>
          <w:b/>
          <w:spacing w:val="-1"/>
          <w:sz w:val="20"/>
          <w:szCs w:val="20"/>
        </w:rPr>
        <w:t xml:space="preserve"> </w:t>
      </w:r>
      <w:r w:rsidRPr="000977F7">
        <w:rPr>
          <w:rFonts w:asciiTheme="majorHAnsi" w:hAnsiTheme="majorHAnsi"/>
          <w:b/>
          <w:sz w:val="20"/>
          <w:szCs w:val="20"/>
        </w:rPr>
        <w:t>СУТНІСТЬ;</w:t>
      </w:r>
      <w:r w:rsidRPr="000977F7">
        <w:rPr>
          <w:rFonts w:asciiTheme="majorHAnsi" w:hAnsiTheme="majorHAnsi"/>
          <w:b/>
          <w:spacing w:val="1"/>
          <w:sz w:val="20"/>
          <w:szCs w:val="20"/>
        </w:rPr>
        <w:t xml:space="preserve"> </w:t>
      </w:r>
      <w:r w:rsidRPr="000977F7">
        <w:rPr>
          <w:rFonts w:asciiTheme="majorHAnsi" w:hAnsiTheme="majorHAnsi"/>
          <w:b/>
          <w:sz w:val="20"/>
          <w:szCs w:val="20"/>
        </w:rPr>
        <w:t xml:space="preserve">ЕЛЕМЕНТ </w:t>
      </w:r>
      <w:r w:rsidRPr="000977F7">
        <w:rPr>
          <w:rFonts w:asciiTheme="majorHAnsi" w:hAnsiTheme="majorHAnsi"/>
          <w:sz w:val="20"/>
          <w:szCs w:val="20"/>
        </w:rPr>
        <w:t>–</w:t>
      </w:r>
    </w:p>
    <w:p w14:paraId="1E7CBD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OBJECT;</w:t>
      </w:r>
      <w:r w:rsidRPr="000977F7">
        <w:rPr>
          <w:rFonts w:asciiTheme="majorHAnsi" w:hAnsiTheme="majorHAnsi"/>
          <w:spacing w:val="-3"/>
          <w:sz w:val="20"/>
          <w:szCs w:val="20"/>
        </w:rPr>
        <w:t xml:space="preserve"> </w:t>
      </w:r>
      <w:r w:rsidRPr="000977F7">
        <w:rPr>
          <w:rFonts w:asciiTheme="majorHAnsi" w:hAnsiTheme="majorHAnsi"/>
          <w:sz w:val="20"/>
          <w:szCs w:val="20"/>
        </w:rPr>
        <w:t>ENTITY; ITEM</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274E3D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Щось</w:t>
      </w:r>
      <w:r w:rsidRPr="000977F7">
        <w:rPr>
          <w:rFonts w:asciiTheme="majorHAnsi" w:hAnsiTheme="majorHAnsi"/>
          <w:spacing w:val="-5"/>
          <w:sz w:val="20"/>
          <w:szCs w:val="20"/>
        </w:rPr>
        <w:t xml:space="preserve"> </w:t>
      </w:r>
      <w:r w:rsidRPr="000977F7">
        <w:rPr>
          <w:rFonts w:asciiTheme="majorHAnsi" w:hAnsiTheme="majorHAnsi"/>
          <w:sz w:val="20"/>
          <w:szCs w:val="20"/>
        </w:rPr>
        <w:t>відчутне</w:t>
      </w:r>
      <w:r w:rsidRPr="000977F7">
        <w:rPr>
          <w:rFonts w:asciiTheme="majorHAnsi" w:hAnsiTheme="majorHAnsi"/>
          <w:spacing w:val="-5"/>
          <w:sz w:val="20"/>
          <w:szCs w:val="20"/>
        </w:rPr>
        <w:t xml:space="preserve"> </w:t>
      </w:r>
      <w:r w:rsidRPr="000977F7">
        <w:rPr>
          <w:rFonts w:asciiTheme="majorHAnsi" w:hAnsiTheme="majorHAnsi"/>
          <w:sz w:val="20"/>
          <w:szCs w:val="20"/>
        </w:rPr>
        <w:t>чи</w:t>
      </w:r>
      <w:r w:rsidRPr="000977F7">
        <w:rPr>
          <w:rFonts w:asciiTheme="majorHAnsi" w:hAnsiTheme="majorHAnsi"/>
          <w:spacing w:val="-5"/>
          <w:sz w:val="20"/>
          <w:szCs w:val="20"/>
        </w:rPr>
        <w:t xml:space="preserve"> </w:t>
      </w:r>
      <w:r w:rsidRPr="000977F7">
        <w:rPr>
          <w:rFonts w:asciiTheme="majorHAnsi" w:hAnsiTheme="majorHAnsi"/>
          <w:sz w:val="20"/>
          <w:szCs w:val="20"/>
        </w:rPr>
        <w:t>уявлене.</w:t>
      </w:r>
      <w:r w:rsidRPr="000977F7">
        <w:rPr>
          <w:rFonts w:asciiTheme="majorHAnsi" w:hAnsiTheme="majorHAnsi"/>
          <w:spacing w:val="-47"/>
          <w:sz w:val="20"/>
          <w:szCs w:val="20"/>
        </w:rPr>
        <w:t xml:space="preserve"> </w:t>
      </w:r>
      <w:r w:rsidRPr="000977F7">
        <w:rPr>
          <w:rFonts w:asciiTheme="majorHAnsi" w:hAnsiTheme="majorHAnsi"/>
          <w:sz w:val="20"/>
          <w:szCs w:val="20"/>
        </w:rPr>
        <w:t>Приклади.</w:t>
      </w:r>
    </w:p>
    <w:p w14:paraId="495593A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w:t>
      </w:r>
      <w:r w:rsidRPr="000977F7">
        <w:rPr>
          <w:rFonts w:asciiTheme="majorHAnsi" w:hAnsiTheme="majorHAnsi"/>
          <w:spacing w:val="9"/>
          <w:sz w:val="20"/>
          <w:szCs w:val="20"/>
        </w:rPr>
        <w:t xml:space="preserve"> </w:t>
      </w:r>
      <w:r w:rsidRPr="000977F7">
        <w:rPr>
          <w:rFonts w:asciiTheme="majorHAnsi" w:hAnsiTheme="majorHAnsi"/>
          <w:sz w:val="20"/>
          <w:szCs w:val="20"/>
        </w:rPr>
        <w:t>послуга,</w:t>
      </w:r>
      <w:r w:rsidRPr="000977F7">
        <w:rPr>
          <w:rFonts w:asciiTheme="majorHAnsi" w:hAnsiTheme="majorHAnsi"/>
          <w:spacing w:val="7"/>
          <w:sz w:val="20"/>
          <w:szCs w:val="20"/>
        </w:rPr>
        <w:t xml:space="preserve"> </w:t>
      </w:r>
      <w:r w:rsidRPr="000977F7">
        <w:rPr>
          <w:rFonts w:asciiTheme="majorHAnsi" w:hAnsiTheme="majorHAnsi"/>
          <w:sz w:val="20"/>
          <w:szCs w:val="20"/>
        </w:rPr>
        <w:t>процес,</w:t>
      </w:r>
      <w:r w:rsidRPr="000977F7">
        <w:rPr>
          <w:rFonts w:asciiTheme="majorHAnsi" w:hAnsiTheme="majorHAnsi"/>
          <w:spacing w:val="10"/>
          <w:sz w:val="20"/>
          <w:szCs w:val="20"/>
        </w:rPr>
        <w:t xml:space="preserve"> </w:t>
      </w:r>
      <w:r w:rsidRPr="000977F7">
        <w:rPr>
          <w:rFonts w:asciiTheme="majorHAnsi" w:hAnsiTheme="majorHAnsi"/>
          <w:sz w:val="20"/>
          <w:szCs w:val="20"/>
        </w:rPr>
        <w:t>особа,</w:t>
      </w:r>
      <w:r w:rsidRPr="000977F7">
        <w:rPr>
          <w:rFonts w:asciiTheme="majorHAnsi" w:hAnsiTheme="majorHAnsi"/>
          <w:spacing w:val="7"/>
          <w:sz w:val="20"/>
          <w:szCs w:val="20"/>
        </w:rPr>
        <w:t xml:space="preserve"> </w:t>
      </w:r>
      <w:r w:rsidRPr="000977F7">
        <w:rPr>
          <w:rFonts w:asciiTheme="majorHAnsi" w:hAnsiTheme="majorHAnsi"/>
          <w:sz w:val="20"/>
          <w:szCs w:val="20"/>
        </w:rPr>
        <w:t>організація,</w:t>
      </w:r>
      <w:r w:rsidRPr="000977F7">
        <w:rPr>
          <w:rFonts w:asciiTheme="majorHAnsi" w:hAnsiTheme="majorHAnsi"/>
          <w:spacing w:val="8"/>
          <w:sz w:val="20"/>
          <w:szCs w:val="20"/>
        </w:rPr>
        <w:t xml:space="preserve"> </w:t>
      </w:r>
      <w:r w:rsidRPr="000977F7">
        <w:rPr>
          <w:rFonts w:asciiTheme="majorHAnsi" w:hAnsiTheme="majorHAnsi"/>
          <w:sz w:val="20"/>
          <w:szCs w:val="20"/>
        </w:rPr>
        <w:t>система, ресурс.</w:t>
      </w:r>
    </w:p>
    <w:p w14:paraId="730E8B17"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Примітка.</w:t>
      </w:r>
      <w:r w:rsidRPr="000977F7">
        <w:rPr>
          <w:rFonts w:asciiTheme="majorHAnsi" w:hAnsiTheme="majorHAnsi"/>
          <w:spacing w:val="40"/>
          <w:sz w:val="20"/>
          <w:szCs w:val="20"/>
        </w:rPr>
        <w:t xml:space="preserve"> </w:t>
      </w:r>
      <w:r w:rsidRPr="000977F7">
        <w:rPr>
          <w:rFonts w:asciiTheme="majorHAnsi" w:hAnsiTheme="majorHAnsi"/>
          <w:sz w:val="20"/>
          <w:szCs w:val="20"/>
        </w:rPr>
        <w:t>Об’єкти</w:t>
      </w:r>
      <w:r w:rsidRPr="000977F7">
        <w:rPr>
          <w:rFonts w:asciiTheme="majorHAnsi" w:hAnsiTheme="majorHAnsi"/>
          <w:spacing w:val="39"/>
          <w:sz w:val="20"/>
          <w:szCs w:val="20"/>
        </w:rPr>
        <w:t xml:space="preserve"> </w:t>
      </w:r>
      <w:r w:rsidRPr="000977F7">
        <w:rPr>
          <w:rFonts w:asciiTheme="majorHAnsi" w:hAnsiTheme="majorHAnsi"/>
          <w:sz w:val="20"/>
          <w:szCs w:val="20"/>
        </w:rPr>
        <w:t>можуть</w:t>
      </w:r>
      <w:r w:rsidRPr="000977F7">
        <w:rPr>
          <w:rFonts w:asciiTheme="majorHAnsi" w:hAnsiTheme="majorHAnsi"/>
          <w:spacing w:val="39"/>
          <w:sz w:val="20"/>
          <w:szCs w:val="20"/>
        </w:rPr>
        <w:t xml:space="preserve"> </w:t>
      </w:r>
      <w:r w:rsidRPr="000977F7">
        <w:rPr>
          <w:rFonts w:asciiTheme="majorHAnsi" w:hAnsiTheme="majorHAnsi"/>
          <w:sz w:val="20"/>
          <w:szCs w:val="20"/>
        </w:rPr>
        <w:t>бути</w:t>
      </w:r>
      <w:r w:rsidRPr="000977F7">
        <w:rPr>
          <w:rFonts w:asciiTheme="majorHAnsi" w:hAnsiTheme="majorHAnsi"/>
          <w:spacing w:val="39"/>
          <w:sz w:val="20"/>
          <w:szCs w:val="20"/>
        </w:rPr>
        <w:t xml:space="preserve"> </w:t>
      </w:r>
      <w:r w:rsidRPr="000977F7">
        <w:rPr>
          <w:rFonts w:asciiTheme="majorHAnsi" w:hAnsiTheme="majorHAnsi"/>
          <w:sz w:val="20"/>
          <w:szCs w:val="20"/>
        </w:rPr>
        <w:t>матеріальні</w:t>
      </w:r>
      <w:r w:rsidRPr="000977F7">
        <w:rPr>
          <w:rFonts w:asciiTheme="majorHAnsi" w:hAnsiTheme="majorHAnsi"/>
          <w:spacing w:val="39"/>
          <w:sz w:val="20"/>
          <w:szCs w:val="20"/>
        </w:rPr>
        <w:t xml:space="preserve"> </w:t>
      </w:r>
      <w:r w:rsidRPr="000977F7">
        <w:rPr>
          <w:rFonts w:asciiTheme="majorHAnsi" w:hAnsiTheme="majorHAnsi"/>
          <w:sz w:val="20"/>
          <w:szCs w:val="20"/>
        </w:rPr>
        <w:t>(наприклад, двигун, аркуш паперу, діамант) чи нематеріальні</w:t>
      </w:r>
      <w:r w:rsidRPr="000977F7">
        <w:rPr>
          <w:rFonts w:asciiTheme="majorHAnsi" w:hAnsiTheme="majorHAnsi"/>
          <w:spacing w:val="-47"/>
          <w:sz w:val="20"/>
          <w:szCs w:val="20"/>
        </w:rPr>
        <w:t xml:space="preserve"> </w:t>
      </w:r>
      <w:r w:rsidRPr="000977F7">
        <w:rPr>
          <w:rFonts w:asciiTheme="majorHAnsi" w:hAnsiTheme="majorHAnsi"/>
          <w:sz w:val="20"/>
          <w:szCs w:val="20"/>
        </w:rPr>
        <w:t>(наприклад,</w:t>
      </w:r>
      <w:r w:rsidRPr="000977F7">
        <w:rPr>
          <w:rFonts w:asciiTheme="majorHAnsi" w:hAnsiTheme="majorHAnsi"/>
          <w:spacing w:val="32"/>
          <w:sz w:val="20"/>
          <w:szCs w:val="20"/>
        </w:rPr>
        <w:t xml:space="preserve"> </w:t>
      </w:r>
      <w:r w:rsidRPr="000977F7">
        <w:rPr>
          <w:rFonts w:asciiTheme="majorHAnsi" w:hAnsiTheme="majorHAnsi"/>
          <w:sz w:val="20"/>
          <w:szCs w:val="20"/>
        </w:rPr>
        <w:t>коефіцієнт</w:t>
      </w:r>
      <w:r w:rsidRPr="000977F7">
        <w:rPr>
          <w:rFonts w:asciiTheme="majorHAnsi" w:hAnsiTheme="majorHAnsi"/>
          <w:spacing w:val="32"/>
          <w:sz w:val="20"/>
          <w:szCs w:val="20"/>
        </w:rPr>
        <w:t xml:space="preserve"> </w:t>
      </w:r>
      <w:r w:rsidRPr="000977F7">
        <w:rPr>
          <w:rFonts w:asciiTheme="majorHAnsi" w:hAnsiTheme="majorHAnsi"/>
          <w:sz w:val="20"/>
          <w:szCs w:val="20"/>
        </w:rPr>
        <w:t>перетворення,</w:t>
      </w:r>
      <w:r w:rsidRPr="000977F7">
        <w:rPr>
          <w:rFonts w:asciiTheme="majorHAnsi" w:hAnsiTheme="majorHAnsi"/>
          <w:spacing w:val="32"/>
          <w:sz w:val="20"/>
          <w:szCs w:val="20"/>
        </w:rPr>
        <w:t xml:space="preserve"> </w:t>
      </w:r>
      <w:r w:rsidRPr="000977F7">
        <w:rPr>
          <w:rFonts w:asciiTheme="majorHAnsi" w:hAnsiTheme="majorHAnsi"/>
          <w:sz w:val="20"/>
          <w:szCs w:val="20"/>
        </w:rPr>
        <w:t>план</w:t>
      </w:r>
      <w:r w:rsidRPr="000977F7">
        <w:rPr>
          <w:rFonts w:asciiTheme="majorHAnsi" w:hAnsiTheme="majorHAnsi"/>
          <w:spacing w:val="32"/>
          <w:sz w:val="20"/>
          <w:szCs w:val="20"/>
        </w:rPr>
        <w:t xml:space="preserve"> </w:t>
      </w:r>
      <w:r w:rsidRPr="000977F7">
        <w:rPr>
          <w:rFonts w:asciiTheme="majorHAnsi" w:hAnsiTheme="majorHAnsi"/>
          <w:sz w:val="20"/>
          <w:szCs w:val="20"/>
        </w:rPr>
        <w:t>проекту),</w:t>
      </w:r>
      <w:r w:rsidRPr="000977F7">
        <w:rPr>
          <w:rFonts w:asciiTheme="majorHAnsi" w:hAnsiTheme="majorHAnsi"/>
          <w:spacing w:val="-47"/>
          <w:sz w:val="20"/>
          <w:szCs w:val="20"/>
        </w:rPr>
        <w:t xml:space="preserve"> </w:t>
      </w:r>
      <w:r w:rsidRPr="000977F7">
        <w:rPr>
          <w:rFonts w:asciiTheme="majorHAnsi" w:hAnsiTheme="majorHAnsi"/>
          <w:sz w:val="20"/>
          <w:szCs w:val="20"/>
        </w:rPr>
        <w:t>чи уявними (наприклад, майбутній стан організації)</w:t>
      </w:r>
    </w:p>
    <w:p w14:paraId="0FFAE340"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ISO 9000:2015</w:t>
      </w:r>
    </w:p>
    <w:p w14:paraId="26ECC55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споруда,</w:t>
      </w:r>
      <w:r w:rsidRPr="000977F7">
        <w:rPr>
          <w:rFonts w:asciiTheme="majorHAnsi" w:hAnsiTheme="majorHAnsi"/>
          <w:spacing w:val="1"/>
          <w:sz w:val="20"/>
          <w:szCs w:val="20"/>
        </w:rPr>
        <w:t xml:space="preserve"> </w:t>
      </w:r>
      <w:r w:rsidRPr="000977F7">
        <w:rPr>
          <w:rFonts w:asciiTheme="majorHAnsi" w:hAnsiTheme="majorHAnsi"/>
          <w:sz w:val="20"/>
          <w:szCs w:val="20"/>
        </w:rPr>
        <w:t>машина,</w:t>
      </w:r>
      <w:r w:rsidRPr="000977F7">
        <w:rPr>
          <w:rFonts w:asciiTheme="majorHAnsi" w:hAnsiTheme="majorHAnsi"/>
          <w:spacing w:val="1"/>
          <w:sz w:val="20"/>
          <w:szCs w:val="20"/>
        </w:rPr>
        <w:t xml:space="preserve"> </w:t>
      </w:r>
      <w:r w:rsidRPr="000977F7">
        <w:rPr>
          <w:rFonts w:asciiTheme="majorHAnsi" w:hAnsiTheme="majorHAnsi"/>
          <w:sz w:val="20"/>
          <w:szCs w:val="20"/>
        </w:rPr>
        <w:t>підсистема,</w:t>
      </w:r>
      <w:r w:rsidRPr="000977F7">
        <w:rPr>
          <w:rFonts w:asciiTheme="majorHAnsi" w:hAnsiTheme="majorHAnsi"/>
          <w:spacing w:val="1"/>
          <w:sz w:val="20"/>
          <w:szCs w:val="20"/>
        </w:rPr>
        <w:t xml:space="preserve"> </w:t>
      </w:r>
      <w:r w:rsidRPr="000977F7">
        <w:rPr>
          <w:rFonts w:asciiTheme="majorHAnsi" w:hAnsiTheme="majorHAnsi"/>
          <w:sz w:val="20"/>
          <w:szCs w:val="20"/>
        </w:rPr>
        <w:t>апаратура,</w:t>
      </w:r>
      <w:r w:rsidRPr="000977F7">
        <w:rPr>
          <w:rFonts w:asciiTheme="majorHAnsi" w:hAnsiTheme="majorHAnsi"/>
          <w:spacing w:val="1"/>
          <w:sz w:val="20"/>
          <w:szCs w:val="20"/>
        </w:rPr>
        <w:t xml:space="preserve"> </w:t>
      </w:r>
      <w:r w:rsidRPr="000977F7">
        <w:rPr>
          <w:rFonts w:asciiTheme="majorHAnsi" w:hAnsiTheme="majorHAnsi"/>
          <w:sz w:val="20"/>
          <w:szCs w:val="20"/>
        </w:rPr>
        <w:t>функційна одиниця, пристрій, елементи чи будь-яка їх</w:t>
      </w:r>
      <w:r w:rsidRPr="000977F7">
        <w:rPr>
          <w:rFonts w:asciiTheme="majorHAnsi" w:hAnsiTheme="majorHAnsi"/>
          <w:spacing w:val="-47"/>
          <w:sz w:val="20"/>
          <w:szCs w:val="20"/>
        </w:rPr>
        <w:t xml:space="preserve"> </w:t>
      </w:r>
      <w:r w:rsidRPr="000977F7">
        <w:rPr>
          <w:rFonts w:asciiTheme="majorHAnsi" w:hAnsiTheme="majorHAnsi"/>
          <w:sz w:val="20"/>
          <w:szCs w:val="20"/>
        </w:rPr>
        <w:t>частина,</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розглядається</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погляду</w:t>
      </w:r>
      <w:r w:rsidRPr="000977F7">
        <w:rPr>
          <w:rFonts w:asciiTheme="majorHAnsi" w:hAnsiTheme="majorHAnsi"/>
          <w:spacing w:val="1"/>
          <w:sz w:val="20"/>
          <w:szCs w:val="20"/>
        </w:rPr>
        <w:t xml:space="preserve"> </w:t>
      </w:r>
      <w:r w:rsidRPr="000977F7">
        <w:rPr>
          <w:rFonts w:asciiTheme="majorHAnsi" w:hAnsiTheme="majorHAnsi"/>
          <w:sz w:val="20"/>
          <w:szCs w:val="20"/>
        </w:rPr>
        <w:t>надійності</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самостійна</w:t>
      </w:r>
      <w:r w:rsidRPr="000977F7">
        <w:rPr>
          <w:rFonts w:asciiTheme="majorHAnsi" w:hAnsiTheme="majorHAnsi"/>
          <w:spacing w:val="-1"/>
          <w:sz w:val="20"/>
          <w:szCs w:val="20"/>
        </w:rPr>
        <w:t xml:space="preserve"> </w:t>
      </w:r>
      <w:r w:rsidRPr="000977F7">
        <w:rPr>
          <w:rFonts w:asciiTheme="majorHAnsi" w:hAnsiTheme="majorHAnsi"/>
          <w:sz w:val="20"/>
          <w:szCs w:val="20"/>
        </w:rPr>
        <w:t>одиниця</w:t>
      </w:r>
    </w:p>
    <w:p w14:paraId="645AC8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 и:</w:t>
      </w:r>
    </w:p>
    <w:p w14:paraId="09B8D4AB" w14:textId="77777777" w:rsidR="0097612F" w:rsidRPr="000977F7" w:rsidRDefault="0097612F" w:rsidP="00FD39A4">
      <w:pPr>
        <w:pStyle w:val="ac"/>
        <w:widowControl w:val="0"/>
        <w:numPr>
          <w:ilvl w:val="0"/>
          <w:numId w:val="137"/>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Об’єкт може включати технічні засоби, технічний</w:t>
      </w:r>
      <w:r w:rsidRPr="000977F7">
        <w:rPr>
          <w:rFonts w:asciiTheme="majorHAnsi" w:hAnsiTheme="majorHAnsi"/>
          <w:spacing w:val="-47"/>
          <w:sz w:val="20"/>
          <w:szCs w:val="20"/>
        </w:rPr>
        <w:t xml:space="preserve"> </w:t>
      </w:r>
      <w:r w:rsidRPr="000977F7">
        <w:rPr>
          <w:rFonts w:asciiTheme="majorHAnsi" w:hAnsiTheme="majorHAnsi"/>
          <w:sz w:val="20"/>
          <w:szCs w:val="20"/>
        </w:rPr>
        <w:t>персонал</w:t>
      </w:r>
      <w:r w:rsidRPr="000977F7">
        <w:rPr>
          <w:rFonts w:asciiTheme="majorHAnsi" w:hAnsiTheme="majorHAnsi"/>
          <w:spacing w:val="-2"/>
          <w:sz w:val="20"/>
          <w:szCs w:val="20"/>
        </w:rPr>
        <w:t xml:space="preserve"> </w:t>
      </w:r>
      <w:r w:rsidRPr="000977F7">
        <w:rPr>
          <w:rFonts w:asciiTheme="majorHAnsi" w:hAnsiTheme="majorHAnsi"/>
          <w:sz w:val="20"/>
          <w:szCs w:val="20"/>
        </w:rPr>
        <w:t>чи будь-які</w:t>
      </w:r>
      <w:r w:rsidRPr="000977F7">
        <w:rPr>
          <w:rFonts w:asciiTheme="majorHAnsi" w:hAnsiTheme="majorHAnsi"/>
          <w:spacing w:val="-1"/>
          <w:sz w:val="20"/>
          <w:szCs w:val="20"/>
        </w:rPr>
        <w:t xml:space="preserve"> </w:t>
      </w:r>
      <w:r w:rsidRPr="000977F7">
        <w:rPr>
          <w:rFonts w:asciiTheme="majorHAnsi" w:hAnsiTheme="majorHAnsi"/>
          <w:sz w:val="20"/>
          <w:szCs w:val="20"/>
        </w:rPr>
        <w:t>їх поєднання</w:t>
      </w:r>
    </w:p>
    <w:p w14:paraId="12C35DF8" w14:textId="77777777" w:rsidR="0097612F" w:rsidRPr="000977F7" w:rsidRDefault="0097612F" w:rsidP="00FD39A4">
      <w:pPr>
        <w:pStyle w:val="ac"/>
        <w:widowControl w:val="0"/>
        <w:numPr>
          <w:ilvl w:val="0"/>
          <w:numId w:val="137"/>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Сукупність об’єктів,</w:t>
      </w:r>
      <w:r w:rsidRPr="000977F7">
        <w:rPr>
          <w:rFonts w:asciiTheme="majorHAnsi" w:hAnsiTheme="majorHAnsi"/>
          <w:spacing w:val="1"/>
          <w:sz w:val="20"/>
          <w:szCs w:val="20"/>
        </w:rPr>
        <w:t xml:space="preserve"> </w:t>
      </w:r>
      <w:r w:rsidRPr="000977F7">
        <w:rPr>
          <w:rFonts w:asciiTheme="majorHAnsi" w:hAnsiTheme="majorHAnsi"/>
          <w:sz w:val="20"/>
          <w:szCs w:val="20"/>
        </w:rPr>
        <w:t>об’єднаних</w:t>
      </w:r>
      <w:r w:rsidRPr="000977F7">
        <w:rPr>
          <w:rFonts w:asciiTheme="majorHAnsi" w:hAnsiTheme="majorHAnsi"/>
          <w:spacing w:val="1"/>
          <w:sz w:val="20"/>
          <w:szCs w:val="20"/>
        </w:rPr>
        <w:t xml:space="preserve"> </w:t>
      </w:r>
      <w:r w:rsidRPr="000977F7">
        <w:rPr>
          <w:rFonts w:asciiTheme="majorHAnsi" w:hAnsiTheme="majorHAnsi"/>
          <w:sz w:val="20"/>
          <w:szCs w:val="20"/>
        </w:rPr>
        <w:t>спільним</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призначенням і метою функціонування може розглядатися</w:t>
      </w:r>
      <w:r w:rsidRPr="000977F7">
        <w:rPr>
          <w:rFonts w:asciiTheme="majorHAnsi" w:hAnsiTheme="majorHAnsi"/>
          <w:spacing w:val="-2"/>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об’єкт</w:t>
      </w:r>
    </w:p>
    <w:p w14:paraId="6BF8AF4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sz w:val="20"/>
          <w:szCs w:val="20"/>
        </w:rPr>
        <w:t>ДСТУ</w:t>
      </w:r>
      <w:r w:rsidRPr="000977F7">
        <w:rPr>
          <w:rFonts w:asciiTheme="majorHAnsi" w:hAnsiTheme="majorHAnsi"/>
          <w:spacing w:val="-2"/>
          <w:sz w:val="20"/>
          <w:szCs w:val="20"/>
        </w:rPr>
        <w:t xml:space="preserve"> </w:t>
      </w:r>
      <w:r w:rsidRPr="000977F7">
        <w:rPr>
          <w:rFonts w:asciiTheme="majorHAnsi" w:hAnsiTheme="majorHAnsi"/>
          <w:sz w:val="20"/>
          <w:szCs w:val="20"/>
        </w:rPr>
        <w:t>2860</w:t>
      </w:r>
      <w:r w:rsidRPr="000977F7">
        <w:rPr>
          <w:rFonts w:asciiTheme="majorHAnsi" w:hAnsiTheme="majorHAnsi"/>
          <w:spacing w:val="-2"/>
          <w:sz w:val="20"/>
          <w:szCs w:val="20"/>
        </w:rPr>
        <w:t xml:space="preserve"> </w:t>
      </w:r>
      <w:r w:rsidRPr="000977F7">
        <w:rPr>
          <w:rFonts w:asciiTheme="majorHAnsi" w:hAnsiTheme="majorHAnsi"/>
          <w:sz w:val="20"/>
          <w:szCs w:val="20"/>
        </w:rPr>
        <w:t>– 94</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3892 - 99</w:t>
      </w:r>
    </w:p>
    <w:p w14:paraId="3E6871B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3"/>
          <w:sz w:val="20"/>
          <w:szCs w:val="20"/>
        </w:rPr>
        <w:t xml:space="preserve"> </w:t>
      </w:r>
      <w:r w:rsidRPr="000977F7">
        <w:rPr>
          <w:rFonts w:asciiTheme="majorHAnsi" w:hAnsiTheme="majorHAnsi"/>
          <w:sz w:val="20"/>
          <w:szCs w:val="20"/>
        </w:rPr>
        <w:t>матеріального</w:t>
      </w:r>
      <w:r w:rsidRPr="000977F7">
        <w:rPr>
          <w:rFonts w:asciiTheme="majorHAnsi" w:hAnsiTheme="majorHAnsi"/>
          <w:spacing w:val="-2"/>
          <w:sz w:val="20"/>
          <w:szCs w:val="20"/>
        </w:rPr>
        <w:t xml:space="preserve"> </w:t>
      </w:r>
      <w:r w:rsidRPr="000977F7">
        <w:rPr>
          <w:rFonts w:asciiTheme="majorHAnsi" w:hAnsiTheme="majorHAnsi"/>
          <w:sz w:val="20"/>
          <w:szCs w:val="20"/>
        </w:rPr>
        <w:t>світу,</w:t>
      </w:r>
      <w:r w:rsidRPr="000977F7">
        <w:rPr>
          <w:rFonts w:asciiTheme="majorHAnsi" w:hAnsiTheme="majorHAnsi"/>
          <w:spacing w:val="-3"/>
          <w:sz w:val="20"/>
          <w:szCs w:val="20"/>
        </w:rPr>
        <w:t xml:space="preserve"> </w:t>
      </w:r>
      <w:r w:rsidRPr="000977F7">
        <w:rPr>
          <w:rFonts w:asciiTheme="majorHAnsi" w:hAnsiTheme="majorHAnsi"/>
          <w:sz w:val="20"/>
          <w:szCs w:val="20"/>
        </w:rPr>
        <w:t>яка</w:t>
      </w:r>
      <w:r w:rsidRPr="000977F7">
        <w:rPr>
          <w:rFonts w:asciiTheme="majorHAnsi" w:hAnsiTheme="majorHAnsi"/>
          <w:spacing w:val="-3"/>
          <w:sz w:val="20"/>
          <w:szCs w:val="20"/>
        </w:rPr>
        <w:t xml:space="preserve"> </w:t>
      </w:r>
      <w:r w:rsidRPr="000977F7">
        <w:rPr>
          <w:rFonts w:asciiTheme="majorHAnsi" w:hAnsiTheme="majorHAnsi"/>
          <w:sz w:val="20"/>
          <w:szCs w:val="20"/>
        </w:rPr>
        <w:t>виділена</w:t>
      </w:r>
      <w:r w:rsidRPr="000977F7">
        <w:rPr>
          <w:rFonts w:asciiTheme="majorHAnsi" w:hAnsiTheme="majorHAnsi"/>
          <w:spacing w:val="-3"/>
          <w:sz w:val="20"/>
          <w:szCs w:val="20"/>
        </w:rPr>
        <w:t xml:space="preserve"> </w:t>
      </w:r>
      <w:r w:rsidRPr="000977F7">
        <w:rPr>
          <w:rFonts w:asciiTheme="majorHAnsi" w:hAnsiTheme="majorHAnsi"/>
          <w:sz w:val="20"/>
          <w:szCs w:val="20"/>
        </w:rPr>
        <w:t>за</w:t>
      </w:r>
      <w:r w:rsidRPr="000977F7">
        <w:rPr>
          <w:rFonts w:asciiTheme="majorHAnsi" w:hAnsiTheme="majorHAnsi"/>
          <w:spacing w:val="-3"/>
          <w:sz w:val="20"/>
          <w:szCs w:val="20"/>
        </w:rPr>
        <w:t xml:space="preserve"> </w:t>
      </w:r>
      <w:r w:rsidRPr="000977F7">
        <w:rPr>
          <w:rFonts w:asciiTheme="majorHAnsi" w:hAnsiTheme="majorHAnsi"/>
          <w:sz w:val="20"/>
          <w:szCs w:val="20"/>
        </w:rPr>
        <w:t>певними правилами і є предметом пізнання, та (або) практичної</w:t>
      </w:r>
      <w:r w:rsidRPr="000977F7">
        <w:rPr>
          <w:rFonts w:asciiTheme="majorHAnsi" w:hAnsiTheme="majorHAnsi"/>
          <w:spacing w:val="-2"/>
          <w:sz w:val="20"/>
          <w:szCs w:val="20"/>
        </w:rPr>
        <w:t xml:space="preserve"> </w:t>
      </w:r>
      <w:r w:rsidRPr="000977F7">
        <w:rPr>
          <w:rFonts w:asciiTheme="majorHAnsi" w:hAnsiTheme="majorHAnsi"/>
          <w:sz w:val="20"/>
          <w:szCs w:val="20"/>
        </w:rPr>
        <w:t>діяльності</w:t>
      </w:r>
    </w:p>
    <w:p w14:paraId="47DF1AF9"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3956 - 2000</w:t>
      </w:r>
    </w:p>
    <w:p w14:paraId="551AA3B7"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8"/>
          <w:sz w:val="20"/>
          <w:szCs w:val="20"/>
        </w:rPr>
      </w:pPr>
      <w:r w:rsidRPr="000977F7">
        <w:rPr>
          <w:rFonts w:asciiTheme="majorHAnsi" w:hAnsiTheme="majorHAnsi"/>
          <w:b/>
          <w:sz w:val="20"/>
          <w:szCs w:val="20"/>
        </w:rPr>
        <w:t>ОБ’ЄКТ АУДИТУ –</w:t>
      </w:r>
    </w:p>
    <w:p w14:paraId="7A07747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AUDITEE -</w:t>
      </w:r>
    </w:p>
    <w:p w14:paraId="0B0C53B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3"/>
          <w:sz w:val="20"/>
          <w:szCs w:val="20"/>
        </w:rPr>
        <w:t xml:space="preserve"> </w:t>
      </w:r>
      <w:r w:rsidRPr="000977F7">
        <w:rPr>
          <w:rFonts w:asciiTheme="majorHAnsi" w:hAnsiTheme="majorHAnsi"/>
          <w:sz w:val="20"/>
          <w:szCs w:val="20"/>
        </w:rPr>
        <w:t>яку</w:t>
      </w:r>
      <w:r w:rsidRPr="000977F7">
        <w:rPr>
          <w:rFonts w:asciiTheme="majorHAnsi" w:hAnsiTheme="majorHAnsi"/>
          <w:spacing w:val="-4"/>
          <w:sz w:val="20"/>
          <w:szCs w:val="20"/>
        </w:rPr>
        <w:t xml:space="preserve"> </w:t>
      </w:r>
      <w:r w:rsidRPr="000977F7">
        <w:rPr>
          <w:rFonts w:asciiTheme="majorHAnsi" w:hAnsiTheme="majorHAnsi"/>
          <w:sz w:val="20"/>
          <w:szCs w:val="20"/>
        </w:rPr>
        <w:t>піддають</w:t>
      </w:r>
      <w:r w:rsidRPr="000977F7">
        <w:rPr>
          <w:rFonts w:asciiTheme="majorHAnsi" w:hAnsiTheme="majorHAnsi"/>
          <w:spacing w:val="-3"/>
          <w:sz w:val="20"/>
          <w:szCs w:val="20"/>
        </w:rPr>
        <w:t xml:space="preserve"> </w:t>
      </w:r>
      <w:r w:rsidRPr="000977F7">
        <w:rPr>
          <w:rFonts w:asciiTheme="majorHAnsi" w:hAnsiTheme="majorHAnsi"/>
          <w:sz w:val="20"/>
          <w:szCs w:val="20"/>
        </w:rPr>
        <w:t>аудиту</w:t>
      </w:r>
    </w:p>
    <w:p w14:paraId="72F4AD2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ISO</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9000:2015</w:t>
      </w:r>
    </w:p>
    <w:p w14:paraId="2FA3C64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ОБ’ЄКТ</w:t>
      </w:r>
      <w:r w:rsidRPr="000977F7">
        <w:rPr>
          <w:color w:val="auto"/>
          <w:spacing w:val="-6"/>
          <w:sz w:val="20"/>
          <w:szCs w:val="20"/>
        </w:rPr>
        <w:t xml:space="preserve"> </w:t>
      </w:r>
      <w:r w:rsidRPr="000977F7">
        <w:rPr>
          <w:color w:val="auto"/>
          <w:sz w:val="20"/>
          <w:szCs w:val="20"/>
        </w:rPr>
        <w:t>ВИМІРЮВАННЯ</w:t>
      </w:r>
      <w:r w:rsidRPr="000977F7">
        <w:rPr>
          <w:color w:val="auto"/>
          <w:spacing w:val="-1"/>
          <w:sz w:val="20"/>
          <w:szCs w:val="20"/>
        </w:rPr>
        <w:t xml:space="preserve"> </w:t>
      </w:r>
      <w:r w:rsidRPr="000977F7">
        <w:rPr>
          <w:color w:val="auto"/>
          <w:sz w:val="20"/>
          <w:szCs w:val="20"/>
        </w:rPr>
        <w:t>–</w:t>
      </w:r>
    </w:p>
    <w:p w14:paraId="38FA574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MEASUREMENT OBJECT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6F21A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Матеріальний об’єкт, одна чи декілька властивостей</w:t>
      </w:r>
      <w:r w:rsidRPr="000977F7">
        <w:rPr>
          <w:rFonts w:asciiTheme="majorHAnsi" w:hAnsiTheme="majorHAnsi"/>
          <w:spacing w:val="1"/>
          <w:sz w:val="20"/>
          <w:szCs w:val="20"/>
        </w:rPr>
        <w:t xml:space="preserve"> </w:t>
      </w:r>
      <w:r w:rsidRPr="000977F7">
        <w:rPr>
          <w:rFonts w:asciiTheme="majorHAnsi" w:hAnsiTheme="majorHAnsi"/>
          <w:sz w:val="20"/>
          <w:szCs w:val="20"/>
        </w:rPr>
        <w:t>якого підлягають вимірюванню</w:t>
      </w:r>
    </w:p>
    <w:p w14:paraId="40F726CF"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6498AEAF"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ОБ’ЄКТ</w:t>
      </w:r>
      <w:r w:rsidRPr="000977F7">
        <w:rPr>
          <w:color w:val="auto"/>
          <w:spacing w:val="-6"/>
          <w:sz w:val="20"/>
          <w:szCs w:val="20"/>
        </w:rPr>
        <w:t xml:space="preserve"> </w:t>
      </w:r>
      <w:r w:rsidRPr="000977F7">
        <w:rPr>
          <w:color w:val="auto"/>
          <w:sz w:val="20"/>
          <w:szCs w:val="20"/>
        </w:rPr>
        <w:t>ВИПРОБУВАНЬ</w:t>
      </w:r>
      <w:r w:rsidRPr="000977F7">
        <w:rPr>
          <w:color w:val="auto"/>
          <w:spacing w:val="-2"/>
          <w:sz w:val="20"/>
          <w:szCs w:val="20"/>
        </w:rPr>
        <w:t xml:space="preserve"> </w:t>
      </w:r>
      <w:r w:rsidRPr="000977F7">
        <w:rPr>
          <w:b w:val="0"/>
          <w:color w:val="auto"/>
          <w:sz w:val="20"/>
          <w:szCs w:val="20"/>
        </w:rPr>
        <w:t>–</w:t>
      </w:r>
    </w:p>
    <w:p w14:paraId="5072677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TEST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OBJECT;</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ITEM</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UNDER</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4FF7E55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Виріб</w:t>
      </w:r>
      <w:r w:rsidRPr="004D2D14">
        <w:rPr>
          <w:rFonts w:asciiTheme="majorHAnsi" w:hAnsiTheme="majorHAnsi"/>
          <w:spacing w:val="-5"/>
          <w:sz w:val="20"/>
          <w:szCs w:val="20"/>
          <w:lang w:val="en-US"/>
        </w:rPr>
        <w:t xml:space="preserve"> </w:t>
      </w:r>
      <w:r w:rsidRPr="000977F7">
        <w:rPr>
          <w:rFonts w:asciiTheme="majorHAnsi" w:hAnsiTheme="majorHAnsi"/>
          <w:sz w:val="20"/>
          <w:szCs w:val="20"/>
        </w:rPr>
        <w:t>чи</w:t>
      </w:r>
      <w:r w:rsidRPr="004D2D14">
        <w:rPr>
          <w:rFonts w:asciiTheme="majorHAnsi" w:hAnsiTheme="majorHAnsi"/>
          <w:spacing w:val="-4"/>
          <w:sz w:val="20"/>
          <w:szCs w:val="20"/>
          <w:lang w:val="en-US"/>
        </w:rPr>
        <w:t xml:space="preserve"> </w:t>
      </w:r>
      <w:r w:rsidRPr="000977F7">
        <w:rPr>
          <w:rFonts w:asciiTheme="majorHAnsi" w:hAnsiTheme="majorHAnsi"/>
          <w:sz w:val="20"/>
          <w:szCs w:val="20"/>
        </w:rPr>
        <w:t>зразок</w:t>
      </w:r>
      <w:r w:rsidRPr="004D2D14">
        <w:rPr>
          <w:rFonts w:asciiTheme="majorHAnsi" w:hAnsiTheme="majorHAnsi"/>
          <w:sz w:val="20"/>
          <w:szCs w:val="20"/>
          <w:lang w:val="en-US"/>
        </w:rPr>
        <w:t>,</w:t>
      </w:r>
      <w:r w:rsidRPr="004D2D14">
        <w:rPr>
          <w:rFonts w:asciiTheme="majorHAnsi" w:hAnsiTheme="majorHAnsi"/>
          <w:spacing w:val="-3"/>
          <w:sz w:val="20"/>
          <w:szCs w:val="20"/>
          <w:lang w:val="en-US"/>
        </w:rPr>
        <w:t xml:space="preserve"> </w:t>
      </w:r>
      <w:r w:rsidRPr="000977F7">
        <w:rPr>
          <w:rFonts w:asciiTheme="majorHAnsi" w:hAnsiTheme="majorHAnsi"/>
          <w:sz w:val="20"/>
          <w:szCs w:val="20"/>
        </w:rPr>
        <w:t>що</w:t>
      </w:r>
      <w:r w:rsidRPr="004D2D14">
        <w:rPr>
          <w:rFonts w:asciiTheme="majorHAnsi" w:hAnsiTheme="majorHAnsi"/>
          <w:spacing w:val="-2"/>
          <w:sz w:val="20"/>
          <w:szCs w:val="20"/>
          <w:lang w:val="en-US"/>
        </w:rPr>
        <w:t xml:space="preserve"> </w:t>
      </w:r>
      <w:r w:rsidRPr="000977F7">
        <w:rPr>
          <w:rFonts w:asciiTheme="majorHAnsi" w:hAnsiTheme="majorHAnsi"/>
          <w:sz w:val="20"/>
          <w:szCs w:val="20"/>
        </w:rPr>
        <w:t>підлягає</w:t>
      </w:r>
      <w:r w:rsidRPr="004D2D14">
        <w:rPr>
          <w:rFonts w:asciiTheme="majorHAnsi" w:hAnsiTheme="majorHAnsi"/>
          <w:spacing w:val="-3"/>
          <w:sz w:val="20"/>
          <w:szCs w:val="20"/>
          <w:lang w:val="en-US"/>
        </w:rPr>
        <w:t xml:space="preserve"> </w:t>
      </w:r>
      <w:r w:rsidRPr="000977F7">
        <w:rPr>
          <w:rFonts w:asciiTheme="majorHAnsi" w:hAnsiTheme="majorHAnsi"/>
          <w:sz w:val="20"/>
          <w:szCs w:val="20"/>
        </w:rPr>
        <w:t>випробуванню</w:t>
      </w:r>
    </w:p>
    <w:p w14:paraId="74255141"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2444 - 94</w:t>
      </w:r>
    </w:p>
    <w:p w14:paraId="56AB1BF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ITEM</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UNDER</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7D5D3F4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Продукція</w:t>
      </w:r>
      <w:r w:rsidRPr="004D2D14">
        <w:rPr>
          <w:rFonts w:asciiTheme="majorHAnsi" w:hAnsiTheme="majorHAnsi"/>
          <w:sz w:val="20"/>
          <w:szCs w:val="20"/>
          <w:lang w:val="en-US"/>
        </w:rPr>
        <w:t>,</w:t>
      </w:r>
      <w:r w:rsidRPr="004D2D14">
        <w:rPr>
          <w:rFonts w:asciiTheme="majorHAnsi" w:hAnsiTheme="majorHAnsi"/>
          <w:spacing w:val="-6"/>
          <w:sz w:val="20"/>
          <w:szCs w:val="20"/>
          <w:lang w:val="en-US"/>
        </w:rPr>
        <w:t xml:space="preserve"> </w:t>
      </w:r>
      <w:r w:rsidRPr="000977F7">
        <w:rPr>
          <w:rFonts w:asciiTheme="majorHAnsi" w:hAnsiTheme="majorHAnsi"/>
          <w:sz w:val="20"/>
          <w:szCs w:val="20"/>
        </w:rPr>
        <w:t>яка</w:t>
      </w:r>
      <w:r w:rsidRPr="004D2D14">
        <w:rPr>
          <w:rFonts w:asciiTheme="majorHAnsi" w:hAnsiTheme="majorHAnsi"/>
          <w:spacing w:val="-6"/>
          <w:sz w:val="20"/>
          <w:szCs w:val="20"/>
          <w:lang w:val="en-US"/>
        </w:rPr>
        <w:t xml:space="preserve"> </w:t>
      </w:r>
      <w:r w:rsidRPr="000977F7">
        <w:rPr>
          <w:rFonts w:asciiTheme="majorHAnsi" w:hAnsiTheme="majorHAnsi"/>
          <w:sz w:val="20"/>
          <w:szCs w:val="20"/>
        </w:rPr>
        <w:t>піддається</w:t>
      </w:r>
      <w:r w:rsidRPr="004D2D14">
        <w:rPr>
          <w:rFonts w:asciiTheme="majorHAnsi" w:hAnsiTheme="majorHAnsi"/>
          <w:spacing w:val="-6"/>
          <w:sz w:val="20"/>
          <w:szCs w:val="20"/>
          <w:lang w:val="en-US"/>
        </w:rPr>
        <w:t xml:space="preserve"> </w:t>
      </w:r>
      <w:r w:rsidRPr="000977F7">
        <w:rPr>
          <w:rFonts w:asciiTheme="majorHAnsi" w:hAnsiTheme="majorHAnsi"/>
          <w:sz w:val="20"/>
          <w:szCs w:val="20"/>
        </w:rPr>
        <w:t>випробуванням</w:t>
      </w:r>
    </w:p>
    <w:p w14:paraId="7D51717D"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3021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95</w:t>
      </w:r>
    </w:p>
    <w:p w14:paraId="387BBB6D" w14:textId="77777777" w:rsidR="0097612F" w:rsidRPr="004D2D14" w:rsidRDefault="0097612F" w:rsidP="000977F7">
      <w:pPr>
        <w:pStyle w:val="af6"/>
        <w:tabs>
          <w:tab w:val="left" w:pos="284"/>
        </w:tabs>
        <w:spacing w:after="0"/>
        <w:ind w:left="170"/>
        <w:mirrorIndents/>
        <w:jc w:val="both"/>
        <w:rPr>
          <w:rFonts w:asciiTheme="majorHAnsi" w:hAnsiTheme="majorHAnsi"/>
          <w:spacing w:val="-48"/>
          <w:sz w:val="20"/>
          <w:szCs w:val="20"/>
          <w:lang w:val="en-US"/>
        </w:rPr>
      </w:pPr>
      <w:r w:rsidRPr="000977F7">
        <w:rPr>
          <w:rFonts w:asciiTheme="majorHAnsi" w:hAnsiTheme="majorHAnsi"/>
          <w:sz w:val="20"/>
          <w:szCs w:val="20"/>
        </w:rPr>
        <w:t>Виріб</w:t>
      </w:r>
      <w:r w:rsidRPr="004D2D14">
        <w:rPr>
          <w:rFonts w:asciiTheme="majorHAnsi" w:hAnsiTheme="majorHAnsi"/>
          <w:spacing w:val="-5"/>
          <w:sz w:val="20"/>
          <w:szCs w:val="20"/>
          <w:lang w:val="en-US"/>
        </w:rPr>
        <w:t xml:space="preserve"> </w:t>
      </w:r>
      <w:r w:rsidRPr="000977F7">
        <w:rPr>
          <w:rFonts w:asciiTheme="majorHAnsi" w:hAnsiTheme="majorHAnsi"/>
          <w:sz w:val="20"/>
          <w:szCs w:val="20"/>
        </w:rPr>
        <w:t>чи</w:t>
      </w:r>
      <w:r w:rsidRPr="004D2D14">
        <w:rPr>
          <w:rFonts w:asciiTheme="majorHAnsi" w:hAnsiTheme="majorHAnsi"/>
          <w:spacing w:val="-5"/>
          <w:sz w:val="20"/>
          <w:szCs w:val="20"/>
          <w:lang w:val="en-US"/>
        </w:rPr>
        <w:t xml:space="preserve"> </w:t>
      </w:r>
      <w:r w:rsidRPr="000977F7">
        <w:rPr>
          <w:rFonts w:asciiTheme="majorHAnsi" w:hAnsiTheme="majorHAnsi"/>
          <w:sz w:val="20"/>
          <w:szCs w:val="20"/>
        </w:rPr>
        <w:t>зразок</w:t>
      </w:r>
      <w:r w:rsidRPr="004D2D14">
        <w:rPr>
          <w:rFonts w:asciiTheme="majorHAnsi" w:hAnsiTheme="majorHAnsi"/>
          <w:sz w:val="20"/>
          <w:szCs w:val="20"/>
          <w:lang w:val="en-US"/>
        </w:rPr>
        <w:t>,</w:t>
      </w:r>
      <w:r w:rsidRPr="004D2D14">
        <w:rPr>
          <w:rFonts w:asciiTheme="majorHAnsi" w:hAnsiTheme="majorHAnsi"/>
          <w:spacing w:val="-4"/>
          <w:sz w:val="20"/>
          <w:szCs w:val="20"/>
          <w:lang w:val="en-US"/>
        </w:rPr>
        <w:t xml:space="preserve"> </w:t>
      </w:r>
      <w:r w:rsidRPr="000977F7">
        <w:rPr>
          <w:rFonts w:asciiTheme="majorHAnsi" w:hAnsiTheme="majorHAnsi"/>
          <w:sz w:val="20"/>
          <w:szCs w:val="20"/>
        </w:rPr>
        <w:t>що</w:t>
      </w:r>
      <w:r w:rsidRPr="004D2D14">
        <w:rPr>
          <w:rFonts w:asciiTheme="majorHAnsi" w:hAnsiTheme="majorHAnsi"/>
          <w:spacing w:val="-2"/>
          <w:sz w:val="20"/>
          <w:szCs w:val="20"/>
          <w:lang w:val="en-US"/>
        </w:rPr>
        <w:t xml:space="preserve"> </w:t>
      </w:r>
      <w:r w:rsidRPr="000977F7">
        <w:rPr>
          <w:rFonts w:asciiTheme="majorHAnsi" w:hAnsiTheme="majorHAnsi"/>
          <w:sz w:val="20"/>
          <w:szCs w:val="20"/>
        </w:rPr>
        <w:t>підлягає</w:t>
      </w:r>
      <w:r w:rsidRPr="004D2D14">
        <w:rPr>
          <w:rFonts w:asciiTheme="majorHAnsi" w:hAnsiTheme="majorHAnsi"/>
          <w:spacing w:val="-4"/>
          <w:sz w:val="20"/>
          <w:szCs w:val="20"/>
          <w:lang w:val="en-US"/>
        </w:rPr>
        <w:t xml:space="preserve"> </w:t>
      </w:r>
      <w:r w:rsidRPr="000977F7">
        <w:rPr>
          <w:rFonts w:asciiTheme="majorHAnsi" w:hAnsiTheme="majorHAnsi"/>
          <w:sz w:val="20"/>
          <w:szCs w:val="20"/>
        </w:rPr>
        <w:t>випробуванням</w:t>
      </w:r>
      <w:r w:rsidRPr="004D2D14">
        <w:rPr>
          <w:rFonts w:asciiTheme="majorHAnsi" w:hAnsiTheme="majorHAnsi"/>
          <w:spacing w:val="-48"/>
          <w:sz w:val="20"/>
          <w:szCs w:val="20"/>
          <w:lang w:val="en-US"/>
        </w:rPr>
        <w:t xml:space="preserve"> </w:t>
      </w:r>
    </w:p>
    <w:p w14:paraId="7DD217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FDE0C4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безпосередньо</w:t>
      </w:r>
      <w:r w:rsidRPr="000977F7">
        <w:rPr>
          <w:rFonts w:asciiTheme="majorHAnsi" w:hAnsiTheme="majorHAnsi"/>
          <w:spacing w:val="1"/>
          <w:sz w:val="20"/>
          <w:szCs w:val="20"/>
        </w:rPr>
        <w:t xml:space="preserve"> </w:t>
      </w:r>
      <w:r w:rsidRPr="000977F7">
        <w:rPr>
          <w:rFonts w:asciiTheme="majorHAnsi" w:hAnsiTheme="majorHAnsi"/>
          <w:sz w:val="20"/>
          <w:szCs w:val="20"/>
        </w:rPr>
        <w:t>об’єктом</w:t>
      </w:r>
      <w:r w:rsidRPr="000977F7">
        <w:rPr>
          <w:rFonts w:asciiTheme="majorHAnsi" w:hAnsiTheme="majorHAnsi"/>
          <w:spacing w:val="1"/>
          <w:sz w:val="20"/>
          <w:szCs w:val="20"/>
        </w:rPr>
        <w:t xml:space="preserve"> </w:t>
      </w:r>
      <w:r w:rsidRPr="000977F7">
        <w:rPr>
          <w:rFonts w:asciiTheme="majorHAnsi" w:hAnsiTheme="majorHAnsi"/>
          <w:sz w:val="20"/>
          <w:szCs w:val="20"/>
        </w:rPr>
        <w:t>досліджень,</w:t>
      </w:r>
      <w:r w:rsidRPr="000977F7">
        <w:rPr>
          <w:rFonts w:asciiTheme="majorHAnsi" w:hAnsiTheme="majorHAnsi"/>
          <w:spacing w:val="1"/>
          <w:sz w:val="20"/>
          <w:szCs w:val="20"/>
        </w:rPr>
        <w:t xml:space="preserve"> </w:t>
      </w:r>
      <w:r w:rsidRPr="000977F7">
        <w:rPr>
          <w:rFonts w:asciiTheme="majorHAnsi" w:hAnsiTheme="majorHAnsi"/>
          <w:sz w:val="20"/>
          <w:szCs w:val="20"/>
        </w:rPr>
        <w:t>так</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служити</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зразком</w:t>
      </w:r>
      <w:r w:rsidRPr="000977F7">
        <w:rPr>
          <w:rFonts w:asciiTheme="majorHAnsi" w:hAnsiTheme="majorHAnsi"/>
          <w:spacing w:val="1"/>
          <w:sz w:val="20"/>
          <w:szCs w:val="20"/>
        </w:rPr>
        <w:t xml:space="preserve"> </w:t>
      </w:r>
      <w:r w:rsidRPr="000977F7">
        <w:rPr>
          <w:rFonts w:asciiTheme="majorHAnsi" w:hAnsiTheme="majorHAnsi"/>
          <w:sz w:val="20"/>
          <w:szCs w:val="20"/>
        </w:rPr>
        <w:t>(пробою)</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моделлю</w:t>
      </w:r>
    </w:p>
    <w:p w14:paraId="0489150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 – 94</w:t>
      </w:r>
    </w:p>
    <w:p w14:paraId="19F840F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ОБ'ЄКТ ДЕРЖАВНОЇ САНІТАРНО – ЕПІДЕМІОЛОГІЧНОЇ ЕКСПЕРТИЗИ –</w:t>
      </w:r>
    </w:p>
    <w:p w14:paraId="63E085D6"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Будь-яка діяльність, технологія, продукція та сировина, реалізація (функціонування, використання) яких може шкідливо вплинути на здоров'я людини, а також діючі об'єкти у випадках, коли їх шкідливий вплив встановлено в процесі функціонування (використання), а також у разі закінчення встановленого терміну дії висновку державної санітарно-епідеміологічної експертизи</w:t>
      </w:r>
    </w:p>
    <w:p w14:paraId="377B6199"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забезпечення санітарного та епідемічного благополуччя населення"</w:t>
      </w:r>
    </w:p>
    <w:p w14:paraId="135BF1E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ОБ’ЄКТ З ДИСКРЕТНОЮ МНОЖИНОЮ </w:t>
      </w:r>
    </w:p>
    <w:p w14:paraId="495C74D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w:t>
      </w:r>
      <w:r w:rsidRPr="000977F7">
        <w:rPr>
          <w:color w:val="auto"/>
          <w:spacing w:val="-48"/>
          <w:sz w:val="20"/>
          <w:szCs w:val="20"/>
        </w:rPr>
        <w:t xml:space="preserve"> </w:t>
      </w:r>
      <w:r w:rsidRPr="000977F7">
        <w:rPr>
          <w:color w:val="auto"/>
          <w:sz w:val="20"/>
          <w:szCs w:val="20"/>
        </w:rPr>
        <w:t>НІВ -</w:t>
      </w:r>
    </w:p>
    <w:p w14:paraId="7AFB96A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OBJEKT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WITH</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DISCRETE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MULTITUDE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STATES</w:t>
      </w:r>
      <w:r w:rsidRPr="004D2D14">
        <w:rPr>
          <w:rFonts w:asciiTheme="majorHAnsi" w:hAnsiTheme="majorHAnsi"/>
          <w:spacing w:val="-2"/>
          <w:sz w:val="20"/>
          <w:szCs w:val="20"/>
          <w:lang w:val="en-US"/>
        </w:rPr>
        <w:t xml:space="preserve"> </w:t>
      </w:r>
    </w:p>
    <w:p w14:paraId="20D04F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 в математичній моделі якого всі залежні змінні</w:t>
      </w:r>
      <w:r w:rsidRPr="000977F7">
        <w:rPr>
          <w:rFonts w:asciiTheme="majorHAnsi" w:hAnsiTheme="majorHAnsi"/>
          <w:spacing w:val="-47"/>
          <w:sz w:val="20"/>
          <w:szCs w:val="20"/>
        </w:rPr>
        <w:t xml:space="preserve"> </w:t>
      </w:r>
      <w:r w:rsidRPr="000977F7">
        <w:rPr>
          <w:rFonts w:asciiTheme="majorHAnsi" w:hAnsiTheme="majorHAnsi"/>
          <w:sz w:val="20"/>
          <w:szCs w:val="20"/>
        </w:rPr>
        <w:t>величини можуть набувати тільки дискретних значень</w:t>
      </w:r>
      <w:r w:rsidRPr="000977F7">
        <w:rPr>
          <w:rFonts w:asciiTheme="majorHAnsi" w:hAnsiTheme="majorHAnsi"/>
          <w:spacing w:val="-47"/>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кінцевої</w:t>
      </w:r>
      <w:r w:rsidRPr="000977F7">
        <w:rPr>
          <w:rFonts w:asciiTheme="majorHAnsi" w:hAnsiTheme="majorHAnsi"/>
          <w:spacing w:val="-2"/>
          <w:sz w:val="20"/>
          <w:szCs w:val="20"/>
        </w:rPr>
        <w:t xml:space="preserve"> </w:t>
      </w:r>
      <w:r w:rsidRPr="000977F7">
        <w:rPr>
          <w:rFonts w:asciiTheme="majorHAnsi" w:hAnsiTheme="majorHAnsi"/>
          <w:sz w:val="20"/>
          <w:szCs w:val="20"/>
        </w:rPr>
        <w:t>множини</w:t>
      </w:r>
      <w:r w:rsidRPr="000977F7">
        <w:rPr>
          <w:rFonts w:asciiTheme="majorHAnsi" w:hAnsiTheme="majorHAnsi"/>
          <w:spacing w:val="48"/>
          <w:sz w:val="20"/>
          <w:szCs w:val="20"/>
        </w:rPr>
        <w:t xml:space="preserve"> </w:t>
      </w:r>
      <w:r w:rsidRPr="000977F7">
        <w:rPr>
          <w:rFonts w:asciiTheme="majorHAnsi" w:hAnsiTheme="majorHAnsi"/>
          <w:sz w:val="20"/>
          <w:szCs w:val="20"/>
        </w:rPr>
        <w:t>допустимих</w:t>
      </w:r>
      <w:r w:rsidRPr="000977F7">
        <w:rPr>
          <w:rFonts w:asciiTheme="majorHAnsi" w:hAnsiTheme="majorHAnsi"/>
          <w:spacing w:val="-1"/>
          <w:sz w:val="20"/>
          <w:szCs w:val="20"/>
        </w:rPr>
        <w:t xml:space="preserve"> </w:t>
      </w:r>
      <w:r w:rsidRPr="000977F7">
        <w:rPr>
          <w:rFonts w:asciiTheme="majorHAnsi" w:hAnsiTheme="majorHAnsi"/>
          <w:sz w:val="20"/>
          <w:szCs w:val="20"/>
        </w:rPr>
        <w:t>значень</w:t>
      </w:r>
    </w:p>
    <w:p w14:paraId="728B92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F8BAE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Математична модель об’єкта подається у вигляді дискретного</w:t>
      </w:r>
      <w:r w:rsidRPr="000977F7">
        <w:rPr>
          <w:rFonts w:asciiTheme="majorHAnsi" w:hAnsiTheme="majorHAnsi"/>
          <w:spacing w:val="1"/>
          <w:sz w:val="20"/>
          <w:szCs w:val="20"/>
        </w:rPr>
        <w:t xml:space="preserve"> </w:t>
      </w:r>
      <w:r w:rsidRPr="000977F7">
        <w:rPr>
          <w:rFonts w:asciiTheme="majorHAnsi" w:hAnsiTheme="majorHAnsi"/>
          <w:sz w:val="20"/>
          <w:szCs w:val="20"/>
        </w:rPr>
        <w:t>(цифрового)</w:t>
      </w:r>
      <w:r w:rsidRPr="000977F7">
        <w:rPr>
          <w:rFonts w:asciiTheme="majorHAnsi" w:hAnsiTheme="majorHAnsi"/>
          <w:spacing w:val="1"/>
          <w:sz w:val="20"/>
          <w:szCs w:val="20"/>
        </w:rPr>
        <w:t xml:space="preserve"> </w:t>
      </w:r>
      <w:r w:rsidRPr="000977F7">
        <w:rPr>
          <w:rFonts w:asciiTheme="majorHAnsi" w:hAnsiTheme="majorHAnsi"/>
          <w:sz w:val="20"/>
          <w:szCs w:val="20"/>
        </w:rPr>
        <w:t>автомата,</w:t>
      </w:r>
      <w:r w:rsidRPr="000977F7">
        <w:rPr>
          <w:rFonts w:asciiTheme="majorHAnsi" w:hAnsiTheme="majorHAnsi"/>
          <w:spacing w:val="1"/>
          <w:sz w:val="20"/>
          <w:szCs w:val="20"/>
        </w:rPr>
        <w:t xml:space="preserve"> </w:t>
      </w:r>
      <w:r w:rsidRPr="000977F7">
        <w:rPr>
          <w:rFonts w:asciiTheme="majorHAnsi" w:hAnsiTheme="majorHAnsi"/>
          <w:sz w:val="20"/>
          <w:szCs w:val="20"/>
        </w:rPr>
        <w:t>ланцюгів</w:t>
      </w:r>
      <w:r w:rsidRPr="000977F7">
        <w:rPr>
          <w:rFonts w:asciiTheme="majorHAnsi" w:hAnsiTheme="majorHAnsi"/>
          <w:spacing w:val="1"/>
          <w:sz w:val="20"/>
          <w:szCs w:val="20"/>
        </w:rPr>
        <w:t xml:space="preserve"> </w:t>
      </w:r>
      <w:r w:rsidRPr="000977F7">
        <w:rPr>
          <w:rFonts w:asciiTheme="majorHAnsi" w:hAnsiTheme="majorHAnsi"/>
          <w:sz w:val="20"/>
          <w:szCs w:val="20"/>
        </w:rPr>
        <w:t>Маркова</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5CC43A8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ОБ’ЄКТ З НЕПЕРЕРВНОЮ МНОЖИНОЮ </w:t>
      </w:r>
    </w:p>
    <w:p w14:paraId="6F06568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w:t>
      </w:r>
      <w:r w:rsidRPr="000977F7">
        <w:rPr>
          <w:color w:val="auto"/>
          <w:spacing w:val="-47"/>
          <w:sz w:val="20"/>
          <w:szCs w:val="20"/>
        </w:rPr>
        <w:t xml:space="preserve"> </w:t>
      </w:r>
      <w:r w:rsidRPr="000977F7">
        <w:rPr>
          <w:color w:val="auto"/>
          <w:sz w:val="20"/>
          <w:szCs w:val="20"/>
        </w:rPr>
        <w:t>НІВ -</w:t>
      </w:r>
    </w:p>
    <w:p w14:paraId="6132AB8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OBJECT WITH UNINTERRUPTED QUANTITY OF</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CONDITIONS -</w:t>
      </w:r>
    </w:p>
    <w:p w14:paraId="6FEB00E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математичній</w:t>
      </w:r>
      <w:r w:rsidRPr="000977F7">
        <w:rPr>
          <w:rFonts w:asciiTheme="majorHAnsi" w:hAnsiTheme="majorHAnsi"/>
          <w:spacing w:val="1"/>
          <w:sz w:val="20"/>
          <w:szCs w:val="20"/>
        </w:rPr>
        <w:t xml:space="preserve"> </w:t>
      </w:r>
      <w:r w:rsidRPr="000977F7">
        <w:rPr>
          <w:rFonts w:asciiTheme="majorHAnsi" w:hAnsiTheme="majorHAnsi"/>
          <w:sz w:val="20"/>
          <w:szCs w:val="20"/>
        </w:rPr>
        <w:t>моделі</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усі</w:t>
      </w:r>
      <w:r w:rsidRPr="000977F7">
        <w:rPr>
          <w:rFonts w:asciiTheme="majorHAnsi" w:hAnsiTheme="majorHAnsi"/>
          <w:spacing w:val="1"/>
          <w:sz w:val="20"/>
          <w:szCs w:val="20"/>
        </w:rPr>
        <w:t xml:space="preserve"> </w:t>
      </w:r>
      <w:r w:rsidRPr="000977F7">
        <w:rPr>
          <w:rFonts w:asciiTheme="majorHAnsi" w:hAnsiTheme="majorHAnsi"/>
          <w:sz w:val="20"/>
          <w:szCs w:val="20"/>
        </w:rPr>
        <w:t>залежні</w:t>
      </w:r>
      <w:r w:rsidRPr="000977F7">
        <w:rPr>
          <w:rFonts w:asciiTheme="majorHAnsi" w:hAnsiTheme="majorHAnsi"/>
          <w:spacing w:val="1"/>
          <w:sz w:val="20"/>
          <w:szCs w:val="20"/>
        </w:rPr>
        <w:t xml:space="preserve"> </w:t>
      </w:r>
      <w:r w:rsidRPr="000977F7">
        <w:rPr>
          <w:rFonts w:asciiTheme="majorHAnsi" w:hAnsiTheme="majorHAnsi"/>
          <w:sz w:val="20"/>
          <w:szCs w:val="20"/>
        </w:rPr>
        <w:t>змінні</w:t>
      </w:r>
      <w:r w:rsidRPr="000977F7">
        <w:rPr>
          <w:rFonts w:asciiTheme="majorHAnsi" w:hAnsiTheme="majorHAnsi"/>
          <w:spacing w:val="1"/>
          <w:sz w:val="20"/>
          <w:szCs w:val="20"/>
        </w:rPr>
        <w:t xml:space="preserve"> </w:t>
      </w:r>
      <w:r w:rsidRPr="000977F7">
        <w:rPr>
          <w:rFonts w:asciiTheme="majorHAnsi" w:hAnsiTheme="majorHAnsi"/>
          <w:sz w:val="20"/>
          <w:szCs w:val="20"/>
        </w:rPr>
        <w:t>величини можуть</w:t>
      </w:r>
      <w:r w:rsidRPr="000977F7">
        <w:rPr>
          <w:rFonts w:asciiTheme="majorHAnsi" w:hAnsiTheme="majorHAnsi"/>
          <w:spacing w:val="50"/>
          <w:sz w:val="20"/>
          <w:szCs w:val="20"/>
        </w:rPr>
        <w:t xml:space="preserve"> </w:t>
      </w:r>
      <w:r w:rsidRPr="000977F7">
        <w:rPr>
          <w:rFonts w:asciiTheme="majorHAnsi" w:hAnsiTheme="majorHAnsi"/>
          <w:sz w:val="20"/>
          <w:szCs w:val="20"/>
        </w:rPr>
        <w:t>набувати</w:t>
      </w:r>
      <w:r w:rsidRPr="000977F7">
        <w:rPr>
          <w:rFonts w:asciiTheme="majorHAnsi" w:hAnsiTheme="majorHAnsi"/>
          <w:spacing w:val="50"/>
          <w:sz w:val="20"/>
          <w:szCs w:val="20"/>
        </w:rPr>
        <w:t xml:space="preserve"> </w:t>
      </w:r>
      <w:r w:rsidRPr="000977F7">
        <w:rPr>
          <w:rFonts w:asciiTheme="majorHAnsi" w:hAnsiTheme="majorHAnsi"/>
          <w:sz w:val="20"/>
          <w:szCs w:val="20"/>
        </w:rPr>
        <w:t>будь-яких значень</w:t>
      </w:r>
      <w:r w:rsidRPr="000977F7">
        <w:rPr>
          <w:rFonts w:asciiTheme="majorHAnsi" w:hAnsiTheme="majorHAnsi"/>
          <w:spacing w:val="-47"/>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певному</w:t>
      </w:r>
      <w:r w:rsidRPr="000977F7">
        <w:rPr>
          <w:rFonts w:asciiTheme="majorHAnsi" w:hAnsiTheme="majorHAnsi"/>
          <w:spacing w:val="-4"/>
          <w:sz w:val="20"/>
          <w:szCs w:val="20"/>
        </w:rPr>
        <w:t xml:space="preserve"> </w:t>
      </w:r>
      <w:r w:rsidRPr="000977F7">
        <w:rPr>
          <w:rFonts w:asciiTheme="majorHAnsi" w:hAnsiTheme="majorHAnsi"/>
          <w:sz w:val="20"/>
          <w:szCs w:val="20"/>
        </w:rPr>
        <w:t>діапазоні</w:t>
      </w:r>
      <w:r w:rsidRPr="000977F7">
        <w:rPr>
          <w:rFonts w:asciiTheme="majorHAnsi" w:hAnsiTheme="majorHAnsi"/>
          <w:spacing w:val="-1"/>
          <w:sz w:val="20"/>
          <w:szCs w:val="20"/>
        </w:rPr>
        <w:t xml:space="preserve"> </w:t>
      </w:r>
      <w:r w:rsidRPr="000977F7">
        <w:rPr>
          <w:rFonts w:asciiTheme="majorHAnsi" w:hAnsiTheme="majorHAnsi"/>
          <w:sz w:val="20"/>
          <w:szCs w:val="20"/>
        </w:rPr>
        <w:t>можливих</w:t>
      </w:r>
      <w:r w:rsidRPr="000977F7">
        <w:rPr>
          <w:rFonts w:asciiTheme="majorHAnsi" w:hAnsiTheme="majorHAnsi"/>
          <w:spacing w:val="-2"/>
          <w:sz w:val="20"/>
          <w:szCs w:val="20"/>
        </w:rPr>
        <w:t xml:space="preserve"> </w:t>
      </w:r>
      <w:r w:rsidRPr="000977F7">
        <w:rPr>
          <w:rFonts w:asciiTheme="majorHAnsi" w:hAnsiTheme="majorHAnsi"/>
          <w:sz w:val="20"/>
          <w:szCs w:val="20"/>
        </w:rPr>
        <w:t>значень</w:t>
      </w:r>
    </w:p>
    <w:p w14:paraId="258F8EB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F62DD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Математична модель об’єкта відображується у вигляді</w:t>
      </w:r>
      <w:r w:rsidRPr="000977F7">
        <w:rPr>
          <w:rFonts w:asciiTheme="majorHAnsi" w:hAnsiTheme="majorHAnsi"/>
          <w:spacing w:val="1"/>
          <w:sz w:val="20"/>
          <w:szCs w:val="20"/>
        </w:rPr>
        <w:t xml:space="preserve"> </w:t>
      </w:r>
      <w:r w:rsidRPr="000977F7">
        <w:rPr>
          <w:rFonts w:asciiTheme="majorHAnsi" w:hAnsiTheme="majorHAnsi"/>
          <w:sz w:val="20"/>
          <w:szCs w:val="20"/>
        </w:rPr>
        <w:t>диференціального</w:t>
      </w:r>
      <w:r w:rsidRPr="000977F7">
        <w:rPr>
          <w:rFonts w:asciiTheme="majorHAnsi" w:hAnsiTheme="majorHAnsi"/>
          <w:spacing w:val="1"/>
          <w:sz w:val="20"/>
          <w:szCs w:val="20"/>
        </w:rPr>
        <w:t xml:space="preserve"> </w:t>
      </w:r>
      <w:r w:rsidRPr="000977F7">
        <w:rPr>
          <w:rFonts w:asciiTheme="majorHAnsi" w:hAnsiTheme="majorHAnsi"/>
          <w:sz w:val="20"/>
          <w:szCs w:val="20"/>
        </w:rPr>
        <w:t>рівняння,</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диференціальних рівнянь, марковського процесу з неперервною</w:t>
      </w:r>
      <w:r w:rsidRPr="000977F7">
        <w:rPr>
          <w:rFonts w:asciiTheme="majorHAnsi" w:hAnsiTheme="majorHAnsi"/>
          <w:spacing w:val="1"/>
          <w:sz w:val="20"/>
          <w:szCs w:val="20"/>
        </w:rPr>
        <w:t xml:space="preserve"> </w:t>
      </w:r>
      <w:r w:rsidRPr="000977F7">
        <w:rPr>
          <w:rFonts w:asciiTheme="majorHAnsi" w:hAnsiTheme="majorHAnsi"/>
          <w:sz w:val="20"/>
          <w:szCs w:val="20"/>
        </w:rPr>
        <w:t>кількістю</w:t>
      </w:r>
      <w:r w:rsidRPr="000977F7">
        <w:rPr>
          <w:rFonts w:asciiTheme="majorHAnsi" w:hAnsiTheme="majorHAnsi"/>
          <w:spacing w:val="-1"/>
          <w:sz w:val="20"/>
          <w:szCs w:val="20"/>
        </w:rPr>
        <w:t xml:space="preserve"> </w:t>
      </w:r>
      <w:r w:rsidRPr="000977F7">
        <w:rPr>
          <w:rFonts w:asciiTheme="majorHAnsi" w:hAnsiTheme="majorHAnsi"/>
          <w:sz w:val="20"/>
          <w:szCs w:val="20"/>
        </w:rPr>
        <w:t>станів</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5EE484D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3956 - 2000</w:t>
      </w:r>
    </w:p>
    <w:p w14:paraId="7FCA591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ОБ’ЄКТ З НЕПЕРЕРВНИМ ПЕРЕБІГОМ </w:t>
      </w:r>
    </w:p>
    <w:p w14:paraId="10C7DD4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w:t>
      </w:r>
      <w:r w:rsidRPr="000977F7">
        <w:rPr>
          <w:color w:val="auto"/>
          <w:spacing w:val="-47"/>
          <w:sz w:val="20"/>
          <w:szCs w:val="20"/>
        </w:rPr>
        <w:t xml:space="preserve"> </w:t>
      </w:r>
      <w:r w:rsidRPr="000977F7">
        <w:rPr>
          <w:color w:val="auto"/>
          <w:sz w:val="20"/>
          <w:szCs w:val="20"/>
        </w:rPr>
        <w:t>ЦЕСІВ -</w:t>
      </w:r>
    </w:p>
    <w:p w14:paraId="5E7FFF0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OBJEKT WITH UNINTERRUPTED COURSE OF</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PROCESSES -</w:t>
      </w:r>
    </w:p>
    <w:p w14:paraId="6F675F0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 у математичній моделі якого всі залежні змінні</w:t>
      </w:r>
      <w:r w:rsidRPr="000977F7">
        <w:rPr>
          <w:rFonts w:asciiTheme="majorHAnsi" w:hAnsiTheme="majorHAnsi"/>
          <w:spacing w:val="-2"/>
          <w:sz w:val="20"/>
          <w:szCs w:val="20"/>
        </w:rPr>
        <w:t xml:space="preserve"> </w:t>
      </w:r>
      <w:r w:rsidRPr="000977F7">
        <w:rPr>
          <w:rFonts w:asciiTheme="majorHAnsi" w:hAnsiTheme="majorHAnsi"/>
          <w:sz w:val="20"/>
          <w:szCs w:val="20"/>
        </w:rPr>
        <w:t>величини,</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функціями неперервного часу</w:t>
      </w:r>
    </w:p>
    <w:p w14:paraId="6BB62F5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474310A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ОБ’ЄКТ ІЗ ДИСКРЕТНИМ ПЕРЕБІГОМ ПРО</w:t>
      </w:r>
      <w:r w:rsidRPr="000977F7">
        <w:rPr>
          <w:color w:val="auto"/>
          <w:spacing w:val="-47"/>
          <w:sz w:val="20"/>
          <w:szCs w:val="20"/>
        </w:rPr>
        <w:t xml:space="preserve"> </w:t>
      </w:r>
      <w:r w:rsidRPr="000977F7">
        <w:rPr>
          <w:color w:val="auto"/>
          <w:sz w:val="20"/>
          <w:szCs w:val="20"/>
        </w:rPr>
        <w:t>ЦЕСІВ -</w:t>
      </w:r>
    </w:p>
    <w:p w14:paraId="72E357E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OBJECT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WITH</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DISCRETE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COURSE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PROCESSES –</w:t>
      </w:r>
    </w:p>
    <w:p w14:paraId="16AFDBF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 у математичній моделі якого всі залежні змінні величини можуть, змінюватися лише в дискретні</w:t>
      </w:r>
      <w:r w:rsidRPr="000977F7">
        <w:rPr>
          <w:rFonts w:asciiTheme="majorHAnsi" w:hAnsiTheme="majorHAnsi"/>
          <w:spacing w:val="1"/>
          <w:sz w:val="20"/>
          <w:szCs w:val="20"/>
        </w:rPr>
        <w:t xml:space="preserve"> </w:t>
      </w:r>
      <w:r w:rsidRPr="000977F7">
        <w:rPr>
          <w:rFonts w:asciiTheme="majorHAnsi" w:hAnsiTheme="majorHAnsi"/>
          <w:sz w:val="20"/>
          <w:szCs w:val="20"/>
        </w:rPr>
        <w:t>моменти</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73972CA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099A231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2"/>
          <w:sz w:val="20"/>
          <w:szCs w:val="20"/>
        </w:rPr>
        <w:t>ОБ’ЄКТ</w:t>
      </w:r>
      <w:r w:rsidRPr="000977F7">
        <w:rPr>
          <w:color w:val="auto"/>
          <w:spacing w:val="-9"/>
          <w:sz w:val="20"/>
          <w:szCs w:val="20"/>
        </w:rPr>
        <w:t xml:space="preserve"> </w:t>
      </w:r>
      <w:r w:rsidRPr="000977F7">
        <w:rPr>
          <w:color w:val="auto"/>
          <w:spacing w:val="-2"/>
          <w:sz w:val="20"/>
          <w:szCs w:val="20"/>
        </w:rPr>
        <w:t>ІЗ</w:t>
      </w:r>
      <w:r w:rsidRPr="000977F7">
        <w:rPr>
          <w:color w:val="auto"/>
          <w:spacing w:val="-9"/>
          <w:sz w:val="20"/>
          <w:szCs w:val="20"/>
        </w:rPr>
        <w:t xml:space="preserve"> </w:t>
      </w:r>
      <w:r w:rsidRPr="000977F7">
        <w:rPr>
          <w:color w:val="auto"/>
          <w:spacing w:val="-2"/>
          <w:sz w:val="20"/>
          <w:szCs w:val="20"/>
        </w:rPr>
        <w:t>ЗОСЕРЕДЖЕНИМИ</w:t>
      </w:r>
      <w:r w:rsidRPr="000977F7">
        <w:rPr>
          <w:color w:val="auto"/>
          <w:spacing w:val="-8"/>
          <w:sz w:val="20"/>
          <w:szCs w:val="20"/>
        </w:rPr>
        <w:t xml:space="preserve"> </w:t>
      </w:r>
      <w:r w:rsidRPr="000977F7">
        <w:rPr>
          <w:color w:val="auto"/>
          <w:spacing w:val="-1"/>
          <w:sz w:val="20"/>
          <w:szCs w:val="20"/>
        </w:rPr>
        <w:t>ПАРАМЕТРАМИ</w:t>
      </w:r>
      <w:r w:rsidRPr="000977F7">
        <w:rPr>
          <w:color w:val="auto"/>
          <w:spacing w:val="-8"/>
          <w:sz w:val="20"/>
          <w:szCs w:val="20"/>
        </w:rPr>
        <w:t xml:space="preserve"> </w:t>
      </w:r>
      <w:r w:rsidRPr="000977F7">
        <w:rPr>
          <w:color w:val="auto"/>
          <w:spacing w:val="-1"/>
          <w:sz w:val="20"/>
          <w:szCs w:val="20"/>
        </w:rPr>
        <w:t>-</w:t>
      </w:r>
    </w:p>
    <w:p w14:paraId="7942255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LUMPED</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r w:rsidRPr="004D2D14">
        <w:rPr>
          <w:rFonts w:asciiTheme="majorHAnsi" w:hAnsiTheme="majorHAnsi"/>
          <w:spacing w:val="-1"/>
          <w:sz w:val="20"/>
          <w:szCs w:val="20"/>
          <w:lang w:val="uk-UA"/>
        </w:rPr>
        <w:t xml:space="preserve"> </w:t>
      </w:r>
      <w:r w:rsidRPr="000977F7">
        <w:rPr>
          <w:rFonts w:asciiTheme="majorHAnsi" w:hAnsiTheme="majorHAnsi"/>
          <w:sz w:val="20"/>
          <w:szCs w:val="20"/>
        </w:rPr>
        <w:t>PARAMETERS</w:t>
      </w:r>
      <w:r w:rsidRPr="004D2D14">
        <w:rPr>
          <w:rFonts w:asciiTheme="majorHAnsi" w:hAnsiTheme="majorHAnsi"/>
          <w:sz w:val="20"/>
          <w:szCs w:val="20"/>
          <w:lang w:val="uk-UA"/>
        </w:rPr>
        <w:t xml:space="preserve"> </w:t>
      </w:r>
      <w:r w:rsidRPr="000977F7">
        <w:rPr>
          <w:rFonts w:asciiTheme="majorHAnsi" w:hAnsiTheme="majorHAnsi"/>
          <w:sz w:val="20"/>
          <w:szCs w:val="20"/>
        </w:rPr>
        <w:t>OBJECT</w:t>
      </w:r>
      <w:r w:rsidRPr="004D2D14">
        <w:rPr>
          <w:rFonts w:asciiTheme="majorHAnsi" w:hAnsiTheme="majorHAnsi"/>
          <w:sz w:val="20"/>
          <w:szCs w:val="20"/>
          <w:lang w:val="uk-UA"/>
        </w:rPr>
        <w:t xml:space="preserve"> -</w:t>
      </w:r>
    </w:p>
    <w:p w14:paraId="799E721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Об’єкт, у математичній моделі якого всі процеси можуть бути представлені змінюванням залежних змінних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величин</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часі</w:t>
      </w:r>
    </w:p>
    <w:p w14:paraId="4E8B91E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5B6A2C8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ОБ’ЄКТ</w:t>
      </w:r>
      <w:r w:rsidRPr="000977F7">
        <w:rPr>
          <w:color w:val="auto"/>
          <w:spacing w:val="-6"/>
          <w:sz w:val="20"/>
          <w:szCs w:val="20"/>
        </w:rPr>
        <w:t xml:space="preserve"> </w:t>
      </w:r>
      <w:r w:rsidRPr="000977F7">
        <w:rPr>
          <w:color w:val="auto"/>
          <w:sz w:val="20"/>
          <w:szCs w:val="20"/>
        </w:rPr>
        <w:t>ІЗ</w:t>
      </w:r>
      <w:r w:rsidRPr="000977F7">
        <w:rPr>
          <w:color w:val="auto"/>
          <w:spacing w:val="-4"/>
          <w:sz w:val="20"/>
          <w:szCs w:val="20"/>
        </w:rPr>
        <w:t xml:space="preserve"> </w:t>
      </w:r>
      <w:r w:rsidRPr="000977F7">
        <w:rPr>
          <w:color w:val="auto"/>
          <w:sz w:val="20"/>
          <w:szCs w:val="20"/>
        </w:rPr>
        <w:t>РОЗПОДІЛЕНИМИ</w:t>
      </w:r>
      <w:r w:rsidRPr="000977F7">
        <w:rPr>
          <w:color w:val="auto"/>
          <w:spacing w:val="-3"/>
          <w:sz w:val="20"/>
          <w:szCs w:val="20"/>
        </w:rPr>
        <w:t xml:space="preserve"> </w:t>
      </w:r>
      <w:r w:rsidRPr="000977F7">
        <w:rPr>
          <w:color w:val="auto"/>
          <w:sz w:val="20"/>
          <w:szCs w:val="20"/>
        </w:rPr>
        <w:t>ПАРАМЕТРАМИ -</w:t>
      </w:r>
    </w:p>
    <w:p w14:paraId="133A30E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DISTRIBUTED</w:t>
      </w:r>
      <w:r w:rsidRPr="004D2D14">
        <w:rPr>
          <w:rFonts w:asciiTheme="majorHAnsi" w:hAnsiTheme="majorHAnsi"/>
          <w:spacing w:val="-4"/>
          <w:sz w:val="20"/>
          <w:szCs w:val="20"/>
          <w:lang w:val="uk-UA"/>
        </w:rPr>
        <w:t xml:space="preserve"> </w:t>
      </w:r>
      <w:r w:rsidRPr="000977F7">
        <w:rPr>
          <w:rFonts w:asciiTheme="majorHAnsi" w:hAnsiTheme="majorHAnsi"/>
          <w:sz w:val="20"/>
          <w:szCs w:val="20"/>
        </w:rPr>
        <w:t>PARAMETERS</w:t>
      </w:r>
      <w:r w:rsidRPr="004D2D14">
        <w:rPr>
          <w:rFonts w:asciiTheme="majorHAnsi" w:hAnsiTheme="majorHAnsi"/>
          <w:spacing w:val="-4"/>
          <w:sz w:val="20"/>
          <w:szCs w:val="20"/>
          <w:lang w:val="uk-UA"/>
        </w:rPr>
        <w:t xml:space="preserve"> </w:t>
      </w:r>
      <w:r w:rsidRPr="000977F7">
        <w:rPr>
          <w:rFonts w:asciiTheme="majorHAnsi" w:hAnsiTheme="majorHAnsi"/>
          <w:sz w:val="20"/>
          <w:szCs w:val="20"/>
        </w:rPr>
        <w:t>OBJECT</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3A73A25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Об’єкт, у математичній моделі якого принаймі один із</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процесів поданий зміною залежної змінної величини у</w:t>
      </w:r>
      <w:r w:rsidRPr="004D2D14">
        <w:rPr>
          <w:rFonts w:asciiTheme="majorHAnsi" w:hAnsiTheme="majorHAnsi"/>
          <w:spacing w:val="-48"/>
          <w:sz w:val="20"/>
          <w:szCs w:val="20"/>
          <w:lang w:val="uk-UA"/>
        </w:rPr>
        <w:t xml:space="preserve"> </w:t>
      </w:r>
      <w:r w:rsidRPr="004D2D14">
        <w:rPr>
          <w:rFonts w:asciiTheme="majorHAnsi" w:hAnsiTheme="majorHAnsi"/>
          <w:sz w:val="20"/>
          <w:szCs w:val="20"/>
          <w:lang w:val="uk-UA"/>
        </w:rPr>
        <w:t>часі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і просторі</w:t>
      </w:r>
    </w:p>
    <w:p w14:paraId="01274D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5BC6B1F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Математична модель об’єкта з розподіленими</w:t>
      </w:r>
      <w:r w:rsidRPr="000977F7">
        <w:rPr>
          <w:rFonts w:asciiTheme="majorHAnsi" w:hAnsiTheme="majorHAnsi"/>
          <w:spacing w:val="1"/>
          <w:sz w:val="20"/>
          <w:szCs w:val="20"/>
        </w:rPr>
        <w:t xml:space="preserve"> </w:t>
      </w:r>
      <w:r w:rsidRPr="000977F7">
        <w:rPr>
          <w:rFonts w:asciiTheme="majorHAnsi" w:hAnsiTheme="majorHAnsi"/>
          <w:sz w:val="20"/>
          <w:szCs w:val="20"/>
        </w:rPr>
        <w:t>параметрами має принайні одне</w:t>
      </w:r>
      <w:r w:rsidRPr="000977F7">
        <w:rPr>
          <w:rFonts w:asciiTheme="majorHAnsi" w:hAnsiTheme="majorHAnsi"/>
          <w:spacing w:val="50"/>
          <w:sz w:val="20"/>
          <w:szCs w:val="20"/>
        </w:rPr>
        <w:t xml:space="preserve"> </w:t>
      </w:r>
      <w:r w:rsidRPr="000977F7">
        <w:rPr>
          <w:rFonts w:asciiTheme="majorHAnsi" w:hAnsiTheme="majorHAnsi"/>
          <w:sz w:val="20"/>
          <w:szCs w:val="20"/>
        </w:rPr>
        <w:t>диференціальне рівняння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частинних</w:t>
      </w:r>
      <w:r w:rsidRPr="000977F7">
        <w:rPr>
          <w:rFonts w:asciiTheme="majorHAnsi" w:hAnsiTheme="majorHAnsi"/>
          <w:spacing w:val="-1"/>
          <w:sz w:val="20"/>
          <w:szCs w:val="20"/>
        </w:rPr>
        <w:t xml:space="preserve"> </w:t>
      </w:r>
      <w:r w:rsidRPr="000977F7">
        <w:rPr>
          <w:rFonts w:asciiTheme="majorHAnsi" w:hAnsiTheme="majorHAnsi"/>
          <w:sz w:val="20"/>
          <w:szCs w:val="20"/>
        </w:rPr>
        <w:t>похідних</w:t>
      </w:r>
    </w:p>
    <w:p w14:paraId="70A56B4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3956 - 2000</w:t>
      </w:r>
    </w:p>
    <w:p w14:paraId="15116A59"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ОБ</w:t>
      </w:r>
      <w:r w:rsidRPr="004D2D14">
        <w:rPr>
          <w:rFonts w:asciiTheme="majorHAnsi" w:hAnsiTheme="majorHAnsi"/>
          <w:b/>
          <w:sz w:val="20"/>
          <w:szCs w:val="20"/>
          <w:lang w:val="en-US"/>
        </w:rPr>
        <w:t>’</w:t>
      </w:r>
      <w:r w:rsidRPr="000977F7">
        <w:rPr>
          <w:rFonts w:asciiTheme="majorHAnsi" w:hAnsiTheme="majorHAnsi"/>
          <w:b/>
          <w:sz w:val="20"/>
          <w:szCs w:val="20"/>
        </w:rPr>
        <w:t>ЄКТ</w:t>
      </w:r>
      <w:r w:rsidRPr="004D2D14">
        <w:rPr>
          <w:rFonts w:asciiTheme="majorHAnsi" w:hAnsiTheme="majorHAnsi"/>
          <w:b/>
          <w:sz w:val="20"/>
          <w:szCs w:val="20"/>
          <w:lang w:val="en-US"/>
        </w:rPr>
        <w:t xml:space="preserve"> </w:t>
      </w:r>
      <w:r w:rsidRPr="000977F7">
        <w:rPr>
          <w:rFonts w:asciiTheme="majorHAnsi" w:hAnsiTheme="majorHAnsi"/>
          <w:b/>
          <w:sz w:val="20"/>
          <w:szCs w:val="20"/>
        </w:rPr>
        <w:t>КЕРУВАННЯ</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p>
    <w:p w14:paraId="58298D01"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CONTROLLED</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OBJECT</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w:t>
      </w:r>
    </w:p>
    <w:p w14:paraId="4D1353CD"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Об’єкт,</w:t>
      </w:r>
      <w:r w:rsidRPr="000977F7">
        <w:rPr>
          <w:rFonts w:asciiTheme="majorHAnsi" w:hAnsiTheme="majorHAnsi"/>
          <w:spacing w:val="34"/>
          <w:sz w:val="20"/>
          <w:szCs w:val="20"/>
        </w:rPr>
        <w:t xml:space="preserve"> </w:t>
      </w:r>
      <w:r w:rsidRPr="000977F7">
        <w:rPr>
          <w:rFonts w:asciiTheme="majorHAnsi" w:hAnsiTheme="majorHAnsi"/>
          <w:sz w:val="20"/>
          <w:szCs w:val="20"/>
        </w:rPr>
        <w:t>що</w:t>
      </w:r>
      <w:r w:rsidRPr="000977F7">
        <w:rPr>
          <w:rFonts w:asciiTheme="majorHAnsi" w:hAnsiTheme="majorHAnsi"/>
          <w:spacing w:val="35"/>
          <w:sz w:val="20"/>
          <w:szCs w:val="20"/>
        </w:rPr>
        <w:t xml:space="preserve"> </w:t>
      </w:r>
      <w:r w:rsidRPr="000977F7">
        <w:rPr>
          <w:rFonts w:asciiTheme="majorHAnsi" w:hAnsiTheme="majorHAnsi"/>
          <w:sz w:val="20"/>
          <w:szCs w:val="20"/>
        </w:rPr>
        <w:t>потребує</w:t>
      </w:r>
      <w:r w:rsidRPr="000977F7">
        <w:rPr>
          <w:rFonts w:asciiTheme="majorHAnsi" w:hAnsiTheme="majorHAnsi"/>
          <w:spacing w:val="33"/>
          <w:sz w:val="20"/>
          <w:szCs w:val="20"/>
        </w:rPr>
        <w:t xml:space="preserve"> </w:t>
      </w:r>
      <w:r w:rsidRPr="000977F7">
        <w:rPr>
          <w:rFonts w:asciiTheme="majorHAnsi" w:hAnsiTheme="majorHAnsi"/>
          <w:sz w:val="20"/>
          <w:szCs w:val="20"/>
        </w:rPr>
        <w:t>спеціально</w:t>
      </w:r>
      <w:r w:rsidRPr="000977F7">
        <w:rPr>
          <w:rFonts w:asciiTheme="majorHAnsi" w:hAnsiTheme="majorHAnsi"/>
          <w:spacing w:val="33"/>
          <w:sz w:val="20"/>
          <w:szCs w:val="20"/>
        </w:rPr>
        <w:t xml:space="preserve"> </w:t>
      </w:r>
      <w:r w:rsidRPr="000977F7">
        <w:rPr>
          <w:rFonts w:asciiTheme="majorHAnsi" w:hAnsiTheme="majorHAnsi"/>
          <w:sz w:val="20"/>
          <w:szCs w:val="20"/>
        </w:rPr>
        <w:t>організованих</w:t>
      </w:r>
      <w:r w:rsidRPr="000977F7">
        <w:rPr>
          <w:rFonts w:asciiTheme="majorHAnsi" w:hAnsiTheme="majorHAnsi"/>
          <w:spacing w:val="32"/>
          <w:sz w:val="20"/>
          <w:szCs w:val="20"/>
        </w:rPr>
        <w:t xml:space="preserve"> </w:t>
      </w:r>
      <w:r w:rsidRPr="000977F7">
        <w:rPr>
          <w:rFonts w:asciiTheme="majorHAnsi" w:hAnsiTheme="majorHAnsi"/>
          <w:sz w:val="20"/>
          <w:szCs w:val="20"/>
        </w:rPr>
        <w:t>діянь</w:t>
      </w:r>
      <w:r w:rsidRPr="000977F7">
        <w:rPr>
          <w:rFonts w:asciiTheme="majorHAnsi" w:hAnsiTheme="majorHAnsi"/>
          <w:spacing w:val="-47"/>
          <w:sz w:val="20"/>
          <w:szCs w:val="20"/>
        </w:rPr>
        <w:t xml:space="preserve"> </w:t>
      </w:r>
      <w:r w:rsidRPr="000977F7">
        <w:rPr>
          <w:rFonts w:asciiTheme="majorHAnsi" w:hAnsiTheme="majorHAnsi"/>
          <w:sz w:val="20"/>
          <w:szCs w:val="20"/>
        </w:rPr>
        <w:t>для</w:t>
      </w:r>
      <w:r w:rsidRPr="000977F7">
        <w:rPr>
          <w:rFonts w:asciiTheme="majorHAnsi" w:hAnsiTheme="majorHAnsi"/>
          <w:spacing w:val="-8"/>
          <w:sz w:val="20"/>
          <w:szCs w:val="20"/>
        </w:rPr>
        <w:t xml:space="preserve"> </w:t>
      </w:r>
      <w:r w:rsidRPr="000977F7">
        <w:rPr>
          <w:rFonts w:asciiTheme="majorHAnsi" w:hAnsiTheme="majorHAnsi"/>
          <w:sz w:val="20"/>
          <w:szCs w:val="20"/>
        </w:rPr>
        <w:t>того,</w:t>
      </w:r>
      <w:r w:rsidRPr="000977F7">
        <w:rPr>
          <w:rFonts w:asciiTheme="majorHAnsi" w:hAnsiTheme="majorHAnsi"/>
          <w:spacing w:val="-7"/>
          <w:sz w:val="20"/>
          <w:szCs w:val="20"/>
        </w:rPr>
        <w:t xml:space="preserve"> </w:t>
      </w:r>
      <w:r w:rsidRPr="000977F7">
        <w:rPr>
          <w:rFonts w:asciiTheme="majorHAnsi" w:hAnsiTheme="majorHAnsi"/>
          <w:sz w:val="20"/>
          <w:szCs w:val="20"/>
        </w:rPr>
        <w:t>щоб</w:t>
      </w:r>
      <w:r w:rsidRPr="000977F7">
        <w:rPr>
          <w:rFonts w:asciiTheme="majorHAnsi" w:hAnsiTheme="majorHAnsi"/>
          <w:spacing w:val="-8"/>
          <w:sz w:val="20"/>
          <w:szCs w:val="20"/>
        </w:rPr>
        <w:t xml:space="preserve"> </w:t>
      </w:r>
      <w:r w:rsidRPr="000977F7">
        <w:rPr>
          <w:rFonts w:asciiTheme="majorHAnsi" w:hAnsiTheme="majorHAnsi"/>
          <w:sz w:val="20"/>
          <w:szCs w:val="20"/>
        </w:rPr>
        <w:t>забезпечити</w:t>
      </w:r>
      <w:r w:rsidRPr="000977F7">
        <w:rPr>
          <w:rFonts w:asciiTheme="majorHAnsi" w:hAnsiTheme="majorHAnsi"/>
          <w:spacing w:val="-7"/>
          <w:sz w:val="20"/>
          <w:szCs w:val="20"/>
        </w:rPr>
        <w:t xml:space="preserve"> </w:t>
      </w:r>
      <w:r w:rsidRPr="000977F7">
        <w:rPr>
          <w:rFonts w:asciiTheme="majorHAnsi" w:hAnsiTheme="majorHAnsi"/>
          <w:sz w:val="20"/>
          <w:szCs w:val="20"/>
        </w:rPr>
        <w:t>близькі</w:t>
      </w:r>
      <w:r w:rsidRPr="000977F7">
        <w:rPr>
          <w:rFonts w:asciiTheme="majorHAnsi" w:hAnsiTheme="majorHAnsi"/>
          <w:spacing w:val="-6"/>
          <w:sz w:val="20"/>
          <w:szCs w:val="20"/>
        </w:rPr>
        <w:t xml:space="preserve"> </w:t>
      </w:r>
      <w:r w:rsidRPr="000977F7">
        <w:rPr>
          <w:rFonts w:asciiTheme="majorHAnsi" w:hAnsiTheme="majorHAnsi"/>
          <w:sz w:val="20"/>
          <w:szCs w:val="20"/>
        </w:rPr>
        <w:t>до</w:t>
      </w:r>
      <w:r w:rsidRPr="000977F7">
        <w:rPr>
          <w:rFonts w:asciiTheme="majorHAnsi" w:hAnsiTheme="majorHAnsi"/>
          <w:spacing w:val="-5"/>
          <w:sz w:val="20"/>
          <w:szCs w:val="20"/>
        </w:rPr>
        <w:t xml:space="preserve"> </w:t>
      </w:r>
      <w:r w:rsidRPr="000977F7">
        <w:rPr>
          <w:rFonts w:asciiTheme="majorHAnsi" w:hAnsiTheme="majorHAnsi"/>
          <w:sz w:val="20"/>
          <w:szCs w:val="20"/>
        </w:rPr>
        <w:t>бажаних</w:t>
      </w:r>
      <w:r w:rsidRPr="000977F7">
        <w:rPr>
          <w:rFonts w:asciiTheme="majorHAnsi" w:hAnsiTheme="majorHAnsi"/>
          <w:spacing w:val="-6"/>
          <w:sz w:val="20"/>
          <w:szCs w:val="20"/>
        </w:rPr>
        <w:t xml:space="preserve"> </w:t>
      </w:r>
      <w:r w:rsidRPr="000977F7">
        <w:rPr>
          <w:rFonts w:asciiTheme="majorHAnsi" w:hAnsiTheme="majorHAnsi"/>
          <w:sz w:val="20"/>
          <w:szCs w:val="20"/>
        </w:rPr>
        <w:t>процеси</w:t>
      </w:r>
      <w:r w:rsidRPr="000977F7">
        <w:rPr>
          <w:rFonts w:asciiTheme="majorHAnsi" w:hAnsiTheme="majorHAnsi"/>
          <w:spacing w:val="-47"/>
          <w:sz w:val="20"/>
          <w:szCs w:val="20"/>
        </w:rPr>
        <w:t xml:space="preserve"> </w:t>
      </w:r>
      <w:r w:rsidRPr="000977F7">
        <w:rPr>
          <w:rFonts w:asciiTheme="majorHAnsi" w:hAnsiTheme="majorHAnsi"/>
          <w:spacing w:val="-2"/>
          <w:sz w:val="20"/>
          <w:szCs w:val="20"/>
        </w:rPr>
        <w:t xml:space="preserve">та (або) </w:t>
      </w:r>
      <w:r w:rsidRPr="000977F7">
        <w:rPr>
          <w:rFonts w:asciiTheme="majorHAnsi" w:hAnsiTheme="majorHAnsi"/>
          <w:spacing w:val="-1"/>
          <w:sz w:val="20"/>
          <w:szCs w:val="20"/>
        </w:rPr>
        <w:t>значення (співвідношення значень) параметрів</w:t>
      </w:r>
      <w:r w:rsidRPr="000977F7">
        <w:rPr>
          <w:rFonts w:asciiTheme="majorHAnsi" w:hAnsiTheme="majorHAnsi"/>
          <w:spacing w:val="-47"/>
          <w:sz w:val="20"/>
          <w:szCs w:val="20"/>
        </w:rPr>
        <w:t xml:space="preserve"> </w:t>
      </w:r>
    </w:p>
    <w:p w14:paraId="7982C3A6"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3956 - 2000</w:t>
      </w:r>
    </w:p>
    <w:p w14:paraId="2898B1E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ОБ’ЄКТ</w:t>
      </w:r>
      <w:r w:rsidRPr="000977F7">
        <w:rPr>
          <w:color w:val="auto"/>
          <w:spacing w:val="-6"/>
          <w:sz w:val="20"/>
          <w:szCs w:val="20"/>
        </w:rPr>
        <w:t xml:space="preserve"> </w:t>
      </w:r>
      <w:r w:rsidRPr="000977F7">
        <w:rPr>
          <w:color w:val="auto"/>
          <w:sz w:val="20"/>
          <w:szCs w:val="20"/>
        </w:rPr>
        <w:t>КОНФІГУРАЦІЇ –</w:t>
      </w:r>
    </w:p>
    <w:p w14:paraId="04ED319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CONFIGURATION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OBJECT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1A9496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 у межах конфігурації, який задовольняє функцію</w:t>
      </w:r>
      <w:r w:rsidRPr="000977F7">
        <w:rPr>
          <w:rFonts w:asciiTheme="majorHAnsi" w:hAnsiTheme="majorHAnsi"/>
          <w:spacing w:val="-2"/>
          <w:sz w:val="20"/>
          <w:szCs w:val="20"/>
        </w:rPr>
        <w:t xml:space="preserve"> </w:t>
      </w:r>
      <w:r w:rsidRPr="000977F7">
        <w:rPr>
          <w:rFonts w:asciiTheme="majorHAnsi" w:hAnsiTheme="majorHAnsi"/>
          <w:sz w:val="20"/>
          <w:szCs w:val="20"/>
        </w:rPr>
        <w:t>кінцевого</w:t>
      </w:r>
      <w:r w:rsidRPr="000977F7">
        <w:rPr>
          <w:rFonts w:asciiTheme="majorHAnsi" w:hAnsiTheme="majorHAnsi"/>
          <w:spacing w:val="1"/>
          <w:sz w:val="20"/>
          <w:szCs w:val="20"/>
        </w:rPr>
        <w:t xml:space="preserve"> </w:t>
      </w:r>
      <w:r w:rsidRPr="000977F7">
        <w:rPr>
          <w:rFonts w:asciiTheme="majorHAnsi" w:hAnsiTheme="majorHAnsi"/>
          <w:sz w:val="20"/>
          <w:szCs w:val="20"/>
        </w:rPr>
        <w:t>користування</w:t>
      </w:r>
    </w:p>
    <w:p w14:paraId="5150E1E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26F85528"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b/>
          <w:sz w:val="20"/>
          <w:szCs w:val="20"/>
          <w:lang w:eastAsia="ru-RU"/>
        </w:rPr>
      </w:pPr>
      <w:r w:rsidRPr="000977F7">
        <w:rPr>
          <w:rFonts w:asciiTheme="majorHAnsi" w:hAnsiTheme="majorHAnsi"/>
          <w:b/>
          <w:sz w:val="20"/>
          <w:szCs w:val="20"/>
        </w:rPr>
        <w:t>ОБ’ЄКТ</w:t>
      </w:r>
      <w:r w:rsidRPr="000977F7">
        <w:rPr>
          <w:rFonts w:asciiTheme="majorHAnsi" w:hAnsiTheme="majorHAnsi"/>
          <w:b/>
          <w:sz w:val="20"/>
          <w:szCs w:val="20"/>
          <w:lang w:eastAsia="ru-RU"/>
        </w:rPr>
        <w:t xml:space="preserve"> ОЦІНКИ ВІДПОВІДНОСТІ –</w:t>
      </w:r>
    </w:p>
    <w:p w14:paraId="1FE7B660"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Конкретний матеріал, продукція, установка, процес, послуга, система, особа чи орган, до яких застосовується оцінка відповідності;</w:t>
      </w:r>
    </w:p>
    <w:p w14:paraId="174C485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bookmarkStart w:id="154" w:name="_Hlk103182256"/>
      <w:r w:rsidRPr="000977F7">
        <w:rPr>
          <w:rFonts w:asciiTheme="majorHAnsi" w:hAnsiTheme="majorHAnsi"/>
          <w:i/>
          <w:sz w:val="20"/>
          <w:szCs w:val="20"/>
        </w:rPr>
        <w:t>Закон України "Про технічні регламенти та оцінку відповідності"</w:t>
      </w:r>
    </w:p>
    <w:p w14:paraId="6480AFD6" w14:textId="77777777" w:rsidR="0097612F" w:rsidRPr="004D2D14" w:rsidRDefault="0097612F" w:rsidP="000977F7">
      <w:pPr>
        <w:tabs>
          <w:tab w:val="left" w:pos="284"/>
        </w:tabs>
        <w:spacing w:after="0" w:line="240" w:lineRule="auto"/>
        <w:ind w:left="170"/>
        <w:mirrorIndents/>
        <w:jc w:val="both"/>
        <w:rPr>
          <w:rFonts w:asciiTheme="majorHAnsi" w:hAnsiTheme="majorHAnsi"/>
          <w:spacing w:val="1"/>
          <w:sz w:val="20"/>
          <w:szCs w:val="20"/>
          <w:lang w:val="en-US"/>
        </w:rPr>
      </w:pPr>
      <w:bookmarkStart w:id="155" w:name="_Hlk103181043"/>
      <w:bookmarkEnd w:id="154"/>
      <w:r w:rsidRPr="000977F7">
        <w:rPr>
          <w:rFonts w:asciiTheme="majorHAnsi" w:hAnsiTheme="majorHAnsi"/>
          <w:b/>
          <w:sz w:val="20"/>
          <w:szCs w:val="20"/>
        </w:rPr>
        <w:t>ОБ</w:t>
      </w:r>
      <w:r w:rsidRPr="004D2D14">
        <w:rPr>
          <w:rFonts w:asciiTheme="majorHAnsi" w:hAnsiTheme="majorHAnsi"/>
          <w:b/>
          <w:sz w:val="20"/>
          <w:szCs w:val="20"/>
          <w:lang w:val="en-US"/>
        </w:rPr>
        <w:t>’</w:t>
      </w:r>
      <w:r w:rsidRPr="000977F7">
        <w:rPr>
          <w:rFonts w:asciiTheme="majorHAnsi" w:hAnsiTheme="majorHAnsi"/>
          <w:b/>
          <w:sz w:val="20"/>
          <w:szCs w:val="20"/>
        </w:rPr>
        <w:t>ЄКТ</w:t>
      </w:r>
      <w:bookmarkEnd w:id="155"/>
      <w:r w:rsidRPr="004D2D14">
        <w:rPr>
          <w:rFonts w:asciiTheme="majorHAnsi" w:hAnsiTheme="majorHAnsi"/>
          <w:b/>
          <w:sz w:val="20"/>
          <w:szCs w:val="20"/>
          <w:lang w:val="en-US"/>
        </w:rPr>
        <w:t xml:space="preserve"> </w:t>
      </w:r>
      <w:r w:rsidRPr="000977F7">
        <w:rPr>
          <w:rFonts w:asciiTheme="majorHAnsi" w:hAnsiTheme="majorHAnsi"/>
          <w:b/>
          <w:sz w:val="20"/>
          <w:szCs w:val="20"/>
        </w:rPr>
        <w:t>СТАНДАРТИЗАЦІЇ</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p>
    <w:p w14:paraId="37E68A59"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OBJECT</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STANDARDIZATION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2563780" w14:textId="77777777" w:rsidR="0097612F" w:rsidRPr="000977F7" w:rsidRDefault="0097612F" w:rsidP="000977F7">
      <w:pPr>
        <w:pStyle w:val="af6"/>
        <w:tabs>
          <w:tab w:val="left" w:pos="284"/>
        </w:tabs>
        <w:spacing w:after="0"/>
        <w:ind w:left="170"/>
        <w:mirrorIndents/>
        <w:jc w:val="both"/>
        <w:rPr>
          <w:rFonts w:asciiTheme="majorHAnsi" w:hAnsiTheme="majorHAnsi"/>
          <w:spacing w:val="-48"/>
          <w:sz w:val="20"/>
          <w:szCs w:val="20"/>
        </w:rPr>
      </w:pPr>
      <w:r w:rsidRPr="000977F7">
        <w:rPr>
          <w:rFonts w:asciiTheme="majorHAnsi" w:hAnsiTheme="majorHAnsi"/>
          <w:sz w:val="20"/>
          <w:szCs w:val="20"/>
        </w:rPr>
        <w:t>Об’єкт,</w:t>
      </w:r>
      <w:r w:rsidRPr="000977F7">
        <w:rPr>
          <w:rFonts w:asciiTheme="majorHAnsi" w:hAnsiTheme="majorHAnsi"/>
          <w:spacing w:val="-5"/>
          <w:sz w:val="20"/>
          <w:szCs w:val="20"/>
        </w:rPr>
        <w:t xml:space="preserve"> </w:t>
      </w:r>
      <w:r w:rsidRPr="000977F7">
        <w:rPr>
          <w:rFonts w:asciiTheme="majorHAnsi" w:hAnsiTheme="majorHAnsi"/>
          <w:sz w:val="20"/>
          <w:szCs w:val="20"/>
        </w:rPr>
        <w:t>що</w:t>
      </w:r>
      <w:r w:rsidRPr="000977F7">
        <w:rPr>
          <w:rFonts w:asciiTheme="majorHAnsi" w:hAnsiTheme="majorHAnsi"/>
          <w:spacing w:val="-4"/>
          <w:sz w:val="20"/>
          <w:szCs w:val="20"/>
        </w:rPr>
        <w:t xml:space="preserve"> </w:t>
      </w:r>
      <w:r w:rsidRPr="000977F7">
        <w:rPr>
          <w:rFonts w:asciiTheme="majorHAnsi" w:hAnsiTheme="majorHAnsi"/>
          <w:sz w:val="20"/>
          <w:szCs w:val="20"/>
        </w:rPr>
        <w:t>має</w:t>
      </w:r>
      <w:r w:rsidRPr="000977F7">
        <w:rPr>
          <w:rFonts w:asciiTheme="majorHAnsi" w:hAnsiTheme="majorHAnsi"/>
          <w:spacing w:val="-4"/>
          <w:sz w:val="20"/>
          <w:szCs w:val="20"/>
        </w:rPr>
        <w:t xml:space="preserve"> </w:t>
      </w:r>
      <w:r w:rsidRPr="000977F7">
        <w:rPr>
          <w:rFonts w:asciiTheme="majorHAnsi" w:hAnsiTheme="majorHAnsi"/>
          <w:sz w:val="20"/>
          <w:szCs w:val="20"/>
        </w:rPr>
        <w:t>бути</w:t>
      </w:r>
      <w:r w:rsidRPr="000977F7">
        <w:rPr>
          <w:rFonts w:asciiTheme="majorHAnsi" w:hAnsiTheme="majorHAnsi"/>
          <w:spacing w:val="-6"/>
          <w:sz w:val="20"/>
          <w:szCs w:val="20"/>
        </w:rPr>
        <w:t xml:space="preserve"> </w:t>
      </w:r>
      <w:r w:rsidRPr="000977F7">
        <w:rPr>
          <w:rFonts w:asciiTheme="majorHAnsi" w:hAnsiTheme="majorHAnsi"/>
          <w:sz w:val="20"/>
          <w:szCs w:val="20"/>
        </w:rPr>
        <w:t>за стандартизованим</w:t>
      </w:r>
      <w:r w:rsidRPr="000977F7">
        <w:rPr>
          <w:rFonts w:asciiTheme="majorHAnsi" w:hAnsiTheme="majorHAnsi"/>
          <w:spacing w:val="-48"/>
          <w:sz w:val="20"/>
          <w:szCs w:val="20"/>
        </w:rPr>
        <w:t xml:space="preserve"> </w:t>
      </w:r>
    </w:p>
    <w:p w14:paraId="609BE1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572E4C58" w14:textId="77777777" w:rsidR="0097612F" w:rsidRPr="000977F7" w:rsidRDefault="0097612F" w:rsidP="00FD39A4">
      <w:pPr>
        <w:pStyle w:val="ac"/>
        <w:widowControl w:val="0"/>
        <w:numPr>
          <w:ilvl w:val="0"/>
          <w:numId w:val="136"/>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Для відображення поняття об’єкт стандартизації в</w:t>
      </w:r>
      <w:r w:rsidRPr="000977F7">
        <w:rPr>
          <w:rFonts w:asciiTheme="majorHAnsi" w:hAnsiTheme="majorHAnsi"/>
          <w:spacing w:val="-47"/>
          <w:sz w:val="20"/>
          <w:szCs w:val="20"/>
        </w:rPr>
        <w:t xml:space="preserve"> </w:t>
      </w:r>
      <w:r w:rsidRPr="000977F7">
        <w:rPr>
          <w:rFonts w:asciiTheme="majorHAnsi" w:hAnsiTheme="majorHAnsi"/>
          <w:sz w:val="20"/>
          <w:szCs w:val="20"/>
        </w:rPr>
        <w:t>найзагальнішому</w:t>
      </w:r>
      <w:r w:rsidRPr="000977F7">
        <w:rPr>
          <w:rFonts w:asciiTheme="majorHAnsi" w:hAnsiTheme="majorHAnsi"/>
          <w:spacing w:val="1"/>
          <w:sz w:val="20"/>
          <w:szCs w:val="20"/>
        </w:rPr>
        <w:t xml:space="preserve"> </w:t>
      </w:r>
      <w:r w:rsidRPr="000977F7">
        <w:rPr>
          <w:rFonts w:asciiTheme="majorHAnsi" w:hAnsiTheme="majorHAnsi"/>
          <w:sz w:val="20"/>
          <w:szCs w:val="20"/>
        </w:rPr>
        <w:t>розумінні</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цьому</w:t>
      </w:r>
      <w:r w:rsidRPr="000977F7">
        <w:rPr>
          <w:rFonts w:asciiTheme="majorHAnsi" w:hAnsiTheme="majorHAnsi"/>
          <w:spacing w:val="1"/>
          <w:sz w:val="20"/>
          <w:szCs w:val="20"/>
        </w:rPr>
        <w:t xml:space="preserve"> </w:t>
      </w:r>
      <w:r w:rsidRPr="000977F7">
        <w:rPr>
          <w:rFonts w:asciiTheme="majorHAnsi" w:hAnsiTheme="majorHAnsi"/>
          <w:sz w:val="20"/>
          <w:szCs w:val="20"/>
        </w:rPr>
        <w:t>стандарті</w:t>
      </w:r>
      <w:r w:rsidRPr="000977F7">
        <w:rPr>
          <w:rFonts w:asciiTheme="majorHAnsi" w:hAnsiTheme="majorHAnsi"/>
          <w:spacing w:val="1"/>
          <w:sz w:val="20"/>
          <w:szCs w:val="20"/>
        </w:rPr>
        <w:t xml:space="preserve"> </w:t>
      </w:r>
      <w:r w:rsidRPr="000977F7">
        <w:rPr>
          <w:rFonts w:asciiTheme="majorHAnsi" w:hAnsiTheme="majorHAnsi"/>
          <w:spacing w:val="-1"/>
          <w:sz w:val="20"/>
          <w:szCs w:val="20"/>
        </w:rPr>
        <w:t>вжито</w:t>
      </w:r>
      <w:r w:rsidRPr="000977F7">
        <w:rPr>
          <w:rFonts w:asciiTheme="majorHAnsi" w:hAnsiTheme="majorHAnsi"/>
          <w:spacing w:val="-11"/>
          <w:sz w:val="20"/>
          <w:szCs w:val="20"/>
        </w:rPr>
        <w:t xml:space="preserve"> </w:t>
      </w:r>
      <w:r w:rsidRPr="000977F7">
        <w:rPr>
          <w:rFonts w:asciiTheme="majorHAnsi" w:hAnsiTheme="majorHAnsi"/>
          <w:sz w:val="20"/>
          <w:szCs w:val="20"/>
        </w:rPr>
        <w:t>вислів</w:t>
      </w:r>
      <w:r w:rsidRPr="000977F7">
        <w:rPr>
          <w:rFonts w:asciiTheme="majorHAnsi" w:hAnsiTheme="majorHAnsi"/>
          <w:spacing w:val="-10"/>
          <w:sz w:val="20"/>
          <w:szCs w:val="20"/>
        </w:rPr>
        <w:t xml:space="preserve"> </w:t>
      </w:r>
      <w:r w:rsidRPr="000977F7">
        <w:rPr>
          <w:rFonts w:asciiTheme="majorHAnsi" w:hAnsiTheme="majorHAnsi"/>
          <w:sz w:val="20"/>
          <w:szCs w:val="20"/>
        </w:rPr>
        <w:t>―виріб</w:t>
      </w:r>
      <w:r w:rsidRPr="000977F7">
        <w:rPr>
          <w:rFonts w:asciiTheme="majorHAnsi" w:hAnsiTheme="majorHAnsi"/>
          <w:spacing w:val="-11"/>
          <w:sz w:val="20"/>
          <w:szCs w:val="20"/>
        </w:rPr>
        <w:t xml:space="preserve"> </w:t>
      </w:r>
      <w:r w:rsidRPr="000977F7">
        <w:rPr>
          <w:rFonts w:asciiTheme="majorHAnsi" w:hAnsiTheme="majorHAnsi"/>
          <w:sz w:val="20"/>
          <w:szCs w:val="20"/>
        </w:rPr>
        <w:t>(збірне</w:t>
      </w:r>
      <w:r w:rsidRPr="000977F7">
        <w:rPr>
          <w:rFonts w:asciiTheme="majorHAnsi" w:hAnsiTheme="majorHAnsi"/>
          <w:spacing w:val="-11"/>
          <w:sz w:val="20"/>
          <w:szCs w:val="20"/>
        </w:rPr>
        <w:t xml:space="preserve"> </w:t>
      </w:r>
      <w:r w:rsidRPr="000977F7">
        <w:rPr>
          <w:rFonts w:asciiTheme="majorHAnsi" w:hAnsiTheme="majorHAnsi"/>
          <w:sz w:val="20"/>
          <w:szCs w:val="20"/>
        </w:rPr>
        <w:t>поняття</w:t>
      </w:r>
      <w:r w:rsidRPr="000977F7">
        <w:rPr>
          <w:rFonts w:asciiTheme="majorHAnsi" w:hAnsiTheme="majorHAnsi"/>
          <w:spacing w:val="-9"/>
          <w:sz w:val="20"/>
          <w:szCs w:val="20"/>
        </w:rPr>
        <w:t xml:space="preserve"> </w:t>
      </w:r>
      <w:r w:rsidRPr="000977F7">
        <w:rPr>
          <w:rFonts w:asciiTheme="majorHAnsi" w:hAnsiTheme="majorHAnsi"/>
          <w:sz w:val="20"/>
          <w:szCs w:val="20"/>
        </w:rPr>
        <w:t>–</w:t>
      </w:r>
      <w:r w:rsidRPr="000977F7">
        <w:rPr>
          <w:rFonts w:asciiTheme="majorHAnsi" w:hAnsiTheme="majorHAnsi"/>
          <w:spacing w:val="-10"/>
          <w:sz w:val="20"/>
          <w:szCs w:val="20"/>
        </w:rPr>
        <w:t xml:space="preserve"> </w:t>
      </w:r>
      <w:r w:rsidRPr="000977F7">
        <w:rPr>
          <w:rFonts w:asciiTheme="majorHAnsi" w:hAnsiTheme="majorHAnsi"/>
          <w:sz w:val="20"/>
          <w:szCs w:val="20"/>
        </w:rPr>
        <w:t>продукція),</w:t>
      </w:r>
      <w:r w:rsidRPr="000977F7">
        <w:rPr>
          <w:rFonts w:asciiTheme="majorHAnsi" w:hAnsiTheme="majorHAnsi"/>
          <w:spacing w:val="-48"/>
          <w:sz w:val="20"/>
          <w:szCs w:val="20"/>
        </w:rPr>
        <w:t xml:space="preserve"> </w:t>
      </w:r>
      <w:r w:rsidRPr="000977F7">
        <w:rPr>
          <w:rFonts w:asciiTheme="majorHAnsi" w:hAnsiTheme="majorHAnsi"/>
          <w:sz w:val="20"/>
          <w:szCs w:val="20"/>
        </w:rPr>
        <w:t xml:space="preserve">процес чи послуга, який однаковою мірою стосується, наприклад, будь – яких матеріалу, компонента, обладнання, системи, сумісності, правил, </w:t>
      </w:r>
      <w:r w:rsidRPr="000977F7">
        <w:rPr>
          <w:rFonts w:asciiTheme="majorHAnsi" w:hAnsiTheme="majorHAnsi"/>
          <w:spacing w:val="-47"/>
          <w:sz w:val="20"/>
          <w:szCs w:val="20"/>
        </w:rPr>
        <w:t xml:space="preserve"> </w:t>
      </w:r>
      <w:r w:rsidRPr="000977F7">
        <w:rPr>
          <w:rFonts w:asciiTheme="majorHAnsi" w:hAnsiTheme="majorHAnsi"/>
          <w:sz w:val="20"/>
          <w:szCs w:val="20"/>
        </w:rPr>
        <w:t>процедури,</w:t>
      </w:r>
      <w:r w:rsidRPr="000977F7">
        <w:rPr>
          <w:rFonts w:asciiTheme="majorHAnsi" w:hAnsiTheme="majorHAnsi"/>
          <w:spacing w:val="-1"/>
          <w:sz w:val="20"/>
          <w:szCs w:val="20"/>
        </w:rPr>
        <w:t xml:space="preserve"> </w:t>
      </w:r>
      <w:r w:rsidRPr="000977F7">
        <w:rPr>
          <w:rFonts w:asciiTheme="majorHAnsi" w:hAnsiTheme="majorHAnsi"/>
          <w:sz w:val="20"/>
          <w:szCs w:val="20"/>
        </w:rPr>
        <w:t>функції,</w:t>
      </w:r>
      <w:r w:rsidRPr="000977F7">
        <w:rPr>
          <w:rFonts w:asciiTheme="majorHAnsi" w:hAnsiTheme="majorHAnsi"/>
          <w:spacing w:val="-1"/>
          <w:sz w:val="20"/>
          <w:szCs w:val="20"/>
        </w:rPr>
        <w:t xml:space="preserve"> </w:t>
      </w:r>
      <w:r w:rsidRPr="000977F7">
        <w:rPr>
          <w:rFonts w:asciiTheme="majorHAnsi" w:hAnsiTheme="majorHAnsi"/>
          <w:sz w:val="20"/>
          <w:szCs w:val="20"/>
        </w:rPr>
        <w:t>методу чи</w:t>
      </w:r>
      <w:r w:rsidRPr="000977F7">
        <w:rPr>
          <w:rFonts w:asciiTheme="majorHAnsi" w:hAnsiTheme="majorHAnsi"/>
          <w:spacing w:val="-2"/>
          <w:sz w:val="20"/>
          <w:szCs w:val="20"/>
        </w:rPr>
        <w:t xml:space="preserve"> </w:t>
      </w:r>
      <w:r w:rsidRPr="000977F7">
        <w:rPr>
          <w:rFonts w:asciiTheme="majorHAnsi" w:hAnsiTheme="majorHAnsi"/>
          <w:sz w:val="20"/>
          <w:szCs w:val="20"/>
        </w:rPr>
        <w:t>діяльності</w:t>
      </w:r>
    </w:p>
    <w:p w14:paraId="2633AE47" w14:textId="77777777" w:rsidR="0097612F" w:rsidRPr="000977F7" w:rsidRDefault="0097612F" w:rsidP="00FD39A4">
      <w:pPr>
        <w:pStyle w:val="ac"/>
        <w:widowControl w:val="0"/>
        <w:numPr>
          <w:ilvl w:val="0"/>
          <w:numId w:val="136"/>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Стандартизація може обмежуватися певними характеристиками якого-небудь об’єкта. Наприклад,</w:t>
      </w:r>
      <w:r w:rsidRPr="000977F7">
        <w:rPr>
          <w:rFonts w:asciiTheme="majorHAnsi" w:hAnsiTheme="majorHAnsi"/>
          <w:spacing w:val="-47"/>
          <w:sz w:val="20"/>
          <w:szCs w:val="20"/>
        </w:rPr>
        <w:t xml:space="preserve"> </w:t>
      </w:r>
      <w:r w:rsidRPr="000977F7">
        <w:rPr>
          <w:rFonts w:asciiTheme="majorHAnsi" w:hAnsiTheme="majorHAnsi"/>
          <w:sz w:val="20"/>
          <w:szCs w:val="20"/>
        </w:rPr>
        <w:t>стосовно взуття розміри і критерії міцності можуть</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стандартизовані</w:t>
      </w:r>
      <w:r w:rsidRPr="000977F7">
        <w:rPr>
          <w:rFonts w:asciiTheme="majorHAnsi" w:hAnsiTheme="majorHAnsi"/>
          <w:spacing w:val="-2"/>
          <w:sz w:val="20"/>
          <w:szCs w:val="20"/>
        </w:rPr>
        <w:t xml:space="preserve"> </w:t>
      </w:r>
      <w:r w:rsidRPr="000977F7">
        <w:rPr>
          <w:rFonts w:asciiTheme="majorHAnsi" w:hAnsiTheme="majorHAnsi"/>
          <w:sz w:val="20"/>
          <w:szCs w:val="20"/>
        </w:rPr>
        <w:t>окремо</w:t>
      </w:r>
    </w:p>
    <w:p w14:paraId="27B1994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ОБ’ЄКТ</w:t>
      </w:r>
      <w:r w:rsidRPr="000977F7">
        <w:rPr>
          <w:rFonts w:asciiTheme="majorHAnsi" w:hAnsiTheme="majorHAnsi"/>
          <w:b/>
          <w:spacing w:val="-7"/>
          <w:sz w:val="20"/>
          <w:szCs w:val="20"/>
        </w:rPr>
        <w:t xml:space="preserve"> </w:t>
      </w:r>
      <w:r w:rsidRPr="000977F7">
        <w:rPr>
          <w:rFonts w:asciiTheme="majorHAnsi" w:hAnsiTheme="majorHAnsi"/>
          <w:b/>
          <w:sz w:val="20"/>
          <w:szCs w:val="20"/>
        </w:rPr>
        <w:t>ТЕХНІЧНОГО</w:t>
      </w:r>
      <w:r w:rsidRPr="000977F7">
        <w:rPr>
          <w:rFonts w:asciiTheme="majorHAnsi" w:hAnsiTheme="majorHAnsi"/>
          <w:b/>
          <w:spacing w:val="-6"/>
          <w:sz w:val="20"/>
          <w:szCs w:val="20"/>
        </w:rPr>
        <w:t xml:space="preserve"> </w:t>
      </w:r>
      <w:r w:rsidRPr="000977F7">
        <w:rPr>
          <w:rFonts w:asciiTheme="majorHAnsi" w:hAnsiTheme="majorHAnsi"/>
          <w:b/>
          <w:sz w:val="20"/>
          <w:szCs w:val="20"/>
        </w:rPr>
        <w:t>ДІАГНОСТУВАННЯ</w:t>
      </w:r>
      <w:r w:rsidRPr="000977F7">
        <w:rPr>
          <w:rFonts w:asciiTheme="majorHAnsi" w:hAnsiTheme="majorHAnsi"/>
          <w:b/>
          <w:spacing w:val="-4"/>
          <w:sz w:val="20"/>
          <w:szCs w:val="20"/>
        </w:rPr>
        <w:t xml:space="preserve"> </w:t>
      </w:r>
      <w:r w:rsidRPr="000977F7">
        <w:rPr>
          <w:rFonts w:asciiTheme="majorHAnsi" w:hAnsiTheme="majorHAnsi"/>
          <w:sz w:val="20"/>
          <w:szCs w:val="20"/>
        </w:rPr>
        <w:t>–NIT</w:t>
      </w:r>
      <w:r w:rsidRPr="000977F7">
        <w:rPr>
          <w:rFonts w:asciiTheme="majorHAnsi" w:hAnsiTheme="majorHAnsi"/>
          <w:spacing w:val="2"/>
          <w:sz w:val="20"/>
          <w:szCs w:val="20"/>
        </w:rPr>
        <w:t xml:space="preserve"> </w:t>
      </w:r>
      <w:r w:rsidRPr="000977F7">
        <w:rPr>
          <w:rFonts w:asciiTheme="majorHAnsi" w:hAnsiTheme="majorHAnsi"/>
          <w:sz w:val="20"/>
          <w:szCs w:val="20"/>
        </w:rPr>
        <w:t>UNDER</w:t>
      </w:r>
      <w:r w:rsidRPr="000977F7">
        <w:rPr>
          <w:rFonts w:asciiTheme="majorHAnsi" w:hAnsiTheme="majorHAnsi"/>
          <w:spacing w:val="-1"/>
          <w:sz w:val="20"/>
          <w:szCs w:val="20"/>
        </w:rPr>
        <w:t xml:space="preserve"> </w:t>
      </w:r>
      <w:r w:rsidRPr="000977F7">
        <w:rPr>
          <w:rFonts w:asciiTheme="majorHAnsi" w:hAnsiTheme="majorHAnsi"/>
          <w:sz w:val="20"/>
          <w:szCs w:val="20"/>
        </w:rPr>
        <w:t>TEST–</w:t>
      </w:r>
    </w:p>
    <w:p w14:paraId="63514D0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 та (або) його складові частини, які підлягають</w:t>
      </w:r>
      <w:r w:rsidRPr="000977F7">
        <w:rPr>
          <w:rFonts w:asciiTheme="majorHAnsi" w:hAnsiTheme="majorHAnsi"/>
          <w:spacing w:val="1"/>
          <w:sz w:val="20"/>
          <w:szCs w:val="20"/>
        </w:rPr>
        <w:t xml:space="preserve"> </w:t>
      </w:r>
      <w:r w:rsidRPr="000977F7">
        <w:rPr>
          <w:rFonts w:asciiTheme="majorHAnsi" w:hAnsiTheme="majorHAnsi"/>
          <w:sz w:val="20"/>
          <w:szCs w:val="20"/>
        </w:rPr>
        <w:t>діагностуванню</w:t>
      </w:r>
    </w:p>
    <w:p w14:paraId="4105978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0E94066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ОБ’ЄКТ ТЕХНІЧНОГО КОНТРОЛЮ </w:t>
      </w:r>
      <w:r w:rsidRPr="000977F7">
        <w:rPr>
          <w:rFonts w:asciiTheme="majorHAnsi" w:hAnsiTheme="majorHAnsi"/>
          <w:sz w:val="20"/>
          <w:szCs w:val="20"/>
        </w:rPr>
        <w:t>–</w:t>
      </w:r>
      <w:r w:rsidRPr="000977F7">
        <w:rPr>
          <w:rFonts w:asciiTheme="majorHAnsi" w:hAnsiTheme="majorHAnsi"/>
          <w:spacing w:val="-48"/>
          <w:sz w:val="20"/>
          <w:szCs w:val="20"/>
        </w:rPr>
        <w:t xml:space="preserve"> </w:t>
      </w:r>
      <w:r w:rsidRPr="000977F7">
        <w:rPr>
          <w:rFonts w:asciiTheme="majorHAnsi" w:hAnsiTheme="majorHAnsi"/>
          <w:sz w:val="20"/>
          <w:szCs w:val="20"/>
        </w:rPr>
        <w:t>ITEM</w:t>
      </w:r>
      <w:r w:rsidRPr="000977F7">
        <w:rPr>
          <w:rFonts w:asciiTheme="majorHAnsi" w:hAnsiTheme="majorHAnsi"/>
          <w:spacing w:val="-1"/>
          <w:sz w:val="20"/>
          <w:szCs w:val="20"/>
        </w:rPr>
        <w:t xml:space="preserve"> </w:t>
      </w:r>
      <w:r w:rsidRPr="000977F7">
        <w:rPr>
          <w:rFonts w:asciiTheme="majorHAnsi" w:hAnsiTheme="majorHAnsi"/>
          <w:sz w:val="20"/>
          <w:szCs w:val="20"/>
        </w:rPr>
        <w:t>UNDER</w:t>
      </w:r>
      <w:r w:rsidRPr="000977F7">
        <w:rPr>
          <w:rFonts w:asciiTheme="majorHAnsi" w:hAnsiTheme="majorHAnsi"/>
          <w:spacing w:val="-1"/>
          <w:sz w:val="20"/>
          <w:szCs w:val="20"/>
        </w:rPr>
        <w:t xml:space="preserve"> </w:t>
      </w:r>
      <w:r w:rsidRPr="000977F7">
        <w:rPr>
          <w:rFonts w:asciiTheme="majorHAnsi" w:hAnsiTheme="majorHAnsi"/>
          <w:sz w:val="20"/>
          <w:szCs w:val="20"/>
        </w:rPr>
        <w:t>INSPECTION</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5FC6021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 процеси її створення, застосування, транспортування, технічного обслуговування і ремонту, а</w:t>
      </w:r>
      <w:r w:rsidRPr="000977F7">
        <w:rPr>
          <w:rFonts w:asciiTheme="majorHAnsi" w:hAnsiTheme="majorHAnsi"/>
          <w:spacing w:val="1"/>
          <w:sz w:val="20"/>
          <w:szCs w:val="20"/>
        </w:rPr>
        <w:t xml:space="preserve"> </w:t>
      </w:r>
      <w:r w:rsidRPr="000977F7">
        <w:rPr>
          <w:rFonts w:asciiTheme="majorHAnsi" w:hAnsiTheme="majorHAnsi"/>
          <w:sz w:val="20"/>
          <w:szCs w:val="20"/>
        </w:rPr>
        <w:t>також відповідна технічна документація, що підлягають</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p>
    <w:p w14:paraId="4A4A3AE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3021 – 95</w:t>
      </w:r>
    </w:p>
    <w:p w14:paraId="1CC2FCB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bookmarkStart w:id="156" w:name="_Hlk102578569"/>
      <w:r w:rsidRPr="000977F7">
        <w:rPr>
          <w:rFonts w:asciiTheme="majorHAnsi" w:hAnsiTheme="majorHAnsi"/>
          <w:b/>
          <w:sz w:val="20"/>
          <w:szCs w:val="20"/>
        </w:rPr>
        <w:t>ОБ’ЄКТ У ГАЛУЗІ ЯКОСТІ –</w:t>
      </w:r>
      <w:r w:rsidRPr="000977F7">
        <w:rPr>
          <w:rFonts w:asciiTheme="majorHAnsi" w:hAnsiTheme="majorHAnsi"/>
          <w:b/>
          <w:spacing w:val="1"/>
          <w:sz w:val="20"/>
          <w:szCs w:val="20"/>
        </w:rPr>
        <w:t xml:space="preserve"> </w:t>
      </w:r>
      <w:r w:rsidRPr="000977F7">
        <w:rPr>
          <w:rFonts w:asciiTheme="majorHAnsi" w:hAnsiTheme="majorHAnsi"/>
          <w:sz w:val="20"/>
          <w:szCs w:val="20"/>
        </w:rPr>
        <w:t>ENTITY,</w:t>
      </w:r>
      <w:r w:rsidRPr="000977F7">
        <w:rPr>
          <w:rFonts w:asciiTheme="majorHAnsi" w:hAnsiTheme="majorHAnsi"/>
          <w:spacing w:val="-3"/>
          <w:sz w:val="20"/>
          <w:szCs w:val="20"/>
        </w:rPr>
        <w:t xml:space="preserve"> </w:t>
      </w:r>
      <w:r w:rsidRPr="000977F7">
        <w:rPr>
          <w:rFonts w:asciiTheme="majorHAnsi" w:hAnsiTheme="majorHAnsi"/>
          <w:sz w:val="20"/>
          <w:szCs w:val="20"/>
        </w:rPr>
        <w:t>ITEM</w:t>
      </w:r>
      <w:r w:rsidRPr="000977F7">
        <w:rPr>
          <w:rFonts w:asciiTheme="majorHAnsi" w:hAnsiTheme="majorHAnsi"/>
          <w:spacing w:val="2"/>
          <w:sz w:val="20"/>
          <w:szCs w:val="20"/>
        </w:rPr>
        <w:t xml:space="preserve"> </w:t>
      </w:r>
      <w:r w:rsidRPr="000977F7">
        <w:rPr>
          <w:rFonts w:asciiTheme="majorHAnsi" w:hAnsiTheme="majorHAnsi"/>
          <w:sz w:val="20"/>
          <w:szCs w:val="20"/>
        </w:rPr>
        <w:t>–</w:t>
      </w:r>
    </w:p>
    <w:bookmarkEnd w:id="156"/>
    <w:p w14:paraId="7F6522C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 що може бути індивідуально описано і розглянуто</w:t>
      </w:r>
      <w:r w:rsidRPr="000977F7">
        <w:rPr>
          <w:rFonts w:asciiTheme="majorHAnsi" w:hAnsiTheme="majorHAnsi"/>
          <w:spacing w:val="-47"/>
          <w:sz w:val="20"/>
          <w:szCs w:val="20"/>
        </w:rPr>
        <w:t xml:space="preserve"> </w:t>
      </w: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5F3747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Об’єктами</w:t>
      </w:r>
      <w:r w:rsidRPr="000977F7">
        <w:rPr>
          <w:rFonts w:asciiTheme="majorHAnsi" w:hAnsiTheme="majorHAnsi"/>
          <w:spacing w:val="-6"/>
          <w:sz w:val="20"/>
          <w:szCs w:val="20"/>
        </w:rPr>
        <w:t xml:space="preserve"> </w:t>
      </w:r>
      <w:r w:rsidRPr="000977F7">
        <w:rPr>
          <w:rFonts w:asciiTheme="majorHAnsi" w:hAnsiTheme="majorHAnsi"/>
          <w:sz w:val="20"/>
          <w:szCs w:val="20"/>
        </w:rPr>
        <w:t>можуть</w:t>
      </w:r>
      <w:r w:rsidRPr="000977F7">
        <w:rPr>
          <w:rFonts w:asciiTheme="majorHAnsi" w:hAnsiTheme="majorHAnsi"/>
          <w:spacing w:val="-2"/>
          <w:sz w:val="20"/>
          <w:szCs w:val="20"/>
        </w:rPr>
        <w:t xml:space="preserve"> </w:t>
      </w:r>
      <w:r w:rsidRPr="000977F7">
        <w:rPr>
          <w:rFonts w:asciiTheme="majorHAnsi" w:hAnsiTheme="majorHAnsi"/>
          <w:sz w:val="20"/>
          <w:szCs w:val="20"/>
        </w:rPr>
        <w:t>бути,</w:t>
      </w:r>
      <w:r w:rsidRPr="000977F7">
        <w:rPr>
          <w:rFonts w:asciiTheme="majorHAnsi" w:hAnsiTheme="majorHAnsi"/>
          <w:spacing w:val="-5"/>
          <w:sz w:val="20"/>
          <w:szCs w:val="20"/>
        </w:rPr>
        <w:t xml:space="preserve"> </w:t>
      </w:r>
      <w:r w:rsidRPr="000977F7">
        <w:rPr>
          <w:rFonts w:asciiTheme="majorHAnsi" w:hAnsiTheme="majorHAnsi"/>
          <w:sz w:val="20"/>
          <w:szCs w:val="20"/>
        </w:rPr>
        <w:t>наприклад, діяльність</w:t>
      </w:r>
      <w:r w:rsidRPr="000977F7">
        <w:rPr>
          <w:rFonts w:asciiTheme="majorHAnsi" w:hAnsiTheme="majorHAnsi"/>
          <w:spacing w:val="-3"/>
          <w:sz w:val="20"/>
          <w:szCs w:val="20"/>
        </w:rPr>
        <w:t xml:space="preserve"> </w:t>
      </w:r>
      <w:r w:rsidRPr="000977F7">
        <w:rPr>
          <w:rFonts w:asciiTheme="majorHAnsi" w:hAnsiTheme="majorHAnsi"/>
          <w:sz w:val="20"/>
          <w:szCs w:val="20"/>
        </w:rPr>
        <w:t>чи</w:t>
      </w:r>
      <w:r w:rsidRPr="000977F7">
        <w:rPr>
          <w:rFonts w:asciiTheme="majorHAnsi" w:hAnsiTheme="majorHAnsi"/>
          <w:spacing w:val="-3"/>
          <w:sz w:val="20"/>
          <w:szCs w:val="20"/>
        </w:rPr>
        <w:t xml:space="preserve"> </w:t>
      </w:r>
      <w:r w:rsidRPr="000977F7">
        <w:rPr>
          <w:rFonts w:asciiTheme="majorHAnsi" w:hAnsiTheme="majorHAnsi"/>
          <w:sz w:val="20"/>
          <w:szCs w:val="20"/>
        </w:rPr>
        <w:t>процес;</w:t>
      </w:r>
    </w:p>
    <w:p w14:paraId="47C81382" w14:textId="77777777" w:rsidR="0097612F" w:rsidRPr="000977F7" w:rsidRDefault="0097612F" w:rsidP="00FD39A4">
      <w:pPr>
        <w:pStyle w:val="ac"/>
        <w:widowControl w:val="0"/>
        <w:numPr>
          <w:ilvl w:val="1"/>
          <w:numId w:val="180"/>
        </w:numPr>
        <w:tabs>
          <w:tab w:val="left" w:pos="284"/>
          <w:tab w:val="left" w:pos="661"/>
          <w:tab w:val="left" w:pos="66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продукція;</w:t>
      </w:r>
    </w:p>
    <w:p w14:paraId="61A13BFD" w14:textId="77777777" w:rsidR="0097612F" w:rsidRPr="000977F7" w:rsidRDefault="0097612F" w:rsidP="00FD39A4">
      <w:pPr>
        <w:pStyle w:val="ac"/>
        <w:widowControl w:val="0"/>
        <w:numPr>
          <w:ilvl w:val="1"/>
          <w:numId w:val="180"/>
        </w:numPr>
        <w:tabs>
          <w:tab w:val="left" w:pos="284"/>
          <w:tab w:val="left" w:pos="661"/>
          <w:tab w:val="left" w:pos="66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33"/>
          <w:sz w:val="20"/>
          <w:szCs w:val="20"/>
        </w:rPr>
        <w:t xml:space="preserve"> </w:t>
      </w:r>
      <w:r w:rsidRPr="000977F7">
        <w:rPr>
          <w:rFonts w:asciiTheme="majorHAnsi" w:hAnsiTheme="majorHAnsi"/>
          <w:sz w:val="20"/>
          <w:szCs w:val="20"/>
        </w:rPr>
        <w:t>система</w:t>
      </w:r>
      <w:r w:rsidRPr="000977F7">
        <w:rPr>
          <w:rFonts w:asciiTheme="majorHAnsi" w:hAnsiTheme="majorHAnsi"/>
          <w:spacing w:val="34"/>
          <w:sz w:val="20"/>
          <w:szCs w:val="20"/>
        </w:rPr>
        <w:t xml:space="preserve"> </w:t>
      </w:r>
      <w:r w:rsidRPr="000977F7">
        <w:rPr>
          <w:rFonts w:asciiTheme="majorHAnsi" w:hAnsiTheme="majorHAnsi"/>
          <w:sz w:val="20"/>
          <w:szCs w:val="20"/>
        </w:rPr>
        <w:t>чи</w:t>
      </w:r>
      <w:r w:rsidRPr="000977F7">
        <w:rPr>
          <w:rFonts w:asciiTheme="majorHAnsi" w:hAnsiTheme="majorHAnsi"/>
          <w:spacing w:val="33"/>
          <w:sz w:val="20"/>
          <w:szCs w:val="20"/>
        </w:rPr>
        <w:t xml:space="preserve"> </w:t>
      </w:r>
      <w:r w:rsidRPr="000977F7">
        <w:rPr>
          <w:rFonts w:asciiTheme="majorHAnsi" w:hAnsiTheme="majorHAnsi"/>
          <w:sz w:val="20"/>
          <w:szCs w:val="20"/>
        </w:rPr>
        <w:t>окрема</w:t>
      </w:r>
      <w:r w:rsidRPr="000977F7">
        <w:rPr>
          <w:rFonts w:asciiTheme="majorHAnsi" w:hAnsiTheme="majorHAnsi"/>
          <w:spacing w:val="33"/>
          <w:sz w:val="20"/>
          <w:szCs w:val="20"/>
        </w:rPr>
        <w:t xml:space="preserve"> </w:t>
      </w:r>
      <w:r w:rsidRPr="000977F7">
        <w:rPr>
          <w:rFonts w:asciiTheme="majorHAnsi" w:hAnsiTheme="majorHAnsi"/>
          <w:sz w:val="20"/>
          <w:szCs w:val="20"/>
        </w:rPr>
        <w:t>особа,</w:t>
      </w:r>
      <w:r w:rsidRPr="000977F7">
        <w:rPr>
          <w:rFonts w:asciiTheme="majorHAnsi" w:hAnsiTheme="majorHAnsi"/>
          <w:spacing w:val="32"/>
          <w:sz w:val="20"/>
          <w:szCs w:val="20"/>
        </w:rPr>
        <w:t xml:space="preserve"> </w:t>
      </w:r>
      <w:r w:rsidRPr="000977F7">
        <w:rPr>
          <w:rFonts w:asciiTheme="majorHAnsi" w:hAnsiTheme="majorHAnsi"/>
          <w:sz w:val="20"/>
          <w:szCs w:val="20"/>
        </w:rPr>
        <w:t>чи</w:t>
      </w:r>
      <w:r w:rsidRPr="000977F7">
        <w:rPr>
          <w:rFonts w:asciiTheme="majorHAnsi" w:hAnsiTheme="majorHAnsi"/>
          <w:spacing w:val="33"/>
          <w:sz w:val="20"/>
          <w:szCs w:val="20"/>
        </w:rPr>
        <w:t xml:space="preserve"> </w:t>
      </w:r>
      <w:r w:rsidRPr="000977F7">
        <w:rPr>
          <w:rFonts w:asciiTheme="majorHAnsi" w:hAnsiTheme="majorHAnsi"/>
          <w:sz w:val="20"/>
          <w:szCs w:val="20"/>
        </w:rPr>
        <w:t>будь</w:t>
      </w:r>
      <w:r w:rsidRPr="000977F7">
        <w:rPr>
          <w:rFonts w:asciiTheme="majorHAnsi" w:hAnsiTheme="majorHAnsi"/>
          <w:spacing w:val="37"/>
          <w:sz w:val="20"/>
          <w:szCs w:val="20"/>
        </w:rPr>
        <w:t xml:space="preserve"> </w:t>
      </w:r>
      <w:r w:rsidRPr="000977F7">
        <w:rPr>
          <w:rFonts w:asciiTheme="majorHAnsi" w:hAnsiTheme="majorHAnsi"/>
          <w:sz w:val="20"/>
          <w:szCs w:val="20"/>
        </w:rPr>
        <w:t>–</w:t>
      </w:r>
      <w:r w:rsidRPr="000977F7">
        <w:rPr>
          <w:rFonts w:asciiTheme="majorHAnsi" w:hAnsiTheme="majorHAnsi"/>
          <w:spacing w:val="-47"/>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комбінація</w:t>
      </w:r>
      <w:r w:rsidRPr="000977F7">
        <w:rPr>
          <w:rFonts w:asciiTheme="majorHAnsi" w:hAnsiTheme="majorHAnsi"/>
          <w:spacing w:val="-1"/>
          <w:sz w:val="20"/>
          <w:szCs w:val="20"/>
        </w:rPr>
        <w:t xml:space="preserve"> </w:t>
      </w:r>
      <w:r w:rsidRPr="000977F7">
        <w:rPr>
          <w:rFonts w:asciiTheme="majorHAnsi" w:hAnsiTheme="majorHAnsi"/>
          <w:sz w:val="20"/>
          <w:szCs w:val="20"/>
        </w:rPr>
        <w:t>з них</w:t>
      </w:r>
    </w:p>
    <w:p w14:paraId="018749FB"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ОБ’ЄКТ УПРАВЛІННЯ В СИСТЕМІ КЕРУВАННЯ</w:t>
      </w:r>
      <w:r w:rsidRPr="000977F7">
        <w:rPr>
          <w:color w:val="auto"/>
          <w:spacing w:val="-1"/>
          <w:sz w:val="20"/>
          <w:szCs w:val="20"/>
        </w:rPr>
        <w:t xml:space="preserve"> </w:t>
      </w:r>
      <w:r w:rsidRPr="000977F7">
        <w:rPr>
          <w:color w:val="auto"/>
          <w:sz w:val="20"/>
          <w:szCs w:val="20"/>
        </w:rPr>
        <w:t>ЯКІСТЮ</w:t>
      </w:r>
      <w:r w:rsidRPr="000977F7">
        <w:rPr>
          <w:color w:val="auto"/>
          <w:spacing w:val="-1"/>
          <w:sz w:val="20"/>
          <w:szCs w:val="20"/>
        </w:rPr>
        <w:t xml:space="preserve"> </w:t>
      </w:r>
      <w:r w:rsidRPr="000977F7">
        <w:rPr>
          <w:color w:val="auto"/>
          <w:sz w:val="20"/>
          <w:szCs w:val="20"/>
        </w:rPr>
        <w:t>ПРОДУКЦІЇ</w:t>
      </w:r>
      <w:r w:rsidRPr="000977F7">
        <w:rPr>
          <w:color w:val="auto"/>
          <w:spacing w:val="4"/>
          <w:sz w:val="20"/>
          <w:szCs w:val="20"/>
        </w:rPr>
        <w:t xml:space="preserve"> </w:t>
      </w:r>
      <w:r w:rsidRPr="000977F7">
        <w:rPr>
          <w:b w:val="0"/>
          <w:color w:val="auto"/>
          <w:sz w:val="20"/>
          <w:szCs w:val="20"/>
        </w:rPr>
        <w:t>–</w:t>
      </w:r>
    </w:p>
    <w:p w14:paraId="3E2DD95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системи керування якістю продукції, на якій</w:t>
      </w:r>
      <w:r w:rsidRPr="000977F7">
        <w:rPr>
          <w:rFonts w:asciiTheme="majorHAnsi" w:hAnsiTheme="majorHAnsi"/>
          <w:spacing w:val="1"/>
          <w:sz w:val="20"/>
          <w:szCs w:val="20"/>
        </w:rPr>
        <w:t xml:space="preserve"> </w:t>
      </w:r>
      <w:r w:rsidRPr="000977F7">
        <w:rPr>
          <w:rFonts w:asciiTheme="majorHAnsi" w:hAnsiTheme="majorHAnsi"/>
          <w:sz w:val="20"/>
          <w:szCs w:val="20"/>
        </w:rPr>
        <w:t>реалізуються</w:t>
      </w:r>
      <w:r w:rsidRPr="000977F7">
        <w:rPr>
          <w:rFonts w:asciiTheme="majorHAnsi" w:hAnsiTheme="majorHAnsi"/>
          <w:spacing w:val="-2"/>
          <w:sz w:val="20"/>
          <w:szCs w:val="20"/>
        </w:rPr>
        <w:t xml:space="preserve"> </w:t>
      </w:r>
      <w:r w:rsidRPr="000977F7">
        <w:rPr>
          <w:rFonts w:asciiTheme="majorHAnsi" w:hAnsiTheme="majorHAnsi"/>
          <w:sz w:val="20"/>
          <w:szCs w:val="20"/>
        </w:rPr>
        <w:t>дії</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керування</w:t>
      </w:r>
    </w:p>
    <w:p w14:paraId="7FF75FB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ОБ’ЄКТИ</w:t>
      </w:r>
      <w:r w:rsidRPr="000977F7">
        <w:rPr>
          <w:color w:val="auto"/>
          <w:spacing w:val="-5"/>
          <w:sz w:val="20"/>
          <w:szCs w:val="20"/>
        </w:rPr>
        <w:t xml:space="preserve"> </w:t>
      </w:r>
      <w:r w:rsidRPr="000977F7">
        <w:rPr>
          <w:color w:val="auto"/>
          <w:sz w:val="20"/>
          <w:szCs w:val="20"/>
        </w:rPr>
        <w:t>ЕКОЛОГІЧНОЇ</w:t>
      </w:r>
      <w:r w:rsidRPr="000977F7">
        <w:rPr>
          <w:color w:val="auto"/>
          <w:spacing w:val="-5"/>
          <w:sz w:val="20"/>
          <w:szCs w:val="20"/>
        </w:rPr>
        <w:t xml:space="preserve"> </w:t>
      </w:r>
      <w:r w:rsidRPr="000977F7">
        <w:rPr>
          <w:color w:val="auto"/>
          <w:sz w:val="20"/>
          <w:szCs w:val="20"/>
        </w:rPr>
        <w:t>ЕКСПЕРТИЗИ</w:t>
      </w:r>
      <w:r w:rsidRPr="000977F7">
        <w:rPr>
          <w:color w:val="auto"/>
          <w:spacing w:val="-1"/>
          <w:sz w:val="20"/>
          <w:szCs w:val="20"/>
        </w:rPr>
        <w:t xml:space="preserve"> </w:t>
      </w:r>
      <w:r w:rsidRPr="000977F7">
        <w:rPr>
          <w:color w:val="auto"/>
          <w:sz w:val="20"/>
          <w:szCs w:val="20"/>
        </w:rPr>
        <w:t>–</w:t>
      </w:r>
    </w:p>
    <w:p w14:paraId="502063A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Екологічній</w:t>
      </w:r>
      <w:r w:rsidRPr="000977F7">
        <w:rPr>
          <w:rFonts w:asciiTheme="majorHAnsi" w:hAnsiTheme="majorHAnsi"/>
          <w:spacing w:val="-6"/>
          <w:sz w:val="20"/>
          <w:szCs w:val="20"/>
        </w:rPr>
        <w:t xml:space="preserve"> </w:t>
      </w:r>
      <w:r w:rsidRPr="000977F7">
        <w:rPr>
          <w:rFonts w:asciiTheme="majorHAnsi" w:hAnsiTheme="majorHAnsi"/>
          <w:sz w:val="20"/>
          <w:szCs w:val="20"/>
        </w:rPr>
        <w:t>експертизі</w:t>
      </w:r>
      <w:r w:rsidRPr="000977F7">
        <w:rPr>
          <w:rFonts w:asciiTheme="majorHAnsi" w:hAnsiTheme="majorHAnsi"/>
          <w:spacing w:val="-5"/>
          <w:sz w:val="20"/>
          <w:szCs w:val="20"/>
        </w:rPr>
        <w:t xml:space="preserve"> </w:t>
      </w:r>
      <w:r w:rsidRPr="000977F7">
        <w:rPr>
          <w:rFonts w:asciiTheme="majorHAnsi" w:hAnsiTheme="majorHAnsi"/>
          <w:sz w:val="20"/>
          <w:szCs w:val="20"/>
        </w:rPr>
        <w:t>підлягають:</w:t>
      </w:r>
    </w:p>
    <w:p w14:paraId="059C96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проекти схем розвитку і розміщення продуктивних</w:t>
      </w:r>
      <w:r w:rsidRPr="000977F7">
        <w:rPr>
          <w:rFonts w:asciiTheme="majorHAnsi" w:hAnsiTheme="majorHAnsi"/>
          <w:spacing w:val="-47"/>
          <w:sz w:val="20"/>
          <w:szCs w:val="20"/>
        </w:rPr>
        <w:t xml:space="preserve"> </w:t>
      </w:r>
      <w:r w:rsidRPr="000977F7">
        <w:rPr>
          <w:rFonts w:asciiTheme="majorHAnsi" w:hAnsiTheme="majorHAnsi"/>
          <w:sz w:val="20"/>
          <w:szCs w:val="20"/>
        </w:rPr>
        <w:t>сил, розвитку галузей економіки, генеральних планів</w:t>
      </w:r>
      <w:r w:rsidRPr="000977F7">
        <w:rPr>
          <w:rFonts w:asciiTheme="majorHAnsi" w:hAnsiTheme="majorHAnsi"/>
          <w:spacing w:val="1"/>
          <w:sz w:val="20"/>
          <w:szCs w:val="20"/>
        </w:rPr>
        <w:t xml:space="preserve"> </w:t>
      </w:r>
      <w:r w:rsidRPr="000977F7">
        <w:rPr>
          <w:rFonts w:asciiTheme="majorHAnsi" w:hAnsiTheme="majorHAnsi"/>
          <w:sz w:val="20"/>
          <w:szCs w:val="20"/>
        </w:rPr>
        <w:t>населених</w:t>
      </w:r>
      <w:r w:rsidRPr="000977F7">
        <w:rPr>
          <w:rFonts w:asciiTheme="majorHAnsi" w:hAnsiTheme="majorHAnsi"/>
          <w:spacing w:val="-3"/>
          <w:sz w:val="20"/>
          <w:szCs w:val="20"/>
        </w:rPr>
        <w:t xml:space="preserve"> </w:t>
      </w:r>
      <w:r w:rsidRPr="000977F7">
        <w:rPr>
          <w:rFonts w:asciiTheme="majorHAnsi" w:hAnsiTheme="majorHAnsi"/>
          <w:sz w:val="20"/>
          <w:szCs w:val="20"/>
        </w:rPr>
        <w:t>пунктів,</w:t>
      </w:r>
      <w:r w:rsidRPr="000977F7">
        <w:rPr>
          <w:rFonts w:asciiTheme="majorHAnsi" w:hAnsiTheme="majorHAnsi"/>
          <w:spacing w:val="-1"/>
          <w:sz w:val="20"/>
          <w:szCs w:val="20"/>
        </w:rPr>
        <w:t xml:space="preserve"> </w:t>
      </w:r>
      <w:r w:rsidRPr="000977F7">
        <w:rPr>
          <w:rFonts w:asciiTheme="majorHAnsi" w:hAnsiTheme="majorHAnsi"/>
          <w:sz w:val="20"/>
          <w:szCs w:val="20"/>
        </w:rPr>
        <w:t>схем районної</w:t>
      </w:r>
      <w:r w:rsidRPr="000977F7">
        <w:rPr>
          <w:rFonts w:asciiTheme="majorHAnsi" w:hAnsiTheme="majorHAnsi"/>
          <w:spacing w:val="-2"/>
          <w:sz w:val="20"/>
          <w:szCs w:val="20"/>
        </w:rPr>
        <w:t xml:space="preserve"> </w:t>
      </w:r>
      <w:r w:rsidRPr="000977F7">
        <w:rPr>
          <w:rFonts w:asciiTheme="majorHAnsi" w:hAnsiTheme="majorHAnsi"/>
          <w:sz w:val="20"/>
          <w:szCs w:val="20"/>
        </w:rPr>
        <w:t>планіровки;</w:t>
      </w:r>
    </w:p>
    <w:p w14:paraId="63381EE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проекти</w:t>
      </w:r>
      <w:r w:rsidRPr="000977F7">
        <w:rPr>
          <w:rFonts w:asciiTheme="majorHAnsi" w:hAnsiTheme="majorHAnsi"/>
          <w:spacing w:val="1"/>
          <w:sz w:val="20"/>
          <w:szCs w:val="20"/>
        </w:rPr>
        <w:t xml:space="preserve"> </w:t>
      </w:r>
      <w:r w:rsidRPr="000977F7">
        <w:rPr>
          <w:rFonts w:asciiTheme="majorHAnsi" w:hAnsiTheme="majorHAnsi"/>
          <w:sz w:val="20"/>
          <w:szCs w:val="20"/>
        </w:rPr>
        <w:t>інструктивно-методичних</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нормативно-технічних актів та документів, які регламентують господарську діяльність, що негативно впливає на навколишнє</w:t>
      </w:r>
      <w:r w:rsidRPr="000977F7">
        <w:rPr>
          <w:rFonts w:asciiTheme="majorHAnsi" w:hAnsiTheme="majorHAnsi"/>
          <w:spacing w:val="2"/>
          <w:sz w:val="20"/>
          <w:szCs w:val="20"/>
        </w:rPr>
        <w:t xml:space="preserve"> </w:t>
      </w:r>
      <w:r w:rsidRPr="000977F7">
        <w:rPr>
          <w:rFonts w:asciiTheme="majorHAnsi" w:hAnsiTheme="majorHAnsi"/>
          <w:sz w:val="20"/>
          <w:szCs w:val="20"/>
        </w:rPr>
        <w:t>природне середовище;</w:t>
      </w:r>
    </w:p>
    <w:p w14:paraId="7B0605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 документація по створенню нової техніки, технології, матеріалів і речовин, у тому числі та, що закуповується</w:t>
      </w:r>
      <w:r w:rsidRPr="000977F7">
        <w:rPr>
          <w:rFonts w:asciiTheme="majorHAnsi" w:hAnsiTheme="majorHAnsi"/>
          <w:spacing w:val="-2"/>
          <w:sz w:val="20"/>
          <w:szCs w:val="20"/>
        </w:rPr>
        <w:t xml:space="preserve"> </w:t>
      </w:r>
      <w:r w:rsidRPr="000977F7">
        <w:rPr>
          <w:rFonts w:asciiTheme="majorHAnsi" w:hAnsiTheme="majorHAnsi"/>
          <w:sz w:val="20"/>
          <w:szCs w:val="20"/>
        </w:rPr>
        <w:t>за кордоном;</w:t>
      </w:r>
    </w:p>
    <w:p w14:paraId="311904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 матеріали, речовини, продукція, господарські рішення, системи й об'єкти, впровадження або реалізація яких може призвести до порушення норм екологічної безпеки та</w:t>
      </w:r>
      <w:r w:rsidRPr="000977F7">
        <w:rPr>
          <w:rFonts w:asciiTheme="majorHAnsi" w:hAnsiTheme="majorHAnsi"/>
          <w:spacing w:val="1"/>
          <w:sz w:val="20"/>
          <w:szCs w:val="20"/>
        </w:rPr>
        <w:t xml:space="preserve"> </w:t>
      </w:r>
      <w:r w:rsidRPr="000977F7">
        <w:rPr>
          <w:rFonts w:asciiTheme="majorHAnsi" w:hAnsiTheme="majorHAnsi"/>
          <w:sz w:val="20"/>
          <w:szCs w:val="20"/>
        </w:rPr>
        <w:t>негативного впливу на навколишнє</w:t>
      </w:r>
      <w:r w:rsidRPr="000977F7">
        <w:rPr>
          <w:rFonts w:asciiTheme="majorHAnsi" w:hAnsiTheme="majorHAnsi"/>
          <w:spacing w:val="1"/>
          <w:sz w:val="20"/>
          <w:szCs w:val="20"/>
        </w:rPr>
        <w:t xml:space="preserve"> </w:t>
      </w:r>
      <w:r w:rsidRPr="000977F7">
        <w:rPr>
          <w:rFonts w:asciiTheme="majorHAnsi" w:hAnsiTheme="majorHAnsi"/>
          <w:sz w:val="20"/>
          <w:szCs w:val="20"/>
        </w:rPr>
        <w:t>природне</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w:t>
      </w:r>
    </w:p>
    <w:p w14:paraId="27E0C8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 документація щодо генетично модифікованих організмів, що призначаються для використання у відкритій</w:t>
      </w:r>
      <w:r w:rsidRPr="000977F7">
        <w:rPr>
          <w:rFonts w:asciiTheme="majorHAnsi" w:hAnsiTheme="majorHAnsi"/>
          <w:spacing w:val="-2"/>
          <w:sz w:val="20"/>
          <w:szCs w:val="20"/>
        </w:rPr>
        <w:t xml:space="preserve"> </w:t>
      </w:r>
      <w:r w:rsidRPr="000977F7">
        <w:rPr>
          <w:rFonts w:asciiTheme="majorHAnsi" w:hAnsiTheme="majorHAnsi"/>
          <w:sz w:val="20"/>
          <w:szCs w:val="20"/>
        </w:rPr>
        <w:t>системі.</w:t>
      </w:r>
    </w:p>
    <w:p w14:paraId="757AD2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Екологічній експертизі можуть підлягати екологічно</w:t>
      </w:r>
      <w:r w:rsidRPr="000977F7">
        <w:rPr>
          <w:rFonts w:asciiTheme="majorHAnsi" w:hAnsiTheme="majorHAnsi"/>
          <w:spacing w:val="1"/>
          <w:sz w:val="20"/>
          <w:szCs w:val="20"/>
        </w:rPr>
        <w:t xml:space="preserve"> </w:t>
      </w:r>
      <w:r w:rsidRPr="000977F7">
        <w:rPr>
          <w:rFonts w:asciiTheme="majorHAnsi" w:hAnsiTheme="majorHAnsi"/>
          <w:sz w:val="20"/>
          <w:szCs w:val="20"/>
        </w:rPr>
        <w:t>небезпечні діючі об'єкти та комплекси, в тому числі</w:t>
      </w:r>
      <w:r w:rsidRPr="000977F7">
        <w:rPr>
          <w:rFonts w:asciiTheme="majorHAnsi" w:hAnsiTheme="majorHAnsi"/>
          <w:spacing w:val="1"/>
          <w:sz w:val="20"/>
          <w:szCs w:val="20"/>
        </w:rPr>
        <w:t xml:space="preserve"> </w:t>
      </w:r>
      <w:r w:rsidRPr="000977F7">
        <w:rPr>
          <w:rFonts w:asciiTheme="majorHAnsi" w:hAnsiTheme="majorHAnsi"/>
          <w:sz w:val="20"/>
          <w:szCs w:val="20"/>
        </w:rPr>
        <w:t>військового та</w:t>
      </w:r>
      <w:r w:rsidRPr="000977F7">
        <w:rPr>
          <w:rFonts w:asciiTheme="majorHAnsi" w:hAnsiTheme="majorHAnsi"/>
          <w:spacing w:val="-1"/>
          <w:sz w:val="20"/>
          <w:szCs w:val="20"/>
        </w:rPr>
        <w:t xml:space="preserve"> </w:t>
      </w:r>
      <w:r w:rsidRPr="000977F7">
        <w:rPr>
          <w:rFonts w:asciiTheme="majorHAnsi" w:hAnsiTheme="majorHAnsi"/>
          <w:sz w:val="20"/>
          <w:szCs w:val="20"/>
        </w:rPr>
        <w:t>оборонного призначення.</w:t>
      </w:r>
    </w:p>
    <w:p w14:paraId="03E43CE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Закон України</w:t>
      </w:r>
      <w:r w:rsidRPr="000977F7">
        <w:rPr>
          <w:rFonts w:asciiTheme="majorHAnsi" w:hAnsiTheme="majorHAnsi"/>
          <w:i/>
          <w:spacing w:val="1"/>
          <w:sz w:val="20"/>
          <w:szCs w:val="20"/>
        </w:rPr>
        <w:t xml:space="preserve"> "</w:t>
      </w:r>
      <w:r w:rsidRPr="000977F7">
        <w:rPr>
          <w:rFonts w:asciiTheme="majorHAnsi" w:hAnsiTheme="majorHAnsi"/>
          <w:i/>
          <w:sz w:val="20"/>
          <w:szCs w:val="20"/>
        </w:rPr>
        <w:t>Про охорону навколишнього природного середовища"</w:t>
      </w:r>
    </w:p>
    <w:p w14:paraId="6600658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ОБ’ЄКТИ</w:t>
      </w:r>
      <w:r w:rsidRPr="000977F7">
        <w:rPr>
          <w:color w:val="auto"/>
          <w:spacing w:val="-5"/>
          <w:sz w:val="20"/>
          <w:szCs w:val="20"/>
        </w:rPr>
        <w:t xml:space="preserve"> </w:t>
      </w:r>
      <w:r w:rsidRPr="000977F7">
        <w:rPr>
          <w:color w:val="auto"/>
          <w:sz w:val="20"/>
          <w:szCs w:val="20"/>
        </w:rPr>
        <w:t>ПІДТВЕРДЖЕННЯ</w:t>
      </w:r>
      <w:r w:rsidRPr="000977F7">
        <w:rPr>
          <w:color w:val="auto"/>
          <w:spacing w:val="-5"/>
          <w:sz w:val="20"/>
          <w:szCs w:val="20"/>
        </w:rPr>
        <w:t xml:space="preserve"> </w:t>
      </w:r>
      <w:r w:rsidRPr="000977F7">
        <w:rPr>
          <w:color w:val="auto"/>
          <w:sz w:val="20"/>
          <w:szCs w:val="20"/>
        </w:rPr>
        <w:t>ВІДПОВІДНОСТІ</w:t>
      </w:r>
      <w:r w:rsidRPr="000977F7">
        <w:rPr>
          <w:color w:val="auto"/>
          <w:spacing w:val="-2"/>
          <w:sz w:val="20"/>
          <w:szCs w:val="20"/>
        </w:rPr>
        <w:t xml:space="preserve"> </w:t>
      </w:r>
      <w:r w:rsidRPr="000977F7">
        <w:rPr>
          <w:color w:val="auto"/>
          <w:sz w:val="20"/>
          <w:szCs w:val="20"/>
        </w:rPr>
        <w:t>–</w:t>
      </w:r>
    </w:p>
    <w:p w14:paraId="38437AB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Об’єктами підтвердження відповідності є продукція,</w:t>
      </w:r>
      <w:r w:rsidRPr="000977F7">
        <w:rPr>
          <w:rFonts w:asciiTheme="majorHAnsi" w:hAnsiTheme="majorHAnsi"/>
          <w:spacing w:val="1"/>
          <w:sz w:val="20"/>
          <w:szCs w:val="20"/>
        </w:rPr>
        <w:t xml:space="preserve"> </w:t>
      </w:r>
      <w:r w:rsidRPr="000977F7">
        <w:rPr>
          <w:rFonts w:asciiTheme="majorHAnsi" w:hAnsiTheme="majorHAnsi"/>
          <w:sz w:val="20"/>
          <w:szCs w:val="20"/>
        </w:rPr>
        <w:t>системи якості, системи управління якістю, системи</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2"/>
          <w:sz w:val="20"/>
          <w:szCs w:val="20"/>
        </w:rPr>
        <w:t xml:space="preserve"> </w:t>
      </w:r>
      <w:r w:rsidRPr="000977F7">
        <w:rPr>
          <w:rFonts w:asciiTheme="majorHAnsi" w:hAnsiTheme="majorHAnsi"/>
          <w:sz w:val="20"/>
          <w:szCs w:val="20"/>
        </w:rPr>
        <w:t>довкіллям, персоналом</w:t>
      </w:r>
    </w:p>
    <w:p w14:paraId="0FC8227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ОБ’ЄКТИ</w:t>
      </w:r>
      <w:r w:rsidRPr="000977F7">
        <w:rPr>
          <w:color w:val="auto"/>
          <w:spacing w:val="-4"/>
          <w:sz w:val="20"/>
          <w:szCs w:val="20"/>
        </w:rPr>
        <w:t xml:space="preserve"> </w:t>
      </w:r>
      <w:r w:rsidRPr="000977F7">
        <w:rPr>
          <w:color w:val="auto"/>
          <w:sz w:val="20"/>
          <w:szCs w:val="20"/>
        </w:rPr>
        <w:t>СТАНДАРТИЗАЦІЇ</w:t>
      </w:r>
      <w:r w:rsidRPr="000977F7">
        <w:rPr>
          <w:color w:val="auto"/>
          <w:spacing w:val="-4"/>
          <w:sz w:val="20"/>
          <w:szCs w:val="20"/>
        </w:rPr>
        <w:t xml:space="preserve"> </w:t>
      </w:r>
      <w:r w:rsidRPr="000977F7">
        <w:rPr>
          <w:color w:val="auto"/>
          <w:sz w:val="20"/>
          <w:szCs w:val="20"/>
        </w:rPr>
        <w:t>-</w:t>
      </w:r>
    </w:p>
    <w:p w14:paraId="0BDFE4F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Об’єктами</w:t>
      </w:r>
      <w:r w:rsidRPr="000977F7">
        <w:rPr>
          <w:rFonts w:asciiTheme="majorHAnsi" w:hAnsiTheme="majorHAnsi"/>
          <w:spacing w:val="-5"/>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5"/>
          <w:sz w:val="20"/>
          <w:szCs w:val="20"/>
        </w:rPr>
        <w:t xml:space="preserve"> </w:t>
      </w:r>
      <w:r w:rsidRPr="000977F7">
        <w:rPr>
          <w:rFonts w:asciiTheme="majorHAnsi" w:hAnsiTheme="majorHAnsi"/>
          <w:sz w:val="20"/>
          <w:szCs w:val="20"/>
        </w:rPr>
        <w:t>є:</w:t>
      </w:r>
    </w:p>
    <w:p w14:paraId="27606DA4" w14:textId="77777777" w:rsidR="0097612F" w:rsidRPr="000977F7" w:rsidRDefault="0097612F" w:rsidP="00FD39A4">
      <w:pPr>
        <w:pStyle w:val="ac"/>
        <w:widowControl w:val="0"/>
        <w:numPr>
          <w:ilvl w:val="0"/>
          <w:numId w:val="135"/>
        </w:numPr>
        <w:tabs>
          <w:tab w:val="left" w:pos="284"/>
          <w:tab w:val="left" w:pos="5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матеріали, складники, обладнання, системи, їх сумісність;</w:t>
      </w:r>
    </w:p>
    <w:p w14:paraId="395AFB1B" w14:textId="77777777" w:rsidR="0097612F" w:rsidRPr="000977F7" w:rsidRDefault="0097612F" w:rsidP="00FD39A4">
      <w:pPr>
        <w:pStyle w:val="ac"/>
        <w:widowControl w:val="0"/>
        <w:numPr>
          <w:ilvl w:val="0"/>
          <w:numId w:val="135"/>
        </w:numPr>
        <w:tabs>
          <w:tab w:val="left" w:pos="284"/>
          <w:tab w:val="left" w:pos="57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правила, процедури, функції, методи, діяльність чи</w:t>
      </w:r>
      <w:r w:rsidRPr="000977F7">
        <w:rPr>
          <w:rFonts w:asciiTheme="majorHAnsi" w:hAnsiTheme="majorHAnsi"/>
          <w:spacing w:val="-47"/>
          <w:sz w:val="20"/>
          <w:szCs w:val="20"/>
        </w:rPr>
        <w:t xml:space="preserve"> </w:t>
      </w:r>
      <w:r w:rsidRPr="000977F7">
        <w:rPr>
          <w:rFonts w:asciiTheme="majorHAnsi" w:hAnsiTheme="majorHAnsi"/>
          <w:sz w:val="20"/>
          <w:szCs w:val="20"/>
        </w:rPr>
        <w:t xml:space="preserve">її результати, включаючи продукцію, персонал, </w:t>
      </w:r>
      <w:r w:rsidRPr="000977F7">
        <w:rPr>
          <w:rFonts w:asciiTheme="majorHAnsi" w:hAnsiTheme="majorHAnsi"/>
          <w:sz w:val="20"/>
          <w:szCs w:val="20"/>
        </w:rPr>
        <w:lastRenderedPageBreak/>
        <w:t>системи управління;</w:t>
      </w:r>
    </w:p>
    <w:p w14:paraId="725FFC12" w14:textId="77777777" w:rsidR="0097612F" w:rsidRPr="000977F7" w:rsidRDefault="0097612F" w:rsidP="00FD39A4">
      <w:pPr>
        <w:pStyle w:val="ac"/>
        <w:widowControl w:val="0"/>
        <w:numPr>
          <w:ilvl w:val="0"/>
          <w:numId w:val="135"/>
        </w:numPr>
        <w:tabs>
          <w:tab w:val="left" w:pos="284"/>
          <w:tab w:val="left" w:pos="63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термінології,</w:t>
      </w:r>
      <w:r w:rsidRPr="000977F7">
        <w:rPr>
          <w:rFonts w:asciiTheme="majorHAnsi" w:hAnsiTheme="majorHAnsi"/>
          <w:spacing w:val="1"/>
          <w:sz w:val="20"/>
          <w:szCs w:val="20"/>
        </w:rPr>
        <w:t xml:space="preserve"> </w:t>
      </w:r>
      <w:r w:rsidRPr="000977F7">
        <w:rPr>
          <w:rFonts w:asciiTheme="majorHAnsi" w:hAnsiTheme="majorHAnsi"/>
          <w:sz w:val="20"/>
          <w:szCs w:val="20"/>
        </w:rPr>
        <w:t>позначення,</w:t>
      </w:r>
      <w:r w:rsidRPr="000977F7">
        <w:rPr>
          <w:rFonts w:asciiTheme="majorHAnsi" w:hAnsiTheme="majorHAnsi"/>
          <w:spacing w:val="1"/>
          <w:sz w:val="20"/>
          <w:szCs w:val="20"/>
        </w:rPr>
        <w:t xml:space="preserve"> </w:t>
      </w:r>
      <w:r w:rsidRPr="000977F7">
        <w:rPr>
          <w:rFonts w:asciiTheme="majorHAnsi" w:hAnsiTheme="majorHAnsi"/>
          <w:sz w:val="20"/>
          <w:szCs w:val="20"/>
        </w:rPr>
        <w:t>фасування,</w:t>
      </w:r>
      <w:r w:rsidRPr="000977F7">
        <w:rPr>
          <w:rFonts w:asciiTheme="majorHAnsi" w:hAnsiTheme="majorHAnsi"/>
          <w:spacing w:val="-47"/>
          <w:sz w:val="20"/>
          <w:szCs w:val="20"/>
        </w:rPr>
        <w:t xml:space="preserve"> </w:t>
      </w:r>
      <w:r w:rsidRPr="000977F7">
        <w:rPr>
          <w:rFonts w:asciiTheme="majorHAnsi" w:hAnsiTheme="majorHAnsi"/>
          <w:sz w:val="20"/>
          <w:szCs w:val="20"/>
        </w:rPr>
        <w:t>пакування,</w:t>
      </w:r>
      <w:r w:rsidRPr="000977F7">
        <w:rPr>
          <w:rFonts w:asciiTheme="majorHAnsi" w:hAnsiTheme="majorHAnsi"/>
          <w:spacing w:val="-1"/>
          <w:sz w:val="20"/>
          <w:szCs w:val="20"/>
        </w:rPr>
        <w:t xml:space="preserve"> </w:t>
      </w:r>
      <w:r w:rsidRPr="000977F7">
        <w:rPr>
          <w:rFonts w:asciiTheme="majorHAnsi" w:hAnsiTheme="majorHAnsi"/>
          <w:sz w:val="20"/>
          <w:szCs w:val="20"/>
        </w:rPr>
        <w:t>маркування,</w:t>
      </w:r>
      <w:r w:rsidRPr="000977F7">
        <w:rPr>
          <w:rFonts w:asciiTheme="majorHAnsi" w:hAnsiTheme="majorHAnsi"/>
          <w:spacing w:val="-1"/>
          <w:sz w:val="20"/>
          <w:szCs w:val="20"/>
        </w:rPr>
        <w:t xml:space="preserve"> </w:t>
      </w:r>
      <w:r w:rsidRPr="000977F7">
        <w:rPr>
          <w:rFonts w:asciiTheme="majorHAnsi" w:hAnsiTheme="majorHAnsi"/>
          <w:sz w:val="20"/>
          <w:szCs w:val="20"/>
        </w:rPr>
        <w:t>етикетування</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6756206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3"/>
          <w:sz w:val="20"/>
          <w:szCs w:val="20"/>
        </w:rPr>
        <w:t xml:space="preserve"> </w:t>
      </w:r>
      <w:r w:rsidRPr="000977F7">
        <w:rPr>
          <w:rFonts w:asciiTheme="majorHAnsi" w:hAnsiTheme="majorHAnsi"/>
          <w:i/>
          <w:sz w:val="20"/>
          <w:szCs w:val="20"/>
        </w:rPr>
        <w:t>5</w:t>
      </w:r>
      <w:r w:rsidRPr="000977F7">
        <w:rPr>
          <w:rFonts w:asciiTheme="majorHAnsi" w:hAnsiTheme="majorHAnsi"/>
          <w:i/>
          <w:spacing w:val="-2"/>
          <w:sz w:val="20"/>
          <w:szCs w:val="20"/>
        </w:rPr>
        <w:t xml:space="preserve"> </w:t>
      </w:r>
      <w:r w:rsidRPr="000977F7">
        <w:rPr>
          <w:rFonts w:asciiTheme="majorHAnsi" w:hAnsiTheme="majorHAnsi"/>
          <w:i/>
          <w:sz w:val="20"/>
          <w:szCs w:val="20"/>
        </w:rPr>
        <w:t>закону</w:t>
      </w:r>
      <w:r w:rsidRPr="000977F7">
        <w:rPr>
          <w:rFonts w:asciiTheme="majorHAnsi" w:hAnsiTheme="majorHAnsi"/>
          <w:i/>
          <w:spacing w:val="-3"/>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2"/>
          <w:sz w:val="20"/>
          <w:szCs w:val="20"/>
        </w:rPr>
        <w:t xml:space="preserve"> </w:t>
      </w:r>
      <w:r w:rsidRPr="000977F7">
        <w:rPr>
          <w:rFonts w:asciiTheme="majorHAnsi" w:hAnsiTheme="majorHAnsi"/>
          <w:i/>
          <w:sz w:val="20"/>
          <w:szCs w:val="20"/>
        </w:rPr>
        <w:t>«Про</w:t>
      </w:r>
      <w:r w:rsidRPr="000977F7">
        <w:rPr>
          <w:rFonts w:asciiTheme="majorHAnsi" w:hAnsiTheme="majorHAnsi"/>
          <w:i/>
          <w:spacing w:val="-4"/>
          <w:sz w:val="20"/>
          <w:szCs w:val="20"/>
        </w:rPr>
        <w:t xml:space="preserve"> </w:t>
      </w:r>
      <w:r w:rsidRPr="000977F7">
        <w:rPr>
          <w:rFonts w:asciiTheme="majorHAnsi" w:hAnsiTheme="majorHAnsi"/>
          <w:i/>
          <w:sz w:val="20"/>
          <w:szCs w:val="20"/>
        </w:rPr>
        <w:t>стандартизацію»</w:t>
      </w:r>
    </w:p>
    <w:p w14:paraId="6E25A5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Об’єктами</w:t>
      </w:r>
      <w:r w:rsidRPr="000977F7">
        <w:rPr>
          <w:rFonts w:asciiTheme="majorHAnsi" w:hAnsiTheme="majorHAnsi"/>
          <w:spacing w:val="-5"/>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5"/>
          <w:sz w:val="20"/>
          <w:szCs w:val="20"/>
        </w:rPr>
        <w:t xml:space="preserve"> </w:t>
      </w:r>
      <w:r w:rsidRPr="000977F7">
        <w:rPr>
          <w:rFonts w:asciiTheme="majorHAnsi" w:hAnsiTheme="majorHAnsi"/>
          <w:sz w:val="20"/>
          <w:szCs w:val="20"/>
        </w:rPr>
        <w:t>є:</w:t>
      </w:r>
    </w:p>
    <w:p w14:paraId="354050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34"/>
          <w:sz w:val="20"/>
          <w:szCs w:val="20"/>
        </w:rPr>
        <w:t xml:space="preserve"> </w:t>
      </w:r>
      <w:r w:rsidRPr="000977F7">
        <w:rPr>
          <w:rFonts w:asciiTheme="majorHAnsi" w:hAnsiTheme="majorHAnsi"/>
          <w:sz w:val="20"/>
          <w:szCs w:val="20"/>
        </w:rPr>
        <w:t>об’єкти</w:t>
      </w:r>
      <w:r w:rsidRPr="000977F7">
        <w:rPr>
          <w:rFonts w:asciiTheme="majorHAnsi" w:hAnsiTheme="majorHAnsi"/>
          <w:spacing w:val="34"/>
          <w:sz w:val="20"/>
          <w:szCs w:val="20"/>
        </w:rPr>
        <w:t xml:space="preserve"> </w:t>
      </w:r>
      <w:r w:rsidRPr="000977F7">
        <w:rPr>
          <w:rFonts w:asciiTheme="majorHAnsi" w:hAnsiTheme="majorHAnsi"/>
          <w:sz w:val="20"/>
          <w:szCs w:val="20"/>
        </w:rPr>
        <w:t>організаційно-методичні</w:t>
      </w:r>
      <w:r w:rsidRPr="000977F7">
        <w:rPr>
          <w:rFonts w:asciiTheme="majorHAnsi" w:hAnsiTheme="majorHAnsi"/>
          <w:spacing w:val="35"/>
          <w:sz w:val="20"/>
          <w:szCs w:val="20"/>
        </w:rPr>
        <w:t xml:space="preserve"> </w:t>
      </w:r>
      <w:r w:rsidRPr="000977F7">
        <w:rPr>
          <w:rFonts w:asciiTheme="majorHAnsi" w:hAnsiTheme="majorHAnsi"/>
          <w:sz w:val="20"/>
          <w:szCs w:val="20"/>
        </w:rPr>
        <w:t>та</w:t>
      </w:r>
      <w:r w:rsidRPr="000977F7">
        <w:rPr>
          <w:rFonts w:asciiTheme="majorHAnsi" w:hAnsiTheme="majorHAnsi"/>
          <w:spacing w:val="33"/>
          <w:sz w:val="20"/>
          <w:szCs w:val="20"/>
        </w:rPr>
        <w:t xml:space="preserve"> </w:t>
      </w:r>
      <w:r w:rsidRPr="000977F7">
        <w:rPr>
          <w:rFonts w:asciiTheme="majorHAnsi" w:hAnsiTheme="majorHAnsi"/>
          <w:sz w:val="20"/>
          <w:szCs w:val="20"/>
        </w:rPr>
        <w:t>загальнотехнічні,</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тому</w:t>
      </w:r>
      <w:r w:rsidRPr="000977F7">
        <w:rPr>
          <w:rFonts w:asciiTheme="majorHAnsi" w:hAnsiTheme="majorHAnsi"/>
          <w:spacing w:val="-4"/>
          <w:sz w:val="20"/>
          <w:szCs w:val="20"/>
        </w:rPr>
        <w:t xml:space="preserve"> </w:t>
      </w:r>
      <w:r w:rsidRPr="000977F7">
        <w:rPr>
          <w:rFonts w:asciiTheme="majorHAnsi" w:hAnsiTheme="majorHAnsi"/>
          <w:sz w:val="20"/>
          <w:szCs w:val="20"/>
        </w:rPr>
        <w:t>числі:</w:t>
      </w:r>
    </w:p>
    <w:p w14:paraId="7F4CD71E" w14:textId="77777777" w:rsidR="0097612F" w:rsidRPr="000977F7" w:rsidRDefault="0097612F" w:rsidP="00FD39A4">
      <w:pPr>
        <w:pStyle w:val="ac"/>
        <w:widowControl w:val="0"/>
        <w:numPr>
          <w:ilvl w:val="1"/>
          <w:numId w:val="180"/>
        </w:numPr>
        <w:tabs>
          <w:tab w:val="left" w:pos="284"/>
          <w:tab w:val="left" w:pos="41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4"/>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4"/>
          <w:sz w:val="20"/>
          <w:szCs w:val="20"/>
        </w:rPr>
        <w:t xml:space="preserve"> </w:t>
      </w:r>
      <w:r w:rsidRPr="000977F7">
        <w:rPr>
          <w:rFonts w:asciiTheme="majorHAnsi" w:hAnsiTheme="majorHAnsi"/>
          <w:sz w:val="20"/>
          <w:szCs w:val="20"/>
        </w:rPr>
        <w:t>робіт</w:t>
      </w:r>
      <w:r w:rsidRPr="000977F7">
        <w:rPr>
          <w:rFonts w:asciiTheme="majorHAnsi" w:hAnsiTheme="majorHAnsi"/>
          <w:spacing w:val="-5"/>
          <w:sz w:val="20"/>
          <w:szCs w:val="20"/>
        </w:rPr>
        <w:t xml:space="preserve"> </w:t>
      </w:r>
      <w:r w:rsidRPr="000977F7">
        <w:rPr>
          <w:rFonts w:asciiTheme="majorHAnsi" w:hAnsiTheme="majorHAnsi"/>
          <w:sz w:val="20"/>
          <w:szCs w:val="20"/>
        </w:rPr>
        <w:t>з</w:t>
      </w:r>
      <w:r w:rsidRPr="000977F7">
        <w:rPr>
          <w:rFonts w:asciiTheme="majorHAnsi" w:hAnsiTheme="majorHAnsi"/>
          <w:spacing w:val="-3"/>
          <w:sz w:val="20"/>
          <w:szCs w:val="20"/>
        </w:rPr>
        <w:t xml:space="preserve"> </w:t>
      </w:r>
      <w:r w:rsidRPr="000977F7">
        <w:rPr>
          <w:rFonts w:asciiTheme="majorHAnsi" w:hAnsiTheme="majorHAnsi"/>
          <w:sz w:val="20"/>
          <w:szCs w:val="20"/>
        </w:rPr>
        <w:t>стандартизації;</w:t>
      </w:r>
    </w:p>
    <w:p w14:paraId="41E5A185" w14:textId="77777777" w:rsidR="0097612F" w:rsidRPr="000977F7" w:rsidRDefault="0097612F" w:rsidP="00FD39A4">
      <w:pPr>
        <w:pStyle w:val="ac"/>
        <w:widowControl w:val="0"/>
        <w:numPr>
          <w:ilvl w:val="1"/>
          <w:numId w:val="180"/>
        </w:numPr>
        <w:tabs>
          <w:tab w:val="left" w:pos="284"/>
          <w:tab w:val="left" w:pos="43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термінологічні</w:t>
      </w:r>
      <w:r w:rsidRPr="000977F7">
        <w:rPr>
          <w:rFonts w:asciiTheme="majorHAnsi" w:hAnsiTheme="majorHAnsi"/>
          <w:spacing w:val="18"/>
          <w:sz w:val="20"/>
          <w:szCs w:val="20"/>
        </w:rPr>
        <w:t xml:space="preserve"> </w:t>
      </w:r>
      <w:r w:rsidRPr="000977F7">
        <w:rPr>
          <w:rFonts w:asciiTheme="majorHAnsi" w:hAnsiTheme="majorHAnsi"/>
          <w:sz w:val="20"/>
          <w:szCs w:val="20"/>
        </w:rPr>
        <w:t>системи</w:t>
      </w:r>
      <w:r w:rsidRPr="000977F7">
        <w:rPr>
          <w:rFonts w:asciiTheme="majorHAnsi" w:hAnsiTheme="majorHAnsi"/>
          <w:spacing w:val="18"/>
          <w:sz w:val="20"/>
          <w:szCs w:val="20"/>
        </w:rPr>
        <w:t xml:space="preserve"> </w:t>
      </w:r>
      <w:r w:rsidRPr="000977F7">
        <w:rPr>
          <w:rFonts w:asciiTheme="majorHAnsi" w:hAnsiTheme="majorHAnsi"/>
          <w:sz w:val="20"/>
          <w:szCs w:val="20"/>
        </w:rPr>
        <w:t>різних</w:t>
      </w:r>
      <w:r w:rsidRPr="000977F7">
        <w:rPr>
          <w:rFonts w:asciiTheme="majorHAnsi" w:hAnsiTheme="majorHAnsi"/>
          <w:spacing w:val="18"/>
          <w:sz w:val="20"/>
          <w:szCs w:val="20"/>
        </w:rPr>
        <w:t xml:space="preserve"> </w:t>
      </w:r>
      <w:r w:rsidRPr="000977F7">
        <w:rPr>
          <w:rFonts w:asciiTheme="majorHAnsi" w:hAnsiTheme="majorHAnsi"/>
          <w:sz w:val="20"/>
          <w:szCs w:val="20"/>
        </w:rPr>
        <w:t>галузей</w:t>
      </w:r>
      <w:r w:rsidRPr="000977F7">
        <w:rPr>
          <w:rFonts w:asciiTheme="majorHAnsi" w:hAnsiTheme="majorHAnsi"/>
          <w:spacing w:val="17"/>
          <w:sz w:val="20"/>
          <w:szCs w:val="20"/>
        </w:rPr>
        <w:t xml:space="preserve"> </w:t>
      </w:r>
      <w:r w:rsidRPr="000977F7">
        <w:rPr>
          <w:rFonts w:asciiTheme="majorHAnsi" w:hAnsiTheme="majorHAnsi"/>
          <w:sz w:val="20"/>
          <w:szCs w:val="20"/>
        </w:rPr>
        <w:t>знань</w:t>
      </w:r>
      <w:r w:rsidRPr="000977F7">
        <w:rPr>
          <w:rFonts w:asciiTheme="majorHAnsi" w:hAnsiTheme="majorHAnsi"/>
          <w:spacing w:val="20"/>
          <w:sz w:val="20"/>
          <w:szCs w:val="20"/>
        </w:rPr>
        <w:t xml:space="preserve"> </w:t>
      </w:r>
      <w:r w:rsidRPr="000977F7">
        <w:rPr>
          <w:rFonts w:asciiTheme="majorHAnsi" w:hAnsiTheme="majorHAnsi"/>
          <w:sz w:val="20"/>
          <w:szCs w:val="20"/>
        </w:rPr>
        <w:t>та</w:t>
      </w:r>
      <w:r w:rsidRPr="000977F7">
        <w:rPr>
          <w:rFonts w:asciiTheme="majorHAnsi" w:hAnsiTheme="majorHAnsi"/>
          <w:spacing w:val="20"/>
          <w:sz w:val="20"/>
          <w:szCs w:val="20"/>
        </w:rPr>
        <w:t xml:space="preserve"> </w:t>
      </w:r>
      <w:r w:rsidRPr="000977F7">
        <w:rPr>
          <w:rFonts w:asciiTheme="majorHAnsi" w:hAnsiTheme="majorHAnsi"/>
          <w:sz w:val="20"/>
          <w:szCs w:val="20"/>
        </w:rPr>
        <w:t>діяльності;</w:t>
      </w:r>
    </w:p>
    <w:p w14:paraId="21723C77" w14:textId="77777777" w:rsidR="0097612F" w:rsidRPr="000977F7" w:rsidRDefault="0097612F" w:rsidP="00FD39A4">
      <w:pPr>
        <w:pStyle w:val="ac"/>
        <w:widowControl w:val="0"/>
        <w:numPr>
          <w:ilvl w:val="1"/>
          <w:numId w:val="180"/>
        </w:numPr>
        <w:tabs>
          <w:tab w:val="left" w:pos="284"/>
          <w:tab w:val="left" w:pos="49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класифікація</w:t>
      </w:r>
      <w:r w:rsidRPr="000977F7">
        <w:rPr>
          <w:rFonts w:asciiTheme="majorHAnsi" w:hAnsiTheme="majorHAnsi"/>
          <w:spacing w:val="25"/>
          <w:sz w:val="20"/>
          <w:szCs w:val="20"/>
        </w:rPr>
        <w:t xml:space="preserve"> </w:t>
      </w:r>
      <w:r w:rsidRPr="000977F7">
        <w:rPr>
          <w:rFonts w:asciiTheme="majorHAnsi" w:hAnsiTheme="majorHAnsi"/>
          <w:sz w:val="20"/>
          <w:szCs w:val="20"/>
        </w:rPr>
        <w:t>і</w:t>
      </w:r>
      <w:r w:rsidRPr="000977F7">
        <w:rPr>
          <w:rFonts w:asciiTheme="majorHAnsi" w:hAnsiTheme="majorHAnsi"/>
          <w:spacing w:val="28"/>
          <w:sz w:val="20"/>
          <w:szCs w:val="20"/>
        </w:rPr>
        <w:t xml:space="preserve"> </w:t>
      </w:r>
      <w:r w:rsidRPr="000977F7">
        <w:rPr>
          <w:rFonts w:asciiTheme="majorHAnsi" w:hAnsiTheme="majorHAnsi"/>
          <w:sz w:val="20"/>
          <w:szCs w:val="20"/>
        </w:rPr>
        <w:t>кодування</w:t>
      </w:r>
      <w:r w:rsidRPr="000977F7">
        <w:rPr>
          <w:rFonts w:asciiTheme="majorHAnsi" w:hAnsiTheme="majorHAnsi"/>
          <w:spacing w:val="25"/>
          <w:sz w:val="20"/>
          <w:szCs w:val="20"/>
        </w:rPr>
        <w:t xml:space="preserve"> </w:t>
      </w:r>
      <w:r w:rsidRPr="000977F7">
        <w:rPr>
          <w:rFonts w:asciiTheme="majorHAnsi" w:hAnsiTheme="majorHAnsi"/>
          <w:sz w:val="20"/>
          <w:szCs w:val="20"/>
        </w:rPr>
        <w:t>техніко-економічної</w:t>
      </w:r>
      <w:r w:rsidRPr="000977F7">
        <w:rPr>
          <w:rFonts w:asciiTheme="majorHAnsi" w:hAnsiTheme="majorHAnsi"/>
          <w:spacing w:val="26"/>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соціальної</w:t>
      </w:r>
      <w:r w:rsidRPr="000977F7">
        <w:rPr>
          <w:rFonts w:asciiTheme="majorHAnsi" w:hAnsiTheme="majorHAnsi"/>
          <w:spacing w:val="-2"/>
          <w:sz w:val="20"/>
          <w:szCs w:val="20"/>
        </w:rPr>
        <w:t xml:space="preserve"> </w:t>
      </w:r>
      <w:r w:rsidRPr="000977F7">
        <w:rPr>
          <w:rFonts w:asciiTheme="majorHAnsi" w:hAnsiTheme="majorHAnsi"/>
          <w:sz w:val="20"/>
          <w:szCs w:val="20"/>
        </w:rPr>
        <w:t>інформації;</w:t>
      </w:r>
    </w:p>
    <w:p w14:paraId="36867035" w14:textId="77777777" w:rsidR="0097612F" w:rsidRPr="000977F7" w:rsidRDefault="0097612F" w:rsidP="00FD39A4">
      <w:pPr>
        <w:pStyle w:val="ac"/>
        <w:widowControl w:val="0"/>
        <w:numPr>
          <w:ilvl w:val="1"/>
          <w:numId w:val="180"/>
        </w:numPr>
        <w:tabs>
          <w:tab w:val="left" w:pos="284"/>
          <w:tab w:val="left" w:pos="42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системи</w:t>
      </w:r>
      <w:r w:rsidRPr="000977F7">
        <w:rPr>
          <w:rFonts w:asciiTheme="majorHAnsi" w:hAnsiTheme="majorHAnsi"/>
          <w:spacing w:val="3"/>
          <w:sz w:val="20"/>
          <w:szCs w:val="20"/>
        </w:rPr>
        <w:t xml:space="preserve"> </w:t>
      </w:r>
      <w:r w:rsidRPr="000977F7">
        <w:rPr>
          <w:rFonts w:asciiTheme="majorHAnsi" w:hAnsiTheme="majorHAnsi"/>
          <w:sz w:val="20"/>
          <w:szCs w:val="20"/>
        </w:rPr>
        <w:t>та</w:t>
      </w:r>
      <w:r w:rsidRPr="000977F7">
        <w:rPr>
          <w:rFonts w:asciiTheme="majorHAnsi" w:hAnsiTheme="majorHAnsi"/>
          <w:spacing w:val="6"/>
          <w:sz w:val="20"/>
          <w:szCs w:val="20"/>
        </w:rPr>
        <w:t xml:space="preserve"> </w:t>
      </w:r>
      <w:r w:rsidRPr="000977F7">
        <w:rPr>
          <w:rFonts w:asciiTheme="majorHAnsi" w:hAnsiTheme="majorHAnsi"/>
          <w:sz w:val="20"/>
          <w:szCs w:val="20"/>
        </w:rPr>
        <w:t>методи</w:t>
      </w:r>
      <w:r w:rsidRPr="000977F7">
        <w:rPr>
          <w:rFonts w:asciiTheme="majorHAnsi" w:hAnsiTheme="majorHAnsi"/>
          <w:spacing w:val="4"/>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5"/>
          <w:sz w:val="20"/>
          <w:szCs w:val="20"/>
        </w:rPr>
        <w:t xml:space="preserve"> </w:t>
      </w:r>
      <w:r w:rsidRPr="000977F7">
        <w:rPr>
          <w:rFonts w:asciiTheme="majorHAnsi" w:hAnsiTheme="majorHAnsi"/>
          <w:sz w:val="20"/>
          <w:szCs w:val="20"/>
        </w:rPr>
        <w:t>якості</w:t>
      </w:r>
      <w:r w:rsidRPr="000977F7">
        <w:rPr>
          <w:rFonts w:asciiTheme="majorHAnsi" w:hAnsiTheme="majorHAnsi"/>
          <w:spacing w:val="5"/>
          <w:sz w:val="20"/>
          <w:szCs w:val="20"/>
        </w:rPr>
        <w:t xml:space="preserve"> </w:t>
      </w:r>
      <w:r w:rsidRPr="000977F7">
        <w:rPr>
          <w:rFonts w:asciiTheme="majorHAnsi" w:hAnsiTheme="majorHAnsi"/>
          <w:sz w:val="20"/>
          <w:szCs w:val="20"/>
        </w:rPr>
        <w:t>(вимірювань,</w:t>
      </w:r>
      <w:r w:rsidRPr="000977F7">
        <w:rPr>
          <w:rFonts w:asciiTheme="majorHAnsi" w:hAnsiTheme="majorHAnsi"/>
          <w:spacing w:val="-47"/>
          <w:sz w:val="20"/>
          <w:szCs w:val="20"/>
        </w:rPr>
        <w:t xml:space="preserve"> </w:t>
      </w:r>
      <w:r w:rsidRPr="000977F7">
        <w:rPr>
          <w:rFonts w:asciiTheme="majorHAnsi" w:hAnsiTheme="majorHAnsi"/>
          <w:sz w:val="20"/>
          <w:szCs w:val="20"/>
        </w:rPr>
        <w:t>аналізу),</w:t>
      </w:r>
      <w:r w:rsidRPr="000977F7">
        <w:rPr>
          <w:rFonts w:asciiTheme="majorHAnsi" w:hAnsiTheme="majorHAnsi"/>
          <w:spacing w:val="-1"/>
          <w:sz w:val="20"/>
          <w:szCs w:val="20"/>
        </w:rPr>
        <w:t xml:space="preserve"> </w:t>
      </w:r>
      <w:r w:rsidRPr="000977F7">
        <w:rPr>
          <w:rFonts w:asciiTheme="majorHAnsi" w:hAnsiTheme="majorHAnsi"/>
          <w:sz w:val="20"/>
          <w:szCs w:val="20"/>
        </w:rPr>
        <w:t>методи</w:t>
      </w:r>
      <w:r w:rsidRPr="000977F7">
        <w:rPr>
          <w:rFonts w:asciiTheme="majorHAnsi" w:hAnsiTheme="majorHAnsi"/>
          <w:spacing w:val="-2"/>
          <w:sz w:val="20"/>
          <w:szCs w:val="20"/>
        </w:rPr>
        <w:t xml:space="preserve"> </w:t>
      </w:r>
      <w:r w:rsidRPr="000977F7">
        <w:rPr>
          <w:rFonts w:asciiTheme="majorHAnsi" w:hAnsiTheme="majorHAnsi"/>
          <w:sz w:val="20"/>
          <w:szCs w:val="20"/>
        </w:rPr>
        <w:t>випробувань;</w:t>
      </w:r>
    </w:p>
    <w:p w14:paraId="5E8B65F6" w14:textId="77777777" w:rsidR="0097612F" w:rsidRPr="000977F7" w:rsidRDefault="0097612F" w:rsidP="00FD39A4">
      <w:pPr>
        <w:pStyle w:val="ac"/>
        <w:widowControl w:val="0"/>
        <w:numPr>
          <w:ilvl w:val="1"/>
          <w:numId w:val="180"/>
        </w:numPr>
        <w:tabs>
          <w:tab w:val="left" w:pos="284"/>
          <w:tab w:val="left" w:pos="51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метрологічне</w:t>
      </w:r>
      <w:r w:rsidRPr="000977F7">
        <w:rPr>
          <w:rFonts w:asciiTheme="majorHAnsi" w:hAnsiTheme="majorHAnsi"/>
          <w:spacing w:val="43"/>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42"/>
          <w:sz w:val="20"/>
          <w:szCs w:val="20"/>
        </w:rPr>
        <w:t xml:space="preserve"> </w:t>
      </w:r>
      <w:r w:rsidRPr="000977F7">
        <w:rPr>
          <w:rFonts w:asciiTheme="majorHAnsi" w:hAnsiTheme="majorHAnsi"/>
          <w:sz w:val="20"/>
          <w:szCs w:val="20"/>
        </w:rPr>
        <w:t>(метрологічні</w:t>
      </w:r>
      <w:r w:rsidRPr="000977F7">
        <w:rPr>
          <w:rFonts w:asciiTheme="majorHAnsi" w:hAnsiTheme="majorHAnsi"/>
          <w:spacing w:val="42"/>
          <w:sz w:val="20"/>
          <w:szCs w:val="20"/>
        </w:rPr>
        <w:t xml:space="preserve"> </w:t>
      </w:r>
      <w:r w:rsidRPr="000977F7">
        <w:rPr>
          <w:rFonts w:asciiTheme="majorHAnsi" w:hAnsiTheme="majorHAnsi"/>
          <w:sz w:val="20"/>
          <w:szCs w:val="20"/>
        </w:rPr>
        <w:t>норми,</w:t>
      </w:r>
      <w:r w:rsidRPr="000977F7">
        <w:rPr>
          <w:rFonts w:asciiTheme="majorHAnsi" w:hAnsiTheme="majorHAnsi"/>
          <w:spacing w:val="-47"/>
          <w:sz w:val="20"/>
          <w:szCs w:val="20"/>
        </w:rPr>
        <w:t xml:space="preserve"> </w:t>
      </w:r>
      <w:r w:rsidRPr="000977F7">
        <w:rPr>
          <w:rFonts w:asciiTheme="majorHAnsi" w:hAnsiTheme="majorHAnsi"/>
          <w:sz w:val="20"/>
          <w:szCs w:val="20"/>
        </w:rPr>
        <w:t>правила, вимоги, організація</w:t>
      </w:r>
      <w:r w:rsidRPr="000977F7">
        <w:rPr>
          <w:rFonts w:asciiTheme="majorHAnsi" w:hAnsiTheme="majorHAnsi"/>
          <w:spacing w:val="-2"/>
          <w:sz w:val="20"/>
          <w:szCs w:val="20"/>
        </w:rPr>
        <w:t xml:space="preserve"> </w:t>
      </w:r>
      <w:r w:rsidRPr="000977F7">
        <w:rPr>
          <w:rFonts w:asciiTheme="majorHAnsi" w:hAnsiTheme="majorHAnsi"/>
          <w:sz w:val="20"/>
          <w:szCs w:val="20"/>
        </w:rPr>
        <w:t>робіт);</w:t>
      </w:r>
    </w:p>
    <w:p w14:paraId="24D37DDD" w14:textId="77777777" w:rsidR="0097612F" w:rsidRPr="000977F7" w:rsidRDefault="0097612F" w:rsidP="00FD39A4">
      <w:pPr>
        <w:pStyle w:val="ac"/>
        <w:widowControl w:val="0"/>
        <w:numPr>
          <w:ilvl w:val="1"/>
          <w:numId w:val="180"/>
        </w:numPr>
        <w:tabs>
          <w:tab w:val="left" w:pos="284"/>
          <w:tab w:val="left" w:pos="48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вимоги</w:t>
      </w:r>
      <w:r w:rsidRPr="000977F7">
        <w:rPr>
          <w:rFonts w:asciiTheme="majorHAnsi" w:hAnsiTheme="majorHAnsi"/>
          <w:spacing w:val="31"/>
          <w:sz w:val="20"/>
          <w:szCs w:val="20"/>
        </w:rPr>
        <w:t xml:space="preserve"> </w:t>
      </w:r>
      <w:r w:rsidRPr="000977F7">
        <w:rPr>
          <w:rFonts w:asciiTheme="majorHAnsi" w:hAnsiTheme="majorHAnsi"/>
          <w:sz w:val="20"/>
          <w:szCs w:val="20"/>
        </w:rPr>
        <w:t>техніки</w:t>
      </w:r>
      <w:r w:rsidRPr="000977F7">
        <w:rPr>
          <w:rFonts w:asciiTheme="majorHAnsi" w:hAnsiTheme="majorHAnsi"/>
          <w:spacing w:val="31"/>
          <w:sz w:val="20"/>
          <w:szCs w:val="20"/>
        </w:rPr>
        <w:t xml:space="preserve"> </w:t>
      </w:r>
      <w:r w:rsidRPr="000977F7">
        <w:rPr>
          <w:rFonts w:asciiTheme="majorHAnsi" w:hAnsiTheme="majorHAnsi"/>
          <w:sz w:val="20"/>
          <w:szCs w:val="20"/>
        </w:rPr>
        <w:t>безпеки,</w:t>
      </w:r>
      <w:r w:rsidRPr="000977F7">
        <w:rPr>
          <w:rFonts w:asciiTheme="majorHAnsi" w:hAnsiTheme="majorHAnsi"/>
          <w:spacing w:val="30"/>
          <w:sz w:val="20"/>
          <w:szCs w:val="20"/>
        </w:rPr>
        <w:t xml:space="preserve"> </w:t>
      </w:r>
      <w:r w:rsidRPr="000977F7">
        <w:rPr>
          <w:rFonts w:asciiTheme="majorHAnsi" w:hAnsiTheme="majorHAnsi"/>
          <w:sz w:val="20"/>
          <w:szCs w:val="20"/>
        </w:rPr>
        <w:t>гігієни</w:t>
      </w:r>
      <w:r w:rsidRPr="000977F7">
        <w:rPr>
          <w:rFonts w:asciiTheme="majorHAnsi" w:hAnsiTheme="majorHAnsi"/>
          <w:spacing w:val="31"/>
          <w:sz w:val="20"/>
          <w:szCs w:val="20"/>
        </w:rPr>
        <w:t xml:space="preserve"> </w:t>
      </w:r>
      <w:r w:rsidRPr="000977F7">
        <w:rPr>
          <w:rFonts w:asciiTheme="majorHAnsi" w:hAnsiTheme="majorHAnsi"/>
          <w:sz w:val="20"/>
          <w:szCs w:val="20"/>
        </w:rPr>
        <w:t>праці,</w:t>
      </w:r>
      <w:r w:rsidRPr="000977F7">
        <w:rPr>
          <w:rFonts w:asciiTheme="majorHAnsi" w:hAnsiTheme="majorHAnsi"/>
          <w:spacing w:val="30"/>
          <w:sz w:val="20"/>
          <w:szCs w:val="20"/>
        </w:rPr>
        <w:t xml:space="preserve"> </w:t>
      </w:r>
      <w:r w:rsidRPr="000977F7">
        <w:rPr>
          <w:rFonts w:asciiTheme="majorHAnsi" w:hAnsiTheme="majorHAnsi"/>
          <w:sz w:val="20"/>
          <w:szCs w:val="20"/>
        </w:rPr>
        <w:t>ергономіки,</w:t>
      </w:r>
      <w:r w:rsidRPr="000977F7">
        <w:rPr>
          <w:rFonts w:asciiTheme="majorHAnsi" w:hAnsiTheme="majorHAnsi"/>
          <w:spacing w:val="-47"/>
          <w:sz w:val="20"/>
          <w:szCs w:val="20"/>
        </w:rPr>
        <w:t xml:space="preserve"> </w:t>
      </w:r>
      <w:r w:rsidRPr="000977F7">
        <w:rPr>
          <w:rFonts w:asciiTheme="majorHAnsi" w:hAnsiTheme="majorHAnsi"/>
          <w:sz w:val="20"/>
          <w:szCs w:val="20"/>
        </w:rPr>
        <w:t>технічної</w:t>
      </w:r>
      <w:r w:rsidRPr="000977F7">
        <w:rPr>
          <w:rFonts w:asciiTheme="majorHAnsi" w:hAnsiTheme="majorHAnsi"/>
          <w:spacing w:val="-2"/>
          <w:sz w:val="20"/>
          <w:szCs w:val="20"/>
        </w:rPr>
        <w:t xml:space="preserve"> </w:t>
      </w:r>
      <w:r w:rsidRPr="000977F7">
        <w:rPr>
          <w:rFonts w:asciiTheme="majorHAnsi" w:hAnsiTheme="majorHAnsi"/>
          <w:sz w:val="20"/>
          <w:szCs w:val="20"/>
        </w:rPr>
        <w:t>естетики;</w:t>
      </w:r>
    </w:p>
    <w:p w14:paraId="6090458D" w14:textId="77777777" w:rsidR="0097612F" w:rsidRPr="000977F7" w:rsidRDefault="0097612F" w:rsidP="00FD39A4">
      <w:pPr>
        <w:pStyle w:val="ac"/>
        <w:widowControl w:val="0"/>
        <w:numPr>
          <w:ilvl w:val="1"/>
          <w:numId w:val="180"/>
        </w:numPr>
        <w:tabs>
          <w:tab w:val="left" w:pos="284"/>
          <w:tab w:val="left" w:pos="48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системи</w:t>
      </w:r>
      <w:r w:rsidRPr="000977F7">
        <w:rPr>
          <w:rFonts w:asciiTheme="majorHAnsi" w:hAnsiTheme="majorHAnsi"/>
          <w:spacing w:val="10"/>
          <w:sz w:val="20"/>
          <w:szCs w:val="20"/>
        </w:rPr>
        <w:t xml:space="preserve"> </w:t>
      </w:r>
      <w:r w:rsidRPr="000977F7">
        <w:rPr>
          <w:rFonts w:asciiTheme="majorHAnsi" w:hAnsiTheme="majorHAnsi"/>
          <w:sz w:val="20"/>
          <w:szCs w:val="20"/>
        </w:rPr>
        <w:t>технічної</w:t>
      </w:r>
      <w:r w:rsidRPr="000977F7">
        <w:rPr>
          <w:rFonts w:asciiTheme="majorHAnsi" w:hAnsiTheme="majorHAnsi"/>
          <w:spacing w:val="10"/>
          <w:sz w:val="20"/>
          <w:szCs w:val="20"/>
        </w:rPr>
        <w:t xml:space="preserve"> </w:t>
      </w:r>
      <w:r w:rsidRPr="000977F7">
        <w:rPr>
          <w:rFonts w:asciiTheme="majorHAnsi" w:hAnsiTheme="majorHAnsi"/>
          <w:sz w:val="20"/>
          <w:szCs w:val="20"/>
        </w:rPr>
        <w:t>та</w:t>
      </w:r>
      <w:r w:rsidRPr="000977F7">
        <w:rPr>
          <w:rFonts w:asciiTheme="majorHAnsi" w:hAnsiTheme="majorHAnsi"/>
          <w:spacing w:val="11"/>
          <w:sz w:val="20"/>
          <w:szCs w:val="20"/>
        </w:rPr>
        <w:t xml:space="preserve"> </w:t>
      </w:r>
      <w:r w:rsidRPr="000977F7">
        <w:rPr>
          <w:rFonts w:asciiTheme="majorHAnsi" w:hAnsiTheme="majorHAnsi"/>
          <w:sz w:val="20"/>
          <w:szCs w:val="20"/>
        </w:rPr>
        <w:t>іншої</w:t>
      </w:r>
      <w:r w:rsidRPr="000977F7">
        <w:rPr>
          <w:rFonts w:asciiTheme="majorHAnsi" w:hAnsiTheme="majorHAnsi"/>
          <w:spacing w:val="12"/>
          <w:sz w:val="20"/>
          <w:szCs w:val="20"/>
        </w:rPr>
        <w:t xml:space="preserve"> </w:t>
      </w:r>
      <w:r w:rsidRPr="000977F7">
        <w:rPr>
          <w:rFonts w:asciiTheme="majorHAnsi" w:hAnsiTheme="majorHAnsi"/>
          <w:sz w:val="20"/>
          <w:szCs w:val="20"/>
        </w:rPr>
        <w:t>документації</w:t>
      </w:r>
      <w:r w:rsidRPr="000977F7">
        <w:rPr>
          <w:rFonts w:asciiTheme="majorHAnsi" w:hAnsiTheme="majorHAnsi"/>
          <w:spacing w:val="9"/>
          <w:sz w:val="20"/>
          <w:szCs w:val="20"/>
        </w:rPr>
        <w:t xml:space="preserve"> </w:t>
      </w:r>
      <w:r w:rsidRPr="000977F7">
        <w:rPr>
          <w:rFonts w:asciiTheme="majorHAnsi" w:hAnsiTheme="majorHAnsi"/>
          <w:sz w:val="20"/>
          <w:szCs w:val="20"/>
        </w:rPr>
        <w:t>загального</w:t>
      </w:r>
      <w:r w:rsidRPr="000977F7">
        <w:rPr>
          <w:rFonts w:asciiTheme="majorHAnsi" w:hAnsiTheme="majorHAnsi"/>
          <w:spacing w:val="-47"/>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єдина</w:t>
      </w:r>
      <w:r w:rsidRPr="000977F7">
        <w:rPr>
          <w:rFonts w:asciiTheme="majorHAnsi" w:hAnsiTheme="majorHAnsi"/>
          <w:spacing w:val="2"/>
          <w:sz w:val="20"/>
          <w:szCs w:val="20"/>
        </w:rPr>
        <w:t xml:space="preserve"> </w:t>
      </w:r>
      <w:r w:rsidRPr="000977F7">
        <w:rPr>
          <w:rFonts w:asciiTheme="majorHAnsi" w:hAnsiTheme="majorHAnsi"/>
          <w:sz w:val="20"/>
          <w:szCs w:val="20"/>
        </w:rPr>
        <w:t>технічна мова;</w:t>
      </w:r>
    </w:p>
    <w:p w14:paraId="19C909E4" w14:textId="77777777" w:rsidR="0097612F" w:rsidRPr="000977F7" w:rsidRDefault="0097612F" w:rsidP="00FD39A4">
      <w:pPr>
        <w:pStyle w:val="ac"/>
        <w:widowControl w:val="0"/>
        <w:numPr>
          <w:ilvl w:val="2"/>
          <w:numId w:val="180"/>
        </w:numPr>
        <w:tabs>
          <w:tab w:val="left" w:pos="284"/>
          <w:tab w:val="left" w:pos="55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системи</w:t>
      </w:r>
      <w:r w:rsidRPr="000977F7">
        <w:rPr>
          <w:rFonts w:asciiTheme="majorHAnsi" w:hAnsiTheme="majorHAnsi"/>
          <w:spacing w:val="-5"/>
          <w:sz w:val="20"/>
          <w:szCs w:val="20"/>
        </w:rPr>
        <w:t xml:space="preserve"> </w:t>
      </w:r>
      <w:r w:rsidRPr="000977F7">
        <w:rPr>
          <w:rFonts w:asciiTheme="majorHAnsi" w:hAnsiTheme="majorHAnsi"/>
          <w:sz w:val="20"/>
          <w:szCs w:val="20"/>
        </w:rPr>
        <w:t>величин</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одиниць;</w:t>
      </w:r>
    </w:p>
    <w:p w14:paraId="508D373C" w14:textId="77777777" w:rsidR="0097612F" w:rsidRPr="000977F7" w:rsidRDefault="0097612F" w:rsidP="00FD39A4">
      <w:pPr>
        <w:pStyle w:val="ac"/>
        <w:widowControl w:val="0"/>
        <w:numPr>
          <w:ilvl w:val="2"/>
          <w:numId w:val="180"/>
        </w:numPr>
        <w:tabs>
          <w:tab w:val="left" w:pos="284"/>
          <w:tab w:val="left" w:pos="56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типорозмірні ряди і типові конструкції виробів загально-машинобудівного</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(підшипники,</w:t>
      </w:r>
      <w:r w:rsidRPr="000977F7">
        <w:rPr>
          <w:rFonts w:asciiTheme="majorHAnsi" w:hAnsiTheme="majorHAnsi"/>
          <w:spacing w:val="1"/>
          <w:sz w:val="20"/>
          <w:szCs w:val="20"/>
        </w:rPr>
        <w:t xml:space="preserve"> </w:t>
      </w:r>
      <w:r w:rsidRPr="000977F7">
        <w:rPr>
          <w:rFonts w:asciiTheme="majorHAnsi" w:hAnsiTheme="majorHAnsi"/>
          <w:sz w:val="20"/>
          <w:szCs w:val="20"/>
        </w:rPr>
        <w:t>кріплення,</w:t>
      </w:r>
      <w:r w:rsidRPr="000977F7">
        <w:rPr>
          <w:rFonts w:asciiTheme="majorHAnsi" w:hAnsiTheme="majorHAnsi"/>
          <w:spacing w:val="-1"/>
          <w:sz w:val="20"/>
          <w:szCs w:val="20"/>
        </w:rPr>
        <w:t xml:space="preserve"> </w:t>
      </w:r>
      <w:r w:rsidRPr="000977F7">
        <w:rPr>
          <w:rFonts w:asciiTheme="majorHAnsi" w:hAnsiTheme="majorHAnsi"/>
          <w:sz w:val="20"/>
          <w:szCs w:val="20"/>
        </w:rPr>
        <w:t>інструменти, деталі</w:t>
      </w:r>
      <w:r w:rsidRPr="000977F7">
        <w:rPr>
          <w:rFonts w:asciiTheme="majorHAnsi" w:hAnsiTheme="majorHAnsi"/>
          <w:spacing w:val="-2"/>
          <w:sz w:val="20"/>
          <w:szCs w:val="20"/>
        </w:rPr>
        <w:t xml:space="preserve"> </w:t>
      </w:r>
      <w:r w:rsidRPr="000977F7">
        <w:rPr>
          <w:rFonts w:asciiTheme="majorHAnsi" w:hAnsiTheme="majorHAnsi"/>
          <w:sz w:val="20"/>
          <w:szCs w:val="20"/>
        </w:rPr>
        <w:t>тощо);</w:t>
      </w:r>
    </w:p>
    <w:p w14:paraId="548CD69B" w14:textId="77777777" w:rsidR="0097612F" w:rsidRPr="000977F7" w:rsidRDefault="0097612F" w:rsidP="00FD39A4">
      <w:pPr>
        <w:pStyle w:val="ac"/>
        <w:widowControl w:val="0"/>
        <w:numPr>
          <w:ilvl w:val="2"/>
          <w:numId w:val="180"/>
        </w:numPr>
        <w:tabs>
          <w:tab w:val="left" w:pos="284"/>
          <w:tab w:val="left" w:pos="60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інформаційні</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технології,</w:t>
      </w:r>
      <w:r w:rsidRPr="000977F7">
        <w:rPr>
          <w:rFonts w:asciiTheme="majorHAnsi" w:hAnsiTheme="majorHAnsi"/>
          <w:spacing w:val="1"/>
          <w:sz w:val="20"/>
          <w:szCs w:val="20"/>
        </w:rPr>
        <w:t xml:space="preserve"> </w:t>
      </w:r>
      <w:r w:rsidRPr="000977F7">
        <w:rPr>
          <w:rFonts w:asciiTheme="majorHAnsi" w:hAnsiTheme="majorHAnsi"/>
          <w:sz w:val="20"/>
          <w:szCs w:val="20"/>
        </w:rPr>
        <w:t>включаючи</w:t>
      </w:r>
      <w:r w:rsidRPr="000977F7">
        <w:rPr>
          <w:rFonts w:asciiTheme="majorHAnsi" w:hAnsiTheme="majorHAnsi"/>
          <w:spacing w:val="1"/>
          <w:sz w:val="20"/>
          <w:szCs w:val="20"/>
        </w:rPr>
        <w:t xml:space="preserve"> </w:t>
      </w:r>
      <w:r w:rsidRPr="000977F7">
        <w:rPr>
          <w:rFonts w:asciiTheme="majorHAnsi" w:hAnsiTheme="majorHAnsi"/>
          <w:sz w:val="20"/>
          <w:szCs w:val="20"/>
        </w:rPr>
        <w:t>програмні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технічні</w:t>
      </w:r>
      <w:r w:rsidRPr="000977F7">
        <w:rPr>
          <w:rFonts w:asciiTheme="majorHAnsi" w:hAnsiTheme="majorHAnsi"/>
          <w:spacing w:val="1"/>
          <w:sz w:val="20"/>
          <w:szCs w:val="20"/>
        </w:rPr>
        <w:t xml:space="preserve"> </w:t>
      </w:r>
      <w:r w:rsidRPr="000977F7">
        <w:rPr>
          <w:rFonts w:asciiTheme="majorHAnsi" w:hAnsiTheme="majorHAnsi"/>
          <w:sz w:val="20"/>
          <w:szCs w:val="20"/>
        </w:rPr>
        <w:t>засоби</w:t>
      </w:r>
      <w:r w:rsidRPr="000977F7">
        <w:rPr>
          <w:rFonts w:asciiTheme="majorHAnsi" w:hAnsiTheme="majorHAnsi"/>
          <w:spacing w:val="1"/>
          <w:sz w:val="20"/>
          <w:szCs w:val="20"/>
        </w:rPr>
        <w:t xml:space="preserve"> </w:t>
      </w:r>
      <w:r w:rsidRPr="000977F7">
        <w:rPr>
          <w:rFonts w:asciiTheme="majorHAnsi" w:hAnsiTheme="majorHAnsi"/>
          <w:sz w:val="20"/>
          <w:szCs w:val="20"/>
        </w:rPr>
        <w:t>інформаційних</w:t>
      </w:r>
      <w:r w:rsidRPr="000977F7">
        <w:rPr>
          <w:rFonts w:asciiTheme="majorHAnsi" w:hAnsiTheme="majorHAnsi"/>
          <w:spacing w:val="1"/>
          <w:sz w:val="20"/>
          <w:szCs w:val="20"/>
        </w:rPr>
        <w:t xml:space="preserve"> </w:t>
      </w:r>
      <w:r w:rsidRPr="000977F7">
        <w:rPr>
          <w:rFonts w:asciiTheme="majorHAnsi" w:hAnsiTheme="majorHAnsi"/>
          <w:sz w:val="20"/>
          <w:szCs w:val="20"/>
        </w:rPr>
        <w:t>систем</w:t>
      </w:r>
      <w:r w:rsidRPr="000977F7">
        <w:rPr>
          <w:rFonts w:asciiTheme="majorHAnsi" w:hAnsiTheme="majorHAnsi"/>
          <w:spacing w:val="1"/>
          <w:sz w:val="20"/>
          <w:szCs w:val="20"/>
        </w:rPr>
        <w:t xml:space="preserve"> </w:t>
      </w:r>
      <w:r w:rsidRPr="000977F7">
        <w:rPr>
          <w:rFonts w:asciiTheme="majorHAnsi" w:hAnsiTheme="majorHAnsi"/>
          <w:sz w:val="20"/>
          <w:szCs w:val="20"/>
        </w:rPr>
        <w:t>загального</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призначення;</w:t>
      </w:r>
    </w:p>
    <w:p w14:paraId="3A11E208" w14:textId="77777777" w:rsidR="0097612F" w:rsidRPr="000977F7" w:rsidRDefault="0097612F" w:rsidP="00FD39A4">
      <w:pPr>
        <w:pStyle w:val="ac"/>
        <w:widowControl w:val="0"/>
        <w:numPr>
          <w:ilvl w:val="2"/>
          <w:numId w:val="180"/>
        </w:numPr>
        <w:tabs>
          <w:tab w:val="left" w:pos="284"/>
          <w:tab w:val="left" w:pos="56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достовірні довідкові лані про властивості речовин та</w:t>
      </w:r>
      <w:r w:rsidRPr="000977F7">
        <w:rPr>
          <w:rFonts w:asciiTheme="majorHAnsi" w:hAnsiTheme="majorHAnsi"/>
          <w:spacing w:val="-47"/>
          <w:sz w:val="20"/>
          <w:szCs w:val="20"/>
        </w:rPr>
        <w:t xml:space="preserve"> </w:t>
      </w:r>
      <w:r w:rsidRPr="000977F7">
        <w:rPr>
          <w:rFonts w:asciiTheme="majorHAnsi" w:hAnsiTheme="majorHAnsi"/>
          <w:sz w:val="20"/>
          <w:szCs w:val="20"/>
        </w:rPr>
        <w:t>матеріалів;</w:t>
      </w:r>
    </w:p>
    <w:p w14:paraId="5B19320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w:t>
      </w:r>
      <w:r w:rsidRPr="000977F7">
        <w:rPr>
          <w:rFonts w:asciiTheme="majorHAnsi" w:hAnsiTheme="majorHAnsi"/>
          <w:spacing w:val="-5"/>
          <w:sz w:val="20"/>
          <w:szCs w:val="20"/>
        </w:rPr>
        <w:t xml:space="preserve"> </w:t>
      </w:r>
      <w:r w:rsidRPr="000977F7">
        <w:rPr>
          <w:rFonts w:asciiTheme="majorHAnsi" w:hAnsiTheme="majorHAnsi"/>
          <w:sz w:val="20"/>
          <w:szCs w:val="20"/>
        </w:rPr>
        <w:t>продукція</w:t>
      </w:r>
      <w:r w:rsidRPr="000977F7">
        <w:rPr>
          <w:rFonts w:asciiTheme="majorHAnsi" w:hAnsiTheme="majorHAnsi"/>
          <w:spacing w:val="-5"/>
          <w:sz w:val="20"/>
          <w:szCs w:val="20"/>
        </w:rPr>
        <w:t xml:space="preserve"> </w:t>
      </w:r>
      <w:r w:rsidRPr="000977F7">
        <w:rPr>
          <w:rFonts w:asciiTheme="majorHAnsi" w:hAnsiTheme="majorHAnsi"/>
          <w:sz w:val="20"/>
          <w:szCs w:val="20"/>
        </w:rPr>
        <w:t>міжгалузевого</w:t>
      </w:r>
      <w:r w:rsidRPr="000977F7">
        <w:rPr>
          <w:rFonts w:asciiTheme="majorHAnsi" w:hAnsiTheme="majorHAnsi"/>
          <w:spacing w:val="-3"/>
          <w:sz w:val="20"/>
          <w:szCs w:val="20"/>
        </w:rPr>
        <w:t xml:space="preserve"> </w:t>
      </w:r>
      <w:r w:rsidRPr="000977F7">
        <w:rPr>
          <w:rFonts w:asciiTheme="majorHAnsi" w:hAnsiTheme="majorHAnsi"/>
          <w:sz w:val="20"/>
          <w:szCs w:val="20"/>
        </w:rPr>
        <w:t>призначення</w:t>
      </w:r>
      <w:r w:rsidRPr="000977F7">
        <w:rPr>
          <w:rFonts w:asciiTheme="majorHAnsi" w:hAnsiTheme="majorHAnsi"/>
          <w:spacing w:val="-6"/>
          <w:sz w:val="20"/>
          <w:szCs w:val="20"/>
        </w:rPr>
        <w:t xml:space="preserve"> </w:t>
      </w:r>
      <w:r w:rsidRPr="000977F7">
        <w:rPr>
          <w:rFonts w:asciiTheme="majorHAnsi" w:hAnsiTheme="majorHAnsi"/>
          <w:sz w:val="20"/>
          <w:szCs w:val="20"/>
        </w:rPr>
        <w:t>та</w:t>
      </w:r>
      <w:r w:rsidRPr="000977F7">
        <w:rPr>
          <w:rFonts w:asciiTheme="majorHAnsi" w:hAnsiTheme="majorHAnsi"/>
          <w:spacing w:val="-5"/>
          <w:sz w:val="20"/>
          <w:szCs w:val="20"/>
        </w:rPr>
        <w:t xml:space="preserve"> </w:t>
      </w:r>
      <w:r w:rsidRPr="000977F7">
        <w:rPr>
          <w:rFonts w:asciiTheme="majorHAnsi" w:hAnsiTheme="majorHAnsi"/>
          <w:sz w:val="20"/>
          <w:szCs w:val="20"/>
        </w:rPr>
        <w:t>широкого</w:t>
      </w:r>
      <w:r w:rsidRPr="000977F7">
        <w:rPr>
          <w:rFonts w:asciiTheme="majorHAnsi" w:hAnsiTheme="majorHAnsi"/>
          <w:spacing w:val="-48"/>
          <w:sz w:val="20"/>
          <w:szCs w:val="20"/>
        </w:rPr>
        <w:t xml:space="preserve"> </w:t>
      </w:r>
      <w:r w:rsidRPr="000977F7">
        <w:rPr>
          <w:rFonts w:asciiTheme="majorHAnsi" w:hAnsiTheme="majorHAnsi"/>
          <w:sz w:val="20"/>
          <w:szCs w:val="20"/>
        </w:rPr>
        <w:t>вжитку;</w:t>
      </w:r>
    </w:p>
    <w:p w14:paraId="70A24B8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 складові елементи народногосподарських об’єктів</w:t>
      </w:r>
      <w:r w:rsidRPr="000977F7">
        <w:rPr>
          <w:rFonts w:asciiTheme="majorHAnsi" w:hAnsiTheme="majorHAnsi"/>
          <w:spacing w:val="1"/>
          <w:sz w:val="20"/>
          <w:szCs w:val="20"/>
        </w:rPr>
        <w:t xml:space="preserve"> </w:t>
      </w:r>
      <w:r w:rsidRPr="000977F7">
        <w:rPr>
          <w:rFonts w:asciiTheme="majorHAnsi" w:hAnsiTheme="majorHAnsi"/>
          <w:sz w:val="20"/>
          <w:szCs w:val="20"/>
        </w:rPr>
        <w:t>державного</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тому</w:t>
      </w:r>
      <w:r w:rsidRPr="000977F7">
        <w:rPr>
          <w:rFonts w:asciiTheme="majorHAnsi" w:hAnsiTheme="majorHAnsi"/>
          <w:spacing w:val="1"/>
          <w:sz w:val="20"/>
          <w:szCs w:val="20"/>
        </w:rPr>
        <w:t xml:space="preserve"> </w:t>
      </w:r>
      <w:r w:rsidRPr="000977F7">
        <w:rPr>
          <w:rFonts w:asciiTheme="majorHAnsi" w:hAnsiTheme="majorHAnsi"/>
          <w:sz w:val="20"/>
          <w:szCs w:val="20"/>
        </w:rPr>
        <w:t>числі</w:t>
      </w:r>
      <w:r w:rsidRPr="000977F7">
        <w:rPr>
          <w:rFonts w:asciiTheme="majorHAnsi" w:hAnsiTheme="majorHAnsi"/>
          <w:spacing w:val="1"/>
          <w:sz w:val="20"/>
          <w:szCs w:val="20"/>
        </w:rPr>
        <w:t xml:space="preserve"> </w:t>
      </w:r>
      <w:r w:rsidRPr="000977F7">
        <w:rPr>
          <w:rFonts w:asciiTheme="majorHAnsi" w:hAnsiTheme="majorHAnsi"/>
          <w:sz w:val="20"/>
          <w:szCs w:val="20"/>
        </w:rPr>
        <w:t>банківсько-фінансова система, транспорт, зв’язок, енергосистема,</w:t>
      </w:r>
      <w:r w:rsidRPr="000977F7">
        <w:rPr>
          <w:rFonts w:asciiTheme="majorHAnsi" w:hAnsiTheme="majorHAnsi"/>
          <w:spacing w:val="-47"/>
          <w:sz w:val="20"/>
          <w:szCs w:val="20"/>
        </w:rPr>
        <w:t xml:space="preserve"> </w:t>
      </w:r>
      <w:r w:rsidRPr="000977F7">
        <w:rPr>
          <w:rFonts w:asciiTheme="majorHAnsi" w:hAnsiTheme="majorHAnsi"/>
          <w:sz w:val="20"/>
          <w:szCs w:val="20"/>
        </w:rPr>
        <w:t>охорона навколишнього природного середовища, вимоги до використовуваних природних ресурсів, оборона</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1D38715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 об’єкти державних соціально-економічних та державних</w:t>
      </w:r>
      <w:r w:rsidRPr="000977F7">
        <w:rPr>
          <w:rFonts w:asciiTheme="majorHAnsi" w:hAnsiTheme="majorHAnsi"/>
          <w:spacing w:val="-2"/>
          <w:sz w:val="20"/>
          <w:szCs w:val="20"/>
        </w:rPr>
        <w:t xml:space="preserve"> </w:t>
      </w:r>
      <w:r w:rsidRPr="000977F7">
        <w:rPr>
          <w:rFonts w:asciiTheme="majorHAnsi" w:hAnsiTheme="majorHAnsi"/>
          <w:sz w:val="20"/>
          <w:szCs w:val="20"/>
        </w:rPr>
        <w:t>науково-технічних</w:t>
      </w:r>
      <w:r w:rsidRPr="000977F7">
        <w:rPr>
          <w:rFonts w:asciiTheme="majorHAnsi" w:hAnsiTheme="majorHAnsi"/>
          <w:spacing w:val="1"/>
          <w:sz w:val="20"/>
          <w:szCs w:val="20"/>
        </w:rPr>
        <w:t xml:space="preserve"> </w:t>
      </w:r>
      <w:r w:rsidRPr="000977F7">
        <w:rPr>
          <w:rFonts w:asciiTheme="majorHAnsi" w:hAnsiTheme="majorHAnsi"/>
          <w:sz w:val="20"/>
          <w:szCs w:val="20"/>
        </w:rPr>
        <w:t>програм</w:t>
      </w:r>
    </w:p>
    <w:p w14:paraId="196083F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ОБ’ЄКТИВНИЙ</w:t>
      </w:r>
      <w:r w:rsidRPr="000977F7">
        <w:rPr>
          <w:color w:val="auto"/>
          <w:spacing w:val="-4"/>
          <w:sz w:val="20"/>
          <w:szCs w:val="20"/>
        </w:rPr>
        <w:t xml:space="preserve"> </w:t>
      </w:r>
      <w:r w:rsidRPr="000977F7">
        <w:rPr>
          <w:color w:val="auto"/>
          <w:sz w:val="20"/>
          <w:szCs w:val="20"/>
        </w:rPr>
        <w:t>ДОКАЗ</w:t>
      </w:r>
      <w:r w:rsidRPr="000977F7">
        <w:rPr>
          <w:color w:val="auto"/>
          <w:spacing w:val="-3"/>
          <w:sz w:val="20"/>
          <w:szCs w:val="20"/>
        </w:rPr>
        <w:t xml:space="preserve"> </w:t>
      </w:r>
      <w:r w:rsidRPr="000977F7">
        <w:rPr>
          <w:color w:val="auto"/>
          <w:sz w:val="20"/>
          <w:szCs w:val="20"/>
        </w:rPr>
        <w:t>–</w:t>
      </w:r>
    </w:p>
    <w:p w14:paraId="26B2D25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OBJECTIVE</w:t>
      </w:r>
      <w:r w:rsidRPr="000977F7">
        <w:rPr>
          <w:rFonts w:asciiTheme="majorHAnsi" w:hAnsiTheme="majorHAnsi"/>
          <w:spacing w:val="-3"/>
          <w:sz w:val="20"/>
          <w:szCs w:val="20"/>
        </w:rPr>
        <w:t xml:space="preserve"> </w:t>
      </w:r>
      <w:r w:rsidRPr="000977F7">
        <w:rPr>
          <w:rFonts w:asciiTheme="majorHAnsi" w:hAnsiTheme="majorHAnsi"/>
          <w:sz w:val="20"/>
          <w:szCs w:val="20"/>
        </w:rPr>
        <w:t>EVIDENCE –</w:t>
      </w:r>
    </w:p>
    <w:p w14:paraId="353C8EB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Дані,</w:t>
      </w:r>
      <w:r w:rsidRPr="000977F7">
        <w:rPr>
          <w:rFonts w:asciiTheme="majorHAnsi" w:hAnsiTheme="majorHAnsi"/>
          <w:spacing w:val="21"/>
          <w:sz w:val="20"/>
          <w:szCs w:val="20"/>
        </w:rPr>
        <w:t xml:space="preserve"> </w:t>
      </w:r>
      <w:r w:rsidRPr="000977F7">
        <w:rPr>
          <w:rFonts w:asciiTheme="majorHAnsi" w:hAnsiTheme="majorHAnsi"/>
          <w:sz w:val="20"/>
          <w:szCs w:val="20"/>
        </w:rPr>
        <w:t>які</w:t>
      </w:r>
      <w:r w:rsidRPr="000977F7">
        <w:rPr>
          <w:rFonts w:asciiTheme="majorHAnsi" w:hAnsiTheme="majorHAnsi"/>
          <w:spacing w:val="21"/>
          <w:sz w:val="20"/>
          <w:szCs w:val="20"/>
        </w:rPr>
        <w:t xml:space="preserve"> </w:t>
      </w:r>
      <w:r w:rsidRPr="000977F7">
        <w:rPr>
          <w:rFonts w:asciiTheme="majorHAnsi" w:hAnsiTheme="majorHAnsi"/>
          <w:sz w:val="20"/>
          <w:szCs w:val="20"/>
        </w:rPr>
        <w:t>підтверджують</w:t>
      </w:r>
      <w:r w:rsidRPr="000977F7">
        <w:rPr>
          <w:rFonts w:asciiTheme="majorHAnsi" w:hAnsiTheme="majorHAnsi"/>
          <w:spacing w:val="24"/>
          <w:sz w:val="20"/>
          <w:szCs w:val="20"/>
        </w:rPr>
        <w:t xml:space="preserve"> </w:t>
      </w:r>
      <w:r w:rsidRPr="000977F7">
        <w:rPr>
          <w:rFonts w:asciiTheme="majorHAnsi" w:hAnsiTheme="majorHAnsi"/>
          <w:sz w:val="20"/>
          <w:szCs w:val="20"/>
        </w:rPr>
        <w:t>існування</w:t>
      </w:r>
      <w:r w:rsidRPr="000977F7">
        <w:rPr>
          <w:rFonts w:asciiTheme="majorHAnsi" w:hAnsiTheme="majorHAnsi"/>
          <w:spacing w:val="21"/>
          <w:sz w:val="20"/>
          <w:szCs w:val="20"/>
        </w:rPr>
        <w:t xml:space="preserve"> </w:t>
      </w:r>
      <w:r w:rsidRPr="000977F7">
        <w:rPr>
          <w:rFonts w:asciiTheme="majorHAnsi" w:hAnsiTheme="majorHAnsi"/>
          <w:sz w:val="20"/>
          <w:szCs w:val="20"/>
        </w:rPr>
        <w:t>чи</w:t>
      </w:r>
      <w:r w:rsidRPr="000977F7">
        <w:rPr>
          <w:rFonts w:asciiTheme="majorHAnsi" w:hAnsiTheme="majorHAnsi"/>
          <w:spacing w:val="21"/>
          <w:sz w:val="20"/>
          <w:szCs w:val="20"/>
        </w:rPr>
        <w:t xml:space="preserve"> </w:t>
      </w:r>
      <w:r w:rsidRPr="000977F7">
        <w:rPr>
          <w:rFonts w:asciiTheme="majorHAnsi" w:hAnsiTheme="majorHAnsi"/>
          <w:sz w:val="20"/>
          <w:szCs w:val="20"/>
        </w:rPr>
        <w:t>правдивість</w:t>
      </w:r>
      <w:r w:rsidRPr="000977F7">
        <w:rPr>
          <w:rFonts w:asciiTheme="majorHAnsi" w:hAnsiTheme="majorHAnsi"/>
          <w:spacing w:val="-47"/>
          <w:sz w:val="20"/>
          <w:szCs w:val="20"/>
        </w:rPr>
        <w:t xml:space="preserve"> </w:t>
      </w:r>
      <w:r w:rsidRPr="000977F7">
        <w:rPr>
          <w:rFonts w:asciiTheme="majorHAnsi" w:hAnsiTheme="majorHAnsi"/>
          <w:sz w:val="20"/>
          <w:szCs w:val="20"/>
        </w:rPr>
        <w:t>чого-небудь.</w:t>
      </w:r>
    </w:p>
    <w:p w14:paraId="6F3B58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27"/>
          <w:sz w:val="20"/>
          <w:szCs w:val="20"/>
        </w:rPr>
        <w:t xml:space="preserve"> </w:t>
      </w:r>
      <w:r w:rsidRPr="000977F7">
        <w:rPr>
          <w:rFonts w:asciiTheme="majorHAnsi" w:hAnsiTheme="majorHAnsi"/>
          <w:sz w:val="20"/>
          <w:szCs w:val="20"/>
        </w:rPr>
        <w:t>1.</w:t>
      </w:r>
      <w:r w:rsidRPr="000977F7">
        <w:rPr>
          <w:rFonts w:asciiTheme="majorHAnsi" w:hAnsiTheme="majorHAnsi"/>
          <w:spacing w:val="28"/>
          <w:sz w:val="20"/>
          <w:szCs w:val="20"/>
        </w:rPr>
        <w:t xml:space="preserve"> </w:t>
      </w:r>
      <w:r w:rsidRPr="000977F7">
        <w:rPr>
          <w:rFonts w:asciiTheme="majorHAnsi" w:hAnsiTheme="majorHAnsi"/>
          <w:sz w:val="20"/>
          <w:szCs w:val="20"/>
        </w:rPr>
        <w:t>Об’єктивний</w:t>
      </w:r>
      <w:r w:rsidRPr="000977F7">
        <w:rPr>
          <w:rFonts w:asciiTheme="majorHAnsi" w:hAnsiTheme="majorHAnsi"/>
          <w:spacing w:val="28"/>
          <w:sz w:val="20"/>
          <w:szCs w:val="20"/>
        </w:rPr>
        <w:t xml:space="preserve"> </w:t>
      </w:r>
      <w:r w:rsidRPr="000977F7">
        <w:rPr>
          <w:rFonts w:asciiTheme="majorHAnsi" w:hAnsiTheme="majorHAnsi"/>
          <w:sz w:val="20"/>
          <w:szCs w:val="20"/>
        </w:rPr>
        <w:t>доказ</w:t>
      </w:r>
      <w:r w:rsidRPr="000977F7">
        <w:rPr>
          <w:rFonts w:asciiTheme="majorHAnsi" w:hAnsiTheme="majorHAnsi"/>
          <w:spacing w:val="28"/>
          <w:sz w:val="20"/>
          <w:szCs w:val="20"/>
        </w:rPr>
        <w:t xml:space="preserve"> </w:t>
      </w:r>
      <w:r w:rsidRPr="000977F7">
        <w:rPr>
          <w:rFonts w:asciiTheme="majorHAnsi" w:hAnsiTheme="majorHAnsi"/>
          <w:sz w:val="20"/>
          <w:szCs w:val="20"/>
        </w:rPr>
        <w:t>може</w:t>
      </w:r>
      <w:r w:rsidRPr="000977F7">
        <w:rPr>
          <w:rFonts w:asciiTheme="majorHAnsi" w:hAnsiTheme="majorHAnsi"/>
          <w:spacing w:val="28"/>
          <w:sz w:val="20"/>
          <w:szCs w:val="20"/>
        </w:rPr>
        <w:t xml:space="preserve"> </w:t>
      </w:r>
      <w:r w:rsidRPr="000977F7">
        <w:rPr>
          <w:rFonts w:asciiTheme="majorHAnsi" w:hAnsiTheme="majorHAnsi"/>
          <w:sz w:val="20"/>
          <w:szCs w:val="20"/>
        </w:rPr>
        <w:t>бути</w:t>
      </w:r>
      <w:r w:rsidRPr="000977F7">
        <w:rPr>
          <w:rFonts w:asciiTheme="majorHAnsi" w:hAnsiTheme="majorHAnsi"/>
          <w:spacing w:val="27"/>
          <w:sz w:val="20"/>
          <w:szCs w:val="20"/>
        </w:rPr>
        <w:t xml:space="preserve"> </w:t>
      </w:r>
      <w:r w:rsidRPr="000977F7">
        <w:rPr>
          <w:rFonts w:asciiTheme="majorHAnsi" w:hAnsiTheme="majorHAnsi"/>
          <w:sz w:val="20"/>
          <w:szCs w:val="20"/>
        </w:rPr>
        <w:t>отримано</w:t>
      </w:r>
      <w:r w:rsidRPr="000977F7">
        <w:rPr>
          <w:rFonts w:asciiTheme="majorHAnsi" w:hAnsiTheme="majorHAnsi"/>
          <w:spacing w:val="-47"/>
          <w:sz w:val="20"/>
          <w:szCs w:val="20"/>
        </w:rPr>
        <w:t xml:space="preserve"> </w:t>
      </w:r>
      <w:r w:rsidRPr="000977F7">
        <w:rPr>
          <w:rFonts w:asciiTheme="majorHAnsi" w:hAnsiTheme="majorHAnsi"/>
          <w:sz w:val="20"/>
          <w:szCs w:val="20"/>
        </w:rPr>
        <w:t>спостеріганням, вимірюванням, випробуванням або</w:t>
      </w:r>
      <w:r w:rsidRPr="000977F7">
        <w:rPr>
          <w:rFonts w:asciiTheme="majorHAnsi" w:hAnsiTheme="majorHAnsi"/>
          <w:spacing w:val="1"/>
          <w:sz w:val="20"/>
          <w:szCs w:val="20"/>
        </w:rPr>
        <w:t xml:space="preserve"> </w:t>
      </w:r>
      <w:r w:rsidRPr="000977F7">
        <w:rPr>
          <w:rFonts w:asciiTheme="majorHAnsi" w:hAnsiTheme="majorHAnsi"/>
          <w:sz w:val="20"/>
          <w:szCs w:val="20"/>
        </w:rPr>
        <w:t>Іншими</w:t>
      </w:r>
      <w:r w:rsidRPr="000977F7">
        <w:rPr>
          <w:rFonts w:asciiTheme="majorHAnsi" w:hAnsiTheme="majorHAnsi"/>
          <w:spacing w:val="-2"/>
          <w:sz w:val="20"/>
          <w:szCs w:val="20"/>
        </w:rPr>
        <w:t xml:space="preserve"> </w:t>
      </w:r>
      <w:r w:rsidRPr="000977F7">
        <w:rPr>
          <w:rFonts w:asciiTheme="majorHAnsi" w:hAnsiTheme="majorHAnsi"/>
          <w:sz w:val="20"/>
          <w:szCs w:val="20"/>
        </w:rPr>
        <w:t>способами.</w:t>
      </w:r>
    </w:p>
    <w:p w14:paraId="52B44B7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20"/>
          <w:sz w:val="20"/>
          <w:szCs w:val="20"/>
        </w:rPr>
        <w:t xml:space="preserve"> </w:t>
      </w:r>
      <w:r w:rsidRPr="000977F7">
        <w:rPr>
          <w:rFonts w:asciiTheme="majorHAnsi" w:hAnsiTheme="majorHAnsi"/>
          <w:sz w:val="20"/>
          <w:szCs w:val="20"/>
        </w:rPr>
        <w:t>2.</w:t>
      </w:r>
      <w:r w:rsidRPr="000977F7">
        <w:rPr>
          <w:rFonts w:asciiTheme="majorHAnsi" w:hAnsiTheme="majorHAnsi"/>
          <w:spacing w:val="22"/>
          <w:sz w:val="20"/>
          <w:szCs w:val="20"/>
        </w:rPr>
        <w:t xml:space="preserve"> </w:t>
      </w:r>
      <w:r w:rsidRPr="000977F7">
        <w:rPr>
          <w:rFonts w:asciiTheme="majorHAnsi" w:hAnsiTheme="majorHAnsi"/>
          <w:sz w:val="20"/>
          <w:szCs w:val="20"/>
        </w:rPr>
        <w:t>Об’єктивний</w:t>
      </w:r>
      <w:r w:rsidRPr="000977F7">
        <w:rPr>
          <w:rFonts w:asciiTheme="majorHAnsi" w:hAnsiTheme="majorHAnsi"/>
          <w:spacing w:val="20"/>
          <w:sz w:val="20"/>
          <w:szCs w:val="20"/>
        </w:rPr>
        <w:t xml:space="preserve"> </w:t>
      </w:r>
      <w:r w:rsidRPr="000977F7">
        <w:rPr>
          <w:rFonts w:asciiTheme="majorHAnsi" w:hAnsiTheme="majorHAnsi"/>
          <w:sz w:val="20"/>
          <w:szCs w:val="20"/>
        </w:rPr>
        <w:t>доказ</w:t>
      </w:r>
      <w:r w:rsidRPr="000977F7">
        <w:rPr>
          <w:rFonts w:asciiTheme="majorHAnsi" w:hAnsiTheme="majorHAnsi"/>
          <w:spacing w:val="21"/>
          <w:sz w:val="20"/>
          <w:szCs w:val="20"/>
        </w:rPr>
        <w:t xml:space="preserve"> </w:t>
      </w:r>
      <w:r w:rsidRPr="000977F7">
        <w:rPr>
          <w:rFonts w:asciiTheme="majorHAnsi" w:hAnsiTheme="majorHAnsi"/>
          <w:sz w:val="20"/>
          <w:szCs w:val="20"/>
        </w:rPr>
        <w:t>для</w:t>
      </w:r>
      <w:r w:rsidRPr="000977F7">
        <w:rPr>
          <w:rFonts w:asciiTheme="majorHAnsi" w:hAnsiTheme="majorHAnsi"/>
          <w:spacing w:val="20"/>
          <w:sz w:val="20"/>
          <w:szCs w:val="20"/>
        </w:rPr>
        <w:t xml:space="preserve"> </w:t>
      </w:r>
      <w:r w:rsidRPr="000977F7">
        <w:rPr>
          <w:rFonts w:asciiTheme="majorHAnsi" w:hAnsiTheme="majorHAnsi"/>
          <w:sz w:val="20"/>
          <w:szCs w:val="20"/>
        </w:rPr>
        <w:t>цілей</w:t>
      </w:r>
      <w:r w:rsidRPr="000977F7">
        <w:rPr>
          <w:rFonts w:asciiTheme="majorHAnsi" w:hAnsiTheme="majorHAnsi"/>
          <w:spacing w:val="20"/>
          <w:sz w:val="20"/>
          <w:szCs w:val="20"/>
        </w:rPr>
        <w:t xml:space="preserve"> </w:t>
      </w:r>
      <w:r w:rsidRPr="000977F7">
        <w:rPr>
          <w:rFonts w:asciiTheme="majorHAnsi" w:hAnsiTheme="majorHAnsi"/>
          <w:sz w:val="20"/>
          <w:szCs w:val="20"/>
        </w:rPr>
        <w:t>аудиту</w:t>
      </w:r>
      <w:r w:rsidRPr="000977F7">
        <w:rPr>
          <w:rFonts w:asciiTheme="majorHAnsi" w:hAnsiTheme="majorHAnsi"/>
          <w:spacing w:val="41"/>
          <w:sz w:val="20"/>
          <w:szCs w:val="20"/>
        </w:rPr>
        <w:t xml:space="preserve"> </w:t>
      </w:r>
      <w:r w:rsidRPr="000977F7">
        <w:rPr>
          <w:rFonts w:asciiTheme="majorHAnsi" w:hAnsiTheme="majorHAnsi"/>
          <w:sz w:val="20"/>
          <w:szCs w:val="20"/>
        </w:rPr>
        <w:t>зазвичай охоплює протоколи, виклади фактів або іншої</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29"/>
          <w:sz w:val="20"/>
          <w:szCs w:val="20"/>
        </w:rPr>
        <w:t xml:space="preserve"> </w:t>
      </w:r>
      <w:r w:rsidRPr="000977F7">
        <w:rPr>
          <w:rFonts w:asciiTheme="majorHAnsi" w:hAnsiTheme="majorHAnsi"/>
          <w:sz w:val="20"/>
          <w:szCs w:val="20"/>
        </w:rPr>
        <w:t>які</w:t>
      </w:r>
      <w:r w:rsidRPr="000977F7">
        <w:rPr>
          <w:rFonts w:asciiTheme="majorHAnsi" w:hAnsiTheme="majorHAnsi"/>
          <w:spacing w:val="28"/>
          <w:sz w:val="20"/>
          <w:szCs w:val="20"/>
        </w:rPr>
        <w:t xml:space="preserve"> </w:t>
      </w:r>
      <w:r w:rsidRPr="000977F7">
        <w:rPr>
          <w:rFonts w:asciiTheme="majorHAnsi" w:hAnsiTheme="majorHAnsi"/>
          <w:sz w:val="20"/>
          <w:szCs w:val="20"/>
        </w:rPr>
        <w:t>суттєві</w:t>
      </w:r>
      <w:r w:rsidRPr="000977F7">
        <w:rPr>
          <w:rFonts w:asciiTheme="majorHAnsi" w:hAnsiTheme="majorHAnsi"/>
          <w:spacing w:val="28"/>
          <w:sz w:val="20"/>
          <w:szCs w:val="20"/>
        </w:rPr>
        <w:t xml:space="preserve"> </w:t>
      </w:r>
      <w:r w:rsidRPr="000977F7">
        <w:rPr>
          <w:rFonts w:asciiTheme="majorHAnsi" w:hAnsiTheme="majorHAnsi"/>
          <w:sz w:val="20"/>
          <w:szCs w:val="20"/>
        </w:rPr>
        <w:t>щодо</w:t>
      </w:r>
      <w:r w:rsidRPr="000977F7">
        <w:rPr>
          <w:rFonts w:asciiTheme="majorHAnsi" w:hAnsiTheme="majorHAnsi"/>
          <w:spacing w:val="30"/>
          <w:sz w:val="20"/>
          <w:szCs w:val="20"/>
        </w:rPr>
        <w:t xml:space="preserve"> </w:t>
      </w:r>
      <w:r w:rsidRPr="000977F7">
        <w:rPr>
          <w:rFonts w:asciiTheme="majorHAnsi" w:hAnsiTheme="majorHAnsi"/>
          <w:sz w:val="20"/>
          <w:szCs w:val="20"/>
        </w:rPr>
        <w:t>критеріїв</w:t>
      </w:r>
      <w:r w:rsidRPr="000977F7">
        <w:rPr>
          <w:rFonts w:asciiTheme="majorHAnsi" w:hAnsiTheme="majorHAnsi"/>
          <w:spacing w:val="28"/>
          <w:sz w:val="20"/>
          <w:szCs w:val="20"/>
        </w:rPr>
        <w:t xml:space="preserve"> </w:t>
      </w:r>
      <w:r w:rsidRPr="000977F7">
        <w:rPr>
          <w:rFonts w:asciiTheme="majorHAnsi" w:hAnsiTheme="majorHAnsi"/>
          <w:sz w:val="20"/>
          <w:szCs w:val="20"/>
        </w:rPr>
        <w:t>аудиту</w:t>
      </w:r>
      <w:r w:rsidRPr="000977F7">
        <w:rPr>
          <w:rFonts w:asciiTheme="majorHAnsi" w:hAnsiTheme="majorHAnsi"/>
          <w:spacing w:val="27"/>
          <w:sz w:val="20"/>
          <w:szCs w:val="20"/>
        </w:rPr>
        <w:t xml:space="preserve"> </w:t>
      </w:r>
      <w:r w:rsidRPr="000977F7">
        <w:rPr>
          <w:rFonts w:asciiTheme="majorHAnsi" w:hAnsiTheme="majorHAnsi"/>
          <w:sz w:val="20"/>
          <w:szCs w:val="20"/>
        </w:rPr>
        <w:t>та</w:t>
      </w:r>
      <w:r w:rsidRPr="000977F7">
        <w:rPr>
          <w:rFonts w:asciiTheme="majorHAnsi" w:hAnsiTheme="majorHAnsi"/>
          <w:spacing w:val="28"/>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перевірені</w:t>
      </w:r>
    </w:p>
    <w:p w14:paraId="69BFD617"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8"/>
          <w:sz w:val="20"/>
          <w:szCs w:val="20"/>
        </w:rPr>
      </w:pPr>
      <w:r w:rsidRPr="000977F7">
        <w:rPr>
          <w:rFonts w:asciiTheme="majorHAnsi" w:hAnsiTheme="majorHAnsi"/>
          <w:i/>
          <w:sz w:val="20"/>
          <w:szCs w:val="20"/>
        </w:rPr>
        <w:t>ДСТУ ISO 9000:2015</w:t>
      </w:r>
      <w:r w:rsidRPr="000977F7">
        <w:rPr>
          <w:rFonts w:asciiTheme="majorHAnsi" w:hAnsiTheme="majorHAnsi"/>
          <w:i/>
          <w:spacing w:val="-48"/>
          <w:sz w:val="20"/>
          <w:szCs w:val="20"/>
        </w:rPr>
        <w:t xml:space="preserve"> </w:t>
      </w:r>
    </w:p>
    <w:p w14:paraId="7F85239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b/>
          <w:sz w:val="20"/>
          <w:szCs w:val="20"/>
        </w:rPr>
        <w:t xml:space="preserve">ОБ’ЄМ </w:t>
      </w:r>
      <w:r w:rsidRPr="000977F7">
        <w:rPr>
          <w:rFonts w:asciiTheme="majorHAnsi" w:hAnsiTheme="majorHAnsi"/>
          <w:sz w:val="20"/>
          <w:szCs w:val="20"/>
          <w:lang w:eastAsia="ru-RU"/>
        </w:rPr>
        <w:t>(V) –</w:t>
      </w:r>
    </w:p>
    <w:p w14:paraId="31B365F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bCs/>
          <w:sz w:val="20"/>
          <w:szCs w:val="20"/>
        </w:rPr>
        <w:t>В</w:t>
      </w:r>
      <w:r w:rsidRPr="000977F7">
        <w:rPr>
          <w:rFonts w:asciiTheme="majorHAnsi" w:hAnsiTheme="majorHAnsi"/>
          <w:sz w:val="20"/>
          <w:szCs w:val="20"/>
          <w:lang w:eastAsia="ru-RU"/>
        </w:rPr>
        <w:t>нутрішня місткість камери, у тому числі місткість патрубків до першого вхідного з’єднання, без урахування місткості вбудованих внутрішніх деталей</w:t>
      </w:r>
    </w:p>
    <w:p w14:paraId="4A5CB124" w14:textId="77777777" w:rsidR="0097612F" w:rsidRPr="000977F7" w:rsidRDefault="0097612F" w:rsidP="000977F7">
      <w:pPr>
        <w:tabs>
          <w:tab w:val="left" w:pos="284"/>
        </w:tabs>
        <w:spacing w:after="0" w:line="240" w:lineRule="auto"/>
        <w:ind w:left="170"/>
        <w:mirrorIndents/>
        <w:jc w:val="both"/>
        <w:rPr>
          <w:rFonts w:asciiTheme="majorHAnsi" w:hAnsiTheme="majorHAnsi"/>
          <w:bCs/>
          <w:i/>
          <w:iCs/>
          <w:sz w:val="20"/>
          <w:szCs w:val="20"/>
        </w:rPr>
      </w:pPr>
      <w:r w:rsidRPr="000977F7">
        <w:rPr>
          <w:rFonts w:asciiTheme="majorHAnsi" w:hAnsiTheme="majorHAnsi"/>
          <w:bCs/>
          <w:i/>
          <w:iCs/>
          <w:sz w:val="20"/>
          <w:szCs w:val="20"/>
        </w:rPr>
        <w:t>Технічний регламент обладнання, що працює під тиском</w:t>
      </w:r>
    </w:p>
    <w:p w14:paraId="6104932F"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bookmarkStart w:id="157" w:name="_Hlk103596483"/>
      <w:r w:rsidRPr="000977F7">
        <w:rPr>
          <w:rFonts w:asciiTheme="majorHAnsi" w:hAnsiTheme="majorHAnsi"/>
          <w:b/>
          <w:sz w:val="20"/>
          <w:szCs w:val="20"/>
        </w:rPr>
        <w:t>ОБ’ЄМ</w:t>
      </w:r>
      <w:bookmarkEnd w:id="157"/>
      <w:r w:rsidRPr="000977F7">
        <w:rPr>
          <w:rFonts w:asciiTheme="majorHAnsi" w:hAnsiTheme="majorHAnsi"/>
          <w:b/>
          <w:sz w:val="20"/>
          <w:szCs w:val="20"/>
        </w:rPr>
        <w:t>НА СИЛА –</w:t>
      </w:r>
      <w:r w:rsidRPr="000977F7">
        <w:rPr>
          <w:rFonts w:asciiTheme="majorHAnsi" w:hAnsiTheme="majorHAnsi"/>
          <w:b/>
          <w:spacing w:val="-47"/>
          <w:sz w:val="20"/>
          <w:szCs w:val="20"/>
        </w:rPr>
        <w:t xml:space="preserve"> </w:t>
      </w:r>
    </w:p>
    <w:p w14:paraId="078F5B8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BODY</w:t>
      </w:r>
      <w:r w:rsidRPr="000977F7">
        <w:rPr>
          <w:rFonts w:asciiTheme="majorHAnsi" w:hAnsiTheme="majorHAnsi"/>
          <w:spacing w:val="-1"/>
          <w:sz w:val="20"/>
          <w:szCs w:val="20"/>
        </w:rPr>
        <w:t xml:space="preserve"> </w:t>
      </w:r>
      <w:r w:rsidRPr="000977F7">
        <w:rPr>
          <w:rFonts w:asciiTheme="majorHAnsi" w:hAnsiTheme="majorHAnsi"/>
          <w:sz w:val="20"/>
          <w:szCs w:val="20"/>
        </w:rPr>
        <w:t>FORCE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1B606C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Зовнішня</w:t>
      </w:r>
      <w:r w:rsidRPr="000977F7">
        <w:rPr>
          <w:rFonts w:asciiTheme="majorHAnsi" w:hAnsiTheme="majorHAnsi"/>
          <w:spacing w:val="25"/>
          <w:sz w:val="20"/>
          <w:szCs w:val="20"/>
        </w:rPr>
        <w:t xml:space="preserve"> </w:t>
      </w:r>
      <w:r w:rsidRPr="000977F7">
        <w:rPr>
          <w:rFonts w:asciiTheme="majorHAnsi" w:hAnsiTheme="majorHAnsi"/>
          <w:sz w:val="20"/>
          <w:szCs w:val="20"/>
        </w:rPr>
        <w:t>сила,</w:t>
      </w:r>
      <w:r w:rsidRPr="000977F7">
        <w:rPr>
          <w:rFonts w:asciiTheme="majorHAnsi" w:hAnsiTheme="majorHAnsi"/>
          <w:spacing w:val="26"/>
          <w:sz w:val="20"/>
          <w:szCs w:val="20"/>
        </w:rPr>
        <w:t xml:space="preserve"> </w:t>
      </w:r>
      <w:r w:rsidRPr="000977F7">
        <w:rPr>
          <w:rFonts w:asciiTheme="majorHAnsi" w:hAnsiTheme="majorHAnsi"/>
          <w:sz w:val="20"/>
          <w:szCs w:val="20"/>
        </w:rPr>
        <w:t>розподілена</w:t>
      </w:r>
      <w:r w:rsidRPr="000977F7">
        <w:rPr>
          <w:rFonts w:asciiTheme="majorHAnsi" w:hAnsiTheme="majorHAnsi"/>
          <w:spacing w:val="28"/>
          <w:sz w:val="20"/>
          <w:szCs w:val="20"/>
        </w:rPr>
        <w:t xml:space="preserve"> </w:t>
      </w:r>
      <w:r w:rsidRPr="000977F7">
        <w:rPr>
          <w:rFonts w:asciiTheme="majorHAnsi" w:hAnsiTheme="majorHAnsi"/>
          <w:sz w:val="20"/>
          <w:szCs w:val="20"/>
        </w:rPr>
        <w:t>по</w:t>
      </w:r>
      <w:r w:rsidRPr="000977F7">
        <w:rPr>
          <w:rFonts w:asciiTheme="majorHAnsi" w:hAnsiTheme="majorHAnsi"/>
          <w:spacing w:val="26"/>
          <w:sz w:val="20"/>
          <w:szCs w:val="20"/>
        </w:rPr>
        <w:t xml:space="preserve"> </w:t>
      </w:r>
      <w:r w:rsidRPr="000977F7">
        <w:rPr>
          <w:rFonts w:asciiTheme="majorHAnsi" w:hAnsiTheme="majorHAnsi"/>
          <w:sz w:val="20"/>
          <w:szCs w:val="20"/>
        </w:rPr>
        <w:t>поверхні</w:t>
      </w:r>
      <w:r w:rsidRPr="000977F7">
        <w:rPr>
          <w:rFonts w:asciiTheme="majorHAnsi" w:hAnsiTheme="majorHAnsi"/>
          <w:spacing w:val="26"/>
          <w:sz w:val="20"/>
          <w:szCs w:val="20"/>
        </w:rPr>
        <w:t xml:space="preserve"> </w:t>
      </w:r>
      <w:r w:rsidRPr="000977F7">
        <w:rPr>
          <w:rFonts w:asciiTheme="majorHAnsi" w:hAnsiTheme="majorHAnsi"/>
          <w:sz w:val="20"/>
          <w:szCs w:val="20"/>
        </w:rPr>
        <w:t>об’єкта</w:t>
      </w:r>
      <w:r w:rsidRPr="000977F7">
        <w:rPr>
          <w:rFonts w:asciiTheme="majorHAnsi" w:hAnsiTheme="majorHAnsi"/>
          <w:spacing w:val="26"/>
          <w:sz w:val="20"/>
          <w:szCs w:val="20"/>
        </w:rPr>
        <w:t xml:space="preserve"> </w:t>
      </w:r>
      <w:r w:rsidRPr="000977F7">
        <w:rPr>
          <w:rFonts w:asciiTheme="majorHAnsi" w:hAnsiTheme="majorHAnsi"/>
          <w:sz w:val="20"/>
          <w:szCs w:val="20"/>
        </w:rPr>
        <w:t>розрахунку</w:t>
      </w:r>
    </w:p>
    <w:p w14:paraId="5F2EF2D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2825 - 94</w:t>
      </w:r>
    </w:p>
    <w:p w14:paraId="2727B15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ОБІЗНАНІСТЬ</w:t>
      </w:r>
      <w:r w:rsidRPr="000977F7">
        <w:rPr>
          <w:color w:val="auto"/>
          <w:spacing w:val="-5"/>
          <w:sz w:val="20"/>
          <w:szCs w:val="20"/>
        </w:rPr>
        <w:t xml:space="preserve"> </w:t>
      </w:r>
      <w:r w:rsidRPr="000977F7">
        <w:rPr>
          <w:color w:val="auto"/>
          <w:sz w:val="20"/>
          <w:szCs w:val="20"/>
        </w:rPr>
        <w:t>–</w:t>
      </w:r>
    </w:p>
    <w:p w14:paraId="38CB6B7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повинна</w:t>
      </w:r>
      <w:r w:rsidRPr="000977F7">
        <w:rPr>
          <w:rFonts w:asciiTheme="majorHAnsi" w:hAnsiTheme="majorHAnsi"/>
          <w:spacing w:val="1"/>
          <w:sz w:val="20"/>
          <w:szCs w:val="20"/>
        </w:rPr>
        <w:t xml:space="preserve"> </w:t>
      </w:r>
      <w:r w:rsidRPr="000977F7">
        <w:rPr>
          <w:rFonts w:asciiTheme="majorHAnsi" w:hAnsiTheme="majorHAnsi"/>
          <w:sz w:val="20"/>
          <w:szCs w:val="20"/>
        </w:rPr>
        <w:t>забезпечувати,</w:t>
      </w:r>
      <w:r w:rsidRPr="000977F7">
        <w:rPr>
          <w:rFonts w:asciiTheme="majorHAnsi" w:hAnsiTheme="majorHAnsi"/>
          <w:spacing w:val="1"/>
          <w:sz w:val="20"/>
          <w:szCs w:val="20"/>
        </w:rPr>
        <w:t xml:space="preserve"> </w:t>
      </w:r>
      <w:r w:rsidRPr="000977F7">
        <w:rPr>
          <w:rFonts w:asciiTheme="majorHAnsi" w:hAnsiTheme="majorHAnsi"/>
          <w:sz w:val="20"/>
          <w:szCs w:val="20"/>
        </w:rPr>
        <w:t>щоб</w:t>
      </w:r>
      <w:r w:rsidRPr="000977F7">
        <w:rPr>
          <w:rFonts w:asciiTheme="majorHAnsi" w:hAnsiTheme="majorHAnsi"/>
          <w:spacing w:val="1"/>
          <w:sz w:val="20"/>
          <w:szCs w:val="20"/>
        </w:rPr>
        <w:t xml:space="preserve"> </w:t>
      </w:r>
      <w:r w:rsidRPr="000977F7">
        <w:rPr>
          <w:rFonts w:asciiTheme="majorHAnsi" w:hAnsiTheme="majorHAnsi"/>
          <w:sz w:val="20"/>
          <w:szCs w:val="20"/>
        </w:rPr>
        <w:t>особи,</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виконують роботу під її контролем, були обізнаними з</w:t>
      </w:r>
      <w:r w:rsidRPr="000977F7">
        <w:rPr>
          <w:rFonts w:asciiTheme="majorHAnsi" w:hAnsiTheme="majorHAnsi"/>
          <w:spacing w:val="-47"/>
          <w:sz w:val="20"/>
          <w:szCs w:val="20"/>
        </w:rPr>
        <w:t xml:space="preserve"> </w:t>
      </w:r>
      <w:r w:rsidRPr="000977F7">
        <w:rPr>
          <w:rFonts w:asciiTheme="majorHAnsi" w:hAnsiTheme="majorHAnsi"/>
          <w:sz w:val="20"/>
          <w:szCs w:val="20"/>
        </w:rPr>
        <w:t>а) політикою</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сфері</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p>
    <w:p w14:paraId="6EE7712D" w14:textId="77777777" w:rsidR="0097612F" w:rsidRPr="000977F7" w:rsidRDefault="0097612F" w:rsidP="00FD39A4">
      <w:pPr>
        <w:pStyle w:val="ac"/>
        <w:widowControl w:val="0"/>
        <w:numPr>
          <w:ilvl w:val="0"/>
          <w:numId w:val="134"/>
        </w:numPr>
        <w:tabs>
          <w:tab w:val="left" w:pos="284"/>
          <w:tab w:val="left" w:pos="65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відповідним</w:t>
      </w:r>
      <w:r w:rsidRPr="000977F7">
        <w:rPr>
          <w:rFonts w:asciiTheme="majorHAnsi" w:hAnsiTheme="majorHAnsi"/>
          <w:spacing w:val="-2"/>
          <w:sz w:val="20"/>
          <w:szCs w:val="20"/>
        </w:rPr>
        <w:t xml:space="preserve"> </w:t>
      </w:r>
      <w:r w:rsidRPr="000977F7">
        <w:rPr>
          <w:rFonts w:asciiTheme="majorHAnsi" w:hAnsiTheme="majorHAnsi"/>
          <w:sz w:val="20"/>
          <w:szCs w:val="20"/>
        </w:rPr>
        <w:t>цілям у</w:t>
      </w:r>
      <w:r w:rsidRPr="000977F7">
        <w:rPr>
          <w:rFonts w:asciiTheme="majorHAnsi" w:hAnsiTheme="majorHAnsi"/>
          <w:spacing w:val="-6"/>
          <w:sz w:val="20"/>
          <w:szCs w:val="20"/>
        </w:rPr>
        <w:t xml:space="preserve"> </w:t>
      </w:r>
      <w:r w:rsidRPr="000977F7">
        <w:rPr>
          <w:rFonts w:asciiTheme="majorHAnsi" w:hAnsiTheme="majorHAnsi"/>
          <w:sz w:val="20"/>
          <w:szCs w:val="20"/>
        </w:rPr>
        <w:t>сфері</w:t>
      </w:r>
      <w:r w:rsidRPr="000977F7">
        <w:rPr>
          <w:rFonts w:asciiTheme="majorHAnsi" w:hAnsiTheme="majorHAnsi"/>
          <w:spacing w:val="-4"/>
          <w:sz w:val="20"/>
          <w:szCs w:val="20"/>
        </w:rPr>
        <w:t xml:space="preserve"> </w:t>
      </w:r>
      <w:r w:rsidRPr="000977F7">
        <w:rPr>
          <w:rFonts w:asciiTheme="majorHAnsi" w:hAnsiTheme="majorHAnsi"/>
          <w:sz w:val="20"/>
          <w:szCs w:val="20"/>
        </w:rPr>
        <w:t>якості;</w:t>
      </w:r>
    </w:p>
    <w:p w14:paraId="3FEDB239" w14:textId="77777777" w:rsidR="0097612F" w:rsidRPr="000977F7" w:rsidRDefault="0097612F" w:rsidP="00FD39A4">
      <w:pPr>
        <w:pStyle w:val="ac"/>
        <w:widowControl w:val="0"/>
        <w:numPr>
          <w:ilvl w:val="0"/>
          <w:numId w:val="134"/>
        </w:numPr>
        <w:tabs>
          <w:tab w:val="left" w:pos="284"/>
          <w:tab w:val="left" w:pos="68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своїм внеском у результативність системи управління якістю, зокрема вигодами від поліпшення показників</w:t>
      </w:r>
      <w:r w:rsidRPr="000977F7">
        <w:rPr>
          <w:rFonts w:asciiTheme="majorHAnsi" w:hAnsiTheme="majorHAnsi"/>
          <w:spacing w:val="-2"/>
          <w:sz w:val="20"/>
          <w:szCs w:val="20"/>
        </w:rPr>
        <w:t xml:space="preserve"> </w:t>
      </w:r>
      <w:r w:rsidRPr="000977F7">
        <w:rPr>
          <w:rFonts w:asciiTheme="majorHAnsi" w:hAnsiTheme="majorHAnsi"/>
          <w:sz w:val="20"/>
          <w:szCs w:val="20"/>
        </w:rPr>
        <w:t>діяльності;</w:t>
      </w:r>
    </w:p>
    <w:p w14:paraId="1CDB1DAF" w14:textId="77777777" w:rsidR="0097612F" w:rsidRPr="000977F7" w:rsidRDefault="0097612F" w:rsidP="00FD39A4">
      <w:pPr>
        <w:pStyle w:val="ac"/>
        <w:widowControl w:val="0"/>
        <w:numPr>
          <w:ilvl w:val="0"/>
          <w:numId w:val="134"/>
        </w:numPr>
        <w:tabs>
          <w:tab w:val="left" w:pos="284"/>
          <w:tab w:val="left" w:pos="66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наслідками невиконання вимог системи управління</w:t>
      </w:r>
      <w:r w:rsidRPr="000977F7">
        <w:rPr>
          <w:rFonts w:asciiTheme="majorHAnsi" w:hAnsiTheme="majorHAnsi"/>
          <w:spacing w:val="-47"/>
          <w:sz w:val="20"/>
          <w:szCs w:val="20"/>
        </w:rPr>
        <w:t xml:space="preserve"> </w:t>
      </w:r>
      <w:r w:rsidRPr="000977F7">
        <w:rPr>
          <w:rFonts w:asciiTheme="majorHAnsi" w:hAnsiTheme="majorHAnsi"/>
          <w:sz w:val="20"/>
          <w:szCs w:val="20"/>
        </w:rPr>
        <w:t>якістю.</w:t>
      </w:r>
    </w:p>
    <w:p w14:paraId="1D0E886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5193E2B5"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lang w:eastAsia="ru-RU"/>
        </w:rPr>
      </w:pPr>
      <w:r w:rsidRPr="000977F7">
        <w:rPr>
          <w:rFonts w:asciiTheme="majorHAnsi" w:hAnsiTheme="majorHAnsi"/>
          <w:b/>
          <w:bCs/>
          <w:sz w:val="20"/>
          <w:szCs w:val="20"/>
          <w:lang w:eastAsia="ru-RU"/>
        </w:rPr>
        <w:t>ОБЛАДНАННЯ –</w:t>
      </w:r>
    </w:p>
    <w:p w14:paraId="316D2D4B" w14:textId="77777777" w:rsidR="0097612F" w:rsidRPr="000977F7" w:rsidRDefault="0097612F" w:rsidP="000977F7">
      <w:pPr>
        <w:tabs>
          <w:tab w:val="left" w:pos="284"/>
        </w:tabs>
        <w:spacing w:after="0" w:line="240" w:lineRule="auto"/>
        <w:ind w:left="170" w:firstLine="426"/>
        <w:mirrorIndents/>
        <w:jc w:val="both"/>
        <w:rPr>
          <w:rFonts w:asciiTheme="majorHAnsi" w:hAnsiTheme="majorHAnsi"/>
          <w:sz w:val="20"/>
          <w:szCs w:val="20"/>
          <w:lang w:eastAsia="ru-RU"/>
        </w:rPr>
      </w:pPr>
      <w:r w:rsidRPr="000977F7">
        <w:rPr>
          <w:rFonts w:asciiTheme="majorHAnsi" w:hAnsiTheme="majorHAnsi"/>
          <w:sz w:val="20"/>
          <w:szCs w:val="20"/>
          <w:lang w:eastAsia="ru-RU"/>
        </w:rPr>
        <w:t>Будь-яка апаратура або стаціонарна установка</w:t>
      </w:r>
    </w:p>
    <w:p w14:paraId="446F7388"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lang w:eastAsia="ru-RU"/>
        </w:rPr>
        <w:t>Технічний регламент з електромагнітної сумісності обладнання</w:t>
      </w:r>
    </w:p>
    <w:p w14:paraId="02B007B8"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lang w:eastAsia="ru-RU"/>
        </w:rPr>
      </w:pPr>
      <w:r w:rsidRPr="000977F7">
        <w:rPr>
          <w:rFonts w:asciiTheme="majorHAnsi" w:hAnsiTheme="majorHAnsi"/>
          <w:b/>
          <w:bCs/>
          <w:sz w:val="20"/>
          <w:szCs w:val="20"/>
          <w:lang w:eastAsia="ru-RU"/>
        </w:rPr>
        <w:t>ОБЛАДНАННЯ, ЩО ПРАЦЮЄ ПІД ТИСКОМ –</w:t>
      </w:r>
    </w:p>
    <w:p w14:paraId="3624D31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Посудини, трубопроводи, запобіжні пристрої та пристрої, що працюють під тиском, у тому числі там, де це застосовано, елементи, прикріплені до деталей опори під тиском, такі як фланці, форсунки, муфти,, петлі для підіймання</w:t>
      </w:r>
    </w:p>
    <w:p w14:paraId="3DC4055C"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lang w:eastAsia="ru-RU"/>
        </w:rPr>
      </w:pPr>
      <w:r w:rsidRPr="000977F7">
        <w:rPr>
          <w:rFonts w:asciiTheme="majorHAnsi" w:hAnsiTheme="majorHAnsi"/>
          <w:i/>
          <w:iCs/>
          <w:sz w:val="20"/>
          <w:szCs w:val="20"/>
          <w:lang w:eastAsia="ru-RU"/>
        </w:rPr>
        <w:t>Технічний регламент обладнання, що працює під тиском</w:t>
      </w:r>
    </w:p>
    <w:p w14:paraId="240E74A3"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sz w:val="20"/>
          <w:szCs w:val="20"/>
        </w:rPr>
        <w:t>ОБЛАСТЬ</w:t>
      </w:r>
      <w:r w:rsidRPr="000977F7">
        <w:rPr>
          <w:rFonts w:asciiTheme="majorHAnsi" w:hAnsiTheme="majorHAnsi"/>
          <w:b/>
          <w:bCs/>
          <w:spacing w:val="-7"/>
          <w:sz w:val="20"/>
          <w:szCs w:val="20"/>
        </w:rPr>
        <w:t xml:space="preserve"> </w:t>
      </w:r>
      <w:r w:rsidRPr="000977F7">
        <w:rPr>
          <w:rFonts w:asciiTheme="majorHAnsi" w:hAnsiTheme="majorHAnsi"/>
          <w:b/>
          <w:bCs/>
          <w:sz w:val="20"/>
          <w:szCs w:val="20"/>
        </w:rPr>
        <w:t>ЕКСПЕРИМЕНТУВАННЯ</w:t>
      </w:r>
      <w:r w:rsidRPr="000977F7">
        <w:rPr>
          <w:rFonts w:asciiTheme="majorHAnsi" w:hAnsiTheme="majorHAnsi"/>
          <w:b/>
          <w:bCs/>
          <w:spacing w:val="-2"/>
          <w:sz w:val="20"/>
          <w:szCs w:val="20"/>
        </w:rPr>
        <w:t xml:space="preserve"> </w:t>
      </w:r>
      <w:r w:rsidRPr="000977F7">
        <w:rPr>
          <w:rFonts w:asciiTheme="majorHAnsi" w:hAnsiTheme="majorHAnsi"/>
          <w:b/>
          <w:bCs/>
          <w:sz w:val="20"/>
          <w:szCs w:val="20"/>
        </w:rPr>
        <w:t>–</w:t>
      </w:r>
    </w:p>
    <w:p w14:paraId="599D5F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4"/>
          <w:sz w:val="20"/>
          <w:szCs w:val="20"/>
        </w:rPr>
        <w:t>Область факторного простору, де можуть розміщуватися</w:t>
      </w:r>
      <w:r w:rsidRPr="000977F7">
        <w:rPr>
          <w:rFonts w:asciiTheme="majorHAnsi" w:hAnsiTheme="majorHAnsi"/>
          <w:spacing w:val="-47"/>
          <w:sz w:val="20"/>
          <w:szCs w:val="20"/>
        </w:rPr>
        <w:t xml:space="preserve"> </w:t>
      </w:r>
      <w:r w:rsidRPr="000977F7">
        <w:rPr>
          <w:rFonts w:asciiTheme="majorHAnsi" w:hAnsiTheme="majorHAnsi"/>
          <w:spacing w:val="-4"/>
          <w:sz w:val="20"/>
          <w:szCs w:val="20"/>
        </w:rPr>
        <w:t>точки,</w:t>
      </w:r>
      <w:r w:rsidRPr="000977F7">
        <w:rPr>
          <w:rFonts w:asciiTheme="majorHAnsi" w:hAnsiTheme="majorHAnsi"/>
          <w:spacing w:val="-7"/>
          <w:sz w:val="20"/>
          <w:szCs w:val="20"/>
        </w:rPr>
        <w:t xml:space="preserve"> </w:t>
      </w:r>
      <w:r w:rsidRPr="000977F7">
        <w:rPr>
          <w:rFonts w:asciiTheme="majorHAnsi" w:hAnsiTheme="majorHAnsi"/>
          <w:spacing w:val="-4"/>
          <w:sz w:val="20"/>
          <w:szCs w:val="20"/>
        </w:rPr>
        <w:t>які</w:t>
      </w:r>
      <w:r w:rsidRPr="000977F7">
        <w:rPr>
          <w:rFonts w:asciiTheme="majorHAnsi" w:hAnsiTheme="majorHAnsi"/>
          <w:spacing w:val="-7"/>
          <w:sz w:val="20"/>
          <w:szCs w:val="20"/>
        </w:rPr>
        <w:t xml:space="preserve"> </w:t>
      </w:r>
      <w:r w:rsidRPr="000977F7">
        <w:rPr>
          <w:rFonts w:asciiTheme="majorHAnsi" w:hAnsiTheme="majorHAnsi"/>
          <w:spacing w:val="-4"/>
          <w:sz w:val="20"/>
          <w:szCs w:val="20"/>
        </w:rPr>
        <w:t>відповідають</w:t>
      </w:r>
      <w:r w:rsidRPr="000977F7">
        <w:rPr>
          <w:rFonts w:asciiTheme="majorHAnsi" w:hAnsiTheme="majorHAnsi"/>
          <w:spacing w:val="-7"/>
          <w:sz w:val="20"/>
          <w:szCs w:val="20"/>
        </w:rPr>
        <w:t xml:space="preserve"> </w:t>
      </w:r>
      <w:r w:rsidRPr="000977F7">
        <w:rPr>
          <w:rFonts w:asciiTheme="majorHAnsi" w:hAnsiTheme="majorHAnsi"/>
          <w:spacing w:val="-4"/>
          <w:sz w:val="20"/>
          <w:szCs w:val="20"/>
        </w:rPr>
        <w:t>умовам</w:t>
      </w:r>
      <w:r w:rsidRPr="000977F7">
        <w:rPr>
          <w:rFonts w:asciiTheme="majorHAnsi" w:hAnsiTheme="majorHAnsi"/>
          <w:spacing w:val="-8"/>
          <w:sz w:val="20"/>
          <w:szCs w:val="20"/>
        </w:rPr>
        <w:t xml:space="preserve"> </w:t>
      </w:r>
      <w:r w:rsidRPr="000977F7">
        <w:rPr>
          <w:rFonts w:asciiTheme="majorHAnsi" w:hAnsiTheme="majorHAnsi"/>
          <w:spacing w:val="-4"/>
          <w:sz w:val="20"/>
          <w:szCs w:val="20"/>
        </w:rPr>
        <w:t>проведення</w:t>
      </w:r>
      <w:r w:rsidRPr="000977F7">
        <w:rPr>
          <w:rFonts w:asciiTheme="majorHAnsi" w:hAnsiTheme="majorHAnsi"/>
          <w:spacing w:val="-8"/>
          <w:sz w:val="20"/>
          <w:szCs w:val="20"/>
        </w:rPr>
        <w:t xml:space="preserve"> </w:t>
      </w:r>
      <w:r w:rsidRPr="000977F7">
        <w:rPr>
          <w:rFonts w:asciiTheme="majorHAnsi" w:hAnsiTheme="majorHAnsi"/>
          <w:spacing w:val="-4"/>
          <w:sz w:val="20"/>
          <w:szCs w:val="20"/>
        </w:rPr>
        <w:t>дослідів</w:t>
      </w:r>
    </w:p>
    <w:p w14:paraId="05605DF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ОБЛАСТЬ</w:t>
      </w:r>
      <w:r w:rsidRPr="000977F7">
        <w:rPr>
          <w:color w:val="auto"/>
          <w:spacing w:val="-5"/>
          <w:sz w:val="20"/>
          <w:szCs w:val="20"/>
        </w:rPr>
        <w:t xml:space="preserve"> </w:t>
      </w:r>
      <w:r w:rsidRPr="000977F7">
        <w:rPr>
          <w:color w:val="auto"/>
          <w:sz w:val="20"/>
          <w:szCs w:val="20"/>
        </w:rPr>
        <w:t>ОПТИМУМУ</w:t>
      </w:r>
      <w:r w:rsidRPr="000977F7">
        <w:rPr>
          <w:color w:val="auto"/>
          <w:spacing w:val="-3"/>
          <w:sz w:val="20"/>
          <w:szCs w:val="20"/>
        </w:rPr>
        <w:t xml:space="preserve"> </w:t>
      </w:r>
      <w:r w:rsidRPr="000977F7">
        <w:rPr>
          <w:color w:val="auto"/>
          <w:sz w:val="20"/>
          <w:szCs w:val="20"/>
        </w:rPr>
        <w:t>–</w:t>
      </w:r>
    </w:p>
    <w:p w14:paraId="5D0069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Область факторного простору поблизу точки, в якій</w:t>
      </w:r>
      <w:r w:rsidRPr="000977F7">
        <w:rPr>
          <w:rFonts w:asciiTheme="majorHAnsi" w:hAnsiTheme="majorHAnsi"/>
          <w:spacing w:val="1"/>
          <w:sz w:val="20"/>
          <w:szCs w:val="20"/>
        </w:rPr>
        <w:t xml:space="preserve"> </w:t>
      </w:r>
      <w:r w:rsidRPr="000977F7">
        <w:rPr>
          <w:rFonts w:asciiTheme="majorHAnsi" w:hAnsiTheme="majorHAnsi"/>
          <w:sz w:val="20"/>
          <w:szCs w:val="20"/>
        </w:rPr>
        <w:t>функція</w:t>
      </w:r>
      <w:r w:rsidRPr="000977F7">
        <w:rPr>
          <w:rFonts w:asciiTheme="majorHAnsi" w:hAnsiTheme="majorHAnsi"/>
          <w:spacing w:val="-3"/>
          <w:sz w:val="20"/>
          <w:szCs w:val="20"/>
        </w:rPr>
        <w:t xml:space="preserve"> </w:t>
      </w:r>
      <w:r w:rsidRPr="000977F7">
        <w:rPr>
          <w:rFonts w:asciiTheme="majorHAnsi" w:hAnsiTheme="majorHAnsi"/>
          <w:sz w:val="20"/>
          <w:szCs w:val="20"/>
        </w:rPr>
        <w:t>відгуку</w:t>
      </w:r>
      <w:r w:rsidRPr="000977F7">
        <w:rPr>
          <w:rFonts w:asciiTheme="majorHAnsi" w:hAnsiTheme="majorHAnsi"/>
          <w:spacing w:val="-2"/>
          <w:sz w:val="20"/>
          <w:szCs w:val="20"/>
        </w:rPr>
        <w:t xml:space="preserve"> </w:t>
      </w:r>
      <w:r w:rsidRPr="000977F7">
        <w:rPr>
          <w:rFonts w:asciiTheme="majorHAnsi" w:hAnsiTheme="majorHAnsi"/>
          <w:sz w:val="20"/>
          <w:szCs w:val="20"/>
        </w:rPr>
        <w:t>досягає</w:t>
      </w:r>
      <w:r w:rsidRPr="000977F7">
        <w:rPr>
          <w:rFonts w:asciiTheme="majorHAnsi" w:hAnsiTheme="majorHAnsi"/>
          <w:spacing w:val="-1"/>
          <w:sz w:val="20"/>
          <w:szCs w:val="20"/>
        </w:rPr>
        <w:t xml:space="preserve"> </w:t>
      </w:r>
      <w:r w:rsidRPr="000977F7">
        <w:rPr>
          <w:rFonts w:asciiTheme="majorHAnsi" w:hAnsiTheme="majorHAnsi"/>
          <w:sz w:val="20"/>
          <w:szCs w:val="20"/>
        </w:rPr>
        <w:t>екстремального значення</w:t>
      </w:r>
    </w:p>
    <w:p w14:paraId="73EC633D"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ОБЛІКОВУВАННЯ</w:t>
      </w:r>
      <w:r w:rsidRPr="004D2D14">
        <w:rPr>
          <w:rFonts w:asciiTheme="majorHAnsi" w:hAnsiTheme="majorHAnsi"/>
          <w:b/>
          <w:sz w:val="20"/>
          <w:szCs w:val="20"/>
          <w:lang w:val="en-US"/>
        </w:rPr>
        <w:t xml:space="preserve"> </w:t>
      </w:r>
      <w:r w:rsidRPr="000977F7">
        <w:rPr>
          <w:rFonts w:asciiTheme="majorHAnsi" w:hAnsiTheme="majorHAnsi"/>
          <w:b/>
          <w:sz w:val="20"/>
          <w:szCs w:val="20"/>
        </w:rPr>
        <w:t>СТАТУСУ</w:t>
      </w:r>
      <w:r w:rsidRPr="004D2D14">
        <w:rPr>
          <w:rFonts w:asciiTheme="majorHAnsi" w:hAnsiTheme="majorHAnsi"/>
          <w:b/>
          <w:sz w:val="20"/>
          <w:szCs w:val="20"/>
          <w:lang w:val="en-US"/>
        </w:rPr>
        <w:t xml:space="preserve"> </w:t>
      </w:r>
      <w:r w:rsidRPr="000977F7">
        <w:rPr>
          <w:rFonts w:asciiTheme="majorHAnsi" w:hAnsiTheme="majorHAnsi"/>
          <w:b/>
          <w:sz w:val="20"/>
          <w:szCs w:val="20"/>
        </w:rPr>
        <w:t>КОНФІГУРАЦІЇ</w:t>
      </w:r>
      <w:r w:rsidRPr="004D2D14">
        <w:rPr>
          <w:rFonts w:asciiTheme="majorHAnsi" w:hAnsiTheme="majorHAnsi"/>
          <w:b/>
          <w:sz w:val="20"/>
          <w:szCs w:val="20"/>
          <w:lang w:val="en-US"/>
        </w:rPr>
        <w:t xml:space="preserve"> -</w:t>
      </w:r>
      <w:r w:rsidRPr="004D2D14">
        <w:rPr>
          <w:rFonts w:asciiTheme="majorHAnsi" w:hAnsiTheme="majorHAnsi"/>
          <w:sz w:val="20"/>
          <w:szCs w:val="20"/>
          <w:lang w:val="en-US"/>
        </w:rPr>
        <w:t>CONFIGURATION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STATUS</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ACCOUNTING</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4EA81990"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sz w:val="20"/>
          <w:szCs w:val="20"/>
        </w:rPr>
        <w:t>Формалізоване</w:t>
      </w:r>
      <w:r w:rsidRPr="004D2D14">
        <w:rPr>
          <w:rFonts w:asciiTheme="majorHAnsi" w:hAnsiTheme="majorHAnsi"/>
          <w:sz w:val="20"/>
          <w:szCs w:val="20"/>
          <w:lang w:val="en-US"/>
        </w:rPr>
        <w:t xml:space="preserve"> </w:t>
      </w:r>
      <w:r w:rsidRPr="000977F7">
        <w:rPr>
          <w:rFonts w:asciiTheme="majorHAnsi" w:hAnsiTheme="majorHAnsi"/>
          <w:sz w:val="20"/>
          <w:szCs w:val="20"/>
        </w:rPr>
        <w:t>реєстрування</w:t>
      </w:r>
      <w:r w:rsidRPr="004D2D14">
        <w:rPr>
          <w:rFonts w:asciiTheme="majorHAnsi" w:hAnsiTheme="majorHAnsi"/>
          <w:sz w:val="20"/>
          <w:szCs w:val="20"/>
          <w:lang w:val="en-US"/>
        </w:rPr>
        <w:t xml:space="preserve"> </w:t>
      </w:r>
      <w:r w:rsidRPr="000977F7">
        <w:rPr>
          <w:rFonts w:asciiTheme="majorHAnsi" w:hAnsiTheme="majorHAnsi"/>
          <w:sz w:val="20"/>
          <w:szCs w:val="20"/>
        </w:rPr>
        <w:t>інформації</w:t>
      </w:r>
      <w:r w:rsidRPr="004D2D14">
        <w:rPr>
          <w:rFonts w:asciiTheme="majorHAnsi" w:hAnsiTheme="majorHAnsi"/>
          <w:sz w:val="20"/>
          <w:szCs w:val="20"/>
          <w:lang w:val="en-US"/>
        </w:rPr>
        <w:t xml:space="preserve"> </w:t>
      </w:r>
      <w:r w:rsidRPr="000977F7">
        <w:rPr>
          <w:rFonts w:asciiTheme="majorHAnsi" w:hAnsiTheme="majorHAnsi"/>
          <w:sz w:val="20"/>
          <w:szCs w:val="20"/>
        </w:rPr>
        <w:t>про</w:t>
      </w:r>
      <w:r w:rsidRPr="004D2D14">
        <w:rPr>
          <w:rFonts w:asciiTheme="majorHAnsi" w:hAnsiTheme="majorHAnsi"/>
          <w:spacing w:val="-57"/>
          <w:sz w:val="20"/>
          <w:szCs w:val="20"/>
          <w:lang w:val="en-US"/>
        </w:rPr>
        <w:t xml:space="preserve"> </w:t>
      </w:r>
      <w:r w:rsidRPr="000977F7">
        <w:rPr>
          <w:rFonts w:asciiTheme="majorHAnsi" w:hAnsiTheme="majorHAnsi"/>
          <w:sz w:val="20"/>
          <w:szCs w:val="20"/>
        </w:rPr>
        <w:t>конфігурацію</w:t>
      </w:r>
      <w:r w:rsidRPr="004D2D14">
        <w:rPr>
          <w:rFonts w:asciiTheme="majorHAnsi" w:hAnsiTheme="majorHAnsi"/>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 xml:space="preserve">, </w:t>
      </w:r>
      <w:r w:rsidRPr="000977F7">
        <w:rPr>
          <w:rFonts w:asciiTheme="majorHAnsi" w:hAnsiTheme="majorHAnsi"/>
          <w:sz w:val="20"/>
          <w:szCs w:val="20"/>
        </w:rPr>
        <w:t>статусу</w:t>
      </w:r>
      <w:r w:rsidRPr="004D2D14">
        <w:rPr>
          <w:rFonts w:asciiTheme="majorHAnsi" w:hAnsiTheme="majorHAnsi"/>
          <w:sz w:val="20"/>
          <w:szCs w:val="20"/>
          <w:lang w:val="en-US"/>
        </w:rPr>
        <w:t xml:space="preserve"> </w:t>
      </w:r>
      <w:r w:rsidRPr="000977F7">
        <w:rPr>
          <w:rFonts w:asciiTheme="majorHAnsi" w:hAnsiTheme="majorHAnsi"/>
          <w:sz w:val="20"/>
          <w:szCs w:val="20"/>
        </w:rPr>
        <w:t>запропонованих</w:t>
      </w:r>
      <w:r w:rsidRPr="004D2D14">
        <w:rPr>
          <w:rFonts w:asciiTheme="majorHAnsi" w:hAnsiTheme="majorHAnsi"/>
          <w:sz w:val="20"/>
          <w:szCs w:val="20"/>
          <w:lang w:val="en-US"/>
        </w:rPr>
        <w:t xml:space="preserve"> </w:t>
      </w:r>
      <w:r w:rsidRPr="000977F7">
        <w:rPr>
          <w:rFonts w:asciiTheme="majorHAnsi" w:hAnsiTheme="majorHAnsi"/>
          <w:sz w:val="20"/>
          <w:szCs w:val="20"/>
        </w:rPr>
        <w:t>змін</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статусу</w:t>
      </w:r>
      <w:r w:rsidRPr="004D2D14">
        <w:rPr>
          <w:rFonts w:asciiTheme="majorHAnsi" w:hAnsiTheme="majorHAnsi"/>
          <w:sz w:val="20"/>
          <w:szCs w:val="20"/>
          <w:lang w:val="en-US"/>
        </w:rPr>
        <w:t xml:space="preserve"> </w:t>
      </w:r>
      <w:r w:rsidRPr="000977F7">
        <w:rPr>
          <w:rFonts w:asciiTheme="majorHAnsi" w:hAnsiTheme="majorHAnsi"/>
          <w:sz w:val="20"/>
          <w:szCs w:val="20"/>
        </w:rPr>
        <w:t>запровадження</w:t>
      </w:r>
      <w:r w:rsidRPr="004D2D14">
        <w:rPr>
          <w:rFonts w:asciiTheme="majorHAnsi" w:hAnsiTheme="majorHAnsi"/>
          <w:sz w:val="20"/>
          <w:szCs w:val="20"/>
          <w:lang w:val="en-US"/>
        </w:rPr>
        <w:t xml:space="preserve"> </w:t>
      </w:r>
      <w:r w:rsidRPr="000977F7">
        <w:rPr>
          <w:rFonts w:asciiTheme="majorHAnsi" w:hAnsiTheme="majorHAnsi"/>
          <w:sz w:val="20"/>
          <w:szCs w:val="20"/>
        </w:rPr>
        <w:t>ухвалених</w:t>
      </w:r>
      <w:r w:rsidRPr="004D2D14">
        <w:rPr>
          <w:rFonts w:asciiTheme="majorHAnsi" w:hAnsiTheme="majorHAnsi"/>
          <w:spacing w:val="1"/>
          <w:sz w:val="20"/>
          <w:szCs w:val="20"/>
          <w:lang w:val="en-US"/>
        </w:rPr>
        <w:t xml:space="preserve"> </w:t>
      </w:r>
      <w:r w:rsidRPr="000977F7">
        <w:rPr>
          <w:rFonts w:asciiTheme="majorHAnsi" w:hAnsiTheme="majorHAnsi"/>
          <w:sz w:val="20"/>
          <w:szCs w:val="20"/>
        </w:rPr>
        <w:t>змін</w:t>
      </w:r>
      <w:r w:rsidRPr="004D2D14">
        <w:rPr>
          <w:rFonts w:asciiTheme="majorHAnsi" w:hAnsiTheme="majorHAnsi"/>
          <w:spacing w:val="-1"/>
          <w:sz w:val="20"/>
          <w:szCs w:val="20"/>
          <w:lang w:val="en-US"/>
        </w:rPr>
        <w:t xml:space="preserve"> </w:t>
      </w:r>
      <w:r w:rsidRPr="000977F7">
        <w:rPr>
          <w:rFonts w:asciiTheme="majorHAnsi" w:hAnsiTheme="majorHAnsi"/>
          <w:sz w:val="20"/>
          <w:szCs w:val="20"/>
        </w:rPr>
        <w:t>і</w:t>
      </w:r>
      <w:r w:rsidRPr="004D2D14">
        <w:rPr>
          <w:rFonts w:asciiTheme="majorHAnsi" w:hAnsiTheme="majorHAnsi"/>
          <w:spacing w:val="-2"/>
          <w:sz w:val="20"/>
          <w:szCs w:val="20"/>
          <w:lang w:val="en-US"/>
        </w:rPr>
        <w:t xml:space="preserve"> </w:t>
      </w:r>
      <w:r w:rsidRPr="000977F7">
        <w:rPr>
          <w:rFonts w:asciiTheme="majorHAnsi" w:hAnsiTheme="majorHAnsi"/>
          <w:sz w:val="20"/>
          <w:szCs w:val="20"/>
        </w:rPr>
        <w:t>звітування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про</w:t>
      </w:r>
      <w:r w:rsidRPr="004D2D14">
        <w:rPr>
          <w:rFonts w:asciiTheme="majorHAnsi" w:hAnsiTheme="majorHAnsi"/>
          <w:sz w:val="20"/>
          <w:szCs w:val="20"/>
          <w:lang w:val="en-US"/>
        </w:rPr>
        <w:t xml:space="preserve"> </w:t>
      </w:r>
      <w:r w:rsidRPr="000977F7">
        <w:rPr>
          <w:rFonts w:asciiTheme="majorHAnsi" w:hAnsiTheme="majorHAnsi"/>
          <w:sz w:val="20"/>
          <w:szCs w:val="20"/>
        </w:rPr>
        <w:t>них</w:t>
      </w:r>
    </w:p>
    <w:p w14:paraId="21E993A3"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ISO</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9000:2015</w:t>
      </w:r>
    </w:p>
    <w:p w14:paraId="18D1A464" w14:textId="77777777" w:rsidR="0097612F" w:rsidRPr="004D2D14" w:rsidRDefault="0097612F" w:rsidP="000977F7">
      <w:pPr>
        <w:tabs>
          <w:tab w:val="left" w:pos="284"/>
        </w:tabs>
        <w:spacing w:after="0" w:line="240" w:lineRule="auto"/>
        <w:ind w:left="170"/>
        <w:mirrorIndents/>
        <w:jc w:val="both"/>
        <w:rPr>
          <w:rFonts w:asciiTheme="majorHAnsi" w:hAnsiTheme="majorHAnsi"/>
          <w:b/>
          <w:bCs/>
          <w:sz w:val="20"/>
          <w:szCs w:val="20"/>
          <w:lang w:val="en-US"/>
        </w:rPr>
      </w:pPr>
      <w:r w:rsidRPr="000977F7">
        <w:rPr>
          <w:rFonts w:asciiTheme="majorHAnsi" w:hAnsiTheme="majorHAnsi"/>
          <w:b/>
          <w:bCs/>
          <w:sz w:val="20"/>
          <w:szCs w:val="20"/>
        </w:rPr>
        <w:t>ОБМЕЖЕНИЙ</w:t>
      </w:r>
      <w:r w:rsidRPr="004D2D14">
        <w:rPr>
          <w:rFonts w:asciiTheme="majorHAnsi" w:hAnsiTheme="majorHAnsi"/>
          <w:b/>
          <w:bCs/>
          <w:spacing w:val="-6"/>
          <w:sz w:val="20"/>
          <w:szCs w:val="20"/>
          <w:lang w:val="en-US"/>
        </w:rPr>
        <w:t xml:space="preserve"> </w:t>
      </w:r>
      <w:r w:rsidRPr="000977F7">
        <w:rPr>
          <w:rFonts w:asciiTheme="majorHAnsi" w:hAnsiTheme="majorHAnsi"/>
          <w:b/>
          <w:bCs/>
          <w:sz w:val="20"/>
          <w:szCs w:val="20"/>
        </w:rPr>
        <w:t>КОНТРОЛЬ</w:t>
      </w:r>
      <w:r w:rsidRPr="004D2D14">
        <w:rPr>
          <w:rFonts w:asciiTheme="majorHAnsi" w:hAnsiTheme="majorHAnsi"/>
          <w:b/>
          <w:bCs/>
          <w:spacing w:val="-3"/>
          <w:sz w:val="20"/>
          <w:szCs w:val="20"/>
          <w:lang w:val="en-US"/>
        </w:rPr>
        <w:t xml:space="preserve"> </w:t>
      </w:r>
      <w:r w:rsidRPr="004D2D14">
        <w:rPr>
          <w:rFonts w:asciiTheme="majorHAnsi" w:hAnsiTheme="majorHAnsi"/>
          <w:b/>
          <w:bCs/>
          <w:sz w:val="20"/>
          <w:szCs w:val="20"/>
          <w:lang w:val="en-US"/>
        </w:rPr>
        <w:t>–</w:t>
      </w:r>
    </w:p>
    <w:p w14:paraId="3D9C517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CURTAILED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INSPECTION –</w:t>
      </w:r>
    </w:p>
    <w:p w14:paraId="30ED2FF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Статистичний приймальний контроль, який слід припинити в момент, коли встановлено, що обсяг отриманої</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1"/>
          <w:sz w:val="20"/>
          <w:szCs w:val="20"/>
        </w:rPr>
        <w:t xml:space="preserve"> </w:t>
      </w:r>
      <w:r w:rsidRPr="000977F7">
        <w:rPr>
          <w:rFonts w:asciiTheme="majorHAnsi" w:hAnsiTheme="majorHAnsi"/>
          <w:sz w:val="20"/>
          <w:szCs w:val="20"/>
        </w:rPr>
        <w:t>достатній</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прийняття</w:t>
      </w:r>
      <w:r w:rsidRPr="000977F7">
        <w:rPr>
          <w:rFonts w:asciiTheme="majorHAnsi" w:hAnsiTheme="majorHAnsi"/>
          <w:spacing w:val="1"/>
          <w:sz w:val="20"/>
          <w:szCs w:val="20"/>
        </w:rPr>
        <w:t xml:space="preserve"> </w:t>
      </w:r>
      <w:r w:rsidRPr="000977F7">
        <w:rPr>
          <w:rFonts w:asciiTheme="majorHAnsi" w:hAnsiTheme="majorHAnsi"/>
          <w:sz w:val="20"/>
          <w:szCs w:val="20"/>
        </w:rPr>
        <w:t>рішення</w:t>
      </w:r>
      <w:r w:rsidRPr="000977F7">
        <w:rPr>
          <w:rFonts w:asciiTheme="majorHAnsi" w:hAnsiTheme="majorHAnsi"/>
          <w:spacing w:val="1"/>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партії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165627B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3514 - 97</w:t>
      </w:r>
    </w:p>
    <w:p w14:paraId="023E838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ОБМЕЖЕННЯ</w:t>
      </w:r>
      <w:r w:rsidRPr="000977F7">
        <w:rPr>
          <w:color w:val="auto"/>
          <w:spacing w:val="-5"/>
          <w:sz w:val="20"/>
          <w:szCs w:val="20"/>
        </w:rPr>
        <w:t xml:space="preserve"> </w:t>
      </w:r>
      <w:r w:rsidRPr="000977F7">
        <w:rPr>
          <w:color w:val="auto"/>
          <w:sz w:val="20"/>
          <w:szCs w:val="20"/>
        </w:rPr>
        <w:t>РІЗНОМАНІТНОСТІ</w:t>
      </w:r>
      <w:r w:rsidRPr="000977F7">
        <w:rPr>
          <w:color w:val="auto"/>
          <w:spacing w:val="-3"/>
          <w:sz w:val="20"/>
          <w:szCs w:val="20"/>
        </w:rPr>
        <w:t xml:space="preserve"> </w:t>
      </w:r>
      <w:r w:rsidRPr="000977F7">
        <w:rPr>
          <w:color w:val="auto"/>
          <w:sz w:val="20"/>
          <w:szCs w:val="20"/>
        </w:rPr>
        <w:t>–</w:t>
      </w:r>
    </w:p>
    <w:p w14:paraId="3348A90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VARIETY</w:t>
      </w:r>
      <w:r w:rsidRPr="000977F7">
        <w:rPr>
          <w:rFonts w:asciiTheme="majorHAnsi" w:hAnsiTheme="majorHAnsi"/>
          <w:spacing w:val="-2"/>
          <w:sz w:val="20"/>
          <w:szCs w:val="20"/>
        </w:rPr>
        <w:t xml:space="preserve"> </w:t>
      </w:r>
      <w:r w:rsidRPr="000977F7">
        <w:rPr>
          <w:rFonts w:asciiTheme="majorHAnsi" w:hAnsiTheme="majorHAnsi"/>
          <w:sz w:val="20"/>
          <w:szCs w:val="20"/>
        </w:rPr>
        <w:t>CONTROL</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058993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2"/>
          <w:sz w:val="20"/>
          <w:szCs w:val="20"/>
        </w:rPr>
        <w:t>Вибір</w:t>
      </w:r>
      <w:r w:rsidRPr="000977F7">
        <w:rPr>
          <w:rFonts w:asciiTheme="majorHAnsi" w:hAnsiTheme="majorHAnsi"/>
          <w:spacing w:val="-10"/>
          <w:sz w:val="20"/>
          <w:szCs w:val="20"/>
        </w:rPr>
        <w:t xml:space="preserve"> </w:t>
      </w:r>
      <w:r w:rsidRPr="000977F7">
        <w:rPr>
          <w:rFonts w:asciiTheme="majorHAnsi" w:hAnsiTheme="majorHAnsi"/>
          <w:spacing w:val="-1"/>
          <w:sz w:val="20"/>
          <w:szCs w:val="20"/>
        </w:rPr>
        <w:t>оптимального</w:t>
      </w:r>
      <w:r w:rsidRPr="000977F7">
        <w:rPr>
          <w:rFonts w:asciiTheme="majorHAnsi" w:hAnsiTheme="majorHAnsi"/>
          <w:spacing w:val="-9"/>
          <w:sz w:val="20"/>
          <w:szCs w:val="20"/>
        </w:rPr>
        <w:t xml:space="preserve"> </w:t>
      </w:r>
      <w:r w:rsidRPr="000977F7">
        <w:rPr>
          <w:rFonts w:asciiTheme="majorHAnsi" w:hAnsiTheme="majorHAnsi"/>
          <w:spacing w:val="-1"/>
          <w:sz w:val="20"/>
          <w:szCs w:val="20"/>
        </w:rPr>
        <w:t>числа</w:t>
      </w:r>
      <w:r w:rsidRPr="000977F7">
        <w:rPr>
          <w:rFonts w:asciiTheme="majorHAnsi" w:hAnsiTheme="majorHAnsi"/>
          <w:spacing w:val="-11"/>
          <w:sz w:val="20"/>
          <w:szCs w:val="20"/>
        </w:rPr>
        <w:t xml:space="preserve"> </w:t>
      </w:r>
      <w:r w:rsidRPr="000977F7">
        <w:rPr>
          <w:rFonts w:asciiTheme="majorHAnsi" w:hAnsiTheme="majorHAnsi"/>
          <w:spacing w:val="-1"/>
          <w:sz w:val="20"/>
          <w:szCs w:val="20"/>
        </w:rPr>
        <w:t>розмірів</w:t>
      </w:r>
      <w:r w:rsidRPr="000977F7">
        <w:rPr>
          <w:rFonts w:asciiTheme="majorHAnsi" w:hAnsiTheme="majorHAnsi"/>
          <w:spacing w:val="-11"/>
          <w:sz w:val="20"/>
          <w:szCs w:val="20"/>
        </w:rPr>
        <w:t xml:space="preserve"> </w:t>
      </w:r>
      <w:r w:rsidRPr="000977F7">
        <w:rPr>
          <w:rFonts w:asciiTheme="majorHAnsi" w:hAnsiTheme="majorHAnsi"/>
          <w:spacing w:val="-1"/>
          <w:sz w:val="20"/>
          <w:szCs w:val="20"/>
        </w:rPr>
        <w:t>або</w:t>
      </w:r>
      <w:r w:rsidRPr="000977F7">
        <w:rPr>
          <w:rFonts w:asciiTheme="majorHAnsi" w:hAnsiTheme="majorHAnsi"/>
          <w:spacing w:val="-9"/>
          <w:sz w:val="20"/>
          <w:szCs w:val="20"/>
        </w:rPr>
        <w:t xml:space="preserve"> </w:t>
      </w:r>
      <w:r w:rsidRPr="000977F7">
        <w:rPr>
          <w:rFonts w:asciiTheme="majorHAnsi" w:hAnsiTheme="majorHAnsi"/>
          <w:spacing w:val="-1"/>
          <w:sz w:val="20"/>
          <w:szCs w:val="20"/>
        </w:rPr>
        <w:t>зразків</w:t>
      </w:r>
      <w:r w:rsidRPr="000977F7">
        <w:rPr>
          <w:rFonts w:asciiTheme="majorHAnsi" w:hAnsiTheme="majorHAnsi"/>
          <w:spacing w:val="-10"/>
          <w:sz w:val="20"/>
          <w:szCs w:val="20"/>
        </w:rPr>
        <w:t xml:space="preserve"> </w:t>
      </w:r>
      <w:r w:rsidRPr="000977F7">
        <w:rPr>
          <w:rFonts w:asciiTheme="majorHAnsi" w:hAnsiTheme="majorHAnsi"/>
          <w:spacing w:val="-1"/>
          <w:sz w:val="20"/>
          <w:szCs w:val="20"/>
        </w:rPr>
        <w:t>виробів,</w:t>
      </w:r>
      <w:r w:rsidRPr="000977F7">
        <w:rPr>
          <w:rFonts w:asciiTheme="majorHAnsi" w:hAnsiTheme="majorHAnsi"/>
          <w:spacing w:val="-47"/>
          <w:sz w:val="20"/>
          <w:szCs w:val="20"/>
        </w:rPr>
        <w:t xml:space="preserve"> </w:t>
      </w:r>
      <w:r w:rsidRPr="000977F7">
        <w:rPr>
          <w:rFonts w:asciiTheme="majorHAnsi" w:hAnsiTheme="majorHAnsi"/>
          <w:spacing w:val="-1"/>
          <w:sz w:val="20"/>
          <w:szCs w:val="20"/>
        </w:rPr>
        <w:t>процесів</w:t>
      </w:r>
      <w:r w:rsidRPr="000977F7">
        <w:rPr>
          <w:rFonts w:asciiTheme="majorHAnsi" w:hAnsiTheme="majorHAnsi"/>
          <w:spacing w:val="-12"/>
          <w:sz w:val="20"/>
          <w:szCs w:val="20"/>
        </w:rPr>
        <w:t xml:space="preserve"> </w:t>
      </w:r>
      <w:r w:rsidRPr="000977F7">
        <w:rPr>
          <w:rFonts w:asciiTheme="majorHAnsi" w:hAnsiTheme="majorHAnsi"/>
          <w:spacing w:val="-1"/>
          <w:sz w:val="20"/>
          <w:szCs w:val="20"/>
        </w:rPr>
        <w:t>чи</w:t>
      </w:r>
      <w:r w:rsidRPr="000977F7">
        <w:rPr>
          <w:rFonts w:asciiTheme="majorHAnsi" w:hAnsiTheme="majorHAnsi"/>
          <w:spacing w:val="-10"/>
          <w:sz w:val="20"/>
          <w:szCs w:val="20"/>
        </w:rPr>
        <w:t xml:space="preserve"> </w:t>
      </w:r>
      <w:r w:rsidRPr="000977F7">
        <w:rPr>
          <w:rFonts w:asciiTheme="majorHAnsi" w:hAnsiTheme="majorHAnsi"/>
          <w:spacing w:val="-1"/>
          <w:sz w:val="20"/>
          <w:szCs w:val="20"/>
        </w:rPr>
        <w:t>послуг</w:t>
      </w:r>
      <w:r w:rsidRPr="000977F7">
        <w:rPr>
          <w:rFonts w:asciiTheme="majorHAnsi" w:hAnsiTheme="majorHAnsi"/>
          <w:spacing w:val="-12"/>
          <w:sz w:val="20"/>
          <w:szCs w:val="20"/>
        </w:rPr>
        <w:t xml:space="preserve"> </w:t>
      </w:r>
      <w:r w:rsidRPr="000977F7">
        <w:rPr>
          <w:rFonts w:asciiTheme="majorHAnsi" w:hAnsiTheme="majorHAnsi"/>
          <w:spacing w:val="-1"/>
          <w:sz w:val="20"/>
          <w:szCs w:val="20"/>
        </w:rPr>
        <w:t>для</w:t>
      </w:r>
      <w:r w:rsidRPr="000977F7">
        <w:rPr>
          <w:rFonts w:asciiTheme="majorHAnsi" w:hAnsiTheme="majorHAnsi"/>
          <w:spacing w:val="-11"/>
          <w:sz w:val="20"/>
          <w:szCs w:val="20"/>
        </w:rPr>
        <w:t xml:space="preserve"> </w:t>
      </w:r>
      <w:r w:rsidRPr="000977F7">
        <w:rPr>
          <w:rFonts w:asciiTheme="majorHAnsi" w:hAnsiTheme="majorHAnsi"/>
          <w:sz w:val="20"/>
          <w:szCs w:val="20"/>
        </w:rPr>
        <w:t>задоволення</w:t>
      </w:r>
      <w:r w:rsidRPr="000977F7">
        <w:rPr>
          <w:rFonts w:asciiTheme="majorHAnsi" w:hAnsiTheme="majorHAnsi"/>
          <w:spacing w:val="-12"/>
          <w:sz w:val="20"/>
          <w:szCs w:val="20"/>
        </w:rPr>
        <w:t xml:space="preserve"> </w:t>
      </w:r>
      <w:r w:rsidRPr="000977F7">
        <w:rPr>
          <w:rFonts w:asciiTheme="majorHAnsi" w:hAnsiTheme="majorHAnsi"/>
          <w:sz w:val="20"/>
          <w:szCs w:val="20"/>
        </w:rPr>
        <w:t>основних</w:t>
      </w:r>
      <w:r w:rsidRPr="000977F7">
        <w:rPr>
          <w:rFonts w:asciiTheme="majorHAnsi" w:hAnsiTheme="majorHAnsi"/>
          <w:spacing w:val="-10"/>
          <w:sz w:val="20"/>
          <w:szCs w:val="20"/>
        </w:rPr>
        <w:t xml:space="preserve"> </w:t>
      </w:r>
      <w:r w:rsidRPr="000977F7">
        <w:rPr>
          <w:rFonts w:asciiTheme="majorHAnsi" w:hAnsiTheme="majorHAnsi"/>
          <w:sz w:val="20"/>
          <w:szCs w:val="20"/>
        </w:rPr>
        <w:t>потреб</w:t>
      </w:r>
    </w:p>
    <w:p w14:paraId="09F3BA7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6645B79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Обмеження</w:t>
      </w:r>
      <w:r w:rsidRPr="000977F7">
        <w:rPr>
          <w:rFonts w:asciiTheme="majorHAnsi" w:hAnsiTheme="majorHAnsi"/>
          <w:spacing w:val="19"/>
          <w:sz w:val="20"/>
          <w:szCs w:val="20"/>
        </w:rPr>
        <w:t xml:space="preserve"> </w:t>
      </w:r>
      <w:r w:rsidRPr="000977F7">
        <w:rPr>
          <w:rFonts w:asciiTheme="majorHAnsi" w:hAnsiTheme="majorHAnsi"/>
          <w:sz w:val="20"/>
          <w:szCs w:val="20"/>
        </w:rPr>
        <w:t>різноманітності</w:t>
      </w:r>
      <w:r w:rsidRPr="000977F7">
        <w:rPr>
          <w:rFonts w:asciiTheme="majorHAnsi" w:hAnsiTheme="majorHAnsi"/>
          <w:spacing w:val="19"/>
          <w:sz w:val="20"/>
          <w:szCs w:val="20"/>
        </w:rPr>
        <w:t xml:space="preserve"> </w:t>
      </w:r>
      <w:r w:rsidRPr="000977F7">
        <w:rPr>
          <w:rFonts w:asciiTheme="majorHAnsi" w:hAnsiTheme="majorHAnsi"/>
          <w:sz w:val="20"/>
          <w:szCs w:val="20"/>
        </w:rPr>
        <w:t>пов’язане,</w:t>
      </w:r>
      <w:r w:rsidRPr="000977F7">
        <w:rPr>
          <w:rFonts w:asciiTheme="majorHAnsi" w:hAnsiTheme="majorHAnsi"/>
          <w:spacing w:val="20"/>
          <w:sz w:val="20"/>
          <w:szCs w:val="20"/>
        </w:rPr>
        <w:t xml:space="preserve"> </w:t>
      </w:r>
      <w:r w:rsidRPr="000977F7">
        <w:rPr>
          <w:rFonts w:asciiTheme="majorHAnsi" w:hAnsiTheme="majorHAnsi"/>
          <w:sz w:val="20"/>
          <w:szCs w:val="20"/>
        </w:rPr>
        <w:t>звичайно,</w:t>
      </w:r>
      <w:r w:rsidRPr="000977F7">
        <w:rPr>
          <w:rFonts w:asciiTheme="majorHAnsi" w:hAnsiTheme="majorHAnsi"/>
          <w:spacing w:val="20"/>
          <w:sz w:val="20"/>
          <w:szCs w:val="20"/>
        </w:rPr>
        <w:t xml:space="preserve"> </w:t>
      </w:r>
      <w:r w:rsidRPr="000977F7">
        <w:rPr>
          <w:rFonts w:asciiTheme="majorHAnsi" w:hAnsiTheme="majorHAnsi"/>
          <w:sz w:val="20"/>
          <w:szCs w:val="20"/>
        </w:rPr>
        <w:t>зі</w:t>
      </w:r>
      <w:r w:rsidRPr="000977F7">
        <w:rPr>
          <w:rFonts w:asciiTheme="majorHAnsi" w:hAnsiTheme="majorHAnsi"/>
          <w:spacing w:val="-47"/>
          <w:sz w:val="20"/>
          <w:szCs w:val="20"/>
        </w:rPr>
        <w:t xml:space="preserve"> </w:t>
      </w:r>
      <w:r w:rsidRPr="000977F7">
        <w:rPr>
          <w:rFonts w:asciiTheme="majorHAnsi" w:hAnsiTheme="majorHAnsi"/>
          <w:sz w:val="20"/>
          <w:szCs w:val="20"/>
        </w:rPr>
        <w:t>зменшенням</w:t>
      </w:r>
      <w:r w:rsidRPr="000977F7">
        <w:rPr>
          <w:rFonts w:asciiTheme="majorHAnsi" w:hAnsiTheme="majorHAnsi"/>
          <w:spacing w:val="-1"/>
          <w:sz w:val="20"/>
          <w:szCs w:val="20"/>
        </w:rPr>
        <w:t xml:space="preserve"> </w:t>
      </w:r>
      <w:r w:rsidRPr="000977F7">
        <w:rPr>
          <w:rFonts w:asciiTheme="majorHAnsi" w:hAnsiTheme="majorHAnsi"/>
          <w:sz w:val="20"/>
          <w:szCs w:val="20"/>
        </w:rPr>
        <w:t>її</w:t>
      </w:r>
    </w:p>
    <w:p w14:paraId="1BA1949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 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20CF4D0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ОБМЕЖУВАЛЬНА</w:t>
      </w:r>
      <w:r w:rsidRPr="000977F7">
        <w:rPr>
          <w:color w:val="auto"/>
          <w:spacing w:val="-5"/>
          <w:sz w:val="20"/>
          <w:szCs w:val="20"/>
        </w:rPr>
        <w:t xml:space="preserve"> </w:t>
      </w:r>
      <w:r w:rsidRPr="000977F7">
        <w:rPr>
          <w:color w:val="auto"/>
          <w:sz w:val="20"/>
          <w:szCs w:val="20"/>
        </w:rPr>
        <w:t>ДІЛОВА</w:t>
      </w:r>
      <w:r w:rsidRPr="000977F7">
        <w:rPr>
          <w:color w:val="auto"/>
          <w:spacing w:val="-5"/>
          <w:sz w:val="20"/>
          <w:szCs w:val="20"/>
        </w:rPr>
        <w:t xml:space="preserve"> </w:t>
      </w:r>
      <w:r w:rsidRPr="000977F7">
        <w:rPr>
          <w:color w:val="auto"/>
          <w:sz w:val="20"/>
          <w:szCs w:val="20"/>
        </w:rPr>
        <w:t>ПРАКТИКА</w:t>
      </w:r>
      <w:r w:rsidRPr="000977F7">
        <w:rPr>
          <w:color w:val="auto"/>
          <w:spacing w:val="-2"/>
          <w:sz w:val="20"/>
          <w:szCs w:val="20"/>
        </w:rPr>
        <w:t xml:space="preserve"> </w:t>
      </w:r>
      <w:r w:rsidRPr="000977F7">
        <w:rPr>
          <w:color w:val="auto"/>
          <w:sz w:val="20"/>
          <w:szCs w:val="20"/>
        </w:rPr>
        <w:t>–</w:t>
      </w:r>
    </w:p>
    <w:p w14:paraId="4BCB31B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Здійснення індивідуальних або колективних заходів,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спрямованих на обмеження конкуренції та монополізацію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виробництва,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розподілу,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обміну,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споживання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товарів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 одержання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надприбутків</w:t>
      </w:r>
    </w:p>
    <w:p w14:paraId="4D3F962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3293 – 95</w:t>
      </w:r>
    </w:p>
    <w:p w14:paraId="1B6FE0A9" w14:textId="77777777" w:rsidR="0097612F" w:rsidRPr="004D2D14" w:rsidRDefault="0097612F" w:rsidP="000977F7">
      <w:pPr>
        <w:tabs>
          <w:tab w:val="left" w:pos="284"/>
        </w:tabs>
        <w:spacing w:after="0" w:line="240" w:lineRule="auto"/>
        <w:ind w:left="170"/>
        <w:mirrorIndents/>
        <w:jc w:val="both"/>
        <w:rPr>
          <w:rFonts w:asciiTheme="majorHAnsi" w:hAnsiTheme="majorHAnsi"/>
          <w:b/>
          <w:bCs/>
          <w:iCs/>
          <w:sz w:val="20"/>
          <w:szCs w:val="20"/>
          <w:lang w:val="uk-UA"/>
        </w:rPr>
      </w:pPr>
      <w:bookmarkStart w:id="158" w:name="_Hlk103742712"/>
      <w:r w:rsidRPr="004D2D14">
        <w:rPr>
          <w:rFonts w:asciiTheme="majorHAnsi" w:hAnsiTheme="majorHAnsi"/>
          <w:b/>
          <w:bCs/>
          <w:iCs/>
          <w:sz w:val="20"/>
          <w:szCs w:val="20"/>
          <w:lang w:val="uk-UA"/>
        </w:rPr>
        <w:t>ОБМЕЖУВАЛЬНИЙ ПРИСТРІЙ</w:t>
      </w:r>
    </w:p>
    <w:p w14:paraId="2E0A775B"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0977F7">
        <w:rPr>
          <w:rFonts w:asciiTheme="majorHAnsi" w:hAnsiTheme="majorHAnsi"/>
          <w:iCs/>
          <w:sz w:val="20"/>
          <w:szCs w:val="20"/>
        </w:rPr>
        <w:t>LIMITING</w:t>
      </w:r>
      <w:r w:rsidRPr="004D2D14">
        <w:rPr>
          <w:rFonts w:asciiTheme="majorHAnsi" w:hAnsiTheme="majorHAnsi"/>
          <w:iCs/>
          <w:sz w:val="20"/>
          <w:szCs w:val="20"/>
          <w:lang w:val="uk-UA"/>
        </w:rPr>
        <w:t xml:space="preserve"> </w:t>
      </w:r>
      <w:r w:rsidRPr="000977F7">
        <w:rPr>
          <w:rFonts w:asciiTheme="majorHAnsi" w:hAnsiTheme="majorHAnsi"/>
          <w:iCs/>
          <w:sz w:val="20"/>
          <w:szCs w:val="20"/>
        </w:rPr>
        <w:t>DIVICE</w:t>
      </w:r>
      <w:r w:rsidRPr="004D2D14">
        <w:rPr>
          <w:rFonts w:asciiTheme="majorHAnsi" w:hAnsiTheme="majorHAnsi"/>
          <w:i/>
          <w:sz w:val="20"/>
          <w:szCs w:val="20"/>
          <w:lang w:val="uk-UA"/>
        </w:rPr>
        <w:t xml:space="preserve"> -</w:t>
      </w:r>
    </w:p>
    <w:bookmarkEnd w:id="158"/>
    <w:p w14:paraId="6291AE3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Пристрій, який перешкоджає тому, щоб машина чи небезпечні умови роботи машини виходили за </w:t>
      </w:r>
      <w:r w:rsidRPr="000977F7">
        <w:rPr>
          <w:rFonts w:asciiTheme="majorHAnsi" w:hAnsiTheme="majorHAnsi"/>
          <w:sz w:val="20"/>
          <w:szCs w:val="20"/>
        </w:rPr>
        <w:lastRenderedPageBreak/>
        <w:t>встановлену межу (наприклад, просторову межу, межу тиску, межу навантаження)</w:t>
      </w:r>
    </w:p>
    <w:p w14:paraId="09D5F4EA"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7021629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ОБОВ’ЯЗКИ АКРЕДИТОВАНИХ ОРГАНІВ З</w:t>
      </w:r>
      <w:r w:rsidRPr="000977F7">
        <w:rPr>
          <w:color w:val="auto"/>
          <w:spacing w:val="-47"/>
          <w:sz w:val="20"/>
          <w:szCs w:val="20"/>
        </w:rPr>
        <w:t xml:space="preserve"> </w:t>
      </w:r>
      <w:r w:rsidRPr="000977F7">
        <w:rPr>
          <w:color w:val="auto"/>
          <w:sz w:val="20"/>
          <w:szCs w:val="20"/>
        </w:rPr>
        <w:t>ОЦІНКІ</w:t>
      </w:r>
      <w:r w:rsidRPr="000977F7">
        <w:rPr>
          <w:color w:val="auto"/>
          <w:spacing w:val="-3"/>
          <w:sz w:val="20"/>
          <w:szCs w:val="20"/>
        </w:rPr>
        <w:t xml:space="preserve"> </w:t>
      </w:r>
      <w:r w:rsidRPr="000977F7">
        <w:rPr>
          <w:color w:val="auto"/>
          <w:sz w:val="20"/>
          <w:szCs w:val="20"/>
        </w:rPr>
        <w:t>ВІДПОВІДНОСТІ</w:t>
      </w:r>
      <w:r w:rsidRPr="000977F7">
        <w:rPr>
          <w:color w:val="auto"/>
          <w:spacing w:val="2"/>
          <w:sz w:val="20"/>
          <w:szCs w:val="20"/>
        </w:rPr>
        <w:t xml:space="preserve"> </w:t>
      </w:r>
      <w:r w:rsidRPr="000977F7">
        <w:rPr>
          <w:color w:val="auto"/>
          <w:sz w:val="20"/>
          <w:szCs w:val="20"/>
        </w:rPr>
        <w:t>–</w:t>
      </w:r>
    </w:p>
    <w:p w14:paraId="4BCF18E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Акредитовані органи з оцінки відповідності у сфері</w:t>
      </w:r>
      <w:r w:rsidRPr="000977F7">
        <w:rPr>
          <w:rFonts w:asciiTheme="majorHAnsi" w:hAnsiTheme="majorHAnsi"/>
          <w:spacing w:val="1"/>
          <w:sz w:val="20"/>
          <w:szCs w:val="20"/>
        </w:rPr>
        <w:t xml:space="preserve"> </w:t>
      </w:r>
      <w:r w:rsidRPr="000977F7">
        <w:rPr>
          <w:rFonts w:asciiTheme="majorHAnsi" w:hAnsiTheme="majorHAnsi"/>
          <w:sz w:val="20"/>
          <w:szCs w:val="20"/>
        </w:rPr>
        <w:t>акредитації</w:t>
      </w:r>
      <w:r w:rsidRPr="000977F7">
        <w:rPr>
          <w:rFonts w:asciiTheme="majorHAnsi" w:hAnsiTheme="majorHAnsi"/>
          <w:spacing w:val="1"/>
          <w:sz w:val="20"/>
          <w:szCs w:val="20"/>
        </w:rPr>
        <w:t xml:space="preserve"> </w:t>
      </w:r>
      <w:r w:rsidRPr="000977F7">
        <w:rPr>
          <w:rFonts w:asciiTheme="majorHAnsi" w:hAnsiTheme="majorHAnsi"/>
          <w:sz w:val="20"/>
          <w:szCs w:val="20"/>
        </w:rPr>
        <w:t>повинні:</w:t>
      </w:r>
    </w:p>
    <w:p w14:paraId="62FC74F2" w14:textId="77777777" w:rsidR="0097612F" w:rsidRPr="000977F7" w:rsidRDefault="0097612F" w:rsidP="000977F7">
      <w:pPr>
        <w:tabs>
          <w:tab w:val="left" w:pos="284"/>
          <w:tab w:val="left" w:pos="676"/>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shd w:val="clear" w:color="auto" w:fill="FFFFFF"/>
        </w:rPr>
        <w:t>дотримуватися вимог нормативно-правових актів та стандартів з питань акредитації, на відповідність яким вони акредитовані;</w:t>
      </w:r>
    </w:p>
    <w:p w14:paraId="0A1F45E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посилатися</w:t>
      </w:r>
      <w:r w:rsidRPr="000977F7">
        <w:rPr>
          <w:rFonts w:asciiTheme="majorHAnsi" w:hAnsiTheme="majorHAnsi"/>
          <w:spacing w:val="1"/>
          <w:sz w:val="20"/>
          <w:szCs w:val="20"/>
        </w:rPr>
        <w:t xml:space="preserve"> </w:t>
      </w:r>
      <w:r w:rsidRPr="000977F7">
        <w:rPr>
          <w:rFonts w:asciiTheme="majorHAnsi" w:hAnsiTheme="majorHAnsi"/>
          <w:sz w:val="20"/>
          <w:szCs w:val="20"/>
        </w:rPr>
        <w:t>на акредитацію тільки стосовно тих</w:t>
      </w:r>
      <w:r w:rsidRPr="000977F7">
        <w:rPr>
          <w:rFonts w:asciiTheme="majorHAnsi" w:hAnsiTheme="majorHAnsi"/>
          <w:spacing w:val="1"/>
          <w:sz w:val="20"/>
          <w:szCs w:val="20"/>
        </w:rPr>
        <w:t xml:space="preserve"> </w:t>
      </w:r>
      <w:r w:rsidRPr="000977F7">
        <w:rPr>
          <w:rFonts w:asciiTheme="majorHAnsi" w:hAnsiTheme="majorHAnsi"/>
          <w:sz w:val="20"/>
          <w:szCs w:val="20"/>
        </w:rPr>
        <w:t>робіт,</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здійснення</w:t>
      </w:r>
      <w:r w:rsidRPr="000977F7">
        <w:rPr>
          <w:rFonts w:asciiTheme="majorHAnsi" w:hAnsiTheme="majorHAnsi"/>
          <w:spacing w:val="-3"/>
          <w:sz w:val="20"/>
          <w:szCs w:val="20"/>
        </w:rPr>
        <w:t xml:space="preserve"> </w:t>
      </w:r>
      <w:r w:rsidRPr="000977F7">
        <w:rPr>
          <w:rFonts w:asciiTheme="majorHAnsi" w:hAnsiTheme="majorHAnsi"/>
          <w:sz w:val="20"/>
          <w:szCs w:val="20"/>
        </w:rPr>
        <w:t>яких</w:t>
      </w:r>
      <w:r w:rsidRPr="000977F7">
        <w:rPr>
          <w:rFonts w:asciiTheme="majorHAnsi" w:hAnsiTheme="majorHAnsi"/>
          <w:spacing w:val="-3"/>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було</w:t>
      </w:r>
      <w:r w:rsidRPr="000977F7">
        <w:rPr>
          <w:rFonts w:asciiTheme="majorHAnsi" w:hAnsiTheme="majorHAnsi"/>
          <w:spacing w:val="-1"/>
          <w:sz w:val="20"/>
          <w:szCs w:val="20"/>
        </w:rPr>
        <w:t xml:space="preserve"> </w:t>
      </w:r>
      <w:r w:rsidRPr="000977F7">
        <w:rPr>
          <w:rFonts w:asciiTheme="majorHAnsi" w:hAnsiTheme="majorHAnsi"/>
          <w:sz w:val="20"/>
          <w:szCs w:val="20"/>
        </w:rPr>
        <w:t>акредитовано;</w:t>
      </w:r>
    </w:p>
    <w:p w14:paraId="6CC873A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оплачувати всі роботи, пов'язані з їх акредитацією та моніторингом</w:t>
      </w:r>
    </w:p>
    <w:p w14:paraId="610A6A6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shd w:val="clear" w:color="auto" w:fill="FFFFFF"/>
        </w:rPr>
        <w:t>припинити посилання на акредитацію у своїй документації та рекламі у разі тимчасового зупинення дії або скасування атестата про акредитацію</w:t>
      </w:r>
    </w:p>
    <w:p w14:paraId="67A0878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12 закону України "Про акредитацію органів з</w:t>
      </w:r>
      <w:r w:rsidRPr="000977F7">
        <w:rPr>
          <w:rFonts w:asciiTheme="majorHAnsi" w:hAnsiTheme="majorHAnsi"/>
          <w:i/>
          <w:spacing w:val="1"/>
          <w:sz w:val="20"/>
          <w:szCs w:val="20"/>
        </w:rPr>
        <w:t xml:space="preserve"> </w:t>
      </w:r>
      <w:r w:rsidRPr="000977F7">
        <w:rPr>
          <w:rFonts w:asciiTheme="majorHAnsi" w:hAnsiTheme="majorHAnsi"/>
          <w:i/>
          <w:w w:val="105"/>
          <w:sz w:val="20"/>
          <w:szCs w:val="20"/>
        </w:rPr>
        <w:t>оцінки</w:t>
      </w:r>
      <w:r w:rsidRPr="000977F7">
        <w:rPr>
          <w:rFonts w:asciiTheme="majorHAnsi" w:hAnsiTheme="majorHAnsi"/>
          <w:i/>
          <w:spacing w:val="-3"/>
          <w:w w:val="105"/>
          <w:sz w:val="20"/>
          <w:szCs w:val="20"/>
        </w:rPr>
        <w:t xml:space="preserve"> </w:t>
      </w:r>
      <w:r w:rsidRPr="000977F7">
        <w:rPr>
          <w:rFonts w:asciiTheme="majorHAnsi" w:hAnsiTheme="majorHAnsi"/>
          <w:i/>
          <w:w w:val="105"/>
          <w:sz w:val="20"/>
          <w:szCs w:val="20"/>
        </w:rPr>
        <w:t>відповідності"</w:t>
      </w:r>
    </w:p>
    <w:p w14:paraId="147BE990"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ОБОВ'ЯЗКИ</w:t>
      </w:r>
      <w:r w:rsidRPr="000977F7">
        <w:rPr>
          <w:rFonts w:asciiTheme="majorHAnsi" w:hAnsiTheme="majorHAnsi"/>
          <w:b/>
          <w:spacing w:val="40"/>
          <w:sz w:val="20"/>
          <w:szCs w:val="20"/>
        </w:rPr>
        <w:t xml:space="preserve"> </w:t>
      </w:r>
      <w:r w:rsidRPr="000977F7">
        <w:rPr>
          <w:rFonts w:asciiTheme="majorHAnsi" w:hAnsiTheme="majorHAnsi"/>
          <w:b/>
          <w:sz w:val="20"/>
          <w:szCs w:val="20"/>
        </w:rPr>
        <w:t>ГРОМАДЯН</w:t>
      </w:r>
      <w:r w:rsidRPr="000977F7">
        <w:rPr>
          <w:rFonts w:asciiTheme="majorHAnsi" w:hAnsiTheme="majorHAnsi"/>
          <w:b/>
          <w:spacing w:val="39"/>
          <w:sz w:val="20"/>
          <w:szCs w:val="20"/>
        </w:rPr>
        <w:t xml:space="preserve"> </w:t>
      </w:r>
      <w:r w:rsidRPr="000977F7">
        <w:rPr>
          <w:rFonts w:asciiTheme="majorHAnsi" w:hAnsiTheme="majorHAnsi"/>
          <w:b/>
          <w:sz w:val="20"/>
          <w:szCs w:val="20"/>
        </w:rPr>
        <w:t>У</w:t>
      </w:r>
      <w:r w:rsidRPr="000977F7">
        <w:rPr>
          <w:rFonts w:asciiTheme="majorHAnsi" w:hAnsiTheme="majorHAnsi"/>
          <w:b/>
          <w:spacing w:val="42"/>
          <w:sz w:val="20"/>
          <w:szCs w:val="20"/>
        </w:rPr>
        <w:t xml:space="preserve"> </w:t>
      </w:r>
      <w:r w:rsidRPr="000977F7">
        <w:rPr>
          <w:rFonts w:asciiTheme="majorHAnsi" w:hAnsiTheme="majorHAnsi"/>
          <w:b/>
          <w:sz w:val="20"/>
          <w:szCs w:val="20"/>
        </w:rPr>
        <w:t>ГАЛУЗІ</w:t>
      </w:r>
      <w:r w:rsidRPr="000977F7">
        <w:rPr>
          <w:rFonts w:asciiTheme="majorHAnsi" w:hAnsiTheme="majorHAnsi"/>
          <w:b/>
          <w:spacing w:val="40"/>
          <w:sz w:val="20"/>
          <w:szCs w:val="20"/>
        </w:rPr>
        <w:t xml:space="preserve"> </w:t>
      </w:r>
      <w:r w:rsidRPr="000977F7">
        <w:rPr>
          <w:rFonts w:asciiTheme="majorHAnsi" w:hAnsiTheme="majorHAnsi"/>
          <w:b/>
          <w:sz w:val="20"/>
          <w:szCs w:val="20"/>
        </w:rPr>
        <w:t>ОХОРОНИ</w:t>
      </w:r>
      <w:r w:rsidRPr="000977F7">
        <w:rPr>
          <w:rFonts w:asciiTheme="majorHAnsi" w:hAnsiTheme="majorHAnsi"/>
          <w:b/>
          <w:spacing w:val="-47"/>
          <w:sz w:val="20"/>
          <w:szCs w:val="20"/>
        </w:rPr>
        <w:t xml:space="preserve"> </w:t>
      </w:r>
      <w:r w:rsidRPr="000977F7">
        <w:rPr>
          <w:rFonts w:asciiTheme="majorHAnsi" w:hAnsiTheme="majorHAnsi"/>
          <w:b/>
          <w:sz w:val="20"/>
          <w:szCs w:val="20"/>
        </w:rPr>
        <w:t>НАВКОЛИШНЬОГО</w:t>
      </w:r>
      <w:r w:rsidRPr="000977F7">
        <w:rPr>
          <w:rFonts w:asciiTheme="majorHAnsi" w:hAnsiTheme="majorHAnsi"/>
          <w:b/>
          <w:spacing w:val="22"/>
          <w:sz w:val="20"/>
          <w:szCs w:val="20"/>
        </w:rPr>
        <w:t xml:space="preserve"> </w:t>
      </w:r>
      <w:r w:rsidRPr="000977F7">
        <w:rPr>
          <w:rFonts w:asciiTheme="majorHAnsi" w:hAnsiTheme="majorHAnsi"/>
          <w:b/>
          <w:sz w:val="20"/>
          <w:szCs w:val="20"/>
        </w:rPr>
        <w:t>ПРИРОДНОГО</w:t>
      </w:r>
      <w:r w:rsidRPr="000977F7">
        <w:rPr>
          <w:rFonts w:asciiTheme="majorHAnsi" w:hAnsiTheme="majorHAnsi"/>
          <w:b/>
          <w:spacing w:val="22"/>
          <w:sz w:val="20"/>
          <w:szCs w:val="20"/>
        </w:rPr>
        <w:t xml:space="preserve"> </w:t>
      </w:r>
      <w:r w:rsidRPr="000977F7">
        <w:rPr>
          <w:rFonts w:asciiTheme="majorHAnsi" w:hAnsiTheme="majorHAnsi"/>
          <w:b/>
          <w:sz w:val="20"/>
          <w:szCs w:val="20"/>
        </w:rPr>
        <w:t>СЕРЕДОВИЩА</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70BBF0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Громадяни</w:t>
      </w:r>
      <w:r w:rsidRPr="000977F7">
        <w:rPr>
          <w:rFonts w:asciiTheme="majorHAnsi" w:hAnsiTheme="majorHAnsi"/>
          <w:spacing w:val="-6"/>
          <w:sz w:val="20"/>
          <w:szCs w:val="20"/>
        </w:rPr>
        <w:t xml:space="preserve"> </w:t>
      </w:r>
      <w:r w:rsidRPr="000977F7">
        <w:rPr>
          <w:rFonts w:asciiTheme="majorHAnsi" w:hAnsiTheme="majorHAnsi"/>
          <w:sz w:val="20"/>
          <w:szCs w:val="20"/>
        </w:rPr>
        <w:t>України</w:t>
      </w:r>
      <w:r w:rsidRPr="000977F7">
        <w:rPr>
          <w:rFonts w:asciiTheme="majorHAnsi" w:hAnsiTheme="majorHAnsi"/>
          <w:spacing w:val="-5"/>
          <w:sz w:val="20"/>
          <w:szCs w:val="20"/>
        </w:rPr>
        <w:t xml:space="preserve"> </w:t>
      </w:r>
      <w:r w:rsidRPr="000977F7">
        <w:rPr>
          <w:rFonts w:asciiTheme="majorHAnsi" w:hAnsiTheme="majorHAnsi"/>
          <w:sz w:val="20"/>
          <w:szCs w:val="20"/>
        </w:rPr>
        <w:t>зобов'язані:</w:t>
      </w:r>
    </w:p>
    <w:p w14:paraId="75078C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берегти природу, охороняти, раціонально використовувати її багатства відповідно до вимог законодавства про охорону навколишнього природного середовища;</w:t>
      </w:r>
    </w:p>
    <w:p w14:paraId="3DA948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w:t>
      </w:r>
      <w:r w:rsidRPr="000977F7">
        <w:rPr>
          <w:rFonts w:asciiTheme="majorHAnsi" w:hAnsiTheme="majorHAnsi"/>
          <w:spacing w:val="1"/>
          <w:sz w:val="20"/>
          <w:szCs w:val="20"/>
        </w:rPr>
        <w:t xml:space="preserve"> </w:t>
      </w:r>
      <w:r w:rsidRPr="000977F7">
        <w:rPr>
          <w:rFonts w:asciiTheme="majorHAnsi" w:hAnsiTheme="majorHAnsi"/>
          <w:sz w:val="20"/>
          <w:szCs w:val="20"/>
        </w:rPr>
        <w:t>здійснювати</w:t>
      </w:r>
      <w:r w:rsidRPr="000977F7">
        <w:rPr>
          <w:rFonts w:asciiTheme="majorHAnsi" w:hAnsiTheme="majorHAnsi"/>
          <w:spacing w:val="1"/>
          <w:sz w:val="20"/>
          <w:szCs w:val="20"/>
        </w:rPr>
        <w:t xml:space="preserve"> </w:t>
      </w:r>
      <w:r w:rsidRPr="000977F7">
        <w:rPr>
          <w:rFonts w:asciiTheme="majorHAnsi" w:hAnsiTheme="majorHAnsi"/>
          <w:sz w:val="20"/>
          <w:szCs w:val="20"/>
        </w:rPr>
        <w:t>діяльність</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додержанням</w:t>
      </w:r>
      <w:r w:rsidRPr="000977F7">
        <w:rPr>
          <w:rFonts w:asciiTheme="majorHAnsi" w:hAnsiTheme="majorHAnsi"/>
          <w:spacing w:val="1"/>
          <w:sz w:val="20"/>
          <w:szCs w:val="20"/>
        </w:rPr>
        <w:t xml:space="preserve"> </w:t>
      </w:r>
      <w:r w:rsidRPr="000977F7">
        <w:rPr>
          <w:rFonts w:asciiTheme="majorHAnsi" w:hAnsiTheme="majorHAnsi"/>
          <w:sz w:val="20"/>
          <w:szCs w:val="20"/>
        </w:rPr>
        <w:t>вимог</w:t>
      </w:r>
      <w:r w:rsidRPr="000977F7">
        <w:rPr>
          <w:rFonts w:asciiTheme="majorHAnsi" w:hAnsiTheme="majorHAnsi"/>
          <w:spacing w:val="1"/>
          <w:sz w:val="20"/>
          <w:szCs w:val="20"/>
        </w:rPr>
        <w:t xml:space="preserve"> </w:t>
      </w:r>
      <w:r w:rsidRPr="000977F7">
        <w:rPr>
          <w:rFonts w:asciiTheme="majorHAnsi" w:hAnsiTheme="majorHAnsi"/>
          <w:sz w:val="20"/>
          <w:szCs w:val="20"/>
        </w:rPr>
        <w:t>екологічної</w:t>
      </w:r>
      <w:r w:rsidRPr="000977F7">
        <w:rPr>
          <w:rFonts w:asciiTheme="majorHAnsi" w:hAnsiTheme="majorHAnsi"/>
          <w:spacing w:val="1"/>
          <w:sz w:val="20"/>
          <w:szCs w:val="20"/>
        </w:rPr>
        <w:t xml:space="preserve"> </w:t>
      </w:r>
      <w:r w:rsidRPr="000977F7">
        <w:rPr>
          <w:rFonts w:asciiTheme="majorHAnsi" w:hAnsiTheme="majorHAnsi"/>
          <w:sz w:val="20"/>
          <w:szCs w:val="20"/>
        </w:rPr>
        <w:t>безпеки,</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50"/>
          <w:sz w:val="20"/>
          <w:szCs w:val="20"/>
        </w:rPr>
        <w:t xml:space="preserve"> </w:t>
      </w:r>
      <w:r w:rsidRPr="000977F7">
        <w:rPr>
          <w:rFonts w:asciiTheme="majorHAnsi" w:hAnsiTheme="majorHAnsi"/>
          <w:sz w:val="20"/>
          <w:szCs w:val="20"/>
        </w:rPr>
        <w:t>екологічних</w:t>
      </w:r>
      <w:r w:rsidRPr="000977F7">
        <w:rPr>
          <w:rFonts w:asciiTheme="majorHAnsi" w:hAnsiTheme="majorHAnsi"/>
          <w:spacing w:val="50"/>
          <w:sz w:val="20"/>
          <w:szCs w:val="20"/>
        </w:rPr>
        <w:t xml:space="preserve"> </w:t>
      </w:r>
      <w:r w:rsidRPr="000977F7">
        <w:rPr>
          <w:rFonts w:asciiTheme="majorHAnsi" w:hAnsiTheme="majorHAnsi"/>
          <w:sz w:val="20"/>
          <w:szCs w:val="20"/>
        </w:rPr>
        <w:t>нормативів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лімітів</w:t>
      </w:r>
      <w:r w:rsidRPr="000977F7">
        <w:rPr>
          <w:rFonts w:asciiTheme="majorHAnsi" w:hAnsiTheme="majorHAnsi"/>
          <w:spacing w:val="-2"/>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природних</w:t>
      </w:r>
      <w:r w:rsidRPr="000977F7">
        <w:rPr>
          <w:rFonts w:asciiTheme="majorHAnsi" w:hAnsiTheme="majorHAnsi"/>
          <w:spacing w:val="-2"/>
          <w:sz w:val="20"/>
          <w:szCs w:val="20"/>
        </w:rPr>
        <w:t xml:space="preserve"> </w:t>
      </w:r>
      <w:r w:rsidRPr="000977F7">
        <w:rPr>
          <w:rFonts w:asciiTheme="majorHAnsi" w:hAnsiTheme="majorHAnsi"/>
          <w:sz w:val="20"/>
          <w:szCs w:val="20"/>
        </w:rPr>
        <w:t>ресурсів;</w:t>
      </w:r>
    </w:p>
    <w:p w14:paraId="223C55C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 не порушувати екологічні права і законні інтереси</w:t>
      </w:r>
      <w:r w:rsidRPr="000977F7">
        <w:rPr>
          <w:rFonts w:asciiTheme="majorHAnsi" w:hAnsiTheme="majorHAnsi"/>
          <w:spacing w:val="48"/>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суб'єктів;</w:t>
      </w:r>
    </w:p>
    <w:p w14:paraId="7FB2D5E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shd w:val="clear" w:color="auto" w:fill="FFFFFF"/>
        </w:rPr>
        <w:t>г) вносити штрафи за екологічні правопорушення</w:t>
      </w:r>
    </w:p>
    <w:p w14:paraId="0AC5FF3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д)компенсувати шкоду, заподіяну забрудненням та</w:t>
      </w:r>
      <w:r w:rsidRPr="000977F7">
        <w:rPr>
          <w:rFonts w:asciiTheme="majorHAnsi" w:hAnsiTheme="majorHAnsi"/>
          <w:spacing w:val="1"/>
          <w:sz w:val="20"/>
          <w:szCs w:val="20"/>
        </w:rPr>
        <w:t xml:space="preserve"> </w:t>
      </w:r>
      <w:r w:rsidRPr="000977F7">
        <w:rPr>
          <w:rFonts w:asciiTheme="majorHAnsi" w:hAnsiTheme="majorHAnsi"/>
          <w:sz w:val="20"/>
          <w:szCs w:val="20"/>
        </w:rPr>
        <w:t>іншим негативним впливом на навколишнє природне</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w:t>
      </w:r>
    </w:p>
    <w:p w14:paraId="68DD1FF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Громадяни</w:t>
      </w:r>
      <w:r w:rsidRPr="000977F7">
        <w:rPr>
          <w:rFonts w:asciiTheme="majorHAnsi" w:hAnsiTheme="majorHAnsi"/>
          <w:spacing w:val="26"/>
          <w:sz w:val="20"/>
          <w:szCs w:val="20"/>
        </w:rPr>
        <w:t xml:space="preserve"> </w:t>
      </w:r>
      <w:r w:rsidRPr="000977F7">
        <w:rPr>
          <w:rFonts w:asciiTheme="majorHAnsi" w:hAnsiTheme="majorHAnsi"/>
          <w:sz w:val="20"/>
          <w:szCs w:val="20"/>
        </w:rPr>
        <w:t>України</w:t>
      </w:r>
      <w:r w:rsidRPr="000977F7">
        <w:rPr>
          <w:rFonts w:asciiTheme="majorHAnsi" w:hAnsiTheme="majorHAnsi"/>
          <w:spacing w:val="24"/>
          <w:sz w:val="20"/>
          <w:szCs w:val="20"/>
        </w:rPr>
        <w:t xml:space="preserve"> </w:t>
      </w:r>
      <w:r w:rsidRPr="000977F7">
        <w:rPr>
          <w:rFonts w:asciiTheme="majorHAnsi" w:hAnsiTheme="majorHAnsi"/>
          <w:sz w:val="20"/>
          <w:szCs w:val="20"/>
        </w:rPr>
        <w:t>зобов'язані</w:t>
      </w:r>
      <w:r w:rsidRPr="000977F7">
        <w:rPr>
          <w:rFonts w:asciiTheme="majorHAnsi" w:hAnsiTheme="majorHAnsi"/>
          <w:spacing w:val="28"/>
          <w:sz w:val="20"/>
          <w:szCs w:val="20"/>
        </w:rPr>
        <w:t xml:space="preserve"> </w:t>
      </w:r>
      <w:r w:rsidRPr="000977F7">
        <w:rPr>
          <w:rFonts w:asciiTheme="majorHAnsi" w:hAnsiTheme="majorHAnsi"/>
          <w:sz w:val="20"/>
          <w:szCs w:val="20"/>
        </w:rPr>
        <w:t>виконувати</w:t>
      </w:r>
      <w:r w:rsidRPr="000977F7">
        <w:rPr>
          <w:rFonts w:asciiTheme="majorHAnsi" w:hAnsiTheme="majorHAnsi"/>
          <w:spacing w:val="26"/>
          <w:sz w:val="20"/>
          <w:szCs w:val="20"/>
        </w:rPr>
        <w:t xml:space="preserve"> </w:t>
      </w:r>
      <w:r w:rsidRPr="000977F7">
        <w:rPr>
          <w:rFonts w:asciiTheme="majorHAnsi" w:hAnsiTheme="majorHAnsi"/>
          <w:sz w:val="20"/>
          <w:szCs w:val="20"/>
        </w:rPr>
        <w:t>й</w:t>
      </w:r>
      <w:r w:rsidRPr="000977F7">
        <w:rPr>
          <w:rFonts w:asciiTheme="majorHAnsi" w:hAnsiTheme="majorHAnsi"/>
          <w:spacing w:val="24"/>
          <w:sz w:val="20"/>
          <w:szCs w:val="20"/>
        </w:rPr>
        <w:t xml:space="preserve"> </w:t>
      </w:r>
      <w:r w:rsidRPr="000977F7">
        <w:rPr>
          <w:rFonts w:asciiTheme="majorHAnsi" w:hAnsiTheme="majorHAnsi"/>
          <w:sz w:val="20"/>
          <w:szCs w:val="20"/>
        </w:rPr>
        <w:t>інші</w:t>
      </w:r>
      <w:r w:rsidRPr="000977F7">
        <w:rPr>
          <w:rFonts w:asciiTheme="majorHAnsi" w:hAnsiTheme="majorHAnsi"/>
          <w:spacing w:val="-47"/>
          <w:sz w:val="20"/>
          <w:szCs w:val="20"/>
        </w:rPr>
        <w:t xml:space="preserve"> </w:t>
      </w:r>
      <w:r w:rsidRPr="000977F7">
        <w:rPr>
          <w:rFonts w:asciiTheme="majorHAnsi" w:hAnsiTheme="majorHAnsi"/>
          <w:sz w:val="20"/>
          <w:szCs w:val="20"/>
        </w:rPr>
        <w:t>обов'язки</w:t>
      </w:r>
      <w:r w:rsidRPr="000977F7">
        <w:rPr>
          <w:rFonts w:asciiTheme="majorHAnsi" w:hAnsiTheme="majorHAnsi"/>
          <w:spacing w:val="14"/>
          <w:sz w:val="20"/>
          <w:szCs w:val="20"/>
        </w:rPr>
        <w:t xml:space="preserve"> </w:t>
      </w:r>
      <w:r w:rsidRPr="000977F7">
        <w:rPr>
          <w:rFonts w:asciiTheme="majorHAnsi" w:hAnsiTheme="majorHAnsi"/>
          <w:sz w:val="20"/>
          <w:szCs w:val="20"/>
        </w:rPr>
        <w:t>у</w:t>
      </w:r>
      <w:r w:rsidRPr="000977F7">
        <w:rPr>
          <w:rFonts w:asciiTheme="majorHAnsi" w:hAnsiTheme="majorHAnsi"/>
          <w:spacing w:val="12"/>
          <w:sz w:val="20"/>
          <w:szCs w:val="20"/>
        </w:rPr>
        <w:t xml:space="preserve"> </w:t>
      </w:r>
      <w:r w:rsidRPr="000977F7">
        <w:rPr>
          <w:rFonts w:asciiTheme="majorHAnsi" w:hAnsiTheme="majorHAnsi"/>
          <w:sz w:val="20"/>
          <w:szCs w:val="20"/>
        </w:rPr>
        <w:t>галузі</w:t>
      </w:r>
      <w:r w:rsidRPr="000977F7">
        <w:rPr>
          <w:rFonts w:asciiTheme="majorHAnsi" w:hAnsiTheme="majorHAnsi"/>
          <w:spacing w:val="13"/>
          <w:sz w:val="20"/>
          <w:szCs w:val="20"/>
        </w:rPr>
        <w:t xml:space="preserve"> </w:t>
      </w:r>
      <w:r w:rsidRPr="000977F7">
        <w:rPr>
          <w:rFonts w:asciiTheme="majorHAnsi" w:hAnsiTheme="majorHAnsi"/>
          <w:sz w:val="20"/>
          <w:szCs w:val="20"/>
        </w:rPr>
        <w:t>охорони</w:t>
      </w:r>
      <w:r w:rsidRPr="000977F7">
        <w:rPr>
          <w:rFonts w:asciiTheme="majorHAnsi" w:hAnsiTheme="majorHAnsi"/>
          <w:spacing w:val="15"/>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13"/>
          <w:sz w:val="20"/>
          <w:szCs w:val="20"/>
        </w:rPr>
        <w:t xml:space="preserve"> </w:t>
      </w:r>
      <w:r w:rsidRPr="000977F7">
        <w:rPr>
          <w:rFonts w:asciiTheme="majorHAnsi" w:hAnsiTheme="majorHAnsi"/>
          <w:sz w:val="20"/>
          <w:szCs w:val="20"/>
        </w:rPr>
        <w:t>природного середовища відповідно до законодавства України</w:t>
      </w:r>
    </w:p>
    <w:p w14:paraId="06206D6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iCs/>
          <w:spacing w:val="1"/>
          <w:sz w:val="20"/>
          <w:szCs w:val="20"/>
        </w:rPr>
        <w:t>Ст. 12</w:t>
      </w:r>
      <w:r w:rsidRPr="000977F7">
        <w:rPr>
          <w:rFonts w:asciiTheme="majorHAnsi" w:hAnsiTheme="majorHAnsi"/>
          <w:spacing w:val="1"/>
          <w:sz w:val="20"/>
          <w:szCs w:val="20"/>
        </w:rPr>
        <w:t xml:space="preserve"> з</w:t>
      </w:r>
      <w:r w:rsidRPr="000977F7">
        <w:rPr>
          <w:rFonts w:asciiTheme="majorHAnsi" w:hAnsiTheme="majorHAnsi"/>
          <w:i/>
          <w:sz w:val="20"/>
          <w:szCs w:val="20"/>
        </w:rPr>
        <w:t>акону</w:t>
      </w:r>
      <w:r w:rsidRPr="000977F7">
        <w:rPr>
          <w:rFonts w:asciiTheme="majorHAnsi" w:hAnsiTheme="majorHAnsi"/>
          <w:i/>
          <w:spacing w:val="13"/>
          <w:sz w:val="20"/>
          <w:szCs w:val="20"/>
        </w:rPr>
        <w:t xml:space="preserve"> </w:t>
      </w:r>
      <w:r w:rsidRPr="000977F7">
        <w:rPr>
          <w:rFonts w:asciiTheme="majorHAnsi" w:hAnsiTheme="majorHAnsi"/>
          <w:i/>
          <w:sz w:val="20"/>
          <w:szCs w:val="20"/>
        </w:rPr>
        <w:t>України "Про</w:t>
      </w:r>
      <w:r w:rsidRPr="000977F7">
        <w:rPr>
          <w:rFonts w:asciiTheme="majorHAnsi" w:hAnsiTheme="majorHAnsi"/>
          <w:i/>
          <w:spacing w:val="14"/>
          <w:sz w:val="20"/>
          <w:szCs w:val="20"/>
        </w:rPr>
        <w:t xml:space="preserve"> </w:t>
      </w:r>
      <w:r w:rsidRPr="000977F7">
        <w:rPr>
          <w:rFonts w:asciiTheme="majorHAnsi" w:hAnsiTheme="majorHAnsi"/>
          <w:i/>
          <w:sz w:val="20"/>
          <w:szCs w:val="20"/>
        </w:rPr>
        <w:t>охорону</w:t>
      </w:r>
      <w:r w:rsidRPr="000977F7">
        <w:rPr>
          <w:rFonts w:asciiTheme="majorHAnsi" w:hAnsiTheme="majorHAnsi"/>
          <w:i/>
          <w:spacing w:val="13"/>
          <w:sz w:val="20"/>
          <w:szCs w:val="20"/>
        </w:rPr>
        <w:t xml:space="preserve"> </w:t>
      </w:r>
      <w:r w:rsidRPr="000977F7">
        <w:rPr>
          <w:rFonts w:asciiTheme="majorHAnsi" w:hAnsiTheme="majorHAnsi"/>
          <w:i/>
          <w:sz w:val="20"/>
          <w:szCs w:val="20"/>
        </w:rPr>
        <w:t>навколишнього</w:t>
      </w:r>
      <w:r w:rsidRPr="000977F7">
        <w:rPr>
          <w:rFonts w:asciiTheme="majorHAnsi" w:hAnsiTheme="majorHAnsi"/>
          <w:i/>
          <w:spacing w:val="14"/>
          <w:sz w:val="20"/>
          <w:szCs w:val="20"/>
        </w:rPr>
        <w:t xml:space="preserve"> </w:t>
      </w:r>
      <w:r w:rsidRPr="000977F7">
        <w:rPr>
          <w:rFonts w:asciiTheme="majorHAnsi" w:hAnsiTheme="majorHAnsi"/>
          <w:i/>
          <w:sz w:val="20"/>
          <w:szCs w:val="20"/>
        </w:rPr>
        <w:t>природного</w:t>
      </w:r>
      <w:r w:rsidRPr="000977F7">
        <w:rPr>
          <w:rFonts w:asciiTheme="majorHAnsi" w:hAnsiTheme="majorHAnsi"/>
          <w:i/>
          <w:spacing w:val="1"/>
          <w:sz w:val="20"/>
          <w:szCs w:val="20"/>
        </w:rPr>
        <w:t xml:space="preserve"> </w:t>
      </w:r>
      <w:r w:rsidRPr="000977F7">
        <w:rPr>
          <w:rFonts w:asciiTheme="majorHAnsi" w:hAnsiTheme="majorHAnsi"/>
          <w:i/>
          <w:sz w:val="20"/>
          <w:szCs w:val="20"/>
        </w:rPr>
        <w:t>середовища"</w:t>
      </w:r>
    </w:p>
    <w:p w14:paraId="2510AE2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ОБОВ'ЯЗКИ І ВІДПОВІДАЛЬНІСТЬ </w:t>
      </w:r>
    </w:p>
    <w:p w14:paraId="0BF5E37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СЛУЖБО</w:t>
      </w:r>
      <w:r w:rsidRPr="000977F7">
        <w:rPr>
          <w:color w:val="auto"/>
          <w:spacing w:val="1"/>
          <w:sz w:val="20"/>
          <w:szCs w:val="20"/>
        </w:rPr>
        <w:t xml:space="preserve"> </w:t>
      </w:r>
      <w:r w:rsidRPr="000977F7">
        <w:rPr>
          <w:color w:val="auto"/>
          <w:sz w:val="20"/>
          <w:szCs w:val="20"/>
        </w:rPr>
        <w:t>ВИХ ОСІБ</w:t>
      </w:r>
      <w:r w:rsidRPr="000977F7">
        <w:rPr>
          <w:color w:val="auto"/>
          <w:spacing w:val="1"/>
          <w:sz w:val="20"/>
          <w:szCs w:val="20"/>
        </w:rPr>
        <w:t xml:space="preserve"> </w:t>
      </w:r>
      <w:r w:rsidRPr="000977F7">
        <w:rPr>
          <w:color w:val="auto"/>
          <w:sz w:val="20"/>
          <w:szCs w:val="20"/>
        </w:rPr>
        <w:t>ОРГАНІВ ВИКОНАВЧОЇ ВЛАДИ,</w:t>
      </w:r>
      <w:r w:rsidRPr="000977F7">
        <w:rPr>
          <w:color w:val="auto"/>
          <w:spacing w:val="1"/>
          <w:sz w:val="20"/>
          <w:szCs w:val="20"/>
        </w:rPr>
        <w:t xml:space="preserve"> </w:t>
      </w:r>
      <w:r w:rsidRPr="000977F7">
        <w:rPr>
          <w:color w:val="auto"/>
          <w:sz w:val="20"/>
          <w:szCs w:val="20"/>
        </w:rPr>
        <w:t>ЯКІ ЗДІЙСНЮЮТЬ ЗАХИСТ ПРАВ СПОЖИВА</w:t>
      </w:r>
      <w:r w:rsidRPr="000977F7">
        <w:rPr>
          <w:color w:val="auto"/>
          <w:spacing w:val="-47"/>
          <w:sz w:val="20"/>
          <w:szCs w:val="20"/>
        </w:rPr>
        <w:t xml:space="preserve"> </w:t>
      </w:r>
      <w:r w:rsidRPr="000977F7">
        <w:rPr>
          <w:color w:val="auto"/>
          <w:sz w:val="20"/>
          <w:szCs w:val="20"/>
        </w:rPr>
        <w:t>ЧІВ –</w:t>
      </w:r>
    </w:p>
    <w:p w14:paraId="73230E4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Службові особи органів виконавчої влади, які здійснюють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захист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споживачів,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зобов'язані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суворо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додержуватися вимог</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законодавства За невиконання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 неналежне виконання службовими особами своїх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обов'язків вони притягаються до відповідальності згідно із законодавством.</w:t>
      </w:r>
    </w:p>
    <w:p w14:paraId="22E7F51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29 закону</w:t>
      </w:r>
      <w:r w:rsidRPr="000977F7">
        <w:rPr>
          <w:rFonts w:asciiTheme="majorHAnsi" w:hAnsiTheme="majorHAnsi"/>
          <w:i/>
          <w:spacing w:val="-9"/>
          <w:sz w:val="20"/>
          <w:szCs w:val="20"/>
        </w:rPr>
        <w:t xml:space="preserve"> </w:t>
      </w:r>
      <w:r w:rsidRPr="000977F7">
        <w:rPr>
          <w:rFonts w:asciiTheme="majorHAnsi" w:hAnsiTheme="majorHAnsi"/>
          <w:i/>
          <w:sz w:val="20"/>
          <w:szCs w:val="20"/>
        </w:rPr>
        <w:t>України "Про</w:t>
      </w:r>
      <w:r w:rsidRPr="000977F7">
        <w:rPr>
          <w:rFonts w:asciiTheme="majorHAnsi" w:hAnsiTheme="majorHAnsi"/>
          <w:i/>
          <w:spacing w:val="-6"/>
          <w:sz w:val="20"/>
          <w:szCs w:val="20"/>
        </w:rPr>
        <w:t xml:space="preserve"> </w:t>
      </w:r>
      <w:r w:rsidRPr="000977F7">
        <w:rPr>
          <w:rFonts w:asciiTheme="majorHAnsi" w:hAnsiTheme="majorHAnsi"/>
          <w:i/>
          <w:sz w:val="20"/>
          <w:szCs w:val="20"/>
        </w:rPr>
        <w:t>захист</w:t>
      </w:r>
      <w:r w:rsidRPr="000977F7">
        <w:rPr>
          <w:rFonts w:asciiTheme="majorHAnsi" w:hAnsiTheme="majorHAnsi"/>
          <w:i/>
          <w:spacing w:val="-10"/>
          <w:sz w:val="20"/>
          <w:szCs w:val="20"/>
        </w:rPr>
        <w:t xml:space="preserve"> </w:t>
      </w:r>
      <w:r w:rsidRPr="000977F7">
        <w:rPr>
          <w:rFonts w:asciiTheme="majorHAnsi" w:hAnsiTheme="majorHAnsi"/>
          <w:i/>
          <w:sz w:val="20"/>
          <w:szCs w:val="20"/>
        </w:rPr>
        <w:t>прав</w:t>
      </w:r>
      <w:r w:rsidRPr="000977F7">
        <w:rPr>
          <w:rFonts w:asciiTheme="majorHAnsi" w:hAnsiTheme="majorHAnsi"/>
          <w:i/>
          <w:spacing w:val="-8"/>
          <w:sz w:val="20"/>
          <w:szCs w:val="20"/>
        </w:rPr>
        <w:t xml:space="preserve"> </w:t>
      </w:r>
      <w:r w:rsidRPr="000977F7">
        <w:rPr>
          <w:rFonts w:asciiTheme="majorHAnsi" w:hAnsiTheme="majorHAnsi"/>
          <w:i/>
          <w:sz w:val="20"/>
          <w:szCs w:val="20"/>
        </w:rPr>
        <w:t>споживачів"</w:t>
      </w:r>
    </w:p>
    <w:p w14:paraId="37B3374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ОБОВ’ЯЗКОВА</w:t>
      </w:r>
      <w:r w:rsidRPr="000977F7">
        <w:rPr>
          <w:color w:val="auto"/>
          <w:spacing w:val="-4"/>
          <w:sz w:val="20"/>
          <w:szCs w:val="20"/>
        </w:rPr>
        <w:t xml:space="preserve"> </w:t>
      </w:r>
      <w:r w:rsidRPr="000977F7">
        <w:rPr>
          <w:color w:val="auto"/>
          <w:sz w:val="20"/>
          <w:szCs w:val="20"/>
        </w:rPr>
        <w:t>ВИМОГА</w:t>
      </w:r>
      <w:r w:rsidRPr="000977F7">
        <w:rPr>
          <w:color w:val="auto"/>
          <w:spacing w:val="-2"/>
          <w:sz w:val="20"/>
          <w:szCs w:val="20"/>
        </w:rPr>
        <w:t xml:space="preserve"> </w:t>
      </w:r>
      <w:r w:rsidRPr="000977F7">
        <w:rPr>
          <w:color w:val="auto"/>
          <w:sz w:val="20"/>
          <w:szCs w:val="20"/>
        </w:rPr>
        <w:t>–</w:t>
      </w:r>
    </w:p>
    <w:p w14:paraId="715C34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EXCLUSIVE</w:t>
      </w:r>
      <w:r w:rsidRPr="000977F7">
        <w:rPr>
          <w:rFonts w:asciiTheme="majorHAnsi" w:hAnsiTheme="majorHAnsi"/>
          <w:spacing w:val="-3"/>
          <w:sz w:val="20"/>
          <w:szCs w:val="20"/>
        </w:rPr>
        <w:t xml:space="preserve"> </w:t>
      </w:r>
      <w:r w:rsidRPr="000977F7">
        <w:rPr>
          <w:rFonts w:asciiTheme="majorHAnsi" w:hAnsiTheme="majorHAnsi"/>
          <w:sz w:val="20"/>
          <w:szCs w:val="20"/>
        </w:rPr>
        <w:t>REQUREMENT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96345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Вимога</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нормативного</w:t>
      </w:r>
      <w:r w:rsidRPr="000977F7">
        <w:rPr>
          <w:rFonts w:asciiTheme="majorHAnsi" w:hAnsiTheme="majorHAnsi"/>
          <w:spacing w:val="1"/>
          <w:sz w:val="20"/>
          <w:szCs w:val="20"/>
        </w:rPr>
        <w:t xml:space="preserve"> </w:t>
      </w:r>
      <w:r w:rsidRPr="000977F7">
        <w:rPr>
          <w:rFonts w:asciiTheme="majorHAnsi" w:hAnsiTheme="majorHAnsi"/>
          <w:sz w:val="20"/>
          <w:szCs w:val="20"/>
        </w:rPr>
        <w:t>документа,</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підлягає</w:t>
      </w:r>
      <w:r w:rsidRPr="000977F7">
        <w:rPr>
          <w:rFonts w:asciiTheme="majorHAnsi" w:hAnsiTheme="majorHAnsi"/>
          <w:spacing w:val="1"/>
          <w:sz w:val="20"/>
          <w:szCs w:val="20"/>
        </w:rPr>
        <w:t xml:space="preserve"> </w:t>
      </w:r>
      <w:r w:rsidRPr="000977F7">
        <w:rPr>
          <w:rFonts w:asciiTheme="majorHAnsi" w:hAnsiTheme="majorHAnsi"/>
          <w:sz w:val="20"/>
          <w:szCs w:val="20"/>
        </w:rPr>
        <w:t>обов’язковому виконанню з метою досягнення відповідності</w:t>
      </w:r>
      <w:r w:rsidRPr="000977F7">
        <w:rPr>
          <w:rFonts w:asciiTheme="majorHAnsi" w:hAnsiTheme="majorHAnsi"/>
          <w:spacing w:val="-2"/>
          <w:sz w:val="20"/>
          <w:szCs w:val="20"/>
        </w:rPr>
        <w:t xml:space="preserve"> </w:t>
      </w:r>
      <w:r w:rsidRPr="000977F7">
        <w:rPr>
          <w:rFonts w:asciiTheme="majorHAnsi" w:hAnsiTheme="majorHAnsi"/>
          <w:sz w:val="20"/>
          <w:szCs w:val="20"/>
        </w:rPr>
        <w:t>цьому</w:t>
      </w:r>
      <w:r w:rsidRPr="000977F7">
        <w:rPr>
          <w:rFonts w:asciiTheme="majorHAnsi" w:hAnsiTheme="majorHAnsi"/>
          <w:spacing w:val="-1"/>
          <w:sz w:val="20"/>
          <w:szCs w:val="20"/>
        </w:rPr>
        <w:t xml:space="preserve"> </w:t>
      </w:r>
      <w:r w:rsidRPr="000977F7">
        <w:rPr>
          <w:rFonts w:asciiTheme="majorHAnsi" w:hAnsiTheme="majorHAnsi"/>
          <w:sz w:val="20"/>
          <w:szCs w:val="20"/>
        </w:rPr>
        <w:t>документу</w:t>
      </w:r>
    </w:p>
    <w:p w14:paraId="70708717"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ОБОВ’ЯЗКОВА</w:t>
      </w:r>
      <w:r w:rsidRPr="000977F7">
        <w:rPr>
          <w:rFonts w:asciiTheme="majorHAnsi" w:hAnsiTheme="majorHAnsi"/>
          <w:b/>
          <w:bCs/>
          <w:spacing w:val="-6"/>
          <w:sz w:val="20"/>
          <w:szCs w:val="20"/>
        </w:rPr>
        <w:t xml:space="preserve"> </w:t>
      </w:r>
      <w:r w:rsidRPr="000977F7">
        <w:rPr>
          <w:rFonts w:asciiTheme="majorHAnsi" w:hAnsiTheme="majorHAnsi"/>
          <w:b/>
          <w:bCs/>
          <w:sz w:val="20"/>
          <w:szCs w:val="20"/>
        </w:rPr>
        <w:t>СЕРТИФІКАЦІЯ</w:t>
      </w:r>
      <w:r w:rsidRPr="000977F7">
        <w:rPr>
          <w:rFonts w:asciiTheme="majorHAnsi" w:hAnsiTheme="majorHAnsi"/>
          <w:b/>
          <w:bCs/>
          <w:spacing w:val="-3"/>
          <w:sz w:val="20"/>
          <w:szCs w:val="20"/>
        </w:rPr>
        <w:t xml:space="preserve"> </w:t>
      </w:r>
      <w:r w:rsidRPr="000977F7">
        <w:rPr>
          <w:rFonts w:asciiTheme="majorHAnsi" w:hAnsiTheme="majorHAnsi"/>
          <w:b/>
          <w:bCs/>
          <w:sz w:val="20"/>
          <w:szCs w:val="20"/>
        </w:rPr>
        <w:t>–</w:t>
      </w:r>
    </w:p>
    <w:p w14:paraId="27FB7F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Сертифікація на відповідність вимогам, які віднесені</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нормативним документом до обов’язкових для виконання</w:t>
      </w:r>
    </w:p>
    <w:p w14:paraId="764BE5D9"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ОБОВ’ЯЗКОВЕ ПОСИЛАННЯ НА</w:t>
      </w:r>
      <w:r w:rsidRPr="000977F7">
        <w:rPr>
          <w:color w:val="auto"/>
          <w:spacing w:val="-47"/>
          <w:sz w:val="20"/>
          <w:szCs w:val="20"/>
        </w:rPr>
        <w:t xml:space="preserve"> </w:t>
      </w:r>
      <w:r w:rsidRPr="000977F7">
        <w:rPr>
          <w:color w:val="auto"/>
          <w:sz w:val="20"/>
          <w:szCs w:val="20"/>
        </w:rPr>
        <w:t xml:space="preserve">СТАНДАРТИ </w:t>
      </w:r>
      <w:r w:rsidRPr="000977F7">
        <w:rPr>
          <w:b w:val="0"/>
          <w:color w:val="auto"/>
          <w:sz w:val="20"/>
          <w:szCs w:val="20"/>
        </w:rPr>
        <w:t>–</w:t>
      </w:r>
    </w:p>
    <w:p w14:paraId="58BDAE9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EXCLUSIVE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REFERENCE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STANDARDS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FE0B5BE" w14:textId="77777777" w:rsidR="0097612F" w:rsidRPr="000977F7" w:rsidRDefault="0097612F" w:rsidP="000977F7">
      <w:pPr>
        <w:pStyle w:val="af6"/>
        <w:tabs>
          <w:tab w:val="left" w:pos="284"/>
        </w:tabs>
        <w:spacing w:after="0"/>
        <w:ind w:left="170"/>
        <w:mirrorIndents/>
        <w:jc w:val="both"/>
        <w:rPr>
          <w:rFonts w:asciiTheme="majorHAnsi" w:hAnsiTheme="majorHAnsi"/>
          <w:spacing w:val="-3"/>
          <w:sz w:val="20"/>
          <w:szCs w:val="20"/>
        </w:rPr>
      </w:pPr>
      <w:r w:rsidRPr="000977F7">
        <w:rPr>
          <w:rFonts w:asciiTheme="majorHAnsi" w:hAnsiTheme="majorHAnsi"/>
          <w:spacing w:val="-2"/>
          <w:sz w:val="20"/>
          <w:szCs w:val="20"/>
        </w:rPr>
        <w:t>Посилання</w:t>
      </w:r>
      <w:r w:rsidRPr="000977F7">
        <w:rPr>
          <w:rFonts w:asciiTheme="majorHAnsi" w:hAnsiTheme="majorHAnsi"/>
          <w:spacing w:val="-9"/>
          <w:sz w:val="20"/>
          <w:szCs w:val="20"/>
        </w:rPr>
        <w:t xml:space="preserve"> </w:t>
      </w:r>
      <w:r w:rsidRPr="000977F7">
        <w:rPr>
          <w:rFonts w:asciiTheme="majorHAnsi" w:hAnsiTheme="majorHAnsi"/>
          <w:spacing w:val="-2"/>
          <w:sz w:val="20"/>
          <w:szCs w:val="20"/>
        </w:rPr>
        <w:t>на</w:t>
      </w:r>
      <w:r w:rsidRPr="000977F7">
        <w:rPr>
          <w:rFonts w:asciiTheme="majorHAnsi" w:hAnsiTheme="majorHAnsi"/>
          <w:spacing w:val="-10"/>
          <w:sz w:val="20"/>
          <w:szCs w:val="20"/>
        </w:rPr>
        <w:t xml:space="preserve"> </w:t>
      </w:r>
      <w:r w:rsidRPr="000977F7">
        <w:rPr>
          <w:rFonts w:asciiTheme="majorHAnsi" w:hAnsiTheme="majorHAnsi"/>
          <w:spacing w:val="-2"/>
          <w:sz w:val="20"/>
          <w:szCs w:val="20"/>
        </w:rPr>
        <w:t>стандарти,</w:t>
      </w:r>
      <w:r w:rsidRPr="000977F7">
        <w:rPr>
          <w:rFonts w:asciiTheme="majorHAnsi" w:hAnsiTheme="majorHAnsi"/>
          <w:spacing w:val="-8"/>
          <w:sz w:val="20"/>
          <w:szCs w:val="20"/>
        </w:rPr>
        <w:t xml:space="preserve"> </w:t>
      </w:r>
      <w:r w:rsidRPr="000977F7">
        <w:rPr>
          <w:rFonts w:asciiTheme="majorHAnsi" w:hAnsiTheme="majorHAnsi"/>
          <w:spacing w:val="-2"/>
          <w:sz w:val="20"/>
          <w:szCs w:val="20"/>
        </w:rPr>
        <w:t>яке</w:t>
      </w:r>
      <w:r w:rsidRPr="000977F7">
        <w:rPr>
          <w:rFonts w:asciiTheme="majorHAnsi" w:hAnsiTheme="majorHAnsi"/>
          <w:spacing w:val="-8"/>
          <w:sz w:val="20"/>
          <w:szCs w:val="20"/>
        </w:rPr>
        <w:t xml:space="preserve"> </w:t>
      </w:r>
      <w:r w:rsidRPr="000977F7">
        <w:rPr>
          <w:rFonts w:asciiTheme="majorHAnsi" w:hAnsiTheme="majorHAnsi"/>
          <w:spacing w:val="-2"/>
          <w:sz w:val="20"/>
          <w:szCs w:val="20"/>
        </w:rPr>
        <w:t>вказує,</w:t>
      </w:r>
      <w:r w:rsidRPr="000977F7">
        <w:rPr>
          <w:rFonts w:asciiTheme="majorHAnsi" w:hAnsiTheme="majorHAnsi"/>
          <w:spacing w:val="-8"/>
          <w:sz w:val="20"/>
          <w:szCs w:val="20"/>
        </w:rPr>
        <w:t xml:space="preserve"> </w:t>
      </w:r>
      <w:r w:rsidRPr="000977F7">
        <w:rPr>
          <w:rFonts w:asciiTheme="majorHAnsi" w:hAnsiTheme="majorHAnsi"/>
          <w:spacing w:val="-2"/>
          <w:sz w:val="20"/>
          <w:szCs w:val="20"/>
        </w:rPr>
        <w:t>що</w:t>
      </w:r>
      <w:r w:rsidRPr="000977F7">
        <w:rPr>
          <w:rFonts w:asciiTheme="majorHAnsi" w:hAnsiTheme="majorHAnsi"/>
          <w:spacing w:val="-9"/>
          <w:sz w:val="20"/>
          <w:szCs w:val="20"/>
        </w:rPr>
        <w:t xml:space="preserve"> </w:t>
      </w:r>
      <w:r w:rsidRPr="000977F7">
        <w:rPr>
          <w:rFonts w:asciiTheme="majorHAnsi" w:hAnsiTheme="majorHAnsi"/>
          <w:spacing w:val="-2"/>
          <w:sz w:val="20"/>
          <w:szCs w:val="20"/>
        </w:rPr>
        <w:t>єдиним</w:t>
      </w:r>
      <w:r w:rsidRPr="000977F7">
        <w:rPr>
          <w:rFonts w:asciiTheme="majorHAnsi" w:hAnsiTheme="majorHAnsi"/>
          <w:spacing w:val="-10"/>
          <w:sz w:val="20"/>
          <w:szCs w:val="20"/>
        </w:rPr>
        <w:t xml:space="preserve"> </w:t>
      </w:r>
      <w:r w:rsidRPr="000977F7">
        <w:rPr>
          <w:rFonts w:asciiTheme="majorHAnsi" w:hAnsiTheme="majorHAnsi"/>
          <w:spacing w:val="-2"/>
          <w:sz w:val="20"/>
          <w:szCs w:val="20"/>
        </w:rPr>
        <w:t>шляхом</w:t>
      </w:r>
      <w:r w:rsidRPr="000977F7">
        <w:rPr>
          <w:rFonts w:asciiTheme="majorHAnsi" w:hAnsiTheme="majorHAnsi"/>
          <w:spacing w:val="-47"/>
          <w:sz w:val="20"/>
          <w:szCs w:val="20"/>
        </w:rPr>
        <w:t xml:space="preserve"> </w:t>
      </w:r>
      <w:r w:rsidRPr="000977F7">
        <w:rPr>
          <w:rFonts w:asciiTheme="majorHAnsi" w:hAnsiTheme="majorHAnsi"/>
          <w:spacing w:val="-1"/>
          <w:sz w:val="20"/>
          <w:szCs w:val="20"/>
        </w:rPr>
        <w:t>досягнення</w:t>
      </w:r>
      <w:r w:rsidRPr="000977F7">
        <w:rPr>
          <w:rFonts w:asciiTheme="majorHAnsi" w:hAnsiTheme="majorHAnsi"/>
          <w:spacing w:val="1"/>
          <w:sz w:val="20"/>
          <w:szCs w:val="20"/>
        </w:rPr>
        <w:t xml:space="preserve"> </w:t>
      </w:r>
      <w:r w:rsidRPr="000977F7">
        <w:rPr>
          <w:rFonts w:asciiTheme="majorHAnsi" w:hAnsiTheme="majorHAnsi"/>
          <w:spacing w:val="-1"/>
          <w:sz w:val="20"/>
          <w:szCs w:val="20"/>
        </w:rPr>
        <w:t>відповідності</w:t>
      </w:r>
      <w:r w:rsidRPr="000977F7">
        <w:rPr>
          <w:rFonts w:asciiTheme="majorHAnsi" w:hAnsiTheme="majorHAnsi"/>
          <w:spacing w:val="2"/>
          <w:sz w:val="20"/>
          <w:szCs w:val="20"/>
        </w:rPr>
        <w:t xml:space="preserve"> </w:t>
      </w:r>
      <w:r w:rsidRPr="000977F7">
        <w:rPr>
          <w:rFonts w:asciiTheme="majorHAnsi" w:hAnsiTheme="majorHAnsi"/>
          <w:spacing w:val="-1"/>
          <w:sz w:val="20"/>
          <w:szCs w:val="20"/>
        </w:rPr>
        <w:t>визначеним</w:t>
      </w:r>
      <w:r w:rsidRPr="000977F7">
        <w:rPr>
          <w:rFonts w:asciiTheme="majorHAnsi" w:hAnsiTheme="majorHAnsi"/>
          <w:spacing w:val="11"/>
          <w:sz w:val="20"/>
          <w:szCs w:val="20"/>
        </w:rPr>
        <w:t xml:space="preserve"> </w:t>
      </w:r>
      <w:r w:rsidRPr="000977F7">
        <w:rPr>
          <w:rFonts w:asciiTheme="majorHAnsi" w:hAnsiTheme="majorHAnsi"/>
          <w:spacing w:val="-1"/>
          <w:sz w:val="20"/>
          <w:szCs w:val="20"/>
        </w:rPr>
        <w:t>вимогам</w:t>
      </w:r>
      <w:r w:rsidRPr="000977F7">
        <w:rPr>
          <w:rFonts w:asciiTheme="majorHAnsi" w:hAnsiTheme="majorHAnsi"/>
          <w:spacing w:val="3"/>
          <w:sz w:val="20"/>
          <w:szCs w:val="20"/>
        </w:rPr>
        <w:t xml:space="preserve"> </w:t>
      </w:r>
      <w:r w:rsidRPr="000977F7">
        <w:rPr>
          <w:rFonts w:asciiTheme="majorHAnsi" w:hAnsiTheme="majorHAnsi"/>
          <w:spacing w:val="-1"/>
          <w:sz w:val="20"/>
          <w:szCs w:val="20"/>
        </w:rPr>
        <w:t>техніч</w:t>
      </w:r>
      <w:r w:rsidRPr="000977F7">
        <w:rPr>
          <w:rFonts w:asciiTheme="majorHAnsi" w:hAnsiTheme="majorHAnsi"/>
          <w:spacing w:val="-4"/>
          <w:sz w:val="20"/>
          <w:szCs w:val="20"/>
        </w:rPr>
        <w:t>ного регламенту є дотримання указаних стандартів</w:t>
      </w:r>
      <w:r w:rsidRPr="000977F7">
        <w:rPr>
          <w:rFonts w:asciiTheme="majorHAnsi" w:hAnsiTheme="majorHAnsi"/>
          <w:spacing w:val="-3"/>
          <w:sz w:val="20"/>
          <w:szCs w:val="20"/>
        </w:rPr>
        <w:t xml:space="preserve"> </w:t>
      </w:r>
    </w:p>
    <w:p w14:paraId="6AA92BC3"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ОБОВ’ЯЗКОВИЙ СТАНДАРТ</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7700CDD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застосування якого є обов’язковим під дією</w:t>
      </w:r>
      <w:r w:rsidRPr="000977F7">
        <w:rPr>
          <w:rFonts w:asciiTheme="majorHAnsi" w:hAnsiTheme="majorHAnsi"/>
          <w:spacing w:val="-47"/>
          <w:sz w:val="20"/>
          <w:szCs w:val="20"/>
        </w:rPr>
        <w:t xml:space="preserve"> </w:t>
      </w:r>
      <w:r w:rsidRPr="000977F7">
        <w:rPr>
          <w:rFonts w:asciiTheme="majorHAnsi" w:hAnsiTheme="majorHAnsi"/>
          <w:sz w:val="20"/>
          <w:szCs w:val="20"/>
        </w:rPr>
        <w:t>основного закону чи неодмінного посилання в регламенті</w:t>
      </w:r>
    </w:p>
    <w:p w14:paraId="74E6014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ОБОВЯЗКИ ПРАЦІВНИКА ЩОДО </w:t>
      </w:r>
    </w:p>
    <w:p w14:paraId="36CB0B8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ДОДЕРЖАННЯ ВИМОГ НОРМАТИВНО ПРАВОВИХ АКТІВ</w:t>
      </w:r>
      <w:r w:rsidRPr="000977F7">
        <w:rPr>
          <w:color w:val="auto"/>
          <w:spacing w:val="1"/>
          <w:sz w:val="20"/>
          <w:szCs w:val="20"/>
        </w:rPr>
        <w:t xml:space="preserve"> </w:t>
      </w:r>
      <w:r w:rsidRPr="000977F7">
        <w:rPr>
          <w:color w:val="auto"/>
          <w:sz w:val="20"/>
          <w:szCs w:val="20"/>
        </w:rPr>
        <w:t>З</w:t>
      </w:r>
      <w:r w:rsidRPr="000977F7">
        <w:rPr>
          <w:color w:val="auto"/>
          <w:spacing w:val="-1"/>
          <w:sz w:val="20"/>
          <w:szCs w:val="20"/>
        </w:rPr>
        <w:t xml:space="preserve"> </w:t>
      </w:r>
      <w:r w:rsidRPr="000977F7">
        <w:rPr>
          <w:color w:val="auto"/>
          <w:sz w:val="20"/>
          <w:szCs w:val="20"/>
        </w:rPr>
        <w:t>ОХОРОНИ</w:t>
      </w:r>
      <w:r w:rsidRPr="000977F7">
        <w:rPr>
          <w:color w:val="auto"/>
          <w:spacing w:val="1"/>
          <w:sz w:val="20"/>
          <w:szCs w:val="20"/>
        </w:rPr>
        <w:t xml:space="preserve"> </w:t>
      </w:r>
      <w:r w:rsidRPr="000977F7">
        <w:rPr>
          <w:color w:val="auto"/>
          <w:sz w:val="20"/>
          <w:szCs w:val="20"/>
        </w:rPr>
        <w:t>ПРАЦІ</w:t>
      </w:r>
      <w:r w:rsidRPr="000977F7">
        <w:rPr>
          <w:color w:val="auto"/>
          <w:spacing w:val="2"/>
          <w:sz w:val="20"/>
          <w:szCs w:val="20"/>
        </w:rPr>
        <w:t xml:space="preserve"> </w:t>
      </w:r>
      <w:r w:rsidRPr="000977F7">
        <w:rPr>
          <w:color w:val="auto"/>
          <w:sz w:val="20"/>
          <w:szCs w:val="20"/>
        </w:rPr>
        <w:t>-</w:t>
      </w:r>
    </w:p>
    <w:p w14:paraId="2686300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Працівник</w:t>
      </w:r>
      <w:r w:rsidRPr="000977F7">
        <w:rPr>
          <w:rFonts w:asciiTheme="majorHAnsi" w:hAnsiTheme="majorHAnsi"/>
          <w:spacing w:val="-7"/>
          <w:sz w:val="20"/>
          <w:szCs w:val="20"/>
        </w:rPr>
        <w:t xml:space="preserve"> </w:t>
      </w:r>
      <w:r w:rsidRPr="000977F7">
        <w:rPr>
          <w:rFonts w:asciiTheme="majorHAnsi" w:hAnsiTheme="majorHAnsi"/>
          <w:sz w:val="20"/>
          <w:szCs w:val="20"/>
        </w:rPr>
        <w:t>зобов'язаний:</w:t>
      </w:r>
    </w:p>
    <w:p w14:paraId="04EE662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дбати про особисту безпеку і здоров'я, а також про</w:t>
      </w:r>
      <w:r w:rsidRPr="000977F7">
        <w:rPr>
          <w:rFonts w:asciiTheme="majorHAnsi" w:hAnsiTheme="majorHAnsi"/>
          <w:spacing w:val="1"/>
          <w:sz w:val="20"/>
          <w:szCs w:val="20"/>
        </w:rPr>
        <w:t xml:space="preserve"> </w:t>
      </w:r>
      <w:r w:rsidRPr="000977F7">
        <w:rPr>
          <w:rFonts w:asciiTheme="majorHAnsi" w:hAnsiTheme="majorHAnsi"/>
          <w:sz w:val="20"/>
          <w:szCs w:val="20"/>
        </w:rPr>
        <w:t>безпеку і здоров'я оточуючих людей в процесі виконання будь-яких робіт чи під час перебування на території</w:t>
      </w:r>
      <w:r w:rsidRPr="000977F7">
        <w:rPr>
          <w:rFonts w:asciiTheme="majorHAnsi" w:hAnsiTheme="majorHAnsi"/>
          <w:spacing w:val="-2"/>
          <w:sz w:val="20"/>
          <w:szCs w:val="20"/>
        </w:rPr>
        <w:t xml:space="preserve"> </w:t>
      </w:r>
      <w:r w:rsidRPr="000977F7">
        <w:rPr>
          <w:rFonts w:asciiTheme="majorHAnsi" w:hAnsiTheme="majorHAnsi"/>
          <w:sz w:val="20"/>
          <w:szCs w:val="20"/>
        </w:rPr>
        <w:t>підприємства;</w:t>
      </w:r>
    </w:p>
    <w:p w14:paraId="48D18A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знати і виконувати вимоги нормативно-правових актів з охорони праці, правила поводження з машинами,</w:t>
      </w:r>
      <w:r w:rsidRPr="000977F7">
        <w:rPr>
          <w:rFonts w:asciiTheme="majorHAnsi" w:hAnsiTheme="majorHAnsi"/>
          <w:spacing w:val="-47"/>
          <w:sz w:val="20"/>
          <w:szCs w:val="20"/>
        </w:rPr>
        <w:t xml:space="preserve"> </w:t>
      </w:r>
      <w:r w:rsidRPr="000977F7">
        <w:rPr>
          <w:rFonts w:asciiTheme="majorHAnsi" w:hAnsiTheme="majorHAnsi"/>
          <w:sz w:val="20"/>
          <w:szCs w:val="20"/>
        </w:rPr>
        <w:t>механізмами, устаткуванням та іншими засобами виробництва, користуватися засобами колективного та</w:t>
      </w:r>
      <w:r w:rsidRPr="000977F7">
        <w:rPr>
          <w:rFonts w:asciiTheme="majorHAnsi" w:hAnsiTheme="majorHAnsi"/>
          <w:spacing w:val="1"/>
          <w:sz w:val="20"/>
          <w:szCs w:val="20"/>
        </w:rPr>
        <w:t xml:space="preserve"> </w:t>
      </w:r>
      <w:r w:rsidRPr="000977F7">
        <w:rPr>
          <w:rFonts w:asciiTheme="majorHAnsi" w:hAnsiTheme="majorHAnsi"/>
          <w:sz w:val="20"/>
          <w:szCs w:val="20"/>
        </w:rPr>
        <w:t>індивідуального захисту;</w:t>
      </w:r>
    </w:p>
    <w:p w14:paraId="29AFFB4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проходити у встановленому законодавством порядку</w:t>
      </w:r>
      <w:r w:rsidRPr="000977F7">
        <w:rPr>
          <w:rFonts w:asciiTheme="majorHAnsi" w:hAnsiTheme="majorHAnsi"/>
          <w:spacing w:val="1"/>
          <w:sz w:val="20"/>
          <w:szCs w:val="20"/>
        </w:rPr>
        <w:t xml:space="preserve"> </w:t>
      </w:r>
      <w:r w:rsidRPr="000977F7">
        <w:rPr>
          <w:rFonts w:asciiTheme="majorHAnsi" w:hAnsiTheme="majorHAnsi"/>
          <w:sz w:val="20"/>
          <w:szCs w:val="20"/>
        </w:rPr>
        <w:t>попередні</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періодичні</w:t>
      </w:r>
      <w:r w:rsidRPr="000977F7">
        <w:rPr>
          <w:rFonts w:asciiTheme="majorHAnsi" w:hAnsiTheme="majorHAnsi"/>
          <w:spacing w:val="-1"/>
          <w:sz w:val="20"/>
          <w:szCs w:val="20"/>
        </w:rPr>
        <w:t xml:space="preserve"> </w:t>
      </w:r>
      <w:r w:rsidRPr="000977F7">
        <w:rPr>
          <w:rFonts w:asciiTheme="majorHAnsi" w:hAnsiTheme="majorHAnsi"/>
          <w:sz w:val="20"/>
          <w:szCs w:val="20"/>
        </w:rPr>
        <w:t>медичні</w:t>
      </w:r>
      <w:r w:rsidRPr="000977F7">
        <w:rPr>
          <w:rFonts w:asciiTheme="majorHAnsi" w:hAnsiTheme="majorHAnsi"/>
          <w:spacing w:val="-2"/>
          <w:sz w:val="20"/>
          <w:szCs w:val="20"/>
        </w:rPr>
        <w:t xml:space="preserve"> </w:t>
      </w:r>
      <w:r w:rsidRPr="000977F7">
        <w:rPr>
          <w:rFonts w:asciiTheme="majorHAnsi" w:hAnsiTheme="majorHAnsi"/>
          <w:sz w:val="20"/>
          <w:szCs w:val="20"/>
        </w:rPr>
        <w:t>огляди.</w:t>
      </w:r>
    </w:p>
    <w:p w14:paraId="5F46CAF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Працівник</w:t>
      </w:r>
      <w:r w:rsidRPr="000977F7">
        <w:rPr>
          <w:rFonts w:asciiTheme="majorHAnsi" w:hAnsiTheme="majorHAnsi"/>
          <w:spacing w:val="1"/>
          <w:sz w:val="20"/>
          <w:szCs w:val="20"/>
        </w:rPr>
        <w:t xml:space="preserve"> </w:t>
      </w:r>
      <w:r w:rsidRPr="000977F7">
        <w:rPr>
          <w:rFonts w:asciiTheme="majorHAnsi" w:hAnsiTheme="majorHAnsi"/>
          <w:sz w:val="20"/>
          <w:szCs w:val="20"/>
        </w:rPr>
        <w:t>несе</w:t>
      </w:r>
      <w:r w:rsidRPr="000977F7">
        <w:rPr>
          <w:rFonts w:asciiTheme="majorHAnsi" w:hAnsiTheme="majorHAnsi"/>
          <w:spacing w:val="1"/>
          <w:sz w:val="20"/>
          <w:szCs w:val="20"/>
        </w:rPr>
        <w:t xml:space="preserve"> </w:t>
      </w:r>
      <w:r w:rsidRPr="000977F7">
        <w:rPr>
          <w:rFonts w:asciiTheme="majorHAnsi" w:hAnsiTheme="majorHAnsi"/>
          <w:sz w:val="20"/>
          <w:szCs w:val="20"/>
        </w:rPr>
        <w:t>безпосередню</w:t>
      </w:r>
      <w:r w:rsidRPr="000977F7">
        <w:rPr>
          <w:rFonts w:asciiTheme="majorHAnsi" w:hAnsiTheme="majorHAnsi"/>
          <w:spacing w:val="1"/>
          <w:sz w:val="20"/>
          <w:szCs w:val="20"/>
        </w:rPr>
        <w:t xml:space="preserve"> </w:t>
      </w:r>
      <w:r w:rsidRPr="000977F7">
        <w:rPr>
          <w:rFonts w:asciiTheme="majorHAnsi" w:hAnsiTheme="majorHAnsi"/>
          <w:sz w:val="20"/>
          <w:szCs w:val="20"/>
        </w:rPr>
        <w:t>відповідальність</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порушення</w:t>
      </w:r>
      <w:r w:rsidRPr="000977F7">
        <w:rPr>
          <w:rFonts w:asciiTheme="majorHAnsi" w:hAnsiTheme="majorHAnsi"/>
          <w:spacing w:val="-2"/>
          <w:sz w:val="20"/>
          <w:szCs w:val="20"/>
        </w:rPr>
        <w:t xml:space="preserve"> </w:t>
      </w:r>
      <w:r w:rsidRPr="000977F7">
        <w:rPr>
          <w:rFonts w:asciiTheme="majorHAnsi" w:hAnsiTheme="majorHAnsi"/>
          <w:sz w:val="20"/>
          <w:szCs w:val="20"/>
        </w:rPr>
        <w:t>зазначених</w:t>
      </w:r>
      <w:r w:rsidRPr="000977F7">
        <w:rPr>
          <w:rFonts w:asciiTheme="majorHAnsi" w:hAnsiTheme="majorHAnsi"/>
          <w:spacing w:val="1"/>
          <w:sz w:val="20"/>
          <w:szCs w:val="20"/>
        </w:rPr>
        <w:t xml:space="preserve"> </w:t>
      </w:r>
      <w:r w:rsidRPr="000977F7">
        <w:rPr>
          <w:rFonts w:asciiTheme="majorHAnsi" w:hAnsiTheme="majorHAnsi"/>
          <w:sz w:val="20"/>
          <w:szCs w:val="20"/>
        </w:rPr>
        <w:t>вимог</w:t>
      </w:r>
    </w:p>
    <w:p w14:paraId="39E49A0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2"/>
          <w:sz w:val="20"/>
          <w:szCs w:val="20"/>
        </w:rPr>
        <w:t xml:space="preserve"> </w:t>
      </w:r>
      <w:r w:rsidRPr="000977F7">
        <w:rPr>
          <w:rFonts w:asciiTheme="majorHAnsi" w:hAnsiTheme="majorHAnsi"/>
          <w:i/>
          <w:sz w:val="20"/>
          <w:szCs w:val="20"/>
        </w:rPr>
        <w:t>14 закону</w:t>
      </w:r>
      <w:r w:rsidRPr="000977F7">
        <w:rPr>
          <w:rFonts w:asciiTheme="majorHAnsi" w:hAnsiTheme="majorHAnsi"/>
          <w:i/>
          <w:spacing w:val="-3"/>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1"/>
          <w:sz w:val="20"/>
          <w:szCs w:val="20"/>
        </w:rPr>
        <w:t xml:space="preserve"> "</w:t>
      </w:r>
      <w:r w:rsidRPr="000977F7">
        <w:rPr>
          <w:rFonts w:asciiTheme="majorHAnsi" w:hAnsiTheme="majorHAnsi"/>
          <w:i/>
          <w:sz w:val="20"/>
          <w:szCs w:val="20"/>
        </w:rPr>
        <w:t>Про</w:t>
      </w:r>
      <w:r w:rsidRPr="000977F7">
        <w:rPr>
          <w:rFonts w:asciiTheme="majorHAnsi" w:hAnsiTheme="majorHAnsi"/>
          <w:i/>
          <w:spacing w:val="-3"/>
          <w:sz w:val="20"/>
          <w:szCs w:val="20"/>
        </w:rPr>
        <w:t xml:space="preserve"> </w:t>
      </w:r>
      <w:r w:rsidRPr="000977F7">
        <w:rPr>
          <w:rFonts w:asciiTheme="majorHAnsi" w:hAnsiTheme="majorHAnsi"/>
          <w:i/>
          <w:sz w:val="20"/>
          <w:szCs w:val="20"/>
        </w:rPr>
        <w:t>охорону</w:t>
      </w:r>
      <w:r w:rsidRPr="000977F7">
        <w:rPr>
          <w:rFonts w:asciiTheme="majorHAnsi" w:hAnsiTheme="majorHAnsi"/>
          <w:i/>
          <w:spacing w:val="-4"/>
          <w:sz w:val="20"/>
          <w:szCs w:val="20"/>
        </w:rPr>
        <w:t xml:space="preserve"> </w:t>
      </w:r>
      <w:r w:rsidRPr="000977F7">
        <w:rPr>
          <w:rFonts w:asciiTheme="majorHAnsi" w:hAnsiTheme="majorHAnsi"/>
          <w:i/>
          <w:sz w:val="20"/>
          <w:szCs w:val="20"/>
        </w:rPr>
        <w:t>праці"</w:t>
      </w:r>
    </w:p>
    <w:p w14:paraId="11F6D36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ОБОЛОНКА</w:t>
      </w:r>
      <w:r w:rsidRPr="000977F7">
        <w:rPr>
          <w:color w:val="auto"/>
          <w:spacing w:val="-2"/>
          <w:sz w:val="20"/>
          <w:szCs w:val="20"/>
        </w:rPr>
        <w:t xml:space="preserve"> </w:t>
      </w:r>
      <w:r w:rsidRPr="000977F7">
        <w:rPr>
          <w:color w:val="auto"/>
          <w:sz w:val="20"/>
          <w:szCs w:val="20"/>
        </w:rPr>
        <w:t>-</w:t>
      </w:r>
    </w:p>
    <w:p w14:paraId="451888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SHELL</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592779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 обмежений двома поверхнями, відстань між</w:t>
      </w:r>
      <w:r w:rsidRPr="000977F7">
        <w:rPr>
          <w:rFonts w:asciiTheme="majorHAnsi" w:hAnsiTheme="majorHAnsi"/>
          <w:spacing w:val="1"/>
          <w:sz w:val="20"/>
          <w:szCs w:val="20"/>
        </w:rPr>
        <w:t xml:space="preserve"> </w:t>
      </w:r>
      <w:r w:rsidRPr="000977F7">
        <w:rPr>
          <w:rFonts w:asciiTheme="majorHAnsi" w:hAnsiTheme="majorHAnsi"/>
          <w:sz w:val="20"/>
          <w:szCs w:val="20"/>
        </w:rPr>
        <w:t>якими</w:t>
      </w:r>
      <w:r w:rsidRPr="000977F7">
        <w:rPr>
          <w:rFonts w:asciiTheme="majorHAnsi" w:hAnsiTheme="majorHAnsi"/>
          <w:spacing w:val="-2"/>
          <w:sz w:val="20"/>
          <w:szCs w:val="20"/>
        </w:rPr>
        <w:t xml:space="preserve"> </w:t>
      </w:r>
      <w:r w:rsidRPr="000977F7">
        <w:rPr>
          <w:rFonts w:asciiTheme="majorHAnsi" w:hAnsiTheme="majorHAnsi"/>
          <w:sz w:val="20"/>
          <w:szCs w:val="20"/>
        </w:rPr>
        <w:t>значно менша</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інших його розмірів</w:t>
      </w:r>
    </w:p>
    <w:p w14:paraId="5A6E8CC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2825 – 94</w:t>
      </w:r>
    </w:p>
    <w:p w14:paraId="5E1BB2D7"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ОБРОБЛЕННЯ –</w:t>
      </w:r>
      <w:r w:rsidRPr="000977F7">
        <w:rPr>
          <w:rFonts w:asciiTheme="majorHAnsi" w:hAnsiTheme="majorHAnsi"/>
          <w:b/>
          <w:spacing w:val="-47"/>
          <w:sz w:val="20"/>
          <w:szCs w:val="20"/>
        </w:rPr>
        <w:t xml:space="preserve"> </w:t>
      </w:r>
    </w:p>
    <w:p w14:paraId="67A8C84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WORKING –</w:t>
      </w:r>
    </w:p>
    <w:p w14:paraId="51194F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w:t>
      </w:r>
      <w:r w:rsidRPr="000977F7">
        <w:rPr>
          <w:rFonts w:asciiTheme="majorHAnsi" w:hAnsiTheme="majorHAnsi"/>
          <w:spacing w:val="4"/>
          <w:sz w:val="20"/>
          <w:szCs w:val="20"/>
        </w:rPr>
        <w:t xml:space="preserve"> </w:t>
      </w:r>
      <w:r w:rsidRPr="000977F7">
        <w:rPr>
          <w:rFonts w:asciiTheme="majorHAnsi" w:hAnsiTheme="majorHAnsi"/>
          <w:sz w:val="20"/>
          <w:szCs w:val="20"/>
        </w:rPr>
        <w:t>спрямована</w:t>
      </w:r>
      <w:r w:rsidRPr="000977F7">
        <w:rPr>
          <w:rFonts w:asciiTheme="majorHAnsi" w:hAnsiTheme="majorHAnsi"/>
          <w:spacing w:val="4"/>
          <w:sz w:val="20"/>
          <w:szCs w:val="20"/>
        </w:rPr>
        <w:t xml:space="preserve"> </w:t>
      </w:r>
      <w:r w:rsidRPr="000977F7">
        <w:rPr>
          <w:rFonts w:asciiTheme="majorHAnsi" w:hAnsiTheme="majorHAnsi"/>
          <w:sz w:val="20"/>
          <w:szCs w:val="20"/>
        </w:rPr>
        <w:t>на</w:t>
      </w:r>
      <w:r w:rsidRPr="000977F7">
        <w:rPr>
          <w:rFonts w:asciiTheme="majorHAnsi" w:hAnsiTheme="majorHAnsi"/>
          <w:spacing w:val="4"/>
          <w:sz w:val="20"/>
          <w:szCs w:val="20"/>
        </w:rPr>
        <w:t xml:space="preserve"> </w:t>
      </w:r>
      <w:r w:rsidRPr="000977F7">
        <w:rPr>
          <w:rFonts w:asciiTheme="majorHAnsi" w:hAnsiTheme="majorHAnsi"/>
          <w:sz w:val="20"/>
          <w:szCs w:val="20"/>
        </w:rPr>
        <w:t>зміну</w:t>
      </w:r>
      <w:r w:rsidRPr="000977F7">
        <w:rPr>
          <w:rFonts w:asciiTheme="majorHAnsi" w:hAnsiTheme="majorHAnsi"/>
          <w:spacing w:val="3"/>
          <w:sz w:val="20"/>
          <w:szCs w:val="20"/>
        </w:rPr>
        <w:t xml:space="preserve"> </w:t>
      </w:r>
      <w:r w:rsidRPr="000977F7">
        <w:rPr>
          <w:rFonts w:asciiTheme="majorHAnsi" w:hAnsiTheme="majorHAnsi"/>
          <w:sz w:val="20"/>
          <w:szCs w:val="20"/>
        </w:rPr>
        <w:t>властивостей</w:t>
      </w:r>
      <w:r w:rsidRPr="000977F7">
        <w:rPr>
          <w:rFonts w:asciiTheme="majorHAnsi" w:hAnsiTheme="majorHAnsi"/>
          <w:spacing w:val="3"/>
          <w:sz w:val="20"/>
          <w:szCs w:val="20"/>
        </w:rPr>
        <w:t xml:space="preserve"> </w:t>
      </w:r>
      <w:r w:rsidRPr="000977F7">
        <w:rPr>
          <w:rFonts w:asciiTheme="majorHAnsi" w:hAnsiTheme="majorHAnsi"/>
          <w:sz w:val="20"/>
          <w:szCs w:val="20"/>
        </w:rPr>
        <w:t>предметів</w:t>
      </w:r>
      <w:r w:rsidRPr="000977F7">
        <w:rPr>
          <w:rFonts w:asciiTheme="majorHAnsi" w:hAnsiTheme="majorHAnsi"/>
          <w:spacing w:val="6"/>
          <w:sz w:val="20"/>
          <w:szCs w:val="20"/>
        </w:rPr>
        <w:t xml:space="preserve"> </w:t>
      </w:r>
      <w:r w:rsidRPr="000977F7">
        <w:rPr>
          <w:rFonts w:asciiTheme="majorHAnsi" w:hAnsiTheme="majorHAnsi"/>
          <w:sz w:val="20"/>
          <w:szCs w:val="20"/>
        </w:rPr>
        <w:t>праці</w:t>
      </w:r>
      <w:r w:rsidRPr="000977F7">
        <w:rPr>
          <w:rFonts w:asciiTheme="majorHAnsi" w:hAnsiTheme="majorHAnsi"/>
          <w:spacing w:val="-2"/>
          <w:sz w:val="20"/>
          <w:szCs w:val="20"/>
        </w:rPr>
        <w:t xml:space="preserve"> </w:t>
      </w:r>
      <w:r w:rsidRPr="000977F7">
        <w:rPr>
          <w:rFonts w:asciiTheme="majorHAnsi" w:hAnsiTheme="majorHAnsi"/>
          <w:sz w:val="20"/>
          <w:szCs w:val="20"/>
        </w:rPr>
        <w:t>під</w:t>
      </w:r>
      <w:r w:rsidRPr="000977F7">
        <w:rPr>
          <w:rFonts w:asciiTheme="majorHAnsi" w:hAnsiTheme="majorHAnsi"/>
          <w:spacing w:val="-2"/>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2"/>
          <w:sz w:val="20"/>
          <w:szCs w:val="20"/>
        </w:rPr>
        <w:t xml:space="preserve"> </w:t>
      </w:r>
      <w:r w:rsidRPr="000977F7">
        <w:rPr>
          <w:rFonts w:asciiTheme="majorHAnsi" w:hAnsiTheme="majorHAnsi"/>
          <w:sz w:val="20"/>
          <w:szCs w:val="20"/>
        </w:rPr>
        <w:t>технологічного процесу</w:t>
      </w:r>
    </w:p>
    <w:p w14:paraId="530207D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0FF3A8C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Абразивне – різанням абразивним інструментом</w:t>
      </w:r>
      <w:r w:rsidRPr="000977F7">
        <w:rPr>
          <w:rFonts w:asciiTheme="majorHAnsi" w:hAnsiTheme="majorHAnsi"/>
          <w:spacing w:val="1"/>
          <w:sz w:val="20"/>
          <w:szCs w:val="20"/>
        </w:rPr>
        <w:t xml:space="preserve"> </w:t>
      </w:r>
      <w:r w:rsidRPr="000977F7">
        <w:rPr>
          <w:rFonts w:asciiTheme="majorHAnsi" w:hAnsiTheme="majorHAnsi"/>
          <w:sz w:val="20"/>
          <w:szCs w:val="20"/>
        </w:rPr>
        <w:t>Абразивно-імпульсне</w:t>
      </w:r>
      <w:r w:rsidRPr="000977F7">
        <w:rPr>
          <w:rFonts w:asciiTheme="majorHAnsi" w:hAnsiTheme="majorHAnsi"/>
          <w:spacing w:val="35"/>
          <w:sz w:val="20"/>
          <w:szCs w:val="20"/>
        </w:rPr>
        <w:t xml:space="preserve"> </w:t>
      </w:r>
      <w:r w:rsidRPr="000977F7">
        <w:rPr>
          <w:rFonts w:asciiTheme="majorHAnsi" w:hAnsiTheme="majorHAnsi"/>
          <w:sz w:val="20"/>
          <w:szCs w:val="20"/>
        </w:rPr>
        <w:t>–</w:t>
      </w:r>
      <w:r w:rsidRPr="000977F7">
        <w:rPr>
          <w:rFonts w:asciiTheme="majorHAnsi" w:hAnsiTheme="majorHAnsi"/>
          <w:spacing w:val="36"/>
          <w:sz w:val="20"/>
          <w:szCs w:val="20"/>
        </w:rPr>
        <w:t xml:space="preserve"> </w:t>
      </w:r>
      <w:r w:rsidRPr="000977F7">
        <w:rPr>
          <w:rFonts w:asciiTheme="majorHAnsi" w:hAnsiTheme="majorHAnsi"/>
          <w:sz w:val="20"/>
          <w:szCs w:val="20"/>
        </w:rPr>
        <w:t>різанням</w:t>
      </w:r>
      <w:r w:rsidRPr="000977F7">
        <w:rPr>
          <w:rFonts w:asciiTheme="majorHAnsi" w:hAnsiTheme="majorHAnsi"/>
          <w:spacing w:val="35"/>
          <w:sz w:val="20"/>
          <w:szCs w:val="20"/>
        </w:rPr>
        <w:t xml:space="preserve"> </w:t>
      </w:r>
      <w:r w:rsidRPr="000977F7">
        <w:rPr>
          <w:rFonts w:asciiTheme="majorHAnsi" w:hAnsiTheme="majorHAnsi"/>
          <w:sz w:val="20"/>
          <w:szCs w:val="20"/>
        </w:rPr>
        <w:t>абразивним</w:t>
      </w:r>
      <w:r w:rsidRPr="000977F7">
        <w:rPr>
          <w:rFonts w:asciiTheme="majorHAnsi" w:hAnsiTheme="majorHAnsi"/>
          <w:spacing w:val="36"/>
          <w:sz w:val="20"/>
          <w:szCs w:val="20"/>
        </w:rPr>
        <w:t xml:space="preserve"> </w:t>
      </w:r>
      <w:r w:rsidRPr="000977F7">
        <w:rPr>
          <w:rFonts w:asciiTheme="majorHAnsi" w:hAnsiTheme="majorHAnsi"/>
          <w:sz w:val="20"/>
          <w:szCs w:val="20"/>
        </w:rPr>
        <w:t>інструментом,</w:t>
      </w:r>
      <w:r w:rsidRPr="000977F7">
        <w:rPr>
          <w:rFonts w:asciiTheme="majorHAnsi" w:hAnsiTheme="majorHAnsi"/>
          <w:spacing w:val="36"/>
          <w:sz w:val="20"/>
          <w:szCs w:val="20"/>
        </w:rPr>
        <w:t xml:space="preserve"> </w:t>
      </w:r>
      <w:r w:rsidRPr="000977F7">
        <w:rPr>
          <w:rFonts w:asciiTheme="majorHAnsi" w:hAnsiTheme="majorHAnsi"/>
          <w:sz w:val="20"/>
          <w:szCs w:val="20"/>
        </w:rPr>
        <w:t>який</w:t>
      </w:r>
      <w:r w:rsidRPr="000977F7">
        <w:rPr>
          <w:rFonts w:asciiTheme="majorHAnsi" w:hAnsiTheme="majorHAnsi"/>
          <w:spacing w:val="36"/>
          <w:sz w:val="20"/>
          <w:szCs w:val="20"/>
        </w:rPr>
        <w:t xml:space="preserve"> </w:t>
      </w:r>
      <w:r w:rsidRPr="000977F7">
        <w:rPr>
          <w:rFonts w:asciiTheme="majorHAnsi" w:hAnsiTheme="majorHAnsi"/>
          <w:sz w:val="20"/>
          <w:szCs w:val="20"/>
        </w:rPr>
        <w:t>створює</w:t>
      </w:r>
      <w:r w:rsidRPr="000977F7">
        <w:rPr>
          <w:rFonts w:asciiTheme="majorHAnsi" w:hAnsiTheme="majorHAnsi"/>
          <w:spacing w:val="36"/>
          <w:sz w:val="20"/>
          <w:szCs w:val="20"/>
        </w:rPr>
        <w:t xml:space="preserve"> </w:t>
      </w:r>
      <w:r w:rsidRPr="000977F7">
        <w:rPr>
          <w:rFonts w:asciiTheme="majorHAnsi" w:hAnsiTheme="majorHAnsi"/>
          <w:sz w:val="20"/>
          <w:szCs w:val="20"/>
        </w:rPr>
        <w:t>механічний</w:t>
      </w:r>
      <w:r w:rsidRPr="000977F7">
        <w:rPr>
          <w:rFonts w:asciiTheme="majorHAnsi" w:hAnsiTheme="majorHAnsi"/>
          <w:spacing w:val="39"/>
          <w:sz w:val="20"/>
          <w:szCs w:val="20"/>
        </w:rPr>
        <w:t xml:space="preserve"> </w:t>
      </w:r>
      <w:r w:rsidRPr="000977F7">
        <w:rPr>
          <w:rFonts w:asciiTheme="majorHAnsi" w:hAnsiTheme="majorHAnsi"/>
          <w:sz w:val="20"/>
          <w:szCs w:val="20"/>
        </w:rPr>
        <w:t>ударний</w:t>
      </w:r>
      <w:r w:rsidRPr="000977F7">
        <w:rPr>
          <w:rFonts w:asciiTheme="majorHAnsi" w:hAnsiTheme="majorHAnsi"/>
          <w:spacing w:val="36"/>
          <w:sz w:val="20"/>
          <w:szCs w:val="20"/>
        </w:rPr>
        <w:t xml:space="preserve"> </w:t>
      </w:r>
      <w:r w:rsidRPr="000977F7">
        <w:rPr>
          <w:rFonts w:asciiTheme="majorHAnsi" w:hAnsiTheme="majorHAnsi"/>
          <w:sz w:val="20"/>
          <w:szCs w:val="20"/>
        </w:rPr>
        <w:t>імпульсний</w:t>
      </w:r>
      <w:r w:rsidRPr="000977F7">
        <w:rPr>
          <w:rFonts w:asciiTheme="majorHAnsi" w:hAnsiTheme="majorHAnsi"/>
          <w:spacing w:val="-2"/>
          <w:sz w:val="20"/>
          <w:szCs w:val="20"/>
        </w:rPr>
        <w:t xml:space="preserve"> </w:t>
      </w:r>
      <w:r w:rsidRPr="000977F7">
        <w:rPr>
          <w:rFonts w:asciiTheme="majorHAnsi" w:hAnsiTheme="majorHAnsi"/>
          <w:sz w:val="20"/>
          <w:szCs w:val="20"/>
        </w:rPr>
        <w:t>вплив</w:t>
      </w:r>
    </w:p>
    <w:p w14:paraId="119EED2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2"/>
          <w:sz w:val="20"/>
          <w:szCs w:val="20"/>
        </w:rPr>
        <w:t>Алмазне</w:t>
      </w:r>
      <w:r w:rsidRPr="000977F7">
        <w:rPr>
          <w:rFonts w:asciiTheme="majorHAnsi" w:hAnsiTheme="majorHAnsi"/>
          <w:spacing w:val="-10"/>
          <w:sz w:val="20"/>
          <w:szCs w:val="20"/>
        </w:rPr>
        <w:t xml:space="preserve"> </w:t>
      </w:r>
      <w:r w:rsidRPr="000977F7">
        <w:rPr>
          <w:rFonts w:asciiTheme="majorHAnsi" w:hAnsiTheme="majorHAnsi"/>
          <w:spacing w:val="-2"/>
          <w:sz w:val="20"/>
          <w:szCs w:val="20"/>
        </w:rPr>
        <w:t>–</w:t>
      </w:r>
      <w:r w:rsidRPr="000977F7">
        <w:rPr>
          <w:rFonts w:asciiTheme="majorHAnsi" w:hAnsiTheme="majorHAnsi"/>
          <w:spacing w:val="-9"/>
          <w:sz w:val="20"/>
          <w:szCs w:val="20"/>
        </w:rPr>
        <w:t xml:space="preserve"> </w:t>
      </w:r>
      <w:r w:rsidRPr="000977F7">
        <w:rPr>
          <w:rFonts w:asciiTheme="majorHAnsi" w:hAnsiTheme="majorHAnsi"/>
          <w:spacing w:val="-2"/>
          <w:sz w:val="20"/>
          <w:szCs w:val="20"/>
        </w:rPr>
        <w:t>різанням</w:t>
      </w:r>
      <w:r w:rsidRPr="000977F7">
        <w:rPr>
          <w:rFonts w:asciiTheme="majorHAnsi" w:hAnsiTheme="majorHAnsi"/>
          <w:spacing w:val="-6"/>
          <w:sz w:val="20"/>
          <w:szCs w:val="20"/>
        </w:rPr>
        <w:t xml:space="preserve"> </w:t>
      </w:r>
      <w:r w:rsidRPr="000977F7">
        <w:rPr>
          <w:rFonts w:asciiTheme="majorHAnsi" w:hAnsiTheme="majorHAnsi"/>
          <w:spacing w:val="-1"/>
          <w:sz w:val="20"/>
          <w:szCs w:val="20"/>
        </w:rPr>
        <w:t>алмазним</w:t>
      </w:r>
      <w:r w:rsidRPr="000977F7">
        <w:rPr>
          <w:rFonts w:asciiTheme="majorHAnsi" w:hAnsiTheme="majorHAnsi"/>
          <w:spacing w:val="-9"/>
          <w:sz w:val="20"/>
          <w:szCs w:val="20"/>
        </w:rPr>
        <w:t xml:space="preserve"> </w:t>
      </w:r>
      <w:r w:rsidRPr="000977F7">
        <w:rPr>
          <w:rFonts w:asciiTheme="majorHAnsi" w:hAnsiTheme="majorHAnsi"/>
          <w:spacing w:val="-1"/>
          <w:sz w:val="20"/>
          <w:szCs w:val="20"/>
        </w:rPr>
        <w:t>інструментом</w:t>
      </w:r>
    </w:p>
    <w:p w14:paraId="18FCCB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Анодно-гідравлічне</w:t>
      </w:r>
      <w:r w:rsidRPr="000977F7">
        <w:rPr>
          <w:rFonts w:asciiTheme="majorHAnsi" w:hAnsiTheme="majorHAnsi"/>
          <w:spacing w:val="-10"/>
          <w:sz w:val="20"/>
          <w:szCs w:val="20"/>
        </w:rPr>
        <w:t xml:space="preserve"> </w:t>
      </w:r>
      <w:r w:rsidRPr="000977F7">
        <w:rPr>
          <w:rFonts w:asciiTheme="majorHAnsi" w:hAnsiTheme="majorHAnsi"/>
          <w:sz w:val="20"/>
          <w:szCs w:val="20"/>
        </w:rPr>
        <w:t>–</w:t>
      </w:r>
      <w:r w:rsidRPr="000977F7">
        <w:rPr>
          <w:rFonts w:asciiTheme="majorHAnsi" w:hAnsiTheme="majorHAnsi"/>
          <w:spacing w:val="-9"/>
          <w:sz w:val="20"/>
          <w:szCs w:val="20"/>
        </w:rPr>
        <w:t xml:space="preserve"> </w:t>
      </w:r>
      <w:r w:rsidRPr="000977F7">
        <w:rPr>
          <w:rFonts w:asciiTheme="majorHAnsi" w:hAnsiTheme="majorHAnsi"/>
          <w:sz w:val="20"/>
          <w:szCs w:val="20"/>
        </w:rPr>
        <w:t>електрохімічне</w:t>
      </w:r>
      <w:r w:rsidRPr="000977F7">
        <w:rPr>
          <w:rFonts w:asciiTheme="majorHAnsi" w:hAnsiTheme="majorHAnsi"/>
          <w:spacing w:val="-8"/>
          <w:sz w:val="20"/>
          <w:szCs w:val="20"/>
        </w:rPr>
        <w:t xml:space="preserve"> </w:t>
      </w:r>
      <w:r w:rsidRPr="000977F7">
        <w:rPr>
          <w:rFonts w:asciiTheme="majorHAnsi" w:hAnsiTheme="majorHAnsi"/>
          <w:sz w:val="20"/>
          <w:szCs w:val="20"/>
        </w:rPr>
        <w:t>з</w:t>
      </w:r>
      <w:r w:rsidRPr="000977F7">
        <w:rPr>
          <w:rFonts w:asciiTheme="majorHAnsi" w:hAnsiTheme="majorHAnsi"/>
          <w:spacing w:val="-9"/>
          <w:sz w:val="20"/>
          <w:szCs w:val="20"/>
        </w:rPr>
        <w:t xml:space="preserve"> </w:t>
      </w:r>
      <w:r w:rsidRPr="000977F7">
        <w:rPr>
          <w:rFonts w:asciiTheme="majorHAnsi" w:hAnsiTheme="majorHAnsi"/>
          <w:sz w:val="20"/>
          <w:szCs w:val="20"/>
        </w:rPr>
        <w:t>впровадженням</w:t>
      </w:r>
      <w:r w:rsidRPr="000977F7">
        <w:rPr>
          <w:rFonts w:asciiTheme="majorHAnsi" w:hAnsiTheme="majorHAnsi"/>
          <w:spacing w:val="-48"/>
          <w:sz w:val="20"/>
          <w:szCs w:val="20"/>
        </w:rPr>
        <w:t xml:space="preserve"> </w:t>
      </w:r>
      <w:r w:rsidRPr="000977F7">
        <w:rPr>
          <w:rFonts w:asciiTheme="majorHAnsi" w:hAnsiTheme="majorHAnsi"/>
          <w:sz w:val="20"/>
          <w:szCs w:val="20"/>
        </w:rPr>
        <w:t>продуктів</w:t>
      </w:r>
      <w:r w:rsidRPr="000977F7">
        <w:rPr>
          <w:rFonts w:asciiTheme="majorHAnsi" w:hAnsiTheme="majorHAnsi"/>
          <w:spacing w:val="-10"/>
          <w:sz w:val="20"/>
          <w:szCs w:val="20"/>
        </w:rPr>
        <w:t xml:space="preserve"> </w:t>
      </w:r>
      <w:r w:rsidRPr="000977F7">
        <w:rPr>
          <w:rFonts w:asciiTheme="majorHAnsi" w:hAnsiTheme="majorHAnsi"/>
          <w:sz w:val="20"/>
          <w:szCs w:val="20"/>
        </w:rPr>
        <w:t>розпаду</w:t>
      </w:r>
      <w:r w:rsidRPr="000977F7">
        <w:rPr>
          <w:rFonts w:asciiTheme="majorHAnsi" w:hAnsiTheme="majorHAnsi"/>
          <w:spacing w:val="-9"/>
          <w:sz w:val="20"/>
          <w:szCs w:val="20"/>
        </w:rPr>
        <w:t xml:space="preserve"> </w:t>
      </w:r>
      <w:r w:rsidRPr="000977F7">
        <w:rPr>
          <w:rFonts w:asciiTheme="majorHAnsi" w:hAnsiTheme="majorHAnsi"/>
          <w:sz w:val="20"/>
          <w:szCs w:val="20"/>
        </w:rPr>
        <w:t>потоком</w:t>
      </w:r>
      <w:r w:rsidRPr="000977F7">
        <w:rPr>
          <w:rFonts w:asciiTheme="majorHAnsi" w:hAnsiTheme="majorHAnsi"/>
          <w:spacing w:val="-7"/>
          <w:sz w:val="20"/>
          <w:szCs w:val="20"/>
        </w:rPr>
        <w:t xml:space="preserve"> </w:t>
      </w:r>
      <w:r w:rsidRPr="000977F7">
        <w:rPr>
          <w:rFonts w:asciiTheme="majorHAnsi" w:hAnsiTheme="majorHAnsi"/>
          <w:sz w:val="20"/>
          <w:szCs w:val="20"/>
        </w:rPr>
        <w:t>електроліту,</w:t>
      </w:r>
      <w:r w:rsidRPr="000977F7">
        <w:rPr>
          <w:rFonts w:asciiTheme="majorHAnsi" w:hAnsiTheme="majorHAnsi"/>
          <w:spacing w:val="-7"/>
          <w:sz w:val="20"/>
          <w:szCs w:val="20"/>
        </w:rPr>
        <w:t xml:space="preserve"> </w:t>
      </w:r>
      <w:r w:rsidRPr="000977F7">
        <w:rPr>
          <w:rFonts w:asciiTheme="majorHAnsi" w:hAnsiTheme="majorHAnsi"/>
          <w:sz w:val="20"/>
          <w:szCs w:val="20"/>
        </w:rPr>
        <w:t>який</w:t>
      </w:r>
      <w:r w:rsidRPr="000977F7">
        <w:rPr>
          <w:rFonts w:asciiTheme="majorHAnsi" w:hAnsiTheme="majorHAnsi"/>
          <w:spacing w:val="-8"/>
          <w:sz w:val="20"/>
          <w:szCs w:val="20"/>
        </w:rPr>
        <w:t xml:space="preserve"> </w:t>
      </w:r>
      <w:r w:rsidRPr="000977F7">
        <w:rPr>
          <w:rFonts w:asciiTheme="majorHAnsi" w:hAnsiTheme="majorHAnsi"/>
          <w:sz w:val="20"/>
          <w:szCs w:val="20"/>
        </w:rPr>
        <w:t>прокачується</w:t>
      </w:r>
      <w:r w:rsidRPr="000977F7">
        <w:rPr>
          <w:rFonts w:asciiTheme="majorHAnsi" w:hAnsiTheme="majorHAnsi"/>
          <w:spacing w:val="-6"/>
          <w:sz w:val="20"/>
          <w:szCs w:val="20"/>
        </w:rPr>
        <w:t xml:space="preserve"> </w:t>
      </w:r>
      <w:r w:rsidRPr="000977F7">
        <w:rPr>
          <w:rFonts w:asciiTheme="majorHAnsi" w:hAnsiTheme="majorHAnsi"/>
          <w:sz w:val="20"/>
          <w:szCs w:val="20"/>
        </w:rPr>
        <w:t>через</w:t>
      </w:r>
      <w:r w:rsidRPr="000977F7">
        <w:rPr>
          <w:rFonts w:asciiTheme="majorHAnsi" w:hAnsiTheme="majorHAnsi"/>
          <w:spacing w:val="-5"/>
          <w:sz w:val="20"/>
          <w:szCs w:val="20"/>
        </w:rPr>
        <w:t xml:space="preserve"> </w:t>
      </w:r>
      <w:r w:rsidRPr="000977F7">
        <w:rPr>
          <w:rFonts w:asciiTheme="majorHAnsi" w:hAnsiTheme="majorHAnsi"/>
          <w:sz w:val="20"/>
          <w:szCs w:val="20"/>
        </w:rPr>
        <w:t>зону</w:t>
      </w:r>
      <w:r w:rsidRPr="000977F7">
        <w:rPr>
          <w:rFonts w:asciiTheme="majorHAnsi" w:hAnsiTheme="majorHAnsi"/>
          <w:spacing w:val="-6"/>
          <w:sz w:val="20"/>
          <w:szCs w:val="20"/>
        </w:rPr>
        <w:t xml:space="preserve"> </w:t>
      </w:r>
      <w:r w:rsidRPr="000977F7">
        <w:rPr>
          <w:rFonts w:asciiTheme="majorHAnsi" w:hAnsiTheme="majorHAnsi"/>
          <w:sz w:val="20"/>
          <w:szCs w:val="20"/>
        </w:rPr>
        <w:t>обробки</w:t>
      </w:r>
    </w:p>
    <w:p w14:paraId="351BDC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Анодно-механічне – електрохімічне з механічним видаленням</w:t>
      </w:r>
      <w:r w:rsidRPr="000977F7">
        <w:rPr>
          <w:rFonts w:asciiTheme="majorHAnsi" w:hAnsiTheme="majorHAnsi"/>
          <w:spacing w:val="-5"/>
          <w:sz w:val="20"/>
          <w:szCs w:val="20"/>
        </w:rPr>
        <w:t xml:space="preserve"> </w:t>
      </w:r>
      <w:r w:rsidRPr="000977F7">
        <w:rPr>
          <w:rFonts w:asciiTheme="majorHAnsi" w:hAnsiTheme="majorHAnsi"/>
          <w:sz w:val="20"/>
          <w:szCs w:val="20"/>
        </w:rPr>
        <w:t>продуктів</w:t>
      </w:r>
      <w:r w:rsidRPr="000977F7">
        <w:rPr>
          <w:rFonts w:asciiTheme="majorHAnsi" w:hAnsiTheme="majorHAnsi"/>
          <w:spacing w:val="-6"/>
          <w:sz w:val="20"/>
          <w:szCs w:val="20"/>
        </w:rPr>
        <w:t xml:space="preserve"> </w:t>
      </w:r>
      <w:r w:rsidRPr="000977F7">
        <w:rPr>
          <w:rFonts w:asciiTheme="majorHAnsi" w:hAnsiTheme="majorHAnsi"/>
          <w:sz w:val="20"/>
          <w:szCs w:val="20"/>
        </w:rPr>
        <w:t>розпаду</w:t>
      </w:r>
    </w:p>
    <w:p w14:paraId="08E1BA9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Антикорозійне – покриття виробів тонким шаром металу, фарби, окисів або резини для захисту від корозії,</w:t>
      </w:r>
      <w:r w:rsidRPr="000977F7">
        <w:rPr>
          <w:rFonts w:asciiTheme="majorHAnsi" w:hAnsiTheme="majorHAnsi"/>
          <w:spacing w:val="-47"/>
          <w:sz w:val="20"/>
          <w:szCs w:val="20"/>
        </w:rPr>
        <w:t xml:space="preserve"> </w:t>
      </w:r>
      <w:r w:rsidRPr="000977F7">
        <w:rPr>
          <w:rFonts w:asciiTheme="majorHAnsi" w:hAnsiTheme="majorHAnsi"/>
          <w:sz w:val="20"/>
          <w:szCs w:val="20"/>
        </w:rPr>
        <w:t>впливу зовнішнього середовища та придання їм декоративного</w:t>
      </w:r>
      <w:r w:rsidRPr="000977F7">
        <w:rPr>
          <w:rFonts w:asciiTheme="majorHAnsi" w:hAnsiTheme="majorHAnsi"/>
          <w:spacing w:val="-5"/>
          <w:sz w:val="20"/>
          <w:szCs w:val="20"/>
        </w:rPr>
        <w:t xml:space="preserve"> </w:t>
      </w:r>
      <w:r w:rsidRPr="000977F7">
        <w:rPr>
          <w:rFonts w:asciiTheme="majorHAnsi" w:hAnsiTheme="majorHAnsi"/>
          <w:sz w:val="20"/>
          <w:szCs w:val="20"/>
        </w:rPr>
        <w:t>вигляду</w:t>
      </w:r>
    </w:p>
    <w:p w14:paraId="56BF444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Без зняття стружки – оброблення металів пластичним</w:t>
      </w:r>
      <w:r w:rsidRPr="000977F7">
        <w:rPr>
          <w:rFonts w:asciiTheme="majorHAnsi" w:hAnsiTheme="majorHAnsi"/>
          <w:spacing w:val="1"/>
          <w:sz w:val="20"/>
          <w:szCs w:val="20"/>
        </w:rPr>
        <w:t xml:space="preserve"> </w:t>
      </w:r>
      <w:r w:rsidRPr="000977F7">
        <w:rPr>
          <w:rFonts w:asciiTheme="majorHAnsi" w:hAnsiTheme="majorHAnsi"/>
          <w:sz w:val="20"/>
          <w:szCs w:val="20"/>
        </w:rPr>
        <w:t>деформуванням,</w:t>
      </w:r>
      <w:r w:rsidRPr="000977F7">
        <w:rPr>
          <w:rFonts w:asciiTheme="majorHAnsi" w:hAnsiTheme="majorHAnsi"/>
          <w:spacing w:val="-7"/>
          <w:sz w:val="20"/>
          <w:szCs w:val="20"/>
        </w:rPr>
        <w:t xml:space="preserve"> </w:t>
      </w:r>
      <w:r w:rsidRPr="000977F7">
        <w:rPr>
          <w:rFonts w:asciiTheme="majorHAnsi" w:hAnsiTheme="majorHAnsi"/>
          <w:sz w:val="20"/>
          <w:szCs w:val="20"/>
        </w:rPr>
        <w:t>в</w:t>
      </w:r>
      <w:r w:rsidRPr="000977F7">
        <w:rPr>
          <w:rFonts w:asciiTheme="majorHAnsi" w:hAnsiTheme="majorHAnsi"/>
          <w:spacing w:val="-6"/>
          <w:sz w:val="20"/>
          <w:szCs w:val="20"/>
        </w:rPr>
        <w:t xml:space="preserve"> </w:t>
      </w:r>
      <w:r w:rsidRPr="000977F7">
        <w:rPr>
          <w:rFonts w:asciiTheme="majorHAnsi" w:hAnsiTheme="majorHAnsi"/>
          <w:sz w:val="20"/>
          <w:szCs w:val="20"/>
        </w:rPr>
        <w:t>тому</w:t>
      </w:r>
      <w:r w:rsidRPr="000977F7">
        <w:rPr>
          <w:rFonts w:asciiTheme="majorHAnsi" w:hAnsiTheme="majorHAnsi"/>
          <w:spacing w:val="-9"/>
          <w:sz w:val="20"/>
          <w:szCs w:val="20"/>
        </w:rPr>
        <w:t xml:space="preserve"> </w:t>
      </w:r>
      <w:r w:rsidRPr="000977F7">
        <w:rPr>
          <w:rFonts w:asciiTheme="majorHAnsi" w:hAnsiTheme="majorHAnsi"/>
          <w:sz w:val="20"/>
          <w:szCs w:val="20"/>
        </w:rPr>
        <w:t>числі</w:t>
      </w:r>
      <w:r w:rsidRPr="000977F7">
        <w:rPr>
          <w:rFonts w:asciiTheme="majorHAnsi" w:hAnsiTheme="majorHAnsi"/>
          <w:spacing w:val="-7"/>
          <w:sz w:val="20"/>
          <w:szCs w:val="20"/>
        </w:rPr>
        <w:t xml:space="preserve"> </w:t>
      </w:r>
      <w:r w:rsidRPr="000977F7">
        <w:rPr>
          <w:rFonts w:asciiTheme="majorHAnsi" w:hAnsiTheme="majorHAnsi"/>
          <w:sz w:val="20"/>
          <w:szCs w:val="20"/>
        </w:rPr>
        <w:t>поверхневим</w:t>
      </w:r>
    </w:p>
    <w:p w14:paraId="02AA944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Вібраційне</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різання</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додатковими</w:t>
      </w:r>
      <w:r w:rsidRPr="000977F7">
        <w:rPr>
          <w:rFonts w:asciiTheme="majorHAnsi" w:hAnsiTheme="majorHAnsi"/>
          <w:spacing w:val="1"/>
          <w:sz w:val="20"/>
          <w:szCs w:val="20"/>
        </w:rPr>
        <w:t xml:space="preserve"> </w:t>
      </w:r>
      <w:r w:rsidRPr="000977F7">
        <w:rPr>
          <w:rFonts w:asciiTheme="majorHAnsi" w:hAnsiTheme="majorHAnsi"/>
          <w:sz w:val="20"/>
          <w:szCs w:val="20"/>
        </w:rPr>
        <w:t>коливальними</w:t>
      </w:r>
      <w:r w:rsidRPr="000977F7">
        <w:rPr>
          <w:rFonts w:asciiTheme="majorHAnsi" w:hAnsiTheme="majorHAnsi"/>
          <w:spacing w:val="1"/>
          <w:sz w:val="20"/>
          <w:szCs w:val="20"/>
        </w:rPr>
        <w:t xml:space="preserve"> </w:t>
      </w:r>
      <w:r w:rsidRPr="000977F7">
        <w:rPr>
          <w:rFonts w:asciiTheme="majorHAnsi" w:hAnsiTheme="majorHAnsi"/>
          <w:sz w:val="20"/>
          <w:szCs w:val="20"/>
        </w:rPr>
        <w:t>рухами</w:t>
      </w:r>
    </w:p>
    <w:p w14:paraId="650775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Вихорокопіювальне</w:t>
      </w:r>
      <w:r w:rsidRPr="000977F7">
        <w:rPr>
          <w:rFonts w:asciiTheme="majorHAnsi" w:hAnsiTheme="majorHAnsi"/>
          <w:spacing w:val="-11"/>
          <w:sz w:val="20"/>
          <w:szCs w:val="20"/>
        </w:rPr>
        <w:t xml:space="preserve"> </w:t>
      </w:r>
      <w:r w:rsidRPr="000977F7">
        <w:rPr>
          <w:rFonts w:asciiTheme="majorHAnsi" w:hAnsiTheme="majorHAnsi"/>
          <w:sz w:val="20"/>
          <w:szCs w:val="20"/>
        </w:rPr>
        <w:t>–</w:t>
      </w:r>
      <w:r w:rsidRPr="000977F7">
        <w:rPr>
          <w:rFonts w:asciiTheme="majorHAnsi" w:hAnsiTheme="majorHAnsi"/>
          <w:spacing w:val="-9"/>
          <w:sz w:val="20"/>
          <w:szCs w:val="20"/>
        </w:rPr>
        <w:t xml:space="preserve"> </w:t>
      </w:r>
      <w:r w:rsidRPr="000977F7">
        <w:rPr>
          <w:rFonts w:asciiTheme="majorHAnsi" w:hAnsiTheme="majorHAnsi"/>
          <w:sz w:val="20"/>
          <w:szCs w:val="20"/>
        </w:rPr>
        <w:t>різанням,</w:t>
      </w:r>
      <w:r w:rsidRPr="000977F7">
        <w:rPr>
          <w:rFonts w:asciiTheme="majorHAnsi" w:hAnsiTheme="majorHAnsi"/>
          <w:spacing w:val="-10"/>
          <w:sz w:val="20"/>
          <w:szCs w:val="20"/>
        </w:rPr>
        <w:t xml:space="preserve"> </w:t>
      </w:r>
      <w:r w:rsidRPr="000977F7">
        <w:rPr>
          <w:rFonts w:asciiTheme="majorHAnsi" w:hAnsiTheme="majorHAnsi"/>
          <w:sz w:val="20"/>
          <w:szCs w:val="20"/>
        </w:rPr>
        <w:t>при</w:t>
      </w:r>
      <w:r w:rsidRPr="000977F7">
        <w:rPr>
          <w:rFonts w:asciiTheme="majorHAnsi" w:hAnsiTheme="majorHAnsi"/>
          <w:spacing w:val="-10"/>
          <w:sz w:val="20"/>
          <w:szCs w:val="20"/>
        </w:rPr>
        <w:t xml:space="preserve"> </w:t>
      </w:r>
      <w:r w:rsidRPr="000977F7">
        <w:rPr>
          <w:rFonts w:asciiTheme="majorHAnsi" w:hAnsiTheme="majorHAnsi"/>
          <w:sz w:val="20"/>
          <w:szCs w:val="20"/>
        </w:rPr>
        <w:t>якому</w:t>
      </w:r>
      <w:r w:rsidRPr="000977F7">
        <w:rPr>
          <w:rFonts w:asciiTheme="majorHAnsi" w:hAnsiTheme="majorHAnsi"/>
          <w:spacing w:val="-11"/>
          <w:sz w:val="20"/>
          <w:szCs w:val="20"/>
        </w:rPr>
        <w:t xml:space="preserve"> </w:t>
      </w:r>
      <w:r w:rsidRPr="000977F7">
        <w:rPr>
          <w:rFonts w:asciiTheme="majorHAnsi" w:hAnsiTheme="majorHAnsi"/>
          <w:sz w:val="20"/>
          <w:szCs w:val="20"/>
        </w:rPr>
        <w:t>на</w:t>
      </w:r>
      <w:r w:rsidRPr="000977F7">
        <w:rPr>
          <w:rFonts w:asciiTheme="majorHAnsi" w:hAnsiTheme="majorHAnsi"/>
          <w:spacing w:val="-11"/>
          <w:sz w:val="20"/>
          <w:szCs w:val="20"/>
        </w:rPr>
        <w:t xml:space="preserve"> </w:t>
      </w:r>
      <w:r w:rsidRPr="000977F7">
        <w:rPr>
          <w:rFonts w:asciiTheme="majorHAnsi" w:hAnsiTheme="majorHAnsi"/>
          <w:sz w:val="20"/>
          <w:szCs w:val="20"/>
        </w:rPr>
        <w:t>заготовці</w:t>
      </w:r>
      <w:r w:rsidRPr="000977F7">
        <w:rPr>
          <w:rFonts w:asciiTheme="majorHAnsi" w:hAnsiTheme="majorHAnsi"/>
          <w:spacing w:val="-47"/>
          <w:sz w:val="20"/>
          <w:szCs w:val="20"/>
        </w:rPr>
        <w:t xml:space="preserve"> </w:t>
      </w:r>
      <w:r w:rsidRPr="000977F7">
        <w:rPr>
          <w:rFonts w:asciiTheme="majorHAnsi" w:hAnsiTheme="majorHAnsi"/>
          <w:sz w:val="20"/>
          <w:szCs w:val="20"/>
        </w:rPr>
        <w:t>копіюється</w:t>
      </w:r>
      <w:r w:rsidRPr="000977F7">
        <w:rPr>
          <w:rFonts w:asciiTheme="majorHAnsi" w:hAnsiTheme="majorHAnsi"/>
          <w:spacing w:val="-8"/>
          <w:sz w:val="20"/>
          <w:szCs w:val="20"/>
        </w:rPr>
        <w:t xml:space="preserve"> </w:t>
      </w:r>
      <w:r w:rsidRPr="000977F7">
        <w:rPr>
          <w:rFonts w:asciiTheme="majorHAnsi" w:hAnsiTheme="majorHAnsi"/>
          <w:sz w:val="20"/>
          <w:szCs w:val="20"/>
        </w:rPr>
        <w:t>об’ємна</w:t>
      </w:r>
      <w:r w:rsidRPr="000977F7">
        <w:rPr>
          <w:rFonts w:asciiTheme="majorHAnsi" w:hAnsiTheme="majorHAnsi"/>
          <w:spacing w:val="-6"/>
          <w:sz w:val="20"/>
          <w:szCs w:val="20"/>
        </w:rPr>
        <w:t xml:space="preserve"> </w:t>
      </w:r>
      <w:r w:rsidRPr="000977F7">
        <w:rPr>
          <w:rFonts w:asciiTheme="majorHAnsi" w:hAnsiTheme="majorHAnsi"/>
          <w:sz w:val="20"/>
          <w:szCs w:val="20"/>
        </w:rPr>
        <w:t>форма</w:t>
      </w:r>
      <w:r w:rsidRPr="000977F7">
        <w:rPr>
          <w:rFonts w:asciiTheme="majorHAnsi" w:hAnsiTheme="majorHAnsi"/>
          <w:spacing w:val="-6"/>
          <w:sz w:val="20"/>
          <w:szCs w:val="20"/>
        </w:rPr>
        <w:t xml:space="preserve"> </w:t>
      </w:r>
      <w:r w:rsidRPr="000977F7">
        <w:rPr>
          <w:rFonts w:asciiTheme="majorHAnsi" w:hAnsiTheme="majorHAnsi"/>
          <w:sz w:val="20"/>
          <w:szCs w:val="20"/>
        </w:rPr>
        <w:t>інструмента,</w:t>
      </w:r>
      <w:r w:rsidRPr="000977F7">
        <w:rPr>
          <w:rFonts w:asciiTheme="majorHAnsi" w:hAnsiTheme="majorHAnsi"/>
          <w:spacing w:val="-7"/>
          <w:sz w:val="20"/>
          <w:szCs w:val="20"/>
        </w:rPr>
        <w:t xml:space="preserve"> </w:t>
      </w:r>
      <w:r w:rsidRPr="000977F7">
        <w:rPr>
          <w:rFonts w:asciiTheme="majorHAnsi" w:hAnsiTheme="majorHAnsi"/>
          <w:sz w:val="20"/>
          <w:szCs w:val="20"/>
        </w:rPr>
        <w:t>розміщеного</w:t>
      </w:r>
      <w:r w:rsidRPr="000977F7">
        <w:rPr>
          <w:rFonts w:asciiTheme="majorHAnsi" w:hAnsiTheme="majorHAnsi"/>
          <w:spacing w:val="-5"/>
          <w:sz w:val="20"/>
          <w:szCs w:val="20"/>
        </w:rPr>
        <w:t xml:space="preserve"> </w:t>
      </w:r>
      <w:r w:rsidRPr="000977F7">
        <w:rPr>
          <w:rFonts w:asciiTheme="majorHAnsi" w:hAnsiTheme="majorHAnsi"/>
          <w:sz w:val="20"/>
          <w:szCs w:val="20"/>
        </w:rPr>
        <w:t>в</w:t>
      </w:r>
      <w:r w:rsidRPr="000977F7">
        <w:rPr>
          <w:rFonts w:asciiTheme="majorHAnsi" w:hAnsiTheme="majorHAnsi"/>
          <w:spacing w:val="-48"/>
          <w:sz w:val="20"/>
          <w:szCs w:val="20"/>
        </w:rPr>
        <w:t xml:space="preserve"> </w:t>
      </w:r>
      <w:r w:rsidRPr="000977F7">
        <w:rPr>
          <w:rFonts w:asciiTheme="majorHAnsi" w:hAnsiTheme="majorHAnsi"/>
          <w:sz w:val="20"/>
          <w:szCs w:val="20"/>
        </w:rPr>
        <w:t>ексцентрично розташованій головці, яка здійснює коливання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площині,</w:t>
      </w:r>
      <w:r w:rsidRPr="000977F7">
        <w:rPr>
          <w:rFonts w:asciiTheme="majorHAnsi" w:hAnsiTheme="majorHAnsi"/>
          <w:spacing w:val="1"/>
          <w:sz w:val="20"/>
          <w:szCs w:val="20"/>
        </w:rPr>
        <w:t xml:space="preserve"> </w:t>
      </w:r>
      <w:r w:rsidRPr="000977F7">
        <w:rPr>
          <w:rFonts w:asciiTheme="majorHAnsi" w:hAnsiTheme="majorHAnsi"/>
          <w:sz w:val="20"/>
          <w:szCs w:val="20"/>
        </w:rPr>
        <w:t>перпендикулярній направленню</w:t>
      </w:r>
      <w:r w:rsidRPr="000977F7">
        <w:rPr>
          <w:rFonts w:asciiTheme="majorHAnsi" w:hAnsiTheme="majorHAnsi"/>
          <w:spacing w:val="1"/>
          <w:sz w:val="20"/>
          <w:szCs w:val="20"/>
        </w:rPr>
        <w:t xml:space="preserve"> </w:t>
      </w:r>
      <w:r w:rsidRPr="000977F7">
        <w:rPr>
          <w:rFonts w:asciiTheme="majorHAnsi" w:hAnsiTheme="majorHAnsi"/>
          <w:sz w:val="20"/>
          <w:szCs w:val="20"/>
        </w:rPr>
        <w:t>зближення</w:t>
      </w:r>
      <w:r w:rsidRPr="000977F7">
        <w:rPr>
          <w:rFonts w:asciiTheme="majorHAnsi" w:hAnsiTheme="majorHAnsi"/>
          <w:spacing w:val="-7"/>
          <w:sz w:val="20"/>
          <w:szCs w:val="20"/>
        </w:rPr>
        <w:t xml:space="preserve"> </w:t>
      </w:r>
      <w:r w:rsidRPr="000977F7">
        <w:rPr>
          <w:rFonts w:asciiTheme="majorHAnsi" w:hAnsiTheme="majorHAnsi"/>
          <w:sz w:val="20"/>
          <w:szCs w:val="20"/>
        </w:rPr>
        <w:t>інструмента</w:t>
      </w:r>
      <w:r w:rsidRPr="000977F7">
        <w:rPr>
          <w:rFonts w:asciiTheme="majorHAnsi" w:hAnsiTheme="majorHAnsi"/>
          <w:spacing w:val="-6"/>
          <w:sz w:val="20"/>
          <w:szCs w:val="20"/>
        </w:rPr>
        <w:t xml:space="preserve"> </w:t>
      </w:r>
      <w:r w:rsidRPr="000977F7">
        <w:rPr>
          <w:rFonts w:asciiTheme="majorHAnsi" w:hAnsiTheme="majorHAnsi"/>
          <w:sz w:val="20"/>
          <w:szCs w:val="20"/>
        </w:rPr>
        <w:t>з</w:t>
      </w:r>
      <w:r w:rsidRPr="000977F7">
        <w:rPr>
          <w:rFonts w:asciiTheme="majorHAnsi" w:hAnsiTheme="majorHAnsi"/>
          <w:spacing w:val="-6"/>
          <w:sz w:val="20"/>
          <w:szCs w:val="20"/>
        </w:rPr>
        <w:t xml:space="preserve"> </w:t>
      </w:r>
      <w:r w:rsidRPr="000977F7">
        <w:rPr>
          <w:rFonts w:asciiTheme="majorHAnsi" w:hAnsiTheme="majorHAnsi"/>
          <w:sz w:val="20"/>
          <w:szCs w:val="20"/>
        </w:rPr>
        <w:t>заготовкою</w:t>
      </w:r>
    </w:p>
    <w:p w14:paraId="6A247C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Гідроабразивне – очищення поверхонь деталей струмом</w:t>
      </w:r>
      <w:r w:rsidRPr="000977F7">
        <w:rPr>
          <w:rFonts w:asciiTheme="majorHAnsi" w:hAnsiTheme="majorHAnsi"/>
          <w:spacing w:val="-7"/>
          <w:sz w:val="20"/>
          <w:szCs w:val="20"/>
        </w:rPr>
        <w:t xml:space="preserve"> </w:t>
      </w:r>
      <w:r w:rsidRPr="000977F7">
        <w:rPr>
          <w:rFonts w:asciiTheme="majorHAnsi" w:hAnsiTheme="majorHAnsi"/>
          <w:sz w:val="20"/>
          <w:szCs w:val="20"/>
        </w:rPr>
        <w:t>рідини,</w:t>
      </w:r>
      <w:r w:rsidRPr="000977F7">
        <w:rPr>
          <w:rFonts w:asciiTheme="majorHAnsi" w:hAnsiTheme="majorHAnsi"/>
          <w:spacing w:val="-6"/>
          <w:sz w:val="20"/>
          <w:szCs w:val="20"/>
        </w:rPr>
        <w:t xml:space="preserve"> </w:t>
      </w:r>
      <w:r w:rsidRPr="000977F7">
        <w:rPr>
          <w:rFonts w:asciiTheme="majorHAnsi" w:hAnsiTheme="majorHAnsi"/>
          <w:sz w:val="20"/>
          <w:szCs w:val="20"/>
        </w:rPr>
        <w:t>яка</w:t>
      </w:r>
      <w:r w:rsidRPr="000977F7">
        <w:rPr>
          <w:rFonts w:asciiTheme="majorHAnsi" w:hAnsiTheme="majorHAnsi"/>
          <w:spacing w:val="-7"/>
          <w:sz w:val="20"/>
          <w:szCs w:val="20"/>
        </w:rPr>
        <w:t xml:space="preserve"> </w:t>
      </w:r>
      <w:r w:rsidRPr="000977F7">
        <w:rPr>
          <w:rFonts w:asciiTheme="majorHAnsi" w:hAnsiTheme="majorHAnsi"/>
          <w:sz w:val="20"/>
          <w:szCs w:val="20"/>
        </w:rPr>
        <w:t>містить</w:t>
      </w:r>
      <w:r w:rsidRPr="000977F7">
        <w:rPr>
          <w:rFonts w:asciiTheme="majorHAnsi" w:hAnsiTheme="majorHAnsi"/>
          <w:spacing w:val="-4"/>
          <w:sz w:val="20"/>
          <w:szCs w:val="20"/>
        </w:rPr>
        <w:t xml:space="preserve"> </w:t>
      </w:r>
      <w:r w:rsidRPr="000977F7">
        <w:rPr>
          <w:rFonts w:asciiTheme="majorHAnsi" w:hAnsiTheme="majorHAnsi"/>
          <w:sz w:val="20"/>
          <w:szCs w:val="20"/>
        </w:rPr>
        <w:t>абразивні</w:t>
      </w:r>
      <w:r w:rsidRPr="000977F7">
        <w:rPr>
          <w:rFonts w:asciiTheme="majorHAnsi" w:hAnsiTheme="majorHAnsi"/>
          <w:spacing w:val="-5"/>
          <w:sz w:val="20"/>
          <w:szCs w:val="20"/>
        </w:rPr>
        <w:t xml:space="preserve"> </w:t>
      </w:r>
      <w:r w:rsidRPr="000977F7">
        <w:rPr>
          <w:rFonts w:asciiTheme="majorHAnsi" w:hAnsiTheme="majorHAnsi"/>
          <w:sz w:val="20"/>
          <w:szCs w:val="20"/>
        </w:rPr>
        <w:t>частки</w:t>
      </w:r>
    </w:p>
    <w:p w14:paraId="14CFF0F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Гаряче</w:t>
      </w:r>
      <w:r w:rsidRPr="000977F7">
        <w:rPr>
          <w:rFonts w:asciiTheme="majorHAnsi" w:hAnsiTheme="majorHAnsi"/>
          <w:spacing w:val="-7"/>
          <w:sz w:val="20"/>
          <w:szCs w:val="20"/>
        </w:rPr>
        <w:t xml:space="preserve"> </w:t>
      </w:r>
      <w:r w:rsidRPr="000977F7">
        <w:rPr>
          <w:rFonts w:asciiTheme="majorHAnsi" w:hAnsiTheme="majorHAnsi"/>
          <w:sz w:val="20"/>
          <w:szCs w:val="20"/>
        </w:rPr>
        <w:t>оброблення</w:t>
      </w:r>
      <w:r w:rsidRPr="000977F7">
        <w:rPr>
          <w:rFonts w:asciiTheme="majorHAnsi" w:hAnsiTheme="majorHAnsi"/>
          <w:spacing w:val="-8"/>
          <w:sz w:val="20"/>
          <w:szCs w:val="20"/>
        </w:rPr>
        <w:t xml:space="preserve"> </w:t>
      </w:r>
      <w:r w:rsidRPr="000977F7">
        <w:rPr>
          <w:rFonts w:asciiTheme="majorHAnsi" w:hAnsiTheme="majorHAnsi"/>
          <w:sz w:val="20"/>
          <w:szCs w:val="20"/>
        </w:rPr>
        <w:t>металів</w:t>
      </w:r>
      <w:r w:rsidRPr="000977F7">
        <w:rPr>
          <w:rFonts w:asciiTheme="majorHAnsi" w:hAnsiTheme="majorHAnsi"/>
          <w:spacing w:val="-5"/>
          <w:sz w:val="20"/>
          <w:szCs w:val="20"/>
        </w:rPr>
        <w:t xml:space="preserve"> </w:t>
      </w:r>
      <w:r w:rsidRPr="000977F7">
        <w:rPr>
          <w:rFonts w:asciiTheme="majorHAnsi" w:hAnsiTheme="majorHAnsi"/>
          <w:sz w:val="20"/>
          <w:szCs w:val="20"/>
        </w:rPr>
        <w:t>тиском</w:t>
      </w:r>
      <w:r w:rsidRPr="000977F7">
        <w:rPr>
          <w:rFonts w:asciiTheme="majorHAnsi" w:hAnsiTheme="majorHAnsi"/>
          <w:spacing w:val="-6"/>
          <w:sz w:val="20"/>
          <w:szCs w:val="20"/>
        </w:rPr>
        <w:t xml:space="preserve"> </w:t>
      </w:r>
      <w:r w:rsidRPr="000977F7">
        <w:rPr>
          <w:rFonts w:asciiTheme="majorHAnsi" w:hAnsiTheme="majorHAnsi"/>
          <w:sz w:val="20"/>
          <w:szCs w:val="20"/>
        </w:rPr>
        <w:t>–</w:t>
      </w:r>
      <w:r w:rsidRPr="000977F7">
        <w:rPr>
          <w:rFonts w:asciiTheme="majorHAnsi" w:hAnsiTheme="majorHAnsi"/>
          <w:spacing w:val="-6"/>
          <w:sz w:val="20"/>
          <w:szCs w:val="20"/>
        </w:rPr>
        <w:t xml:space="preserve"> </w:t>
      </w:r>
      <w:r w:rsidRPr="000977F7">
        <w:rPr>
          <w:rFonts w:asciiTheme="majorHAnsi" w:hAnsiTheme="majorHAnsi"/>
          <w:sz w:val="20"/>
          <w:szCs w:val="20"/>
        </w:rPr>
        <w:t>при</w:t>
      </w:r>
      <w:r w:rsidRPr="000977F7">
        <w:rPr>
          <w:rFonts w:asciiTheme="majorHAnsi" w:hAnsiTheme="majorHAnsi"/>
          <w:spacing w:val="-8"/>
          <w:sz w:val="20"/>
          <w:szCs w:val="20"/>
        </w:rPr>
        <w:t xml:space="preserve"> </w:t>
      </w:r>
      <w:r w:rsidRPr="000977F7">
        <w:rPr>
          <w:rFonts w:asciiTheme="majorHAnsi" w:hAnsiTheme="majorHAnsi"/>
          <w:sz w:val="20"/>
          <w:szCs w:val="20"/>
        </w:rPr>
        <w:t>температурах</w:t>
      </w:r>
      <w:r w:rsidRPr="000977F7">
        <w:rPr>
          <w:rFonts w:asciiTheme="majorHAnsi" w:hAnsiTheme="majorHAnsi"/>
          <w:spacing w:val="-47"/>
          <w:sz w:val="20"/>
          <w:szCs w:val="20"/>
        </w:rPr>
        <w:t xml:space="preserve"> </w:t>
      </w:r>
      <w:r w:rsidRPr="000977F7">
        <w:rPr>
          <w:rFonts w:asciiTheme="majorHAnsi" w:hAnsiTheme="majorHAnsi"/>
          <w:sz w:val="20"/>
          <w:szCs w:val="20"/>
        </w:rPr>
        <w:t>вище</w:t>
      </w:r>
      <w:r w:rsidRPr="000977F7">
        <w:rPr>
          <w:rFonts w:asciiTheme="majorHAnsi" w:hAnsiTheme="majorHAnsi"/>
          <w:spacing w:val="-7"/>
          <w:sz w:val="20"/>
          <w:szCs w:val="20"/>
        </w:rPr>
        <w:t xml:space="preserve"> </w:t>
      </w:r>
      <w:r w:rsidRPr="000977F7">
        <w:rPr>
          <w:rFonts w:asciiTheme="majorHAnsi" w:hAnsiTheme="majorHAnsi"/>
          <w:sz w:val="20"/>
          <w:szCs w:val="20"/>
        </w:rPr>
        <w:t>температур</w:t>
      </w:r>
      <w:r w:rsidRPr="000977F7">
        <w:rPr>
          <w:rFonts w:asciiTheme="majorHAnsi" w:hAnsiTheme="majorHAnsi"/>
          <w:spacing w:val="-6"/>
          <w:sz w:val="20"/>
          <w:szCs w:val="20"/>
        </w:rPr>
        <w:t xml:space="preserve"> </w:t>
      </w:r>
      <w:r w:rsidRPr="000977F7">
        <w:rPr>
          <w:rFonts w:asciiTheme="majorHAnsi" w:hAnsiTheme="majorHAnsi"/>
          <w:sz w:val="20"/>
          <w:szCs w:val="20"/>
        </w:rPr>
        <w:t>рекристалізації</w:t>
      </w:r>
      <w:r w:rsidRPr="000977F7">
        <w:rPr>
          <w:rFonts w:asciiTheme="majorHAnsi" w:hAnsiTheme="majorHAnsi"/>
          <w:spacing w:val="-7"/>
          <w:sz w:val="20"/>
          <w:szCs w:val="20"/>
        </w:rPr>
        <w:t xml:space="preserve"> </w:t>
      </w:r>
      <w:r w:rsidRPr="000977F7">
        <w:rPr>
          <w:rFonts w:asciiTheme="majorHAnsi" w:hAnsiTheme="majorHAnsi"/>
          <w:sz w:val="20"/>
          <w:szCs w:val="20"/>
        </w:rPr>
        <w:t>метала</w:t>
      </w:r>
    </w:p>
    <w:p w14:paraId="085BC7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Групове</w:t>
      </w:r>
      <w:r w:rsidRPr="000977F7">
        <w:rPr>
          <w:rFonts w:asciiTheme="majorHAnsi" w:hAnsiTheme="majorHAnsi"/>
          <w:spacing w:val="7"/>
          <w:sz w:val="20"/>
          <w:szCs w:val="20"/>
        </w:rPr>
        <w:t xml:space="preserve"> </w:t>
      </w:r>
      <w:r w:rsidRPr="000977F7">
        <w:rPr>
          <w:rFonts w:asciiTheme="majorHAnsi" w:hAnsiTheme="majorHAnsi"/>
          <w:sz w:val="20"/>
          <w:szCs w:val="20"/>
        </w:rPr>
        <w:t>за</w:t>
      </w:r>
      <w:r w:rsidRPr="000977F7">
        <w:rPr>
          <w:rFonts w:asciiTheme="majorHAnsi" w:hAnsiTheme="majorHAnsi"/>
          <w:spacing w:val="7"/>
          <w:sz w:val="20"/>
          <w:szCs w:val="20"/>
        </w:rPr>
        <w:t xml:space="preserve"> </w:t>
      </w:r>
      <w:r w:rsidRPr="000977F7">
        <w:rPr>
          <w:rFonts w:asciiTheme="majorHAnsi" w:hAnsiTheme="majorHAnsi"/>
          <w:sz w:val="20"/>
          <w:szCs w:val="20"/>
        </w:rPr>
        <w:t>конструктивно-технологічними</w:t>
      </w:r>
      <w:r w:rsidRPr="000977F7">
        <w:rPr>
          <w:rFonts w:asciiTheme="majorHAnsi" w:hAnsiTheme="majorHAnsi"/>
          <w:spacing w:val="5"/>
          <w:sz w:val="20"/>
          <w:szCs w:val="20"/>
        </w:rPr>
        <w:t xml:space="preserve"> </w:t>
      </w:r>
      <w:r w:rsidRPr="000977F7">
        <w:rPr>
          <w:rFonts w:asciiTheme="majorHAnsi" w:hAnsiTheme="majorHAnsi"/>
          <w:sz w:val="20"/>
          <w:szCs w:val="20"/>
        </w:rPr>
        <w:t>ознаками</w:t>
      </w:r>
      <w:r w:rsidRPr="000977F7">
        <w:rPr>
          <w:rFonts w:asciiTheme="majorHAnsi" w:hAnsiTheme="majorHAnsi"/>
          <w:spacing w:val="-47"/>
          <w:sz w:val="20"/>
          <w:szCs w:val="20"/>
        </w:rPr>
        <w:t xml:space="preserve"> </w:t>
      </w:r>
      <w:r w:rsidRPr="000977F7">
        <w:rPr>
          <w:rFonts w:asciiTheme="majorHAnsi" w:hAnsiTheme="majorHAnsi"/>
          <w:sz w:val="20"/>
          <w:szCs w:val="20"/>
        </w:rPr>
        <w:t>типової деталі – представника даної групи</w:t>
      </w:r>
      <w:r w:rsidRPr="000977F7">
        <w:rPr>
          <w:rFonts w:asciiTheme="majorHAnsi" w:hAnsiTheme="majorHAnsi"/>
          <w:spacing w:val="1"/>
          <w:sz w:val="20"/>
          <w:szCs w:val="20"/>
        </w:rPr>
        <w:t xml:space="preserve"> </w:t>
      </w:r>
      <w:r w:rsidRPr="000977F7">
        <w:rPr>
          <w:rFonts w:asciiTheme="majorHAnsi" w:hAnsiTheme="majorHAnsi"/>
          <w:sz w:val="20"/>
          <w:szCs w:val="20"/>
        </w:rPr>
        <w:t>Дробоструменеве</w:t>
      </w:r>
      <w:r w:rsidRPr="000977F7">
        <w:rPr>
          <w:rFonts w:asciiTheme="majorHAnsi" w:hAnsiTheme="majorHAnsi"/>
          <w:spacing w:val="34"/>
          <w:sz w:val="20"/>
          <w:szCs w:val="20"/>
        </w:rPr>
        <w:t xml:space="preserve"> </w:t>
      </w:r>
      <w:r w:rsidRPr="000977F7">
        <w:rPr>
          <w:rFonts w:asciiTheme="majorHAnsi" w:hAnsiTheme="majorHAnsi"/>
          <w:sz w:val="20"/>
          <w:szCs w:val="20"/>
        </w:rPr>
        <w:t>–</w:t>
      </w:r>
      <w:r w:rsidRPr="000977F7">
        <w:rPr>
          <w:rFonts w:asciiTheme="majorHAnsi" w:hAnsiTheme="majorHAnsi"/>
          <w:spacing w:val="35"/>
          <w:sz w:val="20"/>
          <w:szCs w:val="20"/>
        </w:rPr>
        <w:t xml:space="preserve"> </w:t>
      </w:r>
      <w:r w:rsidRPr="000977F7">
        <w:rPr>
          <w:rFonts w:asciiTheme="majorHAnsi" w:hAnsiTheme="majorHAnsi"/>
          <w:sz w:val="20"/>
          <w:szCs w:val="20"/>
        </w:rPr>
        <w:t>поверхневим</w:t>
      </w:r>
      <w:r w:rsidRPr="000977F7">
        <w:rPr>
          <w:rFonts w:asciiTheme="majorHAnsi" w:hAnsiTheme="majorHAnsi"/>
          <w:spacing w:val="35"/>
          <w:sz w:val="20"/>
          <w:szCs w:val="20"/>
        </w:rPr>
        <w:t xml:space="preserve"> </w:t>
      </w:r>
      <w:r w:rsidRPr="000977F7">
        <w:rPr>
          <w:rFonts w:asciiTheme="majorHAnsi" w:hAnsiTheme="majorHAnsi"/>
          <w:sz w:val="20"/>
          <w:szCs w:val="20"/>
        </w:rPr>
        <w:t>пластичним</w:t>
      </w:r>
      <w:r w:rsidRPr="000977F7">
        <w:rPr>
          <w:rFonts w:asciiTheme="majorHAnsi" w:hAnsiTheme="majorHAnsi"/>
          <w:spacing w:val="34"/>
          <w:sz w:val="20"/>
          <w:szCs w:val="20"/>
        </w:rPr>
        <w:t xml:space="preserve"> </w:t>
      </w:r>
      <w:r w:rsidRPr="000977F7">
        <w:rPr>
          <w:rFonts w:asciiTheme="majorHAnsi" w:hAnsiTheme="majorHAnsi"/>
          <w:sz w:val="20"/>
          <w:szCs w:val="20"/>
        </w:rPr>
        <w:t>деформуванням</w:t>
      </w:r>
      <w:r w:rsidRPr="000977F7">
        <w:rPr>
          <w:rFonts w:asciiTheme="majorHAnsi" w:hAnsiTheme="majorHAnsi"/>
          <w:spacing w:val="-2"/>
          <w:sz w:val="20"/>
          <w:szCs w:val="20"/>
        </w:rPr>
        <w:t xml:space="preserve"> </w:t>
      </w:r>
      <w:r w:rsidRPr="000977F7">
        <w:rPr>
          <w:rFonts w:asciiTheme="majorHAnsi" w:hAnsiTheme="majorHAnsi"/>
          <w:sz w:val="20"/>
          <w:szCs w:val="20"/>
        </w:rPr>
        <w:t>ударами</w:t>
      </w:r>
      <w:r w:rsidRPr="000977F7">
        <w:rPr>
          <w:rFonts w:asciiTheme="majorHAnsi" w:hAnsiTheme="majorHAnsi"/>
          <w:spacing w:val="-7"/>
          <w:sz w:val="20"/>
          <w:szCs w:val="20"/>
        </w:rPr>
        <w:t xml:space="preserve"> </w:t>
      </w:r>
      <w:r w:rsidRPr="000977F7">
        <w:rPr>
          <w:rFonts w:asciiTheme="majorHAnsi" w:hAnsiTheme="majorHAnsi"/>
          <w:sz w:val="20"/>
          <w:szCs w:val="20"/>
        </w:rPr>
        <w:t>дробу</w:t>
      </w:r>
    </w:p>
    <w:p w14:paraId="43FC04E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Рідинно-абразивне</w:t>
      </w:r>
      <w:r w:rsidRPr="000977F7">
        <w:rPr>
          <w:rFonts w:asciiTheme="majorHAnsi" w:hAnsiTheme="majorHAnsi"/>
          <w:spacing w:val="-10"/>
          <w:sz w:val="20"/>
          <w:szCs w:val="20"/>
        </w:rPr>
        <w:t xml:space="preserve"> </w:t>
      </w:r>
      <w:r w:rsidRPr="000977F7">
        <w:rPr>
          <w:rFonts w:asciiTheme="majorHAnsi" w:hAnsiTheme="majorHAnsi"/>
          <w:spacing w:val="-1"/>
          <w:sz w:val="20"/>
          <w:szCs w:val="20"/>
        </w:rPr>
        <w:t>–</w:t>
      </w:r>
      <w:r w:rsidRPr="000977F7">
        <w:rPr>
          <w:rFonts w:asciiTheme="majorHAnsi" w:hAnsiTheme="majorHAnsi"/>
          <w:spacing w:val="-10"/>
          <w:sz w:val="20"/>
          <w:szCs w:val="20"/>
        </w:rPr>
        <w:t xml:space="preserve"> </w:t>
      </w:r>
      <w:r w:rsidRPr="000977F7">
        <w:rPr>
          <w:rFonts w:asciiTheme="majorHAnsi" w:hAnsiTheme="majorHAnsi"/>
          <w:spacing w:val="-1"/>
          <w:sz w:val="20"/>
          <w:szCs w:val="20"/>
        </w:rPr>
        <w:t>механічне</w:t>
      </w:r>
      <w:r w:rsidRPr="000977F7">
        <w:rPr>
          <w:rFonts w:asciiTheme="majorHAnsi" w:hAnsiTheme="majorHAnsi"/>
          <w:spacing w:val="-10"/>
          <w:sz w:val="20"/>
          <w:szCs w:val="20"/>
        </w:rPr>
        <w:t xml:space="preserve"> </w:t>
      </w:r>
      <w:r w:rsidRPr="000977F7">
        <w:rPr>
          <w:rFonts w:asciiTheme="majorHAnsi" w:hAnsiTheme="majorHAnsi"/>
          <w:sz w:val="20"/>
          <w:szCs w:val="20"/>
        </w:rPr>
        <w:t>оброблення</w:t>
      </w:r>
      <w:r w:rsidRPr="000977F7">
        <w:rPr>
          <w:rFonts w:asciiTheme="majorHAnsi" w:hAnsiTheme="majorHAnsi"/>
          <w:spacing w:val="-12"/>
          <w:sz w:val="20"/>
          <w:szCs w:val="20"/>
        </w:rPr>
        <w:t xml:space="preserve"> </w:t>
      </w:r>
      <w:r w:rsidRPr="000977F7">
        <w:rPr>
          <w:rFonts w:asciiTheme="majorHAnsi" w:hAnsiTheme="majorHAnsi"/>
          <w:sz w:val="20"/>
          <w:szCs w:val="20"/>
        </w:rPr>
        <w:t>для</w:t>
      </w:r>
      <w:r w:rsidRPr="000977F7">
        <w:rPr>
          <w:rFonts w:asciiTheme="majorHAnsi" w:hAnsiTheme="majorHAnsi"/>
          <w:spacing w:val="-11"/>
          <w:sz w:val="20"/>
          <w:szCs w:val="20"/>
        </w:rPr>
        <w:t xml:space="preserve"> </w:t>
      </w:r>
      <w:r w:rsidRPr="000977F7">
        <w:rPr>
          <w:rFonts w:asciiTheme="majorHAnsi" w:hAnsiTheme="majorHAnsi"/>
          <w:sz w:val="20"/>
          <w:szCs w:val="20"/>
        </w:rPr>
        <w:t>очищування,</w:t>
      </w:r>
      <w:r w:rsidRPr="000977F7">
        <w:rPr>
          <w:rFonts w:asciiTheme="majorHAnsi" w:hAnsiTheme="majorHAnsi"/>
          <w:spacing w:val="-7"/>
          <w:sz w:val="20"/>
          <w:szCs w:val="20"/>
        </w:rPr>
        <w:t xml:space="preserve"> </w:t>
      </w:r>
      <w:r w:rsidRPr="000977F7">
        <w:rPr>
          <w:rFonts w:asciiTheme="majorHAnsi" w:hAnsiTheme="majorHAnsi"/>
          <w:sz w:val="20"/>
          <w:szCs w:val="20"/>
        </w:rPr>
        <w:t>шліфування,</w:t>
      </w:r>
      <w:r w:rsidRPr="000977F7">
        <w:rPr>
          <w:rFonts w:asciiTheme="majorHAnsi" w:hAnsiTheme="majorHAnsi"/>
          <w:spacing w:val="-5"/>
          <w:sz w:val="20"/>
          <w:szCs w:val="20"/>
        </w:rPr>
        <w:t xml:space="preserve"> </w:t>
      </w:r>
      <w:r w:rsidRPr="000977F7">
        <w:rPr>
          <w:rFonts w:asciiTheme="majorHAnsi" w:hAnsiTheme="majorHAnsi"/>
          <w:sz w:val="20"/>
          <w:szCs w:val="20"/>
        </w:rPr>
        <w:t>полірування</w:t>
      </w:r>
      <w:r w:rsidRPr="000977F7">
        <w:rPr>
          <w:rFonts w:asciiTheme="majorHAnsi" w:hAnsiTheme="majorHAnsi"/>
          <w:spacing w:val="-7"/>
          <w:sz w:val="20"/>
          <w:szCs w:val="20"/>
        </w:rPr>
        <w:t xml:space="preserve"> </w:t>
      </w:r>
      <w:r w:rsidRPr="000977F7">
        <w:rPr>
          <w:rFonts w:asciiTheme="majorHAnsi" w:hAnsiTheme="majorHAnsi"/>
          <w:sz w:val="20"/>
          <w:szCs w:val="20"/>
        </w:rPr>
        <w:t>або</w:t>
      </w:r>
      <w:r w:rsidRPr="000977F7">
        <w:rPr>
          <w:rFonts w:asciiTheme="majorHAnsi" w:hAnsiTheme="majorHAnsi"/>
          <w:spacing w:val="-6"/>
          <w:sz w:val="20"/>
          <w:szCs w:val="20"/>
        </w:rPr>
        <w:t xml:space="preserve"> </w:t>
      </w:r>
      <w:r w:rsidRPr="000977F7">
        <w:rPr>
          <w:rFonts w:asciiTheme="majorHAnsi" w:hAnsiTheme="majorHAnsi"/>
          <w:sz w:val="20"/>
          <w:szCs w:val="20"/>
        </w:rPr>
        <w:t>поверхневого</w:t>
      </w:r>
      <w:r w:rsidRPr="000977F7">
        <w:rPr>
          <w:rFonts w:asciiTheme="majorHAnsi" w:hAnsiTheme="majorHAnsi"/>
          <w:spacing w:val="-6"/>
          <w:sz w:val="20"/>
          <w:szCs w:val="20"/>
        </w:rPr>
        <w:t xml:space="preserve"> </w:t>
      </w:r>
      <w:r w:rsidRPr="000977F7">
        <w:rPr>
          <w:rFonts w:asciiTheme="majorHAnsi" w:hAnsiTheme="majorHAnsi"/>
          <w:sz w:val="20"/>
          <w:szCs w:val="20"/>
        </w:rPr>
        <w:t>зміцнення</w:t>
      </w:r>
      <w:r w:rsidRPr="000977F7">
        <w:rPr>
          <w:rFonts w:asciiTheme="majorHAnsi" w:hAnsiTheme="majorHAnsi"/>
          <w:spacing w:val="1"/>
          <w:sz w:val="20"/>
          <w:szCs w:val="20"/>
        </w:rPr>
        <w:t xml:space="preserve"> </w:t>
      </w:r>
      <w:r w:rsidRPr="000977F7">
        <w:rPr>
          <w:rFonts w:asciiTheme="majorHAnsi" w:hAnsiTheme="majorHAnsi"/>
          <w:sz w:val="20"/>
          <w:szCs w:val="20"/>
        </w:rPr>
        <w:t>деталей</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допомогою</w:t>
      </w:r>
      <w:r w:rsidRPr="000977F7">
        <w:rPr>
          <w:rFonts w:asciiTheme="majorHAnsi" w:hAnsiTheme="majorHAnsi"/>
          <w:spacing w:val="1"/>
          <w:sz w:val="20"/>
          <w:szCs w:val="20"/>
        </w:rPr>
        <w:t xml:space="preserve"> </w:t>
      </w:r>
      <w:r w:rsidRPr="000977F7">
        <w:rPr>
          <w:rFonts w:asciiTheme="majorHAnsi" w:hAnsiTheme="majorHAnsi"/>
          <w:sz w:val="20"/>
          <w:szCs w:val="20"/>
        </w:rPr>
        <w:t>водно-абразивної</w:t>
      </w:r>
      <w:r w:rsidRPr="000977F7">
        <w:rPr>
          <w:rFonts w:asciiTheme="majorHAnsi" w:hAnsiTheme="majorHAnsi"/>
          <w:spacing w:val="1"/>
          <w:sz w:val="20"/>
          <w:szCs w:val="20"/>
        </w:rPr>
        <w:t xml:space="preserve"> </w:t>
      </w:r>
      <w:r w:rsidRPr="000977F7">
        <w:rPr>
          <w:rFonts w:asciiTheme="majorHAnsi" w:hAnsiTheme="majorHAnsi"/>
          <w:sz w:val="20"/>
          <w:szCs w:val="20"/>
        </w:rPr>
        <w:t>суспензії,</w:t>
      </w:r>
      <w:r w:rsidRPr="000977F7">
        <w:rPr>
          <w:rFonts w:asciiTheme="majorHAnsi" w:hAnsiTheme="majorHAnsi"/>
          <w:spacing w:val="-6"/>
          <w:sz w:val="20"/>
          <w:szCs w:val="20"/>
        </w:rPr>
        <w:t xml:space="preserve"> </w:t>
      </w:r>
      <w:r w:rsidRPr="000977F7">
        <w:rPr>
          <w:rFonts w:asciiTheme="majorHAnsi" w:hAnsiTheme="majorHAnsi"/>
          <w:sz w:val="20"/>
          <w:szCs w:val="20"/>
        </w:rPr>
        <w:t>яка</w:t>
      </w:r>
      <w:r w:rsidRPr="000977F7">
        <w:rPr>
          <w:rFonts w:asciiTheme="majorHAnsi" w:hAnsiTheme="majorHAnsi"/>
          <w:spacing w:val="-3"/>
          <w:sz w:val="20"/>
          <w:szCs w:val="20"/>
        </w:rPr>
        <w:t xml:space="preserve"> </w:t>
      </w:r>
      <w:r w:rsidRPr="000977F7">
        <w:rPr>
          <w:rFonts w:asciiTheme="majorHAnsi" w:hAnsiTheme="majorHAnsi"/>
          <w:sz w:val="20"/>
          <w:szCs w:val="20"/>
        </w:rPr>
        <w:t>подається</w:t>
      </w:r>
      <w:r w:rsidRPr="000977F7">
        <w:rPr>
          <w:rFonts w:asciiTheme="majorHAnsi" w:hAnsiTheme="majorHAnsi"/>
          <w:spacing w:val="-6"/>
          <w:sz w:val="20"/>
          <w:szCs w:val="20"/>
        </w:rPr>
        <w:t xml:space="preserve"> </w:t>
      </w:r>
      <w:r w:rsidRPr="000977F7">
        <w:rPr>
          <w:rFonts w:asciiTheme="majorHAnsi" w:hAnsiTheme="majorHAnsi"/>
          <w:sz w:val="20"/>
          <w:szCs w:val="20"/>
        </w:rPr>
        <w:t>під</w:t>
      </w:r>
      <w:r w:rsidRPr="000977F7">
        <w:rPr>
          <w:rFonts w:asciiTheme="majorHAnsi" w:hAnsiTheme="majorHAnsi"/>
          <w:spacing w:val="-5"/>
          <w:sz w:val="20"/>
          <w:szCs w:val="20"/>
        </w:rPr>
        <w:t xml:space="preserve"> </w:t>
      </w:r>
      <w:r w:rsidRPr="000977F7">
        <w:rPr>
          <w:rFonts w:asciiTheme="majorHAnsi" w:hAnsiTheme="majorHAnsi"/>
          <w:sz w:val="20"/>
          <w:szCs w:val="20"/>
        </w:rPr>
        <w:t>тиском</w:t>
      </w:r>
    </w:p>
    <w:p w14:paraId="36546AF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Магнітно-імпульсне – електромеханічне оброблення,</w:t>
      </w:r>
      <w:r w:rsidRPr="000977F7">
        <w:rPr>
          <w:rFonts w:asciiTheme="majorHAnsi" w:hAnsiTheme="majorHAnsi"/>
          <w:spacing w:val="1"/>
          <w:sz w:val="20"/>
          <w:szCs w:val="20"/>
        </w:rPr>
        <w:t xml:space="preserve"> </w:t>
      </w:r>
      <w:r w:rsidRPr="000977F7">
        <w:rPr>
          <w:rFonts w:asciiTheme="majorHAnsi" w:hAnsiTheme="majorHAnsi"/>
          <w:sz w:val="20"/>
          <w:szCs w:val="20"/>
        </w:rPr>
        <w:t>засноване на безпоседньому перетворенні енергії магнітного поля, яке змінюється з великою швидкістю, в</w:t>
      </w:r>
      <w:r w:rsidRPr="000977F7">
        <w:rPr>
          <w:rFonts w:asciiTheme="majorHAnsi" w:hAnsiTheme="majorHAnsi"/>
          <w:spacing w:val="1"/>
          <w:sz w:val="20"/>
          <w:szCs w:val="20"/>
        </w:rPr>
        <w:t xml:space="preserve"> </w:t>
      </w:r>
      <w:r w:rsidRPr="000977F7">
        <w:rPr>
          <w:rFonts w:asciiTheme="majorHAnsi" w:hAnsiTheme="majorHAnsi"/>
          <w:sz w:val="20"/>
          <w:szCs w:val="20"/>
        </w:rPr>
        <w:t>механічну</w:t>
      </w:r>
      <w:r w:rsidRPr="000977F7">
        <w:rPr>
          <w:rFonts w:asciiTheme="majorHAnsi" w:hAnsiTheme="majorHAnsi"/>
          <w:spacing w:val="-9"/>
          <w:sz w:val="20"/>
          <w:szCs w:val="20"/>
        </w:rPr>
        <w:t xml:space="preserve"> </w:t>
      </w:r>
      <w:r w:rsidRPr="000977F7">
        <w:rPr>
          <w:rFonts w:asciiTheme="majorHAnsi" w:hAnsiTheme="majorHAnsi"/>
          <w:sz w:val="20"/>
          <w:szCs w:val="20"/>
        </w:rPr>
        <w:t>роботу</w:t>
      </w:r>
      <w:r w:rsidRPr="000977F7">
        <w:rPr>
          <w:rFonts w:asciiTheme="majorHAnsi" w:hAnsiTheme="majorHAnsi"/>
          <w:spacing w:val="-7"/>
          <w:sz w:val="20"/>
          <w:szCs w:val="20"/>
        </w:rPr>
        <w:t xml:space="preserve"> </w:t>
      </w:r>
      <w:r w:rsidRPr="000977F7">
        <w:rPr>
          <w:rFonts w:asciiTheme="majorHAnsi" w:hAnsiTheme="majorHAnsi"/>
          <w:sz w:val="20"/>
          <w:szCs w:val="20"/>
        </w:rPr>
        <w:t>при</w:t>
      </w:r>
      <w:r w:rsidRPr="000977F7">
        <w:rPr>
          <w:rFonts w:asciiTheme="majorHAnsi" w:hAnsiTheme="majorHAnsi"/>
          <w:spacing w:val="-7"/>
          <w:sz w:val="20"/>
          <w:szCs w:val="20"/>
        </w:rPr>
        <w:t xml:space="preserve"> </w:t>
      </w:r>
      <w:r w:rsidRPr="000977F7">
        <w:rPr>
          <w:rFonts w:asciiTheme="majorHAnsi" w:hAnsiTheme="majorHAnsi"/>
          <w:sz w:val="20"/>
          <w:szCs w:val="20"/>
        </w:rPr>
        <w:t>взаємодії</w:t>
      </w:r>
      <w:r w:rsidRPr="000977F7">
        <w:rPr>
          <w:rFonts w:asciiTheme="majorHAnsi" w:hAnsiTheme="majorHAnsi"/>
          <w:spacing w:val="-7"/>
          <w:sz w:val="20"/>
          <w:szCs w:val="20"/>
        </w:rPr>
        <w:t xml:space="preserve"> </w:t>
      </w:r>
      <w:r w:rsidRPr="000977F7">
        <w:rPr>
          <w:rFonts w:asciiTheme="majorHAnsi" w:hAnsiTheme="majorHAnsi"/>
          <w:sz w:val="20"/>
          <w:szCs w:val="20"/>
        </w:rPr>
        <w:t>з</w:t>
      </w:r>
      <w:r w:rsidRPr="000977F7">
        <w:rPr>
          <w:rFonts w:asciiTheme="majorHAnsi" w:hAnsiTheme="majorHAnsi"/>
          <w:spacing w:val="-6"/>
          <w:sz w:val="20"/>
          <w:szCs w:val="20"/>
        </w:rPr>
        <w:t xml:space="preserve"> </w:t>
      </w:r>
      <w:r w:rsidRPr="000977F7">
        <w:rPr>
          <w:rFonts w:asciiTheme="majorHAnsi" w:hAnsiTheme="majorHAnsi"/>
          <w:sz w:val="20"/>
          <w:szCs w:val="20"/>
        </w:rPr>
        <w:t>провідником</w:t>
      </w:r>
      <w:r w:rsidRPr="000977F7">
        <w:rPr>
          <w:rFonts w:asciiTheme="majorHAnsi" w:hAnsiTheme="majorHAnsi"/>
          <w:spacing w:val="-7"/>
          <w:sz w:val="20"/>
          <w:szCs w:val="20"/>
        </w:rPr>
        <w:t xml:space="preserve"> </w:t>
      </w:r>
      <w:r w:rsidRPr="000977F7">
        <w:rPr>
          <w:rFonts w:asciiTheme="majorHAnsi" w:hAnsiTheme="majorHAnsi"/>
          <w:sz w:val="20"/>
          <w:szCs w:val="20"/>
        </w:rPr>
        <w:t>(заготовкою)</w:t>
      </w:r>
    </w:p>
    <w:p w14:paraId="5F98017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Металевою щіткою – поверхневе пластичне деформування ударами кінців ворсу металевої щітки, яка обертається</w:t>
      </w:r>
    </w:p>
    <w:p w14:paraId="657CD8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Металів</w:t>
      </w:r>
      <w:r w:rsidRPr="000977F7">
        <w:rPr>
          <w:rFonts w:asciiTheme="majorHAnsi" w:hAnsiTheme="majorHAnsi"/>
          <w:spacing w:val="-6"/>
          <w:sz w:val="20"/>
          <w:szCs w:val="20"/>
        </w:rPr>
        <w:t xml:space="preserve"> </w:t>
      </w:r>
      <w:r w:rsidRPr="000977F7">
        <w:rPr>
          <w:rFonts w:asciiTheme="majorHAnsi" w:hAnsiTheme="majorHAnsi"/>
          <w:sz w:val="20"/>
          <w:szCs w:val="20"/>
        </w:rPr>
        <w:t>тиском</w:t>
      </w:r>
      <w:r w:rsidRPr="000977F7">
        <w:rPr>
          <w:rFonts w:asciiTheme="majorHAnsi" w:hAnsiTheme="majorHAnsi"/>
          <w:spacing w:val="-4"/>
          <w:sz w:val="20"/>
          <w:szCs w:val="20"/>
        </w:rPr>
        <w:t xml:space="preserve"> </w:t>
      </w:r>
      <w:r w:rsidRPr="000977F7">
        <w:rPr>
          <w:rFonts w:asciiTheme="majorHAnsi" w:hAnsiTheme="majorHAnsi"/>
          <w:sz w:val="20"/>
          <w:szCs w:val="20"/>
        </w:rPr>
        <w:t>–</w:t>
      </w:r>
      <w:r w:rsidRPr="000977F7">
        <w:rPr>
          <w:rFonts w:asciiTheme="majorHAnsi" w:hAnsiTheme="majorHAnsi"/>
          <w:spacing w:val="-4"/>
          <w:sz w:val="20"/>
          <w:szCs w:val="20"/>
        </w:rPr>
        <w:t xml:space="preserve"> </w:t>
      </w:r>
      <w:r w:rsidRPr="000977F7">
        <w:rPr>
          <w:rFonts w:asciiTheme="majorHAnsi" w:hAnsiTheme="majorHAnsi"/>
          <w:sz w:val="20"/>
          <w:szCs w:val="20"/>
        </w:rPr>
        <w:t>група</w:t>
      </w:r>
      <w:r w:rsidRPr="000977F7">
        <w:rPr>
          <w:rFonts w:asciiTheme="majorHAnsi" w:hAnsiTheme="majorHAnsi"/>
          <w:spacing w:val="-5"/>
          <w:sz w:val="20"/>
          <w:szCs w:val="20"/>
        </w:rPr>
        <w:t xml:space="preserve"> </w:t>
      </w:r>
      <w:r w:rsidRPr="000977F7">
        <w:rPr>
          <w:rFonts w:asciiTheme="majorHAnsi" w:hAnsiTheme="majorHAnsi"/>
          <w:sz w:val="20"/>
          <w:szCs w:val="20"/>
        </w:rPr>
        <w:t>механічних</w:t>
      </w:r>
      <w:r w:rsidRPr="000977F7">
        <w:rPr>
          <w:rFonts w:asciiTheme="majorHAnsi" w:hAnsiTheme="majorHAnsi"/>
          <w:spacing w:val="-4"/>
          <w:sz w:val="20"/>
          <w:szCs w:val="20"/>
        </w:rPr>
        <w:t xml:space="preserve"> </w:t>
      </w:r>
      <w:r w:rsidRPr="000977F7">
        <w:rPr>
          <w:rFonts w:asciiTheme="majorHAnsi" w:hAnsiTheme="majorHAnsi"/>
          <w:sz w:val="20"/>
          <w:szCs w:val="20"/>
        </w:rPr>
        <w:t>процесів,</w:t>
      </w:r>
      <w:r w:rsidRPr="000977F7">
        <w:rPr>
          <w:rFonts w:asciiTheme="majorHAnsi" w:hAnsiTheme="majorHAnsi"/>
          <w:spacing w:val="-4"/>
          <w:sz w:val="20"/>
          <w:szCs w:val="20"/>
        </w:rPr>
        <w:t xml:space="preserve"> </w:t>
      </w:r>
      <w:r w:rsidRPr="000977F7">
        <w:rPr>
          <w:rFonts w:asciiTheme="majorHAnsi" w:hAnsiTheme="majorHAnsi"/>
          <w:sz w:val="20"/>
          <w:szCs w:val="20"/>
        </w:rPr>
        <w:t>за</w:t>
      </w:r>
      <w:r w:rsidRPr="000977F7">
        <w:rPr>
          <w:rFonts w:asciiTheme="majorHAnsi" w:hAnsiTheme="majorHAnsi"/>
          <w:spacing w:val="-4"/>
          <w:sz w:val="20"/>
          <w:szCs w:val="20"/>
        </w:rPr>
        <w:t xml:space="preserve"> </w:t>
      </w:r>
      <w:r w:rsidRPr="000977F7">
        <w:rPr>
          <w:rFonts w:asciiTheme="majorHAnsi" w:hAnsiTheme="majorHAnsi"/>
          <w:sz w:val="20"/>
          <w:szCs w:val="20"/>
        </w:rPr>
        <w:t>якими</w:t>
      </w:r>
      <w:r w:rsidRPr="000977F7">
        <w:rPr>
          <w:rFonts w:asciiTheme="majorHAnsi" w:hAnsiTheme="majorHAnsi"/>
          <w:spacing w:val="-48"/>
          <w:sz w:val="20"/>
          <w:szCs w:val="20"/>
        </w:rPr>
        <w:t xml:space="preserve"> </w:t>
      </w:r>
      <w:r w:rsidRPr="000977F7">
        <w:rPr>
          <w:rFonts w:asciiTheme="majorHAnsi" w:hAnsiTheme="majorHAnsi"/>
          <w:spacing w:val="-1"/>
          <w:sz w:val="20"/>
          <w:szCs w:val="20"/>
        </w:rPr>
        <w:t>проходить</w:t>
      </w:r>
      <w:r w:rsidRPr="000977F7">
        <w:rPr>
          <w:rFonts w:asciiTheme="majorHAnsi" w:hAnsiTheme="majorHAnsi"/>
          <w:spacing w:val="-9"/>
          <w:sz w:val="20"/>
          <w:szCs w:val="20"/>
        </w:rPr>
        <w:t xml:space="preserve"> </w:t>
      </w:r>
      <w:r w:rsidRPr="000977F7">
        <w:rPr>
          <w:rFonts w:asciiTheme="majorHAnsi" w:hAnsiTheme="majorHAnsi"/>
          <w:sz w:val="20"/>
          <w:szCs w:val="20"/>
        </w:rPr>
        <w:t>формозмінювання</w:t>
      </w:r>
      <w:r w:rsidRPr="000977F7">
        <w:rPr>
          <w:rFonts w:asciiTheme="majorHAnsi" w:hAnsiTheme="majorHAnsi"/>
          <w:spacing w:val="-10"/>
          <w:sz w:val="20"/>
          <w:szCs w:val="20"/>
        </w:rPr>
        <w:t xml:space="preserve"> </w:t>
      </w:r>
      <w:r w:rsidRPr="000977F7">
        <w:rPr>
          <w:rFonts w:asciiTheme="majorHAnsi" w:hAnsiTheme="majorHAnsi"/>
          <w:sz w:val="20"/>
          <w:szCs w:val="20"/>
        </w:rPr>
        <w:t>заготовок</w:t>
      </w:r>
      <w:r w:rsidRPr="000977F7">
        <w:rPr>
          <w:rFonts w:asciiTheme="majorHAnsi" w:hAnsiTheme="majorHAnsi"/>
          <w:spacing w:val="-8"/>
          <w:sz w:val="20"/>
          <w:szCs w:val="20"/>
        </w:rPr>
        <w:t xml:space="preserve"> </w:t>
      </w:r>
      <w:r w:rsidRPr="000977F7">
        <w:rPr>
          <w:rFonts w:asciiTheme="majorHAnsi" w:hAnsiTheme="majorHAnsi"/>
          <w:sz w:val="20"/>
          <w:szCs w:val="20"/>
        </w:rPr>
        <w:t>без</w:t>
      </w:r>
      <w:r w:rsidRPr="000977F7">
        <w:rPr>
          <w:rFonts w:asciiTheme="majorHAnsi" w:hAnsiTheme="majorHAnsi"/>
          <w:spacing w:val="-7"/>
          <w:sz w:val="20"/>
          <w:szCs w:val="20"/>
        </w:rPr>
        <w:t xml:space="preserve"> </w:t>
      </w:r>
      <w:r w:rsidRPr="000977F7">
        <w:rPr>
          <w:rFonts w:asciiTheme="majorHAnsi" w:hAnsiTheme="majorHAnsi"/>
          <w:sz w:val="20"/>
          <w:szCs w:val="20"/>
        </w:rPr>
        <w:t>порушення</w:t>
      </w:r>
      <w:r w:rsidRPr="000977F7">
        <w:rPr>
          <w:rFonts w:asciiTheme="majorHAnsi" w:hAnsiTheme="majorHAnsi"/>
          <w:spacing w:val="-48"/>
          <w:sz w:val="20"/>
          <w:szCs w:val="20"/>
        </w:rPr>
        <w:t xml:space="preserve"> </w:t>
      </w:r>
      <w:r w:rsidRPr="000977F7">
        <w:rPr>
          <w:rFonts w:asciiTheme="majorHAnsi" w:hAnsiTheme="majorHAnsi"/>
          <w:sz w:val="20"/>
          <w:szCs w:val="20"/>
        </w:rPr>
        <w:t>їхньої</w:t>
      </w:r>
      <w:r w:rsidRPr="000977F7">
        <w:rPr>
          <w:rFonts w:asciiTheme="majorHAnsi" w:hAnsiTheme="majorHAnsi"/>
          <w:spacing w:val="-5"/>
          <w:sz w:val="20"/>
          <w:szCs w:val="20"/>
        </w:rPr>
        <w:t xml:space="preserve"> </w:t>
      </w:r>
      <w:r w:rsidRPr="000977F7">
        <w:rPr>
          <w:rFonts w:asciiTheme="majorHAnsi" w:hAnsiTheme="majorHAnsi"/>
          <w:sz w:val="20"/>
          <w:szCs w:val="20"/>
        </w:rPr>
        <w:t>суцільності</w:t>
      </w:r>
      <w:r w:rsidRPr="000977F7">
        <w:rPr>
          <w:rFonts w:asciiTheme="majorHAnsi" w:hAnsiTheme="majorHAnsi"/>
          <w:spacing w:val="-5"/>
          <w:sz w:val="20"/>
          <w:szCs w:val="20"/>
        </w:rPr>
        <w:t xml:space="preserve"> </w:t>
      </w:r>
      <w:r w:rsidRPr="000977F7">
        <w:rPr>
          <w:rFonts w:asciiTheme="majorHAnsi" w:hAnsiTheme="majorHAnsi"/>
          <w:sz w:val="20"/>
          <w:szCs w:val="20"/>
        </w:rPr>
        <w:t>під</w:t>
      </w:r>
      <w:r w:rsidRPr="000977F7">
        <w:rPr>
          <w:rFonts w:asciiTheme="majorHAnsi" w:hAnsiTheme="majorHAnsi"/>
          <w:spacing w:val="-6"/>
          <w:sz w:val="20"/>
          <w:szCs w:val="20"/>
        </w:rPr>
        <w:t xml:space="preserve"> </w:t>
      </w:r>
      <w:r w:rsidRPr="000977F7">
        <w:rPr>
          <w:rFonts w:asciiTheme="majorHAnsi" w:hAnsiTheme="majorHAnsi"/>
          <w:sz w:val="20"/>
          <w:szCs w:val="20"/>
        </w:rPr>
        <w:t>впливом</w:t>
      </w:r>
      <w:r w:rsidRPr="000977F7">
        <w:rPr>
          <w:rFonts w:asciiTheme="majorHAnsi" w:hAnsiTheme="majorHAnsi"/>
          <w:spacing w:val="-4"/>
          <w:sz w:val="20"/>
          <w:szCs w:val="20"/>
        </w:rPr>
        <w:t xml:space="preserve"> </w:t>
      </w:r>
      <w:r w:rsidRPr="000977F7">
        <w:rPr>
          <w:rFonts w:asciiTheme="majorHAnsi" w:hAnsiTheme="majorHAnsi"/>
          <w:sz w:val="20"/>
          <w:szCs w:val="20"/>
        </w:rPr>
        <w:t>прикладених</w:t>
      </w:r>
      <w:r w:rsidRPr="000977F7">
        <w:rPr>
          <w:rFonts w:asciiTheme="majorHAnsi" w:hAnsiTheme="majorHAnsi"/>
          <w:spacing w:val="-6"/>
          <w:sz w:val="20"/>
          <w:szCs w:val="20"/>
        </w:rPr>
        <w:t xml:space="preserve"> </w:t>
      </w:r>
      <w:r w:rsidRPr="000977F7">
        <w:rPr>
          <w:rFonts w:asciiTheme="majorHAnsi" w:hAnsiTheme="majorHAnsi"/>
          <w:sz w:val="20"/>
          <w:szCs w:val="20"/>
        </w:rPr>
        <w:t>зовнішніх</w:t>
      </w:r>
      <w:r w:rsidRPr="000977F7">
        <w:rPr>
          <w:rFonts w:asciiTheme="majorHAnsi" w:hAnsiTheme="majorHAnsi"/>
          <w:spacing w:val="-48"/>
          <w:sz w:val="20"/>
          <w:szCs w:val="20"/>
        </w:rPr>
        <w:t xml:space="preserve"> </w:t>
      </w:r>
      <w:r w:rsidRPr="000977F7">
        <w:rPr>
          <w:rFonts w:asciiTheme="majorHAnsi" w:hAnsiTheme="majorHAnsi"/>
          <w:sz w:val="20"/>
          <w:szCs w:val="20"/>
        </w:rPr>
        <w:t>сил</w:t>
      </w:r>
    </w:p>
    <w:p w14:paraId="017CD9D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Механічне</w:t>
      </w:r>
      <w:r w:rsidRPr="000977F7">
        <w:rPr>
          <w:rFonts w:asciiTheme="majorHAnsi" w:hAnsiTheme="majorHAnsi"/>
          <w:spacing w:val="-4"/>
          <w:sz w:val="20"/>
          <w:szCs w:val="20"/>
        </w:rPr>
        <w:t xml:space="preserve"> </w:t>
      </w:r>
      <w:r w:rsidRPr="000977F7">
        <w:rPr>
          <w:rFonts w:asciiTheme="majorHAnsi" w:hAnsiTheme="majorHAnsi"/>
          <w:sz w:val="20"/>
          <w:szCs w:val="20"/>
        </w:rPr>
        <w:t>–</w:t>
      </w:r>
      <w:r w:rsidRPr="000977F7">
        <w:rPr>
          <w:rFonts w:asciiTheme="majorHAnsi" w:hAnsiTheme="majorHAnsi"/>
          <w:spacing w:val="-3"/>
          <w:sz w:val="20"/>
          <w:szCs w:val="20"/>
        </w:rPr>
        <w:t xml:space="preserve"> </w:t>
      </w:r>
      <w:r w:rsidRPr="000977F7">
        <w:rPr>
          <w:rFonts w:asciiTheme="majorHAnsi" w:hAnsiTheme="majorHAnsi"/>
          <w:sz w:val="20"/>
          <w:szCs w:val="20"/>
        </w:rPr>
        <w:t>із</w:t>
      </w:r>
      <w:r w:rsidRPr="000977F7">
        <w:rPr>
          <w:rFonts w:asciiTheme="majorHAnsi" w:hAnsiTheme="majorHAnsi"/>
          <w:spacing w:val="-4"/>
          <w:sz w:val="20"/>
          <w:szCs w:val="20"/>
        </w:rPr>
        <w:t xml:space="preserve"> </w:t>
      </w:r>
      <w:r w:rsidRPr="000977F7">
        <w:rPr>
          <w:rFonts w:asciiTheme="majorHAnsi" w:hAnsiTheme="majorHAnsi"/>
          <w:sz w:val="20"/>
          <w:szCs w:val="20"/>
        </w:rPr>
        <w:t>зняттям</w:t>
      </w:r>
      <w:r w:rsidRPr="000977F7">
        <w:rPr>
          <w:rFonts w:asciiTheme="majorHAnsi" w:hAnsiTheme="majorHAnsi"/>
          <w:spacing w:val="-3"/>
          <w:sz w:val="20"/>
          <w:szCs w:val="20"/>
        </w:rPr>
        <w:t xml:space="preserve"> </w:t>
      </w:r>
      <w:r w:rsidRPr="000977F7">
        <w:rPr>
          <w:rFonts w:asciiTheme="majorHAnsi" w:hAnsiTheme="majorHAnsi"/>
          <w:sz w:val="20"/>
          <w:szCs w:val="20"/>
        </w:rPr>
        <w:t>або</w:t>
      </w:r>
      <w:r w:rsidRPr="000977F7">
        <w:rPr>
          <w:rFonts w:asciiTheme="majorHAnsi" w:hAnsiTheme="majorHAnsi"/>
          <w:spacing w:val="-2"/>
          <w:sz w:val="20"/>
          <w:szCs w:val="20"/>
        </w:rPr>
        <w:t xml:space="preserve"> </w:t>
      </w:r>
      <w:r w:rsidRPr="000977F7">
        <w:rPr>
          <w:rFonts w:asciiTheme="majorHAnsi" w:hAnsiTheme="majorHAnsi"/>
          <w:sz w:val="20"/>
          <w:szCs w:val="20"/>
        </w:rPr>
        <w:t>без</w:t>
      </w:r>
      <w:r w:rsidRPr="000977F7">
        <w:rPr>
          <w:rFonts w:asciiTheme="majorHAnsi" w:hAnsiTheme="majorHAnsi"/>
          <w:spacing w:val="-3"/>
          <w:sz w:val="20"/>
          <w:szCs w:val="20"/>
        </w:rPr>
        <w:t xml:space="preserve"> </w:t>
      </w:r>
      <w:r w:rsidRPr="000977F7">
        <w:rPr>
          <w:rFonts w:asciiTheme="majorHAnsi" w:hAnsiTheme="majorHAnsi"/>
          <w:sz w:val="20"/>
          <w:szCs w:val="20"/>
        </w:rPr>
        <w:t>зняття</w:t>
      </w:r>
      <w:r w:rsidRPr="000977F7">
        <w:rPr>
          <w:rFonts w:asciiTheme="majorHAnsi" w:hAnsiTheme="majorHAnsi"/>
          <w:spacing w:val="-5"/>
          <w:sz w:val="20"/>
          <w:szCs w:val="20"/>
        </w:rPr>
        <w:t xml:space="preserve"> </w:t>
      </w:r>
      <w:r w:rsidRPr="000977F7">
        <w:rPr>
          <w:rFonts w:asciiTheme="majorHAnsi" w:hAnsiTheme="majorHAnsi"/>
          <w:sz w:val="20"/>
          <w:szCs w:val="20"/>
        </w:rPr>
        <w:t>стружки,</w:t>
      </w:r>
      <w:r w:rsidRPr="000977F7">
        <w:rPr>
          <w:rFonts w:asciiTheme="majorHAnsi" w:hAnsiTheme="majorHAnsi"/>
          <w:spacing w:val="-2"/>
          <w:sz w:val="20"/>
          <w:szCs w:val="20"/>
        </w:rPr>
        <w:t xml:space="preserve"> </w:t>
      </w:r>
      <w:r w:rsidRPr="000977F7">
        <w:rPr>
          <w:rFonts w:asciiTheme="majorHAnsi" w:hAnsiTheme="majorHAnsi"/>
          <w:sz w:val="20"/>
          <w:szCs w:val="20"/>
        </w:rPr>
        <w:t>вручну</w:t>
      </w:r>
      <w:r w:rsidRPr="000977F7">
        <w:rPr>
          <w:rFonts w:asciiTheme="majorHAnsi" w:hAnsiTheme="majorHAnsi"/>
          <w:spacing w:val="-48"/>
          <w:sz w:val="20"/>
          <w:szCs w:val="20"/>
        </w:rPr>
        <w:t xml:space="preserve"> </w:t>
      </w:r>
      <w:r w:rsidRPr="000977F7">
        <w:rPr>
          <w:rFonts w:asciiTheme="majorHAnsi" w:hAnsiTheme="majorHAnsi"/>
          <w:sz w:val="20"/>
          <w:szCs w:val="20"/>
        </w:rPr>
        <w:t>або на верстатах при відносних переміщеннях інструмента</w:t>
      </w:r>
      <w:r w:rsidRPr="000977F7">
        <w:rPr>
          <w:rFonts w:asciiTheme="majorHAnsi" w:hAnsiTheme="majorHAnsi"/>
          <w:spacing w:val="-5"/>
          <w:sz w:val="20"/>
          <w:szCs w:val="20"/>
        </w:rPr>
        <w:t xml:space="preserve"> </w:t>
      </w:r>
      <w:r w:rsidRPr="000977F7">
        <w:rPr>
          <w:rFonts w:asciiTheme="majorHAnsi" w:hAnsiTheme="majorHAnsi"/>
          <w:sz w:val="20"/>
          <w:szCs w:val="20"/>
        </w:rPr>
        <w:t>і</w:t>
      </w:r>
      <w:r w:rsidRPr="000977F7">
        <w:rPr>
          <w:rFonts w:asciiTheme="majorHAnsi" w:hAnsiTheme="majorHAnsi"/>
          <w:spacing w:val="-5"/>
          <w:sz w:val="20"/>
          <w:szCs w:val="20"/>
        </w:rPr>
        <w:t xml:space="preserve"> </w:t>
      </w:r>
      <w:r w:rsidRPr="000977F7">
        <w:rPr>
          <w:rFonts w:asciiTheme="majorHAnsi" w:hAnsiTheme="majorHAnsi"/>
          <w:sz w:val="20"/>
          <w:szCs w:val="20"/>
        </w:rPr>
        <w:t>заготовки</w:t>
      </w:r>
    </w:p>
    <w:p w14:paraId="2DBDAAC7"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pacing w:val="-1"/>
          <w:sz w:val="20"/>
          <w:szCs w:val="20"/>
        </w:rPr>
        <w:t>Багатоінструментальне</w:t>
      </w:r>
      <w:r w:rsidRPr="000977F7">
        <w:rPr>
          <w:rFonts w:asciiTheme="majorHAnsi" w:hAnsiTheme="majorHAnsi"/>
          <w:spacing w:val="9"/>
          <w:sz w:val="20"/>
          <w:szCs w:val="20"/>
        </w:rPr>
        <w:t xml:space="preserve"> </w:t>
      </w:r>
      <w:r w:rsidRPr="000977F7">
        <w:rPr>
          <w:rFonts w:asciiTheme="majorHAnsi" w:hAnsiTheme="majorHAnsi"/>
          <w:sz w:val="20"/>
          <w:szCs w:val="20"/>
        </w:rPr>
        <w:t>–на</w:t>
      </w:r>
      <w:r w:rsidRPr="000977F7">
        <w:rPr>
          <w:rFonts w:asciiTheme="majorHAnsi" w:hAnsiTheme="majorHAnsi"/>
          <w:spacing w:val="12"/>
          <w:sz w:val="20"/>
          <w:szCs w:val="20"/>
        </w:rPr>
        <w:t xml:space="preserve"> </w:t>
      </w:r>
      <w:r w:rsidRPr="000977F7">
        <w:rPr>
          <w:rFonts w:asciiTheme="majorHAnsi" w:hAnsiTheme="majorHAnsi"/>
          <w:sz w:val="20"/>
          <w:szCs w:val="20"/>
        </w:rPr>
        <w:t>металорізальному</w:t>
      </w:r>
      <w:r w:rsidRPr="000977F7">
        <w:rPr>
          <w:rFonts w:asciiTheme="majorHAnsi" w:hAnsiTheme="majorHAnsi"/>
          <w:spacing w:val="9"/>
          <w:sz w:val="20"/>
          <w:szCs w:val="20"/>
        </w:rPr>
        <w:t xml:space="preserve"> </w:t>
      </w:r>
      <w:r w:rsidRPr="000977F7">
        <w:rPr>
          <w:rFonts w:asciiTheme="majorHAnsi" w:hAnsiTheme="majorHAnsi"/>
          <w:sz w:val="20"/>
          <w:szCs w:val="20"/>
        </w:rPr>
        <w:t>верстаті</w:t>
      </w:r>
      <w:r w:rsidRPr="000977F7">
        <w:rPr>
          <w:rFonts w:asciiTheme="majorHAnsi" w:hAnsiTheme="majorHAnsi"/>
          <w:spacing w:val="-47"/>
          <w:sz w:val="20"/>
          <w:szCs w:val="20"/>
        </w:rPr>
        <w:t xml:space="preserve"> </w:t>
      </w:r>
      <w:r w:rsidRPr="000977F7">
        <w:rPr>
          <w:rFonts w:asciiTheme="majorHAnsi" w:hAnsiTheme="majorHAnsi"/>
          <w:sz w:val="20"/>
          <w:szCs w:val="20"/>
        </w:rPr>
        <w:t>одночасно декількома ріжучими інструментами</w:t>
      </w:r>
      <w:r w:rsidRPr="000977F7">
        <w:rPr>
          <w:rFonts w:asciiTheme="majorHAnsi" w:hAnsiTheme="majorHAnsi"/>
          <w:spacing w:val="1"/>
          <w:sz w:val="20"/>
          <w:szCs w:val="20"/>
        </w:rPr>
        <w:t xml:space="preserve"> </w:t>
      </w:r>
    </w:p>
    <w:p w14:paraId="604D6B6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Об’ємне</w:t>
      </w:r>
      <w:r w:rsidRPr="000977F7">
        <w:rPr>
          <w:rFonts w:asciiTheme="majorHAnsi" w:hAnsiTheme="majorHAnsi"/>
          <w:spacing w:val="5"/>
          <w:sz w:val="20"/>
          <w:szCs w:val="20"/>
        </w:rPr>
        <w:t xml:space="preserve"> </w:t>
      </w:r>
      <w:r w:rsidRPr="000977F7">
        <w:rPr>
          <w:rFonts w:asciiTheme="majorHAnsi" w:hAnsiTheme="majorHAnsi"/>
          <w:sz w:val="20"/>
          <w:szCs w:val="20"/>
        </w:rPr>
        <w:t>зміцнювальне</w:t>
      </w:r>
      <w:r w:rsidRPr="000977F7">
        <w:rPr>
          <w:rFonts w:asciiTheme="majorHAnsi" w:hAnsiTheme="majorHAnsi"/>
          <w:spacing w:val="5"/>
          <w:sz w:val="20"/>
          <w:szCs w:val="20"/>
        </w:rPr>
        <w:t xml:space="preserve"> </w:t>
      </w:r>
      <w:r w:rsidRPr="000977F7">
        <w:rPr>
          <w:rFonts w:asciiTheme="majorHAnsi" w:hAnsiTheme="majorHAnsi"/>
          <w:sz w:val="20"/>
          <w:szCs w:val="20"/>
        </w:rPr>
        <w:t>–</w:t>
      </w:r>
      <w:r w:rsidRPr="000977F7">
        <w:rPr>
          <w:rFonts w:asciiTheme="majorHAnsi" w:hAnsiTheme="majorHAnsi"/>
          <w:spacing w:val="9"/>
          <w:sz w:val="20"/>
          <w:szCs w:val="20"/>
        </w:rPr>
        <w:t xml:space="preserve"> </w:t>
      </w:r>
      <w:r w:rsidRPr="000977F7">
        <w:rPr>
          <w:rFonts w:asciiTheme="majorHAnsi" w:hAnsiTheme="majorHAnsi"/>
          <w:sz w:val="20"/>
          <w:szCs w:val="20"/>
        </w:rPr>
        <w:t>з</w:t>
      </w:r>
      <w:r w:rsidRPr="000977F7">
        <w:rPr>
          <w:rFonts w:asciiTheme="majorHAnsi" w:hAnsiTheme="majorHAnsi"/>
          <w:spacing w:val="5"/>
          <w:sz w:val="20"/>
          <w:szCs w:val="20"/>
        </w:rPr>
        <w:t xml:space="preserve"> </w:t>
      </w:r>
      <w:r w:rsidRPr="000977F7">
        <w:rPr>
          <w:rFonts w:asciiTheme="majorHAnsi" w:hAnsiTheme="majorHAnsi"/>
          <w:sz w:val="20"/>
          <w:szCs w:val="20"/>
        </w:rPr>
        <w:t>об’ємним</w:t>
      </w:r>
      <w:r w:rsidRPr="000977F7">
        <w:rPr>
          <w:rFonts w:asciiTheme="majorHAnsi" w:hAnsiTheme="majorHAnsi"/>
          <w:spacing w:val="7"/>
          <w:sz w:val="20"/>
          <w:szCs w:val="20"/>
        </w:rPr>
        <w:t xml:space="preserve"> </w:t>
      </w:r>
      <w:r w:rsidRPr="000977F7">
        <w:rPr>
          <w:rFonts w:asciiTheme="majorHAnsi" w:hAnsiTheme="majorHAnsi"/>
          <w:sz w:val="20"/>
          <w:szCs w:val="20"/>
        </w:rPr>
        <w:t>зміцненням</w:t>
      </w:r>
      <w:r w:rsidRPr="000977F7">
        <w:rPr>
          <w:rFonts w:asciiTheme="majorHAnsi" w:hAnsiTheme="majorHAnsi"/>
          <w:spacing w:val="7"/>
          <w:sz w:val="20"/>
          <w:szCs w:val="20"/>
        </w:rPr>
        <w:t xml:space="preserve"> </w:t>
      </w:r>
      <w:r w:rsidRPr="000977F7">
        <w:rPr>
          <w:rFonts w:asciiTheme="majorHAnsi" w:hAnsiTheme="majorHAnsi"/>
          <w:sz w:val="20"/>
          <w:szCs w:val="20"/>
        </w:rPr>
        <w:t>заготовки</w:t>
      </w:r>
    </w:p>
    <w:p w14:paraId="151F702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Остаточне</w:t>
      </w:r>
      <w:r w:rsidRPr="000977F7">
        <w:rPr>
          <w:rFonts w:asciiTheme="majorHAnsi" w:hAnsiTheme="majorHAnsi"/>
          <w:spacing w:val="-12"/>
          <w:sz w:val="20"/>
          <w:szCs w:val="20"/>
        </w:rPr>
        <w:t xml:space="preserve"> </w:t>
      </w:r>
      <w:r w:rsidRPr="000977F7">
        <w:rPr>
          <w:rFonts w:asciiTheme="majorHAnsi" w:hAnsiTheme="majorHAnsi"/>
          <w:sz w:val="20"/>
          <w:szCs w:val="20"/>
        </w:rPr>
        <w:t>–</w:t>
      </w:r>
      <w:r w:rsidRPr="000977F7">
        <w:rPr>
          <w:rFonts w:asciiTheme="majorHAnsi" w:hAnsiTheme="majorHAnsi"/>
          <w:spacing w:val="-11"/>
          <w:sz w:val="20"/>
          <w:szCs w:val="20"/>
        </w:rPr>
        <w:t xml:space="preserve"> </w:t>
      </w:r>
      <w:r w:rsidRPr="000977F7">
        <w:rPr>
          <w:rFonts w:asciiTheme="majorHAnsi" w:hAnsiTheme="majorHAnsi"/>
          <w:sz w:val="20"/>
          <w:szCs w:val="20"/>
        </w:rPr>
        <w:t>останньою</w:t>
      </w:r>
      <w:r w:rsidRPr="000977F7">
        <w:rPr>
          <w:rFonts w:asciiTheme="majorHAnsi" w:hAnsiTheme="majorHAnsi"/>
          <w:spacing w:val="-12"/>
          <w:sz w:val="20"/>
          <w:szCs w:val="20"/>
        </w:rPr>
        <w:t xml:space="preserve"> </w:t>
      </w:r>
      <w:r w:rsidRPr="000977F7">
        <w:rPr>
          <w:rFonts w:asciiTheme="majorHAnsi" w:hAnsiTheme="majorHAnsi"/>
          <w:sz w:val="20"/>
          <w:szCs w:val="20"/>
        </w:rPr>
        <w:t>операцією</w:t>
      </w:r>
      <w:r w:rsidRPr="000977F7">
        <w:rPr>
          <w:rFonts w:asciiTheme="majorHAnsi" w:hAnsiTheme="majorHAnsi"/>
          <w:spacing w:val="-10"/>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8"/>
          <w:sz w:val="20"/>
          <w:szCs w:val="20"/>
        </w:rPr>
        <w:t xml:space="preserve"> </w:t>
      </w:r>
      <w:r w:rsidRPr="000977F7">
        <w:rPr>
          <w:rFonts w:asciiTheme="majorHAnsi" w:hAnsiTheme="majorHAnsi"/>
          <w:sz w:val="20"/>
          <w:szCs w:val="20"/>
        </w:rPr>
        <w:t>процесу</w:t>
      </w:r>
      <w:r w:rsidRPr="000977F7">
        <w:rPr>
          <w:rFonts w:asciiTheme="majorHAnsi" w:hAnsiTheme="majorHAnsi"/>
          <w:spacing w:val="-7"/>
          <w:sz w:val="20"/>
          <w:szCs w:val="20"/>
        </w:rPr>
        <w:t xml:space="preserve"> </w:t>
      </w:r>
      <w:r w:rsidRPr="000977F7">
        <w:rPr>
          <w:rFonts w:asciiTheme="majorHAnsi" w:hAnsiTheme="majorHAnsi"/>
          <w:sz w:val="20"/>
          <w:szCs w:val="20"/>
        </w:rPr>
        <w:t>виготовлення</w:t>
      </w:r>
      <w:r w:rsidRPr="000977F7">
        <w:rPr>
          <w:rFonts w:asciiTheme="majorHAnsi" w:hAnsiTheme="majorHAnsi"/>
          <w:spacing w:val="-4"/>
          <w:sz w:val="20"/>
          <w:szCs w:val="20"/>
        </w:rPr>
        <w:t xml:space="preserve"> </w:t>
      </w:r>
      <w:r w:rsidRPr="000977F7">
        <w:rPr>
          <w:rFonts w:asciiTheme="majorHAnsi" w:hAnsiTheme="majorHAnsi"/>
          <w:sz w:val="20"/>
          <w:szCs w:val="20"/>
        </w:rPr>
        <w:t>деталі</w:t>
      </w:r>
    </w:p>
    <w:p w14:paraId="721F77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Опоряджувальне – забезпечує високу якість (малу шорсткість)</w:t>
      </w:r>
      <w:r w:rsidRPr="000977F7">
        <w:rPr>
          <w:rFonts w:asciiTheme="majorHAnsi" w:hAnsiTheme="majorHAnsi"/>
          <w:spacing w:val="-7"/>
          <w:sz w:val="20"/>
          <w:szCs w:val="20"/>
        </w:rPr>
        <w:t xml:space="preserve"> </w:t>
      </w:r>
      <w:r w:rsidRPr="000977F7">
        <w:rPr>
          <w:rFonts w:asciiTheme="majorHAnsi" w:hAnsiTheme="majorHAnsi"/>
          <w:sz w:val="20"/>
          <w:szCs w:val="20"/>
        </w:rPr>
        <w:t>оброблених</w:t>
      </w:r>
      <w:r w:rsidRPr="000977F7">
        <w:rPr>
          <w:rFonts w:asciiTheme="majorHAnsi" w:hAnsiTheme="majorHAnsi"/>
          <w:spacing w:val="-6"/>
          <w:sz w:val="20"/>
          <w:szCs w:val="20"/>
        </w:rPr>
        <w:t xml:space="preserve"> </w:t>
      </w:r>
      <w:r w:rsidRPr="000977F7">
        <w:rPr>
          <w:rFonts w:asciiTheme="majorHAnsi" w:hAnsiTheme="majorHAnsi"/>
          <w:sz w:val="20"/>
          <w:szCs w:val="20"/>
        </w:rPr>
        <w:t>поверхневих</w:t>
      </w:r>
      <w:r w:rsidRPr="000977F7">
        <w:rPr>
          <w:rFonts w:asciiTheme="majorHAnsi" w:hAnsiTheme="majorHAnsi"/>
          <w:spacing w:val="-9"/>
          <w:sz w:val="20"/>
          <w:szCs w:val="20"/>
        </w:rPr>
        <w:t xml:space="preserve"> </w:t>
      </w:r>
      <w:r w:rsidRPr="000977F7">
        <w:rPr>
          <w:rFonts w:asciiTheme="majorHAnsi" w:hAnsiTheme="majorHAnsi"/>
          <w:sz w:val="20"/>
          <w:szCs w:val="20"/>
        </w:rPr>
        <w:t>шарів</w:t>
      </w:r>
    </w:p>
    <w:p w14:paraId="3C3CB9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Поверхневе</w:t>
      </w:r>
      <w:r w:rsidRPr="000977F7">
        <w:rPr>
          <w:rFonts w:asciiTheme="majorHAnsi" w:hAnsiTheme="majorHAnsi"/>
          <w:spacing w:val="-10"/>
          <w:sz w:val="20"/>
          <w:szCs w:val="20"/>
        </w:rPr>
        <w:t xml:space="preserve"> </w:t>
      </w:r>
      <w:r w:rsidRPr="000977F7">
        <w:rPr>
          <w:rFonts w:asciiTheme="majorHAnsi" w:hAnsiTheme="majorHAnsi"/>
          <w:sz w:val="20"/>
          <w:szCs w:val="20"/>
        </w:rPr>
        <w:t>зміцнювальне</w:t>
      </w:r>
      <w:r w:rsidRPr="000977F7">
        <w:rPr>
          <w:rFonts w:asciiTheme="majorHAnsi" w:hAnsiTheme="majorHAnsi"/>
          <w:spacing w:val="-9"/>
          <w:sz w:val="20"/>
          <w:szCs w:val="20"/>
        </w:rPr>
        <w:t xml:space="preserve"> </w:t>
      </w:r>
      <w:r w:rsidRPr="000977F7">
        <w:rPr>
          <w:rFonts w:asciiTheme="majorHAnsi" w:hAnsiTheme="majorHAnsi"/>
          <w:sz w:val="20"/>
          <w:szCs w:val="20"/>
        </w:rPr>
        <w:t>–</w:t>
      </w:r>
      <w:r w:rsidRPr="000977F7">
        <w:rPr>
          <w:rFonts w:asciiTheme="majorHAnsi" w:hAnsiTheme="majorHAnsi"/>
          <w:spacing w:val="-9"/>
          <w:sz w:val="20"/>
          <w:szCs w:val="20"/>
        </w:rPr>
        <w:t xml:space="preserve"> </w:t>
      </w:r>
      <w:r w:rsidRPr="000977F7">
        <w:rPr>
          <w:rFonts w:asciiTheme="majorHAnsi" w:hAnsiTheme="majorHAnsi"/>
          <w:sz w:val="20"/>
          <w:szCs w:val="20"/>
        </w:rPr>
        <w:t>із</w:t>
      </w:r>
      <w:r w:rsidRPr="000977F7">
        <w:rPr>
          <w:rFonts w:asciiTheme="majorHAnsi" w:hAnsiTheme="majorHAnsi"/>
          <w:spacing w:val="-11"/>
          <w:sz w:val="20"/>
          <w:szCs w:val="20"/>
        </w:rPr>
        <w:t xml:space="preserve"> </w:t>
      </w:r>
      <w:r w:rsidRPr="000977F7">
        <w:rPr>
          <w:rFonts w:asciiTheme="majorHAnsi" w:hAnsiTheme="majorHAnsi"/>
          <w:sz w:val="20"/>
          <w:szCs w:val="20"/>
        </w:rPr>
        <w:t>зміцненням</w:t>
      </w:r>
      <w:r w:rsidRPr="000977F7">
        <w:rPr>
          <w:rFonts w:asciiTheme="majorHAnsi" w:hAnsiTheme="majorHAnsi"/>
          <w:spacing w:val="-9"/>
          <w:sz w:val="20"/>
          <w:szCs w:val="20"/>
        </w:rPr>
        <w:t xml:space="preserve"> </w:t>
      </w:r>
      <w:r w:rsidRPr="000977F7">
        <w:rPr>
          <w:rFonts w:asciiTheme="majorHAnsi" w:hAnsiTheme="majorHAnsi"/>
          <w:sz w:val="20"/>
          <w:szCs w:val="20"/>
        </w:rPr>
        <w:t>поверхневого</w:t>
      </w:r>
      <w:r w:rsidRPr="000977F7">
        <w:rPr>
          <w:rFonts w:asciiTheme="majorHAnsi" w:hAnsiTheme="majorHAnsi"/>
          <w:spacing w:val="-5"/>
          <w:sz w:val="20"/>
          <w:szCs w:val="20"/>
        </w:rPr>
        <w:t xml:space="preserve"> </w:t>
      </w:r>
      <w:r w:rsidRPr="000977F7">
        <w:rPr>
          <w:rFonts w:asciiTheme="majorHAnsi" w:hAnsiTheme="majorHAnsi"/>
          <w:sz w:val="20"/>
          <w:szCs w:val="20"/>
        </w:rPr>
        <w:t>шару</w:t>
      </w:r>
      <w:r w:rsidRPr="000977F7">
        <w:rPr>
          <w:rFonts w:asciiTheme="majorHAnsi" w:hAnsiTheme="majorHAnsi"/>
          <w:spacing w:val="-8"/>
          <w:sz w:val="20"/>
          <w:szCs w:val="20"/>
        </w:rPr>
        <w:t xml:space="preserve"> </w:t>
      </w:r>
      <w:r w:rsidRPr="000977F7">
        <w:rPr>
          <w:rFonts w:asciiTheme="majorHAnsi" w:hAnsiTheme="majorHAnsi"/>
          <w:sz w:val="20"/>
          <w:szCs w:val="20"/>
        </w:rPr>
        <w:t>заготовки</w:t>
      </w:r>
    </w:p>
    <w:p w14:paraId="009B7F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Попереднє</w:t>
      </w:r>
      <w:r w:rsidRPr="000977F7">
        <w:rPr>
          <w:rFonts w:asciiTheme="majorHAnsi" w:hAnsiTheme="majorHAnsi"/>
          <w:spacing w:val="-11"/>
          <w:sz w:val="20"/>
          <w:szCs w:val="20"/>
        </w:rPr>
        <w:t xml:space="preserve"> </w:t>
      </w:r>
      <w:r w:rsidRPr="000977F7">
        <w:rPr>
          <w:rFonts w:asciiTheme="majorHAnsi" w:hAnsiTheme="majorHAnsi"/>
          <w:spacing w:val="-1"/>
          <w:sz w:val="20"/>
          <w:szCs w:val="20"/>
        </w:rPr>
        <w:t>–</w:t>
      </w:r>
      <w:r w:rsidRPr="000977F7">
        <w:rPr>
          <w:rFonts w:asciiTheme="majorHAnsi" w:hAnsiTheme="majorHAnsi"/>
          <w:spacing w:val="-9"/>
          <w:sz w:val="20"/>
          <w:szCs w:val="20"/>
        </w:rPr>
        <w:t xml:space="preserve"> </w:t>
      </w:r>
      <w:r w:rsidRPr="000977F7">
        <w:rPr>
          <w:rFonts w:asciiTheme="majorHAnsi" w:hAnsiTheme="majorHAnsi"/>
          <w:spacing w:val="-1"/>
          <w:sz w:val="20"/>
          <w:szCs w:val="20"/>
        </w:rPr>
        <w:t>для</w:t>
      </w:r>
      <w:r w:rsidRPr="000977F7">
        <w:rPr>
          <w:rFonts w:asciiTheme="majorHAnsi" w:hAnsiTheme="majorHAnsi"/>
          <w:spacing w:val="-12"/>
          <w:sz w:val="20"/>
          <w:szCs w:val="20"/>
        </w:rPr>
        <w:t xml:space="preserve"> </w:t>
      </w:r>
      <w:r w:rsidRPr="000977F7">
        <w:rPr>
          <w:rFonts w:asciiTheme="majorHAnsi" w:hAnsiTheme="majorHAnsi"/>
          <w:spacing w:val="-1"/>
          <w:sz w:val="20"/>
          <w:szCs w:val="20"/>
        </w:rPr>
        <w:t>придання</w:t>
      </w:r>
      <w:r w:rsidRPr="000977F7">
        <w:rPr>
          <w:rFonts w:asciiTheme="majorHAnsi" w:hAnsiTheme="majorHAnsi"/>
          <w:spacing w:val="-11"/>
          <w:sz w:val="20"/>
          <w:szCs w:val="20"/>
        </w:rPr>
        <w:t xml:space="preserve"> </w:t>
      </w:r>
      <w:r w:rsidRPr="000977F7">
        <w:rPr>
          <w:rFonts w:asciiTheme="majorHAnsi" w:hAnsiTheme="majorHAnsi"/>
          <w:spacing w:val="-1"/>
          <w:sz w:val="20"/>
          <w:szCs w:val="20"/>
        </w:rPr>
        <w:t>заготовці</w:t>
      </w:r>
      <w:r w:rsidRPr="000977F7">
        <w:rPr>
          <w:rFonts w:asciiTheme="majorHAnsi" w:hAnsiTheme="majorHAnsi"/>
          <w:spacing w:val="-11"/>
          <w:sz w:val="20"/>
          <w:szCs w:val="20"/>
        </w:rPr>
        <w:t xml:space="preserve"> </w:t>
      </w:r>
      <w:r w:rsidRPr="000977F7">
        <w:rPr>
          <w:rFonts w:asciiTheme="majorHAnsi" w:hAnsiTheme="majorHAnsi"/>
          <w:sz w:val="20"/>
          <w:szCs w:val="20"/>
        </w:rPr>
        <w:t>форми</w:t>
      </w:r>
      <w:r w:rsidRPr="000977F7">
        <w:rPr>
          <w:rFonts w:asciiTheme="majorHAnsi" w:hAnsiTheme="majorHAnsi"/>
          <w:spacing w:val="-12"/>
          <w:sz w:val="20"/>
          <w:szCs w:val="20"/>
        </w:rPr>
        <w:t xml:space="preserve"> </w:t>
      </w:r>
      <w:r w:rsidRPr="000977F7">
        <w:rPr>
          <w:rFonts w:asciiTheme="majorHAnsi" w:hAnsiTheme="majorHAnsi"/>
          <w:sz w:val="20"/>
          <w:szCs w:val="20"/>
        </w:rPr>
        <w:t>та</w:t>
      </w:r>
      <w:r w:rsidRPr="000977F7">
        <w:rPr>
          <w:rFonts w:asciiTheme="majorHAnsi" w:hAnsiTheme="majorHAnsi"/>
          <w:spacing w:val="-10"/>
          <w:sz w:val="20"/>
          <w:szCs w:val="20"/>
        </w:rPr>
        <w:t xml:space="preserve"> </w:t>
      </w:r>
      <w:r w:rsidRPr="000977F7">
        <w:rPr>
          <w:rFonts w:asciiTheme="majorHAnsi" w:hAnsiTheme="majorHAnsi"/>
          <w:sz w:val="20"/>
          <w:szCs w:val="20"/>
        </w:rPr>
        <w:t>розмірів,</w:t>
      </w:r>
      <w:r w:rsidRPr="000977F7">
        <w:rPr>
          <w:rFonts w:asciiTheme="majorHAnsi" w:hAnsiTheme="majorHAnsi"/>
          <w:spacing w:val="-47"/>
          <w:sz w:val="20"/>
          <w:szCs w:val="20"/>
        </w:rPr>
        <w:t xml:space="preserve"> </w:t>
      </w:r>
      <w:r w:rsidRPr="000977F7">
        <w:rPr>
          <w:rFonts w:asciiTheme="majorHAnsi" w:hAnsiTheme="majorHAnsi"/>
          <w:sz w:val="20"/>
          <w:szCs w:val="20"/>
        </w:rPr>
        <w:t>наближених</w:t>
      </w:r>
      <w:r w:rsidRPr="000977F7">
        <w:rPr>
          <w:rFonts w:asciiTheme="majorHAnsi" w:hAnsiTheme="majorHAnsi"/>
          <w:spacing w:val="-5"/>
          <w:sz w:val="20"/>
          <w:szCs w:val="20"/>
        </w:rPr>
        <w:t xml:space="preserve"> </w:t>
      </w:r>
      <w:r w:rsidRPr="000977F7">
        <w:rPr>
          <w:rFonts w:asciiTheme="majorHAnsi" w:hAnsiTheme="majorHAnsi"/>
          <w:sz w:val="20"/>
          <w:szCs w:val="20"/>
        </w:rPr>
        <w:t>до</w:t>
      </w:r>
      <w:r w:rsidRPr="000977F7">
        <w:rPr>
          <w:rFonts w:asciiTheme="majorHAnsi" w:hAnsiTheme="majorHAnsi"/>
          <w:spacing w:val="-5"/>
          <w:sz w:val="20"/>
          <w:szCs w:val="20"/>
        </w:rPr>
        <w:t xml:space="preserve"> </w:t>
      </w:r>
      <w:r w:rsidRPr="000977F7">
        <w:rPr>
          <w:rFonts w:asciiTheme="majorHAnsi" w:hAnsiTheme="majorHAnsi"/>
          <w:sz w:val="20"/>
          <w:szCs w:val="20"/>
        </w:rPr>
        <w:t>кінцевих</w:t>
      </w:r>
    </w:p>
    <w:p w14:paraId="687454C2"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Прецизійне</w:t>
      </w:r>
      <w:r w:rsidRPr="000977F7">
        <w:rPr>
          <w:rFonts w:asciiTheme="majorHAnsi" w:hAnsiTheme="majorHAnsi"/>
          <w:spacing w:val="36"/>
          <w:sz w:val="20"/>
          <w:szCs w:val="20"/>
        </w:rPr>
        <w:t xml:space="preserve"> </w:t>
      </w:r>
      <w:r w:rsidRPr="000977F7">
        <w:rPr>
          <w:rFonts w:asciiTheme="majorHAnsi" w:hAnsiTheme="majorHAnsi"/>
          <w:sz w:val="20"/>
          <w:szCs w:val="20"/>
        </w:rPr>
        <w:t>–</w:t>
      </w:r>
      <w:r w:rsidRPr="000977F7">
        <w:rPr>
          <w:rFonts w:asciiTheme="majorHAnsi" w:hAnsiTheme="majorHAnsi"/>
          <w:spacing w:val="37"/>
          <w:sz w:val="20"/>
          <w:szCs w:val="20"/>
        </w:rPr>
        <w:t xml:space="preserve"> </w:t>
      </w:r>
      <w:r w:rsidRPr="000977F7">
        <w:rPr>
          <w:rFonts w:asciiTheme="majorHAnsi" w:hAnsiTheme="majorHAnsi"/>
          <w:sz w:val="20"/>
          <w:szCs w:val="20"/>
        </w:rPr>
        <w:t>забезпечує</w:t>
      </w:r>
      <w:r w:rsidRPr="000977F7">
        <w:rPr>
          <w:rFonts w:asciiTheme="majorHAnsi" w:hAnsiTheme="majorHAnsi"/>
          <w:spacing w:val="37"/>
          <w:sz w:val="20"/>
          <w:szCs w:val="20"/>
        </w:rPr>
        <w:t xml:space="preserve"> </w:t>
      </w:r>
      <w:r w:rsidRPr="000977F7">
        <w:rPr>
          <w:rFonts w:asciiTheme="majorHAnsi" w:hAnsiTheme="majorHAnsi"/>
          <w:sz w:val="20"/>
          <w:szCs w:val="20"/>
        </w:rPr>
        <w:t>високу</w:t>
      </w:r>
      <w:r w:rsidRPr="000977F7">
        <w:rPr>
          <w:rFonts w:asciiTheme="majorHAnsi" w:hAnsiTheme="majorHAnsi"/>
          <w:spacing w:val="36"/>
          <w:sz w:val="20"/>
          <w:szCs w:val="20"/>
        </w:rPr>
        <w:t xml:space="preserve"> </w:t>
      </w:r>
      <w:r w:rsidRPr="000977F7">
        <w:rPr>
          <w:rFonts w:asciiTheme="majorHAnsi" w:hAnsiTheme="majorHAnsi"/>
          <w:sz w:val="20"/>
          <w:szCs w:val="20"/>
        </w:rPr>
        <w:t>та</w:t>
      </w:r>
      <w:r w:rsidRPr="000977F7">
        <w:rPr>
          <w:rFonts w:asciiTheme="majorHAnsi" w:hAnsiTheme="majorHAnsi"/>
          <w:spacing w:val="36"/>
          <w:sz w:val="20"/>
          <w:szCs w:val="20"/>
        </w:rPr>
        <w:t xml:space="preserve"> </w:t>
      </w:r>
      <w:r w:rsidRPr="000977F7">
        <w:rPr>
          <w:rFonts w:asciiTheme="majorHAnsi" w:hAnsiTheme="majorHAnsi"/>
          <w:sz w:val="20"/>
          <w:szCs w:val="20"/>
        </w:rPr>
        <w:t>особливо</w:t>
      </w:r>
      <w:r w:rsidRPr="000977F7">
        <w:rPr>
          <w:rFonts w:asciiTheme="majorHAnsi" w:hAnsiTheme="majorHAnsi"/>
          <w:spacing w:val="39"/>
          <w:sz w:val="20"/>
          <w:szCs w:val="20"/>
        </w:rPr>
        <w:t xml:space="preserve"> </w:t>
      </w:r>
      <w:r w:rsidRPr="000977F7">
        <w:rPr>
          <w:rFonts w:asciiTheme="majorHAnsi" w:hAnsiTheme="majorHAnsi"/>
          <w:sz w:val="20"/>
          <w:szCs w:val="20"/>
        </w:rPr>
        <w:t>високу</w:t>
      </w:r>
      <w:r w:rsidRPr="000977F7">
        <w:rPr>
          <w:rFonts w:asciiTheme="majorHAnsi" w:hAnsiTheme="majorHAnsi"/>
          <w:spacing w:val="-47"/>
          <w:sz w:val="20"/>
          <w:szCs w:val="20"/>
        </w:rPr>
        <w:t xml:space="preserve"> </w:t>
      </w:r>
      <w:r w:rsidRPr="000977F7">
        <w:rPr>
          <w:rFonts w:asciiTheme="majorHAnsi" w:hAnsiTheme="majorHAnsi"/>
          <w:sz w:val="20"/>
          <w:szCs w:val="20"/>
        </w:rPr>
        <w:t>точність розмірів деталі з допусками до долей мкм</w:t>
      </w:r>
      <w:r w:rsidRPr="000977F7">
        <w:rPr>
          <w:rFonts w:asciiTheme="majorHAnsi" w:hAnsiTheme="majorHAnsi"/>
          <w:spacing w:val="1"/>
          <w:sz w:val="20"/>
          <w:szCs w:val="20"/>
        </w:rPr>
        <w:t xml:space="preserve"> </w:t>
      </w:r>
    </w:p>
    <w:p w14:paraId="51E4805A"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pacing w:val="-2"/>
          <w:sz w:val="20"/>
          <w:szCs w:val="20"/>
        </w:rPr>
        <w:t>Програмне</w:t>
      </w:r>
      <w:r w:rsidRPr="000977F7">
        <w:rPr>
          <w:rFonts w:asciiTheme="majorHAnsi" w:hAnsiTheme="majorHAnsi"/>
          <w:spacing w:val="-10"/>
          <w:sz w:val="20"/>
          <w:szCs w:val="20"/>
        </w:rPr>
        <w:t xml:space="preserve"> </w:t>
      </w:r>
      <w:r w:rsidRPr="000977F7">
        <w:rPr>
          <w:rFonts w:asciiTheme="majorHAnsi" w:hAnsiTheme="majorHAnsi"/>
          <w:spacing w:val="-1"/>
          <w:sz w:val="20"/>
          <w:szCs w:val="20"/>
        </w:rPr>
        <w:t>–</w:t>
      </w:r>
      <w:r w:rsidRPr="000977F7">
        <w:rPr>
          <w:rFonts w:asciiTheme="majorHAnsi" w:hAnsiTheme="majorHAnsi"/>
          <w:spacing w:val="-9"/>
          <w:sz w:val="20"/>
          <w:szCs w:val="20"/>
        </w:rPr>
        <w:t xml:space="preserve"> </w:t>
      </w:r>
      <w:r w:rsidRPr="000977F7">
        <w:rPr>
          <w:rFonts w:asciiTheme="majorHAnsi" w:hAnsiTheme="majorHAnsi"/>
          <w:spacing w:val="-1"/>
          <w:sz w:val="20"/>
          <w:szCs w:val="20"/>
        </w:rPr>
        <w:t>з</w:t>
      </w:r>
      <w:r w:rsidRPr="000977F7">
        <w:rPr>
          <w:rFonts w:asciiTheme="majorHAnsi" w:hAnsiTheme="majorHAnsi"/>
          <w:spacing w:val="-8"/>
          <w:sz w:val="20"/>
          <w:szCs w:val="20"/>
        </w:rPr>
        <w:t xml:space="preserve"> </w:t>
      </w:r>
      <w:r w:rsidRPr="000977F7">
        <w:rPr>
          <w:rFonts w:asciiTheme="majorHAnsi" w:hAnsiTheme="majorHAnsi"/>
          <w:spacing w:val="-1"/>
          <w:sz w:val="20"/>
          <w:szCs w:val="20"/>
        </w:rPr>
        <w:t>режимами</w:t>
      </w:r>
      <w:r w:rsidRPr="000977F7">
        <w:rPr>
          <w:rFonts w:asciiTheme="majorHAnsi" w:hAnsiTheme="majorHAnsi"/>
          <w:spacing w:val="-11"/>
          <w:sz w:val="20"/>
          <w:szCs w:val="20"/>
        </w:rPr>
        <w:t xml:space="preserve"> </w:t>
      </w:r>
      <w:r w:rsidRPr="000977F7">
        <w:rPr>
          <w:rFonts w:asciiTheme="majorHAnsi" w:hAnsiTheme="majorHAnsi"/>
          <w:spacing w:val="-1"/>
          <w:sz w:val="20"/>
          <w:szCs w:val="20"/>
        </w:rPr>
        <w:t>за</w:t>
      </w:r>
      <w:r w:rsidRPr="000977F7">
        <w:rPr>
          <w:rFonts w:asciiTheme="majorHAnsi" w:hAnsiTheme="majorHAnsi"/>
          <w:spacing w:val="-6"/>
          <w:sz w:val="20"/>
          <w:szCs w:val="20"/>
        </w:rPr>
        <w:t xml:space="preserve"> </w:t>
      </w:r>
      <w:r w:rsidRPr="000977F7">
        <w:rPr>
          <w:rFonts w:asciiTheme="majorHAnsi" w:hAnsiTheme="majorHAnsi"/>
          <w:spacing w:val="-1"/>
          <w:sz w:val="20"/>
          <w:szCs w:val="20"/>
        </w:rPr>
        <w:t>раніше</w:t>
      </w:r>
      <w:r w:rsidRPr="000977F7">
        <w:rPr>
          <w:rFonts w:asciiTheme="majorHAnsi" w:hAnsiTheme="majorHAnsi"/>
          <w:spacing w:val="-9"/>
          <w:sz w:val="20"/>
          <w:szCs w:val="20"/>
        </w:rPr>
        <w:t xml:space="preserve"> </w:t>
      </w:r>
      <w:r w:rsidRPr="000977F7">
        <w:rPr>
          <w:rFonts w:asciiTheme="majorHAnsi" w:hAnsiTheme="majorHAnsi"/>
          <w:spacing w:val="-1"/>
          <w:sz w:val="20"/>
          <w:szCs w:val="20"/>
        </w:rPr>
        <w:t>заданою</w:t>
      </w:r>
      <w:r w:rsidRPr="000977F7">
        <w:rPr>
          <w:rFonts w:asciiTheme="majorHAnsi" w:hAnsiTheme="majorHAnsi"/>
          <w:spacing w:val="-10"/>
          <w:sz w:val="20"/>
          <w:szCs w:val="20"/>
        </w:rPr>
        <w:t xml:space="preserve"> </w:t>
      </w:r>
      <w:r w:rsidRPr="000977F7">
        <w:rPr>
          <w:rFonts w:asciiTheme="majorHAnsi" w:hAnsiTheme="majorHAnsi"/>
          <w:spacing w:val="-1"/>
          <w:sz w:val="20"/>
          <w:szCs w:val="20"/>
        </w:rPr>
        <w:t>програмою</w:t>
      </w:r>
      <w:r w:rsidRPr="000977F7">
        <w:rPr>
          <w:rFonts w:asciiTheme="majorHAnsi" w:hAnsiTheme="majorHAnsi"/>
          <w:spacing w:val="-47"/>
          <w:sz w:val="20"/>
          <w:szCs w:val="20"/>
        </w:rPr>
        <w:t xml:space="preserve"> </w:t>
      </w:r>
    </w:p>
    <w:p w14:paraId="461CD4E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Розмірне</w:t>
      </w:r>
      <w:r w:rsidRPr="000977F7">
        <w:rPr>
          <w:rFonts w:asciiTheme="majorHAnsi" w:hAnsiTheme="majorHAnsi"/>
          <w:spacing w:val="1"/>
          <w:sz w:val="20"/>
          <w:szCs w:val="20"/>
        </w:rPr>
        <w:t xml:space="preserve"> </w:t>
      </w:r>
      <w:r w:rsidRPr="000977F7">
        <w:rPr>
          <w:rFonts w:asciiTheme="majorHAnsi" w:hAnsiTheme="majorHAnsi"/>
          <w:sz w:val="20"/>
          <w:szCs w:val="20"/>
        </w:rPr>
        <w:t>електроерозійне</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4"/>
          <w:sz w:val="20"/>
          <w:szCs w:val="20"/>
        </w:rPr>
        <w:t xml:space="preserve"> </w:t>
      </w:r>
      <w:r w:rsidRPr="000977F7">
        <w:rPr>
          <w:rFonts w:asciiTheme="majorHAnsi" w:hAnsiTheme="majorHAnsi"/>
          <w:sz w:val="20"/>
          <w:szCs w:val="20"/>
        </w:rPr>
        <w:t>засноване</w:t>
      </w:r>
      <w:r w:rsidRPr="000977F7">
        <w:rPr>
          <w:rFonts w:asciiTheme="majorHAnsi" w:hAnsiTheme="majorHAnsi"/>
          <w:spacing w:val="3"/>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ерозії</w:t>
      </w:r>
      <w:r w:rsidRPr="000977F7">
        <w:rPr>
          <w:rFonts w:asciiTheme="majorHAnsi" w:hAnsiTheme="majorHAnsi"/>
          <w:spacing w:val="3"/>
          <w:sz w:val="20"/>
          <w:szCs w:val="20"/>
        </w:rPr>
        <w:t xml:space="preserve"> </w:t>
      </w:r>
      <w:r w:rsidRPr="000977F7">
        <w:rPr>
          <w:rFonts w:asciiTheme="majorHAnsi" w:hAnsiTheme="majorHAnsi"/>
          <w:sz w:val="20"/>
          <w:szCs w:val="20"/>
        </w:rPr>
        <w:t>метала</w:t>
      </w:r>
      <w:r w:rsidRPr="000977F7">
        <w:rPr>
          <w:rFonts w:asciiTheme="majorHAnsi" w:hAnsiTheme="majorHAnsi"/>
          <w:spacing w:val="-47"/>
          <w:sz w:val="20"/>
          <w:szCs w:val="20"/>
        </w:rPr>
        <w:t xml:space="preserve"> </w:t>
      </w:r>
      <w:r w:rsidRPr="000977F7">
        <w:rPr>
          <w:rFonts w:asciiTheme="majorHAnsi" w:hAnsiTheme="majorHAnsi"/>
          <w:sz w:val="20"/>
          <w:szCs w:val="20"/>
        </w:rPr>
        <w:t>електричним</w:t>
      </w:r>
      <w:r w:rsidRPr="000977F7">
        <w:rPr>
          <w:rFonts w:asciiTheme="majorHAnsi" w:hAnsiTheme="majorHAnsi"/>
          <w:spacing w:val="1"/>
          <w:sz w:val="20"/>
          <w:szCs w:val="20"/>
        </w:rPr>
        <w:t xml:space="preserve"> </w:t>
      </w:r>
      <w:r w:rsidRPr="000977F7">
        <w:rPr>
          <w:rFonts w:asciiTheme="majorHAnsi" w:hAnsiTheme="majorHAnsi"/>
          <w:sz w:val="20"/>
          <w:szCs w:val="20"/>
        </w:rPr>
        <w:t>розрядом</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отриманням</w:t>
      </w:r>
      <w:r w:rsidRPr="000977F7">
        <w:rPr>
          <w:rFonts w:asciiTheme="majorHAnsi" w:hAnsiTheme="majorHAnsi"/>
          <w:spacing w:val="1"/>
          <w:sz w:val="20"/>
          <w:szCs w:val="20"/>
        </w:rPr>
        <w:t xml:space="preserve"> </w:t>
      </w:r>
      <w:r w:rsidRPr="000977F7">
        <w:rPr>
          <w:rFonts w:asciiTheme="majorHAnsi" w:hAnsiTheme="majorHAnsi"/>
          <w:sz w:val="20"/>
          <w:szCs w:val="20"/>
        </w:rPr>
        <w:t>деталі</w:t>
      </w:r>
      <w:r w:rsidRPr="000977F7">
        <w:rPr>
          <w:rFonts w:asciiTheme="majorHAnsi" w:hAnsiTheme="majorHAnsi"/>
          <w:spacing w:val="1"/>
          <w:sz w:val="20"/>
          <w:szCs w:val="20"/>
        </w:rPr>
        <w:t xml:space="preserve"> </w:t>
      </w:r>
      <w:r w:rsidRPr="000977F7">
        <w:rPr>
          <w:rFonts w:asciiTheme="majorHAnsi" w:hAnsiTheme="majorHAnsi"/>
          <w:sz w:val="20"/>
          <w:szCs w:val="20"/>
        </w:rPr>
        <w:t>заданої</w:t>
      </w:r>
      <w:r w:rsidRPr="000977F7">
        <w:rPr>
          <w:rFonts w:asciiTheme="majorHAnsi" w:hAnsiTheme="majorHAnsi"/>
          <w:spacing w:val="-47"/>
          <w:sz w:val="20"/>
          <w:szCs w:val="20"/>
        </w:rPr>
        <w:t xml:space="preserve"> </w:t>
      </w:r>
      <w:r w:rsidRPr="000977F7">
        <w:rPr>
          <w:rFonts w:asciiTheme="majorHAnsi" w:hAnsiTheme="majorHAnsi"/>
          <w:sz w:val="20"/>
          <w:szCs w:val="20"/>
        </w:rPr>
        <w:t>форми</w:t>
      </w:r>
      <w:r w:rsidRPr="000977F7">
        <w:rPr>
          <w:rFonts w:asciiTheme="majorHAnsi" w:hAnsiTheme="majorHAnsi"/>
          <w:spacing w:val="-7"/>
          <w:sz w:val="20"/>
          <w:szCs w:val="20"/>
        </w:rPr>
        <w:t xml:space="preserve"> </w:t>
      </w:r>
      <w:r w:rsidRPr="000977F7">
        <w:rPr>
          <w:rFonts w:asciiTheme="majorHAnsi" w:hAnsiTheme="majorHAnsi"/>
          <w:sz w:val="20"/>
          <w:szCs w:val="20"/>
        </w:rPr>
        <w:t>та</w:t>
      </w:r>
      <w:r w:rsidRPr="000977F7">
        <w:rPr>
          <w:rFonts w:asciiTheme="majorHAnsi" w:hAnsiTheme="majorHAnsi"/>
          <w:spacing w:val="-4"/>
          <w:sz w:val="20"/>
          <w:szCs w:val="20"/>
        </w:rPr>
        <w:t xml:space="preserve"> </w:t>
      </w:r>
      <w:r w:rsidRPr="000977F7">
        <w:rPr>
          <w:rFonts w:asciiTheme="majorHAnsi" w:hAnsiTheme="majorHAnsi"/>
          <w:sz w:val="20"/>
          <w:szCs w:val="20"/>
        </w:rPr>
        <w:t>розмірів</w:t>
      </w:r>
    </w:p>
    <w:p w14:paraId="5B1FDA4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Різанням – зняттям стружки для придання заготовці</w:t>
      </w:r>
      <w:r w:rsidRPr="000977F7">
        <w:rPr>
          <w:rFonts w:asciiTheme="majorHAnsi" w:hAnsiTheme="majorHAnsi"/>
          <w:spacing w:val="1"/>
          <w:sz w:val="20"/>
          <w:szCs w:val="20"/>
        </w:rPr>
        <w:t xml:space="preserve"> </w:t>
      </w:r>
      <w:r w:rsidRPr="000977F7">
        <w:rPr>
          <w:rFonts w:asciiTheme="majorHAnsi" w:hAnsiTheme="majorHAnsi"/>
          <w:sz w:val="20"/>
          <w:szCs w:val="20"/>
        </w:rPr>
        <w:t>заданої</w:t>
      </w:r>
      <w:r w:rsidRPr="000977F7">
        <w:rPr>
          <w:rFonts w:asciiTheme="majorHAnsi" w:hAnsiTheme="majorHAnsi"/>
          <w:spacing w:val="-9"/>
          <w:sz w:val="20"/>
          <w:szCs w:val="20"/>
        </w:rPr>
        <w:t xml:space="preserve"> </w:t>
      </w:r>
      <w:r w:rsidRPr="000977F7">
        <w:rPr>
          <w:rFonts w:asciiTheme="majorHAnsi" w:hAnsiTheme="majorHAnsi"/>
          <w:sz w:val="20"/>
          <w:szCs w:val="20"/>
        </w:rPr>
        <w:t>форми,</w:t>
      </w:r>
      <w:r w:rsidRPr="000977F7">
        <w:rPr>
          <w:rFonts w:asciiTheme="majorHAnsi" w:hAnsiTheme="majorHAnsi"/>
          <w:spacing w:val="-9"/>
          <w:sz w:val="20"/>
          <w:szCs w:val="20"/>
        </w:rPr>
        <w:t xml:space="preserve"> </w:t>
      </w:r>
      <w:r w:rsidRPr="000977F7">
        <w:rPr>
          <w:rFonts w:asciiTheme="majorHAnsi" w:hAnsiTheme="majorHAnsi"/>
          <w:sz w:val="20"/>
          <w:szCs w:val="20"/>
        </w:rPr>
        <w:t>розмірів</w:t>
      </w:r>
      <w:r w:rsidRPr="000977F7">
        <w:rPr>
          <w:rFonts w:asciiTheme="majorHAnsi" w:hAnsiTheme="majorHAnsi"/>
          <w:spacing w:val="-9"/>
          <w:sz w:val="20"/>
          <w:szCs w:val="20"/>
        </w:rPr>
        <w:t xml:space="preserve"> </w:t>
      </w:r>
      <w:r w:rsidRPr="000977F7">
        <w:rPr>
          <w:rFonts w:asciiTheme="majorHAnsi" w:hAnsiTheme="majorHAnsi"/>
          <w:sz w:val="20"/>
          <w:szCs w:val="20"/>
        </w:rPr>
        <w:t>та</w:t>
      </w:r>
      <w:r w:rsidRPr="000977F7">
        <w:rPr>
          <w:rFonts w:asciiTheme="majorHAnsi" w:hAnsiTheme="majorHAnsi"/>
          <w:spacing w:val="-9"/>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7"/>
          <w:sz w:val="20"/>
          <w:szCs w:val="20"/>
        </w:rPr>
        <w:t xml:space="preserve"> </w:t>
      </w:r>
      <w:r w:rsidRPr="000977F7">
        <w:rPr>
          <w:rFonts w:asciiTheme="majorHAnsi" w:hAnsiTheme="majorHAnsi"/>
          <w:sz w:val="20"/>
          <w:szCs w:val="20"/>
        </w:rPr>
        <w:t>потрібної</w:t>
      </w:r>
      <w:r w:rsidRPr="000977F7">
        <w:rPr>
          <w:rFonts w:asciiTheme="majorHAnsi" w:hAnsiTheme="majorHAnsi"/>
          <w:spacing w:val="-9"/>
          <w:sz w:val="20"/>
          <w:szCs w:val="20"/>
        </w:rPr>
        <w:t xml:space="preserve"> </w:t>
      </w:r>
      <w:r w:rsidRPr="000977F7">
        <w:rPr>
          <w:rFonts w:asciiTheme="majorHAnsi" w:hAnsiTheme="majorHAnsi"/>
          <w:sz w:val="20"/>
          <w:szCs w:val="20"/>
        </w:rPr>
        <w:t>якості</w:t>
      </w:r>
      <w:r w:rsidRPr="000977F7">
        <w:rPr>
          <w:rFonts w:asciiTheme="majorHAnsi" w:hAnsiTheme="majorHAnsi"/>
          <w:spacing w:val="-7"/>
          <w:sz w:val="20"/>
          <w:szCs w:val="20"/>
        </w:rPr>
        <w:t xml:space="preserve"> </w:t>
      </w:r>
      <w:r w:rsidRPr="000977F7">
        <w:rPr>
          <w:rFonts w:asciiTheme="majorHAnsi" w:hAnsiTheme="majorHAnsi"/>
          <w:sz w:val="20"/>
          <w:szCs w:val="20"/>
        </w:rPr>
        <w:t>оброблених</w:t>
      </w:r>
      <w:r w:rsidRPr="000977F7">
        <w:rPr>
          <w:rFonts w:asciiTheme="majorHAnsi" w:hAnsiTheme="majorHAnsi"/>
          <w:spacing w:val="-5"/>
          <w:sz w:val="20"/>
          <w:szCs w:val="20"/>
        </w:rPr>
        <w:t xml:space="preserve"> </w:t>
      </w:r>
      <w:r w:rsidRPr="000977F7">
        <w:rPr>
          <w:rFonts w:asciiTheme="majorHAnsi" w:hAnsiTheme="majorHAnsi"/>
          <w:sz w:val="20"/>
          <w:szCs w:val="20"/>
        </w:rPr>
        <w:t>поверхневих</w:t>
      </w:r>
      <w:r w:rsidRPr="000977F7">
        <w:rPr>
          <w:rFonts w:asciiTheme="majorHAnsi" w:hAnsiTheme="majorHAnsi"/>
          <w:spacing w:val="-6"/>
          <w:sz w:val="20"/>
          <w:szCs w:val="20"/>
        </w:rPr>
        <w:t xml:space="preserve"> </w:t>
      </w:r>
      <w:r w:rsidRPr="000977F7">
        <w:rPr>
          <w:rFonts w:asciiTheme="majorHAnsi" w:hAnsiTheme="majorHAnsi"/>
          <w:sz w:val="20"/>
          <w:szCs w:val="20"/>
        </w:rPr>
        <w:t>шарів</w:t>
      </w:r>
    </w:p>
    <w:p w14:paraId="700609D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Термічне – сукупність операцій нагрівання, витримки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5"/>
          <w:sz w:val="20"/>
          <w:szCs w:val="20"/>
        </w:rPr>
        <w:t xml:space="preserve"> </w:t>
      </w:r>
      <w:r w:rsidRPr="000977F7">
        <w:rPr>
          <w:rFonts w:asciiTheme="majorHAnsi" w:hAnsiTheme="majorHAnsi"/>
          <w:sz w:val="20"/>
          <w:szCs w:val="20"/>
        </w:rPr>
        <w:t>охолоджування,</w:t>
      </w:r>
      <w:r w:rsidRPr="000977F7">
        <w:rPr>
          <w:rFonts w:asciiTheme="majorHAnsi" w:hAnsiTheme="majorHAnsi"/>
          <w:spacing w:val="-5"/>
          <w:sz w:val="20"/>
          <w:szCs w:val="20"/>
        </w:rPr>
        <w:t xml:space="preserve"> </w:t>
      </w:r>
      <w:r w:rsidRPr="000977F7">
        <w:rPr>
          <w:rFonts w:asciiTheme="majorHAnsi" w:hAnsiTheme="majorHAnsi"/>
          <w:sz w:val="20"/>
          <w:szCs w:val="20"/>
        </w:rPr>
        <w:t>що</w:t>
      </w:r>
      <w:r w:rsidRPr="000977F7">
        <w:rPr>
          <w:rFonts w:asciiTheme="majorHAnsi" w:hAnsiTheme="majorHAnsi"/>
          <w:spacing w:val="-2"/>
          <w:sz w:val="20"/>
          <w:szCs w:val="20"/>
        </w:rPr>
        <w:t xml:space="preserve"> </w:t>
      </w:r>
      <w:r w:rsidRPr="000977F7">
        <w:rPr>
          <w:rFonts w:asciiTheme="majorHAnsi" w:hAnsiTheme="majorHAnsi"/>
          <w:sz w:val="20"/>
          <w:szCs w:val="20"/>
        </w:rPr>
        <w:t>призводить</w:t>
      </w:r>
      <w:r w:rsidRPr="000977F7">
        <w:rPr>
          <w:rFonts w:asciiTheme="majorHAnsi" w:hAnsiTheme="majorHAnsi"/>
          <w:spacing w:val="-5"/>
          <w:sz w:val="20"/>
          <w:szCs w:val="20"/>
        </w:rPr>
        <w:t xml:space="preserve"> </w:t>
      </w:r>
      <w:r w:rsidRPr="000977F7">
        <w:rPr>
          <w:rFonts w:asciiTheme="majorHAnsi" w:hAnsiTheme="majorHAnsi"/>
          <w:sz w:val="20"/>
          <w:szCs w:val="20"/>
        </w:rPr>
        <w:t>до</w:t>
      </w:r>
      <w:r w:rsidRPr="000977F7">
        <w:rPr>
          <w:rFonts w:asciiTheme="majorHAnsi" w:hAnsiTheme="majorHAnsi"/>
          <w:spacing w:val="-5"/>
          <w:sz w:val="20"/>
          <w:szCs w:val="20"/>
        </w:rPr>
        <w:t xml:space="preserve"> </w:t>
      </w:r>
      <w:r w:rsidRPr="000977F7">
        <w:rPr>
          <w:rFonts w:asciiTheme="majorHAnsi" w:hAnsiTheme="majorHAnsi"/>
          <w:sz w:val="20"/>
          <w:szCs w:val="20"/>
        </w:rPr>
        <w:t>зміцнення</w:t>
      </w:r>
      <w:r w:rsidRPr="000977F7">
        <w:rPr>
          <w:rFonts w:asciiTheme="majorHAnsi" w:hAnsiTheme="majorHAnsi"/>
          <w:spacing w:val="-5"/>
          <w:sz w:val="20"/>
          <w:szCs w:val="20"/>
        </w:rPr>
        <w:t xml:space="preserve"> </w:t>
      </w:r>
      <w:r w:rsidRPr="000977F7">
        <w:rPr>
          <w:rFonts w:asciiTheme="majorHAnsi" w:hAnsiTheme="majorHAnsi"/>
          <w:sz w:val="20"/>
          <w:szCs w:val="20"/>
        </w:rPr>
        <w:t>структури</w:t>
      </w:r>
      <w:r w:rsidRPr="000977F7">
        <w:rPr>
          <w:rFonts w:asciiTheme="majorHAnsi" w:hAnsiTheme="majorHAnsi"/>
          <w:spacing w:val="-6"/>
          <w:sz w:val="20"/>
          <w:szCs w:val="20"/>
        </w:rPr>
        <w:t xml:space="preserve"> </w:t>
      </w:r>
      <w:r w:rsidRPr="000977F7">
        <w:rPr>
          <w:rFonts w:asciiTheme="majorHAnsi" w:hAnsiTheme="majorHAnsi"/>
          <w:sz w:val="20"/>
          <w:szCs w:val="20"/>
        </w:rPr>
        <w:t>та</w:t>
      </w:r>
      <w:r w:rsidRPr="000977F7">
        <w:rPr>
          <w:rFonts w:asciiTheme="majorHAnsi" w:hAnsiTheme="majorHAnsi"/>
          <w:spacing w:val="-5"/>
          <w:sz w:val="20"/>
          <w:szCs w:val="20"/>
        </w:rPr>
        <w:t xml:space="preserve"> </w:t>
      </w:r>
      <w:r w:rsidRPr="000977F7">
        <w:rPr>
          <w:rFonts w:asciiTheme="majorHAnsi" w:hAnsiTheme="majorHAnsi"/>
          <w:sz w:val="20"/>
          <w:szCs w:val="20"/>
        </w:rPr>
        <w:t>властивостей</w:t>
      </w:r>
      <w:r w:rsidRPr="000977F7">
        <w:rPr>
          <w:rFonts w:asciiTheme="majorHAnsi" w:hAnsiTheme="majorHAnsi"/>
          <w:spacing w:val="-6"/>
          <w:sz w:val="20"/>
          <w:szCs w:val="20"/>
        </w:rPr>
        <w:t xml:space="preserve"> </w:t>
      </w:r>
      <w:r w:rsidRPr="000977F7">
        <w:rPr>
          <w:rFonts w:asciiTheme="majorHAnsi" w:hAnsiTheme="majorHAnsi"/>
          <w:sz w:val="20"/>
          <w:szCs w:val="20"/>
        </w:rPr>
        <w:t>матеріалів</w:t>
      </w:r>
    </w:p>
    <w:p w14:paraId="32B48FD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Термомеханічне</w:t>
      </w:r>
      <w:r w:rsidRPr="000977F7">
        <w:rPr>
          <w:rFonts w:asciiTheme="majorHAnsi" w:hAnsiTheme="majorHAnsi"/>
          <w:spacing w:val="39"/>
          <w:sz w:val="20"/>
          <w:szCs w:val="20"/>
        </w:rPr>
        <w:t xml:space="preserve"> </w:t>
      </w:r>
      <w:r w:rsidRPr="000977F7">
        <w:rPr>
          <w:rFonts w:asciiTheme="majorHAnsi" w:hAnsiTheme="majorHAnsi"/>
          <w:sz w:val="20"/>
          <w:szCs w:val="20"/>
        </w:rPr>
        <w:t>–</w:t>
      </w:r>
      <w:r w:rsidRPr="000977F7">
        <w:rPr>
          <w:rFonts w:asciiTheme="majorHAnsi" w:hAnsiTheme="majorHAnsi"/>
          <w:spacing w:val="39"/>
          <w:sz w:val="20"/>
          <w:szCs w:val="20"/>
        </w:rPr>
        <w:t xml:space="preserve"> </w:t>
      </w:r>
      <w:r w:rsidRPr="000977F7">
        <w:rPr>
          <w:rFonts w:asciiTheme="majorHAnsi" w:hAnsiTheme="majorHAnsi"/>
          <w:sz w:val="20"/>
          <w:szCs w:val="20"/>
        </w:rPr>
        <w:t>сукупність</w:t>
      </w:r>
      <w:r w:rsidRPr="000977F7">
        <w:rPr>
          <w:rFonts w:asciiTheme="majorHAnsi" w:hAnsiTheme="majorHAnsi"/>
          <w:spacing w:val="41"/>
          <w:sz w:val="20"/>
          <w:szCs w:val="20"/>
        </w:rPr>
        <w:t xml:space="preserve"> </w:t>
      </w:r>
      <w:r w:rsidRPr="000977F7">
        <w:rPr>
          <w:rFonts w:asciiTheme="majorHAnsi" w:hAnsiTheme="majorHAnsi"/>
          <w:sz w:val="20"/>
          <w:szCs w:val="20"/>
        </w:rPr>
        <w:t>пластичного</w:t>
      </w:r>
      <w:r w:rsidRPr="000977F7">
        <w:rPr>
          <w:rFonts w:asciiTheme="majorHAnsi" w:hAnsiTheme="majorHAnsi"/>
          <w:spacing w:val="41"/>
          <w:sz w:val="20"/>
          <w:szCs w:val="20"/>
        </w:rPr>
        <w:t xml:space="preserve"> </w:t>
      </w:r>
      <w:r w:rsidRPr="000977F7">
        <w:rPr>
          <w:rFonts w:asciiTheme="majorHAnsi" w:hAnsiTheme="majorHAnsi"/>
          <w:sz w:val="20"/>
          <w:szCs w:val="20"/>
        </w:rPr>
        <w:t>деформування</w:t>
      </w:r>
      <w:r w:rsidRPr="000977F7">
        <w:rPr>
          <w:rFonts w:asciiTheme="majorHAnsi" w:hAnsiTheme="majorHAnsi"/>
          <w:spacing w:val="6"/>
          <w:sz w:val="20"/>
          <w:szCs w:val="20"/>
        </w:rPr>
        <w:t xml:space="preserve"> </w:t>
      </w:r>
      <w:r w:rsidRPr="000977F7">
        <w:rPr>
          <w:rFonts w:asciiTheme="majorHAnsi" w:hAnsiTheme="majorHAnsi"/>
          <w:sz w:val="20"/>
          <w:szCs w:val="20"/>
        </w:rPr>
        <w:t>і</w:t>
      </w:r>
      <w:r w:rsidRPr="000977F7">
        <w:rPr>
          <w:rFonts w:asciiTheme="majorHAnsi" w:hAnsiTheme="majorHAnsi"/>
          <w:spacing w:val="8"/>
          <w:sz w:val="20"/>
          <w:szCs w:val="20"/>
        </w:rPr>
        <w:t xml:space="preserve"> </w:t>
      </w:r>
      <w:r w:rsidRPr="000977F7">
        <w:rPr>
          <w:rFonts w:asciiTheme="majorHAnsi" w:hAnsiTheme="majorHAnsi"/>
          <w:sz w:val="20"/>
          <w:szCs w:val="20"/>
        </w:rPr>
        <w:t>термічної</w:t>
      </w:r>
      <w:r w:rsidRPr="000977F7">
        <w:rPr>
          <w:rFonts w:asciiTheme="majorHAnsi" w:hAnsiTheme="majorHAnsi"/>
          <w:spacing w:val="8"/>
          <w:sz w:val="20"/>
          <w:szCs w:val="20"/>
        </w:rPr>
        <w:t xml:space="preserve"> </w:t>
      </w:r>
      <w:r w:rsidRPr="000977F7">
        <w:rPr>
          <w:rFonts w:asciiTheme="majorHAnsi" w:hAnsiTheme="majorHAnsi"/>
          <w:sz w:val="20"/>
          <w:szCs w:val="20"/>
        </w:rPr>
        <w:t>обробки,</w:t>
      </w:r>
      <w:r w:rsidRPr="000977F7">
        <w:rPr>
          <w:rFonts w:asciiTheme="majorHAnsi" w:hAnsiTheme="majorHAnsi"/>
          <w:spacing w:val="8"/>
          <w:sz w:val="20"/>
          <w:szCs w:val="20"/>
        </w:rPr>
        <w:t xml:space="preserve"> </w:t>
      </w:r>
      <w:r w:rsidRPr="000977F7">
        <w:rPr>
          <w:rFonts w:asciiTheme="majorHAnsi" w:hAnsiTheme="majorHAnsi"/>
          <w:sz w:val="20"/>
          <w:szCs w:val="20"/>
        </w:rPr>
        <w:t>при</w:t>
      </w:r>
      <w:r w:rsidRPr="000977F7">
        <w:rPr>
          <w:rFonts w:asciiTheme="majorHAnsi" w:hAnsiTheme="majorHAnsi"/>
          <w:spacing w:val="5"/>
          <w:sz w:val="20"/>
          <w:szCs w:val="20"/>
        </w:rPr>
        <w:t xml:space="preserve"> </w:t>
      </w:r>
      <w:r w:rsidRPr="000977F7">
        <w:rPr>
          <w:rFonts w:asciiTheme="majorHAnsi" w:hAnsiTheme="majorHAnsi"/>
          <w:sz w:val="20"/>
          <w:szCs w:val="20"/>
        </w:rPr>
        <w:t>якій</w:t>
      </w:r>
      <w:r w:rsidRPr="000977F7">
        <w:rPr>
          <w:rFonts w:asciiTheme="majorHAnsi" w:hAnsiTheme="majorHAnsi"/>
          <w:spacing w:val="7"/>
          <w:sz w:val="20"/>
          <w:szCs w:val="20"/>
        </w:rPr>
        <w:t xml:space="preserve"> </w:t>
      </w:r>
      <w:r w:rsidRPr="000977F7">
        <w:rPr>
          <w:rFonts w:asciiTheme="majorHAnsi" w:hAnsiTheme="majorHAnsi"/>
          <w:sz w:val="20"/>
          <w:szCs w:val="20"/>
        </w:rPr>
        <w:t>деформування</w:t>
      </w:r>
      <w:r w:rsidRPr="000977F7">
        <w:rPr>
          <w:rFonts w:asciiTheme="majorHAnsi" w:hAnsiTheme="majorHAnsi"/>
          <w:spacing w:val="-47"/>
          <w:sz w:val="20"/>
          <w:szCs w:val="20"/>
        </w:rPr>
        <w:t xml:space="preserve"> </w:t>
      </w:r>
      <w:r w:rsidRPr="000977F7">
        <w:rPr>
          <w:rFonts w:asciiTheme="majorHAnsi" w:hAnsiTheme="majorHAnsi"/>
          <w:sz w:val="20"/>
          <w:szCs w:val="20"/>
        </w:rPr>
        <w:t>структури</w:t>
      </w:r>
      <w:r w:rsidRPr="000977F7">
        <w:rPr>
          <w:rFonts w:asciiTheme="majorHAnsi" w:hAnsiTheme="majorHAnsi"/>
          <w:spacing w:val="20"/>
          <w:sz w:val="20"/>
          <w:szCs w:val="20"/>
        </w:rPr>
        <w:t xml:space="preserve"> </w:t>
      </w:r>
      <w:r w:rsidRPr="000977F7">
        <w:rPr>
          <w:rFonts w:asciiTheme="majorHAnsi" w:hAnsiTheme="majorHAnsi"/>
          <w:sz w:val="20"/>
          <w:szCs w:val="20"/>
        </w:rPr>
        <w:t>і</w:t>
      </w:r>
      <w:r w:rsidRPr="000977F7">
        <w:rPr>
          <w:rFonts w:asciiTheme="majorHAnsi" w:hAnsiTheme="majorHAnsi"/>
          <w:spacing w:val="23"/>
          <w:sz w:val="20"/>
          <w:szCs w:val="20"/>
        </w:rPr>
        <w:t xml:space="preserve"> </w:t>
      </w:r>
      <w:r w:rsidRPr="000977F7">
        <w:rPr>
          <w:rFonts w:asciiTheme="majorHAnsi" w:hAnsiTheme="majorHAnsi"/>
          <w:sz w:val="20"/>
          <w:szCs w:val="20"/>
        </w:rPr>
        <w:t>властивостей</w:t>
      </w:r>
      <w:r w:rsidRPr="000977F7">
        <w:rPr>
          <w:rFonts w:asciiTheme="majorHAnsi" w:hAnsiTheme="majorHAnsi"/>
          <w:spacing w:val="22"/>
          <w:sz w:val="20"/>
          <w:szCs w:val="20"/>
        </w:rPr>
        <w:t xml:space="preserve"> </w:t>
      </w:r>
      <w:r w:rsidRPr="000977F7">
        <w:rPr>
          <w:rFonts w:asciiTheme="majorHAnsi" w:hAnsiTheme="majorHAnsi"/>
          <w:sz w:val="20"/>
          <w:szCs w:val="20"/>
        </w:rPr>
        <w:t>метала</w:t>
      </w:r>
      <w:r w:rsidRPr="000977F7">
        <w:rPr>
          <w:rFonts w:asciiTheme="majorHAnsi" w:hAnsiTheme="majorHAnsi"/>
          <w:spacing w:val="24"/>
          <w:sz w:val="20"/>
          <w:szCs w:val="20"/>
        </w:rPr>
        <w:t xml:space="preserve"> </w:t>
      </w:r>
      <w:r w:rsidRPr="000977F7">
        <w:rPr>
          <w:rFonts w:asciiTheme="majorHAnsi" w:hAnsiTheme="majorHAnsi"/>
          <w:sz w:val="20"/>
          <w:szCs w:val="20"/>
        </w:rPr>
        <w:t>проходить</w:t>
      </w:r>
      <w:r w:rsidRPr="000977F7">
        <w:rPr>
          <w:rFonts w:asciiTheme="majorHAnsi" w:hAnsiTheme="majorHAnsi"/>
          <w:spacing w:val="24"/>
          <w:sz w:val="20"/>
          <w:szCs w:val="20"/>
        </w:rPr>
        <w:t xml:space="preserve"> </w:t>
      </w:r>
      <w:r w:rsidRPr="000977F7">
        <w:rPr>
          <w:rFonts w:asciiTheme="majorHAnsi" w:hAnsiTheme="majorHAnsi"/>
          <w:sz w:val="20"/>
          <w:szCs w:val="20"/>
        </w:rPr>
        <w:t>в</w:t>
      </w:r>
      <w:r w:rsidRPr="000977F7">
        <w:rPr>
          <w:rFonts w:asciiTheme="majorHAnsi" w:hAnsiTheme="majorHAnsi"/>
          <w:spacing w:val="23"/>
          <w:sz w:val="20"/>
          <w:szCs w:val="20"/>
        </w:rPr>
        <w:t xml:space="preserve"> </w:t>
      </w:r>
      <w:r w:rsidRPr="000977F7">
        <w:rPr>
          <w:rFonts w:asciiTheme="majorHAnsi" w:hAnsiTheme="majorHAnsi"/>
          <w:sz w:val="20"/>
          <w:szCs w:val="20"/>
        </w:rPr>
        <w:t>умовах</w:t>
      </w:r>
      <w:r w:rsidRPr="000977F7">
        <w:rPr>
          <w:rFonts w:asciiTheme="majorHAnsi" w:hAnsiTheme="majorHAnsi"/>
          <w:spacing w:val="-47"/>
          <w:sz w:val="20"/>
          <w:szCs w:val="20"/>
        </w:rPr>
        <w:t xml:space="preserve"> </w:t>
      </w:r>
      <w:r w:rsidRPr="000977F7">
        <w:rPr>
          <w:rFonts w:asciiTheme="majorHAnsi" w:hAnsiTheme="majorHAnsi"/>
          <w:sz w:val="20"/>
          <w:szCs w:val="20"/>
        </w:rPr>
        <w:t>підвищеної</w:t>
      </w:r>
      <w:r w:rsidRPr="000977F7">
        <w:rPr>
          <w:rFonts w:asciiTheme="majorHAnsi" w:hAnsiTheme="majorHAnsi"/>
          <w:spacing w:val="7"/>
          <w:sz w:val="20"/>
          <w:szCs w:val="20"/>
        </w:rPr>
        <w:t xml:space="preserve"> </w:t>
      </w:r>
      <w:r w:rsidRPr="000977F7">
        <w:rPr>
          <w:rFonts w:asciiTheme="majorHAnsi" w:hAnsiTheme="majorHAnsi"/>
          <w:sz w:val="20"/>
          <w:szCs w:val="20"/>
        </w:rPr>
        <w:t>кількості</w:t>
      </w:r>
      <w:r w:rsidRPr="000977F7">
        <w:rPr>
          <w:rFonts w:asciiTheme="majorHAnsi" w:hAnsiTheme="majorHAnsi"/>
          <w:spacing w:val="8"/>
          <w:sz w:val="20"/>
          <w:szCs w:val="20"/>
        </w:rPr>
        <w:t xml:space="preserve"> </w:t>
      </w:r>
      <w:r w:rsidRPr="000977F7">
        <w:rPr>
          <w:rFonts w:asciiTheme="majorHAnsi" w:hAnsiTheme="majorHAnsi"/>
          <w:sz w:val="20"/>
          <w:szCs w:val="20"/>
        </w:rPr>
        <w:t>недосконалостей</w:t>
      </w:r>
      <w:r w:rsidRPr="000977F7">
        <w:rPr>
          <w:rFonts w:asciiTheme="majorHAnsi" w:hAnsiTheme="majorHAnsi"/>
          <w:spacing w:val="6"/>
          <w:sz w:val="20"/>
          <w:szCs w:val="20"/>
        </w:rPr>
        <w:t xml:space="preserve"> </w:t>
      </w:r>
      <w:r w:rsidRPr="000977F7">
        <w:rPr>
          <w:rFonts w:asciiTheme="majorHAnsi" w:hAnsiTheme="majorHAnsi"/>
          <w:sz w:val="20"/>
          <w:szCs w:val="20"/>
        </w:rPr>
        <w:t>кристалів</w:t>
      </w:r>
      <w:r w:rsidRPr="000977F7">
        <w:rPr>
          <w:rFonts w:asciiTheme="majorHAnsi" w:hAnsiTheme="majorHAnsi"/>
          <w:spacing w:val="7"/>
          <w:sz w:val="20"/>
          <w:szCs w:val="20"/>
        </w:rPr>
        <w:t xml:space="preserve"> </w:t>
      </w:r>
      <w:r w:rsidRPr="000977F7">
        <w:rPr>
          <w:rFonts w:asciiTheme="majorHAnsi" w:hAnsiTheme="majorHAnsi"/>
          <w:sz w:val="20"/>
          <w:szCs w:val="20"/>
        </w:rPr>
        <w:t>(дислокацій), що призводить до підвищення зміцнення</w:t>
      </w:r>
      <w:r w:rsidRPr="000977F7">
        <w:rPr>
          <w:rFonts w:asciiTheme="majorHAnsi" w:hAnsiTheme="majorHAnsi"/>
          <w:spacing w:val="1"/>
          <w:sz w:val="20"/>
          <w:szCs w:val="20"/>
        </w:rPr>
        <w:t xml:space="preserve"> </w:t>
      </w:r>
      <w:r w:rsidRPr="000977F7">
        <w:rPr>
          <w:rFonts w:asciiTheme="majorHAnsi" w:hAnsiTheme="majorHAnsi"/>
          <w:sz w:val="20"/>
          <w:szCs w:val="20"/>
        </w:rPr>
        <w:t>Ультразвукове</w:t>
      </w:r>
      <w:r w:rsidRPr="000977F7">
        <w:rPr>
          <w:rFonts w:asciiTheme="majorHAnsi" w:hAnsiTheme="majorHAnsi"/>
          <w:spacing w:val="16"/>
          <w:sz w:val="20"/>
          <w:szCs w:val="20"/>
        </w:rPr>
        <w:t xml:space="preserve"> </w:t>
      </w:r>
      <w:r w:rsidRPr="000977F7">
        <w:rPr>
          <w:rFonts w:asciiTheme="majorHAnsi" w:hAnsiTheme="majorHAnsi"/>
          <w:sz w:val="20"/>
          <w:szCs w:val="20"/>
        </w:rPr>
        <w:t>–</w:t>
      </w:r>
      <w:r w:rsidRPr="000977F7">
        <w:rPr>
          <w:rFonts w:asciiTheme="majorHAnsi" w:hAnsiTheme="majorHAnsi"/>
          <w:spacing w:val="16"/>
          <w:sz w:val="20"/>
          <w:szCs w:val="20"/>
        </w:rPr>
        <w:t xml:space="preserve"> </w:t>
      </w:r>
      <w:r w:rsidRPr="000977F7">
        <w:rPr>
          <w:rFonts w:asciiTheme="majorHAnsi" w:hAnsiTheme="majorHAnsi"/>
          <w:sz w:val="20"/>
          <w:szCs w:val="20"/>
        </w:rPr>
        <w:t>вплив</w:t>
      </w:r>
      <w:r w:rsidRPr="000977F7">
        <w:rPr>
          <w:rFonts w:asciiTheme="majorHAnsi" w:hAnsiTheme="majorHAnsi"/>
          <w:spacing w:val="16"/>
          <w:sz w:val="20"/>
          <w:szCs w:val="20"/>
        </w:rPr>
        <w:t xml:space="preserve"> </w:t>
      </w:r>
      <w:r w:rsidRPr="000977F7">
        <w:rPr>
          <w:rFonts w:asciiTheme="majorHAnsi" w:hAnsiTheme="majorHAnsi"/>
          <w:sz w:val="20"/>
          <w:szCs w:val="20"/>
        </w:rPr>
        <w:t>на</w:t>
      </w:r>
      <w:r w:rsidRPr="000977F7">
        <w:rPr>
          <w:rFonts w:asciiTheme="majorHAnsi" w:hAnsiTheme="majorHAnsi"/>
          <w:spacing w:val="20"/>
          <w:sz w:val="20"/>
          <w:szCs w:val="20"/>
        </w:rPr>
        <w:t xml:space="preserve"> </w:t>
      </w:r>
      <w:r w:rsidRPr="000977F7">
        <w:rPr>
          <w:rFonts w:asciiTheme="majorHAnsi" w:hAnsiTheme="majorHAnsi"/>
          <w:sz w:val="20"/>
          <w:szCs w:val="20"/>
        </w:rPr>
        <w:t>речовину</w:t>
      </w:r>
      <w:r w:rsidRPr="000977F7">
        <w:rPr>
          <w:rFonts w:asciiTheme="majorHAnsi" w:hAnsiTheme="majorHAnsi"/>
          <w:spacing w:val="16"/>
          <w:sz w:val="20"/>
          <w:szCs w:val="20"/>
        </w:rPr>
        <w:t xml:space="preserve"> </w:t>
      </w:r>
      <w:r w:rsidRPr="000977F7">
        <w:rPr>
          <w:rFonts w:asciiTheme="majorHAnsi" w:hAnsiTheme="majorHAnsi"/>
          <w:sz w:val="20"/>
          <w:szCs w:val="20"/>
        </w:rPr>
        <w:t>ультразвуковими</w:t>
      </w:r>
      <w:r w:rsidRPr="000977F7">
        <w:rPr>
          <w:rFonts w:asciiTheme="majorHAnsi" w:hAnsiTheme="majorHAnsi"/>
          <w:spacing w:val="-47"/>
          <w:sz w:val="20"/>
          <w:szCs w:val="20"/>
        </w:rPr>
        <w:t xml:space="preserve"> </w:t>
      </w:r>
      <w:r w:rsidRPr="000977F7">
        <w:rPr>
          <w:rFonts w:asciiTheme="majorHAnsi" w:hAnsiTheme="majorHAnsi"/>
          <w:sz w:val="20"/>
          <w:szCs w:val="20"/>
        </w:rPr>
        <w:t>коливаннями</w:t>
      </w:r>
    </w:p>
    <w:p w14:paraId="53FE119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Холодне</w:t>
      </w:r>
      <w:r w:rsidRPr="000977F7">
        <w:rPr>
          <w:rFonts w:asciiTheme="majorHAnsi" w:hAnsiTheme="majorHAnsi"/>
          <w:spacing w:val="4"/>
          <w:sz w:val="20"/>
          <w:szCs w:val="20"/>
        </w:rPr>
        <w:t xml:space="preserve"> </w:t>
      </w:r>
      <w:r w:rsidRPr="000977F7">
        <w:rPr>
          <w:rFonts w:asciiTheme="majorHAnsi" w:hAnsiTheme="majorHAnsi"/>
          <w:sz w:val="20"/>
          <w:szCs w:val="20"/>
        </w:rPr>
        <w:t>оброблення</w:t>
      </w:r>
      <w:r w:rsidRPr="000977F7">
        <w:rPr>
          <w:rFonts w:asciiTheme="majorHAnsi" w:hAnsiTheme="majorHAnsi"/>
          <w:spacing w:val="3"/>
          <w:sz w:val="20"/>
          <w:szCs w:val="20"/>
        </w:rPr>
        <w:t xml:space="preserve"> </w:t>
      </w:r>
      <w:r w:rsidRPr="000977F7">
        <w:rPr>
          <w:rFonts w:asciiTheme="majorHAnsi" w:hAnsiTheme="majorHAnsi"/>
          <w:sz w:val="20"/>
          <w:szCs w:val="20"/>
        </w:rPr>
        <w:t>металів</w:t>
      </w:r>
      <w:r w:rsidRPr="000977F7">
        <w:rPr>
          <w:rFonts w:asciiTheme="majorHAnsi" w:hAnsiTheme="majorHAnsi"/>
          <w:spacing w:val="3"/>
          <w:sz w:val="20"/>
          <w:szCs w:val="20"/>
        </w:rPr>
        <w:t xml:space="preserve"> </w:t>
      </w:r>
      <w:r w:rsidRPr="000977F7">
        <w:rPr>
          <w:rFonts w:asciiTheme="majorHAnsi" w:hAnsiTheme="majorHAnsi"/>
          <w:sz w:val="20"/>
          <w:szCs w:val="20"/>
        </w:rPr>
        <w:t>тиском</w:t>
      </w:r>
      <w:r w:rsidRPr="000977F7">
        <w:rPr>
          <w:rFonts w:asciiTheme="majorHAnsi" w:hAnsiTheme="majorHAnsi"/>
          <w:spacing w:val="3"/>
          <w:sz w:val="20"/>
          <w:szCs w:val="20"/>
        </w:rPr>
        <w:t xml:space="preserve"> </w:t>
      </w:r>
      <w:r w:rsidRPr="000977F7">
        <w:rPr>
          <w:rFonts w:asciiTheme="majorHAnsi" w:hAnsiTheme="majorHAnsi"/>
          <w:sz w:val="20"/>
          <w:szCs w:val="20"/>
        </w:rPr>
        <w:t>–</w:t>
      </w:r>
      <w:r w:rsidRPr="000977F7">
        <w:rPr>
          <w:rFonts w:asciiTheme="majorHAnsi" w:hAnsiTheme="majorHAnsi"/>
          <w:spacing w:val="5"/>
          <w:sz w:val="20"/>
          <w:szCs w:val="20"/>
        </w:rPr>
        <w:t xml:space="preserve"> </w:t>
      </w:r>
      <w:r w:rsidRPr="000977F7">
        <w:rPr>
          <w:rFonts w:asciiTheme="majorHAnsi" w:hAnsiTheme="majorHAnsi"/>
          <w:sz w:val="20"/>
          <w:szCs w:val="20"/>
        </w:rPr>
        <w:t>при</w:t>
      </w:r>
      <w:r w:rsidRPr="000977F7">
        <w:rPr>
          <w:rFonts w:asciiTheme="majorHAnsi" w:hAnsiTheme="majorHAnsi"/>
          <w:spacing w:val="4"/>
          <w:sz w:val="20"/>
          <w:szCs w:val="20"/>
        </w:rPr>
        <w:t xml:space="preserve"> </w:t>
      </w:r>
      <w:r w:rsidRPr="000977F7">
        <w:rPr>
          <w:rFonts w:asciiTheme="majorHAnsi" w:hAnsiTheme="majorHAnsi"/>
          <w:sz w:val="20"/>
          <w:szCs w:val="20"/>
        </w:rPr>
        <w:t>температурах</w:t>
      </w:r>
      <w:r w:rsidRPr="000977F7">
        <w:rPr>
          <w:rFonts w:asciiTheme="majorHAnsi" w:hAnsiTheme="majorHAnsi"/>
          <w:spacing w:val="-7"/>
          <w:sz w:val="20"/>
          <w:szCs w:val="20"/>
        </w:rPr>
        <w:t xml:space="preserve"> </w:t>
      </w:r>
      <w:r w:rsidRPr="000977F7">
        <w:rPr>
          <w:rFonts w:asciiTheme="majorHAnsi" w:hAnsiTheme="majorHAnsi"/>
          <w:sz w:val="20"/>
          <w:szCs w:val="20"/>
        </w:rPr>
        <w:t>нижче</w:t>
      </w:r>
      <w:r w:rsidRPr="000977F7">
        <w:rPr>
          <w:rFonts w:asciiTheme="majorHAnsi" w:hAnsiTheme="majorHAnsi"/>
          <w:spacing w:val="-4"/>
          <w:sz w:val="20"/>
          <w:szCs w:val="20"/>
        </w:rPr>
        <w:t xml:space="preserve"> </w:t>
      </w:r>
      <w:r w:rsidRPr="000977F7">
        <w:rPr>
          <w:rFonts w:asciiTheme="majorHAnsi" w:hAnsiTheme="majorHAnsi"/>
          <w:sz w:val="20"/>
          <w:szCs w:val="20"/>
        </w:rPr>
        <w:t>температури</w:t>
      </w:r>
      <w:r w:rsidRPr="000977F7">
        <w:rPr>
          <w:rFonts w:asciiTheme="majorHAnsi" w:hAnsiTheme="majorHAnsi"/>
          <w:spacing w:val="-8"/>
          <w:sz w:val="20"/>
          <w:szCs w:val="20"/>
        </w:rPr>
        <w:t xml:space="preserve"> </w:t>
      </w:r>
      <w:r w:rsidRPr="000977F7">
        <w:rPr>
          <w:rFonts w:asciiTheme="majorHAnsi" w:hAnsiTheme="majorHAnsi"/>
          <w:sz w:val="20"/>
          <w:szCs w:val="20"/>
        </w:rPr>
        <w:t>рекристалізації</w:t>
      </w:r>
    </w:p>
    <w:p w14:paraId="54F52DA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Холодом – переохолодження загартованої сталі до негативних температур з метою усунення </w:t>
      </w:r>
      <w:r w:rsidRPr="000977F7">
        <w:rPr>
          <w:rFonts w:asciiTheme="majorHAnsi" w:hAnsiTheme="majorHAnsi"/>
          <w:sz w:val="20"/>
          <w:szCs w:val="20"/>
        </w:rPr>
        <w:t>остаточного</w:t>
      </w:r>
      <w:r w:rsidRPr="000977F7">
        <w:rPr>
          <w:rFonts w:asciiTheme="majorHAnsi" w:hAnsiTheme="majorHAnsi"/>
          <w:spacing w:val="1"/>
          <w:sz w:val="20"/>
          <w:szCs w:val="20"/>
        </w:rPr>
        <w:t xml:space="preserve"> </w:t>
      </w:r>
      <w:r w:rsidRPr="000977F7">
        <w:rPr>
          <w:rFonts w:asciiTheme="majorHAnsi" w:hAnsiTheme="majorHAnsi"/>
          <w:sz w:val="20"/>
          <w:szCs w:val="20"/>
        </w:rPr>
        <w:t>аустеніту</w:t>
      </w:r>
      <w:r w:rsidRPr="000977F7">
        <w:rPr>
          <w:rFonts w:asciiTheme="majorHAnsi" w:hAnsiTheme="majorHAnsi"/>
          <w:spacing w:val="-9"/>
          <w:sz w:val="20"/>
          <w:szCs w:val="20"/>
        </w:rPr>
        <w:t xml:space="preserve"> </w:t>
      </w:r>
      <w:r w:rsidRPr="000977F7">
        <w:rPr>
          <w:rFonts w:asciiTheme="majorHAnsi" w:hAnsiTheme="majorHAnsi"/>
          <w:sz w:val="20"/>
          <w:szCs w:val="20"/>
        </w:rPr>
        <w:t>та</w:t>
      </w:r>
      <w:r w:rsidRPr="000977F7">
        <w:rPr>
          <w:rFonts w:asciiTheme="majorHAnsi" w:hAnsiTheme="majorHAnsi"/>
          <w:spacing w:val="-6"/>
          <w:sz w:val="20"/>
          <w:szCs w:val="20"/>
        </w:rPr>
        <w:t xml:space="preserve"> </w:t>
      </w:r>
      <w:r w:rsidRPr="000977F7">
        <w:rPr>
          <w:rFonts w:asciiTheme="majorHAnsi" w:hAnsiTheme="majorHAnsi"/>
          <w:sz w:val="20"/>
          <w:szCs w:val="20"/>
        </w:rPr>
        <w:t>стабілізації</w:t>
      </w:r>
      <w:r w:rsidRPr="000977F7">
        <w:rPr>
          <w:rFonts w:asciiTheme="majorHAnsi" w:hAnsiTheme="majorHAnsi"/>
          <w:spacing w:val="-7"/>
          <w:sz w:val="20"/>
          <w:szCs w:val="20"/>
        </w:rPr>
        <w:t xml:space="preserve"> </w:t>
      </w:r>
      <w:r w:rsidRPr="000977F7">
        <w:rPr>
          <w:rFonts w:asciiTheme="majorHAnsi" w:hAnsiTheme="majorHAnsi"/>
          <w:sz w:val="20"/>
          <w:szCs w:val="20"/>
        </w:rPr>
        <w:t>розмірів</w:t>
      </w:r>
      <w:r w:rsidRPr="000977F7">
        <w:rPr>
          <w:rFonts w:asciiTheme="majorHAnsi" w:hAnsiTheme="majorHAnsi"/>
          <w:spacing w:val="-6"/>
          <w:sz w:val="20"/>
          <w:szCs w:val="20"/>
        </w:rPr>
        <w:t xml:space="preserve"> </w:t>
      </w:r>
      <w:r w:rsidRPr="000977F7">
        <w:rPr>
          <w:rFonts w:asciiTheme="majorHAnsi" w:hAnsiTheme="majorHAnsi"/>
          <w:sz w:val="20"/>
          <w:szCs w:val="20"/>
        </w:rPr>
        <w:t>деталей</w:t>
      </w:r>
    </w:p>
    <w:p w14:paraId="5CE49C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Чистове – зняття із заготовки частини припуску, який</w:t>
      </w:r>
      <w:r w:rsidRPr="000977F7">
        <w:rPr>
          <w:rFonts w:asciiTheme="majorHAnsi" w:hAnsiTheme="majorHAnsi"/>
          <w:spacing w:val="1"/>
          <w:sz w:val="20"/>
          <w:szCs w:val="20"/>
        </w:rPr>
        <w:t xml:space="preserve"> </w:t>
      </w:r>
      <w:r w:rsidRPr="000977F7">
        <w:rPr>
          <w:rFonts w:asciiTheme="majorHAnsi" w:hAnsiTheme="majorHAnsi"/>
          <w:spacing w:val="-1"/>
          <w:sz w:val="20"/>
          <w:szCs w:val="20"/>
        </w:rPr>
        <w:t>залишився</w:t>
      </w:r>
      <w:r w:rsidRPr="000977F7">
        <w:rPr>
          <w:rFonts w:asciiTheme="majorHAnsi" w:hAnsiTheme="majorHAnsi"/>
          <w:spacing w:val="-11"/>
          <w:sz w:val="20"/>
          <w:szCs w:val="20"/>
        </w:rPr>
        <w:t xml:space="preserve"> </w:t>
      </w:r>
      <w:r w:rsidRPr="000977F7">
        <w:rPr>
          <w:rFonts w:asciiTheme="majorHAnsi" w:hAnsiTheme="majorHAnsi"/>
          <w:spacing w:val="-1"/>
          <w:sz w:val="20"/>
          <w:szCs w:val="20"/>
        </w:rPr>
        <w:t>після</w:t>
      </w:r>
      <w:r w:rsidRPr="000977F7">
        <w:rPr>
          <w:rFonts w:asciiTheme="majorHAnsi" w:hAnsiTheme="majorHAnsi"/>
          <w:spacing w:val="-10"/>
          <w:sz w:val="20"/>
          <w:szCs w:val="20"/>
        </w:rPr>
        <w:t xml:space="preserve"> </w:t>
      </w:r>
      <w:r w:rsidRPr="000977F7">
        <w:rPr>
          <w:rFonts w:asciiTheme="majorHAnsi" w:hAnsiTheme="majorHAnsi"/>
          <w:spacing w:val="-1"/>
          <w:sz w:val="20"/>
          <w:szCs w:val="20"/>
        </w:rPr>
        <w:t>чорнового</w:t>
      </w:r>
      <w:r w:rsidRPr="000977F7">
        <w:rPr>
          <w:rFonts w:asciiTheme="majorHAnsi" w:hAnsiTheme="majorHAnsi"/>
          <w:spacing w:val="-9"/>
          <w:sz w:val="20"/>
          <w:szCs w:val="20"/>
        </w:rPr>
        <w:t xml:space="preserve"> </w:t>
      </w:r>
      <w:r w:rsidRPr="000977F7">
        <w:rPr>
          <w:rFonts w:asciiTheme="majorHAnsi" w:hAnsiTheme="majorHAnsi"/>
          <w:sz w:val="20"/>
          <w:szCs w:val="20"/>
        </w:rPr>
        <w:t>оброблення</w:t>
      </w:r>
      <w:r w:rsidRPr="000977F7">
        <w:rPr>
          <w:rFonts w:asciiTheme="majorHAnsi" w:hAnsiTheme="majorHAnsi"/>
          <w:spacing w:val="-10"/>
          <w:sz w:val="20"/>
          <w:szCs w:val="20"/>
        </w:rPr>
        <w:t xml:space="preserve"> </w:t>
      </w:r>
      <w:r w:rsidRPr="000977F7">
        <w:rPr>
          <w:rFonts w:asciiTheme="majorHAnsi" w:hAnsiTheme="majorHAnsi"/>
          <w:sz w:val="20"/>
          <w:szCs w:val="20"/>
        </w:rPr>
        <w:t>(крім</w:t>
      </w:r>
      <w:r w:rsidRPr="000977F7">
        <w:rPr>
          <w:rFonts w:asciiTheme="majorHAnsi" w:hAnsiTheme="majorHAnsi"/>
          <w:spacing w:val="-9"/>
          <w:sz w:val="20"/>
          <w:szCs w:val="20"/>
        </w:rPr>
        <w:t xml:space="preserve"> </w:t>
      </w:r>
      <w:r w:rsidRPr="000977F7">
        <w:rPr>
          <w:rFonts w:asciiTheme="majorHAnsi" w:hAnsiTheme="majorHAnsi"/>
          <w:sz w:val="20"/>
          <w:szCs w:val="20"/>
        </w:rPr>
        <w:t>припуску</w:t>
      </w:r>
      <w:r w:rsidRPr="000977F7">
        <w:rPr>
          <w:rFonts w:asciiTheme="majorHAnsi" w:hAnsiTheme="majorHAnsi"/>
          <w:spacing w:val="-47"/>
          <w:sz w:val="20"/>
          <w:szCs w:val="20"/>
        </w:rPr>
        <w:t xml:space="preserve"> </w:t>
      </w:r>
      <w:r w:rsidRPr="000977F7">
        <w:rPr>
          <w:rFonts w:asciiTheme="majorHAnsi" w:hAnsiTheme="majorHAnsi"/>
          <w:sz w:val="20"/>
          <w:szCs w:val="20"/>
        </w:rPr>
        <w:t>на</w:t>
      </w:r>
      <w:r w:rsidRPr="000977F7">
        <w:rPr>
          <w:rFonts w:asciiTheme="majorHAnsi" w:hAnsiTheme="majorHAnsi"/>
          <w:spacing w:val="-6"/>
          <w:sz w:val="20"/>
          <w:szCs w:val="20"/>
        </w:rPr>
        <w:t xml:space="preserve"> </w:t>
      </w:r>
      <w:r w:rsidRPr="000977F7">
        <w:rPr>
          <w:rFonts w:asciiTheme="majorHAnsi" w:hAnsiTheme="majorHAnsi"/>
          <w:sz w:val="20"/>
          <w:szCs w:val="20"/>
        </w:rPr>
        <w:t>опоряджувальне</w:t>
      </w:r>
      <w:r w:rsidRPr="000977F7">
        <w:rPr>
          <w:rFonts w:asciiTheme="majorHAnsi" w:hAnsiTheme="majorHAnsi"/>
          <w:spacing w:val="-5"/>
          <w:sz w:val="20"/>
          <w:szCs w:val="20"/>
        </w:rPr>
        <w:t xml:space="preserve"> </w:t>
      </w:r>
      <w:r w:rsidRPr="000977F7">
        <w:rPr>
          <w:rFonts w:asciiTheme="majorHAnsi" w:hAnsiTheme="majorHAnsi"/>
          <w:sz w:val="20"/>
          <w:szCs w:val="20"/>
        </w:rPr>
        <w:t>оброблення)</w:t>
      </w:r>
    </w:p>
    <w:p w14:paraId="4941D1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Електроабразивне – електромеханічне оброблення абразивними або алмазно-абразивними інструментами,</w:t>
      </w:r>
      <w:r w:rsidRPr="000977F7">
        <w:rPr>
          <w:rFonts w:asciiTheme="majorHAnsi" w:hAnsiTheme="majorHAnsi"/>
          <w:spacing w:val="1"/>
          <w:sz w:val="20"/>
          <w:szCs w:val="20"/>
        </w:rPr>
        <w:t xml:space="preserve"> </w:t>
      </w:r>
      <w:r w:rsidRPr="000977F7">
        <w:rPr>
          <w:rFonts w:asciiTheme="majorHAnsi" w:hAnsiTheme="majorHAnsi"/>
          <w:sz w:val="20"/>
          <w:szCs w:val="20"/>
        </w:rPr>
        <w:t>виготовленими</w:t>
      </w:r>
      <w:r w:rsidRPr="000977F7">
        <w:rPr>
          <w:rFonts w:asciiTheme="majorHAnsi" w:hAnsiTheme="majorHAnsi"/>
          <w:spacing w:val="-13"/>
          <w:sz w:val="20"/>
          <w:szCs w:val="20"/>
        </w:rPr>
        <w:t xml:space="preserve"> </w:t>
      </w:r>
      <w:r w:rsidRPr="000977F7">
        <w:rPr>
          <w:rFonts w:asciiTheme="majorHAnsi" w:hAnsiTheme="majorHAnsi"/>
          <w:sz w:val="20"/>
          <w:szCs w:val="20"/>
        </w:rPr>
        <w:t>на</w:t>
      </w:r>
      <w:r w:rsidRPr="000977F7">
        <w:rPr>
          <w:rFonts w:asciiTheme="majorHAnsi" w:hAnsiTheme="majorHAnsi"/>
          <w:spacing w:val="-12"/>
          <w:sz w:val="20"/>
          <w:szCs w:val="20"/>
        </w:rPr>
        <w:t xml:space="preserve"> </w:t>
      </w:r>
      <w:r w:rsidRPr="000977F7">
        <w:rPr>
          <w:rFonts w:asciiTheme="majorHAnsi" w:hAnsiTheme="majorHAnsi"/>
          <w:sz w:val="20"/>
          <w:szCs w:val="20"/>
        </w:rPr>
        <w:t>основі</w:t>
      </w:r>
      <w:r w:rsidRPr="000977F7">
        <w:rPr>
          <w:rFonts w:asciiTheme="majorHAnsi" w:hAnsiTheme="majorHAnsi"/>
          <w:spacing w:val="-12"/>
          <w:sz w:val="20"/>
          <w:szCs w:val="20"/>
        </w:rPr>
        <w:t xml:space="preserve"> </w:t>
      </w:r>
      <w:r w:rsidRPr="000977F7">
        <w:rPr>
          <w:rFonts w:asciiTheme="majorHAnsi" w:hAnsiTheme="majorHAnsi"/>
          <w:sz w:val="20"/>
          <w:szCs w:val="20"/>
        </w:rPr>
        <w:t>матеріалів,</w:t>
      </w:r>
      <w:r w:rsidRPr="000977F7">
        <w:rPr>
          <w:rFonts w:asciiTheme="majorHAnsi" w:hAnsiTheme="majorHAnsi"/>
          <w:spacing w:val="-12"/>
          <w:sz w:val="20"/>
          <w:szCs w:val="20"/>
        </w:rPr>
        <w:t xml:space="preserve"> </w:t>
      </w:r>
      <w:r w:rsidRPr="000977F7">
        <w:rPr>
          <w:rFonts w:asciiTheme="majorHAnsi" w:hAnsiTheme="majorHAnsi"/>
          <w:sz w:val="20"/>
          <w:szCs w:val="20"/>
        </w:rPr>
        <w:t>які</w:t>
      </w:r>
      <w:r w:rsidRPr="000977F7">
        <w:rPr>
          <w:rFonts w:asciiTheme="majorHAnsi" w:hAnsiTheme="majorHAnsi"/>
          <w:spacing w:val="-12"/>
          <w:sz w:val="20"/>
          <w:szCs w:val="20"/>
        </w:rPr>
        <w:t xml:space="preserve"> </w:t>
      </w:r>
      <w:r w:rsidRPr="000977F7">
        <w:rPr>
          <w:rFonts w:asciiTheme="majorHAnsi" w:hAnsiTheme="majorHAnsi"/>
          <w:sz w:val="20"/>
          <w:szCs w:val="20"/>
        </w:rPr>
        <w:t>проводять</w:t>
      </w:r>
      <w:r w:rsidRPr="000977F7">
        <w:rPr>
          <w:rFonts w:asciiTheme="majorHAnsi" w:hAnsiTheme="majorHAnsi"/>
          <w:spacing w:val="-11"/>
          <w:sz w:val="20"/>
          <w:szCs w:val="20"/>
        </w:rPr>
        <w:t xml:space="preserve"> </w:t>
      </w:r>
      <w:r w:rsidRPr="000977F7">
        <w:rPr>
          <w:rFonts w:asciiTheme="majorHAnsi" w:hAnsiTheme="majorHAnsi"/>
          <w:sz w:val="20"/>
          <w:szCs w:val="20"/>
        </w:rPr>
        <w:t>еле</w:t>
      </w:r>
      <w:r w:rsidRPr="000977F7">
        <w:rPr>
          <w:rFonts w:asciiTheme="majorHAnsi" w:hAnsiTheme="majorHAnsi"/>
          <w:spacing w:val="-2"/>
          <w:sz w:val="20"/>
          <w:szCs w:val="20"/>
        </w:rPr>
        <w:t>ктричний</w:t>
      </w:r>
      <w:r w:rsidRPr="000977F7">
        <w:rPr>
          <w:rFonts w:asciiTheme="majorHAnsi" w:hAnsiTheme="majorHAnsi"/>
          <w:spacing w:val="-11"/>
          <w:sz w:val="20"/>
          <w:szCs w:val="20"/>
        </w:rPr>
        <w:t xml:space="preserve"> </w:t>
      </w:r>
      <w:r w:rsidRPr="000977F7">
        <w:rPr>
          <w:rFonts w:asciiTheme="majorHAnsi" w:hAnsiTheme="majorHAnsi"/>
          <w:spacing w:val="-2"/>
          <w:sz w:val="20"/>
          <w:szCs w:val="20"/>
        </w:rPr>
        <w:t>струм,</w:t>
      </w:r>
      <w:r w:rsidRPr="000977F7">
        <w:rPr>
          <w:rFonts w:asciiTheme="majorHAnsi" w:hAnsiTheme="majorHAnsi"/>
          <w:spacing w:val="-8"/>
          <w:sz w:val="20"/>
          <w:szCs w:val="20"/>
        </w:rPr>
        <w:t xml:space="preserve"> </w:t>
      </w:r>
      <w:r w:rsidRPr="000977F7">
        <w:rPr>
          <w:rFonts w:asciiTheme="majorHAnsi" w:hAnsiTheme="majorHAnsi"/>
          <w:spacing w:val="-1"/>
          <w:sz w:val="20"/>
          <w:szCs w:val="20"/>
        </w:rPr>
        <w:t>з</w:t>
      </w:r>
      <w:r w:rsidRPr="000977F7">
        <w:rPr>
          <w:rFonts w:asciiTheme="majorHAnsi" w:hAnsiTheme="majorHAnsi"/>
          <w:spacing w:val="-9"/>
          <w:sz w:val="20"/>
          <w:szCs w:val="20"/>
        </w:rPr>
        <w:t xml:space="preserve"> </w:t>
      </w:r>
      <w:r w:rsidRPr="000977F7">
        <w:rPr>
          <w:rFonts w:asciiTheme="majorHAnsi" w:hAnsiTheme="majorHAnsi"/>
          <w:spacing w:val="-1"/>
          <w:sz w:val="20"/>
          <w:szCs w:val="20"/>
        </w:rPr>
        <w:t>введенням</w:t>
      </w:r>
      <w:r w:rsidRPr="000977F7">
        <w:rPr>
          <w:rFonts w:asciiTheme="majorHAnsi" w:hAnsiTheme="majorHAnsi"/>
          <w:spacing w:val="-6"/>
          <w:sz w:val="20"/>
          <w:szCs w:val="20"/>
        </w:rPr>
        <w:t xml:space="preserve"> </w:t>
      </w:r>
      <w:r w:rsidRPr="000977F7">
        <w:rPr>
          <w:rFonts w:asciiTheme="majorHAnsi" w:hAnsiTheme="majorHAnsi"/>
          <w:spacing w:val="-1"/>
          <w:sz w:val="20"/>
          <w:szCs w:val="20"/>
        </w:rPr>
        <w:t>електричної</w:t>
      </w:r>
      <w:r w:rsidRPr="000977F7">
        <w:rPr>
          <w:rFonts w:asciiTheme="majorHAnsi" w:hAnsiTheme="majorHAnsi"/>
          <w:spacing w:val="-9"/>
          <w:sz w:val="20"/>
          <w:szCs w:val="20"/>
        </w:rPr>
        <w:t xml:space="preserve"> </w:t>
      </w:r>
      <w:r w:rsidRPr="000977F7">
        <w:rPr>
          <w:rFonts w:asciiTheme="majorHAnsi" w:hAnsiTheme="majorHAnsi"/>
          <w:spacing w:val="-1"/>
          <w:sz w:val="20"/>
          <w:szCs w:val="20"/>
        </w:rPr>
        <w:t>енергії</w:t>
      </w:r>
      <w:r w:rsidRPr="000977F7">
        <w:rPr>
          <w:rFonts w:asciiTheme="majorHAnsi" w:hAnsiTheme="majorHAnsi"/>
          <w:spacing w:val="-8"/>
          <w:sz w:val="20"/>
          <w:szCs w:val="20"/>
        </w:rPr>
        <w:t xml:space="preserve"> </w:t>
      </w:r>
      <w:r w:rsidRPr="000977F7">
        <w:rPr>
          <w:rFonts w:asciiTheme="majorHAnsi" w:hAnsiTheme="majorHAnsi"/>
          <w:spacing w:val="-1"/>
          <w:sz w:val="20"/>
          <w:szCs w:val="20"/>
        </w:rPr>
        <w:t>в</w:t>
      </w:r>
      <w:r w:rsidRPr="000977F7">
        <w:rPr>
          <w:rFonts w:asciiTheme="majorHAnsi" w:hAnsiTheme="majorHAnsi"/>
          <w:spacing w:val="-10"/>
          <w:sz w:val="20"/>
          <w:szCs w:val="20"/>
        </w:rPr>
        <w:t xml:space="preserve"> </w:t>
      </w:r>
      <w:r w:rsidRPr="000977F7">
        <w:rPr>
          <w:rFonts w:asciiTheme="majorHAnsi" w:hAnsiTheme="majorHAnsi"/>
          <w:spacing w:val="-1"/>
          <w:sz w:val="20"/>
          <w:szCs w:val="20"/>
        </w:rPr>
        <w:t>зону</w:t>
      </w:r>
      <w:r w:rsidRPr="000977F7">
        <w:rPr>
          <w:rFonts w:asciiTheme="majorHAnsi" w:hAnsiTheme="majorHAnsi"/>
          <w:spacing w:val="-47"/>
          <w:sz w:val="20"/>
          <w:szCs w:val="20"/>
        </w:rPr>
        <w:t xml:space="preserve"> </w:t>
      </w:r>
      <w:r w:rsidRPr="000977F7">
        <w:rPr>
          <w:rFonts w:asciiTheme="majorHAnsi" w:hAnsiTheme="majorHAnsi"/>
          <w:sz w:val="20"/>
          <w:szCs w:val="20"/>
        </w:rPr>
        <w:t>оброблення</w:t>
      </w:r>
    </w:p>
    <w:p w14:paraId="7D1837C4"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Електрогідравлічне</w:t>
      </w:r>
      <w:r w:rsidRPr="000977F7">
        <w:rPr>
          <w:rFonts w:asciiTheme="majorHAnsi" w:hAnsiTheme="majorHAnsi"/>
          <w:spacing w:val="2"/>
          <w:sz w:val="20"/>
          <w:szCs w:val="20"/>
        </w:rPr>
        <w:t xml:space="preserve"> </w:t>
      </w:r>
      <w:r w:rsidRPr="000977F7">
        <w:rPr>
          <w:rFonts w:asciiTheme="majorHAnsi" w:hAnsiTheme="majorHAnsi"/>
          <w:sz w:val="20"/>
          <w:szCs w:val="20"/>
        </w:rPr>
        <w:t>–</w:t>
      </w:r>
      <w:r w:rsidRPr="000977F7">
        <w:rPr>
          <w:rFonts w:asciiTheme="majorHAnsi" w:hAnsiTheme="majorHAnsi"/>
          <w:spacing w:val="2"/>
          <w:sz w:val="20"/>
          <w:szCs w:val="20"/>
        </w:rPr>
        <w:t xml:space="preserve"> </w:t>
      </w:r>
      <w:r w:rsidRPr="000977F7">
        <w:rPr>
          <w:rFonts w:asciiTheme="majorHAnsi" w:hAnsiTheme="majorHAnsi"/>
          <w:sz w:val="20"/>
          <w:szCs w:val="20"/>
        </w:rPr>
        <w:t>електрохімічне</w:t>
      </w:r>
      <w:r w:rsidRPr="000977F7">
        <w:rPr>
          <w:rFonts w:asciiTheme="majorHAnsi" w:hAnsiTheme="majorHAnsi"/>
          <w:spacing w:val="1"/>
          <w:sz w:val="20"/>
          <w:szCs w:val="20"/>
        </w:rPr>
        <w:t xml:space="preserve"> </w:t>
      </w:r>
      <w:r w:rsidRPr="000977F7">
        <w:rPr>
          <w:rFonts w:asciiTheme="majorHAnsi" w:hAnsiTheme="majorHAnsi"/>
          <w:sz w:val="20"/>
          <w:szCs w:val="20"/>
        </w:rPr>
        <w:t>оброблення</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3"/>
          <w:sz w:val="20"/>
          <w:szCs w:val="20"/>
        </w:rPr>
        <w:t xml:space="preserve"> </w:t>
      </w:r>
      <w:r w:rsidRPr="000977F7">
        <w:rPr>
          <w:rFonts w:asciiTheme="majorHAnsi" w:hAnsiTheme="majorHAnsi"/>
          <w:sz w:val="20"/>
          <w:szCs w:val="20"/>
        </w:rPr>
        <w:t>використанням</w:t>
      </w:r>
      <w:r w:rsidRPr="000977F7">
        <w:rPr>
          <w:rFonts w:asciiTheme="majorHAnsi" w:hAnsiTheme="majorHAnsi"/>
          <w:spacing w:val="-8"/>
          <w:sz w:val="20"/>
          <w:szCs w:val="20"/>
        </w:rPr>
        <w:t xml:space="preserve"> </w:t>
      </w:r>
      <w:r w:rsidRPr="000977F7">
        <w:rPr>
          <w:rFonts w:asciiTheme="majorHAnsi" w:hAnsiTheme="majorHAnsi"/>
          <w:sz w:val="20"/>
          <w:szCs w:val="20"/>
        </w:rPr>
        <w:t>енергії</w:t>
      </w:r>
      <w:r w:rsidRPr="000977F7">
        <w:rPr>
          <w:rFonts w:asciiTheme="majorHAnsi" w:hAnsiTheme="majorHAnsi"/>
          <w:spacing w:val="-6"/>
          <w:sz w:val="20"/>
          <w:szCs w:val="20"/>
        </w:rPr>
        <w:t xml:space="preserve"> </w:t>
      </w:r>
      <w:r w:rsidRPr="000977F7">
        <w:rPr>
          <w:rFonts w:asciiTheme="majorHAnsi" w:hAnsiTheme="majorHAnsi"/>
          <w:sz w:val="20"/>
          <w:szCs w:val="20"/>
        </w:rPr>
        <w:t>гідравлічного</w:t>
      </w:r>
      <w:r w:rsidRPr="000977F7">
        <w:rPr>
          <w:rFonts w:asciiTheme="majorHAnsi" w:hAnsiTheme="majorHAnsi"/>
          <w:spacing w:val="-6"/>
          <w:sz w:val="20"/>
          <w:szCs w:val="20"/>
        </w:rPr>
        <w:t xml:space="preserve"> </w:t>
      </w:r>
      <w:r w:rsidRPr="000977F7">
        <w:rPr>
          <w:rFonts w:asciiTheme="majorHAnsi" w:hAnsiTheme="majorHAnsi"/>
          <w:sz w:val="20"/>
          <w:szCs w:val="20"/>
        </w:rPr>
        <w:t>удару</w:t>
      </w:r>
      <w:r w:rsidRPr="000977F7">
        <w:rPr>
          <w:rFonts w:asciiTheme="majorHAnsi" w:hAnsiTheme="majorHAnsi"/>
          <w:spacing w:val="-8"/>
          <w:sz w:val="20"/>
          <w:szCs w:val="20"/>
        </w:rPr>
        <w:t xml:space="preserve"> </w:t>
      </w:r>
      <w:r w:rsidRPr="000977F7">
        <w:rPr>
          <w:rFonts w:asciiTheme="majorHAnsi" w:hAnsiTheme="majorHAnsi"/>
          <w:sz w:val="20"/>
          <w:szCs w:val="20"/>
        </w:rPr>
        <w:t>при</w:t>
      </w:r>
      <w:r w:rsidRPr="000977F7">
        <w:rPr>
          <w:rFonts w:asciiTheme="majorHAnsi" w:hAnsiTheme="majorHAnsi"/>
          <w:spacing w:val="-7"/>
          <w:sz w:val="20"/>
          <w:szCs w:val="20"/>
        </w:rPr>
        <w:t xml:space="preserve"> </w:t>
      </w:r>
      <w:r w:rsidRPr="000977F7">
        <w:rPr>
          <w:rFonts w:asciiTheme="majorHAnsi" w:hAnsiTheme="majorHAnsi"/>
          <w:sz w:val="20"/>
          <w:szCs w:val="20"/>
        </w:rPr>
        <w:t>потужно</w:t>
      </w:r>
      <w:r w:rsidRPr="000977F7">
        <w:rPr>
          <w:rFonts w:asciiTheme="majorHAnsi" w:hAnsiTheme="majorHAnsi"/>
          <w:spacing w:val="-1"/>
          <w:sz w:val="20"/>
          <w:szCs w:val="20"/>
        </w:rPr>
        <w:t xml:space="preserve">му електричному розряді в </w:t>
      </w:r>
      <w:r w:rsidRPr="000977F7">
        <w:rPr>
          <w:rFonts w:asciiTheme="majorHAnsi" w:hAnsiTheme="majorHAnsi"/>
          <w:sz w:val="20"/>
          <w:szCs w:val="20"/>
        </w:rPr>
        <w:t>рідинному діелектрику</w:t>
      </w:r>
      <w:r w:rsidRPr="000977F7">
        <w:rPr>
          <w:rFonts w:asciiTheme="majorHAnsi" w:hAnsiTheme="majorHAnsi"/>
          <w:spacing w:val="1"/>
          <w:sz w:val="20"/>
          <w:szCs w:val="20"/>
        </w:rPr>
        <w:t xml:space="preserve"> </w:t>
      </w:r>
    </w:p>
    <w:p w14:paraId="252060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Електроіскрове</w:t>
      </w:r>
      <w:r w:rsidRPr="000977F7">
        <w:rPr>
          <w:rFonts w:asciiTheme="majorHAnsi" w:hAnsiTheme="majorHAnsi"/>
          <w:spacing w:val="-1"/>
          <w:sz w:val="20"/>
          <w:szCs w:val="20"/>
        </w:rPr>
        <w:t xml:space="preserve"> </w:t>
      </w:r>
      <w:r w:rsidRPr="000977F7">
        <w:rPr>
          <w:rFonts w:asciiTheme="majorHAnsi" w:hAnsiTheme="majorHAnsi"/>
          <w:sz w:val="20"/>
          <w:szCs w:val="20"/>
        </w:rPr>
        <w:t>– засноване</w:t>
      </w:r>
      <w:r w:rsidRPr="000977F7">
        <w:rPr>
          <w:rFonts w:asciiTheme="majorHAnsi" w:hAnsiTheme="majorHAnsi"/>
          <w:spacing w:val="2"/>
          <w:sz w:val="20"/>
          <w:szCs w:val="20"/>
        </w:rPr>
        <w:t xml:space="preserve"> </w:t>
      </w:r>
      <w:r w:rsidRPr="000977F7">
        <w:rPr>
          <w:rFonts w:asciiTheme="majorHAnsi" w:hAnsiTheme="majorHAnsi"/>
          <w:sz w:val="20"/>
          <w:szCs w:val="20"/>
        </w:rPr>
        <w:t>на використанні іскрового</w:t>
      </w:r>
      <w:r w:rsidRPr="000977F7">
        <w:rPr>
          <w:rFonts w:asciiTheme="majorHAnsi" w:hAnsiTheme="majorHAnsi"/>
          <w:spacing w:val="-47"/>
          <w:sz w:val="20"/>
          <w:szCs w:val="20"/>
        </w:rPr>
        <w:t xml:space="preserve"> </w:t>
      </w:r>
      <w:r w:rsidRPr="000977F7">
        <w:rPr>
          <w:rFonts w:asciiTheme="majorHAnsi" w:hAnsiTheme="majorHAnsi"/>
          <w:sz w:val="20"/>
          <w:szCs w:val="20"/>
        </w:rPr>
        <w:t>розряду</w:t>
      </w:r>
    </w:p>
    <w:p w14:paraId="66332E59"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Електромеханічне</w:t>
      </w:r>
      <w:r w:rsidRPr="000977F7">
        <w:rPr>
          <w:rFonts w:asciiTheme="majorHAnsi" w:hAnsiTheme="majorHAnsi"/>
          <w:spacing w:val="-11"/>
          <w:sz w:val="20"/>
          <w:szCs w:val="20"/>
        </w:rPr>
        <w:t xml:space="preserve"> </w:t>
      </w:r>
      <w:r w:rsidRPr="000977F7">
        <w:rPr>
          <w:rFonts w:asciiTheme="majorHAnsi" w:hAnsiTheme="majorHAnsi"/>
          <w:sz w:val="20"/>
          <w:szCs w:val="20"/>
        </w:rPr>
        <w:t>–</w:t>
      </w:r>
      <w:r w:rsidRPr="000977F7">
        <w:rPr>
          <w:rFonts w:asciiTheme="majorHAnsi" w:hAnsiTheme="majorHAnsi"/>
          <w:spacing w:val="-7"/>
          <w:sz w:val="20"/>
          <w:szCs w:val="20"/>
        </w:rPr>
        <w:t xml:space="preserve"> </w:t>
      </w:r>
      <w:r w:rsidRPr="000977F7">
        <w:rPr>
          <w:rFonts w:asciiTheme="majorHAnsi" w:hAnsiTheme="majorHAnsi"/>
          <w:sz w:val="20"/>
          <w:szCs w:val="20"/>
        </w:rPr>
        <w:t>із</w:t>
      </w:r>
      <w:r w:rsidRPr="000977F7">
        <w:rPr>
          <w:rFonts w:asciiTheme="majorHAnsi" w:hAnsiTheme="majorHAnsi"/>
          <w:spacing w:val="-9"/>
          <w:sz w:val="20"/>
          <w:szCs w:val="20"/>
        </w:rPr>
        <w:t xml:space="preserve"> </w:t>
      </w:r>
      <w:r w:rsidRPr="000977F7">
        <w:rPr>
          <w:rFonts w:asciiTheme="majorHAnsi" w:hAnsiTheme="majorHAnsi"/>
          <w:sz w:val="20"/>
          <w:szCs w:val="20"/>
        </w:rPr>
        <w:t>суміщенням</w:t>
      </w:r>
      <w:r w:rsidRPr="000977F7">
        <w:rPr>
          <w:rFonts w:asciiTheme="majorHAnsi" w:hAnsiTheme="majorHAnsi"/>
          <w:spacing w:val="-8"/>
          <w:sz w:val="20"/>
          <w:szCs w:val="20"/>
        </w:rPr>
        <w:t xml:space="preserve"> </w:t>
      </w:r>
      <w:r w:rsidRPr="000977F7">
        <w:rPr>
          <w:rFonts w:asciiTheme="majorHAnsi" w:hAnsiTheme="majorHAnsi"/>
          <w:sz w:val="20"/>
          <w:szCs w:val="20"/>
        </w:rPr>
        <w:t>одночасно</w:t>
      </w:r>
      <w:r w:rsidRPr="000977F7">
        <w:rPr>
          <w:rFonts w:asciiTheme="majorHAnsi" w:hAnsiTheme="majorHAnsi"/>
          <w:spacing w:val="-10"/>
          <w:sz w:val="20"/>
          <w:szCs w:val="20"/>
        </w:rPr>
        <w:t xml:space="preserve"> </w:t>
      </w:r>
      <w:r w:rsidRPr="000977F7">
        <w:rPr>
          <w:rFonts w:asciiTheme="majorHAnsi" w:hAnsiTheme="majorHAnsi"/>
          <w:sz w:val="20"/>
          <w:szCs w:val="20"/>
        </w:rPr>
        <w:t>механіч</w:t>
      </w:r>
      <w:r w:rsidRPr="000977F7">
        <w:rPr>
          <w:rFonts w:asciiTheme="majorHAnsi" w:hAnsiTheme="majorHAnsi"/>
          <w:spacing w:val="-1"/>
          <w:sz w:val="20"/>
          <w:szCs w:val="20"/>
        </w:rPr>
        <w:t xml:space="preserve">ного </w:t>
      </w:r>
      <w:r w:rsidRPr="000977F7">
        <w:rPr>
          <w:rFonts w:asciiTheme="majorHAnsi" w:hAnsiTheme="majorHAnsi"/>
          <w:sz w:val="20"/>
          <w:szCs w:val="20"/>
        </w:rPr>
        <w:t>та електричного впливу на матеріал заготовки</w:t>
      </w:r>
      <w:r w:rsidRPr="000977F7">
        <w:rPr>
          <w:rFonts w:asciiTheme="majorHAnsi" w:hAnsiTheme="majorHAnsi"/>
          <w:spacing w:val="1"/>
          <w:sz w:val="20"/>
          <w:szCs w:val="20"/>
        </w:rPr>
        <w:t xml:space="preserve"> </w:t>
      </w:r>
    </w:p>
    <w:p w14:paraId="54860CC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Електронно-струменеве</w:t>
      </w:r>
      <w:r w:rsidRPr="000977F7">
        <w:rPr>
          <w:rFonts w:asciiTheme="majorHAnsi" w:hAnsiTheme="majorHAnsi"/>
          <w:spacing w:val="41"/>
          <w:sz w:val="20"/>
          <w:szCs w:val="20"/>
        </w:rPr>
        <w:t xml:space="preserve"> </w:t>
      </w:r>
      <w:r w:rsidRPr="000977F7">
        <w:rPr>
          <w:rFonts w:asciiTheme="majorHAnsi" w:hAnsiTheme="majorHAnsi"/>
          <w:sz w:val="20"/>
          <w:szCs w:val="20"/>
        </w:rPr>
        <w:t>–</w:t>
      </w:r>
      <w:r w:rsidRPr="000977F7">
        <w:rPr>
          <w:rFonts w:asciiTheme="majorHAnsi" w:hAnsiTheme="majorHAnsi"/>
          <w:spacing w:val="42"/>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43"/>
          <w:sz w:val="20"/>
          <w:szCs w:val="20"/>
        </w:rPr>
        <w:t xml:space="preserve"> </w:t>
      </w:r>
      <w:r w:rsidRPr="000977F7">
        <w:rPr>
          <w:rFonts w:asciiTheme="majorHAnsi" w:hAnsiTheme="majorHAnsi"/>
          <w:sz w:val="20"/>
          <w:szCs w:val="20"/>
        </w:rPr>
        <w:t>направленим</w:t>
      </w:r>
      <w:r w:rsidRPr="000977F7">
        <w:rPr>
          <w:rFonts w:asciiTheme="majorHAnsi" w:hAnsiTheme="majorHAnsi"/>
          <w:spacing w:val="-47"/>
          <w:sz w:val="20"/>
          <w:szCs w:val="20"/>
        </w:rPr>
        <w:t xml:space="preserve">   </w:t>
      </w:r>
      <w:r w:rsidRPr="000977F7">
        <w:rPr>
          <w:rFonts w:asciiTheme="majorHAnsi" w:hAnsiTheme="majorHAnsi"/>
          <w:sz w:val="20"/>
          <w:szCs w:val="20"/>
        </w:rPr>
        <w:t>потоком</w:t>
      </w:r>
      <w:r w:rsidRPr="000977F7">
        <w:rPr>
          <w:rFonts w:asciiTheme="majorHAnsi" w:hAnsiTheme="majorHAnsi"/>
          <w:spacing w:val="6"/>
          <w:sz w:val="20"/>
          <w:szCs w:val="20"/>
        </w:rPr>
        <w:t xml:space="preserve"> </w:t>
      </w:r>
      <w:r w:rsidRPr="000977F7">
        <w:rPr>
          <w:rFonts w:asciiTheme="majorHAnsi" w:hAnsiTheme="majorHAnsi"/>
          <w:sz w:val="20"/>
          <w:szCs w:val="20"/>
        </w:rPr>
        <w:t>електронів</w:t>
      </w:r>
      <w:r w:rsidRPr="000977F7">
        <w:rPr>
          <w:rFonts w:asciiTheme="majorHAnsi" w:hAnsiTheme="majorHAnsi"/>
          <w:spacing w:val="8"/>
          <w:sz w:val="20"/>
          <w:szCs w:val="20"/>
        </w:rPr>
        <w:t xml:space="preserve"> </w:t>
      </w:r>
      <w:r w:rsidRPr="000977F7">
        <w:rPr>
          <w:rFonts w:asciiTheme="majorHAnsi" w:hAnsiTheme="majorHAnsi"/>
          <w:sz w:val="20"/>
          <w:szCs w:val="20"/>
        </w:rPr>
        <w:t>високих</w:t>
      </w:r>
      <w:r w:rsidRPr="000977F7">
        <w:rPr>
          <w:rFonts w:asciiTheme="majorHAnsi" w:hAnsiTheme="majorHAnsi"/>
          <w:spacing w:val="6"/>
          <w:sz w:val="20"/>
          <w:szCs w:val="20"/>
        </w:rPr>
        <w:t xml:space="preserve"> </w:t>
      </w:r>
      <w:r w:rsidRPr="000977F7">
        <w:rPr>
          <w:rFonts w:asciiTheme="majorHAnsi" w:hAnsiTheme="majorHAnsi"/>
          <w:sz w:val="20"/>
          <w:szCs w:val="20"/>
        </w:rPr>
        <w:t>енергій,</w:t>
      </w:r>
      <w:r w:rsidRPr="000977F7">
        <w:rPr>
          <w:rFonts w:asciiTheme="majorHAnsi" w:hAnsiTheme="majorHAnsi"/>
          <w:spacing w:val="6"/>
          <w:sz w:val="20"/>
          <w:szCs w:val="20"/>
        </w:rPr>
        <w:t xml:space="preserve"> </w:t>
      </w:r>
      <w:r w:rsidRPr="000977F7">
        <w:rPr>
          <w:rFonts w:asciiTheme="majorHAnsi" w:hAnsiTheme="majorHAnsi"/>
          <w:sz w:val="20"/>
          <w:szCs w:val="20"/>
        </w:rPr>
        <w:t>які</w:t>
      </w:r>
      <w:r w:rsidRPr="000977F7">
        <w:rPr>
          <w:rFonts w:asciiTheme="majorHAnsi" w:hAnsiTheme="majorHAnsi"/>
          <w:spacing w:val="8"/>
          <w:sz w:val="20"/>
          <w:szCs w:val="20"/>
        </w:rPr>
        <w:t xml:space="preserve"> </w:t>
      </w:r>
      <w:r w:rsidRPr="000977F7">
        <w:rPr>
          <w:rFonts w:asciiTheme="majorHAnsi" w:hAnsiTheme="majorHAnsi"/>
          <w:sz w:val="20"/>
          <w:szCs w:val="20"/>
        </w:rPr>
        <w:t>створюються</w:t>
      </w:r>
      <w:r w:rsidRPr="000977F7">
        <w:rPr>
          <w:rFonts w:asciiTheme="majorHAnsi" w:hAnsiTheme="majorHAnsi"/>
          <w:spacing w:val="-47"/>
          <w:sz w:val="20"/>
          <w:szCs w:val="20"/>
        </w:rPr>
        <w:t xml:space="preserve">         </w:t>
      </w:r>
      <w:r w:rsidRPr="000977F7">
        <w:rPr>
          <w:rFonts w:asciiTheme="majorHAnsi" w:hAnsiTheme="majorHAnsi"/>
          <w:sz w:val="20"/>
          <w:szCs w:val="20"/>
        </w:rPr>
        <w:t>електронною</w:t>
      </w:r>
      <w:r w:rsidRPr="000977F7">
        <w:rPr>
          <w:rFonts w:asciiTheme="majorHAnsi" w:hAnsiTheme="majorHAnsi"/>
          <w:spacing w:val="-4"/>
          <w:sz w:val="20"/>
          <w:szCs w:val="20"/>
        </w:rPr>
        <w:t xml:space="preserve"> </w:t>
      </w:r>
      <w:r w:rsidRPr="000977F7">
        <w:rPr>
          <w:rFonts w:asciiTheme="majorHAnsi" w:hAnsiTheme="majorHAnsi"/>
          <w:sz w:val="20"/>
          <w:szCs w:val="20"/>
        </w:rPr>
        <w:t>пушкою</w:t>
      </w:r>
    </w:p>
    <w:p w14:paraId="35A4550E"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Електрофізичне</w:t>
      </w:r>
      <w:r w:rsidRPr="000977F7">
        <w:rPr>
          <w:rFonts w:asciiTheme="majorHAnsi" w:hAnsiTheme="majorHAnsi"/>
          <w:spacing w:val="-12"/>
          <w:sz w:val="20"/>
          <w:szCs w:val="20"/>
        </w:rPr>
        <w:t xml:space="preserve"> </w:t>
      </w:r>
      <w:r w:rsidRPr="000977F7">
        <w:rPr>
          <w:rFonts w:asciiTheme="majorHAnsi" w:hAnsiTheme="majorHAnsi"/>
          <w:sz w:val="20"/>
          <w:szCs w:val="20"/>
        </w:rPr>
        <w:t>–</w:t>
      </w:r>
      <w:r w:rsidRPr="000977F7">
        <w:rPr>
          <w:rFonts w:asciiTheme="majorHAnsi" w:hAnsiTheme="majorHAnsi"/>
          <w:spacing w:val="-11"/>
          <w:sz w:val="20"/>
          <w:szCs w:val="20"/>
        </w:rPr>
        <w:t xml:space="preserve"> </w:t>
      </w:r>
      <w:r w:rsidRPr="000977F7">
        <w:rPr>
          <w:rFonts w:asciiTheme="majorHAnsi" w:hAnsiTheme="majorHAnsi"/>
          <w:sz w:val="20"/>
          <w:szCs w:val="20"/>
        </w:rPr>
        <w:t>засноване</w:t>
      </w:r>
      <w:r w:rsidRPr="000977F7">
        <w:rPr>
          <w:rFonts w:asciiTheme="majorHAnsi" w:hAnsiTheme="majorHAnsi"/>
          <w:spacing w:val="-9"/>
          <w:sz w:val="20"/>
          <w:szCs w:val="20"/>
        </w:rPr>
        <w:t xml:space="preserve"> </w:t>
      </w:r>
      <w:r w:rsidRPr="000977F7">
        <w:rPr>
          <w:rFonts w:asciiTheme="majorHAnsi" w:hAnsiTheme="majorHAnsi"/>
          <w:sz w:val="20"/>
          <w:szCs w:val="20"/>
        </w:rPr>
        <w:t>на</w:t>
      </w:r>
      <w:r w:rsidRPr="000977F7">
        <w:rPr>
          <w:rFonts w:asciiTheme="majorHAnsi" w:hAnsiTheme="majorHAnsi"/>
          <w:spacing w:val="-12"/>
          <w:sz w:val="20"/>
          <w:szCs w:val="20"/>
        </w:rPr>
        <w:t xml:space="preserve"> </w:t>
      </w:r>
      <w:r w:rsidRPr="000977F7">
        <w:rPr>
          <w:rFonts w:asciiTheme="majorHAnsi" w:hAnsiTheme="majorHAnsi"/>
          <w:sz w:val="20"/>
          <w:szCs w:val="20"/>
        </w:rPr>
        <w:t>використанні</w:t>
      </w:r>
      <w:r w:rsidRPr="000977F7">
        <w:rPr>
          <w:rFonts w:asciiTheme="majorHAnsi" w:hAnsiTheme="majorHAnsi"/>
          <w:spacing w:val="-11"/>
          <w:sz w:val="20"/>
          <w:szCs w:val="20"/>
        </w:rPr>
        <w:t xml:space="preserve"> </w:t>
      </w:r>
      <w:r w:rsidRPr="000977F7">
        <w:rPr>
          <w:rFonts w:asciiTheme="majorHAnsi" w:hAnsiTheme="majorHAnsi"/>
          <w:sz w:val="20"/>
          <w:szCs w:val="20"/>
        </w:rPr>
        <w:t>електрич</w:t>
      </w:r>
      <w:r w:rsidRPr="000977F7">
        <w:rPr>
          <w:rFonts w:asciiTheme="majorHAnsi" w:hAnsiTheme="majorHAnsi"/>
          <w:spacing w:val="-1"/>
          <w:sz w:val="20"/>
          <w:szCs w:val="20"/>
        </w:rPr>
        <w:t>них</w:t>
      </w:r>
      <w:r w:rsidRPr="000977F7">
        <w:rPr>
          <w:rFonts w:asciiTheme="majorHAnsi" w:hAnsiTheme="majorHAnsi"/>
          <w:spacing w:val="-12"/>
          <w:sz w:val="20"/>
          <w:szCs w:val="20"/>
        </w:rPr>
        <w:t xml:space="preserve"> </w:t>
      </w:r>
      <w:r w:rsidRPr="000977F7">
        <w:rPr>
          <w:rFonts w:asciiTheme="majorHAnsi" w:hAnsiTheme="majorHAnsi"/>
          <w:spacing w:val="-1"/>
          <w:sz w:val="20"/>
          <w:szCs w:val="20"/>
        </w:rPr>
        <w:t>розрядів,</w:t>
      </w:r>
      <w:r w:rsidRPr="000977F7">
        <w:rPr>
          <w:rFonts w:asciiTheme="majorHAnsi" w:hAnsiTheme="majorHAnsi"/>
          <w:spacing w:val="-10"/>
          <w:sz w:val="20"/>
          <w:szCs w:val="20"/>
        </w:rPr>
        <w:t xml:space="preserve"> </w:t>
      </w:r>
      <w:r w:rsidRPr="000977F7">
        <w:rPr>
          <w:rFonts w:asciiTheme="majorHAnsi" w:hAnsiTheme="majorHAnsi"/>
          <w:spacing w:val="-1"/>
          <w:sz w:val="20"/>
          <w:szCs w:val="20"/>
        </w:rPr>
        <w:t>магнітострикційного</w:t>
      </w:r>
      <w:r w:rsidRPr="000977F7">
        <w:rPr>
          <w:rFonts w:asciiTheme="majorHAnsi" w:hAnsiTheme="majorHAnsi"/>
          <w:spacing w:val="-10"/>
          <w:sz w:val="20"/>
          <w:szCs w:val="20"/>
        </w:rPr>
        <w:t xml:space="preserve"> </w:t>
      </w:r>
      <w:r w:rsidRPr="000977F7">
        <w:rPr>
          <w:rFonts w:asciiTheme="majorHAnsi" w:hAnsiTheme="majorHAnsi"/>
          <w:spacing w:val="-1"/>
          <w:sz w:val="20"/>
          <w:szCs w:val="20"/>
        </w:rPr>
        <w:t>ефекту,</w:t>
      </w:r>
      <w:r w:rsidRPr="000977F7">
        <w:rPr>
          <w:rFonts w:asciiTheme="majorHAnsi" w:hAnsiTheme="majorHAnsi"/>
          <w:spacing w:val="-10"/>
          <w:sz w:val="20"/>
          <w:szCs w:val="20"/>
        </w:rPr>
        <w:t xml:space="preserve"> </w:t>
      </w:r>
      <w:r w:rsidRPr="000977F7">
        <w:rPr>
          <w:rFonts w:asciiTheme="majorHAnsi" w:hAnsiTheme="majorHAnsi"/>
          <w:spacing w:val="-1"/>
          <w:sz w:val="20"/>
          <w:szCs w:val="20"/>
        </w:rPr>
        <w:t>електронно</w:t>
      </w:r>
      <w:r w:rsidRPr="000977F7">
        <w:rPr>
          <w:rFonts w:asciiTheme="majorHAnsi" w:hAnsiTheme="majorHAnsi"/>
          <w:sz w:val="20"/>
          <w:szCs w:val="20"/>
        </w:rPr>
        <w:t>го та оптичного випромінення струменю плазми</w:t>
      </w:r>
      <w:r w:rsidRPr="000977F7">
        <w:rPr>
          <w:rFonts w:asciiTheme="majorHAnsi" w:hAnsiTheme="majorHAnsi"/>
          <w:spacing w:val="1"/>
          <w:sz w:val="20"/>
          <w:szCs w:val="20"/>
        </w:rPr>
        <w:t xml:space="preserve"> </w:t>
      </w:r>
    </w:p>
    <w:p w14:paraId="7C5FC7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Електрохімічне</w:t>
      </w:r>
      <w:r w:rsidRPr="000977F7">
        <w:rPr>
          <w:rFonts w:asciiTheme="majorHAnsi" w:hAnsiTheme="majorHAnsi"/>
          <w:spacing w:val="-9"/>
          <w:sz w:val="20"/>
          <w:szCs w:val="20"/>
        </w:rPr>
        <w:t xml:space="preserve"> </w:t>
      </w:r>
      <w:r w:rsidRPr="000977F7">
        <w:rPr>
          <w:rFonts w:asciiTheme="majorHAnsi" w:hAnsiTheme="majorHAnsi"/>
          <w:sz w:val="20"/>
          <w:szCs w:val="20"/>
        </w:rPr>
        <w:t>–</w:t>
      </w:r>
      <w:r w:rsidRPr="000977F7">
        <w:rPr>
          <w:rFonts w:asciiTheme="majorHAnsi" w:hAnsiTheme="majorHAnsi"/>
          <w:spacing w:val="-9"/>
          <w:sz w:val="20"/>
          <w:szCs w:val="20"/>
        </w:rPr>
        <w:t xml:space="preserve"> </w:t>
      </w:r>
      <w:r w:rsidRPr="000977F7">
        <w:rPr>
          <w:rFonts w:asciiTheme="majorHAnsi" w:hAnsiTheme="majorHAnsi"/>
          <w:sz w:val="20"/>
          <w:szCs w:val="20"/>
        </w:rPr>
        <w:t>засноване</w:t>
      </w:r>
      <w:r w:rsidRPr="000977F7">
        <w:rPr>
          <w:rFonts w:asciiTheme="majorHAnsi" w:hAnsiTheme="majorHAnsi"/>
          <w:spacing w:val="-7"/>
          <w:sz w:val="20"/>
          <w:szCs w:val="20"/>
        </w:rPr>
        <w:t xml:space="preserve"> </w:t>
      </w:r>
      <w:r w:rsidRPr="000977F7">
        <w:rPr>
          <w:rFonts w:asciiTheme="majorHAnsi" w:hAnsiTheme="majorHAnsi"/>
          <w:sz w:val="20"/>
          <w:szCs w:val="20"/>
        </w:rPr>
        <w:t>на</w:t>
      </w:r>
      <w:r w:rsidRPr="000977F7">
        <w:rPr>
          <w:rFonts w:asciiTheme="majorHAnsi" w:hAnsiTheme="majorHAnsi"/>
          <w:spacing w:val="-9"/>
          <w:sz w:val="20"/>
          <w:szCs w:val="20"/>
        </w:rPr>
        <w:t xml:space="preserve"> </w:t>
      </w:r>
      <w:r w:rsidRPr="000977F7">
        <w:rPr>
          <w:rFonts w:asciiTheme="majorHAnsi" w:hAnsiTheme="majorHAnsi"/>
          <w:sz w:val="20"/>
          <w:szCs w:val="20"/>
        </w:rPr>
        <w:t>використанні</w:t>
      </w:r>
      <w:r w:rsidRPr="000977F7">
        <w:rPr>
          <w:rFonts w:asciiTheme="majorHAnsi" w:hAnsiTheme="majorHAnsi"/>
          <w:spacing w:val="-10"/>
          <w:sz w:val="20"/>
          <w:szCs w:val="20"/>
        </w:rPr>
        <w:t xml:space="preserve"> </w:t>
      </w:r>
      <w:r w:rsidRPr="000977F7">
        <w:rPr>
          <w:rFonts w:asciiTheme="majorHAnsi" w:hAnsiTheme="majorHAnsi"/>
          <w:sz w:val="20"/>
          <w:szCs w:val="20"/>
        </w:rPr>
        <w:t>розчинення</w:t>
      </w:r>
      <w:r w:rsidRPr="000977F7">
        <w:rPr>
          <w:rFonts w:asciiTheme="majorHAnsi" w:hAnsiTheme="majorHAnsi"/>
          <w:spacing w:val="11"/>
          <w:sz w:val="20"/>
          <w:szCs w:val="20"/>
        </w:rPr>
        <w:t xml:space="preserve"> </w:t>
      </w:r>
      <w:r w:rsidRPr="000977F7">
        <w:rPr>
          <w:rFonts w:asciiTheme="majorHAnsi" w:hAnsiTheme="majorHAnsi"/>
          <w:sz w:val="20"/>
          <w:szCs w:val="20"/>
        </w:rPr>
        <w:t>метала</w:t>
      </w:r>
      <w:r w:rsidRPr="000977F7">
        <w:rPr>
          <w:rFonts w:asciiTheme="majorHAnsi" w:hAnsiTheme="majorHAnsi"/>
          <w:spacing w:val="12"/>
          <w:sz w:val="20"/>
          <w:szCs w:val="20"/>
        </w:rPr>
        <w:t xml:space="preserve"> </w:t>
      </w:r>
      <w:r w:rsidRPr="000977F7">
        <w:rPr>
          <w:rFonts w:asciiTheme="majorHAnsi" w:hAnsiTheme="majorHAnsi"/>
          <w:sz w:val="20"/>
          <w:szCs w:val="20"/>
        </w:rPr>
        <w:t>(анод)</w:t>
      </w:r>
      <w:r w:rsidRPr="000977F7">
        <w:rPr>
          <w:rFonts w:asciiTheme="majorHAnsi" w:hAnsiTheme="majorHAnsi"/>
          <w:spacing w:val="15"/>
          <w:sz w:val="20"/>
          <w:szCs w:val="20"/>
        </w:rPr>
        <w:t xml:space="preserve"> </w:t>
      </w:r>
      <w:r w:rsidRPr="000977F7">
        <w:rPr>
          <w:rFonts w:asciiTheme="majorHAnsi" w:hAnsiTheme="majorHAnsi"/>
          <w:sz w:val="20"/>
          <w:szCs w:val="20"/>
        </w:rPr>
        <w:t>в</w:t>
      </w:r>
      <w:r w:rsidRPr="000977F7">
        <w:rPr>
          <w:rFonts w:asciiTheme="majorHAnsi" w:hAnsiTheme="majorHAnsi"/>
          <w:spacing w:val="12"/>
          <w:sz w:val="20"/>
          <w:szCs w:val="20"/>
        </w:rPr>
        <w:t xml:space="preserve"> </w:t>
      </w:r>
      <w:r w:rsidRPr="000977F7">
        <w:rPr>
          <w:rFonts w:asciiTheme="majorHAnsi" w:hAnsiTheme="majorHAnsi"/>
          <w:sz w:val="20"/>
          <w:szCs w:val="20"/>
        </w:rPr>
        <w:t>електролиті</w:t>
      </w:r>
      <w:r w:rsidRPr="000977F7">
        <w:rPr>
          <w:rFonts w:asciiTheme="majorHAnsi" w:hAnsiTheme="majorHAnsi"/>
          <w:spacing w:val="12"/>
          <w:sz w:val="20"/>
          <w:szCs w:val="20"/>
        </w:rPr>
        <w:t xml:space="preserve"> </w:t>
      </w:r>
      <w:r w:rsidRPr="000977F7">
        <w:rPr>
          <w:rFonts w:asciiTheme="majorHAnsi" w:hAnsiTheme="majorHAnsi"/>
          <w:sz w:val="20"/>
          <w:szCs w:val="20"/>
        </w:rPr>
        <w:t>під</w:t>
      </w:r>
      <w:r w:rsidRPr="000977F7">
        <w:rPr>
          <w:rFonts w:asciiTheme="majorHAnsi" w:hAnsiTheme="majorHAnsi"/>
          <w:spacing w:val="14"/>
          <w:sz w:val="20"/>
          <w:szCs w:val="20"/>
        </w:rPr>
        <w:t xml:space="preserve"> </w:t>
      </w:r>
      <w:r w:rsidRPr="000977F7">
        <w:rPr>
          <w:rFonts w:asciiTheme="majorHAnsi" w:hAnsiTheme="majorHAnsi"/>
          <w:sz w:val="20"/>
          <w:szCs w:val="20"/>
        </w:rPr>
        <w:t>дією</w:t>
      </w:r>
      <w:r w:rsidRPr="000977F7">
        <w:rPr>
          <w:rFonts w:asciiTheme="majorHAnsi" w:hAnsiTheme="majorHAnsi"/>
          <w:spacing w:val="12"/>
          <w:sz w:val="20"/>
          <w:szCs w:val="20"/>
        </w:rPr>
        <w:t xml:space="preserve"> </w:t>
      </w:r>
      <w:r w:rsidRPr="000977F7">
        <w:rPr>
          <w:rFonts w:asciiTheme="majorHAnsi" w:hAnsiTheme="majorHAnsi"/>
          <w:sz w:val="20"/>
          <w:szCs w:val="20"/>
        </w:rPr>
        <w:t>електричного</w:t>
      </w:r>
      <w:r w:rsidRPr="000977F7">
        <w:rPr>
          <w:rFonts w:asciiTheme="majorHAnsi" w:hAnsiTheme="majorHAnsi"/>
          <w:spacing w:val="-47"/>
          <w:sz w:val="20"/>
          <w:szCs w:val="20"/>
        </w:rPr>
        <w:t xml:space="preserve"> </w:t>
      </w:r>
      <w:r w:rsidRPr="000977F7">
        <w:rPr>
          <w:rFonts w:asciiTheme="majorHAnsi" w:hAnsiTheme="majorHAnsi"/>
          <w:sz w:val="20"/>
          <w:szCs w:val="20"/>
        </w:rPr>
        <w:t>струму</w:t>
      </w:r>
    </w:p>
    <w:p w14:paraId="016672E3"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pacing w:val="-1"/>
          <w:sz w:val="20"/>
          <w:szCs w:val="20"/>
        </w:rPr>
        <w:t>Електроерозійне</w:t>
      </w:r>
      <w:r w:rsidRPr="000977F7">
        <w:rPr>
          <w:rFonts w:asciiTheme="majorHAnsi" w:hAnsiTheme="majorHAnsi"/>
          <w:spacing w:val="-11"/>
          <w:sz w:val="20"/>
          <w:szCs w:val="20"/>
        </w:rPr>
        <w:t xml:space="preserve"> </w:t>
      </w:r>
      <w:r w:rsidRPr="000977F7">
        <w:rPr>
          <w:rFonts w:asciiTheme="majorHAnsi" w:hAnsiTheme="majorHAnsi"/>
          <w:sz w:val="20"/>
          <w:szCs w:val="20"/>
        </w:rPr>
        <w:t>–</w:t>
      </w:r>
      <w:r w:rsidRPr="000977F7">
        <w:rPr>
          <w:rFonts w:asciiTheme="majorHAnsi" w:hAnsiTheme="majorHAnsi"/>
          <w:spacing w:val="-9"/>
          <w:sz w:val="20"/>
          <w:szCs w:val="20"/>
        </w:rPr>
        <w:t xml:space="preserve"> </w:t>
      </w:r>
      <w:r w:rsidRPr="000977F7">
        <w:rPr>
          <w:rFonts w:asciiTheme="majorHAnsi" w:hAnsiTheme="majorHAnsi"/>
          <w:sz w:val="20"/>
          <w:szCs w:val="20"/>
        </w:rPr>
        <w:t>засноване</w:t>
      </w:r>
      <w:r w:rsidRPr="000977F7">
        <w:rPr>
          <w:rFonts w:asciiTheme="majorHAnsi" w:hAnsiTheme="majorHAnsi"/>
          <w:spacing w:val="-8"/>
          <w:sz w:val="20"/>
          <w:szCs w:val="20"/>
        </w:rPr>
        <w:t xml:space="preserve"> </w:t>
      </w:r>
      <w:r w:rsidRPr="000977F7">
        <w:rPr>
          <w:rFonts w:asciiTheme="majorHAnsi" w:hAnsiTheme="majorHAnsi"/>
          <w:sz w:val="20"/>
          <w:szCs w:val="20"/>
        </w:rPr>
        <w:t>на</w:t>
      </w:r>
      <w:r w:rsidRPr="000977F7">
        <w:rPr>
          <w:rFonts w:asciiTheme="majorHAnsi" w:hAnsiTheme="majorHAnsi"/>
          <w:spacing w:val="-9"/>
          <w:sz w:val="20"/>
          <w:szCs w:val="20"/>
        </w:rPr>
        <w:t xml:space="preserve"> </w:t>
      </w:r>
      <w:r w:rsidRPr="000977F7">
        <w:rPr>
          <w:rFonts w:asciiTheme="majorHAnsi" w:hAnsiTheme="majorHAnsi"/>
          <w:sz w:val="20"/>
          <w:szCs w:val="20"/>
        </w:rPr>
        <w:t>вириванні</w:t>
      </w:r>
      <w:r w:rsidRPr="000977F7">
        <w:rPr>
          <w:rFonts w:asciiTheme="majorHAnsi" w:hAnsiTheme="majorHAnsi"/>
          <w:spacing w:val="-9"/>
          <w:sz w:val="20"/>
          <w:szCs w:val="20"/>
        </w:rPr>
        <w:t xml:space="preserve"> </w:t>
      </w:r>
      <w:r w:rsidRPr="000977F7">
        <w:rPr>
          <w:rFonts w:asciiTheme="majorHAnsi" w:hAnsiTheme="majorHAnsi"/>
          <w:sz w:val="20"/>
          <w:szCs w:val="20"/>
        </w:rPr>
        <w:t>часток</w:t>
      </w:r>
      <w:r w:rsidRPr="000977F7">
        <w:rPr>
          <w:rFonts w:asciiTheme="majorHAnsi" w:hAnsiTheme="majorHAnsi"/>
          <w:spacing w:val="-11"/>
          <w:sz w:val="20"/>
          <w:szCs w:val="20"/>
        </w:rPr>
        <w:t xml:space="preserve"> </w:t>
      </w:r>
      <w:r w:rsidRPr="000977F7">
        <w:rPr>
          <w:rFonts w:asciiTheme="majorHAnsi" w:hAnsiTheme="majorHAnsi"/>
          <w:sz w:val="20"/>
          <w:szCs w:val="20"/>
        </w:rPr>
        <w:t>матеріалу з поверхні імпульсом електричного розряду</w:t>
      </w:r>
      <w:r w:rsidRPr="000977F7">
        <w:rPr>
          <w:rFonts w:asciiTheme="majorHAnsi" w:hAnsiTheme="majorHAnsi"/>
          <w:spacing w:val="1"/>
          <w:sz w:val="20"/>
          <w:szCs w:val="20"/>
        </w:rPr>
        <w:t xml:space="preserve"> </w:t>
      </w:r>
      <w:r w:rsidRPr="000977F7">
        <w:rPr>
          <w:rFonts w:asciiTheme="majorHAnsi" w:hAnsiTheme="majorHAnsi"/>
          <w:b/>
          <w:sz w:val="20"/>
          <w:szCs w:val="20"/>
        </w:rPr>
        <w:t>ОБРОБЛЕННЯ</w:t>
      </w:r>
      <w:r w:rsidRPr="000977F7">
        <w:rPr>
          <w:rFonts w:asciiTheme="majorHAnsi" w:hAnsiTheme="majorHAnsi"/>
          <w:b/>
          <w:spacing w:val="-1"/>
          <w:sz w:val="20"/>
          <w:szCs w:val="20"/>
        </w:rPr>
        <w:t xml:space="preserve"> </w:t>
      </w:r>
      <w:r w:rsidRPr="000977F7">
        <w:rPr>
          <w:rFonts w:asciiTheme="majorHAnsi" w:hAnsiTheme="majorHAnsi"/>
          <w:b/>
          <w:sz w:val="20"/>
          <w:szCs w:val="20"/>
        </w:rPr>
        <w:t>ПОМИЛОК</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52522FB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EXCEPTION</w:t>
      </w:r>
      <w:r w:rsidRPr="000977F7">
        <w:rPr>
          <w:rFonts w:asciiTheme="majorHAnsi" w:hAnsiTheme="majorHAnsi"/>
          <w:spacing w:val="-3"/>
          <w:sz w:val="20"/>
          <w:szCs w:val="20"/>
        </w:rPr>
        <w:t xml:space="preserve"> </w:t>
      </w:r>
      <w:r w:rsidRPr="000977F7">
        <w:rPr>
          <w:rFonts w:asciiTheme="majorHAnsi" w:hAnsiTheme="majorHAnsi"/>
          <w:sz w:val="20"/>
          <w:szCs w:val="20"/>
        </w:rPr>
        <w:t>HANDLING</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5FDD46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Реакція системи на помилку</w:t>
      </w:r>
    </w:p>
    <w:p w14:paraId="65CB477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ISO/IEC 2382:2017</w:t>
      </w:r>
    </w:p>
    <w:p w14:paraId="42809ED4"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ОБРОБЛЕННЯ РІЗАННЯМ –</w:t>
      </w:r>
      <w:r w:rsidRPr="000977F7">
        <w:rPr>
          <w:rFonts w:asciiTheme="majorHAnsi" w:hAnsiTheme="majorHAnsi"/>
          <w:b/>
          <w:spacing w:val="-47"/>
          <w:sz w:val="20"/>
          <w:szCs w:val="20"/>
        </w:rPr>
        <w:t xml:space="preserve"> </w:t>
      </w:r>
    </w:p>
    <w:p w14:paraId="5B5A109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MACHINING –</w:t>
      </w:r>
    </w:p>
    <w:p w14:paraId="293C62E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Оброблення, яке полягає в утворенні нових поверхонь</w:t>
      </w:r>
      <w:r w:rsidRPr="000977F7">
        <w:rPr>
          <w:rFonts w:asciiTheme="majorHAnsi" w:hAnsiTheme="majorHAnsi"/>
          <w:spacing w:val="-47"/>
          <w:sz w:val="20"/>
          <w:szCs w:val="20"/>
        </w:rPr>
        <w:t xml:space="preserve"> </w:t>
      </w:r>
      <w:r w:rsidRPr="000977F7">
        <w:rPr>
          <w:rFonts w:asciiTheme="majorHAnsi" w:hAnsiTheme="majorHAnsi"/>
          <w:sz w:val="20"/>
          <w:szCs w:val="20"/>
        </w:rPr>
        <w:t>шляхом</w:t>
      </w:r>
      <w:r w:rsidRPr="000977F7">
        <w:rPr>
          <w:rFonts w:asciiTheme="majorHAnsi" w:hAnsiTheme="majorHAnsi"/>
          <w:spacing w:val="1"/>
          <w:sz w:val="20"/>
          <w:szCs w:val="20"/>
        </w:rPr>
        <w:t xml:space="preserve"> </w:t>
      </w:r>
      <w:r w:rsidRPr="000977F7">
        <w:rPr>
          <w:rFonts w:asciiTheme="majorHAnsi" w:hAnsiTheme="majorHAnsi"/>
          <w:sz w:val="20"/>
          <w:szCs w:val="20"/>
        </w:rPr>
        <w:t>відділення</w:t>
      </w:r>
      <w:r w:rsidRPr="000977F7">
        <w:rPr>
          <w:rFonts w:asciiTheme="majorHAnsi" w:hAnsiTheme="majorHAnsi"/>
          <w:spacing w:val="1"/>
          <w:sz w:val="20"/>
          <w:szCs w:val="20"/>
        </w:rPr>
        <w:t xml:space="preserve"> </w:t>
      </w:r>
      <w:r w:rsidRPr="000977F7">
        <w:rPr>
          <w:rFonts w:asciiTheme="majorHAnsi" w:hAnsiTheme="majorHAnsi"/>
          <w:sz w:val="20"/>
          <w:szCs w:val="20"/>
        </w:rPr>
        <w:t>поверхневих</w:t>
      </w:r>
      <w:r w:rsidRPr="000977F7">
        <w:rPr>
          <w:rFonts w:asciiTheme="majorHAnsi" w:hAnsiTheme="majorHAnsi"/>
          <w:spacing w:val="1"/>
          <w:sz w:val="20"/>
          <w:szCs w:val="20"/>
        </w:rPr>
        <w:t xml:space="preserve"> </w:t>
      </w:r>
      <w:r w:rsidRPr="000977F7">
        <w:rPr>
          <w:rFonts w:asciiTheme="majorHAnsi" w:hAnsiTheme="majorHAnsi"/>
          <w:sz w:val="20"/>
          <w:szCs w:val="20"/>
        </w:rPr>
        <w:t>шарів</w:t>
      </w:r>
      <w:r w:rsidRPr="000977F7">
        <w:rPr>
          <w:rFonts w:asciiTheme="majorHAnsi" w:hAnsiTheme="majorHAnsi"/>
          <w:spacing w:val="1"/>
          <w:sz w:val="20"/>
          <w:szCs w:val="20"/>
        </w:rPr>
        <w:t xml:space="preserve"> </w:t>
      </w:r>
      <w:r w:rsidRPr="000977F7">
        <w:rPr>
          <w:rFonts w:asciiTheme="majorHAnsi" w:hAnsiTheme="majorHAnsi"/>
          <w:sz w:val="20"/>
          <w:szCs w:val="20"/>
        </w:rPr>
        <w:t>матеріалу</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утворенням</w:t>
      </w:r>
      <w:r w:rsidRPr="000977F7">
        <w:rPr>
          <w:rFonts w:asciiTheme="majorHAnsi" w:hAnsiTheme="majorHAnsi"/>
          <w:spacing w:val="-1"/>
          <w:sz w:val="20"/>
          <w:szCs w:val="20"/>
        </w:rPr>
        <w:t xml:space="preserve"> </w:t>
      </w:r>
      <w:r w:rsidRPr="000977F7">
        <w:rPr>
          <w:rFonts w:asciiTheme="majorHAnsi" w:hAnsiTheme="majorHAnsi"/>
          <w:sz w:val="20"/>
          <w:szCs w:val="20"/>
        </w:rPr>
        <w:t>стружки</w:t>
      </w:r>
    </w:p>
    <w:p w14:paraId="0CABFCA9"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2391:2010</w:t>
      </w:r>
      <w:r w:rsidRPr="000977F7">
        <w:rPr>
          <w:rFonts w:asciiTheme="majorHAnsi" w:hAnsiTheme="majorHAnsi"/>
          <w:i/>
          <w:spacing w:val="1"/>
          <w:sz w:val="20"/>
          <w:szCs w:val="20"/>
        </w:rPr>
        <w:t xml:space="preserve"> </w:t>
      </w:r>
    </w:p>
    <w:p w14:paraId="3D089BB6"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ОБРОБЛЮВАНА ПОВЕРХНЯ –</w:t>
      </w:r>
    </w:p>
    <w:p w14:paraId="0E4A776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WORK</w:t>
      </w:r>
      <w:r w:rsidRPr="000977F7">
        <w:rPr>
          <w:rFonts w:asciiTheme="majorHAnsi" w:hAnsiTheme="majorHAnsi"/>
          <w:spacing w:val="-1"/>
          <w:sz w:val="20"/>
          <w:szCs w:val="20"/>
        </w:rPr>
        <w:t xml:space="preserve"> </w:t>
      </w:r>
      <w:r w:rsidRPr="000977F7">
        <w:rPr>
          <w:rFonts w:asciiTheme="majorHAnsi" w:hAnsiTheme="majorHAnsi"/>
          <w:sz w:val="20"/>
          <w:szCs w:val="20"/>
        </w:rPr>
        <w:t>SURFACE</w:t>
      </w:r>
      <w:r w:rsidRPr="000977F7">
        <w:rPr>
          <w:rFonts w:asciiTheme="majorHAnsi" w:hAnsiTheme="majorHAnsi"/>
          <w:spacing w:val="11"/>
          <w:sz w:val="20"/>
          <w:szCs w:val="20"/>
        </w:rPr>
        <w:t xml:space="preserve"> </w:t>
      </w:r>
      <w:r w:rsidRPr="000977F7">
        <w:rPr>
          <w:rFonts w:asciiTheme="majorHAnsi" w:hAnsiTheme="majorHAnsi"/>
          <w:sz w:val="20"/>
          <w:szCs w:val="20"/>
        </w:rPr>
        <w:t>–</w:t>
      </w:r>
    </w:p>
    <w:p w14:paraId="59D4501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2391:2010</w:t>
      </w:r>
    </w:p>
    <w:p w14:paraId="411049E2"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ОБРОБЛЕННЯ ТИСКОМ –</w:t>
      </w:r>
      <w:r w:rsidRPr="000977F7">
        <w:rPr>
          <w:rFonts w:asciiTheme="majorHAnsi" w:hAnsiTheme="majorHAnsi"/>
          <w:b/>
          <w:spacing w:val="-47"/>
          <w:sz w:val="20"/>
          <w:szCs w:val="20"/>
        </w:rPr>
        <w:t xml:space="preserve"> </w:t>
      </w:r>
    </w:p>
    <w:p w14:paraId="28EF354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FORMING</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7BDC88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Оброблення,</w:t>
      </w:r>
      <w:r w:rsidRPr="000977F7">
        <w:rPr>
          <w:rFonts w:asciiTheme="majorHAnsi" w:hAnsiTheme="majorHAnsi"/>
          <w:spacing w:val="15"/>
          <w:sz w:val="20"/>
          <w:szCs w:val="20"/>
        </w:rPr>
        <w:t xml:space="preserve"> </w:t>
      </w:r>
      <w:r w:rsidRPr="000977F7">
        <w:rPr>
          <w:rFonts w:asciiTheme="majorHAnsi" w:hAnsiTheme="majorHAnsi"/>
          <w:sz w:val="20"/>
          <w:szCs w:val="20"/>
        </w:rPr>
        <w:t>яке</w:t>
      </w:r>
      <w:r w:rsidRPr="000977F7">
        <w:rPr>
          <w:rFonts w:asciiTheme="majorHAnsi" w:hAnsiTheme="majorHAnsi"/>
          <w:spacing w:val="16"/>
          <w:sz w:val="20"/>
          <w:szCs w:val="20"/>
        </w:rPr>
        <w:t xml:space="preserve"> </w:t>
      </w:r>
      <w:r w:rsidRPr="000977F7">
        <w:rPr>
          <w:rFonts w:asciiTheme="majorHAnsi" w:hAnsiTheme="majorHAnsi"/>
          <w:sz w:val="20"/>
          <w:szCs w:val="20"/>
        </w:rPr>
        <w:t>полягає</w:t>
      </w:r>
      <w:r w:rsidRPr="000977F7">
        <w:rPr>
          <w:rFonts w:asciiTheme="majorHAnsi" w:hAnsiTheme="majorHAnsi"/>
          <w:spacing w:val="16"/>
          <w:sz w:val="20"/>
          <w:szCs w:val="20"/>
        </w:rPr>
        <w:t xml:space="preserve"> </w:t>
      </w:r>
      <w:r w:rsidRPr="000977F7">
        <w:rPr>
          <w:rFonts w:asciiTheme="majorHAnsi" w:hAnsiTheme="majorHAnsi"/>
          <w:sz w:val="20"/>
          <w:szCs w:val="20"/>
        </w:rPr>
        <w:t>в</w:t>
      </w:r>
      <w:r w:rsidRPr="000977F7">
        <w:rPr>
          <w:rFonts w:asciiTheme="majorHAnsi" w:hAnsiTheme="majorHAnsi"/>
          <w:spacing w:val="15"/>
          <w:sz w:val="20"/>
          <w:szCs w:val="20"/>
        </w:rPr>
        <w:t xml:space="preserve"> </w:t>
      </w:r>
      <w:r w:rsidRPr="000977F7">
        <w:rPr>
          <w:rFonts w:asciiTheme="majorHAnsi" w:hAnsiTheme="majorHAnsi"/>
          <w:sz w:val="20"/>
          <w:szCs w:val="20"/>
        </w:rPr>
        <w:t>пластичному</w:t>
      </w:r>
      <w:r w:rsidRPr="000977F7">
        <w:rPr>
          <w:rFonts w:asciiTheme="majorHAnsi" w:hAnsiTheme="majorHAnsi"/>
          <w:spacing w:val="11"/>
          <w:sz w:val="20"/>
          <w:szCs w:val="20"/>
        </w:rPr>
        <w:t xml:space="preserve"> </w:t>
      </w:r>
      <w:r w:rsidRPr="000977F7">
        <w:rPr>
          <w:rFonts w:asciiTheme="majorHAnsi" w:hAnsiTheme="majorHAnsi"/>
          <w:sz w:val="20"/>
          <w:szCs w:val="20"/>
        </w:rPr>
        <w:t>деформуванні</w:t>
      </w:r>
      <w:r w:rsidRPr="000977F7">
        <w:rPr>
          <w:rFonts w:asciiTheme="majorHAnsi" w:hAnsiTheme="majorHAnsi"/>
          <w:spacing w:val="-2"/>
          <w:sz w:val="20"/>
          <w:szCs w:val="20"/>
        </w:rPr>
        <w:t xml:space="preserve"> </w:t>
      </w:r>
      <w:r w:rsidRPr="000977F7">
        <w:rPr>
          <w:rFonts w:asciiTheme="majorHAnsi" w:hAnsiTheme="majorHAnsi"/>
          <w:sz w:val="20"/>
          <w:szCs w:val="20"/>
        </w:rPr>
        <w:t>або поділі</w:t>
      </w:r>
      <w:r w:rsidRPr="000977F7">
        <w:rPr>
          <w:rFonts w:asciiTheme="majorHAnsi" w:hAnsiTheme="majorHAnsi"/>
          <w:spacing w:val="-1"/>
          <w:sz w:val="20"/>
          <w:szCs w:val="20"/>
        </w:rPr>
        <w:t xml:space="preserve"> </w:t>
      </w:r>
      <w:r w:rsidRPr="000977F7">
        <w:rPr>
          <w:rFonts w:asciiTheme="majorHAnsi" w:hAnsiTheme="majorHAnsi"/>
          <w:sz w:val="20"/>
          <w:szCs w:val="20"/>
        </w:rPr>
        <w:t>матеріалу</w:t>
      </w:r>
    </w:p>
    <w:p w14:paraId="566A22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0B0BFB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Поділ</w:t>
      </w:r>
      <w:r w:rsidRPr="000977F7">
        <w:rPr>
          <w:rFonts w:asciiTheme="majorHAnsi" w:hAnsiTheme="majorHAnsi"/>
          <w:spacing w:val="12"/>
          <w:sz w:val="20"/>
          <w:szCs w:val="20"/>
        </w:rPr>
        <w:t xml:space="preserve"> </w:t>
      </w:r>
      <w:r w:rsidRPr="000977F7">
        <w:rPr>
          <w:rFonts w:asciiTheme="majorHAnsi" w:hAnsiTheme="majorHAnsi"/>
          <w:sz w:val="20"/>
          <w:szCs w:val="20"/>
        </w:rPr>
        <w:t>матеріалу</w:t>
      </w:r>
      <w:r w:rsidRPr="000977F7">
        <w:rPr>
          <w:rFonts w:asciiTheme="majorHAnsi" w:hAnsiTheme="majorHAnsi"/>
          <w:spacing w:val="13"/>
          <w:sz w:val="20"/>
          <w:szCs w:val="20"/>
        </w:rPr>
        <w:t xml:space="preserve"> </w:t>
      </w:r>
      <w:r w:rsidRPr="000977F7">
        <w:rPr>
          <w:rFonts w:asciiTheme="majorHAnsi" w:hAnsiTheme="majorHAnsi"/>
          <w:sz w:val="20"/>
          <w:szCs w:val="20"/>
        </w:rPr>
        <w:t>виконується</w:t>
      </w:r>
      <w:r w:rsidRPr="000977F7">
        <w:rPr>
          <w:rFonts w:asciiTheme="majorHAnsi" w:hAnsiTheme="majorHAnsi"/>
          <w:spacing w:val="13"/>
          <w:sz w:val="20"/>
          <w:szCs w:val="20"/>
        </w:rPr>
        <w:t xml:space="preserve"> </w:t>
      </w:r>
      <w:r w:rsidRPr="000977F7">
        <w:rPr>
          <w:rFonts w:asciiTheme="majorHAnsi" w:hAnsiTheme="majorHAnsi"/>
          <w:sz w:val="20"/>
          <w:szCs w:val="20"/>
        </w:rPr>
        <w:t>за</w:t>
      </w:r>
      <w:r w:rsidRPr="000977F7">
        <w:rPr>
          <w:rFonts w:asciiTheme="majorHAnsi" w:hAnsiTheme="majorHAnsi"/>
          <w:spacing w:val="15"/>
          <w:sz w:val="20"/>
          <w:szCs w:val="20"/>
        </w:rPr>
        <w:t xml:space="preserve"> </w:t>
      </w:r>
      <w:r w:rsidRPr="000977F7">
        <w:rPr>
          <w:rFonts w:asciiTheme="majorHAnsi" w:hAnsiTheme="majorHAnsi"/>
          <w:sz w:val="20"/>
          <w:szCs w:val="20"/>
        </w:rPr>
        <w:t>допомогою</w:t>
      </w:r>
      <w:r w:rsidRPr="000977F7">
        <w:rPr>
          <w:rFonts w:asciiTheme="majorHAnsi" w:hAnsiTheme="majorHAnsi"/>
          <w:spacing w:val="14"/>
          <w:sz w:val="20"/>
          <w:szCs w:val="20"/>
        </w:rPr>
        <w:t xml:space="preserve"> </w:t>
      </w:r>
      <w:r w:rsidRPr="000977F7">
        <w:rPr>
          <w:rFonts w:asciiTheme="majorHAnsi" w:hAnsiTheme="majorHAnsi"/>
          <w:sz w:val="20"/>
          <w:szCs w:val="20"/>
        </w:rPr>
        <w:t>тиску</w:t>
      </w:r>
      <w:r w:rsidRPr="000977F7">
        <w:rPr>
          <w:rFonts w:asciiTheme="majorHAnsi" w:hAnsiTheme="majorHAnsi"/>
          <w:spacing w:val="15"/>
          <w:sz w:val="20"/>
          <w:szCs w:val="20"/>
        </w:rPr>
        <w:t xml:space="preserve"> </w:t>
      </w:r>
      <w:r w:rsidRPr="000977F7">
        <w:rPr>
          <w:rFonts w:asciiTheme="majorHAnsi" w:hAnsiTheme="majorHAnsi"/>
          <w:sz w:val="20"/>
          <w:szCs w:val="20"/>
        </w:rPr>
        <w:t>без</w:t>
      </w:r>
      <w:r w:rsidRPr="000977F7">
        <w:rPr>
          <w:rFonts w:asciiTheme="majorHAnsi" w:hAnsiTheme="majorHAnsi"/>
          <w:spacing w:val="-47"/>
          <w:sz w:val="20"/>
          <w:szCs w:val="20"/>
        </w:rPr>
        <w:t xml:space="preserve"> </w:t>
      </w:r>
      <w:r w:rsidRPr="000977F7">
        <w:rPr>
          <w:rFonts w:asciiTheme="majorHAnsi" w:hAnsiTheme="majorHAnsi"/>
          <w:sz w:val="20"/>
          <w:szCs w:val="20"/>
        </w:rPr>
        <w:t>утворення</w:t>
      </w:r>
      <w:r w:rsidRPr="000977F7">
        <w:rPr>
          <w:rFonts w:asciiTheme="majorHAnsi" w:hAnsiTheme="majorHAnsi"/>
          <w:spacing w:val="-2"/>
          <w:sz w:val="20"/>
          <w:szCs w:val="20"/>
        </w:rPr>
        <w:t xml:space="preserve"> </w:t>
      </w:r>
      <w:r w:rsidRPr="000977F7">
        <w:rPr>
          <w:rFonts w:asciiTheme="majorHAnsi" w:hAnsiTheme="majorHAnsi"/>
          <w:sz w:val="20"/>
          <w:szCs w:val="20"/>
        </w:rPr>
        <w:t>стружки</w:t>
      </w:r>
    </w:p>
    <w:p w14:paraId="57B716A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2391:2010</w:t>
      </w:r>
    </w:p>
    <w:p w14:paraId="25EE1D8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ОБСЛУГОВУВАНИЙ</w:t>
      </w:r>
      <w:r w:rsidRPr="000977F7">
        <w:rPr>
          <w:color w:val="auto"/>
          <w:spacing w:val="-4"/>
          <w:sz w:val="20"/>
          <w:szCs w:val="20"/>
        </w:rPr>
        <w:t xml:space="preserve"> </w:t>
      </w:r>
      <w:r w:rsidRPr="000977F7">
        <w:rPr>
          <w:color w:val="auto"/>
          <w:sz w:val="20"/>
          <w:szCs w:val="20"/>
        </w:rPr>
        <w:t>ОБ’ЄКТ</w:t>
      </w:r>
      <w:r w:rsidRPr="000977F7">
        <w:rPr>
          <w:color w:val="auto"/>
          <w:spacing w:val="-3"/>
          <w:sz w:val="20"/>
          <w:szCs w:val="20"/>
        </w:rPr>
        <w:t xml:space="preserve"> </w:t>
      </w:r>
      <w:r w:rsidRPr="000977F7">
        <w:rPr>
          <w:color w:val="auto"/>
          <w:sz w:val="20"/>
          <w:szCs w:val="20"/>
        </w:rPr>
        <w:t>–</w:t>
      </w:r>
    </w:p>
    <w:p w14:paraId="3AF08C3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MAINTAINABLE</w:t>
      </w:r>
      <w:r w:rsidRPr="000977F7">
        <w:rPr>
          <w:rFonts w:asciiTheme="majorHAnsi" w:hAnsiTheme="majorHAnsi"/>
          <w:spacing w:val="-3"/>
          <w:sz w:val="20"/>
          <w:szCs w:val="20"/>
        </w:rPr>
        <w:t xml:space="preserve"> </w:t>
      </w:r>
      <w:r w:rsidRPr="000977F7">
        <w:rPr>
          <w:rFonts w:asciiTheme="majorHAnsi" w:hAnsiTheme="majorHAnsi"/>
          <w:sz w:val="20"/>
          <w:szCs w:val="20"/>
        </w:rPr>
        <w:t>ITEM –</w:t>
      </w:r>
    </w:p>
    <w:p w14:paraId="39407D6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 для якого проведення технічного обслуговування передбачено нормативно – технічною документацію та (чи) конструкторською (проектною) документацією</w:t>
      </w:r>
    </w:p>
    <w:p w14:paraId="7A17238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4BA760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ОБСЛУГОВУВАННЯ</w:t>
      </w:r>
      <w:r w:rsidRPr="000977F7">
        <w:rPr>
          <w:color w:val="auto"/>
          <w:spacing w:val="-5"/>
          <w:sz w:val="20"/>
          <w:szCs w:val="20"/>
        </w:rPr>
        <w:t xml:space="preserve"> </w:t>
      </w:r>
      <w:r w:rsidRPr="000977F7">
        <w:rPr>
          <w:color w:val="auto"/>
          <w:sz w:val="20"/>
          <w:szCs w:val="20"/>
        </w:rPr>
        <w:t>ЗАМОВНИКА</w:t>
      </w:r>
      <w:r w:rsidRPr="000977F7">
        <w:rPr>
          <w:color w:val="auto"/>
          <w:spacing w:val="-1"/>
          <w:sz w:val="20"/>
          <w:szCs w:val="20"/>
        </w:rPr>
        <w:t xml:space="preserve"> </w:t>
      </w:r>
      <w:r w:rsidRPr="000977F7">
        <w:rPr>
          <w:color w:val="auto"/>
          <w:sz w:val="20"/>
          <w:szCs w:val="20"/>
        </w:rPr>
        <w:t>–</w:t>
      </w:r>
    </w:p>
    <w:p w14:paraId="604E43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CUSTOMER</w:t>
      </w:r>
      <w:r w:rsidRPr="000977F7">
        <w:rPr>
          <w:rFonts w:asciiTheme="majorHAnsi" w:hAnsiTheme="majorHAnsi"/>
          <w:spacing w:val="-4"/>
          <w:sz w:val="20"/>
          <w:szCs w:val="20"/>
        </w:rPr>
        <w:t xml:space="preserve"> </w:t>
      </w:r>
      <w:r w:rsidRPr="000977F7">
        <w:rPr>
          <w:rFonts w:asciiTheme="majorHAnsi" w:hAnsiTheme="majorHAnsi"/>
          <w:sz w:val="20"/>
          <w:szCs w:val="20"/>
        </w:rPr>
        <w:t>SERVICE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56F547E" w14:textId="77777777" w:rsidR="0097612F" w:rsidRPr="000977F7" w:rsidRDefault="0097612F" w:rsidP="000977F7">
      <w:pPr>
        <w:pStyle w:val="4"/>
        <w:tabs>
          <w:tab w:val="left" w:pos="284"/>
        </w:tabs>
        <w:spacing w:line="240" w:lineRule="auto"/>
        <w:ind w:left="170"/>
        <w:mirrorIndents/>
        <w:jc w:val="both"/>
        <w:rPr>
          <w:color w:val="auto"/>
          <w:sz w:val="20"/>
          <w:szCs w:val="20"/>
        </w:rPr>
      </w:pPr>
      <w:bookmarkStart w:id="159" w:name="_Toc132629641"/>
      <w:r w:rsidRPr="000977F7">
        <w:rPr>
          <w:color w:val="auto"/>
          <w:sz w:val="20"/>
          <w:szCs w:val="20"/>
        </w:rPr>
        <w:lastRenderedPageBreak/>
        <w:t>Взаємодія організації із замовником протягом усього життєвого циклу продукції чи послуги</w:t>
      </w:r>
      <w:bookmarkEnd w:id="159"/>
    </w:p>
    <w:p w14:paraId="0B09288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7964E38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ОБСТЕЖЕННЯ</w:t>
      </w:r>
      <w:r w:rsidRPr="000977F7">
        <w:rPr>
          <w:color w:val="auto"/>
          <w:spacing w:val="-5"/>
          <w:sz w:val="20"/>
          <w:szCs w:val="20"/>
        </w:rPr>
        <w:t xml:space="preserve"> </w:t>
      </w:r>
      <w:r w:rsidRPr="000977F7">
        <w:rPr>
          <w:color w:val="auto"/>
          <w:sz w:val="20"/>
          <w:szCs w:val="20"/>
        </w:rPr>
        <w:t>ВИРОБНИЦТВА</w:t>
      </w:r>
      <w:r w:rsidRPr="000977F7">
        <w:rPr>
          <w:color w:val="auto"/>
          <w:spacing w:val="-2"/>
          <w:sz w:val="20"/>
          <w:szCs w:val="20"/>
        </w:rPr>
        <w:t xml:space="preserve"> </w:t>
      </w:r>
      <w:r w:rsidRPr="000977F7">
        <w:rPr>
          <w:color w:val="auto"/>
          <w:sz w:val="20"/>
          <w:szCs w:val="20"/>
        </w:rPr>
        <w:t>–</w:t>
      </w:r>
    </w:p>
    <w:p w14:paraId="2E7A01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Перевірка та оцінка наявності необхідних умов для</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 конкретної продукції, які забезпечують її</w:t>
      </w:r>
      <w:r w:rsidRPr="000977F7">
        <w:rPr>
          <w:rFonts w:asciiTheme="majorHAnsi" w:hAnsiTheme="majorHAnsi"/>
          <w:spacing w:val="-47"/>
          <w:sz w:val="20"/>
          <w:szCs w:val="20"/>
        </w:rPr>
        <w:t xml:space="preserve"> </w:t>
      </w:r>
      <w:r w:rsidRPr="000977F7">
        <w:rPr>
          <w:rFonts w:asciiTheme="majorHAnsi" w:hAnsiTheme="majorHAnsi"/>
          <w:sz w:val="20"/>
          <w:szCs w:val="20"/>
        </w:rPr>
        <w:t>випуск</w:t>
      </w:r>
      <w:r w:rsidRPr="000977F7">
        <w:rPr>
          <w:rFonts w:asciiTheme="majorHAnsi" w:hAnsiTheme="majorHAnsi"/>
          <w:spacing w:val="1"/>
          <w:sz w:val="20"/>
          <w:szCs w:val="20"/>
        </w:rPr>
        <w:t xml:space="preserve"> </w:t>
      </w:r>
      <w:r w:rsidRPr="000977F7">
        <w:rPr>
          <w:rFonts w:asciiTheme="majorHAnsi" w:hAnsiTheme="majorHAnsi"/>
          <w:sz w:val="20"/>
          <w:szCs w:val="20"/>
        </w:rPr>
        <w:t>згідно</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вимогами</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нормативних</w:t>
      </w:r>
      <w:r w:rsidRPr="000977F7">
        <w:rPr>
          <w:rFonts w:asciiTheme="majorHAnsi" w:hAnsiTheme="majorHAnsi"/>
          <w:spacing w:val="50"/>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47"/>
          <w:sz w:val="20"/>
          <w:szCs w:val="20"/>
        </w:rPr>
        <w:t xml:space="preserve"> </w:t>
      </w:r>
      <w:r w:rsidRPr="000977F7">
        <w:rPr>
          <w:rFonts w:asciiTheme="majorHAnsi" w:hAnsiTheme="majorHAnsi"/>
          <w:sz w:val="20"/>
          <w:szCs w:val="20"/>
        </w:rPr>
        <w:t>дія</w:t>
      </w:r>
      <w:r w:rsidRPr="000977F7">
        <w:rPr>
          <w:rFonts w:asciiTheme="majorHAnsi" w:hAnsiTheme="majorHAnsi"/>
          <w:spacing w:val="-2"/>
          <w:sz w:val="20"/>
          <w:szCs w:val="20"/>
        </w:rPr>
        <w:t xml:space="preserve"> </w:t>
      </w:r>
      <w:r w:rsidRPr="000977F7">
        <w:rPr>
          <w:rFonts w:asciiTheme="majorHAnsi" w:hAnsiTheme="majorHAnsi"/>
          <w:sz w:val="20"/>
          <w:szCs w:val="20"/>
        </w:rPr>
        <w:t>яких</w:t>
      </w:r>
      <w:r w:rsidRPr="000977F7">
        <w:rPr>
          <w:rFonts w:asciiTheme="majorHAnsi" w:hAnsiTheme="majorHAnsi"/>
          <w:spacing w:val="-2"/>
          <w:sz w:val="20"/>
          <w:szCs w:val="20"/>
        </w:rPr>
        <w:t xml:space="preserve"> </w:t>
      </w:r>
      <w:r w:rsidRPr="000977F7">
        <w:rPr>
          <w:rFonts w:asciiTheme="majorHAnsi" w:hAnsiTheme="majorHAnsi"/>
          <w:sz w:val="20"/>
          <w:szCs w:val="20"/>
        </w:rPr>
        <w:t>поширюється</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цю продукцію</w:t>
      </w:r>
    </w:p>
    <w:p w14:paraId="19A4A34B"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ОБСТЕЖЕННЯ ЗРАЗКІВ ПРОДУКЦІЇ -</w:t>
      </w:r>
    </w:p>
    <w:p w14:paraId="5C192B1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Візуальний огляд зразків продукції з метою визначення її відповідності встановленим вимогам</w:t>
      </w:r>
    </w:p>
    <w:p w14:paraId="4C97100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i/>
          <w:iCs/>
          <w:sz w:val="20"/>
          <w:szCs w:val="20"/>
        </w:rPr>
        <w:t>Закон України "Про державний ринковий нагляд і контроль нехарчової продукції"</w:t>
      </w:r>
    </w:p>
    <w:p w14:paraId="5A4FEF35"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ОБСЯГ ВИБІРКИ –</w:t>
      </w:r>
    </w:p>
    <w:p w14:paraId="4798A35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SAMPLE</w:t>
      </w:r>
      <w:r w:rsidRPr="000977F7">
        <w:rPr>
          <w:rFonts w:asciiTheme="majorHAnsi" w:hAnsiTheme="majorHAnsi"/>
          <w:spacing w:val="-1"/>
          <w:sz w:val="20"/>
          <w:szCs w:val="20"/>
        </w:rPr>
        <w:t xml:space="preserve"> </w:t>
      </w:r>
      <w:r w:rsidRPr="000977F7">
        <w:rPr>
          <w:rFonts w:asciiTheme="majorHAnsi" w:hAnsiTheme="majorHAnsi"/>
          <w:sz w:val="20"/>
          <w:szCs w:val="20"/>
        </w:rPr>
        <w:t>SIZE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5BF075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Кількість</w:t>
      </w:r>
      <w:r w:rsidRPr="000977F7">
        <w:rPr>
          <w:rFonts w:asciiTheme="majorHAnsi" w:hAnsiTheme="majorHAnsi"/>
          <w:spacing w:val="7"/>
          <w:sz w:val="20"/>
          <w:szCs w:val="20"/>
        </w:rPr>
        <w:t xml:space="preserve"> </w:t>
      </w:r>
      <w:r w:rsidRPr="000977F7">
        <w:rPr>
          <w:rFonts w:asciiTheme="majorHAnsi" w:hAnsiTheme="majorHAnsi"/>
          <w:sz w:val="20"/>
          <w:szCs w:val="20"/>
        </w:rPr>
        <w:t>одиниць</w:t>
      </w:r>
      <w:r w:rsidRPr="000977F7">
        <w:rPr>
          <w:rFonts w:asciiTheme="majorHAnsi" w:hAnsiTheme="majorHAnsi"/>
          <w:spacing w:val="9"/>
          <w:sz w:val="20"/>
          <w:szCs w:val="20"/>
        </w:rPr>
        <w:t xml:space="preserve"> </w:t>
      </w:r>
      <w:r w:rsidRPr="000977F7">
        <w:rPr>
          <w:rFonts w:asciiTheme="majorHAnsi" w:hAnsiTheme="majorHAnsi"/>
          <w:sz w:val="20"/>
          <w:szCs w:val="20"/>
        </w:rPr>
        <w:t>продукції</w:t>
      </w:r>
      <w:r w:rsidRPr="000977F7">
        <w:rPr>
          <w:rFonts w:asciiTheme="majorHAnsi" w:hAnsiTheme="majorHAnsi"/>
          <w:spacing w:val="6"/>
          <w:sz w:val="20"/>
          <w:szCs w:val="20"/>
        </w:rPr>
        <w:t xml:space="preserve"> </w:t>
      </w:r>
      <w:r w:rsidRPr="000977F7">
        <w:rPr>
          <w:rFonts w:asciiTheme="majorHAnsi" w:hAnsiTheme="majorHAnsi"/>
          <w:sz w:val="20"/>
          <w:szCs w:val="20"/>
        </w:rPr>
        <w:t>(спостережуваних</w:t>
      </w:r>
      <w:r w:rsidRPr="000977F7">
        <w:rPr>
          <w:rFonts w:asciiTheme="majorHAnsi" w:hAnsiTheme="majorHAnsi"/>
          <w:spacing w:val="5"/>
          <w:sz w:val="20"/>
          <w:szCs w:val="20"/>
        </w:rPr>
        <w:t xml:space="preserve"> </w:t>
      </w:r>
      <w:r w:rsidRPr="000977F7">
        <w:rPr>
          <w:rFonts w:asciiTheme="majorHAnsi" w:hAnsiTheme="majorHAnsi"/>
          <w:sz w:val="20"/>
          <w:szCs w:val="20"/>
        </w:rPr>
        <w:t>значень,</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складають вибірку)</w:t>
      </w:r>
    </w:p>
    <w:p w14:paraId="4C895A1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3514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97</w:t>
      </w:r>
    </w:p>
    <w:p w14:paraId="4C510043" w14:textId="77777777" w:rsidR="0097612F" w:rsidRPr="004D2D14" w:rsidRDefault="0097612F" w:rsidP="000977F7">
      <w:pPr>
        <w:tabs>
          <w:tab w:val="left" w:pos="284"/>
        </w:tabs>
        <w:spacing w:after="0" w:line="240" w:lineRule="auto"/>
        <w:ind w:left="170"/>
        <w:mirrorIndents/>
        <w:jc w:val="both"/>
        <w:rPr>
          <w:rFonts w:asciiTheme="majorHAnsi" w:hAnsiTheme="majorHAnsi"/>
          <w:spacing w:val="-47"/>
          <w:sz w:val="20"/>
          <w:szCs w:val="20"/>
          <w:lang w:val="en-US"/>
        </w:rPr>
      </w:pPr>
      <w:r w:rsidRPr="000977F7">
        <w:rPr>
          <w:rFonts w:asciiTheme="majorHAnsi" w:hAnsiTheme="majorHAnsi"/>
          <w:b/>
          <w:sz w:val="20"/>
          <w:szCs w:val="20"/>
        </w:rPr>
        <w:t>ОБСЯГ</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ВИПРОБУВАНЬ</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p>
    <w:p w14:paraId="5A83EC1F"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EXTENT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TEST -</w:t>
      </w:r>
    </w:p>
    <w:p w14:paraId="12063C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Характеристика випробувань, яка визначається кількістю об’єктів та видів випробувань, а також їх сумарною</w:t>
      </w:r>
      <w:r w:rsidRPr="000977F7">
        <w:rPr>
          <w:rFonts w:asciiTheme="majorHAnsi" w:hAnsiTheme="majorHAnsi"/>
          <w:spacing w:val="-1"/>
          <w:sz w:val="20"/>
          <w:szCs w:val="20"/>
        </w:rPr>
        <w:t xml:space="preserve"> </w:t>
      </w:r>
      <w:r w:rsidRPr="000977F7">
        <w:rPr>
          <w:rFonts w:asciiTheme="majorHAnsi" w:hAnsiTheme="majorHAnsi"/>
          <w:sz w:val="20"/>
          <w:szCs w:val="20"/>
        </w:rPr>
        <w:t>тривалістю</w:t>
      </w:r>
    </w:p>
    <w:p w14:paraId="1452836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3C87D5F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ОБСЯГ</w:t>
      </w:r>
      <w:r w:rsidRPr="000977F7">
        <w:rPr>
          <w:color w:val="auto"/>
          <w:spacing w:val="-5"/>
          <w:sz w:val="20"/>
          <w:szCs w:val="20"/>
        </w:rPr>
        <w:t xml:space="preserve"> </w:t>
      </w:r>
      <w:r w:rsidRPr="000977F7">
        <w:rPr>
          <w:color w:val="auto"/>
          <w:sz w:val="20"/>
          <w:szCs w:val="20"/>
        </w:rPr>
        <w:t>ВИПРОБУВАНЬ</w:t>
      </w:r>
      <w:r w:rsidRPr="000977F7">
        <w:rPr>
          <w:color w:val="auto"/>
          <w:spacing w:val="-6"/>
          <w:sz w:val="20"/>
          <w:szCs w:val="20"/>
        </w:rPr>
        <w:t xml:space="preserve"> </w:t>
      </w:r>
      <w:r w:rsidRPr="000977F7">
        <w:rPr>
          <w:color w:val="auto"/>
          <w:sz w:val="20"/>
          <w:szCs w:val="20"/>
        </w:rPr>
        <w:t>НА</w:t>
      </w:r>
      <w:r w:rsidRPr="000977F7">
        <w:rPr>
          <w:color w:val="auto"/>
          <w:spacing w:val="-5"/>
          <w:sz w:val="20"/>
          <w:szCs w:val="20"/>
        </w:rPr>
        <w:t xml:space="preserve"> </w:t>
      </w:r>
      <w:r w:rsidRPr="000977F7">
        <w:rPr>
          <w:color w:val="auto"/>
          <w:sz w:val="20"/>
          <w:szCs w:val="20"/>
        </w:rPr>
        <w:t>НАДІЙНІСТЬ –</w:t>
      </w:r>
    </w:p>
    <w:p w14:paraId="4229475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SCOPE</w:t>
      </w:r>
      <w:r w:rsidRPr="004D2D14">
        <w:rPr>
          <w:rFonts w:asciiTheme="majorHAnsi" w:hAnsiTheme="majorHAnsi"/>
          <w:spacing w:val="-2"/>
          <w:sz w:val="20"/>
          <w:szCs w:val="20"/>
          <w:lang w:val="uk-UA"/>
        </w:rPr>
        <w:t xml:space="preserve"> </w:t>
      </w:r>
      <w:r w:rsidRPr="000977F7">
        <w:rPr>
          <w:rFonts w:asciiTheme="majorHAnsi" w:hAnsiTheme="majorHAnsi"/>
          <w:sz w:val="20"/>
          <w:szCs w:val="20"/>
        </w:rPr>
        <w:t>OF</w:t>
      </w:r>
      <w:r w:rsidRPr="004D2D14">
        <w:rPr>
          <w:rFonts w:asciiTheme="majorHAnsi" w:hAnsiTheme="majorHAnsi"/>
          <w:spacing w:val="-3"/>
          <w:sz w:val="20"/>
          <w:szCs w:val="20"/>
          <w:lang w:val="uk-UA"/>
        </w:rPr>
        <w:t xml:space="preserve"> </w:t>
      </w:r>
      <w:r w:rsidRPr="000977F7">
        <w:rPr>
          <w:rFonts w:asciiTheme="majorHAnsi" w:hAnsiTheme="majorHAnsi"/>
          <w:sz w:val="20"/>
          <w:szCs w:val="20"/>
        </w:rPr>
        <w:t>RELIABILITY</w:t>
      </w:r>
      <w:r w:rsidRPr="004D2D14">
        <w:rPr>
          <w:rFonts w:asciiTheme="majorHAnsi" w:hAnsiTheme="majorHAnsi"/>
          <w:spacing w:val="-2"/>
          <w:sz w:val="20"/>
          <w:szCs w:val="20"/>
          <w:lang w:val="uk-UA"/>
        </w:rPr>
        <w:t xml:space="preserve"> </w:t>
      </w:r>
      <w:r w:rsidRPr="000977F7">
        <w:rPr>
          <w:rFonts w:asciiTheme="majorHAnsi" w:hAnsiTheme="majorHAnsi"/>
          <w:sz w:val="20"/>
          <w:szCs w:val="20"/>
        </w:rPr>
        <w:t>TEST</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w:t>
      </w:r>
    </w:p>
    <w:p w14:paraId="44A3AFA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Характеристика плану випробувань на надійність, яка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включає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кількість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випробуваних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зразків,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сумарну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тривалість випробувань в одиницях наробітку та (чи)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кількість</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серій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випробувань</w:t>
      </w:r>
    </w:p>
    <w:p w14:paraId="5697411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2860 – 94; ДСТУ 3021 – 95</w:t>
      </w:r>
    </w:p>
    <w:p w14:paraId="03A9B108"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ОБСЯГ</w:t>
      </w:r>
      <w:r w:rsidRPr="000977F7">
        <w:rPr>
          <w:rFonts w:asciiTheme="majorHAnsi" w:hAnsiTheme="majorHAnsi"/>
          <w:b/>
          <w:spacing w:val="-4"/>
          <w:sz w:val="20"/>
          <w:szCs w:val="20"/>
        </w:rPr>
        <w:t xml:space="preserve"> </w:t>
      </w:r>
      <w:r w:rsidRPr="000977F7">
        <w:rPr>
          <w:rFonts w:asciiTheme="majorHAnsi" w:hAnsiTheme="majorHAnsi"/>
          <w:b/>
          <w:sz w:val="20"/>
          <w:szCs w:val="20"/>
        </w:rPr>
        <w:t>ВИПУСКУ</w:t>
      </w:r>
      <w:r w:rsidRPr="000977F7">
        <w:rPr>
          <w:rFonts w:asciiTheme="majorHAnsi" w:hAnsiTheme="majorHAnsi"/>
          <w:b/>
          <w:spacing w:val="-4"/>
          <w:sz w:val="20"/>
          <w:szCs w:val="20"/>
        </w:rPr>
        <w:t xml:space="preserve"> </w:t>
      </w:r>
      <w:r w:rsidRPr="000977F7">
        <w:rPr>
          <w:rFonts w:asciiTheme="majorHAnsi" w:hAnsiTheme="majorHAnsi"/>
          <w:b/>
          <w:sz w:val="20"/>
          <w:szCs w:val="20"/>
        </w:rPr>
        <w:t>ПРОДУКЦІЇ</w:t>
      </w:r>
      <w:r w:rsidRPr="000977F7">
        <w:rPr>
          <w:rFonts w:asciiTheme="majorHAnsi" w:hAnsiTheme="majorHAnsi"/>
          <w:b/>
          <w:spacing w:val="-3"/>
          <w:sz w:val="20"/>
          <w:szCs w:val="20"/>
        </w:rPr>
        <w:t xml:space="preserve"> </w:t>
      </w:r>
      <w:r w:rsidRPr="000977F7">
        <w:rPr>
          <w:rFonts w:asciiTheme="majorHAnsi" w:hAnsiTheme="majorHAnsi"/>
          <w:b/>
          <w:sz w:val="20"/>
          <w:szCs w:val="20"/>
        </w:rPr>
        <w:t>–</w:t>
      </w:r>
      <w:r w:rsidRPr="000977F7">
        <w:rPr>
          <w:rFonts w:asciiTheme="majorHAnsi" w:hAnsiTheme="majorHAnsi"/>
          <w:b/>
          <w:spacing w:val="-47"/>
          <w:sz w:val="20"/>
          <w:szCs w:val="20"/>
        </w:rPr>
        <w:t xml:space="preserve"> </w:t>
      </w:r>
    </w:p>
    <w:p w14:paraId="1FF93BE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VOLUME OF</w:t>
      </w:r>
      <w:r w:rsidRPr="000977F7">
        <w:rPr>
          <w:rFonts w:asciiTheme="majorHAnsi" w:hAnsiTheme="majorHAnsi"/>
          <w:spacing w:val="-1"/>
          <w:sz w:val="20"/>
          <w:szCs w:val="20"/>
        </w:rPr>
        <w:t xml:space="preserve"> </w:t>
      </w:r>
      <w:r w:rsidRPr="000977F7">
        <w:rPr>
          <w:rFonts w:asciiTheme="majorHAnsi" w:hAnsiTheme="majorHAnsi"/>
          <w:sz w:val="20"/>
          <w:szCs w:val="20"/>
        </w:rPr>
        <w:t>OUTPUT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377CB9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Кількість</w:t>
      </w:r>
      <w:r w:rsidRPr="000977F7">
        <w:rPr>
          <w:rFonts w:asciiTheme="majorHAnsi" w:hAnsiTheme="majorHAnsi"/>
          <w:spacing w:val="1"/>
          <w:sz w:val="20"/>
          <w:szCs w:val="20"/>
        </w:rPr>
        <w:t xml:space="preserve"> </w:t>
      </w:r>
      <w:r w:rsidRPr="000977F7">
        <w:rPr>
          <w:rFonts w:asciiTheme="majorHAnsi" w:hAnsiTheme="majorHAnsi"/>
          <w:sz w:val="20"/>
          <w:szCs w:val="20"/>
        </w:rPr>
        <w:t>продукції певного</w:t>
      </w:r>
      <w:r w:rsidRPr="000977F7">
        <w:rPr>
          <w:rFonts w:asciiTheme="majorHAnsi" w:hAnsiTheme="majorHAnsi"/>
          <w:spacing w:val="1"/>
          <w:sz w:val="20"/>
          <w:szCs w:val="20"/>
        </w:rPr>
        <w:t xml:space="preserve"> </w:t>
      </w:r>
      <w:r w:rsidRPr="000977F7">
        <w:rPr>
          <w:rFonts w:asciiTheme="majorHAnsi" w:hAnsiTheme="majorHAnsi"/>
          <w:sz w:val="20"/>
          <w:szCs w:val="20"/>
        </w:rPr>
        <w:t>класифікаційного</w:t>
      </w:r>
      <w:r w:rsidRPr="000977F7">
        <w:rPr>
          <w:rFonts w:asciiTheme="majorHAnsi" w:hAnsiTheme="majorHAnsi"/>
          <w:spacing w:val="1"/>
          <w:sz w:val="20"/>
          <w:szCs w:val="20"/>
        </w:rPr>
        <w:t xml:space="preserve"> </w:t>
      </w:r>
      <w:r w:rsidRPr="000977F7">
        <w:rPr>
          <w:rFonts w:asciiTheme="majorHAnsi" w:hAnsiTheme="majorHAnsi"/>
          <w:sz w:val="20"/>
          <w:szCs w:val="20"/>
        </w:rPr>
        <w:t>виду,</w:t>
      </w:r>
      <w:r w:rsidRPr="000977F7">
        <w:rPr>
          <w:rFonts w:asciiTheme="majorHAnsi" w:hAnsiTheme="majorHAnsi"/>
          <w:spacing w:val="1"/>
          <w:sz w:val="20"/>
          <w:szCs w:val="20"/>
        </w:rPr>
        <w:t xml:space="preserve"> </w:t>
      </w:r>
      <w:r w:rsidRPr="000977F7">
        <w:rPr>
          <w:rFonts w:asciiTheme="majorHAnsi" w:hAnsiTheme="majorHAnsi"/>
          <w:sz w:val="20"/>
          <w:szCs w:val="20"/>
        </w:rPr>
        <w:t>виготовленої підприємством за відповідний період у</w:t>
      </w:r>
      <w:r w:rsidRPr="000977F7">
        <w:rPr>
          <w:rFonts w:asciiTheme="majorHAnsi" w:hAnsiTheme="majorHAnsi"/>
          <w:spacing w:val="1"/>
          <w:sz w:val="20"/>
          <w:szCs w:val="20"/>
        </w:rPr>
        <w:t xml:space="preserve"> </w:t>
      </w:r>
      <w:r w:rsidRPr="000977F7">
        <w:rPr>
          <w:rFonts w:asciiTheme="majorHAnsi" w:hAnsiTheme="majorHAnsi"/>
          <w:sz w:val="20"/>
          <w:szCs w:val="20"/>
        </w:rPr>
        <w:t>вартісному</w:t>
      </w:r>
      <w:r w:rsidRPr="000977F7">
        <w:rPr>
          <w:rFonts w:asciiTheme="majorHAnsi" w:hAnsiTheme="majorHAnsi"/>
          <w:spacing w:val="-5"/>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натуральному</w:t>
      </w:r>
      <w:r w:rsidRPr="000977F7">
        <w:rPr>
          <w:rFonts w:asciiTheme="majorHAnsi" w:hAnsiTheme="majorHAnsi"/>
          <w:spacing w:val="-1"/>
          <w:sz w:val="20"/>
          <w:szCs w:val="20"/>
        </w:rPr>
        <w:t xml:space="preserve"> </w:t>
      </w:r>
      <w:r w:rsidRPr="000977F7">
        <w:rPr>
          <w:rFonts w:asciiTheme="majorHAnsi" w:hAnsiTheme="majorHAnsi"/>
          <w:sz w:val="20"/>
          <w:szCs w:val="20"/>
        </w:rPr>
        <w:t>виразі</w:t>
      </w:r>
    </w:p>
    <w:p w14:paraId="46E6665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 –</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2"/>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FF183A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F5397C6"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b/>
          <w:sz w:val="20"/>
          <w:szCs w:val="20"/>
        </w:rPr>
        <w:t xml:space="preserve">ОБСЯГ КОНТРОЛЮ </w:t>
      </w:r>
      <w:r w:rsidRPr="000977F7">
        <w:rPr>
          <w:rFonts w:asciiTheme="majorHAnsi" w:hAnsiTheme="majorHAnsi"/>
          <w:sz w:val="20"/>
          <w:szCs w:val="20"/>
        </w:rPr>
        <w:t>–</w:t>
      </w:r>
    </w:p>
    <w:p w14:paraId="04F24A1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AMOUNT</w:t>
      </w:r>
      <w:r w:rsidRPr="000977F7">
        <w:rPr>
          <w:rFonts w:asciiTheme="majorHAnsi" w:hAnsiTheme="majorHAnsi"/>
          <w:spacing w:val="-3"/>
          <w:sz w:val="20"/>
          <w:szCs w:val="20"/>
        </w:rPr>
        <w:t xml:space="preserve"> </w:t>
      </w:r>
      <w:r w:rsidRPr="000977F7">
        <w:rPr>
          <w:rFonts w:asciiTheme="majorHAnsi" w:hAnsiTheme="majorHAnsi"/>
          <w:sz w:val="20"/>
          <w:szCs w:val="20"/>
        </w:rPr>
        <w:t>OF</w:t>
      </w:r>
      <w:r w:rsidRPr="000977F7">
        <w:rPr>
          <w:rFonts w:asciiTheme="majorHAnsi" w:hAnsiTheme="majorHAnsi"/>
          <w:spacing w:val="-7"/>
          <w:sz w:val="20"/>
          <w:szCs w:val="20"/>
        </w:rPr>
        <w:t xml:space="preserve"> </w:t>
      </w:r>
      <w:r w:rsidRPr="000977F7">
        <w:rPr>
          <w:rFonts w:asciiTheme="majorHAnsi" w:hAnsiTheme="majorHAnsi"/>
          <w:sz w:val="20"/>
          <w:szCs w:val="20"/>
        </w:rPr>
        <w:t>INSPECTION</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5E103E6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Кількість</w:t>
      </w:r>
      <w:r w:rsidRPr="000977F7">
        <w:rPr>
          <w:rFonts w:asciiTheme="majorHAnsi" w:hAnsiTheme="majorHAnsi"/>
          <w:spacing w:val="8"/>
          <w:sz w:val="20"/>
          <w:szCs w:val="20"/>
        </w:rPr>
        <w:t xml:space="preserve"> </w:t>
      </w:r>
      <w:r w:rsidRPr="000977F7">
        <w:rPr>
          <w:rFonts w:asciiTheme="majorHAnsi" w:hAnsiTheme="majorHAnsi"/>
          <w:sz w:val="20"/>
          <w:szCs w:val="20"/>
        </w:rPr>
        <w:t>об’єктів</w:t>
      </w:r>
      <w:r w:rsidRPr="000977F7">
        <w:rPr>
          <w:rFonts w:asciiTheme="majorHAnsi" w:hAnsiTheme="majorHAnsi"/>
          <w:spacing w:val="7"/>
          <w:sz w:val="20"/>
          <w:szCs w:val="20"/>
        </w:rPr>
        <w:t xml:space="preserve"> </w:t>
      </w:r>
      <w:r w:rsidRPr="000977F7">
        <w:rPr>
          <w:rFonts w:asciiTheme="majorHAnsi" w:hAnsiTheme="majorHAnsi"/>
          <w:sz w:val="20"/>
          <w:szCs w:val="20"/>
        </w:rPr>
        <w:t>і</w:t>
      </w:r>
      <w:r w:rsidRPr="000977F7">
        <w:rPr>
          <w:rFonts w:asciiTheme="majorHAnsi" w:hAnsiTheme="majorHAnsi"/>
          <w:spacing w:val="8"/>
          <w:sz w:val="20"/>
          <w:szCs w:val="20"/>
        </w:rPr>
        <w:t xml:space="preserve"> </w:t>
      </w:r>
      <w:r w:rsidRPr="000977F7">
        <w:rPr>
          <w:rFonts w:asciiTheme="majorHAnsi" w:hAnsiTheme="majorHAnsi"/>
          <w:sz w:val="20"/>
          <w:szCs w:val="20"/>
        </w:rPr>
        <w:t>сукупність</w:t>
      </w:r>
      <w:r w:rsidRPr="000977F7">
        <w:rPr>
          <w:rFonts w:asciiTheme="majorHAnsi" w:hAnsiTheme="majorHAnsi"/>
          <w:spacing w:val="9"/>
          <w:sz w:val="20"/>
          <w:szCs w:val="20"/>
        </w:rPr>
        <w:t xml:space="preserve"> </w:t>
      </w:r>
      <w:r w:rsidRPr="000977F7">
        <w:rPr>
          <w:rFonts w:asciiTheme="majorHAnsi" w:hAnsiTheme="majorHAnsi"/>
          <w:sz w:val="20"/>
          <w:szCs w:val="20"/>
        </w:rPr>
        <w:t>контрольованих</w:t>
      </w:r>
      <w:r w:rsidRPr="000977F7">
        <w:rPr>
          <w:rFonts w:asciiTheme="majorHAnsi" w:hAnsiTheme="majorHAnsi"/>
          <w:spacing w:val="6"/>
          <w:sz w:val="20"/>
          <w:szCs w:val="20"/>
        </w:rPr>
        <w:t xml:space="preserve"> </w:t>
      </w:r>
      <w:r w:rsidRPr="000977F7">
        <w:rPr>
          <w:rFonts w:asciiTheme="majorHAnsi" w:hAnsiTheme="majorHAnsi"/>
          <w:sz w:val="20"/>
          <w:szCs w:val="20"/>
        </w:rPr>
        <w:t>ознак,</w:t>
      </w:r>
      <w:r w:rsidRPr="000977F7">
        <w:rPr>
          <w:rFonts w:asciiTheme="majorHAnsi" w:hAnsiTheme="majorHAnsi"/>
          <w:spacing w:val="-47"/>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встановлюються</w:t>
      </w:r>
      <w:r w:rsidRPr="000977F7">
        <w:rPr>
          <w:rFonts w:asciiTheme="majorHAnsi" w:hAnsiTheme="majorHAnsi"/>
          <w:spacing w:val="-2"/>
          <w:sz w:val="20"/>
          <w:szCs w:val="20"/>
        </w:rPr>
        <w:t xml:space="preserve"> </w:t>
      </w:r>
      <w:r w:rsidRPr="000977F7">
        <w:rPr>
          <w:rFonts w:asciiTheme="majorHAnsi" w:hAnsiTheme="majorHAnsi"/>
          <w:sz w:val="20"/>
          <w:szCs w:val="20"/>
        </w:rPr>
        <w:t>для проведення</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p>
    <w:p w14:paraId="3037A3AE"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3021 – 95</w:t>
      </w:r>
    </w:p>
    <w:p w14:paraId="618F1A0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ОБСЯГ</w:t>
      </w:r>
      <w:r w:rsidRPr="000977F7">
        <w:rPr>
          <w:color w:val="auto"/>
          <w:spacing w:val="-3"/>
          <w:sz w:val="20"/>
          <w:szCs w:val="20"/>
        </w:rPr>
        <w:t xml:space="preserve"> </w:t>
      </w:r>
      <w:r w:rsidRPr="000977F7">
        <w:rPr>
          <w:color w:val="auto"/>
          <w:sz w:val="20"/>
          <w:szCs w:val="20"/>
        </w:rPr>
        <w:t>ПАРТІЇ</w:t>
      </w:r>
      <w:r w:rsidRPr="000977F7">
        <w:rPr>
          <w:color w:val="auto"/>
          <w:spacing w:val="-3"/>
          <w:sz w:val="20"/>
          <w:szCs w:val="20"/>
        </w:rPr>
        <w:t xml:space="preserve"> </w:t>
      </w:r>
      <w:r w:rsidRPr="000977F7">
        <w:rPr>
          <w:color w:val="auto"/>
          <w:sz w:val="20"/>
          <w:szCs w:val="20"/>
        </w:rPr>
        <w:t>–</w:t>
      </w:r>
    </w:p>
    <w:p w14:paraId="49E5A9B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LOT SIZE;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BATCH</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SIZE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0AAD06B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Кількість</w:t>
      </w:r>
      <w:r w:rsidRPr="000977F7">
        <w:rPr>
          <w:rFonts w:asciiTheme="majorHAnsi" w:hAnsiTheme="majorHAnsi"/>
          <w:spacing w:val="-5"/>
          <w:sz w:val="20"/>
          <w:szCs w:val="20"/>
        </w:rPr>
        <w:t xml:space="preserve"> </w:t>
      </w:r>
      <w:r w:rsidRPr="000977F7">
        <w:rPr>
          <w:rFonts w:asciiTheme="majorHAnsi" w:hAnsiTheme="majorHAnsi"/>
          <w:sz w:val="20"/>
          <w:szCs w:val="20"/>
        </w:rPr>
        <w:t>одиниць</w:t>
      </w:r>
      <w:r w:rsidRPr="000977F7">
        <w:rPr>
          <w:rFonts w:asciiTheme="majorHAnsi" w:hAnsiTheme="majorHAnsi"/>
          <w:spacing w:val="-4"/>
          <w:sz w:val="20"/>
          <w:szCs w:val="20"/>
        </w:rPr>
        <w:t xml:space="preserve"> </w:t>
      </w:r>
      <w:r w:rsidRPr="000977F7">
        <w:rPr>
          <w:rFonts w:asciiTheme="majorHAnsi" w:hAnsiTheme="majorHAnsi"/>
          <w:sz w:val="20"/>
          <w:szCs w:val="20"/>
        </w:rPr>
        <w:t>продукції,</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3"/>
          <w:sz w:val="20"/>
          <w:szCs w:val="20"/>
        </w:rPr>
        <w:t xml:space="preserve"> </w:t>
      </w:r>
      <w:r w:rsidRPr="000977F7">
        <w:rPr>
          <w:rFonts w:asciiTheme="majorHAnsi" w:hAnsiTheme="majorHAnsi"/>
          <w:sz w:val="20"/>
          <w:szCs w:val="20"/>
        </w:rPr>
        <w:t>становлять</w:t>
      </w:r>
      <w:r w:rsidRPr="000977F7">
        <w:rPr>
          <w:rFonts w:asciiTheme="majorHAnsi" w:hAnsiTheme="majorHAnsi"/>
          <w:spacing w:val="-3"/>
          <w:sz w:val="20"/>
          <w:szCs w:val="20"/>
        </w:rPr>
        <w:t xml:space="preserve"> </w:t>
      </w:r>
      <w:r w:rsidRPr="000977F7">
        <w:rPr>
          <w:rFonts w:asciiTheme="majorHAnsi" w:hAnsiTheme="majorHAnsi"/>
          <w:sz w:val="20"/>
          <w:szCs w:val="20"/>
        </w:rPr>
        <w:t>партію</w:t>
      </w:r>
    </w:p>
    <w:p w14:paraId="2AE81CAF"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3278 – 95</w:t>
      </w:r>
    </w:p>
    <w:p w14:paraId="25A13CDE"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ОБСЯГ</w:t>
      </w:r>
      <w:r w:rsidRPr="004D2D14">
        <w:rPr>
          <w:rFonts w:asciiTheme="majorHAnsi" w:hAnsiTheme="majorHAnsi"/>
          <w:b/>
          <w:sz w:val="20"/>
          <w:szCs w:val="20"/>
          <w:lang w:val="en-US"/>
        </w:rPr>
        <w:t xml:space="preserve"> </w:t>
      </w:r>
      <w:r w:rsidRPr="000977F7">
        <w:rPr>
          <w:rFonts w:asciiTheme="majorHAnsi" w:hAnsiTheme="majorHAnsi"/>
          <w:b/>
          <w:sz w:val="20"/>
          <w:szCs w:val="20"/>
        </w:rPr>
        <w:t>ПРОБИ</w:t>
      </w:r>
      <w:r w:rsidRPr="004D2D14">
        <w:rPr>
          <w:rFonts w:asciiTheme="majorHAnsi" w:hAnsiTheme="majorHAnsi"/>
          <w:b/>
          <w:sz w:val="20"/>
          <w:szCs w:val="20"/>
          <w:lang w:val="en-US"/>
        </w:rPr>
        <w:t xml:space="preserve"> –</w:t>
      </w:r>
    </w:p>
    <w:p w14:paraId="35A8DB94"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b/>
          <w:spacing w:val="-47"/>
          <w:sz w:val="20"/>
          <w:szCs w:val="20"/>
          <w:lang w:val="en-US"/>
        </w:rPr>
        <w:t xml:space="preserve"> </w:t>
      </w:r>
      <w:r w:rsidRPr="004D2D14">
        <w:rPr>
          <w:rFonts w:asciiTheme="majorHAnsi" w:hAnsiTheme="majorHAnsi"/>
          <w:sz w:val="20"/>
          <w:szCs w:val="20"/>
          <w:lang w:val="en-US"/>
        </w:rPr>
        <w:t>SAMPLE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SIZE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9FC88D2" w14:textId="77777777" w:rsidR="0097612F" w:rsidRPr="000977F7" w:rsidRDefault="0097612F" w:rsidP="000977F7">
      <w:pPr>
        <w:pStyle w:val="af6"/>
        <w:tabs>
          <w:tab w:val="left" w:pos="284"/>
        </w:tabs>
        <w:spacing w:after="0"/>
        <w:ind w:left="170"/>
        <w:mirrorIndents/>
        <w:jc w:val="both"/>
        <w:rPr>
          <w:rFonts w:asciiTheme="majorHAnsi" w:hAnsiTheme="majorHAnsi"/>
          <w:spacing w:val="43"/>
          <w:sz w:val="20"/>
          <w:szCs w:val="20"/>
        </w:rPr>
      </w:pPr>
      <w:r w:rsidRPr="000977F7">
        <w:rPr>
          <w:rFonts w:asciiTheme="majorHAnsi" w:hAnsiTheme="majorHAnsi"/>
          <w:sz w:val="20"/>
          <w:szCs w:val="20"/>
        </w:rPr>
        <w:t>Певна</w:t>
      </w:r>
      <w:r w:rsidRPr="000977F7">
        <w:rPr>
          <w:rFonts w:asciiTheme="majorHAnsi" w:hAnsiTheme="majorHAnsi"/>
          <w:spacing w:val="42"/>
          <w:sz w:val="20"/>
          <w:szCs w:val="20"/>
        </w:rPr>
        <w:t xml:space="preserve"> </w:t>
      </w:r>
      <w:r w:rsidRPr="000977F7">
        <w:rPr>
          <w:rFonts w:asciiTheme="majorHAnsi" w:hAnsiTheme="majorHAnsi"/>
          <w:sz w:val="20"/>
          <w:szCs w:val="20"/>
        </w:rPr>
        <w:t>кількість</w:t>
      </w:r>
      <w:r w:rsidRPr="000977F7">
        <w:rPr>
          <w:rFonts w:asciiTheme="majorHAnsi" w:hAnsiTheme="majorHAnsi"/>
          <w:spacing w:val="41"/>
          <w:sz w:val="20"/>
          <w:szCs w:val="20"/>
        </w:rPr>
        <w:t xml:space="preserve"> </w:t>
      </w:r>
      <w:r w:rsidRPr="000977F7">
        <w:rPr>
          <w:rFonts w:asciiTheme="majorHAnsi" w:hAnsiTheme="majorHAnsi"/>
          <w:sz w:val="20"/>
          <w:szCs w:val="20"/>
        </w:rPr>
        <w:t>непоштучної</w:t>
      </w:r>
      <w:r w:rsidRPr="000977F7">
        <w:rPr>
          <w:rFonts w:asciiTheme="majorHAnsi" w:hAnsiTheme="majorHAnsi"/>
          <w:spacing w:val="40"/>
          <w:sz w:val="20"/>
          <w:szCs w:val="20"/>
        </w:rPr>
        <w:t xml:space="preserve"> </w:t>
      </w:r>
      <w:r w:rsidRPr="000977F7">
        <w:rPr>
          <w:rFonts w:asciiTheme="majorHAnsi" w:hAnsiTheme="majorHAnsi"/>
          <w:sz w:val="20"/>
          <w:szCs w:val="20"/>
        </w:rPr>
        <w:t>продукції,</w:t>
      </w:r>
      <w:r w:rsidRPr="000977F7">
        <w:rPr>
          <w:rFonts w:asciiTheme="majorHAnsi" w:hAnsiTheme="majorHAnsi"/>
          <w:spacing w:val="43"/>
          <w:sz w:val="20"/>
          <w:szCs w:val="20"/>
        </w:rPr>
        <w:t xml:space="preserve"> </w:t>
      </w:r>
    </w:p>
    <w:p w14:paraId="5819A1C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яка</w:t>
      </w:r>
      <w:r w:rsidRPr="000977F7">
        <w:rPr>
          <w:rFonts w:asciiTheme="majorHAnsi" w:hAnsiTheme="majorHAnsi"/>
          <w:spacing w:val="41"/>
          <w:sz w:val="20"/>
          <w:szCs w:val="20"/>
        </w:rPr>
        <w:t xml:space="preserve"> </w:t>
      </w:r>
      <w:r w:rsidRPr="000977F7">
        <w:rPr>
          <w:rFonts w:asciiTheme="majorHAnsi" w:hAnsiTheme="majorHAnsi"/>
          <w:sz w:val="20"/>
          <w:szCs w:val="20"/>
        </w:rPr>
        <w:t>складає</w:t>
      </w:r>
      <w:r w:rsidRPr="000977F7">
        <w:rPr>
          <w:rFonts w:asciiTheme="majorHAnsi" w:hAnsiTheme="majorHAnsi"/>
          <w:spacing w:val="-47"/>
          <w:sz w:val="20"/>
          <w:szCs w:val="20"/>
        </w:rPr>
        <w:t xml:space="preserve">        </w:t>
      </w:r>
      <w:r w:rsidRPr="000977F7">
        <w:rPr>
          <w:rFonts w:asciiTheme="majorHAnsi" w:hAnsiTheme="majorHAnsi"/>
          <w:sz w:val="20"/>
          <w:szCs w:val="20"/>
        </w:rPr>
        <w:t>пробу</w:t>
      </w:r>
    </w:p>
    <w:p w14:paraId="6A601FB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 – 97</w:t>
      </w:r>
    </w:p>
    <w:p w14:paraId="04AC9F5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ОБСЯГ</w:t>
      </w:r>
      <w:r w:rsidRPr="000977F7">
        <w:rPr>
          <w:color w:val="auto"/>
          <w:spacing w:val="-3"/>
          <w:sz w:val="20"/>
          <w:szCs w:val="20"/>
        </w:rPr>
        <w:t xml:space="preserve"> </w:t>
      </w:r>
      <w:r w:rsidRPr="000977F7">
        <w:rPr>
          <w:color w:val="auto"/>
          <w:sz w:val="20"/>
          <w:szCs w:val="20"/>
        </w:rPr>
        <w:t>РИНКУ</w:t>
      </w:r>
      <w:r w:rsidRPr="000977F7">
        <w:rPr>
          <w:color w:val="auto"/>
          <w:spacing w:val="-4"/>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6D68D45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Обсяг у фізичних одиницях чи вартісному вираженні</w:t>
      </w:r>
      <w:r w:rsidRPr="000977F7">
        <w:rPr>
          <w:rFonts w:asciiTheme="majorHAnsi" w:hAnsiTheme="majorHAnsi"/>
          <w:spacing w:val="1"/>
          <w:sz w:val="20"/>
          <w:szCs w:val="20"/>
        </w:rPr>
        <w:t xml:space="preserve"> </w:t>
      </w:r>
      <w:r w:rsidRPr="000977F7">
        <w:rPr>
          <w:rFonts w:asciiTheme="majorHAnsi" w:hAnsiTheme="majorHAnsi"/>
          <w:sz w:val="20"/>
          <w:szCs w:val="20"/>
        </w:rPr>
        <w:t>товарів, які реалізуються на ринку протягом визначеного періоду</w:t>
      </w:r>
      <w:r w:rsidRPr="000977F7">
        <w:rPr>
          <w:rFonts w:asciiTheme="majorHAnsi" w:hAnsiTheme="majorHAnsi"/>
          <w:spacing w:val="-4"/>
          <w:sz w:val="20"/>
          <w:szCs w:val="20"/>
        </w:rPr>
        <w:t xml:space="preserve"> </w:t>
      </w:r>
      <w:r w:rsidRPr="000977F7">
        <w:rPr>
          <w:rFonts w:asciiTheme="majorHAnsi" w:hAnsiTheme="majorHAnsi"/>
          <w:sz w:val="20"/>
          <w:szCs w:val="20"/>
        </w:rPr>
        <w:t>часу</w:t>
      </w:r>
    </w:p>
    <w:p w14:paraId="69A71FB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B78911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ОБЧИСЛЮВАЛЬНИЙ КОМПОНЕНТ ЗАСОБУ</w:t>
      </w:r>
      <w:r w:rsidRPr="000977F7">
        <w:rPr>
          <w:color w:val="auto"/>
          <w:spacing w:val="1"/>
          <w:sz w:val="20"/>
          <w:szCs w:val="20"/>
        </w:rPr>
        <w:t xml:space="preserve"> </w:t>
      </w:r>
      <w:r w:rsidRPr="000977F7">
        <w:rPr>
          <w:color w:val="auto"/>
          <w:sz w:val="20"/>
          <w:szCs w:val="20"/>
        </w:rPr>
        <w:t>ВИМІРЮВАННЯ; ЧИСЛОВИЙ ВИМІРЮВАЛЬ</w:t>
      </w:r>
      <w:r w:rsidRPr="000977F7">
        <w:rPr>
          <w:color w:val="auto"/>
          <w:spacing w:val="-47"/>
          <w:sz w:val="20"/>
          <w:szCs w:val="20"/>
        </w:rPr>
        <w:t xml:space="preserve"> </w:t>
      </w:r>
      <w:r w:rsidRPr="000977F7">
        <w:rPr>
          <w:color w:val="auto"/>
          <w:sz w:val="20"/>
          <w:szCs w:val="20"/>
        </w:rPr>
        <w:t>НИЙ ПЕРЕТВОРЮВАЧ</w:t>
      </w:r>
      <w:r w:rsidRPr="000977F7">
        <w:rPr>
          <w:color w:val="auto"/>
          <w:spacing w:val="3"/>
          <w:sz w:val="20"/>
          <w:szCs w:val="20"/>
        </w:rPr>
        <w:t xml:space="preserve"> </w:t>
      </w:r>
      <w:r w:rsidRPr="000977F7">
        <w:rPr>
          <w:color w:val="auto"/>
          <w:sz w:val="20"/>
          <w:szCs w:val="20"/>
        </w:rPr>
        <w:t>–</w:t>
      </w:r>
    </w:p>
    <w:p w14:paraId="6B63D30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Вимірювальний пристрій, що є сукупністю засобів обчислювальної</w:t>
      </w:r>
      <w:r w:rsidRPr="004D2D14">
        <w:rPr>
          <w:rFonts w:asciiTheme="majorHAnsi" w:hAnsiTheme="majorHAnsi"/>
          <w:spacing w:val="27"/>
          <w:sz w:val="20"/>
          <w:szCs w:val="20"/>
          <w:lang w:val="uk-UA"/>
        </w:rPr>
        <w:t xml:space="preserve"> </w:t>
      </w:r>
      <w:r w:rsidRPr="004D2D14">
        <w:rPr>
          <w:rFonts w:asciiTheme="majorHAnsi" w:hAnsiTheme="majorHAnsi"/>
          <w:sz w:val="20"/>
          <w:szCs w:val="20"/>
          <w:lang w:val="uk-UA"/>
        </w:rPr>
        <w:t>техніки</w:t>
      </w:r>
      <w:r w:rsidRPr="004D2D14">
        <w:rPr>
          <w:rFonts w:asciiTheme="majorHAnsi" w:hAnsiTheme="majorHAnsi"/>
          <w:spacing w:val="26"/>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29"/>
          <w:sz w:val="20"/>
          <w:szCs w:val="20"/>
          <w:lang w:val="uk-UA"/>
        </w:rPr>
        <w:t xml:space="preserve"> </w:t>
      </w:r>
      <w:r w:rsidRPr="004D2D14">
        <w:rPr>
          <w:rFonts w:asciiTheme="majorHAnsi" w:hAnsiTheme="majorHAnsi"/>
          <w:sz w:val="20"/>
          <w:szCs w:val="20"/>
          <w:lang w:val="uk-UA"/>
        </w:rPr>
        <w:t>програмного</w:t>
      </w:r>
      <w:r w:rsidRPr="004D2D14">
        <w:rPr>
          <w:rFonts w:asciiTheme="majorHAnsi" w:hAnsiTheme="majorHAnsi"/>
          <w:spacing w:val="29"/>
          <w:sz w:val="20"/>
          <w:szCs w:val="20"/>
          <w:lang w:val="uk-UA"/>
        </w:rPr>
        <w:t xml:space="preserve"> </w:t>
      </w:r>
      <w:r w:rsidRPr="004D2D14">
        <w:rPr>
          <w:rFonts w:asciiTheme="majorHAnsi" w:hAnsiTheme="majorHAnsi"/>
          <w:sz w:val="20"/>
          <w:szCs w:val="20"/>
          <w:lang w:val="uk-UA"/>
        </w:rPr>
        <w:t>забезпечення</w:t>
      </w:r>
      <w:r w:rsidRPr="004D2D14">
        <w:rPr>
          <w:rFonts w:asciiTheme="majorHAnsi" w:hAnsiTheme="majorHAnsi"/>
          <w:spacing w:val="27"/>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47"/>
          <w:sz w:val="20"/>
          <w:szCs w:val="20"/>
          <w:lang w:val="uk-UA"/>
        </w:rPr>
        <w:t xml:space="preserve"> </w:t>
      </w:r>
      <w:r w:rsidRPr="004D2D14">
        <w:rPr>
          <w:rFonts w:asciiTheme="majorHAnsi" w:hAnsiTheme="majorHAnsi"/>
          <w:spacing w:val="-1"/>
          <w:sz w:val="20"/>
          <w:szCs w:val="20"/>
          <w:lang w:val="uk-UA"/>
        </w:rPr>
        <w:t>виконує обчислювальні операції під час вимірювання</w:t>
      </w:r>
      <w:r w:rsidRPr="004D2D14">
        <w:rPr>
          <w:rFonts w:asciiTheme="majorHAnsi" w:hAnsiTheme="majorHAnsi"/>
          <w:sz w:val="20"/>
          <w:szCs w:val="20"/>
          <w:lang w:val="uk-UA"/>
        </w:rPr>
        <w:t xml:space="preserve"> </w:t>
      </w:r>
    </w:p>
    <w:p w14:paraId="6FA2ECE2"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2681</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58668F5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ОБЧИСЛЮВАЛЬНА</w:t>
      </w:r>
      <w:r w:rsidRPr="000977F7">
        <w:rPr>
          <w:color w:val="auto"/>
          <w:spacing w:val="-7"/>
          <w:sz w:val="20"/>
          <w:szCs w:val="20"/>
        </w:rPr>
        <w:t xml:space="preserve"> </w:t>
      </w:r>
      <w:r w:rsidRPr="000977F7">
        <w:rPr>
          <w:color w:val="auto"/>
          <w:sz w:val="20"/>
          <w:szCs w:val="20"/>
        </w:rPr>
        <w:t>ТОМОГРАФІЯ</w:t>
      </w:r>
      <w:r w:rsidRPr="000977F7">
        <w:rPr>
          <w:color w:val="auto"/>
          <w:spacing w:val="-4"/>
          <w:sz w:val="20"/>
          <w:szCs w:val="20"/>
        </w:rPr>
        <w:t xml:space="preserve"> </w:t>
      </w:r>
      <w:r w:rsidRPr="000977F7">
        <w:rPr>
          <w:color w:val="auto"/>
          <w:sz w:val="20"/>
          <w:szCs w:val="20"/>
        </w:rPr>
        <w:t>-</w:t>
      </w:r>
    </w:p>
    <w:p w14:paraId="7196C6F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Метод неруйнівного контролю реєстрації ослаблення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потоку енергії одного або декількох пучків випромінення, які переміщуються таким чином, що осі цих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пучків лежать в одній площині (площина контролю),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подальшому розрахунку на ЕОМ лінійних коефіцієнтів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ослаблення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елементів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заданого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перерізу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виведенні на дисплей світлового зображення, яке відповідає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розподілу</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згаданих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коефіцієнтів</w:t>
      </w:r>
    </w:p>
    <w:p w14:paraId="405BC5F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BC5DB6A"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bookmarkStart w:id="160" w:name="_Hlk103663746"/>
      <w:r w:rsidRPr="000977F7">
        <w:rPr>
          <w:rFonts w:asciiTheme="majorHAnsi" w:hAnsiTheme="majorHAnsi"/>
          <w:b/>
          <w:bCs/>
          <w:iCs/>
          <w:sz w:val="20"/>
          <w:szCs w:val="20"/>
        </w:rPr>
        <w:t>ОГОРОДЖЕННЯ –</w:t>
      </w:r>
    </w:p>
    <w:p w14:paraId="107F26B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SAFE</w:t>
      </w:r>
      <w:bookmarkStart w:id="161" w:name="_Hlk103668424"/>
      <w:r w:rsidRPr="000977F7">
        <w:rPr>
          <w:rFonts w:asciiTheme="majorHAnsi" w:hAnsiTheme="majorHAnsi"/>
          <w:sz w:val="20"/>
          <w:szCs w:val="20"/>
        </w:rPr>
        <w:t>GUARD</w:t>
      </w:r>
      <w:bookmarkEnd w:id="161"/>
      <w:r w:rsidRPr="000977F7">
        <w:rPr>
          <w:rFonts w:asciiTheme="majorHAnsi" w:hAnsiTheme="majorHAnsi"/>
          <w:sz w:val="20"/>
          <w:szCs w:val="20"/>
        </w:rPr>
        <w:t>ING -</w:t>
      </w:r>
    </w:p>
    <w:bookmarkEnd w:id="160"/>
    <w:p w14:paraId="78FCC63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Захисні заходи з використанням огорож для захисту людей від небезпек, які практично не можна усунути, або від ризиків, які не можна зменшити до належного ступеня за допомогою конструктивних заходів. Примітка. Див. 6.3 </w:t>
      </w:r>
    </w:p>
    <w:p w14:paraId="144E263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ДСТУ EN ISO 12100:2016</w:t>
      </w:r>
    </w:p>
    <w:p w14:paraId="151D0930"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bookmarkStart w:id="162" w:name="_Hlk103668672"/>
      <w:r w:rsidRPr="000977F7">
        <w:rPr>
          <w:rFonts w:asciiTheme="majorHAnsi" w:hAnsiTheme="majorHAnsi"/>
          <w:b/>
          <w:bCs/>
          <w:sz w:val="20"/>
          <w:szCs w:val="20"/>
        </w:rPr>
        <w:t>ОГОРОЖА –</w:t>
      </w:r>
    </w:p>
    <w:p w14:paraId="15F63DEC"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sz w:val="20"/>
          <w:szCs w:val="20"/>
        </w:rPr>
        <w:t>GUARD -</w:t>
      </w:r>
    </w:p>
    <w:bookmarkEnd w:id="162"/>
    <w:p w14:paraId="22B2452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машини, яка використовується спеціально для забезпечення захисту шляхом створення фізичної перешкоди;</w:t>
      </w:r>
    </w:p>
    <w:p w14:paraId="2C13A869"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безпеки машин</w:t>
      </w:r>
    </w:p>
    <w:p w14:paraId="0930835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Конструкція, призначена для забезпечення захисту за допомогою фізичної перепони.</w:t>
      </w:r>
    </w:p>
    <w:p w14:paraId="252A4C4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Огорожа може діяти: — незалежно; вона є ефективною лише, якщо її «зачинено», у разі рухомої огорожі, або «надійно закріплено в належному місці», у разі нерухомої огорожі; або — сукупно з блокувальним пристроєм із запиранням огорожі чи без нього; у цьому разі захист забезпечується незалежно від положення огорожі.</w:t>
      </w:r>
    </w:p>
    <w:p w14:paraId="62BC62A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Примітка 2. Залежно від конструкції огорожу можуть називати, наприклад, кожухом, щитком, кришкою, екраном, дверима, ковпаком </w:t>
      </w:r>
    </w:p>
    <w:p w14:paraId="7021A956"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566A2E12"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ОДЕРЖУВАЧ</w:t>
      </w:r>
      <w:r w:rsidRPr="000977F7">
        <w:rPr>
          <w:color w:val="auto"/>
          <w:spacing w:val="-3"/>
          <w:sz w:val="20"/>
          <w:szCs w:val="20"/>
        </w:rPr>
        <w:t xml:space="preserve"> </w:t>
      </w:r>
      <w:r w:rsidRPr="000977F7">
        <w:rPr>
          <w:color w:val="auto"/>
          <w:sz w:val="20"/>
          <w:szCs w:val="20"/>
        </w:rPr>
        <w:t>ПРОДУКЦІЇ</w:t>
      </w:r>
      <w:r w:rsidRPr="000977F7">
        <w:rPr>
          <w:color w:val="auto"/>
          <w:spacing w:val="47"/>
          <w:sz w:val="20"/>
          <w:szCs w:val="20"/>
        </w:rPr>
        <w:t xml:space="preserve"> </w:t>
      </w:r>
      <w:r w:rsidRPr="000977F7">
        <w:rPr>
          <w:b w:val="0"/>
          <w:color w:val="auto"/>
          <w:sz w:val="20"/>
          <w:szCs w:val="20"/>
        </w:rPr>
        <w:t>–</w:t>
      </w:r>
    </w:p>
    <w:p w14:paraId="42763CA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Фізична</w:t>
      </w:r>
      <w:r w:rsidRPr="000977F7">
        <w:rPr>
          <w:rFonts w:asciiTheme="majorHAnsi" w:hAnsiTheme="majorHAnsi"/>
          <w:spacing w:val="12"/>
          <w:sz w:val="20"/>
          <w:szCs w:val="20"/>
        </w:rPr>
        <w:t xml:space="preserve"> </w:t>
      </w:r>
      <w:r w:rsidRPr="000977F7">
        <w:rPr>
          <w:rFonts w:asciiTheme="majorHAnsi" w:hAnsiTheme="majorHAnsi"/>
          <w:sz w:val="20"/>
          <w:szCs w:val="20"/>
        </w:rPr>
        <w:t>або</w:t>
      </w:r>
      <w:r w:rsidRPr="000977F7">
        <w:rPr>
          <w:rFonts w:asciiTheme="majorHAnsi" w:hAnsiTheme="majorHAnsi"/>
          <w:spacing w:val="13"/>
          <w:sz w:val="20"/>
          <w:szCs w:val="20"/>
        </w:rPr>
        <w:t xml:space="preserve"> </w:t>
      </w:r>
      <w:r w:rsidRPr="000977F7">
        <w:rPr>
          <w:rFonts w:asciiTheme="majorHAnsi" w:hAnsiTheme="majorHAnsi"/>
          <w:sz w:val="20"/>
          <w:szCs w:val="20"/>
        </w:rPr>
        <w:t>юридична</w:t>
      </w:r>
      <w:r w:rsidRPr="000977F7">
        <w:rPr>
          <w:rFonts w:asciiTheme="majorHAnsi" w:hAnsiTheme="majorHAnsi"/>
          <w:spacing w:val="13"/>
          <w:sz w:val="20"/>
          <w:szCs w:val="20"/>
        </w:rPr>
        <w:t xml:space="preserve"> </w:t>
      </w:r>
      <w:r w:rsidRPr="000977F7">
        <w:rPr>
          <w:rFonts w:asciiTheme="majorHAnsi" w:hAnsiTheme="majorHAnsi"/>
          <w:sz w:val="20"/>
          <w:szCs w:val="20"/>
        </w:rPr>
        <w:t>особа,</w:t>
      </w:r>
      <w:r w:rsidRPr="000977F7">
        <w:rPr>
          <w:rFonts w:asciiTheme="majorHAnsi" w:hAnsiTheme="majorHAnsi"/>
          <w:spacing w:val="13"/>
          <w:sz w:val="20"/>
          <w:szCs w:val="20"/>
        </w:rPr>
        <w:t xml:space="preserve"> </w:t>
      </w:r>
      <w:r w:rsidRPr="000977F7">
        <w:rPr>
          <w:rFonts w:asciiTheme="majorHAnsi" w:hAnsiTheme="majorHAnsi"/>
          <w:sz w:val="20"/>
          <w:szCs w:val="20"/>
        </w:rPr>
        <w:t>яка</w:t>
      </w:r>
      <w:r w:rsidRPr="000977F7">
        <w:rPr>
          <w:rFonts w:asciiTheme="majorHAnsi" w:hAnsiTheme="majorHAnsi"/>
          <w:spacing w:val="13"/>
          <w:sz w:val="20"/>
          <w:szCs w:val="20"/>
        </w:rPr>
        <w:t xml:space="preserve"> </w:t>
      </w:r>
      <w:r w:rsidRPr="000977F7">
        <w:rPr>
          <w:rFonts w:asciiTheme="majorHAnsi" w:hAnsiTheme="majorHAnsi"/>
          <w:sz w:val="20"/>
          <w:szCs w:val="20"/>
        </w:rPr>
        <w:t>отримує</w:t>
      </w:r>
      <w:r w:rsidRPr="000977F7">
        <w:rPr>
          <w:rFonts w:asciiTheme="majorHAnsi" w:hAnsiTheme="majorHAnsi"/>
          <w:spacing w:val="13"/>
          <w:sz w:val="20"/>
          <w:szCs w:val="20"/>
        </w:rPr>
        <w:t xml:space="preserve"> </w:t>
      </w:r>
      <w:r w:rsidRPr="000977F7">
        <w:rPr>
          <w:rFonts w:asciiTheme="majorHAnsi" w:hAnsiTheme="majorHAnsi"/>
          <w:sz w:val="20"/>
          <w:szCs w:val="20"/>
        </w:rPr>
        <w:t>продукцію</w:t>
      </w:r>
      <w:r w:rsidRPr="000977F7">
        <w:rPr>
          <w:rFonts w:asciiTheme="majorHAnsi" w:hAnsiTheme="majorHAnsi"/>
          <w:spacing w:val="-47"/>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установленому</w:t>
      </w:r>
      <w:r w:rsidRPr="000977F7">
        <w:rPr>
          <w:rFonts w:asciiTheme="majorHAnsi" w:hAnsiTheme="majorHAnsi"/>
          <w:spacing w:val="-1"/>
          <w:sz w:val="20"/>
          <w:szCs w:val="20"/>
        </w:rPr>
        <w:t xml:space="preserve"> </w:t>
      </w:r>
      <w:r w:rsidRPr="000977F7">
        <w:rPr>
          <w:rFonts w:asciiTheme="majorHAnsi" w:hAnsiTheme="majorHAnsi"/>
          <w:sz w:val="20"/>
          <w:szCs w:val="20"/>
        </w:rPr>
        <w:t>порядку</w:t>
      </w:r>
    </w:p>
    <w:p w14:paraId="4D02DEB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227D85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ОДИНИЦЯ</w:t>
      </w:r>
      <w:r w:rsidRPr="000977F7">
        <w:rPr>
          <w:color w:val="auto"/>
          <w:spacing w:val="-5"/>
          <w:sz w:val="20"/>
          <w:szCs w:val="20"/>
        </w:rPr>
        <w:t xml:space="preserve"> </w:t>
      </w:r>
      <w:r w:rsidRPr="000977F7">
        <w:rPr>
          <w:color w:val="auto"/>
          <w:sz w:val="20"/>
          <w:szCs w:val="20"/>
        </w:rPr>
        <w:t>НОРМУВАННЯ</w:t>
      </w:r>
      <w:r w:rsidRPr="000977F7">
        <w:rPr>
          <w:color w:val="auto"/>
          <w:spacing w:val="-1"/>
          <w:sz w:val="20"/>
          <w:szCs w:val="20"/>
        </w:rPr>
        <w:t xml:space="preserve"> </w:t>
      </w:r>
      <w:r w:rsidRPr="000977F7">
        <w:rPr>
          <w:color w:val="auto"/>
          <w:sz w:val="20"/>
          <w:szCs w:val="20"/>
        </w:rPr>
        <w:t>–</w:t>
      </w:r>
    </w:p>
    <w:p w14:paraId="4DA3801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Кількість виробничих об’єктів чи працівників, на яких</w:t>
      </w:r>
      <w:r w:rsidRPr="000977F7">
        <w:rPr>
          <w:rFonts w:asciiTheme="majorHAnsi" w:hAnsiTheme="majorHAnsi"/>
          <w:spacing w:val="-47"/>
          <w:sz w:val="20"/>
          <w:szCs w:val="20"/>
        </w:rPr>
        <w:t xml:space="preserve">             </w:t>
      </w:r>
      <w:r w:rsidRPr="000977F7">
        <w:rPr>
          <w:rFonts w:asciiTheme="majorHAnsi" w:hAnsiTheme="majorHAnsi"/>
          <w:sz w:val="20"/>
          <w:szCs w:val="20"/>
        </w:rPr>
        <w:t>встановлено технічну</w:t>
      </w:r>
      <w:r w:rsidRPr="000977F7">
        <w:rPr>
          <w:rFonts w:asciiTheme="majorHAnsi" w:hAnsiTheme="majorHAnsi"/>
          <w:spacing w:val="1"/>
          <w:sz w:val="20"/>
          <w:szCs w:val="20"/>
        </w:rPr>
        <w:t xml:space="preserve"> </w:t>
      </w:r>
      <w:r w:rsidRPr="000977F7">
        <w:rPr>
          <w:rFonts w:asciiTheme="majorHAnsi" w:hAnsiTheme="majorHAnsi"/>
          <w:sz w:val="20"/>
          <w:szCs w:val="20"/>
        </w:rPr>
        <w:t>норму</w:t>
      </w:r>
    </w:p>
    <w:p w14:paraId="147596D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E28DE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Під</w:t>
      </w:r>
      <w:r w:rsidRPr="000977F7">
        <w:rPr>
          <w:rFonts w:asciiTheme="majorHAnsi" w:hAnsiTheme="majorHAnsi"/>
          <w:spacing w:val="-11"/>
          <w:sz w:val="20"/>
          <w:szCs w:val="20"/>
        </w:rPr>
        <w:t xml:space="preserve"> </w:t>
      </w:r>
      <w:r w:rsidRPr="000977F7">
        <w:rPr>
          <w:rFonts w:asciiTheme="majorHAnsi" w:hAnsiTheme="majorHAnsi"/>
          <w:spacing w:val="-1"/>
          <w:sz w:val="20"/>
          <w:szCs w:val="20"/>
        </w:rPr>
        <w:t>технічною</w:t>
      </w:r>
      <w:r w:rsidRPr="000977F7">
        <w:rPr>
          <w:rFonts w:asciiTheme="majorHAnsi" w:hAnsiTheme="majorHAnsi"/>
          <w:spacing w:val="-11"/>
          <w:sz w:val="20"/>
          <w:szCs w:val="20"/>
        </w:rPr>
        <w:t xml:space="preserve"> </w:t>
      </w:r>
      <w:r w:rsidRPr="000977F7">
        <w:rPr>
          <w:rFonts w:asciiTheme="majorHAnsi" w:hAnsiTheme="majorHAnsi"/>
          <w:sz w:val="20"/>
          <w:szCs w:val="20"/>
        </w:rPr>
        <w:t>нормою</w:t>
      </w:r>
      <w:r w:rsidRPr="000977F7">
        <w:rPr>
          <w:rFonts w:asciiTheme="majorHAnsi" w:hAnsiTheme="majorHAnsi"/>
          <w:spacing w:val="-12"/>
          <w:sz w:val="20"/>
          <w:szCs w:val="20"/>
        </w:rPr>
        <w:t xml:space="preserve"> </w:t>
      </w:r>
      <w:r w:rsidRPr="000977F7">
        <w:rPr>
          <w:rFonts w:asciiTheme="majorHAnsi" w:hAnsiTheme="majorHAnsi"/>
          <w:sz w:val="20"/>
          <w:szCs w:val="20"/>
        </w:rPr>
        <w:t>розуміють</w:t>
      </w:r>
      <w:r w:rsidRPr="000977F7">
        <w:rPr>
          <w:rFonts w:asciiTheme="majorHAnsi" w:hAnsiTheme="majorHAnsi"/>
          <w:spacing w:val="-10"/>
          <w:sz w:val="20"/>
          <w:szCs w:val="20"/>
        </w:rPr>
        <w:t xml:space="preserve"> </w:t>
      </w:r>
      <w:r w:rsidRPr="000977F7">
        <w:rPr>
          <w:rFonts w:asciiTheme="majorHAnsi" w:hAnsiTheme="majorHAnsi"/>
          <w:sz w:val="20"/>
          <w:szCs w:val="20"/>
        </w:rPr>
        <w:t>кількість</w:t>
      </w:r>
      <w:r w:rsidRPr="000977F7">
        <w:rPr>
          <w:rFonts w:asciiTheme="majorHAnsi" w:hAnsiTheme="majorHAnsi"/>
          <w:spacing w:val="-10"/>
          <w:sz w:val="20"/>
          <w:szCs w:val="20"/>
        </w:rPr>
        <w:t xml:space="preserve"> </w:t>
      </w:r>
      <w:r w:rsidRPr="000977F7">
        <w:rPr>
          <w:rFonts w:asciiTheme="majorHAnsi" w:hAnsiTheme="majorHAnsi"/>
          <w:sz w:val="20"/>
          <w:szCs w:val="20"/>
        </w:rPr>
        <w:t>деталей,</w:t>
      </w:r>
      <w:r w:rsidRPr="000977F7">
        <w:rPr>
          <w:rFonts w:asciiTheme="majorHAnsi" w:hAnsiTheme="majorHAnsi"/>
          <w:spacing w:val="-10"/>
          <w:sz w:val="20"/>
          <w:szCs w:val="20"/>
        </w:rPr>
        <w:t xml:space="preserve"> </w:t>
      </w:r>
      <w:r w:rsidRPr="000977F7">
        <w:rPr>
          <w:rFonts w:asciiTheme="majorHAnsi" w:hAnsiTheme="majorHAnsi"/>
          <w:sz w:val="20"/>
          <w:szCs w:val="20"/>
        </w:rPr>
        <w:t>на</w:t>
      </w:r>
      <w:r w:rsidRPr="000977F7">
        <w:rPr>
          <w:rFonts w:asciiTheme="majorHAnsi" w:hAnsiTheme="majorHAnsi"/>
          <w:spacing w:val="-47"/>
          <w:sz w:val="20"/>
          <w:szCs w:val="20"/>
        </w:rPr>
        <w:t xml:space="preserve"> </w:t>
      </w:r>
      <w:r w:rsidRPr="000977F7">
        <w:rPr>
          <w:rFonts w:asciiTheme="majorHAnsi" w:hAnsiTheme="majorHAnsi"/>
          <w:sz w:val="20"/>
          <w:szCs w:val="20"/>
        </w:rPr>
        <w:t>яку</w:t>
      </w:r>
      <w:r w:rsidRPr="000977F7">
        <w:rPr>
          <w:rFonts w:asciiTheme="majorHAnsi" w:hAnsiTheme="majorHAnsi"/>
          <w:spacing w:val="7"/>
          <w:sz w:val="20"/>
          <w:szCs w:val="20"/>
        </w:rPr>
        <w:t xml:space="preserve"> </w:t>
      </w:r>
      <w:r w:rsidRPr="000977F7">
        <w:rPr>
          <w:rFonts w:asciiTheme="majorHAnsi" w:hAnsiTheme="majorHAnsi"/>
          <w:sz w:val="20"/>
          <w:szCs w:val="20"/>
        </w:rPr>
        <w:t>встановлено</w:t>
      </w:r>
      <w:r w:rsidRPr="000977F7">
        <w:rPr>
          <w:rFonts w:asciiTheme="majorHAnsi" w:hAnsiTheme="majorHAnsi"/>
          <w:spacing w:val="9"/>
          <w:sz w:val="20"/>
          <w:szCs w:val="20"/>
        </w:rPr>
        <w:t xml:space="preserve"> </w:t>
      </w:r>
      <w:r w:rsidRPr="000977F7">
        <w:rPr>
          <w:rFonts w:asciiTheme="majorHAnsi" w:hAnsiTheme="majorHAnsi"/>
          <w:sz w:val="20"/>
          <w:szCs w:val="20"/>
        </w:rPr>
        <w:t>норму</w:t>
      </w:r>
      <w:r w:rsidRPr="000977F7">
        <w:rPr>
          <w:rFonts w:asciiTheme="majorHAnsi" w:hAnsiTheme="majorHAnsi"/>
          <w:spacing w:val="5"/>
          <w:sz w:val="20"/>
          <w:szCs w:val="20"/>
        </w:rPr>
        <w:t xml:space="preserve"> </w:t>
      </w:r>
      <w:r w:rsidRPr="000977F7">
        <w:rPr>
          <w:rFonts w:asciiTheme="majorHAnsi" w:hAnsiTheme="majorHAnsi"/>
          <w:sz w:val="20"/>
          <w:szCs w:val="20"/>
        </w:rPr>
        <w:t>часу,</w:t>
      </w:r>
      <w:r w:rsidRPr="000977F7">
        <w:rPr>
          <w:rFonts w:asciiTheme="majorHAnsi" w:hAnsiTheme="majorHAnsi"/>
          <w:spacing w:val="9"/>
          <w:sz w:val="20"/>
          <w:szCs w:val="20"/>
        </w:rPr>
        <w:t xml:space="preserve"> </w:t>
      </w:r>
      <w:r w:rsidRPr="000977F7">
        <w:rPr>
          <w:rFonts w:asciiTheme="majorHAnsi" w:hAnsiTheme="majorHAnsi"/>
          <w:sz w:val="20"/>
          <w:szCs w:val="20"/>
        </w:rPr>
        <w:t>кількість</w:t>
      </w:r>
      <w:r w:rsidRPr="000977F7">
        <w:rPr>
          <w:rFonts w:asciiTheme="majorHAnsi" w:hAnsiTheme="majorHAnsi"/>
          <w:spacing w:val="9"/>
          <w:sz w:val="20"/>
          <w:szCs w:val="20"/>
        </w:rPr>
        <w:t xml:space="preserve"> </w:t>
      </w:r>
      <w:r w:rsidRPr="000977F7">
        <w:rPr>
          <w:rFonts w:asciiTheme="majorHAnsi" w:hAnsiTheme="majorHAnsi"/>
          <w:sz w:val="20"/>
          <w:szCs w:val="20"/>
        </w:rPr>
        <w:t>виробів,</w:t>
      </w:r>
      <w:r w:rsidRPr="000977F7">
        <w:rPr>
          <w:rFonts w:asciiTheme="majorHAnsi" w:hAnsiTheme="majorHAnsi"/>
          <w:spacing w:val="9"/>
          <w:sz w:val="20"/>
          <w:szCs w:val="20"/>
        </w:rPr>
        <w:t xml:space="preserve"> </w:t>
      </w:r>
      <w:r w:rsidRPr="000977F7">
        <w:rPr>
          <w:rFonts w:asciiTheme="majorHAnsi" w:hAnsiTheme="majorHAnsi"/>
          <w:sz w:val="20"/>
          <w:szCs w:val="20"/>
        </w:rPr>
        <w:t>на</w:t>
      </w:r>
      <w:r w:rsidRPr="000977F7">
        <w:rPr>
          <w:rFonts w:asciiTheme="majorHAnsi" w:hAnsiTheme="majorHAnsi"/>
          <w:spacing w:val="9"/>
          <w:sz w:val="20"/>
          <w:szCs w:val="20"/>
        </w:rPr>
        <w:t xml:space="preserve"> </w:t>
      </w:r>
      <w:r w:rsidRPr="000977F7">
        <w:rPr>
          <w:rFonts w:asciiTheme="majorHAnsi" w:hAnsiTheme="majorHAnsi"/>
          <w:sz w:val="20"/>
          <w:szCs w:val="20"/>
        </w:rPr>
        <w:t>яку</w:t>
      </w:r>
      <w:r w:rsidRPr="000977F7">
        <w:rPr>
          <w:rFonts w:asciiTheme="majorHAnsi" w:hAnsiTheme="majorHAnsi"/>
          <w:spacing w:val="-47"/>
          <w:sz w:val="20"/>
          <w:szCs w:val="20"/>
        </w:rPr>
        <w:t xml:space="preserve"> </w:t>
      </w:r>
      <w:r w:rsidRPr="000977F7">
        <w:rPr>
          <w:rFonts w:asciiTheme="majorHAnsi" w:hAnsiTheme="majorHAnsi"/>
          <w:sz w:val="20"/>
          <w:szCs w:val="20"/>
        </w:rPr>
        <w:t>встановлено</w:t>
      </w:r>
      <w:r w:rsidRPr="000977F7">
        <w:rPr>
          <w:rFonts w:asciiTheme="majorHAnsi" w:hAnsiTheme="majorHAnsi"/>
          <w:spacing w:val="9"/>
          <w:sz w:val="20"/>
          <w:szCs w:val="20"/>
        </w:rPr>
        <w:t xml:space="preserve"> </w:t>
      </w:r>
      <w:r w:rsidRPr="000977F7">
        <w:rPr>
          <w:rFonts w:asciiTheme="majorHAnsi" w:hAnsiTheme="majorHAnsi"/>
          <w:sz w:val="20"/>
          <w:szCs w:val="20"/>
        </w:rPr>
        <w:t>норму</w:t>
      </w:r>
      <w:r w:rsidRPr="000977F7">
        <w:rPr>
          <w:rFonts w:asciiTheme="majorHAnsi" w:hAnsiTheme="majorHAnsi"/>
          <w:spacing w:val="8"/>
          <w:sz w:val="20"/>
          <w:szCs w:val="20"/>
        </w:rPr>
        <w:t xml:space="preserve"> </w:t>
      </w:r>
      <w:r w:rsidRPr="000977F7">
        <w:rPr>
          <w:rFonts w:asciiTheme="majorHAnsi" w:hAnsiTheme="majorHAnsi"/>
          <w:sz w:val="20"/>
          <w:szCs w:val="20"/>
        </w:rPr>
        <w:t>витрат</w:t>
      </w:r>
      <w:r w:rsidRPr="000977F7">
        <w:rPr>
          <w:rFonts w:asciiTheme="majorHAnsi" w:hAnsiTheme="majorHAnsi"/>
          <w:spacing w:val="8"/>
          <w:sz w:val="20"/>
          <w:szCs w:val="20"/>
        </w:rPr>
        <w:t xml:space="preserve"> </w:t>
      </w:r>
      <w:r w:rsidRPr="000977F7">
        <w:rPr>
          <w:rFonts w:asciiTheme="majorHAnsi" w:hAnsiTheme="majorHAnsi"/>
          <w:sz w:val="20"/>
          <w:szCs w:val="20"/>
        </w:rPr>
        <w:t>матеріалу</w:t>
      </w:r>
      <w:r w:rsidRPr="000977F7">
        <w:rPr>
          <w:rFonts w:asciiTheme="majorHAnsi" w:hAnsiTheme="majorHAnsi"/>
          <w:spacing w:val="6"/>
          <w:sz w:val="20"/>
          <w:szCs w:val="20"/>
        </w:rPr>
        <w:t xml:space="preserve"> </w:t>
      </w:r>
      <w:r w:rsidRPr="000977F7">
        <w:rPr>
          <w:rFonts w:asciiTheme="majorHAnsi" w:hAnsiTheme="majorHAnsi"/>
          <w:sz w:val="20"/>
          <w:szCs w:val="20"/>
        </w:rPr>
        <w:t>і</w:t>
      </w:r>
      <w:r w:rsidRPr="000977F7">
        <w:rPr>
          <w:rFonts w:asciiTheme="majorHAnsi" w:hAnsiTheme="majorHAnsi"/>
          <w:spacing w:val="10"/>
          <w:sz w:val="20"/>
          <w:szCs w:val="20"/>
        </w:rPr>
        <w:t xml:space="preserve"> </w:t>
      </w:r>
      <w:r w:rsidRPr="000977F7">
        <w:rPr>
          <w:rFonts w:asciiTheme="majorHAnsi" w:hAnsiTheme="majorHAnsi"/>
          <w:sz w:val="20"/>
          <w:szCs w:val="20"/>
        </w:rPr>
        <w:t>кількість</w:t>
      </w:r>
      <w:r w:rsidRPr="000977F7">
        <w:rPr>
          <w:rFonts w:asciiTheme="majorHAnsi" w:hAnsiTheme="majorHAnsi"/>
          <w:spacing w:val="7"/>
          <w:sz w:val="20"/>
          <w:szCs w:val="20"/>
        </w:rPr>
        <w:t xml:space="preserve"> </w:t>
      </w:r>
      <w:r w:rsidRPr="000977F7">
        <w:rPr>
          <w:rFonts w:asciiTheme="majorHAnsi" w:hAnsiTheme="majorHAnsi"/>
          <w:sz w:val="20"/>
          <w:szCs w:val="20"/>
        </w:rPr>
        <w:t>робітників, на яких встановлено норму виробітку, тощо</w:t>
      </w:r>
    </w:p>
    <w:p w14:paraId="00FCC048"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2391</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2010</w:t>
      </w:r>
    </w:p>
    <w:p w14:paraId="7B6934A3"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ОДИНИЦЯ</w:t>
      </w:r>
      <w:r w:rsidRPr="004D2D14">
        <w:rPr>
          <w:rFonts w:asciiTheme="majorHAnsi" w:hAnsiTheme="majorHAnsi"/>
          <w:b/>
          <w:sz w:val="20"/>
          <w:szCs w:val="20"/>
          <w:lang w:val="en-US"/>
        </w:rPr>
        <w:t xml:space="preserve"> </w:t>
      </w:r>
      <w:r w:rsidRPr="000977F7">
        <w:rPr>
          <w:rFonts w:asciiTheme="majorHAnsi" w:hAnsiTheme="majorHAnsi"/>
          <w:b/>
          <w:sz w:val="20"/>
          <w:szCs w:val="20"/>
        </w:rPr>
        <w:t>ПРОДУКЦІЇ</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p>
    <w:p w14:paraId="0E15510C"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UNIT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PRODUCT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62D2F3B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Окремий екземпляр поштучної продукції чи визначена у встановленому порядку кількість будь–якого виду</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51DD138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ДСТУ2960 – 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3278</w:t>
      </w:r>
      <w:r w:rsidRPr="000977F7">
        <w:rPr>
          <w:rFonts w:asciiTheme="majorHAnsi" w:hAnsiTheme="majorHAnsi"/>
          <w:i/>
          <w:spacing w:val="-4"/>
          <w:sz w:val="20"/>
          <w:szCs w:val="20"/>
        </w:rPr>
        <w:t xml:space="preserve"> </w:t>
      </w:r>
      <w:r w:rsidRPr="000977F7">
        <w:rPr>
          <w:rFonts w:asciiTheme="majorHAnsi" w:hAnsiTheme="majorHAnsi"/>
          <w:i/>
          <w:sz w:val="20"/>
          <w:szCs w:val="20"/>
        </w:rPr>
        <w:t>– 95</w:t>
      </w:r>
    </w:p>
    <w:p w14:paraId="29428CD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ОДИНИЦЯ</w:t>
      </w:r>
      <w:r w:rsidRPr="000977F7">
        <w:rPr>
          <w:color w:val="auto"/>
          <w:spacing w:val="-3"/>
          <w:sz w:val="20"/>
          <w:szCs w:val="20"/>
        </w:rPr>
        <w:t xml:space="preserve"> </w:t>
      </w:r>
      <w:r w:rsidRPr="000977F7">
        <w:rPr>
          <w:color w:val="auto"/>
          <w:sz w:val="20"/>
          <w:szCs w:val="20"/>
        </w:rPr>
        <w:t>ФІЗИЧНОЇ</w:t>
      </w:r>
      <w:r w:rsidRPr="000977F7">
        <w:rPr>
          <w:color w:val="auto"/>
          <w:spacing w:val="-4"/>
          <w:sz w:val="20"/>
          <w:szCs w:val="20"/>
        </w:rPr>
        <w:t xml:space="preserve"> </w:t>
      </w:r>
      <w:r w:rsidRPr="000977F7">
        <w:rPr>
          <w:color w:val="auto"/>
          <w:sz w:val="20"/>
          <w:szCs w:val="20"/>
        </w:rPr>
        <w:t>ВЕЛИЧИНИ</w:t>
      </w:r>
      <w:r w:rsidRPr="000977F7">
        <w:rPr>
          <w:color w:val="auto"/>
          <w:spacing w:val="1"/>
          <w:sz w:val="20"/>
          <w:szCs w:val="20"/>
        </w:rPr>
        <w:t xml:space="preserve"> </w:t>
      </w:r>
      <w:r w:rsidRPr="000977F7">
        <w:rPr>
          <w:color w:val="auto"/>
          <w:sz w:val="20"/>
          <w:szCs w:val="20"/>
        </w:rPr>
        <w:t>–</w:t>
      </w:r>
    </w:p>
    <w:p w14:paraId="7921DE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UNIT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35F295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Фізична величина певного розміру, прийнята за угодою для кількісного відображення однорідних з нею</w:t>
      </w:r>
      <w:r w:rsidRPr="000977F7">
        <w:rPr>
          <w:rFonts w:asciiTheme="majorHAnsi" w:hAnsiTheme="majorHAnsi"/>
          <w:spacing w:val="1"/>
          <w:sz w:val="20"/>
          <w:szCs w:val="20"/>
        </w:rPr>
        <w:t xml:space="preserve"> </w:t>
      </w:r>
      <w:r w:rsidRPr="000977F7">
        <w:rPr>
          <w:rFonts w:asciiTheme="majorHAnsi" w:hAnsiTheme="majorHAnsi"/>
          <w:sz w:val="20"/>
          <w:szCs w:val="20"/>
        </w:rPr>
        <w:t>величин</w:t>
      </w:r>
    </w:p>
    <w:p w14:paraId="14C26A9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17FF73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53C33C7" w14:textId="77777777" w:rsidR="0097612F" w:rsidRPr="000977F7" w:rsidRDefault="0097612F" w:rsidP="00FD39A4">
      <w:pPr>
        <w:pStyle w:val="ac"/>
        <w:widowControl w:val="0"/>
        <w:numPr>
          <w:ilvl w:val="0"/>
          <w:numId w:val="133"/>
        </w:numPr>
        <w:tabs>
          <w:tab w:val="left" w:pos="284"/>
          <w:tab w:val="left" w:pos="675"/>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Рід</w:t>
      </w:r>
      <w:r w:rsidRPr="000977F7">
        <w:rPr>
          <w:rFonts w:asciiTheme="majorHAnsi" w:hAnsiTheme="majorHAnsi"/>
          <w:spacing w:val="3"/>
          <w:sz w:val="20"/>
          <w:szCs w:val="20"/>
        </w:rPr>
        <w:t xml:space="preserve"> </w:t>
      </w:r>
      <w:r w:rsidRPr="000977F7">
        <w:rPr>
          <w:rFonts w:asciiTheme="majorHAnsi" w:hAnsiTheme="majorHAnsi"/>
          <w:sz w:val="20"/>
          <w:szCs w:val="20"/>
        </w:rPr>
        <w:t>фізичної</w:t>
      </w:r>
      <w:r w:rsidRPr="000977F7">
        <w:rPr>
          <w:rFonts w:asciiTheme="majorHAnsi" w:hAnsiTheme="majorHAnsi"/>
          <w:spacing w:val="5"/>
          <w:sz w:val="20"/>
          <w:szCs w:val="20"/>
        </w:rPr>
        <w:t xml:space="preserve"> </w:t>
      </w:r>
      <w:r w:rsidRPr="000977F7">
        <w:rPr>
          <w:rFonts w:asciiTheme="majorHAnsi" w:hAnsiTheme="majorHAnsi"/>
          <w:sz w:val="20"/>
          <w:szCs w:val="20"/>
        </w:rPr>
        <w:t>величини</w:t>
      </w:r>
      <w:r w:rsidRPr="000977F7">
        <w:rPr>
          <w:rFonts w:asciiTheme="majorHAnsi" w:hAnsiTheme="majorHAnsi"/>
          <w:spacing w:val="7"/>
          <w:sz w:val="20"/>
          <w:szCs w:val="20"/>
        </w:rPr>
        <w:t xml:space="preserve"> </w:t>
      </w:r>
      <w:r w:rsidRPr="000977F7">
        <w:rPr>
          <w:rFonts w:asciiTheme="majorHAnsi" w:hAnsiTheme="majorHAnsi"/>
          <w:sz w:val="20"/>
          <w:szCs w:val="20"/>
        </w:rPr>
        <w:t>–</w:t>
      </w:r>
      <w:r w:rsidRPr="000977F7">
        <w:rPr>
          <w:rFonts w:asciiTheme="majorHAnsi" w:hAnsiTheme="majorHAnsi"/>
          <w:spacing w:val="6"/>
          <w:sz w:val="20"/>
          <w:szCs w:val="20"/>
        </w:rPr>
        <w:t xml:space="preserve"> </w:t>
      </w:r>
      <w:r w:rsidRPr="000977F7">
        <w:rPr>
          <w:rFonts w:asciiTheme="majorHAnsi" w:hAnsiTheme="majorHAnsi"/>
          <w:sz w:val="20"/>
          <w:szCs w:val="20"/>
        </w:rPr>
        <w:t>якісна</w:t>
      </w:r>
      <w:r w:rsidRPr="000977F7">
        <w:rPr>
          <w:rFonts w:asciiTheme="majorHAnsi" w:hAnsiTheme="majorHAnsi"/>
          <w:spacing w:val="5"/>
          <w:sz w:val="20"/>
          <w:szCs w:val="20"/>
        </w:rPr>
        <w:t xml:space="preserve"> </w:t>
      </w:r>
      <w:r w:rsidRPr="000977F7">
        <w:rPr>
          <w:rFonts w:asciiTheme="majorHAnsi" w:hAnsiTheme="majorHAnsi"/>
          <w:sz w:val="20"/>
          <w:szCs w:val="20"/>
        </w:rPr>
        <w:t>означеність</w:t>
      </w:r>
      <w:r w:rsidRPr="000977F7">
        <w:rPr>
          <w:rFonts w:asciiTheme="majorHAnsi" w:hAnsiTheme="majorHAnsi"/>
          <w:spacing w:val="4"/>
          <w:sz w:val="20"/>
          <w:szCs w:val="20"/>
        </w:rPr>
        <w:t xml:space="preserve"> </w:t>
      </w:r>
      <w:r w:rsidRPr="000977F7">
        <w:rPr>
          <w:rFonts w:asciiTheme="majorHAnsi" w:hAnsiTheme="majorHAnsi"/>
          <w:sz w:val="20"/>
          <w:szCs w:val="20"/>
        </w:rPr>
        <w:t>фізичної</w:t>
      </w:r>
      <w:r w:rsidRPr="000977F7">
        <w:rPr>
          <w:rFonts w:asciiTheme="majorHAnsi" w:hAnsiTheme="majorHAnsi"/>
          <w:spacing w:val="-2"/>
          <w:sz w:val="20"/>
          <w:szCs w:val="20"/>
        </w:rPr>
        <w:t xml:space="preserve"> </w:t>
      </w:r>
      <w:r w:rsidRPr="000977F7">
        <w:rPr>
          <w:rFonts w:asciiTheme="majorHAnsi" w:hAnsiTheme="majorHAnsi"/>
          <w:sz w:val="20"/>
          <w:szCs w:val="20"/>
        </w:rPr>
        <w:t>величини</w:t>
      </w:r>
    </w:p>
    <w:p w14:paraId="119B2C9E" w14:textId="77777777" w:rsidR="0097612F" w:rsidRPr="000977F7" w:rsidRDefault="0097612F" w:rsidP="00FD39A4">
      <w:pPr>
        <w:pStyle w:val="ac"/>
        <w:widowControl w:val="0"/>
        <w:numPr>
          <w:ilvl w:val="0"/>
          <w:numId w:val="133"/>
        </w:numPr>
        <w:tabs>
          <w:tab w:val="left" w:pos="284"/>
          <w:tab w:val="left" w:pos="675"/>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Розмір</w:t>
      </w:r>
      <w:r w:rsidRPr="000977F7">
        <w:rPr>
          <w:rFonts w:asciiTheme="majorHAnsi" w:hAnsiTheme="majorHAnsi"/>
          <w:spacing w:val="28"/>
          <w:sz w:val="20"/>
          <w:szCs w:val="20"/>
        </w:rPr>
        <w:t xml:space="preserve"> </w:t>
      </w:r>
      <w:r w:rsidRPr="000977F7">
        <w:rPr>
          <w:rFonts w:asciiTheme="majorHAnsi" w:hAnsiTheme="majorHAnsi"/>
          <w:sz w:val="20"/>
          <w:szCs w:val="20"/>
        </w:rPr>
        <w:t>фізичної</w:t>
      </w:r>
      <w:r w:rsidRPr="000977F7">
        <w:rPr>
          <w:rFonts w:asciiTheme="majorHAnsi" w:hAnsiTheme="majorHAnsi"/>
          <w:spacing w:val="28"/>
          <w:sz w:val="20"/>
          <w:szCs w:val="20"/>
        </w:rPr>
        <w:t xml:space="preserve"> </w:t>
      </w:r>
      <w:r w:rsidRPr="000977F7">
        <w:rPr>
          <w:rFonts w:asciiTheme="majorHAnsi" w:hAnsiTheme="majorHAnsi"/>
          <w:sz w:val="20"/>
          <w:szCs w:val="20"/>
        </w:rPr>
        <w:t>величини</w:t>
      </w:r>
      <w:r w:rsidRPr="000977F7">
        <w:rPr>
          <w:rFonts w:asciiTheme="majorHAnsi" w:hAnsiTheme="majorHAnsi"/>
          <w:spacing w:val="33"/>
          <w:sz w:val="20"/>
          <w:szCs w:val="20"/>
        </w:rPr>
        <w:t xml:space="preserve"> </w:t>
      </w:r>
      <w:r w:rsidRPr="000977F7">
        <w:rPr>
          <w:rFonts w:asciiTheme="majorHAnsi" w:hAnsiTheme="majorHAnsi"/>
          <w:sz w:val="20"/>
          <w:szCs w:val="20"/>
        </w:rPr>
        <w:t>–</w:t>
      </w:r>
      <w:r w:rsidRPr="000977F7">
        <w:rPr>
          <w:rFonts w:asciiTheme="majorHAnsi" w:hAnsiTheme="majorHAnsi"/>
          <w:spacing w:val="29"/>
          <w:sz w:val="20"/>
          <w:szCs w:val="20"/>
        </w:rPr>
        <w:t xml:space="preserve"> </w:t>
      </w:r>
      <w:r w:rsidRPr="000977F7">
        <w:rPr>
          <w:rFonts w:asciiTheme="majorHAnsi" w:hAnsiTheme="majorHAnsi"/>
          <w:sz w:val="20"/>
          <w:szCs w:val="20"/>
        </w:rPr>
        <w:t>кількісний</w:t>
      </w:r>
      <w:r w:rsidRPr="000977F7">
        <w:rPr>
          <w:rFonts w:asciiTheme="majorHAnsi" w:hAnsiTheme="majorHAnsi"/>
          <w:spacing w:val="29"/>
          <w:sz w:val="20"/>
          <w:szCs w:val="20"/>
        </w:rPr>
        <w:t xml:space="preserve"> </w:t>
      </w:r>
      <w:r w:rsidRPr="000977F7">
        <w:rPr>
          <w:rFonts w:asciiTheme="majorHAnsi" w:hAnsiTheme="majorHAnsi"/>
          <w:sz w:val="20"/>
          <w:szCs w:val="20"/>
        </w:rPr>
        <w:t>вміст</w:t>
      </w:r>
      <w:r w:rsidRPr="000977F7">
        <w:rPr>
          <w:rFonts w:asciiTheme="majorHAnsi" w:hAnsiTheme="majorHAnsi"/>
          <w:spacing w:val="27"/>
          <w:sz w:val="20"/>
          <w:szCs w:val="20"/>
        </w:rPr>
        <w:t xml:space="preserve"> </w:t>
      </w:r>
      <w:r w:rsidRPr="000977F7">
        <w:rPr>
          <w:rFonts w:asciiTheme="majorHAnsi" w:hAnsiTheme="majorHAnsi"/>
          <w:sz w:val="20"/>
          <w:szCs w:val="20"/>
        </w:rPr>
        <w:t>фізичної</w:t>
      </w:r>
      <w:r w:rsidRPr="000977F7">
        <w:rPr>
          <w:rFonts w:asciiTheme="majorHAnsi" w:hAnsiTheme="majorHAnsi"/>
          <w:spacing w:val="-2"/>
          <w:sz w:val="20"/>
          <w:szCs w:val="20"/>
        </w:rPr>
        <w:t xml:space="preserve"> </w:t>
      </w:r>
      <w:r w:rsidRPr="000977F7">
        <w:rPr>
          <w:rFonts w:asciiTheme="majorHAnsi" w:hAnsiTheme="majorHAnsi"/>
          <w:sz w:val="20"/>
          <w:szCs w:val="20"/>
        </w:rPr>
        <w:t>величини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певному</w:t>
      </w:r>
      <w:r w:rsidRPr="000977F7">
        <w:rPr>
          <w:rFonts w:asciiTheme="majorHAnsi" w:hAnsiTheme="majorHAnsi"/>
          <w:spacing w:val="-1"/>
          <w:sz w:val="20"/>
          <w:szCs w:val="20"/>
        </w:rPr>
        <w:t xml:space="preserve"> </w:t>
      </w:r>
      <w:r w:rsidRPr="000977F7">
        <w:rPr>
          <w:rFonts w:asciiTheme="majorHAnsi" w:hAnsiTheme="majorHAnsi"/>
          <w:sz w:val="20"/>
          <w:szCs w:val="20"/>
        </w:rPr>
        <w:t>об’єкті</w:t>
      </w:r>
    </w:p>
    <w:p w14:paraId="090B67C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15990C3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ОДИНИЧНЕ</w:t>
      </w:r>
      <w:r w:rsidRPr="000977F7">
        <w:rPr>
          <w:color w:val="auto"/>
          <w:spacing w:val="-5"/>
          <w:sz w:val="20"/>
          <w:szCs w:val="20"/>
        </w:rPr>
        <w:t xml:space="preserve"> </w:t>
      </w:r>
      <w:r w:rsidRPr="000977F7">
        <w:rPr>
          <w:color w:val="auto"/>
          <w:sz w:val="20"/>
          <w:szCs w:val="20"/>
        </w:rPr>
        <w:t>ВИРОБНИЦТВО –</w:t>
      </w:r>
    </w:p>
    <w:p w14:paraId="2B7707D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Тип</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характеризується</w:t>
      </w:r>
      <w:r w:rsidRPr="000977F7">
        <w:rPr>
          <w:rFonts w:asciiTheme="majorHAnsi" w:hAnsiTheme="majorHAnsi"/>
          <w:spacing w:val="1"/>
          <w:sz w:val="20"/>
          <w:szCs w:val="20"/>
        </w:rPr>
        <w:t xml:space="preserve"> </w:t>
      </w:r>
      <w:r w:rsidRPr="000977F7">
        <w:rPr>
          <w:rFonts w:asciiTheme="majorHAnsi" w:hAnsiTheme="majorHAnsi"/>
          <w:sz w:val="20"/>
          <w:szCs w:val="20"/>
        </w:rPr>
        <w:t>невеликим</w:t>
      </w:r>
      <w:r w:rsidRPr="000977F7">
        <w:rPr>
          <w:rFonts w:asciiTheme="majorHAnsi" w:hAnsiTheme="majorHAnsi"/>
          <w:spacing w:val="1"/>
          <w:sz w:val="20"/>
          <w:szCs w:val="20"/>
        </w:rPr>
        <w:t xml:space="preserve"> </w:t>
      </w:r>
      <w:r w:rsidRPr="000977F7">
        <w:rPr>
          <w:rFonts w:asciiTheme="majorHAnsi" w:hAnsiTheme="majorHAnsi"/>
          <w:sz w:val="20"/>
          <w:szCs w:val="20"/>
        </w:rPr>
        <w:t>обсягом випуску однакової продукції , повторне виготовлення</w:t>
      </w:r>
      <w:r w:rsidRPr="000977F7">
        <w:rPr>
          <w:rFonts w:asciiTheme="majorHAnsi" w:hAnsiTheme="majorHAnsi"/>
          <w:spacing w:val="-2"/>
          <w:sz w:val="20"/>
          <w:szCs w:val="20"/>
        </w:rPr>
        <w:t xml:space="preserve"> </w:t>
      </w:r>
      <w:r w:rsidRPr="000977F7">
        <w:rPr>
          <w:rFonts w:asciiTheme="majorHAnsi" w:hAnsiTheme="majorHAnsi"/>
          <w:sz w:val="20"/>
          <w:szCs w:val="20"/>
        </w:rPr>
        <w:t>якої,</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2"/>
          <w:sz w:val="20"/>
          <w:szCs w:val="20"/>
        </w:rPr>
        <w:t xml:space="preserve"> </w:t>
      </w:r>
      <w:r w:rsidRPr="000977F7">
        <w:rPr>
          <w:rFonts w:asciiTheme="majorHAnsi" w:hAnsiTheme="majorHAnsi"/>
          <w:sz w:val="20"/>
          <w:szCs w:val="20"/>
        </w:rPr>
        <w:t>правило,</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передбачається</w:t>
      </w:r>
    </w:p>
    <w:p w14:paraId="1074A17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2974 - 95</w:t>
      </w:r>
    </w:p>
    <w:p w14:paraId="6563A9C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ОДИНИЧНИЙ КОНСТРУКТОРСЬКИЙ ДОКУМЕНТ</w:t>
      </w:r>
      <w:r w:rsidRPr="000977F7">
        <w:rPr>
          <w:color w:val="auto"/>
          <w:spacing w:val="-2"/>
          <w:sz w:val="20"/>
          <w:szCs w:val="20"/>
        </w:rPr>
        <w:t xml:space="preserve"> </w:t>
      </w:r>
      <w:r w:rsidRPr="000977F7">
        <w:rPr>
          <w:color w:val="auto"/>
          <w:sz w:val="20"/>
          <w:szCs w:val="20"/>
        </w:rPr>
        <w:t>–</w:t>
      </w:r>
    </w:p>
    <w:p w14:paraId="3B74774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Конструкторський документ, у якому містяться дані</w:t>
      </w:r>
      <w:r w:rsidRPr="000977F7">
        <w:rPr>
          <w:rFonts w:asciiTheme="majorHAnsi" w:hAnsiTheme="majorHAnsi"/>
          <w:spacing w:val="1"/>
          <w:sz w:val="20"/>
          <w:szCs w:val="20"/>
        </w:rPr>
        <w:t xml:space="preserve"> </w:t>
      </w:r>
      <w:r w:rsidRPr="000977F7">
        <w:rPr>
          <w:rFonts w:asciiTheme="majorHAnsi" w:hAnsiTheme="majorHAnsi"/>
          <w:sz w:val="20"/>
          <w:szCs w:val="20"/>
        </w:rPr>
        <w:t>про один</w:t>
      </w:r>
      <w:r w:rsidRPr="000977F7">
        <w:rPr>
          <w:rFonts w:asciiTheme="majorHAnsi" w:hAnsiTheme="majorHAnsi"/>
          <w:spacing w:val="-1"/>
          <w:sz w:val="20"/>
          <w:szCs w:val="20"/>
        </w:rPr>
        <w:t xml:space="preserve"> </w:t>
      </w:r>
      <w:r w:rsidRPr="000977F7">
        <w:rPr>
          <w:rFonts w:asciiTheme="majorHAnsi" w:hAnsiTheme="majorHAnsi"/>
          <w:sz w:val="20"/>
          <w:szCs w:val="20"/>
        </w:rPr>
        <w:t>виріб</w:t>
      </w:r>
    </w:p>
    <w:p w14:paraId="7E10508E"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3321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xml:space="preserve">– </w:t>
      </w:r>
      <w:r w:rsidRPr="004D2D14">
        <w:rPr>
          <w:rFonts w:asciiTheme="majorHAnsi" w:hAnsiTheme="majorHAnsi"/>
          <w:sz w:val="20"/>
          <w:szCs w:val="20"/>
          <w:lang w:val="en-US"/>
        </w:rPr>
        <w:t>2003</w:t>
      </w:r>
    </w:p>
    <w:p w14:paraId="52EF442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ОДИНИЧНИЙ</w:t>
      </w:r>
      <w:r w:rsidRPr="000977F7">
        <w:rPr>
          <w:color w:val="auto"/>
          <w:spacing w:val="-5"/>
          <w:sz w:val="20"/>
          <w:szCs w:val="20"/>
        </w:rPr>
        <w:t xml:space="preserve"> </w:t>
      </w:r>
      <w:r w:rsidRPr="000977F7">
        <w:rPr>
          <w:color w:val="auto"/>
          <w:sz w:val="20"/>
          <w:szCs w:val="20"/>
        </w:rPr>
        <w:t>ПОКАЗНИК</w:t>
      </w:r>
      <w:r w:rsidRPr="000977F7">
        <w:rPr>
          <w:color w:val="auto"/>
          <w:spacing w:val="-7"/>
          <w:sz w:val="20"/>
          <w:szCs w:val="20"/>
        </w:rPr>
        <w:t xml:space="preserve"> </w:t>
      </w:r>
      <w:r w:rsidRPr="000977F7">
        <w:rPr>
          <w:color w:val="auto"/>
          <w:sz w:val="20"/>
          <w:szCs w:val="20"/>
        </w:rPr>
        <w:t>НАДІЙНОСТІ –</w:t>
      </w:r>
    </w:p>
    <w:p w14:paraId="4016940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SIMPLE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DEPENDABILITY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MEASURE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3D391CFE" w14:textId="77777777" w:rsidR="0097612F" w:rsidRPr="000977F7" w:rsidRDefault="0097612F" w:rsidP="000977F7">
      <w:pPr>
        <w:pStyle w:val="af6"/>
        <w:tabs>
          <w:tab w:val="left" w:pos="284"/>
        </w:tabs>
        <w:spacing w:after="0"/>
        <w:ind w:left="170"/>
        <w:mirrorIndents/>
        <w:jc w:val="both"/>
        <w:rPr>
          <w:rFonts w:asciiTheme="majorHAnsi" w:hAnsiTheme="majorHAnsi"/>
          <w:spacing w:val="-3"/>
          <w:sz w:val="20"/>
          <w:szCs w:val="20"/>
        </w:rPr>
      </w:pPr>
      <w:r w:rsidRPr="000977F7">
        <w:rPr>
          <w:rFonts w:asciiTheme="majorHAnsi" w:hAnsiTheme="majorHAnsi"/>
          <w:spacing w:val="-1"/>
          <w:sz w:val="20"/>
          <w:szCs w:val="20"/>
        </w:rPr>
        <w:t>Показник</w:t>
      </w:r>
      <w:r w:rsidRPr="000977F7">
        <w:rPr>
          <w:rFonts w:asciiTheme="majorHAnsi" w:hAnsiTheme="majorHAnsi"/>
          <w:spacing w:val="-11"/>
          <w:sz w:val="20"/>
          <w:szCs w:val="20"/>
        </w:rPr>
        <w:t xml:space="preserve"> </w:t>
      </w:r>
      <w:r w:rsidRPr="000977F7">
        <w:rPr>
          <w:rFonts w:asciiTheme="majorHAnsi" w:hAnsiTheme="majorHAnsi"/>
          <w:spacing w:val="-1"/>
          <w:sz w:val="20"/>
          <w:szCs w:val="20"/>
        </w:rPr>
        <w:t>надійності,</w:t>
      </w:r>
      <w:r w:rsidRPr="000977F7">
        <w:rPr>
          <w:rFonts w:asciiTheme="majorHAnsi" w:hAnsiTheme="majorHAnsi"/>
          <w:spacing w:val="-10"/>
          <w:sz w:val="20"/>
          <w:szCs w:val="20"/>
        </w:rPr>
        <w:t xml:space="preserve"> </w:t>
      </w:r>
      <w:r w:rsidRPr="000977F7">
        <w:rPr>
          <w:rFonts w:asciiTheme="majorHAnsi" w:hAnsiTheme="majorHAnsi"/>
          <w:spacing w:val="-1"/>
          <w:sz w:val="20"/>
          <w:szCs w:val="20"/>
        </w:rPr>
        <w:t>що</w:t>
      </w:r>
      <w:r w:rsidRPr="000977F7">
        <w:rPr>
          <w:rFonts w:asciiTheme="majorHAnsi" w:hAnsiTheme="majorHAnsi"/>
          <w:spacing w:val="-7"/>
          <w:sz w:val="20"/>
          <w:szCs w:val="20"/>
        </w:rPr>
        <w:t xml:space="preserve"> </w:t>
      </w:r>
      <w:r w:rsidRPr="000977F7">
        <w:rPr>
          <w:rFonts w:asciiTheme="majorHAnsi" w:hAnsiTheme="majorHAnsi"/>
          <w:spacing w:val="-1"/>
          <w:sz w:val="20"/>
          <w:szCs w:val="20"/>
        </w:rPr>
        <w:t>характеризує</w:t>
      </w:r>
      <w:r w:rsidRPr="000977F7">
        <w:rPr>
          <w:rFonts w:asciiTheme="majorHAnsi" w:hAnsiTheme="majorHAnsi"/>
          <w:spacing w:val="-10"/>
          <w:sz w:val="20"/>
          <w:szCs w:val="20"/>
        </w:rPr>
        <w:t xml:space="preserve"> </w:t>
      </w:r>
      <w:r w:rsidRPr="000977F7">
        <w:rPr>
          <w:rFonts w:asciiTheme="majorHAnsi" w:hAnsiTheme="majorHAnsi"/>
          <w:sz w:val="20"/>
          <w:szCs w:val="20"/>
        </w:rPr>
        <w:t>одну</w:t>
      </w:r>
      <w:r w:rsidRPr="000977F7">
        <w:rPr>
          <w:rFonts w:asciiTheme="majorHAnsi" w:hAnsiTheme="majorHAnsi"/>
          <w:spacing w:val="-11"/>
          <w:sz w:val="20"/>
          <w:szCs w:val="20"/>
        </w:rPr>
        <w:t xml:space="preserve"> </w:t>
      </w:r>
      <w:r w:rsidRPr="000977F7">
        <w:rPr>
          <w:rFonts w:asciiTheme="majorHAnsi" w:hAnsiTheme="majorHAnsi"/>
          <w:sz w:val="20"/>
          <w:szCs w:val="20"/>
        </w:rPr>
        <w:t>із</w:t>
      </w:r>
      <w:r w:rsidRPr="000977F7">
        <w:rPr>
          <w:rFonts w:asciiTheme="majorHAnsi" w:hAnsiTheme="majorHAnsi"/>
          <w:spacing w:val="-10"/>
          <w:sz w:val="20"/>
          <w:szCs w:val="20"/>
        </w:rPr>
        <w:t xml:space="preserve"> </w:t>
      </w:r>
      <w:r w:rsidRPr="000977F7">
        <w:rPr>
          <w:rFonts w:asciiTheme="majorHAnsi" w:hAnsiTheme="majorHAnsi"/>
          <w:sz w:val="20"/>
          <w:szCs w:val="20"/>
        </w:rPr>
        <w:t>тих</w:t>
      </w:r>
      <w:r w:rsidRPr="000977F7">
        <w:rPr>
          <w:rFonts w:asciiTheme="majorHAnsi" w:hAnsiTheme="majorHAnsi"/>
          <w:spacing w:val="-11"/>
          <w:sz w:val="20"/>
          <w:szCs w:val="20"/>
        </w:rPr>
        <w:t xml:space="preserve"> </w:t>
      </w:r>
      <w:r w:rsidRPr="000977F7">
        <w:rPr>
          <w:rFonts w:asciiTheme="majorHAnsi" w:hAnsiTheme="majorHAnsi"/>
          <w:sz w:val="20"/>
          <w:szCs w:val="20"/>
        </w:rPr>
        <w:t>влас</w:t>
      </w:r>
      <w:r w:rsidRPr="000977F7">
        <w:rPr>
          <w:rFonts w:asciiTheme="majorHAnsi" w:hAnsiTheme="majorHAnsi"/>
          <w:spacing w:val="-4"/>
          <w:sz w:val="20"/>
          <w:szCs w:val="20"/>
        </w:rPr>
        <w:t xml:space="preserve">тивостей, які в сукупності складають надійність </w:t>
      </w:r>
      <w:r w:rsidRPr="000977F7">
        <w:rPr>
          <w:rFonts w:asciiTheme="majorHAnsi" w:hAnsiTheme="majorHAnsi"/>
          <w:spacing w:val="-3"/>
          <w:sz w:val="20"/>
          <w:szCs w:val="20"/>
        </w:rPr>
        <w:t>об’єкта</w:t>
      </w:r>
    </w:p>
    <w:p w14:paraId="531A174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AFD262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ОДИНИЧНИЙ</w:t>
      </w:r>
      <w:r w:rsidRPr="000977F7">
        <w:rPr>
          <w:color w:val="auto"/>
          <w:spacing w:val="-4"/>
          <w:sz w:val="20"/>
          <w:szCs w:val="20"/>
        </w:rPr>
        <w:t xml:space="preserve"> </w:t>
      </w:r>
      <w:r w:rsidRPr="000977F7">
        <w:rPr>
          <w:color w:val="auto"/>
          <w:sz w:val="20"/>
          <w:szCs w:val="20"/>
        </w:rPr>
        <w:t>ТЕХНОЛОГІЧНИЙ</w:t>
      </w:r>
      <w:r w:rsidRPr="000977F7">
        <w:rPr>
          <w:color w:val="auto"/>
          <w:spacing w:val="-4"/>
          <w:sz w:val="20"/>
          <w:szCs w:val="20"/>
        </w:rPr>
        <w:t xml:space="preserve"> </w:t>
      </w:r>
      <w:r w:rsidRPr="000977F7">
        <w:rPr>
          <w:color w:val="auto"/>
          <w:sz w:val="20"/>
          <w:szCs w:val="20"/>
        </w:rPr>
        <w:t>ПРОЦЕС</w:t>
      </w:r>
      <w:r w:rsidRPr="000977F7">
        <w:rPr>
          <w:color w:val="auto"/>
          <w:spacing w:val="-3"/>
          <w:sz w:val="20"/>
          <w:szCs w:val="20"/>
        </w:rPr>
        <w:t xml:space="preserve"> </w:t>
      </w:r>
      <w:r w:rsidRPr="000977F7">
        <w:rPr>
          <w:color w:val="auto"/>
          <w:sz w:val="20"/>
          <w:szCs w:val="20"/>
        </w:rPr>
        <w:t>–</w:t>
      </w:r>
    </w:p>
    <w:p w14:paraId="4CACF0E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Технологічний процес виготовлення чи ремонту виробу одного найменування, типорозміру та 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незалежно від</w:t>
      </w:r>
      <w:r w:rsidRPr="000977F7">
        <w:rPr>
          <w:rFonts w:asciiTheme="majorHAnsi" w:hAnsiTheme="majorHAnsi"/>
          <w:spacing w:val="2"/>
          <w:sz w:val="20"/>
          <w:szCs w:val="20"/>
        </w:rPr>
        <w:t xml:space="preserve"> </w:t>
      </w:r>
      <w:r w:rsidRPr="000977F7">
        <w:rPr>
          <w:rFonts w:asciiTheme="majorHAnsi" w:hAnsiTheme="majorHAnsi"/>
          <w:sz w:val="20"/>
          <w:szCs w:val="20"/>
        </w:rPr>
        <w:t>типу</w:t>
      </w:r>
      <w:r w:rsidRPr="000977F7">
        <w:rPr>
          <w:rFonts w:asciiTheme="majorHAnsi" w:hAnsiTheme="majorHAnsi"/>
          <w:spacing w:val="-2"/>
          <w:sz w:val="20"/>
          <w:szCs w:val="20"/>
        </w:rPr>
        <w:t xml:space="preserve"> </w:t>
      </w:r>
      <w:r w:rsidRPr="000977F7">
        <w:rPr>
          <w:rFonts w:asciiTheme="majorHAnsi" w:hAnsiTheme="majorHAnsi"/>
          <w:sz w:val="20"/>
          <w:szCs w:val="20"/>
        </w:rPr>
        <w:t>виробництва</w:t>
      </w:r>
    </w:p>
    <w:p w14:paraId="21A2556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6BB37D4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ОДНАКОВЕ</w:t>
      </w:r>
      <w:r w:rsidRPr="000977F7">
        <w:rPr>
          <w:color w:val="auto"/>
          <w:spacing w:val="-5"/>
          <w:sz w:val="20"/>
          <w:szCs w:val="20"/>
        </w:rPr>
        <w:t xml:space="preserve"> </w:t>
      </w:r>
      <w:r w:rsidRPr="000977F7">
        <w:rPr>
          <w:color w:val="auto"/>
          <w:sz w:val="20"/>
          <w:szCs w:val="20"/>
        </w:rPr>
        <w:t>СТАВЛЕННЯ</w:t>
      </w:r>
      <w:r w:rsidRPr="000977F7">
        <w:rPr>
          <w:color w:val="auto"/>
          <w:spacing w:val="-2"/>
          <w:sz w:val="20"/>
          <w:szCs w:val="20"/>
        </w:rPr>
        <w:t xml:space="preserve"> </w:t>
      </w:r>
      <w:r w:rsidRPr="000977F7">
        <w:rPr>
          <w:color w:val="auto"/>
          <w:sz w:val="20"/>
          <w:szCs w:val="20"/>
        </w:rPr>
        <w:t>–</w:t>
      </w:r>
    </w:p>
    <w:p w14:paraId="5FD9E8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EQUAL</w:t>
      </w:r>
      <w:r w:rsidRPr="000977F7">
        <w:rPr>
          <w:rFonts w:asciiTheme="majorHAnsi" w:hAnsiTheme="majorHAnsi"/>
          <w:spacing w:val="-2"/>
          <w:sz w:val="20"/>
          <w:szCs w:val="20"/>
        </w:rPr>
        <w:t xml:space="preserve"> </w:t>
      </w:r>
      <w:r w:rsidRPr="000977F7">
        <w:rPr>
          <w:rFonts w:asciiTheme="majorHAnsi" w:hAnsiTheme="majorHAnsi"/>
          <w:sz w:val="20"/>
          <w:szCs w:val="20"/>
        </w:rPr>
        <w:t>TREATMENT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5B3C3B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Ставлення, виявлене до продукції, процесів чи послуг</w:t>
      </w:r>
      <w:r w:rsidRPr="000977F7">
        <w:rPr>
          <w:rFonts w:asciiTheme="majorHAnsi" w:hAnsiTheme="majorHAnsi"/>
          <w:spacing w:val="1"/>
          <w:sz w:val="20"/>
          <w:szCs w:val="20"/>
        </w:rPr>
        <w:t xml:space="preserve"> </w:t>
      </w:r>
      <w:r w:rsidRPr="000977F7">
        <w:rPr>
          <w:rFonts w:asciiTheme="majorHAnsi" w:hAnsiTheme="majorHAnsi"/>
          <w:sz w:val="20"/>
          <w:szCs w:val="20"/>
        </w:rPr>
        <w:t>однієї сторони, яке в аналогічній ситуації є не менш</w:t>
      </w:r>
      <w:r w:rsidRPr="000977F7">
        <w:rPr>
          <w:rFonts w:asciiTheme="majorHAnsi" w:hAnsiTheme="majorHAnsi"/>
          <w:spacing w:val="1"/>
          <w:sz w:val="20"/>
          <w:szCs w:val="20"/>
        </w:rPr>
        <w:t xml:space="preserve"> </w:t>
      </w:r>
      <w:r w:rsidRPr="000977F7">
        <w:rPr>
          <w:rFonts w:asciiTheme="majorHAnsi" w:hAnsiTheme="majorHAnsi"/>
          <w:sz w:val="20"/>
          <w:szCs w:val="20"/>
        </w:rPr>
        <w:t>сприятливим</w:t>
      </w:r>
      <w:r w:rsidRPr="000977F7">
        <w:rPr>
          <w:rFonts w:asciiTheme="majorHAnsi" w:hAnsiTheme="majorHAnsi"/>
          <w:spacing w:val="1"/>
          <w:sz w:val="20"/>
          <w:szCs w:val="20"/>
        </w:rPr>
        <w:t xml:space="preserve"> </w:t>
      </w:r>
      <w:r w:rsidRPr="000977F7">
        <w:rPr>
          <w:rFonts w:asciiTheme="majorHAnsi" w:hAnsiTheme="majorHAnsi"/>
          <w:sz w:val="20"/>
          <w:szCs w:val="20"/>
        </w:rPr>
        <w:t>ніж</w:t>
      </w:r>
      <w:r w:rsidRPr="000977F7">
        <w:rPr>
          <w:rFonts w:asciiTheme="majorHAnsi" w:hAnsiTheme="majorHAnsi"/>
          <w:spacing w:val="1"/>
          <w:sz w:val="20"/>
          <w:szCs w:val="20"/>
        </w:rPr>
        <w:t xml:space="preserve"> </w:t>
      </w:r>
      <w:r w:rsidRPr="000977F7">
        <w:rPr>
          <w:rFonts w:asciiTheme="majorHAnsi" w:hAnsiTheme="majorHAnsi"/>
          <w:sz w:val="20"/>
          <w:szCs w:val="20"/>
        </w:rPr>
        <w:t>виявлене</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подібних</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r w:rsidRPr="000977F7">
        <w:rPr>
          <w:rFonts w:asciiTheme="majorHAnsi" w:hAnsiTheme="majorHAnsi"/>
          <w:spacing w:val="-2"/>
          <w:sz w:val="20"/>
          <w:szCs w:val="20"/>
        </w:rPr>
        <w:t xml:space="preserve"> </w:t>
      </w:r>
      <w:r w:rsidRPr="000977F7">
        <w:rPr>
          <w:rFonts w:asciiTheme="majorHAnsi" w:hAnsiTheme="majorHAnsi"/>
          <w:sz w:val="20"/>
          <w:szCs w:val="20"/>
        </w:rPr>
        <w:t>чи послуг</w:t>
      </w:r>
      <w:r w:rsidRPr="000977F7">
        <w:rPr>
          <w:rFonts w:asciiTheme="majorHAnsi" w:hAnsiTheme="majorHAnsi"/>
          <w:spacing w:val="-1"/>
          <w:sz w:val="20"/>
          <w:szCs w:val="20"/>
        </w:rPr>
        <w:t xml:space="preserve"> </w:t>
      </w:r>
      <w:r w:rsidRPr="000977F7">
        <w:rPr>
          <w:rFonts w:asciiTheme="majorHAnsi" w:hAnsiTheme="majorHAnsi"/>
          <w:sz w:val="20"/>
          <w:szCs w:val="20"/>
        </w:rPr>
        <w:t>будь –</w:t>
      </w:r>
      <w:r w:rsidRPr="000977F7">
        <w:rPr>
          <w:rFonts w:asciiTheme="majorHAnsi" w:hAnsiTheme="majorHAnsi"/>
          <w:spacing w:val="2"/>
          <w:sz w:val="20"/>
          <w:szCs w:val="20"/>
        </w:rPr>
        <w:t xml:space="preserve"> </w:t>
      </w:r>
      <w:r w:rsidRPr="000977F7">
        <w:rPr>
          <w:rFonts w:asciiTheme="majorHAnsi" w:hAnsiTheme="majorHAnsi"/>
          <w:sz w:val="20"/>
          <w:szCs w:val="20"/>
        </w:rPr>
        <w:t>якої</w:t>
      </w:r>
      <w:r w:rsidRPr="000977F7">
        <w:rPr>
          <w:rFonts w:asciiTheme="majorHAnsi" w:hAnsiTheme="majorHAnsi"/>
          <w:spacing w:val="-2"/>
          <w:sz w:val="20"/>
          <w:szCs w:val="20"/>
        </w:rPr>
        <w:t xml:space="preserve"> </w:t>
      </w:r>
      <w:r w:rsidRPr="000977F7">
        <w:rPr>
          <w:rFonts w:asciiTheme="majorHAnsi" w:hAnsiTheme="majorHAnsi"/>
          <w:sz w:val="20"/>
          <w:szCs w:val="20"/>
        </w:rPr>
        <w:t>інші</w:t>
      </w:r>
      <w:r w:rsidRPr="000977F7">
        <w:rPr>
          <w:rFonts w:asciiTheme="majorHAnsi" w:hAnsiTheme="majorHAnsi"/>
          <w:spacing w:val="-1"/>
          <w:sz w:val="20"/>
          <w:szCs w:val="20"/>
        </w:rPr>
        <w:t xml:space="preserve"> </w:t>
      </w:r>
      <w:r w:rsidRPr="000977F7">
        <w:rPr>
          <w:rFonts w:asciiTheme="majorHAnsi" w:hAnsiTheme="majorHAnsi"/>
          <w:sz w:val="20"/>
          <w:szCs w:val="20"/>
        </w:rPr>
        <w:t>сторони</w:t>
      </w:r>
    </w:p>
    <w:p w14:paraId="1C677F4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 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498B553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ОДНОВИМІРНИЙ</w:t>
      </w:r>
      <w:r w:rsidRPr="000977F7">
        <w:rPr>
          <w:color w:val="auto"/>
          <w:spacing w:val="-6"/>
          <w:sz w:val="20"/>
          <w:szCs w:val="20"/>
        </w:rPr>
        <w:t xml:space="preserve"> </w:t>
      </w:r>
      <w:r w:rsidRPr="000977F7">
        <w:rPr>
          <w:color w:val="auto"/>
          <w:sz w:val="20"/>
          <w:szCs w:val="20"/>
        </w:rPr>
        <w:t>ОБ’ЄКТ</w:t>
      </w:r>
      <w:r w:rsidRPr="000977F7">
        <w:rPr>
          <w:color w:val="auto"/>
          <w:spacing w:val="-6"/>
          <w:sz w:val="20"/>
          <w:szCs w:val="20"/>
        </w:rPr>
        <w:t xml:space="preserve"> </w:t>
      </w:r>
      <w:r w:rsidRPr="000977F7">
        <w:rPr>
          <w:color w:val="auto"/>
          <w:sz w:val="20"/>
          <w:szCs w:val="20"/>
        </w:rPr>
        <w:t>КЕРУВАННЯ</w:t>
      </w:r>
      <w:r w:rsidRPr="000977F7">
        <w:rPr>
          <w:color w:val="auto"/>
          <w:spacing w:val="-1"/>
          <w:sz w:val="20"/>
          <w:szCs w:val="20"/>
        </w:rPr>
        <w:t xml:space="preserve"> </w:t>
      </w:r>
      <w:r w:rsidRPr="000977F7">
        <w:rPr>
          <w:color w:val="auto"/>
          <w:sz w:val="20"/>
          <w:szCs w:val="20"/>
        </w:rPr>
        <w:t>–</w:t>
      </w:r>
    </w:p>
    <w:p w14:paraId="0150C0D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ONE</w:t>
      </w:r>
      <w:r w:rsidRPr="004D2D14">
        <w:rPr>
          <w:rFonts w:asciiTheme="majorHAnsi" w:hAnsiTheme="majorHAnsi"/>
          <w:sz w:val="20"/>
          <w:szCs w:val="20"/>
          <w:lang w:val="uk-UA"/>
        </w:rPr>
        <w:t>-</w:t>
      </w:r>
      <w:r w:rsidRPr="000977F7">
        <w:rPr>
          <w:rFonts w:asciiTheme="majorHAnsi" w:hAnsiTheme="majorHAnsi"/>
          <w:sz w:val="20"/>
          <w:szCs w:val="20"/>
        </w:rPr>
        <w:t>DIMENTIONAL</w:t>
      </w:r>
      <w:r w:rsidRPr="004D2D14">
        <w:rPr>
          <w:rFonts w:asciiTheme="majorHAnsi" w:hAnsiTheme="majorHAnsi"/>
          <w:spacing w:val="-2"/>
          <w:sz w:val="20"/>
          <w:szCs w:val="20"/>
          <w:lang w:val="uk-UA"/>
        </w:rPr>
        <w:t xml:space="preserve"> </w:t>
      </w:r>
      <w:r w:rsidRPr="000977F7">
        <w:rPr>
          <w:rFonts w:asciiTheme="majorHAnsi" w:hAnsiTheme="majorHAnsi"/>
          <w:sz w:val="20"/>
          <w:szCs w:val="20"/>
        </w:rPr>
        <w:t>CONTROLLED</w:t>
      </w:r>
      <w:r w:rsidRPr="004D2D14">
        <w:rPr>
          <w:rFonts w:asciiTheme="majorHAnsi" w:hAnsiTheme="majorHAnsi"/>
          <w:spacing w:val="-3"/>
          <w:sz w:val="20"/>
          <w:szCs w:val="20"/>
          <w:lang w:val="uk-UA"/>
        </w:rPr>
        <w:t xml:space="preserve"> </w:t>
      </w:r>
      <w:r w:rsidRPr="000977F7">
        <w:rPr>
          <w:rFonts w:asciiTheme="majorHAnsi" w:hAnsiTheme="majorHAnsi"/>
          <w:sz w:val="20"/>
          <w:szCs w:val="20"/>
        </w:rPr>
        <w:t>OBJECT</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p>
    <w:p w14:paraId="1203229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Об’єкт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керування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одним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керованим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параметром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одним керованим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діянням</w:t>
      </w:r>
    </w:p>
    <w:p w14:paraId="1D51F76F"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3956 - 2000</w:t>
      </w:r>
    </w:p>
    <w:p w14:paraId="6C8E2BB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ОДНОЗВ’ЯЗАНИЙ</w:t>
      </w:r>
      <w:r w:rsidRPr="000977F7">
        <w:rPr>
          <w:color w:val="auto"/>
          <w:spacing w:val="-5"/>
          <w:sz w:val="20"/>
          <w:szCs w:val="20"/>
        </w:rPr>
        <w:t xml:space="preserve"> </w:t>
      </w:r>
      <w:r w:rsidRPr="000977F7">
        <w:rPr>
          <w:color w:val="auto"/>
          <w:sz w:val="20"/>
          <w:szCs w:val="20"/>
        </w:rPr>
        <w:t>ОБ’ЄКТ</w:t>
      </w:r>
      <w:r w:rsidRPr="000977F7">
        <w:rPr>
          <w:color w:val="auto"/>
          <w:spacing w:val="-6"/>
          <w:sz w:val="20"/>
          <w:szCs w:val="20"/>
        </w:rPr>
        <w:t xml:space="preserve"> </w:t>
      </w:r>
      <w:r w:rsidRPr="000977F7">
        <w:rPr>
          <w:color w:val="auto"/>
          <w:sz w:val="20"/>
          <w:szCs w:val="20"/>
        </w:rPr>
        <w:t>КЕРУВАННЯ</w:t>
      </w:r>
      <w:r w:rsidRPr="000977F7">
        <w:rPr>
          <w:color w:val="auto"/>
          <w:spacing w:val="-2"/>
          <w:sz w:val="20"/>
          <w:szCs w:val="20"/>
        </w:rPr>
        <w:t xml:space="preserve"> </w:t>
      </w:r>
      <w:r w:rsidRPr="000977F7">
        <w:rPr>
          <w:color w:val="auto"/>
          <w:sz w:val="20"/>
          <w:szCs w:val="20"/>
        </w:rPr>
        <w:t>–</w:t>
      </w:r>
    </w:p>
    <w:p w14:paraId="2530BBA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SINGLE-LOOP</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CONTROLLED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OBJECT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599BCA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Багатовимірний</w:t>
      </w:r>
      <w:r w:rsidRPr="000977F7">
        <w:rPr>
          <w:rFonts w:asciiTheme="majorHAnsi" w:hAnsiTheme="majorHAnsi"/>
          <w:spacing w:val="1"/>
          <w:sz w:val="20"/>
          <w:szCs w:val="20"/>
        </w:rPr>
        <w:t xml:space="preserve"> </w:t>
      </w:r>
      <w:r w:rsidRPr="000977F7">
        <w:rPr>
          <w:rFonts w:asciiTheme="majorHAnsi" w:hAnsiTheme="majorHAnsi"/>
          <w:sz w:val="20"/>
          <w:szCs w:val="20"/>
        </w:rPr>
        <w:t>об’єкт</w:t>
      </w:r>
      <w:r w:rsidRPr="000977F7">
        <w:rPr>
          <w:rFonts w:asciiTheme="majorHAnsi" w:hAnsiTheme="majorHAnsi"/>
          <w:spacing w:val="1"/>
          <w:sz w:val="20"/>
          <w:szCs w:val="20"/>
        </w:rPr>
        <w:t xml:space="preserve"> </w:t>
      </w:r>
      <w:r w:rsidRPr="000977F7">
        <w:rPr>
          <w:rFonts w:asciiTheme="majorHAnsi" w:hAnsiTheme="majorHAnsi"/>
          <w:sz w:val="20"/>
          <w:szCs w:val="20"/>
        </w:rPr>
        <w:t>керування,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якому</w:t>
      </w:r>
      <w:r w:rsidRPr="000977F7">
        <w:rPr>
          <w:rFonts w:asciiTheme="majorHAnsi" w:hAnsiTheme="majorHAnsi"/>
          <w:spacing w:val="1"/>
          <w:sz w:val="20"/>
          <w:szCs w:val="20"/>
        </w:rPr>
        <w:t xml:space="preserve"> </w:t>
      </w:r>
      <w:r w:rsidRPr="000977F7">
        <w:rPr>
          <w:rFonts w:asciiTheme="majorHAnsi" w:hAnsiTheme="majorHAnsi"/>
          <w:sz w:val="20"/>
          <w:szCs w:val="20"/>
        </w:rPr>
        <w:t>кожний</w:t>
      </w:r>
      <w:r w:rsidRPr="000977F7">
        <w:rPr>
          <w:rFonts w:asciiTheme="majorHAnsi" w:hAnsiTheme="majorHAnsi"/>
          <w:spacing w:val="1"/>
          <w:sz w:val="20"/>
          <w:szCs w:val="20"/>
        </w:rPr>
        <w:t xml:space="preserve"> </w:t>
      </w:r>
      <w:r w:rsidRPr="000977F7">
        <w:rPr>
          <w:rFonts w:asciiTheme="majorHAnsi" w:hAnsiTheme="majorHAnsi"/>
          <w:sz w:val="20"/>
          <w:szCs w:val="20"/>
        </w:rPr>
        <w:t>керований параметр залежить тільки від одного керованого діяння</w:t>
      </w:r>
    </w:p>
    <w:p w14:paraId="48B6C86F"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2391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2010</w:t>
      </w:r>
    </w:p>
    <w:p w14:paraId="2734272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ОДНОПАРАМЕТРИЧНЕ</w:t>
      </w:r>
      <w:r w:rsidRPr="000977F7">
        <w:rPr>
          <w:color w:val="auto"/>
          <w:spacing w:val="-6"/>
          <w:sz w:val="20"/>
          <w:szCs w:val="20"/>
        </w:rPr>
        <w:t xml:space="preserve"> </w:t>
      </w:r>
      <w:r w:rsidRPr="000977F7">
        <w:rPr>
          <w:color w:val="auto"/>
          <w:sz w:val="20"/>
          <w:szCs w:val="20"/>
        </w:rPr>
        <w:t>ДІЯННЯ</w:t>
      </w:r>
      <w:r w:rsidRPr="000977F7">
        <w:rPr>
          <w:color w:val="auto"/>
          <w:spacing w:val="-2"/>
          <w:sz w:val="20"/>
          <w:szCs w:val="20"/>
        </w:rPr>
        <w:t xml:space="preserve"> </w:t>
      </w:r>
      <w:r w:rsidRPr="000977F7">
        <w:rPr>
          <w:color w:val="auto"/>
          <w:sz w:val="20"/>
          <w:szCs w:val="20"/>
        </w:rPr>
        <w:t>–</w:t>
      </w:r>
    </w:p>
    <w:p w14:paraId="16CF2BC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MONOPARAMETRICAL</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ACTION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4CE7F7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Діяння,</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має</w:t>
      </w:r>
      <w:r w:rsidRPr="000977F7">
        <w:rPr>
          <w:rFonts w:asciiTheme="majorHAnsi" w:hAnsiTheme="majorHAnsi"/>
          <w:spacing w:val="-1"/>
          <w:sz w:val="20"/>
          <w:szCs w:val="20"/>
        </w:rPr>
        <w:t xml:space="preserve"> </w:t>
      </w:r>
      <w:r w:rsidRPr="000977F7">
        <w:rPr>
          <w:rFonts w:asciiTheme="majorHAnsi" w:hAnsiTheme="majorHAnsi"/>
          <w:sz w:val="20"/>
          <w:szCs w:val="20"/>
        </w:rPr>
        <w:t>один</w:t>
      </w:r>
      <w:r w:rsidRPr="000977F7">
        <w:rPr>
          <w:rFonts w:asciiTheme="majorHAnsi" w:hAnsiTheme="majorHAnsi"/>
          <w:spacing w:val="-3"/>
          <w:sz w:val="20"/>
          <w:szCs w:val="20"/>
        </w:rPr>
        <w:t xml:space="preserve"> </w:t>
      </w:r>
      <w:r w:rsidRPr="000977F7">
        <w:rPr>
          <w:rFonts w:asciiTheme="majorHAnsi" w:hAnsiTheme="majorHAnsi"/>
          <w:sz w:val="20"/>
          <w:szCs w:val="20"/>
        </w:rPr>
        <w:t>основний</w:t>
      </w:r>
      <w:r w:rsidRPr="000977F7">
        <w:rPr>
          <w:rFonts w:asciiTheme="majorHAnsi" w:hAnsiTheme="majorHAnsi"/>
          <w:spacing w:val="-1"/>
          <w:sz w:val="20"/>
          <w:szCs w:val="20"/>
        </w:rPr>
        <w:t xml:space="preserve"> </w:t>
      </w:r>
      <w:r w:rsidRPr="000977F7">
        <w:rPr>
          <w:rFonts w:asciiTheme="majorHAnsi" w:hAnsiTheme="majorHAnsi"/>
          <w:sz w:val="20"/>
          <w:szCs w:val="20"/>
        </w:rPr>
        <w:t>параметр</w:t>
      </w:r>
    </w:p>
    <w:p w14:paraId="20FD488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2391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2010</w:t>
      </w:r>
    </w:p>
    <w:p w14:paraId="2FD461B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ОДНОПАРАМЕТРИЧНИЙ</w:t>
      </w:r>
      <w:r w:rsidRPr="000977F7">
        <w:rPr>
          <w:color w:val="auto"/>
          <w:spacing w:val="-5"/>
          <w:sz w:val="20"/>
          <w:szCs w:val="20"/>
        </w:rPr>
        <w:t xml:space="preserve"> </w:t>
      </w:r>
      <w:r w:rsidRPr="000977F7">
        <w:rPr>
          <w:color w:val="auto"/>
          <w:sz w:val="20"/>
          <w:szCs w:val="20"/>
        </w:rPr>
        <w:t>СИГНАЛ</w:t>
      </w:r>
      <w:r w:rsidRPr="000977F7">
        <w:rPr>
          <w:color w:val="auto"/>
          <w:spacing w:val="-1"/>
          <w:sz w:val="20"/>
          <w:szCs w:val="20"/>
        </w:rPr>
        <w:t xml:space="preserve"> </w:t>
      </w:r>
      <w:r w:rsidRPr="000977F7">
        <w:rPr>
          <w:color w:val="auto"/>
          <w:sz w:val="20"/>
          <w:szCs w:val="20"/>
        </w:rPr>
        <w:t>–</w:t>
      </w:r>
    </w:p>
    <w:p w14:paraId="01B6BC2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SINGLE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-PARAMETRIC</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SIGNAL</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5A5CB68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w w:val="95"/>
          <w:sz w:val="20"/>
          <w:szCs w:val="20"/>
        </w:rPr>
        <w:t>Сигнал, що</w:t>
      </w:r>
      <w:r w:rsidRPr="000977F7">
        <w:rPr>
          <w:rFonts w:asciiTheme="majorHAnsi" w:hAnsiTheme="majorHAnsi"/>
          <w:spacing w:val="4"/>
          <w:w w:val="95"/>
          <w:sz w:val="20"/>
          <w:szCs w:val="20"/>
        </w:rPr>
        <w:t xml:space="preserve"> </w:t>
      </w:r>
      <w:r w:rsidRPr="000977F7">
        <w:rPr>
          <w:rFonts w:asciiTheme="majorHAnsi" w:hAnsiTheme="majorHAnsi"/>
          <w:w w:val="95"/>
          <w:sz w:val="20"/>
          <w:szCs w:val="20"/>
        </w:rPr>
        <w:t>має одну</w:t>
      </w:r>
      <w:r w:rsidRPr="000977F7">
        <w:rPr>
          <w:rFonts w:asciiTheme="majorHAnsi" w:hAnsiTheme="majorHAnsi"/>
          <w:spacing w:val="2"/>
          <w:w w:val="95"/>
          <w:sz w:val="20"/>
          <w:szCs w:val="20"/>
        </w:rPr>
        <w:t xml:space="preserve"> </w:t>
      </w:r>
      <w:r w:rsidRPr="000977F7">
        <w:rPr>
          <w:rFonts w:asciiTheme="majorHAnsi" w:hAnsiTheme="majorHAnsi"/>
          <w:w w:val="95"/>
          <w:sz w:val="20"/>
          <w:szCs w:val="20"/>
        </w:rPr>
        <w:t>інформативну</w:t>
      </w:r>
      <w:r w:rsidRPr="000977F7">
        <w:rPr>
          <w:rFonts w:asciiTheme="majorHAnsi" w:hAnsiTheme="majorHAnsi"/>
          <w:spacing w:val="-2"/>
          <w:w w:val="95"/>
          <w:sz w:val="20"/>
          <w:szCs w:val="20"/>
        </w:rPr>
        <w:t xml:space="preserve"> </w:t>
      </w:r>
      <w:r w:rsidRPr="000977F7">
        <w:rPr>
          <w:rFonts w:asciiTheme="majorHAnsi" w:hAnsiTheme="majorHAnsi"/>
          <w:w w:val="95"/>
          <w:sz w:val="20"/>
          <w:szCs w:val="20"/>
        </w:rPr>
        <w:t>ознаку</w:t>
      </w:r>
      <w:r w:rsidRPr="000977F7">
        <w:rPr>
          <w:rFonts w:asciiTheme="majorHAnsi" w:hAnsiTheme="majorHAnsi"/>
          <w:spacing w:val="-2"/>
          <w:w w:val="95"/>
          <w:sz w:val="20"/>
          <w:szCs w:val="20"/>
        </w:rPr>
        <w:t xml:space="preserve"> </w:t>
      </w:r>
      <w:r w:rsidRPr="000977F7">
        <w:rPr>
          <w:rFonts w:asciiTheme="majorHAnsi" w:hAnsiTheme="majorHAnsi"/>
          <w:w w:val="95"/>
          <w:sz w:val="20"/>
          <w:szCs w:val="20"/>
        </w:rPr>
        <w:t>або</w:t>
      </w:r>
      <w:r w:rsidRPr="000977F7">
        <w:rPr>
          <w:rFonts w:asciiTheme="majorHAnsi" w:hAnsiTheme="majorHAnsi"/>
          <w:spacing w:val="4"/>
          <w:w w:val="95"/>
          <w:sz w:val="20"/>
          <w:szCs w:val="20"/>
        </w:rPr>
        <w:t xml:space="preserve"> </w:t>
      </w:r>
      <w:r w:rsidRPr="000977F7">
        <w:rPr>
          <w:rFonts w:asciiTheme="majorHAnsi" w:hAnsiTheme="majorHAnsi"/>
          <w:w w:val="95"/>
          <w:sz w:val="20"/>
          <w:szCs w:val="20"/>
        </w:rPr>
        <w:t>параметр</w:t>
      </w:r>
    </w:p>
    <w:p w14:paraId="31D31FC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0B76F1C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ОДНОРАЗОВА</w:t>
      </w:r>
      <w:r w:rsidRPr="000977F7">
        <w:rPr>
          <w:color w:val="auto"/>
          <w:spacing w:val="-4"/>
          <w:sz w:val="20"/>
          <w:szCs w:val="20"/>
        </w:rPr>
        <w:t xml:space="preserve"> </w:t>
      </w:r>
      <w:r w:rsidRPr="000977F7">
        <w:rPr>
          <w:color w:val="auto"/>
          <w:sz w:val="20"/>
          <w:szCs w:val="20"/>
        </w:rPr>
        <w:t>ЗМІНА</w:t>
      </w:r>
      <w:r w:rsidRPr="000977F7">
        <w:rPr>
          <w:color w:val="auto"/>
          <w:spacing w:val="-3"/>
          <w:sz w:val="20"/>
          <w:szCs w:val="20"/>
        </w:rPr>
        <w:t xml:space="preserve"> </w:t>
      </w:r>
      <w:r w:rsidRPr="000977F7">
        <w:rPr>
          <w:color w:val="auto"/>
          <w:sz w:val="20"/>
          <w:szCs w:val="20"/>
        </w:rPr>
        <w:t>НАПРУГИ</w:t>
      </w:r>
      <w:r w:rsidRPr="000977F7">
        <w:rPr>
          <w:color w:val="auto"/>
          <w:spacing w:val="-1"/>
          <w:sz w:val="20"/>
          <w:szCs w:val="20"/>
        </w:rPr>
        <w:t xml:space="preserve"> </w:t>
      </w:r>
      <w:r w:rsidRPr="000977F7">
        <w:rPr>
          <w:color w:val="auto"/>
          <w:sz w:val="20"/>
          <w:szCs w:val="20"/>
        </w:rPr>
        <w:t>–</w:t>
      </w:r>
    </w:p>
    <w:p w14:paraId="6D25587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Зміна дійового чи амплітудного значення напруги між</w:t>
      </w:r>
      <w:r w:rsidRPr="000977F7">
        <w:rPr>
          <w:rFonts w:asciiTheme="majorHAnsi" w:hAnsiTheme="majorHAnsi"/>
          <w:spacing w:val="-47"/>
          <w:sz w:val="20"/>
          <w:szCs w:val="20"/>
        </w:rPr>
        <w:t xml:space="preserve"> </w:t>
      </w:r>
      <w:r w:rsidRPr="000977F7">
        <w:rPr>
          <w:rFonts w:asciiTheme="majorHAnsi" w:hAnsiTheme="majorHAnsi"/>
          <w:sz w:val="20"/>
          <w:szCs w:val="20"/>
        </w:rPr>
        <w:t>двома суміжними рівнями, кожний із яких існує певний час, чи між двома суміжними екстремумами обвідної дійових чи амплітудних значень напруги і утримуваним певний</w:t>
      </w:r>
      <w:r w:rsidRPr="000977F7">
        <w:rPr>
          <w:rFonts w:asciiTheme="majorHAnsi" w:hAnsiTheme="majorHAnsi"/>
          <w:spacing w:val="-1"/>
          <w:sz w:val="20"/>
          <w:szCs w:val="20"/>
        </w:rPr>
        <w:t xml:space="preserve"> </w:t>
      </w:r>
      <w:r w:rsidRPr="000977F7">
        <w:rPr>
          <w:rFonts w:asciiTheme="majorHAnsi" w:hAnsiTheme="majorHAnsi"/>
          <w:sz w:val="20"/>
          <w:szCs w:val="20"/>
        </w:rPr>
        <w:t>час рівнем</w:t>
      </w:r>
    </w:p>
    <w:p w14:paraId="4CC0E2B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1EC76E5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ОДНОРІДНА</w:t>
      </w:r>
      <w:r w:rsidRPr="000977F7">
        <w:rPr>
          <w:color w:val="auto"/>
          <w:spacing w:val="-4"/>
          <w:sz w:val="20"/>
          <w:szCs w:val="20"/>
        </w:rPr>
        <w:t xml:space="preserve"> </w:t>
      </w:r>
      <w:r w:rsidRPr="000977F7">
        <w:rPr>
          <w:color w:val="auto"/>
          <w:sz w:val="20"/>
          <w:szCs w:val="20"/>
        </w:rPr>
        <w:t>ДЕФОРМАЦІЯ</w:t>
      </w:r>
      <w:r w:rsidRPr="000977F7">
        <w:rPr>
          <w:color w:val="auto"/>
          <w:spacing w:val="-1"/>
          <w:sz w:val="20"/>
          <w:szCs w:val="20"/>
        </w:rPr>
        <w:t xml:space="preserve"> </w:t>
      </w:r>
      <w:r w:rsidRPr="000977F7">
        <w:rPr>
          <w:color w:val="auto"/>
          <w:sz w:val="20"/>
          <w:szCs w:val="20"/>
        </w:rPr>
        <w:t>–</w:t>
      </w:r>
    </w:p>
    <w:p w14:paraId="63E1A9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UNIFORM STRAIN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632B753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Деформований стан, однаковий в усіх точках тіла в</w:t>
      </w:r>
      <w:r w:rsidRPr="000977F7">
        <w:rPr>
          <w:rFonts w:asciiTheme="majorHAnsi" w:hAnsiTheme="majorHAnsi"/>
          <w:spacing w:val="1"/>
          <w:sz w:val="20"/>
          <w:szCs w:val="20"/>
        </w:rPr>
        <w:t xml:space="preserve"> </w:t>
      </w:r>
      <w:r w:rsidRPr="000977F7">
        <w:rPr>
          <w:rFonts w:asciiTheme="majorHAnsi" w:hAnsiTheme="majorHAnsi"/>
          <w:sz w:val="20"/>
          <w:szCs w:val="20"/>
        </w:rPr>
        <w:t>межах</w:t>
      </w:r>
      <w:r w:rsidRPr="000977F7">
        <w:rPr>
          <w:rFonts w:asciiTheme="majorHAnsi" w:hAnsiTheme="majorHAnsi"/>
          <w:spacing w:val="-3"/>
          <w:sz w:val="20"/>
          <w:szCs w:val="20"/>
        </w:rPr>
        <w:t xml:space="preserve"> </w:t>
      </w:r>
      <w:r w:rsidRPr="000977F7">
        <w:rPr>
          <w:rFonts w:asciiTheme="majorHAnsi" w:hAnsiTheme="majorHAnsi"/>
          <w:sz w:val="20"/>
          <w:szCs w:val="20"/>
        </w:rPr>
        <w:t>розглядуваного</w:t>
      </w:r>
      <w:r w:rsidRPr="000977F7">
        <w:rPr>
          <w:rFonts w:asciiTheme="majorHAnsi" w:hAnsiTheme="majorHAnsi"/>
          <w:spacing w:val="1"/>
          <w:sz w:val="20"/>
          <w:szCs w:val="20"/>
        </w:rPr>
        <w:t xml:space="preserve"> </w:t>
      </w:r>
      <w:r w:rsidRPr="000977F7">
        <w:rPr>
          <w:rFonts w:asciiTheme="majorHAnsi" w:hAnsiTheme="majorHAnsi"/>
          <w:sz w:val="20"/>
          <w:szCs w:val="20"/>
        </w:rPr>
        <w:t>об’єму</w:t>
      </w:r>
    </w:p>
    <w:p w14:paraId="153C47FA"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2825 - 94</w:t>
      </w:r>
    </w:p>
    <w:p w14:paraId="44A1ED8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ОДНОРІДНІСТЬ</w:t>
      </w:r>
      <w:r w:rsidRPr="000977F7">
        <w:rPr>
          <w:color w:val="auto"/>
          <w:spacing w:val="-3"/>
          <w:sz w:val="20"/>
          <w:szCs w:val="20"/>
        </w:rPr>
        <w:t xml:space="preserve"> </w:t>
      </w:r>
      <w:r w:rsidRPr="000977F7">
        <w:rPr>
          <w:color w:val="auto"/>
          <w:sz w:val="20"/>
          <w:szCs w:val="20"/>
        </w:rPr>
        <w:t>ПРОДУКЦІЇ</w:t>
      </w:r>
      <w:r w:rsidRPr="000977F7">
        <w:rPr>
          <w:color w:val="auto"/>
          <w:spacing w:val="-4"/>
          <w:sz w:val="20"/>
          <w:szCs w:val="20"/>
        </w:rPr>
        <w:t xml:space="preserve"> </w:t>
      </w:r>
      <w:r w:rsidRPr="000977F7">
        <w:rPr>
          <w:color w:val="auto"/>
          <w:sz w:val="20"/>
          <w:szCs w:val="20"/>
        </w:rPr>
        <w:t>–</w:t>
      </w:r>
    </w:p>
    <w:p w14:paraId="132143BC"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HOMOGENEITY</w:t>
      </w:r>
      <w:r w:rsidRPr="000977F7">
        <w:rPr>
          <w:b w:val="0"/>
          <w:bCs/>
          <w:color w:val="auto"/>
          <w:spacing w:val="-2"/>
          <w:sz w:val="20"/>
          <w:szCs w:val="20"/>
        </w:rPr>
        <w:t xml:space="preserve"> </w:t>
      </w:r>
      <w:r w:rsidRPr="000977F7">
        <w:rPr>
          <w:b w:val="0"/>
          <w:bCs/>
          <w:color w:val="auto"/>
          <w:sz w:val="20"/>
          <w:szCs w:val="20"/>
        </w:rPr>
        <w:t>OF</w:t>
      </w:r>
      <w:r w:rsidRPr="000977F7">
        <w:rPr>
          <w:b w:val="0"/>
          <w:bCs/>
          <w:color w:val="auto"/>
          <w:spacing w:val="-3"/>
          <w:sz w:val="20"/>
          <w:szCs w:val="20"/>
        </w:rPr>
        <w:t xml:space="preserve"> </w:t>
      </w:r>
      <w:r w:rsidRPr="000977F7">
        <w:rPr>
          <w:b w:val="0"/>
          <w:bCs/>
          <w:color w:val="auto"/>
          <w:sz w:val="20"/>
          <w:szCs w:val="20"/>
        </w:rPr>
        <w:t>PRODUCTS –</w:t>
      </w:r>
    </w:p>
    <w:p w14:paraId="7E303C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 продукції, при якій її мінливість обмежена визначеними допустимими границями кожного її</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p>
    <w:p w14:paraId="1B9DD100"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pacing w:val="-2"/>
          <w:sz w:val="20"/>
          <w:szCs w:val="20"/>
        </w:rPr>
        <w:t>ОДНОСТОРОННЬО</w:t>
      </w:r>
      <w:r w:rsidRPr="004D2D14">
        <w:rPr>
          <w:rFonts w:asciiTheme="majorHAnsi" w:hAnsiTheme="majorHAnsi"/>
          <w:b/>
          <w:spacing w:val="30"/>
          <w:sz w:val="20"/>
          <w:szCs w:val="20"/>
          <w:lang w:val="en-US"/>
        </w:rPr>
        <w:t xml:space="preserve"> </w:t>
      </w:r>
      <w:r w:rsidRPr="000977F7">
        <w:rPr>
          <w:rFonts w:asciiTheme="majorHAnsi" w:hAnsiTheme="majorHAnsi"/>
          <w:b/>
          <w:spacing w:val="-1"/>
          <w:sz w:val="20"/>
          <w:szCs w:val="20"/>
        </w:rPr>
        <w:t>УЗГОДЖЕНИЙ</w:t>
      </w:r>
      <w:r w:rsidRPr="004D2D14">
        <w:rPr>
          <w:rFonts w:asciiTheme="majorHAnsi" w:hAnsiTheme="majorHAnsi"/>
          <w:b/>
          <w:spacing w:val="-11"/>
          <w:sz w:val="20"/>
          <w:szCs w:val="20"/>
          <w:lang w:val="en-US"/>
        </w:rPr>
        <w:t xml:space="preserve"> </w:t>
      </w:r>
      <w:r w:rsidRPr="000977F7">
        <w:rPr>
          <w:rFonts w:asciiTheme="majorHAnsi" w:hAnsiTheme="majorHAnsi"/>
          <w:b/>
          <w:spacing w:val="-1"/>
          <w:sz w:val="20"/>
          <w:szCs w:val="20"/>
        </w:rPr>
        <w:t>СТАНДАРТ</w:t>
      </w:r>
      <w:r w:rsidRPr="004D2D14">
        <w:rPr>
          <w:rFonts w:asciiTheme="majorHAnsi" w:hAnsiTheme="majorHAnsi"/>
          <w:b/>
          <w:spacing w:val="-10"/>
          <w:sz w:val="20"/>
          <w:szCs w:val="20"/>
          <w:lang w:val="en-US"/>
        </w:rPr>
        <w:t xml:space="preserve"> </w:t>
      </w:r>
      <w:r w:rsidRPr="004D2D14">
        <w:rPr>
          <w:rFonts w:asciiTheme="majorHAnsi" w:hAnsiTheme="majorHAnsi"/>
          <w:spacing w:val="-1"/>
          <w:sz w:val="20"/>
          <w:szCs w:val="20"/>
          <w:lang w:val="en-US"/>
        </w:rPr>
        <w:t>–</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UNILATERALLY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ALIGNED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STANDARD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1067A75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узгоджений з іншим стандартом таким чином, щоб продукція, процеси, послуги, 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та інформація, зазначені в першому стандарті, відповідали</w:t>
      </w:r>
      <w:r w:rsidRPr="000977F7">
        <w:rPr>
          <w:rFonts w:asciiTheme="majorHAnsi" w:hAnsiTheme="majorHAnsi"/>
          <w:spacing w:val="46"/>
          <w:sz w:val="20"/>
          <w:szCs w:val="20"/>
        </w:rPr>
        <w:t xml:space="preserve"> </w:t>
      </w:r>
      <w:r w:rsidRPr="000977F7">
        <w:rPr>
          <w:rFonts w:asciiTheme="majorHAnsi" w:hAnsiTheme="majorHAnsi"/>
          <w:sz w:val="20"/>
          <w:szCs w:val="20"/>
        </w:rPr>
        <w:t>вимогам</w:t>
      </w:r>
      <w:r w:rsidRPr="000977F7">
        <w:rPr>
          <w:rFonts w:asciiTheme="majorHAnsi" w:hAnsiTheme="majorHAnsi"/>
          <w:spacing w:val="-1"/>
          <w:sz w:val="20"/>
          <w:szCs w:val="20"/>
        </w:rPr>
        <w:t xml:space="preserve"> </w:t>
      </w:r>
      <w:r w:rsidRPr="000977F7">
        <w:rPr>
          <w:rFonts w:asciiTheme="majorHAnsi" w:hAnsiTheme="majorHAnsi"/>
          <w:sz w:val="20"/>
          <w:szCs w:val="20"/>
        </w:rPr>
        <w:t>другого стандарту,</w:t>
      </w:r>
      <w:r w:rsidRPr="000977F7">
        <w:rPr>
          <w:rFonts w:asciiTheme="majorHAnsi" w:hAnsiTheme="majorHAnsi"/>
          <w:spacing w:val="-2"/>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2"/>
          <w:sz w:val="20"/>
          <w:szCs w:val="20"/>
        </w:rPr>
        <w:t xml:space="preserve"> </w:t>
      </w:r>
      <w:r w:rsidRPr="000977F7">
        <w:rPr>
          <w:rFonts w:asciiTheme="majorHAnsi" w:hAnsiTheme="majorHAnsi"/>
          <w:sz w:val="20"/>
          <w:szCs w:val="20"/>
        </w:rPr>
        <w:t>навпаки</w:t>
      </w:r>
    </w:p>
    <w:p w14:paraId="738CAE1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6FFAC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односторонньо узгоджений з іншим</w:t>
      </w:r>
      <w:r w:rsidRPr="000977F7">
        <w:rPr>
          <w:rFonts w:asciiTheme="majorHAnsi" w:hAnsiTheme="majorHAnsi"/>
          <w:spacing w:val="1"/>
          <w:sz w:val="20"/>
          <w:szCs w:val="20"/>
        </w:rPr>
        <w:t xml:space="preserve"> </w:t>
      </w:r>
      <w:r w:rsidRPr="000977F7">
        <w:rPr>
          <w:rFonts w:asciiTheme="majorHAnsi" w:hAnsiTheme="majorHAnsi"/>
          <w:sz w:val="20"/>
          <w:szCs w:val="20"/>
        </w:rPr>
        <w:t>стандартом,</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є гармонізованим з ним</w:t>
      </w:r>
    </w:p>
    <w:p w14:paraId="498D80B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ОДНОСТОРОННЯ УГОДА </w:t>
      </w:r>
      <w:r w:rsidRPr="000977F7">
        <w:rPr>
          <w:rFonts w:asciiTheme="majorHAnsi" w:hAnsiTheme="majorHAnsi"/>
          <w:sz w:val="20"/>
          <w:szCs w:val="20"/>
        </w:rPr>
        <w:t>–</w:t>
      </w:r>
    </w:p>
    <w:p w14:paraId="548FAE3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UNILATERAL</w:t>
      </w:r>
      <w:r w:rsidRPr="000977F7">
        <w:rPr>
          <w:rFonts w:asciiTheme="majorHAnsi" w:hAnsiTheme="majorHAnsi"/>
          <w:spacing w:val="-10"/>
          <w:sz w:val="20"/>
          <w:szCs w:val="20"/>
        </w:rPr>
        <w:t xml:space="preserve"> </w:t>
      </w:r>
      <w:r w:rsidRPr="000977F7">
        <w:rPr>
          <w:rFonts w:asciiTheme="majorHAnsi" w:hAnsiTheme="majorHAnsi"/>
          <w:sz w:val="20"/>
          <w:szCs w:val="20"/>
        </w:rPr>
        <w:t>ARRANGEMENT</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271A73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Угода, за якою одна сторона визнає чи схвалює результати</w:t>
      </w:r>
      <w:r w:rsidRPr="000977F7">
        <w:rPr>
          <w:rFonts w:asciiTheme="majorHAnsi" w:hAnsiTheme="majorHAnsi"/>
          <w:spacing w:val="-3"/>
          <w:sz w:val="20"/>
          <w:szCs w:val="20"/>
        </w:rPr>
        <w:t xml:space="preserve"> </w:t>
      </w:r>
      <w:r w:rsidRPr="000977F7">
        <w:rPr>
          <w:rFonts w:asciiTheme="majorHAnsi" w:hAnsiTheme="majorHAnsi"/>
          <w:sz w:val="20"/>
          <w:szCs w:val="20"/>
        </w:rPr>
        <w:t>оцінювання</w:t>
      </w:r>
      <w:r w:rsidRPr="000977F7">
        <w:rPr>
          <w:rFonts w:asciiTheme="majorHAnsi" w:hAnsiTheme="majorHAnsi"/>
          <w:spacing w:val="-2"/>
          <w:sz w:val="20"/>
          <w:szCs w:val="20"/>
        </w:rPr>
        <w:t xml:space="preserve"> </w:t>
      </w:r>
      <w:r w:rsidRPr="000977F7">
        <w:rPr>
          <w:rFonts w:asciiTheme="majorHAnsi" w:hAnsiTheme="majorHAnsi"/>
          <w:sz w:val="20"/>
          <w:szCs w:val="20"/>
        </w:rPr>
        <w:t>відповідності  іншої</w:t>
      </w:r>
      <w:r w:rsidRPr="000977F7">
        <w:rPr>
          <w:rFonts w:asciiTheme="majorHAnsi" w:hAnsiTheme="majorHAnsi"/>
          <w:spacing w:val="-3"/>
          <w:sz w:val="20"/>
          <w:szCs w:val="20"/>
        </w:rPr>
        <w:t xml:space="preserve"> </w:t>
      </w:r>
      <w:r w:rsidRPr="000977F7">
        <w:rPr>
          <w:rFonts w:asciiTheme="majorHAnsi" w:hAnsiTheme="majorHAnsi"/>
          <w:sz w:val="20"/>
          <w:szCs w:val="20"/>
        </w:rPr>
        <w:t>сторони</w:t>
      </w:r>
    </w:p>
    <w:p w14:paraId="3CBE9C77"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bCs/>
          <w:i/>
          <w:iCs/>
          <w:spacing w:val="-1"/>
          <w:sz w:val="20"/>
          <w:szCs w:val="20"/>
        </w:rPr>
        <w:t>ДСТУ</w:t>
      </w:r>
      <w:r w:rsidRPr="000977F7">
        <w:rPr>
          <w:rFonts w:asciiTheme="majorHAnsi" w:hAnsiTheme="majorHAnsi"/>
          <w:b/>
          <w:i/>
          <w:iCs/>
          <w:spacing w:val="-6"/>
          <w:sz w:val="20"/>
          <w:szCs w:val="20"/>
        </w:rPr>
        <w:t xml:space="preserve"> </w:t>
      </w:r>
      <w:r w:rsidRPr="000977F7">
        <w:rPr>
          <w:rFonts w:asciiTheme="majorHAnsi" w:hAnsiTheme="majorHAnsi"/>
          <w:i/>
          <w:iCs/>
          <w:spacing w:val="-1"/>
          <w:sz w:val="20"/>
          <w:szCs w:val="20"/>
        </w:rPr>
        <w:t>ISO/IEC</w:t>
      </w:r>
      <w:r w:rsidRPr="000977F7">
        <w:rPr>
          <w:rFonts w:asciiTheme="majorHAnsi" w:hAnsiTheme="majorHAnsi"/>
          <w:i/>
          <w:iCs/>
          <w:spacing w:val="-10"/>
          <w:sz w:val="20"/>
          <w:szCs w:val="20"/>
        </w:rPr>
        <w:t xml:space="preserve"> </w:t>
      </w:r>
      <w:r w:rsidRPr="000977F7">
        <w:rPr>
          <w:rFonts w:asciiTheme="majorHAnsi" w:hAnsiTheme="majorHAnsi"/>
          <w:i/>
          <w:iCs/>
          <w:spacing w:val="-1"/>
          <w:sz w:val="20"/>
          <w:szCs w:val="20"/>
        </w:rPr>
        <w:t>17000:2007</w:t>
      </w:r>
    </w:p>
    <w:p w14:paraId="778549E8"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ОДНОСТУПІНЧАСТИЙ ПЛАН</w:t>
      </w:r>
      <w:r w:rsidRPr="000977F7">
        <w:rPr>
          <w:rFonts w:asciiTheme="majorHAnsi" w:hAnsiTheme="majorHAnsi"/>
          <w:b/>
          <w:spacing w:val="-48"/>
          <w:sz w:val="20"/>
          <w:szCs w:val="20"/>
        </w:rPr>
        <w:t xml:space="preserve"> </w:t>
      </w:r>
      <w:r w:rsidRPr="000977F7">
        <w:rPr>
          <w:rFonts w:asciiTheme="majorHAnsi" w:hAnsiTheme="majorHAnsi"/>
          <w:b/>
          <w:sz w:val="20"/>
          <w:szCs w:val="20"/>
        </w:rPr>
        <w:t xml:space="preserve">ВИБІРКОВОГО КОНТРОЛЮ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4F7150D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SINGLE</w:t>
      </w:r>
      <w:r w:rsidRPr="000977F7">
        <w:rPr>
          <w:rFonts w:asciiTheme="majorHAnsi" w:hAnsiTheme="majorHAnsi"/>
          <w:spacing w:val="-1"/>
          <w:sz w:val="20"/>
          <w:szCs w:val="20"/>
        </w:rPr>
        <w:t xml:space="preserve"> </w:t>
      </w:r>
      <w:r w:rsidRPr="000977F7">
        <w:rPr>
          <w:rFonts w:asciiTheme="majorHAnsi" w:hAnsiTheme="majorHAnsi"/>
          <w:sz w:val="20"/>
          <w:szCs w:val="20"/>
        </w:rPr>
        <w:t>SAMPLING</w:t>
      </w:r>
      <w:r w:rsidRPr="000977F7">
        <w:rPr>
          <w:rFonts w:asciiTheme="majorHAnsi" w:hAnsiTheme="majorHAnsi"/>
          <w:spacing w:val="-1"/>
          <w:sz w:val="20"/>
          <w:szCs w:val="20"/>
        </w:rPr>
        <w:t xml:space="preserve"> </w:t>
      </w:r>
      <w:r w:rsidRPr="000977F7">
        <w:rPr>
          <w:rFonts w:asciiTheme="majorHAnsi" w:hAnsiTheme="majorHAnsi"/>
          <w:sz w:val="20"/>
          <w:szCs w:val="20"/>
        </w:rPr>
        <w:t>PLAN</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49369F1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План</w:t>
      </w:r>
      <w:r w:rsidRPr="000977F7">
        <w:rPr>
          <w:rFonts w:asciiTheme="majorHAnsi" w:hAnsiTheme="majorHAnsi"/>
          <w:spacing w:val="1"/>
          <w:sz w:val="20"/>
          <w:szCs w:val="20"/>
        </w:rPr>
        <w:t xml:space="preserve"> </w:t>
      </w:r>
      <w:r w:rsidRPr="000977F7">
        <w:rPr>
          <w:rFonts w:asciiTheme="majorHAnsi" w:hAnsiTheme="majorHAnsi"/>
          <w:sz w:val="20"/>
          <w:szCs w:val="20"/>
        </w:rPr>
        <w:t>вибіркового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характеризується</w:t>
      </w:r>
      <w:r w:rsidRPr="000977F7">
        <w:rPr>
          <w:rFonts w:asciiTheme="majorHAnsi" w:hAnsiTheme="majorHAnsi"/>
          <w:spacing w:val="-47"/>
          <w:sz w:val="20"/>
          <w:szCs w:val="20"/>
        </w:rPr>
        <w:t xml:space="preserve"> </w:t>
      </w:r>
      <w:r w:rsidRPr="000977F7">
        <w:rPr>
          <w:rFonts w:asciiTheme="majorHAnsi" w:hAnsiTheme="majorHAnsi"/>
          <w:sz w:val="20"/>
          <w:szCs w:val="20"/>
        </w:rPr>
        <w:t>тим, що рішення стосовно приймання партії продукції</w:t>
      </w:r>
      <w:r w:rsidRPr="000977F7">
        <w:rPr>
          <w:rFonts w:asciiTheme="majorHAnsi" w:hAnsiTheme="majorHAnsi"/>
          <w:spacing w:val="-47"/>
          <w:sz w:val="20"/>
          <w:szCs w:val="20"/>
        </w:rPr>
        <w:t xml:space="preserve"> </w:t>
      </w:r>
      <w:r w:rsidRPr="000977F7">
        <w:rPr>
          <w:rFonts w:asciiTheme="majorHAnsi" w:hAnsiTheme="majorHAnsi"/>
          <w:sz w:val="20"/>
          <w:szCs w:val="20"/>
        </w:rPr>
        <w:t>приймають</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результатами</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лише</w:t>
      </w:r>
      <w:r w:rsidRPr="000977F7">
        <w:rPr>
          <w:rFonts w:asciiTheme="majorHAnsi" w:hAnsiTheme="majorHAnsi"/>
          <w:spacing w:val="1"/>
          <w:sz w:val="20"/>
          <w:szCs w:val="20"/>
        </w:rPr>
        <w:t xml:space="preserve"> </w:t>
      </w:r>
      <w:r w:rsidRPr="000977F7">
        <w:rPr>
          <w:rFonts w:asciiTheme="majorHAnsi" w:hAnsiTheme="majorHAnsi"/>
          <w:sz w:val="20"/>
          <w:szCs w:val="20"/>
        </w:rPr>
        <w:t>однієї</w:t>
      </w:r>
      <w:r w:rsidRPr="000977F7">
        <w:rPr>
          <w:rFonts w:asciiTheme="majorHAnsi" w:hAnsiTheme="majorHAnsi"/>
          <w:spacing w:val="1"/>
          <w:sz w:val="20"/>
          <w:szCs w:val="20"/>
        </w:rPr>
        <w:t xml:space="preserve"> </w:t>
      </w:r>
      <w:r w:rsidRPr="000977F7">
        <w:rPr>
          <w:rFonts w:asciiTheme="majorHAnsi" w:hAnsiTheme="majorHAnsi"/>
          <w:sz w:val="20"/>
          <w:szCs w:val="20"/>
        </w:rPr>
        <w:t>вибірки</w:t>
      </w:r>
    </w:p>
    <w:p w14:paraId="4F83346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3514 –</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777DA8C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pacing w:val="-47"/>
          <w:sz w:val="20"/>
          <w:szCs w:val="20"/>
        </w:rPr>
        <w:t xml:space="preserve"> </w:t>
      </w:r>
      <w:r w:rsidRPr="000977F7">
        <w:rPr>
          <w:rFonts w:asciiTheme="majorHAnsi" w:hAnsiTheme="majorHAnsi"/>
          <w:b/>
          <w:sz w:val="20"/>
          <w:szCs w:val="20"/>
        </w:rPr>
        <w:t>ОЗНАКА –</w:t>
      </w:r>
      <w:r w:rsidRPr="000977F7">
        <w:rPr>
          <w:rFonts w:asciiTheme="majorHAnsi" w:hAnsiTheme="majorHAnsi"/>
          <w:b/>
          <w:spacing w:val="1"/>
          <w:sz w:val="20"/>
          <w:szCs w:val="20"/>
        </w:rPr>
        <w:t xml:space="preserve"> </w:t>
      </w:r>
      <w:r w:rsidRPr="000977F7">
        <w:rPr>
          <w:rFonts w:asciiTheme="majorHAnsi" w:hAnsiTheme="majorHAnsi"/>
          <w:sz w:val="20"/>
          <w:szCs w:val="20"/>
        </w:rPr>
        <w:t>FEATURE –</w:t>
      </w:r>
    </w:p>
    <w:p w14:paraId="2AC0F3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Характеристика окремої властивості об’єкта або процесу,</w:t>
      </w:r>
      <w:r w:rsidRPr="000977F7">
        <w:rPr>
          <w:rFonts w:asciiTheme="majorHAnsi" w:hAnsiTheme="majorHAnsi"/>
          <w:spacing w:val="-1"/>
          <w:sz w:val="20"/>
          <w:szCs w:val="20"/>
        </w:rPr>
        <w:t xml:space="preserve"> </w:t>
      </w:r>
      <w:r w:rsidRPr="000977F7">
        <w:rPr>
          <w:rFonts w:asciiTheme="majorHAnsi" w:hAnsiTheme="majorHAnsi"/>
          <w:sz w:val="20"/>
          <w:szCs w:val="20"/>
        </w:rPr>
        <w:t>яка може</w:t>
      </w:r>
      <w:r w:rsidRPr="000977F7">
        <w:rPr>
          <w:rFonts w:asciiTheme="majorHAnsi" w:hAnsiTheme="majorHAnsi"/>
          <w:spacing w:val="-1"/>
          <w:sz w:val="20"/>
          <w:szCs w:val="20"/>
        </w:rPr>
        <w:t xml:space="preserve"> </w:t>
      </w:r>
      <w:r w:rsidRPr="000977F7">
        <w:rPr>
          <w:rFonts w:asciiTheme="majorHAnsi" w:hAnsiTheme="majorHAnsi"/>
          <w:sz w:val="20"/>
          <w:szCs w:val="20"/>
        </w:rPr>
        <w:t>мати</w:t>
      </w:r>
      <w:r w:rsidRPr="000977F7">
        <w:rPr>
          <w:rFonts w:asciiTheme="majorHAnsi" w:hAnsiTheme="majorHAnsi"/>
          <w:spacing w:val="-1"/>
          <w:sz w:val="20"/>
          <w:szCs w:val="20"/>
        </w:rPr>
        <w:t xml:space="preserve"> </w:t>
      </w:r>
      <w:r w:rsidRPr="000977F7">
        <w:rPr>
          <w:rFonts w:asciiTheme="majorHAnsi" w:hAnsiTheme="majorHAnsi"/>
          <w:sz w:val="20"/>
          <w:szCs w:val="20"/>
        </w:rPr>
        <w:t>тільки</w:t>
      </w:r>
      <w:r w:rsidRPr="000977F7">
        <w:rPr>
          <w:rFonts w:asciiTheme="majorHAnsi" w:hAnsiTheme="majorHAnsi"/>
          <w:spacing w:val="-1"/>
          <w:sz w:val="20"/>
          <w:szCs w:val="20"/>
        </w:rPr>
        <w:t xml:space="preserve"> </w:t>
      </w:r>
      <w:r w:rsidRPr="000977F7">
        <w:rPr>
          <w:rFonts w:asciiTheme="majorHAnsi" w:hAnsiTheme="majorHAnsi"/>
          <w:sz w:val="20"/>
          <w:szCs w:val="20"/>
        </w:rPr>
        <w:t>якісну</w:t>
      </w:r>
      <w:r w:rsidRPr="000977F7">
        <w:rPr>
          <w:rFonts w:asciiTheme="majorHAnsi" w:hAnsiTheme="majorHAnsi"/>
          <w:spacing w:val="-2"/>
          <w:sz w:val="20"/>
          <w:szCs w:val="20"/>
        </w:rPr>
        <w:t xml:space="preserve"> </w:t>
      </w:r>
      <w:r w:rsidRPr="000977F7">
        <w:rPr>
          <w:rFonts w:asciiTheme="majorHAnsi" w:hAnsiTheme="majorHAnsi"/>
          <w:sz w:val="20"/>
          <w:szCs w:val="20"/>
        </w:rPr>
        <w:t>оцінку</w:t>
      </w:r>
    </w:p>
    <w:p w14:paraId="4742812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3956 - 2000</w:t>
      </w:r>
    </w:p>
    <w:p w14:paraId="5D61872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ОЗНАКА</w:t>
      </w:r>
      <w:r w:rsidRPr="000977F7">
        <w:rPr>
          <w:color w:val="auto"/>
          <w:spacing w:val="-4"/>
          <w:sz w:val="20"/>
          <w:szCs w:val="20"/>
        </w:rPr>
        <w:t xml:space="preserve"> </w:t>
      </w:r>
      <w:r w:rsidRPr="000977F7">
        <w:rPr>
          <w:color w:val="auto"/>
          <w:sz w:val="20"/>
          <w:szCs w:val="20"/>
        </w:rPr>
        <w:t>ДІЯННЯ</w:t>
      </w:r>
      <w:r w:rsidRPr="000977F7">
        <w:rPr>
          <w:color w:val="auto"/>
          <w:spacing w:val="-1"/>
          <w:sz w:val="20"/>
          <w:szCs w:val="20"/>
        </w:rPr>
        <w:t xml:space="preserve"> </w:t>
      </w:r>
      <w:r w:rsidRPr="000977F7">
        <w:rPr>
          <w:color w:val="auto"/>
          <w:sz w:val="20"/>
          <w:szCs w:val="20"/>
        </w:rPr>
        <w:t>–</w:t>
      </w:r>
    </w:p>
    <w:p w14:paraId="018A3EF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FEATURE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THE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ACTION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F9EE0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Характеристика</w:t>
      </w:r>
      <w:r w:rsidRPr="000977F7">
        <w:rPr>
          <w:rFonts w:asciiTheme="majorHAnsi" w:hAnsiTheme="majorHAnsi"/>
          <w:spacing w:val="-4"/>
          <w:sz w:val="20"/>
          <w:szCs w:val="20"/>
        </w:rPr>
        <w:t xml:space="preserve"> </w:t>
      </w:r>
      <w:r w:rsidRPr="000977F7">
        <w:rPr>
          <w:rFonts w:asciiTheme="majorHAnsi" w:hAnsiTheme="majorHAnsi"/>
          <w:sz w:val="20"/>
          <w:szCs w:val="20"/>
        </w:rPr>
        <w:t>діяння,</w:t>
      </w:r>
      <w:r w:rsidRPr="000977F7">
        <w:rPr>
          <w:rFonts w:asciiTheme="majorHAnsi" w:hAnsiTheme="majorHAnsi"/>
          <w:spacing w:val="-4"/>
          <w:sz w:val="20"/>
          <w:szCs w:val="20"/>
        </w:rPr>
        <w:t xml:space="preserve"> </w:t>
      </w:r>
      <w:r w:rsidRPr="000977F7">
        <w:rPr>
          <w:rFonts w:asciiTheme="majorHAnsi" w:hAnsiTheme="majorHAnsi"/>
          <w:sz w:val="20"/>
          <w:szCs w:val="20"/>
        </w:rPr>
        <w:t>що</w:t>
      </w:r>
      <w:r w:rsidRPr="000977F7">
        <w:rPr>
          <w:rFonts w:asciiTheme="majorHAnsi" w:hAnsiTheme="majorHAnsi"/>
          <w:spacing w:val="-3"/>
          <w:sz w:val="20"/>
          <w:szCs w:val="20"/>
        </w:rPr>
        <w:t xml:space="preserve"> </w:t>
      </w:r>
      <w:r w:rsidRPr="000977F7">
        <w:rPr>
          <w:rFonts w:asciiTheme="majorHAnsi" w:hAnsiTheme="majorHAnsi"/>
          <w:sz w:val="20"/>
          <w:szCs w:val="20"/>
        </w:rPr>
        <w:t>може</w:t>
      </w:r>
      <w:r w:rsidRPr="000977F7">
        <w:rPr>
          <w:rFonts w:asciiTheme="majorHAnsi" w:hAnsiTheme="majorHAnsi"/>
          <w:spacing w:val="-4"/>
          <w:sz w:val="20"/>
          <w:szCs w:val="20"/>
        </w:rPr>
        <w:t xml:space="preserve"> </w:t>
      </w:r>
      <w:r w:rsidRPr="000977F7">
        <w:rPr>
          <w:rFonts w:asciiTheme="majorHAnsi" w:hAnsiTheme="majorHAnsi"/>
          <w:sz w:val="20"/>
          <w:szCs w:val="20"/>
        </w:rPr>
        <w:t>бути</w:t>
      </w:r>
      <w:r w:rsidRPr="000977F7">
        <w:rPr>
          <w:rFonts w:asciiTheme="majorHAnsi" w:hAnsiTheme="majorHAnsi"/>
          <w:spacing w:val="-5"/>
          <w:sz w:val="20"/>
          <w:szCs w:val="20"/>
        </w:rPr>
        <w:t xml:space="preserve"> </w:t>
      </w:r>
      <w:r w:rsidRPr="000977F7">
        <w:rPr>
          <w:rFonts w:asciiTheme="majorHAnsi" w:hAnsiTheme="majorHAnsi"/>
          <w:sz w:val="20"/>
          <w:szCs w:val="20"/>
        </w:rPr>
        <w:t>оцінена</w:t>
      </w:r>
      <w:r w:rsidRPr="000977F7">
        <w:rPr>
          <w:rFonts w:asciiTheme="majorHAnsi" w:hAnsiTheme="majorHAnsi"/>
          <w:spacing w:val="-1"/>
          <w:sz w:val="20"/>
          <w:szCs w:val="20"/>
        </w:rPr>
        <w:t xml:space="preserve"> </w:t>
      </w:r>
      <w:r w:rsidRPr="000977F7">
        <w:rPr>
          <w:rFonts w:asciiTheme="majorHAnsi" w:hAnsiTheme="majorHAnsi"/>
          <w:sz w:val="20"/>
          <w:szCs w:val="20"/>
        </w:rPr>
        <w:t>тільки</w:t>
      </w:r>
      <w:r w:rsidRPr="000977F7">
        <w:rPr>
          <w:rFonts w:asciiTheme="majorHAnsi" w:hAnsiTheme="majorHAnsi"/>
          <w:spacing w:val="-47"/>
          <w:sz w:val="20"/>
          <w:szCs w:val="20"/>
        </w:rPr>
        <w:t xml:space="preserve"> </w:t>
      </w:r>
      <w:r w:rsidRPr="000977F7">
        <w:rPr>
          <w:rFonts w:asciiTheme="majorHAnsi" w:hAnsiTheme="majorHAnsi"/>
          <w:sz w:val="20"/>
          <w:szCs w:val="20"/>
        </w:rPr>
        <w:t>якісно</w:t>
      </w:r>
    </w:p>
    <w:p w14:paraId="7D27B15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76CB931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ОЗНАКА</w:t>
      </w:r>
      <w:r w:rsidRPr="000977F7">
        <w:rPr>
          <w:color w:val="auto"/>
          <w:spacing w:val="-4"/>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7AD69CD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Якісна або кількісна характеристика будь – яких властивостей</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станів</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164CBD7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90CC5AA"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ОКАЛИНА; ОГАР –</w:t>
      </w:r>
    </w:p>
    <w:p w14:paraId="1A07B8E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SCALE –</w:t>
      </w:r>
    </w:p>
    <w:p w14:paraId="354DBE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Продукт</w:t>
      </w:r>
      <w:r w:rsidRPr="000977F7">
        <w:rPr>
          <w:rFonts w:asciiTheme="majorHAnsi" w:hAnsiTheme="majorHAnsi"/>
          <w:spacing w:val="-4"/>
          <w:sz w:val="20"/>
          <w:szCs w:val="20"/>
        </w:rPr>
        <w:t xml:space="preserve"> </w:t>
      </w:r>
      <w:r w:rsidRPr="000977F7">
        <w:rPr>
          <w:rFonts w:asciiTheme="majorHAnsi" w:hAnsiTheme="majorHAnsi"/>
          <w:sz w:val="20"/>
          <w:szCs w:val="20"/>
        </w:rPr>
        <w:t>окислення</w:t>
      </w:r>
      <w:r w:rsidRPr="000977F7">
        <w:rPr>
          <w:rFonts w:asciiTheme="majorHAnsi" w:hAnsiTheme="majorHAnsi"/>
          <w:spacing w:val="-4"/>
          <w:sz w:val="20"/>
          <w:szCs w:val="20"/>
        </w:rPr>
        <w:t xml:space="preserve"> </w:t>
      </w:r>
      <w:r w:rsidRPr="000977F7">
        <w:rPr>
          <w:rFonts w:asciiTheme="majorHAnsi" w:hAnsiTheme="majorHAnsi"/>
          <w:sz w:val="20"/>
          <w:szCs w:val="20"/>
        </w:rPr>
        <w:t>металу</w:t>
      </w:r>
      <w:r w:rsidRPr="000977F7">
        <w:rPr>
          <w:rFonts w:asciiTheme="majorHAnsi" w:hAnsiTheme="majorHAnsi"/>
          <w:spacing w:val="-3"/>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газовому</w:t>
      </w:r>
      <w:r w:rsidRPr="000977F7">
        <w:rPr>
          <w:rFonts w:asciiTheme="majorHAnsi" w:hAnsiTheme="majorHAnsi"/>
          <w:spacing w:val="-6"/>
          <w:sz w:val="20"/>
          <w:szCs w:val="20"/>
        </w:rPr>
        <w:t xml:space="preserve"> </w:t>
      </w:r>
      <w:r w:rsidRPr="000977F7">
        <w:rPr>
          <w:rFonts w:asciiTheme="majorHAnsi" w:hAnsiTheme="majorHAnsi"/>
          <w:sz w:val="20"/>
          <w:szCs w:val="20"/>
        </w:rPr>
        <w:t>середовищі</w:t>
      </w:r>
    </w:p>
    <w:p w14:paraId="0297D7C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3830 - 98</w:t>
      </w:r>
    </w:p>
    <w:p w14:paraId="163C946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ОКИСЛЮВАЛЬНЕ</w:t>
      </w:r>
      <w:r w:rsidRPr="000977F7">
        <w:rPr>
          <w:color w:val="auto"/>
          <w:spacing w:val="-6"/>
          <w:sz w:val="20"/>
          <w:szCs w:val="20"/>
        </w:rPr>
        <w:t xml:space="preserve"> </w:t>
      </w:r>
      <w:r w:rsidRPr="000977F7">
        <w:rPr>
          <w:color w:val="auto"/>
          <w:sz w:val="20"/>
          <w:szCs w:val="20"/>
        </w:rPr>
        <w:t>ГАЗОВЕ</w:t>
      </w:r>
      <w:r w:rsidRPr="000977F7">
        <w:rPr>
          <w:color w:val="auto"/>
          <w:spacing w:val="-3"/>
          <w:sz w:val="20"/>
          <w:szCs w:val="20"/>
        </w:rPr>
        <w:t xml:space="preserve"> </w:t>
      </w:r>
      <w:r w:rsidRPr="000977F7">
        <w:rPr>
          <w:color w:val="auto"/>
          <w:sz w:val="20"/>
          <w:szCs w:val="20"/>
        </w:rPr>
        <w:t>СЕРЕДОВИЩЕ</w:t>
      </w:r>
      <w:r w:rsidRPr="000977F7">
        <w:rPr>
          <w:color w:val="auto"/>
          <w:spacing w:val="-4"/>
          <w:sz w:val="20"/>
          <w:szCs w:val="20"/>
        </w:rPr>
        <w:t xml:space="preserve"> </w:t>
      </w:r>
      <w:r w:rsidRPr="000977F7">
        <w:rPr>
          <w:color w:val="auto"/>
          <w:sz w:val="20"/>
          <w:szCs w:val="20"/>
        </w:rPr>
        <w:t>–</w:t>
      </w:r>
    </w:p>
    <w:p w14:paraId="2D15067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Газове середовище, що спричинює окислювання металу</w:t>
      </w:r>
    </w:p>
    <w:p w14:paraId="1AA6AB3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3830 - 98</w:t>
      </w:r>
    </w:p>
    <w:p w14:paraId="0702897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Висновок, на основі аналізування ризику, щодо виконання вимог до зменшення ризику </w:t>
      </w:r>
    </w:p>
    <w:p w14:paraId="075F533A"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6F087AC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ОКСИДНА</w:t>
      </w:r>
      <w:r w:rsidRPr="000977F7">
        <w:rPr>
          <w:color w:val="auto"/>
          <w:spacing w:val="-4"/>
          <w:sz w:val="20"/>
          <w:szCs w:val="20"/>
        </w:rPr>
        <w:t xml:space="preserve"> </w:t>
      </w:r>
      <w:r w:rsidRPr="000977F7">
        <w:rPr>
          <w:color w:val="auto"/>
          <w:sz w:val="20"/>
          <w:szCs w:val="20"/>
        </w:rPr>
        <w:t>ПЛІВКА</w:t>
      </w:r>
      <w:r w:rsidRPr="000977F7">
        <w:rPr>
          <w:color w:val="auto"/>
          <w:spacing w:val="-3"/>
          <w:sz w:val="20"/>
          <w:szCs w:val="20"/>
        </w:rPr>
        <w:t xml:space="preserve"> </w:t>
      </w:r>
      <w:r w:rsidRPr="000977F7">
        <w:rPr>
          <w:color w:val="auto"/>
          <w:sz w:val="20"/>
          <w:szCs w:val="20"/>
        </w:rPr>
        <w:t>–</w:t>
      </w:r>
    </w:p>
    <w:p w14:paraId="335A688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Плівка,</w:t>
      </w:r>
      <w:r w:rsidRPr="000977F7">
        <w:rPr>
          <w:rFonts w:asciiTheme="majorHAnsi" w:hAnsiTheme="majorHAnsi"/>
          <w:spacing w:val="-2"/>
          <w:sz w:val="20"/>
          <w:szCs w:val="20"/>
        </w:rPr>
        <w:t xml:space="preserve"> </w:t>
      </w:r>
      <w:r w:rsidRPr="000977F7">
        <w:rPr>
          <w:rFonts w:asciiTheme="majorHAnsi" w:hAnsiTheme="majorHAnsi"/>
          <w:sz w:val="20"/>
          <w:szCs w:val="20"/>
        </w:rPr>
        <w:t>що</w:t>
      </w:r>
      <w:r w:rsidRPr="000977F7">
        <w:rPr>
          <w:rFonts w:asciiTheme="majorHAnsi" w:hAnsiTheme="majorHAnsi"/>
          <w:spacing w:val="-2"/>
          <w:sz w:val="20"/>
          <w:szCs w:val="20"/>
        </w:rPr>
        <w:t xml:space="preserve"> </w:t>
      </w:r>
      <w:r w:rsidRPr="000977F7">
        <w:rPr>
          <w:rFonts w:asciiTheme="majorHAnsi" w:hAnsiTheme="majorHAnsi"/>
          <w:sz w:val="20"/>
          <w:szCs w:val="20"/>
        </w:rPr>
        <w:t>складається</w:t>
      </w:r>
      <w:r w:rsidRPr="000977F7">
        <w:rPr>
          <w:rFonts w:asciiTheme="majorHAnsi" w:hAnsiTheme="majorHAnsi"/>
          <w:spacing w:val="-1"/>
          <w:sz w:val="20"/>
          <w:szCs w:val="20"/>
        </w:rPr>
        <w:t xml:space="preserve"> </w:t>
      </w:r>
      <w:r w:rsidRPr="000977F7">
        <w:rPr>
          <w:rFonts w:asciiTheme="majorHAnsi" w:hAnsiTheme="majorHAnsi"/>
          <w:sz w:val="20"/>
          <w:szCs w:val="20"/>
        </w:rPr>
        <w:t>переважно</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3"/>
          <w:sz w:val="20"/>
          <w:szCs w:val="20"/>
        </w:rPr>
        <w:t xml:space="preserve"> </w:t>
      </w:r>
      <w:r w:rsidRPr="000977F7">
        <w:rPr>
          <w:rFonts w:asciiTheme="majorHAnsi" w:hAnsiTheme="majorHAnsi"/>
          <w:sz w:val="20"/>
          <w:szCs w:val="20"/>
        </w:rPr>
        <w:t>оксидів</w:t>
      </w:r>
      <w:r w:rsidRPr="000977F7">
        <w:rPr>
          <w:rFonts w:asciiTheme="majorHAnsi" w:hAnsiTheme="majorHAnsi"/>
          <w:spacing w:val="-3"/>
          <w:sz w:val="20"/>
          <w:szCs w:val="20"/>
        </w:rPr>
        <w:t xml:space="preserve"> </w:t>
      </w:r>
      <w:r w:rsidRPr="000977F7">
        <w:rPr>
          <w:rFonts w:asciiTheme="majorHAnsi" w:hAnsiTheme="majorHAnsi"/>
          <w:sz w:val="20"/>
          <w:szCs w:val="20"/>
        </w:rPr>
        <w:t>металу</w:t>
      </w:r>
    </w:p>
    <w:p w14:paraId="2E67D27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3830 - 98</w:t>
      </w:r>
    </w:p>
    <w:p w14:paraId="6000E7A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ОМІЧНИЙ</w:t>
      </w:r>
      <w:r w:rsidRPr="000977F7">
        <w:rPr>
          <w:color w:val="auto"/>
          <w:spacing w:val="-3"/>
          <w:sz w:val="20"/>
          <w:szCs w:val="20"/>
        </w:rPr>
        <w:t xml:space="preserve"> </w:t>
      </w:r>
      <w:r w:rsidRPr="000977F7">
        <w:rPr>
          <w:color w:val="auto"/>
          <w:sz w:val="20"/>
          <w:szCs w:val="20"/>
        </w:rPr>
        <w:t>КОНТРОЛЬ –</w:t>
      </w:r>
    </w:p>
    <w:p w14:paraId="1DC3F12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OHMIC</w:t>
      </w:r>
      <w:r w:rsidRPr="000977F7">
        <w:rPr>
          <w:rFonts w:asciiTheme="majorHAnsi" w:hAnsiTheme="majorHAnsi"/>
          <w:spacing w:val="-3"/>
          <w:sz w:val="20"/>
          <w:szCs w:val="20"/>
        </w:rPr>
        <w:t xml:space="preserve"> </w:t>
      </w:r>
      <w:r w:rsidRPr="000977F7">
        <w:rPr>
          <w:rFonts w:asciiTheme="majorHAnsi" w:hAnsiTheme="majorHAnsi"/>
          <w:sz w:val="20"/>
          <w:szCs w:val="20"/>
        </w:rPr>
        <w:t>CONTROL</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01060A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Обмеження</w:t>
      </w:r>
      <w:r w:rsidRPr="000977F7">
        <w:rPr>
          <w:rFonts w:asciiTheme="majorHAnsi" w:hAnsiTheme="majorHAnsi"/>
          <w:spacing w:val="1"/>
          <w:sz w:val="20"/>
          <w:szCs w:val="20"/>
        </w:rPr>
        <w:t xml:space="preserve"> </w:t>
      </w:r>
      <w:r w:rsidRPr="000977F7">
        <w:rPr>
          <w:rFonts w:asciiTheme="majorHAnsi" w:hAnsiTheme="majorHAnsi"/>
          <w:sz w:val="20"/>
          <w:szCs w:val="20"/>
        </w:rPr>
        <w:t>швидкості</w:t>
      </w:r>
      <w:r w:rsidRPr="000977F7">
        <w:rPr>
          <w:rFonts w:asciiTheme="majorHAnsi" w:hAnsiTheme="majorHAnsi"/>
          <w:spacing w:val="1"/>
          <w:sz w:val="20"/>
          <w:szCs w:val="20"/>
        </w:rPr>
        <w:t xml:space="preserve"> </w:t>
      </w:r>
      <w:r w:rsidRPr="000977F7">
        <w:rPr>
          <w:rFonts w:asciiTheme="majorHAnsi" w:hAnsiTheme="majorHAnsi"/>
          <w:sz w:val="20"/>
          <w:szCs w:val="20"/>
        </w:rPr>
        <w:t>електрохімічної</w:t>
      </w:r>
      <w:r w:rsidRPr="000977F7">
        <w:rPr>
          <w:rFonts w:asciiTheme="majorHAnsi" w:hAnsiTheme="majorHAnsi"/>
          <w:spacing w:val="1"/>
          <w:sz w:val="20"/>
          <w:szCs w:val="20"/>
        </w:rPr>
        <w:t xml:space="preserve"> </w:t>
      </w:r>
      <w:r w:rsidRPr="000977F7">
        <w:rPr>
          <w:rFonts w:asciiTheme="majorHAnsi" w:hAnsiTheme="majorHAnsi"/>
          <w:sz w:val="20"/>
          <w:szCs w:val="20"/>
        </w:rPr>
        <w:t>корозії</w:t>
      </w:r>
      <w:r w:rsidRPr="000977F7">
        <w:rPr>
          <w:rFonts w:asciiTheme="majorHAnsi" w:hAnsiTheme="majorHAnsi"/>
          <w:spacing w:val="1"/>
          <w:sz w:val="20"/>
          <w:szCs w:val="20"/>
        </w:rPr>
        <w:t xml:space="preserve"> </w:t>
      </w:r>
      <w:r w:rsidRPr="000977F7">
        <w:rPr>
          <w:rFonts w:asciiTheme="majorHAnsi" w:hAnsiTheme="majorHAnsi"/>
          <w:sz w:val="20"/>
          <w:szCs w:val="20"/>
        </w:rPr>
        <w:t>омічним опором</w:t>
      </w:r>
    </w:p>
    <w:p w14:paraId="5FDFF50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3830 - 98</w:t>
      </w:r>
    </w:p>
    <w:p w14:paraId="2DC90AE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ОПЕРАТИВНА ВАРТІСТЬ ДАНОГО </w:t>
      </w:r>
    </w:p>
    <w:p w14:paraId="14B5208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w:t>
      </w:r>
      <w:r w:rsidRPr="000977F7">
        <w:rPr>
          <w:color w:val="auto"/>
          <w:spacing w:val="-47"/>
          <w:sz w:val="20"/>
          <w:szCs w:val="20"/>
        </w:rPr>
        <w:t xml:space="preserve"> </w:t>
      </w:r>
      <w:r w:rsidRPr="000977F7">
        <w:rPr>
          <w:color w:val="auto"/>
          <w:sz w:val="20"/>
          <w:szCs w:val="20"/>
        </w:rPr>
        <w:t>НОГО ОБСЛУГОВУВАННЯ</w:t>
      </w:r>
    </w:p>
    <w:p w14:paraId="03ADD39B"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(РЕМОНТА)</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3E9B9EC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Вартість виконання всіх операцій одного 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визначена</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конструкцією</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технічним</w:t>
      </w:r>
      <w:r w:rsidRPr="000977F7">
        <w:rPr>
          <w:rFonts w:asciiTheme="majorHAnsi" w:hAnsiTheme="majorHAnsi"/>
          <w:spacing w:val="1"/>
          <w:sz w:val="20"/>
          <w:szCs w:val="20"/>
        </w:rPr>
        <w:t xml:space="preserve"> </w:t>
      </w:r>
      <w:r w:rsidRPr="000977F7">
        <w:rPr>
          <w:rFonts w:asciiTheme="majorHAnsi" w:hAnsiTheme="majorHAnsi"/>
          <w:sz w:val="20"/>
          <w:szCs w:val="20"/>
        </w:rPr>
        <w:t>станом</w:t>
      </w:r>
    </w:p>
    <w:p w14:paraId="7326037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ОПЕРАТИВНА ТРИВАЛІСТЬ </w:t>
      </w:r>
    </w:p>
    <w:p w14:paraId="1460C72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НЕПЛАНОВАНО</w:t>
      </w:r>
      <w:r w:rsidRPr="000977F7">
        <w:rPr>
          <w:color w:val="auto"/>
          <w:spacing w:val="-47"/>
          <w:sz w:val="20"/>
          <w:szCs w:val="20"/>
        </w:rPr>
        <w:t xml:space="preserve"> </w:t>
      </w:r>
      <w:r w:rsidRPr="000977F7">
        <w:rPr>
          <w:color w:val="auto"/>
          <w:sz w:val="20"/>
          <w:szCs w:val="20"/>
        </w:rPr>
        <w:t>ГО РЕМОНТУ</w:t>
      </w:r>
      <w:r w:rsidRPr="000977F7">
        <w:rPr>
          <w:color w:val="auto"/>
          <w:spacing w:val="1"/>
          <w:sz w:val="20"/>
          <w:szCs w:val="20"/>
        </w:rPr>
        <w:t xml:space="preserve"> </w:t>
      </w:r>
      <w:r w:rsidRPr="000977F7">
        <w:rPr>
          <w:color w:val="auto"/>
          <w:sz w:val="20"/>
          <w:szCs w:val="20"/>
        </w:rPr>
        <w:t>–</w:t>
      </w:r>
    </w:p>
    <w:p w14:paraId="5FC4D6A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ACTIVE</w:t>
      </w:r>
      <w:r w:rsidRPr="004D2D14">
        <w:rPr>
          <w:rFonts w:asciiTheme="majorHAnsi" w:hAnsiTheme="majorHAnsi"/>
          <w:spacing w:val="-2"/>
          <w:sz w:val="20"/>
          <w:szCs w:val="20"/>
          <w:lang w:val="uk-UA"/>
        </w:rPr>
        <w:t xml:space="preserve"> </w:t>
      </w:r>
      <w:r w:rsidRPr="000977F7">
        <w:rPr>
          <w:rFonts w:asciiTheme="majorHAnsi" w:hAnsiTheme="majorHAnsi"/>
          <w:sz w:val="20"/>
          <w:szCs w:val="20"/>
        </w:rPr>
        <w:t>CORRECTIVE</w:t>
      </w:r>
      <w:r w:rsidRPr="004D2D14">
        <w:rPr>
          <w:rFonts w:asciiTheme="majorHAnsi" w:hAnsiTheme="majorHAnsi"/>
          <w:spacing w:val="-2"/>
          <w:sz w:val="20"/>
          <w:szCs w:val="20"/>
          <w:lang w:val="uk-UA"/>
        </w:rPr>
        <w:t xml:space="preserve"> </w:t>
      </w:r>
      <w:r w:rsidRPr="000977F7">
        <w:rPr>
          <w:rFonts w:asciiTheme="majorHAnsi" w:hAnsiTheme="majorHAnsi"/>
          <w:sz w:val="20"/>
          <w:szCs w:val="20"/>
        </w:rPr>
        <w:t>MAINTANANCE</w:t>
      </w:r>
      <w:r w:rsidRPr="004D2D14">
        <w:rPr>
          <w:rFonts w:asciiTheme="majorHAnsi" w:hAnsiTheme="majorHAnsi"/>
          <w:spacing w:val="-2"/>
          <w:sz w:val="20"/>
          <w:szCs w:val="20"/>
          <w:lang w:val="uk-UA"/>
        </w:rPr>
        <w:t xml:space="preserve"> </w:t>
      </w:r>
      <w:r w:rsidRPr="000977F7">
        <w:rPr>
          <w:rFonts w:asciiTheme="majorHAnsi" w:hAnsiTheme="majorHAnsi"/>
          <w:sz w:val="20"/>
          <w:szCs w:val="20"/>
        </w:rPr>
        <w:t>TIME</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1D6B499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Частина оперативної тривалості технічного обслуговування та (чи) ремонту, протягом якої виконують 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об’єкті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операцію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непланового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ремонту</w:t>
      </w:r>
    </w:p>
    <w:p w14:paraId="37F3E56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2B554D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ОПЕРАТИВНА</w:t>
      </w:r>
      <w:r w:rsidRPr="000977F7">
        <w:rPr>
          <w:color w:val="auto"/>
          <w:spacing w:val="-8"/>
          <w:sz w:val="20"/>
          <w:szCs w:val="20"/>
        </w:rPr>
        <w:t xml:space="preserve"> </w:t>
      </w:r>
      <w:r w:rsidRPr="000977F7">
        <w:rPr>
          <w:color w:val="auto"/>
          <w:sz w:val="20"/>
          <w:szCs w:val="20"/>
        </w:rPr>
        <w:t>ТРИВАЛІСТЬ</w:t>
      </w:r>
      <w:r w:rsidRPr="000977F7">
        <w:rPr>
          <w:color w:val="auto"/>
          <w:spacing w:val="36"/>
          <w:sz w:val="20"/>
          <w:szCs w:val="20"/>
        </w:rPr>
        <w:t xml:space="preserve"> </w:t>
      </w:r>
      <w:r w:rsidRPr="000977F7">
        <w:rPr>
          <w:color w:val="auto"/>
          <w:sz w:val="20"/>
          <w:szCs w:val="20"/>
        </w:rPr>
        <w:t>ТЕХНІЧНОГО</w:t>
      </w:r>
      <w:r w:rsidRPr="000977F7">
        <w:rPr>
          <w:color w:val="auto"/>
          <w:spacing w:val="-47"/>
          <w:sz w:val="20"/>
          <w:szCs w:val="20"/>
        </w:rPr>
        <w:t xml:space="preserve"> </w:t>
      </w:r>
      <w:r w:rsidRPr="000977F7">
        <w:rPr>
          <w:color w:val="auto"/>
          <w:sz w:val="20"/>
          <w:szCs w:val="20"/>
        </w:rPr>
        <w:t>ОБСЛУГОВУВАННЯ</w:t>
      </w:r>
      <w:r w:rsidRPr="000977F7">
        <w:rPr>
          <w:color w:val="auto"/>
          <w:spacing w:val="-1"/>
          <w:sz w:val="20"/>
          <w:szCs w:val="20"/>
        </w:rPr>
        <w:t xml:space="preserve"> </w:t>
      </w:r>
      <w:r w:rsidRPr="000977F7">
        <w:rPr>
          <w:color w:val="auto"/>
          <w:sz w:val="20"/>
          <w:szCs w:val="20"/>
        </w:rPr>
        <w:t>(РЕМОНТА)</w:t>
      </w:r>
      <w:r w:rsidRPr="000977F7">
        <w:rPr>
          <w:color w:val="auto"/>
          <w:spacing w:val="3"/>
          <w:sz w:val="20"/>
          <w:szCs w:val="20"/>
        </w:rPr>
        <w:t xml:space="preserve"> </w:t>
      </w:r>
      <w:r w:rsidRPr="000977F7">
        <w:rPr>
          <w:color w:val="auto"/>
          <w:sz w:val="20"/>
          <w:szCs w:val="20"/>
        </w:rPr>
        <w:t>–</w:t>
      </w:r>
    </w:p>
    <w:p w14:paraId="2183EE6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ACTIVE</w:t>
      </w:r>
      <w:r w:rsidRPr="004D2D14">
        <w:rPr>
          <w:rFonts w:asciiTheme="majorHAnsi" w:hAnsiTheme="majorHAnsi"/>
          <w:spacing w:val="-3"/>
          <w:sz w:val="20"/>
          <w:szCs w:val="20"/>
          <w:lang w:val="uk-UA"/>
        </w:rPr>
        <w:t xml:space="preserve"> </w:t>
      </w:r>
      <w:r w:rsidRPr="000977F7">
        <w:rPr>
          <w:rFonts w:asciiTheme="majorHAnsi" w:hAnsiTheme="majorHAnsi"/>
          <w:sz w:val="20"/>
          <w:szCs w:val="20"/>
        </w:rPr>
        <w:t>MAINTENANCE</w:t>
      </w:r>
      <w:r w:rsidRPr="004D2D14">
        <w:rPr>
          <w:rFonts w:asciiTheme="majorHAnsi" w:hAnsiTheme="majorHAnsi"/>
          <w:spacing w:val="-2"/>
          <w:sz w:val="20"/>
          <w:szCs w:val="20"/>
          <w:lang w:val="uk-UA"/>
        </w:rPr>
        <w:t xml:space="preserve"> </w:t>
      </w:r>
      <w:r w:rsidRPr="000977F7">
        <w:rPr>
          <w:rFonts w:asciiTheme="majorHAnsi" w:hAnsiTheme="majorHAnsi"/>
          <w:sz w:val="20"/>
          <w:szCs w:val="20"/>
        </w:rPr>
        <w:t>TIME</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5D5DD7C2"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Частина тривалості технічного обслуговування та (чи)</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ремонту,</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протягом</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якої</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автоматично</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вручну</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об’єкті</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виконують</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операцію</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технічного</w:t>
      </w:r>
      <w:r w:rsidRPr="004D2D14">
        <w:rPr>
          <w:rFonts w:asciiTheme="majorHAnsi" w:hAnsiTheme="majorHAnsi"/>
          <w:spacing w:val="19"/>
          <w:sz w:val="20"/>
          <w:szCs w:val="20"/>
          <w:lang w:val="uk-UA"/>
        </w:rPr>
        <w:t xml:space="preserve"> </w:t>
      </w:r>
      <w:r w:rsidRPr="004D2D14">
        <w:rPr>
          <w:rFonts w:asciiTheme="majorHAnsi" w:hAnsiTheme="majorHAnsi"/>
          <w:sz w:val="20"/>
          <w:szCs w:val="20"/>
          <w:lang w:val="uk-UA"/>
        </w:rPr>
        <w:t>обслуговування</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9"/>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9"/>
          <w:sz w:val="20"/>
          <w:szCs w:val="20"/>
          <w:lang w:val="uk-UA"/>
        </w:rPr>
        <w:t xml:space="preserve"> </w:t>
      </w:r>
      <w:r w:rsidRPr="004D2D14">
        <w:rPr>
          <w:rFonts w:asciiTheme="majorHAnsi" w:hAnsiTheme="majorHAnsi"/>
          <w:sz w:val="20"/>
          <w:szCs w:val="20"/>
          <w:lang w:val="uk-UA"/>
        </w:rPr>
        <w:t>ремонту,</w:t>
      </w:r>
      <w:r w:rsidRPr="004D2D14">
        <w:rPr>
          <w:rFonts w:asciiTheme="majorHAnsi" w:hAnsiTheme="majorHAnsi"/>
          <w:spacing w:val="19"/>
          <w:sz w:val="20"/>
          <w:szCs w:val="20"/>
          <w:lang w:val="uk-UA"/>
        </w:rPr>
        <w:t xml:space="preserve"> </w:t>
      </w:r>
      <w:r w:rsidRPr="004D2D14">
        <w:rPr>
          <w:rFonts w:asciiTheme="majorHAnsi" w:hAnsiTheme="majorHAnsi"/>
          <w:sz w:val="20"/>
          <w:szCs w:val="20"/>
          <w:lang w:val="uk-UA"/>
        </w:rPr>
        <w:t>за</w:t>
      </w:r>
      <w:r w:rsidRPr="004D2D14">
        <w:rPr>
          <w:rFonts w:asciiTheme="majorHAnsi" w:hAnsiTheme="majorHAnsi"/>
          <w:spacing w:val="19"/>
          <w:sz w:val="20"/>
          <w:szCs w:val="20"/>
          <w:lang w:val="uk-UA"/>
        </w:rPr>
        <w:t xml:space="preserve"> </w:t>
      </w:r>
      <w:r w:rsidRPr="004D2D14">
        <w:rPr>
          <w:rFonts w:asciiTheme="majorHAnsi" w:hAnsiTheme="majorHAnsi"/>
          <w:sz w:val="20"/>
          <w:szCs w:val="20"/>
          <w:lang w:val="uk-UA"/>
        </w:rPr>
        <w:t>винятком</w:t>
      </w:r>
      <w:r w:rsidRPr="004D2D14">
        <w:rPr>
          <w:rFonts w:asciiTheme="majorHAnsi" w:hAnsiTheme="majorHAnsi"/>
          <w:spacing w:val="19"/>
          <w:sz w:val="20"/>
          <w:szCs w:val="20"/>
          <w:lang w:val="uk-UA"/>
        </w:rPr>
        <w:t xml:space="preserve"> </w:t>
      </w:r>
      <w:r w:rsidRPr="004D2D14">
        <w:rPr>
          <w:rFonts w:asciiTheme="majorHAnsi" w:hAnsiTheme="majorHAnsi"/>
          <w:sz w:val="20"/>
          <w:szCs w:val="20"/>
          <w:lang w:val="uk-UA"/>
        </w:rPr>
        <w:t>тривалості</w:t>
      </w:r>
      <w:r w:rsidRPr="004D2D14">
        <w:rPr>
          <w:rFonts w:asciiTheme="majorHAnsi" w:hAnsiTheme="majorHAnsi"/>
          <w:spacing w:val="19"/>
          <w:sz w:val="20"/>
          <w:szCs w:val="20"/>
          <w:lang w:val="uk-UA"/>
        </w:rPr>
        <w:t xml:space="preserve"> </w:t>
      </w:r>
      <w:r w:rsidRPr="004D2D14">
        <w:rPr>
          <w:rFonts w:asciiTheme="majorHAnsi" w:hAnsiTheme="majorHAnsi"/>
          <w:sz w:val="20"/>
          <w:szCs w:val="20"/>
          <w:lang w:val="uk-UA"/>
        </w:rPr>
        <w:t>затримок через незабезпеченість матеріальними ресурсами</w:t>
      </w:r>
      <w:r w:rsidRPr="004D2D14">
        <w:rPr>
          <w:rFonts w:asciiTheme="majorHAnsi" w:hAnsiTheme="majorHAnsi"/>
          <w:spacing w:val="1"/>
          <w:sz w:val="20"/>
          <w:szCs w:val="20"/>
          <w:lang w:val="uk-UA"/>
        </w:rPr>
        <w:t xml:space="preserve"> </w:t>
      </w:r>
    </w:p>
    <w:p w14:paraId="742B0E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2D2B3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Операцію</w:t>
      </w:r>
      <w:r w:rsidRPr="000977F7">
        <w:rPr>
          <w:rFonts w:asciiTheme="majorHAnsi" w:hAnsiTheme="majorHAnsi"/>
          <w:spacing w:val="33"/>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32"/>
          <w:sz w:val="20"/>
          <w:szCs w:val="20"/>
        </w:rPr>
        <w:t xml:space="preserve"> </w:t>
      </w:r>
      <w:r w:rsidRPr="000977F7">
        <w:rPr>
          <w:rFonts w:asciiTheme="majorHAnsi" w:hAnsiTheme="majorHAnsi"/>
          <w:sz w:val="20"/>
          <w:szCs w:val="20"/>
        </w:rPr>
        <w:t>обслуговування</w:t>
      </w:r>
      <w:r w:rsidRPr="000977F7">
        <w:rPr>
          <w:rFonts w:asciiTheme="majorHAnsi" w:hAnsiTheme="majorHAnsi"/>
          <w:spacing w:val="30"/>
          <w:sz w:val="20"/>
          <w:szCs w:val="20"/>
        </w:rPr>
        <w:t xml:space="preserve"> </w:t>
      </w:r>
      <w:r w:rsidRPr="000977F7">
        <w:rPr>
          <w:rFonts w:asciiTheme="majorHAnsi" w:hAnsiTheme="majorHAnsi"/>
          <w:sz w:val="20"/>
          <w:szCs w:val="20"/>
        </w:rPr>
        <w:t>можуть</w:t>
      </w:r>
      <w:r w:rsidRPr="000977F7">
        <w:rPr>
          <w:rFonts w:asciiTheme="majorHAnsi" w:hAnsiTheme="majorHAnsi"/>
          <w:spacing w:val="31"/>
          <w:sz w:val="20"/>
          <w:szCs w:val="20"/>
        </w:rPr>
        <w:t xml:space="preserve"> </w:t>
      </w:r>
      <w:r w:rsidRPr="000977F7">
        <w:rPr>
          <w:rFonts w:asciiTheme="majorHAnsi" w:hAnsiTheme="majorHAnsi"/>
          <w:sz w:val="20"/>
          <w:szCs w:val="20"/>
        </w:rPr>
        <w:t>проводити і під час виконання об’єктом потрібної функції</w:t>
      </w:r>
    </w:p>
    <w:p w14:paraId="584DFA31"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2860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42841B3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ACTIVE</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PREVENTIVE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MAINTAN</w:t>
      </w:r>
      <w:r w:rsidRPr="000977F7">
        <w:rPr>
          <w:rFonts w:asciiTheme="majorHAnsi" w:hAnsiTheme="majorHAnsi"/>
          <w:sz w:val="20"/>
          <w:szCs w:val="20"/>
        </w:rPr>
        <w:t>А</w:t>
      </w:r>
      <w:r w:rsidRPr="004D2D14">
        <w:rPr>
          <w:rFonts w:asciiTheme="majorHAnsi" w:hAnsiTheme="majorHAnsi"/>
          <w:sz w:val="20"/>
          <w:szCs w:val="20"/>
          <w:lang w:val="en-US"/>
        </w:rPr>
        <w:t>NCE</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6115F38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оперативної тривалості технічного обслуговування та (чи) ремонту, протягом якої на об’єкті виконують</w:t>
      </w:r>
      <w:r w:rsidRPr="000977F7">
        <w:rPr>
          <w:rFonts w:asciiTheme="majorHAnsi" w:hAnsiTheme="majorHAnsi"/>
          <w:spacing w:val="-2"/>
          <w:sz w:val="20"/>
          <w:szCs w:val="20"/>
        </w:rPr>
        <w:t xml:space="preserve"> </w:t>
      </w:r>
      <w:r w:rsidRPr="000977F7">
        <w:rPr>
          <w:rFonts w:asciiTheme="majorHAnsi" w:hAnsiTheme="majorHAnsi"/>
          <w:sz w:val="20"/>
          <w:szCs w:val="20"/>
        </w:rPr>
        <w:t>операцію</w:t>
      </w:r>
      <w:r w:rsidRPr="000977F7">
        <w:rPr>
          <w:rFonts w:asciiTheme="majorHAnsi" w:hAnsiTheme="majorHAnsi"/>
          <w:spacing w:val="-2"/>
          <w:sz w:val="20"/>
          <w:szCs w:val="20"/>
        </w:rPr>
        <w:t xml:space="preserve"> </w:t>
      </w:r>
      <w:r w:rsidRPr="000977F7">
        <w:rPr>
          <w:rFonts w:asciiTheme="majorHAnsi" w:hAnsiTheme="majorHAnsi"/>
          <w:sz w:val="20"/>
          <w:szCs w:val="20"/>
        </w:rPr>
        <w:t>технічного обслуговування</w:t>
      </w:r>
    </w:p>
    <w:p w14:paraId="222BC83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4AC1DA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ОПЕРАТИВНА ТРУДОМІСТКІСТЬ ДАНОГО</w:t>
      </w:r>
      <w:r w:rsidRPr="000977F7">
        <w:rPr>
          <w:color w:val="auto"/>
          <w:spacing w:val="1"/>
          <w:sz w:val="20"/>
          <w:szCs w:val="20"/>
        </w:rPr>
        <w:t xml:space="preserve"> </w:t>
      </w:r>
      <w:r w:rsidRPr="000977F7">
        <w:rPr>
          <w:color w:val="auto"/>
          <w:sz w:val="20"/>
          <w:szCs w:val="20"/>
        </w:rPr>
        <w:t>ТЕХНІЧНОГО ОБСЛУГОВУВАННЯ (РЕМОНТА)-</w:t>
      </w:r>
    </w:p>
    <w:p w14:paraId="59FB44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Трудовитрати на виконання всіх операцій одного технічного обслуговування (ремонту) об’єкта, визначені</w:t>
      </w:r>
      <w:r w:rsidRPr="000977F7">
        <w:rPr>
          <w:rFonts w:asciiTheme="majorHAnsi" w:hAnsiTheme="majorHAnsi"/>
          <w:spacing w:val="1"/>
          <w:sz w:val="20"/>
          <w:szCs w:val="20"/>
        </w:rPr>
        <w:t xml:space="preserve"> </w:t>
      </w:r>
      <w:r w:rsidRPr="000977F7">
        <w:rPr>
          <w:rFonts w:asciiTheme="majorHAnsi" w:hAnsiTheme="majorHAnsi"/>
          <w:sz w:val="20"/>
          <w:szCs w:val="20"/>
        </w:rPr>
        <w:t>його конструкцією</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технічним станом</w:t>
      </w:r>
    </w:p>
    <w:p w14:paraId="178C175D"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ОПЕРАТИВНА</w:t>
      </w:r>
      <w:r w:rsidRPr="000977F7">
        <w:rPr>
          <w:color w:val="auto"/>
          <w:spacing w:val="-10"/>
          <w:sz w:val="20"/>
          <w:szCs w:val="20"/>
        </w:rPr>
        <w:t xml:space="preserve"> </w:t>
      </w:r>
      <w:r w:rsidRPr="000977F7">
        <w:rPr>
          <w:color w:val="auto"/>
          <w:sz w:val="20"/>
          <w:szCs w:val="20"/>
        </w:rPr>
        <w:t>ХАРАКТЕРИСТИКА</w:t>
      </w:r>
      <w:r w:rsidRPr="000977F7">
        <w:rPr>
          <w:color w:val="auto"/>
          <w:spacing w:val="-11"/>
          <w:sz w:val="20"/>
          <w:szCs w:val="20"/>
        </w:rPr>
        <w:t xml:space="preserve"> </w:t>
      </w:r>
      <w:r w:rsidRPr="000977F7">
        <w:rPr>
          <w:color w:val="auto"/>
          <w:sz w:val="20"/>
          <w:szCs w:val="20"/>
        </w:rPr>
        <w:t>ПЛАНУ</w:t>
      </w:r>
      <w:r w:rsidRPr="000977F7">
        <w:rPr>
          <w:color w:val="auto"/>
          <w:spacing w:val="-47"/>
          <w:sz w:val="20"/>
          <w:szCs w:val="20"/>
        </w:rPr>
        <w:t xml:space="preserve"> </w:t>
      </w:r>
      <w:r w:rsidRPr="000977F7">
        <w:rPr>
          <w:color w:val="auto"/>
          <w:sz w:val="20"/>
          <w:szCs w:val="20"/>
        </w:rPr>
        <w:t>ВИБІРКОВОГО КОНТРОЛЮ</w:t>
      </w:r>
      <w:r w:rsidRPr="000977F7">
        <w:rPr>
          <w:color w:val="auto"/>
          <w:spacing w:val="1"/>
          <w:sz w:val="20"/>
          <w:szCs w:val="20"/>
        </w:rPr>
        <w:t xml:space="preserve"> </w:t>
      </w:r>
      <w:r w:rsidRPr="000977F7">
        <w:rPr>
          <w:b w:val="0"/>
          <w:color w:val="auto"/>
          <w:sz w:val="20"/>
          <w:szCs w:val="20"/>
        </w:rPr>
        <w:t>–</w:t>
      </w:r>
    </w:p>
    <w:p w14:paraId="746913E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OPERATING CHARACTERISTIC OF</w:t>
      </w:r>
      <w:r w:rsidRPr="004D2D14">
        <w:rPr>
          <w:rFonts w:asciiTheme="majorHAnsi" w:hAnsiTheme="majorHAnsi"/>
          <w:spacing w:val="-48"/>
          <w:sz w:val="20"/>
          <w:szCs w:val="20"/>
          <w:lang w:val="en-US"/>
        </w:rPr>
        <w:t xml:space="preserve"> </w:t>
      </w:r>
      <w:r w:rsidRPr="004D2D14">
        <w:rPr>
          <w:rFonts w:asciiTheme="majorHAnsi" w:hAnsiTheme="majorHAnsi"/>
          <w:sz w:val="20"/>
          <w:szCs w:val="20"/>
          <w:lang w:val="en-US"/>
        </w:rPr>
        <w:t>SAMPLING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PLAN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E2DDCA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Виражена</w:t>
      </w:r>
      <w:r w:rsidRPr="004D2D14">
        <w:rPr>
          <w:rFonts w:asciiTheme="majorHAnsi" w:hAnsiTheme="majorHAnsi"/>
          <w:spacing w:val="1"/>
          <w:sz w:val="20"/>
          <w:szCs w:val="20"/>
          <w:lang w:val="en-US"/>
        </w:rPr>
        <w:t xml:space="preserve"> </w:t>
      </w:r>
      <w:r w:rsidRPr="000977F7">
        <w:rPr>
          <w:rFonts w:asciiTheme="majorHAnsi" w:hAnsiTheme="majorHAnsi"/>
          <w:sz w:val="20"/>
          <w:szCs w:val="20"/>
        </w:rPr>
        <w:t>рівнянням</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графіком</w:t>
      </w:r>
      <w:r w:rsidRPr="004D2D14">
        <w:rPr>
          <w:rFonts w:asciiTheme="majorHAnsi" w:hAnsiTheme="majorHAnsi"/>
          <w:spacing w:val="1"/>
          <w:sz w:val="20"/>
          <w:szCs w:val="20"/>
          <w:lang w:val="en-US"/>
        </w:rPr>
        <w:t xml:space="preserve"> </w:t>
      </w:r>
      <w:r w:rsidRPr="000977F7">
        <w:rPr>
          <w:rFonts w:asciiTheme="majorHAnsi" w:hAnsiTheme="majorHAnsi"/>
          <w:sz w:val="20"/>
          <w:szCs w:val="20"/>
        </w:rPr>
        <w:t>чи</w:t>
      </w:r>
      <w:r w:rsidRPr="004D2D14">
        <w:rPr>
          <w:rFonts w:asciiTheme="majorHAnsi" w:hAnsiTheme="majorHAnsi"/>
          <w:spacing w:val="1"/>
          <w:sz w:val="20"/>
          <w:szCs w:val="20"/>
          <w:lang w:val="en-US"/>
        </w:rPr>
        <w:t xml:space="preserve"> </w:t>
      </w:r>
      <w:r w:rsidRPr="000977F7">
        <w:rPr>
          <w:rFonts w:asciiTheme="majorHAnsi" w:hAnsiTheme="majorHAnsi"/>
          <w:sz w:val="20"/>
          <w:szCs w:val="20"/>
        </w:rPr>
        <w:t>таблицею</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залежність</w:t>
      </w:r>
      <w:r w:rsidRPr="004D2D14">
        <w:rPr>
          <w:rFonts w:asciiTheme="majorHAnsi" w:hAnsiTheme="majorHAnsi"/>
          <w:sz w:val="20"/>
          <w:szCs w:val="20"/>
          <w:lang w:val="en-US"/>
        </w:rPr>
        <w:t xml:space="preserve"> </w:t>
      </w:r>
      <w:r w:rsidRPr="000977F7">
        <w:rPr>
          <w:rFonts w:asciiTheme="majorHAnsi" w:hAnsiTheme="majorHAnsi"/>
          <w:sz w:val="20"/>
          <w:szCs w:val="20"/>
        </w:rPr>
        <w:t>імовірності</w:t>
      </w:r>
      <w:r w:rsidRPr="004D2D14">
        <w:rPr>
          <w:rFonts w:asciiTheme="majorHAnsi" w:hAnsiTheme="majorHAnsi"/>
          <w:sz w:val="20"/>
          <w:szCs w:val="20"/>
          <w:lang w:val="en-US"/>
        </w:rPr>
        <w:t xml:space="preserve"> </w:t>
      </w:r>
      <w:r w:rsidRPr="000977F7">
        <w:rPr>
          <w:rFonts w:asciiTheme="majorHAnsi" w:hAnsiTheme="majorHAnsi"/>
          <w:sz w:val="20"/>
          <w:szCs w:val="20"/>
        </w:rPr>
        <w:t>приймання</w:t>
      </w:r>
      <w:r w:rsidRPr="004D2D14">
        <w:rPr>
          <w:rFonts w:asciiTheme="majorHAnsi" w:hAnsiTheme="majorHAnsi"/>
          <w:sz w:val="20"/>
          <w:szCs w:val="20"/>
          <w:lang w:val="en-US"/>
        </w:rPr>
        <w:t xml:space="preserve"> </w:t>
      </w:r>
      <w:r w:rsidRPr="000977F7">
        <w:rPr>
          <w:rFonts w:asciiTheme="majorHAnsi" w:hAnsiTheme="majorHAnsi"/>
          <w:sz w:val="20"/>
          <w:szCs w:val="20"/>
        </w:rPr>
        <w:t>партії</w:t>
      </w:r>
      <w:r w:rsidRPr="004D2D14">
        <w:rPr>
          <w:rFonts w:asciiTheme="majorHAnsi" w:hAnsiTheme="majorHAnsi"/>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 xml:space="preserve"> </w:t>
      </w:r>
      <w:r w:rsidRPr="000977F7">
        <w:rPr>
          <w:rFonts w:asciiTheme="majorHAnsi" w:hAnsiTheme="majorHAnsi"/>
          <w:sz w:val="20"/>
          <w:szCs w:val="20"/>
        </w:rPr>
        <w:t>від</w:t>
      </w:r>
      <w:r w:rsidRPr="004D2D14">
        <w:rPr>
          <w:rFonts w:asciiTheme="majorHAnsi" w:hAnsiTheme="majorHAnsi"/>
          <w:sz w:val="20"/>
          <w:szCs w:val="20"/>
          <w:lang w:val="en-US"/>
        </w:rPr>
        <w:t xml:space="preserve"> </w:t>
      </w:r>
      <w:r w:rsidRPr="000977F7">
        <w:rPr>
          <w:rFonts w:asciiTheme="majorHAnsi" w:hAnsiTheme="majorHAnsi"/>
          <w:sz w:val="20"/>
          <w:szCs w:val="20"/>
        </w:rPr>
        <w:t>величини</w:t>
      </w:r>
      <w:r w:rsidRPr="004D2D14">
        <w:rPr>
          <w:rFonts w:asciiTheme="majorHAnsi" w:hAnsiTheme="majorHAnsi"/>
          <w:sz w:val="20"/>
          <w:szCs w:val="20"/>
          <w:lang w:val="en-US"/>
        </w:rPr>
        <w:t xml:space="preserve">, </w:t>
      </w:r>
      <w:r w:rsidRPr="000977F7">
        <w:rPr>
          <w:rFonts w:asciiTheme="majorHAnsi" w:hAnsiTheme="majorHAnsi"/>
          <w:sz w:val="20"/>
          <w:szCs w:val="20"/>
        </w:rPr>
        <w:t>яка</w:t>
      </w:r>
      <w:r w:rsidRPr="004D2D14">
        <w:rPr>
          <w:rFonts w:asciiTheme="majorHAnsi" w:hAnsiTheme="majorHAnsi"/>
          <w:spacing w:val="1"/>
          <w:sz w:val="20"/>
          <w:szCs w:val="20"/>
          <w:lang w:val="en-US"/>
        </w:rPr>
        <w:t xml:space="preserve"> </w:t>
      </w:r>
      <w:r w:rsidRPr="000977F7">
        <w:rPr>
          <w:rFonts w:asciiTheme="majorHAnsi" w:hAnsiTheme="majorHAnsi"/>
          <w:sz w:val="20"/>
          <w:szCs w:val="20"/>
        </w:rPr>
        <w:t>характеризує</w:t>
      </w:r>
      <w:r w:rsidRPr="004D2D14">
        <w:rPr>
          <w:rFonts w:asciiTheme="majorHAnsi" w:hAnsiTheme="majorHAnsi"/>
          <w:sz w:val="20"/>
          <w:szCs w:val="20"/>
          <w:lang w:val="en-US"/>
        </w:rPr>
        <w:t xml:space="preserve"> </w:t>
      </w:r>
      <w:r w:rsidRPr="000977F7">
        <w:rPr>
          <w:rFonts w:asciiTheme="majorHAnsi" w:hAnsiTheme="majorHAnsi"/>
          <w:sz w:val="20"/>
          <w:szCs w:val="20"/>
        </w:rPr>
        <w:t>якість</w:t>
      </w:r>
      <w:r w:rsidRPr="004D2D14">
        <w:rPr>
          <w:rFonts w:asciiTheme="majorHAnsi" w:hAnsiTheme="majorHAnsi"/>
          <w:sz w:val="20"/>
          <w:szCs w:val="20"/>
          <w:lang w:val="en-US"/>
        </w:rPr>
        <w:t xml:space="preserve"> </w:t>
      </w:r>
      <w:r w:rsidRPr="000977F7">
        <w:rPr>
          <w:rFonts w:asciiTheme="majorHAnsi" w:hAnsiTheme="majorHAnsi"/>
          <w:sz w:val="20"/>
          <w:szCs w:val="20"/>
        </w:rPr>
        <w:t>цієї</w:t>
      </w:r>
      <w:r w:rsidRPr="004D2D14">
        <w:rPr>
          <w:rFonts w:asciiTheme="majorHAnsi" w:hAnsiTheme="majorHAnsi"/>
          <w:sz w:val="20"/>
          <w:szCs w:val="20"/>
          <w:lang w:val="en-US"/>
        </w:rPr>
        <w:t xml:space="preserve"> </w:t>
      </w:r>
      <w:r w:rsidRPr="000977F7">
        <w:rPr>
          <w:rFonts w:asciiTheme="majorHAnsi" w:hAnsiTheme="majorHAnsi"/>
          <w:sz w:val="20"/>
          <w:szCs w:val="20"/>
        </w:rPr>
        <w:t>партії</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певного</w:t>
      </w:r>
      <w:r w:rsidRPr="004D2D14">
        <w:rPr>
          <w:rFonts w:asciiTheme="majorHAnsi" w:hAnsiTheme="majorHAnsi"/>
          <w:sz w:val="20"/>
          <w:szCs w:val="20"/>
          <w:lang w:val="en-US"/>
        </w:rPr>
        <w:t xml:space="preserve"> </w:t>
      </w:r>
      <w:r w:rsidRPr="000977F7">
        <w:rPr>
          <w:rFonts w:asciiTheme="majorHAnsi" w:hAnsiTheme="majorHAnsi"/>
          <w:sz w:val="20"/>
          <w:szCs w:val="20"/>
        </w:rPr>
        <w:t>плану</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вибіркового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контролю</w:t>
      </w:r>
    </w:p>
    <w:p w14:paraId="407630F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1140F57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ОПЕРАТИВНЕ</w:t>
      </w:r>
      <w:r w:rsidRPr="000977F7">
        <w:rPr>
          <w:color w:val="auto"/>
          <w:spacing w:val="-6"/>
          <w:sz w:val="20"/>
          <w:szCs w:val="20"/>
        </w:rPr>
        <w:t xml:space="preserve"> </w:t>
      </w:r>
      <w:r w:rsidRPr="000977F7">
        <w:rPr>
          <w:color w:val="auto"/>
          <w:sz w:val="20"/>
          <w:szCs w:val="20"/>
        </w:rPr>
        <w:t>ПЛАНУВАННЯ</w:t>
      </w:r>
      <w:r w:rsidRPr="000977F7">
        <w:rPr>
          <w:color w:val="auto"/>
          <w:spacing w:val="-4"/>
          <w:sz w:val="20"/>
          <w:szCs w:val="20"/>
        </w:rPr>
        <w:t xml:space="preserve"> </w:t>
      </w:r>
      <w:r w:rsidRPr="000977F7">
        <w:rPr>
          <w:color w:val="auto"/>
          <w:sz w:val="20"/>
          <w:szCs w:val="20"/>
        </w:rPr>
        <w:t>І</w:t>
      </w:r>
      <w:r w:rsidRPr="000977F7">
        <w:rPr>
          <w:color w:val="auto"/>
          <w:spacing w:val="-5"/>
          <w:sz w:val="20"/>
          <w:szCs w:val="20"/>
        </w:rPr>
        <w:t xml:space="preserve"> </w:t>
      </w:r>
      <w:r w:rsidRPr="000977F7">
        <w:rPr>
          <w:color w:val="auto"/>
          <w:sz w:val="20"/>
          <w:szCs w:val="20"/>
        </w:rPr>
        <w:t>КОНТРОЛЬ –</w:t>
      </w:r>
    </w:p>
    <w:p w14:paraId="041543C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Організація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повинна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планувати,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запроваджувати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контролювати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процеси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(дивись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система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управління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якістю та її процеси), потрібні для задоволення вимог</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щодо надавання продукції та послуг, а також для виконання дій з планування дій стосовно ризиків і можливостей,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цілей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 сфері якості та планування дій</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їх</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досягнення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планування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змін,</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 допомогою:</w:t>
      </w:r>
    </w:p>
    <w:p w14:paraId="3ED6CF1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3"/>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2"/>
          <w:sz w:val="20"/>
          <w:szCs w:val="20"/>
        </w:rPr>
        <w:t xml:space="preserve"> </w:t>
      </w:r>
      <w:r w:rsidRPr="000977F7">
        <w:rPr>
          <w:rFonts w:asciiTheme="majorHAnsi" w:hAnsiTheme="majorHAnsi"/>
          <w:sz w:val="20"/>
          <w:szCs w:val="20"/>
        </w:rPr>
        <w:t>вимог</w:t>
      </w:r>
      <w:r w:rsidRPr="000977F7">
        <w:rPr>
          <w:rFonts w:asciiTheme="majorHAnsi" w:hAnsiTheme="majorHAnsi"/>
          <w:spacing w:val="-4"/>
          <w:sz w:val="20"/>
          <w:szCs w:val="20"/>
        </w:rPr>
        <w:t xml:space="preserve"> </w:t>
      </w:r>
      <w:r w:rsidRPr="000977F7">
        <w:rPr>
          <w:rFonts w:asciiTheme="majorHAnsi" w:hAnsiTheme="majorHAnsi"/>
          <w:sz w:val="20"/>
          <w:szCs w:val="20"/>
        </w:rPr>
        <w:t>до</w:t>
      </w:r>
      <w:r w:rsidRPr="000977F7">
        <w:rPr>
          <w:rFonts w:asciiTheme="majorHAnsi" w:hAnsiTheme="majorHAnsi"/>
          <w:spacing w:val="-3"/>
          <w:sz w:val="20"/>
          <w:szCs w:val="20"/>
        </w:rPr>
        <w:t xml:space="preserve"> </w:t>
      </w:r>
      <w:r w:rsidRPr="000977F7">
        <w:rPr>
          <w:rFonts w:asciiTheme="majorHAnsi" w:hAnsiTheme="majorHAnsi"/>
          <w:sz w:val="20"/>
          <w:szCs w:val="20"/>
        </w:rPr>
        <w:t>продукції</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послуг;</w:t>
      </w:r>
    </w:p>
    <w:p w14:paraId="51D360FF" w14:textId="77777777" w:rsidR="0097612F" w:rsidRPr="000977F7" w:rsidRDefault="0097612F" w:rsidP="00FD39A4">
      <w:pPr>
        <w:pStyle w:val="ac"/>
        <w:widowControl w:val="0"/>
        <w:numPr>
          <w:ilvl w:val="0"/>
          <w:numId w:val="132"/>
        </w:numPr>
        <w:tabs>
          <w:tab w:val="left" w:pos="284"/>
          <w:tab w:val="left" w:pos="65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установлення</w:t>
      </w:r>
      <w:r w:rsidRPr="000977F7">
        <w:rPr>
          <w:rFonts w:asciiTheme="majorHAnsi" w:hAnsiTheme="majorHAnsi"/>
          <w:spacing w:val="-5"/>
          <w:sz w:val="20"/>
          <w:szCs w:val="20"/>
        </w:rPr>
        <w:t xml:space="preserve"> </w:t>
      </w:r>
      <w:r w:rsidRPr="000977F7">
        <w:rPr>
          <w:rFonts w:asciiTheme="majorHAnsi" w:hAnsiTheme="majorHAnsi"/>
          <w:sz w:val="20"/>
          <w:szCs w:val="20"/>
        </w:rPr>
        <w:t>критеріїв</w:t>
      </w:r>
      <w:r w:rsidRPr="000977F7">
        <w:rPr>
          <w:rFonts w:asciiTheme="majorHAnsi" w:hAnsiTheme="majorHAnsi"/>
          <w:spacing w:val="-4"/>
          <w:sz w:val="20"/>
          <w:szCs w:val="20"/>
        </w:rPr>
        <w:t xml:space="preserve"> </w:t>
      </w:r>
      <w:r w:rsidRPr="000977F7">
        <w:rPr>
          <w:rFonts w:asciiTheme="majorHAnsi" w:hAnsiTheme="majorHAnsi"/>
          <w:sz w:val="20"/>
          <w:szCs w:val="20"/>
        </w:rPr>
        <w:t>щодо:</w:t>
      </w:r>
    </w:p>
    <w:p w14:paraId="353D06F5" w14:textId="77777777" w:rsidR="0097612F" w:rsidRPr="000977F7" w:rsidRDefault="0097612F" w:rsidP="00FD39A4">
      <w:pPr>
        <w:pStyle w:val="ac"/>
        <w:widowControl w:val="0"/>
        <w:numPr>
          <w:ilvl w:val="1"/>
          <w:numId w:val="132"/>
        </w:numPr>
        <w:tabs>
          <w:tab w:val="left" w:pos="284"/>
          <w:tab w:val="left" w:pos="83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цих</w:t>
      </w:r>
      <w:r w:rsidRPr="000977F7">
        <w:rPr>
          <w:rFonts w:asciiTheme="majorHAnsi" w:hAnsiTheme="majorHAnsi"/>
          <w:spacing w:val="-4"/>
          <w:sz w:val="20"/>
          <w:szCs w:val="20"/>
        </w:rPr>
        <w:t xml:space="preserve"> </w:t>
      </w:r>
      <w:r w:rsidRPr="000977F7">
        <w:rPr>
          <w:rFonts w:asciiTheme="majorHAnsi" w:hAnsiTheme="majorHAnsi"/>
          <w:sz w:val="20"/>
          <w:szCs w:val="20"/>
        </w:rPr>
        <w:t>процесів;</w:t>
      </w:r>
    </w:p>
    <w:p w14:paraId="0140A333" w14:textId="77777777" w:rsidR="0097612F" w:rsidRPr="000977F7" w:rsidRDefault="0097612F" w:rsidP="00FD39A4">
      <w:pPr>
        <w:pStyle w:val="ac"/>
        <w:widowControl w:val="0"/>
        <w:numPr>
          <w:ilvl w:val="1"/>
          <w:numId w:val="132"/>
        </w:numPr>
        <w:tabs>
          <w:tab w:val="left" w:pos="284"/>
          <w:tab w:val="left" w:pos="83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приймання</w:t>
      </w:r>
      <w:r w:rsidRPr="000977F7">
        <w:rPr>
          <w:rFonts w:asciiTheme="majorHAnsi" w:hAnsiTheme="majorHAnsi"/>
          <w:spacing w:val="-6"/>
          <w:sz w:val="20"/>
          <w:szCs w:val="20"/>
        </w:rPr>
        <w:t xml:space="preserve"> </w:t>
      </w:r>
      <w:r w:rsidRPr="000977F7">
        <w:rPr>
          <w:rFonts w:asciiTheme="majorHAnsi" w:hAnsiTheme="majorHAnsi"/>
          <w:sz w:val="20"/>
          <w:szCs w:val="20"/>
        </w:rPr>
        <w:t>продукції</w:t>
      </w:r>
      <w:r w:rsidRPr="000977F7">
        <w:rPr>
          <w:rFonts w:asciiTheme="majorHAnsi" w:hAnsiTheme="majorHAnsi"/>
          <w:spacing w:val="-5"/>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послуг;</w:t>
      </w:r>
    </w:p>
    <w:p w14:paraId="27C185D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 визначення ресурсів, потрібних для досягнення відповідності</w:t>
      </w:r>
      <w:r w:rsidRPr="000977F7">
        <w:rPr>
          <w:rFonts w:asciiTheme="majorHAnsi" w:hAnsiTheme="majorHAnsi"/>
          <w:spacing w:val="-2"/>
          <w:sz w:val="20"/>
          <w:szCs w:val="20"/>
        </w:rPr>
        <w:t xml:space="preserve"> </w:t>
      </w:r>
      <w:r w:rsidRPr="000977F7">
        <w:rPr>
          <w:rFonts w:asciiTheme="majorHAnsi" w:hAnsiTheme="majorHAnsi"/>
          <w:sz w:val="20"/>
          <w:szCs w:val="20"/>
        </w:rPr>
        <w:t>вимогам до</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p>
    <w:p w14:paraId="46393AD0" w14:textId="77777777" w:rsidR="0097612F" w:rsidRPr="000977F7" w:rsidRDefault="0097612F" w:rsidP="00FD39A4">
      <w:pPr>
        <w:pStyle w:val="ac"/>
        <w:widowControl w:val="0"/>
        <w:numPr>
          <w:ilvl w:val="0"/>
          <w:numId w:val="131"/>
        </w:numPr>
        <w:tabs>
          <w:tab w:val="left" w:pos="284"/>
          <w:tab w:val="left" w:pos="71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запровадження</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47"/>
          <w:sz w:val="20"/>
          <w:szCs w:val="20"/>
        </w:rPr>
        <w:t xml:space="preserve"> </w:t>
      </w:r>
      <w:r w:rsidRPr="000977F7">
        <w:rPr>
          <w:rFonts w:asciiTheme="majorHAnsi" w:hAnsiTheme="majorHAnsi"/>
          <w:sz w:val="20"/>
          <w:szCs w:val="20"/>
        </w:rPr>
        <w:t>критеріїв;</w:t>
      </w:r>
    </w:p>
    <w:p w14:paraId="1C92268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підтримання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актуальному</w:t>
      </w:r>
      <w:r w:rsidRPr="000977F7">
        <w:rPr>
          <w:rFonts w:asciiTheme="majorHAnsi" w:hAnsiTheme="majorHAnsi"/>
          <w:spacing w:val="1"/>
          <w:sz w:val="20"/>
          <w:szCs w:val="20"/>
        </w:rPr>
        <w:t xml:space="preserve"> </w:t>
      </w:r>
      <w:r w:rsidRPr="000977F7">
        <w:rPr>
          <w:rFonts w:asciiTheme="majorHAnsi" w:hAnsiTheme="majorHAnsi"/>
          <w:sz w:val="20"/>
          <w:szCs w:val="20"/>
        </w:rPr>
        <w:t>стані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зберігання задокументованої інформації в обсязі, необхідному:</w:t>
      </w:r>
    </w:p>
    <w:p w14:paraId="2DDBD212" w14:textId="77777777" w:rsidR="0097612F" w:rsidRPr="000977F7" w:rsidRDefault="0097612F" w:rsidP="00FD39A4">
      <w:pPr>
        <w:pStyle w:val="ac"/>
        <w:widowControl w:val="0"/>
        <w:numPr>
          <w:ilvl w:val="1"/>
          <w:numId w:val="131"/>
        </w:numPr>
        <w:tabs>
          <w:tab w:val="left" w:pos="284"/>
          <w:tab w:val="left" w:pos="83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для забезпечення впевненості в тому, що процеси</w:t>
      </w:r>
      <w:r w:rsidRPr="000977F7">
        <w:rPr>
          <w:rFonts w:asciiTheme="majorHAnsi" w:hAnsiTheme="majorHAnsi"/>
          <w:spacing w:val="-47"/>
          <w:sz w:val="20"/>
          <w:szCs w:val="20"/>
        </w:rPr>
        <w:t xml:space="preserve"> </w:t>
      </w:r>
      <w:r w:rsidRPr="000977F7">
        <w:rPr>
          <w:rFonts w:asciiTheme="majorHAnsi" w:hAnsiTheme="majorHAnsi"/>
          <w:sz w:val="20"/>
          <w:szCs w:val="20"/>
        </w:rPr>
        <w:t>виконують</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заплановано для демонстрування відповідності продукції та</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r w:rsidRPr="000977F7">
        <w:rPr>
          <w:rFonts w:asciiTheme="majorHAnsi" w:hAnsiTheme="majorHAnsi"/>
          <w:spacing w:val="-2"/>
          <w:sz w:val="20"/>
          <w:szCs w:val="20"/>
        </w:rPr>
        <w:t xml:space="preserve"> </w:t>
      </w:r>
      <w:r w:rsidRPr="000977F7">
        <w:rPr>
          <w:rFonts w:asciiTheme="majorHAnsi" w:hAnsiTheme="majorHAnsi"/>
          <w:sz w:val="20"/>
          <w:szCs w:val="20"/>
        </w:rPr>
        <w:t>вимогам</w:t>
      </w:r>
      <w:r w:rsidRPr="000977F7">
        <w:rPr>
          <w:rFonts w:asciiTheme="majorHAnsi" w:hAnsiTheme="majorHAnsi"/>
          <w:spacing w:val="1"/>
          <w:sz w:val="20"/>
          <w:szCs w:val="20"/>
        </w:rPr>
        <w:t xml:space="preserve"> </w:t>
      </w:r>
      <w:r w:rsidRPr="000977F7">
        <w:rPr>
          <w:rFonts w:asciiTheme="majorHAnsi" w:hAnsiTheme="majorHAnsi"/>
          <w:sz w:val="20"/>
          <w:szCs w:val="20"/>
        </w:rPr>
        <w:t>до них.</w:t>
      </w:r>
    </w:p>
    <w:p w14:paraId="6516C0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Потрібно, щоб вихід цього планування був придатним</w:t>
      </w:r>
      <w:r w:rsidRPr="000977F7">
        <w:rPr>
          <w:rFonts w:asciiTheme="majorHAnsi" w:hAnsiTheme="majorHAnsi"/>
          <w:spacing w:val="-1"/>
          <w:sz w:val="20"/>
          <w:szCs w:val="20"/>
        </w:rPr>
        <w:t xml:space="preserve"> </w:t>
      </w:r>
      <w:r w:rsidRPr="000977F7">
        <w:rPr>
          <w:rFonts w:asciiTheme="majorHAnsi" w:hAnsiTheme="majorHAnsi"/>
          <w:sz w:val="20"/>
          <w:szCs w:val="20"/>
        </w:rPr>
        <w:t>для провадження</w:t>
      </w:r>
      <w:r w:rsidRPr="000977F7">
        <w:rPr>
          <w:rFonts w:asciiTheme="majorHAnsi" w:hAnsiTheme="majorHAnsi"/>
          <w:spacing w:val="-3"/>
          <w:sz w:val="20"/>
          <w:szCs w:val="20"/>
        </w:rPr>
        <w:t xml:space="preserve"> </w:t>
      </w:r>
      <w:r w:rsidRPr="000977F7">
        <w:rPr>
          <w:rFonts w:asciiTheme="majorHAnsi" w:hAnsiTheme="majorHAnsi"/>
          <w:sz w:val="20"/>
          <w:szCs w:val="20"/>
        </w:rPr>
        <w:t>виробничої</w:t>
      </w:r>
      <w:r w:rsidRPr="000977F7">
        <w:rPr>
          <w:rFonts w:asciiTheme="majorHAnsi" w:hAnsiTheme="majorHAnsi"/>
          <w:spacing w:val="-2"/>
          <w:sz w:val="20"/>
          <w:szCs w:val="20"/>
        </w:rPr>
        <w:t xml:space="preserve"> </w:t>
      </w:r>
      <w:r w:rsidRPr="000977F7">
        <w:rPr>
          <w:rFonts w:asciiTheme="majorHAnsi" w:hAnsiTheme="majorHAnsi"/>
          <w:sz w:val="20"/>
          <w:szCs w:val="20"/>
        </w:rPr>
        <w:t>організації.</w:t>
      </w:r>
    </w:p>
    <w:p w14:paraId="34E97E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контролювати заплановані зміни та аналізувати наслідки непередбачених змін і, за</w:t>
      </w:r>
      <w:r w:rsidRPr="000977F7">
        <w:rPr>
          <w:rFonts w:asciiTheme="majorHAnsi" w:hAnsiTheme="majorHAnsi"/>
          <w:spacing w:val="1"/>
          <w:sz w:val="20"/>
          <w:szCs w:val="20"/>
        </w:rPr>
        <w:t xml:space="preserve"> </w:t>
      </w:r>
      <w:r w:rsidRPr="000977F7">
        <w:rPr>
          <w:rFonts w:asciiTheme="majorHAnsi" w:hAnsiTheme="majorHAnsi"/>
          <w:sz w:val="20"/>
          <w:szCs w:val="20"/>
        </w:rPr>
        <w:t>потреби, виконувати дії, щоб послабити будь-які їхні</w:t>
      </w:r>
      <w:r w:rsidRPr="000977F7">
        <w:rPr>
          <w:rFonts w:asciiTheme="majorHAnsi" w:hAnsiTheme="majorHAnsi"/>
          <w:spacing w:val="1"/>
          <w:sz w:val="20"/>
          <w:szCs w:val="20"/>
        </w:rPr>
        <w:t xml:space="preserve"> </w:t>
      </w:r>
      <w:r w:rsidRPr="000977F7">
        <w:rPr>
          <w:rFonts w:asciiTheme="majorHAnsi" w:hAnsiTheme="majorHAnsi"/>
          <w:sz w:val="20"/>
          <w:szCs w:val="20"/>
        </w:rPr>
        <w:t>несприятливі</w:t>
      </w:r>
      <w:r w:rsidRPr="000977F7">
        <w:rPr>
          <w:rFonts w:asciiTheme="majorHAnsi" w:hAnsiTheme="majorHAnsi"/>
          <w:spacing w:val="-2"/>
          <w:sz w:val="20"/>
          <w:szCs w:val="20"/>
        </w:rPr>
        <w:t xml:space="preserve"> </w:t>
      </w:r>
      <w:r w:rsidRPr="000977F7">
        <w:rPr>
          <w:rFonts w:asciiTheme="majorHAnsi" w:hAnsiTheme="majorHAnsi"/>
          <w:sz w:val="20"/>
          <w:szCs w:val="20"/>
        </w:rPr>
        <w:t>впливи.</w:t>
      </w:r>
    </w:p>
    <w:p w14:paraId="7CA387B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повинна</w:t>
      </w:r>
      <w:r w:rsidRPr="000977F7">
        <w:rPr>
          <w:rFonts w:asciiTheme="majorHAnsi" w:hAnsiTheme="majorHAnsi"/>
          <w:spacing w:val="1"/>
          <w:sz w:val="20"/>
          <w:szCs w:val="20"/>
        </w:rPr>
        <w:t xml:space="preserve"> </w:t>
      </w:r>
      <w:r w:rsidRPr="000977F7">
        <w:rPr>
          <w:rFonts w:asciiTheme="majorHAnsi" w:hAnsiTheme="majorHAnsi"/>
          <w:sz w:val="20"/>
          <w:szCs w:val="20"/>
        </w:rPr>
        <w:t>забезпечувати,</w:t>
      </w:r>
      <w:r w:rsidRPr="000977F7">
        <w:rPr>
          <w:rFonts w:asciiTheme="majorHAnsi" w:hAnsiTheme="majorHAnsi"/>
          <w:spacing w:val="1"/>
          <w:sz w:val="20"/>
          <w:szCs w:val="20"/>
        </w:rPr>
        <w:t xml:space="preserve"> </w:t>
      </w:r>
      <w:r w:rsidRPr="000977F7">
        <w:rPr>
          <w:rFonts w:asciiTheme="majorHAnsi" w:hAnsiTheme="majorHAnsi"/>
          <w:sz w:val="20"/>
          <w:szCs w:val="20"/>
        </w:rPr>
        <w:t>щоб</w:t>
      </w:r>
      <w:r w:rsidRPr="000977F7">
        <w:rPr>
          <w:rFonts w:asciiTheme="majorHAnsi" w:hAnsiTheme="majorHAnsi"/>
          <w:spacing w:val="1"/>
          <w:sz w:val="20"/>
          <w:szCs w:val="20"/>
        </w:rPr>
        <w:t xml:space="preserve"> </w:t>
      </w:r>
      <w:r w:rsidRPr="000977F7">
        <w:rPr>
          <w:rFonts w:asciiTheme="majorHAnsi" w:hAnsiTheme="majorHAnsi"/>
          <w:sz w:val="20"/>
          <w:szCs w:val="20"/>
        </w:rPr>
        <w:t>передані</w:t>
      </w:r>
      <w:r w:rsidRPr="000977F7">
        <w:rPr>
          <w:rFonts w:asciiTheme="majorHAnsi" w:hAnsiTheme="majorHAnsi"/>
          <w:spacing w:val="1"/>
          <w:sz w:val="20"/>
          <w:szCs w:val="20"/>
        </w:rPr>
        <w:t xml:space="preserve"> </w:t>
      </w:r>
      <w:r w:rsidRPr="000977F7">
        <w:rPr>
          <w:rFonts w:asciiTheme="majorHAnsi" w:hAnsiTheme="majorHAnsi"/>
          <w:sz w:val="20"/>
          <w:szCs w:val="20"/>
        </w:rPr>
        <w:t>сторонньому виконавцю процеси були під її контролем</w:t>
      </w:r>
      <w:r w:rsidRPr="000977F7">
        <w:rPr>
          <w:rFonts w:asciiTheme="majorHAnsi" w:hAnsiTheme="majorHAnsi"/>
          <w:spacing w:val="1"/>
          <w:sz w:val="20"/>
          <w:szCs w:val="20"/>
        </w:rPr>
        <w:t xml:space="preserve"> </w:t>
      </w:r>
      <w:r w:rsidRPr="000977F7">
        <w:rPr>
          <w:rFonts w:asciiTheme="majorHAnsi" w:hAnsiTheme="majorHAnsi"/>
          <w:sz w:val="20"/>
          <w:szCs w:val="20"/>
        </w:rPr>
        <w:t>(дивись</w:t>
      </w:r>
      <w:r w:rsidRPr="000977F7">
        <w:rPr>
          <w:rFonts w:asciiTheme="majorHAnsi" w:hAnsiTheme="majorHAnsi"/>
          <w:spacing w:val="1"/>
          <w:sz w:val="20"/>
          <w:szCs w:val="20"/>
        </w:rPr>
        <w:t xml:space="preserve"> </w:t>
      </w:r>
      <w:r w:rsidRPr="000977F7">
        <w:rPr>
          <w:rFonts w:asciiTheme="majorHAnsi" w:hAnsiTheme="majorHAnsi"/>
          <w:sz w:val="20"/>
          <w:szCs w:val="20"/>
        </w:rPr>
        <w:t>контроль</w:t>
      </w:r>
      <w:r w:rsidRPr="000977F7">
        <w:rPr>
          <w:rFonts w:asciiTheme="majorHAnsi" w:hAnsiTheme="majorHAnsi"/>
          <w:spacing w:val="1"/>
          <w:sz w:val="20"/>
          <w:szCs w:val="20"/>
        </w:rPr>
        <w:t xml:space="preserve"> </w:t>
      </w:r>
      <w:r w:rsidRPr="000977F7">
        <w:rPr>
          <w:rFonts w:asciiTheme="majorHAnsi" w:hAnsiTheme="majorHAnsi"/>
          <w:sz w:val="20"/>
          <w:szCs w:val="20"/>
        </w:rPr>
        <w:t>надаваних</w:t>
      </w:r>
      <w:r w:rsidRPr="000977F7">
        <w:rPr>
          <w:rFonts w:asciiTheme="majorHAnsi" w:hAnsiTheme="majorHAnsi"/>
          <w:spacing w:val="1"/>
          <w:sz w:val="20"/>
          <w:szCs w:val="20"/>
        </w:rPr>
        <w:t xml:space="preserve"> </w:t>
      </w:r>
      <w:r w:rsidRPr="000977F7">
        <w:rPr>
          <w:rFonts w:asciiTheme="majorHAnsi" w:hAnsiTheme="majorHAnsi"/>
          <w:sz w:val="20"/>
          <w:szCs w:val="20"/>
        </w:rPr>
        <w:t>іззовні</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 послуг).</w:t>
      </w:r>
    </w:p>
    <w:p w14:paraId="289B58B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ISO 9001:2015</w:t>
      </w:r>
    </w:p>
    <w:p w14:paraId="6AA66207"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ОПЕРАТИВНЕ ТЕХНІЧНЕ ДІАГНОСТУВАННЯ</w:t>
      </w:r>
      <w:r w:rsidRPr="000977F7">
        <w:rPr>
          <w:rFonts w:asciiTheme="majorHAnsi" w:hAnsiTheme="majorHAnsi"/>
          <w:b/>
          <w:spacing w:val="1"/>
          <w:sz w:val="20"/>
          <w:szCs w:val="20"/>
        </w:rPr>
        <w:t xml:space="preserve"> </w:t>
      </w:r>
    </w:p>
    <w:p w14:paraId="0C0B9DA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Діагностування, за якого надходження інформації про</w:t>
      </w:r>
      <w:r w:rsidRPr="000977F7">
        <w:rPr>
          <w:rFonts w:asciiTheme="majorHAnsi" w:hAnsiTheme="majorHAnsi"/>
          <w:spacing w:val="-47"/>
          <w:sz w:val="20"/>
          <w:szCs w:val="20"/>
        </w:rPr>
        <w:t xml:space="preserve"> </w:t>
      </w:r>
      <w:r w:rsidRPr="000977F7">
        <w:rPr>
          <w:rFonts w:asciiTheme="majorHAnsi" w:hAnsiTheme="majorHAnsi"/>
          <w:sz w:val="20"/>
          <w:szCs w:val="20"/>
        </w:rPr>
        <w:t>технічний стан об’єкта відбувається із завідомо заданою</w:t>
      </w:r>
      <w:r w:rsidRPr="000977F7">
        <w:rPr>
          <w:rFonts w:asciiTheme="majorHAnsi" w:hAnsiTheme="majorHAnsi"/>
          <w:spacing w:val="-2"/>
          <w:sz w:val="20"/>
          <w:szCs w:val="20"/>
        </w:rPr>
        <w:t xml:space="preserve"> </w:t>
      </w:r>
      <w:r w:rsidRPr="000977F7">
        <w:rPr>
          <w:rFonts w:asciiTheme="majorHAnsi" w:hAnsiTheme="majorHAnsi"/>
          <w:sz w:val="20"/>
          <w:szCs w:val="20"/>
        </w:rPr>
        <w:t>стратегією</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процесі</w:t>
      </w:r>
      <w:r w:rsidRPr="000977F7">
        <w:rPr>
          <w:rFonts w:asciiTheme="majorHAnsi" w:hAnsiTheme="majorHAnsi"/>
          <w:spacing w:val="-2"/>
          <w:sz w:val="20"/>
          <w:szCs w:val="20"/>
        </w:rPr>
        <w:t xml:space="preserve"> </w:t>
      </w:r>
      <w:r w:rsidRPr="000977F7">
        <w:rPr>
          <w:rFonts w:asciiTheme="majorHAnsi" w:hAnsiTheme="majorHAnsi"/>
          <w:sz w:val="20"/>
          <w:szCs w:val="20"/>
        </w:rPr>
        <w:t>функціювання</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p>
    <w:p w14:paraId="34ACEEB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94E6F1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ОПЕРАТИВНЕ УПРАВЛІННЯ ЯКІСТЮ; </w:t>
      </w:r>
    </w:p>
    <w:p w14:paraId="0107CCC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КЕРУ</w:t>
      </w:r>
      <w:r w:rsidRPr="000977F7">
        <w:rPr>
          <w:color w:val="auto"/>
          <w:spacing w:val="-47"/>
          <w:sz w:val="20"/>
          <w:szCs w:val="20"/>
        </w:rPr>
        <w:t xml:space="preserve"> </w:t>
      </w:r>
      <w:r w:rsidRPr="000977F7">
        <w:rPr>
          <w:color w:val="auto"/>
          <w:sz w:val="20"/>
          <w:szCs w:val="20"/>
        </w:rPr>
        <w:t>ВАННЯ</w:t>
      </w:r>
      <w:r w:rsidRPr="000977F7">
        <w:rPr>
          <w:color w:val="auto"/>
          <w:spacing w:val="-1"/>
          <w:sz w:val="20"/>
          <w:szCs w:val="20"/>
        </w:rPr>
        <w:t xml:space="preserve"> </w:t>
      </w:r>
      <w:r w:rsidRPr="000977F7">
        <w:rPr>
          <w:color w:val="auto"/>
          <w:sz w:val="20"/>
          <w:szCs w:val="20"/>
        </w:rPr>
        <w:t>ЯКІСТЮ –</w:t>
      </w:r>
    </w:p>
    <w:p w14:paraId="23487D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QUALITY</w:t>
      </w:r>
      <w:r w:rsidRPr="000977F7">
        <w:rPr>
          <w:rFonts w:asciiTheme="majorHAnsi" w:hAnsiTheme="majorHAnsi"/>
          <w:spacing w:val="-2"/>
          <w:sz w:val="20"/>
          <w:szCs w:val="20"/>
        </w:rPr>
        <w:t xml:space="preserve"> </w:t>
      </w:r>
      <w:r w:rsidRPr="000977F7">
        <w:rPr>
          <w:rFonts w:asciiTheme="majorHAnsi" w:hAnsiTheme="majorHAnsi"/>
          <w:sz w:val="20"/>
          <w:szCs w:val="20"/>
        </w:rPr>
        <w:t>CONTROL</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F15F82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Методи</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види</w:t>
      </w:r>
      <w:r w:rsidRPr="000977F7">
        <w:rPr>
          <w:rFonts w:asciiTheme="majorHAnsi" w:hAnsiTheme="majorHAnsi"/>
          <w:spacing w:val="1"/>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1"/>
          <w:sz w:val="20"/>
          <w:szCs w:val="20"/>
        </w:rPr>
        <w:t xml:space="preserve"> </w:t>
      </w:r>
      <w:r w:rsidRPr="000977F7">
        <w:rPr>
          <w:rFonts w:asciiTheme="majorHAnsi" w:hAnsiTheme="majorHAnsi"/>
          <w:sz w:val="20"/>
          <w:szCs w:val="20"/>
        </w:rPr>
        <w:t>оперативного</w:t>
      </w:r>
      <w:r w:rsidRPr="000977F7">
        <w:rPr>
          <w:rFonts w:asciiTheme="majorHAnsi" w:hAnsiTheme="majorHAnsi"/>
          <w:spacing w:val="1"/>
          <w:sz w:val="20"/>
          <w:szCs w:val="20"/>
        </w:rPr>
        <w:t xml:space="preserve"> </w:t>
      </w:r>
      <w:r w:rsidRPr="000977F7">
        <w:rPr>
          <w:rFonts w:asciiTheme="majorHAnsi" w:hAnsiTheme="majorHAnsi"/>
          <w:sz w:val="20"/>
          <w:szCs w:val="20"/>
        </w:rPr>
        <w:t>характеру,</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використовувані для виконання установлених вимог</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p>
    <w:p w14:paraId="78DDB9B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ОПЕРАТИВНИЙ</w:t>
      </w:r>
      <w:r w:rsidRPr="000977F7">
        <w:rPr>
          <w:color w:val="auto"/>
          <w:spacing w:val="-3"/>
          <w:sz w:val="20"/>
          <w:szCs w:val="20"/>
        </w:rPr>
        <w:t xml:space="preserve"> </w:t>
      </w:r>
      <w:r w:rsidRPr="000977F7">
        <w:rPr>
          <w:color w:val="auto"/>
          <w:sz w:val="20"/>
          <w:szCs w:val="20"/>
        </w:rPr>
        <w:t>ЧАС –</w:t>
      </w:r>
    </w:p>
    <w:p w14:paraId="6D2A4C8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BASE</w:t>
      </w:r>
      <w:r w:rsidRPr="000977F7">
        <w:rPr>
          <w:rFonts w:asciiTheme="majorHAnsi" w:hAnsiTheme="majorHAnsi"/>
          <w:spacing w:val="-2"/>
          <w:sz w:val="20"/>
          <w:szCs w:val="20"/>
        </w:rPr>
        <w:t xml:space="preserve"> </w:t>
      </w:r>
      <w:r w:rsidRPr="000977F7">
        <w:rPr>
          <w:rFonts w:asciiTheme="majorHAnsi" w:hAnsiTheme="majorHAnsi"/>
          <w:sz w:val="20"/>
          <w:szCs w:val="20"/>
        </w:rPr>
        <w:t>CICLE</w:t>
      </w:r>
      <w:r w:rsidRPr="000977F7">
        <w:rPr>
          <w:rFonts w:asciiTheme="majorHAnsi" w:hAnsiTheme="majorHAnsi"/>
          <w:spacing w:val="-1"/>
          <w:sz w:val="20"/>
          <w:szCs w:val="20"/>
        </w:rPr>
        <w:t xml:space="preserve"> </w:t>
      </w:r>
      <w:r w:rsidRPr="000977F7">
        <w:rPr>
          <w:rFonts w:asciiTheme="majorHAnsi" w:hAnsiTheme="majorHAnsi"/>
          <w:sz w:val="20"/>
          <w:szCs w:val="20"/>
        </w:rPr>
        <w:t>TIME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AC6AB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поштучного часу, яка дорівнює сумі основного та допоміжного</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02A7E96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7EB28C47"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ОПЕРАТИВНИЙ</w:t>
      </w:r>
      <w:r w:rsidRPr="000977F7">
        <w:rPr>
          <w:rFonts w:asciiTheme="majorHAnsi" w:hAnsiTheme="majorHAnsi"/>
          <w:b/>
          <w:spacing w:val="-9"/>
          <w:sz w:val="20"/>
          <w:szCs w:val="20"/>
        </w:rPr>
        <w:t xml:space="preserve"> </w:t>
      </w:r>
      <w:r w:rsidRPr="000977F7">
        <w:rPr>
          <w:rFonts w:asciiTheme="majorHAnsi" w:hAnsiTheme="majorHAnsi"/>
          <w:b/>
          <w:sz w:val="20"/>
          <w:szCs w:val="20"/>
        </w:rPr>
        <w:t>ЧАС</w:t>
      </w:r>
      <w:r w:rsidRPr="000977F7">
        <w:rPr>
          <w:rFonts w:asciiTheme="majorHAnsi" w:hAnsiTheme="majorHAnsi"/>
          <w:b/>
          <w:spacing w:val="-10"/>
          <w:sz w:val="20"/>
          <w:szCs w:val="20"/>
        </w:rPr>
        <w:t xml:space="preserve"> </w:t>
      </w:r>
      <w:r w:rsidRPr="000977F7">
        <w:rPr>
          <w:rFonts w:asciiTheme="majorHAnsi" w:hAnsiTheme="majorHAnsi"/>
          <w:b/>
          <w:sz w:val="20"/>
          <w:szCs w:val="20"/>
        </w:rPr>
        <w:t>ПРОФІЛАКТИЧНОГО</w:t>
      </w:r>
      <w:r w:rsidRPr="000977F7">
        <w:rPr>
          <w:rFonts w:asciiTheme="majorHAnsi" w:hAnsiTheme="majorHAnsi"/>
          <w:b/>
          <w:spacing w:val="-47"/>
          <w:sz w:val="20"/>
          <w:szCs w:val="20"/>
        </w:rPr>
        <w:t xml:space="preserve"> </w:t>
      </w:r>
      <w:r w:rsidRPr="000977F7">
        <w:rPr>
          <w:rFonts w:asciiTheme="majorHAnsi" w:hAnsiTheme="majorHAnsi"/>
          <w:b/>
          <w:sz w:val="20"/>
          <w:szCs w:val="20"/>
        </w:rPr>
        <w:t>ТЕХНІЧНОГО</w:t>
      </w:r>
      <w:r w:rsidRPr="000977F7">
        <w:rPr>
          <w:rFonts w:asciiTheme="majorHAnsi" w:hAnsiTheme="majorHAnsi"/>
          <w:b/>
          <w:spacing w:val="-1"/>
          <w:sz w:val="20"/>
          <w:szCs w:val="20"/>
        </w:rPr>
        <w:t xml:space="preserve"> </w:t>
      </w:r>
      <w:r w:rsidRPr="000977F7">
        <w:rPr>
          <w:rFonts w:asciiTheme="majorHAnsi" w:hAnsiTheme="majorHAnsi"/>
          <w:b/>
          <w:sz w:val="20"/>
          <w:szCs w:val="20"/>
        </w:rPr>
        <w:t>ОБСЛУГОВУВАННЯ</w:t>
      </w:r>
      <w:r w:rsidRPr="000977F7">
        <w:rPr>
          <w:rFonts w:asciiTheme="majorHAnsi" w:hAnsiTheme="majorHAnsi"/>
          <w:b/>
          <w:spacing w:val="2"/>
          <w:sz w:val="20"/>
          <w:szCs w:val="20"/>
        </w:rPr>
        <w:t xml:space="preserve"> </w:t>
      </w:r>
      <w:r w:rsidRPr="000977F7">
        <w:rPr>
          <w:rFonts w:asciiTheme="majorHAnsi" w:hAnsiTheme="majorHAnsi"/>
          <w:b/>
          <w:sz w:val="20"/>
          <w:szCs w:val="20"/>
        </w:rPr>
        <w:t>–</w:t>
      </w:r>
      <w:r w:rsidRPr="000977F7">
        <w:rPr>
          <w:rFonts w:asciiTheme="majorHAnsi" w:hAnsiTheme="majorHAnsi"/>
          <w:b/>
          <w:spacing w:val="1"/>
          <w:sz w:val="20"/>
          <w:szCs w:val="20"/>
        </w:rPr>
        <w:t xml:space="preserve"> </w:t>
      </w:r>
    </w:p>
    <w:p w14:paraId="22BC7AE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ACTIVE</w:t>
      </w:r>
      <w:r w:rsidRPr="000977F7">
        <w:rPr>
          <w:rFonts w:asciiTheme="majorHAnsi" w:hAnsiTheme="majorHAnsi"/>
          <w:spacing w:val="-3"/>
          <w:sz w:val="20"/>
          <w:szCs w:val="20"/>
        </w:rPr>
        <w:t xml:space="preserve"> </w:t>
      </w:r>
      <w:r w:rsidRPr="000977F7">
        <w:rPr>
          <w:rFonts w:asciiTheme="majorHAnsi" w:hAnsiTheme="majorHAnsi"/>
          <w:sz w:val="20"/>
          <w:szCs w:val="20"/>
        </w:rPr>
        <w:t>PREVENTIVE</w:t>
      </w:r>
      <w:r w:rsidRPr="000977F7">
        <w:rPr>
          <w:rFonts w:asciiTheme="majorHAnsi" w:hAnsiTheme="majorHAnsi"/>
          <w:spacing w:val="-3"/>
          <w:sz w:val="20"/>
          <w:szCs w:val="20"/>
        </w:rPr>
        <w:t xml:space="preserve"> </w:t>
      </w:r>
      <w:r w:rsidRPr="000977F7">
        <w:rPr>
          <w:rFonts w:asciiTheme="majorHAnsi" w:hAnsiTheme="majorHAnsi"/>
          <w:sz w:val="20"/>
          <w:szCs w:val="20"/>
        </w:rPr>
        <w:t>MAINTENANCE</w:t>
      </w:r>
      <w:r w:rsidRPr="000977F7">
        <w:rPr>
          <w:rFonts w:asciiTheme="majorHAnsi" w:hAnsiTheme="majorHAnsi"/>
          <w:spacing w:val="-2"/>
          <w:sz w:val="20"/>
          <w:szCs w:val="20"/>
        </w:rPr>
        <w:t xml:space="preserve"> </w:t>
      </w:r>
      <w:r w:rsidRPr="000977F7">
        <w:rPr>
          <w:rFonts w:asciiTheme="majorHAnsi" w:hAnsiTheme="majorHAnsi"/>
          <w:sz w:val="20"/>
          <w:szCs w:val="20"/>
        </w:rPr>
        <w:t>TIME</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33C3CB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Період часу, протягом якого виконуються безпосередні операції з профілактики об’єкта як вручну, так і в</w:t>
      </w:r>
      <w:r w:rsidRPr="000977F7">
        <w:rPr>
          <w:rFonts w:asciiTheme="majorHAnsi" w:hAnsiTheme="majorHAnsi"/>
          <w:spacing w:val="1"/>
          <w:sz w:val="20"/>
          <w:szCs w:val="20"/>
        </w:rPr>
        <w:t xml:space="preserve"> </w:t>
      </w:r>
      <w:r w:rsidRPr="000977F7">
        <w:rPr>
          <w:rFonts w:asciiTheme="majorHAnsi" w:hAnsiTheme="majorHAnsi"/>
          <w:sz w:val="20"/>
          <w:szCs w:val="20"/>
        </w:rPr>
        <w:t>автоматичному циклі, включно із часом затримок за</w:t>
      </w:r>
      <w:r w:rsidRPr="000977F7">
        <w:rPr>
          <w:rFonts w:asciiTheme="majorHAnsi" w:hAnsiTheme="majorHAnsi"/>
          <w:spacing w:val="1"/>
          <w:sz w:val="20"/>
          <w:szCs w:val="20"/>
        </w:rPr>
        <w:t xml:space="preserve"> </w:t>
      </w:r>
      <w:r w:rsidRPr="000977F7">
        <w:rPr>
          <w:rFonts w:asciiTheme="majorHAnsi" w:hAnsiTheme="majorHAnsi"/>
          <w:sz w:val="20"/>
          <w:szCs w:val="20"/>
        </w:rPr>
        <w:t>технічними причинами, що властиві обслуговуванню</w:t>
      </w:r>
      <w:r w:rsidRPr="000977F7">
        <w:rPr>
          <w:rFonts w:asciiTheme="majorHAnsi" w:hAnsiTheme="majorHAnsi"/>
          <w:spacing w:val="1"/>
          <w:sz w:val="20"/>
          <w:szCs w:val="20"/>
        </w:rPr>
        <w:t xml:space="preserve"> </w:t>
      </w:r>
      <w:r w:rsidRPr="000977F7">
        <w:rPr>
          <w:rFonts w:asciiTheme="majorHAnsi" w:hAnsiTheme="majorHAnsi"/>
          <w:sz w:val="20"/>
          <w:szCs w:val="20"/>
        </w:rPr>
        <w:t>цього виду</w:t>
      </w:r>
    </w:p>
    <w:p w14:paraId="7953A6D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ОПЕРАТИВНИЙ ЧАС ТЕХНІЧНОГО ОБСЛУГОВУВАННЯ</w:t>
      </w:r>
      <w:r w:rsidRPr="000977F7">
        <w:rPr>
          <w:color w:val="auto"/>
          <w:spacing w:val="-1"/>
          <w:sz w:val="20"/>
          <w:szCs w:val="20"/>
        </w:rPr>
        <w:t xml:space="preserve"> </w:t>
      </w:r>
      <w:r w:rsidRPr="000977F7">
        <w:rPr>
          <w:color w:val="auto"/>
          <w:sz w:val="20"/>
          <w:szCs w:val="20"/>
        </w:rPr>
        <w:t>(РЕМОНТА)</w:t>
      </w:r>
      <w:r w:rsidRPr="000977F7">
        <w:rPr>
          <w:color w:val="auto"/>
          <w:spacing w:val="4"/>
          <w:sz w:val="20"/>
          <w:szCs w:val="20"/>
        </w:rPr>
        <w:t xml:space="preserve"> </w:t>
      </w:r>
      <w:r w:rsidRPr="000977F7">
        <w:rPr>
          <w:color w:val="auto"/>
          <w:sz w:val="20"/>
          <w:szCs w:val="20"/>
        </w:rPr>
        <w:t>–</w:t>
      </w:r>
    </w:p>
    <w:p w14:paraId="1933A23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Витрати часу виконавця на виконання операції технічного обслуговування (ремонту), визначені конструкцією</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технічним</w:t>
      </w:r>
      <w:r w:rsidRPr="000977F7">
        <w:rPr>
          <w:rFonts w:asciiTheme="majorHAnsi" w:hAnsiTheme="majorHAnsi"/>
          <w:spacing w:val="1"/>
          <w:sz w:val="20"/>
          <w:szCs w:val="20"/>
        </w:rPr>
        <w:t xml:space="preserve"> </w:t>
      </w:r>
      <w:r w:rsidRPr="000977F7">
        <w:rPr>
          <w:rFonts w:asciiTheme="majorHAnsi" w:hAnsiTheme="majorHAnsi"/>
          <w:sz w:val="20"/>
          <w:szCs w:val="20"/>
        </w:rPr>
        <w:t>станом об’єкта</w:t>
      </w:r>
    </w:p>
    <w:p w14:paraId="6CE3601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ОПЕРАТИВНИЙ</w:t>
      </w:r>
      <w:r w:rsidRPr="000977F7">
        <w:rPr>
          <w:color w:val="auto"/>
          <w:spacing w:val="-10"/>
          <w:sz w:val="20"/>
          <w:szCs w:val="20"/>
        </w:rPr>
        <w:t xml:space="preserve"> </w:t>
      </w:r>
      <w:r w:rsidRPr="000977F7">
        <w:rPr>
          <w:color w:val="auto"/>
          <w:sz w:val="20"/>
          <w:szCs w:val="20"/>
        </w:rPr>
        <w:t>ОПИС</w:t>
      </w:r>
      <w:r w:rsidRPr="000977F7">
        <w:rPr>
          <w:color w:val="auto"/>
          <w:spacing w:val="-11"/>
          <w:sz w:val="20"/>
          <w:szCs w:val="20"/>
        </w:rPr>
        <w:t xml:space="preserve"> </w:t>
      </w:r>
      <w:r w:rsidRPr="000977F7">
        <w:rPr>
          <w:color w:val="auto"/>
          <w:sz w:val="20"/>
          <w:szCs w:val="20"/>
        </w:rPr>
        <w:t>ТЕХНОЛОГІЧНОГО</w:t>
      </w:r>
      <w:r w:rsidRPr="000977F7">
        <w:rPr>
          <w:color w:val="auto"/>
          <w:spacing w:val="-47"/>
          <w:sz w:val="20"/>
          <w:szCs w:val="20"/>
        </w:rPr>
        <w:t xml:space="preserve"> </w:t>
      </w:r>
      <w:r w:rsidRPr="000977F7">
        <w:rPr>
          <w:color w:val="auto"/>
          <w:sz w:val="20"/>
          <w:szCs w:val="20"/>
        </w:rPr>
        <w:t>ПРОЦЕСУ –</w:t>
      </w:r>
    </w:p>
    <w:p w14:paraId="69EB189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Повний опис усіх технологічних операцій відповідно</w:t>
      </w:r>
      <w:r w:rsidRPr="000977F7">
        <w:rPr>
          <w:rFonts w:asciiTheme="majorHAnsi" w:hAnsiTheme="majorHAnsi"/>
          <w:spacing w:val="1"/>
          <w:sz w:val="20"/>
          <w:szCs w:val="20"/>
        </w:rPr>
        <w:t xml:space="preserve"> </w:t>
      </w:r>
      <w:r w:rsidRPr="000977F7">
        <w:rPr>
          <w:rFonts w:asciiTheme="majorHAnsi" w:hAnsiTheme="majorHAnsi"/>
          <w:sz w:val="20"/>
          <w:szCs w:val="20"/>
        </w:rPr>
        <w:t>із послідовністю їх виконання із зазначенням переходів</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технологічних</w:t>
      </w:r>
      <w:r w:rsidRPr="000977F7">
        <w:rPr>
          <w:rFonts w:asciiTheme="majorHAnsi" w:hAnsiTheme="majorHAnsi"/>
          <w:spacing w:val="-1"/>
          <w:sz w:val="20"/>
          <w:szCs w:val="20"/>
        </w:rPr>
        <w:t xml:space="preserve"> </w:t>
      </w:r>
      <w:r w:rsidRPr="000977F7">
        <w:rPr>
          <w:rFonts w:asciiTheme="majorHAnsi" w:hAnsiTheme="majorHAnsi"/>
          <w:sz w:val="20"/>
          <w:szCs w:val="20"/>
        </w:rPr>
        <w:t>режимів</w:t>
      </w:r>
    </w:p>
    <w:p w14:paraId="7B1B53F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6270EEE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ОПЕРАТИВНЕ ПІДГОТОВЛЕННЯ </w:t>
      </w:r>
    </w:p>
    <w:p w14:paraId="218A6C3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ВИРОБНИЦТВА</w:t>
      </w:r>
      <w:r w:rsidRPr="000977F7">
        <w:rPr>
          <w:color w:val="auto"/>
          <w:spacing w:val="-1"/>
          <w:sz w:val="20"/>
          <w:szCs w:val="20"/>
        </w:rPr>
        <w:t xml:space="preserve"> </w:t>
      </w:r>
      <w:r w:rsidRPr="000977F7">
        <w:rPr>
          <w:color w:val="auto"/>
          <w:sz w:val="20"/>
          <w:szCs w:val="20"/>
        </w:rPr>
        <w:t>–</w:t>
      </w:r>
    </w:p>
    <w:p w14:paraId="566722D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заходів</w:t>
      </w:r>
      <w:r w:rsidRPr="000977F7">
        <w:rPr>
          <w:rFonts w:asciiTheme="majorHAnsi" w:hAnsiTheme="majorHAnsi"/>
          <w:spacing w:val="1"/>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завчасного</w:t>
      </w:r>
      <w:r w:rsidRPr="000977F7">
        <w:rPr>
          <w:rFonts w:asciiTheme="majorHAnsi" w:hAnsiTheme="majorHAnsi"/>
          <w:spacing w:val="50"/>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1"/>
          <w:sz w:val="20"/>
          <w:szCs w:val="20"/>
        </w:rPr>
        <w:t xml:space="preserve"> </w:t>
      </w:r>
      <w:r w:rsidRPr="000977F7">
        <w:rPr>
          <w:rFonts w:asciiTheme="majorHAnsi" w:hAnsiTheme="majorHAnsi"/>
          <w:sz w:val="20"/>
          <w:szCs w:val="20"/>
        </w:rPr>
        <w:t>всіх необхідних умов та ресурсів для безперебійного</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2"/>
          <w:sz w:val="20"/>
          <w:szCs w:val="20"/>
        </w:rPr>
        <w:t xml:space="preserve"> </w:t>
      </w:r>
      <w:r w:rsidRPr="000977F7">
        <w:rPr>
          <w:rFonts w:asciiTheme="majorHAnsi" w:hAnsiTheme="majorHAnsi"/>
          <w:sz w:val="20"/>
          <w:szCs w:val="20"/>
        </w:rPr>
        <w:t>оперативних</w:t>
      </w:r>
      <w:r w:rsidRPr="000977F7">
        <w:rPr>
          <w:rFonts w:asciiTheme="majorHAnsi" w:hAnsiTheme="majorHAnsi"/>
          <w:spacing w:val="-2"/>
          <w:sz w:val="20"/>
          <w:szCs w:val="20"/>
        </w:rPr>
        <w:t xml:space="preserve"> </w:t>
      </w:r>
      <w:r w:rsidRPr="000977F7">
        <w:rPr>
          <w:rFonts w:asciiTheme="majorHAnsi" w:hAnsiTheme="majorHAnsi"/>
          <w:sz w:val="20"/>
          <w:szCs w:val="20"/>
        </w:rPr>
        <w:t>виробничих планів</w:t>
      </w:r>
    </w:p>
    <w:p w14:paraId="4DB0ABA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DB546A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ОПЕРАТИВНО-ТЕХНОЛОГІЧНИЙ</w:t>
      </w:r>
      <w:r w:rsidRPr="000977F7">
        <w:rPr>
          <w:color w:val="auto"/>
          <w:spacing w:val="-9"/>
          <w:sz w:val="20"/>
          <w:szCs w:val="20"/>
        </w:rPr>
        <w:t xml:space="preserve"> </w:t>
      </w:r>
      <w:r w:rsidRPr="000977F7">
        <w:rPr>
          <w:color w:val="auto"/>
          <w:sz w:val="20"/>
          <w:szCs w:val="20"/>
        </w:rPr>
        <w:t>ПЕРСОНАЛ-</w:t>
      </w:r>
    </w:p>
    <w:p w14:paraId="7E648E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OPERATIVE-TECHNOLOGICAL</w:t>
      </w:r>
      <w:r w:rsidRPr="000977F7">
        <w:rPr>
          <w:rFonts w:asciiTheme="majorHAnsi" w:hAnsiTheme="majorHAnsi"/>
          <w:spacing w:val="-4"/>
          <w:sz w:val="20"/>
          <w:szCs w:val="20"/>
        </w:rPr>
        <w:t xml:space="preserve"> </w:t>
      </w:r>
      <w:r w:rsidRPr="000977F7">
        <w:rPr>
          <w:rFonts w:asciiTheme="majorHAnsi" w:hAnsiTheme="majorHAnsi"/>
          <w:sz w:val="20"/>
          <w:szCs w:val="20"/>
        </w:rPr>
        <w:t>STAFF</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72CCB3AD"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lastRenderedPageBreak/>
        <w:t>Особи,</w:t>
      </w:r>
      <w:r w:rsidRPr="000977F7">
        <w:rPr>
          <w:rFonts w:asciiTheme="majorHAnsi" w:hAnsiTheme="majorHAnsi"/>
          <w:spacing w:val="26"/>
          <w:sz w:val="20"/>
          <w:szCs w:val="20"/>
        </w:rPr>
        <w:t xml:space="preserve"> </w:t>
      </w:r>
      <w:r w:rsidRPr="000977F7">
        <w:rPr>
          <w:rFonts w:asciiTheme="majorHAnsi" w:hAnsiTheme="majorHAnsi"/>
          <w:sz w:val="20"/>
          <w:szCs w:val="20"/>
        </w:rPr>
        <w:t>які</w:t>
      </w:r>
      <w:r w:rsidRPr="000977F7">
        <w:rPr>
          <w:rFonts w:asciiTheme="majorHAnsi" w:hAnsiTheme="majorHAnsi"/>
          <w:spacing w:val="25"/>
          <w:sz w:val="20"/>
          <w:szCs w:val="20"/>
        </w:rPr>
        <w:t xml:space="preserve"> </w:t>
      </w:r>
      <w:r w:rsidRPr="000977F7">
        <w:rPr>
          <w:rFonts w:asciiTheme="majorHAnsi" w:hAnsiTheme="majorHAnsi"/>
          <w:sz w:val="20"/>
          <w:szCs w:val="20"/>
        </w:rPr>
        <w:t>ініціюють,</w:t>
      </w:r>
      <w:r w:rsidRPr="000977F7">
        <w:rPr>
          <w:rFonts w:asciiTheme="majorHAnsi" w:hAnsiTheme="majorHAnsi"/>
          <w:spacing w:val="26"/>
          <w:sz w:val="20"/>
          <w:szCs w:val="20"/>
        </w:rPr>
        <w:t xml:space="preserve"> </w:t>
      </w:r>
      <w:r w:rsidRPr="000977F7">
        <w:rPr>
          <w:rFonts w:asciiTheme="majorHAnsi" w:hAnsiTheme="majorHAnsi"/>
          <w:sz w:val="20"/>
          <w:szCs w:val="20"/>
        </w:rPr>
        <w:t>контролюють</w:t>
      </w:r>
      <w:r w:rsidRPr="000977F7">
        <w:rPr>
          <w:rFonts w:asciiTheme="majorHAnsi" w:hAnsiTheme="majorHAnsi"/>
          <w:spacing w:val="26"/>
          <w:sz w:val="20"/>
          <w:szCs w:val="20"/>
        </w:rPr>
        <w:t xml:space="preserve"> </w:t>
      </w:r>
      <w:r w:rsidRPr="000977F7">
        <w:rPr>
          <w:rFonts w:asciiTheme="majorHAnsi" w:hAnsiTheme="majorHAnsi"/>
          <w:sz w:val="20"/>
          <w:szCs w:val="20"/>
        </w:rPr>
        <w:t>технологічний</w:t>
      </w:r>
      <w:r w:rsidRPr="000977F7">
        <w:rPr>
          <w:rFonts w:asciiTheme="majorHAnsi" w:hAnsiTheme="majorHAnsi"/>
          <w:spacing w:val="-47"/>
          <w:sz w:val="20"/>
          <w:szCs w:val="20"/>
        </w:rPr>
        <w:t xml:space="preserve"> </w:t>
      </w:r>
      <w:r w:rsidRPr="000977F7">
        <w:rPr>
          <w:rFonts w:asciiTheme="majorHAnsi" w:hAnsiTheme="majorHAnsi"/>
          <w:sz w:val="20"/>
          <w:szCs w:val="20"/>
        </w:rPr>
        <w:t>процес</w:t>
      </w:r>
      <w:r w:rsidRPr="000977F7">
        <w:rPr>
          <w:rFonts w:asciiTheme="majorHAnsi" w:hAnsiTheme="majorHAnsi"/>
          <w:spacing w:val="25"/>
          <w:sz w:val="20"/>
          <w:szCs w:val="20"/>
        </w:rPr>
        <w:t xml:space="preserve"> </w:t>
      </w:r>
      <w:r w:rsidRPr="000977F7">
        <w:rPr>
          <w:rFonts w:asciiTheme="majorHAnsi" w:hAnsiTheme="majorHAnsi"/>
          <w:sz w:val="20"/>
          <w:szCs w:val="20"/>
        </w:rPr>
        <w:t>і</w:t>
      </w:r>
      <w:r w:rsidRPr="000977F7">
        <w:rPr>
          <w:rFonts w:asciiTheme="majorHAnsi" w:hAnsiTheme="majorHAnsi"/>
          <w:spacing w:val="24"/>
          <w:sz w:val="20"/>
          <w:szCs w:val="20"/>
        </w:rPr>
        <w:t xml:space="preserve"> </w:t>
      </w:r>
      <w:r w:rsidRPr="000977F7">
        <w:rPr>
          <w:rFonts w:asciiTheme="majorHAnsi" w:hAnsiTheme="majorHAnsi"/>
          <w:sz w:val="20"/>
          <w:szCs w:val="20"/>
        </w:rPr>
        <w:t>керують</w:t>
      </w:r>
      <w:r w:rsidRPr="000977F7">
        <w:rPr>
          <w:rFonts w:asciiTheme="majorHAnsi" w:hAnsiTheme="majorHAnsi"/>
          <w:spacing w:val="27"/>
          <w:sz w:val="20"/>
          <w:szCs w:val="20"/>
        </w:rPr>
        <w:t xml:space="preserve"> </w:t>
      </w:r>
      <w:r w:rsidRPr="000977F7">
        <w:rPr>
          <w:rFonts w:asciiTheme="majorHAnsi" w:hAnsiTheme="majorHAnsi"/>
          <w:sz w:val="20"/>
          <w:szCs w:val="20"/>
        </w:rPr>
        <w:t>ним,</w:t>
      </w:r>
      <w:r w:rsidRPr="000977F7">
        <w:rPr>
          <w:rFonts w:asciiTheme="majorHAnsi" w:hAnsiTheme="majorHAnsi"/>
          <w:spacing w:val="25"/>
          <w:sz w:val="20"/>
          <w:szCs w:val="20"/>
        </w:rPr>
        <w:t xml:space="preserve"> </w:t>
      </w:r>
      <w:r w:rsidRPr="000977F7">
        <w:rPr>
          <w:rFonts w:asciiTheme="majorHAnsi" w:hAnsiTheme="majorHAnsi"/>
          <w:sz w:val="20"/>
          <w:szCs w:val="20"/>
        </w:rPr>
        <w:t>взаємодіючи</w:t>
      </w:r>
      <w:r w:rsidRPr="000977F7">
        <w:rPr>
          <w:rFonts w:asciiTheme="majorHAnsi" w:hAnsiTheme="majorHAnsi"/>
          <w:spacing w:val="23"/>
          <w:sz w:val="20"/>
          <w:szCs w:val="20"/>
        </w:rPr>
        <w:t xml:space="preserve"> </w:t>
      </w:r>
      <w:r w:rsidRPr="000977F7">
        <w:rPr>
          <w:rFonts w:asciiTheme="majorHAnsi" w:hAnsiTheme="majorHAnsi"/>
          <w:sz w:val="20"/>
          <w:szCs w:val="20"/>
        </w:rPr>
        <w:t>з</w:t>
      </w:r>
      <w:r w:rsidRPr="000977F7">
        <w:rPr>
          <w:rFonts w:asciiTheme="majorHAnsi" w:hAnsiTheme="majorHAnsi"/>
          <w:spacing w:val="25"/>
          <w:sz w:val="20"/>
          <w:szCs w:val="20"/>
        </w:rPr>
        <w:t xml:space="preserve"> </w:t>
      </w:r>
      <w:r w:rsidRPr="000977F7">
        <w:rPr>
          <w:rFonts w:asciiTheme="majorHAnsi" w:hAnsiTheme="majorHAnsi"/>
          <w:sz w:val="20"/>
          <w:szCs w:val="20"/>
        </w:rPr>
        <w:t>технічними</w:t>
      </w:r>
      <w:r w:rsidRPr="000977F7">
        <w:rPr>
          <w:rFonts w:asciiTheme="majorHAnsi" w:hAnsiTheme="majorHAnsi"/>
          <w:spacing w:val="24"/>
          <w:sz w:val="20"/>
          <w:szCs w:val="20"/>
        </w:rPr>
        <w:t xml:space="preserve"> </w:t>
      </w:r>
      <w:r w:rsidRPr="000977F7">
        <w:rPr>
          <w:rFonts w:asciiTheme="majorHAnsi" w:hAnsiTheme="majorHAnsi"/>
          <w:sz w:val="20"/>
          <w:szCs w:val="20"/>
        </w:rPr>
        <w:t>засобами керування, контролювання, діагностування</w:t>
      </w:r>
      <w:r w:rsidRPr="000977F7">
        <w:rPr>
          <w:rFonts w:asciiTheme="majorHAnsi" w:hAnsiTheme="majorHAns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3956 - 2000</w:t>
      </w:r>
    </w:p>
    <w:p w14:paraId="3215E511"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ОПЕРАТОР –</w:t>
      </w:r>
    </w:p>
    <w:p w14:paraId="0D0182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Особа або особи, задіяні у встановленні, роботі, керуванні, налагоджуванні, обслуговуванні, чищенні, ремонтуванні або транспортуванні машини;</w:t>
      </w:r>
    </w:p>
    <w:p w14:paraId="0DF1E9D3"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безпеки машин</w:t>
      </w:r>
    </w:p>
    <w:p w14:paraId="14A3E93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ОПЕРАЦІЙНИЙ</w:t>
      </w:r>
      <w:r w:rsidRPr="000977F7">
        <w:rPr>
          <w:color w:val="auto"/>
          <w:spacing w:val="-5"/>
          <w:sz w:val="20"/>
          <w:szCs w:val="20"/>
        </w:rPr>
        <w:t xml:space="preserve"> </w:t>
      </w:r>
      <w:r w:rsidRPr="000977F7">
        <w:rPr>
          <w:color w:val="auto"/>
          <w:sz w:val="20"/>
          <w:szCs w:val="20"/>
        </w:rPr>
        <w:t>КОНТРОЛЬ</w:t>
      </w:r>
      <w:r w:rsidRPr="000977F7">
        <w:rPr>
          <w:color w:val="auto"/>
          <w:spacing w:val="-1"/>
          <w:sz w:val="20"/>
          <w:szCs w:val="20"/>
        </w:rPr>
        <w:t xml:space="preserve"> </w:t>
      </w:r>
      <w:r w:rsidRPr="000977F7">
        <w:rPr>
          <w:color w:val="auto"/>
          <w:sz w:val="20"/>
          <w:szCs w:val="20"/>
        </w:rPr>
        <w:t>–</w:t>
      </w:r>
    </w:p>
    <w:p w14:paraId="6F35D6B6"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OPERATIONAL</w:t>
      </w:r>
      <w:r w:rsidRPr="000977F7">
        <w:rPr>
          <w:b w:val="0"/>
          <w:bCs/>
          <w:color w:val="auto"/>
          <w:spacing w:val="-4"/>
          <w:sz w:val="20"/>
          <w:szCs w:val="20"/>
        </w:rPr>
        <w:t xml:space="preserve"> </w:t>
      </w:r>
      <w:r w:rsidRPr="000977F7">
        <w:rPr>
          <w:b w:val="0"/>
          <w:bCs/>
          <w:color w:val="auto"/>
          <w:sz w:val="20"/>
          <w:szCs w:val="20"/>
        </w:rPr>
        <w:t>INSPECTION</w:t>
      </w:r>
      <w:r w:rsidRPr="000977F7">
        <w:rPr>
          <w:b w:val="0"/>
          <w:bCs/>
          <w:color w:val="auto"/>
          <w:spacing w:val="1"/>
          <w:sz w:val="20"/>
          <w:szCs w:val="20"/>
        </w:rPr>
        <w:t xml:space="preserve"> </w:t>
      </w:r>
      <w:r w:rsidRPr="000977F7">
        <w:rPr>
          <w:b w:val="0"/>
          <w:bCs/>
          <w:color w:val="auto"/>
          <w:sz w:val="20"/>
          <w:szCs w:val="20"/>
        </w:rPr>
        <w:t>–</w:t>
      </w:r>
    </w:p>
    <w:p w14:paraId="7F7B031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Контроль продукції 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процесу під час виконання 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після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завершення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технологічної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операції</w:t>
      </w:r>
    </w:p>
    <w:p w14:paraId="2D33919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E65BCF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ОПЕРАЦІЙНИЙ</w:t>
      </w:r>
      <w:r w:rsidRPr="000977F7">
        <w:rPr>
          <w:color w:val="auto"/>
          <w:spacing w:val="-8"/>
          <w:sz w:val="20"/>
          <w:szCs w:val="20"/>
        </w:rPr>
        <w:t xml:space="preserve"> </w:t>
      </w:r>
      <w:r w:rsidRPr="000977F7">
        <w:rPr>
          <w:color w:val="auto"/>
          <w:sz w:val="20"/>
          <w:szCs w:val="20"/>
        </w:rPr>
        <w:t>ПРИПУСК</w:t>
      </w:r>
      <w:r w:rsidRPr="000977F7">
        <w:rPr>
          <w:color w:val="auto"/>
          <w:spacing w:val="-6"/>
          <w:sz w:val="20"/>
          <w:szCs w:val="20"/>
        </w:rPr>
        <w:t xml:space="preserve"> </w:t>
      </w:r>
      <w:r w:rsidRPr="000977F7">
        <w:rPr>
          <w:color w:val="auto"/>
          <w:sz w:val="20"/>
          <w:szCs w:val="20"/>
        </w:rPr>
        <w:t>–</w:t>
      </w:r>
    </w:p>
    <w:p w14:paraId="100EA7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Припуск, який усувають під час виконання однієї технологічної</w:t>
      </w:r>
      <w:r w:rsidRPr="000977F7">
        <w:rPr>
          <w:rFonts w:asciiTheme="majorHAnsi" w:hAnsiTheme="majorHAnsi"/>
          <w:spacing w:val="-2"/>
          <w:sz w:val="20"/>
          <w:szCs w:val="20"/>
        </w:rPr>
        <w:t xml:space="preserve"> </w:t>
      </w:r>
      <w:r w:rsidRPr="000977F7">
        <w:rPr>
          <w:rFonts w:asciiTheme="majorHAnsi" w:hAnsiTheme="majorHAnsi"/>
          <w:sz w:val="20"/>
          <w:szCs w:val="20"/>
        </w:rPr>
        <w:t>операції</w:t>
      </w:r>
    </w:p>
    <w:p w14:paraId="1D4517D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7EB025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ОПЕРАЦІЯ</w:t>
      </w:r>
      <w:r w:rsidRPr="000977F7">
        <w:rPr>
          <w:color w:val="auto"/>
          <w:spacing w:val="-9"/>
          <w:sz w:val="20"/>
          <w:szCs w:val="20"/>
        </w:rPr>
        <w:t xml:space="preserve"> </w:t>
      </w:r>
      <w:r w:rsidRPr="000977F7">
        <w:rPr>
          <w:color w:val="auto"/>
          <w:sz w:val="20"/>
          <w:szCs w:val="20"/>
        </w:rPr>
        <w:t>ТЕХНІЧНОГО</w:t>
      </w:r>
      <w:r w:rsidRPr="000977F7">
        <w:rPr>
          <w:color w:val="auto"/>
          <w:spacing w:val="-8"/>
          <w:sz w:val="20"/>
          <w:szCs w:val="20"/>
        </w:rPr>
        <w:t xml:space="preserve"> </w:t>
      </w:r>
      <w:r w:rsidRPr="000977F7">
        <w:rPr>
          <w:color w:val="auto"/>
          <w:sz w:val="20"/>
          <w:szCs w:val="20"/>
        </w:rPr>
        <w:t>ОБСЛУГОВУВАННЯ</w:t>
      </w:r>
      <w:r w:rsidRPr="000977F7">
        <w:rPr>
          <w:color w:val="auto"/>
          <w:spacing w:val="-47"/>
          <w:sz w:val="20"/>
          <w:szCs w:val="20"/>
        </w:rPr>
        <w:t xml:space="preserve"> </w:t>
      </w:r>
      <w:r w:rsidRPr="000977F7">
        <w:rPr>
          <w:color w:val="auto"/>
          <w:sz w:val="20"/>
          <w:szCs w:val="20"/>
        </w:rPr>
        <w:t>ТА</w:t>
      </w:r>
      <w:r w:rsidRPr="000977F7">
        <w:rPr>
          <w:color w:val="auto"/>
          <w:spacing w:val="-1"/>
          <w:sz w:val="20"/>
          <w:szCs w:val="20"/>
        </w:rPr>
        <w:t xml:space="preserve"> </w:t>
      </w:r>
      <w:r w:rsidRPr="000977F7">
        <w:rPr>
          <w:color w:val="auto"/>
          <w:sz w:val="20"/>
          <w:szCs w:val="20"/>
        </w:rPr>
        <w:t>РЕМОНТУ</w:t>
      </w:r>
      <w:r w:rsidRPr="000977F7">
        <w:rPr>
          <w:color w:val="auto"/>
          <w:spacing w:val="1"/>
          <w:sz w:val="20"/>
          <w:szCs w:val="20"/>
        </w:rPr>
        <w:t xml:space="preserve"> </w:t>
      </w:r>
      <w:r w:rsidRPr="000977F7">
        <w:rPr>
          <w:color w:val="auto"/>
          <w:sz w:val="20"/>
          <w:szCs w:val="20"/>
        </w:rPr>
        <w:t>–</w:t>
      </w:r>
    </w:p>
    <w:p w14:paraId="46AE2C0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MAINTENANCE</w:t>
      </w:r>
      <w:r w:rsidRPr="004D2D14">
        <w:rPr>
          <w:rFonts w:asciiTheme="majorHAnsi" w:hAnsiTheme="majorHAnsi"/>
          <w:sz w:val="20"/>
          <w:szCs w:val="20"/>
          <w:lang w:val="uk-UA"/>
        </w:rPr>
        <w:t xml:space="preserve"> </w:t>
      </w:r>
      <w:r w:rsidRPr="000977F7">
        <w:rPr>
          <w:rFonts w:asciiTheme="majorHAnsi" w:hAnsiTheme="majorHAnsi"/>
          <w:sz w:val="20"/>
          <w:szCs w:val="20"/>
        </w:rPr>
        <w:t>ACTION</w:t>
      </w:r>
      <w:r w:rsidRPr="004D2D14">
        <w:rPr>
          <w:rFonts w:asciiTheme="majorHAnsi" w:hAnsiTheme="majorHAnsi"/>
          <w:sz w:val="20"/>
          <w:szCs w:val="20"/>
          <w:lang w:val="uk-UA"/>
        </w:rPr>
        <w:t xml:space="preserve"> –</w:t>
      </w:r>
    </w:p>
    <w:p w14:paraId="22DD0A8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Послідовність елементарних технологічних дій з технічного обслуговування та ремонту, які проводять із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заданою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метою</w:t>
      </w:r>
    </w:p>
    <w:p w14:paraId="14E89C2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ABC55B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Прикладом є визначення несправності, контроль функціонування</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поєднання</w:t>
      </w:r>
    </w:p>
    <w:p w14:paraId="663158D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 94</w:t>
      </w:r>
    </w:p>
    <w:p w14:paraId="0E2A50FB" w14:textId="77777777" w:rsidR="0097612F" w:rsidRPr="000977F7" w:rsidRDefault="0097612F" w:rsidP="000977F7">
      <w:pPr>
        <w:pStyle w:val="7"/>
        <w:tabs>
          <w:tab w:val="left" w:pos="284"/>
        </w:tabs>
        <w:spacing w:before="0" w:line="240" w:lineRule="auto"/>
        <w:ind w:left="170"/>
        <w:mirrorIndents/>
        <w:jc w:val="both"/>
        <w:rPr>
          <w:color w:val="auto"/>
          <w:spacing w:val="-7"/>
          <w:sz w:val="20"/>
          <w:szCs w:val="20"/>
        </w:rPr>
      </w:pPr>
      <w:r w:rsidRPr="000977F7">
        <w:rPr>
          <w:color w:val="auto"/>
          <w:sz w:val="20"/>
          <w:szCs w:val="20"/>
        </w:rPr>
        <w:t>ОПИС</w:t>
      </w:r>
      <w:r w:rsidRPr="000977F7">
        <w:rPr>
          <w:color w:val="auto"/>
          <w:spacing w:val="-7"/>
          <w:sz w:val="20"/>
          <w:szCs w:val="20"/>
        </w:rPr>
        <w:t xml:space="preserve"> </w:t>
      </w:r>
      <w:r w:rsidRPr="000977F7">
        <w:rPr>
          <w:color w:val="auto"/>
          <w:sz w:val="20"/>
          <w:szCs w:val="20"/>
        </w:rPr>
        <w:t>ПОВІДОМЛЕНЬ</w:t>
      </w:r>
      <w:r w:rsidRPr="000977F7">
        <w:rPr>
          <w:color w:val="auto"/>
          <w:spacing w:val="-4"/>
          <w:sz w:val="20"/>
          <w:szCs w:val="20"/>
        </w:rPr>
        <w:t xml:space="preserve"> </w:t>
      </w:r>
      <w:r w:rsidRPr="000977F7">
        <w:rPr>
          <w:color w:val="auto"/>
          <w:sz w:val="20"/>
          <w:szCs w:val="20"/>
        </w:rPr>
        <w:t>(ПОПЕРЕДНІХ</w:t>
      </w:r>
      <w:r w:rsidRPr="000977F7">
        <w:rPr>
          <w:color w:val="auto"/>
          <w:spacing w:val="-7"/>
          <w:sz w:val="20"/>
          <w:szCs w:val="20"/>
        </w:rPr>
        <w:t xml:space="preserve"> </w:t>
      </w:r>
    </w:p>
    <w:p w14:paraId="08715FF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ПОВІДОМЛЕНЬ)</w:t>
      </w:r>
      <w:r w:rsidRPr="000977F7">
        <w:rPr>
          <w:color w:val="auto"/>
          <w:spacing w:val="-1"/>
          <w:sz w:val="20"/>
          <w:szCs w:val="20"/>
        </w:rPr>
        <w:t xml:space="preserve"> </w:t>
      </w:r>
      <w:r w:rsidRPr="000977F7">
        <w:rPr>
          <w:color w:val="auto"/>
          <w:sz w:val="20"/>
          <w:szCs w:val="20"/>
        </w:rPr>
        <w:t>ПРО</w:t>
      </w:r>
      <w:r w:rsidRPr="000977F7">
        <w:rPr>
          <w:color w:val="auto"/>
          <w:spacing w:val="-2"/>
          <w:sz w:val="20"/>
          <w:szCs w:val="20"/>
        </w:rPr>
        <w:t xml:space="preserve"> </w:t>
      </w:r>
      <w:r w:rsidRPr="000977F7">
        <w:rPr>
          <w:color w:val="auto"/>
          <w:sz w:val="20"/>
          <w:szCs w:val="20"/>
        </w:rPr>
        <w:t>ЗМІНУ</w:t>
      </w:r>
      <w:r w:rsidRPr="000977F7">
        <w:rPr>
          <w:color w:val="auto"/>
          <w:spacing w:val="1"/>
          <w:sz w:val="20"/>
          <w:szCs w:val="20"/>
        </w:rPr>
        <w:t xml:space="preserve"> </w:t>
      </w:r>
      <w:r w:rsidRPr="000977F7">
        <w:rPr>
          <w:color w:val="auto"/>
          <w:sz w:val="20"/>
          <w:szCs w:val="20"/>
        </w:rPr>
        <w:t>–</w:t>
      </w:r>
    </w:p>
    <w:p w14:paraId="007C263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Супровідний документ до копій чи дублікатів повідомлень (попередніх повідомлень) про зміни конструкторських документів та прикладених до них копій чи</w:t>
      </w:r>
      <w:r w:rsidRPr="000977F7">
        <w:rPr>
          <w:rFonts w:asciiTheme="majorHAnsi" w:hAnsiTheme="majorHAnsi"/>
          <w:spacing w:val="1"/>
          <w:sz w:val="20"/>
          <w:szCs w:val="20"/>
        </w:rPr>
        <w:t xml:space="preserve"> </w:t>
      </w:r>
      <w:r w:rsidRPr="000977F7">
        <w:rPr>
          <w:rFonts w:asciiTheme="majorHAnsi" w:hAnsiTheme="majorHAnsi"/>
          <w:sz w:val="20"/>
          <w:szCs w:val="20"/>
        </w:rPr>
        <w:t>дублікатів</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розсилання</w:t>
      </w:r>
      <w:r w:rsidRPr="000977F7">
        <w:rPr>
          <w:rFonts w:asciiTheme="majorHAnsi" w:hAnsiTheme="majorHAnsi"/>
          <w:spacing w:val="-2"/>
          <w:sz w:val="20"/>
          <w:szCs w:val="20"/>
        </w:rPr>
        <w:t xml:space="preserve"> </w:t>
      </w:r>
      <w:r w:rsidRPr="000977F7">
        <w:rPr>
          <w:rFonts w:asciiTheme="majorHAnsi" w:hAnsiTheme="majorHAnsi"/>
          <w:sz w:val="20"/>
          <w:szCs w:val="20"/>
        </w:rPr>
        <w:t>іншим організаціям</w:t>
      </w:r>
    </w:p>
    <w:p w14:paraId="35D37D8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xml:space="preserve">– </w:t>
      </w:r>
      <w:r w:rsidRPr="000977F7">
        <w:rPr>
          <w:rFonts w:asciiTheme="majorHAnsi" w:hAnsiTheme="majorHAnsi"/>
          <w:sz w:val="20"/>
          <w:szCs w:val="20"/>
        </w:rPr>
        <w:t>2003</w:t>
      </w:r>
    </w:p>
    <w:p w14:paraId="0D84551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ОПИСАННЯ</w:t>
      </w:r>
      <w:r w:rsidRPr="000977F7">
        <w:rPr>
          <w:color w:val="auto"/>
          <w:spacing w:val="-4"/>
          <w:sz w:val="20"/>
          <w:szCs w:val="20"/>
        </w:rPr>
        <w:t xml:space="preserve"> </w:t>
      </w:r>
      <w:r w:rsidRPr="000977F7">
        <w:rPr>
          <w:color w:val="auto"/>
          <w:sz w:val="20"/>
          <w:szCs w:val="20"/>
        </w:rPr>
        <w:t>ЗМІСТУ</w:t>
      </w:r>
      <w:r w:rsidRPr="000977F7">
        <w:rPr>
          <w:color w:val="auto"/>
          <w:spacing w:val="-4"/>
          <w:sz w:val="20"/>
          <w:szCs w:val="20"/>
        </w:rPr>
        <w:t xml:space="preserve"> </w:t>
      </w:r>
      <w:r w:rsidRPr="000977F7">
        <w:rPr>
          <w:color w:val="auto"/>
          <w:sz w:val="20"/>
          <w:szCs w:val="20"/>
        </w:rPr>
        <w:t>ПРОЕКТУ</w:t>
      </w:r>
      <w:r w:rsidRPr="000977F7">
        <w:rPr>
          <w:color w:val="auto"/>
          <w:spacing w:val="-3"/>
          <w:sz w:val="20"/>
          <w:szCs w:val="20"/>
        </w:rPr>
        <w:t xml:space="preserve"> </w:t>
      </w:r>
      <w:r w:rsidRPr="000977F7">
        <w:rPr>
          <w:color w:val="auto"/>
          <w:sz w:val="20"/>
          <w:szCs w:val="20"/>
        </w:rPr>
        <w:t>–</w:t>
      </w:r>
    </w:p>
    <w:p w14:paraId="28C0B0D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Документальна основа для прийняття проектних рішень і підтвердження або вироблення загального розуміння відносно змісту проекту між зацікавленими</w:t>
      </w:r>
      <w:r w:rsidRPr="000977F7">
        <w:rPr>
          <w:rFonts w:asciiTheme="majorHAnsi" w:hAnsiTheme="majorHAnsi"/>
          <w:spacing w:val="1"/>
          <w:sz w:val="20"/>
          <w:szCs w:val="20"/>
        </w:rPr>
        <w:t xml:space="preserve"> </w:t>
      </w:r>
      <w:r w:rsidRPr="000977F7">
        <w:rPr>
          <w:rFonts w:asciiTheme="majorHAnsi" w:hAnsiTheme="majorHAnsi"/>
          <w:sz w:val="20"/>
          <w:szCs w:val="20"/>
        </w:rPr>
        <w:t>особами. По мірі виконання проекту, документ про</w:t>
      </w:r>
      <w:r w:rsidRPr="000977F7">
        <w:rPr>
          <w:rFonts w:asciiTheme="majorHAnsi" w:hAnsiTheme="majorHAnsi"/>
          <w:spacing w:val="1"/>
          <w:sz w:val="20"/>
          <w:szCs w:val="20"/>
        </w:rPr>
        <w:t xml:space="preserve"> </w:t>
      </w:r>
      <w:r w:rsidRPr="000977F7">
        <w:rPr>
          <w:rFonts w:asciiTheme="majorHAnsi" w:hAnsiTheme="majorHAnsi"/>
          <w:sz w:val="20"/>
          <w:szCs w:val="20"/>
        </w:rPr>
        <w:t>зміст може бути скоригований або вдосконалений для</w:t>
      </w:r>
      <w:r w:rsidRPr="000977F7">
        <w:rPr>
          <w:rFonts w:asciiTheme="majorHAnsi" w:hAnsiTheme="majorHAnsi"/>
          <w:spacing w:val="-47"/>
          <w:sz w:val="20"/>
          <w:szCs w:val="20"/>
        </w:rPr>
        <w:t xml:space="preserve"> </w:t>
      </w:r>
      <w:r w:rsidRPr="000977F7">
        <w:rPr>
          <w:rFonts w:asciiTheme="majorHAnsi" w:hAnsiTheme="majorHAnsi"/>
          <w:sz w:val="20"/>
          <w:szCs w:val="20"/>
        </w:rPr>
        <w:t>відображення змін у змісті проекту. Описання змісту</w:t>
      </w:r>
      <w:r w:rsidRPr="000977F7">
        <w:rPr>
          <w:rFonts w:asciiTheme="majorHAnsi" w:hAnsiTheme="majorHAnsi"/>
          <w:spacing w:val="1"/>
          <w:sz w:val="20"/>
          <w:szCs w:val="20"/>
        </w:rPr>
        <w:t xml:space="preserve"> </w:t>
      </w:r>
      <w:r w:rsidRPr="000977F7">
        <w:rPr>
          <w:rFonts w:asciiTheme="majorHAnsi" w:hAnsiTheme="majorHAnsi"/>
          <w:sz w:val="20"/>
          <w:szCs w:val="20"/>
        </w:rPr>
        <w:t>має включати (безпосередньо чи з допомогою посилань</w:t>
      </w:r>
      <w:r w:rsidRPr="000977F7">
        <w:rPr>
          <w:rFonts w:asciiTheme="majorHAnsi" w:hAnsiTheme="majorHAnsi"/>
          <w:spacing w:val="1"/>
          <w:sz w:val="20"/>
          <w:szCs w:val="20"/>
        </w:rPr>
        <w:t xml:space="preserve"> </w:t>
      </w:r>
      <w:r w:rsidRPr="000977F7">
        <w:rPr>
          <w:rFonts w:asciiTheme="majorHAnsi" w:hAnsiTheme="majorHAnsi"/>
          <w:sz w:val="20"/>
          <w:szCs w:val="20"/>
        </w:rPr>
        <w:t>на інші</w:t>
      </w:r>
      <w:r w:rsidRPr="000977F7">
        <w:rPr>
          <w:rFonts w:asciiTheme="majorHAnsi" w:hAnsiTheme="majorHAnsi"/>
          <w:spacing w:val="-1"/>
          <w:sz w:val="20"/>
          <w:szCs w:val="20"/>
        </w:rPr>
        <w:t xml:space="preserve"> </w:t>
      </w:r>
      <w:r w:rsidRPr="000977F7">
        <w:rPr>
          <w:rFonts w:asciiTheme="majorHAnsi" w:hAnsiTheme="majorHAnsi"/>
          <w:sz w:val="20"/>
          <w:szCs w:val="20"/>
        </w:rPr>
        <w:t>документи):</w:t>
      </w:r>
    </w:p>
    <w:p w14:paraId="034BFF85" w14:textId="77777777" w:rsidR="0097612F" w:rsidRPr="000977F7" w:rsidRDefault="0097612F" w:rsidP="00FD39A4">
      <w:pPr>
        <w:pStyle w:val="ac"/>
        <w:widowControl w:val="0"/>
        <w:numPr>
          <w:ilvl w:val="0"/>
          <w:numId w:val="13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Обґрунтування проекту – описання комерційної</w:t>
      </w:r>
      <w:r w:rsidRPr="000977F7">
        <w:rPr>
          <w:rFonts w:asciiTheme="majorHAnsi" w:hAnsiTheme="majorHAnsi"/>
          <w:spacing w:val="1"/>
          <w:sz w:val="20"/>
          <w:szCs w:val="20"/>
        </w:rPr>
        <w:t xml:space="preserve"> </w:t>
      </w:r>
      <w:r w:rsidRPr="000977F7">
        <w:rPr>
          <w:rFonts w:asciiTheme="majorHAnsi" w:hAnsiTheme="majorHAnsi"/>
          <w:sz w:val="20"/>
          <w:szCs w:val="20"/>
        </w:rPr>
        <w:t>необхідності виконання проекту. Обґрунтування</w:t>
      </w:r>
      <w:r w:rsidRPr="000977F7">
        <w:rPr>
          <w:rFonts w:asciiTheme="majorHAnsi" w:hAnsiTheme="majorHAnsi"/>
          <w:spacing w:val="1"/>
          <w:sz w:val="20"/>
          <w:szCs w:val="20"/>
        </w:rPr>
        <w:t xml:space="preserve"> </w:t>
      </w:r>
      <w:r w:rsidRPr="000977F7">
        <w:rPr>
          <w:rFonts w:asciiTheme="majorHAnsi" w:hAnsiTheme="majorHAnsi"/>
          <w:sz w:val="20"/>
          <w:szCs w:val="20"/>
        </w:rPr>
        <w:t>проекту є основою для оцінки майбутнього виконання. Продукт проекту-коротке підсумкове описання</w:t>
      </w:r>
      <w:r w:rsidRPr="000977F7">
        <w:rPr>
          <w:rFonts w:asciiTheme="majorHAnsi" w:hAnsiTheme="majorHAnsi"/>
          <w:spacing w:val="-2"/>
          <w:sz w:val="20"/>
          <w:szCs w:val="20"/>
        </w:rPr>
        <w:t xml:space="preserve"> </w:t>
      </w:r>
      <w:r w:rsidRPr="000977F7">
        <w:rPr>
          <w:rFonts w:asciiTheme="majorHAnsi" w:hAnsiTheme="majorHAnsi"/>
          <w:sz w:val="20"/>
          <w:szCs w:val="20"/>
        </w:rPr>
        <w:t>продукту.</w:t>
      </w:r>
    </w:p>
    <w:p w14:paraId="159650A2" w14:textId="77777777" w:rsidR="0097612F" w:rsidRPr="000977F7" w:rsidRDefault="0097612F" w:rsidP="00FD39A4">
      <w:pPr>
        <w:pStyle w:val="ac"/>
        <w:widowControl w:val="0"/>
        <w:numPr>
          <w:ilvl w:val="0"/>
          <w:numId w:val="13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Результат проекту – перелік підсумкових підпродуктів по рівнях проекту, чиє повне і адекватне</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означатиме</w:t>
      </w:r>
      <w:r w:rsidRPr="000977F7">
        <w:rPr>
          <w:rFonts w:asciiTheme="majorHAnsi" w:hAnsiTheme="majorHAnsi"/>
          <w:spacing w:val="1"/>
          <w:sz w:val="20"/>
          <w:szCs w:val="20"/>
        </w:rPr>
        <w:t xml:space="preserve"> </w:t>
      </w:r>
      <w:r w:rsidRPr="000977F7">
        <w:rPr>
          <w:rFonts w:asciiTheme="majorHAnsi" w:hAnsiTheme="majorHAnsi"/>
          <w:sz w:val="20"/>
          <w:szCs w:val="20"/>
        </w:rPr>
        <w:t>завершення</w:t>
      </w:r>
      <w:r w:rsidRPr="000977F7">
        <w:rPr>
          <w:rFonts w:asciiTheme="majorHAnsi" w:hAnsiTheme="majorHAnsi"/>
          <w:spacing w:val="1"/>
          <w:sz w:val="20"/>
          <w:szCs w:val="20"/>
        </w:rPr>
        <w:t xml:space="preserve"> </w:t>
      </w:r>
      <w:r w:rsidRPr="000977F7">
        <w:rPr>
          <w:rFonts w:asciiTheme="majorHAnsi" w:hAnsiTheme="majorHAnsi"/>
          <w:sz w:val="20"/>
          <w:szCs w:val="20"/>
        </w:rPr>
        <w:t>проекту.</w:t>
      </w:r>
      <w:r w:rsidRPr="000977F7">
        <w:rPr>
          <w:rFonts w:asciiTheme="majorHAnsi" w:hAnsiTheme="majorHAnsi"/>
          <w:spacing w:val="1"/>
          <w:sz w:val="20"/>
          <w:szCs w:val="20"/>
        </w:rPr>
        <w:t xml:space="preserve"> </w:t>
      </w:r>
      <w:r w:rsidRPr="000977F7">
        <w:rPr>
          <w:rFonts w:asciiTheme="majorHAnsi" w:hAnsiTheme="majorHAnsi"/>
          <w:sz w:val="20"/>
          <w:szCs w:val="20"/>
        </w:rPr>
        <w:t>Наприклад, основним результатом в проекті з розробки</w:t>
      </w:r>
      <w:r w:rsidRPr="000977F7">
        <w:rPr>
          <w:rFonts w:asciiTheme="majorHAnsi" w:hAnsiTheme="majorHAnsi"/>
          <w:spacing w:val="1"/>
          <w:sz w:val="20"/>
          <w:szCs w:val="20"/>
        </w:rPr>
        <w:t xml:space="preserve"> </w:t>
      </w:r>
      <w:r w:rsidRPr="000977F7">
        <w:rPr>
          <w:rFonts w:asciiTheme="majorHAnsi" w:hAnsiTheme="majorHAnsi"/>
          <w:sz w:val="20"/>
          <w:szCs w:val="20"/>
        </w:rPr>
        <w:t>програмного</w:t>
      </w:r>
      <w:r w:rsidRPr="000977F7">
        <w:rPr>
          <w:rFonts w:asciiTheme="majorHAnsi" w:hAnsiTheme="majorHAnsi"/>
          <w:spacing w:val="1"/>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діюча прикладна програма, керівництво користувача та інтерактивний навчальний посібник. Мають бути визначені вилучення, якщо вони є, і все,</w:t>
      </w:r>
      <w:r w:rsidRPr="000977F7">
        <w:rPr>
          <w:rFonts w:asciiTheme="majorHAnsi" w:hAnsiTheme="majorHAnsi"/>
          <w:spacing w:val="1"/>
          <w:sz w:val="20"/>
          <w:szCs w:val="20"/>
        </w:rPr>
        <w:t xml:space="preserve"> </w:t>
      </w:r>
      <w:r w:rsidRPr="000977F7">
        <w:rPr>
          <w:rFonts w:asciiTheme="majorHAnsi" w:hAnsiTheme="majorHAnsi"/>
          <w:sz w:val="20"/>
          <w:szCs w:val="20"/>
        </w:rPr>
        <w:t>що явно не включається, за умовчанням має бути</w:t>
      </w:r>
      <w:r w:rsidRPr="000977F7">
        <w:rPr>
          <w:rFonts w:asciiTheme="majorHAnsi" w:hAnsiTheme="majorHAnsi"/>
          <w:spacing w:val="1"/>
          <w:sz w:val="20"/>
          <w:szCs w:val="20"/>
        </w:rPr>
        <w:t xml:space="preserve"> </w:t>
      </w:r>
      <w:r w:rsidRPr="000977F7">
        <w:rPr>
          <w:rFonts w:asciiTheme="majorHAnsi" w:hAnsiTheme="majorHAnsi"/>
          <w:sz w:val="20"/>
          <w:szCs w:val="20"/>
        </w:rPr>
        <w:t>вилучене</w:t>
      </w:r>
    </w:p>
    <w:p w14:paraId="42A01CF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Цілі проекту – кількісні критерії, які мають бути задоволені, для того щоб проект вважався успішно завершеним.</w:t>
      </w:r>
      <w:r w:rsidRPr="000977F7">
        <w:rPr>
          <w:rFonts w:asciiTheme="majorHAnsi" w:hAnsiTheme="majorHAnsi"/>
          <w:spacing w:val="1"/>
          <w:sz w:val="20"/>
          <w:szCs w:val="20"/>
        </w:rPr>
        <w:t xml:space="preserve"> </w:t>
      </w:r>
      <w:r w:rsidRPr="000977F7">
        <w:rPr>
          <w:rFonts w:asciiTheme="majorHAnsi" w:hAnsiTheme="majorHAnsi"/>
          <w:sz w:val="20"/>
          <w:szCs w:val="20"/>
        </w:rPr>
        <w:t>Цілі</w:t>
      </w:r>
      <w:r w:rsidRPr="000977F7">
        <w:rPr>
          <w:rFonts w:asciiTheme="majorHAnsi" w:hAnsiTheme="majorHAnsi"/>
          <w:spacing w:val="1"/>
          <w:sz w:val="20"/>
          <w:szCs w:val="20"/>
        </w:rPr>
        <w:t xml:space="preserve"> </w:t>
      </w:r>
      <w:r w:rsidRPr="000977F7">
        <w:rPr>
          <w:rFonts w:asciiTheme="majorHAnsi" w:hAnsiTheme="majorHAnsi"/>
          <w:sz w:val="20"/>
          <w:szCs w:val="20"/>
        </w:rPr>
        <w:t>проекту</w:t>
      </w:r>
      <w:r w:rsidRPr="000977F7">
        <w:rPr>
          <w:rFonts w:asciiTheme="majorHAnsi" w:hAnsiTheme="majorHAnsi"/>
          <w:spacing w:val="1"/>
          <w:sz w:val="20"/>
          <w:szCs w:val="20"/>
        </w:rPr>
        <w:t xml:space="preserve"> </w:t>
      </w:r>
      <w:r w:rsidRPr="000977F7">
        <w:rPr>
          <w:rFonts w:asciiTheme="majorHAnsi" w:hAnsiTheme="majorHAnsi"/>
          <w:sz w:val="20"/>
          <w:szCs w:val="20"/>
        </w:rPr>
        <w:t>повинні</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мінімум</w:t>
      </w:r>
      <w:r w:rsidRPr="000977F7">
        <w:rPr>
          <w:rFonts w:asciiTheme="majorHAnsi" w:hAnsiTheme="majorHAnsi"/>
          <w:spacing w:val="1"/>
          <w:sz w:val="20"/>
          <w:szCs w:val="20"/>
        </w:rPr>
        <w:t xml:space="preserve"> </w:t>
      </w:r>
      <w:r w:rsidRPr="000977F7">
        <w:rPr>
          <w:rFonts w:asciiTheme="majorHAnsi" w:hAnsiTheme="majorHAnsi"/>
          <w:sz w:val="20"/>
          <w:szCs w:val="20"/>
        </w:rPr>
        <w:t>включати</w:t>
      </w:r>
      <w:r w:rsidRPr="000977F7">
        <w:rPr>
          <w:rFonts w:asciiTheme="majorHAnsi" w:hAnsiTheme="majorHAnsi"/>
          <w:spacing w:val="-47"/>
          <w:sz w:val="20"/>
          <w:szCs w:val="20"/>
        </w:rPr>
        <w:t xml:space="preserve"> </w:t>
      </w:r>
      <w:r w:rsidRPr="000977F7">
        <w:rPr>
          <w:rFonts w:asciiTheme="majorHAnsi" w:hAnsiTheme="majorHAnsi"/>
          <w:sz w:val="20"/>
          <w:szCs w:val="20"/>
        </w:rPr>
        <w:t>кількісні вимоги до вартості, календарного плану й</w:t>
      </w:r>
      <w:r w:rsidRPr="000977F7">
        <w:rPr>
          <w:rFonts w:asciiTheme="majorHAnsi" w:hAnsiTheme="majorHAnsi"/>
          <w:spacing w:val="1"/>
          <w:sz w:val="20"/>
          <w:szCs w:val="20"/>
        </w:rPr>
        <w:t xml:space="preserve"> </w:t>
      </w:r>
      <w:r w:rsidRPr="000977F7">
        <w:rPr>
          <w:rFonts w:asciiTheme="majorHAnsi" w:hAnsiTheme="majorHAnsi"/>
          <w:sz w:val="20"/>
          <w:szCs w:val="20"/>
        </w:rPr>
        <w:t>якості проекту. Цілі проекту повинні мати параметр</w:t>
      </w:r>
      <w:r w:rsidRPr="000977F7">
        <w:rPr>
          <w:rFonts w:asciiTheme="majorHAnsi" w:hAnsiTheme="majorHAnsi"/>
          <w:spacing w:val="1"/>
          <w:sz w:val="20"/>
          <w:szCs w:val="20"/>
        </w:rPr>
        <w:t xml:space="preserve"> </w:t>
      </w:r>
      <w:r w:rsidRPr="000977F7">
        <w:rPr>
          <w:rFonts w:asciiTheme="majorHAnsi" w:hAnsiTheme="majorHAnsi"/>
          <w:sz w:val="20"/>
          <w:szCs w:val="20"/>
        </w:rPr>
        <w:t>(наприклад, вартість), одиницю вимірювання, а також</w:t>
      </w:r>
      <w:r w:rsidRPr="000977F7">
        <w:rPr>
          <w:rFonts w:asciiTheme="majorHAnsi" w:hAnsiTheme="majorHAnsi"/>
          <w:spacing w:val="1"/>
          <w:sz w:val="20"/>
          <w:szCs w:val="20"/>
        </w:rPr>
        <w:t xml:space="preserve"> </w:t>
      </w:r>
      <w:r w:rsidRPr="000977F7">
        <w:rPr>
          <w:rFonts w:asciiTheme="majorHAnsi" w:hAnsiTheme="majorHAnsi"/>
          <w:sz w:val="20"/>
          <w:szCs w:val="20"/>
        </w:rPr>
        <w:t>абсолютні</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відносні</w:t>
      </w:r>
      <w:r w:rsidRPr="000977F7">
        <w:rPr>
          <w:rFonts w:asciiTheme="majorHAnsi" w:hAnsiTheme="majorHAnsi"/>
          <w:spacing w:val="-2"/>
          <w:sz w:val="20"/>
          <w:szCs w:val="20"/>
        </w:rPr>
        <w:t xml:space="preserve"> </w:t>
      </w:r>
      <w:r w:rsidRPr="000977F7">
        <w:rPr>
          <w:rFonts w:asciiTheme="majorHAnsi" w:hAnsiTheme="majorHAnsi"/>
          <w:sz w:val="20"/>
          <w:szCs w:val="20"/>
        </w:rPr>
        <w:t>значення.</w:t>
      </w:r>
    </w:p>
    <w:p w14:paraId="1384E0F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Цілі,</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можна</w:t>
      </w:r>
      <w:r w:rsidRPr="000977F7">
        <w:rPr>
          <w:rFonts w:asciiTheme="majorHAnsi" w:hAnsiTheme="majorHAnsi"/>
          <w:spacing w:val="1"/>
          <w:sz w:val="20"/>
          <w:szCs w:val="20"/>
        </w:rPr>
        <w:t xml:space="preserve"> </w:t>
      </w:r>
      <w:r w:rsidRPr="000977F7">
        <w:rPr>
          <w:rFonts w:asciiTheme="majorHAnsi" w:hAnsiTheme="majorHAnsi"/>
          <w:sz w:val="20"/>
          <w:szCs w:val="20"/>
        </w:rPr>
        <w:t>оцінити</w:t>
      </w:r>
      <w:r w:rsidRPr="000977F7">
        <w:rPr>
          <w:rFonts w:asciiTheme="majorHAnsi" w:hAnsiTheme="majorHAnsi"/>
          <w:spacing w:val="1"/>
          <w:sz w:val="20"/>
          <w:szCs w:val="20"/>
        </w:rPr>
        <w:t xml:space="preserve"> </w:t>
      </w:r>
      <w:r w:rsidRPr="000977F7">
        <w:rPr>
          <w:rFonts w:asciiTheme="majorHAnsi" w:hAnsiTheme="majorHAnsi"/>
          <w:sz w:val="20"/>
          <w:szCs w:val="20"/>
        </w:rPr>
        <w:t>кількісно,</w:t>
      </w:r>
      <w:r w:rsidRPr="000977F7">
        <w:rPr>
          <w:rFonts w:asciiTheme="majorHAnsi" w:hAnsiTheme="majorHAnsi"/>
          <w:spacing w:val="1"/>
          <w:sz w:val="20"/>
          <w:szCs w:val="20"/>
        </w:rPr>
        <w:t xml:space="preserve"> </w:t>
      </w:r>
      <w:r w:rsidRPr="000977F7">
        <w:rPr>
          <w:rFonts w:asciiTheme="majorHAnsi" w:hAnsiTheme="majorHAnsi"/>
          <w:sz w:val="20"/>
          <w:szCs w:val="20"/>
        </w:rPr>
        <w:t>містять</w:t>
      </w:r>
      <w:r w:rsidRPr="000977F7">
        <w:rPr>
          <w:rFonts w:asciiTheme="majorHAnsi" w:hAnsiTheme="majorHAnsi"/>
          <w:spacing w:val="1"/>
          <w:sz w:val="20"/>
          <w:szCs w:val="20"/>
        </w:rPr>
        <w:t xml:space="preserve"> </w:t>
      </w:r>
      <w:r w:rsidRPr="000977F7">
        <w:rPr>
          <w:rFonts w:asciiTheme="majorHAnsi" w:hAnsiTheme="majorHAnsi"/>
          <w:sz w:val="20"/>
          <w:szCs w:val="20"/>
        </w:rPr>
        <w:t>більш</w:t>
      </w:r>
      <w:r w:rsidRPr="000977F7">
        <w:rPr>
          <w:rFonts w:asciiTheme="majorHAnsi" w:hAnsiTheme="majorHAnsi"/>
          <w:spacing w:val="2"/>
          <w:sz w:val="20"/>
          <w:szCs w:val="20"/>
        </w:rPr>
        <w:t xml:space="preserve"> </w:t>
      </w:r>
      <w:r w:rsidRPr="000977F7">
        <w:rPr>
          <w:rFonts w:asciiTheme="majorHAnsi" w:hAnsiTheme="majorHAnsi"/>
          <w:sz w:val="20"/>
          <w:szCs w:val="20"/>
        </w:rPr>
        <w:t>високий</w:t>
      </w:r>
      <w:r w:rsidRPr="000977F7">
        <w:rPr>
          <w:rFonts w:asciiTheme="majorHAnsi" w:hAnsiTheme="majorHAnsi"/>
          <w:spacing w:val="-1"/>
          <w:sz w:val="20"/>
          <w:szCs w:val="20"/>
        </w:rPr>
        <w:t xml:space="preserve"> </w:t>
      </w:r>
      <w:r w:rsidRPr="000977F7">
        <w:rPr>
          <w:rFonts w:asciiTheme="majorHAnsi" w:hAnsiTheme="majorHAnsi"/>
          <w:sz w:val="20"/>
          <w:szCs w:val="20"/>
        </w:rPr>
        <w:t>ризик</w:t>
      </w:r>
    </w:p>
    <w:p w14:paraId="6BB823E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
          <w:w w:val="99"/>
          <w:sz w:val="20"/>
          <w:szCs w:val="20"/>
        </w:rPr>
        <w:t>Ке</w:t>
      </w:r>
      <w:r w:rsidRPr="000977F7">
        <w:rPr>
          <w:rFonts w:asciiTheme="majorHAnsi" w:hAnsiTheme="majorHAnsi"/>
          <w:i/>
          <w:w w:val="99"/>
          <w:sz w:val="20"/>
          <w:szCs w:val="20"/>
        </w:rPr>
        <w:t>р.</w:t>
      </w:r>
      <w:r w:rsidRPr="000977F7">
        <w:rPr>
          <w:rFonts w:asciiTheme="majorHAnsi" w:hAnsiTheme="majorHAnsi"/>
          <w:i/>
          <w:sz w:val="20"/>
          <w:szCs w:val="20"/>
        </w:rPr>
        <w:t xml:space="preserve"> </w:t>
      </w:r>
      <w:r w:rsidRPr="000977F7">
        <w:rPr>
          <w:rFonts w:asciiTheme="majorHAnsi" w:hAnsiTheme="majorHAnsi"/>
          <w:i/>
          <w:spacing w:val="1"/>
          <w:w w:val="99"/>
          <w:sz w:val="20"/>
          <w:szCs w:val="20"/>
        </w:rPr>
        <w:t>про</w:t>
      </w:r>
      <w:r w:rsidRPr="000977F7">
        <w:rPr>
          <w:rFonts w:asciiTheme="majorHAnsi" w:hAnsiTheme="majorHAnsi"/>
          <w:i/>
          <w:w w:val="99"/>
          <w:sz w:val="20"/>
          <w:szCs w:val="20"/>
        </w:rPr>
        <w:t>ек</w:t>
      </w:r>
      <w:r w:rsidRPr="000977F7">
        <w:rPr>
          <w:rFonts w:asciiTheme="majorHAnsi" w:hAnsiTheme="majorHAnsi"/>
          <w:i/>
          <w:spacing w:val="-1"/>
          <w:w w:val="99"/>
          <w:sz w:val="20"/>
          <w:szCs w:val="20"/>
        </w:rPr>
        <w:t>тн</w:t>
      </w:r>
      <w:r w:rsidRPr="000977F7">
        <w:rPr>
          <w:rFonts w:asciiTheme="majorHAnsi" w:hAnsiTheme="majorHAnsi"/>
          <w:i/>
          <w:w w:val="99"/>
          <w:sz w:val="20"/>
          <w:szCs w:val="20"/>
        </w:rPr>
        <w:t>.</w:t>
      </w:r>
      <w:r w:rsidRPr="000977F7">
        <w:rPr>
          <w:rFonts w:asciiTheme="majorHAnsi" w:hAnsiTheme="majorHAnsi"/>
          <w:i/>
          <w:sz w:val="20"/>
          <w:szCs w:val="20"/>
        </w:rPr>
        <w:t xml:space="preserve"> </w:t>
      </w:r>
      <w:r w:rsidRPr="000977F7">
        <w:rPr>
          <w:rFonts w:asciiTheme="majorHAnsi" w:hAnsiTheme="majorHAnsi"/>
          <w:i/>
          <w:spacing w:val="-1"/>
          <w:w w:val="99"/>
          <w:sz w:val="20"/>
          <w:szCs w:val="20"/>
        </w:rPr>
        <w:t>менеджм</w:t>
      </w:r>
      <w:r w:rsidRPr="000977F7">
        <w:rPr>
          <w:rFonts w:asciiTheme="majorHAnsi" w:hAnsiTheme="majorHAnsi"/>
          <w:i/>
          <w:spacing w:val="3"/>
          <w:w w:val="99"/>
          <w:sz w:val="20"/>
          <w:szCs w:val="20"/>
        </w:rPr>
        <w:t>.</w:t>
      </w:r>
      <w:r w:rsidRPr="000977F7">
        <w:rPr>
          <w:rFonts w:asciiTheme="majorHAnsi" w:hAnsiTheme="majorHAnsi"/>
          <w:i/>
          <w:w w:val="99"/>
          <w:sz w:val="20"/>
          <w:szCs w:val="20"/>
        </w:rPr>
        <w:t>-</w:t>
      </w:r>
      <w:r w:rsidRPr="000977F7">
        <w:rPr>
          <w:rFonts w:asciiTheme="majorHAnsi" w:hAnsiTheme="majorHAnsi"/>
          <w:i/>
          <w:spacing w:val="2"/>
          <w:w w:val="99"/>
          <w:sz w:val="20"/>
          <w:szCs w:val="20"/>
        </w:rPr>
        <w:t>т</w:t>
      </w:r>
      <w:r w:rsidRPr="000977F7">
        <w:rPr>
          <w:rFonts w:asciiTheme="majorHAnsi" w:hAnsiTheme="majorHAnsi"/>
          <w:i/>
          <w:w w:val="137"/>
          <w:sz w:val="20"/>
          <w:szCs w:val="20"/>
        </w:rPr>
        <w:t>у‖</w:t>
      </w:r>
    </w:p>
    <w:p w14:paraId="12460E2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ОПИСАННЯ</w:t>
      </w:r>
      <w:r w:rsidRPr="000977F7">
        <w:rPr>
          <w:color w:val="auto"/>
          <w:spacing w:val="-4"/>
          <w:sz w:val="20"/>
          <w:szCs w:val="20"/>
        </w:rPr>
        <w:t xml:space="preserve"> </w:t>
      </w:r>
      <w:r w:rsidRPr="000977F7">
        <w:rPr>
          <w:color w:val="auto"/>
          <w:sz w:val="20"/>
          <w:szCs w:val="20"/>
        </w:rPr>
        <w:t>ПРОДУКТУ</w:t>
      </w:r>
      <w:r w:rsidRPr="000977F7">
        <w:rPr>
          <w:color w:val="auto"/>
          <w:spacing w:val="1"/>
          <w:sz w:val="20"/>
          <w:szCs w:val="20"/>
        </w:rPr>
        <w:t xml:space="preserve"> </w:t>
      </w:r>
      <w:r w:rsidRPr="000977F7">
        <w:rPr>
          <w:color w:val="auto"/>
          <w:sz w:val="20"/>
          <w:szCs w:val="20"/>
        </w:rPr>
        <w:t>–</w:t>
      </w:r>
    </w:p>
    <w:p w14:paraId="249A326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Документування характеристики продукту чи послуги, яку має надати проект для того, щоб вважатися</w:t>
      </w:r>
      <w:r w:rsidRPr="000977F7">
        <w:rPr>
          <w:rFonts w:asciiTheme="majorHAnsi" w:hAnsiTheme="majorHAnsi"/>
          <w:spacing w:val="1"/>
          <w:sz w:val="20"/>
          <w:szCs w:val="20"/>
        </w:rPr>
        <w:t xml:space="preserve"> </w:t>
      </w:r>
      <w:r w:rsidRPr="000977F7">
        <w:rPr>
          <w:rFonts w:asciiTheme="majorHAnsi" w:hAnsiTheme="majorHAnsi"/>
          <w:sz w:val="20"/>
          <w:szCs w:val="20"/>
        </w:rPr>
        <w:t>виконаним.</w:t>
      </w:r>
      <w:r w:rsidRPr="000977F7">
        <w:rPr>
          <w:rFonts w:asciiTheme="majorHAnsi" w:hAnsiTheme="majorHAnsi"/>
          <w:spacing w:val="41"/>
          <w:sz w:val="20"/>
          <w:szCs w:val="20"/>
        </w:rPr>
        <w:t xml:space="preserve"> </w:t>
      </w:r>
      <w:r w:rsidRPr="000977F7">
        <w:rPr>
          <w:rFonts w:asciiTheme="majorHAnsi" w:hAnsiTheme="majorHAnsi"/>
          <w:sz w:val="20"/>
          <w:szCs w:val="20"/>
        </w:rPr>
        <w:t>Загалом</w:t>
      </w:r>
      <w:r w:rsidRPr="000977F7">
        <w:rPr>
          <w:rFonts w:asciiTheme="majorHAnsi" w:hAnsiTheme="majorHAnsi"/>
          <w:spacing w:val="41"/>
          <w:sz w:val="20"/>
          <w:szCs w:val="20"/>
        </w:rPr>
        <w:t xml:space="preserve"> </w:t>
      </w:r>
      <w:r w:rsidRPr="000977F7">
        <w:rPr>
          <w:rFonts w:asciiTheme="majorHAnsi" w:hAnsiTheme="majorHAnsi"/>
          <w:sz w:val="20"/>
          <w:szCs w:val="20"/>
        </w:rPr>
        <w:t>описання</w:t>
      </w:r>
      <w:r w:rsidRPr="000977F7">
        <w:rPr>
          <w:rFonts w:asciiTheme="majorHAnsi" w:hAnsiTheme="majorHAnsi"/>
          <w:spacing w:val="40"/>
          <w:sz w:val="20"/>
          <w:szCs w:val="20"/>
        </w:rPr>
        <w:t xml:space="preserve"> </w:t>
      </w:r>
      <w:r w:rsidRPr="000977F7">
        <w:rPr>
          <w:rFonts w:asciiTheme="majorHAnsi" w:hAnsiTheme="majorHAnsi"/>
          <w:sz w:val="20"/>
          <w:szCs w:val="20"/>
        </w:rPr>
        <w:t>продукту</w:t>
      </w:r>
      <w:r w:rsidRPr="000977F7">
        <w:rPr>
          <w:rFonts w:asciiTheme="majorHAnsi" w:hAnsiTheme="majorHAnsi"/>
          <w:spacing w:val="39"/>
          <w:sz w:val="20"/>
          <w:szCs w:val="20"/>
        </w:rPr>
        <w:t xml:space="preserve"> </w:t>
      </w:r>
      <w:r w:rsidRPr="000977F7">
        <w:rPr>
          <w:rFonts w:asciiTheme="majorHAnsi" w:hAnsiTheme="majorHAnsi"/>
          <w:sz w:val="20"/>
          <w:szCs w:val="20"/>
        </w:rPr>
        <w:t>має</w:t>
      </w:r>
      <w:r w:rsidRPr="000977F7">
        <w:rPr>
          <w:rFonts w:asciiTheme="majorHAnsi" w:hAnsiTheme="majorHAnsi"/>
          <w:spacing w:val="42"/>
          <w:sz w:val="20"/>
          <w:szCs w:val="20"/>
        </w:rPr>
        <w:t xml:space="preserve"> </w:t>
      </w:r>
      <w:r w:rsidRPr="000977F7">
        <w:rPr>
          <w:rFonts w:asciiTheme="majorHAnsi" w:hAnsiTheme="majorHAnsi"/>
          <w:sz w:val="20"/>
          <w:szCs w:val="20"/>
        </w:rPr>
        <w:t>бути менш детальним на ранніх фазах і більш детальним на</w:t>
      </w:r>
      <w:r w:rsidRPr="000977F7">
        <w:rPr>
          <w:rFonts w:asciiTheme="majorHAnsi" w:hAnsiTheme="majorHAnsi"/>
          <w:spacing w:val="-47"/>
          <w:sz w:val="20"/>
          <w:szCs w:val="20"/>
        </w:rPr>
        <w:t xml:space="preserve"> </w:t>
      </w:r>
      <w:r w:rsidRPr="000977F7">
        <w:rPr>
          <w:rFonts w:asciiTheme="majorHAnsi" w:hAnsiTheme="majorHAnsi"/>
          <w:sz w:val="20"/>
          <w:szCs w:val="20"/>
        </w:rPr>
        <w:t>пізніх фазах по мірі того як характеристики продукту</w:t>
      </w:r>
      <w:r w:rsidRPr="000977F7">
        <w:rPr>
          <w:rFonts w:asciiTheme="majorHAnsi" w:hAnsiTheme="majorHAnsi"/>
          <w:spacing w:val="1"/>
          <w:sz w:val="20"/>
          <w:szCs w:val="20"/>
        </w:rPr>
        <w:t xml:space="preserve"> </w:t>
      </w:r>
      <w:r w:rsidRPr="000977F7">
        <w:rPr>
          <w:rFonts w:asciiTheme="majorHAnsi" w:hAnsiTheme="majorHAnsi"/>
          <w:sz w:val="20"/>
          <w:szCs w:val="20"/>
        </w:rPr>
        <w:t>поступово уточнюються. Описання продукту документує також зв’язок між продуктом чи послугою, що</w:t>
      </w:r>
      <w:r w:rsidRPr="000977F7">
        <w:rPr>
          <w:rFonts w:asciiTheme="majorHAnsi" w:hAnsiTheme="majorHAnsi"/>
          <w:spacing w:val="1"/>
          <w:sz w:val="20"/>
          <w:szCs w:val="20"/>
        </w:rPr>
        <w:t xml:space="preserve"> </w:t>
      </w:r>
      <w:r w:rsidRPr="000977F7">
        <w:rPr>
          <w:rFonts w:asciiTheme="majorHAnsi" w:hAnsiTheme="majorHAnsi"/>
          <w:sz w:val="20"/>
          <w:szCs w:val="20"/>
        </w:rPr>
        <w:t>створюється, і комерційною потребою в цьому, або</w:t>
      </w:r>
      <w:r w:rsidRPr="000977F7">
        <w:rPr>
          <w:rFonts w:asciiTheme="majorHAnsi" w:hAnsiTheme="majorHAnsi"/>
          <w:spacing w:val="1"/>
          <w:sz w:val="20"/>
          <w:szCs w:val="20"/>
        </w:rPr>
        <w:t xml:space="preserve"> </w:t>
      </w:r>
      <w:r w:rsidRPr="000977F7">
        <w:rPr>
          <w:rFonts w:asciiTheme="majorHAnsi" w:hAnsiTheme="majorHAnsi"/>
          <w:sz w:val="20"/>
          <w:szCs w:val="20"/>
        </w:rPr>
        <w:t>іншими стимулами, які спричиняють запуск проекту.</w:t>
      </w:r>
      <w:r w:rsidRPr="000977F7">
        <w:rPr>
          <w:rFonts w:asciiTheme="majorHAnsi" w:hAnsiTheme="majorHAnsi"/>
          <w:spacing w:val="1"/>
          <w:sz w:val="20"/>
          <w:szCs w:val="20"/>
        </w:rPr>
        <w:t xml:space="preserve"> </w:t>
      </w:r>
      <w:r w:rsidRPr="000977F7">
        <w:rPr>
          <w:rFonts w:asciiTheme="majorHAnsi" w:hAnsiTheme="majorHAnsi"/>
          <w:sz w:val="20"/>
          <w:szCs w:val="20"/>
        </w:rPr>
        <w:t>Форма і зміст опису продукту змінюватимуться, тому</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підтримки</w:t>
      </w:r>
      <w:r w:rsidRPr="000977F7">
        <w:rPr>
          <w:rFonts w:asciiTheme="majorHAnsi" w:hAnsiTheme="majorHAnsi"/>
          <w:spacing w:val="1"/>
          <w:sz w:val="20"/>
          <w:szCs w:val="20"/>
        </w:rPr>
        <w:t xml:space="preserve"> </w:t>
      </w:r>
      <w:r w:rsidRPr="000977F7">
        <w:rPr>
          <w:rFonts w:asciiTheme="majorHAnsi" w:hAnsiTheme="majorHAnsi"/>
          <w:sz w:val="20"/>
          <w:szCs w:val="20"/>
        </w:rPr>
        <w:t>пізнішого</w:t>
      </w:r>
      <w:r w:rsidRPr="000977F7">
        <w:rPr>
          <w:rFonts w:asciiTheme="majorHAnsi" w:hAnsiTheme="majorHAnsi"/>
          <w:spacing w:val="1"/>
          <w:sz w:val="20"/>
          <w:szCs w:val="20"/>
        </w:rPr>
        <w:t xml:space="preserve"> </w:t>
      </w:r>
      <w:r w:rsidRPr="000977F7">
        <w:rPr>
          <w:rFonts w:asciiTheme="majorHAnsi" w:hAnsiTheme="majorHAnsi"/>
          <w:sz w:val="20"/>
          <w:szCs w:val="20"/>
        </w:rPr>
        <w:t>планування</w:t>
      </w:r>
      <w:r w:rsidRPr="000977F7">
        <w:rPr>
          <w:rFonts w:asciiTheme="majorHAnsi" w:hAnsiTheme="majorHAnsi"/>
          <w:spacing w:val="1"/>
          <w:sz w:val="20"/>
          <w:szCs w:val="20"/>
        </w:rPr>
        <w:t xml:space="preserve"> </w:t>
      </w:r>
      <w:r w:rsidRPr="000977F7">
        <w:rPr>
          <w:rFonts w:asciiTheme="majorHAnsi" w:hAnsiTheme="majorHAnsi"/>
          <w:sz w:val="20"/>
          <w:szCs w:val="20"/>
        </w:rPr>
        <w:t>проекту</w:t>
      </w:r>
      <w:r w:rsidRPr="000977F7">
        <w:rPr>
          <w:rFonts w:asciiTheme="majorHAnsi" w:hAnsiTheme="majorHAnsi"/>
          <w:spacing w:val="50"/>
          <w:sz w:val="20"/>
          <w:szCs w:val="20"/>
        </w:rPr>
        <w:t xml:space="preserve"> </w:t>
      </w:r>
      <w:r w:rsidRPr="000977F7">
        <w:rPr>
          <w:rFonts w:asciiTheme="majorHAnsi" w:hAnsiTheme="majorHAnsi"/>
          <w:sz w:val="20"/>
          <w:szCs w:val="20"/>
        </w:rPr>
        <w:t>цей</w:t>
      </w:r>
      <w:r w:rsidRPr="000977F7">
        <w:rPr>
          <w:rFonts w:asciiTheme="majorHAnsi" w:hAnsiTheme="majorHAnsi"/>
          <w:spacing w:val="1"/>
          <w:sz w:val="20"/>
          <w:szCs w:val="20"/>
        </w:rPr>
        <w:t xml:space="preserve"> </w:t>
      </w:r>
      <w:r w:rsidRPr="000977F7">
        <w:rPr>
          <w:rFonts w:asciiTheme="majorHAnsi" w:hAnsiTheme="majorHAnsi"/>
          <w:sz w:val="20"/>
          <w:szCs w:val="20"/>
        </w:rPr>
        <w:t>опис</w:t>
      </w:r>
      <w:r w:rsidRPr="000977F7">
        <w:rPr>
          <w:rFonts w:asciiTheme="majorHAnsi" w:hAnsiTheme="majorHAnsi"/>
          <w:spacing w:val="-1"/>
          <w:sz w:val="20"/>
          <w:szCs w:val="20"/>
        </w:rPr>
        <w:t xml:space="preserve"> </w:t>
      </w:r>
      <w:r w:rsidRPr="000977F7">
        <w:rPr>
          <w:rFonts w:asciiTheme="majorHAnsi" w:hAnsiTheme="majorHAnsi"/>
          <w:sz w:val="20"/>
          <w:szCs w:val="20"/>
        </w:rPr>
        <w:t>завжди</w:t>
      </w:r>
      <w:r w:rsidRPr="000977F7">
        <w:rPr>
          <w:rFonts w:asciiTheme="majorHAnsi" w:hAnsiTheme="majorHAnsi"/>
          <w:spacing w:val="-2"/>
          <w:sz w:val="20"/>
          <w:szCs w:val="20"/>
        </w:rPr>
        <w:t xml:space="preserve"> </w:t>
      </w:r>
      <w:r w:rsidRPr="000977F7">
        <w:rPr>
          <w:rFonts w:asciiTheme="majorHAnsi" w:hAnsiTheme="majorHAnsi"/>
          <w:sz w:val="20"/>
          <w:szCs w:val="20"/>
        </w:rPr>
        <w:t>має бути</w:t>
      </w:r>
      <w:r w:rsidRPr="000977F7">
        <w:rPr>
          <w:rFonts w:asciiTheme="majorHAnsi" w:hAnsiTheme="majorHAnsi"/>
          <w:spacing w:val="-2"/>
          <w:sz w:val="20"/>
          <w:szCs w:val="20"/>
        </w:rPr>
        <w:t xml:space="preserve"> </w:t>
      </w:r>
      <w:r w:rsidRPr="000977F7">
        <w:rPr>
          <w:rFonts w:asciiTheme="majorHAnsi" w:hAnsiTheme="majorHAnsi"/>
          <w:sz w:val="20"/>
          <w:szCs w:val="20"/>
        </w:rPr>
        <w:t>достатньо детальним.</w:t>
      </w:r>
    </w:p>
    <w:p w14:paraId="4A8C8EC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Багато</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проекти</w:t>
      </w:r>
      <w:r w:rsidRPr="000977F7">
        <w:rPr>
          <w:rFonts w:asciiTheme="majorHAnsi" w:hAnsiTheme="majorHAnsi"/>
          <w:spacing w:val="1"/>
          <w:sz w:val="20"/>
          <w:szCs w:val="20"/>
        </w:rPr>
        <w:t xml:space="preserve"> </w:t>
      </w:r>
      <w:r w:rsidRPr="000977F7">
        <w:rPr>
          <w:rFonts w:asciiTheme="majorHAnsi" w:hAnsiTheme="majorHAnsi"/>
          <w:sz w:val="20"/>
          <w:szCs w:val="20"/>
        </w:rPr>
        <w:t>включають</w:t>
      </w:r>
      <w:r w:rsidRPr="000977F7">
        <w:rPr>
          <w:rFonts w:asciiTheme="majorHAnsi" w:hAnsiTheme="majorHAnsi"/>
          <w:spacing w:val="1"/>
          <w:sz w:val="20"/>
          <w:szCs w:val="20"/>
        </w:rPr>
        <w:t xml:space="preserve"> </w:t>
      </w:r>
      <w:r w:rsidRPr="000977F7">
        <w:rPr>
          <w:rFonts w:asciiTheme="majorHAnsi" w:hAnsiTheme="majorHAnsi"/>
          <w:sz w:val="20"/>
          <w:szCs w:val="20"/>
        </w:rPr>
        <w:t>одну</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організацію</w:t>
      </w:r>
      <w:r w:rsidRPr="000977F7">
        <w:rPr>
          <w:rFonts w:asciiTheme="majorHAnsi" w:hAnsiTheme="majorHAnsi"/>
          <w:spacing w:val="1"/>
          <w:sz w:val="20"/>
          <w:szCs w:val="20"/>
        </w:rPr>
        <w:t xml:space="preserve"> </w:t>
      </w:r>
      <w:r w:rsidRPr="000977F7">
        <w:rPr>
          <w:rFonts w:asciiTheme="majorHAnsi" w:hAnsiTheme="majorHAnsi"/>
          <w:sz w:val="20"/>
          <w:szCs w:val="20"/>
        </w:rPr>
        <w:t>(продавця), що виконує роботу за контрактом з іншою</w:t>
      </w:r>
      <w:r w:rsidRPr="000977F7">
        <w:rPr>
          <w:rFonts w:asciiTheme="majorHAnsi" w:hAnsiTheme="majorHAnsi"/>
          <w:spacing w:val="-47"/>
          <w:sz w:val="20"/>
          <w:szCs w:val="20"/>
        </w:rPr>
        <w:t xml:space="preserve"> </w:t>
      </w:r>
      <w:r w:rsidRPr="000977F7">
        <w:rPr>
          <w:rFonts w:asciiTheme="majorHAnsi" w:hAnsiTheme="majorHAnsi"/>
          <w:sz w:val="20"/>
          <w:szCs w:val="20"/>
        </w:rPr>
        <w:t>організацією</w:t>
      </w:r>
      <w:r w:rsidRPr="000977F7">
        <w:rPr>
          <w:rFonts w:asciiTheme="majorHAnsi" w:hAnsiTheme="majorHAnsi"/>
          <w:spacing w:val="1"/>
          <w:sz w:val="20"/>
          <w:szCs w:val="20"/>
        </w:rPr>
        <w:t xml:space="preserve"> </w:t>
      </w:r>
      <w:r w:rsidRPr="000977F7">
        <w:rPr>
          <w:rFonts w:asciiTheme="majorHAnsi" w:hAnsiTheme="majorHAnsi"/>
          <w:sz w:val="20"/>
          <w:szCs w:val="20"/>
        </w:rPr>
        <w:t>(покупцем).</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таких</w:t>
      </w:r>
      <w:r w:rsidRPr="000977F7">
        <w:rPr>
          <w:rFonts w:asciiTheme="majorHAnsi" w:hAnsiTheme="majorHAnsi"/>
          <w:spacing w:val="1"/>
          <w:sz w:val="20"/>
          <w:szCs w:val="20"/>
        </w:rPr>
        <w:t xml:space="preserve"> </w:t>
      </w:r>
      <w:r w:rsidRPr="000977F7">
        <w:rPr>
          <w:rFonts w:asciiTheme="majorHAnsi" w:hAnsiTheme="majorHAnsi"/>
          <w:sz w:val="20"/>
          <w:szCs w:val="20"/>
        </w:rPr>
        <w:t>умовах</w:t>
      </w:r>
      <w:r w:rsidRPr="000977F7">
        <w:rPr>
          <w:rFonts w:asciiTheme="majorHAnsi" w:hAnsiTheme="majorHAnsi"/>
          <w:spacing w:val="1"/>
          <w:sz w:val="20"/>
          <w:szCs w:val="20"/>
        </w:rPr>
        <w:t xml:space="preserve"> </w:t>
      </w:r>
      <w:r w:rsidRPr="000977F7">
        <w:rPr>
          <w:rFonts w:asciiTheme="majorHAnsi" w:hAnsiTheme="majorHAnsi"/>
          <w:sz w:val="20"/>
          <w:szCs w:val="20"/>
        </w:rPr>
        <w:t>продукт</w:t>
      </w:r>
      <w:r w:rsidRPr="000977F7">
        <w:rPr>
          <w:rFonts w:asciiTheme="majorHAnsi" w:hAnsiTheme="majorHAnsi"/>
          <w:spacing w:val="1"/>
          <w:sz w:val="20"/>
          <w:szCs w:val="20"/>
        </w:rPr>
        <w:t xml:space="preserve"> </w:t>
      </w:r>
      <w:r w:rsidRPr="000977F7">
        <w:rPr>
          <w:rFonts w:asciiTheme="majorHAnsi" w:hAnsiTheme="majorHAnsi"/>
          <w:sz w:val="20"/>
          <w:szCs w:val="20"/>
        </w:rPr>
        <w:t>описує на початковій стадії покупець. Якщо роботою</w:t>
      </w:r>
      <w:r w:rsidRPr="000977F7">
        <w:rPr>
          <w:rFonts w:asciiTheme="majorHAnsi" w:hAnsiTheme="majorHAnsi"/>
          <w:spacing w:val="1"/>
          <w:sz w:val="20"/>
          <w:szCs w:val="20"/>
        </w:rPr>
        <w:t xml:space="preserve"> </w:t>
      </w:r>
      <w:r w:rsidRPr="000977F7">
        <w:rPr>
          <w:rFonts w:asciiTheme="majorHAnsi" w:hAnsiTheme="majorHAnsi"/>
          <w:sz w:val="20"/>
          <w:szCs w:val="20"/>
        </w:rPr>
        <w:t>покупця є сам проект, то цей опис називається описанням</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p>
    <w:p w14:paraId="0D4D6D30" w14:textId="77777777" w:rsidR="0097612F" w:rsidRPr="000977F7" w:rsidRDefault="0097612F" w:rsidP="000977F7">
      <w:pPr>
        <w:tabs>
          <w:tab w:val="left" w:pos="284"/>
        </w:tabs>
        <w:spacing w:after="0" w:line="240" w:lineRule="auto"/>
        <w:ind w:left="170"/>
        <w:mirrorIndents/>
        <w:jc w:val="both"/>
        <w:rPr>
          <w:rFonts w:asciiTheme="majorHAnsi" w:hAnsiTheme="majorHAnsi"/>
          <w:i/>
          <w:w w:val="137"/>
          <w:sz w:val="20"/>
          <w:szCs w:val="20"/>
        </w:rPr>
      </w:pPr>
      <w:r w:rsidRPr="000977F7">
        <w:rPr>
          <w:rFonts w:asciiTheme="majorHAnsi" w:hAnsiTheme="majorHAnsi"/>
          <w:i/>
          <w:spacing w:val="-1"/>
          <w:w w:val="99"/>
          <w:sz w:val="20"/>
          <w:szCs w:val="20"/>
        </w:rPr>
        <w:t>Ке</w:t>
      </w:r>
      <w:r w:rsidRPr="000977F7">
        <w:rPr>
          <w:rFonts w:asciiTheme="majorHAnsi" w:hAnsiTheme="majorHAnsi"/>
          <w:i/>
          <w:w w:val="99"/>
          <w:sz w:val="20"/>
          <w:szCs w:val="20"/>
        </w:rPr>
        <w:t>р.</w:t>
      </w:r>
      <w:r w:rsidRPr="000977F7">
        <w:rPr>
          <w:rFonts w:asciiTheme="majorHAnsi" w:hAnsiTheme="majorHAnsi"/>
          <w:i/>
          <w:sz w:val="20"/>
          <w:szCs w:val="20"/>
        </w:rPr>
        <w:t xml:space="preserve"> </w:t>
      </w:r>
      <w:r w:rsidRPr="000977F7">
        <w:rPr>
          <w:rFonts w:asciiTheme="majorHAnsi" w:hAnsiTheme="majorHAnsi"/>
          <w:i/>
          <w:spacing w:val="1"/>
          <w:w w:val="99"/>
          <w:sz w:val="20"/>
          <w:szCs w:val="20"/>
        </w:rPr>
        <w:t>про</w:t>
      </w:r>
      <w:r w:rsidRPr="000977F7">
        <w:rPr>
          <w:rFonts w:asciiTheme="majorHAnsi" w:hAnsiTheme="majorHAnsi"/>
          <w:i/>
          <w:w w:val="99"/>
          <w:sz w:val="20"/>
          <w:szCs w:val="20"/>
        </w:rPr>
        <w:t>ек</w:t>
      </w:r>
      <w:r w:rsidRPr="000977F7">
        <w:rPr>
          <w:rFonts w:asciiTheme="majorHAnsi" w:hAnsiTheme="majorHAnsi"/>
          <w:i/>
          <w:spacing w:val="-1"/>
          <w:w w:val="99"/>
          <w:sz w:val="20"/>
          <w:szCs w:val="20"/>
        </w:rPr>
        <w:t>тн</w:t>
      </w:r>
      <w:r w:rsidRPr="000977F7">
        <w:rPr>
          <w:rFonts w:asciiTheme="majorHAnsi" w:hAnsiTheme="majorHAnsi"/>
          <w:i/>
          <w:w w:val="99"/>
          <w:sz w:val="20"/>
          <w:szCs w:val="20"/>
        </w:rPr>
        <w:t>.</w:t>
      </w:r>
      <w:r w:rsidRPr="000977F7">
        <w:rPr>
          <w:rFonts w:asciiTheme="majorHAnsi" w:hAnsiTheme="majorHAnsi"/>
          <w:i/>
          <w:sz w:val="20"/>
          <w:szCs w:val="20"/>
        </w:rPr>
        <w:t xml:space="preserve"> </w:t>
      </w:r>
      <w:r w:rsidRPr="000977F7">
        <w:rPr>
          <w:rFonts w:asciiTheme="majorHAnsi" w:hAnsiTheme="majorHAnsi"/>
          <w:i/>
          <w:spacing w:val="-1"/>
          <w:w w:val="99"/>
          <w:sz w:val="20"/>
          <w:szCs w:val="20"/>
        </w:rPr>
        <w:t>менеджм</w:t>
      </w:r>
      <w:r w:rsidRPr="000977F7">
        <w:rPr>
          <w:rFonts w:asciiTheme="majorHAnsi" w:hAnsiTheme="majorHAnsi"/>
          <w:i/>
          <w:spacing w:val="3"/>
          <w:w w:val="99"/>
          <w:sz w:val="20"/>
          <w:szCs w:val="20"/>
        </w:rPr>
        <w:t>.</w:t>
      </w:r>
    </w:p>
    <w:p w14:paraId="6E629391"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ОПИСОВЕ ПОЛОЖЕННЯ </w:t>
      </w:r>
      <w:r w:rsidRPr="000977F7">
        <w:rPr>
          <w:rFonts w:asciiTheme="majorHAnsi" w:hAnsiTheme="majorHAnsi"/>
          <w:sz w:val="20"/>
          <w:szCs w:val="20"/>
        </w:rPr>
        <w:t>–</w:t>
      </w:r>
    </w:p>
    <w:p w14:paraId="56C4064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DESCRIPTIVE</w:t>
      </w:r>
      <w:r w:rsidRPr="000977F7">
        <w:rPr>
          <w:rFonts w:asciiTheme="majorHAnsi" w:hAnsiTheme="majorHAnsi"/>
          <w:spacing w:val="-2"/>
          <w:sz w:val="20"/>
          <w:szCs w:val="20"/>
        </w:rPr>
        <w:t xml:space="preserve"> </w:t>
      </w:r>
      <w:r w:rsidRPr="000977F7">
        <w:rPr>
          <w:rFonts w:asciiTheme="majorHAnsi" w:hAnsiTheme="majorHAnsi"/>
          <w:sz w:val="20"/>
          <w:szCs w:val="20"/>
        </w:rPr>
        <w:t>PROVISION –</w:t>
      </w:r>
    </w:p>
    <w:p w14:paraId="3932B6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Положення</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відповідність</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призначенню</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5"/>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послуги</w:t>
      </w:r>
      <w:r w:rsidRPr="000977F7">
        <w:rPr>
          <w:rFonts w:asciiTheme="majorHAnsi" w:hAnsiTheme="majorHAnsi"/>
          <w:spacing w:val="-2"/>
          <w:sz w:val="20"/>
          <w:szCs w:val="20"/>
        </w:rPr>
        <w:t xml:space="preserve"> </w:t>
      </w:r>
      <w:r w:rsidRPr="000977F7">
        <w:rPr>
          <w:rFonts w:asciiTheme="majorHAnsi" w:hAnsiTheme="majorHAnsi"/>
          <w:sz w:val="20"/>
          <w:szCs w:val="20"/>
        </w:rPr>
        <w:t>за характеристиками</w:t>
      </w:r>
    </w:p>
    <w:p w14:paraId="697FEBA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B7FCC4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Описове положення, як звичайно містить вказівку про</w:t>
      </w:r>
      <w:r w:rsidRPr="000977F7">
        <w:rPr>
          <w:rFonts w:asciiTheme="majorHAnsi" w:hAnsiTheme="majorHAnsi"/>
          <w:spacing w:val="-47"/>
          <w:sz w:val="20"/>
          <w:szCs w:val="20"/>
        </w:rPr>
        <w:t xml:space="preserve"> </w:t>
      </w:r>
      <w:r w:rsidRPr="000977F7">
        <w:rPr>
          <w:rFonts w:asciiTheme="majorHAnsi" w:hAnsiTheme="majorHAnsi"/>
          <w:sz w:val="20"/>
          <w:szCs w:val="20"/>
        </w:rPr>
        <w:t>призначення, конструктивні деталі тощо із зазначенням</w:t>
      </w:r>
      <w:r w:rsidRPr="000977F7">
        <w:rPr>
          <w:rFonts w:asciiTheme="majorHAnsi" w:hAnsiTheme="majorHAnsi"/>
          <w:spacing w:val="-1"/>
          <w:sz w:val="20"/>
          <w:szCs w:val="20"/>
        </w:rPr>
        <w:t xml:space="preserve"> </w:t>
      </w:r>
      <w:r w:rsidRPr="000977F7">
        <w:rPr>
          <w:rFonts w:asciiTheme="majorHAnsi" w:hAnsiTheme="majorHAnsi"/>
          <w:sz w:val="20"/>
          <w:szCs w:val="20"/>
        </w:rPr>
        <w:t>розмірів</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конструкційного</w:t>
      </w:r>
      <w:r w:rsidRPr="000977F7">
        <w:rPr>
          <w:rFonts w:asciiTheme="majorHAnsi" w:hAnsiTheme="majorHAnsi"/>
          <w:spacing w:val="1"/>
          <w:sz w:val="20"/>
          <w:szCs w:val="20"/>
        </w:rPr>
        <w:t xml:space="preserve"> </w:t>
      </w:r>
      <w:r w:rsidRPr="000977F7">
        <w:rPr>
          <w:rFonts w:asciiTheme="majorHAnsi" w:hAnsiTheme="majorHAnsi"/>
          <w:sz w:val="20"/>
          <w:szCs w:val="20"/>
        </w:rPr>
        <w:t>матеріалу</w:t>
      </w:r>
    </w:p>
    <w:p w14:paraId="20CC36C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 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555F381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ОПИТУВАЛЬНИЙ</w:t>
      </w:r>
      <w:r w:rsidRPr="000977F7">
        <w:rPr>
          <w:color w:val="auto"/>
          <w:spacing w:val="-3"/>
          <w:sz w:val="20"/>
          <w:szCs w:val="20"/>
        </w:rPr>
        <w:t xml:space="preserve"> </w:t>
      </w:r>
      <w:r w:rsidRPr="000977F7">
        <w:rPr>
          <w:color w:val="auto"/>
          <w:sz w:val="20"/>
          <w:szCs w:val="20"/>
        </w:rPr>
        <w:t>ЛИСТ</w:t>
      </w:r>
      <w:r w:rsidRPr="000977F7">
        <w:rPr>
          <w:color w:val="auto"/>
          <w:spacing w:val="-2"/>
          <w:sz w:val="20"/>
          <w:szCs w:val="20"/>
        </w:rPr>
        <w:t xml:space="preserve"> </w:t>
      </w:r>
      <w:r w:rsidRPr="000977F7">
        <w:rPr>
          <w:color w:val="auto"/>
          <w:sz w:val="20"/>
          <w:szCs w:val="20"/>
        </w:rPr>
        <w:t>–</w:t>
      </w:r>
    </w:p>
    <w:p w14:paraId="40F8314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Перелік запитань,</w:t>
      </w:r>
      <w:r w:rsidRPr="000977F7">
        <w:rPr>
          <w:rFonts w:asciiTheme="majorHAnsi" w:hAnsiTheme="majorHAnsi"/>
          <w:spacing w:val="1"/>
          <w:sz w:val="20"/>
          <w:szCs w:val="20"/>
        </w:rPr>
        <w:t xml:space="preserve"> </w:t>
      </w:r>
      <w:r w:rsidRPr="000977F7">
        <w:rPr>
          <w:rFonts w:asciiTheme="majorHAnsi" w:hAnsiTheme="majorHAnsi"/>
          <w:sz w:val="20"/>
          <w:szCs w:val="20"/>
        </w:rPr>
        <w:t>адресованих</w:t>
      </w:r>
      <w:r w:rsidRPr="000977F7">
        <w:rPr>
          <w:rFonts w:asciiTheme="majorHAnsi" w:hAnsiTheme="majorHAnsi"/>
          <w:spacing w:val="1"/>
          <w:sz w:val="20"/>
          <w:szCs w:val="20"/>
        </w:rPr>
        <w:t xml:space="preserve"> </w:t>
      </w:r>
      <w:r w:rsidRPr="000977F7">
        <w:rPr>
          <w:rFonts w:asciiTheme="majorHAnsi" w:hAnsiTheme="majorHAnsi"/>
          <w:sz w:val="20"/>
          <w:szCs w:val="20"/>
        </w:rPr>
        <w:t>до потенційних споживачів</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метою дослідження</w:t>
      </w:r>
      <w:r w:rsidRPr="000977F7">
        <w:rPr>
          <w:rFonts w:asciiTheme="majorHAnsi" w:hAnsiTheme="majorHAnsi"/>
          <w:spacing w:val="-2"/>
          <w:sz w:val="20"/>
          <w:szCs w:val="20"/>
        </w:rPr>
        <w:t xml:space="preserve"> </w:t>
      </w:r>
      <w:r w:rsidRPr="000977F7">
        <w:rPr>
          <w:rFonts w:asciiTheme="majorHAnsi" w:hAnsiTheme="majorHAnsi"/>
          <w:sz w:val="20"/>
          <w:szCs w:val="20"/>
        </w:rPr>
        <w:t>ринку</w:t>
      </w:r>
    </w:p>
    <w:p w14:paraId="0C879052"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3294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47B8424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ОПІР</w:t>
      </w:r>
      <w:r w:rsidRPr="000977F7">
        <w:rPr>
          <w:color w:val="auto"/>
          <w:spacing w:val="-2"/>
          <w:sz w:val="20"/>
          <w:szCs w:val="20"/>
        </w:rPr>
        <w:t xml:space="preserve"> </w:t>
      </w:r>
      <w:r w:rsidRPr="000977F7">
        <w:rPr>
          <w:color w:val="auto"/>
          <w:sz w:val="20"/>
          <w:szCs w:val="20"/>
        </w:rPr>
        <w:t>ВТОМІ</w:t>
      </w:r>
      <w:r w:rsidRPr="000977F7">
        <w:rPr>
          <w:color w:val="auto"/>
          <w:spacing w:val="-2"/>
          <w:sz w:val="20"/>
          <w:szCs w:val="20"/>
        </w:rPr>
        <w:t xml:space="preserve"> </w:t>
      </w:r>
      <w:r w:rsidRPr="000977F7">
        <w:rPr>
          <w:color w:val="auto"/>
          <w:sz w:val="20"/>
          <w:szCs w:val="20"/>
        </w:rPr>
        <w:t>–</w:t>
      </w:r>
    </w:p>
    <w:p w14:paraId="02D26E6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FATIGUE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STRENGTH –</w:t>
      </w:r>
    </w:p>
    <w:p w14:paraId="5DE19D5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w:t>
      </w:r>
      <w:r w:rsidRPr="000977F7">
        <w:rPr>
          <w:rFonts w:asciiTheme="majorHAnsi" w:hAnsiTheme="majorHAnsi"/>
          <w:spacing w:val="-4"/>
          <w:sz w:val="20"/>
          <w:szCs w:val="20"/>
        </w:rPr>
        <w:t xml:space="preserve"> </w:t>
      </w:r>
      <w:r w:rsidRPr="000977F7">
        <w:rPr>
          <w:rFonts w:asciiTheme="majorHAnsi" w:hAnsiTheme="majorHAnsi"/>
          <w:sz w:val="20"/>
          <w:szCs w:val="20"/>
        </w:rPr>
        <w:t>матеріалу</w:t>
      </w:r>
      <w:r w:rsidRPr="000977F7">
        <w:rPr>
          <w:rFonts w:asciiTheme="majorHAnsi" w:hAnsiTheme="majorHAnsi"/>
          <w:spacing w:val="-2"/>
          <w:sz w:val="20"/>
          <w:szCs w:val="20"/>
        </w:rPr>
        <w:t xml:space="preserve"> </w:t>
      </w:r>
      <w:r w:rsidRPr="000977F7">
        <w:rPr>
          <w:rFonts w:asciiTheme="majorHAnsi" w:hAnsiTheme="majorHAnsi"/>
          <w:sz w:val="20"/>
          <w:szCs w:val="20"/>
        </w:rPr>
        <w:t>протистояти</w:t>
      </w:r>
      <w:r w:rsidRPr="000977F7">
        <w:rPr>
          <w:rFonts w:asciiTheme="majorHAnsi" w:hAnsiTheme="majorHAnsi"/>
          <w:spacing w:val="-4"/>
          <w:sz w:val="20"/>
          <w:szCs w:val="20"/>
        </w:rPr>
        <w:t xml:space="preserve"> </w:t>
      </w:r>
      <w:r w:rsidRPr="000977F7">
        <w:rPr>
          <w:rFonts w:asciiTheme="majorHAnsi" w:hAnsiTheme="majorHAnsi"/>
          <w:sz w:val="20"/>
          <w:szCs w:val="20"/>
        </w:rPr>
        <w:t>втомі</w:t>
      </w:r>
    </w:p>
    <w:p w14:paraId="335DD02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 –</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31062AF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ОПОРНИЙ ПУНКТ ГОЛОВНОЇ ОРГАНІЗАЦІЇ</w:t>
      </w:r>
      <w:r w:rsidRPr="000977F7">
        <w:rPr>
          <w:rFonts w:asciiTheme="majorHAnsi" w:hAnsiTheme="majorHAnsi"/>
          <w:b/>
          <w:spacing w:val="1"/>
          <w:sz w:val="20"/>
          <w:szCs w:val="20"/>
        </w:rPr>
        <w:t xml:space="preserve"> </w:t>
      </w:r>
      <w:r w:rsidRPr="000977F7">
        <w:rPr>
          <w:rFonts w:asciiTheme="majorHAnsi" w:hAnsiTheme="majorHAnsi"/>
          <w:b/>
          <w:sz w:val="20"/>
          <w:szCs w:val="20"/>
        </w:rPr>
        <w:t>ДЕРЖАВНИХ ВИПРОБУВАНЬ ПРОДУКЦІЇ –</w:t>
      </w:r>
      <w:r w:rsidRPr="000977F7">
        <w:rPr>
          <w:rFonts w:asciiTheme="majorHAnsi" w:hAnsiTheme="majorHAnsi"/>
          <w:sz w:val="20"/>
          <w:szCs w:val="20"/>
        </w:rPr>
        <w:t>TESTING STATION ACCREDITEDBY HEAD</w:t>
      </w:r>
      <w:r w:rsidRPr="000977F7">
        <w:rPr>
          <w:rFonts w:asciiTheme="majorHAnsi" w:hAnsiTheme="majorHAnsi"/>
          <w:spacing w:val="1"/>
          <w:sz w:val="20"/>
          <w:szCs w:val="20"/>
        </w:rPr>
        <w:t xml:space="preserve"> </w:t>
      </w:r>
      <w:r w:rsidRPr="000977F7">
        <w:rPr>
          <w:rFonts w:asciiTheme="majorHAnsi" w:hAnsiTheme="majorHAnsi"/>
          <w:sz w:val="20"/>
          <w:szCs w:val="20"/>
        </w:rPr>
        <w:t>ORGANIZATION –</w:t>
      </w:r>
    </w:p>
    <w:p w14:paraId="54AB7A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яка є споживачем продукції, що підлягає</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випробуванням, призначена в установленому</w:t>
      </w:r>
      <w:r w:rsidRPr="000977F7">
        <w:rPr>
          <w:rFonts w:asciiTheme="majorHAnsi" w:hAnsiTheme="majorHAnsi"/>
          <w:spacing w:val="1"/>
          <w:sz w:val="20"/>
          <w:szCs w:val="20"/>
        </w:rPr>
        <w:t xml:space="preserve"> </w:t>
      </w:r>
      <w:r w:rsidRPr="000977F7">
        <w:rPr>
          <w:rFonts w:asciiTheme="majorHAnsi" w:hAnsiTheme="majorHAnsi"/>
          <w:sz w:val="20"/>
          <w:szCs w:val="20"/>
        </w:rPr>
        <w:t>порядку для проведення випробувань цієї продукції в умовах</w:t>
      </w:r>
      <w:r w:rsidRPr="000977F7">
        <w:rPr>
          <w:rFonts w:asciiTheme="majorHAnsi" w:hAnsiTheme="majorHAnsi"/>
          <w:spacing w:val="-3"/>
          <w:sz w:val="20"/>
          <w:szCs w:val="20"/>
        </w:rPr>
        <w:t xml:space="preserve"> </w:t>
      </w:r>
      <w:r w:rsidRPr="000977F7">
        <w:rPr>
          <w:rFonts w:asciiTheme="majorHAnsi" w:hAnsiTheme="majorHAnsi"/>
          <w:sz w:val="20"/>
          <w:szCs w:val="20"/>
        </w:rPr>
        <w:t>експлуатації</w:t>
      </w:r>
    </w:p>
    <w:p w14:paraId="5174799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ОПОСЕРЕДКОВАНЕ ЗАСТОСУВАННЯ </w:t>
      </w:r>
    </w:p>
    <w:p w14:paraId="7C6A628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МІЖ</w:t>
      </w:r>
      <w:r w:rsidRPr="000977F7">
        <w:rPr>
          <w:color w:val="auto"/>
          <w:spacing w:val="-47"/>
          <w:sz w:val="20"/>
          <w:szCs w:val="20"/>
        </w:rPr>
        <w:t xml:space="preserve"> </w:t>
      </w:r>
      <w:r w:rsidRPr="000977F7">
        <w:rPr>
          <w:color w:val="auto"/>
          <w:sz w:val="20"/>
          <w:szCs w:val="20"/>
        </w:rPr>
        <w:t>НАРОДНОГО СТАНДАРТУ</w:t>
      </w:r>
      <w:r w:rsidRPr="000977F7">
        <w:rPr>
          <w:color w:val="auto"/>
          <w:spacing w:val="3"/>
          <w:sz w:val="20"/>
          <w:szCs w:val="20"/>
        </w:rPr>
        <w:t xml:space="preserve"> </w:t>
      </w:r>
      <w:r w:rsidRPr="000977F7">
        <w:rPr>
          <w:color w:val="auto"/>
          <w:sz w:val="20"/>
          <w:szCs w:val="20"/>
        </w:rPr>
        <w:t>–</w:t>
      </w:r>
    </w:p>
    <w:p w14:paraId="18530E3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INDIRECT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APPLICATION</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AN</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INTERNATIONAL</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STANDARD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4554415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міжнародного</w:t>
      </w:r>
      <w:r w:rsidRPr="000977F7">
        <w:rPr>
          <w:rFonts w:asciiTheme="majorHAnsi" w:hAnsiTheme="majorHAnsi"/>
          <w:spacing w:val="1"/>
          <w:sz w:val="20"/>
          <w:szCs w:val="20"/>
        </w:rPr>
        <w:t xml:space="preserve"> </w:t>
      </w:r>
      <w:r w:rsidRPr="000977F7">
        <w:rPr>
          <w:rFonts w:asciiTheme="majorHAnsi" w:hAnsiTheme="majorHAnsi"/>
          <w:sz w:val="20"/>
          <w:szCs w:val="20"/>
        </w:rPr>
        <w:t>стандарту</w:t>
      </w:r>
      <w:r w:rsidRPr="000977F7">
        <w:rPr>
          <w:rFonts w:asciiTheme="majorHAnsi" w:hAnsiTheme="majorHAnsi"/>
          <w:spacing w:val="1"/>
          <w:sz w:val="20"/>
          <w:szCs w:val="20"/>
        </w:rPr>
        <w:t xml:space="preserve"> </w:t>
      </w:r>
      <w:r w:rsidRPr="000977F7">
        <w:rPr>
          <w:rFonts w:asciiTheme="majorHAnsi" w:hAnsiTheme="majorHAnsi"/>
          <w:sz w:val="20"/>
          <w:szCs w:val="20"/>
        </w:rPr>
        <w:t>через</w:t>
      </w:r>
      <w:r w:rsidRPr="000977F7">
        <w:rPr>
          <w:rFonts w:asciiTheme="majorHAnsi" w:hAnsiTheme="majorHAnsi"/>
          <w:spacing w:val="1"/>
          <w:sz w:val="20"/>
          <w:szCs w:val="20"/>
        </w:rPr>
        <w:t xml:space="preserve"> </w:t>
      </w:r>
      <w:r w:rsidRPr="000977F7">
        <w:rPr>
          <w:rFonts w:asciiTheme="majorHAnsi" w:hAnsiTheme="majorHAnsi"/>
          <w:sz w:val="20"/>
          <w:szCs w:val="20"/>
        </w:rPr>
        <w:t>інший</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нормативний документ, до складу якого входить зазначений</w:t>
      </w:r>
      <w:r w:rsidRPr="000977F7">
        <w:rPr>
          <w:rFonts w:asciiTheme="majorHAnsi" w:hAnsiTheme="majorHAnsi"/>
          <w:spacing w:val="-2"/>
          <w:sz w:val="20"/>
          <w:szCs w:val="20"/>
        </w:rPr>
        <w:t xml:space="preserve"> </w:t>
      </w:r>
      <w:r w:rsidRPr="000977F7">
        <w:rPr>
          <w:rFonts w:asciiTheme="majorHAnsi" w:hAnsiTheme="majorHAnsi"/>
          <w:sz w:val="20"/>
          <w:szCs w:val="20"/>
        </w:rPr>
        <w:t>стандарт</w:t>
      </w:r>
    </w:p>
    <w:p w14:paraId="4C5BBB1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ОПОСЕРЕДКОВАНЕ</w:t>
      </w:r>
      <w:r w:rsidRPr="000977F7">
        <w:rPr>
          <w:color w:val="auto"/>
          <w:spacing w:val="-6"/>
          <w:sz w:val="20"/>
          <w:szCs w:val="20"/>
        </w:rPr>
        <w:t xml:space="preserve"> </w:t>
      </w:r>
      <w:r w:rsidRPr="000977F7">
        <w:rPr>
          <w:color w:val="auto"/>
          <w:sz w:val="20"/>
          <w:szCs w:val="20"/>
        </w:rPr>
        <w:t>ВИМІРЮВАННЯ</w:t>
      </w:r>
      <w:r w:rsidRPr="000977F7">
        <w:rPr>
          <w:color w:val="auto"/>
          <w:spacing w:val="-1"/>
          <w:sz w:val="20"/>
          <w:szCs w:val="20"/>
        </w:rPr>
        <w:t xml:space="preserve"> </w:t>
      </w:r>
      <w:r w:rsidRPr="000977F7">
        <w:rPr>
          <w:color w:val="auto"/>
          <w:sz w:val="20"/>
          <w:szCs w:val="20"/>
        </w:rPr>
        <w:t>–</w:t>
      </w:r>
    </w:p>
    <w:p w14:paraId="762621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INDIRECT MEASUREMENT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FEC70C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Непряме вимірювання однієї величини з перетворенням</w:t>
      </w:r>
      <w:r w:rsidRPr="000977F7">
        <w:rPr>
          <w:rFonts w:asciiTheme="majorHAnsi" w:hAnsiTheme="majorHAnsi"/>
          <w:spacing w:val="6"/>
          <w:sz w:val="20"/>
          <w:szCs w:val="20"/>
        </w:rPr>
        <w:t xml:space="preserve"> </w:t>
      </w:r>
      <w:r w:rsidRPr="000977F7">
        <w:rPr>
          <w:rFonts w:asciiTheme="majorHAnsi" w:hAnsiTheme="majorHAnsi"/>
          <w:sz w:val="20"/>
          <w:szCs w:val="20"/>
        </w:rPr>
        <w:t>її</w:t>
      </w:r>
      <w:r w:rsidRPr="000977F7">
        <w:rPr>
          <w:rFonts w:asciiTheme="majorHAnsi" w:hAnsiTheme="majorHAnsi"/>
          <w:spacing w:val="6"/>
          <w:sz w:val="20"/>
          <w:szCs w:val="20"/>
        </w:rPr>
        <w:t xml:space="preserve"> </w:t>
      </w:r>
      <w:r w:rsidRPr="000977F7">
        <w:rPr>
          <w:rFonts w:asciiTheme="majorHAnsi" w:hAnsiTheme="majorHAnsi"/>
          <w:sz w:val="20"/>
          <w:szCs w:val="20"/>
        </w:rPr>
        <w:t>роду</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5"/>
          <w:sz w:val="20"/>
          <w:szCs w:val="20"/>
        </w:rPr>
        <w:t xml:space="preserve"> </w:t>
      </w:r>
      <w:r w:rsidRPr="000977F7">
        <w:rPr>
          <w:rFonts w:asciiTheme="majorHAnsi" w:hAnsiTheme="majorHAnsi"/>
          <w:sz w:val="20"/>
          <w:szCs w:val="20"/>
        </w:rPr>
        <w:t>обчисленнями</w:t>
      </w:r>
      <w:r w:rsidRPr="000977F7">
        <w:rPr>
          <w:rFonts w:asciiTheme="majorHAnsi" w:hAnsiTheme="majorHAnsi"/>
          <w:spacing w:val="5"/>
          <w:sz w:val="20"/>
          <w:szCs w:val="20"/>
        </w:rPr>
        <w:t xml:space="preserve"> </w:t>
      </w:r>
      <w:r w:rsidRPr="000977F7">
        <w:rPr>
          <w:rFonts w:asciiTheme="majorHAnsi" w:hAnsiTheme="majorHAnsi"/>
          <w:sz w:val="20"/>
          <w:szCs w:val="20"/>
        </w:rPr>
        <w:t>за</w:t>
      </w:r>
      <w:r w:rsidRPr="000977F7">
        <w:rPr>
          <w:rFonts w:asciiTheme="majorHAnsi" w:hAnsiTheme="majorHAnsi"/>
          <w:spacing w:val="6"/>
          <w:sz w:val="20"/>
          <w:szCs w:val="20"/>
        </w:rPr>
        <w:t xml:space="preserve"> </w:t>
      </w:r>
      <w:r w:rsidRPr="000977F7">
        <w:rPr>
          <w:rFonts w:asciiTheme="majorHAnsi" w:hAnsiTheme="majorHAnsi"/>
          <w:sz w:val="20"/>
          <w:szCs w:val="20"/>
        </w:rPr>
        <w:t>результатами</w:t>
      </w:r>
      <w:r w:rsidRPr="000977F7">
        <w:rPr>
          <w:rFonts w:asciiTheme="majorHAnsi" w:hAnsiTheme="majorHAnsi"/>
          <w:spacing w:val="5"/>
          <w:sz w:val="20"/>
          <w:szCs w:val="20"/>
        </w:rPr>
        <w:t xml:space="preserve"> </w:t>
      </w:r>
      <w:r w:rsidRPr="000977F7">
        <w:rPr>
          <w:rFonts w:asciiTheme="majorHAnsi" w:hAnsiTheme="majorHAnsi"/>
          <w:sz w:val="20"/>
          <w:szCs w:val="20"/>
        </w:rPr>
        <w:t>вимірювань інших величин, з якими вимірювана</w:t>
      </w:r>
      <w:r w:rsidRPr="000977F7">
        <w:rPr>
          <w:rFonts w:asciiTheme="majorHAnsi" w:hAnsiTheme="majorHAnsi"/>
          <w:spacing w:val="1"/>
          <w:sz w:val="20"/>
          <w:szCs w:val="20"/>
        </w:rPr>
        <w:t xml:space="preserve"> </w:t>
      </w:r>
      <w:r w:rsidRPr="000977F7">
        <w:rPr>
          <w:rFonts w:asciiTheme="majorHAnsi" w:hAnsiTheme="majorHAnsi"/>
          <w:sz w:val="20"/>
          <w:szCs w:val="20"/>
        </w:rPr>
        <w:t>величина</w:t>
      </w:r>
      <w:r w:rsidRPr="000977F7">
        <w:rPr>
          <w:rFonts w:asciiTheme="majorHAnsi" w:hAnsiTheme="majorHAnsi"/>
          <w:spacing w:val="1"/>
          <w:sz w:val="20"/>
          <w:szCs w:val="20"/>
        </w:rPr>
        <w:t xml:space="preserve"> </w:t>
      </w:r>
      <w:r w:rsidRPr="000977F7">
        <w:rPr>
          <w:rFonts w:asciiTheme="majorHAnsi" w:hAnsiTheme="majorHAnsi"/>
          <w:sz w:val="20"/>
          <w:szCs w:val="20"/>
        </w:rPr>
        <w:t>пов’язана</w:t>
      </w:r>
      <w:r w:rsidRPr="000977F7">
        <w:rPr>
          <w:rFonts w:asciiTheme="majorHAnsi" w:hAnsiTheme="majorHAnsi"/>
          <w:spacing w:val="-1"/>
          <w:sz w:val="20"/>
          <w:szCs w:val="20"/>
        </w:rPr>
        <w:t xml:space="preserve"> </w:t>
      </w:r>
      <w:r w:rsidRPr="000977F7">
        <w:rPr>
          <w:rFonts w:asciiTheme="majorHAnsi" w:hAnsiTheme="majorHAnsi"/>
          <w:sz w:val="20"/>
          <w:szCs w:val="20"/>
        </w:rPr>
        <w:t>явною</w:t>
      </w:r>
      <w:r w:rsidRPr="000977F7">
        <w:rPr>
          <w:rFonts w:asciiTheme="majorHAnsi" w:hAnsiTheme="majorHAnsi"/>
          <w:spacing w:val="-1"/>
          <w:sz w:val="20"/>
          <w:szCs w:val="20"/>
        </w:rPr>
        <w:t xml:space="preserve"> </w:t>
      </w:r>
      <w:r w:rsidRPr="000977F7">
        <w:rPr>
          <w:rFonts w:asciiTheme="majorHAnsi" w:hAnsiTheme="majorHAnsi"/>
          <w:sz w:val="20"/>
          <w:szCs w:val="20"/>
        </w:rPr>
        <w:t>функційною</w:t>
      </w:r>
      <w:r w:rsidRPr="000977F7">
        <w:rPr>
          <w:rFonts w:asciiTheme="majorHAnsi" w:hAnsiTheme="majorHAnsi"/>
          <w:spacing w:val="-1"/>
          <w:sz w:val="20"/>
          <w:szCs w:val="20"/>
        </w:rPr>
        <w:t xml:space="preserve"> </w:t>
      </w:r>
      <w:r w:rsidRPr="000977F7">
        <w:rPr>
          <w:rFonts w:asciiTheme="majorHAnsi" w:hAnsiTheme="majorHAnsi"/>
          <w:sz w:val="20"/>
          <w:szCs w:val="20"/>
        </w:rPr>
        <w:t>залежністю</w:t>
      </w:r>
    </w:p>
    <w:p w14:paraId="1CAF1C9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4E8C3B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ОПТИМАЛЬНЕ</w:t>
      </w:r>
      <w:r w:rsidRPr="000977F7">
        <w:rPr>
          <w:color w:val="auto"/>
          <w:spacing w:val="-6"/>
          <w:sz w:val="20"/>
          <w:szCs w:val="20"/>
        </w:rPr>
        <w:t xml:space="preserve"> </w:t>
      </w:r>
      <w:r w:rsidRPr="000977F7">
        <w:rPr>
          <w:color w:val="auto"/>
          <w:sz w:val="20"/>
          <w:szCs w:val="20"/>
        </w:rPr>
        <w:t>РОБОЧЕ</w:t>
      </w:r>
      <w:r w:rsidRPr="000977F7">
        <w:rPr>
          <w:color w:val="auto"/>
          <w:spacing w:val="-6"/>
          <w:sz w:val="20"/>
          <w:szCs w:val="20"/>
        </w:rPr>
        <w:t xml:space="preserve"> </w:t>
      </w:r>
      <w:r w:rsidRPr="000977F7">
        <w:rPr>
          <w:color w:val="auto"/>
          <w:sz w:val="20"/>
          <w:szCs w:val="20"/>
        </w:rPr>
        <w:t>НАПРУЖЕННЯ</w:t>
      </w:r>
      <w:r w:rsidRPr="000977F7">
        <w:rPr>
          <w:color w:val="auto"/>
          <w:spacing w:val="-4"/>
          <w:sz w:val="20"/>
          <w:szCs w:val="20"/>
        </w:rPr>
        <w:t xml:space="preserve"> </w:t>
      </w:r>
      <w:r w:rsidRPr="000977F7">
        <w:rPr>
          <w:color w:val="auto"/>
          <w:sz w:val="20"/>
          <w:szCs w:val="20"/>
        </w:rPr>
        <w:t>–</w:t>
      </w:r>
    </w:p>
    <w:p w14:paraId="70A83A4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Рівень робочого напруження, який забезпечує високу</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працездатність людини в процесі трудової діяльності і</w:t>
      </w:r>
      <w:r w:rsidRPr="000977F7">
        <w:rPr>
          <w:rFonts w:asciiTheme="majorHAnsi" w:hAnsiTheme="majorHAnsi"/>
          <w:spacing w:val="-47"/>
          <w:sz w:val="20"/>
          <w:szCs w:val="20"/>
        </w:rPr>
        <w:t xml:space="preserve"> </w:t>
      </w:r>
      <w:r w:rsidRPr="000977F7">
        <w:rPr>
          <w:rFonts w:asciiTheme="majorHAnsi" w:hAnsiTheme="majorHAnsi"/>
          <w:sz w:val="20"/>
          <w:szCs w:val="20"/>
        </w:rPr>
        <w:t>запобігає</w:t>
      </w:r>
      <w:r w:rsidRPr="000977F7">
        <w:rPr>
          <w:rFonts w:asciiTheme="majorHAnsi" w:hAnsiTheme="majorHAnsi"/>
          <w:spacing w:val="-1"/>
          <w:sz w:val="20"/>
          <w:szCs w:val="20"/>
        </w:rPr>
        <w:t xml:space="preserve"> </w:t>
      </w:r>
      <w:r w:rsidRPr="000977F7">
        <w:rPr>
          <w:rFonts w:asciiTheme="majorHAnsi" w:hAnsiTheme="majorHAnsi"/>
          <w:sz w:val="20"/>
          <w:szCs w:val="20"/>
        </w:rPr>
        <w:t>передчасному</w:t>
      </w:r>
      <w:r w:rsidRPr="000977F7">
        <w:rPr>
          <w:rFonts w:asciiTheme="majorHAnsi" w:hAnsiTheme="majorHAnsi"/>
          <w:spacing w:val="-5"/>
          <w:sz w:val="20"/>
          <w:szCs w:val="20"/>
        </w:rPr>
        <w:t xml:space="preserve"> </w:t>
      </w:r>
      <w:r w:rsidRPr="000977F7">
        <w:rPr>
          <w:rFonts w:asciiTheme="majorHAnsi" w:hAnsiTheme="majorHAnsi"/>
          <w:sz w:val="20"/>
          <w:szCs w:val="20"/>
        </w:rPr>
        <w:t>виникненню</w:t>
      </w:r>
      <w:r w:rsidRPr="000977F7">
        <w:rPr>
          <w:rFonts w:asciiTheme="majorHAnsi" w:hAnsiTheme="majorHAnsi"/>
          <w:spacing w:val="-1"/>
          <w:sz w:val="20"/>
          <w:szCs w:val="20"/>
        </w:rPr>
        <w:t xml:space="preserve"> </w:t>
      </w:r>
      <w:r w:rsidRPr="000977F7">
        <w:rPr>
          <w:rFonts w:asciiTheme="majorHAnsi" w:hAnsiTheme="majorHAnsi"/>
          <w:sz w:val="20"/>
          <w:szCs w:val="20"/>
        </w:rPr>
        <w:t>стомлення</w:t>
      </w:r>
    </w:p>
    <w:p w14:paraId="00D0EC53"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3038 - 95</w:t>
      </w:r>
    </w:p>
    <w:p w14:paraId="6A06CB8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ОПТИМАЛЬНИЙ</w:t>
      </w:r>
      <w:r w:rsidRPr="000977F7">
        <w:rPr>
          <w:color w:val="auto"/>
          <w:spacing w:val="-8"/>
          <w:sz w:val="20"/>
          <w:szCs w:val="20"/>
        </w:rPr>
        <w:t xml:space="preserve"> </w:t>
      </w:r>
      <w:r w:rsidRPr="000977F7">
        <w:rPr>
          <w:color w:val="auto"/>
          <w:sz w:val="20"/>
          <w:szCs w:val="20"/>
        </w:rPr>
        <w:t>ПОКАЗНИК</w:t>
      </w:r>
      <w:r w:rsidRPr="000977F7">
        <w:rPr>
          <w:color w:val="auto"/>
          <w:spacing w:val="-6"/>
          <w:sz w:val="20"/>
          <w:szCs w:val="20"/>
        </w:rPr>
        <w:t xml:space="preserve"> </w:t>
      </w:r>
      <w:r w:rsidRPr="000977F7">
        <w:rPr>
          <w:color w:val="auto"/>
          <w:sz w:val="20"/>
          <w:szCs w:val="20"/>
        </w:rPr>
        <w:t>НАДІЙНОСТІ</w:t>
      </w:r>
      <w:r w:rsidRPr="000977F7">
        <w:rPr>
          <w:color w:val="auto"/>
          <w:spacing w:val="-3"/>
          <w:sz w:val="20"/>
          <w:szCs w:val="20"/>
        </w:rPr>
        <w:t xml:space="preserve"> </w:t>
      </w:r>
      <w:r w:rsidRPr="000977F7">
        <w:rPr>
          <w:color w:val="auto"/>
          <w:sz w:val="20"/>
          <w:szCs w:val="20"/>
        </w:rPr>
        <w:t>–</w:t>
      </w:r>
    </w:p>
    <w:p w14:paraId="21BB97D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OPTIMUM</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DEPENDABILITY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MEASURE –</w:t>
      </w:r>
    </w:p>
    <w:p w14:paraId="34BC30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нормованого</w:t>
      </w:r>
      <w:r w:rsidRPr="000977F7">
        <w:rPr>
          <w:rFonts w:asciiTheme="majorHAnsi" w:hAnsiTheme="majorHAnsi"/>
          <w:spacing w:val="1"/>
          <w:sz w:val="20"/>
          <w:szCs w:val="20"/>
        </w:rPr>
        <w:t xml:space="preserve"> </w:t>
      </w:r>
      <w:r w:rsidRPr="000977F7">
        <w:rPr>
          <w:rFonts w:asciiTheme="majorHAnsi" w:hAnsiTheme="majorHAnsi"/>
          <w:sz w:val="20"/>
          <w:szCs w:val="20"/>
        </w:rPr>
        <w:t>показника</w:t>
      </w:r>
      <w:r w:rsidRPr="000977F7">
        <w:rPr>
          <w:rFonts w:asciiTheme="majorHAnsi" w:hAnsiTheme="majorHAnsi"/>
          <w:spacing w:val="1"/>
          <w:sz w:val="20"/>
          <w:szCs w:val="20"/>
        </w:rPr>
        <w:t xml:space="preserve"> </w:t>
      </w:r>
      <w:r w:rsidRPr="000977F7">
        <w:rPr>
          <w:rFonts w:asciiTheme="majorHAnsi" w:hAnsiTheme="majorHAnsi"/>
          <w:sz w:val="20"/>
          <w:szCs w:val="20"/>
        </w:rPr>
        <w:t>надійності,</w:t>
      </w:r>
      <w:r w:rsidRPr="000977F7">
        <w:rPr>
          <w:rFonts w:asciiTheme="majorHAnsi" w:hAnsiTheme="majorHAnsi"/>
          <w:spacing w:val="1"/>
          <w:sz w:val="20"/>
          <w:szCs w:val="20"/>
        </w:rPr>
        <w:t xml:space="preserve"> </w:t>
      </w:r>
      <w:r w:rsidRPr="000977F7">
        <w:rPr>
          <w:rFonts w:asciiTheme="majorHAnsi" w:hAnsiTheme="majorHAnsi"/>
          <w:sz w:val="20"/>
          <w:szCs w:val="20"/>
        </w:rPr>
        <w:t>визначене з урахуванням утрат через відмови та витрат на</w:t>
      </w:r>
      <w:r w:rsidRPr="000977F7">
        <w:rPr>
          <w:rFonts w:asciiTheme="majorHAnsi" w:hAnsiTheme="majorHAnsi"/>
          <w:spacing w:val="1"/>
          <w:sz w:val="20"/>
          <w:szCs w:val="20"/>
        </w:rPr>
        <w:t xml:space="preserve"> </w:t>
      </w:r>
      <w:r w:rsidRPr="000977F7">
        <w:rPr>
          <w:rFonts w:asciiTheme="majorHAnsi" w:hAnsiTheme="majorHAnsi"/>
          <w:sz w:val="20"/>
          <w:szCs w:val="20"/>
        </w:rPr>
        <w:t>підвищення</w:t>
      </w:r>
      <w:r w:rsidRPr="000977F7">
        <w:rPr>
          <w:rFonts w:asciiTheme="majorHAnsi" w:hAnsiTheme="majorHAnsi"/>
          <w:spacing w:val="-2"/>
          <w:sz w:val="20"/>
          <w:szCs w:val="20"/>
        </w:rPr>
        <w:t xml:space="preserve"> </w:t>
      </w:r>
      <w:r w:rsidRPr="000977F7">
        <w:rPr>
          <w:rFonts w:asciiTheme="majorHAnsi" w:hAnsiTheme="majorHAnsi"/>
          <w:sz w:val="20"/>
          <w:szCs w:val="20"/>
        </w:rPr>
        <w:t>надійності</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іншим критерієм</w:t>
      </w:r>
    </w:p>
    <w:p w14:paraId="328C379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83E7A8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ОПТИМАЛЬНІ МІКРОКЛІМАТИЧНІ</w:t>
      </w:r>
      <w:r w:rsidRPr="000977F7">
        <w:rPr>
          <w:color w:val="auto"/>
          <w:spacing w:val="-47"/>
          <w:sz w:val="20"/>
          <w:szCs w:val="20"/>
        </w:rPr>
        <w:t xml:space="preserve"> </w:t>
      </w:r>
      <w:r w:rsidRPr="000977F7">
        <w:rPr>
          <w:color w:val="auto"/>
          <w:sz w:val="20"/>
          <w:szCs w:val="20"/>
        </w:rPr>
        <w:t>УМОВИ</w:t>
      </w:r>
      <w:r w:rsidRPr="000977F7">
        <w:rPr>
          <w:color w:val="auto"/>
          <w:spacing w:val="1"/>
          <w:sz w:val="20"/>
          <w:szCs w:val="20"/>
        </w:rPr>
        <w:t xml:space="preserve"> </w:t>
      </w:r>
      <w:r w:rsidRPr="000977F7">
        <w:rPr>
          <w:color w:val="auto"/>
          <w:sz w:val="20"/>
          <w:szCs w:val="20"/>
        </w:rPr>
        <w:t>–</w:t>
      </w:r>
    </w:p>
    <w:p w14:paraId="1FEF1D2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w:t>
      </w:r>
      <w:r w:rsidRPr="000977F7">
        <w:rPr>
          <w:rFonts w:asciiTheme="majorHAnsi" w:hAnsiTheme="majorHAnsi"/>
          <w:spacing w:val="1"/>
          <w:sz w:val="20"/>
          <w:szCs w:val="20"/>
        </w:rPr>
        <w:t xml:space="preserve"> </w:t>
      </w:r>
      <w:r w:rsidRPr="000977F7">
        <w:rPr>
          <w:rFonts w:asciiTheme="majorHAnsi" w:hAnsiTheme="majorHAnsi"/>
          <w:sz w:val="20"/>
          <w:szCs w:val="20"/>
        </w:rPr>
        <w:t>мікрокліматичних чинників,</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умовах</w:t>
      </w:r>
      <w:r w:rsidRPr="000977F7">
        <w:rPr>
          <w:rFonts w:asciiTheme="majorHAnsi" w:hAnsiTheme="majorHAnsi"/>
          <w:spacing w:val="1"/>
          <w:sz w:val="20"/>
          <w:szCs w:val="20"/>
        </w:rPr>
        <w:t xml:space="preserve"> </w:t>
      </w:r>
      <w:r w:rsidRPr="000977F7">
        <w:rPr>
          <w:rFonts w:asciiTheme="majorHAnsi" w:hAnsiTheme="majorHAnsi"/>
          <w:sz w:val="20"/>
          <w:szCs w:val="20"/>
        </w:rPr>
        <w:t>тривалого та систематичного діяння на людину створюють комфортні теплові відчуття та збереження нормального теплового стану організму без напруження</w:t>
      </w:r>
      <w:r w:rsidRPr="000977F7">
        <w:rPr>
          <w:rFonts w:asciiTheme="majorHAnsi" w:hAnsiTheme="majorHAnsi"/>
          <w:spacing w:val="1"/>
          <w:sz w:val="20"/>
          <w:szCs w:val="20"/>
        </w:rPr>
        <w:t xml:space="preserve"> </w:t>
      </w:r>
      <w:r w:rsidRPr="000977F7">
        <w:rPr>
          <w:rFonts w:asciiTheme="majorHAnsi" w:hAnsiTheme="majorHAnsi"/>
          <w:sz w:val="20"/>
          <w:szCs w:val="20"/>
        </w:rPr>
        <w:t>механізмів</w:t>
      </w:r>
      <w:r w:rsidRPr="000977F7">
        <w:rPr>
          <w:rFonts w:asciiTheme="majorHAnsi" w:hAnsiTheme="majorHAnsi"/>
          <w:spacing w:val="1"/>
          <w:sz w:val="20"/>
          <w:szCs w:val="20"/>
        </w:rPr>
        <w:t xml:space="preserve"> </w:t>
      </w:r>
      <w:r w:rsidRPr="000977F7">
        <w:rPr>
          <w:rFonts w:asciiTheme="majorHAnsi" w:hAnsiTheme="majorHAnsi"/>
          <w:sz w:val="20"/>
          <w:szCs w:val="20"/>
        </w:rPr>
        <w:t>терморегуляції</w:t>
      </w:r>
    </w:p>
    <w:p w14:paraId="333E3D0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3038 - 95</w:t>
      </w:r>
    </w:p>
    <w:p w14:paraId="75B829E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ОПТИЧНА</w:t>
      </w:r>
      <w:r w:rsidRPr="000977F7">
        <w:rPr>
          <w:color w:val="auto"/>
          <w:spacing w:val="-3"/>
          <w:sz w:val="20"/>
          <w:szCs w:val="20"/>
        </w:rPr>
        <w:t xml:space="preserve"> </w:t>
      </w:r>
      <w:r w:rsidRPr="000977F7">
        <w:rPr>
          <w:color w:val="auto"/>
          <w:sz w:val="20"/>
          <w:szCs w:val="20"/>
        </w:rPr>
        <w:t>СХЕМА</w:t>
      </w:r>
      <w:r w:rsidRPr="000977F7">
        <w:rPr>
          <w:color w:val="auto"/>
          <w:spacing w:val="-1"/>
          <w:sz w:val="20"/>
          <w:szCs w:val="20"/>
        </w:rPr>
        <w:t xml:space="preserve"> </w:t>
      </w:r>
      <w:r w:rsidRPr="000977F7">
        <w:rPr>
          <w:color w:val="auto"/>
          <w:sz w:val="20"/>
          <w:szCs w:val="20"/>
        </w:rPr>
        <w:t>–</w:t>
      </w:r>
    </w:p>
    <w:p w14:paraId="352C86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Схема,</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визначає</w:t>
      </w:r>
      <w:r w:rsidRPr="000977F7">
        <w:rPr>
          <w:rFonts w:asciiTheme="majorHAnsi" w:hAnsiTheme="majorHAnsi"/>
          <w:spacing w:val="1"/>
          <w:sz w:val="20"/>
          <w:szCs w:val="20"/>
        </w:rPr>
        <w:t xml:space="preserve"> </w:t>
      </w:r>
      <w:r w:rsidRPr="000977F7">
        <w:rPr>
          <w:rFonts w:asciiTheme="majorHAnsi" w:hAnsiTheme="majorHAnsi"/>
          <w:sz w:val="20"/>
          <w:szCs w:val="20"/>
        </w:rPr>
        <w:t>склад,</w:t>
      </w:r>
      <w:r w:rsidRPr="000977F7">
        <w:rPr>
          <w:rFonts w:asciiTheme="majorHAnsi" w:hAnsiTheme="majorHAnsi"/>
          <w:spacing w:val="1"/>
          <w:sz w:val="20"/>
          <w:szCs w:val="20"/>
        </w:rPr>
        <w:t xml:space="preserve"> </w:t>
      </w:r>
      <w:r w:rsidRPr="000977F7">
        <w:rPr>
          <w:rFonts w:asciiTheme="majorHAnsi" w:hAnsiTheme="majorHAnsi"/>
          <w:sz w:val="20"/>
          <w:szCs w:val="20"/>
        </w:rPr>
        <w:t>зв’язок</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розташування</w:t>
      </w:r>
      <w:r w:rsidRPr="000977F7">
        <w:rPr>
          <w:rFonts w:asciiTheme="majorHAnsi" w:hAnsiTheme="majorHAnsi"/>
          <w:spacing w:val="1"/>
          <w:sz w:val="20"/>
          <w:szCs w:val="20"/>
        </w:rPr>
        <w:t xml:space="preserve"> </w:t>
      </w:r>
      <w:r w:rsidRPr="000977F7">
        <w:rPr>
          <w:rFonts w:asciiTheme="majorHAnsi" w:hAnsiTheme="majorHAnsi"/>
          <w:sz w:val="20"/>
          <w:szCs w:val="20"/>
        </w:rPr>
        <w:t>оптичних складових частин виробу за світловим променем і пояснює будову і функціонування оптичної</w:t>
      </w:r>
      <w:r w:rsidRPr="000977F7">
        <w:rPr>
          <w:rFonts w:asciiTheme="majorHAnsi" w:hAnsiTheme="majorHAnsi"/>
          <w:spacing w:val="1"/>
          <w:sz w:val="20"/>
          <w:szCs w:val="20"/>
        </w:rPr>
        <w:t xml:space="preserve"> </w:t>
      </w:r>
      <w:r w:rsidRPr="000977F7">
        <w:rPr>
          <w:rFonts w:asciiTheme="majorHAnsi" w:hAnsiTheme="majorHAnsi"/>
          <w:sz w:val="20"/>
          <w:szCs w:val="20"/>
        </w:rPr>
        <w:t>системи виробу</w:t>
      </w:r>
    </w:p>
    <w:p w14:paraId="0830681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xml:space="preserve">– </w:t>
      </w:r>
      <w:r w:rsidRPr="000977F7">
        <w:rPr>
          <w:rFonts w:asciiTheme="majorHAnsi" w:hAnsiTheme="majorHAnsi"/>
          <w:sz w:val="20"/>
          <w:szCs w:val="20"/>
        </w:rPr>
        <w:t>2003</w:t>
      </w:r>
    </w:p>
    <w:p w14:paraId="4417004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ОПТИЧНИЙ</w:t>
      </w:r>
      <w:r w:rsidRPr="000977F7">
        <w:rPr>
          <w:color w:val="auto"/>
          <w:spacing w:val="-3"/>
          <w:sz w:val="20"/>
          <w:szCs w:val="20"/>
        </w:rPr>
        <w:t xml:space="preserve"> </w:t>
      </w:r>
      <w:r w:rsidRPr="000977F7">
        <w:rPr>
          <w:color w:val="auto"/>
          <w:sz w:val="20"/>
          <w:szCs w:val="20"/>
        </w:rPr>
        <w:t>ДЕФЕКТОСКОП –</w:t>
      </w:r>
    </w:p>
    <w:p w14:paraId="41731C5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Прилад оптичного неруйнівного контролю, призначений для виявлення суцільностей та неоднорідностей</w:t>
      </w:r>
      <w:r w:rsidRPr="000977F7">
        <w:rPr>
          <w:rFonts w:asciiTheme="majorHAnsi" w:hAnsiTheme="majorHAnsi"/>
          <w:spacing w:val="1"/>
          <w:sz w:val="20"/>
          <w:szCs w:val="20"/>
        </w:rPr>
        <w:t xml:space="preserve"> </w:t>
      </w:r>
      <w:r w:rsidRPr="000977F7">
        <w:rPr>
          <w:rFonts w:asciiTheme="majorHAnsi" w:hAnsiTheme="majorHAnsi"/>
          <w:sz w:val="20"/>
          <w:szCs w:val="20"/>
        </w:rPr>
        <w:t>матеріалів</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виробів</w:t>
      </w:r>
    </w:p>
    <w:p w14:paraId="7812AF9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FE7DF7D"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ОПТИЧНИЙ</w:t>
      </w:r>
      <w:r w:rsidRPr="000977F7">
        <w:rPr>
          <w:color w:val="auto"/>
          <w:spacing w:val="-3"/>
          <w:sz w:val="20"/>
          <w:szCs w:val="20"/>
        </w:rPr>
        <w:t xml:space="preserve"> </w:t>
      </w:r>
      <w:r w:rsidRPr="000977F7">
        <w:rPr>
          <w:color w:val="auto"/>
          <w:sz w:val="20"/>
          <w:szCs w:val="20"/>
        </w:rPr>
        <w:t>ІНТЕРФЕРЕНЦІЙНИЙ</w:t>
      </w:r>
      <w:r w:rsidRPr="000977F7">
        <w:rPr>
          <w:color w:val="auto"/>
          <w:spacing w:val="-5"/>
          <w:sz w:val="20"/>
          <w:szCs w:val="20"/>
        </w:rPr>
        <w:t xml:space="preserve"> </w:t>
      </w:r>
      <w:r w:rsidRPr="000977F7">
        <w:rPr>
          <w:color w:val="auto"/>
          <w:sz w:val="20"/>
          <w:szCs w:val="20"/>
        </w:rPr>
        <w:t>МЕТОД</w:t>
      </w:r>
      <w:r w:rsidRPr="000977F7">
        <w:rPr>
          <w:color w:val="auto"/>
          <w:spacing w:val="-1"/>
          <w:sz w:val="20"/>
          <w:szCs w:val="20"/>
        </w:rPr>
        <w:t xml:space="preserve"> </w:t>
      </w:r>
      <w:r w:rsidRPr="000977F7">
        <w:rPr>
          <w:b w:val="0"/>
          <w:color w:val="auto"/>
          <w:sz w:val="20"/>
          <w:szCs w:val="20"/>
        </w:rPr>
        <w:t>–</w:t>
      </w:r>
    </w:p>
    <w:p w14:paraId="7D75CD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неруйнівного контролю теплового поля у приповерхневих шарах середовища, яке оточує нагрітий</w:t>
      </w:r>
      <w:r w:rsidRPr="000977F7">
        <w:rPr>
          <w:rFonts w:asciiTheme="majorHAnsi" w:hAnsiTheme="majorHAnsi"/>
          <w:spacing w:val="1"/>
          <w:sz w:val="20"/>
          <w:szCs w:val="20"/>
        </w:rPr>
        <w:t xml:space="preserve"> </w:t>
      </w:r>
      <w:r w:rsidRPr="000977F7">
        <w:rPr>
          <w:rFonts w:asciiTheme="majorHAnsi" w:hAnsiTheme="majorHAnsi"/>
          <w:sz w:val="20"/>
          <w:szCs w:val="20"/>
        </w:rPr>
        <w:t>об’єкт,</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інтерференційною</w:t>
      </w:r>
      <w:r w:rsidRPr="000977F7">
        <w:rPr>
          <w:rFonts w:asciiTheme="majorHAnsi" w:hAnsiTheme="majorHAnsi"/>
          <w:spacing w:val="2"/>
          <w:sz w:val="20"/>
          <w:szCs w:val="20"/>
        </w:rPr>
        <w:t xml:space="preserve"> </w:t>
      </w:r>
      <w:r w:rsidRPr="000977F7">
        <w:rPr>
          <w:rFonts w:asciiTheme="majorHAnsi" w:hAnsiTheme="majorHAnsi"/>
          <w:sz w:val="20"/>
          <w:szCs w:val="20"/>
        </w:rPr>
        <w:t>картиною</w:t>
      </w:r>
    </w:p>
    <w:p w14:paraId="2B51C57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2865</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7B1011A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ОПТИЧНИЙ</w:t>
      </w:r>
      <w:r w:rsidRPr="000977F7">
        <w:rPr>
          <w:color w:val="auto"/>
          <w:spacing w:val="-4"/>
          <w:sz w:val="20"/>
          <w:szCs w:val="20"/>
        </w:rPr>
        <w:t xml:space="preserve"> </w:t>
      </w:r>
      <w:r w:rsidRPr="000977F7">
        <w:rPr>
          <w:color w:val="auto"/>
          <w:sz w:val="20"/>
          <w:szCs w:val="20"/>
        </w:rPr>
        <w:t>НЕРУЙНІВНИЙ</w:t>
      </w:r>
      <w:r w:rsidRPr="000977F7">
        <w:rPr>
          <w:color w:val="auto"/>
          <w:spacing w:val="-3"/>
          <w:sz w:val="20"/>
          <w:szCs w:val="20"/>
        </w:rPr>
        <w:t xml:space="preserve"> </w:t>
      </w:r>
      <w:r w:rsidRPr="000977F7">
        <w:rPr>
          <w:color w:val="auto"/>
          <w:sz w:val="20"/>
          <w:szCs w:val="20"/>
        </w:rPr>
        <w:t>КОНТРОЛЬ –</w:t>
      </w:r>
    </w:p>
    <w:p w14:paraId="32824E2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OPTICAL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NON – DESTRUCTIVE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TESTING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4BFDB671"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Неруйнівний</w:t>
      </w:r>
      <w:r w:rsidRPr="000977F7">
        <w:rPr>
          <w:rFonts w:asciiTheme="majorHAnsi" w:hAnsiTheme="majorHAnsi"/>
          <w:spacing w:val="8"/>
          <w:sz w:val="20"/>
          <w:szCs w:val="20"/>
        </w:rPr>
        <w:t xml:space="preserve"> </w:t>
      </w:r>
      <w:r w:rsidRPr="000977F7">
        <w:rPr>
          <w:rFonts w:asciiTheme="majorHAnsi" w:hAnsiTheme="majorHAnsi"/>
          <w:sz w:val="20"/>
          <w:szCs w:val="20"/>
        </w:rPr>
        <w:t>контроль,</w:t>
      </w:r>
      <w:r w:rsidRPr="000977F7">
        <w:rPr>
          <w:rFonts w:asciiTheme="majorHAnsi" w:hAnsiTheme="majorHAnsi"/>
          <w:spacing w:val="7"/>
          <w:sz w:val="20"/>
          <w:szCs w:val="20"/>
        </w:rPr>
        <w:t xml:space="preserve"> </w:t>
      </w:r>
      <w:r w:rsidRPr="000977F7">
        <w:rPr>
          <w:rFonts w:asciiTheme="majorHAnsi" w:hAnsiTheme="majorHAnsi"/>
          <w:sz w:val="20"/>
          <w:szCs w:val="20"/>
        </w:rPr>
        <w:t>що</w:t>
      </w:r>
      <w:r w:rsidRPr="000977F7">
        <w:rPr>
          <w:rFonts w:asciiTheme="majorHAnsi" w:hAnsiTheme="majorHAnsi"/>
          <w:spacing w:val="10"/>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8"/>
          <w:sz w:val="20"/>
          <w:szCs w:val="20"/>
        </w:rPr>
        <w:t xml:space="preserve"> </w:t>
      </w:r>
      <w:r w:rsidRPr="000977F7">
        <w:rPr>
          <w:rFonts w:asciiTheme="majorHAnsi" w:hAnsiTheme="majorHAnsi"/>
          <w:sz w:val="20"/>
          <w:szCs w:val="20"/>
        </w:rPr>
        <w:t>на</w:t>
      </w:r>
      <w:r w:rsidRPr="000977F7">
        <w:rPr>
          <w:rFonts w:asciiTheme="majorHAnsi" w:hAnsiTheme="majorHAnsi"/>
          <w:spacing w:val="7"/>
          <w:sz w:val="20"/>
          <w:szCs w:val="20"/>
        </w:rPr>
        <w:t xml:space="preserve"> </w:t>
      </w:r>
      <w:r w:rsidRPr="000977F7">
        <w:rPr>
          <w:rFonts w:asciiTheme="majorHAnsi" w:hAnsiTheme="majorHAnsi"/>
          <w:sz w:val="20"/>
          <w:szCs w:val="20"/>
        </w:rPr>
        <w:t>аналізі</w:t>
      </w:r>
      <w:r w:rsidRPr="000977F7">
        <w:rPr>
          <w:rFonts w:asciiTheme="majorHAnsi" w:hAnsiTheme="majorHAnsi"/>
          <w:spacing w:val="7"/>
          <w:sz w:val="20"/>
          <w:szCs w:val="20"/>
        </w:rPr>
        <w:t xml:space="preserve"> </w:t>
      </w:r>
      <w:r w:rsidRPr="000977F7">
        <w:rPr>
          <w:rFonts w:asciiTheme="majorHAnsi" w:hAnsiTheme="majorHAnsi"/>
          <w:sz w:val="20"/>
          <w:szCs w:val="20"/>
        </w:rPr>
        <w:t>взаємодії оптичного випромінення з об’єктом контролю</w:t>
      </w:r>
      <w:r w:rsidRPr="000977F7">
        <w:rPr>
          <w:rFonts w:asciiTheme="majorHAnsi" w:hAnsiTheme="majorHAns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2865</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F4CD95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ОПТИЧНИЙ</w:t>
      </w:r>
      <w:r w:rsidRPr="000977F7">
        <w:rPr>
          <w:color w:val="auto"/>
          <w:spacing w:val="-3"/>
          <w:sz w:val="20"/>
          <w:szCs w:val="20"/>
        </w:rPr>
        <w:t xml:space="preserve"> </w:t>
      </w:r>
      <w:r w:rsidRPr="000977F7">
        <w:rPr>
          <w:color w:val="auto"/>
          <w:sz w:val="20"/>
          <w:szCs w:val="20"/>
        </w:rPr>
        <w:t>СИГНАЛ –</w:t>
      </w:r>
    </w:p>
    <w:p w14:paraId="223A41E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OPTICAL</w:t>
      </w:r>
      <w:r w:rsidRPr="000977F7">
        <w:rPr>
          <w:rFonts w:asciiTheme="majorHAnsi" w:hAnsiTheme="majorHAnsi"/>
          <w:spacing w:val="-4"/>
          <w:sz w:val="20"/>
          <w:szCs w:val="20"/>
        </w:rPr>
        <w:t xml:space="preserve"> </w:t>
      </w:r>
      <w:r w:rsidRPr="000977F7">
        <w:rPr>
          <w:rFonts w:asciiTheme="majorHAnsi" w:hAnsiTheme="majorHAnsi"/>
          <w:sz w:val="20"/>
          <w:szCs w:val="20"/>
        </w:rPr>
        <w:t>SIGNAL</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FFF4B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w:t>
      </w:r>
      <w:r w:rsidRPr="000977F7">
        <w:rPr>
          <w:rFonts w:asciiTheme="majorHAnsi" w:hAnsiTheme="majorHAnsi"/>
          <w:spacing w:val="44"/>
          <w:sz w:val="20"/>
          <w:szCs w:val="20"/>
        </w:rPr>
        <w:t xml:space="preserve"> </w:t>
      </w:r>
      <w:r w:rsidRPr="000977F7">
        <w:rPr>
          <w:rFonts w:asciiTheme="majorHAnsi" w:hAnsiTheme="majorHAnsi"/>
          <w:sz w:val="20"/>
          <w:szCs w:val="20"/>
        </w:rPr>
        <w:t>у</w:t>
      </w:r>
      <w:r w:rsidRPr="000977F7">
        <w:rPr>
          <w:rFonts w:asciiTheme="majorHAnsi" w:hAnsiTheme="majorHAnsi"/>
          <w:spacing w:val="43"/>
          <w:sz w:val="20"/>
          <w:szCs w:val="20"/>
        </w:rPr>
        <w:t xml:space="preserve"> </w:t>
      </w:r>
      <w:r w:rsidRPr="000977F7">
        <w:rPr>
          <w:rFonts w:asciiTheme="majorHAnsi" w:hAnsiTheme="majorHAnsi"/>
          <w:sz w:val="20"/>
          <w:szCs w:val="20"/>
        </w:rPr>
        <w:t>вигляді</w:t>
      </w:r>
      <w:r w:rsidRPr="000977F7">
        <w:rPr>
          <w:rFonts w:asciiTheme="majorHAnsi" w:hAnsiTheme="majorHAnsi"/>
          <w:spacing w:val="44"/>
          <w:sz w:val="20"/>
          <w:szCs w:val="20"/>
        </w:rPr>
        <w:t xml:space="preserve"> </w:t>
      </w:r>
      <w:r w:rsidRPr="000977F7">
        <w:rPr>
          <w:rFonts w:asciiTheme="majorHAnsi" w:hAnsiTheme="majorHAnsi"/>
          <w:sz w:val="20"/>
          <w:szCs w:val="20"/>
        </w:rPr>
        <w:t>діяння</w:t>
      </w:r>
      <w:r w:rsidRPr="000977F7">
        <w:rPr>
          <w:rFonts w:asciiTheme="majorHAnsi" w:hAnsiTheme="majorHAnsi"/>
          <w:spacing w:val="45"/>
          <w:sz w:val="20"/>
          <w:szCs w:val="20"/>
        </w:rPr>
        <w:t xml:space="preserve"> </w:t>
      </w:r>
      <w:r w:rsidRPr="000977F7">
        <w:rPr>
          <w:rFonts w:asciiTheme="majorHAnsi" w:hAnsiTheme="majorHAnsi"/>
          <w:sz w:val="20"/>
          <w:szCs w:val="20"/>
        </w:rPr>
        <w:t>оптичного</w:t>
      </w:r>
      <w:r w:rsidRPr="000977F7">
        <w:rPr>
          <w:rFonts w:asciiTheme="majorHAnsi" w:hAnsiTheme="majorHAnsi"/>
          <w:spacing w:val="45"/>
          <w:sz w:val="20"/>
          <w:szCs w:val="20"/>
        </w:rPr>
        <w:t xml:space="preserve"> </w:t>
      </w:r>
      <w:r w:rsidRPr="000977F7">
        <w:rPr>
          <w:rFonts w:asciiTheme="majorHAnsi" w:hAnsiTheme="majorHAnsi"/>
          <w:sz w:val="20"/>
          <w:szCs w:val="20"/>
        </w:rPr>
        <w:t>випрмінювання,</w:t>
      </w:r>
      <w:r w:rsidRPr="000977F7">
        <w:rPr>
          <w:rFonts w:asciiTheme="majorHAnsi" w:hAnsiTheme="majorHAnsi"/>
          <w:spacing w:val="-47"/>
          <w:sz w:val="20"/>
          <w:szCs w:val="20"/>
        </w:rPr>
        <w:t xml:space="preserve"> </w:t>
      </w:r>
      <w:r w:rsidRPr="000977F7">
        <w:rPr>
          <w:rFonts w:asciiTheme="majorHAnsi" w:hAnsiTheme="majorHAnsi"/>
          <w:sz w:val="20"/>
          <w:szCs w:val="20"/>
        </w:rPr>
        <w:t>дієвою величиною якого є потік випромінювання</w:t>
      </w:r>
    </w:p>
    <w:p w14:paraId="7007295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3956 - 2000</w:t>
      </w:r>
    </w:p>
    <w:p w14:paraId="5DCA450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ОПТИЧНИЙ</w:t>
      </w:r>
      <w:r w:rsidRPr="000977F7">
        <w:rPr>
          <w:color w:val="auto"/>
          <w:spacing w:val="-4"/>
          <w:sz w:val="20"/>
          <w:szCs w:val="20"/>
        </w:rPr>
        <w:t xml:space="preserve"> </w:t>
      </w:r>
      <w:r w:rsidRPr="000977F7">
        <w:rPr>
          <w:color w:val="auto"/>
          <w:sz w:val="20"/>
          <w:szCs w:val="20"/>
        </w:rPr>
        <w:t>СТРУКТУРОСКОП</w:t>
      </w:r>
      <w:r w:rsidRPr="000977F7">
        <w:rPr>
          <w:color w:val="auto"/>
          <w:spacing w:val="-3"/>
          <w:sz w:val="20"/>
          <w:szCs w:val="20"/>
        </w:rPr>
        <w:t xml:space="preserve"> </w:t>
      </w:r>
      <w:r w:rsidRPr="000977F7">
        <w:rPr>
          <w:color w:val="auto"/>
          <w:sz w:val="20"/>
          <w:szCs w:val="20"/>
        </w:rPr>
        <w:t>–</w:t>
      </w:r>
    </w:p>
    <w:p w14:paraId="33C7D8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Прилад оптичного неруйнівного контролю, призначений</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аналізу</w:t>
      </w:r>
      <w:r w:rsidRPr="000977F7">
        <w:rPr>
          <w:rFonts w:asciiTheme="majorHAnsi" w:hAnsiTheme="majorHAnsi"/>
          <w:spacing w:val="1"/>
          <w:sz w:val="20"/>
          <w:szCs w:val="20"/>
        </w:rPr>
        <w:t xml:space="preserve"> </w:t>
      </w:r>
      <w:r w:rsidRPr="000977F7">
        <w:rPr>
          <w:rFonts w:asciiTheme="majorHAnsi" w:hAnsiTheme="majorHAnsi"/>
          <w:sz w:val="20"/>
          <w:szCs w:val="20"/>
        </w:rPr>
        <w:t>структури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фізико-хімічних</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властивостей</w:t>
      </w:r>
      <w:r w:rsidRPr="000977F7">
        <w:rPr>
          <w:rFonts w:asciiTheme="majorHAnsi" w:hAnsiTheme="majorHAnsi"/>
          <w:spacing w:val="-2"/>
          <w:sz w:val="20"/>
          <w:szCs w:val="20"/>
        </w:rPr>
        <w:t xml:space="preserve"> </w:t>
      </w:r>
      <w:r w:rsidRPr="000977F7">
        <w:rPr>
          <w:rFonts w:asciiTheme="majorHAnsi" w:hAnsiTheme="majorHAnsi"/>
          <w:sz w:val="20"/>
          <w:szCs w:val="20"/>
        </w:rPr>
        <w:t>матеріалів</w:t>
      </w:r>
      <w:r w:rsidRPr="000977F7">
        <w:rPr>
          <w:rFonts w:asciiTheme="majorHAnsi" w:hAnsiTheme="majorHAnsi"/>
          <w:spacing w:val="-1"/>
          <w:sz w:val="20"/>
          <w:szCs w:val="20"/>
        </w:rPr>
        <w:t xml:space="preserve"> </w:t>
      </w:r>
      <w:r w:rsidRPr="000977F7">
        <w:rPr>
          <w:rFonts w:asciiTheme="majorHAnsi" w:hAnsiTheme="majorHAnsi"/>
          <w:sz w:val="20"/>
          <w:szCs w:val="20"/>
        </w:rPr>
        <w:t>і виробів</w:t>
      </w:r>
    </w:p>
    <w:p w14:paraId="14BCB84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6F70AC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ОПТИЧНИЙ</w:t>
      </w:r>
      <w:r w:rsidRPr="000977F7">
        <w:rPr>
          <w:color w:val="auto"/>
          <w:spacing w:val="-3"/>
          <w:sz w:val="20"/>
          <w:szCs w:val="20"/>
        </w:rPr>
        <w:t xml:space="preserve"> </w:t>
      </w:r>
      <w:r w:rsidRPr="000977F7">
        <w:rPr>
          <w:color w:val="auto"/>
          <w:sz w:val="20"/>
          <w:szCs w:val="20"/>
        </w:rPr>
        <w:t>ТОВЩИНОМІР</w:t>
      </w:r>
      <w:r w:rsidRPr="000977F7">
        <w:rPr>
          <w:color w:val="auto"/>
          <w:spacing w:val="1"/>
          <w:sz w:val="20"/>
          <w:szCs w:val="20"/>
        </w:rPr>
        <w:t xml:space="preserve"> </w:t>
      </w:r>
      <w:r w:rsidRPr="000977F7">
        <w:rPr>
          <w:color w:val="auto"/>
          <w:sz w:val="20"/>
          <w:szCs w:val="20"/>
        </w:rPr>
        <w:t>–</w:t>
      </w:r>
    </w:p>
    <w:p w14:paraId="6E6680D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Прилад оптичного неруйнівного контролю, призначений для вимірювання товщини об’єкта контролю та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глибини</w:t>
      </w:r>
      <w:r w:rsidRPr="000977F7">
        <w:rPr>
          <w:rFonts w:asciiTheme="majorHAnsi" w:hAnsiTheme="majorHAnsi"/>
          <w:spacing w:val="-1"/>
          <w:sz w:val="20"/>
          <w:szCs w:val="20"/>
        </w:rPr>
        <w:t xml:space="preserve"> </w:t>
      </w:r>
      <w:r w:rsidRPr="000977F7">
        <w:rPr>
          <w:rFonts w:asciiTheme="majorHAnsi" w:hAnsiTheme="majorHAnsi"/>
          <w:sz w:val="20"/>
          <w:szCs w:val="20"/>
        </w:rPr>
        <w:t>залягання</w:t>
      </w:r>
      <w:r w:rsidRPr="000977F7">
        <w:rPr>
          <w:rFonts w:asciiTheme="majorHAnsi" w:hAnsiTheme="majorHAnsi"/>
          <w:spacing w:val="-1"/>
          <w:sz w:val="20"/>
          <w:szCs w:val="20"/>
        </w:rPr>
        <w:t xml:space="preserve"> </w:t>
      </w:r>
      <w:r w:rsidRPr="000977F7">
        <w:rPr>
          <w:rFonts w:asciiTheme="majorHAnsi" w:hAnsiTheme="majorHAnsi"/>
          <w:sz w:val="20"/>
          <w:szCs w:val="20"/>
        </w:rPr>
        <w:t>дефектів</w:t>
      </w:r>
    </w:p>
    <w:p w14:paraId="6D688EB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4"/>
          <w:sz w:val="20"/>
          <w:szCs w:val="20"/>
        </w:rPr>
        <w:t xml:space="preserve"> </w:t>
      </w:r>
      <w:r w:rsidRPr="000977F7">
        <w:rPr>
          <w:rFonts w:asciiTheme="majorHAnsi" w:hAnsiTheme="majorHAnsi"/>
          <w:i/>
          <w:sz w:val="20"/>
          <w:szCs w:val="20"/>
        </w:rPr>
        <w:t>2865</w:t>
      </w:r>
      <w:r w:rsidRPr="000977F7">
        <w:rPr>
          <w:rFonts w:asciiTheme="majorHAnsi" w:hAnsiTheme="majorHAnsi"/>
          <w:i/>
          <w:spacing w:val="6"/>
          <w:sz w:val="20"/>
          <w:szCs w:val="20"/>
        </w:rPr>
        <w:t xml:space="preserve"> </w:t>
      </w:r>
      <w:r w:rsidRPr="000977F7">
        <w:rPr>
          <w:rFonts w:asciiTheme="majorHAnsi" w:hAnsiTheme="majorHAnsi"/>
          <w:i/>
          <w:sz w:val="20"/>
          <w:szCs w:val="20"/>
        </w:rPr>
        <w:t>–</w:t>
      </w:r>
      <w:r w:rsidRPr="000977F7">
        <w:rPr>
          <w:rFonts w:asciiTheme="majorHAnsi" w:hAnsiTheme="majorHAnsi"/>
          <w:i/>
          <w:spacing w:val="5"/>
          <w:sz w:val="20"/>
          <w:szCs w:val="20"/>
        </w:rPr>
        <w:t xml:space="preserve"> </w:t>
      </w:r>
      <w:r w:rsidRPr="000977F7">
        <w:rPr>
          <w:rFonts w:asciiTheme="majorHAnsi" w:hAnsiTheme="majorHAnsi"/>
          <w:i/>
          <w:sz w:val="20"/>
          <w:szCs w:val="20"/>
        </w:rPr>
        <w:t>94</w:t>
      </w:r>
    </w:p>
    <w:p w14:paraId="5F370220"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ОПТИМАЛЬНЕ</w:t>
      </w:r>
      <w:r w:rsidRPr="000977F7">
        <w:rPr>
          <w:rFonts w:asciiTheme="majorHAnsi" w:hAnsiTheme="majorHAnsi"/>
          <w:b/>
          <w:spacing w:val="-11"/>
          <w:sz w:val="20"/>
          <w:szCs w:val="20"/>
        </w:rPr>
        <w:t xml:space="preserve"> </w:t>
      </w:r>
      <w:r w:rsidRPr="000977F7">
        <w:rPr>
          <w:rFonts w:asciiTheme="majorHAnsi" w:hAnsiTheme="majorHAnsi"/>
          <w:b/>
          <w:sz w:val="20"/>
          <w:szCs w:val="20"/>
        </w:rPr>
        <w:t>ЗНАЧЕННЯ</w:t>
      </w:r>
      <w:r w:rsidRPr="000977F7">
        <w:rPr>
          <w:rFonts w:asciiTheme="majorHAnsi" w:hAnsiTheme="majorHAnsi"/>
          <w:b/>
          <w:spacing w:val="-9"/>
          <w:sz w:val="20"/>
          <w:szCs w:val="20"/>
        </w:rPr>
        <w:t xml:space="preserve"> </w:t>
      </w:r>
      <w:r w:rsidRPr="000977F7">
        <w:rPr>
          <w:rFonts w:asciiTheme="majorHAnsi" w:hAnsiTheme="majorHAnsi"/>
          <w:b/>
          <w:sz w:val="20"/>
          <w:szCs w:val="20"/>
        </w:rPr>
        <w:t>ПОКАЗНИКА</w:t>
      </w:r>
      <w:r w:rsidRPr="000977F7">
        <w:rPr>
          <w:rFonts w:asciiTheme="majorHAnsi" w:hAnsiTheme="majorHAnsi"/>
          <w:b/>
          <w:spacing w:val="-47"/>
          <w:sz w:val="20"/>
          <w:szCs w:val="20"/>
        </w:rPr>
        <w:t xml:space="preserve"> </w:t>
      </w:r>
      <w:r w:rsidRPr="000977F7">
        <w:rPr>
          <w:rFonts w:asciiTheme="majorHAnsi" w:hAnsiTheme="majorHAnsi"/>
          <w:b/>
          <w:sz w:val="20"/>
          <w:szCs w:val="20"/>
        </w:rPr>
        <w:t>ЯКОСТІ</w:t>
      </w:r>
      <w:r w:rsidRPr="000977F7">
        <w:rPr>
          <w:rFonts w:asciiTheme="majorHAnsi" w:hAnsiTheme="majorHAnsi"/>
          <w:b/>
          <w:spacing w:val="-2"/>
          <w:sz w:val="20"/>
          <w:szCs w:val="20"/>
        </w:rPr>
        <w:t xml:space="preserve"> </w:t>
      </w:r>
      <w:r w:rsidRPr="000977F7">
        <w:rPr>
          <w:rFonts w:asciiTheme="majorHAnsi" w:hAnsiTheme="majorHAnsi"/>
          <w:b/>
          <w:sz w:val="20"/>
          <w:szCs w:val="20"/>
        </w:rPr>
        <w:t>ПРОДУКЦІЇ</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5C5980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 показника якості продукції , при якому досягається або найбільший ефект від експлуатації чи</w:t>
      </w:r>
      <w:r w:rsidRPr="000977F7">
        <w:rPr>
          <w:rFonts w:asciiTheme="majorHAnsi" w:hAnsiTheme="majorHAnsi"/>
          <w:spacing w:val="1"/>
          <w:sz w:val="20"/>
          <w:szCs w:val="20"/>
        </w:rPr>
        <w:t xml:space="preserve"> </w:t>
      </w:r>
      <w:r w:rsidRPr="000977F7">
        <w:rPr>
          <w:rFonts w:asciiTheme="majorHAnsi" w:hAnsiTheme="majorHAnsi"/>
          <w:sz w:val="20"/>
          <w:szCs w:val="20"/>
        </w:rPr>
        <w:t>споживання</w:t>
      </w:r>
      <w:r w:rsidRPr="000977F7">
        <w:rPr>
          <w:rFonts w:asciiTheme="majorHAnsi" w:hAnsiTheme="majorHAnsi"/>
          <w:spacing w:val="28"/>
          <w:sz w:val="20"/>
          <w:szCs w:val="20"/>
        </w:rPr>
        <w:t xml:space="preserve"> </w:t>
      </w:r>
      <w:r w:rsidRPr="000977F7">
        <w:rPr>
          <w:rFonts w:asciiTheme="majorHAnsi" w:hAnsiTheme="majorHAnsi"/>
          <w:sz w:val="20"/>
          <w:szCs w:val="20"/>
        </w:rPr>
        <w:t>продукції</w:t>
      </w:r>
      <w:r w:rsidRPr="000977F7">
        <w:rPr>
          <w:rFonts w:asciiTheme="majorHAnsi" w:hAnsiTheme="majorHAnsi"/>
          <w:spacing w:val="26"/>
          <w:sz w:val="20"/>
          <w:szCs w:val="20"/>
        </w:rPr>
        <w:t xml:space="preserve"> </w:t>
      </w:r>
      <w:r w:rsidRPr="000977F7">
        <w:rPr>
          <w:rFonts w:asciiTheme="majorHAnsi" w:hAnsiTheme="majorHAnsi"/>
          <w:sz w:val="20"/>
          <w:szCs w:val="20"/>
        </w:rPr>
        <w:t>при</w:t>
      </w:r>
      <w:r w:rsidRPr="000977F7">
        <w:rPr>
          <w:rFonts w:asciiTheme="majorHAnsi" w:hAnsiTheme="majorHAnsi"/>
          <w:spacing w:val="27"/>
          <w:sz w:val="20"/>
          <w:szCs w:val="20"/>
        </w:rPr>
        <w:t xml:space="preserve"> </w:t>
      </w:r>
      <w:r w:rsidRPr="000977F7">
        <w:rPr>
          <w:rFonts w:asciiTheme="majorHAnsi" w:hAnsiTheme="majorHAnsi"/>
          <w:sz w:val="20"/>
          <w:szCs w:val="20"/>
        </w:rPr>
        <w:t>заданих</w:t>
      </w:r>
      <w:r w:rsidRPr="000977F7">
        <w:rPr>
          <w:rFonts w:asciiTheme="majorHAnsi" w:hAnsiTheme="majorHAnsi"/>
          <w:spacing w:val="27"/>
          <w:sz w:val="20"/>
          <w:szCs w:val="20"/>
        </w:rPr>
        <w:t xml:space="preserve"> </w:t>
      </w:r>
      <w:r w:rsidRPr="000977F7">
        <w:rPr>
          <w:rFonts w:asciiTheme="majorHAnsi" w:hAnsiTheme="majorHAnsi"/>
          <w:sz w:val="20"/>
          <w:szCs w:val="20"/>
        </w:rPr>
        <w:t>витратах</w:t>
      </w:r>
      <w:r w:rsidRPr="000977F7">
        <w:rPr>
          <w:rFonts w:asciiTheme="majorHAnsi" w:hAnsiTheme="majorHAnsi"/>
          <w:spacing w:val="27"/>
          <w:sz w:val="20"/>
          <w:szCs w:val="20"/>
        </w:rPr>
        <w:t xml:space="preserve"> </w:t>
      </w:r>
      <w:r w:rsidRPr="000977F7">
        <w:rPr>
          <w:rFonts w:asciiTheme="majorHAnsi" w:hAnsiTheme="majorHAnsi"/>
          <w:sz w:val="20"/>
          <w:szCs w:val="20"/>
        </w:rPr>
        <w:t>на</w:t>
      </w:r>
      <w:r w:rsidRPr="000977F7">
        <w:rPr>
          <w:rFonts w:asciiTheme="majorHAnsi" w:hAnsiTheme="majorHAnsi"/>
          <w:spacing w:val="26"/>
          <w:sz w:val="20"/>
          <w:szCs w:val="20"/>
        </w:rPr>
        <w:t xml:space="preserve"> </w:t>
      </w:r>
      <w:r w:rsidRPr="000977F7">
        <w:rPr>
          <w:rFonts w:asciiTheme="majorHAnsi" w:hAnsiTheme="majorHAnsi"/>
          <w:sz w:val="20"/>
          <w:szCs w:val="20"/>
        </w:rPr>
        <w:t>її створення і експлуатацію чи споживання, або заданий</w:t>
      </w:r>
      <w:r w:rsidRPr="000977F7">
        <w:rPr>
          <w:rFonts w:asciiTheme="majorHAnsi" w:hAnsiTheme="majorHAnsi"/>
          <w:spacing w:val="-47"/>
          <w:sz w:val="20"/>
          <w:szCs w:val="20"/>
        </w:rPr>
        <w:t xml:space="preserve"> </w:t>
      </w:r>
      <w:r w:rsidRPr="000977F7">
        <w:rPr>
          <w:rFonts w:asciiTheme="majorHAnsi" w:hAnsiTheme="majorHAnsi"/>
          <w:sz w:val="20"/>
          <w:szCs w:val="20"/>
        </w:rPr>
        <w:t>ефект при найменших витратах, або найбільше відношення</w:t>
      </w:r>
      <w:r w:rsidRPr="000977F7">
        <w:rPr>
          <w:rFonts w:asciiTheme="majorHAnsi" w:hAnsiTheme="majorHAnsi"/>
          <w:spacing w:val="-2"/>
          <w:sz w:val="20"/>
          <w:szCs w:val="20"/>
        </w:rPr>
        <w:t xml:space="preserve"> </w:t>
      </w:r>
      <w:r w:rsidRPr="000977F7">
        <w:rPr>
          <w:rFonts w:asciiTheme="majorHAnsi" w:hAnsiTheme="majorHAnsi"/>
          <w:sz w:val="20"/>
          <w:szCs w:val="20"/>
        </w:rPr>
        <w:t>ефекту</w:t>
      </w:r>
      <w:r w:rsidRPr="000977F7">
        <w:rPr>
          <w:rFonts w:asciiTheme="majorHAnsi" w:hAnsiTheme="majorHAnsi"/>
          <w:spacing w:val="-1"/>
          <w:sz w:val="20"/>
          <w:szCs w:val="20"/>
        </w:rPr>
        <w:t xml:space="preserve"> </w:t>
      </w:r>
      <w:r w:rsidRPr="000977F7">
        <w:rPr>
          <w:rFonts w:asciiTheme="majorHAnsi" w:hAnsiTheme="majorHAnsi"/>
          <w:sz w:val="20"/>
          <w:szCs w:val="20"/>
        </w:rPr>
        <w:t>до витрат</w:t>
      </w:r>
    </w:p>
    <w:p w14:paraId="7095718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ОПЦІОН</w:t>
      </w:r>
      <w:r w:rsidRPr="000977F7">
        <w:rPr>
          <w:color w:val="auto"/>
          <w:spacing w:val="-1"/>
          <w:sz w:val="20"/>
          <w:szCs w:val="20"/>
        </w:rPr>
        <w:t xml:space="preserve"> </w:t>
      </w:r>
      <w:r w:rsidRPr="000977F7">
        <w:rPr>
          <w:color w:val="auto"/>
          <w:sz w:val="20"/>
          <w:szCs w:val="20"/>
        </w:rPr>
        <w:t>–</w:t>
      </w:r>
    </w:p>
    <w:p w14:paraId="3030B4A3"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Право</w:t>
      </w:r>
      <w:r w:rsidRPr="000977F7">
        <w:rPr>
          <w:rFonts w:asciiTheme="majorHAnsi" w:hAnsiTheme="majorHAnsi"/>
          <w:spacing w:val="11"/>
          <w:sz w:val="20"/>
          <w:szCs w:val="20"/>
        </w:rPr>
        <w:t xml:space="preserve"> </w:t>
      </w:r>
      <w:r w:rsidRPr="000977F7">
        <w:rPr>
          <w:rFonts w:asciiTheme="majorHAnsi" w:hAnsiTheme="majorHAnsi"/>
          <w:sz w:val="20"/>
          <w:szCs w:val="20"/>
        </w:rPr>
        <w:t>вибору</w:t>
      </w:r>
      <w:r w:rsidRPr="000977F7">
        <w:rPr>
          <w:rFonts w:asciiTheme="majorHAnsi" w:hAnsiTheme="majorHAnsi"/>
          <w:spacing w:val="8"/>
          <w:sz w:val="20"/>
          <w:szCs w:val="20"/>
        </w:rPr>
        <w:t xml:space="preserve"> </w:t>
      </w:r>
      <w:r w:rsidRPr="000977F7">
        <w:rPr>
          <w:rFonts w:asciiTheme="majorHAnsi" w:hAnsiTheme="majorHAnsi"/>
          <w:sz w:val="20"/>
          <w:szCs w:val="20"/>
        </w:rPr>
        <w:t>способу,</w:t>
      </w:r>
      <w:r w:rsidRPr="000977F7">
        <w:rPr>
          <w:rFonts w:asciiTheme="majorHAnsi" w:hAnsiTheme="majorHAnsi"/>
          <w:spacing w:val="13"/>
          <w:sz w:val="20"/>
          <w:szCs w:val="20"/>
        </w:rPr>
        <w:t xml:space="preserve"> </w:t>
      </w:r>
      <w:r w:rsidRPr="000977F7">
        <w:rPr>
          <w:rFonts w:asciiTheme="majorHAnsi" w:hAnsiTheme="majorHAnsi"/>
          <w:sz w:val="20"/>
          <w:szCs w:val="20"/>
        </w:rPr>
        <w:t>форм,</w:t>
      </w:r>
      <w:r w:rsidRPr="000977F7">
        <w:rPr>
          <w:rFonts w:asciiTheme="majorHAnsi" w:hAnsiTheme="majorHAnsi"/>
          <w:spacing w:val="10"/>
          <w:sz w:val="20"/>
          <w:szCs w:val="20"/>
        </w:rPr>
        <w:t xml:space="preserve"> </w:t>
      </w:r>
      <w:r w:rsidRPr="000977F7">
        <w:rPr>
          <w:rFonts w:asciiTheme="majorHAnsi" w:hAnsiTheme="majorHAnsi"/>
          <w:sz w:val="20"/>
          <w:szCs w:val="20"/>
        </w:rPr>
        <w:t>обсягу,</w:t>
      </w:r>
      <w:r w:rsidRPr="000977F7">
        <w:rPr>
          <w:rFonts w:asciiTheme="majorHAnsi" w:hAnsiTheme="majorHAnsi"/>
          <w:spacing w:val="10"/>
          <w:sz w:val="20"/>
          <w:szCs w:val="20"/>
        </w:rPr>
        <w:t xml:space="preserve"> </w:t>
      </w:r>
      <w:r w:rsidRPr="000977F7">
        <w:rPr>
          <w:rFonts w:asciiTheme="majorHAnsi" w:hAnsiTheme="majorHAnsi"/>
          <w:sz w:val="20"/>
          <w:szCs w:val="20"/>
        </w:rPr>
        <w:t>техніки</w:t>
      </w:r>
      <w:r w:rsidRPr="000977F7">
        <w:rPr>
          <w:rFonts w:asciiTheme="majorHAnsi" w:hAnsiTheme="majorHAnsi"/>
          <w:spacing w:val="10"/>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2"/>
          <w:sz w:val="20"/>
          <w:szCs w:val="20"/>
        </w:rPr>
        <w:t xml:space="preserve"> </w:t>
      </w:r>
      <w:r w:rsidRPr="000977F7">
        <w:rPr>
          <w:rFonts w:asciiTheme="majorHAnsi" w:hAnsiTheme="majorHAnsi"/>
          <w:sz w:val="20"/>
          <w:szCs w:val="20"/>
        </w:rPr>
        <w:t>зобов’язання,</w:t>
      </w:r>
      <w:r w:rsidRPr="000977F7">
        <w:rPr>
          <w:rFonts w:asciiTheme="majorHAnsi" w:hAnsiTheme="majorHAnsi"/>
          <w:spacing w:val="16"/>
          <w:sz w:val="20"/>
          <w:szCs w:val="20"/>
        </w:rPr>
        <w:t xml:space="preserve"> </w:t>
      </w:r>
      <w:r w:rsidRPr="000977F7">
        <w:rPr>
          <w:rFonts w:asciiTheme="majorHAnsi" w:hAnsiTheme="majorHAnsi"/>
          <w:sz w:val="20"/>
          <w:szCs w:val="20"/>
        </w:rPr>
        <w:t>надане</w:t>
      </w:r>
      <w:r w:rsidRPr="000977F7">
        <w:rPr>
          <w:rFonts w:asciiTheme="majorHAnsi" w:hAnsiTheme="majorHAnsi"/>
          <w:spacing w:val="19"/>
          <w:sz w:val="20"/>
          <w:szCs w:val="20"/>
        </w:rPr>
        <w:t xml:space="preserve"> </w:t>
      </w:r>
      <w:r w:rsidRPr="000977F7">
        <w:rPr>
          <w:rFonts w:asciiTheme="majorHAnsi" w:hAnsiTheme="majorHAnsi"/>
          <w:sz w:val="20"/>
          <w:szCs w:val="20"/>
        </w:rPr>
        <w:t>однією</w:t>
      </w:r>
      <w:r w:rsidRPr="000977F7">
        <w:rPr>
          <w:rFonts w:asciiTheme="majorHAnsi" w:hAnsiTheme="majorHAnsi"/>
          <w:spacing w:val="16"/>
          <w:sz w:val="20"/>
          <w:szCs w:val="20"/>
        </w:rPr>
        <w:t xml:space="preserve"> </w:t>
      </w:r>
      <w:r w:rsidRPr="000977F7">
        <w:rPr>
          <w:rFonts w:asciiTheme="majorHAnsi" w:hAnsiTheme="majorHAnsi"/>
          <w:sz w:val="20"/>
          <w:szCs w:val="20"/>
        </w:rPr>
        <w:t>з</w:t>
      </w:r>
      <w:r w:rsidRPr="000977F7">
        <w:rPr>
          <w:rFonts w:asciiTheme="majorHAnsi" w:hAnsiTheme="majorHAnsi"/>
          <w:spacing w:val="14"/>
          <w:sz w:val="20"/>
          <w:szCs w:val="20"/>
        </w:rPr>
        <w:t xml:space="preserve"> </w:t>
      </w:r>
      <w:r w:rsidRPr="000977F7">
        <w:rPr>
          <w:rFonts w:asciiTheme="majorHAnsi" w:hAnsiTheme="majorHAnsi"/>
          <w:sz w:val="20"/>
          <w:szCs w:val="20"/>
        </w:rPr>
        <w:t>сторін</w:t>
      </w:r>
      <w:r w:rsidRPr="000977F7">
        <w:rPr>
          <w:rFonts w:asciiTheme="majorHAnsi" w:hAnsiTheme="majorHAnsi"/>
          <w:spacing w:val="17"/>
          <w:sz w:val="20"/>
          <w:szCs w:val="20"/>
        </w:rPr>
        <w:t xml:space="preserve"> </w:t>
      </w:r>
      <w:r w:rsidRPr="000977F7">
        <w:rPr>
          <w:rFonts w:asciiTheme="majorHAnsi" w:hAnsiTheme="majorHAnsi"/>
          <w:sz w:val="20"/>
          <w:szCs w:val="20"/>
        </w:rPr>
        <w:t>умовами</w:t>
      </w:r>
      <w:r w:rsidRPr="000977F7">
        <w:rPr>
          <w:rFonts w:asciiTheme="majorHAnsi" w:hAnsiTheme="majorHAnsi"/>
          <w:spacing w:val="-47"/>
          <w:sz w:val="20"/>
          <w:szCs w:val="20"/>
        </w:rPr>
        <w:t xml:space="preserve"> </w:t>
      </w:r>
      <w:r w:rsidRPr="000977F7">
        <w:rPr>
          <w:rFonts w:asciiTheme="majorHAnsi" w:hAnsiTheme="majorHAnsi"/>
          <w:sz w:val="20"/>
          <w:szCs w:val="20"/>
        </w:rPr>
        <w:t>договору,</w:t>
      </w:r>
      <w:r w:rsidRPr="000977F7">
        <w:rPr>
          <w:rFonts w:asciiTheme="majorHAnsi" w:hAnsiTheme="majorHAnsi"/>
          <w:spacing w:val="13"/>
          <w:sz w:val="20"/>
          <w:szCs w:val="20"/>
        </w:rPr>
        <w:t xml:space="preserve"> </w:t>
      </w:r>
      <w:r w:rsidRPr="000977F7">
        <w:rPr>
          <w:rFonts w:asciiTheme="majorHAnsi" w:hAnsiTheme="majorHAnsi"/>
          <w:sz w:val="20"/>
          <w:szCs w:val="20"/>
        </w:rPr>
        <w:t>або</w:t>
      </w:r>
      <w:r w:rsidRPr="000977F7">
        <w:rPr>
          <w:rFonts w:asciiTheme="majorHAnsi" w:hAnsiTheme="majorHAnsi"/>
          <w:spacing w:val="13"/>
          <w:sz w:val="20"/>
          <w:szCs w:val="20"/>
        </w:rPr>
        <w:t xml:space="preserve"> </w:t>
      </w:r>
      <w:r w:rsidRPr="000977F7">
        <w:rPr>
          <w:rFonts w:asciiTheme="majorHAnsi" w:hAnsiTheme="majorHAnsi"/>
          <w:sz w:val="20"/>
          <w:szCs w:val="20"/>
        </w:rPr>
        <w:t>право</w:t>
      </w:r>
      <w:r w:rsidRPr="000977F7">
        <w:rPr>
          <w:rFonts w:asciiTheme="majorHAnsi" w:hAnsiTheme="majorHAnsi"/>
          <w:spacing w:val="14"/>
          <w:sz w:val="20"/>
          <w:szCs w:val="20"/>
        </w:rPr>
        <w:t xml:space="preserve"> </w:t>
      </w:r>
      <w:r w:rsidRPr="000977F7">
        <w:rPr>
          <w:rFonts w:asciiTheme="majorHAnsi" w:hAnsiTheme="majorHAnsi"/>
          <w:sz w:val="20"/>
          <w:szCs w:val="20"/>
        </w:rPr>
        <w:t>відмови</w:t>
      </w:r>
      <w:r w:rsidRPr="000977F7">
        <w:rPr>
          <w:rFonts w:asciiTheme="majorHAnsi" w:hAnsiTheme="majorHAnsi"/>
          <w:spacing w:val="11"/>
          <w:sz w:val="20"/>
          <w:szCs w:val="20"/>
        </w:rPr>
        <w:t xml:space="preserve"> </w:t>
      </w:r>
      <w:r w:rsidRPr="000977F7">
        <w:rPr>
          <w:rFonts w:asciiTheme="majorHAnsi" w:hAnsiTheme="majorHAnsi"/>
          <w:sz w:val="20"/>
          <w:szCs w:val="20"/>
        </w:rPr>
        <w:t>від</w:t>
      </w:r>
      <w:r w:rsidRPr="000977F7">
        <w:rPr>
          <w:rFonts w:asciiTheme="majorHAnsi" w:hAnsiTheme="majorHAnsi"/>
          <w:spacing w:val="15"/>
          <w:sz w:val="20"/>
          <w:szCs w:val="20"/>
        </w:rPr>
        <w:t xml:space="preserve"> </w:t>
      </w:r>
      <w:r w:rsidRPr="000977F7">
        <w:rPr>
          <w:rFonts w:asciiTheme="majorHAnsi" w:hAnsiTheme="majorHAnsi"/>
          <w:sz w:val="20"/>
          <w:szCs w:val="20"/>
        </w:rPr>
        <w:t>виконання</w:t>
      </w:r>
      <w:r w:rsidRPr="000977F7">
        <w:rPr>
          <w:rFonts w:asciiTheme="majorHAnsi" w:hAnsiTheme="majorHAnsi"/>
          <w:spacing w:val="12"/>
          <w:sz w:val="20"/>
          <w:szCs w:val="20"/>
        </w:rPr>
        <w:t xml:space="preserve"> </w:t>
      </w:r>
      <w:r w:rsidRPr="000977F7">
        <w:rPr>
          <w:rFonts w:asciiTheme="majorHAnsi" w:hAnsiTheme="majorHAnsi"/>
          <w:sz w:val="20"/>
          <w:szCs w:val="20"/>
        </w:rPr>
        <w:t>зобов’язання</w:t>
      </w:r>
      <w:r w:rsidRPr="000977F7">
        <w:rPr>
          <w:rFonts w:asciiTheme="majorHAnsi" w:hAnsiTheme="majorHAnsi"/>
          <w:spacing w:val="7"/>
          <w:sz w:val="20"/>
          <w:szCs w:val="20"/>
        </w:rPr>
        <w:t xml:space="preserve"> </w:t>
      </w:r>
      <w:r w:rsidRPr="000977F7">
        <w:rPr>
          <w:rFonts w:asciiTheme="majorHAnsi" w:hAnsiTheme="majorHAnsi"/>
          <w:sz w:val="20"/>
          <w:szCs w:val="20"/>
        </w:rPr>
        <w:t>за</w:t>
      </w:r>
      <w:r w:rsidRPr="000977F7">
        <w:rPr>
          <w:rFonts w:asciiTheme="majorHAnsi" w:hAnsiTheme="majorHAnsi"/>
          <w:spacing w:val="8"/>
          <w:sz w:val="20"/>
          <w:szCs w:val="20"/>
        </w:rPr>
        <w:t xml:space="preserve"> </w:t>
      </w:r>
      <w:r w:rsidRPr="000977F7">
        <w:rPr>
          <w:rFonts w:asciiTheme="majorHAnsi" w:hAnsiTheme="majorHAnsi"/>
          <w:sz w:val="20"/>
          <w:szCs w:val="20"/>
        </w:rPr>
        <w:t>обставин,</w:t>
      </w:r>
      <w:r w:rsidRPr="000977F7">
        <w:rPr>
          <w:rFonts w:asciiTheme="majorHAnsi" w:hAnsiTheme="majorHAnsi"/>
          <w:spacing w:val="8"/>
          <w:sz w:val="20"/>
          <w:szCs w:val="20"/>
        </w:rPr>
        <w:t xml:space="preserve"> </w:t>
      </w:r>
      <w:r w:rsidRPr="000977F7">
        <w:rPr>
          <w:rFonts w:asciiTheme="majorHAnsi" w:hAnsiTheme="majorHAnsi"/>
          <w:sz w:val="20"/>
          <w:szCs w:val="20"/>
        </w:rPr>
        <w:t>обумовлених</w:t>
      </w:r>
      <w:r w:rsidRPr="000977F7">
        <w:rPr>
          <w:rFonts w:asciiTheme="majorHAnsi" w:hAnsiTheme="majorHAnsi"/>
          <w:spacing w:val="7"/>
          <w:sz w:val="20"/>
          <w:szCs w:val="20"/>
        </w:rPr>
        <w:t xml:space="preserve"> </w:t>
      </w:r>
      <w:r w:rsidRPr="000977F7">
        <w:rPr>
          <w:rFonts w:asciiTheme="majorHAnsi" w:hAnsiTheme="majorHAnsi"/>
          <w:sz w:val="20"/>
          <w:szCs w:val="20"/>
        </w:rPr>
        <w:t>договором</w:t>
      </w:r>
      <w:r w:rsidRPr="000977F7">
        <w:rPr>
          <w:rFonts w:asciiTheme="majorHAnsi" w:hAnsiTheme="majorHAnsi"/>
          <w:spacing w:val="1"/>
          <w:sz w:val="20"/>
          <w:szCs w:val="20"/>
        </w:rPr>
        <w:t xml:space="preserve"> </w:t>
      </w:r>
    </w:p>
    <w:p w14:paraId="578EA968"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705CC9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ОРГАН </w:t>
      </w:r>
      <w:r w:rsidRPr="000977F7">
        <w:rPr>
          <w:rFonts w:asciiTheme="majorHAnsi" w:hAnsiTheme="majorHAnsi"/>
          <w:sz w:val="20"/>
          <w:szCs w:val="20"/>
        </w:rPr>
        <w:t>–</w:t>
      </w:r>
    </w:p>
    <w:p w14:paraId="5487174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pacing w:val="-47"/>
          <w:sz w:val="20"/>
          <w:szCs w:val="20"/>
        </w:rPr>
        <w:t xml:space="preserve"> </w:t>
      </w:r>
      <w:r w:rsidRPr="000977F7">
        <w:rPr>
          <w:rFonts w:asciiTheme="majorHAnsi" w:hAnsiTheme="majorHAnsi"/>
          <w:sz w:val="20"/>
          <w:szCs w:val="20"/>
        </w:rPr>
        <w:t>BODY –</w:t>
      </w:r>
    </w:p>
    <w:p w14:paraId="5D949E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Юридична чи адміністративна одиниця, яка має певні</w:t>
      </w:r>
      <w:r w:rsidRPr="000977F7">
        <w:rPr>
          <w:rFonts w:asciiTheme="majorHAnsi" w:hAnsiTheme="majorHAnsi"/>
          <w:spacing w:val="1"/>
          <w:sz w:val="20"/>
          <w:szCs w:val="20"/>
        </w:rPr>
        <w:t xml:space="preserve"> </w:t>
      </w:r>
      <w:r w:rsidRPr="000977F7">
        <w:rPr>
          <w:rFonts w:asciiTheme="majorHAnsi" w:hAnsiTheme="majorHAnsi"/>
          <w:sz w:val="20"/>
          <w:szCs w:val="20"/>
        </w:rPr>
        <w:t>повноваження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відповідну</w:t>
      </w:r>
      <w:r w:rsidRPr="000977F7">
        <w:rPr>
          <w:rFonts w:asciiTheme="majorHAnsi" w:hAnsiTheme="majorHAnsi"/>
          <w:spacing w:val="1"/>
          <w:sz w:val="20"/>
          <w:szCs w:val="20"/>
        </w:rPr>
        <w:t xml:space="preserve"> </w:t>
      </w:r>
      <w:r w:rsidRPr="000977F7">
        <w:rPr>
          <w:rFonts w:asciiTheme="majorHAnsi" w:hAnsiTheme="majorHAnsi"/>
          <w:sz w:val="20"/>
          <w:szCs w:val="20"/>
        </w:rPr>
        <w:t>структуру</w:t>
      </w:r>
    </w:p>
    <w:p w14:paraId="298E150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 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4AC8D9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163A99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Прикладами органів є організації, органи влади, фірми,</w:t>
      </w:r>
      <w:r w:rsidRPr="000977F7">
        <w:rPr>
          <w:rFonts w:asciiTheme="majorHAnsi" w:hAnsiTheme="majorHAnsi"/>
          <w:spacing w:val="1"/>
          <w:sz w:val="20"/>
          <w:szCs w:val="20"/>
        </w:rPr>
        <w:t xml:space="preserve"> </w:t>
      </w:r>
      <w:r w:rsidRPr="000977F7">
        <w:rPr>
          <w:rFonts w:asciiTheme="majorHAnsi" w:hAnsiTheme="majorHAnsi"/>
          <w:sz w:val="20"/>
          <w:szCs w:val="20"/>
        </w:rPr>
        <w:t>установи</w:t>
      </w:r>
    </w:p>
    <w:p w14:paraId="6114AB3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ОРГАН</w:t>
      </w:r>
      <w:r w:rsidRPr="000977F7">
        <w:rPr>
          <w:color w:val="auto"/>
          <w:spacing w:val="-4"/>
          <w:sz w:val="20"/>
          <w:szCs w:val="20"/>
        </w:rPr>
        <w:t xml:space="preserve"> </w:t>
      </w:r>
      <w:r w:rsidRPr="000977F7">
        <w:rPr>
          <w:color w:val="auto"/>
          <w:sz w:val="20"/>
          <w:szCs w:val="20"/>
        </w:rPr>
        <w:t>АКРЕДИТАЦІЇ</w:t>
      </w:r>
      <w:r w:rsidRPr="000977F7">
        <w:rPr>
          <w:color w:val="auto"/>
          <w:spacing w:val="-3"/>
          <w:sz w:val="20"/>
          <w:szCs w:val="20"/>
        </w:rPr>
        <w:t xml:space="preserve"> </w:t>
      </w:r>
      <w:r w:rsidRPr="000977F7">
        <w:rPr>
          <w:color w:val="auto"/>
          <w:sz w:val="20"/>
          <w:szCs w:val="20"/>
        </w:rPr>
        <w:t>–</w:t>
      </w:r>
    </w:p>
    <w:p w14:paraId="70FA68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ACCREDITATION</w:t>
      </w:r>
      <w:r w:rsidRPr="000977F7">
        <w:rPr>
          <w:rFonts w:asciiTheme="majorHAnsi" w:hAnsiTheme="majorHAnsi"/>
          <w:spacing w:val="-2"/>
          <w:sz w:val="20"/>
          <w:szCs w:val="20"/>
        </w:rPr>
        <w:t xml:space="preserve"> </w:t>
      </w:r>
      <w:r w:rsidRPr="000977F7">
        <w:rPr>
          <w:rFonts w:asciiTheme="majorHAnsi" w:hAnsiTheme="majorHAnsi"/>
          <w:sz w:val="20"/>
          <w:szCs w:val="20"/>
        </w:rPr>
        <w:t>BODY –</w:t>
      </w:r>
    </w:p>
    <w:p w14:paraId="518E98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 який керує системою акредитації та проводить</w:t>
      </w:r>
      <w:r w:rsidRPr="000977F7">
        <w:rPr>
          <w:rFonts w:asciiTheme="majorHAnsi" w:hAnsiTheme="majorHAnsi"/>
          <w:spacing w:val="1"/>
          <w:sz w:val="20"/>
          <w:szCs w:val="20"/>
        </w:rPr>
        <w:t xml:space="preserve"> </w:t>
      </w:r>
      <w:r w:rsidRPr="000977F7">
        <w:rPr>
          <w:rFonts w:asciiTheme="majorHAnsi" w:hAnsiTheme="majorHAnsi"/>
          <w:sz w:val="20"/>
          <w:szCs w:val="20"/>
        </w:rPr>
        <w:t>акредитацію</w:t>
      </w:r>
    </w:p>
    <w:p w14:paraId="666C177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 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5BCC396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ОРГАН</w:t>
      </w:r>
      <w:r w:rsidRPr="000977F7">
        <w:rPr>
          <w:color w:val="auto"/>
          <w:spacing w:val="-6"/>
          <w:sz w:val="20"/>
          <w:szCs w:val="20"/>
        </w:rPr>
        <w:t xml:space="preserve"> </w:t>
      </w:r>
      <w:r w:rsidRPr="000977F7">
        <w:rPr>
          <w:color w:val="auto"/>
          <w:sz w:val="20"/>
          <w:szCs w:val="20"/>
        </w:rPr>
        <w:t>АКРЕДИТАЦІЇ</w:t>
      </w:r>
      <w:r w:rsidRPr="000977F7">
        <w:rPr>
          <w:color w:val="auto"/>
          <w:spacing w:val="-6"/>
          <w:sz w:val="20"/>
          <w:szCs w:val="20"/>
        </w:rPr>
        <w:t xml:space="preserve"> </w:t>
      </w:r>
      <w:r w:rsidRPr="000977F7">
        <w:rPr>
          <w:color w:val="auto"/>
          <w:sz w:val="20"/>
          <w:szCs w:val="20"/>
        </w:rPr>
        <w:t>ЛАБОРАТОРІЙ–</w:t>
      </w:r>
    </w:p>
    <w:p w14:paraId="44C2AE6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LABORATORY</w:t>
      </w:r>
      <w:r w:rsidRPr="004D2D14">
        <w:rPr>
          <w:rFonts w:asciiTheme="majorHAnsi" w:hAnsiTheme="majorHAnsi"/>
          <w:spacing w:val="-2"/>
          <w:sz w:val="20"/>
          <w:szCs w:val="20"/>
          <w:lang w:val="uk-UA"/>
        </w:rPr>
        <w:t xml:space="preserve"> </w:t>
      </w:r>
      <w:r w:rsidRPr="000977F7">
        <w:rPr>
          <w:rFonts w:asciiTheme="majorHAnsi" w:hAnsiTheme="majorHAnsi"/>
          <w:sz w:val="20"/>
          <w:szCs w:val="20"/>
        </w:rPr>
        <w:t>ACCREDITATION</w:t>
      </w:r>
      <w:r w:rsidRPr="004D2D14">
        <w:rPr>
          <w:rFonts w:asciiTheme="majorHAnsi" w:hAnsiTheme="majorHAnsi"/>
          <w:spacing w:val="-3"/>
          <w:sz w:val="20"/>
          <w:szCs w:val="20"/>
          <w:lang w:val="uk-UA"/>
        </w:rPr>
        <w:t xml:space="preserve"> </w:t>
      </w:r>
      <w:r w:rsidRPr="000977F7">
        <w:rPr>
          <w:rFonts w:asciiTheme="majorHAnsi" w:hAnsiTheme="majorHAnsi"/>
          <w:sz w:val="20"/>
          <w:szCs w:val="20"/>
        </w:rPr>
        <w:t>BODY</w:t>
      </w:r>
      <w:r w:rsidRPr="004D2D14">
        <w:rPr>
          <w:rFonts w:asciiTheme="majorHAnsi" w:hAnsiTheme="majorHAnsi"/>
          <w:sz w:val="20"/>
          <w:szCs w:val="20"/>
          <w:lang w:val="uk-UA"/>
        </w:rPr>
        <w:t xml:space="preserve"> –</w:t>
      </w:r>
    </w:p>
    <w:p w14:paraId="7BA8C58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Орган, який керує системою акредитації лабораторій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проводить акредитацію</w:t>
      </w:r>
    </w:p>
    <w:p w14:paraId="14ADF94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3021 – 95</w:t>
      </w:r>
    </w:p>
    <w:p w14:paraId="713FCAD0"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ОРГАН ВЛАДИ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3754811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AUTORITY –</w:t>
      </w:r>
    </w:p>
    <w:p w14:paraId="3FE99F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w:t>
      </w:r>
      <w:r w:rsidRPr="000977F7">
        <w:rPr>
          <w:rFonts w:asciiTheme="majorHAnsi" w:hAnsiTheme="majorHAnsi"/>
          <w:spacing w:val="-5"/>
          <w:sz w:val="20"/>
          <w:szCs w:val="20"/>
        </w:rPr>
        <w:t xml:space="preserve"> </w:t>
      </w:r>
      <w:r w:rsidRPr="000977F7">
        <w:rPr>
          <w:rFonts w:asciiTheme="majorHAnsi" w:hAnsiTheme="majorHAnsi"/>
          <w:sz w:val="20"/>
          <w:szCs w:val="20"/>
        </w:rPr>
        <w:t>що</w:t>
      </w:r>
      <w:r w:rsidRPr="000977F7">
        <w:rPr>
          <w:rFonts w:asciiTheme="majorHAnsi" w:hAnsiTheme="majorHAnsi"/>
          <w:spacing w:val="-4"/>
          <w:sz w:val="20"/>
          <w:szCs w:val="20"/>
        </w:rPr>
        <w:t xml:space="preserve"> </w:t>
      </w:r>
      <w:r w:rsidRPr="000977F7">
        <w:rPr>
          <w:rFonts w:asciiTheme="majorHAnsi" w:hAnsiTheme="majorHAnsi"/>
          <w:sz w:val="20"/>
          <w:szCs w:val="20"/>
        </w:rPr>
        <w:t>має</w:t>
      </w:r>
      <w:r w:rsidRPr="000977F7">
        <w:rPr>
          <w:rFonts w:asciiTheme="majorHAnsi" w:hAnsiTheme="majorHAnsi"/>
          <w:spacing w:val="-4"/>
          <w:sz w:val="20"/>
          <w:szCs w:val="20"/>
        </w:rPr>
        <w:t xml:space="preserve"> </w:t>
      </w:r>
      <w:r w:rsidRPr="000977F7">
        <w:rPr>
          <w:rFonts w:asciiTheme="majorHAnsi" w:hAnsiTheme="majorHAnsi"/>
          <w:sz w:val="20"/>
          <w:szCs w:val="20"/>
        </w:rPr>
        <w:t>юридичні</w:t>
      </w:r>
      <w:r w:rsidRPr="000977F7">
        <w:rPr>
          <w:rFonts w:asciiTheme="majorHAnsi" w:hAnsiTheme="majorHAnsi"/>
          <w:spacing w:val="-5"/>
          <w:sz w:val="20"/>
          <w:szCs w:val="20"/>
        </w:rPr>
        <w:t xml:space="preserve"> </w:t>
      </w:r>
      <w:r w:rsidRPr="000977F7">
        <w:rPr>
          <w:rFonts w:asciiTheme="majorHAnsi" w:hAnsiTheme="majorHAnsi"/>
          <w:sz w:val="20"/>
          <w:szCs w:val="20"/>
        </w:rPr>
        <w:t>повноваження</w:t>
      </w:r>
    </w:p>
    <w:p w14:paraId="00A767F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47"/>
          <w:sz w:val="20"/>
          <w:szCs w:val="20"/>
        </w:rPr>
        <w:t xml:space="preserve"> </w:t>
      </w: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14D01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w:t>
      </w:r>
      <w:r w:rsidRPr="000977F7">
        <w:rPr>
          <w:rFonts w:asciiTheme="majorHAnsi" w:hAnsiTheme="majorHAnsi"/>
          <w:spacing w:val="-5"/>
          <w:sz w:val="20"/>
          <w:szCs w:val="20"/>
        </w:rPr>
        <w:t xml:space="preserve"> </w:t>
      </w:r>
      <w:r w:rsidRPr="000977F7">
        <w:rPr>
          <w:rFonts w:asciiTheme="majorHAnsi" w:hAnsiTheme="majorHAnsi"/>
          <w:sz w:val="20"/>
          <w:szCs w:val="20"/>
        </w:rPr>
        <w:t>влади</w:t>
      </w:r>
      <w:r w:rsidRPr="000977F7">
        <w:rPr>
          <w:rFonts w:asciiTheme="majorHAnsi" w:hAnsiTheme="majorHAnsi"/>
          <w:spacing w:val="-5"/>
          <w:sz w:val="20"/>
          <w:szCs w:val="20"/>
        </w:rPr>
        <w:t xml:space="preserve"> </w:t>
      </w:r>
      <w:r w:rsidRPr="000977F7">
        <w:rPr>
          <w:rFonts w:asciiTheme="majorHAnsi" w:hAnsiTheme="majorHAnsi"/>
          <w:sz w:val="20"/>
          <w:szCs w:val="20"/>
        </w:rPr>
        <w:t>може</w:t>
      </w:r>
      <w:r w:rsidRPr="000977F7">
        <w:rPr>
          <w:rFonts w:asciiTheme="majorHAnsi" w:hAnsiTheme="majorHAnsi"/>
          <w:spacing w:val="-3"/>
          <w:sz w:val="20"/>
          <w:szCs w:val="20"/>
        </w:rPr>
        <w:t xml:space="preserve"> </w:t>
      </w:r>
      <w:r w:rsidRPr="000977F7">
        <w:rPr>
          <w:rFonts w:asciiTheme="majorHAnsi" w:hAnsiTheme="majorHAnsi"/>
          <w:sz w:val="20"/>
          <w:szCs w:val="20"/>
        </w:rPr>
        <w:t>бути</w:t>
      </w:r>
      <w:r w:rsidRPr="000977F7">
        <w:rPr>
          <w:rFonts w:asciiTheme="majorHAnsi" w:hAnsiTheme="majorHAnsi"/>
          <w:spacing w:val="-3"/>
          <w:sz w:val="20"/>
          <w:szCs w:val="20"/>
        </w:rPr>
        <w:t xml:space="preserve"> </w:t>
      </w:r>
      <w:r w:rsidRPr="000977F7">
        <w:rPr>
          <w:rFonts w:asciiTheme="majorHAnsi" w:hAnsiTheme="majorHAnsi"/>
          <w:sz w:val="20"/>
          <w:szCs w:val="20"/>
        </w:rPr>
        <w:t>національним</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4"/>
          <w:sz w:val="20"/>
          <w:szCs w:val="20"/>
        </w:rPr>
        <w:t xml:space="preserve"> </w:t>
      </w:r>
      <w:r w:rsidRPr="000977F7">
        <w:rPr>
          <w:rFonts w:asciiTheme="majorHAnsi" w:hAnsiTheme="majorHAnsi"/>
          <w:sz w:val="20"/>
          <w:szCs w:val="20"/>
        </w:rPr>
        <w:t>місцевим</w:t>
      </w:r>
    </w:p>
    <w:p w14:paraId="72505AC2" w14:textId="77777777" w:rsidR="0097612F" w:rsidRPr="000977F7" w:rsidRDefault="0097612F" w:rsidP="000977F7">
      <w:pPr>
        <w:pStyle w:val="7"/>
        <w:tabs>
          <w:tab w:val="left" w:pos="284"/>
        </w:tabs>
        <w:spacing w:before="0" w:line="240" w:lineRule="auto"/>
        <w:ind w:left="170"/>
        <w:mirrorIndents/>
        <w:jc w:val="both"/>
        <w:rPr>
          <w:color w:val="auto"/>
          <w:spacing w:val="-47"/>
          <w:sz w:val="20"/>
          <w:szCs w:val="20"/>
        </w:rPr>
      </w:pPr>
      <w:r w:rsidRPr="000977F7">
        <w:rPr>
          <w:color w:val="auto"/>
          <w:sz w:val="20"/>
          <w:szCs w:val="20"/>
        </w:rPr>
        <w:t>ОРГАН</w:t>
      </w:r>
      <w:r w:rsidRPr="000977F7">
        <w:rPr>
          <w:color w:val="auto"/>
          <w:spacing w:val="1"/>
          <w:sz w:val="20"/>
          <w:szCs w:val="20"/>
        </w:rPr>
        <w:t xml:space="preserve"> </w:t>
      </w:r>
      <w:r w:rsidRPr="000977F7">
        <w:rPr>
          <w:color w:val="auto"/>
          <w:sz w:val="20"/>
          <w:szCs w:val="20"/>
        </w:rPr>
        <w:t>АКРЕДИТАЦІЇ –</w:t>
      </w:r>
      <w:r w:rsidRPr="000977F7">
        <w:rPr>
          <w:color w:val="auto"/>
          <w:spacing w:val="-47"/>
          <w:sz w:val="20"/>
          <w:szCs w:val="20"/>
        </w:rPr>
        <w:t xml:space="preserve"> </w:t>
      </w:r>
    </w:p>
    <w:p w14:paraId="0FB6B283"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ACCREDITATION</w:t>
      </w:r>
      <w:r w:rsidRPr="000977F7">
        <w:rPr>
          <w:b w:val="0"/>
          <w:bCs/>
          <w:color w:val="auto"/>
          <w:spacing w:val="-12"/>
          <w:sz w:val="20"/>
          <w:szCs w:val="20"/>
        </w:rPr>
        <w:t xml:space="preserve"> </w:t>
      </w:r>
      <w:r w:rsidRPr="000977F7">
        <w:rPr>
          <w:b w:val="0"/>
          <w:bCs/>
          <w:color w:val="auto"/>
          <w:sz w:val="20"/>
          <w:szCs w:val="20"/>
        </w:rPr>
        <w:t>BODY -</w:t>
      </w:r>
    </w:p>
    <w:p w14:paraId="6EEB08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w:t>
      </w:r>
      <w:r w:rsidRPr="000977F7">
        <w:rPr>
          <w:rFonts w:asciiTheme="majorHAnsi" w:hAnsiTheme="majorHAnsi"/>
          <w:spacing w:val="-5"/>
          <w:sz w:val="20"/>
          <w:szCs w:val="20"/>
        </w:rPr>
        <w:t xml:space="preserve"> </w:t>
      </w:r>
      <w:r w:rsidRPr="000977F7">
        <w:rPr>
          <w:rFonts w:asciiTheme="majorHAnsi" w:hAnsiTheme="majorHAnsi"/>
          <w:sz w:val="20"/>
          <w:szCs w:val="20"/>
        </w:rPr>
        <w:t>який</w:t>
      </w:r>
      <w:r w:rsidRPr="000977F7">
        <w:rPr>
          <w:rFonts w:asciiTheme="majorHAnsi" w:hAnsiTheme="majorHAnsi"/>
          <w:spacing w:val="-3"/>
          <w:sz w:val="20"/>
          <w:szCs w:val="20"/>
        </w:rPr>
        <w:t xml:space="preserve"> </w:t>
      </w:r>
      <w:r w:rsidRPr="000977F7">
        <w:rPr>
          <w:rFonts w:asciiTheme="majorHAnsi" w:hAnsiTheme="majorHAnsi"/>
          <w:sz w:val="20"/>
          <w:szCs w:val="20"/>
        </w:rPr>
        <w:t>проводить</w:t>
      </w:r>
      <w:r w:rsidRPr="000977F7">
        <w:rPr>
          <w:rFonts w:asciiTheme="majorHAnsi" w:hAnsiTheme="majorHAnsi"/>
          <w:spacing w:val="-4"/>
          <w:sz w:val="20"/>
          <w:szCs w:val="20"/>
        </w:rPr>
        <w:t xml:space="preserve"> </w:t>
      </w:r>
      <w:r w:rsidRPr="000977F7">
        <w:rPr>
          <w:rFonts w:asciiTheme="majorHAnsi" w:hAnsiTheme="majorHAnsi"/>
          <w:sz w:val="20"/>
          <w:szCs w:val="20"/>
        </w:rPr>
        <w:t>акредитацію</w:t>
      </w:r>
    </w:p>
    <w:p w14:paraId="49AC70D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Закон</w:t>
      </w:r>
      <w:r w:rsidRPr="000977F7">
        <w:rPr>
          <w:rFonts w:asciiTheme="majorHAnsi" w:hAnsiTheme="majorHAnsi"/>
          <w:i/>
          <w:spacing w:val="45"/>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46"/>
          <w:sz w:val="20"/>
          <w:szCs w:val="20"/>
        </w:rPr>
        <w:t xml:space="preserve"> "</w:t>
      </w:r>
      <w:r w:rsidRPr="000977F7">
        <w:rPr>
          <w:rFonts w:asciiTheme="majorHAnsi" w:hAnsiTheme="majorHAnsi"/>
          <w:i/>
          <w:sz w:val="20"/>
          <w:szCs w:val="20"/>
        </w:rPr>
        <w:t>Про</w:t>
      </w:r>
      <w:r w:rsidRPr="000977F7">
        <w:rPr>
          <w:rFonts w:asciiTheme="majorHAnsi" w:hAnsiTheme="majorHAnsi"/>
          <w:i/>
          <w:spacing w:val="46"/>
          <w:sz w:val="20"/>
          <w:szCs w:val="20"/>
        </w:rPr>
        <w:t xml:space="preserve"> </w:t>
      </w:r>
      <w:r w:rsidRPr="000977F7">
        <w:rPr>
          <w:rFonts w:asciiTheme="majorHAnsi" w:hAnsiTheme="majorHAnsi"/>
          <w:i/>
          <w:sz w:val="20"/>
          <w:szCs w:val="20"/>
        </w:rPr>
        <w:t>акредитацію</w:t>
      </w:r>
      <w:r w:rsidRPr="000977F7">
        <w:rPr>
          <w:rFonts w:asciiTheme="majorHAnsi" w:hAnsiTheme="majorHAnsi"/>
          <w:i/>
          <w:spacing w:val="47"/>
          <w:sz w:val="20"/>
          <w:szCs w:val="20"/>
        </w:rPr>
        <w:t xml:space="preserve"> </w:t>
      </w:r>
      <w:r w:rsidRPr="000977F7">
        <w:rPr>
          <w:rFonts w:asciiTheme="majorHAnsi" w:hAnsiTheme="majorHAnsi"/>
          <w:i/>
          <w:sz w:val="20"/>
          <w:szCs w:val="20"/>
        </w:rPr>
        <w:t>органів</w:t>
      </w:r>
      <w:r w:rsidRPr="000977F7">
        <w:rPr>
          <w:rFonts w:asciiTheme="majorHAnsi" w:hAnsiTheme="majorHAnsi"/>
          <w:i/>
          <w:spacing w:val="45"/>
          <w:sz w:val="20"/>
          <w:szCs w:val="20"/>
        </w:rPr>
        <w:t xml:space="preserve"> </w:t>
      </w:r>
      <w:r w:rsidRPr="000977F7">
        <w:rPr>
          <w:rFonts w:asciiTheme="majorHAnsi" w:hAnsiTheme="majorHAnsi"/>
          <w:i/>
          <w:sz w:val="20"/>
          <w:szCs w:val="20"/>
        </w:rPr>
        <w:t>з</w:t>
      </w:r>
      <w:r w:rsidRPr="000977F7">
        <w:rPr>
          <w:rFonts w:asciiTheme="majorHAnsi" w:hAnsiTheme="majorHAnsi"/>
          <w:i/>
          <w:spacing w:val="45"/>
          <w:sz w:val="20"/>
          <w:szCs w:val="20"/>
        </w:rPr>
        <w:t xml:space="preserve"> </w:t>
      </w:r>
      <w:r w:rsidRPr="000977F7">
        <w:rPr>
          <w:rFonts w:asciiTheme="majorHAnsi" w:hAnsiTheme="majorHAnsi"/>
          <w:i/>
          <w:sz w:val="20"/>
          <w:szCs w:val="20"/>
        </w:rPr>
        <w:t>оцінки</w:t>
      </w:r>
      <w:r w:rsidRPr="000977F7">
        <w:rPr>
          <w:rFonts w:asciiTheme="majorHAnsi" w:hAnsiTheme="majorHAnsi"/>
          <w:i/>
          <w:spacing w:val="-47"/>
          <w:sz w:val="20"/>
          <w:szCs w:val="20"/>
        </w:rPr>
        <w:t xml:space="preserve"> </w:t>
      </w:r>
      <w:r w:rsidRPr="000977F7">
        <w:rPr>
          <w:rFonts w:asciiTheme="majorHAnsi" w:hAnsiTheme="majorHAnsi"/>
          <w:i/>
          <w:sz w:val="20"/>
          <w:szCs w:val="20"/>
        </w:rPr>
        <w:t>відповідності"</w:t>
      </w:r>
    </w:p>
    <w:p w14:paraId="7770A8C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Авторитетний</w:t>
      </w:r>
      <w:r w:rsidRPr="000977F7">
        <w:rPr>
          <w:rFonts w:asciiTheme="majorHAnsi" w:hAnsiTheme="majorHAnsi"/>
          <w:spacing w:val="-6"/>
          <w:sz w:val="20"/>
          <w:szCs w:val="20"/>
        </w:rPr>
        <w:t xml:space="preserve"> </w:t>
      </w:r>
      <w:r w:rsidRPr="000977F7">
        <w:rPr>
          <w:rFonts w:asciiTheme="majorHAnsi" w:hAnsiTheme="majorHAnsi"/>
          <w:sz w:val="20"/>
          <w:szCs w:val="20"/>
        </w:rPr>
        <w:t>орган,</w:t>
      </w:r>
      <w:r w:rsidRPr="000977F7">
        <w:rPr>
          <w:rFonts w:asciiTheme="majorHAnsi" w:hAnsiTheme="majorHAnsi"/>
          <w:spacing w:val="-5"/>
          <w:sz w:val="20"/>
          <w:szCs w:val="20"/>
        </w:rPr>
        <w:t xml:space="preserve"> </w:t>
      </w:r>
      <w:r w:rsidRPr="000977F7">
        <w:rPr>
          <w:rFonts w:asciiTheme="majorHAnsi" w:hAnsiTheme="majorHAnsi"/>
          <w:sz w:val="20"/>
          <w:szCs w:val="20"/>
        </w:rPr>
        <w:t>який</w:t>
      </w:r>
      <w:r w:rsidRPr="000977F7">
        <w:rPr>
          <w:rFonts w:asciiTheme="majorHAnsi" w:hAnsiTheme="majorHAnsi"/>
          <w:spacing w:val="-6"/>
          <w:sz w:val="20"/>
          <w:szCs w:val="20"/>
        </w:rPr>
        <w:t xml:space="preserve"> </w:t>
      </w:r>
      <w:r w:rsidRPr="000977F7">
        <w:rPr>
          <w:rFonts w:asciiTheme="majorHAnsi" w:hAnsiTheme="majorHAnsi"/>
          <w:sz w:val="20"/>
          <w:szCs w:val="20"/>
        </w:rPr>
        <w:t>виконує</w:t>
      </w:r>
      <w:r w:rsidRPr="000977F7">
        <w:rPr>
          <w:rFonts w:asciiTheme="majorHAnsi" w:hAnsiTheme="majorHAnsi"/>
          <w:spacing w:val="-5"/>
          <w:sz w:val="20"/>
          <w:szCs w:val="20"/>
        </w:rPr>
        <w:t xml:space="preserve"> </w:t>
      </w:r>
      <w:r w:rsidRPr="000977F7">
        <w:rPr>
          <w:rFonts w:asciiTheme="majorHAnsi" w:hAnsiTheme="majorHAnsi"/>
          <w:sz w:val="20"/>
          <w:szCs w:val="20"/>
        </w:rPr>
        <w:t>акредитування</w:t>
      </w:r>
      <w:r w:rsidRPr="000977F7">
        <w:rPr>
          <w:rFonts w:asciiTheme="majorHAnsi" w:hAnsiTheme="majorHAnsi"/>
          <w:spacing w:val="-47"/>
          <w:sz w:val="20"/>
          <w:szCs w:val="20"/>
        </w:rPr>
        <w:t xml:space="preserve"> </w:t>
      </w: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80917D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Звичайно</w:t>
      </w:r>
      <w:r w:rsidRPr="000977F7">
        <w:rPr>
          <w:rFonts w:asciiTheme="majorHAnsi" w:hAnsiTheme="majorHAnsi"/>
          <w:spacing w:val="18"/>
          <w:sz w:val="20"/>
          <w:szCs w:val="20"/>
        </w:rPr>
        <w:t xml:space="preserve"> </w:t>
      </w:r>
      <w:r w:rsidRPr="000977F7">
        <w:rPr>
          <w:rFonts w:asciiTheme="majorHAnsi" w:hAnsiTheme="majorHAnsi"/>
          <w:sz w:val="20"/>
          <w:szCs w:val="20"/>
        </w:rPr>
        <w:t>орган</w:t>
      </w:r>
      <w:r w:rsidRPr="000977F7">
        <w:rPr>
          <w:rFonts w:asciiTheme="majorHAnsi" w:hAnsiTheme="majorHAnsi"/>
          <w:spacing w:val="16"/>
          <w:sz w:val="20"/>
          <w:szCs w:val="20"/>
        </w:rPr>
        <w:t xml:space="preserve"> </w:t>
      </w:r>
      <w:r w:rsidRPr="000977F7">
        <w:rPr>
          <w:rFonts w:asciiTheme="majorHAnsi" w:hAnsiTheme="majorHAnsi"/>
          <w:sz w:val="20"/>
          <w:szCs w:val="20"/>
        </w:rPr>
        <w:t>акредитації</w:t>
      </w:r>
      <w:r w:rsidRPr="000977F7">
        <w:rPr>
          <w:rFonts w:asciiTheme="majorHAnsi" w:hAnsiTheme="majorHAnsi"/>
          <w:spacing w:val="17"/>
          <w:sz w:val="20"/>
          <w:szCs w:val="20"/>
        </w:rPr>
        <w:t xml:space="preserve"> </w:t>
      </w:r>
      <w:r w:rsidRPr="000977F7">
        <w:rPr>
          <w:rFonts w:asciiTheme="majorHAnsi" w:hAnsiTheme="majorHAnsi"/>
          <w:sz w:val="20"/>
          <w:szCs w:val="20"/>
        </w:rPr>
        <w:t>отримує</w:t>
      </w:r>
      <w:r w:rsidRPr="000977F7">
        <w:rPr>
          <w:rFonts w:asciiTheme="majorHAnsi" w:hAnsiTheme="majorHAnsi"/>
          <w:spacing w:val="17"/>
          <w:sz w:val="20"/>
          <w:szCs w:val="20"/>
        </w:rPr>
        <w:t xml:space="preserve"> </w:t>
      </w:r>
      <w:r w:rsidRPr="000977F7">
        <w:rPr>
          <w:rFonts w:asciiTheme="majorHAnsi" w:hAnsiTheme="majorHAnsi"/>
          <w:sz w:val="20"/>
          <w:szCs w:val="20"/>
        </w:rPr>
        <w:t>повноваження</w:t>
      </w:r>
      <w:r w:rsidRPr="000977F7">
        <w:rPr>
          <w:rFonts w:asciiTheme="majorHAnsi" w:hAnsiTheme="majorHAnsi"/>
          <w:spacing w:val="-47"/>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уряду</w:t>
      </w:r>
    </w:p>
    <w:p w14:paraId="4FE38843" w14:textId="77777777" w:rsidR="0097612F" w:rsidRPr="000977F7" w:rsidRDefault="0097612F" w:rsidP="000977F7">
      <w:pPr>
        <w:pStyle w:val="af6"/>
        <w:tabs>
          <w:tab w:val="left" w:pos="284"/>
        </w:tabs>
        <w:spacing w:after="0"/>
        <w:ind w:left="170"/>
        <w:mirrorIndents/>
        <w:jc w:val="both"/>
        <w:rPr>
          <w:rFonts w:asciiTheme="majorHAnsi" w:hAnsiTheme="majorHAnsi"/>
          <w:i/>
          <w:iCs/>
          <w:spacing w:val="-6"/>
          <w:w w:val="95"/>
          <w:sz w:val="20"/>
          <w:szCs w:val="20"/>
        </w:rPr>
      </w:pPr>
      <w:r w:rsidRPr="000977F7">
        <w:rPr>
          <w:rFonts w:asciiTheme="majorHAnsi" w:hAnsiTheme="majorHAnsi"/>
          <w:i/>
          <w:iCs/>
          <w:spacing w:val="-7"/>
          <w:w w:val="95"/>
          <w:sz w:val="20"/>
          <w:szCs w:val="20"/>
        </w:rPr>
        <w:t>ДСТУ ISO/IEC</w:t>
      </w:r>
      <w:r w:rsidRPr="000977F7">
        <w:rPr>
          <w:rFonts w:asciiTheme="majorHAnsi" w:hAnsiTheme="majorHAnsi"/>
          <w:i/>
          <w:iCs/>
          <w:spacing w:val="-27"/>
          <w:w w:val="95"/>
          <w:sz w:val="20"/>
          <w:szCs w:val="20"/>
        </w:rPr>
        <w:t xml:space="preserve"> </w:t>
      </w:r>
      <w:r w:rsidRPr="000977F7">
        <w:rPr>
          <w:rFonts w:asciiTheme="majorHAnsi" w:hAnsiTheme="majorHAnsi"/>
          <w:i/>
          <w:iCs/>
          <w:spacing w:val="-6"/>
          <w:w w:val="95"/>
          <w:sz w:val="20"/>
          <w:szCs w:val="20"/>
        </w:rPr>
        <w:t>17000:2007</w:t>
      </w:r>
    </w:p>
    <w:p w14:paraId="66EF5C49" w14:textId="77777777" w:rsidR="0097612F" w:rsidRPr="000977F7" w:rsidRDefault="0097612F" w:rsidP="000977F7">
      <w:pPr>
        <w:pStyle w:val="af6"/>
        <w:tabs>
          <w:tab w:val="left" w:pos="284"/>
        </w:tabs>
        <w:spacing w:after="0"/>
        <w:ind w:left="170"/>
        <w:mirrorIndents/>
        <w:jc w:val="both"/>
        <w:rPr>
          <w:rFonts w:asciiTheme="majorHAnsi" w:hAnsiTheme="majorHAnsi"/>
          <w:b/>
          <w:bCs/>
          <w:spacing w:val="-6"/>
          <w:w w:val="95"/>
          <w:sz w:val="20"/>
          <w:szCs w:val="20"/>
        </w:rPr>
      </w:pPr>
      <w:r w:rsidRPr="000977F7">
        <w:rPr>
          <w:rFonts w:asciiTheme="majorHAnsi" w:hAnsiTheme="majorHAnsi"/>
          <w:b/>
          <w:bCs/>
          <w:spacing w:val="-6"/>
          <w:w w:val="95"/>
          <w:sz w:val="20"/>
          <w:szCs w:val="20"/>
        </w:rPr>
        <w:t>ОРГАН ДЕРЖАВНОГО РИНКОВОГО НАГЛЯДУ</w:t>
      </w:r>
    </w:p>
    <w:p w14:paraId="07B45695"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lang w:eastAsia="ru-RU"/>
        </w:rPr>
        <w:t>Центральний орган виконавчої влади, що реалізує державну політику у сфері державного ринкового нагляду</w:t>
      </w:r>
      <w:r w:rsidRPr="000977F7">
        <w:rPr>
          <w:color w:val="auto"/>
          <w:sz w:val="20"/>
          <w:szCs w:val="20"/>
          <w:lang w:eastAsia="ru-RU"/>
        </w:rPr>
        <w:t xml:space="preserve"> </w:t>
      </w:r>
      <w:r w:rsidRPr="000977F7">
        <w:rPr>
          <w:b w:val="0"/>
          <w:bCs/>
          <w:color w:val="auto"/>
          <w:sz w:val="20"/>
          <w:szCs w:val="20"/>
        </w:rPr>
        <w:t>в межах сфери своєї відповідальності, державний колегіальний орган, що визначається відповідно до цього Закону</w:t>
      </w:r>
    </w:p>
    <w:p w14:paraId="2C6A417C"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Закон України "Про державний ринковий нагляд і контроль нехарчової продукції"</w:t>
      </w:r>
    </w:p>
    <w:p w14:paraId="035F041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ОРГАН КЕРУВАННЯ –</w:t>
      </w:r>
    </w:p>
    <w:p w14:paraId="6F2CE296" w14:textId="77777777" w:rsidR="0097612F" w:rsidRPr="000977F7" w:rsidRDefault="0097612F" w:rsidP="000977F7">
      <w:pPr>
        <w:pStyle w:val="7"/>
        <w:tabs>
          <w:tab w:val="left" w:pos="284"/>
        </w:tabs>
        <w:spacing w:before="0" w:line="240" w:lineRule="auto"/>
        <w:ind w:left="170"/>
        <w:mirrorIndents/>
        <w:jc w:val="both"/>
        <w:rPr>
          <w:color w:val="auto"/>
          <w:sz w:val="20"/>
          <w:szCs w:val="20"/>
          <w:lang w:eastAsia="ru-RU"/>
        </w:rPr>
      </w:pPr>
      <w:r w:rsidRPr="000977F7">
        <w:rPr>
          <w:b w:val="0"/>
          <w:bCs/>
          <w:color w:val="auto"/>
          <w:sz w:val="20"/>
          <w:szCs w:val="20"/>
        </w:rPr>
        <w:t>Ел</w:t>
      </w:r>
      <w:r w:rsidRPr="000977F7">
        <w:rPr>
          <w:b w:val="0"/>
          <w:bCs/>
          <w:color w:val="auto"/>
          <w:sz w:val="20"/>
          <w:szCs w:val="20"/>
          <w:lang w:eastAsia="ru-RU"/>
        </w:rPr>
        <w:t>емент системи керування або пристрою керування машиною (рукоятка, кермо, педаль, кнопка тощо), на який безпосередньо діє оператор для подачі команди на виконання машиною відповідної функції</w:t>
      </w:r>
    </w:p>
    <w:p w14:paraId="27FD747A"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безпеки машин</w:t>
      </w:r>
    </w:p>
    <w:p w14:paraId="416A3A0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ОРГАН</w:t>
      </w:r>
      <w:r w:rsidRPr="000977F7">
        <w:rPr>
          <w:color w:val="auto"/>
          <w:spacing w:val="-3"/>
          <w:sz w:val="20"/>
          <w:szCs w:val="20"/>
        </w:rPr>
        <w:t xml:space="preserve"> </w:t>
      </w:r>
      <w:r w:rsidRPr="000977F7">
        <w:rPr>
          <w:color w:val="auto"/>
          <w:sz w:val="20"/>
          <w:szCs w:val="20"/>
        </w:rPr>
        <w:t>З</w:t>
      </w:r>
      <w:r w:rsidRPr="000977F7">
        <w:rPr>
          <w:color w:val="auto"/>
          <w:spacing w:val="-3"/>
          <w:sz w:val="20"/>
          <w:szCs w:val="20"/>
        </w:rPr>
        <w:t xml:space="preserve"> </w:t>
      </w:r>
      <w:r w:rsidRPr="000977F7">
        <w:rPr>
          <w:color w:val="auto"/>
          <w:sz w:val="20"/>
          <w:szCs w:val="20"/>
        </w:rPr>
        <w:t>АТЕСТАЦІЇ</w:t>
      </w:r>
      <w:r w:rsidRPr="000977F7">
        <w:rPr>
          <w:color w:val="auto"/>
          <w:spacing w:val="-2"/>
          <w:sz w:val="20"/>
          <w:szCs w:val="20"/>
        </w:rPr>
        <w:t xml:space="preserve"> </w:t>
      </w:r>
      <w:r w:rsidRPr="000977F7">
        <w:rPr>
          <w:color w:val="auto"/>
          <w:sz w:val="20"/>
          <w:szCs w:val="20"/>
        </w:rPr>
        <w:t>–</w:t>
      </w:r>
    </w:p>
    <w:p w14:paraId="2340B9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Третя</w:t>
      </w:r>
      <w:r w:rsidRPr="000977F7">
        <w:rPr>
          <w:rFonts w:asciiTheme="majorHAnsi" w:hAnsiTheme="majorHAnsi"/>
          <w:spacing w:val="1"/>
          <w:sz w:val="20"/>
          <w:szCs w:val="20"/>
        </w:rPr>
        <w:t xml:space="preserve"> </w:t>
      </w:r>
      <w:r w:rsidRPr="000977F7">
        <w:rPr>
          <w:rFonts w:asciiTheme="majorHAnsi" w:hAnsiTheme="majorHAnsi"/>
          <w:sz w:val="20"/>
          <w:szCs w:val="20"/>
        </w:rPr>
        <w:t>сторона,</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проводить</w:t>
      </w:r>
      <w:r w:rsidRPr="000977F7">
        <w:rPr>
          <w:rFonts w:asciiTheme="majorHAnsi" w:hAnsiTheme="majorHAnsi"/>
          <w:spacing w:val="1"/>
          <w:sz w:val="20"/>
          <w:szCs w:val="20"/>
        </w:rPr>
        <w:t xml:space="preserve"> </w:t>
      </w:r>
      <w:r w:rsidRPr="000977F7">
        <w:rPr>
          <w:rFonts w:asciiTheme="majorHAnsi" w:hAnsiTheme="majorHAnsi"/>
          <w:sz w:val="20"/>
          <w:szCs w:val="20"/>
        </w:rPr>
        <w:t>оцінку</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реєстрацію</w:t>
      </w:r>
      <w:r w:rsidRPr="000977F7">
        <w:rPr>
          <w:rFonts w:asciiTheme="majorHAnsi" w:hAnsiTheme="majorHAnsi"/>
          <w:spacing w:val="-47"/>
          <w:sz w:val="20"/>
          <w:szCs w:val="20"/>
        </w:rPr>
        <w:t xml:space="preserve"> </w:t>
      </w:r>
      <w:r w:rsidRPr="000977F7">
        <w:rPr>
          <w:rFonts w:asciiTheme="majorHAnsi" w:hAnsiTheme="majorHAnsi"/>
          <w:sz w:val="20"/>
          <w:szCs w:val="20"/>
        </w:rPr>
        <w:t>системи якості постачальників на відповідність стандартам на системи</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p>
    <w:p w14:paraId="0519E5C8"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color w:val="auto"/>
          <w:sz w:val="20"/>
          <w:szCs w:val="20"/>
        </w:rPr>
        <w:lastRenderedPageBreak/>
        <w:t>ОРГАН З ОЦІНКИ ВІДПОВІДНОСТІ –</w:t>
      </w:r>
      <w:r w:rsidRPr="000977F7">
        <w:rPr>
          <w:color w:val="auto"/>
          <w:spacing w:val="-47"/>
          <w:sz w:val="20"/>
          <w:szCs w:val="20"/>
        </w:rPr>
        <w:t xml:space="preserve"> </w:t>
      </w:r>
      <w:r w:rsidRPr="000977F7">
        <w:rPr>
          <w:b w:val="0"/>
          <w:bCs/>
          <w:color w:val="auto"/>
          <w:sz w:val="20"/>
          <w:szCs w:val="20"/>
        </w:rPr>
        <w:t>CONFORMITI</w:t>
      </w:r>
      <w:r w:rsidRPr="000977F7">
        <w:rPr>
          <w:b w:val="0"/>
          <w:bCs/>
          <w:color w:val="auto"/>
          <w:spacing w:val="-2"/>
          <w:sz w:val="20"/>
          <w:szCs w:val="20"/>
        </w:rPr>
        <w:t xml:space="preserve"> </w:t>
      </w:r>
      <w:r w:rsidRPr="000977F7">
        <w:rPr>
          <w:b w:val="0"/>
          <w:bCs/>
          <w:color w:val="auto"/>
          <w:sz w:val="20"/>
          <w:szCs w:val="20"/>
        </w:rPr>
        <w:t>ASSESMENT</w:t>
      </w:r>
      <w:r w:rsidRPr="000977F7">
        <w:rPr>
          <w:b w:val="0"/>
          <w:bCs/>
          <w:color w:val="auto"/>
          <w:spacing w:val="-2"/>
          <w:sz w:val="20"/>
          <w:szCs w:val="20"/>
        </w:rPr>
        <w:t xml:space="preserve"> </w:t>
      </w:r>
      <w:r w:rsidRPr="000977F7">
        <w:rPr>
          <w:b w:val="0"/>
          <w:bCs/>
          <w:color w:val="auto"/>
          <w:sz w:val="20"/>
          <w:szCs w:val="20"/>
        </w:rPr>
        <w:t>BODY -</w:t>
      </w:r>
    </w:p>
    <w:p w14:paraId="4D90E18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Випробувальна</w:t>
      </w:r>
      <w:r w:rsidRPr="004D2D14">
        <w:rPr>
          <w:rFonts w:asciiTheme="majorHAnsi" w:hAnsiTheme="majorHAnsi"/>
          <w:spacing w:val="23"/>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23"/>
          <w:sz w:val="20"/>
          <w:szCs w:val="20"/>
          <w:lang w:val="uk-UA"/>
        </w:rPr>
        <w:t xml:space="preserve"> </w:t>
      </w:r>
      <w:r w:rsidRPr="004D2D14">
        <w:rPr>
          <w:rFonts w:asciiTheme="majorHAnsi" w:hAnsiTheme="majorHAnsi"/>
          <w:sz w:val="20"/>
          <w:szCs w:val="20"/>
          <w:lang w:val="uk-UA"/>
        </w:rPr>
        <w:t>калібрувальна</w:t>
      </w:r>
      <w:r w:rsidRPr="004D2D14">
        <w:rPr>
          <w:rFonts w:asciiTheme="majorHAnsi" w:hAnsiTheme="majorHAnsi"/>
          <w:spacing w:val="24"/>
          <w:sz w:val="20"/>
          <w:szCs w:val="20"/>
          <w:lang w:val="uk-UA"/>
        </w:rPr>
        <w:t xml:space="preserve"> </w:t>
      </w:r>
      <w:r w:rsidRPr="004D2D14">
        <w:rPr>
          <w:rFonts w:asciiTheme="majorHAnsi" w:hAnsiTheme="majorHAnsi"/>
          <w:sz w:val="20"/>
          <w:szCs w:val="20"/>
          <w:lang w:val="uk-UA"/>
        </w:rPr>
        <w:t>лабораторія,</w:t>
      </w:r>
      <w:r w:rsidRPr="004D2D14">
        <w:rPr>
          <w:rFonts w:asciiTheme="majorHAnsi" w:hAnsiTheme="majorHAnsi"/>
          <w:spacing w:val="23"/>
          <w:sz w:val="20"/>
          <w:szCs w:val="20"/>
          <w:lang w:val="uk-UA"/>
        </w:rPr>
        <w:t xml:space="preserve"> </w:t>
      </w:r>
      <w:r w:rsidRPr="004D2D14">
        <w:rPr>
          <w:rFonts w:asciiTheme="majorHAnsi" w:hAnsiTheme="majorHAnsi"/>
          <w:sz w:val="20"/>
          <w:szCs w:val="20"/>
          <w:lang w:val="uk-UA"/>
        </w:rPr>
        <w:t>орган</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з сертифікації, орган з контролю, які провадять діяльність у сфері оцінки відповідності продукції, процесів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послуг</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встановленим вимогам</w:t>
      </w:r>
    </w:p>
    <w:p w14:paraId="4A29CB6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Закон України "Про</w:t>
      </w:r>
      <w:r w:rsidRPr="000977F7">
        <w:rPr>
          <w:rFonts w:asciiTheme="majorHAnsi" w:hAnsiTheme="majorHAnsi"/>
          <w:i/>
          <w:spacing w:val="1"/>
          <w:sz w:val="20"/>
          <w:szCs w:val="20"/>
        </w:rPr>
        <w:t xml:space="preserve"> </w:t>
      </w:r>
      <w:r w:rsidRPr="000977F7">
        <w:rPr>
          <w:rFonts w:asciiTheme="majorHAnsi" w:hAnsiTheme="majorHAnsi"/>
          <w:i/>
          <w:sz w:val="20"/>
          <w:szCs w:val="20"/>
        </w:rPr>
        <w:t>акредитацію</w:t>
      </w:r>
      <w:r w:rsidRPr="000977F7">
        <w:rPr>
          <w:rFonts w:asciiTheme="majorHAnsi" w:hAnsiTheme="majorHAnsi"/>
          <w:i/>
          <w:spacing w:val="1"/>
          <w:sz w:val="20"/>
          <w:szCs w:val="20"/>
        </w:rPr>
        <w:t xml:space="preserve"> </w:t>
      </w:r>
      <w:r w:rsidRPr="000977F7">
        <w:rPr>
          <w:rFonts w:asciiTheme="majorHAnsi" w:hAnsiTheme="majorHAnsi"/>
          <w:i/>
          <w:sz w:val="20"/>
          <w:szCs w:val="20"/>
        </w:rPr>
        <w:t>органів з оцінки</w:t>
      </w:r>
      <w:r w:rsidRPr="000977F7">
        <w:rPr>
          <w:rFonts w:asciiTheme="majorHAnsi" w:hAnsiTheme="majorHAnsi"/>
          <w:i/>
          <w:spacing w:val="1"/>
          <w:sz w:val="20"/>
          <w:szCs w:val="20"/>
        </w:rPr>
        <w:t xml:space="preserve"> </w:t>
      </w:r>
      <w:r w:rsidRPr="000977F7">
        <w:rPr>
          <w:rFonts w:asciiTheme="majorHAnsi" w:hAnsiTheme="majorHAnsi"/>
          <w:i/>
          <w:sz w:val="20"/>
          <w:szCs w:val="20"/>
        </w:rPr>
        <w:t>відповідності"</w:t>
      </w:r>
    </w:p>
    <w:p w14:paraId="406CAE1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Орган (підприємство, установа, організація чи їх структурний підрозділ), що здійснює діяльність з оцінки відповідності, включаючи калібрування, випробування, сертифікацію та інспектування; орган, що призначає, центральний орган виконавчої влади, що призначає органи з оцінки відповідності, розширює чи скорочує сферу їх призначення, призупиняє, анулює або поновлює їх призначення, а також забезпечує оцінювання та моніторинг таких органів з оцінки відповідності</w:t>
      </w:r>
    </w:p>
    <w:p w14:paraId="2460993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Закон України "Про технічні регламенти та оцінку відповідності"</w:t>
      </w:r>
    </w:p>
    <w:p w14:paraId="28E3283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Технічний регламент безпеки машин</w:t>
      </w:r>
    </w:p>
    <w:p w14:paraId="2D8B10F6"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bookmarkStart w:id="163" w:name="_Hlk103576544"/>
      <w:r w:rsidRPr="000977F7">
        <w:rPr>
          <w:rFonts w:asciiTheme="majorHAnsi" w:hAnsiTheme="majorHAnsi"/>
          <w:i/>
          <w:iCs/>
          <w:sz w:val="20"/>
          <w:szCs w:val="20"/>
        </w:rPr>
        <w:t xml:space="preserve">Технічний регламент </w:t>
      </w:r>
      <w:bookmarkEnd w:id="163"/>
      <w:r w:rsidRPr="000977F7">
        <w:rPr>
          <w:rFonts w:asciiTheme="majorHAnsi" w:hAnsiTheme="majorHAnsi"/>
          <w:i/>
          <w:iCs/>
          <w:sz w:val="20"/>
          <w:szCs w:val="20"/>
        </w:rPr>
        <w:t>ліфтів і компонентів безпеки для ліфтів</w:t>
      </w:r>
    </w:p>
    <w:p w14:paraId="4B1689AE"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з електромагнітної сумісності обладнання</w:t>
      </w:r>
    </w:p>
    <w:p w14:paraId="3AACA9A9"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обладнання, що працює під тиском</w:t>
      </w:r>
    </w:p>
    <w:p w14:paraId="0CF57C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 що надає послуги щодо оцінювання відповідності</w:t>
      </w:r>
    </w:p>
    <w:p w14:paraId="40C49E54" w14:textId="77777777" w:rsidR="0097612F" w:rsidRPr="000977F7" w:rsidRDefault="0097612F" w:rsidP="000977F7">
      <w:pPr>
        <w:tabs>
          <w:tab w:val="left" w:pos="284"/>
        </w:tabs>
        <w:spacing w:after="0" w:line="240" w:lineRule="auto"/>
        <w:ind w:left="170"/>
        <w:mirrorIndents/>
        <w:jc w:val="both"/>
        <w:rPr>
          <w:rFonts w:asciiTheme="majorHAnsi" w:hAnsiTheme="majorHAnsi"/>
          <w:i/>
          <w:iCs/>
          <w:spacing w:val="-5"/>
          <w:w w:val="95"/>
          <w:sz w:val="20"/>
          <w:szCs w:val="20"/>
        </w:rPr>
      </w:pPr>
      <w:r w:rsidRPr="000977F7">
        <w:rPr>
          <w:rFonts w:asciiTheme="majorHAnsi" w:hAnsiTheme="majorHAnsi"/>
          <w:i/>
          <w:iCs/>
          <w:spacing w:val="-7"/>
          <w:w w:val="95"/>
          <w:sz w:val="20"/>
          <w:szCs w:val="20"/>
        </w:rPr>
        <w:t xml:space="preserve">ДСТУISO/IEC </w:t>
      </w:r>
      <w:r w:rsidRPr="000977F7">
        <w:rPr>
          <w:rFonts w:asciiTheme="majorHAnsi" w:hAnsiTheme="majorHAnsi"/>
          <w:i/>
          <w:iCs/>
          <w:spacing w:val="-6"/>
          <w:w w:val="95"/>
          <w:sz w:val="20"/>
          <w:szCs w:val="20"/>
        </w:rPr>
        <w:t>17000:2007</w:t>
      </w:r>
      <w:r w:rsidRPr="000977F7">
        <w:rPr>
          <w:rFonts w:asciiTheme="majorHAnsi" w:hAnsiTheme="majorHAnsi"/>
          <w:i/>
          <w:iCs/>
          <w:spacing w:val="-5"/>
          <w:w w:val="95"/>
          <w:sz w:val="20"/>
          <w:szCs w:val="20"/>
        </w:rPr>
        <w:t xml:space="preserve"> </w:t>
      </w:r>
    </w:p>
    <w:p w14:paraId="51FAC72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ОРГАН З ІНСПЕКТУВАННЯ </w:t>
      </w:r>
      <w:r w:rsidRPr="000977F7">
        <w:rPr>
          <w:rFonts w:asciiTheme="majorHAnsi" w:hAnsiTheme="majorHAnsi"/>
          <w:sz w:val="20"/>
          <w:szCs w:val="20"/>
        </w:rPr>
        <w:t>–</w:t>
      </w:r>
    </w:p>
    <w:p w14:paraId="1CB6ACFC"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sz w:val="20"/>
          <w:szCs w:val="20"/>
        </w:rPr>
        <w:t>INSPECTION BODY -)</w:t>
      </w:r>
    </w:p>
    <w:p w14:paraId="27171185"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sz w:val="20"/>
          <w:szCs w:val="20"/>
        </w:rPr>
        <w:t xml:space="preserve">Орган, що здійснює </w:t>
      </w:r>
      <w:r w:rsidRPr="000977F7">
        <w:rPr>
          <w:rFonts w:asciiTheme="majorHAnsi" w:hAnsiTheme="majorHAnsi"/>
          <w:bCs/>
          <w:sz w:val="20"/>
          <w:szCs w:val="20"/>
        </w:rPr>
        <w:t xml:space="preserve">інспектування </w:t>
      </w:r>
    </w:p>
    <w:p w14:paraId="3B07EA37" w14:textId="77777777" w:rsidR="0097612F" w:rsidRPr="000977F7" w:rsidRDefault="0097612F" w:rsidP="000977F7">
      <w:pPr>
        <w:tabs>
          <w:tab w:val="left" w:pos="284"/>
        </w:tabs>
        <w:spacing w:after="0" w:line="240" w:lineRule="auto"/>
        <w:ind w:left="170"/>
        <w:mirrorIndents/>
        <w:jc w:val="both"/>
        <w:rPr>
          <w:rFonts w:asciiTheme="majorHAnsi" w:hAnsiTheme="majorHAnsi"/>
          <w:i/>
          <w:iCs/>
          <w:spacing w:val="-5"/>
          <w:w w:val="95"/>
          <w:sz w:val="20"/>
          <w:szCs w:val="20"/>
        </w:rPr>
      </w:pPr>
      <w:r w:rsidRPr="000977F7">
        <w:rPr>
          <w:rFonts w:asciiTheme="majorHAnsi" w:hAnsiTheme="majorHAnsi"/>
          <w:i/>
          <w:iCs/>
          <w:spacing w:val="-5"/>
          <w:w w:val="95"/>
          <w:sz w:val="20"/>
          <w:szCs w:val="20"/>
        </w:rPr>
        <w:t>ДСТУ EN ISO/IEC 17020:2019</w:t>
      </w:r>
    </w:p>
    <w:p w14:paraId="39B12416"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ОРГАН КОНТРОЛЮ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5BC22D3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INSPECTION</w:t>
      </w:r>
      <w:r w:rsidRPr="000977F7">
        <w:rPr>
          <w:rFonts w:asciiTheme="majorHAnsi" w:hAnsiTheme="majorHAnsi"/>
          <w:spacing w:val="-1"/>
          <w:sz w:val="20"/>
          <w:szCs w:val="20"/>
        </w:rPr>
        <w:t xml:space="preserve"> </w:t>
      </w:r>
      <w:r w:rsidRPr="000977F7">
        <w:rPr>
          <w:rFonts w:asciiTheme="majorHAnsi" w:hAnsiTheme="majorHAnsi"/>
          <w:sz w:val="20"/>
          <w:szCs w:val="20"/>
        </w:rPr>
        <w:t>BODY –</w:t>
      </w:r>
    </w:p>
    <w:p w14:paraId="434E87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w:t>
      </w:r>
      <w:r w:rsidRPr="000977F7">
        <w:rPr>
          <w:rFonts w:asciiTheme="majorHAnsi" w:hAnsiTheme="majorHAnsi"/>
          <w:spacing w:val="1"/>
          <w:sz w:val="20"/>
          <w:szCs w:val="20"/>
        </w:rPr>
        <w:t xml:space="preserve"> </w:t>
      </w:r>
      <w:r w:rsidRPr="000977F7">
        <w:rPr>
          <w:rFonts w:asciiTheme="majorHAnsi" w:hAnsiTheme="majorHAnsi"/>
          <w:sz w:val="20"/>
          <w:szCs w:val="20"/>
        </w:rPr>
        <w:t>структура</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персонал</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компетентність</w:t>
      </w:r>
      <w:r w:rsidRPr="000977F7">
        <w:rPr>
          <w:rFonts w:asciiTheme="majorHAnsi" w:hAnsiTheme="majorHAnsi"/>
          <w:spacing w:val="1"/>
          <w:sz w:val="20"/>
          <w:szCs w:val="20"/>
        </w:rPr>
        <w:t xml:space="preserve"> </w:t>
      </w:r>
      <w:r w:rsidRPr="000977F7">
        <w:rPr>
          <w:rFonts w:asciiTheme="majorHAnsi" w:hAnsiTheme="majorHAnsi"/>
          <w:sz w:val="20"/>
          <w:szCs w:val="20"/>
        </w:rPr>
        <w:t>дозволяють йому неупереджено оцінювати, рекомендувати до приймання і перевіряти діяльність виготовлення</w:t>
      </w:r>
      <w:r w:rsidRPr="000977F7">
        <w:rPr>
          <w:rFonts w:asciiTheme="majorHAnsi" w:hAnsiTheme="majorHAnsi"/>
          <w:spacing w:val="34"/>
          <w:sz w:val="20"/>
          <w:szCs w:val="20"/>
        </w:rPr>
        <w:t xml:space="preserve"> </w:t>
      </w:r>
      <w:r w:rsidRPr="000977F7">
        <w:rPr>
          <w:rFonts w:asciiTheme="majorHAnsi" w:hAnsiTheme="majorHAnsi"/>
          <w:sz w:val="20"/>
          <w:szCs w:val="20"/>
        </w:rPr>
        <w:t>в</w:t>
      </w:r>
      <w:r w:rsidRPr="000977F7">
        <w:rPr>
          <w:rFonts w:asciiTheme="majorHAnsi" w:hAnsiTheme="majorHAnsi"/>
          <w:spacing w:val="32"/>
          <w:sz w:val="20"/>
          <w:szCs w:val="20"/>
        </w:rPr>
        <w:t xml:space="preserve"> </w:t>
      </w:r>
      <w:r w:rsidRPr="000977F7">
        <w:rPr>
          <w:rFonts w:asciiTheme="majorHAnsi" w:hAnsiTheme="majorHAnsi"/>
          <w:sz w:val="20"/>
          <w:szCs w:val="20"/>
        </w:rPr>
        <w:t>галузі</w:t>
      </w:r>
      <w:r w:rsidRPr="000977F7">
        <w:rPr>
          <w:rFonts w:asciiTheme="majorHAnsi" w:hAnsiTheme="majorHAnsi"/>
          <w:spacing w:val="34"/>
          <w:sz w:val="20"/>
          <w:szCs w:val="20"/>
        </w:rPr>
        <w:t xml:space="preserve"> </w:t>
      </w:r>
      <w:r w:rsidRPr="000977F7">
        <w:rPr>
          <w:rFonts w:asciiTheme="majorHAnsi" w:hAnsiTheme="majorHAnsi"/>
          <w:sz w:val="20"/>
          <w:szCs w:val="20"/>
        </w:rPr>
        <w:t>керування</w:t>
      </w:r>
      <w:r w:rsidRPr="000977F7">
        <w:rPr>
          <w:rFonts w:asciiTheme="majorHAnsi" w:hAnsiTheme="majorHAnsi"/>
          <w:spacing w:val="35"/>
          <w:sz w:val="20"/>
          <w:szCs w:val="20"/>
        </w:rPr>
        <w:t xml:space="preserve"> </w:t>
      </w:r>
      <w:r w:rsidRPr="000977F7">
        <w:rPr>
          <w:rFonts w:asciiTheme="majorHAnsi" w:hAnsiTheme="majorHAnsi"/>
          <w:sz w:val="20"/>
          <w:szCs w:val="20"/>
        </w:rPr>
        <w:t>якістю,</w:t>
      </w:r>
      <w:r w:rsidRPr="000977F7">
        <w:rPr>
          <w:rFonts w:asciiTheme="majorHAnsi" w:hAnsiTheme="majorHAnsi"/>
          <w:spacing w:val="32"/>
          <w:sz w:val="20"/>
          <w:szCs w:val="20"/>
        </w:rPr>
        <w:t xml:space="preserve"> </w:t>
      </w:r>
      <w:r w:rsidRPr="000977F7">
        <w:rPr>
          <w:rFonts w:asciiTheme="majorHAnsi" w:hAnsiTheme="majorHAnsi"/>
          <w:sz w:val="20"/>
          <w:szCs w:val="20"/>
        </w:rPr>
        <w:t>оцінювати</w:t>
      </w:r>
      <w:r w:rsidRPr="000977F7">
        <w:rPr>
          <w:rFonts w:asciiTheme="majorHAnsi" w:hAnsiTheme="majorHAnsi"/>
          <w:spacing w:val="34"/>
          <w:sz w:val="20"/>
          <w:szCs w:val="20"/>
        </w:rPr>
        <w:t xml:space="preserve"> </w:t>
      </w:r>
      <w:r w:rsidRPr="000977F7">
        <w:rPr>
          <w:rFonts w:asciiTheme="majorHAnsi" w:hAnsiTheme="majorHAnsi"/>
          <w:sz w:val="20"/>
          <w:szCs w:val="20"/>
        </w:rPr>
        <w:t>продукцію в процесі виробництва або на підприємствах відповідно до</w:t>
      </w:r>
      <w:r w:rsidRPr="000977F7">
        <w:rPr>
          <w:rFonts w:asciiTheme="majorHAnsi" w:hAnsiTheme="majorHAnsi"/>
          <w:spacing w:val="2"/>
          <w:sz w:val="20"/>
          <w:szCs w:val="20"/>
        </w:rPr>
        <w:t xml:space="preserve"> </w:t>
      </w:r>
      <w:r w:rsidRPr="000977F7">
        <w:rPr>
          <w:rFonts w:asciiTheme="majorHAnsi" w:hAnsiTheme="majorHAnsi"/>
          <w:sz w:val="20"/>
          <w:szCs w:val="20"/>
        </w:rPr>
        <w:t>установлених</w:t>
      </w:r>
      <w:r w:rsidRPr="000977F7">
        <w:rPr>
          <w:rFonts w:asciiTheme="majorHAnsi" w:hAnsiTheme="majorHAnsi"/>
          <w:spacing w:val="1"/>
          <w:sz w:val="20"/>
          <w:szCs w:val="20"/>
        </w:rPr>
        <w:t xml:space="preserve"> </w:t>
      </w:r>
      <w:r w:rsidRPr="000977F7">
        <w:rPr>
          <w:rFonts w:asciiTheme="majorHAnsi" w:hAnsiTheme="majorHAnsi"/>
          <w:sz w:val="20"/>
          <w:szCs w:val="20"/>
        </w:rPr>
        <w:t>критеріїв</w:t>
      </w:r>
    </w:p>
    <w:p w14:paraId="36BBB87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ОРГАН</w:t>
      </w:r>
      <w:r w:rsidRPr="000977F7">
        <w:rPr>
          <w:color w:val="auto"/>
          <w:spacing w:val="-3"/>
          <w:sz w:val="20"/>
          <w:szCs w:val="20"/>
        </w:rPr>
        <w:t xml:space="preserve"> </w:t>
      </w:r>
      <w:r w:rsidRPr="000977F7">
        <w:rPr>
          <w:color w:val="auto"/>
          <w:sz w:val="20"/>
          <w:szCs w:val="20"/>
        </w:rPr>
        <w:t>РЕГЛАМЕНТАЦІЇ</w:t>
      </w:r>
      <w:r w:rsidRPr="000977F7">
        <w:rPr>
          <w:color w:val="auto"/>
          <w:spacing w:val="-2"/>
          <w:sz w:val="20"/>
          <w:szCs w:val="20"/>
        </w:rPr>
        <w:t xml:space="preserve"> </w:t>
      </w:r>
      <w:r w:rsidRPr="000977F7">
        <w:rPr>
          <w:color w:val="auto"/>
          <w:sz w:val="20"/>
          <w:szCs w:val="20"/>
        </w:rPr>
        <w:t>–</w:t>
      </w:r>
    </w:p>
    <w:p w14:paraId="5AA122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REGULATORY</w:t>
      </w:r>
      <w:r w:rsidRPr="000977F7">
        <w:rPr>
          <w:rFonts w:asciiTheme="majorHAnsi" w:hAnsiTheme="majorHAnsi"/>
          <w:spacing w:val="-1"/>
          <w:sz w:val="20"/>
          <w:szCs w:val="20"/>
        </w:rPr>
        <w:t xml:space="preserve"> </w:t>
      </w:r>
      <w:r w:rsidRPr="000977F7">
        <w:rPr>
          <w:rFonts w:asciiTheme="majorHAnsi" w:hAnsiTheme="majorHAnsi"/>
          <w:sz w:val="20"/>
          <w:szCs w:val="20"/>
        </w:rPr>
        <w:t>AUTHORITY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2BCE29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 влади, відповідальний за розроблення чи прийняття</w:t>
      </w:r>
      <w:r w:rsidRPr="000977F7">
        <w:rPr>
          <w:rFonts w:asciiTheme="majorHAnsi" w:hAnsiTheme="majorHAnsi"/>
          <w:spacing w:val="-2"/>
          <w:sz w:val="20"/>
          <w:szCs w:val="20"/>
        </w:rPr>
        <w:t xml:space="preserve"> </w:t>
      </w:r>
      <w:r w:rsidRPr="000977F7">
        <w:rPr>
          <w:rFonts w:asciiTheme="majorHAnsi" w:hAnsiTheme="majorHAnsi"/>
          <w:sz w:val="20"/>
          <w:szCs w:val="20"/>
        </w:rPr>
        <w:t>регламентів</w:t>
      </w:r>
    </w:p>
    <w:p w14:paraId="534E02EA"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1"/>
          <w:sz w:val="20"/>
          <w:szCs w:val="20"/>
        </w:rPr>
      </w:pPr>
      <w:r w:rsidRPr="000977F7">
        <w:rPr>
          <w:rFonts w:asciiTheme="majorHAnsi" w:hAnsiTheme="majorHAnsi"/>
          <w:i/>
          <w:spacing w:val="-12"/>
          <w:sz w:val="20"/>
          <w:szCs w:val="20"/>
        </w:rPr>
        <w:t xml:space="preserve">ДСТУ ISO/IEC </w:t>
      </w:r>
      <w:r w:rsidRPr="000977F7">
        <w:rPr>
          <w:rFonts w:asciiTheme="majorHAnsi" w:hAnsiTheme="majorHAnsi"/>
          <w:i/>
          <w:spacing w:val="-11"/>
          <w:sz w:val="20"/>
          <w:szCs w:val="20"/>
        </w:rPr>
        <w:t>17000:2007</w:t>
      </w:r>
    </w:p>
    <w:p w14:paraId="72D2A43F"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ОРГАН</w:t>
      </w:r>
      <w:r w:rsidRPr="000977F7">
        <w:rPr>
          <w:rFonts w:asciiTheme="majorHAnsi" w:hAnsiTheme="majorHAnsi"/>
          <w:b/>
          <w:spacing w:val="-6"/>
          <w:sz w:val="20"/>
          <w:szCs w:val="20"/>
        </w:rPr>
        <w:t xml:space="preserve"> </w:t>
      </w:r>
      <w:r w:rsidRPr="000977F7">
        <w:rPr>
          <w:rFonts w:asciiTheme="majorHAnsi" w:hAnsiTheme="majorHAnsi"/>
          <w:b/>
          <w:sz w:val="20"/>
          <w:szCs w:val="20"/>
        </w:rPr>
        <w:t>СЕРТИФІКАЦІЇ</w:t>
      </w:r>
      <w:r w:rsidRPr="000977F7">
        <w:rPr>
          <w:rFonts w:asciiTheme="majorHAnsi" w:hAnsiTheme="majorHAnsi"/>
          <w:b/>
          <w:spacing w:val="-4"/>
          <w:sz w:val="20"/>
          <w:szCs w:val="20"/>
        </w:rPr>
        <w:t xml:space="preserve">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15F3EB8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CERTIFICATION</w:t>
      </w:r>
      <w:r w:rsidRPr="000977F7">
        <w:rPr>
          <w:rFonts w:asciiTheme="majorHAnsi" w:hAnsiTheme="majorHAnsi"/>
          <w:spacing w:val="-2"/>
          <w:sz w:val="20"/>
          <w:szCs w:val="20"/>
        </w:rPr>
        <w:t xml:space="preserve"> </w:t>
      </w:r>
      <w:r w:rsidRPr="000977F7">
        <w:rPr>
          <w:rFonts w:asciiTheme="majorHAnsi" w:hAnsiTheme="majorHAnsi"/>
          <w:sz w:val="20"/>
          <w:szCs w:val="20"/>
        </w:rPr>
        <w:t>BODY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99FE1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 що проводить сертифікацію. Орган сертифікації правомочний проводити випробування чи нагляд</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контролювати</w:t>
      </w:r>
      <w:r w:rsidRPr="000977F7">
        <w:rPr>
          <w:rFonts w:asciiTheme="majorHAnsi" w:hAnsiTheme="majorHAnsi"/>
          <w:spacing w:val="1"/>
          <w:sz w:val="20"/>
          <w:szCs w:val="20"/>
        </w:rPr>
        <w:t xml:space="preserve"> </w:t>
      </w:r>
      <w:r w:rsidRPr="000977F7">
        <w:rPr>
          <w:rFonts w:asciiTheme="majorHAnsi" w:hAnsiTheme="majorHAnsi"/>
          <w:sz w:val="20"/>
          <w:szCs w:val="20"/>
        </w:rPr>
        <w:t>цю</w:t>
      </w:r>
      <w:r w:rsidRPr="000977F7">
        <w:rPr>
          <w:rFonts w:asciiTheme="majorHAnsi" w:hAnsiTheme="majorHAnsi"/>
          <w:spacing w:val="1"/>
          <w:sz w:val="20"/>
          <w:szCs w:val="20"/>
        </w:rPr>
        <w:t xml:space="preserve"> </w:t>
      </w:r>
      <w:r w:rsidRPr="000977F7">
        <w:rPr>
          <w:rFonts w:asciiTheme="majorHAnsi" w:hAnsiTheme="majorHAnsi"/>
          <w:sz w:val="20"/>
          <w:szCs w:val="20"/>
        </w:rPr>
        <w:t>діяльність,</w:t>
      </w:r>
      <w:r w:rsidRPr="000977F7">
        <w:rPr>
          <w:rFonts w:asciiTheme="majorHAnsi" w:hAnsiTheme="majorHAnsi"/>
          <w:spacing w:val="1"/>
          <w:sz w:val="20"/>
          <w:szCs w:val="20"/>
        </w:rPr>
        <w:t xml:space="preserve"> </w:t>
      </w:r>
      <w:r w:rsidRPr="000977F7">
        <w:rPr>
          <w:rFonts w:asciiTheme="majorHAnsi" w:hAnsiTheme="majorHAnsi"/>
          <w:sz w:val="20"/>
          <w:szCs w:val="20"/>
        </w:rPr>
        <w:t>яку</w:t>
      </w:r>
      <w:r w:rsidRPr="000977F7">
        <w:rPr>
          <w:rFonts w:asciiTheme="majorHAnsi" w:hAnsiTheme="majorHAnsi"/>
          <w:spacing w:val="1"/>
          <w:sz w:val="20"/>
          <w:szCs w:val="20"/>
        </w:rPr>
        <w:t xml:space="preserve"> </w:t>
      </w:r>
      <w:r w:rsidRPr="000977F7">
        <w:rPr>
          <w:rFonts w:asciiTheme="majorHAnsi" w:hAnsiTheme="majorHAnsi"/>
          <w:sz w:val="20"/>
          <w:szCs w:val="20"/>
        </w:rPr>
        <w:t>проводять</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його дорученням інші органи</w:t>
      </w:r>
    </w:p>
    <w:p w14:paraId="159239F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Закон України "Про акредитацію органів з оцінки</w:t>
      </w:r>
      <w:r w:rsidRPr="000977F7">
        <w:rPr>
          <w:rFonts w:asciiTheme="majorHAnsi" w:hAnsiTheme="majorHAnsi"/>
          <w:i/>
          <w:spacing w:val="1"/>
          <w:sz w:val="20"/>
          <w:szCs w:val="20"/>
        </w:rPr>
        <w:t xml:space="preserve"> </w:t>
      </w:r>
      <w:r w:rsidRPr="000977F7">
        <w:rPr>
          <w:rFonts w:asciiTheme="majorHAnsi" w:hAnsiTheme="majorHAnsi"/>
          <w:i/>
          <w:sz w:val="20"/>
          <w:szCs w:val="20"/>
        </w:rPr>
        <w:t>відповідності"</w:t>
      </w:r>
    </w:p>
    <w:p w14:paraId="25C64B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w:t>
      </w:r>
      <w:r w:rsidRPr="000977F7">
        <w:rPr>
          <w:rFonts w:asciiTheme="majorHAnsi" w:hAnsiTheme="majorHAnsi"/>
          <w:spacing w:val="-5"/>
          <w:sz w:val="20"/>
          <w:szCs w:val="20"/>
        </w:rPr>
        <w:t xml:space="preserve"> </w:t>
      </w:r>
      <w:r w:rsidRPr="000977F7">
        <w:rPr>
          <w:rFonts w:asciiTheme="majorHAnsi" w:hAnsiTheme="majorHAnsi"/>
          <w:sz w:val="20"/>
          <w:szCs w:val="20"/>
        </w:rPr>
        <w:t>який</w:t>
      </w:r>
      <w:r w:rsidRPr="000977F7">
        <w:rPr>
          <w:rFonts w:asciiTheme="majorHAnsi" w:hAnsiTheme="majorHAnsi"/>
          <w:spacing w:val="-6"/>
          <w:sz w:val="20"/>
          <w:szCs w:val="20"/>
        </w:rPr>
        <w:t xml:space="preserve"> </w:t>
      </w:r>
      <w:r w:rsidRPr="000977F7">
        <w:rPr>
          <w:rFonts w:asciiTheme="majorHAnsi" w:hAnsiTheme="majorHAnsi"/>
          <w:sz w:val="20"/>
          <w:szCs w:val="20"/>
        </w:rPr>
        <w:t>здійснює</w:t>
      </w:r>
      <w:r w:rsidRPr="000977F7">
        <w:rPr>
          <w:rFonts w:asciiTheme="majorHAnsi" w:hAnsiTheme="majorHAnsi"/>
          <w:spacing w:val="-5"/>
          <w:sz w:val="20"/>
          <w:szCs w:val="20"/>
        </w:rPr>
        <w:t xml:space="preserve"> </w:t>
      </w:r>
      <w:r w:rsidRPr="000977F7">
        <w:rPr>
          <w:rFonts w:asciiTheme="majorHAnsi" w:hAnsiTheme="majorHAnsi"/>
          <w:sz w:val="20"/>
          <w:szCs w:val="20"/>
        </w:rPr>
        <w:t>сертифікацію</w:t>
      </w:r>
      <w:r w:rsidRPr="000977F7">
        <w:rPr>
          <w:rFonts w:asciiTheme="majorHAnsi" w:hAnsiTheme="majorHAnsi"/>
          <w:spacing w:val="-5"/>
          <w:sz w:val="20"/>
          <w:szCs w:val="20"/>
        </w:rPr>
        <w:t xml:space="preserve"> </w:t>
      </w:r>
      <w:r w:rsidRPr="000977F7">
        <w:rPr>
          <w:rFonts w:asciiTheme="majorHAnsi" w:hAnsiTheme="majorHAnsi"/>
          <w:sz w:val="20"/>
          <w:szCs w:val="20"/>
        </w:rPr>
        <w:t>відповідності</w:t>
      </w:r>
    </w:p>
    <w:p w14:paraId="435277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48"/>
          <w:sz w:val="20"/>
          <w:szCs w:val="20"/>
        </w:rPr>
        <w:t xml:space="preserve"> </w:t>
      </w: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DAE1EF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w:t>
      </w:r>
      <w:r w:rsidRPr="000977F7">
        <w:rPr>
          <w:rFonts w:asciiTheme="majorHAnsi" w:hAnsiTheme="majorHAnsi"/>
          <w:spacing w:val="1"/>
          <w:sz w:val="20"/>
          <w:szCs w:val="20"/>
        </w:rPr>
        <w:t xml:space="preserve"> </w:t>
      </w:r>
      <w:r w:rsidRPr="000977F7">
        <w:rPr>
          <w:rFonts w:asciiTheme="majorHAnsi" w:hAnsiTheme="majorHAnsi"/>
          <w:sz w:val="20"/>
          <w:szCs w:val="20"/>
        </w:rPr>
        <w:t>сертифікації може сам виконувати дії щодо</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випробування та інспектування або наглядати за цими</w:t>
      </w:r>
      <w:r w:rsidRPr="000977F7">
        <w:rPr>
          <w:rFonts w:asciiTheme="majorHAnsi" w:hAnsiTheme="majorHAnsi"/>
          <w:spacing w:val="-47"/>
          <w:sz w:val="20"/>
          <w:szCs w:val="20"/>
        </w:rPr>
        <w:t xml:space="preserve"> </w:t>
      </w:r>
      <w:r w:rsidRPr="000977F7">
        <w:rPr>
          <w:rFonts w:asciiTheme="majorHAnsi" w:hAnsiTheme="majorHAnsi"/>
          <w:sz w:val="20"/>
          <w:szCs w:val="20"/>
        </w:rPr>
        <w:t>діями,</w:t>
      </w:r>
      <w:r w:rsidRPr="000977F7">
        <w:rPr>
          <w:rFonts w:asciiTheme="majorHAnsi" w:hAnsiTheme="majorHAnsi"/>
          <w:spacing w:val="48"/>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від його імені</w:t>
      </w:r>
      <w:r w:rsidRPr="000977F7">
        <w:rPr>
          <w:rFonts w:asciiTheme="majorHAnsi" w:hAnsiTheme="majorHAnsi"/>
          <w:spacing w:val="-1"/>
          <w:sz w:val="20"/>
          <w:szCs w:val="20"/>
        </w:rPr>
        <w:t xml:space="preserve"> </w:t>
      </w:r>
      <w:r w:rsidRPr="000977F7">
        <w:rPr>
          <w:rFonts w:asciiTheme="majorHAnsi" w:hAnsiTheme="majorHAnsi"/>
          <w:sz w:val="20"/>
          <w:szCs w:val="20"/>
        </w:rPr>
        <w:t>проводять</w:t>
      </w:r>
      <w:r w:rsidRPr="000977F7">
        <w:rPr>
          <w:rFonts w:asciiTheme="majorHAnsi" w:hAnsiTheme="majorHAnsi"/>
          <w:spacing w:val="-1"/>
          <w:sz w:val="20"/>
          <w:szCs w:val="20"/>
        </w:rPr>
        <w:t xml:space="preserve"> </w:t>
      </w:r>
      <w:r w:rsidRPr="000977F7">
        <w:rPr>
          <w:rFonts w:asciiTheme="majorHAnsi" w:hAnsiTheme="majorHAnsi"/>
          <w:sz w:val="20"/>
          <w:szCs w:val="20"/>
        </w:rPr>
        <w:t>інші</w:t>
      </w:r>
    </w:p>
    <w:p w14:paraId="2BE5C8A3"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1"/>
          <w:sz w:val="20"/>
          <w:szCs w:val="20"/>
        </w:rPr>
      </w:pPr>
      <w:r w:rsidRPr="000977F7">
        <w:rPr>
          <w:rFonts w:asciiTheme="majorHAnsi" w:hAnsiTheme="majorHAnsi"/>
          <w:i/>
          <w:spacing w:val="-12"/>
          <w:sz w:val="20"/>
          <w:szCs w:val="20"/>
        </w:rPr>
        <w:t>ДСТУ ISO/IEC</w:t>
      </w:r>
      <w:r w:rsidRPr="000977F7">
        <w:rPr>
          <w:rFonts w:asciiTheme="majorHAnsi" w:hAnsiTheme="majorHAnsi"/>
          <w:i/>
          <w:spacing w:val="-28"/>
          <w:sz w:val="20"/>
          <w:szCs w:val="20"/>
        </w:rPr>
        <w:t xml:space="preserve"> </w:t>
      </w:r>
      <w:r w:rsidRPr="000977F7">
        <w:rPr>
          <w:rFonts w:asciiTheme="majorHAnsi" w:hAnsiTheme="majorHAnsi"/>
          <w:i/>
          <w:spacing w:val="-11"/>
          <w:sz w:val="20"/>
          <w:szCs w:val="20"/>
        </w:rPr>
        <w:t>17000:2007</w:t>
      </w:r>
    </w:p>
    <w:p w14:paraId="294EDAD3"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Орган з оцінки відповідності, що є третьою стороною та керує схемами сертифікації</w:t>
      </w:r>
    </w:p>
    <w:p w14:paraId="512DA0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E79E663"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Орган сертифікації може бути неурядовим або урядовим (з або без повноважень регулятора).</w:t>
      </w:r>
    </w:p>
    <w:p w14:paraId="05884021"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b/>
          <w:bCs/>
          <w:i/>
          <w:iCs/>
          <w:sz w:val="20"/>
          <w:szCs w:val="20"/>
        </w:rPr>
      </w:pPr>
      <w:r w:rsidRPr="000977F7">
        <w:rPr>
          <w:rFonts w:asciiTheme="majorHAnsi" w:hAnsiTheme="majorHAnsi"/>
          <w:i/>
          <w:iCs/>
          <w:sz w:val="20"/>
          <w:szCs w:val="20"/>
          <w:lang w:eastAsia="ru-RU"/>
        </w:rPr>
        <w:t>ДСТУ EN ISO/IEC 17065:2019</w:t>
      </w:r>
    </w:p>
    <w:p w14:paraId="5710F57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ОРГАН</w:t>
      </w:r>
      <w:r w:rsidRPr="000977F7">
        <w:rPr>
          <w:rFonts w:asciiTheme="majorHAnsi" w:hAnsiTheme="majorHAnsi"/>
          <w:b/>
          <w:spacing w:val="-6"/>
          <w:sz w:val="20"/>
          <w:szCs w:val="20"/>
        </w:rPr>
        <w:t xml:space="preserve"> </w:t>
      </w:r>
      <w:r w:rsidRPr="000977F7">
        <w:rPr>
          <w:rFonts w:asciiTheme="majorHAnsi" w:hAnsiTheme="majorHAnsi"/>
          <w:b/>
          <w:sz w:val="20"/>
          <w:szCs w:val="20"/>
        </w:rPr>
        <w:t>СТАНДАРТИЗАЦІЇ</w:t>
      </w:r>
      <w:r w:rsidRPr="000977F7">
        <w:rPr>
          <w:rFonts w:asciiTheme="majorHAnsi" w:hAnsiTheme="majorHAnsi"/>
          <w:b/>
          <w:spacing w:val="-4"/>
          <w:sz w:val="20"/>
          <w:szCs w:val="20"/>
        </w:rPr>
        <w:t xml:space="preserve"> </w:t>
      </w:r>
      <w:r w:rsidRPr="000977F7">
        <w:rPr>
          <w:rFonts w:asciiTheme="majorHAnsi" w:hAnsiTheme="majorHAnsi"/>
          <w:sz w:val="20"/>
          <w:szCs w:val="20"/>
        </w:rPr>
        <w:t>–</w:t>
      </w:r>
    </w:p>
    <w:p w14:paraId="40A6FC3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pacing w:val="-47"/>
          <w:sz w:val="20"/>
          <w:szCs w:val="20"/>
        </w:rPr>
        <w:t xml:space="preserve"> </w:t>
      </w:r>
      <w:r w:rsidRPr="000977F7">
        <w:rPr>
          <w:rFonts w:asciiTheme="majorHAnsi" w:hAnsiTheme="majorHAnsi"/>
          <w:sz w:val="20"/>
          <w:szCs w:val="20"/>
        </w:rPr>
        <w:t>STANDARDS</w:t>
      </w:r>
      <w:r w:rsidRPr="000977F7">
        <w:rPr>
          <w:rFonts w:asciiTheme="majorHAnsi" w:hAnsiTheme="majorHAnsi"/>
          <w:spacing w:val="-2"/>
          <w:sz w:val="20"/>
          <w:szCs w:val="20"/>
        </w:rPr>
        <w:t xml:space="preserve"> </w:t>
      </w:r>
      <w:r w:rsidRPr="000977F7">
        <w:rPr>
          <w:rFonts w:asciiTheme="majorHAnsi" w:hAnsiTheme="majorHAnsi"/>
          <w:sz w:val="20"/>
          <w:szCs w:val="20"/>
        </w:rPr>
        <w:t>BODY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12716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 діяльність якого у сфері стандартизації є загальновизнаною і основна функція якого полягає в розробленні, затвердженні чи прийнятті стандартів, які є</w:t>
      </w:r>
      <w:r w:rsidRPr="000977F7">
        <w:rPr>
          <w:rFonts w:asciiTheme="majorHAnsi" w:hAnsiTheme="majorHAnsi"/>
          <w:spacing w:val="1"/>
          <w:sz w:val="20"/>
          <w:szCs w:val="20"/>
        </w:rPr>
        <w:t xml:space="preserve"> </w:t>
      </w:r>
      <w:r w:rsidRPr="000977F7">
        <w:rPr>
          <w:rFonts w:asciiTheme="majorHAnsi" w:hAnsiTheme="majorHAnsi"/>
          <w:sz w:val="20"/>
          <w:szCs w:val="20"/>
        </w:rPr>
        <w:t>доступними</w:t>
      </w:r>
      <w:r w:rsidRPr="000977F7">
        <w:rPr>
          <w:rFonts w:asciiTheme="majorHAnsi" w:hAnsiTheme="majorHAnsi"/>
          <w:spacing w:val="48"/>
          <w:sz w:val="20"/>
          <w:szCs w:val="20"/>
        </w:rPr>
        <w:t xml:space="preserve"> </w:t>
      </w:r>
      <w:r w:rsidRPr="000977F7">
        <w:rPr>
          <w:rFonts w:asciiTheme="majorHAnsi" w:hAnsiTheme="majorHAnsi"/>
          <w:sz w:val="20"/>
          <w:szCs w:val="20"/>
        </w:rPr>
        <w:t>широкому</w:t>
      </w:r>
      <w:r w:rsidRPr="000977F7">
        <w:rPr>
          <w:rFonts w:asciiTheme="majorHAnsi" w:hAnsiTheme="majorHAnsi"/>
          <w:spacing w:val="-5"/>
          <w:sz w:val="20"/>
          <w:szCs w:val="20"/>
        </w:rPr>
        <w:t xml:space="preserve"> </w:t>
      </w:r>
      <w:r w:rsidRPr="000977F7">
        <w:rPr>
          <w:rFonts w:asciiTheme="majorHAnsi" w:hAnsiTheme="majorHAnsi"/>
          <w:sz w:val="20"/>
          <w:szCs w:val="20"/>
        </w:rPr>
        <w:t>колу</w:t>
      </w:r>
      <w:r w:rsidRPr="000977F7">
        <w:rPr>
          <w:rFonts w:asciiTheme="majorHAnsi" w:hAnsiTheme="majorHAnsi"/>
          <w:spacing w:val="-1"/>
          <w:sz w:val="20"/>
          <w:szCs w:val="20"/>
        </w:rPr>
        <w:t xml:space="preserve"> </w:t>
      </w:r>
      <w:r w:rsidRPr="000977F7">
        <w:rPr>
          <w:rFonts w:asciiTheme="majorHAnsi" w:hAnsiTheme="majorHAnsi"/>
          <w:sz w:val="20"/>
          <w:szCs w:val="20"/>
        </w:rPr>
        <w:t>користувачів</w:t>
      </w:r>
    </w:p>
    <w:p w14:paraId="33A6BA5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1E468ED1" w14:textId="77777777" w:rsidR="0097612F" w:rsidRPr="000977F7" w:rsidRDefault="0097612F" w:rsidP="00FD39A4">
      <w:pPr>
        <w:pStyle w:val="ac"/>
        <w:widowControl w:val="0"/>
        <w:numPr>
          <w:ilvl w:val="0"/>
          <w:numId w:val="129"/>
        </w:numPr>
        <w:tabs>
          <w:tab w:val="left" w:pos="284"/>
          <w:tab w:val="left" w:pos="73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Орган із стандартизації може мати й інші основні</w:t>
      </w:r>
      <w:r w:rsidRPr="000977F7">
        <w:rPr>
          <w:rFonts w:asciiTheme="majorHAnsi" w:hAnsiTheme="majorHAnsi"/>
          <w:spacing w:val="1"/>
          <w:sz w:val="20"/>
          <w:szCs w:val="20"/>
        </w:rPr>
        <w:t xml:space="preserve"> </w:t>
      </w:r>
      <w:r w:rsidRPr="000977F7">
        <w:rPr>
          <w:rFonts w:asciiTheme="majorHAnsi" w:hAnsiTheme="majorHAnsi"/>
          <w:sz w:val="20"/>
          <w:szCs w:val="20"/>
        </w:rPr>
        <w:t>функції</w:t>
      </w:r>
    </w:p>
    <w:p w14:paraId="13E1B627" w14:textId="77777777" w:rsidR="0097612F" w:rsidRPr="000977F7" w:rsidRDefault="0097612F" w:rsidP="00FD39A4">
      <w:pPr>
        <w:pStyle w:val="ac"/>
        <w:widowControl w:val="0"/>
        <w:numPr>
          <w:ilvl w:val="0"/>
          <w:numId w:val="129"/>
        </w:numPr>
        <w:tabs>
          <w:tab w:val="left" w:pos="284"/>
          <w:tab w:val="left" w:pos="73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 англійський термінології на позначення органу,</w:t>
      </w:r>
      <w:r w:rsidRPr="000977F7">
        <w:rPr>
          <w:rFonts w:asciiTheme="majorHAnsi" w:hAnsiTheme="majorHAnsi"/>
          <w:spacing w:val="1"/>
          <w:sz w:val="20"/>
          <w:szCs w:val="20"/>
        </w:rPr>
        <w:t xml:space="preserve"> </w:t>
      </w:r>
      <w:r w:rsidRPr="000977F7">
        <w:rPr>
          <w:rFonts w:asciiTheme="majorHAnsi" w:hAnsiTheme="majorHAnsi"/>
          <w:sz w:val="20"/>
          <w:szCs w:val="20"/>
        </w:rPr>
        <w:t>який може розробляти стандарти, але для якого ця</w:t>
      </w:r>
      <w:r w:rsidRPr="000977F7">
        <w:rPr>
          <w:rFonts w:asciiTheme="majorHAnsi" w:hAnsiTheme="majorHAnsi"/>
          <w:spacing w:val="1"/>
          <w:sz w:val="20"/>
          <w:szCs w:val="20"/>
        </w:rPr>
        <w:t xml:space="preserve"> </w:t>
      </w:r>
      <w:r w:rsidRPr="000977F7">
        <w:rPr>
          <w:rFonts w:asciiTheme="majorHAnsi" w:hAnsiTheme="majorHAnsi"/>
          <w:sz w:val="20"/>
          <w:szCs w:val="20"/>
        </w:rPr>
        <w:t xml:space="preserve">діяльність не є основною, вживається термін </w:t>
      </w:r>
      <w:r w:rsidRPr="000977F7">
        <w:rPr>
          <w:rFonts w:asciiTheme="majorHAnsi" w:hAnsiTheme="majorHAnsi"/>
          <w:spacing w:val="1"/>
          <w:w w:val="99"/>
          <w:sz w:val="20"/>
          <w:szCs w:val="20"/>
        </w:rPr>
        <w:t>"s</w:t>
      </w:r>
      <w:r w:rsidRPr="000977F7">
        <w:rPr>
          <w:rFonts w:asciiTheme="majorHAnsi" w:hAnsiTheme="majorHAnsi"/>
          <w:w w:val="99"/>
          <w:sz w:val="20"/>
          <w:szCs w:val="20"/>
        </w:rPr>
        <w:t>ta</w:t>
      </w:r>
      <w:r w:rsidRPr="000977F7">
        <w:rPr>
          <w:rFonts w:asciiTheme="majorHAnsi" w:hAnsiTheme="majorHAnsi"/>
          <w:spacing w:val="-1"/>
          <w:w w:val="99"/>
          <w:sz w:val="20"/>
          <w:szCs w:val="20"/>
        </w:rPr>
        <w:t>n</w:t>
      </w:r>
      <w:r w:rsidRPr="000977F7">
        <w:rPr>
          <w:rFonts w:asciiTheme="majorHAnsi" w:hAnsiTheme="majorHAnsi"/>
          <w:spacing w:val="1"/>
          <w:w w:val="99"/>
          <w:sz w:val="20"/>
          <w:szCs w:val="20"/>
        </w:rPr>
        <w:t>d</w:t>
      </w:r>
      <w:r w:rsidRPr="000977F7">
        <w:rPr>
          <w:rFonts w:asciiTheme="majorHAnsi" w:hAnsiTheme="majorHAnsi"/>
          <w:w w:val="99"/>
          <w:sz w:val="20"/>
          <w:szCs w:val="20"/>
        </w:rPr>
        <w:t>a</w:t>
      </w:r>
      <w:r w:rsidRPr="000977F7">
        <w:rPr>
          <w:rFonts w:asciiTheme="majorHAnsi" w:hAnsiTheme="majorHAnsi"/>
          <w:spacing w:val="1"/>
          <w:w w:val="99"/>
          <w:sz w:val="20"/>
          <w:szCs w:val="20"/>
        </w:rPr>
        <w:t>rd</w:t>
      </w:r>
      <w:r w:rsidRPr="000977F7">
        <w:rPr>
          <w:rFonts w:asciiTheme="majorHAnsi" w:hAnsiTheme="majorHAnsi"/>
          <w:w w:val="99"/>
          <w:sz w:val="20"/>
          <w:szCs w:val="20"/>
        </w:rPr>
        <w:t>izi</w:t>
      </w:r>
      <w:r w:rsidRPr="000977F7">
        <w:rPr>
          <w:rFonts w:asciiTheme="majorHAnsi" w:hAnsiTheme="majorHAnsi"/>
          <w:spacing w:val="1"/>
          <w:w w:val="99"/>
          <w:sz w:val="20"/>
          <w:szCs w:val="20"/>
        </w:rPr>
        <w:t>n</w:t>
      </w:r>
      <w:r w:rsidRPr="000977F7">
        <w:rPr>
          <w:rFonts w:asciiTheme="majorHAnsi" w:hAnsiTheme="majorHAnsi"/>
          <w:w w:val="99"/>
          <w:sz w:val="20"/>
          <w:szCs w:val="20"/>
        </w:rPr>
        <w:t>g</w:t>
      </w:r>
      <w:r w:rsidRPr="000977F7">
        <w:rPr>
          <w:rFonts w:asciiTheme="majorHAnsi" w:hAnsiTheme="majorHAnsi"/>
          <w:spacing w:val="-1"/>
          <w:sz w:val="20"/>
          <w:szCs w:val="20"/>
        </w:rPr>
        <w:t xml:space="preserve"> </w:t>
      </w:r>
      <w:r w:rsidRPr="000977F7">
        <w:rPr>
          <w:rFonts w:asciiTheme="majorHAnsi" w:hAnsiTheme="majorHAnsi"/>
          <w:spacing w:val="1"/>
          <w:w w:val="99"/>
          <w:sz w:val="20"/>
          <w:szCs w:val="20"/>
        </w:rPr>
        <w:t>bod</w:t>
      </w:r>
      <w:r w:rsidRPr="000977F7">
        <w:rPr>
          <w:rFonts w:asciiTheme="majorHAnsi" w:hAnsiTheme="majorHAnsi"/>
          <w:spacing w:val="-4"/>
          <w:w w:val="99"/>
          <w:sz w:val="20"/>
          <w:szCs w:val="20"/>
        </w:rPr>
        <w:t>y"</w:t>
      </w:r>
    </w:p>
    <w:p w14:paraId="5515C1EB"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1"/>
          <w:sz w:val="20"/>
          <w:szCs w:val="20"/>
        </w:rPr>
      </w:pPr>
      <w:r w:rsidRPr="000977F7">
        <w:rPr>
          <w:rFonts w:asciiTheme="majorHAnsi" w:hAnsiTheme="majorHAnsi"/>
          <w:i/>
          <w:spacing w:val="-12"/>
          <w:sz w:val="20"/>
          <w:szCs w:val="20"/>
        </w:rPr>
        <w:t xml:space="preserve">ДСТУ ISO/IEC </w:t>
      </w:r>
      <w:r w:rsidRPr="000977F7">
        <w:rPr>
          <w:rFonts w:asciiTheme="majorHAnsi" w:hAnsiTheme="majorHAnsi"/>
          <w:i/>
          <w:spacing w:val="-11"/>
          <w:sz w:val="20"/>
          <w:szCs w:val="20"/>
        </w:rPr>
        <w:t>17000:2007</w:t>
      </w:r>
    </w:p>
    <w:p w14:paraId="3EBD46B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ОРГАН,</w:t>
      </w:r>
      <w:r w:rsidRPr="000977F7">
        <w:rPr>
          <w:rFonts w:asciiTheme="majorHAnsi" w:hAnsiTheme="majorHAnsi"/>
          <w:b/>
          <w:spacing w:val="-7"/>
          <w:sz w:val="20"/>
          <w:szCs w:val="20"/>
        </w:rPr>
        <w:t xml:space="preserve"> </w:t>
      </w:r>
      <w:r w:rsidRPr="000977F7">
        <w:rPr>
          <w:rFonts w:asciiTheme="majorHAnsi" w:hAnsiTheme="majorHAnsi"/>
          <w:b/>
          <w:sz w:val="20"/>
          <w:szCs w:val="20"/>
        </w:rPr>
        <w:t>ЩО</w:t>
      </w:r>
      <w:r w:rsidRPr="000977F7">
        <w:rPr>
          <w:rFonts w:asciiTheme="majorHAnsi" w:hAnsiTheme="majorHAnsi"/>
          <w:b/>
          <w:spacing w:val="-7"/>
          <w:sz w:val="20"/>
          <w:szCs w:val="20"/>
        </w:rPr>
        <w:t xml:space="preserve"> </w:t>
      </w:r>
      <w:r w:rsidRPr="000977F7">
        <w:rPr>
          <w:rFonts w:asciiTheme="majorHAnsi" w:hAnsiTheme="majorHAnsi"/>
          <w:b/>
          <w:sz w:val="20"/>
          <w:szCs w:val="20"/>
        </w:rPr>
        <w:t>ЗАЙМАЄТЬСЯ</w:t>
      </w:r>
      <w:r w:rsidRPr="000977F7">
        <w:rPr>
          <w:rFonts w:asciiTheme="majorHAnsi" w:hAnsiTheme="majorHAnsi"/>
          <w:b/>
          <w:spacing w:val="-47"/>
          <w:sz w:val="20"/>
          <w:szCs w:val="20"/>
        </w:rPr>
        <w:t xml:space="preserve"> </w:t>
      </w:r>
      <w:r w:rsidRPr="000977F7">
        <w:rPr>
          <w:rFonts w:asciiTheme="majorHAnsi" w:hAnsiTheme="majorHAnsi"/>
          <w:b/>
          <w:sz w:val="20"/>
          <w:szCs w:val="20"/>
        </w:rPr>
        <w:t xml:space="preserve">СТАНДАРТИЗАЦІЄЮ </w:t>
      </w:r>
      <w:r w:rsidRPr="000977F7">
        <w:rPr>
          <w:rFonts w:asciiTheme="majorHAnsi" w:hAnsiTheme="majorHAnsi"/>
          <w:sz w:val="20"/>
          <w:szCs w:val="20"/>
        </w:rPr>
        <w:t>–</w:t>
      </w:r>
    </w:p>
    <w:p w14:paraId="7E4E94F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STANDARDIZING</w:t>
      </w:r>
      <w:r w:rsidRPr="000977F7">
        <w:rPr>
          <w:rFonts w:asciiTheme="majorHAnsi" w:hAnsiTheme="majorHAnsi"/>
          <w:spacing w:val="-2"/>
          <w:sz w:val="20"/>
          <w:szCs w:val="20"/>
        </w:rPr>
        <w:t xml:space="preserve"> </w:t>
      </w:r>
      <w:r w:rsidRPr="000977F7">
        <w:rPr>
          <w:rFonts w:asciiTheme="majorHAnsi" w:hAnsiTheme="majorHAnsi"/>
          <w:sz w:val="20"/>
          <w:szCs w:val="20"/>
        </w:rPr>
        <w:t>BODY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7B6F5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 діяльність якого в галузі стандартизації є загальновизнаною</w:t>
      </w:r>
    </w:p>
    <w:p w14:paraId="30F5C4F6" w14:textId="77777777" w:rsidR="0097612F" w:rsidRPr="000977F7" w:rsidRDefault="0097612F" w:rsidP="000977F7">
      <w:pPr>
        <w:pStyle w:val="7"/>
        <w:tabs>
          <w:tab w:val="left" w:pos="284"/>
        </w:tabs>
        <w:spacing w:before="0" w:line="240" w:lineRule="auto"/>
        <w:ind w:left="170"/>
        <w:mirrorIndents/>
        <w:jc w:val="both"/>
        <w:rPr>
          <w:color w:val="auto"/>
          <w:spacing w:val="20"/>
          <w:sz w:val="20"/>
          <w:szCs w:val="20"/>
        </w:rPr>
      </w:pPr>
      <w:r w:rsidRPr="000977F7">
        <w:rPr>
          <w:color w:val="auto"/>
          <w:sz w:val="20"/>
          <w:szCs w:val="20"/>
        </w:rPr>
        <w:t>ОРГАНИ</w:t>
      </w:r>
      <w:r w:rsidRPr="000977F7">
        <w:rPr>
          <w:color w:val="auto"/>
          <w:spacing w:val="19"/>
          <w:sz w:val="20"/>
          <w:szCs w:val="20"/>
        </w:rPr>
        <w:t xml:space="preserve"> </w:t>
      </w:r>
      <w:r w:rsidRPr="000977F7">
        <w:rPr>
          <w:color w:val="auto"/>
          <w:sz w:val="20"/>
          <w:szCs w:val="20"/>
        </w:rPr>
        <w:t>ДЕРЖАВНОГО</w:t>
      </w:r>
      <w:r w:rsidRPr="000977F7">
        <w:rPr>
          <w:color w:val="auto"/>
          <w:spacing w:val="23"/>
          <w:sz w:val="20"/>
          <w:szCs w:val="20"/>
        </w:rPr>
        <w:t xml:space="preserve"> </w:t>
      </w:r>
      <w:r w:rsidRPr="000977F7">
        <w:rPr>
          <w:color w:val="auto"/>
          <w:sz w:val="20"/>
          <w:szCs w:val="20"/>
        </w:rPr>
        <w:t>НАГЛЯДУ</w:t>
      </w:r>
      <w:r w:rsidRPr="000977F7">
        <w:rPr>
          <w:color w:val="auto"/>
          <w:spacing w:val="21"/>
          <w:sz w:val="20"/>
          <w:szCs w:val="20"/>
        </w:rPr>
        <w:t xml:space="preserve"> </w:t>
      </w:r>
      <w:r w:rsidRPr="000977F7">
        <w:rPr>
          <w:color w:val="auto"/>
          <w:sz w:val="20"/>
          <w:szCs w:val="20"/>
        </w:rPr>
        <w:t>ЗА</w:t>
      </w:r>
      <w:r w:rsidRPr="000977F7">
        <w:rPr>
          <w:color w:val="auto"/>
          <w:spacing w:val="20"/>
          <w:sz w:val="20"/>
          <w:szCs w:val="20"/>
        </w:rPr>
        <w:t xml:space="preserve"> </w:t>
      </w:r>
    </w:p>
    <w:p w14:paraId="5F91DC7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ОХОРО</w:t>
      </w:r>
      <w:r w:rsidRPr="000977F7">
        <w:rPr>
          <w:color w:val="auto"/>
          <w:spacing w:val="-47"/>
          <w:sz w:val="20"/>
          <w:szCs w:val="20"/>
        </w:rPr>
        <w:t xml:space="preserve"> </w:t>
      </w:r>
      <w:r w:rsidRPr="000977F7">
        <w:rPr>
          <w:color w:val="auto"/>
          <w:sz w:val="20"/>
          <w:szCs w:val="20"/>
        </w:rPr>
        <w:t>НОЮ</w:t>
      </w:r>
      <w:r w:rsidRPr="000977F7">
        <w:rPr>
          <w:color w:val="auto"/>
          <w:spacing w:val="-2"/>
          <w:sz w:val="20"/>
          <w:szCs w:val="20"/>
        </w:rPr>
        <w:t xml:space="preserve"> </w:t>
      </w:r>
      <w:r w:rsidRPr="000977F7">
        <w:rPr>
          <w:color w:val="auto"/>
          <w:sz w:val="20"/>
          <w:szCs w:val="20"/>
        </w:rPr>
        <w:t>ПРАЦІ</w:t>
      </w:r>
      <w:r w:rsidRPr="000977F7">
        <w:rPr>
          <w:color w:val="auto"/>
          <w:spacing w:val="1"/>
          <w:sz w:val="20"/>
          <w:szCs w:val="20"/>
        </w:rPr>
        <w:t xml:space="preserve"> </w:t>
      </w:r>
      <w:r w:rsidRPr="000977F7">
        <w:rPr>
          <w:color w:val="auto"/>
          <w:sz w:val="20"/>
          <w:szCs w:val="20"/>
        </w:rPr>
        <w:t>-</w:t>
      </w:r>
    </w:p>
    <w:p w14:paraId="79C2DB6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Державний нагляд за додержанням законів та інших</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нормативно-правових актів про охорону праці здійснюють:</w:t>
      </w:r>
    </w:p>
    <w:p w14:paraId="4367DE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центральний</w:t>
      </w:r>
      <w:r w:rsidRPr="000977F7">
        <w:rPr>
          <w:rFonts w:asciiTheme="majorHAnsi" w:hAnsiTheme="majorHAnsi"/>
          <w:spacing w:val="20"/>
          <w:sz w:val="20"/>
          <w:szCs w:val="20"/>
        </w:rPr>
        <w:t xml:space="preserve"> </w:t>
      </w:r>
      <w:r w:rsidRPr="000977F7">
        <w:rPr>
          <w:rFonts w:asciiTheme="majorHAnsi" w:hAnsiTheme="majorHAnsi"/>
          <w:sz w:val="20"/>
          <w:szCs w:val="20"/>
        </w:rPr>
        <w:t>орган</w:t>
      </w:r>
      <w:r w:rsidRPr="000977F7">
        <w:rPr>
          <w:rFonts w:asciiTheme="majorHAnsi" w:hAnsiTheme="majorHAnsi"/>
          <w:spacing w:val="20"/>
          <w:sz w:val="20"/>
          <w:szCs w:val="20"/>
        </w:rPr>
        <w:t xml:space="preserve"> </w:t>
      </w:r>
      <w:r w:rsidRPr="000977F7">
        <w:rPr>
          <w:rFonts w:asciiTheme="majorHAnsi" w:hAnsiTheme="majorHAnsi"/>
          <w:sz w:val="20"/>
          <w:szCs w:val="20"/>
        </w:rPr>
        <w:t>виконавчої</w:t>
      </w:r>
      <w:r w:rsidRPr="000977F7">
        <w:rPr>
          <w:rFonts w:asciiTheme="majorHAnsi" w:hAnsiTheme="majorHAnsi"/>
          <w:spacing w:val="20"/>
          <w:sz w:val="20"/>
          <w:szCs w:val="20"/>
        </w:rPr>
        <w:t xml:space="preserve"> </w:t>
      </w:r>
      <w:r w:rsidRPr="000977F7">
        <w:rPr>
          <w:rFonts w:asciiTheme="majorHAnsi" w:hAnsiTheme="majorHAnsi"/>
          <w:sz w:val="20"/>
          <w:szCs w:val="20"/>
        </w:rPr>
        <w:t>влади,</w:t>
      </w:r>
      <w:r w:rsidRPr="000977F7">
        <w:rPr>
          <w:rFonts w:asciiTheme="majorHAnsi" w:hAnsiTheme="majorHAnsi"/>
          <w:spacing w:val="21"/>
          <w:sz w:val="20"/>
          <w:szCs w:val="20"/>
        </w:rPr>
        <w:t xml:space="preserve"> </w:t>
      </w:r>
      <w:r w:rsidRPr="000977F7">
        <w:rPr>
          <w:rFonts w:asciiTheme="majorHAnsi" w:hAnsiTheme="majorHAnsi"/>
          <w:sz w:val="20"/>
          <w:szCs w:val="20"/>
        </w:rPr>
        <w:t>що</w:t>
      </w:r>
      <w:r w:rsidRPr="000977F7">
        <w:rPr>
          <w:rFonts w:asciiTheme="majorHAnsi" w:hAnsiTheme="majorHAnsi"/>
          <w:spacing w:val="21"/>
          <w:sz w:val="20"/>
          <w:szCs w:val="20"/>
        </w:rPr>
        <w:t xml:space="preserve"> </w:t>
      </w:r>
      <w:r w:rsidRPr="000977F7">
        <w:rPr>
          <w:rFonts w:asciiTheme="majorHAnsi" w:hAnsiTheme="majorHAnsi"/>
          <w:sz w:val="20"/>
          <w:szCs w:val="20"/>
        </w:rPr>
        <w:t>реалізує</w:t>
      </w:r>
      <w:r w:rsidRPr="000977F7">
        <w:rPr>
          <w:rFonts w:asciiTheme="majorHAnsi" w:hAnsiTheme="majorHAnsi"/>
          <w:spacing w:val="-47"/>
          <w:sz w:val="20"/>
          <w:szCs w:val="20"/>
        </w:rPr>
        <w:t xml:space="preserve"> </w:t>
      </w:r>
      <w:r w:rsidRPr="000977F7">
        <w:rPr>
          <w:rFonts w:asciiTheme="majorHAnsi" w:hAnsiTheme="majorHAnsi"/>
          <w:sz w:val="20"/>
          <w:szCs w:val="20"/>
        </w:rPr>
        <w:t>державну політику у сфері охорони праці;</w:t>
      </w:r>
      <w:r w:rsidRPr="000977F7">
        <w:rPr>
          <w:rFonts w:asciiTheme="majorHAnsi" w:hAnsiTheme="majorHAnsi"/>
          <w:spacing w:val="1"/>
          <w:sz w:val="20"/>
          <w:szCs w:val="20"/>
        </w:rPr>
        <w:t xml:space="preserve"> </w:t>
      </w:r>
      <w:r w:rsidRPr="000977F7">
        <w:rPr>
          <w:rFonts w:asciiTheme="majorHAnsi" w:hAnsiTheme="majorHAnsi"/>
          <w:sz w:val="20"/>
          <w:szCs w:val="20"/>
        </w:rPr>
        <w:t>центральний</w:t>
      </w:r>
      <w:r w:rsidRPr="000977F7">
        <w:rPr>
          <w:rFonts w:asciiTheme="majorHAnsi" w:hAnsiTheme="majorHAnsi"/>
          <w:spacing w:val="20"/>
          <w:sz w:val="20"/>
          <w:szCs w:val="20"/>
        </w:rPr>
        <w:t xml:space="preserve"> </w:t>
      </w:r>
      <w:r w:rsidRPr="000977F7">
        <w:rPr>
          <w:rFonts w:asciiTheme="majorHAnsi" w:hAnsiTheme="majorHAnsi"/>
          <w:sz w:val="20"/>
          <w:szCs w:val="20"/>
        </w:rPr>
        <w:t>орган</w:t>
      </w:r>
      <w:r w:rsidRPr="000977F7">
        <w:rPr>
          <w:rFonts w:asciiTheme="majorHAnsi" w:hAnsiTheme="majorHAnsi"/>
          <w:spacing w:val="21"/>
          <w:sz w:val="20"/>
          <w:szCs w:val="20"/>
        </w:rPr>
        <w:t xml:space="preserve"> </w:t>
      </w:r>
      <w:r w:rsidRPr="000977F7">
        <w:rPr>
          <w:rFonts w:asciiTheme="majorHAnsi" w:hAnsiTheme="majorHAnsi"/>
          <w:sz w:val="20"/>
          <w:szCs w:val="20"/>
        </w:rPr>
        <w:t>виконавчої</w:t>
      </w:r>
      <w:r w:rsidRPr="000977F7">
        <w:rPr>
          <w:rFonts w:asciiTheme="majorHAnsi" w:hAnsiTheme="majorHAnsi"/>
          <w:spacing w:val="21"/>
          <w:sz w:val="20"/>
          <w:szCs w:val="20"/>
        </w:rPr>
        <w:t xml:space="preserve"> </w:t>
      </w:r>
      <w:r w:rsidRPr="000977F7">
        <w:rPr>
          <w:rFonts w:asciiTheme="majorHAnsi" w:hAnsiTheme="majorHAnsi"/>
          <w:sz w:val="20"/>
          <w:szCs w:val="20"/>
        </w:rPr>
        <w:t>влади,</w:t>
      </w:r>
      <w:r w:rsidRPr="000977F7">
        <w:rPr>
          <w:rFonts w:asciiTheme="majorHAnsi" w:hAnsiTheme="majorHAnsi"/>
          <w:spacing w:val="22"/>
          <w:sz w:val="20"/>
          <w:szCs w:val="20"/>
        </w:rPr>
        <w:t xml:space="preserve"> </w:t>
      </w:r>
      <w:r w:rsidRPr="000977F7">
        <w:rPr>
          <w:rFonts w:asciiTheme="majorHAnsi" w:hAnsiTheme="majorHAnsi"/>
          <w:sz w:val="20"/>
          <w:szCs w:val="20"/>
        </w:rPr>
        <w:t>що</w:t>
      </w:r>
      <w:r w:rsidRPr="000977F7">
        <w:rPr>
          <w:rFonts w:asciiTheme="majorHAnsi" w:hAnsiTheme="majorHAnsi"/>
          <w:spacing w:val="22"/>
          <w:sz w:val="20"/>
          <w:szCs w:val="20"/>
        </w:rPr>
        <w:t xml:space="preserve"> </w:t>
      </w:r>
      <w:r w:rsidRPr="000977F7">
        <w:rPr>
          <w:rFonts w:asciiTheme="majorHAnsi" w:hAnsiTheme="majorHAnsi"/>
          <w:sz w:val="20"/>
          <w:szCs w:val="20"/>
        </w:rPr>
        <w:t>реалізує</w:t>
      </w:r>
      <w:r w:rsidRPr="000977F7">
        <w:rPr>
          <w:rFonts w:asciiTheme="majorHAnsi" w:hAnsiTheme="majorHAnsi"/>
          <w:spacing w:val="1"/>
          <w:sz w:val="20"/>
          <w:szCs w:val="20"/>
        </w:rPr>
        <w:t xml:space="preserve"> </w:t>
      </w:r>
      <w:r w:rsidRPr="000977F7">
        <w:rPr>
          <w:rFonts w:asciiTheme="majorHAnsi" w:hAnsiTheme="majorHAnsi"/>
          <w:sz w:val="20"/>
          <w:szCs w:val="20"/>
        </w:rPr>
        <w:t>державну</w:t>
      </w:r>
      <w:r w:rsidRPr="000977F7">
        <w:rPr>
          <w:rFonts w:asciiTheme="majorHAnsi" w:hAnsiTheme="majorHAnsi"/>
          <w:spacing w:val="6"/>
          <w:sz w:val="20"/>
          <w:szCs w:val="20"/>
        </w:rPr>
        <w:t xml:space="preserve"> </w:t>
      </w:r>
      <w:r w:rsidRPr="000977F7">
        <w:rPr>
          <w:rFonts w:asciiTheme="majorHAnsi" w:hAnsiTheme="majorHAnsi"/>
          <w:sz w:val="20"/>
          <w:szCs w:val="20"/>
        </w:rPr>
        <w:t>політику</w:t>
      </w:r>
      <w:r w:rsidRPr="000977F7">
        <w:rPr>
          <w:rFonts w:asciiTheme="majorHAnsi" w:hAnsiTheme="majorHAnsi"/>
          <w:spacing w:val="7"/>
          <w:sz w:val="20"/>
          <w:szCs w:val="20"/>
        </w:rPr>
        <w:t xml:space="preserve"> </w:t>
      </w:r>
      <w:r w:rsidRPr="000977F7">
        <w:rPr>
          <w:rFonts w:asciiTheme="majorHAnsi" w:hAnsiTheme="majorHAnsi"/>
          <w:sz w:val="20"/>
          <w:szCs w:val="20"/>
        </w:rPr>
        <w:t>у</w:t>
      </w:r>
      <w:r w:rsidRPr="000977F7">
        <w:rPr>
          <w:rFonts w:asciiTheme="majorHAnsi" w:hAnsiTheme="majorHAnsi"/>
          <w:spacing w:val="6"/>
          <w:sz w:val="20"/>
          <w:szCs w:val="20"/>
        </w:rPr>
        <w:t xml:space="preserve"> </w:t>
      </w:r>
      <w:r w:rsidRPr="000977F7">
        <w:rPr>
          <w:rFonts w:asciiTheme="majorHAnsi" w:hAnsiTheme="majorHAnsi"/>
          <w:sz w:val="20"/>
          <w:szCs w:val="20"/>
        </w:rPr>
        <w:t>сфері</w:t>
      </w:r>
      <w:r w:rsidRPr="000977F7">
        <w:rPr>
          <w:rFonts w:asciiTheme="majorHAnsi" w:hAnsiTheme="majorHAnsi"/>
          <w:spacing w:val="11"/>
          <w:sz w:val="20"/>
          <w:szCs w:val="20"/>
        </w:rPr>
        <w:t xml:space="preserve"> </w:t>
      </w:r>
      <w:r w:rsidRPr="000977F7">
        <w:rPr>
          <w:rFonts w:asciiTheme="majorHAnsi" w:hAnsiTheme="majorHAnsi"/>
          <w:sz w:val="20"/>
          <w:szCs w:val="20"/>
        </w:rPr>
        <w:t>ядерної</w:t>
      </w:r>
      <w:r w:rsidRPr="000977F7">
        <w:rPr>
          <w:rFonts w:asciiTheme="majorHAnsi" w:hAnsiTheme="majorHAnsi"/>
          <w:spacing w:val="7"/>
          <w:sz w:val="20"/>
          <w:szCs w:val="20"/>
        </w:rPr>
        <w:t xml:space="preserve"> </w:t>
      </w:r>
      <w:r w:rsidRPr="000977F7">
        <w:rPr>
          <w:rFonts w:asciiTheme="majorHAnsi" w:hAnsiTheme="majorHAnsi"/>
          <w:sz w:val="20"/>
          <w:szCs w:val="20"/>
        </w:rPr>
        <w:t>та</w:t>
      </w:r>
      <w:r w:rsidRPr="000977F7">
        <w:rPr>
          <w:rFonts w:asciiTheme="majorHAnsi" w:hAnsiTheme="majorHAnsi"/>
          <w:spacing w:val="8"/>
          <w:sz w:val="20"/>
          <w:szCs w:val="20"/>
        </w:rPr>
        <w:t xml:space="preserve"> </w:t>
      </w:r>
      <w:r w:rsidRPr="000977F7">
        <w:rPr>
          <w:rFonts w:asciiTheme="majorHAnsi" w:hAnsiTheme="majorHAnsi"/>
          <w:sz w:val="20"/>
          <w:szCs w:val="20"/>
        </w:rPr>
        <w:t>радіаційної</w:t>
      </w:r>
      <w:r w:rsidRPr="000977F7">
        <w:rPr>
          <w:rFonts w:asciiTheme="majorHAnsi" w:hAnsiTheme="majorHAnsi"/>
          <w:spacing w:val="11"/>
          <w:sz w:val="20"/>
          <w:szCs w:val="20"/>
        </w:rPr>
        <w:t xml:space="preserve"> </w:t>
      </w:r>
      <w:r w:rsidRPr="000977F7">
        <w:rPr>
          <w:rFonts w:asciiTheme="majorHAnsi" w:hAnsiTheme="majorHAnsi"/>
          <w:sz w:val="20"/>
          <w:szCs w:val="20"/>
        </w:rPr>
        <w:t>безпеки;</w:t>
      </w:r>
    </w:p>
    <w:p w14:paraId="02BD83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центральний</w:t>
      </w:r>
      <w:r w:rsidRPr="000977F7">
        <w:rPr>
          <w:rFonts w:asciiTheme="majorHAnsi" w:hAnsiTheme="majorHAnsi"/>
          <w:spacing w:val="1"/>
          <w:sz w:val="20"/>
          <w:szCs w:val="20"/>
        </w:rPr>
        <w:t xml:space="preserve"> </w:t>
      </w:r>
      <w:r w:rsidRPr="000977F7">
        <w:rPr>
          <w:rFonts w:asciiTheme="majorHAnsi" w:hAnsiTheme="majorHAnsi"/>
          <w:sz w:val="20"/>
          <w:szCs w:val="20"/>
        </w:rPr>
        <w:t>орган</w:t>
      </w:r>
      <w:r w:rsidRPr="000977F7">
        <w:rPr>
          <w:rFonts w:asciiTheme="majorHAnsi" w:hAnsiTheme="majorHAnsi"/>
          <w:spacing w:val="1"/>
          <w:sz w:val="20"/>
          <w:szCs w:val="20"/>
        </w:rPr>
        <w:t xml:space="preserve"> </w:t>
      </w:r>
      <w:r w:rsidRPr="000977F7">
        <w:rPr>
          <w:rFonts w:asciiTheme="majorHAnsi" w:hAnsiTheme="majorHAnsi"/>
          <w:sz w:val="20"/>
          <w:szCs w:val="20"/>
        </w:rPr>
        <w:t>виконавчої</w:t>
      </w:r>
      <w:r w:rsidRPr="000977F7">
        <w:rPr>
          <w:rFonts w:asciiTheme="majorHAnsi" w:hAnsiTheme="majorHAnsi"/>
          <w:spacing w:val="1"/>
          <w:sz w:val="20"/>
          <w:szCs w:val="20"/>
        </w:rPr>
        <w:t xml:space="preserve"> </w:t>
      </w:r>
      <w:r w:rsidRPr="000977F7">
        <w:rPr>
          <w:rFonts w:asciiTheme="majorHAnsi" w:hAnsiTheme="majorHAnsi"/>
          <w:sz w:val="20"/>
          <w:szCs w:val="20"/>
        </w:rPr>
        <w:t>влади,</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реалізує</w:t>
      </w:r>
      <w:r w:rsidRPr="000977F7">
        <w:rPr>
          <w:rFonts w:asciiTheme="majorHAnsi" w:hAnsiTheme="majorHAnsi"/>
          <w:spacing w:val="1"/>
          <w:sz w:val="20"/>
          <w:szCs w:val="20"/>
        </w:rPr>
        <w:t xml:space="preserve"> </w:t>
      </w:r>
      <w:r w:rsidRPr="000977F7">
        <w:rPr>
          <w:rFonts w:asciiTheme="majorHAnsi" w:hAnsiTheme="majorHAnsi"/>
          <w:sz w:val="20"/>
          <w:szCs w:val="20"/>
        </w:rPr>
        <w:t>державну політику з питань нагляду та контролю за</w:t>
      </w:r>
      <w:r w:rsidRPr="000977F7">
        <w:rPr>
          <w:rFonts w:asciiTheme="majorHAnsi" w:hAnsiTheme="majorHAnsi"/>
          <w:spacing w:val="1"/>
          <w:sz w:val="20"/>
          <w:szCs w:val="20"/>
        </w:rPr>
        <w:t xml:space="preserve"> </w:t>
      </w:r>
      <w:r w:rsidRPr="000977F7">
        <w:rPr>
          <w:rFonts w:asciiTheme="majorHAnsi" w:hAnsiTheme="majorHAnsi"/>
          <w:sz w:val="20"/>
          <w:szCs w:val="20"/>
        </w:rPr>
        <w:t>додержанням законодавства у сферах пожежної і техногенної</w:t>
      </w:r>
      <w:r w:rsidRPr="000977F7">
        <w:rPr>
          <w:rFonts w:asciiTheme="majorHAnsi" w:hAnsiTheme="majorHAnsi"/>
          <w:spacing w:val="-2"/>
          <w:sz w:val="20"/>
          <w:szCs w:val="20"/>
        </w:rPr>
        <w:t xml:space="preserve"> </w:t>
      </w:r>
      <w:r w:rsidRPr="000977F7">
        <w:rPr>
          <w:rFonts w:asciiTheme="majorHAnsi" w:hAnsiTheme="majorHAnsi"/>
          <w:sz w:val="20"/>
          <w:szCs w:val="20"/>
        </w:rPr>
        <w:t>безпеки;</w:t>
      </w:r>
    </w:p>
    <w:p w14:paraId="3B71EC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центральний</w:t>
      </w:r>
      <w:r w:rsidRPr="000977F7">
        <w:rPr>
          <w:rFonts w:asciiTheme="majorHAnsi" w:hAnsiTheme="majorHAnsi"/>
          <w:spacing w:val="1"/>
          <w:sz w:val="20"/>
          <w:szCs w:val="20"/>
        </w:rPr>
        <w:t xml:space="preserve"> </w:t>
      </w:r>
      <w:r w:rsidRPr="000977F7">
        <w:rPr>
          <w:rFonts w:asciiTheme="majorHAnsi" w:hAnsiTheme="majorHAnsi"/>
          <w:sz w:val="20"/>
          <w:szCs w:val="20"/>
        </w:rPr>
        <w:t>орган</w:t>
      </w:r>
      <w:r w:rsidRPr="000977F7">
        <w:rPr>
          <w:rFonts w:asciiTheme="majorHAnsi" w:hAnsiTheme="majorHAnsi"/>
          <w:spacing w:val="1"/>
          <w:sz w:val="20"/>
          <w:szCs w:val="20"/>
        </w:rPr>
        <w:t xml:space="preserve"> </w:t>
      </w:r>
      <w:r w:rsidRPr="000977F7">
        <w:rPr>
          <w:rFonts w:asciiTheme="majorHAnsi" w:hAnsiTheme="majorHAnsi"/>
          <w:sz w:val="20"/>
          <w:szCs w:val="20"/>
        </w:rPr>
        <w:t>виконавчої</w:t>
      </w:r>
      <w:r w:rsidRPr="000977F7">
        <w:rPr>
          <w:rFonts w:asciiTheme="majorHAnsi" w:hAnsiTheme="majorHAnsi"/>
          <w:spacing w:val="1"/>
          <w:sz w:val="20"/>
          <w:szCs w:val="20"/>
        </w:rPr>
        <w:t xml:space="preserve"> </w:t>
      </w:r>
      <w:r w:rsidRPr="000977F7">
        <w:rPr>
          <w:rFonts w:asciiTheme="majorHAnsi" w:hAnsiTheme="majorHAnsi"/>
          <w:sz w:val="20"/>
          <w:szCs w:val="20"/>
        </w:rPr>
        <w:t>влади,</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реалізує</w:t>
      </w:r>
      <w:r w:rsidRPr="000977F7">
        <w:rPr>
          <w:rFonts w:asciiTheme="majorHAnsi" w:hAnsiTheme="majorHAnsi"/>
          <w:spacing w:val="1"/>
          <w:sz w:val="20"/>
          <w:szCs w:val="20"/>
        </w:rPr>
        <w:t xml:space="preserve"> </w:t>
      </w:r>
      <w:r w:rsidRPr="000977F7">
        <w:rPr>
          <w:rFonts w:asciiTheme="majorHAnsi" w:hAnsiTheme="majorHAnsi"/>
          <w:sz w:val="20"/>
          <w:szCs w:val="20"/>
        </w:rPr>
        <w:t>державну політику у сфері санітарного та епідемічного благополуччя</w:t>
      </w:r>
      <w:r w:rsidRPr="000977F7">
        <w:rPr>
          <w:rFonts w:asciiTheme="majorHAnsi" w:hAnsiTheme="majorHAnsi"/>
          <w:spacing w:val="2"/>
          <w:sz w:val="20"/>
          <w:szCs w:val="20"/>
        </w:rPr>
        <w:t xml:space="preserve"> </w:t>
      </w:r>
      <w:r w:rsidRPr="000977F7">
        <w:rPr>
          <w:rFonts w:asciiTheme="majorHAnsi" w:hAnsiTheme="majorHAnsi"/>
          <w:sz w:val="20"/>
          <w:szCs w:val="20"/>
        </w:rPr>
        <w:t>населення.</w:t>
      </w:r>
    </w:p>
    <w:p w14:paraId="1C82248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Органи</w:t>
      </w:r>
      <w:r w:rsidRPr="000977F7">
        <w:rPr>
          <w:rFonts w:asciiTheme="majorHAnsi" w:hAnsiTheme="majorHAnsi"/>
          <w:spacing w:val="1"/>
          <w:sz w:val="20"/>
          <w:szCs w:val="20"/>
        </w:rPr>
        <w:t xml:space="preserve"> </w:t>
      </w:r>
      <w:r w:rsidRPr="000977F7">
        <w:rPr>
          <w:rFonts w:asciiTheme="majorHAnsi" w:hAnsiTheme="majorHAnsi"/>
          <w:sz w:val="20"/>
          <w:szCs w:val="20"/>
        </w:rPr>
        <w:t>державного</w:t>
      </w:r>
      <w:r w:rsidRPr="000977F7">
        <w:rPr>
          <w:rFonts w:asciiTheme="majorHAnsi" w:hAnsiTheme="majorHAnsi"/>
          <w:spacing w:val="1"/>
          <w:sz w:val="20"/>
          <w:szCs w:val="20"/>
        </w:rPr>
        <w:t xml:space="preserve"> </w:t>
      </w:r>
      <w:r w:rsidRPr="000977F7">
        <w:rPr>
          <w:rFonts w:asciiTheme="majorHAnsi" w:hAnsiTheme="majorHAnsi"/>
          <w:sz w:val="20"/>
          <w:szCs w:val="20"/>
        </w:rPr>
        <w:t>нагляду</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охороною</w:t>
      </w:r>
      <w:r w:rsidRPr="000977F7">
        <w:rPr>
          <w:rFonts w:asciiTheme="majorHAnsi" w:hAnsiTheme="majorHAnsi"/>
          <w:spacing w:val="1"/>
          <w:sz w:val="20"/>
          <w:szCs w:val="20"/>
        </w:rPr>
        <w:t xml:space="preserve"> </w:t>
      </w:r>
      <w:r w:rsidRPr="000977F7">
        <w:rPr>
          <w:rFonts w:asciiTheme="majorHAnsi" w:hAnsiTheme="majorHAnsi"/>
          <w:sz w:val="20"/>
          <w:szCs w:val="20"/>
        </w:rPr>
        <w:t>праці</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залежать від будь-яких господарських органів, суб'єктів підприємництва, об'єднань громадян, політичних</w:t>
      </w:r>
      <w:r w:rsidRPr="000977F7">
        <w:rPr>
          <w:rFonts w:asciiTheme="majorHAnsi" w:hAnsiTheme="majorHAnsi"/>
          <w:spacing w:val="1"/>
          <w:sz w:val="20"/>
          <w:szCs w:val="20"/>
        </w:rPr>
        <w:t xml:space="preserve"> </w:t>
      </w:r>
      <w:r w:rsidRPr="000977F7">
        <w:rPr>
          <w:rFonts w:asciiTheme="majorHAnsi" w:hAnsiTheme="majorHAnsi"/>
          <w:sz w:val="20"/>
          <w:szCs w:val="20"/>
        </w:rPr>
        <w:t>формувань, місцевих державних адміністрацій і органів місцевого самоврядування, їм не підзвітні і не підконтрольні.</w:t>
      </w:r>
    </w:p>
    <w:p w14:paraId="47BF48F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Діяльність органів державного нагляду за охороною</w:t>
      </w:r>
      <w:r w:rsidRPr="000977F7">
        <w:rPr>
          <w:rFonts w:asciiTheme="majorHAnsi" w:hAnsiTheme="majorHAnsi"/>
          <w:spacing w:val="1"/>
          <w:sz w:val="20"/>
          <w:szCs w:val="20"/>
        </w:rPr>
        <w:t xml:space="preserve"> </w:t>
      </w:r>
      <w:r w:rsidRPr="000977F7">
        <w:rPr>
          <w:rFonts w:asciiTheme="majorHAnsi" w:hAnsiTheme="majorHAnsi"/>
          <w:sz w:val="20"/>
          <w:szCs w:val="20"/>
        </w:rPr>
        <w:t>праці</w:t>
      </w:r>
      <w:r w:rsidRPr="000977F7">
        <w:rPr>
          <w:rFonts w:asciiTheme="majorHAnsi" w:hAnsiTheme="majorHAnsi"/>
          <w:spacing w:val="1"/>
          <w:sz w:val="20"/>
          <w:szCs w:val="20"/>
        </w:rPr>
        <w:t xml:space="preserve"> </w:t>
      </w:r>
      <w:r w:rsidRPr="000977F7">
        <w:rPr>
          <w:rFonts w:asciiTheme="majorHAnsi" w:hAnsiTheme="majorHAnsi"/>
          <w:sz w:val="20"/>
          <w:szCs w:val="20"/>
        </w:rPr>
        <w:t>регулюється</w:t>
      </w:r>
      <w:r w:rsidRPr="000977F7">
        <w:rPr>
          <w:rFonts w:asciiTheme="majorHAnsi" w:hAnsiTheme="majorHAnsi"/>
          <w:spacing w:val="1"/>
          <w:sz w:val="20"/>
          <w:szCs w:val="20"/>
        </w:rPr>
        <w:t xml:space="preserve"> </w:t>
      </w:r>
      <w:r w:rsidRPr="000977F7">
        <w:rPr>
          <w:rFonts w:asciiTheme="majorHAnsi" w:hAnsiTheme="majorHAnsi"/>
          <w:sz w:val="20"/>
          <w:szCs w:val="20"/>
        </w:rPr>
        <w:t>цим</w:t>
      </w:r>
      <w:r w:rsidRPr="000977F7">
        <w:rPr>
          <w:rFonts w:asciiTheme="majorHAnsi" w:hAnsiTheme="majorHAnsi"/>
          <w:spacing w:val="1"/>
          <w:sz w:val="20"/>
          <w:szCs w:val="20"/>
        </w:rPr>
        <w:t xml:space="preserve"> </w:t>
      </w:r>
      <w:r w:rsidRPr="000977F7">
        <w:rPr>
          <w:rFonts w:asciiTheme="majorHAnsi" w:hAnsiTheme="majorHAnsi"/>
          <w:sz w:val="20"/>
          <w:szCs w:val="20"/>
        </w:rPr>
        <w:t>Законом,</w:t>
      </w:r>
      <w:r w:rsidRPr="000977F7">
        <w:rPr>
          <w:rFonts w:asciiTheme="majorHAnsi" w:hAnsiTheme="majorHAnsi"/>
          <w:spacing w:val="1"/>
          <w:sz w:val="20"/>
          <w:szCs w:val="20"/>
        </w:rPr>
        <w:t xml:space="preserve"> </w:t>
      </w:r>
      <w:r w:rsidRPr="000977F7">
        <w:rPr>
          <w:rFonts w:asciiTheme="majorHAnsi" w:hAnsiTheme="majorHAnsi"/>
          <w:sz w:val="20"/>
          <w:szCs w:val="20"/>
        </w:rPr>
        <w:t>законами</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r w:rsidRPr="000977F7">
        <w:rPr>
          <w:rFonts w:asciiTheme="majorHAnsi" w:hAnsiTheme="majorHAnsi"/>
          <w:spacing w:val="1"/>
          <w:sz w:val="20"/>
          <w:szCs w:val="20"/>
        </w:rPr>
        <w:t xml:space="preserve"> </w:t>
      </w:r>
      <w:r w:rsidRPr="000977F7">
        <w:rPr>
          <w:rFonts w:asciiTheme="majorHAnsi" w:hAnsiTheme="majorHAnsi"/>
          <w:sz w:val="20"/>
          <w:szCs w:val="20"/>
        </w:rPr>
        <w:t>"Про використання ядерної енергії і радіаційну безпеку", "Про пожежну безпеку", "Про забезпечення санітарного</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епідемічного</w:t>
      </w:r>
      <w:r w:rsidRPr="000977F7">
        <w:rPr>
          <w:rFonts w:asciiTheme="majorHAnsi" w:hAnsiTheme="majorHAnsi"/>
          <w:spacing w:val="1"/>
          <w:sz w:val="20"/>
          <w:szCs w:val="20"/>
        </w:rPr>
        <w:t xml:space="preserve"> </w:t>
      </w:r>
      <w:r w:rsidRPr="000977F7">
        <w:rPr>
          <w:rFonts w:asciiTheme="majorHAnsi" w:hAnsiTheme="majorHAnsi"/>
          <w:sz w:val="20"/>
          <w:szCs w:val="20"/>
        </w:rPr>
        <w:t>благополуччя</w:t>
      </w:r>
      <w:r w:rsidRPr="000977F7">
        <w:rPr>
          <w:rFonts w:asciiTheme="majorHAnsi" w:hAnsiTheme="majorHAnsi"/>
          <w:spacing w:val="1"/>
          <w:sz w:val="20"/>
          <w:szCs w:val="20"/>
        </w:rPr>
        <w:t xml:space="preserve"> </w:t>
      </w:r>
      <w:r w:rsidRPr="000977F7">
        <w:rPr>
          <w:rFonts w:asciiTheme="majorHAnsi" w:hAnsiTheme="majorHAnsi"/>
          <w:sz w:val="20"/>
          <w:szCs w:val="20"/>
        </w:rPr>
        <w:t>населення",</w:t>
      </w:r>
      <w:r w:rsidRPr="000977F7">
        <w:rPr>
          <w:rFonts w:asciiTheme="majorHAnsi" w:hAnsiTheme="majorHAnsi"/>
          <w:spacing w:val="1"/>
          <w:sz w:val="20"/>
          <w:szCs w:val="20"/>
        </w:rPr>
        <w:t xml:space="preserve"> </w:t>
      </w:r>
      <w:r w:rsidRPr="000977F7">
        <w:rPr>
          <w:rFonts w:asciiTheme="majorHAnsi" w:hAnsiTheme="majorHAnsi"/>
          <w:sz w:val="20"/>
          <w:szCs w:val="20"/>
        </w:rPr>
        <w:t>іншими</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нормативно-правовими</w:t>
      </w:r>
      <w:r w:rsidRPr="000977F7">
        <w:rPr>
          <w:rFonts w:asciiTheme="majorHAnsi" w:hAnsiTheme="majorHAnsi"/>
          <w:spacing w:val="1"/>
          <w:sz w:val="20"/>
          <w:szCs w:val="20"/>
        </w:rPr>
        <w:t xml:space="preserve"> </w:t>
      </w:r>
      <w:r w:rsidRPr="000977F7">
        <w:rPr>
          <w:rFonts w:asciiTheme="majorHAnsi" w:hAnsiTheme="majorHAnsi"/>
          <w:sz w:val="20"/>
          <w:szCs w:val="20"/>
        </w:rPr>
        <w:t>актами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положеннями про ці органи, що затверджуються Президентом</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p>
    <w:p w14:paraId="10603A3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2"/>
          <w:sz w:val="20"/>
          <w:szCs w:val="20"/>
        </w:rPr>
        <w:t xml:space="preserve"> </w:t>
      </w:r>
      <w:r w:rsidRPr="000977F7">
        <w:rPr>
          <w:rFonts w:asciiTheme="majorHAnsi" w:hAnsiTheme="majorHAnsi"/>
          <w:i/>
          <w:sz w:val="20"/>
          <w:szCs w:val="20"/>
        </w:rPr>
        <w:t>38 закону</w:t>
      </w:r>
      <w:r w:rsidRPr="000977F7">
        <w:rPr>
          <w:rFonts w:asciiTheme="majorHAnsi" w:hAnsiTheme="majorHAnsi"/>
          <w:i/>
          <w:spacing w:val="-3"/>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1"/>
          <w:sz w:val="20"/>
          <w:szCs w:val="20"/>
        </w:rPr>
        <w:t xml:space="preserve"> "</w:t>
      </w:r>
      <w:r w:rsidRPr="000977F7">
        <w:rPr>
          <w:rFonts w:asciiTheme="majorHAnsi" w:hAnsiTheme="majorHAnsi"/>
          <w:i/>
          <w:sz w:val="20"/>
          <w:szCs w:val="20"/>
        </w:rPr>
        <w:t>Про</w:t>
      </w:r>
      <w:r w:rsidRPr="000977F7">
        <w:rPr>
          <w:rFonts w:asciiTheme="majorHAnsi" w:hAnsiTheme="majorHAnsi"/>
          <w:i/>
          <w:spacing w:val="-3"/>
          <w:sz w:val="20"/>
          <w:szCs w:val="20"/>
        </w:rPr>
        <w:t xml:space="preserve"> </w:t>
      </w:r>
      <w:r w:rsidRPr="000977F7">
        <w:rPr>
          <w:rFonts w:asciiTheme="majorHAnsi" w:hAnsiTheme="majorHAnsi"/>
          <w:i/>
          <w:sz w:val="20"/>
          <w:szCs w:val="20"/>
        </w:rPr>
        <w:t>охорону</w:t>
      </w:r>
      <w:r w:rsidRPr="000977F7">
        <w:rPr>
          <w:rFonts w:asciiTheme="majorHAnsi" w:hAnsiTheme="majorHAnsi"/>
          <w:i/>
          <w:spacing w:val="-4"/>
          <w:sz w:val="20"/>
          <w:szCs w:val="20"/>
        </w:rPr>
        <w:t xml:space="preserve"> </w:t>
      </w:r>
      <w:r w:rsidRPr="000977F7">
        <w:rPr>
          <w:rFonts w:asciiTheme="majorHAnsi" w:hAnsiTheme="majorHAnsi"/>
          <w:i/>
          <w:sz w:val="20"/>
          <w:szCs w:val="20"/>
        </w:rPr>
        <w:t>праці"</w:t>
      </w:r>
    </w:p>
    <w:p w14:paraId="56A58F04"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ОРГАНИ</w:t>
      </w:r>
      <w:r w:rsidRPr="000977F7">
        <w:rPr>
          <w:color w:val="auto"/>
          <w:spacing w:val="1"/>
          <w:sz w:val="20"/>
          <w:szCs w:val="20"/>
        </w:rPr>
        <w:t xml:space="preserve"> </w:t>
      </w:r>
      <w:r w:rsidRPr="000977F7">
        <w:rPr>
          <w:color w:val="auto"/>
          <w:sz w:val="20"/>
          <w:szCs w:val="20"/>
        </w:rPr>
        <w:t>ДЕРЖАВНОГО</w:t>
      </w:r>
      <w:r w:rsidRPr="000977F7">
        <w:rPr>
          <w:color w:val="auto"/>
          <w:spacing w:val="1"/>
          <w:sz w:val="20"/>
          <w:szCs w:val="20"/>
        </w:rPr>
        <w:t xml:space="preserve"> </w:t>
      </w:r>
      <w:r w:rsidRPr="000977F7">
        <w:rPr>
          <w:color w:val="auto"/>
          <w:sz w:val="20"/>
          <w:szCs w:val="20"/>
        </w:rPr>
        <w:t>УПРАВЛІННЯ</w:t>
      </w:r>
      <w:r w:rsidRPr="000977F7">
        <w:rPr>
          <w:color w:val="auto"/>
          <w:spacing w:val="1"/>
          <w:sz w:val="20"/>
          <w:szCs w:val="20"/>
        </w:rPr>
        <w:t xml:space="preserve"> </w:t>
      </w:r>
    </w:p>
    <w:p w14:paraId="286C7A2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ОХОРОНОЮ</w:t>
      </w:r>
      <w:r w:rsidRPr="000977F7">
        <w:rPr>
          <w:color w:val="auto"/>
          <w:spacing w:val="-2"/>
          <w:sz w:val="20"/>
          <w:szCs w:val="20"/>
        </w:rPr>
        <w:t xml:space="preserve"> </w:t>
      </w:r>
      <w:r w:rsidRPr="000977F7">
        <w:rPr>
          <w:color w:val="auto"/>
          <w:sz w:val="20"/>
          <w:szCs w:val="20"/>
        </w:rPr>
        <w:t>ПРАЦІ</w:t>
      </w:r>
      <w:r w:rsidRPr="000977F7">
        <w:rPr>
          <w:color w:val="auto"/>
          <w:spacing w:val="1"/>
          <w:sz w:val="20"/>
          <w:szCs w:val="20"/>
        </w:rPr>
        <w:t xml:space="preserve"> </w:t>
      </w:r>
      <w:r w:rsidRPr="000977F7">
        <w:rPr>
          <w:color w:val="auto"/>
          <w:sz w:val="20"/>
          <w:szCs w:val="20"/>
        </w:rPr>
        <w:t>-</w:t>
      </w:r>
    </w:p>
    <w:p w14:paraId="6496DAA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Державне</w:t>
      </w:r>
      <w:r w:rsidRPr="000977F7">
        <w:rPr>
          <w:rFonts w:asciiTheme="majorHAnsi" w:hAnsiTheme="majorHAnsi"/>
          <w:spacing w:val="-3"/>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6"/>
          <w:sz w:val="20"/>
          <w:szCs w:val="20"/>
        </w:rPr>
        <w:t xml:space="preserve"> </w:t>
      </w:r>
      <w:r w:rsidRPr="000977F7">
        <w:rPr>
          <w:rFonts w:asciiTheme="majorHAnsi" w:hAnsiTheme="majorHAnsi"/>
          <w:sz w:val="20"/>
          <w:szCs w:val="20"/>
        </w:rPr>
        <w:t>охороною</w:t>
      </w:r>
      <w:r w:rsidRPr="000977F7">
        <w:rPr>
          <w:rFonts w:asciiTheme="majorHAnsi" w:hAnsiTheme="majorHAnsi"/>
          <w:spacing w:val="-6"/>
          <w:sz w:val="20"/>
          <w:szCs w:val="20"/>
        </w:rPr>
        <w:t xml:space="preserve"> </w:t>
      </w:r>
      <w:r w:rsidRPr="000977F7">
        <w:rPr>
          <w:rFonts w:asciiTheme="majorHAnsi" w:hAnsiTheme="majorHAnsi"/>
          <w:sz w:val="20"/>
          <w:szCs w:val="20"/>
        </w:rPr>
        <w:t>праці</w:t>
      </w:r>
      <w:r w:rsidRPr="000977F7">
        <w:rPr>
          <w:rFonts w:asciiTheme="majorHAnsi" w:hAnsiTheme="majorHAnsi"/>
          <w:spacing w:val="-6"/>
          <w:sz w:val="20"/>
          <w:szCs w:val="20"/>
        </w:rPr>
        <w:t xml:space="preserve"> </w:t>
      </w:r>
      <w:r w:rsidRPr="000977F7">
        <w:rPr>
          <w:rFonts w:asciiTheme="majorHAnsi" w:hAnsiTheme="majorHAnsi"/>
          <w:sz w:val="20"/>
          <w:szCs w:val="20"/>
        </w:rPr>
        <w:t>здійснюють:</w:t>
      </w:r>
      <w:r w:rsidRPr="000977F7">
        <w:rPr>
          <w:rFonts w:asciiTheme="majorHAnsi" w:hAnsiTheme="majorHAnsi"/>
          <w:spacing w:val="-47"/>
          <w:sz w:val="20"/>
          <w:szCs w:val="20"/>
        </w:rPr>
        <w:t xml:space="preserve"> --------</w:t>
      </w:r>
      <w:r w:rsidRPr="000977F7">
        <w:rPr>
          <w:rFonts w:asciiTheme="majorHAnsi" w:hAnsiTheme="majorHAnsi"/>
          <w:sz w:val="20"/>
          <w:szCs w:val="20"/>
        </w:rPr>
        <w:t>Кабінет</w:t>
      </w:r>
      <w:r w:rsidRPr="000977F7">
        <w:rPr>
          <w:rFonts w:asciiTheme="majorHAnsi" w:hAnsiTheme="majorHAnsi"/>
          <w:spacing w:val="-2"/>
          <w:sz w:val="20"/>
          <w:szCs w:val="20"/>
        </w:rPr>
        <w:t xml:space="preserve"> </w:t>
      </w:r>
      <w:r w:rsidRPr="000977F7">
        <w:rPr>
          <w:rFonts w:asciiTheme="majorHAnsi" w:hAnsiTheme="majorHAnsi"/>
          <w:sz w:val="20"/>
          <w:szCs w:val="20"/>
        </w:rPr>
        <w:t>Міністрів</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p>
    <w:p w14:paraId="0A4ED9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центральний</w:t>
      </w:r>
      <w:r w:rsidRPr="000977F7">
        <w:rPr>
          <w:rFonts w:asciiTheme="majorHAnsi" w:hAnsiTheme="majorHAnsi"/>
          <w:spacing w:val="20"/>
          <w:sz w:val="20"/>
          <w:szCs w:val="20"/>
        </w:rPr>
        <w:t xml:space="preserve"> </w:t>
      </w:r>
      <w:r w:rsidRPr="000977F7">
        <w:rPr>
          <w:rFonts w:asciiTheme="majorHAnsi" w:hAnsiTheme="majorHAnsi"/>
          <w:sz w:val="20"/>
          <w:szCs w:val="20"/>
        </w:rPr>
        <w:t>орган</w:t>
      </w:r>
      <w:r w:rsidRPr="000977F7">
        <w:rPr>
          <w:rFonts w:asciiTheme="majorHAnsi" w:hAnsiTheme="majorHAnsi"/>
          <w:spacing w:val="21"/>
          <w:sz w:val="20"/>
          <w:szCs w:val="20"/>
        </w:rPr>
        <w:t xml:space="preserve"> </w:t>
      </w:r>
      <w:r w:rsidRPr="000977F7">
        <w:rPr>
          <w:rFonts w:asciiTheme="majorHAnsi" w:hAnsiTheme="majorHAnsi"/>
          <w:sz w:val="20"/>
          <w:szCs w:val="20"/>
        </w:rPr>
        <w:t>виконавчої</w:t>
      </w:r>
      <w:r w:rsidRPr="000977F7">
        <w:rPr>
          <w:rFonts w:asciiTheme="majorHAnsi" w:hAnsiTheme="majorHAnsi"/>
          <w:spacing w:val="21"/>
          <w:sz w:val="20"/>
          <w:szCs w:val="20"/>
        </w:rPr>
        <w:t xml:space="preserve"> </w:t>
      </w:r>
      <w:r w:rsidRPr="000977F7">
        <w:rPr>
          <w:rFonts w:asciiTheme="majorHAnsi" w:hAnsiTheme="majorHAnsi"/>
          <w:sz w:val="20"/>
          <w:szCs w:val="20"/>
        </w:rPr>
        <w:t>влади,</w:t>
      </w:r>
      <w:r w:rsidRPr="000977F7">
        <w:rPr>
          <w:rFonts w:asciiTheme="majorHAnsi" w:hAnsiTheme="majorHAnsi"/>
          <w:spacing w:val="22"/>
          <w:sz w:val="20"/>
          <w:szCs w:val="20"/>
        </w:rPr>
        <w:t xml:space="preserve"> </w:t>
      </w:r>
      <w:r w:rsidRPr="000977F7">
        <w:rPr>
          <w:rFonts w:asciiTheme="majorHAnsi" w:hAnsiTheme="majorHAnsi"/>
          <w:sz w:val="20"/>
          <w:szCs w:val="20"/>
        </w:rPr>
        <w:t>що</w:t>
      </w:r>
      <w:r w:rsidRPr="000977F7">
        <w:rPr>
          <w:rFonts w:asciiTheme="majorHAnsi" w:hAnsiTheme="majorHAnsi"/>
          <w:spacing w:val="22"/>
          <w:sz w:val="20"/>
          <w:szCs w:val="20"/>
        </w:rPr>
        <w:t xml:space="preserve"> </w:t>
      </w:r>
      <w:r w:rsidRPr="000977F7">
        <w:rPr>
          <w:rFonts w:asciiTheme="majorHAnsi" w:hAnsiTheme="majorHAnsi"/>
          <w:sz w:val="20"/>
          <w:szCs w:val="20"/>
        </w:rPr>
        <w:t>реалізує</w:t>
      </w:r>
      <w:r w:rsidRPr="000977F7">
        <w:rPr>
          <w:rFonts w:asciiTheme="majorHAnsi" w:hAnsiTheme="majorHAnsi"/>
          <w:spacing w:val="-47"/>
          <w:sz w:val="20"/>
          <w:szCs w:val="20"/>
        </w:rPr>
        <w:t xml:space="preserve"> </w:t>
      </w:r>
      <w:r w:rsidRPr="000977F7">
        <w:rPr>
          <w:rFonts w:asciiTheme="majorHAnsi" w:hAnsiTheme="majorHAnsi"/>
          <w:sz w:val="20"/>
          <w:szCs w:val="20"/>
        </w:rPr>
        <w:t>державну політику у сфері охорони праці;</w:t>
      </w:r>
      <w:r w:rsidRPr="000977F7">
        <w:rPr>
          <w:rFonts w:asciiTheme="majorHAnsi" w:hAnsiTheme="majorHAnsi"/>
          <w:spacing w:val="1"/>
          <w:sz w:val="20"/>
          <w:szCs w:val="20"/>
        </w:rPr>
        <w:t xml:space="preserve"> </w:t>
      </w:r>
      <w:r w:rsidRPr="000977F7">
        <w:rPr>
          <w:rFonts w:asciiTheme="majorHAnsi" w:hAnsiTheme="majorHAnsi"/>
          <w:sz w:val="20"/>
          <w:szCs w:val="20"/>
        </w:rPr>
        <w:t>міністерства</w:t>
      </w:r>
      <w:r w:rsidRPr="000977F7">
        <w:rPr>
          <w:rFonts w:asciiTheme="majorHAnsi" w:hAnsiTheme="majorHAnsi"/>
          <w:spacing w:val="9"/>
          <w:sz w:val="20"/>
          <w:szCs w:val="20"/>
        </w:rPr>
        <w:t xml:space="preserve"> </w:t>
      </w:r>
      <w:r w:rsidRPr="000977F7">
        <w:rPr>
          <w:rFonts w:asciiTheme="majorHAnsi" w:hAnsiTheme="majorHAnsi"/>
          <w:sz w:val="20"/>
          <w:szCs w:val="20"/>
        </w:rPr>
        <w:t>та</w:t>
      </w:r>
      <w:r w:rsidRPr="000977F7">
        <w:rPr>
          <w:rFonts w:asciiTheme="majorHAnsi" w:hAnsiTheme="majorHAnsi"/>
          <w:spacing w:val="6"/>
          <w:sz w:val="20"/>
          <w:szCs w:val="20"/>
        </w:rPr>
        <w:t xml:space="preserve"> </w:t>
      </w:r>
      <w:r w:rsidRPr="000977F7">
        <w:rPr>
          <w:rFonts w:asciiTheme="majorHAnsi" w:hAnsiTheme="majorHAnsi"/>
          <w:sz w:val="20"/>
          <w:szCs w:val="20"/>
        </w:rPr>
        <w:t>інші</w:t>
      </w:r>
      <w:r w:rsidRPr="000977F7">
        <w:rPr>
          <w:rFonts w:asciiTheme="majorHAnsi" w:hAnsiTheme="majorHAnsi"/>
          <w:spacing w:val="8"/>
          <w:sz w:val="20"/>
          <w:szCs w:val="20"/>
        </w:rPr>
        <w:t xml:space="preserve"> </w:t>
      </w:r>
      <w:r w:rsidRPr="000977F7">
        <w:rPr>
          <w:rFonts w:asciiTheme="majorHAnsi" w:hAnsiTheme="majorHAnsi"/>
          <w:sz w:val="20"/>
          <w:szCs w:val="20"/>
        </w:rPr>
        <w:t>центральні</w:t>
      </w:r>
      <w:r w:rsidRPr="000977F7">
        <w:rPr>
          <w:rFonts w:asciiTheme="majorHAnsi" w:hAnsiTheme="majorHAnsi"/>
          <w:spacing w:val="6"/>
          <w:sz w:val="20"/>
          <w:szCs w:val="20"/>
        </w:rPr>
        <w:t xml:space="preserve"> </w:t>
      </w:r>
      <w:r w:rsidRPr="000977F7">
        <w:rPr>
          <w:rFonts w:asciiTheme="majorHAnsi" w:hAnsiTheme="majorHAnsi"/>
          <w:sz w:val="20"/>
          <w:szCs w:val="20"/>
        </w:rPr>
        <w:t>органи</w:t>
      </w:r>
      <w:r w:rsidRPr="000977F7">
        <w:rPr>
          <w:rFonts w:asciiTheme="majorHAnsi" w:hAnsiTheme="majorHAnsi"/>
          <w:spacing w:val="5"/>
          <w:sz w:val="20"/>
          <w:szCs w:val="20"/>
        </w:rPr>
        <w:t xml:space="preserve"> </w:t>
      </w:r>
      <w:r w:rsidRPr="000977F7">
        <w:rPr>
          <w:rFonts w:asciiTheme="majorHAnsi" w:hAnsiTheme="majorHAnsi"/>
          <w:sz w:val="20"/>
          <w:szCs w:val="20"/>
        </w:rPr>
        <w:t>виконавчої</w:t>
      </w:r>
      <w:r w:rsidRPr="000977F7">
        <w:rPr>
          <w:rFonts w:asciiTheme="majorHAnsi" w:hAnsiTheme="majorHAnsi"/>
          <w:spacing w:val="1"/>
          <w:sz w:val="20"/>
          <w:szCs w:val="20"/>
        </w:rPr>
        <w:t xml:space="preserve"> </w:t>
      </w:r>
      <w:r w:rsidRPr="000977F7">
        <w:rPr>
          <w:rFonts w:asciiTheme="majorHAnsi" w:hAnsiTheme="majorHAnsi"/>
          <w:sz w:val="20"/>
          <w:szCs w:val="20"/>
        </w:rPr>
        <w:t>влади;</w:t>
      </w:r>
    </w:p>
    <w:p w14:paraId="0E05D8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Рада міністрів Автономної Республіки Крим, місцеві</w:t>
      </w:r>
      <w:r w:rsidRPr="000977F7">
        <w:rPr>
          <w:rFonts w:asciiTheme="majorHAnsi" w:hAnsiTheme="majorHAnsi"/>
          <w:spacing w:val="1"/>
          <w:sz w:val="20"/>
          <w:szCs w:val="20"/>
        </w:rPr>
        <w:t xml:space="preserve"> </w:t>
      </w:r>
      <w:r w:rsidRPr="000977F7">
        <w:rPr>
          <w:rFonts w:asciiTheme="majorHAnsi" w:hAnsiTheme="majorHAnsi"/>
          <w:sz w:val="20"/>
          <w:szCs w:val="20"/>
        </w:rPr>
        <w:t>державні адміністрації та органи місцевого самоврядування.</w:t>
      </w:r>
    </w:p>
    <w:p w14:paraId="115AEFB7"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Ст. 31 закону України "Про охорону праці"</w:t>
      </w:r>
      <w:r w:rsidRPr="000977F7">
        <w:rPr>
          <w:rFonts w:asciiTheme="majorHAnsi" w:hAnsiTheme="majorHAnsi"/>
          <w:i/>
          <w:spacing w:val="1"/>
          <w:sz w:val="20"/>
          <w:szCs w:val="20"/>
        </w:rPr>
        <w:t xml:space="preserve"> </w:t>
      </w:r>
    </w:p>
    <w:p w14:paraId="68AAFEA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ОРГАНІЗАЦІЇ</w:t>
      </w:r>
      <w:r w:rsidRPr="000977F7">
        <w:rPr>
          <w:color w:val="auto"/>
          <w:spacing w:val="-3"/>
          <w:sz w:val="20"/>
          <w:szCs w:val="20"/>
        </w:rPr>
        <w:t xml:space="preserve"> </w:t>
      </w:r>
      <w:r w:rsidRPr="000977F7">
        <w:rPr>
          <w:color w:val="auto"/>
          <w:sz w:val="20"/>
          <w:szCs w:val="20"/>
        </w:rPr>
        <w:t>–</w:t>
      </w:r>
      <w:r w:rsidRPr="000977F7">
        <w:rPr>
          <w:color w:val="auto"/>
          <w:spacing w:val="47"/>
          <w:sz w:val="20"/>
          <w:szCs w:val="20"/>
        </w:rPr>
        <w:t xml:space="preserve"> </w:t>
      </w:r>
      <w:r w:rsidRPr="000977F7">
        <w:rPr>
          <w:color w:val="auto"/>
          <w:sz w:val="20"/>
          <w:szCs w:val="20"/>
        </w:rPr>
        <w:t>ЧЛЕНИ</w:t>
      </w:r>
      <w:r w:rsidRPr="000977F7">
        <w:rPr>
          <w:color w:val="auto"/>
          <w:spacing w:val="2"/>
          <w:sz w:val="20"/>
          <w:szCs w:val="20"/>
        </w:rPr>
        <w:t xml:space="preserve"> </w:t>
      </w:r>
      <w:r w:rsidRPr="000977F7">
        <w:rPr>
          <w:color w:val="auto"/>
          <w:sz w:val="20"/>
          <w:szCs w:val="20"/>
        </w:rPr>
        <w:t>–</w:t>
      </w:r>
    </w:p>
    <w:p w14:paraId="02F7DE8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MEMBER</w:t>
      </w:r>
      <w:r w:rsidRPr="000977F7">
        <w:rPr>
          <w:rFonts w:asciiTheme="majorHAnsi" w:hAnsiTheme="majorHAnsi"/>
          <w:spacing w:val="-4"/>
          <w:sz w:val="20"/>
          <w:szCs w:val="20"/>
        </w:rPr>
        <w:t xml:space="preserve"> </w:t>
      </w:r>
      <w:r w:rsidRPr="000977F7">
        <w:rPr>
          <w:rFonts w:asciiTheme="majorHAnsi" w:hAnsiTheme="majorHAnsi"/>
          <w:sz w:val="20"/>
          <w:szCs w:val="20"/>
        </w:rPr>
        <w:t>ORGANIZATION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A1FB72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Країна (член ISO або МЕК), яка входить до відповідної</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сертифікації</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відповідає</w:t>
      </w:r>
      <w:r w:rsidRPr="000977F7">
        <w:rPr>
          <w:rFonts w:asciiTheme="majorHAnsi" w:hAnsiTheme="majorHAnsi"/>
          <w:spacing w:val="1"/>
          <w:sz w:val="20"/>
          <w:szCs w:val="20"/>
        </w:rPr>
        <w:t xml:space="preserve"> </w:t>
      </w:r>
      <w:r w:rsidRPr="000977F7">
        <w:rPr>
          <w:rFonts w:asciiTheme="majorHAnsi" w:hAnsiTheme="majorHAnsi"/>
          <w:sz w:val="20"/>
          <w:szCs w:val="20"/>
        </w:rPr>
        <w:t>установленим</w:t>
      </w:r>
      <w:r w:rsidRPr="000977F7">
        <w:rPr>
          <w:rFonts w:asciiTheme="majorHAnsi" w:hAnsiTheme="majorHAnsi"/>
          <w:spacing w:val="-47"/>
          <w:sz w:val="20"/>
          <w:szCs w:val="20"/>
        </w:rPr>
        <w:t xml:space="preserve"> </w:t>
      </w:r>
      <w:r w:rsidRPr="000977F7">
        <w:rPr>
          <w:rFonts w:asciiTheme="majorHAnsi" w:hAnsiTheme="majorHAnsi"/>
          <w:sz w:val="20"/>
          <w:szCs w:val="20"/>
        </w:rPr>
        <w:t>вимогам</w:t>
      </w:r>
    </w:p>
    <w:p w14:paraId="2DC3420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ОРГАНІЗАЦІЙНА</w:t>
      </w:r>
      <w:r w:rsidRPr="000977F7">
        <w:rPr>
          <w:color w:val="auto"/>
          <w:spacing w:val="-6"/>
          <w:sz w:val="20"/>
          <w:szCs w:val="20"/>
        </w:rPr>
        <w:t xml:space="preserve"> </w:t>
      </w:r>
      <w:r w:rsidRPr="000977F7">
        <w:rPr>
          <w:color w:val="auto"/>
          <w:sz w:val="20"/>
          <w:szCs w:val="20"/>
        </w:rPr>
        <w:t>СТРУКТУРА</w:t>
      </w:r>
      <w:r w:rsidRPr="000977F7">
        <w:rPr>
          <w:color w:val="auto"/>
          <w:spacing w:val="-3"/>
          <w:sz w:val="20"/>
          <w:szCs w:val="20"/>
        </w:rPr>
        <w:t xml:space="preserve"> </w:t>
      </w:r>
      <w:r w:rsidRPr="000977F7">
        <w:rPr>
          <w:color w:val="auto"/>
          <w:sz w:val="20"/>
          <w:szCs w:val="20"/>
        </w:rPr>
        <w:t>–</w:t>
      </w:r>
    </w:p>
    <w:p w14:paraId="36C8905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ORGANIZATION</w:t>
      </w:r>
      <w:r w:rsidRPr="000977F7">
        <w:rPr>
          <w:rFonts w:asciiTheme="majorHAnsi" w:hAnsiTheme="majorHAnsi"/>
          <w:spacing w:val="-3"/>
          <w:sz w:val="20"/>
          <w:szCs w:val="20"/>
        </w:rPr>
        <w:t xml:space="preserve"> </w:t>
      </w:r>
      <w:r w:rsidRPr="000977F7">
        <w:rPr>
          <w:rFonts w:asciiTheme="majorHAnsi" w:hAnsiTheme="majorHAnsi"/>
          <w:sz w:val="20"/>
          <w:szCs w:val="20"/>
        </w:rPr>
        <w:t>STRUCTURE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756EB6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Обов’язки,</w:t>
      </w:r>
      <w:r w:rsidRPr="000977F7">
        <w:rPr>
          <w:rFonts w:asciiTheme="majorHAnsi" w:hAnsiTheme="majorHAnsi"/>
          <w:spacing w:val="1"/>
          <w:sz w:val="20"/>
          <w:szCs w:val="20"/>
        </w:rPr>
        <w:t xml:space="preserve"> </w:t>
      </w:r>
      <w:r w:rsidRPr="000977F7">
        <w:rPr>
          <w:rFonts w:asciiTheme="majorHAnsi" w:hAnsiTheme="majorHAnsi"/>
          <w:sz w:val="20"/>
          <w:szCs w:val="20"/>
        </w:rPr>
        <w:t>повноваження</w:t>
      </w:r>
      <w:r w:rsidRPr="000977F7">
        <w:rPr>
          <w:rFonts w:asciiTheme="majorHAnsi" w:hAnsiTheme="majorHAnsi"/>
          <w:spacing w:val="50"/>
          <w:sz w:val="20"/>
          <w:szCs w:val="20"/>
        </w:rPr>
        <w:t xml:space="preserve"> </w:t>
      </w:r>
      <w:r w:rsidRPr="000977F7">
        <w:rPr>
          <w:rFonts w:asciiTheme="majorHAnsi" w:hAnsiTheme="majorHAnsi"/>
          <w:sz w:val="20"/>
          <w:szCs w:val="20"/>
        </w:rPr>
        <w:t>і</w:t>
      </w:r>
      <w:r w:rsidRPr="000977F7">
        <w:rPr>
          <w:rFonts w:asciiTheme="majorHAnsi" w:hAnsiTheme="majorHAnsi"/>
          <w:spacing w:val="50"/>
          <w:sz w:val="20"/>
          <w:szCs w:val="20"/>
        </w:rPr>
        <w:t xml:space="preserve"> </w:t>
      </w:r>
      <w:r w:rsidRPr="000977F7">
        <w:rPr>
          <w:rFonts w:asciiTheme="majorHAnsi" w:hAnsiTheme="majorHAnsi"/>
          <w:sz w:val="20"/>
          <w:szCs w:val="20"/>
        </w:rPr>
        <w:t>взаємовідносини,</w:t>
      </w:r>
      <w:r w:rsidRPr="000977F7">
        <w:rPr>
          <w:rFonts w:asciiTheme="majorHAnsi" w:hAnsiTheme="majorHAnsi"/>
          <w:spacing w:val="50"/>
          <w:sz w:val="20"/>
          <w:szCs w:val="20"/>
        </w:rPr>
        <w:t xml:space="preserve"> </w:t>
      </w:r>
      <w:r w:rsidRPr="000977F7">
        <w:rPr>
          <w:rFonts w:asciiTheme="majorHAnsi" w:hAnsiTheme="majorHAnsi"/>
          <w:sz w:val="20"/>
          <w:szCs w:val="20"/>
        </w:rPr>
        <w:t>подані</w:t>
      </w:r>
      <w:r w:rsidRPr="000977F7">
        <w:rPr>
          <w:rFonts w:asciiTheme="majorHAnsi" w:hAnsiTheme="majorHAnsi"/>
          <w:spacing w:val="-47"/>
          <w:sz w:val="20"/>
          <w:szCs w:val="20"/>
        </w:rPr>
        <w:t xml:space="preserve"> </w:t>
      </w:r>
      <w:r w:rsidRPr="000977F7">
        <w:rPr>
          <w:rFonts w:asciiTheme="majorHAnsi" w:hAnsiTheme="majorHAnsi"/>
          <w:sz w:val="20"/>
          <w:szCs w:val="20"/>
        </w:rPr>
        <w:t>у вигляді схеми,</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якою організація виконує свої</w:t>
      </w:r>
      <w:r w:rsidRPr="000977F7">
        <w:rPr>
          <w:rFonts w:asciiTheme="majorHAnsi" w:hAnsiTheme="majorHAnsi"/>
          <w:spacing w:val="1"/>
          <w:sz w:val="20"/>
          <w:szCs w:val="20"/>
        </w:rPr>
        <w:t xml:space="preserve"> </w:t>
      </w:r>
      <w:r w:rsidRPr="000977F7">
        <w:rPr>
          <w:rFonts w:asciiTheme="majorHAnsi" w:hAnsiTheme="majorHAnsi"/>
          <w:sz w:val="20"/>
          <w:szCs w:val="20"/>
        </w:rPr>
        <w:t>функції</w:t>
      </w:r>
    </w:p>
    <w:p w14:paraId="6C91509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ОРГАНІЗАЦІЙНА</w:t>
      </w:r>
      <w:r w:rsidRPr="000977F7">
        <w:rPr>
          <w:color w:val="auto"/>
          <w:spacing w:val="-6"/>
          <w:sz w:val="20"/>
          <w:szCs w:val="20"/>
        </w:rPr>
        <w:t xml:space="preserve"> </w:t>
      </w:r>
      <w:r w:rsidRPr="000977F7">
        <w:rPr>
          <w:color w:val="auto"/>
          <w:sz w:val="20"/>
          <w:szCs w:val="20"/>
        </w:rPr>
        <w:t>СТРУКТУРА</w:t>
      </w:r>
      <w:r w:rsidRPr="000977F7">
        <w:rPr>
          <w:color w:val="auto"/>
          <w:spacing w:val="-5"/>
          <w:sz w:val="20"/>
          <w:szCs w:val="20"/>
        </w:rPr>
        <w:t xml:space="preserve"> </w:t>
      </w:r>
      <w:r w:rsidRPr="000977F7">
        <w:rPr>
          <w:color w:val="auto"/>
          <w:sz w:val="20"/>
          <w:szCs w:val="20"/>
        </w:rPr>
        <w:t>КЕРУВАННЯ</w:t>
      </w:r>
      <w:r w:rsidRPr="000977F7">
        <w:rPr>
          <w:color w:val="auto"/>
          <w:spacing w:val="-1"/>
          <w:sz w:val="20"/>
          <w:szCs w:val="20"/>
        </w:rPr>
        <w:t xml:space="preserve"> </w:t>
      </w:r>
      <w:r w:rsidRPr="000977F7">
        <w:rPr>
          <w:color w:val="auto"/>
          <w:sz w:val="20"/>
          <w:szCs w:val="20"/>
        </w:rPr>
        <w:t>–</w:t>
      </w:r>
    </w:p>
    <w:p w14:paraId="1DCD94F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органів,</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зазначенням</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складу, функцій, підпорядкованості, зв’язків між собою</w:t>
      </w:r>
      <w:r w:rsidRPr="000977F7">
        <w:rPr>
          <w:rFonts w:asciiTheme="majorHAnsi" w:hAnsiTheme="majorHAnsi"/>
          <w:spacing w:val="-1"/>
          <w:sz w:val="20"/>
          <w:szCs w:val="20"/>
        </w:rPr>
        <w:t xml:space="preserve"> </w:t>
      </w:r>
      <w:r w:rsidRPr="000977F7">
        <w:rPr>
          <w:rFonts w:asciiTheme="majorHAnsi" w:hAnsiTheme="majorHAnsi"/>
          <w:sz w:val="20"/>
          <w:szCs w:val="20"/>
        </w:rPr>
        <w:t>та з</w:t>
      </w:r>
      <w:r w:rsidRPr="000977F7">
        <w:rPr>
          <w:rFonts w:asciiTheme="majorHAnsi" w:hAnsiTheme="majorHAnsi"/>
          <w:spacing w:val="-1"/>
          <w:sz w:val="20"/>
          <w:szCs w:val="20"/>
        </w:rPr>
        <w:t xml:space="preserve"> </w:t>
      </w:r>
      <w:r w:rsidRPr="000977F7">
        <w:rPr>
          <w:rFonts w:asciiTheme="majorHAnsi" w:hAnsiTheme="majorHAnsi"/>
          <w:sz w:val="20"/>
          <w:szCs w:val="20"/>
        </w:rPr>
        <w:t>виробничими</w:t>
      </w:r>
      <w:r w:rsidRPr="000977F7">
        <w:rPr>
          <w:rFonts w:asciiTheme="majorHAnsi" w:hAnsiTheme="majorHAnsi"/>
          <w:spacing w:val="-1"/>
          <w:sz w:val="20"/>
          <w:szCs w:val="20"/>
        </w:rPr>
        <w:t xml:space="preserve"> </w:t>
      </w:r>
      <w:r w:rsidRPr="000977F7">
        <w:rPr>
          <w:rFonts w:asciiTheme="majorHAnsi" w:hAnsiTheme="majorHAnsi"/>
          <w:sz w:val="20"/>
          <w:szCs w:val="20"/>
        </w:rPr>
        <w:t>підрозділами</w:t>
      </w:r>
    </w:p>
    <w:p w14:paraId="72D86E9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 – 94</w:t>
      </w:r>
    </w:p>
    <w:p w14:paraId="741887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Загальна</w:t>
      </w:r>
      <w:r w:rsidRPr="000977F7">
        <w:rPr>
          <w:rFonts w:asciiTheme="majorHAnsi" w:hAnsiTheme="majorHAnsi"/>
          <w:spacing w:val="27"/>
          <w:sz w:val="20"/>
          <w:szCs w:val="20"/>
        </w:rPr>
        <w:t xml:space="preserve"> </w:t>
      </w:r>
      <w:r w:rsidRPr="000977F7">
        <w:rPr>
          <w:rFonts w:asciiTheme="majorHAnsi" w:hAnsiTheme="majorHAnsi"/>
          <w:sz w:val="20"/>
          <w:szCs w:val="20"/>
        </w:rPr>
        <w:t>функція</w:t>
      </w:r>
      <w:r w:rsidRPr="000977F7">
        <w:rPr>
          <w:rFonts w:asciiTheme="majorHAnsi" w:hAnsiTheme="majorHAnsi"/>
          <w:spacing w:val="27"/>
          <w:sz w:val="20"/>
          <w:szCs w:val="20"/>
        </w:rPr>
        <w:t xml:space="preserve"> </w:t>
      </w:r>
      <w:r w:rsidRPr="000977F7">
        <w:rPr>
          <w:rFonts w:asciiTheme="majorHAnsi" w:hAnsiTheme="majorHAnsi"/>
          <w:sz w:val="20"/>
          <w:szCs w:val="20"/>
        </w:rPr>
        <w:t>керування,</w:t>
      </w:r>
      <w:r w:rsidRPr="000977F7">
        <w:rPr>
          <w:rFonts w:asciiTheme="majorHAnsi" w:hAnsiTheme="majorHAnsi"/>
          <w:spacing w:val="26"/>
          <w:sz w:val="20"/>
          <w:szCs w:val="20"/>
        </w:rPr>
        <w:t xml:space="preserve"> </w:t>
      </w:r>
      <w:r w:rsidRPr="000977F7">
        <w:rPr>
          <w:rFonts w:asciiTheme="majorHAnsi" w:hAnsiTheme="majorHAnsi"/>
          <w:sz w:val="20"/>
          <w:szCs w:val="20"/>
        </w:rPr>
        <w:t>що</w:t>
      </w:r>
      <w:r w:rsidRPr="000977F7">
        <w:rPr>
          <w:rFonts w:asciiTheme="majorHAnsi" w:hAnsiTheme="majorHAnsi"/>
          <w:spacing w:val="26"/>
          <w:sz w:val="20"/>
          <w:szCs w:val="20"/>
        </w:rPr>
        <w:t xml:space="preserve"> </w:t>
      </w:r>
      <w:r w:rsidRPr="000977F7">
        <w:rPr>
          <w:rFonts w:asciiTheme="majorHAnsi" w:hAnsiTheme="majorHAnsi"/>
          <w:sz w:val="20"/>
          <w:szCs w:val="20"/>
        </w:rPr>
        <w:t>полягає</w:t>
      </w:r>
      <w:r w:rsidRPr="000977F7">
        <w:rPr>
          <w:rFonts w:asciiTheme="majorHAnsi" w:hAnsiTheme="majorHAnsi"/>
          <w:spacing w:val="29"/>
          <w:sz w:val="20"/>
          <w:szCs w:val="20"/>
        </w:rPr>
        <w:t xml:space="preserve"> </w:t>
      </w:r>
      <w:r w:rsidRPr="000977F7">
        <w:rPr>
          <w:rFonts w:asciiTheme="majorHAnsi" w:hAnsiTheme="majorHAnsi"/>
          <w:sz w:val="20"/>
          <w:szCs w:val="20"/>
        </w:rPr>
        <w:t>у</w:t>
      </w:r>
      <w:r w:rsidRPr="000977F7">
        <w:rPr>
          <w:rFonts w:asciiTheme="majorHAnsi" w:hAnsiTheme="majorHAnsi"/>
          <w:spacing w:val="27"/>
          <w:sz w:val="20"/>
          <w:szCs w:val="20"/>
        </w:rPr>
        <w:t xml:space="preserve"> </w:t>
      </w:r>
      <w:r w:rsidRPr="000977F7">
        <w:rPr>
          <w:rFonts w:asciiTheme="majorHAnsi" w:hAnsiTheme="majorHAnsi"/>
          <w:sz w:val="20"/>
          <w:szCs w:val="20"/>
        </w:rPr>
        <w:t>створенні</w:t>
      </w:r>
      <w:r w:rsidRPr="000977F7">
        <w:rPr>
          <w:rFonts w:asciiTheme="majorHAnsi" w:hAnsiTheme="majorHAnsi"/>
          <w:spacing w:val="-48"/>
          <w:sz w:val="20"/>
          <w:szCs w:val="20"/>
        </w:rPr>
        <w:t xml:space="preserve"> </w:t>
      </w:r>
      <w:r w:rsidRPr="000977F7">
        <w:rPr>
          <w:rFonts w:asciiTheme="majorHAnsi" w:hAnsiTheme="majorHAnsi"/>
          <w:sz w:val="20"/>
          <w:szCs w:val="20"/>
        </w:rPr>
        <w:t>та підтримуванні ієрархічної організаційної структури</w:t>
      </w:r>
      <w:r w:rsidRPr="000977F7">
        <w:rPr>
          <w:rFonts w:asciiTheme="majorHAnsi" w:hAnsiTheme="majorHAnsi"/>
          <w:spacing w:val="-47"/>
          <w:sz w:val="20"/>
          <w:szCs w:val="20"/>
        </w:rPr>
        <w:t xml:space="preserve"> </w:t>
      </w:r>
      <w:r w:rsidRPr="000977F7">
        <w:rPr>
          <w:rFonts w:asciiTheme="majorHAnsi" w:hAnsiTheme="majorHAnsi"/>
          <w:sz w:val="20"/>
          <w:szCs w:val="20"/>
        </w:rPr>
        <w:t>керування,</w:t>
      </w:r>
      <w:r w:rsidRPr="000977F7">
        <w:rPr>
          <w:rFonts w:asciiTheme="majorHAnsi" w:hAnsiTheme="majorHAnsi"/>
          <w:spacing w:val="6"/>
          <w:sz w:val="20"/>
          <w:szCs w:val="20"/>
        </w:rPr>
        <w:t xml:space="preserve"> </w:t>
      </w:r>
      <w:r w:rsidRPr="000977F7">
        <w:rPr>
          <w:rFonts w:asciiTheme="majorHAnsi" w:hAnsiTheme="majorHAnsi"/>
          <w:sz w:val="20"/>
          <w:szCs w:val="20"/>
        </w:rPr>
        <w:t>здатної</w:t>
      </w:r>
      <w:r w:rsidRPr="000977F7">
        <w:rPr>
          <w:rFonts w:asciiTheme="majorHAnsi" w:hAnsiTheme="majorHAnsi"/>
          <w:spacing w:val="8"/>
          <w:sz w:val="20"/>
          <w:szCs w:val="20"/>
        </w:rPr>
        <w:t xml:space="preserve"> </w:t>
      </w:r>
      <w:r w:rsidRPr="000977F7">
        <w:rPr>
          <w:rFonts w:asciiTheme="majorHAnsi" w:hAnsiTheme="majorHAnsi"/>
          <w:sz w:val="20"/>
          <w:szCs w:val="20"/>
        </w:rPr>
        <w:t>динамічно</w:t>
      </w:r>
      <w:r w:rsidRPr="000977F7">
        <w:rPr>
          <w:rFonts w:asciiTheme="majorHAnsi" w:hAnsiTheme="majorHAnsi"/>
          <w:spacing w:val="7"/>
          <w:sz w:val="20"/>
          <w:szCs w:val="20"/>
        </w:rPr>
        <w:t xml:space="preserve"> </w:t>
      </w:r>
      <w:r w:rsidRPr="000977F7">
        <w:rPr>
          <w:rFonts w:asciiTheme="majorHAnsi" w:hAnsiTheme="majorHAnsi"/>
          <w:sz w:val="20"/>
          <w:szCs w:val="20"/>
        </w:rPr>
        <w:t>змінюватися</w:t>
      </w:r>
      <w:r w:rsidRPr="000977F7">
        <w:rPr>
          <w:rFonts w:asciiTheme="majorHAnsi" w:hAnsiTheme="majorHAnsi"/>
          <w:spacing w:val="6"/>
          <w:sz w:val="20"/>
          <w:szCs w:val="20"/>
        </w:rPr>
        <w:t xml:space="preserve"> </w:t>
      </w:r>
      <w:r w:rsidRPr="000977F7">
        <w:rPr>
          <w:rFonts w:asciiTheme="majorHAnsi" w:hAnsiTheme="majorHAnsi"/>
          <w:sz w:val="20"/>
          <w:szCs w:val="20"/>
        </w:rPr>
        <w:t>і</w:t>
      </w:r>
      <w:r w:rsidRPr="000977F7">
        <w:rPr>
          <w:rFonts w:asciiTheme="majorHAnsi" w:hAnsiTheme="majorHAnsi"/>
          <w:spacing w:val="8"/>
          <w:sz w:val="20"/>
          <w:szCs w:val="20"/>
        </w:rPr>
        <w:t xml:space="preserve"> </w:t>
      </w:r>
      <w:r w:rsidRPr="000977F7">
        <w:rPr>
          <w:rFonts w:asciiTheme="majorHAnsi" w:hAnsiTheme="majorHAnsi"/>
          <w:sz w:val="20"/>
          <w:szCs w:val="20"/>
        </w:rPr>
        <w:t>формувати нову організацію відповідно до зміни цільових завдань</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p>
    <w:p w14:paraId="6C18ED0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i/>
          <w:sz w:val="20"/>
          <w:szCs w:val="20"/>
        </w:rPr>
        <w:t>94</w:t>
      </w:r>
    </w:p>
    <w:p w14:paraId="1349296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ОРГАНІЗАЦІЙНЕ</w:t>
      </w:r>
      <w:r w:rsidRPr="000977F7">
        <w:rPr>
          <w:color w:val="auto"/>
          <w:spacing w:val="-7"/>
          <w:sz w:val="20"/>
          <w:szCs w:val="20"/>
        </w:rPr>
        <w:t xml:space="preserve"> </w:t>
      </w:r>
      <w:r w:rsidRPr="000977F7">
        <w:rPr>
          <w:color w:val="auto"/>
          <w:sz w:val="20"/>
          <w:szCs w:val="20"/>
        </w:rPr>
        <w:t>ПРОЕКТУВАННЯ</w:t>
      </w:r>
      <w:r w:rsidRPr="000977F7">
        <w:rPr>
          <w:color w:val="auto"/>
          <w:spacing w:val="-2"/>
          <w:sz w:val="20"/>
          <w:szCs w:val="20"/>
        </w:rPr>
        <w:t xml:space="preserve"> </w:t>
      </w:r>
      <w:r w:rsidRPr="000977F7">
        <w:rPr>
          <w:color w:val="auto"/>
          <w:sz w:val="20"/>
          <w:szCs w:val="20"/>
        </w:rPr>
        <w:t>–</w:t>
      </w:r>
    </w:p>
    <w:p w14:paraId="78C595B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Проектування організаційних рішень, які відбивають</w:t>
      </w:r>
      <w:r w:rsidRPr="000977F7">
        <w:rPr>
          <w:rFonts w:asciiTheme="majorHAnsi" w:hAnsiTheme="majorHAnsi"/>
          <w:spacing w:val="1"/>
          <w:sz w:val="20"/>
          <w:szCs w:val="20"/>
        </w:rPr>
        <w:t xml:space="preserve"> </w:t>
      </w:r>
      <w:r w:rsidRPr="000977F7">
        <w:rPr>
          <w:rFonts w:asciiTheme="majorHAnsi" w:hAnsiTheme="majorHAnsi"/>
          <w:sz w:val="20"/>
          <w:szCs w:val="20"/>
        </w:rPr>
        <w:t>взаємодію</w:t>
      </w:r>
      <w:r w:rsidRPr="000977F7">
        <w:rPr>
          <w:rFonts w:asciiTheme="majorHAnsi" w:hAnsiTheme="majorHAnsi"/>
          <w:spacing w:val="1"/>
          <w:sz w:val="20"/>
          <w:szCs w:val="20"/>
        </w:rPr>
        <w:t xml:space="preserve"> </w:t>
      </w:r>
      <w:r w:rsidRPr="000977F7">
        <w:rPr>
          <w:rFonts w:asciiTheme="majorHAnsi" w:hAnsiTheme="majorHAnsi"/>
          <w:sz w:val="20"/>
          <w:szCs w:val="20"/>
        </w:rPr>
        <w:t>матеріальних,</w:t>
      </w:r>
      <w:r w:rsidRPr="000977F7">
        <w:rPr>
          <w:rFonts w:asciiTheme="majorHAnsi" w:hAnsiTheme="majorHAnsi"/>
          <w:spacing w:val="1"/>
          <w:sz w:val="20"/>
          <w:szCs w:val="20"/>
        </w:rPr>
        <w:t xml:space="preserve"> </w:t>
      </w:r>
      <w:r w:rsidRPr="000977F7">
        <w:rPr>
          <w:rFonts w:asciiTheme="majorHAnsi" w:hAnsiTheme="majorHAnsi"/>
          <w:sz w:val="20"/>
          <w:szCs w:val="20"/>
        </w:rPr>
        <w:t>трудових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керівних</w:t>
      </w:r>
      <w:r w:rsidRPr="000977F7">
        <w:rPr>
          <w:rFonts w:asciiTheme="majorHAnsi" w:hAnsiTheme="majorHAnsi"/>
          <w:spacing w:val="1"/>
          <w:sz w:val="20"/>
          <w:szCs w:val="20"/>
        </w:rPr>
        <w:t xml:space="preserve"> </w:t>
      </w:r>
      <w:r w:rsidRPr="000977F7">
        <w:rPr>
          <w:rFonts w:asciiTheme="majorHAnsi" w:hAnsiTheme="majorHAnsi"/>
          <w:sz w:val="20"/>
          <w:szCs w:val="20"/>
        </w:rPr>
        <w:t>елементів виробництва промислового об’єкта, що гарантує високо ефективний та безпечний хід виробничих процесів у різні періоди життя виробничої системи</w:t>
      </w:r>
    </w:p>
    <w:p w14:paraId="4F0CF2F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2960 – 94</w:t>
      </w:r>
    </w:p>
    <w:p w14:paraId="3ED16F7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ОРГАНІЗАЦІЙНИЙ</w:t>
      </w:r>
      <w:r w:rsidRPr="000977F7">
        <w:rPr>
          <w:color w:val="auto"/>
          <w:spacing w:val="-3"/>
          <w:sz w:val="20"/>
          <w:szCs w:val="20"/>
        </w:rPr>
        <w:t xml:space="preserve"> </w:t>
      </w:r>
      <w:r w:rsidRPr="000977F7">
        <w:rPr>
          <w:color w:val="auto"/>
          <w:sz w:val="20"/>
          <w:szCs w:val="20"/>
        </w:rPr>
        <w:t>ЧАС</w:t>
      </w:r>
      <w:r w:rsidRPr="000977F7">
        <w:rPr>
          <w:color w:val="auto"/>
          <w:spacing w:val="-1"/>
          <w:sz w:val="20"/>
          <w:szCs w:val="20"/>
        </w:rPr>
        <w:t xml:space="preserve"> </w:t>
      </w:r>
      <w:r w:rsidRPr="000977F7">
        <w:rPr>
          <w:color w:val="auto"/>
          <w:sz w:val="20"/>
          <w:szCs w:val="20"/>
        </w:rPr>
        <w:t>–</w:t>
      </w:r>
    </w:p>
    <w:p w14:paraId="03AD95C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ADMINISTRATIVE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3558991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Період</w:t>
      </w:r>
      <w:r w:rsidRPr="004D2D14">
        <w:rPr>
          <w:rFonts w:asciiTheme="majorHAnsi" w:hAnsiTheme="majorHAnsi"/>
          <w:spacing w:val="1"/>
          <w:sz w:val="20"/>
          <w:szCs w:val="20"/>
          <w:lang w:val="en-US"/>
        </w:rPr>
        <w:t xml:space="preserve"> </w:t>
      </w:r>
      <w:r w:rsidRPr="000977F7">
        <w:rPr>
          <w:rFonts w:asciiTheme="majorHAnsi" w:hAnsiTheme="majorHAnsi"/>
          <w:sz w:val="20"/>
          <w:szCs w:val="20"/>
        </w:rPr>
        <w:t>часу</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протягом</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операції</w:t>
      </w:r>
      <w:r w:rsidRPr="004D2D14">
        <w:rPr>
          <w:rFonts w:asciiTheme="majorHAnsi" w:hAnsiTheme="majorHAnsi"/>
          <w:spacing w:val="1"/>
          <w:sz w:val="20"/>
          <w:szCs w:val="20"/>
          <w:lang w:val="en-US"/>
        </w:rPr>
        <w:t xml:space="preserve"> </w:t>
      </w:r>
      <w:r w:rsidRPr="000977F7">
        <w:rPr>
          <w:rFonts w:asciiTheme="majorHAnsi" w:hAnsiTheme="majorHAnsi"/>
          <w:sz w:val="20"/>
          <w:szCs w:val="20"/>
        </w:rPr>
        <w:t>з</w:t>
      </w:r>
      <w:r w:rsidRPr="004D2D14">
        <w:rPr>
          <w:rFonts w:asciiTheme="majorHAnsi" w:hAnsiTheme="majorHAnsi"/>
          <w:spacing w:val="1"/>
          <w:sz w:val="20"/>
          <w:szCs w:val="20"/>
          <w:lang w:val="en-US"/>
        </w:rPr>
        <w:t xml:space="preserve"> </w:t>
      </w:r>
      <w:r w:rsidRPr="000977F7">
        <w:rPr>
          <w:rFonts w:asciiTheme="majorHAnsi" w:hAnsiTheme="majorHAnsi"/>
          <w:sz w:val="20"/>
          <w:szCs w:val="20"/>
        </w:rPr>
        <w:t>технічного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обслуговування</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r w:rsidRPr="004D2D14">
        <w:rPr>
          <w:rFonts w:asciiTheme="majorHAnsi" w:hAnsiTheme="majorHAnsi"/>
          <w:sz w:val="20"/>
          <w:szCs w:val="20"/>
          <w:lang w:val="en-US"/>
        </w:rPr>
        <w:t xml:space="preserve"> </w:t>
      </w:r>
      <w:r w:rsidRPr="000977F7">
        <w:rPr>
          <w:rFonts w:asciiTheme="majorHAnsi" w:hAnsiTheme="majorHAnsi"/>
          <w:sz w:val="20"/>
          <w:szCs w:val="20"/>
        </w:rPr>
        <w:t>підготовлені</w:t>
      </w:r>
      <w:r w:rsidRPr="004D2D14">
        <w:rPr>
          <w:rFonts w:asciiTheme="majorHAnsi" w:hAnsiTheme="majorHAnsi"/>
          <w:sz w:val="20"/>
          <w:szCs w:val="20"/>
          <w:lang w:val="en-US"/>
        </w:rPr>
        <w:t xml:space="preserve">, </w:t>
      </w:r>
      <w:r w:rsidRPr="000977F7">
        <w:rPr>
          <w:rFonts w:asciiTheme="majorHAnsi" w:hAnsiTheme="majorHAnsi"/>
          <w:sz w:val="20"/>
          <w:szCs w:val="20"/>
        </w:rPr>
        <w:t>але</w:t>
      </w:r>
      <w:r w:rsidRPr="004D2D14">
        <w:rPr>
          <w:rFonts w:asciiTheme="majorHAnsi" w:hAnsiTheme="majorHAnsi"/>
          <w:sz w:val="20"/>
          <w:szCs w:val="20"/>
          <w:lang w:val="en-US"/>
        </w:rPr>
        <w:t xml:space="preserve"> </w:t>
      </w:r>
      <w:r w:rsidRPr="000977F7">
        <w:rPr>
          <w:rFonts w:asciiTheme="majorHAnsi" w:hAnsiTheme="majorHAnsi"/>
          <w:sz w:val="20"/>
          <w:szCs w:val="20"/>
        </w:rPr>
        <w:t>ще</w:t>
      </w:r>
      <w:r w:rsidRPr="004D2D14">
        <w:rPr>
          <w:rFonts w:asciiTheme="majorHAnsi" w:hAnsiTheme="majorHAnsi"/>
          <w:sz w:val="20"/>
          <w:szCs w:val="20"/>
          <w:lang w:val="en-US"/>
        </w:rPr>
        <w:t xml:space="preserve"> </w:t>
      </w:r>
      <w:r w:rsidRPr="000977F7">
        <w:rPr>
          <w:rFonts w:asciiTheme="majorHAnsi" w:hAnsiTheme="majorHAnsi"/>
          <w:sz w:val="20"/>
          <w:szCs w:val="20"/>
        </w:rPr>
        <w:t>не</w:t>
      </w:r>
      <w:r w:rsidRPr="004D2D14">
        <w:rPr>
          <w:rFonts w:asciiTheme="majorHAnsi" w:hAnsiTheme="majorHAnsi"/>
          <w:sz w:val="20"/>
          <w:szCs w:val="20"/>
          <w:lang w:val="en-US"/>
        </w:rPr>
        <w:t xml:space="preserve"> </w:t>
      </w:r>
      <w:r w:rsidRPr="000977F7">
        <w:rPr>
          <w:rFonts w:asciiTheme="majorHAnsi" w:hAnsiTheme="majorHAnsi"/>
          <w:sz w:val="20"/>
          <w:szCs w:val="20"/>
        </w:rPr>
        <w:t>розпочаті</w:t>
      </w:r>
      <w:r w:rsidRPr="004D2D14">
        <w:rPr>
          <w:rFonts w:asciiTheme="majorHAnsi" w:hAnsiTheme="majorHAnsi"/>
          <w:spacing w:val="-2"/>
          <w:sz w:val="20"/>
          <w:szCs w:val="20"/>
          <w:lang w:val="en-US"/>
        </w:rPr>
        <w:t xml:space="preserve"> </w:t>
      </w:r>
      <w:r w:rsidRPr="000977F7">
        <w:rPr>
          <w:rFonts w:asciiTheme="majorHAnsi" w:hAnsiTheme="majorHAnsi"/>
          <w:sz w:val="20"/>
          <w:szCs w:val="20"/>
        </w:rPr>
        <w:t>або</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відкладені</w:t>
      </w:r>
    </w:p>
    <w:p w14:paraId="22F5C300"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pacing w:val="-1"/>
          <w:sz w:val="20"/>
          <w:szCs w:val="20"/>
        </w:rPr>
        <w:t>ОРГАНІЗАЦІЙНО-МЕТОДИЧНІ</w:t>
      </w:r>
      <w:r w:rsidRPr="000977F7">
        <w:rPr>
          <w:color w:val="auto"/>
          <w:spacing w:val="2"/>
          <w:sz w:val="20"/>
          <w:szCs w:val="20"/>
        </w:rPr>
        <w:t xml:space="preserve"> </w:t>
      </w:r>
      <w:r w:rsidRPr="000977F7">
        <w:rPr>
          <w:color w:val="auto"/>
          <w:sz w:val="20"/>
          <w:szCs w:val="20"/>
        </w:rPr>
        <w:t xml:space="preserve">ДОКУМЕНТИ </w:t>
      </w:r>
      <w:r w:rsidRPr="000977F7">
        <w:rPr>
          <w:color w:val="auto"/>
          <w:spacing w:val="-47"/>
          <w:sz w:val="20"/>
          <w:szCs w:val="20"/>
        </w:rPr>
        <w:t xml:space="preserve">  </w:t>
      </w:r>
      <w:r w:rsidRPr="000977F7">
        <w:rPr>
          <w:color w:val="auto"/>
          <w:sz w:val="20"/>
          <w:szCs w:val="20"/>
        </w:rPr>
        <w:t>ІЗ</w:t>
      </w:r>
      <w:r w:rsidRPr="000977F7">
        <w:rPr>
          <w:color w:val="auto"/>
          <w:spacing w:val="-1"/>
          <w:sz w:val="20"/>
          <w:szCs w:val="20"/>
        </w:rPr>
        <w:t xml:space="preserve"> </w:t>
      </w:r>
      <w:r w:rsidRPr="000977F7">
        <w:rPr>
          <w:color w:val="auto"/>
          <w:sz w:val="20"/>
          <w:szCs w:val="20"/>
        </w:rPr>
        <w:t xml:space="preserve">СЕРТИФІКАЦІЇ </w:t>
      </w:r>
      <w:r w:rsidRPr="000977F7">
        <w:rPr>
          <w:b w:val="0"/>
          <w:color w:val="auto"/>
          <w:sz w:val="20"/>
          <w:szCs w:val="20"/>
        </w:rPr>
        <w:t>–</w:t>
      </w:r>
    </w:p>
    <w:p w14:paraId="4946A0F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INSTITUTIONAL</w:t>
      </w:r>
      <w:r w:rsidRPr="004D2D14">
        <w:rPr>
          <w:rFonts w:asciiTheme="majorHAnsi" w:hAnsiTheme="majorHAnsi"/>
          <w:spacing w:val="-10"/>
          <w:sz w:val="20"/>
          <w:szCs w:val="20"/>
          <w:lang w:val="en-US"/>
        </w:rPr>
        <w:t xml:space="preserve"> </w:t>
      </w:r>
      <w:r w:rsidRPr="004D2D14">
        <w:rPr>
          <w:rFonts w:asciiTheme="majorHAnsi" w:hAnsiTheme="majorHAnsi"/>
          <w:sz w:val="20"/>
          <w:szCs w:val="20"/>
          <w:lang w:val="en-US"/>
        </w:rPr>
        <w:t>AND</w:t>
      </w:r>
      <w:r w:rsidRPr="004D2D14">
        <w:rPr>
          <w:rFonts w:asciiTheme="majorHAnsi" w:hAnsiTheme="majorHAnsi"/>
          <w:spacing w:val="-9"/>
          <w:sz w:val="20"/>
          <w:szCs w:val="20"/>
          <w:lang w:val="en-US"/>
        </w:rPr>
        <w:t xml:space="preserve"> </w:t>
      </w:r>
      <w:r w:rsidRPr="004D2D14">
        <w:rPr>
          <w:rFonts w:asciiTheme="majorHAnsi" w:hAnsiTheme="majorHAnsi"/>
          <w:sz w:val="20"/>
          <w:szCs w:val="20"/>
          <w:lang w:val="en-US"/>
        </w:rPr>
        <w:t>METHODOLOGICAL</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DOCUMENTS</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THE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CERTIFICATION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3599953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Документи,</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прийняті</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системі</w:t>
      </w:r>
      <w:r w:rsidRPr="000977F7">
        <w:rPr>
          <w:rFonts w:asciiTheme="majorHAnsi" w:hAnsiTheme="majorHAnsi"/>
          <w:spacing w:val="1"/>
          <w:sz w:val="20"/>
          <w:szCs w:val="20"/>
        </w:rPr>
        <w:t xml:space="preserve"> </w:t>
      </w:r>
      <w:r w:rsidRPr="000977F7">
        <w:rPr>
          <w:rFonts w:asciiTheme="majorHAnsi" w:hAnsiTheme="majorHAnsi"/>
          <w:sz w:val="20"/>
          <w:szCs w:val="20"/>
        </w:rPr>
        <w:t>сертифікації</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установлюють правила, процедури і порядок проведення</w:t>
      </w:r>
      <w:r w:rsidRPr="000977F7">
        <w:rPr>
          <w:rFonts w:asciiTheme="majorHAnsi" w:hAnsiTheme="majorHAnsi"/>
          <w:spacing w:val="-2"/>
          <w:sz w:val="20"/>
          <w:szCs w:val="20"/>
        </w:rPr>
        <w:t xml:space="preserve"> </w:t>
      </w:r>
      <w:r w:rsidRPr="000977F7">
        <w:rPr>
          <w:rFonts w:asciiTheme="majorHAnsi" w:hAnsiTheme="majorHAnsi"/>
          <w:sz w:val="20"/>
          <w:szCs w:val="20"/>
        </w:rPr>
        <w:t>робіт</w:t>
      </w:r>
      <w:r w:rsidRPr="000977F7">
        <w:rPr>
          <w:rFonts w:asciiTheme="majorHAnsi" w:hAnsiTheme="majorHAnsi"/>
          <w:spacing w:val="-1"/>
          <w:sz w:val="20"/>
          <w:szCs w:val="20"/>
        </w:rPr>
        <w:t xml:space="preserve"> </w:t>
      </w:r>
      <w:r w:rsidRPr="000977F7">
        <w:rPr>
          <w:rFonts w:asciiTheme="majorHAnsi" w:hAnsiTheme="majorHAnsi"/>
          <w:sz w:val="20"/>
          <w:szCs w:val="20"/>
        </w:rPr>
        <w:t>з сертифікації</w:t>
      </w:r>
    </w:p>
    <w:p w14:paraId="5FFD6FDC"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ОРГАНІЗАЦІЙНО</w:t>
      </w:r>
      <w:r w:rsidRPr="004D2D14">
        <w:rPr>
          <w:rFonts w:asciiTheme="majorHAnsi" w:hAnsiTheme="majorHAnsi"/>
          <w:b/>
          <w:sz w:val="20"/>
          <w:szCs w:val="20"/>
          <w:lang w:val="en-US"/>
        </w:rPr>
        <w:t>-</w:t>
      </w:r>
      <w:r w:rsidRPr="000977F7">
        <w:rPr>
          <w:rFonts w:asciiTheme="majorHAnsi" w:hAnsiTheme="majorHAnsi"/>
          <w:b/>
          <w:sz w:val="20"/>
          <w:szCs w:val="20"/>
        </w:rPr>
        <w:t>МЕТОДИЧНИЙ</w:t>
      </w:r>
      <w:r w:rsidRPr="004D2D14">
        <w:rPr>
          <w:rFonts w:asciiTheme="majorHAnsi" w:hAnsiTheme="majorHAnsi"/>
          <w:b/>
          <w:sz w:val="20"/>
          <w:szCs w:val="20"/>
          <w:lang w:val="en-US"/>
        </w:rPr>
        <w:t xml:space="preserve"> </w:t>
      </w:r>
      <w:r w:rsidRPr="000977F7">
        <w:rPr>
          <w:rFonts w:asciiTheme="majorHAnsi" w:hAnsiTheme="majorHAnsi"/>
          <w:b/>
          <w:sz w:val="20"/>
          <w:szCs w:val="20"/>
        </w:rPr>
        <w:t>СТАНДАРТ</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p>
    <w:p w14:paraId="18B93CD1"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pacing w:val="-48"/>
          <w:sz w:val="20"/>
          <w:szCs w:val="20"/>
          <w:lang w:val="en-US"/>
        </w:rPr>
        <w:t xml:space="preserve"> </w:t>
      </w:r>
      <w:r w:rsidRPr="004D2D14">
        <w:rPr>
          <w:rFonts w:asciiTheme="majorHAnsi" w:hAnsiTheme="majorHAnsi"/>
          <w:sz w:val="20"/>
          <w:szCs w:val="20"/>
          <w:lang w:val="en-US"/>
        </w:rPr>
        <w:t>STANDARD ON ADMINISTRATION AND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MANAGEMENT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METHOD –</w:t>
      </w:r>
    </w:p>
    <w:p w14:paraId="155ED50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Стандарт</w:t>
      </w:r>
      <w:r w:rsidRPr="004D2D14">
        <w:rPr>
          <w:rFonts w:asciiTheme="majorHAnsi" w:hAnsiTheme="majorHAnsi"/>
          <w:sz w:val="20"/>
          <w:szCs w:val="20"/>
          <w:lang w:val="en-US"/>
        </w:rPr>
        <w:t xml:space="preserve">, </w:t>
      </w:r>
      <w:r w:rsidRPr="000977F7">
        <w:rPr>
          <w:rFonts w:asciiTheme="majorHAnsi" w:hAnsiTheme="majorHAnsi"/>
          <w:sz w:val="20"/>
          <w:szCs w:val="20"/>
        </w:rPr>
        <w:t>який</w:t>
      </w:r>
      <w:r w:rsidRPr="004D2D14">
        <w:rPr>
          <w:rFonts w:asciiTheme="majorHAnsi" w:hAnsiTheme="majorHAnsi"/>
          <w:sz w:val="20"/>
          <w:szCs w:val="20"/>
          <w:lang w:val="en-US"/>
        </w:rPr>
        <w:t xml:space="preserve"> </w:t>
      </w:r>
      <w:r w:rsidRPr="000977F7">
        <w:rPr>
          <w:rFonts w:asciiTheme="majorHAnsi" w:hAnsiTheme="majorHAnsi"/>
          <w:sz w:val="20"/>
          <w:szCs w:val="20"/>
        </w:rPr>
        <w:t>встановлює</w:t>
      </w:r>
      <w:r w:rsidRPr="004D2D14">
        <w:rPr>
          <w:rFonts w:asciiTheme="majorHAnsi" w:hAnsiTheme="majorHAnsi"/>
          <w:sz w:val="20"/>
          <w:szCs w:val="20"/>
          <w:lang w:val="en-US"/>
        </w:rPr>
        <w:t xml:space="preserve"> </w:t>
      </w:r>
      <w:r w:rsidRPr="000977F7">
        <w:rPr>
          <w:rFonts w:asciiTheme="majorHAnsi" w:hAnsiTheme="majorHAnsi"/>
          <w:sz w:val="20"/>
          <w:szCs w:val="20"/>
        </w:rPr>
        <w:t>вимоги</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забезпечують</w:t>
      </w:r>
      <w:r w:rsidRPr="004D2D14">
        <w:rPr>
          <w:rFonts w:asciiTheme="majorHAnsi" w:hAnsiTheme="majorHAnsi"/>
          <w:spacing w:val="1"/>
          <w:sz w:val="20"/>
          <w:szCs w:val="20"/>
          <w:lang w:val="en-US"/>
        </w:rPr>
        <w:t xml:space="preserve"> </w:t>
      </w:r>
      <w:r w:rsidRPr="000977F7">
        <w:rPr>
          <w:rFonts w:asciiTheme="majorHAnsi" w:hAnsiTheme="majorHAnsi"/>
          <w:sz w:val="20"/>
          <w:szCs w:val="20"/>
        </w:rPr>
        <w:t>єдність</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взаємозв</w:t>
      </w:r>
      <w:r w:rsidRPr="004D2D14">
        <w:rPr>
          <w:rFonts w:asciiTheme="majorHAnsi" w:hAnsiTheme="majorHAnsi"/>
          <w:sz w:val="20"/>
          <w:szCs w:val="20"/>
          <w:lang w:val="en-US"/>
        </w:rPr>
        <w:t>’</w:t>
      </w:r>
      <w:r w:rsidRPr="000977F7">
        <w:rPr>
          <w:rFonts w:asciiTheme="majorHAnsi" w:hAnsiTheme="majorHAnsi"/>
          <w:sz w:val="20"/>
          <w:szCs w:val="20"/>
        </w:rPr>
        <w:t>язок</w:t>
      </w:r>
      <w:r w:rsidRPr="004D2D14">
        <w:rPr>
          <w:rFonts w:asciiTheme="majorHAnsi" w:hAnsiTheme="majorHAnsi"/>
          <w:sz w:val="20"/>
          <w:szCs w:val="20"/>
          <w:lang w:val="en-US"/>
        </w:rPr>
        <w:t xml:space="preserve"> </w:t>
      </w:r>
      <w:r w:rsidRPr="000977F7">
        <w:rPr>
          <w:rFonts w:asciiTheme="majorHAnsi" w:hAnsiTheme="majorHAnsi"/>
          <w:sz w:val="20"/>
          <w:szCs w:val="20"/>
        </w:rPr>
        <w:t>процесів</w:t>
      </w:r>
      <w:r w:rsidRPr="004D2D14">
        <w:rPr>
          <w:rFonts w:asciiTheme="majorHAnsi" w:hAnsiTheme="majorHAnsi"/>
          <w:sz w:val="20"/>
          <w:szCs w:val="20"/>
          <w:lang w:val="en-US"/>
        </w:rPr>
        <w:t xml:space="preserve"> </w:t>
      </w:r>
      <w:r w:rsidRPr="000977F7">
        <w:rPr>
          <w:rFonts w:asciiTheme="majorHAnsi" w:hAnsiTheme="majorHAnsi"/>
          <w:sz w:val="20"/>
          <w:szCs w:val="20"/>
        </w:rPr>
        <w:t>управління</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праці</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pacing w:val="1"/>
          <w:sz w:val="20"/>
          <w:szCs w:val="20"/>
          <w:lang w:val="en-US"/>
        </w:rPr>
        <w:t xml:space="preserve"> </w:t>
      </w:r>
      <w:r w:rsidRPr="000977F7">
        <w:rPr>
          <w:rFonts w:asciiTheme="majorHAnsi" w:hAnsiTheme="majorHAnsi"/>
          <w:sz w:val="20"/>
          <w:szCs w:val="20"/>
        </w:rPr>
        <w:t>різних</w:t>
      </w:r>
      <w:r w:rsidRPr="004D2D14">
        <w:rPr>
          <w:rFonts w:asciiTheme="majorHAnsi" w:hAnsiTheme="majorHAnsi"/>
          <w:sz w:val="20"/>
          <w:szCs w:val="20"/>
          <w:lang w:val="en-US"/>
        </w:rPr>
        <w:t xml:space="preserve"> </w:t>
      </w:r>
      <w:r w:rsidRPr="000977F7">
        <w:rPr>
          <w:rFonts w:asciiTheme="majorHAnsi" w:hAnsiTheme="majorHAnsi"/>
          <w:sz w:val="20"/>
          <w:szCs w:val="20"/>
        </w:rPr>
        <w:t>галузях</w:t>
      </w:r>
      <w:r w:rsidRPr="004D2D14">
        <w:rPr>
          <w:rFonts w:asciiTheme="majorHAnsi" w:hAnsiTheme="majorHAnsi"/>
          <w:sz w:val="20"/>
          <w:szCs w:val="20"/>
          <w:lang w:val="en-US"/>
        </w:rPr>
        <w:t xml:space="preserve"> </w:t>
      </w:r>
      <w:r w:rsidRPr="000977F7">
        <w:rPr>
          <w:rFonts w:asciiTheme="majorHAnsi" w:hAnsiTheme="majorHAnsi"/>
          <w:sz w:val="20"/>
          <w:szCs w:val="20"/>
        </w:rPr>
        <w:t>суспільного</w:t>
      </w:r>
      <w:r w:rsidRPr="004D2D14">
        <w:rPr>
          <w:rFonts w:asciiTheme="majorHAnsi" w:hAnsiTheme="majorHAnsi"/>
          <w:sz w:val="20"/>
          <w:szCs w:val="20"/>
          <w:lang w:val="en-US"/>
        </w:rPr>
        <w:t xml:space="preserve"> </w:t>
      </w:r>
      <w:r w:rsidRPr="000977F7">
        <w:rPr>
          <w:rFonts w:asciiTheme="majorHAnsi" w:hAnsiTheme="majorHAnsi"/>
          <w:sz w:val="20"/>
          <w:szCs w:val="20"/>
        </w:rPr>
        <w:t>виробництва</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соціальному</w:t>
      </w:r>
      <w:r w:rsidRPr="004D2D14">
        <w:rPr>
          <w:rFonts w:asciiTheme="majorHAnsi" w:hAnsiTheme="majorHAnsi"/>
          <w:spacing w:val="-2"/>
          <w:sz w:val="20"/>
          <w:szCs w:val="20"/>
          <w:lang w:val="en-US"/>
        </w:rPr>
        <w:t xml:space="preserve"> </w:t>
      </w:r>
      <w:r w:rsidRPr="000977F7">
        <w:rPr>
          <w:rFonts w:asciiTheme="majorHAnsi" w:hAnsiTheme="majorHAnsi"/>
          <w:sz w:val="20"/>
          <w:szCs w:val="20"/>
        </w:rPr>
        <w:t>житті</w:t>
      </w:r>
      <w:r w:rsidRPr="004D2D14">
        <w:rPr>
          <w:rFonts w:asciiTheme="majorHAnsi" w:hAnsiTheme="majorHAnsi"/>
          <w:spacing w:val="-1"/>
          <w:sz w:val="20"/>
          <w:szCs w:val="20"/>
          <w:lang w:val="en-US"/>
        </w:rPr>
        <w:t xml:space="preserve"> </w:t>
      </w:r>
      <w:r w:rsidRPr="000977F7">
        <w:rPr>
          <w:rFonts w:asciiTheme="majorHAnsi" w:hAnsiTheme="majorHAnsi"/>
          <w:sz w:val="20"/>
          <w:szCs w:val="20"/>
        </w:rPr>
        <w:t>суспільства</w:t>
      </w:r>
    </w:p>
    <w:p w14:paraId="721E27E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9ECDC8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цього</w:t>
      </w:r>
      <w:r w:rsidRPr="000977F7">
        <w:rPr>
          <w:rFonts w:asciiTheme="majorHAnsi" w:hAnsiTheme="majorHAnsi"/>
          <w:spacing w:val="1"/>
          <w:sz w:val="20"/>
          <w:szCs w:val="20"/>
        </w:rPr>
        <w:t xml:space="preserve"> </w:t>
      </w:r>
      <w:r w:rsidRPr="000977F7">
        <w:rPr>
          <w:rFonts w:asciiTheme="majorHAnsi" w:hAnsiTheme="majorHAnsi"/>
          <w:sz w:val="20"/>
          <w:szCs w:val="20"/>
        </w:rPr>
        <w:t>виду</w:t>
      </w:r>
      <w:r w:rsidRPr="000977F7">
        <w:rPr>
          <w:rFonts w:asciiTheme="majorHAnsi" w:hAnsiTheme="majorHAnsi"/>
          <w:spacing w:val="1"/>
          <w:sz w:val="20"/>
          <w:szCs w:val="20"/>
        </w:rPr>
        <w:t xml:space="preserve"> </w:t>
      </w:r>
      <w:r w:rsidRPr="000977F7">
        <w:rPr>
          <w:rFonts w:asciiTheme="majorHAnsi" w:hAnsiTheme="majorHAnsi"/>
          <w:sz w:val="20"/>
          <w:szCs w:val="20"/>
        </w:rPr>
        <w:t>стандартів</w:t>
      </w:r>
      <w:r w:rsidRPr="000977F7">
        <w:rPr>
          <w:rFonts w:asciiTheme="majorHAnsi" w:hAnsiTheme="majorHAnsi"/>
          <w:spacing w:val="1"/>
          <w:sz w:val="20"/>
          <w:szCs w:val="20"/>
        </w:rPr>
        <w:t xml:space="preserve"> </w:t>
      </w:r>
      <w:r w:rsidRPr="000977F7">
        <w:rPr>
          <w:rFonts w:asciiTheme="majorHAnsi" w:hAnsiTheme="majorHAnsi"/>
          <w:sz w:val="20"/>
          <w:szCs w:val="20"/>
        </w:rPr>
        <w:t>відносяться</w:t>
      </w:r>
      <w:r w:rsidRPr="000977F7">
        <w:rPr>
          <w:rFonts w:asciiTheme="majorHAnsi" w:hAnsiTheme="majorHAnsi"/>
          <w:spacing w:val="1"/>
          <w:sz w:val="20"/>
          <w:szCs w:val="20"/>
        </w:rPr>
        <w:t xml:space="preserve"> </w:t>
      </w:r>
      <w:r w:rsidRPr="000977F7">
        <w:rPr>
          <w:rFonts w:asciiTheme="majorHAnsi" w:hAnsiTheme="majorHAnsi"/>
          <w:sz w:val="20"/>
          <w:szCs w:val="20"/>
        </w:rPr>
        <w:t>стандарти,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яких містяться вимоги до систем документації, систем</w:t>
      </w:r>
      <w:r w:rsidRPr="000977F7">
        <w:rPr>
          <w:rFonts w:asciiTheme="majorHAnsi" w:hAnsiTheme="majorHAnsi"/>
          <w:spacing w:val="-47"/>
          <w:sz w:val="20"/>
          <w:szCs w:val="20"/>
        </w:rPr>
        <w:t xml:space="preserve"> </w:t>
      </w:r>
      <w:r w:rsidRPr="000977F7">
        <w:rPr>
          <w:rFonts w:asciiTheme="majorHAnsi" w:hAnsiTheme="majorHAnsi"/>
          <w:sz w:val="20"/>
          <w:szCs w:val="20"/>
        </w:rPr>
        <w:t>класифікації,</w:t>
      </w:r>
      <w:r w:rsidRPr="000977F7">
        <w:rPr>
          <w:rFonts w:asciiTheme="majorHAnsi" w:hAnsiTheme="majorHAnsi"/>
          <w:spacing w:val="1"/>
          <w:sz w:val="20"/>
          <w:szCs w:val="20"/>
        </w:rPr>
        <w:t xml:space="preserve"> </w:t>
      </w:r>
      <w:r w:rsidRPr="000977F7">
        <w:rPr>
          <w:rFonts w:asciiTheme="majorHAnsi" w:hAnsiTheme="majorHAnsi"/>
          <w:sz w:val="20"/>
          <w:szCs w:val="20"/>
        </w:rPr>
        <w:t>кодування</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техніко-економічної</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інформації</w:t>
      </w:r>
    </w:p>
    <w:p w14:paraId="5ED3D46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ОРГАНІЗАЦІЙНО – РОЗПОРЯДЧІ МЕТОДИ </w:t>
      </w:r>
    </w:p>
    <w:p w14:paraId="7F88F65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КЕ</w:t>
      </w:r>
      <w:r w:rsidRPr="000977F7">
        <w:rPr>
          <w:color w:val="auto"/>
          <w:spacing w:val="-48"/>
          <w:sz w:val="20"/>
          <w:szCs w:val="20"/>
        </w:rPr>
        <w:t xml:space="preserve"> </w:t>
      </w:r>
      <w:r w:rsidRPr="000977F7">
        <w:rPr>
          <w:color w:val="auto"/>
          <w:sz w:val="20"/>
          <w:szCs w:val="20"/>
        </w:rPr>
        <w:t>РУВАННЯ –</w:t>
      </w:r>
    </w:p>
    <w:p w14:paraId="44606AC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Комплекс</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заходів</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безпосереднього</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впливу</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виконавців</w:t>
      </w:r>
      <w:r w:rsidRPr="004D2D14">
        <w:rPr>
          <w:rFonts w:asciiTheme="majorHAnsi" w:hAnsiTheme="majorHAnsi"/>
          <w:spacing w:val="30"/>
          <w:sz w:val="20"/>
          <w:szCs w:val="20"/>
          <w:lang w:val="uk-UA"/>
        </w:rPr>
        <w:t xml:space="preserve"> </w:t>
      </w:r>
      <w:r w:rsidRPr="004D2D14">
        <w:rPr>
          <w:rFonts w:asciiTheme="majorHAnsi" w:hAnsiTheme="majorHAnsi"/>
          <w:sz w:val="20"/>
          <w:szCs w:val="20"/>
          <w:lang w:val="uk-UA"/>
        </w:rPr>
        <w:t>за</w:t>
      </w:r>
      <w:r w:rsidRPr="004D2D14">
        <w:rPr>
          <w:rFonts w:asciiTheme="majorHAnsi" w:hAnsiTheme="majorHAnsi"/>
          <w:spacing w:val="31"/>
          <w:sz w:val="20"/>
          <w:szCs w:val="20"/>
          <w:lang w:val="uk-UA"/>
        </w:rPr>
        <w:t xml:space="preserve"> </w:t>
      </w:r>
      <w:r w:rsidRPr="004D2D14">
        <w:rPr>
          <w:rFonts w:asciiTheme="majorHAnsi" w:hAnsiTheme="majorHAnsi"/>
          <w:sz w:val="20"/>
          <w:szCs w:val="20"/>
          <w:lang w:val="uk-UA"/>
        </w:rPr>
        <w:t>допомогою</w:t>
      </w:r>
      <w:r w:rsidRPr="004D2D14">
        <w:rPr>
          <w:rFonts w:asciiTheme="majorHAnsi" w:hAnsiTheme="majorHAnsi"/>
          <w:spacing w:val="32"/>
          <w:sz w:val="20"/>
          <w:szCs w:val="20"/>
          <w:lang w:val="uk-UA"/>
        </w:rPr>
        <w:t xml:space="preserve"> </w:t>
      </w:r>
      <w:r w:rsidRPr="004D2D14">
        <w:rPr>
          <w:rFonts w:asciiTheme="majorHAnsi" w:hAnsiTheme="majorHAnsi"/>
          <w:sz w:val="20"/>
          <w:szCs w:val="20"/>
          <w:lang w:val="uk-UA"/>
        </w:rPr>
        <w:t>нормативів,</w:t>
      </w:r>
      <w:r w:rsidRPr="004D2D14">
        <w:rPr>
          <w:rFonts w:asciiTheme="majorHAnsi" w:hAnsiTheme="majorHAnsi"/>
          <w:spacing w:val="31"/>
          <w:sz w:val="20"/>
          <w:szCs w:val="20"/>
          <w:lang w:val="uk-UA"/>
        </w:rPr>
        <w:t xml:space="preserve"> </w:t>
      </w:r>
      <w:r w:rsidRPr="004D2D14">
        <w:rPr>
          <w:rFonts w:asciiTheme="majorHAnsi" w:hAnsiTheme="majorHAnsi"/>
          <w:sz w:val="20"/>
          <w:szCs w:val="20"/>
          <w:lang w:val="uk-UA"/>
        </w:rPr>
        <w:t>розпорядчих</w:t>
      </w:r>
      <w:r w:rsidRPr="004D2D14">
        <w:rPr>
          <w:rFonts w:asciiTheme="majorHAnsi" w:hAnsiTheme="majorHAnsi"/>
          <w:spacing w:val="31"/>
          <w:sz w:val="20"/>
          <w:szCs w:val="20"/>
          <w:lang w:val="uk-UA"/>
        </w:rPr>
        <w:t xml:space="preserve"> </w:t>
      </w:r>
      <w:r w:rsidRPr="004D2D14">
        <w:rPr>
          <w:rFonts w:asciiTheme="majorHAnsi" w:hAnsiTheme="majorHAnsi"/>
          <w:sz w:val="20"/>
          <w:szCs w:val="20"/>
          <w:lang w:val="uk-UA"/>
        </w:rPr>
        <w:t>актів,</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інструкцій,</w:t>
      </w:r>
      <w:r w:rsidRPr="004D2D14">
        <w:rPr>
          <w:rFonts w:asciiTheme="majorHAnsi" w:hAnsiTheme="majorHAnsi"/>
          <w:spacing w:val="26"/>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25"/>
          <w:sz w:val="20"/>
          <w:szCs w:val="20"/>
          <w:lang w:val="uk-UA"/>
        </w:rPr>
        <w:t xml:space="preserve"> </w:t>
      </w:r>
      <w:r w:rsidRPr="004D2D14">
        <w:rPr>
          <w:rFonts w:asciiTheme="majorHAnsi" w:hAnsiTheme="majorHAnsi"/>
          <w:sz w:val="20"/>
          <w:szCs w:val="20"/>
          <w:lang w:val="uk-UA"/>
        </w:rPr>
        <w:t>відповідають</w:t>
      </w:r>
      <w:r w:rsidRPr="004D2D14">
        <w:rPr>
          <w:rFonts w:asciiTheme="majorHAnsi" w:hAnsiTheme="majorHAnsi"/>
          <w:spacing w:val="23"/>
          <w:sz w:val="20"/>
          <w:szCs w:val="20"/>
          <w:lang w:val="uk-UA"/>
        </w:rPr>
        <w:t xml:space="preserve"> </w:t>
      </w:r>
      <w:r w:rsidRPr="004D2D14">
        <w:rPr>
          <w:rFonts w:asciiTheme="majorHAnsi" w:hAnsiTheme="majorHAnsi"/>
          <w:sz w:val="20"/>
          <w:szCs w:val="20"/>
          <w:lang w:val="uk-UA"/>
        </w:rPr>
        <w:t>правовим</w:t>
      </w:r>
      <w:r w:rsidRPr="004D2D14">
        <w:rPr>
          <w:rFonts w:asciiTheme="majorHAnsi" w:hAnsiTheme="majorHAnsi"/>
          <w:spacing w:val="25"/>
          <w:sz w:val="20"/>
          <w:szCs w:val="20"/>
          <w:lang w:val="uk-UA"/>
        </w:rPr>
        <w:t xml:space="preserve"> </w:t>
      </w:r>
      <w:r w:rsidRPr="004D2D14">
        <w:rPr>
          <w:rFonts w:asciiTheme="majorHAnsi" w:hAnsiTheme="majorHAnsi"/>
          <w:sz w:val="20"/>
          <w:szCs w:val="20"/>
          <w:lang w:val="uk-UA"/>
        </w:rPr>
        <w:t>нормам,</w:t>
      </w:r>
      <w:r w:rsidRPr="004D2D14">
        <w:rPr>
          <w:rFonts w:asciiTheme="majorHAnsi" w:hAnsiTheme="majorHAnsi"/>
          <w:spacing w:val="25"/>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24"/>
          <w:sz w:val="20"/>
          <w:szCs w:val="20"/>
          <w:lang w:val="uk-UA"/>
        </w:rPr>
        <w:t xml:space="preserve"> </w:t>
      </w:r>
      <w:r w:rsidRPr="004D2D14">
        <w:rPr>
          <w:rFonts w:asciiTheme="majorHAnsi" w:hAnsiTheme="majorHAnsi"/>
          <w:sz w:val="20"/>
          <w:szCs w:val="20"/>
          <w:lang w:val="uk-UA"/>
        </w:rPr>
        <w:t>метою спонукання їх до виконання тих чи інших дій</w:t>
      </w:r>
    </w:p>
    <w:p w14:paraId="41EC82FF"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2960</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296A4768"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4D2D14">
        <w:rPr>
          <w:rFonts w:asciiTheme="majorHAnsi" w:hAnsiTheme="majorHAnsi"/>
          <w:b/>
          <w:sz w:val="20"/>
          <w:szCs w:val="20"/>
          <w:lang w:val="uk-UA"/>
        </w:rPr>
        <w:t xml:space="preserve">ОРГАНІЗАЦІЯ </w:t>
      </w:r>
      <w:r w:rsidRPr="004D2D14">
        <w:rPr>
          <w:rFonts w:asciiTheme="majorHAnsi" w:hAnsiTheme="majorHAnsi"/>
          <w:sz w:val="20"/>
          <w:szCs w:val="20"/>
          <w:lang w:val="uk-UA"/>
        </w:rPr>
        <w:t>–</w:t>
      </w:r>
    </w:p>
    <w:p w14:paraId="6D42214B"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0977F7">
        <w:rPr>
          <w:rFonts w:asciiTheme="majorHAnsi" w:hAnsiTheme="majorHAnsi"/>
          <w:sz w:val="20"/>
          <w:szCs w:val="20"/>
        </w:rPr>
        <w:t>ORGANIZATION</w:t>
      </w:r>
      <w:r w:rsidRPr="004D2D14">
        <w:rPr>
          <w:rFonts w:asciiTheme="majorHAnsi" w:hAnsiTheme="majorHAnsi"/>
          <w:spacing w:val="-13"/>
          <w:sz w:val="20"/>
          <w:szCs w:val="20"/>
          <w:lang w:val="uk-UA"/>
        </w:rPr>
        <w:t xml:space="preserve"> </w:t>
      </w:r>
      <w:r w:rsidRPr="004D2D14">
        <w:rPr>
          <w:rFonts w:asciiTheme="majorHAnsi" w:hAnsiTheme="majorHAnsi"/>
          <w:sz w:val="20"/>
          <w:szCs w:val="20"/>
          <w:lang w:val="uk-UA"/>
        </w:rPr>
        <w:t>–</w:t>
      </w:r>
    </w:p>
    <w:p w14:paraId="1D04232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Особа чи група людей, які мають свої власні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функції з відповідальністю, повноваженнями та взаємовідносинами,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щоб</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досягати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своїх</w:t>
      </w:r>
      <w:r w:rsidRPr="004D2D14">
        <w:rPr>
          <w:rFonts w:asciiTheme="majorHAnsi" w:hAnsiTheme="majorHAnsi"/>
          <w:spacing w:val="48"/>
          <w:sz w:val="20"/>
          <w:szCs w:val="20"/>
          <w:lang w:val="uk-UA"/>
        </w:rPr>
        <w:t xml:space="preserve"> </w:t>
      </w:r>
      <w:r w:rsidRPr="004D2D14">
        <w:rPr>
          <w:rFonts w:asciiTheme="majorHAnsi" w:hAnsiTheme="majorHAnsi"/>
          <w:sz w:val="20"/>
          <w:szCs w:val="20"/>
          <w:lang w:val="uk-UA"/>
        </w:rPr>
        <w:t>цілей.</w:t>
      </w:r>
    </w:p>
    <w:p w14:paraId="42C527A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Примітка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1.</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Поняття організація охоплює,</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але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 обмежується, індивідуального торговця, компанію,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корпорацію, фірму, підприємство, орган влади, товариство, асоціацію, доброчинну організацію чи установу, або частину чи їх комбінацію, об'єднані чи 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державні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приватні.</w:t>
      </w:r>
    </w:p>
    <w:p w14:paraId="208FB42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0977F7">
        <w:rPr>
          <w:rFonts w:asciiTheme="majorHAnsi" w:hAnsiTheme="majorHAnsi"/>
          <w:i/>
          <w:sz w:val="20"/>
          <w:szCs w:val="20"/>
        </w:rPr>
        <w:t>ISO</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9000:2015</w:t>
      </w:r>
    </w:p>
    <w:p w14:paraId="43FFC8C9"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ОРГАНІЗАЦІЯ</w:t>
      </w:r>
      <w:r w:rsidRPr="000977F7">
        <w:rPr>
          <w:color w:val="auto"/>
          <w:spacing w:val="-4"/>
          <w:sz w:val="20"/>
          <w:szCs w:val="20"/>
        </w:rPr>
        <w:t xml:space="preserve"> </w:t>
      </w:r>
      <w:r w:rsidRPr="000977F7">
        <w:rPr>
          <w:color w:val="auto"/>
          <w:sz w:val="20"/>
          <w:szCs w:val="20"/>
        </w:rPr>
        <w:t>ВИРОБНИЦТВА</w:t>
      </w:r>
      <w:r w:rsidRPr="000977F7">
        <w:rPr>
          <w:color w:val="auto"/>
          <w:spacing w:val="48"/>
          <w:sz w:val="20"/>
          <w:szCs w:val="20"/>
        </w:rPr>
        <w:t xml:space="preserve"> </w:t>
      </w:r>
      <w:r w:rsidRPr="000977F7">
        <w:rPr>
          <w:b w:val="0"/>
          <w:color w:val="auto"/>
          <w:sz w:val="20"/>
          <w:szCs w:val="20"/>
        </w:rPr>
        <w:t>-</w:t>
      </w:r>
    </w:p>
    <w:p w14:paraId="46C6A7D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Кількісне та якісне поєднання в просторі та часі трудових і матеріальних ресурсів, технічних та економічних засобів господарської діяльності на промисловому підприємстві з метою випуску в установлені строки продукції необхідної кількості та якості з мінімальними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витратами</w:t>
      </w:r>
    </w:p>
    <w:p w14:paraId="4E213D91"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6C43BD70"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ОРГАНІЗАЦІЯ ТЕХНОЛОГІЧНОГО ПІДГОТО</w:t>
      </w:r>
      <w:r w:rsidRPr="000977F7">
        <w:rPr>
          <w:color w:val="auto"/>
          <w:spacing w:val="-47"/>
          <w:sz w:val="20"/>
          <w:szCs w:val="20"/>
        </w:rPr>
        <w:t xml:space="preserve"> </w:t>
      </w:r>
      <w:r w:rsidRPr="000977F7">
        <w:rPr>
          <w:color w:val="auto"/>
          <w:sz w:val="20"/>
          <w:szCs w:val="20"/>
        </w:rPr>
        <w:t>ВЛЕННЯ</w:t>
      </w:r>
      <w:r w:rsidRPr="000977F7">
        <w:rPr>
          <w:color w:val="auto"/>
          <w:spacing w:val="-1"/>
          <w:sz w:val="20"/>
          <w:szCs w:val="20"/>
        </w:rPr>
        <w:t xml:space="preserve"> </w:t>
      </w:r>
      <w:r w:rsidRPr="000977F7">
        <w:rPr>
          <w:color w:val="auto"/>
          <w:sz w:val="20"/>
          <w:szCs w:val="20"/>
        </w:rPr>
        <w:t>ВИРОБНИЦТВА</w:t>
      </w:r>
      <w:r w:rsidRPr="000977F7">
        <w:rPr>
          <w:color w:val="auto"/>
          <w:spacing w:val="3"/>
          <w:sz w:val="20"/>
          <w:szCs w:val="20"/>
        </w:rPr>
        <w:t xml:space="preserve"> </w:t>
      </w:r>
      <w:r w:rsidRPr="000977F7">
        <w:rPr>
          <w:b w:val="0"/>
          <w:color w:val="auto"/>
          <w:sz w:val="20"/>
          <w:szCs w:val="20"/>
        </w:rPr>
        <w:t>–</w:t>
      </w:r>
    </w:p>
    <w:p w14:paraId="7DC762C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Формування структури технологічного підготовлення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 та підготовлення інформаційного, математичного та технічного забезпечення, потрібного для</w:t>
      </w:r>
      <w:r w:rsidRPr="000977F7">
        <w:rPr>
          <w:rFonts w:asciiTheme="majorHAnsi" w:hAnsiTheme="majorHAnsi"/>
          <w:spacing w:val="-47"/>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функцій</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підготовлення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p>
    <w:p w14:paraId="652463B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 – 95</w:t>
      </w:r>
    </w:p>
    <w:p w14:paraId="40119EE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ОРГАНОЛЕПТИЧНИЙ КОНТРОЛЬ </w:t>
      </w:r>
      <w:r w:rsidRPr="000977F7">
        <w:rPr>
          <w:rFonts w:asciiTheme="majorHAnsi" w:hAnsiTheme="majorHAnsi"/>
          <w:sz w:val="20"/>
          <w:szCs w:val="20"/>
        </w:rPr>
        <w:t>–</w:t>
      </w:r>
    </w:p>
    <w:p w14:paraId="7F0A95D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pacing w:val="-47"/>
          <w:sz w:val="20"/>
          <w:szCs w:val="20"/>
        </w:rPr>
        <w:t xml:space="preserve"> </w:t>
      </w:r>
      <w:r w:rsidRPr="000977F7">
        <w:rPr>
          <w:rFonts w:asciiTheme="majorHAnsi" w:hAnsiTheme="majorHAnsi"/>
          <w:sz w:val="20"/>
          <w:szCs w:val="20"/>
        </w:rPr>
        <w:t>ORGANOLEPTIC</w:t>
      </w:r>
      <w:r w:rsidRPr="000977F7">
        <w:rPr>
          <w:rFonts w:asciiTheme="majorHAnsi" w:hAnsiTheme="majorHAnsi"/>
          <w:spacing w:val="-2"/>
          <w:sz w:val="20"/>
          <w:szCs w:val="20"/>
        </w:rPr>
        <w:t xml:space="preserve"> </w:t>
      </w:r>
      <w:r w:rsidRPr="000977F7">
        <w:rPr>
          <w:rFonts w:asciiTheme="majorHAnsi" w:hAnsiTheme="majorHAnsi"/>
          <w:sz w:val="20"/>
          <w:szCs w:val="20"/>
        </w:rPr>
        <w:t>INSPECTION</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5423CF6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 за якого первинна інформація сприймається</w:t>
      </w:r>
      <w:r w:rsidRPr="000977F7">
        <w:rPr>
          <w:rFonts w:asciiTheme="majorHAnsi" w:hAnsiTheme="majorHAnsi"/>
          <w:spacing w:val="-2"/>
          <w:sz w:val="20"/>
          <w:szCs w:val="20"/>
        </w:rPr>
        <w:t xml:space="preserve"> </w:t>
      </w:r>
      <w:r w:rsidRPr="000977F7">
        <w:rPr>
          <w:rFonts w:asciiTheme="majorHAnsi" w:hAnsiTheme="majorHAnsi"/>
          <w:sz w:val="20"/>
          <w:szCs w:val="20"/>
        </w:rPr>
        <w:t>органами</w:t>
      </w:r>
      <w:r w:rsidRPr="000977F7">
        <w:rPr>
          <w:rFonts w:asciiTheme="majorHAnsi" w:hAnsiTheme="majorHAnsi"/>
          <w:spacing w:val="-1"/>
          <w:sz w:val="20"/>
          <w:szCs w:val="20"/>
        </w:rPr>
        <w:t xml:space="preserve"> </w:t>
      </w:r>
      <w:r w:rsidRPr="000977F7">
        <w:rPr>
          <w:rFonts w:asciiTheme="majorHAnsi" w:hAnsiTheme="majorHAnsi"/>
          <w:sz w:val="20"/>
          <w:szCs w:val="20"/>
        </w:rPr>
        <w:t>чуття</w:t>
      </w:r>
    </w:p>
    <w:p w14:paraId="7CD831A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0CF4C27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ОРГАНОЛЕПТИЧНИЙ МЕТОД ВИЗНАЧЕННЯ</w:t>
      </w:r>
      <w:r w:rsidRPr="000977F7">
        <w:rPr>
          <w:color w:val="auto"/>
          <w:spacing w:val="1"/>
          <w:sz w:val="20"/>
          <w:szCs w:val="20"/>
        </w:rPr>
        <w:t xml:space="preserve"> </w:t>
      </w:r>
      <w:r w:rsidRPr="000977F7">
        <w:rPr>
          <w:color w:val="auto"/>
          <w:sz w:val="20"/>
          <w:szCs w:val="20"/>
        </w:rPr>
        <w:t>ПОКАЗНИКІВ ЯКОСТІ ПРОГРАМНОГО</w:t>
      </w:r>
      <w:r w:rsidRPr="000977F7">
        <w:rPr>
          <w:color w:val="auto"/>
          <w:spacing w:val="1"/>
          <w:sz w:val="20"/>
          <w:szCs w:val="20"/>
        </w:rPr>
        <w:t xml:space="preserve"> </w:t>
      </w:r>
      <w:r w:rsidRPr="000977F7">
        <w:rPr>
          <w:color w:val="auto"/>
          <w:sz w:val="20"/>
          <w:szCs w:val="20"/>
        </w:rPr>
        <w:t>ЗАСО</w:t>
      </w:r>
      <w:r w:rsidRPr="000977F7">
        <w:rPr>
          <w:color w:val="auto"/>
          <w:spacing w:val="-47"/>
          <w:sz w:val="20"/>
          <w:szCs w:val="20"/>
        </w:rPr>
        <w:t xml:space="preserve"> </w:t>
      </w:r>
      <w:r w:rsidRPr="000977F7">
        <w:rPr>
          <w:color w:val="auto"/>
          <w:sz w:val="20"/>
          <w:szCs w:val="20"/>
        </w:rPr>
        <w:t>БУ</w:t>
      </w:r>
      <w:r w:rsidRPr="000977F7">
        <w:rPr>
          <w:color w:val="auto"/>
          <w:spacing w:val="-1"/>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24D4DBB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визначення значень показників якості програмного засобу (продукції), який здійснюється на основі</w:t>
      </w:r>
      <w:r w:rsidRPr="000977F7">
        <w:rPr>
          <w:rFonts w:asciiTheme="majorHAnsi" w:hAnsiTheme="majorHAnsi"/>
          <w:spacing w:val="-47"/>
          <w:sz w:val="20"/>
          <w:szCs w:val="20"/>
        </w:rPr>
        <w:t xml:space="preserve">            </w:t>
      </w:r>
      <w:r w:rsidRPr="000977F7">
        <w:rPr>
          <w:rFonts w:asciiTheme="majorHAnsi" w:hAnsiTheme="majorHAnsi"/>
          <w:sz w:val="20"/>
          <w:szCs w:val="20"/>
        </w:rPr>
        <w:t>аналізу</w:t>
      </w:r>
      <w:r w:rsidRPr="000977F7">
        <w:rPr>
          <w:rFonts w:asciiTheme="majorHAnsi" w:hAnsiTheme="majorHAnsi"/>
          <w:spacing w:val="-2"/>
          <w:sz w:val="20"/>
          <w:szCs w:val="20"/>
        </w:rPr>
        <w:t xml:space="preserve"> </w:t>
      </w:r>
      <w:r w:rsidRPr="000977F7">
        <w:rPr>
          <w:rFonts w:asciiTheme="majorHAnsi" w:hAnsiTheme="majorHAnsi"/>
          <w:sz w:val="20"/>
          <w:szCs w:val="20"/>
        </w:rPr>
        <w:t>сприйняття</w:t>
      </w:r>
      <w:r w:rsidRPr="000977F7">
        <w:rPr>
          <w:rFonts w:asciiTheme="majorHAnsi" w:hAnsiTheme="majorHAnsi"/>
          <w:spacing w:val="-1"/>
          <w:sz w:val="20"/>
          <w:szCs w:val="20"/>
        </w:rPr>
        <w:t xml:space="preserve"> </w:t>
      </w:r>
      <w:r w:rsidRPr="000977F7">
        <w:rPr>
          <w:rFonts w:asciiTheme="majorHAnsi" w:hAnsiTheme="majorHAnsi"/>
          <w:sz w:val="20"/>
          <w:szCs w:val="20"/>
        </w:rPr>
        <w:t>органами</w:t>
      </w:r>
      <w:r w:rsidRPr="000977F7">
        <w:rPr>
          <w:rFonts w:asciiTheme="majorHAnsi" w:hAnsiTheme="majorHAnsi"/>
          <w:spacing w:val="-2"/>
          <w:sz w:val="20"/>
          <w:szCs w:val="20"/>
        </w:rPr>
        <w:t xml:space="preserve"> </w:t>
      </w:r>
      <w:r w:rsidRPr="000977F7">
        <w:rPr>
          <w:rFonts w:asciiTheme="majorHAnsi" w:hAnsiTheme="majorHAnsi"/>
          <w:sz w:val="20"/>
          <w:szCs w:val="20"/>
        </w:rPr>
        <w:t>чуття</w:t>
      </w:r>
    </w:p>
    <w:p w14:paraId="14FEEEA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2844 - 94</w:t>
      </w:r>
    </w:p>
    <w:p w14:paraId="131736D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ОРГАНОЛЕПТИЧНИЙ НЕРУЙНІВНИЙ КОНТ</w:t>
      </w:r>
      <w:r w:rsidRPr="000977F7">
        <w:rPr>
          <w:color w:val="auto"/>
          <w:spacing w:val="-47"/>
          <w:sz w:val="20"/>
          <w:szCs w:val="20"/>
        </w:rPr>
        <w:t xml:space="preserve"> </w:t>
      </w:r>
      <w:r w:rsidRPr="000977F7">
        <w:rPr>
          <w:color w:val="auto"/>
          <w:sz w:val="20"/>
          <w:szCs w:val="20"/>
        </w:rPr>
        <w:t>РОЛЬ –</w:t>
      </w:r>
    </w:p>
    <w:p w14:paraId="7C9FC7B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ORGANOLEPTIC</w:t>
      </w:r>
      <w:r w:rsidRPr="004D2D14">
        <w:rPr>
          <w:rFonts w:asciiTheme="majorHAnsi" w:hAnsiTheme="majorHAnsi"/>
          <w:spacing w:val="-4"/>
          <w:sz w:val="20"/>
          <w:szCs w:val="20"/>
          <w:lang w:val="uk-UA"/>
        </w:rPr>
        <w:t xml:space="preserve"> </w:t>
      </w:r>
      <w:r w:rsidRPr="000977F7">
        <w:rPr>
          <w:rFonts w:asciiTheme="majorHAnsi" w:hAnsiTheme="majorHAnsi"/>
          <w:sz w:val="20"/>
          <w:szCs w:val="20"/>
        </w:rPr>
        <w:t>INSPECTION</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18BCDF9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 xml:space="preserve">Контроль, за яким первинна інформація сприймається </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органами чуттів людини (зору, слуху,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нюху, смаку,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дотику)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не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має кількісного вираження</w:t>
      </w:r>
    </w:p>
    <w:p w14:paraId="20DA7B4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 – 94</w:t>
      </w:r>
    </w:p>
    <w:p w14:paraId="78B8EB7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ОРДЕРНИЙ</w:t>
      </w:r>
      <w:r w:rsidRPr="000977F7">
        <w:rPr>
          <w:color w:val="auto"/>
          <w:spacing w:val="-4"/>
          <w:sz w:val="20"/>
          <w:szCs w:val="20"/>
        </w:rPr>
        <w:t xml:space="preserve"> </w:t>
      </w:r>
      <w:r w:rsidRPr="000977F7">
        <w:rPr>
          <w:color w:val="auto"/>
          <w:sz w:val="20"/>
          <w:szCs w:val="20"/>
        </w:rPr>
        <w:t>КОНОСАМЕНТ</w:t>
      </w:r>
      <w:r w:rsidRPr="000977F7">
        <w:rPr>
          <w:color w:val="auto"/>
          <w:spacing w:val="-3"/>
          <w:sz w:val="20"/>
          <w:szCs w:val="20"/>
        </w:rPr>
        <w:t xml:space="preserve"> </w:t>
      </w:r>
      <w:r w:rsidRPr="000977F7">
        <w:rPr>
          <w:color w:val="auto"/>
          <w:sz w:val="20"/>
          <w:szCs w:val="20"/>
        </w:rPr>
        <w:t>–</w:t>
      </w:r>
    </w:p>
    <w:p w14:paraId="692E6B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який видається судновласником вантажовідправнику і зазначає, що вантажовідправник може</w:t>
      </w:r>
      <w:r w:rsidRPr="000977F7">
        <w:rPr>
          <w:rFonts w:asciiTheme="majorHAnsi" w:hAnsiTheme="majorHAnsi"/>
          <w:spacing w:val="1"/>
          <w:sz w:val="20"/>
          <w:szCs w:val="20"/>
        </w:rPr>
        <w:t xml:space="preserve"> </w:t>
      </w:r>
      <w:r w:rsidRPr="000977F7">
        <w:rPr>
          <w:rFonts w:asciiTheme="majorHAnsi" w:hAnsiTheme="majorHAnsi"/>
          <w:sz w:val="20"/>
          <w:szCs w:val="20"/>
        </w:rPr>
        <w:t>передавати свої</w:t>
      </w:r>
      <w:r w:rsidRPr="000977F7">
        <w:rPr>
          <w:rFonts w:asciiTheme="majorHAnsi" w:hAnsiTheme="majorHAnsi"/>
          <w:spacing w:val="1"/>
          <w:sz w:val="20"/>
          <w:szCs w:val="20"/>
        </w:rPr>
        <w:t xml:space="preserve"> </w:t>
      </w:r>
      <w:r w:rsidRPr="000977F7">
        <w:rPr>
          <w:rFonts w:asciiTheme="majorHAnsi" w:hAnsiTheme="majorHAnsi"/>
          <w:sz w:val="20"/>
          <w:szCs w:val="20"/>
        </w:rPr>
        <w:t>права третій особі, поставивши на</w:t>
      </w:r>
      <w:r w:rsidRPr="000977F7">
        <w:rPr>
          <w:rFonts w:asciiTheme="majorHAnsi" w:hAnsiTheme="majorHAnsi"/>
          <w:spacing w:val="1"/>
          <w:sz w:val="20"/>
          <w:szCs w:val="20"/>
        </w:rPr>
        <w:t xml:space="preserve"> </w:t>
      </w:r>
      <w:r w:rsidRPr="000977F7">
        <w:rPr>
          <w:rFonts w:asciiTheme="majorHAnsi" w:hAnsiTheme="majorHAnsi"/>
          <w:sz w:val="20"/>
          <w:szCs w:val="20"/>
        </w:rPr>
        <w:t>звороті</w:t>
      </w:r>
      <w:r w:rsidRPr="000977F7">
        <w:rPr>
          <w:rFonts w:asciiTheme="majorHAnsi" w:hAnsiTheme="majorHAnsi"/>
          <w:spacing w:val="-2"/>
          <w:sz w:val="20"/>
          <w:szCs w:val="20"/>
        </w:rPr>
        <w:t xml:space="preserve"> </w:t>
      </w:r>
      <w:r w:rsidRPr="000977F7">
        <w:rPr>
          <w:rFonts w:asciiTheme="majorHAnsi" w:hAnsiTheme="majorHAnsi"/>
          <w:sz w:val="20"/>
          <w:szCs w:val="20"/>
        </w:rPr>
        <w:t>свої</w:t>
      </w:r>
      <w:r w:rsidRPr="000977F7">
        <w:rPr>
          <w:rFonts w:asciiTheme="majorHAnsi" w:hAnsiTheme="majorHAnsi"/>
          <w:spacing w:val="-1"/>
          <w:sz w:val="20"/>
          <w:szCs w:val="20"/>
        </w:rPr>
        <w:t xml:space="preserve"> </w:t>
      </w:r>
      <w:r w:rsidRPr="000977F7">
        <w:rPr>
          <w:rFonts w:asciiTheme="majorHAnsi" w:hAnsiTheme="majorHAnsi"/>
          <w:sz w:val="20"/>
          <w:szCs w:val="20"/>
        </w:rPr>
        <w:t>печатку</w:t>
      </w:r>
      <w:r w:rsidRPr="000977F7">
        <w:rPr>
          <w:rFonts w:asciiTheme="majorHAnsi" w:hAnsiTheme="majorHAnsi"/>
          <w:spacing w:val="-1"/>
          <w:sz w:val="20"/>
          <w:szCs w:val="20"/>
        </w:rPr>
        <w:t xml:space="preserve"> </w:t>
      </w:r>
      <w:r w:rsidRPr="000977F7">
        <w:rPr>
          <w:rFonts w:asciiTheme="majorHAnsi" w:hAnsiTheme="majorHAnsi"/>
          <w:sz w:val="20"/>
          <w:szCs w:val="20"/>
        </w:rPr>
        <w:t>та підпис</w:t>
      </w:r>
    </w:p>
    <w:p w14:paraId="34D0B9A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66F7F15"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ОРИГІНАЛ</w:t>
      </w:r>
      <w:r w:rsidRPr="000977F7">
        <w:rPr>
          <w:color w:val="auto"/>
          <w:spacing w:val="-2"/>
          <w:sz w:val="20"/>
          <w:szCs w:val="20"/>
        </w:rPr>
        <w:t xml:space="preserve"> </w:t>
      </w:r>
      <w:r w:rsidRPr="000977F7">
        <w:rPr>
          <w:b w:val="0"/>
          <w:color w:val="auto"/>
          <w:sz w:val="20"/>
          <w:szCs w:val="20"/>
        </w:rPr>
        <w:t>–</w:t>
      </w:r>
    </w:p>
    <w:p w14:paraId="3E6B17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Конструкторський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виконаний</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будь</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якому</w:t>
      </w:r>
      <w:r w:rsidRPr="000977F7">
        <w:rPr>
          <w:rFonts w:asciiTheme="majorHAnsi" w:hAnsiTheme="majorHAnsi"/>
          <w:spacing w:val="1"/>
          <w:sz w:val="20"/>
          <w:szCs w:val="20"/>
        </w:rPr>
        <w:t xml:space="preserve"> </w:t>
      </w:r>
      <w:r w:rsidRPr="000977F7">
        <w:rPr>
          <w:rFonts w:asciiTheme="majorHAnsi" w:hAnsiTheme="majorHAnsi"/>
          <w:sz w:val="20"/>
          <w:szCs w:val="20"/>
        </w:rPr>
        <w:t>матеріалі</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призначений</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нього</w:t>
      </w:r>
      <w:r w:rsidRPr="000977F7">
        <w:rPr>
          <w:rFonts w:asciiTheme="majorHAnsi" w:hAnsiTheme="majorHAnsi"/>
          <w:spacing w:val="-1"/>
          <w:sz w:val="20"/>
          <w:szCs w:val="20"/>
        </w:rPr>
        <w:t xml:space="preserve"> </w:t>
      </w:r>
      <w:r w:rsidRPr="000977F7">
        <w:rPr>
          <w:rFonts w:asciiTheme="majorHAnsi" w:hAnsiTheme="majorHAnsi"/>
          <w:sz w:val="20"/>
          <w:szCs w:val="20"/>
        </w:rPr>
        <w:t>правдника</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конструкторського</w:t>
      </w:r>
      <w:r w:rsidRPr="000977F7">
        <w:rPr>
          <w:rFonts w:asciiTheme="majorHAnsi" w:hAnsiTheme="majorHAnsi"/>
          <w:spacing w:val="-1"/>
          <w:sz w:val="20"/>
          <w:szCs w:val="20"/>
        </w:rPr>
        <w:t xml:space="preserve"> </w:t>
      </w:r>
      <w:r w:rsidRPr="000977F7">
        <w:rPr>
          <w:rFonts w:asciiTheme="majorHAnsi" w:hAnsiTheme="majorHAnsi"/>
          <w:sz w:val="20"/>
          <w:szCs w:val="20"/>
        </w:rPr>
        <w:t>документа</w:t>
      </w:r>
    </w:p>
    <w:p w14:paraId="2D7839E4"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3321 –</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2003</w:t>
      </w:r>
    </w:p>
    <w:p w14:paraId="7851A4D5"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ОРИГІНАЛ</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СТАНДАРТА</w:t>
      </w:r>
      <w:r w:rsidRPr="004D2D14">
        <w:rPr>
          <w:rFonts w:asciiTheme="majorHAnsi" w:hAnsiTheme="majorHAnsi"/>
          <w:b/>
          <w:spacing w:val="4"/>
          <w:sz w:val="20"/>
          <w:szCs w:val="20"/>
          <w:lang w:val="en-US"/>
        </w:rPr>
        <w:t xml:space="preserve"> </w:t>
      </w:r>
      <w:r w:rsidRPr="004D2D14">
        <w:rPr>
          <w:rFonts w:asciiTheme="majorHAnsi" w:hAnsiTheme="majorHAnsi"/>
          <w:sz w:val="20"/>
          <w:szCs w:val="20"/>
          <w:lang w:val="en-US"/>
        </w:rPr>
        <w:t>–</w:t>
      </w:r>
    </w:p>
    <w:p w14:paraId="6F2D8ABE"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ORIGINAL</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TE</w:t>
      </w:r>
      <w:r w:rsidRPr="000977F7">
        <w:rPr>
          <w:rFonts w:asciiTheme="majorHAnsi" w:hAnsiTheme="majorHAnsi"/>
          <w:sz w:val="20"/>
          <w:szCs w:val="20"/>
        </w:rPr>
        <w:t>Х</w:t>
      </w:r>
      <w:r w:rsidRPr="004D2D14">
        <w:rPr>
          <w:rFonts w:asciiTheme="majorHAnsi" w:hAnsiTheme="majorHAnsi"/>
          <w:sz w:val="20"/>
          <w:szCs w:val="20"/>
          <w:lang w:val="en-US"/>
        </w:rPr>
        <w:t>T OF</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STANDARD –</w:t>
      </w:r>
    </w:p>
    <w:p w14:paraId="413095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Примірник стандарту, виконаний на матеріалі, який</w:t>
      </w:r>
      <w:r w:rsidRPr="000977F7">
        <w:rPr>
          <w:rFonts w:asciiTheme="majorHAnsi" w:hAnsiTheme="majorHAnsi"/>
          <w:spacing w:val="1"/>
          <w:sz w:val="20"/>
          <w:szCs w:val="20"/>
        </w:rPr>
        <w:t xml:space="preserve"> </w:t>
      </w:r>
      <w:r w:rsidRPr="000977F7">
        <w:rPr>
          <w:rFonts w:asciiTheme="majorHAnsi" w:hAnsiTheme="majorHAnsi"/>
          <w:sz w:val="20"/>
          <w:szCs w:val="20"/>
        </w:rPr>
        <w:t>дозволяє</w:t>
      </w:r>
      <w:r w:rsidRPr="000977F7">
        <w:rPr>
          <w:rFonts w:asciiTheme="majorHAnsi" w:hAnsiTheme="majorHAnsi"/>
          <w:spacing w:val="1"/>
          <w:sz w:val="20"/>
          <w:szCs w:val="20"/>
        </w:rPr>
        <w:t xml:space="preserve"> </w:t>
      </w:r>
      <w:r w:rsidRPr="000977F7">
        <w:rPr>
          <w:rFonts w:asciiTheme="majorHAnsi" w:hAnsiTheme="majorHAnsi"/>
          <w:sz w:val="20"/>
          <w:szCs w:val="20"/>
        </w:rPr>
        <w:t>багаторазово</w:t>
      </w:r>
      <w:r w:rsidRPr="000977F7">
        <w:rPr>
          <w:rFonts w:asciiTheme="majorHAnsi" w:hAnsiTheme="majorHAnsi"/>
          <w:spacing w:val="1"/>
          <w:sz w:val="20"/>
          <w:szCs w:val="20"/>
        </w:rPr>
        <w:t xml:space="preserve"> </w:t>
      </w:r>
      <w:r w:rsidRPr="000977F7">
        <w:rPr>
          <w:rFonts w:asciiTheme="majorHAnsi" w:hAnsiTheme="majorHAnsi"/>
          <w:sz w:val="20"/>
          <w:szCs w:val="20"/>
        </w:rPr>
        <w:t>відтворювати</w:t>
      </w:r>
      <w:r w:rsidRPr="000977F7">
        <w:rPr>
          <w:rFonts w:asciiTheme="majorHAnsi" w:hAnsiTheme="majorHAnsi"/>
          <w:spacing w:val="1"/>
          <w:sz w:val="20"/>
          <w:szCs w:val="20"/>
        </w:rPr>
        <w:t xml:space="preserve"> </w:t>
      </w:r>
      <w:r w:rsidRPr="000977F7">
        <w:rPr>
          <w:rFonts w:asciiTheme="majorHAnsi" w:hAnsiTheme="majorHAnsi"/>
          <w:sz w:val="20"/>
          <w:szCs w:val="20"/>
        </w:rPr>
        <w:t>копії</w:t>
      </w:r>
      <w:r w:rsidRPr="000977F7">
        <w:rPr>
          <w:rFonts w:asciiTheme="majorHAnsi" w:hAnsiTheme="majorHAnsi"/>
          <w:spacing w:val="1"/>
          <w:sz w:val="20"/>
          <w:szCs w:val="20"/>
        </w:rPr>
        <w:t xml:space="preserve"> </w:t>
      </w:r>
      <w:r w:rsidRPr="000977F7">
        <w:rPr>
          <w:rFonts w:asciiTheme="majorHAnsi" w:hAnsiTheme="majorHAnsi"/>
          <w:sz w:val="20"/>
          <w:szCs w:val="20"/>
        </w:rPr>
        <w:t>належної</w:t>
      </w:r>
      <w:r w:rsidRPr="000977F7">
        <w:rPr>
          <w:rFonts w:asciiTheme="majorHAnsi" w:hAnsiTheme="majorHAnsi"/>
          <w:spacing w:val="1"/>
          <w:sz w:val="20"/>
          <w:szCs w:val="20"/>
        </w:rPr>
        <w:t xml:space="preserve"> </w:t>
      </w:r>
      <w:r w:rsidRPr="000977F7">
        <w:rPr>
          <w:rFonts w:asciiTheme="majorHAnsi" w:hAnsiTheme="majorHAnsi"/>
          <w:sz w:val="20"/>
          <w:szCs w:val="20"/>
        </w:rPr>
        <w:t>якості, оформлений оригінальними підписами у встановленому</w:t>
      </w:r>
      <w:r w:rsidRPr="000977F7">
        <w:rPr>
          <w:rFonts w:asciiTheme="majorHAnsi" w:hAnsiTheme="majorHAnsi"/>
          <w:spacing w:val="-5"/>
          <w:sz w:val="20"/>
          <w:szCs w:val="20"/>
        </w:rPr>
        <w:t xml:space="preserve"> </w:t>
      </w:r>
      <w:r w:rsidRPr="000977F7">
        <w:rPr>
          <w:rFonts w:asciiTheme="majorHAnsi" w:hAnsiTheme="majorHAnsi"/>
          <w:sz w:val="20"/>
          <w:szCs w:val="20"/>
        </w:rPr>
        <w:t>порядку</w:t>
      </w:r>
    </w:p>
    <w:p w14:paraId="7FE55BA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ОРИГІНАЛЬНИЙ</w:t>
      </w:r>
      <w:r w:rsidRPr="000977F7">
        <w:rPr>
          <w:color w:val="auto"/>
          <w:spacing w:val="-4"/>
          <w:sz w:val="20"/>
          <w:szCs w:val="20"/>
        </w:rPr>
        <w:t xml:space="preserve"> </w:t>
      </w:r>
      <w:r w:rsidRPr="000977F7">
        <w:rPr>
          <w:color w:val="auto"/>
          <w:sz w:val="20"/>
          <w:szCs w:val="20"/>
        </w:rPr>
        <w:t>ВИРІБ</w:t>
      </w:r>
      <w:r w:rsidRPr="000977F7">
        <w:rPr>
          <w:color w:val="auto"/>
          <w:spacing w:val="-3"/>
          <w:sz w:val="20"/>
          <w:szCs w:val="20"/>
        </w:rPr>
        <w:t xml:space="preserve"> </w:t>
      </w:r>
      <w:r w:rsidRPr="000977F7">
        <w:rPr>
          <w:color w:val="auto"/>
          <w:sz w:val="20"/>
          <w:szCs w:val="20"/>
        </w:rPr>
        <w:t>–</w:t>
      </w:r>
    </w:p>
    <w:p w14:paraId="1CF9AF9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 застосований у конструкторський документації</w:t>
      </w:r>
      <w:r w:rsidRPr="000977F7">
        <w:rPr>
          <w:rFonts w:asciiTheme="majorHAnsi" w:hAnsiTheme="majorHAnsi"/>
          <w:spacing w:val="-47"/>
          <w:sz w:val="20"/>
          <w:szCs w:val="20"/>
        </w:rPr>
        <w:t xml:space="preserve"> </w:t>
      </w:r>
      <w:r w:rsidRPr="000977F7">
        <w:rPr>
          <w:rFonts w:asciiTheme="majorHAnsi" w:hAnsiTheme="majorHAnsi"/>
          <w:sz w:val="20"/>
          <w:szCs w:val="20"/>
        </w:rPr>
        <w:t>тільки</w:t>
      </w:r>
      <w:r w:rsidRPr="000977F7">
        <w:rPr>
          <w:rFonts w:asciiTheme="majorHAnsi" w:hAnsiTheme="majorHAnsi"/>
          <w:spacing w:val="-2"/>
          <w:sz w:val="20"/>
          <w:szCs w:val="20"/>
        </w:rPr>
        <w:t xml:space="preserve"> </w:t>
      </w:r>
      <w:r w:rsidRPr="000977F7">
        <w:rPr>
          <w:rFonts w:asciiTheme="majorHAnsi" w:hAnsiTheme="majorHAnsi"/>
          <w:sz w:val="20"/>
          <w:szCs w:val="20"/>
        </w:rPr>
        <w:t>одного</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p>
    <w:p w14:paraId="31D22E5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67497EF3"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ОРІЄНТАЦІЯ</w:t>
      </w:r>
      <w:r w:rsidRPr="000977F7">
        <w:rPr>
          <w:color w:val="auto"/>
          <w:spacing w:val="-3"/>
          <w:sz w:val="20"/>
          <w:szCs w:val="20"/>
        </w:rPr>
        <w:t xml:space="preserve"> </w:t>
      </w:r>
      <w:r w:rsidRPr="000977F7">
        <w:rPr>
          <w:color w:val="auto"/>
          <w:sz w:val="20"/>
          <w:szCs w:val="20"/>
        </w:rPr>
        <w:t>НА</w:t>
      </w:r>
      <w:r w:rsidRPr="000977F7">
        <w:rPr>
          <w:color w:val="auto"/>
          <w:spacing w:val="-3"/>
          <w:sz w:val="20"/>
          <w:szCs w:val="20"/>
        </w:rPr>
        <w:t xml:space="preserve"> </w:t>
      </w:r>
      <w:r w:rsidRPr="000977F7">
        <w:rPr>
          <w:color w:val="auto"/>
          <w:sz w:val="20"/>
          <w:szCs w:val="20"/>
        </w:rPr>
        <w:t>ЗАМОВНИКА</w:t>
      </w:r>
      <w:r w:rsidRPr="000977F7">
        <w:rPr>
          <w:color w:val="auto"/>
          <w:spacing w:val="-1"/>
          <w:sz w:val="20"/>
          <w:szCs w:val="20"/>
        </w:rPr>
        <w:t xml:space="preserve"> </w:t>
      </w:r>
      <w:r w:rsidRPr="000977F7">
        <w:rPr>
          <w:b w:val="0"/>
          <w:color w:val="auto"/>
          <w:sz w:val="20"/>
          <w:szCs w:val="20"/>
        </w:rPr>
        <w:t>–</w:t>
      </w:r>
    </w:p>
    <w:p w14:paraId="09980F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Найвище керівництво повинне дотримувати своє лідерство та своє зобов’язання щодо орієнтації на замовника, забезпечуючи, щоб</w:t>
      </w:r>
    </w:p>
    <w:p w14:paraId="29A928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вимоги замовника, а також застосовні законодавчі й</w:t>
      </w:r>
      <w:r w:rsidRPr="000977F7">
        <w:rPr>
          <w:rFonts w:asciiTheme="majorHAnsi" w:hAnsiTheme="majorHAnsi"/>
          <w:spacing w:val="-47"/>
          <w:sz w:val="20"/>
          <w:szCs w:val="20"/>
        </w:rPr>
        <w:t xml:space="preserve"> </w:t>
      </w:r>
      <w:r w:rsidRPr="000977F7">
        <w:rPr>
          <w:rFonts w:asciiTheme="majorHAnsi" w:hAnsiTheme="majorHAnsi"/>
          <w:sz w:val="20"/>
          <w:szCs w:val="20"/>
        </w:rPr>
        <w:t>регламенту</w:t>
      </w:r>
      <w:r w:rsidRPr="000977F7">
        <w:rPr>
          <w:rFonts w:asciiTheme="majorHAnsi" w:hAnsiTheme="majorHAnsi"/>
          <w:spacing w:val="39"/>
          <w:sz w:val="20"/>
          <w:szCs w:val="20"/>
        </w:rPr>
        <w:t xml:space="preserve"> </w:t>
      </w:r>
      <w:r w:rsidRPr="000977F7">
        <w:rPr>
          <w:rFonts w:asciiTheme="majorHAnsi" w:hAnsiTheme="majorHAnsi"/>
          <w:sz w:val="20"/>
          <w:szCs w:val="20"/>
        </w:rPr>
        <w:t>вальні</w:t>
      </w:r>
      <w:r w:rsidRPr="000977F7">
        <w:rPr>
          <w:rFonts w:asciiTheme="majorHAnsi" w:hAnsiTheme="majorHAnsi"/>
          <w:spacing w:val="41"/>
          <w:sz w:val="20"/>
          <w:szCs w:val="20"/>
        </w:rPr>
        <w:t xml:space="preserve"> </w:t>
      </w:r>
      <w:r w:rsidRPr="000977F7">
        <w:rPr>
          <w:rFonts w:asciiTheme="majorHAnsi" w:hAnsiTheme="majorHAnsi"/>
          <w:sz w:val="20"/>
          <w:szCs w:val="20"/>
        </w:rPr>
        <w:t>вимоги</w:t>
      </w:r>
      <w:r w:rsidRPr="000977F7">
        <w:rPr>
          <w:rFonts w:asciiTheme="majorHAnsi" w:hAnsiTheme="majorHAnsi"/>
          <w:spacing w:val="40"/>
          <w:sz w:val="20"/>
          <w:szCs w:val="20"/>
        </w:rPr>
        <w:t xml:space="preserve"> </w:t>
      </w:r>
      <w:r w:rsidRPr="000977F7">
        <w:rPr>
          <w:rFonts w:asciiTheme="majorHAnsi" w:hAnsiTheme="majorHAnsi"/>
          <w:sz w:val="20"/>
          <w:szCs w:val="20"/>
        </w:rPr>
        <w:t>були</w:t>
      </w:r>
      <w:r w:rsidRPr="000977F7">
        <w:rPr>
          <w:rFonts w:asciiTheme="majorHAnsi" w:hAnsiTheme="majorHAnsi"/>
          <w:spacing w:val="40"/>
          <w:sz w:val="20"/>
          <w:szCs w:val="20"/>
        </w:rPr>
        <w:t xml:space="preserve"> </w:t>
      </w:r>
      <w:r w:rsidRPr="000977F7">
        <w:rPr>
          <w:rFonts w:asciiTheme="majorHAnsi" w:hAnsiTheme="majorHAnsi"/>
          <w:sz w:val="20"/>
          <w:szCs w:val="20"/>
        </w:rPr>
        <w:t>визначені,</w:t>
      </w:r>
      <w:r w:rsidRPr="000977F7">
        <w:rPr>
          <w:rFonts w:asciiTheme="majorHAnsi" w:hAnsiTheme="majorHAnsi"/>
          <w:spacing w:val="42"/>
          <w:sz w:val="20"/>
          <w:szCs w:val="20"/>
        </w:rPr>
        <w:t xml:space="preserve"> </w:t>
      </w:r>
      <w:r w:rsidRPr="000977F7">
        <w:rPr>
          <w:rFonts w:asciiTheme="majorHAnsi" w:hAnsiTheme="majorHAnsi"/>
          <w:sz w:val="20"/>
          <w:szCs w:val="20"/>
        </w:rPr>
        <w:t>зрозумілі</w:t>
      </w:r>
      <w:r w:rsidRPr="000977F7">
        <w:rPr>
          <w:rFonts w:asciiTheme="majorHAnsi" w:hAnsiTheme="majorHAnsi"/>
          <w:spacing w:val="-48"/>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щоб</w:t>
      </w:r>
      <w:r w:rsidRPr="000977F7">
        <w:rPr>
          <w:rFonts w:asciiTheme="majorHAnsi" w:hAnsiTheme="majorHAnsi"/>
          <w:spacing w:val="-1"/>
          <w:sz w:val="20"/>
          <w:szCs w:val="20"/>
        </w:rPr>
        <w:t xml:space="preserve"> </w:t>
      </w:r>
      <w:r w:rsidRPr="000977F7">
        <w:rPr>
          <w:rFonts w:asciiTheme="majorHAnsi" w:hAnsiTheme="majorHAnsi"/>
          <w:sz w:val="20"/>
          <w:szCs w:val="20"/>
        </w:rPr>
        <w:t>їх постійно</w:t>
      </w:r>
      <w:r w:rsidRPr="000977F7">
        <w:rPr>
          <w:rFonts w:asciiTheme="majorHAnsi" w:hAnsiTheme="majorHAnsi"/>
          <w:spacing w:val="1"/>
          <w:sz w:val="20"/>
          <w:szCs w:val="20"/>
        </w:rPr>
        <w:t xml:space="preserve"> </w:t>
      </w:r>
      <w:r w:rsidRPr="000977F7">
        <w:rPr>
          <w:rFonts w:asciiTheme="majorHAnsi" w:hAnsiTheme="majorHAnsi"/>
          <w:sz w:val="20"/>
          <w:szCs w:val="20"/>
        </w:rPr>
        <w:t>задовольняли;</w:t>
      </w:r>
    </w:p>
    <w:p w14:paraId="5982E7E6" w14:textId="77777777" w:rsidR="0097612F" w:rsidRPr="000977F7" w:rsidRDefault="0097612F" w:rsidP="00FD39A4">
      <w:pPr>
        <w:pStyle w:val="ac"/>
        <w:widowControl w:val="0"/>
        <w:numPr>
          <w:ilvl w:val="0"/>
          <w:numId w:val="128"/>
        </w:numPr>
        <w:tabs>
          <w:tab w:val="left" w:pos="284"/>
          <w:tab w:val="left" w:pos="54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ризики та можливості, які можуть впливати на відповідність продукції та послуг, а також здатність підвищувати задоволеність замовника було визначено та</w:t>
      </w:r>
      <w:r w:rsidRPr="000977F7">
        <w:rPr>
          <w:rFonts w:asciiTheme="majorHAnsi" w:hAnsiTheme="majorHAnsi"/>
          <w:spacing w:val="1"/>
          <w:sz w:val="20"/>
          <w:szCs w:val="20"/>
        </w:rPr>
        <w:t xml:space="preserve"> </w:t>
      </w:r>
      <w:r w:rsidRPr="000977F7">
        <w:rPr>
          <w:rFonts w:asciiTheme="majorHAnsi" w:hAnsiTheme="majorHAnsi"/>
          <w:sz w:val="20"/>
          <w:szCs w:val="20"/>
        </w:rPr>
        <w:t>враховано;</w:t>
      </w:r>
    </w:p>
    <w:p w14:paraId="0E074E01" w14:textId="77777777" w:rsidR="0097612F" w:rsidRPr="000977F7" w:rsidRDefault="0097612F" w:rsidP="00FD39A4">
      <w:pPr>
        <w:pStyle w:val="ac"/>
        <w:widowControl w:val="0"/>
        <w:numPr>
          <w:ilvl w:val="0"/>
          <w:numId w:val="128"/>
        </w:numPr>
        <w:tabs>
          <w:tab w:val="left" w:pos="284"/>
          <w:tab w:val="left" w:pos="56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завжди підтримувати зосередженість на підвищуванні</w:t>
      </w:r>
      <w:r w:rsidRPr="000977F7">
        <w:rPr>
          <w:rFonts w:asciiTheme="majorHAnsi" w:hAnsiTheme="majorHAnsi"/>
          <w:spacing w:val="-2"/>
          <w:sz w:val="20"/>
          <w:szCs w:val="20"/>
        </w:rPr>
        <w:t xml:space="preserve"> </w:t>
      </w:r>
      <w:r w:rsidRPr="000977F7">
        <w:rPr>
          <w:rFonts w:asciiTheme="majorHAnsi" w:hAnsiTheme="majorHAnsi"/>
          <w:sz w:val="20"/>
          <w:szCs w:val="20"/>
        </w:rPr>
        <w:t>задоволеності</w:t>
      </w:r>
      <w:r w:rsidRPr="000977F7">
        <w:rPr>
          <w:rFonts w:asciiTheme="majorHAnsi" w:hAnsiTheme="majorHAnsi"/>
          <w:spacing w:val="-1"/>
          <w:sz w:val="20"/>
          <w:szCs w:val="20"/>
        </w:rPr>
        <w:t xml:space="preserve"> </w:t>
      </w:r>
      <w:r w:rsidRPr="000977F7">
        <w:rPr>
          <w:rFonts w:asciiTheme="majorHAnsi" w:hAnsiTheme="majorHAnsi"/>
          <w:sz w:val="20"/>
          <w:szCs w:val="20"/>
        </w:rPr>
        <w:t>замовника.</w:t>
      </w:r>
    </w:p>
    <w:p w14:paraId="494841F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7417BD7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ОРТОГОНАЛЬНІСТЬ</w:t>
      </w:r>
      <w:r w:rsidRPr="000977F7">
        <w:rPr>
          <w:color w:val="auto"/>
          <w:spacing w:val="-5"/>
          <w:sz w:val="20"/>
          <w:szCs w:val="20"/>
        </w:rPr>
        <w:t xml:space="preserve"> </w:t>
      </w:r>
      <w:r w:rsidRPr="000977F7">
        <w:rPr>
          <w:color w:val="auto"/>
          <w:sz w:val="20"/>
          <w:szCs w:val="20"/>
        </w:rPr>
        <w:t>ПЛАНА</w:t>
      </w:r>
      <w:r w:rsidRPr="000977F7">
        <w:rPr>
          <w:color w:val="auto"/>
          <w:spacing w:val="-3"/>
          <w:sz w:val="20"/>
          <w:szCs w:val="20"/>
        </w:rPr>
        <w:t xml:space="preserve"> </w:t>
      </w:r>
      <w:r w:rsidRPr="000977F7">
        <w:rPr>
          <w:color w:val="auto"/>
          <w:sz w:val="20"/>
          <w:szCs w:val="20"/>
        </w:rPr>
        <w:t>–</w:t>
      </w:r>
    </w:p>
    <w:p w14:paraId="4DCCF1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 плану, при якому матриця моментів для</w:t>
      </w:r>
      <w:r w:rsidRPr="000977F7">
        <w:rPr>
          <w:rFonts w:asciiTheme="majorHAnsi" w:hAnsiTheme="majorHAnsi"/>
          <w:spacing w:val="1"/>
          <w:sz w:val="20"/>
          <w:szCs w:val="20"/>
        </w:rPr>
        <w:t xml:space="preserve"> </w:t>
      </w:r>
      <w:r w:rsidRPr="000977F7">
        <w:rPr>
          <w:rFonts w:asciiTheme="majorHAnsi" w:hAnsiTheme="majorHAnsi"/>
          <w:sz w:val="20"/>
          <w:szCs w:val="20"/>
        </w:rPr>
        <w:t>заданої</w:t>
      </w:r>
      <w:r w:rsidRPr="000977F7">
        <w:rPr>
          <w:rFonts w:asciiTheme="majorHAnsi" w:hAnsiTheme="majorHAnsi"/>
          <w:spacing w:val="-2"/>
          <w:sz w:val="20"/>
          <w:szCs w:val="20"/>
        </w:rPr>
        <w:t xml:space="preserve"> </w:t>
      </w:r>
      <w:r w:rsidRPr="000977F7">
        <w:rPr>
          <w:rFonts w:asciiTheme="majorHAnsi" w:hAnsiTheme="majorHAnsi"/>
          <w:sz w:val="20"/>
          <w:szCs w:val="20"/>
        </w:rPr>
        <w:t>моделі</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діагональною</w:t>
      </w:r>
    </w:p>
    <w:p w14:paraId="4A4EF3F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ОСВІТА І ВИХОВАННЯ В ГАЛУЗІ ОХОРОНИ</w:t>
      </w:r>
      <w:r w:rsidRPr="000977F7">
        <w:rPr>
          <w:color w:val="auto"/>
          <w:spacing w:val="1"/>
          <w:sz w:val="20"/>
          <w:szCs w:val="20"/>
        </w:rPr>
        <w:t xml:space="preserve"> </w:t>
      </w:r>
      <w:r w:rsidRPr="000977F7">
        <w:rPr>
          <w:color w:val="auto"/>
          <w:sz w:val="20"/>
          <w:szCs w:val="20"/>
        </w:rPr>
        <w:t>НАВКОЛИШНЬОГО</w:t>
      </w:r>
      <w:r w:rsidRPr="000977F7">
        <w:rPr>
          <w:color w:val="auto"/>
          <w:spacing w:val="1"/>
          <w:sz w:val="20"/>
          <w:szCs w:val="20"/>
        </w:rPr>
        <w:t xml:space="preserve"> </w:t>
      </w:r>
      <w:r w:rsidRPr="000977F7">
        <w:rPr>
          <w:color w:val="auto"/>
          <w:sz w:val="20"/>
          <w:szCs w:val="20"/>
        </w:rPr>
        <w:t xml:space="preserve">ПРИРОДНОГО </w:t>
      </w:r>
    </w:p>
    <w:p w14:paraId="51F1556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СЕРЕДО</w:t>
      </w:r>
      <w:r w:rsidRPr="000977F7">
        <w:rPr>
          <w:color w:val="auto"/>
          <w:spacing w:val="-48"/>
          <w:sz w:val="20"/>
          <w:szCs w:val="20"/>
        </w:rPr>
        <w:t xml:space="preserve"> </w:t>
      </w:r>
      <w:r w:rsidRPr="000977F7">
        <w:rPr>
          <w:color w:val="auto"/>
          <w:sz w:val="20"/>
          <w:szCs w:val="20"/>
        </w:rPr>
        <w:t>ВИЩА</w:t>
      </w:r>
      <w:r w:rsidRPr="000977F7">
        <w:rPr>
          <w:color w:val="auto"/>
          <w:spacing w:val="-1"/>
          <w:sz w:val="20"/>
          <w:szCs w:val="20"/>
        </w:rPr>
        <w:t xml:space="preserve"> </w:t>
      </w:r>
      <w:r w:rsidRPr="000977F7">
        <w:rPr>
          <w:color w:val="auto"/>
          <w:sz w:val="20"/>
          <w:szCs w:val="20"/>
        </w:rPr>
        <w:t>–</w:t>
      </w:r>
    </w:p>
    <w:p w14:paraId="3265CC4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Підвищення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екологічної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культури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суспільства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професійна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підготовка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спеціалістів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забезпечуються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загальною обов'язковою комплексною освітою та вихованням в галузі охорони навколишнього природного середовища, в тому числі в дошкільних дитячих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закладах,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 системі загальної середньої,</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професійної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вищої освіти, підвищення кваліфікації та перепідготовки кадрів.</w:t>
      </w:r>
    </w:p>
    <w:p w14:paraId="065B59D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Екологічні знання є обов'язковою кваліфікаційною</w:t>
      </w:r>
      <w:r w:rsidRPr="000977F7">
        <w:rPr>
          <w:rFonts w:asciiTheme="majorHAnsi" w:hAnsiTheme="majorHAnsi"/>
          <w:spacing w:val="1"/>
          <w:sz w:val="20"/>
          <w:szCs w:val="20"/>
        </w:rPr>
        <w:t xml:space="preserve"> </w:t>
      </w:r>
      <w:r w:rsidRPr="000977F7">
        <w:rPr>
          <w:rFonts w:asciiTheme="majorHAnsi" w:hAnsiTheme="majorHAnsi"/>
          <w:sz w:val="20"/>
          <w:szCs w:val="20"/>
        </w:rPr>
        <w:t>вимогою для всіх посадових осіб, діяльність яких пов'язана з використанням природних ресурсів та призводить до впливу на стан навколишнього природного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p>
    <w:p w14:paraId="7991C1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Спеціально</w:t>
      </w:r>
      <w:r w:rsidRPr="000977F7">
        <w:rPr>
          <w:rFonts w:asciiTheme="majorHAnsi" w:hAnsiTheme="majorHAnsi"/>
          <w:spacing w:val="1"/>
          <w:sz w:val="20"/>
          <w:szCs w:val="20"/>
        </w:rPr>
        <w:t xml:space="preserve"> </w:t>
      </w:r>
      <w:r w:rsidRPr="000977F7">
        <w:rPr>
          <w:rFonts w:asciiTheme="majorHAnsi" w:hAnsiTheme="majorHAnsi"/>
          <w:sz w:val="20"/>
          <w:szCs w:val="20"/>
        </w:rPr>
        <w:t>визначені</w:t>
      </w:r>
      <w:r w:rsidRPr="000977F7">
        <w:rPr>
          <w:rFonts w:asciiTheme="majorHAnsi" w:hAnsiTheme="majorHAnsi"/>
          <w:spacing w:val="1"/>
          <w:sz w:val="20"/>
          <w:szCs w:val="20"/>
        </w:rPr>
        <w:t xml:space="preserve"> </w:t>
      </w:r>
      <w:r w:rsidRPr="000977F7">
        <w:rPr>
          <w:rFonts w:asciiTheme="majorHAnsi" w:hAnsiTheme="majorHAnsi"/>
          <w:sz w:val="20"/>
          <w:szCs w:val="20"/>
        </w:rPr>
        <w:t>вищі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професійні</w:t>
      </w:r>
      <w:r w:rsidRPr="000977F7">
        <w:rPr>
          <w:rFonts w:asciiTheme="majorHAnsi" w:hAnsiTheme="majorHAnsi"/>
          <w:spacing w:val="1"/>
          <w:sz w:val="20"/>
          <w:szCs w:val="20"/>
        </w:rPr>
        <w:t xml:space="preserve"> </w:t>
      </w:r>
      <w:r w:rsidRPr="000977F7">
        <w:rPr>
          <w:rFonts w:asciiTheme="majorHAnsi" w:hAnsiTheme="majorHAnsi"/>
          <w:sz w:val="20"/>
          <w:szCs w:val="20"/>
        </w:rPr>
        <w:t>навчальні</w:t>
      </w:r>
      <w:r w:rsidRPr="000977F7">
        <w:rPr>
          <w:rFonts w:asciiTheme="majorHAnsi" w:hAnsiTheme="majorHAnsi"/>
          <w:spacing w:val="-47"/>
          <w:sz w:val="20"/>
          <w:szCs w:val="20"/>
        </w:rPr>
        <w:t xml:space="preserve"> </w:t>
      </w:r>
      <w:r w:rsidRPr="000977F7">
        <w:rPr>
          <w:rFonts w:asciiTheme="majorHAnsi" w:hAnsiTheme="majorHAnsi"/>
          <w:sz w:val="20"/>
          <w:szCs w:val="20"/>
        </w:rPr>
        <w:t>заклади здійснюють підготовку спеціалістів у галузі</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використання природних ресурсів з урахуванням суспільних потреб</w:t>
      </w:r>
    </w:p>
    <w:p w14:paraId="67C4C09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w w:val="95"/>
          <w:sz w:val="20"/>
          <w:szCs w:val="20"/>
        </w:rPr>
        <w:t>Ст. 7 закону України "Про охорону навколишнього природ</w:t>
      </w:r>
      <w:r w:rsidRPr="000977F7">
        <w:rPr>
          <w:rFonts w:asciiTheme="majorHAnsi" w:hAnsiTheme="majorHAnsi"/>
          <w:i/>
          <w:sz w:val="20"/>
          <w:szCs w:val="20"/>
        </w:rPr>
        <w:t>ного</w:t>
      </w:r>
      <w:r w:rsidRPr="000977F7">
        <w:rPr>
          <w:rFonts w:asciiTheme="majorHAnsi" w:hAnsiTheme="majorHAnsi"/>
          <w:i/>
          <w:spacing w:val="1"/>
          <w:sz w:val="20"/>
          <w:szCs w:val="20"/>
        </w:rPr>
        <w:t xml:space="preserve"> </w:t>
      </w:r>
      <w:r w:rsidRPr="000977F7">
        <w:rPr>
          <w:rFonts w:asciiTheme="majorHAnsi" w:hAnsiTheme="majorHAnsi"/>
          <w:i/>
          <w:sz w:val="20"/>
          <w:szCs w:val="20"/>
        </w:rPr>
        <w:t>середовища"</w:t>
      </w:r>
    </w:p>
    <w:p w14:paraId="021E6404"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ОСВОЄНА</w:t>
      </w:r>
      <w:r w:rsidRPr="000977F7">
        <w:rPr>
          <w:color w:val="auto"/>
          <w:spacing w:val="-3"/>
          <w:sz w:val="20"/>
          <w:szCs w:val="20"/>
        </w:rPr>
        <w:t xml:space="preserve"> </w:t>
      </w:r>
      <w:r w:rsidRPr="000977F7">
        <w:rPr>
          <w:color w:val="auto"/>
          <w:sz w:val="20"/>
          <w:szCs w:val="20"/>
        </w:rPr>
        <w:t xml:space="preserve">ПРОДУКЦІЯ </w:t>
      </w:r>
      <w:r w:rsidRPr="000977F7">
        <w:rPr>
          <w:b w:val="0"/>
          <w:color w:val="auto"/>
          <w:sz w:val="20"/>
          <w:szCs w:val="20"/>
        </w:rPr>
        <w:t>–</w:t>
      </w:r>
    </w:p>
    <w:p w14:paraId="62EF8F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w:t>
      </w:r>
      <w:r w:rsidRPr="000977F7">
        <w:rPr>
          <w:rFonts w:asciiTheme="majorHAnsi" w:hAnsiTheme="majorHAnsi"/>
          <w:spacing w:val="-7"/>
          <w:sz w:val="20"/>
          <w:szCs w:val="20"/>
        </w:rPr>
        <w:t xml:space="preserve"> </w:t>
      </w:r>
      <w:r w:rsidRPr="000977F7">
        <w:rPr>
          <w:rFonts w:asciiTheme="majorHAnsi" w:hAnsiTheme="majorHAnsi"/>
          <w:sz w:val="20"/>
          <w:szCs w:val="20"/>
        </w:rPr>
        <w:t>усталеного</w:t>
      </w:r>
      <w:r w:rsidRPr="000977F7">
        <w:rPr>
          <w:rFonts w:asciiTheme="majorHAnsi" w:hAnsiTheme="majorHAnsi"/>
          <w:spacing w:val="-7"/>
          <w:sz w:val="20"/>
          <w:szCs w:val="20"/>
        </w:rPr>
        <w:t xml:space="preserve"> </w:t>
      </w:r>
      <w:r w:rsidRPr="000977F7">
        <w:rPr>
          <w:rFonts w:asciiTheme="majorHAnsi" w:hAnsiTheme="majorHAnsi"/>
          <w:sz w:val="20"/>
          <w:szCs w:val="20"/>
        </w:rPr>
        <w:t>промислового</w:t>
      </w:r>
      <w:r w:rsidRPr="000977F7">
        <w:rPr>
          <w:rFonts w:asciiTheme="majorHAnsi" w:hAnsiTheme="majorHAnsi"/>
          <w:spacing w:val="-7"/>
          <w:sz w:val="20"/>
          <w:szCs w:val="20"/>
        </w:rPr>
        <w:t xml:space="preserve"> </w:t>
      </w:r>
      <w:r w:rsidRPr="000977F7">
        <w:rPr>
          <w:rFonts w:asciiTheme="majorHAnsi" w:hAnsiTheme="majorHAnsi"/>
          <w:sz w:val="20"/>
          <w:szCs w:val="20"/>
        </w:rPr>
        <w:t>виробництва</w:t>
      </w:r>
    </w:p>
    <w:p w14:paraId="1B545A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47"/>
          <w:sz w:val="20"/>
          <w:szCs w:val="20"/>
        </w:rPr>
        <w:t xml:space="preserve"> </w:t>
      </w: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0E2BACA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Термін стосується конкретного виробника, якщо виготовлення продукції передається іншому виробникові, то постає</w:t>
      </w:r>
      <w:r w:rsidRPr="000977F7">
        <w:rPr>
          <w:rFonts w:asciiTheme="majorHAnsi" w:hAnsiTheme="majorHAnsi"/>
          <w:spacing w:val="1"/>
          <w:sz w:val="20"/>
          <w:szCs w:val="20"/>
        </w:rPr>
        <w:t xml:space="preserve"> </w:t>
      </w:r>
      <w:r w:rsidRPr="000977F7">
        <w:rPr>
          <w:rFonts w:asciiTheme="majorHAnsi" w:hAnsiTheme="majorHAnsi"/>
          <w:sz w:val="20"/>
          <w:szCs w:val="20"/>
        </w:rPr>
        <w:t>необхідність освоєння продукції стосовно особливостей</w:t>
      </w:r>
      <w:r w:rsidRPr="000977F7">
        <w:rPr>
          <w:rFonts w:asciiTheme="majorHAnsi" w:hAnsiTheme="majorHAnsi"/>
          <w:spacing w:val="-1"/>
          <w:sz w:val="20"/>
          <w:szCs w:val="20"/>
        </w:rPr>
        <w:t xml:space="preserve"> </w:t>
      </w:r>
      <w:r w:rsidRPr="000977F7">
        <w:rPr>
          <w:rFonts w:asciiTheme="majorHAnsi" w:hAnsiTheme="majorHAnsi"/>
          <w:sz w:val="20"/>
          <w:szCs w:val="20"/>
        </w:rPr>
        <w:t>останнього</w:t>
      </w:r>
    </w:p>
    <w:p w14:paraId="3C8B887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0000C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ОСВОЄННЯ</w:t>
      </w:r>
      <w:r w:rsidRPr="000977F7">
        <w:rPr>
          <w:color w:val="auto"/>
          <w:spacing w:val="-5"/>
          <w:sz w:val="20"/>
          <w:szCs w:val="20"/>
        </w:rPr>
        <w:t xml:space="preserve"> </w:t>
      </w:r>
      <w:r w:rsidRPr="000977F7">
        <w:rPr>
          <w:color w:val="auto"/>
          <w:sz w:val="20"/>
          <w:szCs w:val="20"/>
        </w:rPr>
        <w:t>ВИРОБНИЦТВА</w:t>
      </w:r>
      <w:r w:rsidRPr="000977F7">
        <w:rPr>
          <w:color w:val="auto"/>
          <w:spacing w:val="-2"/>
          <w:sz w:val="20"/>
          <w:szCs w:val="20"/>
        </w:rPr>
        <w:t xml:space="preserve"> </w:t>
      </w:r>
      <w:r w:rsidRPr="000977F7">
        <w:rPr>
          <w:color w:val="auto"/>
          <w:sz w:val="20"/>
          <w:szCs w:val="20"/>
        </w:rPr>
        <w:t>–</w:t>
      </w:r>
    </w:p>
    <w:p w14:paraId="2CFEF6C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Складова частина ставлення продукції на виробництво, яка полягає у відпрацюванні і перевірці прийнятої</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технології та організації після запуску у виробництво</w:t>
      </w:r>
      <w:r w:rsidRPr="000977F7">
        <w:rPr>
          <w:rFonts w:asciiTheme="majorHAnsi" w:hAnsiTheme="majorHAnsi"/>
          <w:spacing w:val="1"/>
          <w:sz w:val="20"/>
          <w:szCs w:val="20"/>
        </w:rPr>
        <w:t xml:space="preserve"> </w:t>
      </w:r>
      <w:r w:rsidRPr="000977F7">
        <w:rPr>
          <w:rFonts w:asciiTheme="majorHAnsi" w:hAnsiTheme="majorHAnsi"/>
          <w:sz w:val="20"/>
          <w:szCs w:val="20"/>
        </w:rPr>
        <w:t>нової продукції зі стабільними значеннями показників</w:t>
      </w:r>
      <w:r w:rsidRPr="000977F7">
        <w:rPr>
          <w:rFonts w:asciiTheme="majorHAnsi" w:hAnsiTheme="majorHAnsi"/>
          <w:spacing w:val="-47"/>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в заданому</w:t>
      </w:r>
      <w:r w:rsidRPr="000977F7">
        <w:rPr>
          <w:rFonts w:asciiTheme="majorHAnsi" w:hAnsiTheme="majorHAnsi"/>
          <w:spacing w:val="-3"/>
          <w:sz w:val="20"/>
          <w:szCs w:val="20"/>
        </w:rPr>
        <w:t xml:space="preserve"> </w:t>
      </w:r>
      <w:r w:rsidRPr="000977F7">
        <w:rPr>
          <w:rFonts w:asciiTheme="majorHAnsi" w:hAnsiTheme="majorHAnsi"/>
          <w:sz w:val="20"/>
          <w:szCs w:val="20"/>
        </w:rPr>
        <w:t>обсязі</w:t>
      </w:r>
      <w:r w:rsidRPr="000977F7">
        <w:rPr>
          <w:rFonts w:asciiTheme="majorHAnsi" w:hAnsiTheme="majorHAnsi"/>
          <w:spacing w:val="2"/>
          <w:sz w:val="20"/>
          <w:szCs w:val="20"/>
        </w:rPr>
        <w:t xml:space="preserve"> </w:t>
      </w:r>
      <w:r w:rsidRPr="000977F7">
        <w:rPr>
          <w:rFonts w:asciiTheme="majorHAnsi" w:hAnsiTheme="majorHAnsi"/>
          <w:sz w:val="20"/>
          <w:szCs w:val="20"/>
        </w:rPr>
        <w:t>випуску</w:t>
      </w:r>
    </w:p>
    <w:p w14:paraId="4C4D812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 – 94</w:t>
      </w:r>
    </w:p>
    <w:p w14:paraId="5460F86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ОСВОЄННЯ</w:t>
      </w:r>
      <w:r w:rsidRPr="000977F7">
        <w:rPr>
          <w:color w:val="auto"/>
          <w:spacing w:val="-12"/>
          <w:sz w:val="20"/>
          <w:szCs w:val="20"/>
        </w:rPr>
        <w:t xml:space="preserve"> </w:t>
      </w:r>
      <w:r w:rsidRPr="000977F7">
        <w:rPr>
          <w:color w:val="auto"/>
          <w:sz w:val="20"/>
          <w:szCs w:val="20"/>
        </w:rPr>
        <w:t>ВИРОБНИЦТВА</w:t>
      </w:r>
      <w:r w:rsidRPr="000977F7">
        <w:rPr>
          <w:color w:val="auto"/>
          <w:spacing w:val="-47"/>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27277B7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заходів, що забезпечують відпрацювання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23"/>
          <w:sz w:val="20"/>
          <w:szCs w:val="20"/>
        </w:rPr>
        <w:t xml:space="preserve"> </w:t>
      </w:r>
      <w:r w:rsidRPr="000977F7">
        <w:rPr>
          <w:rFonts w:asciiTheme="majorHAnsi" w:hAnsiTheme="majorHAnsi"/>
          <w:sz w:val="20"/>
          <w:szCs w:val="20"/>
        </w:rPr>
        <w:t>перевірку</w:t>
      </w:r>
      <w:r w:rsidRPr="000977F7">
        <w:rPr>
          <w:rFonts w:asciiTheme="majorHAnsi" w:hAnsiTheme="majorHAnsi"/>
          <w:spacing w:val="21"/>
          <w:sz w:val="20"/>
          <w:szCs w:val="20"/>
        </w:rPr>
        <w:t xml:space="preserve"> </w:t>
      </w:r>
      <w:r w:rsidRPr="000977F7">
        <w:rPr>
          <w:rFonts w:asciiTheme="majorHAnsi" w:hAnsiTheme="majorHAnsi"/>
          <w:sz w:val="20"/>
          <w:szCs w:val="20"/>
        </w:rPr>
        <w:t>підготовленого</w:t>
      </w:r>
      <w:r w:rsidRPr="000977F7">
        <w:rPr>
          <w:rFonts w:asciiTheme="majorHAnsi" w:hAnsiTheme="majorHAnsi"/>
          <w:spacing w:val="25"/>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24"/>
          <w:sz w:val="20"/>
          <w:szCs w:val="20"/>
        </w:rPr>
        <w:t xml:space="preserve"> </w:t>
      </w:r>
      <w:r w:rsidRPr="000977F7">
        <w:rPr>
          <w:rFonts w:asciiTheme="majorHAnsi" w:hAnsiTheme="majorHAnsi"/>
          <w:sz w:val="20"/>
          <w:szCs w:val="20"/>
        </w:rPr>
        <w:t>процесу,</w:t>
      </w:r>
      <w:r w:rsidRPr="000977F7">
        <w:rPr>
          <w:rFonts w:asciiTheme="majorHAnsi" w:hAnsiTheme="majorHAnsi"/>
          <w:spacing w:val="-48"/>
          <w:sz w:val="20"/>
          <w:szCs w:val="20"/>
        </w:rPr>
        <w:t xml:space="preserve"> </w:t>
      </w:r>
      <w:r w:rsidRPr="000977F7">
        <w:rPr>
          <w:rFonts w:asciiTheme="majorHAnsi" w:hAnsiTheme="majorHAnsi"/>
          <w:sz w:val="20"/>
          <w:szCs w:val="20"/>
        </w:rPr>
        <w:t>а також опанування практичних способів 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визначеними</w:t>
      </w:r>
      <w:r w:rsidRPr="000977F7">
        <w:rPr>
          <w:rFonts w:asciiTheme="majorHAnsi" w:hAnsiTheme="majorHAnsi"/>
          <w:spacing w:val="1"/>
          <w:sz w:val="20"/>
          <w:szCs w:val="20"/>
        </w:rPr>
        <w:t xml:space="preserve"> </w:t>
      </w:r>
      <w:r w:rsidRPr="000977F7">
        <w:rPr>
          <w:rFonts w:asciiTheme="majorHAnsi" w:hAnsiTheme="majorHAnsi"/>
          <w:sz w:val="20"/>
          <w:szCs w:val="20"/>
        </w:rPr>
        <w:t>вимогами</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обсягу</w:t>
      </w:r>
      <w:r w:rsidRPr="000977F7">
        <w:rPr>
          <w:rFonts w:asciiTheme="majorHAnsi" w:hAnsiTheme="majorHAnsi"/>
          <w:spacing w:val="-5"/>
          <w:sz w:val="20"/>
          <w:szCs w:val="20"/>
        </w:rPr>
        <w:t xml:space="preserve"> </w:t>
      </w:r>
      <w:r w:rsidRPr="000977F7">
        <w:rPr>
          <w:rFonts w:asciiTheme="majorHAnsi" w:hAnsiTheme="majorHAnsi"/>
          <w:sz w:val="20"/>
          <w:szCs w:val="20"/>
        </w:rPr>
        <w:t>випуску</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30B74B9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3278 – 95</w:t>
      </w:r>
    </w:p>
    <w:p w14:paraId="02DC63F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ОСКАРЖЕННЯ ДІЙ УПОВНОВАЖЕНИХ </w:t>
      </w:r>
    </w:p>
    <w:p w14:paraId="5BF28D82"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ОР</w:t>
      </w:r>
      <w:r w:rsidRPr="000977F7">
        <w:rPr>
          <w:color w:val="auto"/>
          <w:spacing w:val="-48"/>
          <w:sz w:val="20"/>
          <w:szCs w:val="20"/>
        </w:rPr>
        <w:t xml:space="preserve"> </w:t>
      </w:r>
      <w:r w:rsidRPr="000977F7">
        <w:rPr>
          <w:color w:val="auto"/>
          <w:sz w:val="20"/>
          <w:szCs w:val="20"/>
        </w:rPr>
        <w:t>ГАНІВ</w:t>
      </w:r>
      <w:r w:rsidRPr="000977F7">
        <w:rPr>
          <w:color w:val="auto"/>
          <w:spacing w:val="1"/>
          <w:sz w:val="20"/>
          <w:szCs w:val="20"/>
        </w:rPr>
        <w:t xml:space="preserve"> </w:t>
      </w:r>
      <w:r w:rsidRPr="000977F7">
        <w:rPr>
          <w:b w:val="0"/>
          <w:color w:val="auto"/>
          <w:sz w:val="20"/>
          <w:szCs w:val="20"/>
        </w:rPr>
        <w:t>–</w:t>
      </w:r>
    </w:p>
    <w:p w14:paraId="032B8B3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Особа,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яка є заявником з підтвердження відповідності,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може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оскаржити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рішення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уповноваженого</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органу із сертифікації шляхом подання скарги до апеляційної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комісії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 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судовому</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порядку.</w:t>
      </w:r>
    </w:p>
    <w:p w14:paraId="3888CFC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4D2D14">
        <w:rPr>
          <w:rFonts w:asciiTheme="majorHAnsi" w:hAnsiTheme="majorHAnsi"/>
          <w:sz w:val="20"/>
          <w:szCs w:val="20"/>
          <w:lang w:val="uk-UA"/>
        </w:rPr>
        <w:t>Скарги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розглядаються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апеляційними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комісіями,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створюються при уповноважених органах з сертифікації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лише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працівників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уповноваженого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сертифікації,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безпосередньо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брали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участі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прийнятті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оскарженого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 xml:space="preserve">рішення. </w:t>
      </w:r>
      <w:r w:rsidRPr="000977F7">
        <w:rPr>
          <w:rFonts w:asciiTheme="majorHAnsi" w:hAnsiTheme="majorHAnsi"/>
          <w:sz w:val="20"/>
          <w:szCs w:val="20"/>
        </w:rPr>
        <w:t>Типове положення про апеляційні комісії та порядок</w:t>
      </w:r>
      <w:r w:rsidRPr="000977F7">
        <w:rPr>
          <w:rFonts w:asciiTheme="majorHAnsi" w:hAnsiTheme="majorHAnsi"/>
          <w:spacing w:val="1"/>
          <w:sz w:val="20"/>
          <w:szCs w:val="20"/>
        </w:rPr>
        <w:t xml:space="preserve"> </w:t>
      </w:r>
      <w:r w:rsidRPr="000977F7">
        <w:rPr>
          <w:rFonts w:asciiTheme="majorHAnsi" w:hAnsiTheme="majorHAnsi"/>
          <w:sz w:val="20"/>
          <w:szCs w:val="20"/>
        </w:rPr>
        <w:t>розгляду ними скарг затверджується спеціально уповноваженим центральним органом виконавчої влади у</w:t>
      </w:r>
      <w:r w:rsidRPr="000977F7">
        <w:rPr>
          <w:rFonts w:asciiTheme="majorHAnsi" w:hAnsiTheme="majorHAnsi"/>
          <w:spacing w:val="1"/>
          <w:sz w:val="20"/>
          <w:szCs w:val="20"/>
        </w:rPr>
        <w:t xml:space="preserve"> </w:t>
      </w:r>
      <w:r w:rsidRPr="000977F7">
        <w:rPr>
          <w:rFonts w:asciiTheme="majorHAnsi" w:hAnsiTheme="majorHAnsi"/>
          <w:sz w:val="20"/>
          <w:szCs w:val="20"/>
        </w:rPr>
        <w:t>сфері</w:t>
      </w:r>
      <w:r w:rsidRPr="000977F7">
        <w:rPr>
          <w:rFonts w:asciiTheme="majorHAnsi" w:hAnsiTheme="majorHAnsi"/>
          <w:spacing w:val="-2"/>
          <w:sz w:val="20"/>
          <w:szCs w:val="20"/>
        </w:rPr>
        <w:t xml:space="preserve"> </w:t>
      </w:r>
      <w:r w:rsidRPr="000977F7">
        <w:rPr>
          <w:rFonts w:asciiTheme="majorHAnsi" w:hAnsiTheme="majorHAnsi"/>
          <w:sz w:val="20"/>
          <w:szCs w:val="20"/>
        </w:rPr>
        <w:t>підтвердження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p>
    <w:p w14:paraId="739765AC"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У</w:t>
      </w:r>
      <w:r w:rsidRPr="000977F7">
        <w:rPr>
          <w:rFonts w:asciiTheme="majorHAnsi" w:hAnsiTheme="majorHAnsi"/>
          <w:spacing w:val="17"/>
          <w:sz w:val="20"/>
          <w:szCs w:val="20"/>
        </w:rPr>
        <w:t xml:space="preserve"> </w:t>
      </w:r>
      <w:r w:rsidRPr="000977F7">
        <w:rPr>
          <w:rFonts w:asciiTheme="majorHAnsi" w:hAnsiTheme="majorHAnsi"/>
          <w:sz w:val="20"/>
          <w:szCs w:val="20"/>
        </w:rPr>
        <w:t>разі</w:t>
      </w:r>
      <w:r w:rsidRPr="000977F7">
        <w:rPr>
          <w:rFonts w:asciiTheme="majorHAnsi" w:hAnsiTheme="majorHAnsi"/>
          <w:spacing w:val="14"/>
          <w:sz w:val="20"/>
          <w:szCs w:val="20"/>
        </w:rPr>
        <w:t xml:space="preserve"> </w:t>
      </w:r>
      <w:r w:rsidRPr="000977F7">
        <w:rPr>
          <w:rFonts w:asciiTheme="majorHAnsi" w:hAnsiTheme="majorHAnsi"/>
          <w:sz w:val="20"/>
          <w:szCs w:val="20"/>
        </w:rPr>
        <w:t>незгоди</w:t>
      </w:r>
      <w:r w:rsidRPr="000977F7">
        <w:rPr>
          <w:rFonts w:asciiTheme="majorHAnsi" w:hAnsiTheme="majorHAnsi"/>
          <w:spacing w:val="15"/>
          <w:sz w:val="20"/>
          <w:szCs w:val="20"/>
        </w:rPr>
        <w:t xml:space="preserve"> </w:t>
      </w:r>
      <w:r w:rsidRPr="000977F7">
        <w:rPr>
          <w:rFonts w:asciiTheme="majorHAnsi" w:hAnsiTheme="majorHAnsi"/>
          <w:sz w:val="20"/>
          <w:szCs w:val="20"/>
        </w:rPr>
        <w:t>однієї</w:t>
      </w:r>
      <w:r w:rsidRPr="000977F7">
        <w:rPr>
          <w:rFonts w:asciiTheme="majorHAnsi" w:hAnsiTheme="majorHAnsi"/>
          <w:spacing w:val="17"/>
          <w:sz w:val="20"/>
          <w:szCs w:val="20"/>
        </w:rPr>
        <w:t xml:space="preserve"> </w:t>
      </w:r>
      <w:r w:rsidRPr="000977F7">
        <w:rPr>
          <w:rFonts w:asciiTheme="majorHAnsi" w:hAnsiTheme="majorHAnsi"/>
          <w:sz w:val="20"/>
          <w:szCs w:val="20"/>
        </w:rPr>
        <w:t>із</w:t>
      </w:r>
      <w:r w:rsidRPr="000977F7">
        <w:rPr>
          <w:rFonts w:asciiTheme="majorHAnsi" w:hAnsiTheme="majorHAnsi"/>
          <w:spacing w:val="17"/>
          <w:sz w:val="20"/>
          <w:szCs w:val="20"/>
        </w:rPr>
        <w:t xml:space="preserve"> </w:t>
      </w:r>
      <w:r w:rsidRPr="000977F7">
        <w:rPr>
          <w:rFonts w:asciiTheme="majorHAnsi" w:hAnsiTheme="majorHAnsi"/>
          <w:sz w:val="20"/>
          <w:szCs w:val="20"/>
        </w:rPr>
        <w:t>сторін</w:t>
      </w:r>
      <w:r w:rsidRPr="000977F7">
        <w:rPr>
          <w:rFonts w:asciiTheme="majorHAnsi" w:hAnsiTheme="majorHAnsi"/>
          <w:spacing w:val="17"/>
          <w:sz w:val="20"/>
          <w:szCs w:val="20"/>
        </w:rPr>
        <w:t xml:space="preserve"> </w:t>
      </w:r>
      <w:r w:rsidRPr="000977F7">
        <w:rPr>
          <w:rFonts w:asciiTheme="majorHAnsi" w:hAnsiTheme="majorHAnsi"/>
          <w:sz w:val="20"/>
          <w:szCs w:val="20"/>
        </w:rPr>
        <w:t>з</w:t>
      </w:r>
      <w:r w:rsidRPr="000977F7">
        <w:rPr>
          <w:rFonts w:asciiTheme="majorHAnsi" w:hAnsiTheme="majorHAnsi"/>
          <w:spacing w:val="17"/>
          <w:sz w:val="20"/>
          <w:szCs w:val="20"/>
        </w:rPr>
        <w:t xml:space="preserve"> </w:t>
      </w:r>
      <w:r w:rsidRPr="000977F7">
        <w:rPr>
          <w:rFonts w:asciiTheme="majorHAnsi" w:hAnsiTheme="majorHAnsi"/>
          <w:sz w:val="20"/>
          <w:szCs w:val="20"/>
        </w:rPr>
        <w:t>рішенням</w:t>
      </w:r>
      <w:r w:rsidRPr="000977F7">
        <w:rPr>
          <w:rFonts w:asciiTheme="majorHAnsi" w:hAnsiTheme="majorHAnsi"/>
          <w:spacing w:val="17"/>
          <w:sz w:val="20"/>
          <w:szCs w:val="20"/>
        </w:rPr>
        <w:t xml:space="preserve"> </w:t>
      </w:r>
      <w:r w:rsidRPr="000977F7">
        <w:rPr>
          <w:rFonts w:asciiTheme="majorHAnsi" w:hAnsiTheme="majorHAnsi"/>
          <w:sz w:val="20"/>
          <w:szCs w:val="20"/>
        </w:rPr>
        <w:t>апеляційної</w:t>
      </w:r>
      <w:r w:rsidRPr="000977F7">
        <w:rPr>
          <w:rFonts w:asciiTheme="majorHAnsi" w:hAnsiTheme="majorHAnsi"/>
          <w:spacing w:val="38"/>
          <w:sz w:val="20"/>
          <w:szCs w:val="20"/>
        </w:rPr>
        <w:t xml:space="preserve"> </w:t>
      </w:r>
      <w:r w:rsidRPr="000977F7">
        <w:rPr>
          <w:rFonts w:asciiTheme="majorHAnsi" w:hAnsiTheme="majorHAnsi"/>
          <w:sz w:val="20"/>
          <w:szCs w:val="20"/>
        </w:rPr>
        <w:t>комісії</w:t>
      </w:r>
      <w:r w:rsidRPr="000977F7">
        <w:rPr>
          <w:rFonts w:asciiTheme="majorHAnsi" w:hAnsiTheme="majorHAnsi"/>
          <w:spacing w:val="41"/>
          <w:sz w:val="20"/>
          <w:szCs w:val="20"/>
        </w:rPr>
        <w:t xml:space="preserve"> </w:t>
      </w:r>
      <w:r w:rsidRPr="000977F7">
        <w:rPr>
          <w:rFonts w:asciiTheme="majorHAnsi" w:hAnsiTheme="majorHAnsi"/>
          <w:sz w:val="20"/>
          <w:szCs w:val="20"/>
        </w:rPr>
        <w:t>воно</w:t>
      </w:r>
      <w:r w:rsidRPr="000977F7">
        <w:rPr>
          <w:rFonts w:asciiTheme="majorHAnsi" w:hAnsiTheme="majorHAnsi"/>
          <w:spacing w:val="40"/>
          <w:sz w:val="20"/>
          <w:szCs w:val="20"/>
        </w:rPr>
        <w:t xml:space="preserve"> </w:t>
      </w:r>
      <w:r w:rsidRPr="000977F7">
        <w:rPr>
          <w:rFonts w:asciiTheme="majorHAnsi" w:hAnsiTheme="majorHAnsi"/>
          <w:sz w:val="20"/>
          <w:szCs w:val="20"/>
        </w:rPr>
        <w:t>може</w:t>
      </w:r>
      <w:r w:rsidRPr="000977F7">
        <w:rPr>
          <w:rFonts w:asciiTheme="majorHAnsi" w:hAnsiTheme="majorHAnsi"/>
          <w:spacing w:val="41"/>
          <w:sz w:val="20"/>
          <w:szCs w:val="20"/>
        </w:rPr>
        <w:t xml:space="preserve"> </w:t>
      </w:r>
      <w:r w:rsidRPr="000977F7">
        <w:rPr>
          <w:rFonts w:asciiTheme="majorHAnsi" w:hAnsiTheme="majorHAnsi"/>
          <w:sz w:val="20"/>
          <w:szCs w:val="20"/>
        </w:rPr>
        <w:t>бути</w:t>
      </w:r>
      <w:r w:rsidRPr="000977F7">
        <w:rPr>
          <w:rFonts w:asciiTheme="majorHAnsi" w:hAnsiTheme="majorHAnsi"/>
          <w:spacing w:val="38"/>
          <w:sz w:val="20"/>
          <w:szCs w:val="20"/>
        </w:rPr>
        <w:t xml:space="preserve"> </w:t>
      </w:r>
      <w:r w:rsidRPr="000977F7">
        <w:rPr>
          <w:rFonts w:asciiTheme="majorHAnsi" w:hAnsiTheme="majorHAnsi"/>
          <w:sz w:val="20"/>
          <w:szCs w:val="20"/>
        </w:rPr>
        <w:t>оскаржено</w:t>
      </w:r>
      <w:r w:rsidRPr="000977F7">
        <w:rPr>
          <w:rFonts w:asciiTheme="majorHAnsi" w:hAnsiTheme="majorHAnsi"/>
          <w:spacing w:val="42"/>
          <w:sz w:val="20"/>
          <w:szCs w:val="20"/>
        </w:rPr>
        <w:t xml:space="preserve"> </w:t>
      </w:r>
      <w:r w:rsidRPr="000977F7">
        <w:rPr>
          <w:rFonts w:asciiTheme="majorHAnsi" w:hAnsiTheme="majorHAnsi"/>
          <w:sz w:val="20"/>
          <w:szCs w:val="20"/>
        </w:rPr>
        <w:t>у</w:t>
      </w:r>
      <w:r w:rsidRPr="000977F7">
        <w:rPr>
          <w:rFonts w:asciiTheme="majorHAnsi" w:hAnsiTheme="majorHAnsi"/>
          <w:spacing w:val="37"/>
          <w:sz w:val="20"/>
          <w:szCs w:val="20"/>
        </w:rPr>
        <w:t xml:space="preserve"> </w:t>
      </w:r>
      <w:r w:rsidRPr="000977F7">
        <w:rPr>
          <w:rFonts w:asciiTheme="majorHAnsi" w:hAnsiTheme="majorHAnsi"/>
          <w:sz w:val="20"/>
          <w:szCs w:val="20"/>
        </w:rPr>
        <w:t>спеціально</w:t>
      </w:r>
      <w:r w:rsidRPr="000977F7">
        <w:rPr>
          <w:rFonts w:asciiTheme="majorHAnsi" w:hAnsiTheme="majorHAnsi"/>
          <w:spacing w:val="-47"/>
          <w:sz w:val="20"/>
          <w:szCs w:val="20"/>
        </w:rPr>
        <w:t xml:space="preserve"> </w:t>
      </w:r>
      <w:r w:rsidRPr="000977F7">
        <w:rPr>
          <w:rFonts w:asciiTheme="majorHAnsi" w:hAnsiTheme="majorHAnsi"/>
          <w:sz w:val="20"/>
          <w:szCs w:val="20"/>
        </w:rPr>
        <w:t>уповноваженому</w:t>
      </w:r>
      <w:r w:rsidRPr="000977F7">
        <w:rPr>
          <w:rFonts w:asciiTheme="majorHAnsi" w:hAnsiTheme="majorHAnsi"/>
          <w:spacing w:val="25"/>
          <w:sz w:val="20"/>
          <w:szCs w:val="20"/>
        </w:rPr>
        <w:t xml:space="preserve"> </w:t>
      </w:r>
      <w:r w:rsidRPr="000977F7">
        <w:rPr>
          <w:rFonts w:asciiTheme="majorHAnsi" w:hAnsiTheme="majorHAnsi"/>
          <w:sz w:val="20"/>
          <w:szCs w:val="20"/>
        </w:rPr>
        <w:t>центральному</w:t>
      </w:r>
      <w:r w:rsidRPr="000977F7">
        <w:rPr>
          <w:rFonts w:asciiTheme="majorHAnsi" w:hAnsiTheme="majorHAnsi"/>
          <w:spacing w:val="22"/>
          <w:sz w:val="20"/>
          <w:szCs w:val="20"/>
        </w:rPr>
        <w:t xml:space="preserve"> </w:t>
      </w:r>
      <w:r w:rsidRPr="000977F7">
        <w:rPr>
          <w:rFonts w:asciiTheme="majorHAnsi" w:hAnsiTheme="majorHAnsi"/>
          <w:sz w:val="20"/>
          <w:szCs w:val="20"/>
        </w:rPr>
        <w:t>органі</w:t>
      </w:r>
      <w:r w:rsidRPr="000977F7">
        <w:rPr>
          <w:rFonts w:asciiTheme="majorHAnsi" w:hAnsiTheme="majorHAnsi"/>
          <w:spacing w:val="26"/>
          <w:sz w:val="20"/>
          <w:szCs w:val="20"/>
        </w:rPr>
        <w:t xml:space="preserve"> </w:t>
      </w:r>
      <w:r w:rsidRPr="000977F7">
        <w:rPr>
          <w:rFonts w:asciiTheme="majorHAnsi" w:hAnsiTheme="majorHAnsi"/>
          <w:sz w:val="20"/>
          <w:szCs w:val="20"/>
        </w:rPr>
        <w:t>виконавчої</w:t>
      </w:r>
      <w:r w:rsidRPr="000977F7">
        <w:rPr>
          <w:rFonts w:asciiTheme="majorHAnsi" w:hAnsiTheme="majorHAnsi"/>
          <w:spacing w:val="-47"/>
          <w:sz w:val="20"/>
          <w:szCs w:val="20"/>
        </w:rPr>
        <w:t xml:space="preserve"> </w:t>
      </w:r>
      <w:r w:rsidRPr="000977F7">
        <w:rPr>
          <w:rFonts w:asciiTheme="majorHAnsi" w:hAnsiTheme="majorHAnsi"/>
          <w:sz w:val="20"/>
          <w:szCs w:val="20"/>
        </w:rPr>
        <w:t>влади у сфері підтвердження відповідності</w:t>
      </w:r>
      <w:r w:rsidRPr="000977F7">
        <w:rPr>
          <w:rFonts w:asciiTheme="majorHAnsi" w:hAnsiTheme="majorHAnsi"/>
          <w:spacing w:val="1"/>
          <w:sz w:val="20"/>
          <w:szCs w:val="20"/>
        </w:rPr>
        <w:t xml:space="preserve"> </w:t>
      </w:r>
    </w:p>
    <w:p w14:paraId="122475AB"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ОСНОВНА</w:t>
      </w:r>
      <w:r w:rsidRPr="000977F7">
        <w:rPr>
          <w:rFonts w:asciiTheme="majorHAnsi" w:hAnsiTheme="majorHAnsi"/>
          <w:b/>
          <w:spacing w:val="-3"/>
          <w:sz w:val="20"/>
          <w:szCs w:val="20"/>
        </w:rPr>
        <w:t xml:space="preserve"> </w:t>
      </w:r>
      <w:r w:rsidRPr="000977F7">
        <w:rPr>
          <w:rFonts w:asciiTheme="majorHAnsi" w:hAnsiTheme="majorHAnsi"/>
          <w:b/>
          <w:sz w:val="20"/>
          <w:szCs w:val="20"/>
        </w:rPr>
        <w:t>МЕТА СТАНДАРТИЗАЦІЇ</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1BC2D0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Основною</w:t>
      </w:r>
      <w:r w:rsidRPr="000977F7">
        <w:rPr>
          <w:rFonts w:asciiTheme="majorHAnsi" w:hAnsiTheme="majorHAnsi"/>
          <w:spacing w:val="-4"/>
          <w:sz w:val="20"/>
          <w:szCs w:val="20"/>
        </w:rPr>
        <w:t xml:space="preserve"> </w:t>
      </w:r>
      <w:r w:rsidRPr="000977F7">
        <w:rPr>
          <w:rFonts w:asciiTheme="majorHAnsi" w:hAnsiTheme="majorHAnsi"/>
          <w:sz w:val="20"/>
          <w:szCs w:val="20"/>
        </w:rPr>
        <w:t>метою</w:t>
      </w:r>
      <w:r w:rsidRPr="000977F7">
        <w:rPr>
          <w:rFonts w:asciiTheme="majorHAnsi" w:hAnsiTheme="majorHAnsi"/>
          <w:spacing w:val="-3"/>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4"/>
          <w:sz w:val="20"/>
          <w:szCs w:val="20"/>
        </w:rPr>
        <w:t xml:space="preserve"> </w:t>
      </w:r>
      <w:r w:rsidRPr="000977F7">
        <w:rPr>
          <w:rFonts w:asciiTheme="majorHAnsi" w:hAnsiTheme="majorHAnsi"/>
          <w:sz w:val="20"/>
          <w:szCs w:val="20"/>
        </w:rPr>
        <w:t>є:</w:t>
      </w:r>
    </w:p>
    <w:p w14:paraId="1BB64B04" w14:textId="77777777" w:rsidR="0097612F" w:rsidRPr="000977F7" w:rsidRDefault="0097612F" w:rsidP="00FD39A4">
      <w:pPr>
        <w:pStyle w:val="ac"/>
        <w:widowControl w:val="0"/>
        <w:numPr>
          <w:ilvl w:val="1"/>
          <w:numId w:val="180"/>
        </w:numPr>
        <w:tabs>
          <w:tab w:val="left" w:pos="284"/>
          <w:tab w:val="left" w:pos="43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реалізація єдиної технічної політики</w:t>
      </w:r>
      <w:r w:rsidRPr="000977F7">
        <w:rPr>
          <w:rFonts w:asciiTheme="majorHAnsi" w:hAnsiTheme="majorHAnsi"/>
          <w:spacing w:val="1"/>
          <w:sz w:val="20"/>
          <w:szCs w:val="20"/>
        </w:rPr>
        <w:t xml:space="preserve"> </w:t>
      </w:r>
      <w:r w:rsidRPr="000977F7">
        <w:rPr>
          <w:rFonts w:asciiTheme="majorHAnsi" w:hAnsiTheme="majorHAnsi"/>
          <w:sz w:val="20"/>
          <w:szCs w:val="20"/>
        </w:rPr>
        <w:t>у сфері 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метрології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сертифікації;</w:t>
      </w:r>
    </w:p>
    <w:p w14:paraId="3B689C90" w14:textId="77777777" w:rsidR="0097612F" w:rsidRPr="000977F7" w:rsidRDefault="0097612F" w:rsidP="00FD39A4">
      <w:pPr>
        <w:pStyle w:val="ac"/>
        <w:widowControl w:val="0"/>
        <w:numPr>
          <w:ilvl w:val="1"/>
          <w:numId w:val="180"/>
        </w:numPr>
        <w:tabs>
          <w:tab w:val="left" w:pos="284"/>
          <w:tab w:val="left" w:pos="45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захист інтересів споживача і держави з питань безпечності продукції (процесів, робіт, послуг) для життя, здоров’я та майна громадян, охорони навколишнього природного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p>
    <w:p w14:paraId="374B1E6C" w14:textId="77777777" w:rsidR="0097612F" w:rsidRPr="000977F7" w:rsidRDefault="0097612F" w:rsidP="00FD39A4">
      <w:pPr>
        <w:pStyle w:val="ac"/>
        <w:widowControl w:val="0"/>
        <w:numPr>
          <w:ilvl w:val="1"/>
          <w:numId w:val="180"/>
        </w:numPr>
        <w:tabs>
          <w:tab w:val="left" w:pos="284"/>
          <w:tab w:val="left" w:pos="45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забезпечення якості продукції виходячи з досягнень</w:t>
      </w:r>
      <w:r w:rsidRPr="000977F7">
        <w:rPr>
          <w:rFonts w:asciiTheme="majorHAnsi" w:hAnsiTheme="majorHAnsi"/>
          <w:spacing w:val="1"/>
          <w:sz w:val="20"/>
          <w:szCs w:val="20"/>
        </w:rPr>
        <w:t xml:space="preserve"> </w:t>
      </w:r>
      <w:r w:rsidRPr="000977F7">
        <w:rPr>
          <w:rFonts w:asciiTheme="majorHAnsi" w:hAnsiTheme="majorHAnsi"/>
          <w:sz w:val="20"/>
          <w:szCs w:val="20"/>
        </w:rPr>
        <w:t>науки і техніки, потреб населення і народного господарства;</w:t>
      </w:r>
    </w:p>
    <w:p w14:paraId="57DAF478" w14:textId="77777777" w:rsidR="0097612F" w:rsidRPr="000977F7" w:rsidRDefault="0097612F" w:rsidP="00FD39A4">
      <w:pPr>
        <w:pStyle w:val="ac"/>
        <w:widowControl w:val="0"/>
        <w:numPr>
          <w:ilvl w:val="1"/>
          <w:numId w:val="180"/>
        </w:numPr>
        <w:tabs>
          <w:tab w:val="left" w:pos="284"/>
          <w:tab w:val="left" w:pos="46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забезпечення уніфікації, сумісності та взаємозамінності</w:t>
      </w:r>
      <w:r w:rsidRPr="000977F7">
        <w:rPr>
          <w:rFonts w:asciiTheme="majorHAnsi" w:hAnsiTheme="majorHAnsi"/>
          <w:spacing w:val="-2"/>
          <w:sz w:val="20"/>
          <w:szCs w:val="20"/>
        </w:rPr>
        <w:t xml:space="preserve"> </w:t>
      </w:r>
      <w:r w:rsidRPr="000977F7">
        <w:rPr>
          <w:rFonts w:asciiTheme="majorHAnsi" w:hAnsiTheme="majorHAnsi"/>
          <w:sz w:val="20"/>
          <w:szCs w:val="20"/>
        </w:rPr>
        <w:t>продукції, її</w:t>
      </w:r>
      <w:r w:rsidRPr="000977F7">
        <w:rPr>
          <w:rFonts w:asciiTheme="majorHAnsi" w:hAnsiTheme="majorHAnsi"/>
          <w:spacing w:val="-1"/>
          <w:sz w:val="20"/>
          <w:szCs w:val="20"/>
        </w:rPr>
        <w:t xml:space="preserve"> </w:t>
      </w:r>
      <w:r w:rsidRPr="000977F7">
        <w:rPr>
          <w:rFonts w:asciiTheme="majorHAnsi" w:hAnsiTheme="majorHAnsi"/>
          <w:sz w:val="20"/>
          <w:szCs w:val="20"/>
        </w:rPr>
        <w:t>надійності;</w:t>
      </w:r>
    </w:p>
    <w:p w14:paraId="05E17444" w14:textId="77777777" w:rsidR="0097612F" w:rsidRPr="000977F7" w:rsidRDefault="0097612F" w:rsidP="00FD39A4">
      <w:pPr>
        <w:pStyle w:val="ac"/>
        <w:widowControl w:val="0"/>
        <w:numPr>
          <w:ilvl w:val="1"/>
          <w:numId w:val="180"/>
        </w:numPr>
        <w:tabs>
          <w:tab w:val="left" w:pos="284"/>
          <w:tab w:val="left" w:pos="46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раціональне використання всіх видів ресурсів, підвищення техніко-економічних показників виробництва;</w:t>
      </w:r>
    </w:p>
    <w:p w14:paraId="353611EC" w14:textId="77777777" w:rsidR="0097612F" w:rsidRPr="000977F7" w:rsidRDefault="0097612F" w:rsidP="00FD39A4">
      <w:pPr>
        <w:pStyle w:val="ac"/>
        <w:widowControl w:val="0"/>
        <w:numPr>
          <w:ilvl w:val="1"/>
          <w:numId w:val="180"/>
        </w:numPr>
        <w:tabs>
          <w:tab w:val="left" w:pos="284"/>
          <w:tab w:val="left" w:pos="43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безпека народногосподарських об’єктів і запобігання</w:t>
      </w:r>
      <w:r w:rsidRPr="000977F7">
        <w:rPr>
          <w:rFonts w:asciiTheme="majorHAnsi" w:hAnsiTheme="majorHAnsi"/>
          <w:spacing w:val="-47"/>
          <w:sz w:val="20"/>
          <w:szCs w:val="20"/>
        </w:rPr>
        <w:t xml:space="preserve"> </w:t>
      </w:r>
      <w:r w:rsidRPr="000977F7">
        <w:rPr>
          <w:rFonts w:asciiTheme="majorHAnsi" w:hAnsiTheme="majorHAnsi"/>
          <w:sz w:val="20"/>
          <w:szCs w:val="20"/>
        </w:rPr>
        <w:t>аварій та техногенних катастроф з урахуванням ступеня</w:t>
      </w:r>
      <w:r w:rsidRPr="000977F7">
        <w:rPr>
          <w:rFonts w:asciiTheme="majorHAnsi" w:hAnsiTheme="majorHAnsi"/>
          <w:spacing w:val="-4"/>
          <w:sz w:val="20"/>
          <w:szCs w:val="20"/>
        </w:rPr>
        <w:t xml:space="preserve"> </w:t>
      </w:r>
      <w:r w:rsidRPr="000977F7">
        <w:rPr>
          <w:rFonts w:asciiTheme="majorHAnsi" w:hAnsiTheme="majorHAnsi"/>
          <w:sz w:val="20"/>
          <w:szCs w:val="20"/>
        </w:rPr>
        <w:t>ризику</w:t>
      </w:r>
      <w:r w:rsidRPr="000977F7">
        <w:rPr>
          <w:rFonts w:asciiTheme="majorHAnsi" w:hAnsiTheme="majorHAnsi"/>
          <w:spacing w:val="-7"/>
          <w:sz w:val="20"/>
          <w:szCs w:val="20"/>
        </w:rPr>
        <w:t xml:space="preserve"> </w:t>
      </w:r>
      <w:r w:rsidRPr="000977F7">
        <w:rPr>
          <w:rFonts w:asciiTheme="majorHAnsi" w:hAnsiTheme="majorHAnsi"/>
          <w:sz w:val="20"/>
          <w:szCs w:val="20"/>
        </w:rPr>
        <w:t>виникнення</w:t>
      </w:r>
      <w:r w:rsidRPr="000977F7">
        <w:rPr>
          <w:rFonts w:asciiTheme="majorHAnsi" w:hAnsiTheme="majorHAnsi"/>
          <w:spacing w:val="-4"/>
          <w:sz w:val="20"/>
          <w:szCs w:val="20"/>
        </w:rPr>
        <w:t xml:space="preserve"> </w:t>
      </w:r>
      <w:r w:rsidRPr="000977F7">
        <w:rPr>
          <w:rFonts w:asciiTheme="majorHAnsi" w:hAnsiTheme="majorHAnsi"/>
          <w:sz w:val="20"/>
          <w:szCs w:val="20"/>
        </w:rPr>
        <w:t>природних</w:t>
      </w:r>
      <w:r w:rsidRPr="000977F7">
        <w:rPr>
          <w:rFonts w:asciiTheme="majorHAnsi" w:hAnsiTheme="majorHAnsi"/>
          <w:spacing w:val="-2"/>
          <w:sz w:val="20"/>
          <w:szCs w:val="20"/>
        </w:rPr>
        <w:t xml:space="preserve"> </w:t>
      </w:r>
      <w:r w:rsidRPr="000977F7">
        <w:rPr>
          <w:rFonts w:asciiTheme="majorHAnsi" w:hAnsiTheme="majorHAnsi"/>
          <w:sz w:val="20"/>
          <w:szCs w:val="20"/>
        </w:rPr>
        <w:t>катаклізмів</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765A4D91" w14:textId="77777777" w:rsidR="0097612F" w:rsidRPr="000977F7" w:rsidRDefault="0097612F" w:rsidP="00FD39A4">
      <w:pPr>
        <w:pStyle w:val="ac"/>
        <w:widowControl w:val="0"/>
        <w:numPr>
          <w:ilvl w:val="1"/>
          <w:numId w:val="180"/>
        </w:numPr>
        <w:tabs>
          <w:tab w:val="left" w:pos="284"/>
          <w:tab w:val="left" w:pos="47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pacing w:val="-1"/>
          <w:sz w:val="20"/>
          <w:szCs w:val="20"/>
        </w:rPr>
        <w:t xml:space="preserve">створення нормативної бази функціонування </w:t>
      </w:r>
      <w:r w:rsidRPr="000977F7">
        <w:rPr>
          <w:rFonts w:asciiTheme="majorHAnsi" w:hAnsiTheme="majorHAnsi"/>
          <w:sz w:val="20"/>
          <w:szCs w:val="20"/>
        </w:rPr>
        <w:t>систем</w:t>
      </w:r>
      <w:r w:rsidRPr="000977F7">
        <w:rPr>
          <w:rFonts w:asciiTheme="majorHAnsi" w:hAnsiTheme="majorHAnsi"/>
          <w:spacing w:val="1"/>
          <w:sz w:val="20"/>
          <w:szCs w:val="20"/>
        </w:rPr>
        <w:t xml:space="preserve"> </w:t>
      </w:r>
      <w:r w:rsidRPr="000977F7">
        <w:rPr>
          <w:rFonts w:asciiTheme="majorHAnsi" w:hAnsiTheme="majorHAnsi"/>
          <w:spacing w:val="-1"/>
          <w:sz w:val="20"/>
          <w:szCs w:val="20"/>
        </w:rPr>
        <w:t xml:space="preserve">стандартизації </w:t>
      </w:r>
      <w:r w:rsidRPr="000977F7">
        <w:rPr>
          <w:rFonts w:asciiTheme="majorHAnsi" w:hAnsiTheme="majorHAnsi"/>
          <w:sz w:val="20"/>
          <w:szCs w:val="20"/>
        </w:rPr>
        <w:t>та сертифікації продукції, проведення</w:t>
      </w:r>
      <w:r w:rsidRPr="000977F7">
        <w:rPr>
          <w:rFonts w:asciiTheme="majorHAnsi" w:hAnsiTheme="majorHAnsi"/>
          <w:spacing w:val="1"/>
          <w:sz w:val="20"/>
          <w:szCs w:val="20"/>
        </w:rPr>
        <w:t xml:space="preserve"> </w:t>
      </w:r>
      <w:r w:rsidRPr="000977F7">
        <w:rPr>
          <w:rFonts w:asciiTheme="majorHAnsi" w:hAnsiTheme="majorHAnsi"/>
          <w:w w:val="95"/>
          <w:sz w:val="20"/>
          <w:szCs w:val="20"/>
        </w:rPr>
        <w:t>державної політики в сфері ресурсозаощадження (в тому</w:t>
      </w:r>
      <w:r w:rsidRPr="000977F7">
        <w:rPr>
          <w:rFonts w:asciiTheme="majorHAnsi" w:hAnsiTheme="majorHAnsi"/>
          <w:spacing w:val="1"/>
          <w:w w:val="95"/>
          <w:sz w:val="20"/>
          <w:szCs w:val="20"/>
        </w:rPr>
        <w:t xml:space="preserve"> </w:t>
      </w:r>
      <w:r w:rsidRPr="000977F7">
        <w:rPr>
          <w:rFonts w:asciiTheme="majorHAnsi" w:hAnsiTheme="majorHAnsi"/>
          <w:sz w:val="20"/>
          <w:szCs w:val="20"/>
        </w:rPr>
        <w:t>числі застосування малої безвідходних технологій),</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 та виконання державних і міждержавних</w:t>
      </w:r>
      <w:r w:rsidRPr="000977F7">
        <w:rPr>
          <w:rFonts w:asciiTheme="majorHAnsi" w:hAnsiTheme="majorHAnsi"/>
          <w:spacing w:val="1"/>
          <w:sz w:val="20"/>
          <w:szCs w:val="20"/>
        </w:rPr>
        <w:t xml:space="preserve"> </w:t>
      </w:r>
      <w:r w:rsidRPr="000977F7">
        <w:rPr>
          <w:rFonts w:asciiTheme="majorHAnsi" w:hAnsiTheme="majorHAnsi"/>
          <w:w w:val="95"/>
          <w:sz w:val="20"/>
          <w:szCs w:val="20"/>
        </w:rPr>
        <w:t>соціально-економічних</w:t>
      </w:r>
      <w:r w:rsidRPr="000977F7">
        <w:rPr>
          <w:rFonts w:asciiTheme="majorHAnsi" w:hAnsiTheme="majorHAnsi"/>
          <w:spacing w:val="-3"/>
          <w:w w:val="95"/>
          <w:sz w:val="20"/>
          <w:szCs w:val="20"/>
        </w:rPr>
        <w:t xml:space="preserve"> </w:t>
      </w:r>
      <w:r w:rsidRPr="000977F7">
        <w:rPr>
          <w:rFonts w:asciiTheme="majorHAnsi" w:hAnsiTheme="majorHAnsi"/>
          <w:w w:val="95"/>
          <w:sz w:val="20"/>
          <w:szCs w:val="20"/>
        </w:rPr>
        <w:t>і</w:t>
      </w:r>
      <w:r w:rsidRPr="000977F7">
        <w:rPr>
          <w:rFonts w:asciiTheme="majorHAnsi" w:hAnsiTheme="majorHAnsi"/>
          <w:spacing w:val="-2"/>
          <w:w w:val="95"/>
          <w:sz w:val="20"/>
          <w:szCs w:val="20"/>
        </w:rPr>
        <w:t xml:space="preserve"> </w:t>
      </w:r>
      <w:r w:rsidRPr="000977F7">
        <w:rPr>
          <w:rFonts w:asciiTheme="majorHAnsi" w:hAnsiTheme="majorHAnsi"/>
          <w:w w:val="95"/>
          <w:sz w:val="20"/>
          <w:szCs w:val="20"/>
        </w:rPr>
        <w:t>науково-технічних</w:t>
      </w:r>
      <w:r w:rsidRPr="000977F7">
        <w:rPr>
          <w:rFonts w:asciiTheme="majorHAnsi" w:hAnsiTheme="majorHAnsi"/>
          <w:spacing w:val="-1"/>
          <w:w w:val="95"/>
          <w:sz w:val="20"/>
          <w:szCs w:val="20"/>
        </w:rPr>
        <w:t xml:space="preserve"> </w:t>
      </w:r>
      <w:r w:rsidRPr="000977F7">
        <w:rPr>
          <w:rFonts w:asciiTheme="majorHAnsi" w:hAnsiTheme="majorHAnsi"/>
          <w:w w:val="95"/>
          <w:sz w:val="20"/>
          <w:szCs w:val="20"/>
        </w:rPr>
        <w:t>програм;</w:t>
      </w:r>
    </w:p>
    <w:p w14:paraId="015EB4C8" w14:textId="77777777" w:rsidR="0097612F" w:rsidRPr="000977F7" w:rsidRDefault="0097612F" w:rsidP="00FD39A4">
      <w:pPr>
        <w:pStyle w:val="ac"/>
        <w:widowControl w:val="0"/>
        <w:numPr>
          <w:ilvl w:val="1"/>
          <w:numId w:val="180"/>
        </w:numPr>
        <w:tabs>
          <w:tab w:val="left" w:pos="284"/>
          <w:tab w:val="left" w:pos="49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усунення</w:t>
      </w:r>
      <w:r w:rsidRPr="000977F7">
        <w:rPr>
          <w:rFonts w:asciiTheme="majorHAnsi" w:hAnsiTheme="majorHAnsi"/>
          <w:spacing w:val="1"/>
          <w:sz w:val="20"/>
          <w:szCs w:val="20"/>
        </w:rPr>
        <w:t xml:space="preserve"> </w:t>
      </w:r>
      <w:r w:rsidRPr="000977F7">
        <w:rPr>
          <w:rFonts w:asciiTheme="majorHAnsi" w:hAnsiTheme="majorHAnsi"/>
          <w:sz w:val="20"/>
          <w:szCs w:val="20"/>
        </w:rPr>
        <w:t>технічних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термінологічних</w:t>
      </w:r>
      <w:r w:rsidRPr="000977F7">
        <w:rPr>
          <w:rFonts w:asciiTheme="majorHAnsi" w:hAnsiTheme="majorHAnsi"/>
          <w:spacing w:val="1"/>
          <w:sz w:val="20"/>
          <w:szCs w:val="20"/>
        </w:rPr>
        <w:t xml:space="preserve"> </w:t>
      </w:r>
      <w:r w:rsidRPr="000977F7">
        <w:rPr>
          <w:rFonts w:asciiTheme="majorHAnsi" w:hAnsiTheme="majorHAnsi"/>
          <w:sz w:val="20"/>
          <w:szCs w:val="20"/>
        </w:rPr>
        <w:t>перешкод</w:t>
      </w:r>
      <w:r w:rsidRPr="000977F7">
        <w:rPr>
          <w:rFonts w:asciiTheme="majorHAnsi" w:hAnsiTheme="majorHAnsi"/>
          <w:spacing w:val="-47"/>
          <w:sz w:val="20"/>
          <w:szCs w:val="20"/>
        </w:rPr>
        <w:t xml:space="preserve"> </w:t>
      </w:r>
      <w:r w:rsidRPr="000977F7">
        <w:rPr>
          <w:rFonts w:asciiTheme="majorHAnsi" w:hAnsiTheme="majorHAnsi"/>
          <w:sz w:val="20"/>
          <w:szCs w:val="20"/>
        </w:rPr>
        <w:t>для створення конкурентоспроможної продукції та її</w:t>
      </w:r>
      <w:r w:rsidRPr="000977F7">
        <w:rPr>
          <w:rFonts w:asciiTheme="majorHAnsi" w:hAnsiTheme="majorHAnsi"/>
          <w:spacing w:val="1"/>
          <w:sz w:val="20"/>
          <w:szCs w:val="20"/>
        </w:rPr>
        <w:t xml:space="preserve"> </w:t>
      </w:r>
      <w:r w:rsidRPr="000977F7">
        <w:rPr>
          <w:rFonts w:asciiTheme="majorHAnsi" w:hAnsiTheme="majorHAnsi"/>
          <w:sz w:val="20"/>
          <w:szCs w:val="20"/>
        </w:rPr>
        <w:t>виходу</w:t>
      </w:r>
      <w:r w:rsidRPr="000977F7">
        <w:rPr>
          <w:rFonts w:asciiTheme="majorHAnsi" w:hAnsiTheme="majorHAnsi"/>
          <w:spacing w:val="-2"/>
          <w:sz w:val="20"/>
          <w:szCs w:val="20"/>
        </w:rPr>
        <w:t xml:space="preserve"> </w:t>
      </w:r>
      <w:r w:rsidRPr="000977F7">
        <w:rPr>
          <w:rFonts w:asciiTheme="majorHAnsi" w:hAnsiTheme="majorHAnsi"/>
          <w:sz w:val="20"/>
          <w:szCs w:val="20"/>
        </w:rPr>
        <w:t>на світовий</w:t>
      </w:r>
      <w:r w:rsidRPr="000977F7">
        <w:rPr>
          <w:rFonts w:asciiTheme="majorHAnsi" w:hAnsiTheme="majorHAnsi"/>
          <w:spacing w:val="-1"/>
          <w:sz w:val="20"/>
          <w:szCs w:val="20"/>
        </w:rPr>
        <w:t xml:space="preserve"> </w:t>
      </w:r>
      <w:r w:rsidRPr="000977F7">
        <w:rPr>
          <w:rFonts w:asciiTheme="majorHAnsi" w:hAnsiTheme="majorHAnsi"/>
          <w:sz w:val="20"/>
          <w:szCs w:val="20"/>
        </w:rPr>
        <w:t>ринок;</w:t>
      </w:r>
    </w:p>
    <w:p w14:paraId="294A0EEF" w14:textId="77777777" w:rsidR="0097612F" w:rsidRPr="000977F7" w:rsidRDefault="0097612F" w:rsidP="00FD39A4">
      <w:pPr>
        <w:pStyle w:val="ac"/>
        <w:widowControl w:val="0"/>
        <w:numPr>
          <w:ilvl w:val="1"/>
          <w:numId w:val="180"/>
        </w:numPr>
        <w:tabs>
          <w:tab w:val="left" w:pos="284"/>
          <w:tab w:val="left" w:pos="45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впровадження і використання сучасних виробничих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інформаційних</w:t>
      </w:r>
      <w:r w:rsidRPr="000977F7">
        <w:rPr>
          <w:rFonts w:asciiTheme="majorHAnsi" w:hAnsiTheme="majorHAnsi"/>
          <w:spacing w:val="1"/>
          <w:sz w:val="20"/>
          <w:szCs w:val="20"/>
        </w:rPr>
        <w:t xml:space="preserve"> </w:t>
      </w:r>
      <w:r w:rsidRPr="000977F7">
        <w:rPr>
          <w:rFonts w:asciiTheme="majorHAnsi" w:hAnsiTheme="majorHAnsi"/>
          <w:sz w:val="20"/>
          <w:szCs w:val="20"/>
        </w:rPr>
        <w:t>технологій;</w:t>
      </w:r>
    </w:p>
    <w:p w14:paraId="192BBC19" w14:textId="77777777" w:rsidR="0097612F" w:rsidRPr="000977F7" w:rsidRDefault="0097612F" w:rsidP="00FD39A4">
      <w:pPr>
        <w:pStyle w:val="ac"/>
        <w:widowControl w:val="0"/>
        <w:numPr>
          <w:ilvl w:val="1"/>
          <w:numId w:val="180"/>
        </w:numPr>
        <w:tabs>
          <w:tab w:val="left" w:pos="284"/>
          <w:tab w:val="left" w:pos="45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сприяння забезпеченню обороноздатності та мобілізаційної</w:t>
      </w:r>
      <w:r w:rsidRPr="000977F7">
        <w:rPr>
          <w:rFonts w:asciiTheme="majorHAnsi" w:hAnsiTheme="majorHAnsi"/>
          <w:spacing w:val="-2"/>
          <w:sz w:val="20"/>
          <w:szCs w:val="20"/>
        </w:rPr>
        <w:t xml:space="preserve"> </w:t>
      </w:r>
      <w:r w:rsidRPr="000977F7">
        <w:rPr>
          <w:rFonts w:asciiTheme="majorHAnsi" w:hAnsiTheme="majorHAnsi"/>
          <w:sz w:val="20"/>
          <w:szCs w:val="20"/>
        </w:rPr>
        <w:t>готовності</w:t>
      </w:r>
      <w:r w:rsidRPr="000977F7">
        <w:rPr>
          <w:rFonts w:asciiTheme="majorHAnsi" w:hAnsiTheme="majorHAnsi"/>
          <w:spacing w:val="-1"/>
          <w:sz w:val="20"/>
          <w:szCs w:val="20"/>
        </w:rPr>
        <w:t xml:space="preserve"> </w:t>
      </w:r>
      <w:r w:rsidRPr="000977F7">
        <w:rPr>
          <w:rFonts w:asciiTheme="majorHAnsi" w:hAnsiTheme="majorHAnsi"/>
          <w:sz w:val="20"/>
          <w:szCs w:val="20"/>
        </w:rPr>
        <w:t>країни</w:t>
      </w:r>
    </w:p>
    <w:p w14:paraId="3DDBBED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ОСНОВНА</w:t>
      </w:r>
      <w:r w:rsidRPr="000977F7">
        <w:rPr>
          <w:color w:val="auto"/>
          <w:spacing w:val="-4"/>
          <w:sz w:val="20"/>
          <w:szCs w:val="20"/>
        </w:rPr>
        <w:t xml:space="preserve"> </w:t>
      </w:r>
      <w:r w:rsidRPr="000977F7">
        <w:rPr>
          <w:color w:val="auto"/>
          <w:sz w:val="20"/>
          <w:szCs w:val="20"/>
        </w:rPr>
        <w:t>ОДИНИЦЯ</w:t>
      </w:r>
      <w:r w:rsidRPr="000977F7">
        <w:rPr>
          <w:color w:val="auto"/>
          <w:spacing w:val="-4"/>
          <w:sz w:val="20"/>
          <w:szCs w:val="20"/>
        </w:rPr>
        <w:t xml:space="preserve"> </w:t>
      </w:r>
      <w:r w:rsidRPr="000977F7">
        <w:rPr>
          <w:color w:val="auto"/>
          <w:sz w:val="20"/>
          <w:szCs w:val="20"/>
        </w:rPr>
        <w:t>СИСТЕМИ</w:t>
      </w:r>
      <w:r w:rsidRPr="000977F7">
        <w:rPr>
          <w:color w:val="auto"/>
          <w:spacing w:val="-3"/>
          <w:sz w:val="20"/>
          <w:szCs w:val="20"/>
        </w:rPr>
        <w:t xml:space="preserve"> </w:t>
      </w:r>
      <w:r w:rsidRPr="000977F7">
        <w:rPr>
          <w:color w:val="auto"/>
          <w:sz w:val="20"/>
          <w:szCs w:val="20"/>
        </w:rPr>
        <w:t>ОДИНИЦЬ</w:t>
      </w:r>
      <w:r w:rsidRPr="000977F7">
        <w:rPr>
          <w:color w:val="auto"/>
          <w:spacing w:val="2"/>
          <w:sz w:val="20"/>
          <w:szCs w:val="20"/>
        </w:rPr>
        <w:t xml:space="preserve"> </w:t>
      </w:r>
      <w:r w:rsidRPr="000977F7">
        <w:rPr>
          <w:color w:val="auto"/>
          <w:sz w:val="20"/>
          <w:szCs w:val="20"/>
        </w:rPr>
        <w:t>–</w:t>
      </w:r>
    </w:p>
    <w:p w14:paraId="3234552B"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z w:val="20"/>
          <w:szCs w:val="20"/>
        </w:rPr>
        <w:t>BASE</w:t>
      </w:r>
      <w:r w:rsidRPr="000977F7">
        <w:rPr>
          <w:rFonts w:asciiTheme="majorHAnsi" w:hAnsiTheme="majorHAnsi"/>
          <w:spacing w:val="-2"/>
          <w:sz w:val="20"/>
          <w:szCs w:val="20"/>
        </w:rPr>
        <w:t xml:space="preserve"> </w:t>
      </w:r>
      <w:r w:rsidRPr="000977F7">
        <w:rPr>
          <w:rFonts w:asciiTheme="majorHAnsi" w:hAnsiTheme="majorHAnsi"/>
          <w:sz w:val="20"/>
          <w:szCs w:val="20"/>
        </w:rPr>
        <w:t>UNIT</w:t>
      </w:r>
      <w:r w:rsidRPr="000977F7">
        <w:rPr>
          <w:rFonts w:asciiTheme="majorHAnsi" w:hAnsiTheme="majorHAnsi"/>
          <w:spacing w:val="1"/>
          <w:sz w:val="20"/>
          <w:szCs w:val="20"/>
        </w:rPr>
        <w:t xml:space="preserve"> </w:t>
      </w:r>
      <w:r w:rsidRPr="000977F7">
        <w:rPr>
          <w:rFonts w:asciiTheme="majorHAnsi" w:hAnsiTheme="majorHAnsi"/>
          <w:b/>
          <w:sz w:val="20"/>
          <w:szCs w:val="20"/>
        </w:rPr>
        <w:t>–</w:t>
      </w:r>
    </w:p>
    <w:p w14:paraId="1CB430B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Одиниця основної фізичної величини в певній системі</w:t>
      </w:r>
      <w:r w:rsidRPr="000977F7">
        <w:rPr>
          <w:rFonts w:asciiTheme="majorHAnsi" w:hAnsiTheme="majorHAnsi"/>
          <w:spacing w:val="-47"/>
          <w:sz w:val="20"/>
          <w:szCs w:val="20"/>
        </w:rPr>
        <w:t xml:space="preserve"> </w:t>
      </w:r>
      <w:r w:rsidRPr="000977F7">
        <w:rPr>
          <w:rFonts w:asciiTheme="majorHAnsi" w:hAnsiTheme="majorHAnsi"/>
          <w:sz w:val="20"/>
          <w:szCs w:val="20"/>
        </w:rPr>
        <w:t>величин</w:t>
      </w:r>
    </w:p>
    <w:p w14:paraId="47BE552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2681 – 94</w:t>
      </w:r>
    </w:p>
    <w:p w14:paraId="6BD6274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ОСНОВНА</w:t>
      </w:r>
      <w:r w:rsidRPr="000977F7">
        <w:rPr>
          <w:color w:val="auto"/>
          <w:spacing w:val="-7"/>
          <w:sz w:val="20"/>
          <w:szCs w:val="20"/>
        </w:rPr>
        <w:t xml:space="preserve"> </w:t>
      </w:r>
      <w:r w:rsidRPr="000977F7">
        <w:rPr>
          <w:color w:val="auto"/>
          <w:sz w:val="20"/>
          <w:szCs w:val="20"/>
        </w:rPr>
        <w:t>ОЗНАКА</w:t>
      </w:r>
      <w:r w:rsidRPr="000977F7">
        <w:rPr>
          <w:color w:val="auto"/>
          <w:spacing w:val="-7"/>
          <w:sz w:val="20"/>
          <w:szCs w:val="20"/>
        </w:rPr>
        <w:t xml:space="preserve"> </w:t>
      </w:r>
      <w:r w:rsidRPr="000977F7">
        <w:rPr>
          <w:color w:val="auto"/>
          <w:sz w:val="20"/>
          <w:szCs w:val="20"/>
        </w:rPr>
        <w:t>(ОСНОВНИЙ</w:t>
      </w:r>
      <w:r w:rsidRPr="000977F7">
        <w:rPr>
          <w:color w:val="auto"/>
          <w:spacing w:val="-9"/>
          <w:sz w:val="20"/>
          <w:szCs w:val="20"/>
        </w:rPr>
        <w:t xml:space="preserve"> </w:t>
      </w:r>
      <w:r w:rsidRPr="000977F7">
        <w:rPr>
          <w:color w:val="auto"/>
          <w:sz w:val="20"/>
          <w:szCs w:val="20"/>
        </w:rPr>
        <w:t>ПАРАМЕТР)</w:t>
      </w:r>
      <w:r w:rsidRPr="000977F7">
        <w:rPr>
          <w:color w:val="auto"/>
          <w:spacing w:val="-47"/>
          <w:sz w:val="20"/>
          <w:szCs w:val="20"/>
        </w:rPr>
        <w:t xml:space="preserve"> </w:t>
      </w:r>
      <w:r w:rsidRPr="000977F7">
        <w:rPr>
          <w:color w:val="auto"/>
          <w:sz w:val="20"/>
          <w:szCs w:val="20"/>
        </w:rPr>
        <w:t>ДІЯННЯ –</w:t>
      </w:r>
    </w:p>
    <w:p w14:paraId="11AE257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MAIN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FEATURE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(PARAMETER)</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THE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ACTION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60E009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Ознака</w:t>
      </w:r>
      <w:r w:rsidRPr="000977F7">
        <w:rPr>
          <w:rFonts w:asciiTheme="majorHAnsi" w:hAnsiTheme="majorHAnsi"/>
          <w:spacing w:val="-6"/>
          <w:sz w:val="20"/>
          <w:szCs w:val="20"/>
        </w:rPr>
        <w:t xml:space="preserve"> </w:t>
      </w:r>
      <w:r w:rsidRPr="000977F7">
        <w:rPr>
          <w:rFonts w:asciiTheme="majorHAnsi" w:hAnsiTheme="majorHAnsi"/>
          <w:sz w:val="20"/>
          <w:szCs w:val="20"/>
        </w:rPr>
        <w:t>(параметр)</w:t>
      </w:r>
      <w:r w:rsidRPr="000977F7">
        <w:rPr>
          <w:rFonts w:asciiTheme="majorHAnsi" w:hAnsiTheme="majorHAnsi"/>
          <w:spacing w:val="-5"/>
          <w:sz w:val="20"/>
          <w:szCs w:val="20"/>
        </w:rPr>
        <w:t xml:space="preserve"> </w:t>
      </w:r>
      <w:r w:rsidRPr="000977F7">
        <w:rPr>
          <w:rFonts w:asciiTheme="majorHAnsi" w:hAnsiTheme="majorHAnsi"/>
          <w:sz w:val="20"/>
          <w:szCs w:val="20"/>
        </w:rPr>
        <w:t>діяння,</w:t>
      </w:r>
      <w:r w:rsidRPr="000977F7">
        <w:rPr>
          <w:rFonts w:asciiTheme="majorHAnsi" w:hAnsiTheme="majorHAnsi"/>
          <w:spacing w:val="-5"/>
          <w:sz w:val="20"/>
          <w:szCs w:val="20"/>
        </w:rPr>
        <w:t xml:space="preserve"> </w:t>
      </w:r>
      <w:r w:rsidRPr="000977F7">
        <w:rPr>
          <w:rFonts w:asciiTheme="majorHAnsi" w:hAnsiTheme="majorHAnsi"/>
          <w:sz w:val="20"/>
          <w:szCs w:val="20"/>
        </w:rPr>
        <w:t>що</w:t>
      </w:r>
      <w:r w:rsidRPr="000977F7">
        <w:rPr>
          <w:rFonts w:asciiTheme="majorHAnsi" w:hAnsiTheme="majorHAnsi"/>
          <w:spacing w:val="-4"/>
          <w:sz w:val="20"/>
          <w:szCs w:val="20"/>
        </w:rPr>
        <w:t xml:space="preserve"> </w:t>
      </w:r>
      <w:r w:rsidRPr="000977F7">
        <w:rPr>
          <w:rFonts w:asciiTheme="majorHAnsi" w:hAnsiTheme="majorHAnsi"/>
          <w:sz w:val="20"/>
          <w:szCs w:val="20"/>
        </w:rPr>
        <w:t>найповніше</w:t>
      </w:r>
      <w:r w:rsidRPr="000977F7">
        <w:rPr>
          <w:rFonts w:asciiTheme="majorHAnsi" w:hAnsiTheme="majorHAnsi"/>
          <w:spacing w:val="-4"/>
          <w:sz w:val="20"/>
          <w:szCs w:val="20"/>
        </w:rPr>
        <w:t xml:space="preserve"> </w:t>
      </w:r>
      <w:r w:rsidRPr="000977F7">
        <w:rPr>
          <w:rFonts w:asciiTheme="majorHAnsi" w:hAnsiTheme="majorHAnsi"/>
          <w:sz w:val="20"/>
          <w:szCs w:val="20"/>
        </w:rPr>
        <w:t>відбиває</w:t>
      </w:r>
      <w:r w:rsidRPr="000977F7">
        <w:rPr>
          <w:rFonts w:asciiTheme="majorHAnsi" w:hAnsiTheme="majorHAnsi"/>
          <w:spacing w:val="-47"/>
          <w:sz w:val="20"/>
          <w:szCs w:val="20"/>
        </w:rPr>
        <w:t xml:space="preserve"> </w:t>
      </w:r>
      <w:r w:rsidRPr="000977F7">
        <w:rPr>
          <w:rFonts w:asciiTheme="majorHAnsi" w:hAnsiTheme="majorHAnsi"/>
          <w:sz w:val="20"/>
          <w:szCs w:val="20"/>
        </w:rPr>
        <w:t>вплив</w:t>
      </w:r>
      <w:r w:rsidRPr="000977F7">
        <w:rPr>
          <w:rFonts w:asciiTheme="majorHAnsi" w:hAnsiTheme="majorHAnsi"/>
          <w:spacing w:val="1"/>
          <w:sz w:val="20"/>
          <w:szCs w:val="20"/>
        </w:rPr>
        <w:t xml:space="preserve"> </w:t>
      </w:r>
      <w:r w:rsidRPr="000977F7">
        <w:rPr>
          <w:rFonts w:asciiTheme="majorHAnsi" w:hAnsiTheme="majorHAnsi"/>
          <w:sz w:val="20"/>
          <w:szCs w:val="20"/>
        </w:rPr>
        <w:t>діяння</w:t>
      </w:r>
      <w:r w:rsidRPr="000977F7">
        <w:rPr>
          <w:rFonts w:asciiTheme="majorHAnsi" w:hAnsiTheme="majorHAnsi"/>
          <w:spacing w:val="-1"/>
          <w:sz w:val="20"/>
          <w:szCs w:val="20"/>
        </w:rPr>
        <w:t xml:space="preserve"> </w:t>
      </w:r>
      <w:r w:rsidRPr="000977F7">
        <w:rPr>
          <w:rFonts w:asciiTheme="majorHAnsi" w:hAnsiTheme="majorHAnsi"/>
          <w:sz w:val="20"/>
          <w:szCs w:val="20"/>
        </w:rPr>
        <w:t>на об’єкт</w:t>
      </w:r>
    </w:p>
    <w:p w14:paraId="0DCB8B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54BE727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Наприклад, для мікросхем постійної пам’яті, що стирається,</w:t>
      </w:r>
      <w:r w:rsidRPr="000977F7">
        <w:rPr>
          <w:rFonts w:asciiTheme="majorHAnsi" w:hAnsiTheme="majorHAnsi"/>
          <w:spacing w:val="-3"/>
          <w:sz w:val="20"/>
          <w:szCs w:val="20"/>
        </w:rPr>
        <w:t xml:space="preserve"> </w:t>
      </w:r>
      <w:r w:rsidRPr="000977F7">
        <w:rPr>
          <w:rFonts w:asciiTheme="majorHAnsi" w:hAnsiTheme="majorHAnsi"/>
          <w:sz w:val="20"/>
          <w:szCs w:val="20"/>
        </w:rPr>
        <w:t>основною</w:t>
      </w:r>
      <w:r w:rsidRPr="000977F7">
        <w:rPr>
          <w:rFonts w:asciiTheme="majorHAnsi" w:hAnsiTheme="majorHAnsi"/>
          <w:spacing w:val="44"/>
          <w:sz w:val="20"/>
          <w:szCs w:val="20"/>
        </w:rPr>
        <w:t xml:space="preserve"> </w:t>
      </w:r>
      <w:r w:rsidRPr="000977F7">
        <w:rPr>
          <w:rFonts w:asciiTheme="majorHAnsi" w:hAnsiTheme="majorHAnsi"/>
          <w:sz w:val="20"/>
          <w:szCs w:val="20"/>
        </w:rPr>
        <w:t>ознакою діяння</w:t>
      </w:r>
      <w:r w:rsidRPr="000977F7">
        <w:rPr>
          <w:rFonts w:asciiTheme="majorHAnsi" w:hAnsiTheme="majorHAnsi"/>
          <w:spacing w:val="-4"/>
          <w:sz w:val="20"/>
          <w:szCs w:val="20"/>
        </w:rPr>
        <w:t xml:space="preserve"> </w:t>
      </w:r>
      <w:r w:rsidRPr="000977F7">
        <w:rPr>
          <w:rFonts w:asciiTheme="majorHAnsi" w:hAnsiTheme="majorHAnsi"/>
          <w:sz w:val="20"/>
          <w:szCs w:val="20"/>
        </w:rPr>
        <w:t>є</w:t>
      </w:r>
      <w:r w:rsidRPr="000977F7">
        <w:rPr>
          <w:rFonts w:asciiTheme="majorHAnsi" w:hAnsiTheme="majorHAnsi"/>
          <w:spacing w:val="-2"/>
          <w:sz w:val="20"/>
          <w:szCs w:val="20"/>
        </w:rPr>
        <w:t xml:space="preserve"> </w:t>
      </w:r>
      <w:r w:rsidRPr="000977F7">
        <w:rPr>
          <w:rFonts w:asciiTheme="majorHAnsi" w:hAnsiTheme="majorHAnsi"/>
          <w:sz w:val="20"/>
          <w:szCs w:val="20"/>
        </w:rPr>
        <w:t>діапазон</w:t>
      </w:r>
      <w:r w:rsidRPr="000977F7">
        <w:rPr>
          <w:rFonts w:asciiTheme="majorHAnsi" w:hAnsiTheme="majorHAnsi"/>
          <w:spacing w:val="-3"/>
          <w:sz w:val="20"/>
          <w:szCs w:val="20"/>
        </w:rPr>
        <w:t xml:space="preserve"> </w:t>
      </w:r>
      <w:r w:rsidRPr="000977F7">
        <w:rPr>
          <w:rFonts w:asciiTheme="majorHAnsi" w:hAnsiTheme="majorHAnsi"/>
          <w:sz w:val="20"/>
          <w:szCs w:val="20"/>
        </w:rPr>
        <w:t>довжин</w:t>
      </w:r>
      <w:r w:rsidRPr="000977F7">
        <w:rPr>
          <w:rFonts w:asciiTheme="majorHAnsi" w:hAnsiTheme="majorHAnsi"/>
          <w:spacing w:val="-47"/>
          <w:sz w:val="20"/>
          <w:szCs w:val="20"/>
        </w:rPr>
        <w:t xml:space="preserve"> </w:t>
      </w:r>
      <w:r w:rsidRPr="000977F7">
        <w:rPr>
          <w:rFonts w:asciiTheme="majorHAnsi" w:hAnsiTheme="majorHAnsi"/>
          <w:sz w:val="20"/>
          <w:szCs w:val="20"/>
        </w:rPr>
        <w:t>електромагнітних хвиль, основним параметром – енергетична експозиція. Інші ознаки (наприклад, спектральний склад) і параметри діяння (енергетична освітленість, тривалість) не є визначальними з точки зору</w:t>
      </w:r>
      <w:r w:rsidRPr="000977F7">
        <w:rPr>
          <w:rFonts w:asciiTheme="majorHAnsi" w:hAnsiTheme="majorHAnsi"/>
          <w:spacing w:val="-47"/>
          <w:sz w:val="20"/>
          <w:szCs w:val="20"/>
        </w:rPr>
        <w:t xml:space="preserve"> </w:t>
      </w:r>
      <w:r w:rsidRPr="000977F7">
        <w:rPr>
          <w:rFonts w:asciiTheme="majorHAnsi" w:hAnsiTheme="majorHAnsi"/>
          <w:sz w:val="20"/>
          <w:szCs w:val="20"/>
        </w:rPr>
        <w:t>стирання</w:t>
      </w:r>
      <w:r w:rsidRPr="000977F7">
        <w:rPr>
          <w:rFonts w:asciiTheme="majorHAnsi" w:hAnsiTheme="majorHAnsi"/>
          <w:spacing w:val="-2"/>
          <w:sz w:val="20"/>
          <w:szCs w:val="20"/>
        </w:rPr>
        <w:t xml:space="preserve"> </w:t>
      </w:r>
      <w:r w:rsidRPr="000977F7">
        <w:rPr>
          <w:rFonts w:asciiTheme="majorHAnsi" w:hAnsiTheme="majorHAnsi"/>
          <w:sz w:val="20"/>
          <w:szCs w:val="20"/>
        </w:rPr>
        <w:t>інформації</w:t>
      </w:r>
    </w:p>
    <w:p w14:paraId="293A0DE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33344C7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ОСНОВНА ПОХИБКА ЗАСОБУ ВИМІРЮВАЛЬ</w:t>
      </w:r>
      <w:r w:rsidRPr="000977F7">
        <w:rPr>
          <w:color w:val="auto"/>
          <w:spacing w:val="-47"/>
          <w:sz w:val="20"/>
          <w:szCs w:val="20"/>
        </w:rPr>
        <w:t xml:space="preserve"> </w:t>
      </w:r>
      <w:r w:rsidRPr="000977F7">
        <w:rPr>
          <w:color w:val="auto"/>
          <w:sz w:val="20"/>
          <w:szCs w:val="20"/>
        </w:rPr>
        <w:t>НОЇ</w:t>
      </w:r>
      <w:r w:rsidRPr="000977F7">
        <w:rPr>
          <w:color w:val="auto"/>
          <w:spacing w:val="-2"/>
          <w:sz w:val="20"/>
          <w:szCs w:val="20"/>
        </w:rPr>
        <w:t xml:space="preserve"> </w:t>
      </w:r>
      <w:r w:rsidRPr="000977F7">
        <w:rPr>
          <w:color w:val="auto"/>
          <w:sz w:val="20"/>
          <w:szCs w:val="20"/>
        </w:rPr>
        <w:t>ТЕХНІКИ</w:t>
      </w:r>
      <w:r w:rsidRPr="000977F7">
        <w:rPr>
          <w:color w:val="auto"/>
          <w:spacing w:val="1"/>
          <w:sz w:val="20"/>
          <w:szCs w:val="20"/>
        </w:rPr>
        <w:t xml:space="preserve"> </w:t>
      </w:r>
      <w:r w:rsidRPr="000977F7">
        <w:rPr>
          <w:color w:val="auto"/>
          <w:sz w:val="20"/>
          <w:szCs w:val="20"/>
        </w:rPr>
        <w:t>–</w:t>
      </w:r>
    </w:p>
    <w:p w14:paraId="7866E44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INTRINSI</w:t>
      </w:r>
      <w:r w:rsidRPr="000977F7">
        <w:rPr>
          <w:rFonts w:asciiTheme="majorHAnsi" w:hAnsiTheme="majorHAnsi"/>
          <w:sz w:val="20"/>
          <w:szCs w:val="20"/>
        </w:rPr>
        <w:t>С</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ERROR</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MEASURING</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INSTRUMENT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1E511A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Похибка засобу вимірювальної техніки за нормальних</w:t>
      </w:r>
      <w:r w:rsidRPr="000977F7">
        <w:rPr>
          <w:rFonts w:asciiTheme="majorHAnsi" w:hAnsiTheme="majorHAnsi"/>
          <w:spacing w:val="-47"/>
          <w:sz w:val="20"/>
          <w:szCs w:val="20"/>
        </w:rPr>
        <w:t xml:space="preserve"> </w:t>
      </w:r>
      <w:r w:rsidRPr="000977F7">
        <w:rPr>
          <w:rFonts w:asciiTheme="majorHAnsi" w:hAnsiTheme="majorHAnsi"/>
          <w:sz w:val="20"/>
          <w:szCs w:val="20"/>
        </w:rPr>
        <w:t>умов</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p>
    <w:p w14:paraId="287BAA7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B48517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ОСНОВНА ТРУДОМІСТКІСТЬ ДАНОГО </w:t>
      </w:r>
    </w:p>
    <w:p w14:paraId="106AADE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w:t>
      </w:r>
      <w:r w:rsidRPr="000977F7">
        <w:rPr>
          <w:color w:val="auto"/>
          <w:spacing w:val="-48"/>
          <w:sz w:val="20"/>
          <w:szCs w:val="20"/>
        </w:rPr>
        <w:t xml:space="preserve"> </w:t>
      </w:r>
      <w:r w:rsidRPr="000977F7">
        <w:rPr>
          <w:color w:val="auto"/>
          <w:sz w:val="20"/>
          <w:szCs w:val="20"/>
        </w:rPr>
        <w:t>НІЧНОГО</w:t>
      </w:r>
      <w:r w:rsidRPr="000977F7">
        <w:rPr>
          <w:color w:val="auto"/>
          <w:spacing w:val="-6"/>
          <w:sz w:val="20"/>
          <w:szCs w:val="20"/>
        </w:rPr>
        <w:t xml:space="preserve"> </w:t>
      </w:r>
      <w:r w:rsidRPr="000977F7">
        <w:rPr>
          <w:color w:val="auto"/>
          <w:sz w:val="20"/>
          <w:szCs w:val="20"/>
        </w:rPr>
        <w:t>ОБСЛУГОВУВАННЯ</w:t>
      </w:r>
      <w:r w:rsidRPr="000977F7">
        <w:rPr>
          <w:color w:val="auto"/>
          <w:spacing w:val="-6"/>
          <w:sz w:val="20"/>
          <w:szCs w:val="20"/>
        </w:rPr>
        <w:t xml:space="preserve"> </w:t>
      </w:r>
      <w:r w:rsidRPr="000977F7">
        <w:rPr>
          <w:color w:val="auto"/>
          <w:sz w:val="20"/>
          <w:szCs w:val="20"/>
        </w:rPr>
        <w:t>(РЕМОНТА)</w:t>
      </w:r>
      <w:r w:rsidRPr="000977F7">
        <w:rPr>
          <w:color w:val="auto"/>
          <w:spacing w:val="-2"/>
          <w:sz w:val="20"/>
          <w:szCs w:val="20"/>
        </w:rPr>
        <w:t xml:space="preserve"> </w:t>
      </w:r>
      <w:r w:rsidRPr="000977F7">
        <w:rPr>
          <w:color w:val="auto"/>
          <w:sz w:val="20"/>
          <w:szCs w:val="20"/>
        </w:rPr>
        <w:t>–</w:t>
      </w:r>
    </w:p>
    <w:p w14:paraId="679D74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оперативної трудомісткості , що визначається</w:t>
      </w:r>
      <w:r w:rsidRPr="000977F7">
        <w:rPr>
          <w:rFonts w:asciiTheme="majorHAnsi" w:hAnsiTheme="majorHAnsi"/>
          <w:spacing w:val="-47"/>
          <w:sz w:val="20"/>
          <w:szCs w:val="20"/>
        </w:rPr>
        <w:t xml:space="preserve"> </w:t>
      </w:r>
      <w:r w:rsidRPr="000977F7">
        <w:rPr>
          <w:rFonts w:asciiTheme="majorHAnsi" w:hAnsiTheme="majorHAnsi"/>
          <w:sz w:val="20"/>
          <w:szCs w:val="20"/>
        </w:rPr>
        <w:t>трудовитратами на виконання основних операцій одного технічного обслуговування</w:t>
      </w:r>
      <w:r w:rsidRPr="000977F7">
        <w:rPr>
          <w:rFonts w:asciiTheme="majorHAnsi" w:hAnsiTheme="majorHAnsi"/>
          <w:spacing w:val="-2"/>
          <w:sz w:val="20"/>
          <w:szCs w:val="20"/>
        </w:rPr>
        <w:t xml:space="preserve"> </w:t>
      </w:r>
      <w:r w:rsidRPr="000977F7">
        <w:rPr>
          <w:rFonts w:asciiTheme="majorHAnsi" w:hAnsiTheme="majorHAnsi"/>
          <w:sz w:val="20"/>
          <w:szCs w:val="20"/>
        </w:rPr>
        <w:t>(ремонту)</w:t>
      </w:r>
    </w:p>
    <w:p w14:paraId="1E8CD03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ОСНОВНА</w:t>
      </w:r>
      <w:r w:rsidRPr="000977F7">
        <w:rPr>
          <w:color w:val="auto"/>
          <w:spacing w:val="-3"/>
          <w:sz w:val="20"/>
          <w:szCs w:val="20"/>
        </w:rPr>
        <w:t xml:space="preserve"> </w:t>
      </w:r>
      <w:r w:rsidRPr="000977F7">
        <w:rPr>
          <w:color w:val="auto"/>
          <w:sz w:val="20"/>
          <w:szCs w:val="20"/>
        </w:rPr>
        <w:t>ФІЗИЧНА</w:t>
      </w:r>
      <w:r w:rsidRPr="000977F7">
        <w:rPr>
          <w:color w:val="auto"/>
          <w:spacing w:val="-2"/>
          <w:sz w:val="20"/>
          <w:szCs w:val="20"/>
        </w:rPr>
        <w:t xml:space="preserve"> </w:t>
      </w:r>
      <w:r w:rsidRPr="000977F7">
        <w:rPr>
          <w:color w:val="auto"/>
          <w:sz w:val="20"/>
          <w:szCs w:val="20"/>
        </w:rPr>
        <w:t>ВЕЛИЧИНА</w:t>
      </w:r>
      <w:r w:rsidRPr="000977F7">
        <w:rPr>
          <w:color w:val="auto"/>
          <w:spacing w:val="-1"/>
          <w:sz w:val="20"/>
          <w:szCs w:val="20"/>
        </w:rPr>
        <w:t xml:space="preserve"> </w:t>
      </w:r>
      <w:r w:rsidRPr="000977F7">
        <w:rPr>
          <w:color w:val="auto"/>
          <w:sz w:val="20"/>
          <w:szCs w:val="20"/>
        </w:rPr>
        <w:t>–</w:t>
      </w:r>
    </w:p>
    <w:p w14:paraId="1B1D82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BASE</w:t>
      </w:r>
      <w:r w:rsidRPr="000977F7">
        <w:rPr>
          <w:rFonts w:asciiTheme="majorHAnsi" w:hAnsiTheme="majorHAnsi"/>
          <w:spacing w:val="-1"/>
          <w:sz w:val="20"/>
          <w:szCs w:val="20"/>
        </w:rPr>
        <w:t xml:space="preserve"> </w:t>
      </w:r>
      <w:r w:rsidRPr="000977F7">
        <w:rPr>
          <w:rFonts w:asciiTheme="majorHAnsi" w:hAnsiTheme="majorHAnsi"/>
          <w:sz w:val="20"/>
          <w:szCs w:val="20"/>
        </w:rPr>
        <w:t>QUANTITY –</w:t>
      </w:r>
    </w:p>
    <w:p w14:paraId="56259B7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Фізична</w:t>
      </w:r>
      <w:r w:rsidRPr="000977F7">
        <w:rPr>
          <w:rFonts w:asciiTheme="majorHAnsi" w:hAnsiTheme="majorHAnsi"/>
          <w:spacing w:val="1"/>
          <w:sz w:val="20"/>
          <w:szCs w:val="20"/>
        </w:rPr>
        <w:t xml:space="preserve"> </w:t>
      </w:r>
      <w:r w:rsidRPr="000977F7">
        <w:rPr>
          <w:rFonts w:asciiTheme="majorHAnsi" w:hAnsiTheme="majorHAnsi"/>
          <w:sz w:val="20"/>
          <w:szCs w:val="20"/>
        </w:rPr>
        <w:t>величина,</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входить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систему</w:t>
      </w:r>
      <w:r w:rsidRPr="000977F7">
        <w:rPr>
          <w:rFonts w:asciiTheme="majorHAnsi" w:hAnsiTheme="majorHAnsi"/>
          <w:spacing w:val="1"/>
          <w:sz w:val="20"/>
          <w:szCs w:val="20"/>
        </w:rPr>
        <w:t xml:space="preserve"> </w:t>
      </w:r>
      <w:r w:rsidRPr="000977F7">
        <w:rPr>
          <w:rFonts w:asciiTheme="majorHAnsi" w:hAnsiTheme="majorHAnsi"/>
          <w:sz w:val="20"/>
          <w:szCs w:val="20"/>
        </w:rPr>
        <w:t>фізичних</w:t>
      </w:r>
      <w:r w:rsidRPr="000977F7">
        <w:rPr>
          <w:rFonts w:asciiTheme="majorHAnsi" w:hAnsiTheme="majorHAnsi"/>
          <w:spacing w:val="-47"/>
          <w:sz w:val="20"/>
          <w:szCs w:val="20"/>
        </w:rPr>
        <w:t xml:space="preserve"> </w:t>
      </w:r>
      <w:r w:rsidRPr="000977F7">
        <w:rPr>
          <w:rFonts w:asciiTheme="majorHAnsi" w:hAnsiTheme="majorHAnsi"/>
          <w:sz w:val="20"/>
          <w:szCs w:val="20"/>
        </w:rPr>
        <w:t>величин і прийнята за незалежну від інших величин</w:t>
      </w:r>
      <w:r w:rsidRPr="000977F7">
        <w:rPr>
          <w:rFonts w:asciiTheme="majorHAnsi" w:hAnsiTheme="majorHAnsi"/>
          <w:spacing w:val="1"/>
          <w:sz w:val="20"/>
          <w:szCs w:val="20"/>
        </w:rPr>
        <w:t xml:space="preserve"> </w:t>
      </w:r>
      <w:r w:rsidRPr="000977F7">
        <w:rPr>
          <w:rFonts w:asciiTheme="majorHAnsi" w:hAnsiTheme="majorHAnsi"/>
          <w:sz w:val="20"/>
          <w:szCs w:val="20"/>
        </w:rPr>
        <w:t>цієї</w:t>
      </w:r>
      <w:r w:rsidRPr="000977F7">
        <w:rPr>
          <w:rFonts w:asciiTheme="majorHAnsi" w:hAnsiTheme="majorHAnsi"/>
          <w:spacing w:val="-2"/>
          <w:sz w:val="20"/>
          <w:szCs w:val="20"/>
        </w:rPr>
        <w:t xml:space="preserve"> </w:t>
      </w:r>
      <w:r w:rsidRPr="000977F7">
        <w:rPr>
          <w:rFonts w:asciiTheme="majorHAnsi" w:hAnsiTheme="majorHAnsi"/>
          <w:sz w:val="20"/>
          <w:szCs w:val="20"/>
        </w:rPr>
        <w:t>системи</w:t>
      </w:r>
    </w:p>
    <w:p w14:paraId="7BC9C19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615129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ОСНОВНА</w:t>
      </w:r>
      <w:r w:rsidRPr="000977F7">
        <w:rPr>
          <w:color w:val="auto"/>
          <w:spacing w:val="-6"/>
          <w:sz w:val="20"/>
          <w:szCs w:val="20"/>
        </w:rPr>
        <w:t xml:space="preserve"> </w:t>
      </w:r>
      <w:r w:rsidRPr="000977F7">
        <w:rPr>
          <w:color w:val="auto"/>
          <w:sz w:val="20"/>
          <w:szCs w:val="20"/>
        </w:rPr>
        <w:t>(ПОТРІБНА</w:t>
      </w:r>
      <w:r w:rsidRPr="000977F7">
        <w:rPr>
          <w:color w:val="auto"/>
          <w:spacing w:val="-6"/>
          <w:sz w:val="20"/>
          <w:szCs w:val="20"/>
        </w:rPr>
        <w:t xml:space="preserve"> </w:t>
      </w:r>
      <w:r w:rsidRPr="000977F7">
        <w:rPr>
          <w:color w:val="auto"/>
          <w:sz w:val="20"/>
          <w:szCs w:val="20"/>
        </w:rPr>
        <w:t>)</w:t>
      </w:r>
      <w:r w:rsidRPr="000977F7">
        <w:rPr>
          <w:color w:val="auto"/>
          <w:spacing w:val="-6"/>
          <w:sz w:val="20"/>
          <w:szCs w:val="20"/>
        </w:rPr>
        <w:t xml:space="preserve"> </w:t>
      </w:r>
      <w:r w:rsidRPr="000977F7">
        <w:rPr>
          <w:color w:val="auto"/>
          <w:sz w:val="20"/>
          <w:szCs w:val="20"/>
        </w:rPr>
        <w:t>ФУНКЦІЯ</w:t>
      </w:r>
      <w:r w:rsidRPr="000977F7">
        <w:rPr>
          <w:color w:val="auto"/>
          <w:spacing w:val="-47"/>
          <w:sz w:val="20"/>
          <w:szCs w:val="20"/>
        </w:rPr>
        <w:t xml:space="preserve"> </w:t>
      </w:r>
      <w:r w:rsidRPr="000977F7">
        <w:rPr>
          <w:color w:val="auto"/>
          <w:sz w:val="20"/>
          <w:szCs w:val="20"/>
        </w:rPr>
        <w:t>ОБ’ЄКТА</w:t>
      </w:r>
      <w:r w:rsidRPr="000977F7">
        <w:rPr>
          <w:color w:val="auto"/>
          <w:spacing w:val="-1"/>
          <w:sz w:val="20"/>
          <w:szCs w:val="20"/>
        </w:rPr>
        <w:t xml:space="preserve"> </w:t>
      </w:r>
    </w:p>
    <w:p w14:paraId="7176855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REQUIRED</w:t>
      </w:r>
      <w:r w:rsidRPr="000977F7">
        <w:rPr>
          <w:rFonts w:asciiTheme="majorHAnsi" w:hAnsiTheme="majorHAnsi"/>
          <w:spacing w:val="-2"/>
          <w:sz w:val="20"/>
          <w:szCs w:val="20"/>
        </w:rPr>
        <w:t xml:space="preserve"> </w:t>
      </w:r>
      <w:r w:rsidRPr="000977F7">
        <w:rPr>
          <w:rFonts w:asciiTheme="majorHAnsi" w:hAnsiTheme="majorHAnsi"/>
          <w:sz w:val="20"/>
          <w:szCs w:val="20"/>
        </w:rPr>
        <w:t>FUNCTION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AE54E3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2"/>
          <w:sz w:val="20"/>
          <w:szCs w:val="20"/>
        </w:rPr>
        <w:t>Функція</w:t>
      </w:r>
      <w:r w:rsidRPr="000977F7">
        <w:rPr>
          <w:rFonts w:asciiTheme="majorHAnsi" w:hAnsiTheme="majorHAnsi"/>
          <w:spacing w:val="-10"/>
          <w:sz w:val="20"/>
          <w:szCs w:val="20"/>
        </w:rPr>
        <w:t xml:space="preserve"> </w:t>
      </w:r>
      <w:r w:rsidRPr="000977F7">
        <w:rPr>
          <w:rFonts w:asciiTheme="majorHAnsi" w:hAnsiTheme="majorHAnsi"/>
          <w:spacing w:val="-1"/>
          <w:sz w:val="20"/>
          <w:szCs w:val="20"/>
        </w:rPr>
        <w:t>чи</w:t>
      </w:r>
      <w:r w:rsidRPr="000977F7">
        <w:rPr>
          <w:rFonts w:asciiTheme="majorHAnsi" w:hAnsiTheme="majorHAnsi"/>
          <w:spacing w:val="-11"/>
          <w:sz w:val="20"/>
          <w:szCs w:val="20"/>
        </w:rPr>
        <w:t xml:space="preserve"> </w:t>
      </w:r>
      <w:r w:rsidRPr="000977F7">
        <w:rPr>
          <w:rFonts w:asciiTheme="majorHAnsi" w:hAnsiTheme="majorHAnsi"/>
          <w:spacing w:val="-1"/>
          <w:sz w:val="20"/>
          <w:szCs w:val="20"/>
        </w:rPr>
        <w:t>сукупність</w:t>
      </w:r>
      <w:r w:rsidRPr="000977F7">
        <w:rPr>
          <w:rFonts w:asciiTheme="majorHAnsi" w:hAnsiTheme="majorHAnsi"/>
          <w:spacing w:val="-9"/>
          <w:sz w:val="20"/>
          <w:szCs w:val="20"/>
        </w:rPr>
        <w:t xml:space="preserve"> </w:t>
      </w:r>
      <w:r w:rsidRPr="000977F7">
        <w:rPr>
          <w:rFonts w:asciiTheme="majorHAnsi" w:hAnsiTheme="majorHAnsi"/>
          <w:spacing w:val="-1"/>
          <w:sz w:val="20"/>
          <w:szCs w:val="20"/>
        </w:rPr>
        <w:t>функцій</w:t>
      </w:r>
      <w:r w:rsidRPr="000977F7">
        <w:rPr>
          <w:rFonts w:asciiTheme="majorHAnsi" w:hAnsiTheme="majorHAnsi"/>
          <w:spacing w:val="-10"/>
          <w:sz w:val="20"/>
          <w:szCs w:val="20"/>
        </w:rPr>
        <w:t xml:space="preserve"> </w:t>
      </w:r>
      <w:r w:rsidRPr="000977F7">
        <w:rPr>
          <w:rFonts w:asciiTheme="majorHAnsi" w:hAnsiTheme="majorHAnsi"/>
          <w:spacing w:val="-1"/>
          <w:sz w:val="20"/>
          <w:szCs w:val="20"/>
        </w:rPr>
        <w:t>об’єкта,</w:t>
      </w:r>
      <w:r w:rsidRPr="000977F7">
        <w:rPr>
          <w:rFonts w:asciiTheme="majorHAnsi" w:hAnsiTheme="majorHAnsi"/>
          <w:spacing w:val="-7"/>
          <w:sz w:val="20"/>
          <w:szCs w:val="20"/>
        </w:rPr>
        <w:t xml:space="preserve"> </w:t>
      </w:r>
      <w:r w:rsidRPr="000977F7">
        <w:rPr>
          <w:rFonts w:asciiTheme="majorHAnsi" w:hAnsiTheme="majorHAnsi"/>
          <w:spacing w:val="-1"/>
          <w:sz w:val="20"/>
          <w:szCs w:val="20"/>
        </w:rPr>
        <w:t>виконання</w:t>
      </w:r>
      <w:r w:rsidRPr="000977F7">
        <w:rPr>
          <w:rFonts w:asciiTheme="majorHAnsi" w:hAnsiTheme="majorHAnsi"/>
          <w:spacing w:val="-10"/>
          <w:sz w:val="20"/>
          <w:szCs w:val="20"/>
        </w:rPr>
        <w:t xml:space="preserve"> </w:t>
      </w:r>
      <w:r w:rsidRPr="000977F7">
        <w:rPr>
          <w:rFonts w:asciiTheme="majorHAnsi" w:hAnsiTheme="majorHAnsi"/>
          <w:spacing w:val="-1"/>
          <w:sz w:val="20"/>
          <w:szCs w:val="20"/>
        </w:rPr>
        <w:t>якої</w:t>
      </w:r>
      <w:r w:rsidRPr="000977F7">
        <w:rPr>
          <w:rFonts w:asciiTheme="majorHAnsi" w:hAnsiTheme="majorHAnsi"/>
          <w:spacing w:val="-48"/>
          <w:sz w:val="20"/>
          <w:szCs w:val="20"/>
        </w:rPr>
        <w:t xml:space="preserve"> </w:t>
      </w:r>
      <w:r w:rsidRPr="000977F7">
        <w:rPr>
          <w:rFonts w:asciiTheme="majorHAnsi" w:hAnsiTheme="majorHAnsi"/>
          <w:sz w:val="20"/>
          <w:szCs w:val="20"/>
        </w:rPr>
        <w:t>розглядають як необхідну умову відповідності об’єкта</w:t>
      </w:r>
      <w:r w:rsidRPr="000977F7">
        <w:rPr>
          <w:rFonts w:asciiTheme="majorHAnsi" w:hAnsiTheme="majorHAnsi"/>
          <w:spacing w:val="-47"/>
          <w:sz w:val="20"/>
          <w:szCs w:val="20"/>
        </w:rPr>
        <w:t xml:space="preserve"> </w:t>
      </w:r>
      <w:r w:rsidRPr="000977F7">
        <w:rPr>
          <w:rFonts w:asciiTheme="majorHAnsi" w:hAnsiTheme="majorHAnsi"/>
          <w:sz w:val="20"/>
          <w:szCs w:val="20"/>
        </w:rPr>
        <w:t>його</w:t>
      </w:r>
      <w:r w:rsidRPr="000977F7">
        <w:rPr>
          <w:rFonts w:asciiTheme="majorHAnsi" w:hAnsiTheme="majorHAnsi"/>
          <w:spacing w:val="-2"/>
          <w:sz w:val="20"/>
          <w:szCs w:val="20"/>
        </w:rPr>
        <w:t xml:space="preserve"> </w:t>
      </w:r>
      <w:r w:rsidRPr="000977F7">
        <w:rPr>
          <w:rFonts w:asciiTheme="majorHAnsi" w:hAnsiTheme="majorHAnsi"/>
          <w:sz w:val="20"/>
          <w:szCs w:val="20"/>
        </w:rPr>
        <w:t>призначенню</w:t>
      </w:r>
    </w:p>
    <w:p w14:paraId="79F578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6"/>
          <w:sz w:val="20"/>
          <w:szCs w:val="20"/>
        </w:rPr>
        <w:t xml:space="preserve"> </w:t>
      </w:r>
      <w:r w:rsidRPr="000977F7">
        <w:rPr>
          <w:rFonts w:asciiTheme="majorHAnsi" w:hAnsiTheme="majorHAnsi"/>
          <w:sz w:val="20"/>
          <w:szCs w:val="20"/>
        </w:rPr>
        <w:t>р</w:t>
      </w:r>
      <w:r w:rsidRPr="000977F7">
        <w:rPr>
          <w:rFonts w:asciiTheme="majorHAnsi" w:hAnsiTheme="majorHAnsi"/>
          <w:spacing w:val="-5"/>
          <w:sz w:val="20"/>
          <w:szCs w:val="20"/>
        </w:rPr>
        <w:t xml:space="preserve"> </w:t>
      </w:r>
      <w:r w:rsidRPr="000977F7">
        <w:rPr>
          <w:rFonts w:asciiTheme="majorHAnsi" w:hAnsiTheme="majorHAnsi"/>
          <w:sz w:val="20"/>
          <w:szCs w:val="20"/>
        </w:rPr>
        <w:t>и</w:t>
      </w:r>
      <w:r w:rsidRPr="000977F7">
        <w:rPr>
          <w:rFonts w:asciiTheme="majorHAnsi" w:hAnsiTheme="majorHAnsi"/>
          <w:spacing w:val="-6"/>
          <w:sz w:val="20"/>
          <w:szCs w:val="20"/>
        </w:rPr>
        <w:t xml:space="preserve"> </w:t>
      </w:r>
      <w:r w:rsidRPr="000977F7">
        <w:rPr>
          <w:rFonts w:asciiTheme="majorHAnsi" w:hAnsiTheme="majorHAnsi"/>
          <w:sz w:val="20"/>
          <w:szCs w:val="20"/>
        </w:rPr>
        <w:t>м</w:t>
      </w:r>
      <w:r w:rsidRPr="000977F7">
        <w:rPr>
          <w:rFonts w:asciiTheme="majorHAnsi" w:hAnsiTheme="majorHAnsi"/>
          <w:spacing w:val="-5"/>
          <w:sz w:val="20"/>
          <w:szCs w:val="20"/>
        </w:rPr>
        <w:t xml:space="preserve"> </w:t>
      </w:r>
      <w:r w:rsidRPr="000977F7">
        <w:rPr>
          <w:rFonts w:asciiTheme="majorHAnsi" w:hAnsiTheme="majorHAnsi"/>
          <w:sz w:val="20"/>
          <w:szCs w:val="20"/>
        </w:rPr>
        <w:t>і</w:t>
      </w:r>
      <w:r w:rsidRPr="000977F7">
        <w:rPr>
          <w:rFonts w:asciiTheme="majorHAnsi" w:hAnsiTheme="majorHAnsi"/>
          <w:spacing w:val="-4"/>
          <w:sz w:val="20"/>
          <w:szCs w:val="20"/>
        </w:rPr>
        <w:t xml:space="preserve"> </w:t>
      </w:r>
      <w:r w:rsidRPr="000977F7">
        <w:rPr>
          <w:rFonts w:asciiTheme="majorHAnsi" w:hAnsiTheme="majorHAnsi"/>
          <w:sz w:val="20"/>
          <w:szCs w:val="20"/>
        </w:rPr>
        <w:t>т</w:t>
      </w:r>
      <w:r w:rsidRPr="000977F7">
        <w:rPr>
          <w:rFonts w:asciiTheme="majorHAnsi" w:hAnsiTheme="majorHAnsi"/>
          <w:spacing w:val="-5"/>
          <w:sz w:val="20"/>
          <w:szCs w:val="20"/>
        </w:rPr>
        <w:t xml:space="preserve"> </w:t>
      </w:r>
      <w:r w:rsidRPr="000977F7">
        <w:rPr>
          <w:rFonts w:asciiTheme="majorHAnsi" w:hAnsiTheme="majorHAnsi"/>
          <w:sz w:val="20"/>
          <w:szCs w:val="20"/>
        </w:rPr>
        <w:t>к</w:t>
      </w:r>
      <w:r w:rsidRPr="000977F7">
        <w:rPr>
          <w:rFonts w:asciiTheme="majorHAnsi" w:hAnsiTheme="majorHAnsi"/>
          <w:spacing w:val="-4"/>
          <w:sz w:val="20"/>
          <w:szCs w:val="20"/>
        </w:rPr>
        <w:t xml:space="preserve"> </w:t>
      </w:r>
      <w:r w:rsidRPr="000977F7">
        <w:rPr>
          <w:rFonts w:asciiTheme="majorHAnsi" w:hAnsiTheme="majorHAnsi"/>
          <w:sz w:val="20"/>
          <w:szCs w:val="20"/>
        </w:rPr>
        <w:t>а:</w:t>
      </w:r>
    </w:p>
    <w:p w14:paraId="59228A3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Всі функції об’єкта можна умовно розподілити на основі та допоміжні. Допоміжні функції – функції, невиконання яких не порушує відповідності об’єкта його</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призначенню</w:t>
      </w:r>
    </w:p>
    <w:p w14:paraId="1D1C467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3"/>
          <w:sz w:val="20"/>
          <w:szCs w:val="20"/>
        </w:rPr>
        <w:t xml:space="preserve"> </w:t>
      </w:r>
      <w:r w:rsidRPr="000977F7">
        <w:rPr>
          <w:rFonts w:asciiTheme="majorHAnsi" w:hAnsiTheme="majorHAnsi"/>
          <w:i/>
          <w:sz w:val="20"/>
          <w:szCs w:val="20"/>
        </w:rPr>
        <w:t>2860</w:t>
      </w:r>
      <w:r w:rsidRPr="000977F7">
        <w:rPr>
          <w:rFonts w:asciiTheme="majorHAnsi" w:hAnsiTheme="majorHAnsi"/>
          <w:i/>
          <w:spacing w:val="-11"/>
          <w:sz w:val="20"/>
          <w:szCs w:val="20"/>
        </w:rPr>
        <w:t xml:space="preserve"> </w:t>
      </w:r>
      <w:r w:rsidRPr="000977F7">
        <w:rPr>
          <w:rFonts w:asciiTheme="majorHAnsi" w:hAnsiTheme="majorHAnsi"/>
          <w:i/>
          <w:sz w:val="20"/>
          <w:szCs w:val="20"/>
        </w:rPr>
        <w:t>–</w:t>
      </w:r>
      <w:r w:rsidRPr="000977F7">
        <w:rPr>
          <w:rFonts w:asciiTheme="majorHAnsi" w:hAnsiTheme="majorHAnsi"/>
          <w:i/>
          <w:spacing w:val="-11"/>
          <w:sz w:val="20"/>
          <w:szCs w:val="20"/>
        </w:rPr>
        <w:t xml:space="preserve"> </w:t>
      </w:r>
      <w:r w:rsidRPr="000977F7">
        <w:rPr>
          <w:rFonts w:asciiTheme="majorHAnsi" w:hAnsiTheme="majorHAnsi"/>
          <w:i/>
          <w:sz w:val="20"/>
          <w:szCs w:val="20"/>
        </w:rPr>
        <w:t>94</w:t>
      </w:r>
    </w:p>
    <w:p w14:paraId="60C7A3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Достатньою</w:t>
      </w:r>
      <w:r w:rsidRPr="000977F7">
        <w:rPr>
          <w:rFonts w:asciiTheme="majorHAnsi" w:hAnsiTheme="majorHAnsi"/>
          <w:spacing w:val="-11"/>
          <w:sz w:val="20"/>
          <w:szCs w:val="20"/>
        </w:rPr>
        <w:t xml:space="preserve"> </w:t>
      </w:r>
      <w:r w:rsidRPr="000977F7">
        <w:rPr>
          <w:rFonts w:asciiTheme="majorHAnsi" w:hAnsiTheme="majorHAnsi"/>
          <w:sz w:val="20"/>
          <w:szCs w:val="20"/>
        </w:rPr>
        <w:t>умовою</w:t>
      </w:r>
      <w:r w:rsidRPr="000977F7">
        <w:rPr>
          <w:rFonts w:asciiTheme="majorHAnsi" w:hAnsiTheme="majorHAnsi"/>
          <w:spacing w:val="-11"/>
          <w:sz w:val="20"/>
          <w:szCs w:val="20"/>
        </w:rPr>
        <w:t xml:space="preserve"> </w:t>
      </w:r>
      <w:r w:rsidRPr="000977F7">
        <w:rPr>
          <w:rFonts w:asciiTheme="majorHAnsi" w:hAnsiTheme="majorHAnsi"/>
          <w:sz w:val="20"/>
          <w:szCs w:val="20"/>
        </w:rPr>
        <w:t>є</w:t>
      </w:r>
      <w:r w:rsidRPr="000977F7">
        <w:rPr>
          <w:rFonts w:asciiTheme="majorHAnsi" w:hAnsiTheme="majorHAnsi"/>
          <w:spacing w:val="-11"/>
          <w:sz w:val="20"/>
          <w:szCs w:val="20"/>
        </w:rPr>
        <w:t xml:space="preserve"> </w:t>
      </w:r>
      <w:r w:rsidRPr="000977F7">
        <w:rPr>
          <w:rFonts w:asciiTheme="majorHAnsi" w:hAnsiTheme="majorHAnsi"/>
          <w:sz w:val="20"/>
          <w:szCs w:val="20"/>
        </w:rPr>
        <w:t>здатність</w:t>
      </w:r>
      <w:r w:rsidRPr="000977F7">
        <w:rPr>
          <w:rFonts w:asciiTheme="majorHAnsi" w:hAnsiTheme="majorHAnsi"/>
          <w:spacing w:val="-12"/>
          <w:sz w:val="20"/>
          <w:szCs w:val="20"/>
        </w:rPr>
        <w:t xml:space="preserve"> </w:t>
      </w:r>
      <w:r w:rsidRPr="000977F7">
        <w:rPr>
          <w:rFonts w:asciiTheme="majorHAnsi" w:hAnsiTheme="majorHAnsi"/>
          <w:sz w:val="20"/>
          <w:szCs w:val="20"/>
        </w:rPr>
        <w:t>об’єкта</w:t>
      </w:r>
      <w:r w:rsidRPr="000977F7">
        <w:rPr>
          <w:rFonts w:asciiTheme="majorHAnsi" w:hAnsiTheme="majorHAnsi"/>
          <w:spacing w:val="-10"/>
          <w:sz w:val="20"/>
          <w:szCs w:val="20"/>
        </w:rPr>
        <w:t xml:space="preserve"> </w:t>
      </w:r>
      <w:r w:rsidRPr="000977F7">
        <w:rPr>
          <w:rFonts w:asciiTheme="majorHAnsi" w:hAnsiTheme="majorHAnsi"/>
          <w:sz w:val="20"/>
          <w:szCs w:val="20"/>
        </w:rPr>
        <w:t>виконувати</w:t>
      </w:r>
      <w:r w:rsidRPr="000977F7">
        <w:rPr>
          <w:rFonts w:asciiTheme="majorHAnsi" w:hAnsiTheme="majorHAnsi"/>
          <w:spacing w:val="-11"/>
          <w:sz w:val="20"/>
          <w:szCs w:val="20"/>
        </w:rPr>
        <w:t xml:space="preserve"> </w:t>
      </w:r>
      <w:r w:rsidRPr="000977F7">
        <w:rPr>
          <w:rFonts w:asciiTheme="majorHAnsi" w:hAnsiTheme="majorHAnsi"/>
          <w:sz w:val="20"/>
          <w:szCs w:val="20"/>
        </w:rPr>
        <w:t>усі</w:t>
      </w:r>
      <w:r w:rsidRPr="000977F7">
        <w:rPr>
          <w:rFonts w:asciiTheme="majorHAnsi" w:hAnsiTheme="majorHAnsi"/>
          <w:spacing w:val="-48"/>
          <w:sz w:val="20"/>
          <w:szCs w:val="20"/>
        </w:rPr>
        <w:t xml:space="preserve"> </w:t>
      </w:r>
      <w:r w:rsidRPr="000977F7">
        <w:rPr>
          <w:rFonts w:asciiTheme="majorHAnsi" w:hAnsiTheme="majorHAnsi"/>
          <w:sz w:val="20"/>
          <w:szCs w:val="20"/>
        </w:rPr>
        <w:t>основні</w:t>
      </w:r>
      <w:r w:rsidRPr="000977F7">
        <w:rPr>
          <w:rFonts w:asciiTheme="majorHAnsi" w:hAnsiTheme="majorHAnsi"/>
          <w:spacing w:val="-6"/>
          <w:sz w:val="20"/>
          <w:szCs w:val="20"/>
        </w:rPr>
        <w:t xml:space="preserve"> </w:t>
      </w:r>
      <w:r w:rsidRPr="000977F7">
        <w:rPr>
          <w:rFonts w:asciiTheme="majorHAnsi" w:hAnsiTheme="majorHAnsi"/>
          <w:sz w:val="20"/>
          <w:szCs w:val="20"/>
        </w:rPr>
        <w:t>функції</w:t>
      </w:r>
    </w:p>
    <w:p w14:paraId="65C57FE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2"/>
          <w:sz w:val="20"/>
          <w:szCs w:val="20"/>
        </w:rPr>
        <w:t>ДСТУ</w:t>
      </w:r>
      <w:r w:rsidRPr="000977F7">
        <w:rPr>
          <w:rFonts w:asciiTheme="majorHAnsi" w:hAnsiTheme="majorHAnsi"/>
          <w:i/>
          <w:spacing w:val="-11"/>
          <w:sz w:val="20"/>
          <w:szCs w:val="20"/>
        </w:rPr>
        <w:t xml:space="preserve"> </w:t>
      </w:r>
      <w:r w:rsidRPr="000977F7">
        <w:rPr>
          <w:rFonts w:asciiTheme="majorHAnsi" w:hAnsiTheme="majorHAnsi"/>
          <w:i/>
          <w:spacing w:val="-1"/>
          <w:sz w:val="20"/>
          <w:szCs w:val="20"/>
        </w:rPr>
        <w:t>3956 - 2000</w:t>
      </w:r>
    </w:p>
    <w:p w14:paraId="64C7DA1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164" w:name="_Hlk101777462"/>
      <w:r w:rsidRPr="000977F7">
        <w:rPr>
          <w:color w:val="auto"/>
          <w:sz w:val="20"/>
          <w:szCs w:val="20"/>
        </w:rPr>
        <w:t xml:space="preserve">ОСНОВНА ЧАСТИНА НОРМАТИВНОГО </w:t>
      </w:r>
    </w:p>
    <w:p w14:paraId="620782A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w:t>
      </w:r>
      <w:r w:rsidRPr="000977F7">
        <w:rPr>
          <w:color w:val="auto"/>
          <w:spacing w:val="-47"/>
          <w:sz w:val="20"/>
          <w:szCs w:val="20"/>
        </w:rPr>
        <w:t xml:space="preserve"> </w:t>
      </w:r>
      <w:r w:rsidRPr="000977F7">
        <w:rPr>
          <w:color w:val="auto"/>
          <w:sz w:val="20"/>
          <w:szCs w:val="20"/>
        </w:rPr>
        <w:t>КУМЕНТА</w:t>
      </w:r>
      <w:r w:rsidRPr="000977F7">
        <w:rPr>
          <w:color w:val="auto"/>
          <w:spacing w:val="-1"/>
          <w:sz w:val="20"/>
          <w:szCs w:val="20"/>
        </w:rPr>
        <w:t xml:space="preserve"> </w:t>
      </w:r>
      <w:r w:rsidRPr="000977F7">
        <w:rPr>
          <w:color w:val="auto"/>
          <w:sz w:val="20"/>
          <w:szCs w:val="20"/>
        </w:rPr>
        <w:t>–</w:t>
      </w:r>
    </w:p>
    <w:p w14:paraId="552BD44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BODY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 A</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NORMATIVE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DOCUMENT</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bookmarkEnd w:id="164"/>
    <w:p w14:paraId="0D7C581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положень, що становлять зміст нормативного документа</w:t>
      </w:r>
    </w:p>
    <w:p w14:paraId="764BC36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 и:</w:t>
      </w:r>
    </w:p>
    <w:p w14:paraId="5393C225" w14:textId="77777777" w:rsidR="0097612F" w:rsidRPr="000977F7" w:rsidRDefault="0097612F" w:rsidP="00FD39A4">
      <w:pPr>
        <w:pStyle w:val="ac"/>
        <w:widowControl w:val="0"/>
        <w:numPr>
          <w:ilvl w:val="1"/>
          <w:numId w:val="128"/>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Якщо</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стандартом,</w:t>
      </w:r>
      <w:r w:rsidRPr="000977F7">
        <w:rPr>
          <w:rFonts w:asciiTheme="majorHAnsi" w:hAnsiTheme="majorHAnsi"/>
          <w:spacing w:val="1"/>
          <w:sz w:val="20"/>
          <w:szCs w:val="20"/>
        </w:rPr>
        <w:t xml:space="preserve"> </w:t>
      </w:r>
      <w:r w:rsidRPr="000977F7">
        <w:rPr>
          <w:rFonts w:asciiTheme="majorHAnsi" w:hAnsiTheme="majorHAnsi"/>
          <w:sz w:val="20"/>
          <w:szCs w:val="20"/>
        </w:rPr>
        <w:t>то</w:t>
      </w:r>
      <w:r w:rsidRPr="000977F7">
        <w:rPr>
          <w:rFonts w:asciiTheme="majorHAnsi" w:hAnsiTheme="majorHAnsi"/>
          <w:spacing w:val="1"/>
          <w:sz w:val="20"/>
          <w:szCs w:val="20"/>
        </w:rPr>
        <w:t xml:space="preserve"> </w:t>
      </w:r>
      <w:r w:rsidRPr="000977F7">
        <w:rPr>
          <w:rFonts w:asciiTheme="majorHAnsi" w:hAnsiTheme="majorHAnsi"/>
          <w:sz w:val="20"/>
          <w:szCs w:val="20"/>
        </w:rPr>
        <w:t>його основна частина містить загальні елементи</w:t>
      </w:r>
      <w:r w:rsidRPr="000977F7">
        <w:rPr>
          <w:rFonts w:asciiTheme="majorHAnsi" w:hAnsiTheme="majorHAnsi"/>
          <w:spacing w:val="1"/>
          <w:sz w:val="20"/>
          <w:szCs w:val="20"/>
        </w:rPr>
        <w:t xml:space="preserve"> </w:t>
      </w:r>
      <w:r w:rsidRPr="000977F7">
        <w:rPr>
          <w:rFonts w:asciiTheme="majorHAnsi" w:hAnsiTheme="majorHAnsi"/>
          <w:sz w:val="20"/>
          <w:szCs w:val="20"/>
        </w:rPr>
        <w:t>стосовно об’єкта і визначень та основні елементи</w:t>
      </w:r>
      <w:r w:rsidRPr="000977F7">
        <w:rPr>
          <w:rFonts w:asciiTheme="majorHAnsi" w:hAnsiTheme="majorHAnsi"/>
          <w:spacing w:val="1"/>
          <w:sz w:val="20"/>
          <w:szCs w:val="20"/>
        </w:rPr>
        <w:t xml:space="preserve"> </w:t>
      </w:r>
      <w:r w:rsidRPr="000977F7">
        <w:rPr>
          <w:rFonts w:asciiTheme="majorHAnsi" w:hAnsiTheme="majorHAnsi"/>
          <w:sz w:val="20"/>
          <w:szCs w:val="20"/>
        </w:rPr>
        <w:t>поданих</w:t>
      </w:r>
      <w:r w:rsidRPr="000977F7">
        <w:rPr>
          <w:rFonts w:asciiTheme="majorHAnsi" w:hAnsiTheme="majorHAnsi"/>
          <w:spacing w:val="48"/>
          <w:sz w:val="20"/>
          <w:szCs w:val="20"/>
        </w:rPr>
        <w:t xml:space="preserve"> </w:t>
      </w:r>
      <w:r w:rsidRPr="000977F7">
        <w:rPr>
          <w:rFonts w:asciiTheme="majorHAnsi" w:hAnsiTheme="majorHAnsi"/>
          <w:sz w:val="20"/>
          <w:szCs w:val="20"/>
        </w:rPr>
        <w:t>положень</w:t>
      </w:r>
    </w:p>
    <w:p w14:paraId="668BF828" w14:textId="77777777" w:rsidR="0097612F" w:rsidRPr="000977F7" w:rsidRDefault="0097612F" w:rsidP="00FD39A4">
      <w:pPr>
        <w:pStyle w:val="ac"/>
        <w:widowControl w:val="0"/>
        <w:numPr>
          <w:ilvl w:val="1"/>
          <w:numId w:val="128"/>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 xml:space="preserve">Розділи основної частини нормативного документа для зручності можуть бути подані у формі </w:t>
      </w:r>
      <w:r w:rsidRPr="000977F7">
        <w:rPr>
          <w:rFonts w:asciiTheme="majorHAnsi" w:hAnsiTheme="majorHAnsi"/>
          <w:sz w:val="20"/>
          <w:szCs w:val="20"/>
        </w:rPr>
        <w:t>додатків (нормативні додатки) на відміну від інших</w:t>
      </w:r>
      <w:r w:rsidRPr="000977F7">
        <w:rPr>
          <w:rFonts w:asciiTheme="majorHAnsi" w:hAnsiTheme="majorHAnsi"/>
          <w:spacing w:val="1"/>
          <w:sz w:val="20"/>
          <w:szCs w:val="20"/>
        </w:rPr>
        <w:t xml:space="preserve"> </w:t>
      </w:r>
      <w:r w:rsidRPr="000977F7">
        <w:rPr>
          <w:rFonts w:asciiTheme="majorHAnsi" w:hAnsiTheme="majorHAnsi"/>
          <w:sz w:val="20"/>
          <w:szCs w:val="20"/>
        </w:rPr>
        <w:t>(інформативних)</w:t>
      </w:r>
      <w:r w:rsidRPr="000977F7">
        <w:rPr>
          <w:rFonts w:asciiTheme="majorHAnsi" w:hAnsiTheme="majorHAnsi"/>
          <w:spacing w:val="1"/>
          <w:sz w:val="20"/>
          <w:szCs w:val="20"/>
        </w:rPr>
        <w:t xml:space="preserve"> </w:t>
      </w:r>
      <w:r w:rsidRPr="000977F7">
        <w:rPr>
          <w:rFonts w:asciiTheme="majorHAnsi" w:hAnsiTheme="majorHAnsi"/>
          <w:sz w:val="20"/>
          <w:szCs w:val="20"/>
        </w:rPr>
        <w:t>доповнень,</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47"/>
          <w:sz w:val="20"/>
          <w:szCs w:val="20"/>
        </w:rPr>
        <w:t xml:space="preserve"> </w:t>
      </w:r>
      <w:r w:rsidRPr="000977F7">
        <w:rPr>
          <w:rFonts w:asciiTheme="majorHAnsi" w:hAnsiTheme="majorHAnsi"/>
          <w:sz w:val="20"/>
          <w:szCs w:val="20"/>
        </w:rPr>
        <w:t>тільки</w:t>
      </w:r>
      <w:r w:rsidRPr="000977F7">
        <w:rPr>
          <w:rFonts w:asciiTheme="majorHAnsi" w:hAnsiTheme="majorHAnsi"/>
          <w:spacing w:val="-2"/>
          <w:sz w:val="20"/>
          <w:szCs w:val="20"/>
        </w:rPr>
        <w:t xml:space="preserve"> </w:t>
      </w:r>
      <w:r w:rsidRPr="000977F7">
        <w:rPr>
          <w:rFonts w:asciiTheme="majorHAnsi" w:hAnsiTheme="majorHAnsi"/>
          <w:sz w:val="20"/>
          <w:szCs w:val="20"/>
        </w:rPr>
        <w:t>додатковими</w:t>
      </w:r>
      <w:r w:rsidRPr="000977F7">
        <w:rPr>
          <w:rFonts w:asciiTheme="majorHAnsi" w:hAnsiTheme="majorHAnsi"/>
          <w:spacing w:val="-1"/>
          <w:sz w:val="20"/>
          <w:szCs w:val="20"/>
        </w:rPr>
        <w:t xml:space="preserve"> </w:t>
      </w:r>
      <w:r w:rsidRPr="000977F7">
        <w:rPr>
          <w:rFonts w:asciiTheme="majorHAnsi" w:hAnsiTheme="majorHAnsi"/>
          <w:sz w:val="20"/>
          <w:szCs w:val="20"/>
        </w:rPr>
        <w:t>елементами</w:t>
      </w:r>
    </w:p>
    <w:p w14:paraId="22BBF3E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 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1F88581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ОСНОВНА</w:t>
      </w:r>
      <w:r w:rsidRPr="000977F7">
        <w:rPr>
          <w:color w:val="auto"/>
          <w:spacing w:val="-4"/>
          <w:sz w:val="20"/>
          <w:szCs w:val="20"/>
        </w:rPr>
        <w:t xml:space="preserve"> </w:t>
      </w:r>
      <w:r w:rsidRPr="000977F7">
        <w:rPr>
          <w:color w:val="auto"/>
          <w:sz w:val="20"/>
          <w:szCs w:val="20"/>
        </w:rPr>
        <w:t>ЧАСТИНА</w:t>
      </w:r>
      <w:r w:rsidRPr="000977F7">
        <w:rPr>
          <w:color w:val="auto"/>
          <w:spacing w:val="-4"/>
          <w:sz w:val="20"/>
          <w:szCs w:val="20"/>
        </w:rPr>
        <w:t xml:space="preserve"> </w:t>
      </w:r>
      <w:r w:rsidRPr="000977F7">
        <w:rPr>
          <w:color w:val="auto"/>
          <w:sz w:val="20"/>
          <w:szCs w:val="20"/>
        </w:rPr>
        <w:t>СТАНДАРТУ –</w:t>
      </w:r>
    </w:p>
    <w:p w14:paraId="4CA8DB5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BODY</w:t>
      </w:r>
      <w:r w:rsidRPr="000977F7">
        <w:rPr>
          <w:rFonts w:asciiTheme="majorHAnsi" w:hAnsiTheme="majorHAnsi"/>
          <w:spacing w:val="-2"/>
          <w:sz w:val="20"/>
          <w:szCs w:val="20"/>
        </w:rPr>
        <w:t xml:space="preserve"> </w:t>
      </w:r>
      <w:r w:rsidRPr="000977F7">
        <w:rPr>
          <w:rFonts w:asciiTheme="majorHAnsi" w:hAnsiTheme="majorHAnsi"/>
          <w:sz w:val="20"/>
          <w:szCs w:val="20"/>
        </w:rPr>
        <w:t>OF A</w:t>
      </w:r>
      <w:r w:rsidRPr="000977F7">
        <w:rPr>
          <w:rFonts w:asciiTheme="majorHAnsi" w:hAnsiTheme="majorHAnsi"/>
          <w:spacing w:val="-3"/>
          <w:sz w:val="20"/>
          <w:szCs w:val="20"/>
        </w:rPr>
        <w:t xml:space="preserve"> </w:t>
      </w:r>
      <w:r w:rsidRPr="000977F7">
        <w:rPr>
          <w:rFonts w:asciiTheme="majorHAnsi" w:hAnsiTheme="majorHAnsi"/>
          <w:sz w:val="20"/>
          <w:szCs w:val="20"/>
        </w:rPr>
        <w:t>STANDARD –</w:t>
      </w:r>
    </w:p>
    <w:p w14:paraId="04F2DEF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1"/>
          <w:sz w:val="20"/>
          <w:szCs w:val="20"/>
        </w:rPr>
        <w:t xml:space="preserve"> </w:t>
      </w:r>
      <w:r w:rsidRPr="000977F7">
        <w:rPr>
          <w:rFonts w:asciiTheme="majorHAnsi" w:hAnsiTheme="majorHAnsi"/>
          <w:sz w:val="20"/>
          <w:szCs w:val="20"/>
        </w:rPr>
        <w:t>стандарту,</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містить</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p>
    <w:p w14:paraId="74614F9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ОСНОВНЕ</w:t>
      </w:r>
      <w:r w:rsidRPr="000977F7">
        <w:rPr>
          <w:color w:val="auto"/>
          <w:spacing w:val="-4"/>
          <w:sz w:val="20"/>
          <w:szCs w:val="20"/>
        </w:rPr>
        <w:t xml:space="preserve"> </w:t>
      </w:r>
      <w:r w:rsidRPr="000977F7">
        <w:rPr>
          <w:color w:val="auto"/>
          <w:sz w:val="20"/>
          <w:szCs w:val="20"/>
        </w:rPr>
        <w:t>ВИКОНАННЯ</w:t>
      </w:r>
      <w:r w:rsidRPr="000977F7">
        <w:rPr>
          <w:color w:val="auto"/>
          <w:spacing w:val="-2"/>
          <w:sz w:val="20"/>
          <w:szCs w:val="20"/>
        </w:rPr>
        <w:t xml:space="preserve"> </w:t>
      </w:r>
      <w:r w:rsidRPr="000977F7">
        <w:rPr>
          <w:color w:val="auto"/>
          <w:sz w:val="20"/>
          <w:szCs w:val="20"/>
        </w:rPr>
        <w:t>–</w:t>
      </w:r>
    </w:p>
    <w:p w14:paraId="5437898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Виконання виробу, позначення якого збігається з позначенням групового основного конструкторського документа</w:t>
      </w:r>
    </w:p>
    <w:p w14:paraId="71A4F8D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60EBD57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ОСНОВНЕ</w:t>
      </w:r>
      <w:r w:rsidRPr="000977F7">
        <w:rPr>
          <w:color w:val="auto"/>
          <w:spacing w:val="-5"/>
          <w:sz w:val="20"/>
          <w:szCs w:val="20"/>
        </w:rPr>
        <w:t xml:space="preserve"> </w:t>
      </w:r>
      <w:r w:rsidRPr="000977F7">
        <w:rPr>
          <w:color w:val="auto"/>
          <w:sz w:val="20"/>
          <w:szCs w:val="20"/>
        </w:rPr>
        <w:t>ВИРОБНИЦТВО –</w:t>
      </w:r>
    </w:p>
    <w:p w14:paraId="5268B2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виробничої діяльності підприємства, яка полягає у безпосередньому перетворенні предмета праці</w:t>
      </w:r>
      <w:r w:rsidRPr="000977F7">
        <w:rPr>
          <w:rFonts w:asciiTheme="majorHAnsi" w:hAnsiTheme="majorHAnsi"/>
          <w:spacing w:val="-47"/>
          <w:sz w:val="20"/>
          <w:szCs w:val="20"/>
        </w:rPr>
        <w:t xml:space="preserve"> </w:t>
      </w:r>
      <w:r w:rsidRPr="000977F7">
        <w:rPr>
          <w:rFonts w:asciiTheme="majorHAnsi" w:hAnsiTheme="majorHAnsi"/>
          <w:sz w:val="20"/>
          <w:szCs w:val="20"/>
        </w:rPr>
        <w:t>на готову продукцію та проводиться у певних структурних</w:t>
      </w:r>
      <w:r w:rsidRPr="000977F7">
        <w:rPr>
          <w:rFonts w:asciiTheme="majorHAnsi" w:hAnsiTheme="majorHAnsi"/>
          <w:spacing w:val="-2"/>
          <w:sz w:val="20"/>
          <w:szCs w:val="20"/>
        </w:rPr>
        <w:t xml:space="preserve"> </w:t>
      </w:r>
      <w:r w:rsidRPr="000977F7">
        <w:rPr>
          <w:rFonts w:asciiTheme="majorHAnsi" w:hAnsiTheme="majorHAnsi"/>
          <w:sz w:val="20"/>
          <w:szCs w:val="20"/>
        </w:rPr>
        <w:t>підрозділах</w:t>
      </w:r>
    </w:p>
    <w:p w14:paraId="1596F59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 – 95;</w:t>
      </w:r>
      <w:r w:rsidRPr="000977F7">
        <w:rPr>
          <w:rFonts w:asciiTheme="majorHAnsi" w:hAnsiTheme="majorHAnsi"/>
          <w:i/>
          <w:spacing w:val="-2"/>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2974</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5B593D7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ОСНОВНИЙ</w:t>
      </w:r>
      <w:r w:rsidRPr="000977F7">
        <w:rPr>
          <w:color w:val="auto"/>
          <w:spacing w:val="-6"/>
          <w:sz w:val="20"/>
          <w:szCs w:val="20"/>
        </w:rPr>
        <w:t xml:space="preserve"> </w:t>
      </w:r>
      <w:r w:rsidRPr="000977F7">
        <w:rPr>
          <w:color w:val="auto"/>
          <w:sz w:val="20"/>
          <w:szCs w:val="20"/>
        </w:rPr>
        <w:t>ВИРОБНИК</w:t>
      </w:r>
      <w:r w:rsidRPr="000977F7">
        <w:rPr>
          <w:color w:val="auto"/>
          <w:spacing w:val="-4"/>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09979EE7"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Виробник,</w:t>
      </w:r>
      <w:r w:rsidRPr="000977F7">
        <w:rPr>
          <w:b w:val="0"/>
          <w:bCs/>
          <w:color w:val="auto"/>
          <w:spacing w:val="27"/>
          <w:sz w:val="20"/>
          <w:szCs w:val="20"/>
        </w:rPr>
        <w:t xml:space="preserve"> </w:t>
      </w:r>
      <w:r w:rsidRPr="000977F7">
        <w:rPr>
          <w:b w:val="0"/>
          <w:bCs/>
          <w:color w:val="auto"/>
          <w:sz w:val="20"/>
          <w:szCs w:val="20"/>
        </w:rPr>
        <w:t>який</w:t>
      </w:r>
      <w:r w:rsidRPr="000977F7">
        <w:rPr>
          <w:b w:val="0"/>
          <w:bCs/>
          <w:color w:val="auto"/>
          <w:spacing w:val="26"/>
          <w:sz w:val="20"/>
          <w:szCs w:val="20"/>
        </w:rPr>
        <w:t xml:space="preserve"> </w:t>
      </w:r>
      <w:r w:rsidRPr="000977F7">
        <w:rPr>
          <w:b w:val="0"/>
          <w:bCs/>
          <w:color w:val="auto"/>
          <w:sz w:val="20"/>
          <w:szCs w:val="20"/>
        </w:rPr>
        <w:t>володіє</w:t>
      </w:r>
      <w:r w:rsidRPr="000977F7">
        <w:rPr>
          <w:b w:val="0"/>
          <w:bCs/>
          <w:color w:val="auto"/>
          <w:spacing w:val="28"/>
          <w:sz w:val="20"/>
          <w:szCs w:val="20"/>
        </w:rPr>
        <w:t xml:space="preserve"> </w:t>
      </w:r>
      <w:r w:rsidRPr="000977F7">
        <w:rPr>
          <w:b w:val="0"/>
          <w:bCs/>
          <w:color w:val="auto"/>
          <w:sz w:val="20"/>
          <w:szCs w:val="20"/>
        </w:rPr>
        <w:t>оригіналами</w:t>
      </w:r>
      <w:r w:rsidRPr="000977F7">
        <w:rPr>
          <w:b w:val="0"/>
          <w:bCs/>
          <w:color w:val="auto"/>
          <w:spacing w:val="28"/>
          <w:sz w:val="20"/>
          <w:szCs w:val="20"/>
        </w:rPr>
        <w:t xml:space="preserve"> </w:t>
      </w:r>
      <w:r w:rsidRPr="000977F7">
        <w:rPr>
          <w:b w:val="0"/>
          <w:bCs/>
          <w:color w:val="auto"/>
          <w:sz w:val="20"/>
          <w:szCs w:val="20"/>
        </w:rPr>
        <w:t>технічної</w:t>
      </w:r>
      <w:r w:rsidRPr="000977F7">
        <w:rPr>
          <w:b w:val="0"/>
          <w:bCs/>
          <w:color w:val="auto"/>
          <w:spacing w:val="28"/>
          <w:sz w:val="20"/>
          <w:szCs w:val="20"/>
        </w:rPr>
        <w:t xml:space="preserve"> </w:t>
      </w:r>
      <w:r w:rsidRPr="000977F7">
        <w:rPr>
          <w:b w:val="0"/>
          <w:bCs/>
          <w:color w:val="auto"/>
          <w:sz w:val="20"/>
          <w:szCs w:val="20"/>
        </w:rPr>
        <w:t>документації</w:t>
      </w:r>
      <w:r w:rsidRPr="000977F7">
        <w:rPr>
          <w:b w:val="0"/>
          <w:bCs/>
          <w:color w:val="auto"/>
          <w:spacing w:val="-2"/>
          <w:sz w:val="20"/>
          <w:szCs w:val="20"/>
        </w:rPr>
        <w:t xml:space="preserve"> </w:t>
      </w:r>
      <w:r w:rsidRPr="000977F7">
        <w:rPr>
          <w:b w:val="0"/>
          <w:bCs/>
          <w:color w:val="auto"/>
          <w:sz w:val="20"/>
          <w:szCs w:val="20"/>
        </w:rPr>
        <w:t>та</w:t>
      </w:r>
      <w:r w:rsidRPr="000977F7">
        <w:rPr>
          <w:b w:val="0"/>
          <w:bCs/>
          <w:color w:val="auto"/>
          <w:spacing w:val="-1"/>
          <w:sz w:val="20"/>
          <w:szCs w:val="20"/>
        </w:rPr>
        <w:t xml:space="preserve"> </w:t>
      </w:r>
      <w:r w:rsidRPr="000977F7">
        <w:rPr>
          <w:b w:val="0"/>
          <w:bCs/>
          <w:color w:val="auto"/>
          <w:sz w:val="20"/>
          <w:szCs w:val="20"/>
        </w:rPr>
        <w:t>має</w:t>
      </w:r>
      <w:r w:rsidRPr="000977F7">
        <w:rPr>
          <w:b w:val="0"/>
          <w:bCs/>
          <w:color w:val="auto"/>
          <w:spacing w:val="1"/>
          <w:sz w:val="20"/>
          <w:szCs w:val="20"/>
        </w:rPr>
        <w:t xml:space="preserve"> </w:t>
      </w:r>
      <w:r w:rsidRPr="000977F7">
        <w:rPr>
          <w:b w:val="0"/>
          <w:bCs/>
          <w:color w:val="auto"/>
          <w:sz w:val="20"/>
          <w:szCs w:val="20"/>
        </w:rPr>
        <w:t>право вносити</w:t>
      </w:r>
      <w:r w:rsidRPr="000977F7">
        <w:rPr>
          <w:b w:val="0"/>
          <w:bCs/>
          <w:color w:val="auto"/>
          <w:spacing w:val="-1"/>
          <w:sz w:val="20"/>
          <w:szCs w:val="20"/>
        </w:rPr>
        <w:t xml:space="preserve"> </w:t>
      </w:r>
      <w:r w:rsidRPr="000977F7">
        <w:rPr>
          <w:b w:val="0"/>
          <w:bCs/>
          <w:color w:val="auto"/>
          <w:sz w:val="20"/>
          <w:szCs w:val="20"/>
        </w:rPr>
        <w:t>зміни</w:t>
      </w:r>
      <w:r w:rsidRPr="000977F7">
        <w:rPr>
          <w:b w:val="0"/>
          <w:bCs/>
          <w:color w:val="auto"/>
          <w:spacing w:val="-2"/>
          <w:sz w:val="20"/>
          <w:szCs w:val="20"/>
        </w:rPr>
        <w:t xml:space="preserve"> </w:t>
      </w:r>
      <w:r w:rsidRPr="000977F7">
        <w:rPr>
          <w:b w:val="0"/>
          <w:bCs/>
          <w:color w:val="auto"/>
          <w:sz w:val="20"/>
          <w:szCs w:val="20"/>
        </w:rPr>
        <w:t>до неї</w:t>
      </w:r>
    </w:p>
    <w:p w14:paraId="18B7BEE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3278</w:t>
      </w:r>
      <w:r w:rsidRPr="000977F7">
        <w:rPr>
          <w:rFonts w:asciiTheme="majorHAnsi" w:hAnsiTheme="majorHAnsi"/>
          <w:i/>
          <w:spacing w:val="2"/>
          <w:sz w:val="20"/>
          <w:szCs w:val="20"/>
        </w:rPr>
        <w:t xml:space="preserve"> </w:t>
      </w:r>
      <w:r w:rsidRPr="000977F7">
        <w:rPr>
          <w:rFonts w:asciiTheme="majorHAnsi" w:hAnsiTheme="majorHAnsi"/>
          <w:i/>
          <w:sz w:val="20"/>
          <w:szCs w:val="20"/>
        </w:rPr>
        <w:t>– 95</w:t>
      </w:r>
    </w:p>
    <w:p w14:paraId="5C22E26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ОСНОВНИЙ ЕЛЕМЕНТ </w:t>
      </w:r>
      <w:r w:rsidRPr="000977F7">
        <w:rPr>
          <w:rFonts w:asciiTheme="majorHAnsi" w:hAnsiTheme="majorHAnsi"/>
          <w:sz w:val="20"/>
          <w:szCs w:val="20"/>
        </w:rPr>
        <w:t>MAJOR</w:t>
      </w:r>
      <w:r w:rsidRPr="000977F7">
        <w:rPr>
          <w:rFonts w:asciiTheme="majorHAnsi" w:hAnsiTheme="majorHAnsi"/>
          <w:spacing w:val="-2"/>
          <w:sz w:val="20"/>
          <w:szCs w:val="20"/>
        </w:rPr>
        <w:t xml:space="preserve"> </w:t>
      </w:r>
      <w:r w:rsidRPr="000977F7">
        <w:rPr>
          <w:rFonts w:asciiTheme="majorHAnsi" w:hAnsiTheme="majorHAnsi"/>
          <w:sz w:val="20"/>
          <w:szCs w:val="20"/>
        </w:rPr>
        <w:t>ELEMENT</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4155793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Елемент</w:t>
      </w:r>
      <w:r w:rsidRPr="000977F7">
        <w:rPr>
          <w:rFonts w:asciiTheme="majorHAnsi" w:hAnsiTheme="majorHAnsi"/>
          <w:spacing w:val="44"/>
          <w:sz w:val="20"/>
          <w:szCs w:val="20"/>
        </w:rPr>
        <w:t xml:space="preserve"> </w:t>
      </w:r>
      <w:r w:rsidRPr="000977F7">
        <w:rPr>
          <w:rFonts w:asciiTheme="majorHAnsi" w:hAnsiTheme="majorHAnsi"/>
          <w:sz w:val="20"/>
          <w:szCs w:val="20"/>
        </w:rPr>
        <w:t>об’єкта,</w:t>
      </w:r>
      <w:r w:rsidRPr="000977F7">
        <w:rPr>
          <w:rFonts w:asciiTheme="majorHAnsi" w:hAnsiTheme="majorHAnsi"/>
          <w:spacing w:val="46"/>
          <w:sz w:val="20"/>
          <w:szCs w:val="20"/>
        </w:rPr>
        <w:t xml:space="preserve"> </w:t>
      </w:r>
      <w:r w:rsidRPr="000977F7">
        <w:rPr>
          <w:rFonts w:asciiTheme="majorHAnsi" w:hAnsiTheme="majorHAnsi"/>
          <w:sz w:val="20"/>
          <w:szCs w:val="20"/>
        </w:rPr>
        <w:t>необхідний</w:t>
      </w:r>
      <w:r w:rsidRPr="000977F7">
        <w:rPr>
          <w:rFonts w:asciiTheme="majorHAnsi" w:hAnsiTheme="majorHAnsi"/>
          <w:spacing w:val="46"/>
          <w:sz w:val="20"/>
          <w:szCs w:val="20"/>
        </w:rPr>
        <w:t xml:space="preserve"> </w:t>
      </w:r>
      <w:r w:rsidRPr="000977F7">
        <w:rPr>
          <w:rFonts w:asciiTheme="majorHAnsi" w:hAnsiTheme="majorHAnsi"/>
          <w:sz w:val="20"/>
          <w:szCs w:val="20"/>
        </w:rPr>
        <w:t>для</w:t>
      </w:r>
      <w:r w:rsidRPr="000977F7">
        <w:rPr>
          <w:rFonts w:asciiTheme="majorHAnsi" w:hAnsiTheme="majorHAnsi"/>
          <w:spacing w:val="44"/>
          <w:sz w:val="20"/>
          <w:szCs w:val="20"/>
        </w:rPr>
        <w:t xml:space="preserve"> </w:t>
      </w:r>
      <w:r w:rsidRPr="000977F7">
        <w:rPr>
          <w:rFonts w:asciiTheme="majorHAnsi" w:hAnsiTheme="majorHAnsi"/>
          <w:sz w:val="20"/>
          <w:szCs w:val="20"/>
        </w:rPr>
        <w:t>виконання</w:t>
      </w:r>
      <w:r w:rsidRPr="000977F7">
        <w:rPr>
          <w:rFonts w:asciiTheme="majorHAnsi" w:hAnsiTheme="majorHAnsi"/>
          <w:spacing w:val="47"/>
          <w:sz w:val="20"/>
          <w:szCs w:val="20"/>
        </w:rPr>
        <w:t xml:space="preserve"> </w:t>
      </w:r>
      <w:r w:rsidRPr="000977F7">
        <w:rPr>
          <w:rFonts w:asciiTheme="majorHAnsi" w:hAnsiTheme="majorHAnsi"/>
          <w:sz w:val="20"/>
          <w:szCs w:val="20"/>
        </w:rPr>
        <w:t>потріб</w:t>
      </w:r>
      <w:r w:rsidRPr="000977F7">
        <w:rPr>
          <w:rFonts w:asciiTheme="majorHAnsi" w:hAnsiTheme="majorHAnsi"/>
          <w:spacing w:val="-47"/>
          <w:sz w:val="20"/>
          <w:szCs w:val="20"/>
        </w:rPr>
        <w:t xml:space="preserve"> </w:t>
      </w:r>
      <w:r w:rsidRPr="000977F7">
        <w:rPr>
          <w:rFonts w:asciiTheme="majorHAnsi" w:hAnsiTheme="majorHAnsi"/>
          <w:sz w:val="20"/>
          <w:szCs w:val="20"/>
        </w:rPr>
        <w:t>них</w:t>
      </w:r>
      <w:r w:rsidRPr="000977F7">
        <w:rPr>
          <w:rFonts w:asciiTheme="majorHAnsi" w:hAnsiTheme="majorHAnsi"/>
          <w:spacing w:val="-2"/>
          <w:sz w:val="20"/>
          <w:szCs w:val="20"/>
        </w:rPr>
        <w:t xml:space="preserve"> </w:t>
      </w:r>
      <w:r w:rsidRPr="000977F7">
        <w:rPr>
          <w:rFonts w:asciiTheme="majorHAnsi" w:hAnsiTheme="majorHAnsi"/>
          <w:sz w:val="20"/>
          <w:szCs w:val="20"/>
        </w:rPr>
        <w:t>функцій</w:t>
      </w:r>
      <w:r w:rsidRPr="000977F7">
        <w:rPr>
          <w:rFonts w:asciiTheme="majorHAnsi" w:hAnsiTheme="majorHAnsi"/>
          <w:spacing w:val="-1"/>
          <w:sz w:val="20"/>
          <w:szCs w:val="20"/>
        </w:rPr>
        <w:t xml:space="preserve"> </w:t>
      </w:r>
      <w:r w:rsidRPr="000977F7">
        <w:rPr>
          <w:rFonts w:asciiTheme="majorHAnsi" w:hAnsiTheme="majorHAnsi"/>
          <w:sz w:val="20"/>
          <w:szCs w:val="20"/>
        </w:rPr>
        <w:t>без</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резерву</w:t>
      </w:r>
    </w:p>
    <w:p w14:paraId="07190CD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70ECC0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ОСНОВНИЙ КОМПЛЕКТ КОНСТРУКТОРСЬ</w:t>
      </w:r>
      <w:r w:rsidRPr="000977F7">
        <w:rPr>
          <w:color w:val="auto"/>
          <w:spacing w:val="-47"/>
          <w:sz w:val="20"/>
          <w:szCs w:val="20"/>
        </w:rPr>
        <w:t xml:space="preserve"> </w:t>
      </w:r>
      <w:r w:rsidRPr="000977F7">
        <w:rPr>
          <w:color w:val="auto"/>
          <w:sz w:val="20"/>
          <w:szCs w:val="20"/>
        </w:rPr>
        <w:t>КИХ</w:t>
      </w:r>
      <w:r w:rsidRPr="000977F7">
        <w:rPr>
          <w:color w:val="auto"/>
          <w:spacing w:val="-1"/>
          <w:sz w:val="20"/>
          <w:szCs w:val="20"/>
        </w:rPr>
        <w:t xml:space="preserve"> </w:t>
      </w:r>
      <w:r w:rsidRPr="000977F7">
        <w:rPr>
          <w:color w:val="auto"/>
          <w:sz w:val="20"/>
          <w:szCs w:val="20"/>
        </w:rPr>
        <w:t>ДОКУМЕНТІВ</w:t>
      </w:r>
      <w:r w:rsidRPr="000977F7">
        <w:rPr>
          <w:color w:val="auto"/>
          <w:spacing w:val="2"/>
          <w:sz w:val="20"/>
          <w:szCs w:val="20"/>
        </w:rPr>
        <w:t xml:space="preserve"> </w:t>
      </w:r>
      <w:r w:rsidRPr="000977F7">
        <w:rPr>
          <w:color w:val="auto"/>
          <w:sz w:val="20"/>
          <w:szCs w:val="20"/>
        </w:rPr>
        <w:t>–</w:t>
      </w:r>
    </w:p>
    <w:p w14:paraId="3DB70C2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Комплект</w:t>
      </w:r>
      <w:r w:rsidRPr="000977F7">
        <w:rPr>
          <w:rFonts w:asciiTheme="majorHAnsi" w:hAnsiTheme="majorHAnsi"/>
          <w:spacing w:val="5"/>
          <w:sz w:val="20"/>
          <w:szCs w:val="20"/>
        </w:rPr>
        <w:t xml:space="preserve"> </w:t>
      </w:r>
      <w:r w:rsidRPr="000977F7">
        <w:rPr>
          <w:rFonts w:asciiTheme="majorHAnsi" w:hAnsiTheme="majorHAnsi"/>
          <w:sz w:val="20"/>
          <w:szCs w:val="20"/>
        </w:rPr>
        <w:t>конструкторських</w:t>
      </w:r>
      <w:r w:rsidRPr="000977F7">
        <w:rPr>
          <w:rFonts w:asciiTheme="majorHAnsi" w:hAnsiTheme="majorHAnsi"/>
          <w:spacing w:val="5"/>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5"/>
          <w:sz w:val="20"/>
          <w:szCs w:val="20"/>
        </w:rPr>
        <w:t xml:space="preserve"> </w:t>
      </w:r>
      <w:r w:rsidRPr="000977F7">
        <w:rPr>
          <w:rFonts w:asciiTheme="majorHAnsi" w:hAnsiTheme="majorHAnsi"/>
          <w:sz w:val="20"/>
          <w:szCs w:val="20"/>
        </w:rPr>
        <w:t>стосуєть</w:t>
      </w:r>
      <w:r w:rsidRPr="000977F7">
        <w:rPr>
          <w:rFonts w:asciiTheme="majorHAnsi" w:hAnsiTheme="majorHAnsi"/>
          <w:spacing w:val="-47"/>
          <w:sz w:val="20"/>
          <w:szCs w:val="20"/>
        </w:rPr>
        <w:t xml:space="preserve"> </w:t>
      </w:r>
      <w:r w:rsidRPr="000977F7">
        <w:rPr>
          <w:rFonts w:asciiTheme="majorHAnsi" w:hAnsiTheme="majorHAnsi"/>
          <w:sz w:val="20"/>
          <w:szCs w:val="20"/>
        </w:rPr>
        <w:t>ся</w:t>
      </w:r>
      <w:r w:rsidRPr="000977F7">
        <w:rPr>
          <w:rFonts w:asciiTheme="majorHAnsi" w:hAnsiTheme="majorHAnsi"/>
          <w:spacing w:val="-2"/>
          <w:sz w:val="20"/>
          <w:szCs w:val="20"/>
        </w:rPr>
        <w:t xml:space="preserve"> </w:t>
      </w:r>
      <w:r w:rsidRPr="000977F7">
        <w:rPr>
          <w:rFonts w:asciiTheme="majorHAnsi" w:hAnsiTheme="majorHAnsi"/>
          <w:sz w:val="20"/>
          <w:szCs w:val="20"/>
        </w:rPr>
        <w:t>виробу</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цілому</w:t>
      </w:r>
    </w:p>
    <w:p w14:paraId="325A108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439F000" w14:textId="77777777" w:rsidR="0097612F" w:rsidRPr="000977F7" w:rsidRDefault="0097612F" w:rsidP="000977F7">
      <w:pPr>
        <w:pStyle w:val="af6"/>
        <w:tabs>
          <w:tab w:val="left" w:pos="284"/>
        </w:tabs>
        <w:spacing w:after="0"/>
        <w:ind w:left="170"/>
        <w:mirrorIndents/>
        <w:jc w:val="both"/>
        <w:rPr>
          <w:rFonts w:asciiTheme="majorHAnsi" w:hAnsiTheme="majorHAnsi"/>
          <w:spacing w:val="-4"/>
          <w:sz w:val="20"/>
          <w:szCs w:val="20"/>
        </w:rPr>
      </w:pPr>
      <w:r w:rsidRPr="000977F7">
        <w:rPr>
          <w:rFonts w:asciiTheme="majorHAnsi" w:hAnsiTheme="majorHAnsi"/>
          <w:spacing w:val="-3"/>
          <w:sz w:val="20"/>
          <w:szCs w:val="20"/>
        </w:rPr>
        <w:t>Конструкторські</w:t>
      </w:r>
      <w:r w:rsidRPr="000977F7">
        <w:rPr>
          <w:rFonts w:asciiTheme="majorHAnsi" w:hAnsiTheme="majorHAnsi"/>
          <w:spacing w:val="-2"/>
          <w:sz w:val="20"/>
          <w:szCs w:val="20"/>
        </w:rPr>
        <w:t xml:space="preserve"> </w:t>
      </w:r>
      <w:r w:rsidRPr="000977F7">
        <w:rPr>
          <w:rFonts w:asciiTheme="majorHAnsi" w:hAnsiTheme="majorHAnsi"/>
          <w:spacing w:val="-3"/>
          <w:sz w:val="20"/>
          <w:szCs w:val="20"/>
        </w:rPr>
        <w:t>документи</w:t>
      </w:r>
      <w:r w:rsidRPr="000977F7">
        <w:rPr>
          <w:rFonts w:asciiTheme="majorHAnsi" w:hAnsiTheme="majorHAnsi"/>
          <w:spacing w:val="-2"/>
          <w:sz w:val="20"/>
          <w:szCs w:val="20"/>
        </w:rPr>
        <w:t xml:space="preserve"> </w:t>
      </w:r>
      <w:r w:rsidRPr="000977F7">
        <w:rPr>
          <w:rFonts w:asciiTheme="majorHAnsi" w:hAnsiTheme="majorHAnsi"/>
          <w:spacing w:val="-3"/>
          <w:sz w:val="20"/>
          <w:szCs w:val="20"/>
        </w:rPr>
        <w:t>складових</w:t>
      </w:r>
      <w:r w:rsidRPr="000977F7">
        <w:rPr>
          <w:rFonts w:asciiTheme="majorHAnsi" w:hAnsiTheme="majorHAnsi"/>
          <w:spacing w:val="-2"/>
          <w:sz w:val="20"/>
          <w:szCs w:val="20"/>
        </w:rPr>
        <w:t xml:space="preserve"> </w:t>
      </w:r>
      <w:r w:rsidRPr="000977F7">
        <w:rPr>
          <w:rFonts w:asciiTheme="majorHAnsi" w:hAnsiTheme="majorHAnsi"/>
          <w:spacing w:val="-3"/>
          <w:sz w:val="20"/>
          <w:szCs w:val="20"/>
        </w:rPr>
        <w:t>частин до</w:t>
      </w:r>
      <w:r w:rsidRPr="000977F7">
        <w:rPr>
          <w:rFonts w:asciiTheme="majorHAnsi" w:hAnsiTheme="majorHAnsi"/>
          <w:spacing w:val="-1"/>
          <w:sz w:val="20"/>
          <w:szCs w:val="20"/>
        </w:rPr>
        <w:t xml:space="preserve"> </w:t>
      </w:r>
      <w:r w:rsidRPr="000977F7">
        <w:rPr>
          <w:rFonts w:asciiTheme="majorHAnsi" w:hAnsiTheme="majorHAnsi"/>
          <w:spacing w:val="-2"/>
          <w:sz w:val="20"/>
          <w:szCs w:val="20"/>
        </w:rPr>
        <w:t>основ</w:t>
      </w:r>
      <w:r w:rsidRPr="000977F7">
        <w:rPr>
          <w:rFonts w:asciiTheme="majorHAnsi" w:hAnsiTheme="majorHAnsi"/>
          <w:spacing w:val="-47"/>
          <w:sz w:val="20"/>
          <w:szCs w:val="20"/>
        </w:rPr>
        <w:t xml:space="preserve"> </w:t>
      </w:r>
      <w:r w:rsidRPr="000977F7">
        <w:rPr>
          <w:rFonts w:asciiTheme="majorHAnsi" w:hAnsiTheme="majorHAnsi"/>
          <w:spacing w:val="-6"/>
          <w:sz w:val="20"/>
          <w:szCs w:val="20"/>
        </w:rPr>
        <w:t xml:space="preserve">ного комплекту конструкторських документів </w:t>
      </w:r>
      <w:r w:rsidRPr="000977F7">
        <w:rPr>
          <w:rFonts w:asciiTheme="majorHAnsi" w:hAnsiTheme="majorHAnsi"/>
          <w:spacing w:val="-5"/>
          <w:sz w:val="20"/>
          <w:szCs w:val="20"/>
        </w:rPr>
        <w:t>не входять</w:t>
      </w:r>
      <w:r w:rsidRPr="000977F7">
        <w:rPr>
          <w:rFonts w:asciiTheme="majorHAnsi" w:hAnsiTheme="majorHAnsi"/>
          <w:spacing w:val="-4"/>
          <w:sz w:val="20"/>
          <w:szCs w:val="20"/>
        </w:rPr>
        <w:t xml:space="preserve"> </w:t>
      </w:r>
    </w:p>
    <w:p w14:paraId="7DB916B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3321</w:t>
      </w:r>
      <w:r w:rsidRPr="000977F7">
        <w:rPr>
          <w:rFonts w:asciiTheme="majorHAnsi" w:hAnsiTheme="majorHAnsi"/>
          <w:i/>
          <w:spacing w:val="2"/>
          <w:sz w:val="20"/>
          <w:szCs w:val="20"/>
        </w:rPr>
        <w:t xml:space="preserve"> </w:t>
      </w:r>
      <w:r w:rsidRPr="000977F7">
        <w:rPr>
          <w:rFonts w:asciiTheme="majorHAnsi" w:hAnsiTheme="majorHAnsi"/>
          <w:i/>
          <w:sz w:val="20"/>
          <w:szCs w:val="20"/>
        </w:rPr>
        <w:t>– 2003</w:t>
      </w:r>
    </w:p>
    <w:p w14:paraId="40A9B88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ОСНОВНИЙ КОНСТРУКТОРСЬКИЙ ДОКУМЕНТ</w:t>
      </w:r>
      <w:r w:rsidRPr="000977F7">
        <w:rPr>
          <w:color w:val="auto"/>
          <w:spacing w:val="-2"/>
          <w:sz w:val="20"/>
          <w:szCs w:val="20"/>
        </w:rPr>
        <w:t xml:space="preserve"> </w:t>
      </w:r>
      <w:r w:rsidRPr="000977F7">
        <w:rPr>
          <w:color w:val="auto"/>
          <w:sz w:val="20"/>
          <w:szCs w:val="20"/>
        </w:rPr>
        <w:t>–</w:t>
      </w:r>
    </w:p>
    <w:p w14:paraId="4A1927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Конструкторський документ, який окремо чи в сукупності з іншими зазначеними в ньому конструкторськими документами повністю й однозначно визначає</w:t>
      </w:r>
      <w:r w:rsidRPr="000977F7">
        <w:rPr>
          <w:rFonts w:asciiTheme="majorHAnsi" w:hAnsiTheme="majorHAnsi"/>
          <w:spacing w:val="1"/>
          <w:sz w:val="20"/>
          <w:szCs w:val="20"/>
        </w:rPr>
        <w:t xml:space="preserve"> </w:t>
      </w:r>
      <w:r w:rsidRPr="000977F7">
        <w:rPr>
          <w:rFonts w:asciiTheme="majorHAnsi" w:hAnsiTheme="majorHAnsi"/>
          <w:sz w:val="20"/>
          <w:szCs w:val="20"/>
        </w:rPr>
        <w:t>певний</w:t>
      </w:r>
      <w:r w:rsidRPr="000977F7">
        <w:rPr>
          <w:rFonts w:asciiTheme="majorHAnsi" w:hAnsiTheme="majorHAnsi"/>
          <w:spacing w:val="-2"/>
          <w:sz w:val="20"/>
          <w:szCs w:val="20"/>
        </w:rPr>
        <w:t xml:space="preserve"> </w:t>
      </w:r>
      <w:r w:rsidRPr="000977F7">
        <w:rPr>
          <w:rFonts w:asciiTheme="majorHAnsi" w:hAnsiTheme="majorHAnsi"/>
          <w:sz w:val="20"/>
          <w:szCs w:val="20"/>
        </w:rPr>
        <w:t>виріб</w:t>
      </w:r>
      <w:r w:rsidRPr="000977F7">
        <w:rPr>
          <w:rFonts w:asciiTheme="majorHAnsi" w:hAnsiTheme="majorHAnsi"/>
          <w:spacing w:val="-1"/>
          <w:sz w:val="20"/>
          <w:szCs w:val="20"/>
        </w:rPr>
        <w:t xml:space="preserve"> </w:t>
      </w:r>
      <w:r w:rsidRPr="000977F7">
        <w:rPr>
          <w:rFonts w:asciiTheme="majorHAnsi" w:hAnsiTheme="majorHAnsi"/>
          <w:sz w:val="20"/>
          <w:szCs w:val="20"/>
        </w:rPr>
        <w:t>та його</w:t>
      </w:r>
      <w:r w:rsidRPr="000977F7">
        <w:rPr>
          <w:rFonts w:asciiTheme="majorHAnsi" w:hAnsiTheme="majorHAnsi"/>
          <w:spacing w:val="1"/>
          <w:sz w:val="20"/>
          <w:szCs w:val="20"/>
        </w:rPr>
        <w:t xml:space="preserve"> </w:t>
      </w:r>
      <w:r w:rsidRPr="000977F7">
        <w:rPr>
          <w:rFonts w:asciiTheme="majorHAnsi" w:hAnsiTheme="majorHAnsi"/>
          <w:sz w:val="20"/>
          <w:szCs w:val="20"/>
        </w:rPr>
        <w:t>склад</w:t>
      </w:r>
    </w:p>
    <w:p w14:paraId="41FB076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6585F7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Основним конструкторським документом для складальних одиниць, комплексів та комплектів є специфікація,</w:t>
      </w:r>
      <w:r w:rsidRPr="000977F7">
        <w:rPr>
          <w:rFonts w:asciiTheme="majorHAnsi" w:hAnsiTheme="majorHAnsi"/>
          <w:spacing w:val="-1"/>
          <w:sz w:val="20"/>
          <w:szCs w:val="20"/>
        </w:rPr>
        <w:t xml:space="preserve"> </w:t>
      </w:r>
      <w:r w:rsidRPr="000977F7">
        <w:rPr>
          <w:rFonts w:asciiTheme="majorHAnsi" w:hAnsiTheme="majorHAnsi"/>
          <w:sz w:val="20"/>
          <w:szCs w:val="20"/>
        </w:rPr>
        <w:t>а для</w:t>
      </w:r>
      <w:r w:rsidRPr="000977F7">
        <w:rPr>
          <w:rFonts w:asciiTheme="majorHAnsi" w:hAnsiTheme="majorHAnsi"/>
          <w:spacing w:val="1"/>
          <w:sz w:val="20"/>
          <w:szCs w:val="20"/>
        </w:rPr>
        <w:t xml:space="preserve"> </w:t>
      </w:r>
      <w:r w:rsidRPr="000977F7">
        <w:rPr>
          <w:rFonts w:asciiTheme="majorHAnsi" w:hAnsiTheme="majorHAnsi"/>
          <w:sz w:val="20"/>
          <w:szCs w:val="20"/>
        </w:rPr>
        <w:t>деталей</w:t>
      </w:r>
      <w:r w:rsidRPr="000977F7">
        <w:rPr>
          <w:rFonts w:asciiTheme="majorHAnsi" w:hAnsiTheme="majorHAnsi"/>
          <w:spacing w:val="2"/>
          <w:sz w:val="20"/>
          <w:szCs w:val="20"/>
        </w:rPr>
        <w:t xml:space="preserve"> </w:t>
      </w:r>
      <w:r w:rsidRPr="000977F7">
        <w:rPr>
          <w:rFonts w:asciiTheme="majorHAnsi" w:hAnsiTheme="majorHAnsi"/>
          <w:sz w:val="20"/>
          <w:szCs w:val="20"/>
        </w:rPr>
        <w:t>креслення</w:t>
      </w:r>
      <w:r w:rsidRPr="000977F7">
        <w:rPr>
          <w:rFonts w:asciiTheme="majorHAnsi" w:hAnsiTheme="majorHAnsi"/>
          <w:spacing w:val="-2"/>
          <w:sz w:val="20"/>
          <w:szCs w:val="20"/>
        </w:rPr>
        <w:t xml:space="preserve"> </w:t>
      </w:r>
      <w:r w:rsidRPr="000977F7">
        <w:rPr>
          <w:rFonts w:asciiTheme="majorHAnsi" w:hAnsiTheme="majorHAnsi"/>
          <w:sz w:val="20"/>
          <w:szCs w:val="20"/>
        </w:rPr>
        <w:t>деталі</w:t>
      </w:r>
    </w:p>
    <w:p w14:paraId="1753895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7AC9778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ОСНОВНИЙ</w:t>
      </w:r>
      <w:r w:rsidRPr="000977F7">
        <w:rPr>
          <w:color w:val="auto"/>
          <w:spacing w:val="-6"/>
          <w:sz w:val="20"/>
          <w:szCs w:val="20"/>
        </w:rPr>
        <w:t xml:space="preserve"> </w:t>
      </w:r>
      <w:r w:rsidRPr="000977F7">
        <w:rPr>
          <w:color w:val="auto"/>
          <w:sz w:val="20"/>
          <w:szCs w:val="20"/>
        </w:rPr>
        <w:t>МАТЕРІАЛ</w:t>
      </w:r>
      <w:r w:rsidRPr="000977F7">
        <w:rPr>
          <w:color w:val="auto"/>
          <w:spacing w:val="1"/>
          <w:sz w:val="20"/>
          <w:szCs w:val="20"/>
        </w:rPr>
        <w:t xml:space="preserve"> </w:t>
      </w:r>
      <w:r w:rsidRPr="000977F7">
        <w:rPr>
          <w:color w:val="auto"/>
          <w:sz w:val="20"/>
          <w:szCs w:val="20"/>
        </w:rPr>
        <w:t>–</w:t>
      </w:r>
    </w:p>
    <w:p w14:paraId="1DFC09A2"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Матеріал первинної заготовки</w:t>
      </w:r>
      <w:r w:rsidRPr="000977F7">
        <w:rPr>
          <w:rFonts w:asciiTheme="majorHAnsi" w:hAnsiTheme="majorHAnsi"/>
          <w:spacing w:val="-47"/>
          <w:sz w:val="20"/>
          <w:szCs w:val="20"/>
        </w:rPr>
        <w:t xml:space="preserve"> </w:t>
      </w:r>
    </w:p>
    <w:p w14:paraId="690A425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99F460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 основного матеріалу відносять матеріал,</w:t>
      </w:r>
      <w:r w:rsidRPr="000977F7">
        <w:rPr>
          <w:rFonts w:asciiTheme="majorHAnsi" w:hAnsiTheme="majorHAnsi"/>
          <w:spacing w:val="1"/>
          <w:sz w:val="20"/>
          <w:szCs w:val="20"/>
        </w:rPr>
        <w:t xml:space="preserve"> </w:t>
      </w:r>
      <w:r w:rsidRPr="000977F7">
        <w:rPr>
          <w:rFonts w:asciiTheme="majorHAnsi" w:hAnsiTheme="majorHAnsi"/>
          <w:sz w:val="20"/>
          <w:szCs w:val="20"/>
        </w:rPr>
        <w:t>маса якого входить у масу виробу під час виконання технологічного процесу, наприклад, матеріал зварювального</w:t>
      </w:r>
      <w:r w:rsidRPr="000977F7">
        <w:rPr>
          <w:rFonts w:asciiTheme="majorHAnsi" w:hAnsiTheme="majorHAnsi"/>
          <w:spacing w:val="1"/>
          <w:sz w:val="20"/>
          <w:szCs w:val="20"/>
        </w:rPr>
        <w:t xml:space="preserve"> </w:t>
      </w:r>
      <w:r w:rsidRPr="000977F7">
        <w:rPr>
          <w:rFonts w:asciiTheme="majorHAnsi" w:hAnsiTheme="majorHAnsi"/>
          <w:sz w:val="20"/>
          <w:szCs w:val="20"/>
        </w:rPr>
        <w:t>електрода,</w:t>
      </w:r>
      <w:r w:rsidRPr="000977F7">
        <w:rPr>
          <w:rFonts w:asciiTheme="majorHAnsi" w:hAnsiTheme="majorHAnsi"/>
          <w:spacing w:val="-1"/>
          <w:sz w:val="20"/>
          <w:szCs w:val="20"/>
        </w:rPr>
        <w:t xml:space="preserve"> </w:t>
      </w:r>
      <w:r w:rsidRPr="000977F7">
        <w:rPr>
          <w:rFonts w:asciiTheme="majorHAnsi" w:hAnsiTheme="majorHAnsi"/>
          <w:sz w:val="20"/>
          <w:szCs w:val="20"/>
        </w:rPr>
        <w:t>припою</w:t>
      </w:r>
      <w:r w:rsidRPr="000977F7">
        <w:rPr>
          <w:rFonts w:asciiTheme="majorHAnsi" w:hAnsiTheme="majorHAnsi"/>
          <w:spacing w:val="2"/>
          <w:sz w:val="20"/>
          <w:szCs w:val="20"/>
        </w:rPr>
        <w:t xml:space="preserve"> </w:t>
      </w:r>
      <w:r w:rsidRPr="000977F7">
        <w:rPr>
          <w:rFonts w:asciiTheme="majorHAnsi" w:hAnsiTheme="majorHAnsi"/>
          <w:sz w:val="20"/>
          <w:szCs w:val="20"/>
        </w:rPr>
        <w:t>тощо</w:t>
      </w:r>
    </w:p>
    <w:p w14:paraId="7E4DD57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2391 – 2010; ДСТУ 2960 – 94</w:t>
      </w:r>
    </w:p>
    <w:p w14:paraId="0B02A05B"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i/>
          <w:spacing w:val="-47"/>
          <w:sz w:val="20"/>
          <w:szCs w:val="20"/>
        </w:rPr>
        <w:t xml:space="preserve"> </w:t>
      </w:r>
      <w:r w:rsidRPr="000977F7">
        <w:rPr>
          <w:rFonts w:asciiTheme="majorHAnsi" w:hAnsiTheme="majorHAnsi"/>
          <w:b/>
          <w:sz w:val="20"/>
          <w:szCs w:val="20"/>
        </w:rPr>
        <w:t xml:space="preserve">ОСНОВНИЙ ПАРАМЕТР </w:t>
      </w:r>
      <w:r w:rsidRPr="000977F7">
        <w:rPr>
          <w:rFonts w:asciiTheme="majorHAnsi" w:hAnsiTheme="majorHAnsi"/>
          <w:sz w:val="20"/>
          <w:szCs w:val="20"/>
        </w:rPr>
        <w:t>–</w:t>
      </w:r>
    </w:p>
    <w:p w14:paraId="7ECE750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MAIN</w:t>
      </w:r>
      <w:r w:rsidRPr="000977F7">
        <w:rPr>
          <w:rFonts w:asciiTheme="majorHAnsi" w:hAnsiTheme="majorHAnsi"/>
          <w:spacing w:val="-1"/>
          <w:sz w:val="20"/>
          <w:szCs w:val="20"/>
        </w:rPr>
        <w:t xml:space="preserve"> </w:t>
      </w:r>
      <w:r w:rsidRPr="000977F7">
        <w:rPr>
          <w:rFonts w:asciiTheme="majorHAnsi" w:hAnsiTheme="majorHAnsi"/>
          <w:sz w:val="20"/>
          <w:szCs w:val="20"/>
        </w:rPr>
        <w:t>PARAMETER</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16CBA07"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sz w:val="20"/>
          <w:szCs w:val="20"/>
        </w:rPr>
        <w:t>Вихідний</w:t>
      </w:r>
      <w:r w:rsidRPr="000977F7">
        <w:rPr>
          <w:rFonts w:asciiTheme="majorHAnsi" w:hAnsiTheme="majorHAnsi"/>
          <w:spacing w:val="7"/>
          <w:sz w:val="20"/>
          <w:szCs w:val="20"/>
        </w:rPr>
        <w:t xml:space="preserve"> </w:t>
      </w:r>
      <w:r w:rsidRPr="000977F7">
        <w:rPr>
          <w:rFonts w:asciiTheme="majorHAnsi" w:hAnsiTheme="majorHAnsi"/>
          <w:sz w:val="20"/>
          <w:szCs w:val="20"/>
        </w:rPr>
        <w:t>параметр,</w:t>
      </w:r>
      <w:r w:rsidRPr="000977F7">
        <w:rPr>
          <w:rFonts w:asciiTheme="majorHAnsi" w:hAnsiTheme="majorHAnsi"/>
          <w:spacing w:val="6"/>
          <w:sz w:val="20"/>
          <w:szCs w:val="20"/>
        </w:rPr>
        <w:t xml:space="preserve"> </w:t>
      </w:r>
      <w:r w:rsidRPr="000977F7">
        <w:rPr>
          <w:rFonts w:asciiTheme="majorHAnsi" w:hAnsiTheme="majorHAnsi"/>
          <w:sz w:val="20"/>
          <w:szCs w:val="20"/>
        </w:rPr>
        <w:t>відхилення</w:t>
      </w:r>
      <w:r w:rsidRPr="000977F7">
        <w:rPr>
          <w:rFonts w:asciiTheme="majorHAnsi" w:hAnsiTheme="majorHAnsi"/>
          <w:spacing w:val="6"/>
          <w:sz w:val="20"/>
          <w:szCs w:val="20"/>
        </w:rPr>
        <w:t xml:space="preserve"> </w:t>
      </w:r>
      <w:r w:rsidRPr="000977F7">
        <w:rPr>
          <w:rFonts w:asciiTheme="majorHAnsi" w:hAnsiTheme="majorHAnsi"/>
          <w:sz w:val="20"/>
          <w:szCs w:val="20"/>
        </w:rPr>
        <w:t>значень</w:t>
      </w:r>
      <w:r w:rsidRPr="000977F7">
        <w:rPr>
          <w:rFonts w:asciiTheme="majorHAnsi" w:hAnsiTheme="majorHAnsi"/>
          <w:spacing w:val="6"/>
          <w:sz w:val="20"/>
          <w:szCs w:val="20"/>
        </w:rPr>
        <w:t xml:space="preserve"> </w:t>
      </w:r>
      <w:r w:rsidRPr="000977F7">
        <w:rPr>
          <w:rFonts w:asciiTheme="majorHAnsi" w:hAnsiTheme="majorHAnsi"/>
          <w:sz w:val="20"/>
          <w:szCs w:val="20"/>
        </w:rPr>
        <w:t>якого</w:t>
      </w:r>
      <w:r w:rsidRPr="000977F7">
        <w:rPr>
          <w:rFonts w:asciiTheme="majorHAnsi" w:hAnsiTheme="majorHAnsi"/>
          <w:spacing w:val="6"/>
          <w:sz w:val="20"/>
          <w:szCs w:val="20"/>
        </w:rPr>
        <w:t xml:space="preserve"> </w:t>
      </w:r>
      <w:r w:rsidRPr="000977F7">
        <w:rPr>
          <w:rFonts w:asciiTheme="majorHAnsi" w:hAnsiTheme="majorHAnsi"/>
          <w:sz w:val="20"/>
          <w:szCs w:val="20"/>
        </w:rPr>
        <w:t>за</w:t>
      </w:r>
      <w:r w:rsidRPr="000977F7">
        <w:rPr>
          <w:rFonts w:asciiTheme="majorHAnsi" w:hAnsiTheme="majorHAnsi"/>
          <w:spacing w:val="7"/>
          <w:sz w:val="20"/>
          <w:szCs w:val="20"/>
        </w:rPr>
        <w:t xml:space="preserve"> </w:t>
      </w:r>
      <w:r w:rsidRPr="000977F7">
        <w:rPr>
          <w:rFonts w:asciiTheme="majorHAnsi" w:hAnsiTheme="majorHAnsi"/>
          <w:sz w:val="20"/>
          <w:szCs w:val="20"/>
        </w:rPr>
        <w:t>межі</w:t>
      </w:r>
      <w:r w:rsidRPr="000977F7">
        <w:rPr>
          <w:rFonts w:asciiTheme="majorHAnsi" w:hAnsiTheme="majorHAnsi"/>
          <w:spacing w:val="-47"/>
          <w:sz w:val="20"/>
          <w:szCs w:val="20"/>
        </w:rPr>
        <w:t xml:space="preserve"> </w:t>
      </w:r>
      <w:r w:rsidRPr="000977F7">
        <w:rPr>
          <w:rFonts w:asciiTheme="majorHAnsi" w:hAnsiTheme="majorHAnsi"/>
          <w:sz w:val="20"/>
          <w:szCs w:val="20"/>
        </w:rPr>
        <w:t>встановленого допуску означає відмову об’єкта</w:t>
      </w:r>
      <w:r w:rsidRPr="000977F7">
        <w:rPr>
          <w:rFonts w:asciiTheme="majorHAnsi" w:hAnsiTheme="majorHAnsi"/>
          <w:spacing w:val="1"/>
          <w:sz w:val="20"/>
          <w:szCs w:val="20"/>
        </w:rPr>
        <w:t xml:space="preserve"> </w:t>
      </w:r>
      <w:r w:rsidRPr="000977F7">
        <w:rPr>
          <w:rFonts w:asciiTheme="majorHAnsi" w:hAnsiTheme="majorHAnsi"/>
          <w:b/>
          <w:sz w:val="20"/>
          <w:szCs w:val="20"/>
        </w:rPr>
        <w:t>ОСНОВНИЙ</w:t>
      </w:r>
      <w:r w:rsidRPr="000977F7">
        <w:rPr>
          <w:rFonts w:asciiTheme="majorHAnsi" w:hAnsiTheme="majorHAnsi"/>
          <w:b/>
          <w:spacing w:val="-3"/>
          <w:sz w:val="20"/>
          <w:szCs w:val="20"/>
        </w:rPr>
        <w:t xml:space="preserve"> </w:t>
      </w:r>
      <w:r w:rsidRPr="000977F7">
        <w:rPr>
          <w:rFonts w:asciiTheme="majorHAnsi" w:hAnsiTheme="majorHAnsi"/>
          <w:b/>
          <w:sz w:val="20"/>
          <w:szCs w:val="20"/>
        </w:rPr>
        <w:t>РІВЕНЬ ФАКТОРА</w:t>
      </w:r>
      <w:r w:rsidRPr="000977F7">
        <w:rPr>
          <w:rFonts w:asciiTheme="majorHAnsi" w:hAnsiTheme="majorHAnsi"/>
          <w:b/>
          <w:spacing w:val="3"/>
          <w:sz w:val="20"/>
          <w:szCs w:val="20"/>
        </w:rPr>
        <w:t xml:space="preserve"> </w:t>
      </w:r>
      <w:r w:rsidRPr="000977F7">
        <w:rPr>
          <w:rFonts w:asciiTheme="majorHAnsi" w:hAnsiTheme="majorHAnsi"/>
          <w:b/>
          <w:sz w:val="20"/>
          <w:szCs w:val="20"/>
        </w:rPr>
        <w:t>–</w:t>
      </w:r>
    </w:p>
    <w:p w14:paraId="53297D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Натуральне значення фактора, яке відповідає нулю в</w:t>
      </w:r>
      <w:r w:rsidRPr="000977F7">
        <w:rPr>
          <w:rFonts w:asciiTheme="majorHAnsi" w:hAnsiTheme="majorHAnsi"/>
          <w:spacing w:val="1"/>
          <w:sz w:val="20"/>
          <w:szCs w:val="20"/>
        </w:rPr>
        <w:t xml:space="preserve"> </w:t>
      </w:r>
      <w:r w:rsidRPr="000977F7">
        <w:rPr>
          <w:rFonts w:asciiTheme="majorHAnsi" w:hAnsiTheme="majorHAnsi"/>
          <w:sz w:val="20"/>
          <w:szCs w:val="20"/>
        </w:rPr>
        <w:t>безрозмірній</w:t>
      </w:r>
      <w:r w:rsidRPr="000977F7">
        <w:rPr>
          <w:rFonts w:asciiTheme="majorHAnsi" w:hAnsiTheme="majorHAnsi"/>
          <w:spacing w:val="-2"/>
          <w:sz w:val="20"/>
          <w:szCs w:val="20"/>
        </w:rPr>
        <w:t xml:space="preserve"> </w:t>
      </w:r>
      <w:r w:rsidRPr="000977F7">
        <w:rPr>
          <w:rFonts w:asciiTheme="majorHAnsi" w:hAnsiTheme="majorHAnsi"/>
          <w:sz w:val="20"/>
          <w:szCs w:val="20"/>
        </w:rPr>
        <w:t>шкалі</w:t>
      </w:r>
    </w:p>
    <w:p w14:paraId="79CB0FF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ОСНОВНИЙ</w:t>
      </w:r>
      <w:r w:rsidRPr="000977F7">
        <w:rPr>
          <w:color w:val="auto"/>
          <w:spacing w:val="-2"/>
          <w:sz w:val="20"/>
          <w:szCs w:val="20"/>
        </w:rPr>
        <w:t xml:space="preserve"> </w:t>
      </w:r>
      <w:r w:rsidRPr="000977F7">
        <w:rPr>
          <w:color w:val="auto"/>
          <w:sz w:val="20"/>
          <w:szCs w:val="20"/>
        </w:rPr>
        <w:t>ЧАС –</w:t>
      </w:r>
    </w:p>
    <w:p w14:paraId="7E3033F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DIRECT MANUFACTURE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1A45B43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Частина поштучного часу, яку витрачають на змінювання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наступне</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стану</w:t>
      </w:r>
      <w:r w:rsidRPr="000977F7">
        <w:rPr>
          <w:rFonts w:asciiTheme="majorHAnsi" w:hAnsiTheme="majorHAnsi"/>
          <w:spacing w:val="1"/>
          <w:sz w:val="20"/>
          <w:szCs w:val="20"/>
        </w:rPr>
        <w:t xml:space="preserve"> </w:t>
      </w:r>
      <w:r w:rsidRPr="000977F7">
        <w:rPr>
          <w:rFonts w:asciiTheme="majorHAnsi" w:hAnsiTheme="majorHAnsi"/>
          <w:sz w:val="20"/>
          <w:szCs w:val="20"/>
        </w:rPr>
        <w:t>предмета</w:t>
      </w:r>
      <w:r w:rsidRPr="000977F7">
        <w:rPr>
          <w:rFonts w:asciiTheme="majorHAnsi" w:hAnsiTheme="majorHAnsi"/>
          <w:spacing w:val="1"/>
          <w:sz w:val="20"/>
          <w:szCs w:val="20"/>
        </w:rPr>
        <w:t xml:space="preserve"> </w:t>
      </w:r>
      <w:r w:rsidRPr="000977F7">
        <w:rPr>
          <w:rFonts w:asciiTheme="majorHAnsi" w:hAnsiTheme="majorHAnsi"/>
          <w:sz w:val="20"/>
          <w:szCs w:val="20"/>
        </w:rPr>
        <w:t>праці</w:t>
      </w:r>
    </w:p>
    <w:p w14:paraId="7F1E773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4ED07AC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ОСНОВНИЙ ЧАС ТЕХНІЧНОГО ОБСЛУГОВУВАННЯ</w:t>
      </w:r>
      <w:r w:rsidRPr="000977F7">
        <w:rPr>
          <w:color w:val="auto"/>
          <w:spacing w:val="-1"/>
          <w:sz w:val="20"/>
          <w:szCs w:val="20"/>
        </w:rPr>
        <w:t xml:space="preserve"> </w:t>
      </w:r>
      <w:r w:rsidRPr="000977F7">
        <w:rPr>
          <w:color w:val="auto"/>
          <w:sz w:val="20"/>
          <w:szCs w:val="20"/>
        </w:rPr>
        <w:t>(РЕМОНТУ)</w:t>
      </w:r>
      <w:r w:rsidRPr="000977F7">
        <w:rPr>
          <w:color w:val="auto"/>
          <w:spacing w:val="3"/>
          <w:sz w:val="20"/>
          <w:szCs w:val="20"/>
        </w:rPr>
        <w:t xml:space="preserve"> </w:t>
      </w:r>
      <w:r w:rsidRPr="000977F7">
        <w:rPr>
          <w:color w:val="auto"/>
          <w:sz w:val="20"/>
          <w:szCs w:val="20"/>
        </w:rPr>
        <w:t>–</w:t>
      </w:r>
    </w:p>
    <w:p w14:paraId="2F022F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1"/>
          <w:sz w:val="20"/>
          <w:szCs w:val="20"/>
        </w:rPr>
        <w:t xml:space="preserve"> </w:t>
      </w:r>
      <w:r w:rsidRPr="000977F7">
        <w:rPr>
          <w:rFonts w:asciiTheme="majorHAnsi" w:hAnsiTheme="majorHAnsi"/>
          <w:sz w:val="20"/>
          <w:szCs w:val="20"/>
        </w:rPr>
        <w:t>оперативного</w:t>
      </w:r>
      <w:r w:rsidRPr="000977F7">
        <w:rPr>
          <w:rFonts w:asciiTheme="majorHAnsi" w:hAnsiTheme="majorHAnsi"/>
          <w:spacing w:val="1"/>
          <w:sz w:val="20"/>
          <w:szCs w:val="20"/>
        </w:rPr>
        <w:t xml:space="preserve"> </w:t>
      </w:r>
      <w:r w:rsidRPr="000977F7">
        <w:rPr>
          <w:rFonts w:asciiTheme="majorHAnsi" w:hAnsiTheme="majorHAnsi"/>
          <w:sz w:val="20"/>
          <w:szCs w:val="20"/>
        </w:rPr>
        <w:t>часу,</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витрачається</w:t>
      </w:r>
      <w:r w:rsidRPr="000977F7">
        <w:rPr>
          <w:rFonts w:asciiTheme="majorHAnsi" w:hAnsiTheme="majorHAnsi"/>
          <w:spacing w:val="1"/>
          <w:sz w:val="20"/>
          <w:szCs w:val="20"/>
        </w:rPr>
        <w:t xml:space="preserve"> </w:t>
      </w:r>
      <w:r w:rsidRPr="000977F7">
        <w:rPr>
          <w:rFonts w:asciiTheme="majorHAnsi" w:hAnsiTheme="majorHAnsi"/>
          <w:sz w:val="20"/>
          <w:szCs w:val="20"/>
        </w:rPr>
        <w:t>виконавцем на виконання операції технічного обслуговування</w:t>
      </w:r>
      <w:r w:rsidRPr="000977F7">
        <w:rPr>
          <w:rFonts w:asciiTheme="majorHAnsi" w:hAnsiTheme="majorHAnsi"/>
          <w:spacing w:val="-2"/>
          <w:sz w:val="20"/>
          <w:szCs w:val="20"/>
        </w:rPr>
        <w:t xml:space="preserve"> </w:t>
      </w:r>
      <w:r w:rsidRPr="000977F7">
        <w:rPr>
          <w:rFonts w:asciiTheme="majorHAnsi" w:hAnsiTheme="majorHAnsi"/>
          <w:sz w:val="20"/>
          <w:szCs w:val="20"/>
        </w:rPr>
        <w:t>(ремонту)</w:t>
      </w:r>
      <w:r w:rsidRPr="000977F7">
        <w:rPr>
          <w:rFonts w:asciiTheme="majorHAnsi" w:hAnsiTheme="majorHAnsi"/>
          <w:spacing w:val="-1"/>
          <w:sz w:val="20"/>
          <w:szCs w:val="20"/>
        </w:rPr>
        <w:t xml:space="preserve"> </w:t>
      </w:r>
      <w:r w:rsidRPr="000977F7">
        <w:rPr>
          <w:rFonts w:asciiTheme="majorHAnsi" w:hAnsiTheme="majorHAnsi"/>
          <w:sz w:val="20"/>
          <w:szCs w:val="20"/>
        </w:rPr>
        <w:t>без</w:t>
      </w:r>
      <w:r w:rsidRPr="000977F7">
        <w:rPr>
          <w:rFonts w:asciiTheme="majorHAnsi" w:hAnsiTheme="majorHAnsi"/>
          <w:spacing w:val="-1"/>
          <w:sz w:val="20"/>
          <w:szCs w:val="20"/>
        </w:rPr>
        <w:t xml:space="preserve"> </w:t>
      </w:r>
      <w:r w:rsidRPr="000977F7">
        <w:rPr>
          <w:rFonts w:asciiTheme="majorHAnsi" w:hAnsiTheme="majorHAnsi"/>
          <w:sz w:val="20"/>
          <w:szCs w:val="20"/>
        </w:rPr>
        <w:t>обліку допоміжного часу</w:t>
      </w:r>
    </w:p>
    <w:p w14:paraId="01D3157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ОСНОВНІ ЗАСАДИ РОЗРОБЛЕННЯ НАЦІОНАЛЬНИХ СТАНДАРТІВ, КОДЕКСІВ УСТАЛЕНОЇ</w:t>
      </w:r>
      <w:r w:rsidRPr="000977F7">
        <w:rPr>
          <w:color w:val="auto"/>
          <w:spacing w:val="1"/>
          <w:sz w:val="20"/>
          <w:szCs w:val="20"/>
        </w:rPr>
        <w:t xml:space="preserve"> </w:t>
      </w:r>
      <w:r w:rsidRPr="000977F7">
        <w:rPr>
          <w:color w:val="auto"/>
          <w:sz w:val="20"/>
          <w:szCs w:val="20"/>
        </w:rPr>
        <w:t>ПРАКТИКИ</w:t>
      </w:r>
      <w:r w:rsidRPr="000977F7">
        <w:rPr>
          <w:color w:val="auto"/>
          <w:spacing w:val="-1"/>
          <w:sz w:val="20"/>
          <w:szCs w:val="20"/>
        </w:rPr>
        <w:t xml:space="preserve"> </w:t>
      </w:r>
      <w:r w:rsidRPr="000977F7">
        <w:rPr>
          <w:color w:val="auto"/>
          <w:sz w:val="20"/>
          <w:szCs w:val="20"/>
        </w:rPr>
        <w:t>ТА ЗМІН</w:t>
      </w:r>
      <w:r w:rsidRPr="000977F7">
        <w:rPr>
          <w:color w:val="auto"/>
          <w:spacing w:val="1"/>
          <w:sz w:val="20"/>
          <w:szCs w:val="20"/>
        </w:rPr>
        <w:t xml:space="preserve"> </w:t>
      </w:r>
      <w:r w:rsidRPr="000977F7">
        <w:rPr>
          <w:color w:val="auto"/>
          <w:sz w:val="20"/>
          <w:szCs w:val="20"/>
        </w:rPr>
        <w:t>ДО</w:t>
      </w:r>
      <w:r w:rsidRPr="000977F7">
        <w:rPr>
          <w:color w:val="auto"/>
          <w:spacing w:val="-3"/>
          <w:sz w:val="20"/>
          <w:szCs w:val="20"/>
        </w:rPr>
        <w:t xml:space="preserve"> </w:t>
      </w:r>
      <w:r w:rsidRPr="000977F7">
        <w:rPr>
          <w:color w:val="auto"/>
          <w:sz w:val="20"/>
          <w:szCs w:val="20"/>
        </w:rPr>
        <w:t>НИХ</w:t>
      </w:r>
      <w:r w:rsidRPr="000977F7">
        <w:rPr>
          <w:color w:val="auto"/>
          <w:spacing w:val="4"/>
          <w:sz w:val="20"/>
          <w:szCs w:val="20"/>
        </w:rPr>
        <w:t xml:space="preserve"> </w:t>
      </w:r>
      <w:r w:rsidRPr="000977F7">
        <w:rPr>
          <w:color w:val="auto"/>
          <w:sz w:val="20"/>
          <w:szCs w:val="20"/>
        </w:rPr>
        <w:t>-</w:t>
      </w:r>
    </w:p>
    <w:p w14:paraId="19EBE5C7" w14:textId="77777777" w:rsidR="0097612F" w:rsidRPr="000977F7" w:rsidRDefault="0097612F" w:rsidP="00FD39A4">
      <w:pPr>
        <w:pStyle w:val="ac"/>
        <w:widowControl w:val="0"/>
        <w:numPr>
          <w:ilvl w:val="0"/>
          <w:numId w:val="127"/>
        </w:numPr>
        <w:tabs>
          <w:tab w:val="left" w:pos="284"/>
          <w:tab w:val="left" w:pos="52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Національні стандарти, кодекси усталеної практики</w:t>
      </w:r>
      <w:r w:rsidRPr="000977F7">
        <w:rPr>
          <w:rFonts w:asciiTheme="majorHAnsi" w:hAnsiTheme="majorHAnsi"/>
          <w:spacing w:val="-47"/>
          <w:sz w:val="20"/>
          <w:szCs w:val="20"/>
        </w:rPr>
        <w:t xml:space="preserve"> </w:t>
      </w:r>
      <w:r w:rsidRPr="000977F7">
        <w:rPr>
          <w:rFonts w:asciiTheme="majorHAnsi" w:hAnsiTheme="majorHAnsi"/>
          <w:sz w:val="20"/>
          <w:szCs w:val="20"/>
        </w:rPr>
        <w:t>та зміни до них розробляються у спосіб, що не створює технічних бар’єрів у торгівлі та запобігає їх виникненню. Національні стандарти, кодекси усталеної практики</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зміни</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2"/>
          <w:sz w:val="20"/>
          <w:szCs w:val="20"/>
        </w:rPr>
        <w:t xml:space="preserve"> </w:t>
      </w:r>
      <w:r w:rsidRPr="000977F7">
        <w:rPr>
          <w:rFonts w:asciiTheme="majorHAnsi" w:hAnsiTheme="majorHAnsi"/>
          <w:sz w:val="20"/>
          <w:szCs w:val="20"/>
        </w:rPr>
        <w:t>них</w:t>
      </w:r>
      <w:r w:rsidRPr="000977F7">
        <w:rPr>
          <w:rFonts w:asciiTheme="majorHAnsi" w:hAnsiTheme="majorHAnsi"/>
          <w:spacing w:val="-2"/>
          <w:sz w:val="20"/>
          <w:szCs w:val="20"/>
        </w:rPr>
        <w:t xml:space="preserve"> </w:t>
      </w:r>
      <w:r w:rsidRPr="000977F7">
        <w:rPr>
          <w:rFonts w:asciiTheme="majorHAnsi" w:hAnsiTheme="majorHAnsi"/>
          <w:sz w:val="20"/>
          <w:szCs w:val="20"/>
        </w:rPr>
        <w:t>розробляються</w:t>
      </w:r>
      <w:r w:rsidRPr="000977F7">
        <w:rPr>
          <w:rFonts w:asciiTheme="majorHAnsi" w:hAnsiTheme="majorHAnsi"/>
          <w:spacing w:val="-2"/>
          <w:sz w:val="20"/>
          <w:szCs w:val="20"/>
        </w:rPr>
        <w:t xml:space="preserve"> </w:t>
      </w:r>
      <w:r w:rsidRPr="000977F7">
        <w:rPr>
          <w:rFonts w:asciiTheme="majorHAnsi" w:hAnsiTheme="majorHAnsi"/>
          <w:sz w:val="20"/>
          <w:szCs w:val="20"/>
        </w:rPr>
        <w:t>на основі:</w:t>
      </w:r>
    </w:p>
    <w:p w14:paraId="09DAD1D3" w14:textId="77777777" w:rsidR="0097612F" w:rsidRPr="000977F7" w:rsidRDefault="0097612F" w:rsidP="00FD39A4">
      <w:pPr>
        <w:pStyle w:val="ac"/>
        <w:widowControl w:val="0"/>
        <w:numPr>
          <w:ilvl w:val="0"/>
          <w:numId w:val="126"/>
        </w:numPr>
        <w:tabs>
          <w:tab w:val="left" w:pos="284"/>
          <w:tab w:val="left" w:pos="73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міжнародних стандартів, кодексів усталеної практики та змін до них, якщо вони вже прийняті або перебувають</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завершальній</w:t>
      </w:r>
      <w:r w:rsidRPr="000977F7">
        <w:rPr>
          <w:rFonts w:asciiTheme="majorHAnsi" w:hAnsiTheme="majorHAnsi"/>
          <w:spacing w:val="1"/>
          <w:sz w:val="20"/>
          <w:szCs w:val="20"/>
        </w:rPr>
        <w:t xml:space="preserve"> </w:t>
      </w:r>
      <w:r w:rsidRPr="000977F7">
        <w:rPr>
          <w:rFonts w:asciiTheme="majorHAnsi" w:hAnsiTheme="majorHAnsi"/>
          <w:sz w:val="20"/>
          <w:szCs w:val="20"/>
        </w:rPr>
        <w:t>стадії</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47"/>
          <w:sz w:val="20"/>
          <w:szCs w:val="20"/>
        </w:rPr>
        <w:t xml:space="preserve"> </w:t>
      </w:r>
      <w:r w:rsidRPr="000977F7">
        <w:rPr>
          <w:rFonts w:asciiTheme="majorHAnsi" w:hAnsiTheme="majorHAnsi"/>
          <w:sz w:val="20"/>
          <w:szCs w:val="20"/>
        </w:rPr>
        <w:t>відповідних їх частин, крім випадків, якщо такі стандарти, кодекси та зміни є неефективними або невідповідними, зокрема з огляду на недостатній рівень захисту,</w:t>
      </w:r>
      <w:r w:rsidRPr="000977F7">
        <w:rPr>
          <w:rFonts w:asciiTheme="majorHAnsi" w:hAnsiTheme="majorHAnsi"/>
          <w:spacing w:val="1"/>
          <w:sz w:val="20"/>
          <w:szCs w:val="20"/>
        </w:rPr>
        <w:t xml:space="preserve"> </w:t>
      </w:r>
      <w:r w:rsidRPr="000977F7">
        <w:rPr>
          <w:rFonts w:asciiTheme="majorHAnsi" w:hAnsiTheme="majorHAnsi"/>
          <w:sz w:val="20"/>
          <w:szCs w:val="20"/>
        </w:rPr>
        <w:t>суттєві</w:t>
      </w:r>
      <w:r w:rsidRPr="000977F7">
        <w:rPr>
          <w:rFonts w:asciiTheme="majorHAnsi" w:hAnsiTheme="majorHAnsi"/>
          <w:spacing w:val="1"/>
          <w:sz w:val="20"/>
          <w:szCs w:val="20"/>
        </w:rPr>
        <w:t xml:space="preserve"> </w:t>
      </w:r>
      <w:r w:rsidRPr="000977F7">
        <w:rPr>
          <w:rFonts w:asciiTheme="majorHAnsi" w:hAnsiTheme="majorHAnsi"/>
          <w:sz w:val="20"/>
          <w:szCs w:val="20"/>
        </w:rPr>
        <w:t>кліматичні</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географічні</w:t>
      </w:r>
      <w:r w:rsidRPr="000977F7">
        <w:rPr>
          <w:rFonts w:asciiTheme="majorHAnsi" w:hAnsiTheme="majorHAnsi"/>
          <w:spacing w:val="1"/>
          <w:sz w:val="20"/>
          <w:szCs w:val="20"/>
        </w:rPr>
        <w:t xml:space="preserve"> </w:t>
      </w:r>
      <w:r w:rsidRPr="000977F7">
        <w:rPr>
          <w:rFonts w:asciiTheme="majorHAnsi" w:hAnsiTheme="majorHAnsi"/>
          <w:sz w:val="20"/>
          <w:szCs w:val="20"/>
        </w:rPr>
        <w:t>фактори</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47"/>
          <w:sz w:val="20"/>
          <w:szCs w:val="20"/>
        </w:rPr>
        <w:t xml:space="preserve"> </w:t>
      </w:r>
      <w:r w:rsidRPr="000977F7">
        <w:rPr>
          <w:rFonts w:asciiTheme="majorHAnsi" w:hAnsiTheme="majorHAnsi"/>
          <w:sz w:val="20"/>
          <w:szCs w:val="20"/>
        </w:rPr>
        <w:t>технологічні</w:t>
      </w:r>
      <w:r w:rsidRPr="000977F7">
        <w:rPr>
          <w:rFonts w:asciiTheme="majorHAnsi" w:hAnsiTheme="majorHAnsi"/>
          <w:spacing w:val="-2"/>
          <w:sz w:val="20"/>
          <w:szCs w:val="20"/>
        </w:rPr>
        <w:t xml:space="preserve"> </w:t>
      </w:r>
      <w:r w:rsidRPr="000977F7">
        <w:rPr>
          <w:rFonts w:asciiTheme="majorHAnsi" w:hAnsiTheme="majorHAnsi"/>
          <w:sz w:val="20"/>
          <w:szCs w:val="20"/>
        </w:rPr>
        <w:t>проблеми;</w:t>
      </w:r>
    </w:p>
    <w:p w14:paraId="2AB03D8E" w14:textId="77777777" w:rsidR="0097612F" w:rsidRPr="000977F7" w:rsidRDefault="0097612F" w:rsidP="00FD39A4">
      <w:pPr>
        <w:pStyle w:val="ac"/>
        <w:widowControl w:val="0"/>
        <w:numPr>
          <w:ilvl w:val="0"/>
          <w:numId w:val="126"/>
        </w:numPr>
        <w:tabs>
          <w:tab w:val="left" w:pos="284"/>
          <w:tab w:val="left" w:pos="73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регіональних стандартів, кодексів усталеної практики та змін до них або відповідних їх частин у разі,</w:t>
      </w:r>
      <w:r w:rsidRPr="000977F7">
        <w:rPr>
          <w:rFonts w:asciiTheme="majorHAnsi" w:hAnsiTheme="majorHAnsi"/>
          <w:spacing w:val="1"/>
          <w:sz w:val="20"/>
          <w:szCs w:val="20"/>
        </w:rPr>
        <w:t xml:space="preserve"> </w:t>
      </w:r>
      <w:r w:rsidRPr="000977F7">
        <w:rPr>
          <w:rFonts w:asciiTheme="majorHAnsi" w:hAnsiTheme="majorHAnsi"/>
          <w:sz w:val="20"/>
          <w:szCs w:val="20"/>
        </w:rPr>
        <w:t>якщо міжнародні стандарти, кодекси усталеної практики та зміни до них не можуть бути використані з</w:t>
      </w:r>
      <w:r w:rsidRPr="000977F7">
        <w:rPr>
          <w:rFonts w:asciiTheme="majorHAnsi" w:hAnsiTheme="majorHAnsi"/>
          <w:spacing w:val="1"/>
          <w:sz w:val="20"/>
          <w:szCs w:val="20"/>
        </w:rPr>
        <w:t xml:space="preserve"> </w:t>
      </w:r>
      <w:r w:rsidRPr="000977F7">
        <w:rPr>
          <w:rFonts w:asciiTheme="majorHAnsi" w:hAnsiTheme="majorHAnsi"/>
          <w:sz w:val="20"/>
          <w:szCs w:val="20"/>
        </w:rPr>
        <w:t>причин,</w:t>
      </w:r>
      <w:r w:rsidRPr="000977F7">
        <w:rPr>
          <w:rFonts w:asciiTheme="majorHAnsi" w:hAnsiTheme="majorHAnsi"/>
          <w:spacing w:val="-2"/>
          <w:sz w:val="20"/>
          <w:szCs w:val="20"/>
        </w:rPr>
        <w:t xml:space="preserve"> </w:t>
      </w:r>
      <w:r w:rsidRPr="000977F7">
        <w:rPr>
          <w:rFonts w:asciiTheme="majorHAnsi" w:hAnsiTheme="majorHAnsi"/>
          <w:sz w:val="20"/>
          <w:szCs w:val="20"/>
        </w:rPr>
        <w:t>зазначених</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3"/>
          <w:sz w:val="20"/>
          <w:szCs w:val="20"/>
        </w:rPr>
        <w:t xml:space="preserve"> </w:t>
      </w:r>
      <w:r w:rsidRPr="000977F7">
        <w:rPr>
          <w:rFonts w:asciiTheme="majorHAnsi" w:hAnsiTheme="majorHAnsi"/>
          <w:sz w:val="20"/>
          <w:szCs w:val="20"/>
        </w:rPr>
        <w:t>пункті першому</w:t>
      </w:r>
      <w:r w:rsidRPr="000977F7">
        <w:rPr>
          <w:rFonts w:asciiTheme="majorHAnsi" w:hAnsiTheme="majorHAnsi"/>
          <w:spacing w:val="-3"/>
          <w:sz w:val="20"/>
          <w:szCs w:val="20"/>
        </w:rPr>
        <w:t xml:space="preserve"> </w:t>
      </w:r>
      <w:r w:rsidRPr="000977F7">
        <w:rPr>
          <w:rFonts w:asciiTheme="majorHAnsi" w:hAnsiTheme="majorHAnsi"/>
          <w:sz w:val="20"/>
          <w:szCs w:val="20"/>
        </w:rPr>
        <w:t>цієї</w:t>
      </w:r>
      <w:r w:rsidRPr="000977F7">
        <w:rPr>
          <w:rFonts w:asciiTheme="majorHAnsi" w:hAnsiTheme="majorHAnsi"/>
          <w:spacing w:val="-3"/>
          <w:sz w:val="20"/>
          <w:szCs w:val="20"/>
        </w:rPr>
        <w:t xml:space="preserve"> </w:t>
      </w:r>
      <w:r w:rsidRPr="000977F7">
        <w:rPr>
          <w:rFonts w:asciiTheme="majorHAnsi" w:hAnsiTheme="majorHAnsi"/>
          <w:sz w:val="20"/>
          <w:szCs w:val="20"/>
        </w:rPr>
        <w:t>частини;</w:t>
      </w:r>
    </w:p>
    <w:p w14:paraId="46364960" w14:textId="77777777" w:rsidR="0097612F" w:rsidRPr="000977F7" w:rsidRDefault="0097612F" w:rsidP="00FD39A4">
      <w:pPr>
        <w:pStyle w:val="ac"/>
        <w:widowControl w:val="0"/>
        <w:numPr>
          <w:ilvl w:val="0"/>
          <w:numId w:val="126"/>
        </w:numPr>
        <w:tabs>
          <w:tab w:val="left" w:pos="284"/>
          <w:tab w:val="left" w:pos="72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стандартів, кодексів усталеної практики та змін до</w:t>
      </w:r>
      <w:r w:rsidRPr="000977F7">
        <w:rPr>
          <w:rFonts w:asciiTheme="majorHAnsi" w:hAnsiTheme="majorHAnsi"/>
          <w:spacing w:val="1"/>
          <w:sz w:val="20"/>
          <w:szCs w:val="20"/>
        </w:rPr>
        <w:t xml:space="preserve"> </w:t>
      </w:r>
      <w:r w:rsidRPr="000977F7">
        <w:rPr>
          <w:rFonts w:asciiTheme="majorHAnsi" w:hAnsiTheme="majorHAnsi"/>
          <w:sz w:val="20"/>
          <w:szCs w:val="20"/>
        </w:rPr>
        <w:t>них або відповідних їх частин держав, що є членами</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відповідних міжнародних чи регіональних організацій</w:t>
      </w:r>
      <w:r w:rsidRPr="000977F7">
        <w:rPr>
          <w:rFonts w:asciiTheme="majorHAnsi" w:hAnsiTheme="majorHAnsi"/>
          <w:spacing w:val="-47"/>
          <w:sz w:val="20"/>
          <w:szCs w:val="20"/>
        </w:rPr>
        <w:t xml:space="preserve"> </w:t>
      </w:r>
      <w:r w:rsidRPr="000977F7">
        <w:rPr>
          <w:rFonts w:asciiTheme="majorHAnsi" w:hAnsiTheme="majorHAnsi"/>
          <w:sz w:val="20"/>
          <w:szCs w:val="20"/>
        </w:rPr>
        <w:t>стандартизації та з якими укладено відповідні міжнародні договори України про співробітництво і проведення</w:t>
      </w:r>
      <w:r w:rsidRPr="000977F7">
        <w:rPr>
          <w:rFonts w:asciiTheme="majorHAnsi" w:hAnsiTheme="majorHAnsi"/>
          <w:spacing w:val="-2"/>
          <w:sz w:val="20"/>
          <w:szCs w:val="20"/>
        </w:rPr>
        <w:t xml:space="preserve"> </w:t>
      </w:r>
      <w:r w:rsidRPr="000977F7">
        <w:rPr>
          <w:rFonts w:asciiTheme="majorHAnsi" w:hAnsiTheme="majorHAnsi"/>
          <w:sz w:val="20"/>
          <w:szCs w:val="20"/>
        </w:rPr>
        <w:t>робіт</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сфері</w:t>
      </w:r>
      <w:r w:rsidRPr="000977F7">
        <w:rPr>
          <w:rFonts w:asciiTheme="majorHAnsi" w:hAnsiTheme="majorHAnsi"/>
          <w:spacing w:val="-2"/>
          <w:sz w:val="20"/>
          <w:szCs w:val="20"/>
        </w:rPr>
        <w:t xml:space="preserve"> </w:t>
      </w:r>
      <w:r w:rsidRPr="000977F7">
        <w:rPr>
          <w:rFonts w:asciiTheme="majorHAnsi" w:hAnsiTheme="majorHAnsi"/>
          <w:sz w:val="20"/>
          <w:szCs w:val="20"/>
        </w:rPr>
        <w:t>стандартизації;</w:t>
      </w:r>
    </w:p>
    <w:p w14:paraId="2BA9CB15" w14:textId="77777777" w:rsidR="0097612F" w:rsidRPr="000977F7" w:rsidRDefault="0097612F" w:rsidP="00FD39A4">
      <w:pPr>
        <w:pStyle w:val="ac"/>
        <w:widowControl w:val="0"/>
        <w:numPr>
          <w:ilvl w:val="0"/>
          <w:numId w:val="126"/>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наукових</w:t>
      </w:r>
      <w:r w:rsidRPr="000977F7">
        <w:rPr>
          <w:rFonts w:asciiTheme="majorHAnsi" w:hAnsiTheme="majorHAnsi"/>
          <w:spacing w:val="-5"/>
          <w:sz w:val="20"/>
          <w:szCs w:val="20"/>
        </w:rPr>
        <w:t xml:space="preserve"> </w:t>
      </w:r>
      <w:r w:rsidRPr="000977F7">
        <w:rPr>
          <w:rFonts w:asciiTheme="majorHAnsi" w:hAnsiTheme="majorHAnsi"/>
          <w:sz w:val="20"/>
          <w:szCs w:val="20"/>
        </w:rPr>
        <w:t>досягнень,</w:t>
      </w:r>
      <w:r w:rsidRPr="000977F7">
        <w:rPr>
          <w:rFonts w:asciiTheme="majorHAnsi" w:hAnsiTheme="majorHAnsi"/>
          <w:spacing w:val="-3"/>
          <w:sz w:val="20"/>
          <w:szCs w:val="20"/>
        </w:rPr>
        <w:t xml:space="preserve"> </w:t>
      </w:r>
      <w:r w:rsidRPr="000977F7">
        <w:rPr>
          <w:rFonts w:asciiTheme="majorHAnsi" w:hAnsiTheme="majorHAnsi"/>
          <w:sz w:val="20"/>
          <w:szCs w:val="20"/>
        </w:rPr>
        <w:t>знань</w:t>
      </w:r>
      <w:r w:rsidRPr="000977F7">
        <w:rPr>
          <w:rFonts w:asciiTheme="majorHAnsi" w:hAnsiTheme="majorHAnsi"/>
          <w:spacing w:val="-4"/>
          <w:sz w:val="20"/>
          <w:szCs w:val="20"/>
        </w:rPr>
        <w:t xml:space="preserve"> </w:t>
      </w:r>
      <w:r w:rsidRPr="000977F7">
        <w:rPr>
          <w:rFonts w:asciiTheme="majorHAnsi" w:hAnsiTheme="majorHAnsi"/>
          <w:sz w:val="20"/>
          <w:szCs w:val="20"/>
        </w:rPr>
        <w:t>і</w:t>
      </w:r>
      <w:r w:rsidRPr="000977F7">
        <w:rPr>
          <w:rFonts w:asciiTheme="majorHAnsi" w:hAnsiTheme="majorHAnsi"/>
          <w:spacing w:val="-4"/>
          <w:sz w:val="20"/>
          <w:szCs w:val="20"/>
        </w:rPr>
        <w:t xml:space="preserve"> </w:t>
      </w:r>
      <w:r w:rsidRPr="000977F7">
        <w:rPr>
          <w:rFonts w:asciiTheme="majorHAnsi" w:hAnsiTheme="majorHAnsi"/>
          <w:sz w:val="20"/>
          <w:szCs w:val="20"/>
        </w:rPr>
        <w:t>практики.</w:t>
      </w:r>
    </w:p>
    <w:p w14:paraId="2BE0AAFD" w14:textId="77777777" w:rsidR="0097612F" w:rsidRPr="000977F7" w:rsidRDefault="0097612F" w:rsidP="00FD39A4">
      <w:pPr>
        <w:pStyle w:val="ac"/>
        <w:widowControl w:val="0"/>
        <w:numPr>
          <w:ilvl w:val="0"/>
          <w:numId w:val="127"/>
        </w:numPr>
        <w:tabs>
          <w:tab w:val="left" w:pos="284"/>
          <w:tab w:val="left" w:pos="72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 разі якщо міжнародні стандарти, кодекси усталеної практики та зміни до них, визначені частиною</w:t>
      </w:r>
      <w:r w:rsidRPr="000977F7">
        <w:rPr>
          <w:rFonts w:asciiTheme="majorHAnsi" w:hAnsiTheme="majorHAnsi"/>
          <w:spacing w:val="1"/>
          <w:sz w:val="20"/>
          <w:szCs w:val="20"/>
        </w:rPr>
        <w:t xml:space="preserve"> </w:t>
      </w:r>
      <w:r w:rsidRPr="000977F7">
        <w:rPr>
          <w:rFonts w:asciiTheme="majorHAnsi" w:hAnsiTheme="majorHAnsi"/>
          <w:sz w:val="20"/>
          <w:szCs w:val="20"/>
        </w:rPr>
        <w:t>другою цієї статті, не беруться за основу для національного стандарту, кодексу усталеної практики та змін</w:t>
      </w:r>
      <w:r w:rsidRPr="000977F7">
        <w:rPr>
          <w:rFonts w:asciiTheme="majorHAnsi" w:hAnsiTheme="majorHAnsi"/>
          <w:spacing w:val="1"/>
          <w:sz w:val="20"/>
          <w:szCs w:val="20"/>
        </w:rPr>
        <w:t xml:space="preserve"> </w:t>
      </w:r>
      <w:r w:rsidRPr="000977F7">
        <w:rPr>
          <w:rFonts w:asciiTheme="majorHAnsi" w:hAnsiTheme="majorHAnsi"/>
          <w:sz w:val="20"/>
          <w:szCs w:val="20"/>
        </w:rPr>
        <w:t>до них, національний орган стандартизації надає письмове</w:t>
      </w:r>
      <w:r w:rsidRPr="000977F7">
        <w:rPr>
          <w:rFonts w:asciiTheme="majorHAnsi" w:hAnsiTheme="majorHAnsi"/>
          <w:spacing w:val="-4"/>
          <w:sz w:val="20"/>
          <w:szCs w:val="20"/>
        </w:rPr>
        <w:t xml:space="preserve"> </w:t>
      </w:r>
      <w:r w:rsidRPr="000977F7">
        <w:rPr>
          <w:rFonts w:asciiTheme="majorHAnsi" w:hAnsiTheme="majorHAnsi"/>
          <w:sz w:val="20"/>
          <w:szCs w:val="20"/>
        </w:rPr>
        <w:t>пояснення на</w:t>
      </w:r>
      <w:r w:rsidRPr="000977F7">
        <w:rPr>
          <w:rFonts w:asciiTheme="majorHAnsi" w:hAnsiTheme="majorHAnsi"/>
          <w:spacing w:val="-2"/>
          <w:sz w:val="20"/>
          <w:szCs w:val="20"/>
        </w:rPr>
        <w:t xml:space="preserve"> </w:t>
      </w:r>
      <w:r w:rsidRPr="000977F7">
        <w:rPr>
          <w:rFonts w:asciiTheme="majorHAnsi" w:hAnsiTheme="majorHAnsi"/>
          <w:sz w:val="20"/>
          <w:szCs w:val="20"/>
        </w:rPr>
        <w:t>запит</w:t>
      </w:r>
      <w:r w:rsidRPr="000977F7">
        <w:rPr>
          <w:rFonts w:asciiTheme="majorHAnsi" w:hAnsiTheme="majorHAnsi"/>
          <w:spacing w:val="-3"/>
          <w:sz w:val="20"/>
          <w:szCs w:val="20"/>
        </w:rPr>
        <w:t xml:space="preserve"> </w:t>
      </w:r>
      <w:r w:rsidRPr="000977F7">
        <w:rPr>
          <w:rFonts w:asciiTheme="majorHAnsi" w:hAnsiTheme="majorHAnsi"/>
          <w:sz w:val="20"/>
          <w:szCs w:val="20"/>
        </w:rPr>
        <w:t>заінтересованої</w:t>
      </w:r>
      <w:r w:rsidRPr="000977F7">
        <w:rPr>
          <w:rFonts w:asciiTheme="majorHAnsi" w:hAnsiTheme="majorHAnsi"/>
          <w:spacing w:val="-4"/>
          <w:sz w:val="20"/>
          <w:szCs w:val="20"/>
        </w:rPr>
        <w:t xml:space="preserve"> </w:t>
      </w:r>
      <w:r w:rsidRPr="000977F7">
        <w:rPr>
          <w:rFonts w:asciiTheme="majorHAnsi" w:hAnsiTheme="majorHAnsi"/>
          <w:sz w:val="20"/>
          <w:szCs w:val="20"/>
        </w:rPr>
        <w:t>сторони.</w:t>
      </w:r>
    </w:p>
    <w:p w14:paraId="650C74E3" w14:textId="77777777" w:rsidR="0097612F" w:rsidRPr="000977F7" w:rsidRDefault="0097612F" w:rsidP="00FD39A4">
      <w:pPr>
        <w:pStyle w:val="ac"/>
        <w:widowControl w:val="0"/>
        <w:numPr>
          <w:ilvl w:val="0"/>
          <w:numId w:val="127"/>
        </w:numPr>
        <w:tabs>
          <w:tab w:val="left" w:pos="284"/>
          <w:tab w:val="left" w:pos="70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 разі прийняття європейського стандарту як національного забезпечується ідентичність національного</w:t>
      </w:r>
      <w:r w:rsidRPr="000977F7">
        <w:rPr>
          <w:rFonts w:asciiTheme="majorHAnsi" w:hAnsiTheme="majorHAnsi"/>
          <w:spacing w:val="1"/>
          <w:sz w:val="20"/>
          <w:szCs w:val="20"/>
        </w:rPr>
        <w:t xml:space="preserve"> </w:t>
      </w:r>
      <w:r w:rsidRPr="000977F7">
        <w:rPr>
          <w:rFonts w:asciiTheme="majorHAnsi" w:hAnsiTheme="majorHAnsi"/>
          <w:sz w:val="20"/>
          <w:szCs w:val="20"/>
        </w:rPr>
        <w:t>стандарту відповідному європейському стандарту.</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дня</w:t>
      </w:r>
      <w:r w:rsidRPr="000977F7">
        <w:rPr>
          <w:rFonts w:asciiTheme="majorHAnsi" w:hAnsiTheme="majorHAnsi"/>
          <w:spacing w:val="21"/>
          <w:sz w:val="20"/>
          <w:szCs w:val="20"/>
        </w:rPr>
        <w:t xml:space="preserve"> </w:t>
      </w:r>
      <w:r w:rsidRPr="000977F7">
        <w:rPr>
          <w:rFonts w:asciiTheme="majorHAnsi" w:hAnsiTheme="majorHAnsi"/>
          <w:sz w:val="20"/>
          <w:szCs w:val="20"/>
        </w:rPr>
        <w:t>набрання</w:t>
      </w:r>
      <w:r w:rsidRPr="000977F7">
        <w:rPr>
          <w:rFonts w:asciiTheme="majorHAnsi" w:hAnsiTheme="majorHAnsi"/>
          <w:spacing w:val="18"/>
          <w:sz w:val="20"/>
          <w:szCs w:val="20"/>
        </w:rPr>
        <w:t xml:space="preserve"> </w:t>
      </w:r>
      <w:r w:rsidRPr="000977F7">
        <w:rPr>
          <w:rFonts w:asciiTheme="majorHAnsi" w:hAnsiTheme="majorHAnsi"/>
          <w:sz w:val="20"/>
          <w:szCs w:val="20"/>
        </w:rPr>
        <w:t>чинності</w:t>
      </w:r>
      <w:r w:rsidRPr="000977F7">
        <w:rPr>
          <w:rFonts w:asciiTheme="majorHAnsi" w:hAnsiTheme="majorHAnsi"/>
          <w:spacing w:val="20"/>
          <w:sz w:val="20"/>
          <w:szCs w:val="20"/>
        </w:rPr>
        <w:t xml:space="preserve"> </w:t>
      </w:r>
      <w:r w:rsidRPr="000977F7">
        <w:rPr>
          <w:rFonts w:asciiTheme="majorHAnsi" w:hAnsiTheme="majorHAnsi"/>
          <w:sz w:val="20"/>
          <w:szCs w:val="20"/>
        </w:rPr>
        <w:t>національним</w:t>
      </w:r>
      <w:r w:rsidRPr="000977F7">
        <w:rPr>
          <w:rFonts w:asciiTheme="majorHAnsi" w:hAnsiTheme="majorHAnsi"/>
          <w:spacing w:val="20"/>
          <w:sz w:val="20"/>
          <w:szCs w:val="20"/>
        </w:rPr>
        <w:t xml:space="preserve"> </w:t>
      </w:r>
      <w:r w:rsidRPr="000977F7">
        <w:rPr>
          <w:rFonts w:asciiTheme="majorHAnsi" w:hAnsiTheme="majorHAnsi"/>
          <w:sz w:val="20"/>
          <w:szCs w:val="20"/>
        </w:rPr>
        <w:t>стандартом,</w:t>
      </w:r>
      <w:r w:rsidRPr="000977F7">
        <w:rPr>
          <w:rFonts w:asciiTheme="majorHAnsi" w:hAnsiTheme="majorHAnsi"/>
          <w:spacing w:val="20"/>
          <w:sz w:val="20"/>
          <w:szCs w:val="20"/>
        </w:rPr>
        <w:t xml:space="preserve"> </w:t>
      </w:r>
      <w:r w:rsidRPr="000977F7">
        <w:rPr>
          <w:rFonts w:asciiTheme="majorHAnsi" w:hAnsiTheme="majorHAnsi"/>
          <w:sz w:val="20"/>
          <w:szCs w:val="20"/>
        </w:rPr>
        <w:t>що</w:t>
      </w:r>
      <w:r w:rsidRPr="000977F7">
        <w:rPr>
          <w:rFonts w:asciiTheme="majorHAnsi" w:hAnsiTheme="majorHAnsi"/>
          <w:spacing w:val="-48"/>
          <w:sz w:val="20"/>
          <w:szCs w:val="20"/>
        </w:rPr>
        <w:t xml:space="preserve"> </w:t>
      </w:r>
      <w:r w:rsidRPr="000977F7">
        <w:rPr>
          <w:rFonts w:asciiTheme="majorHAnsi" w:hAnsiTheme="majorHAnsi"/>
          <w:sz w:val="20"/>
          <w:szCs w:val="20"/>
        </w:rPr>
        <w:t>є ідентичним європейському стандарту, повинен бути</w:t>
      </w:r>
      <w:r w:rsidRPr="000977F7">
        <w:rPr>
          <w:rFonts w:asciiTheme="majorHAnsi" w:hAnsiTheme="majorHAnsi"/>
          <w:spacing w:val="1"/>
          <w:sz w:val="20"/>
          <w:szCs w:val="20"/>
        </w:rPr>
        <w:t xml:space="preserve"> </w:t>
      </w:r>
      <w:r w:rsidRPr="000977F7">
        <w:rPr>
          <w:rFonts w:asciiTheme="majorHAnsi" w:hAnsiTheme="majorHAnsi"/>
          <w:sz w:val="20"/>
          <w:szCs w:val="20"/>
        </w:rPr>
        <w:t>скасований національний стандарт, положення якого</w:t>
      </w:r>
      <w:r w:rsidRPr="000977F7">
        <w:rPr>
          <w:rFonts w:asciiTheme="majorHAnsi" w:hAnsiTheme="majorHAnsi"/>
          <w:spacing w:val="1"/>
          <w:sz w:val="20"/>
          <w:szCs w:val="20"/>
        </w:rPr>
        <w:t xml:space="preserve"> </w:t>
      </w:r>
      <w:r w:rsidRPr="000977F7">
        <w:rPr>
          <w:rFonts w:asciiTheme="majorHAnsi" w:hAnsiTheme="majorHAnsi"/>
          <w:sz w:val="20"/>
          <w:szCs w:val="20"/>
        </w:rPr>
        <w:t>суперечать</w:t>
      </w:r>
      <w:r w:rsidRPr="000977F7">
        <w:rPr>
          <w:rFonts w:asciiTheme="majorHAnsi" w:hAnsiTheme="majorHAnsi"/>
          <w:spacing w:val="1"/>
          <w:sz w:val="20"/>
          <w:szCs w:val="20"/>
        </w:rPr>
        <w:t xml:space="preserve"> </w:t>
      </w:r>
      <w:r w:rsidRPr="000977F7">
        <w:rPr>
          <w:rFonts w:asciiTheme="majorHAnsi" w:hAnsiTheme="majorHAnsi"/>
          <w:sz w:val="20"/>
          <w:szCs w:val="20"/>
        </w:rPr>
        <w:t>положенням</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відповідного</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національного</w:t>
      </w:r>
      <w:r w:rsidRPr="000977F7">
        <w:rPr>
          <w:rFonts w:asciiTheme="majorHAnsi" w:hAnsiTheme="majorHAnsi"/>
          <w:spacing w:val="-47"/>
          <w:sz w:val="20"/>
          <w:szCs w:val="20"/>
        </w:rPr>
        <w:t xml:space="preserve"> </w:t>
      </w:r>
      <w:r w:rsidRPr="000977F7">
        <w:rPr>
          <w:rFonts w:asciiTheme="majorHAnsi" w:hAnsiTheme="majorHAnsi"/>
          <w:sz w:val="20"/>
          <w:szCs w:val="20"/>
        </w:rPr>
        <w:t>стандарту,</w:t>
      </w:r>
      <w:r w:rsidRPr="000977F7">
        <w:rPr>
          <w:rFonts w:asciiTheme="majorHAnsi" w:hAnsiTheme="majorHAnsi"/>
          <w:spacing w:val="-5"/>
          <w:sz w:val="20"/>
          <w:szCs w:val="20"/>
        </w:rPr>
        <w:t xml:space="preserve"> </w:t>
      </w:r>
      <w:r w:rsidRPr="000977F7">
        <w:rPr>
          <w:rFonts w:asciiTheme="majorHAnsi" w:hAnsiTheme="majorHAnsi"/>
          <w:sz w:val="20"/>
          <w:szCs w:val="20"/>
        </w:rPr>
        <w:t>що</w:t>
      </w:r>
      <w:r w:rsidRPr="000977F7">
        <w:rPr>
          <w:rFonts w:asciiTheme="majorHAnsi" w:hAnsiTheme="majorHAnsi"/>
          <w:spacing w:val="-3"/>
          <w:sz w:val="20"/>
          <w:szCs w:val="20"/>
        </w:rPr>
        <w:t xml:space="preserve"> </w:t>
      </w:r>
      <w:r w:rsidRPr="000977F7">
        <w:rPr>
          <w:rFonts w:asciiTheme="majorHAnsi" w:hAnsiTheme="majorHAnsi"/>
          <w:sz w:val="20"/>
          <w:szCs w:val="20"/>
        </w:rPr>
        <w:t>є</w:t>
      </w:r>
      <w:r w:rsidRPr="000977F7">
        <w:rPr>
          <w:rFonts w:asciiTheme="majorHAnsi" w:hAnsiTheme="majorHAnsi"/>
          <w:spacing w:val="-4"/>
          <w:sz w:val="20"/>
          <w:szCs w:val="20"/>
        </w:rPr>
        <w:t xml:space="preserve"> </w:t>
      </w:r>
      <w:r w:rsidRPr="000977F7">
        <w:rPr>
          <w:rFonts w:asciiTheme="majorHAnsi" w:hAnsiTheme="majorHAnsi"/>
          <w:sz w:val="20"/>
          <w:szCs w:val="20"/>
        </w:rPr>
        <w:t>ідентичним</w:t>
      </w:r>
      <w:r w:rsidRPr="000977F7">
        <w:rPr>
          <w:rFonts w:asciiTheme="majorHAnsi" w:hAnsiTheme="majorHAnsi"/>
          <w:spacing w:val="-2"/>
          <w:sz w:val="20"/>
          <w:szCs w:val="20"/>
        </w:rPr>
        <w:t xml:space="preserve"> </w:t>
      </w:r>
      <w:r w:rsidRPr="000977F7">
        <w:rPr>
          <w:rFonts w:asciiTheme="majorHAnsi" w:hAnsiTheme="majorHAnsi"/>
          <w:sz w:val="20"/>
          <w:szCs w:val="20"/>
        </w:rPr>
        <w:t>європейському</w:t>
      </w:r>
      <w:r w:rsidRPr="000977F7">
        <w:rPr>
          <w:rFonts w:asciiTheme="majorHAnsi" w:hAnsiTheme="majorHAnsi"/>
          <w:spacing w:val="-7"/>
          <w:sz w:val="20"/>
          <w:szCs w:val="20"/>
        </w:rPr>
        <w:t xml:space="preserve"> </w:t>
      </w:r>
      <w:r w:rsidRPr="000977F7">
        <w:rPr>
          <w:rFonts w:asciiTheme="majorHAnsi" w:hAnsiTheme="majorHAnsi"/>
          <w:sz w:val="20"/>
          <w:szCs w:val="20"/>
        </w:rPr>
        <w:t>стандарту.</w:t>
      </w:r>
    </w:p>
    <w:p w14:paraId="29ED2586" w14:textId="77777777" w:rsidR="0097612F" w:rsidRPr="000977F7" w:rsidRDefault="0097612F" w:rsidP="00FD39A4">
      <w:pPr>
        <w:pStyle w:val="ac"/>
        <w:widowControl w:val="0"/>
        <w:numPr>
          <w:ilvl w:val="0"/>
          <w:numId w:val="127"/>
        </w:numPr>
        <w:tabs>
          <w:tab w:val="left" w:pos="284"/>
          <w:tab w:val="left" w:pos="71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Національні стандарти та кодекси усталеної практики повинні</w:t>
      </w:r>
      <w:r w:rsidRPr="000977F7">
        <w:rPr>
          <w:rFonts w:asciiTheme="majorHAnsi" w:hAnsiTheme="majorHAnsi"/>
          <w:spacing w:val="1"/>
          <w:sz w:val="20"/>
          <w:szCs w:val="20"/>
        </w:rPr>
        <w:t xml:space="preserve"> </w:t>
      </w:r>
      <w:r w:rsidRPr="000977F7">
        <w:rPr>
          <w:rFonts w:asciiTheme="majorHAnsi" w:hAnsiTheme="majorHAnsi"/>
          <w:sz w:val="20"/>
          <w:szCs w:val="20"/>
        </w:rPr>
        <w:t>бути точними, чіткими та структурно</w:t>
      </w:r>
      <w:r w:rsidRPr="000977F7">
        <w:rPr>
          <w:rFonts w:asciiTheme="majorHAnsi" w:hAnsiTheme="majorHAnsi"/>
          <w:spacing w:val="1"/>
          <w:sz w:val="20"/>
          <w:szCs w:val="20"/>
        </w:rPr>
        <w:t xml:space="preserve"> </w:t>
      </w:r>
      <w:r w:rsidRPr="000977F7">
        <w:rPr>
          <w:rFonts w:asciiTheme="majorHAnsi" w:hAnsiTheme="majorHAnsi"/>
          <w:sz w:val="20"/>
          <w:szCs w:val="20"/>
        </w:rPr>
        <w:t>уніфікованими, а їх положення у відповідних випадках повинні стосуватися експлуатаційних характеристик</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конструктивних</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описових</w:t>
      </w:r>
      <w:r w:rsidRPr="000977F7">
        <w:rPr>
          <w:rFonts w:asciiTheme="majorHAnsi" w:hAnsiTheme="majorHAnsi"/>
          <w:spacing w:val="-47"/>
          <w:sz w:val="20"/>
          <w:szCs w:val="20"/>
        </w:rPr>
        <w:t xml:space="preserve"> </w:t>
      </w:r>
      <w:r w:rsidRPr="000977F7">
        <w:rPr>
          <w:rFonts w:asciiTheme="majorHAnsi" w:hAnsiTheme="majorHAnsi"/>
          <w:sz w:val="20"/>
          <w:szCs w:val="20"/>
        </w:rPr>
        <w:t>характеристик.</w:t>
      </w:r>
    </w:p>
    <w:p w14:paraId="09C53F3A" w14:textId="77777777" w:rsidR="0097612F" w:rsidRPr="000977F7" w:rsidRDefault="0097612F" w:rsidP="00FD39A4">
      <w:pPr>
        <w:pStyle w:val="ac"/>
        <w:widowControl w:val="0"/>
        <w:numPr>
          <w:ilvl w:val="0"/>
          <w:numId w:val="127"/>
        </w:numPr>
        <w:tabs>
          <w:tab w:val="left" w:pos="284"/>
          <w:tab w:val="left" w:pos="71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Національні стандарти та кодекси усталеної практики викладаються в такий спосіб, щоб їх неможливо</w:t>
      </w:r>
      <w:r w:rsidRPr="000977F7">
        <w:rPr>
          <w:rFonts w:asciiTheme="majorHAnsi" w:hAnsiTheme="majorHAnsi"/>
          <w:spacing w:val="1"/>
          <w:sz w:val="20"/>
          <w:szCs w:val="20"/>
        </w:rPr>
        <w:t xml:space="preserve"> </w:t>
      </w:r>
      <w:r w:rsidRPr="000977F7">
        <w:rPr>
          <w:rFonts w:asciiTheme="majorHAnsi" w:hAnsiTheme="majorHAnsi"/>
          <w:sz w:val="20"/>
          <w:szCs w:val="20"/>
        </w:rPr>
        <w:t>було використовувати з метою введення в оману споживачів продукції, якої стосується національний стандарт та кодекс усталеної практики, або надавати перевагу виробнику продукції чи продукції залежно від</w:t>
      </w:r>
      <w:r w:rsidRPr="000977F7">
        <w:rPr>
          <w:rFonts w:asciiTheme="majorHAnsi" w:hAnsiTheme="majorHAnsi"/>
          <w:spacing w:val="1"/>
          <w:sz w:val="20"/>
          <w:szCs w:val="20"/>
        </w:rPr>
        <w:t xml:space="preserve"> </w:t>
      </w:r>
      <w:r w:rsidRPr="000977F7">
        <w:rPr>
          <w:rFonts w:asciiTheme="majorHAnsi" w:hAnsiTheme="majorHAnsi"/>
          <w:sz w:val="20"/>
          <w:szCs w:val="20"/>
        </w:rPr>
        <w:t>місця</w:t>
      </w:r>
      <w:r w:rsidRPr="000977F7">
        <w:rPr>
          <w:rFonts w:asciiTheme="majorHAnsi" w:hAnsiTheme="majorHAnsi"/>
          <w:spacing w:val="-2"/>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виготовлення.</w:t>
      </w:r>
    </w:p>
    <w:p w14:paraId="6F175ABA" w14:textId="77777777" w:rsidR="0097612F" w:rsidRPr="000977F7" w:rsidRDefault="0097612F" w:rsidP="00FD39A4">
      <w:pPr>
        <w:pStyle w:val="ac"/>
        <w:widowControl w:val="0"/>
        <w:numPr>
          <w:ilvl w:val="0"/>
          <w:numId w:val="127"/>
        </w:numPr>
        <w:tabs>
          <w:tab w:val="left" w:pos="284"/>
          <w:tab w:val="left" w:pos="71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 метою реалізації інвалідами прав та свобод людини і громадянина під час розроблення національних</w:t>
      </w:r>
      <w:r w:rsidRPr="000977F7">
        <w:rPr>
          <w:rFonts w:asciiTheme="majorHAnsi" w:hAnsiTheme="majorHAnsi"/>
          <w:spacing w:val="-47"/>
          <w:sz w:val="20"/>
          <w:szCs w:val="20"/>
        </w:rPr>
        <w:t xml:space="preserve"> </w:t>
      </w:r>
      <w:r w:rsidRPr="000977F7">
        <w:rPr>
          <w:rFonts w:asciiTheme="majorHAnsi" w:hAnsiTheme="majorHAnsi"/>
          <w:sz w:val="20"/>
          <w:szCs w:val="20"/>
        </w:rPr>
        <w:t>стандартів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кодексів</w:t>
      </w:r>
      <w:r w:rsidRPr="000977F7">
        <w:rPr>
          <w:rFonts w:asciiTheme="majorHAnsi" w:hAnsiTheme="majorHAnsi"/>
          <w:spacing w:val="1"/>
          <w:sz w:val="20"/>
          <w:szCs w:val="20"/>
        </w:rPr>
        <w:t xml:space="preserve"> </w:t>
      </w:r>
      <w:r w:rsidRPr="000977F7">
        <w:rPr>
          <w:rFonts w:asciiTheme="majorHAnsi" w:hAnsiTheme="majorHAnsi"/>
          <w:sz w:val="20"/>
          <w:szCs w:val="20"/>
        </w:rPr>
        <w:t>усталеної</w:t>
      </w:r>
      <w:r w:rsidRPr="000977F7">
        <w:rPr>
          <w:rFonts w:asciiTheme="majorHAnsi" w:hAnsiTheme="majorHAnsi"/>
          <w:spacing w:val="1"/>
          <w:sz w:val="20"/>
          <w:szCs w:val="20"/>
        </w:rPr>
        <w:t xml:space="preserve"> </w:t>
      </w:r>
      <w:r w:rsidRPr="000977F7">
        <w:rPr>
          <w:rFonts w:asciiTheme="majorHAnsi" w:hAnsiTheme="majorHAnsi"/>
          <w:sz w:val="20"/>
          <w:szCs w:val="20"/>
        </w:rPr>
        <w:t>практики</w:t>
      </w:r>
      <w:r w:rsidRPr="000977F7">
        <w:rPr>
          <w:rFonts w:asciiTheme="majorHAnsi" w:hAnsiTheme="majorHAnsi"/>
          <w:spacing w:val="1"/>
          <w:sz w:val="20"/>
          <w:szCs w:val="20"/>
        </w:rPr>
        <w:t xml:space="preserve"> </w:t>
      </w:r>
      <w:r w:rsidRPr="000977F7">
        <w:rPr>
          <w:rFonts w:asciiTheme="majorHAnsi" w:hAnsiTheme="majorHAnsi"/>
          <w:sz w:val="20"/>
          <w:szCs w:val="20"/>
        </w:rPr>
        <w:t>враховуються потреби інвалідів та/або застосовуються принципи розумного пристосування та універсального дизайну.</w:t>
      </w:r>
    </w:p>
    <w:p w14:paraId="6E00766C"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Ст.</w:t>
      </w:r>
      <w:r w:rsidRPr="000977F7">
        <w:rPr>
          <w:rFonts w:asciiTheme="majorHAnsi" w:hAnsiTheme="majorHAnsi"/>
          <w:i/>
          <w:spacing w:val="-3"/>
          <w:sz w:val="20"/>
          <w:szCs w:val="20"/>
        </w:rPr>
        <w:t xml:space="preserve"> </w:t>
      </w:r>
      <w:r w:rsidRPr="000977F7">
        <w:rPr>
          <w:rFonts w:asciiTheme="majorHAnsi" w:hAnsiTheme="majorHAnsi"/>
          <w:i/>
          <w:sz w:val="20"/>
          <w:szCs w:val="20"/>
        </w:rPr>
        <w:t>17</w:t>
      </w:r>
      <w:r w:rsidRPr="000977F7">
        <w:rPr>
          <w:rFonts w:asciiTheme="majorHAnsi" w:hAnsiTheme="majorHAnsi"/>
          <w:i/>
          <w:spacing w:val="-1"/>
          <w:sz w:val="20"/>
          <w:szCs w:val="20"/>
        </w:rPr>
        <w:t xml:space="preserve"> </w:t>
      </w:r>
      <w:r w:rsidRPr="000977F7">
        <w:rPr>
          <w:rFonts w:asciiTheme="majorHAnsi" w:hAnsiTheme="majorHAnsi"/>
          <w:i/>
          <w:sz w:val="20"/>
          <w:szCs w:val="20"/>
        </w:rPr>
        <w:t>закону</w:t>
      </w:r>
      <w:r w:rsidRPr="000977F7">
        <w:rPr>
          <w:rFonts w:asciiTheme="majorHAnsi" w:hAnsiTheme="majorHAnsi"/>
          <w:i/>
          <w:spacing w:val="-4"/>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2"/>
          <w:sz w:val="20"/>
          <w:szCs w:val="20"/>
        </w:rPr>
        <w:t xml:space="preserve"> "</w:t>
      </w:r>
      <w:r w:rsidRPr="000977F7">
        <w:rPr>
          <w:rFonts w:asciiTheme="majorHAnsi" w:hAnsiTheme="majorHAnsi"/>
          <w:i/>
          <w:sz w:val="20"/>
          <w:szCs w:val="20"/>
        </w:rPr>
        <w:t>Про</w:t>
      </w:r>
      <w:r w:rsidRPr="000977F7">
        <w:rPr>
          <w:rFonts w:asciiTheme="majorHAnsi" w:hAnsiTheme="majorHAnsi"/>
          <w:i/>
          <w:spacing w:val="-3"/>
          <w:sz w:val="20"/>
          <w:szCs w:val="20"/>
        </w:rPr>
        <w:t xml:space="preserve"> </w:t>
      </w:r>
      <w:r w:rsidRPr="000977F7">
        <w:rPr>
          <w:rFonts w:asciiTheme="majorHAnsi" w:hAnsiTheme="majorHAnsi"/>
          <w:i/>
          <w:sz w:val="20"/>
          <w:szCs w:val="20"/>
        </w:rPr>
        <w:t>стандартизацію"</w:t>
      </w:r>
    </w:p>
    <w:p w14:paraId="22CBF9F5"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3"/>
          <w:sz w:val="20"/>
          <w:szCs w:val="20"/>
        </w:rPr>
      </w:pPr>
      <w:r w:rsidRPr="000977F7">
        <w:rPr>
          <w:rFonts w:asciiTheme="majorHAnsi" w:hAnsiTheme="majorHAnsi"/>
          <w:b/>
          <w:sz w:val="20"/>
          <w:szCs w:val="20"/>
        </w:rPr>
        <w:t>ОСНОВНІ</w:t>
      </w:r>
      <w:r w:rsidRPr="000977F7">
        <w:rPr>
          <w:rFonts w:asciiTheme="majorHAnsi" w:hAnsiTheme="majorHAnsi"/>
          <w:b/>
          <w:spacing w:val="12"/>
          <w:sz w:val="20"/>
          <w:szCs w:val="20"/>
        </w:rPr>
        <w:t xml:space="preserve"> </w:t>
      </w:r>
      <w:r w:rsidRPr="000977F7">
        <w:rPr>
          <w:rFonts w:asciiTheme="majorHAnsi" w:hAnsiTheme="majorHAnsi"/>
          <w:b/>
          <w:sz w:val="20"/>
          <w:szCs w:val="20"/>
        </w:rPr>
        <w:t>ПРИНЦИПИ</w:t>
      </w:r>
      <w:r w:rsidRPr="000977F7">
        <w:rPr>
          <w:rFonts w:asciiTheme="majorHAnsi" w:hAnsiTheme="majorHAnsi"/>
          <w:b/>
          <w:spacing w:val="9"/>
          <w:sz w:val="20"/>
          <w:szCs w:val="20"/>
        </w:rPr>
        <w:t xml:space="preserve"> </w:t>
      </w:r>
      <w:r w:rsidRPr="000977F7">
        <w:rPr>
          <w:rFonts w:asciiTheme="majorHAnsi" w:hAnsiTheme="majorHAnsi"/>
          <w:b/>
          <w:sz w:val="20"/>
          <w:szCs w:val="20"/>
        </w:rPr>
        <w:t>ДІЯЛЬНОСТІ</w:t>
      </w:r>
      <w:r w:rsidRPr="000977F7">
        <w:rPr>
          <w:rFonts w:asciiTheme="majorHAnsi" w:hAnsiTheme="majorHAnsi"/>
          <w:b/>
          <w:spacing w:val="12"/>
          <w:sz w:val="20"/>
          <w:szCs w:val="20"/>
        </w:rPr>
        <w:t xml:space="preserve"> </w:t>
      </w:r>
      <w:r w:rsidRPr="000977F7">
        <w:rPr>
          <w:rFonts w:asciiTheme="majorHAnsi" w:hAnsiTheme="majorHAnsi"/>
          <w:b/>
          <w:sz w:val="20"/>
          <w:szCs w:val="20"/>
        </w:rPr>
        <w:t>З</w:t>
      </w:r>
      <w:r w:rsidRPr="000977F7">
        <w:rPr>
          <w:rFonts w:asciiTheme="majorHAnsi" w:hAnsiTheme="majorHAnsi"/>
          <w:b/>
          <w:spacing w:val="13"/>
          <w:sz w:val="20"/>
          <w:szCs w:val="20"/>
        </w:rPr>
        <w:t xml:space="preserve"> </w:t>
      </w:r>
    </w:p>
    <w:p w14:paraId="0640F510"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АКРЕДИТАЦІЇ</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05061E1D" w14:textId="77777777" w:rsidR="0097612F" w:rsidRPr="000977F7" w:rsidRDefault="0097612F" w:rsidP="000977F7">
      <w:pPr>
        <w:pStyle w:val="af6"/>
        <w:tabs>
          <w:tab w:val="left" w:pos="284"/>
          <w:tab w:val="left" w:pos="3014"/>
          <w:tab w:val="left" w:pos="4071"/>
          <w:tab w:val="left" w:pos="4510"/>
        </w:tabs>
        <w:spacing w:after="0"/>
        <w:ind w:left="170"/>
        <w:mirrorIndents/>
        <w:jc w:val="both"/>
        <w:rPr>
          <w:rFonts w:asciiTheme="majorHAnsi" w:hAnsiTheme="majorHAnsi"/>
          <w:sz w:val="20"/>
          <w:szCs w:val="20"/>
        </w:rPr>
      </w:pPr>
      <w:r w:rsidRPr="000977F7">
        <w:rPr>
          <w:rFonts w:asciiTheme="majorHAnsi" w:hAnsiTheme="majorHAnsi"/>
          <w:sz w:val="20"/>
          <w:szCs w:val="20"/>
        </w:rPr>
        <w:t>Діяльність</w:t>
      </w:r>
      <w:r w:rsidRPr="000977F7">
        <w:rPr>
          <w:rFonts w:asciiTheme="majorHAnsi" w:hAnsiTheme="majorHAnsi"/>
          <w:spacing w:val="28"/>
          <w:sz w:val="20"/>
          <w:szCs w:val="20"/>
        </w:rPr>
        <w:t xml:space="preserve"> </w:t>
      </w:r>
      <w:r w:rsidRPr="000977F7">
        <w:rPr>
          <w:rFonts w:asciiTheme="majorHAnsi" w:hAnsiTheme="majorHAnsi"/>
          <w:sz w:val="20"/>
          <w:szCs w:val="20"/>
        </w:rPr>
        <w:t xml:space="preserve">з акредитації базується на </w:t>
      </w:r>
      <w:r w:rsidRPr="000977F7">
        <w:rPr>
          <w:rFonts w:asciiTheme="majorHAnsi" w:hAnsiTheme="majorHAnsi"/>
          <w:spacing w:val="-1"/>
          <w:sz w:val="20"/>
          <w:szCs w:val="20"/>
        </w:rPr>
        <w:t>таких</w:t>
      </w:r>
      <w:r w:rsidRPr="000977F7">
        <w:rPr>
          <w:rFonts w:asciiTheme="majorHAnsi" w:hAnsiTheme="majorHAnsi"/>
          <w:spacing w:val="-47"/>
          <w:sz w:val="20"/>
          <w:szCs w:val="20"/>
        </w:rPr>
        <w:t xml:space="preserve"> </w:t>
      </w:r>
      <w:r w:rsidRPr="000977F7">
        <w:rPr>
          <w:rFonts w:asciiTheme="majorHAnsi" w:hAnsiTheme="majorHAnsi"/>
          <w:sz w:val="20"/>
          <w:szCs w:val="20"/>
        </w:rPr>
        <w:t>основних принципах:</w:t>
      </w:r>
    </w:p>
    <w:p w14:paraId="56BDF3F5" w14:textId="77777777" w:rsidR="0097612F" w:rsidRPr="000977F7" w:rsidRDefault="0097612F" w:rsidP="000977F7">
      <w:pPr>
        <w:pStyle w:val="af6"/>
        <w:tabs>
          <w:tab w:val="left" w:pos="284"/>
          <w:tab w:val="left" w:pos="2642"/>
          <w:tab w:val="left" w:pos="3289"/>
        </w:tabs>
        <w:spacing w:after="0"/>
        <w:ind w:left="170"/>
        <w:mirrorIndents/>
        <w:jc w:val="both"/>
        <w:rPr>
          <w:rFonts w:asciiTheme="majorHAnsi" w:hAnsiTheme="majorHAnsi"/>
          <w:sz w:val="20"/>
          <w:szCs w:val="20"/>
        </w:rPr>
      </w:pPr>
      <w:r w:rsidRPr="000977F7">
        <w:rPr>
          <w:rFonts w:asciiTheme="majorHAnsi" w:hAnsiTheme="majorHAnsi"/>
          <w:sz w:val="20"/>
          <w:szCs w:val="20"/>
        </w:rPr>
        <w:t>забезпечення</w:t>
      </w:r>
      <w:r w:rsidRPr="000977F7">
        <w:rPr>
          <w:rFonts w:asciiTheme="majorHAnsi" w:hAnsiTheme="majorHAnsi"/>
          <w:spacing w:val="-2"/>
          <w:sz w:val="20"/>
          <w:szCs w:val="20"/>
        </w:rPr>
        <w:t xml:space="preserve"> </w:t>
      </w:r>
      <w:r w:rsidRPr="000977F7">
        <w:rPr>
          <w:rFonts w:asciiTheme="majorHAnsi" w:hAnsiTheme="majorHAnsi"/>
          <w:sz w:val="20"/>
          <w:szCs w:val="20"/>
        </w:rPr>
        <w:t>рівності прав, законних</w:t>
      </w:r>
      <w:r w:rsidRPr="000977F7">
        <w:rPr>
          <w:rFonts w:asciiTheme="majorHAnsi" w:hAnsiTheme="majorHAnsi"/>
          <w:spacing w:val="1"/>
          <w:sz w:val="20"/>
          <w:szCs w:val="20"/>
        </w:rPr>
        <w:t xml:space="preserve"> </w:t>
      </w:r>
      <w:r w:rsidRPr="000977F7">
        <w:rPr>
          <w:rFonts w:asciiTheme="majorHAnsi" w:hAnsiTheme="majorHAnsi"/>
          <w:sz w:val="20"/>
          <w:szCs w:val="20"/>
        </w:rPr>
        <w:t>інтересів</w:t>
      </w:r>
      <w:r w:rsidRPr="000977F7">
        <w:rPr>
          <w:rFonts w:asciiTheme="majorHAnsi" w:hAnsiTheme="majorHAnsi"/>
          <w:spacing w:val="-47"/>
          <w:sz w:val="20"/>
          <w:szCs w:val="20"/>
        </w:rPr>
        <w:t xml:space="preserve"> </w:t>
      </w:r>
      <w:r w:rsidRPr="000977F7">
        <w:rPr>
          <w:rFonts w:asciiTheme="majorHAnsi" w:hAnsiTheme="majorHAnsi"/>
          <w:sz w:val="20"/>
          <w:szCs w:val="20"/>
        </w:rPr>
        <w:t>усіх</w:t>
      </w:r>
      <w:r w:rsidRPr="000977F7">
        <w:rPr>
          <w:rFonts w:asciiTheme="majorHAnsi" w:hAnsiTheme="majorHAnsi"/>
          <w:spacing w:val="-2"/>
          <w:sz w:val="20"/>
          <w:szCs w:val="20"/>
        </w:rPr>
        <w:t xml:space="preserve"> </w:t>
      </w:r>
      <w:r w:rsidRPr="000977F7">
        <w:rPr>
          <w:rFonts w:asciiTheme="majorHAnsi" w:hAnsiTheme="majorHAnsi"/>
          <w:sz w:val="20"/>
          <w:szCs w:val="20"/>
        </w:rPr>
        <w:t>заінтересованих</w:t>
      </w:r>
      <w:r w:rsidRPr="000977F7">
        <w:rPr>
          <w:rFonts w:asciiTheme="majorHAnsi" w:hAnsiTheme="majorHAnsi"/>
          <w:spacing w:val="-1"/>
          <w:sz w:val="20"/>
          <w:szCs w:val="20"/>
        </w:rPr>
        <w:t xml:space="preserve"> </w:t>
      </w:r>
      <w:r w:rsidRPr="000977F7">
        <w:rPr>
          <w:rFonts w:asciiTheme="majorHAnsi" w:hAnsiTheme="majorHAnsi"/>
          <w:sz w:val="20"/>
          <w:szCs w:val="20"/>
        </w:rPr>
        <w:t>сторін;</w:t>
      </w:r>
    </w:p>
    <w:p w14:paraId="5044EB6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загальнодоступності</w:t>
      </w:r>
      <w:r w:rsidRPr="000977F7">
        <w:rPr>
          <w:rFonts w:asciiTheme="majorHAnsi" w:hAnsiTheme="majorHAnsi"/>
          <w:spacing w:val="44"/>
          <w:sz w:val="20"/>
          <w:szCs w:val="20"/>
        </w:rPr>
        <w:t xml:space="preserve"> </w:t>
      </w:r>
      <w:r w:rsidRPr="000977F7">
        <w:rPr>
          <w:rFonts w:asciiTheme="majorHAnsi" w:hAnsiTheme="majorHAnsi"/>
          <w:sz w:val="20"/>
          <w:szCs w:val="20"/>
        </w:rPr>
        <w:t>та</w:t>
      </w:r>
      <w:r w:rsidRPr="000977F7">
        <w:rPr>
          <w:rFonts w:asciiTheme="majorHAnsi" w:hAnsiTheme="majorHAnsi"/>
          <w:spacing w:val="43"/>
          <w:sz w:val="20"/>
          <w:szCs w:val="20"/>
        </w:rPr>
        <w:t xml:space="preserve"> </w:t>
      </w:r>
      <w:r w:rsidRPr="000977F7">
        <w:rPr>
          <w:rFonts w:asciiTheme="majorHAnsi" w:hAnsiTheme="majorHAnsi"/>
          <w:sz w:val="20"/>
          <w:szCs w:val="20"/>
        </w:rPr>
        <w:t>неупередженості</w:t>
      </w:r>
      <w:r w:rsidRPr="000977F7">
        <w:rPr>
          <w:rFonts w:asciiTheme="majorHAnsi" w:hAnsiTheme="majorHAnsi"/>
          <w:spacing w:val="39"/>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49"/>
          <w:sz w:val="20"/>
          <w:szCs w:val="20"/>
        </w:rPr>
        <w:t xml:space="preserve"> </w:t>
      </w:r>
      <w:r w:rsidRPr="000977F7">
        <w:rPr>
          <w:rFonts w:asciiTheme="majorHAnsi" w:hAnsiTheme="majorHAnsi"/>
          <w:sz w:val="20"/>
          <w:szCs w:val="20"/>
        </w:rPr>
        <w:t>робіт</w:t>
      </w:r>
      <w:r w:rsidRPr="000977F7">
        <w:rPr>
          <w:rFonts w:asciiTheme="majorHAnsi" w:hAnsiTheme="majorHAnsi"/>
          <w:spacing w:val="49"/>
          <w:sz w:val="20"/>
          <w:szCs w:val="20"/>
        </w:rPr>
        <w:t xml:space="preserve"> </w:t>
      </w:r>
      <w:r w:rsidRPr="000977F7">
        <w:rPr>
          <w:rFonts w:asciiTheme="majorHAnsi" w:hAnsiTheme="majorHAnsi"/>
          <w:sz w:val="20"/>
          <w:szCs w:val="20"/>
        </w:rPr>
        <w:t>з акредитації;</w:t>
      </w:r>
    </w:p>
    <w:p w14:paraId="7F078962"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прозорості діяльності з акредитації;</w:t>
      </w:r>
      <w:r w:rsidRPr="000977F7">
        <w:rPr>
          <w:rFonts w:asciiTheme="majorHAnsi" w:hAnsiTheme="majorHAnsi"/>
          <w:spacing w:val="1"/>
          <w:sz w:val="20"/>
          <w:szCs w:val="20"/>
        </w:rPr>
        <w:t xml:space="preserve"> </w:t>
      </w:r>
      <w:r w:rsidRPr="000977F7">
        <w:rPr>
          <w:rFonts w:asciiTheme="majorHAnsi" w:hAnsiTheme="majorHAnsi"/>
          <w:sz w:val="20"/>
          <w:szCs w:val="20"/>
        </w:rPr>
        <w:t>професійної</w:t>
      </w:r>
      <w:r w:rsidRPr="000977F7">
        <w:rPr>
          <w:rFonts w:asciiTheme="majorHAnsi" w:hAnsiTheme="majorHAnsi"/>
          <w:spacing w:val="-7"/>
          <w:sz w:val="20"/>
          <w:szCs w:val="20"/>
        </w:rPr>
        <w:t xml:space="preserve"> </w:t>
      </w:r>
      <w:r w:rsidRPr="000977F7">
        <w:rPr>
          <w:rFonts w:asciiTheme="majorHAnsi" w:hAnsiTheme="majorHAnsi"/>
          <w:sz w:val="20"/>
          <w:szCs w:val="20"/>
        </w:rPr>
        <w:t>компетентності</w:t>
      </w:r>
      <w:r w:rsidRPr="000977F7">
        <w:rPr>
          <w:rFonts w:asciiTheme="majorHAnsi" w:hAnsiTheme="majorHAnsi"/>
          <w:spacing w:val="-7"/>
          <w:sz w:val="20"/>
          <w:szCs w:val="20"/>
        </w:rPr>
        <w:t xml:space="preserve"> </w:t>
      </w:r>
      <w:r w:rsidRPr="000977F7">
        <w:rPr>
          <w:rFonts w:asciiTheme="majorHAnsi" w:hAnsiTheme="majorHAnsi"/>
          <w:sz w:val="20"/>
          <w:szCs w:val="20"/>
        </w:rPr>
        <w:t>виконавців</w:t>
      </w:r>
      <w:r w:rsidRPr="000977F7">
        <w:rPr>
          <w:rFonts w:asciiTheme="majorHAnsi" w:hAnsiTheme="majorHAnsi"/>
          <w:spacing w:val="-6"/>
          <w:sz w:val="20"/>
          <w:szCs w:val="20"/>
        </w:rPr>
        <w:t xml:space="preserve"> </w:t>
      </w:r>
      <w:r w:rsidRPr="000977F7">
        <w:rPr>
          <w:rFonts w:asciiTheme="majorHAnsi" w:hAnsiTheme="majorHAnsi"/>
          <w:sz w:val="20"/>
          <w:szCs w:val="20"/>
        </w:rPr>
        <w:t>робіт;</w:t>
      </w:r>
      <w:r w:rsidRPr="000977F7">
        <w:rPr>
          <w:rFonts w:asciiTheme="majorHAnsi" w:hAnsiTheme="majorHAnsi"/>
          <w:spacing w:val="-47"/>
          <w:sz w:val="20"/>
          <w:szCs w:val="20"/>
        </w:rPr>
        <w:t xml:space="preserve"> </w:t>
      </w:r>
    </w:p>
    <w:p w14:paraId="5F2E72E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добровільності</w:t>
      </w:r>
      <w:r w:rsidRPr="000977F7">
        <w:rPr>
          <w:rFonts w:asciiTheme="majorHAnsi" w:hAnsiTheme="majorHAnsi"/>
          <w:spacing w:val="-2"/>
          <w:sz w:val="20"/>
          <w:szCs w:val="20"/>
        </w:rPr>
        <w:t xml:space="preserve"> </w:t>
      </w:r>
      <w:r w:rsidRPr="000977F7">
        <w:rPr>
          <w:rFonts w:asciiTheme="majorHAnsi" w:hAnsiTheme="majorHAnsi"/>
          <w:sz w:val="20"/>
          <w:szCs w:val="20"/>
        </w:rPr>
        <w:t>акредитації;</w:t>
      </w:r>
    </w:p>
    <w:p w14:paraId="13FBF7E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забезпечення участі</w:t>
      </w:r>
      <w:r w:rsidRPr="000977F7">
        <w:rPr>
          <w:rFonts w:asciiTheme="majorHAnsi" w:hAnsiTheme="majorHAnsi"/>
          <w:spacing w:val="1"/>
          <w:sz w:val="20"/>
          <w:szCs w:val="20"/>
        </w:rPr>
        <w:t xml:space="preserve"> </w:t>
      </w:r>
      <w:r w:rsidRPr="000977F7">
        <w:rPr>
          <w:rFonts w:asciiTheme="majorHAnsi" w:hAnsiTheme="majorHAnsi"/>
          <w:sz w:val="20"/>
          <w:szCs w:val="20"/>
        </w:rPr>
        <w:t>органів</w:t>
      </w:r>
      <w:r w:rsidRPr="000977F7">
        <w:rPr>
          <w:rFonts w:asciiTheme="majorHAnsi" w:hAnsiTheme="majorHAnsi"/>
          <w:spacing w:val="1"/>
          <w:sz w:val="20"/>
          <w:szCs w:val="20"/>
        </w:rPr>
        <w:t xml:space="preserve"> </w:t>
      </w:r>
      <w:r w:rsidRPr="000977F7">
        <w:rPr>
          <w:rFonts w:asciiTheme="majorHAnsi" w:hAnsiTheme="majorHAnsi"/>
          <w:sz w:val="20"/>
          <w:szCs w:val="20"/>
        </w:rPr>
        <w:t>виконавчої влади та</w:t>
      </w:r>
      <w:r w:rsidRPr="000977F7">
        <w:rPr>
          <w:rFonts w:asciiTheme="majorHAnsi" w:hAnsiTheme="majorHAnsi"/>
          <w:spacing w:val="1"/>
          <w:sz w:val="20"/>
          <w:szCs w:val="20"/>
        </w:rPr>
        <w:t xml:space="preserve"> </w:t>
      </w:r>
      <w:r w:rsidRPr="000977F7">
        <w:rPr>
          <w:rFonts w:asciiTheme="majorHAnsi" w:hAnsiTheme="majorHAnsi"/>
          <w:sz w:val="20"/>
          <w:szCs w:val="20"/>
        </w:rPr>
        <w:t>громадських</w:t>
      </w:r>
      <w:r w:rsidRPr="000977F7">
        <w:rPr>
          <w:rFonts w:asciiTheme="majorHAnsi" w:hAnsiTheme="majorHAnsi"/>
          <w:spacing w:val="-3"/>
          <w:sz w:val="20"/>
          <w:szCs w:val="20"/>
        </w:rPr>
        <w:t xml:space="preserve"> </w:t>
      </w:r>
      <w:r w:rsidRPr="000977F7">
        <w:rPr>
          <w:rFonts w:asciiTheme="majorHAnsi" w:hAnsiTheme="majorHAnsi"/>
          <w:sz w:val="20"/>
          <w:szCs w:val="20"/>
        </w:rPr>
        <w:t>організацій</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паритетній</w:t>
      </w:r>
      <w:r w:rsidRPr="000977F7">
        <w:rPr>
          <w:rFonts w:asciiTheme="majorHAnsi" w:hAnsiTheme="majorHAnsi"/>
          <w:spacing w:val="-2"/>
          <w:sz w:val="20"/>
          <w:szCs w:val="20"/>
        </w:rPr>
        <w:t xml:space="preserve"> </w:t>
      </w:r>
      <w:r w:rsidRPr="000977F7">
        <w:rPr>
          <w:rFonts w:asciiTheme="majorHAnsi" w:hAnsiTheme="majorHAnsi"/>
          <w:sz w:val="20"/>
          <w:szCs w:val="20"/>
        </w:rPr>
        <w:t>основі;</w:t>
      </w:r>
    </w:p>
    <w:p w14:paraId="4461C11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застосування гармонізованих з міжнародними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європейськими</w:t>
      </w:r>
      <w:r w:rsidRPr="000977F7">
        <w:rPr>
          <w:rFonts w:asciiTheme="majorHAnsi" w:hAnsiTheme="majorHAnsi"/>
          <w:spacing w:val="-4"/>
          <w:sz w:val="20"/>
          <w:szCs w:val="20"/>
        </w:rPr>
        <w:t xml:space="preserve"> </w:t>
      </w:r>
      <w:r w:rsidRPr="000977F7">
        <w:rPr>
          <w:rFonts w:asciiTheme="majorHAnsi" w:hAnsiTheme="majorHAnsi"/>
          <w:sz w:val="20"/>
          <w:szCs w:val="20"/>
        </w:rPr>
        <w:t>стандартами</w:t>
      </w:r>
      <w:r w:rsidRPr="000977F7">
        <w:rPr>
          <w:rFonts w:asciiTheme="majorHAnsi" w:hAnsiTheme="majorHAnsi"/>
          <w:spacing w:val="-2"/>
          <w:sz w:val="20"/>
          <w:szCs w:val="20"/>
        </w:rPr>
        <w:t xml:space="preserve"> </w:t>
      </w:r>
      <w:r w:rsidRPr="000977F7">
        <w:rPr>
          <w:rFonts w:asciiTheme="majorHAnsi" w:hAnsiTheme="majorHAnsi"/>
          <w:sz w:val="20"/>
          <w:szCs w:val="20"/>
        </w:rPr>
        <w:t>вимог</w:t>
      </w:r>
      <w:r w:rsidRPr="000977F7">
        <w:rPr>
          <w:rFonts w:asciiTheme="majorHAnsi" w:hAnsiTheme="majorHAnsi"/>
          <w:spacing w:val="-4"/>
          <w:sz w:val="20"/>
          <w:szCs w:val="20"/>
        </w:rPr>
        <w:t xml:space="preserve"> </w:t>
      </w:r>
      <w:r w:rsidRPr="000977F7">
        <w:rPr>
          <w:rFonts w:asciiTheme="majorHAnsi" w:hAnsiTheme="majorHAnsi"/>
          <w:sz w:val="20"/>
          <w:szCs w:val="20"/>
        </w:rPr>
        <w:t>щодо</w:t>
      </w:r>
      <w:r w:rsidRPr="000977F7">
        <w:rPr>
          <w:rFonts w:asciiTheme="majorHAnsi" w:hAnsiTheme="majorHAnsi"/>
          <w:spacing w:val="-3"/>
          <w:sz w:val="20"/>
          <w:szCs w:val="20"/>
        </w:rPr>
        <w:t xml:space="preserve"> </w:t>
      </w:r>
      <w:r w:rsidRPr="000977F7">
        <w:rPr>
          <w:rFonts w:asciiTheme="majorHAnsi" w:hAnsiTheme="majorHAnsi"/>
          <w:sz w:val="20"/>
          <w:szCs w:val="20"/>
        </w:rPr>
        <w:t>акредитації;</w:t>
      </w:r>
    </w:p>
    <w:p w14:paraId="7539725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дотримання</w:t>
      </w:r>
      <w:r w:rsidRPr="000977F7">
        <w:rPr>
          <w:rFonts w:asciiTheme="majorHAnsi" w:hAnsiTheme="majorHAnsi"/>
          <w:spacing w:val="-6"/>
          <w:sz w:val="20"/>
          <w:szCs w:val="20"/>
        </w:rPr>
        <w:t xml:space="preserve"> </w:t>
      </w:r>
      <w:r w:rsidRPr="000977F7">
        <w:rPr>
          <w:rFonts w:asciiTheme="majorHAnsi" w:hAnsiTheme="majorHAnsi"/>
          <w:sz w:val="20"/>
          <w:szCs w:val="20"/>
        </w:rPr>
        <w:t>суспільних</w:t>
      </w:r>
      <w:r w:rsidRPr="000977F7">
        <w:rPr>
          <w:rFonts w:asciiTheme="majorHAnsi" w:hAnsiTheme="majorHAnsi"/>
          <w:spacing w:val="-5"/>
          <w:sz w:val="20"/>
          <w:szCs w:val="20"/>
        </w:rPr>
        <w:t xml:space="preserve"> </w:t>
      </w:r>
      <w:r w:rsidRPr="000977F7">
        <w:rPr>
          <w:rFonts w:asciiTheme="majorHAnsi" w:hAnsiTheme="majorHAnsi"/>
          <w:sz w:val="20"/>
          <w:szCs w:val="20"/>
        </w:rPr>
        <w:t>інтересів;</w:t>
      </w:r>
    </w:p>
    <w:p w14:paraId="37E4250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конфіденційності інформації, отриманої в процесі</w:t>
      </w:r>
      <w:r w:rsidRPr="000977F7">
        <w:rPr>
          <w:rFonts w:asciiTheme="majorHAnsi" w:hAnsiTheme="majorHAnsi"/>
          <w:spacing w:val="1"/>
          <w:sz w:val="20"/>
          <w:szCs w:val="20"/>
        </w:rPr>
        <w:t xml:space="preserve"> </w:t>
      </w:r>
      <w:r w:rsidRPr="000977F7">
        <w:rPr>
          <w:rFonts w:asciiTheme="majorHAnsi" w:hAnsiTheme="majorHAnsi"/>
          <w:sz w:val="20"/>
          <w:szCs w:val="20"/>
        </w:rPr>
        <w:t>акредитації.</w:t>
      </w:r>
    </w:p>
    <w:p w14:paraId="466E85C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Акредитація</w:t>
      </w:r>
      <w:r w:rsidRPr="000977F7">
        <w:rPr>
          <w:rFonts w:asciiTheme="majorHAnsi" w:hAnsiTheme="majorHAnsi"/>
          <w:spacing w:val="1"/>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w:t>
      </w:r>
      <w:r w:rsidRPr="000977F7">
        <w:rPr>
          <w:rFonts w:asciiTheme="majorHAnsi" w:hAnsiTheme="majorHAnsi"/>
          <w:spacing w:val="1"/>
          <w:sz w:val="20"/>
          <w:szCs w:val="20"/>
        </w:rPr>
        <w:t xml:space="preserve"> </w:t>
      </w:r>
      <w:r w:rsidRPr="000977F7">
        <w:rPr>
          <w:rFonts w:asciiTheme="majorHAnsi" w:hAnsiTheme="majorHAnsi"/>
          <w:sz w:val="20"/>
          <w:szCs w:val="20"/>
        </w:rPr>
        <w:t>до вимог,</w:t>
      </w:r>
      <w:r w:rsidRPr="000977F7">
        <w:rPr>
          <w:rFonts w:asciiTheme="majorHAnsi" w:hAnsiTheme="majorHAnsi"/>
          <w:spacing w:val="1"/>
          <w:sz w:val="20"/>
          <w:szCs w:val="20"/>
        </w:rPr>
        <w:t xml:space="preserve"> </w:t>
      </w:r>
      <w:r w:rsidRPr="000977F7">
        <w:rPr>
          <w:rFonts w:asciiTheme="majorHAnsi" w:hAnsiTheme="majorHAnsi"/>
          <w:sz w:val="20"/>
          <w:szCs w:val="20"/>
        </w:rPr>
        <w:t>установлених законодавством</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сфері акредитації,</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національними стандартами з питань акредитації, гармонізованими з відповідними міжнародними та європейськими</w:t>
      </w:r>
      <w:r w:rsidRPr="000977F7">
        <w:rPr>
          <w:rFonts w:asciiTheme="majorHAnsi" w:hAnsiTheme="majorHAnsi"/>
          <w:spacing w:val="1"/>
          <w:sz w:val="20"/>
          <w:szCs w:val="20"/>
        </w:rPr>
        <w:t xml:space="preserve"> </w:t>
      </w:r>
      <w:r w:rsidRPr="000977F7">
        <w:rPr>
          <w:rFonts w:asciiTheme="majorHAnsi" w:hAnsiTheme="majorHAnsi"/>
          <w:sz w:val="20"/>
          <w:szCs w:val="20"/>
        </w:rPr>
        <w:t>стандартами,</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1"/>
          <w:sz w:val="20"/>
          <w:szCs w:val="20"/>
        </w:rPr>
        <w:t xml:space="preserve"> </w:t>
      </w:r>
      <w:r w:rsidRPr="000977F7">
        <w:rPr>
          <w:rFonts w:asciiTheme="majorHAnsi" w:hAnsiTheme="majorHAnsi"/>
          <w:sz w:val="20"/>
          <w:szCs w:val="20"/>
        </w:rPr>
        <w:t>іншими документами з питань акредитації,</w:t>
      </w:r>
      <w:r w:rsidRPr="000977F7">
        <w:rPr>
          <w:rFonts w:asciiTheme="majorHAnsi" w:hAnsiTheme="majorHAnsi"/>
          <w:spacing w:val="1"/>
          <w:sz w:val="20"/>
          <w:szCs w:val="20"/>
        </w:rPr>
        <w:t xml:space="preserve"> </w:t>
      </w:r>
      <w:r w:rsidRPr="000977F7">
        <w:rPr>
          <w:rFonts w:asciiTheme="majorHAnsi" w:hAnsiTheme="majorHAnsi"/>
          <w:sz w:val="20"/>
          <w:szCs w:val="20"/>
        </w:rPr>
        <w:t>прийнятими</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національним</w:t>
      </w:r>
      <w:r w:rsidRPr="000977F7">
        <w:rPr>
          <w:rFonts w:asciiTheme="majorHAnsi" w:hAnsiTheme="majorHAnsi"/>
          <w:spacing w:val="51"/>
          <w:sz w:val="20"/>
          <w:szCs w:val="20"/>
        </w:rPr>
        <w:t xml:space="preserve"> </w:t>
      </w:r>
      <w:r w:rsidRPr="000977F7">
        <w:rPr>
          <w:rFonts w:asciiTheme="majorHAnsi" w:hAnsiTheme="majorHAnsi"/>
          <w:sz w:val="20"/>
          <w:szCs w:val="20"/>
        </w:rPr>
        <w:t>органом</w:t>
      </w:r>
      <w:r w:rsidRPr="000977F7">
        <w:rPr>
          <w:rFonts w:asciiTheme="majorHAnsi" w:hAnsiTheme="majorHAnsi"/>
          <w:spacing w:val="51"/>
          <w:sz w:val="20"/>
          <w:szCs w:val="20"/>
        </w:rPr>
        <w:t xml:space="preserve"> </w:t>
      </w:r>
      <w:r w:rsidRPr="000977F7">
        <w:rPr>
          <w:rFonts w:asciiTheme="majorHAnsi" w:hAnsiTheme="majorHAnsi"/>
          <w:sz w:val="20"/>
          <w:szCs w:val="20"/>
        </w:rPr>
        <w:t>України з акредитації, міжнародними</w:t>
      </w:r>
      <w:r w:rsidRPr="000977F7">
        <w:rPr>
          <w:rFonts w:asciiTheme="majorHAnsi" w:hAnsiTheme="majorHAnsi"/>
          <w:spacing w:val="51"/>
          <w:sz w:val="20"/>
          <w:szCs w:val="20"/>
        </w:rPr>
        <w:t xml:space="preserve"> </w:t>
      </w:r>
      <w:r w:rsidRPr="000977F7">
        <w:rPr>
          <w:rFonts w:asciiTheme="majorHAnsi" w:hAnsiTheme="majorHAnsi"/>
          <w:sz w:val="20"/>
          <w:szCs w:val="20"/>
        </w:rPr>
        <w:t>та</w:t>
      </w:r>
      <w:r w:rsidRPr="000977F7">
        <w:rPr>
          <w:rFonts w:asciiTheme="majorHAnsi" w:hAnsiTheme="majorHAnsi"/>
          <w:spacing w:val="51"/>
          <w:sz w:val="20"/>
          <w:szCs w:val="20"/>
        </w:rPr>
        <w:t xml:space="preserve"> </w:t>
      </w:r>
      <w:r w:rsidRPr="000977F7">
        <w:rPr>
          <w:rFonts w:asciiTheme="majorHAnsi" w:hAnsiTheme="majorHAnsi"/>
          <w:sz w:val="20"/>
          <w:szCs w:val="20"/>
        </w:rPr>
        <w:t>європейськими</w:t>
      </w:r>
      <w:r w:rsidRPr="000977F7">
        <w:rPr>
          <w:rFonts w:asciiTheme="majorHAnsi" w:hAnsiTheme="majorHAnsi"/>
          <w:spacing w:val="50"/>
          <w:sz w:val="20"/>
          <w:szCs w:val="20"/>
        </w:rPr>
        <w:t xml:space="preserve"> </w:t>
      </w:r>
      <w:r w:rsidRPr="000977F7">
        <w:rPr>
          <w:rFonts w:asciiTheme="majorHAnsi" w:hAnsiTheme="majorHAnsi"/>
          <w:sz w:val="20"/>
          <w:szCs w:val="20"/>
        </w:rPr>
        <w:t>організаціями</w:t>
      </w:r>
      <w:r w:rsidRPr="000977F7">
        <w:rPr>
          <w:rFonts w:asciiTheme="majorHAnsi" w:hAnsiTheme="majorHAnsi"/>
          <w:spacing w:val="50"/>
          <w:sz w:val="20"/>
          <w:szCs w:val="20"/>
        </w:rPr>
        <w:t xml:space="preserve"> </w:t>
      </w:r>
      <w:r w:rsidRPr="000977F7">
        <w:rPr>
          <w:rFonts w:asciiTheme="majorHAnsi" w:hAnsiTheme="majorHAnsi"/>
          <w:sz w:val="20"/>
          <w:szCs w:val="20"/>
        </w:rPr>
        <w:t>з акредитації.</w:t>
      </w:r>
      <w:r w:rsidRPr="000977F7">
        <w:rPr>
          <w:rFonts w:asciiTheme="majorHAnsi" w:hAnsiTheme="majorHAnsi"/>
          <w:spacing w:val="1"/>
          <w:sz w:val="20"/>
          <w:szCs w:val="20"/>
        </w:rPr>
        <w:t xml:space="preserve"> </w:t>
      </w:r>
      <w:r w:rsidRPr="000977F7">
        <w:rPr>
          <w:rFonts w:asciiTheme="majorHAnsi" w:hAnsiTheme="majorHAnsi"/>
          <w:sz w:val="20"/>
          <w:szCs w:val="20"/>
        </w:rPr>
        <w:t>Перелік назв і позначень таких актів та</w:t>
      </w:r>
      <w:r w:rsidRPr="000977F7">
        <w:rPr>
          <w:rFonts w:asciiTheme="majorHAnsi" w:hAnsiTheme="majorHAnsi"/>
          <w:spacing w:val="1"/>
          <w:sz w:val="20"/>
          <w:szCs w:val="20"/>
        </w:rPr>
        <w:t xml:space="preserve"> </w:t>
      </w:r>
      <w:r w:rsidRPr="000977F7">
        <w:rPr>
          <w:rFonts w:asciiTheme="majorHAnsi" w:hAnsiTheme="majorHAnsi"/>
          <w:sz w:val="20"/>
          <w:szCs w:val="20"/>
        </w:rPr>
        <w:t>документів, тексти</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нормативно-правових</w:t>
      </w:r>
      <w:r w:rsidRPr="000977F7">
        <w:rPr>
          <w:rFonts w:asciiTheme="majorHAnsi" w:hAnsiTheme="majorHAnsi"/>
          <w:spacing w:val="1"/>
          <w:sz w:val="20"/>
          <w:szCs w:val="20"/>
        </w:rPr>
        <w:t xml:space="preserve"> </w:t>
      </w:r>
      <w:r w:rsidRPr="000977F7">
        <w:rPr>
          <w:rFonts w:asciiTheme="majorHAnsi" w:hAnsiTheme="majorHAnsi"/>
          <w:sz w:val="20"/>
          <w:szCs w:val="20"/>
        </w:rPr>
        <w:t>актів</w:t>
      </w:r>
      <w:r w:rsidRPr="000977F7">
        <w:rPr>
          <w:rFonts w:asciiTheme="majorHAnsi" w:hAnsiTheme="majorHAnsi"/>
          <w:spacing w:val="1"/>
          <w:sz w:val="20"/>
          <w:szCs w:val="20"/>
        </w:rPr>
        <w:t xml:space="preserve"> </w:t>
      </w:r>
      <w:r w:rsidRPr="000977F7">
        <w:rPr>
          <w:rFonts w:asciiTheme="majorHAnsi" w:hAnsiTheme="majorHAnsi"/>
          <w:sz w:val="20"/>
          <w:szCs w:val="20"/>
        </w:rPr>
        <w:t>з питань акредитації,</w:t>
      </w:r>
      <w:r w:rsidRPr="000977F7">
        <w:rPr>
          <w:rFonts w:asciiTheme="majorHAnsi" w:hAnsiTheme="majorHAnsi"/>
          <w:spacing w:val="1"/>
          <w:sz w:val="20"/>
          <w:szCs w:val="20"/>
        </w:rPr>
        <w:t xml:space="preserve"> </w:t>
      </w:r>
      <w:r w:rsidRPr="000977F7">
        <w:rPr>
          <w:rFonts w:asciiTheme="majorHAnsi" w:hAnsiTheme="majorHAnsi"/>
          <w:sz w:val="20"/>
          <w:szCs w:val="20"/>
        </w:rPr>
        <w:t>а також тексти</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51"/>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51"/>
          <w:sz w:val="20"/>
          <w:szCs w:val="20"/>
        </w:rPr>
        <w:t xml:space="preserve"> </w:t>
      </w:r>
      <w:r w:rsidRPr="000977F7">
        <w:rPr>
          <w:rFonts w:asciiTheme="majorHAnsi" w:hAnsiTheme="majorHAnsi"/>
          <w:sz w:val="20"/>
          <w:szCs w:val="20"/>
        </w:rPr>
        <w:t>з</w:t>
      </w:r>
      <w:r w:rsidRPr="000977F7">
        <w:rPr>
          <w:rFonts w:asciiTheme="majorHAnsi" w:hAnsiTheme="majorHAnsi"/>
          <w:spacing w:val="51"/>
          <w:sz w:val="20"/>
          <w:szCs w:val="20"/>
        </w:rPr>
        <w:t xml:space="preserve"> </w:t>
      </w:r>
      <w:r w:rsidRPr="000977F7">
        <w:rPr>
          <w:rFonts w:asciiTheme="majorHAnsi" w:hAnsiTheme="majorHAnsi"/>
          <w:sz w:val="20"/>
          <w:szCs w:val="20"/>
        </w:rPr>
        <w:t>питань</w:t>
      </w:r>
      <w:r w:rsidRPr="000977F7">
        <w:rPr>
          <w:rFonts w:asciiTheme="majorHAnsi" w:hAnsiTheme="majorHAnsi"/>
          <w:spacing w:val="1"/>
          <w:sz w:val="20"/>
          <w:szCs w:val="20"/>
        </w:rPr>
        <w:t xml:space="preserve"> </w:t>
      </w:r>
      <w:r w:rsidRPr="000977F7">
        <w:rPr>
          <w:rFonts w:asciiTheme="majorHAnsi" w:hAnsiTheme="majorHAnsi"/>
          <w:sz w:val="20"/>
          <w:szCs w:val="20"/>
        </w:rPr>
        <w:t>акредитації,</w:t>
      </w:r>
      <w:r w:rsidRPr="000977F7">
        <w:rPr>
          <w:rFonts w:asciiTheme="majorHAnsi" w:hAnsiTheme="majorHAnsi"/>
          <w:spacing w:val="1"/>
          <w:sz w:val="20"/>
          <w:szCs w:val="20"/>
        </w:rPr>
        <w:t xml:space="preserve"> </w:t>
      </w:r>
      <w:r w:rsidRPr="000977F7">
        <w:rPr>
          <w:rFonts w:asciiTheme="majorHAnsi" w:hAnsiTheme="majorHAnsi"/>
          <w:sz w:val="20"/>
          <w:szCs w:val="20"/>
        </w:rPr>
        <w:t>прийнятих національним</w:t>
      </w:r>
      <w:r w:rsidRPr="000977F7">
        <w:rPr>
          <w:rFonts w:asciiTheme="majorHAnsi" w:hAnsiTheme="majorHAnsi"/>
          <w:spacing w:val="1"/>
          <w:sz w:val="20"/>
          <w:szCs w:val="20"/>
        </w:rPr>
        <w:t xml:space="preserve"> </w:t>
      </w:r>
      <w:r w:rsidRPr="000977F7">
        <w:rPr>
          <w:rFonts w:asciiTheme="majorHAnsi" w:hAnsiTheme="majorHAnsi"/>
          <w:sz w:val="20"/>
          <w:szCs w:val="20"/>
        </w:rPr>
        <w:t>органом</w:t>
      </w:r>
      <w:r w:rsidRPr="000977F7">
        <w:rPr>
          <w:rFonts w:asciiTheme="majorHAnsi" w:hAnsiTheme="majorHAnsi"/>
          <w:spacing w:val="-47"/>
          <w:sz w:val="20"/>
          <w:szCs w:val="20"/>
        </w:rPr>
        <w:t xml:space="preserve"> </w:t>
      </w:r>
      <w:r w:rsidRPr="000977F7">
        <w:rPr>
          <w:rFonts w:asciiTheme="majorHAnsi" w:hAnsiTheme="majorHAnsi"/>
          <w:sz w:val="20"/>
          <w:szCs w:val="20"/>
        </w:rPr>
        <w:t>України</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акредитації,</w:t>
      </w:r>
      <w:r w:rsidRPr="000977F7">
        <w:rPr>
          <w:rFonts w:asciiTheme="majorHAnsi" w:hAnsiTheme="majorHAnsi"/>
          <w:spacing w:val="51"/>
          <w:sz w:val="20"/>
          <w:szCs w:val="20"/>
        </w:rPr>
        <w:t xml:space="preserve"> </w:t>
      </w:r>
      <w:r w:rsidRPr="000977F7">
        <w:rPr>
          <w:rFonts w:asciiTheme="majorHAnsi" w:hAnsiTheme="majorHAnsi"/>
          <w:sz w:val="20"/>
          <w:szCs w:val="20"/>
        </w:rPr>
        <w:t>оприлюднюються</w:t>
      </w:r>
      <w:r w:rsidRPr="000977F7">
        <w:rPr>
          <w:rFonts w:asciiTheme="majorHAnsi" w:hAnsiTheme="majorHAnsi"/>
          <w:spacing w:val="50"/>
          <w:sz w:val="20"/>
          <w:szCs w:val="20"/>
        </w:rPr>
        <w:t xml:space="preserve"> </w:t>
      </w:r>
      <w:r w:rsidRPr="000977F7">
        <w:rPr>
          <w:rFonts w:asciiTheme="majorHAnsi" w:hAnsiTheme="majorHAnsi"/>
          <w:sz w:val="20"/>
          <w:szCs w:val="20"/>
        </w:rPr>
        <w:t>на</w:t>
      </w:r>
      <w:r w:rsidRPr="000977F7">
        <w:rPr>
          <w:rFonts w:asciiTheme="majorHAnsi" w:hAnsiTheme="majorHAnsi"/>
          <w:spacing w:val="50"/>
          <w:sz w:val="20"/>
          <w:szCs w:val="20"/>
        </w:rPr>
        <w:t xml:space="preserve"> </w:t>
      </w:r>
      <w:r w:rsidRPr="000977F7">
        <w:rPr>
          <w:rFonts w:asciiTheme="majorHAnsi" w:hAnsiTheme="majorHAnsi"/>
          <w:sz w:val="20"/>
          <w:szCs w:val="20"/>
        </w:rPr>
        <w:t>вебсайті національного органу України з акредитації в</w:t>
      </w:r>
      <w:r w:rsidRPr="000977F7">
        <w:rPr>
          <w:rFonts w:asciiTheme="majorHAnsi" w:hAnsiTheme="majorHAnsi"/>
          <w:spacing w:val="1"/>
          <w:sz w:val="20"/>
          <w:szCs w:val="20"/>
        </w:rPr>
        <w:t xml:space="preserve"> </w:t>
      </w:r>
      <w:r w:rsidRPr="000977F7">
        <w:rPr>
          <w:rFonts w:asciiTheme="majorHAnsi" w:hAnsiTheme="majorHAnsi"/>
          <w:sz w:val="20"/>
          <w:szCs w:val="20"/>
        </w:rPr>
        <w:t>Інтернеті.</w:t>
      </w:r>
    </w:p>
    <w:p w14:paraId="190F925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1"/>
          <w:sz w:val="20"/>
          <w:szCs w:val="20"/>
        </w:rPr>
        <w:t xml:space="preserve"> </w:t>
      </w:r>
      <w:r w:rsidRPr="000977F7">
        <w:rPr>
          <w:rFonts w:asciiTheme="majorHAnsi" w:hAnsiTheme="majorHAnsi"/>
          <w:i/>
          <w:sz w:val="20"/>
          <w:szCs w:val="20"/>
        </w:rPr>
        <w:t>5</w:t>
      </w:r>
      <w:r w:rsidRPr="000977F7">
        <w:rPr>
          <w:rFonts w:asciiTheme="majorHAnsi" w:hAnsiTheme="majorHAnsi"/>
          <w:i/>
          <w:spacing w:val="1"/>
          <w:sz w:val="20"/>
          <w:szCs w:val="20"/>
        </w:rPr>
        <w:t xml:space="preserve"> </w:t>
      </w:r>
      <w:r w:rsidRPr="000977F7">
        <w:rPr>
          <w:rFonts w:asciiTheme="majorHAnsi" w:hAnsiTheme="majorHAnsi"/>
          <w:i/>
          <w:sz w:val="20"/>
          <w:szCs w:val="20"/>
        </w:rPr>
        <w:t>закону</w:t>
      </w:r>
      <w:r w:rsidRPr="000977F7">
        <w:rPr>
          <w:rFonts w:asciiTheme="majorHAnsi" w:hAnsiTheme="majorHAnsi"/>
          <w:i/>
          <w:spacing w:val="1"/>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1"/>
          <w:sz w:val="20"/>
          <w:szCs w:val="20"/>
        </w:rPr>
        <w:t xml:space="preserve"> "</w:t>
      </w:r>
      <w:r w:rsidRPr="000977F7">
        <w:rPr>
          <w:rFonts w:asciiTheme="majorHAnsi" w:hAnsiTheme="majorHAnsi"/>
          <w:i/>
          <w:sz w:val="20"/>
          <w:szCs w:val="20"/>
        </w:rPr>
        <w:t>Про</w:t>
      </w:r>
      <w:r w:rsidRPr="000977F7">
        <w:rPr>
          <w:rFonts w:asciiTheme="majorHAnsi" w:hAnsiTheme="majorHAnsi"/>
          <w:i/>
          <w:spacing w:val="1"/>
          <w:sz w:val="20"/>
          <w:szCs w:val="20"/>
        </w:rPr>
        <w:t xml:space="preserve"> </w:t>
      </w:r>
      <w:r w:rsidRPr="000977F7">
        <w:rPr>
          <w:rFonts w:asciiTheme="majorHAnsi" w:hAnsiTheme="majorHAnsi"/>
          <w:i/>
          <w:sz w:val="20"/>
          <w:szCs w:val="20"/>
        </w:rPr>
        <w:t>акредитацію</w:t>
      </w:r>
      <w:r w:rsidRPr="000977F7">
        <w:rPr>
          <w:rFonts w:asciiTheme="majorHAnsi" w:hAnsiTheme="majorHAnsi"/>
          <w:i/>
          <w:spacing w:val="1"/>
          <w:sz w:val="20"/>
          <w:szCs w:val="20"/>
        </w:rPr>
        <w:t xml:space="preserve"> </w:t>
      </w:r>
      <w:r w:rsidRPr="000977F7">
        <w:rPr>
          <w:rFonts w:asciiTheme="majorHAnsi" w:hAnsiTheme="majorHAnsi"/>
          <w:i/>
          <w:sz w:val="20"/>
          <w:szCs w:val="20"/>
        </w:rPr>
        <w:t>органів</w:t>
      </w:r>
      <w:r w:rsidRPr="000977F7">
        <w:rPr>
          <w:rFonts w:asciiTheme="majorHAnsi" w:hAnsiTheme="majorHAnsi"/>
          <w:i/>
          <w:spacing w:val="1"/>
          <w:sz w:val="20"/>
          <w:szCs w:val="20"/>
        </w:rPr>
        <w:t xml:space="preserve"> </w:t>
      </w:r>
      <w:r w:rsidRPr="000977F7">
        <w:rPr>
          <w:rFonts w:asciiTheme="majorHAnsi" w:hAnsiTheme="majorHAnsi"/>
          <w:i/>
          <w:sz w:val="20"/>
          <w:szCs w:val="20"/>
        </w:rPr>
        <w:t>з</w:t>
      </w:r>
      <w:r w:rsidRPr="000977F7">
        <w:rPr>
          <w:rFonts w:asciiTheme="majorHAnsi" w:hAnsiTheme="majorHAnsi"/>
          <w:i/>
          <w:spacing w:val="-47"/>
          <w:sz w:val="20"/>
          <w:szCs w:val="20"/>
        </w:rPr>
        <w:t xml:space="preserve"> </w:t>
      </w:r>
      <w:r w:rsidRPr="000977F7">
        <w:rPr>
          <w:rFonts w:asciiTheme="majorHAnsi" w:hAnsiTheme="majorHAnsi"/>
          <w:i/>
          <w:sz w:val="20"/>
          <w:szCs w:val="20"/>
        </w:rPr>
        <w:t>оцінки відповідності"</w:t>
      </w:r>
    </w:p>
    <w:p w14:paraId="056CF18A" w14:textId="77777777" w:rsidR="0097612F" w:rsidRPr="000977F7" w:rsidRDefault="0097612F" w:rsidP="000977F7">
      <w:pPr>
        <w:pStyle w:val="7"/>
        <w:tabs>
          <w:tab w:val="left" w:pos="284"/>
        </w:tabs>
        <w:spacing w:before="0" w:line="240" w:lineRule="auto"/>
        <w:ind w:left="170"/>
        <w:mirrorIndents/>
        <w:rPr>
          <w:color w:val="auto"/>
          <w:sz w:val="20"/>
          <w:szCs w:val="20"/>
        </w:rPr>
      </w:pPr>
      <w:r w:rsidRPr="000977F7">
        <w:rPr>
          <w:color w:val="auto"/>
          <w:sz w:val="20"/>
          <w:szCs w:val="20"/>
        </w:rPr>
        <w:t>ОСНОВНІ</w:t>
      </w:r>
      <w:r w:rsidRPr="000977F7">
        <w:rPr>
          <w:color w:val="auto"/>
          <w:spacing w:val="1"/>
          <w:sz w:val="20"/>
          <w:szCs w:val="20"/>
        </w:rPr>
        <w:t xml:space="preserve"> </w:t>
      </w:r>
      <w:r w:rsidRPr="000977F7">
        <w:rPr>
          <w:color w:val="auto"/>
          <w:sz w:val="20"/>
          <w:szCs w:val="20"/>
        </w:rPr>
        <w:t>ПРИНЦИПИ</w:t>
      </w:r>
      <w:r w:rsidRPr="000977F7">
        <w:rPr>
          <w:color w:val="auto"/>
          <w:spacing w:val="1"/>
          <w:sz w:val="20"/>
          <w:szCs w:val="20"/>
        </w:rPr>
        <w:t xml:space="preserve"> </w:t>
      </w:r>
      <w:r w:rsidRPr="000977F7">
        <w:rPr>
          <w:color w:val="auto"/>
          <w:sz w:val="20"/>
          <w:szCs w:val="20"/>
        </w:rPr>
        <w:t xml:space="preserve">ОХОРОНИ </w:t>
      </w:r>
      <w:r w:rsidR="000977F7" w:rsidRPr="000977F7">
        <w:rPr>
          <w:color w:val="auto"/>
          <w:sz w:val="20"/>
          <w:szCs w:val="20"/>
          <w:lang w:val="ru-RU"/>
        </w:rPr>
        <w:br/>
      </w:r>
      <w:r w:rsidRPr="000977F7">
        <w:rPr>
          <w:color w:val="auto"/>
          <w:sz w:val="20"/>
          <w:szCs w:val="20"/>
        </w:rPr>
        <w:t>НАВКОЛИШНЬОГО</w:t>
      </w:r>
      <w:r w:rsidRPr="000977F7">
        <w:rPr>
          <w:color w:val="auto"/>
          <w:spacing w:val="39"/>
          <w:sz w:val="20"/>
          <w:szCs w:val="20"/>
        </w:rPr>
        <w:t xml:space="preserve"> </w:t>
      </w:r>
      <w:r w:rsidRPr="000977F7">
        <w:rPr>
          <w:color w:val="auto"/>
          <w:sz w:val="20"/>
          <w:szCs w:val="20"/>
        </w:rPr>
        <w:t>ПРИРОДНОГО</w:t>
      </w:r>
      <w:r w:rsidRPr="000977F7">
        <w:rPr>
          <w:color w:val="auto"/>
          <w:spacing w:val="-4"/>
          <w:sz w:val="20"/>
          <w:szCs w:val="20"/>
        </w:rPr>
        <w:t xml:space="preserve"> </w:t>
      </w:r>
      <w:r w:rsidRPr="000977F7">
        <w:rPr>
          <w:color w:val="auto"/>
          <w:sz w:val="20"/>
          <w:szCs w:val="20"/>
        </w:rPr>
        <w:t>СЕРЕДОВИЩА</w:t>
      </w:r>
      <w:r w:rsidRPr="000977F7">
        <w:rPr>
          <w:color w:val="auto"/>
          <w:spacing w:val="-2"/>
          <w:sz w:val="20"/>
          <w:szCs w:val="20"/>
        </w:rPr>
        <w:t xml:space="preserve"> </w:t>
      </w:r>
      <w:r w:rsidRPr="000977F7">
        <w:rPr>
          <w:color w:val="auto"/>
          <w:sz w:val="20"/>
          <w:szCs w:val="20"/>
        </w:rPr>
        <w:t>–</w:t>
      </w:r>
    </w:p>
    <w:p w14:paraId="3F7AF2E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Основними</w:t>
      </w:r>
      <w:r w:rsidRPr="000977F7">
        <w:rPr>
          <w:rFonts w:asciiTheme="majorHAnsi" w:hAnsiTheme="majorHAnsi"/>
          <w:spacing w:val="1"/>
          <w:sz w:val="20"/>
          <w:szCs w:val="20"/>
        </w:rPr>
        <w:t xml:space="preserve"> </w:t>
      </w:r>
      <w:r w:rsidRPr="000977F7">
        <w:rPr>
          <w:rFonts w:asciiTheme="majorHAnsi" w:hAnsiTheme="majorHAnsi"/>
          <w:sz w:val="20"/>
          <w:szCs w:val="20"/>
        </w:rPr>
        <w:t>принципами</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47"/>
          <w:sz w:val="20"/>
          <w:szCs w:val="20"/>
        </w:rPr>
        <w:t xml:space="preserve"> </w:t>
      </w:r>
      <w:r w:rsidRPr="000977F7">
        <w:rPr>
          <w:rFonts w:asciiTheme="majorHAnsi" w:hAnsiTheme="majorHAnsi"/>
          <w:sz w:val="20"/>
          <w:szCs w:val="20"/>
        </w:rPr>
        <w:t>природного середовища є:</w:t>
      </w:r>
    </w:p>
    <w:p w14:paraId="6AC480F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shd w:val="clear" w:color="auto" w:fill="FFFFFF"/>
        </w:rPr>
        <w:t>а) пріоритетність вимог екологічної безпеки, обов'язковість додержання екологічних нормативів та лімітів використання природних ресурсів при здійсненні господарської, управлінської та іншої діяльності;</w:t>
      </w:r>
    </w:p>
    <w:p w14:paraId="0F94A5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 гарантування екологічно безпечного середовища</w:t>
      </w:r>
      <w:r w:rsidRPr="000977F7">
        <w:rPr>
          <w:rFonts w:asciiTheme="majorHAnsi" w:hAnsiTheme="majorHAnsi"/>
          <w:spacing w:val="-47"/>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життя</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здоров'я</w:t>
      </w:r>
      <w:r w:rsidRPr="000977F7">
        <w:rPr>
          <w:rFonts w:asciiTheme="majorHAnsi" w:hAnsiTheme="majorHAnsi"/>
          <w:spacing w:val="1"/>
          <w:sz w:val="20"/>
          <w:szCs w:val="20"/>
        </w:rPr>
        <w:t xml:space="preserve"> </w:t>
      </w:r>
      <w:r w:rsidRPr="000977F7">
        <w:rPr>
          <w:rFonts w:asciiTheme="majorHAnsi" w:hAnsiTheme="majorHAnsi"/>
          <w:sz w:val="20"/>
          <w:szCs w:val="20"/>
        </w:rPr>
        <w:t>людей;</w:t>
      </w:r>
    </w:p>
    <w:p w14:paraId="548FA03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в) запобіжний характер заходів щодо охорони навколишнього природного середовища;</w:t>
      </w:r>
    </w:p>
    <w:p w14:paraId="2501D41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 екологізація матеріального виробництва на основі</w:t>
      </w:r>
      <w:r w:rsidRPr="000977F7">
        <w:rPr>
          <w:rFonts w:asciiTheme="majorHAnsi" w:hAnsiTheme="majorHAnsi"/>
          <w:spacing w:val="1"/>
          <w:sz w:val="20"/>
          <w:szCs w:val="20"/>
        </w:rPr>
        <w:t xml:space="preserve"> </w:t>
      </w:r>
      <w:r w:rsidRPr="000977F7">
        <w:rPr>
          <w:rFonts w:asciiTheme="majorHAnsi" w:hAnsiTheme="majorHAnsi"/>
          <w:sz w:val="20"/>
          <w:szCs w:val="20"/>
        </w:rPr>
        <w:t>комплексності</w:t>
      </w:r>
      <w:r w:rsidRPr="000977F7">
        <w:rPr>
          <w:rFonts w:asciiTheme="majorHAnsi" w:hAnsiTheme="majorHAnsi"/>
          <w:spacing w:val="1"/>
          <w:sz w:val="20"/>
          <w:szCs w:val="20"/>
        </w:rPr>
        <w:t xml:space="preserve"> </w:t>
      </w:r>
      <w:r w:rsidRPr="000977F7">
        <w:rPr>
          <w:rFonts w:asciiTheme="majorHAnsi" w:hAnsiTheme="majorHAnsi"/>
          <w:sz w:val="20"/>
          <w:szCs w:val="20"/>
        </w:rPr>
        <w:t>рішень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питаннях</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 природного середовища, 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відтворення</w:t>
      </w:r>
      <w:r w:rsidRPr="000977F7">
        <w:rPr>
          <w:rFonts w:asciiTheme="majorHAnsi" w:hAnsiTheme="majorHAnsi"/>
          <w:spacing w:val="1"/>
          <w:sz w:val="20"/>
          <w:szCs w:val="20"/>
        </w:rPr>
        <w:t xml:space="preserve"> </w:t>
      </w:r>
      <w:r w:rsidRPr="000977F7">
        <w:rPr>
          <w:rFonts w:asciiTheme="majorHAnsi" w:hAnsiTheme="majorHAnsi"/>
          <w:sz w:val="20"/>
          <w:szCs w:val="20"/>
        </w:rPr>
        <w:t>відновлюваних</w:t>
      </w:r>
      <w:r w:rsidRPr="000977F7">
        <w:rPr>
          <w:rFonts w:asciiTheme="majorHAnsi" w:hAnsiTheme="majorHAnsi"/>
          <w:spacing w:val="1"/>
          <w:sz w:val="20"/>
          <w:szCs w:val="20"/>
        </w:rPr>
        <w:t xml:space="preserve"> </w:t>
      </w:r>
      <w:r w:rsidRPr="000977F7">
        <w:rPr>
          <w:rFonts w:asciiTheme="majorHAnsi" w:hAnsiTheme="majorHAnsi"/>
          <w:sz w:val="20"/>
          <w:szCs w:val="20"/>
        </w:rPr>
        <w:t>природних</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r w:rsidRPr="000977F7">
        <w:rPr>
          <w:rFonts w:asciiTheme="majorHAnsi" w:hAnsiTheme="majorHAnsi"/>
          <w:spacing w:val="1"/>
          <w:sz w:val="20"/>
          <w:szCs w:val="20"/>
        </w:rPr>
        <w:t xml:space="preserve"> </w:t>
      </w:r>
      <w:r w:rsidRPr="000977F7">
        <w:rPr>
          <w:rFonts w:asciiTheme="majorHAnsi" w:hAnsiTheme="majorHAnsi"/>
          <w:sz w:val="20"/>
          <w:szCs w:val="20"/>
        </w:rPr>
        <w:t>широкого впровадження</w:t>
      </w:r>
      <w:r w:rsidRPr="000977F7">
        <w:rPr>
          <w:rFonts w:asciiTheme="majorHAnsi" w:hAnsiTheme="majorHAnsi"/>
          <w:spacing w:val="1"/>
          <w:sz w:val="20"/>
          <w:szCs w:val="20"/>
        </w:rPr>
        <w:t xml:space="preserve"> </w:t>
      </w:r>
      <w:r w:rsidRPr="000977F7">
        <w:rPr>
          <w:rFonts w:asciiTheme="majorHAnsi" w:hAnsiTheme="majorHAnsi"/>
          <w:sz w:val="20"/>
          <w:szCs w:val="20"/>
        </w:rPr>
        <w:t>новітніх технологій;</w:t>
      </w:r>
    </w:p>
    <w:p w14:paraId="5232511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 збереження просторової та видової різноманітності</w:t>
      </w:r>
      <w:r w:rsidRPr="000977F7">
        <w:rPr>
          <w:rFonts w:asciiTheme="majorHAnsi" w:hAnsiTheme="majorHAnsi"/>
          <w:spacing w:val="-3"/>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цілісності</w:t>
      </w:r>
      <w:r w:rsidRPr="000977F7">
        <w:rPr>
          <w:rFonts w:asciiTheme="majorHAnsi" w:hAnsiTheme="majorHAnsi"/>
          <w:spacing w:val="-2"/>
          <w:sz w:val="20"/>
          <w:szCs w:val="20"/>
        </w:rPr>
        <w:t xml:space="preserve"> </w:t>
      </w:r>
      <w:r w:rsidRPr="000977F7">
        <w:rPr>
          <w:rFonts w:asciiTheme="majorHAnsi" w:hAnsiTheme="majorHAnsi"/>
          <w:sz w:val="20"/>
          <w:szCs w:val="20"/>
        </w:rPr>
        <w:t>природних об'єктів</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3"/>
          <w:sz w:val="20"/>
          <w:szCs w:val="20"/>
        </w:rPr>
        <w:t xml:space="preserve"> </w:t>
      </w:r>
      <w:r w:rsidRPr="000977F7">
        <w:rPr>
          <w:rFonts w:asciiTheme="majorHAnsi" w:hAnsiTheme="majorHAnsi"/>
          <w:sz w:val="20"/>
          <w:szCs w:val="20"/>
        </w:rPr>
        <w:t>комплексів;</w:t>
      </w:r>
    </w:p>
    <w:p w14:paraId="6F5DDE48" w14:textId="77777777" w:rsidR="0097612F" w:rsidRPr="000977F7" w:rsidRDefault="0097612F" w:rsidP="000977F7">
      <w:pPr>
        <w:pStyle w:val="af6"/>
        <w:tabs>
          <w:tab w:val="left" w:pos="284"/>
        </w:tabs>
        <w:spacing w:after="0"/>
        <w:ind w:left="170"/>
        <w:mirrorIndents/>
        <w:jc w:val="both"/>
        <w:rPr>
          <w:rFonts w:asciiTheme="majorHAnsi" w:hAnsiTheme="majorHAnsi"/>
          <w:w w:val="95"/>
          <w:sz w:val="20"/>
          <w:szCs w:val="20"/>
        </w:rPr>
      </w:pPr>
      <w:r w:rsidRPr="000977F7">
        <w:rPr>
          <w:rFonts w:asciiTheme="majorHAnsi" w:hAnsiTheme="majorHAnsi"/>
          <w:sz w:val="20"/>
          <w:szCs w:val="20"/>
        </w:rPr>
        <w:t>е) науково обґрунтоване узгодження екологічних,</w:t>
      </w:r>
      <w:r w:rsidRPr="000977F7">
        <w:rPr>
          <w:rFonts w:asciiTheme="majorHAnsi" w:hAnsiTheme="majorHAnsi"/>
          <w:spacing w:val="1"/>
          <w:sz w:val="20"/>
          <w:szCs w:val="20"/>
        </w:rPr>
        <w:t xml:space="preserve"> </w:t>
      </w:r>
      <w:r w:rsidRPr="000977F7">
        <w:rPr>
          <w:rFonts w:asciiTheme="majorHAnsi" w:hAnsiTheme="majorHAnsi"/>
          <w:spacing w:val="-1"/>
          <w:sz w:val="20"/>
          <w:szCs w:val="20"/>
        </w:rPr>
        <w:t xml:space="preserve">економічних та соціальних інтересів </w:t>
      </w:r>
      <w:r w:rsidRPr="000977F7">
        <w:rPr>
          <w:rFonts w:asciiTheme="majorHAnsi" w:hAnsiTheme="majorHAnsi"/>
          <w:sz w:val="20"/>
          <w:szCs w:val="20"/>
        </w:rPr>
        <w:t>суспільства на ос</w:t>
      </w:r>
      <w:r w:rsidRPr="000977F7">
        <w:rPr>
          <w:rFonts w:asciiTheme="majorHAnsi" w:hAnsiTheme="majorHAnsi"/>
          <w:spacing w:val="-2"/>
          <w:sz w:val="20"/>
          <w:szCs w:val="20"/>
        </w:rPr>
        <w:t xml:space="preserve">нові поєднання міждисциплінарних </w:t>
      </w:r>
      <w:r w:rsidRPr="000977F7">
        <w:rPr>
          <w:rFonts w:asciiTheme="majorHAnsi" w:hAnsiTheme="majorHAnsi"/>
          <w:spacing w:val="-1"/>
          <w:sz w:val="20"/>
          <w:szCs w:val="20"/>
        </w:rPr>
        <w:t>знань екологічних,</w:t>
      </w:r>
      <w:r w:rsidRPr="000977F7">
        <w:rPr>
          <w:rFonts w:asciiTheme="majorHAnsi" w:hAnsiTheme="majorHAnsi"/>
          <w:sz w:val="20"/>
          <w:szCs w:val="20"/>
        </w:rPr>
        <w:t xml:space="preserve"> </w:t>
      </w:r>
      <w:r w:rsidRPr="000977F7">
        <w:rPr>
          <w:rFonts w:asciiTheme="majorHAnsi" w:hAnsiTheme="majorHAnsi"/>
          <w:spacing w:val="-1"/>
          <w:sz w:val="20"/>
          <w:szCs w:val="20"/>
        </w:rPr>
        <w:t>соціальних,</w:t>
      </w:r>
      <w:r w:rsidRPr="000977F7">
        <w:rPr>
          <w:rFonts w:asciiTheme="majorHAnsi" w:hAnsiTheme="majorHAnsi"/>
          <w:spacing w:val="-6"/>
          <w:sz w:val="20"/>
          <w:szCs w:val="20"/>
        </w:rPr>
        <w:t xml:space="preserve"> </w:t>
      </w:r>
      <w:r w:rsidRPr="000977F7">
        <w:rPr>
          <w:rFonts w:asciiTheme="majorHAnsi" w:hAnsiTheme="majorHAnsi"/>
          <w:spacing w:val="-1"/>
          <w:sz w:val="20"/>
          <w:szCs w:val="20"/>
        </w:rPr>
        <w:t>природничих</w:t>
      </w:r>
      <w:r w:rsidRPr="000977F7">
        <w:rPr>
          <w:rFonts w:asciiTheme="majorHAnsi" w:hAnsiTheme="majorHAnsi"/>
          <w:spacing w:val="-8"/>
          <w:sz w:val="20"/>
          <w:szCs w:val="20"/>
        </w:rPr>
        <w:t xml:space="preserve"> </w:t>
      </w:r>
      <w:r w:rsidRPr="000977F7">
        <w:rPr>
          <w:rFonts w:asciiTheme="majorHAnsi" w:hAnsiTheme="majorHAnsi"/>
          <w:spacing w:val="-1"/>
          <w:sz w:val="20"/>
          <w:szCs w:val="20"/>
        </w:rPr>
        <w:t>і</w:t>
      </w:r>
      <w:r w:rsidRPr="000977F7">
        <w:rPr>
          <w:rFonts w:asciiTheme="majorHAnsi" w:hAnsiTheme="majorHAnsi"/>
          <w:spacing w:val="-5"/>
          <w:sz w:val="20"/>
          <w:szCs w:val="20"/>
        </w:rPr>
        <w:t xml:space="preserve"> </w:t>
      </w:r>
      <w:r w:rsidRPr="000977F7">
        <w:rPr>
          <w:rFonts w:asciiTheme="majorHAnsi" w:hAnsiTheme="majorHAnsi"/>
          <w:spacing w:val="-1"/>
          <w:sz w:val="20"/>
          <w:szCs w:val="20"/>
        </w:rPr>
        <w:t>технічних</w:t>
      </w:r>
      <w:r w:rsidRPr="000977F7">
        <w:rPr>
          <w:rFonts w:asciiTheme="majorHAnsi" w:hAnsiTheme="majorHAnsi"/>
          <w:spacing w:val="-7"/>
          <w:sz w:val="20"/>
          <w:szCs w:val="20"/>
        </w:rPr>
        <w:t xml:space="preserve"> </w:t>
      </w:r>
      <w:r w:rsidRPr="000977F7">
        <w:rPr>
          <w:rFonts w:asciiTheme="majorHAnsi" w:hAnsiTheme="majorHAnsi"/>
          <w:spacing w:val="-1"/>
          <w:sz w:val="20"/>
          <w:szCs w:val="20"/>
        </w:rPr>
        <w:t>наук</w:t>
      </w:r>
      <w:r w:rsidRPr="000977F7">
        <w:rPr>
          <w:rFonts w:asciiTheme="majorHAnsi" w:hAnsiTheme="majorHAnsi"/>
          <w:spacing w:val="-6"/>
          <w:sz w:val="20"/>
          <w:szCs w:val="20"/>
        </w:rPr>
        <w:t xml:space="preserve"> </w:t>
      </w:r>
      <w:r w:rsidRPr="000977F7">
        <w:rPr>
          <w:rFonts w:asciiTheme="majorHAnsi" w:hAnsiTheme="majorHAnsi"/>
          <w:spacing w:val="-1"/>
          <w:sz w:val="20"/>
          <w:szCs w:val="20"/>
        </w:rPr>
        <w:t>та</w:t>
      </w:r>
      <w:r w:rsidRPr="000977F7">
        <w:rPr>
          <w:rFonts w:asciiTheme="majorHAnsi" w:hAnsiTheme="majorHAnsi"/>
          <w:spacing w:val="-5"/>
          <w:sz w:val="20"/>
          <w:szCs w:val="20"/>
        </w:rPr>
        <w:t xml:space="preserve"> </w:t>
      </w:r>
      <w:r w:rsidRPr="000977F7">
        <w:rPr>
          <w:rFonts w:asciiTheme="majorHAnsi" w:hAnsiTheme="majorHAnsi"/>
          <w:spacing w:val="-1"/>
          <w:sz w:val="20"/>
          <w:szCs w:val="20"/>
        </w:rPr>
        <w:t>прогнозу</w:t>
      </w:r>
      <w:r w:rsidRPr="000977F7">
        <w:rPr>
          <w:rFonts w:asciiTheme="majorHAnsi" w:hAnsiTheme="majorHAnsi"/>
          <w:w w:val="95"/>
          <w:sz w:val="20"/>
          <w:szCs w:val="20"/>
        </w:rPr>
        <w:t>вання</w:t>
      </w:r>
      <w:r w:rsidRPr="000977F7">
        <w:rPr>
          <w:rFonts w:asciiTheme="majorHAnsi" w:hAnsiTheme="majorHAnsi"/>
          <w:spacing w:val="-5"/>
          <w:w w:val="95"/>
          <w:sz w:val="20"/>
          <w:szCs w:val="20"/>
        </w:rPr>
        <w:t xml:space="preserve"> </w:t>
      </w:r>
      <w:r w:rsidRPr="000977F7">
        <w:rPr>
          <w:rFonts w:asciiTheme="majorHAnsi" w:hAnsiTheme="majorHAnsi"/>
          <w:w w:val="95"/>
          <w:sz w:val="20"/>
          <w:szCs w:val="20"/>
        </w:rPr>
        <w:t>стану</w:t>
      </w:r>
      <w:r w:rsidRPr="000977F7">
        <w:rPr>
          <w:rFonts w:asciiTheme="majorHAnsi" w:hAnsiTheme="majorHAnsi"/>
          <w:spacing w:val="-2"/>
          <w:w w:val="95"/>
          <w:sz w:val="20"/>
          <w:szCs w:val="20"/>
        </w:rPr>
        <w:t xml:space="preserve"> </w:t>
      </w:r>
      <w:r w:rsidRPr="000977F7">
        <w:rPr>
          <w:rFonts w:asciiTheme="majorHAnsi" w:hAnsiTheme="majorHAnsi"/>
          <w:w w:val="95"/>
          <w:sz w:val="20"/>
          <w:szCs w:val="20"/>
        </w:rPr>
        <w:t>навколишнього</w:t>
      </w:r>
      <w:r w:rsidRPr="000977F7">
        <w:rPr>
          <w:rFonts w:asciiTheme="majorHAnsi" w:hAnsiTheme="majorHAnsi"/>
          <w:spacing w:val="1"/>
          <w:w w:val="95"/>
          <w:sz w:val="20"/>
          <w:szCs w:val="20"/>
        </w:rPr>
        <w:t xml:space="preserve"> </w:t>
      </w:r>
      <w:r w:rsidRPr="000977F7">
        <w:rPr>
          <w:rFonts w:asciiTheme="majorHAnsi" w:hAnsiTheme="majorHAnsi"/>
          <w:w w:val="95"/>
          <w:sz w:val="20"/>
          <w:szCs w:val="20"/>
        </w:rPr>
        <w:t>природного середовища;</w:t>
      </w:r>
    </w:p>
    <w:p w14:paraId="7F2564D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shd w:val="clear" w:color="auto" w:fill="FFFFFF"/>
        </w:rPr>
        <w:t>є) обов’язковість оцінки впливу на довкілля;</w:t>
      </w:r>
    </w:p>
    <w:p w14:paraId="58999F1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ж) гласність і демократизм при прийнятті рішень,</w:t>
      </w:r>
      <w:r w:rsidRPr="000977F7">
        <w:rPr>
          <w:rFonts w:asciiTheme="majorHAnsi" w:hAnsiTheme="majorHAnsi"/>
          <w:spacing w:val="1"/>
          <w:sz w:val="20"/>
          <w:szCs w:val="20"/>
        </w:rPr>
        <w:t xml:space="preserve"> </w:t>
      </w:r>
      <w:r w:rsidRPr="000977F7">
        <w:rPr>
          <w:rFonts w:asciiTheme="majorHAnsi" w:hAnsiTheme="majorHAnsi"/>
          <w:sz w:val="20"/>
          <w:szCs w:val="20"/>
        </w:rPr>
        <w:t>реалізація яких впливає на стан навколишнього природного середовища, формування у населення екологічного світогляду;</w:t>
      </w:r>
    </w:p>
    <w:p w14:paraId="1878DDE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 науково обґрунтоване нормування впливу господарської та іншої діяльності на навколишнє природне</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середовище;</w:t>
      </w:r>
    </w:p>
    <w:p w14:paraId="6FE557E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и) безоплатність загального та платність спеціального використання природних ресурсів для господарської</w:t>
      </w:r>
      <w:r w:rsidRPr="000977F7">
        <w:rPr>
          <w:rFonts w:asciiTheme="majorHAnsi" w:hAnsiTheme="majorHAnsi"/>
          <w:spacing w:val="-2"/>
          <w:sz w:val="20"/>
          <w:szCs w:val="20"/>
        </w:rPr>
        <w:t xml:space="preserve"> </w:t>
      </w:r>
      <w:r w:rsidRPr="000977F7">
        <w:rPr>
          <w:rFonts w:asciiTheme="majorHAnsi" w:hAnsiTheme="majorHAnsi"/>
          <w:sz w:val="20"/>
          <w:szCs w:val="20"/>
        </w:rPr>
        <w:t>діяльності;</w:t>
      </w:r>
    </w:p>
    <w:p w14:paraId="4C6B391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shd w:val="clear" w:color="auto" w:fill="FFFFFF"/>
        </w:rPr>
        <w:t>і) компенсація шкоди, заподіяної порушенням законодавства про охорону навколишнього природного середовища;</w:t>
      </w:r>
    </w:p>
    <w:p w14:paraId="4879723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ї) вирішення питань охорони навколишнього природного середовища та використання природних ресурсів з урахуванням ступеня антропогенної зміненості</w:t>
      </w:r>
      <w:r w:rsidRPr="000977F7">
        <w:rPr>
          <w:rFonts w:asciiTheme="majorHAnsi" w:hAnsiTheme="majorHAnsi"/>
          <w:spacing w:val="1"/>
          <w:sz w:val="20"/>
          <w:szCs w:val="20"/>
        </w:rPr>
        <w:t xml:space="preserve"> </w:t>
      </w:r>
      <w:r w:rsidRPr="000977F7">
        <w:rPr>
          <w:rFonts w:asciiTheme="majorHAnsi" w:hAnsiTheme="majorHAnsi"/>
          <w:sz w:val="20"/>
          <w:szCs w:val="20"/>
        </w:rPr>
        <w:t>територій,</w:t>
      </w:r>
      <w:r w:rsidRPr="000977F7">
        <w:rPr>
          <w:rFonts w:asciiTheme="majorHAnsi" w:hAnsiTheme="majorHAnsi"/>
          <w:spacing w:val="1"/>
          <w:sz w:val="20"/>
          <w:szCs w:val="20"/>
        </w:rPr>
        <w:t xml:space="preserve"> </w:t>
      </w:r>
      <w:r w:rsidRPr="000977F7">
        <w:rPr>
          <w:rFonts w:asciiTheme="majorHAnsi" w:hAnsiTheme="majorHAnsi"/>
          <w:sz w:val="20"/>
          <w:szCs w:val="20"/>
        </w:rPr>
        <w:t>сукупної</w:t>
      </w:r>
      <w:r w:rsidRPr="000977F7">
        <w:rPr>
          <w:rFonts w:asciiTheme="majorHAnsi" w:hAnsiTheme="majorHAnsi"/>
          <w:spacing w:val="1"/>
          <w:sz w:val="20"/>
          <w:szCs w:val="20"/>
        </w:rPr>
        <w:t xml:space="preserve"> </w:t>
      </w:r>
      <w:r w:rsidRPr="000977F7">
        <w:rPr>
          <w:rFonts w:asciiTheme="majorHAnsi" w:hAnsiTheme="majorHAnsi"/>
          <w:sz w:val="20"/>
          <w:szCs w:val="20"/>
        </w:rPr>
        <w:t>дії</w:t>
      </w:r>
      <w:r w:rsidRPr="000977F7">
        <w:rPr>
          <w:rFonts w:asciiTheme="majorHAnsi" w:hAnsiTheme="majorHAnsi"/>
          <w:spacing w:val="1"/>
          <w:sz w:val="20"/>
          <w:szCs w:val="20"/>
        </w:rPr>
        <w:t xml:space="preserve"> </w:t>
      </w:r>
      <w:r w:rsidRPr="000977F7">
        <w:rPr>
          <w:rFonts w:asciiTheme="majorHAnsi" w:hAnsiTheme="majorHAnsi"/>
          <w:sz w:val="20"/>
          <w:szCs w:val="20"/>
        </w:rPr>
        <w:t>факторів,</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негативно</w:t>
      </w:r>
      <w:r w:rsidRPr="000977F7">
        <w:rPr>
          <w:rFonts w:asciiTheme="majorHAnsi" w:hAnsiTheme="majorHAnsi"/>
          <w:spacing w:val="1"/>
          <w:sz w:val="20"/>
          <w:szCs w:val="20"/>
        </w:rPr>
        <w:t xml:space="preserve"> </w:t>
      </w:r>
      <w:r w:rsidRPr="000977F7">
        <w:rPr>
          <w:rFonts w:asciiTheme="majorHAnsi" w:hAnsiTheme="majorHAnsi"/>
          <w:sz w:val="20"/>
          <w:szCs w:val="20"/>
        </w:rPr>
        <w:t>впливають</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екологічну</w:t>
      </w:r>
      <w:r w:rsidRPr="000977F7">
        <w:rPr>
          <w:rFonts w:asciiTheme="majorHAnsi" w:hAnsiTheme="majorHAnsi"/>
          <w:spacing w:val="-4"/>
          <w:sz w:val="20"/>
          <w:szCs w:val="20"/>
        </w:rPr>
        <w:t xml:space="preserve"> </w:t>
      </w:r>
      <w:r w:rsidRPr="000977F7">
        <w:rPr>
          <w:rFonts w:asciiTheme="majorHAnsi" w:hAnsiTheme="majorHAnsi"/>
          <w:sz w:val="20"/>
          <w:szCs w:val="20"/>
        </w:rPr>
        <w:t>обстановку;</w:t>
      </w:r>
    </w:p>
    <w:p w14:paraId="762023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8"/>
          <w:sz w:val="20"/>
          <w:szCs w:val="20"/>
        </w:rPr>
        <w:t xml:space="preserve">й) поєднання </w:t>
      </w:r>
      <w:r w:rsidRPr="000977F7">
        <w:rPr>
          <w:rFonts w:asciiTheme="majorHAnsi" w:hAnsiTheme="majorHAnsi"/>
          <w:spacing w:val="-7"/>
          <w:sz w:val="20"/>
          <w:szCs w:val="20"/>
        </w:rPr>
        <w:t>заходів стимулювання і відповідальності у</w:t>
      </w:r>
      <w:r w:rsidRPr="000977F7">
        <w:rPr>
          <w:rFonts w:asciiTheme="majorHAnsi" w:hAnsiTheme="majorHAnsi"/>
          <w:spacing w:val="-6"/>
          <w:sz w:val="20"/>
          <w:szCs w:val="20"/>
        </w:rPr>
        <w:t xml:space="preserve"> </w:t>
      </w:r>
      <w:r w:rsidRPr="000977F7">
        <w:rPr>
          <w:rFonts w:asciiTheme="majorHAnsi" w:hAnsiTheme="majorHAnsi"/>
          <w:spacing w:val="-8"/>
          <w:sz w:val="20"/>
          <w:szCs w:val="20"/>
        </w:rPr>
        <w:t>справі</w:t>
      </w:r>
      <w:r w:rsidRPr="000977F7">
        <w:rPr>
          <w:rFonts w:asciiTheme="majorHAnsi" w:hAnsiTheme="majorHAnsi"/>
          <w:spacing w:val="-17"/>
          <w:sz w:val="20"/>
          <w:szCs w:val="20"/>
        </w:rPr>
        <w:t xml:space="preserve"> </w:t>
      </w:r>
      <w:r w:rsidRPr="000977F7">
        <w:rPr>
          <w:rFonts w:asciiTheme="majorHAnsi" w:hAnsiTheme="majorHAnsi"/>
          <w:spacing w:val="-8"/>
          <w:sz w:val="20"/>
          <w:szCs w:val="20"/>
        </w:rPr>
        <w:t>охорони</w:t>
      </w:r>
      <w:r w:rsidRPr="000977F7">
        <w:rPr>
          <w:rFonts w:asciiTheme="majorHAnsi" w:hAnsiTheme="majorHAnsi"/>
          <w:spacing w:val="-14"/>
          <w:sz w:val="20"/>
          <w:szCs w:val="20"/>
        </w:rPr>
        <w:t xml:space="preserve"> </w:t>
      </w:r>
      <w:r w:rsidRPr="000977F7">
        <w:rPr>
          <w:rFonts w:asciiTheme="majorHAnsi" w:hAnsiTheme="majorHAnsi"/>
          <w:spacing w:val="-8"/>
          <w:sz w:val="20"/>
          <w:szCs w:val="20"/>
        </w:rPr>
        <w:t>навколишнього</w:t>
      </w:r>
      <w:r w:rsidRPr="000977F7">
        <w:rPr>
          <w:rFonts w:asciiTheme="majorHAnsi" w:hAnsiTheme="majorHAnsi"/>
          <w:spacing w:val="-16"/>
          <w:sz w:val="20"/>
          <w:szCs w:val="20"/>
        </w:rPr>
        <w:t xml:space="preserve"> </w:t>
      </w:r>
      <w:r w:rsidRPr="000977F7">
        <w:rPr>
          <w:rFonts w:asciiTheme="majorHAnsi" w:hAnsiTheme="majorHAnsi"/>
          <w:spacing w:val="-8"/>
          <w:sz w:val="20"/>
          <w:szCs w:val="20"/>
        </w:rPr>
        <w:t>природного</w:t>
      </w:r>
      <w:r w:rsidRPr="000977F7">
        <w:rPr>
          <w:rFonts w:asciiTheme="majorHAnsi" w:hAnsiTheme="majorHAnsi"/>
          <w:spacing w:val="-15"/>
          <w:sz w:val="20"/>
          <w:szCs w:val="20"/>
        </w:rPr>
        <w:t xml:space="preserve"> </w:t>
      </w:r>
      <w:r w:rsidRPr="000977F7">
        <w:rPr>
          <w:rFonts w:asciiTheme="majorHAnsi" w:hAnsiTheme="majorHAnsi"/>
          <w:spacing w:val="-7"/>
          <w:sz w:val="20"/>
          <w:szCs w:val="20"/>
        </w:rPr>
        <w:t>середовища;</w:t>
      </w:r>
    </w:p>
    <w:p w14:paraId="4A022FB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вирішення</w:t>
      </w:r>
      <w:r w:rsidRPr="000977F7">
        <w:rPr>
          <w:rFonts w:asciiTheme="majorHAnsi" w:hAnsiTheme="majorHAnsi"/>
          <w:spacing w:val="1"/>
          <w:sz w:val="20"/>
          <w:szCs w:val="20"/>
        </w:rPr>
        <w:t xml:space="preserve"> </w:t>
      </w:r>
      <w:r w:rsidRPr="000977F7">
        <w:rPr>
          <w:rFonts w:asciiTheme="majorHAnsi" w:hAnsiTheme="majorHAnsi"/>
          <w:sz w:val="20"/>
          <w:szCs w:val="20"/>
        </w:rPr>
        <w:t>проблем</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природного середовища на основі широкого міждержавного співробітництва</w:t>
      </w:r>
      <w:r w:rsidRPr="000977F7">
        <w:rPr>
          <w:rFonts w:asciiTheme="majorHAnsi" w:hAnsiTheme="majorHAnsi"/>
          <w:i/>
          <w:sz w:val="20"/>
          <w:szCs w:val="20"/>
        </w:rPr>
        <w:t>;</w:t>
      </w:r>
    </w:p>
    <w:p w14:paraId="50EE8EC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л) встановлення екологічного податку, рентної плати за спеціальне використання води, рентної плати за спеціальне використання лісових ресурсів, рентної плати за користування надрами відповідно до</w:t>
      </w:r>
      <w:hyperlink r:id="rId29" w:tgtFrame="_blank" w:history="1">
        <w:r w:rsidRPr="000977F7">
          <w:rPr>
            <w:rStyle w:val="af1"/>
            <w:rFonts w:asciiTheme="majorHAnsi" w:hAnsiTheme="majorHAnsi"/>
            <w:color w:val="auto"/>
            <w:sz w:val="20"/>
            <w:szCs w:val="20"/>
            <w:shd w:val="clear" w:color="auto" w:fill="FFFFFF"/>
          </w:rPr>
          <w:t xml:space="preserve"> Податкового кодексу України</w:t>
        </w:r>
      </w:hyperlink>
      <w:r w:rsidRPr="000977F7">
        <w:rPr>
          <w:rFonts w:asciiTheme="majorHAnsi" w:hAnsiTheme="majorHAnsi"/>
          <w:sz w:val="20"/>
          <w:szCs w:val="20"/>
          <w:shd w:val="clear" w:color="auto" w:fill="FFFFFF"/>
        </w:rPr>
        <w:t>;</w:t>
      </w:r>
    </w:p>
    <w:p w14:paraId="6AE81A58"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shd w:val="clear" w:color="auto" w:fill="FFFFFF"/>
        </w:rPr>
        <w:t>м) врахування результатів стратегічної екологічної оцінки</w:t>
      </w:r>
    </w:p>
    <w:p w14:paraId="654788B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3 закону України "Про охорону навколишнього природного</w:t>
      </w:r>
      <w:r w:rsidRPr="000977F7">
        <w:rPr>
          <w:rFonts w:asciiTheme="majorHAnsi" w:hAnsiTheme="majorHAnsi"/>
          <w:i/>
          <w:spacing w:val="1"/>
          <w:sz w:val="20"/>
          <w:szCs w:val="20"/>
        </w:rPr>
        <w:t xml:space="preserve"> </w:t>
      </w:r>
      <w:r w:rsidRPr="000977F7">
        <w:rPr>
          <w:rFonts w:asciiTheme="majorHAnsi" w:hAnsiTheme="majorHAnsi"/>
          <w:i/>
          <w:sz w:val="20"/>
          <w:szCs w:val="20"/>
        </w:rPr>
        <w:t>середовища"</w:t>
      </w:r>
    </w:p>
    <w:p w14:paraId="0453EFB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ОСНОВНІ</w:t>
      </w:r>
      <w:r w:rsidRPr="000977F7">
        <w:rPr>
          <w:color w:val="auto"/>
          <w:spacing w:val="-6"/>
          <w:sz w:val="20"/>
          <w:szCs w:val="20"/>
        </w:rPr>
        <w:t xml:space="preserve"> </w:t>
      </w:r>
      <w:r w:rsidRPr="000977F7">
        <w:rPr>
          <w:color w:val="auto"/>
          <w:sz w:val="20"/>
          <w:szCs w:val="20"/>
        </w:rPr>
        <w:t>ПРИНЦИПИ</w:t>
      </w:r>
      <w:r w:rsidRPr="000977F7">
        <w:rPr>
          <w:color w:val="auto"/>
          <w:spacing w:val="-3"/>
          <w:sz w:val="20"/>
          <w:szCs w:val="20"/>
        </w:rPr>
        <w:t xml:space="preserve"> </w:t>
      </w:r>
      <w:r w:rsidRPr="000977F7">
        <w:rPr>
          <w:color w:val="auto"/>
          <w:sz w:val="20"/>
          <w:szCs w:val="20"/>
        </w:rPr>
        <w:t>СТАНДАРТИЗАЦІЇ</w:t>
      </w:r>
      <w:r w:rsidRPr="000977F7">
        <w:rPr>
          <w:color w:val="auto"/>
          <w:spacing w:val="-5"/>
          <w:sz w:val="20"/>
          <w:szCs w:val="20"/>
        </w:rPr>
        <w:t xml:space="preserve"> </w:t>
      </w:r>
      <w:r w:rsidRPr="000977F7">
        <w:rPr>
          <w:color w:val="auto"/>
          <w:sz w:val="20"/>
          <w:szCs w:val="20"/>
        </w:rPr>
        <w:t>–</w:t>
      </w:r>
    </w:p>
    <w:p w14:paraId="231F9A7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Основними</w:t>
      </w:r>
      <w:r w:rsidRPr="000977F7">
        <w:rPr>
          <w:rFonts w:asciiTheme="majorHAnsi" w:hAnsiTheme="majorHAnsi"/>
          <w:spacing w:val="-4"/>
          <w:sz w:val="20"/>
          <w:szCs w:val="20"/>
        </w:rPr>
        <w:t xml:space="preserve"> </w:t>
      </w:r>
      <w:r w:rsidRPr="000977F7">
        <w:rPr>
          <w:rFonts w:asciiTheme="majorHAnsi" w:hAnsiTheme="majorHAnsi"/>
          <w:sz w:val="20"/>
          <w:szCs w:val="20"/>
        </w:rPr>
        <w:t>принципами</w:t>
      </w:r>
      <w:r w:rsidRPr="000977F7">
        <w:rPr>
          <w:rFonts w:asciiTheme="majorHAnsi" w:hAnsiTheme="majorHAnsi"/>
          <w:spacing w:val="-6"/>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6"/>
          <w:sz w:val="20"/>
          <w:szCs w:val="20"/>
        </w:rPr>
        <w:t xml:space="preserve"> </w:t>
      </w:r>
      <w:r w:rsidRPr="000977F7">
        <w:rPr>
          <w:rFonts w:asciiTheme="majorHAnsi" w:hAnsiTheme="majorHAnsi"/>
          <w:sz w:val="20"/>
          <w:szCs w:val="20"/>
        </w:rPr>
        <w:t>є:</w:t>
      </w:r>
    </w:p>
    <w:p w14:paraId="0E75AB6A" w14:textId="77777777" w:rsidR="0097612F" w:rsidRPr="000977F7" w:rsidRDefault="0097612F" w:rsidP="00FD39A4">
      <w:pPr>
        <w:pStyle w:val="ac"/>
        <w:widowControl w:val="0"/>
        <w:numPr>
          <w:ilvl w:val="2"/>
          <w:numId w:val="180"/>
        </w:numPr>
        <w:tabs>
          <w:tab w:val="left" w:pos="284"/>
          <w:tab w:val="left" w:pos="57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врахування рівня розвитку науки і техніки, екологічних вимог, економічної доцільності й ефективності</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технологічних процесів для виробника, вигоди та безпеки</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споживача і</w:t>
      </w:r>
      <w:r w:rsidRPr="000977F7">
        <w:rPr>
          <w:rFonts w:asciiTheme="majorHAnsi" w:hAnsiTheme="majorHAnsi"/>
          <w:spacing w:val="1"/>
          <w:sz w:val="20"/>
          <w:szCs w:val="20"/>
        </w:rPr>
        <w:t xml:space="preserve"> </w:t>
      </w:r>
      <w:r w:rsidRPr="000977F7">
        <w:rPr>
          <w:rFonts w:asciiTheme="majorHAnsi" w:hAnsiTheme="majorHAnsi"/>
          <w:sz w:val="20"/>
          <w:szCs w:val="20"/>
        </w:rPr>
        <w:t>держави</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цілому;</w:t>
      </w:r>
    </w:p>
    <w:p w14:paraId="533DAF5D" w14:textId="77777777" w:rsidR="0097612F" w:rsidRPr="000977F7" w:rsidRDefault="0097612F" w:rsidP="00FD39A4">
      <w:pPr>
        <w:pStyle w:val="ac"/>
        <w:widowControl w:val="0"/>
        <w:numPr>
          <w:ilvl w:val="1"/>
          <w:numId w:val="180"/>
        </w:numPr>
        <w:tabs>
          <w:tab w:val="left" w:pos="284"/>
          <w:tab w:val="left" w:pos="59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гармонізація нормативних документів з стандартизації з міжнародними, регіональними і, в разі необхідності,</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національними</w:t>
      </w:r>
      <w:r w:rsidRPr="000977F7">
        <w:rPr>
          <w:rFonts w:asciiTheme="majorHAnsi" w:hAnsiTheme="majorHAnsi"/>
          <w:spacing w:val="-2"/>
          <w:sz w:val="20"/>
          <w:szCs w:val="20"/>
        </w:rPr>
        <w:t xml:space="preserve"> </w:t>
      </w:r>
      <w:r w:rsidRPr="000977F7">
        <w:rPr>
          <w:rFonts w:asciiTheme="majorHAnsi" w:hAnsiTheme="majorHAnsi"/>
          <w:sz w:val="20"/>
          <w:szCs w:val="20"/>
        </w:rPr>
        <w:t>стандартами</w:t>
      </w:r>
      <w:r w:rsidRPr="000977F7">
        <w:rPr>
          <w:rFonts w:asciiTheme="majorHAnsi" w:hAnsiTheme="majorHAnsi"/>
          <w:spacing w:val="-2"/>
          <w:sz w:val="20"/>
          <w:szCs w:val="20"/>
        </w:rPr>
        <w:t xml:space="preserve"> </w:t>
      </w:r>
      <w:r w:rsidRPr="000977F7">
        <w:rPr>
          <w:rFonts w:asciiTheme="majorHAnsi" w:hAnsiTheme="majorHAnsi"/>
          <w:sz w:val="20"/>
          <w:szCs w:val="20"/>
        </w:rPr>
        <w:t>інших</w:t>
      </w:r>
      <w:r w:rsidRPr="000977F7">
        <w:rPr>
          <w:rFonts w:asciiTheme="majorHAnsi" w:hAnsiTheme="majorHAnsi"/>
          <w:spacing w:val="-2"/>
          <w:sz w:val="20"/>
          <w:szCs w:val="20"/>
        </w:rPr>
        <w:t xml:space="preserve"> </w:t>
      </w:r>
      <w:r w:rsidRPr="000977F7">
        <w:rPr>
          <w:rFonts w:asciiTheme="majorHAnsi" w:hAnsiTheme="majorHAnsi"/>
          <w:sz w:val="20"/>
          <w:szCs w:val="20"/>
        </w:rPr>
        <w:t>країн;</w:t>
      </w:r>
    </w:p>
    <w:p w14:paraId="007D62EC" w14:textId="77777777" w:rsidR="0097612F" w:rsidRPr="000977F7" w:rsidRDefault="0097612F" w:rsidP="00FD39A4">
      <w:pPr>
        <w:pStyle w:val="ac"/>
        <w:widowControl w:val="0"/>
        <w:numPr>
          <w:ilvl w:val="1"/>
          <w:numId w:val="180"/>
        </w:numPr>
        <w:tabs>
          <w:tab w:val="left" w:pos="284"/>
          <w:tab w:val="left" w:pos="59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забезпечення відповідності вимог нормативних документів</w:t>
      </w:r>
      <w:r w:rsidRPr="000977F7">
        <w:rPr>
          <w:rFonts w:asciiTheme="majorHAnsi" w:hAnsiTheme="majorHAnsi"/>
          <w:spacing w:val="-2"/>
          <w:sz w:val="20"/>
          <w:szCs w:val="20"/>
        </w:rPr>
        <w:t xml:space="preserve"> </w:t>
      </w:r>
      <w:r w:rsidRPr="000977F7">
        <w:rPr>
          <w:rFonts w:asciiTheme="majorHAnsi" w:hAnsiTheme="majorHAnsi"/>
          <w:sz w:val="20"/>
          <w:szCs w:val="20"/>
        </w:rPr>
        <w:t>актам</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законодавства;</w:t>
      </w:r>
    </w:p>
    <w:p w14:paraId="6548ACEE" w14:textId="77777777" w:rsidR="0097612F" w:rsidRPr="000977F7" w:rsidRDefault="0097612F" w:rsidP="00FD39A4">
      <w:pPr>
        <w:pStyle w:val="ac"/>
        <w:widowControl w:val="0"/>
        <w:numPr>
          <w:ilvl w:val="1"/>
          <w:numId w:val="180"/>
        </w:numPr>
        <w:tabs>
          <w:tab w:val="left" w:pos="284"/>
          <w:tab w:val="left" w:pos="46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участь у розробленні нормативних документів усіх</w:t>
      </w:r>
      <w:r w:rsidRPr="000977F7">
        <w:rPr>
          <w:rFonts w:asciiTheme="majorHAnsi" w:hAnsiTheme="majorHAnsi"/>
          <w:spacing w:val="1"/>
          <w:sz w:val="20"/>
          <w:szCs w:val="20"/>
        </w:rPr>
        <w:t xml:space="preserve"> </w:t>
      </w:r>
      <w:r w:rsidRPr="000977F7">
        <w:rPr>
          <w:rFonts w:asciiTheme="majorHAnsi" w:hAnsiTheme="majorHAnsi"/>
          <w:sz w:val="20"/>
          <w:szCs w:val="20"/>
        </w:rPr>
        <w:t>зацікавлених сторін (розробник, виробник, споживач,</w:t>
      </w:r>
      <w:r w:rsidRPr="000977F7">
        <w:rPr>
          <w:rFonts w:asciiTheme="majorHAnsi" w:hAnsiTheme="majorHAnsi"/>
          <w:spacing w:val="1"/>
          <w:sz w:val="20"/>
          <w:szCs w:val="20"/>
        </w:rPr>
        <w:t xml:space="preserve"> </w:t>
      </w:r>
      <w:r w:rsidRPr="000977F7">
        <w:rPr>
          <w:rFonts w:asciiTheme="majorHAnsi" w:hAnsiTheme="majorHAnsi"/>
          <w:sz w:val="20"/>
          <w:szCs w:val="20"/>
        </w:rPr>
        <w:t>орган</w:t>
      </w:r>
      <w:r w:rsidRPr="000977F7">
        <w:rPr>
          <w:rFonts w:asciiTheme="majorHAnsi" w:hAnsiTheme="majorHAnsi"/>
          <w:spacing w:val="-2"/>
          <w:sz w:val="20"/>
          <w:szCs w:val="20"/>
        </w:rPr>
        <w:t xml:space="preserve"> </w:t>
      </w:r>
      <w:r w:rsidRPr="000977F7">
        <w:rPr>
          <w:rFonts w:asciiTheme="majorHAnsi" w:hAnsiTheme="majorHAnsi"/>
          <w:sz w:val="20"/>
          <w:szCs w:val="20"/>
        </w:rPr>
        <w:t>державної</w:t>
      </w:r>
      <w:r w:rsidRPr="000977F7">
        <w:rPr>
          <w:rFonts w:asciiTheme="majorHAnsi" w:hAnsiTheme="majorHAnsi"/>
          <w:spacing w:val="-2"/>
          <w:sz w:val="20"/>
          <w:szCs w:val="20"/>
        </w:rPr>
        <w:t xml:space="preserve"> </w:t>
      </w:r>
      <w:r w:rsidRPr="000977F7">
        <w:rPr>
          <w:rFonts w:asciiTheme="majorHAnsi" w:hAnsiTheme="majorHAnsi"/>
          <w:sz w:val="20"/>
          <w:szCs w:val="20"/>
        </w:rPr>
        <w:t>виконавчої</w:t>
      </w:r>
      <w:r w:rsidRPr="000977F7">
        <w:rPr>
          <w:rFonts w:asciiTheme="majorHAnsi" w:hAnsiTheme="majorHAnsi"/>
          <w:spacing w:val="2"/>
          <w:sz w:val="20"/>
          <w:szCs w:val="20"/>
        </w:rPr>
        <w:t xml:space="preserve"> </w:t>
      </w:r>
      <w:r w:rsidRPr="000977F7">
        <w:rPr>
          <w:rFonts w:asciiTheme="majorHAnsi" w:hAnsiTheme="majorHAnsi"/>
          <w:sz w:val="20"/>
          <w:szCs w:val="20"/>
        </w:rPr>
        <w:t>влади</w:t>
      </w:r>
      <w:r w:rsidRPr="000977F7">
        <w:rPr>
          <w:rFonts w:asciiTheme="majorHAnsi" w:hAnsiTheme="majorHAnsi"/>
          <w:spacing w:val="-2"/>
          <w:sz w:val="20"/>
          <w:szCs w:val="20"/>
        </w:rPr>
        <w:t xml:space="preserve"> </w:t>
      </w:r>
      <w:r w:rsidRPr="000977F7">
        <w:rPr>
          <w:rFonts w:asciiTheme="majorHAnsi" w:hAnsiTheme="majorHAnsi"/>
          <w:sz w:val="20"/>
          <w:szCs w:val="20"/>
        </w:rPr>
        <w:t>тощо);</w:t>
      </w:r>
    </w:p>
    <w:p w14:paraId="301F2551" w14:textId="77777777" w:rsidR="0097612F" w:rsidRPr="000977F7" w:rsidRDefault="0097612F" w:rsidP="00FD39A4">
      <w:pPr>
        <w:pStyle w:val="ac"/>
        <w:widowControl w:val="0"/>
        <w:numPr>
          <w:ilvl w:val="1"/>
          <w:numId w:val="180"/>
        </w:numPr>
        <w:tabs>
          <w:tab w:val="left" w:pos="284"/>
          <w:tab w:val="left" w:pos="44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взаємозв’язок та узгодженість нормативних документів</w:t>
      </w:r>
      <w:r w:rsidRPr="000977F7">
        <w:rPr>
          <w:rFonts w:asciiTheme="majorHAnsi" w:hAnsiTheme="majorHAnsi"/>
          <w:spacing w:val="1"/>
          <w:sz w:val="20"/>
          <w:szCs w:val="20"/>
        </w:rPr>
        <w:t xml:space="preserve"> </w:t>
      </w:r>
      <w:r w:rsidRPr="000977F7">
        <w:rPr>
          <w:rFonts w:asciiTheme="majorHAnsi" w:hAnsiTheme="majorHAnsi"/>
          <w:sz w:val="20"/>
          <w:szCs w:val="20"/>
        </w:rPr>
        <w:t>усіх</w:t>
      </w:r>
      <w:r w:rsidRPr="000977F7">
        <w:rPr>
          <w:rFonts w:asciiTheme="majorHAnsi" w:hAnsiTheme="majorHAnsi"/>
          <w:spacing w:val="-1"/>
          <w:sz w:val="20"/>
          <w:szCs w:val="20"/>
        </w:rPr>
        <w:t xml:space="preserve"> </w:t>
      </w:r>
      <w:r w:rsidRPr="000977F7">
        <w:rPr>
          <w:rFonts w:asciiTheme="majorHAnsi" w:hAnsiTheme="majorHAnsi"/>
          <w:sz w:val="20"/>
          <w:szCs w:val="20"/>
        </w:rPr>
        <w:t>рівнів;</w:t>
      </w:r>
    </w:p>
    <w:p w14:paraId="35E76739" w14:textId="77777777" w:rsidR="0097612F" w:rsidRPr="000977F7" w:rsidRDefault="0097612F" w:rsidP="00FD39A4">
      <w:pPr>
        <w:pStyle w:val="ac"/>
        <w:widowControl w:val="0"/>
        <w:numPr>
          <w:ilvl w:val="1"/>
          <w:numId w:val="180"/>
        </w:numPr>
        <w:tabs>
          <w:tab w:val="left" w:pos="284"/>
          <w:tab w:val="left" w:pos="44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придатність нормативних документів для сертифікації</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096FC489" w14:textId="77777777" w:rsidR="0097612F" w:rsidRPr="000977F7" w:rsidRDefault="0097612F" w:rsidP="00FD39A4">
      <w:pPr>
        <w:pStyle w:val="ac"/>
        <w:widowControl w:val="0"/>
        <w:numPr>
          <w:ilvl w:val="1"/>
          <w:numId w:val="180"/>
        </w:numPr>
        <w:tabs>
          <w:tab w:val="left" w:pos="284"/>
          <w:tab w:val="left" w:pos="47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відкритість інформації про чинні стандарти і програми робіт з стандартизації, виходячи з вимог чинного законодавства;</w:t>
      </w:r>
    </w:p>
    <w:p w14:paraId="1FD3728B" w14:textId="77777777" w:rsidR="0097612F" w:rsidRPr="000977F7" w:rsidRDefault="0097612F" w:rsidP="00FD39A4">
      <w:pPr>
        <w:pStyle w:val="ac"/>
        <w:widowControl w:val="0"/>
        <w:numPr>
          <w:ilvl w:val="1"/>
          <w:numId w:val="180"/>
        </w:numPr>
        <w:tabs>
          <w:tab w:val="left" w:pos="284"/>
          <w:tab w:val="left" w:pos="44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відповідність комплексів (систем) стандартів складу</w:t>
      </w:r>
      <w:r w:rsidRPr="000977F7">
        <w:rPr>
          <w:rFonts w:asciiTheme="majorHAnsi" w:hAnsiTheme="majorHAnsi"/>
          <w:spacing w:val="1"/>
          <w:sz w:val="20"/>
          <w:szCs w:val="20"/>
        </w:rPr>
        <w:t xml:space="preserve"> </w:t>
      </w:r>
      <w:r w:rsidRPr="000977F7">
        <w:rPr>
          <w:rFonts w:asciiTheme="majorHAnsi" w:hAnsiTheme="majorHAnsi"/>
          <w:sz w:val="20"/>
          <w:szCs w:val="20"/>
        </w:rPr>
        <w:t>та взаємозв’язкам об’єктів стандартизації для певної</w:t>
      </w:r>
      <w:r w:rsidRPr="000977F7">
        <w:rPr>
          <w:rFonts w:asciiTheme="majorHAnsi" w:hAnsiTheme="majorHAnsi"/>
          <w:spacing w:val="1"/>
          <w:sz w:val="20"/>
          <w:szCs w:val="20"/>
        </w:rPr>
        <w:t xml:space="preserve"> </w:t>
      </w:r>
      <w:r w:rsidRPr="000977F7">
        <w:rPr>
          <w:rFonts w:asciiTheme="majorHAnsi" w:hAnsiTheme="majorHAnsi"/>
          <w:sz w:val="20"/>
          <w:szCs w:val="20"/>
        </w:rPr>
        <w:t>галузі,</w:t>
      </w:r>
      <w:r w:rsidRPr="000977F7">
        <w:rPr>
          <w:rFonts w:asciiTheme="majorHAnsi" w:hAnsiTheme="majorHAnsi"/>
          <w:spacing w:val="1"/>
          <w:sz w:val="20"/>
          <w:szCs w:val="20"/>
        </w:rPr>
        <w:t xml:space="preserve"> </w:t>
      </w:r>
      <w:r w:rsidRPr="000977F7">
        <w:rPr>
          <w:rFonts w:asciiTheme="majorHAnsi" w:hAnsiTheme="majorHAnsi"/>
          <w:sz w:val="20"/>
          <w:szCs w:val="20"/>
        </w:rPr>
        <w:t>раціональність,</w:t>
      </w:r>
      <w:r w:rsidRPr="000977F7">
        <w:rPr>
          <w:rFonts w:asciiTheme="majorHAnsi" w:hAnsiTheme="majorHAnsi"/>
          <w:spacing w:val="1"/>
          <w:sz w:val="20"/>
          <w:szCs w:val="20"/>
        </w:rPr>
        <w:t xml:space="preserve"> </w:t>
      </w:r>
      <w:r w:rsidRPr="000977F7">
        <w:rPr>
          <w:rFonts w:asciiTheme="majorHAnsi" w:hAnsiTheme="majorHAnsi"/>
          <w:sz w:val="20"/>
          <w:szCs w:val="20"/>
        </w:rPr>
        <w:t>однозначність,</w:t>
      </w:r>
      <w:r w:rsidRPr="000977F7">
        <w:rPr>
          <w:rFonts w:asciiTheme="majorHAnsi" w:hAnsiTheme="majorHAnsi"/>
          <w:spacing w:val="1"/>
          <w:sz w:val="20"/>
          <w:szCs w:val="20"/>
        </w:rPr>
        <w:t xml:space="preserve"> </w:t>
      </w:r>
      <w:r w:rsidRPr="000977F7">
        <w:rPr>
          <w:rFonts w:asciiTheme="majorHAnsi" w:hAnsiTheme="majorHAnsi"/>
          <w:sz w:val="20"/>
          <w:szCs w:val="20"/>
        </w:rPr>
        <w:t>несуперечливість та обґрунтованість вимог стандартів, можливість</w:t>
      </w:r>
      <w:r w:rsidRPr="000977F7">
        <w:rPr>
          <w:rFonts w:asciiTheme="majorHAnsi" w:hAnsiTheme="majorHAnsi"/>
          <w:spacing w:val="-47"/>
          <w:sz w:val="20"/>
          <w:szCs w:val="20"/>
        </w:rPr>
        <w:t xml:space="preserve"> </w:t>
      </w:r>
      <w:r w:rsidRPr="000977F7">
        <w:rPr>
          <w:rFonts w:asciiTheme="majorHAnsi" w:hAnsiTheme="majorHAnsi"/>
          <w:sz w:val="20"/>
          <w:szCs w:val="20"/>
        </w:rPr>
        <w:t>їх</w:t>
      </w:r>
      <w:r w:rsidRPr="000977F7">
        <w:rPr>
          <w:rFonts w:asciiTheme="majorHAnsi" w:hAnsiTheme="majorHAnsi"/>
          <w:spacing w:val="-3"/>
          <w:sz w:val="20"/>
          <w:szCs w:val="20"/>
        </w:rPr>
        <w:t xml:space="preserve"> </w:t>
      </w:r>
      <w:r w:rsidRPr="000977F7">
        <w:rPr>
          <w:rFonts w:asciiTheme="majorHAnsi" w:hAnsiTheme="majorHAnsi"/>
          <w:sz w:val="20"/>
          <w:szCs w:val="20"/>
        </w:rPr>
        <w:t>перевірки;</w:t>
      </w:r>
    </w:p>
    <w:p w14:paraId="0DDE0FDF" w14:textId="77777777" w:rsidR="0097612F" w:rsidRPr="000977F7" w:rsidRDefault="0097612F" w:rsidP="00FD39A4">
      <w:pPr>
        <w:pStyle w:val="ac"/>
        <w:widowControl w:val="0"/>
        <w:numPr>
          <w:ilvl w:val="1"/>
          <w:numId w:val="180"/>
        </w:numPr>
        <w:tabs>
          <w:tab w:val="left" w:pos="284"/>
          <w:tab w:val="left" w:pos="46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застосування інформаційних систем і технологій у</w:t>
      </w:r>
      <w:r w:rsidRPr="000977F7">
        <w:rPr>
          <w:rFonts w:asciiTheme="majorHAnsi" w:hAnsiTheme="majorHAnsi"/>
          <w:spacing w:val="1"/>
          <w:sz w:val="20"/>
          <w:szCs w:val="20"/>
        </w:rPr>
        <w:t xml:space="preserve"> </w:t>
      </w:r>
      <w:r w:rsidRPr="000977F7">
        <w:rPr>
          <w:rFonts w:asciiTheme="majorHAnsi" w:hAnsiTheme="majorHAnsi"/>
          <w:sz w:val="20"/>
          <w:szCs w:val="20"/>
        </w:rPr>
        <w:t>галузі</w:t>
      </w:r>
      <w:r w:rsidRPr="000977F7">
        <w:rPr>
          <w:rFonts w:asciiTheme="majorHAnsi" w:hAnsiTheme="majorHAnsi"/>
          <w:spacing w:val="-2"/>
          <w:sz w:val="20"/>
          <w:szCs w:val="20"/>
        </w:rPr>
        <w:t xml:space="preserve"> </w:t>
      </w:r>
      <w:r w:rsidRPr="000977F7">
        <w:rPr>
          <w:rFonts w:asciiTheme="majorHAnsi" w:hAnsiTheme="majorHAnsi"/>
          <w:sz w:val="20"/>
          <w:szCs w:val="20"/>
        </w:rPr>
        <w:t>стандартизації</w:t>
      </w:r>
    </w:p>
    <w:p w14:paraId="1B139B88"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ОСНОВОПОЛОЖНИЙ СТАНДАРТ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5A4268C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BASIC</w:t>
      </w:r>
      <w:r w:rsidRPr="000977F7">
        <w:rPr>
          <w:rFonts w:asciiTheme="majorHAnsi" w:hAnsiTheme="majorHAnsi"/>
          <w:spacing w:val="1"/>
          <w:sz w:val="20"/>
          <w:szCs w:val="20"/>
        </w:rPr>
        <w:t xml:space="preserve"> </w:t>
      </w:r>
      <w:r w:rsidRPr="000977F7">
        <w:rPr>
          <w:rFonts w:asciiTheme="majorHAnsi" w:hAnsiTheme="majorHAnsi"/>
          <w:sz w:val="20"/>
          <w:szCs w:val="20"/>
        </w:rPr>
        <w:t>STANDARD</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0B97E5E"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Стандарт,</w:t>
      </w:r>
      <w:r w:rsidRPr="000977F7">
        <w:rPr>
          <w:rFonts w:asciiTheme="majorHAnsi" w:hAnsiTheme="majorHAnsi"/>
          <w:spacing w:val="37"/>
          <w:sz w:val="20"/>
          <w:szCs w:val="20"/>
        </w:rPr>
        <w:t xml:space="preserve"> </w:t>
      </w:r>
      <w:r w:rsidRPr="000977F7">
        <w:rPr>
          <w:rFonts w:asciiTheme="majorHAnsi" w:hAnsiTheme="majorHAnsi"/>
          <w:sz w:val="20"/>
          <w:szCs w:val="20"/>
        </w:rPr>
        <w:t>що</w:t>
      </w:r>
      <w:r w:rsidRPr="000977F7">
        <w:rPr>
          <w:rFonts w:asciiTheme="majorHAnsi" w:hAnsiTheme="majorHAnsi"/>
          <w:spacing w:val="37"/>
          <w:sz w:val="20"/>
          <w:szCs w:val="20"/>
        </w:rPr>
        <w:t xml:space="preserve"> </w:t>
      </w:r>
      <w:r w:rsidRPr="000977F7">
        <w:rPr>
          <w:rFonts w:asciiTheme="majorHAnsi" w:hAnsiTheme="majorHAnsi"/>
          <w:sz w:val="20"/>
          <w:szCs w:val="20"/>
        </w:rPr>
        <w:t>має</w:t>
      </w:r>
      <w:r w:rsidRPr="000977F7">
        <w:rPr>
          <w:rFonts w:asciiTheme="majorHAnsi" w:hAnsiTheme="majorHAnsi"/>
          <w:spacing w:val="38"/>
          <w:sz w:val="20"/>
          <w:szCs w:val="20"/>
        </w:rPr>
        <w:t xml:space="preserve"> </w:t>
      </w:r>
      <w:r w:rsidRPr="000977F7">
        <w:rPr>
          <w:rFonts w:asciiTheme="majorHAnsi" w:hAnsiTheme="majorHAnsi"/>
          <w:sz w:val="20"/>
          <w:szCs w:val="20"/>
        </w:rPr>
        <w:t>широку</w:t>
      </w:r>
      <w:r w:rsidRPr="000977F7">
        <w:rPr>
          <w:rFonts w:asciiTheme="majorHAnsi" w:hAnsiTheme="majorHAnsi"/>
          <w:spacing w:val="35"/>
          <w:sz w:val="20"/>
          <w:szCs w:val="20"/>
        </w:rPr>
        <w:t xml:space="preserve"> </w:t>
      </w:r>
      <w:r w:rsidRPr="000977F7">
        <w:rPr>
          <w:rFonts w:asciiTheme="majorHAnsi" w:hAnsiTheme="majorHAnsi"/>
          <w:sz w:val="20"/>
          <w:szCs w:val="20"/>
        </w:rPr>
        <w:t>сферу</w:t>
      </w:r>
      <w:r w:rsidRPr="000977F7">
        <w:rPr>
          <w:rFonts w:asciiTheme="majorHAnsi" w:hAnsiTheme="majorHAnsi"/>
          <w:spacing w:val="36"/>
          <w:sz w:val="20"/>
          <w:szCs w:val="20"/>
        </w:rPr>
        <w:t xml:space="preserve"> </w:t>
      </w:r>
      <w:r w:rsidRPr="000977F7">
        <w:rPr>
          <w:rFonts w:asciiTheme="majorHAnsi" w:hAnsiTheme="majorHAnsi"/>
          <w:sz w:val="20"/>
          <w:szCs w:val="20"/>
        </w:rPr>
        <w:t>поширення</w:t>
      </w:r>
      <w:r w:rsidRPr="000977F7">
        <w:rPr>
          <w:rFonts w:asciiTheme="majorHAnsi" w:hAnsiTheme="majorHAnsi"/>
          <w:spacing w:val="36"/>
          <w:sz w:val="20"/>
          <w:szCs w:val="20"/>
        </w:rPr>
        <w:t xml:space="preserve"> </w:t>
      </w:r>
      <w:r w:rsidRPr="000977F7">
        <w:rPr>
          <w:rFonts w:asciiTheme="majorHAnsi" w:hAnsiTheme="majorHAnsi"/>
          <w:sz w:val="20"/>
          <w:szCs w:val="20"/>
        </w:rPr>
        <w:t>або</w:t>
      </w:r>
      <w:r w:rsidRPr="000977F7">
        <w:rPr>
          <w:rFonts w:asciiTheme="majorHAnsi" w:hAnsiTheme="majorHAnsi"/>
          <w:spacing w:val="38"/>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кий, що містить загальні положення для певної галузі</w:t>
      </w:r>
      <w:r w:rsidRPr="000977F7">
        <w:rPr>
          <w:rFonts w:asciiTheme="majorHAnsi" w:hAnsiTheme="majorHAnsi"/>
          <w:spacing w:val="1"/>
          <w:sz w:val="20"/>
          <w:szCs w:val="20"/>
        </w:rPr>
        <w:t xml:space="preserve"> </w:t>
      </w:r>
    </w:p>
    <w:p w14:paraId="2731B63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9281C3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Основоположні стандарти встановлюють організаційно-методичні та загально-технічні положення для визначеної</w:t>
      </w:r>
      <w:r w:rsidRPr="000977F7">
        <w:rPr>
          <w:rFonts w:asciiTheme="majorHAnsi" w:hAnsiTheme="majorHAnsi"/>
          <w:spacing w:val="1"/>
          <w:sz w:val="20"/>
          <w:szCs w:val="20"/>
        </w:rPr>
        <w:t xml:space="preserve"> </w:t>
      </w:r>
      <w:r w:rsidRPr="000977F7">
        <w:rPr>
          <w:rFonts w:asciiTheme="majorHAnsi" w:hAnsiTheme="majorHAnsi"/>
          <w:sz w:val="20"/>
          <w:szCs w:val="20"/>
        </w:rPr>
        <w:t>галузі</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1"/>
          <w:sz w:val="20"/>
          <w:szCs w:val="20"/>
        </w:rPr>
        <w:t xml:space="preserve"> </w:t>
      </w:r>
      <w:r w:rsidRPr="000977F7">
        <w:rPr>
          <w:rFonts w:asciiTheme="majorHAnsi" w:hAnsiTheme="majorHAnsi"/>
          <w:sz w:val="20"/>
          <w:szCs w:val="20"/>
        </w:rPr>
        <w:t>терміни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 загально-технічні вимоги, норми та правила,</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забезпечують</w:t>
      </w:r>
      <w:r w:rsidRPr="000977F7">
        <w:rPr>
          <w:rFonts w:asciiTheme="majorHAnsi" w:hAnsiTheme="majorHAnsi"/>
          <w:spacing w:val="1"/>
          <w:sz w:val="20"/>
          <w:szCs w:val="20"/>
        </w:rPr>
        <w:t xml:space="preserve"> </w:t>
      </w:r>
      <w:r w:rsidRPr="000977F7">
        <w:rPr>
          <w:rFonts w:asciiTheme="majorHAnsi" w:hAnsiTheme="majorHAnsi"/>
          <w:sz w:val="20"/>
          <w:szCs w:val="20"/>
        </w:rPr>
        <w:t>впорядкованість,</w:t>
      </w:r>
      <w:r w:rsidRPr="000977F7">
        <w:rPr>
          <w:rFonts w:asciiTheme="majorHAnsi" w:hAnsiTheme="majorHAnsi"/>
          <w:spacing w:val="1"/>
          <w:sz w:val="20"/>
          <w:szCs w:val="20"/>
        </w:rPr>
        <w:t xml:space="preserve"> </w:t>
      </w:r>
      <w:r w:rsidRPr="000977F7">
        <w:rPr>
          <w:rFonts w:asciiTheme="majorHAnsi" w:hAnsiTheme="majorHAnsi"/>
          <w:sz w:val="20"/>
          <w:szCs w:val="20"/>
        </w:rPr>
        <w:t>сумісність,</w:t>
      </w:r>
      <w:r w:rsidRPr="000977F7">
        <w:rPr>
          <w:rFonts w:asciiTheme="majorHAnsi" w:hAnsiTheme="majorHAnsi"/>
          <w:spacing w:val="-47"/>
          <w:sz w:val="20"/>
          <w:szCs w:val="20"/>
        </w:rPr>
        <w:t xml:space="preserve"> </w:t>
      </w:r>
      <w:r w:rsidRPr="000977F7">
        <w:rPr>
          <w:rFonts w:asciiTheme="majorHAnsi" w:hAnsiTheme="majorHAnsi"/>
          <w:sz w:val="20"/>
          <w:szCs w:val="20"/>
        </w:rPr>
        <w:t>взаємозв’язок</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взаємопогодженість</w:t>
      </w:r>
      <w:r w:rsidRPr="000977F7">
        <w:rPr>
          <w:rFonts w:asciiTheme="majorHAnsi" w:hAnsiTheme="majorHAnsi"/>
          <w:spacing w:val="1"/>
          <w:sz w:val="20"/>
          <w:szCs w:val="20"/>
        </w:rPr>
        <w:t xml:space="preserve"> </w:t>
      </w:r>
      <w:r w:rsidRPr="000977F7">
        <w:rPr>
          <w:rFonts w:asciiTheme="majorHAnsi" w:hAnsiTheme="majorHAnsi"/>
          <w:sz w:val="20"/>
          <w:szCs w:val="20"/>
        </w:rPr>
        <w:t>різних</w:t>
      </w:r>
      <w:r w:rsidRPr="000977F7">
        <w:rPr>
          <w:rFonts w:asciiTheme="majorHAnsi" w:hAnsiTheme="majorHAnsi"/>
          <w:spacing w:val="1"/>
          <w:sz w:val="20"/>
          <w:szCs w:val="20"/>
        </w:rPr>
        <w:t xml:space="preserve"> </w:t>
      </w:r>
      <w:r w:rsidRPr="000977F7">
        <w:rPr>
          <w:rFonts w:asciiTheme="majorHAnsi" w:hAnsiTheme="majorHAnsi"/>
          <w:sz w:val="20"/>
          <w:szCs w:val="20"/>
        </w:rPr>
        <w:t>видів</w:t>
      </w:r>
      <w:r w:rsidRPr="000977F7">
        <w:rPr>
          <w:rFonts w:asciiTheme="majorHAnsi" w:hAnsiTheme="majorHAnsi"/>
          <w:spacing w:val="1"/>
          <w:sz w:val="20"/>
          <w:szCs w:val="20"/>
        </w:rPr>
        <w:t xml:space="preserve"> </w:t>
      </w:r>
      <w:r w:rsidRPr="000977F7">
        <w:rPr>
          <w:rFonts w:asciiTheme="majorHAnsi" w:hAnsiTheme="majorHAnsi"/>
          <w:sz w:val="20"/>
          <w:szCs w:val="20"/>
        </w:rPr>
        <w:t>технічної та виробничої діяльності під час розроблення, виготовлення, транспортування та утилізації продукції, безпечність продукції, охорону навколишнього</w:t>
      </w:r>
      <w:r w:rsidRPr="000977F7">
        <w:rPr>
          <w:rFonts w:asciiTheme="majorHAnsi" w:hAnsiTheme="majorHAnsi"/>
          <w:spacing w:val="-47"/>
          <w:sz w:val="20"/>
          <w:szCs w:val="20"/>
        </w:rPr>
        <w:t xml:space="preserve">          </w:t>
      </w:r>
      <w:r w:rsidRPr="000977F7">
        <w:rPr>
          <w:rFonts w:asciiTheme="majorHAnsi" w:hAnsiTheme="majorHAnsi"/>
          <w:sz w:val="20"/>
          <w:szCs w:val="20"/>
        </w:rPr>
        <w:t>природного середовища</w:t>
      </w:r>
    </w:p>
    <w:p w14:paraId="52CE7731"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 xml:space="preserve">ОСОБА – </w:t>
      </w:r>
    </w:p>
    <w:p w14:paraId="55BF6226"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Фізична або юридична особа;</w:t>
      </w:r>
    </w:p>
    <w:p w14:paraId="2A25335B" w14:textId="77777777" w:rsidR="0097612F" w:rsidRPr="000977F7" w:rsidRDefault="0097612F" w:rsidP="000977F7">
      <w:pPr>
        <w:tabs>
          <w:tab w:val="left" w:pos="284"/>
        </w:tabs>
        <w:spacing w:after="0" w:line="240" w:lineRule="auto"/>
        <w:ind w:left="170"/>
        <w:mirrorIndents/>
        <w:jc w:val="both"/>
        <w:rPr>
          <w:rFonts w:asciiTheme="majorHAnsi" w:hAnsiTheme="majorHAnsi"/>
          <w:i/>
          <w:w w:val="95"/>
          <w:sz w:val="20"/>
          <w:szCs w:val="20"/>
        </w:rPr>
      </w:pPr>
      <w:r w:rsidRPr="000977F7">
        <w:rPr>
          <w:rFonts w:asciiTheme="majorHAnsi" w:hAnsiTheme="majorHAnsi"/>
          <w:i/>
          <w:w w:val="95"/>
          <w:sz w:val="20"/>
          <w:szCs w:val="20"/>
        </w:rPr>
        <w:t>Ст. 1 закону України "Про охорону прав на промислові зразки"</w:t>
      </w:r>
    </w:p>
    <w:p w14:paraId="703004F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ОСОБА З ПРАВОМ ПІДПИСУ (ВІД ІМЕНІ АКРЕДИТОВАНОЇ</w:t>
      </w:r>
      <w:r w:rsidRPr="000977F7">
        <w:rPr>
          <w:color w:val="auto"/>
          <w:spacing w:val="-2"/>
          <w:sz w:val="20"/>
          <w:szCs w:val="20"/>
        </w:rPr>
        <w:t xml:space="preserve"> </w:t>
      </w:r>
      <w:r w:rsidRPr="000977F7">
        <w:rPr>
          <w:color w:val="auto"/>
          <w:sz w:val="20"/>
          <w:szCs w:val="20"/>
        </w:rPr>
        <w:t>ЛАБОРАТОРІЇ)</w:t>
      </w:r>
      <w:r w:rsidRPr="000977F7">
        <w:rPr>
          <w:color w:val="auto"/>
          <w:spacing w:val="4"/>
          <w:sz w:val="20"/>
          <w:szCs w:val="20"/>
        </w:rPr>
        <w:t xml:space="preserve"> </w:t>
      </w:r>
      <w:r w:rsidRPr="000977F7">
        <w:rPr>
          <w:color w:val="auto"/>
          <w:sz w:val="20"/>
          <w:szCs w:val="20"/>
        </w:rPr>
        <w:t>–</w:t>
      </w:r>
    </w:p>
    <w:p w14:paraId="7D3A9E6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APPROVED SIGNATORY (OF AN ACCREDITED</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LABORATORY)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4CDC34E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Особа, визнана органом з акредитації компетентною</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того,</w:t>
      </w:r>
      <w:r w:rsidRPr="000977F7">
        <w:rPr>
          <w:rFonts w:asciiTheme="majorHAnsi" w:hAnsiTheme="majorHAnsi"/>
          <w:spacing w:val="1"/>
          <w:sz w:val="20"/>
          <w:szCs w:val="20"/>
        </w:rPr>
        <w:t xml:space="preserve"> </w:t>
      </w:r>
      <w:r w:rsidRPr="000977F7">
        <w:rPr>
          <w:rFonts w:asciiTheme="majorHAnsi" w:hAnsiTheme="majorHAnsi"/>
          <w:sz w:val="20"/>
          <w:szCs w:val="20"/>
        </w:rPr>
        <w:t>щоб</w:t>
      </w:r>
      <w:r w:rsidRPr="000977F7">
        <w:rPr>
          <w:rFonts w:asciiTheme="majorHAnsi" w:hAnsiTheme="majorHAnsi"/>
          <w:spacing w:val="1"/>
          <w:sz w:val="20"/>
          <w:szCs w:val="20"/>
        </w:rPr>
        <w:t xml:space="preserve"> </w:t>
      </w:r>
      <w:r w:rsidRPr="000977F7">
        <w:rPr>
          <w:rFonts w:asciiTheme="majorHAnsi" w:hAnsiTheme="majorHAnsi"/>
          <w:sz w:val="20"/>
          <w:szCs w:val="20"/>
        </w:rPr>
        <w:t>підписувати</w:t>
      </w:r>
      <w:r w:rsidRPr="000977F7">
        <w:rPr>
          <w:rFonts w:asciiTheme="majorHAnsi" w:hAnsiTheme="majorHAnsi"/>
          <w:spacing w:val="1"/>
          <w:sz w:val="20"/>
          <w:szCs w:val="20"/>
        </w:rPr>
        <w:t xml:space="preserve"> </w:t>
      </w:r>
      <w:r w:rsidRPr="000977F7">
        <w:rPr>
          <w:rFonts w:asciiTheme="majorHAnsi" w:hAnsiTheme="majorHAnsi"/>
          <w:sz w:val="20"/>
          <w:szCs w:val="20"/>
        </w:rPr>
        <w:t>протоколи</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1"/>
          <w:sz w:val="20"/>
          <w:szCs w:val="20"/>
        </w:rPr>
        <w:t xml:space="preserve"> </w:t>
      </w:r>
      <w:r w:rsidRPr="000977F7">
        <w:rPr>
          <w:rFonts w:asciiTheme="majorHAnsi" w:hAnsiTheme="majorHAnsi"/>
          <w:sz w:val="20"/>
          <w:szCs w:val="20"/>
        </w:rPr>
        <w:t>акредитованої</w:t>
      </w:r>
      <w:r w:rsidRPr="000977F7">
        <w:rPr>
          <w:rFonts w:asciiTheme="majorHAnsi" w:hAnsiTheme="majorHAnsi"/>
          <w:spacing w:val="-2"/>
          <w:sz w:val="20"/>
          <w:szCs w:val="20"/>
        </w:rPr>
        <w:t xml:space="preserve"> </w:t>
      </w:r>
      <w:r w:rsidRPr="000977F7">
        <w:rPr>
          <w:rFonts w:asciiTheme="majorHAnsi" w:hAnsiTheme="majorHAnsi"/>
          <w:sz w:val="20"/>
          <w:szCs w:val="20"/>
        </w:rPr>
        <w:t>лабораторії</w:t>
      </w:r>
    </w:p>
    <w:p w14:paraId="36E76202"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shd w:val="clear" w:color="auto" w:fill="FFFFFF"/>
        </w:rPr>
      </w:pPr>
      <w:r w:rsidRPr="000977F7">
        <w:rPr>
          <w:rFonts w:asciiTheme="majorHAnsi" w:hAnsiTheme="majorHAnsi"/>
          <w:b/>
          <w:bCs/>
          <w:sz w:val="20"/>
          <w:szCs w:val="20"/>
          <w:shd w:val="clear" w:color="auto" w:fill="FFFFFF"/>
        </w:rPr>
        <w:t xml:space="preserve">ОСОБИ, </w:t>
      </w:r>
      <w:r w:rsidRPr="000977F7">
        <w:rPr>
          <w:rFonts w:asciiTheme="majorHAnsi" w:hAnsiTheme="majorHAnsi"/>
          <w:b/>
          <w:bCs/>
          <w:sz w:val="20"/>
          <w:szCs w:val="20"/>
        </w:rPr>
        <w:t>ЯКІ МОЖУТЬ БУТИ АКРЕДИТОВАНІ</w:t>
      </w:r>
      <w:r w:rsidRPr="000977F7">
        <w:rPr>
          <w:rFonts w:asciiTheme="majorHAnsi" w:hAnsiTheme="majorHAnsi"/>
          <w:b/>
          <w:bCs/>
          <w:spacing w:val="-47"/>
          <w:sz w:val="20"/>
          <w:szCs w:val="20"/>
        </w:rPr>
        <w:t xml:space="preserve">  </w:t>
      </w:r>
      <w:r w:rsidRPr="000977F7">
        <w:rPr>
          <w:rFonts w:asciiTheme="majorHAnsi" w:hAnsiTheme="majorHAnsi"/>
          <w:b/>
          <w:bCs/>
          <w:sz w:val="20"/>
          <w:szCs w:val="20"/>
          <w:shd w:val="clear" w:color="auto" w:fill="FFFFFF"/>
        </w:rPr>
        <w:t xml:space="preserve"> ЧИ КОМПЕТЕНТНІСТЬ ЯКИХ МОЖЕ БУТИ ЗАСВІДЧЕНА НАЦІОНАЛЬНИМ ОРГАНОМ УКРАЇНИ З АКРЕДИТАЦІЇ –</w:t>
      </w:r>
    </w:p>
    <w:p w14:paraId="65A7AE82" w14:textId="77777777" w:rsidR="0097612F" w:rsidRPr="000977F7" w:rsidRDefault="0097612F" w:rsidP="000977F7">
      <w:pPr>
        <w:tabs>
          <w:tab w:val="left" w:pos="284"/>
        </w:tabs>
        <w:spacing w:after="0" w:line="240" w:lineRule="auto"/>
        <w:ind w:left="170"/>
        <w:mirrorIndents/>
        <w:jc w:val="both"/>
        <w:rPr>
          <w:rFonts w:asciiTheme="majorHAnsi" w:hAnsiTheme="majorHAnsi"/>
          <w:b/>
          <w:bCs/>
          <w:i/>
          <w:spacing w:val="1"/>
          <w:sz w:val="20"/>
          <w:szCs w:val="20"/>
        </w:rPr>
      </w:pPr>
      <w:r w:rsidRPr="000977F7">
        <w:rPr>
          <w:rFonts w:asciiTheme="majorHAnsi" w:hAnsiTheme="majorHAnsi"/>
          <w:sz w:val="20"/>
          <w:szCs w:val="20"/>
          <w:shd w:val="clear" w:color="auto" w:fill="FFFFFF"/>
        </w:rPr>
        <w:t>Національний орган України з акредитації може акредитувати органи з оцінки відповідності, а саме:</w:t>
      </w:r>
    </w:p>
    <w:p w14:paraId="6CDE8B83" w14:textId="77777777" w:rsidR="0097612F" w:rsidRPr="000977F7" w:rsidRDefault="0097612F" w:rsidP="000977F7">
      <w:pPr>
        <w:tabs>
          <w:tab w:val="left" w:pos="284"/>
          <w:tab w:val="left" w:pos="679"/>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випробувальні</w:t>
      </w:r>
      <w:r w:rsidRPr="000977F7">
        <w:rPr>
          <w:rFonts w:asciiTheme="majorHAnsi" w:hAnsiTheme="majorHAnsi"/>
          <w:spacing w:val="-5"/>
          <w:sz w:val="20"/>
          <w:szCs w:val="20"/>
        </w:rPr>
        <w:t xml:space="preserve"> </w:t>
      </w:r>
      <w:r w:rsidRPr="000977F7">
        <w:rPr>
          <w:rFonts w:asciiTheme="majorHAnsi" w:hAnsiTheme="majorHAnsi"/>
          <w:sz w:val="20"/>
          <w:szCs w:val="20"/>
        </w:rPr>
        <w:t>та</w:t>
      </w:r>
      <w:r w:rsidRPr="000977F7">
        <w:rPr>
          <w:rFonts w:asciiTheme="majorHAnsi" w:hAnsiTheme="majorHAnsi"/>
          <w:spacing w:val="-4"/>
          <w:sz w:val="20"/>
          <w:szCs w:val="20"/>
        </w:rPr>
        <w:t xml:space="preserve"> </w:t>
      </w:r>
      <w:r w:rsidRPr="000977F7">
        <w:rPr>
          <w:rFonts w:asciiTheme="majorHAnsi" w:hAnsiTheme="majorHAnsi"/>
          <w:sz w:val="20"/>
          <w:szCs w:val="20"/>
        </w:rPr>
        <w:t>калібрувальні</w:t>
      </w:r>
      <w:r w:rsidRPr="000977F7">
        <w:rPr>
          <w:rFonts w:asciiTheme="majorHAnsi" w:hAnsiTheme="majorHAnsi"/>
          <w:spacing w:val="-4"/>
          <w:sz w:val="20"/>
          <w:szCs w:val="20"/>
        </w:rPr>
        <w:t xml:space="preserve"> </w:t>
      </w:r>
      <w:r w:rsidRPr="000977F7">
        <w:rPr>
          <w:rFonts w:asciiTheme="majorHAnsi" w:hAnsiTheme="majorHAnsi"/>
          <w:sz w:val="20"/>
          <w:szCs w:val="20"/>
        </w:rPr>
        <w:t>лабораторії;</w:t>
      </w:r>
    </w:p>
    <w:p w14:paraId="309B1C13" w14:textId="77777777" w:rsidR="0097612F" w:rsidRPr="000977F7" w:rsidRDefault="0097612F" w:rsidP="000977F7">
      <w:pPr>
        <w:pStyle w:val="ac"/>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органи із сертифікації продукції, процесів та послуг;</w:t>
      </w:r>
    </w:p>
    <w:p w14:paraId="4990C591" w14:textId="77777777" w:rsidR="0097612F" w:rsidRPr="000977F7" w:rsidRDefault="0097612F" w:rsidP="000977F7">
      <w:pPr>
        <w:pStyle w:val="ac"/>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shd w:val="clear" w:color="auto" w:fill="FFFFFF"/>
        </w:rPr>
        <w:t>органи із сертифікації систем якості, систем управління якістю, систем екологічного управління;</w:t>
      </w:r>
    </w:p>
    <w:p w14:paraId="51F81C26" w14:textId="77777777" w:rsidR="0097612F" w:rsidRPr="000977F7" w:rsidRDefault="0097612F" w:rsidP="000977F7">
      <w:pPr>
        <w:pStyle w:val="ac"/>
        <w:tabs>
          <w:tab w:val="left" w:pos="284"/>
          <w:tab w:val="left" w:pos="679"/>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органи</w:t>
      </w:r>
      <w:r w:rsidRPr="000977F7">
        <w:rPr>
          <w:rFonts w:asciiTheme="majorHAnsi" w:hAnsiTheme="majorHAnsi"/>
          <w:spacing w:val="-5"/>
          <w:sz w:val="20"/>
          <w:szCs w:val="20"/>
        </w:rPr>
        <w:t xml:space="preserve"> </w:t>
      </w:r>
      <w:r w:rsidRPr="000977F7">
        <w:rPr>
          <w:rFonts w:asciiTheme="majorHAnsi" w:hAnsiTheme="majorHAnsi"/>
          <w:sz w:val="20"/>
          <w:szCs w:val="20"/>
        </w:rPr>
        <w:t>із</w:t>
      </w:r>
      <w:r w:rsidRPr="000977F7">
        <w:rPr>
          <w:rFonts w:asciiTheme="majorHAnsi" w:hAnsiTheme="majorHAnsi"/>
          <w:spacing w:val="-3"/>
          <w:sz w:val="20"/>
          <w:szCs w:val="20"/>
        </w:rPr>
        <w:t xml:space="preserve"> </w:t>
      </w:r>
      <w:r w:rsidRPr="000977F7">
        <w:rPr>
          <w:rFonts w:asciiTheme="majorHAnsi" w:hAnsiTheme="majorHAnsi"/>
          <w:sz w:val="20"/>
          <w:szCs w:val="20"/>
        </w:rPr>
        <w:t>сертифікації</w:t>
      </w:r>
      <w:r w:rsidRPr="000977F7">
        <w:rPr>
          <w:rFonts w:asciiTheme="majorHAnsi" w:hAnsiTheme="majorHAnsi"/>
          <w:spacing w:val="-4"/>
          <w:sz w:val="20"/>
          <w:szCs w:val="20"/>
        </w:rPr>
        <w:t xml:space="preserve"> </w:t>
      </w:r>
      <w:r w:rsidRPr="000977F7">
        <w:rPr>
          <w:rFonts w:asciiTheme="majorHAnsi" w:hAnsiTheme="majorHAnsi"/>
          <w:sz w:val="20"/>
          <w:szCs w:val="20"/>
        </w:rPr>
        <w:t>персоналу;</w:t>
      </w:r>
    </w:p>
    <w:p w14:paraId="365CBACB" w14:textId="77777777" w:rsidR="0097612F" w:rsidRPr="000977F7" w:rsidRDefault="0097612F" w:rsidP="000977F7">
      <w:pPr>
        <w:pStyle w:val="ac"/>
        <w:tabs>
          <w:tab w:val="left" w:pos="284"/>
          <w:tab w:val="left" w:pos="679"/>
        </w:tabs>
        <w:spacing w:after="0" w:line="240" w:lineRule="auto"/>
        <w:ind w:left="170"/>
        <w:mirrorIndents/>
        <w:jc w:val="both"/>
        <w:rPr>
          <w:rFonts w:asciiTheme="majorHAnsi" w:hAnsiTheme="majorHAnsi"/>
          <w:spacing w:val="-4"/>
          <w:sz w:val="20"/>
          <w:szCs w:val="20"/>
        </w:rPr>
      </w:pPr>
      <w:r w:rsidRPr="000977F7">
        <w:rPr>
          <w:rFonts w:asciiTheme="majorHAnsi" w:hAnsiTheme="majorHAnsi"/>
          <w:sz w:val="20"/>
          <w:szCs w:val="20"/>
        </w:rPr>
        <w:t>органи</w:t>
      </w:r>
      <w:r w:rsidRPr="000977F7">
        <w:rPr>
          <w:rFonts w:asciiTheme="majorHAnsi" w:hAnsiTheme="majorHAnsi"/>
          <w:spacing w:val="-4"/>
          <w:sz w:val="20"/>
          <w:szCs w:val="20"/>
        </w:rPr>
        <w:t xml:space="preserve"> з інспектування;</w:t>
      </w:r>
    </w:p>
    <w:p w14:paraId="1E76C12F" w14:textId="77777777" w:rsidR="0097612F" w:rsidRPr="000977F7" w:rsidRDefault="0097612F" w:rsidP="000977F7">
      <w:pPr>
        <w:pStyle w:val="ac"/>
        <w:tabs>
          <w:tab w:val="left" w:pos="284"/>
        </w:tabs>
        <w:spacing w:after="0" w:line="240" w:lineRule="auto"/>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 xml:space="preserve">верифікаторів відповідно до </w:t>
      </w:r>
      <w:hyperlink r:id="rId30" w:tgtFrame="_blank" w:history="1">
        <w:r w:rsidRPr="000977F7">
          <w:rPr>
            <w:rStyle w:val="af1"/>
            <w:rFonts w:asciiTheme="majorHAnsi" w:hAnsiTheme="majorHAnsi"/>
            <w:color w:val="auto"/>
            <w:sz w:val="20"/>
            <w:szCs w:val="20"/>
            <w:shd w:val="clear" w:color="auto" w:fill="FFFFFF"/>
          </w:rPr>
          <w:t>Закону України</w:t>
        </w:r>
      </w:hyperlink>
      <w:r w:rsidRPr="000977F7">
        <w:rPr>
          <w:rStyle w:val="af1"/>
          <w:rFonts w:asciiTheme="majorHAnsi" w:hAnsiTheme="majorHAnsi"/>
          <w:color w:val="auto"/>
          <w:sz w:val="20"/>
          <w:szCs w:val="20"/>
          <w:shd w:val="clear" w:color="auto" w:fill="FFFFFF"/>
        </w:rPr>
        <w:t xml:space="preserve"> </w:t>
      </w:r>
      <w:r w:rsidRPr="000977F7">
        <w:rPr>
          <w:rFonts w:asciiTheme="majorHAnsi" w:hAnsiTheme="majorHAnsi"/>
          <w:sz w:val="20"/>
          <w:szCs w:val="20"/>
          <w:shd w:val="clear" w:color="auto" w:fill="FFFFFF"/>
        </w:rPr>
        <w:t>"Про засади моніторингу, звітності та верифікації викидів парникових газів";</w:t>
      </w:r>
    </w:p>
    <w:p w14:paraId="4CDDEDD5" w14:textId="77777777" w:rsidR="0097612F" w:rsidRPr="000977F7" w:rsidRDefault="0097612F" w:rsidP="000977F7">
      <w:pPr>
        <w:pStyle w:val="ac"/>
        <w:tabs>
          <w:tab w:val="left" w:pos="284"/>
          <w:tab w:val="left" w:pos="679"/>
        </w:tabs>
        <w:spacing w:after="0" w:line="240" w:lineRule="auto"/>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інші органи з оцінки відповідності.</w:t>
      </w:r>
    </w:p>
    <w:p w14:paraId="78F9E256" w14:textId="77777777" w:rsidR="0097612F" w:rsidRPr="000977F7" w:rsidRDefault="0097612F" w:rsidP="000977F7">
      <w:pPr>
        <w:pStyle w:val="ac"/>
        <w:tabs>
          <w:tab w:val="left" w:pos="284"/>
        </w:tabs>
        <w:spacing w:after="0" w:line="240" w:lineRule="auto"/>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 xml:space="preserve">У випадках, встановлених законодавством, національний орган України з акредитації може акредитувати інших осіб, ніж органи з оцінки відповідності, та засвідчувати компетентність осіб </w:t>
      </w:r>
      <w:r w:rsidRPr="000977F7">
        <w:rPr>
          <w:rFonts w:asciiTheme="majorHAnsi" w:hAnsiTheme="majorHAnsi"/>
          <w:sz w:val="20"/>
          <w:szCs w:val="20"/>
          <w:shd w:val="clear" w:color="auto" w:fill="FFFFFF"/>
        </w:rPr>
        <w:lastRenderedPageBreak/>
        <w:t>щодо провадження діяльності іншої, ніж оцінка відповідності.</w:t>
      </w:r>
    </w:p>
    <w:p w14:paraId="256CF4E8" w14:textId="77777777" w:rsidR="0097612F" w:rsidRPr="000977F7" w:rsidRDefault="0097612F" w:rsidP="000977F7">
      <w:pPr>
        <w:pStyle w:val="ac"/>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shd w:val="clear" w:color="auto" w:fill="FFFFFF"/>
        </w:rPr>
        <w:t>Національний орган України з акредитації акредитує чи засвідчує компетентність осіб, визначених у частинах першій та другій цієї статті, незалежно від їх форми власності та з місцезнаходженням як на території України, так і за її межами.</w:t>
      </w:r>
    </w:p>
    <w:p w14:paraId="5FFC1EE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i/>
          <w:sz w:val="20"/>
          <w:szCs w:val="20"/>
        </w:rPr>
        <w:t>Ст. 10 закону України "Про</w:t>
      </w:r>
      <w:r w:rsidRPr="000977F7">
        <w:rPr>
          <w:rFonts w:asciiTheme="majorHAnsi" w:hAnsiTheme="majorHAnsi"/>
          <w:i/>
          <w:spacing w:val="1"/>
          <w:sz w:val="20"/>
          <w:szCs w:val="20"/>
        </w:rPr>
        <w:t xml:space="preserve"> </w:t>
      </w:r>
      <w:r w:rsidRPr="000977F7">
        <w:rPr>
          <w:rFonts w:asciiTheme="majorHAnsi" w:hAnsiTheme="majorHAnsi"/>
          <w:i/>
          <w:sz w:val="20"/>
          <w:szCs w:val="20"/>
        </w:rPr>
        <w:t>акредитацію</w:t>
      </w:r>
      <w:r w:rsidRPr="000977F7">
        <w:rPr>
          <w:rFonts w:asciiTheme="majorHAnsi" w:hAnsiTheme="majorHAnsi"/>
          <w:i/>
          <w:spacing w:val="1"/>
          <w:sz w:val="20"/>
          <w:szCs w:val="20"/>
        </w:rPr>
        <w:t xml:space="preserve"> </w:t>
      </w:r>
      <w:r w:rsidRPr="000977F7">
        <w:rPr>
          <w:rFonts w:asciiTheme="majorHAnsi" w:hAnsiTheme="majorHAnsi"/>
          <w:i/>
          <w:sz w:val="20"/>
          <w:szCs w:val="20"/>
        </w:rPr>
        <w:t>органів з оцінки відповідності"</w:t>
      </w:r>
    </w:p>
    <w:p w14:paraId="663A6DB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ОСОБЛИВА</w:t>
      </w:r>
      <w:r w:rsidRPr="000977F7">
        <w:rPr>
          <w:color w:val="auto"/>
          <w:spacing w:val="-6"/>
          <w:sz w:val="20"/>
          <w:szCs w:val="20"/>
        </w:rPr>
        <w:t xml:space="preserve"> </w:t>
      </w:r>
      <w:r w:rsidRPr="000977F7">
        <w:rPr>
          <w:color w:val="auto"/>
          <w:sz w:val="20"/>
          <w:szCs w:val="20"/>
        </w:rPr>
        <w:t>ВИМОГА</w:t>
      </w:r>
      <w:r w:rsidRPr="000977F7">
        <w:rPr>
          <w:color w:val="auto"/>
          <w:spacing w:val="-2"/>
          <w:sz w:val="20"/>
          <w:szCs w:val="20"/>
        </w:rPr>
        <w:t xml:space="preserve"> </w:t>
      </w:r>
      <w:r w:rsidRPr="000977F7">
        <w:rPr>
          <w:color w:val="auto"/>
          <w:sz w:val="20"/>
          <w:szCs w:val="20"/>
        </w:rPr>
        <w:t>–</w:t>
      </w:r>
    </w:p>
    <w:p w14:paraId="6A8FF1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EXCLUSIVE</w:t>
      </w:r>
      <w:r w:rsidRPr="000977F7">
        <w:rPr>
          <w:rFonts w:asciiTheme="majorHAnsi" w:hAnsiTheme="majorHAnsi"/>
          <w:spacing w:val="-3"/>
          <w:sz w:val="20"/>
          <w:szCs w:val="20"/>
        </w:rPr>
        <w:t xml:space="preserve"> </w:t>
      </w:r>
      <w:r w:rsidRPr="000977F7">
        <w:rPr>
          <w:rFonts w:asciiTheme="majorHAnsi" w:hAnsiTheme="majorHAnsi"/>
          <w:sz w:val="20"/>
          <w:szCs w:val="20"/>
        </w:rPr>
        <w:t>REQUIREMENT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2F347E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Вимога нормативного документа, дотримання якої, з</w:t>
      </w:r>
      <w:r w:rsidRPr="000977F7">
        <w:rPr>
          <w:rFonts w:asciiTheme="majorHAnsi" w:hAnsiTheme="majorHAnsi"/>
          <w:spacing w:val="1"/>
          <w:sz w:val="20"/>
          <w:szCs w:val="20"/>
        </w:rPr>
        <w:t xml:space="preserve"> </w:t>
      </w:r>
      <w:r w:rsidRPr="000977F7">
        <w:rPr>
          <w:rFonts w:asciiTheme="majorHAnsi" w:hAnsiTheme="majorHAnsi"/>
          <w:sz w:val="20"/>
          <w:szCs w:val="20"/>
        </w:rPr>
        <w:t>метою досягнення відповідності цьому документу, є</w:t>
      </w:r>
      <w:r w:rsidRPr="000977F7">
        <w:rPr>
          <w:rFonts w:asciiTheme="majorHAnsi" w:hAnsiTheme="majorHAnsi"/>
          <w:spacing w:val="1"/>
          <w:sz w:val="20"/>
          <w:szCs w:val="20"/>
        </w:rPr>
        <w:t xml:space="preserve"> </w:t>
      </w:r>
      <w:r w:rsidRPr="000977F7">
        <w:rPr>
          <w:rFonts w:asciiTheme="majorHAnsi" w:hAnsiTheme="majorHAnsi"/>
          <w:sz w:val="20"/>
          <w:szCs w:val="20"/>
        </w:rPr>
        <w:t>неодмінним</w:t>
      </w:r>
    </w:p>
    <w:p w14:paraId="0BF55B9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EC719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3"/>
          <w:w w:val="99"/>
          <w:sz w:val="20"/>
          <w:szCs w:val="20"/>
        </w:rPr>
        <w:t>Т</w:t>
      </w:r>
      <w:r w:rsidRPr="000977F7">
        <w:rPr>
          <w:rFonts w:asciiTheme="majorHAnsi" w:hAnsiTheme="majorHAnsi"/>
          <w:w w:val="99"/>
          <w:sz w:val="20"/>
          <w:szCs w:val="20"/>
        </w:rPr>
        <w:t>е</w:t>
      </w:r>
      <w:r w:rsidRPr="000977F7">
        <w:rPr>
          <w:rFonts w:asciiTheme="majorHAnsi" w:hAnsiTheme="majorHAnsi"/>
          <w:spacing w:val="-1"/>
          <w:w w:val="99"/>
          <w:sz w:val="20"/>
          <w:szCs w:val="20"/>
        </w:rPr>
        <w:t>р</w:t>
      </w:r>
      <w:r w:rsidRPr="000977F7">
        <w:rPr>
          <w:rFonts w:asciiTheme="majorHAnsi" w:hAnsiTheme="majorHAnsi"/>
          <w:spacing w:val="1"/>
          <w:w w:val="99"/>
          <w:sz w:val="20"/>
          <w:szCs w:val="20"/>
        </w:rPr>
        <w:t>м</w:t>
      </w:r>
      <w:r w:rsidRPr="000977F7">
        <w:rPr>
          <w:rFonts w:asciiTheme="majorHAnsi" w:hAnsiTheme="majorHAnsi"/>
          <w:w w:val="99"/>
          <w:sz w:val="20"/>
          <w:szCs w:val="20"/>
        </w:rPr>
        <w:t>ін</w:t>
      </w:r>
      <w:r w:rsidRPr="000977F7">
        <w:rPr>
          <w:rFonts w:asciiTheme="majorHAnsi" w:hAnsiTheme="majorHAnsi"/>
          <w:sz w:val="20"/>
          <w:szCs w:val="20"/>
        </w:rPr>
        <w:t xml:space="preserve"> "</w:t>
      </w:r>
      <w:r w:rsidRPr="000977F7">
        <w:rPr>
          <w:rFonts w:asciiTheme="majorHAnsi" w:hAnsiTheme="majorHAnsi"/>
          <w:spacing w:val="1"/>
          <w:w w:val="99"/>
          <w:sz w:val="20"/>
          <w:szCs w:val="20"/>
        </w:rPr>
        <w:t>о</w:t>
      </w:r>
      <w:r w:rsidRPr="000977F7">
        <w:rPr>
          <w:rFonts w:asciiTheme="majorHAnsi" w:hAnsiTheme="majorHAnsi"/>
          <w:w w:val="99"/>
          <w:sz w:val="20"/>
          <w:szCs w:val="20"/>
        </w:rPr>
        <w:t>бо</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w:t>
      </w:r>
      <w:r w:rsidRPr="000977F7">
        <w:rPr>
          <w:rFonts w:asciiTheme="majorHAnsi" w:hAnsiTheme="majorHAnsi"/>
          <w:w w:val="99"/>
          <w:sz w:val="20"/>
          <w:szCs w:val="20"/>
        </w:rPr>
        <w:t>я</w:t>
      </w:r>
      <w:r w:rsidRPr="000977F7">
        <w:rPr>
          <w:rFonts w:asciiTheme="majorHAnsi" w:hAnsiTheme="majorHAnsi"/>
          <w:spacing w:val="2"/>
          <w:w w:val="99"/>
          <w:sz w:val="20"/>
          <w:szCs w:val="20"/>
        </w:rPr>
        <w:t>з</w:t>
      </w:r>
      <w:r w:rsidRPr="000977F7">
        <w:rPr>
          <w:rFonts w:asciiTheme="majorHAnsi" w:hAnsiTheme="majorHAnsi"/>
          <w:spacing w:val="-1"/>
          <w:w w:val="99"/>
          <w:sz w:val="20"/>
          <w:szCs w:val="20"/>
        </w:rPr>
        <w:t>к</w:t>
      </w:r>
      <w:r w:rsidRPr="000977F7">
        <w:rPr>
          <w:rFonts w:asciiTheme="majorHAnsi" w:hAnsiTheme="majorHAnsi"/>
          <w:spacing w:val="1"/>
          <w:w w:val="99"/>
          <w:sz w:val="20"/>
          <w:szCs w:val="20"/>
        </w:rPr>
        <w:t>о</w:t>
      </w:r>
      <w:r w:rsidRPr="000977F7">
        <w:rPr>
          <w:rFonts w:asciiTheme="majorHAnsi" w:hAnsiTheme="majorHAnsi"/>
          <w:spacing w:val="-1"/>
          <w:w w:val="99"/>
          <w:sz w:val="20"/>
          <w:szCs w:val="20"/>
        </w:rPr>
        <w:t>в</w:t>
      </w:r>
      <w:r w:rsidRPr="000977F7">
        <w:rPr>
          <w:rFonts w:asciiTheme="majorHAnsi" w:hAnsiTheme="majorHAnsi"/>
          <w:w w:val="99"/>
          <w:sz w:val="20"/>
          <w:szCs w:val="20"/>
        </w:rPr>
        <w:t>а</w:t>
      </w:r>
      <w:r w:rsidRPr="000977F7">
        <w:rPr>
          <w:rFonts w:asciiTheme="majorHAnsi" w:hAnsiTheme="majorHAnsi"/>
          <w:sz w:val="20"/>
          <w:szCs w:val="20"/>
        </w:rPr>
        <w:t xml:space="preserve"> </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и</w:t>
      </w:r>
      <w:r w:rsidRPr="000977F7">
        <w:rPr>
          <w:rFonts w:asciiTheme="majorHAnsi" w:hAnsiTheme="majorHAnsi"/>
          <w:spacing w:val="1"/>
          <w:w w:val="99"/>
          <w:sz w:val="20"/>
          <w:szCs w:val="20"/>
        </w:rPr>
        <w:t>мо</w:t>
      </w:r>
      <w:r w:rsidRPr="000977F7">
        <w:rPr>
          <w:rFonts w:asciiTheme="majorHAnsi" w:hAnsiTheme="majorHAnsi"/>
          <w:spacing w:val="2"/>
          <w:w w:val="99"/>
          <w:sz w:val="20"/>
          <w:szCs w:val="20"/>
        </w:rPr>
        <w:t>г</w:t>
      </w:r>
      <w:r w:rsidRPr="000977F7">
        <w:rPr>
          <w:rFonts w:asciiTheme="majorHAnsi" w:hAnsiTheme="majorHAnsi"/>
          <w:w w:val="122"/>
          <w:sz w:val="20"/>
          <w:szCs w:val="20"/>
        </w:rPr>
        <w:t>а"</w:t>
      </w:r>
      <w:r w:rsidRPr="000977F7">
        <w:rPr>
          <w:rFonts w:asciiTheme="majorHAnsi" w:hAnsiTheme="majorHAnsi"/>
          <w:spacing w:val="-2"/>
          <w:sz w:val="20"/>
          <w:szCs w:val="20"/>
        </w:rPr>
        <w:t xml:space="preserve"> </w:t>
      </w:r>
      <w:r w:rsidRPr="000977F7">
        <w:rPr>
          <w:rFonts w:asciiTheme="majorHAnsi" w:hAnsiTheme="majorHAnsi"/>
          <w:w w:val="99"/>
          <w:sz w:val="20"/>
          <w:szCs w:val="20"/>
        </w:rPr>
        <w:t>с</w:t>
      </w:r>
      <w:r w:rsidRPr="000977F7">
        <w:rPr>
          <w:rFonts w:asciiTheme="majorHAnsi" w:hAnsiTheme="majorHAnsi"/>
          <w:spacing w:val="-1"/>
          <w:w w:val="99"/>
          <w:sz w:val="20"/>
          <w:szCs w:val="20"/>
        </w:rPr>
        <w:t>л</w:t>
      </w:r>
      <w:r w:rsidRPr="000977F7">
        <w:rPr>
          <w:rFonts w:asciiTheme="majorHAnsi" w:hAnsiTheme="majorHAnsi"/>
          <w:w w:val="99"/>
          <w:sz w:val="20"/>
          <w:szCs w:val="20"/>
        </w:rPr>
        <w:t>ід</w:t>
      </w:r>
      <w:r w:rsidRPr="000977F7">
        <w:rPr>
          <w:rFonts w:asciiTheme="majorHAnsi" w:hAnsiTheme="majorHAnsi"/>
          <w:sz w:val="20"/>
          <w:szCs w:val="20"/>
        </w:rPr>
        <w:t xml:space="preserve"> </w:t>
      </w:r>
      <w:r w:rsidRPr="000977F7">
        <w:rPr>
          <w:rFonts w:asciiTheme="majorHAnsi" w:hAnsiTheme="majorHAnsi"/>
          <w:spacing w:val="-1"/>
          <w:w w:val="99"/>
          <w:sz w:val="20"/>
          <w:szCs w:val="20"/>
        </w:rPr>
        <w:t>в</w:t>
      </w:r>
      <w:r w:rsidRPr="000977F7">
        <w:rPr>
          <w:rFonts w:asciiTheme="majorHAnsi" w:hAnsiTheme="majorHAnsi"/>
          <w:w w:val="99"/>
          <w:sz w:val="20"/>
          <w:szCs w:val="20"/>
        </w:rPr>
        <w:t>ж</w:t>
      </w:r>
      <w:r w:rsidRPr="000977F7">
        <w:rPr>
          <w:rFonts w:asciiTheme="majorHAnsi" w:hAnsiTheme="majorHAnsi"/>
          <w:spacing w:val="-2"/>
          <w:w w:val="99"/>
          <w:sz w:val="20"/>
          <w:szCs w:val="20"/>
        </w:rPr>
        <w:t>и</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а</w:t>
      </w:r>
      <w:r w:rsidRPr="000977F7">
        <w:rPr>
          <w:rFonts w:asciiTheme="majorHAnsi" w:hAnsiTheme="majorHAnsi"/>
          <w:spacing w:val="-1"/>
          <w:w w:val="99"/>
          <w:sz w:val="20"/>
          <w:szCs w:val="20"/>
        </w:rPr>
        <w:t>т</w:t>
      </w:r>
      <w:r w:rsidRPr="000977F7">
        <w:rPr>
          <w:rFonts w:asciiTheme="majorHAnsi" w:hAnsiTheme="majorHAnsi"/>
          <w:w w:val="99"/>
          <w:sz w:val="20"/>
          <w:szCs w:val="20"/>
        </w:rPr>
        <w:t>и</w:t>
      </w:r>
      <w:r w:rsidRPr="000977F7">
        <w:rPr>
          <w:rFonts w:asciiTheme="majorHAnsi" w:hAnsiTheme="majorHAnsi"/>
          <w:sz w:val="20"/>
          <w:szCs w:val="20"/>
        </w:rPr>
        <w:t xml:space="preserve"> </w:t>
      </w:r>
      <w:r w:rsidRPr="000977F7">
        <w:rPr>
          <w:rFonts w:asciiTheme="majorHAnsi" w:hAnsiTheme="majorHAnsi"/>
          <w:spacing w:val="-1"/>
          <w:w w:val="99"/>
          <w:sz w:val="20"/>
          <w:szCs w:val="20"/>
        </w:rPr>
        <w:t>т</w:t>
      </w:r>
      <w:r w:rsidRPr="000977F7">
        <w:rPr>
          <w:rFonts w:asciiTheme="majorHAnsi" w:hAnsiTheme="majorHAnsi"/>
          <w:spacing w:val="2"/>
          <w:w w:val="99"/>
          <w:sz w:val="20"/>
          <w:szCs w:val="20"/>
        </w:rPr>
        <w:t>і</w:t>
      </w:r>
      <w:r w:rsidRPr="000977F7">
        <w:rPr>
          <w:rFonts w:asciiTheme="majorHAnsi" w:hAnsiTheme="majorHAnsi"/>
          <w:spacing w:val="-1"/>
          <w:w w:val="99"/>
          <w:sz w:val="20"/>
          <w:szCs w:val="20"/>
        </w:rPr>
        <w:t>ль</w:t>
      </w:r>
      <w:r w:rsidRPr="000977F7">
        <w:rPr>
          <w:rFonts w:asciiTheme="majorHAnsi" w:hAnsiTheme="majorHAnsi"/>
          <w:spacing w:val="1"/>
          <w:w w:val="99"/>
          <w:sz w:val="20"/>
          <w:szCs w:val="20"/>
        </w:rPr>
        <w:t>к</w:t>
      </w:r>
      <w:r w:rsidRPr="000977F7">
        <w:rPr>
          <w:rFonts w:asciiTheme="majorHAnsi" w:hAnsiTheme="majorHAnsi"/>
          <w:w w:val="99"/>
          <w:sz w:val="20"/>
          <w:szCs w:val="20"/>
        </w:rPr>
        <w:t>и</w:t>
      </w:r>
      <w:r w:rsidRPr="000977F7">
        <w:rPr>
          <w:rFonts w:asciiTheme="majorHAnsi" w:hAnsiTheme="majorHAnsi"/>
          <w:sz w:val="20"/>
          <w:szCs w:val="20"/>
        </w:rPr>
        <w:t xml:space="preserve"> </w:t>
      </w:r>
      <w:r w:rsidRPr="000977F7">
        <w:rPr>
          <w:rFonts w:asciiTheme="majorHAnsi" w:hAnsiTheme="majorHAnsi"/>
          <w:w w:val="99"/>
          <w:sz w:val="20"/>
          <w:szCs w:val="20"/>
        </w:rPr>
        <w:t xml:space="preserve">в </w:t>
      </w:r>
      <w:r w:rsidRPr="000977F7">
        <w:rPr>
          <w:rFonts w:asciiTheme="majorHAnsi" w:hAnsiTheme="majorHAnsi"/>
          <w:sz w:val="20"/>
          <w:szCs w:val="20"/>
        </w:rPr>
        <w:t>розумінні вимоги, до виконання якої зобов’язує закон</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регламент</w:t>
      </w:r>
    </w:p>
    <w:p w14:paraId="1730E4A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 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49C1B11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ОСОБЛИВОСТІ</w:t>
      </w:r>
      <w:r w:rsidRPr="000977F7">
        <w:rPr>
          <w:color w:val="auto"/>
          <w:spacing w:val="13"/>
          <w:sz w:val="20"/>
          <w:szCs w:val="20"/>
        </w:rPr>
        <w:t xml:space="preserve"> </w:t>
      </w:r>
      <w:r w:rsidRPr="000977F7">
        <w:rPr>
          <w:color w:val="auto"/>
          <w:sz w:val="20"/>
          <w:szCs w:val="20"/>
        </w:rPr>
        <w:t>ЗАСТОСУВАННЯ</w:t>
      </w:r>
      <w:r w:rsidRPr="000977F7">
        <w:rPr>
          <w:color w:val="auto"/>
          <w:spacing w:val="14"/>
          <w:sz w:val="20"/>
          <w:szCs w:val="20"/>
        </w:rPr>
        <w:t xml:space="preserve"> </w:t>
      </w:r>
      <w:r w:rsidRPr="000977F7">
        <w:rPr>
          <w:color w:val="auto"/>
          <w:sz w:val="20"/>
          <w:szCs w:val="20"/>
        </w:rPr>
        <w:t>ЦИВІЛЬНОЇ</w:t>
      </w:r>
      <w:r w:rsidRPr="000977F7">
        <w:rPr>
          <w:color w:val="auto"/>
          <w:spacing w:val="-47"/>
          <w:sz w:val="20"/>
          <w:szCs w:val="20"/>
        </w:rPr>
        <w:t xml:space="preserve"> </w:t>
      </w:r>
      <w:r w:rsidRPr="000977F7">
        <w:rPr>
          <w:color w:val="auto"/>
          <w:sz w:val="20"/>
          <w:szCs w:val="20"/>
        </w:rPr>
        <w:t>ВІДПОВІДАЛЬНОСТІ –</w:t>
      </w:r>
    </w:p>
    <w:p w14:paraId="26B39CF1"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shd w:val="clear" w:color="auto" w:fill="FFFFFF"/>
        </w:rPr>
        <w:t>Шкода, заподіяна внаслідок порушення законодавства про охорону навколишнього природного середовища, підлягає компенсації в повному обсязі.</w:t>
      </w:r>
    </w:p>
    <w:p w14:paraId="53989E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Особи, яким завдано такої шкоди, мають право на</w:t>
      </w:r>
      <w:r w:rsidRPr="000977F7">
        <w:rPr>
          <w:rFonts w:asciiTheme="majorHAnsi" w:hAnsiTheme="majorHAnsi"/>
          <w:spacing w:val="1"/>
          <w:sz w:val="20"/>
          <w:szCs w:val="20"/>
        </w:rPr>
        <w:t xml:space="preserve"> </w:t>
      </w:r>
      <w:r w:rsidRPr="000977F7">
        <w:rPr>
          <w:rFonts w:asciiTheme="majorHAnsi" w:hAnsiTheme="majorHAnsi"/>
          <w:sz w:val="20"/>
          <w:szCs w:val="20"/>
        </w:rPr>
        <w:t>відшкодування неодержаних прибутків за час, необхідний для</w:t>
      </w:r>
      <w:r w:rsidRPr="000977F7">
        <w:rPr>
          <w:rFonts w:asciiTheme="majorHAnsi" w:hAnsiTheme="majorHAnsi"/>
          <w:spacing w:val="2"/>
          <w:sz w:val="20"/>
          <w:szCs w:val="20"/>
        </w:rPr>
        <w:t xml:space="preserve"> </w:t>
      </w:r>
      <w:r w:rsidRPr="000977F7">
        <w:rPr>
          <w:rFonts w:asciiTheme="majorHAnsi" w:hAnsiTheme="majorHAnsi"/>
          <w:sz w:val="20"/>
          <w:szCs w:val="20"/>
        </w:rPr>
        <w:t>відновлення</w:t>
      </w:r>
      <w:r w:rsidRPr="000977F7">
        <w:rPr>
          <w:rFonts w:asciiTheme="majorHAnsi" w:hAnsiTheme="majorHAnsi"/>
          <w:spacing w:val="1"/>
          <w:sz w:val="20"/>
          <w:szCs w:val="20"/>
        </w:rPr>
        <w:t xml:space="preserve"> </w:t>
      </w:r>
      <w:r w:rsidRPr="000977F7">
        <w:rPr>
          <w:rFonts w:asciiTheme="majorHAnsi" w:hAnsiTheme="majorHAnsi"/>
          <w:sz w:val="20"/>
          <w:szCs w:val="20"/>
        </w:rPr>
        <w:t>здоров'я,</w:t>
      </w:r>
      <w:r w:rsidRPr="000977F7">
        <w:rPr>
          <w:rFonts w:asciiTheme="majorHAnsi" w:hAnsiTheme="majorHAnsi"/>
          <w:spacing w:val="3"/>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відтворення</w:t>
      </w:r>
      <w:r w:rsidRPr="000977F7">
        <w:rPr>
          <w:rFonts w:asciiTheme="majorHAnsi" w:hAnsiTheme="majorHAnsi"/>
          <w:spacing w:val="1"/>
          <w:sz w:val="20"/>
          <w:szCs w:val="20"/>
        </w:rPr>
        <w:t xml:space="preserve"> </w:t>
      </w:r>
      <w:r w:rsidRPr="000977F7">
        <w:rPr>
          <w:rFonts w:asciiTheme="majorHAnsi" w:hAnsiTheme="majorHAnsi"/>
          <w:sz w:val="20"/>
          <w:szCs w:val="20"/>
        </w:rPr>
        <w:t>природних</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стану,</w:t>
      </w:r>
      <w:r w:rsidRPr="000977F7">
        <w:rPr>
          <w:rFonts w:asciiTheme="majorHAnsi" w:hAnsiTheme="majorHAnsi"/>
          <w:spacing w:val="1"/>
          <w:sz w:val="20"/>
          <w:szCs w:val="20"/>
        </w:rPr>
        <w:t xml:space="preserve"> </w:t>
      </w:r>
      <w:r w:rsidRPr="000977F7">
        <w:rPr>
          <w:rFonts w:asciiTheme="majorHAnsi" w:hAnsiTheme="majorHAnsi"/>
          <w:sz w:val="20"/>
          <w:szCs w:val="20"/>
        </w:rPr>
        <w:t>придатного</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47"/>
          <w:sz w:val="20"/>
          <w:szCs w:val="20"/>
        </w:rPr>
        <w:t xml:space="preserve"> </w:t>
      </w:r>
      <w:r w:rsidRPr="000977F7">
        <w:rPr>
          <w:rFonts w:asciiTheme="majorHAnsi" w:hAnsiTheme="majorHAnsi"/>
          <w:sz w:val="20"/>
          <w:szCs w:val="20"/>
        </w:rPr>
        <w:t>цільовим призначенням.</w:t>
      </w:r>
    </w:p>
    <w:p w14:paraId="21006DA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Особи, що володіють джерелами підвищеної екологічної небезпеки, зобов'язані компенсувати заподіяну шкоду громадянам та юридичним особам, якщо не</w:t>
      </w:r>
      <w:r w:rsidRPr="000977F7">
        <w:rPr>
          <w:rFonts w:asciiTheme="majorHAnsi" w:hAnsiTheme="majorHAnsi"/>
          <w:spacing w:val="1"/>
          <w:sz w:val="20"/>
          <w:szCs w:val="20"/>
        </w:rPr>
        <w:t xml:space="preserve"> </w:t>
      </w:r>
      <w:r w:rsidRPr="000977F7">
        <w:rPr>
          <w:rFonts w:asciiTheme="majorHAnsi" w:hAnsiTheme="majorHAnsi"/>
          <w:sz w:val="20"/>
          <w:szCs w:val="20"/>
        </w:rPr>
        <w:t>доведуть,</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шкода</w:t>
      </w:r>
      <w:r w:rsidRPr="000977F7">
        <w:rPr>
          <w:rFonts w:asciiTheme="majorHAnsi" w:hAnsiTheme="majorHAnsi"/>
          <w:spacing w:val="1"/>
          <w:sz w:val="20"/>
          <w:szCs w:val="20"/>
        </w:rPr>
        <w:t xml:space="preserve"> </w:t>
      </w:r>
      <w:r w:rsidRPr="000977F7">
        <w:rPr>
          <w:rFonts w:asciiTheme="majorHAnsi" w:hAnsiTheme="majorHAnsi"/>
          <w:sz w:val="20"/>
          <w:szCs w:val="20"/>
        </w:rPr>
        <w:t>виникла</w:t>
      </w:r>
      <w:r w:rsidRPr="000977F7">
        <w:rPr>
          <w:rFonts w:asciiTheme="majorHAnsi" w:hAnsiTheme="majorHAnsi"/>
          <w:spacing w:val="1"/>
          <w:sz w:val="20"/>
          <w:szCs w:val="20"/>
        </w:rPr>
        <w:t xml:space="preserve"> </w:t>
      </w:r>
      <w:r w:rsidRPr="000977F7">
        <w:rPr>
          <w:rFonts w:asciiTheme="majorHAnsi" w:hAnsiTheme="majorHAnsi"/>
          <w:sz w:val="20"/>
          <w:szCs w:val="20"/>
        </w:rPr>
        <w:t>внаслідок</w:t>
      </w:r>
      <w:r w:rsidRPr="000977F7">
        <w:rPr>
          <w:rFonts w:asciiTheme="majorHAnsi" w:hAnsiTheme="majorHAnsi"/>
          <w:spacing w:val="1"/>
          <w:sz w:val="20"/>
          <w:szCs w:val="20"/>
        </w:rPr>
        <w:t xml:space="preserve"> </w:t>
      </w:r>
      <w:r w:rsidRPr="000977F7">
        <w:rPr>
          <w:rFonts w:asciiTheme="majorHAnsi" w:hAnsiTheme="majorHAnsi"/>
          <w:sz w:val="20"/>
          <w:szCs w:val="20"/>
        </w:rPr>
        <w:t>стихійних</w:t>
      </w:r>
      <w:r w:rsidRPr="000977F7">
        <w:rPr>
          <w:rFonts w:asciiTheme="majorHAnsi" w:hAnsiTheme="majorHAnsi"/>
          <w:spacing w:val="1"/>
          <w:sz w:val="20"/>
          <w:szCs w:val="20"/>
        </w:rPr>
        <w:t xml:space="preserve"> </w:t>
      </w:r>
      <w:r w:rsidRPr="000977F7">
        <w:rPr>
          <w:rFonts w:asciiTheme="majorHAnsi" w:hAnsiTheme="majorHAnsi"/>
          <w:sz w:val="20"/>
          <w:szCs w:val="20"/>
        </w:rPr>
        <w:t>природних</w:t>
      </w:r>
      <w:r w:rsidRPr="000977F7">
        <w:rPr>
          <w:rFonts w:asciiTheme="majorHAnsi" w:hAnsiTheme="majorHAnsi"/>
          <w:spacing w:val="-1"/>
          <w:sz w:val="20"/>
          <w:szCs w:val="20"/>
        </w:rPr>
        <w:t xml:space="preserve"> </w:t>
      </w:r>
      <w:r w:rsidRPr="000977F7">
        <w:rPr>
          <w:rFonts w:asciiTheme="majorHAnsi" w:hAnsiTheme="majorHAnsi"/>
          <w:sz w:val="20"/>
          <w:szCs w:val="20"/>
        </w:rPr>
        <w:t>явищ</w:t>
      </w:r>
      <w:r w:rsidRPr="000977F7">
        <w:rPr>
          <w:rFonts w:asciiTheme="majorHAnsi" w:hAnsiTheme="majorHAnsi"/>
          <w:spacing w:val="-1"/>
          <w:sz w:val="20"/>
          <w:szCs w:val="20"/>
        </w:rPr>
        <w:t xml:space="preserve"> </w:t>
      </w:r>
      <w:r w:rsidRPr="000977F7">
        <w:rPr>
          <w:rFonts w:asciiTheme="majorHAnsi" w:hAnsiTheme="majorHAnsi"/>
          <w:sz w:val="20"/>
          <w:szCs w:val="20"/>
        </w:rPr>
        <w:t>чи навмисних дій</w:t>
      </w:r>
      <w:r w:rsidRPr="000977F7">
        <w:rPr>
          <w:rFonts w:asciiTheme="majorHAnsi" w:hAnsiTheme="majorHAnsi"/>
          <w:spacing w:val="-1"/>
          <w:sz w:val="20"/>
          <w:szCs w:val="20"/>
        </w:rPr>
        <w:t xml:space="preserve"> </w:t>
      </w:r>
      <w:r w:rsidRPr="000977F7">
        <w:rPr>
          <w:rFonts w:asciiTheme="majorHAnsi" w:hAnsiTheme="majorHAnsi"/>
          <w:sz w:val="20"/>
          <w:szCs w:val="20"/>
        </w:rPr>
        <w:t>потерпілих.</w:t>
      </w:r>
    </w:p>
    <w:p w14:paraId="287BF3B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Шкода, заподіяна довкіллю у зв'язку з виконанням</w:t>
      </w:r>
      <w:r w:rsidRPr="000977F7">
        <w:rPr>
          <w:rFonts w:asciiTheme="majorHAnsi" w:hAnsiTheme="majorHAnsi"/>
          <w:spacing w:val="1"/>
          <w:sz w:val="20"/>
          <w:szCs w:val="20"/>
        </w:rPr>
        <w:t xml:space="preserve"> </w:t>
      </w:r>
      <w:r w:rsidRPr="000977F7">
        <w:rPr>
          <w:rFonts w:asciiTheme="majorHAnsi" w:hAnsiTheme="majorHAnsi"/>
          <w:sz w:val="20"/>
          <w:szCs w:val="20"/>
        </w:rPr>
        <w:t>угоди про розподіл продукції, підлягає відшкодуванню</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вимог</w:t>
      </w:r>
      <w:r w:rsidRPr="000977F7">
        <w:rPr>
          <w:rFonts w:asciiTheme="majorHAnsi" w:hAnsiTheme="majorHAnsi"/>
          <w:spacing w:val="1"/>
          <w:sz w:val="20"/>
          <w:szCs w:val="20"/>
        </w:rPr>
        <w:t xml:space="preserve"> </w:t>
      </w:r>
      <w:r w:rsidRPr="000977F7">
        <w:rPr>
          <w:rFonts w:asciiTheme="majorHAnsi" w:hAnsiTheme="majorHAnsi"/>
          <w:sz w:val="20"/>
          <w:szCs w:val="20"/>
        </w:rPr>
        <w:t>статті</w:t>
      </w:r>
      <w:r w:rsidRPr="000977F7">
        <w:rPr>
          <w:rFonts w:asciiTheme="majorHAnsi" w:hAnsiTheme="majorHAnsi"/>
          <w:spacing w:val="1"/>
          <w:sz w:val="20"/>
          <w:szCs w:val="20"/>
        </w:rPr>
        <w:t xml:space="preserve"> </w:t>
      </w:r>
      <w:r w:rsidRPr="000977F7">
        <w:rPr>
          <w:rFonts w:asciiTheme="majorHAnsi" w:hAnsiTheme="majorHAnsi"/>
          <w:sz w:val="20"/>
          <w:szCs w:val="20"/>
        </w:rPr>
        <w:t>29</w:t>
      </w:r>
      <w:r w:rsidRPr="000977F7">
        <w:rPr>
          <w:rFonts w:asciiTheme="majorHAnsi" w:hAnsiTheme="majorHAnsi"/>
          <w:spacing w:val="1"/>
          <w:sz w:val="20"/>
          <w:szCs w:val="20"/>
        </w:rPr>
        <w:t xml:space="preserve"> </w:t>
      </w:r>
      <w:r w:rsidRPr="000977F7">
        <w:rPr>
          <w:rFonts w:asciiTheme="majorHAnsi" w:hAnsiTheme="majorHAnsi"/>
          <w:sz w:val="20"/>
          <w:szCs w:val="20"/>
        </w:rPr>
        <w:t>Закону</w:t>
      </w:r>
      <w:r w:rsidRPr="000977F7">
        <w:rPr>
          <w:rFonts w:asciiTheme="majorHAnsi" w:hAnsiTheme="majorHAnsi"/>
          <w:spacing w:val="50"/>
          <w:sz w:val="20"/>
          <w:szCs w:val="20"/>
        </w:rPr>
        <w:t xml:space="preserve"> </w:t>
      </w:r>
      <w:r w:rsidRPr="000977F7">
        <w:rPr>
          <w:rFonts w:asciiTheme="majorHAnsi" w:hAnsiTheme="majorHAnsi"/>
          <w:sz w:val="20"/>
          <w:szCs w:val="20"/>
        </w:rPr>
        <w:t>України</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2"/>
          <w:sz w:val="20"/>
          <w:szCs w:val="20"/>
        </w:rPr>
        <w:t xml:space="preserve"> </w:t>
      </w:r>
      <w:r w:rsidRPr="000977F7">
        <w:rPr>
          <w:rFonts w:asciiTheme="majorHAnsi" w:hAnsiTheme="majorHAnsi"/>
          <w:sz w:val="20"/>
          <w:szCs w:val="20"/>
        </w:rPr>
        <w:t>угоди</w:t>
      </w:r>
      <w:r w:rsidRPr="000977F7">
        <w:rPr>
          <w:rFonts w:asciiTheme="majorHAnsi" w:hAnsiTheme="majorHAnsi"/>
          <w:spacing w:val="-1"/>
          <w:sz w:val="20"/>
          <w:szCs w:val="20"/>
        </w:rPr>
        <w:t xml:space="preserve"> </w:t>
      </w:r>
      <w:r w:rsidRPr="000977F7">
        <w:rPr>
          <w:rFonts w:asciiTheme="majorHAnsi" w:hAnsiTheme="majorHAnsi"/>
          <w:sz w:val="20"/>
          <w:szCs w:val="20"/>
        </w:rPr>
        <w:t>про розподіл</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36418EF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bookmarkStart w:id="165" w:name="_Hlk103940316"/>
      <w:r w:rsidRPr="000977F7">
        <w:rPr>
          <w:rFonts w:asciiTheme="majorHAnsi" w:hAnsiTheme="majorHAnsi"/>
          <w:i/>
          <w:w w:val="95"/>
          <w:sz w:val="20"/>
          <w:szCs w:val="20"/>
        </w:rPr>
        <w:t>Ст. 69 закону України "Про охорону навколишнього природ</w:t>
      </w:r>
      <w:r w:rsidRPr="000977F7">
        <w:rPr>
          <w:rFonts w:asciiTheme="majorHAnsi" w:hAnsiTheme="majorHAnsi"/>
          <w:i/>
          <w:sz w:val="20"/>
          <w:szCs w:val="20"/>
        </w:rPr>
        <w:t>ного</w:t>
      </w:r>
      <w:r w:rsidRPr="000977F7">
        <w:rPr>
          <w:rFonts w:asciiTheme="majorHAnsi" w:hAnsiTheme="majorHAnsi"/>
          <w:i/>
          <w:spacing w:val="1"/>
          <w:sz w:val="20"/>
          <w:szCs w:val="20"/>
        </w:rPr>
        <w:t xml:space="preserve"> </w:t>
      </w:r>
      <w:r w:rsidRPr="000977F7">
        <w:rPr>
          <w:rFonts w:asciiTheme="majorHAnsi" w:hAnsiTheme="majorHAnsi"/>
          <w:i/>
          <w:sz w:val="20"/>
          <w:szCs w:val="20"/>
        </w:rPr>
        <w:t>середовища"</w:t>
      </w:r>
    </w:p>
    <w:bookmarkEnd w:id="165"/>
    <w:p w14:paraId="0C16919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ОФЕРТА</w:t>
      </w:r>
      <w:r w:rsidRPr="000977F7">
        <w:rPr>
          <w:color w:val="auto"/>
          <w:spacing w:val="-2"/>
          <w:sz w:val="20"/>
          <w:szCs w:val="20"/>
        </w:rPr>
        <w:t xml:space="preserve"> </w:t>
      </w:r>
      <w:r w:rsidRPr="000977F7">
        <w:rPr>
          <w:color w:val="auto"/>
          <w:sz w:val="20"/>
          <w:szCs w:val="20"/>
        </w:rPr>
        <w:t>–</w:t>
      </w:r>
    </w:p>
    <w:p w14:paraId="58DD25D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Формальна пропозиція однієї з сторін щодо укладання</w:t>
      </w:r>
      <w:r w:rsidRPr="000977F7">
        <w:rPr>
          <w:rFonts w:asciiTheme="majorHAnsi" w:hAnsiTheme="majorHAnsi"/>
          <w:spacing w:val="-47"/>
          <w:sz w:val="20"/>
          <w:szCs w:val="20"/>
        </w:rPr>
        <w:t xml:space="preserve"> </w:t>
      </w:r>
      <w:r w:rsidRPr="000977F7">
        <w:rPr>
          <w:rFonts w:asciiTheme="majorHAnsi" w:hAnsiTheme="majorHAnsi"/>
          <w:sz w:val="20"/>
          <w:szCs w:val="20"/>
        </w:rPr>
        <w:t>на певних умовах угоди з іншою стороною, яка містить необхідні</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цього</w:t>
      </w:r>
      <w:r w:rsidRPr="000977F7">
        <w:rPr>
          <w:rFonts w:asciiTheme="majorHAnsi" w:hAnsiTheme="majorHAnsi"/>
          <w:spacing w:val="2"/>
          <w:sz w:val="20"/>
          <w:szCs w:val="20"/>
        </w:rPr>
        <w:t xml:space="preserve"> </w:t>
      </w:r>
      <w:r w:rsidRPr="000977F7">
        <w:rPr>
          <w:rFonts w:asciiTheme="majorHAnsi" w:hAnsiTheme="majorHAnsi"/>
          <w:sz w:val="20"/>
          <w:szCs w:val="20"/>
        </w:rPr>
        <w:t>укладання</w:t>
      </w:r>
      <w:r w:rsidRPr="000977F7">
        <w:rPr>
          <w:rFonts w:asciiTheme="majorHAnsi" w:hAnsiTheme="majorHAnsi"/>
          <w:spacing w:val="1"/>
          <w:sz w:val="20"/>
          <w:szCs w:val="20"/>
        </w:rPr>
        <w:t xml:space="preserve"> </w:t>
      </w:r>
      <w:r w:rsidRPr="000977F7">
        <w:rPr>
          <w:rFonts w:asciiTheme="majorHAnsi" w:hAnsiTheme="majorHAnsi"/>
          <w:sz w:val="20"/>
          <w:szCs w:val="20"/>
        </w:rPr>
        <w:t>умови</w:t>
      </w:r>
    </w:p>
    <w:p w14:paraId="3701F2A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0C72EC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ОФЕРТНА</w:t>
      </w:r>
      <w:r w:rsidRPr="000977F7">
        <w:rPr>
          <w:color w:val="auto"/>
          <w:spacing w:val="-3"/>
          <w:sz w:val="20"/>
          <w:szCs w:val="20"/>
        </w:rPr>
        <w:t xml:space="preserve"> </w:t>
      </w:r>
      <w:r w:rsidRPr="000977F7">
        <w:rPr>
          <w:color w:val="auto"/>
          <w:sz w:val="20"/>
          <w:szCs w:val="20"/>
        </w:rPr>
        <w:t>ЦІНА</w:t>
      </w:r>
      <w:r w:rsidRPr="000977F7">
        <w:rPr>
          <w:color w:val="auto"/>
          <w:spacing w:val="-1"/>
          <w:sz w:val="20"/>
          <w:szCs w:val="20"/>
        </w:rPr>
        <w:t xml:space="preserve"> </w:t>
      </w:r>
      <w:r w:rsidRPr="000977F7">
        <w:rPr>
          <w:color w:val="auto"/>
          <w:sz w:val="20"/>
          <w:szCs w:val="20"/>
        </w:rPr>
        <w:t>–</w:t>
      </w:r>
    </w:p>
    <w:p w14:paraId="5459C1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Первісна ціна, за якою організація пропонує для продажу</w:t>
      </w:r>
      <w:r w:rsidRPr="000977F7">
        <w:rPr>
          <w:rFonts w:asciiTheme="majorHAnsi" w:hAnsiTheme="majorHAnsi"/>
          <w:spacing w:val="-5"/>
          <w:sz w:val="20"/>
          <w:szCs w:val="20"/>
        </w:rPr>
        <w:t xml:space="preserve"> </w:t>
      </w:r>
      <w:r w:rsidRPr="000977F7">
        <w:rPr>
          <w:rFonts w:asciiTheme="majorHAnsi" w:hAnsiTheme="majorHAnsi"/>
          <w:sz w:val="20"/>
          <w:szCs w:val="20"/>
        </w:rPr>
        <w:t>свої</w:t>
      </w:r>
      <w:r w:rsidRPr="000977F7">
        <w:rPr>
          <w:rFonts w:asciiTheme="majorHAnsi" w:hAnsiTheme="majorHAnsi"/>
          <w:spacing w:val="-1"/>
          <w:sz w:val="20"/>
          <w:szCs w:val="20"/>
        </w:rPr>
        <w:t xml:space="preserve"> </w:t>
      </w:r>
      <w:r w:rsidRPr="000977F7">
        <w:rPr>
          <w:rFonts w:asciiTheme="majorHAnsi" w:hAnsiTheme="majorHAnsi"/>
          <w:sz w:val="20"/>
          <w:szCs w:val="20"/>
        </w:rPr>
        <w:t>товари</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3"/>
          <w:sz w:val="20"/>
          <w:szCs w:val="20"/>
        </w:rPr>
        <w:t xml:space="preserve"> </w:t>
      </w:r>
      <w:r w:rsidRPr="000977F7">
        <w:rPr>
          <w:rFonts w:asciiTheme="majorHAnsi" w:hAnsiTheme="majorHAnsi"/>
          <w:sz w:val="20"/>
          <w:szCs w:val="20"/>
        </w:rPr>
        <w:t>послуги</w:t>
      </w:r>
    </w:p>
    <w:p w14:paraId="126EF8A8" w14:textId="77777777" w:rsidR="0097612F"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A6F6ECA" w14:textId="77777777" w:rsidR="00C10197" w:rsidRPr="000977F7" w:rsidRDefault="00C10197" w:rsidP="00C10197">
      <w:pPr>
        <w:pStyle w:val="7"/>
        <w:tabs>
          <w:tab w:val="left" w:pos="284"/>
        </w:tabs>
        <w:spacing w:before="0" w:line="240" w:lineRule="auto"/>
        <w:ind w:left="170"/>
        <w:mirrorIndents/>
        <w:jc w:val="both"/>
        <w:rPr>
          <w:color w:val="auto"/>
          <w:sz w:val="20"/>
          <w:szCs w:val="20"/>
        </w:rPr>
      </w:pPr>
      <w:r w:rsidRPr="000977F7">
        <w:rPr>
          <w:color w:val="auto"/>
          <w:sz w:val="20"/>
          <w:szCs w:val="20"/>
        </w:rPr>
        <w:t>ОФІСНЕ ПРИМІЩЕННЯ –</w:t>
      </w:r>
    </w:p>
    <w:p w14:paraId="4FFA1DD7" w14:textId="77777777" w:rsidR="00C10197" w:rsidRPr="000977F7" w:rsidRDefault="00C10197" w:rsidP="00C1019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Офісне приміщення будь-яке приміщення (будівля тощо), в якому знаходиться суб'єкт господарювання або його філія, або його структурний підрозділ, або представництво</w:t>
      </w:r>
    </w:p>
    <w:p w14:paraId="62355CF9" w14:textId="49578E82" w:rsidR="00C10197" w:rsidRPr="000977F7" w:rsidRDefault="00C10197" w:rsidP="00C10197">
      <w:pPr>
        <w:tabs>
          <w:tab w:val="left" w:pos="284"/>
        </w:tabs>
        <w:spacing w:after="0" w:line="240" w:lineRule="auto"/>
        <w:ind w:left="170"/>
        <w:mirrorIndents/>
        <w:jc w:val="both"/>
        <w:rPr>
          <w:rFonts w:asciiTheme="majorHAnsi" w:hAnsiTheme="majorHAnsi"/>
          <w:i/>
          <w:sz w:val="20"/>
          <w:szCs w:val="20"/>
        </w:rPr>
      </w:pPr>
      <w:r w:rsidRPr="000977F7">
        <w:rPr>
          <w:b/>
          <w:bCs/>
          <w:i/>
          <w:iCs/>
          <w:sz w:val="20"/>
          <w:szCs w:val="20"/>
        </w:rPr>
        <w:t>Закон України "Про захист прав споживачів"</w:t>
      </w:r>
    </w:p>
    <w:p w14:paraId="3BC4BD9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ОФОРМЛЕННЯ ТЕХНОЛОГІЧНОГО </w:t>
      </w:r>
    </w:p>
    <w:p w14:paraId="05AAB34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ДОКУМЕ</w:t>
      </w:r>
      <w:r w:rsidRPr="000977F7">
        <w:rPr>
          <w:color w:val="auto"/>
          <w:spacing w:val="-48"/>
          <w:sz w:val="20"/>
          <w:szCs w:val="20"/>
        </w:rPr>
        <w:t xml:space="preserve"> </w:t>
      </w:r>
      <w:r w:rsidRPr="000977F7">
        <w:rPr>
          <w:color w:val="auto"/>
          <w:sz w:val="20"/>
          <w:szCs w:val="20"/>
        </w:rPr>
        <w:t>НТА–</w:t>
      </w:r>
    </w:p>
    <w:p w14:paraId="00ABBD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 процедур, необхідних для підготовлення та</w:t>
      </w:r>
      <w:r w:rsidRPr="000977F7">
        <w:rPr>
          <w:rFonts w:asciiTheme="majorHAnsi" w:hAnsiTheme="majorHAnsi"/>
          <w:spacing w:val="1"/>
          <w:sz w:val="20"/>
          <w:szCs w:val="20"/>
        </w:rPr>
        <w:t xml:space="preserve"> </w:t>
      </w:r>
      <w:r w:rsidRPr="000977F7">
        <w:rPr>
          <w:rFonts w:asciiTheme="majorHAnsi" w:hAnsiTheme="majorHAnsi"/>
          <w:sz w:val="20"/>
          <w:szCs w:val="20"/>
        </w:rPr>
        <w:t>затвердження</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документа</w:t>
      </w:r>
      <w:r w:rsidRPr="000977F7">
        <w:rPr>
          <w:rFonts w:asciiTheme="majorHAnsi" w:hAnsiTheme="majorHAnsi"/>
          <w:spacing w:val="50"/>
          <w:sz w:val="20"/>
          <w:szCs w:val="20"/>
        </w:rPr>
        <w:t xml:space="preserve"> </w:t>
      </w:r>
      <w:r w:rsidRPr="000977F7">
        <w:rPr>
          <w:rFonts w:asciiTheme="majorHAnsi" w:hAnsiTheme="majorHAnsi"/>
          <w:sz w:val="20"/>
          <w:szCs w:val="20"/>
        </w:rPr>
        <w:t>відповідно</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порядку,</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встановленого</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підприємстві</w:t>
      </w:r>
    </w:p>
    <w:p w14:paraId="579384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141429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 підготовлення документа належать його підписання,</w:t>
      </w:r>
      <w:r w:rsidRPr="000977F7">
        <w:rPr>
          <w:rFonts w:asciiTheme="majorHAnsi" w:hAnsiTheme="majorHAnsi"/>
          <w:spacing w:val="1"/>
          <w:sz w:val="20"/>
          <w:szCs w:val="20"/>
        </w:rPr>
        <w:t xml:space="preserve"> </w:t>
      </w:r>
      <w:r w:rsidRPr="000977F7">
        <w:rPr>
          <w:rFonts w:asciiTheme="majorHAnsi" w:hAnsiTheme="majorHAnsi"/>
          <w:sz w:val="20"/>
          <w:szCs w:val="20"/>
        </w:rPr>
        <w:t>узгодження</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4FA4037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622645B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166" w:name="_Hlk103940416"/>
      <w:r w:rsidRPr="000977F7">
        <w:rPr>
          <w:color w:val="auto"/>
          <w:sz w:val="20"/>
          <w:szCs w:val="20"/>
        </w:rPr>
        <w:t>ОХОРОНА НАВКОЛИШНЬОГО ПРИРОДНОГО</w:t>
      </w:r>
      <w:r w:rsidRPr="000977F7">
        <w:rPr>
          <w:color w:val="auto"/>
          <w:spacing w:val="-47"/>
          <w:sz w:val="20"/>
          <w:szCs w:val="20"/>
        </w:rPr>
        <w:t xml:space="preserve"> </w:t>
      </w:r>
      <w:r w:rsidRPr="000977F7">
        <w:rPr>
          <w:color w:val="auto"/>
          <w:sz w:val="20"/>
          <w:szCs w:val="20"/>
        </w:rPr>
        <w:t>СЕРЕДОВИЩА –</w:t>
      </w:r>
    </w:p>
    <w:bookmarkEnd w:id="166"/>
    <w:p w14:paraId="714E95D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Комплекс</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міжнародних,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державних,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регіональних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заходів (адміністративних, господарських, політичних</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та громадських) щодо підтримування параметрів функціонування природних систем (фізичних, хімічних 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біологічних) в межах, 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забезпечують здоров’я 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добробут людини</w:t>
      </w:r>
    </w:p>
    <w:p w14:paraId="6ED730B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lang w:eastAsia="ru-RU"/>
        </w:rPr>
        <w:t xml:space="preserve">ОХОРОНА </w:t>
      </w:r>
      <w:r w:rsidRPr="000977F7">
        <w:rPr>
          <w:color w:val="auto"/>
          <w:sz w:val="20"/>
          <w:szCs w:val="20"/>
        </w:rPr>
        <w:t>НАВКОЛИШНЬОГО ПРИРОДНОГО</w:t>
      </w:r>
      <w:r w:rsidRPr="000977F7">
        <w:rPr>
          <w:color w:val="auto"/>
          <w:spacing w:val="-47"/>
          <w:sz w:val="20"/>
          <w:szCs w:val="20"/>
        </w:rPr>
        <w:t xml:space="preserve"> </w:t>
      </w:r>
      <w:r w:rsidRPr="000977F7">
        <w:rPr>
          <w:color w:val="auto"/>
          <w:sz w:val="20"/>
          <w:szCs w:val="20"/>
        </w:rPr>
        <w:t>СЕРЕДОВИЩА ВІД АКУСТИЧНОГО, ЕЛЕКТРОМАГНІТНОГО, ІОНІЗУЮЧОГО ТА ІНШОГО ШКІДЛИВОГО ВПЛИВУ ФІЗИЧНИХ ФАКТОРІВ ТА РАДІОАКТИВНОГО ЗАБРУДНЕННЯ –</w:t>
      </w:r>
      <w:bookmarkStart w:id="167" w:name="n637"/>
      <w:bookmarkEnd w:id="167"/>
    </w:p>
    <w:p w14:paraId="5074038A"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lang w:eastAsia="ru-RU"/>
        </w:rPr>
      </w:pPr>
      <w:r w:rsidRPr="000977F7">
        <w:rPr>
          <w:b w:val="0"/>
          <w:bCs/>
          <w:color w:val="auto"/>
          <w:sz w:val="20"/>
          <w:szCs w:val="20"/>
          <w:lang w:eastAsia="ru-RU"/>
        </w:rPr>
        <w:t>Місцеві ради, підприємства, установи, організації та громадяни при здійсненні своєї діяльності зобов'язані вживати необхідних заходів щодо запобігання та недопущення перевищення встановлених рівнів акустичного, електромагнітного, іонізуючого та іншого шкідливого фізичного впливу на навколишнє природне середовище і здоров'я людини в населених пунктах, рекреаційних і заповідних зонах, а також в місцях масового скупчення і розмноження диких тварин.</w:t>
      </w:r>
    </w:p>
    <w:p w14:paraId="0DB8AE1C" w14:textId="77777777" w:rsidR="0097612F" w:rsidRPr="004D2D14"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val="uk-UA" w:eastAsia="ru-RU"/>
        </w:rPr>
      </w:pPr>
      <w:bookmarkStart w:id="168" w:name="n638"/>
      <w:bookmarkEnd w:id="168"/>
      <w:r w:rsidRPr="004D2D14">
        <w:rPr>
          <w:rFonts w:asciiTheme="majorHAnsi" w:hAnsiTheme="majorHAnsi"/>
          <w:sz w:val="20"/>
          <w:szCs w:val="20"/>
          <w:lang w:val="uk-UA" w:eastAsia="ru-RU"/>
        </w:rPr>
        <w:t>Підприємства, установи та організації, що здійснюють господарську чи іншу діяльність, пов'язану з використанням радіоактивних речовин у різних формах і з будь-якою метою, зобов'язані забезпечувати екологічну безпеку цієї діяльності, що виключала б можливість радіоактивного забруднення навколишнього природного середовища та негативного впливу на здоров'я людей у процесі видобутку, збагачення, транспортування, переробки, використання та захоронення радіоактивних речовин.</w:t>
      </w:r>
    </w:p>
    <w:p w14:paraId="00FC2E02"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w w:val="95"/>
          <w:sz w:val="20"/>
          <w:szCs w:val="20"/>
        </w:rPr>
        <w:t>Ст. 54 закону України "Про охорону навколишнього природ</w:t>
      </w:r>
      <w:r w:rsidRPr="000977F7">
        <w:rPr>
          <w:rFonts w:asciiTheme="majorHAnsi" w:hAnsiTheme="majorHAnsi"/>
          <w:i/>
          <w:sz w:val="20"/>
          <w:szCs w:val="20"/>
        </w:rPr>
        <w:t>ного</w:t>
      </w:r>
      <w:r w:rsidRPr="000977F7">
        <w:rPr>
          <w:rFonts w:asciiTheme="majorHAnsi" w:hAnsiTheme="majorHAnsi"/>
          <w:i/>
          <w:spacing w:val="1"/>
          <w:sz w:val="20"/>
          <w:szCs w:val="20"/>
        </w:rPr>
        <w:t xml:space="preserve"> </w:t>
      </w:r>
      <w:r w:rsidRPr="000977F7">
        <w:rPr>
          <w:rFonts w:asciiTheme="majorHAnsi" w:hAnsiTheme="majorHAnsi"/>
          <w:i/>
          <w:sz w:val="20"/>
          <w:szCs w:val="20"/>
        </w:rPr>
        <w:t>середовища"</w:t>
      </w:r>
    </w:p>
    <w:p w14:paraId="657DC14A" w14:textId="77777777" w:rsidR="0097612F" w:rsidRPr="000977F7" w:rsidRDefault="0097612F" w:rsidP="000977F7">
      <w:pPr>
        <w:pStyle w:val="7"/>
        <w:tabs>
          <w:tab w:val="left" w:pos="284"/>
          <w:tab w:val="left" w:pos="2440"/>
          <w:tab w:val="left" w:pos="3448"/>
        </w:tabs>
        <w:spacing w:before="0" w:line="240" w:lineRule="auto"/>
        <w:ind w:left="170"/>
        <w:mirrorIndents/>
        <w:jc w:val="both"/>
        <w:rPr>
          <w:color w:val="auto"/>
          <w:sz w:val="20"/>
          <w:szCs w:val="20"/>
        </w:rPr>
      </w:pPr>
      <w:r w:rsidRPr="000977F7">
        <w:rPr>
          <w:color w:val="auto"/>
          <w:sz w:val="20"/>
          <w:szCs w:val="20"/>
        </w:rPr>
        <w:t>ОХОРОНА</w:t>
      </w:r>
      <w:r w:rsidRPr="000977F7">
        <w:rPr>
          <w:color w:val="auto"/>
          <w:spacing w:val="1"/>
          <w:sz w:val="20"/>
          <w:szCs w:val="20"/>
        </w:rPr>
        <w:t xml:space="preserve"> </w:t>
      </w:r>
      <w:r w:rsidRPr="000977F7">
        <w:rPr>
          <w:color w:val="auto"/>
          <w:sz w:val="20"/>
          <w:szCs w:val="20"/>
        </w:rPr>
        <w:t>НАВКОЛИШНЬОГО</w:t>
      </w:r>
      <w:r w:rsidRPr="000977F7">
        <w:rPr>
          <w:color w:val="auto"/>
          <w:spacing w:val="1"/>
          <w:sz w:val="20"/>
          <w:szCs w:val="20"/>
        </w:rPr>
        <w:t xml:space="preserve"> </w:t>
      </w:r>
      <w:r w:rsidRPr="000977F7">
        <w:rPr>
          <w:color w:val="auto"/>
          <w:sz w:val="20"/>
          <w:szCs w:val="20"/>
        </w:rPr>
        <w:t>ПРИРОДНОГО</w:t>
      </w:r>
      <w:r w:rsidRPr="000977F7">
        <w:rPr>
          <w:color w:val="auto"/>
          <w:spacing w:val="-47"/>
          <w:sz w:val="20"/>
          <w:szCs w:val="20"/>
        </w:rPr>
        <w:t xml:space="preserve"> </w:t>
      </w:r>
      <w:r w:rsidRPr="000977F7">
        <w:rPr>
          <w:color w:val="auto"/>
          <w:sz w:val="20"/>
          <w:szCs w:val="20"/>
        </w:rPr>
        <w:t xml:space="preserve">СЕРЕДОВИЩА ВІД </w:t>
      </w:r>
      <w:r w:rsidRPr="000977F7">
        <w:rPr>
          <w:color w:val="auto"/>
          <w:spacing w:val="-1"/>
          <w:sz w:val="20"/>
          <w:szCs w:val="20"/>
        </w:rPr>
        <w:t xml:space="preserve">ЗАБРУДНЕННЯ </w:t>
      </w:r>
      <w:r w:rsidRPr="000977F7">
        <w:rPr>
          <w:color w:val="auto"/>
          <w:spacing w:val="-48"/>
          <w:sz w:val="20"/>
          <w:szCs w:val="20"/>
        </w:rPr>
        <w:t xml:space="preserve"> </w:t>
      </w:r>
      <w:r w:rsidRPr="000977F7">
        <w:rPr>
          <w:color w:val="auto"/>
          <w:sz w:val="20"/>
          <w:szCs w:val="20"/>
        </w:rPr>
        <w:t>ВІДХОДАМИ –</w:t>
      </w:r>
    </w:p>
    <w:p w14:paraId="246D276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Суб'єкти права власності на відходи повинні вживати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ефективних заходів для зменшення обсягів утворення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відходів, а також для їх утилізації, знешкодження 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розміщення.</w:t>
      </w:r>
    </w:p>
    <w:p w14:paraId="0A8E42F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Здійснення операцій у сфері поводження з відходами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дозволяється лише за наявності дозволу на здійснення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операцій у сфері поводження з відходами на визначених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місцевими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радами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територіях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додержанням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санітарних та екологічних норм у спосіб, що забезпечує можливість подальшого використання відходів як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вторинної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сировини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безпеку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навколишнього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природного середовища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 здоров’я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людей.</w:t>
      </w:r>
    </w:p>
    <w:p w14:paraId="0EAC94D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55 закону України</w:t>
      </w:r>
      <w:r w:rsidRPr="000977F7">
        <w:rPr>
          <w:rFonts w:asciiTheme="majorHAnsi" w:hAnsiTheme="majorHAnsi"/>
          <w:i/>
          <w:spacing w:val="1"/>
          <w:sz w:val="20"/>
          <w:szCs w:val="20"/>
        </w:rPr>
        <w:t xml:space="preserve"> "</w:t>
      </w:r>
      <w:r w:rsidRPr="000977F7">
        <w:rPr>
          <w:rFonts w:asciiTheme="majorHAnsi" w:hAnsiTheme="majorHAnsi"/>
          <w:i/>
          <w:sz w:val="20"/>
          <w:szCs w:val="20"/>
        </w:rPr>
        <w:t>Про охорону навколишнього природного середовища"</w:t>
      </w:r>
    </w:p>
    <w:p w14:paraId="0DD6C70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bookmarkStart w:id="169" w:name="_Hlk102585928"/>
      <w:r w:rsidRPr="000977F7">
        <w:rPr>
          <w:rFonts w:asciiTheme="majorHAnsi" w:hAnsiTheme="majorHAnsi"/>
          <w:b/>
          <w:w w:val="95"/>
          <w:sz w:val="20"/>
          <w:szCs w:val="20"/>
        </w:rPr>
        <w:lastRenderedPageBreak/>
        <w:t>ОХОРОНА</w:t>
      </w:r>
      <w:r w:rsidRPr="000977F7">
        <w:rPr>
          <w:rFonts w:asciiTheme="majorHAnsi" w:hAnsiTheme="majorHAnsi"/>
          <w:b/>
          <w:spacing w:val="1"/>
          <w:w w:val="95"/>
          <w:sz w:val="20"/>
          <w:szCs w:val="20"/>
        </w:rPr>
        <w:t xml:space="preserve"> </w:t>
      </w:r>
      <w:r w:rsidRPr="000977F7">
        <w:rPr>
          <w:rFonts w:asciiTheme="majorHAnsi" w:hAnsiTheme="majorHAnsi"/>
          <w:b/>
          <w:w w:val="95"/>
          <w:sz w:val="20"/>
          <w:szCs w:val="20"/>
        </w:rPr>
        <w:t xml:space="preserve">НАВКОЛИШНЬОГО СЕРЕДОВИЩА </w:t>
      </w:r>
      <w:r w:rsidRPr="000977F7">
        <w:rPr>
          <w:rFonts w:asciiTheme="majorHAnsi" w:hAnsiTheme="majorHAnsi"/>
          <w:w w:val="95"/>
          <w:sz w:val="20"/>
          <w:szCs w:val="20"/>
        </w:rPr>
        <w:t>–</w:t>
      </w:r>
      <w:r w:rsidRPr="000977F7">
        <w:rPr>
          <w:rFonts w:asciiTheme="majorHAnsi" w:hAnsiTheme="majorHAnsi"/>
          <w:spacing w:val="1"/>
          <w:w w:val="95"/>
          <w:sz w:val="20"/>
          <w:szCs w:val="20"/>
        </w:rPr>
        <w:t xml:space="preserve"> </w:t>
      </w:r>
      <w:r w:rsidRPr="000977F7">
        <w:rPr>
          <w:rFonts w:asciiTheme="majorHAnsi" w:hAnsiTheme="majorHAnsi"/>
          <w:sz w:val="20"/>
          <w:szCs w:val="20"/>
        </w:rPr>
        <w:t>PROTEСTION</w:t>
      </w:r>
      <w:r w:rsidRPr="000977F7">
        <w:rPr>
          <w:rFonts w:asciiTheme="majorHAnsi" w:hAnsiTheme="majorHAnsi"/>
          <w:spacing w:val="48"/>
          <w:sz w:val="20"/>
          <w:szCs w:val="20"/>
        </w:rPr>
        <w:t xml:space="preserve"> </w:t>
      </w:r>
      <w:r w:rsidRPr="000977F7">
        <w:rPr>
          <w:rFonts w:asciiTheme="majorHAnsi" w:hAnsiTheme="majorHAnsi"/>
          <w:sz w:val="20"/>
          <w:szCs w:val="20"/>
        </w:rPr>
        <w:t>OF</w:t>
      </w:r>
      <w:r w:rsidRPr="000977F7">
        <w:rPr>
          <w:rFonts w:asciiTheme="majorHAnsi" w:hAnsiTheme="majorHAnsi"/>
          <w:spacing w:val="-1"/>
          <w:sz w:val="20"/>
          <w:szCs w:val="20"/>
        </w:rPr>
        <w:t xml:space="preserve"> </w:t>
      </w:r>
      <w:r w:rsidRPr="000977F7">
        <w:rPr>
          <w:rFonts w:asciiTheme="majorHAnsi" w:hAnsiTheme="majorHAnsi"/>
          <w:sz w:val="20"/>
          <w:szCs w:val="20"/>
        </w:rPr>
        <w:t>THE</w:t>
      </w:r>
      <w:r w:rsidRPr="000977F7">
        <w:rPr>
          <w:rFonts w:asciiTheme="majorHAnsi" w:hAnsiTheme="majorHAnsi"/>
          <w:spacing w:val="-2"/>
          <w:sz w:val="20"/>
          <w:szCs w:val="20"/>
        </w:rPr>
        <w:t xml:space="preserve"> </w:t>
      </w:r>
      <w:r w:rsidRPr="000977F7">
        <w:rPr>
          <w:rFonts w:asciiTheme="majorHAnsi" w:hAnsiTheme="majorHAnsi"/>
          <w:sz w:val="20"/>
          <w:szCs w:val="20"/>
        </w:rPr>
        <w:t>ENVIRONMENT -</w:t>
      </w:r>
    </w:p>
    <w:bookmarkEnd w:id="169"/>
    <w:p w14:paraId="039E705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Захист навколишнього середовища від несприятливого впливу</w:t>
      </w:r>
      <w:r w:rsidRPr="000977F7">
        <w:rPr>
          <w:rFonts w:asciiTheme="majorHAnsi" w:hAnsiTheme="majorHAnsi"/>
          <w:spacing w:val="-2"/>
          <w:sz w:val="20"/>
          <w:szCs w:val="20"/>
        </w:rPr>
        <w:t xml:space="preserve"> </w:t>
      </w:r>
      <w:r w:rsidRPr="000977F7">
        <w:rPr>
          <w:rFonts w:asciiTheme="majorHAnsi" w:hAnsiTheme="majorHAnsi"/>
          <w:sz w:val="20"/>
          <w:szCs w:val="20"/>
        </w:rPr>
        <w:t>продукції, процесів</w:t>
      </w:r>
      <w:r w:rsidRPr="000977F7">
        <w:rPr>
          <w:rFonts w:asciiTheme="majorHAnsi" w:hAnsiTheme="majorHAnsi"/>
          <w:spacing w:val="-2"/>
          <w:sz w:val="20"/>
          <w:szCs w:val="20"/>
        </w:rPr>
        <w:t xml:space="preserve"> </w:t>
      </w:r>
      <w:r w:rsidRPr="000977F7">
        <w:rPr>
          <w:rFonts w:asciiTheme="majorHAnsi" w:hAnsiTheme="majorHAnsi"/>
          <w:sz w:val="20"/>
          <w:szCs w:val="20"/>
        </w:rPr>
        <w:t>і послуг</w:t>
      </w:r>
    </w:p>
    <w:p w14:paraId="7047E1A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ОЦІНЕНА</w:t>
      </w:r>
      <w:r w:rsidRPr="000977F7">
        <w:rPr>
          <w:color w:val="auto"/>
          <w:spacing w:val="43"/>
          <w:sz w:val="20"/>
          <w:szCs w:val="20"/>
        </w:rPr>
        <w:t xml:space="preserve"> </w:t>
      </w:r>
      <w:r w:rsidRPr="000977F7">
        <w:rPr>
          <w:color w:val="auto"/>
          <w:sz w:val="20"/>
          <w:szCs w:val="20"/>
        </w:rPr>
        <w:t>ІНТЕНСИВНІСТЬ</w:t>
      </w:r>
      <w:r w:rsidRPr="000977F7">
        <w:rPr>
          <w:color w:val="auto"/>
          <w:spacing w:val="-3"/>
          <w:sz w:val="20"/>
          <w:szCs w:val="20"/>
        </w:rPr>
        <w:t xml:space="preserve"> </w:t>
      </w:r>
      <w:r w:rsidRPr="000977F7">
        <w:rPr>
          <w:color w:val="auto"/>
          <w:sz w:val="20"/>
          <w:szCs w:val="20"/>
        </w:rPr>
        <w:t>ВІДМОВ</w:t>
      </w:r>
      <w:r w:rsidRPr="000977F7">
        <w:rPr>
          <w:color w:val="auto"/>
          <w:spacing w:val="1"/>
          <w:sz w:val="20"/>
          <w:szCs w:val="20"/>
        </w:rPr>
        <w:t xml:space="preserve"> </w:t>
      </w:r>
      <w:r w:rsidRPr="000977F7">
        <w:rPr>
          <w:color w:val="auto"/>
          <w:sz w:val="20"/>
          <w:szCs w:val="20"/>
        </w:rPr>
        <w:t>-</w:t>
      </w:r>
    </w:p>
    <w:p w14:paraId="10A820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ASSESSЕD</w:t>
      </w:r>
      <w:r w:rsidRPr="000977F7">
        <w:rPr>
          <w:rFonts w:asciiTheme="majorHAnsi" w:hAnsiTheme="majorHAnsi"/>
          <w:spacing w:val="44"/>
          <w:sz w:val="20"/>
          <w:szCs w:val="20"/>
        </w:rPr>
        <w:t xml:space="preserve"> </w:t>
      </w:r>
      <w:r w:rsidRPr="000977F7">
        <w:rPr>
          <w:rFonts w:asciiTheme="majorHAnsi" w:hAnsiTheme="majorHAnsi"/>
          <w:sz w:val="20"/>
          <w:szCs w:val="20"/>
        </w:rPr>
        <w:t>FAILURE</w:t>
      </w:r>
      <w:r w:rsidRPr="000977F7">
        <w:rPr>
          <w:rFonts w:asciiTheme="majorHAnsi" w:hAnsiTheme="majorHAnsi"/>
          <w:spacing w:val="45"/>
          <w:sz w:val="20"/>
          <w:szCs w:val="20"/>
        </w:rPr>
        <w:t xml:space="preserve"> </w:t>
      </w:r>
      <w:r w:rsidRPr="000977F7">
        <w:rPr>
          <w:rFonts w:asciiTheme="majorHAnsi" w:hAnsiTheme="majorHAnsi"/>
          <w:sz w:val="20"/>
          <w:szCs w:val="20"/>
        </w:rPr>
        <w:t>RATE -</w:t>
      </w:r>
    </w:p>
    <w:p w14:paraId="1D05EC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Інтенсивність</w:t>
      </w:r>
      <w:r w:rsidRPr="000977F7">
        <w:rPr>
          <w:rFonts w:asciiTheme="majorHAnsi" w:hAnsiTheme="majorHAnsi"/>
          <w:spacing w:val="1"/>
          <w:sz w:val="20"/>
          <w:szCs w:val="20"/>
        </w:rPr>
        <w:t xml:space="preserve"> </w:t>
      </w:r>
      <w:r w:rsidRPr="000977F7">
        <w:rPr>
          <w:rFonts w:asciiTheme="majorHAnsi" w:hAnsiTheme="majorHAnsi"/>
          <w:sz w:val="20"/>
          <w:szCs w:val="20"/>
        </w:rPr>
        <w:t>відмов</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50"/>
          <w:sz w:val="20"/>
          <w:szCs w:val="20"/>
        </w:rPr>
        <w:t xml:space="preserve"> </w:t>
      </w:r>
      <w:r w:rsidRPr="000977F7">
        <w:rPr>
          <w:rFonts w:asciiTheme="majorHAnsi" w:hAnsiTheme="majorHAnsi"/>
          <w:sz w:val="20"/>
          <w:szCs w:val="20"/>
        </w:rPr>
        <w:t>визначена</w:t>
      </w:r>
      <w:r w:rsidRPr="000977F7">
        <w:rPr>
          <w:rFonts w:asciiTheme="majorHAnsi" w:hAnsiTheme="majorHAnsi"/>
          <w:spacing w:val="50"/>
          <w:sz w:val="20"/>
          <w:szCs w:val="20"/>
        </w:rPr>
        <w:t xml:space="preserve"> </w:t>
      </w:r>
      <w:r w:rsidRPr="000977F7">
        <w:rPr>
          <w:rFonts w:asciiTheme="majorHAnsi" w:hAnsiTheme="majorHAnsi"/>
          <w:sz w:val="20"/>
          <w:szCs w:val="20"/>
        </w:rPr>
        <w:t>границею</w:t>
      </w:r>
      <w:r w:rsidRPr="000977F7">
        <w:rPr>
          <w:rFonts w:asciiTheme="majorHAnsi" w:hAnsiTheme="majorHAnsi"/>
          <w:spacing w:val="1"/>
          <w:sz w:val="20"/>
          <w:szCs w:val="20"/>
        </w:rPr>
        <w:t xml:space="preserve"> </w:t>
      </w:r>
      <w:r w:rsidRPr="000977F7">
        <w:rPr>
          <w:rFonts w:asciiTheme="majorHAnsi" w:hAnsiTheme="majorHAnsi"/>
          <w:sz w:val="20"/>
          <w:szCs w:val="20"/>
        </w:rPr>
        <w:t>або границями довірчого інтервалу із заданим довірчим рівнем на підставі тих же даних спостережень за</w:t>
      </w:r>
      <w:r w:rsidRPr="000977F7">
        <w:rPr>
          <w:rFonts w:asciiTheme="majorHAnsi" w:hAnsiTheme="majorHAnsi"/>
          <w:spacing w:val="1"/>
          <w:sz w:val="20"/>
          <w:szCs w:val="20"/>
        </w:rPr>
        <w:t xml:space="preserve"> </w:t>
      </w:r>
      <w:r w:rsidRPr="000977F7">
        <w:rPr>
          <w:rFonts w:asciiTheme="majorHAnsi" w:hAnsiTheme="majorHAnsi"/>
          <w:sz w:val="20"/>
          <w:szCs w:val="20"/>
        </w:rPr>
        <w:t>номінально ідентичними виробами, що і спостережена</w:t>
      </w:r>
      <w:r w:rsidRPr="000977F7">
        <w:rPr>
          <w:rFonts w:asciiTheme="majorHAnsi" w:hAnsiTheme="majorHAnsi"/>
          <w:spacing w:val="49"/>
          <w:sz w:val="20"/>
          <w:szCs w:val="20"/>
        </w:rPr>
        <w:t xml:space="preserve"> </w:t>
      </w:r>
      <w:r w:rsidRPr="000977F7">
        <w:rPr>
          <w:rFonts w:asciiTheme="majorHAnsi" w:hAnsiTheme="majorHAnsi"/>
          <w:sz w:val="20"/>
          <w:szCs w:val="20"/>
        </w:rPr>
        <w:t>інтенсивність</w:t>
      </w:r>
      <w:r w:rsidRPr="000977F7">
        <w:rPr>
          <w:rFonts w:asciiTheme="majorHAnsi" w:hAnsiTheme="majorHAnsi"/>
          <w:spacing w:val="-1"/>
          <w:sz w:val="20"/>
          <w:szCs w:val="20"/>
        </w:rPr>
        <w:t xml:space="preserve"> </w:t>
      </w:r>
      <w:r w:rsidRPr="000977F7">
        <w:rPr>
          <w:rFonts w:asciiTheme="majorHAnsi" w:hAnsiTheme="majorHAnsi"/>
          <w:sz w:val="20"/>
          <w:szCs w:val="20"/>
        </w:rPr>
        <w:t>відмов</w:t>
      </w:r>
    </w:p>
    <w:p w14:paraId="075E9B8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3819808"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Слід</w:t>
      </w:r>
      <w:r w:rsidRPr="000977F7">
        <w:rPr>
          <w:rFonts w:asciiTheme="majorHAnsi" w:hAnsiTheme="majorHAnsi"/>
          <w:spacing w:val="6"/>
          <w:sz w:val="20"/>
          <w:szCs w:val="20"/>
        </w:rPr>
        <w:t xml:space="preserve"> </w:t>
      </w:r>
      <w:r w:rsidRPr="000977F7">
        <w:rPr>
          <w:rFonts w:asciiTheme="majorHAnsi" w:hAnsiTheme="majorHAnsi"/>
          <w:sz w:val="20"/>
          <w:szCs w:val="20"/>
        </w:rPr>
        <w:t>вказати</w:t>
      </w:r>
      <w:r w:rsidRPr="000977F7">
        <w:rPr>
          <w:rFonts w:asciiTheme="majorHAnsi" w:hAnsiTheme="majorHAnsi"/>
          <w:spacing w:val="4"/>
          <w:sz w:val="20"/>
          <w:szCs w:val="20"/>
        </w:rPr>
        <w:t xml:space="preserve"> </w:t>
      </w:r>
      <w:r w:rsidRPr="000977F7">
        <w:rPr>
          <w:rFonts w:asciiTheme="majorHAnsi" w:hAnsiTheme="majorHAnsi"/>
          <w:sz w:val="20"/>
          <w:szCs w:val="20"/>
        </w:rPr>
        <w:t>джерело</w:t>
      </w:r>
      <w:r w:rsidRPr="000977F7">
        <w:rPr>
          <w:rFonts w:asciiTheme="majorHAnsi" w:hAnsiTheme="majorHAnsi"/>
          <w:spacing w:val="6"/>
          <w:sz w:val="20"/>
          <w:szCs w:val="20"/>
        </w:rPr>
        <w:t xml:space="preserve"> </w:t>
      </w:r>
      <w:r w:rsidRPr="000977F7">
        <w:rPr>
          <w:rFonts w:asciiTheme="majorHAnsi" w:hAnsiTheme="majorHAnsi"/>
          <w:sz w:val="20"/>
          <w:szCs w:val="20"/>
        </w:rPr>
        <w:t>даних;</w:t>
      </w:r>
      <w:r w:rsidRPr="000977F7">
        <w:rPr>
          <w:rFonts w:asciiTheme="majorHAnsi" w:hAnsiTheme="majorHAnsi"/>
          <w:spacing w:val="5"/>
          <w:sz w:val="20"/>
          <w:szCs w:val="20"/>
        </w:rPr>
        <w:t xml:space="preserve"> </w:t>
      </w:r>
      <w:r w:rsidRPr="000977F7">
        <w:rPr>
          <w:rFonts w:asciiTheme="majorHAnsi" w:hAnsiTheme="majorHAnsi"/>
          <w:sz w:val="20"/>
          <w:szCs w:val="20"/>
        </w:rPr>
        <w:t>результати</w:t>
      </w:r>
      <w:r w:rsidRPr="000977F7">
        <w:rPr>
          <w:rFonts w:asciiTheme="majorHAnsi" w:hAnsiTheme="majorHAnsi"/>
          <w:spacing w:val="4"/>
          <w:sz w:val="20"/>
          <w:szCs w:val="20"/>
        </w:rPr>
        <w:t xml:space="preserve"> </w:t>
      </w:r>
      <w:r w:rsidRPr="000977F7">
        <w:rPr>
          <w:rFonts w:asciiTheme="majorHAnsi" w:hAnsiTheme="majorHAnsi"/>
          <w:sz w:val="20"/>
          <w:szCs w:val="20"/>
        </w:rPr>
        <w:t>можуть</w:t>
      </w:r>
      <w:r w:rsidRPr="000977F7">
        <w:rPr>
          <w:rFonts w:asciiTheme="majorHAnsi" w:hAnsiTheme="majorHAnsi"/>
          <w:spacing w:val="5"/>
          <w:sz w:val="20"/>
          <w:szCs w:val="20"/>
        </w:rPr>
        <w:t xml:space="preserve"> </w:t>
      </w:r>
      <w:r w:rsidRPr="000977F7">
        <w:rPr>
          <w:rFonts w:asciiTheme="majorHAnsi" w:hAnsiTheme="majorHAnsi"/>
          <w:sz w:val="20"/>
          <w:szCs w:val="20"/>
        </w:rPr>
        <w:t>накопичуватися</w:t>
      </w:r>
      <w:r w:rsidRPr="000977F7">
        <w:rPr>
          <w:rFonts w:asciiTheme="majorHAnsi" w:hAnsiTheme="majorHAnsi"/>
          <w:spacing w:val="14"/>
          <w:sz w:val="20"/>
          <w:szCs w:val="20"/>
        </w:rPr>
        <w:t xml:space="preserve"> </w:t>
      </w:r>
      <w:r w:rsidRPr="000977F7">
        <w:rPr>
          <w:rFonts w:asciiTheme="majorHAnsi" w:hAnsiTheme="majorHAnsi"/>
          <w:sz w:val="20"/>
          <w:szCs w:val="20"/>
        </w:rPr>
        <w:t>(узагальнюватися)</w:t>
      </w:r>
      <w:r w:rsidRPr="000977F7">
        <w:rPr>
          <w:rFonts w:asciiTheme="majorHAnsi" w:hAnsiTheme="majorHAnsi"/>
          <w:spacing w:val="16"/>
          <w:sz w:val="20"/>
          <w:szCs w:val="20"/>
        </w:rPr>
        <w:t xml:space="preserve"> </w:t>
      </w:r>
      <w:r w:rsidRPr="000977F7">
        <w:rPr>
          <w:rFonts w:asciiTheme="majorHAnsi" w:hAnsiTheme="majorHAnsi"/>
          <w:sz w:val="20"/>
          <w:szCs w:val="20"/>
        </w:rPr>
        <w:t>тільки</w:t>
      </w:r>
      <w:r w:rsidRPr="000977F7">
        <w:rPr>
          <w:rFonts w:asciiTheme="majorHAnsi" w:hAnsiTheme="majorHAnsi"/>
          <w:spacing w:val="17"/>
          <w:sz w:val="20"/>
          <w:szCs w:val="20"/>
        </w:rPr>
        <w:t xml:space="preserve"> </w:t>
      </w:r>
      <w:r w:rsidRPr="000977F7">
        <w:rPr>
          <w:rFonts w:asciiTheme="majorHAnsi" w:hAnsiTheme="majorHAnsi"/>
          <w:sz w:val="20"/>
          <w:szCs w:val="20"/>
        </w:rPr>
        <w:t>в</w:t>
      </w:r>
      <w:r w:rsidRPr="000977F7">
        <w:rPr>
          <w:rFonts w:asciiTheme="majorHAnsi" w:hAnsiTheme="majorHAnsi"/>
          <w:spacing w:val="15"/>
          <w:sz w:val="20"/>
          <w:szCs w:val="20"/>
        </w:rPr>
        <w:t xml:space="preserve"> </w:t>
      </w:r>
      <w:r w:rsidRPr="000977F7">
        <w:rPr>
          <w:rFonts w:asciiTheme="majorHAnsi" w:hAnsiTheme="majorHAnsi"/>
          <w:sz w:val="20"/>
          <w:szCs w:val="20"/>
        </w:rPr>
        <w:t>тому</w:t>
      </w:r>
      <w:r w:rsidRPr="000977F7">
        <w:rPr>
          <w:rFonts w:asciiTheme="majorHAnsi" w:hAnsiTheme="majorHAnsi"/>
          <w:spacing w:val="14"/>
          <w:sz w:val="20"/>
          <w:szCs w:val="20"/>
        </w:rPr>
        <w:t xml:space="preserve"> </w:t>
      </w:r>
      <w:r w:rsidRPr="000977F7">
        <w:rPr>
          <w:rFonts w:asciiTheme="majorHAnsi" w:hAnsiTheme="majorHAnsi"/>
          <w:sz w:val="20"/>
          <w:szCs w:val="20"/>
        </w:rPr>
        <w:t>випадку,</w:t>
      </w:r>
      <w:r w:rsidRPr="000977F7">
        <w:rPr>
          <w:rFonts w:asciiTheme="majorHAnsi" w:hAnsiTheme="majorHAnsi"/>
          <w:spacing w:val="-47"/>
          <w:sz w:val="20"/>
          <w:szCs w:val="20"/>
        </w:rPr>
        <w:t xml:space="preserve"> </w:t>
      </w:r>
      <w:r w:rsidRPr="000977F7">
        <w:rPr>
          <w:rFonts w:asciiTheme="majorHAnsi" w:hAnsiTheme="majorHAnsi"/>
          <w:sz w:val="20"/>
          <w:szCs w:val="20"/>
        </w:rPr>
        <w:t>якщо</w:t>
      </w:r>
      <w:r w:rsidRPr="000977F7">
        <w:rPr>
          <w:rFonts w:asciiTheme="majorHAnsi" w:hAnsiTheme="majorHAnsi"/>
          <w:spacing w:val="19"/>
          <w:sz w:val="20"/>
          <w:szCs w:val="20"/>
        </w:rPr>
        <w:t xml:space="preserve"> </w:t>
      </w:r>
      <w:r w:rsidRPr="000977F7">
        <w:rPr>
          <w:rFonts w:asciiTheme="majorHAnsi" w:hAnsiTheme="majorHAnsi"/>
          <w:sz w:val="20"/>
          <w:szCs w:val="20"/>
        </w:rPr>
        <w:t>всі</w:t>
      </w:r>
      <w:r w:rsidRPr="000977F7">
        <w:rPr>
          <w:rFonts w:asciiTheme="majorHAnsi" w:hAnsiTheme="majorHAnsi"/>
          <w:spacing w:val="19"/>
          <w:sz w:val="20"/>
          <w:szCs w:val="20"/>
        </w:rPr>
        <w:t xml:space="preserve"> </w:t>
      </w:r>
      <w:r w:rsidRPr="000977F7">
        <w:rPr>
          <w:rFonts w:asciiTheme="majorHAnsi" w:hAnsiTheme="majorHAnsi"/>
          <w:sz w:val="20"/>
          <w:szCs w:val="20"/>
        </w:rPr>
        <w:t>умови</w:t>
      </w:r>
      <w:r w:rsidRPr="000977F7">
        <w:rPr>
          <w:rFonts w:asciiTheme="majorHAnsi" w:hAnsiTheme="majorHAnsi"/>
          <w:spacing w:val="18"/>
          <w:sz w:val="20"/>
          <w:szCs w:val="20"/>
        </w:rPr>
        <w:t xml:space="preserve"> </w:t>
      </w:r>
      <w:r w:rsidRPr="000977F7">
        <w:rPr>
          <w:rFonts w:asciiTheme="majorHAnsi" w:hAnsiTheme="majorHAnsi"/>
          <w:sz w:val="20"/>
          <w:szCs w:val="20"/>
        </w:rPr>
        <w:t>подібні;</w:t>
      </w:r>
      <w:r w:rsidRPr="000977F7">
        <w:rPr>
          <w:rFonts w:asciiTheme="majorHAnsi" w:hAnsiTheme="majorHAnsi"/>
          <w:spacing w:val="18"/>
          <w:sz w:val="20"/>
          <w:szCs w:val="20"/>
        </w:rPr>
        <w:t xml:space="preserve"> </w:t>
      </w:r>
      <w:r w:rsidRPr="000977F7">
        <w:rPr>
          <w:rFonts w:asciiTheme="majorHAnsi" w:hAnsiTheme="majorHAnsi"/>
          <w:sz w:val="20"/>
          <w:szCs w:val="20"/>
        </w:rPr>
        <w:t>слід</w:t>
      </w:r>
      <w:r w:rsidRPr="000977F7">
        <w:rPr>
          <w:rFonts w:asciiTheme="majorHAnsi" w:hAnsiTheme="majorHAnsi"/>
          <w:spacing w:val="16"/>
          <w:sz w:val="20"/>
          <w:szCs w:val="20"/>
        </w:rPr>
        <w:t xml:space="preserve"> </w:t>
      </w:r>
      <w:r w:rsidRPr="000977F7">
        <w:rPr>
          <w:rFonts w:asciiTheme="majorHAnsi" w:hAnsiTheme="majorHAnsi"/>
          <w:sz w:val="20"/>
          <w:szCs w:val="20"/>
        </w:rPr>
        <w:t>вказати</w:t>
      </w:r>
      <w:r w:rsidRPr="000977F7">
        <w:rPr>
          <w:rFonts w:asciiTheme="majorHAnsi" w:hAnsiTheme="majorHAnsi"/>
          <w:spacing w:val="15"/>
          <w:sz w:val="20"/>
          <w:szCs w:val="20"/>
        </w:rPr>
        <w:t xml:space="preserve"> </w:t>
      </w:r>
      <w:r w:rsidRPr="000977F7">
        <w:rPr>
          <w:rFonts w:asciiTheme="majorHAnsi" w:hAnsiTheme="majorHAnsi"/>
          <w:sz w:val="20"/>
          <w:szCs w:val="20"/>
        </w:rPr>
        <w:t>закон</w:t>
      </w:r>
      <w:r w:rsidRPr="000977F7">
        <w:rPr>
          <w:rFonts w:asciiTheme="majorHAnsi" w:hAnsiTheme="majorHAnsi"/>
          <w:spacing w:val="16"/>
          <w:sz w:val="20"/>
          <w:szCs w:val="20"/>
        </w:rPr>
        <w:t xml:space="preserve"> </w:t>
      </w:r>
      <w:r w:rsidRPr="000977F7">
        <w:rPr>
          <w:rFonts w:asciiTheme="majorHAnsi" w:hAnsiTheme="majorHAnsi"/>
          <w:sz w:val="20"/>
          <w:szCs w:val="20"/>
        </w:rPr>
        <w:t>розподілу</w:t>
      </w:r>
      <w:r w:rsidRPr="000977F7">
        <w:rPr>
          <w:rFonts w:asciiTheme="majorHAnsi" w:hAnsiTheme="majorHAnsi"/>
          <w:spacing w:val="-47"/>
          <w:sz w:val="20"/>
          <w:szCs w:val="20"/>
        </w:rPr>
        <w:t xml:space="preserve"> </w:t>
      </w:r>
      <w:r w:rsidRPr="000977F7">
        <w:rPr>
          <w:rFonts w:asciiTheme="majorHAnsi" w:hAnsiTheme="majorHAnsi"/>
          <w:sz w:val="20"/>
          <w:szCs w:val="20"/>
        </w:rPr>
        <w:t>відмов в часі ,</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2"/>
          <w:sz w:val="20"/>
          <w:szCs w:val="20"/>
        </w:rPr>
        <w:t xml:space="preserve"> </w:t>
      </w:r>
      <w:r w:rsidRPr="000977F7">
        <w:rPr>
          <w:rFonts w:asciiTheme="majorHAnsi" w:hAnsiTheme="majorHAnsi"/>
          <w:sz w:val="20"/>
          <w:szCs w:val="20"/>
        </w:rPr>
        <w:t>передбачається; слід вказати,</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47"/>
          <w:sz w:val="20"/>
          <w:szCs w:val="20"/>
        </w:rPr>
        <w:t xml:space="preserve"> </w:t>
      </w:r>
      <w:r w:rsidRPr="000977F7">
        <w:rPr>
          <w:rFonts w:asciiTheme="majorHAnsi" w:hAnsiTheme="majorHAnsi"/>
          <w:sz w:val="20"/>
          <w:szCs w:val="20"/>
        </w:rPr>
        <w:t>довірчий інтервал</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використовується – односторонній</w:t>
      </w:r>
      <w:r w:rsidRPr="000977F7">
        <w:rPr>
          <w:rFonts w:asciiTheme="majorHAnsi" w:hAnsiTheme="majorHAnsi"/>
          <w:spacing w:val="-47"/>
          <w:sz w:val="20"/>
          <w:szCs w:val="20"/>
        </w:rPr>
        <w:t xml:space="preserve"> </w:t>
      </w:r>
      <w:r w:rsidRPr="000977F7">
        <w:rPr>
          <w:rFonts w:asciiTheme="majorHAnsi" w:hAnsiTheme="majorHAnsi"/>
          <w:sz w:val="20"/>
          <w:szCs w:val="20"/>
        </w:rPr>
        <w:t>чи двосторонній; в тому випадку ,</w:t>
      </w:r>
      <w:r w:rsidRPr="000977F7">
        <w:rPr>
          <w:rFonts w:asciiTheme="majorHAnsi" w:hAnsiTheme="majorHAnsi"/>
          <w:spacing w:val="1"/>
          <w:sz w:val="20"/>
          <w:szCs w:val="20"/>
        </w:rPr>
        <w:t xml:space="preserve"> </w:t>
      </w:r>
      <w:r w:rsidRPr="000977F7">
        <w:rPr>
          <w:rFonts w:asciiTheme="majorHAnsi" w:hAnsiTheme="majorHAnsi"/>
          <w:sz w:val="20"/>
          <w:szCs w:val="20"/>
        </w:rPr>
        <w:t>коли</w:t>
      </w:r>
      <w:r w:rsidRPr="000977F7">
        <w:rPr>
          <w:rFonts w:asciiTheme="majorHAnsi" w:hAnsiTheme="majorHAnsi"/>
          <w:spacing w:val="1"/>
          <w:sz w:val="20"/>
          <w:szCs w:val="20"/>
        </w:rPr>
        <w:t xml:space="preserve"> </w:t>
      </w:r>
      <w:r w:rsidRPr="000977F7">
        <w:rPr>
          <w:rFonts w:asciiTheme="majorHAnsi" w:hAnsiTheme="majorHAnsi"/>
          <w:sz w:val="20"/>
          <w:szCs w:val="20"/>
        </w:rPr>
        <w:t>указана</w:t>
      </w:r>
      <w:r w:rsidRPr="000977F7">
        <w:rPr>
          <w:rFonts w:asciiTheme="majorHAnsi" w:hAnsiTheme="majorHAnsi"/>
          <w:spacing w:val="1"/>
          <w:sz w:val="20"/>
          <w:szCs w:val="20"/>
        </w:rPr>
        <w:t xml:space="preserve"> </w:t>
      </w:r>
      <w:r w:rsidRPr="000977F7">
        <w:rPr>
          <w:rFonts w:asciiTheme="majorHAnsi" w:hAnsiTheme="majorHAnsi"/>
          <w:sz w:val="20"/>
          <w:szCs w:val="20"/>
        </w:rPr>
        <w:t>одна</w:t>
      </w:r>
      <w:r w:rsidRPr="000977F7">
        <w:rPr>
          <w:rFonts w:asciiTheme="majorHAnsi" w:hAnsiTheme="majorHAnsi"/>
          <w:spacing w:val="-47"/>
          <w:sz w:val="20"/>
          <w:szCs w:val="20"/>
        </w:rPr>
        <w:t xml:space="preserve">        </w:t>
      </w:r>
      <w:r w:rsidRPr="000977F7">
        <w:rPr>
          <w:rFonts w:asciiTheme="majorHAnsi" w:hAnsiTheme="majorHAnsi"/>
          <w:sz w:val="20"/>
          <w:szCs w:val="20"/>
        </w:rPr>
        <w:t>границя, вона, як правило, є верхньою границею</w:t>
      </w:r>
      <w:r w:rsidRPr="000977F7">
        <w:rPr>
          <w:rFonts w:asciiTheme="majorHAnsi" w:hAnsiTheme="majorHAnsi"/>
          <w:spacing w:val="1"/>
          <w:sz w:val="20"/>
          <w:szCs w:val="20"/>
        </w:rPr>
        <w:t xml:space="preserve"> </w:t>
      </w:r>
    </w:p>
    <w:p w14:paraId="2DB24CC4"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ОЦІНЕНА</w:t>
      </w:r>
      <w:r w:rsidRPr="000977F7">
        <w:rPr>
          <w:rFonts w:asciiTheme="majorHAnsi" w:hAnsiTheme="majorHAnsi"/>
          <w:b/>
          <w:spacing w:val="-1"/>
          <w:sz w:val="20"/>
          <w:szCs w:val="20"/>
        </w:rPr>
        <w:t xml:space="preserve"> </w:t>
      </w:r>
      <w:r w:rsidRPr="000977F7">
        <w:rPr>
          <w:rFonts w:asciiTheme="majorHAnsi" w:hAnsiTheme="majorHAnsi"/>
          <w:b/>
          <w:sz w:val="20"/>
          <w:szCs w:val="20"/>
        </w:rPr>
        <w:t>НАДІЙНІСТЬ -</w:t>
      </w:r>
    </w:p>
    <w:p w14:paraId="2C37B7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ASSESSED</w:t>
      </w:r>
      <w:r w:rsidRPr="000977F7">
        <w:rPr>
          <w:rFonts w:asciiTheme="majorHAnsi" w:hAnsiTheme="majorHAnsi"/>
          <w:spacing w:val="45"/>
          <w:sz w:val="20"/>
          <w:szCs w:val="20"/>
        </w:rPr>
        <w:t xml:space="preserve"> </w:t>
      </w:r>
      <w:r w:rsidRPr="000977F7">
        <w:rPr>
          <w:rFonts w:asciiTheme="majorHAnsi" w:hAnsiTheme="majorHAnsi"/>
          <w:sz w:val="20"/>
          <w:szCs w:val="20"/>
        </w:rPr>
        <w:t>RELIABILITY -</w:t>
      </w:r>
    </w:p>
    <w:p w14:paraId="707CCC2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Надійність</w:t>
      </w:r>
      <w:r w:rsidRPr="000977F7">
        <w:rPr>
          <w:rFonts w:asciiTheme="majorHAnsi" w:hAnsiTheme="majorHAnsi"/>
          <w:spacing w:val="9"/>
          <w:sz w:val="20"/>
          <w:szCs w:val="20"/>
        </w:rPr>
        <w:t xml:space="preserve"> </w:t>
      </w:r>
      <w:r w:rsidRPr="000977F7">
        <w:rPr>
          <w:rFonts w:asciiTheme="majorHAnsi" w:hAnsiTheme="majorHAnsi"/>
          <w:sz w:val="20"/>
          <w:szCs w:val="20"/>
        </w:rPr>
        <w:t>виробу,</w:t>
      </w:r>
      <w:r w:rsidRPr="000977F7">
        <w:rPr>
          <w:rFonts w:asciiTheme="majorHAnsi" w:hAnsiTheme="majorHAnsi"/>
          <w:spacing w:val="9"/>
          <w:sz w:val="20"/>
          <w:szCs w:val="20"/>
        </w:rPr>
        <w:t xml:space="preserve"> </w:t>
      </w:r>
      <w:r w:rsidRPr="000977F7">
        <w:rPr>
          <w:rFonts w:asciiTheme="majorHAnsi" w:hAnsiTheme="majorHAnsi"/>
          <w:sz w:val="20"/>
          <w:szCs w:val="20"/>
        </w:rPr>
        <w:t>визначена</w:t>
      </w:r>
      <w:r w:rsidRPr="000977F7">
        <w:rPr>
          <w:rFonts w:asciiTheme="majorHAnsi" w:hAnsiTheme="majorHAnsi"/>
          <w:spacing w:val="8"/>
          <w:sz w:val="20"/>
          <w:szCs w:val="20"/>
        </w:rPr>
        <w:t xml:space="preserve"> </w:t>
      </w:r>
      <w:r w:rsidRPr="000977F7">
        <w:rPr>
          <w:rFonts w:asciiTheme="majorHAnsi" w:hAnsiTheme="majorHAnsi"/>
          <w:sz w:val="20"/>
          <w:szCs w:val="20"/>
        </w:rPr>
        <w:t>границею</w:t>
      </w:r>
      <w:r w:rsidRPr="000977F7">
        <w:rPr>
          <w:rFonts w:asciiTheme="majorHAnsi" w:hAnsiTheme="majorHAnsi"/>
          <w:spacing w:val="7"/>
          <w:sz w:val="20"/>
          <w:szCs w:val="20"/>
        </w:rPr>
        <w:t xml:space="preserve"> </w:t>
      </w:r>
      <w:r w:rsidRPr="000977F7">
        <w:rPr>
          <w:rFonts w:asciiTheme="majorHAnsi" w:hAnsiTheme="majorHAnsi"/>
          <w:sz w:val="20"/>
          <w:szCs w:val="20"/>
        </w:rPr>
        <w:t>або</w:t>
      </w:r>
      <w:r w:rsidRPr="000977F7">
        <w:rPr>
          <w:rFonts w:asciiTheme="majorHAnsi" w:hAnsiTheme="majorHAnsi"/>
          <w:spacing w:val="8"/>
          <w:sz w:val="20"/>
          <w:szCs w:val="20"/>
        </w:rPr>
        <w:t xml:space="preserve"> </w:t>
      </w:r>
      <w:r w:rsidRPr="000977F7">
        <w:rPr>
          <w:rFonts w:asciiTheme="majorHAnsi" w:hAnsiTheme="majorHAnsi"/>
          <w:sz w:val="20"/>
          <w:szCs w:val="20"/>
        </w:rPr>
        <w:t>границями</w:t>
      </w:r>
      <w:r w:rsidRPr="000977F7">
        <w:rPr>
          <w:rFonts w:asciiTheme="majorHAnsi" w:hAnsiTheme="majorHAnsi"/>
          <w:spacing w:val="3"/>
          <w:sz w:val="20"/>
          <w:szCs w:val="20"/>
        </w:rPr>
        <w:t xml:space="preserve"> </w:t>
      </w:r>
      <w:r w:rsidRPr="000977F7">
        <w:rPr>
          <w:rFonts w:asciiTheme="majorHAnsi" w:hAnsiTheme="majorHAnsi"/>
          <w:sz w:val="20"/>
          <w:szCs w:val="20"/>
        </w:rPr>
        <w:t>довірчого</w:t>
      </w:r>
      <w:r w:rsidRPr="000977F7">
        <w:rPr>
          <w:rFonts w:asciiTheme="majorHAnsi" w:hAnsiTheme="majorHAnsi"/>
          <w:spacing w:val="5"/>
          <w:sz w:val="20"/>
          <w:szCs w:val="20"/>
        </w:rPr>
        <w:t xml:space="preserve"> </w:t>
      </w:r>
      <w:r w:rsidRPr="000977F7">
        <w:rPr>
          <w:rFonts w:asciiTheme="majorHAnsi" w:hAnsiTheme="majorHAnsi"/>
          <w:sz w:val="20"/>
          <w:szCs w:val="20"/>
        </w:rPr>
        <w:t>інтервалу</w:t>
      </w:r>
      <w:r w:rsidRPr="000977F7">
        <w:rPr>
          <w:rFonts w:asciiTheme="majorHAnsi" w:hAnsiTheme="majorHAnsi"/>
          <w:spacing w:val="4"/>
          <w:sz w:val="20"/>
          <w:szCs w:val="20"/>
        </w:rPr>
        <w:t xml:space="preserve"> </w:t>
      </w:r>
      <w:r w:rsidRPr="000977F7">
        <w:rPr>
          <w:rFonts w:asciiTheme="majorHAnsi" w:hAnsiTheme="majorHAnsi"/>
          <w:sz w:val="20"/>
          <w:szCs w:val="20"/>
        </w:rPr>
        <w:t>із</w:t>
      </w:r>
      <w:r w:rsidRPr="000977F7">
        <w:rPr>
          <w:rFonts w:asciiTheme="majorHAnsi" w:hAnsiTheme="majorHAnsi"/>
          <w:spacing w:val="4"/>
          <w:sz w:val="20"/>
          <w:szCs w:val="20"/>
        </w:rPr>
        <w:t xml:space="preserve"> </w:t>
      </w:r>
      <w:r w:rsidRPr="000977F7">
        <w:rPr>
          <w:rFonts w:asciiTheme="majorHAnsi" w:hAnsiTheme="majorHAnsi"/>
          <w:sz w:val="20"/>
          <w:szCs w:val="20"/>
        </w:rPr>
        <w:t>заданим</w:t>
      </w:r>
      <w:r w:rsidRPr="000977F7">
        <w:rPr>
          <w:rFonts w:asciiTheme="majorHAnsi" w:hAnsiTheme="majorHAnsi"/>
          <w:spacing w:val="6"/>
          <w:sz w:val="20"/>
          <w:szCs w:val="20"/>
        </w:rPr>
        <w:t xml:space="preserve"> </w:t>
      </w:r>
      <w:r w:rsidRPr="000977F7">
        <w:rPr>
          <w:rFonts w:asciiTheme="majorHAnsi" w:hAnsiTheme="majorHAnsi"/>
          <w:sz w:val="20"/>
          <w:szCs w:val="20"/>
        </w:rPr>
        <w:t>довірчим</w:t>
      </w:r>
      <w:r w:rsidRPr="000977F7">
        <w:rPr>
          <w:rFonts w:asciiTheme="majorHAnsi" w:hAnsiTheme="majorHAnsi"/>
          <w:spacing w:val="5"/>
          <w:sz w:val="20"/>
          <w:szCs w:val="20"/>
        </w:rPr>
        <w:t xml:space="preserve"> </w:t>
      </w:r>
      <w:r w:rsidRPr="000977F7">
        <w:rPr>
          <w:rFonts w:asciiTheme="majorHAnsi" w:hAnsiTheme="majorHAnsi"/>
          <w:sz w:val="20"/>
          <w:szCs w:val="20"/>
        </w:rPr>
        <w:t>рівнем</w:t>
      </w:r>
      <w:r w:rsidRPr="000977F7">
        <w:rPr>
          <w:rFonts w:asciiTheme="majorHAnsi" w:hAnsiTheme="majorHAnsi"/>
          <w:spacing w:val="6"/>
          <w:sz w:val="20"/>
          <w:szCs w:val="20"/>
        </w:rPr>
        <w:t xml:space="preserve"> </w:t>
      </w:r>
      <w:r w:rsidRPr="000977F7">
        <w:rPr>
          <w:rFonts w:asciiTheme="majorHAnsi" w:hAnsiTheme="majorHAnsi"/>
          <w:sz w:val="20"/>
          <w:szCs w:val="20"/>
        </w:rPr>
        <w:t>на</w:t>
      </w:r>
      <w:r w:rsidRPr="000977F7">
        <w:rPr>
          <w:rFonts w:asciiTheme="majorHAnsi" w:hAnsiTheme="majorHAnsi"/>
          <w:spacing w:val="-47"/>
          <w:sz w:val="20"/>
          <w:szCs w:val="20"/>
        </w:rPr>
        <w:t xml:space="preserve"> </w:t>
      </w:r>
      <w:r w:rsidRPr="000977F7">
        <w:rPr>
          <w:rFonts w:asciiTheme="majorHAnsi" w:hAnsiTheme="majorHAnsi"/>
          <w:sz w:val="20"/>
          <w:szCs w:val="20"/>
        </w:rPr>
        <w:t>підставі</w:t>
      </w:r>
      <w:r w:rsidRPr="000977F7">
        <w:rPr>
          <w:rFonts w:asciiTheme="majorHAnsi" w:hAnsiTheme="majorHAnsi"/>
          <w:spacing w:val="8"/>
          <w:sz w:val="20"/>
          <w:szCs w:val="20"/>
        </w:rPr>
        <w:t xml:space="preserve"> </w:t>
      </w:r>
      <w:r w:rsidRPr="000977F7">
        <w:rPr>
          <w:rFonts w:asciiTheme="majorHAnsi" w:hAnsiTheme="majorHAnsi"/>
          <w:sz w:val="20"/>
          <w:szCs w:val="20"/>
        </w:rPr>
        <w:t>тих</w:t>
      </w:r>
      <w:r w:rsidRPr="000977F7">
        <w:rPr>
          <w:rFonts w:asciiTheme="majorHAnsi" w:hAnsiTheme="majorHAnsi"/>
          <w:spacing w:val="6"/>
          <w:sz w:val="20"/>
          <w:szCs w:val="20"/>
        </w:rPr>
        <w:t xml:space="preserve"> </w:t>
      </w:r>
      <w:r w:rsidRPr="000977F7">
        <w:rPr>
          <w:rFonts w:asciiTheme="majorHAnsi" w:hAnsiTheme="majorHAnsi"/>
          <w:sz w:val="20"/>
          <w:szCs w:val="20"/>
        </w:rPr>
        <w:t>же</w:t>
      </w:r>
      <w:r w:rsidRPr="000977F7">
        <w:rPr>
          <w:rFonts w:asciiTheme="majorHAnsi" w:hAnsiTheme="majorHAnsi"/>
          <w:spacing w:val="6"/>
          <w:sz w:val="20"/>
          <w:szCs w:val="20"/>
        </w:rPr>
        <w:t xml:space="preserve"> </w:t>
      </w:r>
      <w:r w:rsidRPr="000977F7">
        <w:rPr>
          <w:rFonts w:asciiTheme="majorHAnsi" w:hAnsiTheme="majorHAnsi"/>
          <w:sz w:val="20"/>
          <w:szCs w:val="20"/>
        </w:rPr>
        <w:t>даних</w:t>
      </w:r>
      <w:r w:rsidRPr="000977F7">
        <w:rPr>
          <w:rFonts w:asciiTheme="majorHAnsi" w:hAnsiTheme="majorHAnsi"/>
          <w:spacing w:val="4"/>
          <w:sz w:val="20"/>
          <w:szCs w:val="20"/>
        </w:rPr>
        <w:t xml:space="preserve"> </w:t>
      </w:r>
      <w:r w:rsidRPr="000977F7">
        <w:rPr>
          <w:rFonts w:asciiTheme="majorHAnsi" w:hAnsiTheme="majorHAnsi"/>
          <w:sz w:val="20"/>
          <w:szCs w:val="20"/>
        </w:rPr>
        <w:t>спостережень</w:t>
      </w:r>
      <w:r w:rsidRPr="000977F7">
        <w:rPr>
          <w:rFonts w:asciiTheme="majorHAnsi" w:hAnsiTheme="majorHAnsi"/>
          <w:spacing w:val="6"/>
          <w:sz w:val="20"/>
          <w:szCs w:val="20"/>
        </w:rPr>
        <w:t xml:space="preserve"> </w:t>
      </w:r>
      <w:r w:rsidRPr="000977F7">
        <w:rPr>
          <w:rFonts w:asciiTheme="majorHAnsi" w:hAnsiTheme="majorHAnsi"/>
          <w:sz w:val="20"/>
          <w:szCs w:val="20"/>
        </w:rPr>
        <w:t>за</w:t>
      </w:r>
      <w:r w:rsidRPr="000977F7">
        <w:rPr>
          <w:rFonts w:asciiTheme="majorHAnsi" w:hAnsiTheme="majorHAnsi"/>
          <w:spacing w:val="8"/>
          <w:sz w:val="20"/>
          <w:szCs w:val="20"/>
        </w:rPr>
        <w:t xml:space="preserve"> </w:t>
      </w:r>
      <w:r w:rsidRPr="000977F7">
        <w:rPr>
          <w:rFonts w:asciiTheme="majorHAnsi" w:hAnsiTheme="majorHAnsi"/>
          <w:sz w:val="20"/>
          <w:szCs w:val="20"/>
        </w:rPr>
        <w:t>номінально</w:t>
      </w:r>
      <w:r w:rsidRPr="000977F7">
        <w:rPr>
          <w:rFonts w:asciiTheme="majorHAnsi" w:hAnsiTheme="majorHAnsi"/>
          <w:spacing w:val="-47"/>
          <w:sz w:val="20"/>
          <w:szCs w:val="20"/>
        </w:rPr>
        <w:t xml:space="preserve"> </w:t>
      </w:r>
      <w:r w:rsidRPr="000977F7">
        <w:rPr>
          <w:rFonts w:asciiTheme="majorHAnsi" w:hAnsiTheme="majorHAnsi"/>
          <w:sz w:val="20"/>
          <w:szCs w:val="20"/>
        </w:rPr>
        <w:t>ідентичними виробами, що і спостережена надійність</w:t>
      </w:r>
    </w:p>
    <w:p w14:paraId="7EB051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4D214C30" w14:textId="77777777" w:rsidR="0097612F" w:rsidRPr="000977F7" w:rsidRDefault="0097612F" w:rsidP="00FD39A4">
      <w:pPr>
        <w:pStyle w:val="ac"/>
        <w:widowControl w:val="0"/>
        <w:numPr>
          <w:ilvl w:val="0"/>
          <w:numId w:val="125"/>
        </w:numPr>
        <w:tabs>
          <w:tab w:val="left" w:pos="284"/>
          <w:tab w:val="left" w:pos="65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Слід</w:t>
      </w:r>
      <w:r w:rsidRPr="000977F7">
        <w:rPr>
          <w:rFonts w:asciiTheme="majorHAnsi" w:hAnsiTheme="majorHAnsi"/>
          <w:spacing w:val="-5"/>
          <w:sz w:val="20"/>
          <w:szCs w:val="20"/>
        </w:rPr>
        <w:t xml:space="preserve"> </w:t>
      </w:r>
      <w:r w:rsidRPr="000977F7">
        <w:rPr>
          <w:rFonts w:asciiTheme="majorHAnsi" w:hAnsiTheme="majorHAnsi"/>
          <w:sz w:val="20"/>
          <w:szCs w:val="20"/>
        </w:rPr>
        <w:t>визначити</w:t>
      </w:r>
      <w:r w:rsidRPr="000977F7">
        <w:rPr>
          <w:rFonts w:asciiTheme="majorHAnsi" w:hAnsiTheme="majorHAnsi"/>
          <w:spacing w:val="-3"/>
          <w:sz w:val="20"/>
          <w:szCs w:val="20"/>
        </w:rPr>
        <w:t xml:space="preserve"> </w:t>
      </w:r>
      <w:r w:rsidRPr="000977F7">
        <w:rPr>
          <w:rFonts w:asciiTheme="majorHAnsi" w:hAnsiTheme="majorHAnsi"/>
          <w:sz w:val="20"/>
          <w:szCs w:val="20"/>
        </w:rPr>
        <w:t>джерело</w:t>
      </w:r>
      <w:r w:rsidRPr="000977F7">
        <w:rPr>
          <w:rFonts w:asciiTheme="majorHAnsi" w:hAnsiTheme="majorHAnsi"/>
          <w:spacing w:val="-1"/>
          <w:sz w:val="20"/>
          <w:szCs w:val="20"/>
        </w:rPr>
        <w:t xml:space="preserve"> </w:t>
      </w:r>
      <w:r w:rsidRPr="000977F7">
        <w:rPr>
          <w:rFonts w:asciiTheme="majorHAnsi" w:hAnsiTheme="majorHAnsi"/>
          <w:sz w:val="20"/>
          <w:szCs w:val="20"/>
        </w:rPr>
        <w:t>даних</w:t>
      </w:r>
    </w:p>
    <w:p w14:paraId="1174B4C4" w14:textId="77777777" w:rsidR="0097612F" w:rsidRPr="000977F7" w:rsidRDefault="0097612F" w:rsidP="00FD39A4">
      <w:pPr>
        <w:pStyle w:val="ac"/>
        <w:widowControl w:val="0"/>
        <w:numPr>
          <w:ilvl w:val="0"/>
          <w:numId w:val="125"/>
        </w:numPr>
        <w:tabs>
          <w:tab w:val="left" w:pos="284"/>
          <w:tab w:val="left" w:pos="66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Результати</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накопичуватися</w:t>
      </w:r>
      <w:r w:rsidRPr="000977F7">
        <w:rPr>
          <w:rFonts w:asciiTheme="majorHAnsi" w:hAnsiTheme="majorHAnsi"/>
          <w:spacing w:val="1"/>
          <w:sz w:val="20"/>
          <w:szCs w:val="20"/>
        </w:rPr>
        <w:t xml:space="preserve"> </w:t>
      </w:r>
      <w:r w:rsidRPr="000977F7">
        <w:rPr>
          <w:rFonts w:asciiTheme="majorHAnsi" w:hAnsiTheme="majorHAnsi"/>
          <w:sz w:val="20"/>
          <w:szCs w:val="20"/>
        </w:rPr>
        <w:t>(узагальнюватися) тільки в тому випадку,</w:t>
      </w:r>
      <w:r w:rsidRPr="000977F7">
        <w:rPr>
          <w:rFonts w:asciiTheme="majorHAnsi" w:hAnsiTheme="majorHAnsi"/>
          <w:spacing w:val="1"/>
          <w:sz w:val="20"/>
          <w:szCs w:val="20"/>
        </w:rPr>
        <w:t xml:space="preserve"> </w:t>
      </w:r>
      <w:r w:rsidRPr="000977F7">
        <w:rPr>
          <w:rFonts w:asciiTheme="majorHAnsi" w:hAnsiTheme="majorHAnsi"/>
          <w:sz w:val="20"/>
          <w:szCs w:val="20"/>
        </w:rPr>
        <w:t>якщо всі</w:t>
      </w:r>
      <w:r w:rsidRPr="000977F7">
        <w:rPr>
          <w:rFonts w:asciiTheme="majorHAnsi" w:hAnsiTheme="majorHAnsi"/>
          <w:spacing w:val="1"/>
          <w:sz w:val="20"/>
          <w:szCs w:val="20"/>
        </w:rPr>
        <w:t xml:space="preserve"> </w:t>
      </w:r>
      <w:r w:rsidRPr="000977F7">
        <w:rPr>
          <w:rFonts w:asciiTheme="majorHAnsi" w:hAnsiTheme="majorHAnsi"/>
          <w:sz w:val="20"/>
          <w:szCs w:val="20"/>
        </w:rPr>
        <w:t>умови</w:t>
      </w:r>
      <w:r w:rsidRPr="000977F7">
        <w:rPr>
          <w:rFonts w:asciiTheme="majorHAnsi" w:hAnsiTheme="majorHAnsi"/>
          <w:spacing w:val="1"/>
          <w:sz w:val="20"/>
          <w:szCs w:val="20"/>
        </w:rPr>
        <w:t xml:space="preserve"> </w:t>
      </w:r>
      <w:r w:rsidRPr="000977F7">
        <w:rPr>
          <w:rFonts w:asciiTheme="majorHAnsi" w:hAnsiTheme="majorHAnsi"/>
          <w:sz w:val="20"/>
          <w:szCs w:val="20"/>
        </w:rPr>
        <w:t>подібні</w:t>
      </w:r>
    </w:p>
    <w:p w14:paraId="45478930" w14:textId="77777777" w:rsidR="0097612F" w:rsidRPr="000977F7" w:rsidRDefault="0097612F" w:rsidP="00FD39A4">
      <w:pPr>
        <w:pStyle w:val="ac"/>
        <w:widowControl w:val="0"/>
        <w:numPr>
          <w:ilvl w:val="0"/>
          <w:numId w:val="125"/>
        </w:numPr>
        <w:tabs>
          <w:tab w:val="left" w:pos="284"/>
          <w:tab w:val="left" w:pos="713"/>
          <w:tab w:val="left" w:pos="71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ab/>
        <w:t>Слід</w:t>
      </w:r>
      <w:r w:rsidRPr="000977F7">
        <w:rPr>
          <w:rFonts w:asciiTheme="majorHAnsi" w:hAnsiTheme="majorHAnsi"/>
          <w:spacing w:val="5"/>
          <w:sz w:val="20"/>
          <w:szCs w:val="20"/>
        </w:rPr>
        <w:t xml:space="preserve"> </w:t>
      </w:r>
      <w:r w:rsidRPr="000977F7">
        <w:rPr>
          <w:rFonts w:asciiTheme="majorHAnsi" w:hAnsiTheme="majorHAnsi"/>
          <w:sz w:val="20"/>
          <w:szCs w:val="20"/>
        </w:rPr>
        <w:t>вказати</w:t>
      </w:r>
      <w:r w:rsidRPr="000977F7">
        <w:rPr>
          <w:rFonts w:asciiTheme="majorHAnsi" w:hAnsiTheme="majorHAnsi"/>
          <w:spacing w:val="5"/>
          <w:sz w:val="20"/>
          <w:szCs w:val="20"/>
        </w:rPr>
        <w:t xml:space="preserve"> </w:t>
      </w:r>
      <w:r w:rsidRPr="000977F7">
        <w:rPr>
          <w:rFonts w:asciiTheme="majorHAnsi" w:hAnsiTheme="majorHAnsi"/>
          <w:sz w:val="20"/>
          <w:szCs w:val="20"/>
        </w:rPr>
        <w:t>закон</w:t>
      </w:r>
      <w:r w:rsidRPr="000977F7">
        <w:rPr>
          <w:rFonts w:asciiTheme="majorHAnsi" w:hAnsiTheme="majorHAnsi"/>
          <w:spacing w:val="5"/>
          <w:sz w:val="20"/>
          <w:szCs w:val="20"/>
        </w:rPr>
        <w:t xml:space="preserve"> </w:t>
      </w:r>
      <w:r w:rsidRPr="000977F7">
        <w:rPr>
          <w:rFonts w:asciiTheme="majorHAnsi" w:hAnsiTheme="majorHAnsi"/>
          <w:sz w:val="20"/>
          <w:szCs w:val="20"/>
        </w:rPr>
        <w:t>розподілу</w:t>
      </w:r>
      <w:r w:rsidRPr="000977F7">
        <w:rPr>
          <w:rFonts w:asciiTheme="majorHAnsi" w:hAnsiTheme="majorHAnsi"/>
          <w:spacing w:val="2"/>
          <w:sz w:val="20"/>
          <w:szCs w:val="20"/>
        </w:rPr>
        <w:t xml:space="preserve"> </w:t>
      </w:r>
      <w:r w:rsidRPr="000977F7">
        <w:rPr>
          <w:rFonts w:asciiTheme="majorHAnsi" w:hAnsiTheme="majorHAnsi"/>
          <w:sz w:val="20"/>
          <w:szCs w:val="20"/>
        </w:rPr>
        <w:t>відмов,</w:t>
      </w:r>
      <w:r w:rsidRPr="000977F7">
        <w:rPr>
          <w:rFonts w:asciiTheme="majorHAnsi" w:hAnsiTheme="majorHAnsi"/>
          <w:spacing w:val="6"/>
          <w:sz w:val="20"/>
          <w:szCs w:val="20"/>
        </w:rPr>
        <w:t xml:space="preserve"> </w:t>
      </w:r>
      <w:r w:rsidRPr="000977F7">
        <w:rPr>
          <w:rFonts w:asciiTheme="majorHAnsi" w:hAnsiTheme="majorHAnsi"/>
          <w:sz w:val="20"/>
          <w:szCs w:val="20"/>
        </w:rPr>
        <w:t>який</w:t>
      </w:r>
      <w:r w:rsidRPr="000977F7">
        <w:rPr>
          <w:rFonts w:asciiTheme="majorHAnsi" w:hAnsiTheme="majorHAnsi"/>
          <w:spacing w:val="7"/>
          <w:sz w:val="20"/>
          <w:szCs w:val="20"/>
        </w:rPr>
        <w:t xml:space="preserve"> </w:t>
      </w:r>
      <w:r w:rsidRPr="000977F7">
        <w:rPr>
          <w:rFonts w:asciiTheme="majorHAnsi" w:hAnsiTheme="majorHAnsi"/>
          <w:sz w:val="20"/>
          <w:szCs w:val="20"/>
        </w:rPr>
        <w:t>передбачається</w:t>
      </w:r>
    </w:p>
    <w:p w14:paraId="6466C2F0" w14:textId="77777777" w:rsidR="0097612F" w:rsidRPr="000977F7" w:rsidRDefault="0097612F" w:rsidP="00FD39A4">
      <w:pPr>
        <w:pStyle w:val="ac"/>
        <w:widowControl w:val="0"/>
        <w:numPr>
          <w:ilvl w:val="0"/>
          <w:numId w:val="125"/>
        </w:numPr>
        <w:tabs>
          <w:tab w:val="left" w:pos="284"/>
          <w:tab w:val="left" w:pos="663"/>
          <w:tab w:val="left" w:pos="66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Слід</w:t>
      </w:r>
      <w:r w:rsidRPr="000977F7">
        <w:rPr>
          <w:rFonts w:asciiTheme="majorHAnsi" w:hAnsiTheme="majorHAnsi"/>
          <w:spacing w:val="31"/>
          <w:sz w:val="20"/>
          <w:szCs w:val="20"/>
        </w:rPr>
        <w:t xml:space="preserve"> </w:t>
      </w:r>
      <w:r w:rsidRPr="000977F7">
        <w:rPr>
          <w:rFonts w:asciiTheme="majorHAnsi" w:hAnsiTheme="majorHAnsi"/>
          <w:sz w:val="20"/>
          <w:szCs w:val="20"/>
        </w:rPr>
        <w:t>вказати,</w:t>
      </w:r>
      <w:r w:rsidRPr="000977F7">
        <w:rPr>
          <w:rFonts w:asciiTheme="majorHAnsi" w:hAnsiTheme="majorHAnsi"/>
          <w:spacing w:val="32"/>
          <w:sz w:val="20"/>
          <w:szCs w:val="20"/>
        </w:rPr>
        <w:t xml:space="preserve"> </w:t>
      </w:r>
      <w:r w:rsidRPr="000977F7">
        <w:rPr>
          <w:rFonts w:asciiTheme="majorHAnsi" w:hAnsiTheme="majorHAnsi"/>
          <w:sz w:val="20"/>
          <w:szCs w:val="20"/>
        </w:rPr>
        <w:t>який</w:t>
      </w:r>
      <w:r w:rsidRPr="000977F7">
        <w:rPr>
          <w:rFonts w:asciiTheme="majorHAnsi" w:hAnsiTheme="majorHAnsi"/>
          <w:spacing w:val="31"/>
          <w:sz w:val="20"/>
          <w:szCs w:val="20"/>
        </w:rPr>
        <w:t xml:space="preserve"> </w:t>
      </w:r>
      <w:r w:rsidRPr="000977F7">
        <w:rPr>
          <w:rFonts w:asciiTheme="majorHAnsi" w:hAnsiTheme="majorHAnsi"/>
          <w:sz w:val="20"/>
          <w:szCs w:val="20"/>
        </w:rPr>
        <w:t>використовується</w:t>
      </w:r>
      <w:r w:rsidRPr="000977F7">
        <w:rPr>
          <w:rFonts w:asciiTheme="majorHAnsi" w:hAnsiTheme="majorHAnsi"/>
          <w:spacing w:val="31"/>
          <w:sz w:val="20"/>
          <w:szCs w:val="20"/>
        </w:rPr>
        <w:t xml:space="preserve"> </w:t>
      </w:r>
      <w:r w:rsidRPr="000977F7">
        <w:rPr>
          <w:rFonts w:asciiTheme="majorHAnsi" w:hAnsiTheme="majorHAnsi"/>
          <w:sz w:val="20"/>
          <w:szCs w:val="20"/>
        </w:rPr>
        <w:t>довірчий</w:t>
      </w:r>
      <w:r w:rsidRPr="000977F7">
        <w:rPr>
          <w:rFonts w:asciiTheme="majorHAnsi" w:hAnsiTheme="majorHAnsi"/>
          <w:spacing w:val="-47"/>
          <w:sz w:val="20"/>
          <w:szCs w:val="20"/>
        </w:rPr>
        <w:t xml:space="preserve"> </w:t>
      </w:r>
      <w:r w:rsidRPr="000977F7">
        <w:rPr>
          <w:rFonts w:asciiTheme="majorHAnsi" w:hAnsiTheme="majorHAnsi"/>
          <w:sz w:val="20"/>
          <w:szCs w:val="20"/>
        </w:rPr>
        <w:t>інтервал</w:t>
      </w:r>
      <w:r w:rsidRPr="000977F7">
        <w:rPr>
          <w:rFonts w:asciiTheme="majorHAnsi" w:hAnsiTheme="majorHAnsi"/>
          <w:spacing w:val="-2"/>
          <w:sz w:val="20"/>
          <w:szCs w:val="20"/>
        </w:rPr>
        <w:t xml:space="preserve"> </w:t>
      </w:r>
      <w:r w:rsidRPr="000977F7">
        <w:rPr>
          <w:rFonts w:asciiTheme="majorHAnsi" w:hAnsiTheme="majorHAnsi"/>
          <w:sz w:val="20"/>
          <w:szCs w:val="20"/>
        </w:rPr>
        <w:t>– односторонній</w:t>
      </w:r>
      <w:r w:rsidRPr="000977F7">
        <w:rPr>
          <w:rFonts w:asciiTheme="majorHAnsi" w:hAnsiTheme="majorHAnsi"/>
          <w:spacing w:val="-1"/>
          <w:sz w:val="20"/>
          <w:szCs w:val="20"/>
        </w:rPr>
        <w:t xml:space="preserve"> </w:t>
      </w:r>
      <w:r w:rsidRPr="000977F7">
        <w:rPr>
          <w:rFonts w:asciiTheme="majorHAnsi" w:hAnsiTheme="majorHAnsi"/>
          <w:sz w:val="20"/>
          <w:szCs w:val="20"/>
        </w:rPr>
        <w:t>чи двосторонній</w:t>
      </w:r>
    </w:p>
    <w:p w14:paraId="55515C7C" w14:textId="77777777" w:rsidR="0097612F" w:rsidRPr="000977F7" w:rsidRDefault="0097612F" w:rsidP="00FD39A4">
      <w:pPr>
        <w:pStyle w:val="ac"/>
        <w:widowControl w:val="0"/>
        <w:numPr>
          <w:ilvl w:val="0"/>
          <w:numId w:val="125"/>
        </w:numPr>
        <w:tabs>
          <w:tab w:val="left" w:pos="284"/>
          <w:tab w:val="left" w:pos="663"/>
          <w:tab w:val="left" w:pos="66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 тому випадку, якщо вказана одна границя, вона,</w:t>
      </w:r>
      <w:r w:rsidRPr="000977F7">
        <w:rPr>
          <w:rFonts w:asciiTheme="majorHAnsi" w:hAnsiTheme="majorHAnsi"/>
          <w:spacing w:val="-47"/>
          <w:sz w:val="20"/>
          <w:szCs w:val="20"/>
        </w:rPr>
        <w:t xml:space="preserve"> </w:t>
      </w:r>
      <w:r w:rsidRPr="000977F7">
        <w:rPr>
          <w:rFonts w:asciiTheme="majorHAnsi" w:hAnsiTheme="majorHAnsi"/>
          <w:sz w:val="20"/>
          <w:szCs w:val="20"/>
        </w:rPr>
        <w:t>як</w:t>
      </w:r>
      <w:r w:rsidRPr="000977F7">
        <w:rPr>
          <w:rFonts w:asciiTheme="majorHAnsi" w:hAnsiTheme="majorHAnsi"/>
          <w:spacing w:val="-2"/>
          <w:sz w:val="20"/>
          <w:szCs w:val="20"/>
        </w:rPr>
        <w:t xml:space="preserve"> </w:t>
      </w:r>
      <w:r w:rsidRPr="000977F7">
        <w:rPr>
          <w:rFonts w:asciiTheme="majorHAnsi" w:hAnsiTheme="majorHAnsi"/>
          <w:sz w:val="20"/>
          <w:szCs w:val="20"/>
        </w:rPr>
        <w:t>правило,</w:t>
      </w:r>
      <w:r w:rsidRPr="000977F7">
        <w:rPr>
          <w:rFonts w:asciiTheme="majorHAnsi" w:hAnsiTheme="majorHAnsi"/>
          <w:spacing w:val="-1"/>
          <w:sz w:val="20"/>
          <w:szCs w:val="20"/>
        </w:rPr>
        <w:t xml:space="preserve"> </w:t>
      </w:r>
      <w:r w:rsidRPr="000977F7">
        <w:rPr>
          <w:rFonts w:asciiTheme="majorHAnsi" w:hAnsiTheme="majorHAnsi"/>
          <w:sz w:val="20"/>
          <w:szCs w:val="20"/>
        </w:rPr>
        <w:t>є нижньою</w:t>
      </w:r>
      <w:r w:rsidRPr="000977F7">
        <w:rPr>
          <w:rFonts w:asciiTheme="majorHAnsi" w:hAnsiTheme="majorHAnsi"/>
          <w:spacing w:val="-1"/>
          <w:sz w:val="20"/>
          <w:szCs w:val="20"/>
        </w:rPr>
        <w:t xml:space="preserve"> </w:t>
      </w:r>
      <w:r w:rsidRPr="000977F7">
        <w:rPr>
          <w:rFonts w:asciiTheme="majorHAnsi" w:hAnsiTheme="majorHAnsi"/>
          <w:sz w:val="20"/>
          <w:szCs w:val="20"/>
        </w:rPr>
        <w:t>границею</w:t>
      </w:r>
    </w:p>
    <w:p w14:paraId="2D55DF15" w14:textId="77777777" w:rsidR="0097612F" w:rsidRPr="00C10197" w:rsidRDefault="0097612F" w:rsidP="000977F7">
      <w:pPr>
        <w:pStyle w:val="7"/>
        <w:tabs>
          <w:tab w:val="left" w:pos="284"/>
        </w:tabs>
        <w:spacing w:before="0" w:line="240" w:lineRule="auto"/>
        <w:ind w:left="170"/>
        <w:mirrorIndents/>
        <w:jc w:val="both"/>
        <w:rPr>
          <w:color w:val="auto"/>
          <w:spacing w:val="-4"/>
          <w:sz w:val="20"/>
          <w:szCs w:val="20"/>
        </w:rPr>
      </w:pPr>
      <w:r w:rsidRPr="00C10197">
        <w:rPr>
          <w:color w:val="auto"/>
          <w:spacing w:val="-4"/>
          <w:sz w:val="20"/>
          <w:szCs w:val="20"/>
        </w:rPr>
        <w:t>ОЦІНЕНЕ СЕРЕДНЄ НАПРАЦЮВАННЯ ДО ВІДМОВИ –</w:t>
      </w:r>
    </w:p>
    <w:p w14:paraId="525C00E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ASSESSED</w:t>
      </w:r>
      <w:r w:rsidRPr="004D2D14">
        <w:rPr>
          <w:rFonts w:asciiTheme="majorHAnsi" w:hAnsiTheme="majorHAnsi"/>
          <w:spacing w:val="44"/>
          <w:sz w:val="20"/>
          <w:szCs w:val="20"/>
          <w:lang w:val="en-US"/>
        </w:rPr>
        <w:t xml:space="preserve"> </w:t>
      </w:r>
      <w:r w:rsidRPr="004D2D14">
        <w:rPr>
          <w:rFonts w:asciiTheme="majorHAnsi" w:hAnsiTheme="majorHAnsi"/>
          <w:sz w:val="20"/>
          <w:szCs w:val="20"/>
          <w:lang w:val="en-US"/>
        </w:rPr>
        <w:t>MEAN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TIM</w:t>
      </w:r>
      <w:r w:rsidRPr="000977F7">
        <w:rPr>
          <w:rFonts w:asciiTheme="majorHAnsi" w:hAnsiTheme="majorHAnsi"/>
          <w:sz w:val="20"/>
          <w:szCs w:val="20"/>
        </w:rPr>
        <w:t>Е</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E9B29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Середнє напрацювання виробу до відмови, визначене</w:t>
      </w:r>
      <w:r w:rsidRPr="000977F7">
        <w:rPr>
          <w:rFonts w:asciiTheme="majorHAnsi" w:hAnsiTheme="majorHAnsi"/>
          <w:spacing w:val="1"/>
          <w:sz w:val="20"/>
          <w:szCs w:val="20"/>
        </w:rPr>
        <w:t xml:space="preserve"> </w:t>
      </w:r>
      <w:r w:rsidRPr="000977F7">
        <w:rPr>
          <w:rFonts w:asciiTheme="majorHAnsi" w:hAnsiTheme="majorHAnsi"/>
          <w:sz w:val="20"/>
          <w:szCs w:val="20"/>
        </w:rPr>
        <w:t>границею або границями довірчого інтервалу із заданим</w:t>
      </w:r>
      <w:r w:rsidRPr="000977F7">
        <w:rPr>
          <w:rFonts w:asciiTheme="majorHAnsi" w:hAnsiTheme="majorHAnsi"/>
          <w:spacing w:val="5"/>
          <w:sz w:val="20"/>
          <w:szCs w:val="20"/>
        </w:rPr>
        <w:t xml:space="preserve"> </w:t>
      </w:r>
      <w:r w:rsidRPr="000977F7">
        <w:rPr>
          <w:rFonts w:asciiTheme="majorHAnsi" w:hAnsiTheme="majorHAnsi"/>
          <w:sz w:val="20"/>
          <w:szCs w:val="20"/>
        </w:rPr>
        <w:t>довірчим</w:t>
      </w:r>
      <w:r w:rsidRPr="000977F7">
        <w:rPr>
          <w:rFonts w:asciiTheme="majorHAnsi" w:hAnsiTheme="majorHAnsi"/>
          <w:spacing w:val="6"/>
          <w:sz w:val="20"/>
          <w:szCs w:val="20"/>
        </w:rPr>
        <w:t xml:space="preserve"> </w:t>
      </w:r>
      <w:r w:rsidRPr="000977F7">
        <w:rPr>
          <w:rFonts w:asciiTheme="majorHAnsi" w:hAnsiTheme="majorHAnsi"/>
          <w:sz w:val="20"/>
          <w:szCs w:val="20"/>
        </w:rPr>
        <w:t>рівнем</w:t>
      </w:r>
      <w:r w:rsidRPr="000977F7">
        <w:rPr>
          <w:rFonts w:asciiTheme="majorHAnsi" w:hAnsiTheme="majorHAnsi"/>
          <w:spacing w:val="6"/>
          <w:sz w:val="20"/>
          <w:szCs w:val="20"/>
        </w:rPr>
        <w:t xml:space="preserve"> </w:t>
      </w:r>
      <w:r w:rsidRPr="000977F7">
        <w:rPr>
          <w:rFonts w:asciiTheme="majorHAnsi" w:hAnsiTheme="majorHAnsi"/>
          <w:sz w:val="20"/>
          <w:szCs w:val="20"/>
        </w:rPr>
        <w:t>на</w:t>
      </w:r>
      <w:r w:rsidRPr="000977F7">
        <w:rPr>
          <w:rFonts w:asciiTheme="majorHAnsi" w:hAnsiTheme="majorHAnsi"/>
          <w:spacing w:val="4"/>
          <w:sz w:val="20"/>
          <w:szCs w:val="20"/>
        </w:rPr>
        <w:t xml:space="preserve"> </w:t>
      </w:r>
      <w:r w:rsidRPr="000977F7">
        <w:rPr>
          <w:rFonts w:asciiTheme="majorHAnsi" w:hAnsiTheme="majorHAnsi"/>
          <w:sz w:val="20"/>
          <w:szCs w:val="20"/>
        </w:rPr>
        <w:t>підставі</w:t>
      </w:r>
      <w:r w:rsidRPr="000977F7">
        <w:rPr>
          <w:rFonts w:asciiTheme="majorHAnsi" w:hAnsiTheme="majorHAnsi"/>
          <w:spacing w:val="4"/>
          <w:sz w:val="20"/>
          <w:szCs w:val="20"/>
        </w:rPr>
        <w:t xml:space="preserve"> </w:t>
      </w:r>
      <w:r w:rsidRPr="000977F7">
        <w:rPr>
          <w:rFonts w:asciiTheme="majorHAnsi" w:hAnsiTheme="majorHAnsi"/>
          <w:sz w:val="20"/>
          <w:szCs w:val="20"/>
        </w:rPr>
        <w:t>тих</w:t>
      </w:r>
      <w:r w:rsidRPr="000977F7">
        <w:rPr>
          <w:rFonts w:asciiTheme="majorHAnsi" w:hAnsiTheme="majorHAnsi"/>
          <w:spacing w:val="4"/>
          <w:sz w:val="20"/>
          <w:szCs w:val="20"/>
        </w:rPr>
        <w:t xml:space="preserve"> </w:t>
      </w:r>
      <w:r w:rsidRPr="000977F7">
        <w:rPr>
          <w:rFonts w:asciiTheme="majorHAnsi" w:hAnsiTheme="majorHAnsi"/>
          <w:sz w:val="20"/>
          <w:szCs w:val="20"/>
        </w:rPr>
        <w:t>же</w:t>
      </w:r>
      <w:r w:rsidRPr="000977F7">
        <w:rPr>
          <w:rFonts w:asciiTheme="majorHAnsi" w:hAnsiTheme="majorHAnsi"/>
          <w:spacing w:val="5"/>
          <w:sz w:val="20"/>
          <w:szCs w:val="20"/>
        </w:rPr>
        <w:t xml:space="preserve"> </w:t>
      </w:r>
      <w:r w:rsidRPr="000977F7">
        <w:rPr>
          <w:rFonts w:asciiTheme="majorHAnsi" w:hAnsiTheme="majorHAnsi"/>
          <w:sz w:val="20"/>
          <w:szCs w:val="20"/>
        </w:rPr>
        <w:t>даних</w:t>
      </w:r>
      <w:r w:rsidRPr="000977F7">
        <w:rPr>
          <w:rFonts w:asciiTheme="majorHAnsi" w:hAnsiTheme="majorHAnsi"/>
          <w:spacing w:val="4"/>
          <w:sz w:val="20"/>
          <w:szCs w:val="20"/>
        </w:rPr>
        <w:t xml:space="preserve"> </w:t>
      </w:r>
      <w:r w:rsidRPr="000977F7">
        <w:rPr>
          <w:rFonts w:asciiTheme="majorHAnsi" w:hAnsiTheme="majorHAnsi"/>
          <w:sz w:val="20"/>
          <w:szCs w:val="20"/>
        </w:rPr>
        <w:t>спостережень</w:t>
      </w:r>
      <w:r w:rsidRPr="000977F7">
        <w:rPr>
          <w:rFonts w:asciiTheme="majorHAnsi" w:hAnsiTheme="majorHAnsi"/>
          <w:spacing w:val="2"/>
          <w:sz w:val="20"/>
          <w:szCs w:val="20"/>
        </w:rPr>
        <w:t xml:space="preserve"> </w:t>
      </w:r>
      <w:r w:rsidRPr="000977F7">
        <w:rPr>
          <w:rFonts w:asciiTheme="majorHAnsi" w:hAnsiTheme="majorHAnsi"/>
          <w:sz w:val="20"/>
          <w:szCs w:val="20"/>
        </w:rPr>
        <w:t>за</w:t>
      </w:r>
      <w:r w:rsidRPr="000977F7">
        <w:rPr>
          <w:rFonts w:asciiTheme="majorHAnsi" w:hAnsiTheme="majorHAnsi"/>
          <w:spacing w:val="2"/>
          <w:sz w:val="20"/>
          <w:szCs w:val="20"/>
        </w:rPr>
        <w:t xml:space="preserve"> </w:t>
      </w:r>
      <w:r w:rsidRPr="000977F7">
        <w:rPr>
          <w:rFonts w:asciiTheme="majorHAnsi" w:hAnsiTheme="majorHAnsi"/>
          <w:sz w:val="20"/>
          <w:szCs w:val="20"/>
        </w:rPr>
        <w:t>номінально</w:t>
      </w:r>
      <w:r w:rsidRPr="000977F7">
        <w:rPr>
          <w:rFonts w:asciiTheme="majorHAnsi" w:hAnsiTheme="majorHAnsi"/>
          <w:spacing w:val="3"/>
          <w:sz w:val="20"/>
          <w:szCs w:val="20"/>
        </w:rPr>
        <w:t xml:space="preserve"> </w:t>
      </w:r>
      <w:r w:rsidRPr="000977F7">
        <w:rPr>
          <w:rFonts w:asciiTheme="majorHAnsi" w:hAnsiTheme="majorHAnsi"/>
          <w:sz w:val="20"/>
          <w:szCs w:val="20"/>
        </w:rPr>
        <w:t>ідентичними</w:t>
      </w:r>
      <w:r w:rsidRPr="000977F7">
        <w:rPr>
          <w:rFonts w:asciiTheme="majorHAnsi" w:hAnsiTheme="majorHAnsi"/>
          <w:spacing w:val="3"/>
          <w:sz w:val="20"/>
          <w:szCs w:val="20"/>
        </w:rPr>
        <w:t xml:space="preserve"> </w:t>
      </w:r>
      <w:r w:rsidRPr="000977F7">
        <w:rPr>
          <w:rFonts w:asciiTheme="majorHAnsi" w:hAnsiTheme="majorHAnsi"/>
          <w:sz w:val="20"/>
          <w:szCs w:val="20"/>
        </w:rPr>
        <w:t>виробами,</w:t>
      </w:r>
      <w:r w:rsidRPr="000977F7">
        <w:rPr>
          <w:rFonts w:asciiTheme="majorHAnsi" w:hAnsiTheme="majorHAnsi"/>
          <w:spacing w:val="2"/>
          <w:sz w:val="20"/>
          <w:szCs w:val="20"/>
        </w:rPr>
        <w:t xml:space="preserve"> </w:t>
      </w:r>
      <w:r w:rsidRPr="000977F7">
        <w:rPr>
          <w:rFonts w:asciiTheme="majorHAnsi" w:hAnsiTheme="majorHAnsi"/>
          <w:sz w:val="20"/>
          <w:szCs w:val="20"/>
        </w:rPr>
        <w:t>що</w:t>
      </w:r>
      <w:r w:rsidRPr="000977F7">
        <w:rPr>
          <w:rFonts w:asciiTheme="majorHAnsi" w:hAnsiTheme="majorHAnsi"/>
          <w:spacing w:val="3"/>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спостережене</w:t>
      </w:r>
      <w:r w:rsidRPr="000977F7">
        <w:rPr>
          <w:rFonts w:asciiTheme="majorHAnsi" w:hAnsiTheme="majorHAnsi"/>
          <w:spacing w:val="-2"/>
          <w:sz w:val="20"/>
          <w:szCs w:val="20"/>
        </w:rPr>
        <w:t xml:space="preserve"> </w:t>
      </w:r>
      <w:r w:rsidRPr="000977F7">
        <w:rPr>
          <w:rFonts w:asciiTheme="majorHAnsi" w:hAnsiTheme="majorHAnsi"/>
          <w:sz w:val="20"/>
          <w:szCs w:val="20"/>
        </w:rPr>
        <w:t>середнє</w:t>
      </w:r>
      <w:r w:rsidRPr="000977F7">
        <w:rPr>
          <w:rFonts w:asciiTheme="majorHAnsi" w:hAnsiTheme="majorHAnsi"/>
          <w:spacing w:val="-1"/>
          <w:sz w:val="20"/>
          <w:szCs w:val="20"/>
        </w:rPr>
        <w:t xml:space="preserve"> </w:t>
      </w:r>
      <w:r w:rsidRPr="000977F7">
        <w:rPr>
          <w:rFonts w:asciiTheme="majorHAnsi" w:hAnsiTheme="majorHAnsi"/>
          <w:sz w:val="20"/>
          <w:szCs w:val="20"/>
        </w:rPr>
        <w:t>напрацювання</w:t>
      </w:r>
      <w:r w:rsidRPr="000977F7">
        <w:rPr>
          <w:rFonts w:asciiTheme="majorHAnsi" w:hAnsiTheme="majorHAnsi"/>
          <w:spacing w:val="-2"/>
          <w:sz w:val="20"/>
          <w:szCs w:val="20"/>
        </w:rPr>
        <w:t xml:space="preserve"> </w:t>
      </w:r>
      <w:r w:rsidRPr="000977F7">
        <w:rPr>
          <w:rFonts w:asciiTheme="majorHAnsi" w:hAnsiTheme="majorHAnsi"/>
          <w:sz w:val="20"/>
          <w:szCs w:val="20"/>
        </w:rPr>
        <w:t>до</w:t>
      </w:r>
      <w:r w:rsidRPr="000977F7">
        <w:rPr>
          <w:rFonts w:asciiTheme="majorHAnsi" w:hAnsiTheme="majorHAnsi"/>
          <w:spacing w:val="-2"/>
          <w:sz w:val="20"/>
          <w:szCs w:val="20"/>
        </w:rPr>
        <w:t xml:space="preserve"> </w:t>
      </w:r>
      <w:r w:rsidRPr="000977F7">
        <w:rPr>
          <w:rFonts w:asciiTheme="majorHAnsi" w:hAnsiTheme="majorHAnsi"/>
          <w:sz w:val="20"/>
          <w:szCs w:val="20"/>
        </w:rPr>
        <w:t>відмови</w:t>
      </w:r>
    </w:p>
    <w:p w14:paraId="11A6656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78C73B0"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Слід</w:t>
      </w:r>
      <w:r w:rsidRPr="000977F7">
        <w:rPr>
          <w:rFonts w:asciiTheme="majorHAnsi" w:hAnsiTheme="majorHAnsi"/>
          <w:spacing w:val="36"/>
          <w:sz w:val="20"/>
          <w:szCs w:val="20"/>
        </w:rPr>
        <w:t xml:space="preserve"> </w:t>
      </w:r>
      <w:r w:rsidRPr="000977F7">
        <w:rPr>
          <w:rFonts w:asciiTheme="majorHAnsi" w:hAnsiTheme="majorHAnsi"/>
          <w:sz w:val="20"/>
          <w:szCs w:val="20"/>
        </w:rPr>
        <w:t>вказати</w:t>
      </w:r>
      <w:r w:rsidRPr="000977F7">
        <w:rPr>
          <w:rFonts w:asciiTheme="majorHAnsi" w:hAnsiTheme="majorHAnsi"/>
          <w:spacing w:val="36"/>
          <w:sz w:val="20"/>
          <w:szCs w:val="20"/>
        </w:rPr>
        <w:t xml:space="preserve"> </w:t>
      </w:r>
      <w:r w:rsidRPr="000977F7">
        <w:rPr>
          <w:rFonts w:asciiTheme="majorHAnsi" w:hAnsiTheme="majorHAnsi"/>
          <w:sz w:val="20"/>
          <w:szCs w:val="20"/>
        </w:rPr>
        <w:t>джерело</w:t>
      </w:r>
      <w:r w:rsidRPr="000977F7">
        <w:rPr>
          <w:rFonts w:asciiTheme="majorHAnsi" w:hAnsiTheme="majorHAnsi"/>
          <w:spacing w:val="37"/>
          <w:sz w:val="20"/>
          <w:szCs w:val="20"/>
        </w:rPr>
        <w:t xml:space="preserve"> </w:t>
      </w:r>
      <w:r w:rsidRPr="000977F7">
        <w:rPr>
          <w:rFonts w:asciiTheme="majorHAnsi" w:hAnsiTheme="majorHAnsi"/>
          <w:sz w:val="20"/>
          <w:szCs w:val="20"/>
        </w:rPr>
        <w:t>даних;</w:t>
      </w:r>
      <w:r w:rsidRPr="000977F7">
        <w:rPr>
          <w:rFonts w:asciiTheme="majorHAnsi" w:hAnsiTheme="majorHAnsi"/>
          <w:spacing w:val="37"/>
          <w:sz w:val="20"/>
          <w:szCs w:val="20"/>
        </w:rPr>
        <w:t xml:space="preserve"> </w:t>
      </w:r>
      <w:r w:rsidRPr="000977F7">
        <w:rPr>
          <w:rFonts w:asciiTheme="majorHAnsi" w:hAnsiTheme="majorHAnsi"/>
          <w:sz w:val="20"/>
          <w:szCs w:val="20"/>
        </w:rPr>
        <w:t>результати</w:t>
      </w:r>
      <w:r w:rsidRPr="000977F7">
        <w:rPr>
          <w:rFonts w:asciiTheme="majorHAnsi" w:hAnsiTheme="majorHAnsi"/>
          <w:spacing w:val="36"/>
          <w:sz w:val="20"/>
          <w:szCs w:val="20"/>
        </w:rPr>
        <w:t xml:space="preserve"> </w:t>
      </w:r>
      <w:r w:rsidRPr="000977F7">
        <w:rPr>
          <w:rFonts w:asciiTheme="majorHAnsi" w:hAnsiTheme="majorHAnsi"/>
          <w:sz w:val="20"/>
          <w:szCs w:val="20"/>
        </w:rPr>
        <w:t>можуть</w:t>
      </w:r>
      <w:r w:rsidRPr="000977F7">
        <w:rPr>
          <w:rFonts w:asciiTheme="majorHAnsi" w:hAnsiTheme="majorHAnsi"/>
          <w:spacing w:val="39"/>
          <w:sz w:val="20"/>
          <w:szCs w:val="20"/>
        </w:rPr>
        <w:t xml:space="preserve"> </w:t>
      </w:r>
      <w:r w:rsidRPr="000977F7">
        <w:rPr>
          <w:rFonts w:asciiTheme="majorHAnsi" w:hAnsiTheme="majorHAnsi"/>
          <w:sz w:val="20"/>
          <w:szCs w:val="20"/>
        </w:rPr>
        <w:t>накопичуватися</w:t>
      </w:r>
      <w:r w:rsidRPr="000977F7">
        <w:rPr>
          <w:rFonts w:asciiTheme="majorHAnsi" w:hAnsiTheme="majorHAnsi"/>
          <w:spacing w:val="10"/>
          <w:sz w:val="20"/>
          <w:szCs w:val="20"/>
        </w:rPr>
        <w:t xml:space="preserve"> </w:t>
      </w:r>
      <w:r w:rsidRPr="000977F7">
        <w:rPr>
          <w:rFonts w:asciiTheme="majorHAnsi" w:hAnsiTheme="majorHAnsi"/>
          <w:sz w:val="20"/>
          <w:szCs w:val="20"/>
        </w:rPr>
        <w:t>(узагальнюватися)</w:t>
      </w:r>
      <w:r w:rsidRPr="000977F7">
        <w:rPr>
          <w:rFonts w:asciiTheme="majorHAnsi" w:hAnsiTheme="majorHAnsi"/>
          <w:spacing w:val="11"/>
          <w:sz w:val="20"/>
          <w:szCs w:val="20"/>
        </w:rPr>
        <w:t xml:space="preserve"> </w:t>
      </w:r>
      <w:r w:rsidRPr="000977F7">
        <w:rPr>
          <w:rFonts w:asciiTheme="majorHAnsi" w:hAnsiTheme="majorHAnsi"/>
          <w:sz w:val="20"/>
          <w:szCs w:val="20"/>
        </w:rPr>
        <w:t>тільки</w:t>
      </w:r>
      <w:r w:rsidRPr="000977F7">
        <w:rPr>
          <w:rFonts w:asciiTheme="majorHAnsi" w:hAnsiTheme="majorHAnsi"/>
          <w:spacing w:val="12"/>
          <w:sz w:val="20"/>
          <w:szCs w:val="20"/>
        </w:rPr>
        <w:t xml:space="preserve"> </w:t>
      </w:r>
      <w:r w:rsidRPr="000977F7">
        <w:rPr>
          <w:rFonts w:asciiTheme="majorHAnsi" w:hAnsiTheme="majorHAnsi"/>
          <w:sz w:val="20"/>
          <w:szCs w:val="20"/>
        </w:rPr>
        <w:t>в</w:t>
      </w:r>
      <w:r w:rsidRPr="000977F7">
        <w:rPr>
          <w:rFonts w:asciiTheme="majorHAnsi" w:hAnsiTheme="majorHAnsi"/>
          <w:spacing w:val="10"/>
          <w:sz w:val="20"/>
          <w:szCs w:val="20"/>
        </w:rPr>
        <w:t xml:space="preserve"> </w:t>
      </w:r>
      <w:r w:rsidRPr="000977F7">
        <w:rPr>
          <w:rFonts w:asciiTheme="majorHAnsi" w:hAnsiTheme="majorHAnsi"/>
          <w:sz w:val="20"/>
          <w:szCs w:val="20"/>
        </w:rPr>
        <w:t>тому</w:t>
      </w:r>
      <w:r w:rsidRPr="000977F7">
        <w:rPr>
          <w:rFonts w:asciiTheme="majorHAnsi" w:hAnsiTheme="majorHAnsi"/>
          <w:spacing w:val="7"/>
          <w:sz w:val="20"/>
          <w:szCs w:val="20"/>
        </w:rPr>
        <w:t xml:space="preserve"> </w:t>
      </w:r>
      <w:r w:rsidRPr="000977F7">
        <w:rPr>
          <w:rFonts w:asciiTheme="majorHAnsi" w:hAnsiTheme="majorHAnsi"/>
          <w:sz w:val="20"/>
          <w:szCs w:val="20"/>
        </w:rPr>
        <w:t>випадку,</w:t>
      </w:r>
      <w:r w:rsidRPr="000977F7">
        <w:rPr>
          <w:rFonts w:asciiTheme="majorHAnsi" w:hAnsiTheme="majorHAnsi"/>
          <w:spacing w:val="15"/>
          <w:sz w:val="20"/>
          <w:szCs w:val="20"/>
        </w:rPr>
        <w:t xml:space="preserve"> </w:t>
      </w:r>
      <w:r w:rsidRPr="000977F7">
        <w:rPr>
          <w:rFonts w:asciiTheme="majorHAnsi" w:hAnsiTheme="majorHAnsi"/>
          <w:sz w:val="20"/>
          <w:szCs w:val="20"/>
        </w:rPr>
        <w:t>якщо</w:t>
      </w:r>
      <w:r w:rsidRPr="000977F7">
        <w:rPr>
          <w:rFonts w:asciiTheme="majorHAnsi" w:hAnsiTheme="majorHAnsi"/>
          <w:spacing w:val="17"/>
          <w:sz w:val="20"/>
          <w:szCs w:val="20"/>
        </w:rPr>
        <w:t xml:space="preserve"> </w:t>
      </w:r>
      <w:r w:rsidRPr="000977F7">
        <w:rPr>
          <w:rFonts w:asciiTheme="majorHAnsi" w:hAnsiTheme="majorHAnsi"/>
          <w:sz w:val="20"/>
          <w:szCs w:val="20"/>
        </w:rPr>
        <w:t>всі</w:t>
      </w:r>
      <w:r w:rsidRPr="000977F7">
        <w:rPr>
          <w:rFonts w:asciiTheme="majorHAnsi" w:hAnsiTheme="majorHAnsi"/>
          <w:spacing w:val="14"/>
          <w:sz w:val="20"/>
          <w:szCs w:val="20"/>
        </w:rPr>
        <w:t xml:space="preserve"> </w:t>
      </w:r>
      <w:r w:rsidRPr="000977F7">
        <w:rPr>
          <w:rFonts w:asciiTheme="majorHAnsi" w:hAnsiTheme="majorHAnsi"/>
          <w:sz w:val="20"/>
          <w:szCs w:val="20"/>
        </w:rPr>
        <w:t>умови</w:t>
      </w:r>
      <w:r w:rsidRPr="000977F7">
        <w:rPr>
          <w:rFonts w:asciiTheme="majorHAnsi" w:hAnsiTheme="majorHAnsi"/>
          <w:spacing w:val="14"/>
          <w:sz w:val="20"/>
          <w:szCs w:val="20"/>
        </w:rPr>
        <w:t xml:space="preserve"> </w:t>
      </w:r>
      <w:r w:rsidRPr="000977F7">
        <w:rPr>
          <w:rFonts w:asciiTheme="majorHAnsi" w:hAnsiTheme="majorHAnsi"/>
          <w:sz w:val="20"/>
          <w:szCs w:val="20"/>
        </w:rPr>
        <w:t>подібні;</w:t>
      </w:r>
      <w:r w:rsidRPr="000977F7">
        <w:rPr>
          <w:rFonts w:asciiTheme="majorHAnsi" w:hAnsiTheme="majorHAnsi"/>
          <w:spacing w:val="14"/>
          <w:sz w:val="20"/>
          <w:szCs w:val="20"/>
        </w:rPr>
        <w:t xml:space="preserve"> </w:t>
      </w:r>
      <w:r w:rsidRPr="000977F7">
        <w:rPr>
          <w:rFonts w:asciiTheme="majorHAnsi" w:hAnsiTheme="majorHAnsi"/>
          <w:sz w:val="20"/>
          <w:szCs w:val="20"/>
        </w:rPr>
        <w:t>слід</w:t>
      </w:r>
      <w:r w:rsidRPr="000977F7">
        <w:rPr>
          <w:rFonts w:asciiTheme="majorHAnsi" w:hAnsiTheme="majorHAnsi"/>
          <w:spacing w:val="13"/>
          <w:sz w:val="20"/>
          <w:szCs w:val="20"/>
        </w:rPr>
        <w:t xml:space="preserve"> </w:t>
      </w:r>
      <w:r w:rsidRPr="000977F7">
        <w:rPr>
          <w:rFonts w:asciiTheme="majorHAnsi" w:hAnsiTheme="majorHAnsi"/>
          <w:sz w:val="20"/>
          <w:szCs w:val="20"/>
        </w:rPr>
        <w:t>вказати</w:t>
      </w:r>
      <w:r w:rsidRPr="000977F7">
        <w:rPr>
          <w:rFonts w:asciiTheme="majorHAnsi" w:hAnsiTheme="majorHAnsi"/>
          <w:spacing w:val="12"/>
          <w:sz w:val="20"/>
          <w:szCs w:val="20"/>
        </w:rPr>
        <w:t xml:space="preserve"> </w:t>
      </w:r>
      <w:r w:rsidRPr="000977F7">
        <w:rPr>
          <w:rFonts w:asciiTheme="majorHAnsi" w:hAnsiTheme="majorHAnsi"/>
          <w:sz w:val="20"/>
          <w:szCs w:val="20"/>
        </w:rPr>
        <w:t>закон</w:t>
      </w:r>
      <w:r w:rsidRPr="000977F7">
        <w:rPr>
          <w:rFonts w:asciiTheme="majorHAnsi" w:hAnsiTheme="majorHAnsi"/>
          <w:spacing w:val="11"/>
          <w:sz w:val="20"/>
          <w:szCs w:val="20"/>
        </w:rPr>
        <w:t xml:space="preserve"> </w:t>
      </w:r>
      <w:r w:rsidRPr="000977F7">
        <w:rPr>
          <w:rFonts w:asciiTheme="majorHAnsi" w:hAnsiTheme="majorHAnsi"/>
          <w:sz w:val="20"/>
          <w:szCs w:val="20"/>
        </w:rPr>
        <w:t>розподілу</w:t>
      </w:r>
      <w:r w:rsidRPr="000977F7">
        <w:rPr>
          <w:rFonts w:asciiTheme="majorHAnsi" w:hAnsiTheme="majorHAnsi"/>
          <w:spacing w:val="11"/>
          <w:sz w:val="20"/>
          <w:szCs w:val="20"/>
        </w:rPr>
        <w:t xml:space="preserve"> </w:t>
      </w:r>
      <w:r w:rsidRPr="000977F7">
        <w:rPr>
          <w:rFonts w:asciiTheme="majorHAnsi" w:hAnsiTheme="majorHAnsi"/>
          <w:sz w:val="20"/>
          <w:szCs w:val="20"/>
        </w:rPr>
        <w:t>відмов</w:t>
      </w:r>
      <w:r w:rsidRPr="000977F7">
        <w:rPr>
          <w:rFonts w:asciiTheme="majorHAnsi" w:hAnsiTheme="majorHAnsi"/>
          <w:spacing w:val="13"/>
          <w:sz w:val="20"/>
          <w:szCs w:val="20"/>
        </w:rPr>
        <w:t xml:space="preserve"> </w:t>
      </w:r>
      <w:r w:rsidRPr="000977F7">
        <w:rPr>
          <w:rFonts w:asciiTheme="majorHAnsi" w:hAnsiTheme="majorHAnsi"/>
          <w:sz w:val="20"/>
          <w:szCs w:val="20"/>
        </w:rPr>
        <w:t>в</w:t>
      </w:r>
      <w:r w:rsidRPr="000977F7">
        <w:rPr>
          <w:rFonts w:asciiTheme="majorHAnsi" w:hAnsiTheme="majorHAnsi"/>
          <w:spacing w:val="13"/>
          <w:sz w:val="20"/>
          <w:szCs w:val="20"/>
        </w:rPr>
        <w:t xml:space="preserve"> </w:t>
      </w:r>
      <w:r w:rsidRPr="000977F7">
        <w:rPr>
          <w:rFonts w:asciiTheme="majorHAnsi" w:hAnsiTheme="majorHAnsi"/>
          <w:sz w:val="20"/>
          <w:szCs w:val="20"/>
        </w:rPr>
        <w:t>часі,</w:t>
      </w:r>
      <w:r w:rsidRPr="000977F7">
        <w:rPr>
          <w:rFonts w:asciiTheme="majorHAnsi" w:hAnsiTheme="majorHAnsi"/>
          <w:spacing w:val="14"/>
          <w:sz w:val="20"/>
          <w:szCs w:val="20"/>
        </w:rPr>
        <w:t xml:space="preserve"> </w:t>
      </w:r>
      <w:r w:rsidRPr="000977F7">
        <w:rPr>
          <w:rFonts w:asciiTheme="majorHAnsi" w:hAnsiTheme="majorHAnsi"/>
          <w:sz w:val="20"/>
          <w:szCs w:val="20"/>
        </w:rPr>
        <w:t>який</w:t>
      </w:r>
      <w:r w:rsidRPr="000977F7">
        <w:rPr>
          <w:rFonts w:asciiTheme="majorHAnsi" w:hAnsiTheme="majorHAnsi"/>
          <w:spacing w:val="12"/>
          <w:sz w:val="20"/>
          <w:szCs w:val="20"/>
        </w:rPr>
        <w:t xml:space="preserve"> </w:t>
      </w:r>
      <w:r w:rsidRPr="000977F7">
        <w:rPr>
          <w:rFonts w:asciiTheme="majorHAnsi" w:hAnsiTheme="majorHAnsi"/>
          <w:sz w:val="20"/>
          <w:szCs w:val="20"/>
        </w:rPr>
        <w:t>передбачається;</w:t>
      </w:r>
      <w:r w:rsidRPr="000977F7">
        <w:rPr>
          <w:rFonts w:asciiTheme="majorHAnsi" w:hAnsiTheme="majorHAnsi"/>
          <w:spacing w:val="13"/>
          <w:sz w:val="20"/>
          <w:szCs w:val="20"/>
        </w:rPr>
        <w:t xml:space="preserve"> </w:t>
      </w:r>
      <w:r w:rsidRPr="000977F7">
        <w:rPr>
          <w:rFonts w:asciiTheme="majorHAnsi" w:hAnsiTheme="majorHAnsi"/>
          <w:sz w:val="20"/>
          <w:szCs w:val="20"/>
        </w:rPr>
        <w:t>слід</w:t>
      </w:r>
      <w:r w:rsidRPr="000977F7">
        <w:rPr>
          <w:rFonts w:asciiTheme="majorHAnsi" w:hAnsiTheme="majorHAnsi"/>
          <w:spacing w:val="13"/>
          <w:sz w:val="20"/>
          <w:szCs w:val="20"/>
        </w:rPr>
        <w:t xml:space="preserve"> </w:t>
      </w:r>
      <w:r w:rsidRPr="000977F7">
        <w:rPr>
          <w:rFonts w:asciiTheme="majorHAnsi" w:hAnsiTheme="majorHAnsi"/>
          <w:sz w:val="20"/>
          <w:szCs w:val="20"/>
        </w:rPr>
        <w:t>вказати,</w:t>
      </w:r>
      <w:r w:rsidRPr="000977F7">
        <w:rPr>
          <w:rFonts w:asciiTheme="majorHAnsi" w:hAnsiTheme="majorHAnsi"/>
          <w:spacing w:val="-47"/>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довірчий інтервал</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використовується</w:t>
      </w:r>
      <w:r w:rsidRPr="000977F7">
        <w:rPr>
          <w:rFonts w:asciiTheme="majorHAnsi" w:hAnsiTheme="majorHAnsi"/>
          <w:spacing w:val="1"/>
          <w:sz w:val="20"/>
          <w:szCs w:val="20"/>
        </w:rPr>
        <w:t xml:space="preserve"> </w:t>
      </w:r>
      <w:r w:rsidRPr="000977F7">
        <w:rPr>
          <w:rFonts w:asciiTheme="majorHAnsi" w:hAnsiTheme="majorHAnsi"/>
          <w:sz w:val="20"/>
          <w:szCs w:val="20"/>
        </w:rPr>
        <w:t>односторонній чи</w:t>
      </w:r>
      <w:r w:rsidRPr="000977F7">
        <w:rPr>
          <w:rFonts w:asciiTheme="majorHAnsi" w:hAnsiTheme="majorHAnsi"/>
          <w:spacing w:val="1"/>
          <w:sz w:val="20"/>
          <w:szCs w:val="20"/>
        </w:rPr>
        <w:t xml:space="preserve"> </w:t>
      </w:r>
      <w:r w:rsidRPr="000977F7">
        <w:rPr>
          <w:rFonts w:asciiTheme="majorHAnsi" w:hAnsiTheme="majorHAnsi"/>
          <w:sz w:val="20"/>
          <w:szCs w:val="20"/>
        </w:rPr>
        <w:t>двосторонній;</w:t>
      </w:r>
      <w:r w:rsidRPr="000977F7">
        <w:rPr>
          <w:rFonts w:asciiTheme="majorHAnsi" w:hAnsiTheme="majorHAnsi"/>
          <w:spacing w:val="5"/>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тому</w:t>
      </w:r>
      <w:r w:rsidRPr="000977F7">
        <w:rPr>
          <w:rFonts w:asciiTheme="majorHAnsi" w:hAnsiTheme="majorHAnsi"/>
          <w:spacing w:val="-1"/>
          <w:sz w:val="20"/>
          <w:szCs w:val="20"/>
        </w:rPr>
        <w:t xml:space="preserve"> </w:t>
      </w:r>
      <w:r w:rsidRPr="000977F7">
        <w:rPr>
          <w:rFonts w:asciiTheme="majorHAnsi" w:hAnsiTheme="majorHAnsi"/>
          <w:sz w:val="20"/>
          <w:szCs w:val="20"/>
        </w:rPr>
        <w:t>випадку,</w:t>
      </w:r>
      <w:r w:rsidRPr="000977F7">
        <w:rPr>
          <w:rFonts w:asciiTheme="majorHAnsi" w:hAnsiTheme="majorHAnsi"/>
          <w:spacing w:val="3"/>
          <w:sz w:val="20"/>
          <w:szCs w:val="20"/>
        </w:rPr>
        <w:t xml:space="preserve"> </w:t>
      </w:r>
      <w:r w:rsidRPr="000977F7">
        <w:rPr>
          <w:rFonts w:asciiTheme="majorHAnsi" w:hAnsiTheme="majorHAnsi"/>
          <w:sz w:val="20"/>
          <w:szCs w:val="20"/>
        </w:rPr>
        <w:t>коли</w:t>
      </w:r>
      <w:r w:rsidRPr="000977F7">
        <w:rPr>
          <w:rFonts w:asciiTheme="majorHAnsi" w:hAnsiTheme="majorHAnsi"/>
          <w:spacing w:val="3"/>
          <w:sz w:val="20"/>
          <w:szCs w:val="20"/>
        </w:rPr>
        <w:t xml:space="preserve"> </w:t>
      </w:r>
      <w:r w:rsidRPr="000977F7">
        <w:rPr>
          <w:rFonts w:asciiTheme="majorHAnsi" w:hAnsiTheme="majorHAnsi"/>
          <w:sz w:val="20"/>
          <w:szCs w:val="20"/>
        </w:rPr>
        <w:t>указана</w:t>
      </w:r>
      <w:r w:rsidRPr="000977F7">
        <w:rPr>
          <w:rFonts w:asciiTheme="majorHAnsi" w:hAnsiTheme="majorHAnsi"/>
          <w:spacing w:val="-47"/>
          <w:sz w:val="20"/>
          <w:szCs w:val="20"/>
        </w:rPr>
        <w:t xml:space="preserve"> </w:t>
      </w:r>
      <w:r w:rsidRPr="000977F7">
        <w:rPr>
          <w:rFonts w:asciiTheme="majorHAnsi" w:hAnsiTheme="majorHAnsi"/>
          <w:sz w:val="20"/>
          <w:szCs w:val="20"/>
        </w:rPr>
        <w:t>одна границя, вона, як правило, є верхньою границею</w:t>
      </w:r>
      <w:r w:rsidRPr="000977F7">
        <w:rPr>
          <w:rFonts w:asciiTheme="majorHAnsi" w:hAnsiTheme="majorHAnsi"/>
          <w:spacing w:val="1"/>
          <w:sz w:val="20"/>
          <w:szCs w:val="20"/>
        </w:rPr>
        <w:t xml:space="preserve"> </w:t>
      </w:r>
    </w:p>
    <w:p w14:paraId="223EEFEB"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ОЦІНЕНЕ</w:t>
      </w:r>
      <w:r w:rsidRPr="000977F7">
        <w:rPr>
          <w:rFonts w:asciiTheme="majorHAnsi" w:hAnsiTheme="majorHAnsi"/>
          <w:b/>
          <w:spacing w:val="1"/>
          <w:sz w:val="20"/>
          <w:szCs w:val="20"/>
        </w:rPr>
        <w:t xml:space="preserve"> </w:t>
      </w:r>
      <w:r w:rsidRPr="000977F7">
        <w:rPr>
          <w:rFonts w:asciiTheme="majorHAnsi" w:hAnsiTheme="majorHAnsi"/>
          <w:b/>
          <w:sz w:val="20"/>
          <w:szCs w:val="20"/>
        </w:rPr>
        <w:t>СЕРЕДНЄ</w:t>
      </w:r>
      <w:r w:rsidRPr="000977F7">
        <w:rPr>
          <w:rFonts w:asciiTheme="majorHAnsi" w:hAnsiTheme="majorHAnsi"/>
          <w:b/>
          <w:spacing w:val="1"/>
          <w:sz w:val="20"/>
          <w:szCs w:val="20"/>
        </w:rPr>
        <w:t xml:space="preserve"> </w:t>
      </w:r>
      <w:r w:rsidRPr="000977F7">
        <w:rPr>
          <w:rFonts w:asciiTheme="majorHAnsi" w:hAnsiTheme="majorHAnsi"/>
          <w:b/>
          <w:sz w:val="20"/>
          <w:szCs w:val="20"/>
        </w:rPr>
        <w:t>НАПРАЦЮВАННЯ НА</w:t>
      </w:r>
      <w:r w:rsidRPr="000977F7">
        <w:rPr>
          <w:rFonts w:asciiTheme="majorHAnsi" w:hAnsiTheme="majorHAnsi"/>
          <w:b/>
          <w:spacing w:val="1"/>
          <w:sz w:val="20"/>
          <w:szCs w:val="20"/>
        </w:rPr>
        <w:t xml:space="preserve"> </w:t>
      </w:r>
      <w:r w:rsidRPr="000977F7">
        <w:rPr>
          <w:rFonts w:asciiTheme="majorHAnsi" w:hAnsiTheme="majorHAnsi"/>
          <w:b/>
          <w:sz w:val="20"/>
          <w:szCs w:val="20"/>
        </w:rPr>
        <w:t>ВІДМОВУ</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6386E11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ASSESSED</w:t>
      </w:r>
      <w:r w:rsidRPr="004D2D14">
        <w:rPr>
          <w:rFonts w:asciiTheme="majorHAnsi" w:hAnsiTheme="majorHAnsi"/>
          <w:spacing w:val="43"/>
          <w:sz w:val="20"/>
          <w:szCs w:val="20"/>
          <w:lang w:val="en-US"/>
        </w:rPr>
        <w:t xml:space="preserve"> </w:t>
      </w:r>
      <w:r w:rsidRPr="004D2D14">
        <w:rPr>
          <w:rFonts w:asciiTheme="majorHAnsi" w:hAnsiTheme="majorHAnsi"/>
          <w:sz w:val="20"/>
          <w:szCs w:val="20"/>
          <w:lang w:val="en-US"/>
        </w:rPr>
        <w:t>MEAN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TIM</w:t>
      </w:r>
      <w:r w:rsidRPr="000977F7">
        <w:rPr>
          <w:rFonts w:asciiTheme="majorHAnsi" w:hAnsiTheme="majorHAnsi"/>
          <w:sz w:val="20"/>
          <w:szCs w:val="20"/>
        </w:rPr>
        <w:t>Е</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BETWEEN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FAILURES –</w:t>
      </w:r>
    </w:p>
    <w:p w14:paraId="487502B8"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Середнє</w:t>
      </w:r>
      <w:r w:rsidRPr="000977F7">
        <w:rPr>
          <w:rFonts w:asciiTheme="majorHAnsi" w:hAnsiTheme="majorHAnsi"/>
          <w:spacing w:val="10"/>
          <w:sz w:val="20"/>
          <w:szCs w:val="20"/>
        </w:rPr>
        <w:t xml:space="preserve"> </w:t>
      </w:r>
      <w:r w:rsidRPr="000977F7">
        <w:rPr>
          <w:rFonts w:asciiTheme="majorHAnsi" w:hAnsiTheme="majorHAnsi"/>
          <w:sz w:val="20"/>
          <w:szCs w:val="20"/>
        </w:rPr>
        <w:t>напрацювання</w:t>
      </w:r>
      <w:r w:rsidRPr="000977F7">
        <w:rPr>
          <w:rFonts w:asciiTheme="majorHAnsi" w:hAnsiTheme="majorHAnsi"/>
          <w:spacing w:val="16"/>
          <w:sz w:val="20"/>
          <w:szCs w:val="20"/>
        </w:rPr>
        <w:t xml:space="preserve"> </w:t>
      </w:r>
      <w:r w:rsidRPr="000977F7">
        <w:rPr>
          <w:rFonts w:asciiTheme="majorHAnsi" w:hAnsiTheme="majorHAnsi"/>
          <w:sz w:val="20"/>
          <w:szCs w:val="20"/>
        </w:rPr>
        <w:t>виробу</w:t>
      </w:r>
      <w:r w:rsidRPr="000977F7">
        <w:rPr>
          <w:rFonts w:asciiTheme="majorHAnsi" w:hAnsiTheme="majorHAnsi"/>
          <w:spacing w:val="6"/>
          <w:sz w:val="20"/>
          <w:szCs w:val="20"/>
        </w:rPr>
        <w:t xml:space="preserve"> </w:t>
      </w:r>
      <w:r w:rsidRPr="000977F7">
        <w:rPr>
          <w:rFonts w:asciiTheme="majorHAnsi" w:hAnsiTheme="majorHAnsi"/>
          <w:sz w:val="20"/>
          <w:szCs w:val="20"/>
        </w:rPr>
        <w:t>на</w:t>
      </w:r>
      <w:r w:rsidRPr="000977F7">
        <w:rPr>
          <w:rFonts w:asciiTheme="majorHAnsi" w:hAnsiTheme="majorHAnsi"/>
          <w:spacing w:val="16"/>
          <w:sz w:val="20"/>
          <w:szCs w:val="20"/>
        </w:rPr>
        <w:t xml:space="preserve"> </w:t>
      </w:r>
      <w:r w:rsidRPr="000977F7">
        <w:rPr>
          <w:rFonts w:asciiTheme="majorHAnsi" w:hAnsiTheme="majorHAnsi"/>
          <w:sz w:val="20"/>
          <w:szCs w:val="20"/>
        </w:rPr>
        <w:t>відмову</w:t>
      </w:r>
      <w:r w:rsidRPr="000977F7">
        <w:rPr>
          <w:rFonts w:asciiTheme="majorHAnsi" w:hAnsiTheme="majorHAnsi"/>
          <w:spacing w:val="4"/>
          <w:sz w:val="20"/>
          <w:szCs w:val="20"/>
        </w:rPr>
        <w:t xml:space="preserve"> </w:t>
      </w:r>
      <w:r w:rsidRPr="000977F7">
        <w:rPr>
          <w:rFonts w:asciiTheme="majorHAnsi" w:hAnsiTheme="majorHAnsi"/>
          <w:sz w:val="20"/>
          <w:szCs w:val="20"/>
        </w:rPr>
        <w:t>,</w:t>
      </w:r>
      <w:r w:rsidRPr="000977F7">
        <w:rPr>
          <w:rFonts w:asciiTheme="majorHAnsi" w:hAnsiTheme="majorHAnsi"/>
          <w:spacing w:val="10"/>
          <w:sz w:val="20"/>
          <w:szCs w:val="20"/>
        </w:rPr>
        <w:t xml:space="preserve"> </w:t>
      </w:r>
      <w:r w:rsidRPr="000977F7">
        <w:rPr>
          <w:rFonts w:asciiTheme="majorHAnsi" w:hAnsiTheme="majorHAnsi"/>
          <w:sz w:val="20"/>
          <w:szCs w:val="20"/>
        </w:rPr>
        <w:t>визначене</w:t>
      </w:r>
      <w:r w:rsidRPr="000977F7">
        <w:rPr>
          <w:rFonts w:asciiTheme="majorHAnsi" w:hAnsiTheme="majorHAnsi"/>
          <w:spacing w:val="6"/>
          <w:sz w:val="20"/>
          <w:szCs w:val="20"/>
        </w:rPr>
        <w:t xml:space="preserve"> </w:t>
      </w:r>
      <w:r w:rsidRPr="000977F7">
        <w:rPr>
          <w:rFonts w:asciiTheme="majorHAnsi" w:hAnsiTheme="majorHAnsi"/>
          <w:sz w:val="20"/>
          <w:szCs w:val="20"/>
        </w:rPr>
        <w:t>границею</w:t>
      </w:r>
      <w:r w:rsidRPr="000977F7">
        <w:rPr>
          <w:rFonts w:asciiTheme="majorHAnsi" w:hAnsiTheme="majorHAnsi"/>
          <w:spacing w:val="6"/>
          <w:sz w:val="20"/>
          <w:szCs w:val="20"/>
        </w:rPr>
        <w:t xml:space="preserve"> </w:t>
      </w:r>
      <w:r w:rsidRPr="000977F7">
        <w:rPr>
          <w:rFonts w:asciiTheme="majorHAnsi" w:hAnsiTheme="majorHAnsi"/>
          <w:sz w:val="20"/>
          <w:szCs w:val="20"/>
        </w:rPr>
        <w:t>або</w:t>
      </w:r>
      <w:r w:rsidRPr="000977F7">
        <w:rPr>
          <w:rFonts w:asciiTheme="majorHAnsi" w:hAnsiTheme="majorHAnsi"/>
          <w:spacing w:val="6"/>
          <w:sz w:val="20"/>
          <w:szCs w:val="20"/>
        </w:rPr>
        <w:t xml:space="preserve"> </w:t>
      </w:r>
      <w:r w:rsidRPr="000977F7">
        <w:rPr>
          <w:rFonts w:asciiTheme="majorHAnsi" w:hAnsiTheme="majorHAnsi"/>
          <w:sz w:val="20"/>
          <w:szCs w:val="20"/>
        </w:rPr>
        <w:t>границями</w:t>
      </w:r>
      <w:r w:rsidRPr="000977F7">
        <w:rPr>
          <w:rFonts w:asciiTheme="majorHAnsi" w:hAnsiTheme="majorHAnsi"/>
          <w:spacing w:val="5"/>
          <w:sz w:val="20"/>
          <w:szCs w:val="20"/>
        </w:rPr>
        <w:t xml:space="preserve"> </w:t>
      </w:r>
      <w:r w:rsidRPr="000977F7">
        <w:rPr>
          <w:rFonts w:asciiTheme="majorHAnsi" w:hAnsiTheme="majorHAnsi"/>
          <w:sz w:val="20"/>
          <w:szCs w:val="20"/>
        </w:rPr>
        <w:t>довірчого</w:t>
      </w:r>
      <w:r w:rsidRPr="000977F7">
        <w:rPr>
          <w:rFonts w:asciiTheme="majorHAnsi" w:hAnsiTheme="majorHAnsi"/>
          <w:spacing w:val="7"/>
          <w:sz w:val="20"/>
          <w:szCs w:val="20"/>
        </w:rPr>
        <w:t xml:space="preserve"> </w:t>
      </w:r>
      <w:r w:rsidRPr="000977F7">
        <w:rPr>
          <w:rFonts w:asciiTheme="majorHAnsi" w:hAnsiTheme="majorHAnsi"/>
          <w:sz w:val="20"/>
          <w:szCs w:val="20"/>
        </w:rPr>
        <w:t>інтервалу</w:t>
      </w:r>
      <w:r w:rsidRPr="000977F7">
        <w:rPr>
          <w:rFonts w:asciiTheme="majorHAnsi" w:hAnsiTheme="majorHAnsi"/>
          <w:spacing w:val="2"/>
          <w:sz w:val="20"/>
          <w:szCs w:val="20"/>
        </w:rPr>
        <w:t xml:space="preserve"> </w:t>
      </w:r>
      <w:r w:rsidRPr="000977F7">
        <w:rPr>
          <w:rFonts w:asciiTheme="majorHAnsi" w:hAnsiTheme="majorHAnsi"/>
          <w:sz w:val="20"/>
          <w:szCs w:val="20"/>
        </w:rPr>
        <w:t>із</w:t>
      </w:r>
      <w:r w:rsidRPr="000977F7">
        <w:rPr>
          <w:rFonts w:asciiTheme="majorHAnsi" w:hAnsiTheme="majorHAnsi"/>
          <w:spacing w:val="-47"/>
          <w:sz w:val="20"/>
          <w:szCs w:val="20"/>
        </w:rPr>
        <w:t xml:space="preserve"> </w:t>
      </w:r>
      <w:r w:rsidRPr="000977F7">
        <w:rPr>
          <w:rFonts w:asciiTheme="majorHAnsi" w:hAnsiTheme="majorHAnsi"/>
          <w:sz w:val="20"/>
          <w:szCs w:val="20"/>
        </w:rPr>
        <w:t>заданим</w:t>
      </w:r>
      <w:r w:rsidRPr="000977F7">
        <w:rPr>
          <w:rFonts w:asciiTheme="majorHAnsi" w:hAnsiTheme="majorHAnsi"/>
          <w:spacing w:val="1"/>
          <w:sz w:val="20"/>
          <w:szCs w:val="20"/>
        </w:rPr>
        <w:t xml:space="preserve"> </w:t>
      </w:r>
      <w:r w:rsidRPr="000977F7">
        <w:rPr>
          <w:rFonts w:asciiTheme="majorHAnsi" w:hAnsiTheme="majorHAnsi"/>
          <w:sz w:val="20"/>
          <w:szCs w:val="20"/>
        </w:rPr>
        <w:t>довірчим</w:t>
      </w:r>
      <w:r w:rsidRPr="000977F7">
        <w:rPr>
          <w:rFonts w:asciiTheme="majorHAnsi" w:hAnsiTheme="majorHAnsi"/>
          <w:spacing w:val="1"/>
          <w:sz w:val="20"/>
          <w:szCs w:val="20"/>
        </w:rPr>
        <w:t xml:space="preserve"> </w:t>
      </w:r>
      <w:r w:rsidRPr="000977F7">
        <w:rPr>
          <w:rFonts w:asciiTheme="majorHAnsi" w:hAnsiTheme="majorHAnsi"/>
          <w:sz w:val="20"/>
          <w:szCs w:val="20"/>
        </w:rPr>
        <w:t>рівнем</w:t>
      </w:r>
      <w:r w:rsidRPr="000977F7">
        <w:rPr>
          <w:rFonts w:asciiTheme="majorHAnsi" w:hAnsiTheme="majorHAnsi"/>
          <w:spacing w:val="3"/>
          <w:sz w:val="20"/>
          <w:szCs w:val="20"/>
        </w:rPr>
        <w:t xml:space="preserve"> </w:t>
      </w:r>
      <w:r w:rsidRPr="000977F7">
        <w:rPr>
          <w:rFonts w:asciiTheme="majorHAnsi" w:hAnsiTheme="majorHAnsi"/>
          <w:sz w:val="20"/>
          <w:szCs w:val="20"/>
        </w:rPr>
        <w:t>на</w:t>
      </w:r>
      <w:r w:rsidRPr="000977F7">
        <w:rPr>
          <w:rFonts w:asciiTheme="majorHAnsi" w:hAnsiTheme="majorHAnsi"/>
          <w:spacing w:val="49"/>
          <w:sz w:val="20"/>
          <w:szCs w:val="20"/>
        </w:rPr>
        <w:t xml:space="preserve"> </w:t>
      </w:r>
      <w:r w:rsidRPr="000977F7">
        <w:rPr>
          <w:rFonts w:asciiTheme="majorHAnsi" w:hAnsiTheme="majorHAnsi"/>
          <w:sz w:val="20"/>
          <w:szCs w:val="20"/>
        </w:rPr>
        <w:t>підставі</w:t>
      </w:r>
      <w:r w:rsidRPr="000977F7">
        <w:rPr>
          <w:rFonts w:asciiTheme="majorHAnsi" w:hAnsiTheme="majorHAnsi"/>
          <w:spacing w:val="49"/>
          <w:sz w:val="20"/>
          <w:szCs w:val="20"/>
        </w:rPr>
        <w:t xml:space="preserve"> </w:t>
      </w:r>
      <w:r w:rsidRPr="000977F7">
        <w:rPr>
          <w:rFonts w:asciiTheme="majorHAnsi" w:hAnsiTheme="majorHAnsi"/>
          <w:sz w:val="20"/>
          <w:szCs w:val="20"/>
        </w:rPr>
        <w:t>тих</w:t>
      </w:r>
      <w:r w:rsidRPr="000977F7">
        <w:rPr>
          <w:rFonts w:asciiTheme="majorHAnsi" w:hAnsiTheme="majorHAnsi"/>
          <w:spacing w:val="1"/>
          <w:sz w:val="20"/>
          <w:szCs w:val="20"/>
        </w:rPr>
        <w:t xml:space="preserve"> </w:t>
      </w:r>
      <w:r w:rsidRPr="000977F7">
        <w:rPr>
          <w:rFonts w:asciiTheme="majorHAnsi" w:hAnsiTheme="majorHAnsi"/>
          <w:sz w:val="20"/>
          <w:szCs w:val="20"/>
        </w:rPr>
        <w:t>же даних</w:t>
      </w:r>
      <w:r w:rsidRPr="000977F7">
        <w:rPr>
          <w:rFonts w:asciiTheme="majorHAnsi" w:hAnsiTheme="majorHAnsi"/>
          <w:spacing w:val="-47"/>
          <w:sz w:val="20"/>
          <w:szCs w:val="20"/>
        </w:rPr>
        <w:t xml:space="preserve"> </w:t>
      </w:r>
      <w:r w:rsidRPr="000977F7">
        <w:rPr>
          <w:rFonts w:asciiTheme="majorHAnsi" w:hAnsiTheme="majorHAnsi"/>
          <w:sz w:val="20"/>
          <w:szCs w:val="20"/>
        </w:rPr>
        <w:t>спостережень</w:t>
      </w:r>
      <w:r w:rsidRPr="000977F7">
        <w:rPr>
          <w:rFonts w:asciiTheme="majorHAnsi" w:hAnsiTheme="majorHAnsi"/>
          <w:spacing w:val="40"/>
          <w:sz w:val="20"/>
          <w:szCs w:val="20"/>
        </w:rPr>
        <w:t xml:space="preserve"> </w:t>
      </w:r>
      <w:r w:rsidRPr="000977F7">
        <w:rPr>
          <w:rFonts w:asciiTheme="majorHAnsi" w:hAnsiTheme="majorHAnsi"/>
          <w:sz w:val="20"/>
          <w:szCs w:val="20"/>
        </w:rPr>
        <w:t>за</w:t>
      </w:r>
      <w:r w:rsidRPr="000977F7">
        <w:rPr>
          <w:rFonts w:asciiTheme="majorHAnsi" w:hAnsiTheme="majorHAnsi"/>
          <w:spacing w:val="42"/>
          <w:sz w:val="20"/>
          <w:szCs w:val="20"/>
        </w:rPr>
        <w:t xml:space="preserve"> </w:t>
      </w:r>
      <w:r w:rsidRPr="000977F7">
        <w:rPr>
          <w:rFonts w:asciiTheme="majorHAnsi" w:hAnsiTheme="majorHAnsi"/>
          <w:sz w:val="20"/>
          <w:szCs w:val="20"/>
        </w:rPr>
        <w:t>номінально</w:t>
      </w:r>
      <w:r w:rsidRPr="000977F7">
        <w:rPr>
          <w:rFonts w:asciiTheme="majorHAnsi" w:hAnsiTheme="majorHAnsi"/>
          <w:spacing w:val="40"/>
          <w:sz w:val="20"/>
          <w:szCs w:val="20"/>
        </w:rPr>
        <w:t xml:space="preserve"> </w:t>
      </w:r>
      <w:r w:rsidRPr="000977F7">
        <w:rPr>
          <w:rFonts w:asciiTheme="majorHAnsi" w:hAnsiTheme="majorHAnsi"/>
          <w:sz w:val="20"/>
          <w:szCs w:val="20"/>
        </w:rPr>
        <w:t>ідентичними</w:t>
      </w:r>
      <w:r w:rsidRPr="000977F7">
        <w:rPr>
          <w:rFonts w:asciiTheme="majorHAnsi" w:hAnsiTheme="majorHAnsi"/>
          <w:spacing w:val="39"/>
          <w:sz w:val="20"/>
          <w:szCs w:val="20"/>
        </w:rPr>
        <w:t xml:space="preserve"> </w:t>
      </w:r>
      <w:r w:rsidRPr="000977F7">
        <w:rPr>
          <w:rFonts w:asciiTheme="majorHAnsi" w:hAnsiTheme="majorHAnsi"/>
          <w:sz w:val="20"/>
          <w:szCs w:val="20"/>
        </w:rPr>
        <w:t>виробами,</w:t>
      </w:r>
      <w:r w:rsidRPr="000977F7">
        <w:rPr>
          <w:rFonts w:asciiTheme="majorHAnsi" w:hAnsiTheme="majorHAnsi"/>
          <w:spacing w:val="-47"/>
          <w:sz w:val="20"/>
          <w:szCs w:val="20"/>
        </w:rPr>
        <w:t xml:space="preserve"> </w:t>
      </w:r>
      <w:r w:rsidRPr="000977F7">
        <w:rPr>
          <w:rFonts w:asciiTheme="majorHAnsi" w:hAnsiTheme="majorHAnsi"/>
          <w:sz w:val="20"/>
          <w:szCs w:val="20"/>
        </w:rPr>
        <w:t>що і спостережене середнє напрацювання на відмову</w:t>
      </w:r>
      <w:r w:rsidRPr="000977F7">
        <w:rPr>
          <w:rFonts w:asciiTheme="majorHAnsi" w:hAnsiTheme="majorHAnsi"/>
          <w:spacing w:val="1"/>
          <w:sz w:val="20"/>
          <w:szCs w:val="20"/>
        </w:rPr>
        <w:t xml:space="preserve"> </w:t>
      </w:r>
    </w:p>
    <w:p w14:paraId="4BF639D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016B8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Слід вказати джерело даних; результати можуть накопичуватися (узагальнюватися) тільки в тому</w:t>
      </w:r>
      <w:r w:rsidRPr="000977F7">
        <w:rPr>
          <w:rFonts w:asciiTheme="majorHAnsi" w:hAnsiTheme="majorHAnsi"/>
          <w:spacing w:val="1"/>
          <w:sz w:val="20"/>
          <w:szCs w:val="20"/>
        </w:rPr>
        <w:t xml:space="preserve"> </w:t>
      </w:r>
      <w:r w:rsidRPr="000977F7">
        <w:rPr>
          <w:rFonts w:asciiTheme="majorHAnsi" w:hAnsiTheme="majorHAnsi"/>
          <w:sz w:val="20"/>
          <w:szCs w:val="20"/>
        </w:rPr>
        <w:t>випадку, якщо всі умови подібні; слід вказати закон розподілу відмов в часі, який передбачається; слід вказати,</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довірчий</w:t>
      </w:r>
      <w:r w:rsidRPr="000977F7">
        <w:rPr>
          <w:rFonts w:asciiTheme="majorHAnsi" w:hAnsiTheme="majorHAnsi"/>
          <w:spacing w:val="1"/>
          <w:sz w:val="20"/>
          <w:szCs w:val="20"/>
        </w:rPr>
        <w:t xml:space="preserve"> </w:t>
      </w:r>
      <w:r w:rsidRPr="000977F7">
        <w:rPr>
          <w:rFonts w:asciiTheme="majorHAnsi" w:hAnsiTheme="majorHAnsi"/>
          <w:sz w:val="20"/>
          <w:szCs w:val="20"/>
        </w:rPr>
        <w:t>інтервал</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використовується односторонній чи двосторонній; в тому випадку, коли</w:t>
      </w:r>
      <w:r w:rsidRPr="000977F7">
        <w:rPr>
          <w:rFonts w:asciiTheme="majorHAnsi" w:hAnsiTheme="majorHAnsi"/>
          <w:spacing w:val="1"/>
          <w:sz w:val="20"/>
          <w:szCs w:val="20"/>
        </w:rPr>
        <w:t xml:space="preserve"> </w:t>
      </w:r>
      <w:r w:rsidRPr="000977F7">
        <w:rPr>
          <w:rFonts w:asciiTheme="majorHAnsi" w:hAnsiTheme="majorHAnsi"/>
          <w:sz w:val="20"/>
          <w:szCs w:val="20"/>
        </w:rPr>
        <w:t>указана одна границя, вона, як правило, є нижньою</w:t>
      </w:r>
      <w:r w:rsidRPr="000977F7">
        <w:rPr>
          <w:rFonts w:asciiTheme="majorHAnsi" w:hAnsiTheme="majorHAnsi"/>
          <w:spacing w:val="1"/>
          <w:sz w:val="20"/>
          <w:szCs w:val="20"/>
        </w:rPr>
        <w:t xml:space="preserve"> </w:t>
      </w:r>
      <w:r w:rsidRPr="000977F7">
        <w:rPr>
          <w:rFonts w:asciiTheme="majorHAnsi" w:hAnsiTheme="majorHAnsi"/>
          <w:sz w:val="20"/>
          <w:szCs w:val="20"/>
        </w:rPr>
        <w:t>границею</w:t>
      </w:r>
    </w:p>
    <w:p w14:paraId="42A3034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ОЦІНЕНИЙ</w:t>
      </w:r>
      <w:r w:rsidRPr="000977F7">
        <w:rPr>
          <w:color w:val="auto"/>
          <w:spacing w:val="-4"/>
          <w:sz w:val="20"/>
          <w:szCs w:val="20"/>
        </w:rPr>
        <w:t xml:space="preserve"> </w:t>
      </w:r>
      <w:r w:rsidRPr="000977F7">
        <w:rPr>
          <w:color w:val="auto"/>
          <w:sz w:val="20"/>
          <w:szCs w:val="20"/>
        </w:rPr>
        <w:t>СЕРЕДНІЙ</w:t>
      </w:r>
      <w:r w:rsidRPr="000977F7">
        <w:rPr>
          <w:color w:val="auto"/>
          <w:spacing w:val="-3"/>
          <w:sz w:val="20"/>
          <w:szCs w:val="20"/>
        </w:rPr>
        <w:t xml:space="preserve"> </w:t>
      </w:r>
      <w:r w:rsidRPr="000977F7">
        <w:rPr>
          <w:color w:val="auto"/>
          <w:sz w:val="20"/>
          <w:szCs w:val="20"/>
        </w:rPr>
        <w:t>ТЕРМІН</w:t>
      </w:r>
      <w:r w:rsidRPr="000977F7">
        <w:rPr>
          <w:color w:val="auto"/>
          <w:spacing w:val="-3"/>
          <w:sz w:val="20"/>
          <w:szCs w:val="20"/>
        </w:rPr>
        <w:t xml:space="preserve"> </w:t>
      </w:r>
      <w:r w:rsidRPr="000977F7">
        <w:rPr>
          <w:color w:val="auto"/>
          <w:sz w:val="20"/>
          <w:szCs w:val="20"/>
        </w:rPr>
        <w:t>СЛУЖБИ -</w:t>
      </w:r>
    </w:p>
    <w:p w14:paraId="02C1E8E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ASSESSED</w:t>
      </w:r>
      <w:r w:rsidRPr="000977F7">
        <w:rPr>
          <w:rFonts w:asciiTheme="majorHAnsi" w:hAnsiTheme="majorHAnsi"/>
          <w:spacing w:val="-2"/>
          <w:sz w:val="20"/>
          <w:szCs w:val="20"/>
        </w:rPr>
        <w:t xml:space="preserve"> </w:t>
      </w:r>
      <w:r w:rsidRPr="000977F7">
        <w:rPr>
          <w:rFonts w:asciiTheme="majorHAnsi" w:hAnsiTheme="majorHAnsi"/>
          <w:sz w:val="20"/>
          <w:szCs w:val="20"/>
        </w:rPr>
        <w:t>MEAN LIFE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411AB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Середній термін служби виробу, зазначений границею</w:t>
      </w:r>
      <w:r w:rsidRPr="000977F7">
        <w:rPr>
          <w:rFonts w:asciiTheme="majorHAnsi" w:hAnsiTheme="majorHAnsi"/>
          <w:spacing w:val="-47"/>
          <w:sz w:val="20"/>
          <w:szCs w:val="20"/>
        </w:rPr>
        <w:t xml:space="preserve"> </w:t>
      </w:r>
      <w:r w:rsidRPr="000977F7">
        <w:rPr>
          <w:rFonts w:asciiTheme="majorHAnsi" w:hAnsiTheme="majorHAnsi"/>
          <w:sz w:val="20"/>
          <w:szCs w:val="20"/>
        </w:rPr>
        <w:t>або границями довірчого інтервалу із заданим</w:t>
      </w:r>
      <w:r w:rsidRPr="000977F7">
        <w:rPr>
          <w:rFonts w:asciiTheme="majorHAnsi" w:hAnsiTheme="majorHAnsi"/>
          <w:spacing w:val="1"/>
          <w:sz w:val="20"/>
          <w:szCs w:val="20"/>
        </w:rPr>
        <w:t xml:space="preserve"> </w:t>
      </w:r>
      <w:r w:rsidRPr="000977F7">
        <w:rPr>
          <w:rFonts w:asciiTheme="majorHAnsi" w:hAnsiTheme="majorHAnsi"/>
          <w:sz w:val="20"/>
          <w:szCs w:val="20"/>
        </w:rPr>
        <w:t>довірчим рівнем на підставі тих же даних спостережень за</w:t>
      </w:r>
      <w:r w:rsidRPr="000977F7">
        <w:rPr>
          <w:rFonts w:asciiTheme="majorHAnsi" w:hAnsiTheme="majorHAnsi"/>
          <w:spacing w:val="1"/>
          <w:sz w:val="20"/>
          <w:szCs w:val="20"/>
        </w:rPr>
        <w:t xml:space="preserve"> </w:t>
      </w:r>
      <w:r w:rsidRPr="000977F7">
        <w:rPr>
          <w:rFonts w:asciiTheme="majorHAnsi" w:hAnsiTheme="majorHAnsi"/>
          <w:sz w:val="20"/>
          <w:szCs w:val="20"/>
        </w:rPr>
        <w:t>номінально ідентичними виробами, що і спостережений</w:t>
      </w:r>
      <w:r w:rsidRPr="000977F7">
        <w:rPr>
          <w:rFonts w:asciiTheme="majorHAnsi" w:hAnsiTheme="majorHAnsi"/>
          <w:spacing w:val="-2"/>
          <w:sz w:val="20"/>
          <w:szCs w:val="20"/>
        </w:rPr>
        <w:t xml:space="preserve"> </w:t>
      </w:r>
      <w:r w:rsidRPr="000977F7">
        <w:rPr>
          <w:rFonts w:asciiTheme="majorHAnsi" w:hAnsiTheme="majorHAnsi"/>
          <w:sz w:val="20"/>
          <w:szCs w:val="20"/>
        </w:rPr>
        <w:t>середній</w:t>
      </w:r>
      <w:r w:rsidRPr="000977F7">
        <w:rPr>
          <w:rFonts w:asciiTheme="majorHAnsi" w:hAnsiTheme="majorHAnsi"/>
          <w:spacing w:val="-1"/>
          <w:sz w:val="20"/>
          <w:szCs w:val="20"/>
        </w:rPr>
        <w:t xml:space="preserve"> </w:t>
      </w:r>
      <w:r w:rsidRPr="000977F7">
        <w:rPr>
          <w:rFonts w:asciiTheme="majorHAnsi" w:hAnsiTheme="majorHAnsi"/>
          <w:sz w:val="20"/>
          <w:szCs w:val="20"/>
        </w:rPr>
        <w:t>термін</w:t>
      </w:r>
      <w:r w:rsidRPr="000977F7">
        <w:rPr>
          <w:rFonts w:asciiTheme="majorHAnsi" w:hAnsiTheme="majorHAnsi"/>
          <w:spacing w:val="-1"/>
          <w:sz w:val="20"/>
          <w:szCs w:val="20"/>
        </w:rPr>
        <w:t xml:space="preserve"> </w:t>
      </w:r>
      <w:r w:rsidRPr="000977F7">
        <w:rPr>
          <w:rFonts w:asciiTheme="majorHAnsi" w:hAnsiTheme="majorHAnsi"/>
          <w:sz w:val="20"/>
          <w:szCs w:val="20"/>
        </w:rPr>
        <w:t>служби.</w:t>
      </w:r>
    </w:p>
    <w:p w14:paraId="14DB31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7F63DE1"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Слід</w:t>
      </w:r>
      <w:r w:rsidRPr="000977F7">
        <w:rPr>
          <w:rFonts w:asciiTheme="majorHAnsi" w:hAnsiTheme="majorHAnsi"/>
          <w:spacing w:val="36"/>
          <w:sz w:val="20"/>
          <w:szCs w:val="20"/>
        </w:rPr>
        <w:t xml:space="preserve"> </w:t>
      </w:r>
      <w:r w:rsidRPr="000977F7">
        <w:rPr>
          <w:rFonts w:asciiTheme="majorHAnsi" w:hAnsiTheme="majorHAnsi"/>
          <w:sz w:val="20"/>
          <w:szCs w:val="20"/>
        </w:rPr>
        <w:t>вказати</w:t>
      </w:r>
      <w:r w:rsidRPr="000977F7">
        <w:rPr>
          <w:rFonts w:asciiTheme="majorHAnsi" w:hAnsiTheme="majorHAnsi"/>
          <w:spacing w:val="36"/>
          <w:sz w:val="20"/>
          <w:szCs w:val="20"/>
        </w:rPr>
        <w:t xml:space="preserve"> </w:t>
      </w:r>
      <w:r w:rsidRPr="000977F7">
        <w:rPr>
          <w:rFonts w:asciiTheme="majorHAnsi" w:hAnsiTheme="majorHAnsi"/>
          <w:sz w:val="20"/>
          <w:szCs w:val="20"/>
        </w:rPr>
        <w:t>джерело</w:t>
      </w:r>
      <w:r w:rsidRPr="000977F7">
        <w:rPr>
          <w:rFonts w:asciiTheme="majorHAnsi" w:hAnsiTheme="majorHAnsi"/>
          <w:spacing w:val="37"/>
          <w:sz w:val="20"/>
          <w:szCs w:val="20"/>
        </w:rPr>
        <w:t xml:space="preserve"> </w:t>
      </w:r>
      <w:r w:rsidRPr="000977F7">
        <w:rPr>
          <w:rFonts w:asciiTheme="majorHAnsi" w:hAnsiTheme="majorHAnsi"/>
          <w:sz w:val="20"/>
          <w:szCs w:val="20"/>
        </w:rPr>
        <w:t>даних;</w:t>
      </w:r>
      <w:r w:rsidRPr="000977F7">
        <w:rPr>
          <w:rFonts w:asciiTheme="majorHAnsi" w:hAnsiTheme="majorHAnsi"/>
          <w:spacing w:val="37"/>
          <w:sz w:val="20"/>
          <w:szCs w:val="20"/>
        </w:rPr>
        <w:t xml:space="preserve"> </w:t>
      </w:r>
      <w:r w:rsidRPr="000977F7">
        <w:rPr>
          <w:rFonts w:asciiTheme="majorHAnsi" w:hAnsiTheme="majorHAnsi"/>
          <w:sz w:val="20"/>
          <w:szCs w:val="20"/>
        </w:rPr>
        <w:t>результати</w:t>
      </w:r>
      <w:r w:rsidRPr="000977F7">
        <w:rPr>
          <w:rFonts w:asciiTheme="majorHAnsi" w:hAnsiTheme="majorHAnsi"/>
          <w:spacing w:val="36"/>
          <w:sz w:val="20"/>
          <w:szCs w:val="20"/>
        </w:rPr>
        <w:t xml:space="preserve"> </w:t>
      </w:r>
      <w:r w:rsidRPr="000977F7">
        <w:rPr>
          <w:rFonts w:asciiTheme="majorHAnsi" w:hAnsiTheme="majorHAnsi"/>
          <w:sz w:val="20"/>
          <w:szCs w:val="20"/>
        </w:rPr>
        <w:t>можуть</w:t>
      </w:r>
      <w:r w:rsidRPr="000977F7">
        <w:rPr>
          <w:rFonts w:asciiTheme="majorHAnsi" w:hAnsiTheme="majorHAnsi"/>
          <w:spacing w:val="39"/>
          <w:sz w:val="20"/>
          <w:szCs w:val="20"/>
        </w:rPr>
        <w:t xml:space="preserve"> </w:t>
      </w:r>
      <w:r w:rsidRPr="000977F7">
        <w:rPr>
          <w:rFonts w:asciiTheme="majorHAnsi" w:hAnsiTheme="majorHAnsi"/>
          <w:sz w:val="20"/>
          <w:szCs w:val="20"/>
        </w:rPr>
        <w:t>накопичуватися</w:t>
      </w:r>
      <w:r w:rsidRPr="000977F7">
        <w:rPr>
          <w:rFonts w:asciiTheme="majorHAnsi" w:hAnsiTheme="majorHAnsi"/>
          <w:spacing w:val="10"/>
          <w:sz w:val="20"/>
          <w:szCs w:val="20"/>
        </w:rPr>
        <w:t xml:space="preserve"> </w:t>
      </w:r>
      <w:r w:rsidRPr="000977F7">
        <w:rPr>
          <w:rFonts w:asciiTheme="majorHAnsi" w:hAnsiTheme="majorHAnsi"/>
          <w:sz w:val="20"/>
          <w:szCs w:val="20"/>
        </w:rPr>
        <w:t>(узагальнюватися)</w:t>
      </w:r>
      <w:r w:rsidRPr="000977F7">
        <w:rPr>
          <w:rFonts w:asciiTheme="majorHAnsi" w:hAnsiTheme="majorHAnsi"/>
          <w:spacing w:val="12"/>
          <w:sz w:val="20"/>
          <w:szCs w:val="20"/>
        </w:rPr>
        <w:t xml:space="preserve"> </w:t>
      </w:r>
      <w:r w:rsidRPr="000977F7">
        <w:rPr>
          <w:rFonts w:asciiTheme="majorHAnsi" w:hAnsiTheme="majorHAnsi"/>
          <w:sz w:val="20"/>
          <w:szCs w:val="20"/>
        </w:rPr>
        <w:t>тільки</w:t>
      </w:r>
      <w:r w:rsidRPr="000977F7">
        <w:rPr>
          <w:rFonts w:asciiTheme="majorHAnsi" w:hAnsiTheme="majorHAnsi"/>
          <w:spacing w:val="10"/>
          <w:sz w:val="20"/>
          <w:szCs w:val="20"/>
        </w:rPr>
        <w:t xml:space="preserve"> </w:t>
      </w:r>
      <w:r w:rsidRPr="000977F7">
        <w:rPr>
          <w:rFonts w:asciiTheme="majorHAnsi" w:hAnsiTheme="majorHAnsi"/>
          <w:sz w:val="20"/>
          <w:szCs w:val="20"/>
        </w:rPr>
        <w:t>в</w:t>
      </w:r>
      <w:r w:rsidRPr="000977F7">
        <w:rPr>
          <w:rFonts w:asciiTheme="majorHAnsi" w:hAnsiTheme="majorHAnsi"/>
          <w:spacing w:val="10"/>
          <w:sz w:val="20"/>
          <w:szCs w:val="20"/>
        </w:rPr>
        <w:t xml:space="preserve"> </w:t>
      </w:r>
      <w:r w:rsidRPr="000977F7">
        <w:rPr>
          <w:rFonts w:asciiTheme="majorHAnsi" w:hAnsiTheme="majorHAnsi"/>
          <w:sz w:val="20"/>
          <w:szCs w:val="20"/>
        </w:rPr>
        <w:t>тому</w:t>
      </w:r>
      <w:r w:rsidRPr="000977F7">
        <w:rPr>
          <w:rFonts w:asciiTheme="majorHAnsi" w:hAnsiTheme="majorHAnsi"/>
          <w:spacing w:val="7"/>
          <w:sz w:val="20"/>
          <w:szCs w:val="20"/>
        </w:rPr>
        <w:t xml:space="preserve"> </w:t>
      </w:r>
      <w:r w:rsidRPr="000977F7">
        <w:rPr>
          <w:rFonts w:asciiTheme="majorHAnsi" w:hAnsiTheme="majorHAnsi"/>
          <w:sz w:val="20"/>
          <w:szCs w:val="20"/>
        </w:rPr>
        <w:t>випадку,</w:t>
      </w:r>
      <w:r w:rsidRPr="000977F7">
        <w:rPr>
          <w:rFonts w:asciiTheme="majorHAnsi" w:hAnsiTheme="majorHAnsi"/>
          <w:spacing w:val="15"/>
          <w:sz w:val="20"/>
          <w:szCs w:val="20"/>
        </w:rPr>
        <w:t xml:space="preserve"> </w:t>
      </w:r>
      <w:r w:rsidRPr="000977F7">
        <w:rPr>
          <w:rFonts w:asciiTheme="majorHAnsi" w:hAnsiTheme="majorHAnsi"/>
          <w:sz w:val="20"/>
          <w:szCs w:val="20"/>
        </w:rPr>
        <w:t>якщо</w:t>
      </w:r>
      <w:r w:rsidRPr="000977F7">
        <w:rPr>
          <w:rFonts w:asciiTheme="majorHAnsi" w:hAnsiTheme="majorHAnsi"/>
          <w:spacing w:val="17"/>
          <w:sz w:val="20"/>
          <w:szCs w:val="20"/>
        </w:rPr>
        <w:t xml:space="preserve"> </w:t>
      </w:r>
      <w:r w:rsidRPr="000977F7">
        <w:rPr>
          <w:rFonts w:asciiTheme="majorHAnsi" w:hAnsiTheme="majorHAnsi"/>
          <w:sz w:val="20"/>
          <w:szCs w:val="20"/>
        </w:rPr>
        <w:t>всі</w:t>
      </w:r>
      <w:r w:rsidRPr="000977F7">
        <w:rPr>
          <w:rFonts w:asciiTheme="majorHAnsi" w:hAnsiTheme="majorHAnsi"/>
          <w:spacing w:val="14"/>
          <w:sz w:val="20"/>
          <w:szCs w:val="20"/>
        </w:rPr>
        <w:t xml:space="preserve"> </w:t>
      </w:r>
      <w:r w:rsidRPr="000977F7">
        <w:rPr>
          <w:rFonts w:asciiTheme="majorHAnsi" w:hAnsiTheme="majorHAnsi"/>
          <w:sz w:val="20"/>
          <w:szCs w:val="20"/>
        </w:rPr>
        <w:t>умови</w:t>
      </w:r>
      <w:r w:rsidRPr="000977F7">
        <w:rPr>
          <w:rFonts w:asciiTheme="majorHAnsi" w:hAnsiTheme="majorHAnsi"/>
          <w:spacing w:val="14"/>
          <w:sz w:val="20"/>
          <w:szCs w:val="20"/>
        </w:rPr>
        <w:t xml:space="preserve"> </w:t>
      </w:r>
      <w:r w:rsidRPr="000977F7">
        <w:rPr>
          <w:rFonts w:asciiTheme="majorHAnsi" w:hAnsiTheme="majorHAnsi"/>
          <w:sz w:val="20"/>
          <w:szCs w:val="20"/>
        </w:rPr>
        <w:t>подібні;</w:t>
      </w:r>
      <w:r w:rsidRPr="000977F7">
        <w:rPr>
          <w:rFonts w:asciiTheme="majorHAnsi" w:hAnsiTheme="majorHAnsi"/>
          <w:spacing w:val="14"/>
          <w:sz w:val="20"/>
          <w:szCs w:val="20"/>
        </w:rPr>
        <w:t xml:space="preserve"> </w:t>
      </w:r>
      <w:r w:rsidRPr="000977F7">
        <w:rPr>
          <w:rFonts w:asciiTheme="majorHAnsi" w:hAnsiTheme="majorHAnsi"/>
          <w:sz w:val="20"/>
          <w:szCs w:val="20"/>
        </w:rPr>
        <w:t>слід</w:t>
      </w:r>
      <w:r w:rsidRPr="000977F7">
        <w:rPr>
          <w:rFonts w:asciiTheme="majorHAnsi" w:hAnsiTheme="majorHAnsi"/>
          <w:spacing w:val="13"/>
          <w:sz w:val="20"/>
          <w:szCs w:val="20"/>
        </w:rPr>
        <w:t xml:space="preserve"> </w:t>
      </w:r>
      <w:r w:rsidRPr="000977F7">
        <w:rPr>
          <w:rFonts w:asciiTheme="majorHAnsi" w:hAnsiTheme="majorHAnsi"/>
          <w:sz w:val="20"/>
          <w:szCs w:val="20"/>
        </w:rPr>
        <w:t>вказати</w:t>
      </w:r>
      <w:r w:rsidRPr="000977F7">
        <w:rPr>
          <w:rFonts w:asciiTheme="majorHAnsi" w:hAnsiTheme="majorHAnsi"/>
          <w:spacing w:val="12"/>
          <w:sz w:val="20"/>
          <w:szCs w:val="20"/>
        </w:rPr>
        <w:t xml:space="preserve"> </w:t>
      </w:r>
      <w:r w:rsidRPr="000977F7">
        <w:rPr>
          <w:rFonts w:asciiTheme="majorHAnsi" w:hAnsiTheme="majorHAnsi"/>
          <w:sz w:val="20"/>
          <w:szCs w:val="20"/>
        </w:rPr>
        <w:t>закон</w:t>
      </w:r>
      <w:r w:rsidRPr="000977F7">
        <w:rPr>
          <w:rFonts w:asciiTheme="majorHAnsi" w:hAnsiTheme="majorHAnsi"/>
          <w:spacing w:val="11"/>
          <w:sz w:val="20"/>
          <w:szCs w:val="20"/>
        </w:rPr>
        <w:t xml:space="preserve"> </w:t>
      </w:r>
      <w:r w:rsidRPr="000977F7">
        <w:rPr>
          <w:rFonts w:asciiTheme="majorHAnsi" w:hAnsiTheme="majorHAnsi"/>
          <w:sz w:val="20"/>
          <w:szCs w:val="20"/>
        </w:rPr>
        <w:t>розпо</w:t>
      </w:r>
      <w:r w:rsidRPr="000977F7">
        <w:rPr>
          <w:rFonts w:asciiTheme="majorHAnsi" w:hAnsiTheme="majorHAnsi"/>
          <w:spacing w:val="-47"/>
          <w:sz w:val="20"/>
          <w:szCs w:val="20"/>
        </w:rPr>
        <w:t xml:space="preserve"> </w:t>
      </w:r>
      <w:r w:rsidRPr="000977F7">
        <w:rPr>
          <w:rFonts w:asciiTheme="majorHAnsi" w:hAnsiTheme="majorHAnsi"/>
          <w:sz w:val="20"/>
          <w:szCs w:val="20"/>
        </w:rPr>
        <w:t>ділу</w:t>
      </w:r>
      <w:r w:rsidRPr="000977F7">
        <w:rPr>
          <w:rFonts w:asciiTheme="majorHAnsi" w:hAnsiTheme="majorHAnsi"/>
          <w:spacing w:val="12"/>
          <w:sz w:val="20"/>
          <w:szCs w:val="20"/>
        </w:rPr>
        <w:t xml:space="preserve"> </w:t>
      </w:r>
      <w:r w:rsidRPr="000977F7">
        <w:rPr>
          <w:rFonts w:asciiTheme="majorHAnsi" w:hAnsiTheme="majorHAnsi"/>
          <w:sz w:val="20"/>
          <w:szCs w:val="20"/>
        </w:rPr>
        <w:t>відмов</w:t>
      </w:r>
      <w:r w:rsidRPr="000977F7">
        <w:rPr>
          <w:rFonts w:asciiTheme="majorHAnsi" w:hAnsiTheme="majorHAnsi"/>
          <w:spacing w:val="13"/>
          <w:sz w:val="20"/>
          <w:szCs w:val="20"/>
        </w:rPr>
        <w:t xml:space="preserve"> </w:t>
      </w:r>
      <w:r w:rsidRPr="000977F7">
        <w:rPr>
          <w:rFonts w:asciiTheme="majorHAnsi" w:hAnsiTheme="majorHAnsi"/>
          <w:sz w:val="20"/>
          <w:szCs w:val="20"/>
        </w:rPr>
        <w:t>в</w:t>
      </w:r>
      <w:r w:rsidRPr="000977F7">
        <w:rPr>
          <w:rFonts w:asciiTheme="majorHAnsi" w:hAnsiTheme="majorHAnsi"/>
          <w:spacing w:val="14"/>
          <w:sz w:val="20"/>
          <w:szCs w:val="20"/>
        </w:rPr>
        <w:t xml:space="preserve"> </w:t>
      </w:r>
      <w:r w:rsidRPr="000977F7">
        <w:rPr>
          <w:rFonts w:asciiTheme="majorHAnsi" w:hAnsiTheme="majorHAnsi"/>
          <w:sz w:val="20"/>
          <w:szCs w:val="20"/>
        </w:rPr>
        <w:t>часі,</w:t>
      </w:r>
      <w:r w:rsidRPr="000977F7">
        <w:rPr>
          <w:rFonts w:asciiTheme="majorHAnsi" w:hAnsiTheme="majorHAnsi"/>
          <w:spacing w:val="14"/>
          <w:sz w:val="20"/>
          <w:szCs w:val="20"/>
        </w:rPr>
        <w:t xml:space="preserve"> </w:t>
      </w:r>
      <w:r w:rsidRPr="000977F7">
        <w:rPr>
          <w:rFonts w:asciiTheme="majorHAnsi" w:hAnsiTheme="majorHAnsi"/>
          <w:sz w:val="20"/>
          <w:szCs w:val="20"/>
        </w:rPr>
        <w:t>який</w:t>
      </w:r>
      <w:r w:rsidRPr="000977F7">
        <w:rPr>
          <w:rFonts w:asciiTheme="majorHAnsi" w:hAnsiTheme="majorHAnsi"/>
          <w:spacing w:val="13"/>
          <w:sz w:val="20"/>
          <w:szCs w:val="20"/>
        </w:rPr>
        <w:t xml:space="preserve"> </w:t>
      </w:r>
      <w:r w:rsidRPr="000977F7">
        <w:rPr>
          <w:rFonts w:asciiTheme="majorHAnsi" w:hAnsiTheme="majorHAnsi"/>
          <w:sz w:val="20"/>
          <w:szCs w:val="20"/>
        </w:rPr>
        <w:t>передбачається;</w:t>
      </w:r>
      <w:r w:rsidRPr="000977F7">
        <w:rPr>
          <w:rFonts w:asciiTheme="majorHAnsi" w:hAnsiTheme="majorHAnsi"/>
          <w:spacing w:val="13"/>
          <w:sz w:val="20"/>
          <w:szCs w:val="20"/>
        </w:rPr>
        <w:t xml:space="preserve"> </w:t>
      </w:r>
      <w:r w:rsidRPr="000977F7">
        <w:rPr>
          <w:rFonts w:asciiTheme="majorHAnsi" w:hAnsiTheme="majorHAnsi"/>
          <w:sz w:val="20"/>
          <w:szCs w:val="20"/>
        </w:rPr>
        <w:t>слід</w:t>
      </w:r>
      <w:r w:rsidRPr="000977F7">
        <w:rPr>
          <w:rFonts w:asciiTheme="majorHAnsi" w:hAnsiTheme="majorHAnsi"/>
          <w:spacing w:val="14"/>
          <w:sz w:val="20"/>
          <w:szCs w:val="20"/>
        </w:rPr>
        <w:t xml:space="preserve"> </w:t>
      </w:r>
      <w:r w:rsidRPr="000977F7">
        <w:rPr>
          <w:rFonts w:asciiTheme="majorHAnsi" w:hAnsiTheme="majorHAnsi"/>
          <w:sz w:val="20"/>
          <w:szCs w:val="20"/>
        </w:rPr>
        <w:t>вказати,</w:t>
      </w:r>
      <w:r w:rsidRPr="000977F7">
        <w:rPr>
          <w:rFonts w:asciiTheme="majorHAnsi" w:hAnsiTheme="majorHAnsi"/>
          <w:spacing w:val="-47"/>
          <w:sz w:val="20"/>
          <w:szCs w:val="20"/>
        </w:rPr>
        <w:t xml:space="preserve"> </w:t>
      </w:r>
      <w:r w:rsidRPr="000977F7">
        <w:rPr>
          <w:rFonts w:asciiTheme="majorHAnsi" w:hAnsiTheme="majorHAnsi"/>
          <w:sz w:val="20"/>
          <w:szCs w:val="20"/>
        </w:rPr>
        <w:t>який</w:t>
      </w:r>
      <w:r w:rsidRPr="000977F7">
        <w:rPr>
          <w:rFonts w:asciiTheme="majorHAnsi" w:hAnsiTheme="majorHAnsi"/>
          <w:spacing w:val="36"/>
          <w:sz w:val="20"/>
          <w:szCs w:val="20"/>
        </w:rPr>
        <w:t xml:space="preserve"> </w:t>
      </w:r>
      <w:r w:rsidRPr="000977F7">
        <w:rPr>
          <w:rFonts w:asciiTheme="majorHAnsi" w:hAnsiTheme="majorHAnsi"/>
          <w:sz w:val="20"/>
          <w:szCs w:val="20"/>
        </w:rPr>
        <w:t>довірчий</w:t>
      </w:r>
      <w:r w:rsidRPr="000977F7">
        <w:rPr>
          <w:rFonts w:asciiTheme="majorHAnsi" w:hAnsiTheme="majorHAnsi"/>
          <w:spacing w:val="35"/>
          <w:sz w:val="20"/>
          <w:szCs w:val="20"/>
        </w:rPr>
        <w:t xml:space="preserve"> </w:t>
      </w:r>
      <w:r w:rsidRPr="000977F7">
        <w:rPr>
          <w:rFonts w:asciiTheme="majorHAnsi" w:hAnsiTheme="majorHAnsi"/>
          <w:sz w:val="20"/>
          <w:szCs w:val="20"/>
        </w:rPr>
        <w:t>інтервал</w:t>
      </w:r>
      <w:r w:rsidRPr="000977F7">
        <w:rPr>
          <w:rFonts w:asciiTheme="majorHAnsi" w:hAnsiTheme="majorHAnsi"/>
          <w:spacing w:val="36"/>
          <w:sz w:val="20"/>
          <w:szCs w:val="20"/>
        </w:rPr>
        <w:t xml:space="preserve"> </w:t>
      </w:r>
      <w:r w:rsidRPr="000977F7">
        <w:rPr>
          <w:rFonts w:asciiTheme="majorHAnsi" w:hAnsiTheme="majorHAnsi"/>
          <w:sz w:val="20"/>
          <w:szCs w:val="20"/>
        </w:rPr>
        <w:t>використовується</w:t>
      </w:r>
      <w:r w:rsidRPr="000977F7">
        <w:rPr>
          <w:rFonts w:asciiTheme="majorHAnsi" w:hAnsiTheme="majorHAnsi"/>
          <w:spacing w:val="41"/>
          <w:sz w:val="20"/>
          <w:szCs w:val="20"/>
        </w:rPr>
        <w:t xml:space="preserve"> </w:t>
      </w:r>
      <w:r w:rsidRPr="000977F7">
        <w:rPr>
          <w:rFonts w:asciiTheme="majorHAnsi" w:hAnsiTheme="majorHAnsi"/>
          <w:sz w:val="20"/>
          <w:szCs w:val="20"/>
        </w:rPr>
        <w:t>односто</w:t>
      </w:r>
      <w:r w:rsidRPr="000977F7">
        <w:rPr>
          <w:rFonts w:asciiTheme="majorHAnsi" w:hAnsiTheme="majorHAnsi"/>
          <w:spacing w:val="-47"/>
          <w:sz w:val="20"/>
          <w:szCs w:val="20"/>
        </w:rPr>
        <w:t>р</w:t>
      </w:r>
      <w:r w:rsidRPr="000977F7">
        <w:rPr>
          <w:rFonts w:asciiTheme="majorHAnsi" w:hAnsiTheme="majorHAnsi"/>
          <w:sz w:val="20"/>
          <w:szCs w:val="20"/>
        </w:rPr>
        <w:t>онній чи</w:t>
      </w:r>
      <w:r w:rsidRPr="000977F7">
        <w:rPr>
          <w:rFonts w:asciiTheme="majorHAnsi" w:hAnsiTheme="majorHAnsi"/>
          <w:spacing w:val="1"/>
          <w:sz w:val="20"/>
          <w:szCs w:val="20"/>
        </w:rPr>
        <w:t xml:space="preserve"> </w:t>
      </w:r>
      <w:r w:rsidRPr="000977F7">
        <w:rPr>
          <w:rFonts w:asciiTheme="majorHAnsi" w:hAnsiTheme="majorHAnsi"/>
          <w:sz w:val="20"/>
          <w:szCs w:val="20"/>
        </w:rPr>
        <w:t>двосторонній;</w:t>
      </w:r>
      <w:r w:rsidRPr="000977F7">
        <w:rPr>
          <w:rFonts w:asciiTheme="majorHAnsi" w:hAnsiTheme="majorHAnsi"/>
          <w:spacing w:val="5"/>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тому</w:t>
      </w:r>
      <w:r w:rsidRPr="000977F7">
        <w:rPr>
          <w:rFonts w:asciiTheme="majorHAnsi" w:hAnsiTheme="majorHAnsi"/>
          <w:spacing w:val="-1"/>
          <w:sz w:val="20"/>
          <w:szCs w:val="20"/>
        </w:rPr>
        <w:t xml:space="preserve"> </w:t>
      </w:r>
      <w:r w:rsidRPr="000977F7">
        <w:rPr>
          <w:rFonts w:asciiTheme="majorHAnsi" w:hAnsiTheme="majorHAnsi"/>
          <w:sz w:val="20"/>
          <w:szCs w:val="20"/>
        </w:rPr>
        <w:t>випадку,</w:t>
      </w:r>
      <w:r w:rsidRPr="000977F7">
        <w:rPr>
          <w:rFonts w:asciiTheme="majorHAnsi" w:hAnsiTheme="majorHAnsi"/>
          <w:spacing w:val="3"/>
          <w:sz w:val="20"/>
          <w:szCs w:val="20"/>
        </w:rPr>
        <w:t xml:space="preserve"> </w:t>
      </w:r>
      <w:r w:rsidRPr="000977F7">
        <w:rPr>
          <w:rFonts w:asciiTheme="majorHAnsi" w:hAnsiTheme="majorHAnsi"/>
          <w:sz w:val="20"/>
          <w:szCs w:val="20"/>
        </w:rPr>
        <w:t>коли</w:t>
      </w:r>
      <w:r w:rsidRPr="000977F7">
        <w:rPr>
          <w:rFonts w:asciiTheme="majorHAnsi" w:hAnsiTheme="majorHAnsi"/>
          <w:spacing w:val="3"/>
          <w:sz w:val="20"/>
          <w:szCs w:val="20"/>
        </w:rPr>
        <w:t xml:space="preserve"> </w:t>
      </w:r>
      <w:r w:rsidRPr="000977F7">
        <w:rPr>
          <w:rFonts w:asciiTheme="majorHAnsi" w:hAnsiTheme="majorHAnsi"/>
          <w:sz w:val="20"/>
          <w:szCs w:val="20"/>
        </w:rPr>
        <w:t>указана</w:t>
      </w:r>
      <w:r w:rsidRPr="000977F7">
        <w:rPr>
          <w:rFonts w:asciiTheme="majorHAnsi" w:hAnsiTheme="majorHAnsi"/>
          <w:spacing w:val="-47"/>
          <w:sz w:val="20"/>
          <w:szCs w:val="20"/>
        </w:rPr>
        <w:t xml:space="preserve">      </w:t>
      </w:r>
      <w:r w:rsidRPr="000977F7">
        <w:rPr>
          <w:rFonts w:asciiTheme="majorHAnsi" w:hAnsiTheme="majorHAnsi"/>
          <w:sz w:val="20"/>
          <w:szCs w:val="20"/>
        </w:rPr>
        <w:t>одна границя, вона, як правило, є нижньою границею</w:t>
      </w:r>
      <w:r w:rsidRPr="000977F7">
        <w:rPr>
          <w:rFonts w:asciiTheme="majorHAnsi" w:hAnsiTheme="majorHAnsi"/>
          <w:spacing w:val="1"/>
          <w:sz w:val="20"/>
          <w:szCs w:val="20"/>
        </w:rPr>
        <w:t xml:space="preserve"> </w:t>
      </w:r>
    </w:p>
    <w:p w14:paraId="7CB0BF5F" w14:textId="77777777" w:rsidR="0097612F" w:rsidRPr="000977F7" w:rsidRDefault="0097612F" w:rsidP="000977F7">
      <w:pPr>
        <w:pStyle w:val="af6"/>
        <w:tabs>
          <w:tab w:val="left" w:pos="284"/>
        </w:tabs>
        <w:spacing w:after="0"/>
        <w:ind w:left="170"/>
        <w:mirrorIndents/>
        <w:jc w:val="both"/>
        <w:rPr>
          <w:rFonts w:asciiTheme="majorHAnsi" w:hAnsiTheme="majorHAnsi"/>
          <w:b/>
          <w:spacing w:val="33"/>
          <w:sz w:val="20"/>
          <w:szCs w:val="20"/>
        </w:rPr>
      </w:pPr>
      <w:r w:rsidRPr="000977F7">
        <w:rPr>
          <w:rFonts w:asciiTheme="majorHAnsi" w:hAnsiTheme="majorHAnsi"/>
          <w:b/>
          <w:sz w:val="20"/>
          <w:szCs w:val="20"/>
        </w:rPr>
        <w:t>ОЦІНЕНИЙ</w:t>
      </w:r>
      <w:r w:rsidRPr="000977F7">
        <w:rPr>
          <w:rFonts w:asciiTheme="majorHAnsi" w:hAnsiTheme="majorHAnsi"/>
          <w:b/>
          <w:spacing w:val="32"/>
          <w:sz w:val="20"/>
          <w:szCs w:val="20"/>
        </w:rPr>
        <w:t xml:space="preserve"> </w:t>
      </w:r>
      <w:r w:rsidRPr="000977F7">
        <w:rPr>
          <w:rFonts w:asciiTheme="majorHAnsi" w:hAnsiTheme="majorHAnsi"/>
          <w:b/>
          <w:sz w:val="20"/>
          <w:szCs w:val="20"/>
        </w:rPr>
        <w:t>Q-ВІДСОТКОВИЙ</w:t>
      </w:r>
      <w:r w:rsidRPr="000977F7">
        <w:rPr>
          <w:rFonts w:asciiTheme="majorHAnsi" w:hAnsiTheme="majorHAnsi"/>
          <w:b/>
          <w:spacing w:val="33"/>
          <w:sz w:val="20"/>
          <w:szCs w:val="20"/>
        </w:rPr>
        <w:t xml:space="preserve"> </w:t>
      </w:r>
      <w:r w:rsidRPr="000977F7">
        <w:rPr>
          <w:rFonts w:asciiTheme="majorHAnsi" w:hAnsiTheme="majorHAnsi"/>
          <w:b/>
          <w:sz w:val="20"/>
          <w:szCs w:val="20"/>
        </w:rPr>
        <w:t>ТЕРМІН</w:t>
      </w:r>
      <w:r w:rsidRPr="000977F7">
        <w:rPr>
          <w:rFonts w:asciiTheme="majorHAnsi" w:hAnsiTheme="majorHAnsi"/>
          <w:b/>
          <w:spacing w:val="33"/>
          <w:sz w:val="20"/>
          <w:szCs w:val="20"/>
        </w:rPr>
        <w:t xml:space="preserve"> </w:t>
      </w:r>
    </w:p>
    <w:p w14:paraId="23AA892A"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СЛУЖ</w:t>
      </w:r>
      <w:r w:rsidRPr="000977F7">
        <w:rPr>
          <w:rFonts w:asciiTheme="majorHAnsi" w:hAnsiTheme="majorHAnsi"/>
          <w:b/>
          <w:spacing w:val="-47"/>
          <w:sz w:val="20"/>
          <w:szCs w:val="20"/>
        </w:rPr>
        <w:t xml:space="preserve"> </w:t>
      </w:r>
      <w:r w:rsidRPr="000977F7">
        <w:rPr>
          <w:rFonts w:asciiTheme="majorHAnsi" w:hAnsiTheme="majorHAnsi"/>
          <w:b/>
          <w:sz w:val="20"/>
          <w:szCs w:val="20"/>
        </w:rPr>
        <w:t>БИ -</w:t>
      </w:r>
    </w:p>
    <w:p w14:paraId="605CC83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ASSESSED</w:t>
      </w:r>
      <w:r w:rsidRPr="000977F7">
        <w:rPr>
          <w:rFonts w:asciiTheme="majorHAnsi" w:hAnsiTheme="majorHAnsi"/>
          <w:spacing w:val="-3"/>
          <w:sz w:val="20"/>
          <w:szCs w:val="20"/>
        </w:rPr>
        <w:t xml:space="preserve"> </w:t>
      </w:r>
      <w:r w:rsidRPr="000977F7">
        <w:rPr>
          <w:rFonts w:asciiTheme="majorHAnsi" w:hAnsiTheme="majorHAnsi"/>
          <w:sz w:val="20"/>
          <w:szCs w:val="20"/>
        </w:rPr>
        <w:t>Q-PERCENTILE</w:t>
      </w:r>
      <w:r w:rsidRPr="000977F7">
        <w:rPr>
          <w:rFonts w:asciiTheme="majorHAnsi" w:hAnsiTheme="majorHAnsi"/>
          <w:spacing w:val="-3"/>
          <w:sz w:val="20"/>
          <w:szCs w:val="20"/>
        </w:rPr>
        <w:t xml:space="preserve"> </w:t>
      </w:r>
      <w:r w:rsidRPr="000977F7">
        <w:rPr>
          <w:rFonts w:asciiTheme="majorHAnsi" w:hAnsiTheme="majorHAnsi"/>
          <w:sz w:val="20"/>
          <w:szCs w:val="20"/>
        </w:rPr>
        <w:t>LIFE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27A4D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Q-відсотковий термін служби, визначений як граничне значення (або граничні значення ) довірчого інтервалу із заданим довірчим рівнем на підставі тих же</w:t>
      </w:r>
      <w:r w:rsidRPr="000977F7">
        <w:rPr>
          <w:rFonts w:asciiTheme="majorHAnsi" w:hAnsiTheme="majorHAnsi"/>
          <w:spacing w:val="1"/>
          <w:sz w:val="20"/>
          <w:szCs w:val="20"/>
        </w:rPr>
        <w:t xml:space="preserve"> </w:t>
      </w:r>
      <w:r w:rsidRPr="000977F7">
        <w:rPr>
          <w:rFonts w:asciiTheme="majorHAnsi" w:hAnsiTheme="majorHAnsi"/>
          <w:sz w:val="20"/>
          <w:szCs w:val="20"/>
        </w:rPr>
        <w:t>даних спостережень за номінально ідентичними виробами,</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визначали</w:t>
      </w:r>
      <w:r w:rsidRPr="000977F7">
        <w:rPr>
          <w:rFonts w:asciiTheme="majorHAnsi" w:hAnsiTheme="majorHAnsi"/>
          <w:spacing w:val="1"/>
          <w:sz w:val="20"/>
          <w:szCs w:val="20"/>
        </w:rPr>
        <w:t xml:space="preserve"> </w:t>
      </w:r>
      <w:r w:rsidRPr="000977F7">
        <w:rPr>
          <w:rFonts w:asciiTheme="majorHAnsi" w:hAnsiTheme="majorHAnsi"/>
          <w:sz w:val="20"/>
          <w:szCs w:val="20"/>
        </w:rPr>
        <w:t>спостережений</w:t>
      </w:r>
      <w:r w:rsidRPr="000977F7">
        <w:rPr>
          <w:rFonts w:asciiTheme="majorHAnsi" w:hAnsiTheme="majorHAnsi"/>
          <w:spacing w:val="1"/>
          <w:sz w:val="20"/>
          <w:szCs w:val="20"/>
        </w:rPr>
        <w:t xml:space="preserve"> </w:t>
      </w:r>
      <w:r w:rsidRPr="000977F7">
        <w:rPr>
          <w:rFonts w:asciiTheme="majorHAnsi" w:hAnsiTheme="majorHAnsi"/>
          <w:sz w:val="20"/>
          <w:szCs w:val="20"/>
        </w:rPr>
        <w:t>Q-відсотковий</w:t>
      </w:r>
      <w:r w:rsidRPr="000977F7">
        <w:rPr>
          <w:rFonts w:asciiTheme="majorHAnsi" w:hAnsiTheme="majorHAnsi"/>
          <w:spacing w:val="1"/>
          <w:sz w:val="20"/>
          <w:szCs w:val="20"/>
        </w:rPr>
        <w:t xml:space="preserve"> </w:t>
      </w:r>
      <w:r w:rsidRPr="000977F7">
        <w:rPr>
          <w:rFonts w:asciiTheme="majorHAnsi" w:hAnsiTheme="majorHAnsi"/>
          <w:sz w:val="20"/>
          <w:szCs w:val="20"/>
        </w:rPr>
        <w:t>термін</w:t>
      </w:r>
      <w:r w:rsidRPr="000977F7">
        <w:rPr>
          <w:rFonts w:asciiTheme="majorHAnsi" w:hAnsiTheme="majorHAnsi"/>
          <w:spacing w:val="-2"/>
          <w:sz w:val="20"/>
          <w:szCs w:val="20"/>
        </w:rPr>
        <w:t xml:space="preserve"> </w:t>
      </w:r>
      <w:r w:rsidRPr="000977F7">
        <w:rPr>
          <w:rFonts w:asciiTheme="majorHAnsi" w:hAnsiTheme="majorHAnsi"/>
          <w:sz w:val="20"/>
          <w:szCs w:val="20"/>
        </w:rPr>
        <w:t>служби</w:t>
      </w:r>
    </w:p>
    <w:p w14:paraId="08F0D8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и:</w:t>
      </w:r>
    </w:p>
    <w:p w14:paraId="1ABEBA71" w14:textId="77777777" w:rsidR="0097612F" w:rsidRPr="000977F7" w:rsidRDefault="0097612F" w:rsidP="00FD39A4">
      <w:pPr>
        <w:pStyle w:val="ac"/>
        <w:widowControl w:val="0"/>
        <w:numPr>
          <w:ilvl w:val="1"/>
          <w:numId w:val="125"/>
        </w:numPr>
        <w:tabs>
          <w:tab w:val="left" w:pos="284"/>
          <w:tab w:val="left" w:pos="5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Слід</w:t>
      </w:r>
      <w:r w:rsidRPr="000977F7">
        <w:rPr>
          <w:rFonts w:asciiTheme="majorHAnsi" w:hAnsiTheme="majorHAnsi"/>
          <w:spacing w:val="-3"/>
          <w:sz w:val="20"/>
          <w:szCs w:val="20"/>
        </w:rPr>
        <w:t xml:space="preserve"> </w:t>
      </w:r>
      <w:r w:rsidRPr="000977F7">
        <w:rPr>
          <w:rFonts w:asciiTheme="majorHAnsi" w:hAnsiTheme="majorHAnsi"/>
          <w:sz w:val="20"/>
          <w:szCs w:val="20"/>
        </w:rPr>
        <w:t>вказати</w:t>
      </w:r>
      <w:r w:rsidRPr="000977F7">
        <w:rPr>
          <w:rFonts w:asciiTheme="majorHAnsi" w:hAnsiTheme="majorHAnsi"/>
          <w:spacing w:val="-3"/>
          <w:sz w:val="20"/>
          <w:szCs w:val="20"/>
        </w:rPr>
        <w:t xml:space="preserve"> </w:t>
      </w:r>
      <w:r w:rsidRPr="000977F7">
        <w:rPr>
          <w:rFonts w:asciiTheme="majorHAnsi" w:hAnsiTheme="majorHAnsi"/>
          <w:sz w:val="20"/>
          <w:szCs w:val="20"/>
        </w:rPr>
        <w:t>джерело</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інформації</w:t>
      </w:r>
    </w:p>
    <w:p w14:paraId="22033953" w14:textId="77777777" w:rsidR="0097612F" w:rsidRPr="000977F7" w:rsidRDefault="0097612F" w:rsidP="00FD39A4">
      <w:pPr>
        <w:pStyle w:val="ac"/>
        <w:widowControl w:val="0"/>
        <w:numPr>
          <w:ilvl w:val="1"/>
          <w:numId w:val="125"/>
        </w:numPr>
        <w:tabs>
          <w:tab w:val="left" w:pos="284"/>
          <w:tab w:val="left" w:pos="5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Результати</w:t>
      </w:r>
      <w:r w:rsidRPr="000977F7">
        <w:rPr>
          <w:rFonts w:asciiTheme="majorHAnsi" w:hAnsiTheme="majorHAnsi"/>
          <w:spacing w:val="2"/>
          <w:sz w:val="20"/>
          <w:szCs w:val="20"/>
        </w:rPr>
        <w:t xml:space="preserve"> </w:t>
      </w:r>
      <w:r w:rsidRPr="000977F7">
        <w:rPr>
          <w:rFonts w:asciiTheme="majorHAnsi" w:hAnsiTheme="majorHAnsi"/>
          <w:sz w:val="20"/>
          <w:szCs w:val="20"/>
        </w:rPr>
        <w:t>можуть</w:t>
      </w:r>
      <w:r w:rsidRPr="000977F7">
        <w:rPr>
          <w:rFonts w:asciiTheme="majorHAnsi" w:hAnsiTheme="majorHAnsi"/>
          <w:spacing w:val="5"/>
          <w:sz w:val="20"/>
          <w:szCs w:val="20"/>
        </w:rPr>
        <w:t xml:space="preserve"> </w:t>
      </w:r>
      <w:r w:rsidRPr="000977F7">
        <w:rPr>
          <w:rFonts w:asciiTheme="majorHAnsi" w:hAnsiTheme="majorHAnsi"/>
          <w:sz w:val="20"/>
          <w:szCs w:val="20"/>
        </w:rPr>
        <w:t>накопичуватися</w:t>
      </w:r>
      <w:r w:rsidRPr="000977F7">
        <w:rPr>
          <w:rFonts w:asciiTheme="majorHAnsi" w:hAnsiTheme="majorHAnsi"/>
          <w:spacing w:val="2"/>
          <w:sz w:val="20"/>
          <w:szCs w:val="20"/>
        </w:rPr>
        <w:t xml:space="preserve"> </w:t>
      </w:r>
      <w:r w:rsidRPr="000977F7">
        <w:rPr>
          <w:rFonts w:asciiTheme="majorHAnsi" w:hAnsiTheme="majorHAnsi"/>
          <w:sz w:val="20"/>
          <w:szCs w:val="20"/>
        </w:rPr>
        <w:t>(узагальнювати</w:t>
      </w:r>
      <w:r w:rsidRPr="000977F7">
        <w:rPr>
          <w:rFonts w:asciiTheme="majorHAnsi" w:hAnsiTheme="majorHAnsi"/>
          <w:spacing w:val="-47"/>
          <w:sz w:val="20"/>
          <w:szCs w:val="20"/>
        </w:rPr>
        <w:t xml:space="preserve"> </w:t>
      </w:r>
      <w:r w:rsidRPr="000977F7">
        <w:rPr>
          <w:rFonts w:asciiTheme="majorHAnsi" w:hAnsiTheme="majorHAnsi"/>
          <w:sz w:val="20"/>
          <w:szCs w:val="20"/>
        </w:rPr>
        <w:t>ся)</w:t>
      </w:r>
      <w:r w:rsidRPr="000977F7">
        <w:rPr>
          <w:rFonts w:asciiTheme="majorHAnsi" w:hAnsiTheme="majorHAnsi"/>
          <w:spacing w:val="-2"/>
          <w:sz w:val="20"/>
          <w:szCs w:val="20"/>
        </w:rPr>
        <w:t xml:space="preserve"> </w:t>
      </w:r>
      <w:r w:rsidRPr="000977F7">
        <w:rPr>
          <w:rFonts w:asciiTheme="majorHAnsi" w:hAnsiTheme="majorHAnsi"/>
          <w:sz w:val="20"/>
          <w:szCs w:val="20"/>
        </w:rPr>
        <w:t>тільки</w:t>
      </w:r>
      <w:r w:rsidRPr="000977F7">
        <w:rPr>
          <w:rFonts w:asciiTheme="majorHAnsi" w:hAnsiTheme="majorHAnsi"/>
          <w:spacing w:val="-3"/>
          <w:sz w:val="20"/>
          <w:szCs w:val="20"/>
        </w:rPr>
        <w:t xml:space="preserve"> </w:t>
      </w:r>
      <w:r w:rsidRPr="000977F7">
        <w:rPr>
          <w:rFonts w:asciiTheme="majorHAnsi" w:hAnsiTheme="majorHAnsi"/>
          <w:sz w:val="20"/>
          <w:szCs w:val="20"/>
        </w:rPr>
        <w:t>в тому</w:t>
      </w:r>
      <w:r w:rsidRPr="000977F7">
        <w:rPr>
          <w:rFonts w:asciiTheme="majorHAnsi" w:hAnsiTheme="majorHAnsi"/>
          <w:spacing w:val="-6"/>
          <w:sz w:val="20"/>
          <w:szCs w:val="20"/>
        </w:rPr>
        <w:t xml:space="preserve"> </w:t>
      </w:r>
      <w:r w:rsidRPr="000977F7">
        <w:rPr>
          <w:rFonts w:asciiTheme="majorHAnsi" w:hAnsiTheme="majorHAnsi"/>
          <w:sz w:val="20"/>
          <w:szCs w:val="20"/>
        </w:rPr>
        <w:t>випадку, якщо</w:t>
      </w:r>
      <w:r w:rsidRPr="000977F7">
        <w:rPr>
          <w:rFonts w:asciiTheme="majorHAnsi" w:hAnsiTheme="majorHAnsi"/>
          <w:spacing w:val="-1"/>
          <w:sz w:val="20"/>
          <w:szCs w:val="20"/>
        </w:rPr>
        <w:t xml:space="preserve"> </w:t>
      </w:r>
      <w:r w:rsidRPr="000977F7">
        <w:rPr>
          <w:rFonts w:asciiTheme="majorHAnsi" w:hAnsiTheme="majorHAnsi"/>
          <w:sz w:val="20"/>
          <w:szCs w:val="20"/>
        </w:rPr>
        <w:t>всі</w:t>
      </w:r>
      <w:r w:rsidRPr="000977F7">
        <w:rPr>
          <w:rFonts w:asciiTheme="majorHAnsi" w:hAnsiTheme="majorHAnsi"/>
          <w:spacing w:val="1"/>
          <w:sz w:val="20"/>
          <w:szCs w:val="20"/>
        </w:rPr>
        <w:t xml:space="preserve"> </w:t>
      </w:r>
      <w:r w:rsidRPr="000977F7">
        <w:rPr>
          <w:rFonts w:asciiTheme="majorHAnsi" w:hAnsiTheme="majorHAnsi"/>
          <w:sz w:val="20"/>
          <w:szCs w:val="20"/>
        </w:rPr>
        <w:t>умови</w:t>
      </w:r>
      <w:r w:rsidRPr="000977F7">
        <w:rPr>
          <w:rFonts w:asciiTheme="majorHAnsi" w:hAnsiTheme="majorHAnsi"/>
          <w:spacing w:val="-3"/>
          <w:sz w:val="20"/>
          <w:szCs w:val="20"/>
        </w:rPr>
        <w:t xml:space="preserve"> </w:t>
      </w:r>
      <w:r w:rsidRPr="000977F7">
        <w:rPr>
          <w:rFonts w:asciiTheme="majorHAnsi" w:hAnsiTheme="majorHAnsi"/>
          <w:sz w:val="20"/>
          <w:szCs w:val="20"/>
        </w:rPr>
        <w:t>подібні.</w:t>
      </w:r>
    </w:p>
    <w:p w14:paraId="70BAE86F" w14:textId="77777777" w:rsidR="0097612F" w:rsidRPr="000977F7" w:rsidRDefault="0097612F" w:rsidP="00FD39A4">
      <w:pPr>
        <w:pStyle w:val="ac"/>
        <w:widowControl w:val="0"/>
        <w:numPr>
          <w:ilvl w:val="1"/>
          <w:numId w:val="125"/>
        </w:numPr>
        <w:tabs>
          <w:tab w:val="left" w:pos="284"/>
          <w:tab w:val="left" w:pos="5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Слід</w:t>
      </w:r>
      <w:r w:rsidRPr="000977F7">
        <w:rPr>
          <w:rFonts w:asciiTheme="majorHAnsi" w:hAnsiTheme="majorHAnsi"/>
          <w:spacing w:val="3"/>
          <w:sz w:val="20"/>
          <w:szCs w:val="20"/>
        </w:rPr>
        <w:t xml:space="preserve"> </w:t>
      </w:r>
      <w:r w:rsidRPr="000977F7">
        <w:rPr>
          <w:rFonts w:asciiTheme="majorHAnsi" w:hAnsiTheme="majorHAnsi"/>
          <w:sz w:val="20"/>
          <w:szCs w:val="20"/>
        </w:rPr>
        <w:t>вказати</w:t>
      </w:r>
      <w:r w:rsidRPr="000977F7">
        <w:rPr>
          <w:rFonts w:asciiTheme="majorHAnsi" w:hAnsiTheme="majorHAnsi"/>
          <w:spacing w:val="3"/>
          <w:sz w:val="20"/>
          <w:szCs w:val="20"/>
        </w:rPr>
        <w:t xml:space="preserve"> </w:t>
      </w:r>
      <w:r w:rsidRPr="000977F7">
        <w:rPr>
          <w:rFonts w:asciiTheme="majorHAnsi" w:hAnsiTheme="majorHAnsi"/>
          <w:sz w:val="20"/>
          <w:szCs w:val="20"/>
        </w:rPr>
        <w:t>закон</w:t>
      </w:r>
      <w:r w:rsidRPr="000977F7">
        <w:rPr>
          <w:rFonts w:asciiTheme="majorHAnsi" w:hAnsiTheme="majorHAnsi"/>
          <w:spacing w:val="3"/>
          <w:sz w:val="20"/>
          <w:szCs w:val="20"/>
        </w:rPr>
        <w:t xml:space="preserve"> </w:t>
      </w:r>
      <w:r w:rsidRPr="000977F7">
        <w:rPr>
          <w:rFonts w:asciiTheme="majorHAnsi" w:hAnsiTheme="majorHAnsi"/>
          <w:sz w:val="20"/>
          <w:szCs w:val="20"/>
        </w:rPr>
        <w:t>розподілу</w:t>
      </w:r>
      <w:r w:rsidRPr="000977F7">
        <w:rPr>
          <w:rFonts w:asciiTheme="majorHAnsi" w:hAnsiTheme="majorHAnsi"/>
          <w:spacing w:val="49"/>
          <w:sz w:val="20"/>
          <w:szCs w:val="20"/>
        </w:rPr>
        <w:t xml:space="preserve"> </w:t>
      </w:r>
      <w:r w:rsidRPr="000977F7">
        <w:rPr>
          <w:rFonts w:asciiTheme="majorHAnsi" w:hAnsiTheme="majorHAnsi"/>
          <w:sz w:val="20"/>
          <w:szCs w:val="20"/>
        </w:rPr>
        <w:t>відмов</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3"/>
          <w:sz w:val="20"/>
          <w:szCs w:val="20"/>
        </w:rPr>
        <w:t xml:space="preserve"> </w:t>
      </w:r>
      <w:r w:rsidRPr="000977F7">
        <w:rPr>
          <w:rFonts w:asciiTheme="majorHAnsi" w:hAnsiTheme="majorHAnsi"/>
          <w:sz w:val="20"/>
          <w:szCs w:val="20"/>
        </w:rPr>
        <w:t>часі,</w:t>
      </w:r>
      <w:r w:rsidRPr="000977F7">
        <w:rPr>
          <w:rFonts w:asciiTheme="majorHAnsi" w:hAnsiTheme="majorHAnsi"/>
          <w:spacing w:val="2"/>
          <w:sz w:val="20"/>
          <w:szCs w:val="20"/>
        </w:rPr>
        <w:t xml:space="preserve"> </w:t>
      </w:r>
      <w:r w:rsidRPr="000977F7">
        <w:rPr>
          <w:rFonts w:asciiTheme="majorHAnsi" w:hAnsiTheme="majorHAnsi"/>
          <w:sz w:val="20"/>
          <w:szCs w:val="20"/>
        </w:rPr>
        <w:t>який</w:t>
      </w:r>
      <w:r w:rsidRPr="000977F7">
        <w:rPr>
          <w:rFonts w:asciiTheme="majorHAnsi" w:hAnsiTheme="majorHAnsi"/>
          <w:spacing w:val="-47"/>
          <w:sz w:val="20"/>
          <w:szCs w:val="20"/>
        </w:rPr>
        <w:t xml:space="preserve"> </w:t>
      </w:r>
      <w:r w:rsidRPr="000977F7">
        <w:rPr>
          <w:rFonts w:asciiTheme="majorHAnsi" w:hAnsiTheme="majorHAnsi"/>
          <w:sz w:val="20"/>
          <w:szCs w:val="20"/>
        </w:rPr>
        <w:t>передбачається</w:t>
      </w:r>
    </w:p>
    <w:p w14:paraId="4D73EEDF" w14:textId="77777777" w:rsidR="0097612F" w:rsidRPr="000977F7" w:rsidRDefault="0097612F" w:rsidP="00FD39A4">
      <w:pPr>
        <w:pStyle w:val="ac"/>
        <w:widowControl w:val="0"/>
        <w:numPr>
          <w:ilvl w:val="1"/>
          <w:numId w:val="125"/>
        </w:numPr>
        <w:tabs>
          <w:tab w:val="left" w:pos="284"/>
          <w:tab w:val="left" w:pos="5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Слід</w:t>
      </w:r>
      <w:r w:rsidRPr="000977F7">
        <w:rPr>
          <w:rFonts w:asciiTheme="majorHAnsi" w:hAnsiTheme="majorHAnsi"/>
          <w:spacing w:val="15"/>
          <w:sz w:val="20"/>
          <w:szCs w:val="20"/>
        </w:rPr>
        <w:t xml:space="preserve"> </w:t>
      </w:r>
      <w:r w:rsidRPr="000977F7">
        <w:rPr>
          <w:rFonts w:asciiTheme="majorHAnsi" w:hAnsiTheme="majorHAnsi"/>
          <w:sz w:val="20"/>
          <w:szCs w:val="20"/>
        </w:rPr>
        <w:t>вказати,</w:t>
      </w:r>
      <w:r w:rsidRPr="000977F7">
        <w:rPr>
          <w:rFonts w:asciiTheme="majorHAnsi" w:hAnsiTheme="majorHAnsi"/>
          <w:spacing w:val="18"/>
          <w:sz w:val="20"/>
          <w:szCs w:val="20"/>
        </w:rPr>
        <w:t xml:space="preserve"> </w:t>
      </w:r>
      <w:r w:rsidRPr="000977F7">
        <w:rPr>
          <w:rFonts w:asciiTheme="majorHAnsi" w:hAnsiTheme="majorHAnsi"/>
          <w:sz w:val="20"/>
          <w:szCs w:val="20"/>
        </w:rPr>
        <w:t>який</w:t>
      </w:r>
      <w:r w:rsidRPr="000977F7">
        <w:rPr>
          <w:rFonts w:asciiTheme="majorHAnsi" w:hAnsiTheme="majorHAnsi"/>
          <w:spacing w:val="16"/>
          <w:sz w:val="20"/>
          <w:szCs w:val="20"/>
        </w:rPr>
        <w:t xml:space="preserve"> </w:t>
      </w:r>
      <w:r w:rsidRPr="000977F7">
        <w:rPr>
          <w:rFonts w:asciiTheme="majorHAnsi" w:hAnsiTheme="majorHAnsi"/>
          <w:sz w:val="20"/>
          <w:szCs w:val="20"/>
        </w:rPr>
        <w:t>використовується</w:t>
      </w:r>
      <w:r w:rsidRPr="000977F7">
        <w:rPr>
          <w:rFonts w:asciiTheme="majorHAnsi" w:hAnsiTheme="majorHAnsi"/>
          <w:spacing w:val="14"/>
          <w:sz w:val="20"/>
          <w:szCs w:val="20"/>
        </w:rPr>
        <w:t xml:space="preserve"> </w:t>
      </w:r>
      <w:r w:rsidRPr="000977F7">
        <w:rPr>
          <w:rFonts w:asciiTheme="majorHAnsi" w:hAnsiTheme="majorHAnsi"/>
          <w:sz w:val="20"/>
          <w:szCs w:val="20"/>
        </w:rPr>
        <w:t>довірчий</w:t>
      </w:r>
      <w:r w:rsidRPr="000977F7">
        <w:rPr>
          <w:rFonts w:asciiTheme="majorHAnsi" w:hAnsiTheme="majorHAnsi"/>
          <w:spacing w:val="16"/>
          <w:sz w:val="20"/>
          <w:szCs w:val="20"/>
        </w:rPr>
        <w:t xml:space="preserve"> </w:t>
      </w:r>
      <w:r w:rsidRPr="000977F7">
        <w:rPr>
          <w:rFonts w:asciiTheme="majorHAnsi" w:hAnsiTheme="majorHAnsi"/>
          <w:sz w:val="20"/>
          <w:szCs w:val="20"/>
        </w:rPr>
        <w:t>інтервал</w:t>
      </w:r>
      <w:r w:rsidRPr="000977F7">
        <w:rPr>
          <w:rFonts w:asciiTheme="majorHAnsi" w:hAnsiTheme="majorHAnsi"/>
          <w:spacing w:val="-2"/>
          <w:sz w:val="20"/>
          <w:szCs w:val="20"/>
        </w:rPr>
        <w:t xml:space="preserve"> </w:t>
      </w:r>
      <w:r w:rsidRPr="000977F7">
        <w:rPr>
          <w:rFonts w:asciiTheme="majorHAnsi" w:hAnsiTheme="majorHAnsi"/>
          <w:sz w:val="20"/>
          <w:szCs w:val="20"/>
        </w:rPr>
        <w:t>– односторонній</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двосторонній</w:t>
      </w:r>
    </w:p>
    <w:p w14:paraId="739FC749" w14:textId="77777777" w:rsidR="0097612F" w:rsidRPr="000977F7" w:rsidRDefault="0097612F" w:rsidP="00FD39A4">
      <w:pPr>
        <w:pStyle w:val="ac"/>
        <w:widowControl w:val="0"/>
        <w:numPr>
          <w:ilvl w:val="1"/>
          <w:numId w:val="125"/>
        </w:numPr>
        <w:tabs>
          <w:tab w:val="left" w:pos="284"/>
          <w:tab w:val="left" w:pos="5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w:t>
      </w:r>
      <w:r w:rsidRPr="000977F7">
        <w:rPr>
          <w:rFonts w:asciiTheme="majorHAnsi" w:hAnsiTheme="majorHAnsi"/>
          <w:spacing w:val="29"/>
          <w:sz w:val="20"/>
          <w:szCs w:val="20"/>
        </w:rPr>
        <w:t xml:space="preserve"> </w:t>
      </w:r>
      <w:r w:rsidRPr="000977F7">
        <w:rPr>
          <w:rFonts w:asciiTheme="majorHAnsi" w:hAnsiTheme="majorHAnsi"/>
          <w:sz w:val="20"/>
          <w:szCs w:val="20"/>
        </w:rPr>
        <w:t>тому</w:t>
      </w:r>
      <w:r w:rsidRPr="000977F7">
        <w:rPr>
          <w:rFonts w:asciiTheme="majorHAnsi" w:hAnsiTheme="majorHAnsi"/>
          <w:spacing w:val="27"/>
          <w:sz w:val="20"/>
          <w:szCs w:val="20"/>
        </w:rPr>
        <w:t xml:space="preserve"> </w:t>
      </w:r>
      <w:r w:rsidRPr="000977F7">
        <w:rPr>
          <w:rFonts w:asciiTheme="majorHAnsi" w:hAnsiTheme="majorHAnsi"/>
          <w:sz w:val="20"/>
          <w:szCs w:val="20"/>
        </w:rPr>
        <w:t>випадку,</w:t>
      </w:r>
      <w:r w:rsidRPr="000977F7">
        <w:rPr>
          <w:rFonts w:asciiTheme="majorHAnsi" w:hAnsiTheme="majorHAnsi"/>
          <w:spacing w:val="31"/>
          <w:sz w:val="20"/>
          <w:szCs w:val="20"/>
        </w:rPr>
        <w:t xml:space="preserve"> </w:t>
      </w:r>
      <w:r w:rsidRPr="000977F7">
        <w:rPr>
          <w:rFonts w:asciiTheme="majorHAnsi" w:hAnsiTheme="majorHAnsi"/>
          <w:sz w:val="20"/>
          <w:szCs w:val="20"/>
        </w:rPr>
        <w:t>якщо</w:t>
      </w:r>
      <w:r w:rsidRPr="000977F7">
        <w:rPr>
          <w:rFonts w:asciiTheme="majorHAnsi" w:hAnsiTheme="majorHAnsi"/>
          <w:spacing w:val="33"/>
          <w:sz w:val="20"/>
          <w:szCs w:val="20"/>
        </w:rPr>
        <w:t xml:space="preserve"> </w:t>
      </w:r>
      <w:r w:rsidRPr="000977F7">
        <w:rPr>
          <w:rFonts w:asciiTheme="majorHAnsi" w:hAnsiTheme="majorHAnsi"/>
          <w:sz w:val="20"/>
          <w:szCs w:val="20"/>
        </w:rPr>
        <w:t>вказана</w:t>
      </w:r>
      <w:r w:rsidRPr="000977F7">
        <w:rPr>
          <w:rFonts w:asciiTheme="majorHAnsi" w:hAnsiTheme="majorHAnsi"/>
          <w:spacing w:val="28"/>
          <w:sz w:val="20"/>
          <w:szCs w:val="20"/>
        </w:rPr>
        <w:t xml:space="preserve"> </w:t>
      </w:r>
      <w:r w:rsidRPr="000977F7">
        <w:rPr>
          <w:rFonts w:asciiTheme="majorHAnsi" w:hAnsiTheme="majorHAnsi"/>
          <w:sz w:val="20"/>
          <w:szCs w:val="20"/>
        </w:rPr>
        <w:t>одна</w:t>
      </w:r>
      <w:r w:rsidRPr="000977F7">
        <w:rPr>
          <w:rFonts w:asciiTheme="majorHAnsi" w:hAnsiTheme="majorHAnsi"/>
          <w:spacing w:val="28"/>
          <w:sz w:val="20"/>
          <w:szCs w:val="20"/>
        </w:rPr>
        <w:t xml:space="preserve"> </w:t>
      </w:r>
      <w:r w:rsidRPr="000977F7">
        <w:rPr>
          <w:rFonts w:asciiTheme="majorHAnsi" w:hAnsiTheme="majorHAnsi"/>
          <w:sz w:val="20"/>
          <w:szCs w:val="20"/>
        </w:rPr>
        <w:t>границя,</w:t>
      </w:r>
      <w:r w:rsidRPr="000977F7">
        <w:rPr>
          <w:rFonts w:asciiTheme="majorHAnsi" w:hAnsiTheme="majorHAnsi"/>
          <w:spacing w:val="28"/>
          <w:sz w:val="20"/>
          <w:szCs w:val="20"/>
        </w:rPr>
        <w:t xml:space="preserve"> </w:t>
      </w:r>
      <w:r w:rsidRPr="000977F7">
        <w:rPr>
          <w:rFonts w:asciiTheme="majorHAnsi" w:hAnsiTheme="majorHAnsi"/>
          <w:sz w:val="20"/>
          <w:szCs w:val="20"/>
        </w:rPr>
        <w:t>вона,</w:t>
      </w:r>
      <w:r w:rsidRPr="000977F7">
        <w:rPr>
          <w:rFonts w:asciiTheme="majorHAnsi" w:hAnsiTheme="majorHAnsi"/>
          <w:spacing w:val="-47"/>
          <w:sz w:val="20"/>
          <w:szCs w:val="20"/>
        </w:rPr>
        <w:t xml:space="preserve"> </w:t>
      </w:r>
      <w:r w:rsidRPr="000977F7">
        <w:rPr>
          <w:rFonts w:asciiTheme="majorHAnsi" w:hAnsiTheme="majorHAnsi"/>
          <w:sz w:val="20"/>
          <w:szCs w:val="20"/>
        </w:rPr>
        <w:t>як</w:t>
      </w:r>
      <w:r w:rsidRPr="000977F7">
        <w:rPr>
          <w:rFonts w:asciiTheme="majorHAnsi" w:hAnsiTheme="majorHAnsi"/>
          <w:spacing w:val="-2"/>
          <w:sz w:val="20"/>
          <w:szCs w:val="20"/>
        </w:rPr>
        <w:t xml:space="preserve"> </w:t>
      </w:r>
      <w:r w:rsidRPr="000977F7">
        <w:rPr>
          <w:rFonts w:asciiTheme="majorHAnsi" w:hAnsiTheme="majorHAnsi"/>
          <w:sz w:val="20"/>
          <w:szCs w:val="20"/>
        </w:rPr>
        <w:t>правило, є</w:t>
      </w:r>
      <w:r w:rsidRPr="000977F7">
        <w:rPr>
          <w:rFonts w:asciiTheme="majorHAnsi" w:hAnsiTheme="majorHAnsi"/>
          <w:spacing w:val="-1"/>
          <w:sz w:val="20"/>
          <w:szCs w:val="20"/>
        </w:rPr>
        <w:t xml:space="preserve"> </w:t>
      </w:r>
      <w:r w:rsidRPr="000977F7">
        <w:rPr>
          <w:rFonts w:asciiTheme="majorHAnsi" w:hAnsiTheme="majorHAnsi"/>
          <w:sz w:val="20"/>
          <w:szCs w:val="20"/>
        </w:rPr>
        <w:t>нижньою границею</w:t>
      </w:r>
    </w:p>
    <w:p w14:paraId="53AD3966" w14:textId="77777777" w:rsidR="0097612F" w:rsidRPr="000977F7" w:rsidRDefault="0097612F" w:rsidP="000977F7">
      <w:pPr>
        <w:pStyle w:val="ac"/>
        <w:tabs>
          <w:tab w:val="left" w:pos="284"/>
          <w:tab w:val="left" w:pos="592"/>
        </w:tabs>
        <w:spacing w:after="0" w:line="240" w:lineRule="auto"/>
        <w:ind w:left="170"/>
        <w:mirrorIndents/>
        <w:jc w:val="both"/>
        <w:rPr>
          <w:rFonts w:asciiTheme="majorHAnsi" w:hAnsiTheme="majorHAnsi"/>
          <w:b/>
          <w:bCs/>
          <w:sz w:val="20"/>
          <w:szCs w:val="20"/>
        </w:rPr>
      </w:pPr>
      <w:r w:rsidRPr="000977F7">
        <w:rPr>
          <w:rFonts w:asciiTheme="majorHAnsi" w:hAnsiTheme="majorHAnsi"/>
          <w:b/>
          <w:bCs/>
          <w:sz w:val="20"/>
          <w:szCs w:val="20"/>
        </w:rPr>
        <w:t>ОЦІНКА</w:t>
      </w:r>
      <w:r w:rsidRPr="000977F7">
        <w:rPr>
          <w:rFonts w:asciiTheme="majorHAnsi" w:hAnsiTheme="majorHAnsi"/>
          <w:b/>
          <w:bCs/>
          <w:spacing w:val="-8"/>
          <w:sz w:val="20"/>
          <w:szCs w:val="20"/>
        </w:rPr>
        <w:t xml:space="preserve"> </w:t>
      </w:r>
      <w:r w:rsidRPr="000977F7">
        <w:rPr>
          <w:rFonts w:asciiTheme="majorHAnsi" w:hAnsiTheme="majorHAnsi"/>
          <w:b/>
          <w:bCs/>
          <w:sz w:val="20"/>
          <w:szCs w:val="20"/>
        </w:rPr>
        <w:t>ВИРОБНИЦТВА</w:t>
      </w:r>
      <w:r w:rsidRPr="000977F7">
        <w:rPr>
          <w:rFonts w:asciiTheme="majorHAnsi" w:hAnsiTheme="majorHAnsi"/>
          <w:b/>
          <w:bCs/>
          <w:spacing w:val="-4"/>
          <w:sz w:val="20"/>
          <w:szCs w:val="20"/>
        </w:rPr>
        <w:t xml:space="preserve"> </w:t>
      </w:r>
      <w:r w:rsidRPr="000977F7">
        <w:rPr>
          <w:rFonts w:asciiTheme="majorHAnsi" w:hAnsiTheme="majorHAnsi"/>
          <w:b/>
          <w:bCs/>
          <w:sz w:val="20"/>
          <w:szCs w:val="20"/>
        </w:rPr>
        <w:t>–</w:t>
      </w:r>
    </w:p>
    <w:p w14:paraId="377FDDE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Перевірка ступеня відповідності виробництва заданим</w:t>
      </w:r>
      <w:r w:rsidRPr="000977F7">
        <w:rPr>
          <w:rFonts w:asciiTheme="majorHAnsi" w:hAnsiTheme="majorHAnsi"/>
          <w:spacing w:val="-47"/>
          <w:sz w:val="20"/>
          <w:szCs w:val="20"/>
        </w:rPr>
        <w:t xml:space="preserve"> </w:t>
      </w:r>
      <w:r w:rsidRPr="000977F7">
        <w:rPr>
          <w:rFonts w:asciiTheme="majorHAnsi" w:hAnsiTheme="majorHAnsi"/>
          <w:sz w:val="20"/>
          <w:szCs w:val="20"/>
        </w:rPr>
        <w:t>вимогам</w:t>
      </w:r>
    </w:p>
    <w:p w14:paraId="3F703384"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ОЦІНКА РИЗИКУ –</w:t>
      </w:r>
    </w:p>
    <w:p w14:paraId="4E7537ED"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Науково обґрунтований процес, який складається з ідентифікації та характеристики небезпеки, оцінки впливу, характеристики ризику</w:t>
      </w:r>
    </w:p>
    <w:p w14:paraId="01EF6B4C" w14:textId="77777777" w:rsidR="0097612F" w:rsidRPr="000977F7" w:rsidRDefault="0097612F" w:rsidP="000977F7">
      <w:pPr>
        <w:tabs>
          <w:tab w:val="left" w:pos="284"/>
        </w:tabs>
        <w:spacing w:after="0" w:line="240" w:lineRule="auto"/>
        <w:ind w:left="170"/>
        <w:mirrorIndents/>
        <w:jc w:val="both"/>
        <w:rPr>
          <w:rFonts w:asciiTheme="majorHAnsi" w:hAnsiTheme="majorHAnsi"/>
          <w:bCs/>
          <w:i/>
          <w:iCs/>
          <w:sz w:val="20"/>
          <w:szCs w:val="20"/>
        </w:rPr>
      </w:pPr>
      <w:r w:rsidRPr="000977F7">
        <w:rPr>
          <w:rFonts w:asciiTheme="majorHAnsi" w:hAnsiTheme="majorHAnsi"/>
          <w:bCs/>
          <w:i/>
          <w:iCs/>
          <w:sz w:val="20"/>
          <w:szCs w:val="20"/>
        </w:rPr>
        <w:t>Ст. 1 закону України "Про забезпечення санітарного та епідемічного благополуччя населення"</w:t>
      </w:r>
    </w:p>
    <w:p w14:paraId="58F4012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ОЦІНКА</w:t>
      </w:r>
      <w:r w:rsidRPr="000977F7">
        <w:rPr>
          <w:color w:val="auto"/>
          <w:spacing w:val="-5"/>
          <w:sz w:val="20"/>
          <w:szCs w:val="20"/>
        </w:rPr>
        <w:t xml:space="preserve"> </w:t>
      </w:r>
      <w:r w:rsidRPr="000977F7">
        <w:rPr>
          <w:color w:val="auto"/>
          <w:sz w:val="20"/>
          <w:szCs w:val="20"/>
        </w:rPr>
        <w:t>ЯКОСТІ</w:t>
      </w:r>
      <w:r w:rsidRPr="000977F7">
        <w:rPr>
          <w:color w:val="auto"/>
          <w:spacing w:val="-5"/>
          <w:sz w:val="20"/>
          <w:szCs w:val="20"/>
        </w:rPr>
        <w:t xml:space="preserve"> </w:t>
      </w:r>
      <w:r w:rsidRPr="000977F7">
        <w:rPr>
          <w:color w:val="auto"/>
          <w:sz w:val="20"/>
          <w:szCs w:val="20"/>
        </w:rPr>
        <w:t>ПРОГРАМНОГО</w:t>
      </w:r>
      <w:r w:rsidRPr="000977F7">
        <w:rPr>
          <w:color w:val="auto"/>
          <w:spacing w:val="-3"/>
          <w:sz w:val="20"/>
          <w:szCs w:val="20"/>
        </w:rPr>
        <w:t xml:space="preserve"> </w:t>
      </w:r>
      <w:r w:rsidRPr="000977F7">
        <w:rPr>
          <w:color w:val="auto"/>
          <w:sz w:val="20"/>
          <w:szCs w:val="20"/>
        </w:rPr>
        <w:t>ЗАСОБУ</w:t>
      </w:r>
      <w:r w:rsidRPr="000977F7">
        <w:rPr>
          <w:color w:val="auto"/>
          <w:spacing w:val="-2"/>
          <w:sz w:val="20"/>
          <w:szCs w:val="20"/>
        </w:rPr>
        <w:t xml:space="preserve"> </w:t>
      </w:r>
      <w:r w:rsidRPr="000977F7">
        <w:rPr>
          <w:color w:val="auto"/>
          <w:sz w:val="20"/>
          <w:szCs w:val="20"/>
        </w:rPr>
        <w:t>–</w:t>
      </w:r>
    </w:p>
    <w:p w14:paraId="23DDE88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SOFTWARE</w:t>
      </w:r>
      <w:r w:rsidRPr="000977F7">
        <w:rPr>
          <w:rFonts w:asciiTheme="majorHAnsi" w:hAnsiTheme="majorHAnsi"/>
          <w:spacing w:val="-2"/>
          <w:sz w:val="20"/>
          <w:szCs w:val="20"/>
        </w:rPr>
        <w:t xml:space="preserve"> </w:t>
      </w:r>
      <w:r w:rsidRPr="000977F7">
        <w:rPr>
          <w:rFonts w:asciiTheme="majorHAnsi" w:hAnsiTheme="majorHAnsi"/>
          <w:sz w:val="20"/>
          <w:szCs w:val="20"/>
        </w:rPr>
        <w:t>QUALITY</w:t>
      </w:r>
      <w:r w:rsidRPr="000977F7">
        <w:rPr>
          <w:rFonts w:asciiTheme="majorHAnsi" w:hAnsiTheme="majorHAnsi"/>
          <w:spacing w:val="-2"/>
          <w:sz w:val="20"/>
          <w:szCs w:val="20"/>
        </w:rPr>
        <w:t xml:space="preserve"> </w:t>
      </w:r>
      <w:r w:rsidRPr="000977F7">
        <w:rPr>
          <w:rFonts w:asciiTheme="majorHAnsi" w:hAnsiTheme="majorHAnsi"/>
          <w:sz w:val="20"/>
          <w:szCs w:val="20"/>
        </w:rPr>
        <w:t>ASSESSMENT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132E50F9"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Дії</w:t>
      </w:r>
      <w:r w:rsidRPr="000977F7">
        <w:rPr>
          <w:rFonts w:asciiTheme="majorHAnsi" w:hAnsiTheme="majorHAnsi"/>
          <w:spacing w:val="15"/>
          <w:sz w:val="20"/>
          <w:szCs w:val="20"/>
        </w:rPr>
        <w:t xml:space="preserve"> </w:t>
      </w:r>
      <w:r w:rsidRPr="000977F7">
        <w:rPr>
          <w:rFonts w:asciiTheme="majorHAnsi" w:hAnsiTheme="majorHAnsi"/>
          <w:sz w:val="20"/>
          <w:szCs w:val="20"/>
        </w:rPr>
        <w:t>по</w:t>
      </w:r>
      <w:r w:rsidRPr="000977F7">
        <w:rPr>
          <w:rFonts w:asciiTheme="majorHAnsi" w:hAnsiTheme="majorHAnsi"/>
          <w:spacing w:val="16"/>
          <w:sz w:val="20"/>
          <w:szCs w:val="20"/>
        </w:rPr>
        <w:t xml:space="preserve"> </w:t>
      </w:r>
      <w:r w:rsidRPr="000977F7">
        <w:rPr>
          <w:rFonts w:asciiTheme="majorHAnsi" w:hAnsiTheme="majorHAnsi"/>
          <w:sz w:val="20"/>
          <w:szCs w:val="20"/>
        </w:rPr>
        <w:t>порівнянню</w:t>
      </w:r>
      <w:r w:rsidRPr="000977F7">
        <w:rPr>
          <w:rFonts w:asciiTheme="majorHAnsi" w:hAnsiTheme="majorHAnsi"/>
          <w:spacing w:val="15"/>
          <w:sz w:val="20"/>
          <w:szCs w:val="20"/>
        </w:rPr>
        <w:t xml:space="preserve"> </w:t>
      </w:r>
      <w:r w:rsidRPr="000977F7">
        <w:rPr>
          <w:rFonts w:asciiTheme="majorHAnsi" w:hAnsiTheme="majorHAnsi"/>
          <w:sz w:val="20"/>
          <w:szCs w:val="20"/>
        </w:rPr>
        <w:t>результатів</w:t>
      </w:r>
      <w:r w:rsidRPr="000977F7">
        <w:rPr>
          <w:rFonts w:asciiTheme="majorHAnsi" w:hAnsiTheme="majorHAnsi"/>
          <w:spacing w:val="20"/>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15"/>
          <w:sz w:val="20"/>
          <w:szCs w:val="20"/>
        </w:rPr>
        <w:t xml:space="preserve"> </w:t>
      </w:r>
      <w:r w:rsidRPr="000977F7">
        <w:rPr>
          <w:rFonts w:asciiTheme="majorHAnsi" w:hAnsiTheme="majorHAnsi"/>
          <w:sz w:val="20"/>
          <w:szCs w:val="20"/>
        </w:rPr>
        <w:t>значень</w:t>
      </w:r>
      <w:r w:rsidRPr="000977F7">
        <w:rPr>
          <w:rFonts w:asciiTheme="majorHAnsi" w:hAnsiTheme="majorHAnsi"/>
          <w:spacing w:val="-47"/>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30"/>
          <w:sz w:val="20"/>
          <w:szCs w:val="20"/>
        </w:rPr>
        <w:t xml:space="preserve"> </w:t>
      </w:r>
      <w:r w:rsidRPr="000977F7">
        <w:rPr>
          <w:rFonts w:asciiTheme="majorHAnsi" w:hAnsiTheme="majorHAnsi"/>
          <w:sz w:val="20"/>
          <w:szCs w:val="20"/>
        </w:rPr>
        <w:t>якості</w:t>
      </w:r>
      <w:r w:rsidRPr="000977F7">
        <w:rPr>
          <w:rFonts w:asciiTheme="majorHAnsi" w:hAnsiTheme="majorHAnsi"/>
          <w:spacing w:val="33"/>
          <w:sz w:val="20"/>
          <w:szCs w:val="20"/>
        </w:rPr>
        <w:t xml:space="preserve"> </w:t>
      </w:r>
      <w:r w:rsidRPr="000977F7">
        <w:rPr>
          <w:rFonts w:asciiTheme="majorHAnsi" w:hAnsiTheme="majorHAnsi"/>
          <w:sz w:val="20"/>
          <w:szCs w:val="20"/>
        </w:rPr>
        <w:t>програмного</w:t>
      </w:r>
      <w:r w:rsidRPr="000977F7">
        <w:rPr>
          <w:rFonts w:asciiTheme="majorHAnsi" w:hAnsiTheme="majorHAnsi"/>
          <w:spacing w:val="32"/>
          <w:sz w:val="20"/>
          <w:szCs w:val="20"/>
        </w:rPr>
        <w:t xml:space="preserve"> </w:t>
      </w:r>
      <w:r w:rsidRPr="000977F7">
        <w:rPr>
          <w:rFonts w:asciiTheme="majorHAnsi" w:hAnsiTheme="majorHAnsi"/>
          <w:sz w:val="20"/>
          <w:szCs w:val="20"/>
        </w:rPr>
        <w:t>засобу</w:t>
      </w:r>
      <w:r w:rsidRPr="000977F7">
        <w:rPr>
          <w:rFonts w:asciiTheme="majorHAnsi" w:hAnsiTheme="majorHAnsi"/>
          <w:spacing w:val="27"/>
          <w:sz w:val="20"/>
          <w:szCs w:val="20"/>
        </w:rPr>
        <w:t xml:space="preserve"> </w:t>
      </w:r>
      <w:r w:rsidRPr="000977F7">
        <w:rPr>
          <w:rFonts w:asciiTheme="majorHAnsi" w:hAnsiTheme="majorHAnsi"/>
          <w:sz w:val="20"/>
          <w:szCs w:val="20"/>
        </w:rPr>
        <w:t>з</w:t>
      </w:r>
      <w:r w:rsidRPr="000977F7">
        <w:rPr>
          <w:rFonts w:asciiTheme="majorHAnsi" w:hAnsiTheme="majorHAnsi"/>
          <w:spacing w:val="34"/>
          <w:sz w:val="20"/>
          <w:szCs w:val="20"/>
        </w:rPr>
        <w:t xml:space="preserve"> </w:t>
      </w:r>
      <w:r w:rsidRPr="000977F7">
        <w:rPr>
          <w:rFonts w:asciiTheme="majorHAnsi" w:hAnsiTheme="majorHAnsi"/>
          <w:sz w:val="20"/>
          <w:szCs w:val="20"/>
        </w:rPr>
        <w:t>наборами</w:t>
      </w:r>
      <w:r w:rsidRPr="000977F7">
        <w:rPr>
          <w:rFonts w:asciiTheme="majorHAnsi" w:hAnsiTheme="majorHAnsi"/>
          <w:spacing w:val="-47"/>
          <w:sz w:val="20"/>
          <w:szCs w:val="20"/>
        </w:rPr>
        <w:t xml:space="preserve"> </w:t>
      </w:r>
      <w:r w:rsidRPr="000977F7">
        <w:rPr>
          <w:rFonts w:asciiTheme="majorHAnsi" w:hAnsiTheme="majorHAnsi"/>
          <w:sz w:val="20"/>
          <w:szCs w:val="20"/>
        </w:rPr>
        <w:t>значень, відповідних класифікованим рівням якості</w:t>
      </w:r>
      <w:r w:rsidRPr="000977F7">
        <w:rPr>
          <w:rFonts w:asciiTheme="majorHAnsi" w:hAnsiTheme="majorHAnsi"/>
          <w:spacing w:val="1"/>
          <w:sz w:val="20"/>
          <w:szCs w:val="20"/>
        </w:rPr>
        <w:t xml:space="preserve"> </w:t>
      </w:r>
    </w:p>
    <w:p w14:paraId="72E51055"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2844 - 94</w:t>
      </w:r>
    </w:p>
    <w:p w14:paraId="58B08FB4"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en-US"/>
        </w:rPr>
      </w:pPr>
      <w:r w:rsidRPr="000977F7">
        <w:rPr>
          <w:rFonts w:asciiTheme="majorHAnsi" w:hAnsiTheme="majorHAnsi"/>
          <w:b/>
          <w:sz w:val="20"/>
          <w:szCs w:val="20"/>
        </w:rPr>
        <w:t>ОЦІНЮВАННЯ</w:t>
      </w:r>
      <w:r w:rsidRPr="004D2D14">
        <w:rPr>
          <w:rFonts w:asciiTheme="majorHAnsi" w:hAnsiTheme="majorHAnsi"/>
          <w:b/>
          <w:sz w:val="20"/>
          <w:szCs w:val="20"/>
          <w:lang w:val="en-US"/>
        </w:rPr>
        <w:t xml:space="preserve"> </w:t>
      </w:r>
      <w:r w:rsidRPr="000977F7">
        <w:rPr>
          <w:rFonts w:asciiTheme="majorHAnsi" w:hAnsiTheme="majorHAnsi"/>
          <w:b/>
          <w:sz w:val="20"/>
          <w:szCs w:val="20"/>
        </w:rPr>
        <w:t>ВІДПОВІДНОСТІ</w:t>
      </w:r>
      <w:r w:rsidRPr="004D2D14">
        <w:rPr>
          <w:rFonts w:asciiTheme="majorHAnsi" w:hAnsiTheme="majorHAnsi"/>
          <w:b/>
          <w:sz w:val="20"/>
          <w:szCs w:val="20"/>
          <w:lang w:val="en-US"/>
        </w:rPr>
        <w:t xml:space="preserve"> –</w:t>
      </w:r>
      <w:r w:rsidRPr="004D2D14">
        <w:rPr>
          <w:rFonts w:asciiTheme="majorHAnsi" w:hAnsiTheme="majorHAnsi"/>
          <w:b/>
          <w:spacing w:val="-47"/>
          <w:sz w:val="20"/>
          <w:szCs w:val="20"/>
          <w:lang w:val="en-US"/>
        </w:rPr>
        <w:t xml:space="preserve"> </w:t>
      </w:r>
    </w:p>
    <w:p w14:paraId="0885CBEE" w14:textId="77777777" w:rsidR="0097612F" w:rsidRPr="00C10197" w:rsidRDefault="0097612F" w:rsidP="000977F7">
      <w:pPr>
        <w:tabs>
          <w:tab w:val="left" w:pos="284"/>
        </w:tabs>
        <w:spacing w:after="0" w:line="240" w:lineRule="auto"/>
        <w:ind w:left="170"/>
        <w:mirrorIndents/>
        <w:jc w:val="both"/>
        <w:rPr>
          <w:rFonts w:asciiTheme="majorHAnsi" w:hAnsiTheme="majorHAnsi"/>
          <w:b/>
          <w:spacing w:val="-4"/>
          <w:sz w:val="20"/>
          <w:szCs w:val="20"/>
          <w:lang w:val="en-US"/>
        </w:rPr>
      </w:pPr>
      <w:r w:rsidRPr="00C10197">
        <w:rPr>
          <w:rFonts w:asciiTheme="majorHAnsi" w:hAnsiTheme="majorHAnsi"/>
          <w:spacing w:val="-4"/>
          <w:sz w:val="20"/>
          <w:szCs w:val="20"/>
          <w:lang w:val="en-US"/>
        </w:rPr>
        <w:t xml:space="preserve">CONFORMITY ASSESMENT CONFORMITY EVALUATION </w:t>
      </w:r>
      <w:r w:rsidRPr="00C10197">
        <w:rPr>
          <w:rFonts w:asciiTheme="majorHAnsi" w:hAnsiTheme="majorHAnsi"/>
          <w:b/>
          <w:spacing w:val="-4"/>
          <w:sz w:val="20"/>
          <w:szCs w:val="20"/>
          <w:lang w:val="en-US"/>
        </w:rPr>
        <w:t>–</w:t>
      </w:r>
    </w:p>
    <w:p w14:paraId="0FED0D48" w14:textId="77777777" w:rsidR="0097612F" w:rsidRPr="00297070"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shd w:val="clear" w:color="auto" w:fill="FFFFFF"/>
        </w:rPr>
        <w:lastRenderedPageBreak/>
        <w:t>Процес</w:t>
      </w:r>
      <w:r w:rsidRPr="00297070">
        <w:rPr>
          <w:rFonts w:asciiTheme="majorHAnsi" w:hAnsiTheme="majorHAnsi"/>
          <w:sz w:val="20"/>
          <w:szCs w:val="20"/>
          <w:shd w:val="clear" w:color="auto" w:fill="FFFFFF"/>
        </w:rPr>
        <w:t xml:space="preserve"> </w:t>
      </w:r>
      <w:r w:rsidRPr="000977F7">
        <w:rPr>
          <w:rFonts w:asciiTheme="majorHAnsi" w:hAnsiTheme="majorHAnsi"/>
          <w:sz w:val="20"/>
          <w:szCs w:val="20"/>
          <w:shd w:val="clear" w:color="auto" w:fill="FFFFFF"/>
        </w:rPr>
        <w:t>доведення</w:t>
      </w:r>
      <w:r w:rsidRPr="00297070">
        <w:rPr>
          <w:rFonts w:asciiTheme="majorHAnsi" w:hAnsiTheme="majorHAnsi"/>
          <w:sz w:val="20"/>
          <w:szCs w:val="20"/>
          <w:shd w:val="clear" w:color="auto" w:fill="FFFFFF"/>
        </w:rPr>
        <w:t xml:space="preserve"> </w:t>
      </w:r>
      <w:r w:rsidRPr="000977F7">
        <w:rPr>
          <w:rFonts w:asciiTheme="majorHAnsi" w:hAnsiTheme="majorHAnsi"/>
          <w:sz w:val="20"/>
          <w:szCs w:val="20"/>
          <w:shd w:val="clear" w:color="auto" w:fill="FFFFFF"/>
        </w:rPr>
        <w:t>того</w:t>
      </w:r>
      <w:r w:rsidRPr="00297070">
        <w:rPr>
          <w:rFonts w:asciiTheme="majorHAnsi" w:hAnsiTheme="majorHAnsi"/>
          <w:sz w:val="20"/>
          <w:szCs w:val="20"/>
          <w:shd w:val="clear" w:color="auto" w:fill="FFFFFF"/>
        </w:rPr>
        <w:t xml:space="preserve">, </w:t>
      </w:r>
      <w:r w:rsidRPr="000977F7">
        <w:rPr>
          <w:rFonts w:asciiTheme="majorHAnsi" w:hAnsiTheme="majorHAnsi"/>
          <w:sz w:val="20"/>
          <w:szCs w:val="20"/>
          <w:shd w:val="clear" w:color="auto" w:fill="FFFFFF"/>
        </w:rPr>
        <w:t>що</w:t>
      </w:r>
      <w:r w:rsidRPr="00297070">
        <w:rPr>
          <w:rFonts w:asciiTheme="majorHAnsi" w:hAnsiTheme="majorHAnsi"/>
          <w:sz w:val="20"/>
          <w:szCs w:val="20"/>
          <w:shd w:val="clear" w:color="auto" w:fill="FFFFFF"/>
        </w:rPr>
        <w:t xml:space="preserve"> </w:t>
      </w:r>
      <w:r w:rsidRPr="000977F7">
        <w:rPr>
          <w:rFonts w:asciiTheme="majorHAnsi" w:hAnsiTheme="majorHAnsi"/>
          <w:sz w:val="20"/>
          <w:szCs w:val="20"/>
          <w:shd w:val="clear" w:color="auto" w:fill="FFFFFF"/>
        </w:rPr>
        <w:t>задані</w:t>
      </w:r>
      <w:r w:rsidRPr="00297070">
        <w:rPr>
          <w:rFonts w:asciiTheme="majorHAnsi" w:hAnsiTheme="majorHAnsi"/>
          <w:sz w:val="20"/>
          <w:szCs w:val="20"/>
          <w:shd w:val="clear" w:color="auto" w:fill="FFFFFF"/>
        </w:rPr>
        <w:t xml:space="preserve"> </w:t>
      </w:r>
      <w:r w:rsidRPr="000977F7">
        <w:rPr>
          <w:rFonts w:asciiTheme="majorHAnsi" w:hAnsiTheme="majorHAnsi"/>
          <w:sz w:val="20"/>
          <w:szCs w:val="20"/>
          <w:shd w:val="clear" w:color="auto" w:fill="FFFFFF"/>
        </w:rPr>
        <w:t>вимоги</w:t>
      </w:r>
      <w:r w:rsidRPr="00297070">
        <w:rPr>
          <w:rFonts w:asciiTheme="majorHAnsi" w:hAnsiTheme="majorHAnsi"/>
          <w:sz w:val="20"/>
          <w:szCs w:val="20"/>
          <w:shd w:val="clear" w:color="auto" w:fill="FFFFFF"/>
        </w:rPr>
        <w:t xml:space="preserve">, </w:t>
      </w:r>
      <w:r w:rsidRPr="000977F7">
        <w:rPr>
          <w:rFonts w:asciiTheme="majorHAnsi" w:hAnsiTheme="majorHAnsi"/>
          <w:sz w:val="20"/>
          <w:szCs w:val="20"/>
          <w:shd w:val="clear" w:color="auto" w:fill="FFFFFF"/>
        </w:rPr>
        <w:t>які</w:t>
      </w:r>
      <w:r w:rsidRPr="00297070">
        <w:rPr>
          <w:rFonts w:asciiTheme="majorHAnsi" w:hAnsiTheme="majorHAnsi"/>
          <w:sz w:val="20"/>
          <w:szCs w:val="20"/>
          <w:shd w:val="clear" w:color="auto" w:fill="FFFFFF"/>
        </w:rPr>
        <w:t xml:space="preserve"> </w:t>
      </w:r>
      <w:r w:rsidRPr="000977F7">
        <w:rPr>
          <w:rFonts w:asciiTheme="majorHAnsi" w:hAnsiTheme="majorHAnsi"/>
          <w:sz w:val="20"/>
          <w:szCs w:val="20"/>
          <w:shd w:val="clear" w:color="auto" w:fill="FFFFFF"/>
        </w:rPr>
        <w:t>стосуються</w:t>
      </w:r>
      <w:r w:rsidRPr="00297070">
        <w:rPr>
          <w:rFonts w:asciiTheme="majorHAnsi" w:hAnsiTheme="majorHAnsi"/>
          <w:sz w:val="20"/>
          <w:szCs w:val="20"/>
          <w:shd w:val="clear" w:color="auto" w:fill="FFFFFF"/>
        </w:rPr>
        <w:t xml:space="preserve"> </w:t>
      </w:r>
      <w:r w:rsidRPr="000977F7">
        <w:rPr>
          <w:rFonts w:asciiTheme="majorHAnsi" w:hAnsiTheme="majorHAnsi"/>
          <w:sz w:val="20"/>
          <w:szCs w:val="20"/>
          <w:shd w:val="clear" w:color="auto" w:fill="FFFFFF"/>
        </w:rPr>
        <w:t>продукції</w:t>
      </w:r>
      <w:r w:rsidRPr="00297070">
        <w:rPr>
          <w:rFonts w:asciiTheme="majorHAnsi" w:hAnsiTheme="majorHAnsi"/>
          <w:sz w:val="20"/>
          <w:szCs w:val="20"/>
          <w:shd w:val="clear" w:color="auto" w:fill="FFFFFF"/>
        </w:rPr>
        <w:t xml:space="preserve">, </w:t>
      </w:r>
      <w:r w:rsidRPr="000977F7">
        <w:rPr>
          <w:rFonts w:asciiTheme="majorHAnsi" w:hAnsiTheme="majorHAnsi"/>
          <w:sz w:val="20"/>
          <w:szCs w:val="20"/>
          <w:shd w:val="clear" w:color="auto" w:fill="FFFFFF"/>
        </w:rPr>
        <w:t>процесу</w:t>
      </w:r>
      <w:r w:rsidRPr="00297070">
        <w:rPr>
          <w:rFonts w:asciiTheme="majorHAnsi" w:hAnsiTheme="majorHAnsi"/>
          <w:sz w:val="20"/>
          <w:szCs w:val="20"/>
          <w:shd w:val="clear" w:color="auto" w:fill="FFFFFF"/>
        </w:rPr>
        <w:t xml:space="preserve">, </w:t>
      </w:r>
      <w:r w:rsidRPr="000977F7">
        <w:rPr>
          <w:rFonts w:asciiTheme="majorHAnsi" w:hAnsiTheme="majorHAnsi"/>
          <w:sz w:val="20"/>
          <w:szCs w:val="20"/>
          <w:shd w:val="clear" w:color="auto" w:fill="FFFFFF"/>
        </w:rPr>
        <w:t>послуги</w:t>
      </w:r>
      <w:r w:rsidRPr="00297070">
        <w:rPr>
          <w:rFonts w:asciiTheme="majorHAnsi" w:hAnsiTheme="majorHAnsi"/>
          <w:sz w:val="20"/>
          <w:szCs w:val="20"/>
          <w:shd w:val="clear" w:color="auto" w:fill="FFFFFF"/>
        </w:rPr>
        <w:t xml:space="preserve">, </w:t>
      </w:r>
      <w:r w:rsidRPr="000977F7">
        <w:rPr>
          <w:rFonts w:asciiTheme="majorHAnsi" w:hAnsiTheme="majorHAnsi"/>
          <w:sz w:val="20"/>
          <w:szCs w:val="20"/>
          <w:shd w:val="clear" w:color="auto" w:fill="FFFFFF"/>
        </w:rPr>
        <w:t>системи</w:t>
      </w:r>
      <w:r w:rsidRPr="00297070">
        <w:rPr>
          <w:rFonts w:asciiTheme="majorHAnsi" w:hAnsiTheme="majorHAnsi"/>
          <w:sz w:val="20"/>
          <w:szCs w:val="20"/>
          <w:shd w:val="clear" w:color="auto" w:fill="FFFFFF"/>
        </w:rPr>
        <w:t xml:space="preserve">, </w:t>
      </w:r>
      <w:r w:rsidRPr="000977F7">
        <w:rPr>
          <w:rFonts w:asciiTheme="majorHAnsi" w:hAnsiTheme="majorHAnsi"/>
          <w:sz w:val="20"/>
          <w:szCs w:val="20"/>
          <w:shd w:val="clear" w:color="auto" w:fill="FFFFFF"/>
        </w:rPr>
        <w:t>особи</w:t>
      </w:r>
      <w:r w:rsidRPr="00297070">
        <w:rPr>
          <w:rFonts w:asciiTheme="majorHAnsi" w:hAnsiTheme="majorHAnsi"/>
          <w:sz w:val="20"/>
          <w:szCs w:val="20"/>
          <w:shd w:val="clear" w:color="auto" w:fill="FFFFFF"/>
        </w:rPr>
        <w:t xml:space="preserve"> </w:t>
      </w:r>
      <w:r w:rsidRPr="000977F7">
        <w:rPr>
          <w:rFonts w:asciiTheme="majorHAnsi" w:hAnsiTheme="majorHAnsi"/>
          <w:sz w:val="20"/>
          <w:szCs w:val="20"/>
          <w:shd w:val="clear" w:color="auto" w:fill="FFFFFF"/>
        </w:rPr>
        <w:t>чи</w:t>
      </w:r>
      <w:r w:rsidRPr="00297070">
        <w:rPr>
          <w:rFonts w:asciiTheme="majorHAnsi" w:hAnsiTheme="majorHAnsi"/>
          <w:sz w:val="20"/>
          <w:szCs w:val="20"/>
          <w:shd w:val="clear" w:color="auto" w:fill="FFFFFF"/>
        </w:rPr>
        <w:t xml:space="preserve"> </w:t>
      </w:r>
      <w:r w:rsidRPr="000977F7">
        <w:rPr>
          <w:rFonts w:asciiTheme="majorHAnsi" w:hAnsiTheme="majorHAnsi"/>
          <w:sz w:val="20"/>
          <w:szCs w:val="20"/>
          <w:shd w:val="clear" w:color="auto" w:fill="FFFFFF"/>
        </w:rPr>
        <w:t>органу</w:t>
      </w:r>
      <w:r w:rsidRPr="00297070">
        <w:rPr>
          <w:rFonts w:asciiTheme="majorHAnsi" w:hAnsiTheme="majorHAnsi"/>
          <w:sz w:val="20"/>
          <w:szCs w:val="20"/>
          <w:shd w:val="clear" w:color="auto" w:fill="FFFFFF"/>
        </w:rPr>
        <w:t xml:space="preserve">, </w:t>
      </w:r>
      <w:r w:rsidRPr="000977F7">
        <w:rPr>
          <w:rFonts w:asciiTheme="majorHAnsi" w:hAnsiTheme="majorHAnsi"/>
          <w:sz w:val="20"/>
          <w:szCs w:val="20"/>
          <w:shd w:val="clear" w:color="auto" w:fill="FFFFFF"/>
        </w:rPr>
        <w:t>були</w:t>
      </w:r>
      <w:r w:rsidRPr="00297070">
        <w:rPr>
          <w:rFonts w:asciiTheme="majorHAnsi" w:hAnsiTheme="majorHAnsi"/>
          <w:sz w:val="20"/>
          <w:szCs w:val="20"/>
          <w:shd w:val="clear" w:color="auto" w:fill="FFFFFF"/>
        </w:rPr>
        <w:t xml:space="preserve"> </w:t>
      </w:r>
      <w:r w:rsidRPr="000977F7">
        <w:rPr>
          <w:rFonts w:asciiTheme="majorHAnsi" w:hAnsiTheme="majorHAnsi"/>
          <w:sz w:val="20"/>
          <w:szCs w:val="20"/>
          <w:shd w:val="clear" w:color="auto" w:fill="FFFFFF"/>
        </w:rPr>
        <w:t>виконані</w:t>
      </w:r>
    </w:p>
    <w:p w14:paraId="14232FE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bookmarkStart w:id="170" w:name="_Hlk103184298"/>
      <w:r w:rsidRPr="000977F7">
        <w:rPr>
          <w:rFonts w:asciiTheme="majorHAnsi" w:hAnsiTheme="majorHAnsi"/>
          <w:i/>
          <w:sz w:val="20"/>
          <w:szCs w:val="20"/>
        </w:rPr>
        <w:t>Закон України "Про технічні регламенти та оцінку відповідності"</w:t>
      </w:r>
    </w:p>
    <w:p w14:paraId="24F1022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Технічний регламент безпеки машин</w:t>
      </w:r>
    </w:p>
    <w:p w14:paraId="4CECD1E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rPr>
        <w:t xml:space="preserve">Процес доведення того, що суттєві вимоги щодо охорони здоров’я та безпеки, зазначені у </w:t>
      </w:r>
      <w:hyperlink r:id="rId31" w:anchor="n236" w:history="1">
        <w:r w:rsidRPr="000977F7">
          <w:rPr>
            <w:rStyle w:val="af1"/>
            <w:rFonts w:asciiTheme="majorHAnsi" w:hAnsiTheme="majorHAnsi"/>
            <w:color w:val="auto"/>
            <w:sz w:val="20"/>
            <w:szCs w:val="20"/>
          </w:rPr>
          <w:t>додатку 1</w:t>
        </w:r>
      </w:hyperlink>
      <w:r w:rsidRPr="000977F7">
        <w:rPr>
          <w:rFonts w:asciiTheme="majorHAnsi" w:hAnsiTheme="majorHAnsi"/>
          <w:sz w:val="20"/>
          <w:szCs w:val="20"/>
        </w:rPr>
        <w:t xml:space="preserve">, які стосуються </w:t>
      </w:r>
      <w:r w:rsidRPr="000977F7">
        <w:rPr>
          <w:rFonts w:asciiTheme="majorHAnsi" w:hAnsiTheme="majorHAnsi"/>
          <w:sz w:val="20"/>
          <w:szCs w:val="20"/>
          <w:shd w:val="clear" w:color="auto" w:fill="FFFFFF"/>
        </w:rPr>
        <w:t>ліфта і компонента безпеки для ліфтів, виконані</w:t>
      </w:r>
    </w:p>
    <w:p w14:paraId="343DAA84"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shd w:val="clear" w:color="auto" w:fill="FFFFFF"/>
        </w:rPr>
      </w:pPr>
      <w:bookmarkStart w:id="171" w:name="_Hlk103576933"/>
      <w:r w:rsidRPr="000977F7">
        <w:rPr>
          <w:rFonts w:asciiTheme="majorHAnsi" w:hAnsiTheme="majorHAnsi"/>
          <w:i/>
          <w:iCs/>
          <w:sz w:val="20"/>
          <w:szCs w:val="20"/>
          <w:shd w:val="clear" w:color="auto" w:fill="FFFFFF"/>
        </w:rPr>
        <w:t xml:space="preserve">Технічний регламент </w:t>
      </w:r>
      <w:bookmarkEnd w:id="171"/>
      <w:r w:rsidRPr="000977F7">
        <w:rPr>
          <w:rFonts w:asciiTheme="majorHAnsi" w:hAnsiTheme="majorHAnsi"/>
          <w:i/>
          <w:iCs/>
          <w:sz w:val="20"/>
          <w:szCs w:val="20"/>
          <w:shd w:val="clear" w:color="auto" w:fill="FFFFFF"/>
        </w:rPr>
        <w:t>ліфтів і компонентів безпеки для ліфтів</w:t>
      </w:r>
    </w:p>
    <w:p w14:paraId="3CC35FB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Процес доведення того, що суттєві вимоги цього Технічного регламенту, які стосуються апаратури, були виконані</w:t>
      </w:r>
    </w:p>
    <w:p w14:paraId="2E3CFB67" w14:textId="77777777" w:rsidR="0097612F" w:rsidRPr="000977F7" w:rsidRDefault="0097612F" w:rsidP="000977F7">
      <w:pPr>
        <w:pStyle w:val="13"/>
        <w:tabs>
          <w:tab w:val="left" w:pos="284"/>
        </w:tabs>
        <w:spacing w:before="0" w:after="0" w:line="240" w:lineRule="auto"/>
        <w:ind w:left="170"/>
        <w:mirrorIndents/>
        <w:jc w:val="both"/>
        <w:rPr>
          <w:i/>
          <w:iCs/>
          <w:sz w:val="20"/>
          <w:szCs w:val="20"/>
        </w:rPr>
      </w:pPr>
      <w:r w:rsidRPr="000977F7">
        <w:rPr>
          <w:i/>
          <w:iCs/>
          <w:sz w:val="20"/>
          <w:szCs w:val="20"/>
          <w:shd w:val="clear" w:color="auto" w:fill="FFFFFF"/>
        </w:rPr>
        <w:t>Технічний</w:t>
      </w:r>
      <w:r w:rsidRPr="000977F7">
        <w:rPr>
          <w:i/>
          <w:iCs/>
          <w:sz w:val="20"/>
          <w:szCs w:val="20"/>
        </w:rPr>
        <w:t xml:space="preserve"> регламент з електромагнітної сумісності обладнання</w:t>
      </w:r>
    </w:p>
    <w:p w14:paraId="7485702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Процес доведення того, що суттєві вимоги щодо безпечності, які стосуються обладнання, що працює під тиском, або агрегатів, були виконані</w:t>
      </w:r>
    </w:p>
    <w:p w14:paraId="3E2CDB9E"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обладнання, що працює під тиском</w:t>
      </w:r>
    </w:p>
    <w:bookmarkEnd w:id="170"/>
    <w:p w14:paraId="59F206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Доведення</w:t>
      </w:r>
      <w:r w:rsidRPr="000977F7">
        <w:rPr>
          <w:rFonts w:asciiTheme="majorHAnsi" w:hAnsiTheme="majorHAnsi"/>
          <w:spacing w:val="10"/>
          <w:sz w:val="20"/>
          <w:szCs w:val="20"/>
        </w:rPr>
        <w:t xml:space="preserve"> </w:t>
      </w:r>
      <w:r w:rsidRPr="000977F7">
        <w:rPr>
          <w:rFonts w:asciiTheme="majorHAnsi" w:hAnsiTheme="majorHAnsi"/>
          <w:sz w:val="20"/>
          <w:szCs w:val="20"/>
        </w:rPr>
        <w:t>того,</w:t>
      </w:r>
      <w:r w:rsidRPr="000977F7">
        <w:rPr>
          <w:rFonts w:asciiTheme="majorHAnsi" w:hAnsiTheme="majorHAnsi"/>
          <w:spacing w:val="13"/>
          <w:sz w:val="20"/>
          <w:szCs w:val="20"/>
        </w:rPr>
        <w:t xml:space="preserve"> </w:t>
      </w:r>
      <w:r w:rsidRPr="000977F7">
        <w:rPr>
          <w:rFonts w:asciiTheme="majorHAnsi" w:hAnsiTheme="majorHAnsi"/>
          <w:sz w:val="20"/>
          <w:szCs w:val="20"/>
        </w:rPr>
        <w:t>що</w:t>
      </w:r>
      <w:r w:rsidRPr="000977F7">
        <w:rPr>
          <w:rFonts w:asciiTheme="majorHAnsi" w:hAnsiTheme="majorHAnsi"/>
          <w:spacing w:val="11"/>
          <w:sz w:val="20"/>
          <w:szCs w:val="20"/>
        </w:rPr>
        <w:t xml:space="preserve"> </w:t>
      </w:r>
      <w:r w:rsidRPr="000977F7">
        <w:rPr>
          <w:rFonts w:asciiTheme="majorHAnsi" w:hAnsiTheme="majorHAnsi"/>
          <w:sz w:val="20"/>
          <w:szCs w:val="20"/>
        </w:rPr>
        <w:t>встановлені</w:t>
      </w:r>
      <w:r w:rsidRPr="000977F7">
        <w:rPr>
          <w:rFonts w:asciiTheme="majorHAnsi" w:hAnsiTheme="majorHAnsi"/>
          <w:spacing w:val="11"/>
          <w:sz w:val="20"/>
          <w:szCs w:val="20"/>
        </w:rPr>
        <w:t xml:space="preserve"> </w:t>
      </w:r>
      <w:r w:rsidRPr="000977F7">
        <w:rPr>
          <w:rFonts w:asciiTheme="majorHAnsi" w:hAnsiTheme="majorHAnsi"/>
          <w:sz w:val="20"/>
          <w:szCs w:val="20"/>
        </w:rPr>
        <w:t>вимоги</w:t>
      </w:r>
      <w:r w:rsidRPr="000977F7">
        <w:rPr>
          <w:rFonts w:asciiTheme="majorHAnsi" w:hAnsiTheme="majorHAnsi"/>
          <w:spacing w:val="10"/>
          <w:sz w:val="20"/>
          <w:szCs w:val="20"/>
        </w:rPr>
        <w:t xml:space="preserve"> </w:t>
      </w:r>
      <w:r w:rsidRPr="000977F7">
        <w:rPr>
          <w:rFonts w:asciiTheme="majorHAnsi" w:hAnsiTheme="majorHAnsi"/>
          <w:sz w:val="20"/>
          <w:szCs w:val="20"/>
        </w:rPr>
        <w:t>до</w:t>
      </w:r>
      <w:r w:rsidRPr="000977F7">
        <w:rPr>
          <w:rFonts w:asciiTheme="majorHAnsi" w:hAnsiTheme="majorHAnsi"/>
          <w:spacing w:val="11"/>
          <w:sz w:val="20"/>
          <w:szCs w:val="20"/>
        </w:rPr>
        <w:t xml:space="preserve"> </w:t>
      </w:r>
      <w:r w:rsidRPr="000977F7">
        <w:rPr>
          <w:rFonts w:asciiTheme="majorHAnsi" w:hAnsiTheme="majorHAnsi"/>
          <w:sz w:val="20"/>
          <w:szCs w:val="20"/>
        </w:rPr>
        <w:t>продукції,</w:t>
      </w:r>
      <w:r w:rsidRPr="000977F7">
        <w:rPr>
          <w:rFonts w:asciiTheme="majorHAnsi" w:hAnsiTheme="majorHAnsi"/>
          <w:spacing w:val="-47"/>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осіб</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органу</w:t>
      </w:r>
      <w:r w:rsidRPr="000977F7">
        <w:rPr>
          <w:rFonts w:asciiTheme="majorHAnsi" w:hAnsiTheme="majorHAnsi"/>
          <w:spacing w:val="-5"/>
          <w:sz w:val="20"/>
          <w:szCs w:val="20"/>
        </w:rPr>
        <w:t xml:space="preserve"> </w:t>
      </w:r>
      <w:r w:rsidRPr="000977F7">
        <w:rPr>
          <w:rFonts w:asciiTheme="majorHAnsi" w:hAnsiTheme="majorHAnsi"/>
          <w:sz w:val="20"/>
          <w:szCs w:val="20"/>
        </w:rPr>
        <w:t>виконано</w:t>
      </w:r>
    </w:p>
    <w:p w14:paraId="5EA00282" w14:textId="476204A8"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Примітка 1. Предметна сфера оцінювання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 передбачає такі дії, як випробування, інспектування, сертифікація, а також акредитація</w:t>
      </w:r>
      <w:r w:rsidRPr="000977F7">
        <w:rPr>
          <w:rFonts w:asciiTheme="majorHAnsi" w:hAnsiTheme="majorHAnsi"/>
          <w:spacing w:val="-1"/>
          <w:sz w:val="20"/>
          <w:szCs w:val="20"/>
        </w:rPr>
        <w:t xml:space="preserve"> </w:t>
      </w:r>
      <w:r w:rsidRPr="000977F7">
        <w:rPr>
          <w:rFonts w:asciiTheme="majorHAnsi" w:hAnsiTheme="majorHAnsi"/>
          <w:sz w:val="20"/>
          <w:szCs w:val="20"/>
        </w:rPr>
        <w:t>органів</w:t>
      </w:r>
      <w:r w:rsidRPr="000977F7">
        <w:rPr>
          <w:rFonts w:asciiTheme="majorHAnsi" w:hAnsiTheme="majorHAnsi"/>
          <w:spacing w:val="-1"/>
          <w:sz w:val="20"/>
          <w:szCs w:val="20"/>
        </w:rPr>
        <w:t xml:space="preserve"> </w:t>
      </w:r>
      <w:r w:rsidRPr="000977F7">
        <w:rPr>
          <w:rFonts w:asciiTheme="majorHAnsi" w:hAnsiTheme="majorHAnsi"/>
          <w:sz w:val="20"/>
          <w:szCs w:val="20"/>
        </w:rPr>
        <w:t>оцінювання</w:t>
      </w:r>
      <w:r w:rsidRPr="000977F7">
        <w:rPr>
          <w:rFonts w:asciiTheme="majorHAnsi" w:hAnsiTheme="majorHAnsi"/>
          <w:spacing w:val="-3"/>
          <w:sz w:val="20"/>
          <w:szCs w:val="20"/>
        </w:rPr>
        <w:t xml:space="preserve"> </w:t>
      </w:r>
      <w:r w:rsidRPr="000977F7">
        <w:rPr>
          <w:rFonts w:asciiTheme="majorHAnsi" w:hAnsiTheme="majorHAnsi"/>
          <w:sz w:val="20"/>
          <w:szCs w:val="20"/>
        </w:rPr>
        <w:t>відповідності.</w:t>
      </w:r>
    </w:p>
    <w:p w14:paraId="315C04C0" w14:textId="62FECC94" w:rsidR="0097612F" w:rsidRPr="000977F7" w:rsidRDefault="0097612F" w:rsidP="000F35DA">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Примітка 2.</w:t>
      </w:r>
      <w:r w:rsidR="000F35DA">
        <w:rPr>
          <w:rFonts w:asciiTheme="majorHAnsi" w:hAnsiTheme="majorHAnsi"/>
          <w:sz w:val="20"/>
          <w:szCs w:val="20"/>
          <w:lang w:val="uk-UA"/>
        </w:rPr>
        <w:t xml:space="preserve"> </w:t>
      </w:r>
      <w:r w:rsidRPr="000977F7">
        <w:rPr>
          <w:rFonts w:asciiTheme="majorHAnsi" w:hAnsiTheme="majorHAnsi"/>
          <w:sz w:val="20"/>
          <w:szCs w:val="20"/>
        </w:rPr>
        <w:t>Вислів "об’єкт оцінювання відповідності" чи "об’єкт" використано в цьому стандарті для позначання конкретного матеріалу,</w:t>
      </w:r>
      <w:r w:rsidRPr="000977F7">
        <w:rPr>
          <w:rFonts w:asciiTheme="majorHAnsi" w:hAnsiTheme="majorHAnsi"/>
          <w:spacing w:val="1"/>
          <w:sz w:val="20"/>
          <w:szCs w:val="20"/>
        </w:rPr>
        <w:t xml:space="preserve"> </w:t>
      </w:r>
      <w:r w:rsidRPr="000977F7">
        <w:rPr>
          <w:rFonts w:asciiTheme="majorHAnsi" w:hAnsiTheme="majorHAnsi"/>
          <w:sz w:val="20"/>
          <w:szCs w:val="20"/>
        </w:rPr>
        <w:t>продукції, установки, процесу, системи, особи чи</w:t>
      </w:r>
      <w:r w:rsidRPr="000977F7">
        <w:rPr>
          <w:rFonts w:asciiTheme="majorHAnsi" w:hAnsiTheme="majorHAnsi"/>
          <w:spacing w:val="-52"/>
          <w:sz w:val="20"/>
          <w:szCs w:val="20"/>
        </w:rPr>
        <w:t xml:space="preserve"> </w:t>
      </w:r>
      <w:r w:rsidRPr="000977F7">
        <w:rPr>
          <w:rFonts w:asciiTheme="majorHAnsi" w:hAnsiTheme="majorHAnsi"/>
          <w:sz w:val="20"/>
          <w:szCs w:val="20"/>
        </w:rPr>
        <w:t>органу, до яких застосовують оцінювання відповідності. "Продукція" охоплює у своєму визначенні й</w:t>
      </w:r>
      <w:r w:rsidRPr="000977F7">
        <w:rPr>
          <w:rFonts w:asciiTheme="majorHAnsi" w:hAnsiTheme="majorHAnsi"/>
          <w:spacing w:val="-1"/>
          <w:sz w:val="20"/>
          <w:szCs w:val="20"/>
        </w:rPr>
        <w:t xml:space="preserve"> </w:t>
      </w:r>
      <w:r w:rsidRPr="000977F7">
        <w:rPr>
          <w:rFonts w:asciiTheme="majorHAnsi" w:hAnsiTheme="majorHAnsi"/>
          <w:sz w:val="20"/>
          <w:szCs w:val="20"/>
        </w:rPr>
        <w:t>"послугу".</w:t>
      </w:r>
    </w:p>
    <w:p w14:paraId="322EFAF0" w14:textId="77777777" w:rsidR="0097612F" w:rsidRPr="000977F7" w:rsidRDefault="0097612F" w:rsidP="000977F7">
      <w:pPr>
        <w:pStyle w:val="af6"/>
        <w:tabs>
          <w:tab w:val="left" w:pos="284"/>
        </w:tabs>
        <w:spacing w:after="0"/>
        <w:ind w:left="170"/>
        <w:mirrorIndents/>
        <w:jc w:val="both"/>
        <w:rPr>
          <w:rFonts w:asciiTheme="majorHAnsi" w:hAnsiTheme="majorHAnsi"/>
          <w:i/>
          <w:iCs/>
          <w:spacing w:val="-6"/>
          <w:w w:val="95"/>
          <w:sz w:val="20"/>
          <w:szCs w:val="20"/>
        </w:rPr>
      </w:pPr>
      <w:r w:rsidRPr="000977F7">
        <w:rPr>
          <w:rFonts w:asciiTheme="majorHAnsi" w:hAnsiTheme="majorHAnsi"/>
          <w:i/>
          <w:iCs/>
          <w:spacing w:val="-7"/>
          <w:w w:val="95"/>
          <w:sz w:val="20"/>
          <w:szCs w:val="20"/>
        </w:rPr>
        <w:t>ДСТУ ISO/IEC</w:t>
      </w:r>
      <w:r w:rsidRPr="000977F7">
        <w:rPr>
          <w:rFonts w:asciiTheme="majorHAnsi" w:hAnsiTheme="majorHAnsi"/>
          <w:i/>
          <w:iCs/>
          <w:spacing w:val="-27"/>
          <w:w w:val="95"/>
          <w:sz w:val="20"/>
          <w:szCs w:val="20"/>
        </w:rPr>
        <w:t xml:space="preserve"> </w:t>
      </w:r>
      <w:r w:rsidRPr="000977F7">
        <w:rPr>
          <w:rFonts w:asciiTheme="majorHAnsi" w:hAnsiTheme="majorHAnsi"/>
          <w:i/>
          <w:iCs/>
          <w:spacing w:val="-6"/>
          <w:w w:val="95"/>
          <w:sz w:val="20"/>
          <w:szCs w:val="20"/>
        </w:rPr>
        <w:t>17000:2007</w:t>
      </w:r>
    </w:p>
    <w:p w14:paraId="4F5DA413"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Комбінація функцій діяльності з оцінки відповідності, таких як відбір та визначення</w:t>
      </w:r>
    </w:p>
    <w:p w14:paraId="14C882D8" w14:textId="182765D3"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Примітка.</w:t>
      </w:r>
      <w:r w:rsidR="000F35DA">
        <w:rPr>
          <w:rFonts w:asciiTheme="majorHAnsi" w:hAnsiTheme="majorHAnsi"/>
          <w:sz w:val="20"/>
          <w:szCs w:val="20"/>
          <w:lang w:val="uk-UA"/>
        </w:rPr>
        <w:t xml:space="preserve"> </w:t>
      </w:r>
      <w:r w:rsidRPr="000977F7">
        <w:rPr>
          <w:rFonts w:asciiTheme="majorHAnsi" w:hAnsiTheme="majorHAnsi"/>
          <w:sz w:val="20"/>
          <w:szCs w:val="20"/>
        </w:rPr>
        <w:t>Функції відбору та визначення встановлені в ISO/IEC 17000:2004, пункти A.2 та A.3.</w:t>
      </w:r>
    </w:p>
    <w:p w14:paraId="6B504593"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lang w:eastAsia="ru-RU"/>
        </w:rPr>
        <w:t>ДСТУ EN ISO/IEC 17065:2019</w:t>
      </w:r>
    </w:p>
    <w:p w14:paraId="0189FF9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ОЦІНЮВАННЯ ВІДПОВІДНОСТІ ВИПРОБУ</w:t>
      </w:r>
      <w:r w:rsidRPr="000977F7">
        <w:rPr>
          <w:color w:val="auto"/>
          <w:spacing w:val="-47"/>
          <w:sz w:val="20"/>
          <w:szCs w:val="20"/>
        </w:rPr>
        <w:t xml:space="preserve"> </w:t>
      </w:r>
      <w:r w:rsidRPr="000977F7">
        <w:rPr>
          <w:color w:val="auto"/>
          <w:sz w:val="20"/>
          <w:szCs w:val="20"/>
        </w:rPr>
        <w:t>ВАННЯМ;</w:t>
      </w:r>
    </w:p>
    <w:p w14:paraId="261EAF41"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uk-UA"/>
        </w:rPr>
      </w:pPr>
      <w:r w:rsidRPr="004D2D14">
        <w:rPr>
          <w:rFonts w:asciiTheme="majorHAnsi" w:hAnsiTheme="majorHAnsi"/>
          <w:b/>
          <w:sz w:val="20"/>
          <w:szCs w:val="20"/>
          <w:lang w:val="uk-UA"/>
        </w:rPr>
        <w:t>ВИПРОБУВАННЯ</w:t>
      </w:r>
      <w:r w:rsidRPr="004D2D14">
        <w:rPr>
          <w:rFonts w:asciiTheme="majorHAnsi" w:hAnsiTheme="majorHAnsi"/>
          <w:b/>
          <w:spacing w:val="-7"/>
          <w:sz w:val="20"/>
          <w:szCs w:val="20"/>
          <w:lang w:val="uk-UA"/>
        </w:rPr>
        <w:t xml:space="preserve"> </w:t>
      </w:r>
      <w:r w:rsidRPr="004D2D14">
        <w:rPr>
          <w:rFonts w:asciiTheme="majorHAnsi" w:hAnsiTheme="majorHAnsi"/>
          <w:b/>
          <w:sz w:val="20"/>
          <w:szCs w:val="20"/>
          <w:lang w:val="uk-UA"/>
        </w:rPr>
        <w:t>НА</w:t>
      </w:r>
      <w:r w:rsidRPr="004D2D14">
        <w:rPr>
          <w:rFonts w:asciiTheme="majorHAnsi" w:hAnsiTheme="majorHAnsi"/>
          <w:b/>
          <w:spacing w:val="-4"/>
          <w:sz w:val="20"/>
          <w:szCs w:val="20"/>
          <w:lang w:val="uk-UA"/>
        </w:rPr>
        <w:t xml:space="preserve"> </w:t>
      </w:r>
      <w:r w:rsidRPr="004D2D14">
        <w:rPr>
          <w:rFonts w:asciiTheme="majorHAnsi" w:hAnsiTheme="majorHAnsi"/>
          <w:b/>
          <w:sz w:val="20"/>
          <w:szCs w:val="20"/>
          <w:lang w:val="uk-UA"/>
        </w:rPr>
        <w:t>ВІДПОВІДНІСТЬ</w:t>
      </w:r>
      <w:r w:rsidRPr="004D2D14">
        <w:rPr>
          <w:rFonts w:asciiTheme="majorHAnsi" w:hAnsiTheme="majorHAnsi"/>
          <w:b/>
          <w:spacing w:val="-1"/>
          <w:sz w:val="20"/>
          <w:szCs w:val="20"/>
          <w:lang w:val="uk-UA"/>
        </w:rPr>
        <w:t xml:space="preserve"> </w:t>
      </w:r>
      <w:r w:rsidRPr="004D2D14">
        <w:rPr>
          <w:rFonts w:asciiTheme="majorHAnsi" w:hAnsiTheme="majorHAnsi"/>
          <w:b/>
          <w:sz w:val="20"/>
          <w:szCs w:val="20"/>
          <w:lang w:val="uk-UA"/>
        </w:rPr>
        <w:t>–</w:t>
      </w:r>
    </w:p>
    <w:p w14:paraId="023605F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CONFORMITY</w:t>
      </w:r>
      <w:r w:rsidRPr="004D2D14">
        <w:rPr>
          <w:rFonts w:asciiTheme="majorHAnsi" w:hAnsiTheme="majorHAnsi"/>
          <w:spacing w:val="-1"/>
          <w:sz w:val="20"/>
          <w:szCs w:val="20"/>
          <w:lang w:val="uk-UA"/>
        </w:rPr>
        <w:t xml:space="preserve"> </w:t>
      </w:r>
      <w:r w:rsidRPr="000977F7">
        <w:rPr>
          <w:rFonts w:asciiTheme="majorHAnsi" w:hAnsiTheme="majorHAnsi"/>
          <w:sz w:val="20"/>
          <w:szCs w:val="20"/>
        </w:rPr>
        <w:t>TESTING</w:t>
      </w:r>
      <w:r w:rsidRPr="004D2D14">
        <w:rPr>
          <w:rFonts w:asciiTheme="majorHAnsi" w:hAnsiTheme="majorHAnsi"/>
          <w:sz w:val="20"/>
          <w:szCs w:val="20"/>
          <w:lang w:val="uk-UA"/>
        </w:rPr>
        <w:t xml:space="preserve"> -</w:t>
      </w:r>
    </w:p>
    <w:p w14:paraId="6D8FA04B"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uk-UA"/>
        </w:rPr>
      </w:pPr>
      <w:r w:rsidRPr="004D2D14">
        <w:rPr>
          <w:rFonts w:asciiTheme="majorHAnsi" w:hAnsiTheme="majorHAnsi"/>
          <w:sz w:val="20"/>
          <w:szCs w:val="20"/>
          <w:lang w:val="uk-UA"/>
        </w:rPr>
        <w:t>Оцінювання відповідності шляхом випробувань</w:t>
      </w:r>
      <w:r w:rsidRPr="004D2D14">
        <w:rPr>
          <w:rFonts w:asciiTheme="majorHAnsi" w:hAnsiTheme="majorHAnsi"/>
          <w:spacing w:val="1"/>
          <w:sz w:val="20"/>
          <w:szCs w:val="20"/>
          <w:lang w:val="uk-UA"/>
        </w:rPr>
        <w:t xml:space="preserve"> </w:t>
      </w:r>
      <w:r w:rsidRPr="004D2D14">
        <w:rPr>
          <w:rFonts w:asciiTheme="majorHAnsi" w:hAnsiTheme="majorHAnsi"/>
          <w:b/>
          <w:sz w:val="20"/>
          <w:szCs w:val="20"/>
          <w:lang w:val="uk-UA"/>
        </w:rPr>
        <w:t>ОЦІНЮВАННЯ (ПРОДУКЦІЇ) ЗА ЗРАЗКОМ –</w:t>
      </w:r>
      <w:r w:rsidRPr="004D2D14">
        <w:rPr>
          <w:rFonts w:asciiTheme="majorHAnsi" w:hAnsiTheme="majorHAnsi"/>
          <w:b/>
          <w:spacing w:val="-47"/>
          <w:sz w:val="20"/>
          <w:szCs w:val="20"/>
          <w:lang w:val="uk-UA"/>
        </w:rPr>
        <w:t xml:space="preserve"> </w:t>
      </w:r>
    </w:p>
    <w:p w14:paraId="3A05515A"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uk-UA"/>
        </w:rPr>
      </w:pPr>
      <w:r w:rsidRPr="000977F7">
        <w:rPr>
          <w:rFonts w:asciiTheme="majorHAnsi" w:hAnsiTheme="majorHAnsi"/>
          <w:sz w:val="20"/>
          <w:szCs w:val="20"/>
        </w:rPr>
        <w:t>YPE</w:t>
      </w:r>
      <w:r w:rsidRPr="004D2D14">
        <w:rPr>
          <w:rFonts w:asciiTheme="majorHAnsi" w:hAnsiTheme="majorHAnsi"/>
          <w:spacing w:val="-1"/>
          <w:sz w:val="20"/>
          <w:szCs w:val="20"/>
          <w:lang w:val="uk-UA"/>
        </w:rPr>
        <w:t xml:space="preserve"> </w:t>
      </w:r>
      <w:r w:rsidRPr="000977F7">
        <w:rPr>
          <w:rFonts w:asciiTheme="majorHAnsi" w:hAnsiTheme="majorHAnsi"/>
          <w:sz w:val="20"/>
          <w:szCs w:val="20"/>
        </w:rPr>
        <w:t>EVALUATION</w:t>
      </w:r>
      <w:r w:rsidRPr="004D2D14">
        <w:rPr>
          <w:rFonts w:asciiTheme="majorHAnsi" w:hAnsiTheme="majorHAnsi"/>
          <w:sz w:val="20"/>
          <w:szCs w:val="20"/>
          <w:lang w:val="uk-UA"/>
        </w:rPr>
        <w:t xml:space="preserve"> </w:t>
      </w:r>
      <w:r w:rsidRPr="004D2D14">
        <w:rPr>
          <w:rFonts w:asciiTheme="majorHAnsi" w:hAnsiTheme="majorHAnsi"/>
          <w:b/>
          <w:sz w:val="20"/>
          <w:szCs w:val="20"/>
          <w:lang w:val="uk-UA"/>
        </w:rPr>
        <w:t>-</w:t>
      </w:r>
    </w:p>
    <w:p w14:paraId="790EB273" w14:textId="77777777" w:rsidR="0097612F" w:rsidRPr="004D2D14" w:rsidRDefault="0097612F" w:rsidP="000977F7">
      <w:pPr>
        <w:pStyle w:val="af6"/>
        <w:tabs>
          <w:tab w:val="left" w:pos="284"/>
        </w:tabs>
        <w:spacing w:after="0"/>
        <w:ind w:left="170"/>
        <w:mirrorIndents/>
        <w:jc w:val="both"/>
        <w:rPr>
          <w:rFonts w:asciiTheme="majorHAnsi" w:hAnsiTheme="majorHAnsi"/>
          <w:spacing w:val="-3"/>
          <w:sz w:val="20"/>
          <w:szCs w:val="20"/>
          <w:lang w:val="uk-UA"/>
        </w:rPr>
      </w:pPr>
      <w:r w:rsidRPr="004D2D14">
        <w:rPr>
          <w:rFonts w:asciiTheme="majorHAnsi" w:hAnsiTheme="majorHAnsi"/>
          <w:spacing w:val="-1"/>
          <w:sz w:val="20"/>
          <w:szCs w:val="20"/>
          <w:lang w:val="uk-UA"/>
        </w:rPr>
        <w:t>Оцінювання</w:t>
      </w:r>
      <w:r w:rsidRPr="004D2D14">
        <w:rPr>
          <w:rFonts w:asciiTheme="majorHAnsi" w:hAnsiTheme="majorHAnsi"/>
          <w:spacing w:val="-10"/>
          <w:sz w:val="20"/>
          <w:szCs w:val="20"/>
          <w:lang w:val="uk-UA"/>
        </w:rPr>
        <w:t xml:space="preserve"> </w:t>
      </w:r>
      <w:r w:rsidRPr="004D2D14">
        <w:rPr>
          <w:rFonts w:asciiTheme="majorHAnsi" w:hAnsiTheme="majorHAnsi"/>
          <w:spacing w:val="-1"/>
          <w:sz w:val="20"/>
          <w:szCs w:val="20"/>
          <w:lang w:val="uk-UA"/>
        </w:rPr>
        <w:t>відповідності</w:t>
      </w:r>
      <w:r w:rsidRPr="004D2D14">
        <w:rPr>
          <w:rFonts w:asciiTheme="majorHAnsi" w:hAnsiTheme="majorHAnsi"/>
          <w:spacing w:val="-10"/>
          <w:sz w:val="20"/>
          <w:szCs w:val="20"/>
          <w:lang w:val="uk-UA"/>
        </w:rPr>
        <w:t xml:space="preserve"> </w:t>
      </w:r>
      <w:r w:rsidRPr="004D2D14">
        <w:rPr>
          <w:rFonts w:asciiTheme="majorHAnsi" w:hAnsiTheme="majorHAnsi"/>
          <w:spacing w:val="-1"/>
          <w:sz w:val="20"/>
          <w:szCs w:val="20"/>
          <w:lang w:val="uk-UA"/>
        </w:rPr>
        <w:t>на</w:t>
      </w:r>
      <w:r w:rsidRPr="004D2D14">
        <w:rPr>
          <w:rFonts w:asciiTheme="majorHAnsi" w:hAnsiTheme="majorHAnsi"/>
          <w:spacing w:val="-9"/>
          <w:sz w:val="20"/>
          <w:szCs w:val="20"/>
          <w:lang w:val="uk-UA"/>
        </w:rPr>
        <w:t xml:space="preserve"> </w:t>
      </w:r>
      <w:r w:rsidRPr="004D2D14">
        <w:rPr>
          <w:rFonts w:asciiTheme="majorHAnsi" w:hAnsiTheme="majorHAnsi"/>
          <w:spacing w:val="-1"/>
          <w:sz w:val="20"/>
          <w:szCs w:val="20"/>
          <w:lang w:val="uk-UA"/>
        </w:rPr>
        <w:t>підставі</w:t>
      </w:r>
      <w:r w:rsidRPr="004D2D14">
        <w:rPr>
          <w:rFonts w:asciiTheme="majorHAnsi" w:hAnsiTheme="majorHAnsi"/>
          <w:spacing w:val="-10"/>
          <w:sz w:val="20"/>
          <w:szCs w:val="20"/>
          <w:lang w:val="uk-UA"/>
        </w:rPr>
        <w:t xml:space="preserve"> </w:t>
      </w:r>
      <w:r w:rsidRPr="004D2D14">
        <w:rPr>
          <w:rFonts w:asciiTheme="majorHAnsi" w:hAnsiTheme="majorHAnsi"/>
          <w:spacing w:val="-1"/>
          <w:sz w:val="20"/>
          <w:szCs w:val="20"/>
          <w:lang w:val="uk-UA"/>
        </w:rPr>
        <w:t>одного</w:t>
      </w:r>
      <w:r w:rsidRPr="004D2D14">
        <w:rPr>
          <w:rFonts w:asciiTheme="majorHAnsi" w:hAnsiTheme="majorHAnsi"/>
          <w:spacing w:val="-9"/>
          <w:sz w:val="20"/>
          <w:szCs w:val="20"/>
          <w:lang w:val="uk-UA"/>
        </w:rPr>
        <w:t xml:space="preserve"> </w:t>
      </w:r>
      <w:r w:rsidRPr="004D2D14">
        <w:rPr>
          <w:rFonts w:asciiTheme="majorHAnsi" w:hAnsiTheme="majorHAnsi"/>
          <w:spacing w:val="-1"/>
          <w:sz w:val="20"/>
          <w:szCs w:val="20"/>
          <w:lang w:val="uk-UA"/>
        </w:rPr>
        <w:t>чи</w:t>
      </w:r>
      <w:r w:rsidRPr="004D2D14">
        <w:rPr>
          <w:rFonts w:asciiTheme="majorHAnsi" w:hAnsiTheme="majorHAnsi"/>
          <w:spacing w:val="-10"/>
          <w:sz w:val="20"/>
          <w:szCs w:val="20"/>
          <w:lang w:val="uk-UA"/>
        </w:rPr>
        <w:t xml:space="preserve"> </w:t>
      </w:r>
      <w:r w:rsidRPr="004D2D14">
        <w:rPr>
          <w:rFonts w:asciiTheme="majorHAnsi" w:hAnsiTheme="majorHAnsi"/>
          <w:spacing w:val="-1"/>
          <w:sz w:val="20"/>
          <w:szCs w:val="20"/>
          <w:lang w:val="uk-UA"/>
        </w:rPr>
        <w:t>декіль</w:t>
      </w:r>
      <w:r w:rsidRPr="004D2D14">
        <w:rPr>
          <w:rFonts w:asciiTheme="majorHAnsi" w:hAnsiTheme="majorHAnsi"/>
          <w:spacing w:val="-5"/>
          <w:sz w:val="20"/>
          <w:szCs w:val="20"/>
          <w:lang w:val="uk-UA"/>
        </w:rPr>
        <w:t xml:space="preserve">кох </w:t>
      </w:r>
      <w:r w:rsidRPr="004D2D14">
        <w:rPr>
          <w:rFonts w:asciiTheme="majorHAnsi" w:hAnsiTheme="majorHAnsi"/>
          <w:spacing w:val="-4"/>
          <w:sz w:val="20"/>
          <w:szCs w:val="20"/>
          <w:lang w:val="uk-UA"/>
        </w:rPr>
        <w:t>зразків продукції, що репрезентують виробництво</w:t>
      </w:r>
      <w:r w:rsidRPr="004D2D14">
        <w:rPr>
          <w:rFonts w:asciiTheme="majorHAnsi" w:hAnsiTheme="majorHAnsi"/>
          <w:spacing w:val="-3"/>
          <w:sz w:val="20"/>
          <w:szCs w:val="20"/>
          <w:lang w:val="uk-UA"/>
        </w:rPr>
        <w:t xml:space="preserve"> </w:t>
      </w:r>
    </w:p>
    <w:p w14:paraId="43E0CDEE"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bookmarkStart w:id="172" w:name="_Hlk103659645"/>
      <w:r w:rsidRPr="000977F7">
        <w:rPr>
          <w:rFonts w:asciiTheme="majorHAnsi" w:hAnsiTheme="majorHAnsi"/>
          <w:b/>
          <w:sz w:val="20"/>
          <w:szCs w:val="20"/>
        </w:rPr>
        <w:t>ОЦІНЮВАННЯ</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РИЗИКІВ</w:t>
      </w:r>
      <w:r w:rsidRPr="004D2D14">
        <w:rPr>
          <w:rFonts w:asciiTheme="majorHAnsi" w:hAnsiTheme="majorHAnsi"/>
          <w:b/>
          <w:spacing w:val="4"/>
          <w:sz w:val="20"/>
          <w:szCs w:val="20"/>
          <w:lang w:val="en-US"/>
        </w:rPr>
        <w:t xml:space="preserve"> </w:t>
      </w:r>
      <w:r w:rsidRPr="004D2D14">
        <w:rPr>
          <w:rFonts w:asciiTheme="majorHAnsi" w:hAnsiTheme="majorHAnsi"/>
          <w:b/>
          <w:sz w:val="20"/>
          <w:szCs w:val="20"/>
          <w:lang w:val="en-US"/>
        </w:rPr>
        <w:t>–</w:t>
      </w:r>
    </w:p>
    <w:p w14:paraId="2248E98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bookmarkStart w:id="173" w:name="_Hlk103659515"/>
      <w:r w:rsidRPr="004D2D14">
        <w:rPr>
          <w:rFonts w:asciiTheme="majorHAnsi" w:hAnsiTheme="majorHAnsi"/>
          <w:sz w:val="20"/>
          <w:szCs w:val="20"/>
          <w:lang w:val="en-US"/>
        </w:rPr>
        <w:t>RISK</w:t>
      </w:r>
      <w:bookmarkEnd w:id="173"/>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ESTIMATION, RISK ASSESMENT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bookmarkEnd w:id="172"/>
    <w:p w14:paraId="623366C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Загальний процес, до якого належать аналізування ризику та окреслення ризику</w:t>
      </w:r>
    </w:p>
    <w:p w14:paraId="68FB143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ДСТУ EN ISO 12100:2016</w:t>
      </w:r>
    </w:p>
    <w:p w14:paraId="2E16FC26" w14:textId="5976E2C1" w:rsidR="0097612F" w:rsidRPr="00297070" w:rsidRDefault="0097612F" w:rsidP="00C10197">
      <w:pPr>
        <w:pStyle w:val="af6"/>
        <w:tabs>
          <w:tab w:val="left" w:pos="284"/>
        </w:tabs>
        <w:spacing w:after="0"/>
        <w:ind w:left="170"/>
        <w:mirrorIndents/>
        <w:jc w:val="both"/>
        <w:rPr>
          <w:rFonts w:asciiTheme="majorHAnsi" w:hAnsiTheme="majorHAnsi"/>
          <w:i/>
          <w:sz w:val="20"/>
          <w:szCs w:val="20"/>
          <w:lang w:val="uk-UA"/>
        </w:rPr>
      </w:pPr>
      <w:r w:rsidRPr="000977F7">
        <w:rPr>
          <w:rFonts w:asciiTheme="majorHAnsi" w:hAnsiTheme="majorHAnsi"/>
          <w:sz w:val="20"/>
          <w:szCs w:val="20"/>
        </w:rPr>
        <w:t>Завершальний етап експертизи ризиків, на якому їх</w:t>
      </w:r>
      <w:r w:rsidRPr="000977F7">
        <w:rPr>
          <w:rFonts w:asciiTheme="majorHAnsi" w:hAnsiTheme="majorHAnsi"/>
          <w:spacing w:val="1"/>
          <w:sz w:val="20"/>
          <w:szCs w:val="20"/>
        </w:rPr>
        <w:t xml:space="preserve"> </w:t>
      </w:r>
      <w:r w:rsidRPr="000977F7">
        <w:rPr>
          <w:rFonts w:asciiTheme="majorHAnsi" w:hAnsiTheme="majorHAnsi"/>
          <w:sz w:val="20"/>
          <w:szCs w:val="20"/>
        </w:rPr>
        <w:t>значення в явному чи неявному вигляді включають до</w:t>
      </w:r>
      <w:r w:rsidRPr="000977F7">
        <w:rPr>
          <w:rFonts w:asciiTheme="majorHAnsi" w:hAnsiTheme="majorHAnsi"/>
          <w:spacing w:val="-47"/>
          <w:sz w:val="20"/>
          <w:szCs w:val="20"/>
        </w:rPr>
        <w:t xml:space="preserve"> </w:t>
      </w:r>
      <w:r w:rsidRPr="000977F7">
        <w:rPr>
          <w:rFonts w:asciiTheme="majorHAnsi" w:hAnsiTheme="majorHAnsi"/>
          <w:sz w:val="20"/>
          <w:szCs w:val="20"/>
        </w:rPr>
        <w:t>процесу прийняття рішень з метою виявити можливі</w:t>
      </w:r>
      <w:r w:rsidRPr="000977F7">
        <w:rPr>
          <w:rFonts w:asciiTheme="majorHAnsi" w:hAnsiTheme="majorHAnsi"/>
          <w:spacing w:val="1"/>
          <w:sz w:val="20"/>
          <w:szCs w:val="20"/>
        </w:rPr>
        <w:t xml:space="preserve"> </w:t>
      </w:r>
      <w:r w:rsidRPr="000977F7">
        <w:rPr>
          <w:rFonts w:asciiTheme="majorHAnsi" w:hAnsiTheme="majorHAnsi"/>
          <w:sz w:val="20"/>
          <w:szCs w:val="20"/>
        </w:rPr>
        <w:t>варіанти забезпечення безпечності промислового підприємства</w:t>
      </w:r>
      <w:r w:rsidR="00C10197">
        <w:rPr>
          <w:rFonts w:asciiTheme="majorHAnsi" w:hAnsiTheme="majorHAnsi"/>
          <w:sz w:val="20"/>
          <w:szCs w:val="20"/>
          <w:lang w:val="uk-UA"/>
        </w:rPr>
        <w:t xml:space="preserve">. </w:t>
      </w:r>
      <w:r w:rsidRPr="00297070">
        <w:rPr>
          <w:rFonts w:asciiTheme="majorHAnsi" w:hAnsiTheme="majorHAnsi"/>
          <w:i/>
          <w:sz w:val="20"/>
          <w:szCs w:val="20"/>
          <w:lang w:val="uk-UA"/>
        </w:rPr>
        <w:t>ДСТУ</w:t>
      </w:r>
      <w:r w:rsidRPr="00297070">
        <w:rPr>
          <w:rFonts w:asciiTheme="majorHAnsi" w:hAnsiTheme="majorHAnsi"/>
          <w:i/>
          <w:spacing w:val="-1"/>
          <w:sz w:val="20"/>
          <w:szCs w:val="20"/>
          <w:lang w:val="uk-UA"/>
        </w:rPr>
        <w:t xml:space="preserve"> </w:t>
      </w:r>
      <w:r w:rsidRPr="00297070">
        <w:rPr>
          <w:rFonts w:asciiTheme="majorHAnsi" w:hAnsiTheme="majorHAnsi"/>
          <w:i/>
          <w:sz w:val="20"/>
          <w:szCs w:val="20"/>
          <w:lang w:val="uk-UA"/>
        </w:rPr>
        <w:t>2156 - 93</w:t>
      </w:r>
    </w:p>
    <w:p w14:paraId="42D401F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ОЦІНЮВАННЯ</w:t>
      </w:r>
      <w:r w:rsidRPr="000977F7">
        <w:rPr>
          <w:color w:val="auto"/>
          <w:spacing w:val="-5"/>
          <w:sz w:val="20"/>
          <w:szCs w:val="20"/>
        </w:rPr>
        <w:t xml:space="preserve"> </w:t>
      </w:r>
      <w:r w:rsidRPr="000977F7">
        <w:rPr>
          <w:color w:val="auto"/>
          <w:sz w:val="20"/>
          <w:szCs w:val="20"/>
        </w:rPr>
        <w:t>РІВНЯ</w:t>
      </w:r>
      <w:r w:rsidRPr="000977F7">
        <w:rPr>
          <w:color w:val="auto"/>
          <w:spacing w:val="-4"/>
          <w:sz w:val="20"/>
          <w:szCs w:val="20"/>
        </w:rPr>
        <w:t xml:space="preserve"> </w:t>
      </w:r>
      <w:r w:rsidRPr="000977F7">
        <w:rPr>
          <w:color w:val="auto"/>
          <w:sz w:val="20"/>
          <w:szCs w:val="20"/>
        </w:rPr>
        <w:t>ЯКОСТІ</w:t>
      </w:r>
      <w:r w:rsidRPr="000977F7">
        <w:rPr>
          <w:color w:val="auto"/>
          <w:spacing w:val="-6"/>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5A5D42F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 xml:space="preserve">Сукупність операцій, до якої входить вибір номенклатури показників якості оцінюваної </w:t>
      </w:r>
      <w:r w:rsidRPr="004D2D14">
        <w:rPr>
          <w:rFonts w:asciiTheme="majorHAnsi" w:hAnsiTheme="majorHAnsi"/>
          <w:sz w:val="20"/>
          <w:szCs w:val="20"/>
          <w:lang w:val="uk-UA"/>
        </w:rPr>
        <w:t>продукції, визначення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значень</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цих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показників і</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порівняння</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їх</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базовими</w:t>
      </w:r>
    </w:p>
    <w:p w14:paraId="46DFDC5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ОЦІНЮВАННЯ</w:t>
      </w:r>
      <w:r w:rsidRPr="000977F7">
        <w:rPr>
          <w:color w:val="auto"/>
          <w:spacing w:val="1"/>
          <w:sz w:val="20"/>
          <w:szCs w:val="20"/>
        </w:rPr>
        <w:t xml:space="preserve"> </w:t>
      </w:r>
      <w:r w:rsidRPr="000977F7">
        <w:rPr>
          <w:color w:val="auto"/>
          <w:sz w:val="20"/>
          <w:szCs w:val="20"/>
        </w:rPr>
        <w:t>САНІТАРНОГО</w:t>
      </w:r>
      <w:r w:rsidRPr="000977F7">
        <w:rPr>
          <w:color w:val="auto"/>
          <w:spacing w:val="1"/>
          <w:sz w:val="20"/>
          <w:szCs w:val="20"/>
        </w:rPr>
        <w:t xml:space="preserve"> </w:t>
      </w:r>
      <w:r w:rsidRPr="000977F7">
        <w:rPr>
          <w:color w:val="auto"/>
          <w:sz w:val="20"/>
          <w:szCs w:val="20"/>
        </w:rPr>
        <w:t>СТАНУ</w:t>
      </w:r>
      <w:r w:rsidRPr="000977F7">
        <w:rPr>
          <w:color w:val="auto"/>
          <w:spacing w:val="-47"/>
          <w:sz w:val="20"/>
          <w:szCs w:val="20"/>
        </w:rPr>
        <w:t xml:space="preserve"> </w:t>
      </w:r>
      <w:r w:rsidRPr="000977F7">
        <w:rPr>
          <w:color w:val="auto"/>
          <w:sz w:val="20"/>
          <w:szCs w:val="20"/>
        </w:rPr>
        <w:t>ГРУНТУ –</w:t>
      </w:r>
    </w:p>
    <w:p w14:paraId="3D100C04" w14:textId="3993DBBD" w:rsidR="0097612F" w:rsidRPr="000977F7" w:rsidRDefault="0097612F" w:rsidP="00C10197">
      <w:pPr>
        <w:pStyle w:val="af6"/>
        <w:tabs>
          <w:tab w:val="left" w:pos="284"/>
        </w:tabs>
        <w:spacing w:after="0"/>
        <w:ind w:left="170"/>
        <w:mirrorIndents/>
        <w:jc w:val="both"/>
        <w:rPr>
          <w:rFonts w:asciiTheme="majorHAnsi" w:hAnsiTheme="majorHAnsi"/>
          <w:i/>
          <w:sz w:val="20"/>
          <w:szCs w:val="20"/>
        </w:rPr>
      </w:pPr>
      <w:r w:rsidRPr="004D2D14">
        <w:rPr>
          <w:rFonts w:asciiTheme="majorHAnsi" w:hAnsiTheme="majorHAnsi"/>
          <w:sz w:val="20"/>
          <w:szCs w:val="20"/>
          <w:lang w:val="uk-UA"/>
        </w:rPr>
        <w:t>Визначення фізико-хімічних та біологічних властивостей ґрунту та речовин і організмів, що містяться 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ньому, які можуть заподіяти шкоду здоров’ю та самопочуттю людини внаслідок контакту її з ґрунтом, 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через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суміжні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ним середовища</w:t>
      </w:r>
      <w:r w:rsidR="00C10197">
        <w:rPr>
          <w:rFonts w:asciiTheme="majorHAnsi" w:hAnsiTheme="majorHAnsi"/>
          <w:sz w:val="20"/>
          <w:szCs w:val="20"/>
          <w:lang w:val="uk-UA"/>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3038 - 95</w:t>
      </w:r>
    </w:p>
    <w:p w14:paraId="2BA9C31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ОЦІНЮВАННЯ</w:t>
      </w:r>
      <w:r w:rsidRPr="000977F7">
        <w:rPr>
          <w:color w:val="auto"/>
          <w:spacing w:val="-9"/>
          <w:sz w:val="20"/>
          <w:szCs w:val="20"/>
        </w:rPr>
        <w:t xml:space="preserve"> </w:t>
      </w:r>
      <w:r w:rsidRPr="000977F7">
        <w:rPr>
          <w:color w:val="auto"/>
          <w:sz w:val="20"/>
          <w:szCs w:val="20"/>
        </w:rPr>
        <w:t>СИСТЕМ</w:t>
      </w:r>
      <w:r w:rsidRPr="000977F7">
        <w:rPr>
          <w:color w:val="auto"/>
          <w:spacing w:val="-9"/>
          <w:sz w:val="20"/>
          <w:szCs w:val="20"/>
        </w:rPr>
        <w:t xml:space="preserve"> </w:t>
      </w:r>
      <w:r w:rsidRPr="000977F7">
        <w:rPr>
          <w:color w:val="auto"/>
          <w:sz w:val="20"/>
          <w:szCs w:val="20"/>
        </w:rPr>
        <w:t>МЕНЕДЖМЕНТУ</w:t>
      </w:r>
      <w:r w:rsidRPr="000977F7">
        <w:rPr>
          <w:color w:val="auto"/>
          <w:spacing w:val="-47"/>
          <w:sz w:val="20"/>
          <w:szCs w:val="20"/>
        </w:rPr>
        <w:t xml:space="preserve"> </w:t>
      </w:r>
      <w:r w:rsidRPr="000977F7">
        <w:rPr>
          <w:color w:val="auto"/>
          <w:sz w:val="20"/>
          <w:szCs w:val="20"/>
        </w:rPr>
        <w:t>ЯКОСТІ</w:t>
      </w:r>
      <w:r w:rsidRPr="000977F7">
        <w:rPr>
          <w:color w:val="auto"/>
          <w:spacing w:val="-1"/>
          <w:sz w:val="20"/>
          <w:szCs w:val="20"/>
        </w:rPr>
        <w:t xml:space="preserve"> </w:t>
      </w:r>
      <w:r w:rsidRPr="000977F7">
        <w:rPr>
          <w:color w:val="auto"/>
          <w:sz w:val="20"/>
          <w:szCs w:val="20"/>
        </w:rPr>
        <w:t>–</w:t>
      </w:r>
    </w:p>
    <w:p w14:paraId="2AADB70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Коли</w:t>
      </w:r>
      <w:r w:rsidRPr="000977F7">
        <w:rPr>
          <w:rFonts w:asciiTheme="majorHAnsi" w:hAnsiTheme="majorHAnsi"/>
          <w:spacing w:val="1"/>
          <w:sz w:val="20"/>
          <w:szCs w:val="20"/>
        </w:rPr>
        <w:t xml:space="preserve"> </w:t>
      </w:r>
      <w:r w:rsidRPr="000977F7">
        <w:rPr>
          <w:rFonts w:asciiTheme="majorHAnsi" w:hAnsiTheme="majorHAnsi"/>
          <w:sz w:val="20"/>
          <w:szCs w:val="20"/>
        </w:rPr>
        <w:t>оцінюються</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менеджменту</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то</w:t>
      </w:r>
      <w:r w:rsidRPr="000977F7">
        <w:rPr>
          <w:rFonts w:asciiTheme="majorHAnsi" w:hAnsiTheme="majorHAnsi"/>
          <w:spacing w:val="1"/>
          <w:sz w:val="20"/>
          <w:szCs w:val="20"/>
        </w:rPr>
        <w:t xml:space="preserve"> </w:t>
      </w:r>
      <w:r w:rsidRPr="000977F7">
        <w:rPr>
          <w:rFonts w:asciiTheme="majorHAnsi" w:hAnsiTheme="majorHAnsi"/>
          <w:sz w:val="20"/>
          <w:szCs w:val="20"/>
        </w:rPr>
        <w:t>мають</w:t>
      </w:r>
      <w:r w:rsidRPr="000977F7">
        <w:rPr>
          <w:rFonts w:asciiTheme="majorHAnsi" w:hAnsiTheme="majorHAnsi"/>
          <w:spacing w:val="44"/>
          <w:sz w:val="20"/>
          <w:szCs w:val="20"/>
        </w:rPr>
        <w:t xml:space="preserve"> </w:t>
      </w:r>
      <w:r w:rsidRPr="000977F7">
        <w:rPr>
          <w:rFonts w:asciiTheme="majorHAnsi" w:hAnsiTheme="majorHAnsi"/>
          <w:sz w:val="20"/>
          <w:szCs w:val="20"/>
        </w:rPr>
        <w:t>місце</w:t>
      </w:r>
      <w:r w:rsidRPr="000977F7">
        <w:rPr>
          <w:rFonts w:asciiTheme="majorHAnsi" w:hAnsiTheme="majorHAnsi"/>
          <w:spacing w:val="45"/>
          <w:sz w:val="20"/>
          <w:szCs w:val="20"/>
        </w:rPr>
        <w:t xml:space="preserve"> </w:t>
      </w:r>
      <w:r w:rsidRPr="000977F7">
        <w:rPr>
          <w:rFonts w:asciiTheme="majorHAnsi" w:hAnsiTheme="majorHAnsi"/>
          <w:sz w:val="20"/>
          <w:szCs w:val="20"/>
        </w:rPr>
        <w:t>чотири</w:t>
      </w:r>
      <w:r w:rsidRPr="000977F7">
        <w:rPr>
          <w:rFonts w:asciiTheme="majorHAnsi" w:hAnsiTheme="majorHAnsi"/>
          <w:spacing w:val="45"/>
          <w:sz w:val="20"/>
          <w:szCs w:val="20"/>
        </w:rPr>
        <w:t xml:space="preserve"> </w:t>
      </w:r>
      <w:r w:rsidRPr="000977F7">
        <w:rPr>
          <w:rFonts w:asciiTheme="majorHAnsi" w:hAnsiTheme="majorHAnsi"/>
          <w:sz w:val="20"/>
          <w:szCs w:val="20"/>
        </w:rPr>
        <w:t>основних</w:t>
      </w:r>
      <w:r w:rsidRPr="000977F7">
        <w:rPr>
          <w:rFonts w:asciiTheme="majorHAnsi" w:hAnsiTheme="majorHAnsi"/>
          <w:spacing w:val="46"/>
          <w:sz w:val="20"/>
          <w:szCs w:val="20"/>
        </w:rPr>
        <w:t xml:space="preserve"> </w:t>
      </w:r>
      <w:r w:rsidRPr="000977F7">
        <w:rPr>
          <w:rFonts w:asciiTheme="majorHAnsi" w:hAnsiTheme="majorHAnsi"/>
          <w:sz w:val="20"/>
          <w:szCs w:val="20"/>
        </w:rPr>
        <w:t>питання,</w:t>
      </w:r>
      <w:r w:rsidRPr="000977F7">
        <w:rPr>
          <w:rFonts w:asciiTheme="majorHAnsi" w:hAnsiTheme="majorHAnsi"/>
          <w:spacing w:val="46"/>
          <w:sz w:val="20"/>
          <w:szCs w:val="20"/>
        </w:rPr>
        <w:t xml:space="preserve"> </w:t>
      </w:r>
      <w:r w:rsidRPr="000977F7">
        <w:rPr>
          <w:rFonts w:asciiTheme="majorHAnsi" w:hAnsiTheme="majorHAnsi"/>
          <w:sz w:val="20"/>
          <w:szCs w:val="20"/>
        </w:rPr>
        <w:t>які</w:t>
      </w:r>
      <w:r w:rsidRPr="000977F7">
        <w:rPr>
          <w:rFonts w:asciiTheme="majorHAnsi" w:hAnsiTheme="majorHAnsi"/>
          <w:spacing w:val="47"/>
          <w:sz w:val="20"/>
          <w:szCs w:val="20"/>
        </w:rPr>
        <w:t xml:space="preserve"> </w:t>
      </w:r>
      <w:r w:rsidRPr="000977F7">
        <w:rPr>
          <w:rFonts w:asciiTheme="majorHAnsi" w:hAnsiTheme="majorHAnsi"/>
          <w:sz w:val="20"/>
          <w:szCs w:val="20"/>
        </w:rPr>
        <w:t>повинні задаватися</w:t>
      </w:r>
      <w:r w:rsidRPr="000977F7">
        <w:rPr>
          <w:rFonts w:asciiTheme="majorHAnsi" w:hAnsiTheme="majorHAnsi"/>
          <w:spacing w:val="39"/>
          <w:sz w:val="20"/>
          <w:szCs w:val="20"/>
        </w:rPr>
        <w:t xml:space="preserve"> </w:t>
      </w:r>
      <w:r w:rsidRPr="000977F7">
        <w:rPr>
          <w:rFonts w:asciiTheme="majorHAnsi" w:hAnsiTheme="majorHAnsi"/>
          <w:sz w:val="20"/>
          <w:szCs w:val="20"/>
        </w:rPr>
        <w:t>по</w:t>
      </w:r>
      <w:r w:rsidRPr="000977F7">
        <w:rPr>
          <w:rFonts w:asciiTheme="majorHAnsi" w:hAnsiTheme="majorHAnsi"/>
          <w:spacing w:val="41"/>
          <w:sz w:val="20"/>
          <w:szCs w:val="20"/>
        </w:rPr>
        <w:t xml:space="preserve"> </w:t>
      </w:r>
      <w:r w:rsidRPr="000977F7">
        <w:rPr>
          <w:rFonts w:asciiTheme="majorHAnsi" w:hAnsiTheme="majorHAnsi"/>
          <w:sz w:val="20"/>
          <w:szCs w:val="20"/>
        </w:rPr>
        <w:t>відношенню</w:t>
      </w:r>
      <w:r w:rsidRPr="000977F7">
        <w:rPr>
          <w:rFonts w:asciiTheme="majorHAnsi" w:hAnsiTheme="majorHAnsi"/>
          <w:spacing w:val="40"/>
          <w:sz w:val="20"/>
          <w:szCs w:val="20"/>
        </w:rPr>
        <w:t xml:space="preserve"> </w:t>
      </w:r>
      <w:r w:rsidRPr="000977F7">
        <w:rPr>
          <w:rFonts w:asciiTheme="majorHAnsi" w:hAnsiTheme="majorHAnsi"/>
          <w:sz w:val="20"/>
          <w:szCs w:val="20"/>
        </w:rPr>
        <w:t>до</w:t>
      </w:r>
      <w:r w:rsidRPr="000977F7">
        <w:rPr>
          <w:rFonts w:asciiTheme="majorHAnsi" w:hAnsiTheme="majorHAnsi"/>
          <w:spacing w:val="41"/>
          <w:sz w:val="20"/>
          <w:szCs w:val="20"/>
        </w:rPr>
        <w:t xml:space="preserve"> </w:t>
      </w:r>
      <w:r w:rsidRPr="000977F7">
        <w:rPr>
          <w:rFonts w:asciiTheme="majorHAnsi" w:hAnsiTheme="majorHAnsi"/>
          <w:sz w:val="20"/>
          <w:szCs w:val="20"/>
        </w:rPr>
        <w:t>кожного</w:t>
      </w:r>
      <w:r w:rsidRPr="000977F7">
        <w:rPr>
          <w:rFonts w:asciiTheme="majorHAnsi" w:hAnsiTheme="majorHAnsi"/>
          <w:spacing w:val="39"/>
          <w:sz w:val="20"/>
          <w:szCs w:val="20"/>
        </w:rPr>
        <w:t xml:space="preserve"> </w:t>
      </w:r>
      <w:r w:rsidRPr="000977F7">
        <w:rPr>
          <w:rFonts w:asciiTheme="majorHAnsi" w:hAnsiTheme="majorHAnsi"/>
          <w:sz w:val="20"/>
          <w:szCs w:val="20"/>
        </w:rPr>
        <w:t>оцінюваного</w:t>
      </w:r>
      <w:r w:rsidRPr="000977F7">
        <w:rPr>
          <w:rFonts w:asciiTheme="majorHAnsi" w:hAnsiTheme="majorHAnsi"/>
          <w:spacing w:val="-47"/>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а саме:</w:t>
      </w:r>
    </w:p>
    <w:p w14:paraId="65524195" w14:textId="77777777" w:rsidR="0097612F" w:rsidRPr="000977F7" w:rsidRDefault="0097612F" w:rsidP="00FD39A4">
      <w:pPr>
        <w:pStyle w:val="ac"/>
        <w:widowControl w:val="0"/>
        <w:numPr>
          <w:ilvl w:val="0"/>
          <w:numId w:val="124"/>
        </w:numPr>
        <w:tabs>
          <w:tab w:val="left" w:pos="284"/>
          <w:tab w:val="left" w:pos="800"/>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Чи</w:t>
      </w:r>
      <w:r w:rsidRPr="000977F7">
        <w:rPr>
          <w:rFonts w:asciiTheme="majorHAnsi" w:hAnsiTheme="majorHAnsi"/>
          <w:spacing w:val="32"/>
          <w:sz w:val="20"/>
          <w:szCs w:val="20"/>
        </w:rPr>
        <w:t xml:space="preserve"> </w:t>
      </w:r>
      <w:r w:rsidRPr="000977F7">
        <w:rPr>
          <w:rFonts w:asciiTheme="majorHAnsi" w:hAnsiTheme="majorHAnsi"/>
          <w:sz w:val="20"/>
          <w:szCs w:val="20"/>
        </w:rPr>
        <w:t>є</w:t>
      </w:r>
      <w:r w:rsidRPr="000977F7">
        <w:rPr>
          <w:rFonts w:asciiTheme="majorHAnsi" w:hAnsiTheme="majorHAnsi"/>
          <w:spacing w:val="35"/>
          <w:sz w:val="20"/>
          <w:szCs w:val="20"/>
        </w:rPr>
        <w:t xml:space="preserve"> </w:t>
      </w:r>
      <w:r w:rsidRPr="000977F7">
        <w:rPr>
          <w:rFonts w:asciiTheme="majorHAnsi" w:hAnsiTheme="majorHAnsi"/>
          <w:sz w:val="20"/>
          <w:szCs w:val="20"/>
        </w:rPr>
        <w:t>процеси</w:t>
      </w:r>
      <w:r w:rsidRPr="000977F7">
        <w:rPr>
          <w:rFonts w:asciiTheme="majorHAnsi" w:hAnsiTheme="majorHAnsi"/>
          <w:spacing w:val="33"/>
          <w:sz w:val="20"/>
          <w:szCs w:val="20"/>
        </w:rPr>
        <w:t xml:space="preserve"> </w:t>
      </w:r>
      <w:r w:rsidRPr="000977F7">
        <w:rPr>
          <w:rFonts w:asciiTheme="majorHAnsi" w:hAnsiTheme="majorHAnsi"/>
          <w:sz w:val="20"/>
          <w:szCs w:val="20"/>
        </w:rPr>
        <w:t>ідентифікованими</w:t>
      </w:r>
      <w:r w:rsidRPr="000977F7">
        <w:rPr>
          <w:rFonts w:asciiTheme="majorHAnsi" w:hAnsiTheme="majorHAnsi"/>
          <w:spacing w:val="33"/>
          <w:sz w:val="20"/>
          <w:szCs w:val="20"/>
        </w:rPr>
        <w:t xml:space="preserve"> </w:t>
      </w:r>
      <w:r w:rsidRPr="000977F7">
        <w:rPr>
          <w:rFonts w:asciiTheme="majorHAnsi" w:hAnsiTheme="majorHAnsi"/>
          <w:sz w:val="20"/>
          <w:szCs w:val="20"/>
        </w:rPr>
        <w:t>та</w:t>
      </w:r>
      <w:r w:rsidRPr="000977F7">
        <w:rPr>
          <w:rFonts w:asciiTheme="majorHAnsi" w:hAnsiTheme="majorHAnsi"/>
          <w:spacing w:val="34"/>
          <w:sz w:val="20"/>
          <w:szCs w:val="20"/>
        </w:rPr>
        <w:t xml:space="preserve"> </w:t>
      </w:r>
      <w:r w:rsidRPr="000977F7">
        <w:rPr>
          <w:rFonts w:asciiTheme="majorHAnsi" w:hAnsiTheme="majorHAnsi"/>
          <w:sz w:val="20"/>
          <w:szCs w:val="20"/>
        </w:rPr>
        <w:t>встановленими?</w:t>
      </w:r>
    </w:p>
    <w:p w14:paraId="1FAACF04" w14:textId="77777777" w:rsidR="0097612F" w:rsidRPr="000977F7" w:rsidRDefault="0097612F" w:rsidP="00FD39A4">
      <w:pPr>
        <w:pStyle w:val="ac"/>
        <w:widowControl w:val="0"/>
        <w:numPr>
          <w:ilvl w:val="0"/>
          <w:numId w:val="124"/>
        </w:numPr>
        <w:tabs>
          <w:tab w:val="left" w:pos="284"/>
          <w:tab w:val="left" w:pos="800"/>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Чи</w:t>
      </w:r>
      <w:r w:rsidRPr="000977F7">
        <w:rPr>
          <w:rFonts w:asciiTheme="majorHAnsi" w:hAnsiTheme="majorHAnsi"/>
          <w:spacing w:val="32"/>
          <w:sz w:val="20"/>
          <w:szCs w:val="20"/>
        </w:rPr>
        <w:t xml:space="preserve"> </w:t>
      </w:r>
      <w:r w:rsidRPr="000977F7">
        <w:rPr>
          <w:rFonts w:asciiTheme="majorHAnsi" w:hAnsiTheme="majorHAnsi"/>
          <w:sz w:val="20"/>
          <w:szCs w:val="20"/>
        </w:rPr>
        <w:t>є</w:t>
      </w:r>
      <w:r w:rsidRPr="000977F7">
        <w:rPr>
          <w:rFonts w:asciiTheme="majorHAnsi" w:hAnsiTheme="majorHAnsi"/>
          <w:spacing w:val="36"/>
          <w:sz w:val="20"/>
          <w:szCs w:val="20"/>
        </w:rPr>
        <w:t xml:space="preserve"> </w:t>
      </w:r>
      <w:r w:rsidRPr="000977F7">
        <w:rPr>
          <w:rFonts w:asciiTheme="majorHAnsi" w:hAnsiTheme="majorHAnsi"/>
          <w:sz w:val="20"/>
          <w:szCs w:val="20"/>
        </w:rPr>
        <w:t>процеси</w:t>
      </w:r>
      <w:r w:rsidRPr="000977F7">
        <w:rPr>
          <w:rFonts w:asciiTheme="majorHAnsi" w:hAnsiTheme="majorHAnsi"/>
          <w:spacing w:val="31"/>
          <w:sz w:val="20"/>
          <w:szCs w:val="20"/>
        </w:rPr>
        <w:t xml:space="preserve"> </w:t>
      </w:r>
      <w:r w:rsidRPr="000977F7">
        <w:rPr>
          <w:rFonts w:asciiTheme="majorHAnsi" w:hAnsiTheme="majorHAnsi"/>
          <w:sz w:val="20"/>
          <w:szCs w:val="20"/>
        </w:rPr>
        <w:t>ефективними</w:t>
      </w:r>
      <w:r w:rsidRPr="000977F7">
        <w:rPr>
          <w:rFonts w:asciiTheme="majorHAnsi" w:hAnsiTheme="majorHAnsi"/>
          <w:spacing w:val="17"/>
          <w:sz w:val="20"/>
          <w:szCs w:val="20"/>
        </w:rPr>
        <w:t xml:space="preserve"> </w:t>
      </w:r>
      <w:r w:rsidRPr="000977F7">
        <w:rPr>
          <w:rFonts w:asciiTheme="majorHAnsi" w:hAnsiTheme="majorHAnsi"/>
          <w:sz w:val="20"/>
          <w:szCs w:val="20"/>
        </w:rPr>
        <w:t>з</w:t>
      </w:r>
      <w:r w:rsidRPr="000977F7">
        <w:rPr>
          <w:rFonts w:asciiTheme="majorHAnsi" w:hAnsiTheme="majorHAnsi"/>
          <w:spacing w:val="33"/>
          <w:sz w:val="20"/>
          <w:szCs w:val="20"/>
        </w:rPr>
        <w:t xml:space="preserve"> </w:t>
      </w:r>
      <w:r w:rsidRPr="000977F7">
        <w:rPr>
          <w:rFonts w:asciiTheme="majorHAnsi" w:hAnsiTheme="majorHAnsi"/>
          <w:sz w:val="20"/>
          <w:szCs w:val="20"/>
        </w:rPr>
        <w:t>точки</w:t>
      </w:r>
      <w:r w:rsidRPr="000977F7">
        <w:rPr>
          <w:rFonts w:asciiTheme="majorHAnsi" w:hAnsiTheme="majorHAnsi"/>
          <w:spacing w:val="31"/>
          <w:sz w:val="20"/>
          <w:szCs w:val="20"/>
        </w:rPr>
        <w:t xml:space="preserve"> </w:t>
      </w:r>
      <w:r w:rsidRPr="000977F7">
        <w:rPr>
          <w:rFonts w:asciiTheme="majorHAnsi" w:hAnsiTheme="majorHAnsi"/>
          <w:sz w:val="20"/>
          <w:szCs w:val="20"/>
        </w:rPr>
        <w:t>зору</w:t>
      </w:r>
      <w:r w:rsidRPr="000977F7">
        <w:rPr>
          <w:rFonts w:asciiTheme="majorHAnsi" w:hAnsiTheme="majorHAnsi"/>
          <w:spacing w:val="29"/>
          <w:sz w:val="20"/>
          <w:szCs w:val="20"/>
        </w:rPr>
        <w:t xml:space="preserve"> </w:t>
      </w:r>
      <w:r w:rsidRPr="000977F7">
        <w:rPr>
          <w:rFonts w:asciiTheme="majorHAnsi" w:hAnsiTheme="majorHAnsi"/>
          <w:sz w:val="20"/>
          <w:szCs w:val="20"/>
        </w:rPr>
        <w:t>досягнення</w:t>
      </w:r>
      <w:r w:rsidRPr="000977F7">
        <w:rPr>
          <w:rFonts w:asciiTheme="majorHAnsi" w:hAnsiTheme="majorHAnsi"/>
          <w:spacing w:val="1"/>
          <w:sz w:val="20"/>
          <w:szCs w:val="20"/>
        </w:rPr>
        <w:t xml:space="preserve"> </w:t>
      </w:r>
      <w:r w:rsidRPr="000977F7">
        <w:rPr>
          <w:rFonts w:asciiTheme="majorHAnsi" w:hAnsiTheme="majorHAnsi"/>
          <w:sz w:val="20"/>
          <w:szCs w:val="20"/>
        </w:rPr>
        <w:t>потрібних</w:t>
      </w:r>
      <w:r w:rsidRPr="000977F7">
        <w:rPr>
          <w:rFonts w:asciiTheme="majorHAnsi" w:hAnsiTheme="majorHAnsi"/>
          <w:spacing w:val="-1"/>
          <w:sz w:val="20"/>
          <w:szCs w:val="20"/>
        </w:rPr>
        <w:t xml:space="preserve"> </w:t>
      </w:r>
      <w:r w:rsidRPr="000977F7">
        <w:rPr>
          <w:rFonts w:asciiTheme="majorHAnsi" w:hAnsiTheme="majorHAnsi"/>
          <w:sz w:val="20"/>
          <w:szCs w:val="20"/>
        </w:rPr>
        <w:t>результатів?</w:t>
      </w:r>
    </w:p>
    <w:p w14:paraId="76D496C7" w14:textId="77777777" w:rsidR="0097612F" w:rsidRPr="000977F7" w:rsidRDefault="0097612F" w:rsidP="00FD39A4">
      <w:pPr>
        <w:pStyle w:val="ac"/>
        <w:widowControl w:val="0"/>
        <w:numPr>
          <w:ilvl w:val="0"/>
          <w:numId w:val="124"/>
        </w:numPr>
        <w:tabs>
          <w:tab w:val="left" w:pos="284"/>
          <w:tab w:val="left" w:pos="800"/>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Чи</w:t>
      </w:r>
      <w:r w:rsidRPr="000977F7">
        <w:rPr>
          <w:rFonts w:asciiTheme="majorHAnsi" w:hAnsiTheme="majorHAnsi"/>
          <w:spacing w:val="7"/>
          <w:sz w:val="20"/>
          <w:szCs w:val="20"/>
        </w:rPr>
        <w:t xml:space="preserve"> </w:t>
      </w:r>
      <w:r w:rsidRPr="000977F7">
        <w:rPr>
          <w:rFonts w:asciiTheme="majorHAnsi" w:hAnsiTheme="majorHAnsi"/>
          <w:sz w:val="20"/>
          <w:szCs w:val="20"/>
        </w:rPr>
        <w:t>є</w:t>
      </w:r>
      <w:r w:rsidRPr="000977F7">
        <w:rPr>
          <w:rFonts w:asciiTheme="majorHAnsi" w:hAnsiTheme="majorHAnsi"/>
          <w:spacing w:val="9"/>
          <w:sz w:val="20"/>
          <w:szCs w:val="20"/>
        </w:rPr>
        <w:t xml:space="preserve"> </w:t>
      </w:r>
      <w:r w:rsidRPr="000977F7">
        <w:rPr>
          <w:rFonts w:asciiTheme="majorHAnsi" w:hAnsiTheme="majorHAnsi"/>
          <w:sz w:val="20"/>
          <w:szCs w:val="20"/>
        </w:rPr>
        <w:t>процеси</w:t>
      </w:r>
      <w:r w:rsidRPr="000977F7">
        <w:rPr>
          <w:rFonts w:asciiTheme="majorHAnsi" w:hAnsiTheme="majorHAnsi"/>
          <w:spacing w:val="7"/>
          <w:sz w:val="20"/>
          <w:szCs w:val="20"/>
        </w:rPr>
        <w:t xml:space="preserve"> </w:t>
      </w:r>
      <w:r w:rsidRPr="000977F7">
        <w:rPr>
          <w:rFonts w:asciiTheme="majorHAnsi" w:hAnsiTheme="majorHAnsi"/>
          <w:sz w:val="20"/>
          <w:szCs w:val="20"/>
        </w:rPr>
        <w:t>відповідним</w:t>
      </w:r>
      <w:r w:rsidRPr="000977F7">
        <w:rPr>
          <w:rFonts w:asciiTheme="majorHAnsi" w:hAnsiTheme="majorHAnsi"/>
          <w:spacing w:val="11"/>
          <w:sz w:val="20"/>
          <w:szCs w:val="20"/>
        </w:rPr>
        <w:t xml:space="preserve"> </w:t>
      </w:r>
      <w:r w:rsidRPr="000977F7">
        <w:rPr>
          <w:rFonts w:asciiTheme="majorHAnsi" w:hAnsiTheme="majorHAnsi"/>
          <w:sz w:val="20"/>
          <w:szCs w:val="20"/>
        </w:rPr>
        <w:t>чином</w:t>
      </w:r>
      <w:r w:rsidRPr="000977F7">
        <w:rPr>
          <w:rFonts w:asciiTheme="majorHAnsi" w:hAnsiTheme="majorHAnsi"/>
          <w:spacing w:val="9"/>
          <w:sz w:val="20"/>
          <w:szCs w:val="20"/>
        </w:rPr>
        <w:t xml:space="preserve"> </w:t>
      </w:r>
      <w:r w:rsidRPr="000977F7">
        <w:rPr>
          <w:rFonts w:asciiTheme="majorHAnsi" w:hAnsiTheme="majorHAnsi"/>
          <w:sz w:val="20"/>
          <w:szCs w:val="20"/>
        </w:rPr>
        <w:t>описаними</w:t>
      </w:r>
      <w:r w:rsidRPr="000977F7">
        <w:rPr>
          <w:rFonts w:asciiTheme="majorHAnsi" w:hAnsiTheme="majorHAnsi"/>
          <w:spacing w:val="7"/>
          <w:sz w:val="20"/>
          <w:szCs w:val="20"/>
        </w:rPr>
        <w:t xml:space="preserve"> </w:t>
      </w:r>
      <w:r w:rsidRPr="000977F7">
        <w:rPr>
          <w:rFonts w:asciiTheme="majorHAnsi" w:hAnsiTheme="majorHAnsi"/>
          <w:sz w:val="20"/>
          <w:szCs w:val="20"/>
        </w:rPr>
        <w:t>в</w:t>
      </w:r>
      <w:r w:rsidRPr="000977F7">
        <w:rPr>
          <w:rFonts w:asciiTheme="majorHAnsi" w:hAnsiTheme="majorHAnsi"/>
          <w:spacing w:val="-47"/>
          <w:sz w:val="20"/>
          <w:szCs w:val="20"/>
        </w:rPr>
        <w:t xml:space="preserve"> </w:t>
      </w:r>
      <w:r w:rsidRPr="000977F7">
        <w:rPr>
          <w:rFonts w:asciiTheme="majorHAnsi" w:hAnsiTheme="majorHAnsi"/>
          <w:sz w:val="20"/>
          <w:szCs w:val="20"/>
        </w:rPr>
        <w:t>процедурах?</w:t>
      </w:r>
    </w:p>
    <w:p w14:paraId="54A957B0" w14:textId="77777777" w:rsidR="0097612F" w:rsidRPr="000977F7" w:rsidRDefault="0097612F" w:rsidP="00FD39A4">
      <w:pPr>
        <w:pStyle w:val="ac"/>
        <w:widowControl w:val="0"/>
        <w:numPr>
          <w:ilvl w:val="0"/>
          <w:numId w:val="124"/>
        </w:numPr>
        <w:tabs>
          <w:tab w:val="left" w:pos="284"/>
          <w:tab w:val="left" w:pos="800"/>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Чи виконуються та</w:t>
      </w:r>
      <w:r w:rsidRPr="000977F7">
        <w:rPr>
          <w:rFonts w:asciiTheme="majorHAnsi" w:hAnsiTheme="majorHAnsi"/>
          <w:spacing w:val="1"/>
          <w:sz w:val="20"/>
          <w:szCs w:val="20"/>
        </w:rPr>
        <w:t xml:space="preserve"> </w:t>
      </w:r>
      <w:r w:rsidRPr="000977F7">
        <w:rPr>
          <w:rFonts w:asciiTheme="majorHAnsi" w:hAnsiTheme="majorHAnsi"/>
          <w:sz w:val="20"/>
          <w:szCs w:val="20"/>
        </w:rPr>
        <w:t>підтримуються ці процедури</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47"/>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тим,</w:t>
      </w:r>
      <w:r w:rsidRPr="000977F7">
        <w:rPr>
          <w:rFonts w:asciiTheme="majorHAnsi" w:hAnsiTheme="majorHAnsi"/>
          <w:spacing w:val="-1"/>
          <w:sz w:val="20"/>
          <w:szCs w:val="20"/>
        </w:rPr>
        <w:t xml:space="preserve"> </w:t>
      </w:r>
      <w:r w:rsidRPr="000977F7">
        <w:rPr>
          <w:rFonts w:asciiTheme="majorHAnsi" w:hAnsiTheme="majorHAnsi"/>
          <w:sz w:val="20"/>
          <w:szCs w:val="20"/>
        </w:rPr>
        <w:t>що в</w:t>
      </w:r>
      <w:r w:rsidRPr="000977F7">
        <w:rPr>
          <w:rFonts w:asciiTheme="majorHAnsi" w:hAnsiTheme="majorHAnsi"/>
          <w:spacing w:val="-1"/>
          <w:sz w:val="20"/>
          <w:szCs w:val="20"/>
        </w:rPr>
        <w:t xml:space="preserve"> </w:t>
      </w:r>
      <w:r w:rsidRPr="000977F7">
        <w:rPr>
          <w:rFonts w:asciiTheme="majorHAnsi" w:hAnsiTheme="majorHAnsi"/>
          <w:sz w:val="20"/>
          <w:szCs w:val="20"/>
        </w:rPr>
        <w:t>них</w:t>
      </w:r>
      <w:r w:rsidRPr="000977F7">
        <w:rPr>
          <w:rFonts w:asciiTheme="majorHAnsi" w:hAnsiTheme="majorHAnsi"/>
          <w:spacing w:val="1"/>
          <w:sz w:val="20"/>
          <w:szCs w:val="20"/>
        </w:rPr>
        <w:t xml:space="preserve"> </w:t>
      </w:r>
      <w:r w:rsidRPr="000977F7">
        <w:rPr>
          <w:rFonts w:asciiTheme="majorHAnsi" w:hAnsiTheme="majorHAnsi"/>
          <w:sz w:val="20"/>
          <w:szCs w:val="20"/>
        </w:rPr>
        <w:t>записано?</w:t>
      </w:r>
    </w:p>
    <w:p w14:paraId="7F95DD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Відповіді</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всі</w:t>
      </w:r>
      <w:r w:rsidRPr="000977F7">
        <w:rPr>
          <w:rFonts w:asciiTheme="majorHAnsi" w:hAnsiTheme="majorHAnsi"/>
          <w:spacing w:val="1"/>
          <w:sz w:val="20"/>
          <w:szCs w:val="20"/>
        </w:rPr>
        <w:t xml:space="preserve"> </w:t>
      </w:r>
      <w:r w:rsidRPr="000977F7">
        <w:rPr>
          <w:rFonts w:asciiTheme="majorHAnsi" w:hAnsiTheme="majorHAnsi"/>
          <w:sz w:val="20"/>
          <w:szCs w:val="20"/>
        </w:rPr>
        <w:t>перераховані</w:t>
      </w:r>
      <w:r w:rsidRPr="000977F7">
        <w:rPr>
          <w:rFonts w:asciiTheme="majorHAnsi" w:hAnsiTheme="majorHAnsi"/>
          <w:spacing w:val="-1"/>
          <w:sz w:val="20"/>
          <w:szCs w:val="20"/>
        </w:rPr>
        <w:t xml:space="preserve"> </w:t>
      </w:r>
      <w:r w:rsidRPr="000977F7">
        <w:rPr>
          <w:rFonts w:asciiTheme="majorHAnsi" w:hAnsiTheme="majorHAnsi"/>
          <w:sz w:val="20"/>
          <w:szCs w:val="20"/>
        </w:rPr>
        <w:t>запитання</w:t>
      </w:r>
      <w:r w:rsidRPr="000977F7">
        <w:rPr>
          <w:rFonts w:asciiTheme="majorHAnsi" w:hAnsiTheme="majorHAnsi"/>
          <w:spacing w:val="2"/>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скласти</w:t>
      </w:r>
      <w:r w:rsidRPr="000977F7">
        <w:rPr>
          <w:rFonts w:asciiTheme="majorHAnsi" w:hAnsiTheme="majorHAnsi"/>
          <w:spacing w:val="1"/>
          <w:sz w:val="20"/>
          <w:szCs w:val="20"/>
        </w:rPr>
        <w:t xml:space="preserve"> </w:t>
      </w:r>
      <w:r w:rsidRPr="000977F7">
        <w:rPr>
          <w:rFonts w:asciiTheme="majorHAnsi" w:hAnsiTheme="majorHAnsi"/>
          <w:sz w:val="20"/>
          <w:szCs w:val="20"/>
        </w:rPr>
        <w:t>результат</w:t>
      </w:r>
      <w:r w:rsidRPr="000977F7">
        <w:rPr>
          <w:rFonts w:asciiTheme="majorHAnsi" w:hAnsiTheme="majorHAnsi"/>
          <w:spacing w:val="1"/>
          <w:sz w:val="20"/>
          <w:szCs w:val="20"/>
        </w:rPr>
        <w:t xml:space="preserve"> </w:t>
      </w:r>
      <w:r w:rsidRPr="000977F7">
        <w:rPr>
          <w:rFonts w:asciiTheme="majorHAnsi" w:hAnsiTheme="majorHAnsi"/>
          <w:sz w:val="20"/>
          <w:szCs w:val="20"/>
        </w:rPr>
        <w:t>оцінки.</w:t>
      </w:r>
      <w:r w:rsidRPr="000977F7">
        <w:rPr>
          <w:rFonts w:asciiTheme="majorHAnsi" w:hAnsiTheme="majorHAnsi"/>
          <w:spacing w:val="1"/>
          <w:sz w:val="20"/>
          <w:szCs w:val="20"/>
        </w:rPr>
        <w:t xml:space="preserve"> </w:t>
      </w:r>
      <w:r w:rsidRPr="000977F7">
        <w:rPr>
          <w:rFonts w:asciiTheme="majorHAnsi" w:hAnsiTheme="majorHAnsi"/>
          <w:sz w:val="20"/>
          <w:szCs w:val="20"/>
        </w:rPr>
        <w:t>Оцінка</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менеджменту</w:t>
      </w:r>
      <w:r w:rsidRPr="000977F7">
        <w:rPr>
          <w:rFonts w:asciiTheme="majorHAnsi" w:hAnsiTheme="majorHAnsi"/>
          <w:spacing w:val="-47"/>
          <w:sz w:val="20"/>
          <w:szCs w:val="20"/>
        </w:rPr>
        <w:t xml:space="preserve"> </w:t>
      </w:r>
      <w:r w:rsidRPr="000977F7">
        <w:rPr>
          <w:rFonts w:asciiTheme="majorHAnsi" w:hAnsiTheme="majorHAnsi"/>
          <w:sz w:val="20"/>
          <w:szCs w:val="20"/>
        </w:rPr>
        <w:t>якості</w:t>
      </w:r>
      <w:r w:rsidRPr="000977F7">
        <w:rPr>
          <w:rFonts w:asciiTheme="majorHAnsi" w:hAnsiTheme="majorHAnsi"/>
          <w:spacing w:val="6"/>
          <w:sz w:val="20"/>
          <w:szCs w:val="20"/>
        </w:rPr>
        <w:t xml:space="preserve"> </w:t>
      </w:r>
      <w:r w:rsidRPr="000977F7">
        <w:rPr>
          <w:rFonts w:asciiTheme="majorHAnsi" w:hAnsiTheme="majorHAnsi"/>
          <w:sz w:val="20"/>
          <w:szCs w:val="20"/>
        </w:rPr>
        <w:t>може</w:t>
      </w:r>
      <w:r w:rsidRPr="000977F7">
        <w:rPr>
          <w:rFonts w:asciiTheme="majorHAnsi" w:hAnsiTheme="majorHAnsi"/>
          <w:spacing w:val="10"/>
          <w:sz w:val="20"/>
          <w:szCs w:val="20"/>
        </w:rPr>
        <w:t xml:space="preserve"> </w:t>
      </w:r>
      <w:r w:rsidRPr="000977F7">
        <w:rPr>
          <w:rFonts w:asciiTheme="majorHAnsi" w:hAnsiTheme="majorHAnsi"/>
          <w:sz w:val="20"/>
          <w:szCs w:val="20"/>
        </w:rPr>
        <w:t>варіюватися</w:t>
      </w:r>
      <w:r w:rsidRPr="000977F7">
        <w:rPr>
          <w:rFonts w:asciiTheme="majorHAnsi" w:hAnsiTheme="majorHAnsi"/>
          <w:spacing w:val="7"/>
          <w:sz w:val="20"/>
          <w:szCs w:val="20"/>
        </w:rPr>
        <w:t xml:space="preserve"> </w:t>
      </w:r>
      <w:r w:rsidRPr="000977F7">
        <w:rPr>
          <w:rFonts w:asciiTheme="majorHAnsi" w:hAnsiTheme="majorHAnsi"/>
          <w:sz w:val="20"/>
          <w:szCs w:val="20"/>
        </w:rPr>
        <w:t>за</w:t>
      </w:r>
      <w:r w:rsidRPr="000977F7">
        <w:rPr>
          <w:rFonts w:asciiTheme="majorHAnsi" w:hAnsiTheme="majorHAnsi"/>
          <w:spacing w:val="10"/>
          <w:sz w:val="20"/>
          <w:szCs w:val="20"/>
        </w:rPr>
        <w:t xml:space="preserve"> </w:t>
      </w:r>
      <w:r w:rsidRPr="000977F7">
        <w:rPr>
          <w:rFonts w:asciiTheme="majorHAnsi" w:hAnsiTheme="majorHAnsi"/>
          <w:sz w:val="20"/>
          <w:szCs w:val="20"/>
        </w:rPr>
        <w:t>масштабами</w:t>
      </w:r>
      <w:r w:rsidRPr="000977F7">
        <w:rPr>
          <w:rFonts w:asciiTheme="majorHAnsi" w:hAnsiTheme="majorHAnsi"/>
          <w:spacing w:val="6"/>
          <w:sz w:val="20"/>
          <w:szCs w:val="20"/>
        </w:rPr>
        <w:t xml:space="preserve"> </w:t>
      </w:r>
      <w:r w:rsidRPr="000977F7">
        <w:rPr>
          <w:rFonts w:asciiTheme="majorHAnsi" w:hAnsiTheme="majorHAnsi"/>
          <w:sz w:val="20"/>
          <w:szCs w:val="20"/>
        </w:rPr>
        <w:t>і</w:t>
      </w:r>
      <w:r w:rsidRPr="000977F7">
        <w:rPr>
          <w:rFonts w:asciiTheme="majorHAnsi" w:hAnsiTheme="majorHAnsi"/>
          <w:spacing w:val="9"/>
          <w:sz w:val="20"/>
          <w:szCs w:val="20"/>
        </w:rPr>
        <w:t xml:space="preserve"> </w:t>
      </w:r>
      <w:r w:rsidRPr="000977F7">
        <w:rPr>
          <w:rFonts w:asciiTheme="majorHAnsi" w:hAnsiTheme="majorHAnsi"/>
          <w:sz w:val="20"/>
          <w:szCs w:val="20"/>
        </w:rPr>
        <w:t>містити</w:t>
      </w:r>
      <w:r w:rsidRPr="000977F7">
        <w:rPr>
          <w:rFonts w:asciiTheme="majorHAnsi" w:hAnsiTheme="majorHAnsi"/>
          <w:spacing w:val="6"/>
          <w:sz w:val="20"/>
          <w:szCs w:val="20"/>
        </w:rPr>
        <w:t xml:space="preserve"> </w:t>
      </w:r>
      <w:r w:rsidRPr="000977F7">
        <w:rPr>
          <w:rFonts w:asciiTheme="majorHAnsi" w:hAnsiTheme="majorHAnsi"/>
          <w:sz w:val="20"/>
          <w:szCs w:val="20"/>
        </w:rPr>
        <w:t>ряд</w:t>
      </w:r>
      <w:r w:rsidRPr="000977F7">
        <w:rPr>
          <w:rFonts w:asciiTheme="majorHAnsi" w:hAnsiTheme="majorHAnsi"/>
          <w:spacing w:val="-47"/>
          <w:sz w:val="20"/>
          <w:szCs w:val="20"/>
        </w:rPr>
        <w:t xml:space="preserve"> </w:t>
      </w:r>
      <w:r w:rsidRPr="000977F7">
        <w:rPr>
          <w:rFonts w:asciiTheme="majorHAnsi" w:hAnsiTheme="majorHAnsi"/>
          <w:sz w:val="20"/>
          <w:szCs w:val="20"/>
        </w:rPr>
        <w:t>видів</w:t>
      </w:r>
      <w:r w:rsidRPr="000977F7">
        <w:rPr>
          <w:rFonts w:asciiTheme="majorHAnsi" w:hAnsiTheme="majorHAnsi"/>
          <w:spacing w:val="16"/>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16"/>
          <w:sz w:val="20"/>
          <w:szCs w:val="20"/>
        </w:rPr>
        <w:t xml:space="preserve"> </w:t>
      </w:r>
      <w:r w:rsidRPr="000977F7">
        <w:rPr>
          <w:rFonts w:asciiTheme="majorHAnsi" w:hAnsiTheme="majorHAnsi"/>
          <w:sz w:val="20"/>
          <w:szCs w:val="20"/>
        </w:rPr>
        <w:t>таких</w:t>
      </w:r>
      <w:r w:rsidRPr="000977F7">
        <w:rPr>
          <w:rFonts w:asciiTheme="majorHAnsi" w:hAnsiTheme="majorHAnsi"/>
          <w:spacing w:val="17"/>
          <w:sz w:val="20"/>
          <w:szCs w:val="20"/>
        </w:rPr>
        <w:t xml:space="preserve"> </w:t>
      </w:r>
      <w:r w:rsidRPr="000977F7">
        <w:rPr>
          <w:rFonts w:asciiTheme="majorHAnsi" w:hAnsiTheme="majorHAnsi"/>
          <w:sz w:val="20"/>
          <w:szCs w:val="20"/>
        </w:rPr>
        <w:t>як</w:t>
      </w:r>
      <w:r w:rsidRPr="000977F7">
        <w:rPr>
          <w:rFonts w:asciiTheme="majorHAnsi" w:hAnsiTheme="majorHAnsi"/>
          <w:spacing w:val="15"/>
          <w:sz w:val="20"/>
          <w:szCs w:val="20"/>
        </w:rPr>
        <w:t xml:space="preserve"> </w:t>
      </w:r>
      <w:r w:rsidRPr="000977F7">
        <w:rPr>
          <w:rFonts w:asciiTheme="majorHAnsi" w:hAnsiTheme="majorHAnsi"/>
          <w:sz w:val="20"/>
          <w:szCs w:val="20"/>
        </w:rPr>
        <w:t>аудити</w:t>
      </w:r>
      <w:r w:rsidRPr="000977F7">
        <w:rPr>
          <w:rFonts w:asciiTheme="majorHAnsi" w:hAnsiTheme="majorHAnsi"/>
          <w:spacing w:val="14"/>
          <w:sz w:val="20"/>
          <w:szCs w:val="20"/>
        </w:rPr>
        <w:t xml:space="preserve"> </w:t>
      </w:r>
      <w:r w:rsidRPr="000977F7">
        <w:rPr>
          <w:rFonts w:asciiTheme="majorHAnsi" w:hAnsiTheme="majorHAnsi"/>
          <w:sz w:val="20"/>
          <w:szCs w:val="20"/>
        </w:rPr>
        <w:t>системи</w:t>
      </w:r>
      <w:r w:rsidRPr="000977F7">
        <w:rPr>
          <w:rFonts w:asciiTheme="majorHAnsi" w:hAnsiTheme="majorHAnsi"/>
          <w:spacing w:val="17"/>
          <w:sz w:val="20"/>
          <w:szCs w:val="20"/>
        </w:rPr>
        <w:t xml:space="preserve"> </w:t>
      </w:r>
      <w:r w:rsidRPr="000977F7">
        <w:rPr>
          <w:rFonts w:asciiTheme="majorHAnsi" w:hAnsiTheme="majorHAnsi"/>
          <w:sz w:val="20"/>
          <w:szCs w:val="20"/>
        </w:rPr>
        <w:t>менеджменту якості та аналізи системи менеджменту якості</w:t>
      </w:r>
    </w:p>
    <w:p w14:paraId="335E18F7"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ОЦІНЮВАННЯ</w:t>
      </w:r>
      <w:r w:rsidRPr="000977F7">
        <w:rPr>
          <w:rFonts w:asciiTheme="majorHAnsi" w:hAnsiTheme="majorHAnsi"/>
          <w:b/>
          <w:spacing w:val="-1"/>
          <w:sz w:val="20"/>
          <w:szCs w:val="20"/>
        </w:rPr>
        <w:t xml:space="preserve"> </w:t>
      </w:r>
      <w:r w:rsidRPr="000977F7">
        <w:rPr>
          <w:rFonts w:asciiTheme="majorHAnsi" w:hAnsiTheme="majorHAnsi"/>
          <w:b/>
          <w:sz w:val="20"/>
          <w:szCs w:val="20"/>
        </w:rPr>
        <w:t>ТЕХНІЧНОГО РІВНЯ</w:t>
      </w:r>
    </w:p>
    <w:p w14:paraId="3BF0839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ПРОДУКЦІЇ</w:t>
      </w:r>
      <w:r w:rsidRPr="000977F7">
        <w:rPr>
          <w:color w:val="auto"/>
          <w:spacing w:val="-3"/>
          <w:sz w:val="20"/>
          <w:szCs w:val="20"/>
        </w:rPr>
        <w:t xml:space="preserve"> </w:t>
      </w:r>
      <w:r w:rsidRPr="000977F7">
        <w:rPr>
          <w:color w:val="auto"/>
          <w:sz w:val="20"/>
          <w:szCs w:val="20"/>
        </w:rPr>
        <w:t>–</w:t>
      </w:r>
    </w:p>
    <w:p w14:paraId="14F4F2C1"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Сукупність</w:t>
      </w:r>
      <w:r w:rsidRPr="000977F7">
        <w:rPr>
          <w:rFonts w:asciiTheme="majorHAnsi" w:hAnsiTheme="majorHAnsi"/>
          <w:spacing w:val="4"/>
          <w:sz w:val="20"/>
          <w:szCs w:val="20"/>
        </w:rPr>
        <w:t xml:space="preserve"> </w:t>
      </w:r>
      <w:r w:rsidRPr="000977F7">
        <w:rPr>
          <w:rFonts w:asciiTheme="majorHAnsi" w:hAnsiTheme="majorHAnsi"/>
          <w:sz w:val="20"/>
          <w:szCs w:val="20"/>
        </w:rPr>
        <w:t>операцій,</w:t>
      </w:r>
      <w:r w:rsidRPr="000977F7">
        <w:rPr>
          <w:rFonts w:asciiTheme="majorHAnsi" w:hAnsiTheme="majorHAnsi"/>
          <w:spacing w:val="4"/>
          <w:sz w:val="20"/>
          <w:szCs w:val="20"/>
        </w:rPr>
        <w:t xml:space="preserve"> </w:t>
      </w:r>
      <w:r w:rsidRPr="000977F7">
        <w:rPr>
          <w:rFonts w:asciiTheme="majorHAnsi" w:hAnsiTheme="majorHAnsi"/>
          <w:sz w:val="20"/>
          <w:szCs w:val="20"/>
        </w:rPr>
        <w:t>до</w:t>
      </w:r>
      <w:r w:rsidRPr="000977F7">
        <w:rPr>
          <w:rFonts w:asciiTheme="majorHAnsi" w:hAnsiTheme="majorHAnsi"/>
          <w:spacing w:val="4"/>
          <w:sz w:val="20"/>
          <w:szCs w:val="20"/>
        </w:rPr>
        <w:t xml:space="preserve"> </w:t>
      </w:r>
      <w:r w:rsidRPr="000977F7">
        <w:rPr>
          <w:rFonts w:asciiTheme="majorHAnsi" w:hAnsiTheme="majorHAnsi"/>
          <w:sz w:val="20"/>
          <w:szCs w:val="20"/>
        </w:rPr>
        <w:t>якої</w:t>
      </w:r>
      <w:r w:rsidRPr="000977F7">
        <w:rPr>
          <w:rFonts w:asciiTheme="majorHAnsi" w:hAnsiTheme="majorHAnsi"/>
          <w:spacing w:val="4"/>
          <w:sz w:val="20"/>
          <w:szCs w:val="20"/>
        </w:rPr>
        <w:t xml:space="preserve"> </w:t>
      </w:r>
      <w:r w:rsidRPr="000977F7">
        <w:rPr>
          <w:rFonts w:asciiTheme="majorHAnsi" w:hAnsiTheme="majorHAnsi"/>
          <w:sz w:val="20"/>
          <w:szCs w:val="20"/>
        </w:rPr>
        <w:t>входить</w:t>
      </w:r>
      <w:r w:rsidRPr="000977F7">
        <w:rPr>
          <w:rFonts w:asciiTheme="majorHAnsi" w:hAnsiTheme="majorHAnsi"/>
          <w:spacing w:val="4"/>
          <w:sz w:val="20"/>
          <w:szCs w:val="20"/>
        </w:rPr>
        <w:t xml:space="preserve"> </w:t>
      </w:r>
      <w:r w:rsidRPr="000977F7">
        <w:rPr>
          <w:rFonts w:asciiTheme="majorHAnsi" w:hAnsiTheme="majorHAnsi"/>
          <w:sz w:val="20"/>
          <w:szCs w:val="20"/>
        </w:rPr>
        <w:t>вибір</w:t>
      </w:r>
      <w:r w:rsidRPr="000977F7">
        <w:rPr>
          <w:rFonts w:asciiTheme="majorHAnsi" w:hAnsiTheme="majorHAnsi"/>
          <w:spacing w:val="5"/>
          <w:sz w:val="20"/>
          <w:szCs w:val="20"/>
        </w:rPr>
        <w:t xml:space="preserve"> </w:t>
      </w:r>
      <w:r w:rsidRPr="000977F7">
        <w:rPr>
          <w:rFonts w:asciiTheme="majorHAnsi" w:hAnsiTheme="majorHAnsi"/>
          <w:sz w:val="20"/>
          <w:szCs w:val="20"/>
        </w:rPr>
        <w:t>номенклатури</w:t>
      </w:r>
      <w:r w:rsidRPr="000977F7">
        <w:rPr>
          <w:rFonts w:asciiTheme="majorHAnsi" w:hAnsiTheme="majorHAnsi"/>
          <w:spacing w:val="26"/>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26"/>
          <w:sz w:val="20"/>
          <w:szCs w:val="20"/>
        </w:rPr>
        <w:t xml:space="preserve"> </w:t>
      </w:r>
      <w:r w:rsidRPr="000977F7">
        <w:rPr>
          <w:rFonts w:asciiTheme="majorHAnsi" w:hAnsiTheme="majorHAnsi"/>
          <w:sz w:val="20"/>
          <w:szCs w:val="20"/>
        </w:rPr>
        <w:t>які</w:t>
      </w:r>
      <w:r w:rsidRPr="000977F7">
        <w:rPr>
          <w:rFonts w:asciiTheme="majorHAnsi" w:hAnsiTheme="majorHAnsi"/>
          <w:spacing w:val="28"/>
          <w:sz w:val="20"/>
          <w:szCs w:val="20"/>
        </w:rPr>
        <w:t xml:space="preserve"> </w:t>
      </w:r>
      <w:r w:rsidRPr="000977F7">
        <w:rPr>
          <w:rFonts w:asciiTheme="majorHAnsi" w:hAnsiTheme="majorHAnsi"/>
          <w:sz w:val="20"/>
          <w:szCs w:val="20"/>
        </w:rPr>
        <w:t>характеризують</w:t>
      </w:r>
      <w:r w:rsidRPr="000977F7">
        <w:rPr>
          <w:rFonts w:asciiTheme="majorHAnsi" w:hAnsiTheme="majorHAnsi"/>
          <w:spacing w:val="26"/>
          <w:sz w:val="20"/>
          <w:szCs w:val="20"/>
        </w:rPr>
        <w:t xml:space="preserve"> </w:t>
      </w:r>
      <w:r w:rsidRPr="000977F7">
        <w:rPr>
          <w:rFonts w:asciiTheme="majorHAnsi" w:hAnsiTheme="majorHAnsi"/>
          <w:sz w:val="20"/>
          <w:szCs w:val="20"/>
        </w:rPr>
        <w:t>технічну</w:t>
      </w:r>
      <w:r w:rsidRPr="000977F7">
        <w:rPr>
          <w:rFonts w:asciiTheme="majorHAnsi" w:hAnsiTheme="majorHAnsi"/>
          <w:spacing w:val="22"/>
          <w:sz w:val="20"/>
          <w:szCs w:val="20"/>
        </w:rPr>
        <w:t xml:space="preserve"> </w:t>
      </w:r>
      <w:r w:rsidRPr="000977F7">
        <w:rPr>
          <w:rFonts w:asciiTheme="majorHAnsi" w:hAnsiTheme="majorHAnsi"/>
          <w:sz w:val="20"/>
          <w:szCs w:val="20"/>
        </w:rPr>
        <w:t>досконалість</w:t>
      </w:r>
      <w:r w:rsidRPr="000977F7">
        <w:rPr>
          <w:rFonts w:asciiTheme="majorHAnsi" w:hAnsiTheme="majorHAnsi"/>
          <w:spacing w:val="1"/>
          <w:sz w:val="20"/>
          <w:szCs w:val="20"/>
        </w:rPr>
        <w:t xml:space="preserve"> </w:t>
      </w:r>
      <w:r w:rsidRPr="000977F7">
        <w:rPr>
          <w:rFonts w:asciiTheme="majorHAnsi" w:hAnsiTheme="majorHAnsi"/>
          <w:sz w:val="20"/>
          <w:szCs w:val="20"/>
        </w:rPr>
        <w:t>оцінюваної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значень</w:t>
      </w:r>
      <w:r w:rsidRPr="000977F7">
        <w:rPr>
          <w:rFonts w:asciiTheme="majorHAnsi" w:hAnsiTheme="majorHAnsi"/>
          <w:spacing w:val="1"/>
          <w:sz w:val="20"/>
          <w:szCs w:val="20"/>
        </w:rPr>
        <w:t xml:space="preserve"> </w:t>
      </w:r>
      <w:r w:rsidRPr="000977F7">
        <w:rPr>
          <w:rFonts w:asciiTheme="majorHAnsi" w:hAnsiTheme="majorHAnsi"/>
          <w:sz w:val="20"/>
          <w:szCs w:val="20"/>
        </w:rPr>
        <w:t>цих</w:t>
      </w:r>
      <w:r w:rsidRPr="000977F7">
        <w:rPr>
          <w:rFonts w:asciiTheme="majorHAnsi" w:hAnsiTheme="majorHAnsi"/>
          <w:spacing w:val="-47"/>
          <w:sz w:val="20"/>
          <w:szCs w:val="20"/>
        </w:rPr>
        <w:t xml:space="preserve">    </w:t>
      </w:r>
      <w:r w:rsidRPr="000977F7">
        <w:rPr>
          <w:rFonts w:asciiTheme="majorHAnsi" w:hAnsiTheme="majorHAnsi"/>
          <w:sz w:val="20"/>
          <w:szCs w:val="20"/>
        </w:rPr>
        <w:t>показників і порівняння їх з базовими</w:t>
      </w:r>
    </w:p>
    <w:p w14:paraId="141180C0"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ОЦІНЮВАННЯ</w:t>
      </w:r>
      <w:r w:rsidRPr="000977F7">
        <w:rPr>
          <w:rFonts w:asciiTheme="majorHAnsi" w:hAnsiTheme="majorHAnsi"/>
          <w:b/>
          <w:spacing w:val="-1"/>
          <w:sz w:val="20"/>
          <w:szCs w:val="20"/>
        </w:rPr>
        <w:t xml:space="preserve"> </w:t>
      </w:r>
      <w:r w:rsidRPr="000977F7">
        <w:rPr>
          <w:rFonts w:asciiTheme="majorHAnsi" w:hAnsiTheme="majorHAnsi"/>
          <w:b/>
          <w:sz w:val="20"/>
          <w:szCs w:val="20"/>
        </w:rPr>
        <w:t>ФУНКЦІЇ</w:t>
      </w:r>
      <w:r w:rsidRPr="000977F7">
        <w:rPr>
          <w:rFonts w:asciiTheme="majorHAnsi" w:hAnsiTheme="majorHAnsi"/>
          <w:b/>
          <w:spacing w:val="-2"/>
          <w:sz w:val="20"/>
          <w:szCs w:val="20"/>
        </w:rPr>
        <w:t xml:space="preserve"> </w:t>
      </w:r>
      <w:r w:rsidRPr="000977F7">
        <w:rPr>
          <w:rFonts w:asciiTheme="majorHAnsi" w:hAnsiTheme="majorHAnsi"/>
          <w:b/>
          <w:sz w:val="20"/>
          <w:szCs w:val="20"/>
        </w:rPr>
        <w:t>ВІДГУКУ -</w:t>
      </w:r>
    </w:p>
    <w:p w14:paraId="7E8506C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Залежність, яка отримана після підстановки в</w:t>
      </w:r>
      <w:r w:rsidRPr="000977F7">
        <w:rPr>
          <w:rFonts w:asciiTheme="majorHAnsi" w:hAnsiTheme="majorHAnsi"/>
          <w:spacing w:val="1"/>
          <w:sz w:val="20"/>
          <w:szCs w:val="20"/>
        </w:rPr>
        <w:t xml:space="preserve"> </w:t>
      </w:r>
      <w:r w:rsidRPr="000977F7">
        <w:rPr>
          <w:rFonts w:asciiTheme="majorHAnsi" w:hAnsiTheme="majorHAnsi"/>
          <w:sz w:val="20"/>
          <w:szCs w:val="20"/>
        </w:rPr>
        <w:t>функцію відгуку оцінок і значень її параметрів</w:t>
      </w:r>
      <w:r w:rsidRPr="000977F7">
        <w:rPr>
          <w:rFonts w:asciiTheme="majorHAnsi" w:hAnsiTheme="majorHAnsi"/>
          <w:spacing w:val="-48"/>
          <w:sz w:val="20"/>
          <w:szCs w:val="20"/>
        </w:rPr>
        <w:t xml:space="preserve"> </w:t>
      </w:r>
    </w:p>
    <w:p w14:paraId="50624055" w14:textId="77777777" w:rsidR="0097612F" w:rsidRPr="000977F7" w:rsidRDefault="0097612F" w:rsidP="000977F7">
      <w:pPr>
        <w:pStyle w:val="7"/>
        <w:tabs>
          <w:tab w:val="left" w:pos="284"/>
        </w:tabs>
        <w:spacing w:before="0" w:line="240" w:lineRule="auto"/>
        <w:ind w:left="170"/>
        <w:mirrorIndents/>
        <w:jc w:val="both"/>
        <w:rPr>
          <w:color w:val="auto"/>
          <w:spacing w:val="33"/>
          <w:sz w:val="20"/>
          <w:szCs w:val="20"/>
        </w:rPr>
      </w:pPr>
      <w:r w:rsidRPr="000977F7">
        <w:rPr>
          <w:color w:val="auto"/>
          <w:sz w:val="20"/>
          <w:szCs w:val="20"/>
        </w:rPr>
        <w:t>ОЦІНЮВАННЯ</w:t>
      </w:r>
      <w:r w:rsidRPr="000977F7">
        <w:rPr>
          <w:color w:val="auto"/>
          <w:spacing w:val="33"/>
          <w:sz w:val="20"/>
          <w:szCs w:val="20"/>
        </w:rPr>
        <w:t xml:space="preserve"> </w:t>
      </w:r>
      <w:r w:rsidRPr="000977F7">
        <w:rPr>
          <w:color w:val="auto"/>
          <w:sz w:val="20"/>
          <w:szCs w:val="20"/>
        </w:rPr>
        <w:t>ХОДУ</w:t>
      </w:r>
      <w:r w:rsidRPr="000977F7">
        <w:rPr>
          <w:color w:val="auto"/>
          <w:spacing w:val="35"/>
          <w:sz w:val="20"/>
          <w:szCs w:val="20"/>
        </w:rPr>
        <w:t xml:space="preserve"> </w:t>
      </w:r>
      <w:r w:rsidRPr="000977F7">
        <w:rPr>
          <w:color w:val="auto"/>
          <w:sz w:val="20"/>
          <w:szCs w:val="20"/>
        </w:rPr>
        <w:t>ВИКОНАННЯ</w:t>
      </w:r>
      <w:r w:rsidRPr="000977F7">
        <w:rPr>
          <w:color w:val="auto"/>
          <w:spacing w:val="33"/>
          <w:sz w:val="20"/>
          <w:szCs w:val="20"/>
        </w:rPr>
        <w:t xml:space="preserve"> </w:t>
      </w:r>
    </w:p>
    <w:p w14:paraId="644AEBB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(КЕРУ</w:t>
      </w:r>
      <w:r w:rsidRPr="000977F7">
        <w:rPr>
          <w:color w:val="auto"/>
          <w:spacing w:val="-47"/>
          <w:sz w:val="20"/>
          <w:szCs w:val="20"/>
        </w:rPr>
        <w:t xml:space="preserve"> </w:t>
      </w:r>
      <w:r w:rsidRPr="000977F7">
        <w:rPr>
          <w:color w:val="auto"/>
          <w:sz w:val="20"/>
          <w:szCs w:val="20"/>
        </w:rPr>
        <w:t>ВАННЯ</w:t>
      </w:r>
      <w:r w:rsidRPr="000977F7">
        <w:rPr>
          <w:color w:val="auto"/>
          <w:spacing w:val="-1"/>
          <w:sz w:val="20"/>
          <w:szCs w:val="20"/>
        </w:rPr>
        <w:t xml:space="preserve"> </w:t>
      </w:r>
      <w:r w:rsidRPr="000977F7">
        <w:rPr>
          <w:color w:val="auto"/>
          <w:sz w:val="20"/>
          <w:szCs w:val="20"/>
        </w:rPr>
        <w:t>ПРОЕКТОМ) –</w:t>
      </w:r>
    </w:p>
    <w:p w14:paraId="2940FE4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 xml:space="preserve">PROGRESS EVALUATION PROJECT </w:t>
      </w:r>
    </w:p>
    <w:p w14:paraId="3D68CCB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MANA</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GEMENT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7882E5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Визначання</w:t>
      </w:r>
      <w:r w:rsidRPr="000977F7">
        <w:rPr>
          <w:rFonts w:asciiTheme="majorHAnsi" w:hAnsiTheme="majorHAnsi"/>
          <w:spacing w:val="1"/>
          <w:sz w:val="20"/>
          <w:szCs w:val="20"/>
        </w:rPr>
        <w:t xml:space="preserve"> </w:t>
      </w:r>
      <w:r w:rsidRPr="000977F7">
        <w:rPr>
          <w:rFonts w:asciiTheme="majorHAnsi" w:hAnsiTheme="majorHAnsi"/>
          <w:sz w:val="20"/>
          <w:szCs w:val="20"/>
        </w:rPr>
        <w:t>ходу</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погляду</w:t>
      </w:r>
      <w:r w:rsidRPr="000977F7">
        <w:rPr>
          <w:rFonts w:asciiTheme="majorHAnsi" w:hAnsiTheme="majorHAnsi"/>
          <w:spacing w:val="1"/>
          <w:sz w:val="20"/>
          <w:szCs w:val="20"/>
        </w:rPr>
        <w:t xml:space="preserve"> </w:t>
      </w:r>
      <w:r w:rsidRPr="000977F7">
        <w:rPr>
          <w:rFonts w:asciiTheme="majorHAnsi" w:hAnsiTheme="majorHAnsi"/>
          <w:sz w:val="20"/>
          <w:szCs w:val="20"/>
        </w:rPr>
        <w:t>досягнення</w:t>
      </w:r>
      <w:r w:rsidRPr="000977F7">
        <w:rPr>
          <w:rFonts w:asciiTheme="majorHAnsi" w:hAnsiTheme="majorHAnsi"/>
          <w:spacing w:val="1"/>
          <w:sz w:val="20"/>
          <w:szCs w:val="20"/>
        </w:rPr>
        <w:t xml:space="preserve"> </w:t>
      </w:r>
      <w:r w:rsidRPr="000977F7">
        <w:rPr>
          <w:rFonts w:asciiTheme="majorHAnsi" w:hAnsiTheme="majorHAnsi"/>
          <w:sz w:val="20"/>
          <w:szCs w:val="20"/>
        </w:rPr>
        <w:t>цілей</w:t>
      </w:r>
      <w:r w:rsidRPr="000977F7">
        <w:rPr>
          <w:rFonts w:asciiTheme="majorHAnsi" w:hAnsiTheme="majorHAnsi"/>
          <w:spacing w:val="-2"/>
          <w:sz w:val="20"/>
          <w:szCs w:val="20"/>
        </w:rPr>
        <w:t xml:space="preserve"> </w:t>
      </w:r>
      <w:r w:rsidRPr="000977F7">
        <w:rPr>
          <w:rFonts w:asciiTheme="majorHAnsi" w:hAnsiTheme="majorHAnsi"/>
          <w:sz w:val="20"/>
          <w:szCs w:val="20"/>
        </w:rPr>
        <w:t>проекту.</w:t>
      </w:r>
    </w:p>
    <w:p w14:paraId="50BD323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Це оцінювання треба провадити в належних точках життєвого циклу проекту протягом процесів проекту, базуючись на критеріях щодо процесів</w:t>
      </w:r>
      <w:r w:rsidRPr="000977F7">
        <w:rPr>
          <w:rFonts w:asciiTheme="majorHAnsi" w:hAnsiTheme="majorHAnsi"/>
          <w:spacing w:val="1"/>
          <w:sz w:val="20"/>
          <w:szCs w:val="20"/>
        </w:rPr>
        <w:t xml:space="preserve"> </w:t>
      </w:r>
      <w:r w:rsidRPr="000977F7">
        <w:rPr>
          <w:rFonts w:asciiTheme="majorHAnsi" w:hAnsiTheme="majorHAnsi"/>
          <w:sz w:val="20"/>
          <w:szCs w:val="20"/>
        </w:rPr>
        <w:t>проекту</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послуги</w:t>
      </w:r>
      <w:r w:rsidRPr="000977F7">
        <w:rPr>
          <w:rFonts w:asciiTheme="majorHAnsi" w:hAnsiTheme="majorHAnsi"/>
          <w:spacing w:val="47"/>
          <w:sz w:val="20"/>
          <w:szCs w:val="20"/>
        </w:rPr>
        <w:t xml:space="preserve"> </w:t>
      </w:r>
      <w:r w:rsidRPr="000977F7">
        <w:rPr>
          <w:rFonts w:asciiTheme="majorHAnsi" w:hAnsiTheme="majorHAnsi"/>
          <w:sz w:val="20"/>
          <w:szCs w:val="20"/>
        </w:rPr>
        <w:t>проекту.</w:t>
      </w:r>
    </w:p>
    <w:p w14:paraId="11E48B56" w14:textId="349A6298" w:rsidR="0097612F" w:rsidRPr="00297070" w:rsidRDefault="0097612F" w:rsidP="00C10197">
      <w:pPr>
        <w:pStyle w:val="af6"/>
        <w:tabs>
          <w:tab w:val="left" w:pos="284"/>
        </w:tabs>
        <w:spacing w:after="0"/>
        <w:ind w:left="170"/>
        <w:mirrorIndents/>
        <w:jc w:val="both"/>
        <w:rPr>
          <w:rFonts w:asciiTheme="majorHAnsi" w:hAnsiTheme="majorHAnsi"/>
          <w:spacing w:val="1"/>
          <w:sz w:val="20"/>
          <w:szCs w:val="20"/>
          <w:lang w:val="uk-UA"/>
        </w:rPr>
      </w:pPr>
      <w:r w:rsidRPr="000977F7">
        <w:rPr>
          <w:rFonts w:asciiTheme="majorHAnsi" w:hAnsiTheme="majorHAnsi"/>
          <w:sz w:val="20"/>
          <w:szCs w:val="20"/>
        </w:rPr>
        <w:t>Примітка 2. Результати оцінювання ходу 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можуть зумовити переглядання плану керування проектом.</w:t>
      </w:r>
      <w:r w:rsidR="00C10197">
        <w:rPr>
          <w:rFonts w:asciiTheme="majorHAnsi" w:hAnsiTheme="majorHAnsi"/>
          <w:sz w:val="20"/>
          <w:szCs w:val="20"/>
          <w:lang w:val="uk-UA"/>
        </w:rPr>
        <w:t xml:space="preserve"> </w:t>
      </w:r>
      <w:r w:rsidRPr="00297070">
        <w:rPr>
          <w:rFonts w:asciiTheme="majorHAnsi" w:hAnsiTheme="majorHAnsi"/>
          <w:i/>
          <w:iCs/>
          <w:sz w:val="20"/>
          <w:szCs w:val="20"/>
          <w:lang w:val="uk-UA"/>
        </w:rPr>
        <w:t xml:space="preserve">ДСТУ </w:t>
      </w:r>
      <w:r w:rsidRPr="004D2D14">
        <w:rPr>
          <w:rFonts w:asciiTheme="majorHAnsi" w:hAnsiTheme="majorHAnsi"/>
          <w:i/>
          <w:iCs/>
          <w:sz w:val="20"/>
          <w:szCs w:val="20"/>
          <w:lang w:val="en-US"/>
        </w:rPr>
        <w:t>ISO</w:t>
      </w:r>
      <w:r w:rsidRPr="00297070">
        <w:rPr>
          <w:rFonts w:asciiTheme="majorHAnsi" w:hAnsiTheme="majorHAnsi"/>
          <w:i/>
          <w:iCs/>
          <w:sz w:val="20"/>
          <w:szCs w:val="20"/>
          <w:lang w:val="uk-UA"/>
        </w:rPr>
        <w:t xml:space="preserve"> 9000:2015</w:t>
      </w:r>
    </w:p>
    <w:p w14:paraId="07C21EDD" w14:textId="77777777" w:rsidR="0097612F" w:rsidRPr="00297070" w:rsidRDefault="0097612F" w:rsidP="000977F7">
      <w:pPr>
        <w:tabs>
          <w:tab w:val="left" w:pos="284"/>
        </w:tabs>
        <w:spacing w:after="0" w:line="240" w:lineRule="auto"/>
        <w:ind w:left="170"/>
        <w:mirrorIndents/>
        <w:jc w:val="both"/>
        <w:rPr>
          <w:rFonts w:asciiTheme="majorHAnsi" w:hAnsiTheme="majorHAnsi"/>
          <w:b/>
          <w:spacing w:val="-47"/>
          <w:sz w:val="20"/>
          <w:szCs w:val="20"/>
          <w:lang w:val="uk-UA"/>
        </w:rPr>
      </w:pPr>
      <w:r w:rsidRPr="00297070">
        <w:rPr>
          <w:rFonts w:asciiTheme="majorHAnsi" w:hAnsiTheme="majorHAnsi"/>
          <w:b/>
          <w:sz w:val="20"/>
          <w:szCs w:val="20"/>
          <w:lang w:val="uk-UA"/>
        </w:rPr>
        <w:t>ОЦІНЮВАННЯ ЯКОСТІ –</w:t>
      </w:r>
      <w:r w:rsidRPr="00297070">
        <w:rPr>
          <w:rFonts w:asciiTheme="majorHAnsi" w:hAnsiTheme="majorHAnsi"/>
          <w:b/>
          <w:spacing w:val="-47"/>
          <w:sz w:val="20"/>
          <w:szCs w:val="20"/>
          <w:lang w:val="uk-UA"/>
        </w:rPr>
        <w:t xml:space="preserve"> </w:t>
      </w:r>
    </w:p>
    <w:p w14:paraId="3D26B5BD" w14:textId="77777777" w:rsidR="0097612F" w:rsidRPr="00297070" w:rsidRDefault="0097612F" w:rsidP="000977F7">
      <w:pPr>
        <w:tabs>
          <w:tab w:val="left" w:pos="284"/>
        </w:tabs>
        <w:spacing w:after="0" w:line="240" w:lineRule="auto"/>
        <w:ind w:left="170"/>
        <w:mirrorIndents/>
        <w:jc w:val="both"/>
        <w:rPr>
          <w:rFonts w:asciiTheme="majorHAnsi" w:hAnsiTheme="majorHAnsi"/>
          <w:sz w:val="20"/>
          <w:szCs w:val="20"/>
          <w:lang w:val="uk-UA"/>
        </w:rPr>
      </w:pPr>
      <w:r w:rsidRPr="004D2D14">
        <w:rPr>
          <w:rFonts w:asciiTheme="majorHAnsi" w:hAnsiTheme="majorHAnsi"/>
          <w:sz w:val="20"/>
          <w:szCs w:val="20"/>
          <w:lang w:val="en-US"/>
        </w:rPr>
        <w:t>QUALITY</w:t>
      </w:r>
      <w:r w:rsidRPr="00297070">
        <w:rPr>
          <w:rFonts w:asciiTheme="majorHAnsi" w:hAnsiTheme="majorHAnsi"/>
          <w:spacing w:val="-2"/>
          <w:sz w:val="20"/>
          <w:szCs w:val="20"/>
          <w:lang w:val="uk-UA"/>
        </w:rPr>
        <w:t xml:space="preserve"> </w:t>
      </w:r>
      <w:r w:rsidRPr="004D2D14">
        <w:rPr>
          <w:rFonts w:asciiTheme="majorHAnsi" w:hAnsiTheme="majorHAnsi"/>
          <w:sz w:val="20"/>
          <w:szCs w:val="20"/>
          <w:lang w:val="en-US"/>
        </w:rPr>
        <w:t>EVALUATION</w:t>
      </w:r>
      <w:r w:rsidRPr="00297070">
        <w:rPr>
          <w:rFonts w:asciiTheme="majorHAnsi" w:hAnsiTheme="majorHAnsi"/>
          <w:spacing w:val="1"/>
          <w:sz w:val="20"/>
          <w:szCs w:val="20"/>
          <w:lang w:val="uk-UA"/>
        </w:rPr>
        <w:t xml:space="preserve"> </w:t>
      </w:r>
      <w:r w:rsidRPr="00297070">
        <w:rPr>
          <w:rFonts w:asciiTheme="majorHAnsi" w:hAnsiTheme="majorHAnsi"/>
          <w:sz w:val="20"/>
          <w:szCs w:val="20"/>
          <w:lang w:val="uk-UA"/>
        </w:rPr>
        <w:t>–</w:t>
      </w:r>
    </w:p>
    <w:p w14:paraId="1116E902" w14:textId="77777777" w:rsidR="0097612F" w:rsidRPr="00297070" w:rsidRDefault="0097612F" w:rsidP="000977F7">
      <w:pPr>
        <w:pStyle w:val="af6"/>
        <w:tabs>
          <w:tab w:val="left" w:pos="284"/>
        </w:tabs>
        <w:spacing w:after="0"/>
        <w:ind w:left="170"/>
        <w:mirrorIndents/>
        <w:jc w:val="both"/>
        <w:rPr>
          <w:rFonts w:asciiTheme="majorHAnsi" w:hAnsiTheme="majorHAnsi"/>
          <w:b/>
          <w:sz w:val="20"/>
          <w:szCs w:val="20"/>
          <w:lang w:val="uk-UA"/>
        </w:rPr>
      </w:pPr>
      <w:r w:rsidRPr="00297070">
        <w:rPr>
          <w:rFonts w:asciiTheme="majorHAnsi" w:hAnsiTheme="majorHAnsi"/>
          <w:sz w:val="20"/>
          <w:szCs w:val="20"/>
          <w:lang w:val="uk-UA"/>
        </w:rPr>
        <w:t>Систематична</w:t>
      </w:r>
      <w:r w:rsidRPr="00297070">
        <w:rPr>
          <w:rFonts w:asciiTheme="majorHAnsi" w:hAnsiTheme="majorHAnsi"/>
          <w:spacing w:val="14"/>
          <w:sz w:val="20"/>
          <w:szCs w:val="20"/>
          <w:lang w:val="uk-UA"/>
        </w:rPr>
        <w:t xml:space="preserve"> </w:t>
      </w:r>
      <w:r w:rsidRPr="00297070">
        <w:rPr>
          <w:rFonts w:asciiTheme="majorHAnsi" w:hAnsiTheme="majorHAnsi"/>
          <w:sz w:val="20"/>
          <w:szCs w:val="20"/>
          <w:lang w:val="uk-UA"/>
        </w:rPr>
        <w:t>перевірка</w:t>
      </w:r>
      <w:r w:rsidRPr="00297070">
        <w:rPr>
          <w:rFonts w:asciiTheme="majorHAnsi" w:hAnsiTheme="majorHAnsi"/>
          <w:spacing w:val="12"/>
          <w:sz w:val="20"/>
          <w:szCs w:val="20"/>
          <w:lang w:val="uk-UA"/>
        </w:rPr>
        <w:t xml:space="preserve"> </w:t>
      </w:r>
      <w:r w:rsidRPr="00297070">
        <w:rPr>
          <w:rFonts w:asciiTheme="majorHAnsi" w:hAnsiTheme="majorHAnsi"/>
          <w:sz w:val="20"/>
          <w:szCs w:val="20"/>
          <w:lang w:val="uk-UA"/>
        </w:rPr>
        <w:t>того,</w:t>
      </w:r>
      <w:r w:rsidRPr="00297070">
        <w:rPr>
          <w:rFonts w:asciiTheme="majorHAnsi" w:hAnsiTheme="majorHAnsi"/>
          <w:spacing w:val="11"/>
          <w:sz w:val="20"/>
          <w:szCs w:val="20"/>
          <w:lang w:val="uk-UA"/>
        </w:rPr>
        <w:t xml:space="preserve"> </w:t>
      </w:r>
      <w:r w:rsidRPr="00297070">
        <w:rPr>
          <w:rFonts w:asciiTheme="majorHAnsi" w:hAnsiTheme="majorHAnsi"/>
          <w:sz w:val="20"/>
          <w:szCs w:val="20"/>
          <w:lang w:val="uk-UA"/>
        </w:rPr>
        <w:t>наскільки</w:t>
      </w:r>
      <w:r w:rsidRPr="00297070">
        <w:rPr>
          <w:rFonts w:asciiTheme="majorHAnsi" w:hAnsiTheme="majorHAnsi"/>
          <w:spacing w:val="11"/>
          <w:sz w:val="20"/>
          <w:szCs w:val="20"/>
          <w:lang w:val="uk-UA"/>
        </w:rPr>
        <w:t xml:space="preserve"> </w:t>
      </w:r>
      <w:r w:rsidRPr="00297070">
        <w:rPr>
          <w:rFonts w:asciiTheme="majorHAnsi" w:hAnsiTheme="majorHAnsi"/>
          <w:sz w:val="20"/>
          <w:szCs w:val="20"/>
          <w:lang w:val="uk-UA"/>
        </w:rPr>
        <w:t>об’єкт</w:t>
      </w:r>
      <w:r w:rsidRPr="00297070">
        <w:rPr>
          <w:rFonts w:asciiTheme="majorHAnsi" w:hAnsiTheme="majorHAnsi"/>
          <w:spacing w:val="10"/>
          <w:sz w:val="20"/>
          <w:szCs w:val="20"/>
          <w:lang w:val="uk-UA"/>
        </w:rPr>
        <w:t xml:space="preserve"> </w:t>
      </w:r>
      <w:r w:rsidRPr="00297070">
        <w:rPr>
          <w:rFonts w:asciiTheme="majorHAnsi" w:hAnsiTheme="majorHAnsi"/>
          <w:sz w:val="20"/>
          <w:szCs w:val="20"/>
          <w:lang w:val="uk-UA"/>
        </w:rPr>
        <w:t>є</w:t>
      </w:r>
      <w:r w:rsidRPr="00297070">
        <w:rPr>
          <w:rFonts w:asciiTheme="majorHAnsi" w:hAnsiTheme="majorHAnsi"/>
          <w:spacing w:val="14"/>
          <w:sz w:val="20"/>
          <w:szCs w:val="20"/>
          <w:lang w:val="uk-UA"/>
        </w:rPr>
        <w:t xml:space="preserve"> </w:t>
      </w:r>
      <w:r w:rsidRPr="00297070">
        <w:rPr>
          <w:rFonts w:asciiTheme="majorHAnsi" w:hAnsiTheme="majorHAnsi"/>
          <w:sz w:val="20"/>
          <w:szCs w:val="20"/>
          <w:lang w:val="uk-UA"/>
        </w:rPr>
        <w:t>придатним для задоволення встановлених вимог</w:t>
      </w:r>
      <w:r w:rsidRPr="00297070">
        <w:rPr>
          <w:rFonts w:asciiTheme="majorHAnsi" w:hAnsiTheme="majorHAnsi"/>
          <w:spacing w:val="1"/>
          <w:sz w:val="20"/>
          <w:szCs w:val="20"/>
          <w:lang w:val="uk-UA"/>
        </w:rPr>
        <w:t xml:space="preserve"> </w:t>
      </w:r>
      <w:r w:rsidRPr="00297070">
        <w:rPr>
          <w:rFonts w:asciiTheme="majorHAnsi" w:hAnsiTheme="majorHAnsi"/>
          <w:b/>
          <w:sz w:val="20"/>
          <w:szCs w:val="20"/>
          <w:lang w:val="uk-UA"/>
        </w:rPr>
        <w:t>ОЦІНЮВАННЯ</w:t>
      </w:r>
      <w:r w:rsidRPr="00297070">
        <w:rPr>
          <w:rFonts w:asciiTheme="majorHAnsi" w:hAnsiTheme="majorHAnsi"/>
          <w:b/>
          <w:spacing w:val="-1"/>
          <w:sz w:val="20"/>
          <w:szCs w:val="20"/>
          <w:lang w:val="uk-UA"/>
        </w:rPr>
        <w:t xml:space="preserve"> </w:t>
      </w:r>
      <w:r w:rsidRPr="00297070">
        <w:rPr>
          <w:rFonts w:asciiTheme="majorHAnsi" w:hAnsiTheme="majorHAnsi"/>
          <w:b/>
          <w:sz w:val="20"/>
          <w:szCs w:val="20"/>
          <w:lang w:val="uk-UA"/>
        </w:rPr>
        <w:t>ЯКОСТІ ПРОДУКЦІЇ</w:t>
      </w:r>
      <w:r w:rsidRPr="00297070">
        <w:rPr>
          <w:rFonts w:asciiTheme="majorHAnsi" w:hAnsiTheme="majorHAnsi"/>
          <w:b/>
          <w:spacing w:val="1"/>
          <w:sz w:val="20"/>
          <w:szCs w:val="20"/>
          <w:lang w:val="uk-UA"/>
        </w:rPr>
        <w:t xml:space="preserve"> </w:t>
      </w:r>
      <w:r w:rsidRPr="00297070">
        <w:rPr>
          <w:rFonts w:asciiTheme="majorHAnsi" w:hAnsiTheme="majorHAnsi"/>
          <w:b/>
          <w:sz w:val="20"/>
          <w:szCs w:val="20"/>
          <w:lang w:val="uk-UA"/>
        </w:rPr>
        <w:t>–</w:t>
      </w:r>
    </w:p>
    <w:p w14:paraId="36F5A0EF" w14:textId="77777777" w:rsidR="0097612F" w:rsidRPr="00297070"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ASSESSMENT</w:t>
      </w:r>
      <w:r w:rsidRPr="00297070">
        <w:rPr>
          <w:rFonts w:asciiTheme="majorHAnsi" w:hAnsiTheme="majorHAnsi"/>
          <w:spacing w:val="2"/>
          <w:sz w:val="20"/>
          <w:szCs w:val="20"/>
          <w:lang w:val="uk-UA"/>
        </w:rPr>
        <w:t xml:space="preserve"> </w:t>
      </w:r>
      <w:r w:rsidRPr="000977F7">
        <w:rPr>
          <w:rFonts w:asciiTheme="majorHAnsi" w:hAnsiTheme="majorHAnsi"/>
          <w:sz w:val="20"/>
          <w:szCs w:val="20"/>
        </w:rPr>
        <w:t>OF</w:t>
      </w:r>
      <w:r w:rsidRPr="00297070">
        <w:rPr>
          <w:rFonts w:asciiTheme="majorHAnsi" w:hAnsiTheme="majorHAnsi"/>
          <w:spacing w:val="-1"/>
          <w:sz w:val="20"/>
          <w:szCs w:val="20"/>
          <w:lang w:val="uk-UA"/>
        </w:rPr>
        <w:t xml:space="preserve"> </w:t>
      </w:r>
      <w:r w:rsidRPr="000977F7">
        <w:rPr>
          <w:rFonts w:asciiTheme="majorHAnsi" w:hAnsiTheme="majorHAnsi"/>
          <w:sz w:val="20"/>
          <w:szCs w:val="20"/>
        </w:rPr>
        <w:t>PRODUCT</w:t>
      </w:r>
      <w:r w:rsidRPr="00297070">
        <w:rPr>
          <w:rFonts w:asciiTheme="majorHAnsi" w:hAnsiTheme="majorHAnsi"/>
          <w:spacing w:val="2"/>
          <w:sz w:val="20"/>
          <w:szCs w:val="20"/>
          <w:lang w:val="uk-UA"/>
        </w:rPr>
        <w:t xml:space="preserve"> </w:t>
      </w:r>
      <w:r w:rsidRPr="000977F7">
        <w:rPr>
          <w:rFonts w:asciiTheme="majorHAnsi" w:hAnsiTheme="majorHAnsi"/>
          <w:sz w:val="20"/>
          <w:szCs w:val="20"/>
        </w:rPr>
        <w:t>QUALITY</w:t>
      </w:r>
      <w:r w:rsidRPr="00297070">
        <w:rPr>
          <w:rFonts w:asciiTheme="majorHAnsi" w:hAnsiTheme="majorHAnsi"/>
          <w:sz w:val="20"/>
          <w:szCs w:val="20"/>
          <w:lang w:val="uk-UA"/>
        </w:rPr>
        <w:t xml:space="preserve"> -</w:t>
      </w:r>
    </w:p>
    <w:p w14:paraId="082BB4F0" w14:textId="77777777" w:rsidR="0097612F" w:rsidRPr="00297070" w:rsidRDefault="0097612F" w:rsidP="000977F7">
      <w:pPr>
        <w:pStyle w:val="af6"/>
        <w:tabs>
          <w:tab w:val="left" w:pos="284"/>
        </w:tabs>
        <w:spacing w:after="0"/>
        <w:ind w:left="170"/>
        <w:mirrorIndents/>
        <w:jc w:val="both"/>
        <w:rPr>
          <w:rFonts w:asciiTheme="majorHAnsi" w:hAnsiTheme="majorHAnsi"/>
          <w:sz w:val="20"/>
          <w:szCs w:val="20"/>
          <w:lang w:val="uk-UA"/>
        </w:rPr>
      </w:pPr>
      <w:r w:rsidRPr="00297070">
        <w:rPr>
          <w:rFonts w:asciiTheme="majorHAnsi" w:hAnsiTheme="majorHAnsi"/>
          <w:sz w:val="20"/>
          <w:szCs w:val="20"/>
          <w:lang w:val="uk-UA"/>
        </w:rPr>
        <w:t>Визначення значень характеристик продукції з зазначенням</w:t>
      </w:r>
      <w:r w:rsidRPr="00297070">
        <w:rPr>
          <w:rFonts w:asciiTheme="majorHAnsi" w:hAnsiTheme="majorHAnsi"/>
          <w:spacing w:val="-1"/>
          <w:sz w:val="20"/>
          <w:szCs w:val="20"/>
          <w:lang w:val="uk-UA"/>
        </w:rPr>
        <w:t xml:space="preserve"> </w:t>
      </w:r>
      <w:r w:rsidRPr="00297070">
        <w:rPr>
          <w:rFonts w:asciiTheme="majorHAnsi" w:hAnsiTheme="majorHAnsi"/>
          <w:sz w:val="20"/>
          <w:szCs w:val="20"/>
          <w:lang w:val="uk-UA"/>
        </w:rPr>
        <w:t>точності</w:t>
      </w:r>
      <w:r w:rsidRPr="00297070">
        <w:rPr>
          <w:rFonts w:asciiTheme="majorHAnsi" w:hAnsiTheme="majorHAnsi"/>
          <w:spacing w:val="-1"/>
          <w:sz w:val="20"/>
          <w:szCs w:val="20"/>
          <w:lang w:val="uk-UA"/>
        </w:rPr>
        <w:t xml:space="preserve"> </w:t>
      </w:r>
      <w:r w:rsidRPr="00297070">
        <w:rPr>
          <w:rFonts w:asciiTheme="majorHAnsi" w:hAnsiTheme="majorHAnsi"/>
          <w:sz w:val="20"/>
          <w:szCs w:val="20"/>
          <w:lang w:val="uk-UA"/>
        </w:rPr>
        <w:t>та</w:t>
      </w:r>
      <w:r w:rsidRPr="00297070">
        <w:rPr>
          <w:rFonts w:asciiTheme="majorHAnsi" w:hAnsiTheme="majorHAnsi"/>
          <w:spacing w:val="-2"/>
          <w:sz w:val="20"/>
          <w:szCs w:val="20"/>
          <w:lang w:val="uk-UA"/>
        </w:rPr>
        <w:t xml:space="preserve"> </w:t>
      </w:r>
      <w:r w:rsidRPr="00297070">
        <w:rPr>
          <w:rFonts w:asciiTheme="majorHAnsi" w:hAnsiTheme="majorHAnsi"/>
          <w:sz w:val="20"/>
          <w:szCs w:val="20"/>
          <w:lang w:val="uk-UA"/>
        </w:rPr>
        <w:t>(чи) достовірності</w:t>
      </w:r>
    </w:p>
    <w:p w14:paraId="0FC912F0" w14:textId="77777777" w:rsidR="0097612F" w:rsidRPr="00297070" w:rsidRDefault="0097612F" w:rsidP="000977F7">
      <w:pPr>
        <w:pStyle w:val="af6"/>
        <w:tabs>
          <w:tab w:val="left" w:pos="284"/>
        </w:tabs>
        <w:spacing w:after="0"/>
        <w:ind w:left="170"/>
        <w:mirrorIndents/>
        <w:jc w:val="both"/>
        <w:rPr>
          <w:rFonts w:asciiTheme="majorHAnsi" w:hAnsiTheme="majorHAnsi"/>
          <w:sz w:val="20"/>
          <w:szCs w:val="20"/>
          <w:lang w:val="uk-UA"/>
        </w:rPr>
        <w:sectPr w:rsidR="0097612F" w:rsidRPr="00297070" w:rsidSect="000977F7">
          <w:type w:val="continuous"/>
          <w:pgSz w:w="11910" w:h="16840"/>
          <w:pgMar w:top="800" w:right="380" w:bottom="960" w:left="1000" w:header="0" w:footer="751" w:gutter="0"/>
          <w:cols w:num="2" w:space="454"/>
        </w:sectPr>
      </w:pPr>
    </w:p>
    <w:p w14:paraId="2FE83A0F" w14:textId="77777777" w:rsidR="0097612F" w:rsidRPr="00297070" w:rsidRDefault="0097612F" w:rsidP="000977F7">
      <w:pPr>
        <w:pStyle w:val="1"/>
        <w:tabs>
          <w:tab w:val="left" w:pos="284"/>
        </w:tabs>
        <w:spacing w:line="240" w:lineRule="auto"/>
        <w:ind w:left="170"/>
        <w:mirrorIndents/>
        <w:jc w:val="both"/>
        <w:rPr>
          <w:color w:val="auto"/>
          <w:w w:val="99"/>
          <w:sz w:val="20"/>
          <w:szCs w:val="20"/>
          <w:lang w:val="uk-UA"/>
        </w:rPr>
        <w:sectPr w:rsidR="0097612F" w:rsidRPr="00297070" w:rsidSect="000977F7">
          <w:type w:val="continuous"/>
          <w:pgSz w:w="11910" w:h="16840"/>
          <w:pgMar w:top="800" w:right="711" w:bottom="960" w:left="1000" w:header="0" w:footer="751" w:gutter="0"/>
          <w:cols w:num="2" w:space="454"/>
        </w:sectPr>
      </w:pPr>
    </w:p>
    <w:p w14:paraId="7B08261D" w14:textId="77777777" w:rsidR="0097612F" w:rsidRPr="000F35DA" w:rsidRDefault="0097612F" w:rsidP="000F35DA">
      <w:pPr>
        <w:pStyle w:val="1"/>
        <w:rPr>
          <w:lang w:val="uk-UA"/>
        </w:rPr>
        <w:sectPr w:rsidR="0097612F" w:rsidRPr="000F35DA" w:rsidSect="000977F7">
          <w:pgSz w:w="11910" w:h="16840"/>
          <w:pgMar w:top="800" w:right="711" w:bottom="960" w:left="1000" w:header="0" w:footer="751" w:gutter="0"/>
          <w:cols w:num="2" w:space="454"/>
        </w:sectPr>
      </w:pPr>
      <w:bookmarkStart w:id="174" w:name="_Toc132629642"/>
      <w:r w:rsidRPr="000F35DA">
        <w:rPr>
          <w:lang w:val="uk-UA"/>
        </w:rPr>
        <w:lastRenderedPageBreak/>
        <w:t>П</w:t>
      </w:r>
      <w:bookmarkEnd w:id="174"/>
    </w:p>
    <w:p w14:paraId="02AB307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ПАРАЛЕЛЬНЕ</w:t>
      </w:r>
      <w:r w:rsidRPr="000977F7">
        <w:rPr>
          <w:color w:val="auto"/>
          <w:spacing w:val="-6"/>
          <w:sz w:val="20"/>
          <w:szCs w:val="20"/>
        </w:rPr>
        <w:t xml:space="preserve"> </w:t>
      </w:r>
      <w:r w:rsidRPr="000977F7">
        <w:rPr>
          <w:color w:val="auto"/>
          <w:sz w:val="20"/>
          <w:szCs w:val="20"/>
        </w:rPr>
        <w:t>ПОЄДНАННЯ</w:t>
      </w:r>
      <w:r w:rsidRPr="000977F7">
        <w:rPr>
          <w:color w:val="auto"/>
          <w:spacing w:val="-5"/>
          <w:sz w:val="20"/>
          <w:szCs w:val="20"/>
        </w:rPr>
        <w:t xml:space="preserve"> </w:t>
      </w:r>
      <w:r w:rsidRPr="000977F7">
        <w:rPr>
          <w:color w:val="auto"/>
          <w:sz w:val="20"/>
          <w:szCs w:val="20"/>
        </w:rPr>
        <w:t>ОПЕРАЦІЙ –</w:t>
      </w:r>
    </w:p>
    <w:p w14:paraId="7C6FA19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організації виробничих процесів, за яким кожний екземпляр предмета праці передається на наступну операцію відразу ж після проходження ним попередньої</w:t>
      </w:r>
      <w:r w:rsidRPr="000977F7">
        <w:rPr>
          <w:rFonts w:asciiTheme="majorHAnsi" w:hAnsiTheme="majorHAnsi"/>
          <w:spacing w:val="-2"/>
          <w:sz w:val="20"/>
          <w:szCs w:val="20"/>
        </w:rPr>
        <w:t xml:space="preserve"> </w:t>
      </w:r>
      <w:r w:rsidRPr="000977F7">
        <w:rPr>
          <w:rFonts w:asciiTheme="majorHAnsi" w:hAnsiTheme="majorHAnsi"/>
          <w:sz w:val="20"/>
          <w:szCs w:val="20"/>
        </w:rPr>
        <w:t>операції</w:t>
      </w:r>
    </w:p>
    <w:p w14:paraId="619725E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7E96E09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ПАРАЛЕЛЬНИЙ</w:t>
      </w:r>
      <w:r w:rsidRPr="000977F7">
        <w:rPr>
          <w:color w:val="auto"/>
          <w:spacing w:val="-5"/>
          <w:sz w:val="20"/>
          <w:szCs w:val="20"/>
        </w:rPr>
        <w:t xml:space="preserve"> </w:t>
      </w:r>
      <w:r w:rsidRPr="000977F7">
        <w:rPr>
          <w:color w:val="auto"/>
          <w:sz w:val="20"/>
          <w:szCs w:val="20"/>
        </w:rPr>
        <w:t>ІНТЕРФЕЙС</w:t>
      </w:r>
      <w:r w:rsidRPr="000977F7">
        <w:rPr>
          <w:color w:val="auto"/>
          <w:spacing w:val="-2"/>
          <w:sz w:val="20"/>
          <w:szCs w:val="20"/>
        </w:rPr>
        <w:t xml:space="preserve"> </w:t>
      </w:r>
      <w:r w:rsidRPr="000977F7">
        <w:rPr>
          <w:color w:val="auto"/>
          <w:sz w:val="20"/>
          <w:szCs w:val="20"/>
        </w:rPr>
        <w:t>–</w:t>
      </w:r>
    </w:p>
    <w:p w14:paraId="7D34005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PARALEL</w:t>
      </w:r>
      <w:r w:rsidRPr="000977F7">
        <w:rPr>
          <w:rFonts w:asciiTheme="majorHAnsi" w:hAnsiTheme="majorHAnsi"/>
          <w:spacing w:val="-6"/>
          <w:sz w:val="20"/>
          <w:szCs w:val="20"/>
        </w:rPr>
        <w:t xml:space="preserve"> </w:t>
      </w:r>
      <w:r w:rsidRPr="000977F7">
        <w:rPr>
          <w:rFonts w:asciiTheme="majorHAnsi" w:hAnsiTheme="majorHAnsi"/>
          <w:sz w:val="20"/>
          <w:szCs w:val="20"/>
        </w:rPr>
        <w:t>INTERFACE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EFDD5A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Інформаційний інтерфейс, який передбачає просторовий</w:t>
      </w:r>
      <w:r w:rsidRPr="000977F7">
        <w:rPr>
          <w:rFonts w:asciiTheme="majorHAnsi" w:hAnsiTheme="majorHAnsi"/>
          <w:spacing w:val="-2"/>
          <w:sz w:val="20"/>
          <w:szCs w:val="20"/>
        </w:rPr>
        <w:t xml:space="preserve"> </w:t>
      </w:r>
      <w:r w:rsidRPr="000977F7">
        <w:rPr>
          <w:rFonts w:asciiTheme="majorHAnsi" w:hAnsiTheme="majorHAnsi"/>
          <w:sz w:val="20"/>
          <w:szCs w:val="20"/>
        </w:rPr>
        <w:t>розподіл</w:t>
      </w:r>
      <w:r w:rsidRPr="000977F7">
        <w:rPr>
          <w:rFonts w:asciiTheme="majorHAnsi" w:hAnsiTheme="majorHAnsi"/>
          <w:spacing w:val="-1"/>
          <w:sz w:val="20"/>
          <w:szCs w:val="20"/>
        </w:rPr>
        <w:t xml:space="preserve"> </w:t>
      </w:r>
      <w:r w:rsidRPr="000977F7">
        <w:rPr>
          <w:rFonts w:asciiTheme="majorHAnsi" w:hAnsiTheme="majorHAnsi"/>
          <w:sz w:val="20"/>
          <w:szCs w:val="20"/>
        </w:rPr>
        <w:t>інтерфейсних сигналів</w:t>
      </w:r>
    </w:p>
    <w:p w14:paraId="7AFA75F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758C0F5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ПАРАЛЕЛЬНІ</w:t>
      </w:r>
      <w:r w:rsidRPr="000977F7">
        <w:rPr>
          <w:color w:val="auto"/>
          <w:spacing w:val="-9"/>
          <w:sz w:val="20"/>
          <w:szCs w:val="20"/>
        </w:rPr>
        <w:t xml:space="preserve"> </w:t>
      </w:r>
      <w:r w:rsidRPr="000977F7">
        <w:rPr>
          <w:color w:val="auto"/>
          <w:sz w:val="20"/>
          <w:szCs w:val="20"/>
        </w:rPr>
        <w:t>ДОСЛІДИ</w:t>
      </w:r>
      <w:r w:rsidRPr="000977F7">
        <w:rPr>
          <w:color w:val="auto"/>
          <w:spacing w:val="-3"/>
          <w:sz w:val="20"/>
          <w:szCs w:val="20"/>
        </w:rPr>
        <w:t xml:space="preserve"> </w:t>
      </w:r>
      <w:r w:rsidRPr="000977F7">
        <w:rPr>
          <w:color w:val="auto"/>
          <w:sz w:val="20"/>
          <w:szCs w:val="20"/>
        </w:rPr>
        <w:t>-</w:t>
      </w:r>
    </w:p>
    <w:p w14:paraId="1936819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Рандомізовані в часі досліди, в яких рівні всіх факторів</w:t>
      </w:r>
      <w:r w:rsidRPr="000977F7">
        <w:rPr>
          <w:rFonts w:asciiTheme="majorHAnsi" w:hAnsiTheme="majorHAnsi"/>
          <w:spacing w:val="-2"/>
          <w:sz w:val="20"/>
          <w:szCs w:val="20"/>
        </w:rPr>
        <w:t xml:space="preserve"> </w:t>
      </w:r>
      <w:r w:rsidRPr="000977F7">
        <w:rPr>
          <w:rFonts w:asciiTheme="majorHAnsi" w:hAnsiTheme="majorHAnsi"/>
          <w:sz w:val="20"/>
          <w:szCs w:val="20"/>
        </w:rPr>
        <w:t>зберігаються</w:t>
      </w:r>
      <w:r w:rsidRPr="000977F7">
        <w:rPr>
          <w:rFonts w:asciiTheme="majorHAnsi" w:hAnsiTheme="majorHAnsi"/>
          <w:spacing w:val="2"/>
          <w:sz w:val="20"/>
          <w:szCs w:val="20"/>
        </w:rPr>
        <w:t xml:space="preserve"> </w:t>
      </w:r>
      <w:r w:rsidRPr="000977F7">
        <w:rPr>
          <w:rFonts w:asciiTheme="majorHAnsi" w:hAnsiTheme="majorHAnsi"/>
          <w:sz w:val="20"/>
          <w:szCs w:val="20"/>
        </w:rPr>
        <w:t>незмінними</w:t>
      </w:r>
    </w:p>
    <w:p w14:paraId="5B1520E4"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ПАРАЛЕЛЬНІСТЬ</w:t>
      </w:r>
      <w:r w:rsidRPr="000977F7">
        <w:rPr>
          <w:color w:val="auto"/>
          <w:spacing w:val="-6"/>
          <w:sz w:val="20"/>
          <w:szCs w:val="20"/>
        </w:rPr>
        <w:t xml:space="preserve"> </w:t>
      </w:r>
      <w:r w:rsidRPr="000977F7">
        <w:rPr>
          <w:color w:val="auto"/>
          <w:sz w:val="20"/>
          <w:szCs w:val="20"/>
        </w:rPr>
        <w:t>ВИРОБНИЦТВА</w:t>
      </w:r>
      <w:r w:rsidRPr="000977F7">
        <w:rPr>
          <w:color w:val="auto"/>
          <w:spacing w:val="-2"/>
          <w:sz w:val="20"/>
          <w:szCs w:val="20"/>
        </w:rPr>
        <w:t xml:space="preserve"> </w:t>
      </w:r>
      <w:r w:rsidRPr="000977F7">
        <w:rPr>
          <w:b w:val="0"/>
          <w:color w:val="auto"/>
          <w:sz w:val="20"/>
          <w:szCs w:val="20"/>
        </w:rPr>
        <w:t>–</w:t>
      </w:r>
    </w:p>
    <w:p w14:paraId="549BB1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Принцип організації виробництва, згідно з яким одночасно виконуються часткові процеси 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окремі</w:t>
      </w:r>
      <w:r w:rsidRPr="000977F7">
        <w:rPr>
          <w:rFonts w:asciiTheme="majorHAnsi" w:hAnsiTheme="majorHAnsi"/>
          <w:spacing w:val="-1"/>
          <w:sz w:val="20"/>
          <w:szCs w:val="20"/>
        </w:rPr>
        <w:t xml:space="preserve"> </w:t>
      </w:r>
      <w:r w:rsidRPr="000977F7">
        <w:rPr>
          <w:rFonts w:asciiTheme="majorHAnsi" w:hAnsiTheme="majorHAnsi"/>
          <w:sz w:val="20"/>
          <w:szCs w:val="20"/>
        </w:rPr>
        <w:t>операції</w:t>
      </w:r>
      <w:r w:rsidRPr="000977F7">
        <w:rPr>
          <w:rFonts w:asciiTheme="majorHAnsi" w:hAnsiTheme="majorHAnsi"/>
          <w:spacing w:val="1"/>
          <w:sz w:val="20"/>
          <w:szCs w:val="20"/>
        </w:rPr>
        <w:t xml:space="preserve"> </w:t>
      </w:r>
      <w:r w:rsidRPr="000977F7">
        <w:rPr>
          <w:rFonts w:asciiTheme="majorHAnsi" w:hAnsiTheme="majorHAnsi"/>
          <w:sz w:val="20"/>
          <w:szCs w:val="20"/>
        </w:rPr>
        <w:t>всередині</w:t>
      </w:r>
      <w:r w:rsidRPr="000977F7">
        <w:rPr>
          <w:rFonts w:asciiTheme="majorHAnsi" w:hAnsiTheme="majorHAnsi"/>
          <w:spacing w:val="-1"/>
          <w:sz w:val="20"/>
          <w:szCs w:val="20"/>
        </w:rPr>
        <w:t xml:space="preserve"> </w:t>
      </w:r>
      <w:r w:rsidRPr="000977F7">
        <w:rPr>
          <w:rFonts w:asciiTheme="majorHAnsi" w:hAnsiTheme="majorHAnsi"/>
          <w:sz w:val="20"/>
          <w:szCs w:val="20"/>
        </w:rPr>
        <w:t>них</w:t>
      </w:r>
    </w:p>
    <w:p w14:paraId="74000F2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1527900"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pacing w:val="-1"/>
          <w:sz w:val="20"/>
          <w:szCs w:val="20"/>
        </w:rPr>
        <w:t xml:space="preserve">ПАРАЛЕЛЬНО-ПОСЛІДОВНЕ </w:t>
      </w:r>
      <w:r w:rsidRPr="000977F7">
        <w:rPr>
          <w:color w:val="auto"/>
          <w:sz w:val="20"/>
          <w:szCs w:val="20"/>
        </w:rPr>
        <w:t>ОБ’ЄДНАННЯ</w:t>
      </w:r>
      <w:r w:rsidRPr="000977F7">
        <w:rPr>
          <w:color w:val="auto"/>
          <w:spacing w:val="-47"/>
          <w:sz w:val="20"/>
          <w:szCs w:val="20"/>
        </w:rPr>
        <w:t xml:space="preserve"> </w:t>
      </w:r>
      <w:r w:rsidRPr="000977F7">
        <w:rPr>
          <w:color w:val="auto"/>
          <w:sz w:val="20"/>
          <w:szCs w:val="20"/>
        </w:rPr>
        <w:t>ОПЕРАЦІЙ</w:t>
      </w:r>
      <w:r w:rsidRPr="000977F7">
        <w:rPr>
          <w:color w:val="auto"/>
          <w:spacing w:val="1"/>
          <w:sz w:val="20"/>
          <w:szCs w:val="20"/>
        </w:rPr>
        <w:t xml:space="preserve"> </w:t>
      </w:r>
      <w:r w:rsidRPr="000977F7">
        <w:rPr>
          <w:b w:val="0"/>
          <w:color w:val="auto"/>
          <w:sz w:val="20"/>
          <w:szCs w:val="20"/>
        </w:rPr>
        <w:t>–</w:t>
      </w:r>
    </w:p>
    <w:p w14:paraId="13F8DE6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організації виробничих процесів, за яким оброблювані</w:t>
      </w:r>
      <w:r w:rsidRPr="000977F7">
        <w:rPr>
          <w:rFonts w:asciiTheme="majorHAnsi" w:hAnsiTheme="majorHAnsi"/>
          <w:spacing w:val="1"/>
          <w:sz w:val="20"/>
          <w:szCs w:val="20"/>
        </w:rPr>
        <w:t xml:space="preserve"> </w:t>
      </w:r>
      <w:r w:rsidRPr="000977F7">
        <w:rPr>
          <w:rFonts w:asciiTheme="majorHAnsi" w:hAnsiTheme="majorHAnsi"/>
          <w:sz w:val="20"/>
          <w:szCs w:val="20"/>
        </w:rPr>
        <w:t>предмети</w:t>
      </w:r>
      <w:r w:rsidRPr="000977F7">
        <w:rPr>
          <w:rFonts w:asciiTheme="majorHAnsi" w:hAnsiTheme="majorHAnsi"/>
          <w:spacing w:val="1"/>
          <w:sz w:val="20"/>
          <w:szCs w:val="20"/>
        </w:rPr>
        <w:t xml:space="preserve"> </w:t>
      </w:r>
      <w:r w:rsidRPr="000977F7">
        <w:rPr>
          <w:rFonts w:asciiTheme="majorHAnsi" w:hAnsiTheme="majorHAnsi"/>
          <w:sz w:val="20"/>
          <w:szCs w:val="20"/>
        </w:rPr>
        <w:t>праці</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передаватися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47"/>
          <w:sz w:val="20"/>
          <w:szCs w:val="20"/>
        </w:rPr>
        <w:t xml:space="preserve"> </w:t>
      </w:r>
      <w:r w:rsidRPr="000977F7">
        <w:rPr>
          <w:rFonts w:asciiTheme="majorHAnsi" w:hAnsiTheme="majorHAnsi"/>
          <w:sz w:val="20"/>
          <w:szCs w:val="20"/>
        </w:rPr>
        <w:t>наступну операцію відразу чи після проходження попередньої</w:t>
      </w:r>
      <w:r w:rsidRPr="000977F7">
        <w:rPr>
          <w:rFonts w:asciiTheme="majorHAnsi" w:hAnsiTheme="majorHAnsi"/>
          <w:spacing w:val="-2"/>
          <w:sz w:val="20"/>
          <w:szCs w:val="20"/>
        </w:rPr>
        <w:t xml:space="preserve"> </w:t>
      </w:r>
      <w:r w:rsidRPr="000977F7">
        <w:rPr>
          <w:rFonts w:asciiTheme="majorHAnsi" w:hAnsiTheme="majorHAnsi"/>
          <w:sz w:val="20"/>
          <w:szCs w:val="20"/>
        </w:rPr>
        <w:t>операції</w:t>
      </w:r>
      <w:r w:rsidRPr="000977F7">
        <w:rPr>
          <w:rFonts w:asciiTheme="majorHAnsi" w:hAnsiTheme="majorHAnsi"/>
          <w:spacing w:val="-1"/>
          <w:sz w:val="20"/>
          <w:szCs w:val="20"/>
        </w:rPr>
        <w:t xml:space="preserve"> </w:t>
      </w:r>
      <w:r w:rsidRPr="000977F7">
        <w:rPr>
          <w:rFonts w:asciiTheme="majorHAnsi" w:hAnsiTheme="majorHAnsi"/>
          <w:sz w:val="20"/>
          <w:szCs w:val="20"/>
        </w:rPr>
        <w:t>частиною</w:t>
      </w:r>
      <w:r w:rsidRPr="000977F7">
        <w:rPr>
          <w:rFonts w:asciiTheme="majorHAnsi" w:hAnsiTheme="majorHAnsi"/>
          <w:spacing w:val="-1"/>
          <w:sz w:val="20"/>
          <w:szCs w:val="20"/>
        </w:rPr>
        <w:t xml:space="preserve"> </w:t>
      </w:r>
      <w:r w:rsidRPr="000977F7">
        <w:rPr>
          <w:rFonts w:asciiTheme="majorHAnsi" w:hAnsiTheme="majorHAnsi"/>
          <w:sz w:val="20"/>
          <w:szCs w:val="20"/>
        </w:rPr>
        <w:t>партії.</w:t>
      </w:r>
    </w:p>
    <w:p w14:paraId="4D79C4E1"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2960 – 94</w:t>
      </w:r>
      <w:r w:rsidRPr="000977F7">
        <w:rPr>
          <w:rFonts w:asciiTheme="majorHAnsi" w:hAnsiTheme="majorHAnsi"/>
          <w:i/>
          <w:spacing w:val="-47"/>
          <w:sz w:val="20"/>
          <w:szCs w:val="20"/>
        </w:rPr>
        <w:t xml:space="preserve"> </w:t>
      </w:r>
    </w:p>
    <w:p w14:paraId="5382B7F1"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ПАРАМЕТР –</w:t>
      </w:r>
    </w:p>
    <w:p w14:paraId="58D767F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pacing w:val="-1"/>
          <w:sz w:val="20"/>
          <w:szCs w:val="20"/>
        </w:rPr>
        <w:t>PARAMETER</w:t>
      </w:r>
      <w:r w:rsidRPr="000977F7">
        <w:rPr>
          <w:rFonts w:asciiTheme="majorHAnsi" w:hAnsiTheme="majorHAnsi"/>
          <w:spacing w:val="-7"/>
          <w:sz w:val="20"/>
          <w:szCs w:val="20"/>
        </w:rPr>
        <w:t xml:space="preserve"> </w:t>
      </w:r>
      <w:r w:rsidRPr="000977F7">
        <w:rPr>
          <w:rFonts w:asciiTheme="majorHAnsi" w:hAnsiTheme="majorHAnsi"/>
          <w:sz w:val="20"/>
          <w:szCs w:val="20"/>
        </w:rPr>
        <w:t>–</w:t>
      </w:r>
    </w:p>
    <w:p w14:paraId="5ABCA9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Характеристика окремої властивості об’єкта або процесу,</w:t>
      </w:r>
      <w:r w:rsidRPr="000977F7">
        <w:rPr>
          <w:rFonts w:asciiTheme="majorHAnsi" w:hAnsiTheme="majorHAnsi"/>
          <w:spacing w:val="-1"/>
          <w:sz w:val="20"/>
          <w:szCs w:val="20"/>
        </w:rPr>
        <w:t xml:space="preserve"> </w:t>
      </w:r>
      <w:r w:rsidRPr="000977F7">
        <w:rPr>
          <w:rFonts w:asciiTheme="majorHAnsi" w:hAnsiTheme="majorHAnsi"/>
          <w:sz w:val="20"/>
          <w:szCs w:val="20"/>
        </w:rPr>
        <w:t>яка допускає</w:t>
      </w:r>
      <w:r w:rsidRPr="000977F7">
        <w:rPr>
          <w:rFonts w:asciiTheme="majorHAnsi" w:hAnsiTheme="majorHAnsi"/>
          <w:spacing w:val="-1"/>
          <w:sz w:val="20"/>
          <w:szCs w:val="20"/>
        </w:rPr>
        <w:t xml:space="preserve"> </w:t>
      </w:r>
      <w:r w:rsidRPr="000977F7">
        <w:rPr>
          <w:rFonts w:asciiTheme="majorHAnsi" w:hAnsiTheme="majorHAnsi"/>
          <w:sz w:val="20"/>
          <w:szCs w:val="20"/>
        </w:rPr>
        <w:t>кількісну</w:t>
      </w:r>
      <w:r w:rsidRPr="000977F7">
        <w:rPr>
          <w:rFonts w:asciiTheme="majorHAnsi" w:hAnsiTheme="majorHAnsi"/>
          <w:spacing w:val="1"/>
          <w:sz w:val="20"/>
          <w:szCs w:val="20"/>
        </w:rPr>
        <w:t xml:space="preserve"> </w:t>
      </w:r>
      <w:r w:rsidRPr="000977F7">
        <w:rPr>
          <w:rFonts w:asciiTheme="majorHAnsi" w:hAnsiTheme="majorHAnsi"/>
          <w:sz w:val="20"/>
          <w:szCs w:val="20"/>
        </w:rPr>
        <w:t>оцінку</w:t>
      </w:r>
    </w:p>
    <w:p w14:paraId="12D1B29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11BD0B5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ПАРАМЕТР</w:t>
      </w:r>
      <w:r w:rsidRPr="000977F7">
        <w:rPr>
          <w:color w:val="auto"/>
          <w:spacing w:val="-3"/>
          <w:sz w:val="20"/>
          <w:szCs w:val="20"/>
        </w:rPr>
        <w:t xml:space="preserve"> </w:t>
      </w:r>
      <w:r w:rsidRPr="000977F7">
        <w:rPr>
          <w:color w:val="auto"/>
          <w:sz w:val="20"/>
          <w:szCs w:val="20"/>
        </w:rPr>
        <w:t>ВИРОБУ</w:t>
      </w:r>
      <w:r w:rsidRPr="000977F7">
        <w:rPr>
          <w:color w:val="auto"/>
          <w:spacing w:val="-1"/>
          <w:sz w:val="20"/>
          <w:szCs w:val="20"/>
        </w:rPr>
        <w:t xml:space="preserve"> </w:t>
      </w:r>
      <w:r w:rsidRPr="000977F7">
        <w:rPr>
          <w:color w:val="auto"/>
          <w:sz w:val="20"/>
          <w:szCs w:val="20"/>
        </w:rPr>
        <w:t>–</w:t>
      </w:r>
    </w:p>
    <w:p w14:paraId="1C69FE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Характеристика виробу, що відображає фізичну величину</w:t>
      </w:r>
    </w:p>
    <w:p w14:paraId="2943F79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ПАРАМЕТР</w:t>
      </w:r>
      <w:r w:rsidRPr="000977F7">
        <w:rPr>
          <w:color w:val="auto"/>
          <w:spacing w:val="-4"/>
          <w:sz w:val="20"/>
          <w:szCs w:val="20"/>
        </w:rPr>
        <w:t xml:space="preserve"> </w:t>
      </w:r>
      <w:r w:rsidRPr="000977F7">
        <w:rPr>
          <w:color w:val="auto"/>
          <w:sz w:val="20"/>
          <w:szCs w:val="20"/>
        </w:rPr>
        <w:t>ДІЯННЯ</w:t>
      </w:r>
      <w:r w:rsidRPr="000977F7">
        <w:rPr>
          <w:color w:val="auto"/>
          <w:spacing w:val="-1"/>
          <w:sz w:val="20"/>
          <w:szCs w:val="20"/>
        </w:rPr>
        <w:t xml:space="preserve"> </w:t>
      </w:r>
      <w:r w:rsidRPr="000977F7">
        <w:rPr>
          <w:color w:val="auto"/>
          <w:sz w:val="20"/>
          <w:szCs w:val="20"/>
        </w:rPr>
        <w:t>–</w:t>
      </w:r>
    </w:p>
    <w:p w14:paraId="2F7E1E8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PARAMETER</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THE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ACTION –</w:t>
      </w:r>
    </w:p>
    <w:p w14:paraId="1466874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Характеристика діяння, яка допускає кількісну одиницю</w:t>
      </w:r>
    </w:p>
    <w:p w14:paraId="3C614F6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7C30896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ПАРАМЕТР</w:t>
      </w:r>
      <w:r w:rsidRPr="000977F7">
        <w:rPr>
          <w:color w:val="auto"/>
          <w:spacing w:val="-5"/>
          <w:sz w:val="20"/>
          <w:szCs w:val="20"/>
        </w:rPr>
        <w:t xml:space="preserve"> </w:t>
      </w:r>
      <w:r w:rsidRPr="000977F7">
        <w:rPr>
          <w:color w:val="auto"/>
          <w:sz w:val="20"/>
          <w:szCs w:val="20"/>
        </w:rPr>
        <w:t>ЕЛЕКТРИЧНОЇ</w:t>
      </w:r>
      <w:r w:rsidRPr="000977F7">
        <w:rPr>
          <w:color w:val="auto"/>
          <w:spacing w:val="-2"/>
          <w:sz w:val="20"/>
          <w:szCs w:val="20"/>
        </w:rPr>
        <w:t xml:space="preserve"> </w:t>
      </w:r>
      <w:r w:rsidRPr="000977F7">
        <w:rPr>
          <w:color w:val="auto"/>
          <w:sz w:val="20"/>
          <w:szCs w:val="20"/>
        </w:rPr>
        <w:t>ЕНЕРГІЇ</w:t>
      </w:r>
      <w:r w:rsidRPr="000977F7">
        <w:rPr>
          <w:color w:val="auto"/>
          <w:spacing w:val="-4"/>
          <w:sz w:val="20"/>
          <w:szCs w:val="20"/>
        </w:rPr>
        <w:t xml:space="preserve"> </w:t>
      </w:r>
      <w:r w:rsidRPr="000977F7">
        <w:rPr>
          <w:color w:val="auto"/>
          <w:sz w:val="20"/>
          <w:szCs w:val="20"/>
        </w:rPr>
        <w:t>–</w:t>
      </w:r>
    </w:p>
    <w:p w14:paraId="6D14CDF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Величина, що кількісно характеризує яку-небудь властивість</w:t>
      </w:r>
      <w:r w:rsidRPr="000977F7">
        <w:rPr>
          <w:rFonts w:asciiTheme="majorHAnsi" w:hAnsiTheme="majorHAnsi"/>
          <w:spacing w:val="-2"/>
          <w:sz w:val="20"/>
          <w:szCs w:val="20"/>
        </w:rPr>
        <w:t xml:space="preserve"> </w:t>
      </w:r>
      <w:r w:rsidRPr="000977F7">
        <w:rPr>
          <w:rFonts w:asciiTheme="majorHAnsi" w:hAnsiTheme="majorHAnsi"/>
          <w:sz w:val="20"/>
          <w:szCs w:val="20"/>
        </w:rPr>
        <w:t>електричної</w:t>
      </w:r>
      <w:r w:rsidRPr="000977F7">
        <w:rPr>
          <w:rFonts w:asciiTheme="majorHAnsi" w:hAnsiTheme="majorHAnsi"/>
          <w:spacing w:val="-1"/>
          <w:sz w:val="20"/>
          <w:szCs w:val="20"/>
        </w:rPr>
        <w:t xml:space="preserve"> </w:t>
      </w:r>
      <w:r w:rsidRPr="000977F7">
        <w:rPr>
          <w:rFonts w:asciiTheme="majorHAnsi" w:hAnsiTheme="majorHAnsi"/>
          <w:sz w:val="20"/>
          <w:szCs w:val="20"/>
        </w:rPr>
        <w:t>енергії</w:t>
      </w:r>
    </w:p>
    <w:p w14:paraId="522FA0D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83AB6B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параметрами</w:t>
      </w:r>
      <w:r w:rsidRPr="000977F7">
        <w:rPr>
          <w:rFonts w:asciiTheme="majorHAnsi" w:hAnsiTheme="majorHAnsi"/>
          <w:spacing w:val="1"/>
          <w:sz w:val="20"/>
          <w:szCs w:val="20"/>
        </w:rPr>
        <w:t xml:space="preserve"> </w:t>
      </w:r>
      <w:r w:rsidRPr="000977F7">
        <w:rPr>
          <w:rFonts w:asciiTheme="majorHAnsi" w:hAnsiTheme="majorHAnsi"/>
          <w:sz w:val="20"/>
          <w:szCs w:val="20"/>
        </w:rPr>
        <w:t>електричної</w:t>
      </w:r>
      <w:r w:rsidRPr="000977F7">
        <w:rPr>
          <w:rFonts w:asciiTheme="majorHAnsi" w:hAnsiTheme="majorHAnsi"/>
          <w:spacing w:val="1"/>
          <w:sz w:val="20"/>
          <w:szCs w:val="20"/>
        </w:rPr>
        <w:t xml:space="preserve"> </w:t>
      </w:r>
      <w:r w:rsidRPr="000977F7">
        <w:rPr>
          <w:rFonts w:asciiTheme="majorHAnsi" w:hAnsiTheme="majorHAnsi"/>
          <w:sz w:val="20"/>
          <w:szCs w:val="20"/>
        </w:rPr>
        <w:t>енергії</w:t>
      </w:r>
      <w:r w:rsidRPr="000977F7">
        <w:rPr>
          <w:rFonts w:asciiTheme="majorHAnsi" w:hAnsiTheme="majorHAnsi"/>
          <w:spacing w:val="1"/>
          <w:sz w:val="20"/>
          <w:szCs w:val="20"/>
        </w:rPr>
        <w:t xml:space="preserve"> </w:t>
      </w:r>
      <w:r w:rsidRPr="000977F7">
        <w:rPr>
          <w:rFonts w:asciiTheme="majorHAnsi" w:hAnsiTheme="majorHAnsi"/>
          <w:sz w:val="20"/>
          <w:szCs w:val="20"/>
        </w:rPr>
        <w:t>розуміють</w:t>
      </w:r>
      <w:r w:rsidRPr="000977F7">
        <w:rPr>
          <w:rFonts w:asciiTheme="majorHAnsi" w:hAnsiTheme="majorHAnsi"/>
          <w:spacing w:val="1"/>
          <w:sz w:val="20"/>
          <w:szCs w:val="20"/>
        </w:rPr>
        <w:t xml:space="preserve"> </w:t>
      </w:r>
      <w:r w:rsidRPr="000977F7">
        <w:rPr>
          <w:rFonts w:asciiTheme="majorHAnsi" w:hAnsiTheme="majorHAnsi"/>
          <w:sz w:val="20"/>
          <w:szCs w:val="20"/>
        </w:rPr>
        <w:t>напругу,</w:t>
      </w:r>
      <w:r w:rsidRPr="000977F7">
        <w:rPr>
          <w:rFonts w:asciiTheme="majorHAnsi" w:hAnsiTheme="majorHAnsi"/>
          <w:spacing w:val="4"/>
          <w:sz w:val="20"/>
          <w:szCs w:val="20"/>
        </w:rPr>
        <w:t xml:space="preserve"> </w:t>
      </w:r>
      <w:r w:rsidRPr="000977F7">
        <w:rPr>
          <w:rFonts w:asciiTheme="majorHAnsi" w:hAnsiTheme="majorHAnsi"/>
          <w:sz w:val="20"/>
          <w:szCs w:val="20"/>
        </w:rPr>
        <w:t>частоту,</w:t>
      </w:r>
      <w:r w:rsidRPr="000977F7">
        <w:rPr>
          <w:rFonts w:asciiTheme="majorHAnsi" w:hAnsiTheme="majorHAnsi"/>
          <w:spacing w:val="5"/>
          <w:sz w:val="20"/>
          <w:szCs w:val="20"/>
        </w:rPr>
        <w:t xml:space="preserve"> </w:t>
      </w:r>
      <w:r w:rsidRPr="000977F7">
        <w:rPr>
          <w:rFonts w:asciiTheme="majorHAnsi" w:hAnsiTheme="majorHAnsi"/>
          <w:sz w:val="20"/>
          <w:szCs w:val="20"/>
        </w:rPr>
        <w:t>форму</w:t>
      </w:r>
      <w:r w:rsidRPr="000977F7">
        <w:rPr>
          <w:rFonts w:asciiTheme="majorHAnsi" w:hAnsiTheme="majorHAnsi"/>
          <w:spacing w:val="2"/>
          <w:sz w:val="20"/>
          <w:szCs w:val="20"/>
        </w:rPr>
        <w:t xml:space="preserve"> </w:t>
      </w:r>
      <w:r w:rsidRPr="000977F7">
        <w:rPr>
          <w:rFonts w:asciiTheme="majorHAnsi" w:hAnsiTheme="majorHAnsi"/>
          <w:sz w:val="20"/>
          <w:szCs w:val="20"/>
        </w:rPr>
        <w:t>кривої</w:t>
      </w:r>
      <w:r w:rsidRPr="000977F7">
        <w:rPr>
          <w:rFonts w:asciiTheme="majorHAnsi" w:hAnsiTheme="majorHAnsi"/>
          <w:spacing w:val="3"/>
          <w:sz w:val="20"/>
          <w:szCs w:val="20"/>
        </w:rPr>
        <w:t xml:space="preserve"> </w:t>
      </w:r>
      <w:r w:rsidRPr="000977F7">
        <w:rPr>
          <w:rFonts w:asciiTheme="majorHAnsi" w:hAnsiTheme="majorHAnsi"/>
          <w:sz w:val="20"/>
          <w:szCs w:val="20"/>
        </w:rPr>
        <w:t>напруги</w:t>
      </w:r>
      <w:r w:rsidRPr="000977F7">
        <w:rPr>
          <w:rFonts w:asciiTheme="majorHAnsi" w:hAnsiTheme="majorHAnsi"/>
          <w:spacing w:val="4"/>
          <w:sz w:val="20"/>
          <w:szCs w:val="20"/>
        </w:rPr>
        <w:t xml:space="preserve"> </w:t>
      </w:r>
      <w:r w:rsidRPr="000977F7">
        <w:rPr>
          <w:rFonts w:asciiTheme="majorHAnsi" w:hAnsiTheme="majorHAnsi"/>
          <w:sz w:val="20"/>
          <w:szCs w:val="20"/>
        </w:rPr>
        <w:t>чи</w:t>
      </w:r>
      <w:r w:rsidRPr="000977F7">
        <w:rPr>
          <w:rFonts w:asciiTheme="majorHAnsi" w:hAnsiTheme="majorHAnsi"/>
          <w:spacing w:val="4"/>
          <w:sz w:val="20"/>
          <w:szCs w:val="20"/>
        </w:rPr>
        <w:t xml:space="preserve"> </w:t>
      </w:r>
      <w:r w:rsidRPr="000977F7">
        <w:rPr>
          <w:rFonts w:asciiTheme="majorHAnsi" w:hAnsiTheme="majorHAnsi"/>
          <w:sz w:val="20"/>
          <w:szCs w:val="20"/>
        </w:rPr>
        <w:t>струму</w:t>
      </w:r>
      <w:r w:rsidRPr="000977F7">
        <w:rPr>
          <w:rFonts w:asciiTheme="majorHAnsi" w:hAnsiTheme="majorHAns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4F807D6B"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ПАРАМЕТР</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ПОТОКУ</w:t>
      </w:r>
      <w:r w:rsidRPr="004D2D14">
        <w:rPr>
          <w:rFonts w:asciiTheme="majorHAnsi" w:hAnsiTheme="majorHAnsi"/>
          <w:b/>
          <w:sz w:val="20"/>
          <w:szCs w:val="20"/>
          <w:lang w:val="en-US"/>
        </w:rPr>
        <w:t xml:space="preserve"> </w:t>
      </w:r>
      <w:r w:rsidRPr="000977F7">
        <w:rPr>
          <w:rFonts w:asciiTheme="majorHAnsi" w:hAnsiTheme="majorHAnsi"/>
          <w:b/>
          <w:sz w:val="20"/>
          <w:szCs w:val="20"/>
        </w:rPr>
        <w:t>ВІДМОВ</w:t>
      </w:r>
      <w:r w:rsidRPr="004D2D14">
        <w:rPr>
          <w:rFonts w:asciiTheme="majorHAnsi" w:hAnsiTheme="majorHAnsi"/>
          <w:b/>
          <w:sz w:val="20"/>
          <w:szCs w:val="20"/>
          <w:lang w:val="en-US"/>
        </w:rPr>
        <w:t>; Z(t) –</w:t>
      </w:r>
      <w:r w:rsidRPr="004D2D14">
        <w:rPr>
          <w:rFonts w:asciiTheme="majorHAnsi" w:hAnsiTheme="majorHAnsi"/>
          <w:b/>
          <w:spacing w:val="1"/>
          <w:sz w:val="20"/>
          <w:szCs w:val="20"/>
          <w:lang w:val="en-US"/>
        </w:rPr>
        <w:t xml:space="preserve"> </w:t>
      </w:r>
      <w:r w:rsidRPr="004D2D14">
        <w:rPr>
          <w:rFonts w:asciiTheme="majorHAnsi" w:hAnsiTheme="majorHAnsi"/>
          <w:sz w:val="20"/>
          <w:szCs w:val="20"/>
          <w:lang w:val="en-US"/>
        </w:rPr>
        <w:t>INSTANTANEOUS</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INTENSITY;</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INTENSITY –</w:t>
      </w:r>
    </w:p>
    <w:p w14:paraId="0F5864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математичного сподівання кількості відмов</w:t>
      </w:r>
      <w:r w:rsidRPr="000977F7">
        <w:rPr>
          <w:rFonts w:asciiTheme="majorHAnsi" w:hAnsiTheme="majorHAnsi"/>
          <w:spacing w:val="1"/>
          <w:sz w:val="20"/>
          <w:szCs w:val="20"/>
        </w:rPr>
        <w:t xml:space="preserve"> </w:t>
      </w:r>
      <w:r w:rsidRPr="000977F7">
        <w:rPr>
          <w:rFonts w:asciiTheme="majorHAnsi" w:hAnsiTheme="majorHAnsi"/>
          <w:sz w:val="20"/>
          <w:szCs w:val="20"/>
        </w:rPr>
        <w:t>відновлюваного</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досить</w:t>
      </w:r>
      <w:r w:rsidRPr="000977F7">
        <w:rPr>
          <w:rFonts w:asciiTheme="majorHAnsi" w:hAnsiTheme="majorHAnsi"/>
          <w:spacing w:val="1"/>
          <w:sz w:val="20"/>
          <w:szCs w:val="20"/>
        </w:rPr>
        <w:t xml:space="preserve"> </w:t>
      </w:r>
      <w:r w:rsidRPr="000977F7">
        <w:rPr>
          <w:rFonts w:asciiTheme="majorHAnsi" w:hAnsiTheme="majorHAnsi"/>
          <w:sz w:val="20"/>
          <w:szCs w:val="20"/>
        </w:rPr>
        <w:t>малий</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наробіток</w:t>
      </w:r>
      <w:r w:rsidRPr="000977F7">
        <w:rPr>
          <w:rFonts w:asciiTheme="majorHAnsi" w:hAnsiTheme="majorHAnsi"/>
          <w:spacing w:val="-2"/>
          <w:sz w:val="20"/>
          <w:szCs w:val="20"/>
        </w:rPr>
        <w:t xml:space="preserve"> </w:t>
      </w:r>
      <w:r w:rsidRPr="000977F7">
        <w:rPr>
          <w:rFonts w:asciiTheme="majorHAnsi" w:hAnsiTheme="majorHAnsi"/>
          <w:sz w:val="20"/>
          <w:szCs w:val="20"/>
        </w:rPr>
        <w:t>до значення</w:t>
      </w:r>
      <w:r w:rsidRPr="000977F7">
        <w:rPr>
          <w:rFonts w:asciiTheme="majorHAnsi" w:hAnsiTheme="majorHAnsi"/>
          <w:spacing w:val="-2"/>
          <w:sz w:val="20"/>
          <w:szCs w:val="20"/>
        </w:rPr>
        <w:t xml:space="preserve"> </w:t>
      </w:r>
      <w:r w:rsidRPr="000977F7">
        <w:rPr>
          <w:rFonts w:asciiTheme="majorHAnsi" w:hAnsiTheme="majorHAnsi"/>
          <w:sz w:val="20"/>
          <w:szCs w:val="20"/>
        </w:rPr>
        <w:t>цього</w:t>
      </w:r>
      <w:r w:rsidRPr="000977F7">
        <w:rPr>
          <w:rFonts w:asciiTheme="majorHAnsi" w:hAnsiTheme="majorHAnsi"/>
          <w:spacing w:val="3"/>
          <w:sz w:val="20"/>
          <w:szCs w:val="20"/>
        </w:rPr>
        <w:t xml:space="preserve"> </w:t>
      </w:r>
      <w:r w:rsidRPr="000977F7">
        <w:rPr>
          <w:rFonts w:asciiTheme="majorHAnsi" w:hAnsiTheme="majorHAnsi"/>
          <w:sz w:val="20"/>
          <w:szCs w:val="20"/>
        </w:rPr>
        <w:t>наробітку</w:t>
      </w:r>
    </w:p>
    <w:p w14:paraId="4D066CA1"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i/>
          <w:sz w:val="20"/>
          <w:szCs w:val="20"/>
        </w:rPr>
        <w:t>ДСТУ</w:t>
      </w:r>
      <w:r w:rsidRPr="000977F7">
        <w:rPr>
          <w:rFonts w:asciiTheme="majorHAnsi" w:hAnsiTheme="majorHAnsi"/>
          <w:i/>
          <w:spacing w:val="6"/>
          <w:sz w:val="20"/>
          <w:szCs w:val="20"/>
        </w:rPr>
        <w:t xml:space="preserve"> </w:t>
      </w:r>
      <w:r w:rsidRPr="000977F7">
        <w:rPr>
          <w:rFonts w:asciiTheme="majorHAnsi" w:hAnsiTheme="majorHAnsi"/>
          <w:i/>
          <w:sz w:val="20"/>
          <w:szCs w:val="20"/>
        </w:rPr>
        <w:t>2860</w:t>
      </w:r>
      <w:r w:rsidRPr="000977F7">
        <w:rPr>
          <w:rFonts w:asciiTheme="majorHAnsi" w:hAnsiTheme="majorHAnsi"/>
          <w:i/>
          <w:spacing w:val="8"/>
          <w:sz w:val="20"/>
          <w:szCs w:val="20"/>
        </w:rPr>
        <w:t xml:space="preserve"> </w:t>
      </w:r>
      <w:r w:rsidRPr="000977F7">
        <w:rPr>
          <w:rFonts w:asciiTheme="majorHAnsi" w:hAnsiTheme="majorHAnsi"/>
          <w:i/>
          <w:sz w:val="20"/>
          <w:szCs w:val="20"/>
        </w:rPr>
        <w:t>–</w:t>
      </w:r>
      <w:r w:rsidRPr="000977F7">
        <w:rPr>
          <w:rFonts w:asciiTheme="majorHAnsi" w:hAnsiTheme="majorHAnsi"/>
          <w:i/>
          <w:spacing w:val="8"/>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b/>
          <w:sz w:val="20"/>
          <w:szCs w:val="20"/>
        </w:rPr>
        <w:t>ПАРАМЕТР ПРОДУКЦІЇ –</w:t>
      </w:r>
      <w:r w:rsidRPr="000977F7">
        <w:rPr>
          <w:rFonts w:asciiTheme="majorHAnsi" w:hAnsiTheme="majorHAnsi"/>
          <w:b/>
          <w:spacing w:val="-47"/>
          <w:sz w:val="20"/>
          <w:szCs w:val="20"/>
        </w:rPr>
        <w:t xml:space="preserve"> </w:t>
      </w:r>
      <w:r w:rsidRPr="000977F7">
        <w:rPr>
          <w:rFonts w:asciiTheme="majorHAnsi" w:hAnsiTheme="majorHAnsi"/>
          <w:sz w:val="20"/>
          <w:szCs w:val="20"/>
        </w:rPr>
        <w:t>PARAMETER</w:t>
      </w:r>
      <w:r w:rsidRPr="000977F7">
        <w:rPr>
          <w:rFonts w:asciiTheme="majorHAnsi" w:hAnsiTheme="majorHAnsi"/>
          <w:spacing w:val="-1"/>
          <w:sz w:val="20"/>
          <w:szCs w:val="20"/>
        </w:rPr>
        <w:t xml:space="preserve"> </w:t>
      </w:r>
      <w:r w:rsidRPr="000977F7">
        <w:rPr>
          <w:rFonts w:asciiTheme="majorHAnsi" w:hAnsiTheme="majorHAnsi"/>
          <w:b/>
          <w:sz w:val="20"/>
          <w:szCs w:val="20"/>
        </w:rPr>
        <w:t>–</w:t>
      </w:r>
    </w:p>
    <w:p w14:paraId="0A8235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Ознака продукції, яка кількісно характеризує її властивості</w:t>
      </w:r>
    </w:p>
    <w:p w14:paraId="403D0842"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2925</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r w:rsidRPr="004D2D14">
        <w:rPr>
          <w:rFonts w:asciiTheme="majorHAnsi" w:hAnsiTheme="majorHAnsi"/>
          <w:i/>
          <w:spacing w:val="-1"/>
          <w:sz w:val="20"/>
          <w:szCs w:val="20"/>
          <w:lang w:val="en-US"/>
        </w:rPr>
        <w:t xml:space="preserve"> </w:t>
      </w: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3278 –</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00729A9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ПАРАМЕТР</w:t>
      </w:r>
      <w:r w:rsidRPr="000977F7">
        <w:rPr>
          <w:color w:val="auto"/>
          <w:spacing w:val="-7"/>
          <w:sz w:val="20"/>
          <w:szCs w:val="20"/>
        </w:rPr>
        <w:t xml:space="preserve"> </w:t>
      </w:r>
      <w:r w:rsidRPr="000977F7">
        <w:rPr>
          <w:color w:val="auto"/>
          <w:sz w:val="20"/>
          <w:szCs w:val="20"/>
        </w:rPr>
        <w:t>СИГНАЛУ</w:t>
      </w:r>
      <w:r w:rsidRPr="000977F7">
        <w:rPr>
          <w:color w:val="auto"/>
          <w:spacing w:val="-4"/>
          <w:sz w:val="20"/>
          <w:szCs w:val="20"/>
        </w:rPr>
        <w:t xml:space="preserve"> </w:t>
      </w:r>
      <w:r w:rsidRPr="000977F7">
        <w:rPr>
          <w:color w:val="auto"/>
          <w:sz w:val="20"/>
          <w:szCs w:val="20"/>
        </w:rPr>
        <w:t>–</w:t>
      </w:r>
    </w:p>
    <w:p w14:paraId="47A0E7F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SIGNAL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PARAMETER</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02F0FF6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Характеристика</w:t>
      </w:r>
      <w:r w:rsidRPr="000977F7">
        <w:rPr>
          <w:rFonts w:asciiTheme="majorHAnsi" w:hAnsiTheme="majorHAnsi"/>
          <w:spacing w:val="1"/>
          <w:sz w:val="20"/>
          <w:szCs w:val="20"/>
        </w:rPr>
        <w:t xml:space="preserve"> </w:t>
      </w:r>
      <w:r w:rsidRPr="000977F7">
        <w:rPr>
          <w:rFonts w:asciiTheme="majorHAnsi" w:hAnsiTheme="majorHAnsi"/>
          <w:sz w:val="20"/>
          <w:szCs w:val="20"/>
        </w:rPr>
        <w:t>сигналу,</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відображає</w:t>
      </w:r>
      <w:r w:rsidRPr="000977F7">
        <w:rPr>
          <w:rFonts w:asciiTheme="majorHAnsi" w:hAnsiTheme="majorHAnsi"/>
          <w:spacing w:val="1"/>
          <w:sz w:val="20"/>
          <w:szCs w:val="20"/>
        </w:rPr>
        <w:t xml:space="preserve"> </w:t>
      </w:r>
      <w:r w:rsidRPr="000977F7">
        <w:rPr>
          <w:rFonts w:asciiTheme="majorHAnsi" w:hAnsiTheme="majorHAnsi"/>
          <w:sz w:val="20"/>
          <w:szCs w:val="20"/>
        </w:rPr>
        <w:t>фізичну</w:t>
      </w:r>
      <w:r w:rsidRPr="000977F7">
        <w:rPr>
          <w:rFonts w:asciiTheme="majorHAnsi" w:hAnsiTheme="majorHAnsi"/>
          <w:spacing w:val="1"/>
          <w:sz w:val="20"/>
          <w:szCs w:val="20"/>
        </w:rPr>
        <w:t xml:space="preserve"> </w:t>
      </w:r>
      <w:r w:rsidRPr="000977F7">
        <w:rPr>
          <w:rFonts w:asciiTheme="majorHAnsi" w:hAnsiTheme="majorHAnsi"/>
          <w:sz w:val="20"/>
          <w:szCs w:val="20"/>
        </w:rPr>
        <w:t>величину</w:t>
      </w:r>
    </w:p>
    <w:p w14:paraId="7281CDB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Одна із властивостей сигналу, яка є фізичною величиною</w:t>
      </w:r>
    </w:p>
    <w:p w14:paraId="78BE603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A7D1FE0"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ПАРАМЕТРИ-КРИТЕРІЇ</w:t>
      </w:r>
      <w:r w:rsidRPr="000977F7">
        <w:rPr>
          <w:color w:val="auto"/>
          <w:spacing w:val="-7"/>
          <w:sz w:val="20"/>
          <w:szCs w:val="20"/>
        </w:rPr>
        <w:t xml:space="preserve"> </w:t>
      </w:r>
      <w:r w:rsidRPr="000977F7">
        <w:rPr>
          <w:color w:val="auto"/>
          <w:sz w:val="20"/>
          <w:szCs w:val="20"/>
        </w:rPr>
        <w:t>ПРИДАТНОСТІ</w:t>
      </w:r>
      <w:r w:rsidRPr="000977F7">
        <w:rPr>
          <w:color w:val="auto"/>
          <w:spacing w:val="-4"/>
          <w:sz w:val="20"/>
          <w:szCs w:val="20"/>
        </w:rPr>
        <w:t xml:space="preserve"> </w:t>
      </w:r>
      <w:r w:rsidRPr="000977F7">
        <w:rPr>
          <w:b w:val="0"/>
          <w:color w:val="auto"/>
          <w:sz w:val="20"/>
          <w:szCs w:val="20"/>
        </w:rPr>
        <w:t>–</w:t>
      </w:r>
    </w:p>
    <w:p w14:paraId="6D3CB9C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Параметри виробу, по значенню чи зміні яких вважають</w:t>
      </w:r>
      <w:r w:rsidRPr="000977F7">
        <w:rPr>
          <w:rFonts w:asciiTheme="majorHAnsi" w:hAnsiTheme="majorHAnsi"/>
          <w:spacing w:val="-1"/>
          <w:sz w:val="20"/>
          <w:szCs w:val="20"/>
        </w:rPr>
        <w:t xml:space="preserve"> </w:t>
      </w:r>
      <w:r w:rsidRPr="000977F7">
        <w:rPr>
          <w:rFonts w:asciiTheme="majorHAnsi" w:hAnsiTheme="majorHAnsi"/>
          <w:sz w:val="20"/>
          <w:szCs w:val="20"/>
        </w:rPr>
        <w:t>виріб</w:t>
      </w:r>
      <w:r w:rsidRPr="000977F7">
        <w:rPr>
          <w:rFonts w:asciiTheme="majorHAnsi" w:hAnsiTheme="majorHAnsi"/>
          <w:spacing w:val="-2"/>
          <w:sz w:val="20"/>
          <w:szCs w:val="20"/>
        </w:rPr>
        <w:t xml:space="preserve"> </w:t>
      </w:r>
      <w:r w:rsidRPr="000977F7">
        <w:rPr>
          <w:rFonts w:asciiTheme="majorHAnsi" w:hAnsiTheme="majorHAnsi"/>
          <w:sz w:val="20"/>
          <w:szCs w:val="20"/>
        </w:rPr>
        <w:t>придатним чи</w:t>
      </w:r>
      <w:r w:rsidRPr="000977F7">
        <w:rPr>
          <w:rFonts w:asciiTheme="majorHAnsi" w:hAnsiTheme="majorHAnsi"/>
          <w:spacing w:val="-2"/>
          <w:sz w:val="20"/>
          <w:szCs w:val="20"/>
        </w:rPr>
        <w:t xml:space="preserve"> </w:t>
      </w:r>
      <w:r w:rsidRPr="000977F7">
        <w:rPr>
          <w:rFonts w:asciiTheme="majorHAnsi" w:hAnsiTheme="majorHAnsi"/>
          <w:sz w:val="20"/>
          <w:szCs w:val="20"/>
        </w:rPr>
        <w:t>таким,</w:t>
      </w:r>
      <w:r w:rsidRPr="000977F7">
        <w:rPr>
          <w:rFonts w:asciiTheme="majorHAnsi" w:hAnsiTheme="majorHAnsi"/>
          <w:spacing w:val="-1"/>
          <w:sz w:val="20"/>
          <w:szCs w:val="20"/>
        </w:rPr>
        <w:t xml:space="preserve"> </w:t>
      </w:r>
      <w:r w:rsidRPr="000977F7">
        <w:rPr>
          <w:rFonts w:asciiTheme="majorHAnsi" w:hAnsiTheme="majorHAnsi"/>
          <w:sz w:val="20"/>
          <w:szCs w:val="20"/>
        </w:rPr>
        <w:t>що відмовив</w:t>
      </w:r>
    </w:p>
    <w:p w14:paraId="4DAEF1B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2634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B7CA438"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ПАРАМЕТРИЧНА ВІДМОВА ТЕХНОЛОГІЧНОЇ</w:t>
      </w:r>
      <w:r w:rsidRPr="000977F7">
        <w:rPr>
          <w:rFonts w:asciiTheme="majorHAnsi" w:hAnsiTheme="majorHAnsi"/>
          <w:b/>
          <w:spacing w:val="-47"/>
          <w:sz w:val="20"/>
          <w:szCs w:val="20"/>
        </w:rPr>
        <w:t xml:space="preserve"> </w:t>
      </w:r>
      <w:r w:rsidRPr="000977F7">
        <w:rPr>
          <w:rFonts w:asciiTheme="majorHAnsi" w:hAnsiTheme="majorHAnsi"/>
          <w:b/>
          <w:sz w:val="20"/>
          <w:szCs w:val="20"/>
        </w:rPr>
        <w:t>СИСТЕМИ –</w:t>
      </w:r>
    </w:p>
    <w:p w14:paraId="07B4D9E7"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PARAMETRIC FAILURE OF</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TECHNOLOGICAL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SYSTEM-</w:t>
      </w:r>
    </w:p>
    <w:p w14:paraId="4018396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Відмова</w:t>
      </w:r>
      <w:r w:rsidRPr="004D2D14">
        <w:rPr>
          <w:rFonts w:asciiTheme="majorHAnsi" w:hAnsiTheme="majorHAnsi"/>
          <w:sz w:val="20"/>
          <w:szCs w:val="20"/>
          <w:lang w:val="en-US"/>
        </w:rPr>
        <w:t xml:space="preserve"> </w:t>
      </w:r>
      <w:r w:rsidRPr="000977F7">
        <w:rPr>
          <w:rFonts w:asciiTheme="majorHAnsi" w:hAnsiTheme="majorHAnsi"/>
          <w:sz w:val="20"/>
          <w:szCs w:val="20"/>
        </w:rPr>
        <w:t>технологічної</w:t>
      </w:r>
      <w:r w:rsidRPr="004D2D14">
        <w:rPr>
          <w:rFonts w:asciiTheme="majorHAnsi" w:hAnsiTheme="majorHAnsi"/>
          <w:sz w:val="20"/>
          <w:szCs w:val="20"/>
          <w:lang w:val="en-US"/>
        </w:rPr>
        <w:t xml:space="preserve"> </w:t>
      </w:r>
      <w:r w:rsidRPr="000977F7">
        <w:rPr>
          <w:rFonts w:asciiTheme="majorHAnsi" w:hAnsiTheme="majorHAnsi"/>
          <w:sz w:val="20"/>
          <w:szCs w:val="20"/>
        </w:rPr>
        <w:t>системи</w:t>
      </w:r>
      <w:r w:rsidRPr="004D2D14">
        <w:rPr>
          <w:rFonts w:asciiTheme="majorHAnsi" w:hAnsiTheme="majorHAnsi"/>
          <w:sz w:val="20"/>
          <w:szCs w:val="20"/>
          <w:lang w:val="en-US"/>
        </w:rPr>
        <w:t xml:space="preserve">, </w:t>
      </w:r>
      <w:r w:rsidRPr="000977F7">
        <w:rPr>
          <w:rFonts w:asciiTheme="majorHAnsi" w:hAnsiTheme="majorHAnsi"/>
          <w:sz w:val="20"/>
          <w:szCs w:val="20"/>
        </w:rPr>
        <w:t>за</w:t>
      </w:r>
      <w:r w:rsidRPr="004D2D14">
        <w:rPr>
          <w:rFonts w:asciiTheme="majorHAnsi" w:hAnsiTheme="majorHAnsi"/>
          <w:sz w:val="20"/>
          <w:szCs w:val="20"/>
          <w:lang w:val="en-US"/>
        </w:rPr>
        <w:t xml:space="preserve"> </w:t>
      </w:r>
      <w:r w:rsidRPr="000977F7">
        <w:rPr>
          <w:rFonts w:asciiTheme="majorHAnsi" w:hAnsiTheme="majorHAnsi"/>
          <w:sz w:val="20"/>
          <w:szCs w:val="20"/>
        </w:rPr>
        <w:t>якої</w:t>
      </w:r>
      <w:r w:rsidRPr="004D2D14">
        <w:rPr>
          <w:rFonts w:asciiTheme="majorHAnsi" w:hAnsiTheme="majorHAnsi"/>
          <w:sz w:val="20"/>
          <w:szCs w:val="20"/>
          <w:lang w:val="en-US"/>
        </w:rPr>
        <w:t xml:space="preserve"> </w:t>
      </w:r>
      <w:r w:rsidRPr="000977F7">
        <w:rPr>
          <w:rFonts w:asciiTheme="majorHAnsi" w:hAnsiTheme="majorHAnsi"/>
          <w:sz w:val="20"/>
          <w:szCs w:val="20"/>
        </w:rPr>
        <w:t>зберігається</w:t>
      </w:r>
      <w:r w:rsidRPr="004D2D14">
        <w:rPr>
          <w:rFonts w:asciiTheme="majorHAnsi" w:hAnsiTheme="majorHAnsi"/>
          <w:sz w:val="20"/>
          <w:szCs w:val="20"/>
          <w:lang w:val="en-US"/>
        </w:rPr>
        <w:t xml:space="preserve"> </w:t>
      </w:r>
      <w:r w:rsidRPr="000977F7">
        <w:rPr>
          <w:rFonts w:asciiTheme="majorHAnsi" w:hAnsiTheme="majorHAnsi"/>
          <w:sz w:val="20"/>
          <w:szCs w:val="20"/>
        </w:rPr>
        <w:t>її</w:t>
      </w:r>
      <w:r w:rsidRPr="004D2D14">
        <w:rPr>
          <w:rFonts w:asciiTheme="majorHAnsi" w:hAnsiTheme="majorHAnsi"/>
          <w:spacing w:val="1"/>
          <w:sz w:val="20"/>
          <w:szCs w:val="20"/>
          <w:lang w:val="en-US"/>
        </w:rPr>
        <w:t xml:space="preserve"> </w:t>
      </w:r>
      <w:r w:rsidRPr="000977F7">
        <w:rPr>
          <w:rFonts w:asciiTheme="majorHAnsi" w:hAnsiTheme="majorHAnsi"/>
          <w:sz w:val="20"/>
          <w:szCs w:val="20"/>
        </w:rPr>
        <w:t>функціонування</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але</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відбувається</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виходження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значення</w:t>
      </w:r>
      <w:r w:rsidRPr="004D2D14">
        <w:rPr>
          <w:rFonts w:asciiTheme="majorHAnsi" w:hAnsiTheme="majorHAnsi"/>
          <w:sz w:val="20"/>
          <w:szCs w:val="20"/>
          <w:lang w:val="en-US"/>
        </w:rPr>
        <w:t xml:space="preserve"> </w:t>
      </w:r>
      <w:r w:rsidRPr="000977F7">
        <w:rPr>
          <w:rFonts w:asciiTheme="majorHAnsi" w:hAnsiTheme="majorHAnsi"/>
          <w:sz w:val="20"/>
          <w:szCs w:val="20"/>
        </w:rPr>
        <w:t>одного</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декількох</w:t>
      </w:r>
      <w:r w:rsidRPr="004D2D14">
        <w:rPr>
          <w:rFonts w:asciiTheme="majorHAnsi" w:hAnsiTheme="majorHAnsi"/>
          <w:sz w:val="20"/>
          <w:szCs w:val="20"/>
          <w:lang w:val="en-US"/>
        </w:rPr>
        <w:t xml:space="preserve"> </w:t>
      </w:r>
      <w:r w:rsidRPr="000977F7">
        <w:rPr>
          <w:rFonts w:asciiTheme="majorHAnsi" w:hAnsiTheme="majorHAnsi"/>
          <w:sz w:val="20"/>
          <w:szCs w:val="20"/>
        </w:rPr>
        <w:t>параметрів</w:t>
      </w:r>
      <w:r w:rsidRPr="004D2D14">
        <w:rPr>
          <w:rFonts w:asciiTheme="majorHAnsi" w:hAnsiTheme="majorHAnsi"/>
          <w:sz w:val="20"/>
          <w:szCs w:val="20"/>
          <w:lang w:val="en-US"/>
        </w:rPr>
        <w:t xml:space="preserve"> </w:t>
      </w:r>
      <w:r w:rsidRPr="000977F7">
        <w:rPr>
          <w:rFonts w:asciiTheme="majorHAnsi" w:hAnsiTheme="majorHAnsi"/>
          <w:sz w:val="20"/>
          <w:szCs w:val="20"/>
        </w:rPr>
        <w:t>технологічного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процесу</w:t>
      </w:r>
      <w:r w:rsidRPr="004D2D14">
        <w:rPr>
          <w:rFonts w:asciiTheme="majorHAnsi" w:hAnsiTheme="majorHAnsi"/>
          <w:sz w:val="20"/>
          <w:szCs w:val="20"/>
          <w:lang w:val="en-US"/>
        </w:rPr>
        <w:t xml:space="preserve"> </w:t>
      </w:r>
      <w:r w:rsidRPr="000977F7">
        <w:rPr>
          <w:rFonts w:asciiTheme="majorHAnsi" w:hAnsiTheme="majorHAnsi"/>
          <w:sz w:val="20"/>
          <w:szCs w:val="20"/>
        </w:rPr>
        <w:t>за</w:t>
      </w:r>
      <w:r w:rsidRPr="004D2D14">
        <w:rPr>
          <w:rFonts w:asciiTheme="majorHAnsi" w:hAnsiTheme="majorHAnsi"/>
          <w:sz w:val="20"/>
          <w:szCs w:val="20"/>
          <w:lang w:val="en-US"/>
        </w:rPr>
        <w:t xml:space="preserve"> </w:t>
      </w:r>
      <w:r w:rsidRPr="000977F7">
        <w:rPr>
          <w:rFonts w:asciiTheme="majorHAnsi" w:hAnsiTheme="majorHAnsi"/>
          <w:sz w:val="20"/>
          <w:szCs w:val="20"/>
        </w:rPr>
        <w:t>межі</w:t>
      </w:r>
      <w:r w:rsidRPr="004D2D14">
        <w:rPr>
          <w:rFonts w:asciiTheme="majorHAnsi" w:hAnsiTheme="majorHAnsi"/>
          <w:sz w:val="20"/>
          <w:szCs w:val="20"/>
          <w:lang w:val="en-US"/>
        </w:rPr>
        <w:t xml:space="preserve">, </w:t>
      </w:r>
      <w:r w:rsidRPr="000977F7">
        <w:rPr>
          <w:rFonts w:asciiTheme="majorHAnsi" w:hAnsiTheme="majorHAnsi"/>
          <w:sz w:val="20"/>
          <w:szCs w:val="20"/>
        </w:rPr>
        <w:t>які</w:t>
      </w:r>
      <w:r w:rsidRPr="004D2D14">
        <w:rPr>
          <w:rFonts w:asciiTheme="majorHAnsi" w:hAnsiTheme="majorHAnsi"/>
          <w:sz w:val="20"/>
          <w:szCs w:val="20"/>
          <w:lang w:val="en-US"/>
        </w:rPr>
        <w:t xml:space="preserve"> </w:t>
      </w:r>
      <w:r w:rsidRPr="000977F7">
        <w:rPr>
          <w:rFonts w:asciiTheme="majorHAnsi" w:hAnsiTheme="majorHAnsi"/>
          <w:sz w:val="20"/>
          <w:szCs w:val="20"/>
        </w:rPr>
        <w:t>встановлені</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нормативно</w:t>
      </w:r>
      <w:r w:rsidRPr="004D2D14">
        <w:rPr>
          <w:rFonts w:asciiTheme="majorHAnsi" w:hAnsiTheme="majorHAnsi"/>
          <w:sz w:val="20"/>
          <w:szCs w:val="20"/>
          <w:lang w:val="en-US"/>
        </w:rPr>
        <w:t xml:space="preserve"> </w:t>
      </w:r>
      <w:r w:rsidRPr="000977F7">
        <w:rPr>
          <w:rFonts w:asciiTheme="majorHAnsi" w:hAnsiTheme="majorHAnsi"/>
          <w:sz w:val="20"/>
          <w:szCs w:val="20"/>
        </w:rPr>
        <w:t>технічній</w:t>
      </w:r>
      <w:r w:rsidRPr="004D2D14">
        <w:rPr>
          <w:rFonts w:asciiTheme="majorHAnsi" w:hAnsiTheme="majorHAnsi"/>
          <w:spacing w:val="-2"/>
          <w:sz w:val="20"/>
          <w:szCs w:val="20"/>
          <w:lang w:val="en-US"/>
        </w:rPr>
        <w:t xml:space="preserve"> </w:t>
      </w:r>
      <w:r w:rsidRPr="000977F7">
        <w:rPr>
          <w:rFonts w:asciiTheme="majorHAnsi" w:hAnsiTheme="majorHAnsi"/>
          <w:sz w:val="20"/>
          <w:szCs w:val="20"/>
        </w:rPr>
        <w:t>і</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r w:rsidRPr="000977F7">
        <w:rPr>
          <w:rFonts w:asciiTheme="majorHAnsi" w:hAnsiTheme="majorHAnsi"/>
          <w:sz w:val="20"/>
          <w:szCs w:val="20"/>
        </w:rPr>
        <w:t>чи</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конструкторській</w:t>
      </w:r>
      <w:r w:rsidRPr="004D2D14">
        <w:rPr>
          <w:rFonts w:asciiTheme="majorHAnsi" w:hAnsiTheme="majorHAnsi"/>
          <w:spacing w:val="-1"/>
          <w:sz w:val="20"/>
          <w:szCs w:val="20"/>
          <w:lang w:val="en-US"/>
        </w:rPr>
        <w:t xml:space="preserve"> </w:t>
      </w:r>
      <w:r w:rsidRPr="000977F7">
        <w:rPr>
          <w:rFonts w:asciiTheme="majorHAnsi" w:hAnsiTheme="majorHAnsi"/>
          <w:sz w:val="20"/>
          <w:szCs w:val="20"/>
        </w:rPr>
        <w:t>документації</w:t>
      </w:r>
      <w:r w:rsidRPr="004D2D14">
        <w:rPr>
          <w:rFonts w:asciiTheme="majorHAnsi" w:hAnsiTheme="majorHAnsi"/>
          <w:sz w:val="20"/>
          <w:szCs w:val="20"/>
          <w:lang w:val="en-US"/>
        </w:rPr>
        <w:t>.</w:t>
      </w:r>
    </w:p>
    <w:p w14:paraId="7C5FE18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Параметрична відмова технологічної системи виявляється у виході параметрів функціонування окремих її</w:t>
      </w:r>
      <w:r w:rsidRPr="000977F7">
        <w:rPr>
          <w:rFonts w:asciiTheme="majorHAnsi" w:hAnsiTheme="majorHAnsi"/>
          <w:spacing w:val="1"/>
          <w:sz w:val="20"/>
          <w:szCs w:val="20"/>
        </w:rPr>
        <w:t xml:space="preserve"> </w:t>
      </w:r>
      <w:r w:rsidRPr="000977F7">
        <w:rPr>
          <w:rFonts w:asciiTheme="majorHAnsi" w:hAnsiTheme="majorHAnsi"/>
          <w:sz w:val="20"/>
          <w:szCs w:val="20"/>
        </w:rPr>
        <w:t>елементів за допустимі межі. Наприклад: вихід значень</w:t>
      </w:r>
      <w:r w:rsidRPr="000977F7">
        <w:rPr>
          <w:rFonts w:asciiTheme="majorHAnsi" w:hAnsiTheme="majorHAnsi"/>
          <w:spacing w:val="1"/>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деталей</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поле</w:t>
      </w:r>
      <w:r w:rsidRPr="000977F7">
        <w:rPr>
          <w:rFonts w:asciiTheme="majorHAnsi" w:hAnsiTheme="majorHAnsi"/>
          <w:spacing w:val="1"/>
          <w:sz w:val="20"/>
          <w:szCs w:val="20"/>
        </w:rPr>
        <w:t xml:space="preserve"> </w:t>
      </w:r>
      <w:r w:rsidRPr="000977F7">
        <w:rPr>
          <w:rFonts w:asciiTheme="majorHAnsi" w:hAnsiTheme="majorHAnsi"/>
          <w:sz w:val="20"/>
          <w:szCs w:val="20"/>
        </w:rPr>
        <w:t>допуску</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47"/>
          <w:sz w:val="20"/>
          <w:szCs w:val="20"/>
        </w:rPr>
        <w:t xml:space="preserve"> </w:t>
      </w:r>
      <w:r w:rsidRPr="000977F7">
        <w:rPr>
          <w:rFonts w:asciiTheme="majorHAnsi" w:hAnsiTheme="majorHAnsi"/>
          <w:sz w:val="20"/>
          <w:szCs w:val="20"/>
        </w:rPr>
        <w:t>оброблення, зниження ритму випуску нижче заданого</w:t>
      </w:r>
      <w:r w:rsidRPr="000977F7">
        <w:rPr>
          <w:rFonts w:asciiTheme="majorHAnsi" w:hAnsiTheme="majorHAnsi"/>
          <w:spacing w:val="1"/>
          <w:sz w:val="20"/>
          <w:szCs w:val="20"/>
        </w:rPr>
        <w:t xml:space="preserve"> </w:t>
      </w:r>
      <w:r w:rsidRPr="000977F7">
        <w:rPr>
          <w:rFonts w:asciiTheme="majorHAnsi" w:hAnsiTheme="majorHAnsi"/>
          <w:sz w:val="20"/>
          <w:szCs w:val="20"/>
        </w:rPr>
        <w:t>рівня; нерегламентована зміна режимів оброблювання,</w:t>
      </w:r>
      <w:r w:rsidRPr="000977F7">
        <w:rPr>
          <w:rFonts w:asciiTheme="majorHAnsi" w:hAnsiTheme="majorHAnsi"/>
          <w:spacing w:val="1"/>
          <w:sz w:val="20"/>
          <w:szCs w:val="20"/>
        </w:rPr>
        <w:t xml:space="preserve"> </w:t>
      </w:r>
      <w:r w:rsidRPr="000977F7">
        <w:rPr>
          <w:rFonts w:asciiTheme="majorHAnsi" w:hAnsiTheme="majorHAnsi"/>
          <w:sz w:val="20"/>
          <w:szCs w:val="20"/>
        </w:rPr>
        <w:t>перевищення</w:t>
      </w:r>
      <w:r w:rsidRPr="000977F7">
        <w:rPr>
          <w:rFonts w:asciiTheme="majorHAnsi" w:hAnsiTheme="majorHAnsi"/>
          <w:spacing w:val="1"/>
          <w:sz w:val="20"/>
          <w:szCs w:val="20"/>
        </w:rPr>
        <w:t xml:space="preserve"> </w:t>
      </w:r>
      <w:r w:rsidRPr="000977F7">
        <w:rPr>
          <w:rFonts w:asciiTheme="majorHAnsi" w:hAnsiTheme="majorHAnsi"/>
          <w:sz w:val="20"/>
          <w:szCs w:val="20"/>
        </w:rPr>
        <w:t>матеріальних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вартісних</w:t>
      </w:r>
      <w:r w:rsidRPr="000977F7">
        <w:rPr>
          <w:rFonts w:asciiTheme="majorHAnsi" w:hAnsiTheme="majorHAnsi"/>
          <w:spacing w:val="1"/>
          <w:sz w:val="20"/>
          <w:szCs w:val="20"/>
        </w:rPr>
        <w:t xml:space="preserve"> </w:t>
      </w:r>
      <w:r w:rsidRPr="000977F7">
        <w:rPr>
          <w:rFonts w:asciiTheme="majorHAnsi" w:hAnsiTheme="majorHAnsi"/>
          <w:sz w:val="20"/>
          <w:szCs w:val="20"/>
        </w:rPr>
        <w:t>витрат;</w:t>
      </w:r>
      <w:r w:rsidRPr="000977F7">
        <w:rPr>
          <w:rFonts w:asciiTheme="majorHAnsi" w:hAnsiTheme="majorHAnsi"/>
          <w:spacing w:val="-47"/>
          <w:sz w:val="20"/>
          <w:szCs w:val="20"/>
        </w:rPr>
        <w:t xml:space="preserve"> </w:t>
      </w:r>
      <w:r w:rsidRPr="000977F7">
        <w:rPr>
          <w:rFonts w:asciiTheme="majorHAnsi" w:hAnsiTheme="majorHAnsi"/>
          <w:sz w:val="20"/>
          <w:szCs w:val="20"/>
        </w:rPr>
        <w:t>неприпустиме</w:t>
      </w:r>
      <w:r w:rsidRPr="000977F7">
        <w:rPr>
          <w:rFonts w:asciiTheme="majorHAnsi" w:hAnsiTheme="majorHAnsi"/>
          <w:spacing w:val="1"/>
          <w:sz w:val="20"/>
          <w:szCs w:val="20"/>
        </w:rPr>
        <w:t xml:space="preserve"> </w:t>
      </w:r>
      <w:r w:rsidRPr="000977F7">
        <w:rPr>
          <w:rFonts w:asciiTheme="majorHAnsi" w:hAnsiTheme="majorHAnsi"/>
          <w:sz w:val="20"/>
          <w:szCs w:val="20"/>
        </w:rPr>
        <w:t>забруднення</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 причиною якого є процес функціонування розглядуваної</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055B536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2470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B9B7727"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ПАРАМЕТРИЧНИЙ ВИХРОСТРУМОВИЙ</w:t>
      </w:r>
      <w:r w:rsidRPr="000977F7">
        <w:rPr>
          <w:color w:val="auto"/>
          <w:spacing w:val="-47"/>
          <w:sz w:val="20"/>
          <w:szCs w:val="20"/>
        </w:rPr>
        <w:t xml:space="preserve"> </w:t>
      </w:r>
      <w:r w:rsidRPr="000977F7">
        <w:rPr>
          <w:color w:val="auto"/>
          <w:sz w:val="20"/>
          <w:szCs w:val="20"/>
        </w:rPr>
        <w:t>МЕТОД</w:t>
      </w:r>
      <w:r w:rsidRPr="000977F7">
        <w:rPr>
          <w:color w:val="auto"/>
          <w:spacing w:val="-1"/>
          <w:sz w:val="20"/>
          <w:szCs w:val="20"/>
        </w:rPr>
        <w:t xml:space="preserve"> </w:t>
      </w:r>
      <w:r w:rsidRPr="000977F7">
        <w:rPr>
          <w:b w:val="0"/>
          <w:color w:val="auto"/>
          <w:sz w:val="20"/>
          <w:szCs w:val="20"/>
        </w:rPr>
        <w:t>–</w:t>
      </w:r>
    </w:p>
    <w:p w14:paraId="3636D9C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реєстрації змін електромагнітного поля за зміною повного опору</w:t>
      </w:r>
      <w:r w:rsidRPr="000977F7">
        <w:rPr>
          <w:rFonts w:asciiTheme="majorHAnsi" w:hAnsiTheme="majorHAnsi"/>
          <w:spacing w:val="-4"/>
          <w:sz w:val="20"/>
          <w:szCs w:val="20"/>
        </w:rPr>
        <w:t xml:space="preserve"> </w:t>
      </w:r>
      <w:r w:rsidRPr="000977F7">
        <w:rPr>
          <w:rFonts w:asciiTheme="majorHAnsi" w:hAnsiTheme="majorHAnsi"/>
          <w:sz w:val="20"/>
          <w:szCs w:val="20"/>
        </w:rPr>
        <w:t>котушки</w:t>
      </w:r>
      <w:r w:rsidRPr="000977F7">
        <w:rPr>
          <w:rFonts w:asciiTheme="majorHAnsi" w:hAnsiTheme="majorHAnsi"/>
          <w:spacing w:val="-2"/>
          <w:sz w:val="20"/>
          <w:szCs w:val="20"/>
        </w:rPr>
        <w:t xml:space="preserve"> </w:t>
      </w:r>
      <w:r w:rsidRPr="000977F7">
        <w:rPr>
          <w:rFonts w:asciiTheme="majorHAnsi" w:hAnsiTheme="majorHAnsi"/>
          <w:sz w:val="20"/>
          <w:szCs w:val="20"/>
        </w:rPr>
        <w:t>перетворювача</w:t>
      </w:r>
    </w:p>
    <w:p w14:paraId="714C78A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DBCCF8C"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ПАРТІЯ</w:t>
      </w:r>
      <w:r w:rsidRPr="000977F7">
        <w:rPr>
          <w:color w:val="auto"/>
          <w:spacing w:val="-5"/>
          <w:sz w:val="20"/>
          <w:szCs w:val="20"/>
        </w:rPr>
        <w:t xml:space="preserve"> </w:t>
      </w:r>
      <w:r w:rsidRPr="000977F7">
        <w:rPr>
          <w:color w:val="auto"/>
          <w:sz w:val="20"/>
          <w:szCs w:val="20"/>
        </w:rPr>
        <w:t>ПОСТАЧАННЯ</w:t>
      </w:r>
      <w:r w:rsidRPr="000977F7">
        <w:rPr>
          <w:color w:val="auto"/>
          <w:spacing w:val="1"/>
          <w:sz w:val="20"/>
          <w:szCs w:val="20"/>
        </w:rPr>
        <w:t xml:space="preserve"> </w:t>
      </w:r>
      <w:r w:rsidRPr="000977F7">
        <w:rPr>
          <w:b w:val="0"/>
          <w:color w:val="auto"/>
          <w:sz w:val="20"/>
          <w:szCs w:val="20"/>
        </w:rPr>
        <w:t>–</w:t>
      </w:r>
    </w:p>
    <w:p w14:paraId="6F72E88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Норма</w:t>
      </w:r>
      <w:r w:rsidRPr="000977F7">
        <w:rPr>
          <w:rFonts w:asciiTheme="majorHAnsi" w:hAnsiTheme="majorHAnsi"/>
          <w:spacing w:val="1"/>
          <w:sz w:val="20"/>
          <w:szCs w:val="20"/>
        </w:rPr>
        <w:t xml:space="preserve"> </w:t>
      </w:r>
      <w:r w:rsidRPr="000977F7">
        <w:rPr>
          <w:rFonts w:asciiTheme="majorHAnsi" w:hAnsiTheme="majorHAnsi"/>
          <w:sz w:val="20"/>
          <w:szCs w:val="20"/>
        </w:rPr>
        <w:t>відвантаження</w:t>
      </w:r>
      <w:r w:rsidRPr="000977F7">
        <w:rPr>
          <w:rFonts w:asciiTheme="majorHAnsi" w:hAnsiTheme="majorHAnsi"/>
          <w:spacing w:val="1"/>
          <w:sz w:val="20"/>
          <w:szCs w:val="20"/>
        </w:rPr>
        <w:t xml:space="preserve"> </w:t>
      </w:r>
      <w:r w:rsidRPr="000977F7">
        <w:rPr>
          <w:rFonts w:asciiTheme="majorHAnsi" w:hAnsiTheme="majorHAnsi"/>
          <w:sz w:val="20"/>
          <w:szCs w:val="20"/>
        </w:rPr>
        <w:t>виготовлювачем</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оптово-посередницькою</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організацією</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адресу</w:t>
      </w:r>
      <w:r w:rsidRPr="000977F7">
        <w:rPr>
          <w:rFonts w:asciiTheme="majorHAnsi" w:hAnsiTheme="majorHAnsi"/>
          <w:spacing w:val="1"/>
          <w:sz w:val="20"/>
          <w:szCs w:val="20"/>
        </w:rPr>
        <w:t xml:space="preserve"> </w:t>
      </w:r>
      <w:r w:rsidRPr="000977F7">
        <w:rPr>
          <w:rFonts w:asciiTheme="majorHAnsi" w:hAnsiTheme="majorHAnsi"/>
          <w:sz w:val="20"/>
          <w:szCs w:val="20"/>
        </w:rPr>
        <w:t>вантажоодержувача</w:t>
      </w:r>
    </w:p>
    <w:p w14:paraId="264F658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6"/>
          <w:sz w:val="20"/>
          <w:szCs w:val="20"/>
          <w:lang w:val="en-US"/>
        </w:rPr>
        <w:t xml:space="preserve"> </w:t>
      </w:r>
      <w:r w:rsidRPr="004D2D14">
        <w:rPr>
          <w:rFonts w:asciiTheme="majorHAnsi" w:hAnsiTheme="majorHAnsi"/>
          <w:i/>
          <w:sz w:val="20"/>
          <w:szCs w:val="20"/>
          <w:lang w:val="en-US"/>
        </w:rPr>
        <w:t>2960</w:t>
      </w:r>
      <w:r w:rsidRPr="004D2D14">
        <w:rPr>
          <w:rFonts w:asciiTheme="majorHAnsi" w:hAnsiTheme="majorHAnsi"/>
          <w:i/>
          <w:spacing w:val="8"/>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7"/>
          <w:sz w:val="20"/>
          <w:szCs w:val="20"/>
          <w:lang w:val="en-US"/>
        </w:rPr>
        <w:t xml:space="preserve"> </w:t>
      </w:r>
      <w:r w:rsidRPr="004D2D14">
        <w:rPr>
          <w:rFonts w:asciiTheme="majorHAnsi" w:hAnsiTheme="majorHAnsi"/>
          <w:i/>
          <w:sz w:val="20"/>
          <w:szCs w:val="20"/>
          <w:lang w:val="en-US"/>
        </w:rPr>
        <w:t>94</w:t>
      </w:r>
    </w:p>
    <w:p w14:paraId="4EF5AD0D"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en-US"/>
        </w:rPr>
      </w:pPr>
      <w:r w:rsidRPr="000977F7">
        <w:rPr>
          <w:rFonts w:asciiTheme="majorHAnsi" w:hAnsiTheme="majorHAnsi"/>
          <w:b/>
          <w:sz w:val="20"/>
          <w:szCs w:val="20"/>
        </w:rPr>
        <w:t>ПАРТІЯ</w:t>
      </w:r>
      <w:r w:rsidRPr="004D2D14">
        <w:rPr>
          <w:rFonts w:asciiTheme="majorHAnsi" w:hAnsiTheme="majorHAnsi"/>
          <w:b/>
          <w:sz w:val="20"/>
          <w:szCs w:val="20"/>
          <w:lang w:val="en-US"/>
        </w:rPr>
        <w:t xml:space="preserve"> </w:t>
      </w:r>
      <w:r w:rsidRPr="000977F7">
        <w:rPr>
          <w:rFonts w:asciiTheme="majorHAnsi" w:hAnsiTheme="majorHAnsi"/>
          <w:b/>
          <w:sz w:val="20"/>
          <w:szCs w:val="20"/>
        </w:rPr>
        <w:t>ПРОДУКЦІЇ</w:t>
      </w:r>
      <w:r w:rsidRPr="004D2D14">
        <w:rPr>
          <w:rFonts w:asciiTheme="majorHAnsi" w:hAnsiTheme="majorHAnsi"/>
          <w:b/>
          <w:sz w:val="20"/>
          <w:szCs w:val="20"/>
          <w:lang w:val="en-US"/>
        </w:rPr>
        <w:t xml:space="preserve"> –</w:t>
      </w:r>
      <w:r w:rsidRPr="004D2D14">
        <w:rPr>
          <w:rFonts w:asciiTheme="majorHAnsi" w:hAnsiTheme="majorHAnsi"/>
          <w:b/>
          <w:spacing w:val="-47"/>
          <w:sz w:val="20"/>
          <w:szCs w:val="20"/>
          <w:lang w:val="en-US"/>
        </w:rPr>
        <w:t xml:space="preserve"> </w:t>
      </w:r>
    </w:p>
    <w:p w14:paraId="41FCA57D"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INSPECTION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LOT</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1465771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одиниць</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однією</w:t>
      </w:r>
      <w:r w:rsidRPr="000977F7">
        <w:rPr>
          <w:rFonts w:asciiTheme="majorHAnsi" w:hAnsiTheme="majorHAnsi"/>
          <w:spacing w:val="1"/>
          <w:sz w:val="20"/>
          <w:szCs w:val="20"/>
        </w:rPr>
        <w:t xml:space="preserve"> </w:t>
      </w:r>
      <w:r w:rsidRPr="000977F7">
        <w:rPr>
          <w:rFonts w:asciiTheme="majorHAnsi" w:hAnsiTheme="majorHAnsi"/>
          <w:sz w:val="20"/>
          <w:szCs w:val="20"/>
        </w:rPr>
        <w:t>назвою</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однаковим позначенням, виготовлена за певний час та</w:t>
      </w:r>
      <w:r w:rsidRPr="000977F7">
        <w:rPr>
          <w:rFonts w:asciiTheme="majorHAnsi" w:hAnsiTheme="majorHAnsi"/>
          <w:spacing w:val="-47"/>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однакових</w:t>
      </w:r>
      <w:r w:rsidRPr="000977F7">
        <w:rPr>
          <w:rFonts w:asciiTheme="majorHAnsi" w:hAnsiTheme="majorHAnsi"/>
          <w:spacing w:val="2"/>
          <w:sz w:val="20"/>
          <w:szCs w:val="20"/>
        </w:rPr>
        <w:t xml:space="preserve"> </w:t>
      </w:r>
      <w:r w:rsidRPr="000977F7">
        <w:rPr>
          <w:rFonts w:asciiTheme="majorHAnsi" w:hAnsiTheme="majorHAnsi"/>
          <w:sz w:val="20"/>
          <w:szCs w:val="20"/>
        </w:rPr>
        <w:t>умов</w:t>
      </w:r>
    </w:p>
    <w:p w14:paraId="1397710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3D8A73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ПАСИВАЦІЙНА</w:t>
      </w:r>
      <w:r w:rsidRPr="000977F7">
        <w:rPr>
          <w:color w:val="auto"/>
          <w:spacing w:val="-4"/>
          <w:sz w:val="20"/>
          <w:szCs w:val="20"/>
        </w:rPr>
        <w:t xml:space="preserve"> </w:t>
      </w:r>
      <w:r w:rsidRPr="000977F7">
        <w:rPr>
          <w:color w:val="auto"/>
          <w:sz w:val="20"/>
          <w:szCs w:val="20"/>
        </w:rPr>
        <w:t>РЕЧОВИНА;</w:t>
      </w:r>
      <w:r w:rsidRPr="000977F7">
        <w:rPr>
          <w:color w:val="auto"/>
          <w:spacing w:val="-4"/>
          <w:sz w:val="20"/>
          <w:szCs w:val="20"/>
        </w:rPr>
        <w:t xml:space="preserve"> </w:t>
      </w:r>
      <w:r w:rsidRPr="000977F7">
        <w:rPr>
          <w:color w:val="auto"/>
          <w:sz w:val="20"/>
          <w:szCs w:val="20"/>
        </w:rPr>
        <w:t>ПАСИВАТОР</w:t>
      </w:r>
      <w:r w:rsidRPr="000977F7">
        <w:rPr>
          <w:color w:val="auto"/>
          <w:spacing w:val="-2"/>
          <w:sz w:val="20"/>
          <w:szCs w:val="20"/>
        </w:rPr>
        <w:t xml:space="preserve"> </w:t>
      </w:r>
      <w:r w:rsidRPr="000977F7">
        <w:rPr>
          <w:color w:val="auto"/>
          <w:sz w:val="20"/>
          <w:szCs w:val="20"/>
        </w:rPr>
        <w:t>—</w:t>
      </w:r>
    </w:p>
    <w:p w14:paraId="199391E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PASSIVATOR</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4D50B8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Речовина,</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сприяє</w:t>
      </w:r>
      <w:r w:rsidRPr="000977F7">
        <w:rPr>
          <w:rFonts w:asciiTheme="majorHAnsi" w:hAnsiTheme="majorHAnsi"/>
          <w:spacing w:val="1"/>
          <w:sz w:val="20"/>
          <w:szCs w:val="20"/>
        </w:rPr>
        <w:t xml:space="preserve"> </w:t>
      </w:r>
      <w:r w:rsidRPr="000977F7">
        <w:rPr>
          <w:rFonts w:asciiTheme="majorHAnsi" w:hAnsiTheme="majorHAnsi"/>
          <w:sz w:val="20"/>
          <w:szCs w:val="20"/>
        </w:rPr>
        <w:t>виникненню</w:t>
      </w:r>
      <w:r w:rsidRPr="000977F7">
        <w:rPr>
          <w:rFonts w:asciiTheme="majorHAnsi" w:hAnsiTheme="majorHAnsi"/>
          <w:spacing w:val="1"/>
          <w:sz w:val="20"/>
          <w:szCs w:val="20"/>
        </w:rPr>
        <w:t xml:space="preserve"> </w:t>
      </w:r>
      <w:r w:rsidRPr="000977F7">
        <w:rPr>
          <w:rFonts w:asciiTheme="majorHAnsi" w:hAnsiTheme="majorHAnsi"/>
          <w:sz w:val="20"/>
          <w:szCs w:val="20"/>
        </w:rPr>
        <w:t>пасивного</w:t>
      </w:r>
      <w:r w:rsidRPr="000977F7">
        <w:rPr>
          <w:rFonts w:asciiTheme="majorHAnsi" w:hAnsiTheme="majorHAnsi"/>
          <w:spacing w:val="1"/>
          <w:sz w:val="20"/>
          <w:szCs w:val="20"/>
        </w:rPr>
        <w:t xml:space="preserve"> </w:t>
      </w:r>
      <w:r w:rsidRPr="000977F7">
        <w:rPr>
          <w:rFonts w:asciiTheme="majorHAnsi" w:hAnsiTheme="majorHAnsi"/>
          <w:sz w:val="20"/>
          <w:szCs w:val="20"/>
        </w:rPr>
        <w:t>стану</w:t>
      </w:r>
      <w:r w:rsidRPr="000977F7">
        <w:rPr>
          <w:rFonts w:asciiTheme="majorHAnsi" w:hAnsiTheme="majorHAnsi"/>
          <w:spacing w:val="1"/>
          <w:sz w:val="20"/>
          <w:szCs w:val="20"/>
        </w:rPr>
        <w:t xml:space="preserve"> </w:t>
      </w:r>
      <w:r w:rsidRPr="000977F7">
        <w:rPr>
          <w:rFonts w:asciiTheme="majorHAnsi" w:hAnsiTheme="majorHAnsi"/>
          <w:sz w:val="20"/>
          <w:szCs w:val="20"/>
        </w:rPr>
        <w:t>металу</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умовах</w:t>
      </w:r>
      <w:r w:rsidRPr="000977F7">
        <w:rPr>
          <w:rFonts w:asciiTheme="majorHAnsi" w:hAnsiTheme="majorHAnsi"/>
          <w:spacing w:val="-1"/>
          <w:sz w:val="20"/>
          <w:szCs w:val="20"/>
        </w:rPr>
        <w:t xml:space="preserve"> </w:t>
      </w:r>
      <w:r w:rsidRPr="000977F7">
        <w:rPr>
          <w:rFonts w:asciiTheme="majorHAnsi" w:hAnsiTheme="majorHAnsi"/>
          <w:sz w:val="20"/>
          <w:szCs w:val="20"/>
        </w:rPr>
        <w:t>пасивації</w:t>
      </w:r>
    </w:p>
    <w:p w14:paraId="2CBF7328"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3830 – 98</w:t>
      </w:r>
    </w:p>
    <w:p w14:paraId="47B1854C"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ПАСИВАЦІЯ -</w:t>
      </w:r>
    </w:p>
    <w:p w14:paraId="00537E3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PASSIVATION</w:t>
      </w:r>
      <w:r w:rsidRPr="000977F7">
        <w:rPr>
          <w:rFonts w:asciiTheme="majorHAnsi" w:hAnsiTheme="majorHAnsi"/>
          <w:spacing w:val="-12"/>
          <w:sz w:val="20"/>
          <w:szCs w:val="20"/>
        </w:rPr>
        <w:t xml:space="preserve"> </w:t>
      </w:r>
      <w:r w:rsidRPr="000977F7">
        <w:rPr>
          <w:rFonts w:asciiTheme="majorHAnsi" w:hAnsiTheme="majorHAnsi"/>
          <w:sz w:val="20"/>
          <w:szCs w:val="20"/>
        </w:rPr>
        <w:t>–</w:t>
      </w:r>
    </w:p>
    <w:p w14:paraId="1E1CDF8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Різке зменшення швидкості корозії внаслідок гальмування анодної реакції іонізації металу в процесі утворення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поверхні</w:t>
      </w:r>
      <w:r w:rsidRPr="000977F7">
        <w:rPr>
          <w:rFonts w:asciiTheme="majorHAnsi" w:hAnsiTheme="majorHAnsi"/>
          <w:spacing w:val="1"/>
          <w:sz w:val="20"/>
          <w:szCs w:val="20"/>
        </w:rPr>
        <w:t xml:space="preserve"> </w:t>
      </w:r>
      <w:r w:rsidRPr="000977F7">
        <w:rPr>
          <w:rFonts w:asciiTheme="majorHAnsi" w:hAnsiTheme="majorHAnsi"/>
          <w:sz w:val="20"/>
          <w:szCs w:val="20"/>
        </w:rPr>
        <w:t>фазових</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адсорбційних</w:t>
      </w:r>
      <w:r w:rsidRPr="000977F7">
        <w:rPr>
          <w:rFonts w:asciiTheme="majorHAnsi" w:hAnsiTheme="majorHAnsi"/>
          <w:spacing w:val="1"/>
          <w:sz w:val="20"/>
          <w:szCs w:val="20"/>
        </w:rPr>
        <w:t xml:space="preserve"> </w:t>
      </w:r>
      <w:r w:rsidRPr="000977F7">
        <w:rPr>
          <w:rFonts w:asciiTheme="majorHAnsi" w:hAnsiTheme="majorHAnsi"/>
          <w:sz w:val="20"/>
          <w:szCs w:val="20"/>
        </w:rPr>
        <w:t>шарів</w:t>
      </w:r>
    </w:p>
    <w:p w14:paraId="54B789E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2031EE3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ПАСИВНИЙ</w:t>
      </w:r>
      <w:r w:rsidRPr="000977F7">
        <w:rPr>
          <w:color w:val="auto"/>
          <w:spacing w:val="-4"/>
          <w:sz w:val="20"/>
          <w:szCs w:val="20"/>
        </w:rPr>
        <w:t xml:space="preserve"> </w:t>
      </w:r>
      <w:r w:rsidRPr="000977F7">
        <w:rPr>
          <w:color w:val="auto"/>
          <w:sz w:val="20"/>
          <w:szCs w:val="20"/>
        </w:rPr>
        <w:t>ЕКСПЕРИМЕНТ</w:t>
      </w:r>
      <w:r w:rsidRPr="000977F7">
        <w:rPr>
          <w:color w:val="auto"/>
          <w:spacing w:val="-3"/>
          <w:sz w:val="20"/>
          <w:szCs w:val="20"/>
        </w:rPr>
        <w:t xml:space="preserve"> </w:t>
      </w:r>
      <w:r w:rsidRPr="000977F7">
        <w:rPr>
          <w:color w:val="auto"/>
          <w:sz w:val="20"/>
          <w:szCs w:val="20"/>
        </w:rPr>
        <w:t>–</w:t>
      </w:r>
    </w:p>
    <w:p w14:paraId="368D37A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Експеримент, при якому</w:t>
      </w:r>
      <w:r w:rsidRPr="000977F7">
        <w:rPr>
          <w:rFonts w:asciiTheme="majorHAnsi" w:hAnsiTheme="majorHAnsi"/>
          <w:spacing w:val="1"/>
          <w:sz w:val="20"/>
          <w:szCs w:val="20"/>
        </w:rPr>
        <w:t xml:space="preserve"> </w:t>
      </w:r>
      <w:r w:rsidRPr="000977F7">
        <w:rPr>
          <w:rFonts w:asciiTheme="majorHAnsi" w:hAnsiTheme="majorHAnsi"/>
          <w:sz w:val="20"/>
          <w:szCs w:val="20"/>
        </w:rPr>
        <w:t>рівні факторів в кожному</w:t>
      </w:r>
      <w:r w:rsidRPr="000977F7">
        <w:rPr>
          <w:rFonts w:asciiTheme="majorHAnsi" w:hAnsiTheme="majorHAnsi"/>
          <w:spacing w:val="1"/>
          <w:sz w:val="20"/>
          <w:szCs w:val="20"/>
        </w:rPr>
        <w:t xml:space="preserve"> </w:t>
      </w:r>
      <w:r w:rsidRPr="000977F7">
        <w:rPr>
          <w:rFonts w:asciiTheme="majorHAnsi" w:hAnsiTheme="majorHAnsi"/>
          <w:sz w:val="20"/>
          <w:szCs w:val="20"/>
        </w:rPr>
        <w:t>досліді</w:t>
      </w:r>
      <w:r w:rsidRPr="000977F7">
        <w:rPr>
          <w:rFonts w:asciiTheme="majorHAnsi" w:hAnsiTheme="majorHAnsi"/>
          <w:spacing w:val="-4"/>
          <w:sz w:val="20"/>
          <w:szCs w:val="20"/>
        </w:rPr>
        <w:t xml:space="preserve"> </w:t>
      </w:r>
      <w:r w:rsidRPr="000977F7">
        <w:rPr>
          <w:rFonts w:asciiTheme="majorHAnsi" w:hAnsiTheme="majorHAnsi"/>
          <w:sz w:val="20"/>
          <w:szCs w:val="20"/>
        </w:rPr>
        <w:t>реєструються дослідником,</w:t>
      </w:r>
      <w:r w:rsidRPr="000977F7">
        <w:rPr>
          <w:rFonts w:asciiTheme="majorHAnsi" w:hAnsiTheme="majorHAnsi"/>
          <w:spacing w:val="-3"/>
          <w:sz w:val="20"/>
          <w:szCs w:val="20"/>
        </w:rPr>
        <w:t xml:space="preserve"> </w:t>
      </w:r>
      <w:r w:rsidRPr="000977F7">
        <w:rPr>
          <w:rFonts w:asciiTheme="majorHAnsi" w:hAnsiTheme="majorHAnsi"/>
          <w:sz w:val="20"/>
          <w:szCs w:val="20"/>
        </w:rPr>
        <w:t>але</w:t>
      </w:r>
      <w:r w:rsidRPr="000977F7">
        <w:rPr>
          <w:rFonts w:asciiTheme="majorHAnsi" w:hAnsiTheme="majorHAnsi"/>
          <w:spacing w:val="-2"/>
          <w:sz w:val="20"/>
          <w:szCs w:val="20"/>
        </w:rPr>
        <w:t xml:space="preserve"> </w:t>
      </w:r>
      <w:r w:rsidRPr="000977F7">
        <w:rPr>
          <w:rFonts w:asciiTheme="majorHAnsi" w:hAnsiTheme="majorHAnsi"/>
          <w:sz w:val="20"/>
          <w:szCs w:val="20"/>
        </w:rPr>
        <w:t>не</w:t>
      </w:r>
      <w:r w:rsidRPr="000977F7">
        <w:rPr>
          <w:rFonts w:asciiTheme="majorHAnsi" w:hAnsiTheme="majorHAnsi"/>
          <w:spacing w:val="-2"/>
          <w:sz w:val="20"/>
          <w:szCs w:val="20"/>
        </w:rPr>
        <w:t xml:space="preserve"> </w:t>
      </w:r>
      <w:r w:rsidRPr="000977F7">
        <w:rPr>
          <w:rFonts w:asciiTheme="majorHAnsi" w:hAnsiTheme="majorHAnsi"/>
          <w:sz w:val="20"/>
          <w:szCs w:val="20"/>
        </w:rPr>
        <w:t>задаються</w:t>
      </w:r>
    </w:p>
    <w:p w14:paraId="629DFDC7"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ПАСИВНИЙ</w:t>
      </w:r>
      <w:r w:rsidRPr="000977F7">
        <w:rPr>
          <w:color w:val="auto"/>
          <w:spacing w:val="-5"/>
          <w:sz w:val="20"/>
          <w:szCs w:val="20"/>
        </w:rPr>
        <w:t xml:space="preserve"> </w:t>
      </w:r>
      <w:r w:rsidRPr="000977F7">
        <w:rPr>
          <w:color w:val="auto"/>
          <w:sz w:val="20"/>
          <w:szCs w:val="20"/>
        </w:rPr>
        <w:t>МЕТОД</w:t>
      </w:r>
      <w:r w:rsidRPr="000977F7">
        <w:rPr>
          <w:color w:val="auto"/>
          <w:spacing w:val="-1"/>
          <w:sz w:val="20"/>
          <w:szCs w:val="20"/>
        </w:rPr>
        <w:t xml:space="preserve"> </w:t>
      </w:r>
      <w:r w:rsidRPr="000977F7">
        <w:rPr>
          <w:b w:val="0"/>
          <w:color w:val="auto"/>
          <w:sz w:val="20"/>
          <w:szCs w:val="20"/>
        </w:rPr>
        <w:t>–</w:t>
      </w:r>
    </w:p>
    <w:p w14:paraId="621DA6E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аналізі фізичних полів, які створюються самим контрольованим об’єктом</w:t>
      </w:r>
    </w:p>
    <w:p w14:paraId="26984C6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2865</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3BB6C6A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ПАСИВНИЙ</w:t>
      </w:r>
      <w:r w:rsidRPr="000977F7">
        <w:rPr>
          <w:color w:val="auto"/>
          <w:spacing w:val="-4"/>
          <w:sz w:val="20"/>
          <w:szCs w:val="20"/>
        </w:rPr>
        <w:t xml:space="preserve"> </w:t>
      </w:r>
      <w:r w:rsidRPr="000977F7">
        <w:rPr>
          <w:color w:val="auto"/>
          <w:sz w:val="20"/>
          <w:szCs w:val="20"/>
        </w:rPr>
        <w:t>СТАН;</w:t>
      </w:r>
      <w:r w:rsidRPr="000977F7">
        <w:rPr>
          <w:color w:val="auto"/>
          <w:spacing w:val="-4"/>
          <w:sz w:val="20"/>
          <w:szCs w:val="20"/>
        </w:rPr>
        <w:t xml:space="preserve"> </w:t>
      </w:r>
      <w:r w:rsidRPr="000977F7">
        <w:rPr>
          <w:color w:val="auto"/>
          <w:sz w:val="20"/>
          <w:szCs w:val="20"/>
        </w:rPr>
        <w:t>ПАСИВНІСТЬ</w:t>
      </w:r>
      <w:r w:rsidRPr="000977F7">
        <w:rPr>
          <w:color w:val="auto"/>
          <w:spacing w:val="-5"/>
          <w:sz w:val="20"/>
          <w:szCs w:val="20"/>
        </w:rPr>
        <w:t xml:space="preserve"> </w:t>
      </w:r>
      <w:r w:rsidRPr="000977F7">
        <w:rPr>
          <w:color w:val="auto"/>
          <w:sz w:val="20"/>
          <w:szCs w:val="20"/>
        </w:rPr>
        <w:t>–</w:t>
      </w:r>
    </w:p>
    <w:p w14:paraId="6DEFF55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PASSIVE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STATE;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PASSIVITY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9A31FE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Стан</w:t>
      </w:r>
      <w:r w:rsidRPr="004D2D14">
        <w:rPr>
          <w:rFonts w:asciiTheme="majorHAnsi" w:hAnsiTheme="majorHAnsi"/>
          <w:sz w:val="20"/>
          <w:szCs w:val="20"/>
          <w:lang w:val="en-US"/>
        </w:rPr>
        <w:t xml:space="preserve"> </w:t>
      </w:r>
      <w:r w:rsidRPr="000977F7">
        <w:rPr>
          <w:rFonts w:asciiTheme="majorHAnsi" w:hAnsiTheme="majorHAnsi"/>
          <w:sz w:val="20"/>
          <w:szCs w:val="20"/>
        </w:rPr>
        <w:t>відносно</w:t>
      </w:r>
      <w:r w:rsidRPr="004D2D14">
        <w:rPr>
          <w:rFonts w:asciiTheme="majorHAnsi" w:hAnsiTheme="majorHAnsi"/>
          <w:sz w:val="20"/>
          <w:szCs w:val="20"/>
          <w:lang w:val="en-US"/>
        </w:rPr>
        <w:t xml:space="preserve"> </w:t>
      </w:r>
      <w:r w:rsidRPr="000977F7">
        <w:rPr>
          <w:rFonts w:asciiTheme="majorHAnsi" w:hAnsiTheme="majorHAnsi"/>
          <w:sz w:val="20"/>
          <w:szCs w:val="20"/>
        </w:rPr>
        <w:t>високої</w:t>
      </w:r>
      <w:r w:rsidRPr="004D2D14">
        <w:rPr>
          <w:rFonts w:asciiTheme="majorHAnsi" w:hAnsiTheme="majorHAnsi"/>
          <w:sz w:val="20"/>
          <w:szCs w:val="20"/>
          <w:lang w:val="en-US"/>
        </w:rPr>
        <w:t xml:space="preserve"> </w:t>
      </w:r>
      <w:r w:rsidRPr="000977F7">
        <w:rPr>
          <w:rFonts w:asciiTheme="majorHAnsi" w:hAnsiTheme="majorHAnsi"/>
          <w:sz w:val="20"/>
          <w:szCs w:val="20"/>
        </w:rPr>
        <w:t>корозійної</w:t>
      </w:r>
      <w:r w:rsidRPr="004D2D14">
        <w:rPr>
          <w:rFonts w:asciiTheme="majorHAnsi" w:hAnsiTheme="majorHAnsi"/>
          <w:sz w:val="20"/>
          <w:szCs w:val="20"/>
          <w:lang w:val="en-US"/>
        </w:rPr>
        <w:t xml:space="preserve"> </w:t>
      </w:r>
      <w:r w:rsidRPr="000977F7">
        <w:rPr>
          <w:rFonts w:asciiTheme="majorHAnsi" w:hAnsiTheme="majorHAnsi"/>
          <w:sz w:val="20"/>
          <w:szCs w:val="20"/>
        </w:rPr>
        <w:t>тривкості</w:t>
      </w:r>
      <w:r w:rsidRPr="004D2D14">
        <w:rPr>
          <w:rFonts w:asciiTheme="majorHAnsi" w:hAnsiTheme="majorHAnsi"/>
          <w:sz w:val="20"/>
          <w:szCs w:val="20"/>
          <w:lang w:val="en-US"/>
        </w:rPr>
        <w:t xml:space="preserve">, </w:t>
      </w:r>
      <w:r w:rsidRPr="000977F7">
        <w:rPr>
          <w:rFonts w:asciiTheme="majorHAnsi" w:hAnsiTheme="majorHAnsi"/>
          <w:sz w:val="20"/>
          <w:szCs w:val="20"/>
        </w:rPr>
        <w:t>спричинений</w:t>
      </w:r>
      <w:r w:rsidRPr="004D2D14">
        <w:rPr>
          <w:rFonts w:asciiTheme="majorHAnsi" w:hAnsiTheme="majorHAnsi"/>
          <w:sz w:val="20"/>
          <w:szCs w:val="20"/>
          <w:lang w:val="en-US"/>
        </w:rPr>
        <w:t xml:space="preserve"> </w:t>
      </w:r>
      <w:r w:rsidRPr="000977F7">
        <w:rPr>
          <w:rFonts w:asciiTheme="majorHAnsi" w:hAnsiTheme="majorHAnsi"/>
          <w:sz w:val="20"/>
          <w:szCs w:val="20"/>
        </w:rPr>
        <w:t>гальмуванням</w:t>
      </w:r>
      <w:r w:rsidRPr="004D2D14">
        <w:rPr>
          <w:rFonts w:asciiTheme="majorHAnsi" w:hAnsiTheme="majorHAnsi"/>
          <w:sz w:val="20"/>
          <w:szCs w:val="20"/>
          <w:lang w:val="en-US"/>
        </w:rPr>
        <w:t xml:space="preserve"> </w:t>
      </w:r>
      <w:r w:rsidRPr="000977F7">
        <w:rPr>
          <w:rFonts w:asciiTheme="majorHAnsi" w:hAnsiTheme="majorHAnsi"/>
          <w:sz w:val="20"/>
          <w:szCs w:val="20"/>
        </w:rPr>
        <w:t>анодної</w:t>
      </w:r>
      <w:r w:rsidRPr="004D2D14">
        <w:rPr>
          <w:rFonts w:asciiTheme="majorHAnsi" w:hAnsiTheme="majorHAnsi"/>
          <w:sz w:val="20"/>
          <w:szCs w:val="20"/>
          <w:lang w:val="en-US"/>
        </w:rPr>
        <w:t xml:space="preserve"> </w:t>
      </w:r>
      <w:r w:rsidRPr="000977F7">
        <w:rPr>
          <w:rFonts w:asciiTheme="majorHAnsi" w:hAnsiTheme="majorHAnsi"/>
          <w:sz w:val="20"/>
          <w:szCs w:val="20"/>
        </w:rPr>
        <w:t>реакції</w:t>
      </w:r>
      <w:r w:rsidRPr="004D2D14">
        <w:rPr>
          <w:rFonts w:asciiTheme="majorHAnsi" w:hAnsiTheme="majorHAnsi"/>
          <w:sz w:val="20"/>
          <w:szCs w:val="20"/>
          <w:lang w:val="en-US"/>
        </w:rPr>
        <w:t xml:space="preserve"> </w:t>
      </w:r>
      <w:r w:rsidRPr="000977F7">
        <w:rPr>
          <w:rFonts w:asciiTheme="majorHAnsi" w:hAnsiTheme="majorHAnsi"/>
          <w:sz w:val="20"/>
          <w:szCs w:val="20"/>
        </w:rPr>
        <w:t>іонізації</w:t>
      </w:r>
      <w:r w:rsidRPr="004D2D14">
        <w:rPr>
          <w:rFonts w:asciiTheme="majorHAnsi" w:hAnsiTheme="majorHAnsi"/>
          <w:sz w:val="20"/>
          <w:szCs w:val="20"/>
          <w:lang w:val="en-US"/>
        </w:rPr>
        <w:t xml:space="preserve"> </w:t>
      </w:r>
      <w:r w:rsidRPr="000977F7">
        <w:rPr>
          <w:rFonts w:asciiTheme="majorHAnsi" w:hAnsiTheme="majorHAnsi"/>
          <w:sz w:val="20"/>
          <w:szCs w:val="20"/>
        </w:rPr>
        <w:t>металу</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pacing w:val="-47"/>
          <w:sz w:val="20"/>
          <w:szCs w:val="20"/>
          <w:lang w:val="en-US"/>
        </w:rPr>
        <w:t xml:space="preserve"> </w:t>
      </w:r>
      <w:r w:rsidRPr="000977F7">
        <w:rPr>
          <w:rFonts w:asciiTheme="majorHAnsi" w:hAnsiTheme="majorHAnsi"/>
          <w:sz w:val="20"/>
          <w:szCs w:val="20"/>
        </w:rPr>
        <w:t>певному</w:t>
      </w:r>
      <w:r w:rsidRPr="004D2D14">
        <w:rPr>
          <w:rFonts w:asciiTheme="majorHAnsi" w:hAnsiTheme="majorHAnsi"/>
          <w:spacing w:val="-5"/>
          <w:sz w:val="20"/>
          <w:szCs w:val="20"/>
          <w:lang w:val="en-US"/>
        </w:rPr>
        <w:t xml:space="preserve"> </w:t>
      </w:r>
      <w:r w:rsidRPr="000977F7">
        <w:rPr>
          <w:rFonts w:asciiTheme="majorHAnsi" w:hAnsiTheme="majorHAnsi"/>
          <w:sz w:val="20"/>
          <w:szCs w:val="20"/>
        </w:rPr>
        <w:t>діапазоні</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потенціалу</w:t>
      </w:r>
    </w:p>
    <w:p w14:paraId="720BEE4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3830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98</w:t>
      </w:r>
    </w:p>
    <w:p w14:paraId="4EC21D2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ПАСПОРТ</w:t>
      </w:r>
      <w:r w:rsidRPr="000977F7">
        <w:rPr>
          <w:color w:val="auto"/>
          <w:spacing w:val="-3"/>
          <w:sz w:val="20"/>
          <w:szCs w:val="20"/>
        </w:rPr>
        <w:t xml:space="preserve"> </w:t>
      </w:r>
      <w:r w:rsidRPr="000977F7">
        <w:rPr>
          <w:color w:val="auto"/>
          <w:sz w:val="20"/>
          <w:szCs w:val="20"/>
        </w:rPr>
        <w:t>–</w:t>
      </w:r>
    </w:p>
    <w:p w14:paraId="07E5FE2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Експлуатаційний</w:t>
      </w:r>
      <w:r w:rsidRPr="004D2D14">
        <w:rPr>
          <w:rFonts w:asciiTheme="majorHAnsi" w:hAnsiTheme="majorHAnsi"/>
          <w:sz w:val="20"/>
          <w:szCs w:val="20"/>
          <w:lang w:val="en-US"/>
        </w:rPr>
        <w:t xml:space="preserve"> </w:t>
      </w:r>
      <w:r w:rsidRPr="000977F7">
        <w:rPr>
          <w:rFonts w:asciiTheme="majorHAnsi" w:hAnsiTheme="majorHAnsi"/>
          <w:sz w:val="20"/>
          <w:szCs w:val="20"/>
        </w:rPr>
        <w:t>документ</w:t>
      </w:r>
      <w:r w:rsidRPr="004D2D14">
        <w:rPr>
          <w:rFonts w:asciiTheme="majorHAnsi" w:hAnsiTheme="majorHAnsi"/>
          <w:sz w:val="20"/>
          <w:szCs w:val="20"/>
          <w:lang w:val="en-US"/>
        </w:rPr>
        <w:t xml:space="preserve">, </w:t>
      </w:r>
      <w:r w:rsidRPr="000977F7">
        <w:rPr>
          <w:rFonts w:asciiTheme="majorHAnsi" w:hAnsiTheme="majorHAnsi"/>
          <w:sz w:val="20"/>
          <w:szCs w:val="20"/>
        </w:rPr>
        <w:t>який</w:t>
      </w:r>
      <w:r w:rsidRPr="004D2D14">
        <w:rPr>
          <w:rFonts w:asciiTheme="majorHAnsi" w:hAnsiTheme="majorHAnsi"/>
          <w:sz w:val="20"/>
          <w:szCs w:val="20"/>
          <w:lang w:val="en-US"/>
        </w:rPr>
        <w:t xml:space="preserve"> </w:t>
      </w:r>
      <w:r w:rsidRPr="000977F7">
        <w:rPr>
          <w:rFonts w:asciiTheme="majorHAnsi" w:hAnsiTheme="majorHAnsi"/>
          <w:sz w:val="20"/>
          <w:szCs w:val="20"/>
        </w:rPr>
        <w:t>засвідчує</w:t>
      </w:r>
      <w:r w:rsidRPr="004D2D14">
        <w:rPr>
          <w:rFonts w:asciiTheme="majorHAnsi" w:hAnsiTheme="majorHAnsi"/>
          <w:sz w:val="20"/>
          <w:szCs w:val="20"/>
          <w:lang w:val="en-US"/>
        </w:rPr>
        <w:t xml:space="preserve"> </w:t>
      </w:r>
      <w:r w:rsidRPr="000977F7">
        <w:rPr>
          <w:rFonts w:asciiTheme="majorHAnsi" w:hAnsiTheme="majorHAnsi"/>
          <w:sz w:val="20"/>
          <w:szCs w:val="20"/>
        </w:rPr>
        <w:t>гарантовані</w:t>
      </w:r>
      <w:r w:rsidRPr="004D2D14">
        <w:rPr>
          <w:rFonts w:asciiTheme="majorHAnsi" w:hAnsiTheme="majorHAnsi"/>
          <w:sz w:val="20"/>
          <w:szCs w:val="20"/>
          <w:lang w:val="en-US"/>
        </w:rPr>
        <w:t xml:space="preserve"> </w:t>
      </w:r>
      <w:r w:rsidRPr="000977F7">
        <w:rPr>
          <w:rFonts w:asciiTheme="majorHAnsi" w:hAnsiTheme="majorHAnsi"/>
          <w:sz w:val="20"/>
          <w:szCs w:val="20"/>
        </w:rPr>
        <w:t>підприємством</w:t>
      </w:r>
      <w:r w:rsidRPr="004D2D14">
        <w:rPr>
          <w:rFonts w:asciiTheme="majorHAnsi" w:hAnsiTheme="majorHAnsi"/>
          <w:sz w:val="20"/>
          <w:szCs w:val="20"/>
          <w:lang w:val="en-US"/>
        </w:rPr>
        <w:t xml:space="preserve"> </w:t>
      </w:r>
      <w:r w:rsidRPr="000977F7">
        <w:rPr>
          <w:rFonts w:asciiTheme="majorHAnsi" w:hAnsiTheme="majorHAnsi"/>
          <w:sz w:val="20"/>
          <w:szCs w:val="20"/>
        </w:rPr>
        <w:t>виробником</w:t>
      </w:r>
      <w:r w:rsidRPr="004D2D14">
        <w:rPr>
          <w:rFonts w:asciiTheme="majorHAnsi" w:hAnsiTheme="majorHAnsi"/>
          <w:sz w:val="20"/>
          <w:szCs w:val="20"/>
          <w:lang w:val="en-US"/>
        </w:rPr>
        <w:t xml:space="preserve"> </w:t>
      </w:r>
      <w:r w:rsidRPr="000977F7">
        <w:rPr>
          <w:rFonts w:asciiTheme="majorHAnsi" w:hAnsiTheme="majorHAnsi"/>
          <w:sz w:val="20"/>
          <w:szCs w:val="20"/>
        </w:rPr>
        <w:t>основні</w:t>
      </w:r>
      <w:r w:rsidRPr="004D2D14">
        <w:rPr>
          <w:rFonts w:asciiTheme="majorHAnsi" w:hAnsiTheme="majorHAnsi"/>
          <w:sz w:val="20"/>
          <w:szCs w:val="20"/>
          <w:lang w:val="en-US"/>
        </w:rPr>
        <w:t xml:space="preserve"> </w:t>
      </w:r>
      <w:r w:rsidRPr="000977F7">
        <w:rPr>
          <w:rFonts w:asciiTheme="majorHAnsi" w:hAnsiTheme="majorHAnsi"/>
          <w:sz w:val="20"/>
          <w:szCs w:val="20"/>
        </w:rPr>
        <w:t>параметри</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pacing w:val="1"/>
          <w:sz w:val="20"/>
          <w:szCs w:val="20"/>
          <w:lang w:val="en-US"/>
        </w:rPr>
        <w:t xml:space="preserve"> </w:t>
      </w:r>
      <w:r w:rsidRPr="000977F7">
        <w:rPr>
          <w:rFonts w:asciiTheme="majorHAnsi" w:hAnsiTheme="majorHAnsi"/>
          <w:sz w:val="20"/>
          <w:szCs w:val="20"/>
        </w:rPr>
        <w:t>характеристики</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виробу</w:t>
      </w:r>
      <w:r w:rsidRPr="004D2D14">
        <w:rPr>
          <w:rFonts w:asciiTheme="majorHAnsi" w:hAnsiTheme="majorHAnsi"/>
          <w:spacing w:val="1"/>
          <w:sz w:val="20"/>
          <w:szCs w:val="20"/>
          <w:lang w:val="en-US"/>
        </w:rPr>
        <w:t xml:space="preserve"> </w:t>
      </w:r>
      <w:r w:rsidRPr="000977F7">
        <w:rPr>
          <w:rFonts w:asciiTheme="majorHAnsi" w:hAnsiTheme="majorHAnsi"/>
          <w:sz w:val="20"/>
          <w:szCs w:val="20"/>
        </w:rPr>
        <w:t>та</w:t>
      </w:r>
      <w:r w:rsidRPr="004D2D14">
        <w:rPr>
          <w:rFonts w:asciiTheme="majorHAnsi" w:hAnsiTheme="majorHAnsi"/>
          <w:spacing w:val="1"/>
          <w:sz w:val="20"/>
          <w:szCs w:val="20"/>
          <w:lang w:val="en-US"/>
        </w:rPr>
        <w:t xml:space="preserve"> </w:t>
      </w:r>
      <w:r w:rsidRPr="000977F7">
        <w:rPr>
          <w:rFonts w:asciiTheme="majorHAnsi" w:hAnsiTheme="majorHAnsi"/>
          <w:sz w:val="20"/>
          <w:szCs w:val="20"/>
        </w:rPr>
        <w:t>гарантійні</w:t>
      </w:r>
      <w:r w:rsidRPr="004D2D14">
        <w:rPr>
          <w:rFonts w:asciiTheme="majorHAnsi" w:hAnsiTheme="majorHAnsi"/>
          <w:spacing w:val="1"/>
          <w:sz w:val="20"/>
          <w:szCs w:val="20"/>
          <w:lang w:val="en-US"/>
        </w:rPr>
        <w:t xml:space="preserve"> </w:t>
      </w:r>
      <w:r w:rsidRPr="000977F7">
        <w:rPr>
          <w:rFonts w:asciiTheme="majorHAnsi" w:hAnsiTheme="majorHAnsi"/>
          <w:sz w:val="20"/>
          <w:szCs w:val="20"/>
        </w:rPr>
        <w:t>зобов</w:t>
      </w:r>
      <w:r w:rsidRPr="004D2D14">
        <w:rPr>
          <w:rFonts w:asciiTheme="majorHAnsi" w:hAnsiTheme="majorHAnsi"/>
          <w:sz w:val="20"/>
          <w:szCs w:val="20"/>
          <w:lang w:val="en-US"/>
        </w:rPr>
        <w:t>’</w:t>
      </w:r>
      <w:r w:rsidRPr="000977F7">
        <w:rPr>
          <w:rFonts w:asciiTheme="majorHAnsi" w:hAnsiTheme="majorHAnsi"/>
          <w:sz w:val="20"/>
          <w:szCs w:val="20"/>
        </w:rPr>
        <w:t>язання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і</w:t>
      </w:r>
      <w:r w:rsidRPr="004D2D14">
        <w:rPr>
          <w:rFonts w:asciiTheme="majorHAnsi" w:hAnsiTheme="majorHAnsi"/>
          <w:spacing w:val="-47"/>
          <w:sz w:val="20"/>
          <w:szCs w:val="20"/>
          <w:lang w:val="en-US"/>
        </w:rPr>
        <w:t xml:space="preserve"> </w:t>
      </w:r>
      <w:r w:rsidRPr="000977F7">
        <w:rPr>
          <w:rFonts w:asciiTheme="majorHAnsi" w:hAnsiTheme="majorHAnsi"/>
          <w:sz w:val="20"/>
          <w:szCs w:val="20"/>
        </w:rPr>
        <w:t>містить</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відомості</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про</w:t>
      </w:r>
      <w:r w:rsidRPr="004D2D14">
        <w:rPr>
          <w:rFonts w:asciiTheme="majorHAnsi" w:hAnsiTheme="majorHAnsi"/>
          <w:spacing w:val="1"/>
          <w:sz w:val="20"/>
          <w:szCs w:val="20"/>
          <w:lang w:val="en-US"/>
        </w:rPr>
        <w:t xml:space="preserve"> </w:t>
      </w:r>
      <w:r w:rsidRPr="000977F7">
        <w:rPr>
          <w:rFonts w:asciiTheme="majorHAnsi" w:hAnsiTheme="majorHAnsi"/>
          <w:sz w:val="20"/>
          <w:szCs w:val="20"/>
        </w:rPr>
        <w:t>рекламації</w:t>
      </w:r>
    </w:p>
    <w:p w14:paraId="1D52BCA3"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3321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2003</w:t>
      </w:r>
    </w:p>
    <w:p w14:paraId="0A1B76BC" w14:textId="77777777" w:rsidR="0097612F" w:rsidRPr="000977F7" w:rsidRDefault="0097612F" w:rsidP="000977F7">
      <w:pPr>
        <w:pStyle w:val="7"/>
        <w:tabs>
          <w:tab w:val="left" w:pos="284"/>
        </w:tabs>
        <w:spacing w:before="0" w:line="240" w:lineRule="auto"/>
        <w:ind w:left="170"/>
        <w:mirrorIndents/>
        <w:jc w:val="both"/>
        <w:rPr>
          <w:b w:val="0"/>
          <w:color w:val="auto"/>
          <w:spacing w:val="-8"/>
          <w:sz w:val="20"/>
          <w:szCs w:val="20"/>
        </w:rPr>
      </w:pPr>
      <w:r w:rsidRPr="000977F7">
        <w:rPr>
          <w:color w:val="auto"/>
          <w:spacing w:val="-8"/>
          <w:sz w:val="20"/>
          <w:szCs w:val="20"/>
        </w:rPr>
        <w:t xml:space="preserve">ПАСПОРТ ПРОМИСЛОВОГО ПІДРИЄМСТВА </w:t>
      </w:r>
      <w:r w:rsidRPr="000977F7">
        <w:rPr>
          <w:b w:val="0"/>
          <w:color w:val="auto"/>
          <w:spacing w:val="-8"/>
          <w:sz w:val="20"/>
          <w:szCs w:val="20"/>
        </w:rPr>
        <w:t>–</w:t>
      </w:r>
    </w:p>
    <w:p w14:paraId="5AA6C2A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Документ</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містить</w:t>
      </w:r>
      <w:r w:rsidRPr="004D2D14">
        <w:rPr>
          <w:rFonts w:asciiTheme="majorHAnsi" w:hAnsiTheme="majorHAnsi"/>
          <w:sz w:val="20"/>
          <w:szCs w:val="20"/>
          <w:lang w:val="en-US"/>
        </w:rPr>
        <w:t xml:space="preserve"> </w:t>
      </w:r>
      <w:r w:rsidRPr="000977F7">
        <w:rPr>
          <w:rFonts w:asciiTheme="majorHAnsi" w:hAnsiTheme="majorHAnsi"/>
          <w:sz w:val="20"/>
          <w:szCs w:val="20"/>
        </w:rPr>
        <w:t>дані</w:t>
      </w:r>
      <w:r w:rsidRPr="004D2D14">
        <w:rPr>
          <w:rFonts w:asciiTheme="majorHAnsi" w:hAnsiTheme="majorHAnsi"/>
          <w:sz w:val="20"/>
          <w:szCs w:val="20"/>
          <w:lang w:val="en-US"/>
        </w:rPr>
        <w:t xml:space="preserve"> </w:t>
      </w:r>
      <w:r w:rsidRPr="000977F7">
        <w:rPr>
          <w:rFonts w:asciiTheme="majorHAnsi" w:hAnsiTheme="majorHAnsi"/>
          <w:sz w:val="20"/>
          <w:szCs w:val="20"/>
        </w:rPr>
        <w:t>про</w:t>
      </w:r>
      <w:r w:rsidRPr="004D2D14">
        <w:rPr>
          <w:rFonts w:asciiTheme="majorHAnsi" w:hAnsiTheme="majorHAnsi"/>
          <w:sz w:val="20"/>
          <w:szCs w:val="20"/>
          <w:lang w:val="en-US"/>
        </w:rPr>
        <w:t xml:space="preserve"> </w:t>
      </w:r>
      <w:r w:rsidRPr="000977F7">
        <w:rPr>
          <w:rFonts w:asciiTheme="majorHAnsi" w:hAnsiTheme="majorHAnsi"/>
          <w:sz w:val="20"/>
          <w:szCs w:val="20"/>
        </w:rPr>
        <w:t>наявність</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використання</w:t>
      </w:r>
      <w:r w:rsidRPr="004D2D14">
        <w:rPr>
          <w:rFonts w:asciiTheme="majorHAnsi" w:hAnsiTheme="majorHAnsi"/>
          <w:sz w:val="20"/>
          <w:szCs w:val="20"/>
          <w:lang w:val="en-US"/>
        </w:rPr>
        <w:t xml:space="preserve"> </w:t>
      </w:r>
      <w:r w:rsidRPr="000977F7">
        <w:rPr>
          <w:rFonts w:asciiTheme="majorHAnsi" w:hAnsiTheme="majorHAnsi"/>
          <w:sz w:val="20"/>
          <w:szCs w:val="20"/>
        </w:rPr>
        <w:t>виробничих</w:t>
      </w:r>
      <w:r w:rsidRPr="004D2D14">
        <w:rPr>
          <w:rFonts w:asciiTheme="majorHAnsi" w:hAnsiTheme="majorHAnsi"/>
          <w:sz w:val="20"/>
          <w:szCs w:val="20"/>
          <w:lang w:val="en-US"/>
        </w:rPr>
        <w:t xml:space="preserve"> </w:t>
      </w:r>
      <w:r w:rsidRPr="000977F7">
        <w:rPr>
          <w:rFonts w:asciiTheme="majorHAnsi" w:hAnsiTheme="majorHAnsi"/>
          <w:sz w:val="20"/>
          <w:szCs w:val="20"/>
        </w:rPr>
        <w:t>потужностей</w:t>
      </w:r>
      <w:r w:rsidRPr="004D2D14">
        <w:rPr>
          <w:rFonts w:asciiTheme="majorHAnsi" w:hAnsiTheme="majorHAnsi"/>
          <w:sz w:val="20"/>
          <w:szCs w:val="20"/>
          <w:lang w:val="en-US"/>
        </w:rPr>
        <w:t xml:space="preserve">, </w:t>
      </w:r>
      <w:r w:rsidRPr="000977F7">
        <w:rPr>
          <w:rFonts w:asciiTheme="majorHAnsi" w:hAnsiTheme="majorHAnsi"/>
          <w:sz w:val="20"/>
          <w:szCs w:val="20"/>
        </w:rPr>
        <w:t>спеціалізацію</w:t>
      </w:r>
      <w:r w:rsidRPr="004D2D14">
        <w:rPr>
          <w:rFonts w:asciiTheme="majorHAnsi" w:hAnsiTheme="majorHAnsi"/>
          <w:sz w:val="20"/>
          <w:szCs w:val="20"/>
          <w:lang w:val="en-US"/>
        </w:rPr>
        <w:t xml:space="preserve"> </w:t>
      </w:r>
      <w:r w:rsidRPr="000977F7">
        <w:rPr>
          <w:rFonts w:asciiTheme="majorHAnsi" w:hAnsiTheme="majorHAnsi"/>
          <w:sz w:val="20"/>
          <w:szCs w:val="20"/>
        </w:rPr>
        <w:t>виробництва</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інші</w:t>
      </w:r>
      <w:r w:rsidRPr="004D2D14">
        <w:rPr>
          <w:rFonts w:asciiTheme="majorHAnsi" w:hAnsiTheme="majorHAnsi"/>
          <w:sz w:val="20"/>
          <w:szCs w:val="20"/>
          <w:lang w:val="en-US"/>
        </w:rPr>
        <w:t xml:space="preserve"> </w:t>
      </w:r>
      <w:r w:rsidRPr="000977F7">
        <w:rPr>
          <w:rFonts w:asciiTheme="majorHAnsi" w:hAnsiTheme="majorHAnsi"/>
          <w:sz w:val="20"/>
          <w:szCs w:val="20"/>
        </w:rPr>
        <w:t>технічні</w:t>
      </w:r>
      <w:r w:rsidRPr="004D2D14">
        <w:rPr>
          <w:rFonts w:asciiTheme="majorHAnsi" w:hAnsiTheme="majorHAnsi"/>
          <w:sz w:val="20"/>
          <w:szCs w:val="20"/>
          <w:lang w:val="en-US"/>
        </w:rPr>
        <w:t xml:space="preserve">, </w:t>
      </w:r>
      <w:r w:rsidRPr="000977F7">
        <w:rPr>
          <w:rFonts w:asciiTheme="majorHAnsi" w:hAnsiTheme="majorHAnsi"/>
          <w:sz w:val="20"/>
          <w:szCs w:val="20"/>
        </w:rPr>
        <w:t>організаційні</w:t>
      </w:r>
      <w:r w:rsidRPr="004D2D14">
        <w:rPr>
          <w:rFonts w:asciiTheme="majorHAnsi" w:hAnsiTheme="majorHAnsi"/>
          <w:sz w:val="20"/>
          <w:szCs w:val="20"/>
          <w:lang w:val="en-US"/>
        </w:rPr>
        <w:t xml:space="preserve">, </w:t>
      </w:r>
      <w:r w:rsidRPr="000977F7">
        <w:rPr>
          <w:rFonts w:asciiTheme="majorHAnsi" w:hAnsiTheme="majorHAnsi"/>
          <w:sz w:val="20"/>
          <w:szCs w:val="20"/>
        </w:rPr>
        <w:t>економічні</w:t>
      </w:r>
      <w:r w:rsidRPr="004D2D14">
        <w:rPr>
          <w:rFonts w:asciiTheme="majorHAnsi" w:hAnsiTheme="majorHAnsi"/>
          <w:sz w:val="20"/>
          <w:szCs w:val="20"/>
          <w:lang w:val="en-US"/>
        </w:rPr>
        <w:t xml:space="preserve"> </w:t>
      </w:r>
      <w:r w:rsidRPr="000977F7">
        <w:rPr>
          <w:rFonts w:asciiTheme="majorHAnsi" w:hAnsiTheme="majorHAnsi"/>
          <w:sz w:val="20"/>
          <w:szCs w:val="20"/>
        </w:rPr>
        <w:t>характеристики</w:t>
      </w:r>
      <w:r w:rsidRPr="004D2D14">
        <w:rPr>
          <w:rFonts w:asciiTheme="majorHAnsi" w:hAnsiTheme="majorHAnsi"/>
          <w:spacing w:val="-2"/>
          <w:sz w:val="20"/>
          <w:szCs w:val="20"/>
          <w:lang w:val="en-US"/>
        </w:rPr>
        <w:t xml:space="preserve"> </w:t>
      </w:r>
      <w:r w:rsidRPr="000977F7">
        <w:rPr>
          <w:rFonts w:asciiTheme="majorHAnsi" w:hAnsiTheme="majorHAnsi"/>
          <w:sz w:val="20"/>
          <w:szCs w:val="20"/>
        </w:rPr>
        <w:t>підприємства</w:t>
      </w:r>
    </w:p>
    <w:p w14:paraId="4A85FE3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2960 - 94</w:t>
      </w:r>
    </w:p>
    <w:p w14:paraId="11759E3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ПАТЕНТНИЙ</w:t>
      </w:r>
      <w:r w:rsidRPr="000977F7">
        <w:rPr>
          <w:color w:val="auto"/>
          <w:spacing w:val="-3"/>
          <w:sz w:val="20"/>
          <w:szCs w:val="20"/>
        </w:rPr>
        <w:t xml:space="preserve"> </w:t>
      </w:r>
      <w:r w:rsidRPr="000977F7">
        <w:rPr>
          <w:color w:val="auto"/>
          <w:sz w:val="20"/>
          <w:szCs w:val="20"/>
        </w:rPr>
        <w:t>ФОРМУЛЯР –</w:t>
      </w:r>
    </w:p>
    <w:p w14:paraId="6843FDA5"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z w:val="20"/>
          <w:szCs w:val="20"/>
        </w:rPr>
        <w:t>Технічний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визначає</w:t>
      </w:r>
      <w:r w:rsidRPr="000977F7">
        <w:rPr>
          <w:rFonts w:asciiTheme="majorHAnsi" w:hAnsiTheme="majorHAnsi"/>
          <w:spacing w:val="1"/>
          <w:sz w:val="20"/>
          <w:szCs w:val="20"/>
        </w:rPr>
        <w:t xml:space="preserve"> </w:t>
      </w:r>
      <w:r w:rsidRPr="000977F7">
        <w:rPr>
          <w:rFonts w:asciiTheme="majorHAnsi" w:hAnsiTheme="majorHAnsi"/>
          <w:sz w:val="20"/>
          <w:szCs w:val="20"/>
        </w:rPr>
        <w:t>стан</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48"/>
          <w:sz w:val="20"/>
          <w:szCs w:val="20"/>
        </w:rPr>
        <w:t xml:space="preserve"> </w:t>
      </w:r>
      <w:r w:rsidRPr="000977F7">
        <w:rPr>
          <w:rFonts w:asciiTheme="majorHAnsi" w:hAnsiTheme="majorHAnsi"/>
          <w:sz w:val="20"/>
          <w:szCs w:val="20"/>
        </w:rPr>
        <w:t>критеріями охорони промислової власності</w:t>
      </w:r>
      <w:r w:rsidRPr="000977F7">
        <w:rPr>
          <w:rFonts w:asciiTheme="majorHAnsi" w:hAnsiTheme="majorHAnsi"/>
          <w:spacing w:val="1"/>
          <w:sz w:val="20"/>
          <w:szCs w:val="20"/>
        </w:rPr>
        <w:t xml:space="preserve"> </w:t>
      </w:r>
      <w:r w:rsidRPr="000977F7">
        <w:rPr>
          <w:rFonts w:asciiTheme="majorHAnsi" w:hAnsiTheme="majorHAnsi"/>
          <w:b/>
          <w:sz w:val="20"/>
          <w:szCs w:val="20"/>
        </w:rPr>
        <w:t>ПАТЕНТНІ</w:t>
      </w:r>
      <w:r w:rsidRPr="000977F7">
        <w:rPr>
          <w:rFonts w:asciiTheme="majorHAnsi" w:hAnsiTheme="majorHAnsi"/>
          <w:b/>
          <w:spacing w:val="-2"/>
          <w:sz w:val="20"/>
          <w:szCs w:val="20"/>
        </w:rPr>
        <w:t xml:space="preserve"> </w:t>
      </w:r>
      <w:r w:rsidRPr="000977F7">
        <w:rPr>
          <w:rFonts w:asciiTheme="majorHAnsi" w:hAnsiTheme="majorHAnsi"/>
          <w:b/>
          <w:sz w:val="20"/>
          <w:szCs w:val="20"/>
        </w:rPr>
        <w:t>ДОСЛІДЖЕННЯ</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1366965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Дослідження технічного рівня та тенденцій розвитку</w:t>
      </w:r>
      <w:r w:rsidRPr="000977F7">
        <w:rPr>
          <w:rFonts w:asciiTheme="majorHAnsi" w:hAnsiTheme="majorHAnsi"/>
          <w:spacing w:val="1"/>
          <w:sz w:val="20"/>
          <w:szCs w:val="20"/>
        </w:rPr>
        <w:t xml:space="preserve"> </w:t>
      </w:r>
      <w:r w:rsidRPr="000977F7">
        <w:rPr>
          <w:rFonts w:asciiTheme="majorHAnsi" w:hAnsiTheme="majorHAnsi"/>
          <w:sz w:val="20"/>
          <w:szCs w:val="20"/>
        </w:rPr>
        <w:t>об’єкта техніки, його патентоспроможності та патентної</w:t>
      </w:r>
      <w:r w:rsidRPr="000977F7">
        <w:rPr>
          <w:rFonts w:asciiTheme="majorHAnsi" w:hAnsiTheme="majorHAnsi"/>
          <w:spacing w:val="-2"/>
          <w:sz w:val="20"/>
          <w:szCs w:val="20"/>
        </w:rPr>
        <w:t xml:space="preserve"> </w:t>
      </w:r>
      <w:r w:rsidRPr="000977F7">
        <w:rPr>
          <w:rFonts w:asciiTheme="majorHAnsi" w:hAnsiTheme="majorHAnsi"/>
          <w:sz w:val="20"/>
          <w:szCs w:val="20"/>
        </w:rPr>
        <w:t>чистоти</w:t>
      </w:r>
    </w:p>
    <w:p w14:paraId="61A20A3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ПАУЗА</w:t>
      </w:r>
      <w:r w:rsidRPr="000977F7">
        <w:rPr>
          <w:color w:val="auto"/>
          <w:spacing w:val="-2"/>
          <w:sz w:val="20"/>
          <w:szCs w:val="20"/>
        </w:rPr>
        <w:t xml:space="preserve"> </w:t>
      </w:r>
      <w:r w:rsidRPr="000977F7">
        <w:rPr>
          <w:color w:val="auto"/>
          <w:sz w:val="20"/>
          <w:szCs w:val="20"/>
        </w:rPr>
        <w:t>–</w:t>
      </w:r>
    </w:p>
    <w:p w14:paraId="206F3AA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REST</w:t>
      </w:r>
      <w:r w:rsidRPr="000977F7">
        <w:rPr>
          <w:rFonts w:asciiTheme="majorHAnsi" w:hAnsiTheme="majorHAnsi"/>
          <w:spacing w:val="-1"/>
          <w:sz w:val="20"/>
          <w:szCs w:val="20"/>
        </w:rPr>
        <w:t xml:space="preserve"> </w:t>
      </w:r>
      <w:r w:rsidRPr="000977F7">
        <w:rPr>
          <w:rFonts w:asciiTheme="majorHAnsi" w:hAnsiTheme="majorHAnsi"/>
          <w:sz w:val="20"/>
          <w:szCs w:val="20"/>
        </w:rPr>
        <w:t>PERIOD;</w:t>
      </w:r>
      <w:r w:rsidRPr="000977F7">
        <w:rPr>
          <w:rFonts w:asciiTheme="majorHAnsi" w:hAnsiTheme="majorHAnsi"/>
          <w:spacing w:val="-3"/>
          <w:sz w:val="20"/>
          <w:szCs w:val="20"/>
        </w:rPr>
        <w:t xml:space="preserve"> </w:t>
      </w:r>
      <w:r w:rsidRPr="000977F7">
        <w:rPr>
          <w:rFonts w:asciiTheme="majorHAnsi" w:hAnsiTheme="majorHAnsi"/>
          <w:sz w:val="20"/>
          <w:szCs w:val="20"/>
        </w:rPr>
        <w:t>PAUSE –</w:t>
      </w:r>
    </w:p>
    <w:p w14:paraId="6628C0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Тимчасове</w:t>
      </w:r>
      <w:r w:rsidRPr="000977F7">
        <w:rPr>
          <w:rFonts w:asciiTheme="majorHAnsi" w:hAnsiTheme="majorHAnsi"/>
          <w:spacing w:val="1"/>
          <w:sz w:val="20"/>
          <w:szCs w:val="20"/>
        </w:rPr>
        <w:t xml:space="preserve"> </w:t>
      </w:r>
      <w:r w:rsidRPr="000977F7">
        <w:rPr>
          <w:rFonts w:asciiTheme="majorHAnsi" w:hAnsiTheme="majorHAnsi"/>
          <w:sz w:val="20"/>
          <w:szCs w:val="20"/>
        </w:rPr>
        <w:t>припинення</w:t>
      </w:r>
      <w:r w:rsidRPr="000977F7">
        <w:rPr>
          <w:rFonts w:asciiTheme="majorHAnsi" w:hAnsiTheme="majorHAnsi"/>
          <w:spacing w:val="1"/>
          <w:sz w:val="20"/>
          <w:szCs w:val="20"/>
        </w:rPr>
        <w:t xml:space="preserve"> </w:t>
      </w:r>
      <w:r w:rsidRPr="000977F7">
        <w:rPr>
          <w:rFonts w:asciiTheme="majorHAnsi" w:hAnsiTheme="majorHAnsi"/>
          <w:sz w:val="20"/>
          <w:szCs w:val="20"/>
        </w:rPr>
        <w:t>навантажування</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випробування</w:t>
      </w:r>
      <w:r w:rsidRPr="000977F7">
        <w:rPr>
          <w:rFonts w:asciiTheme="majorHAnsi" w:hAnsiTheme="majorHAnsi"/>
          <w:spacing w:val="-2"/>
          <w:sz w:val="20"/>
          <w:szCs w:val="20"/>
        </w:rPr>
        <w:t xml:space="preserve"> </w:t>
      </w:r>
      <w:r w:rsidRPr="000977F7">
        <w:rPr>
          <w:rFonts w:asciiTheme="majorHAnsi" w:hAnsiTheme="majorHAnsi"/>
          <w:sz w:val="20"/>
          <w:szCs w:val="20"/>
        </w:rPr>
        <w:t>на втому</w:t>
      </w:r>
      <w:r w:rsidRPr="000977F7">
        <w:rPr>
          <w:rFonts w:asciiTheme="majorHAnsi" w:hAnsiTheme="majorHAnsi"/>
          <w:spacing w:val="-4"/>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експлуатації</w:t>
      </w:r>
    </w:p>
    <w:p w14:paraId="447386C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F07794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ПАЯННЯ</w:t>
      </w:r>
      <w:r w:rsidRPr="000977F7">
        <w:rPr>
          <w:color w:val="auto"/>
          <w:spacing w:val="-2"/>
          <w:sz w:val="20"/>
          <w:szCs w:val="20"/>
        </w:rPr>
        <w:t xml:space="preserve"> </w:t>
      </w:r>
      <w:r w:rsidRPr="000977F7">
        <w:rPr>
          <w:color w:val="auto"/>
          <w:sz w:val="20"/>
          <w:szCs w:val="20"/>
        </w:rPr>
        <w:t>–</w:t>
      </w:r>
    </w:p>
    <w:p w14:paraId="7CC3AC7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BRAZING;</w:t>
      </w:r>
      <w:r w:rsidRPr="000977F7">
        <w:rPr>
          <w:rFonts w:asciiTheme="majorHAnsi" w:hAnsiTheme="majorHAnsi"/>
          <w:spacing w:val="-4"/>
          <w:sz w:val="20"/>
          <w:szCs w:val="20"/>
        </w:rPr>
        <w:t xml:space="preserve"> </w:t>
      </w:r>
      <w:r w:rsidRPr="000977F7">
        <w:rPr>
          <w:rFonts w:asciiTheme="majorHAnsi" w:hAnsiTheme="majorHAnsi"/>
          <w:sz w:val="20"/>
          <w:szCs w:val="20"/>
        </w:rPr>
        <w:t>SOLDERING –</w:t>
      </w:r>
    </w:p>
    <w:p w14:paraId="79BB78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Утворення</w:t>
      </w:r>
      <w:r w:rsidRPr="000977F7">
        <w:rPr>
          <w:rFonts w:asciiTheme="majorHAnsi" w:hAnsiTheme="majorHAnsi"/>
          <w:spacing w:val="34"/>
          <w:sz w:val="20"/>
          <w:szCs w:val="20"/>
        </w:rPr>
        <w:t xml:space="preserve"> </w:t>
      </w:r>
      <w:r w:rsidRPr="000977F7">
        <w:rPr>
          <w:rFonts w:asciiTheme="majorHAnsi" w:hAnsiTheme="majorHAnsi"/>
          <w:sz w:val="20"/>
          <w:szCs w:val="20"/>
        </w:rPr>
        <w:t>з’єднання</w:t>
      </w:r>
      <w:r w:rsidRPr="000977F7">
        <w:rPr>
          <w:rFonts w:asciiTheme="majorHAnsi" w:hAnsiTheme="majorHAnsi"/>
          <w:spacing w:val="34"/>
          <w:sz w:val="20"/>
          <w:szCs w:val="20"/>
        </w:rPr>
        <w:t xml:space="preserve"> </w:t>
      </w:r>
      <w:r w:rsidRPr="000977F7">
        <w:rPr>
          <w:rFonts w:asciiTheme="majorHAnsi" w:hAnsiTheme="majorHAnsi"/>
          <w:sz w:val="20"/>
          <w:szCs w:val="20"/>
        </w:rPr>
        <w:t>з</w:t>
      </w:r>
      <w:r w:rsidRPr="000977F7">
        <w:rPr>
          <w:rFonts w:asciiTheme="majorHAnsi" w:hAnsiTheme="majorHAnsi"/>
          <w:spacing w:val="35"/>
          <w:sz w:val="20"/>
          <w:szCs w:val="20"/>
        </w:rPr>
        <w:t xml:space="preserve"> </w:t>
      </w:r>
      <w:r w:rsidRPr="000977F7">
        <w:rPr>
          <w:rFonts w:asciiTheme="majorHAnsi" w:hAnsiTheme="majorHAnsi"/>
          <w:sz w:val="20"/>
          <w:szCs w:val="20"/>
        </w:rPr>
        <w:t>міжатомними</w:t>
      </w:r>
      <w:r w:rsidRPr="000977F7">
        <w:rPr>
          <w:rFonts w:asciiTheme="majorHAnsi" w:hAnsiTheme="majorHAnsi"/>
          <w:spacing w:val="36"/>
          <w:sz w:val="20"/>
          <w:szCs w:val="20"/>
        </w:rPr>
        <w:t xml:space="preserve"> </w:t>
      </w:r>
      <w:r w:rsidRPr="000977F7">
        <w:rPr>
          <w:rFonts w:asciiTheme="majorHAnsi" w:hAnsiTheme="majorHAnsi"/>
          <w:sz w:val="20"/>
          <w:szCs w:val="20"/>
        </w:rPr>
        <w:t>зв’язками</w:t>
      </w:r>
      <w:r w:rsidRPr="000977F7">
        <w:rPr>
          <w:rFonts w:asciiTheme="majorHAnsi" w:hAnsiTheme="majorHAnsi"/>
          <w:spacing w:val="35"/>
          <w:sz w:val="20"/>
          <w:szCs w:val="20"/>
        </w:rPr>
        <w:t xml:space="preserve"> </w:t>
      </w:r>
      <w:r w:rsidRPr="000977F7">
        <w:rPr>
          <w:rFonts w:asciiTheme="majorHAnsi" w:hAnsiTheme="majorHAnsi"/>
          <w:sz w:val="20"/>
          <w:szCs w:val="20"/>
        </w:rPr>
        <w:t>шляхом</w:t>
      </w:r>
      <w:r w:rsidRPr="000977F7">
        <w:rPr>
          <w:rFonts w:asciiTheme="majorHAnsi" w:hAnsiTheme="majorHAnsi"/>
          <w:spacing w:val="27"/>
          <w:sz w:val="20"/>
          <w:szCs w:val="20"/>
        </w:rPr>
        <w:t xml:space="preserve"> </w:t>
      </w:r>
      <w:r w:rsidRPr="000977F7">
        <w:rPr>
          <w:rFonts w:asciiTheme="majorHAnsi" w:hAnsiTheme="majorHAnsi"/>
          <w:sz w:val="20"/>
          <w:szCs w:val="20"/>
        </w:rPr>
        <w:t>нагрівання</w:t>
      </w:r>
      <w:r w:rsidRPr="000977F7">
        <w:rPr>
          <w:rFonts w:asciiTheme="majorHAnsi" w:hAnsiTheme="majorHAnsi"/>
          <w:spacing w:val="26"/>
          <w:sz w:val="20"/>
          <w:szCs w:val="20"/>
        </w:rPr>
        <w:t xml:space="preserve"> </w:t>
      </w:r>
      <w:r w:rsidRPr="000977F7">
        <w:rPr>
          <w:rFonts w:asciiTheme="majorHAnsi" w:hAnsiTheme="majorHAnsi"/>
          <w:sz w:val="20"/>
          <w:szCs w:val="20"/>
        </w:rPr>
        <w:t>з’єднуваних</w:t>
      </w:r>
      <w:r w:rsidRPr="000977F7">
        <w:rPr>
          <w:rFonts w:asciiTheme="majorHAnsi" w:hAnsiTheme="majorHAnsi"/>
          <w:spacing w:val="28"/>
          <w:sz w:val="20"/>
          <w:szCs w:val="20"/>
        </w:rPr>
        <w:t xml:space="preserve"> </w:t>
      </w:r>
      <w:r w:rsidRPr="000977F7">
        <w:rPr>
          <w:rFonts w:asciiTheme="majorHAnsi" w:hAnsiTheme="majorHAnsi"/>
          <w:sz w:val="20"/>
          <w:szCs w:val="20"/>
        </w:rPr>
        <w:t>матеріалів</w:t>
      </w:r>
      <w:r w:rsidRPr="000977F7">
        <w:rPr>
          <w:rFonts w:asciiTheme="majorHAnsi" w:hAnsiTheme="majorHAnsi"/>
          <w:spacing w:val="28"/>
          <w:sz w:val="20"/>
          <w:szCs w:val="20"/>
        </w:rPr>
        <w:t xml:space="preserve"> </w:t>
      </w:r>
      <w:r w:rsidRPr="000977F7">
        <w:rPr>
          <w:rFonts w:asciiTheme="majorHAnsi" w:hAnsiTheme="majorHAnsi"/>
          <w:sz w:val="20"/>
          <w:szCs w:val="20"/>
        </w:rPr>
        <w:t>нижче</w:t>
      </w:r>
      <w:r w:rsidRPr="000977F7">
        <w:rPr>
          <w:rFonts w:asciiTheme="majorHAnsi" w:hAnsiTheme="majorHAnsi"/>
          <w:spacing w:val="27"/>
          <w:sz w:val="20"/>
          <w:szCs w:val="20"/>
        </w:rPr>
        <w:t xml:space="preserve"> </w:t>
      </w:r>
      <w:r w:rsidRPr="000977F7">
        <w:rPr>
          <w:rFonts w:asciiTheme="majorHAnsi" w:hAnsiTheme="majorHAnsi"/>
          <w:sz w:val="20"/>
          <w:szCs w:val="20"/>
        </w:rPr>
        <w:t>температури їх плавлення,</w:t>
      </w:r>
      <w:r w:rsidRPr="000977F7">
        <w:rPr>
          <w:rFonts w:asciiTheme="majorHAnsi" w:hAnsiTheme="majorHAnsi"/>
          <w:spacing w:val="1"/>
          <w:sz w:val="20"/>
          <w:szCs w:val="20"/>
        </w:rPr>
        <w:t xml:space="preserve"> </w:t>
      </w:r>
      <w:r w:rsidRPr="000977F7">
        <w:rPr>
          <w:rFonts w:asciiTheme="majorHAnsi" w:hAnsiTheme="majorHAnsi"/>
          <w:sz w:val="20"/>
          <w:szCs w:val="20"/>
        </w:rPr>
        <w:t>змочування їх припоєм,</w:t>
      </w:r>
      <w:r w:rsidRPr="000977F7">
        <w:rPr>
          <w:rFonts w:asciiTheme="majorHAnsi" w:hAnsiTheme="majorHAnsi"/>
          <w:spacing w:val="1"/>
          <w:sz w:val="20"/>
          <w:szCs w:val="20"/>
        </w:rPr>
        <w:t xml:space="preserve"> </w:t>
      </w:r>
      <w:r w:rsidRPr="000977F7">
        <w:rPr>
          <w:rFonts w:asciiTheme="majorHAnsi" w:hAnsiTheme="majorHAnsi"/>
          <w:sz w:val="20"/>
          <w:szCs w:val="20"/>
        </w:rPr>
        <w:t>затікання припою в щілину і подальшої його кристалізації</w:t>
      </w:r>
    </w:p>
    <w:p w14:paraId="280E1758"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2391 - 2010</w:t>
      </w:r>
    </w:p>
    <w:p w14:paraId="3FA2406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ПЕРВИННА</w:t>
      </w:r>
      <w:r w:rsidRPr="000977F7">
        <w:rPr>
          <w:color w:val="auto"/>
          <w:spacing w:val="46"/>
          <w:sz w:val="20"/>
          <w:szCs w:val="20"/>
        </w:rPr>
        <w:t xml:space="preserve"> </w:t>
      </w:r>
      <w:r w:rsidRPr="000977F7">
        <w:rPr>
          <w:color w:val="auto"/>
          <w:sz w:val="20"/>
          <w:szCs w:val="20"/>
        </w:rPr>
        <w:t>ВІДМОВА</w:t>
      </w:r>
      <w:r w:rsidRPr="000977F7">
        <w:rPr>
          <w:color w:val="auto"/>
          <w:spacing w:val="-2"/>
          <w:sz w:val="20"/>
          <w:szCs w:val="20"/>
        </w:rPr>
        <w:t xml:space="preserve"> </w:t>
      </w:r>
      <w:r w:rsidRPr="000977F7">
        <w:rPr>
          <w:color w:val="auto"/>
          <w:sz w:val="20"/>
          <w:szCs w:val="20"/>
        </w:rPr>
        <w:t>–</w:t>
      </w:r>
    </w:p>
    <w:p w14:paraId="4E8D29B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PRIMARY</w:t>
      </w:r>
      <w:r w:rsidRPr="004D2D14">
        <w:rPr>
          <w:rFonts w:asciiTheme="majorHAnsi" w:hAnsiTheme="majorHAnsi"/>
          <w:spacing w:val="45"/>
          <w:sz w:val="20"/>
          <w:szCs w:val="20"/>
          <w:lang w:val="en-US"/>
        </w:rPr>
        <w:t xml:space="preserve"> </w:t>
      </w:r>
      <w:r w:rsidRPr="004D2D14">
        <w:rPr>
          <w:rFonts w:asciiTheme="majorHAnsi" w:hAnsiTheme="majorHAnsi"/>
          <w:sz w:val="20"/>
          <w:szCs w:val="20"/>
          <w:lang w:val="en-US"/>
        </w:rPr>
        <w:t>FAILURE -</w:t>
      </w:r>
    </w:p>
    <w:p w14:paraId="18867F8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 виробу, яка ні прямо , ні посередньо не залежить</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2"/>
          <w:sz w:val="20"/>
          <w:szCs w:val="20"/>
        </w:rPr>
        <w:t xml:space="preserve"> </w:t>
      </w:r>
      <w:r w:rsidRPr="000977F7">
        <w:rPr>
          <w:rFonts w:asciiTheme="majorHAnsi" w:hAnsiTheme="majorHAnsi"/>
          <w:sz w:val="20"/>
          <w:szCs w:val="20"/>
        </w:rPr>
        <w:t>відмови</w:t>
      </w:r>
      <w:r w:rsidRPr="000977F7">
        <w:rPr>
          <w:rFonts w:asciiTheme="majorHAnsi" w:hAnsiTheme="majorHAnsi"/>
          <w:spacing w:val="-2"/>
          <w:sz w:val="20"/>
          <w:szCs w:val="20"/>
        </w:rPr>
        <w:t xml:space="preserve"> </w:t>
      </w:r>
      <w:r w:rsidRPr="000977F7">
        <w:rPr>
          <w:rFonts w:asciiTheme="majorHAnsi" w:hAnsiTheme="majorHAnsi"/>
          <w:sz w:val="20"/>
          <w:szCs w:val="20"/>
        </w:rPr>
        <w:t>іншого виробу</w:t>
      </w:r>
    </w:p>
    <w:p w14:paraId="7AD7A91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ПЕРВИННА ПОВІРКА ЗАСОБІВ </w:t>
      </w:r>
    </w:p>
    <w:p w14:paraId="3E7F075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ВИМІРЮВАЛЬНОЇ</w:t>
      </w:r>
      <w:r w:rsidRPr="000977F7">
        <w:rPr>
          <w:color w:val="auto"/>
          <w:spacing w:val="-2"/>
          <w:sz w:val="20"/>
          <w:szCs w:val="20"/>
        </w:rPr>
        <w:t xml:space="preserve"> </w:t>
      </w:r>
      <w:r w:rsidRPr="000977F7">
        <w:rPr>
          <w:color w:val="auto"/>
          <w:sz w:val="20"/>
          <w:szCs w:val="20"/>
        </w:rPr>
        <w:t>ТЕХНІКИ</w:t>
      </w:r>
      <w:r w:rsidRPr="000977F7">
        <w:rPr>
          <w:color w:val="auto"/>
          <w:spacing w:val="1"/>
          <w:sz w:val="20"/>
          <w:szCs w:val="20"/>
        </w:rPr>
        <w:t xml:space="preserve"> </w:t>
      </w:r>
      <w:r w:rsidRPr="000977F7">
        <w:rPr>
          <w:color w:val="auto"/>
          <w:sz w:val="20"/>
          <w:szCs w:val="20"/>
        </w:rPr>
        <w:t>–</w:t>
      </w:r>
    </w:p>
    <w:p w14:paraId="2A4A483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INITIAL</w:t>
      </w:r>
      <w:r w:rsidRPr="004D2D14">
        <w:rPr>
          <w:rFonts w:asciiTheme="majorHAnsi" w:hAnsiTheme="majorHAnsi"/>
          <w:spacing w:val="-7"/>
          <w:sz w:val="20"/>
          <w:szCs w:val="20"/>
          <w:lang w:val="uk-UA"/>
        </w:rPr>
        <w:t xml:space="preserve"> </w:t>
      </w:r>
      <w:r w:rsidRPr="000977F7">
        <w:rPr>
          <w:rFonts w:asciiTheme="majorHAnsi" w:hAnsiTheme="majorHAnsi"/>
          <w:sz w:val="20"/>
          <w:szCs w:val="20"/>
        </w:rPr>
        <w:t>VERIFICATION</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p>
    <w:p w14:paraId="7EC0254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Повірка, що виконується вперше після виготовлення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засобів вимірювальної техніки або після ремонту, 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також при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імпорті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партіями</w:t>
      </w:r>
    </w:p>
    <w:p w14:paraId="2C6274A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ПЕРВИННИЙ ВІМІРЮВАЛЬНИЙ </w:t>
      </w:r>
    </w:p>
    <w:p w14:paraId="5821E12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ПЕРЕТВО</w:t>
      </w:r>
      <w:r w:rsidRPr="000977F7">
        <w:rPr>
          <w:color w:val="auto"/>
          <w:spacing w:val="-47"/>
          <w:sz w:val="20"/>
          <w:szCs w:val="20"/>
        </w:rPr>
        <w:t xml:space="preserve"> </w:t>
      </w:r>
      <w:r w:rsidRPr="000977F7">
        <w:rPr>
          <w:color w:val="auto"/>
          <w:sz w:val="20"/>
          <w:szCs w:val="20"/>
        </w:rPr>
        <w:t>РЮВАЧ,</w:t>
      </w:r>
      <w:r w:rsidRPr="000977F7">
        <w:rPr>
          <w:color w:val="auto"/>
          <w:spacing w:val="-1"/>
          <w:sz w:val="20"/>
          <w:szCs w:val="20"/>
        </w:rPr>
        <w:t xml:space="preserve"> </w:t>
      </w:r>
      <w:r w:rsidRPr="000977F7">
        <w:rPr>
          <w:color w:val="auto"/>
          <w:sz w:val="20"/>
          <w:szCs w:val="20"/>
        </w:rPr>
        <w:t>СЕНСОР</w:t>
      </w:r>
      <w:r w:rsidRPr="000977F7">
        <w:rPr>
          <w:color w:val="auto"/>
          <w:spacing w:val="2"/>
          <w:sz w:val="20"/>
          <w:szCs w:val="20"/>
        </w:rPr>
        <w:t xml:space="preserve"> </w:t>
      </w:r>
      <w:r w:rsidRPr="000977F7">
        <w:rPr>
          <w:color w:val="auto"/>
          <w:sz w:val="20"/>
          <w:szCs w:val="20"/>
        </w:rPr>
        <w:t>–</w:t>
      </w:r>
    </w:p>
    <w:p w14:paraId="26C6FDF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SENSOR</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3B08D48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Вимірювальний перетворювач, який першим взаємодіє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 об’єктом вимірювання</w:t>
      </w:r>
    </w:p>
    <w:p w14:paraId="5CCF026F"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2681</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 94</w:t>
      </w:r>
    </w:p>
    <w:p w14:paraId="0C9D34AB"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uk-UA"/>
        </w:rPr>
      </w:pPr>
      <w:r w:rsidRPr="004D2D14">
        <w:rPr>
          <w:rFonts w:asciiTheme="majorHAnsi" w:hAnsiTheme="majorHAnsi"/>
          <w:b/>
          <w:sz w:val="20"/>
          <w:szCs w:val="20"/>
          <w:lang w:val="uk-UA"/>
        </w:rPr>
        <w:t>ПЕРВИННИЙ ЕТАЛОН –</w:t>
      </w:r>
      <w:r w:rsidRPr="004D2D14">
        <w:rPr>
          <w:rFonts w:asciiTheme="majorHAnsi" w:hAnsiTheme="majorHAnsi"/>
          <w:b/>
          <w:spacing w:val="-47"/>
          <w:sz w:val="20"/>
          <w:szCs w:val="20"/>
          <w:lang w:val="uk-UA"/>
        </w:rPr>
        <w:t xml:space="preserve"> </w:t>
      </w:r>
    </w:p>
    <w:p w14:paraId="05FA3D85"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0977F7">
        <w:rPr>
          <w:rFonts w:asciiTheme="majorHAnsi" w:hAnsiTheme="majorHAnsi"/>
          <w:sz w:val="20"/>
          <w:szCs w:val="20"/>
        </w:rPr>
        <w:t>PRIMARY</w:t>
      </w:r>
      <w:r w:rsidRPr="004D2D14">
        <w:rPr>
          <w:rFonts w:asciiTheme="majorHAnsi" w:hAnsiTheme="majorHAnsi"/>
          <w:spacing w:val="-2"/>
          <w:sz w:val="20"/>
          <w:szCs w:val="20"/>
          <w:lang w:val="uk-UA"/>
        </w:rPr>
        <w:t xml:space="preserve"> </w:t>
      </w:r>
      <w:r w:rsidRPr="000977F7">
        <w:rPr>
          <w:rFonts w:asciiTheme="majorHAnsi" w:hAnsiTheme="majorHAnsi"/>
          <w:sz w:val="20"/>
          <w:szCs w:val="20"/>
        </w:rPr>
        <w:t>STANDART</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6C16D00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Еталон, що забезпечує відтворення та (або) зберігання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одиниці</w:t>
      </w:r>
      <w:r w:rsidRPr="004D2D14">
        <w:rPr>
          <w:rFonts w:asciiTheme="majorHAnsi" w:hAnsiTheme="majorHAnsi"/>
          <w:spacing w:val="45"/>
          <w:sz w:val="20"/>
          <w:szCs w:val="20"/>
          <w:lang w:val="uk-UA"/>
        </w:rPr>
        <w:t xml:space="preserve"> </w:t>
      </w:r>
      <w:r w:rsidRPr="004D2D14">
        <w:rPr>
          <w:rFonts w:asciiTheme="majorHAnsi" w:hAnsiTheme="majorHAnsi"/>
          <w:sz w:val="20"/>
          <w:szCs w:val="20"/>
          <w:lang w:val="uk-UA"/>
        </w:rPr>
        <w:t>фізичної</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величини</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45"/>
          <w:sz w:val="20"/>
          <w:szCs w:val="20"/>
          <w:lang w:val="uk-UA"/>
        </w:rPr>
        <w:t xml:space="preserve"> </w:t>
      </w:r>
      <w:r w:rsidRPr="004D2D14">
        <w:rPr>
          <w:rFonts w:asciiTheme="majorHAnsi" w:hAnsiTheme="majorHAnsi"/>
          <w:sz w:val="20"/>
          <w:szCs w:val="20"/>
          <w:lang w:val="uk-UA"/>
        </w:rPr>
        <w:t>найвищою</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48"/>
          <w:sz w:val="20"/>
          <w:szCs w:val="20"/>
          <w:lang w:val="uk-UA"/>
        </w:rPr>
        <w:t xml:space="preserve"> </w:t>
      </w:r>
      <w:r w:rsidRPr="004D2D14">
        <w:rPr>
          <w:rFonts w:asciiTheme="majorHAnsi" w:hAnsiTheme="majorHAnsi"/>
          <w:sz w:val="20"/>
          <w:szCs w:val="20"/>
          <w:lang w:val="uk-UA"/>
        </w:rPr>
        <w:t>країні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(у порівнянні з іншими еталонами тієї ж одиниці) точністю</w:t>
      </w:r>
    </w:p>
    <w:p w14:paraId="4237D65E"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94</w:t>
      </w:r>
    </w:p>
    <w:p w14:paraId="7327999B"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1"/>
          <w:sz w:val="20"/>
          <w:szCs w:val="20"/>
          <w:lang w:val="en-US"/>
        </w:rPr>
      </w:pPr>
      <w:r w:rsidRPr="000977F7">
        <w:rPr>
          <w:rFonts w:asciiTheme="majorHAnsi" w:hAnsiTheme="majorHAnsi"/>
          <w:b/>
          <w:sz w:val="20"/>
          <w:szCs w:val="20"/>
        </w:rPr>
        <w:t>ПЕРЕБІГ</w:t>
      </w:r>
      <w:r w:rsidRPr="004D2D14">
        <w:rPr>
          <w:rFonts w:asciiTheme="majorHAnsi" w:hAnsiTheme="majorHAnsi"/>
          <w:b/>
          <w:sz w:val="20"/>
          <w:szCs w:val="20"/>
          <w:lang w:val="en-US"/>
        </w:rPr>
        <w:t xml:space="preserve"> </w:t>
      </w:r>
      <w:r w:rsidRPr="000977F7">
        <w:rPr>
          <w:rFonts w:asciiTheme="majorHAnsi" w:hAnsiTheme="majorHAnsi"/>
          <w:b/>
          <w:sz w:val="20"/>
          <w:szCs w:val="20"/>
        </w:rPr>
        <w:t>ПРОЦЕСУ</w:t>
      </w:r>
      <w:r w:rsidRPr="004D2D14">
        <w:rPr>
          <w:rFonts w:asciiTheme="majorHAnsi" w:hAnsiTheme="majorHAnsi"/>
          <w:b/>
          <w:sz w:val="20"/>
          <w:szCs w:val="20"/>
          <w:lang w:val="en-US"/>
        </w:rPr>
        <w:t xml:space="preserve"> –</w:t>
      </w:r>
    </w:p>
    <w:p w14:paraId="513CB7C2"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PROCESS</w:t>
      </w:r>
      <w:r w:rsidRPr="004D2D14">
        <w:rPr>
          <w:rFonts w:asciiTheme="majorHAnsi" w:hAnsiTheme="majorHAnsi"/>
          <w:spacing w:val="-9"/>
          <w:sz w:val="20"/>
          <w:szCs w:val="20"/>
          <w:lang w:val="en-US"/>
        </w:rPr>
        <w:t xml:space="preserve"> </w:t>
      </w:r>
      <w:r w:rsidRPr="004D2D14">
        <w:rPr>
          <w:rFonts w:asciiTheme="majorHAnsi" w:hAnsiTheme="majorHAnsi"/>
          <w:sz w:val="20"/>
          <w:szCs w:val="20"/>
          <w:lang w:val="en-US"/>
        </w:rPr>
        <w:t>PROCEDING</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w:t>
      </w:r>
    </w:p>
    <w:p w14:paraId="21626F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Змінювання</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властивостей</w:t>
      </w:r>
      <w:r w:rsidRPr="000977F7">
        <w:rPr>
          <w:rFonts w:asciiTheme="majorHAnsi" w:hAnsiTheme="majorHAnsi"/>
          <w:spacing w:val="-2"/>
          <w:sz w:val="20"/>
          <w:szCs w:val="20"/>
        </w:rPr>
        <w:t xml:space="preserve"> </w:t>
      </w:r>
      <w:r w:rsidRPr="000977F7">
        <w:rPr>
          <w:rFonts w:asciiTheme="majorHAnsi" w:hAnsiTheme="majorHAnsi"/>
          <w:sz w:val="20"/>
          <w:szCs w:val="20"/>
        </w:rPr>
        <w:t>процесу</w:t>
      </w:r>
      <w:r w:rsidRPr="000977F7">
        <w:rPr>
          <w:rFonts w:asciiTheme="majorHAnsi" w:hAnsiTheme="majorHAnsi"/>
          <w:spacing w:val="-7"/>
          <w:sz w:val="20"/>
          <w:szCs w:val="20"/>
        </w:rPr>
        <w:t xml:space="preserve"> </w:t>
      </w:r>
      <w:r w:rsidRPr="000977F7">
        <w:rPr>
          <w:rFonts w:asciiTheme="majorHAnsi" w:hAnsiTheme="majorHAnsi"/>
          <w:sz w:val="20"/>
          <w:szCs w:val="20"/>
        </w:rPr>
        <w:t>в</w:t>
      </w:r>
      <w:r w:rsidRPr="000977F7">
        <w:rPr>
          <w:rFonts w:asciiTheme="majorHAnsi" w:hAnsiTheme="majorHAnsi"/>
          <w:spacing w:val="-4"/>
          <w:sz w:val="20"/>
          <w:szCs w:val="20"/>
        </w:rPr>
        <w:t xml:space="preserve"> </w:t>
      </w:r>
      <w:r w:rsidRPr="000977F7">
        <w:rPr>
          <w:rFonts w:asciiTheme="majorHAnsi" w:hAnsiTheme="majorHAnsi"/>
          <w:sz w:val="20"/>
          <w:szCs w:val="20"/>
        </w:rPr>
        <w:t>часі</w:t>
      </w:r>
    </w:p>
    <w:p w14:paraId="5858D221"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628224A9"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ПЕРЕВИДАННЯ –</w:t>
      </w:r>
      <w:r w:rsidRPr="000977F7">
        <w:rPr>
          <w:rFonts w:asciiTheme="majorHAnsi" w:hAnsiTheme="majorHAnsi"/>
          <w:b/>
          <w:spacing w:val="-47"/>
          <w:sz w:val="20"/>
          <w:szCs w:val="20"/>
        </w:rPr>
        <w:t xml:space="preserve"> </w:t>
      </w:r>
    </w:p>
    <w:p w14:paraId="35C55E1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REPRINT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6FB71A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Новий видрук видання нормативного документа без</w:t>
      </w:r>
      <w:r w:rsidRPr="000977F7">
        <w:rPr>
          <w:rFonts w:asciiTheme="majorHAnsi" w:hAnsiTheme="majorHAnsi"/>
          <w:spacing w:val="1"/>
          <w:sz w:val="20"/>
          <w:szCs w:val="20"/>
        </w:rPr>
        <w:t xml:space="preserve"> </w:t>
      </w:r>
      <w:r w:rsidRPr="000977F7">
        <w:rPr>
          <w:rFonts w:asciiTheme="majorHAnsi" w:hAnsiTheme="majorHAnsi"/>
          <w:sz w:val="20"/>
          <w:szCs w:val="20"/>
        </w:rPr>
        <w:t>змін</w:t>
      </w:r>
    </w:p>
    <w:p w14:paraId="5E8750E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ПЕРЕВІЗНИК</w:t>
      </w:r>
      <w:r w:rsidRPr="000977F7">
        <w:rPr>
          <w:color w:val="auto"/>
          <w:spacing w:val="-3"/>
          <w:sz w:val="20"/>
          <w:szCs w:val="20"/>
        </w:rPr>
        <w:t xml:space="preserve"> </w:t>
      </w:r>
      <w:r w:rsidRPr="000977F7">
        <w:rPr>
          <w:color w:val="auto"/>
          <w:sz w:val="20"/>
          <w:szCs w:val="20"/>
        </w:rPr>
        <w:t>–</w:t>
      </w:r>
    </w:p>
    <w:p w14:paraId="0836FFF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Особа, зареєстрована як суб’єкт підприємницької діяльності, яка в установленому законом порядку, з використанням належних їй або найманих нею транспортних засобів переміщує товари через митний кордон</w:t>
      </w:r>
      <w:r w:rsidRPr="000977F7">
        <w:rPr>
          <w:rFonts w:asciiTheme="majorHAnsi" w:hAnsiTheme="majorHAnsi"/>
          <w:spacing w:val="1"/>
          <w:sz w:val="20"/>
          <w:szCs w:val="20"/>
        </w:rPr>
        <w:t xml:space="preserve"> </w:t>
      </w:r>
      <w:r w:rsidRPr="000977F7">
        <w:rPr>
          <w:rFonts w:asciiTheme="majorHAnsi" w:hAnsiTheme="majorHAnsi"/>
          <w:sz w:val="20"/>
          <w:szCs w:val="20"/>
        </w:rPr>
        <w:t>України або здійснює перевезення товарів, що перебувають під митним контролем, між митними органами</w:t>
      </w:r>
      <w:r w:rsidRPr="000977F7">
        <w:rPr>
          <w:rFonts w:asciiTheme="majorHAnsi" w:hAnsiTheme="majorHAnsi"/>
          <w:spacing w:val="-2"/>
          <w:sz w:val="20"/>
          <w:szCs w:val="20"/>
        </w:rPr>
        <w:t xml:space="preserve"> </w:t>
      </w:r>
      <w:r w:rsidRPr="000977F7">
        <w:rPr>
          <w:rFonts w:asciiTheme="majorHAnsi" w:hAnsiTheme="majorHAnsi"/>
          <w:sz w:val="20"/>
          <w:szCs w:val="20"/>
        </w:rPr>
        <w:t>на території</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p>
    <w:p w14:paraId="4107597D"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Митний</w:t>
      </w:r>
      <w:r w:rsidRPr="000977F7">
        <w:rPr>
          <w:rFonts w:asciiTheme="majorHAnsi" w:hAnsiTheme="majorHAnsi"/>
          <w:i/>
          <w:spacing w:val="5"/>
          <w:sz w:val="20"/>
          <w:szCs w:val="20"/>
        </w:rPr>
        <w:t xml:space="preserve"> </w:t>
      </w:r>
      <w:r w:rsidRPr="000977F7">
        <w:rPr>
          <w:rFonts w:asciiTheme="majorHAnsi" w:hAnsiTheme="majorHAnsi"/>
          <w:i/>
          <w:sz w:val="20"/>
          <w:szCs w:val="20"/>
        </w:rPr>
        <w:t>кодекс</w:t>
      </w:r>
      <w:r w:rsidRPr="000977F7">
        <w:rPr>
          <w:rFonts w:asciiTheme="majorHAnsi" w:hAnsiTheme="majorHAnsi"/>
          <w:i/>
          <w:spacing w:val="5"/>
          <w:sz w:val="20"/>
          <w:szCs w:val="20"/>
        </w:rPr>
        <w:t xml:space="preserve"> </w:t>
      </w:r>
      <w:r w:rsidRPr="000977F7">
        <w:rPr>
          <w:rFonts w:asciiTheme="majorHAnsi" w:hAnsiTheme="majorHAnsi"/>
          <w:i/>
          <w:sz w:val="20"/>
          <w:szCs w:val="20"/>
        </w:rPr>
        <w:t>України.</w:t>
      </w:r>
    </w:p>
    <w:p w14:paraId="5200DC50"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ПЕРЕВІРКА ВІДПОВІДНОСТІ –</w:t>
      </w:r>
    </w:p>
    <w:p w14:paraId="0610C2F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VERIFICATION</w:t>
      </w:r>
      <w:r w:rsidRPr="000977F7">
        <w:rPr>
          <w:rFonts w:asciiTheme="majorHAnsi" w:hAnsiTheme="majorHAnsi"/>
          <w:spacing w:val="46"/>
          <w:sz w:val="20"/>
          <w:szCs w:val="20"/>
        </w:rPr>
        <w:t xml:space="preserve"> </w:t>
      </w:r>
      <w:r w:rsidRPr="000977F7">
        <w:rPr>
          <w:rFonts w:asciiTheme="majorHAnsi" w:hAnsiTheme="majorHAnsi"/>
          <w:sz w:val="20"/>
          <w:szCs w:val="20"/>
        </w:rPr>
        <w:t>OF</w:t>
      </w:r>
      <w:r w:rsidRPr="000977F7">
        <w:rPr>
          <w:rFonts w:asciiTheme="majorHAnsi" w:hAnsiTheme="majorHAnsi"/>
          <w:spacing w:val="-2"/>
          <w:sz w:val="20"/>
          <w:szCs w:val="20"/>
        </w:rPr>
        <w:t xml:space="preserve"> </w:t>
      </w:r>
      <w:r w:rsidRPr="000977F7">
        <w:rPr>
          <w:rFonts w:asciiTheme="majorHAnsi" w:hAnsiTheme="majorHAnsi"/>
          <w:sz w:val="20"/>
          <w:szCs w:val="20"/>
        </w:rPr>
        <w:t>CONFORMITY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C14C97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Підтвердження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послуги</w:t>
      </w:r>
      <w:r w:rsidRPr="000977F7">
        <w:rPr>
          <w:rFonts w:asciiTheme="majorHAnsi" w:hAnsiTheme="majorHAnsi"/>
          <w:spacing w:val="1"/>
          <w:sz w:val="20"/>
          <w:szCs w:val="20"/>
        </w:rPr>
        <w:t xml:space="preserve"> </w:t>
      </w:r>
      <w:r w:rsidRPr="000977F7">
        <w:rPr>
          <w:rFonts w:asciiTheme="majorHAnsi" w:hAnsiTheme="majorHAnsi"/>
          <w:sz w:val="20"/>
          <w:szCs w:val="20"/>
        </w:rPr>
        <w:t>заданим</w:t>
      </w:r>
      <w:r w:rsidRPr="000977F7">
        <w:rPr>
          <w:rFonts w:asciiTheme="majorHAnsi" w:hAnsiTheme="majorHAnsi"/>
          <w:spacing w:val="1"/>
          <w:sz w:val="20"/>
          <w:szCs w:val="20"/>
        </w:rPr>
        <w:t xml:space="preserve"> </w:t>
      </w:r>
      <w:r w:rsidRPr="000977F7">
        <w:rPr>
          <w:rFonts w:asciiTheme="majorHAnsi" w:hAnsiTheme="majorHAnsi"/>
          <w:sz w:val="20"/>
          <w:szCs w:val="20"/>
        </w:rPr>
        <w:t>вимогам,</w:t>
      </w:r>
      <w:r w:rsidRPr="000977F7">
        <w:rPr>
          <w:rFonts w:asciiTheme="majorHAnsi" w:hAnsiTheme="majorHAnsi"/>
          <w:spacing w:val="1"/>
          <w:sz w:val="20"/>
          <w:szCs w:val="20"/>
        </w:rPr>
        <w:t xml:space="preserve"> </w:t>
      </w:r>
      <w:r w:rsidRPr="000977F7">
        <w:rPr>
          <w:rFonts w:asciiTheme="majorHAnsi" w:hAnsiTheme="majorHAnsi"/>
          <w:sz w:val="20"/>
          <w:szCs w:val="20"/>
        </w:rPr>
        <w:t>яке</w:t>
      </w:r>
      <w:r w:rsidRPr="000977F7">
        <w:rPr>
          <w:rFonts w:asciiTheme="majorHAnsi" w:hAnsiTheme="majorHAnsi"/>
          <w:spacing w:val="1"/>
          <w:sz w:val="20"/>
          <w:szCs w:val="20"/>
        </w:rPr>
        <w:t xml:space="preserve"> </w:t>
      </w:r>
      <w:r w:rsidRPr="000977F7">
        <w:rPr>
          <w:rFonts w:asciiTheme="majorHAnsi" w:hAnsiTheme="majorHAnsi"/>
          <w:sz w:val="20"/>
          <w:szCs w:val="20"/>
        </w:rPr>
        <w:t>одержують</w:t>
      </w:r>
      <w:r w:rsidRPr="000977F7">
        <w:rPr>
          <w:rFonts w:asciiTheme="majorHAnsi" w:hAnsiTheme="majorHAnsi"/>
          <w:spacing w:val="1"/>
          <w:sz w:val="20"/>
          <w:szCs w:val="20"/>
        </w:rPr>
        <w:t xml:space="preserve"> </w:t>
      </w:r>
      <w:r w:rsidRPr="000977F7">
        <w:rPr>
          <w:rFonts w:asciiTheme="majorHAnsi" w:hAnsiTheme="majorHAnsi"/>
          <w:sz w:val="20"/>
          <w:szCs w:val="20"/>
        </w:rPr>
        <w:t>шляхом</w:t>
      </w:r>
      <w:r w:rsidRPr="000977F7">
        <w:rPr>
          <w:rFonts w:asciiTheme="majorHAnsi" w:hAnsiTheme="majorHAnsi"/>
          <w:spacing w:val="1"/>
          <w:sz w:val="20"/>
          <w:szCs w:val="20"/>
        </w:rPr>
        <w:t xml:space="preserve"> </w:t>
      </w:r>
      <w:r w:rsidRPr="000977F7">
        <w:rPr>
          <w:rFonts w:asciiTheme="majorHAnsi" w:hAnsiTheme="majorHAnsi"/>
          <w:sz w:val="20"/>
          <w:szCs w:val="20"/>
        </w:rPr>
        <w:t>вивчення</w:t>
      </w:r>
      <w:r w:rsidRPr="000977F7">
        <w:rPr>
          <w:rFonts w:asciiTheme="majorHAnsi" w:hAnsiTheme="majorHAnsi"/>
          <w:spacing w:val="-2"/>
          <w:sz w:val="20"/>
          <w:szCs w:val="20"/>
        </w:rPr>
        <w:t xml:space="preserve"> </w:t>
      </w:r>
      <w:r w:rsidRPr="000977F7">
        <w:rPr>
          <w:rFonts w:asciiTheme="majorHAnsi" w:hAnsiTheme="majorHAnsi"/>
          <w:sz w:val="20"/>
          <w:szCs w:val="20"/>
        </w:rPr>
        <w:t>доказів</w:t>
      </w:r>
    </w:p>
    <w:p w14:paraId="54818922"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ПЕРЕВІРКА</w:t>
      </w:r>
      <w:r w:rsidRPr="000977F7">
        <w:rPr>
          <w:color w:val="auto"/>
          <w:spacing w:val="-5"/>
          <w:sz w:val="20"/>
          <w:szCs w:val="20"/>
        </w:rPr>
        <w:t xml:space="preserve"> </w:t>
      </w:r>
      <w:r w:rsidRPr="000977F7">
        <w:rPr>
          <w:color w:val="auto"/>
          <w:sz w:val="20"/>
          <w:szCs w:val="20"/>
        </w:rPr>
        <w:t>ЗМІСТУ</w:t>
      </w:r>
      <w:r w:rsidRPr="000977F7">
        <w:rPr>
          <w:color w:val="auto"/>
          <w:spacing w:val="-3"/>
          <w:sz w:val="20"/>
          <w:szCs w:val="20"/>
        </w:rPr>
        <w:t xml:space="preserve"> </w:t>
      </w:r>
      <w:r w:rsidRPr="000977F7">
        <w:rPr>
          <w:color w:val="auto"/>
          <w:sz w:val="20"/>
          <w:szCs w:val="20"/>
        </w:rPr>
        <w:t>ПРОЕКТУ</w:t>
      </w:r>
      <w:r w:rsidRPr="000977F7">
        <w:rPr>
          <w:color w:val="auto"/>
          <w:spacing w:val="-1"/>
          <w:sz w:val="20"/>
          <w:szCs w:val="20"/>
        </w:rPr>
        <w:t xml:space="preserve"> </w:t>
      </w:r>
      <w:r w:rsidRPr="000977F7">
        <w:rPr>
          <w:b w:val="0"/>
          <w:color w:val="auto"/>
          <w:sz w:val="20"/>
          <w:szCs w:val="20"/>
        </w:rPr>
        <w:t>–</w:t>
      </w:r>
    </w:p>
    <w:p w14:paraId="0876D25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 формалізації приймання змісту проекту зацікавленими</w:t>
      </w:r>
      <w:r w:rsidRPr="000977F7">
        <w:rPr>
          <w:rFonts w:asciiTheme="majorHAnsi" w:hAnsiTheme="majorHAnsi"/>
          <w:spacing w:val="1"/>
          <w:sz w:val="20"/>
          <w:szCs w:val="20"/>
        </w:rPr>
        <w:t xml:space="preserve"> </w:t>
      </w:r>
      <w:r w:rsidRPr="000977F7">
        <w:rPr>
          <w:rFonts w:asciiTheme="majorHAnsi" w:hAnsiTheme="majorHAnsi"/>
          <w:sz w:val="20"/>
          <w:szCs w:val="20"/>
        </w:rPr>
        <w:t>особами</w:t>
      </w:r>
      <w:r w:rsidRPr="000977F7">
        <w:rPr>
          <w:rFonts w:asciiTheme="majorHAnsi" w:hAnsiTheme="majorHAnsi"/>
          <w:spacing w:val="1"/>
          <w:sz w:val="20"/>
          <w:szCs w:val="20"/>
        </w:rPr>
        <w:t xml:space="preserve"> </w:t>
      </w:r>
      <w:r w:rsidRPr="000977F7">
        <w:rPr>
          <w:rFonts w:asciiTheme="majorHAnsi" w:hAnsiTheme="majorHAnsi"/>
          <w:sz w:val="20"/>
          <w:szCs w:val="20"/>
        </w:rPr>
        <w:t>(спонсором,</w:t>
      </w:r>
      <w:r w:rsidRPr="000977F7">
        <w:rPr>
          <w:rFonts w:asciiTheme="majorHAnsi" w:hAnsiTheme="majorHAnsi"/>
          <w:spacing w:val="1"/>
          <w:sz w:val="20"/>
          <w:szCs w:val="20"/>
        </w:rPr>
        <w:t xml:space="preserve"> </w:t>
      </w:r>
      <w:r w:rsidRPr="000977F7">
        <w:rPr>
          <w:rFonts w:asciiTheme="majorHAnsi" w:hAnsiTheme="majorHAnsi"/>
          <w:sz w:val="20"/>
          <w:szCs w:val="20"/>
        </w:rPr>
        <w:t>клієнтом,</w:t>
      </w:r>
      <w:r w:rsidRPr="000977F7">
        <w:rPr>
          <w:rFonts w:asciiTheme="majorHAnsi" w:hAnsiTheme="majorHAnsi"/>
          <w:spacing w:val="1"/>
          <w:sz w:val="20"/>
          <w:szCs w:val="20"/>
        </w:rPr>
        <w:t xml:space="preserve"> </w:t>
      </w:r>
      <w:r w:rsidRPr="000977F7">
        <w:rPr>
          <w:rFonts w:asciiTheme="majorHAnsi" w:hAnsiTheme="majorHAnsi"/>
          <w:sz w:val="20"/>
          <w:szCs w:val="20"/>
        </w:rPr>
        <w:t>споживачем і т.д.). Вона вимагає аналізу продуктів і результатів роботи</w:t>
      </w:r>
      <w:r w:rsidRPr="000977F7">
        <w:rPr>
          <w:rFonts w:asciiTheme="majorHAnsi" w:hAnsiTheme="majorHAnsi"/>
          <w:spacing w:val="51"/>
          <w:sz w:val="20"/>
          <w:szCs w:val="20"/>
        </w:rPr>
        <w:t xml:space="preserve"> </w:t>
      </w:r>
      <w:r w:rsidRPr="000977F7">
        <w:rPr>
          <w:rFonts w:asciiTheme="majorHAnsi" w:hAnsiTheme="majorHAnsi"/>
          <w:sz w:val="20"/>
          <w:szCs w:val="20"/>
        </w:rPr>
        <w:t>й необхідна для того, щоб переконатися,</w:t>
      </w:r>
      <w:r w:rsidRPr="000977F7">
        <w:rPr>
          <w:rFonts w:asciiTheme="majorHAnsi" w:hAnsiTheme="majorHAnsi"/>
          <w:spacing w:val="1"/>
          <w:sz w:val="20"/>
          <w:szCs w:val="20"/>
        </w:rPr>
        <w:t xml:space="preserve"> </w:t>
      </w:r>
      <w:r w:rsidRPr="000977F7">
        <w:rPr>
          <w:rFonts w:asciiTheme="majorHAnsi" w:hAnsiTheme="majorHAnsi"/>
          <w:sz w:val="20"/>
          <w:szCs w:val="20"/>
        </w:rPr>
        <w:t>що все виконано правильно і задовільно. Якщо проект</w:t>
      </w:r>
      <w:r w:rsidRPr="000977F7">
        <w:rPr>
          <w:rFonts w:asciiTheme="majorHAnsi" w:hAnsiTheme="majorHAnsi"/>
          <w:spacing w:val="-47"/>
          <w:sz w:val="20"/>
          <w:szCs w:val="20"/>
        </w:rPr>
        <w:t xml:space="preserve"> </w:t>
      </w:r>
      <w:r w:rsidRPr="000977F7">
        <w:rPr>
          <w:rFonts w:asciiTheme="majorHAnsi" w:hAnsiTheme="majorHAnsi"/>
          <w:sz w:val="20"/>
          <w:szCs w:val="20"/>
        </w:rPr>
        <w:t>рано завершився, то в процесі перевірки змісту мають</w:t>
      </w:r>
      <w:r w:rsidRPr="000977F7">
        <w:rPr>
          <w:rFonts w:asciiTheme="majorHAnsi" w:hAnsiTheme="majorHAnsi"/>
          <w:spacing w:val="1"/>
          <w:sz w:val="20"/>
          <w:szCs w:val="20"/>
        </w:rPr>
        <w:t xml:space="preserve"> </w:t>
      </w:r>
      <w:r w:rsidRPr="000977F7">
        <w:rPr>
          <w:rFonts w:asciiTheme="majorHAnsi" w:hAnsiTheme="majorHAnsi"/>
          <w:sz w:val="20"/>
          <w:szCs w:val="20"/>
        </w:rPr>
        <w:t>бути описані та задокументовані рівень і ступінь завершення. Перевірка змісту відрізняється від контролю</w:t>
      </w:r>
      <w:r w:rsidRPr="000977F7">
        <w:rPr>
          <w:rFonts w:asciiTheme="majorHAnsi" w:hAnsiTheme="majorHAnsi"/>
          <w:spacing w:val="1"/>
          <w:sz w:val="20"/>
          <w:szCs w:val="20"/>
        </w:rPr>
        <w:t xml:space="preserve"> </w:t>
      </w:r>
      <w:r w:rsidRPr="000977F7">
        <w:rPr>
          <w:rFonts w:asciiTheme="majorHAnsi" w:hAnsiTheme="majorHAnsi"/>
          <w:sz w:val="20"/>
          <w:szCs w:val="20"/>
        </w:rPr>
        <w:t>якості тим, що вона в основному зосереджується на</w:t>
      </w:r>
      <w:r w:rsidRPr="000977F7">
        <w:rPr>
          <w:rFonts w:asciiTheme="majorHAnsi" w:hAnsiTheme="majorHAnsi"/>
          <w:spacing w:val="1"/>
          <w:sz w:val="20"/>
          <w:szCs w:val="20"/>
        </w:rPr>
        <w:t xml:space="preserve"> </w:t>
      </w:r>
      <w:r w:rsidRPr="000977F7">
        <w:rPr>
          <w:rFonts w:asciiTheme="majorHAnsi" w:hAnsiTheme="majorHAnsi"/>
          <w:sz w:val="20"/>
          <w:szCs w:val="20"/>
        </w:rPr>
        <w:t>прийманні результатів роботи, тоді як процес контролю якості в основному зосереджується на правильності</w:t>
      </w:r>
      <w:r w:rsidRPr="000977F7">
        <w:rPr>
          <w:rFonts w:asciiTheme="majorHAnsi" w:hAnsiTheme="majorHAnsi"/>
          <w:spacing w:val="-2"/>
          <w:sz w:val="20"/>
          <w:szCs w:val="20"/>
        </w:rPr>
        <w:t xml:space="preserve"> </w:t>
      </w:r>
      <w:r w:rsidRPr="000977F7">
        <w:rPr>
          <w:rFonts w:asciiTheme="majorHAnsi" w:hAnsiTheme="majorHAnsi"/>
          <w:sz w:val="20"/>
          <w:szCs w:val="20"/>
        </w:rPr>
        <w:t>результатів</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p>
    <w:p w14:paraId="516F35A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
          <w:w w:val="99"/>
          <w:sz w:val="20"/>
          <w:szCs w:val="20"/>
        </w:rPr>
        <w:t>Ке</w:t>
      </w:r>
      <w:r w:rsidRPr="000977F7">
        <w:rPr>
          <w:rFonts w:asciiTheme="majorHAnsi" w:hAnsiTheme="majorHAnsi"/>
          <w:i/>
          <w:w w:val="99"/>
          <w:sz w:val="20"/>
          <w:szCs w:val="20"/>
        </w:rPr>
        <w:t>р.</w:t>
      </w:r>
      <w:r w:rsidRPr="000977F7">
        <w:rPr>
          <w:rFonts w:asciiTheme="majorHAnsi" w:hAnsiTheme="majorHAnsi"/>
          <w:i/>
          <w:sz w:val="20"/>
          <w:szCs w:val="20"/>
        </w:rPr>
        <w:t xml:space="preserve"> </w:t>
      </w:r>
      <w:r w:rsidRPr="000977F7">
        <w:rPr>
          <w:rFonts w:asciiTheme="majorHAnsi" w:hAnsiTheme="majorHAnsi"/>
          <w:i/>
          <w:spacing w:val="1"/>
          <w:w w:val="99"/>
          <w:sz w:val="20"/>
          <w:szCs w:val="20"/>
        </w:rPr>
        <w:t>про</w:t>
      </w:r>
      <w:r w:rsidRPr="000977F7">
        <w:rPr>
          <w:rFonts w:asciiTheme="majorHAnsi" w:hAnsiTheme="majorHAnsi"/>
          <w:i/>
          <w:w w:val="99"/>
          <w:sz w:val="20"/>
          <w:szCs w:val="20"/>
        </w:rPr>
        <w:t>ек</w:t>
      </w:r>
      <w:r w:rsidRPr="000977F7">
        <w:rPr>
          <w:rFonts w:asciiTheme="majorHAnsi" w:hAnsiTheme="majorHAnsi"/>
          <w:i/>
          <w:spacing w:val="-1"/>
          <w:w w:val="99"/>
          <w:sz w:val="20"/>
          <w:szCs w:val="20"/>
        </w:rPr>
        <w:t>тн</w:t>
      </w:r>
      <w:r w:rsidRPr="000977F7">
        <w:rPr>
          <w:rFonts w:asciiTheme="majorHAnsi" w:hAnsiTheme="majorHAnsi"/>
          <w:i/>
          <w:w w:val="99"/>
          <w:sz w:val="20"/>
          <w:szCs w:val="20"/>
        </w:rPr>
        <w:t>.</w:t>
      </w:r>
      <w:r w:rsidRPr="000977F7">
        <w:rPr>
          <w:rFonts w:asciiTheme="majorHAnsi" w:hAnsiTheme="majorHAnsi"/>
          <w:i/>
          <w:sz w:val="20"/>
          <w:szCs w:val="20"/>
        </w:rPr>
        <w:t xml:space="preserve"> </w:t>
      </w:r>
      <w:r w:rsidRPr="000977F7">
        <w:rPr>
          <w:rFonts w:asciiTheme="majorHAnsi" w:hAnsiTheme="majorHAnsi"/>
          <w:i/>
          <w:spacing w:val="-1"/>
          <w:w w:val="99"/>
          <w:sz w:val="20"/>
          <w:szCs w:val="20"/>
        </w:rPr>
        <w:t>менеджм</w:t>
      </w:r>
      <w:r w:rsidRPr="000977F7">
        <w:rPr>
          <w:rFonts w:asciiTheme="majorHAnsi" w:hAnsiTheme="majorHAnsi"/>
          <w:i/>
          <w:spacing w:val="3"/>
          <w:w w:val="99"/>
          <w:sz w:val="20"/>
          <w:szCs w:val="20"/>
        </w:rPr>
        <w:t>.</w:t>
      </w:r>
      <w:r w:rsidRPr="000977F7">
        <w:rPr>
          <w:rFonts w:asciiTheme="majorHAnsi" w:hAnsiTheme="majorHAnsi"/>
          <w:i/>
          <w:w w:val="99"/>
          <w:sz w:val="20"/>
          <w:szCs w:val="20"/>
        </w:rPr>
        <w:t>-</w:t>
      </w:r>
      <w:r w:rsidRPr="000977F7">
        <w:rPr>
          <w:rFonts w:asciiTheme="majorHAnsi" w:hAnsiTheme="majorHAnsi"/>
          <w:i/>
          <w:spacing w:val="2"/>
          <w:w w:val="99"/>
          <w:sz w:val="20"/>
          <w:szCs w:val="20"/>
        </w:rPr>
        <w:t>т</w:t>
      </w:r>
      <w:r w:rsidRPr="000977F7">
        <w:rPr>
          <w:rFonts w:asciiTheme="majorHAnsi" w:hAnsiTheme="majorHAnsi"/>
          <w:i/>
          <w:w w:val="137"/>
          <w:sz w:val="20"/>
          <w:szCs w:val="20"/>
        </w:rPr>
        <w:t>у‖</w:t>
      </w:r>
    </w:p>
    <w:p w14:paraId="326A4BC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ПЕРЕВІРКА (ЛАБОРАТОРІЇ) НА ЯКІСТЬ </w:t>
      </w:r>
    </w:p>
    <w:p w14:paraId="32E980F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w:t>
      </w:r>
      <w:r w:rsidRPr="000977F7">
        <w:rPr>
          <w:color w:val="auto"/>
          <w:spacing w:val="-47"/>
          <w:sz w:val="20"/>
          <w:szCs w:val="20"/>
        </w:rPr>
        <w:t xml:space="preserve"> </w:t>
      </w:r>
      <w:r w:rsidRPr="000977F7">
        <w:rPr>
          <w:color w:val="auto"/>
          <w:sz w:val="20"/>
          <w:szCs w:val="20"/>
        </w:rPr>
        <w:t>ВЕДЕННЯ</w:t>
      </w:r>
      <w:r w:rsidRPr="000977F7">
        <w:rPr>
          <w:color w:val="auto"/>
          <w:spacing w:val="-1"/>
          <w:sz w:val="20"/>
          <w:szCs w:val="20"/>
        </w:rPr>
        <w:t xml:space="preserve"> </w:t>
      </w:r>
      <w:r w:rsidRPr="000977F7">
        <w:rPr>
          <w:color w:val="auto"/>
          <w:sz w:val="20"/>
          <w:szCs w:val="20"/>
        </w:rPr>
        <w:t>ВИПРОБУВАНЬ</w:t>
      </w:r>
      <w:r w:rsidRPr="000977F7">
        <w:rPr>
          <w:color w:val="auto"/>
          <w:spacing w:val="3"/>
          <w:sz w:val="20"/>
          <w:szCs w:val="20"/>
        </w:rPr>
        <w:t xml:space="preserve"> </w:t>
      </w:r>
      <w:r w:rsidRPr="000977F7">
        <w:rPr>
          <w:color w:val="auto"/>
          <w:sz w:val="20"/>
          <w:szCs w:val="20"/>
        </w:rPr>
        <w:t>–</w:t>
      </w:r>
    </w:p>
    <w:p w14:paraId="4305204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(LABORATORY)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PROFICIENCY</w:t>
      </w:r>
      <w:r w:rsidRPr="004D2D14">
        <w:rPr>
          <w:rFonts w:asciiTheme="majorHAnsi" w:hAnsiTheme="majorHAnsi"/>
          <w:spacing w:val="45"/>
          <w:sz w:val="20"/>
          <w:szCs w:val="20"/>
          <w:lang w:val="en-US"/>
        </w:rPr>
        <w:t xml:space="preserve"> </w:t>
      </w:r>
      <w:r w:rsidRPr="004D2D14">
        <w:rPr>
          <w:rFonts w:asciiTheme="majorHAnsi" w:hAnsiTheme="majorHAnsi"/>
          <w:sz w:val="20"/>
          <w:szCs w:val="20"/>
          <w:lang w:val="en-US"/>
        </w:rPr>
        <w:t>TESTING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36B4258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Встановлення здатності даної лабораторії проводити</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випробування за допомогою міжлабораторних порівняльних випробувань</w:t>
      </w:r>
    </w:p>
    <w:p w14:paraId="380F73F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ПЕРЕВІРКА ПРАВИЛЬНОГО</w:t>
      </w:r>
      <w:r w:rsidRPr="000977F7">
        <w:rPr>
          <w:color w:val="auto"/>
          <w:spacing w:val="-47"/>
          <w:sz w:val="20"/>
          <w:szCs w:val="20"/>
        </w:rPr>
        <w:t xml:space="preserve"> </w:t>
      </w:r>
      <w:r w:rsidRPr="000977F7">
        <w:rPr>
          <w:color w:val="auto"/>
          <w:sz w:val="20"/>
          <w:szCs w:val="20"/>
        </w:rPr>
        <w:t>ФУНКЦІОНУВАННЯ</w:t>
      </w:r>
      <w:r w:rsidRPr="000977F7">
        <w:rPr>
          <w:color w:val="auto"/>
          <w:spacing w:val="1"/>
          <w:sz w:val="20"/>
          <w:szCs w:val="20"/>
        </w:rPr>
        <w:t xml:space="preserve"> </w:t>
      </w:r>
      <w:r w:rsidRPr="000977F7">
        <w:rPr>
          <w:color w:val="auto"/>
          <w:sz w:val="20"/>
          <w:szCs w:val="20"/>
        </w:rPr>
        <w:t>–</w:t>
      </w:r>
    </w:p>
    <w:p w14:paraId="43DFD99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FAULT DETECTION IN THE COURSE</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OPERATION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7DAB45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Діагностування при контролі правильного функціонування</w:t>
      </w:r>
    </w:p>
    <w:p w14:paraId="2E8503B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ПЕРЕВІРКА</w:t>
      </w:r>
      <w:r w:rsidRPr="000977F7">
        <w:rPr>
          <w:color w:val="auto"/>
          <w:spacing w:val="-5"/>
          <w:sz w:val="20"/>
          <w:szCs w:val="20"/>
        </w:rPr>
        <w:t xml:space="preserve"> </w:t>
      </w:r>
      <w:r w:rsidRPr="000977F7">
        <w:rPr>
          <w:color w:val="auto"/>
          <w:sz w:val="20"/>
          <w:szCs w:val="20"/>
        </w:rPr>
        <w:t>ПРАЦЕЗДАТНОСТІ</w:t>
      </w:r>
      <w:r w:rsidRPr="000977F7">
        <w:rPr>
          <w:color w:val="auto"/>
          <w:spacing w:val="-2"/>
          <w:sz w:val="20"/>
          <w:szCs w:val="20"/>
        </w:rPr>
        <w:t xml:space="preserve"> </w:t>
      </w:r>
      <w:r w:rsidRPr="000977F7">
        <w:rPr>
          <w:color w:val="auto"/>
          <w:sz w:val="20"/>
          <w:szCs w:val="20"/>
        </w:rPr>
        <w:t>–</w:t>
      </w:r>
    </w:p>
    <w:p w14:paraId="3FEBCD2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Діагностування</w:t>
      </w:r>
      <w:r w:rsidRPr="000977F7">
        <w:rPr>
          <w:rFonts w:asciiTheme="majorHAnsi" w:hAnsiTheme="majorHAnsi"/>
          <w:spacing w:val="-3"/>
          <w:sz w:val="20"/>
          <w:szCs w:val="20"/>
        </w:rPr>
        <w:t xml:space="preserve"> </w:t>
      </w:r>
      <w:r w:rsidRPr="000977F7">
        <w:rPr>
          <w:rFonts w:asciiTheme="majorHAnsi" w:hAnsiTheme="majorHAnsi"/>
          <w:sz w:val="20"/>
          <w:szCs w:val="20"/>
        </w:rPr>
        <w:t>при</w:t>
      </w:r>
      <w:r w:rsidRPr="000977F7">
        <w:rPr>
          <w:rFonts w:asciiTheme="majorHAnsi" w:hAnsiTheme="majorHAnsi"/>
          <w:spacing w:val="-5"/>
          <w:sz w:val="20"/>
          <w:szCs w:val="20"/>
        </w:rPr>
        <w:t xml:space="preserve"> </w:t>
      </w:r>
      <w:r w:rsidRPr="000977F7">
        <w:rPr>
          <w:rFonts w:asciiTheme="majorHAnsi" w:hAnsiTheme="majorHAnsi"/>
          <w:sz w:val="20"/>
          <w:szCs w:val="20"/>
        </w:rPr>
        <w:t>контролі</w:t>
      </w:r>
      <w:r w:rsidRPr="000977F7">
        <w:rPr>
          <w:rFonts w:asciiTheme="majorHAnsi" w:hAnsiTheme="majorHAnsi"/>
          <w:spacing w:val="-5"/>
          <w:sz w:val="20"/>
          <w:szCs w:val="20"/>
        </w:rPr>
        <w:t xml:space="preserve"> </w:t>
      </w:r>
      <w:r w:rsidRPr="000977F7">
        <w:rPr>
          <w:rFonts w:asciiTheme="majorHAnsi" w:hAnsiTheme="majorHAnsi"/>
          <w:sz w:val="20"/>
          <w:szCs w:val="20"/>
        </w:rPr>
        <w:t>працездатності</w:t>
      </w:r>
    </w:p>
    <w:p w14:paraId="542A5D4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ПЕРЕВІРКА СИСТЕМИ ЯКОСТІ </w:t>
      </w:r>
    </w:p>
    <w:p w14:paraId="7849869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ПРОГРАМНО</w:t>
      </w:r>
      <w:r w:rsidRPr="000977F7">
        <w:rPr>
          <w:color w:val="auto"/>
          <w:spacing w:val="-47"/>
          <w:sz w:val="20"/>
          <w:szCs w:val="20"/>
        </w:rPr>
        <w:t xml:space="preserve"> </w:t>
      </w:r>
      <w:r w:rsidRPr="000977F7">
        <w:rPr>
          <w:color w:val="auto"/>
          <w:sz w:val="20"/>
          <w:szCs w:val="20"/>
        </w:rPr>
        <w:t>ГО ЗАСОБУ</w:t>
      </w:r>
      <w:r w:rsidRPr="000977F7">
        <w:rPr>
          <w:color w:val="auto"/>
          <w:spacing w:val="1"/>
          <w:sz w:val="20"/>
          <w:szCs w:val="20"/>
        </w:rPr>
        <w:t xml:space="preserve"> </w:t>
      </w:r>
      <w:r w:rsidRPr="000977F7">
        <w:rPr>
          <w:color w:val="auto"/>
          <w:sz w:val="20"/>
          <w:szCs w:val="20"/>
        </w:rPr>
        <w:t>–</w:t>
      </w:r>
    </w:p>
    <w:p w14:paraId="37BE581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SOFTWARE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QUALITY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AUDIT –</w:t>
      </w:r>
    </w:p>
    <w:p w14:paraId="1C45DAB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Систематична</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незалежна</w:t>
      </w:r>
      <w:r w:rsidRPr="000977F7">
        <w:rPr>
          <w:rFonts w:asciiTheme="majorHAnsi" w:hAnsiTheme="majorHAnsi"/>
          <w:spacing w:val="1"/>
          <w:sz w:val="20"/>
          <w:szCs w:val="20"/>
        </w:rPr>
        <w:t xml:space="preserve"> </w:t>
      </w:r>
      <w:r w:rsidRPr="000977F7">
        <w:rPr>
          <w:rFonts w:asciiTheme="majorHAnsi" w:hAnsiTheme="majorHAnsi"/>
          <w:sz w:val="20"/>
          <w:szCs w:val="20"/>
        </w:rPr>
        <w:t>перевірка</w:t>
      </w:r>
      <w:r w:rsidRPr="000977F7">
        <w:rPr>
          <w:rFonts w:asciiTheme="majorHAnsi" w:hAnsiTheme="majorHAnsi"/>
          <w:spacing w:val="1"/>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області якості програмного засобу та її результатів на</w:t>
      </w:r>
      <w:r w:rsidRPr="000977F7">
        <w:rPr>
          <w:rFonts w:asciiTheme="majorHAnsi" w:hAnsiTheme="majorHAnsi"/>
          <w:spacing w:val="1"/>
          <w:sz w:val="20"/>
          <w:szCs w:val="20"/>
        </w:rPr>
        <w:t xml:space="preserve"> </w:t>
      </w:r>
      <w:r w:rsidRPr="000977F7">
        <w:rPr>
          <w:rFonts w:asciiTheme="majorHAnsi" w:hAnsiTheme="majorHAnsi"/>
          <w:sz w:val="20"/>
          <w:szCs w:val="20"/>
        </w:rPr>
        <w:t xml:space="preserve">відповідність запланованим заходам та </w:t>
      </w:r>
      <w:r w:rsidRPr="000977F7">
        <w:rPr>
          <w:rFonts w:asciiTheme="majorHAnsi" w:hAnsiTheme="majorHAnsi"/>
          <w:sz w:val="20"/>
          <w:szCs w:val="20"/>
        </w:rPr>
        <w:lastRenderedPageBreak/>
        <w:t>поставленим</w:t>
      </w:r>
      <w:r w:rsidRPr="000977F7">
        <w:rPr>
          <w:rFonts w:asciiTheme="majorHAnsi" w:hAnsiTheme="majorHAnsi"/>
          <w:spacing w:val="1"/>
          <w:sz w:val="20"/>
          <w:szCs w:val="20"/>
        </w:rPr>
        <w:t xml:space="preserve"> </w:t>
      </w:r>
      <w:r w:rsidRPr="000977F7">
        <w:rPr>
          <w:rFonts w:asciiTheme="majorHAnsi" w:hAnsiTheme="majorHAnsi"/>
          <w:sz w:val="20"/>
          <w:szCs w:val="20"/>
        </w:rPr>
        <w:t>цілям,</w:t>
      </w:r>
      <w:r w:rsidRPr="000977F7">
        <w:rPr>
          <w:rFonts w:asciiTheme="majorHAnsi" w:hAnsiTheme="majorHAnsi"/>
          <w:spacing w:val="-1"/>
          <w:sz w:val="20"/>
          <w:szCs w:val="20"/>
        </w:rPr>
        <w:t xml:space="preserve"> </w:t>
      </w:r>
      <w:r w:rsidRPr="000977F7">
        <w:rPr>
          <w:rFonts w:asciiTheme="majorHAnsi" w:hAnsiTheme="majorHAnsi"/>
          <w:sz w:val="20"/>
          <w:szCs w:val="20"/>
        </w:rPr>
        <w:t>а також</w:t>
      </w:r>
      <w:r w:rsidRPr="000977F7">
        <w:rPr>
          <w:rFonts w:asciiTheme="majorHAnsi" w:hAnsiTheme="majorHAnsi"/>
          <w:spacing w:val="-2"/>
          <w:sz w:val="20"/>
          <w:szCs w:val="20"/>
        </w:rPr>
        <w:t xml:space="preserve"> </w:t>
      </w:r>
      <w:r w:rsidRPr="000977F7">
        <w:rPr>
          <w:rFonts w:asciiTheme="majorHAnsi" w:hAnsiTheme="majorHAnsi"/>
          <w:sz w:val="20"/>
          <w:szCs w:val="20"/>
        </w:rPr>
        <w:t>ефективності</w:t>
      </w:r>
      <w:r w:rsidRPr="000977F7">
        <w:rPr>
          <w:rFonts w:asciiTheme="majorHAnsi" w:hAnsiTheme="majorHAnsi"/>
          <w:spacing w:val="2"/>
          <w:sz w:val="20"/>
          <w:szCs w:val="20"/>
        </w:rPr>
        <w:t xml:space="preserve"> </w:t>
      </w:r>
      <w:r w:rsidRPr="000977F7">
        <w:rPr>
          <w:rFonts w:asciiTheme="majorHAnsi" w:hAnsiTheme="majorHAnsi"/>
          <w:sz w:val="20"/>
          <w:szCs w:val="20"/>
        </w:rPr>
        <w:t>їх</w:t>
      </w:r>
      <w:r w:rsidRPr="000977F7">
        <w:rPr>
          <w:rFonts w:asciiTheme="majorHAnsi" w:hAnsiTheme="majorHAnsi"/>
          <w:spacing w:val="-3"/>
          <w:sz w:val="20"/>
          <w:szCs w:val="20"/>
        </w:rPr>
        <w:t xml:space="preserve"> </w:t>
      </w:r>
      <w:r w:rsidRPr="000977F7">
        <w:rPr>
          <w:rFonts w:asciiTheme="majorHAnsi" w:hAnsiTheme="majorHAnsi"/>
          <w:sz w:val="20"/>
          <w:szCs w:val="20"/>
        </w:rPr>
        <w:t>реалізації</w:t>
      </w:r>
    </w:p>
    <w:p w14:paraId="3EE3B9E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1609C1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ПЕРЕВІРКА</w:t>
      </w:r>
      <w:r w:rsidRPr="000977F7">
        <w:rPr>
          <w:color w:val="auto"/>
          <w:spacing w:val="-5"/>
          <w:sz w:val="20"/>
          <w:szCs w:val="20"/>
        </w:rPr>
        <w:t xml:space="preserve"> </w:t>
      </w:r>
      <w:r w:rsidRPr="000977F7">
        <w:rPr>
          <w:color w:val="auto"/>
          <w:sz w:val="20"/>
          <w:szCs w:val="20"/>
        </w:rPr>
        <w:t>СПРАВНОСТІ</w:t>
      </w:r>
      <w:r w:rsidRPr="000977F7">
        <w:rPr>
          <w:color w:val="auto"/>
          <w:spacing w:val="-2"/>
          <w:sz w:val="20"/>
          <w:szCs w:val="20"/>
        </w:rPr>
        <w:t xml:space="preserve"> </w:t>
      </w:r>
      <w:r w:rsidRPr="000977F7">
        <w:rPr>
          <w:color w:val="auto"/>
          <w:sz w:val="20"/>
          <w:szCs w:val="20"/>
        </w:rPr>
        <w:t>–</w:t>
      </w:r>
    </w:p>
    <w:p w14:paraId="3250831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FAULT DETECTION</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55C191F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Діагностування</w:t>
      </w:r>
      <w:r w:rsidRPr="000977F7">
        <w:rPr>
          <w:rFonts w:asciiTheme="majorHAnsi" w:hAnsiTheme="majorHAnsi"/>
          <w:spacing w:val="45"/>
          <w:sz w:val="20"/>
          <w:szCs w:val="20"/>
        </w:rPr>
        <w:t xml:space="preserve"> </w:t>
      </w:r>
      <w:r w:rsidRPr="000977F7">
        <w:rPr>
          <w:rFonts w:asciiTheme="majorHAnsi" w:hAnsiTheme="majorHAnsi"/>
          <w:sz w:val="20"/>
          <w:szCs w:val="20"/>
        </w:rPr>
        <w:t>при</w:t>
      </w:r>
      <w:r w:rsidRPr="000977F7">
        <w:rPr>
          <w:rFonts w:asciiTheme="majorHAnsi" w:hAnsiTheme="majorHAnsi"/>
          <w:spacing w:val="-4"/>
          <w:sz w:val="20"/>
          <w:szCs w:val="20"/>
        </w:rPr>
        <w:t xml:space="preserve"> </w:t>
      </w:r>
      <w:r w:rsidRPr="000977F7">
        <w:rPr>
          <w:rFonts w:asciiTheme="majorHAnsi" w:hAnsiTheme="majorHAnsi"/>
          <w:sz w:val="20"/>
          <w:szCs w:val="20"/>
        </w:rPr>
        <w:t>контролі</w:t>
      </w:r>
      <w:r w:rsidRPr="000977F7">
        <w:rPr>
          <w:rFonts w:asciiTheme="majorHAnsi" w:hAnsiTheme="majorHAnsi"/>
          <w:spacing w:val="-4"/>
          <w:sz w:val="20"/>
          <w:szCs w:val="20"/>
        </w:rPr>
        <w:t xml:space="preserve"> </w:t>
      </w:r>
      <w:r w:rsidRPr="000977F7">
        <w:rPr>
          <w:rFonts w:asciiTheme="majorHAnsi" w:hAnsiTheme="majorHAnsi"/>
          <w:sz w:val="20"/>
          <w:szCs w:val="20"/>
        </w:rPr>
        <w:t>справності</w:t>
      </w:r>
    </w:p>
    <w:p w14:paraId="7E09D306"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ПЕРЕВІРКА</w:t>
      </w:r>
      <w:r w:rsidRPr="000977F7">
        <w:rPr>
          <w:rFonts w:asciiTheme="majorHAnsi" w:hAnsiTheme="majorHAnsi"/>
          <w:b/>
          <w:spacing w:val="43"/>
          <w:sz w:val="20"/>
          <w:szCs w:val="20"/>
        </w:rPr>
        <w:t xml:space="preserve"> </w:t>
      </w:r>
      <w:r w:rsidRPr="000977F7">
        <w:rPr>
          <w:rFonts w:asciiTheme="majorHAnsi" w:hAnsiTheme="majorHAnsi"/>
          <w:b/>
          <w:sz w:val="20"/>
          <w:szCs w:val="20"/>
        </w:rPr>
        <w:t>ЯКОСТІ</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59F177A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QUALITY</w:t>
      </w:r>
      <w:r w:rsidRPr="000977F7">
        <w:rPr>
          <w:rFonts w:asciiTheme="majorHAnsi" w:hAnsiTheme="majorHAnsi"/>
          <w:spacing w:val="-1"/>
          <w:sz w:val="20"/>
          <w:szCs w:val="20"/>
        </w:rPr>
        <w:t xml:space="preserve"> </w:t>
      </w:r>
      <w:r w:rsidRPr="000977F7">
        <w:rPr>
          <w:rFonts w:asciiTheme="majorHAnsi" w:hAnsiTheme="majorHAnsi"/>
          <w:sz w:val="20"/>
          <w:szCs w:val="20"/>
        </w:rPr>
        <w:t>AUDIT</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1F881FD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Систематичний</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незалежний</w:t>
      </w:r>
      <w:r w:rsidRPr="000977F7">
        <w:rPr>
          <w:rFonts w:asciiTheme="majorHAnsi" w:hAnsiTheme="majorHAnsi"/>
          <w:spacing w:val="1"/>
          <w:sz w:val="20"/>
          <w:szCs w:val="20"/>
        </w:rPr>
        <w:t xml:space="preserve"> </w:t>
      </w:r>
      <w:r w:rsidRPr="000977F7">
        <w:rPr>
          <w:rFonts w:asciiTheme="majorHAnsi" w:hAnsiTheme="majorHAnsi"/>
          <w:sz w:val="20"/>
          <w:szCs w:val="20"/>
        </w:rPr>
        <w:t>аналіз,</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дозволяє</w:t>
      </w:r>
      <w:r w:rsidRPr="000977F7">
        <w:rPr>
          <w:rFonts w:asciiTheme="majorHAnsi" w:hAnsiTheme="majorHAnsi"/>
          <w:spacing w:val="1"/>
          <w:sz w:val="20"/>
          <w:szCs w:val="20"/>
        </w:rPr>
        <w:t xml:space="preserve"> </w:t>
      </w:r>
      <w:r w:rsidRPr="000977F7">
        <w:rPr>
          <w:rFonts w:asciiTheme="majorHAnsi" w:hAnsiTheme="majorHAnsi"/>
          <w:sz w:val="20"/>
          <w:szCs w:val="20"/>
        </w:rPr>
        <w:t>визначити відповідність діяльності з якості і її наслідків запланованим заходам, а також ефективність від</w:t>
      </w:r>
      <w:r w:rsidRPr="000977F7">
        <w:rPr>
          <w:rFonts w:asciiTheme="majorHAnsi" w:hAnsiTheme="majorHAnsi"/>
          <w:spacing w:val="1"/>
          <w:sz w:val="20"/>
          <w:szCs w:val="20"/>
        </w:rPr>
        <w:t xml:space="preserve"> </w:t>
      </w:r>
      <w:r w:rsidRPr="000977F7">
        <w:rPr>
          <w:rFonts w:asciiTheme="majorHAnsi" w:hAnsiTheme="majorHAnsi"/>
          <w:sz w:val="20"/>
          <w:szCs w:val="20"/>
        </w:rPr>
        <w:t>упровадження</w:t>
      </w:r>
      <w:r w:rsidRPr="000977F7">
        <w:rPr>
          <w:rFonts w:asciiTheme="majorHAnsi" w:hAnsiTheme="majorHAnsi"/>
          <w:spacing w:val="1"/>
          <w:sz w:val="20"/>
          <w:szCs w:val="20"/>
        </w:rPr>
        <w:t xml:space="preserve"> </w:t>
      </w:r>
      <w:r w:rsidRPr="000977F7">
        <w:rPr>
          <w:rFonts w:asciiTheme="majorHAnsi" w:hAnsiTheme="majorHAnsi"/>
          <w:sz w:val="20"/>
          <w:szCs w:val="20"/>
        </w:rPr>
        <w:t>цих</w:t>
      </w:r>
      <w:r w:rsidRPr="000977F7">
        <w:rPr>
          <w:rFonts w:asciiTheme="majorHAnsi" w:hAnsiTheme="majorHAnsi"/>
          <w:spacing w:val="1"/>
          <w:sz w:val="20"/>
          <w:szCs w:val="20"/>
        </w:rPr>
        <w:t xml:space="preserve"> </w:t>
      </w:r>
      <w:r w:rsidRPr="000977F7">
        <w:rPr>
          <w:rFonts w:asciiTheme="majorHAnsi" w:hAnsiTheme="majorHAnsi"/>
          <w:sz w:val="20"/>
          <w:szCs w:val="20"/>
        </w:rPr>
        <w:t>заходів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їхня</w:t>
      </w:r>
      <w:r w:rsidRPr="000977F7">
        <w:rPr>
          <w:rFonts w:asciiTheme="majorHAnsi" w:hAnsiTheme="majorHAnsi"/>
          <w:spacing w:val="1"/>
          <w:sz w:val="20"/>
          <w:szCs w:val="20"/>
        </w:rPr>
        <w:t xml:space="preserve"> </w:t>
      </w:r>
      <w:r w:rsidRPr="000977F7">
        <w:rPr>
          <w:rFonts w:asciiTheme="majorHAnsi" w:hAnsiTheme="majorHAnsi"/>
          <w:sz w:val="20"/>
          <w:szCs w:val="20"/>
        </w:rPr>
        <w:t>придатність</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досягнення</w:t>
      </w:r>
      <w:r w:rsidRPr="000977F7">
        <w:rPr>
          <w:rFonts w:asciiTheme="majorHAnsi" w:hAnsiTheme="majorHAnsi"/>
          <w:spacing w:val="-2"/>
          <w:sz w:val="20"/>
          <w:szCs w:val="20"/>
        </w:rPr>
        <w:t xml:space="preserve"> </w:t>
      </w:r>
      <w:r w:rsidRPr="000977F7">
        <w:rPr>
          <w:rFonts w:asciiTheme="majorHAnsi" w:hAnsiTheme="majorHAnsi"/>
          <w:sz w:val="20"/>
          <w:szCs w:val="20"/>
        </w:rPr>
        <w:t>мети</w:t>
      </w:r>
    </w:p>
    <w:p w14:paraId="443AD466"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3321 - 2003</w:t>
      </w:r>
    </w:p>
    <w:p w14:paraId="1FF31D9B"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en-US"/>
        </w:rPr>
      </w:pPr>
      <w:r w:rsidRPr="000977F7">
        <w:rPr>
          <w:rFonts w:asciiTheme="majorHAnsi" w:hAnsiTheme="majorHAnsi"/>
          <w:b/>
          <w:sz w:val="20"/>
          <w:szCs w:val="20"/>
        </w:rPr>
        <w:t>ПЕРЕВІРКОВЕ</w:t>
      </w:r>
      <w:r w:rsidRPr="004D2D14">
        <w:rPr>
          <w:rFonts w:asciiTheme="majorHAnsi" w:hAnsiTheme="majorHAnsi"/>
          <w:b/>
          <w:sz w:val="20"/>
          <w:szCs w:val="20"/>
          <w:lang w:val="en-US"/>
        </w:rPr>
        <w:t xml:space="preserve"> </w:t>
      </w:r>
      <w:r w:rsidRPr="000977F7">
        <w:rPr>
          <w:rFonts w:asciiTheme="majorHAnsi" w:hAnsiTheme="majorHAnsi"/>
          <w:b/>
          <w:sz w:val="20"/>
          <w:szCs w:val="20"/>
        </w:rPr>
        <w:t>ДІЯННЯ</w:t>
      </w:r>
      <w:r w:rsidRPr="004D2D14">
        <w:rPr>
          <w:rFonts w:asciiTheme="majorHAnsi" w:hAnsiTheme="majorHAnsi"/>
          <w:b/>
          <w:sz w:val="20"/>
          <w:szCs w:val="20"/>
          <w:lang w:val="en-US"/>
        </w:rPr>
        <w:t xml:space="preserve"> –</w:t>
      </w:r>
      <w:r w:rsidRPr="004D2D14">
        <w:rPr>
          <w:rFonts w:asciiTheme="majorHAnsi" w:hAnsiTheme="majorHAnsi"/>
          <w:b/>
          <w:spacing w:val="-47"/>
          <w:sz w:val="20"/>
          <w:szCs w:val="20"/>
          <w:lang w:val="en-US"/>
        </w:rPr>
        <w:t xml:space="preserve"> </w:t>
      </w:r>
    </w:p>
    <w:p w14:paraId="4CC380E6"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TESTABLE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ACTION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0334DD3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Навмисне діяння, здійснюване для</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 діагностування</w:t>
      </w:r>
    </w:p>
    <w:p w14:paraId="1E180CEF"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2000</w:t>
      </w:r>
    </w:p>
    <w:p w14:paraId="1BB4E0E7"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ПЕРЕВІРКОВИЙ СИГНАЛ –</w:t>
      </w:r>
      <w:r w:rsidRPr="000977F7">
        <w:rPr>
          <w:rFonts w:asciiTheme="majorHAnsi" w:hAnsiTheme="majorHAnsi"/>
          <w:b/>
          <w:spacing w:val="-47"/>
          <w:sz w:val="20"/>
          <w:szCs w:val="20"/>
        </w:rPr>
        <w:t xml:space="preserve"> </w:t>
      </w:r>
    </w:p>
    <w:p w14:paraId="0524D19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TEST</w:t>
      </w:r>
      <w:r w:rsidRPr="000977F7">
        <w:rPr>
          <w:rFonts w:asciiTheme="majorHAnsi" w:hAnsiTheme="majorHAnsi"/>
          <w:spacing w:val="2"/>
          <w:sz w:val="20"/>
          <w:szCs w:val="20"/>
        </w:rPr>
        <w:t xml:space="preserve"> </w:t>
      </w:r>
      <w:r w:rsidRPr="000977F7">
        <w:rPr>
          <w:rFonts w:asciiTheme="majorHAnsi" w:hAnsiTheme="majorHAnsi"/>
          <w:sz w:val="20"/>
          <w:szCs w:val="20"/>
        </w:rPr>
        <w:t>SIGNAL</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08A49C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 який пересилає дані про ознаку та (або) параметри</w:t>
      </w:r>
      <w:r w:rsidRPr="000977F7">
        <w:rPr>
          <w:rFonts w:asciiTheme="majorHAnsi" w:hAnsiTheme="majorHAnsi"/>
          <w:spacing w:val="-2"/>
          <w:sz w:val="20"/>
          <w:szCs w:val="20"/>
        </w:rPr>
        <w:t xml:space="preserve"> </w:t>
      </w:r>
      <w:r w:rsidRPr="000977F7">
        <w:rPr>
          <w:rFonts w:asciiTheme="majorHAnsi" w:hAnsiTheme="majorHAnsi"/>
          <w:sz w:val="20"/>
          <w:szCs w:val="20"/>
        </w:rPr>
        <w:t>перевіркового</w:t>
      </w:r>
      <w:r w:rsidRPr="000977F7">
        <w:rPr>
          <w:rFonts w:asciiTheme="majorHAnsi" w:hAnsiTheme="majorHAnsi"/>
          <w:spacing w:val="1"/>
          <w:sz w:val="20"/>
          <w:szCs w:val="20"/>
        </w:rPr>
        <w:t xml:space="preserve"> </w:t>
      </w:r>
      <w:r w:rsidRPr="000977F7">
        <w:rPr>
          <w:rFonts w:asciiTheme="majorHAnsi" w:hAnsiTheme="majorHAnsi"/>
          <w:sz w:val="20"/>
          <w:szCs w:val="20"/>
        </w:rPr>
        <w:t>діяння</w:t>
      </w:r>
    </w:p>
    <w:p w14:paraId="043C432A"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3956</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2000</w:t>
      </w:r>
      <w:bookmarkStart w:id="175" w:name="_Hlk100993307"/>
    </w:p>
    <w:p w14:paraId="16E951D7"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en-US"/>
        </w:rPr>
      </w:pPr>
      <w:r w:rsidRPr="000977F7">
        <w:rPr>
          <w:rFonts w:asciiTheme="majorHAnsi" w:hAnsiTheme="majorHAnsi"/>
          <w:b/>
          <w:sz w:val="20"/>
          <w:szCs w:val="20"/>
        </w:rPr>
        <w:t>ПЕРЕВІРЯЛЬНИЙ</w:t>
      </w:r>
      <w:r w:rsidRPr="004D2D14">
        <w:rPr>
          <w:rFonts w:asciiTheme="majorHAnsi" w:hAnsiTheme="majorHAnsi"/>
          <w:b/>
          <w:spacing w:val="-6"/>
          <w:sz w:val="20"/>
          <w:szCs w:val="20"/>
          <w:lang w:val="en-US"/>
        </w:rPr>
        <w:t xml:space="preserve"> </w:t>
      </w:r>
      <w:r w:rsidRPr="000977F7">
        <w:rPr>
          <w:rFonts w:asciiTheme="majorHAnsi" w:hAnsiTheme="majorHAnsi"/>
          <w:b/>
          <w:sz w:val="20"/>
          <w:szCs w:val="20"/>
        </w:rPr>
        <w:t>ОБЄКТ</w:t>
      </w:r>
      <w:r w:rsidRPr="004D2D14">
        <w:rPr>
          <w:rFonts w:asciiTheme="majorHAnsi" w:hAnsiTheme="majorHAnsi"/>
          <w:b/>
          <w:spacing w:val="-5"/>
          <w:sz w:val="20"/>
          <w:szCs w:val="20"/>
          <w:lang w:val="en-US"/>
        </w:rPr>
        <w:t xml:space="preserve"> </w:t>
      </w:r>
      <w:r w:rsidRPr="004D2D14">
        <w:rPr>
          <w:rFonts w:asciiTheme="majorHAnsi" w:hAnsiTheme="majorHAnsi"/>
          <w:b/>
          <w:sz w:val="20"/>
          <w:szCs w:val="20"/>
          <w:lang w:val="en-US"/>
        </w:rPr>
        <w:t>–</w:t>
      </w:r>
      <w:r w:rsidRPr="004D2D14">
        <w:rPr>
          <w:rFonts w:asciiTheme="majorHAnsi" w:hAnsiTheme="majorHAnsi"/>
          <w:b/>
          <w:spacing w:val="-47"/>
          <w:sz w:val="20"/>
          <w:szCs w:val="20"/>
          <w:lang w:val="en-US"/>
        </w:rPr>
        <w:t xml:space="preserve"> </w:t>
      </w:r>
    </w:p>
    <w:p w14:paraId="0FF565B2"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INSPECTING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OBJECT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bookmarkEnd w:id="175"/>
    <w:p w14:paraId="544B272B"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sz w:val="20"/>
          <w:szCs w:val="20"/>
        </w:rPr>
        <w:t>Об’єкт,</w:t>
      </w:r>
      <w:r w:rsidRPr="000977F7">
        <w:rPr>
          <w:rFonts w:asciiTheme="majorHAnsi" w:hAnsiTheme="majorHAnsi"/>
          <w:spacing w:val="-5"/>
          <w:sz w:val="20"/>
          <w:szCs w:val="20"/>
        </w:rPr>
        <w:t xml:space="preserve"> </w:t>
      </w:r>
      <w:r w:rsidRPr="000977F7">
        <w:rPr>
          <w:rFonts w:asciiTheme="majorHAnsi" w:hAnsiTheme="majorHAnsi"/>
          <w:sz w:val="20"/>
          <w:szCs w:val="20"/>
        </w:rPr>
        <w:t>який</w:t>
      </w:r>
      <w:r w:rsidRPr="000977F7">
        <w:rPr>
          <w:rFonts w:asciiTheme="majorHAnsi" w:hAnsiTheme="majorHAnsi"/>
          <w:spacing w:val="-6"/>
          <w:sz w:val="20"/>
          <w:szCs w:val="20"/>
        </w:rPr>
        <w:t xml:space="preserve"> </w:t>
      </w:r>
      <w:r w:rsidRPr="000977F7">
        <w:rPr>
          <w:rFonts w:asciiTheme="majorHAnsi" w:hAnsiTheme="majorHAnsi"/>
          <w:sz w:val="20"/>
          <w:szCs w:val="20"/>
        </w:rPr>
        <w:t>здійснює</w:t>
      </w:r>
      <w:r w:rsidRPr="000977F7">
        <w:rPr>
          <w:rFonts w:asciiTheme="majorHAnsi" w:hAnsiTheme="majorHAnsi"/>
          <w:spacing w:val="-2"/>
          <w:sz w:val="20"/>
          <w:szCs w:val="20"/>
        </w:rPr>
        <w:t xml:space="preserve"> </w:t>
      </w:r>
      <w:r w:rsidRPr="000977F7">
        <w:rPr>
          <w:rFonts w:asciiTheme="majorHAnsi" w:hAnsiTheme="majorHAnsi"/>
          <w:sz w:val="20"/>
          <w:szCs w:val="20"/>
        </w:rPr>
        <w:t>контроль</w:t>
      </w:r>
      <w:r w:rsidRPr="000977F7">
        <w:rPr>
          <w:rFonts w:asciiTheme="majorHAnsi" w:hAnsiTheme="majorHAnsi"/>
          <w:spacing w:val="-47"/>
          <w:sz w:val="20"/>
          <w:szCs w:val="20"/>
        </w:rPr>
        <w:t xml:space="preserve"> </w:t>
      </w:r>
    </w:p>
    <w:p w14:paraId="622A7DBA"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2000</w:t>
      </w:r>
    </w:p>
    <w:p w14:paraId="132631FF"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1"/>
          <w:sz w:val="20"/>
          <w:szCs w:val="20"/>
          <w:lang w:val="en-US"/>
        </w:rPr>
      </w:pPr>
      <w:r w:rsidRPr="000977F7">
        <w:rPr>
          <w:rFonts w:asciiTheme="majorHAnsi" w:hAnsiTheme="majorHAnsi"/>
          <w:b/>
          <w:sz w:val="20"/>
          <w:szCs w:val="20"/>
        </w:rPr>
        <w:t>ПЕРЕВІРЯЛЬНИЙ</w:t>
      </w:r>
      <w:r w:rsidRPr="004D2D14">
        <w:rPr>
          <w:rFonts w:asciiTheme="majorHAnsi" w:hAnsiTheme="majorHAnsi"/>
          <w:b/>
          <w:spacing w:val="-2"/>
          <w:sz w:val="20"/>
          <w:szCs w:val="20"/>
          <w:lang w:val="en-US"/>
        </w:rPr>
        <w:t xml:space="preserve"> </w:t>
      </w:r>
      <w:r w:rsidRPr="004D2D14">
        <w:rPr>
          <w:rFonts w:asciiTheme="majorHAnsi" w:hAnsiTheme="majorHAnsi"/>
          <w:b/>
          <w:sz w:val="20"/>
          <w:szCs w:val="20"/>
          <w:lang w:val="en-US"/>
        </w:rPr>
        <w:t>TE</w:t>
      </w:r>
      <w:r w:rsidRPr="000977F7">
        <w:rPr>
          <w:rFonts w:asciiTheme="majorHAnsi" w:hAnsiTheme="majorHAnsi"/>
          <w:b/>
          <w:sz w:val="20"/>
          <w:szCs w:val="20"/>
        </w:rPr>
        <w:t>С</w:t>
      </w:r>
      <w:r w:rsidRPr="004D2D14">
        <w:rPr>
          <w:rFonts w:asciiTheme="majorHAnsi" w:hAnsiTheme="majorHAnsi"/>
          <w:b/>
          <w:sz w:val="20"/>
          <w:szCs w:val="20"/>
          <w:lang w:val="en-US"/>
        </w:rPr>
        <w:t>T</w:t>
      </w:r>
      <w:r w:rsidRPr="004D2D14">
        <w:rPr>
          <w:rFonts w:asciiTheme="majorHAnsi" w:hAnsiTheme="majorHAnsi"/>
          <w:b/>
          <w:spacing w:val="2"/>
          <w:sz w:val="20"/>
          <w:szCs w:val="20"/>
          <w:lang w:val="en-US"/>
        </w:rPr>
        <w:t xml:space="preserve"> </w:t>
      </w:r>
      <w:r w:rsidRPr="004D2D14">
        <w:rPr>
          <w:rFonts w:asciiTheme="majorHAnsi" w:hAnsiTheme="majorHAnsi"/>
          <w:b/>
          <w:sz w:val="20"/>
          <w:szCs w:val="20"/>
          <w:lang w:val="en-US"/>
        </w:rPr>
        <w:t>–</w:t>
      </w:r>
    </w:p>
    <w:p w14:paraId="3B58CCEB"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FAULT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DETECTION</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TEST –</w:t>
      </w:r>
    </w:p>
    <w:p w14:paraId="58BA1F9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Тест</w:t>
      </w:r>
      <w:r w:rsidRPr="000977F7">
        <w:rPr>
          <w:rFonts w:asciiTheme="majorHAnsi" w:hAnsiTheme="majorHAnsi"/>
          <w:spacing w:val="1"/>
          <w:sz w:val="20"/>
          <w:szCs w:val="20"/>
        </w:rPr>
        <w:t xml:space="preserve"> </w:t>
      </w:r>
      <w:r w:rsidRPr="000977F7">
        <w:rPr>
          <w:rFonts w:asciiTheme="majorHAnsi" w:hAnsiTheme="majorHAnsi"/>
          <w:sz w:val="20"/>
          <w:szCs w:val="20"/>
        </w:rPr>
        <w:t>діагностування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перевірки</w:t>
      </w:r>
      <w:r w:rsidRPr="000977F7">
        <w:rPr>
          <w:rFonts w:asciiTheme="majorHAnsi" w:hAnsiTheme="majorHAnsi"/>
          <w:spacing w:val="1"/>
          <w:sz w:val="20"/>
          <w:szCs w:val="20"/>
        </w:rPr>
        <w:t xml:space="preserve"> </w:t>
      </w:r>
      <w:r w:rsidRPr="000977F7">
        <w:rPr>
          <w:rFonts w:asciiTheme="majorHAnsi" w:hAnsiTheme="majorHAnsi"/>
          <w:sz w:val="20"/>
          <w:szCs w:val="20"/>
        </w:rPr>
        <w:t>справності</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працездатності</w:t>
      </w:r>
      <w:r w:rsidRPr="000977F7">
        <w:rPr>
          <w:rFonts w:asciiTheme="majorHAnsi" w:hAnsiTheme="majorHAnsi"/>
          <w:spacing w:val="-2"/>
          <w:sz w:val="20"/>
          <w:szCs w:val="20"/>
        </w:rPr>
        <w:t xml:space="preserve"> </w:t>
      </w:r>
      <w:r w:rsidRPr="000977F7">
        <w:rPr>
          <w:rFonts w:asciiTheme="majorHAnsi" w:hAnsiTheme="majorHAnsi"/>
          <w:sz w:val="20"/>
          <w:szCs w:val="20"/>
        </w:rPr>
        <w:t>об’єкта діагностування</w:t>
      </w:r>
    </w:p>
    <w:p w14:paraId="775A19D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ПЕРЕВІРЯННЯ;</w:t>
      </w:r>
      <w:r w:rsidRPr="000977F7">
        <w:rPr>
          <w:color w:val="auto"/>
          <w:spacing w:val="-6"/>
          <w:sz w:val="20"/>
          <w:szCs w:val="20"/>
        </w:rPr>
        <w:t xml:space="preserve"> </w:t>
      </w:r>
      <w:r w:rsidRPr="000977F7">
        <w:rPr>
          <w:color w:val="auto"/>
          <w:sz w:val="20"/>
          <w:szCs w:val="20"/>
        </w:rPr>
        <w:t>ВЕРИФІКАЦІЯ</w:t>
      </w:r>
      <w:r w:rsidRPr="000977F7">
        <w:rPr>
          <w:color w:val="auto"/>
          <w:spacing w:val="-3"/>
          <w:sz w:val="20"/>
          <w:szCs w:val="20"/>
        </w:rPr>
        <w:t xml:space="preserve"> </w:t>
      </w:r>
      <w:r w:rsidRPr="000977F7">
        <w:rPr>
          <w:color w:val="auto"/>
          <w:sz w:val="20"/>
          <w:szCs w:val="20"/>
        </w:rPr>
        <w:t>–</w:t>
      </w:r>
    </w:p>
    <w:p w14:paraId="569DA2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VERIFICATION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786348D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Підтвердження наданням об’єктивних доказів, що встановлені</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виконано.</w:t>
      </w:r>
    </w:p>
    <w:p w14:paraId="13EDB48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Об’єктивний доказ, необхідний для</w:t>
      </w:r>
      <w:r w:rsidRPr="000977F7">
        <w:rPr>
          <w:rFonts w:asciiTheme="majorHAnsi" w:hAnsiTheme="majorHAnsi"/>
          <w:spacing w:val="1"/>
          <w:sz w:val="20"/>
          <w:szCs w:val="20"/>
        </w:rPr>
        <w:t xml:space="preserve"> </w:t>
      </w:r>
      <w:r w:rsidRPr="000977F7">
        <w:rPr>
          <w:rFonts w:asciiTheme="majorHAnsi" w:hAnsiTheme="majorHAnsi"/>
          <w:sz w:val="20"/>
          <w:szCs w:val="20"/>
        </w:rPr>
        <w:t>перевіряння,</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результатом</w:t>
      </w:r>
      <w:r w:rsidRPr="000977F7">
        <w:rPr>
          <w:rFonts w:asciiTheme="majorHAnsi" w:hAnsiTheme="majorHAnsi"/>
          <w:spacing w:val="1"/>
          <w:sz w:val="20"/>
          <w:szCs w:val="20"/>
        </w:rPr>
        <w:t xml:space="preserve"> </w:t>
      </w:r>
      <w:r w:rsidRPr="000977F7">
        <w:rPr>
          <w:rFonts w:asciiTheme="majorHAnsi" w:hAnsiTheme="majorHAnsi"/>
          <w:sz w:val="20"/>
          <w:szCs w:val="20"/>
        </w:rPr>
        <w:t>інспектування</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інших форм визначання, зокрема 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альтернативних</w:t>
      </w:r>
      <w:r w:rsidRPr="000977F7">
        <w:rPr>
          <w:rFonts w:asciiTheme="majorHAnsi" w:hAnsiTheme="majorHAnsi"/>
          <w:spacing w:val="-3"/>
          <w:sz w:val="20"/>
          <w:szCs w:val="20"/>
        </w:rPr>
        <w:t xml:space="preserve"> </w:t>
      </w:r>
      <w:r w:rsidRPr="000977F7">
        <w:rPr>
          <w:rFonts w:asciiTheme="majorHAnsi" w:hAnsiTheme="majorHAnsi"/>
          <w:sz w:val="20"/>
          <w:szCs w:val="20"/>
        </w:rPr>
        <w:t>обчислень</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аналізування</w:t>
      </w:r>
      <w:r w:rsidRPr="000977F7">
        <w:rPr>
          <w:rFonts w:asciiTheme="majorHAnsi" w:hAnsiTheme="majorHAnsi"/>
          <w:spacing w:val="-3"/>
          <w:sz w:val="20"/>
          <w:szCs w:val="20"/>
        </w:rPr>
        <w:t xml:space="preserve"> </w:t>
      </w:r>
      <w:r w:rsidRPr="000977F7">
        <w:rPr>
          <w:rFonts w:asciiTheme="majorHAnsi" w:hAnsiTheme="majorHAnsi"/>
          <w:sz w:val="20"/>
          <w:szCs w:val="20"/>
        </w:rPr>
        <w:t>документів.</w:t>
      </w:r>
    </w:p>
    <w:p w14:paraId="2132511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2. Роботи, виконувані для перевіряння, іноді</w:t>
      </w:r>
      <w:r w:rsidRPr="000977F7">
        <w:rPr>
          <w:rFonts w:asciiTheme="majorHAnsi" w:hAnsiTheme="majorHAnsi"/>
          <w:spacing w:val="-47"/>
          <w:sz w:val="20"/>
          <w:szCs w:val="20"/>
        </w:rPr>
        <w:t xml:space="preserve"> </w:t>
      </w:r>
      <w:r w:rsidRPr="000977F7">
        <w:rPr>
          <w:rFonts w:asciiTheme="majorHAnsi" w:hAnsiTheme="majorHAnsi"/>
          <w:sz w:val="20"/>
          <w:szCs w:val="20"/>
        </w:rPr>
        <w:t>називають</w:t>
      </w:r>
      <w:r w:rsidRPr="000977F7">
        <w:rPr>
          <w:rFonts w:asciiTheme="majorHAnsi" w:hAnsiTheme="majorHAnsi"/>
          <w:spacing w:val="2"/>
          <w:sz w:val="20"/>
          <w:szCs w:val="20"/>
        </w:rPr>
        <w:t xml:space="preserve"> </w:t>
      </w:r>
      <w:r w:rsidRPr="000977F7">
        <w:rPr>
          <w:rFonts w:asciiTheme="majorHAnsi" w:hAnsiTheme="majorHAnsi"/>
          <w:sz w:val="20"/>
          <w:szCs w:val="20"/>
        </w:rPr>
        <w:t>процесом</w:t>
      </w:r>
      <w:r w:rsidRPr="000977F7">
        <w:rPr>
          <w:rFonts w:asciiTheme="majorHAnsi" w:hAnsiTheme="majorHAnsi"/>
          <w:spacing w:val="1"/>
          <w:sz w:val="20"/>
          <w:szCs w:val="20"/>
        </w:rPr>
        <w:t xml:space="preserve"> </w:t>
      </w:r>
      <w:r w:rsidRPr="000977F7">
        <w:rPr>
          <w:rFonts w:asciiTheme="majorHAnsi" w:hAnsiTheme="majorHAnsi"/>
          <w:sz w:val="20"/>
          <w:szCs w:val="20"/>
        </w:rPr>
        <w:t>кваліфікування.</w:t>
      </w:r>
    </w:p>
    <w:p w14:paraId="225CC6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3. Слово "перевірено" використовують для</w:t>
      </w:r>
      <w:r w:rsidRPr="000977F7">
        <w:rPr>
          <w:rFonts w:asciiTheme="majorHAnsi" w:hAnsiTheme="majorHAnsi"/>
          <w:spacing w:val="1"/>
          <w:sz w:val="20"/>
          <w:szCs w:val="20"/>
        </w:rPr>
        <w:t xml:space="preserve"> </w:t>
      </w:r>
      <w:r w:rsidRPr="000977F7">
        <w:rPr>
          <w:rFonts w:asciiTheme="majorHAnsi" w:hAnsiTheme="majorHAnsi"/>
          <w:sz w:val="20"/>
          <w:szCs w:val="20"/>
        </w:rPr>
        <w:t>позначення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відповідного</w:t>
      </w:r>
      <w:r w:rsidRPr="000977F7">
        <w:rPr>
          <w:rFonts w:asciiTheme="majorHAnsi" w:hAnsiTheme="majorHAnsi"/>
          <w:spacing w:val="3"/>
          <w:sz w:val="20"/>
          <w:szCs w:val="20"/>
        </w:rPr>
        <w:t xml:space="preserve"> </w:t>
      </w:r>
      <w:r w:rsidRPr="000977F7">
        <w:rPr>
          <w:rFonts w:asciiTheme="majorHAnsi" w:hAnsiTheme="majorHAnsi"/>
          <w:sz w:val="20"/>
          <w:szCs w:val="20"/>
        </w:rPr>
        <w:t>статусу</w:t>
      </w:r>
    </w:p>
    <w:p w14:paraId="5C3247F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1000477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
          <w:bCs/>
          <w:sz w:val="20"/>
          <w:szCs w:val="20"/>
        </w:rPr>
        <w:t>ПЕРЕВІРЯННЯ ПРОФЕСІЙНОГО РІВНЯ</w:t>
      </w:r>
      <w:r w:rsidRPr="000977F7">
        <w:rPr>
          <w:rFonts w:asciiTheme="majorHAnsi" w:hAnsiTheme="majorHAnsi"/>
          <w:sz w:val="20"/>
          <w:szCs w:val="20"/>
        </w:rPr>
        <w:t xml:space="preserve"> -PROFICIENCY TESTING –</w:t>
      </w:r>
    </w:p>
    <w:p w14:paraId="75C3886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Оцінювання роботи учасників за попередньо встановленими критеріями за допомогою міжлабораторних порівнянь </w:t>
      </w:r>
    </w:p>
    <w:p w14:paraId="6955039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iCs/>
          <w:sz w:val="20"/>
          <w:szCs w:val="20"/>
        </w:rPr>
        <w:t>ДСТУ EN ISO/IEC 17025:2019</w:t>
      </w:r>
    </w:p>
    <w:p w14:paraId="7D7814A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ПЕРЕВТОМА</w:t>
      </w:r>
      <w:r w:rsidRPr="000977F7">
        <w:rPr>
          <w:color w:val="auto"/>
          <w:spacing w:val="48"/>
          <w:sz w:val="20"/>
          <w:szCs w:val="20"/>
        </w:rPr>
        <w:t xml:space="preserve"> </w:t>
      </w:r>
      <w:r w:rsidRPr="000977F7">
        <w:rPr>
          <w:color w:val="auto"/>
          <w:sz w:val="20"/>
          <w:szCs w:val="20"/>
        </w:rPr>
        <w:t>-</w:t>
      </w:r>
    </w:p>
    <w:p w14:paraId="02BDC9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стійких несприятливих для здоров'я працівників функціювальних</w:t>
      </w:r>
      <w:r w:rsidRPr="000977F7">
        <w:rPr>
          <w:rFonts w:asciiTheme="majorHAnsi" w:hAnsiTheme="majorHAnsi"/>
          <w:spacing w:val="1"/>
          <w:sz w:val="20"/>
          <w:szCs w:val="20"/>
        </w:rPr>
        <w:t xml:space="preserve"> </w:t>
      </w:r>
      <w:r w:rsidRPr="000977F7">
        <w:rPr>
          <w:rFonts w:asciiTheme="majorHAnsi" w:hAnsiTheme="majorHAnsi"/>
          <w:sz w:val="20"/>
          <w:szCs w:val="20"/>
        </w:rPr>
        <w:t>порушень в організмі,</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виникають внаслідок накопичення</w:t>
      </w:r>
      <w:r w:rsidRPr="000977F7">
        <w:rPr>
          <w:rFonts w:asciiTheme="majorHAnsi" w:hAnsiTheme="majorHAnsi"/>
          <w:spacing w:val="-2"/>
          <w:sz w:val="20"/>
          <w:szCs w:val="20"/>
        </w:rPr>
        <w:t xml:space="preserve"> </w:t>
      </w:r>
      <w:r w:rsidRPr="000977F7">
        <w:rPr>
          <w:rFonts w:asciiTheme="majorHAnsi" w:hAnsiTheme="majorHAnsi"/>
          <w:sz w:val="20"/>
          <w:szCs w:val="20"/>
        </w:rPr>
        <w:t>стомлення</w:t>
      </w:r>
    </w:p>
    <w:p w14:paraId="45DF64A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3038 – 95</w:t>
      </w:r>
    </w:p>
    <w:p w14:paraId="26258642"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i/>
          <w:spacing w:val="-47"/>
          <w:sz w:val="20"/>
          <w:szCs w:val="20"/>
        </w:rPr>
        <w:t xml:space="preserve"> </w:t>
      </w:r>
      <w:r w:rsidRPr="000977F7">
        <w:rPr>
          <w:rFonts w:asciiTheme="majorHAnsi" w:hAnsiTheme="majorHAnsi"/>
          <w:b/>
          <w:sz w:val="20"/>
          <w:szCs w:val="20"/>
        </w:rPr>
        <w:t>ПЕРЕГЛЯД –</w:t>
      </w:r>
    </w:p>
    <w:p w14:paraId="089C5AD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REVISION –</w:t>
      </w:r>
    </w:p>
    <w:p w14:paraId="71547F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Внесення</w:t>
      </w:r>
      <w:r w:rsidRPr="000977F7">
        <w:rPr>
          <w:rFonts w:asciiTheme="majorHAnsi" w:hAnsiTheme="majorHAnsi"/>
          <w:spacing w:val="4"/>
          <w:sz w:val="20"/>
          <w:szCs w:val="20"/>
        </w:rPr>
        <w:t xml:space="preserve"> </w:t>
      </w:r>
      <w:r w:rsidRPr="000977F7">
        <w:rPr>
          <w:rFonts w:asciiTheme="majorHAnsi" w:hAnsiTheme="majorHAnsi"/>
          <w:sz w:val="20"/>
          <w:szCs w:val="20"/>
        </w:rPr>
        <w:t>всіх необхідних</w:t>
      </w:r>
      <w:r w:rsidRPr="000977F7">
        <w:rPr>
          <w:rFonts w:asciiTheme="majorHAnsi" w:hAnsiTheme="majorHAnsi"/>
          <w:spacing w:val="1"/>
          <w:sz w:val="20"/>
          <w:szCs w:val="20"/>
        </w:rPr>
        <w:t xml:space="preserve"> </w:t>
      </w:r>
      <w:r w:rsidRPr="000977F7">
        <w:rPr>
          <w:rFonts w:asciiTheme="majorHAnsi" w:hAnsiTheme="majorHAnsi"/>
          <w:sz w:val="20"/>
          <w:szCs w:val="20"/>
        </w:rPr>
        <w:t>змін</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зміст</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оформлення</w:t>
      </w:r>
      <w:r w:rsidRPr="000977F7">
        <w:rPr>
          <w:rFonts w:asciiTheme="majorHAnsi" w:hAnsiTheme="majorHAnsi"/>
          <w:spacing w:val="-47"/>
          <w:sz w:val="20"/>
          <w:szCs w:val="20"/>
        </w:rPr>
        <w:t xml:space="preserve"> </w:t>
      </w:r>
      <w:r w:rsidRPr="000977F7">
        <w:rPr>
          <w:rFonts w:asciiTheme="majorHAnsi" w:hAnsiTheme="majorHAnsi"/>
          <w:sz w:val="20"/>
          <w:szCs w:val="20"/>
        </w:rPr>
        <w:t>нормативного документа</w:t>
      </w:r>
    </w:p>
    <w:p w14:paraId="51BD9B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20E80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Результати</w:t>
      </w:r>
      <w:r w:rsidRPr="000977F7">
        <w:rPr>
          <w:rFonts w:asciiTheme="majorHAnsi" w:hAnsiTheme="majorHAnsi"/>
          <w:spacing w:val="6"/>
          <w:sz w:val="20"/>
          <w:szCs w:val="20"/>
        </w:rPr>
        <w:t xml:space="preserve"> </w:t>
      </w:r>
      <w:r w:rsidRPr="000977F7">
        <w:rPr>
          <w:rFonts w:asciiTheme="majorHAnsi" w:hAnsiTheme="majorHAnsi"/>
          <w:sz w:val="20"/>
          <w:szCs w:val="20"/>
        </w:rPr>
        <w:t>перегляду</w:t>
      </w:r>
      <w:r w:rsidRPr="000977F7">
        <w:rPr>
          <w:rFonts w:asciiTheme="majorHAnsi" w:hAnsiTheme="majorHAnsi"/>
          <w:spacing w:val="6"/>
          <w:sz w:val="20"/>
          <w:szCs w:val="20"/>
        </w:rPr>
        <w:t xml:space="preserve"> </w:t>
      </w:r>
      <w:r w:rsidRPr="000977F7">
        <w:rPr>
          <w:rFonts w:asciiTheme="majorHAnsi" w:hAnsiTheme="majorHAnsi"/>
          <w:sz w:val="20"/>
          <w:szCs w:val="20"/>
        </w:rPr>
        <w:t>подають</w:t>
      </w:r>
      <w:r w:rsidRPr="000977F7">
        <w:rPr>
          <w:rFonts w:asciiTheme="majorHAnsi" w:hAnsiTheme="majorHAnsi"/>
          <w:spacing w:val="5"/>
          <w:sz w:val="20"/>
          <w:szCs w:val="20"/>
        </w:rPr>
        <w:t xml:space="preserve"> </w:t>
      </w:r>
      <w:r w:rsidRPr="000977F7">
        <w:rPr>
          <w:rFonts w:asciiTheme="majorHAnsi" w:hAnsiTheme="majorHAnsi"/>
          <w:sz w:val="20"/>
          <w:szCs w:val="20"/>
        </w:rPr>
        <w:t>через</w:t>
      </w:r>
      <w:r w:rsidRPr="000977F7">
        <w:rPr>
          <w:rFonts w:asciiTheme="majorHAnsi" w:hAnsiTheme="majorHAnsi"/>
          <w:spacing w:val="5"/>
          <w:sz w:val="20"/>
          <w:szCs w:val="20"/>
        </w:rPr>
        <w:t xml:space="preserve"> </w:t>
      </w:r>
      <w:r w:rsidRPr="000977F7">
        <w:rPr>
          <w:rFonts w:asciiTheme="majorHAnsi" w:hAnsiTheme="majorHAnsi"/>
          <w:sz w:val="20"/>
          <w:szCs w:val="20"/>
        </w:rPr>
        <w:t>опублікування</w:t>
      </w:r>
      <w:r w:rsidRPr="000977F7">
        <w:rPr>
          <w:rFonts w:asciiTheme="majorHAnsi" w:hAnsiTheme="majorHAnsi"/>
          <w:spacing w:val="-47"/>
          <w:sz w:val="20"/>
          <w:szCs w:val="20"/>
        </w:rPr>
        <w:t xml:space="preserve"> </w:t>
      </w:r>
      <w:r w:rsidRPr="000977F7">
        <w:rPr>
          <w:rFonts w:asciiTheme="majorHAnsi" w:hAnsiTheme="majorHAnsi"/>
          <w:sz w:val="20"/>
          <w:szCs w:val="20"/>
        </w:rPr>
        <w:t>нового видання</w:t>
      </w:r>
      <w:r w:rsidRPr="000977F7">
        <w:rPr>
          <w:rFonts w:asciiTheme="majorHAnsi" w:hAnsiTheme="majorHAnsi"/>
          <w:spacing w:val="48"/>
          <w:sz w:val="20"/>
          <w:szCs w:val="20"/>
        </w:rPr>
        <w:t xml:space="preserve"> </w:t>
      </w:r>
      <w:r w:rsidRPr="000977F7">
        <w:rPr>
          <w:rFonts w:asciiTheme="majorHAnsi" w:hAnsiTheme="majorHAnsi"/>
          <w:sz w:val="20"/>
          <w:szCs w:val="20"/>
        </w:rPr>
        <w:t>нормативного</w:t>
      </w:r>
      <w:r w:rsidRPr="000977F7">
        <w:rPr>
          <w:rFonts w:asciiTheme="majorHAnsi" w:hAnsiTheme="majorHAnsi"/>
          <w:spacing w:val="3"/>
          <w:sz w:val="20"/>
          <w:szCs w:val="20"/>
        </w:rPr>
        <w:t xml:space="preserve"> </w:t>
      </w:r>
      <w:r w:rsidRPr="000977F7">
        <w:rPr>
          <w:rFonts w:asciiTheme="majorHAnsi" w:hAnsiTheme="majorHAnsi"/>
          <w:sz w:val="20"/>
          <w:szCs w:val="20"/>
        </w:rPr>
        <w:t>документа</w:t>
      </w:r>
    </w:p>
    <w:p w14:paraId="3170324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 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3846C1A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ПЕРЕГЛЯД</w:t>
      </w:r>
      <w:r w:rsidRPr="000977F7">
        <w:rPr>
          <w:color w:val="auto"/>
          <w:spacing w:val="-4"/>
          <w:sz w:val="20"/>
          <w:szCs w:val="20"/>
        </w:rPr>
        <w:t xml:space="preserve"> </w:t>
      </w:r>
      <w:r w:rsidRPr="000977F7">
        <w:rPr>
          <w:color w:val="auto"/>
          <w:sz w:val="20"/>
          <w:szCs w:val="20"/>
        </w:rPr>
        <w:t>НОРМАТИВУ</w:t>
      </w:r>
      <w:r w:rsidRPr="000977F7">
        <w:rPr>
          <w:color w:val="auto"/>
          <w:spacing w:val="-2"/>
          <w:sz w:val="20"/>
          <w:szCs w:val="20"/>
        </w:rPr>
        <w:t xml:space="preserve"> </w:t>
      </w:r>
      <w:r w:rsidRPr="000977F7">
        <w:rPr>
          <w:color w:val="auto"/>
          <w:sz w:val="20"/>
          <w:szCs w:val="20"/>
        </w:rPr>
        <w:t>–</w:t>
      </w:r>
    </w:p>
    <w:p w14:paraId="0D805CB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REVISION</w:t>
      </w:r>
      <w:r w:rsidRPr="004D2D14">
        <w:rPr>
          <w:rFonts w:asciiTheme="majorHAnsi" w:hAnsiTheme="majorHAnsi"/>
          <w:spacing w:val="-2"/>
          <w:sz w:val="20"/>
          <w:szCs w:val="20"/>
          <w:lang w:val="uk-UA"/>
        </w:rPr>
        <w:t xml:space="preserve"> </w:t>
      </w:r>
      <w:r w:rsidRPr="000977F7">
        <w:rPr>
          <w:rFonts w:asciiTheme="majorHAnsi" w:hAnsiTheme="majorHAnsi"/>
          <w:sz w:val="20"/>
          <w:szCs w:val="20"/>
        </w:rPr>
        <w:t>OF</w:t>
      </w:r>
      <w:r w:rsidRPr="004D2D14">
        <w:rPr>
          <w:rFonts w:asciiTheme="majorHAnsi" w:hAnsiTheme="majorHAnsi"/>
          <w:sz w:val="20"/>
          <w:szCs w:val="20"/>
          <w:lang w:val="uk-UA"/>
        </w:rPr>
        <w:t xml:space="preserve"> </w:t>
      </w:r>
      <w:r w:rsidRPr="000977F7">
        <w:rPr>
          <w:rFonts w:asciiTheme="majorHAnsi" w:hAnsiTheme="majorHAnsi"/>
          <w:sz w:val="20"/>
          <w:szCs w:val="20"/>
        </w:rPr>
        <w:t>A</w:t>
      </w:r>
      <w:r w:rsidRPr="004D2D14">
        <w:rPr>
          <w:rFonts w:asciiTheme="majorHAnsi" w:hAnsiTheme="majorHAnsi"/>
          <w:spacing w:val="-4"/>
          <w:sz w:val="20"/>
          <w:szCs w:val="20"/>
          <w:lang w:val="uk-UA"/>
        </w:rPr>
        <w:t xml:space="preserve"> </w:t>
      </w:r>
      <w:r w:rsidRPr="000977F7">
        <w:rPr>
          <w:rFonts w:asciiTheme="majorHAnsi" w:hAnsiTheme="majorHAnsi"/>
          <w:sz w:val="20"/>
          <w:szCs w:val="20"/>
        </w:rPr>
        <w:t>STANDARD</w:t>
      </w:r>
      <w:r w:rsidRPr="004D2D14">
        <w:rPr>
          <w:rFonts w:asciiTheme="majorHAnsi" w:hAnsiTheme="majorHAnsi"/>
          <w:sz w:val="20"/>
          <w:szCs w:val="20"/>
          <w:lang w:val="uk-UA"/>
        </w:rPr>
        <w:t xml:space="preserve"> –</w:t>
      </w:r>
    </w:p>
    <w:p w14:paraId="1072B18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Змінювання існуючої величини нормативу на основі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нових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наукових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даних</w:t>
      </w:r>
    </w:p>
    <w:p w14:paraId="1B114CF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3038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1C2F0D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ПЕРЕГЛЯД</w:t>
      </w:r>
      <w:r w:rsidRPr="000977F7">
        <w:rPr>
          <w:color w:val="auto"/>
          <w:spacing w:val="-5"/>
          <w:sz w:val="20"/>
          <w:szCs w:val="20"/>
        </w:rPr>
        <w:t xml:space="preserve"> </w:t>
      </w:r>
      <w:r w:rsidRPr="000977F7">
        <w:rPr>
          <w:color w:val="auto"/>
          <w:sz w:val="20"/>
          <w:szCs w:val="20"/>
        </w:rPr>
        <w:t>СТАНДАРТУ –</w:t>
      </w:r>
    </w:p>
    <w:p w14:paraId="2E9ED9D3" w14:textId="77777777" w:rsidR="0097612F" w:rsidRPr="000977F7" w:rsidRDefault="0097612F" w:rsidP="000977F7">
      <w:pPr>
        <w:pStyle w:val="af6"/>
        <w:tabs>
          <w:tab w:val="left" w:pos="284"/>
          <w:tab w:val="left" w:pos="4856"/>
        </w:tabs>
        <w:spacing w:after="0"/>
        <w:ind w:left="170"/>
        <w:mirrorIndents/>
        <w:jc w:val="both"/>
        <w:rPr>
          <w:rFonts w:asciiTheme="majorHAnsi" w:hAnsiTheme="majorHAnsi"/>
          <w:sz w:val="20"/>
          <w:szCs w:val="20"/>
        </w:rPr>
      </w:pPr>
      <w:r w:rsidRPr="000977F7">
        <w:rPr>
          <w:rFonts w:asciiTheme="majorHAnsi" w:hAnsiTheme="majorHAnsi"/>
          <w:sz w:val="20"/>
          <w:szCs w:val="20"/>
        </w:rPr>
        <w:t>Уточнення</w:t>
      </w:r>
      <w:r w:rsidRPr="000977F7">
        <w:rPr>
          <w:rFonts w:asciiTheme="majorHAnsi" w:hAnsiTheme="majorHAnsi"/>
          <w:spacing w:val="2"/>
          <w:sz w:val="20"/>
          <w:szCs w:val="20"/>
        </w:rPr>
        <w:t xml:space="preserve"> </w:t>
      </w:r>
      <w:r w:rsidRPr="000977F7">
        <w:rPr>
          <w:rFonts w:asciiTheme="majorHAnsi" w:hAnsiTheme="majorHAnsi"/>
          <w:sz w:val="20"/>
          <w:szCs w:val="20"/>
        </w:rPr>
        <w:t>,</w:t>
      </w:r>
      <w:r w:rsidRPr="000977F7">
        <w:rPr>
          <w:rFonts w:asciiTheme="majorHAnsi" w:hAnsiTheme="majorHAnsi"/>
          <w:spacing w:val="4"/>
          <w:sz w:val="20"/>
          <w:szCs w:val="20"/>
        </w:rPr>
        <w:t xml:space="preserve"> </w:t>
      </w:r>
      <w:r w:rsidRPr="000977F7">
        <w:rPr>
          <w:rFonts w:asciiTheme="majorHAnsi" w:hAnsiTheme="majorHAnsi"/>
          <w:sz w:val="20"/>
          <w:szCs w:val="20"/>
        </w:rPr>
        <w:t>доповнення,</w:t>
      </w:r>
      <w:r w:rsidRPr="000977F7">
        <w:rPr>
          <w:rFonts w:asciiTheme="majorHAnsi" w:hAnsiTheme="majorHAnsi"/>
          <w:spacing w:val="3"/>
          <w:sz w:val="20"/>
          <w:szCs w:val="20"/>
        </w:rPr>
        <w:t xml:space="preserve"> </w:t>
      </w:r>
      <w:r w:rsidRPr="000977F7">
        <w:rPr>
          <w:rFonts w:asciiTheme="majorHAnsi" w:hAnsiTheme="majorHAnsi"/>
          <w:sz w:val="20"/>
          <w:szCs w:val="20"/>
        </w:rPr>
        <w:t>змінювання</w:t>
      </w:r>
      <w:r w:rsidRPr="000977F7">
        <w:rPr>
          <w:rFonts w:asciiTheme="majorHAnsi" w:hAnsiTheme="majorHAnsi"/>
          <w:spacing w:val="3"/>
          <w:sz w:val="20"/>
          <w:szCs w:val="20"/>
        </w:rPr>
        <w:t xml:space="preserve"> </w:t>
      </w:r>
      <w:r w:rsidRPr="000977F7">
        <w:rPr>
          <w:rFonts w:asciiTheme="majorHAnsi" w:hAnsiTheme="majorHAnsi"/>
          <w:sz w:val="20"/>
          <w:szCs w:val="20"/>
        </w:rPr>
        <w:t>основних</w:t>
      </w:r>
      <w:r w:rsidRPr="000977F7">
        <w:rPr>
          <w:rFonts w:asciiTheme="majorHAnsi" w:hAnsiTheme="majorHAnsi"/>
          <w:spacing w:val="3"/>
          <w:sz w:val="20"/>
          <w:szCs w:val="20"/>
        </w:rPr>
        <w:t xml:space="preserve"> </w:t>
      </w:r>
      <w:r w:rsidRPr="000977F7">
        <w:rPr>
          <w:rFonts w:asciiTheme="majorHAnsi" w:hAnsiTheme="majorHAnsi"/>
          <w:sz w:val="20"/>
          <w:szCs w:val="20"/>
        </w:rPr>
        <w:t>норм</w:t>
      </w:r>
      <w:r w:rsidRPr="000977F7">
        <w:rPr>
          <w:rFonts w:asciiTheme="majorHAnsi" w:hAnsiTheme="majorHAnsi"/>
          <w:spacing w:val="4"/>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вимог</w:t>
      </w:r>
      <w:r w:rsidRPr="000977F7">
        <w:rPr>
          <w:rFonts w:asciiTheme="majorHAnsi" w:hAnsiTheme="majorHAnsi"/>
          <w:spacing w:val="29"/>
          <w:sz w:val="20"/>
          <w:szCs w:val="20"/>
        </w:rPr>
        <w:t xml:space="preserve"> </w:t>
      </w:r>
      <w:r w:rsidRPr="000977F7">
        <w:rPr>
          <w:rFonts w:asciiTheme="majorHAnsi" w:hAnsiTheme="majorHAnsi"/>
          <w:sz w:val="20"/>
          <w:szCs w:val="20"/>
        </w:rPr>
        <w:t>(або</w:t>
      </w:r>
      <w:r w:rsidRPr="000977F7">
        <w:rPr>
          <w:rFonts w:asciiTheme="majorHAnsi" w:hAnsiTheme="majorHAnsi"/>
          <w:spacing w:val="14"/>
          <w:sz w:val="20"/>
          <w:szCs w:val="20"/>
        </w:rPr>
        <w:t xml:space="preserve"> </w:t>
      </w:r>
      <w:r w:rsidRPr="000977F7">
        <w:rPr>
          <w:rFonts w:asciiTheme="majorHAnsi" w:hAnsiTheme="majorHAnsi"/>
          <w:sz w:val="20"/>
          <w:szCs w:val="20"/>
        </w:rPr>
        <w:t>значного</w:t>
      </w:r>
      <w:r w:rsidRPr="000977F7">
        <w:rPr>
          <w:rFonts w:asciiTheme="majorHAnsi" w:hAnsiTheme="majorHAnsi"/>
          <w:spacing w:val="15"/>
          <w:sz w:val="20"/>
          <w:szCs w:val="20"/>
        </w:rPr>
        <w:t xml:space="preserve"> </w:t>
      </w:r>
      <w:r w:rsidRPr="000977F7">
        <w:rPr>
          <w:rFonts w:asciiTheme="majorHAnsi" w:hAnsiTheme="majorHAnsi"/>
          <w:sz w:val="20"/>
          <w:szCs w:val="20"/>
        </w:rPr>
        <w:t>обсягу</w:t>
      </w:r>
      <w:r w:rsidRPr="000977F7">
        <w:rPr>
          <w:rFonts w:asciiTheme="majorHAnsi" w:hAnsiTheme="majorHAnsi"/>
          <w:spacing w:val="13"/>
          <w:sz w:val="20"/>
          <w:szCs w:val="20"/>
        </w:rPr>
        <w:t xml:space="preserve"> </w:t>
      </w:r>
      <w:r w:rsidRPr="000977F7">
        <w:rPr>
          <w:rFonts w:asciiTheme="majorHAnsi" w:hAnsiTheme="majorHAnsi"/>
          <w:sz w:val="20"/>
          <w:szCs w:val="20"/>
        </w:rPr>
        <w:t>змісту</w:t>
      </w:r>
      <w:r w:rsidRPr="000977F7">
        <w:rPr>
          <w:rFonts w:asciiTheme="majorHAnsi" w:hAnsiTheme="majorHAnsi"/>
          <w:spacing w:val="9"/>
          <w:sz w:val="20"/>
          <w:szCs w:val="20"/>
        </w:rPr>
        <w:t xml:space="preserve"> </w:t>
      </w:r>
      <w:r w:rsidRPr="000977F7">
        <w:rPr>
          <w:rFonts w:asciiTheme="majorHAnsi" w:hAnsiTheme="majorHAnsi"/>
          <w:sz w:val="20"/>
          <w:szCs w:val="20"/>
        </w:rPr>
        <w:t>стандарту,</w:t>
      </w:r>
      <w:r w:rsidRPr="000977F7">
        <w:rPr>
          <w:rFonts w:asciiTheme="majorHAnsi" w:hAnsiTheme="majorHAnsi"/>
          <w:spacing w:val="14"/>
          <w:sz w:val="20"/>
          <w:szCs w:val="20"/>
        </w:rPr>
        <w:t xml:space="preserve"> </w:t>
      </w:r>
      <w:r w:rsidRPr="000977F7">
        <w:rPr>
          <w:rFonts w:asciiTheme="majorHAnsi" w:hAnsiTheme="majorHAnsi"/>
          <w:sz w:val="20"/>
          <w:szCs w:val="20"/>
        </w:rPr>
        <w:t>що</w:t>
      </w:r>
      <w:r w:rsidRPr="000977F7">
        <w:rPr>
          <w:rFonts w:asciiTheme="majorHAnsi" w:hAnsiTheme="majorHAnsi"/>
          <w:spacing w:val="15"/>
          <w:sz w:val="20"/>
          <w:szCs w:val="20"/>
        </w:rPr>
        <w:t xml:space="preserve"> </w:t>
      </w:r>
      <w:r w:rsidRPr="000977F7">
        <w:rPr>
          <w:rFonts w:asciiTheme="majorHAnsi" w:hAnsiTheme="majorHAnsi"/>
          <w:sz w:val="20"/>
          <w:szCs w:val="20"/>
        </w:rPr>
        <w:t>потребує</w:t>
      </w:r>
      <w:r w:rsidRPr="000977F7">
        <w:rPr>
          <w:rFonts w:asciiTheme="majorHAnsi" w:hAnsiTheme="majorHAnsi"/>
          <w:spacing w:val="45"/>
          <w:sz w:val="20"/>
          <w:szCs w:val="20"/>
        </w:rPr>
        <w:t xml:space="preserve"> </w:t>
      </w:r>
      <w:r w:rsidRPr="000977F7">
        <w:rPr>
          <w:rFonts w:asciiTheme="majorHAnsi" w:hAnsiTheme="majorHAnsi"/>
          <w:sz w:val="20"/>
          <w:szCs w:val="20"/>
        </w:rPr>
        <w:t>його</w:t>
      </w:r>
      <w:r w:rsidRPr="000977F7">
        <w:rPr>
          <w:rFonts w:asciiTheme="majorHAnsi" w:hAnsiTheme="majorHAnsi"/>
          <w:spacing w:val="46"/>
          <w:sz w:val="20"/>
          <w:szCs w:val="20"/>
        </w:rPr>
        <w:t xml:space="preserve"> </w:t>
      </w:r>
      <w:r w:rsidRPr="000977F7">
        <w:rPr>
          <w:rFonts w:asciiTheme="majorHAnsi" w:hAnsiTheme="majorHAnsi"/>
          <w:sz w:val="20"/>
          <w:szCs w:val="20"/>
        </w:rPr>
        <w:t>перероблення</w:t>
      </w:r>
      <w:r w:rsidRPr="000977F7">
        <w:rPr>
          <w:rFonts w:asciiTheme="majorHAnsi" w:hAnsiTheme="majorHAnsi"/>
          <w:spacing w:val="48"/>
          <w:sz w:val="20"/>
          <w:szCs w:val="20"/>
        </w:rPr>
        <w:t xml:space="preserve"> </w:t>
      </w:r>
      <w:r w:rsidRPr="000977F7">
        <w:rPr>
          <w:rFonts w:asciiTheme="majorHAnsi" w:hAnsiTheme="majorHAnsi"/>
          <w:sz w:val="20"/>
          <w:szCs w:val="20"/>
        </w:rPr>
        <w:t>в</w:t>
      </w:r>
      <w:r w:rsidRPr="000977F7">
        <w:rPr>
          <w:rFonts w:asciiTheme="majorHAnsi" w:hAnsiTheme="majorHAnsi"/>
          <w:spacing w:val="44"/>
          <w:sz w:val="20"/>
          <w:szCs w:val="20"/>
        </w:rPr>
        <w:t xml:space="preserve"> </w:t>
      </w:r>
      <w:r w:rsidRPr="000977F7">
        <w:rPr>
          <w:rFonts w:asciiTheme="majorHAnsi" w:hAnsiTheme="majorHAnsi"/>
          <w:sz w:val="20"/>
          <w:szCs w:val="20"/>
        </w:rPr>
        <w:t>плановому</w:t>
      </w:r>
      <w:r w:rsidRPr="000977F7">
        <w:rPr>
          <w:rFonts w:asciiTheme="majorHAnsi" w:hAnsiTheme="majorHAnsi"/>
          <w:spacing w:val="42"/>
          <w:sz w:val="20"/>
          <w:szCs w:val="20"/>
        </w:rPr>
        <w:t xml:space="preserve"> </w:t>
      </w:r>
      <w:r w:rsidRPr="000977F7">
        <w:rPr>
          <w:rFonts w:asciiTheme="majorHAnsi" w:hAnsiTheme="majorHAnsi"/>
          <w:sz w:val="20"/>
          <w:szCs w:val="20"/>
        </w:rPr>
        <w:t>порядку,</w:t>
      </w:r>
      <w:r w:rsidRPr="000977F7">
        <w:rPr>
          <w:rFonts w:asciiTheme="majorHAnsi" w:hAnsiTheme="majorHAnsi"/>
          <w:spacing w:val="45"/>
          <w:sz w:val="20"/>
          <w:szCs w:val="20"/>
        </w:rPr>
        <w:t xml:space="preserve"> </w:t>
      </w:r>
      <w:r w:rsidRPr="000977F7">
        <w:rPr>
          <w:rFonts w:asciiTheme="majorHAnsi" w:hAnsiTheme="majorHAnsi"/>
          <w:sz w:val="20"/>
          <w:szCs w:val="20"/>
        </w:rPr>
        <w:t>в</w:t>
      </w:r>
      <w:r w:rsidRPr="000977F7">
        <w:rPr>
          <w:rFonts w:asciiTheme="majorHAnsi" w:hAnsiTheme="majorHAnsi"/>
          <w:spacing w:val="-47"/>
          <w:sz w:val="20"/>
          <w:szCs w:val="20"/>
        </w:rPr>
        <w:t xml:space="preserve"> </w:t>
      </w:r>
      <w:r w:rsidRPr="000977F7">
        <w:rPr>
          <w:rFonts w:asciiTheme="majorHAnsi" w:hAnsiTheme="majorHAnsi"/>
          <w:sz w:val="20"/>
          <w:szCs w:val="20"/>
        </w:rPr>
        <w:t>результаті</w:t>
      </w:r>
      <w:r w:rsidRPr="000977F7">
        <w:rPr>
          <w:rFonts w:asciiTheme="majorHAnsi" w:hAnsiTheme="majorHAnsi"/>
          <w:spacing w:val="46"/>
          <w:sz w:val="20"/>
          <w:szCs w:val="20"/>
        </w:rPr>
        <w:t xml:space="preserve"> </w:t>
      </w:r>
      <w:r w:rsidRPr="000977F7">
        <w:rPr>
          <w:rFonts w:asciiTheme="majorHAnsi" w:hAnsiTheme="majorHAnsi"/>
          <w:sz w:val="20"/>
          <w:szCs w:val="20"/>
        </w:rPr>
        <w:t>якого</w:t>
      </w:r>
      <w:r w:rsidRPr="000977F7">
        <w:rPr>
          <w:rFonts w:asciiTheme="majorHAnsi" w:hAnsiTheme="majorHAnsi"/>
          <w:spacing w:val="47"/>
          <w:sz w:val="20"/>
          <w:szCs w:val="20"/>
        </w:rPr>
        <w:t xml:space="preserve"> </w:t>
      </w:r>
      <w:r w:rsidRPr="000977F7">
        <w:rPr>
          <w:rFonts w:asciiTheme="majorHAnsi" w:hAnsiTheme="majorHAnsi"/>
          <w:sz w:val="20"/>
          <w:szCs w:val="20"/>
        </w:rPr>
        <w:t>затверджується</w:t>
      </w:r>
      <w:r w:rsidRPr="000977F7">
        <w:rPr>
          <w:rFonts w:asciiTheme="majorHAnsi" w:hAnsiTheme="majorHAnsi"/>
          <w:spacing w:val="46"/>
          <w:sz w:val="20"/>
          <w:szCs w:val="20"/>
        </w:rPr>
        <w:t xml:space="preserve"> </w:t>
      </w:r>
      <w:r w:rsidRPr="000977F7">
        <w:rPr>
          <w:rFonts w:asciiTheme="majorHAnsi" w:hAnsiTheme="majorHAnsi"/>
          <w:sz w:val="20"/>
          <w:szCs w:val="20"/>
        </w:rPr>
        <w:t>новий</w:t>
      </w:r>
      <w:r w:rsidRPr="000977F7">
        <w:rPr>
          <w:rFonts w:asciiTheme="majorHAnsi" w:hAnsiTheme="majorHAnsi"/>
          <w:spacing w:val="45"/>
          <w:sz w:val="20"/>
          <w:szCs w:val="20"/>
        </w:rPr>
        <w:t xml:space="preserve"> </w:t>
      </w:r>
      <w:r w:rsidRPr="000977F7">
        <w:rPr>
          <w:rFonts w:asciiTheme="majorHAnsi" w:hAnsiTheme="majorHAnsi"/>
          <w:sz w:val="20"/>
          <w:szCs w:val="20"/>
        </w:rPr>
        <w:t>стандарт із</w:t>
      </w:r>
      <w:r w:rsidRPr="000977F7">
        <w:rPr>
          <w:rFonts w:asciiTheme="majorHAnsi" w:hAnsiTheme="majorHAnsi"/>
          <w:spacing w:val="-47"/>
          <w:sz w:val="20"/>
          <w:szCs w:val="20"/>
        </w:rPr>
        <w:t xml:space="preserve"> </w:t>
      </w:r>
      <w:r w:rsidRPr="000977F7">
        <w:rPr>
          <w:rFonts w:asciiTheme="majorHAnsi" w:hAnsiTheme="majorHAnsi"/>
          <w:sz w:val="20"/>
          <w:szCs w:val="20"/>
        </w:rPr>
        <w:t>змінюванням позначення року затвердження)</w:t>
      </w:r>
    </w:p>
    <w:p w14:paraId="1F174C72" w14:textId="77777777" w:rsidR="0097612F" w:rsidRPr="000977F7" w:rsidRDefault="0097612F" w:rsidP="000977F7">
      <w:pPr>
        <w:pStyle w:val="af6"/>
        <w:tabs>
          <w:tab w:val="left" w:pos="284"/>
          <w:tab w:val="left" w:pos="4856"/>
        </w:tabs>
        <w:spacing w:after="0"/>
        <w:ind w:left="170"/>
        <w:mirrorIndents/>
        <w:jc w:val="both"/>
        <w:rPr>
          <w:rFonts w:asciiTheme="majorHAnsi" w:hAnsiTheme="majorHAnsi"/>
          <w:b/>
          <w:sz w:val="20"/>
          <w:szCs w:val="20"/>
        </w:rPr>
      </w:pPr>
      <w:r w:rsidRPr="000977F7">
        <w:rPr>
          <w:rFonts w:asciiTheme="majorHAnsi" w:hAnsiTheme="majorHAnsi"/>
          <w:b/>
          <w:sz w:val="20"/>
          <w:szCs w:val="20"/>
        </w:rPr>
        <w:t>ПЕРЕГРАДАЦІЯ –</w:t>
      </w:r>
    </w:p>
    <w:p w14:paraId="5BDC854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REGRADE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5F118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Зміна градації невідповідної продукції таким чином,</w:t>
      </w:r>
      <w:r w:rsidRPr="000977F7">
        <w:rPr>
          <w:rFonts w:asciiTheme="majorHAnsi" w:hAnsiTheme="majorHAnsi"/>
          <w:spacing w:val="1"/>
          <w:sz w:val="20"/>
          <w:szCs w:val="20"/>
        </w:rPr>
        <w:t xml:space="preserve"> </w:t>
      </w:r>
      <w:r w:rsidRPr="000977F7">
        <w:rPr>
          <w:rFonts w:asciiTheme="majorHAnsi" w:hAnsiTheme="majorHAnsi"/>
          <w:sz w:val="20"/>
          <w:szCs w:val="20"/>
        </w:rPr>
        <w:t>щоб вона відповідала диференційованим визначеним</w:t>
      </w:r>
      <w:r w:rsidRPr="000977F7">
        <w:rPr>
          <w:rFonts w:asciiTheme="majorHAnsi" w:hAnsiTheme="majorHAnsi"/>
          <w:spacing w:val="1"/>
          <w:sz w:val="20"/>
          <w:szCs w:val="20"/>
        </w:rPr>
        <w:t xml:space="preserve"> </w:t>
      </w:r>
      <w:r w:rsidRPr="000977F7">
        <w:rPr>
          <w:rFonts w:asciiTheme="majorHAnsi" w:hAnsiTheme="majorHAnsi"/>
          <w:sz w:val="20"/>
          <w:szCs w:val="20"/>
        </w:rPr>
        <w:t>вимогам</w:t>
      </w:r>
    </w:p>
    <w:p w14:paraId="7D4AC8A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ПЕРЕДАВАЛЬНА</w:t>
      </w:r>
      <w:r w:rsidRPr="000977F7">
        <w:rPr>
          <w:color w:val="auto"/>
          <w:spacing w:val="-3"/>
          <w:sz w:val="20"/>
          <w:szCs w:val="20"/>
        </w:rPr>
        <w:t xml:space="preserve"> </w:t>
      </w:r>
      <w:r w:rsidRPr="000977F7">
        <w:rPr>
          <w:color w:val="auto"/>
          <w:sz w:val="20"/>
          <w:szCs w:val="20"/>
        </w:rPr>
        <w:t>ФУНКЦІЯ</w:t>
      </w:r>
      <w:r w:rsidRPr="000977F7">
        <w:rPr>
          <w:color w:val="auto"/>
          <w:spacing w:val="-2"/>
          <w:sz w:val="20"/>
          <w:szCs w:val="20"/>
        </w:rPr>
        <w:t xml:space="preserve"> </w:t>
      </w:r>
      <w:r w:rsidRPr="000977F7">
        <w:rPr>
          <w:color w:val="auto"/>
          <w:sz w:val="20"/>
          <w:szCs w:val="20"/>
        </w:rPr>
        <w:t>–</w:t>
      </w:r>
    </w:p>
    <w:p w14:paraId="3900AB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TRANSFER</w:t>
      </w:r>
      <w:r w:rsidRPr="000977F7">
        <w:rPr>
          <w:rFonts w:asciiTheme="majorHAnsi" w:hAnsiTheme="majorHAnsi"/>
          <w:spacing w:val="-3"/>
          <w:sz w:val="20"/>
          <w:szCs w:val="20"/>
        </w:rPr>
        <w:t xml:space="preserve"> </w:t>
      </w:r>
      <w:r w:rsidRPr="000977F7">
        <w:rPr>
          <w:rFonts w:asciiTheme="majorHAnsi" w:hAnsiTheme="majorHAnsi"/>
          <w:sz w:val="20"/>
          <w:szCs w:val="20"/>
        </w:rPr>
        <w:t>FUNCTION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9C5D83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Динамічна характеристика, що є відношенням перетвореної за Лапласом аналітичної залежності зміни в</w:t>
      </w:r>
      <w:r w:rsidRPr="000977F7">
        <w:rPr>
          <w:rFonts w:asciiTheme="majorHAnsi" w:hAnsiTheme="majorHAnsi"/>
          <w:spacing w:val="1"/>
          <w:sz w:val="20"/>
          <w:szCs w:val="20"/>
        </w:rPr>
        <w:t xml:space="preserve"> </w:t>
      </w:r>
      <w:r w:rsidRPr="000977F7">
        <w:rPr>
          <w:rFonts w:asciiTheme="majorHAnsi" w:hAnsiTheme="majorHAnsi"/>
          <w:sz w:val="20"/>
          <w:szCs w:val="20"/>
        </w:rPr>
        <w:t>часі деякого параметра лінійного об’єкта, який перебував у нульовому початковому стані, до перетвореної за Лапласом аналітичної залежності змін у часі</w:t>
      </w:r>
      <w:r w:rsidRPr="000977F7">
        <w:rPr>
          <w:rFonts w:asciiTheme="majorHAnsi" w:hAnsiTheme="majorHAnsi"/>
          <w:spacing w:val="1"/>
          <w:sz w:val="20"/>
          <w:szCs w:val="20"/>
        </w:rPr>
        <w:t xml:space="preserve"> </w:t>
      </w:r>
      <w:r w:rsidRPr="000977F7">
        <w:rPr>
          <w:rFonts w:asciiTheme="majorHAnsi" w:hAnsiTheme="majorHAnsi"/>
          <w:sz w:val="20"/>
          <w:szCs w:val="20"/>
        </w:rPr>
        <w:t>вхідного діяння, яке спричинило змінення цього параметра</w:t>
      </w:r>
    </w:p>
    <w:p w14:paraId="6605B3A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03CA653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ПЕРЕДАВАННЯ</w:t>
      </w:r>
      <w:r w:rsidRPr="000977F7">
        <w:rPr>
          <w:color w:val="auto"/>
          <w:spacing w:val="5"/>
          <w:sz w:val="20"/>
          <w:szCs w:val="20"/>
        </w:rPr>
        <w:t xml:space="preserve"> </w:t>
      </w:r>
      <w:r w:rsidRPr="000977F7">
        <w:rPr>
          <w:color w:val="auto"/>
          <w:sz w:val="20"/>
          <w:szCs w:val="20"/>
        </w:rPr>
        <w:t>ВИКОНАННЯ</w:t>
      </w:r>
      <w:r w:rsidRPr="000977F7">
        <w:rPr>
          <w:color w:val="auto"/>
          <w:spacing w:val="6"/>
          <w:sz w:val="20"/>
          <w:szCs w:val="20"/>
        </w:rPr>
        <w:t xml:space="preserve"> </w:t>
      </w:r>
      <w:r w:rsidRPr="000977F7">
        <w:rPr>
          <w:color w:val="auto"/>
          <w:sz w:val="20"/>
          <w:szCs w:val="20"/>
        </w:rPr>
        <w:t>СТОРОННЬОМУ</w:t>
      </w:r>
      <w:r w:rsidRPr="000977F7">
        <w:rPr>
          <w:color w:val="auto"/>
          <w:spacing w:val="-47"/>
          <w:sz w:val="20"/>
          <w:szCs w:val="20"/>
        </w:rPr>
        <w:t xml:space="preserve"> </w:t>
      </w:r>
      <w:r w:rsidRPr="000977F7">
        <w:rPr>
          <w:color w:val="auto"/>
          <w:sz w:val="20"/>
          <w:szCs w:val="20"/>
        </w:rPr>
        <w:t>ВИКОНАВЦЮ,</w:t>
      </w:r>
      <w:r w:rsidRPr="000977F7">
        <w:rPr>
          <w:color w:val="auto"/>
          <w:spacing w:val="-1"/>
          <w:sz w:val="20"/>
          <w:szCs w:val="20"/>
        </w:rPr>
        <w:t xml:space="preserve"> </w:t>
      </w:r>
      <w:r w:rsidRPr="000977F7">
        <w:rPr>
          <w:color w:val="auto"/>
          <w:sz w:val="20"/>
          <w:szCs w:val="20"/>
        </w:rPr>
        <w:t>АУТСОРСИНГ</w:t>
      </w:r>
      <w:r w:rsidRPr="000977F7">
        <w:rPr>
          <w:color w:val="auto"/>
          <w:spacing w:val="3"/>
          <w:sz w:val="20"/>
          <w:szCs w:val="20"/>
        </w:rPr>
        <w:t xml:space="preserve"> </w:t>
      </w:r>
      <w:r w:rsidRPr="000977F7">
        <w:rPr>
          <w:color w:val="auto"/>
          <w:sz w:val="20"/>
          <w:szCs w:val="20"/>
        </w:rPr>
        <w:t>–</w:t>
      </w:r>
    </w:p>
    <w:p w14:paraId="069A9EE5"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uk-UA"/>
        </w:rPr>
      </w:pPr>
      <w:r w:rsidRPr="000977F7">
        <w:rPr>
          <w:rFonts w:asciiTheme="majorHAnsi" w:hAnsiTheme="majorHAnsi"/>
          <w:sz w:val="20"/>
          <w:szCs w:val="20"/>
        </w:rPr>
        <w:t>OUTSOURCE</w:t>
      </w:r>
      <w:r w:rsidRPr="004D2D14">
        <w:rPr>
          <w:rFonts w:asciiTheme="majorHAnsi" w:hAnsiTheme="majorHAnsi"/>
          <w:spacing w:val="-1"/>
          <w:sz w:val="20"/>
          <w:szCs w:val="20"/>
          <w:lang w:val="uk-UA"/>
        </w:rPr>
        <w:t xml:space="preserve"> </w:t>
      </w:r>
      <w:r w:rsidRPr="004D2D14">
        <w:rPr>
          <w:rFonts w:asciiTheme="majorHAnsi" w:hAnsiTheme="majorHAnsi"/>
          <w:b/>
          <w:sz w:val="20"/>
          <w:szCs w:val="20"/>
          <w:lang w:val="uk-UA"/>
        </w:rPr>
        <w:t>–</w:t>
      </w:r>
    </w:p>
    <w:p w14:paraId="74CE607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Укладання угоди, за якою частину функції чи процесу</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організації</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виконуватиме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стороння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організація.</w:t>
      </w:r>
    </w:p>
    <w:p w14:paraId="2C58056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Стороння організація є поза сферою застосування системи управління, тоді як функцію чи</w:t>
      </w:r>
      <w:r w:rsidRPr="000977F7">
        <w:rPr>
          <w:rFonts w:asciiTheme="majorHAnsi" w:hAnsiTheme="majorHAnsi"/>
          <w:spacing w:val="1"/>
          <w:sz w:val="20"/>
          <w:szCs w:val="20"/>
        </w:rPr>
        <w:t xml:space="preserve"> </w:t>
      </w:r>
      <w:r w:rsidRPr="000977F7">
        <w:rPr>
          <w:rFonts w:asciiTheme="majorHAnsi" w:hAnsiTheme="majorHAnsi"/>
          <w:sz w:val="20"/>
          <w:szCs w:val="20"/>
        </w:rPr>
        <w:t>процес, передані сторонньому виконавцю, охоплено</w:t>
      </w:r>
      <w:r w:rsidRPr="000977F7">
        <w:rPr>
          <w:rFonts w:asciiTheme="majorHAnsi" w:hAnsiTheme="majorHAnsi"/>
          <w:spacing w:val="1"/>
          <w:sz w:val="20"/>
          <w:szCs w:val="20"/>
        </w:rPr>
        <w:t xml:space="preserve"> </w:t>
      </w:r>
      <w:r w:rsidRPr="000977F7">
        <w:rPr>
          <w:rFonts w:asciiTheme="majorHAnsi" w:hAnsiTheme="majorHAnsi"/>
          <w:sz w:val="20"/>
          <w:szCs w:val="20"/>
        </w:rPr>
        <w:t>сферою</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p>
    <w:p w14:paraId="47D34B2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9000:2015</w:t>
      </w:r>
    </w:p>
    <w:p w14:paraId="0FF70D1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176" w:name="_Hlk101107319"/>
      <w:r w:rsidRPr="000977F7">
        <w:rPr>
          <w:color w:val="auto"/>
          <w:sz w:val="20"/>
          <w:szCs w:val="20"/>
        </w:rPr>
        <w:t>ПЕРЕДАВАННЯ</w:t>
      </w:r>
      <w:r w:rsidRPr="000977F7">
        <w:rPr>
          <w:color w:val="auto"/>
          <w:spacing w:val="-4"/>
          <w:sz w:val="20"/>
          <w:szCs w:val="20"/>
        </w:rPr>
        <w:t xml:space="preserve"> </w:t>
      </w:r>
      <w:r w:rsidRPr="000977F7">
        <w:rPr>
          <w:color w:val="auto"/>
          <w:sz w:val="20"/>
          <w:szCs w:val="20"/>
        </w:rPr>
        <w:t>РОЗМІРУ</w:t>
      </w:r>
      <w:r w:rsidRPr="000977F7">
        <w:rPr>
          <w:color w:val="auto"/>
          <w:spacing w:val="-3"/>
          <w:sz w:val="20"/>
          <w:szCs w:val="20"/>
        </w:rPr>
        <w:t xml:space="preserve"> </w:t>
      </w:r>
      <w:r w:rsidRPr="000977F7">
        <w:rPr>
          <w:color w:val="auto"/>
          <w:sz w:val="20"/>
          <w:szCs w:val="20"/>
        </w:rPr>
        <w:t>ОДИНИЦІ –</w:t>
      </w:r>
    </w:p>
    <w:p w14:paraId="13BE9AE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TRACEABILITY</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bookmarkEnd w:id="176"/>
    <w:p w14:paraId="12495E7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Зведення одиниці фізичної величини, яка відтворюється або зберігається засобом вимірювальної техніки,</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що провіряється, до розміру одиниці, що відтворюється 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зберігається еталоном,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зразковим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засобом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вимірювальної техніки, яке здійснюється при їх звіренні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(повірці)</w:t>
      </w:r>
    </w:p>
    <w:p w14:paraId="23B8FCA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2681</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0AC25AB5"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uk-UA"/>
        </w:rPr>
      </w:pPr>
      <w:r w:rsidRPr="004D2D14">
        <w:rPr>
          <w:rFonts w:asciiTheme="majorHAnsi" w:hAnsiTheme="majorHAnsi"/>
          <w:b/>
          <w:sz w:val="20"/>
          <w:szCs w:val="20"/>
          <w:lang w:val="uk-UA"/>
        </w:rPr>
        <w:t>ПЕРЕМИКАЛЬНА ФУНКЦІЯ –</w:t>
      </w:r>
      <w:r w:rsidRPr="004D2D14">
        <w:rPr>
          <w:rFonts w:asciiTheme="majorHAnsi" w:hAnsiTheme="majorHAnsi"/>
          <w:b/>
          <w:spacing w:val="-47"/>
          <w:sz w:val="20"/>
          <w:szCs w:val="20"/>
          <w:lang w:val="uk-UA"/>
        </w:rPr>
        <w:t xml:space="preserve"> </w:t>
      </w:r>
    </w:p>
    <w:p w14:paraId="5D1E8DC5"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0977F7">
        <w:rPr>
          <w:rFonts w:asciiTheme="majorHAnsi" w:hAnsiTheme="majorHAnsi"/>
          <w:sz w:val="20"/>
          <w:szCs w:val="20"/>
        </w:rPr>
        <w:t>SWITCHING</w:t>
      </w:r>
      <w:r w:rsidRPr="004D2D14">
        <w:rPr>
          <w:rFonts w:asciiTheme="majorHAnsi" w:hAnsiTheme="majorHAnsi"/>
          <w:spacing w:val="-1"/>
          <w:sz w:val="20"/>
          <w:szCs w:val="20"/>
          <w:lang w:val="uk-UA"/>
        </w:rPr>
        <w:t xml:space="preserve"> </w:t>
      </w:r>
      <w:r w:rsidRPr="000977F7">
        <w:rPr>
          <w:rFonts w:asciiTheme="majorHAnsi" w:hAnsiTheme="majorHAnsi"/>
          <w:sz w:val="20"/>
          <w:szCs w:val="20"/>
        </w:rPr>
        <w:t>FUNCTION</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7831AB5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Залежність</w:t>
      </w:r>
      <w:r w:rsidRPr="004D2D14">
        <w:rPr>
          <w:rFonts w:asciiTheme="majorHAnsi" w:hAnsiTheme="majorHAnsi"/>
          <w:spacing w:val="21"/>
          <w:sz w:val="20"/>
          <w:szCs w:val="20"/>
          <w:lang w:val="uk-UA"/>
        </w:rPr>
        <w:t xml:space="preserve"> </w:t>
      </w:r>
      <w:r w:rsidRPr="004D2D14">
        <w:rPr>
          <w:rFonts w:asciiTheme="majorHAnsi" w:hAnsiTheme="majorHAnsi"/>
          <w:sz w:val="20"/>
          <w:szCs w:val="20"/>
          <w:lang w:val="uk-UA"/>
        </w:rPr>
        <w:t>стану</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виходів</w:t>
      </w:r>
      <w:r w:rsidRPr="004D2D14">
        <w:rPr>
          <w:rFonts w:asciiTheme="majorHAnsi" w:hAnsiTheme="majorHAnsi"/>
          <w:spacing w:val="23"/>
          <w:sz w:val="20"/>
          <w:szCs w:val="20"/>
          <w:lang w:val="uk-UA"/>
        </w:rPr>
        <w:t xml:space="preserve"> </w:t>
      </w:r>
      <w:r w:rsidRPr="004D2D14">
        <w:rPr>
          <w:rFonts w:asciiTheme="majorHAnsi" w:hAnsiTheme="majorHAnsi"/>
          <w:sz w:val="20"/>
          <w:szCs w:val="20"/>
          <w:lang w:val="uk-UA"/>
        </w:rPr>
        <w:t>безінерційного</w:t>
      </w:r>
      <w:r w:rsidRPr="004D2D14">
        <w:rPr>
          <w:rFonts w:asciiTheme="majorHAnsi" w:hAnsiTheme="majorHAnsi"/>
          <w:spacing w:val="22"/>
          <w:sz w:val="20"/>
          <w:szCs w:val="20"/>
          <w:lang w:val="uk-UA"/>
        </w:rPr>
        <w:t xml:space="preserve"> </w:t>
      </w:r>
      <w:r w:rsidRPr="004D2D14">
        <w:rPr>
          <w:rFonts w:asciiTheme="majorHAnsi" w:hAnsiTheme="majorHAnsi"/>
          <w:sz w:val="20"/>
          <w:szCs w:val="20"/>
          <w:lang w:val="uk-UA"/>
        </w:rPr>
        <w:t>об’єкта</w:t>
      </w:r>
      <w:r w:rsidRPr="004D2D14">
        <w:rPr>
          <w:rFonts w:asciiTheme="majorHAnsi" w:hAnsiTheme="majorHAnsi"/>
          <w:spacing w:val="2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дискретним перебігом процесів від стану його входів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 :</w:t>
      </w:r>
    </w:p>
    <w:p w14:paraId="2487DEB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Перемикальна</w:t>
      </w:r>
      <w:r w:rsidRPr="000977F7">
        <w:rPr>
          <w:rFonts w:asciiTheme="majorHAnsi" w:hAnsiTheme="majorHAnsi"/>
          <w:spacing w:val="34"/>
          <w:sz w:val="20"/>
          <w:szCs w:val="20"/>
        </w:rPr>
        <w:t xml:space="preserve"> </w:t>
      </w:r>
      <w:r w:rsidRPr="000977F7">
        <w:rPr>
          <w:rFonts w:asciiTheme="majorHAnsi" w:hAnsiTheme="majorHAnsi"/>
          <w:sz w:val="20"/>
          <w:szCs w:val="20"/>
        </w:rPr>
        <w:t>функція</w:t>
      </w:r>
      <w:r w:rsidRPr="000977F7">
        <w:rPr>
          <w:rFonts w:asciiTheme="majorHAnsi" w:hAnsiTheme="majorHAnsi"/>
          <w:spacing w:val="33"/>
          <w:sz w:val="20"/>
          <w:szCs w:val="20"/>
        </w:rPr>
        <w:t xml:space="preserve"> </w:t>
      </w:r>
      <w:r w:rsidRPr="000977F7">
        <w:rPr>
          <w:rFonts w:asciiTheme="majorHAnsi" w:hAnsiTheme="majorHAnsi"/>
          <w:sz w:val="20"/>
          <w:szCs w:val="20"/>
        </w:rPr>
        <w:t>може</w:t>
      </w:r>
      <w:r w:rsidRPr="000977F7">
        <w:rPr>
          <w:rFonts w:asciiTheme="majorHAnsi" w:hAnsiTheme="majorHAnsi"/>
          <w:spacing w:val="34"/>
          <w:sz w:val="20"/>
          <w:szCs w:val="20"/>
        </w:rPr>
        <w:t xml:space="preserve"> </w:t>
      </w:r>
      <w:r w:rsidRPr="000977F7">
        <w:rPr>
          <w:rFonts w:asciiTheme="majorHAnsi" w:hAnsiTheme="majorHAnsi"/>
          <w:sz w:val="20"/>
          <w:szCs w:val="20"/>
        </w:rPr>
        <w:t>бути</w:t>
      </w:r>
      <w:r w:rsidRPr="000977F7">
        <w:rPr>
          <w:rFonts w:asciiTheme="majorHAnsi" w:hAnsiTheme="majorHAnsi"/>
          <w:spacing w:val="35"/>
          <w:sz w:val="20"/>
          <w:szCs w:val="20"/>
        </w:rPr>
        <w:t xml:space="preserve"> </w:t>
      </w:r>
      <w:r w:rsidRPr="000977F7">
        <w:rPr>
          <w:rFonts w:asciiTheme="majorHAnsi" w:hAnsiTheme="majorHAnsi"/>
          <w:sz w:val="20"/>
          <w:szCs w:val="20"/>
        </w:rPr>
        <w:t>подана</w:t>
      </w:r>
      <w:r w:rsidRPr="000977F7">
        <w:rPr>
          <w:rFonts w:asciiTheme="majorHAnsi" w:hAnsiTheme="majorHAnsi"/>
          <w:spacing w:val="34"/>
          <w:sz w:val="20"/>
          <w:szCs w:val="20"/>
        </w:rPr>
        <w:t xml:space="preserve"> </w:t>
      </w:r>
      <w:r w:rsidRPr="000977F7">
        <w:rPr>
          <w:rFonts w:asciiTheme="majorHAnsi" w:hAnsiTheme="majorHAnsi"/>
          <w:sz w:val="20"/>
          <w:szCs w:val="20"/>
        </w:rPr>
        <w:t>таблицею,</w:t>
      </w:r>
      <w:r w:rsidRPr="000977F7">
        <w:rPr>
          <w:rFonts w:asciiTheme="majorHAnsi" w:hAnsiTheme="majorHAnsi"/>
          <w:spacing w:val="-47"/>
          <w:sz w:val="20"/>
          <w:szCs w:val="20"/>
        </w:rPr>
        <w:t xml:space="preserve"> </w:t>
      </w:r>
      <w:r w:rsidRPr="000977F7">
        <w:rPr>
          <w:rFonts w:asciiTheme="majorHAnsi" w:hAnsiTheme="majorHAnsi"/>
          <w:sz w:val="20"/>
          <w:szCs w:val="20"/>
        </w:rPr>
        <w:t>графом або</w:t>
      </w:r>
      <w:r w:rsidRPr="000977F7">
        <w:rPr>
          <w:rFonts w:asciiTheme="majorHAnsi" w:hAnsiTheme="majorHAnsi"/>
          <w:spacing w:val="1"/>
          <w:sz w:val="20"/>
          <w:szCs w:val="20"/>
        </w:rPr>
        <w:t xml:space="preserve"> </w:t>
      </w:r>
      <w:r w:rsidRPr="000977F7">
        <w:rPr>
          <w:rFonts w:asciiTheme="majorHAnsi" w:hAnsiTheme="majorHAnsi"/>
          <w:sz w:val="20"/>
          <w:szCs w:val="20"/>
        </w:rPr>
        <w:t>аналітичним виразом</w:t>
      </w:r>
    </w:p>
    <w:p w14:paraId="0B78A4F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2E5C98C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ПЕРЕМІЩЕННЯ</w:t>
      </w:r>
      <w:r w:rsidRPr="000977F7">
        <w:rPr>
          <w:color w:val="auto"/>
          <w:spacing w:val="1"/>
          <w:sz w:val="20"/>
          <w:szCs w:val="20"/>
        </w:rPr>
        <w:t xml:space="preserve"> </w:t>
      </w:r>
      <w:r w:rsidRPr="000977F7">
        <w:rPr>
          <w:color w:val="auto"/>
          <w:sz w:val="20"/>
          <w:szCs w:val="20"/>
        </w:rPr>
        <w:t>ТОВАРІВ</w:t>
      </w:r>
      <w:r w:rsidRPr="000977F7">
        <w:rPr>
          <w:color w:val="auto"/>
          <w:spacing w:val="1"/>
          <w:sz w:val="20"/>
          <w:szCs w:val="20"/>
        </w:rPr>
        <w:t xml:space="preserve"> </w:t>
      </w:r>
      <w:r w:rsidRPr="000977F7">
        <w:rPr>
          <w:color w:val="auto"/>
          <w:sz w:val="20"/>
          <w:szCs w:val="20"/>
        </w:rPr>
        <w:t>ЧЕРЕЗ</w:t>
      </w:r>
      <w:r w:rsidRPr="000977F7">
        <w:rPr>
          <w:color w:val="auto"/>
          <w:spacing w:val="1"/>
          <w:sz w:val="20"/>
          <w:szCs w:val="20"/>
        </w:rPr>
        <w:t xml:space="preserve"> </w:t>
      </w:r>
      <w:r w:rsidRPr="000977F7">
        <w:rPr>
          <w:color w:val="auto"/>
          <w:sz w:val="20"/>
          <w:szCs w:val="20"/>
        </w:rPr>
        <w:t>МИТНИЙ</w:t>
      </w:r>
      <w:r w:rsidRPr="000977F7">
        <w:rPr>
          <w:color w:val="auto"/>
          <w:spacing w:val="1"/>
          <w:sz w:val="20"/>
          <w:szCs w:val="20"/>
        </w:rPr>
        <w:t xml:space="preserve"> </w:t>
      </w:r>
      <w:r w:rsidRPr="000977F7">
        <w:rPr>
          <w:color w:val="auto"/>
          <w:sz w:val="20"/>
          <w:szCs w:val="20"/>
        </w:rPr>
        <w:t xml:space="preserve">КОРДОН УКРАЇНИ У ВАНТАЖНИХ </w:t>
      </w:r>
    </w:p>
    <w:p w14:paraId="315ED5D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ВІДПРАВЛЕННЯХ –</w:t>
      </w:r>
    </w:p>
    <w:p w14:paraId="1E3EDC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Переміщення</w:t>
      </w:r>
      <w:r w:rsidRPr="000977F7">
        <w:rPr>
          <w:rFonts w:asciiTheme="majorHAnsi" w:hAnsiTheme="majorHAnsi"/>
          <w:spacing w:val="1"/>
          <w:sz w:val="20"/>
          <w:szCs w:val="20"/>
        </w:rPr>
        <w:t xml:space="preserve"> </w:t>
      </w:r>
      <w:r w:rsidRPr="000977F7">
        <w:rPr>
          <w:rFonts w:asciiTheme="majorHAnsi" w:hAnsiTheme="majorHAnsi"/>
          <w:sz w:val="20"/>
          <w:szCs w:val="20"/>
        </w:rPr>
        <w:t>товарів</w:t>
      </w:r>
      <w:r w:rsidRPr="000977F7">
        <w:rPr>
          <w:rFonts w:asciiTheme="majorHAnsi" w:hAnsiTheme="majorHAnsi"/>
          <w:spacing w:val="1"/>
          <w:sz w:val="20"/>
          <w:szCs w:val="20"/>
        </w:rPr>
        <w:t xml:space="preserve"> </w:t>
      </w:r>
      <w:r w:rsidRPr="000977F7">
        <w:rPr>
          <w:rFonts w:asciiTheme="majorHAnsi" w:hAnsiTheme="majorHAnsi"/>
          <w:sz w:val="20"/>
          <w:szCs w:val="20"/>
        </w:rPr>
        <w:t>через</w:t>
      </w:r>
      <w:r w:rsidRPr="000977F7">
        <w:rPr>
          <w:rFonts w:asciiTheme="majorHAnsi" w:hAnsiTheme="majorHAnsi"/>
          <w:spacing w:val="1"/>
          <w:sz w:val="20"/>
          <w:szCs w:val="20"/>
        </w:rPr>
        <w:t xml:space="preserve"> </w:t>
      </w:r>
      <w:r w:rsidRPr="000977F7">
        <w:rPr>
          <w:rFonts w:asciiTheme="majorHAnsi" w:hAnsiTheme="majorHAnsi"/>
          <w:sz w:val="20"/>
          <w:szCs w:val="20"/>
        </w:rPr>
        <w:t>митний кордон України</w:t>
      </w:r>
      <w:r w:rsidRPr="000977F7">
        <w:rPr>
          <w:rFonts w:asciiTheme="majorHAnsi" w:hAnsiTheme="majorHAnsi"/>
          <w:spacing w:val="1"/>
          <w:sz w:val="20"/>
          <w:szCs w:val="20"/>
        </w:rPr>
        <w:t xml:space="preserve"> </w:t>
      </w:r>
      <w:r w:rsidRPr="000977F7">
        <w:rPr>
          <w:rFonts w:asciiTheme="majorHAnsi" w:hAnsiTheme="majorHAnsi"/>
          <w:sz w:val="20"/>
          <w:szCs w:val="20"/>
        </w:rPr>
        <w:t>при здійсненні експортно-імпортних операцій,</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також інших операцій, пов’язаних із ввезенням товарів</w:t>
      </w:r>
      <w:r w:rsidRPr="000977F7">
        <w:rPr>
          <w:rFonts w:asciiTheme="majorHAnsi" w:hAnsiTheme="majorHAnsi"/>
          <w:spacing w:val="1"/>
          <w:sz w:val="20"/>
          <w:szCs w:val="20"/>
        </w:rPr>
        <w:t xml:space="preserve"> </w:t>
      </w:r>
      <w:r w:rsidRPr="000977F7">
        <w:rPr>
          <w:rFonts w:asciiTheme="majorHAnsi" w:hAnsiTheme="majorHAnsi"/>
          <w:sz w:val="20"/>
          <w:szCs w:val="20"/>
        </w:rPr>
        <w:t>на митну територію України, вивезенням товарів за</w:t>
      </w:r>
      <w:r w:rsidRPr="000977F7">
        <w:rPr>
          <w:rFonts w:asciiTheme="majorHAnsi" w:hAnsiTheme="majorHAnsi"/>
          <w:spacing w:val="1"/>
          <w:sz w:val="20"/>
          <w:szCs w:val="20"/>
        </w:rPr>
        <w:t xml:space="preserve"> </w:t>
      </w:r>
      <w:r w:rsidRPr="000977F7">
        <w:rPr>
          <w:rFonts w:asciiTheme="majorHAnsi" w:hAnsiTheme="majorHAnsi"/>
          <w:sz w:val="20"/>
          <w:szCs w:val="20"/>
        </w:rPr>
        <w:t>межі митної території України або переміщенням їх</w:t>
      </w:r>
      <w:r w:rsidRPr="000977F7">
        <w:rPr>
          <w:rFonts w:asciiTheme="majorHAnsi" w:hAnsiTheme="majorHAnsi"/>
          <w:spacing w:val="1"/>
          <w:sz w:val="20"/>
          <w:szCs w:val="20"/>
        </w:rPr>
        <w:t xml:space="preserve"> </w:t>
      </w:r>
      <w:r w:rsidRPr="000977F7">
        <w:rPr>
          <w:rFonts w:asciiTheme="majorHAnsi" w:hAnsiTheme="majorHAnsi"/>
          <w:sz w:val="20"/>
          <w:szCs w:val="20"/>
        </w:rPr>
        <w:t>митною територією України транзитом. При переміщенні товарів через митний кордон України у вантажних</w:t>
      </w:r>
      <w:r w:rsidRPr="000977F7">
        <w:rPr>
          <w:rFonts w:asciiTheme="majorHAnsi" w:hAnsiTheme="majorHAnsi"/>
          <w:spacing w:val="1"/>
          <w:sz w:val="20"/>
          <w:szCs w:val="20"/>
        </w:rPr>
        <w:t xml:space="preserve"> </w:t>
      </w:r>
      <w:r w:rsidRPr="000977F7">
        <w:rPr>
          <w:rFonts w:asciiTheme="majorHAnsi" w:hAnsiTheme="majorHAnsi"/>
          <w:sz w:val="20"/>
          <w:szCs w:val="20"/>
        </w:rPr>
        <w:t>відправленнях</w:t>
      </w:r>
      <w:r w:rsidRPr="000977F7">
        <w:rPr>
          <w:rFonts w:asciiTheme="majorHAnsi" w:hAnsiTheme="majorHAnsi"/>
          <w:spacing w:val="1"/>
          <w:sz w:val="20"/>
          <w:szCs w:val="20"/>
        </w:rPr>
        <w:t xml:space="preserve"> </w:t>
      </w:r>
      <w:r w:rsidRPr="000977F7">
        <w:rPr>
          <w:rFonts w:asciiTheme="majorHAnsi" w:hAnsiTheme="majorHAnsi"/>
          <w:sz w:val="20"/>
          <w:szCs w:val="20"/>
        </w:rPr>
        <w:t>оформляється</w:t>
      </w:r>
      <w:r w:rsidRPr="000977F7">
        <w:rPr>
          <w:rFonts w:asciiTheme="majorHAnsi" w:hAnsiTheme="majorHAnsi"/>
          <w:spacing w:val="1"/>
          <w:sz w:val="20"/>
          <w:szCs w:val="20"/>
        </w:rPr>
        <w:t xml:space="preserve"> </w:t>
      </w:r>
      <w:r w:rsidRPr="000977F7">
        <w:rPr>
          <w:rFonts w:asciiTheme="majorHAnsi" w:hAnsiTheme="majorHAnsi"/>
          <w:sz w:val="20"/>
          <w:szCs w:val="20"/>
        </w:rPr>
        <w:t>вантажна</w:t>
      </w:r>
      <w:r w:rsidRPr="000977F7">
        <w:rPr>
          <w:rFonts w:asciiTheme="majorHAnsi" w:hAnsiTheme="majorHAnsi"/>
          <w:spacing w:val="1"/>
          <w:sz w:val="20"/>
          <w:szCs w:val="20"/>
        </w:rPr>
        <w:t xml:space="preserve"> </w:t>
      </w:r>
      <w:r w:rsidRPr="000977F7">
        <w:rPr>
          <w:rFonts w:asciiTheme="majorHAnsi" w:hAnsiTheme="majorHAnsi"/>
          <w:sz w:val="20"/>
          <w:szCs w:val="20"/>
        </w:rPr>
        <w:t>митна</w:t>
      </w:r>
      <w:r w:rsidRPr="000977F7">
        <w:rPr>
          <w:rFonts w:asciiTheme="majorHAnsi" w:hAnsiTheme="majorHAnsi"/>
          <w:spacing w:val="1"/>
          <w:sz w:val="20"/>
          <w:szCs w:val="20"/>
        </w:rPr>
        <w:t xml:space="preserve"> </w:t>
      </w:r>
      <w:r w:rsidRPr="000977F7">
        <w:rPr>
          <w:rFonts w:asciiTheme="majorHAnsi" w:hAnsiTheme="majorHAnsi"/>
          <w:sz w:val="20"/>
          <w:szCs w:val="20"/>
        </w:rPr>
        <w:t>декларація</w:t>
      </w:r>
    </w:p>
    <w:p w14:paraId="6CAA28D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w:t>
      </w:r>
      <w:r w:rsidRPr="000977F7">
        <w:rPr>
          <w:rFonts w:asciiTheme="majorHAnsi" w:hAnsiTheme="majorHAnsi"/>
          <w:i/>
          <w:spacing w:val="-2"/>
          <w:sz w:val="20"/>
          <w:szCs w:val="20"/>
        </w:rPr>
        <w:t xml:space="preserve"> </w:t>
      </w:r>
      <w:r w:rsidRPr="000977F7">
        <w:rPr>
          <w:rFonts w:asciiTheme="majorHAnsi" w:hAnsiTheme="majorHAnsi"/>
          <w:i/>
          <w:sz w:val="20"/>
          <w:szCs w:val="20"/>
        </w:rPr>
        <w:t>кодекс</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p>
    <w:p w14:paraId="56EDEE6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ПЕРЕНАПРУГА</w:t>
      </w:r>
      <w:r w:rsidRPr="000977F7">
        <w:rPr>
          <w:color w:val="auto"/>
          <w:spacing w:val="-4"/>
          <w:sz w:val="20"/>
          <w:szCs w:val="20"/>
        </w:rPr>
        <w:t xml:space="preserve"> </w:t>
      </w:r>
      <w:r w:rsidRPr="000977F7">
        <w:rPr>
          <w:color w:val="auto"/>
          <w:sz w:val="20"/>
          <w:szCs w:val="20"/>
        </w:rPr>
        <w:t>В</w:t>
      </w:r>
      <w:r w:rsidRPr="000977F7">
        <w:rPr>
          <w:color w:val="auto"/>
          <w:spacing w:val="-2"/>
          <w:sz w:val="20"/>
          <w:szCs w:val="20"/>
        </w:rPr>
        <w:t xml:space="preserve"> </w:t>
      </w:r>
      <w:r w:rsidRPr="000977F7">
        <w:rPr>
          <w:color w:val="auto"/>
          <w:sz w:val="20"/>
          <w:szCs w:val="20"/>
        </w:rPr>
        <w:t>ЕЛЕКТРИЧНІЙ</w:t>
      </w:r>
      <w:r w:rsidRPr="000977F7">
        <w:rPr>
          <w:color w:val="auto"/>
          <w:spacing w:val="-2"/>
          <w:sz w:val="20"/>
          <w:szCs w:val="20"/>
        </w:rPr>
        <w:t xml:space="preserve"> </w:t>
      </w:r>
      <w:r w:rsidRPr="000977F7">
        <w:rPr>
          <w:color w:val="auto"/>
          <w:sz w:val="20"/>
          <w:szCs w:val="20"/>
        </w:rPr>
        <w:t>МЕРЕЖІ</w:t>
      </w:r>
      <w:r w:rsidRPr="000977F7">
        <w:rPr>
          <w:color w:val="auto"/>
          <w:spacing w:val="-3"/>
          <w:sz w:val="20"/>
          <w:szCs w:val="20"/>
        </w:rPr>
        <w:t xml:space="preserve"> </w:t>
      </w:r>
      <w:r w:rsidRPr="000977F7">
        <w:rPr>
          <w:color w:val="auto"/>
          <w:sz w:val="20"/>
          <w:szCs w:val="20"/>
        </w:rPr>
        <w:t>–</w:t>
      </w:r>
    </w:p>
    <w:p w14:paraId="00DF38F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OVERVOLTAGE</w:t>
      </w:r>
      <w:r w:rsidRPr="004D2D14">
        <w:rPr>
          <w:rFonts w:asciiTheme="majorHAnsi" w:hAnsiTheme="majorHAnsi"/>
          <w:spacing w:val="-2"/>
          <w:sz w:val="20"/>
          <w:szCs w:val="20"/>
          <w:lang w:val="uk-UA"/>
        </w:rPr>
        <w:t xml:space="preserve"> </w:t>
      </w:r>
      <w:r w:rsidRPr="000977F7">
        <w:rPr>
          <w:rFonts w:asciiTheme="majorHAnsi" w:hAnsiTheme="majorHAnsi"/>
          <w:sz w:val="20"/>
          <w:szCs w:val="20"/>
        </w:rPr>
        <w:t>IN</w:t>
      </w:r>
      <w:r w:rsidRPr="004D2D14">
        <w:rPr>
          <w:rFonts w:asciiTheme="majorHAnsi" w:hAnsiTheme="majorHAnsi"/>
          <w:sz w:val="20"/>
          <w:szCs w:val="20"/>
          <w:lang w:val="uk-UA"/>
        </w:rPr>
        <w:t xml:space="preserve"> </w:t>
      </w:r>
      <w:r w:rsidRPr="000977F7">
        <w:rPr>
          <w:rFonts w:asciiTheme="majorHAnsi" w:hAnsiTheme="majorHAnsi"/>
          <w:sz w:val="20"/>
          <w:szCs w:val="20"/>
        </w:rPr>
        <w:t>A</w:t>
      </w:r>
      <w:r w:rsidRPr="004D2D14">
        <w:rPr>
          <w:rFonts w:asciiTheme="majorHAnsi" w:hAnsiTheme="majorHAnsi"/>
          <w:spacing w:val="-4"/>
          <w:sz w:val="20"/>
          <w:szCs w:val="20"/>
          <w:lang w:val="uk-UA"/>
        </w:rPr>
        <w:t xml:space="preserve"> </w:t>
      </w:r>
      <w:r w:rsidRPr="000977F7">
        <w:rPr>
          <w:rFonts w:asciiTheme="majorHAnsi" w:hAnsiTheme="majorHAnsi"/>
          <w:sz w:val="20"/>
          <w:szCs w:val="20"/>
        </w:rPr>
        <w:t>SISTEM</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0E9A006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Напруга між фазою і землею чи між фазами електричної мережі в точці підімкнення електрообладнання,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яка перевищує найбільшу допустиму напругу електрообладнання</w:t>
      </w:r>
    </w:p>
    <w:p w14:paraId="450E35A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4D2C280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ПЕРЕНАПРУГА</w:t>
      </w:r>
      <w:r w:rsidRPr="000977F7">
        <w:rPr>
          <w:color w:val="auto"/>
          <w:spacing w:val="-9"/>
          <w:sz w:val="20"/>
          <w:szCs w:val="20"/>
        </w:rPr>
        <w:t xml:space="preserve"> </w:t>
      </w:r>
      <w:r w:rsidRPr="000977F7">
        <w:rPr>
          <w:color w:val="auto"/>
          <w:sz w:val="20"/>
          <w:szCs w:val="20"/>
        </w:rPr>
        <w:t>В</w:t>
      </w:r>
      <w:r w:rsidRPr="000977F7">
        <w:rPr>
          <w:color w:val="auto"/>
          <w:spacing w:val="-8"/>
          <w:sz w:val="20"/>
          <w:szCs w:val="20"/>
        </w:rPr>
        <w:t xml:space="preserve"> </w:t>
      </w:r>
      <w:r w:rsidRPr="000977F7">
        <w:rPr>
          <w:color w:val="auto"/>
          <w:sz w:val="20"/>
          <w:szCs w:val="20"/>
        </w:rPr>
        <w:t>ЕЛЕКТРОПОСТАЧАЛЬНІЙ</w:t>
      </w:r>
      <w:r w:rsidRPr="000977F7">
        <w:rPr>
          <w:color w:val="auto"/>
          <w:spacing w:val="-47"/>
          <w:sz w:val="20"/>
          <w:szCs w:val="20"/>
        </w:rPr>
        <w:t xml:space="preserve"> </w:t>
      </w:r>
      <w:r w:rsidRPr="000977F7">
        <w:rPr>
          <w:color w:val="auto"/>
          <w:sz w:val="20"/>
          <w:szCs w:val="20"/>
        </w:rPr>
        <w:t>СИСТЕМІ</w:t>
      </w:r>
      <w:r w:rsidRPr="000977F7">
        <w:rPr>
          <w:color w:val="auto"/>
          <w:spacing w:val="-2"/>
          <w:sz w:val="20"/>
          <w:szCs w:val="20"/>
        </w:rPr>
        <w:t xml:space="preserve"> </w:t>
      </w:r>
      <w:r w:rsidRPr="000977F7">
        <w:rPr>
          <w:color w:val="auto"/>
          <w:sz w:val="20"/>
          <w:szCs w:val="20"/>
        </w:rPr>
        <w:t>–</w:t>
      </w:r>
    </w:p>
    <w:p w14:paraId="3208A87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Перевищення напруги над найбільшою робочою напругою, встановленою для конкретного електрообладнання</w:t>
      </w:r>
    </w:p>
    <w:p w14:paraId="1133330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743A231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ПЕРЕПАСИВАЦІЯ</w:t>
      </w:r>
      <w:r w:rsidRPr="000977F7">
        <w:rPr>
          <w:color w:val="auto"/>
          <w:spacing w:val="-5"/>
          <w:sz w:val="20"/>
          <w:szCs w:val="20"/>
        </w:rPr>
        <w:t xml:space="preserve"> </w:t>
      </w:r>
      <w:r w:rsidRPr="000977F7">
        <w:rPr>
          <w:color w:val="auto"/>
          <w:sz w:val="20"/>
          <w:szCs w:val="20"/>
        </w:rPr>
        <w:t>–</w:t>
      </w:r>
    </w:p>
    <w:p w14:paraId="7560C0A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Різке збільшення швидкості анодного розчинення металу в процесі зростання потенціалу внаслідок порушення</w:t>
      </w:r>
      <w:r w:rsidRPr="000977F7">
        <w:rPr>
          <w:rFonts w:asciiTheme="majorHAnsi" w:hAnsiTheme="majorHAnsi"/>
          <w:spacing w:val="-2"/>
          <w:sz w:val="20"/>
          <w:szCs w:val="20"/>
        </w:rPr>
        <w:t xml:space="preserve"> </w:t>
      </w:r>
      <w:r w:rsidRPr="000977F7">
        <w:rPr>
          <w:rFonts w:asciiTheme="majorHAnsi" w:hAnsiTheme="majorHAnsi"/>
          <w:sz w:val="20"/>
          <w:szCs w:val="20"/>
        </w:rPr>
        <w:t>пасивного стану</w:t>
      </w:r>
      <w:r w:rsidRPr="000977F7">
        <w:rPr>
          <w:rFonts w:asciiTheme="majorHAnsi" w:hAnsiTheme="majorHAnsi"/>
          <w:spacing w:val="-2"/>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зумовлене</w:t>
      </w:r>
      <w:r w:rsidRPr="000977F7">
        <w:rPr>
          <w:rFonts w:asciiTheme="majorHAnsi" w:hAnsiTheme="majorHAnsi"/>
          <w:spacing w:val="-1"/>
          <w:sz w:val="20"/>
          <w:szCs w:val="20"/>
        </w:rPr>
        <w:t xml:space="preserve"> </w:t>
      </w:r>
      <w:r w:rsidRPr="000977F7">
        <w:rPr>
          <w:rFonts w:asciiTheme="majorHAnsi" w:hAnsiTheme="majorHAnsi"/>
          <w:sz w:val="20"/>
          <w:szCs w:val="20"/>
        </w:rPr>
        <w:t>пітінгом)</w:t>
      </w:r>
    </w:p>
    <w:p w14:paraId="1BCBD9C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 98</w:t>
      </w:r>
    </w:p>
    <w:p w14:paraId="766D8A2A"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pacing w:val="-1"/>
          <w:sz w:val="20"/>
          <w:szCs w:val="20"/>
        </w:rPr>
        <w:t xml:space="preserve">ПЕРЕРОБЛЯННЯ </w:t>
      </w:r>
      <w:r w:rsidRPr="000977F7">
        <w:rPr>
          <w:rFonts w:asciiTheme="majorHAnsi" w:hAnsiTheme="majorHAnsi"/>
          <w:b/>
          <w:sz w:val="20"/>
          <w:szCs w:val="20"/>
        </w:rPr>
        <w:t>–</w:t>
      </w:r>
      <w:r w:rsidRPr="000977F7">
        <w:rPr>
          <w:rFonts w:asciiTheme="majorHAnsi" w:hAnsiTheme="majorHAnsi"/>
          <w:b/>
          <w:spacing w:val="-47"/>
          <w:sz w:val="20"/>
          <w:szCs w:val="20"/>
        </w:rPr>
        <w:t xml:space="preserve"> </w:t>
      </w:r>
    </w:p>
    <w:p w14:paraId="635A714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REWORK</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FB8B31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 яку виконують з невідповідною продукцією чи</w:t>
      </w:r>
      <w:r w:rsidRPr="000977F7">
        <w:rPr>
          <w:rFonts w:asciiTheme="majorHAnsi" w:hAnsiTheme="majorHAnsi"/>
          <w:spacing w:val="1"/>
          <w:sz w:val="20"/>
          <w:szCs w:val="20"/>
        </w:rPr>
        <w:t xml:space="preserve"> </w:t>
      </w:r>
      <w:r w:rsidRPr="000977F7">
        <w:rPr>
          <w:rFonts w:asciiTheme="majorHAnsi" w:hAnsiTheme="majorHAnsi"/>
          <w:sz w:val="20"/>
          <w:szCs w:val="20"/>
        </w:rPr>
        <w:t>послугою</w:t>
      </w:r>
      <w:r w:rsidRPr="000977F7">
        <w:rPr>
          <w:rFonts w:asciiTheme="majorHAnsi" w:hAnsiTheme="majorHAnsi"/>
          <w:spacing w:val="48"/>
          <w:sz w:val="20"/>
          <w:szCs w:val="20"/>
        </w:rPr>
        <w:t xml:space="preserve"> </w:t>
      </w:r>
      <w:r w:rsidRPr="000977F7">
        <w:rPr>
          <w:rFonts w:asciiTheme="majorHAnsi" w:hAnsiTheme="majorHAnsi"/>
          <w:sz w:val="20"/>
          <w:szCs w:val="20"/>
        </w:rPr>
        <w:t>щоб</w:t>
      </w:r>
      <w:r w:rsidRPr="000977F7">
        <w:rPr>
          <w:rFonts w:asciiTheme="majorHAnsi" w:hAnsiTheme="majorHAnsi"/>
          <w:spacing w:val="-2"/>
          <w:sz w:val="20"/>
          <w:szCs w:val="20"/>
        </w:rPr>
        <w:t xml:space="preserve"> </w:t>
      </w:r>
      <w:r w:rsidRPr="000977F7">
        <w:rPr>
          <w:rFonts w:asciiTheme="majorHAnsi" w:hAnsiTheme="majorHAnsi"/>
          <w:sz w:val="20"/>
          <w:szCs w:val="20"/>
        </w:rPr>
        <w:t>зробити</w:t>
      </w:r>
      <w:r w:rsidRPr="000977F7">
        <w:rPr>
          <w:rFonts w:asciiTheme="majorHAnsi" w:hAnsiTheme="majorHAnsi"/>
          <w:spacing w:val="-2"/>
          <w:sz w:val="20"/>
          <w:szCs w:val="20"/>
        </w:rPr>
        <w:t xml:space="preserve"> </w:t>
      </w:r>
      <w:r w:rsidRPr="000977F7">
        <w:rPr>
          <w:rFonts w:asciiTheme="majorHAnsi" w:hAnsiTheme="majorHAnsi"/>
          <w:sz w:val="20"/>
          <w:szCs w:val="20"/>
        </w:rPr>
        <w:t>її</w:t>
      </w:r>
      <w:r w:rsidRPr="000977F7">
        <w:rPr>
          <w:rFonts w:asciiTheme="majorHAnsi" w:hAnsiTheme="majorHAnsi"/>
          <w:spacing w:val="-2"/>
          <w:sz w:val="20"/>
          <w:szCs w:val="20"/>
        </w:rPr>
        <w:t xml:space="preserve"> </w:t>
      </w:r>
      <w:r w:rsidRPr="000977F7">
        <w:rPr>
          <w:rFonts w:asciiTheme="majorHAnsi" w:hAnsiTheme="majorHAnsi"/>
          <w:sz w:val="20"/>
          <w:szCs w:val="20"/>
        </w:rPr>
        <w:t>відповідною вимогам.</w:t>
      </w:r>
    </w:p>
    <w:p w14:paraId="0BBB74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Під час переробляння можуть змінювати чи</w:t>
      </w:r>
      <w:r w:rsidRPr="000977F7">
        <w:rPr>
          <w:rFonts w:asciiTheme="majorHAnsi" w:hAnsiTheme="majorHAnsi"/>
          <w:spacing w:val="-47"/>
          <w:sz w:val="20"/>
          <w:szCs w:val="20"/>
        </w:rPr>
        <w:t xml:space="preserve"> </w:t>
      </w:r>
      <w:r w:rsidRPr="000977F7">
        <w:rPr>
          <w:rFonts w:asciiTheme="majorHAnsi" w:hAnsiTheme="majorHAnsi"/>
          <w:sz w:val="20"/>
          <w:szCs w:val="20"/>
        </w:rPr>
        <w:t>замінювати складові частини невідповідної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послуги</w:t>
      </w:r>
    </w:p>
    <w:p w14:paraId="31785D0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90002015</w:t>
      </w:r>
    </w:p>
    <w:p w14:paraId="7195AE4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ПЕРЕТВОРЮВАЧ</w:t>
      </w:r>
      <w:r w:rsidRPr="000977F7">
        <w:rPr>
          <w:color w:val="auto"/>
          <w:spacing w:val="-5"/>
          <w:sz w:val="20"/>
          <w:szCs w:val="20"/>
        </w:rPr>
        <w:t xml:space="preserve"> </w:t>
      </w:r>
      <w:r w:rsidRPr="000977F7">
        <w:rPr>
          <w:color w:val="auto"/>
          <w:sz w:val="20"/>
          <w:szCs w:val="20"/>
        </w:rPr>
        <w:t>АКУСТИЧНОЇ</w:t>
      </w:r>
      <w:r w:rsidRPr="000977F7">
        <w:rPr>
          <w:color w:val="auto"/>
          <w:spacing w:val="-5"/>
          <w:sz w:val="20"/>
          <w:szCs w:val="20"/>
        </w:rPr>
        <w:t xml:space="preserve"> </w:t>
      </w:r>
      <w:r w:rsidRPr="000977F7">
        <w:rPr>
          <w:color w:val="auto"/>
          <w:sz w:val="20"/>
          <w:szCs w:val="20"/>
        </w:rPr>
        <w:t>ЕМІСІЇ</w:t>
      </w:r>
      <w:r w:rsidRPr="000977F7">
        <w:rPr>
          <w:color w:val="auto"/>
          <w:spacing w:val="-5"/>
          <w:sz w:val="20"/>
          <w:szCs w:val="20"/>
        </w:rPr>
        <w:t xml:space="preserve"> </w:t>
      </w:r>
      <w:r w:rsidRPr="000977F7">
        <w:rPr>
          <w:color w:val="auto"/>
          <w:sz w:val="20"/>
          <w:szCs w:val="20"/>
        </w:rPr>
        <w:t>–</w:t>
      </w:r>
    </w:p>
    <w:p w14:paraId="164AF63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ACOUSTIC</w:t>
      </w:r>
      <w:r w:rsidRPr="004D2D14">
        <w:rPr>
          <w:rFonts w:asciiTheme="majorHAnsi" w:hAnsiTheme="majorHAnsi"/>
          <w:spacing w:val="-3"/>
          <w:sz w:val="20"/>
          <w:szCs w:val="20"/>
          <w:lang w:val="uk-UA"/>
        </w:rPr>
        <w:t xml:space="preserve"> </w:t>
      </w:r>
      <w:r w:rsidRPr="000977F7">
        <w:rPr>
          <w:rFonts w:asciiTheme="majorHAnsi" w:hAnsiTheme="majorHAnsi"/>
          <w:sz w:val="20"/>
          <w:szCs w:val="20"/>
        </w:rPr>
        <w:t>EMISSION</w:t>
      </w:r>
      <w:r w:rsidRPr="004D2D14">
        <w:rPr>
          <w:rFonts w:asciiTheme="majorHAnsi" w:hAnsiTheme="majorHAnsi"/>
          <w:spacing w:val="-2"/>
          <w:sz w:val="20"/>
          <w:szCs w:val="20"/>
          <w:lang w:val="uk-UA"/>
        </w:rPr>
        <w:t xml:space="preserve"> </w:t>
      </w:r>
      <w:r w:rsidRPr="000977F7">
        <w:rPr>
          <w:rFonts w:asciiTheme="majorHAnsi" w:hAnsiTheme="majorHAnsi"/>
          <w:sz w:val="20"/>
          <w:szCs w:val="20"/>
        </w:rPr>
        <w:t>TRANSDUCER</w:t>
      </w:r>
      <w:r w:rsidRPr="004D2D14">
        <w:rPr>
          <w:rFonts w:asciiTheme="majorHAnsi" w:hAnsiTheme="majorHAnsi"/>
          <w:sz w:val="20"/>
          <w:szCs w:val="20"/>
          <w:lang w:val="uk-UA"/>
        </w:rPr>
        <w:t xml:space="preserve"> –</w:t>
      </w:r>
    </w:p>
    <w:p w14:paraId="54D4668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Пристрій, у якому механічний сигнал акустичної емісії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перетворюється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електричний</w:t>
      </w:r>
    </w:p>
    <w:p w14:paraId="736E655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2374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6D32B70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ПЕРЕТВОРЮВАЧ</w:t>
      </w:r>
      <w:r w:rsidRPr="000977F7">
        <w:rPr>
          <w:color w:val="auto"/>
          <w:spacing w:val="-8"/>
          <w:sz w:val="20"/>
          <w:szCs w:val="20"/>
        </w:rPr>
        <w:t xml:space="preserve"> </w:t>
      </w:r>
      <w:r w:rsidRPr="000977F7">
        <w:rPr>
          <w:color w:val="auto"/>
          <w:sz w:val="20"/>
          <w:szCs w:val="20"/>
        </w:rPr>
        <w:t>ЗАСОБУ</w:t>
      </w:r>
      <w:r w:rsidRPr="000977F7">
        <w:rPr>
          <w:color w:val="auto"/>
          <w:spacing w:val="-8"/>
          <w:sz w:val="20"/>
          <w:szCs w:val="20"/>
        </w:rPr>
        <w:t xml:space="preserve"> </w:t>
      </w:r>
      <w:r w:rsidRPr="000977F7">
        <w:rPr>
          <w:color w:val="auto"/>
          <w:sz w:val="20"/>
          <w:szCs w:val="20"/>
        </w:rPr>
        <w:t>НЕРУЙНІВНОГО</w:t>
      </w:r>
      <w:r w:rsidRPr="000977F7">
        <w:rPr>
          <w:color w:val="auto"/>
          <w:spacing w:val="-47"/>
          <w:sz w:val="20"/>
          <w:szCs w:val="20"/>
        </w:rPr>
        <w:t xml:space="preserve"> </w:t>
      </w:r>
      <w:r w:rsidRPr="000977F7">
        <w:rPr>
          <w:color w:val="auto"/>
          <w:sz w:val="20"/>
          <w:szCs w:val="20"/>
        </w:rPr>
        <w:t>КОНТРОЛЮ</w:t>
      </w:r>
      <w:r w:rsidRPr="000977F7">
        <w:rPr>
          <w:color w:val="auto"/>
          <w:spacing w:val="-1"/>
          <w:sz w:val="20"/>
          <w:szCs w:val="20"/>
        </w:rPr>
        <w:t xml:space="preserve"> </w:t>
      </w:r>
      <w:r w:rsidRPr="000977F7">
        <w:rPr>
          <w:color w:val="auto"/>
          <w:sz w:val="20"/>
          <w:szCs w:val="20"/>
        </w:rPr>
        <w:t>–</w:t>
      </w:r>
    </w:p>
    <w:p w14:paraId="4DA5AF6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PROBE</w:t>
      </w:r>
      <w:r w:rsidRPr="004D2D14">
        <w:rPr>
          <w:rFonts w:asciiTheme="majorHAnsi" w:hAnsiTheme="majorHAnsi"/>
          <w:sz w:val="20"/>
          <w:szCs w:val="20"/>
          <w:lang w:val="uk-UA"/>
        </w:rPr>
        <w:t xml:space="preserve"> –</w:t>
      </w:r>
    </w:p>
    <w:p w14:paraId="68473DD0"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Частина</w:t>
      </w:r>
      <w:r w:rsidRPr="004D2D14">
        <w:rPr>
          <w:rFonts w:asciiTheme="majorHAnsi" w:hAnsiTheme="majorHAnsi"/>
          <w:spacing w:val="41"/>
          <w:sz w:val="20"/>
          <w:szCs w:val="20"/>
          <w:lang w:val="uk-UA"/>
        </w:rPr>
        <w:t xml:space="preserve"> </w:t>
      </w:r>
      <w:r w:rsidRPr="004D2D14">
        <w:rPr>
          <w:rFonts w:asciiTheme="majorHAnsi" w:hAnsiTheme="majorHAnsi"/>
          <w:sz w:val="20"/>
          <w:szCs w:val="20"/>
          <w:lang w:val="uk-UA"/>
        </w:rPr>
        <w:t>системи</w:t>
      </w:r>
      <w:r w:rsidRPr="004D2D14">
        <w:rPr>
          <w:rFonts w:asciiTheme="majorHAnsi" w:hAnsiTheme="majorHAnsi"/>
          <w:spacing w:val="40"/>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40"/>
          <w:sz w:val="20"/>
          <w:szCs w:val="20"/>
          <w:lang w:val="uk-UA"/>
        </w:rPr>
        <w:t xml:space="preserve"> </w:t>
      </w:r>
      <w:r w:rsidRPr="004D2D14">
        <w:rPr>
          <w:rFonts w:asciiTheme="majorHAnsi" w:hAnsiTheme="majorHAnsi"/>
          <w:sz w:val="20"/>
          <w:szCs w:val="20"/>
          <w:lang w:val="uk-UA"/>
        </w:rPr>
        <w:t>засобу</w:t>
      </w:r>
      <w:r w:rsidRPr="004D2D14">
        <w:rPr>
          <w:rFonts w:asciiTheme="majorHAnsi" w:hAnsiTheme="majorHAnsi"/>
          <w:spacing w:val="42"/>
          <w:sz w:val="20"/>
          <w:szCs w:val="20"/>
          <w:lang w:val="uk-UA"/>
        </w:rPr>
        <w:t xml:space="preserve"> </w:t>
      </w:r>
      <w:r w:rsidRPr="004D2D14">
        <w:rPr>
          <w:rFonts w:asciiTheme="majorHAnsi" w:hAnsiTheme="majorHAnsi"/>
          <w:sz w:val="20"/>
          <w:szCs w:val="20"/>
          <w:lang w:val="uk-UA"/>
        </w:rPr>
        <w:t>неруйнівного</w:t>
      </w:r>
      <w:r w:rsidRPr="004D2D14">
        <w:rPr>
          <w:rFonts w:asciiTheme="majorHAnsi" w:hAnsiTheme="majorHAnsi"/>
          <w:spacing w:val="45"/>
          <w:sz w:val="20"/>
          <w:szCs w:val="20"/>
          <w:lang w:val="uk-UA"/>
        </w:rPr>
        <w:t xml:space="preserve"> </w:t>
      </w:r>
      <w:r w:rsidRPr="004D2D14">
        <w:rPr>
          <w:rFonts w:asciiTheme="majorHAnsi" w:hAnsiTheme="majorHAnsi"/>
          <w:sz w:val="20"/>
          <w:szCs w:val="20"/>
          <w:lang w:val="uk-UA"/>
        </w:rPr>
        <w:t>контролю,</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24"/>
          <w:sz w:val="20"/>
          <w:szCs w:val="20"/>
          <w:lang w:val="uk-UA"/>
        </w:rPr>
        <w:t xml:space="preserve"> </w:t>
      </w:r>
      <w:r w:rsidRPr="004D2D14">
        <w:rPr>
          <w:rFonts w:asciiTheme="majorHAnsi" w:hAnsiTheme="majorHAnsi"/>
          <w:sz w:val="20"/>
          <w:szCs w:val="20"/>
          <w:lang w:val="uk-UA"/>
        </w:rPr>
        <w:t>забезпечує</w:t>
      </w:r>
      <w:r w:rsidRPr="004D2D14">
        <w:rPr>
          <w:rFonts w:asciiTheme="majorHAnsi" w:hAnsiTheme="majorHAnsi"/>
          <w:spacing w:val="27"/>
          <w:sz w:val="20"/>
          <w:szCs w:val="20"/>
          <w:lang w:val="uk-UA"/>
        </w:rPr>
        <w:t xml:space="preserve"> </w:t>
      </w:r>
      <w:r w:rsidRPr="004D2D14">
        <w:rPr>
          <w:rFonts w:asciiTheme="majorHAnsi" w:hAnsiTheme="majorHAnsi"/>
          <w:sz w:val="20"/>
          <w:szCs w:val="20"/>
          <w:lang w:val="uk-UA"/>
        </w:rPr>
        <w:t>отримання</w:t>
      </w:r>
      <w:r w:rsidRPr="004D2D14">
        <w:rPr>
          <w:rFonts w:asciiTheme="majorHAnsi" w:hAnsiTheme="majorHAnsi"/>
          <w:spacing w:val="28"/>
          <w:sz w:val="20"/>
          <w:szCs w:val="20"/>
          <w:lang w:val="uk-UA"/>
        </w:rPr>
        <w:t xml:space="preserve"> </w:t>
      </w:r>
      <w:r w:rsidRPr="004D2D14">
        <w:rPr>
          <w:rFonts w:asciiTheme="majorHAnsi" w:hAnsiTheme="majorHAnsi"/>
          <w:sz w:val="20"/>
          <w:szCs w:val="20"/>
          <w:lang w:val="uk-UA"/>
        </w:rPr>
        <w:t>фізичного</w:t>
      </w:r>
      <w:r w:rsidRPr="004D2D14">
        <w:rPr>
          <w:rFonts w:asciiTheme="majorHAnsi" w:hAnsiTheme="majorHAnsi"/>
          <w:spacing w:val="27"/>
          <w:sz w:val="20"/>
          <w:szCs w:val="20"/>
          <w:lang w:val="uk-UA"/>
        </w:rPr>
        <w:t xml:space="preserve"> </w:t>
      </w:r>
      <w:r w:rsidRPr="004D2D14">
        <w:rPr>
          <w:rFonts w:asciiTheme="majorHAnsi" w:hAnsiTheme="majorHAnsi"/>
          <w:sz w:val="20"/>
          <w:szCs w:val="20"/>
          <w:lang w:val="uk-UA"/>
        </w:rPr>
        <w:t>поля,</w:t>
      </w:r>
      <w:r w:rsidRPr="004D2D14">
        <w:rPr>
          <w:rFonts w:asciiTheme="majorHAnsi" w:hAnsiTheme="majorHAnsi"/>
          <w:spacing w:val="26"/>
          <w:sz w:val="20"/>
          <w:szCs w:val="20"/>
          <w:lang w:val="uk-UA"/>
        </w:rPr>
        <w:t xml:space="preserve"> </w:t>
      </w:r>
      <w:r w:rsidRPr="004D2D14">
        <w:rPr>
          <w:rFonts w:asciiTheme="majorHAnsi" w:hAnsiTheme="majorHAnsi"/>
          <w:sz w:val="20"/>
          <w:szCs w:val="20"/>
          <w:lang w:val="uk-UA"/>
        </w:rPr>
        <w:t>взаємодію</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його</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3"/>
          <w:sz w:val="20"/>
          <w:szCs w:val="20"/>
          <w:lang w:val="uk-UA"/>
        </w:rPr>
        <w:t xml:space="preserve"> </w:t>
      </w:r>
      <w:r w:rsidRPr="004D2D14">
        <w:rPr>
          <w:rFonts w:asciiTheme="majorHAnsi" w:hAnsiTheme="majorHAnsi"/>
          <w:sz w:val="20"/>
          <w:szCs w:val="20"/>
          <w:lang w:val="uk-UA"/>
        </w:rPr>
        <w:t>контрольованим</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об’єктом</w:t>
      </w:r>
      <w:r w:rsidRPr="004D2D14">
        <w:rPr>
          <w:rFonts w:asciiTheme="majorHAnsi" w:hAnsiTheme="majorHAnsi"/>
          <w:spacing w:val="13"/>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перетворення</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цієї</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взаємодії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інформативний</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сигнал</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аналіз</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його</w:t>
      </w:r>
      <w:r w:rsidRPr="004D2D14">
        <w:rPr>
          <w:rFonts w:asciiTheme="majorHAnsi" w:hAnsiTheme="majorHAnsi"/>
          <w:spacing w:val="1"/>
          <w:sz w:val="20"/>
          <w:szCs w:val="20"/>
          <w:lang w:val="uk-UA"/>
        </w:rPr>
        <w:t xml:space="preserve"> </w:t>
      </w:r>
    </w:p>
    <w:p w14:paraId="101B3945"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2865</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F70C45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ПЕРЕХІДНА</w:t>
      </w:r>
      <w:r w:rsidRPr="000977F7">
        <w:rPr>
          <w:color w:val="auto"/>
          <w:spacing w:val="-4"/>
          <w:sz w:val="20"/>
          <w:szCs w:val="20"/>
        </w:rPr>
        <w:t xml:space="preserve"> </w:t>
      </w:r>
      <w:r w:rsidRPr="000977F7">
        <w:rPr>
          <w:color w:val="auto"/>
          <w:sz w:val="20"/>
          <w:szCs w:val="20"/>
        </w:rPr>
        <w:t>ТЕМА</w:t>
      </w:r>
      <w:r w:rsidRPr="000977F7">
        <w:rPr>
          <w:color w:val="auto"/>
          <w:spacing w:val="-3"/>
          <w:sz w:val="20"/>
          <w:szCs w:val="20"/>
        </w:rPr>
        <w:t xml:space="preserve"> </w:t>
      </w:r>
      <w:r w:rsidRPr="000977F7">
        <w:rPr>
          <w:color w:val="auto"/>
          <w:sz w:val="20"/>
          <w:szCs w:val="20"/>
        </w:rPr>
        <w:t>З</w:t>
      </w:r>
      <w:r w:rsidRPr="000977F7">
        <w:rPr>
          <w:color w:val="auto"/>
          <w:spacing w:val="-3"/>
          <w:sz w:val="20"/>
          <w:szCs w:val="20"/>
        </w:rPr>
        <w:t xml:space="preserve"> </w:t>
      </w:r>
      <w:r w:rsidRPr="000977F7">
        <w:rPr>
          <w:color w:val="auto"/>
          <w:sz w:val="20"/>
          <w:szCs w:val="20"/>
        </w:rPr>
        <w:t>СТАНДАРТИЗАЦІЇ</w:t>
      </w:r>
      <w:r w:rsidRPr="000977F7">
        <w:rPr>
          <w:color w:val="auto"/>
          <w:spacing w:val="-1"/>
          <w:sz w:val="20"/>
          <w:szCs w:val="20"/>
        </w:rPr>
        <w:t xml:space="preserve"> </w:t>
      </w:r>
      <w:r w:rsidRPr="000977F7">
        <w:rPr>
          <w:color w:val="auto"/>
          <w:sz w:val="20"/>
          <w:szCs w:val="20"/>
        </w:rPr>
        <w:t>–</w:t>
      </w:r>
    </w:p>
    <w:p w14:paraId="242900E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CONINUING</w:t>
      </w:r>
      <w:r w:rsidRPr="004D2D14">
        <w:rPr>
          <w:rFonts w:asciiTheme="majorHAnsi" w:hAnsiTheme="majorHAnsi"/>
          <w:spacing w:val="-2"/>
          <w:sz w:val="20"/>
          <w:szCs w:val="20"/>
          <w:lang w:val="uk-UA"/>
        </w:rPr>
        <w:t xml:space="preserve"> </w:t>
      </w:r>
      <w:r w:rsidRPr="000977F7">
        <w:rPr>
          <w:rFonts w:asciiTheme="majorHAnsi" w:hAnsiTheme="majorHAnsi"/>
          <w:sz w:val="20"/>
          <w:szCs w:val="20"/>
        </w:rPr>
        <w:t>STANDARDIZATION</w:t>
      </w:r>
      <w:r w:rsidRPr="004D2D14">
        <w:rPr>
          <w:rFonts w:asciiTheme="majorHAnsi" w:hAnsiTheme="majorHAnsi"/>
          <w:spacing w:val="-2"/>
          <w:sz w:val="20"/>
          <w:szCs w:val="20"/>
          <w:lang w:val="uk-UA"/>
        </w:rPr>
        <w:t xml:space="preserve"> </w:t>
      </w:r>
      <w:r w:rsidRPr="000977F7">
        <w:rPr>
          <w:rFonts w:asciiTheme="majorHAnsi" w:hAnsiTheme="majorHAnsi"/>
          <w:sz w:val="20"/>
          <w:szCs w:val="20"/>
        </w:rPr>
        <w:t>TOPIC</w:t>
      </w:r>
      <w:r w:rsidRPr="004D2D14">
        <w:rPr>
          <w:rFonts w:asciiTheme="majorHAnsi" w:hAnsiTheme="majorHAnsi"/>
          <w:sz w:val="20"/>
          <w:szCs w:val="20"/>
          <w:lang w:val="uk-UA"/>
        </w:rPr>
        <w:t xml:space="preserve"> –</w:t>
      </w:r>
    </w:p>
    <w:p w14:paraId="5414092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Тема із стандартизації , розробка якої проводилася 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протязі запланованого періоду і буде продовжуватися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наступному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періоді</w:t>
      </w:r>
    </w:p>
    <w:p w14:paraId="1FB05E0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ПЕРЕХІДНА</w:t>
      </w:r>
      <w:r w:rsidRPr="000977F7">
        <w:rPr>
          <w:color w:val="auto"/>
          <w:spacing w:val="-5"/>
          <w:sz w:val="20"/>
          <w:szCs w:val="20"/>
        </w:rPr>
        <w:t xml:space="preserve"> </w:t>
      </w:r>
      <w:r w:rsidRPr="000977F7">
        <w:rPr>
          <w:color w:val="auto"/>
          <w:sz w:val="20"/>
          <w:szCs w:val="20"/>
        </w:rPr>
        <w:t>ХАРАКТЕРИСТИКА</w:t>
      </w:r>
      <w:r w:rsidRPr="000977F7">
        <w:rPr>
          <w:color w:val="auto"/>
          <w:spacing w:val="-3"/>
          <w:sz w:val="20"/>
          <w:szCs w:val="20"/>
        </w:rPr>
        <w:t xml:space="preserve"> </w:t>
      </w:r>
      <w:r w:rsidRPr="000977F7">
        <w:rPr>
          <w:color w:val="auto"/>
          <w:sz w:val="20"/>
          <w:szCs w:val="20"/>
        </w:rPr>
        <w:t>–</w:t>
      </w:r>
    </w:p>
    <w:p w14:paraId="4C14479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STEP</w:t>
      </w:r>
      <w:r w:rsidRPr="004D2D14">
        <w:rPr>
          <w:rFonts w:asciiTheme="majorHAnsi" w:hAnsiTheme="majorHAnsi"/>
          <w:spacing w:val="-3"/>
          <w:sz w:val="20"/>
          <w:szCs w:val="20"/>
          <w:lang w:val="uk-UA"/>
        </w:rPr>
        <w:t xml:space="preserve"> </w:t>
      </w:r>
      <w:r w:rsidRPr="000977F7">
        <w:rPr>
          <w:rFonts w:asciiTheme="majorHAnsi" w:hAnsiTheme="majorHAnsi"/>
          <w:sz w:val="20"/>
          <w:szCs w:val="20"/>
        </w:rPr>
        <w:t>RESPONSE</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410AB71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Часова характеристика лінійного об’єкта в разі поодинокої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ступінчатої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зміни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вхідного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діяння</w:t>
      </w:r>
    </w:p>
    <w:p w14:paraId="531F657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768389B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ПЕРЕХІДНЕ ВІДХИЛЕННЯ НАПРУГИ </w:t>
      </w:r>
    </w:p>
    <w:p w14:paraId="2F46763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(ЧАСТОТИ) –</w:t>
      </w:r>
    </w:p>
    <w:p w14:paraId="3D31DBE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Відхилення напруги (частоти) в перехідному режимі</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r w:rsidRPr="000977F7">
        <w:rPr>
          <w:rFonts w:asciiTheme="majorHAnsi" w:hAnsiTheme="majorHAnsi"/>
          <w:spacing w:val="1"/>
          <w:sz w:val="20"/>
          <w:szCs w:val="20"/>
        </w:rPr>
        <w:t xml:space="preserve"> </w:t>
      </w:r>
      <w:r w:rsidRPr="000977F7">
        <w:rPr>
          <w:rFonts w:asciiTheme="majorHAnsi" w:hAnsiTheme="majorHAnsi"/>
          <w:sz w:val="20"/>
          <w:szCs w:val="20"/>
        </w:rPr>
        <w:t>електропостачальної</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гранично</w:t>
      </w:r>
      <w:r w:rsidRPr="000977F7">
        <w:rPr>
          <w:rFonts w:asciiTheme="majorHAnsi" w:hAnsiTheme="majorHAnsi"/>
          <w:spacing w:val="1"/>
          <w:sz w:val="20"/>
          <w:szCs w:val="20"/>
        </w:rPr>
        <w:t xml:space="preserve"> </w:t>
      </w:r>
      <w:r w:rsidRPr="000977F7">
        <w:rPr>
          <w:rFonts w:asciiTheme="majorHAnsi" w:hAnsiTheme="majorHAnsi"/>
          <w:sz w:val="20"/>
          <w:szCs w:val="20"/>
        </w:rPr>
        <w:t>допустимого значення для усталеного режиму роботи</w:t>
      </w:r>
      <w:r w:rsidRPr="000977F7">
        <w:rPr>
          <w:rFonts w:asciiTheme="majorHAnsi" w:hAnsiTheme="majorHAnsi"/>
          <w:spacing w:val="1"/>
          <w:sz w:val="20"/>
          <w:szCs w:val="20"/>
        </w:rPr>
        <w:t xml:space="preserve"> </w:t>
      </w:r>
      <w:r w:rsidRPr="000977F7">
        <w:rPr>
          <w:rFonts w:asciiTheme="majorHAnsi" w:hAnsiTheme="majorHAnsi"/>
          <w:sz w:val="20"/>
          <w:szCs w:val="20"/>
        </w:rPr>
        <w:t>електропостачальної</w:t>
      </w:r>
      <w:r w:rsidRPr="000977F7">
        <w:rPr>
          <w:rFonts w:asciiTheme="majorHAnsi" w:hAnsiTheme="majorHAnsi"/>
          <w:spacing w:val="-2"/>
          <w:sz w:val="20"/>
          <w:szCs w:val="20"/>
        </w:rPr>
        <w:t xml:space="preserve"> </w:t>
      </w:r>
      <w:r w:rsidRPr="000977F7">
        <w:rPr>
          <w:rFonts w:asciiTheme="majorHAnsi" w:hAnsiTheme="majorHAnsi"/>
          <w:sz w:val="20"/>
          <w:szCs w:val="20"/>
        </w:rPr>
        <w:t>системи</w:t>
      </w:r>
    </w:p>
    <w:p w14:paraId="3CCDB7B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3466</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96</w:t>
      </w:r>
    </w:p>
    <w:p w14:paraId="3B0D7A9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ПЕРЕХІДНИЙ</w:t>
      </w:r>
      <w:r w:rsidRPr="000977F7">
        <w:rPr>
          <w:color w:val="auto"/>
          <w:spacing w:val="-2"/>
          <w:sz w:val="20"/>
          <w:szCs w:val="20"/>
        </w:rPr>
        <w:t xml:space="preserve"> </w:t>
      </w:r>
      <w:r w:rsidRPr="000977F7">
        <w:rPr>
          <w:color w:val="auto"/>
          <w:sz w:val="20"/>
          <w:szCs w:val="20"/>
        </w:rPr>
        <w:t>ВИКИД</w:t>
      </w:r>
      <w:r w:rsidRPr="000977F7">
        <w:rPr>
          <w:color w:val="auto"/>
          <w:spacing w:val="-1"/>
          <w:sz w:val="20"/>
          <w:szCs w:val="20"/>
        </w:rPr>
        <w:t xml:space="preserve"> </w:t>
      </w:r>
      <w:r w:rsidRPr="000977F7">
        <w:rPr>
          <w:color w:val="auto"/>
          <w:sz w:val="20"/>
          <w:szCs w:val="20"/>
        </w:rPr>
        <w:t>–</w:t>
      </w:r>
    </w:p>
    <w:p w14:paraId="0F24B28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TRANSIENT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OVER-SHOOT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0DE2677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Максимальний</w:t>
      </w:r>
      <w:r w:rsidRPr="000977F7">
        <w:rPr>
          <w:rFonts w:asciiTheme="majorHAnsi" w:hAnsiTheme="majorHAnsi"/>
          <w:spacing w:val="1"/>
          <w:sz w:val="20"/>
          <w:szCs w:val="20"/>
        </w:rPr>
        <w:t xml:space="preserve"> </w:t>
      </w:r>
      <w:r w:rsidRPr="000977F7">
        <w:rPr>
          <w:rFonts w:asciiTheme="majorHAnsi" w:hAnsiTheme="majorHAnsi"/>
          <w:sz w:val="20"/>
          <w:szCs w:val="20"/>
        </w:rPr>
        <w:t>відхил</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усталеного значення, визначений згідно з перехідною</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характеристикою у відсотках від усталеного значення</w:t>
      </w:r>
      <w:r w:rsidRPr="000977F7">
        <w:rPr>
          <w:rFonts w:asciiTheme="majorHAnsi" w:hAnsiTheme="majorHAnsi"/>
          <w:spacing w:val="1"/>
          <w:sz w:val="20"/>
          <w:szCs w:val="20"/>
        </w:rPr>
        <w:t xml:space="preserve"> </w:t>
      </w:r>
      <w:r w:rsidRPr="000977F7">
        <w:rPr>
          <w:rFonts w:asciiTheme="majorHAnsi" w:hAnsiTheme="majorHAnsi"/>
          <w:sz w:val="20"/>
          <w:szCs w:val="20"/>
        </w:rPr>
        <w:t>цього параметра</w:t>
      </w:r>
    </w:p>
    <w:p w14:paraId="41A852C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2000</w:t>
      </w:r>
    </w:p>
    <w:p w14:paraId="717CF44F"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i/>
          <w:spacing w:val="1"/>
          <w:sz w:val="20"/>
          <w:szCs w:val="20"/>
        </w:rPr>
        <w:t xml:space="preserve"> </w:t>
      </w:r>
      <w:r w:rsidRPr="000977F7">
        <w:rPr>
          <w:rFonts w:asciiTheme="majorHAnsi" w:hAnsiTheme="majorHAnsi"/>
          <w:b/>
          <w:sz w:val="20"/>
          <w:szCs w:val="20"/>
        </w:rPr>
        <w:t>ПЕРЕХІДНИЙ РЕЖИМ –</w:t>
      </w:r>
    </w:p>
    <w:p w14:paraId="61B56E3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TRANSIENT</w:t>
      </w:r>
      <w:r w:rsidRPr="000977F7">
        <w:rPr>
          <w:rFonts w:asciiTheme="majorHAnsi" w:hAnsiTheme="majorHAnsi"/>
          <w:spacing w:val="2"/>
          <w:sz w:val="20"/>
          <w:szCs w:val="20"/>
        </w:rPr>
        <w:t xml:space="preserve"> </w:t>
      </w:r>
      <w:r w:rsidRPr="000977F7">
        <w:rPr>
          <w:rFonts w:asciiTheme="majorHAnsi" w:hAnsiTheme="majorHAnsi"/>
          <w:sz w:val="20"/>
          <w:szCs w:val="20"/>
        </w:rPr>
        <w:t>MODE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852F79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Функціювання об’єкта протягом переходу від одного</w:t>
      </w:r>
      <w:r w:rsidRPr="000977F7">
        <w:rPr>
          <w:rFonts w:asciiTheme="majorHAnsi" w:hAnsiTheme="majorHAnsi"/>
          <w:spacing w:val="1"/>
          <w:sz w:val="20"/>
          <w:szCs w:val="20"/>
        </w:rPr>
        <w:t xml:space="preserve"> </w:t>
      </w:r>
      <w:r w:rsidRPr="000977F7">
        <w:rPr>
          <w:rFonts w:asciiTheme="majorHAnsi" w:hAnsiTheme="majorHAnsi"/>
          <w:sz w:val="20"/>
          <w:szCs w:val="20"/>
        </w:rPr>
        <w:t>усталеного режиму</w:t>
      </w:r>
      <w:r w:rsidRPr="000977F7">
        <w:rPr>
          <w:rFonts w:asciiTheme="majorHAnsi" w:hAnsiTheme="majorHAnsi"/>
          <w:spacing w:val="-1"/>
          <w:sz w:val="20"/>
          <w:szCs w:val="20"/>
        </w:rPr>
        <w:t xml:space="preserve"> </w:t>
      </w:r>
      <w:r w:rsidRPr="000977F7">
        <w:rPr>
          <w:rFonts w:asciiTheme="majorHAnsi" w:hAnsiTheme="majorHAnsi"/>
          <w:sz w:val="20"/>
          <w:szCs w:val="20"/>
        </w:rPr>
        <w:t>до іншого</w:t>
      </w:r>
    </w:p>
    <w:p w14:paraId="71F16F7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3956</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2000</w:t>
      </w:r>
    </w:p>
    <w:p w14:paraId="564DFBA0"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ПЕРІОД</w:t>
      </w:r>
      <w:r w:rsidRPr="004D2D14">
        <w:rPr>
          <w:rFonts w:asciiTheme="majorHAnsi" w:hAnsiTheme="majorHAnsi"/>
          <w:b/>
          <w:sz w:val="20"/>
          <w:szCs w:val="20"/>
          <w:lang w:val="en-US"/>
        </w:rPr>
        <w:t xml:space="preserve"> </w:t>
      </w:r>
      <w:r w:rsidRPr="000977F7">
        <w:rPr>
          <w:rFonts w:asciiTheme="majorHAnsi" w:hAnsiTheme="majorHAnsi"/>
          <w:b/>
          <w:sz w:val="20"/>
          <w:szCs w:val="20"/>
        </w:rPr>
        <w:t>ВІДБОРУ</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p>
    <w:p w14:paraId="08BB0969"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SAMPLING</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INTERVAL</w:t>
      </w:r>
      <w:r w:rsidRPr="004D2D14">
        <w:rPr>
          <w:rFonts w:asciiTheme="majorHAnsi" w:hAnsiTheme="majorHAnsi"/>
          <w:spacing w:val="-9"/>
          <w:sz w:val="20"/>
          <w:szCs w:val="20"/>
          <w:lang w:val="en-US"/>
        </w:rPr>
        <w:t xml:space="preserve"> </w:t>
      </w:r>
      <w:r w:rsidRPr="004D2D14">
        <w:rPr>
          <w:rFonts w:asciiTheme="majorHAnsi" w:hAnsiTheme="majorHAnsi"/>
          <w:sz w:val="20"/>
          <w:szCs w:val="20"/>
          <w:lang w:val="en-US"/>
        </w:rPr>
        <w:t>–</w:t>
      </w:r>
    </w:p>
    <w:p w14:paraId="0A64C44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Проміжок</w:t>
      </w:r>
      <w:r w:rsidRPr="000977F7">
        <w:rPr>
          <w:rFonts w:asciiTheme="majorHAnsi" w:hAnsiTheme="majorHAnsi"/>
          <w:spacing w:val="1"/>
          <w:sz w:val="20"/>
          <w:szCs w:val="20"/>
        </w:rPr>
        <w:t xml:space="preserve"> </w:t>
      </w:r>
      <w:r w:rsidRPr="000977F7">
        <w:rPr>
          <w:rFonts w:asciiTheme="majorHAnsi" w:hAnsiTheme="majorHAnsi"/>
          <w:sz w:val="20"/>
          <w:szCs w:val="20"/>
        </w:rPr>
        <w:t>часу</w:t>
      </w:r>
      <w:r w:rsidRPr="000977F7">
        <w:rPr>
          <w:rFonts w:asciiTheme="majorHAnsi" w:hAnsiTheme="majorHAnsi"/>
          <w:spacing w:val="1"/>
          <w:sz w:val="20"/>
          <w:szCs w:val="20"/>
        </w:rPr>
        <w:t xml:space="preserve"> </w:t>
      </w:r>
      <w:r w:rsidRPr="000977F7">
        <w:rPr>
          <w:rFonts w:asciiTheme="majorHAnsi" w:hAnsiTheme="majorHAnsi"/>
          <w:sz w:val="20"/>
          <w:szCs w:val="20"/>
        </w:rPr>
        <w:t>між</w:t>
      </w:r>
      <w:r w:rsidRPr="000977F7">
        <w:rPr>
          <w:rFonts w:asciiTheme="majorHAnsi" w:hAnsiTheme="majorHAnsi"/>
          <w:spacing w:val="1"/>
          <w:sz w:val="20"/>
          <w:szCs w:val="20"/>
        </w:rPr>
        <w:t xml:space="preserve"> </w:t>
      </w:r>
      <w:r w:rsidRPr="000977F7">
        <w:rPr>
          <w:rFonts w:asciiTheme="majorHAnsi" w:hAnsiTheme="majorHAnsi"/>
          <w:sz w:val="20"/>
          <w:szCs w:val="20"/>
        </w:rPr>
        <w:t>моментами</w:t>
      </w:r>
      <w:r w:rsidRPr="000977F7">
        <w:rPr>
          <w:rFonts w:asciiTheme="majorHAnsi" w:hAnsiTheme="majorHAnsi"/>
          <w:spacing w:val="1"/>
          <w:sz w:val="20"/>
          <w:szCs w:val="20"/>
        </w:rPr>
        <w:t xml:space="preserve"> </w:t>
      </w:r>
      <w:r w:rsidRPr="000977F7">
        <w:rPr>
          <w:rFonts w:asciiTheme="majorHAnsi" w:hAnsiTheme="majorHAnsi"/>
          <w:sz w:val="20"/>
          <w:szCs w:val="20"/>
        </w:rPr>
        <w:t>відбору</w:t>
      </w:r>
      <w:r w:rsidRPr="000977F7">
        <w:rPr>
          <w:rFonts w:asciiTheme="majorHAnsi" w:hAnsiTheme="majorHAnsi"/>
          <w:spacing w:val="1"/>
          <w:sz w:val="20"/>
          <w:szCs w:val="20"/>
        </w:rPr>
        <w:t xml:space="preserve"> </w:t>
      </w:r>
      <w:r w:rsidRPr="000977F7">
        <w:rPr>
          <w:rFonts w:asciiTheme="majorHAnsi" w:hAnsiTheme="majorHAnsi"/>
          <w:sz w:val="20"/>
          <w:szCs w:val="20"/>
        </w:rPr>
        <w:t>суміжних</w:t>
      </w:r>
      <w:r w:rsidRPr="000977F7">
        <w:rPr>
          <w:rFonts w:asciiTheme="majorHAnsi" w:hAnsiTheme="majorHAnsi"/>
          <w:spacing w:val="1"/>
          <w:sz w:val="20"/>
          <w:szCs w:val="20"/>
        </w:rPr>
        <w:t xml:space="preserve"> </w:t>
      </w:r>
      <w:r w:rsidRPr="000977F7">
        <w:rPr>
          <w:rFonts w:asciiTheme="majorHAnsi" w:hAnsiTheme="majorHAnsi"/>
          <w:sz w:val="20"/>
          <w:szCs w:val="20"/>
        </w:rPr>
        <w:t>вибірок</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проб</w:t>
      </w:r>
    </w:p>
    <w:p w14:paraId="56CACE6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ПЕРІОД</w:t>
      </w:r>
      <w:r w:rsidRPr="000977F7">
        <w:rPr>
          <w:color w:val="auto"/>
          <w:spacing w:val="-5"/>
          <w:sz w:val="20"/>
          <w:szCs w:val="20"/>
        </w:rPr>
        <w:t xml:space="preserve"> </w:t>
      </w:r>
      <w:r w:rsidRPr="000977F7">
        <w:rPr>
          <w:color w:val="auto"/>
          <w:sz w:val="20"/>
          <w:szCs w:val="20"/>
        </w:rPr>
        <w:t>ЗАКІНЧЕННЯ</w:t>
      </w:r>
      <w:r w:rsidRPr="000977F7">
        <w:rPr>
          <w:color w:val="auto"/>
          <w:spacing w:val="-5"/>
          <w:sz w:val="20"/>
          <w:szCs w:val="20"/>
        </w:rPr>
        <w:t xml:space="preserve"> </w:t>
      </w:r>
      <w:r w:rsidRPr="000977F7">
        <w:rPr>
          <w:color w:val="auto"/>
          <w:sz w:val="20"/>
          <w:szCs w:val="20"/>
        </w:rPr>
        <w:t>РЕСУРСУ</w:t>
      </w:r>
      <w:r w:rsidRPr="000977F7">
        <w:rPr>
          <w:color w:val="auto"/>
          <w:spacing w:val="-1"/>
          <w:sz w:val="20"/>
          <w:szCs w:val="20"/>
        </w:rPr>
        <w:t xml:space="preserve"> </w:t>
      </w:r>
      <w:r w:rsidRPr="000977F7">
        <w:rPr>
          <w:color w:val="auto"/>
          <w:sz w:val="20"/>
          <w:szCs w:val="20"/>
        </w:rPr>
        <w:t>–</w:t>
      </w:r>
    </w:p>
    <w:p w14:paraId="3D5D33D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Такий заключний можливий період, протягом якого</w:t>
      </w:r>
      <w:r w:rsidRPr="000977F7">
        <w:rPr>
          <w:rFonts w:asciiTheme="majorHAnsi" w:hAnsiTheme="majorHAnsi"/>
          <w:spacing w:val="1"/>
          <w:sz w:val="20"/>
          <w:szCs w:val="20"/>
        </w:rPr>
        <w:t xml:space="preserve"> </w:t>
      </w:r>
      <w:r w:rsidRPr="000977F7">
        <w:rPr>
          <w:rFonts w:asciiTheme="majorHAnsi" w:hAnsiTheme="majorHAnsi"/>
          <w:sz w:val="20"/>
          <w:szCs w:val="20"/>
        </w:rPr>
        <w:t>середня</w:t>
      </w:r>
      <w:r w:rsidRPr="000977F7">
        <w:rPr>
          <w:rFonts w:asciiTheme="majorHAnsi" w:hAnsiTheme="majorHAnsi"/>
          <w:spacing w:val="-2"/>
          <w:sz w:val="20"/>
          <w:szCs w:val="20"/>
        </w:rPr>
        <w:t xml:space="preserve"> </w:t>
      </w:r>
      <w:r w:rsidRPr="000977F7">
        <w:rPr>
          <w:rFonts w:asciiTheme="majorHAnsi" w:hAnsiTheme="majorHAnsi"/>
          <w:sz w:val="20"/>
          <w:szCs w:val="20"/>
        </w:rPr>
        <w:t>інтенсивність</w:t>
      </w:r>
      <w:r w:rsidRPr="000977F7">
        <w:rPr>
          <w:rFonts w:asciiTheme="majorHAnsi" w:hAnsiTheme="majorHAnsi"/>
          <w:spacing w:val="-1"/>
          <w:sz w:val="20"/>
          <w:szCs w:val="20"/>
        </w:rPr>
        <w:t xml:space="preserve"> </w:t>
      </w:r>
      <w:r w:rsidRPr="000977F7">
        <w:rPr>
          <w:rFonts w:asciiTheme="majorHAnsi" w:hAnsiTheme="majorHAnsi"/>
          <w:sz w:val="20"/>
          <w:szCs w:val="20"/>
        </w:rPr>
        <w:t>відмов</w:t>
      </w:r>
      <w:r w:rsidRPr="000977F7">
        <w:rPr>
          <w:rFonts w:asciiTheme="majorHAnsi" w:hAnsiTheme="majorHAnsi"/>
          <w:spacing w:val="-2"/>
          <w:sz w:val="20"/>
          <w:szCs w:val="20"/>
        </w:rPr>
        <w:t xml:space="preserve"> </w:t>
      </w:r>
      <w:r w:rsidRPr="000977F7">
        <w:rPr>
          <w:rFonts w:asciiTheme="majorHAnsi" w:hAnsiTheme="majorHAnsi"/>
          <w:sz w:val="20"/>
          <w:szCs w:val="20"/>
        </w:rPr>
        <w:t>збільшується</w:t>
      </w:r>
    </w:p>
    <w:p w14:paraId="3B9B751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ПЕРІОД</w:t>
      </w:r>
      <w:r w:rsidRPr="000977F7">
        <w:rPr>
          <w:color w:val="auto"/>
          <w:spacing w:val="-4"/>
          <w:sz w:val="20"/>
          <w:szCs w:val="20"/>
        </w:rPr>
        <w:t xml:space="preserve"> </w:t>
      </w:r>
      <w:r w:rsidRPr="000977F7">
        <w:rPr>
          <w:color w:val="auto"/>
          <w:sz w:val="20"/>
          <w:szCs w:val="20"/>
        </w:rPr>
        <w:t>ЗНОСУ</w:t>
      </w:r>
      <w:r w:rsidRPr="000977F7">
        <w:rPr>
          <w:color w:val="auto"/>
          <w:spacing w:val="-1"/>
          <w:sz w:val="20"/>
          <w:szCs w:val="20"/>
        </w:rPr>
        <w:t xml:space="preserve"> </w:t>
      </w:r>
      <w:r w:rsidRPr="000977F7">
        <w:rPr>
          <w:color w:val="auto"/>
          <w:sz w:val="20"/>
          <w:szCs w:val="20"/>
        </w:rPr>
        <w:t>–</w:t>
      </w:r>
    </w:p>
    <w:p w14:paraId="55E791A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WEAROUTFAILURE</w:t>
      </w:r>
      <w:r w:rsidRPr="000977F7">
        <w:rPr>
          <w:rFonts w:asciiTheme="majorHAnsi" w:hAnsiTheme="majorHAnsi"/>
          <w:spacing w:val="47"/>
          <w:sz w:val="20"/>
          <w:szCs w:val="20"/>
        </w:rPr>
        <w:t xml:space="preserve"> </w:t>
      </w:r>
      <w:r w:rsidRPr="000977F7">
        <w:rPr>
          <w:rFonts w:asciiTheme="majorHAnsi" w:hAnsiTheme="majorHAnsi"/>
          <w:sz w:val="20"/>
          <w:szCs w:val="20"/>
        </w:rPr>
        <w:t>PERIOD</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FCA8F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Такий можливий період, на протязі якого інтенсивність відмов різко збільшується в порівнянні з попереднім періодом</w:t>
      </w:r>
    </w:p>
    <w:p w14:paraId="08F5BC0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ПЕРІОД ЕКСПЛУАТАЦІЇ</w:t>
      </w:r>
      <w:r w:rsidRPr="000977F7">
        <w:rPr>
          <w:color w:val="auto"/>
          <w:spacing w:val="-5"/>
          <w:sz w:val="20"/>
          <w:szCs w:val="20"/>
        </w:rPr>
        <w:t xml:space="preserve"> </w:t>
      </w:r>
      <w:r w:rsidRPr="000977F7">
        <w:rPr>
          <w:color w:val="auto"/>
          <w:sz w:val="20"/>
          <w:szCs w:val="20"/>
        </w:rPr>
        <w:t>–</w:t>
      </w:r>
    </w:p>
    <w:p w14:paraId="563C3C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Відрізок часу, протягом якого забезпечується стабільне</w:t>
      </w:r>
      <w:r w:rsidRPr="000977F7">
        <w:rPr>
          <w:rFonts w:asciiTheme="majorHAnsi" w:hAnsiTheme="majorHAnsi"/>
          <w:spacing w:val="-2"/>
          <w:sz w:val="20"/>
          <w:szCs w:val="20"/>
        </w:rPr>
        <w:t xml:space="preserve"> </w:t>
      </w:r>
      <w:r w:rsidRPr="000977F7">
        <w:rPr>
          <w:rFonts w:asciiTheme="majorHAnsi" w:hAnsiTheme="majorHAnsi"/>
          <w:sz w:val="20"/>
          <w:szCs w:val="20"/>
        </w:rPr>
        <w:t>функціювування</w:t>
      </w:r>
      <w:r w:rsidRPr="000977F7">
        <w:rPr>
          <w:rFonts w:asciiTheme="majorHAnsi" w:hAnsiTheme="majorHAnsi"/>
          <w:spacing w:val="1"/>
          <w:sz w:val="20"/>
          <w:szCs w:val="20"/>
        </w:rPr>
        <w:t xml:space="preserve"> </w:t>
      </w:r>
      <w:r w:rsidRPr="000977F7">
        <w:rPr>
          <w:rFonts w:asciiTheme="majorHAnsi" w:hAnsiTheme="majorHAnsi"/>
          <w:sz w:val="20"/>
          <w:szCs w:val="20"/>
        </w:rPr>
        <w:t>усталеного виробництва</w:t>
      </w:r>
    </w:p>
    <w:p w14:paraId="5FE5202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40FDDA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ПЕРІОД</w:t>
      </w:r>
      <w:r w:rsidRPr="000977F7">
        <w:rPr>
          <w:color w:val="auto"/>
          <w:spacing w:val="-4"/>
          <w:sz w:val="20"/>
          <w:szCs w:val="20"/>
        </w:rPr>
        <w:t xml:space="preserve"> </w:t>
      </w:r>
      <w:r w:rsidRPr="000977F7">
        <w:rPr>
          <w:color w:val="auto"/>
          <w:sz w:val="20"/>
          <w:szCs w:val="20"/>
        </w:rPr>
        <w:t>ОСВОЄННЯ</w:t>
      </w:r>
      <w:r w:rsidRPr="000977F7">
        <w:rPr>
          <w:color w:val="auto"/>
          <w:spacing w:val="48"/>
          <w:sz w:val="20"/>
          <w:szCs w:val="20"/>
        </w:rPr>
        <w:t xml:space="preserve"> </w:t>
      </w:r>
      <w:r w:rsidRPr="000977F7">
        <w:rPr>
          <w:color w:val="auto"/>
          <w:sz w:val="20"/>
          <w:szCs w:val="20"/>
        </w:rPr>
        <w:t>–</w:t>
      </w:r>
    </w:p>
    <w:p w14:paraId="1FB7F75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Відрізок часу від уведення в дію об’єкта до отримання</w:t>
      </w:r>
      <w:r w:rsidRPr="000977F7">
        <w:rPr>
          <w:rFonts w:asciiTheme="majorHAnsi" w:hAnsiTheme="majorHAnsi"/>
          <w:spacing w:val="-47"/>
          <w:sz w:val="20"/>
          <w:szCs w:val="20"/>
        </w:rPr>
        <w:t xml:space="preserve"> </w:t>
      </w:r>
      <w:r w:rsidRPr="000977F7">
        <w:rPr>
          <w:rFonts w:asciiTheme="majorHAnsi" w:hAnsiTheme="majorHAnsi"/>
          <w:sz w:val="20"/>
          <w:szCs w:val="20"/>
        </w:rPr>
        <w:t>сталих передбачених проектом обсягів випуску продукції за умови досягнення проектного рівня основних</w:t>
      </w:r>
      <w:r w:rsidRPr="000977F7">
        <w:rPr>
          <w:rFonts w:asciiTheme="majorHAnsi" w:hAnsiTheme="majorHAnsi"/>
          <w:spacing w:val="-2"/>
          <w:sz w:val="20"/>
          <w:szCs w:val="20"/>
        </w:rPr>
        <w:t xml:space="preserve"> </w:t>
      </w:r>
      <w:r w:rsidRPr="000977F7">
        <w:rPr>
          <w:rFonts w:asciiTheme="majorHAnsi" w:hAnsiTheme="majorHAnsi"/>
          <w:sz w:val="20"/>
          <w:szCs w:val="20"/>
        </w:rPr>
        <w:t>техніко-економічних</w:t>
      </w:r>
      <w:r w:rsidRPr="000977F7">
        <w:rPr>
          <w:rFonts w:asciiTheme="majorHAnsi" w:hAnsiTheme="majorHAnsi"/>
          <w:spacing w:val="-1"/>
          <w:sz w:val="20"/>
          <w:szCs w:val="20"/>
        </w:rPr>
        <w:t xml:space="preserve"> </w:t>
      </w:r>
      <w:r w:rsidRPr="000977F7">
        <w:rPr>
          <w:rFonts w:asciiTheme="majorHAnsi" w:hAnsiTheme="majorHAnsi"/>
          <w:sz w:val="20"/>
          <w:szCs w:val="20"/>
        </w:rPr>
        <w:t>показників</w:t>
      </w:r>
    </w:p>
    <w:p w14:paraId="6F986EC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5DF1F5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ПЕРІОД</w:t>
      </w:r>
      <w:r w:rsidRPr="000977F7">
        <w:rPr>
          <w:color w:val="auto"/>
          <w:spacing w:val="-3"/>
          <w:sz w:val="20"/>
          <w:szCs w:val="20"/>
        </w:rPr>
        <w:t xml:space="preserve"> </w:t>
      </w:r>
      <w:r w:rsidRPr="000977F7">
        <w:rPr>
          <w:color w:val="auto"/>
          <w:sz w:val="20"/>
          <w:szCs w:val="20"/>
        </w:rPr>
        <w:t>ПУСКУ</w:t>
      </w:r>
      <w:r w:rsidRPr="000977F7">
        <w:rPr>
          <w:color w:val="auto"/>
          <w:spacing w:val="-1"/>
          <w:sz w:val="20"/>
          <w:szCs w:val="20"/>
        </w:rPr>
        <w:t xml:space="preserve"> </w:t>
      </w:r>
      <w:r w:rsidRPr="000977F7">
        <w:rPr>
          <w:color w:val="auto"/>
          <w:sz w:val="20"/>
          <w:szCs w:val="20"/>
        </w:rPr>
        <w:t>–</w:t>
      </w:r>
    </w:p>
    <w:p w14:paraId="1BC20C1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Відрізок</w:t>
      </w:r>
      <w:r w:rsidRPr="000977F7">
        <w:rPr>
          <w:rFonts w:asciiTheme="majorHAnsi" w:hAnsiTheme="majorHAnsi"/>
          <w:spacing w:val="18"/>
          <w:sz w:val="20"/>
          <w:szCs w:val="20"/>
        </w:rPr>
        <w:t xml:space="preserve"> </w:t>
      </w:r>
      <w:r w:rsidRPr="000977F7">
        <w:rPr>
          <w:rFonts w:asciiTheme="majorHAnsi" w:hAnsiTheme="majorHAnsi"/>
          <w:sz w:val="20"/>
          <w:szCs w:val="20"/>
        </w:rPr>
        <w:t>часу,</w:t>
      </w:r>
      <w:r w:rsidRPr="000977F7">
        <w:rPr>
          <w:rFonts w:asciiTheme="majorHAnsi" w:hAnsiTheme="majorHAnsi"/>
          <w:spacing w:val="23"/>
          <w:sz w:val="20"/>
          <w:szCs w:val="20"/>
        </w:rPr>
        <w:t xml:space="preserve"> </w:t>
      </w:r>
      <w:r w:rsidRPr="000977F7">
        <w:rPr>
          <w:rFonts w:asciiTheme="majorHAnsi" w:hAnsiTheme="majorHAnsi"/>
          <w:sz w:val="20"/>
          <w:szCs w:val="20"/>
        </w:rPr>
        <w:t>протягом</w:t>
      </w:r>
      <w:r w:rsidRPr="000977F7">
        <w:rPr>
          <w:rFonts w:asciiTheme="majorHAnsi" w:hAnsiTheme="majorHAnsi"/>
          <w:spacing w:val="21"/>
          <w:sz w:val="20"/>
          <w:szCs w:val="20"/>
        </w:rPr>
        <w:t xml:space="preserve"> </w:t>
      </w:r>
      <w:r w:rsidRPr="000977F7">
        <w:rPr>
          <w:rFonts w:asciiTheme="majorHAnsi" w:hAnsiTheme="majorHAnsi"/>
          <w:sz w:val="20"/>
          <w:szCs w:val="20"/>
        </w:rPr>
        <w:t>якого</w:t>
      </w:r>
      <w:r w:rsidRPr="000977F7">
        <w:rPr>
          <w:rFonts w:asciiTheme="majorHAnsi" w:hAnsiTheme="majorHAnsi"/>
          <w:spacing w:val="21"/>
          <w:sz w:val="20"/>
          <w:szCs w:val="20"/>
        </w:rPr>
        <w:t xml:space="preserve"> </w:t>
      </w:r>
      <w:r w:rsidRPr="000977F7">
        <w:rPr>
          <w:rFonts w:asciiTheme="majorHAnsi" w:hAnsiTheme="majorHAnsi"/>
          <w:sz w:val="20"/>
          <w:szCs w:val="20"/>
        </w:rPr>
        <w:t>вводять</w:t>
      </w:r>
      <w:r w:rsidRPr="000977F7">
        <w:rPr>
          <w:rFonts w:asciiTheme="majorHAnsi" w:hAnsiTheme="majorHAnsi"/>
          <w:spacing w:val="23"/>
          <w:sz w:val="20"/>
          <w:szCs w:val="20"/>
        </w:rPr>
        <w:t xml:space="preserve"> </w:t>
      </w:r>
      <w:r w:rsidRPr="000977F7">
        <w:rPr>
          <w:rFonts w:asciiTheme="majorHAnsi" w:hAnsiTheme="majorHAnsi"/>
          <w:sz w:val="20"/>
          <w:szCs w:val="20"/>
        </w:rPr>
        <w:t>у</w:t>
      </w:r>
      <w:r w:rsidRPr="000977F7">
        <w:rPr>
          <w:rFonts w:asciiTheme="majorHAnsi" w:hAnsiTheme="majorHAnsi"/>
          <w:spacing w:val="21"/>
          <w:sz w:val="20"/>
          <w:szCs w:val="20"/>
        </w:rPr>
        <w:t xml:space="preserve"> </w:t>
      </w:r>
      <w:r w:rsidRPr="000977F7">
        <w:rPr>
          <w:rFonts w:asciiTheme="majorHAnsi" w:hAnsiTheme="majorHAnsi"/>
          <w:sz w:val="20"/>
          <w:szCs w:val="20"/>
        </w:rPr>
        <w:t>дію</w:t>
      </w:r>
      <w:r w:rsidRPr="000977F7">
        <w:rPr>
          <w:rFonts w:asciiTheme="majorHAnsi" w:hAnsiTheme="majorHAnsi"/>
          <w:spacing w:val="22"/>
          <w:sz w:val="20"/>
          <w:szCs w:val="20"/>
        </w:rPr>
        <w:t xml:space="preserve"> </w:t>
      </w:r>
      <w:r w:rsidRPr="000977F7">
        <w:rPr>
          <w:rFonts w:asciiTheme="majorHAnsi" w:hAnsiTheme="majorHAnsi"/>
          <w:sz w:val="20"/>
          <w:szCs w:val="20"/>
        </w:rPr>
        <w:t>закінчений</w:t>
      </w:r>
      <w:r w:rsidRPr="000977F7">
        <w:rPr>
          <w:rFonts w:asciiTheme="majorHAnsi" w:hAnsiTheme="majorHAnsi"/>
          <w:spacing w:val="44"/>
          <w:sz w:val="20"/>
          <w:szCs w:val="20"/>
        </w:rPr>
        <w:t xml:space="preserve"> </w:t>
      </w:r>
      <w:r w:rsidRPr="000977F7">
        <w:rPr>
          <w:rFonts w:asciiTheme="majorHAnsi" w:hAnsiTheme="majorHAnsi"/>
          <w:sz w:val="20"/>
          <w:szCs w:val="20"/>
        </w:rPr>
        <w:t>об’єкт,</w:t>
      </w:r>
      <w:r w:rsidRPr="000977F7">
        <w:rPr>
          <w:rFonts w:asciiTheme="majorHAnsi" w:hAnsiTheme="majorHAnsi"/>
          <w:spacing w:val="46"/>
          <w:sz w:val="20"/>
          <w:szCs w:val="20"/>
        </w:rPr>
        <w:t xml:space="preserve"> </w:t>
      </w:r>
      <w:r w:rsidRPr="000977F7">
        <w:rPr>
          <w:rFonts w:asciiTheme="majorHAnsi" w:hAnsiTheme="majorHAnsi"/>
          <w:sz w:val="20"/>
          <w:szCs w:val="20"/>
        </w:rPr>
        <w:t>комплектують</w:t>
      </w:r>
      <w:r w:rsidRPr="000977F7">
        <w:rPr>
          <w:rFonts w:asciiTheme="majorHAnsi" w:hAnsiTheme="majorHAnsi"/>
          <w:spacing w:val="48"/>
          <w:sz w:val="20"/>
          <w:szCs w:val="20"/>
        </w:rPr>
        <w:t xml:space="preserve"> </w:t>
      </w:r>
      <w:r w:rsidRPr="000977F7">
        <w:rPr>
          <w:rFonts w:asciiTheme="majorHAnsi" w:hAnsiTheme="majorHAnsi"/>
          <w:sz w:val="20"/>
          <w:szCs w:val="20"/>
        </w:rPr>
        <w:t>штат</w:t>
      </w:r>
      <w:r w:rsidRPr="000977F7">
        <w:rPr>
          <w:rFonts w:asciiTheme="majorHAnsi" w:hAnsiTheme="majorHAnsi"/>
          <w:spacing w:val="45"/>
          <w:sz w:val="20"/>
          <w:szCs w:val="20"/>
        </w:rPr>
        <w:t xml:space="preserve"> </w:t>
      </w:r>
      <w:r w:rsidRPr="000977F7">
        <w:rPr>
          <w:rFonts w:asciiTheme="majorHAnsi" w:hAnsiTheme="majorHAnsi"/>
          <w:sz w:val="20"/>
          <w:szCs w:val="20"/>
        </w:rPr>
        <w:t>працівників,</w:t>
      </w:r>
      <w:r w:rsidRPr="000977F7">
        <w:rPr>
          <w:rFonts w:asciiTheme="majorHAnsi" w:hAnsiTheme="majorHAnsi"/>
          <w:spacing w:val="45"/>
          <w:sz w:val="20"/>
          <w:szCs w:val="20"/>
        </w:rPr>
        <w:t xml:space="preserve"> </w:t>
      </w:r>
      <w:r w:rsidRPr="000977F7">
        <w:rPr>
          <w:rFonts w:asciiTheme="majorHAnsi" w:hAnsiTheme="majorHAnsi"/>
          <w:sz w:val="20"/>
          <w:szCs w:val="20"/>
        </w:rPr>
        <w:t>проводять випробування та налагодження устаткування</w:t>
      </w:r>
    </w:p>
    <w:p w14:paraId="7E55E29B"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FE34CD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ПЕРІОД СТАЛОГО ПАРАМЕТРУ ПОТОКУ </w:t>
      </w:r>
    </w:p>
    <w:p w14:paraId="0E08C48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ВІ</w:t>
      </w:r>
      <w:r w:rsidRPr="000977F7">
        <w:rPr>
          <w:color w:val="auto"/>
          <w:spacing w:val="-47"/>
          <w:sz w:val="20"/>
          <w:szCs w:val="20"/>
        </w:rPr>
        <w:t xml:space="preserve"> </w:t>
      </w:r>
      <w:r w:rsidRPr="000977F7">
        <w:rPr>
          <w:color w:val="auto"/>
          <w:sz w:val="20"/>
          <w:szCs w:val="20"/>
        </w:rPr>
        <w:t>ДМОВ</w:t>
      </w:r>
      <w:r w:rsidRPr="000977F7">
        <w:rPr>
          <w:color w:val="auto"/>
          <w:spacing w:val="1"/>
          <w:sz w:val="20"/>
          <w:szCs w:val="20"/>
        </w:rPr>
        <w:t xml:space="preserve"> </w:t>
      </w:r>
      <w:r w:rsidRPr="000977F7">
        <w:rPr>
          <w:color w:val="auto"/>
          <w:sz w:val="20"/>
          <w:szCs w:val="20"/>
        </w:rPr>
        <w:t>–</w:t>
      </w:r>
    </w:p>
    <w:p w14:paraId="01684DC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CONSTANT</w:t>
      </w:r>
      <w:r w:rsidRPr="004D2D14">
        <w:rPr>
          <w:rFonts w:asciiTheme="majorHAnsi" w:hAnsiTheme="majorHAnsi"/>
          <w:sz w:val="20"/>
          <w:szCs w:val="20"/>
          <w:lang w:val="uk-UA"/>
        </w:rPr>
        <w:t xml:space="preserve"> </w:t>
      </w:r>
      <w:r w:rsidRPr="000977F7">
        <w:rPr>
          <w:rFonts w:asciiTheme="majorHAnsi" w:hAnsiTheme="majorHAnsi"/>
          <w:sz w:val="20"/>
          <w:szCs w:val="20"/>
        </w:rPr>
        <w:t>FAILURE</w:t>
      </w:r>
      <w:r w:rsidRPr="004D2D14">
        <w:rPr>
          <w:rFonts w:asciiTheme="majorHAnsi" w:hAnsiTheme="majorHAnsi"/>
          <w:spacing w:val="-2"/>
          <w:sz w:val="20"/>
          <w:szCs w:val="20"/>
          <w:lang w:val="uk-UA"/>
        </w:rPr>
        <w:t xml:space="preserve"> </w:t>
      </w:r>
      <w:r w:rsidRPr="000977F7">
        <w:rPr>
          <w:rFonts w:asciiTheme="majorHAnsi" w:hAnsiTheme="majorHAnsi"/>
          <w:sz w:val="20"/>
          <w:szCs w:val="20"/>
        </w:rPr>
        <w:t>INTENSITY</w:t>
      </w:r>
      <w:r w:rsidRPr="004D2D14">
        <w:rPr>
          <w:rFonts w:asciiTheme="majorHAnsi" w:hAnsiTheme="majorHAnsi"/>
          <w:spacing w:val="44"/>
          <w:sz w:val="20"/>
          <w:szCs w:val="20"/>
          <w:lang w:val="uk-UA"/>
        </w:rPr>
        <w:t xml:space="preserve"> </w:t>
      </w:r>
      <w:r w:rsidRPr="000977F7">
        <w:rPr>
          <w:rFonts w:asciiTheme="majorHAnsi" w:hAnsiTheme="majorHAnsi"/>
          <w:sz w:val="20"/>
          <w:szCs w:val="20"/>
        </w:rPr>
        <w:t>PERIOD</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197BAF5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Період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терміну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служби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відновлюваного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об’єкту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приблизно сталим параметром потоку</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відмов</w:t>
      </w:r>
    </w:p>
    <w:p w14:paraId="3903833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6CDA0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Період постійності параметра потоку відмов відновлюваного об’єкта системи настає, коли в об’єкті будуть</w:t>
      </w:r>
      <w:r w:rsidRPr="000977F7">
        <w:rPr>
          <w:rFonts w:asciiTheme="majorHAnsi" w:hAnsiTheme="majorHAnsi"/>
          <w:spacing w:val="1"/>
          <w:sz w:val="20"/>
          <w:szCs w:val="20"/>
        </w:rPr>
        <w:t xml:space="preserve"> </w:t>
      </w:r>
      <w:r w:rsidRPr="000977F7">
        <w:rPr>
          <w:rFonts w:asciiTheme="majorHAnsi" w:hAnsiTheme="majorHAnsi"/>
          <w:sz w:val="20"/>
          <w:szCs w:val="20"/>
        </w:rPr>
        <w:t>замінені</w:t>
      </w:r>
      <w:r w:rsidRPr="000977F7">
        <w:rPr>
          <w:rFonts w:asciiTheme="majorHAnsi" w:hAnsiTheme="majorHAnsi"/>
          <w:spacing w:val="1"/>
          <w:sz w:val="20"/>
          <w:szCs w:val="20"/>
        </w:rPr>
        <w:t xml:space="preserve"> </w:t>
      </w:r>
      <w:r w:rsidRPr="000977F7">
        <w:rPr>
          <w:rFonts w:asciiTheme="majorHAnsi" w:hAnsiTheme="majorHAnsi"/>
          <w:sz w:val="20"/>
          <w:szCs w:val="20"/>
        </w:rPr>
        <w:t>хоч</w:t>
      </w:r>
      <w:r w:rsidRPr="000977F7">
        <w:rPr>
          <w:rFonts w:asciiTheme="majorHAnsi" w:hAnsiTheme="majorHAnsi"/>
          <w:spacing w:val="1"/>
          <w:sz w:val="20"/>
          <w:szCs w:val="20"/>
        </w:rPr>
        <w:t xml:space="preserve"> </w:t>
      </w:r>
      <w:r w:rsidRPr="000977F7">
        <w:rPr>
          <w:rFonts w:asciiTheme="majorHAnsi" w:hAnsiTheme="majorHAnsi"/>
          <w:sz w:val="20"/>
          <w:szCs w:val="20"/>
        </w:rPr>
        <w:t>один</w:t>
      </w:r>
      <w:r w:rsidRPr="000977F7">
        <w:rPr>
          <w:rFonts w:asciiTheme="majorHAnsi" w:hAnsiTheme="majorHAnsi"/>
          <w:spacing w:val="1"/>
          <w:sz w:val="20"/>
          <w:szCs w:val="20"/>
        </w:rPr>
        <w:t xml:space="preserve"> </w:t>
      </w:r>
      <w:r w:rsidRPr="000977F7">
        <w:rPr>
          <w:rFonts w:asciiTheme="majorHAnsi" w:hAnsiTheme="majorHAnsi"/>
          <w:sz w:val="20"/>
          <w:szCs w:val="20"/>
        </w:rPr>
        <w:t>раз</w:t>
      </w:r>
      <w:r w:rsidRPr="000977F7">
        <w:rPr>
          <w:rFonts w:asciiTheme="majorHAnsi" w:hAnsiTheme="majorHAnsi"/>
          <w:spacing w:val="1"/>
          <w:sz w:val="20"/>
          <w:szCs w:val="20"/>
        </w:rPr>
        <w:t xml:space="preserve"> </w:t>
      </w:r>
      <w:r w:rsidRPr="000977F7">
        <w:rPr>
          <w:rFonts w:asciiTheme="majorHAnsi" w:hAnsiTheme="majorHAnsi"/>
          <w:sz w:val="20"/>
          <w:szCs w:val="20"/>
        </w:rPr>
        <w:t>практично</w:t>
      </w:r>
      <w:r w:rsidRPr="000977F7">
        <w:rPr>
          <w:rFonts w:asciiTheme="majorHAnsi" w:hAnsiTheme="majorHAnsi"/>
          <w:spacing w:val="1"/>
          <w:sz w:val="20"/>
          <w:szCs w:val="20"/>
        </w:rPr>
        <w:t xml:space="preserve"> </w:t>
      </w:r>
      <w:r w:rsidRPr="000977F7">
        <w:rPr>
          <w:rFonts w:asciiTheme="majorHAnsi" w:hAnsiTheme="majorHAnsi"/>
          <w:sz w:val="20"/>
          <w:szCs w:val="20"/>
        </w:rPr>
        <w:t>всі</w:t>
      </w:r>
      <w:r w:rsidRPr="000977F7">
        <w:rPr>
          <w:rFonts w:asciiTheme="majorHAnsi" w:hAnsiTheme="majorHAnsi"/>
          <w:spacing w:val="1"/>
          <w:sz w:val="20"/>
          <w:szCs w:val="20"/>
        </w:rPr>
        <w:t xml:space="preserve"> </w:t>
      </w:r>
      <w:r w:rsidRPr="000977F7">
        <w:rPr>
          <w:rFonts w:asciiTheme="majorHAnsi" w:hAnsiTheme="majorHAnsi"/>
          <w:sz w:val="20"/>
          <w:szCs w:val="20"/>
        </w:rPr>
        <w:t>складові</w:t>
      </w:r>
      <w:r w:rsidRPr="000977F7">
        <w:rPr>
          <w:rFonts w:asciiTheme="majorHAnsi" w:hAnsiTheme="majorHAnsi"/>
          <w:spacing w:val="1"/>
          <w:sz w:val="20"/>
          <w:szCs w:val="20"/>
        </w:rPr>
        <w:t xml:space="preserve"> </w:t>
      </w:r>
      <w:r w:rsidRPr="000977F7">
        <w:rPr>
          <w:rFonts w:asciiTheme="majorHAnsi" w:hAnsiTheme="majorHAnsi"/>
          <w:sz w:val="20"/>
          <w:szCs w:val="20"/>
        </w:rPr>
        <w:t>елементи</w:t>
      </w:r>
      <w:r w:rsidRPr="000977F7">
        <w:rPr>
          <w:rFonts w:asciiTheme="majorHAnsi" w:hAnsiTheme="majorHAnsi"/>
          <w:spacing w:val="-2"/>
          <w:sz w:val="20"/>
          <w:szCs w:val="20"/>
        </w:rPr>
        <w:t xml:space="preserve"> </w:t>
      </w:r>
      <w:r w:rsidRPr="000977F7">
        <w:rPr>
          <w:rFonts w:asciiTheme="majorHAnsi" w:hAnsiTheme="majorHAnsi"/>
          <w:sz w:val="20"/>
          <w:szCs w:val="20"/>
        </w:rPr>
        <w:t>на аналогічні</w:t>
      </w:r>
      <w:r w:rsidRPr="000977F7">
        <w:rPr>
          <w:rFonts w:asciiTheme="majorHAnsi" w:hAnsiTheme="majorHAnsi"/>
          <w:spacing w:val="-1"/>
          <w:sz w:val="20"/>
          <w:szCs w:val="20"/>
        </w:rPr>
        <w:t xml:space="preserve"> </w:t>
      </w:r>
      <w:r w:rsidRPr="000977F7">
        <w:rPr>
          <w:rFonts w:asciiTheme="majorHAnsi" w:hAnsiTheme="majorHAnsi"/>
          <w:sz w:val="20"/>
          <w:szCs w:val="20"/>
        </w:rPr>
        <w:t>(нові)</w:t>
      </w:r>
    </w:p>
    <w:p w14:paraId="299AA861"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2D3A514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ПЕРІОД</w:t>
      </w:r>
      <w:r w:rsidRPr="000977F7">
        <w:rPr>
          <w:color w:val="auto"/>
          <w:spacing w:val="-4"/>
          <w:sz w:val="20"/>
          <w:szCs w:val="20"/>
        </w:rPr>
        <w:t xml:space="preserve"> </w:t>
      </w:r>
      <w:r w:rsidRPr="000977F7">
        <w:rPr>
          <w:color w:val="auto"/>
          <w:sz w:val="20"/>
          <w:szCs w:val="20"/>
        </w:rPr>
        <w:t>ПРИРОБУ</w:t>
      </w:r>
      <w:r w:rsidRPr="000977F7">
        <w:rPr>
          <w:color w:val="auto"/>
          <w:spacing w:val="-1"/>
          <w:sz w:val="20"/>
          <w:szCs w:val="20"/>
        </w:rPr>
        <w:t xml:space="preserve"> </w:t>
      </w:r>
      <w:r w:rsidRPr="000977F7">
        <w:rPr>
          <w:color w:val="auto"/>
          <w:sz w:val="20"/>
          <w:szCs w:val="20"/>
        </w:rPr>
        <w:t>–</w:t>
      </w:r>
    </w:p>
    <w:p w14:paraId="314DDC6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EARLY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PERIOD –</w:t>
      </w:r>
    </w:p>
    <w:p w14:paraId="130E193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Можливий початковий період наробітку об’єкта, протягом якого спостерігається стала тенденція до зменшення параметра потоку відмов, що зумовлено наявністю поступовим виявленням та усуненням прихованих</w:t>
      </w:r>
      <w:r w:rsidRPr="000977F7">
        <w:rPr>
          <w:rFonts w:asciiTheme="majorHAnsi" w:hAnsiTheme="majorHAnsi"/>
          <w:spacing w:val="-2"/>
          <w:sz w:val="20"/>
          <w:szCs w:val="20"/>
        </w:rPr>
        <w:t xml:space="preserve"> </w:t>
      </w:r>
      <w:r w:rsidRPr="000977F7">
        <w:rPr>
          <w:rFonts w:asciiTheme="majorHAnsi" w:hAnsiTheme="majorHAnsi"/>
          <w:sz w:val="20"/>
          <w:szCs w:val="20"/>
        </w:rPr>
        <w:t>дефектів</w:t>
      </w:r>
    </w:p>
    <w:p w14:paraId="1EE92D3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72795F17"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ПЕРІОД</w:t>
      </w:r>
      <w:r w:rsidRPr="004D2D14">
        <w:rPr>
          <w:rFonts w:asciiTheme="majorHAnsi" w:hAnsiTheme="majorHAnsi"/>
          <w:b/>
          <w:spacing w:val="-4"/>
          <w:sz w:val="20"/>
          <w:szCs w:val="20"/>
          <w:lang w:val="en-US"/>
        </w:rPr>
        <w:t xml:space="preserve"> </w:t>
      </w:r>
      <w:r w:rsidRPr="000977F7">
        <w:rPr>
          <w:rFonts w:asciiTheme="majorHAnsi" w:hAnsiTheme="majorHAnsi"/>
          <w:b/>
          <w:sz w:val="20"/>
          <w:szCs w:val="20"/>
        </w:rPr>
        <w:t>ЦИКЛУ</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b/>
          <w:i/>
          <w:sz w:val="20"/>
          <w:szCs w:val="20"/>
        </w:rPr>
        <w:t>Т</w:t>
      </w:r>
      <w:r w:rsidRPr="004D2D14">
        <w:rPr>
          <w:rFonts w:asciiTheme="majorHAnsi" w:hAnsiTheme="majorHAnsi"/>
          <w:b/>
          <w:i/>
          <w:spacing w:val="-1"/>
          <w:sz w:val="20"/>
          <w:szCs w:val="20"/>
          <w:lang w:val="en-US"/>
        </w:rPr>
        <w:t xml:space="preserve"> </w:t>
      </w:r>
      <w:r w:rsidRPr="004D2D14">
        <w:rPr>
          <w:rFonts w:asciiTheme="majorHAnsi" w:hAnsiTheme="majorHAnsi"/>
          <w:sz w:val="20"/>
          <w:szCs w:val="20"/>
          <w:lang w:val="en-US"/>
        </w:rPr>
        <w:t>—</w:t>
      </w:r>
    </w:p>
    <w:p w14:paraId="3541DEB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PERIOD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CYCLE;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CYCLE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3B09883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Найменший відрізок часу, через який повторюються</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2"/>
          <w:sz w:val="20"/>
          <w:szCs w:val="20"/>
        </w:rPr>
        <w:t xml:space="preserve"> </w:t>
      </w:r>
      <w:r w:rsidRPr="000977F7">
        <w:rPr>
          <w:rFonts w:asciiTheme="majorHAnsi" w:hAnsiTheme="majorHAnsi"/>
          <w:sz w:val="20"/>
          <w:szCs w:val="20"/>
        </w:rPr>
        <w:t>напруження</w:t>
      </w:r>
      <w:r w:rsidRPr="000977F7">
        <w:rPr>
          <w:rFonts w:asciiTheme="majorHAnsi" w:hAnsiTheme="majorHAnsi"/>
          <w:spacing w:val="-1"/>
          <w:sz w:val="20"/>
          <w:szCs w:val="20"/>
        </w:rPr>
        <w:t xml:space="preserve"> </w:t>
      </w:r>
      <w:r w:rsidRPr="000977F7">
        <w:rPr>
          <w:rFonts w:asciiTheme="majorHAnsi" w:hAnsiTheme="majorHAnsi"/>
          <w:sz w:val="20"/>
          <w:szCs w:val="20"/>
        </w:rPr>
        <w:t>(деформації)</w:t>
      </w:r>
    </w:p>
    <w:p w14:paraId="77BB843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FCD055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ПЕРІОДИЧНА ПОВІРКА ЗАСОБІВ ВИМІРЮВАЛЬНОЇ</w:t>
      </w:r>
      <w:r w:rsidRPr="000977F7">
        <w:rPr>
          <w:color w:val="auto"/>
          <w:spacing w:val="-2"/>
          <w:sz w:val="20"/>
          <w:szCs w:val="20"/>
        </w:rPr>
        <w:t xml:space="preserve"> </w:t>
      </w:r>
      <w:r w:rsidRPr="000977F7">
        <w:rPr>
          <w:color w:val="auto"/>
          <w:sz w:val="20"/>
          <w:szCs w:val="20"/>
        </w:rPr>
        <w:t>ТЕХНІКИ</w:t>
      </w:r>
      <w:r w:rsidRPr="000977F7">
        <w:rPr>
          <w:color w:val="auto"/>
          <w:spacing w:val="2"/>
          <w:sz w:val="20"/>
          <w:szCs w:val="20"/>
        </w:rPr>
        <w:t xml:space="preserve"> </w:t>
      </w:r>
      <w:r w:rsidRPr="000977F7">
        <w:rPr>
          <w:color w:val="auto"/>
          <w:sz w:val="20"/>
          <w:szCs w:val="20"/>
        </w:rPr>
        <w:t>–</w:t>
      </w:r>
    </w:p>
    <w:p w14:paraId="27525A6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PERIODIC</w:t>
      </w:r>
      <w:r w:rsidRPr="004D2D14">
        <w:rPr>
          <w:rFonts w:asciiTheme="majorHAnsi" w:hAnsiTheme="majorHAnsi"/>
          <w:spacing w:val="-4"/>
          <w:sz w:val="20"/>
          <w:szCs w:val="20"/>
          <w:lang w:val="uk-UA"/>
        </w:rPr>
        <w:t xml:space="preserve"> </w:t>
      </w:r>
      <w:r w:rsidRPr="000977F7">
        <w:rPr>
          <w:rFonts w:asciiTheme="majorHAnsi" w:hAnsiTheme="majorHAnsi"/>
          <w:sz w:val="20"/>
          <w:szCs w:val="20"/>
        </w:rPr>
        <w:t>VERIFICATION</w:t>
      </w:r>
      <w:r w:rsidRPr="004D2D14">
        <w:rPr>
          <w:rFonts w:asciiTheme="majorHAnsi" w:hAnsiTheme="majorHAnsi"/>
          <w:sz w:val="20"/>
          <w:szCs w:val="20"/>
          <w:lang w:val="uk-UA"/>
        </w:rPr>
        <w:t xml:space="preserve"> –</w:t>
      </w:r>
    </w:p>
    <w:p w14:paraId="1D62269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Повірка, що виконується протягом експлуатації засобів вимірювальної техніки через встановлений проміжок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часу</w:t>
      </w:r>
    </w:p>
    <w:p w14:paraId="597013AD"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2681</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3BAFA7F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ПЕРІОДИЧНЕ</w:t>
      </w:r>
      <w:r w:rsidRPr="000977F7">
        <w:rPr>
          <w:color w:val="auto"/>
          <w:spacing w:val="-4"/>
          <w:sz w:val="20"/>
          <w:szCs w:val="20"/>
        </w:rPr>
        <w:t xml:space="preserve"> </w:t>
      </w:r>
      <w:r w:rsidRPr="000977F7">
        <w:rPr>
          <w:color w:val="auto"/>
          <w:sz w:val="20"/>
          <w:szCs w:val="20"/>
        </w:rPr>
        <w:t>ДІЯННЯ</w:t>
      </w:r>
      <w:r w:rsidRPr="000977F7">
        <w:rPr>
          <w:color w:val="auto"/>
          <w:spacing w:val="-2"/>
          <w:sz w:val="20"/>
          <w:szCs w:val="20"/>
        </w:rPr>
        <w:t xml:space="preserve"> </w:t>
      </w:r>
      <w:r w:rsidRPr="000977F7">
        <w:rPr>
          <w:color w:val="auto"/>
          <w:sz w:val="20"/>
          <w:szCs w:val="20"/>
        </w:rPr>
        <w:t>–</w:t>
      </w:r>
    </w:p>
    <w:p w14:paraId="5CCC947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PERIODIC</w:t>
      </w:r>
      <w:r w:rsidRPr="004D2D14">
        <w:rPr>
          <w:rFonts w:asciiTheme="majorHAnsi" w:hAnsiTheme="majorHAnsi"/>
          <w:spacing w:val="-3"/>
          <w:sz w:val="20"/>
          <w:szCs w:val="20"/>
          <w:lang w:val="uk-UA"/>
        </w:rPr>
        <w:t xml:space="preserve"> </w:t>
      </w:r>
      <w:r w:rsidRPr="000977F7">
        <w:rPr>
          <w:rFonts w:asciiTheme="majorHAnsi" w:hAnsiTheme="majorHAnsi"/>
          <w:sz w:val="20"/>
          <w:szCs w:val="20"/>
        </w:rPr>
        <w:t>ACTION</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2F676C5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Діяння, змінювання основного параметру якого 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2"/>
          <w:sz w:val="20"/>
          <w:szCs w:val="20"/>
        </w:rPr>
        <w:t xml:space="preserve"> </w:t>
      </w:r>
      <w:r w:rsidRPr="000977F7">
        <w:rPr>
          <w:rFonts w:asciiTheme="majorHAnsi" w:hAnsiTheme="majorHAnsi"/>
          <w:sz w:val="20"/>
          <w:szCs w:val="20"/>
        </w:rPr>
        <w:t>описано періодичною</w:t>
      </w:r>
      <w:r w:rsidRPr="000977F7">
        <w:rPr>
          <w:rFonts w:asciiTheme="majorHAnsi" w:hAnsiTheme="majorHAnsi"/>
          <w:spacing w:val="1"/>
          <w:sz w:val="20"/>
          <w:szCs w:val="20"/>
        </w:rPr>
        <w:t xml:space="preserve"> </w:t>
      </w:r>
      <w:r w:rsidRPr="000977F7">
        <w:rPr>
          <w:rFonts w:asciiTheme="majorHAnsi" w:hAnsiTheme="majorHAnsi"/>
          <w:sz w:val="20"/>
          <w:szCs w:val="20"/>
        </w:rPr>
        <w:t>функцією часу</w:t>
      </w:r>
    </w:p>
    <w:p w14:paraId="2DB550A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1FE2FB5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ПЕРІОДИЧНЕ</w:t>
      </w:r>
      <w:r w:rsidRPr="000977F7">
        <w:rPr>
          <w:color w:val="auto"/>
          <w:spacing w:val="-5"/>
          <w:sz w:val="20"/>
          <w:szCs w:val="20"/>
        </w:rPr>
        <w:t xml:space="preserve"> </w:t>
      </w:r>
      <w:r w:rsidRPr="000977F7">
        <w:rPr>
          <w:color w:val="auto"/>
          <w:sz w:val="20"/>
          <w:szCs w:val="20"/>
        </w:rPr>
        <w:t>НАВАНТАЖУВАННЯ</w:t>
      </w:r>
      <w:r w:rsidRPr="000977F7">
        <w:rPr>
          <w:color w:val="auto"/>
          <w:spacing w:val="-2"/>
          <w:sz w:val="20"/>
          <w:szCs w:val="20"/>
        </w:rPr>
        <w:t xml:space="preserve"> </w:t>
      </w:r>
      <w:r w:rsidRPr="000977F7">
        <w:rPr>
          <w:color w:val="auto"/>
          <w:sz w:val="20"/>
          <w:szCs w:val="20"/>
        </w:rPr>
        <w:t>–</w:t>
      </w:r>
    </w:p>
    <w:p w14:paraId="61D124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CYCLIC</w:t>
      </w:r>
      <w:r w:rsidRPr="000977F7">
        <w:rPr>
          <w:rFonts w:asciiTheme="majorHAnsi" w:hAnsiTheme="majorHAnsi"/>
          <w:spacing w:val="-4"/>
          <w:sz w:val="20"/>
          <w:szCs w:val="20"/>
        </w:rPr>
        <w:t xml:space="preserve"> </w:t>
      </w:r>
      <w:r w:rsidRPr="000977F7">
        <w:rPr>
          <w:rFonts w:asciiTheme="majorHAnsi" w:hAnsiTheme="majorHAnsi"/>
          <w:sz w:val="20"/>
          <w:szCs w:val="20"/>
        </w:rPr>
        <w:t>LOADING</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F60F2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Навантажування,</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величина</w:t>
      </w:r>
      <w:r w:rsidRPr="000977F7">
        <w:rPr>
          <w:rFonts w:asciiTheme="majorHAnsi" w:hAnsiTheme="majorHAnsi"/>
          <w:spacing w:val="1"/>
          <w:sz w:val="20"/>
          <w:szCs w:val="20"/>
        </w:rPr>
        <w:t xml:space="preserve"> </w:t>
      </w:r>
      <w:r w:rsidRPr="000977F7">
        <w:rPr>
          <w:rFonts w:asciiTheme="majorHAnsi" w:hAnsiTheme="majorHAnsi"/>
          <w:sz w:val="20"/>
          <w:szCs w:val="20"/>
        </w:rPr>
        <w:t>навантаження</w:t>
      </w:r>
      <w:r w:rsidRPr="000977F7">
        <w:rPr>
          <w:rFonts w:asciiTheme="majorHAnsi" w:hAnsiTheme="majorHAnsi"/>
          <w:spacing w:val="1"/>
          <w:sz w:val="20"/>
          <w:szCs w:val="20"/>
        </w:rPr>
        <w:t xml:space="preserve"> </w:t>
      </w:r>
      <w:r w:rsidRPr="000977F7">
        <w:rPr>
          <w:rFonts w:asciiTheme="majorHAnsi" w:hAnsiTheme="majorHAnsi"/>
          <w:sz w:val="20"/>
          <w:szCs w:val="20"/>
        </w:rPr>
        <w:t>повторюється</w:t>
      </w:r>
      <w:r w:rsidRPr="000977F7">
        <w:rPr>
          <w:rFonts w:asciiTheme="majorHAnsi" w:hAnsiTheme="majorHAnsi"/>
          <w:spacing w:val="-2"/>
          <w:sz w:val="20"/>
          <w:szCs w:val="20"/>
        </w:rPr>
        <w:t xml:space="preserve"> </w:t>
      </w:r>
      <w:r w:rsidRPr="000977F7">
        <w:rPr>
          <w:rFonts w:asciiTheme="majorHAnsi" w:hAnsiTheme="majorHAnsi"/>
          <w:sz w:val="20"/>
          <w:szCs w:val="20"/>
        </w:rPr>
        <w:t>через</w:t>
      </w:r>
      <w:r w:rsidRPr="000977F7">
        <w:rPr>
          <w:rFonts w:asciiTheme="majorHAnsi" w:hAnsiTheme="majorHAnsi"/>
          <w:spacing w:val="-1"/>
          <w:sz w:val="20"/>
          <w:szCs w:val="20"/>
        </w:rPr>
        <w:t xml:space="preserve"> </w:t>
      </w:r>
      <w:r w:rsidRPr="000977F7">
        <w:rPr>
          <w:rFonts w:asciiTheme="majorHAnsi" w:hAnsiTheme="majorHAnsi"/>
          <w:sz w:val="20"/>
          <w:szCs w:val="20"/>
        </w:rPr>
        <w:t>однакові</w:t>
      </w:r>
      <w:r w:rsidRPr="000977F7">
        <w:rPr>
          <w:rFonts w:asciiTheme="majorHAnsi" w:hAnsiTheme="majorHAnsi"/>
          <w:spacing w:val="-2"/>
          <w:sz w:val="20"/>
          <w:szCs w:val="20"/>
        </w:rPr>
        <w:t xml:space="preserve"> </w:t>
      </w:r>
      <w:r w:rsidRPr="000977F7">
        <w:rPr>
          <w:rFonts w:asciiTheme="majorHAnsi" w:hAnsiTheme="majorHAnsi"/>
          <w:sz w:val="20"/>
          <w:szCs w:val="20"/>
        </w:rPr>
        <w:t>проміжки</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354B66B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2444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28AF477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ПЕРІОДИЧНЕ</w:t>
      </w:r>
      <w:r w:rsidRPr="000977F7">
        <w:rPr>
          <w:color w:val="auto"/>
          <w:spacing w:val="-5"/>
          <w:sz w:val="20"/>
          <w:szCs w:val="20"/>
        </w:rPr>
        <w:t xml:space="preserve"> </w:t>
      </w:r>
      <w:r w:rsidRPr="000977F7">
        <w:rPr>
          <w:color w:val="auto"/>
          <w:sz w:val="20"/>
          <w:szCs w:val="20"/>
        </w:rPr>
        <w:t>ОБСЛУГОВУВАННЯ</w:t>
      </w:r>
      <w:r w:rsidRPr="000977F7">
        <w:rPr>
          <w:color w:val="auto"/>
          <w:spacing w:val="-1"/>
          <w:sz w:val="20"/>
          <w:szCs w:val="20"/>
        </w:rPr>
        <w:t xml:space="preserve"> </w:t>
      </w:r>
      <w:r w:rsidRPr="000977F7">
        <w:rPr>
          <w:color w:val="auto"/>
          <w:sz w:val="20"/>
          <w:szCs w:val="20"/>
        </w:rPr>
        <w:t>–</w:t>
      </w:r>
    </w:p>
    <w:p w14:paraId="6755EF7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SHEDULED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MAINTENANCE –</w:t>
      </w:r>
    </w:p>
    <w:p w14:paraId="66D12B8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Обслуговування, яке виконується через задані інтервали часу відповідно до встановленого часового графіка</w:t>
      </w:r>
    </w:p>
    <w:p w14:paraId="0180D9AE"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ISO/IEC 2382:2017</w:t>
      </w:r>
    </w:p>
    <w:p w14:paraId="472B9BB0"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ПЕРІОДИЧНИЙ</w:t>
      </w:r>
      <w:r w:rsidRPr="000977F7">
        <w:rPr>
          <w:rFonts w:asciiTheme="majorHAnsi" w:hAnsiTheme="majorHAnsi"/>
          <w:b/>
          <w:spacing w:val="1"/>
          <w:sz w:val="20"/>
          <w:szCs w:val="20"/>
        </w:rPr>
        <w:t xml:space="preserve"> </w:t>
      </w:r>
      <w:r w:rsidRPr="000977F7">
        <w:rPr>
          <w:rFonts w:asciiTheme="majorHAnsi" w:hAnsiTheme="majorHAnsi"/>
          <w:b/>
          <w:sz w:val="20"/>
          <w:szCs w:val="20"/>
        </w:rPr>
        <w:t>КОНТРОЛЬ –</w:t>
      </w:r>
    </w:p>
    <w:p w14:paraId="6F00809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PERIODICAL</w:t>
      </w:r>
      <w:r w:rsidRPr="000977F7">
        <w:rPr>
          <w:rFonts w:asciiTheme="majorHAnsi" w:hAnsiTheme="majorHAnsi"/>
          <w:spacing w:val="46"/>
          <w:sz w:val="20"/>
          <w:szCs w:val="20"/>
        </w:rPr>
        <w:t xml:space="preserve"> </w:t>
      </w:r>
      <w:r w:rsidRPr="000977F7">
        <w:rPr>
          <w:rFonts w:asciiTheme="majorHAnsi" w:hAnsiTheme="majorHAnsi"/>
          <w:sz w:val="20"/>
          <w:szCs w:val="20"/>
        </w:rPr>
        <w:t>INSPECTION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0152C5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 за якого надходження інформації про контрольовані параметри відбувається через встановлені</w:t>
      </w:r>
      <w:r w:rsidRPr="000977F7">
        <w:rPr>
          <w:rFonts w:asciiTheme="majorHAnsi" w:hAnsiTheme="majorHAnsi"/>
          <w:spacing w:val="1"/>
          <w:sz w:val="20"/>
          <w:szCs w:val="20"/>
        </w:rPr>
        <w:t xml:space="preserve"> </w:t>
      </w:r>
      <w:r w:rsidRPr="000977F7">
        <w:rPr>
          <w:rFonts w:asciiTheme="majorHAnsi" w:hAnsiTheme="majorHAnsi"/>
          <w:sz w:val="20"/>
          <w:szCs w:val="20"/>
        </w:rPr>
        <w:t>інтервали</w:t>
      </w:r>
      <w:r w:rsidRPr="000977F7">
        <w:rPr>
          <w:rFonts w:asciiTheme="majorHAnsi" w:hAnsiTheme="majorHAnsi"/>
          <w:spacing w:val="-2"/>
          <w:sz w:val="20"/>
          <w:szCs w:val="20"/>
        </w:rPr>
        <w:t xml:space="preserve"> </w:t>
      </w:r>
      <w:r w:rsidRPr="000977F7">
        <w:rPr>
          <w:rFonts w:asciiTheme="majorHAnsi" w:hAnsiTheme="majorHAnsi"/>
          <w:sz w:val="20"/>
          <w:szCs w:val="20"/>
        </w:rPr>
        <w:t>часу</w:t>
      </w:r>
    </w:p>
    <w:p w14:paraId="5F70926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w:t>
      </w:r>
      <w:r w:rsidRPr="000977F7">
        <w:rPr>
          <w:rFonts w:asciiTheme="majorHAnsi" w:hAnsiTheme="majorHAnsi"/>
          <w:i/>
          <w:spacing w:val="-1"/>
          <w:sz w:val="20"/>
          <w:szCs w:val="20"/>
        </w:rPr>
        <w:t xml:space="preserve"> </w:t>
      </w:r>
      <w:r w:rsidRPr="000977F7">
        <w:rPr>
          <w:rFonts w:asciiTheme="majorHAnsi" w:hAnsiTheme="majorHAnsi"/>
          <w:i/>
          <w:sz w:val="20"/>
          <w:szCs w:val="20"/>
        </w:rPr>
        <w:t>95;</w:t>
      </w:r>
      <w:r w:rsidRPr="000977F7">
        <w:rPr>
          <w:rFonts w:asciiTheme="majorHAnsi" w:hAnsiTheme="majorHAnsi"/>
          <w:i/>
          <w:spacing w:val="-2"/>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CAD426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177" w:name="_Hlk104018461"/>
      <w:r w:rsidRPr="000977F7">
        <w:rPr>
          <w:color w:val="auto"/>
          <w:sz w:val="20"/>
          <w:szCs w:val="20"/>
        </w:rPr>
        <w:t>ПЕРІОДИЧНІ</w:t>
      </w:r>
      <w:r w:rsidRPr="000977F7">
        <w:rPr>
          <w:color w:val="auto"/>
          <w:spacing w:val="-5"/>
          <w:sz w:val="20"/>
          <w:szCs w:val="20"/>
        </w:rPr>
        <w:t xml:space="preserve"> </w:t>
      </w:r>
      <w:r w:rsidRPr="000977F7">
        <w:rPr>
          <w:color w:val="auto"/>
          <w:sz w:val="20"/>
          <w:szCs w:val="20"/>
        </w:rPr>
        <w:t>ВИПРОБУВАННЯ</w:t>
      </w:r>
      <w:r w:rsidRPr="000977F7">
        <w:rPr>
          <w:color w:val="auto"/>
          <w:spacing w:val="-2"/>
          <w:sz w:val="20"/>
          <w:szCs w:val="20"/>
        </w:rPr>
        <w:t xml:space="preserve"> </w:t>
      </w:r>
      <w:r w:rsidRPr="000977F7">
        <w:rPr>
          <w:color w:val="auto"/>
          <w:sz w:val="20"/>
          <w:szCs w:val="20"/>
        </w:rPr>
        <w:t>–</w:t>
      </w:r>
    </w:p>
    <w:p w14:paraId="1DD9253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PERIODICAL</w:t>
      </w:r>
      <w:r w:rsidRPr="000977F7">
        <w:rPr>
          <w:rFonts w:asciiTheme="majorHAnsi" w:hAnsiTheme="majorHAnsi"/>
          <w:spacing w:val="-4"/>
          <w:sz w:val="20"/>
          <w:szCs w:val="20"/>
        </w:rPr>
        <w:t xml:space="preserve"> </w:t>
      </w:r>
      <w:r w:rsidRPr="000977F7">
        <w:rPr>
          <w:rFonts w:asciiTheme="majorHAnsi" w:hAnsiTheme="majorHAnsi"/>
          <w:sz w:val="20"/>
          <w:szCs w:val="20"/>
        </w:rPr>
        <w:t>TEST</w:t>
      </w:r>
      <w:r w:rsidRPr="000977F7">
        <w:rPr>
          <w:rFonts w:asciiTheme="majorHAnsi" w:hAnsiTheme="majorHAnsi"/>
          <w:spacing w:val="1"/>
          <w:sz w:val="20"/>
          <w:szCs w:val="20"/>
        </w:rPr>
        <w:t xml:space="preserve"> </w:t>
      </w:r>
      <w:r w:rsidRPr="000977F7">
        <w:rPr>
          <w:rFonts w:asciiTheme="majorHAnsi" w:hAnsiTheme="majorHAnsi"/>
          <w:sz w:val="20"/>
          <w:szCs w:val="20"/>
        </w:rPr>
        <w:t>–</w:t>
      </w:r>
    </w:p>
    <w:bookmarkEnd w:id="177"/>
    <w:p w14:paraId="2E7560A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Контрольні випробування виготовлюваної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що проводяться в обсягах та в терміни, які установлені</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нормативними</w:t>
      </w:r>
      <w:r w:rsidRPr="000977F7">
        <w:rPr>
          <w:rFonts w:asciiTheme="majorHAnsi" w:hAnsiTheme="majorHAnsi"/>
          <w:spacing w:val="1"/>
          <w:sz w:val="20"/>
          <w:szCs w:val="20"/>
        </w:rPr>
        <w:t xml:space="preserve"> </w:t>
      </w:r>
      <w:r w:rsidRPr="000977F7">
        <w:rPr>
          <w:rFonts w:asciiTheme="majorHAnsi" w:hAnsiTheme="majorHAnsi"/>
          <w:sz w:val="20"/>
          <w:szCs w:val="20"/>
        </w:rPr>
        <w:t>документами,</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метою</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стабільності якості продукції і можливості</w:t>
      </w:r>
      <w:r w:rsidRPr="000977F7">
        <w:rPr>
          <w:rFonts w:asciiTheme="majorHAnsi" w:hAnsiTheme="majorHAnsi"/>
          <w:spacing w:val="1"/>
          <w:sz w:val="20"/>
          <w:szCs w:val="20"/>
        </w:rPr>
        <w:t xml:space="preserve"> </w:t>
      </w:r>
      <w:r w:rsidRPr="000977F7">
        <w:rPr>
          <w:rFonts w:asciiTheme="majorHAnsi" w:hAnsiTheme="majorHAnsi"/>
          <w:sz w:val="20"/>
          <w:szCs w:val="20"/>
        </w:rPr>
        <w:t>продовження</w:t>
      </w:r>
      <w:r w:rsidRPr="000977F7">
        <w:rPr>
          <w:rFonts w:asciiTheme="majorHAnsi" w:hAnsiTheme="majorHAnsi"/>
          <w:spacing w:val="-2"/>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виготовлення</w:t>
      </w:r>
    </w:p>
    <w:p w14:paraId="6809F74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1604E5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ПЕРІОДИЧНІСТЬ ТЕХНІЧНОГО </w:t>
      </w:r>
    </w:p>
    <w:p w14:paraId="46AB0B0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ОБСЛУГОВУ</w:t>
      </w:r>
      <w:r w:rsidRPr="000977F7">
        <w:rPr>
          <w:color w:val="auto"/>
          <w:spacing w:val="-47"/>
          <w:sz w:val="20"/>
          <w:szCs w:val="20"/>
        </w:rPr>
        <w:t xml:space="preserve"> </w:t>
      </w:r>
      <w:r w:rsidRPr="000977F7">
        <w:rPr>
          <w:color w:val="auto"/>
          <w:sz w:val="20"/>
          <w:szCs w:val="20"/>
        </w:rPr>
        <w:t>ВАННЯ –</w:t>
      </w:r>
    </w:p>
    <w:p w14:paraId="2AD2925D"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Інтервал часу між даним видом 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наступним таким самим видом або іншим складнішим</w:t>
      </w:r>
      <w:r w:rsidRPr="000977F7">
        <w:rPr>
          <w:rFonts w:asciiTheme="majorHAnsi" w:hAnsiTheme="majorHAnsi"/>
          <w:spacing w:val="-47"/>
          <w:sz w:val="20"/>
          <w:szCs w:val="20"/>
        </w:rPr>
        <w:t xml:space="preserve"> </w:t>
      </w:r>
    </w:p>
    <w:p w14:paraId="6B45C190"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2960</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6E1FB1F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ПЕРШИЙ</w:t>
      </w:r>
      <w:r w:rsidRPr="000977F7">
        <w:rPr>
          <w:color w:val="auto"/>
          <w:spacing w:val="-2"/>
          <w:sz w:val="20"/>
          <w:szCs w:val="20"/>
        </w:rPr>
        <w:t xml:space="preserve"> </w:t>
      </w:r>
      <w:r w:rsidRPr="000977F7">
        <w:rPr>
          <w:color w:val="auto"/>
          <w:sz w:val="20"/>
          <w:szCs w:val="20"/>
        </w:rPr>
        <w:t>ПРОЕКТ</w:t>
      </w:r>
      <w:r w:rsidRPr="000977F7">
        <w:rPr>
          <w:color w:val="auto"/>
          <w:spacing w:val="44"/>
          <w:sz w:val="20"/>
          <w:szCs w:val="20"/>
        </w:rPr>
        <w:t xml:space="preserve"> </w:t>
      </w:r>
      <w:r w:rsidRPr="000977F7">
        <w:rPr>
          <w:color w:val="auto"/>
          <w:sz w:val="20"/>
          <w:szCs w:val="20"/>
        </w:rPr>
        <w:t>СТАНДАРТУ-</w:t>
      </w:r>
    </w:p>
    <w:p w14:paraId="50FB25E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FIRST DRAFT 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STANDARD –</w:t>
      </w:r>
    </w:p>
    <w:p w14:paraId="4DEABCC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Проект стандарту,</w:t>
      </w:r>
      <w:r w:rsidRPr="000977F7">
        <w:rPr>
          <w:rFonts w:asciiTheme="majorHAnsi" w:hAnsiTheme="majorHAnsi"/>
          <w:spacing w:val="1"/>
          <w:sz w:val="20"/>
          <w:szCs w:val="20"/>
        </w:rPr>
        <w:t xml:space="preserve"> </w:t>
      </w:r>
      <w:r w:rsidRPr="000977F7">
        <w:rPr>
          <w:rFonts w:asciiTheme="majorHAnsi" w:hAnsiTheme="majorHAnsi"/>
          <w:sz w:val="20"/>
          <w:szCs w:val="20"/>
        </w:rPr>
        <w:t>що містить авторську концепцію</w:t>
      </w:r>
      <w:r w:rsidRPr="000977F7">
        <w:rPr>
          <w:rFonts w:asciiTheme="majorHAnsi" w:hAnsiTheme="majorHAnsi"/>
          <w:spacing w:val="1"/>
          <w:sz w:val="20"/>
          <w:szCs w:val="20"/>
        </w:rPr>
        <w:t xml:space="preserve"> </w:t>
      </w:r>
      <w:r w:rsidRPr="000977F7">
        <w:rPr>
          <w:rFonts w:asciiTheme="majorHAnsi" w:hAnsiTheme="majorHAnsi"/>
          <w:sz w:val="20"/>
          <w:szCs w:val="20"/>
        </w:rPr>
        <w:t>вимог</w:t>
      </w:r>
      <w:r w:rsidRPr="000977F7">
        <w:rPr>
          <w:rFonts w:asciiTheme="majorHAnsi" w:hAnsiTheme="majorHAnsi"/>
          <w:spacing w:val="-2"/>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об’єкту</w:t>
      </w:r>
      <w:r w:rsidRPr="000977F7">
        <w:rPr>
          <w:rFonts w:asciiTheme="majorHAnsi" w:hAnsiTheme="majorHAnsi"/>
          <w:spacing w:val="-4"/>
          <w:sz w:val="20"/>
          <w:szCs w:val="20"/>
        </w:rPr>
        <w:t xml:space="preserve"> </w:t>
      </w:r>
      <w:r w:rsidRPr="000977F7">
        <w:rPr>
          <w:rFonts w:asciiTheme="majorHAnsi" w:hAnsiTheme="majorHAnsi"/>
          <w:sz w:val="20"/>
          <w:szCs w:val="20"/>
        </w:rPr>
        <w:t>стандартизації</w:t>
      </w:r>
    </w:p>
    <w:p w14:paraId="4159FE2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ПЕТЛЯ</w:t>
      </w:r>
      <w:r w:rsidRPr="000977F7">
        <w:rPr>
          <w:color w:val="auto"/>
          <w:spacing w:val="-3"/>
          <w:sz w:val="20"/>
          <w:szCs w:val="20"/>
        </w:rPr>
        <w:t xml:space="preserve"> </w:t>
      </w:r>
      <w:r w:rsidRPr="000977F7">
        <w:rPr>
          <w:color w:val="auto"/>
          <w:sz w:val="20"/>
          <w:szCs w:val="20"/>
        </w:rPr>
        <w:t>ГІСТЕРЕЗИСУ</w:t>
      </w:r>
      <w:r w:rsidRPr="000977F7">
        <w:rPr>
          <w:color w:val="auto"/>
          <w:spacing w:val="-2"/>
          <w:sz w:val="20"/>
          <w:szCs w:val="20"/>
        </w:rPr>
        <w:t xml:space="preserve"> </w:t>
      </w:r>
      <w:r w:rsidRPr="000977F7">
        <w:rPr>
          <w:color w:val="auto"/>
          <w:sz w:val="20"/>
          <w:szCs w:val="20"/>
        </w:rPr>
        <w:t>–</w:t>
      </w:r>
    </w:p>
    <w:p w14:paraId="34781DC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HYSTERESIS</w:t>
      </w:r>
      <w:r w:rsidRPr="000977F7">
        <w:rPr>
          <w:rFonts w:asciiTheme="majorHAnsi" w:hAnsiTheme="majorHAnsi"/>
          <w:spacing w:val="-2"/>
          <w:sz w:val="20"/>
          <w:szCs w:val="20"/>
        </w:rPr>
        <w:t xml:space="preserve"> </w:t>
      </w:r>
      <w:r w:rsidRPr="000977F7">
        <w:rPr>
          <w:rFonts w:asciiTheme="majorHAnsi" w:hAnsiTheme="majorHAnsi"/>
          <w:sz w:val="20"/>
          <w:szCs w:val="20"/>
        </w:rPr>
        <w:t>LOOP</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F1AF53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Графік, що характеризує залежність між значеннями</w:t>
      </w:r>
      <w:r w:rsidRPr="000977F7">
        <w:rPr>
          <w:rFonts w:asciiTheme="majorHAnsi" w:hAnsiTheme="majorHAnsi"/>
          <w:spacing w:val="1"/>
          <w:sz w:val="20"/>
          <w:szCs w:val="20"/>
        </w:rPr>
        <w:t xml:space="preserve"> </w:t>
      </w:r>
      <w:r w:rsidRPr="000977F7">
        <w:rPr>
          <w:rFonts w:asciiTheme="majorHAnsi" w:hAnsiTheme="majorHAnsi"/>
          <w:sz w:val="20"/>
          <w:szCs w:val="20"/>
        </w:rPr>
        <w:t>напруження</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деформації</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повний</w:t>
      </w:r>
      <w:r w:rsidRPr="000977F7">
        <w:rPr>
          <w:rFonts w:asciiTheme="majorHAnsi" w:hAnsiTheme="majorHAnsi"/>
          <w:spacing w:val="1"/>
          <w:sz w:val="20"/>
          <w:szCs w:val="20"/>
        </w:rPr>
        <w:t xml:space="preserve"> </w:t>
      </w:r>
      <w:r w:rsidRPr="000977F7">
        <w:rPr>
          <w:rFonts w:asciiTheme="majorHAnsi" w:hAnsiTheme="majorHAnsi"/>
          <w:sz w:val="20"/>
          <w:szCs w:val="20"/>
        </w:rPr>
        <w:t>цикл</w:t>
      </w:r>
      <w:r w:rsidRPr="000977F7">
        <w:rPr>
          <w:rFonts w:asciiTheme="majorHAnsi" w:hAnsiTheme="majorHAnsi"/>
          <w:spacing w:val="1"/>
          <w:sz w:val="20"/>
          <w:szCs w:val="20"/>
        </w:rPr>
        <w:t xml:space="preserve"> </w:t>
      </w:r>
      <w:r w:rsidRPr="000977F7">
        <w:rPr>
          <w:rFonts w:asciiTheme="majorHAnsi" w:hAnsiTheme="majorHAnsi"/>
          <w:sz w:val="20"/>
          <w:szCs w:val="20"/>
        </w:rPr>
        <w:t>навантажування і відображає роботу пружно пластичного деформування</w:t>
      </w:r>
      <w:r w:rsidRPr="000977F7">
        <w:rPr>
          <w:rFonts w:asciiTheme="majorHAnsi" w:hAnsiTheme="majorHAnsi"/>
          <w:spacing w:val="-1"/>
          <w:sz w:val="20"/>
          <w:szCs w:val="20"/>
        </w:rPr>
        <w:t xml:space="preserve"> </w:t>
      </w:r>
      <w:r w:rsidRPr="000977F7">
        <w:rPr>
          <w:rFonts w:asciiTheme="majorHAnsi" w:hAnsiTheme="majorHAnsi"/>
          <w:sz w:val="20"/>
          <w:szCs w:val="20"/>
        </w:rPr>
        <w:t>матеріалу</w:t>
      </w:r>
    </w:p>
    <w:p w14:paraId="483E395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62A89E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ПЕТЛЯ</w:t>
      </w:r>
      <w:r w:rsidRPr="000977F7">
        <w:rPr>
          <w:color w:val="auto"/>
          <w:spacing w:val="-4"/>
          <w:sz w:val="20"/>
          <w:szCs w:val="20"/>
        </w:rPr>
        <w:t xml:space="preserve"> </w:t>
      </w:r>
      <w:r w:rsidRPr="000977F7">
        <w:rPr>
          <w:color w:val="auto"/>
          <w:sz w:val="20"/>
          <w:szCs w:val="20"/>
        </w:rPr>
        <w:t>ЯКОСТІ;</w:t>
      </w:r>
      <w:r w:rsidRPr="000977F7">
        <w:rPr>
          <w:color w:val="auto"/>
          <w:spacing w:val="-4"/>
          <w:sz w:val="20"/>
          <w:szCs w:val="20"/>
        </w:rPr>
        <w:t xml:space="preserve"> </w:t>
      </w:r>
      <w:r w:rsidRPr="000977F7">
        <w:rPr>
          <w:color w:val="auto"/>
          <w:sz w:val="20"/>
          <w:szCs w:val="20"/>
        </w:rPr>
        <w:t>СПІРАЛЬ</w:t>
      </w:r>
      <w:r w:rsidRPr="000977F7">
        <w:rPr>
          <w:color w:val="auto"/>
          <w:spacing w:val="-3"/>
          <w:sz w:val="20"/>
          <w:szCs w:val="20"/>
        </w:rPr>
        <w:t xml:space="preserve"> </w:t>
      </w:r>
      <w:r w:rsidRPr="000977F7">
        <w:rPr>
          <w:color w:val="auto"/>
          <w:sz w:val="20"/>
          <w:szCs w:val="20"/>
        </w:rPr>
        <w:t>ЯКОСТІ</w:t>
      </w:r>
      <w:r w:rsidRPr="000977F7">
        <w:rPr>
          <w:color w:val="auto"/>
          <w:spacing w:val="-2"/>
          <w:sz w:val="20"/>
          <w:szCs w:val="20"/>
        </w:rPr>
        <w:t xml:space="preserve"> </w:t>
      </w:r>
      <w:r w:rsidRPr="000977F7">
        <w:rPr>
          <w:color w:val="auto"/>
          <w:sz w:val="20"/>
          <w:szCs w:val="20"/>
        </w:rPr>
        <w:t>–</w:t>
      </w:r>
    </w:p>
    <w:p w14:paraId="78F9782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QUALITY</w:t>
      </w:r>
      <w:r w:rsidRPr="004D2D14">
        <w:rPr>
          <w:rFonts w:asciiTheme="majorHAnsi" w:hAnsiTheme="majorHAnsi"/>
          <w:spacing w:val="-3"/>
          <w:sz w:val="20"/>
          <w:szCs w:val="20"/>
          <w:lang w:val="uk-UA"/>
        </w:rPr>
        <w:t xml:space="preserve"> </w:t>
      </w:r>
      <w:r w:rsidRPr="000977F7">
        <w:rPr>
          <w:rFonts w:asciiTheme="majorHAnsi" w:hAnsiTheme="majorHAnsi"/>
          <w:sz w:val="20"/>
          <w:szCs w:val="20"/>
        </w:rPr>
        <w:t>LOOP</w:t>
      </w:r>
      <w:r w:rsidRPr="004D2D14">
        <w:rPr>
          <w:rFonts w:asciiTheme="majorHAnsi" w:hAnsiTheme="majorHAnsi"/>
          <w:sz w:val="20"/>
          <w:szCs w:val="20"/>
          <w:lang w:val="uk-UA"/>
        </w:rPr>
        <w:t xml:space="preserve"> –</w:t>
      </w:r>
    </w:p>
    <w:p w14:paraId="1584299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Концептуальна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модель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взаємозалежних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видів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діяльності, що впливають на якість на різних стадіях від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визначення потреб до оцінювання ступеня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їх задоволення</w:t>
      </w:r>
    </w:p>
    <w:p w14:paraId="0A3C7E92"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П’ЄЗОЕЛЕКТРИЧНИЙ</w:t>
      </w:r>
      <w:r w:rsidRPr="000977F7">
        <w:rPr>
          <w:rFonts w:asciiTheme="majorHAnsi" w:hAnsiTheme="majorHAnsi"/>
          <w:b/>
          <w:spacing w:val="-3"/>
          <w:sz w:val="20"/>
          <w:szCs w:val="20"/>
        </w:rPr>
        <w:t xml:space="preserve"> </w:t>
      </w:r>
      <w:r w:rsidRPr="000977F7">
        <w:rPr>
          <w:rFonts w:asciiTheme="majorHAnsi" w:hAnsiTheme="majorHAnsi"/>
          <w:b/>
          <w:sz w:val="20"/>
          <w:szCs w:val="20"/>
        </w:rPr>
        <w:t>МЕТОД</w:t>
      </w:r>
      <w:r w:rsidRPr="000977F7">
        <w:rPr>
          <w:rFonts w:asciiTheme="majorHAnsi" w:hAnsiTheme="majorHAnsi"/>
          <w:b/>
          <w:spacing w:val="-3"/>
          <w:sz w:val="20"/>
          <w:szCs w:val="20"/>
        </w:rPr>
        <w:t xml:space="preserve"> </w:t>
      </w:r>
      <w:r w:rsidRPr="000977F7">
        <w:rPr>
          <w:rFonts w:asciiTheme="majorHAnsi" w:hAnsiTheme="majorHAnsi"/>
          <w:b/>
          <w:sz w:val="20"/>
          <w:szCs w:val="20"/>
        </w:rPr>
        <w:t>–</w:t>
      </w:r>
    </w:p>
    <w:p w14:paraId="4DD04C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реєстрації</w:t>
      </w:r>
      <w:r w:rsidRPr="000977F7">
        <w:rPr>
          <w:rFonts w:asciiTheme="majorHAnsi" w:hAnsiTheme="majorHAnsi"/>
          <w:spacing w:val="1"/>
          <w:sz w:val="20"/>
          <w:szCs w:val="20"/>
        </w:rPr>
        <w:t xml:space="preserve"> </w:t>
      </w:r>
      <w:r w:rsidRPr="000977F7">
        <w:rPr>
          <w:rFonts w:asciiTheme="majorHAnsi" w:hAnsiTheme="majorHAnsi"/>
          <w:sz w:val="20"/>
          <w:szCs w:val="20"/>
        </w:rPr>
        <w:t>акустичних</w:t>
      </w:r>
      <w:r w:rsidRPr="000977F7">
        <w:rPr>
          <w:rFonts w:asciiTheme="majorHAnsi" w:hAnsiTheme="majorHAnsi"/>
          <w:spacing w:val="1"/>
          <w:sz w:val="20"/>
          <w:szCs w:val="20"/>
        </w:rPr>
        <w:t xml:space="preserve"> </w:t>
      </w:r>
      <w:r w:rsidRPr="000977F7">
        <w:rPr>
          <w:rFonts w:asciiTheme="majorHAnsi" w:hAnsiTheme="majorHAnsi"/>
          <w:sz w:val="20"/>
          <w:szCs w:val="20"/>
        </w:rPr>
        <w:t>хвиль</w:t>
      </w:r>
      <w:r w:rsidRPr="000977F7">
        <w:rPr>
          <w:rFonts w:asciiTheme="majorHAnsi" w:hAnsiTheme="majorHAnsi"/>
          <w:spacing w:val="1"/>
          <w:sz w:val="20"/>
          <w:szCs w:val="20"/>
        </w:rPr>
        <w:t xml:space="preserve"> </w:t>
      </w:r>
      <w:r w:rsidRPr="000977F7">
        <w:rPr>
          <w:rFonts w:asciiTheme="majorHAnsi" w:hAnsiTheme="majorHAnsi"/>
          <w:sz w:val="20"/>
          <w:szCs w:val="20"/>
        </w:rPr>
        <w:t>випромінення</w:t>
      </w:r>
      <w:r w:rsidRPr="000977F7">
        <w:rPr>
          <w:rFonts w:asciiTheme="majorHAnsi" w:hAnsiTheme="majorHAnsi"/>
          <w:spacing w:val="1"/>
          <w:sz w:val="20"/>
          <w:szCs w:val="20"/>
        </w:rPr>
        <w:t xml:space="preserve"> </w:t>
      </w:r>
      <w:r w:rsidRPr="000977F7">
        <w:rPr>
          <w:rFonts w:asciiTheme="majorHAnsi" w:hAnsiTheme="majorHAnsi"/>
          <w:sz w:val="20"/>
          <w:szCs w:val="20"/>
        </w:rPr>
        <w:t>п’єзоелектричним перетворювачем</w:t>
      </w:r>
    </w:p>
    <w:p w14:paraId="4B02849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AA53D9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ПИТОМА</w:t>
      </w:r>
      <w:r w:rsidRPr="000977F7">
        <w:rPr>
          <w:color w:val="auto"/>
          <w:spacing w:val="-8"/>
          <w:sz w:val="20"/>
          <w:szCs w:val="20"/>
        </w:rPr>
        <w:t xml:space="preserve"> </w:t>
      </w:r>
      <w:r w:rsidRPr="000977F7">
        <w:rPr>
          <w:color w:val="auto"/>
          <w:sz w:val="20"/>
          <w:szCs w:val="20"/>
        </w:rPr>
        <w:t>СУМАРНА</w:t>
      </w:r>
      <w:r w:rsidRPr="000977F7">
        <w:rPr>
          <w:color w:val="auto"/>
          <w:spacing w:val="-7"/>
          <w:sz w:val="20"/>
          <w:szCs w:val="20"/>
        </w:rPr>
        <w:t xml:space="preserve"> </w:t>
      </w:r>
      <w:r w:rsidRPr="000977F7">
        <w:rPr>
          <w:color w:val="auto"/>
          <w:sz w:val="20"/>
          <w:szCs w:val="20"/>
        </w:rPr>
        <w:t>ОПЕРАТИВНА</w:t>
      </w:r>
      <w:r w:rsidRPr="000977F7">
        <w:rPr>
          <w:color w:val="auto"/>
          <w:spacing w:val="-7"/>
          <w:sz w:val="20"/>
          <w:szCs w:val="20"/>
        </w:rPr>
        <w:t xml:space="preserve"> </w:t>
      </w:r>
      <w:r w:rsidRPr="000977F7">
        <w:rPr>
          <w:color w:val="auto"/>
          <w:sz w:val="20"/>
          <w:szCs w:val="20"/>
        </w:rPr>
        <w:t>ВАРТІСТЬ</w:t>
      </w:r>
      <w:r w:rsidRPr="000977F7">
        <w:rPr>
          <w:color w:val="auto"/>
          <w:spacing w:val="-47"/>
          <w:sz w:val="20"/>
          <w:szCs w:val="20"/>
        </w:rPr>
        <w:t xml:space="preserve"> </w:t>
      </w:r>
      <w:r w:rsidRPr="000977F7">
        <w:rPr>
          <w:color w:val="auto"/>
          <w:sz w:val="20"/>
          <w:szCs w:val="20"/>
        </w:rPr>
        <w:t>ТЕХНІЧНИХ</w:t>
      </w:r>
      <w:r w:rsidRPr="000977F7">
        <w:rPr>
          <w:color w:val="auto"/>
          <w:spacing w:val="-1"/>
          <w:sz w:val="20"/>
          <w:szCs w:val="20"/>
        </w:rPr>
        <w:t xml:space="preserve"> </w:t>
      </w:r>
      <w:r w:rsidRPr="000977F7">
        <w:rPr>
          <w:color w:val="auto"/>
          <w:sz w:val="20"/>
          <w:szCs w:val="20"/>
        </w:rPr>
        <w:t>ОБСЛУГОВУВАНЬ-</w:t>
      </w:r>
    </w:p>
    <w:p w14:paraId="7039A90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математичного очікування середньої сумарної оперативної вартості технічних обслуговувань</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заданого</w:t>
      </w:r>
      <w:r w:rsidRPr="000977F7">
        <w:rPr>
          <w:rFonts w:asciiTheme="majorHAnsi" w:hAnsiTheme="majorHAnsi"/>
          <w:spacing w:val="1"/>
          <w:sz w:val="20"/>
          <w:szCs w:val="20"/>
        </w:rPr>
        <w:t xml:space="preserve"> </w:t>
      </w:r>
      <w:r w:rsidRPr="000977F7">
        <w:rPr>
          <w:rFonts w:asciiTheme="majorHAnsi" w:hAnsiTheme="majorHAnsi"/>
          <w:sz w:val="20"/>
          <w:szCs w:val="20"/>
        </w:rPr>
        <w:t>напрацювання</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p>
    <w:p w14:paraId="6F16F23F"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 xml:space="preserve">ПИТОМА СУМАРНА ОПЕРАТИВНА </w:t>
      </w:r>
    </w:p>
    <w:p w14:paraId="5E58406A"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ТРИВАЛІСТЬ КАПІТАЛЬНИХ</w:t>
      </w:r>
      <w:r w:rsidRPr="000977F7">
        <w:rPr>
          <w:color w:val="auto"/>
          <w:spacing w:val="-1"/>
          <w:sz w:val="20"/>
          <w:szCs w:val="20"/>
        </w:rPr>
        <w:t xml:space="preserve"> </w:t>
      </w:r>
      <w:r w:rsidRPr="000977F7">
        <w:rPr>
          <w:color w:val="auto"/>
          <w:sz w:val="20"/>
          <w:szCs w:val="20"/>
        </w:rPr>
        <w:t>РЕМОНТІВ</w:t>
      </w:r>
      <w:r w:rsidRPr="000977F7">
        <w:rPr>
          <w:color w:val="auto"/>
          <w:spacing w:val="3"/>
          <w:sz w:val="20"/>
          <w:szCs w:val="20"/>
        </w:rPr>
        <w:t xml:space="preserve"> </w:t>
      </w:r>
      <w:r w:rsidRPr="000977F7">
        <w:rPr>
          <w:b w:val="0"/>
          <w:color w:val="auto"/>
          <w:sz w:val="20"/>
          <w:szCs w:val="20"/>
        </w:rPr>
        <w:t>–</w:t>
      </w:r>
    </w:p>
    <w:p w14:paraId="7AAC01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математичного очікування середньої сумарної оперативної тривалості капітальних ремонтів</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заданого</w:t>
      </w:r>
      <w:r w:rsidRPr="000977F7">
        <w:rPr>
          <w:rFonts w:asciiTheme="majorHAnsi" w:hAnsiTheme="majorHAnsi"/>
          <w:spacing w:val="1"/>
          <w:sz w:val="20"/>
          <w:szCs w:val="20"/>
        </w:rPr>
        <w:t xml:space="preserve"> </w:t>
      </w:r>
      <w:r w:rsidRPr="000977F7">
        <w:rPr>
          <w:rFonts w:asciiTheme="majorHAnsi" w:hAnsiTheme="majorHAnsi"/>
          <w:sz w:val="20"/>
          <w:szCs w:val="20"/>
        </w:rPr>
        <w:t>напрацювання</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p>
    <w:p w14:paraId="33B4ABBA"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ПИТОМА СУМАРНА ОПЕРАТИВНА</w:t>
      </w:r>
      <w:r w:rsidRPr="000977F7">
        <w:rPr>
          <w:color w:val="auto"/>
          <w:spacing w:val="1"/>
          <w:sz w:val="20"/>
          <w:szCs w:val="20"/>
        </w:rPr>
        <w:t xml:space="preserve"> </w:t>
      </w:r>
    </w:p>
    <w:p w14:paraId="352CDCE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ТРИВАЛІСТЬ</w:t>
      </w:r>
      <w:r w:rsidRPr="000977F7">
        <w:rPr>
          <w:color w:val="auto"/>
          <w:spacing w:val="-1"/>
          <w:sz w:val="20"/>
          <w:szCs w:val="20"/>
        </w:rPr>
        <w:t xml:space="preserve"> </w:t>
      </w:r>
      <w:r w:rsidRPr="000977F7">
        <w:rPr>
          <w:color w:val="auto"/>
          <w:sz w:val="20"/>
          <w:szCs w:val="20"/>
        </w:rPr>
        <w:t>ПОТОЧНИХ</w:t>
      </w:r>
      <w:r w:rsidRPr="000977F7">
        <w:rPr>
          <w:color w:val="auto"/>
          <w:spacing w:val="-1"/>
          <w:sz w:val="20"/>
          <w:szCs w:val="20"/>
        </w:rPr>
        <w:t xml:space="preserve"> </w:t>
      </w:r>
      <w:r w:rsidRPr="000977F7">
        <w:rPr>
          <w:color w:val="auto"/>
          <w:sz w:val="20"/>
          <w:szCs w:val="20"/>
        </w:rPr>
        <w:t>РЕМОНТІВ</w:t>
      </w:r>
      <w:r w:rsidRPr="000977F7">
        <w:rPr>
          <w:color w:val="auto"/>
          <w:spacing w:val="4"/>
          <w:sz w:val="20"/>
          <w:szCs w:val="20"/>
        </w:rPr>
        <w:t xml:space="preserve"> </w:t>
      </w:r>
      <w:r w:rsidRPr="000977F7">
        <w:rPr>
          <w:color w:val="auto"/>
          <w:sz w:val="20"/>
          <w:szCs w:val="20"/>
        </w:rPr>
        <w:t>–</w:t>
      </w:r>
    </w:p>
    <w:p w14:paraId="15237E0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математичного очікування середньої сумарної оперативної тривалості поточних</w:t>
      </w:r>
      <w:r w:rsidRPr="000977F7">
        <w:rPr>
          <w:rFonts w:asciiTheme="majorHAnsi" w:hAnsiTheme="majorHAnsi"/>
          <w:spacing w:val="1"/>
          <w:sz w:val="20"/>
          <w:szCs w:val="20"/>
        </w:rPr>
        <w:t xml:space="preserve"> </w:t>
      </w:r>
      <w:r w:rsidRPr="000977F7">
        <w:rPr>
          <w:rFonts w:asciiTheme="majorHAnsi" w:hAnsiTheme="majorHAnsi"/>
          <w:sz w:val="20"/>
          <w:szCs w:val="20"/>
        </w:rPr>
        <w:t>ремонтів до</w:t>
      </w:r>
      <w:r w:rsidRPr="000977F7">
        <w:rPr>
          <w:rFonts w:asciiTheme="majorHAnsi" w:hAnsiTheme="majorHAnsi"/>
          <w:spacing w:val="1"/>
          <w:sz w:val="20"/>
          <w:szCs w:val="20"/>
        </w:rPr>
        <w:t xml:space="preserve"> </w:t>
      </w:r>
      <w:r w:rsidRPr="000977F7">
        <w:rPr>
          <w:rFonts w:asciiTheme="majorHAnsi" w:hAnsiTheme="majorHAnsi"/>
          <w:sz w:val="20"/>
          <w:szCs w:val="20"/>
        </w:rPr>
        <w:t>заданого напрацювання</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0DA7CDC2"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ПИТОМА СУМАРНА ОПЕРАТИВНА</w:t>
      </w:r>
      <w:r w:rsidRPr="000977F7">
        <w:rPr>
          <w:color w:val="auto"/>
          <w:spacing w:val="1"/>
          <w:sz w:val="20"/>
          <w:szCs w:val="20"/>
        </w:rPr>
        <w:t xml:space="preserve"> </w:t>
      </w:r>
    </w:p>
    <w:p w14:paraId="798D49D0"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ТРИВАЛІСТЬ ТЕХНІЧНИХ</w:t>
      </w:r>
      <w:r w:rsidRPr="000977F7">
        <w:rPr>
          <w:color w:val="auto"/>
          <w:spacing w:val="-2"/>
          <w:sz w:val="20"/>
          <w:szCs w:val="20"/>
        </w:rPr>
        <w:t xml:space="preserve"> </w:t>
      </w:r>
      <w:r w:rsidRPr="000977F7">
        <w:rPr>
          <w:color w:val="auto"/>
          <w:sz w:val="20"/>
          <w:szCs w:val="20"/>
        </w:rPr>
        <w:t>ОБСЛУГОВУВАНЬ</w:t>
      </w:r>
      <w:r w:rsidRPr="000977F7">
        <w:rPr>
          <w:color w:val="auto"/>
          <w:spacing w:val="1"/>
          <w:sz w:val="20"/>
          <w:szCs w:val="20"/>
        </w:rPr>
        <w:t xml:space="preserve"> </w:t>
      </w:r>
    </w:p>
    <w:p w14:paraId="3C55B59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математичного очікування середньої сумарної оперативної тривалості технічних обслуговувань</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заданого напрацювання</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3F2318AC"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ПИТОМА СУМАРНА ОПЕРАТИВНА</w:t>
      </w:r>
      <w:r w:rsidRPr="000977F7">
        <w:rPr>
          <w:color w:val="auto"/>
          <w:spacing w:val="1"/>
          <w:sz w:val="20"/>
          <w:szCs w:val="20"/>
        </w:rPr>
        <w:t xml:space="preserve"> </w:t>
      </w:r>
    </w:p>
    <w:p w14:paraId="407663A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ТРУДО</w:t>
      </w:r>
      <w:r w:rsidRPr="000977F7">
        <w:rPr>
          <w:color w:val="auto"/>
          <w:spacing w:val="-47"/>
          <w:sz w:val="20"/>
          <w:szCs w:val="20"/>
        </w:rPr>
        <w:t xml:space="preserve"> </w:t>
      </w:r>
      <w:r w:rsidRPr="000977F7">
        <w:rPr>
          <w:color w:val="auto"/>
          <w:sz w:val="20"/>
          <w:szCs w:val="20"/>
        </w:rPr>
        <w:t>МІСТКІСТЬ</w:t>
      </w:r>
      <w:r w:rsidRPr="000977F7">
        <w:rPr>
          <w:color w:val="auto"/>
          <w:spacing w:val="-1"/>
          <w:sz w:val="20"/>
          <w:szCs w:val="20"/>
        </w:rPr>
        <w:t xml:space="preserve"> </w:t>
      </w:r>
      <w:r w:rsidRPr="000977F7">
        <w:rPr>
          <w:color w:val="auto"/>
          <w:sz w:val="20"/>
          <w:szCs w:val="20"/>
        </w:rPr>
        <w:t>КАПІТАЛЬНИХ</w:t>
      </w:r>
    </w:p>
    <w:p w14:paraId="18D9464C"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РЕМОНТІВ</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626AA2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математичного очікування середньої сумарної оперативної трудомісткості капітальних ремонтів</w:t>
      </w:r>
      <w:r w:rsidRPr="000977F7">
        <w:rPr>
          <w:rFonts w:asciiTheme="majorHAnsi" w:hAnsiTheme="majorHAnsi"/>
          <w:spacing w:val="-2"/>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заданого</w:t>
      </w:r>
      <w:r w:rsidRPr="000977F7">
        <w:rPr>
          <w:rFonts w:asciiTheme="majorHAnsi" w:hAnsiTheme="majorHAnsi"/>
          <w:spacing w:val="1"/>
          <w:sz w:val="20"/>
          <w:szCs w:val="20"/>
        </w:rPr>
        <w:t xml:space="preserve"> </w:t>
      </w:r>
      <w:r w:rsidRPr="000977F7">
        <w:rPr>
          <w:rFonts w:asciiTheme="majorHAnsi" w:hAnsiTheme="majorHAnsi"/>
          <w:sz w:val="20"/>
          <w:szCs w:val="20"/>
        </w:rPr>
        <w:t>напрацювання</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p>
    <w:p w14:paraId="2FEA1BD7"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ПИТОМА СУМАРНА ОПЕРАТИВНА</w:t>
      </w:r>
      <w:r w:rsidRPr="000977F7">
        <w:rPr>
          <w:color w:val="auto"/>
          <w:spacing w:val="1"/>
          <w:sz w:val="20"/>
          <w:szCs w:val="20"/>
        </w:rPr>
        <w:t xml:space="preserve"> </w:t>
      </w:r>
    </w:p>
    <w:p w14:paraId="433AD82E" w14:textId="77777777" w:rsidR="0097612F" w:rsidRPr="000977F7" w:rsidRDefault="0097612F" w:rsidP="000977F7">
      <w:pPr>
        <w:pStyle w:val="7"/>
        <w:tabs>
          <w:tab w:val="left" w:pos="284"/>
        </w:tabs>
        <w:spacing w:before="0" w:line="240" w:lineRule="auto"/>
        <w:ind w:left="170"/>
        <w:mirrorIndents/>
        <w:jc w:val="both"/>
        <w:rPr>
          <w:color w:val="auto"/>
          <w:spacing w:val="-8"/>
          <w:sz w:val="20"/>
          <w:szCs w:val="20"/>
        </w:rPr>
      </w:pPr>
      <w:r w:rsidRPr="000977F7">
        <w:rPr>
          <w:color w:val="auto"/>
          <w:spacing w:val="-8"/>
          <w:sz w:val="20"/>
          <w:szCs w:val="20"/>
        </w:rPr>
        <w:t>ТРУДО МІСТКІСТЬ ПОТОЧНИХ РЕМОНТІВ –</w:t>
      </w:r>
    </w:p>
    <w:p w14:paraId="438424B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математичного очікування середньої сумарної оперативної трудомісткості поточних ремонтів</w:t>
      </w:r>
      <w:r w:rsidRPr="000977F7">
        <w:rPr>
          <w:rFonts w:asciiTheme="majorHAnsi" w:hAnsiTheme="majorHAnsi"/>
          <w:spacing w:val="-47"/>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заданого</w:t>
      </w:r>
      <w:r w:rsidRPr="000977F7">
        <w:rPr>
          <w:rFonts w:asciiTheme="majorHAnsi" w:hAnsiTheme="majorHAnsi"/>
          <w:spacing w:val="1"/>
          <w:sz w:val="20"/>
          <w:szCs w:val="20"/>
        </w:rPr>
        <w:t xml:space="preserve"> </w:t>
      </w:r>
      <w:r w:rsidRPr="000977F7">
        <w:rPr>
          <w:rFonts w:asciiTheme="majorHAnsi" w:hAnsiTheme="majorHAnsi"/>
          <w:sz w:val="20"/>
          <w:szCs w:val="20"/>
        </w:rPr>
        <w:t>напрацювання</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p>
    <w:p w14:paraId="3F816FAD"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ПИТОМА СУМАРНА ОПЕРАТИВНА</w:t>
      </w:r>
      <w:r w:rsidRPr="000977F7">
        <w:rPr>
          <w:color w:val="auto"/>
          <w:spacing w:val="1"/>
          <w:sz w:val="20"/>
          <w:szCs w:val="20"/>
        </w:rPr>
        <w:t xml:space="preserve"> </w:t>
      </w:r>
    </w:p>
    <w:p w14:paraId="63A6089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ТРУДО</w:t>
      </w:r>
      <w:r w:rsidRPr="000977F7">
        <w:rPr>
          <w:color w:val="auto"/>
          <w:spacing w:val="1"/>
          <w:sz w:val="20"/>
          <w:szCs w:val="20"/>
        </w:rPr>
        <w:t xml:space="preserve"> </w:t>
      </w:r>
      <w:r w:rsidRPr="000977F7">
        <w:rPr>
          <w:color w:val="auto"/>
          <w:sz w:val="20"/>
          <w:szCs w:val="20"/>
        </w:rPr>
        <w:t>МІСТКІСТЬ</w:t>
      </w:r>
      <w:r w:rsidRPr="000977F7">
        <w:rPr>
          <w:color w:val="auto"/>
          <w:spacing w:val="-6"/>
          <w:sz w:val="20"/>
          <w:szCs w:val="20"/>
        </w:rPr>
        <w:t xml:space="preserve"> </w:t>
      </w:r>
      <w:r w:rsidRPr="000977F7">
        <w:rPr>
          <w:color w:val="auto"/>
          <w:sz w:val="20"/>
          <w:szCs w:val="20"/>
        </w:rPr>
        <w:t>ТЕХНІЧНИХ</w:t>
      </w:r>
      <w:r w:rsidRPr="000977F7">
        <w:rPr>
          <w:color w:val="auto"/>
          <w:spacing w:val="-5"/>
          <w:sz w:val="20"/>
          <w:szCs w:val="20"/>
        </w:rPr>
        <w:t xml:space="preserve"> </w:t>
      </w:r>
      <w:r w:rsidRPr="000977F7">
        <w:rPr>
          <w:color w:val="auto"/>
          <w:sz w:val="20"/>
          <w:szCs w:val="20"/>
        </w:rPr>
        <w:t>ОБСЛУГОВУВАНЬ</w:t>
      </w:r>
      <w:r w:rsidRPr="000977F7">
        <w:rPr>
          <w:color w:val="auto"/>
          <w:spacing w:val="-2"/>
          <w:sz w:val="20"/>
          <w:szCs w:val="20"/>
        </w:rPr>
        <w:t xml:space="preserve"> </w:t>
      </w:r>
      <w:r w:rsidRPr="000977F7">
        <w:rPr>
          <w:color w:val="auto"/>
          <w:sz w:val="20"/>
          <w:szCs w:val="20"/>
        </w:rPr>
        <w:t>–</w:t>
      </w:r>
    </w:p>
    <w:p w14:paraId="73A4E41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математичного очікування середньої сумарної оперативної трудомісткості технічних обслуговувань</w:t>
      </w:r>
      <w:r w:rsidRPr="000977F7">
        <w:rPr>
          <w:rFonts w:asciiTheme="majorHAnsi" w:hAnsiTheme="majorHAnsi"/>
          <w:spacing w:val="-2"/>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заданого напрацювання</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p>
    <w:p w14:paraId="17CF58F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ПІДВОДНА</w:t>
      </w:r>
      <w:r w:rsidRPr="000977F7">
        <w:rPr>
          <w:color w:val="auto"/>
          <w:spacing w:val="-3"/>
          <w:sz w:val="20"/>
          <w:szCs w:val="20"/>
        </w:rPr>
        <w:t xml:space="preserve"> </w:t>
      </w:r>
      <w:r w:rsidRPr="000977F7">
        <w:rPr>
          <w:color w:val="auto"/>
          <w:sz w:val="20"/>
          <w:szCs w:val="20"/>
        </w:rPr>
        <w:t>КОРОЗІЯ</w:t>
      </w:r>
      <w:r w:rsidRPr="000977F7">
        <w:rPr>
          <w:color w:val="auto"/>
          <w:spacing w:val="-1"/>
          <w:sz w:val="20"/>
          <w:szCs w:val="20"/>
        </w:rPr>
        <w:t xml:space="preserve"> </w:t>
      </w:r>
      <w:r w:rsidRPr="000977F7">
        <w:rPr>
          <w:color w:val="auto"/>
          <w:sz w:val="20"/>
          <w:szCs w:val="20"/>
        </w:rPr>
        <w:t>—</w:t>
      </w:r>
    </w:p>
    <w:p w14:paraId="0895CDE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Корозія</w:t>
      </w:r>
      <w:r w:rsidRPr="000977F7">
        <w:rPr>
          <w:rFonts w:asciiTheme="majorHAnsi" w:hAnsiTheme="majorHAnsi"/>
          <w:spacing w:val="-4"/>
          <w:sz w:val="20"/>
          <w:szCs w:val="20"/>
        </w:rPr>
        <w:t xml:space="preserve"> </w:t>
      </w:r>
      <w:r w:rsidRPr="000977F7">
        <w:rPr>
          <w:rFonts w:asciiTheme="majorHAnsi" w:hAnsiTheme="majorHAnsi"/>
          <w:sz w:val="20"/>
          <w:szCs w:val="20"/>
        </w:rPr>
        <w:t>металу,</w:t>
      </w:r>
      <w:r w:rsidRPr="000977F7">
        <w:rPr>
          <w:rFonts w:asciiTheme="majorHAnsi" w:hAnsiTheme="majorHAnsi"/>
          <w:spacing w:val="-1"/>
          <w:sz w:val="20"/>
          <w:szCs w:val="20"/>
        </w:rPr>
        <w:t xml:space="preserve"> </w:t>
      </w:r>
      <w:r w:rsidRPr="000977F7">
        <w:rPr>
          <w:rFonts w:asciiTheme="majorHAnsi" w:hAnsiTheme="majorHAnsi"/>
          <w:sz w:val="20"/>
          <w:szCs w:val="20"/>
        </w:rPr>
        <w:t>повністю</w:t>
      </w:r>
      <w:r w:rsidRPr="000977F7">
        <w:rPr>
          <w:rFonts w:asciiTheme="majorHAnsi" w:hAnsiTheme="majorHAnsi"/>
          <w:spacing w:val="-3"/>
          <w:sz w:val="20"/>
          <w:szCs w:val="20"/>
        </w:rPr>
        <w:t xml:space="preserve"> </w:t>
      </w:r>
      <w:r w:rsidRPr="000977F7">
        <w:rPr>
          <w:rFonts w:asciiTheme="majorHAnsi" w:hAnsiTheme="majorHAnsi"/>
          <w:sz w:val="20"/>
          <w:szCs w:val="20"/>
        </w:rPr>
        <w:t>зануреного у</w:t>
      </w:r>
      <w:r w:rsidRPr="000977F7">
        <w:rPr>
          <w:rFonts w:asciiTheme="majorHAnsi" w:hAnsiTheme="majorHAnsi"/>
          <w:spacing w:val="-6"/>
          <w:sz w:val="20"/>
          <w:szCs w:val="20"/>
        </w:rPr>
        <w:t xml:space="preserve"> </w:t>
      </w:r>
      <w:r w:rsidRPr="000977F7">
        <w:rPr>
          <w:rFonts w:asciiTheme="majorHAnsi" w:hAnsiTheme="majorHAnsi"/>
          <w:sz w:val="20"/>
          <w:szCs w:val="20"/>
        </w:rPr>
        <w:t>воду</w:t>
      </w:r>
    </w:p>
    <w:p w14:paraId="7608271F"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3830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98</w:t>
      </w:r>
    </w:p>
    <w:p w14:paraId="31D1D02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ПІДГОТОВКА</w:t>
      </w:r>
      <w:r w:rsidRPr="000977F7">
        <w:rPr>
          <w:color w:val="auto"/>
          <w:spacing w:val="-4"/>
          <w:sz w:val="20"/>
          <w:szCs w:val="20"/>
        </w:rPr>
        <w:t xml:space="preserve"> </w:t>
      </w:r>
      <w:r w:rsidRPr="000977F7">
        <w:rPr>
          <w:color w:val="auto"/>
          <w:sz w:val="20"/>
          <w:szCs w:val="20"/>
        </w:rPr>
        <w:t>ПРОБИ -</w:t>
      </w:r>
    </w:p>
    <w:p w14:paraId="592BB77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SAMPLE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PREPARATION-</w:t>
      </w:r>
    </w:p>
    <w:p w14:paraId="7D2B4D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Переведення</w:t>
      </w:r>
      <w:r w:rsidRPr="000977F7">
        <w:rPr>
          <w:rFonts w:asciiTheme="majorHAnsi" w:hAnsiTheme="majorHAnsi"/>
          <w:spacing w:val="23"/>
          <w:sz w:val="20"/>
          <w:szCs w:val="20"/>
        </w:rPr>
        <w:t xml:space="preserve"> </w:t>
      </w:r>
      <w:r w:rsidRPr="000977F7">
        <w:rPr>
          <w:rFonts w:asciiTheme="majorHAnsi" w:hAnsiTheme="majorHAnsi"/>
          <w:sz w:val="20"/>
          <w:szCs w:val="20"/>
        </w:rPr>
        <w:t>проби</w:t>
      </w:r>
      <w:r w:rsidRPr="000977F7">
        <w:rPr>
          <w:rFonts w:asciiTheme="majorHAnsi" w:hAnsiTheme="majorHAnsi"/>
          <w:spacing w:val="23"/>
          <w:sz w:val="20"/>
          <w:szCs w:val="20"/>
        </w:rPr>
        <w:t xml:space="preserve"> </w:t>
      </w:r>
      <w:r w:rsidRPr="000977F7">
        <w:rPr>
          <w:rFonts w:asciiTheme="majorHAnsi" w:hAnsiTheme="majorHAnsi"/>
          <w:sz w:val="20"/>
          <w:szCs w:val="20"/>
        </w:rPr>
        <w:t>до</w:t>
      </w:r>
      <w:r w:rsidRPr="000977F7">
        <w:rPr>
          <w:rFonts w:asciiTheme="majorHAnsi" w:hAnsiTheme="majorHAnsi"/>
          <w:spacing w:val="22"/>
          <w:sz w:val="20"/>
          <w:szCs w:val="20"/>
        </w:rPr>
        <w:t xml:space="preserve"> </w:t>
      </w:r>
      <w:r w:rsidRPr="000977F7">
        <w:rPr>
          <w:rFonts w:asciiTheme="majorHAnsi" w:hAnsiTheme="majorHAnsi"/>
          <w:sz w:val="20"/>
          <w:szCs w:val="20"/>
        </w:rPr>
        <w:t>стану,</w:t>
      </w:r>
      <w:r w:rsidRPr="000977F7">
        <w:rPr>
          <w:rFonts w:asciiTheme="majorHAnsi" w:hAnsiTheme="majorHAnsi"/>
          <w:spacing w:val="22"/>
          <w:sz w:val="20"/>
          <w:szCs w:val="20"/>
        </w:rPr>
        <w:t xml:space="preserve"> </w:t>
      </w:r>
      <w:r w:rsidRPr="000977F7">
        <w:rPr>
          <w:rFonts w:asciiTheme="majorHAnsi" w:hAnsiTheme="majorHAnsi"/>
          <w:sz w:val="20"/>
          <w:szCs w:val="20"/>
        </w:rPr>
        <w:t>потрібного</w:t>
      </w:r>
      <w:r w:rsidRPr="000977F7">
        <w:rPr>
          <w:rFonts w:asciiTheme="majorHAnsi" w:hAnsiTheme="majorHAnsi"/>
          <w:spacing w:val="22"/>
          <w:sz w:val="20"/>
          <w:szCs w:val="20"/>
        </w:rPr>
        <w:t xml:space="preserve"> </w:t>
      </w:r>
      <w:r w:rsidRPr="000977F7">
        <w:rPr>
          <w:rFonts w:asciiTheme="majorHAnsi" w:hAnsiTheme="majorHAnsi"/>
          <w:sz w:val="20"/>
          <w:szCs w:val="20"/>
        </w:rPr>
        <w:t>для</w:t>
      </w:r>
      <w:r w:rsidRPr="000977F7">
        <w:rPr>
          <w:rFonts w:asciiTheme="majorHAnsi" w:hAnsiTheme="majorHAnsi"/>
          <w:spacing w:val="24"/>
          <w:sz w:val="20"/>
          <w:szCs w:val="20"/>
        </w:rPr>
        <w:t xml:space="preserve"> </w:t>
      </w:r>
      <w:r w:rsidRPr="000977F7">
        <w:rPr>
          <w:rFonts w:asciiTheme="majorHAnsi" w:hAnsiTheme="majorHAnsi"/>
          <w:sz w:val="20"/>
          <w:szCs w:val="20"/>
        </w:rPr>
        <w:t>подальшого її</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p>
    <w:p w14:paraId="014D6F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12A853A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Підготовка</w:t>
      </w:r>
      <w:r w:rsidRPr="000977F7">
        <w:rPr>
          <w:rFonts w:asciiTheme="majorHAnsi" w:hAnsiTheme="majorHAnsi"/>
          <w:spacing w:val="20"/>
          <w:sz w:val="20"/>
          <w:szCs w:val="20"/>
        </w:rPr>
        <w:t xml:space="preserve"> </w:t>
      </w:r>
      <w:r w:rsidRPr="000977F7">
        <w:rPr>
          <w:rFonts w:asciiTheme="majorHAnsi" w:hAnsiTheme="majorHAnsi"/>
          <w:sz w:val="20"/>
          <w:szCs w:val="20"/>
        </w:rPr>
        <w:t>проби</w:t>
      </w:r>
      <w:r w:rsidRPr="000977F7">
        <w:rPr>
          <w:rFonts w:asciiTheme="majorHAnsi" w:hAnsiTheme="majorHAnsi"/>
          <w:spacing w:val="18"/>
          <w:sz w:val="20"/>
          <w:szCs w:val="20"/>
        </w:rPr>
        <w:t xml:space="preserve"> </w:t>
      </w:r>
      <w:r w:rsidRPr="000977F7">
        <w:rPr>
          <w:rFonts w:asciiTheme="majorHAnsi" w:hAnsiTheme="majorHAnsi"/>
          <w:sz w:val="20"/>
          <w:szCs w:val="20"/>
        </w:rPr>
        <w:t>охоплює,</w:t>
      </w:r>
      <w:r w:rsidRPr="000977F7">
        <w:rPr>
          <w:rFonts w:asciiTheme="majorHAnsi" w:hAnsiTheme="majorHAnsi"/>
          <w:spacing w:val="20"/>
          <w:sz w:val="20"/>
          <w:szCs w:val="20"/>
        </w:rPr>
        <w:t xml:space="preserve"> </w:t>
      </w:r>
      <w:r w:rsidRPr="000977F7">
        <w:rPr>
          <w:rFonts w:asciiTheme="majorHAnsi" w:hAnsiTheme="majorHAnsi"/>
          <w:sz w:val="20"/>
          <w:szCs w:val="20"/>
        </w:rPr>
        <w:t>наприклад,</w:t>
      </w:r>
      <w:r w:rsidRPr="000977F7">
        <w:rPr>
          <w:rFonts w:asciiTheme="majorHAnsi" w:hAnsiTheme="majorHAnsi"/>
          <w:spacing w:val="20"/>
          <w:sz w:val="20"/>
          <w:szCs w:val="20"/>
        </w:rPr>
        <w:t xml:space="preserve"> </w:t>
      </w:r>
      <w:r w:rsidRPr="000977F7">
        <w:rPr>
          <w:rFonts w:asciiTheme="majorHAnsi" w:hAnsiTheme="majorHAnsi"/>
          <w:sz w:val="20"/>
          <w:szCs w:val="20"/>
        </w:rPr>
        <w:t>переміщування,</w:t>
      </w:r>
      <w:r w:rsidRPr="000977F7">
        <w:rPr>
          <w:rFonts w:asciiTheme="majorHAnsi" w:hAnsiTheme="majorHAnsi"/>
          <w:spacing w:val="-2"/>
          <w:sz w:val="20"/>
          <w:szCs w:val="20"/>
        </w:rPr>
        <w:t xml:space="preserve"> </w:t>
      </w:r>
      <w:r w:rsidRPr="000977F7">
        <w:rPr>
          <w:rFonts w:asciiTheme="majorHAnsi" w:hAnsiTheme="majorHAnsi"/>
          <w:sz w:val="20"/>
          <w:szCs w:val="20"/>
        </w:rPr>
        <w:t>розділення,</w:t>
      </w:r>
      <w:r w:rsidRPr="000977F7">
        <w:rPr>
          <w:rFonts w:asciiTheme="majorHAnsi" w:hAnsiTheme="majorHAnsi"/>
          <w:spacing w:val="-1"/>
          <w:sz w:val="20"/>
          <w:szCs w:val="20"/>
        </w:rPr>
        <w:t xml:space="preserve"> </w:t>
      </w:r>
      <w:r w:rsidRPr="000977F7">
        <w:rPr>
          <w:rFonts w:asciiTheme="majorHAnsi" w:hAnsiTheme="majorHAnsi"/>
          <w:sz w:val="20"/>
          <w:szCs w:val="20"/>
        </w:rPr>
        <w:t>скорочення,</w:t>
      </w:r>
      <w:r w:rsidRPr="000977F7">
        <w:rPr>
          <w:rFonts w:asciiTheme="majorHAnsi" w:hAnsiTheme="majorHAnsi"/>
          <w:spacing w:val="1"/>
          <w:sz w:val="20"/>
          <w:szCs w:val="20"/>
        </w:rPr>
        <w:t xml:space="preserve"> </w:t>
      </w:r>
      <w:r w:rsidRPr="000977F7">
        <w:rPr>
          <w:rFonts w:asciiTheme="majorHAnsi" w:hAnsiTheme="majorHAnsi"/>
          <w:sz w:val="20"/>
          <w:szCs w:val="20"/>
        </w:rPr>
        <w:t>гомогенізацію</w:t>
      </w:r>
      <w:r w:rsidRPr="000977F7">
        <w:rPr>
          <w:rFonts w:asciiTheme="majorHAnsi" w:hAnsiTheme="majorHAnsi"/>
          <w:spacing w:val="-3"/>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ін.</w:t>
      </w:r>
    </w:p>
    <w:p w14:paraId="5E9E02C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ПІДГОТОВЛЕННЯ</w:t>
      </w:r>
      <w:r w:rsidRPr="000977F7">
        <w:rPr>
          <w:color w:val="auto"/>
          <w:spacing w:val="-5"/>
          <w:sz w:val="20"/>
          <w:szCs w:val="20"/>
        </w:rPr>
        <w:t xml:space="preserve"> </w:t>
      </w:r>
      <w:r w:rsidRPr="000977F7">
        <w:rPr>
          <w:color w:val="auto"/>
          <w:sz w:val="20"/>
          <w:szCs w:val="20"/>
        </w:rPr>
        <w:t>ВИРОБНИЦТВА</w:t>
      </w:r>
      <w:r w:rsidRPr="000977F7">
        <w:rPr>
          <w:color w:val="auto"/>
          <w:spacing w:val="-1"/>
          <w:sz w:val="20"/>
          <w:szCs w:val="20"/>
        </w:rPr>
        <w:t xml:space="preserve"> </w:t>
      </w:r>
      <w:r w:rsidRPr="000977F7">
        <w:rPr>
          <w:color w:val="auto"/>
          <w:sz w:val="20"/>
          <w:szCs w:val="20"/>
        </w:rPr>
        <w:t>–</w:t>
      </w:r>
    </w:p>
    <w:p w14:paraId="6EDDCB8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заходів, яка охоплює виконання всього обсягу робіт з проектування, впровадження нових та вдосконалення освоєних конструкцій машин і технологічних</w:t>
      </w:r>
      <w:r w:rsidRPr="000977F7">
        <w:rPr>
          <w:rFonts w:asciiTheme="majorHAnsi" w:hAnsiTheme="majorHAnsi"/>
          <w:spacing w:val="-2"/>
          <w:sz w:val="20"/>
          <w:szCs w:val="20"/>
        </w:rPr>
        <w:t xml:space="preserve"> </w:t>
      </w:r>
      <w:r w:rsidRPr="000977F7">
        <w:rPr>
          <w:rFonts w:asciiTheme="majorHAnsi" w:hAnsiTheme="majorHAnsi"/>
          <w:sz w:val="20"/>
          <w:szCs w:val="20"/>
        </w:rPr>
        <w:t>процесів</w:t>
      </w:r>
    </w:p>
    <w:p w14:paraId="4DD6990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CB922A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охоплює</w:t>
      </w:r>
      <w:r w:rsidRPr="000977F7">
        <w:rPr>
          <w:rFonts w:asciiTheme="majorHAnsi" w:hAnsiTheme="majorHAnsi"/>
          <w:spacing w:val="1"/>
          <w:sz w:val="20"/>
          <w:szCs w:val="20"/>
        </w:rPr>
        <w:t xml:space="preserve"> </w:t>
      </w:r>
      <w:r w:rsidRPr="000977F7">
        <w:rPr>
          <w:rFonts w:asciiTheme="majorHAnsi" w:hAnsiTheme="majorHAnsi"/>
          <w:sz w:val="20"/>
          <w:szCs w:val="20"/>
        </w:rPr>
        <w:t>науково-дослідне, проектно-конструкторське, технологічне та</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організаційно-матеріальне</w:t>
      </w:r>
      <w:r w:rsidRPr="000977F7">
        <w:rPr>
          <w:rFonts w:asciiTheme="majorHAnsi" w:hAnsiTheme="majorHAnsi"/>
          <w:spacing w:val="-1"/>
          <w:sz w:val="20"/>
          <w:szCs w:val="20"/>
        </w:rPr>
        <w:t xml:space="preserve"> </w:t>
      </w:r>
      <w:r w:rsidRPr="000977F7">
        <w:rPr>
          <w:rFonts w:asciiTheme="majorHAnsi" w:hAnsiTheme="majorHAnsi"/>
          <w:sz w:val="20"/>
          <w:szCs w:val="20"/>
        </w:rPr>
        <w:t>підготовлення</w:t>
      </w:r>
    </w:p>
    <w:p w14:paraId="2573C96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66020846" w14:textId="77777777" w:rsidR="0097612F" w:rsidRPr="000977F7" w:rsidRDefault="0097612F" w:rsidP="000977F7">
      <w:pPr>
        <w:pStyle w:val="7"/>
        <w:tabs>
          <w:tab w:val="left" w:pos="284"/>
        </w:tabs>
        <w:spacing w:before="0" w:line="240" w:lineRule="auto"/>
        <w:ind w:left="170"/>
        <w:mirrorIndents/>
        <w:jc w:val="both"/>
        <w:rPr>
          <w:color w:val="auto"/>
          <w:spacing w:val="-8"/>
          <w:sz w:val="20"/>
          <w:szCs w:val="20"/>
        </w:rPr>
      </w:pPr>
      <w:r w:rsidRPr="000977F7">
        <w:rPr>
          <w:color w:val="auto"/>
          <w:spacing w:val="-8"/>
          <w:sz w:val="20"/>
          <w:szCs w:val="20"/>
        </w:rPr>
        <w:t>ПІДГОТОВЛЕННЯ ВИРОБНИЦТВА ПРОДУКЦІЇ –</w:t>
      </w:r>
    </w:p>
    <w:p w14:paraId="7704447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заходів, що забезпечують готовність 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освоєння</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необхідної</w:t>
      </w:r>
      <w:r w:rsidRPr="000977F7">
        <w:rPr>
          <w:rFonts w:asciiTheme="majorHAnsi" w:hAnsiTheme="majorHAnsi"/>
          <w:spacing w:val="-2"/>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визначеному</w:t>
      </w:r>
      <w:r w:rsidRPr="000977F7">
        <w:rPr>
          <w:rFonts w:asciiTheme="majorHAnsi" w:hAnsiTheme="majorHAnsi"/>
          <w:spacing w:val="-5"/>
          <w:sz w:val="20"/>
          <w:szCs w:val="20"/>
        </w:rPr>
        <w:t xml:space="preserve"> </w:t>
      </w:r>
      <w:r w:rsidRPr="000977F7">
        <w:rPr>
          <w:rFonts w:asciiTheme="majorHAnsi" w:hAnsiTheme="majorHAnsi"/>
          <w:sz w:val="20"/>
          <w:szCs w:val="20"/>
        </w:rPr>
        <w:t>обсязі</w:t>
      </w:r>
      <w:r w:rsidRPr="000977F7">
        <w:rPr>
          <w:rFonts w:asciiTheme="majorHAnsi" w:hAnsiTheme="majorHAnsi"/>
          <w:spacing w:val="-1"/>
          <w:sz w:val="20"/>
          <w:szCs w:val="20"/>
        </w:rPr>
        <w:t xml:space="preserve"> </w:t>
      </w:r>
      <w:r w:rsidRPr="000977F7">
        <w:rPr>
          <w:rFonts w:asciiTheme="majorHAnsi" w:hAnsiTheme="majorHAnsi"/>
          <w:sz w:val="20"/>
          <w:szCs w:val="20"/>
        </w:rPr>
        <w:t>випуску</w:t>
      </w:r>
    </w:p>
    <w:p w14:paraId="79C262D0"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3278</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3155B59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ПІДЗАГОЛОВОК</w:t>
      </w:r>
      <w:r w:rsidRPr="000977F7">
        <w:rPr>
          <w:color w:val="auto"/>
          <w:spacing w:val="-7"/>
          <w:sz w:val="20"/>
          <w:szCs w:val="20"/>
        </w:rPr>
        <w:t xml:space="preserve"> </w:t>
      </w:r>
      <w:r w:rsidRPr="000977F7">
        <w:rPr>
          <w:color w:val="auto"/>
          <w:sz w:val="20"/>
          <w:szCs w:val="20"/>
        </w:rPr>
        <w:t>СТАНДАРТА -</w:t>
      </w:r>
    </w:p>
    <w:p w14:paraId="4023DDE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SUBTITLE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STANDARD -</w:t>
      </w:r>
    </w:p>
    <w:p w14:paraId="3B040F4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1"/>
          <w:sz w:val="20"/>
          <w:szCs w:val="20"/>
        </w:rPr>
        <w:t xml:space="preserve"> </w:t>
      </w:r>
      <w:r w:rsidRPr="000977F7">
        <w:rPr>
          <w:rFonts w:asciiTheme="majorHAnsi" w:hAnsiTheme="majorHAnsi"/>
          <w:sz w:val="20"/>
          <w:szCs w:val="20"/>
        </w:rPr>
        <w:t>назви</w:t>
      </w:r>
      <w:r w:rsidRPr="000977F7">
        <w:rPr>
          <w:rFonts w:asciiTheme="majorHAnsi" w:hAnsiTheme="majorHAnsi"/>
          <w:spacing w:val="1"/>
          <w:sz w:val="20"/>
          <w:szCs w:val="20"/>
        </w:rPr>
        <w:t xml:space="preserve"> </w:t>
      </w:r>
      <w:r w:rsidRPr="000977F7">
        <w:rPr>
          <w:rFonts w:asciiTheme="majorHAnsi" w:hAnsiTheme="majorHAnsi"/>
          <w:sz w:val="20"/>
          <w:szCs w:val="20"/>
        </w:rPr>
        <w:t>стандарту,</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якому</w:t>
      </w:r>
      <w:r w:rsidRPr="000977F7">
        <w:rPr>
          <w:rFonts w:asciiTheme="majorHAnsi" w:hAnsiTheme="majorHAnsi"/>
          <w:spacing w:val="1"/>
          <w:sz w:val="20"/>
          <w:szCs w:val="20"/>
        </w:rPr>
        <w:t xml:space="preserve"> </w:t>
      </w:r>
      <w:r w:rsidRPr="000977F7">
        <w:rPr>
          <w:rFonts w:asciiTheme="majorHAnsi" w:hAnsiTheme="majorHAnsi"/>
          <w:sz w:val="20"/>
          <w:szCs w:val="20"/>
        </w:rPr>
        <w:t>вказаний</w:t>
      </w:r>
      <w:r w:rsidRPr="000977F7">
        <w:rPr>
          <w:rFonts w:asciiTheme="majorHAnsi" w:hAnsiTheme="majorHAnsi"/>
          <w:spacing w:val="1"/>
          <w:sz w:val="20"/>
          <w:szCs w:val="20"/>
        </w:rPr>
        <w:t xml:space="preserve"> </w:t>
      </w:r>
      <w:r w:rsidRPr="000977F7">
        <w:rPr>
          <w:rFonts w:asciiTheme="majorHAnsi" w:hAnsiTheme="majorHAnsi"/>
          <w:sz w:val="20"/>
          <w:szCs w:val="20"/>
        </w:rPr>
        <w:t>аспект</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p>
    <w:p w14:paraId="25C9F68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ПІДЗЕМНА</w:t>
      </w:r>
      <w:r w:rsidRPr="000977F7">
        <w:rPr>
          <w:color w:val="auto"/>
          <w:spacing w:val="-3"/>
          <w:sz w:val="20"/>
          <w:szCs w:val="20"/>
        </w:rPr>
        <w:t xml:space="preserve"> </w:t>
      </w:r>
      <w:r w:rsidRPr="000977F7">
        <w:rPr>
          <w:color w:val="auto"/>
          <w:sz w:val="20"/>
          <w:szCs w:val="20"/>
        </w:rPr>
        <w:t>КОРОЗІЯ</w:t>
      </w:r>
      <w:r w:rsidRPr="000977F7">
        <w:rPr>
          <w:color w:val="auto"/>
          <w:spacing w:val="-2"/>
          <w:sz w:val="20"/>
          <w:szCs w:val="20"/>
        </w:rPr>
        <w:t xml:space="preserve"> </w:t>
      </w:r>
      <w:r w:rsidRPr="000977F7">
        <w:rPr>
          <w:color w:val="auto"/>
          <w:sz w:val="20"/>
          <w:szCs w:val="20"/>
        </w:rPr>
        <w:t>—</w:t>
      </w:r>
    </w:p>
    <w:p w14:paraId="500338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UNDERGROUND</w:t>
      </w:r>
      <w:r w:rsidRPr="000977F7">
        <w:rPr>
          <w:rFonts w:asciiTheme="majorHAnsi" w:hAnsiTheme="majorHAnsi"/>
          <w:spacing w:val="-2"/>
          <w:sz w:val="20"/>
          <w:szCs w:val="20"/>
        </w:rPr>
        <w:t xml:space="preserve"> </w:t>
      </w:r>
      <w:r w:rsidRPr="000977F7">
        <w:rPr>
          <w:rFonts w:asciiTheme="majorHAnsi" w:hAnsiTheme="majorHAnsi"/>
          <w:sz w:val="20"/>
          <w:szCs w:val="20"/>
        </w:rPr>
        <w:t>CORROSION –</w:t>
      </w:r>
    </w:p>
    <w:p w14:paraId="26905F0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Корозія</w:t>
      </w:r>
      <w:r w:rsidRPr="000977F7">
        <w:rPr>
          <w:rFonts w:asciiTheme="majorHAnsi" w:hAnsiTheme="majorHAnsi"/>
          <w:spacing w:val="-4"/>
          <w:sz w:val="20"/>
          <w:szCs w:val="20"/>
        </w:rPr>
        <w:t xml:space="preserve"> </w:t>
      </w:r>
      <w:r w:rsidRPr="000977F7">
        <w:rPr>
          <w:rFonts w:asciiTheme="majorHAnsi" w:hAnsiTheme="majorHAnsi"/>
          <w:sz w:val="20"/>
          <w:szCs w:val="20"/>
        </w:rPr>
        <w:t>металу, поміщеного</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3"/>
          <w:sz w:val="20"/>
          <w:szCs w:val="20"/>
        </w:rPr>
        <w:t xml:space="preserve"> </w:t>
      </w:r>
      <w:r w:rsidRPr="000977F7">
        <w:rPr>
          <w:rFonts w:asciiTheme="majorHAnsi" w:hAnsiTheme="majorHAnsi"/>
          <w:sz w:val="20"/>
          <w:szCs w:val="20"/>
        </w:rPr>
        <w:t>землю</w:t>
      </w:r>
    </w:p>
    <w:p w14:paraId="0B9AB9E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49DBBB3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ПІДНАЛАГОДЖЕННЯ</w:t>
      </w:r>
      <w:r w:rsidRPr="000977F7">
        <w:rPr>
          <w:color w:val="auto"/>
          <w:spacing w:val="-3"/>
          <w:sz w:val="20"/>
          <w:szCs w:val="20"/>
        </w:rPr>
        <w:t xml:space="preserve"> </w:t>
      </w:r>
      <w:r w:rsidRPr="000977F7">
        <w:rPr>
          <w:color w:val="auto"/>
          <w:sz w:val="20"/>
          <w:szCs w:val="20"/>
        </w:rPr>
        <w:t>–</w:t>
      </w:r>
    </w:p>
    <w:p w14:paraId="0DAB4D4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RESETTING</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FC0A4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Додаткове налагодження технологічного устаткування та (чи) технологічного оснащення при виконанні</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1"/>
          <w:sz w:val="20"/>
          <w:szCs w:val="20"/>
        </w:rPr>
        <w:t xml:space="preserve"> </w:t>
      </w:r>
      <w:r w:rsidRPr="000977F7">
        <w:rPr>
          <w:rFonts w:asciiTheme="majorHAnsi" w:hAnsiTheme="majorHAnsi"/>
          <w:sz w:val="20"/>
          <w:szCs w:val="20"/>
        </w:rPr>
        <w:t>операції</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відновлення</w:t>
      </w:r>
      <w:r w:rsidRPr="000977F7">
        <w:rPr>
          <w:rFonts w:asciiTheme="majorHAnsi" w:hAnsiTheme="majorHAnsi"/>
          <w:spacing w:val="1"/>
          <w:sz w:val="20"/>
          <w:szCs w:val="20"/>
        </w:rPr>
        <w:t xml:space="preserve"> </w:t>
      </w:r>
      <w:r w:rsidRPr="000977F7">
        <w:rPr>
          <w:rFonts w:asciiTheme="majorHAnsi" w:hAnsiTheme="majorHAnsi"/>
          <w:sz w:val="20"/>
          <w:szCs w:val="20"/>
        </w:rPr>
        <w:t>досягнутих</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2"/>
          <w:sz w:val="20"/>
          <w:szCs w:val="20"/>
        </w:rPr>
        <w:t xml:space="preserve"> </w:t>
      </w:r>
      <w:r w:rsidRPr="000977F7">
        <w:rPr>
          <w:rFonts w:asciiTheme="majorHAnsi" w:hAnsiTheme="majorHAnsi"/>
          <w:sz w:val="20"/>
          <w:szCs w:val="20"/>
        </w:rPr>
        <w:t>налагодженні</w:t>
      </w:r>
      <w:r w:rsidRPr="000977F7">
        <w:rPr>
          <w:rFonts w:asciiTheme="majorHAnsi" w:hAnsiTheme="majorHAnsi"/>
          <w:spacing w:val="-1"/>
          <w:sz w:val="20"/>
          <w:szCs w:val="20"/>
        </w:rPr>
        <w:t xml:space="preserve"> </w:t>
      </w:r>
      <w:r w:rsidRPr="000977F7">
        <w:rPr>
          <w:rFonts w:asciiTheme="majorHAnsi" w:hAnsiTheme="majorHAnsi"/>
          <w:sz w:val="20"/>
          <w:szCs w:val="20"/>
        </w:rPr>
        <w:t>значень</w:t>
      </w:r>
      <w:r w:rsidRPr="000977F7">
        <w:rPr>
          <w:rFonts w:asciiTheme="majorHAnsi" w:hAnsiTheme="majorHAnsi"/>
          <w:spacing w:val="-1"/>
          <w:sz w:val="20"/>
          <w:szCs w:val="20"/>
        </w:rPr>
        <w:t xml:space="preserve"> </w:t>
      </w:r>
      <w:r w:rsidRPr="000977F7">
        <w:rPr>
          <w:rFonts w:asciiTheme="majorHAnsi" w:hAnsiTheme="majorHAnsi"/>
          <w:sz w:val="20"/>
          <w:szCs w:val="20"/>
        </w:rPr>
        <w:t>параметрів</w:t>
      </w:r>
    </w:p>
    <w:p w14:paraId="1C73276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08BA714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ПІДПОВЕРХНЕВА</w:t>
      </w:r>
      <w:r w:rsidRPr="000977F7">
        <w:rPr>
          <w:color w:val="auto"/>
          <w:spacing w:val="-3"/>
          <w:sz w:val="20"/>
          <w:szCs w:val="20"/>
        </w:rPr>
        <w:t xml:space="preserve"> </w:t>
      </w:r>
      <w:r w:rsidRPr="000977F7">
        <w:rPr>
          <w:color w:val="auto"/>
          <w:sz w:val="20"/>
          <w:szCs w:val="20"/>
        </w:rPr>
        <w:t>КОРОЗІЯ</w:t>
      </w:r>
      <w:r w:rsidRPr="000977F7">
        <w:rPr>
          <w:color w:val="auto"/>
          <w:spacing w:val="-3"/>
          <w:sz w:val="20"/>
          <w:szCs w:val="20"/>
        </w:rPr>
        <w:t xml:space="preserve"> </w:t>
      </w:r>
      <w:r w:rsidRPr="000977F7">
        <w:rPr>
          <w:color w:val="auto"/>
          <w:sz w:val="20"/>
          <w:szCs w:val="20"/>
        </w:rPr>
        <w:t>—</w:t>
      </w:r>
    </w:p>
    <w:p w14:paraId="7399989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Місцева</w:t>
      </w:r>
      <w:r w:rsidRPr="000977F7">
        <w:rPr>
          <w:rFonts w:asciiTheme="majorHAnsi" w:hAnsiTheme="majorHAnsi"/>
          <w:spacing w:val="-1"/>
          <w:sz w:val="20"/>
          <w:szCs w:val="20"/>
        </w:rPr>
        <w:t xml:space="preserve"> </w:t>
      </w:r>
      <w:r w:rsidRPr="000977F7">
        <w:rPr>
          <w:rFonts w:asciiTheme="majorHAnsi" w:hAnsiTheme="majorHAnsi"/>
          <w:sz w:val="20"/>
          <w:szCs w:val="20"/>
        </w:rPr>
        <w:t>корозія,</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2"/>
          <w:sz w:val="20"/>
          <w:szCs w:val="20"/>
        </w:rPr>
        <w:t xml:space="preserve"> </w:t>
      </w:r>
      <w:r w:rsidRPr="000977F7">
        <w:rPr>
          <w:rFonts w:asciiTheme="majorHAnsi" w:hAnsiTheme="majorHAnsi"/>
          <w:sz w:val="20"/>
          <w:szCs w:val="20"/>
        </w:rPr>
        <w:t>починається</w:t>
      </w:r>
      <w:r w:rsidRPr="000977F7">
        <w:rPr>
          <w:rFonts w:asciiTheme="majorHAnsi" w:hAnsiTheme="majorHAnsi"/>
          <w:spacing w:val="-4"/>
          <w:sz w:val="20"/>
          <w:szCs w:val="20"/>
        </w:rPr>
        <w:t xml:space="preserve"> </w:t>
      </w:r>
      <w:r w:rsidRPr="000977F7">
        <w:rPr>
          <w:rFonts w:asciiTheme="majorHAnsi" w:hAnsiTheme="majorHAnsi"/>
          <w:sz w:val="20"/>
          <w:szCs w:val="20"/>
        </w:rPr>
        <w:t>з</w:t>
      </w:r>
      <w:r w:rsidRPr="000977F7">
        <w:rPr>
          <w:rFonts w:asciiTheme="majorHAnsi" w:hAnsiTheme="majorHAnsi"/>
          <w:spacing w:val="-3"/>
          <w:sz w:val="20"/>
          <w:szCs w:val="20"/>
        </w:rPr>
        <w:t xml:space="preserve"> </w:t>
      </w:r>
      <w:r w:rsidRPr="000977F7">
        <w:rPr>
          <w:rFonts w:asciiTheme="majorHAnsi" w:hAnsiTheme="majorHAnsi"/>
          <w:sz w:val="20"/>
          <w:szCs w:val="20"/>
        </w:rPr>
        <w:t>поверхні</w:t>
      </w:r>
      <w:r w:rsidRPr="000977F7">
        <w:rPr>
          <w:rFonts w:asciiTheme="majorHAnsi" w:hAnsiTheme="majorHAnsi"/>
          <w:spacing w:val="-4"/>
          <w:sz w:val="20"/>
          <w:szCs w:val="20"/>
        </w:rPr>
        <w:t xml:space="preserve"> </w:t>
      </w:r>
      <w:r w:rsidRPr="000977F7">
        <w:rPr>
          <w:rFonts w:asciiTheme="majorHAnsi" w:hAnsiTheme="majorHAnsi"/>
          <w:sz w:val="20"/>
          <w:szCs w:val="20"/>
        </w:rPr>
        <w:t>металу</w:t>
      </w:r>
      <w:r w:rsidRPr="000977F7">
        <w:rPr>
          <w:rFonts w:asciiTheme="majorHAnsi" w:hAnsiTheme="majorHAnsi"/>
          <w:spacing w:val="-4"/>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набуває</w:t>
      </w:r>
      <w:r w:rsidRPr="000977F7">
        <w:rPr>
          <w:rFonts w:asciiTheme="majorHAnsi" w:hAnsiTheme="majorHAnsi"/>
          <w:spacing w:val="-1"/>
          <w:sz w:val="20"/>
          <w:szCs w:val="20"/>
        </w:rPr>
        <w:t xml:space="preserve"> </w:t>
      </w:r>
      <w:r w:rsidRPr="000977F7">
        <w:rPr>
          <w:rFonts w:asciiTheme="majorHAnsi" w:hAnsiTheme="majorHAnsi"/>
          <w:sz w:val="20"/>
          <w:szCs w:val="20"/>
        </w:rPr>
        <w:t>поширення</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нею</w:t>
      </w:r>
    </w:p>
    <w:p w14:paraId="6680088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58D55434" w14:textId="77777777" w:rsidR="0097612F" w:rsidRPr="000977F7" w:rsidRDefault="0097612F" w:rsidP="000977F7">
      <w:pPr>
        <w:pStyle w:val="7"/>
        <w:tabs>
          <w:tab w:val="left" w:pos="284"/>
          <w:tab w:val="left" w:pos="2553"/>
          <w:tab w:val="left" w:pos="2922"/>
          <w:tab w:val="left" w:pos="3649"/>
          <w:tab w:val="left" w:pos="4839"/>
        </w:tabs>
        <w:spacing w:before="0" w:line="240" w:lineRule="auto"/>
        <w:ind w:left="170"/>
        <w:mirrorIndents/>
        <w:jc w:val="both"/>
        <w:rPr>
          <w:color w:val="auto"/>
          <w:sz w:val="20"/>
          <w:szCs w:val="20"/>
        </w:rPr>
      </w:pPr>
      <w:r w:rsidRPr="000977F7">
        <w:rPr>
          <w:color w:val="auto"/>
          <w:sz w:val="20"/>
          <w:szCs w:val="20"/>
        </w:rPr>
        <w:t xml:space="preserve">ПІДПРИЄМСТВА, УСТАНОВИ </w:t>
      </w:r>
      <w:r w:rsidRPr="000977F7">
        <w:rPr>
          <w:color w:val="auto"/>
          <w:spacing w:val="-2"/>
          <w:sz w:val="20"/>
          <w:szCs w:val="20"/>
        </w:rPr>
        <w:t>ТА</w:t>
      </w:r>
      <w:r w:rsidRPr="000977F7">
        <w:rPr>
          <w:color w:val="auto"/>
          <w:spacing w:val="-48"/>
          <w:sz w:val="20"/>
          <w:szCs w:val="20"/>
        </w:rPr>
        <w:t xml:space="preserve"> </w:t>
      </w:r>
      <w:r w:rsidRPr="000977F7">
        <w:rPr>
          <w:color w:val="auto"/>
          <w:sz w:val="20"/>
          <w:szCs w:val="20"/>
        </w:rPr>
        <w:t xml:space="preserve">ОРГАНІЗАЦІЇ, ЩО </w:t>
      </w:r>
      <w:r w:rsidRPr="000977F7">
        <w:rPr>
          <w:color w:val="auto"/>
          <w:spacing w:val="-1"/>
          <w:sz w:val="20"/>
          <w:szCs w:val="20"/>
        </w:rPr>
        <w:t>ЗДІЙСНЮЮТЬ</w:t>
      </w:r>
      <w:r w:rsidRPr="000977F7">
        <w:rPr>
          <w:color w:val="auto"/>
          <w:spacing w:val="-48"/>
          <w:sz w:val="20"/>
          <w:szCs w:val="20"/>
        </w:rPr>
        <w:t xml:space="preserve"> </w:t>
      </w:r>
      <w:r w:rsidRPr="000977F7">
        <w:rPr>
          <w:color w:val="auto"/>
          <w:sz w:val="20"/>
          <w:szCs w:val="20"/>
        </w:rPr>
        <w:t>СТАНДАРТИЗАЦІЮ</w:t>
      </w:r>
      <w:r w:rsidRPr="000977F7">
        <w:rPr>
          <w:color w:val="auto"/>
          <w:spacing w:val="-1"/>
          <w:sz w:val="20"/>
          <w:szCs w:val="20"/>
        </w:rPr>
        <w:t xml:space="preserve"> </w:t>
      </w:r>
      <w:r w:rsidRPr="000977F7">
        <w:rPr>
          <w:color w:val="auto"/>
          <w:sz w:val="20"/>
          <w:szCs w:val="20"/>
        </w:rPr>
        <w:t>–</w:t>
      </w:r>
    </w:p>
    <w:p w14:paraId="0B0C2B3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Підприємства,</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установи</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організації</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мають</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право</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відповідних сферах діяльності та з урахуванням своїх</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господарських і професійних потреб організовувати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виконувати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роботи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із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стандартизації,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зокрема:</w:t>
      </w:r>
    </w:p>
    <w:p w14:paraId="6CE23B56" w14:textId="77777777" w:rsidR="0097612F" w:rsidRPr="000977F7" w:rsidRDefault="0097612F" w:rsidP="00FD39A4">
      <w:pPr>
        <w:pStyle w:val="ac"/>
        <w:widowControl w:val="0"/>
        <w:numPr>
          <w:ilvl w:val="0"/>
          <w:numId w:val="123"/>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розробляти, приймати, перевіряти, переглядати та</w:t>
      </w:r>
      <w:r w:rsidRPr="000977F7">
        <w:rPr>
          <w:rFonts w:asciiTheme="majorHAnsi" w:hAnsiTheme="majorHAnsi"/>
          <w:spacing w:val="1"/>
          <w:sz w:val="20"/>
          <w:szCs w:val="20"/>
        </w:rPr>
        <w:t xml:space="preserve"> </w:t>
      </w:r>
      <w:r w:rsidRPr="000977F7">
        <w:rPr>
          <w:rFonts w:asciiTheme="majorHAnsi" w:hAnsiTheme="majorHAnsi"/>
          <w:sz w:val="20"/>
          <w:szCs w:val="20"/>
        </w:rPr>
        <w:t>скасовувати стандарти, кодекси усталеної практики,</w:t>
      </w:r>
      <w:r w:rsidRPr="000977F7">
        <w:rPr>
          <w:rFonts w:asciiTheme="majorHAnsi" w:hAnsiTheme="majorHAnsi"/>
          <w:spacing w:val="1"/>
          <w:sz w:val="20"/>
          <w:szCs w:val="20"/>
        </w:rPr>
        <w:t xml:space="preserve"> </w:t>
      </w:r>
      <w:r w:rsidRPr="000977F7">
        <w:rPr>
          <w:rFonts w:asciiTheme="majorHAnsi" w:hAnsiTheme="majorHAnsi"/>
          <w:sz w:val="20"/>
          <w:szCs w:val="20"/>
        </w:rPr>
        <w:t>технічні умови і зміни до них, установлювати процедури їх розроблення, прийняття, перевірки, перегляду,</w:t>
      </w:r>
      <w:r w:rsidRPr="000977F7">
        <w:rPr>
          <w:rFonts w:asciiTheme="majorHAnsi" w:hAnsiTheme="majorHAnsi"/>
          <w:spacing w:val="-48"/>
          <w:sz w:val="20"/>
          <w:szCs w:val="20"/>
        </w:rPr>
        <w:t xml:space="preserve"> </w:t>
      </w:r>
      <w:r w:rsidRPr="000977F7">
        <w:rPr>
          <w:rFonts w:asciiTheme="majorHAnsi" w:hAnsiTheme="majorHAnsi"/>
          <w:sz w:val="20"/>
          <w:szCs w:val="20"/>
        </w:rPr>
        <w:t>скасування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p>
    <w:p w14:paraId="3E0B3D17" w14:textId="77777777" w:rsidR="0097612F" w:rsidRPr="000977F7" w:rsidRDefault="0097612F" w:rsidP="00FD39A4">
      <w:pPr>
        <w:pStyle w:val="ac"/>
        <w:widowControl w:val="0"/>
        <w:numPr>
          <w:ilvl w:val="0"/>
          <w:numId w:val="123"/>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застосовувати</w:t>
      </w:r>
      <w:r w:rsidRPr="000977F7">
        <w:rPr>
          <w:rFonts w:asciiTheme="majorHAnsi" w:hAnsiTheme="majorHAnsi"/>
          <w:spacing w:val="-5"/>
          <w:sz w:val="20"/>
          <w:szCs w:val="20"/>
        </w:rPr>
        <w:t xml:space="preserve"> </w:t>
      </w:r>
      <w:r w:rsidRPr="000977F7">
        <w:rPr>
          <w:rFonts w:asciiTheme="majorHAnsi" w:hAnsiTheme="majorHAnsi"/>
          <w:sz w:val="20"/>
          <w:szCs w:val="20"/>
        </w:rPr>
        <w:t>прийняті</w:t>
      </w:r>
      <w:r w:rsidRPr="000977F7">
        <w:rPr>
          <w:rFonts w:asciiTheme="majorHAnsi" w:hAnsiTheme="majorHAnsi"/>
          <w:spacing w:val="-4"/>
          <w:sz w:val="20"/>
          <w:szCs w:val="20"/>
        </w:rPr>
        <w:t xml:space="preserve"> </w:t>
      </w:r>
      <w:r w:rsidRPr="000977F7">
        <w:rPr>
          <w:rFonts w:asciiTheme="majorHAnsi" w:hAnsiTheme="majorHAnsi"/>
          <w:sz w:val="20"/>
          <w:szCs w:val="20"/>
        </w:rPr>
        <w:t>ними</w:t>
      </w:r>
      <w:r w:rsidRPr="000977F7">
        <w:rPr>
          <w:rFonts w:asciiTheme="majorHAnsi" w:hAnsiTheme="majorHAnsi"/>
          <w:spacing w:val="-7"/>
          <w:sz w:val="20"/>
          <w:szCs w:val="20"/>
        </w:rPr>
        <w:t xml:space="preserve"> </w:t>
      </w:r>
      <w:r w:rsidRPr="000977F7">
        <w:rPr>
          <w:rFonts w:asciiTheme="majorHAnsi" w:hAnsiTheme="majorHAnsi"/>
          <w:sz w:val="20"/>
          <w:szCs w:val="20"/>
        </w:rPr>
        <w:t>стандарти,</w:t>
      </w:r>
      <w:r w:rsidRPr="000977F7">
        <w:rPr>
          <w:rFonts w:asciiTheme="majorHAnsi" w:hAnsiTheme="majorHAnsi"/>
          <w:spacing w:val="-5"/>
          <w:sz w:val="20"/>
          <w:szCs w:val="20"/>
        </w:rPr>
        <w:t xml:space="preserve"> </w:t>
      </w:r>
      <w:r w:rsidRPr="000977F7">
        <w:rPr>
          <w:rFonts w:asciiTheme="majorHAnsi" w:hAnsiTheme="majorHAnsi"/>
          <w:sz w:val="20"/>
          <w:szCs w:val="20"/>
        </w:rPr>
        <w:t>кодекси</w:t>
      </w:r>
      <w:r w:rsidRPr="000977F7">
        <w:rPr>
          <w:rFonts w:asciiTheme="majorHAnsi" w:hAnsiTheme="majorHAnsi"/>
          <w:spacing w:val="-47"/>
          <w:sz w:val="20"/>
          <w:szCs w:val="20"/>
        </w:rPr>
        <w:t xml:space="preserve"> </w:t>
      </w:r>
      <w:r w:rsidRPr="000977F7">
        <w:rPr>
          <w:rFonts w:asciiTheme="majorHAnsi" w:hAnsiTheme="majorHAnsi"/>
          <w:sz w:val="20"/>
          <w:szCs w:val="20"/>
        </w:rPr>
        <w:t>усталеної</w:t>
      </w:r>
      <w:r w:rsidRPr="000977F7">
        <w:rPr>
          <w:rFonts w:asciiTheme="majorHAnsi" w:hAnsiTheme="majorHAnsi"/>
          <w:spacing w:val="1"/>
          <w:sz w:val="20"/>
          <w:szCs w:val="20"/>
        </w:rPr>
        <w:t xml:space="preserve"> </w:t>
      </w:r>
      <w:r w:rsidRPr="000977F7">
        <w:rPr>
          <w:rFonts w:asciiTheme="majorHAnsi" w:hAnsiTheme="majorHAnsi"/>
          <w:sz w:val="20"/>
          <w:szCs w:val="20"/>
        </w:rPr>
        <w:t>практики</w:t>
      </w:r>
      <w:r w:rsidRPr="000977F7">
        <w:rPr>
          <w:rFonts w:asciiTheme="majorHAnsi" w:hAnsiTheme="majorHAnsi"/>
          <w:spacing w:val="-2"/>
          <w:sz w:val="20"/>
          <w:szCs w:val="20"/>
        </w:rPr>
        <w:t xml:space="preserve"> </w:t>
      </w:r>
      <w:r w:rsidRPr="000977F7">
        <w:rPr>
          <w:rFonts w:asciiTheme="majorHAnsi" w:hAnsiTheme="majorHAnsi"/>
          <w:sz w:val="20"/>
          <w:szCs w:val="20"/>
        </w:rPr>
        <w:t>та технічні</w:t>
      </w:r>
      <w:r w:rsidRPr="000977F7">
        <w:rPr>
          <w:rFonts w:asciiTheme="majorHAnsi" w:hAnsiTheme="majorHAnsi"/>
          <w:spacing w:val="1"/>
          <w:sz w:val="20"/>
          <w:szCs w:val="20"/>
        </w:rPr>
        <w:t xml:space="preserve"> </w:t>
      </w:r>
      <w:r w:rsidRPr="000977F7">
        <w:rPr>
          <w:rFonts w:asciiTheme="majorHAnsi" w:hAnsiTheme="majorHAnsi"/>
          <w:sz w:val="20"/>
          <w:szCs w:val="20"/>
        </w:rPr>
        <w:t>умови;</w:t>
      </w:r>
    </w:p>
    <w:p w14:paraId="50337618" w14:textId="77777777" w:rsidR="0097612F" w:rsidRPr="000977F7" w:rsidRDefault="0097612F" w:rsidP="00FD39A4">
      <w:pPr>
        <w:pStyle w:val="ac"/>
        <w:widowControl w:val="0"/>
        <w:numPr>
          <w:ilvl w:val="0"/>
          <w:numId w:val="123"/>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брати участь у роботі спеціалізованих міжнародних та регіональних організацій стандартизації відповідно до</w:t>
      </w:r>
      <w:r w:rsidRPr="000977F7">
        <w:rPr>
          <w:rFonts w:asciiTheme="majorHAnsi" w:hAnsiTheme="majorHAnsi"/>
          <w:spacing w:val="-1"/>
          <w:sz w:val="20"/>
          <w:szCs w:val="20"/>
        </w:rPr>
        <w:t xml:space="preserve"> </w:t>
      </w:r>
      <w:r w:rsidRPr="000977F7">
        <w:rPr>
          <w:rFonts w:asciiTheme="majorHAnsi" w:hAnsiTheme="majorHAnsi"/>
          <w:sz w:val="20"/>
          <w:szCs w:val="20"/>
        </w:rPr>
        <w:t>положень</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такі</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p>
    <w:p w14:paraId="61464F48" w14:textId="77777777" w:rsidR="0097612F" w:rsidRPr="000977F7" w:rsidRDefault="0097612F" w:rsidP="00FD39A4">
      <w:pPr>
        <w:pStyle w:val="ac"/>
        <w:widowControl w:val="0"/>
        <w:numPr>
          <w:ilvl w:val="0"/>
          <w:numId w:val="123"/>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створювати та вести фонди нормативних документів і видавати каталоги нормативних документів для</w:t>
      </w:r>
      <w:r w:rsidRPr="000977F7">
        <w:rPr>
          <w:rFonts w:asciiTheme="majorHAnsi" w:hAnsiTheme="majorHAnsi"/>
          <w:spacing w:val="1"/>
          <w:sz w:val="20"/>
          <w:szCs w:val="20"/>
        </w:rPr>
        <w:t xml:space="preserve"> </w:t>
      </w:r>
      <w:r w:rsidRPr="000977F7">
        <w:rPr>
          <w:rFonts w:asciiTheme="majorHAnsi" w:hAnsiTheme="majorHAnsi"/>
          <w:sz w:val="20"/>
          <w:szCs w:val="20"/>
        </w:rPr>
        <w:t>забезпечення своєї діяльності та інформаційного обміну;</w:t>
      </w:r>
    </w:p>
    <w:p w14:paraId="615C71D1" w14:textId="77777777" w:rsidR="0097612F" w:rsidRPr="000977F7" w:rsidRDefault="0097612F" w:rsidP="00FD39A4">
      <w:pPr>
        <w:pStyle w:val="ac"/>
        <w:widowControl w:val="0"/>
        <w:numPr>
          <w:ilvl w:val="0"/>
          <w:numId w:val="123"/>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видавати і розповсюджувати прийняті ними стандарти, кодекси усталеної практики та технічні умови,</w:t>
      </w:r>
      <w:r w:rsidRPr="000977F7">
        <w:rPr>
          <w:rFonts w:asciiTheme="majorHAnsi" w:hAnsiTheme="majorHAnsi"/>
          <w:spacing w:val="-47"/>
          <w:sz w:val="20"/>
          <w:szCs w:val="20"/>
        </w:rPr>
        <w:t xml:space="preserve"> </w:t>
      </w:r>
      <w:r w:rsidRPr="000977F7">
        <w:rPr>
          <w:rFonts w:asciiTheme="majorHAnsi" w:hAnsiTheme="majorHAnsi"/>
          <w:sz w:val="20"/>
          <w:szCs w:val="20"/>
        </w:rPr>
        <w:t>документи</w:t>
      </w:r>
      <w:r w:rsidRPr="000977F7">
        <w:rPr>
          <w:rFonts w:asciiTheme="majorHAnsi" w:hAnsiTheme="majorHAnsi"/>
          <w:spacing w:val="-8"/>
          <w:sz w:val="20"/>
          <w:szCs w:val="20"/>
        </w:rPr>
        <w:t xml:space="preserve"> </w:t>
      </w:r>
      <w:r w:rsidRPr="000977F7">
        <w:rPr>
          <w:rFonts w:asciiTheme="majorHAnsi" w:hAnsiTheme="majorHAnsi"/>
          <w:sz w:val="20"/>
          <w:szCs w:val="20"/>
        </w:rPr>
        <w:t>відповідних</w:t>
      </w:r>
      <w:r w:rsidRPr="000977F7">
        <w:rPr>
          <w:rFonts w:asciiTheme="majorHAnsi" w:hAnsiTheme="majorHAnsi"/>
          <w:spacing w:val="-7"/>
          <w:sz w:val="20"/>
          <w:szCs w:val="20"/>
        </w:rPr>
        <w:t xml:space="preserve"> </w:t>
      </w:r>
      <w:r w:rsidRPr="000977F7">
        <w:rPr>
          <w:rFonts w:asciiTheme="majorHAnsi" w:hAnsiTheme="majorHAnsi"/>
          <w:sz w:val="20"/>
          <w:szCs w:val="20"/>
        </w:rPr>
        <w:t>спеціалізованих</w:t>
      </w:r>
      <w:r w:rsidRPr="000977F7">
        <w:rPr>
          <w:rFonts w:asciiTheme="majorHAnsi" w:hAnsiTheme="majorHAnsi"/>
          <w:spacing w:val="-7"/>
          <w:sz w:val="20"/>
          <w:szCs w:val="20"/>
        </w:rPr>
        <w:t xml:space="preserve"> </w:t>
      </w:r>
      <w:r w:rsidRPr="000977F7">
        <w:rPr>
          <w:rFonts w:asciiTheme="majorHAnsi" w:hAnsiTheme="majorHAnsi"/>
          <w:sz w:val="20"/>
          <w:szCs w:val="20"/>
        </w:rPr>
        <w:t>міжнародних</w:t>
      </w:r>
      <w:r w:rsidRPr="000977F7">
        <w:rPr>
          <w:rFonts w:asciiTheme="majorHAnsi" w:hAnsiTheme="majorHAnsi"/>
          <w:spacing w:val="-47"/>
          <w:sz w:val="20"/>
          <w:szCs w:val="20"/>
        </w:rPr>
        <w:t xml:space="preserve"> </w:t>
      </w:r>
      <w:r w:rsidRPr="000977F7">
        <w:rPr>
          <w:rFonts w:asciiTheme="majorHAnsi" w:hAnsiTheme="majorHAnsi"/>
          <w:sz w:val="20"/>
          <w:szCs w:val="20"/>
        </w:rPr>
        <w:t>організацій стандартизації, членами яких вони є чи з</w:t>
      </w:r>
      <w:r w:rsidRPr="000977F7">
        <w:rPr>
          <w:rFonts w:asciiTheme="majorHAnsi" w:hAnsiTheme="majorHAnsi"/>
          <w:spacing w:val="1"/>
          <w:sz w:val="20"/>
          <w:szCs w:val="20"/>
        </w:rPr>
        <w:t xml:space="preserve"> </w:t>
      </w:r>
      <w:r w:rsidRPr="000977F7">
        <w:rPr>
          <w:rFonts w:asciiTheme="majorHAnsi" w:hAnsiTheme="majorHAnsi"/>
          <w:sz w:val="20"/>
          <w:szCs w:val="20"/>
        </w:rPr>
        <w:t xml:space="preserve">якими співпрацюють на підставі </w:t>
      </w:r>
      <w:r w:rsidRPr="000977F7">
        <w:rPr>
          <w:rFonts w:asciiTheme="majorHAnsi" w:hAnsiTheme="majorHAnsi"/>
          <w:sz w:val="20"/>
          <w:szCs w:val="20"/>
        </w:rPr>
        <w:t>положень про такі</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відповідних</w:t>
      </w:r>
      <w:r w:rsidRPr="000977F7">
        <w:rPr>
          <w:rFonts w:asciiTheme="majorHAnsi" w:hAnsiTheme="majorHAnsi"/>
          <w:spacing w:val="1"/>
          <w:sz w:val="20"/>
          <w:szCs w:val="20"/>
        </w:rPr>
        <w:t xml:space="preserve"> </w:t>
      </w:r>
      <w:r w:rsidRPr="000977F7">
        <w:rPr>
          <w:rFonts w:asciiTheme="majorHAnsi" w:hAnsiTheme="majorHAnsi"/>
          <w:sz w:val="20"/>
          <w:szCs w:val="20"/>
        </w:rPr>
        <w:t>договорів.</w:t>
      </w:r>
    </w:p>
    <w:p w14:paraId="3287580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Стандарти, кодекси усталеної практики та технічні</w:t>
      </w:r>
      <w:r w:rsidRPr="000977F7">
        <w:rPr>
          <w:rFonts w:asciiTheme="majorHAnsi" w:hAnsiTheme="majorHAnsi"/>
          <w:spacing w:val="1"/>
          <w:sz w:val="20"/>
          <w:szCs w:val="20"/>
        </w:rPr>
        <w:t xml:space="preserve"> </w:t>
      </w:r>
      <w:r w:rsidRPr="000977F7">
        <w:rPr>
          <w:rFonts w:asciiTheme="majorHAnsi" w:hAnsiTheme="majorHAnsi"/>
          <w:sz w:val="20"/>
          <w:szCs w:val="20"/>
        </w:rPr>
        <w:t>умови, прийняті підприємствами, установами та організаціями,</w:t>
      </w:r>
      <w:r w:rsidRPr="000977F7">
        <w:rPr>
          <w:rFonts w:asciiTheme="majorHAnsi" w:hAnsiTheme="majorHAnsi"/>
          <w:spacing w:val="-3"/>
          <w:sz w:val="20"/>
          <w:szCs w:val="20"/>
        </w:rPr>
        <w:t xml:space="preserve"> </w:t>
      </w:r>
      <w:r w:rsidRPr="000977F7">
        <w:rPr>
          <w:rFonts w:asciiTheme="majorHAnsi" w:hAnsiTheme="majorHAnsi"/>
          <w:sz w:val="20"/>
          <w:szCs w:val="20"/>
        </w:rPr>
        <w:t>застосовуються на</w:t>
      </w:r>
      <w:r w:rsidRPr="000977F7">
        <w:rPr>
          <w:rFonts w:asciiTheme="majorHAnsi" w:hAnsiTheme="majorHAnsi"/>
          <w:spacing w:val="-2"/>
          <w:sz w:val="20"/>
          <w:szCs w:val="20"/>
        </w:rPr>
        <w:t xml:space="preserve"> </w:t>
      </w:r>
      <w:r w:rsidRPr="000977F7">
        <w:rPr>
          <w:rFonts w:asciiTheme="majorHAnsi" w:hAnsiTheme="majorHAnsi"/>
          <w:sz w:val="20"/>
          <w:szCs w:val="20"/>
        </w:rPr>
        <w:t>добровільній</w:t>
      </w:r>
      <w:r w:rsidRPr="000977F7">
        <w:rPr>
          <w:rFonts w:asciiTheme="majorHAnsi" w:hAnsiTheme="majorHAnsi"/>
          <w:spacing w:val="-4"/>
          <w:sz w:val="20"/>
          <w:szCs w:val="20"/>
        </w:rPr>
        <w:t xml:space="preserve"> </w:t>
      </w:r>
      <w:r w:rsidRPr="000977F7">
        <w:rPr>
          <w:rFonts w:asciiTheme="majorHAnsi" w:hAnsiTheme="majorHAnsi"/>
          <w:sz w:val="20"/>
          <w:szCs w:val="20"/>
        </w:rPr>
        <w:t>основі.</w:t>
      </w:r>
    </w:p>
    <w:p w14:paraId="0D4832F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Право</w:t>
      </w:r>
      <w:r w:rsidRPr="000977F7">
        <w:rPr>
          <w:rFonts w:asciiTheme="majorHAnsi" w:hAnsiTheme="majorHAnsi"/>
          <w:spacing w:val="1"/>
          <w:sz w:val="20"/>
          <w:szCs w:val="20"/>
        </w:rPr>
        <w:t xml:space="preserve"> </w:t>
      </w:r>
      <w:r w:rsidRPr="000977F7">
        <w:rPr>
          <w:rFonts w:asciiTheme="majorHAnsi" w:hAnsiTheme="majorHAnsi"/>
          <w:sz w:val="20"/>
          <w:szCs w:val="20"/>
        </w:rPr>
        <w:t>власності</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стандарти,</w:t>
      </w:r>
      <w:r w:rsidRPr="000977F7">
        <w:rPr>
          <w:rFonts w:asciiTheme="majorHAnsi" w:hAnsiTheme="majorHAnsi"/>
          <w:spacing w:val="1"/>
          <w:sz w:val="20"/>
          <w:szCs w:val="20"/>
        </w:rPr>
        <w:t xml:space="preserve"> </w:t>
      </w:r>
      <w:r w:rsidRPr="000977F7">
        <w:rPr>
          <w:rFonts w:asciiTheme="majorHAnsi" w:hAnsiTheme="majorHAnsi"/>
          <w:sz w:val="20"/>
          <w:szCs w:val="20"/>
        </w:rPr>
        <w:t>кодекси</w:t>
      </w:r>
      <w:r w:rsidRPr="000977F7">
        <w:rPr>
          <w:rFonts w:asciiTheme="majorHAnsi" w:hAnsiTheme="majorHAnsi"/>
          <w:spacing w:val="1"/>
          <w:sz w:val="20"/>
          <w:szCs w:val="20"/>
        </w:rPr>
        <w:t xml:space="preserve"> </w:t>
      </w:r>
      <w:r w:rsidRPr="000977F7">
        <w:rPr>
          <w:rFonts w:asciiTheme="majorHAnsi" w:hAnsiTheme="majorHAnsi"/>
          <w:sz w:val="20"/>
          <w:szCs w:val="20"/>
        </w:rPr>
        <w:t>усталеної</w:t>
      </w:r>
      <w:r w:rsidRPr="000977F7">
        <w:rPr>
          <w:rFonts w:asciiTheme="majorHAnsi" w:hAnsiTheme="majorHAnsi"/>
          <w:spacing w:val="1"/>
          <w:sz w:val="20"/>
          <w:szCs w:val="20"/>
        </w:rPr>
        <w:t xml:space="preserve"> </w:t>
      </w:r>
      <w:r w:rsidRPr="000977F7">
        <w:rPr>
          <w:rFonts w:asciiTheme="majorHAnsi" w:hAnsiTheme="majorHAnsi"/>
          <w:sz w:val="20"/>
          <w:szCs w:val="20"/>
        </w:rPr>
        <w:t>практики і технічні умови, прийняті підприємствами,</w:t>
      </w:r>
      <w:r w:rsidRPr="000977F7">
        <w:rPr>
          <w:rFonts w:asciiTheme="majorHAnsi" w:hAnsiTheme="majorHAnsi"/>
          <w:spacing w:val="1"/>
          <w:sz w:val="20"/>
          <w:szCs w:val="20"/>
        </w:rPr>
        <w:t xml:space="preserve"> </w:t>
      </w:r>
      <w:r w:rsidRPr="000977F7">
        <w:rPr>
          <w:rFonts w:asciiTheme="majorHAnsi" w:hAnsiTheme="majorHAnsi"/>
          <w:sz w:val="20"/>
          <w:szCs w:val="20"/>
        </w:rPr>
        <w:t>установами та організаціями, і видані ними каталоги</w:t>
      </w:r>
      <w:r w:rsidRPr="000977F7">
        <w:rPr>
          <w:rFonts w:asciiTheme="majorHAnsi" w:hAnsiTheme="majorHAnsi"/>
          <w:spacing w:val="1"/>
          <w:sz w:val="20"/>
          <w:szCs w:val="20"/>
        </w:rPr>
        <w:t xml:space="preserve"> </w:t>
      </w:r>
      <w:r w:rsidRPr="000977F7">
        <w:rPr>
          <w:rFonts w:asciiTheme="majorHAnsi" w:hAnsiTheme="majorHAnsi"/>
          <w:sz w:val="20"/>
          <w:szCs w:val="20"/>
        </w:rPr>
        <w:t>належать</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відповідним</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підприємствам,</w:t>
      </w:r>
      <w:r w:rsidRPr="000977F7">
        <w:rPr>
          <w:rFonts w:asciiTheme="majorHAnsi" w:hAnsiTheme="majorHAnsi"/>
          <w:spacing w:val="1"/>
          <w:sz w:val="20"/>
          <w:szCs w:val="20"/>
        </w:rPr>
        <w:t xml:space="preserve"> </w:t>
      </w:r>
      <w:r w:rsidRPr="000977F7">
        <w:rPr>
          <w:rFonts w:asciiTheme="majorHAnsi" w:hAnsiTheme="majorHAnsi"/>
          <w:sz w:val="20"/>
          <w:szCs w:val="20"/>
        </w:rPr>
        <w:t>установам</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організаціям.</w:t>
      </w:r>
    </w:p>
    <w:p w14:paraId="25D74F2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Ст.16</w:t>
      </w:r>
      <w:r w:rsidRPr="000977F7">
        <w:rPr>
          <w:rFonts w:asciiTheme="majorHAnsi" w:hAnsiTheme="majorHAnsi"/>
          <w:i/>
          <w:spacing w:val="-2"/>
          <w:sz w:val="20"/>
          <w:szCs w:val="20"/>
        </w:rPr>
        <w:t xml:space="preserve"> </w:t>
      </w:r>
      <w:r w:rsidRPr="000977F7">
        <w:rPr>
          <w:rFonts w:asciiTheme="majorHAnsi" w:hAnsiTheme="majorHAnsi"/>
          <w:i/>
          <w:sz w:val="20"/>
          <w:szCs w:val="20"/>
        </w:rPr>
        <w:t>закону</w:t>
      </w:r>
      <w:r w:rsidRPr="000977F7">
        <w:rPr>
          <w:rFonts w:asciiTheme="majorHAnsi" w:hAnsiTheme="majorHAnsi"/>
          <w:i/>
          <w:spacing w:val="-4"/>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3"/>
          <w:sz w:val="20"/>
          <w:szCs w:val="20"/>
        </w:rPr>
        <w:t xml:space="preserve"> "</w:t>
      </w:r>
      <w:r w:rsidRPr="000977F7">
        <w:rPr>
          <w:rFonts w:asciiTheme="majorHAnsi" w:hAnsiTheme="majorHAnsi"/>
          <w:i/>
          <w:sz w:val="20"/>
          <w:szCs w:val="20"/>
        </w:rPr>
        <w:t>Про</w:t>
      </w:r>
      <w:r w:rsidRPr="000977F7">
        <w:rPr>
          <w:rFonts w:asciiTheme="majorHAnsi" w:hAnsiTheme="majorHAnsi"/>
          <w:i/>
          <w:spacing w:val="-4"/>
          <w:sz w:val="20"/>
          <w:szCs w:val="20"/>
        </w:rPr>
        <w:t xml:space="preserve"> </w:t>
      </w:r>
      <w:r w:rsidRPr="000977F7">
        <w:rPr>
          <w:rFonts w:asciiTheme="majorHAnsi" w:hAnsiTheme="majorHAnsi"/>
          <w:i/>
          <w:sz w:val="20"/>
          <w:szCs w:val="20"/>
        </w:rPr>
        <w:t>стандартизацію"</w:t>
      </w:r>
    </w:p>
    <w:p w14:paraId="50051BF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ПІДПРИЄМСТВО</w:t>
      </w:r>
      <w:r w:rsidRPr="000977F7">
        <w:rPr>
          <w:color w:val="auto"/>
          <w:spacing w:val="-2"/>
          <w:sz w:val="20"/>
          <w:szCs w:val="20"/>
        </w:rPr>
        <w:t xml:space="preserve"> </w:t>
      </w:r>
      <w:r w:rsidRPr="000977F7">
        <w:rPr>
          <w:color w:val="auto"/>
          <w:sz w:val="20"/>
          <w:szCs w:val="20"/>
        </w:rPr>
        <w:t>–</w:t>
      </w:r>
    </w:p>
    <w:p w14:paraId="6F0F539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Будь-яка юридична особа, а також громадянин, який</w:t>
      </w:r>
      <w:r w:rsidRPr="000977F7">
        <w:rPr>
          <w:rFonts w:asciiTheme="majorHAnsi" w:hAnsiTheme="majorHAnsi"/>
          <w:spacing w:val="1"/>
          <w:sz w:val="20"/>
          <w:szCs w:val="20"/>
        </w:rPr>
        <w:t xml:space="preserve"> </w:t>
      </w:r>
      <w:r w:rsidRPr="000977F7">
        <w:rPr>
          <w:rFonts w:asciiTheme="majorHAnsi" w:hAnsiTheme="majorHAnsi"/>
          <w:sz w:val="20"/>
          <w:szCs w:val="20"/>
        </w:rPr>
        <w:t>здійснює</w:t>
      </w:r>
      <w:r w:rsidRPr="000977F7">
        <w:rPr>
          <w:rFonts w:asciiTheme="majorHAnsi" w:hAnsiTheme="majorHAnsi"/>
          <w:spacing w:val="1"/>
          <w:sz w:val="20"/>
          <w:szCs w:val="20"/>
        </w:rPr>
        <w:t xml:space="preserve"> </w:t>
      </w:r>
      <w:r w:rsidRPr="000977F7">
        <w:rPr>
          <w:rFonts w:asciiTheme="majorHAnsi" w:hAnsiTheme="majorHAnsi"/>
          <w:sz w:val="20"/>
          <w:szCs w:val="20"/>
        </w:rPr>
        <w:t>підприємницьку</w:t>
      </w:r>
      <w:r w:rsidRPr="000977F7">
        <w:rPr>
          <w:rFonts w:asciiTheme="majorHAnsi" w:hAnsiTheme="majorHAnsi"/>
          <w:spacing w:val="1"/>
          <w:sz w:val="20"/>
          <w:szCs w:val="20"/>
        </w:rPr>
        <w:t xml:space="preserve"> </w:t>
      </w:r>
      <w:r w:rsidRPr="000977F7">
        <w:rPr>
          <w:rFonts w:asciiTheme="majorHAnsi" w:hAnsiTheme="majorHAnsi"/>
          <w:sz w:val="20"/>
          <w:szCs w:val="20"/>
        </w:rPr>
        <w:t>діяльність</w:t>
      </w:r>
      <w:r w:rsidRPr="000977F7">
        <w:rPr>
          <w:rFonts w:asciiTheme="majorHAnsi" w:hAnsiTheme="majorHAnsi"/>
          <w:spacing w:val="1"/>
          <w:sz w:val="20"/>
          <w:szCs w:val="20"/>
        </w:rPr>
        <w:t xml:space="preserve"> </w:t>
      </w:r>
      <w:r w:rsidRPr="000977F7">
        <w:rPr>
          <w:rFonts w:asciiTheme="majorHAnsi" w:hAnsiTheme="majorHAnsi"/>
          <w:sz w:val="20"/>
          <w:szCs w:val="20"/>
        </w:rPr>
        <w:t>без</w:t>
      </w:r>
      <w:r w:rsidRPr="000977F7">
        <w:rPr>
          <w:rFonts w:asciiTheme="majorHAnsi" w:hAnsiTheme="majorHAnsi"/>
          <w:spacing w:val="1"/>
          <w:sz w:val="20"/>
          <w:szCs w:val="20"/>
        </w:rPr>
        <w:t xml:space="preserve"> </w:t>
      </w:r>
      <w:r w:rsidRPr="000977F7">
        <w:rPr>
          <w:rFonts w:asciiTheme="majorHAnsi" w:hAnsiTheme="majorHAnsi"/>
          <w:sz w:val="20"/>
          <w:szCs w:val="20"/>
        </w:rPr>
        <w:t>створення</w:t>
      </w:r>
      <w:r w:rsidRPr="000977F7">
        <w:rPr>
          <w:rFonts w:asciiTheme="majorHAnsi" w:hAnsiTheme="majorHAnsi"/>
          <w:spacing w:val="1"/>
          <w:sz w:val="20"/>
          <w:szCs w:val="20"/>
        </w:rPr>
        <w:t xml:space="preserve"> </w:t>
      </w:r>
      <w:r w:rsidRPr="000977F7">
        <w:rPr>
          <w:rFonts w:asciiTheme="majorHAnsi" w:hAnsiTheme="majorHAnsi"/>
          <w:sz w:val="20"/>
          <w:szCs w:val="20"/>
        </w:rPr>
        <w:t>юридичної</w:t>
      </w:r>
      <w:r w:rsidRPr="000977F7">
        <w:rPr>
          <w:rFonts w:asciiTheme="majorHAnsi" w:hAnsiTheme="majorHAnsi"/>
          <w:spacing w:val="-2"/>
          <w:sz w:val="20"/>
          <w:szCs w:val="20"/>
        </w:rPr>
        <w:t xml:space="preserve"> </w:t>
      </w:r>
      <w:r w:rsidRPr="000977F7">
        <w:rPr>
          <w:rFonts w:asciiTheme="majorHAnsi" w:hAnsiTheme="majorHAnsi"/>
          <w:sz w:val="20"/>
          <w:szCs w:val="20"/>
        </w:rPr>
        <w:t>особи</w:t>
      </w:r>
    </w:p>
    <w:p w14:paraId="3A066E7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 кодекс України</w:t>
      </w:r>
    </w:p>
    <w:p w14:paraId="23C7D3DF"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i/>
          <w:spacing w:val="-47"/>
          <w:sz w:val="20"/>
          <w:szCs w:val="20"/>
        </w:rPr>
        <w:t xml:space="preserve"> </w:t>
      </w:r>
      <w:r w:rsidRPr="000977F7">
        <w:rPr>
          <w:rFonts w:asciiTheme="majorHAnsi" w:hAnsiTheme="majorHAnsi"/>
          <w:b/>
          <w:sz w:val="20"/>
          <w:szCs w:val="20"/>
        </w:rPr>
        <w:t>ПІДРЯДНИК –</w:t>
      </w:r>
    </w:p>
    <w:p w14:paraId="4417DE4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CONTRACTOR</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2B79346"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sz w:val="20"/>
          <w:szCs w:val="20"/>
        </w:rPr>
        <w:t>Постачальник в контрактній ситуації</w:t>
      </w:r>
      <w:r w:rsidRPr="000977F7">
        <w:rPr>
          <w:rFonts w:asciiTheme="majorHAnsi" w:hAnsiTheme="majorHAnsi"/>
          <w:spacing w:val="-47"/>
          <w:sz w:val="20"/>
          <w:szCs w:val="20"/>
        </w:rPr>
        <w:t xml:space="preserve"> </w:t>
      </w:r>
    </w:p>
    <w:p w14:paraId="3799CED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2A0722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Підрядника</w:t>
      </w:r>
      <w:r w:rsidRPr="000977F7">
        <w:rPr>
          <w:rFonts w:asciiTheme="majorHAnsi" w:hAnsiTheme="majorHAnsi"/>
          <w:spacing w:val="32"/>
          <w:sz w:val="20"/>
          <w:szCs w:val="20"/>
        </w:rPr>
        <w:t xml:space="preserve"> </w:t>
      </w:r>
      <w:r w:rsidRPr="000977F7">
        <w:rPr>
          <w:rFonts w:asciiTheme="majorHAnsi" w:hAnsiTheme="majorHAnsi"/>
          <w:sz w:val="20"/>
          <w:szCs w:val="20"/>
        </w:rPr>
        <w:t>деколи</w:t>
      </w:r>
      <w:r w:rsidRPr="000977F7">
        <w:rPr>
          <w:rFonts w:asciiTheme="majorHAnsi" w:hAnsiTheme="majorHAnsi"/>
          <w:spacing w:val="30"/>
          <w:sz w:val="20"/>
          <w:szCs w:val="20"/>
        </w:rPr>
        <w:t xml:space="preserve"> </w:t>
      </w:r>
      <w:r w:rsidRPr="000977F7">
        <w:rPr>
          <w:rFonts w:asciiTheme="majorHAnsi" w:hAnsiTheme="majorHAnsi"/>
          <w:sz w:val="20"/>
          <w:szCs w:val="20"/>
        </w:rPr>
        <w:t>розглядають</w:t>
      </w:r>
      <w:r w:rsidRPr="000977F7">
        <w:rPr>
          <w:rFonts w:asciiTheme="majorHAnsi" w:hAnsiTheme="majorHAnsi"/>
          <w:spacing w:val="32"/>
          <w:sz w:val="20"/>
          <w:szCs w:val="20"/>
        </w:rPr>
        <w:t xml:space="preserve"> </w:t>
      </w:r>
      <w:r w:rsidRPr="000977F7">
        <w:rPr>
          <w:rFonts w:asciiTheme="majorHAnsi" w:hAnsiTheme="majorHAnsi"/>
          <w:sz w:val="20"/>
          <w:szCs w:val="20"/>
        </w:rPr>
        <w:t>як</w:t>
      </w:r>
      <w:r w:rsidRPr="000977F7">
        <w:rPr>
          <w:rFonts w:asciiTheme="majorHAnsi" w:hAnsiTheme="majorHAnsi"/>
          <w:spacing w:val="33"/>
          <w:sz w:val="20"/>
          <w:szCs w:val="20"/>
        </w:rPr>
        <w:t xml:space="preserve"> </w:t>
      </w:r>
      <w:r w:rsidRPr="000977F7">
        <w:rPr>
          <w:rFonts w:asciiTheme="majorHAnsi" w:hAnsiTheme="majorHAnsi"/>
          <w:sz w:val="20"/>
          <w:szCs w:val="20"/>
        </w:rPr>
        <w:t>першу</w:t>
      </w:r>
      <w:r w:rsidRPr="000977F7">
        <w:rPr>
          <w:rFonts w:asciiTheme="majorHAnsi" w:hAnsiTheme="majorHAnsi"/>
          <w:spacing w:val="29"/>
          <w:sz w:val="20"/>
          <w:szCs w:val="20"/>
        </w:rPr>
        <w:t xml:space="preserve"> </w:t>
      </w:r>
      <w:r w:rsidRPr="000977F7">
        <w:rPr>
          <w:rFonts w:asciiTheme="majorHAnsi" w:hAnsiTheme="majorHAnsi"/>
          <w:sz w:val="20"/>
          <w:szCs w:val="20"/>
        </w:rPr>
        <w:t>сторону</w:t>
      </w:r>
      <w:r w:rsidRPr="000977F7">
        <w:rPr>
          <w:rFonts w:asciiTheme="majorHAnsi" w:hAnsiTheme="majorHAnsi"/>
          <w:spacing w:val="28"/>
          <w:sz w:val="20"/>
          <w:szCs w:val="20"/>
        </w:rPr>
        <w:t xml:space="preserve"> </w:t>
      </w:r>
      <w:r w:rsidRPr="000977F7">
        <w:rPr>
          <w:rFonts w:asciiTheme="majorHAnsi" w:hAnsiTheme="majorHAnsi"/>
          <w:sz w:val="20"/>
          <w:szCs w:val="20"/>
        </w:rPr>
        <w:t>в</w:t>
      </w:r>
      <w:r w:rsidRPr="000977F7">
        <w:rPr>
          <w:rFonts w:asciiTheme="majorHAnsi" w:hAnsiTheme="majorHAnsi"/>
          <w:spacing w:val="-47"/>
          <w:sz w:val="20"/>
          <w:szCs w:val="20"/>
        </w:rPr>
        <w:t xml:space="preserve">         </w:t>
      </w:r>
      <w:r w:rsidRPr="000977F7">
        <w:rPr>
          <w:rFonts w:asciiTheme="majorHAnsi" w:hAnsiTheme="majorHAnsi"/>
          <w:sz w:val="20"/>
          <w:szCs w:val="20"/>
        </w:rPr>
        <w:t>комерційній діяльності</w:t>
      </w:r>
    </w:p>
    <w:p w14:paraId="00484BE4" w14:textId="77777777" w:rsidR="0097612F" w:rsidRPr="000977F7" w:rsidRDefault="0097612F" w:rsidP="000977F7">
      <w:pPr>
        <w:pStyle w:val="7"/>
        <w:tabs>
          <w:tab w:val="left" w:pos="284"/>
        </w:tabs>
        <w:spacing w:before="0" w:line="240" w:lineRule="auto"/>
        <w:ind w:left="170"/>
        <w:mirrorIndents/>
        <w:jc w:val="both"/>
        <w:rPr>
          <w:color w:val="auto"/>
          <w:spacing w:val="-8"/>
          <w:sz w:val="20"/>
          <w:szCs w:val="20"/>
        </w:rPr>
      </w:pPr>
      <w:r w:rsidRPr="000977F7">
        <w:rPr>
          <w:color w:val="auto"/>
          <w:spacing w:val="-8"/>
          <w:sz w:val="20"/>
          <w:szCs w:val="20"/>
        </w:rPr>
        <w:t>ПІДСИСТЕМА ТЕХНОЛОГІЧНОЇ СИСТЕМИ –</w:t>
      </w:r>
    </w:p>
    <w:p w14:paraId="709417C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SUBSYSTEM</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TECHOLOGICAL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SYSTEM –</w:t>
      </w:r>
    </w:p>
    <w:p w14:paraId="7C60549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Технологічна система, яка виділяється за функціональною чи структурною ознаками із технологічної системи</w:t>
      </w:r>
      <w:r w:rsidRPr="000977F7">
        <w:rPr>
          <w:rFonts w:asciiTheme="majorHAnsi" w:hAnsiTheme="majorHAnsi"/>
          <w:spacing w:val="-2"/>
          <w:sz w:val="20"/>
          <w:szCs w:val="20"/>
        </w:rPr>
        <w:t xml:space="preserve"> </w:t>
      </w:r>
      <w:r w:rsidRPr="000977F7">
        <w:rPr>
          <w:rFonts w:asciiTheme="majorHAnsi" w:hAnsiTheme="majorHAnsi"/>
          <w:sz w:val="20"/>
          <w:szCs w:val="20"/>
        </w:rPr>
        <w:t>вищого</w:t>
      </w:r>
      <w:r w:rsidRPr="000977F7">
        <w:rPr>
          <w:rFonts w:asciiTheme="majorHAnsi" w:hAnsiTheme="majorHAnsi"/>
          <w:spacing w:val="1"/>
          <w:sz w:val="20"/>
          <w:szCs w:val="20"/>
        </w:rPr>
        <w:t xml:space="preserve"> </w:t>
      </w:r>
      <w:r w:rsidRPr="000977F7">
        <w:rPr>
          <w:rFonts w:asciiTheme="majorHAnsi" w:hAnsiTheme="majorHAnsi"/>
          <w:sz w:val="20"/>
          <w:szCs w:val="20"/>
        </w:rPr>
        <w:t>рівня</w:t>
      </w:r>
    </w:p>
    <w:p w14:paraId="1699979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о</w:t>
      </w:r>
      <w:r w:rsidRPr="000977F7">
        <w:rPr>
          <w:rFonts w:asciiTheme="majorHAnsi" w:hAnsiTheme="majorHAnsi"/>
          <w:spacing w:val="1"/>
          <w:sz w:val="20"/>
          <w:szCs w:val="20"/>
        </w:rPr>
        <w:t xml:space="preserve"> </w:t>
      </w:r>
      <w:r w:rsidRPr="000977F7">
        <w:rPr>
          <w:rFonts w:asciiTheme="majorHAnsi" w:hAnsiTheme="majorHAnsi"/>
          <w:sz w:val="20"/>
          <w:szCs w:val="20"/>
        </w:rPr>
        <w:t>я</w:t>
      </w:r>
      <w:r w:rsidRPr="000977F7">
        <w:rPr>
          <w:rFonts w:asciiTheme="majorHAnsi" w:hAnsiTheme="majorHAnsi"/>
          <w:spacing w:val="-2"/>
          <w:sz w:val="20"/>
          <w:szCs w:val="20"/>
        </w:rPr>
        <w:t xml:space="preserve"> </w:t>
      </w:r>
      <w:r w:rsidRPr="000977F7">
        <w:rPr>
          <w:rFonts w:asciiTheme="majorHAnsi" w:hAnsiTheme="majorHAnsi"/>
          <w:sz w:val="20"/>
          <w:szCs w:val="20"/>
        </w:rPr>
        <w:t>с н</w:t>
      </w:r>
      <w:r w:rsidRPr="000977F7">
        <w:rPr>
          <w:rFonts w:asciiTheme="majorHAnsi" w:hAnsiTheme="majorHAnsi"/>
          <w:spacing w:val="-2"/>
          <w:sz w:val="20"/>
          <w:szCs w:val="20"/>
        </w:rPr>
        <w:t xml:space="preserve"> </w:t>
      </w:r>
      <w:r w:rsidRPr="000977F7">
        <w:rPr>
          <w:rFonts w:asciiTheme="majorHAnsi" w:hAnsiTheme="majorHAnsi"/>
          <w:sz w:val="20"/>
          <w:szCs w:val="20"/>
        </w:rPr>
        <w:t>е н</w:t>
      </w:r>
      <w:r w:rsidRPr="000977F7">
        <w:rPr>
          <w:rFonts w:asciiTheme="majorHAnsi" w:hAnsiTheme="majorHAnsi"/>
          <w:spacing w:val="-1"/>
          <w:sz w:val="20"/>
          <w:szCs w:val="20"/>
        </w:rPr>
        <w:t xml:space="preserve"> </w:t>
      </w:r>
      <w:r w:rsidRPr="000977F7">
        <w:rPr>
          <w:rFonts w:asciiTheme="majorHAnsi" w:hAnsiTheme="majorHAnsi"/>
          <w:sz w:val="20"/>
          <w:szCs w:val="20"/>
        </w:rPr>
        <w:t>н</w:t>
      </w:r>
      <w:r w:rsidRPr="000977F7">
        <w:rPr>
          <w:rFonts w:asciiTheme="majorHAnsi" w:hAnsiTheme="majorHAnsi"/>
          <w:spacing w:val="-2"/>
          <w:sz w:val="20"/>
          <w:szCs w:val="20"/>
        </w:rPr>
        <w:t xml:space="preserve"> </w:t>
      </w:r>
      <w:r w:rsidRPr="000977F7">
        <w:rPr>
          <w:rFonts w:asciiTheme="majorHAnsi" w:hAnsiTheme="majorHAnsi"/>
          <w:sz w:val="20"/>
          <w:szCs w:val="20"/>
        </w:rPr>
        <w:t>я:</w:t>
      </w:r>
    </w:p>
    <w:p w14:paraId="1D5976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Підсистема, як і сама технологічна система, є сукупністю функціонально взаємозв’язаних засобів технологічного оснащення і людини-оператора та має основні</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властивості</w:t>
      </w:r>
      <w:r w:rsidRPr="000977F7">
        <w:rPr>
          <w:rFonts w:asciiTheme="majorHAnsi" w:hAnsiTheme="majorHAnsi"/>
          <w:spacing w:val="1"/>
          <w:sz w:val="20"/>
          <w:szCs w:val="20"/>
        </w:rPr>
        <w:t xml:space="preserve"> </w:t>
      </w:r>
      <w:r w:rsidRPr="000977F7">
        <w:rPr>
          <w:rFonts w:asciiTheme="majorHAnsi" w:hAnsiTheme="majorHAnsi"/>
          <w:sz w:val="20"/>
          <w:szCs w:val="20"/>
        </w:rPr>
        <w:t>даної</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Тому,</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систему, яка забезпечує виконання декількох технологічних процесів, зручно умовно поділяти на підсистеми, які виконують окремі технологічні процеси. В</w:t>
      </w:r>
      <w:r w:rsidRPr="000977F7">
        <w:rPr>
          <w:rFonts w:asciiTheme="majorHAnsi" w:hAnsiTheme="majorHAnsi"/>
          <w:spacing w:val="1"/>
          <w:sz w:val="20"/>
          <w:szCs w:val="20"/>
        </w:rPr>
        <w:t xml:space="preserve"> </w:t>
      </w:r>
      <w:r w:rsidRPr="000977F7">
        <w:rPr>
          <w:rFonts w:asciiTheme="majorHAnsi" w:hAnsiTheme="majorHAnsi"/>
          <w:sz w:val="20"/>
          <w:szCs w:val="20"/>
        </w:rPr>
        <w:t>свою чергу, останні можна умовно поділяти на підсистеми, які виконують окремі операції. Глибина структурного</w:t>
      </w:r>
      <w:r w:rsidRPr="000977F7">
        <w:rPr>
          <w:rFonts w:asciiTheme="majorHAnsi" w:hAnsiTheme="majorHAnsi"/>
          <w:spacing w:val="-2"/>
          <w:sz w:val="20"/>
          <w:szCs w:val="20"/>
        </w:rPr>
        <w:t xml:space="preserve"> </w:t>
      </w:r>
      <w:r w:rsidRPr="000977F7">
        <w:rPr>
          <w:rFonts w:asciiTheme="majorHAnsi" w:hAnsiTheme="majorHAnsi"/>
          <w:sz w:val="20"/>
          <w:szCs w:val="20"/>
        </w:rPr>
        <w:t>розділення</w:t>
      </w:r>
      <w:r w:rsidRPr="000977F7">
        <w:rPr>
          <w:rFonts w:asciiTheme="majorHAnsi" w:hAnsiTheme="majorHAnsi"/>
          <w:spacing w:val="-3"/>
          <w:sz w:val="20"/>
          <w:szCs w:val="20"/>
        </w:rPr>
        <w:t xml:space="preserve"> </w:t>
      </w:r>
      <w:r w:rsidRPr="000977F7">
        <w:rPr>
          <w:rFonts w:asciiTheme="majorHAnsi" w:hAnsiTheme="majorHAnsi"/>
          <w:sz w:val="20"/>
          <w:szCs w:val="20"/>
        </w:rPr>
        <w:t>залежить</w:t>
      </w:r>
      <w:r w:rsidRPr="000977F7">
        <w:rPr>
          <w:rFonts w:asciiTheme="majorHAnsi" w:hAnsiTheme="majorHAnsi"/>
          <w:spacing w:val="-2"/>
          <w:sz w:val="20"/>
          <w:szCs w:val="20"/>
        </w:rPr>
        <w:t xml:space="preserve"> </w:t>
      </w:r>
      <w:r w:rsidRPr="000977F7">
        <w:rPr>
          <w:rFonts w:asciiTheme="majorHAnsi" w:hAnsiTheme="majorHAnsi"/>
          <w:sz w:val="20"/>
          <w:szCs w:val="20"/>
        </w:rPr>
        <w:t>від</w:t>
      </w:r>
      <w:r w:rsidRPr="000977F7">
        <w:rPr>
          <w:rFonts w:asciiTheme="majorHAnsi" w:hAnsiTheme="majorHAnsi"/>
          <w:spacing w:val="-3"/>
          <w:sz w:val="20"/>
          <w:szCs w:val="20"/>
        </w:rPr>
        <w:t xml:space="preserve"> </w:t>
      </w:r>
      <w:r w:rsidRPr="000977F7">
        <w:rPr>
          <w:rFonts w:asciiTheme="majorHAnsi" w:hAnsiTheme="majorHAnsi"/>
          <w:sz w:val="20"/>
          <w:szCs w:val="20"/>
        </w:rPr>
        <w:t>мети</w:t>
      </w:r>
      <w:r w:rsidRPr="000977F7">
        <w:rPr>
          <w:rFonts w:asciiTheme="majorHAnsi" w:hAnsiTheme="majorHAnsi"/>
          <w:spacing w:val="-1"/>
          <w:sz w:val="20"/>
          <w:szCs w:val="20"/>
        </w:rPr>
        <w:t xml:space="preserve"> </w:t>
      </w:r>
      <w:r w:rsidRPr="000977F7">
        <w:rPr>
          <w:rFonts w:asciiTheme="majorHAnsi" w:hAnsiTheme="majorHAnsi"/>
          <w:sz w:val="20"/>
          <w:szCs w:val="20"/>
        </w:rPr>
        <w:t>дослідження.</w:t>
      </w:r>
    </w:p>
    <w:p w14:paraId="0C1EA6F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ПІДСОБНЕ</w:t>
      </w:r>
      <w:r w:rsidRPr="000977F7">
        <w:rPr>
          <w:color w:val="auto"/>
          <w:spacing w:val="-5"/>
          <w:sz w:val="20"/>
          <w:szCs w:val="20"/>
        </w:rPr>
        <w:t xml:space="preserve"> </w:t>
      </w:r>
      <w:r w:rsidRPr="000977F7">
        <w:rPr>
          <w:color w:val="auto"/>
          <w:sz w:val="20"/>
          <w:szCs w:val="20"/>
        </w:rPr>
        <w:t>ВИРОБНИЦТВО</w:t>
      </w:r>
      <w:r w:rsidRPr="000977F7">
        <w:rPr>
          <w:color w:val="auto"/>
          <w:spacing w:val="1"/>
          <w:sz w:val="20"/>
          <w:szCs w:val="20"/>
        </w:rPr>
        <w:t xml:space="preserve"> </w:t>
      </w:r>
      <w:r w:rsidRPr="000977F7">
        <w:rPr>
          <w:color w:val="auto"/>
          <w:sz w:val="20"/>
          <w:szCs w:val="20"/>
        </w:rPr>
        <w:t>–</w:t>
      </w:r>
    </w:p>
    <w:p w14:paraId="0EF797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виробничої діяльності підприємства, яка полягає у добуванні або переробленні предметів праці</w:t>
      </w:r>
      <w:r w:rsidRPr="000977F7">
        <w:rPr>
          <w:rFonts w:asciiTheme="majorHAnsi" w:hAnsiTheme="majorHAnsi"/>
          <w:spacing w:val="1"/>
          <w:sz w:val="20"/>
          <w:szCs w:val="20"/>
        </w:rPr>
        <w:t xml:space="preserve"> </w:t>
      </w:r>
      <w:r w:rsidRPr="000977F7">
        <w:rPr>
          <w:rFonts w:asciiTheme="majorHAnsi" w:hAnsiTheme="majorHAnsi"/>
          <w:sz w:val="20"/>
          <w:szCs w:val="20"/>
        </w:rPr>
        <w:t>для основного виробництва та проводиться у певних</w:t>
      </w:r>
      <w:r w:rsidRPr="000977F7">
        <w:rPr>
          <w:rFonts w:asciiTheme="majorHAnsi" w:hAnsiTheme="majorHAnsi"/>
          <w:spacing w:val="1"/>
          <w:sz w:val="20"/>
          <w:szCs w:val="20"/>
        </w:rPr>
        <w:t xml:space="preserve"> </w:t>
      </w:r>
      <w:r w:rsidRPr="000977F7">
        <w:rPr>
          <w:rFonts w:asciiTheme="majorHAnsi" w:hAnsiTheme="majorHAnsi"/>
          <w:sz w:val="20"/>
          <w:szCs w:val="20"/>
        </w:rPr>
        <w:t>структурах</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підрозділах</w:t>
      </w:r>
    </w:p>
    <w:p w14:paraId="4B8D907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0ECAFE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ПІДТВЕРДЖЕННЯ</w:t>
      </w:r>
      <w:r w:rsidRPr="000977F7">
        <w:rPr>
          <w:color w:val="auto"/>
          <w:spacing w:val="-5"/>
          <w:sz w:val="20"/>
          <w:szCs w:val="20"/>
        </w:rPr>
        <w:t xml:space="preserve"> </w:t>
      </w:r>
      <w:r w:rsidRPr="000977F7">
        <w:rPr>
          <w:color w:val="auto"/>
          <w:sz w:val="20"/>
          <w:szCs w:val="20"/>
        </w:rPr>
        <w:t>ВІДПОВІДНОСТІ</w:t>
      </w:r>
      <w:r w:rsidRPr="000977F7">
        <w:rPr>
          <w:color w:val="auto"/>
          <w:spacing w:val="-3"/>
          <w:sz w:val="20"/>
          <w:szCs w:val="20"/>
        </w:rPr>
        <w:t xml:space="preserve"> </w:t>
      </w:r>
      <w:r w:rsidRPr="000977F7">
        <w:rPr>
          <w:color w:val="auto"/>
          <w:sz w:val="20"/>
          <w:szCs w:val="20"/>
        </w:rPr>
        <w:t>–</w:t>
      </w:r>
    </w:p>
    <w:p w14:paraId="6324F60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ATTESTATION -</w:t>
      </w:r>
    </w:p>
    <w:p w14:paraId="1BFE49F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Видання заяви</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підставі</w:t>
      </w:r>
      <w:r w:rsidRPr="000977F7">
        <w:rPr>
          <w:rFonts w:asciiTheme="majorHAnsi" w:hAnsiTheme="majorHAnsi"/>
          <w:spacing w:val="2"/>
          <w:sz w:val="20"/>
          <w:szCs w:val="20"/>
        </w:rPr>
        <w:t xml:space="preserve"> </w:t>
      </w:r>
      <w:r w:rsidRPr="000977F7">
        <w:rPr>
          <w:rFonts w:asciiTheme="majorHAnsi" w:hAnsiTheme="majorHAnsi"/>
          <w:sz w:val="20"/>
          <w:szCs w:val="20"/>
        </w:rPr>
        <w:t>ухваленого</w:t>
      </w:r>
      <w:r w:rsidRPr="000977F7">
        <w:rPr>
          <w:rFonts w:asciiTheme="majorHAnsi" w:hAnsiTheme="majorHAnsi"/>
          <w:spacing w:val="2"/>
          <w:sz w:val="20"/>
          <w:szCs w:val="20"/>
        </w:rPr>
        <w:t xml:space="preserve"> </w:t>
      </w:r>
      <w:r w:rsidRPr="000977F7">
        <w:rPr>
          <w:rFonts w:asciiTheme="majorHAnsi" w:hAnsiTheme="majorHAnsi"/>
          <w:sz w:val="20"/>
          <w:szCs w:val="20"/>
        </w:rPr>
        <w:t>після</w:t>
      </w:r>
      <w:r w:rsidRPr="000977F7">
        <w:rPr>
          <w:rFonts w:asciiTheme="majorHAnsi" w:hAnsiTheme="majorHAnsi"/>
          <w:spacing w:val="3"/>
          <w:sz w:val="20"/>
          <w:szCs w:val="20"/>
        </w:rPr>
        <w:t xml:space="preserve"> </w:t>
      </w:r>
      <w:r w:rsidRPr="000977F7">
        <w:rPr>
          <w:rFonts w:asciiTheme="majorHAnsi" w:hAnsiTheme="majorHAnsi"/>
          <w:sz w:val="20"/>
          <w:szCs w:val="20"/>
        </w:rPr>
        <w:t>критичного</w:t>
      </w:r>
      <w:r w:rsidRPr="000977F7">
        <w:rPr>
          <w:rFonts w:asciiTheme="majorHAnsi" w:hAnsiTheme="majorHAnsi"/>
          <w:spacing w:val="15"/>
          <w:sz w:val="20"/>
          <w:szCs w:val="20"/>
        </w:rPr>
        <w:t xml:space="preserve"> </w:t>
      </w:r>
      <w:r w:rsidRPr="000977F7">
        <w:rPr>
          <w:rFonts w:asciiTheme="majorHAnsi" w:hAnsiTheme="majorHAnsi"/>
          <w:sz w:val="20"/>
          <w:szCs w:val="20"/>
        </w:rPr>
        <w:t>огляду</w:t>
      </w:r>
      <w:r w:rsidRPr="000977F7">
        <w:rPr>
          <w:rFonts w:asciiTheme="majorHAnsi" w:hAnsiTheme="majorHAnsi"/>
          <w:spacing w:val="11"/>
          <w:sz w:val="20"/>
          <w:szCs w:val="20"/>
        </w:rPr>
        <w:t xml:space="preserve"> </w:t>
      </w:r>
      <w:r w:rsidRPr="000977F7">
        <w:rPr>
          <w:rFonts w:asciiTheme="majorHAnsi" w:hAnsiTheme="majorHAnsi"/>
          <w:sz w:val="20"/>
          <w:szCs w:val="20"/>
        </w:rPr>
        <w:t>рішення</w:t>
      </w:r>
      <w:r w:rsidRPr="000977F7">
        <w:rPr>
          <w:rFonts w:asciiTheme="majorHAnsi" w:hAnsiTheme="majorHAnsi"/>
          <w:spacing w:val="15"/>
          <w:sz w:val="20"/>
          <w:szCs w:val="20"/>
        </w:rPr>
        <w:t xml:space="preserve"> </w:t>
      </w:r>
      <w:r w:rsidRPr="000977F7">
        <w:rPr>
          <w:rFonts w:asciiTheme="majorHAnsi" w:hAnsiTheme="majorHAnsi"/>
          <w:sz w:val="20"/>
          <w:szCs w:val="20"/>
        </w:rPr>
        <w:t>про</w:t>
      </w:r>
      <w:r w:rsidRPr="000977F7">
        <w:rPr>
          <w:rFonts w:asciiTheme="majorHAnsi" w:hAnsiTheme="majorHAnsi"/>
          <w:spacing w:val="15"/>
          <w:sz w:val="20"/>
          <w:szCs w:val="20"/>
        </w:rPr>
        <w:t xml:space="preserve"> </w:t>
      </w:r>
      <w:r w:rsidRPr="000977F7">
        <w:rPr>
          <w:rFonts w:asciiTheme="majorHAnsi" w:hAnsiTheme="majorHAnsi"/>
          <w:sz w:val="20"/>
          <w:szCs w:val="20"/>
        </w:rPr>
        <w:t>те,</w:t>
      </w:r>
      <w:r w:rsidRPr="000977F7">
        <w:rPr>
          <w:rFonts w:asciiTheme="majorHAnsi" w:hAnsiTheme="majorHAnsi"/>
          <w:spacing w:val="15"/>
          <w:sz w:val="20"/>
          <w:szCs w:val="20"/>
        </w:rPr>
        <w:t xml:space="preserve"> </w:t>
      </w:r>
      <w:r w:rsidRPr="000977F7">
        <w:rPr>
          <w:rFonts w:asciiTheme="majorHAnsi" w:hAnsiTheme="majorHAnsi"/>
          <w:sz w:val="20"/>
          <w:szCs w:val="20"/>
        </w:rPr>
        <w:t>що</w:t>
      </w:r>
      <w:r w:rsidRPr="000977F7">
        <w:rPr>
          <w:rFonts w:asciiTheme="majorHAnsi" w:hAnsiTheme="majorHAnsi"/>
          <w:spacing w:val="17"/>
          <w:sz w:val="20"/>
          <w:szCs w:val="20"/>
        </w:rPr>
        <w:t xml:space="preserve"> </w:t>
      </w:r>
      <w:r w:rsidRPr="000977F7">
        <w:rPr>
          <w:rFonts w:asciiTheme="majorHAnsi" w:hAnsiTheme="majorHAnsi"/>
          <w:sz w:val="20"/>
          <w:szCs w:val="20"/>
        </w:rPr>
        <w:t>встановлені</w:t>
      </w:r>
      <w:r w:rsidRPr="000977F7">
        <w:rPr>
          <w:rFonts w:asciiTheme="majorHAnsi" w:hAnsiTheme="majorHAnsi"/>
          <w:spacing w:val="14"/>
          <w:sz w:val="20"/>
          <w:szCs w:val="20"/>
        </w:rPr>
        <w:t xml:space="preserve"> </w:t>
      </w:r>
      <w:r w:rsidRPr="000977F7">
        <w:rPr>
          <w:rFonts w:asciiTheme="majorHAnsi" w:hAnsiTheme="majorHAnsi"/>
          <w:sz w:val="20"/>
          <w:szCs w:val="20"/>
        </w:rPr>
        <w:t>вимоги</w:t>
      </w:r>
      <w:r w:rsidRPr="000977F7">
        <w:rPr>
          <w:rFonts w:asciiTheme="majorHAnsi" w:hAnsiTheme="majorHAnsi"/>
          <w:spacing w:val="14"/>
          <w:sz w:val="20"/>
          <w:szCs w:val="20"/>
        </w:rPr>
        <w:t xml:space="preserve"> </w:t>
      </w:r>
      <w:r w:rsidRPr="000977F7">
        <w:rPr>
          <w:rFonts w:asciiTheme="majorHAnsi" w:hAnsiTheme="majorHAnsi"/>
          <w:sz w:val="20"/>
          <w:szCs w:val="20"/>
        </w:rPr>
        <w:t>виконано.</w:t>
      </w:r>
    </w:p>
    <w:p w14:paraId="0568A5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 1.</w:t>
      </w:r>
    </w:p>
    <w:p w14:paraId="1AA1393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Отримана</w:t>
      </w:r>
      <w:r w:rsidRPr="000977F7">
        <w:rPr>
          <w:rFonts w:asciiTheme="majorHAnsi" w:hAnsiTheme="majorHAnsi"/>
          <w:spacing w:val="1"/>
          <w:sz w:val="20"/>
          <w:szCs w:val="20"/>
        </w:rPr>
        <w:t xml:space="preserve"> </w:t>
      </w:r>
      <w:r w:rsidRPr="000977F7">
        <w:rPr>
          <w:rFonts w:asciiTheme="majorHAnsi" w:hAnsiTheme="majorHAnsi"/>
          <w:sz w:val="20"/>
          <w:szCs w:val="20"/>
        </w:rPr>
        <w:t>результативна</w:t>
      </w:r>
      <w:r w:rsidRPr="000977F7">
        <w:rPr>
          <w:rFonts w:asciiTheme="majorHAnsi" w:hAnsiTheme="majorHAnsi"/>
          <w:spacing w:val="1"/>
          <w:sz w:val="20"/>
          <w:szCs w:val="20"/>
        </w:rPr>
        <w:t xml:space="preserve"> </w:t>
      </w:r>
      <w:r w:rsidRPr="000977F7">
        <w:rPr>
          <w:rFonts w:asciiTheme="majorHAnsi" w:hAnsiTheme="majorHAnsi"/>
          <w:sz w:val="20"/>
          <w:szCs w:val="20"/>
        </w:rPr>
        <w:t>заява</w:t>
      </w:r>
      <w:r w:rsidRPr="000977F7">
        <w:rPr>
          <w:rFonts w:asciiTheme="majorHAnsi" w:hAnsiTheme="majorHAnsi"/>
          <w:spacing w:val="1"/>
          <w:sz w:val="20"/>
          <w:szCs w:val="20"/>
        </w:rPr>
        <w:t xml:space="preserve"> </w:t>
      </w:r>
      <w:r w:rsidRPr="000977F7">
        <w:rPr>
          <w:rFonts w:asciiTheme="majorHAnsi" w:hAnsiTheme="majorHAnsi"/>
          <w:sz w:val="20"/>
          <w:szCs w:val="20"/>
        </w:rPr>
        <w:t>свідчить</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те,</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встановлені</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було</w:t>
      </w:r>
      <w:r w:rsidRPr="000977F7">
        <w:rPr>
          <w:rFonts w:asciiTheme="majorHAnsi" w:hAnsiTheme="majorHAnsi"/>
          <w:spacing w:val="1"/>
          <w:sz w:val="20"/>
          <w:szCs w:val="20"/>
        </w:rPr>
        <w:t xml:space="preserve"> </w:t>
      </w:r>
      <w:r w:rsidRPr="000977F7">
        <w:rPr>
          <w:rFonts w:asciiTheme="majorHAnsi" w:hAnsiTheme="majorHAnsi"/>
          <w:sz w:val="20"/>
          <w:szCs w:val="20"/>
        </w:rPr>
        <w:t>виконано.</w:t>
      </w:r>
      <w:r w:rsidRPr="000977F7">
        <w:rPr>
          <w:rFonts w:asciiTheme="majorHAnsi" w:hAnsiTheme="majorHAnsi"/>
          <w:spacing w:val="1"/>
          <w:sz w:val="20"/>
          <w:szCs w:val="20"/>
        </w:rPr>
        <w:t xml:space="preserve"> </w:t>
      </w:r>
      <w:r w:rsidRPr="000977F7">
        <w:rPr>
          <w:rFonts w:asciiTheme="majorHAnsi" w:hAnsiTheme="majorHAnsi"/>
          <w:sz w:val="20"/>
          <w:szCs w:val="20"/>
        </w:rPr>
        <w:t>Таке</w:t>
      </w:r>
      <w:r w:rsidRPr="000977F7">
        <w:rPr>
          <w:rFonts w:asciiTheme="majorHAnsi" w:hAnsiTheme="majorHAnsi"/>
          <w:spacing w:val="1"/>
          <w:sz w:val="20"/>
          <w:szCs w:val="20"/>
        </w:rPr>
        <w:t xml:space="preserve"> </w:t>
      </w:r>
      <w:r w:rsidRPr="000977F7">
        <w:rPr>
          <w:rFonts w:asciiTheme="majorHAnsi" w:hAnsiTheme="majorHAnsi"/>
          <w:sz w:val="20"/>
          <w:szCs w:val="20"/>
        </w:rPr>
        <w:t>підтвердження само собою не дає договірних чи будь-яких</w:t>
      </w:r>
      <w:r w:rsidRPr="000977F7">
        <w:rPr>
          <w:rFonts w:asciiTheme="majorHAnsi" w:hAnsiTheme="majorHAnsi"/>
          <w:spacing w:val="1"/>
          <w:sz w:val="20"/>
          <w:szCs w:val="20"/>
        </w:rPr>
        <w:t xml:space="preserve"> </w:t>
      </w:r>
      <w:r w:rsidRPr="000977F7">
        <w:rPr>
          <w:rFonts w:asciiTheme="majorHAnsi" w:hAnsiTheme="majorHAnsi"/>
          <w:sz w:val="20"/>
          <w:szCs w:val="20"/>
        </w:rPr>
        <w:t>інших правових</w:t>
      </w:r>
      <w:r w:rsidRPr="000977F7">
        <w:rPr>
          <w:rFonts w:asciiTheme="majorHAnsi" w:hAnsiTheme="majorHAnsi"/>
          <w:spacing w:val="-1"/>
          <w:sz w:val="20"/>
          <w:szCs w:val="20"/>
        </w:rPr>
        <w:t xml:space="preserve"> </w:t>
      </w:r>
      <w:r w:rsidRPr="000977F7">
        <w:rPr>
          <w:rFonts w:asciiTheme="majorHAnsi" w:hAnsiTheme="majorHAnsi"/>
          <w:sz w:val="20"/>
          <w:szCs w:val="20"/>
        </w:rPr>
        <w:t>гарантій.</w:t>
      </w:r>
    </w:p>
    <w:p w14:paraId="361D1BD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 2.</w:t>
      </w:r>
    </w:p>
    <w:p w14:paraId="15C2FD8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Дії щодо</w:t>
      </w:r>
      <w:r w:rsidRPr="000977F7">
        <w:rPr>
          <w:rFonts w:asciiTheme="majorHAnsi" w:hAnsiTheme="majorHAnsi"/>
          <w:spacing w:val="1"/>
          <w:sz w:val="20"/>
          <w:szCs w:val="20"/>
        </w:rPr>
        <w:t xml:space="preserve"> </w:t>
      </w:r>
      <w:r w:rsidRPr="000977F7">
        <w:rPr>
          <w:rFonts w:asciiTheme="majorHAnsi" w:hAnsiTheme="majorHAnsi"/>
          <w:sz w:val="20"/>
          <w:szCs w:val="20"/>
        </w:rPr>
        <w:t>підтвердження</w:t>
      </w:r>
      <w:r w:rsidRPr="000977F7">
        <w:rPr>
          <w:rFonts w:asciiTheme="majorHAnsi" w:hAnsiTheme="majorHAnsi"/>
          <w:spacing w:val="1"/>
          <w:sz w:val="20"/>
          <w:szCs w:val="20"/>
        </w:rPr>
        <w:t xml:space="preserve"> </w:t>
      </w:r>
      <w:r w:rsidRPr="000977F7">
        <w:rPr>
          <w:rFonts w:asciiTheme="majorHAnsi" w:hAnsiTheme="majorHAnsi"/>
          <w:sz w:val="20"/>
          <w:szCs w:val="20"/>
        </w:rPr>
        <w:t>першою та третьою стороною розрізняють за допомогою термінів "декларація",</w:t>
      </w:r>
      <w:r w:rsidRPr="000977F7">
        <w:rPr>
          <w:rFonts w:asciiTheme="majorHAnsi" w:hAnsiTheme="majorHAnsi"/>
          <w:spacing w:val="1"/>
          <w:sz w:val="20"/>
          <w:szCs w:val="20"/>
        </w:rPr>
        <w:t xml:space="preserve"> </w:t>
      </w:r>
      <w:r w:rsidRPr="000977F7">
        <w:rPr>
          <w:rFonts w:asciiTheme="majorHAnsi" w:hAnsiTheme="majorHAnsi"/>
          <w:sz w:val="20"/>
          <w:szCs w:val="20"/>
        </w:rPr>
        <w:t>"сертифікація" та "акредитація". Для дій щодо підтвердження</w:t>
      </w:r>
      <w:r w:rsidRPr="000977F7">
        <w:rPr>
          <w:rFonts w:asciiTheme="majorHAnsi" w:hAnsiTheme="majorHAnsi"/>
          <w:spacing w:val="1"/>
          <w:sz w:val="20"/>
          <w:szCs w:val="20"/>
        </w:rPr>
        <w:t xml:space="preserve"> </w:t>
      </w:r>
      <w:r w:rsidRPr="000977F7">
        <w:rPr>
          <w:rFonts w:asciiTheme="majorHAnsi" w:hAnsiTheme="majorHAnsi"/>
          <w:sz w:val="20"/>
          <w:szCs w:val="20"/>
        </w:rPr>
        <w:t>другою</w:t>
      </w:r>
      <w:r w:rsidRPr="000977F7">
        <w:rPr>
          <w:rFonts w:asciiTheme="majorHAnsi" w:hAnsiTheme="majorHAnsi"/>
          <w:spacing w:val="1"/>
          <w:sz w:val="20"/>
          <w:szCs w:val="20"/>
        </w:rPr>
        <w:t xml:space="preserve"> </w:t>
      </w:r>
      <w:r w:rsidRPr="000977F7">
        <w:rPr>
          <w:rFonts w:asciiTheme="majorHAnsi" w:hAnsiTheme="majorHAnsi"/>
          <w:sz w:val="20"/>
          <w:szCs w:val="20"/>
        </w:rPr>
        <w:t>стороною</w:t>
      </w:r>
      <w:r w:rsidRPr="000977F7">
        <w:rPr>
          <w:rFonts w:asciiTheme="majorHAnsi" w:hAnsiTheme="majorHAnsi"/>
          <w:spacing w:val="1"/>
          <w:sz w:val="20"/>
          <w:szCs w:val="20"/>
        </w:rPr>
        <w:t xml:space="preserve"> </w:t>
      </w:r>
      <w:r w:rsidRPr="000977F7">
        <w:rPr>
          <w:rFonts w:asciiTheme="majorHAnsi" w:hAnsiTheme="majorHAnsi"/>
          <w:sz w:val="20"/>
          <w:szCs w:val="20"/>
        </w:rPr>
        <w:t>спеціального</w:t>
      </w:r>
      <w:r w:rsidRPr="000977F7">
        <w:rPr>
          <w:rFonts w:asciiTheme="majorHAnsi" w:hAnsiTheme="majorHAnsi"/>
          <w:spacing w:val="1"/>
          <w:sz w:val="20"/>
          <w:szCs w:val="20"/>
        </w:rPr>
        <w:t xml:space="preserve"> </w:t>
      </w:r>
      <w:r w:rsidRPr="000977F7">
        <w:rPr>
          <w:rFonts w:asciiTheme="majorHAnsi" w:hAnsiTheme="majorHAnsi"/>
          <w:sz w:val="20"/>
          <w:szCs w:val="20"/>
        </w:rPr>
        <w:t>терміну</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47"/>
          <w:sz w:val="20"/>
          <w:szCs w:val="20"/>
        </w:rPr>
        <w:t xml:space="preserve">    </w:t>
      </w:r>
      <w:r w:rsidRPr="000977F7">
        <w:rPr>
          <w:rFonts w:asciiTheme="majorHAnsi" w:hAnsiTheme="majorHAnsi"/>
          <w:sz w:val="20"/>
          <w:szCs w:val="20"/>
        </w:rPr>
        <w:t>існує.</w:t>
      </w:r>
    </w:p>
    <w:p w14:paraId="7484CA6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ISO/IEC</w:t>
      </w:r>
      <w:r w:rsidRPr="000977F7">
        <w:rPr>
          <w:rFonts w:asciiTheme="majorHAnsi" w:hAnsiTheme="majorHAnsi"/>
          <w:i/>
          <w:spacing w:val="-3"/>
          <w:sz w:val="20"/>
          <w:szCs w:val="20"/>
        </w:rPr>
        <w:t xml:space="preserve"> </w:t>
      </w:r>
      <w:r w:rsidRPr="000977F7">
        <w:rPr>
          <w:rFonts w:asciiTheme="majorHAnsi" w:hAnsiTheme="majorHAnsi"/>
          <w:i/>
          <w:sz w:val="20"/>
          <w:szCs w:val="20"/>
        </w:rPr>
        <w:t>17000:2007</w:t>
      </w:r>
    </w:p>
    <w:p w14:paraId="2555D19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shd w:val="clear" w:color="auto" w:fill="FFFFFF"/>
        </w:rPr>
        <w:lastRenderedPageBreak/>
        <w:t>Видача документа про відповідність, яка ґрунтується на прийнятому після критичного огляду рішенні про те, що виконання заданих вимог було доведене;</w:t>
      </w:r>
    </w:p>
    <w:p w14:paraId="6857928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bookmarkStart w:id="178" w:name="_Hlk103185128"/>
      <w:r w:rsidRPr="000977F7">
        <w:rPr>
          <w:rFonts w:asciiTheme="majorHAnsi" w:hAnsiTheme="majorHAnsi"/>
          <w:i/>
          <w:sz w:val="20"/>
          <w:szCs w:val="20"/>
        </w:rPr>
        <w:t>Закон України "Про технічні регламенти та оцінку відповідності"</w:t>
      </w:r>
    </w:p>
    <w:bookmarkEnd w:id="178"/>
    <w:p w14:paraId="029C6597"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 xml:space="preserve">ПІДХІД НА ОСНОВІ СИСТЕМИ </w:t>
      </w:r>
    </w:p>
    <w:p w14:paraId="44F1F599"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МЕНЕДЖМЕНТУ</w:t>
      </w:r>
      <w:r w:rsidRPr="000977F7">
        <w:rPr>
          <w:rFonts w:asciiTheme="majorHAnsi" w:hAnsiTheme="majorHAnsi"/>
          <w:b/>
          <w:spacing w:val="-1"/>
          <w:sz w:val="20"/>
          <w:szCs w:val="20"/>
        </w:rPr>
        <w:t xml:space="preserve"> </w:t>
      </w:r>
      <w:r w:rsidRPr="000977F7">
        <w:rPr>
          <w:rFonts w:asciiTheme="majorHAnsi" w:hAnsiTheme="majorHAnsi"/>
          <w:b/>
          <w:sz w:val="20"/>
          <w:szCs w:val="20"/>
        </w:rPr>
        <w:t>ЯКОСТІ –</w:t>
      </w:r>
    </w:p>
    <w:p w14:paraId="1167BAB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Підхід на основі систем менеджменту якості складається</w:t>
      </w:r>
      <w:r w:rsidRPr="000977F7">
        <w:rPr>
          <w:rFonts w:asciiTheme="majorHAnsi" w:hAnsiTheme="majorHAnsi"/>
          <w:spacing w:val="-2"/>
          <w:sz w:val="20"/>
          <w:szCs w:val="20"/>
        </w:rPr>
        <w:t xml:space="preserve"> </w:t>
      </w:r>
      <w:r w:rsidRPr="000977F7">
        <w:rPr>
          <w:rFonts w:asciiTheme="majorHAnsi" w:hAnsiTheme="majorHAnsi"/>
          <w:sz w:val="20"/>
          <w:szCs w:val="20"/>
        </w:rPr>
        <w:t>із декількох</w:t>
      </w:r>
      <w:r w:rsidRPr="000977F7">
        <w:rPr>
          <w:rFonts w:asciiTheme="majorHAnsi" w:hAnsiTheme="majorHAnsi"/>
          <w:spacing w:val="-1"/>
          <w:sz w:val="20"/>
          <w:szCs w:val="20"/>
        </w:rPr>
        <w:t xml:space="preserve"> </w:t>
      </w:r>
      <w:r w:rsidRPr="000977F7">
        <w:rPr>
          <w:rFonts w:asciiTheme="majorHAnsi" w:hAnsiTheme="majorHAnsi"/>
          <w:sz w:val="20"/>
          <w:szCs w:val="20"/>
        </w:rPr>
        <w:t>кроків,</w:t>
      </w:r>
      <w:r w:rsidRPr="000977F7">
        <w:rPr>
          <w:rFonts w:asciiTheme="majorHAnsi" w:hAnsiTheme="majorHAnsi"/>
          <w:spacing w:val="-1"/>
          <w:sz w:val="20"/>
          <w:szCs w:val="20"/>
        </w:rPr>
        <w:t xml:space="preserve"> </w:t>
      </w:r>
      <w:r w:rsidRPr="000977F7">
        <w:rPr>
          <w:rFonts w:asciiTheme="majorHAnsi" w:hAnsiTheme="majorHAnsi"/>
          <w:sz w:val="20"/>
          <w:szCs w:val="20"/>
        </w:rPr>
        <w:t>таких</w:t>
      </w:r>
      <w:r w:rsidRPr="000977F7">
        <w:rPr>
          <w:rFonts w:asciiTheme="majorHAnsi" w:hAnsiTheme="majorHAnsi"/>
          <w:spacing w:val="-1"/>
          <w:sz w:val="20"/>
          <w:szCs w:val="20"/>
        </w:rPr>
        <w:t xml:space="preserve"> </w:t>
      </w:r>
      <w:r w:rsidRPr="000977F7">
        <w:rPr>
          <w:rFonts w:asciiTheme="majorHAnsi" w:hAnsiTheme="majorHAnsi"/>
          <w:sz w:val="20"/>
          <w:szCs w:val="20"/>
        </w:rPr>
        <w:t>як:</w:t>
      </w:r>
    </w:p>
    <w:p w14:paraId="5372B793" w14:textId="77777777" w:rsidR="0097612F" w:rsidRPr="000977F7" w:rsidRDefault="0097612F" w:rsidP="00FD39A4">
      <w:pPr>
        <w:pStyle w:val="ac"/>
        <w:widowControl w:val="0"/>
        <w:numPr>
          <w:ilvl w:val="0"/>
          <w:numId w:val="12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визначення політики в галузі якості та мети з якості</w:t>
      </w:r>
      <w:r w:rsidRPr="000977F7">
        <w:rPr>
          <w:rFonts w:asciiTheme="majorHAnsi" w:hAnsiTheme="majorHAnsi"/>
          <w:spacing w:val="-2"/>
          <w:sz w:val="20"/>
          <w:szCs w:val="20"/>
        </w:rPr>
        <w:t xml:space="preserve"> </w:t>
      </w:r>
      <w:r w:rsidRPr="000977F7">
        <w:rPr>
          <w:rFonts w:asciiTheme="majorHAnsi" w:hAnsiTheme="majorHAnsi"/>
          <w:sz w:val="20"/>
          <w:szCs w:val="20"/>
        </w:rPr>
        <w:t>організації;</w:t>
      </w:r>
    </w:p>
    <w:p w14:paraId="72F96BF9" w14:textId="77777777" w:rsidR="0097612F" w:rsidRPr="000977F7" w:rsidRDefault="0097612F" w:rsidP="00FD39A4">
      <w:pPr>
        <w:pStyle w:val="ac"/>
        <w:widowControl w:val="0"/>
        <w:numPr>
          <w:ilvl w:val="0"/>
          <w:numId w:val="12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визначення процесів, критичних для досягнення</w:t>
      </w:r>
      <w:r w:rsidRPr="000977F7">
        <w:rPr>
          <w:rFonts w:asciiTheme="majorHAnsi" w:hAnsiTheme="majorHAnsi"/>
          <w:spacing w:val="1"/>
          <w:sz w:val="20"/>
          <w:szCs w:val="20"/>
        </w:rPr>
        <w:t xml:space="preserve"> </w:t>
      </w:r>
      <w:r w:rsidRPr="000977F7">
        <w:rPr>
          <w:rFonts w:asciiTheme="majorHAnsi" w:hAnsiTheme="majorHAnsi"/>
          <w:sz w:val="20"/>
          <w:szCs w:val="20"/>
        </w:rPr>
        <w:t>мети</w:t>
      </w:r>
      <w:r w:rsidRPr="000977F7">
        <w:rPr>
          <w:rFonts w:asciiTheme="majorHAnsi" w:hAnsiTheme="majorHAnsi"/>
          <w:spacing w:val="-2"/>
          <w:sz w:val="20"/>
          <w:szCs w:val="20"/>
        </w:rPr>
        <w:t xml:space="preserve"> </w:t>
      </w:r>
      <w:r w:rsidRPr="000977F7">
        <w:rPr>
          <w:rFonts w:asciiTheme="majorHAnsi" w:hAnsiTheme="majorHAnsi"/>
          <w:sz w:val="20"/>
          <w:szCs w:val="20"/>
        </w:rPr>
        <w:t>з якості;</w:t>
      </w:r>
    </w:p>
    <w:p w14:paraId="65B02D09" w14:textId="77777777" w:rsidR="0097612F" w:rsidRPr="000977F7" w:rsidRDefault="0097612F" w:rsidP="00FD39A4">
      <w:pPr>
        <w:pStyle w:val="ac"/>
        <w:widowControl w:val="0"/>
        <w:numPr>
          <w:ilvl w:val="0"/>
          <w:numId w:val="12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встановлення</w:t>
      </w:r>
      <w:r w:rsidRPr="000977F7">
        <w:rPr>
          <w:rFonts w:asciiTheme="majorHAnsi" w:hAnsiTheme="majorHAnsi"/>
          <w:spacing w:val="1"/>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1"/>
          <w:sz w:val="20"/>
          <w:szCs w:val="20"/>
        </w:rPr>
        <w:t xml:space="preserve"> </w:t>
      </w:r>
      <w:r w:rsidRPr="000977F7">
        <w:rPr>
          <w:rFonts w:asciiTheme="majorHAnsi" w:hAnsiTheme="majorHAnsi"/>
          <w:sz w:val="20"/>
          <w:szCs w:val="20"/>
        </w:rPr>
        <w:t>результативності</w:t>
      </w:r>
      <w:r w:rsidRPr="000977F7">
        <w:rPr>
          <w:rFonts w:asciiTheme="majorHAnsi" w:hAnsiTheme="majorHAnsi"/>
          <w:spacing w:val="1"/>
          <w:sz w:val="20"/>
          <w:szCs w:val="20"/>
        </w:rPr>
        <w:t xml:space="preserve"> </w:t>
      </w:r>
      <w:r w:rsidRPr="000977F7">
        <w:rPr>
          <w:rFonts w:asciiTheme="majorHAnsi" w:hAnsiTheme="majorHAnsi"/>
          <w:sz w:val="20"/>
          <w:szCs w:val="20"/>
        </w:rPr>
        <w:t>кожного процесу в напрямку досягнення мети з якості;</w:t>
      </w:r>
    </w:p>
    <w:p w14:paraId="32BC9C98" w14:textId="77777777" w:rsidR="0097612F" w:rsidRPr="000977F7" w:rsidRDefault="0097612F" w:rsidP="00FD39A4">
      <w:pPr>
        <w:pStyle w:val="ac"/>
        <w:widowControl w:val="0"/>
        <w:numPr>
          <w:ilvl w:val="0"/>
          <w:numId w:val="12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застосування показників для визначення поточної</w:t>
      </w:r>
      <w:r w:rsidRPr="000977F7">
        <w:rPr>
          <w:rFonts w:asciiTheme="majorHAnsi" w:hAnsiTheme="majorHAnsi"/>
          <w:spacing w:val="-47"/>
          <w:sz w:val="20"/>
          <w:szCs w:val="20"/>
        </w:rPr>
        <w:t xml:space="preserve"> </w:t>
      </w:r>
      <w:r w:rsidRPr="000977F7">
        <w:rPr>
          <w:rFonts w:asciiTheme="majorHAnsi" w:hAnsiTheme="majorHAnsi"/>
          <w:sz w:val="20"/>
          <w:szCs w:val="20"/>
        </w:rPr>
        <w:t>результативності</w:t>
      </w:r>
      <w:r w:rsidRPr="000977F7">
        <w:rPr>
          <w:rFonts w:asciiTheme="majorHAnsi" w:hAnsiTheme="majorHAnsi"/>
          <w:spacing w:val="1"/>
          <w:sz w:val="20"/>
          <w:szCs w:val="20"/>
        </w:rPr>
        <w:t xml:space="preserve"> </w:t>
      </w:r>
      <w:r w:rsidRPr="000977F7">
        <w:rPr>
          <w:rFonts w:asciiTheme="majorHAnsi" w:hAnsiTheme="majorHAnsi"/>
          <w:sz w:val="20"/>
          <w:szCs w:val="20"/>
        </w:rPr>
        <w:t>кожного процесу;</w:t>
      </w:r>
    </w:p>
    <w:p w14:paraId="08D04365" w14:textId="77777777" w:rsidR="0097612F" w:rsidRPr="000977F7" w:rsidRDefault="0097612F" w:rsidP="00FD39A4">
      <w:pPr>
        <w:pStyle w:val="ac"/>
        <w:widowControl w:val="0"/>
        <w:numPr>
          <w:ilvl w:val="0"/>
          <w:numId w:val="12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причин,</w:t>
      </w:r>
      <w:r w:rsidRPr="000977F7">
        <w:rPr>
          <w:rFonts w:asciiTheme="majorHAnsi" w:hAnsiTheme="majorHAnsi"/>
          <w:spacing w:val="1"/>
          <w:sz w:val="20"/>
          <w:szCs w:val="20"/>
        </w:rPr>
        <w:t xml:space="preserve"> </w:t>
      </w:r>
      <w:r w:rsidRPr="000977F7">
        <w:rPr>
          <w:rFonts w:asciiTheme="majorHAnsi" w:hAnsiTheme="majorHAnsi"/>
          <w:sz w:val="20"/>
          <w:szCs w:val="20"/>
        </w:rPr>
        <w:t>попереджуючих</w:t>
      </w:r>
      <w:r w:rsidRPr="000977F7">
        <w:rPr>
          <w:rFonts w:asciiTheme="majorHAnsi" w:hAnsiTheme="majorHAnsi"/>
          <w:spacing w:val="1"/>
          <w:sz w:val="20"/>
          <w:szCs w:val="20"/>
        </w:rPr>
        <w:t xml:space="preserve"> </w:t>
      </w:r>
      <w:r w:rsidRPr="000977F7">
        <w:rPr>
          <w:rFonts w:asciiTheme="majorHAnsi" w:hAnsiTheme="majorHAnsi"/>
          <w:sz w:val="20"/>
          <w:szCs w:val="20"/>
        </w:rPr>
        <w:t>дефекти,</w:t>
      </w:r>
      <w:r w:rsidRPr="000977F7">
        <w:rPr>
          <w:rFonts w:asciiTheme="majorHAnsi" w:hAnsiTheme="majorHAnsi"/>
          <w:spacing w:val="1"/>
          <w:sz w:val="20"/>
          <w:szCs w:val="20"/>
        </w:rPr>
        <w:t xml:space="preserve"> </w:t>
      </w:r>
      <w:r w:rsidRPr="000977F7">
        <w:rPr>
          <w:rFonts w:asciiTheme="majorHAnsi" w:hAnsiTheme="majorHAnsi"/>
          <w:sz w:val="20"/>
          <w:szCs w:val="20"/>
        </w:rPr>
        <w:t>знижуючих варіабельність та мінімізуючих переробки</w:t>
      </w:r>
      <w:r w:rsidRPr="000977F7">
        <w:rPr>
          <w:rFonts w:asciiTheme="majorHAnsi" w:hAnsiTheme="majorHAnsi"/>
          <w:spacing w:val="-2"/>
          <w:sz w:val="20"/>
          <w:szCs w:val="20"/>
        </w:rPr>
        <w:t xml:space="preserve"> </w:t>
      </w:r>
      <w:r w:rsidRPr="000977F7">
        <w:rPr>
          <w:rFonts w:asciiTheme="majorHAnsi" w:hAnsiTheme="majorHAnsi"/>
          <w:sz w:val="20"/>
          <w:szCs w:val="20"/>
        </w:rPr>
        <w:t>та відходи;</w:t>
      </w:r>
    </w:p>
    <w:p w14:paraId="38B63ACE" w14:textId="77777777" w:rsidR="0097612F" w:rsidRPr="000977F7" w:rsidRDefault="0097612F" w:rsidP="00FD39A4">
      <w:pPr>
        <w:pStyle w:val="ac"/>
        <w:widowControl w:val="0"/>
        <w:numPr>
          <w:ilvl w:val="0"/>
          <w:numId w:val="12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розгляд можливостей зниження ризиків та підвищення</w:t>
      </w:r>
      <w:r w:rsidRPr="000977F7">
        <w:rPr>
          <w:rFonts w:asciiTheme="majorHAnsi" w:hAnsiTheme="majorHAnsi"/>
          <w:spacing w:val="-4"/>
          <w:sz w:val="20"/>
          <w:szCs w:val="20"/>
        </w:rPr>
        <w:t xml:space="preserve"> </w:t>
      </w:r>
      <w:r w:rsidRPr="000977F7">
        <w:rPr>
          <w:rFonts w:asciiTheme="majorHAnsi" w:hAnsiTheme="majorHAnsi"/>
          <w:sz w:val="20"/>
          <w:szCs w:val="20"/>
        </w:rPr>
        <w:t>результативності</w:t>
      </w:r>
      <w:r w:rsidRPr="000977F7">
        <w:rPr>
          <w:rFonts w:asciiTheme="majorHAnsi" w:hAnsiTheme="majorHAnsi"/>
          <w:spacing w:val="-3"/>
          <w:sz w:val="20"/>
          <w:szCs w:val="20"/>
        </w:rPr>
        <w:t xml:space="preserve"> </w:t>
      </w:r>
      <w:r w:rsidRPr="000977F7">
        <w:rPr>
          <w:rFonts w:asciiTheme="majorHAnsi" w:hAnsiTheme="majorHAnsi"/>
          <w:sz w:val="20"/>
          <w:szCs w:val="20"/>
        </w:rPr>
        <w:t>і</w:t>
      </w:r>
      <w:r w:rsidRPr="000977F7">
        <w:rPr>
          <w:rFonts w:asciiTheme="majorHAnsi" w:hAnsiTheme="majorHAnsi"/>
          <w:spacing w:val="-3"/>
          <w:sz w:val="20"/>
          <w:szCs w:val="20"/>
        </w:rPr>
        <w:t xml:space="preserve"> </w:t>
      </w:r>
      <w:r w:rsidRPr="000977F7">
        <w:rPr>
          <w:rFonts w:asciiTheme="majorHAnsi" w:hAnsiTheme="majorHAnsi"/>
          <w:sz w:val="20"/>
          <w:szCs w:val="20"/>
        </w:rPr>
        <w:t>ефективності</w:t>
      </w:r>
      <w:r w:rsidRPr="000977F7">
        <w:rPr>
          <w:rFonts w:asciiTheme="majorHAnsi" w:hAnsiTheme="majorHAnsi"/>
          <w:spacing w:val="-3"/>
          <w:sz w:val="20"/>
          <w:szCs w:val="20"/>
        </w:rPr>
        <w:t xml:space="preserve"> </w:t>
      </w:r>
      <w:r w:rsidRPr="000977F7">
        <w:rPr>
          <w:rFonts w:asciiTheme="majorHAnsi" w:hAnsiTheme="majorHAnsi"/>
          <w:sz w:val="20"/>
          <w:szCs w:val="20"/>
        </w:rPr>
        <w:t>процесів;</w:t>
      </w:r>
    </w:p>
    <w:p w14:paraId="41FAC4C1" w14:textId="77777777" w:rsidR="0097612F" w:rsidRPr="000977F7" w:rsidRDefault="0097612F" w:rsidP="00FD39A4">
      <w:pPr>
        <w:pStyle w:val="ac"/>
        <w:widowControl w:val="0"/>
        <w:numPr>
          <w:ilvl w:val="0"/>
          <w:numId w:val="12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встановлення</w:t>
      </w:r>
      <w:r w:rsidRPr="000977F7">
        <w:rPr>
          <w:rFonts w:asciiTheme="majorHAnsi" w:hAnsiTheme="majorHAnsi"/>
          <w:spacing w:val="1"/>
          <w:sz w:val="20"/>
          <w:szCs w:val="20"/>
        </w:rPr>
        <w:t xml:space="preserve"> </w:t>
      </w:r>
      <w:r w:rsidRPr="000977F7">
        <w:rPr>
          <w:rFonts w:asciiTheme="majorHAnsi" w:hAnsiTheme="majorHAnsi"/>
          <w:sz w:val="20"/>
          <w:szCs w:val="20"/>
        </w:rPr>
        <w:t>пріоритету</w:t>
      </w:r>
      <w:r w:rsidRPr="000977F7">
        <w:rPr>
          <w:rFonts w:asciiTheme="majorHAnsi" w:hAnsiTheme="majorHAnsi"/>
          <w:spacing w:val="1"/>
          <w:sz w:val="20"/>
          <w:szCs w:val="20"/>
        </w:rPr>
        <w:t xml:space="preserve"> </w:t>
      </w:r>
      <w:r w:rsidRPr="000977F7">
        <w:rPr>
          <w:rFonts w:asciiTheme="majorHAnsi" w:hAnsiTheme="majorHAnsi"/>
          <w:sz w:val="20"/>
          <w:szCs w:val="20"/>
        </w:rPr>
        <w:t>тих</w:t>
      </w:r>
      <w:r w:rsidRPr="000977F7">
        <w:rPr>
          <w:rFonts w:asciiTheme="majorHAnsi" w:hAnsiTheme="majorHAnsi"/>
          <w:spacing w:val="1"/>
          <w:sz w:val="20"/>
          <w:szCs w:val="20"/>
        </w:rPr>
        <w:t xml:space="preserve"> </w:t>
      </w:r>
      <w:r w:rsidRPr="000977F7">
        <w:rPr>
          <w:rFonts w:asciiTheme="majorHAnsi" w:hAnsiTheme="majorHAnsi"/>
          <w:sz w:val="20"/>
          <w:szCs w:val="20"/>
        </w:rPr>
        <w:t>поліпшень,</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забезпечити</w:t>
      </w:r>
      <w:r w:rsidRPr="000977F7">
        <w:rPr>
          <w:rFonts w:asciiTheme="majorHAnsi" w:hAnsiTheme="majorHAnsi"/>
          <w:spacing w:val="1"/>
          <w:sz w:val="20"/>
          <w:szCs w:val="20"/>
        </w:rPr>
        <w:t xml:space="preserve"> </w:t>
      </w:r>
      <w:r w:rsidRPr="000977F7">
        <w:rPr>
          <w:rFonts w:asciiTheme="majorHAnsi" w:hAnsiTheme="majorHAnsi"/>
          <w:sz w:val="20"/>
          <w:szCs w:val="20"/>
        </w:rPr>
        <w:t>оптимальний</w:t>
      </w:r>
      <w:r w:rsidRPr="000977F7">
        <w:rPr>
          <w:rFonts w:asciiTheme="majorHAnsi" w:hAnsiTheme="majorHAnsi"/>
          <w:spacing w:val="1"/>
          <w:sz w:val="20"/>
          <w:szCs w:val="20"/>
        </w:rPr>
        <w:t xml:space="preserve"> </w:t>
      </w:r>
      <w:r w:rsidRPr="000977F7">
        <w:rPr>
          <w:rFonts w:asciiTheme="majorHAnsi" w:hAnsiTheme="majorHAnsi"/>
          <w:sz w:val="20"/>
          <w:szCs w:val="20"/>
        </w:rPr>
        <w:t>результат</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прийнятним</w:t>
      </w:r>
      <w:r w:rsidRPr="000977F7">
        <w:rPr>
          <w:rFonts w:asciiTheme="majorHAnsi" w:hAnsiTheme="majorHAnsi"/>
          <w:spacing w:val="1"/>
          <w:sz w:val="20"/>
          <w:szCs w:val="20"/>
        </w:rPr>
        <w:t xml:space="preserve"> </w:t>
      </w:r>
      <w:r w:rsidRPr="000977F7">
        <w:rPr>
          <w:rFonts w:asciiTheme="majorHAnsi" w:hAnsiTheme="majorHAnsi"/>
          <w:sz w:val="20"/>
          <w:szCs w:val="20"/>
        </w:rPr>
        <w:t>ризиком;</w:t>
      </w:r>
    </w:p>
    <w:p w14:paraId="4C5B0ABC" w14:textId="77777777" w:rsidR="0097612F" w:rsidRPr="000977F7" w:rsidRDefault="0097612F" w:rsidP="00FD39A4">
      <w:pPr>
        <w:pStyle w:val="ac"/>
        <w:widowControl w:val="0"/>
        <w:numPr>
          <w:ilvl w:val="0"/>
          <w:numId w:val="12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планування стратегії, процесів і ресурсів для досягнення</w:t>
      </w:r>
      <w:r w:rsidRPr="000977F7">
        <w:rPr>
          <w:rFonts w:asciiTheme="majorHAnsi" w:hAnsiTheme="majorHAnsi"/>
          <w:spacing w:val="-2"/>
          <w:sz w:val="20"/>
          <w:szCs w:val="20"/>
        </w:rPr>
        <w:t xml:space="preserve"> </w:t>
      </w:r>
      <w:r w:rsidRPr="000977F7">
        <w:rPr>
          <w:rFonts w:asciiTheme="majorHAnsi" w:hAnsiTheme="majorHAnsi"/>
          <w:sz w:val="20"/>
          <w:szCs w:val="20"/>
        </w:rPr>
        <w:t>визначених</w:t>
      </w:r>
      <w:r w:rsidRPr="000977F7">
        <w:rPr>
          <w:rFonts w:asciiTheme="majorHAnsi" w:hAnsiTheme="majorHAnsi"/>
          <w:spacing w:val="-1"/>
          <w:sz w:val="20"/>
          <w:szCs w:val="20"/>
        </w:rPr>
        <w:t xml:space="preserve"> </w:t>
      </w:r>
      <w:r w:rsidRPr="000977F7">
        <w:rPr>
          <w:rFonts w:asciiTheme="majorHAnsi" w:hAnsiTheme="majorHAnsi"/>
          <w:sz w:val="20"/>
          <w:szCs w:val="20"/>
        </w:rPr>
        <w:t>поліпшень;</w:t>
      </w:r>
    </w:p>
    <w:p w14:paraId="5BB7BA58" w14:textId="77777777" w:rsidR="0097612F" w:rsidRPr="000977F7" w:rsidRDefault="0097612F" w:rsidP="00FD39A4">
      <w:pPr>
        <w:pStyle w:val="ac"/>
        <w:widowControl w:val="0"/>
        <w:numPr>
          <w:ilvl w:val="0"/>
          <w:numId w:val="12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виконання</w:t>
      </w:r>
      <w:r w:rsidRPr="000977F7">
        <w:rPr>
          <w:rFonts w:asciiTheme="majorHAnsi" w:hAnsiTheme="majorHAnsi"/>
          <w:spacing w:val="-4"/>
          <w:sz w:val="20"/>
          <w:szCs w:val="20"/>
        </w:rPr>
        <w:t xml:space="preserve"> </w:t>
      </w:r>
      <w:r w:rsidRPr="000977F7">
        <w:rPr>
          <w:rFonts w:asciiTheme="majorHAnsi" w:hAnsiTheme="majorHAnsi"/>
          <w:sz w:val="20"/>
          <w:szCs w:val="20"/>
        </w:rPr>
        <w:t>плану;</w:t>
      </w:r>
    </w:p>
    <w:p w14:paraId="327498F6" w14:textId="77777777" w:rsidR="0097612F" w:rsidRPr="000977F7" w:rsidRDefault="0097612F" w:rsidP="00FD39A4">
      <w:pPr>
        <w:pStyle w:val="ac"/>
        <w:widowControl w:val="0"/>
        <w:numPr>
          <w:ilvl w:val="0"/>
          <w:numId w:val="12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моніторинг</w:t>
      </w:r>
      <w:r w:rsidRPr="000977F7">
        <w:rPr>
          <w:rFonts w:asciiTheme="majorHAnsi" w:hAnsiTheme="majorHAnsi"/>
          <w:spacing w:val="-5"/>
          <w:sz w:val="20"/>
          <w:szCs w:val="20"/>
        </w:rPr>
        <w:t xml:space="preserve"> </w:t>
      </w:r>
      <w:r w:rsidRPr="000977F7">
        <w:rPr>
          <w:rFonts w:asciiTheme="majorHAnsi" w:hAnsiTheme="majorHAnsi"/>
          <w:sz w:val="20"/>
          <w:szCs w:val="20"/>
        </w:rPr>
        <w:t>ефектів</w:t>
      </w:r>
      <w:r w:rsidRPr="000977F7">
        <w:rPr>
          <w:rFonts w:asciiTheme="majorHAnsi" w:hAnsiTheme="majorHAnsi"/>
          <w:spacing w:val="-5"/>
          <w:sz w:val="20"/>
          <w:szCs w:val="20"/>
        </w:rPr>
        <w:t xml:space="preserve"> </w:t>
      </w:r>
      <w:r w:rsidRPr="000977F7">
        <w:rPr>
          <w:rFonts w:asciiTheme="majorHAnsi" w:hAnsiTheme="majorHAnsi"/>
          <w:sz w:val="20"/>
          <w:szCs w:val="20"/>
        </w:rPr>
        <w:t>поліпшень;</w:t>
      </w:r>
    </w:p>
    <w:p w14:paraId="3E1CEAC9" w14:textId="77777777" w:rsidR="0097612F" w:rsidRPr="000977F7" w:rsidRDefault="0097612F" w:rsidP="00FD39A4">
      <w:pPr>
        <w:pStyle w:val="ac"/>
        <w:widowControl w:val="0"/>
        <w:numPr>
          <w:ilvl w:val="0"/>
          <w:numId w:val="12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оцінка результатів у порівнянні з очікуваним виходом;</w:t>
      </w:r>
    </w:p>
    <w:p w14:paraId="7667FD8E" w14:textId="77777777" w:rsidR="0097612F" w:rsidRPr="000977F7" w:rsidRDefault="0097612F" w:rsidP="00FD39A4">
      <w:pPr>
        <w:pStyle w:val="ac"/>
        <w:widowControl w:val="0"/>
        <w:numPr>
          <w:ilvl w:val="0"/>
          <w:numId w:val="12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аналіз діяльності з поліпшень для визначення відповідних</w:t>
      </w:r>
      <w:r w:rsidRPr="000977F7">
        <w:rPr>
          <w:rFonts w:asciiTheme="majorHAnsi" w:hAnsiTheme="majorHAnsi"/>
          <w:spacing w:val="-2"/>
          <w:sz w:val="20"/>
          <w:szCs w:val="20"/>
        </w:rPr>
        <w:t xml:space="preserve"> </w:t>
      </w:r>
      <w:r w:rsidRPr="000977F7">
        <w:rPr>
          <w:rFonts w:asciiTheme="majorHAnsi" w:hAnsiTheme="majorHAnsi"/>
          <w:sz w:val="20"/>
          <w:szCs w:val="20"/>
        </w:rPr>
        <w:t>послідуючих</w:t>
      </w:r>
      <w:r w:rsidRPr="000977F7">
        <w:rPr>
          <w:rFonts w:asciiTheme="majorHAnsi" w:hAnsiTheme="majorHAnsi"/>
          <w:spacing w:val="1"/>
          <w:sz w:val="20"/>
          <w:szCs w:val="20"/>
        </w:rPr>
        <w:t xml:space="preserve"> </w:t>
      </w:r>
      <w:r w:rsidRPr="000977F7">
        <w:rPr>
          <w:rFonts w:asciiTheme="majorHAnsi" w:hAnsiTheme="majorHAnsi"/>
          <w:sz w:val="20"/>
          <w:szCs w:val="20"/>
        </w:rPr>
        <w:t>дій.</w:t>
      </w:r>
    </w:p>
    <w:p w14:paraId="0E7716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Аналогічний підхід може застосовуватися для підтримки, розробки та поліпшення існуючої системи менеджменту</w:t>
      </w:r>
      <w:r w:rsidRPr="000977F7">
        <w:rPr>
          <w:rFonts w:asciiTheme="majorHAnsi" w:hAnsiTheme="majorHAnsi"/>
          <w:spacing w:val="-2"/>
          <w:sz w:val="20"/>
          <w:szCs w:val="20"/>
        </w:rPr>
        <w:t xml:space="preserve"> </w:t>
      </w:r>
      <w:r w:rsidRPr="000977F7">
        <w:rPr>
          <w:rFonts w:asciiTheme="majorHAnsi" w:hAnsiTheme="majorHAnsi"/>
          <w:sz w:val="20"/>
          <w:szCs w:val="20"/>
        </w:rPr>
        <w:t>якості.</w:t>
      </w:r>
    </w:p>
    <w:p w14:paraId="09B7D3D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Шляхом впровадження відповідної системи менеджменту якості організація створює довіру до спроможності та надійності своїх процесів, а також основу для</w:t>
      </w:r>
      <w:r w:rsidRPr="000977F7">
        <w:rPr>
          <w:rFonts w:asciiTheme="majorHAnsi" w:hAnsiTheme="majorHAnsi"/>
          <w:spacing w:val="1"/>
          <w:sz w:val="20"/>
          <w:szCs w:val="20"/>
        </w:rPr>
        <w:t xml:space="preserve"> </w:t>
      </w:r>
      <w:r w:rsidRPr="000977F7">
        <w:rPr>
          <w:rFonts w:asciiTheme="majorHAnsi" w:hAnsiTheme="majorHAnsi"/>
          <w:sz w:val="20"/>
          <w:szCs w:val="20"/>
        </w:rPr>
        <w:t>постійного</w:t>
      </w:r>
      <w:r w:rsidRPr="000977F7">
        <w:rPr>
          <w:rFonts w:asciiTheme="majorHAnsi" w:hAnsiTheme="majorHAnsi"/>
          <w:spacing w:val="1"/>
          <w:sz w:val="20"/>
          <w:szCs w:val="20"/>
        </w:rPr>
        <w:t xml:space="preserve"> </w:t>
      </w:r>
      <w:r w:rsidRPr="000977F7">
        <w:rPr>
          <w:rFonts w:asciiTheme="majorHAnsi" w:hAnsiTheme="majorHAnsi"/>
          <w:sz w:val="20"/>
          <w:szCs w:val="20"/>
        </w:rPr>
        <w:t>поліпшення. Обидва</w:t>
      </w:r>
      <w:r w:rsidRPr="000977F7">
        <w:rPr>
          <w:rFonts w:asciiTheme="majorHAnsi" w:hAnsiTheme="majorHAnsi"/>
          <w:spacing w:val="50"/>
          <w:sz w:val="20"/>
          <w:szCs w:val="20"/>
        </w:rPr>
        <w:t xml:space="preserve"> </w:t>
      </w:r>
      <w:r w:rsidRPr="000977F7">
        <w:rPr>
          <w:rFonts w:asciiTheme="majorHAnsi" w:hAnsiTheme="majorHAnsi"/>
          <w:sz w:val="20"/>
          <w:szCs w:val="20"/>
        </w:rPr>
        <w:t>ці напрямки ведуть</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задоволення</w:t>
      </w:r>
      <w:r w:rsidRPr="000977F7">
        <w:rPr>
          <w:rFonts w:asciiTheme="majorHAnsi" w:hAnsiTheme="majorHAnsi"/>
          <w:spacing w:val="-1"/>
          <w:sz w:val="20"/>
          <w:szCs w:val="20"/>
        </w:rPr>
        <w:t xml:space="preserve"> </w:t>
      </w:r>
      <w:r w:rsidRPr="000977F7">
        <w:rPr>
          <w:rFonts w:asciiTheme="majorHAnsi" w:hAnsiTheme="majorHAnsi"/>
          <w:sz w:val="20"/>
          <w:szCs w:val="20"/>
        </w:rPr>
        <w:t>споживача</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успіху</w:t>
      </w:r>
    </w:p>
    <w:p w14:paraId="6C4608F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ПІКОВЕ</w:t>
      </w:r>
      <w:r w:rsidRPr="000977F7">
        <w:rPr>
          <w:color w:val="auto"/>
          <w:spacing w:val="-5"/>
          <w:sz w:val="20"/>
          <w:szCs w:val="20"/>
        </w:rPr>
        <w:t xml:space="preserve"> </w:t>
      </w:r>
      <w:r w:rsidRPr="000977F7">
        <w:rPr>
          <w:color w:val="auto"/>
          <w:sz w:val="20"/>
          <w:szCs w:val="20"/>
        </w:rPr>
        <w:t>ЗНАЧЕННЯ</w:t>
      </w:r>
      <w:r w:rsidRPr="000977F7">
        <w:rPr>
          <w:color w:val="auto"/>
          <w:spacing w:val="-2"/>
          <w:sz w:val="20"/>
          <w:szCs w:val="20"/>
        </w:rPr>
        <w:t xml:space="preserve"> </w:t>
      </w:r>
      <w:r w:rsidRPr="000977F7">
        <w:rPr>
          <w:color w:val="auto"/>
          <w:sz w:val="20"/>
          <w:szCs w:val="20"/>
        </w:rPr>
        <w:t>–</w:t>
      </w:r>
    </w:p>
    <w:p w14:paraId="55D1BD5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PEAK</w:t>
      </w:r>
      <w:r w:rsidRPr="000977F7">
        <w:rPr>
          <w:rFonts w:asciiTheme="majorHAnsi" w:hAnsiTheme="majorHAnsi"/>
          <w:spacing w:val="-3"/>
          <w:sz w:val="20"/>
          <w:szCs w:val="20"/>
        </w:rPr>
        <w:t xml:space="preserve"> </w:t>
      </w:r>
      <w:r w:rsidRPr="000977F7">
        <w:rPr>
          <w:rFonts w:asciiTheme="majorHAnsi" w:hAnsiTheme="majorHAnsi"/>
          <w:sz w:val="20"/>
          <w:szCs w:val="20"/>
        </w:rPr>
        <w:t>VALUE –</w:t>
      </w:r>
    </w:p>
    <w:p w14:paraId="6A5ACBC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Максимум</w:t>
      </w:r>
      <w:r w:rsidRPr="000977F7">
        <w:rPr>
          <w:rFonts w:asciiTheme="majorHAnsi" w:hAnsiTheme="majorHAnsi"/>
          <w:spacing w:val="-3"/>
          <w:sz w:val="20"/>
          <w:szCs w:val="20"/>
        </w:rPr>
        <w:t xml:space="preserve"> </w:t>
      </w:r>
      <w:r w:rsidRPr="000977F7">
        <w:rPr>
          <w:rFonts w:asciiTheme="majorHAnsi" w:hAnsiTheme="majorHAnsi"/>
          <w:sz w:val="20"/>
          <w:szCs w:val="20"/>
        </w:rPr>
        <w:t>чи</w:t>
      </w:r>
      <w:r w:rsidRPr="000977F7">
        <w:rPr>
          <w:rFonts w:asciiTheme="majorHAnsi" w:hAnsiTheme="majorHAnsi"/>
          <w:spacing w:val="-3"/>
          <w:sz w:val="20"/>
          <w:szCs w:val="20"/>
        </w:rPr>
        <w:t xml:space="preserve"> </w:t>
      </w:r>
      <w:r w:rsidRPr="000977F7">
        <w:rPr>
          <w:rFonts w:asciiTheme="majorHAnsi" w:hAnsiTheme="majorHAnsi"/>
          <w:sz w:val="20"/>
          <w:szCs w:val="20"/>
        </w:rPr>
        <w:t>мінімум</w:t>
      </w:r>
      <w:r w:rsidRPr="000977F7">
        <w:rPr>
          <w:rFonts w:asciiTheme="majorHAnsi" w:hAnsiTheme="majorHAnsi"/>
          <w:spacing w:val="-1"/>
          <w:sz w:val="20"/>
          <w:szCs w:val="20"/>
        </w:rPr>
        <w:t xml:space="preserve"> </w:t>
      </w:r>
      <w:r w:rsidRPr="000977F7">
        <w:rPr>
          <w:rFonts w:asciiTheme="majorHAnsi" w:hAnsiTheme="majorHAnsi"/>
          <w:sz w:val="20"/>
          <w:szCs w:val="20"/>
        </w:rPr>
        <w:t>навантаження</w:t>
      </w:r>
    </w:p>
    <w:p w14:paraId="3848DBE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E28E66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P</w:t>
      </w:r>
      <w:r w:rsidRPr="000977F7">
        <w:rPr>
          <w:color w:val="auto"/>
          <w:spacing w:val="-5"/>
          <w:sz w:val="20"/>
          <w:szCs w:val="20"/>
        </w:rPr>
        <w:t xml:space="preserve"> </w:t>
      </w:r>
      <w:r w:rsidRPr="000977F7">
        <w:rPr>
          <w:color w:val="auto"/>
          <w:sz w:val="20"/>
          <w:szCs w:val="20"/>
        </w:rPr>
        <w:t>–</w:t>
      </w:r>
      <w:r w:rsidRPr="000977F7">
        <w:rPr>
          <w:color w:val="auto"/>
          <w:spacing w:val="-5"/>
          <w:sz w:val="20"/>
          <w:szCs w:val="20"/>
        </w:rPr>
        <w:t xml:space="preserve"> </w:t>
      </w:r>
      <w:r w:rsidRPr="000977F7">
        <w:rPr>
          <w:color w:val="auto"/>
          <w:sz w:val="20"/>
          <w:szCs w:val="20"/>
        </w:rPr>
        <w:t>КВАНТИЛЯ</w:t>
      </w:r>
      <w:r w:rsidRPr="000977F7">
        <w:rPr>
          <w:color w:val="auto"/>
          <w:spacing w:val="-6"/>
          <w:sz w:val="20"/>
          <w:szCs w:val="20"/>
        </w:rPr>
        <w:t xml:space="preserve"> </w:t>
      </w:r>
      <w:r w:rsidRPr="000977F7">
        <w:rPr>
          <w:color w:val="auto"/>
          <w:sz w:val="20"/>
          <w:szCs w:val="20"/>
        </w:rPr>
        <w:t>ПОКАЗНИКА</w:t>
      </w:r>
      <w:r w:rsidRPr="000977F7">
        <w:rPr>
          <w:color w:val="auto"/>
          <w:spacing w:val="-47"/>
          <w:sz w:val="20"/>
          <w:szCs w:val="20"/>
        </w:rPr>
        <w:t xml:space="preserve"> </w:t>
      </w:r>
      <w:r w:rsidRPr="000977F7">
        <w:rPr>
          <w:color w:val="auto"/>
          <w:sz w:val="20"/>
          <w:szCs w:val="20"/>
        </w:rPr>
        <w:t>НАДІЙНОСТІ</w:t>
      </w:r>
      <w:r w:rsidRPr="000977F7">
        <w:rPr>
          <w:color w:val="auto"/>
          <w:spacing w:val="-1"/>
          <w:sz w:val="20"/>
          <w:szCs w:val="20"/>
        </w:rPr>
        <w:t xml:space="preserve"> </w:t>
      </w:r>
      <w:r w:rsidRPr="000977F7">
        <w:rPr>
          <w:color w:val="auto"/>
          <w:sz w:val="20"/>
          <w:szCs w:val="20"/>
        </w:rPr>
        <w:t>–</w:t>
      </w:r>
    </w:p>
    <w:p w14:paraId="621B4A0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P</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r w:rsidRPr="004D2D14">
        <w:rPr>
          <w:rFonts w:asciiTheme="majorHAnsi" w:hAnsiTheme="majorHAnsi"/>
          <w:spacing w:val="-3"/>
          <w:sz w:val="20"/>
          <w:szCs w:val="20"/>
          <w:lang w:val="uk-UA"/>
        </w:rPr>
        <w:t xml:space="preserve"> </w:t>
      </w:r>
      <w:r w:rsidRPr="000977F7">
        <w:rPr>
          <w:rFonts w:asciiTheme="majorHAnsi" w:hAnsiTheme="majorHAnsi"/>
          <w:sz w:val="20"/>
          <w:szCs w:val="20"/>
        </w:rPr>
        <w:t>FRACTILE</w:t>
      </w:r>
      <w:r w:rsidRPr="004D2D14">
        <w:rPr>
          <w:rFonts w:asciiTheme="majorHAnsi" w:hAnsiTheme="majorHAnsi"/>
          <w:spacing w:val="-5"/>
          <w:sz w:val="20"/>
          <w:szCs w:val="20"/>
          <w:lang w:val="uk-UA"/>
        </w:rPr>
        <w:t xml:space="preserve"> </w:t>
      </w:r>
      <w:r w:rsidRPr="000977F7">
        <w:rPr>
          <w:rFonts w:asciiTheme="majorHAnsi" w:hAnsiTheme="majorHAnsi"/>
          <w:sz w:val="20"/>
          <w:szCs w:val="20"/>
        </w:rPr>
        <w:t>DEPENDABILITY</w:t>
      </w:r>
      <w:r w:rsidRPr="004D2D14">
        <w:rPr>
          <w:rFonts w:asciiTheme="majorHAnsi" w:hAnsiTheme="majorHAnsi"/>
          <w:spacing w:val="-47"/>
          <w:sz w:val="20"/>
          <w:szCs w:val="20"/>
          <w:lang w:val="uk-UA"/>
        </w:rPr>
        <w:t xml:space="preserve"> </w:t>
      </w:r>
      <w:r w:rsidRPr="000977F7">
        <w:rPr>
          <w:rFonts w:asciiTheme="majorHAnsi" w:hAnsiTheme="majorHAnsi"/>
          <w:sz w:val="20"/>
          <w:szCs w:val="20"/>
        </w:rPr>
        <w:t>MEASURE</w:t>
      </w:r>
      <w:r w:rsidRPr="004D2D14">
        <w:rPr>
          <w:rFonts w:asciiTheme="majorHAnsi" w:hAnsiTheme="majorHAnsi"/>
          <w:sz w:val="20"/>
          <w:szCs w:val="20"/>
          <w:lang w:val="uk-UA"/>
        </w:rPr>
        <w:t xml:space="preserve"> –</w:t>
      </w:r>
    </w:p>
    <w:p w14:paraId="4BF3646D" w14:textId="77777777" w:rsidR="0097612F" w:rsidRPr="004D2D14" w:rsidRDefault="0097612F" w:rsidP="000977F7">
      <w:pPr>
        <w:pStyle w:val="af6"/>
        <w:tabs>
          <w:tab w:val="left" w:pos="284"/>
        </w:tabs>
        <w:spacing w:after="0"/>
        <w:ind w:left="170"/>
        <w:mirrorIndents/>
        <w:jc w:val="both"/>
        <w:rPr>
          <w:rFonts w:asciiTheme="majorHAnsi" w:hAnsiTheme="majorHAnsi"/>
          <w:spacing w:val="-47"/>
          <w:sz w:val="20"/>
          <w:szCs w:val="20"/>
          <w:lang w:val="uk-UA"/>
        </w:rPr>
      </w:pPr>
      <w:r w:rsidRPr="004D2D14">
        <w:rPr>
          <w:rFonts w:asciiTheme="majorHAnsi" w:hAnsiTheme="majorHAnsi"/>
          <w:sz w:val="20"/>
          <w:szCs w:val="20"/>
          <w:lang w:val="uk-UA"/>
        </w:rPr>
        <w:t>Значення величини наробітку терміну збережуваності,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тривалості відновлення, протягом яких відмовить (досягне граничного стану, буде відновлена) визначена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частка, що складає</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(Р</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об’єктів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виборці</w:t>
      </w:r>
      <w:r w:rsidRPr="004D2D14">
        <w:rPr>
          <w:rFonts w:asciiTheme="majorHAnsi" w:hAnsiTheme="majorHAnsi"/>
          <w:spacing w:val="-47"/>
          <w:sz w:val="20"/>
          <w:szCs w:val="20"/>
          <w:lang w:val="uk-UA"/>
        </w:rPr>
        <w:t xml:space="preserve"> </w:t>
      </w:r>
    </w:p>
    <w:p w14:paraId="536095C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B5F71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Зв’язок</w:t>
      </w:r>
      <w:r w:rsidRPr="000977F7">
        <w:rPr>
          <w:rFonts w:asciiTheme="majorHAnsi" w:hAnsiTheme="majorHAnsi"/>
          <w:spacing w:val="-4"/>
          <w:sz w:val="20"/>
          <w:szCs w:val="20"/>
        </w:rPr>
        <w:t xml:space="preserve"> </w:t>
      </w:r>
      <w:r w:rsidRPr="000977F7">
        <w:rPr>
          <w:rFonts w:asciiTheme="majorHAnsi" w:hAnsiTheme="majorHAnsi"/>
          <w:sz w:val="20"/>
          <w:szCs w:val="20"/>
        </w:rPr>
        <w:t>між</w:t>
      </w:r>
      <w:r w:rsidRPr="000977F7">
        <w:rPr>
          <w:rFonts w:asciiTheme="majorHAnsi" w:hAnsiTheme="majorHAnsi"/>
          <w:spacing w:val="-4"/>
          <w:sz w:val="20"/>
          <w:szCs w:val="20"/>
        </w:rPr>
        <w:t xml:space="preserve"> </w:t>
      </w:r>
      <w:r w:rsidRPr="000977F7">
        <w:rPr>
          <w:rFonts w:asciiTheme="majorHAnsi" w:hAnsiTheme="majorHAnsi"/>
          <w:sz w:val="20"/>
          <w:szCs w:val="20"/>
        </w:rPr>
        <w:t>гамма</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3"/>
          <w:sz w:val="20"/>
          <w:szCs w:val="20"/>
        </w:rPr>
        <w:t xml:space="preserve"> </w:t>
      </w:r>
      <w:r w:rsidRPr="000977F7">
        <w:rPr>
          <w:rFonts w:asciiTheme="majorHAnsi" w:hAnsiTheme="majorHAnsi"/>
          <w:sz w:val="20"/>
          <w:szCs w:val="20"/>
        </w:rPr>
        <w:t>відсотковим</w:t>
      </w:r>
      <w:r w:rsidRPr="000977F7">
        <w:rPr>
          <w:rFonts w:asciiTheme="majorHAnsi" w:hAnsiTheme="majorHAnsi"/>
          <w:spacing w:val="-2"/>
          <w:sz w:val="20"/>
          <w:szCs w:val="20"/>
        </w:rPr>
        <w:t xml:space="preserve"> </w:t>
      </w:r>
      <w:r w:rsidRPr="000977F7">
        <w:rPr>
          <w:rFonts w:asciiTheme="majorHAnsi" w:hAnsiTheme="majorHAnsi"/>
          <w:sz w:val="20"/>
          <w:szCs w:val="20"/>
        </w:rPr>
        <w:t>значенням(Ту)</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4"/>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3"/>
          <w:sz w:val="20"/>
          <w:szCs w:val="20"/>
        </w:rPr>
        <w:t xml:space="preserve"> </w:t>
      </w:r>
      <w:r w:rsidRPr="000977F7">
        <w:rPr>
          <w:rFonts w:asciiTheme="majorHAnsi" w:hAnsiTheme="majorHAnsi"/>
          <w:sz w:val="20"/>
          <w:szCs w:val="20"/>
        </w:rPr>
        <w:t>квантилю</w:t>
      </w:r>
      <w:r w:rsidRPr="000977F7">
        <w:rPr>
          <w:rFonts w:asciiTheme="majorHAnsi" w:hAnsiTheme="majorHAnsi"/>
          <w:spacing w:val="-4"/>
          <w:sz w:val="20"/>
          <w:szCs w:val="20"/>
        </w:rPr>
        <w:t xml:space="preserve"> </w:t>
      </w:r>
      <w:r w:rsidRPr="000977F7">
        <w:rPr>
          <w:rFonts w:asciiTheme="majorHAnsi" w:hAnsiTheme="majorHAnsi"/>
          <w:sz w:val="20"/>
          <w:szCs w:val="20"/>
        </w:rPr>
        <w:t>(Тр)</w:t>
      </w:r>
      <w:r w:rsidRPr="000977F7">
        <w:rPr>
          <w:rFonts w:asciiTheme="majorHAnsi" w:hAnsiTheme="majorHAnsi"/>
          <w:spacing w:val="-4"/>
          <w:sz w:val="20"/>
          <w:szCs w:val="20"/>
        </w:rPr>
        <w:t xml:space="preserve"> </w:t>
      </w:r>
      <w:r w:rsidRPr="000977F7">
        <w:rPr>
          <w:rFonts w:asciiTheme="majorHAnsi" w:hAnsiTheme="majorHAnsi"/>
          <w:sz w:val="20"/>
          <w:szCs w:val="20"/>
        </w:rPr>
        <w:t>показника</w:t>
      </w:r>
      <w:r w:rsidRPr="000977F7">
        <w:rPr>
          <w:rFonts w:asciiTheme="majorHAnsi" w:hAnsiTheme="majorHAnsi"/>
          <w:spacing w:val="-1"/>
          <w:sz w:val="20"/>
          <w:szCs w:val="20"/>
        </w:rPr>
        <w:t xml:space="preserve"> </w:t>
      </w:r>
      <w:r w:rsidRPr="000977F7">
        <w:rPr>
          <w:rFonts w:asciiTheme="majorHAnsi" w:hAnsiTheme="majorHAnsi"/>
          <w:sz w:val="20"/>
          <w:szCs w:val="20"/>
        </w:rPr>
        <w:t>надійності</w:t>
      </w:r>
      <w:r w:rsidRPr="000977F7">
        <w:rPr>
          <w:rFonts w:asciiTheme="majorHAnsi" w:hAnsiTheme="majorHAnsi"/>
          <w:spacing w:val="-47"/>
          <w:sz w:val="20"/>
          <w:szCs w:val="20"/>
        </w:rPr>
        <w:t xml:space="preserve"> </w:t>
      </w:r>
      <w:r w:rsidRPr="000977F7">
        <w:rPr>
          <w:rFonts w:asciiTheme="majorHAnsi" w:hAnsiTheme="majorHAnsi"/>
          <w:sz w:val="20"/>
          <w:szCs w:val="20"/>
        </w:rPr>
        <w:t>Ту</w:t>
      </w:r>
      <w:r w:rsidRPr="000977F7">
        <w:rPr>
          <w:rFonts w:asciiTheme="majorHAnsi" w:hAnsiTheme="majorHAnsi"/>
          <w:spacing w:val="-5"/>
          <w:sz w:val="20"/>
          <w:szCs w:val="20"/>
        </w:rPr>
        <w:t xml:space="preserve"> </w:t>
      </w:r>
      <w:r w:rsidRPr="000977F7">
        <w:rPr>
          <w:rFonts w:asciiTheme="majorHAnsi" w:hAnsiTheme="majorHAnsi"/>
          <w:sz w:val="20"/>
          <w:szCs w:val="20"/>
        </w:rPr>
        <w:t>= Тр</w:t>
      </w:r>
      <w:r w:rsidRPr="000977F7">
        <w:rPr>
          <w:rFonts w:asciiTheme="majorHAnsi" w:hAnsiTheme="majorHAnsi"/>
          <w:spacing w:val="-1"/>
          <w:sz w:val="20"/>
          <w:szCs w:val="20"/>
        </w:rPr>
        <w:t xml:space="preserve"> </w:t>
      </w:r>
      <w:r w:rsidRPr="000977F7">
        <w:rPr>
          <w:rFonts w:asciiTheme="majorHAnsi" w:hAnsiTheme="majorHAnsi"/>
          <w:sz w:val="20"/>
          <w:szCs w:val="20"/>
        </w:rPr>
        <w:t>(1</w:t>
      </w:r>
      <w:r w:rsidRPr="000977F7">
        <w:rPr>
          <w:rFonts w:asciiTheme="majorHAnsi" w:hAnsiTheme="majorHAnsi"/>
          <w:spacing w:val="2"/>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Р/100);</w:t>
      </w:r>
      <w:r w:rsidRPr="000977F7">
        <w:rPr>
          <w:rFonts w:asciiTheme="majorHAnsi" w:hAnsiTheme="majorHAnsi"/>
          <w:spacing w:val="-3"/>
          <w:sz w:val="20"/>
          <w:szCs w:val="20"/>
        </w:rPr>
        <w:t xml:space="preserve"> </w:t>
      </w:r>
      <w:r w:rsidRPr="000977F7">
        <w:rPr>
          <w:rFonts w:asciiTheme="majorHAnsi" w:hAnsiTheme="majorHAnsi"/>
          <w:sz w:val="20"/>
          <w:szCs w:val="20"/>
        </w:rPr>
        <w:t>Тр</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2"/>
          <w:sz w:val="20"/>
          <w:szCs w:val="20"/>
        </w:rPr>
        <w:t xml:space="preserve"> </w:t>
      </w:r>
      <w:r w:rsidRPr="000977F7">
        <w:rPr>
          <w:rFonts w:asciiTheme="majorHAnsi" w:hAnsiTheme="majorHAnsi"/>
          <w:sz w:val="20"/>
          <w:szCs w:val="20"/>
        </w:rPr>
        <w:t>Ту</w:t>
      </w:r>
      <w:r w:rsidRPr="000977F7">
        <w:rPr>
          <w:rFonts w:asciiTheme="majorHAnsi" w:hAnsiTheme="majorHAnsi"/>
          <w:spacing w:val="-4"/>
          <w:sz w:val="20"/>
          <w:szCs w:val="20"/>
        </w:rPr>
        <w:t xml:space="preserve"> </w:t>
      </w:r>
      <w:r w:rsidRPr="000977F7">
        <w:rPr>
          <w:rFonts w:asciiTheme="majorHAnsi" w:hAnsiTheme="majorHAnsi"/>
          <w:sz w:val="20"/>
          <w:szCs w:val="20"/>
        </w:rPr>
        <w:t>(1</w:t>
      </w:r>
      <w:r w:rsidRPr="000977F7">
        <w:rPr>
          <w:rFonts w:asciiTheme="majorHAnsi" w:hAnsiTheme="majorHAnsi"/>
          <w:spacing w:val="4"/>
          <w:sz w:val="20"/>
          <w:szCs w:val="20"/>
        </w:rPr>
        <w:t xml:space="preserve"> </w:t>
      </w:r>
      <w:r w:rsidRPr="000977F7">
        <w:rPr>
          <w:rFonts w:asciiTheme="majorHAnsi" w:hAnsiTheme="majorHAnsi"/>
          <w:sz w:val="20"/>
          <w:szCs w:val="20"/>
        </w:rPr>
        <w:t>–</w:t>
      </w:r>
      <w:r w:rsidRPr="000977F7">
        <w:rPr>
          <w:rFonts w:asciiTheme="majorHAnsi" w:hAnsiTheme="majorHAnsi"/>
          <w:spacing w:val="32"/>
          <w:sz w:val="20"/>
          <w:szCs w:val="20"/>
        </w:rPr>
        <w:t xml:space="preserve"> </w:t>
      </w:r>
      <w:r w:rsidRPr="000977F7">
        <w:rPr>
          <w:rFonts w:asciiTheme="majorHAnsi" w:hAnsiTheme="majorHAnsi"/>
          <w:sz w:val="20"/>
          <w:szCs w:val="20"/>
        </w:rPr>
        <w:t>/100).</w:t>
      </w:r>
    </w:p>
    <w:p w14:paraId="5798C7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noProof/>
          <w:sz w:val="20"/>
          <w:szCs w:val="20"/>
        </w:rPr>
        <w:drawing>
          <wp:anchor distT="0" distB="0" distL="0" distR="0" simplePos="0" relativeHeight="251674624" behindDoc="1" locked="0" layoutInCell="1" allowOverlap="1" wp14:anchorId="6A18275B" wp14:editId="3BAABD1A">
            <wp:simplePos x="0" y="0"/>
            <wp:positionH relativeFrom="page">
              <wp:posOffset>5854953</wp:posOffset>
            </wp:positionH>
            <wp:positionV relativeFrom="paragraph">
              <wp:posOffset>-162077</wp:posOffset>
            </wp:positionV>
            <wp:extent cx="103632" cy="155448"/>
            <wp:effectExtent l="0" t="0" r="0" b="0"/>
            <wp:wrapNone/>
            <wp:docPr id="5165" name="image7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79.png"/>
                    <pic:cNvPicPr/>
                  </pic:nvPicPr>
                  <pic:blipFill>
                    <a:blip r:embed="rId32" cstate="print"/>
                    <a:stretch>
                      <a:fillRect/>
                    </a:stretch>
                  </pic:blipFill>
                  <pic:spPr>
                    <a:xfrm>
                      <a:off x="0" y="0"/>
                      <a:ext cx="103632" cy="155448"/>
                    </a:xfrm>
                    <a:prstGeom prst="rect">
                      <a:avLst/>
                    </a:prstGeom>
                  </pic:spPr>
                </pic:pic>
              </a:graphicData>
            </a:graphic>
          </wp:anchor>
        </w:drawing>
      </w:r>
      <w:r w:rsidRPr="000977F7">
        <w:rPr>
          <w:rFonts w:asciiTheme="majorHAnsi" w:hAnsiTheme="majorHAnsi"/>
          <w:sz w:val="20"/>
          <w:szCs w:val="20"/>
        </w:rPr>
        <w:t>Ця</w:t>
      </w:r>
      <w:r w:rsidRPr="000977F7">
        <w:rPr>
          <w:rFonts w:asciiTheme="majorHAnsi" w:hAnsiTheme="majorHAnsi"/>
          <w:spacing w:val="20"/>
          <w:sz w:val="20"/>
          <w:szCs w:val="20"/>
        </w:rPr>
        <w:t xml:space="preserve"> </w:t>
      </w:r>
      <w:r w:rsidRPr="000977F7">
        <w:rPr>
          <w:rFonts w:asciiTheme="majorHAnsi" w:hAnsiTheme="majorHAnsi"/>
          <w:sz w:val="20"/>
          <w:szCs w:val="20"/>
        </w:rPr>
        <w:t>примітка</w:t>
      </w:r>
      <w:r w:rsidRPr="000977F7">
        <w:rPr>
          <w:rFonts w:asciiTheme="majorHAnsi" w:hAnsiTheme="majorHAnsi"/>
          <w:spacing w:val="20"/>
          <w:sz w:val="20"/>
          <w:szCs w:val="20"/>
        </w:rPr>
        <w:t xml:space="preserve"> </w:t>
      </w:r>
      <w:r w:rsidRPr="000977F7">
        <w:rPr>
          <w:rFonts w:asciiTheme="majorHAnsi" w:hAnsiTheme="majorHAnsi"/>
          <w:sz w:val="20"/>
          <w:szCs w:val="20"/>
        </w:rPr>
        <w:t>стосується</w:t>
      </w:r>
      <w:r w:rsidRPr="000977F7">
        <w:rPr>
          <w:rFonts w:asciiTheme="majorHAnsi" w:hAnsiTheme="majorHAnsi"/>
          <w:spacing w:val="20"/>
          <w:sz w:val="20"/>
          <w:szCs w:val="20"/>
        </w:rPr>
        <w:t xml:space="preserve"> </w:t>
      </w:r>
      <w:r w:rsidRPr="000977F7">
        <w:rPr>
          <w:rFonts w:asciiTheme="majorHAnsi" w:hAnsiTheme="majorHAnsi"/>
          <w:sz w:val="20"/>
          <w:szCs w:val="20"/>
        </w:rPr>
        <w:t>всіх</w:t>
      </w:r>
      <w:r w:rsidRPr="000977F7">
        <w:rPr>
          <w:rFonts w:asciiTheme="majorHAnsi" w:hAnsiTheme="majorHAnsi"/>
          <w:spacing w:val="18"/>
          <w:sz w:val="20"/>
          <w:szCs w:val="20"/>
        </w:rPr>
        <w:t xml:space="preserve"> </w:t>
      </w:r>
      <w:r w:rsidRPr="000977F7">
        <w:rPr>
          <w:rFonts w:asciiTheme="majorHAnsi" w:hAnsiTheme="majorHAnsi"/>
          <w:sz w:val="20"/>
          <w:szCs w:val="20"/>
        </w:rPr>
        <w:t>гамма</w:t>
      </w:r>
      <w:r w:rsidRPr="000977F7">
        <w:rPr>
          <w:rFonts w:asciiTheme="majorHAnsi" w:hAnsiTheme="majorHAnsi"/>
          <w:spacing w:val="24"/>
          <w:sz w:val="20"/>
          <w:szCs w:val="20"/>
        </w:rPr>
        <w:t xml:space="preserve"> </w:t>
      </w:r>
      <w:r w:rsidRPr="000977F7">
        <w:rPr>
          <w:rFonts w:asciiTheme="majorHAnsi" w:hAnsiTheme="majorHAnsi"/>
          <w:sz w:val="20"/>
          <w:szCs w:val="20"/>
        </w:rPr>
        <w:t>–</w:t>
      </w:r>
      <w:r w:rsidRPr="000977F7">
        <w:rPr>
          <w:rFonts w:asciiTheme="majorHAnsi" w:hAnsiTheme="majorHAnsi"/>
          <w:spacing w:val="22"/>
          <w:sz w:val="20"/>
          <w:szCs w:val="20"/>
        </w:rPr>
        <w:t xml:space="preserve"> </w:t>
      </w:r>
      <w:r w:rsidRPr="000977F7">
        <w:rPr>
          <w:rFonts w:asciiTheme="majorHAnsi" w:hAnsiTheme="majorHAnsi"/>
          <w:sz w:val="20"/>
          <w:szCs w:val="20"/>
        </w:rPr>
        <w:t>відсоткових</w:t>
      </w:r>
      <w:r w:rsidRPr="000977F7">
        <w:rPr>
          <w:rFonts w:asciiTheme="majorHAnsi" w:hAnsiTheme="majorHAnsi"/>
          <w:spacing w:val="20"/>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43"/>
          <w:sz w:val="20"/>
          <w:szCs w:val="20"/>
        </w:rPr>
        <w:t xml:space="preserve"> </w:t>
      </w:r>
      <w:r w:rsidRPr="000977F7">
        <w:rPr>
          <w:rFonts w:asciiTheme="majorHAnsi" w:hAnsiTheme="majorHAnsi"/>
          <w:sz w:val="20"/>
          <w:szCs w:val="20"/>
        </w:rPr>
        <w:t>(наробітку</w:t>
      </w:r>
      <w:r w:rsidRPr="000977F7">
        <w:rPr>
          <w:rFonts w:asciiTheme="majorHAnsi" w:hAnsiTheme="majorHAnsi"/>
          <w:spacing w:val="44"/>
          <w:sz w:val="20"/>
          <w:szCs w:val="20"/>
        </w:rPr>
        <w:t xml:space="preserve"> </w:t>
      </w:r>
      <w:r w:rsidRPr="000977F7">
        <w:rPr>
          <w:rFonts w:asciiTheme="majorHAnsi" w:hAnsiTheme="majorHAnsi"/>
          <w:sz w:val="20"/>
          <w:szCs w:val="20"/>
        </w:rPr>
        <w:t>до</w:t>
      </w:r>
      <w:r w:rsidRPr="000977F7">
        <w:rPr>
          <w:rFonts w:asciiTheme="majorHAnsi" w:hAnsiTheme="majorHAnsi"/>
          <w:spacing w:val="45"/>
          <w:sz w:val="20"/>
          <w:szCs w:val="20"/>
        </w:rPr>
        <w:t xml:space="preserve"> </w:t>
      </w:r>
      <w:r w:rsidRPr="000977F7">
        <w:rPr>
          <w:rFonts w:asciiTheme="majorHAnsi" w:hAnsiTheme="majorHAnsi"/>
          <w:sz w:val="20"/>
          <w:szCs w:val="20"/>
        </w:rPr>
        <w:t>відмови,</w:t>
      </w:r>
      <w:r w:rsidRPr="000977F7">
        <w:rPr>
          <w:rFonts w:asciiTheme="majorHAnsi" w:hAnsiTheme="majorHAnsi"/>
          <w:spacing w:val="45"/>
          <w:sz w:val="20"/>
          <w:szCs w:val="20"/>
        </w:rPr>
        <w:t xml:space="preserve"> </w:t>
      </w:r>
      <w:r w:rsidRPr="000977F7">
        <w:rPr>
          <w:rFonts w:asciiTheme="majorHAnsi" w:hAnsiTheme="majorHAnsi"/>
          <w:sz w:val="20"/>
          <w:szCs w:val="20"/>
        </w:rPr>
        <w:t>ресурсу,</w:t>
      </w:r>
      <w:r w:rsidRPr="000977F7">
        <w:rPr>
          <w:rFonts w:asciiTheme="majorHAnsi" w:hAnsiTheme="majorHAnsi"/>
          <w:spacing w:val="45"/>
          <w:sz w:val="20"/>
          <w:szCs w:val="20"/>
        </w:rPr>
        <w:t xml:space="preserve"> </w:t>
      </w:r>
      <w:r w:rsidRPr="000977F7">
        <w:rPr>
          <w:rFonts w:asciiTheme="majorHAnsi" w:hAnsiTheme="majorHAnsi"/>
          <w:sz w:val="20"/>
          <w:szCs w:val="20"/>
        </w:rPr>
        <w:t>тривалості</w:t>
      </w:r>
      <w:r w:rsidRPr="000977F7">
        <w:rPr>
          <w:rFonts w:asciiTheme="majorHAnsi" w:hAnsiTheme="majorHAnsi"/>
          <w:spacing w:val="-47"/>
          <w:sz w:val="20"/>
          <w:szCs w:val="20"/>
        </w:rPr>
        <w:t xml:space="preserve"> </w:t>
      </w:r>
      <w:r w:rsidRPr="000977F7">
        <w:rPr>
          <w:rFonts w:asciiTheme="majorHAnsi" w:hAnsiTheme="majorHAnsi"/>
          <w:sz w:val="20"/>
          <w:szCs w:val="20"/>
        </w:rPr>
        <w:t>відновлення,</w:t>
      </w:r>
      <w:r w:rsidRPr="000977F7">
        <w:rPr>
          <w:rFonts w:asciiTheme="majorHAnsi" w:hAnsiTheme="majorHAnsi"/>
          <w:spacing w:val="-1"/>
          <w:sz w:val="20"/>
          <w:szCs w:val="20"/>
        </w:rPr>
        <w:t xml:space="preserve"> </w:t>
      </w:r>
      <w:r w:rsidRPr="000977F7">
        <w:rPr>
          <w:rFonts w:asciiTheme="majorHAnsi" w:hAnsiTheme="majorHAnsi"/>
          <w:sz w:val="20"/>
          <w:szCs w:val="20"/>
        </w:rPr>
        <w:t>збережуваності</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1B180E7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 94</w:t>
      </w:r>
    </w:p>
    <w:p w14:paraId="04EFCA8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ПІРОМЕТРИЧНИЙ</w:t>
      </w:r>
      <w:r w:rsidRPr="000977F7">
        <w:rPr>
          <w:color w:val="auto"/>
          <w:spacing w:val="-5"/>
          <w:sz w:val="20"/>
          <w:szCs w:val="20"/>
        </w:rPr>
        <w:t xml:space="preserve"> </w:t>
      </w:r>
      <w:r w:rsidRPr="000977F7">
        <w:rPr>
          <w:color w:val="auto"/>
          <w:sz w:val="20"/>
          <w:szCs w:val="20"/>
        </w:rPr>
        <w:t>МЕТОД</w:t>
      </w:r>
      <w:r w:rsidRPr="000977F7">
        <w:rPr>
          <w:color w:val="auto"/>
          <w:spacing w:val="-1"/>
          <w:sz w:val="20"/>
          <w:szCs w:val="20"/>
        </w:rPr>
        <w:t xml:space="preserve"> </w:t>
      </w:r>
      <w:r w:rsidRPr="000977F7">
        <w:rPr>
          <w:color w:val="auto"/>
          <w:sz w:val="20"/>
          <w:szCs w:val="20"/>
        </w:rPr>
        <w:t>–</w:t>
      </w:r>
    </w:p>
    <w:p w14:paraId="7E39EBC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теплового неруйнівного контролю, що ґрунтується на реєстрації температури поверхні об’єкта контролю</w:t>
      </w:r>
      <w:r w:rsidRPr="000977F7">
        <w:rPr>
          <w:rFonts w:asciiTheme="majorHAnsi" w:hAnsiTheme="majorHAnsi"/>
          <w:spacing w:val="-1"/>
          <w:sz w:val="20"/>
          <w:szCs w:val="20"/>
        </w:rPr>
        <w:t xml:space="preserve"> </w:t>
      </w:r>
      <w:r w:rsidRPr="000977F7">
        <w:rPr>
          <w:rFonts w:asciiTheme="majorHAnsi" w:hAnsiTheme="majorHAnsi"/>
          <w:sz w:val="20"/>
          <w:szCs w:val="20"/>
        </w:rPr>
        <w:t>за допомогою пірометра</w:t>
      </w:r>
    </w:p>
    <w:p w14:paraId="0F16C40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2865 – 94</w:t>
      </w:r>
    </w:p>
    <w:p w14:paraId="776B03E7"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i/>
          <w:spacing w:val="-47"/>
          <w:sz w:val="20"/>
          <w:szCs w:val="20"/>
        </w:rPr>
        <w:t xml:space="preserve"> </w:t>
      </w:r>
      <w:r w:rsidRPr="000977F7">
        <w:rPr>
          <w:rFonts w:asciiTheme="majorHAnsi" w:hAnsiTheme="majorHAnsi"/>
          <w:b/>
          <w:sz w:val="20"/>
          <w:szCs w:val="20"/>
        </w:rPr>
        <w:t>ПІТІНГОВА КОРОЗІЯ;</w:t>
      </w:r>
      <w:r w:rsidRPr="000977F7">
        <w:rPr>
          <w:rFonts w:asciiTheme="majorHAnsi" w:hAnsiTheme="majorHAnsi"/>
          <w:b/>
          <w:spacing w:val="1"/>
          <w:sz w:val="20"/>
          <w:szCs w:val="20"/>
        </w:rPr>
        <w:t xml:space="preserve"> </w:t>
      </w:r>
      <w:r w:rsidRPr="000977F7">
        <w:rPr>
          <w:rFonts w:asciiTheme="majorHAnsi" w:hAnsiTheme="majorHAnsi"/>
          <w:b/>
          <w:sz w:val="20"/>
          <w:szCs w:val="20"/>
        </w:rPr>
        <w:t>ВИРАЗКОВА КОРОЗІЯ —</w:t>
      </w:r>
    </w:p>
    <w:p w14:paraId="5F819A1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PITTING</w:t>
      </w:r>
      <w:r w:rsidRPr="000977F7">
        <w:rPr>
          <w:rFonts w:asciiTheme="majorHAnsi" w:hAnsiTheme="majorHAnsi"/>
          <w:spacing w:val="-1"/>
          <w:sz w:val="20"/>
          <w:szCs w:val="20"/>
        </w:rPr>
        <w:t xml:space="preserve"> </w:t>
      </w:r>
      <w:r w:rsidRPr="000977F7">
        <w:rPr>
          <w:rFonts w:asciiTheme="majorHAnsi" w:hAnsiTheme="majorHAnsi"/>
          <w:sz w:val="20"/>
          <w:szCs w:val="20"/>
        </w:rPr>
        <w:t>CORROSION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A0086C6"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Корозія,</w:t>
      </w:r>
      <w:r w:rsidRPr="000977F7">
        <w:rPr>
          <w:rFonts w:asciiTheme="majorHAnsi" w:hAnsiTheme="majorHAnsi"/>
          <w:spacing w:val="26"/>
          <w:sz w:val="20"/>
          <w:szCs w:val="20"/>
        </w:rPr>
        <w:t xml:space="preserve"> </w:t>
      </w:r>
      <w:r w:rsidRPr="000977F7">
        <w:rPr>
          <w:rFonts w:asciiTheme="majorHAnsi" w:hAnsiTheme="majorHAnsi"/>
          <w:sz w:val="20"/>
          <w:szCs w:val="20"/>
        </w:rPr>
        <w:t>що</w:t>
      </w:r>
      <w:r w:rsidRPr="000977F7">
        <w:rPr>
          <w:rFonts w:asciiTheme="majorHAnsi" w:hAnsiTheme="majorHAnsi"/>
          <w:spacing w:val="27"/>
          <w:sz w:val="20"/>
          <w:szCs w:val="20"/>
        </w:rPr>
        <w:t xml:space="preserve"> </w:t>
      </w:r>
      <w:r w:rsidRPr="000977F7">
        <w:rPr>
          <w:rFonts w:asciiTheme="majorHAnsi" w:hAnsiTheme="majorHAnsi"/>
          <w:sz w:val="20"/>
          <w:szCs w:val="20"/>
        </w:rPr>
        <w:t>супроводжується</w:t>
      </w:r>
      <w:r w:rsidRPr="000977F7">
        <w:rPr>
          <w:rFonts w:asciiTheme="majorHAnsi" w:hAnsiTheme="majorHAnsi"/>
          <w:spacing w:val="28"/>
          <w:sz w:val="20"/>
          <w:szCs w:val="20"/>
        </w:rPr>
        <w:t xml:space="preserve"> </w:t>
      </w:r>
      <w:r w:rsidRPr="000977F7">
        <w:rPr>
          <w:rFonts w:asciiTheme="majorHAnsi" w:hAnsiTheme="majorHAnsi"/>
          <w:sz w:val="20"/>
          <w:szCs w:val="20"/>
        </w:rPr>
        <w:t>утворюванням</w:t>
      </w:r>
      <w:r w:rsidRPr="000977F7">
        <w:rPr>
          <w:rFonts w:asciiTheme="majorHAnsi" w:hAnsiTheme="majorHAnsi"/>
          <w:spacing w:val="26"/>
          <w:sz w:val="20"/>
          <w:szCs w:val="20"/>
        </w:rPr>
        <w:t xml:space="preserve"> </w:t>
      </w:r>
      <w:r w:rsidRPr="000977F7">
        <w:rPr>
          <w:rFonts w:asciiTheme="majorHAnsi" w:hAnsiTheme="majorHAnsi"/>
          <w:sz w:val="20"/>
          <w:szCs w:val="20"/>
        </w:rPr>
        <w:t>виразок</w:t>
      </w:r>
      <w:r w:rsidRPr="000977F7">
        <w:rPr>
          <w:rFonts w:asciiTheme="majorHAnsi" w:hAnsiTheme="majorHAnsi"/>
          <w:spacing w:val="-48"/>
          <w:sz w:val="20"/>
          <w:szCs w:val="20"/>
        </w:rPr>
        <w:t xml:space="preserve">    </w:t>
      </w:r>
      <w:r w:rsidRPr="000977F7">
        <w:rPr>
          <w:rFonts w:asciiTheme="majorHAnsi" w:hAnsiTheme="majorHAnsi"/>
          <w:sz w:val="20"/>
          <w:szCs w:val="20"/>
        </w:rPr>
        <w:t>у металі, тобто порожнин, які починаються з поверхні</w:t>
      </w:r>
      <w:r w:rsidRPr="000977F7">
        <w:rPr>
          <w:rFonts w:asciiTheme="majorHAnsi" w:hAnsiTheme="majorHAnsi"/>
          <w:spacing w:val="-47"/>
          <w:sz w:val="20"/>
          <w:szCs w:val="20"/>
        </w:rPr>
        <w:t xml:space="preserve"> </w:t>
      </w:r>
    </w:p>
    <w:p w14:paraId="513F126D"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7BB2B7C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ПЛАВНЕ</w:t>
      </w:r>
      <w:r w:rsidRPr="000977F7">
        <w:rPr>
          <w:color w:val="auto"/>
          <w:spacing w:val="-5"/>
          <w:sz w:val="20"/>
          <w:szCs w:val="20"/>
        </w:rPr>
        <w:t xml:space="preserve"> </w:t>
      </w:r>
      <w:r w:rsidRPr="000977F7">
        <w:rPr>
          <w:color w:val="auto"/>
          <w:sz w:val="20"/>
          <w:szCs w:val="20"/>
        </w:rPr>
        <w:t>РЕГУЛЮВАННЯ</w:t>
      </w:r>
      <w:r w:rsidRPr="000977F7">
        <w:rPr>
          <w:color w:val="auto"/>
          <w:spacing w:val="-3"/>
          <w:sz w:val="20"/>
          <w:szCs w:val="20"/>
        </w:rPr>
        <w:t xml:space="preserve"> </w:t>
      </w:r>
      <w:r w:rsidRPr="000977F7">
        <w:rPr>
          <w:color w:val="auto"/>
          <w:sz w:val="20"/>
          <w:szCs w:val="20"/>
        </w:rPr>
        <w:t>НАПРУГИ</w:t>
      </w:r>
      <w:r w:rsidRPr="000977F7">
        <w:rPr>
          <w:color w:val="auto"/>
          <w:spacing w:val="-1"/>
          <w:sz w:val="20"/>
          <w:szCs w:val="20"/>
        </w:rPr>
        <w:t xml:space="preserve"> </w:t>
      </w:r>
      <w:r w:rsidRPr="000977F7">
        <w:rPr>
          <w:color w:val="auto"/>
          <w:sz w:val="20"/>
          <w:szCs w:val="20"/>
        </w:rPr>
        <w:t>—</w:t>
      </w:r>
    </w:p>
    <w:p w14:paraId="124192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Регулювання напруги зміною її згідно з законом, який</w:t>
      </w:r>
      <w:r w:rsidRPr="000977F7">
        <w:rPr>
          <w:rFonts w:asciiTheme="majorHAnsi" w:hAnsiTheme="majorHAnsi"/>
          <w:spacing w:val="-47"/>
          <w:sz w:val="20"/>
          <w:szCs w:val="20"/>
        </w:rPr>
        <w:t xml:space="preserve">    </w:t>
      </w:r>
      <w:r w:rsidRPr="000977F7">
        <w:rPr>
          <w:rFonts w:asciiTheme="majorHAnsi" w:hAnsiTheme="majorHAnsi"/>
          <w:sz w:val="20"/>
          <w:szCs w:val="20"/>
        </w:rPr>
        <w:t>описується</w:t>
      </w:r>
      <w:r w:rsidRPr="000977F7">
        <w:rPr>
          <w:rFonts w:asciiTheme="majorHAnsi" w:hAnsiTheme="majorHAnsi"/>
          <w:spacing w:val="-2"/>
          <w:sz w:val="20"/>
          <w:szCs w:val="20"/>
        </w:rPr>
        <w:t xml:space="preserve"> </w:t>
      </w:r>
      <w:r w:rsidRPr="000977F7">
        <w:rPr>
          <w:rFonts w:asciiTheme="majorHAnsi" w:hAnsiTheme="majorHAnsi"/>
          <w:sz w:val="20"/>
          <w:szCs w:val="20"/>
        </w:rPr>
        <w:t>нерозривною</w:t>
      </w:r>
      <w:r w:rsidRPr="000977F7">
        <w:rPr>
          <w:rFonts w:asciiTheme="majorHAnsi" w:hAnsiTheme="majorHAnsi"/>
          <w:spacing w:val="-1"/>
          <w:sz w:val="20"/>
          <w:szCs w:val="20"/>
        </w:rPr>
        <w:t xml:space="preserve"> </w:t>
      </w:r>
      <w:r w:rsidRPr="000977F7">
        <w:rPr>
          <w:rFonts w:asciiTheme="majorHAnsi" w:hAnsiTheme="majorHAnsi"/>
          <w:sz w:val="20"/>
          <w:szCs w:val="20"/>
        </w:rPr>
        <w:t>функцією</w:t>
      </w:r>
    </w:p>
    <w:p w14:paraId="7892BC37"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 96</w:t>
      </w:r>
    </w:p>
    <w:p w14:paraId="304B7654"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ПЛАН АУДИТУ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5A07412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AUDIT PLAN -</w:t>
      </w:r>
    </w:p>
    <w:p w14:paraId="635BE17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Опис дій</w:t>
      </w:r>
      <w:r w:rsidRPr="000977F7">
        <w:rPr>
          <w:rFonts w:asciiTheme="majorHAnsi" w:hAnsiTheme="majorHAnsi"/>
          <w:spacing w:val="-4"/>
          <w:sz w:val="20"/>
          <w:szCs w:val="20"/>
        </w:rPr>
        <w:t xml:space="preserve"> </w:t>
      </w:r>
      <w:r w:rsidRPr="000977F7">
        <w:rPr>
          <w:rFonts w:asciiTheme="majorHAnsi" w:hAnsiTheme="majorHAnsi"/>
          <w:sz w:val="20"/>
          <w:szCs w:val="20"/>
        </w:rPr>
        <w:t>і</w:t>
      </w:r>
      <w:r w:rsidRPr="000977F7">
        <w:rPr>
          <w:rFonts w:asciiTheme="majorHAnsi" w:hAnsiTheme="majorHAnsi"/>
          <w:spacing w:val="-4"/>
          <w:sz w:val="20"/>
          <w:szCs w:val="20"/>
        </w:rPr>
        <w:t xml:space="preserve"> </w:t>
      </w:r>
      <w:r w:rsidRPr="000977F7">
        <w:rPr>
          <w:rFonts w:asciiTheme="majorHAnsi" w:hAnsiTheme="majorHAnsi"/>
          <w:sz w:val="20"/>
          <w:szCs w:val="20"/>
        </w:rPr>
        <w:t>заходів</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3"/>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4"/>
          <w:sz w:val="20"/>
          <w:szCs w:val="20"/>
        </w:rPr>
        <w:t xml:space="preserve"> </w:t>
      </w:r>
      <w:r w:rsidRPr="000977F7">
        <w:rPr>
          <w:rFonts w:asciiTheme="majorHAnsi" w:hAnsiTheme="majorHAnsi"/>
          <w:sz w:val="20"/>
          <w:szCs w:val="20"/>
        </w:rPr>
        <w:t>аудиту.</w:t>
      </w:r>
    </w:p>
    <w:p w14:paraId="56E6749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9000:2015</w:t>
      </w:r>
    </w:p>
    <w:p w14:paraId="6212B7B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ПЛАН</w:t>
      </w:r>
      <w:r w:rsidRPr="000977F7">
        <w:rPr>
          <w:color w:val="auto"/>
          <w:spacing w:val="-5"/>
          <w:sz w:val="20"/>
          <w:szCs w:val="20"/>
        </w:rPr>
        <w:t xml:space="preserve"> </w:t>
      </w:r>
      <w:r w:rsidRPr="000977F7">
        <w:rPr>
          <w:color w:val="auto"/>
          <w:sz w:val="20"/>
          <w:szCs w:val="20"/>
        </w:rPr>
        <w:t>ВИБІРКОВОГО</w:t>
      </w:r>
      <w:r w:rsidRPr="000977F7">
        <w:rPr>
          <w:color w:val="auto"/>
          <w:spacing w:val="-4"/>
          <w:sz w:val="20"/>
          <w:szCs w:val="20"/>
        </w:rPr>
        <w:t xml:space="preserve"> </w:t>
      </w:r>
      <w:r w:rsidRPr="000977F7">
        <w:rPr>
          <w:color w:val="auto"/>
          <w:sz w:val="20"/>
          <w:szCs w:val="20"/>
        </w:rPr>
        <w:t>КОНТРОЛЮ</w:t>
      </w:r>
      <w:r w:rsidRPr="000977F7">
        <w:rPr>
          <w:color w:val="auto"/>
          <w:spacing w:val="-3"/>
          <w:sz w:val="20"/>
          <w:szCs w:val="20"/>
        </w:rPr>
        <w:t xml:space="preserve"> </w:t>
      </w:r>
      <w:r w:rsidRPr="000977F7">
        <w:rPr>
          <w:color w:val="auto"/>
          <w:sz w:val="20"/>
          <w:szCs w:val="20"/>
        </w:rPr>
        <w:t>–</w:t>
      </w:r>
    </w:p>
    <w:p w14:paraId="031DD30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SAMPLING</w:t>
      </w:r>
      <w:r w:rsidRPr="004D2D14">
        <w:rPr>
          <w:rFonts w:asciiTheme="majorHAnsi" w:hAnsiTheme="majorHAnsi"/>
          <w:spacing w:val="-3"/>
          <w:sz w:val="20"/>
          <w:szCs w:val="20"/>
          <w:lang w:val="uk-UA"/>
        </w:rPr>
        <w:t xml:space="preserve"> </w:t>
      </w:r>
      <w:r w:rsidRPr="000977F7">
        <w:rPr>
          <w:rFonts w:asciiTheme="majorHAnsi" w:hAnsiTheme="majorHAnsi"/>
          <w:sz w:val="20"/>
          <w:szCs w:val="20"/>
        </w:rPr>
        <w:t>INSPECTION</w:t>
      </w:r>
      <w:r w:rsidRPr="004D2D14">
        <w:rPr>
          <w:rFonts w:asciiTheme="majorHAnsi" w:hAnsiTheme="majorHAnsi"/>
          <w:spacing w:val="-3"/>
          <w:sz w:val="20"/>
          <w:szCs w:val="20"/>
          <w:lang w:val="uk-UA"/>
        </w:rPr>
        <w:t xml:space="preserve"> </w:t>
      </w:r>
      <w:r w:rsidRPr="000977F7">
        <w:rPr>
          <w:rFonts w:asciiTheme="majorHAnsi" w:hAnsiTheme="majorHAnsi"/>
          <w:sz w:val="20"/>
          <w:szCs w:val="20"/>
        </w:rPr>
        <w:t>PLAN</w:t>
      </w:r>
      <w:r w:rsidRPr="004D2D14">
        <w:rPr>
          <w:rFonts w:asciiTheme="majorHAnsi" w:hAnsiTheme="majorHAnsi"/>
          <w:sz w:val="20"/>
          <w:szCs w:val="20"/>
          <w:lang w:val="uk-UA"/>
        </w:rPr>
        <w:t xml:space="preserve"> –</w:t>
      </w:r>
    </w:p>
    <w:p w14:paraId="2A3653B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Сукупність</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даних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про</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обсяг</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вибірок</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контрольних</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нормативів</w:t>
      </w:r>
    </w:p>
    <w:p w14:paraId="013683F4"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3514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97</w:t>
      </w:r>
    </w:p>
    <w:p w14:paraId="2370E46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ПЛАН</w:t>
      </w:r>
      <w:r w:rsidRPr="000977F7">
        <w:rPr>
          <w:color w:val="auto"/>
          <w:spacing w:val="-3"/>
          <w:sz w:val="20"/>
          <w:szCs w:val="20"/>
        </w:rPr>
        <w:t xml:space="preserve"> </w:t>
      </w:r>
      <w:r w:rsidRPr="000977F7">
        <w:rPr>
          <w:color w:val="auto"/>
          <w:sz w:val="20"/>
          <w:szCs w:val="20"/>
        </w:rPr>
        <w:t>ВИПРОБУВАНЬ</w:t>
      </w:r>
      <w:r w:rsidRPr="000977F7">
        <w:rPr>
          <w:color w:val="auto"/>
          <w:spacing w:val="-3"/>
          <w:sz w:val="20"/>
          <w:szCs w:val="20"/>
        </w:rPr>
        <w:t xml:space="preserve"> </w:t>
      </w:r>
      <w:r w:rsidRPr="000977F7">
        <w:rPr>
          <w:color w:val="auto"/>
          <w:sz w:val="20"/>
          <w:szCs w:val="20"/>
        </w:rPr>
        <w:t>–</w:t>
      </w:r>
    </w:p>
    <w:p w14:paraId="3CF74F8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TEST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PROGRAMME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6B3135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Сукупність</w:t>
      </w:r>
      <w:r w:rsidRPr="004D2D14">
        <w:rPr>
          <w:rFonts w:asciiTheme="majorHAnsi" w:hAnsiTheme="majorHAnsi"/>
          <w:sz w:val="20"/>
          <w:szCs w:val="20"/>
          <w:lang w:val="en-US"/>
        </w:rPr>
        <w:t xml:space="preserve"> </w:t>
      </w:r>
      <w:r w:rsidRPr="000977F7">
        <w:rPr>
          <w:rFonts w:asciiTheme="majorHAnsi" w:hAnsiTheme="majorHAnsi"/>
          <w:sz w:val="20"/>
          <w:szCs w:val="20"/>
        </w:rPr>
        <w:t>даних</w:t>
      </w:r>
      <w:r w:rsidRPr="004D2D14">
        <w:rPr>
          <w:rFonts w:asciiTheme="majorHAnsi" w:hAnsiTheme="majorHAnsi"/>
          <w:sz w:val="20"/>
          <w:szCs w:val="20"/>
          <w:lang w:val="en-US"/>
        </w:rPr>
        <w:t xml:space="preserve"> </w:t>
      </w:r>
      <w:r w:rsidRPr="000977F7">
        <w:rPr>
          <w:rFonts w:asciiTheme="majorHAnsi" w:hAnsiTheme="majorHAnsi"/>
          <w:sz w:val="20"/>
          <w:szCs w:val="20"/>
        </w:rPr>
        <w:t>про</w:t>
      </w:r>
      <w:r w:rsidRPr="004D2D14">
        <w:rPr>
          <w:rFonts w:asciiTheme="majorHAnsi" w:hAnsiTheme="majorHAnsi"/>
          <w:sz w:val="20"/>
          <w:szCs w:val="20"/>
          <w:lang w:val="en-US"/>
        </w:rPr>
        <w:t xml:space="preserve"> </w:t>
      </w:r>
      <w:r w:rsidRPr="000977F7">
        <w:rPr>
          <w:rFonts w:asciiTheme="majorHAnsi" w:hAnsiTheme="majorHAnsi"/>
          <w:sz w:val="20"/>
          <w:szCs w:val="20"/>
        </w:rPr>
        <w:t>вид</w:t>
      </w:r>
      <w:r w:rsidRPr="004D2D14">
        <w:rPr>
          <w:rFonts w:asciiTheme="majorHAnsi" w:hAnsiTheme="majorHAnsi"/>
          <w:sz w:val="20"/>
          <w:szCs w:val="20"/>
          <w:lang w:val="en-US"/>
        </w:rPr>
        <w:t xml:space="preserve"> </w:t>
      </w:r>
      <w:r w:rsidRPr="000977F7">
        <w:rPr>
          <w:rFonts w:asciiTheme="majorHAnsi" w:hAnsiTheme="majorHAnsi"/>
          <w:sz w:val="20"/>
          <w:szCs w:val="20"/>
        </w:rPr>
        <w:t>випробування</w:t>
      </w:r>
      <w:r w:rsidRPr="004D2D14">
        <w:rPr>
          <w:rFonts w:asciiTheme="majorHAnsi" w:hAnsiTheme="majorHAnsi"/>
          <w:sz w:val="20"/>
          <w:szCs w:val="20"/>
          <w:lang w:val="en-US"/>
        </w:rPr>
        <w:t xml:space="preserve">, </w:t>
      </w:r>
      <w:r w:rsidRPr="000977F7">
        <w:rPr>
          <w:rFonts w:asciiTheme="majorHAnsi" w:hAnsiTheme="majorHAnsi"/>
          <w:sz w:val="20"/>
          <w:szCs w:val="20"/>
        </w:rPr>
        <w:t>обсяг</w:t>
      </w:r>
      <w:r w:rsidRPr="004D2D14">
        <w:rPr>
          <w:rFonts w:asciiTheme="majorHAnsi" w:hAnsiTheme="majorHAnsi"/>
          <w:sz w:val="20"/>
          <w:szCs w:val="20"/>
          <w:lang w:val="en-US"/>
        </w:rPr>
        <w:t xml:space="preserve"> </w:t>
      </w:r>
      <w:r w:rsidRPr="000977F7">
        <w:rPr>
          <w:rFonts w:asciiTheme="majorHAnsi" w:hAnsiTheme="majorHAnsi"/>
          <w:sz w:val="20"/>
          <w:szCs w:val="20"/>
        </w:rPr>
        <w:t>партії</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випробовується</w:t>
      </w:r>
      <w:r w:rsidRPr="004D2D14">
        <w:rPr>
          <w:rFonts w:asciiTheme="majorHAnsi" w:hAnsiTheme="majorHAnsi"/>
          <w:sz w:val="20"/>
          <w:szCs w:val="20"/>
          <w:lang w:val="en-US"/>
        </w:rPr>
        <w:t xml:space="preserve">, </w:t>
      </w:r>
      <w:r w:rsidRPr="000977F7">
        <w:rPr>
          <w:rFonts w:asciiTheme="majorHAnsi" w:hAnsiTheme="majorHAnsi"/>
          <w:sz w:val="20"/>
          <w:szCs w:val="20"/>
        </w:rPr>
        <w:t>вибірок</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проб</w:t>
      </w:r>
      <w:r w:rsidRPr="004D2D14">
        <w:rPr>
          <w:rFonts w:asciiTheme="majorHAnsi" w:hAnsiTheme="majorHAnsi"/>
          <w:sz w:val="20"/>
          <w:szCs w:val="20"/>
          <w:lang w:val="en-US"/>
        </w:rPr>
        <w:t xml:space="preserve">, </w:t>
      </w:r>
      <w:r w:rsidRPr="000977F7">
        <w:rPr>
          <w:rFonts w:asciiTheme="majorHAnsi" w:hAnsiTheme="majorHAnsi"/>
          <w:sz w:val="20"/>
          <w:szCs w:val="20"/>
        </w:rPr>
        <w:t>контрольні</w:t>
      </w:r>
      <w:r w:rsidRPr="004D2D14">
        <w:rPr>
          <w:rFonts w:asciiTheme="majorHAnsi" w:hAnsiTheme="majorHAnsi"/>
          <w:spacing w:val="-2"/>
          <w:sz w:val="20"/>
          <w:szCs w:val="20"/>
          <w:lang w:val="en-US"/>
        </w:rPr>
        <w:t xml:space="preserve"> </w:t>
      </w:r>
      <w:r w:rsidRPr="000977F7">
        <w:rPr>
          <w:rFonts w:asciiTheme="majorHAnsi" w:hAnsiTheme="majorHAnsi"/>
          <w:sz w:val="20"/>
          <w:szCs w:val="20"/>
        </w:rPr>
        <w:t>параметри</w:t>
      </w:r>
      <w:r w:rsidRPr="004D2D14">
        <w:rPr>
          <w:rFonts w:asciiTheme="majorHAnsi" w:hAnsiTheme="majorHAnsi"/>
          <w:spacing w:val="-2"/>
          <w:sz w:val="20"/>
          <w:szCs w:val="20"/>
          <w:lang w:val="en-US"/>
        </w:rPr>
        <w:t xml:space="preserve"> </w:t>
      </w:r>
      <w:r w:rsidRPr="000977F7">
        <w:rPr>
          <w:rFonts w:asciiTheme="majorHAnsi" w:hAnsiTheme="majorHAnsi"/>
          <w:sz w:val="20"/>
          <w:szCs w:val="20"/>
        </w:rPr>
        <w:t>та</w:t>
      </w:r>
      <w:r w:rsidRPr="004D2D14">
        <w:rPr>
          <w:rFonts w:asciiTheme="majorHAnsi" w:hAnsiTheme="majorHAnsi"/>
          <w:spacing w:val="2"/>
          <w:sz w:val="20"/>
          <w:szCs w:val="20"/>
          <w:lang w:val="en-US"/>
        </w:rPr>
        <w:t xml:space="preserve"> </w:t>
      </w:r>
      <w:r w:rsidRPr="000977F7">
        <w:rPr>
          <w:rFonts w:asciiTheme="majorHAnsi" w:hAnsiTheme="majorHAnsi"/>
          <w:sz w:val="20"/>
          <w:szCs w:val="20"/>
        </w:rPr>
        <w:t>вирішальні</w:t>
      </w:r>
      <w:r w:rsidRPr="004D2D14">
        <w:rPr>
          <w:rFonts w:asciiTheme="majorHAnsi" w:hAnsiTheme="majorHAnsi"/>
          <w:spacing w:val="2"/>
          <w:sz w:val="20"/>
          <w:szCs w:val="20"/>
          <w:lang w:val="en-US"/>
        </w:rPr>
        <w:t xml:space="preserve"> </w:t>
      </w:r>
      <w:r w:rsidRPr="000977F7">
        <w:rPr>
          <w:rFonts w:asciiTheme="majorHAnsi" w:hAnsiTheme="majorHAnsi"/>
          <w:sz w:val="20"/>
          <w:szCs w:val="20"/>
        </w:rPr>
        <w:t>правила</w:t>
      </w:r>
    </w:p>
    <w:p w14:paraId="4EFB088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 95</w:t>
      </w:r>
    </w:p>
    <w:p w14:paraId="0F82841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ПЛАН</w:t>
      </w:r>
      <w:r w:rsidRPr="000977F7">
        <w:rPr>
          <w:color w:val="auto"/>
          <w:spacing w:val="-4"/>
          <w:sz w:val="20"/>
          <w:szCs w:val="20"/>
        </w:rPr>
        <w:t xml:space="preserve"> </w:t>
      </w:r>
      <w:r w:rsidRPr="000977F7">
        <w:rPr>
          <w:color w:val="auto"/>
          <w:sz w:val="20"/>
          <w:szCs w:val="20"/>
        </w:rPr>
        <w:t>ВИПРОБУВАНЬ</w:t>
      </w:r>
      <w:r w:rsidRPr="000977F7">
        <w:rPr>
          <w:color w:val="auto"/>
          <w:spacing w:val="-6"/>
          <w:sz w:val="20"/>
          <w:szCs w:val="20"/>
        </w:rPr>
        <w:t xml:space="preserve"> </w:t>
      </w:r>
      <w:r w:rsidRPr="000977F7">
        <w:rPr>
          <w:color w:val="auto"/>
          <w:sz w:val="20"/>
          <w:szCs w:val="20"/>
        </w:rPr>
        <w:t>НА</w:t>
      </w:r>
      <w:r w:rsidRPr="000977F7">
        <w:rPr>
          <w:color w:val="auto"/>
          <w:spacing w:val="-5"/>
          <w:sz w:val="20"/>
          <w:szCs w:val="20"/>
        </w:rPr>
        <w:t xml:space="preserve"> </w:t>
      </w:r>
      <w:r w:rsidRPr="000977F7">
        <w:rPr>
          <w:color w:val="auto"/>
          <w:sz w:val="20"/>
          <w:szCs w:val="20"/>
        </w:rPr>
        <w:t>НАДІЙНІСТЬ –</w:t>
      </w:r>
    </w:p>
    <w:p w14:paraId="1D128C4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DEPENDABILITY</w:t>
      </w:r>
      <w:r w:rsidRPr="004D2D14">
        <w:rPr>
          <w:rFonts w:asciiTheme="majorHAnsi" w:hAnsiTheme="majorHAnsi"/>
          <w:spacing w:val="-4"/>
          <w:sz w:val="20"/>
          <w:szCs w:val="20"/>
          <w:lang w:val="uk-UA"/>
        </w:rPr>
        <w:t xml:space="preserve"> </w:t>
      </w:r>
      <w:r w:rsidRPr="000977F7">
        <w:rPr>
          <w:rFonts w:asciiTheme="majorHAnsi" w:hAnsiTheme="majorHAnsi"/>
          <w:sz w:val="20"/>
          <w:szCs w:val="20"/>
        </w:rPr>
        <w:t>TEST</w:t>
      </w:r>
      <w:r w:rsidRPr="004D2D14">
        <w:rPr>
          <w:rFonts w:asciiTheme="majorHAnsi" w:hAnsiTheme="majorHAnsi"/>
          <w:spacing w:val="-2"/>
          <w:sz w:val="20"/>
          <w:szCs w:val="20"/>
          <w:lang w:val="uk-UA"/>
        </w:rPr>
        <w:t xml:space="preserve"> </w:t>
      </w:r>
      <w:r w:rsidRPr="000977F7">
        <w:rPr>
          <w:rFonts w:asciiTheme="majorHAnsi" w:hAnsiTheme="majorHAnsi"/>
          <w:sz w:val="20"/>
          <w:szCs w:val="20"/>
        </w:rPr>
        <w:t>PROGRAMME</w:t>
      </w:r>
      <w:r w:rsidRPr="004D2D14">
        <w:rPr>
          <w:rFonts w:asciiTheme="majorHAnsi" w:hAnsiTheme="majorHAnsi"/>
          <w:sz w:val="20"/>
          <w:szCs w:val="20"/>
          <w:lang w:val="uk-UA"/>
        </w:rPr>
        <w:t xml:space="preserve"> –</w:t>
      </w:r>
    </w:p>
    <w:p w14:paraId="6B9B2C9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Сукупність правил, що встановлюють обсяг вибірки,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порядок проведення випробувань, критерії їх завершення та прийняття рішень за результатами випробувань</w:t>
      </w:r>
    </w:p>
    <w:p w14:paraId="3B09B52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 94;</w:t>
      </w:r>
      <w:r w:rsidRPr="000977F7">
        <w:rPr>
          <w:rFonts w:asciiTheme="majorHAnsi" w:hAnsiTheme="majorHAnsi"/>
          <w:i/>
          <w:spacing w:val="-2"/>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7E778A6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ПЛАН</w:t>
      </w:r>
      <w:r w:rsidRPr="000977F7">
        <w:rPr>
          <w:color w:val="auto"/>
          <w:spacing w:val="-7"/>
          <w:sz w:val="20"/>
          <w:szCs w:val="20"/>
        </w:rPr>
        <w:t xml:space="preserve"> </w:t>
      </w:r>
      <w:r w:rsidRPr="000977F7">
        <w:rPr>
          <w:color w:val="auto"/>
          <w:sz w:val="20"/>
          <w:szCs w:val="20"/>
        </w:rPr>
        <w:t>ДИСПЕРСІЙНОГО</w:t>
      </w:r>
      <w:r w:rsidRPr="000977F7">
        <w:rPr>
          <w:color w:val="auto"/>
          <w:spacing w:val="-6"/>
          <w:sz w:val="20"/>
          <w:szCs w:val="20"/>
        </w:rPr>
        <w:t xml:space="preserve"> </w:t>
      </w:r>
      <w:r w:rsidRPr="000977F7">
        <w:rPr>
          <w:color w:val="auto"/>
          <w:sz w:val="20"/>
          <w:szCs w:val="20"/>
        </w:rPr>
        <w:t>АНАЛІЗУ</w:t>
      </w:r>
      <w:r w:rsidRPr="000977F7">
        <w:rPr>
          <w:color w:val="auto"/>
          <w:spacing w:val="-4"/>
          <w:sz w:val="20"/>
          <w:szCs w:val="20"/>
        </w:rPr>
        <w:t xml:space="preserve"> </w:t>
      </w:r>
      <w:r w:rsidRPr="000977F7">
        <w:rPr>
          <w:color w:val="auto"/>
          <w:sz w:val="20"/>
          <w:szCs w:val="20"/>
        </w:rPr>
        <w:t>–</w:t>
      </w:r>
    </w:p>
    <w:p w14:paraId="4B04BD0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План з дискретними рівнями факторів для находження</w:t>
      </w:r>
      <w:r w:rsidRPr="000977F7">
        <w:rPr>
          <w:rFonts w:asciiTheme="majorHAnsi" w:hAnsiTheme="majorHAnsi"/>
          <w:spacing w:val="-2"/>
          <w:sz w:val="20"/>
          <w:szCs w:val="20"/>
        </w:rPr>
        <w:t xml:space="preserve"> </w:t>
      </w:r>
      <w:r w:rsidRPr="000977F7">
        <w:rPr>
          <w:rFonts w:asciiTheme="majorHAnsi" w:hAnsiTheme="majorHAnsi"/>
          <w:sz w:val="20"/>
          <w:szCs w:val="20"/>
        </w:rPr>
        <w:t>оцінок</w:t>
      </w:r>
      <w:r w:rsidRPr="000977F7">
        <w:rPr>
          <w:rFonts w:asciiTheme="majorHAnsi" w:hAnsiTheme="majorHAnsi"/>
          <w:spacing w:val="-2"/>
          <w:sz w:val="20"/>
          <w:szCs w:val="20"/>
        </w:rPr>
        <w:t xml:space="preserve"> </w:t>
      </w:r>
      <w:r w:rsidRPr="000977F7">
        <w:rPr>
          <w:rFonts w:asciiTheme="majorHAnsi" w:hAnsiTheme="majorHAnsi"/>
          <w:sz w:val="20"/>
          <w:szCs w:val="20"/>
        </w:rPr>
        <w:t>параметрів</w:t>
      </w:r>
      <w:r w:rsidRPr="000977F7">
        <w:rPr>
          <w:rFonts w:asciiTheme="majorHAnsi" w:hAnsiTheme="majorHAnsi"/>
          <w:spacing w:val="2"/>
          <w:sz w:val="20"/>
          <w:szCs w:val="20"/>
        </w:rPr>
        <w:t xml:space="preserve"> </w:t>
      </w:r>
      <w:r w:rsidRPr="000977F7">
        <w:rPr>
          <w:rFonts w:asciiTheme="majorHAnsi" w:hAnsiTheme="majorHAnsi"/>
          <w:sz w:val="20"/>
          <w:szCs w:val="20"/>
        </w:rPr>
        <w:t>дисперсійної</w:t>
      </w:r>
      <w:r w:rsidRPr="000977F7">
        <w:rPr>
          <w:rFonts w:asciiTheme="majorHAnsi" w:hAnsiTheme="majorHAnsi"/>
          <w:spacing w:val="-2"/>
          <w:sz w:val="20"/>
          <w:szCs w:val="20"/>
        </w:rPr>
        <w:t xml:space="preserve"> </w:t>
      </w:r>
      <w:r w:rsidRPr="000977F7">
        <w:rPr>
          <w:rFonts w:asciiTheme="majorHAnsi" w:hAnsiTheme="majorHAnsi"/>
          <w:sz w:val="20"/>
          <w:szCs w:val="20"/>
        </w:rPr>
        <w:t>моделі</w:t>
      </w:r>
    </w:p>
    <w:p w14:paraId="0FD5617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ПЛАН</w:t>
      </w:r>
      <w:r w:rsidRPr="000977F7">
        <w:rPr>
          <w:color w:val="auto"/>
          <w:spacing w:val="-4"/>
          <w:sz w:val="20"/>
          <w:szCs w:val="20"/>
        </w:rPr>
        <w:t xml:space="preserve"> </w:t>
      </w:r>
      <w:r w:rsidRPr="000977F7">
        <w:rPr>
          <w:color w:val="auto"/>
          <w:sz w:val="20"/>
          <w:szCs w:val="20"/>
        </w:rPr>
        <w:t>ЕКСПЕРИМЕНТУ –</w:t>
      </w:r>
    </w:p>
    <w:p w14:paraId="080989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даних, що визначає кількість, умови і порядок</w:t>
      </w:r>
      <w:r w:rsidRPr="000977F7">
        <w:rPr>
          <w:rFonts w:asciiTheme="majorHAnsi" w:hAnsiTheme="majorHAnsi"/>
          <w:spacing w:val="-2"/>
          <w:sz w:val="20"/>
          <w:szCs w:val="20"/>
        </w:rPr>
        <w:t xml:space="preserve"> </w:t>
      </w:r>
      <w:r w:rsidRPr="000977F7">
        <w:rPr>
          <w:rFonts w:asciiTheme="majorHAnsi" w:hAnsiTheme="majorHAnsi"/>
          <w:sz w:val="20"/>
          <w:szCs w:val="20"/>
        </w:rPr>
        <w:t>реалізації</w:t>
      </w:r>
      <w:r w:rsidRPr="000977F7">
        <w:rPr>
          <w:rFonts w:asciiTheme="majorHAnsi" w:hAnsiTheme="majorHAnsi"/>
          <w:spacing w:val="-1"/>
          <w:sz w:val="20"/>
          <w:szCs w:val="20"/>
        </w:rPr>
        <w:t xml:space="preserve"> </w:t>
      </w:r>
      <w:r w:rsidRPr="000977F7">
        <w:rPr>
          <w:rFonts w:asciiTheme="majorHAnsi" w:hAnsiTheme="majorHAnsi"/>
          <w:sz w:val="20"/>
          <w:szCs w:val="20"/>
        </w:rPr>
        <w:t>дослідів</w:t>
      </w:r>
    </w:p>
    <w:p w14:paraId="70F2503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ПЛАН ЕКСПЕРИМЕНТУ ДРУГОГО</w:t>
      </w:r>
      <w:r w:rsidRPr="000977F7">
        <w:rPr>
          <w:color w:val="auto"/>
          <w:spacing w:val="-48"/>
          <w:sz w:val="20"/>
          <w:szCs w:val="20"/>
        </w:rPr>
        <w:t xml:space="preserve"> </w:t>
      </w:r>
      <w:r w:rsidRPr="000977F7">
        <w:rPr>
          <w:color w:val="auto"/>
          <w:sz w:val="20"/>
          <w:szCs w:val="20"/>
        </w:rPr>
        <w:t>ПОРЯДКУ –</w:t>
      </w:r>
    </w:p>
    <w:p w14:paraId="1AFD111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План із більш ніж двома рівнями факторів для находження оцінок параметрів регресійної моделі другого</w:t>
      </w:r>
      <w:r w:rsidRPr="000977F7">
        <w:rPr>
          <w:rFonts w:asciiTheme="majorHAnsi" w:hAnsiTheme="majorHAnsi"/>
          <w:spacing w:val="1"/>
          <w:sz w:val="20"/>
          <w:szCs w:val="20"/>
        </w:rPr>
        <w:t xml:space="preserve"> </w:t>
      </w:r>
      <w:r w:rsidRPr="000977F7">
        <w:rPr>
          <w:rFonts w:asciiTheme="majorHAnsi" w:hAnsiTheme="majorHAnsi"/>
          <w:sz w:val="20"/>
          <w:szCs w:val="20"/>
        </w:rPr>
        <w:t>порядку</w:t>
      </w:r>
    </w:p>
    <w:p w14:paraId="7984C25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ПЛАН</w:t>
      </w:r>
      <w:r w:rsidRPr="000977F7">
        <w:rPr>
          <w:color w:val="auto"/>
          <w:spacing w:val="-9"/>
          <w:sz w:val="20"/>
          <w:szCs w:val="20"/>
        </w:rPr>
        <w:t xml:space="preserve"> </w:t>
      </w:r>
      <w:r w:rsidRPr="000977F7">
        <w:rPr>
          <w:color w:val="auto"/>
          <w:sz w:val="20"/>
          <w:szCs w:val="20"/>
        </w:rPr>
        <w:t>ЕКСПЕРИМЕНТУ</w:t>
      </w:r>
      <w:r w:rsidRPr="000977F7">
        <w:rPr>
          <w:color w:val="auto"/>
          <w:spacing w:val="-7"/>
          <w:sz w:val="20"/>
          <w:szCs w:val="20"/>
        </w:rPr>
        <w:t xml:space="preserve"> </w:t>
      </w:r>
      <w:r w:rsidRPr="000977F7">
        <w:rPr>
          <w:color w:val="auto"/>
          <w:sz w:val="20"/>
          <w:szCs w:val="20"/>
        </w:rPr>
        <w:t>ПЕРШОГО</w:t>
      </w:r>
      <w:r w:rsidRPr="000977F7">
        <w:rPr>
          <w:color w:val="auto"/>
          <w:spacing w:val="-47"/>
          <w:sz w:val="20"/>
          <w:szCs w:val="20"/>
        </w:rPr>
        <w:t xml:space="preserve"> </w:t>
      </w:r>
      <w:r w:rsidRPr="000977F7">
        <w:rPr>
          <w:color w:val="auto"/>
          <w:sz w:val="20"/>
          <w:szCs w:val="20"/>
        </w:rPr>
        <w:t xml:space="preserve">ПОРЯДКУ </w:t>
      </w:r>
    </w:p>
    <w:p w14:paraId="7521806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План з двома або більше рівнями факторів, що дозволяє визначити роздільні оцінки параметрів регресійної</w:t>
      </w:r>
      <w:r w:rsidRPr="000977F7">
        <w:rPr>
          <w:rFonts w:asciiTheme="majorHAnsi" w:hAnsiTheme="majorHAnsi"/>
          <w:spacing w:val="-2"/>
          <w:sz w:val="20"/>
          <w:szCs w:val="20"/>
        </w:rPr>
        <w:t xml:space="preserve"> </w:t>
      </w:r>
      <w:r w:rsidRPr="000977F7">
        <w:rPr>
          <w:rFonts w:asciiTheme="majorHAnsi" w:hAnsiTheme="majorHAnsi"/>
          <w:sz w:val="20"/>
          <w:szCs w:val="20"/>
        </w:rPr>
        <w:t>моделі</w:t>
      </w:r>
      <w:r w:rsidRPr="000977F7">
        <w:rPr>
          <w:rFonts w:asciiTheme="majorHAnsi" w:hAnsiTheme="majorHAnsi"/>
          <w:spacing w:val="-1"/>
          <w:sz w:val="20"/>
          <w:szCs w:val="20"/>
        </w:rPr>
        <w:t xml:space="preserve"> </w:t>
      </w:r>
      <w:r w:rsidRPr="000977F7">
        <w:rPr>
          <w:rFonts w:asciiTheme="majorHAnsi" w:hAnsiTheme="majorHAnsi"/>
          <w:sz w:val="20"/>
          <w:szCs w:val="20"/>
        </w:rPr>
        <w:t>першого</w:t>
      </w:r>
      <w:r w:rsidRPr="000977F7">
        <w:rPr>
          <w:rFonts w:asciiTheme="majorHAnsi" w:hAnsiTheme="majorHAnsi"/>
          <w:spacing w:val="1"/>
          <w:sz w:val="20"/>
          <w:szCs w:val="20"/>
        </w:rPr>
        <w:t xml:space="preserve"> </w:t>
      </w:r>
      <w:r w:rsidRPr="000977F7">
        <w:rPr>
          <w:rFonts w:asciiTheme="majorHAnsi" w:hAnsiTheme="majorHAnsi"/>
          <w:sz w:val="20"/>
          <w:szCs w:val="20"/>
        </w:rPr>
        <w:t>порядку</w:t>
      </w:r>
    </w:p>
    <w:p w14:paraId="21475A1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ПЛАН</w:t>
      </w:r>
      <w:r w:rsidRPr="000977F7">
        <w:rPr>
          <w:color w:val="auto"/>
          <w:spacing w:val="-4"/>
          <w:sz w:val="20"/>
          <w:szCs w:val="20"/>
        </w:rPr>
        <w:t xml:space="preserve"> </w:t>
      </w:r>
      <w:r w:rsidRPr="000977F7">
        <w:rPr>
          <w:color w:val="auto"/>
          <w:sz w:val="20"/>
          <w:szCs w:val="20"/>
        </w:rPr>
        <w:t>ЗВАЖУВАННЯ</w:t>
      </w:r>
      <w:r w:rsidRPr="000977F7">
        <w:rPr>
          <w:color w:val="auto"/>
          <w:spacing w:val="-3"/>
          <w:sz w:val="20"/>
          <w:szCs w:val="20"/>
        </w:rPr>
        <w:t xml:space="preserve"> </w:t>
      </w:r>
      <w:r w:rsidRPr="000977F7">
        <w:rPr>
          <w:color w:val="auto"/>
          <w:sz w:val="20"/>
          <w:szCs w:val="20"/>
        </w:rPr>
        <w:t>–</w:t>
      </w:r>
    </w:p>
    <w:p w14:paraId="4956FAA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План</w:t>
      </w:r>
      <w:r w:rsidRPr="000977F7">
        <w:rPr>
          <w:rFonts w:asciiTheme="majorHAnsi" w:hAnsiTheme="majorHAnsi"/>
          <w:spacing w:val="21"/>
          <w:sz w:val="20"/>
          <w:szCs w:val="20"/>
        </w:rPr>
        <w:t xml:space="preserve"> </w:t>
      </w:r>
      <w:r w:rsidRPr="000977F7">
        <w:rPr>
          <w:rFonts w:asciiTheme="majorHAnsi" w:hAnsiTheme="majorHAnsi"/>
          <w:sz w:val="20"/>
          <w:szCs w:val="20"/>
        </w:rPr>
        <w:t>першого</w:t>
      </w:r>
      <w:r w:rsidRPr="000977F7">
        <w:rPr>
          <w:rFonts w:asciiTheme="majorHAnsi" w:hAnsiTheme="majorHAnsi"/>
          <w:spacing w:val="21"/>
          <w:sz w:val="20"/>
          <w:szCs w:val="20"/>
        </w:rPr>
        <w:t xml:space="preserve"> </w:t>
      </w:r>
      <w:r w:rsidRPr="000977F7">
        <w:rPr>
          <w:rFonts w:asciiTheme="majorHAnsi" w:hAnsiTheme="majorHAnsi"/>
          <w:sz w:val="20"/>
          <w:szCs w:val="20"/>
        </w:rPr>
        <w:t>порядку,</w:t>
      </w:r>
      <w:r w:rsidRPr="000977F7">
        <w:rPr>
          <w:rFonts w:asciiTheme="majorHAnsi" w:hAnsiTheme="majorHAnsi"/>
          <w:spacing w:val="20"/>
          <w:sz w:val="20"/>
          <w:szCs w:val="20"/>
        </w:rPr>
        <w:t xml:space="preserve"> </w:t>
      </w:r>
      <w:r w:rsidRPr="000977F7">
        <w:rPr>
          <w:rFonts w:asciiTheme="majorHAnsi" w:hAnsiTheme="majorHAnsi"/>
          <w:sz w:val="20"/>
          <w:szCs w:val="20"/>
        </w:rPr>
        <w:t>до</w:t>
      </w:r>
      <w:r w:rsidRPr="000977F7">
        <w:rPr>
          <w:rFonts w:asciiTheme="majorHAnsi" w:hAnsiTheme="majorHAnsi"/>
          <w:spacing w:val="23"/>
          <w:sz w:val="20"/>
          <w:szCs w:val="20"/>
        </w:rPr>
        <w:t xml:space="preserve"> </w:t>
      </w:r>
      <w:r w:rsidRPr="000977F7">
        <w:rPr>
          <w:rFonts w:asciiTheme="majorHAnsi" w:hAnsiTheme="majorHAnsi"/>
          <w:sz w:val="20"/>
          <w:szCs w:val="20"/>
        </w:rPr>
        <w:t>якого</w:t>
      </w:r>
      <w:r w:rsidRPr="000977F7">
        <w:rPr>
          <w:rFonts w:asciiTheme="majorHAnsi" w:hAnsiTheme="majorHAnsi"/>
          <w:spacing w:val="21"/>
          <w:sz w:val="20"/>
          <w:szCs w:val="20"/>
        </w:rPr>
        <w:t xml:space="preserve"> </w:t>
      </w:r>
      <w:r w:rsidRPr="000977F7">
        <w:rPr>
          <w:rFonts w:asciiTheme="majorHAnsi" w:hAnsiTheme="majorHAnsi"/>
          <w:sz w:val="20"/>
          <w:szCs w:val="20"/>
        </w:rPr>
        <w:t>входять</w:t>
      </w:r>
      <w:r w:rsidRPr="000977F7">
        <w:rPr>
          <w:rFonts w:asciiTheme="majorHAnsi" w:hAnsiTheme="majorHAnsi"/>
          <w:spacing w:val="20"/>
          <w:sz w:val="20"/>
          <w:szCs w:val="20"/>
        </w:rPr>
        <w:t xml:space="preserve"> </w:t>
      </w:r>
      <w:r w:rsidRPr="000977F7">
        <w:rPr>
          <w:rFonts w:asciiTheme="majorHAnsi" w:hAnsiTheme="majorHAnsi"/>
          <w:sz w:val="20"/>
          <w:szCs w:val="20"/>
        </w:rPr>
        <w:t>фактори</w:t>
      </w:r>
      <w:r w:rsidRPr="000977F7">
        <w:rPr>
          <w:rFonts w:asciiTheme="majorHAnsi" w:hAnsiTheme="majorHAnsi"/>
          <w:spacing w:val="21"/>
          <w:sz w:val="20"/>
          <w:szCs w:val="20"/>
        </w:rPr>
        <w:t xml:space="preserve"> </w:t>
      </w:r>
      <w:r w:rsidRPr="000977F7">
        <w:rPr>
          <w:rFonts w:asciiTheme="majorHAnsi" w:hAnsiTheme="majorHAnsi"/>
          <w:sz w:val="20"/>
          <w:szCs w:val="20"/>
        </w:rPr>
        <w:t>на</w:t>
      </w:r>
      <w:r w:rsidRPr="000977F7">
        <w:rPr>
          <w:rFonts w:asciiTheme="majorHAnsi" w:hAnsiTheme="majorHAnsi"/>
          <w:spacing w:val="-47"/>
          <w:sz w:val="20"/>
          <w:szCs w:val="20"/>
        </w:rPr>
        <w:t xml:space="preserve"> </w:t>
      </w:r>
      <w:r w:rsidRPr="000977F7">
        <w:rPr>
          <w:rFonts w:asciiTheme="majorHAnsi" w:hAnsiTheme="majorHAnsi"/>
          <w:sz w:val="20"/>
          <w:szCs w:val="20"/>
        </w:rPr>
        <w:t>двох</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трьох</w:t>
      </w:r>
      <w:r w:rsidRPr="000977F7">
        <w:rPr>
          <w:rFonts w:asciiTheme="majorHAnsi" w:hAnsiTheme="majorHAnsi"/>
          <w:spacing w:val="-1"/>
          <w:sz w:val="20"/>
          <w:szCs w:val="20"/>
        </w:rPr>
        <w:t xml:space="preserve"> </w:t>
      </w:r>
      <w:r w:rsidRPr="000977F7">
        <w:rPr>
          <w:rFonts w:asciiTheme="majorHAnsi" w:hAnsiTheme="majorHAnsi"/>
          <w:sz w:val="20"/>
          <w:szCs w:val="20"/>
        </w:rPr>
        <w:t>рівнях</w:t>
      </w:r>
    </w:p>
    <w:p w14:paraId="28DA55D3" w14:textId="77777777" w:rsidR="0097612F" w:rsidRPr="004D2D14" w:rsidRDefault="0097612F" w:rsidP="000977F7">
      <w:pPr>
        <w:tabs>
          <w:tab w:val="left" w:pos="284"/>
        </w:tabs>
        <w:spacing w:after="0" w:line="240" w:lineRule="auto"/>
        <w:ind w:left="170"/>
        <w:mirrorIndents/>
        <w:jc w:val="both"/>
        <w:rPr>
          <w:rFonts w:asciiTheme="majorHAnsi" w:hAnsiTheme="majorHAnsi"/>
          <w:spacing w:val="-7"/>
          <w:sz w:val="20"/>
          <w:szCs w:val="20"/>
          <w:lang w:val="en-US"/>
        </w:rPr>
      </w:pPr>
      <w:r w:rsidRPr="000977F7">
        <w:rPr>
          <w:rFonts w:asciiTheme="majorHAnsi" w:hAnsiTheme="majorHAnsi"/>
          <w:b/>
          <w:sz w:val="20"/>
          <w:szCs w:val="20"/>
        </w:rPr>
        <w:t>ПЛАН</w:t>
      </w:r>
      <w:r w:rsidRPr="004D2D14">
        <w:rPr>
          <w:rFonts w:asciiTheme="majorHAnsi" w:hAnsiTheme="majorHAnsi"/>
          <w:b/>
          <w:spacing w:val="-5"/>
          <w:sz w:val="20"/>
          <w:szCs w:val="20"/>
          <w:lang w:val="en-US"/>
        </w:rPr>
        <w:t xml:space="preserve"> </w:t>
      </w:r>
      <w:r w:rsidRPr="000977F7">
        <w:rPr>
          <w:rFonts w:asciiTheme="majorHAnsi" w:hAnsiTheme="majorHAnsi"/>
          <w:b/>
          <w:sz w:val="20"/>
          <w:szCs w:val="20"/>
        </w:rPr>
        <w:t>КЕРУВАННЯ</w:t>
      </w:r>
      <w:r w:rsidRPr="004D2D14">
        <w:rPr>
          <w:rFonts w:asciiTheme="majorHAnsi" w:hAnsiTheme="majorHAnsi"/>
          <w:b/>
          <w:spacing w:val="-6"/>
          <w:sz w:val="20"/>
          <w:szCs w:val="20"/>
          <w:lang w:val="en-US"/>
        </w:rPr>
        <w:t xml:space="preserve"> </w:t>
      </w:r>
      <w:r w:rsidRPr="000977F7">
        <w:rPr>
          <w:rFonts w:asciiTheme="majorHAnsi" w:hAnsiTheme="majorHAnsi"/>
          <w:b/>
          <w:sz w:val="20"/>
          <w:szCs w:val="20"/>
        </w:rPr>
        <w:t>ПРОЕКТОМ</w:t>
      </w:r>
      <w:r w:rsidRPr="004D2D14">
        <w:rPr>
          <w:rFonts w:asciiTheme="majorHAnsi" w:hAnsiTheme="majorHAnsi"/>
          <w:b/>
          <w:spacing w:val="1"/>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7"/>
          <w:sz w:val="20"/>
          <w:szCs w:val="20"/>
          <w:lang w:val="en-US"/>
        </w:rPr>
        <w:t xml:space="preserve"> </w:t>
      </w:r>
    </w:p>
    <w:p w14:paraId="5B1B36E0"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PROJECT</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MANAGEMENT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PLAN</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3E15043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w:t>
      </w:r>
      <w:r w:rsidRPr="000977F7">
        <w:rPr>
          <w:rFonts w:asciiTheme="majorHAnsi" w:hAnsiTheme="majorHAnsi"/>
          <w:spacing w:val="-4"/>
          <w:sz w:val="20"/>
          <w:szCs w:val="20"/>
        </w:rPr>
        <w:t xml:space="preserve"> </w:t>
      </w:r>
      <w:r w:rsidRPr="000977F7">
        <w:rPr>
          <w:rFonts w:asciiTheme="majorHAnsi" w:hAnsiTheme="majorHAnsi"/>
          <w:sz w:val="20"/>
          <w:szCs w:val="20"/>
        </w:rPr>
        <w:t>який</w:t>
      </w:r>
      <w:r w:rsidRPr="000977F7">
        <w:rPr>
          <w:rFonts w:asciiTheme="majorHAnsi" w:hAnsiTheme="majorHAnsi"/>
          <w:spacing w:val="-4"/>
          <w:sz w:val="20"/>
          <w:szCs w:val="20"/>
        </w:rPr>
        <w:t xml:space="preserve"> </w:t>
      </w:r>
      <w:r w:rsidRPr="000977F7">
        <w:rPr>
          <w:rFonts w:asciiTheme="majorHAnsi" w:hAnsiTheme="majorHAnsi"/>
          <w:sz w:val="20"/>
          <w:szCs w:val="20"/>
        </w:rPr>
        <w:t>визначає,</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2"/>
          <w:sz w:val="20"/>
          <w:szCs w:val="20"/>
        </w:rPr>
        <w:t xml:space="preserve"> </w:t>
      </w:r>
      <w:r w:rsidRPr="000977F7">
        <w:rPr>
          <w:rFonts w:asciiTheme="majorHAnsi" w:hAnsiTheme="majorHAnsi"/>
          <w:sz w:val="20"/>
          <w:szCs w:val="20"/>
        </w:rPr>
        <w:t>потрібно</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4"/>
          <w:sz w:val="20"/>
          <w:szCs w:val="20"/>
        </w:rPr>
        <w:t xml:space="preserve"> </w:t>
      </w:r>
      <w:r w:rsidRPr="000977F7">
        <w:rPr>
          <w:rFonts w:asciiTheme="majorHAnsi" w:hAnsiTheme="majorHAnsi"/>
          <w:sz w:val="20"/>
          <w:szCs w:val="20"/>
        </w:rPr>
        <w:t>досягнення</w:t>
      </w:r>
      <w:r w:rsidRPr="000977F7">
        <w:rPr>
          <w:rFonts w:asciiTheme="majorHAnsi" w:hAnsiTheme="majorHAnsi"/>
          <w:spacing w:val="-47"/>
          <w:sz w:val="20"/>
          <w:szCs w:val="20"/>
        </w:rPr>
        <w:t xml:space="preserve"> </w:t>
      </w:r>
      <w:r w:rsidRPr="000977F7">
        <w:rPr>
          <w:rFonts w:asciiTheme="majorHAnsi" w:hAnsiTheme="majorHAnsi"/>
          <w:sz w:val="20"/>
          <w:szCs w:val="20"/>
        </w:rPr>
        <w:t>цілі(-ей)</w:t>
      </w:r>
      <w:r w:rsidRPr="000977F7">
        <w:rPr>
          <w:rFonts w:asciiTheme="majorHAnsi" w:hAnsiTheme="majorHAnsi"/>
          <w:spacing w:val="-1"/>
          <w:sz w:val="20"/>
          <w:szCs w:val="20"/>
        </w:rPr>
        <w:t xml:space="preserve"> </w:t>
      </w:r>
      <w:r w:rsidRPr="000977F7">
        <w:rPr>
          <w:rFonts w:asciiTheme="majorHAnsi" w:hAnsiTheme="majorHAnsi"/>
          <w:sz w:val="20"/>
          <w:szCs w:val="20"/>
        </w:rPr>
        <w:t>проекту.</w:t>
      </w:r>
    </w:p>
    <w:p w14:paraId="474EBD5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У плані керування проектом має бути</w:t>
      </w:r>
      <w:r w:rsidRPr="000977F7">
        <w:rPr>
          <w:rFonts w:asciiTheme="majorHAnsi" w:hAnsiTheme="majorHAnsi"/>
          <w:spacing w:val="1"/>
          <w:sz w:val="20"/>
          <w:szCs w:val="20"/>
        </w:rPr>
        <w:t xml:space="preserve"> </w:t>
      </w:r>
      <w:r w:rsidRPr="000977F7">
        <w:rPr>
          <w:rFonts w:asciiTheme="majorHAnsi" w:hAnsiTheme="majorHAnsi"/>
          <w:sz w:val="20"/>
          <w:szCs w:val="20"/>
        </w:rPr>
        <w:t>програма якості проекту (безпосередньо чи через посилання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неї).</w:t>
      </w:r>
    </w:p>
    <w:p w14:paraId="32C1AD6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5"/>
          <w:sz w:val="20"/>
          <w:szCs w:val="20"/>
        </w:rPr>
        <w:t xml:space="preserve"> </w:t>
      </w:r>
      <w:r w:rsidRPr="000977F7">
        <w:rPr>
          <w:rFonts w:asciiTheme="majorHAnsi" w:hAnsiTheme="majorHAnsi"/>
          <w:sz w:val="20"/>
          <w:szCs w:val="20"/>
        </w:rPr>
        <w:t>2.</w:t>
      </w:r>
      <w:r w:rsidRPr="000977F7">
        <w:rPr>
          <w:rFonts w:asciiTheme="majorHAnsi" w:hAnsiTheme="majorHAnsi"/>
          <w:spacing w:val="-3"/>
          <w:sz w:val="20"/>
          <w:szCs w:val="20"/>
        </w:rPr>
        <w:t xml:space="preserve"> </w:t>
      </w:r>
      <w:r w:rsidRPr="000977F7">
        <w:rPr>
          <w:rFonts w:asciiTheme="majorHAnsi" w:hAnsiTheme="majorHAnsi"/>
          <w:sz w:val="20"/>
          <w:szCs w:val="20"/>
        </w:rPr>
        <w:t>План</w:t>
      </w:r>
      <w:r w:rsidRPr="000977F7">
        <w:rPr>
          <w:rFonts w:asciiTheme="majorHAnsi" w:hAnsiTheme="majorHAnsi"/>
          <w:spacing w:val="-5"/>
          <w:sz w:val="20"/>
          <w:szCs w:val="20"/>
        </w:rPr>
        <w:t xml:space="preserve"> </w:t>
      </w:r>
      <w:r w:rsidRPr="000977F7">
        <w:rPr>
          <w:rFonts w:asciiTheme="majorHAnsi" w:hAnsiTheme="majorHAnsi"/>
          <w:sz w:val="20"/>
          <w:szCs w:val="20"/>
        </w:rPr>
        <w:t>керування</w:t>
      </w:r>
      <w:r w:rsidRPr="000977F7">
        <w:rPr>
          <w:rFonts w:asciiTheme="majorHAnsi" w:hAnsiTheme="majorHAnsi"/>
          <w:spacing w:val="-1"/>
          <w:sz w:val="20"/>
          <w:szCs w:val="20"/>
        </w:rPr>
        <w:t xml:space="preserve"> </w:t>
      </w:r>
      <w:r w:rsidRPr="000977F7">
        <w:rPr>
          <w:rFonts w:asciiTheme="majorHAnsi" w:hAnsiTheme="majorHAnsi"/>
          <w:sz w:val="20"/>
          <w:szCs w:val="20"/>
        </w:rPr>
        <w:t>проектом</w:t>
      </w:r>
      <w:r w:rsidRPr="000977F7">
        <w:rPr>
          <w:rFonts w:asciiTheme="majorHAnsi" w:hAnsiTheme="majorHAnsi"/>
          <w:spacing w:val="-3"/>
          <w:sz w:val="20"/>
          <w:szCs w:val="20"/>
        </w:rPr>
        <w:t xml:space="preserve"> </w:t>
      </w:r>
      <w:r w:rsidRPr="000977F7">
        <w:rPr>
          <w:rFonts w:asciiTheme="majorHAnsi" w:hAnsiTheme="majorHAnsi"/>
          <w:sz w:val="20"/>
          <w:szCs w:val="20"/>
        </w:rPr>
        <w:t>також</w:t>
      </w:r>
      <w:r w:rsidRPr="000977F7">
        <w:rPr>
          <w:rFonts w:asciiTheme="majorHAnsi" w:hAnsiTheme="majorHAnsi"/>
          <w:spacing w:val="-5"/>
          <w:sz w:val="20"/>
          <w:szCs w:val="20"/>
        </w:rPr>
        <w:t xml:space="preserve"> </w:t>
      </w:r>
      <w:r w:rsidRPr="000977F7">
        <w:rPr>
          <w:rFonts w:asciiTheme="majorHAnsi" w:hAnsiTheme="majorHAnsi"/>
          <w:sz w:val="20"/>
          <w:szCs w:val="20"/>
        </w:rPr>
        <w:t>охоплює</w:t>
      </w:r>
      <w:r w:rsidRPr="000977F7">
        <w:rPr>
          <w:rFonts w:asciiTheme="majorHAnsi" w:hAnsiTheme="majorHAnsi"/>
          <w:spacing w:val="-47"/>
          <w:sz w:val="20"/>
          <w:szCs w:val="20"/>
        </w:rPr>
        <w:t xml:space="preserve"> </w:t>
      </w:r>
      <w:r w:rsidRPr="000977F7">
        <w:rPr>
          <w:rFonts w:asciiTheme="majorHAnsi" w:hAnsiTheme="majorHAnsi"/>
          <w:sz w:val="20"/>
          <w:szCs w:val="20"/>
        </w:rPr>
        <w:t xml:space="preserve">інші плани, які стосуються організаційної </w:t>
      </w:r>
      <w:r w:rsidRPr="000977F7">
        <w:rPr>
          <w:rFonts w:asciiTheme="majorHAnsi" w:hAnsiTheme="majorHAnsi"/>
          <w:sz w:val="20"/>
          <w:szCs w:val="20"/>
        </w:rPr>
        <w:lastRenderedPageBreak/>
        <w:t>структури,</w:t>
      </w:r>
      <w:r w:rsidRPr="000977F7">
        <w:rPr>
          <w:rFonts w:asciiTheme="majorHAnsi" w:hAnsiTheme="majorHAnsi"/>
          <w:spacing w:val="1"/>
          <w:sz w:val="20"/>
          <w:szCs w:val="20"/>
        </w:rPr>
        <w:t xml:space="preserve"> </w:t>
      </w:r>
      <w:r w:rsidRPr="000977F7">
        <w:rPr>
          <w:rFonts w:asciiTheme="majorHAnsi" w:hAnsiTheme="majorHAnsi"/>
          <w:sz w:val="20"/>
          <w:szCs w:val="20"/>
        </w:rPr>
        <w:t>ресурсів, графіка виконання, бюджету, керування ризиками, екологічного управління, керування охороною праці, керування безпекою (безпосередньо чи</w:t>
      </w:r>
      <w:r w:rsidRPr="000977F7">
        <w:rPr>
          <w:rFonts w:asciiTheme="majorHAnsi" w:hAnsiTheme="majorHAnsi"/>
          <w:spacing w:val="1"/>
          <w:sz w:val="20"/>
          <w:szCs w:val="20"/>
        </w:rPr>
        <w:t xml:space="preserve"> </w:t>
      </w:r>
      <w:r w:rsidRPr="000977F7">
        <w:rPr>
          <w:rFonts w:asciiTheme="majorHAnsi" w:hAnsiTheme="majorHAnsi"/>
          <w:sz w:val="20"/>
          <w:szCs w:val="20"/>
        </w:rPr>
        <w:t>через посилання</w:t>
      </w:r>
      <w:r w:rsidRPr="000977F7">
        <w:rPr>
          <w:rFonts w:asciiTheme="majorHAnsi" w:hAnsiTheme="majorHAnsi"/>
          <w:spacing w:val="1"/>
          <w:sz w:val="20"/>
          <w:szCs w:val="20"/>
        </w:rPr>
        <w:t xml:space="preserve"> </w:t>
      </w:r>
      <w:r w:rsidRPr="000977F7">
        <w:rPr>
          <w:rFonts w:asciiTheme="majorHAnsi" w:hAnsiTheme="majorHAnsi"/>
          <w:sz w:val="20"/>
          <w:szCs w:val="20"/>
        </w:rPr>
        <w:t>на них, за</w:t>
      </w:r>
      <w:r w:rsidRPr="000977F7">
        <w:rPr>
          <w:rFonts w:asciiTheme="majorHAnsi" w:hAnsiTheme="majorHAnsi"/>
          <w:spacing w:val="1"/>
          <w:sz w:val="20"/>
          <w:szCs w:val="20"/>
        </w:rPr>
        <w:t xml:space="preserve"> </w:t>
      </w:r>
      <w:r w:rsidRPr="000977F7">
        <w:rPr>
          <w:rFonts w:asciiTheme="majorHAnsi" w:hAnsiTheme="majorHAnsi"/>
          <w:sz w:val="20"/>
          <w:szCs w:val="20"/>
        </w:rPr>
        <w:t>потреби)</w:t>
      </w:r>
    </w:p>
    <w:p w14:paraId="4B256417"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ISO 9000:2015</w:t>
      </w:r>
    </w:p>
    <w:p w14:paraId="747D97E0"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ПЛАН</w:t>
      </w:r>
      <w:r w:rsidRPr="000977F7">
        <w:rPr>
          <w:rFonts w:asciiTheme="majorHAnsi" w:hAnsiTheme="majorHAnsi"/>
          <w:b/>
          <w:spacing w:val="-5"/>
          <w:sz w:val="20"/>
          <w:szCs w:val="20"/>
        </w:rPr>
        <w:t xml:space="preserve"> </w:t>
      </w:r>
      <w:r w:rsidRPr="000977F7">
        <w:rPr>
          <w:rFonts w:asciiTheme="majorHAnsi" w:hAnsiTheme="majorHAnsi"/>
          <w:b/>
          <w:sz w:val="20"/>
          <w:szCs w:val="20"/>
        </w:rPr>
        <w:t>КОНТРОЛЮ</w:t>
      </w:r>
      <w:r w:rsidRPr="000977F7">
        <w:rPr>
          <w:rFonts w:asciiTheme="majorHAnsi" w:hAnsiTheme="majorHAnsi"/>
          <w:b/>
          <w:spacing w:val="-5"/>
          <w:sz w:val="20"/>
          <w:szCs w:val="20"/>
        </w:rPr>
        <w:t xml:space="preserve"> </w:t>
      </w:r>
      <w:r w:rsidRPr="000977F7">
        <w:rPr>
          <w:rFonts w:asciiTheme="majorHAnsi" w:hAnsiTheme="majorHAnsi"/>
          <w:b/>
          <w:sz w:val="20"/>
          <w:szCs w:val="20"/>
        </w:rPr>
        <w:t>–</w:t>
      </w:r>
      <w:r w:rsidRPr="000977F7">
        <w:rPr>
          <w:rFonts w:asciiTheme="majorHAnsi" w:hAnsiTheme="majorHAnsi"/>
          <w:b/>
          <w:spacing w:val="-47"/>
          <w:sz w:val="20"/>
          <w:szCs w:val="20"/>
        </w:rPr>
        <w:t xml:space="preserve"> </w:t>
      </w:r>
    </w:p>
    <w:p w14:paraId="11385E3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INSPECTION</w:t>
      </w:r>
      <w:r w:rsidRPr="000977F7">
        <w:rPr>
          <w:rFonts w:asciiTheme="majorHAnsi" w:hAnsiTheme="majorHAnsi"/>
          <w:spacing w:val="-3"/>
          <w:sz w:val="20"/>
          <w:szCs w:val="20"/>
        </w:rPr>
        <w:t xml:space="preserve"> </w:t>
      </w:r>
      <w:r w:rsidRPr="000977F7">
        <w:rPr>
          <w:rFonts w:asciiTheme="majorHAnsi" w:hAnsiTheme="majorHAnsi"/>
          <w:sz w:val="20"/>
          <w:szCs w:val="20"/>
        </w:rPr>
        <w:t>PLAN –</w:t>
      </w:r>
    </w:p>
    <w:p w14:paraId="3A825458"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Сукупність вимог і правил, яких слід дотримуватись,</w:t>
      </w:r>
      <w:r w:rsidRPr="000977F7">
        <w:rPr>
          <w:rFonts w:asciiTheme="majorHAnsi" w:hAnsiTheme="majorHAnsi"/>
          <w:spacing w:val="1"/>
          <w:sz w:val="20"/>
          <w:szCs w:val="20"/>
        </w:rPr>
        <w:t xml:space="preserve"> </w:t>
      </w:r>
      <w:r w:rsidRPr="000977F7">
        <w:rPr>
          <w:rFonts w:asciiTheme="majorHAnsi" w:hAnsiTheme="majorHAnsi"/>
          <w:sz w:val="20"/>
          <w:szCs w:val="20"/>
        </w:rPr>
        <w:t>приймаючи</w:t>
      </w:r>
      <w:r w:rsidRPr="000977F7">
        <w:rPr>
          <w:rFonts w:asciiTheme="majorHAnsi" w:hAnsiTheme="majorHAnsi"/>
          <w:spacing w:val="1"/>
          <w:sz w:val="20"/>
          <w:szCs w:val="20"/>
        </w:rPr>
        <w:t xml:space="preserve"> </w:t>
      </w:r>
      <w:r w:rsidRPr="000977F7">
        <w:rPr>
          <w:rFonts w:asciiTheme="majorHAnsi" w:hAnsiTheme="majorHAnsi"/>
          <w:sz w:val="20"/>
          <w:szCs w:val="20"/>
        </w:rPr>
        <w:t>рішення про</w:t>
      </w:r>
      <w:r w:rsidRPr="000977F7">
        <w:rPr>
          <w:rFonts w:asciiTheme="majorHAnsi" w:hAnsiTheme="majorHAnsi"/>
          <w:spacing w:val="1"/>
          <w:sz w:val="20"/>
          <w:szCs w:val="20"/>
        </w:rPr>
        <w:t xml:space="preserve"> </w:t>
      </w:r>
      <w:r w:rsidRPr="000977F7">
        <w:rPr>
          <w:rFonts w:asciiTheme="majorHAnsi" w:hAnsiTheme="majorHAnsi"/>
          <w:sz w:val="20"/>
          <w:szCs w:val="20"/>
        </w:rPr>
        <w:t>прийняття</w:t>
      </w:r>
      <w:r w:rsidRPr="000977F7">
        <w:rPr>
          <w:rFonts w:asciiTheme="majorHAnsi" w:hAnsiTheme="majorHAnsi"/>
          <w:spacing w:val="50"/>
          <w:sz w:val="20"/>
          <w:szCs w:val="20"/>
        </w:rPr>
        <w:t xml:space="preserve"> </w:t>
      </w:r>
      <w:r w:rsidRPr="000977F7">
        <w:rPr>
          <w:rFonts w:asciiTheme="majorHAnsi" w:hAnsiTheme="majorHAnsi"/>
          <w:sz w:val="20"/>
          <w:szCs w:val="20"/>
        </w:rPr>
        <w:t>партії продукції.</w:t>
      </w:r>
      <w:r w:rsidRPr="000977F7">
        <w:rPr>
          <w:rFonts w:asciiTheme="majorHAnsi" w:hAnsiTheme="majorHAnsi"/>
          <w:spacing w:val="-47"/>
          <w:sz w:val="20"/>
          <w:szCs w:val="20"/>
        </w:rPr>
        <w:t xml:space="preserve"> </w:t>
      </w:r>
    </w:p>
    <w:p w14:paraId="34EA85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4213D7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вимог</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правил</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обсяг</w:t>
      </w:r>
      <w:r w:rsidRPr="000977F7">
        <w:rPr>
          <w:rFonts w:asciiTheme="majorHAnsi" w:hAnsiTheme="majorHAnsi"/>
          <w:spacing w:val="1"/>
          <w:sz w:val="20"/>
          <w:szCs w:val="20"/>
        </w:rPr>
        <w:t xml:space="preserve"> </w:t>
      </w:r>
      <w:r w:rsidRPr="000977F7">
        <w:rPr>
          <w:rFonts w:asciiTheme="majorHAnsi" w:hAnsiTheme="majorHAnsi"/>
          <w:sz w:val="20"/>
          <w:szCs w:val="20"/>
        </w:rPr>
        <w:t>контрольованої</w:t>
      </w:r>
      <w:r w:rsidRPr="000977F7">
        <w:rPr>
          <w:rFonts w:asciiTheme="majorHAnsi" w:hAnsiTheme="majorHAnsi"/>
          <w:spacing w:val="1"/>
          <w:sz w:val="20"/>
          <w:szCs w:val="20"/>
        </w:rPr>
        <w:t xml:space="preserve"> </w:t>
      </w:r>
      <w:r w:rsidRPr="000977F7">
        <w:rPr>
          <w:rFonts w:asciiTheme="majorHAnsi" w:hAnsiTheme="majorHAnsi"/>
          <w:sz w:val="20"/>
          <w:szCs w:val="20"/>
        </w:rPr>
        <w:t>партії, рівень і вид контролю , тип плану вибіркового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 обсяг вибірки, контрольні нормативи, вирішальні</w:t>
      </w:r>
      <w:r w:rsidRPr="000977F7">
        <w:rPr>
          <w:rFonts w:asciiTheme="majorHAnsi" w:hAnsiTheme="majorHAnsi"/>
          <w:spacing w:val="1"/>
          <w:sz w:val="20"/>
          <w:szCs w:val="20"/>
        </w:rPr>
        <w:t xml:space="preserve"> </w:t>
      </w:r>
      <w:r w:rsidRPr="000977F7">
        <w:rPr>
          <w:rFonts w:asciiTheme="majorHAnsi" w:hAnsiTheme="majorHAnsi"/>
          <w:sz w:val="20"/>
          <w:szCs w:val="20"/>
        </w:rPr>
        <w:t>правила тощо</w:t>
      </w:r>
    </w:p>
    <w:p w14:paraId="2A3F48E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20</w:t>
      </w:r>
      <w:r w:rsidRPr="000977F7">
        <w:rPr>
          <w:rFonts w:asciiTheme="majorHAnsi" w:hAnsiTheme="majorHAnsi"/>
          <w:i/>
          <w:sz w:val="20"/>
          <w:szCs w:val="20"/>
        </w:rPr>
        <w:t>17</w:t>
      </w:r>
    </w:p>
    <w:p w14:paraId="58DBD35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ПЛАН</w:t>
      </w:r>
      <w:r w:rsidRPr="000977F7">
        <w:rPr>
          <w:color w:val="auto"/>
          <w:spacing w:val="-5"/>
          <w:sz w:val="20"/>
          <w:szCs w:val="20"/>
        </w:rPr>
        <w:t xml:space="preserve"> </w:t>
      </w:r>
      <w:r w:rsidRPr="000977F7">
        <w:rPr>
          <w:color w:val="auto"/>
          <w:sz w:val="20"/>
          <w:szCs w:val="20"/>
        </w:rPr>
        <w:t>МАРКЕТИНГУ</w:t>
      </w:r>
      <w:r w:rsidRPr="000977F7">
        <w:rPr>
          <w:color w:val="auto"/>
          <w:spacing w:val="-3"/>
          <w:sz w:val="20"/>
          <w:szCs w:val="20"/>
        </w:rPr>
        <w:t xml:space="preserve"> </w:t>
      </w:r>
      <w:r w:rsidRPr="000977F7">
        <w:rPr>
          <w:color w:val="auto"/>
          <w:sz w:val="20"/>
          <w:szCs w:val="20"/>
        </w:rPr>
        <w:t>–</w:t>
      </w:r>
    </w:p>
    <w:p w14:paraId="044807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w:t>
      </w:r>
      <w:r w:rsidRPr="000977F7">
        <w:rPr>
          <w:rFonts w:asciiTheme="majorHAnsi" w:hAnsiTheme="majorHAnsi"/>
          <w:spacing w:val="3"/>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основі</w:t>
      </w:r>
      <w:r w:rsidRPr="000977F7">
        <w:rPr>
          <w:rFonts w:asciiTheme="majorHAnsi" w:hAnsiTheme="majorHAnsi"/>
          <w:spacing w:val="2"/>
          <w:sz w:val="20"/>
          <w:szCs w:val="20"/>
        </w:rPr>
        <w:t xml:space="preserve"> </w:t>
      </w:r>
      <w:r w:rsidRPr="000977F7">
        <w:rPr>
          <w:rFonts w:asciiTheme="majorHAnsi" w:hAnsiTheme="majorHAnsi"/>
          <w:sz w:val="20"/>
          <w:szCs w:val="20"/>
        </w:rPr>
        <w:t>якого</w:t>
      </w:r>
      <w:r w:rsidRPr="000977F7">
        <w:rPr>
          <w:rFonts w:asciiTheme="majorHAnsi" w:hAnsiTheme="majorHAnsi"/>
          <w:spacing w:val="3"/>
          <w:sz w:val="20"/>
          <w:szCs w:val="20"/>
        </w:rPr>
        <w:t xml:space="preserve"> </w:t>
      </w:r>
      <w:r w:rsidRPr="000977F7">
        <w:rPr>
          <w:rFonts w:asciiTheme="majorHAnsi" w:hAnsiTheme="majorHAnsi"/>
          <w:sz w:val="20"/>
          <w:szCs w:val="20"/>
        </w:rPr>
        <w:t>організується</w:t>
      </w:r>
      <w:r w:rsidRPr="000977F7">
        <w:rPr>
          <w:rFonts w:asciiTheme="majorHAnsi" w:hAnsiTheme="majorHAnsi"/>
          <w:spacing w:val="2"/>
          <w:sz w:val="20"/>
          <w:szCs w:val="20"/>
        </w:rPr>
        <w:t xml:space="preserve"> </w:t>
      </w:r>
      <w:r w:rsidRPr="000977F7">
        <w:rPr>
          <w:rFonts w:asciiTheme="majorHAnsi" w:hAnsiTheme="majorHAnsi"/>
          <w:sz w:val="20"/>
          <w:szCs w:val="20"/>
        </w:rPr>
        <w:t>практична</w:t>
      </w:r>
      <w:r w:rsidRPr="000977F7">
        <w:rPr>
          <w:rFonts w:asciiTheme="majorHAnsi" w:hAnsiTheme="majorHAnsi"/>
          <w:spacing w:val="-47"/>
          <w:sz w:val="20"/>
          <w:szCs w:val="20"/>
        </w:rPr>
        <w:t xml:space="preserve"> </w:t>
      </w:r>
      <w:r w:rsidRPr="000977F7">
        <w:rPr>
          <w:rFonts w:asciiTheme="majorHAnsi" w:hAnsiTheme="majorHAnsi"/>
          <w:sz w:val="20"/>
          <w:szCs w:val="20"/>
        </w:rPr>
        <w:t>маркетингова</w:t>
      </w:r>
      <w:r w:rsidRPr="000977F7">
        <w:rPr>
          <w:rFonts w:asciiTheme="majorHAnsi" w:hAnsiTheme="majorHAnsi"/>
          <w:spacing w:val="-2"/>
          <w:sz w:val="20"/>
          <w:szCs w:val="20"/>
        </w:rPr>
        <w:t xml:space="preserve"> </w:t>
      </w:r>
      <w:r w:rsidRPr="000977F7">
        <w:rPr>
          <w:rFonts w:asciiTheme="majorHAnsi" w:hAnsiTheme="majorHAnsi"/>
          <w:sz w:val="20"/>
          <w:szCs w:val="20"/>
        </w:rPr>
        <w:t>діяльність</w:t>
      </w:r>
    </w:p>
    <w:p w14:paraId="5A65D07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 – 95</w:t>
      </w:r>
    </w:p>
    <w:p w14:paraId="0EFB413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ПЛАН ПО ЯКОСТІ ПРОГРАМНОГО</w:t>
      </w:r>
      <w:r w:rsidRPr="000977F7">
        <w:rPr>
          <w:color w:val="auto"/>
          <w:spacing w:val="-48"/>
          <w:sz w:val="20"/>
          <w:szCs w:val="20"/>
        </w:rPr>
        <w:t xml:space="preserve"> </w:t>
      </w:r>
      <w:r w:rsidRPr="000977F7">
        <w:rPr>
          <w:color w:val="auto"/>
          <w:sz w:val="20"/>
          <w:szCs w:val="20"/>
        </w:rPr>
        <w:t>ЗАСОБУ –</w:t>
      </w:r>
    </w:p>
    <w:p w14:paraId="5802C37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SOFTWARE</w:t>
      </w:r>
      <w:r w:rsidRPr="000977F7">
        <w:rPr>
          <w:rFonts w:asciiTheme="majorHAnsi" w:hAnsiTheme="majorHAnsi"/>
          <w:spacing w:val="-2"/>
          <w:sz w:val="20"/>
          <w:szCs w:val="20"/>
        </w:rPr>
        <w:t xml:space="preserve"> </w:t>
      </w:r>
      <w:r w:rsidRPr="000977F7">
        <w:rPr>
          <w:rFonts w:asciiTheme="majorHAnsi" w:hAnsiTheme="majorHAnsi"/>
          <w:sz w:val="20"/>
          <w:szCs w:val="20"/>
        </w:rPr>
        <w:t>QUALITY</w:t>
      </w:r>
      <w:r w:rsidRPr="000977F7">
        <w:rPr>
          <w:rFonts w:asciiTheme="majorHAnsi" w:hAnsiTheme="majorHAnsi"/>
          <w:spacing w:val="-2"/>
          <w:sz w:val="20"/>
          <w:szCs w:val="20"/>
        </w:rPr>
        <w:t xml:space="preserve"> </w:t>
      </w:r>
      <w:r w:rsidRPr="000977F7">
        <w:rPr>
          <w:rFonts w:asciiTheme="majorHAnsi" w:hAnsiTheme="majorHAnsi"/>
          <w:sz w:val="20"/>
          <w:szCs w:val="20"/>
        </w:rPr>
        <w:t>PLAN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D115AD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який встановлює конкретні заходи, ресурси та послідовність дій стосовно якості програмного</w:t>
      </w:r>
      <w:r w:rsidRPr="000977F7">
        <w:rPr>
          <w:rFonts w:asciiTheme="majorHAnsi" w:hAnsiTheme="majorHAnsi"/>
          <w:spacing w:val="1"/>
          <w:sz w:val="20"/>
          <w:szCs w:val="20"/>
        </w:rPr>
        <w:t xml:space="preserve"> </w:t>
      </w:r>
      <w:r w:rsidRPr="000977F7">
        <w:rPr>
          <w:rFonts w:asciiTheme="majorHAnsi" w:hAnsiTheme="majorHAnsi"/>
          <w:sz w:val="20"/>
          <w:szCs w:val="20"/>
        </w:rPr>
        <w:t>засобу</w:t>
      </w:r>
    </w:p>
    <w:p w14:paraId="1DD69CD6"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2844 – 94</w:t>
      </w:r>
    </w:p>
    <w:p w14:paraId="4D4B702B"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ПЛАН</w:t>
      </w:r>
      <w:r w:rsidRPr="004D2D14">
        <w:rPr>
          <w:rFonts w:asciiTheme="majorHAnsi" w:hAnsiTheme="majorHAnsi"/>
          <w:b/>
          <w:sz w:val="20"/>
          <w:szCs w:val="20"/>
          <w:lang w:val="en-US"/>
        </w:rPr>
        <w:t xml:space="preserve"> </w:t>
      </w:r>
      <w:r w:rsidRPr="000977F7">
        <w:rPr>
          <w:rFonts w:asciiTheme="majorHAnsi" w:hAnsiTheme="majorHAnsi"/>
          <w:b/>
          <w:sz w:val="20"/>
          <w:szCs w:val="20"/>
        </w:rPr>
        <w:t>ЯКОСТІ</w:t>
      </w:r>
      <w:r w:rsidRPr="004D2D14">
        <w:rPr>
          <w:rFonts w:asciiTheme="majorHAnsi" w:hAnsiTheme="majorHAnsi"/>
          <w:b/>
          <w:sz w:val="20"/>
          <w:szCs w:val="20"/>
          <w:lang w:val="en-US"/>
        </w:rPr>
        <w:t xml:space="preserve"> –</w:t>
      </w:r>
    </w:p>
    <w:p w14:paraId="621B04D3"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b/>
          <w:spacing w:val="-47"/>
          <w:sz w:val="20"/>
          <w:szCs w:val="20"/>
          <w:lang w:val="en-US"/>
        </w:rPr>
        <w:t xml:space="preserve"> </w:t>
      </w:r>
      <w:r w:rsidRPr="004D2D14">
        <w:rPr>
          <w:rFonts w:asciiTheme="majorHAnsi" w:hAnsiTheme="majorHAnsi"/>
          <w:sz w:val="20"/>
          <w:szCs w:val="20"/>
          <w:lang w:val="en-US"/>
        </w:rPr>
        <w:t>QUALITY</w:t>
      </w:r>
      <w:r w:rsidRPr="004D2D14">
        <w:rPr>
          <w:rFonts w:asciiTheme="majorHAnsi" w:hAnsiTheme="majorHAnsi"/>
          <w:spacing w:val="-9"/>
          <w:sz w:val="20"/>
          <w:szCs w:val="20"/>
          <w:lang w:val="en-US"/>
        </w:rPr>
        <w:t xml:space="preserve"> </w:t>
      </w:r>
      <w:r w:rsidRPr="004D2D14">
        <w:rPr>
          <w:rFonts w:asciiTheme="majorHAnsi" w:hAnsiTheme="majorHAnsi"/>
          <w:sz w:val="20"/>
          <w:szCs w:val="20"/>
          <w:lang w:val="en-US"/>
        </w:rPr>
        <w:t>PLAN</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w:t>
      </w:r>
    </w:p>
    <w:p w14:paraId="4194FF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який описує елементи системи менеджменту якості, що застосовуються у специфічному випадку</w:t>
      </w:r>
    </w:p>
    <w:p w14:paraId="0C15CE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3BAD7E40" w14:textId="77777777" w:rsidR="0097612F" w:rsidRPr="000977F7" w:rsidRDefault="0097612F" w:rsidP="00FD39A4">
      <w:pPr>
        <w:pStyle w:val="ac"/>
        <w:widowControl w:val="0"/>
        <w:numPr>
          <w:ilvl w:val="0"/>
          <w:numId w:val="122"/>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Специфічні</w:t>
      </w:r>
      <w:r w:rsidRPr="000977F7">
        <w:rPr>
          <w:rFonts w:asciiTheme="majorHAnsi" w:hAnsiTheme="majorHAnsi"/>
          <w:spacing w:val="1"/>
          <w:sz w:val="20"/>
          <w:szCs w:val="20"/>
        </w:rPr>
        <w:t xml:space="preserve"> </w:t>
      </w:r>
      <w:r w:rsidRPr="000977F7">
        <w:rPr>
          <w:rFonts w:asciiTheme="majorHAnsi" w:hAnsiTheme="majorHAnsi"/>
          <w:sz w:val="20"/>
          <w:szCs w:val="20"/>
        </w:rPr>
        <w:t>випадки</w:t>
      </w:r>
      <w:r w:rsidRPr="000977F7">
        <w:rPr>
          <w:rFonts w:asciiTheme="majorHAnsi" w:hAnsiTheme="majorHAnsi"/>
          <w:spacing w:val="1"/>
          <w:sz w:val="20"/>
          <w:szCs w:val="20"/>
        </w:rPr>
        <w:t xml:space="preserve"> </w:t>
      </w:r>
      <w:r w:rsidRPr="000977F7">
        <w:rPr>
          <w:rFonts w:asciiTheme="majorHAnsi" w:hAnsiTheme="majorHAnsi"/>
          <w:sz w:val="20"/>
          <w:szCs w:val="20"/>
        </w:rPr>
        <w:t>включають</w:t>
      </w:r>
      <w:r w:rsidRPr="000977F7">
        <w:rPr>
          <w:rFonts w:asciiTheme="majorHAnsi" w:hAnsiTheme="majorHAnsi"/>
          <w:spacing w:val="1"/>
          <w:sz w:val="20"/>
          <w:szCs w:val="20"/>
        </w:rPr>
        <w:t xml:space="preserve"> </w:t>
      </w:r>
      <w:r w:rsidRPr="000977F7">
        <w:rPr>
          <w:rFonts w:asciiTheme="majorHAnsi" w:hAnsiTheme="majorHAnsi"/>
          <w:sz w:val="20"/>
          <w:szCs w:val="20"/>
        </w:rPr>
        <w:t>конкретну</w:t>
      </w:r>
      <w:r w:rsidRPr="000977F7">
        <w:rPr>
          <w:rFonts w:asciiTheme="majorHAnsi" w:hAnsiTheme="majorHAnsi"/>
          <w:spacing w:val="1"/>
          <w:sz w:val="20"/>
          <w:szCs w:val="20"/>
        </w:rPr>
        <w:t xml:space="preserve"> </w:t>
      </w:r>
      <w:r w:rsidRPr="000977F7">
        <w:rPr>
          <w:rFonts w:asciiTheme="majorHAnsi" w:hAnsiTheme="majorHAnsi"/>
          <w:sz w:val="20"/>
          <w:szCs w:val="20"/>
        </w:rPr>
        <w:t>продукцію,</w:t>
      </w:r>
      <w:r w:rsidRPr="000977F7">
        <w:rPr>
          <w:rFonts w:asciiTheme="majorHAnsi" w:hAnsiTheme="majorHAnsi"/>
          <w:spacing w:val="-1"/>
          <w:sz w:val="20"/>
          <w:szCs w:val="20"/>
        </w:rPr>
        <w:t xml:space="preserve"> </w:t>
      </w:r>
      <w:r w:rsidRPr="000977F7">
        <w:rPr>
          <w:rFonts w:asciiTheme="majorHAnsi" w:hAnsiTheme="majorHAnsi"/>
          <w:sz w:val="20"/>
          <w:szCs w:val="20"/>
        </w:rPr>
        <w:t>послугу,</w:t>
      </w:r>
      <w:r w:rsidRPr="000977F7">
        <w:rPr>
          <w:rFonts w:asciiTheme="majorHAnsi" w:hAnsiTheme="majorHAnsi"/>
          <w:spacing w:val="1"/>
          <w:sz w:val="20"/>
          <w:szCs w:val="20"/>
        </w:rPr>
        <w:t xml:space="preserve"> </w:t>
      </w:r>
      <w:r w:rsidRPr="000977F7">
        <w:rPr>
          <w:rFonts w:asciiTheme="majorHAnsi" w:hAnsiTheme="majorHAnsi"/>
          <w:sz w:val="20"/>
          <w:szCs w:val="20"/>
        </w:rPr>
        <w:t>проект</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3"/>
          <w:sz w:val="20"/>
          <w:szCs w:val="20"/>
        </w:rPr>
        <w:t xml:space="preserve"> </w:t>
      </w:r>
      <w:r w:rsidRPr="000977F7">
        <w:rPr>
          <w:rFonts w:asciiTheme="majorHAnsi" w:hAnsiTheme="majorHAnsi"/>
          <w:sz w:val="20"/>
          <w:szCs w:val="20"/>
        </w:rPr>
        <w:t>контракт</w:t>
      </w:r>
    </w:p>
    <w:p w14:paraId="09D13D29" w14:textId="77777777" w:rsidR="0097612F" w:rsidRPr="000977F7" w:rsidRDefault="0097612F" w:rsidP="00FD39A4">
      <w:pPr>
        <w:pStyle w:val="ac"/>
        <w:widowControl w:val="0"/>
        <w:numPr>
          <w:ilvl w:val="0"/>
          <w:numId w:val="122"/>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План якості часто має посилання на розділи "Керівництва з якості" або документовані процедури,</w:t>
      </w:r>
      <w:r w:rsidRPr="000977F7">
        <w:rPr>
          <w:rFonts w:asciiTheme="majorHAnsi" w:hAnsiTheme="majorHAnsi"/>
          <w:spacing w:val="1"/>
          <w:sz w:val="20"/>
          <w:szCs w:val="20"/>
        </w:rPr>
        <w:t xml:space="preserve"> </w:t>
      </w:r>
      <w:r w:rsidRPr="000977F7">
        <w:rPr>
          <w:rFonts w:asciiTheme="majorHAnsi" w:hAnsiTheme="majorHAnsi"/>
          <w:sz w:val="20"/>
          <w:szCs w:val="20"/>
        </w:rPr>
        <w:t>застосовані</w:t>
      </w:r>
      <w:r w:rsidRPr="000977F7">
        <w:rPr>
          <w:rFonts w:asciiTheme="majorHAnsi" w:hAnsiTheme="majorHAnsi"/>
          <w:spacing w:val="-2"/>
          <w:sz w:val="20"/>
          <w:szCs w:val="20"/>
        </w:rPr>
        <w:t xml:space="preserve"> </w:t>
      </w:r>
      <w:r w:rsidRPr="000977F7">
        <w:rPr>
          <w:rFonts w:asciiTheme="majorHAnsi" w:hAnsiTheme="majorHAnsi"/>
          <w:sz w:val="20"/>
          <w:szCs w:val="20"/>
        </w:rPr>
        <w:t>до специфічного випадку</w:t>
      </w:r>
    </w:p>
    <w:p w14:paraId="3B24148D" w14:textId="77777777" w:rsidR="0097612F" w:rsidRPr="000977F7" w:rsidRDefault="0097612F" w:rsidP="00FD39A4">
      <w:pPr>
        <w:pStyle w:val="ac"/>
        <w:widowControl w:val="0"/>
        <w:numPr>
          <w:ilvl w:val="0"/>
          <w:numId w:val="122"/>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pacing w:val="-3"/>
          <w:w w:val="99"/>
          <w:sz w:val="20"/>
          <w:szCs w:val="20"/>
        </w:rPr>
        <w:t>П</w:t>
      </w:r>
      <w:r w:rsidRPr="000977F7">
        <w:rPr>
          <w:rFonts w:asciiTheme="majorHAnsi" w:hAnsiTheme="majorHAnsi"/>
          <w:spacing w:val="-4"/>
          <w:w w:val="99"/>
          <w:sz w:val="20"/>
          <w:szCs w:val="20"/>
        </w:rPr>
        <w:t>л</w:t>
      </w:r>
      <w:r w:rsidRPr="000977F7">
        <w:rPr>
          <w:rFonts w:asciiTheme="majorHAnsi" w:hAnsiTheme="majorHAnsi"/>
          <w:w w:val="99"/>
          <w:sz w:val="20"/>
          <w:szCs w:val="20"/>
        </w:rPr>
        <w:t>ан</w:t>
      </w:r>
      <w:r w:rsidRPr="000977F7">
        <w:rPr>
          <w:rFonts w:asciiTheme="majorHAnsi" w:hAnsiTheme="majorHAnsi"/>
          <w:spacing w:val="-3"/>
          <w:sz w:val="20"/>
          <w:szCs w:val="20"/>
        </w:rPr>
        <w:t xml:space="preserve"> </w:t>
      </w:r>
      <w:r w:rsidRPr="000977F7">
        <w:rPr>
          <w:rFonts w:asciiTheme="majorHAnsi" w:hAnsiTheme="majorHAnsi"/>
          <w:spacing w:val="-3"/>
          <w:w w:val="99"/>
          <w:sz w:val="20"/>
          <w:szCs w:val="20"/>
        </w:rPr>
        <w:t>я</w:t>
      </w:r>
      <w:r w:rsidRPr="000977F7">
        <w:rPr>
          <w:rFonts w:asciiTheme="majorHAnsi" w:hAnsiTheme="majorHAnsi"/>
          <w:spacing w:val="-4"/>
          <w:w w:val="99"/>
          <w:sz w:val="20"/>
          <w:szCs w:val="20"/>
        </w:rPr>
        <w:t>к</w:t>
      </w:r>
      <w:r w:rsidRPr="000977F7">
        <w:rPr>
          <w:rFonts w:asciiTheme="majorHAnsi" w:hAnsiTheme="majorHAnsi"/>
          <w:spacing w:val="-2"/>
          <w:w w:val="99"/>
          <w:sz w:val="20"/>
          <w:szCs w:val="20"/>
        </w:rPr>
        <w:t>о</w:t>
      </w:r>
      <w:r w:rsidRPr="000977F7">
        <w:rPr>
          <w:rFonts w:asciiTheme="majorHAnsi" w:hAnsiTheme="majorHAnsi"/>
          <w:w w:val="99"/>
          <w:sz w:val="20"/>
          <w:szCs w:val="20"/>
        </w:rPr>
        <w:t>с</w:t>
      </w:r>
      <w:r w:rsidRPr="000977F7">
        <w:rPr>
          <w:rFonts w:asciiTheme="majorHAnsi" w:hAnsiTheme="majorHAnsi"/>
          <w:spacing w:val="-3"/>
          <w:w w:val="99"/>
          <w:sz w:val="20"/>
          <w:szCs w:val="20"/>
        </w:rPr>
        <w:t>т</w:t>
      </w:r>
      <w:r w:rsidRPr="000977F7">
        <w:rPr>
          <w:rFonts w:asciiTheme="majorHAnsi" w:hAnsiTheme="majorHAnsi"/>
          <w:w w:val="99"/>
          <w:sz w:val="20"/>
          <w:szCs w:val="20"/>
        </w:rPr>
        <w:t>і</w:t>
      </w:r>
      <w:r w:rsidRPr="000977F7">
        <w:rPr>
          <w:rFonts w:asciiTheme="majorHAnsi" w:hAnsiTheme="majorHAnsi"/>
          <w:spacing w:val="-5"/>
          <w:sz w:val="20"/>
          <w:szCs w:val="20"/>
        </w:rPr>
        <w:t xml:space="preserve"> </w:t>
      </w:r>
      <w:r w:rsidRPr="000977F7">
        <w:rPr>
          <w:rFonts w:asciiTheme="majorHAnsi" w:hAnsiTheme="majorHAnsi"/>
          <w:w w:val="99"/>
          <w:sz w:val="20"/>
          <w:szCs w:val="20"/>
        </w:rPr>
        <w:t>і</w:t>
      </w:r>
      <w:r w:rsidRPr="000977F7">
        <w:rPr>
          <w:rFonts w:asciiTheme="majorHAnsi" w:hAnsiTheme="majorHAnsi"/>
          <w:spacing w:val="-2"/>
          <w:w w:val="99"/>
          <w:sz w:val="20"/>
          <w:szCs w:val="20"/>
        </w:rPr>
        <w:t>н</w:t>
      </w:r>
      <w:r w:rsidRPr="000977F7">
        <w:rPr>
          <w:rFonts w:asciiTheme="majorHAnsi" w:hAnsiTheme="majorHAnsi"/>
          <w:spacing w:val="-4"/>
          <w:w w:val="99"/>
          <w:sz w:val="20"/>
          <w:szCs w:val="20"/>
        </w:rPr>
        <w:t>к</w:t>
      </w:r>
      <w:r w:rsidRPr="000977F7">
        <w:rPr>
          <w:rFonts w:asciiTheme="majorHAnsi" w:hAnsiTheme="majorHAnsi"/>
          <w:spacing w:val="-2"/>
          <w:w w:val="99"/>
          <w:sz w:val="20"/>
          <w:szCs w:val="20"/>
        </w:rPr>
        <w:t>о</w:t>
      </w:r>
      <w:r w:rsidRPr="000977F7">
        <w:rPr>
          <w:rFonts w:asciiTheme="majorHAnsi" w:hAnsiTheme="majorHAnsi"/>
          <w:spacing w:val="-1"/>
          <w:w w:val="99"/>
          <w:sz w:val="20"/>
          <w:szCs w:val="20"/>
        </w:rPr>
        <w:t>л</w:t>
      </w:r>
      <w:r w:rsidRPr="000977F7">
        <w:rPr>
          <w:rFonts w:asciiTheme="majorHAnsi" w:hAnsiTheme="majorHAnsi"/>
          <w:w w:val="99"/>
          <w:sz w:val="20"/>
          <w:szCs w:val="20"/>
        </w:rPr>
        <w:t>и</w:t>
      </w:r>
      <w:r w:rsidRPr="000977F7">
        <w:rPr>
          <w:rFonts w:asciiTheme="majorHAnsi" w:hAnsiTheme="majorHAnsi"/>
          <w:spacing w:val="-4"/>
          <w:sz w:val="20"/>
          <w:szCs w:val="20"/>
        </w:rPr>
        <w:t xml:space="preserve"> </w:t>
      </w:r>
      <w:r w:rsidRPr="000977F7">
        <w:rPr>
          <w:rFonts w:asciiTheme="majorHAnsi" w:hAnsiTheme="majorHAnsi"/>
          <w:spacing w:val="-4"/>
          <w:w w:val="99"/>
          <w:sz w:val="20"/>
          <w:szCs w:val="20"/>
        </w:rPr>
        <w:t>н</w:t>
      </w:r>
      <w:r w:rsidRPr="000977F7">
        <w:rPr>
          <w:rFonts w:asciiTheme="majorHAnsi" w:hAnsiTheme="majorHAnsi"/>
          <w:spacing w:val="-2"/>
          <w:w w:val="99"/>
          <w:sz w:val="20"/>
          <w:szCs w:val="20"/>
        </w:rPr>
        <w:t>а</w:t>
      </w:r>
      <w:r w:rsidRPr="000977F7">
        <w:rPr>
          <w:rFonts w:asciiTheme="majorHAnsi" w:hAnsiTheme="majorHAnsi"/>
          <w:w w:val="99"/>
          <w:sz w:val="20"/>
          <w:szCs w:val="20"/>
        </w:rPr>
        <w:t>з</w:t>
      </w:r>
      <w:r w:rsidRPr="000977F7">
        <w:rPr>
          <w:rFonts w:asciiTheme="majorHAnsi" w:hAnsiTheme="majorHAnsi"/>
          <w:spacing w:val="-3"/>
          <w:w w:val="99"/>
          <w:sz w:val="20"/>
          <w:szCs w:val="20"/>
        </w:rPr>
        <w:t>и</w:t>
      </w:r>
      <w:r w:rsidRPr="000977F7">
        <w:rPr>
          <w:rFonts w:asciiTheme="majorHAnsi" w:hAnsiTheme="majorHAnsi"/>
          <w:spacing w:val="-1"/>
          <w:w w:val="99"/>
          <w:sz w:val="20"/>
          <w:szCs w:val="20"/>
        </w:rPr>
        <w:t>в</w:t>
      </w:r>
      <w:r w:rsidRPr="000977F7">
        <w:rPr>
          <w:rFonts w:asciiTheme="majorHAnsi" w:hAnsiTheme="majorHAnsi"/>
          <w:spacing w:val="-3"/>
          <w:w w:val="99"/>
          <w:sz w:val="20"/>
          <w:szCs w:val="20"/>
        </w:rPr>
        <w:t>а</w:t>
      </w:r>
      <w:r w:rsidRPr="000977F7">
        <w:rPr>
          <w:rFonts w:asciiTheme="majorHAnsi" w:hAnsiTheme="majorHAnsi"/>
          <w:spacing w:val="-1"/>
          <w:w w:val="99"/>
          <w:sz w:val="20"/>
          <w:szCs w:val="20"/>
        </w:rPr>
        <w:t>ют</w:t>
      </w:r>
      <w:r w:rsidRPr="000977F7">
        <w:rPr>
          <w:rFonts w:asciiTheme="majorHAnsi" w:hAnsiTheme="majorHAnsi"/>
          <w:w w:val="99"/>
          <w:sz w:val="20"/>
          <w:szCs w:val="20"/>
        </w:rPr>
        <w:t>ь</w:t>
      </w:r>
      <w:r w:rsidRPr="000977F7">
        <w:rPr>
          <w:rFonts w:asciiTheme="majorHAnsi" w:hAnsiTheme="majorHAnsi"/>
          <w:spacing w:val="-4"/>
          <w:sz w:val="20"/>
          <w:szCs w:val="20"/>
        </w:rPr>
        <w:t xml:space="preserve"> "</w:t>
      </w:r>
      <w:r w:rsidRPr="000977F7">
        <w:rPr>
          <w:rFonts w:asciiTheme="majorHAnsi" w:hAnsiTheme="majorHAnsi"/>
          <w:spacing w:val="-4"/>
          <w:w w:val="99"/>
          <w:sz w:val="20"/>
          <w:szCs w:val="20"/>
        </w:rPr>
        <w:t>п</w:t>
      </w:r>
      <w:r w:rsidRPr="000977F7">
        <w:rPr>
          <w:rFonts w:asciiTheme="majorHAnsi" w:hAnsiTheme="majorHAnsi"/>
          <w:spacing w:val="-2"/>
          <w:w w:val="99"/>
          <w:sz w:val="20"/>
          <w:szCs w:val="20"/>
        </w:rPr>
        <w:t>ро</w:t>
      </w:r>
      <w:r w:rsidRPr="000977F7">
        <w:rPr>
          <w:rFonts w:asciiTheme="majorHAnsi" w:hAnsiTheme="majorHAnsi"/>
          <w:spacing w:val="-3"/>
          <w:w w:val="99"/>
          <w:sz w:val="20"/>
          <w:szCs w:val="20"/>
        </w:rPr>
        <w:t>г</w:t>
      </w:r>
      <w:r w:rsidRPr="000977F7">
        <w:rPr>
          <w:rFonts w:asciiTheme="majorHAnsi" w:hAnsiTheme="majorHAnsi"/>
          <w:spacing w:val="-2"/>
          <w:w w:val="99"/>
          <w:sz w:val="20"/>
          <w:szCs w:val="20"/>
        </w:rPr>
        <w:t>рамо</w:t>
      </w:r>
      <w:r w:rsidRPr="000977F7">
        <w:rPr>
          <w:rFonts w:asciiTheme="majorHAnsi" w:hAnsiTheme="majorHAnsi"/>
          <w:w w:val="99"/>
          <w:sz w:val="20"/>
          <w:szCs w:val="20"/>
        </w:rPr>
        <w:t>ю</w:t>
      </w:r>
      <w:r w:rsidRPr="000977F7">
        <w:rPr>
          <w:rFonts w:asciiTheme="majorHAnsi" w:hAnsiTheme="majorHAnsi"/>
          <w:spacing w:val="-3"/>
          <w:sz w:val="20"/>
          <w:szCs w:val="20"/>
        </w:rPr>
        <w:t xml:space="preserve"> </w:t>
      </w:r>
      <w:r w:rsidRPr="000977F7">
        <w:rPr>
          <w:rFonts w:asciiTheme="majorHAnsi" w:hAnsiTheme="majorHAnsi"/>
          <w:spacing w:val="-3"/>
          <w:w w:val="99"/>
          <w:sz w:val="20"/>
          <w:szCs w:val="20"/>
        </w:rPr>
        <w:t>я</w:t>
      </w:r>
      <w:r w:rsidRPr="000977F7">
        <w:rPr>
          <w:rFonts w:asciiTheme="majorHAnsi" w:hAnsiTheme="majorHAnsi"/>
          <w:spacing w:val="-4"/>
          <w:w w:val="99"/>
          <w:sz w:val="20"/>
          <w:szCs w:val="20"/>
        </w:rPr>
        <w:t>к</w:t>
      </w:r>
      <w:r w:rsidRPr="000977F7">
        <w:rPr>
          <w:rFonts w:asciiTheme="majorHAnsi" w:hAnsiTheme="majorHAnsi"/>
          <w:spacing w:val="-1"/>
          <w:w w:val="99"/>
          <w:sz w:val="20"/>
          <w:szCs w:val="20"/>
        </w:rPr>
        <w:t>о</w:t>
      </w:r>
      <w:r w:rsidRPr="000977F7">
        <w:rPr>
          <w:rFonts w:asciiTheme="majorHAnsi" w:hAnsiTheme="majorHAnsi"/>
          <w:w w:val="99"/>
          <w:sz w:val="20"/>
          <w:szCs w:val="20"/>
        </w:rPr>
        <w:t>с</w:t>
      </w:r>
      <w:r w:rsidRPr="000977F7">
        <w:rPr>
          <w:rFonts w:asciiTheme="majorHAnsi" w:hAnsiTheme="majorHAnsi"/>
          <w:spacing w:val="-3"/>
          <w:w w:val="99"/>
          <w:sz w:val="20"/>
          <w:szCs w:val="20"/>
        </w:rPr>
        <w:t>ті"</w:t>
      </w:r>
    </w:p>
    <w:p w14:paraId="72354A13" w14:textId="77777777" w:rsidR="0097612F" w:rsidRPr="000977F7" w:rsidRDefault="0097612F" w:rsidP="00FD39A4">
      <w:pPr>
        <w:pStyle w:val="ac"/>
        <w:widowControl w:val="0"/>
        <w:numPr>
          <w:ilvl w:val="0"/>
          <w:numId w:val="122"/>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План якості повинен відрізнятися від планування</w:t>
      </w:r>
      <w:r w:rsidRPr="000977F7">
        <w:rPr>
          <w:rFonts w:asciiTheme="majorHAnsi" w:hAnsiTheme="majorHAnsi"/>
          <w:spacing w:val="1"/>
          <w:sz w:val="20"/>
          <w:szCs w:val="20"/>
        </w:rPr>
        <w:t xml:space="preserve"> </w:t>
      </w:r>
      <w:r w:rsidRPr="000977F7">
        <w:rPr>
          <w:rFonts w:asciiTheme="majorHAnsi" w:hAnsiTheme="majorHAnsi"/>
          <w:sz w:val="20"/>
          <w:szCs w:val="20"/>
        </w:rPr>
        <w:t>якості, яке пов’язане з функціонуванням системи</w:t>
      </w:r>
      <w:r w:rsidRPr="000977F7">
        <w:rPr>
          <w:rFonts w:asciiTheme="majorHAnsi" w:hAnsiTheme="majorHAnsi"/>
          <w:spacing w:val="1"/>
          <w:sz w:val="20"/>
          <w:szCs w:val="20"/>
        </w:rPr>
        <w:t xml:space="preserve"> </w:t>
      </w:r>
      <w:r w:rsidRPr="000977F7">
        <w:rPr>
          <w:rFonts w:asciiTheme="majorHAnsi" w:hAnsiTheme="majorHAnsi"/>
          <w:sz w:val="20"/>
          <w:szCs w:val="20"/>
        </w:rPr>
        <w:t>менеджменту якості, в рамках якого плани якості</w:t>
      </w:r>
      <w:r w:rsidRPr="000977F7">
        <w:rPr>
          <w:rFonts w:asciiTheme="majorHAnsi" w:hAnsiTheme="majorHAnsi"/>
          <w:spacing w:val="1"/>
          <w:sz w:val="20"/>
          <w:szCs w:val="20"/>
        </w:rPr>
        <w:t xml:space="preserve"> </w:t>
      </w:r>
      <w:r w:rsidRPr="000977F7">
        <w:rPr>
          <w:rFonts w:asciiTheme="majorHAnsi" w:hAnsiTheme="majorHAnsi"/>
          <w:sz w:val="20"/>
          <w:szCs w:val="20"/>
        </w:rPr>
        <w:t>виконують</w:t>
      </w:r>
      <w:r w:rsidRPr="000977F7">
        <w:rPr>
          <w:rFonts w:asciiTheme="majorHAnsi" w:hAnsiTheme="majorHAnsi"/>
          <w:spacing w:val="-1"/>
          <w:sz w:val="20"/>
          <w:szCs w:val="20"/>
        </w:rPr>
        <w:t xml:space="preserve"> </w:t>
      </w:r>
      <w:r w:rsidRPr="000977F7">
        <w:rPr>
          <w:rFonts w:asciiTheme="majorHAnsi" w:hAnsiTheme="majorHAnsi"/>
          <w:sz w:val="20"/>
          <w:szCs w:val="20"/>
        </w:rPr>
        <w:t>своє завдання</w:t>
      </w:r>
    </w:p>
    <w:p w14:paraId="0167A77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ПЛАНОВЕ</w:t>
      </w:r>
      <w:r w:rsidRPr="000977F7">
        <w:rPr>
          <w:color w:val="auto"/>
          <w:spacing w:val="-5"/>
          <w:sz w:val="20"/>
          <w:szCs w:val="20"/>
        </w:rPr>
        <w:t xml:space="preserve"> </w:t>
      </w:r>
      <w:r w:rsidRPr="000977F7">
        <w:rPr>
          <w:color w:val="auto"/>
          <w:sz w:val="20"/>
          <w:szCs w:val="20"/>
        </w:rPr>
        <w:t>ТЕХНІЧНЕ</w:t>
      </w:r>
      <w:r w:rsidRPr="000977F7">
        <w:rPr>
          <w:color w:val="auto"/>
          <w:spacing w:val="-5"/>
          <w:sz w:val="20"/>
          <w:szCs w:val="20"/>
        </w:rPr>
        <w:t xml:space="preserve"> </w:t>
      </w:r>
      <w:r w:rsidRPr="000977F7">
        <w:rPr>
          <w:color w:val="auto"/>
          <w:sz w:val="20"/>
          <w:szCs w:val="20"/>
        </w:rPr>
        <w:t>ОБСЛУГОВУВАННЯ –</w:t>
      </w:r>
    </w:p>
    <w:p w14:paraId="0090AE7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SCHEDULED</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MAINTENANCE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4980E497"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sz w:val="20"/>
          <w:szCs w:val="20"/>
        </w:rPr>
        <w:t>Вид</w:t>
      </w:r>
      <w:r w:rsidRPr="000977F7">
        <w:rPr>
          <w:rFonts w:asciiTheme="majorHAnsi" w:hAnsiTheme="majorHAnsi"/>
          <w:spacing w:val="14"/>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15"/>
          <w:sz w:val="20"/>
          <w:szCs w:val="20"/>
        </w:rPr>
        <w:t xml:space="preserve"> </w:t>
      </w:r>
      <w:r w:rsidRPr="000977F7">
        <w:rPr>
          <w:rFonts w:asciiTheme="majorHAnsi" w:hAnsiTheme="majorHAnsi"/>
          <w:sz w:val="20"/>
          <w:szCs w:val="20"/>
        </w:rPr>
        <w:t>обслуговування,</w:t>
      </w:r>
      <w:r w:rsidRPr="000977F7">
        <w:rPr>
          <w:rFonts w:asciiTheme="majorHAnsi" w:hAnsiTheme="majorHAnsi"/>
          <w:spacing w:val="14"/>
          <w:sz w:val="20"/>
          <w:szCs w:val="20"/>
        </w:rPr>
        <w:t xml:space="preserve"> </w:t>
      </w:r>
      <w:r w:rsidRPr="000977F7">
        <w:rPr>
          <w:rFonts w:asciiTheme="majorHAnsi" w:hAnsiTheme="majorHAnsi"/>
          <w:sz w:val="20"/>
          <w:szCs w:val="20"/>
        </w:rPr>
        <w:t>що</w:t>
      </w:r>
      <w:r w:rsidRPr="000977F7">
        <w:rPr>
          <w:rFonts w:asciiTheme="majorHAnsi" w:hAnsiTheme="majorHAnsi"/>
          <w:spacing w:val="15"/>
          <w:sz w:val="20"/>
          <w:szCs w:val="20"/>
        </w:rPr>
        <w:t xml:space="preserve"> </w:t>
      </w:r>
      <w:r w:rsidRPr="000977F7">
        <w:rPr>
          <w:rFonts w:asciiTheme="majorHAnsi" w:hAnsiTheme="majorHAnsi"/>
          <w:sz w:val="20"/>
          <w:szCs w:val="20"/>
        </w:rPr>
        <w:t>виконується</w:t>
      </w:r>
      <w:r w:rsidRPr="000977F7">
        <w:rPr>
          <w:rFonts w:asciiTheme="majorHAnsi" w:hAnsiTheme="majorHAnsi"/>
          <w:spacing w:val="16"/>
          <w:sz w:val="20"/>
          <w:szCs w:val="20"/>
        </w:rPr>
        <w:t xml:space="preserve"> </w:t>
      </w:r>
      <w:r w:rsidRPr="000977F7">
        <w:rPr>
          <w:rFonts w:asciiTheme="majorHAnsi" w:hAnsiTheme="majorHAnsi"/>
          <w:sz w:val="20"/>
          <w:szCs w:val="20"/>
        </w:rPr>
        <w:t>у</w:t>
      </w:r>
      <w:r w:rsidRPr="000977F7">
        <w:rPr>
          <w:rFonts w:asciiTheme="majorHAnsi" w:hAnsiTheme="majorHAnsi"/>
          <w:spacing w:val="-47"/>
          <w:sz w:val="20"/>
          <w:szCs w:val="20"/>
        </w:rPr>
        <w:t xml:space="preserve"> </w:t>
      </w:r>
      <w:r w:rsidRPr="000977F7">
        <w:rPr>
          <w:rFonts w:asciiTheme="majorHAnsi" w:hAnsiTheme="majorHAnsi"/>
          <w:sz w:val="20"/>
          <w:szCs w:val="20"/>
        </w:rPr>
        <w:t>відповідності з встановленим часовим графіком</w:t>
      </w:r>
      <w:r w:rsidRPr="000977F7">
        <w:rPr>
          <w:rFonts w:asciiTheme="majorHAnsi" w:hAnsiTheme="majorHAnsi"/>
          <w:spacing w:val="1"/>
          <w:sz w:val="20"/>
          <w:szCs w:val="20"/>
        </w:rPr>
        <w:t xml:space="preserve"> </w:t>
      </w:r>
      <w:r w:rsidRPr="000977F7">
        <w:rPr>
          <w:rFonts w:asciiTheme="majorHAnsi" w:hAnsiTheme="majorHAnsi"/>
          <w:b/>
          <w:sz w:val="20"/>
          <w:szCs w:val="20"/>
        </w:rPr>
        <w:t>ПЛАНОВИЙ</w:t>
      </w:r>
      <w:r w:rsidRPr="000977F7">
        <w:rPr>
          <w:rFonts w:asciiTheme="majorHAnsi" w:hAnsiTheme="majorHAnsi"/>
          <w:b/>
          <w:spacing w:val="-1"/>
          <w:sz w:val="20"/>
          <w:szCs w:val="20"/>
        </w:rPr>
        <w:t xml:space="preserve"> </w:t>
      </w:r>
      <w:r w:rsidRPr="000977F7">
        <w:rPr>
          <w:rFonts w:asciiTheme="majorHAnsi" w:hAnsiTheme="majorHAnsi"/>
          <w:b/>
          <w:sz w:val="20"/>
          <w:szCs w:val="20"/>
        </w:rPr>
        <w:t>ПРОСТІЙ;</w:t>
      </w:r>
      <w:r w:rsidRPr="000977F7">
        <w:rPr>
          <w:rFonts w:asciiTheme="majorHAnsi" w:hAnsiTheme="majorHAnsi"/>
          <w:b/>
          <w:spacing w:val="-1"/>
          <w:sz w:val="20"/>
          <w:szCs w:val="20"/>
        </w:rPr>
        <w:t xml:space="preserve"> </w:t>
      </w:r>
      <w:r w:rsidRPr="000977F7">
        <w:rPr>
          <w:rFonts w:asciiTheme="majorHAnsi" w:hAnsiTheme="majorHAnsi"/>
          <w:b/>
          <w:sz w:val="20"/>
          <w:szCs w:val="20"/>
        </w:rPr>
        <w:t>ВІЛЬНИЙ СТАН–</w:t>
      </w:r>
    </w:p>
    <w:p w14:paraId="70CE5B6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IDLE</w:t>
      </w:r>
      <w:r w:rsidRPr="000977F7">
        <w:rPr>
          <w:rFonts w:asciiTheme="majorHAnsi" w:hAnsiTheme="majorHAnsi"/>
          <w:spacing w:val="-2"/>
          <w:sz w:val="20"/>
          <w:szCs w:val="20"/>
        </w:rPr>
        <w:t xml:space="preserve"> </w:t>
      </w:r>
      <w:r w:rsidRPr="000977F7">
        <w:rPr>
          <w:rFonts w:asciiTheme="majorHAnsi" w:hAnsiTheme="majorHAnsi"/>
          <w:sz w:val="20"/>
          <w:szCs w:val="20"/>
        </w:rPr>
        <w:t>STATE;</w:t>
      </w:r>
      <w:r w:rsidRPr="000977F7">
        <w:rPr>
          <w:rFonts w:asciiTheme="majorHAnsi" w:hAnsiTheme="majorHAnsi"/>
          <w:spacing w:val="-3"/>
          <w:sz w:val="20"/>
          <w:szCs w:val="20"/>
        </w:rPr>
        <w:t xml:space="preserve"> </w:t>
      </w:r>
      <w:r w:rsidRPr="000977F7">
        <w:rPr>
          <w:rFonts w:asciiTheme="majorHAnsi" w:hAnsiTheme="majorHAnsi"/>
          <w:sz w:val="20"/>
          <w:szCs w:val="20"/>
        </w:rPr>
        <w:t>FREE</w:t>
      </w:r>
      <w:r w:rsidRPr="000977F7">
        <w:rPr>
          <w:rFonts w:asciiTheme="majorHAnsi" w:hAnsiTheme="majorHAnsi"/>
          <w:spacing w:val="-1"/>
          <w:sz w:val="20"/>
          <w:szCs w:val="20"/>
        </w:rPr>
        <w:t xml:space="preserve"> </w:t>
      </w:r>
      <w:r w:rsidRPr="000977F7">
        <w:rPr>
          <w:rFonts w:asciiTheme="majorHAnsi" w:hAnsiTheme="majorHAnsi"/>
          <w:sz w:val="20"/>
          <w:szCs w:val="20"/>
        </w:rPr>
        <w:t>STATE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794F77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Простоювання</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працездатному</w:t>
      </w:r>
      <w:r w:rsidRPr="000977F7">
        <w:rPr>
          <w:rFonts w:asciiTheme="majorHAnsi" w:hAnsiTheme="majorHAnsi"/>
          <w:spacing w:val="1"/>
          <w:sz w:val="20"/>
          <w:szCs w:val="20"/>
        </w:rPr>
        <w:t xml:space="preserve"> </w:t>
      </w:r>
      <w:r w:rsidRPr="000977F7">
        <w:rPr>
          <w:rFonts w:asciiTheme="majorHAnsi" w:hAnsiTheme="majorHAnsi"/>
          <w:sz w:val="20"/>
          <w:szCs w:val="20"/>
        </w:rPr>
        <w:t>стані,</w:t>
      </w:r>
      <w:r w:rsidRPr="000977F7">
        <w:rPr>
          <w:rFonts w:asciiTheme="majorHAnsi" w:hAnsiTheme="majorHAnsi"/>
          <w:spacing w:val="1"/>
          <w:sz w:val="20"/>
          <w:szCs w:val="20"/>
        </w:rPr>
        <w:t xml:space="preserve"> </w:t>
      </w:r>
      <w:r w:rsidRPr="000977F7">
        <w:rPr>
          <w:rFonts w:asciiTheme="majorHAnsi" w:hAnsiTheme="majorHAnsi"/>
          <w:sz w:val="20"/>
          <w:szCs w:val="20"/>
        </w:rPr>
        <w:t>заплановане</w:t>
      </w:r>
      <w:r w:rsidRPr="000977F7">
        <w:rPr>
          <w:rFonts w:asciiTheme="majorHAnsi" w:hAnsiTheme="majorHAnsi"/>
          <w:spacing w:val="1"/>
          <w:sz w:val="20"/>
          <w:szCs w:val="20"/>
        </w:rPr>
        <w:t xml:space="preserve"> </w:t>
      </w:r>
      <w:r w:rsidRPr="000977F7">
        <w:rPr>
          <w:rFonts w:asciiTheme="majorHAnsi" w:hAnsiTheme="majorHAnsi"/>
          <w:sz w:val="20"/>
          <w:szCs w:val="20"/>
        </w:rPr>
        <w:t>заздалегідь</w:t>
      </w:r>
    </w:p>
    <w:p w14:paraId="68E5D4C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542207D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ПЛАНОВИЙ</w:t>
      </w:r>
      <w:r w:rsidRPr="000977F7">
        <w:rPr>
          <w:color w:val="auto"/>
          <w:spacing w:val="-2"/>
          <w:sz w:val="20"/>
          <w:szCs w:val="20"/>
        </w:rPr>
        <w:t xml:space="preserve"> </w:t>
      </w:r>
      <w:r w:rsidRPr="000977F7">
        <w:rPr>
          <w:color w:val="auto"/>
          <w:sz w:val="20"/>
          <w:szCs w:val="20"/>
        </w:rPr>
        <w:t>РЕМОНТ</w:t>
      </w:r>
      <w:r w:rsidRPr="000977F7">
        <w:rPr>
          <w:color w:val="auto"/>
          <w:spacing w:val="-1"/>
          <w:sz w:val="20"/>
          <w:szCs w:val="20"/>
        </w:rPr>
        <w:t xml:space="preserve"> </w:t>
      </w:r>
      <w:r w:rsidRPr="000977F7">
        <w:rPr>
          <w:color w:val="auto"/>
          <w:sz w:val="20"/>
          <w:szCs w:val="20"/>
        </w:rPr>
        <w:t>–</w:t>
      </w:r>
    </w:p>
    <w:p w14:paraId="389328C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Ремонт, під час якого зупинка устаткування здійснюється</w:t>
      </w:r>
      <w:r w:rsidRPr="000977F7">
        <w:rPr>
          <w:rFonts w:asciiTheme="majorHAnsi" w:hAnsiTheme="majorHAnsi"/>
          <w:spacing w:val="-2"/>
          <w:sz w:val="20"/>
          <w:szCs w:val="20"/>
        </w:rPr>
        <w:t xml:space="preserve"> </w:t>
      </w:r>
      <w:r w:rsidRPr="000977F7">
        <w:rPr>
          <w:rFonts w:asciiTheme="majorHAnsi" w:hAnsiTheme="majorHAnsi"/>
          <w:sz w:val="20"/>
          <w:szCs w:val="20"/>
        </w:rPr>
        <w:t>за планом</w:t>
      </w:r>
    </w:p>
    <w:p w14:paraId="00914A0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2960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0D24E5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ПЛАНУВАННЯ</w:t>
      </w:r>
      <w:r w:rsidRPr="000977F7">
        <w:rPr>
          <w:color w:val="auto"/>
          <w:spacing w:val="-5"/>
          <w:sz w:val="20"/>
          <w:szCs w:val="20"/>
        </w:rPr>
        <w:t xml:space="preserve"> </w:t>
      </w:r>
      <w:r w:rsidRPr="000977F7">
        <w:rPr>
          <w:color w:val="auto"/>
          <w:sz w:val="20"/>
          <w:szCs w:val="20"/>
        </w:rPr>
        <w:t>ВИРОБНИЦТВА</w:t>
      </w:r>
      <w:r w:rsidRPr="000977F7">
        <w:rPr>
          <w:color w:val="auto"/>
          <w:spacing w:val="-5"/>
          <w:sz w:val="20"/>
          <w:szCs w:val="20"/>
        </w:rPr>
        <w:t xml:space="preserve"> </w:t>
      </w:r>
      <w:r w:rsidRPr="000977F7">
        <w:rPr>
          <w:color w:val="auto"/>
          <w:sz w:val="20"/>
          <w:szCs w:val="20"/>
        </w:rPr>
        <w:t>ПРОДУКЦІЇ</w:t>
      </w:r>
      <w:r w:rsidRPr="000977F7">
        <w:rPr>
          <w:color w:val="auto"/>
          <w:spacing w:val="-2"/>
          <w:sz w:val="20"/>
          <w:szCs w:val="20"/>
        </w:rPr>
        <w:t xml:space="preserve"> </w:t>
      </w:r>
    </w:p>
    <w:p w14:paraId="7F14C20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PRODUCTION</w:t>
      </w:r>
      <w:r w:rsidRPr="000977F7">
        <w:rPr>
          <w:rFonts w:asciiTheme="majorHAnsi" w:hAnsiTheme="majorHAnsi"/>
          <w:spacing w:val="-3"/>
          <w:sz w:val="20"/>
          <w:szCs w:val="20"/>
        </w:rPr>
        <w:t xml:space="preserve"> </w:t>
      </w:r>
      <w:r w:rsidRPr="000977F7">
        <w:rPr>
          <w:rFonts w:asciiTheme="majorHAnsi" w:hAnsiTheme="majorHAnsi"/>
          <w:sz w:val="20"/>
          <w:szCs w:val="20"/>
        </w:rPr>
        <w:t>PLANNING</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5A64DB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обсягу,</w:t>
      </w:r>
      <w:r w:rsidRPr="000977F7">
        <w:rPr>
          <w:rFonts w:asciiTheme="majorHAnsi" w:hAnsiTheme="majorHAnsi"/>
          <w:spacing w:val="1"/>
          <w:sz w:val="20"/>
          <w:szCs w:val="20"/>
        </w:rPr>
        <w:t xml:space="preserve"> </w:t>
      </w:r>
      <w:r w:rsidRPr="000977F7">
        <w:rPr>
          <w:rFonts w:asciiTheme="majorHAnsi" w:hAnsiTheme="majorHAnsi"/>
          <w:sz w:val="20"/>
          <w:szCs w:val="20"/>
        </w:rPr>
        <w:t>номенклатури,</w:t>
      </w:r>
      <w:r w:rsidRPr="000977F7">
        <w:rPr>
          <w:rFonts w:asciiTheme="majorHAnsi" w:hAnsiTheme="majorHAnsi"/>
          <w:spacing w:val="1"/>
          <w:sz w:val="20"/>
          <w:szCs w:val="20"/>
        </w:rPr>
        <w:t xml:space="preserve"> </w:t>
      </w:r>
      <w:r w:rsidRPr="000977F7">
        <w:rPr>
          <w:rFonts w:asciiTheme="majorHAnsi" w:hAnsiTheme="majorHAnsi"/>
          <w:sz w:val="20"/>
          <w:szCs w:val="20"/>
        </w:rPr>
        <w:t>асортименту</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2"/>
          <w:sz w:val="20"/>
          <w:szCs w:val="20"/>
        </w:rPr>
        <w:t xml:space="preserve"> </w:t>
      </w:r>
      <w:r w:rsidRPr="000977F7">
        <w:rPr>
          <w:rFonts w:asciiTheme="majorHAnsi" w:hAnsiTheme="majorHAnsi"/>
          <w:sz w:val="20"/>
          <w:szCs w:val="20"/>
        </w:rPr>
        <w:t>виготовлюваної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6A50AC6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3F3957C"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ПЛАНУВАННЯ</w:t>
      </w:r>
      <w:r w:rsidRPr="000977F7">
        <w:rPr>
          <w:color w:val="auto"/>
          <w:spacing w:val="-3"/>
          <w:sz w:val="20"/>
          <w:szCs w:val="20"/>
        </w:rPr>
        <w:t xml:space="preserve"> </w:t>
      </w:r>
      <w:r w:rsidRPr="000977F7">
        <w:rPr>
          <w:color w:val="auto"/>
          <w:sz w:val="20"/>
          <w:szCs w:val="20"/>
        </w:rPr>
        <w:t xml:space="preserve">ЗМІН </w:t>
      </w:r>
      <w:r w:rsidRPr="000977F7">
        <w:rPr>
          <w:b w:val="0"/>
          <w:color w:val="auto"/>
          <w:sz w:val="20"/>
          <w:szCs w:val="20"/>
        </w:rPr>
        <w:t>–</w:t>
      </w:r>
    </w:p>
    <w:p w14:paraId="22BA7F4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Якщо організація визначає потребу в змінах до системи управління якістю, зміни потрібно реалізовувати у</w:t>
      </w:r>
      <w:r w:rsidRPr="000977F7">
        <w:rPr>
          <w:rFonts w:asciiTheme="majorHAnsi" w:hAnsiTheme="majorHAnsi"/>
          <w:spacing w:val="1"/>
          <w:sz w:val="20"/>
          <w:szCs w:val="20"/>
        </w:rPr>
        <w:t xml:space="preserve"> </w:t>
      </w:r>
      <w:r w:rsidRPr="000977F7">
        <w:rPr>
          <w:rFonts w:asciiTheme="majorHAnsi" w:hAnsiTheme="majorHAnsi"/>
          <w:sz w:val="20"/>
          <w:szCs w:val="20"/>
        </w:rPr>
        <w:t>запланований</w:t>
      </w:r>
      <w:r w:rsidRPr="000977F7">
        <w:rPr>
          <w:rFonts w:asciiTheme="majorHAnsi" w:hAnsiTheme="majorHAnsi"/>
          <w:spacing w:val="-2"/>
          <w:sz w:val="20"/>
          <w:szCs w:val="20"/>
        </w:rPr>
        <w:t xml:space="preserve"> </w:t>
      </w:r>
      <w:r w:rsidRPr="000977F7">
        <w:rPr>
          <w:rFonts w:asciiTheme="majorHAnsi" w:hAnsiTheme="majorHAnsi"/>
          <w:sz w:val="20"/>
          <w:szCs w:val="20"/>
        </w:rPr>
        <w:t>спосіб.</w:t>
      </w:r>
    </w:p>
    <w:p w14:paraId="67B0A5D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4"/>
          <w:sz w:val="20"/>
          <w:szCs w:val="20"/>
        </w:rPr>
        <w:t xml:space="preserve"> </w:t>
      </w:r>
      <w:r w:rsidRPr="000977F7">
        <w:rPr>
          <w:rFonts w:asciiTheme="majorHAnsi" w:hAnsiTheme="majorHAnsi"/>
          <w:sz w:val="20"/>
          <w:szCs w:val="20"/>
        </w:rPr>
        <w:t>повинна</w:t>
      </w:r>
      <w:r w:rsidRPr="000977F7">
        <w:rPr>
          <w:rFonts w:asciiTheme="majorHAnsi" w:hAnsiTheme="majorHAnsi"/>
          <w:spacing w:val="-5"/>
          <w:sz w:val="20"/>
          <w:szCs w:val="20"/>
        </w:rPr>
        <w:t xml:space="preserve"> </w:t>
      </w:r>
      <w:r w:rsidRPr="000977F7">
        <w:rPr>
          <w:rFonts w:asciiTheme="majorHAnsi" w:hAnsiTheme="majorHAnsi"/>
          <w:sz w:val="20"/>
          <w:szCs w:val="20"/>
        </w:rPr>
        <w:t>розглянути</w:t>
      </w:r>
    </w:p>
    <w:p w14:paraId="7ED749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3"/>
          <w:sz w:val="20"/>
          <w:szCs w:val="20"/>
        </w:rPr>
        <w:t xml:space="preserve"> </w:t>
      </w:r>
      <w:r w:rsidRPr="000977F7">
        <w:rPr>
          <w:rFonts w:asciiTheme="majorHAnsi" w:hAnsiTheme="majorHAnsi"/>
          <w:sz w:val="20"/>
          <w:szCs w:val="20"/>
        </w:rPr>
        <w:t>призначеність</w:t>
      </w:r>
      <w:r w:rsidRPr="000977F7">
        <w:rPr>
          <w:rFonts w:asciiTheme="majorHAnsi" w:hAnsiTheme="majorHAnsi"/>
          <w:spacing w:val="-4"/>
          <w:sz w:val="20"/>
          <w:szCs w:val="20"/>
        </w:rPr>
        <w:t xml:space="preserve"> </w:t>
      </w:r>
      <w:r w:rsidRPr="000977F7">
        <w:rPr>
          <w:rFonts w:asciiTheme="majorHAnsi" w:hAnsiTheme="majorHAnsi"/>
          <w:sz w:val="20"/>
          <w:szCs w:val="20"/>
        </w:rPr>
        <w:t>змін</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їхні</w:t>
      </w:r>
      <w:r w:rsidRPr="000977F7">
        <w:rPr>
          <w:rFonts w:asciiTheme="majorHAnsi" w:hAnsiTheme="majorHAnsi"/>
          <w:spacing w:val="-1"/>
          <w:sz w:val="20"/>
          <w:szCs w:val="20"/>
        </w:rPr>
        <w:t xml:space="preserve"> </w:t>
      </w:r>
      <w:r w:rsidRPr="000977F7">
        <w:rPr>
          <w:rFonts w:asciiTheme="majorHAnsi" w:hAnsiTheme="majorHAnsi"/>
          <w:sz w:val="20"/>
          <w:szCs w:val="20"/>
        </w:rPr>
        <w:t>можливі</w:t>
      </w:r>
      <w:r w:rsidRPr="000977F7">
        <w:rPr>
          <w:rFonts w:asciiTheme="majorHAnsi" w:hAnsiTheme="majorHAnsi"/>
          <w:spacing w:val="-4"/>
          <w:sz w:val="20"/>
          <w:szCs w:val="20"/>
        </w:rPr>
        <w:t xml:space="preserve"> </w:t>
      </w:r>
      <w:r w:rsidRPr="000977F7">
        <w:rPr>
          <w:rFonts w:asciiTheme="majorHAnsi" w:hAnsiTheme="majorHAnsi"/>
          <w:sz w:val="20"/>
          <w:szCs w:val="20"/>
        </w:rPr>
        <w:t>наслідки;</w:t>
      </w:r>
    </w:p>
    <w:p w14:paraId="2426D6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w:t>
      </w:r>
      <w:r w:rsidRPr="000977F7">
        <w:rPr>
          <w:rFonts w:asciiTheme="majorHAnsi" w:hAnsiTheme="majorHAnsi"/>
          <w:spacing w:val="-5"/>
          <w:sz w:val="20"/>
          <w:szCs w:val="20"/>
        </w:rPr>
        <w:t xml:space="preserve"> </w:t>
      </w:r>
      <w:r w:rsidRPr="000977F7">
        <w:rPr>
          <w:rFonts w:asciiTheme="majorHAnsi" w:hAnsiTheme="majorHAnsi"/>
          <w:sz w:val="20"/>
          <w:szCs w:val="20"/>
        </w:rPr>
        <w:t>цілісність</w:t>
      </w:r>
      <w:r w:rsidRPr="000977F7">
        <w:rPr>
          <w:rFonts w:asciiTheme="majorHAnsi" w:hAnsiTheme="majorHAnsi"/>
          <w:spacing w:val="-4"/>
          <w:sz w:val="20"/>
          <w:szCs w:val="20"/>
        </w:rPr>
        <w:t xml:space="preserve"> </w:t>
      </w:r>
      <w:r w:rsidRPr="000977F7">
        <w:rPr>
          <w:rFonts w:asciiTheme="majorHAnsi" w:hAnsiTheme="majorHAnsi"/>
          <w:sz w:val="20"/>
          <w:szCs w:val="20"/>
        </w:rPr>
        <w:t>системи</w:t>
      </w:r>
      <w:r w:rsidRPr="000977F7">
        <w:rPr>
          <w:rFonts w:asciiTheme="majorHAnsi" w:hAnsiTheme="majorHAnsi"/>
          <w:spacing w:val="-3"/>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5"/>
          <w:sz w:val="20"/>
          <w:szCs w:val="20"/>
        </w:rPr>
        <w:t xml:space="preserve"> </w:t>
      </w:r>
      <w:r w:rsidRPr="000977F7">
        <w:rPr>
          <w:rFonts w:asciiTheme="majorHAnsi" w:hAnsiTheme="majorHAnsi"/>
          <w:sz w:val="20"/>
          <w:szCs w:val="20"/>
        </w:rPr>
        <w:t>якістю;</w:t>
      </w:r>
    </w:p>
    <w:p w14:paraId="00ED584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47"/>
          <w:sz w:val="20"/>
          <w:szCs w:val="20"/>
        </w:rPr>
        <w:t xml:space="preserve"> </w:t>
      </w:r>
      <w:r w:rsidRPr="000977F7">
        <w:rPr>
          <w:rFonts w:asciiTheme="majorHAnsi" w:hAnsiTheme="majorHAnsi"/>
          <w:sz w:val="20"/>
          <w:szCs w:val="20"/>
        </w:rPr>
        <w:t>с) наявність</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p>
    <w:p w14:paraId="2C5F98A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w:t>
      </w:r>
      <w:r w:rsidRPr="000977F7">
        <w:rPr>
          <w:rFonts w:asciiTheme="majorHAnsi" w:hAnsiTheme="majorHAnsi"/>
          <w:spacing w:val="8"/>
          <w:sz w:val="20"/>
          <w:szCs w:val="20"/>
        </w:rPr>
        <w:t xml:space="preserve"> </w:t>
      </w:r>
      <w:r w:rsidRPr="000977F7">
        <w:rPr>
          <w:rFonts w:asciiTheme="majorHAnsi" w:hAnsiTheme="majorHAnsi"/>
          <w:sz w:val="20"/>
          <w:szCs w:val="20"/>
        </w:rPr>
        <w:t>розподіл</w:t>
      </w:r>
      <w:r w:rsidRPr="000977F7">
        <w:rPr>
          <w:rFonts w:asciiTheme="majorHAnsi" w:hAnsiTheme="majorHAnsi"/>
          <w:spacing w:val="7"/>
          <w:sz w:val="20"/>
          <w:szCs w:val="20"/>
        </w:rPr>
        <w:t xml:space="preserve"> </w:t>
      </w:r>
      <w:r w:rsidRPr="000977F7">
        <w:rPr>
          <w:rFonts w:asciiTheme="majorHAnsi" w:hAnsiTheme="majorHAnsi"/>
          <w:sz w:val="20"/>
          <w:szCs w:val="20"/>
        </w:rPr>
        <w:t>або</w:t>
      </w:r>
      <w:r w:rsidRPr="000977F7">
        <w:rPr>
          <w:rFonts w:asciiTheme="majorHAnsi" w:hAnsiTheme="majorHAnsi"/>
          <w:spacing w:val="8"/>
          <w:sz w:val="20"/>
          <w:szCs w:val="20"/>
        </w:rPr>
        <w:t xml:space="preserve"> </w:t>
      </w:r>
      <w:r w:rsidRPr="000977F7">
        <w:rPr>
          <w:rFonts w:asciiTheme="majorHAnsi" w:hAnsiTheme="majorHAnsi"/>
          <w:sz w:val="20"/>
          <w:szCs w:val="20"/>
        </w:rPr>
        <w:t>перерозподіл</w:t>
      </w:r>
      <w:r w:rsidRPr="000977F7">
        <w:rPr>
          <w:rFonts w:asciiTheme="majorHAnsi" w:hAnsiTheme="majorHAnsi"/>
          <w:spacing w:val="7"/>
          <w:sz w:val="20"/>
          <w:szCs w:val="20"/>
        </w:rPr>
        <w:t xml:space="preserve"> </w:t>
      </w:r>
      <w:r w:rsidRPr="000977F7">
        <w:rPr>
          <w:rFonts w:asciiTheme="majorHAnsi" w:hAnsiTheme="majorHAnsi"/>
          <w:sz w:val="20"/>
          <w:szCs w:val="20"/>
        </w:rPr>
        <w:t>обов’язків</w:t>
      </w:r>
      <w:r w:rsidRPr="000977F7">
        <w:rPr>
          <w:rFonts w:asciiTheme="majorHAnsi" w:hAnsiTheme="majorHAnsi"/>
          <w:spacing w:val="7"/>
          <w:sz w:val="20"/>
          <w:szCs w:val="20"/>
        </w:rPr>
        <w:t xml:space="preserve"> </w:t>
      </w:r>
      <w:r w:rsidRPr="000977F7">
        <w:rPr>
          <w:rFonts w:asciiTheme="majorHAnsi" w:hAnsiTheme="majorHAnsi"/>
          <w:sz w:val="20"/>
          <w:szCs w:val="20"/>
        </w:rPr>
        <w:t>і</w:t>
      </w:r>
      <w:r w:rsidRPr="000977F7">
        <w:rPr>
          <w:rFonts w:asciiTheme="majorHAnsi" w:hAnsiTheme="majorHAnsi"/>
          <w:spacing w:val="8"/>
          <w:sz w:val="20"/>
          <w:szCs w:val="20"/>
        </w:rPr>
        <w:t xml:space="preserve"> </w:t>
      </w:r>
      <w:r w:rsidRPr="000977F7">
        <w:rPr>
          <w:rFonts w:asciiTheme="majorHAnsi" w:hAnsiTheme="majorHAnsi"/>
          <w:sz w:val="20"/>
          <w:szCs w:val="20"/>
        </w:rPr>
        <w:t>повноважень.</w:t>
      </w:r>
    </w:p>
    <w:p w14:paraId="6A70B6E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0125BF0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ПЛАНУВАННЯ</w:t>
      </w:r>
      <w:r w:rsidRPr="000977F7">
        <w:rPr>
          <w:color w:val="auto"/>
          <w:spacing w:val="-5"/>
          <w:sz w:val="20"/>
          <w:szCs w:val="20"/>
        </w:rPr>
        <w:t xml:space="preserve"> </w:t>
      </w:r>
      <w:r w:rsidRPr="000977F7">
        <w:rPr>
          <w:color w:val="auto"/>
          <w:sz w:val="20"/>
          <w:szCs w:val="20"/>
        </w:rPr>
        <w:t>ЗМІСТУ</w:t>
      </w:r>
      <w:r w:rsidRPr="000977F7">
        <w:rPr>
          <w:color w:val="auto"/>
          <w:spacing w:val="-5"/>
          <w:sz w:val="20"/>
          <w:szCs w:val="20"/>
        </w:rPr>
        <w:t xml:space="preserve"> </w:t>
      </w:r>
      <w:r w:rsidRPr="000977F7">
        <w:rPr>
          <w:color w:val="auto"/>
          <w:sz w:val="20"/>
          <w:szCs w:val="20"/>
        </w:rPr>
        <w:t>ПРОЕКТУ</w:t>
      </w:r>
      <w:r w:rsidRPr="000977F7">
        <w:rPr>
          <w:color w:val="auto"/>
          <w:spacing w:val="-2"/>
          <w:sz w:val="20"/>
          <w:szCs w:val="20"/>
        </w:rPr>
        <w:t xml:space="preserve"> </w:t>
      </w:r>
      <w:r w:rsidRPr="000977F7">
        <w:rPr>
          <w:color w:val="auto"/>
          <w:sz w:val="20"/>
          <w:szCs w:val="20"/>
        </w:rPr>
        <w:t>–</w:t>
      </w:r>
    </w:p>
    <w:p w14:paraId="201D6D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 розробки (письмово) документа про зміст як</w:t>
      </w:r>
      <w:r w:rsidRPr="000977F7">
        <w:rPr>
          <w:rFonts w:asciiTheme="majorHAnsi" w:hAnsiTheme="majorHAnsi"/>
          <w:spacing w:val="1"/>
          <w:sz w:val="20"/>
          <w:szCs w:val="20"/>
        </w:rPr>
        <w:t xml:space="preserve"> </w:t>
      </w:r>
      <w:r w:rsidRPr="000977F7">
        <w:rPr>
          <w:rFonts w:asciiTheme="majorHAnsi" w:hAnsiTheme="majorHAnsi"/>
          <w:sz w:val="20"/>
          <w:szCs w:val="20"/>
        </w:rPr>
        <w:t>основи майбутніх проектних рішень, включаючи, зокрема, критерії, що використовуються для 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того,</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завершився</w:t>
      </w:r>
      <w:r w:rsidRPr="000977F7">
        <w:rPr>
          <w:rFonts w:asciiTheme="majorHAnsi" w:hAnsiTheme="majorHAnsi"/>
          <w:spacing w:val="1"/>
          <w:sz w:val="20"/>
          <w:szCs w:val="20"/>
        </w:rPr>
        <w:t xml:space="preserve"> </w:t>
      </w:r>
      <w:r w:rsidRPr="000977F7">
        <w:rPr>
          <w:rFonts w:asciiTheme="majorHAnsi" w:hAnsiTheme="majorHAnsi"/>
          <w:sz w:val="20"/>
          <w:szCs w:val="20"/>
        </w:rPr>
        <w:t>проект або фаза</w:t>
      </w:r>
      <w:r w:rsidRPr="000977F7">
        <w:rPr>
          <w:rFonts w:asciiTheme="majorHAnsi" w:hAnsiTheme="majorHAnsi"/>
          <w:spacing w:val="-1"/>
          <w:sz w:val="20"/>
          <w:szCs w:val="20"/>
        </w:rPr>
        <w:t xml:space="preserve"> </w:t>
      </w:r>
      <w:r w:rsidRPr="000977F7">
        <w:rPr>
          <w:rFonts w:asciiTheme="majorHAnsi" w:hAnsiTheme="majorHAnsi"/>
          <w:sz w:val="20"/>
          <w:szCs w:val="20"/>
        </w:rPr>
        <w:t>успішно</w:t>
      </w:r>
    </w:p>
    <w:p w14:paraId="240EA11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
          <w:w w:val="99"/>
          <w:sz w:val="20"/>
          <w:szCs w:val="20"/>
        </w:rPr>
        <w:t>Ке</w:t>
      </w:r>
      <w:r w:rsidRPr="000977F7">
        <w:rPr>
          <w:rFonts w:asciiTheme="majorHAnsi" w:hAnsiTheme="majorHAnsi"/>
          <w:i/>
          <w:w w:val="99"/>
          <w:sz w:val="20"/>
          <w:szCs w:val="20"/>
        </w:rPr>
        <w:t>р.</w:t>
      </w:r>
      <w:r w:rsidRPr="000977F7">
        <w:rPr>
          <w:rFonts w:asciiTheme="majorHAnsi" w:hAnsiTheme="majorHAnsi"/>
          <w:i/>
          <w:sz w:val="20"/>
          <w:szCs w:val="20"/>
        </w:rPr>
        <w:t xml:space="preserve"> </w:t>
      </w:r>
      <w:r w:rsidRPr="000977F7">
        <w:rPr>
          <w:rFonts w:asciiTheme="majorHAnsi" w:hAnsiTheme="majorHAnsi"/>
          <w:i/>
          <w:spacing w:val="1"/>
          <w:w w:val="99"/>
          <w:sz w:val="20"/>
          <w:szCs w:val="20"/>
        </w:rPr>
        <w:t>про</w:t>
      </w:r>
      <w:r w:rsidRPr="000977F7">
        <w:rPr>
          <w:rFonts w:asciiTheme="majorHAnsi" w:hAnsiTheme="majorHAnsi"/>
          <w:i/>
          <w:w w:val="99"/>
          <w:sz w:val="20"/>
          <w:szCs w:val="20"/>
        </w:rPr>
        <w:t>ек</w:t>
      </w:r>
      <w:r w:rsidRPr="000977F7">
        <w:rPr>
          <w:rFonts w:asciiTheme="majorHAnsi" w:hAnsiTheme="majorHAnsi"/>
          <w:i/>
          <w:spacing w:val="-1"/>
          <w:w w:val="99"/>
          <w:sz w:val="20"/>
          <w:szCs w:val="20"/>
        </w:rPr>
        <w:t>тн</w:t>
      </w:r>
      <w:r w:rsidRPr="000977F7">
        <w:rPr>
          <w:rFonts w:asciiTheme="majorHAnsi" w:hAnsiTheme="majorHAnsi"/>
          <w:i/>
          <w:w w:val="99"/>
          <w:sz w:val="20"/>
          <w:szCs w:val="20"/>
        </w:rPr>
        <w:t>.</w:t>
      </w:r>
      <w:r w:rsidRPr="000977F7">
        <w:rPr>
          <w:rFonts w:asciiTheme="majorHAnsi" w:hAnsiTheme="majorHAnsi"/>
          <w:i/>
          <w:sz w:val="20"/>
          <w:szCs w:val="20"/>
        </w:rPr>
        <w:t xml:space="preserve"> </w:t>
      </w:r>
      <w:r w:rsidRPr="000977F7">
        <w:rPr>
          <w:rFonts w:asciiTheme="majorHAnsi" w:hAnsiTheme="majorHAnsi"/>
          <w:i/>
          <w:spacing w:val="-1"/>
          <w:w w:val="99"/>
          <w:sz w:val="20"/>
          <w:szCs w:val="20"/>
        </w:rPr>
        <w:t>менеджм</w:t>
      </w:r>
      <w:r w:rsidRPr="000977F7">
        <w:rPr>
          <w:rFonts w:asciiTheme="majorHAnsi" w:hAnsiTheme="majorHAnsi"/>
          <w:i/>
          <w:spacing w:val="3"/>
          <w:w w:val="99"/>
          <w:sz w:val="20"/>
          <w:szCs w:val="20"/>
        </w:rPr>
        <w:t>.</w:t>
      </w:r>
    </w:p>
    <w:p w14:paraId="6046069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ПЛАНУВАННЯ</w:t>
      </w:r>
      <w:r w:rsidRPr="000977F7">
        <w:rPr>
          <w:color w:val="auto"/>
          <w:spacing w:val="-7"/>
          <w:sz w:val="20"/>
          <w:szCs w:val="20"/>
        </w:rPr>
        <w:t xml:space="preserve"> </w:t>
      </w:r>
      <w:r w:rsidRPr="000977F7">
        <w:rPr>
          <w:color w:val="auto"/>
          <w:sz w:val="20"/>
          <w:szCs w:val="20"/>
        </w:rPr>
        <w:t>ЕКСПЕРИМЕНТУ–</w:t>
      </w:r>
    </w:p>
    <w:p w14:paraId="7976D4C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Вибір</w:t>
      </w:r>
      <w:r w:rsidRPr="000977F7">
        <w:rPr>
          <w:rFonts w:asciiTheme="majorHAnsi" w:hAnsiTheme="majorHAnsi"/>
          <w:spacing w:val="1"/>
          <w:sz w:val="20"/>
          <w:szCs w:val="20"/>
        </w:rPr>
        <w:t xml:space="preserve"> </w:t>
      </w:r>
      <w:r w:rsidRPr="000977F7">
        <w:rPr>
          <w:rFonts w:asciiTheme="majorHAnsi" w:hAnsiTheme="majorHAnsi"/>
          <w:sz w:val="20"/>
          <w:szCs w:val="20"/>
        </w:rPr>
        <w:t>плану</w:t>
      </w:r>
      <w:r w:rsidRPr="000977F7">
        <w:rPr>
          <w:rFonts w:asciiTheme="majorHAnsi" w:hAnsiTheme="majorHAnsi"/>
          <w:spacing w:val="1"/>
          <w:sz w:val="20"/>
          <w:szCs w:val="20"/>
        </w:rPr>
        <w:t xml:space="preserve"> </w:t>
      </w:r>
      <w:r w:rsidRPr="000977F7">
        <w:rPr>
          <w:rFonts w:asciiTheme="majorHAnsi" w:hAnsiTheme="majorHAnsi"/>
          <w:sz w:val="20"/>
          <w:szCs w:val="20"/>
        </w:rPr>
        <w:t>експерименту,</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задовольняє</w:t>
      </w:r>
      <w:r w:rsidRPr="000977F7">
        <w:rPr>
          <w:rFonts w:asciiTheme="majorHAnsi" w:hAnsiTheme="majorHAnsi"/>
          <w:spacing w:val="1"/>
          <w:sz w:val="20"/>
          <w:szCs w:val="20"/>
        </w:rPr>
        <w:t xml:space="preserve"> </w:t>
      </w:r>
      <w:r w:rsidRPr="000977F7">
        <w:rPr>
          <w:rFonts w:asciiTheme="majorHAnsi" w:hAnsiTheme="majorHAnsi"/>
          <w:sz w:val="20"/>
          <w:szCs w:val="20"/>
        </w:rPr>
        <w:t>задані</w:t>
      </w:r>
      <w:r w:rsidRPr="000977F7">
        <w:rPr>
          <w:rFonts w:asciiTheme="majorHAnsi" w:hAnsiTheme="majorHAnsi"/>
          <w:spacing w:val="-47"/>
          <w:sz w:val="20"/>
          <w:szCs w:val="20"/>
        </w:rPr>
        <w:t xml:space="preserve"> </w:t>
      </w:r>
      <w:r w:rsidRPr="000977F7">
        <w:rPr>
          <w:rFonts w:asciiTheme="majorHAnsi" w:hAnsiTheme="majorHAnsi"/>
          <w:sz w:val="20"/>
          <w:szCs w:val="20"/>
        </w:rPr>
        <w:t>вимоги</w:t>
      </w:r>
    </w:p>
    <w:p w14:paraId="5ECD042C"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ПЛАНУВАННЯ</w:t>
      </w:r>
      <w:r w:rsidRPr="000977F7">
        <w:rPr>
          <w:color w:val="auto"/>
          <w:spacing w:val="6"/>
          <w:sz w:val="20"/>
          <w:szCs w:val="20"/>
        </w:rPr>
        <w:t xml:space="preserve"> </w:t>
      </w:r>
      <w:r w:rsidRPr="000977F7">
        <w:rPr>
          <w:color w:val="auto"/>
          <w:sz w:val="20"/>
          <w:szCs w:val="20"/>
        </w:rPr>
        <w:t>ПРОЕКТУВАННЯ</w:t>
      </w:r>
      <w:r w:rsidRPr="000977F7">
        <w:rPr>
          <w:color w:val="auto"/>
          <w:spacing w:val="6"/>
          <w:sz w:val="20"/>
          <w:szCs w:val="20"/>
        </w:rPr>
        <w:t xml:space="preserve"> </w:t>
      </w:r>
      <w:r w:rsidRPr="000977F7">
        <w:rPr>
          <w:color w:val="auto"/>
          <w:sz w:val="20"/>
          <w:szCs w:val="20"/>
        </w:rPr>
        <w:t>ТА</w:t>
      </w:r>
      <w:r w:rsidRPr="000977F7">
        <w:rPr>
          <w:color w:val="auto"/>
          <w:spacing w:val="6"/>
          <w:sz w:val="20"/>
          <w:szCs w:val="20"/>
        </w:rPr>
        <w:t xml:space="preserve"> </w:t>
      </w:r>
      <w:r w:rsidRPr="000977F7">
        <w:rPr>
          <w:color w:val="auto"/>
          <w:sz w:val="20"/>
          <w:szCs w:val="20"/>
        </w:rPr>
        <w:t>РОЗРОБЛЕННЯ</w:t>
      </w:r>
      <w:r w:rsidRPr="000977F7">
        <w:rPr>
          <w:color w:val="auto"/>
          <w:spacing w:val="-1"/>
          <w:sz w:val="20"/>
          <w:szCs w:val="20"/>
        </w:rPr>
        <w:t xml:space="preserve"> </w:t>
      </w:r>
      <w:r w:rsidRPr="000977F7">
        <w:rPr>
          <w:b w:val="0"/>
          <w:color w:val="auto"/>
          <w:sz w:val="20"/>
          <w:szCs w:val="20"/>
        </w:rPr>
        <w:t>–</w:t>
      </w:r>
    </w:p>
    <w:p w14:paraId="7A25E2D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Визначаючи стадії та заходи контролю проектування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розроблення,</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організація повинна</w:t>
      </w:r>
      <w:r w:rsidRPr="000977F7">
        <w:rPr>
          <w:rFonts w:asciiTheme="majorHAnsi" w:hAnsiTheme="majorHAnsi"/>
          <w:spacing w:val="-1"/>
          <w:sz w:val="20"/>
          <w:szCs w:val="20"/>
        </w:rPr>
        <w:t xml:space="preserve"> </w:t>
      </w:r>
      <w:r w:rsidRPr="000977F7">
        <w:rPr>
          <w:rFonts w:asciiTheme="majorHAnsi" w:hAnsiTheme="majorHAnsi"/>
          <w:sz w:val="20"/>
          <w:szCs w:val="20"/>
        </w:rPr>
        <w:t>розглянути</w:t>
      </w:r>
    </w:p>
    <w:p w14:paraId="1A7BA680" w14:textId="77777777" w:rsidR="0097612F" w:rsidRPr="000977F7" w:rsidRDefault="0097612F" w:rsidP="00FD39A4">
      <w:pPr>
        <w:pStyle w:val="ac"/>
        <w:widowControl w:val="0"/>
        <w:numPr>
          <w:ilvl w:val="0"/>
          <w:numId w:val="121"/>
        </w:numPr>
        <w:tabs>
          <w:tab w:val="left" w:pos="284"/>
          <w:tab w:val="left" w:pos="55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характер, тривалість і складність робіт з проектування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w:t>
      </w:r>
    </w:p>
    <w:p w14:paraId="14AF3B11" w14:textId="77777777" w:rsidR="0097612F" w:rsidRPr="000977F7" w:rsidRDefault="0097612F" w:rsidP="00FD39A4">
      <w:pPr>
        <w:pStyle w:val="ac"/>
        <w:widowControl w:val="0"/>
        <w:numPr>
          <w:ilvl w:val="0"/>
          <w:numId w:val="121"/>
        </w:numPr>
        <w:tabs>
          <w:tab w:val="left" w:pos="284"/>
          <w:tab w:val="left" w:pos="61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потрібні</w:t>
      </w:r>
      <w:r w:rsidRPr="000977F7">
        <w:rPr>
          <w:rFonts w:asciiTheme="majorHAnsi" w:hAnsiTheme="majorHAnsi"/>
          <w:spacing w:val="1"/>
          <w:sz w:val="20"/>
          <w:szCs w:val="20"/>
        </w:rPr>
        <w:t xml:space="preserve"> </w:t>
      </w:r>
      <w:r w:rsidRPr="000977F7">
        <w:rPr>
          <w:rFonts w:asciiTheme="majorHAnsi" w:hAnsiTheme="majorHAnsi"/>
          <w:sz w:val="20"/>
          <w:szCs w:val="20"/>
        </w:rPr>
        <w:t>стадії</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охоплюючи</w:t>
      </w:r>
      <w:r w:rsidRPr="000977F7">
        <w:rPr>
          <w:rFonts w:asciiTheme="majorHAnsi" w:hAnsiTheme="majorHAnsi"/>
          <w:spacing w:val="1"/>
          <w:sz w:val="20"/>
          <w:szCs w:val="20"/>
        </w:rPr>
        <w:t xml:space="preserve"> </w:t>
      </w:r>
      <w:r w:rsidRPr="000977F7">
        <w:rPr>
          <w:rFonts w:asciiTheme="majorHAnsi" w:hAnsiTheme="majorHAnsi"/>
          <w:sz w:val="20"/>
          <w:szCs w:val="20"/>
        </w:rPr>
        <w:t>застосовне</w:t>
      </w:r>
      <w:r w:rsidRPr="000977F7">
        <w:rPr>
          <w:rFonts w:asciiTheme="majorHAnsi" w:hAnsiTheme="majorHAnsi"/>
          <w:spacing w:val="1"/>
          <w:sz w:val="20"/>
          <w:szCs w:val="20"/>
        </w:rPr>
        <w:t xml:space="preserve"> </w:t>
      </w:r>
      <w:r w:rsidRPr="000977F7">
        <w:rPr>
          <w:rFonts w:asciiTheme="majorHAnsi" w:hAnsiTheme="majorHAnsi"/>
          <w:sz w:val="20"/>
          <w:szCs w:val="20"/>
        </w:rPr>
        <w:t>аналізування</w:t>
      </w:r>
      <w:r w:rsidRPr="000977F7">
        <w:rPr>
          <w:rFonts w:asciiTheme="majorHAnsi" w:hAnsiTheme="majorHAnsi"/>
          <w:spacing w:val="-2"/>
          <w:sz w:val="20"/>
          <w:szCs w:val="20"/>
        </w:rPr>
        <w:t xml:space="preserve"> </w:t>
      </w:r>
      <w:r w:rsidRPr="000977F7">
        <w:rPr>
          <w:rFonts w:asciiTheme="majorHAnsi" w:hAnsiTheme="majorHAnsi"/>
          <w:sz w:val="20"/>
          <w:szCs w:val="20"/>
        </w:rPr>
        <w:t>проектування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w:t>
      </w:r>
    </w:p>
    <w:p w14:paraId="2179C85B" w14:textId="77777777" w:rsidR="0097612F" w:rsidRPr="000977F7" w:rsidRDefault="0097612F" w:rsidP="00FD39A4">
      <w:pPr>
        <w:pStyle w:val="ac"/>
        <w:widowControl w:val="0"/>
        <w:numPr>
          <w:ilvl w:val="0"/>
          <w:numId w:val="121"/>
        </w:numPr>
        <w:tabs>
          <w:tab w:val="left" w:pos="284"/>
          <w:tab w:val="left" w:pos="58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необхідні</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перевіряння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затвердження</w:t>
      </w:r>
      <w:r w:rsidRPr="000977F7">
        <w:rPr>
          <w:rFonts w:asciiTheme="majorHAnsi" w:hAnsiTheme="majorHAnsi"/>
          <w:spacing w:val="-47"/>
          <w:sz w:val="20"/>
          <w:szCs w:val="20"/>
        </w:rPr>
        <w:t xml:space="preserve"> </w:t>
      </w:r>
      <w:r w:rsidRPr="000977F7">
        <w:rPr>
          <w:rFonts w:asciiTheme="majorHAnsi" w:hAnsiTheme="majorHAnsi"/>
          <w:sz w:val="20"/>
          <w:szCs w:val="20"/>
        </w:rPr>
        <w:t>проекту</w:t>
      </w:r>
      <w:r w:rsidRPr="000977F7">
        <w:rPr>
          <w:rFonts w:asciiTheme="majorHAnsi" w:hAnsiTheme="majorHAnsi"/>
          <w:spacing w:val="-2"/>
          <w:sz w:val="20"/>
          <w:szCs w:val="20"/>
        </w:rPr>
        <w:t xml:space="preserve"> </w:t>
      </w:r>
      <w:r w:rsidRPr="000977F7">
        <w:rPr>
          <w:rFonts w:asciiTheme="majorHAnsi" w:hAnsiTheme="majorHAnsi"/>
          <w:sz w:val="20"/>
          <w:szCs w:val="20"/>
        </w:rPr>
        <w:t>та розробки;</w:t>
      </w:r>
    </w:p>
    <w:p w14:paraId="580801FB" w14:textId="77777777" w:rsidR="0097612F" w:rsidRPr="000977F7" w:rsidRDefault="0097612F" w:rsidP="00FD39A4">
      <w:pPr>
        <w:pStyle w:val="ac"/>
        <w:widowControl w:val="0"/>
        <w:numPr>
          <w:ilvl w:val="0"/>
          <w:numId w:val="121"/>
        </w:numPr>
        <w:tabs>
          <w:tab w:val="left" w:pos="284"/>
          <w:tab w:val="left" w:pos="62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обов’язки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повноваження,</w:t>
      </w:r>
      <w:r w:rsidRPr="000977F7">
        <w:rPr>
          <w:rFonts w:asciiTheme="majorHAnsi" w:hAnsiTheme="majorHAnsi"/>
          <w:spacing w:val="1"/>
          <w:sz w:val="20"/>
          <w:szCs w:val="20"/>
        </w:rPr>
        <w:t xml:space="preserve"> </w:t>
      </w:r>
      <w:r w:rsidRPr="000977F7">
        <w:rPr>
          <w:rFonts w:asciiTheme="majorHAnsi" w:hAnsiTheme="majorHAnsi"/>
          <w:sz w:val="20"/>
          <w:szCs w:val="20"/>
        </w:rPr>
        <w:t>передбачувані</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2"/>
          <w:sz w:val="20"/>
          <w:szCs w:val="20"/>
        </w:rPr>
        <w:t xml:space="preserve"> </w:t>
      </w:r>
      <w:r w:rsidRPr="000977F7">
        <w:rPr>
          <w:rFonts w:asciiTheme="majorHAnsi" w:hAnsiTheme="majorHAnsi"/>
          <w:sz w:val="20"/>
          <w:szCs w:val="20"/>
        </w:rPr>
        <w:t>проектування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w:t>
      </w:r>
    </w:p>
    <w:p w14:paraId="4640D97E" w14:textId="77777777" w:rsidR="0097612F" w:rsidRPr="000977F7" w:rsidRDefault="0097612F" w:rsidP="00FD39A4">
      <w:pPr>
        <w:pStyle w:val="ac"/>
        <w:widowControl w:val="0"/>
        <w:numPr>
          <w:ilvl w:val="0"/>
          <w:numId w:val="121"/>
        </w:numPr>
        <w:tabs>
          <w:tab w:val="left" w:pos="284"/>
          <w:tab w:val="left" w:pos="52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потреби у внутрішніх і зовнішніх ресурсах для проектування та</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послуг;</w:t>
      </w:r>
    </w:p>
    <w:p w14:paraId="40E49269" w14:textId="77777777" w:rsidR="0097612F" w:rsidRPr="000977F7" w:rsidRDefault="0097612F" w:rsidP="00FD39A4">
      <w:pPr>
        <w:pStyle w:val="ac"/>
        <w:widowControl w:val="0"/>
        <w:numPr>
          <w:ilvl w:val="0"/>
          <w:numId w:val="121"/>
        </w:numPr>
        <w:tabs>
          <w:tab w:val="left" w:pos="284"/>
          <w:tab w:val="left" w:pos="51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необхідність контролювати взаємодії між особами,</w:t>
      </w:r>
      <w:r w:rsidRPr="000977F7">
        <w:rPr>
          <w:rFonts w:asciiTheme="majorHAnsi" w:hAnsiTheme="majorHAnsi"/>
          <w:spacing w:val="1"/>
          <w:sz w:val="20"/>
          <w:szCs w:val="20"/>
        </w:rPr>
        <w:t xml:space="preserve"> </w:t>
      </w:r>
      <w:r w:rsidRPr="000977F7">
        <w:rPr>
          <w:rFonts w:asciiTheme="majorHAnsi" w:hAnsiTheme="majorHAnsi"/>
          <w:sz w:val="20"/>
          <w:szCs w:val="20"/>
        </w:rPr>
        <w:t>залученими</w:t>
      </w:r>
      <w:r w:rsidRPr="000977F7">
        <w:rPr>
          <w:rFonts w:asciiTheme="majorHAnsi" w:hAnsiTheme="majorHAnsi"/>
          <w:spacing w:val="-5"/>
          <w:sz w:val="20"/>
          <w:szCs w:val="20"/>
        </w:rPr>
        <w:t xml:space="preserve"> </w:t>
      </w:r>
      <w:r w:rsidRPr="000977F7">
        <w:rPr>
          <w:rFonts w:asciiTheme="majorHAnsi" w:hAnsiTheme="majorHAnsi"/>
          <w:sz w:val="20"/>
          <w:szCs w:val="20"/>
        </w:rPr>
        <w:t>до</w:t>
      </w:r>
      <w:r w:rsidRPr="000977F7">
        <w:rPr>
          <w:rFonts w:asciiTheme="majorHAnsi" w:hAnsiTheme="majorHAnsi"/>
          <w:spacing w:val="-3"/>
          <w:sz w:val="20"/>
          <w:szCs w:val="20"/>
        </w:rPr>
        <w:t xml:space="preserve"> </w:t>
      </w:r>
      <w:r w:rsidRPr="000977F7">
        <w:rPr>
          <w:rFonts w:asciiTheme="majorHAnsi" w:hAnsiTheme="majorHAnsi"/>
          <w:sz w:val="20"/>
          <w:szCs w:val="20"/>
        </w:rPr>
        <w:t>процесу</w:t>
      </w:r>
      <w:r w:rsidRPr="000977F7">
        <w:rPr>
          <w:rFonts w:asciiTheme="majorHAnsi" w:hAnsiTheme="majorHAnsi"/>
          <w:spacing w:val="-4"/>
          <w:sz w:val="20"/>
          <w:szCs w:val="20"/>
        </w:rPr>
        <w:t xml:space="preserve"> </w:t>
      </w:r>
      <w:r w:rsidRPr="000977F7">
        <w:rPr>
          <w:rFonts w:asciiTheme="majorHAnsi" w:hAnsiTheme="majorHAnsi"/>
          <w:sz w:val="20"/>
          <w:szCs w:val="20"/>
        </w:rPr>
        <w:t>проектування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розроблення;</w:t>
      </w:r>
    </w:p>
    <w:p w14:paraId="1BD1A59B" w14:textId="77777777" w:rsidR="0097612F" w:rsidRPr="000977F7" w:rsidRDefault="0097612F" w:rsidP="00FD39A4">
      <w:pPr>
        <w:pStyle w:val="ac"/>
        <w:widowControl w:val="0"/>
        <w:numPr>
          <w:ilvl w:val="0"/>
          <w:numId w:val="121"/>
        </w:numPr>
        <w:tabs>
          <w:tab w:val="left" w:pos="284"/>
          <w:tab w:val="left" w:pos="53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потреба залучати замовників і користувачів до процесу</w:t>
      </w:r>
      <w:r w:rsidRPr="000977F7">
        <w:rPr>
          <w:rFonts w:asciiTheme="majorHAnsi" w:hAnsiTheme="majorHAnsi"/>
          <w:spacing w:val="-2"/>
          <w:sz w:val="20"/>
          <w:szCs w:val="20"/>
        </w:rPr>
        <w:t xml:space="preserve"> </w:t>
      </w:r>
      <w:r w:rsidRPr="000977F7">
        <w:rPr>
          <w:rFonts w:asciiTheme="majorHAnsi" w:hAnsiTheme="majorHAnsi"/>
          <w:sz w:val="20"/>
          <w:szCs w:val="20"/>
        </w:rPr>
        <w:t>проектування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w:t>
      </w:r>
    </w:p>
    <w:p w14:paraId="54CAEE85" w14:textId="77777777" w:rsidR="0097612F" w:rsidRPr="000977F7" w:rsidRDefault="0097612F" w:rsidP="00FD39A4">
      <w:pPr>
        <w:pStyle w:val="ac"/>
        <w:widowControl w:val="0"/>
        <w:numPr>
          <w:ilvl w:val="0"/>
          <w:numId w:val="121"/>
        </w:numPr>
        <w:tabs>
          <w:tab w:val="left" w:pos="284"/>
          <w:tab w:val="left" w:pos="57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вимоги щодо подальшого виготовлення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надання</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p>
    <w:p w14:paraId="082D3B89" w14:textId="77777777" w:rsidR="0097612F" w:rsidRPr="000977F7" w:rsidRDefault="0097612F" w:rsidP="00FD39A4">
      <w:pPr>
        <w:pStyle w:val="ac"/>
        <w:widowControl w:val="0"/>
        <w:numPr>
          <w:ilvl w:val="0"/>
          <w:numId w:val="121"/>
        </w:numPr>
        <w:tabs>
          <w:tab w:val="left" w:pos="284"/>
          <w:tab w:val="left" w:pos="51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очікуваний рівень контролю процесу проектування</w:t>
      </w:r>
      <w:r w:rsidRPr="000977F7">
        <w:rPr>
          <w:rFonts w:asciiTheme="majorHAnsi" w:hAnsiTheme="majorHAnsi"/>
          <w:spacing w:val="1"/>
          <w:sz w:val="20"/>
          <w:szCs w:val="20"/>
        </w:rPr>
        <w:t xml:space="preserve"> </w:t>
      </w:r>
      <w:r w:rsidRPr="000977F7">
        <w:rPr>
          <w:rFonts w:asciiTheme="majorHAnsi" w:hAnsiTheme="majorHAnsi"/>
          <w:sz w:val="20"/>
          <w:szCs w:val="20"/>
        </w:rPr>
        <w:t>та розроблення з боку замовників та інших відповідних</w:t>
      </w:r>
      <w:r w:rsidRPr="000977F7">
        <w:rPr>
          <w:rFonts w:asciiTheme="majorHAnsi" w:hAnsiTheme="majorHAnsi"/>
          <w:spacing w:val="-2"/>
          <w:sz w:val="20"/>
          <w:szCs w:val="20"/>
        </w:rPr>
        <w:t xml:space="preserve"> </w:t>
      </w:r>
      <w:r w:rsidRPr="000977F7">
        <w:rPr>
          <w:rFonts w:asciiTheme="majorHAnsi" w:hAnsiTheme="majorHAnsi"/>
          <w:sz w:val="20"/>
          <w:szCs w:val="20"/>
        </w:rPr>
        <w:t>зацікавлених сторін;</w:t>
      </w:r>
    </w:p>
    <w:p w14:paraId="4A51BABB" w14:textId="77777777" w:rsidR="0097612F" w:rsidRPr="000977F7" w:rsidRDefault="0097612F" w:rsidP="00FD39A4">
      <w:pPr>
        <w:pStyle w:val="ac"/>
        <w:widowControl w:val="0"/>
        <w:numPr>
          <w:ilvl w:val="0"/>
          <w:numId w:val="121"/>
        </w:numPr>
        <w:tabs>
          <w:tab w:val="left" w:pos="284"/>
          <w:tab w:val="left" w:pos="51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задокументовану інформацію, потрібну для демонстрування задоволення вимог щодо проектування та</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w:t>
      </w:r>
    </w:p>
    <w:p w14:paraId="3C75681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9001 - 2015</w:t>
      </w:r>
    </w:p>
    <w:p w14:paraId="7F27BB4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ПЛАНУВАННЯ</w:t>
      </w:r>
      <w:r w:rsidRPr="000977F7">
        <w:rPr>
          <w:color w:val="auto"/>
          <w:spacing w:val="-5"/>
          <w:sz w:val="20"/>
          <w:szCs w:val="20"/>
        </w:rPr>
        <w:t xml:space="preserve"> </w:t>
      </w:r>
      <w:r w:rsidRPr="000977F7">
        <w:rPr>
          <w:color w:val="auto"/>
          <w:sz w:val="20"/>
          <w:szCs w:val="20"/>
        </w:rPr>
        <w:t>РЕКЛАМИ</w:t>
      </w:r>
      <w:r w:rsidRPr="000977F7">
        <w:rPr>
          <w:color w:val="auto"/>
          <w:spacing w:val="-1"/>
          <w:sz w:val="20"/>
          <w:szCs w:val="20"/>
        </w:rPr>
        <w:t xml:space="preserve"> </w:t>
      </w:r>
      <w:r w:rsidRPr="000977F7">
        <w:rPr>
          <w:color w:val="auto"/>
          <w:sz w:val="20"/>
          <w:szCs w:val="20"/>
        </w:rPr>
        <w:t>–</w:t>
      </w:r>
    </w:p>
    <w:p w14:paraId="3248B37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w:t>
      </w:r>
      <w:r w:rsidRPr="000977F7">
        <w:rPr>
          <w:rFonts w:asciiTheme="majorHAnsi" w:hAnsiTheme="majorHAnsi"/>
          <w:spacing w:val="-3"/>
          <w:sz w:val="20"/>
          <w:szCs w:val="20"/>
        </w:rPr>
        <w:t xml:space="preserve"> </w:t>
      </w:r>
      <w:r w:rsidRPr="000977F7">
        <w:rPr>
          <w:rFonts w:asciiTheme="majorHAnsi" w:hAnsiTheme="majorHAnsi"/>
          <w:sz w:val="20"/>
          <w:szCs w:val="20"/>
        </w:rPr>
        <w:t>розроблення</w:t>
      </w:r>
      <w:r w:rsidRPr="000977F7">
        <w:rPr>
          <w:rFonts w:asciiTheme="majorHAnsi" w:hAnsiTheme="majorHAnsi"/>
          <w:spacing w:val="-3"/>
          <w:sz w:val="20"/>
          <w:szCs w:val="20"/>
        </w:rPr>
        <w:t xml:space="preserve"> </w:t>
      </w:r>
      <w:r w:rsidRPr="000977F7">
        <w:rPr>
          <w:rFonts w:asciiTheme="majorHAnsi" w:hAnsiTheme="majorHAnsi"/>
          <w:sz w:val="20"/>
          <w:szCs w:val="20"/>
        </w:rPr>
        <w:t>стратегії</w:t>
      </w:r>
      <w:r w:rsidRPr="000977F7">
        <w:rPr>
          <w:rFonts w:asciiTheme="majorHAnsi" w:hAnsiTheme="majorHAnsi"/>
          <w:spacing w:val="-4"/>
          <w:sz w:val="20"/>
          <w:szCs w:val="20"/>
        </w:rPr>
        <w:t xml:space="preserve"> </w:t>
      </w:r>
      <w:r w:rsidRPr="000977F7">
        <w:rPr>
          <w:rFonts w:asciiTheme="majorHAnsi" w:hAnsiTheme="majorHAnsi"/>
          <w:sz w:val="20"/>
          <w:szCs w:val="20"/>
        </w:rPr>
        <w:t>рекламної</w:t>
      </w:r>
      <w:r w:rsidRPr="000977F7">
        <w:rPr>
          <w:rFonts w:asciiTheme="majorHAnsi" w:hAnsiTheme="majorHAnsi"/>
          <w:spacing w:val="45"/>
          <w:sz w:val="20"/>
          <w:szCs w:val="20"/>
        </w:rPr>
        <w:t xml:space="preserve"> </w:t>
      </w:r>
      <w:r w:rsidRPr="000977F7">
        <w:rPr>
          <w:rFonts w:asciiTheme="majorHAnsi" w:hAnsiTheme="majorHAnsi"/>
          <w:sz w:val="20"/>
          <w:szCs w:val="20"/>
        </w:rPr>
        <w:t>діяльності</w:t>
      </w:r>
    </w:p>
    <w:p w14:paraId="2A18BA5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3294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11B054C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ПЛАНУВАННЯ</w:t>
      </w:r>
      <w:r w:rsidRPr="000977F7">
        <w:rPr>
          <w:color w:val="auto"/>
          <w:spacing w:val="-5"/>
          <w:sz w:val="20"/>
          <w:szCs w:val="20"/>
        </w:rPr>
        <w:t xml:space="preserve"> </w:t>
      </w:r>
      <w:r w:rsidRPr="000977F7">
        <w:rPr>
          <w:color w:val="auto"/>
          <w:sz w:val="20"/>
          <w:szCs w:val="20"/>
        </w:rPr>
        <w:t>ЯКОСТІ –</w:t>
      </w:r>
    </w:p>
    <w:p w14:paraId="34AFFA6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QUALITY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PLANNING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5E2530A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Складова частина управління якістю, зосереджена на</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встановленні</w:t>
      </w:r>
      <w:r w:rsidRPr="000977F7">
        <w:rPr>
          <w:rFonts w:asciiTheme="majorHAnsi" w:hAnsiTheme="majorHAnsi"/>
          <w:spacing w:val="2"/>
          <w:sz w:val="20"/>
          <w:szCs w:val="20"/>
        </w:rPr>
        <w:t xml:space="preserve"> </w:t>
      </w:r>
      <w:r w:rsidRPr="000977F7">
        <w:rPr>
          <w:rFonts w:asciiTheme="majorHAnsi" w:hAnsiTheme="majorHAnsi"/>
          <w:sz w:val="20"/>
          <w:szCs w:val="20"/>
        </w:rPr>
        <w:t>цілей</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5"/>
          <w:sz w:val="20"/>
          <w:szCs w:val="20"/>
        </w:rPr>
        <w:t xml:space="preserve"> </w:t>
      </w:r>
      <w:r w:rsidRPr="000977F7">
        <w:rPr>
          <w:rFonts w:asciiTheme="majorHAnsi" w:hAnsiTheme="majorHAnsi"/>
          <w:sz w:val="20"/>
          <w:szCs w:val="20"/>
        </w:rPr>
        <w:t>сфері</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p>
    <w:p w14:paraId="53C8799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Та на визначенні операційних процесів і відповідних</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r w:rsidRPr="000977F7">
        <w:rPr>
          <w:rFonts w:asciiTheme="majorHAnsi" w:hAnsiTheme="majorHAnsi"/>
          <w:spacing w:val="1"/>
          <w:sz w:val="20"/>
          <w:szCs w:val="20"/>
        </w:rPr>
        <w:t xml:space="preserve"> </w:t>
      </w:r>
      <w:r w:rsidRPr="000977F7">
        <w:rPr>
          <w:rFonts w:asciiTheme="majorHAnsi" w:hAnsiTheme="majorHAnsi"/>
          <w:sz w:val="20"/>
          <w:szCs w:val="20"/>
        </w:rPr>
        <w:t>необхідних</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досягнення</w:t>
      </w:r>
      <w:r w:rsidRPr="000977F7">
        <w:rPr>
          <w:rFonts w:asciiTheme="majorHAnsi" w:hAnsiTheme="majorHAnsi"/>
          <w:spacing w:val="1"/>
          <w:sz w:val="20"/>
          <w:szCs w:val="20"/>
        </w:rPr>
        <w:t xml:space="preserve"> </w:t>
      </w:r>
      <w:r w:rsidRPr="000977F7">
        <w:rPr>
          <w:rFonts w:asciiTheme="majorHAnsi" w:hAnsiTheme="majorHAnsi"/>
          <w:sz w:val="20"/>
          <w:szCs w:val="20"/>
        </w:rPr>
        <w:t>цілей</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сфері</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p>
    <w:p w14:paraId="4CEC9607"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Примітка. Розроблення програм якості може бути</w:t>
      </w:r>
      <w:r w:rsidRPr="000977F7">
        <w:rPr>
          <w:rFonts w:asciiTheme="majorHAnsi" w:hAnsiTheme="majorHAnsi"/>
          <w:spacing w:val="-47"/>
          <w:sz w:val="20"/>
          <w:szCs w:val="20"/>
        </w:rPr>
        <w:t xml:space="preserve"> </w:t>
      </w:r>
      <w:r w:rsidRPr="000977F7">
        <w:rPr>
          <w:rFonts w:asciiTheme="majorHAnsi" w:hAnsiTheme="majorHAnsi"/>
          <w:sz w:val="20"/>
          <w:szCs w:val="20"/>
        </w:rPr>
        <w:t>складником</w:t>
      </w:r>
      <w:r w:rsidRPr="000977F7">
        <w:rPr>
          <w:rFonts w:asciiTheme="majorHAnsi" w:hAnsiTheme="majorHAnsi"/>
          <w:spacing w:val="-8"/>
          <w:sz w:val="20"/>
          <w:szCs w:val="20"/>
        </w:rPr>
        <w:t xml:space="preserve"> </w:t>
      </w:r>
      <w:r w:rsidRPr="000977F7">
        <w:rPr>
          <w:rFonts w:asciiTheme="majorHAnsi" w:hAnsiTheme="majorHAnsi"/>
          <w:sz w:val="20"/>
          <w:szCs w:val="20"/>
        </w:rPr>
        <w:t>планування</w:t>
      </w:r>
      <w:r w:rsidRPr="000977F7">
        <w:rPr>
          <w:rFonts w:asciiTheme="majorHAnsi" w:hAnsiTheme="majorHAnsi"/>
          <w:spacing w:val="-9"/>
          <w:sz w:val="20"/>
          <w:szCs w:val="20"/>
        </w:rPr>
        <w:t xml:space="preserve"> </w:t>
      </w:r>
      <w:r w:rsidRPr="000977F7">
        <w:rPr>
          <w:rFonts w:asciiTheme="majorHAnsi" w:hAnsiTheme="majorHAnsi"/>
          <w:sz w:val="20"/>
          <w:szCs w:val="20"/>
        </w:rPr>
        <w:t>якості</w:t>
      </w:r>
      <w:r w:rsidRPr="000977F7">
        <w:rPr>
          <w:rFonts w:asciiTheme="majorHAnsi" w:hAnsiTheme="majorHAnsi"/>
          <w:spacing w:val="-47"/>
          <w:sz w:val="20"/>
          <w:szCs w:val="20"/>
        </w:rPr>
        <w:t xml:space="preserve"> </w:t>
      </w:r>
    </w:p>
    <w:p w14:paraId="2B446907" w14:textId="77777777" w:rsidR="0097612F" w:rsidRPr="000977F7" w:rsidRDefault="0097612F" w:rsidP="000977F7">
      <w:pPr>
        <w:pStyle w:val="af6"/>
        <w:tabs>
          <w:tab w:val="left" w:pos="284"/>
        </w:tabs>
        <w:spacing w:after="0"/>
        <w:ind w:left="170"/>
        <w:mirrorIndents/>
        <w:jc w:val="both"/>
        <w:rPr>
          <w:rFonts w:asciiTheme="majorHAnsi" w:hAnsiTheme="majorHAnsi"/>
          <w:i/>
          <w:spacing w:val="1"/>
          <w:sz w:val="20"/>
          <w:szCs w:val="20"/>
        </w:rPr>
      </w:pPr>
      <w:r w:rsidRPr="000977F7">
        <w:rPr>
          <w:rFonts w:asciiTheme="majorHAnsi" w:hAnsiTheme="majorHAnsi"/>
          <w:i/>
          <w:sz w:val="20"/>
          <w:szCs w:val="20"/>
        </w:rPr>
        <w:t>ДСТУ ISO 9000 – 2015</w:t>
      </w:r>
      <w:r w:rsidRPr="000977F7">
        <w:rPr>
          <w:rFonts w:asciiTheme="majorHAnsi" w:hAnsiTheme="majorHAnsi"/>
          <w:i/>
          <w:spacing w:val="1"/>
          <w:sz w:val="20"/>
          <w:szCs w:val="20"/>
        </w:rPr>
        <w:t xml:space="preserve"> </w:t>
      </w:r>
    </w:p>
    <w:p w14:paraId="7A7E0D41"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lastRenderedPageBreak/>
        <w:t>ПЛАТІЖНІ</w:t>
      </w:r>
      <w:r w:rsidRPr="000977F7">
        <w:rPr>
          <w:rFonts w:asciiTheme="majorHAnsi" w:hAnsiTheme="majorHAnsi"/>
          <w:b/>
          <w:spacing w:val="-5"/>
          <w:sz w:val="20"/>
          <w:szCs w:val="20"/>
        </w:rPr>
        <w:t xml:space="preserve"> </w:t>
      </w:r>
      <w:r w:rsidRPr="000977F7">
        <w:rPr>
          <w:rFonts w:asciiTheme="majorHAnsi" w:hAnsiTheme="majorHAnsi"/>
          <w:b/>
          <w:sz w:val="20"/>
          <w:szCs w:val="20"/>
        </w:rPr>
        <w:t>УГОДИ</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50CF5D0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Міжнародні угоди, що запроваджують систему та порядок здійснення розрахунків за торговими та неторговими</w:t>
      </w:r>
      <w:r w:rsidRPr="000977F7">
        <w:rPr>
          <w:rFonts w:asciiTheme="majorHAnsi" w:hAnsiTheme="majorHAnsi"/>
          <w:spacing w:val="-2"/>
          <w:sz w:val="20"/>
          <w:szCs w:val="20"/>
        </w:rPr>
        <w:t xml:space="preserve"> </w:t>
      </w:r>
      <w:r w:rsidRPr="000977F7">
        <w:rPr>
          <w:rFonts w:asciiTheme="majorHAnsi" w:hAnsiTheme="majorHAnsi"/>
          <w:sz w:val="20"/>
          <w:szCs w:val="20"/>
        </w:rPr>
        <w:t>операціями</w:t>
      </w:r>
    </w:p>
    <w:p w14:paraId="3E312E2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3293 – 95</w:t>
      </w:r>
    </w:p>
    <w:p w14:paraId="7FC4B973"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i/>
          <w:spacing w:val="-47"/>
          <w:sz w:val="20"/>
          <w:szCs w:val="20"/>
        </w:rPr>
        <w:t xml:space="preserve"> </w:t>
      </w:r>
      <w:r w:rsidRPr="000977F7">
        <w:rPr>
          <w:rFonts w:asciiTheme="majorHAnsi" w:hAnsiTheme="majorHAnsi"/>
          <w:b/>
          <w:sz w:val="20"/>
          <w:szCs w:val="20"/>
        </w:rPr>
        <w:t>ПЛАСТИНА –</w:t>
      </w:r>
      <w:r w:rsidRPr="000977F7">
        <w:rPr>
          <w:rFonts w:asciiTheme="majorHAnsi" w:hAnsiTheme="majorHAnsi"/>
          <w:b/>
          <w:spacing w:val="-47"/>
          <w:sz w:val="20"/>
          <w:szCs w:val="20"/>
        </w:rPr>
        <w:t xml:space="preserve"> </w:t>
      </w:r>
    </w:p>
    <w:p w14:paraId="390B79D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PLATE –</w:t>
      </w:r>
    </w:p>
    <w:p w14:paraId="084D4FA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 обмежений двома площинами, відстань між</w:t>
      </w:r>
      <w:r w:rsidRPr="000977F7">
        <w:rPr>
          <w:rFonts w:asciiTheme="majorHAnsi" w:hAnsiTheme="majorHAnsi"/>
          <w:spacing w:val="1"/>
          <w:sz w:val="20"/>
          <w:szCs w:val="20"/>
        </w:rPr>
        <w:t xml:space="preserve"> </w:t>
      </w:r>
      <w:r w:rsidRPr="000977F7">
        <w:rPr>
          <w:rFonts w:asciiTheme="majorHAnsi" w:hAnsiTheme="majorHAnsi"/>
          <w:sz w:val="20"/>
          <w:szCs w:val="20"/>
        </w:rPr>
        <w:t>якими</w:t>
      </w:r>
      <w:r w:rsidRPr="000977F7">
        <w:rPr>
          <w:rFonts w:asciiTheme="majorHAnsi" w:hAnsiTheme="majorHAnsi"/>
          <w:spacing w:val="-2"/>
          <w:sz w:val="20"/>
          <w:szCs w:val="20"/>
        </w:rPr>
        <w:t xml:space="preserve"> </w:t>
      </w:r>
      <w:r w:rsidRPr="000977F7">
        <w:rPr>
          <w:rFonts w:asciiTheme="majorHAnsi" w:hAnsiTheme="majorHAnsi"/>
          <w:sz w:val="20"/>
          <w:szCs w:val="20"/>
        </w:rPr>
        <w:t>значно менша</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інших його розмірів</w:t>
      </w:r>
    </w:p>
    <w:p w14:paraId="18F63FE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9FEEA5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ПЛАСТИЧНА</w:t>
      </w:r>
      <w:r w:rsidRPr="000977F7">
        <w:rPr>
          <w:color w:val="auto"/>
          <w:spacing w:val="-4"/>
          <w:sz w:val="20"/>
          <w:szCs w:val="20"/>
        </w:rPr>
        <w:t xml:space="preserve"> </w:t>
      </w:r>
      <w:r w:rsidRPr="000977F7">
        <w:rPr>
          <w:color w:val="auto"/>
          <w:sz w:val="20"/>
          <w:szCs w:val="20"/>
        </w:rPr>
        <w:t>ДЕФОРМАЦІЯ</w:t>
      </w:r>
      <w:r w:rsidRPr="000977F7">
        <w:rPr>
          <w:color w:val="auto"/>
          <w:spacing w:val="-1"/>
          <w:sz w:val="20"/>
          <w:szCs w:val="20"/>
        </w:rPr>
        <w:t xml:space="preserve"> </w:t>
      </w:r>
      <w:r w:rsidRPr="000977F7">
        <w:rPr>
          <w:color w:val="auto"/>
          <w:sz w:val="20"/>
          <w:szCs w:val="20"/>
        </w:rPr>
        <w:t>–</w:t>
      </w:r>
    </w:p>
    <w:p w14:paraId="03701E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PLASTIC</w:t>
      </w:r>
      <w:r w:rsidRPr="000977F7">
        <w:rPr>
          <w:rFonts w:asciiTheme="majorHAnsi" w:hAnsiTheme="majorHAnsi"/>
          <w:spacing w:val="-4"/>
          <w:sz w:val="20"/>
          <w:szCs w:val="20"/>
        </w:rPr>
        <w:t xml:space="preserve"> </w:t>
      </w:r>
      <w:r w:rsidRPr="000977F7">
        <w:rPr>
          <w:rFonts w:asciiTheme="majorHAnsi" w:hAnsiTheme="majorHAnsi"/>
          <w:sz w:val="20"/>
          <w:szCs w:val="20"/>
        </w:rPr>
        <w:t>STRAIN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F498FB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Складова залишкової деформації, що не викликає зміни</w:t>
      </w:r>
      <w:r w:rsidRPr="000977F7">
        <w:rPr>
          <w:rFonts w:asciiTheme="majorHAnsi" w:hAnsiTheme="majorHAnsi"/>
          <w:spacing w:val="-2"/>
          <w:sz w:val="20"/>
          <w:szCs w:val="20"/>
        </w:rPr>
        <w:t xml:space="preserve"> </w:t>
      </w:r>
      <w:r w:rsidRPr="000977F7">
        <w:rPr>
          <w:rFonts w:asciiTheme="majorHAnsi" w:hAnsiTheme="majorHAnsi"/>
          <w:sz w:val="20"/>
          <w:szCs w:val="20"/>
        </w:rPr>
        <w:t>об’єму</w:t>
      </w:r>
    </w:p>
    <w:p w14:paraId="441AD5E4"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 94</w:t>
      </w:r>
    </w:p>
    <w:p w14:paraId="548C5C13"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pacing w:val="-1"/>
          <w:sz w:val="20"/>
          <w:szCs w:val="20"/>
        </w:rPr>
        <w:t xml:space="preserve">ПЛАСТИЧНІСТЬ </w:t>
      </w:r>
      <w:r w:rsidRPr="000977F7">
        <w:rPr>
          <w:rFonts w:asciiTheme="majorHAnsi" w:hAnsiTheme="majorHAnsi"/>
          <w:b/>
          <w:sz w:val="20"/>
          <w:szCs w:val="20"/>
        </w:rPr>
        <w:t>–</w:t>
      </w:r>
    </w:p>
    <w:p w14:paraId="27B5335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PLASTICITY</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6D7FAD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Здатність</w:t>
      </w:r>
      <w:r w:rsidRPr="000977F7">
        <w:rPr>
          <w:rFonts w:asciiTheme="majorHAnsi" w:hAnsiTheme="majorHAnsi"/>
          <w:spacing w:val="-3"/>
          <w:sz w:val="20"/>
          <w:szCs w:val="20"/>
        </w:rPr>
        <w:t xml:space="preserve"> </w:t>
      </w:r>
      <w:r w:rsidRPr="000977F7">
        <w:rPr>
          <w:rFonts w:asciiTheme="majorHAnsi" w:hAnsiTheme="majorHAnsi"/>
          <w:sz w:val="20"/>
          <w:szCs w:val="20"/>
        </w:rPr>
        <w:t>матеріалу</w:t>
      </w:r>
      <w:r w:rsidRPr="000977F7">
        <w:rPr>
          <w:rFonts w:asciiTheme="majorHAnsi" w:hAnsiTheme="majorHAnsi"/>
          <w:spacing w:val="-3"/>
          <w:sz w:val="20"/>
          <w:szCs w:val="20"/>
        </w:rPr>
        <w:t xml:space="preserve"> </w:t>
      </w:r>
      <w:r w:rsidRPr="000977F7">
        <w:rPr>
          <w:rFonts w:asciiTheme="majorHAnsi" w:hAnsiTheme="majorHAnsi"/>
          <w:sz w:val="20"/>
          <w:szCs w:val="20"/>
        </w:rPr>
        <w:t>проявляти</w:t>
      </w:r>
      <w:r w:rsidRPr="000977F7">
        <w:rPr>
          <w:rFonts w:asciiTheme="majorHAnsi" w:hAnsiTheme="majorHAnsi"/>
          <w:spacing w:val="-3"/>
          <w:sz w:val="20"/>
          <w:szCs w:val="20"/>
        </w:rPr>
        <w:t xml:space="preserve"> </w:t>
      </w:r>
      <w:r w:rsidRPr="000977F7">
        <w:rPr>
          <w:rFonts w:asciiTheme="majorHAnsi" w:hAnsiTheme="majorHAnsi"/>
          <w:sz w:val="20"/>
          <w:szCs w:val="20"/>
        </w:rPr>
        <w:t>пластичну</w:t>
      </w:r>
      <w:r w:rsidRPr="000977F7">
        <w:rPr>
          <w:rFonts w:asciiTheme="majorHAnsi" w:hAnsiTheme="majorHAnsi"/>
          <w:spacing w:val="-2"/>
          <w:sz w:val="20"/>
          <w:szCs w:val="20"/>
        </w:rPr>
        <w:t xml:space="preserve"> </w:t>
      </w:r>
      <w:r w:rsidRPr="000977F7">
        <w:rPr>
          <w:rFonts w:asciiTheme="majorHAnsi" w:hAnsiTheme="majorHAnsi"/>
          <w:sz w:val="20"/>
          <w:szCs w:val="20"/>
        </w:rPr>
        <w:t>деформацію</w:t>
      </w:r>
    </w:p>
    <w:p w14:paraId="5621B5F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64F6D1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ПЛОСКА</w:t>
      </w:r>
      <w:r w:rsidRPr="000977F7">
        <w:rPr>
          <w:color w:val="auto"/>
          <w:spacing w:val="-5"/>
          <w:sz w:val="20"/>
          <w:szCs w:val="20"/>
        </w:rPr>
        <w:t xml:space="preserve"> </w:t>
      </w:r>
      <w:r w:rsidRPr="000977F7">
        <w:rPr>
          <w:color w:val="auto"/>
          <w:sz w:val="20"/>
          <w:szCs w:val="20"/>
        </w:rPr>
        <w:t>ДЕФОРМАЦІЯ</w:t>
      </w:r>
      <w:r w:rsidRPr="000977F7">
        <w:rPr>
          <w:color w:val="auto"/>
          <w:spacing w:val="-1"/>
          <w:sz w:val="20"/>
          <w:szCs w:val="20"/>
        </w:rPr>
        <w:t xml:space="preserve"> </w:t>
      </w:r>
      <w:r w:rsidRPr="000977F7">
        <w:rPr>
          <w:color w:val="auto"/>
          <w:sz w:val="20"/>
          <w:szCs w:val="20"/>
        </w:rPr>
        <w:t>–</w:t>
      </w:r>
    </w:p>
    <w:p w14:paraId="1018344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PLAINE</w:t>
      </w:r>
      <w:r w:rsidRPr="000977F7">
        <w:rPr>
          <w:rFonts w:asciiTheme="majorHAnsi" w:hAnsiTheme="majorHAnsi"/>
          <w:spacing w:val="-4"/>
          <w:sz w:val="20"/>
          <w:szCs w:val="20"/>
        </w:rPr>
        <w:t xml:space="preserve"> </w:t>
      </w:r>
      <w:r w:rsidRPr="000977F7">
        <w:rPr>
          <w:rFonts w:asciiTheme="majorHAnsi" w:hAnsiTheme="majorHAnsi"/>
          <w:sz w:val="20"/>
          <w:szCs w:val="20"/>
        </w:rPr>
        <w:t>STRAIN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B9AD22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Деформований стан, за якого вектори переміщень усіх</w:t>
      </w:r>
      <w:r w:rsidRPr="000977F7">
        <w:rPr>
          <w:rFonts w:asciiTheme="majorHAnsi" w:hAnsiTheme="majorHAnsi"/>
          <w:spacing w:val="-47"/>
          <w:sz w:val="20"/>
          <w:szCs w:val="20"/>
        </w:rPr>
        <w:t xml:space="preserve"> </w:t>
      </w:r>
      <w:r w:rsidRPr="000977F7">
        <w:rPr>
          <w:rFonts w:asciiTheme="majorHAnsi" w:hAnsiTheme="majorHAnsi"/>
          <w:sz w:val="20"/>
          <w:szCs w:val="20"/>
        </w:rPr>
        <w:t>точок</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паралельні</w:t>
      </w:r>
      <w:r w:rsidRPr="000977F7">
        <w:rPr>
          <w:rFonts w:asciiTheme="majorHAnsi" w:hAnsiTheme="majorHAnsi"/>
          <w:spacing w:val="-1"/>
          <w:sz w:val="20"/>
          <w:szCs w:val="20"/>
        </w:rPr>
        <w:t xml:space="preserve"> </w:t>
      </w:r>
      <w:r w:rsidRPr="000977F7">
        <w:rPr>
          <w:rFonts w:asciiTheme="majorHAnsi" w:hAnsiTheme="majorHAnsi"/>
          <w:sz w:val="20"/>
          <w:szCs w:val="20"/>
        </w:rPr>
        <w:t>одній площині</w:t>
      </w:r>
    </w:p>
    <w:p w14:paraId="4D7DD34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F1F16D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ПЛЯМИСТА</w:t>
      </w:r>
      <w:r w:rsidRPr="000977F7">
        <w:rPr>
          <w:color w:val="auto"/>
          <w:spacing w:val="-3"/>
          <w:sz w:val="20"/>
          <w:szCs w:val="20"/>
        </w:rPr>
        <w:t xml:space="preserve"> </w:t>
      </w:r>
      <w:r w:rsidRPr="000977F7">
        <w:rPr>
          <w:color w:val="auto"/>
          <w:sz w:val="20"/>
          <w:szCs w:val="20"/>
        </w:rPr>
        <w:t>КОРОЗІЯ</w:t>
      </w:r>
      <w:r w:rsidRPr="000977F7">
        <w:rPr>
          <w:color w:val="auto"/>
          <w:spacing w:val="-1"/>
          <w:sz w:val="20"/>
          <w:szCs w:val="20"/>
        </w:rPr>
        <w:t xml:space="preserve"> </w:t>
      </w:r>
      <w:r w:rsidRPr="000977F7">
        <w:rPr>
          <w:color w:val="auto"/>
          <w:sz w:val="20"/>
          <w:szCs w:val="20"/>
        </w:rPr>
        <w:t>–</w:t>
      </w:r>
    </w:p>
    <w:p w14:paraId="16BC445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Місцева корозія</w:t>
      </w:r>
      <w:r w:rsidRPr="000977F7">
        <w:rPr>
          <w:rFonts w:asciiTheme="majorHAnsi" w:hAnsiTheme="majorHAnsi"/>
          <w:spacing w:val="-2"/>
          <w:sz w:val="20"/>
          <w:szCs w:val="20"/>
        </w:rPr>
        <w:t xml:space="preserve"> </w:t>
      </w:r>
      <w:r w:rsidRPr="000977F7">
        <w:rPr>
          <w:rFonts w:asciiTheme="majorHAnsi" w:hAnsiTheme="majorHAnsi"/>
          <w:sz w:val="20"/>
          <w:szCs w:val="20"/>
        </w:rPr>
        <w:t>металу</w:t>
      </w:r>
      <w:r w:rsidRPr="000977F7">
        <w:rPr>
          <w:rFonts w:asciiTheme="majorHAnsi" w:hAnsiTheme="majorHAnsi"/>
          <w:spacing w:val="-3"/>
          <w:sz w:val="20"/>
          <w:szCs w:val="20"/>
        </w:rPr>
        <w:t xml:space="preserve"> </w:t>
      </w:r>
      <w:r w:rsidRPr="000977F7">
        <w:rPr>
          <w:rFonts w:asciiTheme="majorHAnsi" w:hAnsiTheme="majorHAnsi"/>
          <w:sz w:val="20"/>
          <w:szCs w:val="20"/>
        </w:rPr>
        <w:t>у</w:t>
      </w:r>
      <w:r w:rsidRPr="000977F7">
        <w:rPr>
          <w:rFonts w:asciiTheme="majorHAnsi" w:hAnsiTheme="majorHAnsi"/>
          <w:spacing w:val="-3"/>
          <w:sz w:val="20"/>
          <w:szCs w:val="20"/>
        </w:rPr>
        <w:t xml:space="preserve"> </w:t>
      </w:r>
      <w:r w:rsidRPr="000977F7">
        <w:rPr>
          <w:rFonts w:asciiTheme="majorHAnsi" w:hAnsiTheme="majorHAnsi"/>
          <w:sz w:val="20"/>
          <w:szCs w:val="20"/>
        </w:rPr>
        <w:t>вигляді</w:t>
      </w:r>
      <w:r w:rsidRPr="000977F7">
        <w:rPr>
          <w:rFonts w:asciiTheme="majorHAnsi" w:hAnsiTheme="majorHAnsi"/>
          <w:spacing w:val="-3"/>
          <w:sz w:val="20"/>
          <w:szCs w:val="20"/>
        </w:rPr>
        <w:t xml:space="preserve"> </w:t>
      </w:r>
      <w:r w:rsidRPr="000977F7">
        <w:rPr>
          <w:rFonts w:asciiTheme="majorHAnsi" w:hAnsiTheme="majorHAnsi"/>
          <w:sz w:val="20"/>
          <w:szCs w:val="20"/>
        </w:rPr>
        <w:t>окремих</w:t>
      </w:r>
      <w:r w:rsidRPr="000977F7">
        <w:rPr>
          <w:rFonts w:asciiTheme="majorHAnsi" w:hAnsiTheme="majorHAnsi"/>
          <w:spacing w:val="-3"/>
          <w:sz w:val="20"/>
          <w:szCs w:val="20"/>
        </w:rPr>
        <w:t xml:space="preserve"> </w:t>
      </w:r>
      <w:r w:rsidRPr="000977F7">
        <w:rPr>
          <w:rFonts w:asciiTheme="majorHAnsi" w:hAnsiTheme="majorHAnsi"/>
          <w:sz w:val="20"/>
          <w:szCs w:val="20"/>
        </w:rPr>
        <w:t>плям</w:t>
      </w:r>
    </w:p>
    <w:p w14:paraId="4F95CE5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41199D3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ПНЕВМАТИЧНИЙ</w:t>
      </w:r>
      <w:r w:rsidRPr="000977F7">
        <w:rPr>
          <w:color w:val="auto"/>
          <w:spacing w:val="-4"/>
          <w:sz w:val="20"/>
          <w:szCs w:val="20"/>
        </w:rPr>
        <w:t xml:space="preserve"> </w:t>
      </w:r>
      <w:r w:rsidRPr="000977F7">
        <w:rPr>
          <w:color w:val="auto"/>
          <w:sz w:val="20"/>
          <w:szCs w:val="20"/>
        </w:rPr>
        <w:t>СИГНАЛ</w:t>
      </w:r>
      <w:r w:rsidRPr="000977F7">
        <w:rPr>
          <w:color w:val="auto"/>
          <w:spacing w:val="-2"/>
          <w:sz w:val="20"/>
          <w:szCs w:val="20"/>
        </w:rPr>
        <w:t xml:space="preserve"> </w:t>
      </w:r>
      <w:r w:rsidRPr="000977F7">
        <w:rPr>
          <w:color w:val="auto"/>
          <w:sz w:val="20"/>
          <w:szCs w:val="20"/>
        </w:rPr>
        <w:t>–</w:t>
      </w:r>
    </w:p>
    <w:p w14:paraId="0EB06CD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PNEUMATIC</w:t>
      </w:r>
      <w:r w:rsidRPr="000977F7">
        <w:rPr>
          <w:rFonts w:asciiTheme="majorHAnsi" w:hAnsiTheme="majorHAnsi"/>
          <w:spacing w:val="-3"/>
          <w:sz w:val="20"/>
          <w:szCs w:val="20"/>
        </w:rPr>
        <w:t xml:space="preserve"> </w:t>
      </w:r>
      <w:r w:rsidRPr="000977F7">
        <w:rPr>
          <w:rFonts w:asciiTheme="majorHAnsi" w:hAnsiTheme="majorHAnsi"/>
          <w:sz w:val="20"/>
          <w:szCs w:val="20"/>
        </w:rPr>
        <w:t>SIGNAL</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14C609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 у вигляді механічного діяння газу, дієвою величиною</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є тиск</w:t>
      </w:r>
    </w:p>
    <w:p w14:paraId="0A22CE6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 </w:t>
      </w:r>
      <w:r w:rsidRPr="000977F7">
        <w:rPr>
          <w:rFonts w:asciiTheme="majorHAnsi" w:hAnsiTheme="majorHAnsi"/>
          <w:i/>
          <w:sz w:val="20"/>
          <w:szCs w:val="20"/>
        </w:rPr>
        <w:t>2000</w:t>
      </w:r>
    </w:p>
    <w:p w14:paraId="745468A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ПОБІЧНЕ</w:t>
      </w:r>
      <w:r w:rsidRPr="000977F7">
        <w:rPr>
          <w:color w:val="auto"/>
          <w:spacing w:val="-6"/>
          <w:sz w:val="20"/>
          <w:szCs w:val="20"/>
        </w:rPr>
        <w:t xml:space="preserve"> </w:t>
      </w:r>
      <w:r w:rsidRPr="000977F7">
        <w:rPr>
          <w:color w:val="auto"/>
          <w:sz w:val="20"/>
          <w:szCs w:val="20"/>
        </w:rPr>
        <w:t>ВИРОБНИЦТВО –</w:t>
      </w:r>
    </w:p>
    <w:p w14:paraId="653FD3D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Виробнича</w:t>
      </w:r>
      <w:r w:rsidRPr="000977F7">
        <w:rPr>
          <w:rFonts w:asciiTheme="majorHAnsi" w:hAnsiTheme="majorHAnsi"/>
          <w:spacing w:val="1"/>
          <w:sz w:val="20"/>
          <w:szCs w:val="20"/>
        </w:rPr>
        <w:t xml:space="preserve"> </w:t>
      </w:r>
      <w:r w:rsidRPr="000977F7">
        <w:rPr>
          <w:rFonts w:asciiTheme="majorHAnsi" w:hAnsiTheme="majorHAnsi"/>
          <w:sz w:val="20"/>
          <w:szCs w:val="20"/>
        </w:rPr>
        <w:t>діяльність</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полягає</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виготовленні продукції з відходів або побічних продуктів основного виробництва та провадиться у певних</w:t>
      </w:r>
      <w:r w:rsidRPr="000977F7">
        <w:rPr>
          <w:rFonts w:asciiTheme="majorHAnsi" w:hAnsiTheme="majorHAnsi"/>
          <w:spacing w:val="-2"/>
          <w:sz w:val="20"/>
          <w:szCs w:val="20"/>
        </w:rPr>
        <w:t xml:space="preserve"> </w:t>
      </w:r>
      <w:r w:rsidRPr="000977F7">
        <w:rPr>
          <w:rFonts w:asciiTheme="majorHAnsi" w:hAnsiTheme="majorHAnsi"/>
          <w:sz w:val="20"/>
          <w:szCs w:val="20"/>
        </w:rPr>
        <w:t>структурних</w:t>
      </w:r>
      <w:r w:rsidRPr="000977F7">
        <w:rPr>
          <w:rFonts w:asciiTheme="majorHAnsi" w:hAnsiTheme="majorHAnsi"/>
          <w:spacing w:val="-1"/>
          <w:sz w:val="20"/>
          <w:szCs w:val="20"/>
        </w:rPr>
        <w:t xml:space="preserve"> </w:t>
      </w:r>
      <w:r w:rsidRPr="000977F7">
        <w:rPr>
          <w:rFonts w:asciiTheme="majorHAnsi" w:hAnsiTheme="majorHAnsi"/>
          <w:sz w:val="20"/>
          <w:szCs w:val="20"/>
        </w:rPr>
        <w:t>підрозділах</w:t>
      </w:r>
    </w:p>
    <w:p w14:paraId="5CADCA3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233C99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ПОВЕРНЕННЯ</w:t>
      </w:r>
      <w:r w:rsidRPr="000977F7">
        <w:rPr>
          <w:color w:val="auto"/>
          <w:spacing w:val="-4"/>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67CA953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Захід, з допомогою якого сторона, що невірно використовує знак, або виготовлювач виробу, який стає</w:t>
      </w:r>
      <w:r w:rsidRPr="000977F7">
        <w:rPr>
          <w:rFonts w:asciiTheme="majorHAnsi" w:hAnsiTheme="majorHAnsi"/>
          <w:spacing w:val="1"/>
          <w:sz w:val="20"/>
          <w:szCs w:val="20"/>
        </w:rPr>
        <w:t xml:space="preserve"> </w:t>
      </w:r>
      <w:r w:rsidRPr="000977F7">
        <w:rPr>
          <w:rFonts w:asciiTheme="majorHAnsi" w:hAnsiTheme="majorHAnsi"/>
          <w:sz w:val="20"/>
          <w:szCs w:val="20"/>
        </w:rPr>
        <w:t>небезпечним під час експлуатації, або інша сторона,</w:t>
      </w:r>
      <w:r w:rsidRPr="000977F7">
        <w:rPr>
          <w:rFonts w:asciiTheme="majorHAnsi" w:hAnsiTheme="majorHAnsi"/>
          <w:spacing w:val="1"/>
          <w:sz w:val="20"/>
          <w:szCs w:val="20"/>
        </w:rPr>
        <w:t xml:space="preserve"> </w:t>
      </w:r>
      <w:r w:rsidRPr="000977F7">
        <w:rPr>
          <w:rFonts w:asciiTheme="majorHAnsi" w:hAnsiTheme="majorHAnsi"/>
          <w:sz w:val="20"/>
          <w:szCs w:val="20"/>
        </w:rPr>
        <w:t>що відповідає за постачання даного виробу, вилучає</w:t>
      </w:r>
      <w:r w:rsidRPr="000977F7">
        <w:rPr>
          <w:rFonts w:asciiTheme="majorHAnsi" w:hAnsiTheme="majorHAnsi"/>
          <w:spacing w:val="1"/>
          <w:sz w:val="20"/>
          <w:szCs w:val="20"/>
        </w:rPr>
        <w:t xml:space="preserve"> </w:t>
      </w:r>
      <w:r w:rsidRPr="000977F7">
        <w:rPr>
          <w:rFonts w:asciiTheme="majorHAnsi" w:hAnsiTheme="majorHAnsi"/>
          <w:sz w:val="20"/>
          <w:szCs w:val="20"/>
        </w:rPr>
        <w:t>продукцію у її користувача, з ринку збуту або оптових</w:t>
      </w:r>
      <w:r w:rsidRPr="000977F7">
        <w:rPr>
          <w:rFonts w:asciiTheme="majorHAnsi" w:hAnsiTheme="majorHAnsi"/>
          <w:spacing w:val="-47"/>
          <w:sz w:val="20"/>
          <w:szCs w:val="20"/>
        </w:rPr>
        <w:t xml:space="preserve"> </w:t>
      </w:r>
      <w:r w:rsidRPr="000977F7">
        <w:rPr>
          <w:rFonts w:asciiTheme="majorHAnsi" w:hAnsiTheme="majorHAnsi"/>
          <w:sz w:val="20"/>
          <w:szCs w:val="20"/>
        </w:rPr>
        <w:t>баз і повертає її на підприємство для проведення коригуючих</w:t>
      </w:r>
      <w:r w:rsidRPr="000977F7">
        <w:rPr>
          <w:rFonts w:asciiTheme="majorHAnsi" w:hAnsiTheme="majorHAnsi"/>
          <w:spacing w:val="-2"/>
          <w:sz w:val="20"/>
          <w:szCs w:val="20"/>
        </w:rPr>
        <w:t xml:space="preserve"> </w:t>
      </w:r>
      <w:r w:rsidRPr="000977F7">
        <w:rPr>
          <w:rFonts w:asciiTheme="majorHAnsi" w:hAnsiTheme="majorHAnsi"/>
          <w:sz w:val="20"/>
          <w:szCs w:val="20"/>
        </w:rPr>
        <w:t>дій</w:t>
      </w:r>
    </w:p>
    <w:p w14:paraId="61CBC25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0EA54A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Внаслідок</w:t>
      </w:r>
      <w:r w:rsidRPr="000977F7">
        <w:rPr>
          <w:rFonts w:asciiTheme="majorHAnsi" w:hAnsiTheme="majorHAnsi"/>
          <w:spacing w:val="1"/>
          <w:sz w:val="20"/>
          <w:szCs w:val="20"/>
        </w:rPr>
        <w:t xml:space="preserve"> </w:t>
      </w:r>
      <w:r w:rsidRPr="000977F7">
        <w:rPr>
          <w:rFonts w:asciiTheme="majorHAnsi" w:hAnsiTheme="majorHAnsi"/>
          <w:sz w:val="20"/>
          <w:szCs w:val="20"/>
        </w:rPr>
        <w:t>правових</w:t>
      </w:r>
      <w:r w:rsidRPr="000977F7">
        <w:rPr>
          <w:rFonts w:asciiTheme="majorHAnsi" w:hAnsiTheme="majorHAnsi"/>
          <w:spacing w:val="1"/>
          <w:sz w:val="20"/>
          <w:szCs w:val="20"/>
        </w:rPr>
        <w:t xml:space="preserve"> </w:t>
      </w:r>
      <w:r w:rsidRPr="000977F7">
        <w:rPr>
          <w:rFonts w:asciiTheme="majorHAnsi" w:hAnsiTheme="majorHAnsi"/>
          <w:sz w:val="20"/>
          <w:szCs w:val="20"/>
        </w:rPr>
        <w:t>проблем,</w:t>
      </w:r>
      <w:r w:rsidRPr="000977F7">
        <w:rPr>
          <w:rFonts w:asciiTheme="majorHAnsi" w:hAnsiTheme="majorHAnsi"/>
          <w:spacing w:val="1"/>
          <w:sz w:val="20"/>
          <w:szCs w:val="20"/>
        </w:rPr>
        <w:t xml:space="preserve"> </w:t>
      </w:r>
      <w:r w:rsidRPr="000977F7">
        <w:rPr>
          <w:rFonts w:asciiTheme="majorHAnsi" w:hAnsiTheme="majorHAnsi"/>
          <w:sz w:val="20"/>
          <w:szCs w:val="20"/>
        </w:rPr>
        <w:t>пов’язаних</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правом</w:t>
      </w:r>
      <w:r w:rsidRPr="000977F7">
        <w:rPr>
          <w:rFonts w:asciiTheme="majorHAnsi" w:hAnsiTheme="majorHAnsi"/>
          <w:spacing w:val="1"/>
          <w:sz w:val="20"/>
          <w:szCs w:val="20"/>
        </w:rPr>
        <w:t xml:space="preserve"> </w:t>
      </w:r>
      <w:r w:rsidRPr="000977F7">
        <w:rPr>
          <w:rFonts w:asciiTheme="majorHAnsi" w:hAnsiTheme="majorHAnsi"/>
          <w:sz w:val="20"/>
          <w:szCs w:val="20"/>
        </w:rPr>
        <w:t>власності, повернення продукції здійснюється виготовлювачем або іншою стороною, що відповідає за її</w:t>
      </w:r>
      <w:r w:rsidRPr="000977F7">
        <w:rPr>
          <w:rFonts w:asciiTheme="majorHAnsi" w:hAnsiTheme="majorHAnsi"/>
          <w:spacing w:val="1"/>
          <w:sz w:val="20"/>
          <w:szCs w:val="20"/>
        </w:rPr>
        <w:t xml:space="preserve"> </w:t>
      </w:r>
      <w:r w:rsidRPr="000977F7">
        <w:rPr>
          <w:rFonts w:asciiTheme="majorHAnsi" w:hAnsiTheme="majorHAnsi"/>
          <w:sz w:val="20"/>
          <w:szCs w:val="20"/>
        </w:rPr>
        <w:t>розподіл</w:t>
      </w:r>
    </w:p>
    <w:p w14:paraId="18BE392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ПОВЕРХНЕВА</w:t>
      </w:r>
      <w:r w:rsidRPr="000977F7">
        <w:rPr>
          <w:color w:val="auto"/>
          <w:spacing w:val="-4"/>
          <w:sz w:val="20"/>
          <w:szCs w:val="20"/>
        </w:rPr>
        <w:t xml:space="preserve"> </w:t>
      </w:r>
      <w:r w:rsidRPr="000977F7">
        <w:rPr>
          <w:color w:val="auto"/>
          <w:sz w:val="20"/>
          <w:szCs w:val="20"/>
        </w:rPr>
        <w:t>СИЛА</w:t>
      </w:r>
      <w:r w:rsidRPr="000977F7">
        <w:rPr>
          <w:color w:val="auto"/>
          <w:spacing w:val="-1"/>
          <w:sz w:val="20"/>
          <w:szCs w:val="20"/>
        </w:rPr>
        <w:t xml:space="preserve"> </w:t>
      </w:r>
      <w:r w:rsidRPr="000977F7">
        <w:rPr>
          <w:color w:val="auto"/>
          <w:sz w:val="20"/>
          <w:szCs w:val="20"/>
        </w:rPr>
        <w:t>–</w:t>
      </w:r>
    </w:p>
    <w:p w14:paraId="54A24B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SURFACE</w:t>
      </w:r>
      <w:r w:rsidRPr="000977F7">
        <w:rPr>
          <w:rFonts w:asciiTheme="majorHAnsi" w:hAnsiTheme="majorHAnsi"/>
          <w:spacing w:val="-3"/>
          <w:sz w:val="20"/>
          <w:szCs w:val="20"/>
        </w:rPr>
        <w:t xml:space="preserve"> </w:t>
      </w:r>
      <w:r w:rsidRPr="000977F7">
        <w:rPr>
          <w:rFonts w:asciiTheme="majorHAnsi" w:hAnsiTheme="majorHAnsi"/>
          <w:sz w:val="20"/>
          <w:szCs w:val="20"/>
        </w:rPr>
        <w:t>FORCE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141F2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Зовнішня сила, розподілена по поверхні об’єкта розрахунку</w:t>
      </w:r>
    </w:p>
    <w:p w14:paraId="09F75CB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1AD904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ПОВЕРХНЯ</w:t>
      </w:r>
      <w:r w:rsidRPr="000977F7">
        <w:rPr>
          <w:color w:val="auto"/>
          <w:spacing w:val="45"/>
          <w:sz w:val="20"/>
          <w:szCs w:val="20"/>
        </w:rPr>
        <w:t xml:space="preserve"> </w:t>
      </w:r>
      <w:r w:rsidRPr="000977F7">
        <w:rPr>
          <w:color w:val="auto"/>
          <w:sz w:val="20"/>
          <w:szCs w:val="20"/>
        </w:rPr>
        <w:t>ВІДГУКУ –</w:t>
      </w:r>
    </w:p>
    <w:p w14:paraId="2A84066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Геометричне</w:t>
      </w:r>
      <w:r w:rsidRPr="000977F7">
        <w:rPr>
          <w:rFonts w:asciiTheme="majorHAnsi" w:hAnsiTheme="majorHAnsi"/>
          <w:spacing w:val="44"/>
          <w:sz w:val="20"/>
          <w:szCs w:val="20"/>
        </w:rPr>
        <w:t xml:space="preserve"> </w:t>
      </w:r>
      <w:r w:rsidRPr="000977F7">
        <w:rPr>
          <w:rFonts w:asciiTheme="majorHAnsi" w:hAnsiTheme="majorHAnsi"/>
          <w:sz w:val="20"/>
          <w:szCs w:val="20"/>
        </w:rPr>
        <w:t>відображення</w:t>
      </w:r>
      <w:r w:rsidRPr="000977F7">
        <w:rPr>
          <w:rFonts w:asciiTheme="majorHAnsi" w:hAnsiTheme="majorHAnsi"/>
          <w:spacing w:val="46"/>
          <w:sz w:val="20"/>
          <w:szCs w:val="20"/>
        </w:rPr>
        <w:t xml:space="preserve"> </w:t>
      </w:r>
      <w:r w:rsidRPr="000977F7">
        <w:rPr>
          <w:rFonts w:asciiTheme="majorHAnsi" w:hAnsiTheme="majorHAnsi"/>
          <w:sz w:val="20"/>
          <w:szCs w:val="20"/>
        </w:rPr>
        <w:t>функції</w:t>
      </w:r>
      <w:r w:rsidRPr="000977F7">
        <w:rPr>
          <w:rFonts w:asciiTheme="majorHAnsi" w:hAnsiTheme="majorHAnsi"/>
          <w:spacing w:val="45"/>
          <w:sz w:val="20"/>
          <w:szCs w:val="20"/>
        </w:rPr>
        <w:t xml:space="preserve"> </w:t>
      </w:r>
      <w:r w:rsidRPr="000977F7">
        <w:rPr>
          <w:rFonts w:asciiTheme="majorHAnsi" w:hAnsiTheme="majorHAnsi"/>
          <w:sz w:val="20"/>
          <w:szCs w:val="20"/>
        </w:rPr>
        <w:t>відгуку</w:t>
      </w:r>
    </w:p>
    <w:p w14:paraId="25F6496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ПОВЕРХНЯ</w:t>
      </w:r>
      <w:r w:rsidRPr="000977F7">
        <w:rPr>
          <w:color w:val="auto"/>
          <w:spacing w:val="46"/>
          <w:sz w:val="20"/>
          <w:szCs w:val="20"/>
        </w:rPr>
        <w:t xml:space="preserve"> </w:t>
      </w:r>
      <w:r w:rsidRPr="000977F7">
        <w:rPr>
          <w:color w:val="auto"/>
          <w:sz w:val="20"/>
          <w:szCs w:val="20"/>
        </w:rPr>
        <w:t>РІВНЯ</w:t>
      </w:r>
      <w:r w:rsidRPr="000977F7">
        <w:rPr>
          <w:color w:val="auto"/>
          <w:spacing w:val="46"/>
          <w:sz w:val="20"/>
          <w:szCs w:val="20"/>
        </w:rPr>
        <w:t xml:space="preserve"> </w:t>
      </w:r>
      <w:r w:rsidRPr="000977F7">
        <w:rPr>
          <w:color w:val="auto"/>
          <w:sz w:val="20"/>
          <w:szCs w:val="20"/>
        </w:rPr>
        <w:t>ФУНКЦІЇ</w:t>
      </w:r>
      <w:r w:rsidRPr="000977F7">
        <w:rPr>
          <w:color w:val="auto"/>
          <w:spacing w:val="45"/>
          <w:sz w:val="20"/>
          <w:szCs w:val="20"/>
        </w:rPr>
        <w:t xml:space="preserve"> </w:t>
      </w:r>
      <w:r w:rsidRPr="000977F7">
        <w:rPr>
          <w:color w:val="auto"/>
          <w:sz w:val="20"/>
          <w:szCs w:val="20"/>
        </w:rPr>
        <w:t>ВІДГУКУ–</w:t>
      </w:r>
    </w:p>
    <w:p w14:paraId="746ABFC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Геометричне</w:t>
      </w:r>
      <w:r w:rsidRPr="000977F7">
        <w:rPr>
          <w:rFonts w:asciiTheme="majorHAnsi" w:hAnsiTheme="majorHAnsi"/>
          <w:spacing w:val="1"/>
          <w:sz w:val="20"/>
          <w:szCs w:val="20"/>
        </w:rPr>
        <w:t xml:space="preserve"> </w:t>
      </w:r>
      <w:r w:rsidRPr="000977F7">
        <w:rPr>
          <w:rFonts w:asciiTheme="majorHAnsi" w:hAnsiTheme="majorHAnsi"/>
          <w:sz w:val="20"/>
          <w:szCs w:val="20"/>
        </w:rPr>
        <w:t>місце</w:t>
      </w:r>
      <w:r w:rsidRPr="000977F7">
        <w:rPr>
          <w:rFonts w:asciiTheme="majorHAnsi" w:hAnsiTheme="majorHAnsi"/>
          <w:spacing w:val="1"/>
          <w:sz w:val="20"/>
          <w:szCs w:val="20"/>
        </w:rPr>
        <w:t xml:space="preserve"> </w:t>
      </w:r>
      <w:r w:rsidRPr="000977F7">
        <w:rPr>
          <w:rFonts w:asciiTheme="majorHAnsi" w:hAnsiTheme="majorHAnsi"/>
          <w:sz w:val="20"/>
          <w:szCs w:val="20"/>
        </w:rPr>
        <w:t>точок</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факторному</w:t>
      </w:r>
      <w:r w:rsidRPr="000977F7">
        <w:rPr>
          <w:rFonts w:asciiTheme="majorHAnsi" w:hAnsiTheme="majorHAnsi"/>
          <w:spacing w:val="1"/>
          <w:sz w:val="20"/>
          <w:szCs w:val="20"/>
        </w:rPr>
        <w:t xml:space="preserve"> </w:t>
      </w:r>
      <w:r w:rsidRPr="000977F7">
        <w:rPr>
          <w:rFonts w:asciiTheme="majorHAnsi" w:hAnsiTheme="majorHAnsi"/>
          <w:sz w:val="20"/>
          <w:szCs w:val="20"/>
        </w:rPr>
        <w:t>просторі,</w:t>
      </w:r>
      <w:r w:rsidRPr="000977F7">
        <w:rPr>
          <w:rFonts w:asciiTheme="majorHAnsi" w:hAnsiTheme="majorHAnsi"/>
          <w:spacing w:val="1"/>
          <w:sz w:val="20"/>
          <w:szCs w:val="20"/>
        </w:rPr>
        <w:t xml:space="preserve"> </w:t>
      </w:r>
      <w:r w:rsidRPr="000977F7">
        <w:rPr>
          <w:rFonts w:asciiTheme="majorHAnsi" w:hAnsiTheme="majorHAnsi"/>
          <w:sz w:val="20"/>
          <w:szCs w:val="20"/>
        </w:rPr>
        <w:t>якому</w:t>
      </w:r>
      <w:r w:rsidRPr="000977F7">
        <w:rPr>
          <w:rFonts w:asciiTheme="majorHAnsi" w:hAnsiTheme="majorHAnsi"/>
          <w:spacing w:val="1"/>
          <w:sz w:val="20"/>
          <w:szCs w:val="20"/>
        </w:rPr>
        <w:t xml:space="preserve"> </w:t>
      </w:r>
      <w:r w:rsidRPr="000977F7">
        <w:rPr>
          <w:rFonts w:asciiTheme="majorHAnsi" w:hAnsiTheme="majorHAnsi"/>
          <w:sz w:val="20"/>
          <w:szCs w:val="20"/>
        </w:rPr>
        <w:t>відповідає</w:t>
      </w:r>
      <w:r w:rsidRPr="000977F7">
        <w:rPr>
          <w:rFonts w:asciiTheme="majorHAnsi" w:hAnsiTheme="majorHAnsi"/>
          <w:spacing w:val="1"/>
          <w:sz w:val="20"/>
          <w:szCs w:val="20"/>
        </w:rPr>
        <w:t xml:space="preserve"> </w:t>
      </w:r>
      <w:r w:rsidRPr="000977F7">
        <w:rPr>
          <w:rFonts w:asciiTheme="majorHAnsi" w:hAnsiTheme="majorHAnsi"/>
          <w:sz w:val="20"/>
          <w:szCs w:val="20"/>
        </w:rPr>
        <w:t>деяке</w:t>
      </w:r>
      <w:r w:rsidRPr="000977F7">
        <w:rPr>
          <w:rFonts w:asciiTheme="majorHAnsi" w:hAnsiTheme="majorHAnsi"/>
          <w:spacing w:val="1"/>
          <w:sz w:val="20"/>
          <w:szCs w:val="20"/>
        </w:rPr>
        <w:t xml:space="preserve"> </w:t>
      </w:r>
      <w:r w:rsidRPr="000977F7">
        <w:rPr>
          <w:rFonts w:asciiTheme="majorHAnsi" w:hAnsiTheme="majorHAnsi"/>
          <w:sz w:val="20"/>
          <w:szCs w:val="20"/>
        </w:rPr>
        <w:t>фіксоване</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функції</w:t>
      </w:r>
      <w:r w:rsidRPr="000977F7">
        <w:rPr>
          <w:rFonts w:asciiTheme="majorHAnsi" w:hAnsiTheme="majorHAnsi"/>
          <w:spacing w:val="-47"/>
          <w:sz w:val="20"/>
          <w:szCs w:val="20"/>
        </w:rPr>
        <w:t xml:space="preserve"> </w:t>
      </w:r>
      <w:r w:rsidRPr="000977F7">
        <w:rPr>
          <w:rFonts w:asciiTheme="majorHAnsi" w:hAnsiTheme="majorHAnsi"/>
          <w:sz w:val="20"/>
          <w:szCs w:val="20"/>
        </w:rPr>
        <w:t>відгуку</w:t>
      </w:r>
    </w:p>
    <w:p w14:paraId="3E4CC49C"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ПОВІДОМЛЕННЯ –</w:t>
      </w:r>
      <w:r w:rsidRPr="000977F7">
        <w:rPr>
          <w:rFonts w:asciiTheme="majorHAnsi" w:hAnsiTheme="majorHAnsi"/>
          <w:b/>
          <w:spacing w:val="-47"/>
          <w:sz w:val="20"/>
          <w:szCs w:val="20"/>
        </w:rPr>
        <w:t xml:space="preserve"> </w:t>
      </w:r>
    </w:p>
    <w:p w14:paraId="221F63E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MESSAGE –</w:t>
      </w:r>
    </w:p>
    <w:p w14:paraId="29473B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Дані, що мають</w:t>
      </w:r>
      <w:r w:rsidRPr="000977F7">
        <w:rPr>
          <w:rFonts w:asciiTheme="majorHAnsi" w:hAnsiTheme="majorHAnsi"/>
          <w:spacing w:val="1"/>
          <w:sz w:val="20"/>
          <w:szCs w:val="20"/>
        </w:rPr>
        <w:t xml:space="preserve"> </w:t>
      </w:r>
      <w:r w:rsidRPr="000977F7">
        <w:rPr>
          <w:rFonts w:asciiTheme="majorHAnsi" w:hAnsiTheme="majorHAnsi"/>
          <w:sz w:val="20"/>
          <w:szCs w:val="20"/>
        </w:rPr>
        <w:t>смислове</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призначені</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передавання,</w:t>
      </w:r>
      <w:r w:rsidRPr="000977F7">
        <w:rPr>
          <w:rFonts w:asciiTheme="majorHAnsi" w:hAnsiTheme="majorHAnsi"/>
          <w:spacing w:val="-1"/>
          <w:sz w:val="20"/>
          <w:szCs w:val="20"/>
        </w:rPr>
        <w:t xml:space="preserve"> </w:t>
      </w:r>
      <w:r w:rsidRPr="000977F7">
        <w:rPr>
          <w:rFonts w:asciiTheme="majorHAnsi" w:hAnsiTheme="majorHAnsi"/>
          <w:sz w:val="20"/>
          <w:szCs w:val="20"/>
        </w:rPr>
        <w:t>оброблення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p>
    <w:p w14:paraId="2CC74C4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 :</w:t>
      </w:r>
    </w:p>
    <w:p w14:paraId="74C53F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Повідомлення у вигляді упорядкованої послідовності</w:t>
      </w:r>
      <w:r w:rsidRPr="000977F7">
        <w:rPr>
          <w:rFonts w:asciiTheme="majorHAnsi" w:hAnsiTheme="majorHAnsi"/>
          <w:spacing w:val="1"/>
          <w:sz w:val="20"/>
          <w:szCs w:val="20"/>
        </w:rPr>
        <w:t xml:space="preserve"> </w:t>
      </w:r>
      <w:r w:rsidRPr="000977F7">
        <w:rPr>
          <w:rFonts w:asciiTheme="majorHAnsi" w:hAnsiTheme="majorHAnsi"/>
          <w:sz w:val="20"/>
          <w:szCs w:val="20"/>
        </w:rPr>
        <w:t>елементів</w:t>
      </w:r>
      <w:r w:rsidRPr="000977F7">
        <w:rPr>
          <w:rFonts w:asciiTheme="majorHAnsi" w:hAnsiTheme="majorHAnsi"/>
          <w:spacing w:val="1"/>
          <w:sz w:val="20"/>
          <w:szCs w:val="20"/>
        </w:rPr>
        <w:t xml:space="preserve"> </w:t>
      </w:r>
      <w:r w:rsidRPr="000977F7">
        <w:rPr>
          <w:rFonts w:asciiTheme="majorHAnsi" w:hAnsiTheme="majorHAnsi"/>
          <w:sz w:val="20"/>
          <w:szCs w:val="20"/>
        </w:rPr>
        <w:t>даних</w:t>
      </w:r>
      <w:r w:rsidRPr="000977F7">
        <w:rPr>
          <w:rFonts w:asciiTheme="majorHAnsi" w:hAnsiTheme="majorHAnsi"/>
          <w:spacing w:val="1"/>
          <w:sz w:val="20"/>
          <w:szCs w:val="20"/>
        </w:rPr>
        <w:t xml:space="preserve"> </w:t>
      </w:r>
      <w:r w:rsidRPr="000977F7">
        <w:rPr>
          <w:rFonts w:asciiTheme="majorHAnsi" w:hAnsiTheme="majorHAnsi"/>
          <w:sz w:val="20"/>
          <w:szCs w:val="20"/>
        </w:rPr>
        <w:t>(скінченої</w:t>
      </w:r>
      <w:r w:rsidRPr="000977F7">
        <w:rPr>
          <w:rFonts w:asciiTheme="majorHAnsi" w:hAnsiTheme="majorHAnsi"/>
          <w:spacing w:val="1"/>
          <w:sz w:val="20"/>
          <w:szCs w:val="20"/>
        </w:rPr>
        <w:t xml:space="preserve"> </w:t>
      </w:r>
      <w:r w:rsidRPr="000977F7">
        <w:rPr>
          <w:rFonts w:asciiTheme="majorHAnsi" w:hAnsiTheme="majorHAnsi"/>
          <w:sz w:val="20"/>
          <w:szCs w:val="20"/>
        </w:rPr>
        <w:t>довжини)</w:t>
      </w:r>
      <w:r w:rsidRPr="000977F7">
        <w:rPr>
          <w:rFonts w:asciiTheme="majorHAnsi" w:hAnsiTheme="majorHAnsi"/>
          <w:spacing w:val="1"/>
          <w:sz w:val="20"/>
          <w:szCs w:val="20"/>
        </w:rPr>
        <w:t xml:space="preserve"> </w:t>
      </w:r>
      <w:r w:rsidRPr="000977F7">
        <w:rPr>
          <w:rFonts w:asciiTheme="majorHAnsi" w:hAnsiTheme="majorHAnsi"/>
          <w:sz w:val="20"/>
          <w:szCs w:val="20"/>
        </w:rPr>
        <w:t>передають</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сприймають</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єдине ціле</w:t>
      </w:r>
    </w:p>
    <w:p w14:paraId="4E1CC640"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3956 - 2000</w:t>
      </w:r>
      <w:r w:rsidRPr="000977F7">
        <w:rPr>
          <w:rFonts w:asciiTheme="majorHAnsi" w:hAnsiTheme="majorHAnsi"/>
          <w:i/>
          <w:spacing w:val="-47"/>
          <w:sz w:val="20"/>
          <w:szCs w:val="20"/>
        </w:rPr>
        <w:t xml:space="preserve"> </w:t>
      </w:r>
    </w:p>
    <w:p w14:paraId="40EE5BA5"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ПОВЗУЧІСТЬ –</w:t>
      </w:r>
    </w:p>
    <w:p w14:paraId="133E8CF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CREEP</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1B329F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Необоротне зростання деформацій у матеріалі з часом</w:t>
      </w:r>
      <w:r w:rsidRPr="000977F7">
        <w:rPr>
          <w:rFonts w:asciiTheme="majorHAnsi" w:hAnsiTheme="majorHAnsi"/>
          <w:spacing w:val="-47"/>
          <w:sz w:val="20"/>
          <w:szCs w:val="20"/>
        </w:rPr>
        <w:t xml:space="preserve">             </w:t>
      </w:r>
      <w:r w:rsidRPr="000977F7">
        <w:rPr>
          <w:rFonts w:asciiTheme="majorHAnsi" w:hAnsiTheme="majorHAnsi"/>
          <w:sz w:val="20"/>
          <w:szCs w:val="20"/>
        </w:rPr>
        <w:t>під</w:t>
      </w:r>
      <w:r w:rsidRPr="000977F7">
        <w:rPr>
          <w:rFonts w:asciiTheme="majorHAnsi" w:hAnsiTheme="majorHAnsi"/>
          <w:spacing w:val="-2"/>
          <w:sz w:val="20"/>
          <w:szCs w:val="20"/>
        </w:rPr>
        <w:t xml:space="preserve"> </w:t>
      </w:r>
      <w:r w:rsidRPr="000977F7">
        <w:rPr>
          <w:rFonts w:asciiTheme="majorHAnsi" w:hAnsiTheme="majorHAnsi"/>
          <w:sz w:val="20"/>
          <w:szCs w:val="20"/>
        </w:rPr>
        <w:t>дією навантаження</w:t>
      </w:r>
    </w:p>
    <w:p w14:paraId="315DA5B9"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0AB7E80" w14:textId="77777777" w:rsidR="0097612F" w:rsidRPr="000977F7" w:rsidRDefault="0097612F" w:rsidP="000977F7">
      <w:pPr>
        <w:pStyle w:val="7"/>
        <w:tabs>
          <w:tab w:val="left" w:pos="284"/>
        </w:tabs>
        <w:spacing w:before="0" w:line="240" w:lineRule="auto"/>
        <w:ind w:left="170"/>
        <w:mirrorIndents/>
        <w:jc w:val="both"/>
        <w:rPr>
          <w:b w:val="0"/>
          <w:color w:val="auto"/>
          <w:spacing w:val="-47"/>
          <w:sz w:val="20"/>
          <w:szCs w:val="20"/>
        </w:rPr>
      </w:pPr>
      <w:r w:rsidRPr="000977F7">
        <w:rPr>
          <w:color w:val="auto"/>
          <w:sz w:val="20"/>
          <w:szCs w:val="20"/>
        </w:rPr>
        <w:t>ПОВІДОМЛЕННЯ ПРО</w:t>
      </w:r>
      <w:r w:rsidRPr="000977F7">
        <w:rPr>
          <w:color w:val="auto"/>
          <w:spacing w:val="-1"/>
          <w:sz w:val="20"/>
          <w:szCs w:val="20"/>
        </w:rPr>
        <w:t xml:space="preserve"> </w:t>
      </w:r>
      <w:r w:rsidRPr="000977F7">
        <w:rPr>
          <w:color w:val="auto"/>
          <w:sz w:val="20"/>
          <w:szCs w:val="20"/>
        </w:rPr>
        <w:t>ЗМІНУ –</w:t>
      </w:r>
    </w:p>
    <w:p w14:paraId="7E20DB9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STATEMENT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4D957A6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Положення,</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2"/>
          <w:sz w:val="20"/>
          <w:szCs w:val="20"/>
        </w:rPr>
        <w:t xml:space="preserve"> </w:t>
      </w:r>
      <w:r w:rsidRPr="000977F7">
        <w:rPr>
          <w:rFonts w:asciiTheme="majorHAnsi" w:hAnsiTheme="majorHAnsi"/>
          <w:sz w:val="20"/>
          <w:szCs w:val="20"/>
        </w:rPr>
        <w:t>виражає</w:t>
      </w:r>
      <w:r w:rsidRPr="000977F7">
        <w:rPr>
          <w:rFonts w:asciiTheme="majorHAnsi" w:hAnsiTheme="majorHAnsi"/>
          <w:spacing w:val="-3"/>
          <w:sz w:val="20"/>
          <w:szCs w:val="20"/>
        </w:rPr>
        <w:t xml:space="preserve"> </w:t>
      </w:r>
      <w:r w:rsidRPr="000977F7">
        <w:rPr>
          <w:rFonts w:asciiTheme="majorHAnsi" w:hAnsiTheme="majorHAnsi"/>
          <w:sz w:val="20"/>
          <w:szCs w:val="20"/>
        </w:rPr>
        <w:t>інформацію</w:t>
      </w:r>
    </w:p>
    <w:p w14:paraId="7A8500E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який містить відомості, необхідні для внесення змін у конструкторські документи, їх заміну чи</w:t>
      </w:r>
      <w:r w:rsidRPr="000977F7">
        <w:rPr>
          <w:rFonts w:asciiTheme="majorHAnsi" w:hAnsiTheme="majorHAnsi"/>
          <w:spacing w:val="1"/>
          <w:sz w:val="20"/>
          <w:szCs w:val="20"/>
        </w:rPr>
        <w:t xml:space="preserve"> </w:t>
      </w:r>
      <w:r w:rsidRPr="000977F7">
        <w:rPr>
          <w:rFonts w:asciiTheme="majorHAnsi" w:hAnsiTheme="majorHAnsi"/>
          <w:sz w:val="20"/>
          <w:szCs w:val="20"/>
        </w:rPr>
        <w:t>анулювання, інформацію про причини та терміни внесення змін, а також вказівки щодо використання заділу</w:t>
      </w:r>
      <w:r w:rsidRPr="000977F7">
        <w:rPr>
          <w:rFonts w:asciiTheme="majorHAnsi" w:hAnsiTheme="majorHAnsi"/>
          <w:spacing w:val="-4"/>
          <w:sz w:val="20"/>
          <w:szCs w:val="20"/>
        </w:rPr>
        <w:t xml:space="preserve"> </w:t>
      </w:r>
      <w:r w:rsidRPr="000977F7">
        <w:rPr>
          <w:rFonts w:asciiTheme="majorHAnsi" w:hAnsiTheme="majorHAnsi"/>
          <w:sz w:val="20"/>
          <w:szCs w:val="20"/>
        </w:rPr>
        <w:t>виробу</w:t>
      </w:r>
    </w:p>
    <w:p w14:paraId="5B808F0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DFD171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Повідомлення про зміну є підставою для внесення змін у конструкторські документи, яке здійснюється підприємством-власником правдни-ків конструкторських документів</w:t>
      </w:r>
    </w:p>
    <w:p w14:paraId="216B31E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3321 – 2003</w:t>
      </w:r>
    </w:p>
    <w:p w14:paraId="2867656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ПОВІДОМЛЕННЯ ПРО РИЗИК –</w:t>
      </w:r>
    </w:p>
    <w:p w14:paraId="21A925FD"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Взаємний обмін інформацією про ризик між спеціалістами з оцінки ризику, особами, що здійснюють управління ризиком, заінтересованими торговими партнерами та іншими заінтересованими сторонами</w:t>
      </w:r>
    </w:p>
    <w:p w14:paraId="71231607"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забезпечення санітарного та епідемічного благополуччя населення"</w:t>
      </w:r>
    </w:p>
    <w:p w14:paraId="6A10F07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ПОВІРКА</w:t>
      </w:r>
      <w:r w:rsidRPr="000977F7">
        <w:rPr>
          <w:color w:val="auto"/>
          <w:spacing w:val="-11"/>
          <w:sz w:val="20"/>
          <w:szCs w:val="20"/>
        </w:rPr>
        <w:t xml:space="preserve"> </w:t>
      </w:r>
      <w:r w:rsidRPr="000977F7">
        <w:rPr>
          <w:color w:val="auto"/>
          <w:sz w:val="20"/>
          <w:szCs w:val="20"/>
        </w:rPr>
        <w:t>ЗАСОБІВ</w:t>
      </w:r>
      <w:r w:rsidRPr="000977F7">
        <w:rPr>
          <w:color w:val="auto"/>
          <w:spacing w:val="-8"/>
          <w:sz w:val="20"/>
          <w:szCs w:val="20"/>
        </w:rPr>
        <w:t xml:space="preserve"> </w:t>
      </w:r>
      <w:r w:rsidRPr="000977F7">
        <w:rPr>
          <w:color w:val="auto"/>
          <w:sz w:val="20"/>
          <w:szCs w:val="20"/>
        </w:rPr>
        <w:t>ВИМІРЮВАЛЬНОЇ</w:t>
      </w:r>
      <w:r w:rsidRPr="000977F7">
        <w:rPr>
          <w:color w:val="auto"/>
          <w:spacing w:val="-47"/>
          <w:sz w:val="20"/>
          <w:szCs w:val="20"/>
        </w:rPr>
        <w:t xml:space="preserve"> </w:t>
      </w:r>
      <w:r w:rsidRPr="000977F7">
        <w:rPr>
          <w:color w:val="auto"/>
          <w:sz w:val="20"/>
          <w:szCs w:val="20"/>
        </w:rPr>
        <w:t>ТЕХНІКИ –</w:t>
      </w:r>
    </w:p>
    <w:p w14:paraId="26E5207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VERIFICATION</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3F1AD03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Визначення похибок засобів вимірювальної техніки і</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встановлення</w:t>
      </w:r>
      <w:r w:rsidRPr="000977F7">
        <w:rPr>
          <w:rFonts w:asciiTheme="majorHAnsi" w:hAnsiTheme="majorHAnsi"/>
          <w:spacing w:val="-3"/>
          <w:sz w:val="20"/>
          <w:szCs w:val="20"/>
        </w:rPr>
        <w:t xml:space="preserve"> </w:t>
      </w:r>
      <w:r w:rsidRPr="000977F7">
        <w:rPr>
          <w:rFonts w:asciiTheme="majorHAnsi" w:hAnsiTheme="majorHAnsi"/>
          <w:sz w:val="20"/>
          <w:szCs w:val="20"/>
        </w:rPr>
        <w:t>їх придатності</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p>
    <w:p w14:paraId="02B2B22A"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w:t>
      </w:r>
      <w:r w:rsidRPr="000977F7">
        <w:rPr>
          <w:rFonts w:asciiTheme="majorHAnsi" w:hAnsiTheme="majorHAnsi"/>
          <w:i/>
          <w:spacing w:val="2"/>
          <w:sz w:val="20"/>
          <w:szCs w:val="20"/>
        </w:rPr>
        <w:t xml:space="preserve"> </w:t>
      </w:r>
      <w:r w:rsidRPr="000977F7">
        <w:rPr>
          <w:rFonts w:asciiTheme="majorHAnsi" w:hAnsiTheme="majorHAnsi"/>
          <w:i/>
          <w:sz w:val="20"/>
          <w:szCs w:val="20"/>
        </w:rPr>
        <w:t>– 94</w:t>
      </w:r>
    </w:p>
    <w:p w14:paraId="1C69A31E"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ПОВІРОЧНА СХЕМА –</w:t>
      </w:r>
    </w:p>
    <w:p w14:paraId="1BA36FA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HIERARCHY</w:t>
      </w:r>
      <w:r w:rsidRPr="000977F7">
        <w:rPr>
          <w:rFonts w:asciiTheme="majorHAnsi" w:hAnsiTheme="majorHAnsi"/>
          <w:spacing w:val="-4"/>
          <w:sz w:val="20"/>
          <w:szCs w:val="20"/>
        </w:rPr>
        <w:t xml:space="preserve"> </w:t>
      </w:r>
      <w:r w:rsidRPr="000977F7">
        <w:rPr>
          <w:rFonts w:asciiTheme="majorHAnsi" w:hAnsiTheme="majorHAnsi"/>
          <w:sz w:val="20"/>
          <w:szCs w:val="20"/>
        </w:rPr>
        <w:t>CHEME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7FFE5A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Нормативний документ, що регламентує метрологічну підпорядкованість засобів вимірювальної техніки,</w:t>
      </w:r>
      <w:r w:rsidRPr="000977F7">
        <w:rPr>
          <w:rFonts w:asciiTheme="majorHAnsi" w:hAnsiTheme="majorHAnsi"/>
          <w:spacing w:val="1"/>
          <w:sz w:val="20"/>
          <w:szCs w:val="20"/>
        </w:rPr>
        <w:t xml:space="preserve"> </w:t>
      </w:r>
      <w:r w:rsidRPr="000977F7">
        <w:rPr>
          <w:rFonts w:asciiTheme="majorHAnsi" w:hAnsiTheme="majorHAnsi"/>
          <w:sz w:val="20"/>
          <w:szCs w:val="20"/>
        </w:rPr>
        <w:t>які приймають участь у передаванні розміру одиниці</w:t>
      </w:r>
      <w:r w:rsidRPr="000977F7">
        <w:rPr>
          <w:rFonts w:asciiTheme="majorHAnsi" w:hAnsiTheme="majorHAnsi"/>
          <w:spacing w:val="1"/>
          <w:sz w:val="20"/>
          <w:szCs w:val="20"/>
        </w:rPr>
        <w:t xml:space="preserve"> </w:t>
      </w:r>
      <w:r w:rsidRPr="000977F7">
        <w:rPr>
          <w:rFonts w:asciiTheme="majorHAnsi" w:hAnsiTheme="majorHAnsi"/>
          <w:sz w:val="20"/>
          <w:szCs w:val="20"/>
        </w:rPr>
        <w:t>фізичної величини від</w:t>
      </w:r>
      <w:r w:rsidRPr="000977F7">
        <w:rPr>
          <w:rFonts w:asciiTheme="majorHAnsi" w:hAnsiTheme="majorHAnsi"/>
          <w:spacing w:val="1"/>
          <w:sz w:val="20"/>
          <w:szCs w:val="20"/>
        </w:rPr>
        <w:t xml:space="preserve"> </w:t>
      </w:r>
      <w:r w:rsidRPr="000977F7">
        <w:rPr>
          <w:rFonts w:asciiTheme="majorHAnsi" w:hAnsiTheme="majorHAnsi"/>
          <w:sz w:val="20"/>
          <w:szCs w:val="20"/>
        </w:rPr>
        <w:t>еталону або вихідного зразкового засобу вимірювальної техніки до інших засобів</w:t>
      </w:r>
      <w:r w:rsidRPr="000977F7">
        <w:rPr>
          <w:rFonts w:asciiTheme="majorHAnsi" w:hAnsiTheme="majorHAnsi"/>
          <w:spacing w:val="1"/>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1"/>
          <w:sz w:val="20"/>
          <w:szCs w:val="20"/>
        </w:rPr>
        <w:t xml:space="preserve"> </w:t>
      </w:r>
      <w:r w:rsidRPr="000977F7">
        <w:rPr>
          <w:rFonts w:asciiTheme="majorHAnsi" w:hAnsiTheme="majorHAnsi"/>
          <w:sz w:val="20"/>
          <w:szCs w:val="20"/>
        </w:rPr>
        <w:t>техніки</w:t>
      </w:r>
      <w:r w:rsidRPr="000977F7">
        <w:rPr>
          <w:rFonts w:asciiTheme="majorHAnsi" w:hAnsiTheme="majorHAnsi"/>
          <w:spacing w:val="1"/>
          <w:sz w:val="20"/>
          <w:szCs w:val="20"/>
        </w:rPr>
        <w:t xml:space="preserve"> </w:t>
      </w:r>
      <w:r w:rsidRPr="000977F7">
        <w:rPr>
          <w:rFonts w:asciiTheme="majorHAnsi" w:hAnsiTheme="majorHAnsi"/>
          <w:sz w:val="20"/>
          <w:szCs w:val="20"/>
        </w:rPr>
        <w:t>зі</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встановленням</w:t>
      </w:r>
      <w:r w:rsidRPr="000977F7">
        <w:rPr>
          <w:rFonts w:asciiTheme="majorHAnsi" w:hAnsiTheme="majorHAnsi"/>
          <w:spacing w:val="1"/>
          <w:sz w:val="20"/>
          <w:szCs w:val="20"/>
        </w:rPr>
        <w:t xml:space="preserve"> </w:t>
      </w:r>
      <w:r w:rsidRPr="000977F7">
        <w:rPr>
          <w:rFonts w:asciiTheme="majorHAnsi" w:hAnsiTheme="majorHAnsi"/>
          <w:sz w:val="20"/>
          <w:szCs w:val="20"/>
        </w:rPr>
        <w:t>методів</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похибок передавання</w:t>
      </w:r>
    </w:p>
    <w:p w14:paraId="5F1B605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84C97F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ПОВІРОЧНА УСТАНОВКА; ПОВІРОЧНА</w:t>
      </w:r>
      <w:r w:rsidRPr="000977F7">
        <w:rPr>
          <w:color w:val="auto"/>
          <w:spacing w:val="-47"/>
          <w:sz w:val="20"/>
          <w:szCs w:val="20"/>
        </w:rPr>
        <w:t xml:space="preserve"> </w:t>
      </w:r>
      <w:r w:rsidRPr="000977F7">
        <w:rPr>
          <w:color w:val="auto"/>
          <w:sz w:val="20"/>
          <w:szCs w:val="20"/>
        </w:rPr>
        <w:t>УСТАВА</w:t>
      </w:r>
      <w:r w:rsidRPr="000977F7">
        <w:rPr>
          <w:color w:val="auto"/>
          <w:spacing w:val="-1"/>
          <w:sz w:val="20"/>
          <w:szCs w:val="20"/>
        </w:rPr>
        <w:t xml:space="preserve"> </w:t>
      </w:r>
      <w:r w:rsidRPr="000977F7">
        <w:rPr>
          <w:color w:val="auto"/>
          <w:sz w:val="20"/>
          <w:szCs w:val="20"/>
        </w:rPr>
        <w:t>–</w:t>
      </w:r>
    </w:p>
    <w:p w14:paraId="6D6DCF5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Установка (устава), укомплектована зразковими засобами вимірювальної техніки та допоміжними засобами і призначена для повірки інших засобів вимірювальної</w:t>
      </w:r>
      <w:r w:rsidRPr="000977F7">
        <w:rPr>
          <w:rFonts w:asciiTheme="majorHAnsi" w:hAnsiTheme="majorHAnsi"/>
          <w:spacing w:val="-2"/>
          <w:sz w:val="20"/>
          <w:szCs w:val="20"/>
        </w:rPr>
        <w:t xml:space="preserve"> </w:t>
      </w:r>
      <w:r w:rsidRPr="000977F7">
        <w:rPr>
          <w:rFonts w:asciiTheme="majorHAnsi" w:hAnsiTheme="majorHAnsi"/>
          <w:sz w:val="20"/>
          <w:szCs w:val="20"/>
        </w:rPr>
        <w:t>техніки</w:t>
      </w:r>
    </w:p>
    <w:p w14:paraId="28B73D4E"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94</w:t>
      </w:r>
    </w:p>
    <w:p w14:paraId="18B79BF3"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1"/>
          <w:sz w:val="20"/>
          <w:szCs w:val="20"/>
          <w:lang w:val="en-US"/>
        </w:rPr>
      </w:pPr>
      <w:r w:rsidRPr="000977F7">
        <w:rPr>
          <w:rFonts w:asciiTheme="majorHAnsi" w:hAnsiTheme="majorHAnsi"/>
          <w:b/>
          <w:sz w:val="20"/>
          <w:szCs w:val="20"/>
        </w:rPr>
        <w:t>П</w:t>
      </w:r>
      <w:r w:rsidRPr="004D2D14">
        <w:rPr>
          <w:rFonts w:asciiTheme="majorHAnsi" w:hAnsiTheme="majorHAnsi"/>
          <w:b/>
          <w:sz w:val="20"/>
          <w:szCs w:val="20"/>
          <w:lang w:val="en-US"/>
        </w:rPr>
        <w:t>O</w:t>
      </w:r>
      <w:r w:rsidRPr="000977F7">
        <w:rPr>
          <w:rFonts w:asciiTheme="majorHAnsi" w:hAnsiTheme="majorHAnsi"/>
          <w:b/>
          <w:sz w:val="20"/>
          <w:szCs w:val="20"/>
        </w:rPr>
        <w:t>ВІРОЧНЕ</w:t>
      </w:r>
      <w:r w:rsidRPr="004D2D14">
        <w:rPr>
          <w:rFonts w:asciiTheme="majorHAnsi" w:hAnsiTheme="majorHAnsi"/>
          <w:b/>
          <w:sz w:val="20"/>
          <w:szCs w:val="20"/>
          <w:lang w:val="en-US"/>
        </w:rPr>
        <w:t xml:space="preserve"> </w:t>
      </w:r>
      <w:r w:rsidRPr="000977F7">
        <w:rPr>
          <w:rFonts w:asciiTheme="majorHAnsi" w:hAnsiTheme="majorHAnsi"/>
          <w:b/>
          <w:sz w:val="20"/>
          <w:szCs w:val="20"/>
        </w:rPr>
        <w:t>ТАВРО</w:t>
      </w:r>
      <w:r w:rsidRPr="004D2D14">
        <w:rPr>
          <w:rFonts w:asciiTheme="majorHAnsi" w:hAnsiTheme="majorHAnsi"/>
          <w:b/>
          <w:sz w:val="20"/>
          <w:szCs w:val="20"/>
          <w:lang w:val="en-US"/>
        </w:rPr>
        <w:t xml:space="preserve"> –</w:t>
      </w:r>
    </w:p>
    <w:p w14:paraId="56E67F1C"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VERIFI</w:t>
      </w:r>
      <w:r w:rsidRPr="000977F7">
        <w:rPr>
          <w:rFonts w:asciiTheme="majorHAnsi" w:hAnsiTheme="majorHAnsi"/>
          <w:sz w:val="20"/>
          <w:szCs w:val="20"/>
        </w:rPr>
        <w:t>С</w:t>
      </w:r>
      <w:r w:rsidRPr="004D2D14">
        <w:rPr>
          <w:rFonts w:asciiTheme="majorHAnsi" w:hAnsiTheme="majorHAnsi"/>
          <w:sz w:val="20"/>
          <w:szCs w:val="20"/>
          <w:lang w:val="en-US"/>
        </w:rPr>
        <w:t>ATION</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MARK</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63A73A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Знак встановленої форми, що його наносять на засоби</w:t>
      </w:r>
      <w:r w:rsidRPr="000977F7">
        <w:rPr>
          <w:rFonts w:asciiTheme="majorHAnsi" w:hAnsiTheme="majorHAnsi"/>
          <w:spacing w:val="-47"/>
          <w:sz w:val="20"/>
          <w:szCs w:val="20"/>
        </w:rPr>
        <w:t xml:space="preserve"> </w:t>
      </w:r>
      <w:r w:rsidRPr="000977F7">
        <w:rPr>
          <w:rFonts w:asciiTheme="majorHAnsi" w:hAnsiTheme="majorHAnsi"/>
          <w:sz w:val="20"/>
          <w:szCs w:val="20"/>
        </w:rPr>
        <w:t>вимірювальної техніки, які</w:t>
      </w:r>
      <w:r w:rsidRPr="000977F7">
        <w:rPr>
          <w:rFonts w:asciiTheme="majorHAnsi" w:hAnsiTheme="majorHAnsi"/>
          <w:spacing w:val="1"/>
          <w:sz w:val="20"/>
          <w:szCs w:val="20"/>
        </w:rPr>
        <w:t xml:space="preserve"> </w:t>
      </w:r>
      <w:r w:rsidRPr="000977F7">
        <w:rPr>
          <w:rFonts w:asciiTheme="majorHAnsi" w:hAnsiTheme="majorHAnsi"/>
          <w:sz w:val="20"/>
          <w:szCs w:val="20"/>
        </w:rPr>
        <w:t xml:space="preserve">визнані </w:t>
      </w:r>
      <w:r w:rsidRPr="000977F7">
        <w:rPr>
          <w:rFonts w:asciiTheme="majorHAnsi" w:hAnsiTheme="majorHAnsi"/>
          <w:sz w:val="20"/>
          <w:szCs w:val="20"/>
        </w:rPr>
        <w:lastRenderedPageBreak/>
        <w:t>придатними для</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результаті</w:t>
      </w:r>
      <w:r w:rsidRPr="000977F7">
        <w:rPr>
          <w:rFonts w:asciiTheme="majorHAnsi" w:hAnsiTheme="majorHAnsi"/>
          <w:spacing w:val="-2"/>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повірки</w:t>
      </w:r>
    </w:p>
    <w:p w14:paraId="216CC4A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4BFE50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потреби</w:t>
      </w:r>
      <w:r w:rsidRPr="000977F7">
        <w:rPr>
          <w:rFonts w:asciiTheme="majorHAnsi" w:hAnsiTheme="majorHAnsi"/>
          <w:spacing w:val="1"/>
          <w:sz w:val="20"/>
          <w:szCs w:val="20"/>
        </w:rPr>
        <w:t xml:space="preserve"> </w:t>
      </w:r>
      <w:r w:rsidRPr="000977F7">
        <w:rPr>
          <w:rFonts w:asciiTheme="majorHAnsi" w:hAnsiTheme="majorHAnsi"/>
          <w:sz w:val="20"/>
          <w:szCs w:val="20"/>
        </w:rPr>
        <w:t>повірочне</w:t>
      </w:r>
      <w:r w:rsidRPr="000977F7">
        <w:rPr>
          <w:rFonts w:asciiTheme="majorHAnsi" w:hAnsiTheme="majorHAnsi"/>
          <w:spacing w:val="1"/>
          <w:sz w:val="20"/>
          <w:szCs w:val="20"/>
        </w:rPr>
        <w:t xml:space="preserve"> </w:t>
      </w:r>
      <w:r w:rsidRPr="000977F7">
        <w:rPr>
          <w:rFonts w:asciiTheme="majorHAnsi" w:hAnsiTheme="majorHAnsi"/>
          <w:sz w:val="20"/>
          <w:szCs w:val="20"/>
        </w:rPr>
        <w:t>тавро</w:t>
      </w:r>
      <w:r w:rsidRPr="000977F7">
        <w:rPr>
          <w:rFonts w:asciiTheme="majorHAnsi" w:hAnsiTheme="majorHAnsi"/>
          <w:spacing w:val="1"/>
          <w:sz w:val="20"/>
          <w:szCs w:val="20"/>
        </w:rPr>
        <w:t xml:space="preserve"> </w:t>
      </w:r>
      <w:r w:rsidRPr="000977F7">
        <w:rPr>
          <w:rFonts w:asciiTheme="majorHAnsi" w:hAnsiTheme="majorHAnsi"/>
          <w:sz w:val="20"/>
          <w:szCs w:val="20"/>
        </w:rPr>
        <w:t>наносять</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2"/>
          <w:sz w:val="20"/>
          <w:szCs w:val="20"/>
        </w:rPr>
        <w:t xml:space="preserve"> </w:t>
      </w:r>
      <w:r w:rsidRPr="000977F7">
        <w:rPr>
          <w:rFonts w:asciiTheme="majorHAnsi" w:hAnsiTheme="majorHAnsi"/>
          <w:sz w:val="20"/>
          <w:szCs w:val="20"/>
        </w:rPr>
        <w:t>підтверджує повірку</w:t>
      </w:r>
    </w:p>
    <w:p w14:paraId="30C2DCA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E9867C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ПОВІТРЯНЕ</w:t>
      </w:r>
      <w:r w:rsidRPr="000977F7">
        <w:rPr>
          <w:color w:val="auto"/>
          <w:spacing w:val="-5"/>
          <w:sz w:val="20"/>
          <w:szCs w:val="20"/>
        </w:rPr>
        <w:t xml:space="preserve"> </w:t>
      </w:r>
      <w:r w:rsidRPr="000977F7">
        <w:rPr>
          <w:color w:val="auto"/>
          <w:sz w:val="20"/>
          <w:szCs w:val="20"/>
        </w:rPr>
        <w:t>СЕРЕДОВИЩЕ</w:t>
      </w:r>
      <w:r w:rsidRPr="000977F7">
        <w:rPr>
          <w:color w:val="auto"/>
          <w:spacing w:val="-3"/>
          <w:sz w:val="20"/>
          <w:szCs w:val="20"/>
        </w:rPr>
        <w:t xml:space="preserve"> </w:t>
      </w:r>
      <w:r w:rsidRPr="000977F7">
        <w:rPr>
          <w:color w:val="auto"/>
          <w:sz w:val="20"/>
          <w:szCs w:val="20"/>
        </w:rPr>
        <w:t>–</w:t>
      </w:r>
    </w:p>
    <w:p w14:paraId="77D15CEF"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Компонент</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життєдіяльності</w:t>
      </w:r>
      <w:r w:rsidRPr="000977F7">
        <w:rPr>
          <w:rFonts w:asciiTheme="majorHAnsi" w:hAnsiTheme="majorHAnsi"/>
          <w:spacing w:val="1"/>
          <w:sz w:val="20"/>
          <w:szCs w:val="20"/>
        </w:rPr>
        <w:t xml:space="preserve"> </w:t>
      </w:r>
      <w:r w:rsidRPr="000977F7">
        <w:rPr>
          <w:rFonts w:asciiTheme="majorHAnsi" w:hAnsiTheme="majorHAnsi"/>
          <w:sz w:val="20"/>
          <w:szCs w:val="20"/>
        </w:rPr>
        <w:t>людини, що</w:t>
      </w:r>
      <w:r w:rsidRPr="000977F7">
        <w:rPr>
          <w:rFonts w:asciiTheme="majorHAnsi" w:hAnsiTheme="majorHAnsi"/>
          <w:spacing w:val="-47"/>
          <w:sz w:val="20"/>
          <w:szCs w:val="20"/>
        </w:rPr>
        <w:t xml:space="preserve"> </w:t>
      </w:r>
      <w:r w:rsidRPr="000977F7">
        <w:rPr>
          <w:rFonts w:asciiTheme="majorHAnsi" w:hAnsiTheme="majorHAnsi"/>
          <w:sz w:val="20"/>
          <w:szCs w:val="20"/>
        </w:rPr>
        <w:t>являє</w:t>
      </w:r>
      <w:r w:rsidRPr="000977F7">
        <w:rPr>
          <w:rFonts w:asciiTheme="majorHAnsi" w:hAnsiTheme="majorHAnsi"/>
          <w:spacing w:val="-5"/>
          <w:sz w:val="20"/>
          <w:szCs w:val="20"/>
        </w:rPr>
        <w:t xml:space="preserve"> </w:t>
      </w:r>
      <w:r w:rsidRPr="000977F7">
        <w:rPr>
          <w:rFonts w:asciiTheme="majorHAnsi" w:hAnsiTheme="majorHAnsi"/>
          <w:sz w:val="20"/>
          <w:szCs w:val="20"/>
        </w:rPr>
        <w:t>собою</w:t>
      </w:r>
      <w:r w:rsidRPr="000977F7">
        <w:rPr>
          <w:rFonts w:asciiTheme="majorHAnsi" w:hAnsiTheme="majorHAnsi"/>
          <w:spacing w:val="-6"/>
          <w:sz w:val="20"/>
          <w:szCs w:val="20"/>
        </w:rPr>
        <w:t xml:space="preserve"> </w:t>
      </w:r>
      <w:r w:rsidRPr="000977F7">
        <w:rPr>
          <w:rFonts w:asciiTheme="majorHAnsi" w:hAnsiTheme="majorHAnsi"/>
          <w:sz w:val="20"/>
          <w:szCs w:val="20"/>
        </w:rPr>
        <w:t>об'єм</w:t>
      </w:r>
      <w:r w:rsidRPr="000977F7">
        <w:rPr>
          <w:rFonts w:asciiTheme="majorHAnsi" w:hAnsiTheme="majorHAnsi"/>
          <w:spacing w:val="-4"/>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4"/>
          <w:sz w:val="20"/>
          <w:szCs w:val="20"/>
        </w:rPr>
        <w:t xml:space="preserve"> </w:t>
      </w:r>
      <w:r w:rsidRPr="000977F7">
        <w:rPr>
          <w:rFonts w:asciiTheme="majorHAnsi" w:hAnsiTheme="majorHAnsi"/>
          <w:sz w:val="20"/>
          <w:szCs w:val="20"/>
        </w:rPr>
        <w:t>повітря,</w:t>
      </w:r>
      <w:r w:rsidRPr="000977F7">
        <w:rPr>
          <w:rFonts w:asciiTheme="majorHAnsi" w:hAnsiTheme="majorHAnsi"/>
          <w:spacing w:val="-3"/>
          <w:sz w:val="20"/>
          <w:szCs w:val="20"/>
        </w:rPr>
        <w:t xml:space="preserve"> </w:t>
      </w:r>
      <w:r w:rsidRPr="000977F7">
        <w:rPr>
          <w:rFonts w:asciiTheme="majorHAnsi" w:hAnsiTheme="majorHAnsi"/>
          <w:sz w:val="20"/>
          <w:szCs w:val="20"/>
        </w:rPr>
        <w:t>склад</w:t>
      </w:r>
      <w:r w:rsidRPr="000977F7">
        <w:rPr>
          <w:rFonts w:asciiTheme="majorHAnsi" w:hAnsiTheme="majorHAnsi"/>
          <w:spacing w:val="-5"/>
          <w:sz w:val="20"/>
          <w:szCs w:val="20"/>
        </w:rPr>
        <w:t xml:space="preserve"> </w:t>
      </w:r>
      <w:r w:rsidRPr="000977F7">
        <w:rPr>
          <w:rFonts w:asciiTheme="majorHAnsi" w:hAnsiTheme="majorHAnsi"/>
          <w:sz w:val="20"/>
          <w:szCs w:val="20"/>
        </w:rPr>
        <w:t>і</w:t>
      </w:r>
      <w:r w:rsidRPr="000977F7">
        <w:rPr>
          <w:rFonts w:asciiTheme="majorHAnsi" w:hAnsiTheme="majorHAnsi"/>
          <w:spacing w:val="-4"/>
          <w:sz w:val="20"/>
          <w:szCs w:val="20"/>
        </w:rPr>
        <w:t xml:space="preserve"> </w:t>
      </w:r>
      <w:r w:rsidRPr="000977F7">
        <w:rPr>
          <w:rFonts w:asciiTheme="majorHAnsi" w:hAnsiTheme="majorHAnsi"/>
          <w:sz w:val="20"/>
          <w:szCs w:val="20"/>
        </w:rPr>
        <w:t>властивості</w:t>
      </w:r>
      <w:r w:rsidRPr="000977F7">
        <w:rPr>
          <w:rFonts w:asciiTheme="majorHAnsi" w:hAnsiTheme="majorHAnsi"/>
          <w:spacing w:val="-9"/>
          <w:sz w:val="20"/>
          <w:szCs w:val="20"/>
        </w:rPr>
        <w:t xml:space="preserve"> </w:t>
      </w:r>
      <w:r w:rsidRPr="000977F7">
        <w:rPr>
          <w:rFonts w:asciiTheme="majorHAnsi" w:hAnsiTheme="majorHAnsi"/>
          <w:sz w:val="20"/>
          <w:szCs w:val="20"/>
        </w:rPr>
        <w:t>якого</w:t>
      </w:r>
      <w:r w:rsidRPr="000977F7">
        <w:rPr>
          <w:rFonts w:asciiTheme="majorHAnsi" w:hAnsiTheme="majorHAnsi"/>
          <w:spacing w:val="-7"/>
          <w:sz w:val="20"/>
          <w:szCs w:val="20"/>
        </w:rPr>
        <w:t xml:space="preserve"> </w:t>
      </w:r>
      <w:r w:rsidRPr="000977F7">
        <w:rPr>
          <w:rFonts w:asciiTheme="majorHAnsi" w:hAnsiTheme="majorHAnsi"/>
          <w:sz w:val="20"/>
          <w:szCs w:val="20"/>
        </w:rPr>
        <w:t>безпосередньо</w:t>
      </w:r>
      <w:r w:rsidRPr="000977F7">
        <w:rPr>
          <w:rFonts w:asciiTheme="majorHAnsi" w:hAnsiTheme="majorHAnsi"/>
          <w:spacing w:val="-9"/>
          <w:sz w:val="20"/>
          <w:szCs w:val="20"/>
        </w:rPr>
        <w:t xml:space="preserve"> </w:t>
      </w:r>
      <w:r w:rsidRPr="000977F7">
        <w:rPr>
          <w:rFonts w:asciiTheme="majorHAnsi" w:hAnsiTheme="majorHAnsi"/>
          <w:sz w:val="20"/>
          <w:szCs w:val="20"/>
        </w:rPr>
        <w:t>впливають</w:t>
      </w:r>
      <w:r w:rsidRPr="000977F7">
        <w:rPr>
          <w:rFonts w:asciiTheme="majorHAnsi" w:hAnsiTheme="majorHAnsi"/>
          <w:spacing w:val="-9"/>
          <w:sz w:val="20"/>
          <w:szCs w:val="20"/>
        </w:rPr>
        <w:t xml:space="preserve"> </w:t>
      </w:r>
      <w:r w:rsidRPr="000977F7">
        <w:rPr>
          <w:rFonts w:asciiTheme="majorHAnsi" w:hAnsiTheme="majorHAnsi"/>
          <w:sz w:val="20"/>
          <w:szCs w:val="20"/>
        </w:rPr>
        <w:t>на</w:t>
      </w:r>
      <w:r w:rsidRPr="000977F7">
        <w:rPr>
          <w:rFonts w:asciiTheme="majorHAnsi" w:hAnsiTheme="majorHAnsi"/>
          <w:spacing w:val="-9"/>
          <w:sz w:val="20"/>
          <w:szCs w:val="20"/>
        </w:rPr>
        <w:t xml:space="preserve"> </w:t>
      </w:r>
      <w:r w:rsidRPr="000977F7">
        <w:rPr>
          <w:rFonts w:asciiTheme="majorHAnsi" w:hAnsiTheme="majorHAnsi"/>
          <w:sz w:val="20"/>
          <w:szCs w:val="20"/>
        </w:rPr>
        <w:t>фізіологічні процеси і підлягають гігієнічному нормуванню</w:t>
      </w:r>
      <w:r w:rsidRPr="000977F7">
        <w:rPr>
          <w:rFonts w:asciiTheme="majorHAnsi" w:hAnsiTheme="majorHAnsi"/>
          <w:spacing w:val="1"/>
          <w:sz w:val="20"/>
          <w:szCs w:val="20"/>
        </w:rPr>
        <w:t xml:space="preserve"> </w:t>
      </w:r>
    </w:p>
    <w:p w14:paraId="35E72666"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3038</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7FB8EE5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ПОВНА</w:t>
      </w:r>
      <w:r w:rsidRPr="000977F7">
        <w:rPr>
          <w:color w:val="auto"/>
          <w:spacing w:val="46"/>
          <w:sz w:val="20"/>
          <w:szCs w:val="20"/>
        </w:rPr>
        <w:t xml:space="preserve"> </w:t>
      </w:r>
      <w:r w:rsidRPr="000977F7">
        <w:rPr>
          <w:color w:val="auto"/>
          <w:sz w:val="20"/>
          <w:szCs w:val="20"/>
        </w:rPr>
        <w:t>ВІДМОВА –</w:t>
      </w:r>
    </w:p>
    <w:p w14:paraId="749C974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COMPLETE</w:t>
      </w:r>
      <w:r w:rsidRPr="004D2D14">
        <w:rPr>
          <w:rFonts w:asciiTheme="majorHAnsi" w:hAnsiTheme="majorHAnsi"/>
          <w:spacing w:val="44"/>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3663B16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призводить</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повної</w:t>
      </w:r>
      <w:r w:rsidRPr="000977F7">
        <w:rPr>
          <w:rFonts w:asciiTheme="majorHAnsi" w:hAnsiTheme="majorHAnsi"/>
          <w:spacing w:val="1"/>
          <w:sz w:val="20"/>
          <w:szCs w:val="20"/>
        </w:rPr>
        <w:t xml:space="preserve"> </w:t>
      </w:r>
      <w:r w:rsidRPr="000977F7">
        <w:rPr>
          <w:rFonts w:asciiTheme="majorHAnsi" w:hAnsiTheme="majorHAnsi"/>
          <w:sz w:val="20"/>
          <w:szCs w:val="20"/>
        </w:rPr>
        <w:t>неспроможності</w:t>
      </w:r>
      <w:r w:rsidRPr="000977F7">
        <w:rPr>
          <w:rFonts w:asciiTheme="majorHAnsi" w:hAnsiTheme="majorHAnsi"/>
          <w:spacing w:val="-47"/>
          <w:sz w:val="20"/>
          <w:szCs w:val="20"/>
        </w:rPr>
        <w:t xml:space="preserve"> </w:t>
      </w:r>
      <w:r w:rsidRPr="000977F7">
        <w:rPr>
          <w:rFonts w:asciiTheme="majorHAnsi" w:hAnsiTheme="majorHAnsi"/>
          <w:sz w:val="20"/>
          <w:szCs w:val="20"/>
        </w:rPr>
        <w:t>об’єкта</w:t>
      </w:r>
      <w:r w:rsidRPr="000977F7">
        <w:rPr>
          <w:rFonts w:asciiTheme="majorHAnsi" w:hAnsiTheme="majorHAnsi"/>
          <w:spacing w:val="-2"/>
          <w:sz w:val="20"/>
          <w:szCs w:val="20"/>
        </w:rPr>
        <w:t xml:space="preserve"> </w:t>
      </w:r>
      <w:r w:rsidRPr="000977F7">
        <w:rPr>
          <w:rFonts w:asciiTheme="majorHAnsi" w:hAnsiTheme="majorHAnsi"/>
          <w:sz w:val="20"/>
          <w:szCs w:val="20"/>
        </w:rPr>
        <w:t>виконувати</w:t>
      </w:r>
      <w:r w:rsidRPr="000977F7">
        <w:rPr>
          <w:rFonts w:asciiTheme="majorHAnsi" w:hAnsiTheme="majorHAnsi"/>
          <w:spacing w:val="-2"/>
          <w:sz w:val="20"/>
          <w:szCs w:val="20"/>
        </w:rPr>
        <w:t xml:space="preserve"> </w:t>
      </w:r>
      <w:r w:rsidRPr="000977F7">
        <w:rPr>
          <w:rFonts w:asciiTheme="majorHAnsi" w:hAnsiTheme="majorHAnsi"/>
          <w:sz w:val="20"/>
          <w:szCs w:val="20"/>
        </w:rPr>
        <w:t>жодну</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потрібних</w:t>
      </w:r>
      <w:r w:rsidRPr="000977F7">
        <w:rPr>
          <w:rFonts w:asciiTheme="majorHAnsi" w:hAnsiTheme="majorHAnsi"/>
          <w:spacing w:val="-2"/>
          <w:sz w:val="20"/>
          <w:szCs w:val="20"/>
        </w:rPr>
        <w:t xml:space="preserve"> </w:t>
      </w:r>
      <w:r w:rsidRPr="000977F7">
        <w:rPr>
          <w:rFonts w:asciiTheme="majorHAnsi" w:hAnsiTheme="majorHAnsi"/>
          <w:sz w:val="20"/>
          <w:szCs w:val="20"/>
        </w:rPr>
        <w:t>функцій</w:t>
      </w:r>
    </w:p>
    <w:p w14:paraId="29993141"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750361F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ПОВНА</w:t>
      </w:r>
      <w:r w:rsidRPr="000977F7">
        <w:rPr>
          <w:color w:val="auto"/>
          <w:spacing w:val="-5"/>
          <w:sz w:val="20"/>
          <w:szCs w:val="20"/>
        </w:rPr>
        <w:t xml:space="preserve"> </w:t>
      </w:r>
      <w:r w:rsidRPr="000977F7">
        <w:rPr>
          <w:color w:val="auto"/>
          <w:sz w:val="20"/>
          <w:szCs w:val="20"/>
        </w:rPr>
        <w:t>НЕСПРАВНІСТЬ</w:t>
      </w:r>
      <w:r w:rsidRPr="000977F7">
        <w:rPr>
          <w:color w:val="auto"/>
          <w:spacing w:val="-1"/>
          <w:sz w:val="20"/>
          <w:szCs w:val="20"/>
        </w:rPr>
        <w:t xml:space="preserve"> </w:t>
      </w:r>
      <w:r w:rsidRPr="000977F7">
        <w:rPr>
          <w:color w:val="auto"/>
          <w:sz w:val="20"/>
          <w:szCs w:val="20"/>
        </w:rPr>
        <w:t>–</w:t>
      </w:r>
    </w:p>
    <w:p w14:paraId="1DD2AC1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FUNCTION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PREVENTING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FAULT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362069A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Несправність, що характеризується повною нездатністю</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виконувати усі</w:t>
      </w:r>
      <w:r w:rsidRPr="000977F7">
        <w:rPr>
          <w:rFonts w:asciiTheme="majorHAnsi" w:hAnsiTheme="majorHAnsi"/>
          <w:spacing w:val="1"/>
          <w:sz w:val="20"/>
          <w:szCs w:val="20"/>
        </w:rPr>
        <w:t xml:space="preserve"> </w:t>
      </w:r>
      <w:r w:rsidRPr="000977F7">
        <w:rPr>
          <w:rFonts w:asciiTheme="majorHAnsi" w:hAnsiTheme="majorHAnsi"/>
          <w:sz w:val="20"/>
          <w:szCs w:val="20"/>
        </w:rPr>
        <w:t>потрібні</w:t>
      </w:r>
      <w:r w:rsidRPr="000977F7">
        <w:rPr>
          <w:rFonts w:asciiTheme="majorHAnsi" w:hAnsiTheme="majorHAnsi"/>
          <w:spacing w:val="-2"/>
          <w:sz w:val="20"/>
          <w:szCs w:val="20"/>
        </w:rPr>
        <w:t xml:space="preserve"> </w:t>
      </w:r>
      <w:r w:rsidRPr="000977F7">
        <w:rPr>
          <w:rFonts w:asciiTheme="majorHAnsi" w:hAnsiTheme="majorHAnsi"/>
          <w:sz w:val="20"/>
          <w:szCs w:val="20"/>
        </w:rPr>
        <w:t>функції</w:t>
      </w:r>
    </w:p>
    <w:p w14:paraId="14815B0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18EA41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ПОВНИЙ</w:t>
      </w:r>
      <w:r w:rsidRPr="000977F7">
        <w:rPr>
          <w:color w:val="auto"/>
          <w:spacing w:val="-10"/>
          <w:sz w:val="20"/>
          <w:szCs w:val="20"/>
        </w:rPr>
        <w:t xml:space="preserve"> </w:t>
      </w:r>
      <w:r w:rsidRPr="000977F7">
        <w:rPr>
          <w:color w:val="auto"/>
          <w:sz w:val="20"/>
          <w:szCs w:val="20"/>
        </w:rPr>
        <w:t>КОМПЛЕКТ</w:t>
      </w:r>
      <w:r w:rsidRPr="000977F7">
        <w:rPr>
          <w:color w:val="auto"/>
          <w:spacing w:val="-11"/>
          <w:sz w:val="20"/>
          <w:szCs w:val="20"/>
        </w:rPr>
        <w:t xml:space="preserve"> </w:t>
      </w:r>
      <w:r w:rsidRPr="000977F7">
        <w:rPr>
          <w:color w:val="auto"/>
          <w:sz w:val="20"/>
          <w:szCs w:val="20"/>
        </w:rPr>
        <w:t>КОНСТРУКТОРСЬКИХ</w:t>
      </w:r>
      <w:r w:rsidRPr="000977F7">
        <w:rPr>
          <w:color w:val="auto"/>
          <w:spacing w:val="-47"/>
          <w:sz w:val="20"/>
          <w:szCs w:val="20"/>
        </w:rPr>
        <w:t xml:space="preserve"> </w:t>
      </w:r>
      <w:r w:rsidRPr="000977F7">
        <w:rPr>
          <w:color w:val="auto"/>
          <w:sz w:val="20"/>
          <w:szCs w:val="20"/>
        </w:rPr>
        <w:t>ДОКУМЕНТІВ</w:t>
      </w:r>
      <w:r w:rsidRPr="000977F7">
        <w:rPr>
          <w:color w:val="auto"/>
          <w:spacing w:val="1"/>
          <w:sz w:val="20"/>
          <w:szCs w:val="20"/>
        </w:rPr>
        <w:t xml:space="preserve"> </w:t>
      </w:r>
      <w:r w:rsidRPr="000977F7">
        <w:rPr>
          <w:color w:val="auto"/>
          <w:sz w:val="20"/>
          <w:szCs w:val="20"/>
        </w:rPr>
        <w:t>–</w:t>
      </w:r>
    </w:p>
    <w:p w14:paraId="183AD4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Комплект</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конструкторських документів,</w:t>
      </w:r>
      <w:r w:rsidRPr="000977F7">
        <w:rPr>
          <w:rFonts w:asciiTheme="majorHAnsi" w:hAnsiTheme="majorHAnsi"/>
          <w:spacing w:val="1"/>
          <w:sz w:val="20"/>
          <w:szCs w:val="20"/>
        </w:rPr>
        <w:t xml:space="preserve"> </w:t>
      </w:r>
      <w:r w:rsidRPr="000977F7">
        <w:rPr>
          <w:rFonts w:asciiTheme="majorHAnsi" w:hAnsiTheme="majorHAnsi"/>
          <w:sz w:val="20"/>
          <w:szCs w:val="20"/>
        </w:rPr>
        <w:t>що складається з основного комплекту конструкторських документів на даний виріб і основних комплектів конструкторських</w:t>
      </w:r>
      <w:r w:rsidRPr="000977F7">
        <w:rPr>
          <w:rFonts w:asciiTheme="majorHAnsi" w:hAnsiTheme="majorHAnsi"/>
          <w:spacing w:val="40"/>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42"/>
          <w:sz w:val="20"/>
          <w:szCs w:val="20"/>
        </w:rPr>
        <w:t xml:space="preserve"> </w:t>
      </w:r>
      <w:r w:rsidRPr="000977F7">
        <w:rPr>
          <w:rFonts w:asciiTheme="majorHAnsi" w:hAnsiTheme="majorHAnsi"/>
          <w:sz w:val="20"/>
          <w:szCs w:val="20"/>
        </w:rPr>
        <w:t>на</w:t>
      </w:r>
      <w:r w:rsidRPr="000977F7">
        <w:rPr>
          <w:rFonts w:asciiTheme="majorHAnsi" w:hAnsiTheme="majorHAnsi"/>
          <w:spacing w:val="39"/>
          <w:sz w:val="20"/>
          <w:szCs w:val="20"/>
        </w:rPr>
        <w:t xml:space="preserve"> </w:t>
      </w:r>
      <w:r w:rsidRPr="000977F7">
        <w:rPr>
          <w:rFonts w:asciiTheme="majorHAnsi" w:hAnsiTheme="majorHAnsi"/>
          <w:sz w:val="20"/>
          <w:szCs w:val="20"/>
        </w:rPr>
        <w:t>всі</w:t>
      </w:r>
      <w:r w:rsidRPr="000977F7">
        <w:rPr>
          <w:rFonts w:asciiTheme="majorHAnsi" w:hAnsiTheme="majorHAnsi"/>
          <w:spacing w:val="40"/>
          <w:sz w:val="20"/>
          <w:szCs w:val="20"/>
        </w:rPr>
        <w:t xml:space="preserve"> </w:t>
      </w:r>
      <w:r w:rsidRPr="000977F7">
        <w:rPr>
          <w:rFonts w:asciiTheme="majorHAnsi" w:hAnsiTheme="majorHAnsi"/>
          <w:sz w:val="20"/>
          <w:szCs w:val="20"/>
        </w:rPr>
        <w:t>його</w:t>
      </w:r>
      <w:r w:rsidRPr="000977F7">
        <w:rPr>
          <w:rFonts w:asciiTheme="majorHAnsi" w:hAnsiTheme="majorHAnsi"/>
          <w:spacing w:val="41"/>
          <w:sz w:val="20"/>
          <w:szCs w:val="20"/>
        </w:rPr>
        <w:t xml:space="preserve"> </w:t>
      </w:r>
      <w:r w:rsidRPr="000977F7">
        <w:rPr>
          <w:rFonts w:asciiTheme="majorHAnsi" w:hAnsiTheme="majorHAnsi"/>
          <w:sz w:val="20"/>
          <w:szCs w:val="20"/>
        </w:rPr>
        <w:t>складові</w:t>
      </w:r>
      <w:r w:rsidRPr="000977F7">
        <w:rPr>
          <w:rFonts w:asciiTheme="majorHAnsi" w:hAnsiTheme="majorHAnsi"/>
          <w:spacing w:val="39"/>
          <w:sz w:val="20"/>
          <w:szCs w:val="20"/>
        </w:rPr>
        <w:t xml:space="preserve"> </w:t>
      </w:r>
      <w:r w:rsidRPr="000977F7">
        <w:rPr>
          <w:rFonts w:asciiTheme="majorHAnsi" w:hAnsiTheme="majorHAnsi"/>
          <w:sz w:val="20"/>
          <w:szCs w:val="20"/>
        </w:rPr>
        <w:t>частини,</w:t>
      </w:r>
      <w:r w:rsidRPr="000977F7">
        <w:rPr>
          <w:rFonts w:asciiTheme="majorHAnsi" w:hAnsiTheme="majorHAnsi"/>
          <w:spacing w:val="-47"/>
          <w:sz w:val="20"/>
          <w:szCs w:val="20"/>
        </w:rPr>
        <w:t xml:space="preserve"> </w:t>
      </w:r>
      <w:r w:rsidRPr="000977F7">
        <w:rPr>
          <w:rFonts w:asciiTheme="majorHAnsi" w:hAnsiTheme="majorHAnsi"/>
          <w:sz w:val="20"/>
          <w:szCs w:val="20"/>
        </w:rPr>
        <w:t>які застосовані за своїми основними конструкторськими документами</w:t>
      </w:r>
    </w:p>
    <w:p w14:paraId="23FE29D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68982F5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ПОВНИЙ</w:t>
      </w:r>
      <w:r w:rsidRPr="000977F7">
        <w:rPr>
          <w:color w:val="auto"/>
          <w:spacing w:val="42"/>
          <w:sz w:val="20"/>
          <w:szCs w:val="20"/>
        </w:rPr>
        <w:t xml:space="preserve"> </w:t>
      </w:r>
      <w:r w:rsidRPr="000977F7">
        <w:rPr>
          <w:color w:val="auto"/>
          <w:sz w:val="20"/>
          <w:szCs w:val="20"/>
        </w:rPr>
        <w:t>ФАКТОРНИЙ</w:t>
      </w:r>
      <w:r w:rsidRPr="000977F7">
        <w:rPr>
          <w:color w:val="auto"/>
          <w:spacing w:val="-2"/>
          <w:sz w:val="20"/>
          <w:szCs w:val="20"/>
        </w:rPr>
        <w:t xml:space="preserve"> </w:t>
      </w:r>
      <w:r w:rsidRPr="000977F7">
        <w:rPr>
          <w:color w:val="auto"/>
          <w:sz w:val="20"/>
          <w:szCs w:val="20"/>
        </w:rPr>
        <w:t>ПЛАН</w:t>
      </w:r>
      <w:r w:rsidRPr="000977F7">
        <w:rPr>
          <w:color w:val="auto"/>
          <w:spacing w:val="1"/>
          <w:sz w:val="20"/>
          <w:szCs w:val="20"/>
        </w:rPr>
        <w:t xml:space="preserve"> </w:t>
      </w:r>
      <w:r w:rsidRPr="000977F7">
        <w:rPr>
          <w:color w:val="auto"/>
          <w:sz w:val="20"/>
          <w:szCs w:val="20"/>
        </w:rPr>
        <w:t>–</w:t>
      </w:r>
    </w:p>
    <w:p w14:paraId="315DF23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План, до якого входять всі можливі комбінації всіх</w:t>
      </w:r>
      <w:r w:rsidRPr="000977F7">
        <w:rPr>
          <w:rFonts w:asciiTheme="majorHAnsi" w:hAnsiTheme="majorHAnsi"/>
          <w:spacing w:val="1"/>
          <w:sz w:val="20"/>
          <w:szCs w:val="20"/>
        </w:rPr>
        <w:t xml:space="preserve"> </w:t>
      </w:r>
      <w:r w:rsidRPr="000977F7">
        <w:rPr>
          <w:rFonts w:asciiTheme="majorHAnsi" w:hAnsiTheme="majorHAnsi"/>
          <w:sz w:val="20"/>
          <w:szCs w:val="20"/>
        </w:rPr>
        <w:t>факторів на визначеній кількості рівнів однакове число разів</w:t>
      </w:r>
    </w:p>
    <w:p w14:paraId="7C21928C"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ПОВНИЙ</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ЦИКЛ</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РОЗРОБКИ</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СТАНДАРТІВ</w:t>
      </w:r>
      <w:r w:rsidRPr="004D2D14">
        <w:rPr>
          <w:rFonts w:asciiTheme="majorHAnsi" w:hAnsiTheme="majorHAnsi"/>
          <w:b/>
          <w:sz w:val="20"/>
          <w:szCs w:val="20"/>
          <w:lang w:val="en-US"/>
        </w:rPr>
        <w:t xml:space="preserve"> –</w:t>
      </w:r>
      <w:r w:rsidRPr="004D2D14">
        <w:rPr>
          <w:rFonts w:asciiTheme="majorHAnsi" w:hAnsiTheme="majorHAnsi"/>
          <w:b/>
          <w:spacing w:val="1"/>
          <w:sz w:val="20"/>
          <w:szCs w:val="20"/>
          <w:lang w:val="en-US"/>
        </w:rPr>
        <w:t xml:space="preserve"> </w:t>
      </w:r>
      <w:r w:rsidRPr="004D2D14">
        <w:rPr>
          <w:rFonts w:asciiTheme="majorHAnsi" w:hAnsiTheme="majorHAnsi"/>
          <w:sz w:val="20"/>
          <w:szCs w:val="20"/>
          <w:lang w:val="en-US"/>
        </w:rPr>
        <w:t>COMPLETE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PROCEDURE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THE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ELABORATION</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STANDARD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F000703"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sz w:val="20"/>
          <w:szCs w:val="20"/>
        </w:rPr>
        <w:t>Сукупність всіх етапів розробки стандарту</w:t>
      </w:r>
      <w:r w:rsidRPr="000977F7">
        <w:rPr>
          <w:rFonts w:asciiTheme="majorHAnsi" w:hAnsiTheme="majorHAnsi"/>
          <w:spacing w:val="1"/>
          <w:sz w:val="20"/>
          <w:szCs w:val="20"/>
        </w:rPr>
        <w:t xml:space="preserve"> </w:t>
      </w:r>
      <w:r w:rsidRPr="000977F7">
        <w:rPr>
          <w:rFonts w:asciiTheme="majorHAnsi" w:hAnsiTheme="majorHAnsi"/>
          <w:b/>
          <w:sz w:val="20"/>
          <w:szCs w:val="20"/>
        </w:rPr>
        <w:t>ПОВНОВАЖЕННЯ ІНШИХ</w:t>
      </w:r>
      <w:r w:rsidRPr="000977F7">
        <w:rPr>
          <w:rFonts w:asciiTheme="majorHAnsi" w:hAnsiTheme="majorHAnsi"/>
          <w:b/>
          <w:spacing w:val="1"/>
          <w:sz w:val="20"/>
          <w:szCs w:val="20"/>
        </w:rPr>
        <w:t xml:space="preserve"> </w:t>
      </w:r>
      <w:r w:rsidRPr="000977F7">
        <w:rPr>
          <w:rFonts w:asciiTheme="majorHAnsi" w:hAnsiTheme="majorHAnsi"/>
          <w:b/>
          <w:sz w:val="20"/>
          <w:szCs w:val="20"/>
        </w:rPr>
        <w:t>ОРГАНІВ</w:t>
      </w:r>
      <w:r w:rsidRPr="000977F7">
        <w:rPr>
          <w:rFonts w:asciiTheme="majorHAnsi" w:hAnsiTheme="majorHAnsi"/>
          <w:b/>
          <w:spacing w:val="1"/>
          <w:sz w:val="20"/>
          <w:szCs w:val="20"/>
        </w:rPr>
        <w:t xml:space="preserve"> </w:t>
      </w:r>
    </w:p>
    <w:p w14:paraId="2F19C533"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pacing w:val="1"/>
          <w:sz w:val="20"/>
          <w:szCs w:val="20"/>
        </w:rPr>
        <w:t xml:space="preserve">ДЕРЖАВНОЇ </w:t>
      </w:r>
      <w:r w:rsidRPr="000977F7">
        <w:rPr>
          <w:rFonts w:asciiTheme="majorHAnsi" w:hAnsiTheme="majorHAnsi"/>
          <w:b/>
          <w:sz w:val="20"/>
          <w:szCs w:val="20"/>
        </w:rPr>
        <w:t>ВЛАДИ ЩОДО ЗАХИСТУ ПРАВ</w:t>
      </w:r>
      <w:r w:rsidRPr="000977F7">
        <w:rPr>
          <w:rFonts w:asciiTheme="majorHAnsi" w:hAnsiTheme="majorHAnsi"/>
          <w:b/>
          <w:spacing w:val="1"/>
          <w:sz w:val="20"/>
          <w:szCs w:val="20"/>
        </w:rPr>
        <w:t xml:space="preserve"> </w:t>
      </w:r>
      <w:r w:rsidRPr="000977F7">
        <w:rPr>
          <w:rFonts w:asciiTheme="majorHAnsi" w:hAnsiTheme="majorHAnsi"/>
          <w:b/>
          <w:sz w:val="20"/>
          <w:szCs w:val="20"/>
        </w:rPr>
        <w:t>СПОЖИВАЧІВ –</w:t>
      </w:r>
    </w:p>
    <w:p w14:paraId="0AAEF77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Інші органи державної влади здійснюють державний</w:t>
      </w:r>
      <w:r w:rsidRPr="000977F7">
        <w:rPr>
          <w:rFonts w:asciiTheme="majorHAnsi" w:hAnsiTheme="majorHAnsi"/>
          <w:spacing w:val="1"/>
          <w:sz w:val="20"/>
          <w:szCs w:val="20"/>
        </w:rPr>
        <w:t xml:space="preserve"> </w:t>
      </w:r>
      <w:r w:rsidRPr="000977F7">
        <w:rPr>
          <w:rFonts w:asciiTheme="majorHAnsi" w:hAnsiTheme="majorHAnsi"/>
          <w:sz w:val="20"/>
          <w:szCs w:val="20"/>
        </w:rPr>
        <w:t>захист</w:t>
      </w:r>
      <w:r w:rsidRPr="000977F7">
        <w:rPr>
          <w:rFonts w:asciiTheme="majorHAnsi" w:hAnsiTheme="majorHAnsi"/>
          <w:spacing w:val="1"/>
          <w:sz w:val="20"/>
          <w:szCs w:val="20"/>
        </w:rPr>
        <w:t xml:space="preserve"> </w:t>
      </w:r>
      <w:r w:rsidRPr="000977F7">
        <w:rPr>
          <w:rFonts w:asciiTheme="majorHAnsi" w:hAnsiTheme="majorHAnsi"/>
          <w:sz w:val="20"/>
          <w:szCs w:val="20"/>
        </w:rPr>
        <w:t>прав</w:t>
      </w:r>
      <w:r w:rsidRPr="000977F7">
        <w:rPr>
          <w:rFonts w:asciiTheme="majorHAnsi" w:hAnsiTheme="majorHAnsi"/>
          <w:spacing w:val="1"/>
          <w:sz w:val="20"/>
          <w:szCs w:val="20"/>
        </w:rPr>
        <w:t xml:space="preserve"> </w:t>
      </w:r>
      <w:r w:rsidRPr="000977F7">
        <w:rPr>
          <w:rFonts w:asciiTheme="majorHAnsi" w:hAnsiTheme="majorHAnsi"/>
          <w:sz w:val="20"/>
          <w:szCs w:val="20"/>
        </w:rPr>
        <w:t>споживачів</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межах</w:t>
      </w:r>
      <w:r w:rsidRPr="000977F7">
        <w:rPr>
          <w:rFonts w:asciiTheme="majorHAnsi" w:hAnsiTheme="majorHAnsi"/>
          <w:spacing w:val="1"/>
          <w:sz w:val="20"/>
          <w:szCs w:val="20"/>
        </w:rPr>
        <w:t xml:space="preserve"> </w:t>
      </w:r>
      <w:r w:rsidRPr="000977F7">
        <w:rPr>
          <w:rFonts w:asciiTheme="majorHAnsi" w:hAnsiTheme="majorHAnsi"/>
          <w:sz w:val="20"/>
          <w:szCs w:val="20"/>
        </w:rPr>
        <w:t>своєї</w:t>
      </w:r>
      <w:r w:rsidRPr="000977F7">
        <w:rPr>
          <w:rFonts w:asciiTheme="majorHAnsi" w:hAnsiTheme="majorHAnsi"/>
          <w:spacing w:val="1"/>
          <w:sz w:val="20"/>
          <w:szCs w:val="20"/>
        </w:rPr>
        <w:t xml:space="preserve"> </w:t>
      </w:r>
      <w:r w:rsidRPr="000977F7">
        <w:rPr>
          <w:rFonts w:asciiTheme="majorHAnsi" w:hAnsiTheme="majorHAnsi"/>
          <w:sz w:val="20"/>
          <w:szCs w:val="20"/>
        </w:rPr>
        <w:t>компетенції,</w:t>
      </w:r>
      <w:r w:rsidRPr="000977F7">
        <w:rPr>
          <w:rFonts w:asciiTheme="majorHAnsi" w:hAnsiTheme="majorHAnsi"/>
          <w:spacing w:val="-47"/>
          <w:sz w:val="20"/>
          <w:szCs w:val="20"/>
        </w:rPr>
        <w:t xml:space="preserve"> </w:t>
      </w:r>
      <w:r w:rsidRPr="000977F7">
        <w:rPr>
          <w:rFonts w:asciiTheme="majorHAnsi" w:hAnsiTheme="majorHAnsi"/>
          <w:sz w:val="20"/>
          <w:szCs w:val="20"/>
        </w:rPr>
        <w:t>визначеної</w:t>
      </w:r>
      <w:r w:rsidRPr="000977F7">
        <w:rPr>
          <w:rFonts w:asciiTheme="majorHAnsi" w:hAnsiTheme="majorHAnsi"/>
          <w:spacing w:val="-2"/>
          <w:sz w:val="20"/>
          <w:szCs w:val="20"/>
        </w:rPr>
        <w:t xml:space="preserve"> </w:t>
      </w:r>
      <w:r w:rsidRPr="000977F7">
        <w:rPr>
          <w:rFonts w:asciiTheme="majorHAnsi" w:hAnsiTheme="majorHAnsi"/>
          <w:sz w:val="20"/>
          <w:szCs w:val="20"/>
        </w:rPr>
        <w:t>законом.</w:t>
      </w:r>
    </w:p>
    <w:p w14:paraId="7558641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Ст.27 Закону України "Про захист прав споживачів"</w:t>
      </w:r>
    </w:p>
    <w:p w14:paraId="5B04108E"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ПОВНОВАЖЕННЯ</w:t>
      </w:r>
      <w:r w:rsidRPr="000977F7">
        <w:rPr>
          <w:rFonts w:asciiTheme="majorHAnsi" w:hAnsiTheme="majorHAnsi"/>
          <w:b/>
          <w:spacing w:val="1"/>
          <w:sz w:val="20"/>
          <w:szCs w:val="20"/>
        </w:rPr>
        <w:t xml:space="preserve"> </w:t>
      </w:r>
      <w:r w:rsidRPr="000977F7">
        <w:rPr>
          <w:rFonts w:asciiTheme="majorHAnsi" w:hAnsiTheme="majorHAnsi"/>
          <w:b/>
          <w:sz w:val="20"/>
          <w:szCs w:val="20"/>
        </w:rPr>
        <w:t>МІСЦЕВИХ</w:t>
      </w:r>
      <w:r w:rsidRPr="000977F7">
        <w:rPr>
          <w:rFonts w:asciiTheme="majorHAnsi" w:hAnsiTheme="majorHAnsi"/>
          <w:b/>
          <w:spacing w:val="1"/>
          <w:sz w:val="20"/>
          <w:szCs w:val="20"/>
        </w:rPr>
        <w:t xml:space="preserve"> </w:t>
      </w:r>
      <w:r w:rsidRPr="000977F7">
        <w:rPr>
          <w:rFonts w:asciiTheme="majorHAnsi" w:hAnsiTheme="majorHAnsi"/>
          <w:b/>
          <w:sz w:val="20"/>
          <w:szCs w:val="20"/>
        </w:rPr>
        <w:t>РАД</w:t>
      </w:r>
      <w:r w:rsidRPr="000977F7">
        <w:rPr>
          <w:rFonts w:asciiTheme="majorHAnsi" w:hAnsiTheme="majorHAnsi"/>
          <w:b/>
          <w:spacing w:val="1"/>
          <w:sz w:val="20"/>
          <w:szCs w:val="20"/>
        </w:rPr>
        <w:t xml:space="preserve"> </w:t>
      </w:r>
      <w:r w:rsidRPr="000977F7">
        <w:rPr>
          <w:rFonts w:asciiTheme="majorHAnsi" w:hAnsiTheme="majorHAnsi"/>
          <w:b/>
          <w:sz w:val="20"/>
          <w:szCs w:val="20"/>
        </w:rPr>
        <w:t>У</w:t>
      </w:r>
      <w:r w:rsidRPr="000977F7">
        <w:rPr>
          <w:rFonts w:asciiTheme="majorHAnsi" w:hAnsiTheme="majorHAnsi"/>
          <w:b/>
          <w:spacing w:val="1"/>
          <w:sz w:val="20"/>
          <w:szCs w:val="20"/>
        </w:rPr>
        <w:t xml:space="preserve"> </w:t>
      </w:r>
      <w:r w:rsidRPr="000977F7">
        <w:rPr>
          <w:rFonts w:asciiTheme="majorHAnsi" w:hAnsiTheme="majorHAnsi"/>
          <w:b/>
          <w:sz w:val="20"/>
          <w:szCs w:val="20"/>
        </w:rPr>
        <w:t>ГАЛУЗІ</w:t>
      </w:r>
      <w:r w:rsidRPr="000977F7">
        <w:rPr>
          <w:rFonts w:asciiTheme="majorHAnsi" w:hAnsiTheme="majorHAnsi"/>
          <w:b/>
          <w:spacing w:val="-47"/>
          <w:sz w:val="20"/>
          <w:szCs w:val="20"/>
        </w:rPr>
        <w:t xml:space="preserve"> </w:t>
      </w:r>
      <w:r w:rsidRPr="000977F7">
        <w:rPr>
          <w:rFonts w:asciiTheme="majorHAnsi" w:hAnsiTheme="majorHAnsi"/>
          <w:b/>
          <w:sz w:val="20"/>
          <w:szCs w:val="20"/>
        </w:rPr>
        <w:t>ОХОРОНИ</w:t>
      </w:r>
      <w:r w:rsidRPr="000977F7">
        <w:rPr>
          <w:rFonts w:asciiTheme="majorHAnsi" w:hAnsiTheme="majorHAnsi"/>
          <w:b/>
          <w:spacing w:val="1"/>
          <w:sz w:val="20"/>
          <w:szCs w:val="20"/>
        </w:rPr>
        <w:t xml:space="preserve"> </w:t>
      </w:r>
      <w:r w:rsidRPr="000977F7">
        <w:rPr>
          <w:rFonts w:asciiTheme="majorHAnsi" w:hAnsiTheme="majorHAnsi"/>
          <w:b/>
          <w:sz w:val="20"/>
          <w:szCs w:val="20"/>
        </w:rPr>
        <w:t>НАВКОЛИШНЬОГО</w:t>
      </w:r>
      <w:r w:rsidRPr="000977F7">
        <w:rPr>
          <w:rFonts w:asciiTheme="majorHAnsi" w:hAnsiTheme="majorHAnsi"/>
          <w:b/>
          <w:spacing w:val="1"/>
          <w:sz w:val="20"/>
          <w:szCs w:val="20"/>
        </w:rPr>
        <w:t xml:space="preserve"> </w:t>
      </w:r>
      <w:r w:rsidRPr="000977F7">
        <w:rPr>
          <w:rFonts w:asciiTheme="majorHAnsi" w:hAnsiTheme="majorHAnsi"/>
          <w:b/>
          <w:sz w:val="20"/>
          <w:szCs w:val="20"/>
        </w:rPr>
        <w:t>ПРИРОДНОГО</w:t>
      </w:r>
      <w:r w:rsidRPr="000977F7">
        <w:rPr>
          <w:rFonts w:asciiTheme="majorHAnsi" w:hAnsiTheme="majorHAnsi"/>
          <w:b/>
          <w:spacing w:val="-47"/>
          <w:sz w:val="20"/>
          <w:szCs w:val="20"/>
        </w:rPr>
        <w:t xml:space="preserve"> </w:t>
      </w:r>
      <w:r w:rsidRPr="000977F7">
        <w:rPr>
          <w:rFonts w:asciiTheme="majorHAnsi" w:hAnsiTheme="majorHAnsi"/>
          <w:b/>
          <w:sz w:val="20"/>
          <w:szCs w:val="20"/>
        </w:rPr>
        <w:t>СЕРЕДОВИЩА</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45FC07E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Місцеві ради несуть відповідальність за стан навколишнього</w:t>
      </w:r>
      <w:r w:rsidRPr="000977F7">
        <w:rPr>
          <w:rFonts w:asciiTheme="majorHAnsi" w:hAnsiTheme="majorHAnsi"/>
          <w:spacing w:val="-3"/>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3"/>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3"/>
          <w:sz w:val="20"/>
          <w:szCs w:val="20"/>
        </w:rPr>
        <w:t xml:space="preserve"> </w:t>
      </w:r>
      <w:r w:rsidRPr="000977F7">
        <w:rPr>
          <w:rFonts w:asciiTheme="majorHAnsi" w:hAnsiTheme="majorHAnsi"/>
          <w:sz w:val="20"/>
          <w:szCs w:val="20"/>
        </w:rPr>
        <w:t>на</w:t>
      </w:r>
      <w:r w:rsidRPr="000977F7">
        <w:rPr>
          <w:rFonts w:asciiTheme="majorHAnsi" w:hAnsiTheme="majorHAnsi"/>
          <w:spacing w:val="-4"/>
          <w:sz w:val="20"/>
          <w:szCs w:val="20"/>
        </w:rPr>
        <w:t xml:space="preserve"> </w:t>
      </w:r>
      <w:r w:rsidRPr="000977F7">
        <w:rPr>
          <w:rFonts w:asciiTheme="majorHAnsi" w:hAnsiTheme="majorHAnsi"/>
          <w:sz w:val="20"/>
          <w:szCs w:val="20"/>
        </w:rPr>
        <w:t>своїй</w:t>
      </w:r>
      <w:r w:rsidRPr="000977F7">
        <w:rPr>
          <w:rFonts w:asciiTheme="majorHAnsi" w:hAnsiTheme="majorHAnsi"/>
          <w:spacing w:val="-4"/>
          <w:sz w:val="20"/>
          <w:szCs w:val="20"/>
        </w:rPr>
        <w:t xml:space="preserve"> </w:t>
      </w:r>
      <w:r w:rsidRPr="000977F7">
        <w:rPr>
          <w:rFonts w:asciiTheme="majorHAnsi" w:hAnsiTheme="majorHAnsi"/>
          <w:sz w:val="20"/>
          <w:szCs w:val="20"/>
        </w:rPr>
        <w:t>території</w:t>
      </w:r>
      <w:r w:rsidRPr="000977F7">
        <w:rPr>
          <w:rFonts w:asciiTheme="majorHAnsi" w:hAnsiTheme="majorHAnsi"/>
          <w:spacing w:val="-4"/>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межах</w:t>
      </w:r>
      <w:r w:rsidRPr="000977F7">
        <w:rPr>
          <w:rFonts w:asciiTheme="majorHAnsi" w:hAnsiTheme="majorHAnsi"/>
          <w:spacing w:val="-2"/>
          <w:sz w:val="20"/>
          <w:szCs w:val="20"/>
        </w:rPr>
        <w:t xml:space="preserve"> </w:t>
      </w:r>
      <w:r w:rsidRPr="000977F7">
        <w:rPr>
          <w:rFonts w:asciiTheme="majorHAnsi" w:hAnsiTheme="majorHAnsi"/>
          <w:sz w:val="20"/>
          <w:szCs w:val="20"/>
        </w:rPr>
        <w:t>своєї</w:t>
      </w:r>
      <w:r w:rsidRPr="000977F7">
        <w:rPr>
          <w:rFonts w:asciiTheme="majorHAnsi" w:hAnsiTheme="majorHAnsi"/>
          <w:spacing w:val="-1"/>
          <w:sz w:val="20"/>
          <w:szCs w:val="20"/>
        </w:rPr>
        <w:t xml:space="preserve"> </w:t>
      </w:r>
      <w:r w:rsidRPr="000977F7">
        <w:rPr>
          <w:rFonts w:asciiTheme="majorHAnsi" w:hAnsiTheme="majorHAnsi"/>
          <w:sz w:val="20"/>
          <w:szCs w:val="20"/>
        </w:rPr>
        <w:t>компетенції:</w:t>
      </w:r>
    </w:p>
    <w:p w14:paraId="70C80D7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5"/>
          <w:sz w:val="20"/>
          <w:szCs w:val="20"/>
        </w:rPr>
        <w:t xml:space="preserve"> </w:t>
      </w:r>
      <w:r w:rsidRPr="000977F7">
        <w:rPr>
          <w:rFonts w:asciiTheme="majorHAnsi" w:hAnsiTheme="majorHAnsi"/>
          <w:sz w:val="20"/>
          <w:szCs w:val="20"/>
        </w:rPr>
        <w:t>забезпечують</w:t>
      </w:r>
      <w:r w:rsidRPr="000977F7">
        <w:rPr>
          <w:rFonts w:asciiTheme="majorHAnsi" w:hAnsiTheme="majorHAnsi"/>
          <w:spacing w:val="-5"/>
          <w:sz w:val="20"/>
          <w:szCs w:val="20"/>
        </w:rPr>
        <w:t xml:space="preserve"> </w:t>
      </w:r>
      <w:r w:rsidRPr="000977F7">
        <w:rPr>
          <w:rFonts w:asciiTheme="majorHAnsi" w:hAnsiTheme="majorHAnsi"/>
          <w:sz w:val="20"/>
          <w:szCs w:val="20"/>
        </w:rPr>
        <w:t>реалізацію</w:t>
      </w:r>
      <w:r w:rsidRPr="000977F7">
        <w:rPr>
          <w:rFonts w:asciiTheme="majorHAnsi" w:hAnsiTheme="majorHAnsi"/>
          <w:spacing w:val="-5"/>
          <w:sz w:val="20"/>
          <w:szCs w:val="20"/>
        </w:rPr>
        <w:t xml:space="preserve"> </w:t>
      </w:r>
      <w:r w:rsidRPr="000977F7">
        <w:rPr>
          <w:rFonts w:asciiTheme="majorHAnsi" w:hAnsiTheme="majorHAnsi"/>
          <w:sz w:val="20"/>
          <w:szCs w:val="20"/>
        </w:rPr>
        <w:t>екологічної</w:t>
      </w:r>
      <w:r w:rsidRPr="000977F7">
        <w:rPr>
          <w:rFonts w:asciiTheme="majorHAnsi" w:hAnsiTheme="majorHAnsi"/>
          <w:spacing w:val="-4"/>
          <w:sz w:val="20"/>
          <w:szCs w:val="20"/>
        </w:rPr>
        <w:t xml:space="preserve"> </w:t>
      </w:r>
      <w:r w:rsidRPr="000977F7">
        <w:rPr>
          <w:rFonts w:asciiTheme="majorHAnsi" w:hAnsiTheme="majorHAnsi"/>
          <w:sz w:val="20"/>
          <w:szCs w:val="20"/>
        </w:rPr>
        <w:t>політики</w:t>
      </w:r>
      <w:r w:rsidRPr="000977F7">
        <w:rPr>
          <w:rFonts w:asciiTheme="majorHAnsi" w:hAnsiTheme="majorHAnsi"/>
          <w:spacing w:val="-47"/>
          <w:sz w:val="20"/>
          <w:szCs w:val="20"/>
        </w:rPr>
        <w:t xml:space="preserve"> </w:t>
      </w:r>
      <w:r w:rsidRPr="000977F7">
        <w:rPr>
          <w:rFonts w:asciiTheme="majorHAnsi" w:hAnsiTheme="majorHAnsi"/>
          <w:sz w:val="20"/>
          <w:szCs w:val="20"/>
        </w:rPr>
        <w:t>України,</w:t>
      </w:r>
      <w:r w:rsidRPr="000977F7">
        <w:rPr>
          <w:rFonts w:asciiTheme="majorHAnsi" w:hAnsiTheme="majorHAnsi"/>
          <w:spacing w:val="-1"/>
          <w:sz w:val="20"/>
          <w:szCs w:val="20"/>
        </w:rPr>
        <w:t xml:space="preserve"> </w:t>
      </w:r>
      <w:r w:rsidRPr="000977F7">
        <w:rPr>
          <w:rFonts w:asciiTheme="majorHAnsi" w:hAnsiTheme="majorHAnsi"/>
          <w:sz w:val="20"/>
          <w:szCs w:val="20"/>
        </w:rPr>
        <w:t>екологічних</w:t>
      </w:r>
      <w:r w:rsidRPr="000977F7">
        <w:rPr>
          <w:rFonts w:asciiTheme="majorHAnsi" w:hAnsiTheme="majorHAnsi"/>
          <w:spacing w:val="-2"/>
          <w:sz w:val="20"/>
          <w:szCs w:val="20"/>
        </w:rPr>
        <w:t xml:space="preserve"> </w:t>
      </w:r>
      <w:r w:rsidRPr="000977F7">
        <w:rPr>
          <w:rFonts w:asciiTheme="majorHAnsi" w:hAnsiTheme="majorHAnsi"/>
          <w:sz w:val="20"/>
          <w:szCs w:val="20"/>
        </w:rPr>
        <w:t>прав</w:t>
      </w:r>
      <w:r w:rsidRPr="000977F7">
        <w:rPr>
          <w:rFonts w:asciiTheme="majorHAnsi" w:hAnsiTheme="majorHAnsi"/>
          <w:spacing w:val="-1"/>
          <w:sz w:val="20"/>
          <w:szCs w:val="20"/>
        </w:rPr>
        <w:t xml:space="preserve"> </w:t>
      </w:r>
      <w:r w:rsidRPr="000977F7">
        <w:rPr>
          <w:rFonts w:asciiTheme="majorHAnsi" w:hAnsiTheme="majorHAnsi"/>
          <w:sz w:val="20"/>
          <w:szCs w:val="20"/>
        </w:rPr>
        <w:t>громадян;</w:t>
      </w:r>
    </w:p>
    <w:p w14:paraId="45B9ABA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 дають згоду на розміщення на своїй території підприємств, установ і організацій у порядку, визначеному</w:t>
      </w:r>
      <w:r w:rsidRPr="000977F7">
        <w:rPr>
          <w:rFonts w:asciiTheme="majorHAnsi" w:hAnsiTheme="majorHAnsi"/>
          <w:spacing w:val="-5"/>
          <w:sz w:val="20"/>
          <w:szCs w:val="20"/>
        </w:rPr>
        <w:t xml:space="preserve"> </w:t>
      </w:r>
      <w:r w:rsidRPr="000977F7">
        <w:rPr>
          <w:rFonts w:asciiTheme="majorHAnsi" w:hAnsiTheme="majorHAnsi"/>
          <w:sz w:val="20"/>
          <w:szCs w:val="20"/>
        </w:rPr>
        <w:t>законом;</w:t>
      </w:r>
    </w:p>
    <w:p w14:paraId="7EFB17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 затверджують з урахуванням екологічних вимог</w:t>
      </w:r>
      <w:r w:rsidRPr="000977F7">
        <w:rPr>
          <w:rFonts w:asciiTheme="majorHAnsi" w:hAnsiTheme="majorHAnsi"/>
          <w:spacing w:val="1"/>
          <w:sz w:val="20"/>
          <w:szCs w:val="20"/>
        </w:rPr>
        <w:t xml:space="preserve"> </w:t>
      </w:r>
      <w:r w:rsidRPr="000977F7">
        <w:rPr>
          <w:rFonts w:asciiTheme="majorHAnsi" w:hAnsiTheme="majorHAnsi"/>
          <w:sz w:val="20"/>
          <w:szCs w:val="20"/>
        </w:rPr>
        <w:t>проекти</w:t>
      </w:r>
      <w:r w:rsidRPr="000977F7">
        <w:rPr>
          <w:rFonts w:asciiTheme="majorHAnsi" w:hAnsiTheme="majorHAnsi"/>
          <w:spacing w:val="-3"/>
          <w:sz w:val="20"/>
          <w:szCs w:val="20"/>
        </w:rPr>
        <w:t xml:space="preserve"> </w:t>
      </w:r>
      <w:r w:rsidRPr="000977F7">
        <w:rPr>
          <w:rFonts w:asciiTheme="majorHAnsi" w:hAnsiTheme="majorHAnsi"/>
          <w:sz w:val="20"/>
          <w:szCs w:val="20"/>
        </w:rPr>
        <w:t>планіровки</w:t>
      </w:r>
      <w:r w:rsidRPr="000977F7">
        <w:rPr>
          <w:rFonts w:asciiTheme="majorHAnsi" w:hAnsiTheme="majorHAnsi"/>
          <w:spacing w:val="-4"/>
          <w:sz w:val="20"/>
          <w:szCs w:val="20"/>
        </w:rPr>
        <w:t xml:space="preserve"> </w:t>
      </w:r>
      <w:r w:rsidRPr="000977F7">
        <w:rPr>
          <w:rFonts w:asciiTheme="majorHAnsi" w:hAnsiTheme="majorHAnsi"/>
          <w:sz w:val="20"/>
          <w:szCs w:val="20"/>
        </w:rPr>
        <w:t>і</w:t>
      </w:r>
      <w:r w:rsidRPr="000977F7">
        <w:rPr>
          <w:rFonts w:asciiTheme="majorHAnsi" w:hAnsiTheme="majorHAnsi"/>
          <w:spacing w:val="-5"/>
          <w:sz w:val="20"/>
          <w:szCs w:val="20"/>
        </w:rPr>
        <w:t xml:space="preserve"> </w:t>
      </w:r>
      <w:r w:rsidRPr="000977F7">
        <w:rPr>
          <w:rFonts w:asciiTheme="majorHAnsi" w:hAnsiTheme="majorHAnsi"/>
          <w:sz w:val="20"/>
          <w:szCs w:val="20"/>
        </w:rPr>
        <w:t>забудови</w:t>
      </w:r>
      <w:r w:rsidRPr="000977F7">
        <w:rPr>
          <w:rFonts w:asciiTheme="majorHAnsi" w:hAnsiTheme="majorHAnsi"/>
          <w:spacing w:val="-5"/>
          <w:sz w:val="20"/>
          <w:szCs w:val="20"/>
        </w:rPr>
        <w:t xml:space="preserve"> </w:t>
      </w:r>
      <w:r w:rsidRPr="000977F7">
        <w:rPr>
          <w:rFonts w:asciiTheme="majorHAnsi" w:hAnsiTheme="majorHAnsi"/>
          <w:sz w:val="20"/>
          <w:szCs w:val="20"/>
        </w:rPr>
        <w:t>населених</w:t>
      </w:r>
      <w:r w:rsidRPr="000977F7">
        <w:rPr>
          <w:rFonts w:asciiTheme="majorHAnsi" w:hAnsiTheme="majorHAnsi"/>
          <w:spacing w:val="-4"/>
          <w:sz w:val="20"/>
          <w:szCs w:val="20"/>
        </w:rPr>
        <w:t xml:space="preserve"> </w:t>
      </w:r>
      <w:r w:rsidRPr="000977F7">
        <w:rPr>
          <w:rFonts w:asciiTheme="majorHAnsi" w:hAnsiTheme="majorHAnsi"/>
          <w:sz w:val="20"/>
          <w:szCs w:val="20"/>
        </w:rPr>
        <w:t>пунктів,</w:t>
      </w:r>
      <w:r w:rsidRPr="000977F7">
        <w:rPr>
          <w:rFonts w:asciiTheme="majorHAnsi" w:hAnsiTheme="majorHAnsi"/>
          <w:spacing w:val="-4"/>
          <w:sz w:val="20"/>
          <w:szCs w:val="20"/>
        </w:rPr>
        <w:t xml:space="preserve"> </w:t>
      </w:r>
      <w:r w:rsidRPr="000977F7">
        <w:rPr>
          <w:rFonts w:asciiTheme="majorHAnsi" w:hAnsiTheme="majorHAnsi"/>
          <w:sz w:val="20"/>
          <w:szCs w:val="20"/>
        </w:rPr>
        <w:t>їх</w:t>
      </w:r>
      <w:r w:rsidRPr="000977F7">
        <w:rPr>
          <w:rFonts w:asciiTheme="majorHAnsi" w:hAnsiTheme="majorHAnsi"/>
          <w:spacing w:val="-47"/>
          <w:sz w:val="20"/>
          <w:szCs w:val="20"/>
        </w:rPr>
        <w:t xml:space="preserve"> </w:t>
      </w:r>
      <w:r w:rsidRPr="000977F7">
        <w:rPr>
          <w:rFonts w:asciiTheme="majorHAnsi" w:hAnsiTheme="majorHAnsi"/>
          <w:sz w:val="20"/>
          <w:szCs w:val="20"/>
        </w:rPr>
        <w:t>генеральні</w:t>
      </w:r>
      <w:r w:rsidRPr="000977F7">
        <w:rPr>
          <w:rFonts w:asciiTheme="majorHAnsi" w:hAnsiTheme="majorHAnsi"/>
          <w:spacing w:val="-3"/>
          <w:sz w:val="20"/>
          <w:szCs w:val="20"/>
        </w:rPr>
        <w:t xml:space="preserve"> </w:t>
      </w:r>
      <w:r w:rsidRPr="000977F7">
        <w:rPr>
          <w:rFonts w:asciiTheme="majorHAnsi" w:hAnsiTheme="majorHAnsi"/>
          <w:sz w:val="20"/>
          <w:szCs w:val="20"/>
        </w:rPr>
        <w:t>плани</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схеми</w:t>
      </w:r>
      <w:r w:rsidRPr="000977F7">
        <w:rPr>
          <w:rFonts w:asciiTheme="majorHAnsi" w:hAnsiTheme="majorHAnsi"/>
          <w:spacing w:val="-2"/>
          <w:sz w:val="20"/>
          <w:szCs w:val="20"/>
        </w:rPr>
        <w:t xml:space="preserve"> </w:t>
      </w:r>
      <w:r w:rsidRPr="000977F7">
        <w:rPr>
          <w:rFonts w:asciiTheme="majorHAnsi" w:hAnsiTheme="majorHAnsi"/>
          <w:sz w:val="20"/>
          <w:szCs w:val="20"/>
        </w:rPr>
        <w:t>промислових</w:t>
      </w:r>
      <w:r w:rsidRPr="000977F7">
        <w:rPr>
          <w:rFonts w:asciiTheme="majorHAnsi" w:hAnsiTheme="majorHAnsi"/>
          <w:spacing w:val="-3"/>
          <w:sz w:val="20"/>
          <w:szCs w:val="20"/>
        </w:rPr>
        <w:t xml:space="preserve"> </w:t>
      </w:r>
      <w:r w:rsidRPr="000977F7">
        <w:rPr>
          <w:rFonts w:asciiTheme="majorHAnsi" w:hAnsiTheme="majorHAnsi"/>
          <w:sz w:val="20"/>
          <w:szCs w:val="20"/>
        </w:rPr>
        <w:t>вузлів;</w:t>
      </w:r>
    </w:p>
    <w:p w14:paraId="01C6864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 видають (переоформлюють, видають дублікати,</w:t>
      </w:r>
      <w:r w:rsidRPr="000977F7">
        <w:rPr>
          <w:rFonts w:asciiTheme="majorHAnsi" w:hAnsiTheme="majorHAnsi"/>
          <w:spacing w:val="1"/>
          <w:sz w:val="20"/>
          <w:szCs w:val="20"/>
        </w:rPr>
        <w:t xml:space="preserve"> </w:t>
      </w:r>
      <w:r w:rsidRPr="000977F7">
        <w:rPr>
          <w:rFonts w:asciiTheme="majorHAnsi" w:hAnsiTheme="majorHAnsi"/>
          <w:sz w:val="20"/>
          <w:szCs w:val="20"/>
        </w:rPr>
        <w:t>анулюють) дозволи на спеціальне використання природних ресурсів місцевого значення у випадках, передбачених</w:t>
      </w:r>
      <w:r w:rsidRPr="000977F7">
        <w:rPr>
          <w:rFonts w:asciiTheme="majorHAnsi" w:hAnsiTheme="majorHAnsi"/>
          <w:spacing w:val="-2"/>
          <w:sz w:val="20"/>
          <w:szCs w:val="20"/>
        </w:rPr>
        <w:t xml:space="preserve"> </w:t>
      </w:r>
      <w:r w:rsidRPr="000977F7">
        <w:rPr>
          <w:rFonts w:asciiTheme="majorHAnsi" w:hAnsiTheme="majorHAnsi"/>
          <w:sz w:val="20"/>
          <w:szCs w:val="20"/>
        </w:rPr>
        <w:t>законом;</w:t>
      </w:r>
    </w:p>
    <w:p w14:paraId="381954B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w:t>
      </w:r>
      <w:r w:rsidRPr="000977F7">
        <w:rPr>
          <w:rFonts w:asciiTheme="majorHAnsi" w:hAnsiTheme="majorHAnsi"/>
          <w:spacing w:val="-5"/>
          <w:sz w:val="20"/>
          <w:szCs w:val="20"/>
        </w:rPr>
        <w:t xml:space="preserve"> </w:t>
      </w:r>
      <w:r w:rsidRPr="000977F7">
        <w:rPr>
          <w:rFonts w:asciiTheme="majorHAnsi" w:hAnsiTheme="majorHAnsi"/>
          <w:sz w:val="20"/>
          <w:szCs w:val="20"/>
        </w:rPr>
        <w:t>затверджують</w:t>
      </w:r>
      <w:r w:rsidRPr="000977F7">
        <w:rPr>
          <w:rFonts w:asciiTheme="majorHAnsi" w:hAnsiTheme="majorHAnsi"/>
          <w:spacing w:val="-4"/>
          <w:sz w:val="20"/>
          <w:szCs w:val="20"/>
        </w:rPr>
        <w:t xml:space="preserve"> </w:t>
      </w:r>
      <w:r w:rsidRPr="000977F7">
        <w:rPr>
          <w:rFonts w:asciiTheme="majorHAnsi" w:hAnsiTheme="majorHAnsi"/>
          <w:sz w:val="20"/>
          <w:szCs w:val="20"/>
        </w:rPr>
        <w:t>місцеві</w:t>
      </w:r>
      <w:r w:rsidRPr="000977F7">
        <w:rPr>
          <w:rFonts w:asciiTheme="majorHAnsi" w:hAnsiTheme="majorHAnsi"/>
          <w:spacing w:val="-5"/>
          <w:sz w:val="20"/>
          <w:szCs w:val="20"/>
        </w:rPr>
        <w:t xml:space="preserve"> </w:t>
      </w:r>
      <w:r w:rsidRPr="000977F7">
        <w:rPr>
          <w:rFonts w:asciiTheme="majorHAnsi" w:hAnsiTheme="majorHAnsi"/>
          <w:sz w:val="20"/>
          <w:szCs w:val="20"/>
        </w:rPr>
        <w:t>екологічні</w:t>
      </w:r>
      <w:r w:rsidRPr="000977F7">
        <w:rPr>
          <w:rFonts w:asciiTheme="majorHAnsi" w:hAnsiTheme="majorHAnsi"/>
          <w:spacing w:val="-2"/>
          <w:sz w:val="20"/>
          <w:szCs w:val="20"/>
        </w:rPr>
        <w:t xml:space="preserve"> </w:t>
      </w:r>
      <w:r w:rsidRPr="000977F7">
        <w:rPr>
          <w:rFonts w:asciiTheme="majorHAnsi" w:hAnsiTheme="majorHAnsi"/>
          <w:sz w:val="20"/>
          <w:szCs w:val="20"/>
        </w:rPr>
        <w:t>програми;</w:t>
      </w:r>
    </w:p>
    <w:p w14:paraId="3ED4AA6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 організовують вивчення навколишнього природного середовища;</w:t>
      </w:r>
    </w:p>
    <w:p w14:paraId="7F9B31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є) створюють і визначають статус резервних, в тому</w:t>
      </w:r>
      <w:r w:rsidRPr="000977F7">
        <w:rPr>
          <w:rFonts w:asciiTheme="majorHAnsi" w:hAnsiTheme="majorHAnsi"/>
          <w:spacing w:val="-47"/>
          <w:sz w:val="20"/>
          <w:szCs w:val="20"/>
        </w:rPr>
        <w:t xml:space="preserve"> </w:t>
      </w:r>
      <w:r w:rsidRPr="000977F7">
        <w:rPr>
          <w:rFonts w:asciiTheme="majorHAnsi" w:hAnsiTheme="majorHAnsi"/>
          <w:sz w:val="20"/>
          <w:szCs w:val="20"/>
        </w:rPr>
        <w:t>числі й валютних, фондів для фінансування програм</w:t>
      </w:r>
      <w:r w:rsidRPr="000977F7">
        <w:rPr>
          <w:rFonts w:asciiTheme="majorHAnsi" w:hAnsiTheme="majorHAnsi"/>
          <w:spacing w:val="-47"/>
          <w:sz w:val="20"/>
          <w:szCs w:val="20"/>
        </w:rPr>
        <w:t xml:space="preserve"> </w:t>
      </w:r>
      <w:r w:rsidRPr="000977F7">
        <w:rPr>
          <w:rFonts w:asciiTheme="majorHAnsi" w:hAnsiTheme="majorHAnsi"/>
          <w:sz w:val="20"/>
          <w:szCs w:val="20"/>
        </w:rPr>
        <w:t>та інших заходів щодо охорони навколишнього природного середовища;</w:t>
      </w:r>
    </w:p>
    <w:p w14:paraId="7FCC988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 забезпечують інформування населення про стан</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 природного середовища, функціонування місцевих екологічних автоматизованих інформаційно-аналітичних</w:t>
      </w:r>
      <w:r w:rsidRPr="000977F7">
        <w:rPr>
          <w:rFonts w:asciiTheme="majorHAnsi" w:hAnsiTheme="majorHAnsi"/>
          <w:spacing w:val="-2"/>
          <w:sz w:val="20"/>
          <w:szCs w:val="20"/>
        </w:rPr>
        <w:t xml:space="preserve"> </w:t>
      </w:r>
      <w:r w:rsidRPr="000977F7">
        <w:rPr>
          <w:rFonts w:asciiTheme="majorHAnsi" w:hAnsiTheme="majorHAnsi"/>
          <w:sz w:val="20"/>
          <w:szCs w:val="20"/>
        </w:rPr>
        <w:t>систем;</w:t>
      </w:r>
    </w:p>
    <w:p w14:paraId="67044A2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и) організують роботу по ліквідації екологічних наслідків аварій, залучають до цих робіт 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установи та організації, незалежно від їх підпорядкування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форм власності, і</w:t>
      </w:r>
      <w:r w:rsidRPr="000977F7">
        <w:rPr>
          <w:rFonts w:asciiTheme="majorHAnsi" w:hAnsiTheme="majorHAnsi"/>
          <w:spacing w:val="-2"/>
          <w:sz w:val="20"/>
          <w:szCs w:val="20"/>
        </w:rPr>
        <w:t xml:space="preserve"> </w:t>
      </w:r>
      <w:r w:rsidRPr="000977F7">
        <w:rPr>
          <w:rFonts w:asciiTheme="majorHAnsi" w:hAnsiTheme="majorHAnsi"/>
          <w:sz w:val="20"/>
          <w:szCs w:val="20"/>
        </w:rPr>
        <w:t>громадян;</w:t>
      </w:r>
    </w:p>
    <w:p w14:paraId="2A9ED08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 приймають рішення про організацію територій та</w:t>
      </w:r>
      <w:r w:rsidRPr="000977F7">
        <w:rPr>
          <w:rFonts w:asciiTheme="majorHAnsi" w:hAnsiTheme="majorHAnsi"/>
          <w:spacing w:val="-47"/>
          <w:sz w:val="20"/>
          <w:szCs w:val="20"/>
        </w:rPr>
        <w:t xml:space="preserve"> </w:t>
      </w:r>
      <w:r w:rsidRPr="000977F7">
        <w:rPr>
          <w:rFonts w:asciiTheme="majorHAnsi" w:hAnsiTheme="majorHAnsi"/>
          <w:sz w:val="20"/>
          <w:szCs w:val="20"/>
        </w:rPr>
        <w:t xml:space="preserve">об'єктів природно-заповідного фонду місцевого значення та інших територій, що підлягають особливій </w:t>
      </w:r>
      <w:r w:rsidRPr="000977F7">
        <w:rPr>
          <w:rFonts w:asciiTheme="majorHAnsi" w:hAnsiTheme="majorHAnsi"/>
          <w:spacing w:val="-47"/>
          <w:sz w:val="20"/>
          <w:szCs w:val="20"/>
        </w:rPr>
        <w:t xml:space="preserve"> </w:t>
      </w:r>
      <w:r w:rsidRPr="000977F7">
        <w:rPr>
          <w:rFonts w:asciiTheme="majorHAnsi" w:hAnsiTheme="majorHAnsi"/>
          <w:sz w:val="20"/>
          <w:szCs w:val="20"/>
        </w:rPr>
        <w:t>охороні;</w:t>
      </w:r>
    </w:p>
    <w:p w14:paraId="29B1C0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ї) здійснюють контроль за додержанням законодавства про охорону навколишнього природного середовища.</w:t>
      </w:r>
    </w:p>
    <w:p w14:paraId="23246E9B"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sz w:val="20"/>
          <w:szCs w:val="20"/>
        </w:rPr>
        <w:t>Місцеві</w:t>
      </w:r>
      <w:r w:rsidRPr="000977F7">
        <w:rPr>
          <w:rFonts w:asciiTheme="majorHAnsi" w:hAnsiTheme="majorHAnsi"/>
          <w:spacing w:val="10"/>
          <w:sz w:val="20"/>
          <w:szCs w:val="20"/>
        </w:rPr>
        <w:t xml:space="preserve"> </w:t>
      </w:r>
      <w:r w:rsidRPr="000977F7">
        <w:rPr>
          <w:rFonts w:asciiTheme="majorHAnsi" w:hAnsiTheme="majorHAnsi"/>
          <w:sz w:val="20"/>
          <w:szCs w:val="20"/>
        </w:rPr>
        <w:t>ради</w:t>
      </w:r>
      <w:r w:rsidRPr="000977F7">
        <w:rPr>
          <w:rFonts w:asciiTheme="majorHAnsi" w:hAnsiTheme="majorHAnsi"/>
          <w:spacing w:val="9"/>
          <w:sz w:val="20"/>
          <w:szCs w:val="20"/>
        </w:rPr>
        <w:t xml:space="preserve"> </w:t>
      </w:r>
      <w:r w:rsidRPr="000977F7">
        <w:rPr>
          <w:rFonts w:asciiTheme="majorHAnsi" w:hAnsiTheme="majorHAnsi"/>
          <w:sz w:val="20"/>
          <w:szCs w:val="20"/>
        </w:rPr>
        <w:t>можуть</w:t>
      </w:r>
      <w:r w:rsidRPr="000977F7">
        <w:rPr>
          <w:rFonts w:asciiTheme="majorHAnsi" w:hAnsiTheme="majorHAnsi"/>
          <w:spacing w:val="8"/>
          <w:sz w:val="20"/>
          <w:szCs w:val="20"/>
        </w:rPr>
        <w:t xml:space="preserve"> </w:t>
      </w:r>
      <w:r w:rsidRPr="000977F7">
        <w:rPr>
          <w:rFonts w:asciiTheme="majorHAnsi" w:hAnsiTheme="majorHAnsi"/>
          <w:sz w:val="20"/>
          <w:szCs w:val="20"/>
        </w:rPr>
        <w:t>здійснювати</w:t>
      </w:r>
      <w:r w:rsidRPr="000977F7">
        <w:rPr>
          <w:rFonts w:asciiTheme="majorHAnsi" w:hAnsiTheme="majorHAnsi"/>
          <w:spacing w:val="9"/>
          <w:sz w:val="20"/>
          <w:szCs w:val="20"/>
        </w:rPr>
        <w:t xml:space="preserve"> </w:t>
      </w:r>
      <w:r w:rsidRPr="000977F7">
        <w:rPr>
          <w:rFonts w:asciiTheme="majorHAnsi" w:hAnsiTheme="majorHAnsi"/>
          <w:sz w:val="20"/>
          <w:szCs w:val="20"/>
        </w:rPr>
        <w:t>й</w:t>
      </w:r>
      <w:r w:rsidRPr="000977F7">
        <w:rPr>
          <w:rFonts w:asciiTheme="majorHAnsi" w:hAnsiTheme="majorHAnsi"/>
          <w:spacing w:val="9"/>
          <w:sz w:val="20"/>
          <w:szCs w:val="20"/>
        </w:rPr>
        <w:t xml:space="preserve"> </w:t>
      </w:r>
      <w:r w:rsidRPr="000977F7">
        <w:rPr>
          <w:rFonts w:asciiTheme="majorHAnsi" w:hAnsiTheme="majorHAnsi"/>
          <w:sz w:val="20"/>
          <w:szCs w:val="20"/>
        </w:rPr>
        <w:t>інші</w:t>
      </w:r>
      <w:r w:rsidRPr="000977F7">
        <w:rPr>
          <w:rFonts w:asciiTheme="majorHAnsi" w:hAnsiTheme="majorHAnsi"/>
          <w:spacing w:val="10"/>
          <w:sz w:val="20"/>
          <w:szCs w:val="20"/>
        </w:rPr>
        <w:t xml:space="preserve"> </w:t>
      </w:r>
      <w:r w:rsidRPr="000977F7">
        <w:rPr>
          <w:rFonts w:asciiTheme="majorHAnsi" w:hAnsiTheme="majorHAnsi"/>
          <w:sz w:val="20"/>
          <w:szCs w:val="20"/>
        </w:rPr>
        <w:t>повноваження відповідно до цього та інших законів України.</w:t>
      </w:r>
      <w:r w:rsidRPr="000977F7">
        <w:rPr>
          <w:rFonts w:asciiTheme="majorHAnsi" w:hAnsiTheme="majorHAnsi"/>
          <w:spacing w:val="1"/>
          <w:sz w:val="20"/>
          <w:szCs w:val="20"/>
        </w:rPr>
        <w:t xml:space="preserve"> </w:t>
      </w:r>
    </w:p>
    <w:p w14:paraId="47B4082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spacing w:val="1"/>
          <w:sz w:val="20"/>
          <w:szCs w:val="20"/>
        </w:rPr>
        <w:t>Ст. 15 з</w:t>
      </w:r>
      <w:r w:rsidRPr="000977F7">
        <w:rPr>
          <w:rFonts w:asciiTheme="majorHAnsi" w:hAnsiTheme="majorHAnsi"/>
          <w:i/>
          <w:sz w:val="20"/>
          <w:szCs w:val="20"/>
        </w:rPr>
        <w:t>акону України "Про охорону навколишнього природного середовища"</w:t>
      </w:r>
    </w:p>
    <w:p w14:paraId="60A888F7" w14:textId="77777777" w:rsidR="0097612F" w:rsidRPr="000977F7" w:rsidRDefault="0097612F" w:rsidP="000977F7">
      <w:pPr>
        <w:pStyle w:val="7"/>
        <w:tabs>
          <w:tab w:val="left" w:pos="284"/>
        </w:tabs>
        <w:spacing w:before="0" w:line="240" w:lineRule="auto"/>
        <w:ind w:left="170"/>
        <w:mirrorIndents/>
        <w:jc w:val="both"/>
        <w:rPr>
          <w:color w:val="auto"/>
          <w:spacing w:val="-8"/>
          <w:sz w:val="20"/>
          <w:szCs w:val="20"/>
        </w:rPr>
      </w:pPr>
      <w:r w:rsidRPr="000977F7">
        <w:rPr>
          <w:color w:val="auto"/>
          <w:spacing w:val="-8"/>
          <w:sz w:val="20"/>
          <w:szCs w:val="20"/>
        </w:rPr>
        <w:t>ПОВНОВАЖЕННЯ ОБ'ЄДНАНЬ ПІДПРИЄМСТВ У ГАЛУЗІ ОХОРОНИ ПРАЦІ –</w:t>
      </w:r>
    </w:p>
    <w:p w14:paraId="3C9B67A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4D2D14">
        <w:rPr>
          <w:rFonts w:asciiTheme="majorHAnsi" w:hAnsiTheme="majorHAnsi"/>
          <w:sz w:val="20"/>
          <w:szCs w:val="20"/>
          <w:lang w:val="uk-UA"/>
        </w:rPr>
        <w:t>Повноваження в галузі охорони праці асоціацій, корпорацій,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концернів</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та інших об'єднань визначаються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їх статутами або договорами між підприємствами, які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утворили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об'єднання.</w:t>
      </w:r>
      <w:r w:rsidRPr="004D2D14">
        <w:rPr>
          <w:rFonts w:asciiTheme="majorHAnsi" w:hAnsiTheme="majorHAnsi"/>
          <w:spacing w:val="1"/>
          <w:sz w:val="20"/>
          <w:szCs w:val="20"/>
          <w:lang w:val="uk-UA"/>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делегованих</w:t>
      </w:r>
      <w:r w:rsidRPr="000977F7">
        <w:rPr>
          <w:rFonts w:asciiTheme="majorHAnsi" w:hAnsiTheme="majorHAnsi"/>
          <w:spacing w:val="-47"/>
          <w:sz w:val="20"/>
          <w:szCs w:val="20"/>
        </w:rPr>
        <w:t xml:space="preserve"> </w:t>
      </w:r>
      <w:r w:rsidRPr="000977F7">
        <w:rPr>
          <w:rFonts w:asciiTheme="majorHAnsi" w:hAnsiTheme="majorHAnsi"/>
          <w:sz w:val="20"/>
          <w:szCs w:val="20"/>
        </w:rPr>
        <w:t>об'єднанню функцій в його апараті створюються служби</w:t>
      </w:r>
      <w:r w:rsidRPr="000977F7">
        <w:rPr>
          <w:rFonts w:asciiTheme="majorHAnsi" w:hAnsiTheme="majorHAnsi"/>
          <w:spacing w:val="-2"/>
          <w:sz w:val="20"/>
          <w:szCs w:val="20"/>
        </w:rPr>
        <w:t xml:space="preserve"> </w:t>
      </w:r>
      <w:r w:rsidRPr="000977F7">
        <w:rPr>
          <w:rFonts w:asciiTheme="majorHAnsi" w:hAnsiTheme="majorHAnsi"/>
          <w:sz w:val="20"/>
          <w:szCs w:val="20"/>
        </w:rPr>
        <w:t>охорони</w:t>
      </w:r>
      <w:r w:rsidRPr="000977F7">
        <w:rPr>
          <w:rFonts w:asciiTheme="majorHAnsi" w:hAnsiTheme="majorHAnsi"/>
          <w:spacing w:val="-1"/>
          <w:sz w:val="20"/>
          <w:szCs w:val="20"/>
        </w:rPr>
        <w:t xml:space="preserve"> </w:t>
      </w:r>
      <w:r w:rsidRPr="000977F7">
        <w:rPr>
          <w:rFonts w:asciiTheme="majorHAnsi" w:hAnsiTheme="majorHAnsi"/>
          <w:sz w:val="20"/>
          <w:szCs w:val="20"/>
        </w:rPr>
        <w:t>праці.</w:t>
      </w:r>
    </w:p>
    <w:p w14:paraId="30E4A8D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Ст. 36 закону України "Про охорону праці"</w:t>
      </w:r>
      <w:r w:rsidRPr="000977F7">
        <w:rPr>
          <w:rFonts w:asciiTheme="majorHAnsi" w:hAnsiTheme="majorHAnsi"/>
          <w:i/>
          <w:spacing w:val="1"/>
          <w:sz w:val="20"/>
          <w:szCs w:val="20"/>
        </w:rPr>
        <w:t xml:space="preserve"> </w:t>
      </w:r>
    </w:p>
    <w:p w14:paraId="4F2F2AC2" w14:textId="77777777" w:rsidR="0097612F" w:rsidRPr="000977F7" w:rsidRDefault="0097612F" w:rsidP="000977F7">
      <w:pPr>
        <w:tabs>
          <w:tab w:val="left" w:pos="284"/>
          <w:tab w:val="left" w:pos="556"/>
          <w:tab w:val="left" w:pos="2442"/>
          <w:tab w:val="left" w:pos="3349"/>
          <w:tab w:val="left" w:pos="4563"/>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ПОВНОВАЖЕННЯ</w:t>
      </w:r>
      <w:r w:rsidRPr="000977F7">
        <w:rPr>
          <w:rFonts w:asciiTheme="majorHAnsi" w:hAnsiTheme="majorHAnsi"/>
          <w:b/>
          <w:spacing w:val="1"/>
          <w:sz w:val="20"/>
          <w:szCs w:val="20"/>
        </w:rPr>
        <w:t xml:space="preserve"> </w:t>
      </w:r>
      <w:r w:rsidRPr="000977F7">
        <w:rPr>
          <w:rFonts w:asciiTheme="majorHAnsi" w:hAnsiTheme="majorHAnsi"/>
          <w:b/>
          <w:sz w:val="20"/>
          <w:szCs w:val="20"/>
        </w:rPr>
        <w:t>ОРГАНІВ</w:t>
      </w:r>
      <w:r w:rsidRPr="000977F7">
        <w:rPr>
          <w:rFonts w:asciiTheme="majorHAnsi" w:hAnsiTheme="majorHAnsi"/>
          <w:b/>
          <w:spacing w:val="1"/>
          <w:sz w:val="20"/>
          <w:szCs w:val="20"/>
        </w:rPr>
        <w:t xml:space="preserve"> </w:t>
      </w:r>
      <w:r w:rsidRPr="000977F7">
        <w:rPr>
          <w:rFonts w:asciiTheme="majorHAnsi" w:hAnsiTheme="majorHAnsi"/>
          <w:b/>
          <w:sz w:val="20"/>
          <w:szCs w:val="20"/>
        </w:rPr>
        <w:t>МІСЦЕВОГО</w:t>
      </w:r>
      <w:r w:rsidRPr="000977F7">
        <w:rPr>
          <w:rFonts w:asciiTheme="majorHAnsi" w:hAnsiTheme="majorHAnsi"/>
          <w:b/>
          <w:spacing w:val="1"/>
          <w:sz w:val="20"/>
          <w:szCs w:val="20"/>
        </w:rPr>
        <w:t xml:space="preserve"> </w:t>
      </w:r>
    </w:p>
    <w:p w14:paraId="5F8833B5" w14:textId="77777777" w:rsidR="0097612F" w:rsidRPr="000977F7" w:rsidRDefault="0097612F" w:rsidP="000977F7">
      <w:pPr>
        <w:tabs>
          <w:tab w:val="left" w:pos="284"/>
          <w:tab w:val="left" w:pos="556"/>
          <w:tab w:val="left" w:pos="2442"/>
          <w:tab w:val="left" w:pos="3349"/>
          <w:tab w:val="left" w:pos="4563"/>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СА</w:t>
      </w:r>
      <w:r w:rsidRPr="000977F7">
        <w:rPr>
          <w:rFonts w:asciiTheme="majorHAnsi" w:hAnsiTheme="majorHAnsi"/>
          <w:b/>
          <w:spacing w:val="-47"/>
          <w:sz w:val="20"/>
          <w:szCs w:val="20"/>
        </w:rPr>
        <w:t xml:space="preserve"> </w:t>
      </w:r>
      <w:r w:rsidRPr="000977F7">
        <w:rPr>
          <w:rFonts w:asciiTheme="majorHAnsi" w:hAnsiTheme="majorHAnsi"/>
          <w:b/>
          <w:sz w:val="20"/>
          <w:szCs w:val="20"/>
        </w:rPr>
        <w:t xml:space="preserve">МОВРЯДУВАННЯ ЩОДО ЗАХИСТУ </w:t>
      </w:r>
      <w:r w:rsidRPr="000977F7">
        <w:rPr>
          <w:rFonts w:asciiTheme="majorHAnsi" w:hAnsiTheme="majorHAnsi"/>
          <w:b/>
          <w:spacing w:val="-1"/>
          <w:sz w:val="20"/>
          <w:szCs w:val="20"/>
        </w:rPr>
        <w:t>ПРАВ</w:t>
      </w:r>
      <w:r w:rsidRPr="000977F7">
        <w:rPr>
          <w:rFonts w:asciiTheme="majorHAnsi" w:hAnsiTheme="majorHAnsi"/>
          <w:b/>
          <w:spacing w:val="-47"/>
          <w:sz w:val="20"/>
          <w:szCs w:val="20"/>
        </w:rPr>
        <w:t xml:space="preserve"> </w:t>
      </w:r>
      <w:r w:rsidRPr="000977F7">
        <w:rPr>
          <w:rFonts w:asciiTheme="majorHAnsi" w:hAnsiTheme="majorHAnsi"/>
          <w:b/>
          <w:sz w:val="20"/>
          <w:szCs w:val="20"/>
        </w:rPr>
        <w:t>СПОЖИВАЧІВ</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0734A1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Органи</w:t>
      </w:r>
      <w:r w:rsidRPr="000977F7">
        <w:rPr>
          <w:rFonts w:asciiTheme="majorHAnsi" w:hAnsiTheme="majorHAnsi"/>
          <w:spacing w:val="6"/>
          <w:sz w:val="20"/>
          <w:szCs w:val="20"/>
        </w:rPr>
        <w:t xml:space="preserve"> </w:t>
      </w:r>
      <w:r w:rsidRPr="000977F7">
        <w:rPr>
          <w:rFonts w:asciiTheme="majorHAnsi" w:hAnsiTheme="majorHAnsi"/>
          <w:sz w:val="20"/>
          <w:szCs w:val="20"/>
        </w:rPr>
        <w:t>місцевого</w:t>
      </w:r>
      <w:r w:rsidRPr="000977F7">
        <w:rPr>
          <w:rFonts w:asciiTheme="majorHAnsi" w:hAnsiTheme="majorHAnsi"/>
          <w:spacing w:val="6"/>
          <w:sz w:val="20"/>
          <w:szCs w:val="20"/>
        </w:rPr>
        <w:t xml:space="preserve"> </w:t>
      </w:r>
      <w:r w:rsidRPr="000977F7">
        <w:rPr>
          <w:rFonts w:asciiTheme="majorHAnsi" w:hAnsiTheme="majorHAnsi"/>
          <w:sz w:val="20"/>
          <w:szCs w:val="20"/>
        </w:rPr>
        <w:t>самоврядування</w:t>
      </w:r>
      <w:r w:rsidRPr="000977F7">
        <w:rPr>
          <w:rFonts w:asciiTheme="majorHAnsi" w:hAnsiTheme="majorHAnsi"/>
          <w:spacing w:val="5"/>
          <w:sz w:val="20"/>
          <w:szCs w:val="20"/>
        </w:rPr>
        <w:t xml:space="preserve"> </w:t>
      </w:r>
      <w:r w:rsidRPr="000977F7">
        <w:rPr>
          <w:rFonts w:asciiTheme="majorHAnsi" w:hAnsiTheme="majorHAnsi"/>
          <w:sz w:val="20"/>
          <w:szCs w:val="20"/>
        </w:rPr>
        <w:t>з</w:t>
      </w:r>
      <w:r w:rsidRPr="000977F7">
        <w:rPr>
          <w:rFonts w:asciiTheme="majorHAnsi" w:hAnsiTheme="majorHAnsi"/>
          <w:spacing w:val="8"/>
          <w:sz w:val="20"/>
          <w:szCs w:val="20"/>
        </w:rPr>
        <w:t xml:space="preserve"> </w:t>
      </w:r>
      <w:r w:rsidRPr="000977F7">
        <w:rPr>
          <w:rFonts w:asciiTheme="majorHAnsi" w:hAnsiTheme="majorHAnsi"/>
          <w:sz w:val="20"/>
          <w:szCs w:val="20"/>
        </w:rPr>
        <w:t>метою</w:t>
      </w:r>
      <w:r w:rsidRPr="000977F7">
        <w:rPr>
          <w:rFonts w:asciiTheme="majorHAnsi" w:hAnsiTheme="majorHAnsi"/>
          <w:spacing w:val="5"/>
          <w:sz w:val="20"/>
          <w:szCs w:val="20"/>
        </w:rPr>
        <w:t xml:space="preserve"> </w:t>
      </w:r>
      <w:r w:rsidRPr="000977F7">
        <w:rPr>
          <w:rFonts w:asciiTheme="majorHAnsi" w:hAnsiTheme="majorHAnsi"/>
          <w:sz w:val="20"/>
          <w:szCs w:val="20"/>
        </w:rPr>
        <w:t>захисту</w:t>
      </w:r>
      <w:r w:rsidRPr="000977F7">
        <w:rPr>
          <w:rFonts w:asciiTheme="majorHAnsi" w:hAnsiTheme="majorHAnsi"/>
          <w:spacing w:val="-47"/>
          <w:sz w:val="20"/>
          <w:szCs w:val="20"/>
        </w:rPr>
        <w:t xml:space="preserve"> </w:t>
      </w:r>
      <w:r w:rsidRPr="000977F7">
        <w:rPr>
          <w:rFonts w:asciiTheme="majorHAnsi" w:hAnsiTheme="majorHAnsi"/>
          <w:sz w:val="20"/>
          <w:szCs w:val="20"/>
        </w:rPr>
        <w:t>прав</w:t>
      </w:r>
      <w:r w:rsidRPr="000977F7">
        <w:rPr>
          <w:rFonts w:asciiTheme="majorHAnsi" w:hAnsiTheme="majorHAnsi"/>
          <w:spacing w:val="25"/>
          <w:sz w:val="20"/>
          <w:szCs w:val="20"/>
        </w:rPr>
        <w:t xml:space="preserve"> </w:t>
      </w:r>
      <w:r w:rsidRPr="000977F7">
        <w:rPr>
          <w:rFonts w:asciiTheme="majorHAnsi" w:hAnsiTheme="majorHAnsi"/>
          <w:sz w:val="20"/>
          <w:szCs w:val="20"/>
        </w:rPr>
        <w:t>споживачів</w:t>
      </w:r>
      <w:r w:rsidRPr="000977F7">
        <w:rPr>
          <w:rFonts w:asciiTheme="majorHAnsi" w:hAnsiTheme="majorHAnsi"/>
          <w:spacing w:val="26"/>
          <w:sz w:val="20"/>
          <w:szCs w:val="20"/>
        </w:rPr>
        <w:t xml:space="preserve"> </w:t>
      </w:r>
      <w:r w:rsidRPr="000977F7">
        <w:rPr>
          <w:rFonts w:asciiTheme="majorHAnsi" w:hAnsiTheme="majorHAnsi"/>
          <w:sz w:val="20"/>
          <w:szCs w:val="20"/>
        </w:rPr>
        <w:t>мають</w:t>
      </w:r>
      <w:r w:rsidRPr="000977F7">
        <w:rPr>
          <w:rFonts w:asciiTheme="majorHAnsi" w:hAnsiTheme="majorHAnsi"/>
          <w:spacing w:val="26"/>
          <w:sz w:val="20"/>
          <w:szCs w:val="20"/>
        </w:rPr>
        <w:t xml:space="preserve"> </w:t>
      </w:r>
      <w:r w:rsidRPr="000977F7">
        <w:rPr>
          <w:rFonts w:asciiTheme="majorHAnsi" w:hAnsiTheme="majorHAnsi"/>
          <w:sz w:val="20"/>
          <w:szCs w:val="20"/>
        </w:rPr>
        <w:t>право</w:t>
      </w:r>
      <w:r w:rsidRPr="000977F7">
        <w:rPr>
          <w:rFonts w:asciiTheme="majorHAnsi" w:hAnsiTheme="majorHAnsi"/>
          <w:spacing w:val="27"/>
          <w:sz w:val="20"/>
          <w:szCs w:val="20"/>
        </w:rPr>
        <w:t xml:space="preserve"> </w:t>
      </w:r>
      <w:r w:rsidRPr="000977F7">
        <w:rPr>
          <w:rFonts w:asciiTheme="majorHAnsi" w:hAnsiTheme="majorHAnsi"/>
          <w:sz w:val="20"/>
          <w:szCs w:val="20"/>
        </w:rPr>
        <w:t>створювати</w:t>
      </w:r>
      <w:r w:rsidRPr="000977F7">
        <w:rPr>
          <w:rFonts w:asciiTheme="majorHAnsi" w:hAnsiTheme="majorHAnsi"/>
          <w:spacing w:val="24"/>
          <w:sz w:val="20"/>
          <w:szCs w:val="20"/>
        </w:rPr>
        <w:t xml:space="preserve"> </w:t>
      </w:r>
      <w:r w:rsidRPr="000977F7">
        <w:rPr>
          <w:rFonts w:asciiTheme="majorHAnsi" w:hAnsiTheme="majorHAnsi"/>
          <w:sz w:val="20"/>
          <w:szCs w:val="20"/>
        </w:rPr>
        <w:t>при</w:t>
      </w:r>
      <w:r w:rsidRPr="000977F7">
        <w:rPr>
          <w:rFonts w:asciiTheme="majorHAnsi" w:hAnsiTheme="majorHAnsi"/>
          <w:spacing w:val="26"/>
          <w:sz w:val="20"/>
          <w:szCs w:val="20"/>
        </w:rPr>
        <w:t xml:space="preserve"> </w:t>
      </w:r>
      <w:r w:rsidRPr="000977F7">
        <w:rPr>
          <w:rFonts w:asciiTheme="majorHAnsi" w:hAnsiTheme="majorHAnsi"/>
          <w:sz w:val="20"/>
          <w:szCs w:val="20"/>
        </w:rPr>
        <w:t>їх</w:t>
      </w:r>
      <w:r w:rsidRPr="000977F7">
        <w:rPr>
          <w:rFonts w:asciiTheme="majorHAnsi" w:hAnsiTheme="majorHAnsi"/>
          <w:spacing w:val="25"/>
          <w:sz w:val="20"/>
          <w:szCs w:val="20"/>
        </w:rPr>
        <w:t xml:space="preserve"> </w:t>
      </w:r>
      <w:r w:rsidRPr="000977F7">
        <w:rPr>
          <w:rFonts w:asciiTheme="majorHAnsi" w:hAnsiTheme="majorHAnsi"/>
          <w:sz w:val="20"/>
          <w:szCs w:val="20"/>
        </w:rPr>
        <w:t>виконавчих органах структурні підрозділи з питань захисту</w:t>
      </w:r>
      <w:r w:rsidRPr="000977F7">
        <w:rPr>
          <w:rFonts w:asciiTheme="majorHAnsi" w:hAnsiTheme="majorHAnsi"/>
          <w:spacing w:val="48"/>
          <w:sz w:val="20"/>
          <w:szCs w:val="20"/>
        </w:rPr>
        <w:t xml:space="preserve"> </w:t>
      </w:r>
      <w:r w:rsidRPr="000977F7">
        <w:rPr>
          <w:rFonts w:asciiTheme="majorHAnsi" w:hAnsiTheme="majorHAnsi"/>
          <w:sz w:val="20"/>
          <w:szCs w:val="20"/>
        </w:rPr>
        <w:t>прав</w:t>
      </w:r>
      <w:r w:rsidRPr="000977F7">
        <w:rPr>
          <w:rFonts w:asciiTheme="majorHAnsi" w:hAnsiTheme="majorHAnsi"/>
          <w:spacing w:val="48"/>
          <w:sz w:val="20"/>
          <w:szCs w:val="20"/>
        </w:rPr>
        <w:t xml:space="preserve"> </w:t>
      </w:r>
      <w:r w:rsidRPr="000977F7">
        <w:rPr>
          <w:rFonts w:asciiTheme="majorHAnsi" w:hAnsiTheme="majorHAnsi"/>
          <w:sz w:val="20"/>
          <w:szCs w:val="20"/>
        </w:rPr>
        <w:t>споживачів, які</w:t>
      </w:r>
      <w:r w:rsidRPr="000977F7">
        <w:rPr>
          <w:rFonts w:asciiTheme="majorHAnsi" w:hAnsiTheme="majorHAnsi"/>
          <w:spacing w:val="1"/>
          <w:sz w:val="20"/>
          <w:szCs w:val="20"/>
        </w:rPr>
        <w:t xml:space="preserve"> </w:t>
      </w:r>
      <w:r w:rsidRPr="000977F7">
        <w:rPr>
          <w:rFonts w:asciiTheme="majorHAnsi" w:hAnsiTheme="majorHAnsi"/>
          <w:sz w:val="20"/>
          <w:szCs w:val="20"/>
        </w:rPr>
        <w:t>вправі:</w:t>
      </w:r>
    </w:p>
    <w:p w14:paraId="092F7F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розглядати</w:t>
      </w:r>
      <w:r w:rsidRPr="000977F7">
        <w:rPr>
          <w:rFonts w:asciiTheme="majorHAnsi" w:hAnsiTheme="majorHAnsi"/>
          <w:spacing w:val="1"/>
          <w:sz w:val="20"/>
          <w:szCs w:val="20"/>
        </w:rPr>
        <w:t xml:space="preserve"> </w:t>
      </w:r>
      <w:r w:rsidRPr="000977F7">
        <w:rPr>
          <w:rFonts w:asciiTheme="majorHAnsi" w:hAnsiTheme="majorHAnsi"/>
          <w:sz w:val="20"/>
          <w:szCs w:val="20"/>
        </w:rPr>
        <w:t>звернення</w:t>
      </w:r>
      <w:r w:rsidRPr="000977F7">
        <w:rPr>
          <w:rFonts w:asciiTheme="majorHAnsi" w:hAnsiTheme="majorHAnsi"/>
          <w:spacing w:val="1"/>
          <w:sz w:val="20"/>
          <w:szCs w:val="20"/>
        </w:rPr>
        <w:t xml:space="preserve"> </w:t>
      </w:r>
      <w:r w:rsidRPr="000977F7">
        <w:rPr>
          <w:rFonts w:asciiTheme="majorHAnsi" w:hAnsiTheme="majorHAnsi"/>
          <w:sz w:val="20"/>
          <w:szCs w:val="20"/>
        </w:rPr>
        <w:t>споживачів,</w:t>
      </w:r>
      <w:r w:rsidRPr="000977F7">
        <w:rPr>
          <w:rFonts w:asciiTheme="majorHAnsi" w:hAnsiTheme="majorHAnsi"/>
          <w:spacing w:val="50"/>
          <w:sz w:val="20"/>
          <w:szCs w:val="20"/>
        </w:rPr>
        <w:t xml:space="preserve"> </w:t>
      </w:r>
      <w:r w:rsidRPr="000977F7">
        <w:rPr>
          <w:rFonts w:asciiTheme="majorHAnsi" w:hAnsiTheme="majorHAnsi"/>
          <w:sz w:val="20"/>
          <w:szCs w:val="20"/>
        </w:rPr>
        <w:t>консультувати</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3"/>
          <w:sz w:val="20"/>
          <w:szCs w:val="20"/>
        </w:rPr>
        <w:t xml:space="preserve"> </w:t>
      </w:r>
      <w:r w:rsidRPr="000977F7">
        <w:rPr>
          <w:rFonts w:asciiTheme="majorHAnsi" w:hAnsiTheme="majorHAnsi"/>
          <w:sz w:val="20"/>
          <w:szCs w:val="20"/>
        </w:rPr>
        <w:t>з питань</w:t>
      </w:r>
      <w:r w:rsidRPr="000977F7">
        <w:rPr>
          <w:rFonts w:asciiTheme="majorHAnsi" w:hAnsiTheme="majorHAnsi"/>
          <w:spacing w:val="-1"/>
          <w:sz w:val="20"/>
          <w:szCs w:val="20"/>
        </w:rPr>
        <w:t xml:space="preserve"> </w:t>
      </w:r>
      <w:r w:rsidRPr="000977F7">
        <w:rPr>
          <w:rFonts w:asciiTheme="majorHAnsi" w:hAnsiTheme="majorHAnsi"/>
          <w:sz w:val="20"/>
          <w:szCs w:val="20"/>
        </w:rPr>
        <w:t>захисту</w:t>
      </w:r>
      <w:r w:rsidRPr="000977F7">
        <w:rPr>
          <w:rFonts w:asciiTheme="majorHAnsi" w:hAnsiTheme="majorHAnsi"/>
          <w:spacing w:val="-1"/>
          <w:sz w:val="20"/>
          <w:szCs w:val="20"/>
        </w:rPr>
        <w:t xml:space="preserve"> </w:t>
      </w:r>
      <w:r w:rsidRPr="000977F7">
        <w:rPr>
          <w:rFonts w:asciiTheme="majorHAnsi" w:hAnsiTheme="majorHAnsi"/>
          <w:sz w:val="20"/>
          <w:szCs w:val="20"/>
        </w:rPr>
        <w:t>прав</w:t>
      </w:r>
      <w:r w:rsidRPr="000977F7">
        <w:rPr>
          <w:rFonts w:asciiTheme="majorHAnsi" w:hAnsiTheme="majorHAnsi"/>
          <w:spacing w:val="-2"/>
          <w:sz w:val="20"/>
          <w:szCs w:val="20"/>
        </w:rPr>
        <w:t xml:space="preserve"> </w:t>
      </w:r>
      <w:r w:rsidRPr="000977F7">
        <w:rPr>
          <w:rFonts w:asciiTheme="majorHAnsi" w:hAnsiTheme="majorHAnsi"/>
          <w:sz w:val="20"/>
          <w:szCs w:val="20"/>
        </w:rPr>
        <w:t>споживачів;</w:t>
      </w:r>
    </w:p>
    <w:p w14:paraId="7E3EF9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аналізувати договори, що укладаються продавцями</w:t>
      </w:r>
      <w:r w:rsidRPr="000977F7">
        <w:rPr>
          <w:rFonts w:asciiTheme="majorHAnsi" w:hAnsiTheme="majorHAnsi"/>
          <w:spacing w:val="-47"/>
          <w:sz w:val="20"/>
          <w:szCs w:val="20"/>
        </w:rPr>
        <w:t xml:space="preserve"> </w:t>
      </w:r>
      <w:r w:rsidRPr="000977F7">
        <w:rPr>
          <w:rFonts w:asciiTheme="majorHAnsi" w:hAnsiTheme="majorHAnsi"/>
          <w:sz w:val="20"/>
          <w:szCs w:val="20"/>
        </w:rPr>
        <w:t>(виконавцями, виробниками) із споживачами, з метою</w:t>
      </w:r>
      <w:r w:rsidRPr="000977F7">
        <w:rPr>
          <w:rFonts w:asciiTheme="majorHAnsi" w:hAnsiTheme="majorHAnsi"/>
          <w:spacing w:val="-47"/>
          <w:sz w:val="20"/>
          <w:szCs w:val="20"/>
        </w:rPr>
        <w:t xml:space="preserve"> </w:t>
      </w:r>
      <w:r w:rsidRPr="000977F7">
        <w:rPr>
          <w:rFonts w:asciiTheme="majorHAnsi" w:hAnsiTheme="majorHAnsi"/>
          <w:sz w:val="20"/>
          <w:szCs w:val="20"/>
        </w:rPr>
        <w:t>виявлення</w:t>
      </w:r>
      <w:r w:rsidRPr="000977F7">
        <w:rPr>
          <w:rFonts w:asciiTheme="majorHAnsi" w:hAnsiTheme="majorHAnsi"/>
          <w:spacing w:val="-1"/>
          <w:sz w:val="20"/>
          <w:szCs w:val="20"/>
        </w:rPr>
        <w:t xml:space="preserve"> </w:t>
      </w:r>
      <w:r w:rsidRPr="000977F7">
        <w:rPr>
          <w:rFonts w:asciiTheme="majorHAnsi" w:hAnsiTheme="majorHAnsi"/>
          <w:sz w:val="20"/>
          <w:szCs w:val="20"/>
        </w:rPr>
        <w:t>умов,</w:t>
      </w:r>
      <w:r w:rsidRPr="000977F7">
        <w:rPr>
          <w:rFonts w:asciiTheme="majorHAnsi" w:hAnsiTheme="majorHAnsi"/>
          <w:spacing w:val="-2"/>
          <w:sz w:val="20"/>
          <w:szCs w:val="20"/>
        </w:rPr>
        <w:t xml:space="preserve"> </w:t>
      </w:r>
      <w:r w:rsidRPr="000977F7">
        <w:rPr>
          <w:rFonts w:asciiTheme="majorHAnsi" w:hAnsiTheme="majorHAnsi"/>
          <w:sz w:val="20"/>
          <w:szCs w:val="20"/>
        </w:rPr>
        <w:t>які</w:t>
      </w:r>
      <w:r w:rsidRPr="000977F7">
        <w:rPr>
          <w:rFonts w:asciiTheme="majorHAnsi" w:hAnsiTheme="majorHAnsi"/>
          <w:spacing w:val="-3"/>
          <w:sz w:val="20"/>
          <w:szCs w:val="20"/>
        </w:rPr>
        <w:t xml:space="preserve"> </w:t>
      </w:r>
      <w:r w:rsidRPr="000977F7">
        <w:rPr>
          <w:rFonts w:asciiTheme="majorHAnsi" w:hAnsiTheme="majorHAnsi"/>
          <w:sz w:val="20"/>
          <w:szCs w:val="20"/>
        </w:rPr>
        <w:t>обмежують</w:t>
      </w:r>
      <w:r w:rsidRPr="000977F7">
        <w:rPr>
          <w:rFonts w:asciiTheme="majorHAnsi" w:hAnsiTheme="majorHAnsi"/>
          <w:spacing w:val="-3"/>
          <w:sz w:val="20"/>
          <w:szCs w:val="20"/>
        </w:rPr>
        <w:t xml:space="preserve"> </w:t>
      </w:r>
      <w:r w:rsidRPr="000977F7">
        <w:rPr>
          <w:rFonts w:asciiTheme="majorHAnsi" w:hAnsiTheme="majorHAnsi"/>
          <w:sz w:val="20"/>
          <w:szCs w:val="20"/>
        </w:rPr>
        <w:t>права</w:t>
      </w:r>
      <w:r w:rsidRPr="000977F7">
        <w:rPr>
          <w:rFonts w:asciiTheme="majorHAnsi" w:hAnsiTheme="majorHAnsi"/>
          <w:spacing w:val="-2"/>
          <w:sz w:val="20"/>
          <w:szCs w:val="20"/>
        </w:rPr>
        <w:t xml:space="preserve"> </w:t>
      </w:r>
      <w:r w:rsidRPr="000977F7">
        <w:rPr>
          <w:rFonts w:asciiTheme="majorHAnsi" w:hAnsiTheme="majorHAnsi"/>
          <w:sz w:val="20"/>
          <w:szCs w:val="20"/>
        </w:rPr>
        <w:t>споживачів;</w:t>
      </w:r>
    </w:p>
    <w:p w14:paraId="5101486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 виявленні товарів (робіт, послуг) неналежної</w:t>
      </w:r>
      <w:r w:rsidRPr="000977F7">
        <w:rPr>
          <w:rFonts w:asciiTheme="majorHAnsi" w:hAnsiTheme="majorHAnsi"/>
          <w:spacing w:val="1"/>
          <w:sz w:val="20"/>
          <w:szCs w:val="20"/>
        </w:rPr>
        <w:t xml:space="preserve"> </w:t>
      </w:r>
      <w:r w:rsidRPr="000977F7">
        <w:rPr>
          <w:rFonts w:asciiTheme="majorHAnsi" w:hAnsiTheme="majorHAnsi"/>
          <w:sz w:val="20"/>
          <w:szCs w:val="20"/>
        </w:rPr>
        <w:t>якості, фальсифікованих, небезпечних для життя, здоров'я, майна споживачів чи/та навколишнього природного середовища терміново повідомляти про це відповідні територіальні органи у справах захисту прав</w:t>
      </w:r>
      <w:r w:rsidRPr="000977F7">
        <w:rPr>
          <w:rFonts w:asciiTheme="majorHAnsi" w:hAnsiTheme="majorHAnsi"/>
          <w:spacing w:val="1"/>
          <w:sz w:val="20"/>
          <w:szCs w:val="20"/>
        </w:rPr>
        <w:t xml:space="preserve"> </w:t>
      </w:r>
      <w:r w:rsidRPr="000977F7">
        <w:rPr>
          <w:rFonts w:asciiTheme="majorHAnsi" w:hAnsiTheme="majorHAnsi"/>
          <w:sz w:val="20"/>
          <w:szCs w:val="20"/>
        </w:rPr>
        <w:t>споживачів, інші органи, що здійснюють контроль і</w:t>
      </w:r>
      <w:r w:rsidRPr="000977F7">
        <w:rPr>
          <w:rFonts w:asciiTheme="majorHAnsi" w:hAnsiTheme="majorHAnsi"/>
          <w:spacing w:val="1"/>
          <w:sz w:val="20"/>
          <w:szCs w:val="20"/>
        </w:rPr>
        <w:t xml:space="preserve"> </w:t>
      </w:r>
      <w:r w:rsidRPr="000977F7">
        <w:rPr>
          <w:rFonts w:asciiTheme="majorHAnsi" w:hAnsiTheme="majorHAnsi"/>
          <w:sz w:val="20"/>
          <w:szCs w:val="20"/>
        </w:rPr>
        <w:t>нагляд</w:t>
      </w:r>
      <w:r w:rsidRPr="000977F7">
        <w:rPr>
          <w:rFonts w:asciiTheme="majorHAnsi" w:hAnsiTheme="majorHAnsi"/>
          <w:spacing w:val="-3"/>
          <w:sz w:val="20"/>
          <w:szCs w:val="20"/>
        </w:rPr>
        <w:t xml:space="preserve"> </w:t>
      </w:r>
      <w:r w:rsidRPr="000977F7">
        <w:rPr>
          <w:rFonts w:asciiTheme="majorHAnsi" w:hAnsiTheme="majorHAnsi"/>
          <w:sz w:val="20"/>
          <w:szCs w:val="20"/>
        </w:rPr>
        <w:t>за</w:t>
      </w:r>
      <w:r w:rsidRPr="000977F7">
        <w:rPr>
          <w:rFonts w:asciiTheme="majorHAnsi" w:hAnsiTheme="majorHAnsi"/>
          <w:spacing w:val="-2"/>
          <w:sz w:val="20"/>
          <w:szCs w:val="20"/>
        </w:rPr>
        <w:t xml:space="preserve"> </w:t>
      </w:r>
      <w:r w:rsidRPr="000977F7">
        <w:rPr>
          <w:rFonts w:asciiTheme="majorHAnsi" w:hAnsiTheme="majorHAnsi"/>
          <w:sz w:val="20"/>
          <w:szCs w:val="20"/>
        </w:rPr>
        <w:t>якістю</w:t>
      </w:r>
      <w:r w:rsidRPr="000977F7">
        <w:rPr>
          <w:rFonts w:asciiTheme="majorHAnsi" w:hAnsiTheme="majorHAnsi"/>
          <w:spacing w:val="-2"/>
          <w:sz w:val="20"/>
          <w:szCs w:val="20"/>
        </w:rPr>
        <w:t xml:space="preserve"> </w:t>
      </w:r>
      <w:r w:rsidRPr="000977F7">
        <w:rPr>
          <w:rFonts w:asciiTheme="majorHAnsi" w:hAnsiTheme="majorHAnsi"/>
          <w:sz w:val="20"/>
          <w:szCs w:val="20"/>
        </w:rPr>
        <w:t>і безпекою</w:t>
      </w:r>
      <w:r w:rsidRPr="000977F7">
        <w:rPr>
          <w:rFonts w:asciiTheme="majorHAnsi" w:hAnsiTheme="majorHAnsi"/>
          <w:spacing w:val="-2"/>
          <w:sz w:val="20"/>
          <w:szCs w:val="20"/>
        </w:rPr>
        <w:t xml:space="preserve"> </w:t>
      </w:r>
      <w:r w:rsidRPr="000977F7">
        <w:rPr>
          <w:rFonts w:asciiTheme="majorHAnsi" w:hAnsiTheme="majorHAnsi"/>
          <w:sz w:val="20"/>
          <w:szCs w:val="20"/>
        </w:rPr>
        <w:t>товарів</w:t>
      </w:r>
      <w:r w:rsidRPr="000977F7">
        <w:rPr>
          <w:rFonts w:asciiTheme="majorHAnsi" w:hAnsiTheme="majorHAnsi"/>
          <w:spacing w:val="-2"/>
          <w:sz w:val="20"/>
          <w:szCs w:val="20"/>
        </w:rPr>
        <w:t xml:space="preserve"> </w:t>
      </w:r>
      <w:r w:rsidRPr="000977F7">
        <w:rPr>
          <w:rFonts w:asciiTheme="majorHAnsi" w:hAnsiTheme="majorHAnsi"/>
          <w:sz w:val="20"/>
          <w:szCs w:val="20"/>
        </w:rPr>
        <w:t>(робіт,</w:t>
      </w:r>
      <w:r w:rsidRPr="000977F7">
        <w:rPr>
          <w:rFonts w:asciiTheme="majorHAnsi" w:hAnsiTheme="majorHAnsi"/>
          <w:spacing w:val="-2"/>
          <w:sz w:val="20"/>
          <w:szCs w:val="20"/>
        </w:rPr>
        <w:t xml:space="preserve"> </w:t>
      </w:r>
      <w:r w:rsidRPr="000977F7">
        <w:rPr>
          <w:rFonts w:asciiTheme="majorHAnsi" w:hAnsiTheme="majorHAnsi"/>
          <w:sz w:val="20"/>
          <w:szCs w:val="20"/>
        </w:rPr>
        <w:t>послуг);</w:t>
      </w:r>
    </w:p>
    <w:p w14:paraId="3943235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у випадках виявлення продажу товарів (виконання</w:t>
      </w:r>
      <w:r w:rsidRPr="000977F7">
        <w:rPr>
          <w:rFonts w:asciiTheme="majorHAnsi" w:hAnsiTheme="majorHAnsi"/>
          <w:spacing w:val="1"/>
          <w:sz w:val="20"/>
          <w:szCs w:val="20"/>
        </w:rPr>
        <w:t xml:space="preserve"> </w:t>
      </w:r>
      <w:r w:rsidRPr="000977F7">
        <w:rPr>
          <w:rFonts w:asciiTheme="majorHAnsi" w:hAnsiTheme="majorHAnsi"/>
          <w:sz w:val="20"/>
          <w:szCs w:val="20"/>
        </w:rPr>
        <w:t>робіт, надання послуг), які не супроводжуються доступною,</w:t>
      </w:r>
      <w:r w:rsidRPr="000977F7">
        <w:rPr>
          <w:rFonts w:asciiTheme="majorHAnsi" w:hAnsiTheme="majorHAnsi"/>
          <w:spacing w:val="1"/>
          <w:sz w:val="20"/>
          <w:szCs w:val="20"/>
        </w:rPr>
        <w:t xml:space="preserve"> </w:t>
      </w:r>
      <w:r w:rsidRPr="000977F7">
        <w:rPr>
          <w:rFonts w:asciiTheme="majorHAnsi" w:hAnsiTheme="majorHAnsi"/>
          <w:sz w:val="20"/>
          <w:szCs w:val="20"/>
        </w:rPr>
        <w:t>достовірною,</w:t>
      </w:r>
      <w:r w:rsidRPr="000977F7">
        <w:rPr>
          <w:rFonts w:asciiTheme="majorHAnsi" w:hAnsiTheme="majorHAnsi"/>
          <w:spacing w:val="1"/>
          <w:sz w:val="20"/>
          <w:szCs w:val="20"/>
        </w:rPr>
        <w:t xml:space="preserve"> </w:t>
      </w:r>
      <w:r w:rsidRPr="000977F7">
        <w:rPr>
          <w:rFonts w:asciiTheme="majorHAnsi" w:hAnsiTheme="majorHAnsi"/>
          <w:sz w:val="20"/>
          <w:szCs w:val="20"/>
        </w:rPr>
        <w:t>необхідною</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інформацією</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відповідними супровідними документами або з простроченими</w:t>
      </w:r>
      <w:r w:rsidRPr="000977F7">
        <w:rPr>
          <w:rFonts w:asciiTheme="majorHAnsi" w:hAnsiTheme="majorHAnsi"/>
          <w:spacing w:val="1"/>
          <w:sz w:val="20"/>
          <w:szCs w:val="20"/>
        </w:rPr>
        <w:t xml:space="preserve"> </w:t>
      </w:r>
      <w:r w:rsidRPr="000977F7">
        <w:rPr>
          <w:rFonts w:asciiTheme="majorHAnsi" w:hAnsiTheme="majorHAnsi"/>
          <w:sz w:val="20"/>
          <w:szCs w:val="20"/>
        </w:rPr>
        <w:t>термінами</w:t>
      </w:r>
      <w:r w:rsidRPr="000977F7">
        <w:rPr>
          <w:rFonts w:asciiTheme="majorHAnsi" w:hAnsiTheme="majorHAnsi"/>
          <w:spacing w:val="1"/>
          <w:sz w:val="20"/>
          <w:szCs w:val="20"/>
        </w:rPr>
        <w:t xml:space="preserve"> </w:t>
      </w:r>
      <w:r w:rsidRPr="000977F7">
        <w:rPr>
          <w:rFonts w:asciiTheme="majorHAnsi" w:hAnsiTheme="majorHAnsi"/>
          <w:sz w:val="20"/>
          <w:szCs w:val="20"/>
        </w:rPr>
        <w:t>придатності,</w:t>
      </w:r>
      <w:r w:rsidRPr="000977F7">
        <w:rPr>
          <w:rFonts w:asciiTheme="majorHAnsi" w:hAnsiTheme="majorHAnsi"/>
          <w:spacing w:val="1"/>
          <w:sz w:val="20"/>
          <w:szCs w:val="20"/>
        </w:rPr>
        <w:t xml:space="preserve"> </w:t>
      </w:r>
      <w:r w:rsidRPr="000977F7">
        <w:rPr>
          <w:rFonts w:asciiTheme="majorHAnsi" w:hAnsiTheme="majorHAnsi"/>
          <w:sz w:val="20"/>
          <w:szCs w:val="20"/>
        </w:rPr>
        <w:t>призупиняти</w:t>
      </w:r>
      <w:r w:rsidRPr="000977F7">
        <w:rPr>
          <w:rFonts w:asciiTheme="majorHAnsi" w:hAnsiTheme="majorHAnsi"/>
          <w:spacing w:val="1"/>
          <w:sz w:val="20"/>
          <w:szCs w:val="20"/>
        </w:rPr>
        <w:t xml:space="preserve"> </w:t>
      </w:r>
      <w:r w:rsidRPr="000977F7">
        <w:rPr>
          <w:rFonts w:asciiTheme="majorHAnsi" w:hAnsiTheme="majorHAnsi"/>
          <w:sz w:val="20"/>
          <w:szCs w:val="20"/>
        </w:rPr>
        <w:t>продаж товарів (виконання робіт, надання послуг) до</w:t>
      </w:r>
      <w:r w:rsidRPr="000977F7">
        <w:rPr>
          <w:rFonts w:asciiTheme="majorHAnsi" w:hAnsiTheme="majorHAnsi"/>
          <w:spacing w:val="1"/>
          <w:sz w:val="20"/>
          <w:szCs w:val="20"/>
        </w:rPr>
        <w:t xml:space="preserve"> </w:t>
      </w:r>
      <w:r w:rsidRPr="000977F7">
        <w:rPr>
          <w:rFonts w:asciiTheme="majorHAnsi" w:hAnsiTheme="majorHAnsi"/>
          <w:sz w:val="20"/>
          <w:szCs w:val="20"/>
        </w:rPr>
        <w:t>пред'явлення інформації, супровідних документів або</w:t>
      </w:r>
      <w:r w:rsidRPr="000977F7">
        <w:rPr>
          <w:rFonts w:asciiTheme="majorHAnsi" w:hAnsiTheme="majorHAnsi"/>
          <w:spacing w:val="1"/>
          <w:sz w:val="20"/>
          <w:szCs w:val="20"/>
        </w:rPr>
        <w:t xml:space="preserve"> </w:t>
      </w:r>
      <w:r w:rsidRPr="000977F7">
        <w:rPr>
          <w:rFonts w:asciiTheme="majorHAnsi" w:hAnsiTheme="majorHAnsi"/>
          <w:sz w:val="20"/>
          <w:szCs w:val="20"/>
        </w:rPr>
        <w:t>припиняти продаж товарів (виконання робіт, надання</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p>
    <w:p w14:paraId="5FAF492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готувати подання до органу, який видав дозвіл на</w:t>
      </w:r>
      <w:r w:rsidRPr="000977F7">
        <w:rPr>
          <w:rFonts w:asciiTheme="majorHAnsi" w:hAnsiTheme="majorHAnsi"/>
          <w:spacing w:val="1"/>
          <w:sz w:val="20"/>
          <w:szCs w:val="20"/>
        </w:rPr>
        <w:t xml:space="preserve"> </w:t>
      </w:r>
      <w:r w:rsidRPr="000977F7">
        <w:rPr>
          <w:rFonts w:asciiTheme="majorHAnsi" w:hAnsiTheme="majorHAnsi"/>
          <w:sz w:val="20"/>
          <w:szCs w:val="20"/>
        </w:rPr>
        <w:t>здійснення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відповідного</w:t>
      </w:r>
      <w:r w:rsidRPr="000977F7">
        <w:rPr>
          <w:rFonts w:asciiTheme="majorHAnsi" w:hAnsiTheme="majorHAnsi"/>
          <w:spacing w:val="1"/>
          <w:sz w:val="20"/>
          <w:szCs w:val="20"/>
        </w:rPr>
        <w:t xml:space="preserve"> </w:t>
      </w:r>
      <w:r w:rsidRPr="000977F7">
        <w:rPr>
          <w:rFonts w:asciiTheme="majorHAnsi" w:hAnsiTheme="majorHAnsi"/>
          <w:sz w:val="20"/>
          <w:szCs w:val="20"/>
        </w:rPr>
        <w:t>виду</w:t>
      </w:r>
      <w:r w:rsidRPr="000977F7">
        <w:rPr>
          <w:rFonts w:asciiTheme="majorHAnsi" w:hAnsiTheme="majorHAnsi"/>
          <w:spacing w:val="1"/>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вирішення</w:t>
      </w:r>
      <w:r w:rsidRPr="000977F7">
        <w:rPr>
          <w:rFonts w:asciiTheme="majorHAnsi" w:hAnsiTheme="majorHAnsi"/>
          <w:spacing w:val="1"/>
          <w:sz w:val="20"/>
          <w:szCs w:val="20"/>
        </w:rPr>
        <w:t xml:space="preserve"> </w:t>
      </w:r>
      <w:r w:rsidRPr="000977F7">
        <w:rPr>
          <w:rFonts w:asciiTheme="majorHAnsi" w:hAnsiTheme="majorHAnsi"/>
          <w:sz w:val="20"/>
          <w:szCs w:val="20"/>
        </w:rPr>
        <w:t>питання</w:t>
      </w:r>
      <w:r w:rsidRPr="000977F7">
        <w:rPr>
          <w:rFonts w:asciiTheme="majorHAnsi" w:hAnsiTheme="majorHAnsi"/>
          <w:spacing w:val="50"/>
          <w:sz w:val="20"/>
          <w:szCs w:val="20"/>
        </w:rPr>
        <w:t xml:space="preserve"> </w:t>
      </w:r>
      <w:r w:rsidRPr="000977F7">
        <w:rPr>
          <w:rFonts w:asciiTheme="majorHAnsi" w:hAnsiTheme="majorHAnsi"/>
          <w:sz w:val="20"/>
          <w:szCs w:val="20"/>
        </w:rPr>
        <w:t>про призупинення дії</w:t>
      </w:r>
      <w:r w:rsidRPr="000977F7">
        <w:rPr>
          <w:rFonts w:asciiTheme="majorHAnsi" w:hAnsiTheme="majorHAnsi"/>
          <w:spacing w:val="50"/>
          <w:sz w:val="20"/>
          <w:szCs w:val="20"/>
        </w:rPr>
        <w:t xml:space="preserve"> </w:t>
      </w:r>
      <w:r w:rsidRPr="000977F7">
        <w:rPr>
          <w:rFonts w:asciiTheme="majorHAnsi" w:hAnsiTheme="majorHAnsi"/>
          <w:sz w:val="20"/>
          <w:szCs w:val="20"/>
        </w:rPr>
        <w:t>цього дозволу</w:t>
      </w:r>
      <w:r w:rsidRPr="000977F7">
        <w:rPr>
          <w:rFonts w:asciiTheme="majorHAnsi" w:hAnsiTheme="majorHAnsi"/>
          <w:spacing w:val="1"/>
          <w:sz w:val="20"/>
          <w:szCs w:val="20"/>
        </w:rPr>
        <w:t xml:space="preserve"> </w:t>
      </w:r>
      <w:r w:rsidRPr="000977F7">
        <w:rPr>
          <w:rFonts w:asciiTheme="majorHAnsi" w:hAnsiTheme="majorHAnsi"/>
          <w:sz w:val="20"/>
          <w:szCs w:val="20"/>
        </w:rPr>
        <w:t>чи про дострокове його анулювання у разі систематичного порушення</w:t>
      </w:r>
      <w:r w:rsidRPr="000977F7">
        <w:rPr>
          <w:rFonts w:asciiTheme="majorHAnsi" w:hAnsiTheme="majorHAnsi"/>
          <w:spacing w:val="1"/>
          <w:sz w:val="20"/>
          <w:szCs w:val="20"/>
        </w:rPr>
        <w:t xml:space="preserve"> </w:t>
      </w:r>
      <w:r w:rsidRPr="000977F7">
        <w:rPr>
          <w:rFonts w:asciiTheme="majorHAnsi" w:hAnsiTheme="majorHAnsi"/>
          <w:sz w:val="20"/>
          <w:szCs w:val="20"/>
        </w:rPr>
        <w:t>прав</w:t>
      </w:r>
      <w:r w:rsidRPr="000977F7">
        <w:rPr>
          <w:rFonts w:asciiTheme="majorHAnsi" w:hAnsiTheme="majorHAnsi"/>
          <w:spacing w:val="-1"/>
          <w:sz w:val="20"/>
          <w:szCs w:val="20"/>
        </w:rPr>
        <w:t xml:space="preserve"> </w:t>
      </w:r>
      <w:r w:rsidRPr="000977F7">
        <w:rPr>
          <w:rFonts w:asciiTheme="majorHAnsi" w:hAnsiTheme="majorHAnsi"/>
          <w:sz w:val="20"/>
          <w:szCs w:val="20"/>
        </w:rPr>
        <w:t>споживачів;</w:t>
      </w:r>
    </w:p>
    <w:p w14:paraId="62960567"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spacing w:val="-4"/>
          <w:sz w:val="20"/>
          <w:szCs w:val="20"/>
        </w:rPr>
        <w:t xml:space="preserve">подавати до суду позови про захист </w:t>
      </w:r>
      <w:r w:rsidRPr="000977F7">
        <w:rPr>
          <w:rFonts w:asciiTheme="majorHAnsi" w:hAnsiTheme="majorHAnsi"/>
          <w:spacing w:val="-3"/>
          <w:sz w:val="20"/>
          <w:szCs w:val="20"/>
        </w:rPr>
        <w:t>прав споживачів.</w:t>
      </w:r>
      <w:r w:rsidRPr="000977F7">
        <w:rPr>
          <w:rFonts w:asciiTheme="majorHAnsi" w:hAnsiTheme="majorHAnsi"/>
          <w:spacing w:val="-47"/>
          <w:sz w:val="20"/>
          <w:szCs w:val="20"/>
        </w:rPr>
        <w:t xml:space="preserve"> </w:t>
      </w:r>
    </w:p>
    <w:p w14:paraId="305A2F0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6"/>
          <w:sz w:val="20"/>
          <w:szCs w:val="20"/>
        </w:rPr>
        <w:t xml:space="preserve"> </w:t>
      </w:r>
      <w:r w:rsidRPr="000977F7">
        <w:rPr>
          <w:rFonts w:asciiTheme="majorHAnsi" w:hAnsiTheme="majorHAnsi"/>
          <w:i/>
          <w:sz w:val="20"/>
          <w:szCs w:val="20"/>
        </w:rPr>
        <w:t>28</w:t>
      </w:r>
      <w:r w:rsidRPr="000977F7">
        <w:rPr>
          <w:rFonts w:asciiTheme="majorHAnsi" w:hAnsiTheme="majorHAnsi"/>
          <w:i/>
          <w:spacing w:val="-5"/>
          <w:sz w:val="20"/>
          <w:szCs w:val="20"/>
        </w:rPr>
        <w:t xml:space="preserve"> </w:t>
      </w:r>
      <w:r w:rsidRPr="000977F7">
        <w:rPr>
          <w:rFonts w:asciiTheme="majorHAnsi" w:hAnsiTheme="majorHAnsi"/>
          <w:i/>
          <w:sz w:val="20"/>
          <w:szCs w:val="20"/>
        </w:rPr>
        <w:t>закону</w:t>
      </w:r>
      <w:r w:rsidRPr="000977F7">
        <w:rPr>
          <w:rFonts w:asciiTheme="majorHAnsi" w:hAnsiTheme="majorHAnsi"/>
          <w:i/>
          <w:spacing w:val="-6"/>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6"/>
          <w:sz w:val="20"/>
          <w:szCs w:val="20"/>
        </w:rPr>
        <w:t xml:space="preserve"> "</w:t>
      </w:r>
      <w:r w:rsidRPr="000977F7">
        <w:rPr>
          <w:rFonts w:asciiTheme="majorHAnsi" w:hAnsiTheme="majorHAnsi"/>
          <w:i/>
          <w:sz w:val="20"/>
          <w:szCs w:val="20"/>
        </w:rPr>
        <w:t>Про</w:t>
      </w:r>
      <w:r w:rsidRPr="000977F7">
        <w:rPr>
          <w:rFonts w:asciiTheme="majorHAnsi" w:hAnsiTheme="majorHAnsi"/>
          <w:i/>
          <w:spacing w:val="-7"/>
          <w:sz w:val="20"/>
          <w:szCs w:val="20"/>
        </w:rPr>
        <w:t xml:space="preserve"> </w:t>
      </w:r>
      <w:r w:rsidRPr="000977F7">
        <w:rPr>
          <w:rFonts w:asciiTheme="majorHAnsi" w:hAnsiTheme="majorHAnsi"/>
          <w:i/>
          <w:sz w:val="20"/>
          <w:szCs w:val="20"/>
        </w:rPr>
        <w:t>захист</w:t>
      </w:r>
      <w:r w:rsidRPr="000977F7">
        <w:rPr>
          <w:rFonts w:asciiTheme="majorHAnsi" w:hAnsiTheme="majorHAnsi"/>
          <w:i/>
          <w:spacing w:val="-6"/>
          <w:sz w:val="20"/>
          <w:szCs w:val="20"/>
        </w:rPr>
        <w:t xml:space="preserve"> </w:t>
      </w:r>
      <w:r w:rsidRPr="000977F7">
        <w:rPr>
          <w:rFonts w:asciiTheme="majorHAnsi" w:hAnsiTheme="majorHAnsi"/>
          <w:i/>
          <w:sz w:val="20"/>
          <w:szCs w:val="20"/>
        </w:rPr>
        <w:t>прав</w:t>
      </w:r>
      <w:r w:rsidRPr="000977F7">
        <w:rPr>
          <w:rFonts w:asciiTheme="majorHAnsi" w:hAnsiTheme="majorHAnsi"/>
          <w:i/>
          <w:spacing w:val="-6"/>
          <w:sz w:val="20"/>
          <w:szCs w:val="20"/>
        </w:rPr>
        <w:t xml:space="preserve"> </w:t>
      </w:r>
      <w:r w:rsidRPr="000977F7">
        <w:rPr>
          <w:rFonts w:asciiTheme="majorHAnsi" w:hAnsiTheme="majorHAnsi"/>
          <w:i/>
          <w:sz w:val="20"/>
          <w:szCs w:val="20"/>
        </w:rPr>
        <w:t>споживачів"</w:t>
      </w:r>
    </w:p>
    <w:p w14:paraId="0ECA63D4"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ПОВНОВАЖЕННЯ</w:t>
      </w:r>
      <w:r w:rsidRPr="000977F7">
        <w:rPr>
          <w:rFonts w:asciiTheme="majorHAnsi" w:hAnsiTheme="majorHAnsi"/>
          <w:b/>
          <w:spacing w:val="1"/>
          <w:sz w:val="20"/>
          <w:szCs w:val="20"/>
        </w:rPr>
        <w:t xml:space="preserve"> </w:t>
      </w:r>
      <w:r w:rsidRPr="000977F7">
        <w:rPr>
          <w:rFonts w:asciiTheme="majorHAnsi" w:hAnsiTheme="majorHAnsi"/>
          <w:b/>
          <w:sz w:val="20"/>
          <w:szCs w:val="20"/>
        </w:rPr>
        <w:t>ЦЕНТРАЛЬНОГО</w:t>
      </w:r>
      <w:r w:rsidRPr="000977F7">
        <w:rPr>
          <w:rFonts w:asciiTheme="majorHAnsi" w:hAnsiTheme="majorHAnsi"/>
          <w:b/>
          <w:spacing w:val="1"/>
          <w:sz w:val="20"/>
          <w:szCs w:val="20"/>
        </w:rPr>
        <w:t xml:space="preserve"> </w:t>
      </w:r>
      <w:r w:rsidRPr="000977F7">
        <w:rPr>
          <w:rFonts w:asciiTheme="majorHAnsi" w:hAnsiTheme="majorHAnsi"/>
          <w:b/>
          <w:sz w:val="20"/>
          <w:szCs w:val="20"/>
        </w:rPr>
        <w:t>ОРГАНУ</w:t>
      </w:r>
      <w:r w:rsidRPr="000977F7">
        <w:rPr>
          <w:rFonts w:asciiTheme="majorHAnsi" w:hAnsiTheme="majorHAnsi"/>
          <w:b/>
          <w:spacing w:val="1"/>
          <w:sz w:val="20"/>
          <w:szCs w:val="20"/>
        </w:rPr>
        <w:t xml:space="preserve"> </w:t>
      </w:r>
      <w:r w:rsidRPr="000977F7">
        <w:rPr>
          <w:rFonts w:asciiTheme="majorHAnsi" w:hAnsiTheme="majorHAnsi"/>
          <w:b/>
          <w:sz w:val="20"/>
          <w:szCs w:val="20"/>
        </w:rPr>
        <w:t>ВИКОНАВЧОЇ ВЛАДИ, ЩО РЕАЛІЗУЄ ДЕРЖАВНУ ПОЛІТИКУ У СФЕРІ ДЕРЖАВНОГО КОНТРОЛЮ</w:t>
      </w:r>
      <w:r w:rsidRPr="000977F7">
        <w:rPr>
          <w:rFonts w:asciiTheme="majorHAnsi" w:hAnsiTheme="majorHAnsi"/>
          <w:b/>
          <w:spacing w:val="1"/>
          <w:sz w:val="20"/>
          <w:szCs w:val="20"/>
        </w:rPr>
        <w:t xml:space="preserve"> </w:t>
      </w:r>
      <w:r w:rsidRPr="000977F7">
        <w:rPr>
          <w:rFonts w:asciiTheme="majorHAnsi" w:hAnsiTheme="majorHAnsi"/>
          <w:b/>
          <w:sz w:val="20"/>
          <w:szCs w:val="20"/>
        </w:rPr>
        <w:t>ЗА</w:t>
      </w:r>
      <w:r w:rsidRPr="000977F7">
        <w:rPr>
          <w:rFonts w:asciiTheme="majorHAnsi" w:hAnsiTheme="majorHAnsi"/>
          <w:b/>
          <w:spacing w:val="1"/>
          <w:sz w:val="20"/>
          <w:szCs w:val="20"/>
        </w:rPr>
        <w:t xml:space="preserve"> </w:t>
      </w:r>
      <w:r w:rsidRPr="000977F7">
        <w:rPr>
          <w:rFonts w:asciiTheme="majorHAnsi" w:hAnsiTheme="majorHAnsi"/>
          <w:b/>
          <w:sz w:val="20"/>
          <w:szCs w:val="20"/>
        </w:rPr>
        <w:t>ДОДЕРЖАННЯМ</w:t>
      </w:r>
      <w:r w:rsidRPr="000977F7">
        <w:rPr>
          <w:rFonts w:asciiTheme="majorHAnsi" w:hAnsiTheme="majorHAnsi"/>
          <w:b/>
          <w:spacing w:val="1"/>
          <w:sz w:val="20"/>
          <w:szCs w:val="20"/>
        </w:rPr>
        <w:t xml:space="preserve"> </w:t>
      </w:r>
      <w:r w:rsidRPr="000977F7">
        <w:rPr>
          <w:rFonts w:asciiTheme="majorHAnsi" w:hAnsiTheme="majorHAnsi"/>
          <w:b/>
          <w:sz w:val="20"/>
          <w:szCs w:val="20"/>
        </w:rPr>
        <w:t>ЗАКОНОДАВСТСТВА</w:t>
      </w:r>
      <w:r w:rsidRPr="000977F7">
        <w:rPr>
          <w:rFonts w:asciiTheme="majorHAnsi" w:hAnsiTheme="majorHAnsi"/>
          <w:b/>
          <w:spacing w:val="-2"/>
          <w:sz w:val="20"/>
          <w:szCs w:val="20"/>
        </w:rPr>
        <w:t xml:space="preserve"> </w:t>
      </w:r>
      <w:r w:rsidRPr="000977F7">
        <w:rPr>
          <w:rFonts w:asciiTheme="majorHAnsi" w:hAnsiTheme="majorHAnsi"/>
          <w:b/>
          <w:sz w:val="20"/>
          <w:szCs w:val="20"/>
        </w:rPr>
        <w:t>ПРАВ СПОЖИВАЧІВ</w:t>
      </w:r>
      <w:r w:rsidRPr="000977F7">
        <w:rPr>
          <w:rFonts w:asciiTheme="majorHAnsi" w:hAnsiTheme="majorHAnsi"/>
          <w:b/>
          <w:spacing w:val="4"/>
          <w:sz w:val="20"/>
          <w:szCs w:val="20"/>
        </w:rPr>
        <w:t xml:space="preserve"> </w:t>
      </w:r>
      <w:r w:rsidRPr="000977F7">
        <w:rPr>
          <w:rFonts w:asciiTheme="majorHAnsi" w:hAnsiTheme="majorHAnsi"/>
          <w:b/>
          <w:sz w:val="20"/>
          <w:szCs w:val="20"/>
        </w:rPr>
        <w:t>-</w:t>
      </w:r>
    </w:p>
    <w:p w14:paraId="05647869" w14:textId="77777777" w:rsidR="0097612F" w:rsidRPr="000977F7" w:rsidRDefault="0097612F" w:rsidP="00FD39A4">
      <w:pPr>
        <w:pStyle w:val="ac"/>
        <w:widowControl w:val="0"/>
        <w:numPr>
          <w:ilvl w:val="0"/>
          <w:numId w:val="120"/>
        </w:numPr>
        <w:tabs>
          <w:tab w:val="left" w:pos="284"/>
          <w:tab w:val="left" w:pos="55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Центральний орган виконавчої влади, що реалізує</w:t>
      </w:r>
      <w:r w:rsidRPr="000977F7">
        <w:rPr>
          <w:rFonts w:asciiTheme="majorHAnsi" w:hAnsiTheme="majorHAnsi"/>
          <w:spacing w:val="1"/>
          <w:sz w:val="20"/>
          <w:szCs w:val="20"/>
        </w:rPr>
        <w:t xml:space="preserve"> </w:t>
      </w:r>
      <w:r w:rsidRPr="000977F7">
        <w:rPr>
          <w:rFonts w:asciiTheme="majorHAnsi" w:hAnsiTheme="majorHAnsi"/>
          <w:sz w:val="20"/>
          <w:szCs w:val="20"/>
        </w:rPr>
        <w:t>державну політику у сфері державного контролю за</w:t>
      </w:r>
      <w:r w:rsidRPr="000977F7">
        <w:rPr>
          <w:rFonts w:asciiTheme="majorHAnsi" w:hAnsiTheme="majorHAnsi"/>
          <w:spacing w:val="1"/>
          <w:sz w:val="20"/>
          <w:szCs w:val="20"/>
        </w:rPr>
        <w:t xml:space="preserve"> </w:t>
      </w:r>
      <w:r w:rsidRPr="000977F7">
        <w:rPr>
          <w:rFonts w:asciiTheme="majorHAnsi" w:hAnsiTheme="majorHAnsi"/>
          <w:sz w:val="20"/>
          <w:szCs w:val="20"/>
        </w:rPr>
        <w:t>додержанням законодавства про захист прав споживачів, здійснює державний контроль за додержанням</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законодавства про захист прав споживачів, забезпечує</w:t>
      </w:r>
      <w:r w:rsidRPr="000977F7">
        <w:rPr>
          <w:rFonts w:asciiTheme="majorHAnsi" w:hAnsiTheme="majorHAnsi"/>
          <w:spacing w:val="-47"/>
          <w:sz w:val="20"/>
          <w:szCs w:val="20"/>
        </w:rPr>
        <w:t xml:space="preserve"> </w:t>
      </w:r>
      <w:r w:rsidRPr="000977F7">
        <w:rPr>
          <w:rFonts w:asciiTheme="majorHAnsi" w:hAnsiTheme="majorHAnsi"/>
          <w:sz w:val="20"/>
          <w:szCs w:val="20"/>
        </w:rPr>
        <w:t>реалізацію</w:t>
      </w:r>
      <w:r w:rsidRPr="000977F7">
        <w:rPr>
          <w:rFonts w:asciiTheme="majorHAnsi" w:hAnsiTheme="majorHAnsi"/>
          <w:spacing w:val="1"/>
          <w:sz w:val="20"/>
          <w:szCs w:val="20"/>
        </w:rPr>
        <w:t xml:space="preserve"> </w:t>
      </w:r>
      <w:r w:rsidRPr="000977F7">
        <w:rPr>
          <w:rFonts w:asciiTheme="majorHAnsi" w:hAnsiTheme="majorHAnsi"/>
          <w:sz w:val="20"/>
          <w:szCs w:val="20"/>
        </w:rPr>
        <w:t>державної</w:t>
      </w:r>
      <w:r w:rsidRPr="000977F7">
        <w:rPr>
          <w:rFonts w:asciiTheme="majorHAnsi" w:hAnsiTheme="majorHAnsi"/>
          <w:spacing w:val="1"/>
          <w:sz w:val="20"/>
          <w:szCs w:val="20"/>
        </w:rPr>
        <w:t xml:space="preserve"> </w:t>
      </w:r>
      <w:r w:rsidRPr="000977F7">
        <w:rPr>
          <w:rFonts w:asciiTheme="majorHAnsi" w:hAnsiTheme="majorHAnsi"/>
          <w:sz w:val="20"/>
          <w:szCs w:val="20"/>
        </w:rPr>
        <w:t>політики</w:t>
      </w:r>
      <w:r w:rsidRPr="000977F7">
        <w:rPr>
          <w:rFonts w:asciiTheme="majorHAnsi" w:hAnsiTheme="majorHAnsi"/>
          <w:spacing w:val="1"/>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захисту</w:t>
      </w:r>
      <w:r w:rsidRPr="000977F7">
        <w:rPr>
          <w:rFonts w:asciiTheme="majorHAnsi" w:hAnsiTheme="majorHAnsi"/>
          <w:spacing w:val="1"/>
          <w:sz w:val="20"/>
          <w:szCs w:val="20"/>
        </w:rPr>
        <w:t xml:space="preserve"> </w:t>
      </w:r>
      <w:r w:rsidRPr="000977F7">
        <w:rPr>
          <w:rFonts w:asciiTheme="majorHAnsi" w:hAnsiTheme="majorHAnsi"/>
          <w:sz w:val="20"/>
          <w:szCs w:val="20"/>
        </w:rPr>
        <w:t>прав</w:t>
      </w:r>
      <w:r w:rsidRPr="000977F7">
        <w:rPr>
          <w:rFonts w:asciiTheme="majorHAnsi" w:hAnsiTheme="majorHAnsi"/>
          <w:spacing w:val="1"/>
          <w:sz w:val="20"/>
          <w:szCs w:val="20"/>
        </w:rPr>
        <w:t xml:space="preserve"> </w:t>
      </w:r>
      <w:r w:rsidRPr="000977F7">
        <w:rPr>
          <w:rFonts w:asciiTheme="majorHAnsi" w:hAnsiTheme="majorHAnsi"/>
          <w:sz w:val="20"/>
          <w:szCs w:val="20"/>
        </w:rPr>
        <w:t>споживачів</w:t>
      </w:r>
      <w:r w:rsidRPr="000977F7">
        <w:rPr>
          <w:rFonts w:asciiTheme="majorHAnsi" w:hAnsiTheme="majorHAnsi"/>
          <w:spacing w:val="-2"/>
          <w:sz w:val="20"/>
          <w:szCs w:val="20"/>
        </w:rPr>
        <w:t xml:space="preserve"> </w:t>
      </w:r>
      <w:r w:rsidRPr="000977F7">
        <w:rPr>
          <w:rFonts w:asciiTheme="majorHAnsi" w:hAnsiTheme="majorHAnsi"/>
          <w:sz w:val="20"/>
          <w:szCs w:val="20"/>
        </w:rPr>
        <w:t>і має</w:t>
      </w:r>
      <w:r w:rsidRPr="000977F7">
        <w:rPr>
          <w:rFonts w:asciiTheme="majorHAnsi" w:hAnsiTheme="majorHAnsi"/>
          <w:spacing w:val="1"/>
          <w:sz w:val="20"/>
          <w:szCs w:val="20"/>
        </w:rPr>
        <w:t xml:space="preserve"> </w:t>
      </w:r>
      <w:r w:rsidRPr="000977F7">
        <w:rPr>
          <w:rFonts w:asciiTheme="majorHAnsi" w:hAnsiTheme="majorHAnsi"/>
          <w:sz w:val="20"/>
          <w:szCs w:val="20"/>
        </w:rPr>
        <w:t>право:</w:t>
      </w:r>
    </w:p>
    <w:p w14:paraId="7A6C170D" w14:textId="77777777" w:rsidR="0097612F" w:rsidRPr="000977F7" w:rsidRDefault="0097612F" w:rsidP="00FD39A4">
      <w:pPr>
        <w:pStyle w:val="ac"/>
        <w:widowControl w:val="0"/>
        <w:numPr>
          <w:ilvl w:val="0"/>
          <w:numId w:val="119"/>
        </w:numPr>
        <w:tabs>
          <w:tab w:val="left" w:pos="284"/>
          <w:tab w:val="left" w:pos="58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давати суб'єктам господарювання обов'язкові для</w:t>
      </w:r>
      <w:r w:rsidRPr="000977F7">
        <w:rPr>
          <w:rFonts w:asciiTheme="majorHAnsi" w:hAnsiTheme="majorHAnsi"/>
          <w:spacing w:val="1"/>
          <w:sz w:val="20"/>
          <w:szCs w:val="20"/>
        </w:rPr>
        <w:t xml:space="preserve"> </w:t>
      </w:r>
      <w:r w:rsidRPr="000977F7">
        <w:rPr>
          <w:rFonts w:asciiTheme="majorHAnsi" w:hAnsiTheme="majorHAnsi"/>
          <w:sz w:val="20"/>
          <w:szCs w:val="20"/>
        </w:rPr>
        <w:t>виконання приписи про припинення порушень прав</w:t>
      </w:r>
      <w:r w:rsidRPr="000977F7">
        <w:rPr>
          <w:rFonts w:asciiTheme="majorHAnsi" w:hAnsiTheme="majorHAnsi"/>
          <w:spacing w:val="1"/>
          <w:sz w:val="20"/>
          <w:szCs w:val="20"/>
        </w:rPr>
        <w:t xml:space="preserve"> </w:t>
      </w:r>
      <w:r w:rsidRPr="000977F7">
        <w:rPr>
          <w:rFonts w:asciiTheme="majorHAnsi" w:hAnsiTheme="majorHAnsi"/>
          <w:sz w:val="20"/>
          <w:szCs w:val="20"/>
        </w:rPr>
        <w:t>споживачів;</w:t>
      </w:r>
    </w:p>
    <w:p w14:paraId="1FBD55CB" w14:textId="77777777" w:rsidR="0097612F" w:rsidRPr="000977F7" w:rsidRDefault="0097612F" w:rsidP="00FD39A4">
      <w:pPr>
        <w:pStyle w:val="ac"/>
        <w:widowControl w:val="0"/>
        <w:numPr>
          <w:ilvl w:val="0"/>
          <w:numId w:val="119"/>
        </w:numPr>
        <w:tabs>
          <w:tab w:val="left" w:pos="284"/>
          <w:tab w:val="left" w:pos="6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перевіряти додержання суб’єктами господарювання, що провадять діяльність у сфері торгівлі і послуг,</w:t>
      </w:r>
      <w:r w:rsidRPr="000977F7">
        <w:rPr>
          <w:rFonts w:asciiTheme="majorHAnsi" w:hAnsiTheme="majorHAnsi"/>
          <w:spacing w:val="1"/>
          <w:sz w:val="20"/>
          <w:szCs w:val="20"/>
        </w:rPr>
        <w:t xml:space="preserve"> </w:t>
      </w:r>
      <w:r w:rsidRPr="000977F7">
        <w:rPr>
          <w:rFonts w:asciiTheme="majorHAnsi" w:hAnsiTheme="majorHAnsi"/>
          <w:sz w:val="20"/>
          <w:szCs w:val="20"/>
        </w:rPr>
        <w:t>вимог нормативно-правових актів щодо безпеки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1"/>
          <w:sz w:val="20"/>
          <w:szCs w:val="20"/>
        </w:rPr>
        <w:t xml:space="preserve"> </w:t>
      </w:r>
      <w:r w:rsidRPr="000977F7">
        <w:rPr>
          <w:rFonts w:asciiTheme="majorHAnsi" w:hAnsiTheme="majorHAnsi"/>
          <w:sz w:val="20"/>
          <w:szCs w:val="20"/>
        </w:rPr>
        <w:t>правил</w:t>
      </w:r>
      <w:r w:rsidRPr="000977F7">
        <w:rPr>
          <w:rFonts w:asciiTheme="majorHAnsi" w:hAnsiTheme="majorHAnsi"/>
          <w:spacing w:val="1"/>
          <w:sz w:val="20"/>
          <w:szCs w:val="20"/>
        </w:rPr>
        <w:t xml:space="preserve"> </w:t>
      </w:r>
      <w:r w:rsidRPr="000977F7">
        <w:rPr>
          <w:rFonts w:asciiTheme="majorHAnsi" w:hAnsiTheme="majorHAnsi"/>
          <w:sz w:val="20"/>
          <w:szCs w:val="20"/>
        </w:rPr>
        <w:t>торгівлі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надання</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r w:rsidRPr="000977F7">
        <w:rPr>
          <w:rFonts w:asciiTheme="majorHAnsi" w:hAnsiTheme="majorHAnsi"/>
          <w:spacing w:val="1"/>
          <w:sz w:val="20"/>
          <w:szCs w:val="20"/>
        </w:rPr>
        <w:t xml:space="preserve"> </w:t>
      </w:r>
      <w:r w:rsidRPr="000977F7">
        <w:rPr>
          <w:rFonts w:asciiTheme="majorHAnsi" w:hAnsiTheme="majorHAnsi"/>
          <w:sz w:val="20"/>
          <w:szCs w:val="20"/>
        </w:rPr>
        <w:t>шляхом безперешкодного відвідування та обстеження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законодавства</w:t>
      </w:r>
      <w:r w:rsidRPr="000977F7">
        <w:rPr>
          <w:rFonts w:asciiTheme="majorHAnsi" w:hAnsiTheme="majorHAnsi"/>
          <w:spacing w:val="1"/>
          <w:sz w:val="20"/>
          <w:szCs w:val="20"/>
        </w:rPr>
        <w:t xml:space="preserve"> </w:t>
      </w:r>
      <w:r w:rsidRPr="000977F7">
        <w:rPr>
          <w:rFonts w:asciiTheme="majorHAnsi" w:hAnsiTheme="majorHAnsi"/>
          <w:sz w:val="20"/>
          <w:szCs w:val="20"/>
        </w:rPr>
        <w:t>будь-яких виробничих,</w:t>
      </w:r>
      <w:r w:rsidRPr="000977F7">
        <w:rPr>
          <w:rFonts w:asciiTheme="majorHAnsi" w:hAnsiTheme="majorHAnsi"/>
          <w:spacing w:val="1"/>
          <w:sz w:val="20"/>
          <w:szCs w:val="20"/>
        </w:rPr>
        <w:t xml:space="preserve"> </w:t>
      </w:r>
      <w:r w:rsidRPr="000977F7">
        <w:rPr>
          <w:rFonts w:asciiTheme="majorHAnsi" w:hAnsiTheme="majorHAnsi"/>
          <w:sz w:val="20"/>
          <w:szCs w:val="20"/>
        </w:rPr>
        <w:t>торговельних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складських</w:t>
      </w:r>
      <w:r w:rsidRPr="000977F7">
        <w:rPr>
          <w:rFonts w:asciiTheme="majorHAnsi" w:hAnsiTheme="majorHAnsi"/>
          <w:spacing w:val="1"/>
          <w:sz w:val="20"/>
          <w:szCs w:val="20"/>
        </w:rPr>
        <w:t xml:space="preserve"> </w:t>
      </w:r>
      <w:r w:rsidRPr="000977F7">
        <w:rPr>
          <w:rFonts w:asciiTheme="majorHAnsi" w:hAnsiTheme="majorHAnsi"/>
          <w:sz w:val="20"/>
          <w:szCs w:val="20"/>
        </w:rPr>
        <w:t>приміщень</w:t>
      </w:r>
      <w:r w:rsidRPr="000977F7">
        <w:rPr>
          <w:rFonts w:asciiTheme="majorHAnsi" w:hAnsiTheme="majorHAnsi"/>
          <w:spacing w:val="1"/>
          <w:sz w:val="20"/>
          <w:szCs w:val="20"/>
        </w:rPr>
        <w:t xml:space="preserve"> </w:t>
      </w:r>
      <w:r w:rsidRPr="000977F7">
        <w:rPr>
          <w:rFonts w:asciiTheme="majorHAnsi" w:hAnsiTheme="majorHAnsi"/>
          <w:sz w:val="20"/>
          <w:szCs w:val="20"/>
        </w:rPr>
        <w:t>таких</w:t>
      </w:r>
      <w:r w:rsidRPr="000977F7">
        <w:rPr>
          <w:rFonts w:asciiTheme="majorHAnsi" w:hAnsiTheme="majorHAnsi"/>
          <w:spacing w:val="1"/>
          <w:sz w:val="20"/>
          <w:szCs w:val="20"/>
        </w:rPr>
        <w:t xml:space="preserve"> </w:t>
      </w:r>
      <w:r w:rsidRPr="000977F7">
        <w:rPr>
          <w:rFonts w:asciiTheme="majorHAnsi" w:hAnsiTheme="majorHAnsi"/>
          <w:sz w:val="20"/>
          <w:szCs w:val="20"/>
        </w:rPr>
        <w:t>суб’єктів;</w:t>
      </w:r>
    </w:p>
    <w:p w14:paraId="3D912131" w14:textId="77777777" w:rsidR="0097612F" w:rsidRPr="000977F7" w:rsidRDefault="0097612F" w:rsidP="00FD39A4">
      <w:pPr>
        <w:pStyle w:val="ac"/>
        <w:widowControl w:val="0"/>
        <w:numPr>
          <w:ilvl w:val="0"/>
          <w:numId w:val="119"/>
        </w:numPr>
        <w:tabs>
          <w:tab w:val="left" w:pos="284"/>
          <w:tab w:val="left" w:pos="55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відбирати у суб'єктів господарювання сфери торгівлі і послуг зразки товарів, сировини, матеріалів, напівфабрикатів, комплектуючих виробів для перевірки</w:t>
      </w:r>
      <w:r w:rsidRPr="000977F7">
        <w:rPr>
          <w:rFonts w:asciiTheme="majorHAnsi" w:hAnsiTheme="majorHAnsi"/>
          <w:spacing w:val="1"/>
          <w:sz w:val="20"/>
          <w:szCs w:val="20"/>
        </w:rPr>
        <w:t xml:space="preserve"> </w:t>
      </w:r>
      <w:r w:rsidRPr="000977F7">
        <w:rPr>
          <w:rFonts w:asciiTheme="majorHAnsi" w:hAnsiTheme="majorHAnsi"/>
          <w:sz w:val="20"/>
          <w:szCs w:val="20"/>
        </w:rPr>
        <w:t>їх якості на місці або проведення незалежної експертизи у відповідних лабораторіях та інших установах,</w:t>
      </w:r>
      <w:r w:rsidRPr="000977F7">
        <w:rPr>
          <w:rFonts w:asciiTheme="majorHAnsi" w:hAnsiTheme="majorHAnsi"/>
          <w:spacing w:val="1"/>
          <w:sz w:val="20"/>
          <w:szCs w:val="20"/>
        </w:rPr>
        <w:t xml:space="preserve"> </w:t>
      </w:r>
      <w:r w:rsidRPr="000977F7">
        <w:rPr>
          <w:rFonts w:asciiTheme="majorHAnsi" w:hAnsiTheme="majorHAnsi"/>
          <w:sz w:val="20"/>
          <w:szCs w:val="20"/>
        </w:rPr>
        <w:t>акредитованих на право проведення таких робіт згідно</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законодавством,</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оплатою</w:t>
      </w:r>
      <w:r w:rsidRPr="000977F7">
        <w:rPr>
          <w:rFonts w:asciiTheme="majorHAnsi" w:hAnsiTheme="majorHAnsi"/>
          <w:spacing w:val="1"/>
          <w:sz w:val="20"/>
          <w:szCs w:val="20"/>
        </w:rPr>
        <w:t xml:space="preserve"> </w:t>
      </w:r>
      <w:r w:rsidRPr="000977F7">
        <w:rPr>
          <w:rFonts w:asciiTheme="majorHAnsi" w:hAnsiTheme="majorHAnsi"/>
          <w:sz w:val="20"/>
          <w:szCs w:val="20"/>
        </w:rPr>
        <w:t>вартості</w:t>
      </w:r>
      <w:r w:rsidRPr="000977F7">
        <w:rPr>
          <w:rFonts w:asciiTheme="majorHAnsi" w:hAnsiTheme="majorHAnsi"/>
          <w:spacing w:val="1"/>
          <w:sz w:val="20"/>
          <w:szCs w:val="20"/>
        </w:rPr>
        <w:t xml:space="preserve"> </w:t>
      </w:r>
      <w:r w:rsidRPr="000977F7">
        <w:rPr>
          <w:rFonts w:asciiTheme="majorHAnsi" w:hAnsiTheme="majorHAnsi"/>
          <w:sz w:val="20"/>
          <w:szCs w:val="20"/>
        </w:rPr>
        <w:t>зразків</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проведених досліджень (експертизи) за рахунок коштів державного бюджету. У разі встановлення за результатами</w:t>
      </w:r>
      <w:r w:rsidRPr="000977F7">
        <w:rPr>
          <w:rFonts w:asciiTheme="majorHAnsi" w:hAnsiTheme="majorHAnsi"/>
          <w:spacing w:val="18"/>
          <w:sz w:val="20"/>
          <w:szCs w:val="20"/>
        </w:rPr>
        <w:t xml:space="preserve"> </w:t>
      </w:r>
      <w:r w:rsidRPr="000977F7">
        <w:rPr>
          <w:rFonts w:asciiTheme="majorHAnsi" w:hAnsiTheme="majorHAnsi"/>
          <w:sz w:val="20"/>
          <w:szCs w:val="20"/>
        </w:rPr>
        <w:t>проведених</w:t>
      </w:r>
      <w:r w:rsidRPr="000977F7">
        <w:rPr>
          <w:rFonts w:asciiTheme="majorHAnsi" w:hAnsiTheme="majorHAnsi"/>
          <w:spacing w:val="18"/>
          <w:sz w:val="20"/>
          <w:szCs w:val="20"/>
        </w:rPr>
        <w:t xml:space="preserve"> </w:t>
      </w:r>
      <w:r w:rsidRPr="000977F7">
        <w:rPr>
          <w:rFonts w:asciiTheme="majorHAnsi" w:hAnsiTheme="majorHAnsi"/>
          <w:sz w:val="20"/>
          <w:szCs w:val="20"/>
        </w:rPr>
        <w:t>досліджень</w:t>
      </w:r>
      <w:r w:rsidRPr="000977F7">
        <w:rPr>
          <w:rFonts w:asciiTheme="majorHAnsi" w:hAnsiTheme="majorHAnsi"/>
          <w:spacing w:val="20"/>
          <w:sz w:val="20"/>
          <w:szCs w:val="20"/>
        </w:rPr>
        <w:t xml:space="preserve"> </w:t>
      </w:r>
      <w:r w:rsidRPr="000977F7">
        <w:rPr>
          <w:rFonts w:asciiTheme="majorHAnsi" w:hAnsiTheme="majorHAnsi"/>
          <w:sz w:val="20"/>
          <w:szCs w:val="20"/>
        </w:rPr>
        <w:t>(експертизи)</w:t>
      </w:r>
      <w:r w:rsidRPr="000977F7">
        <w:rPr>
          <w:rFonts w:asciiTheme="majorHAnsi" w:hAnsiTheme="majorHAnsi"/>
          <w:spacing w:val="18"/>
          <w:sz w:val="20"/>
          <w:szCs w:val="20"/>
        </w:rPr>
        <w:t xml:space="preserve"> </w:t>
      </w:r>
      <w:r w:rsidRPr="000977F7">
        <w:rPr>
          <w:rFonts w:asciiTheme="majorHAnsi" w:hAnsiTheme="majorHAnsi"/>
          <w:sz w:val="20"/>
          <w:szCs w:val="20"/>
        </w:rPr>
        <w:t>факту реалізації продукції неналежної якості та/або фальсифікованої суб'єкт господарювання, що перевірявся,</w:t>
      </w:r>
      <w:r w:rsidRPr="000977F7">
        <w:rPr>
          <w:rFonts w:asciiTheme="majorHAnsi" w:hAnsiTheme="majorHAnsi"/>
          <w:spacing w:val="1"/>
          <w:sz w:val="20"/>
          <w:szCs w:val="20"/>
        </w:rPr>
        <w:t xml:space="preserve"> </w:t>
      </w:r>
      <w:r w:rsidRPr="000977F7">
        <w:rPr>
          <w:rFonts w:asciiTheme="majorHAnsi" w:hAnsiTheme="majorHAnsi"/>
          <w:sz w:val="20"/>
          <w:szCs w:val="20"/>
        </w:rPr>
        <w:t>відшкодовує здійснені за це витрати. Кошти відшкодовування витрат зараховуються до державного бюджету.</w:t>
      </w:r>
      <w:r w:rsidRPr="000977F7">
        <w:rPr>
          <w:rFonts w:asciiTheme="majorHAnsi" w:hAnsiTheme="majorHAnsi"/>
          <w:spacing w:val="1"/>
          <w:sz w:val="20"/>
          <w:szCs w:val="20"/>
        </w:rPr>
        <w:t xml:space="preserve"> </w:t>
      </w:r>
      <w:r w:rsidRPr="000977F7">
        <w:rPr>
          <w:rFonts w:asciiTheme="majorHAnsi" w:hAnsiTheme="majorHAnsi"/>
          <w:sz w:val="20"/>
          <w:szCs w:val="20"/>
        </w:rPr>
        <w:t>Порядок</w:t>
      </w:r>
      <w:r w:rsidRPr="000977F7">
        <w:rPr>
          <w:rFonts w:asciiTheme="majorHAnsi" w:hAnsiTheme="majorHAnsi"/>
          <w:spacing w:val="1"/>
          <w:sz w:val="20"/>
          <w:szCs w:val="20"/>
        </w:rPr>
        <w:t xml:space="preserve"> </w:t>
      </w:r>
      <w:r w:rsidRPr="000977F7">
        <w:rPr>
          <w:rFonts w:asciiTheme="majorHAnsi" w:hAnsiTheme="majorHAnsi"/>
          <w:sz w:val="20"/>
          <w:szCs w:val="20"/>
        </w:rPr>
        <w:t>відбору</w:t>
      </w:r>
      <w:r w:rsidRPr="000977F7">
        <w:rPr>
          <w:rFonts w:asciiTheme="majorHAnsi" w:hAnsiTheme="majorHAnsi"/>
          <w:spacing w:val="1"/>
          <w:sz w:val="20"/>
          <w:szCs w:val="20"/>
        </w:rPr>
        <w:t xml:space="preserve"> </w:t>
      </w:r>
      <w:r w:rsidRPr="000977F7">
        <w:rPr>
          <w:rFonts w:asciiTheme="majorHAnsi" w:hAnsiTheme="majorHAnsi"/>
          <w:sz w:val="20"/>
          <w:szCs w:val="20"/>
        </w:rPr>
        <w:t>таких</w:t>
      </w:r>
      <w:r w:rsidRPr="000977F7">
        <w:rPr>
          <w:rFonts w:asciiTheme="majorHAnsi" w:hAnsiTheme="majorHAnsi"/>
          <w:spacing w:val="1"/>
          <w:sz w:val="20"/>
          <w:szCs w:val="20"/>
        </w:rPr>
        <w:t xml:space="preserve"> </w:t>
      </w:r>
      <w:r w:rsidRPr="000977F7">
        <w:rPr>
          <w:rFonts w:asciiTheme="majorHAnsi" w:hAnsiTheme="majorHAnsi"/>
          <w:sz w:val="20"/>
          <w:szCs w:val="20"/>
        </w:rPr>
        <w:t>зразків</w:t>
      </w:r>
      <w:r w:rsidRPr="000977F7">
        <w:rPr>
          <w:rFonts w:asciiTheme="majorHAnsi" w:hAnsiTheme="majorHAnsi"/>
          <w:spacing w:val="1"/>
          <w:sz w:val="20"/>
          <w:szCs w:val="20"/>
        </w:rPr>
        <w:t xml:space="preserve"> </w:t>
      </w:r>
      <w:r w:rsidRPr="000977F7">
        <w:rPr>
          <w:rFonts w:asciiTheme="majorHAnsi" w:hAnsiTheme="majorHAnsi"/>
          <w:sz w:val="20"/>
          <w:szCs w:val="20"/>
        </w:rPr>
        <w:t>визначається</w:t>
      </w:r>
      <w:r w:rsidRPr="000977F7">
        <w:rPr>
          <w:rFonts w:asciiTheme="majorHAnsi" w:hAnsiTheme="majorHAnsi"/>
          <w:spacing w:val="-47"/>
          <w:sz w:val="20"/>
          <w:szCs w:val="20"/>
        </w:rPr>
        <w:t xml:space="preserve"> </w:t>
      </w:r>
      <w:r w:rsidRPr="000977F7">
        <w:rPr>
          <w:rFonts w:asciiTheme="majorHAnsi" w:hAnsiTheme="majorHAnsi"/>
          <w:sz w:val="20"/>
          <w:szCs w:val="20"/>
        </w:rPr>
        <w:t>Кабінетом Міністрів</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p>
    <w:p w14:paraId="03B3237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{Положення першого речення пункту 3 частини першої статті 26 у частині оплати вартості зразків і проведених досліджень (експертизи) за</w:t>
      </w:r>
      <w:r w:rsidRPr="000977F7">
        <w:rPr>
          <w:rFonts w:asciiTheme="majorHAnsi" w:hAnsiTheme="majorHAnsi"/>
          <w:spacing w:val="1"/>
          <w:sz w:val="20"/>
          <w:szCs w:val="20"/>
        </w:rPr>
        <w:t xml:space="preserve"> </w:t>
      </w:r>
      <w:r w:rsidRPr="000977F7">
        <w:rPr>
          <w:rFonts w:asciiTheme="majorHAnsi" w:hAnsiTheme="majorHAnsi"/>
          <w:sz w:val="20"/>
          <w:szCs w:val="20"/>
        </w:rPr>
        <w:t>рахунок коштів</w:t>
      </w:r>
      <w:r w:rsidRPr="000977F7">
        <w:rPr>
          <w:rFonts w:asciiTheme="majorHAnsi" w:hAnsiTheme="majorHAnsi"/>
          <w:spacing w:val="1"/>
          <w:sz w:val="20"/>
          <w:szCs w:val="20"/>
        </w:rPr>
        <w:t xml:space="preserve"> </w:t>
      </w:r>
      <w:r w:rsidRPr="000977F7">
        <w:rPr>
          <w:rFonts w:asciiTheme="majorHAnsi" w:hAnsiTheme="majorHAnsi"/>
          <w:sz w:val="20"/>
          <w:szCs w:val="20"/>
        </w:rPr>
        <w:t xml:space="preserve">державного бюджету набирає чинності з 1 </w:t>
      </w:r>
      <w:r w:rsidRPr="000977F7">
        <w:rPr>
          <w:rFonts w:asciiTheme="majorHAnsi" w:hAnsiTheme="majorHAnsi"/>
          <w:sz w:val="20"/>
          <w:szCs w:val="20"/>
        </w:rPr>
        <w:t>січня 2007</w:t>
      </w:r>
      <w:r w:rsidRPr="000977F7">
        <w:rPr>
          <w:rFonts w:asciiTheme="majorHAnsi" w:hAnsiTheme="majorHAnsi"/>
          <w:spacing w:val="1"/>
          <w:sz w:val="20"/>
          <w:szCs w:val="20"/>
        </w:rPr>
        <w:t xml:space="preserve"> </w:t>
      </w:r>
      <w:r w:rsidRPr="000977F7">
        <w:rPr>
          <w:rFonts w:asciiTheme="majorHAnsi" w:hAnsiTheme="majorHAnsi"/>
          <w:sz w:val="20"/>
          <w:szCs w:val="20"/>
        </w:rPr>
        <w:t>року. До цієї дати зазначена оплата здійснюється за</w:t>
      </w:r>
      <w:r w:rsidRPr="000977F7">
        <w:rPr>
          <w:rFonts w:asciiTheme="majorHAnsi" w:hAnsiTheme="majorHAnsi"/>
          <w:spacing w:val="1"/>
          <w:sz w:val="20"/>
          <w:szCs w:val="20"/>
        </w:rPr>
        <w:t xml:space="preserve"> </w:t>
      </w:r>
      <w:r w:rsidRPr="000977F7">
        <w:rPr>
          <w:rFonts w:asciiTheme="majorHAnsi" w:hAnsiTheme="majorHAnsi"/>
          <w:sz w:val="20"/>
          <w:szCs w:val="20"/>
        </w:rPr>
        <w:t>рахунок суб'єктів господарювання, що перевіряються</w:t>
      </w:r>
      <w:r w:rsidRPr="000977F7">
        <w:rPr>
          <w:rFonts w:asciiTheme="majorHAnsi" w:hAnsiTheme="majorHAnsi"/>
          <w:spacing w:val="1"/>
          <w:sz w:val="20"/>
          <w:szCs w:val="20"/>
        </w:rPr>
        <w:t xml:space="preserve"> </w:t>
      </w:r>
      <w:r w:rsidRPr="000977F7">
        <w:rPr>
          <w:rFonts w:asciiTheme="majorHAnsi" w:hAnsiTheme="majorHAnsi"/>
          <w:sz w:val="20"/>
          <w:szCs w:val="20"/>
        </w:rPr>
        <w:t>згідно з абзацом другим пункту 1 Прикінцевих положень</w:t>
      </w:r>
      <w:r w:rsidRPr="000977F7">
        <w:rPr>
          <w:rFonts w:asciiTheme="majorHAnsi" w:hAnsiTheme="majorHAnsi"/>
          <w:spacing w:val="1"/>
          <w:sz w:val="20"/>
          <w:szCs w:val="20"/>
        </w:rPr>
        <w:t xml:space="preserve"> </w:t>
      </w:r>
      <w:r w:rsidRPr="000977F7">
        <w:rPr>
          <w:rFonts w:asciiTheme="majorHAnsi" w:hAnsiTheme="majorHAnsi"/>
          <w:sz w:val="20"/>
          <w:szCs w:val="20"/>
        </w:rPr>
        <w:t>цього</w:t>
      </w:r>
      <w:r w:rsidRPr="000977F7">
        <w:rPr>
          <w:rFonts w:asciiTheme="majorHAnsi" w:hAnsiTheme="majorHAnsi"/>
          <w:spacing w:val="1"/>
          <w:sz w:val="20"/>
          <w:szCs w:val="20"/>
        </w:rPr>
        <w:t xml:space="preserve"> </w:t>
      </w:r>
      <w:r w:rsidRPr="000977F7">
        <w:rPr>
          <w:rFonts w:asciiTheme="majorHAnsi" w:hAnsiTheme="majorHAnsi"/>
          <w:sz w:val="20"/>
          <w:szCs w:val="20"/>
        </w:rPr>
        <w:t>Закону}</w:t>
      </w:r>
    </w:p>
    <w:p w14:paraId="0A64CE86" w14:textId="77777777" w:rsidR="0097612F" w:rsidRPr="000977F7" w:rsidRDefault="0097612F" w:rsidP="00FD39A4">
      <w:pPr>
        <w:pStyle w:val="ac"/>
        <w:widowControl w:val="0"/>
        <w:numPr>
          <w:ilvl w:val="0"/>
          <w:numId w:val="119"/>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проводити контрольні перевірки правильності розрахунків із споживачами за реалізовану продукцію, у</w:t>
      </w:r>
      <w:r w:rsidRPr="000977F7">
        <w:rPr>
          <w:rFonts w:asciiTheme="majorHAnsi" w:hAnsiTheme="majorHAnsi"/>
          <w:spacing w:val="1"/>
          <w:sz w:val="20"/>
          <w:szCs w:val="20"/>
        </w:rPr>
        <w:t xml:space="preserve"> </w:t>
      </w:r>
      <w:r w:rsidRPr="000977F7">
        <w:rPr>
          <w:rFonts w:asciiTheme="majorHAnsi" w:hAnsiTheme="majorHAnsi"/>
          <w:sz w:val="20"/>
          <w:szCs w:val="20"/>
        </w:rPr>
        <w:t>тому</w:t>
      </w:r>
      <w:r w:rsidRPr="000977F7">
        <w:rPr>
          <w:rFonts w:asciiTheme="majorHAnsi" w:hAnsiTheme="majorHAnsi"/>
          <w:spacing w:val="-6"/>
          <w:sz w:val="20"/>
          <w:szCs w:val="20"/>
        </w:rPr>
        <w:t xml:space="preserve"> </w:t>
      </w:r>
      <w:r w:rsidRPr="000977F7">
        <w:rPr>
          <w:rFonts w:asciiTheme="majorHAnsi" w:hAnsiTheme="majorHAnsi"/>
          <w:sz w:val="20"/>
          <w:szCs w:val="20"/>
        </w:rPr>
        <w:t>числі</w:t>
      </w:r>
      <w:r w:rsidRPr="000977F7">
        <w:rPr>
          <w:rFonts w:asciiTheme="majorHAnsi" w:hAnsiTheme="majorHAnsi"/>
          <w:spacing w:val="-3"/>
          <w:sz w:val="20"/>
          <w:szCs w:val="20"/>
        </w:rPr>
        <w:t xml:space="preserve"> </w:t>
      </w:r>
      <w:r w:rsidRPr="000977F7">
        <w:rPr>
          <w:rFonts w:asciiTheme="majorHAnsi" w:hAnsiTheme="majorHAnsi"/>
          <w:sz w:val="20"/>
          <w:szCs w:val="20"/>
        </w:rPr>
        <w:t>харчові</w:t>
      </w:r>
      <w:r w:rsidRPr="000977F7">
        <w:rPr>
          <w:rFonts w:asciiTheme="majorHAnsi" w:hAnsiTheme="majorHAnsi"/>
          <w:spacing w:val="-2"/>
          <w:sz w:val="20"/>
          <w:szCs w:val="20"/>
        </w:rPr>
        <w:t xml:space="preserve"> </w:t>
      </w:r>
      <w:r w:rsidRPr="000977F7">
        <w:rPr>
          <w:rFonts w:asciiTheme="majorHAnsi" w:hAnsiTheme="majorHAnsi"/>
          <w:sz w:val="20"/>
          <w:szCs w:val="20"/>
        </w:rPr>
        <w:t>продукти,</w:t>
      </w:r>
      <w:r w:rsidRPr="000977F7">
        <w:rPr>
          <w:rFonts w:asciiTheme="majorHAnsi" w:hAnsiTheme="majorHAnsi"/>
          <w:spacing w:val="-2"/>
          <w:sz w:val="20"/>
          <w:szCs w:val="20"/>
        </w:rPr>
        <w:t xml:space="preserve"> </w:t>
      </w:r>
      <w:r w:rsidRPr="000977F7">
        <w:rPr>
          <w:rFonts w:asciiTheme="majorHAnsi" w:hAnsiTheme="majorHAnsi"/>
          <w:sz w:val="20"/>
          <w:szCs w:val="20"/>
        </w:rPr>
        <w:t>відповідно</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закону;</w:t>
      </w:r>
    </w:p>
    <w:p w14:paraId="58539DEE" w14:textId="77777777" w:rsidR="0097612F" w:rsidRPr="000977F7" w:rsidRDefault="0097612F" w:rsidP="00FD39A4">
      <w:pPr>
        <w:pStyle w:val="ac"/>
        <w:widowControl w:val="0"/>
        <w:numPr>
          <w:ilvl w:val="0"/>
          <w:numId w:val="119"/>
        </w:numPr>
        <w:tabs>
          <w:tab w:val="left" w:pos="284"/>
          <w:tab w:val="left" w:pos="72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одержувати</w:t>
      </w:r>
      <w:r w:rsidRPr="000977F7">
        <w:rPr>
          <w:rFonts w:asciiTheme="majorHAnsi" w:hAnsiTheme="majorHAnsi"/>
          <w:spacing w:val="1"/>
          <w:sz w:val="20"/>
          <w:szCs w:val="20"/>
        </w:rPr>
        <w:t xml:space="preserve"> </w:t>
      </w:r>
      <w:r w:rsidRPr="000977F7">
        <w:rPr>
          <w:rFonts w:asciiTheme="majorHAnsi" w:hAnsiTheme="majorHAnsi"/>
          <w:sz w:val="20"/>
          <w:szCs w:val="20"/>
        </w:rPr>
        <w:t>безоплатно</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суб'єктів</w:t>
      </w:r>
      <w:r w:rsidRPr="000977F7">
        <w:rPr>
          <w:rFonts w:asciiTheme="majorHAnsi" w:hAnsiTheme="majorHAnsi"/>
          <w:spacing w:val="1"/>
          <w:sz w:val="20"/>
          <w:szCs w:val="20"/>
        </w:rPr>
        <w:t xml:space="preserve"> </w:t>
      </w:r>
      <w:r w:rsidRPr="000977F7">
        <w:rPr>
          <w:rFonts w:asciiTheme="majorHAnsi" w:hAnsiTheme="majorHAnsi"/>
          <w:sz w:val="20"/>
          <w:szCs w:val="20"/>
        </w:rPr>
        <w:t>господарювання, що перевіряються, копії необхідних документів,</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характеризують</w:t>
      </w:r>
      <w:r w:rsidRPr="000977F7">
        <w:rPr>
          <w:rFonts w:asciiTheme="majorHAnsi" w:hAnsiTheme="majorHAnsi"/>
          <w:spacing w:val="1"/>
          <w:sz w:val="20"/>
          <w:szCs w:val="20"/>
        </w:rPr>
        <w:t xml:space="preserve"> </w:t>
      </w:r>
      <w:r w:rsidRPr="000977F7">
        <w:rPr>
          <w:rFonts w:asciiTheme="majorHAnsi" w:hAnsiTheme="majorHAnsi"/>
          <w:sz w:val="20"/>
          <w:szCs w:val="20"/>
        </w:rPr>
        <w:t>якість</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сировини,</w:t>
      </w:r>
      <w:r w:rsidRPr="000977F7">
        <w:rPr>
          <w:rFonts w:asciiTheme="majorHAnsi" w:hAnsiTheme="majorHAnsi"/>
          <w:spacing w:val="-47"/>
          <w:sz w:val="20"/>
          <w:szCs w:val="20"/>
        </w:rPr>
        <w:t xml:space="preserve"> </w:t>
      </w:r>
      <w:r w:rsidRPr="000977F7">
        <w:rPr>
          <w:rFonts w:asciiTheme="majorHAnsi" w:hAnsiTheme="majorHAnsi"/>
          <w:sz w:val="20"/>
          <w:szCs w:val="20"/>
        </w:rPr>
        <w:t>матеріалів, комплектуючих виробів, що використовуються</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цієї</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1ADE9698" w14:textId="77777777" w:rsidR="0097612F" w:rsidRPr="000977F7" w:rsidRDefault="0097612F" w:rsidP="00FD39A4">
      <w:pPr>
        <w:pStyle w:val="ac"/>
        <w:widowControl w:val="0"/>
        <w:numPr>
          <w:ilvl w:val="0"/>
          <w:numId w:val="118"/>
        </w:numPr>
        <w:tabs>
          <w:tab w:val="left" w:pos="284"/>
          <w:tab w:val="left" w:pos="71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забороняти суб'єктам</w:t>
      </w:r>
      <w:r w:rsidRPr="000977F7">
        <w:rPr>
          <w:rFonts w:asciiTheme="majorHAnsi" w:hAnsiTheme="majorHAnsi"/>
          <w:spacing w:val="1"/>
          <w:sz w:val="20"/>
          <w:szCs w:val="20"/>
        </w:rPr>
        <w:t xml:space="preserve"> </w:t>
      </w:r>
      <w:r w:rsidRPr="000977F7">
        <w:rPr>
          <w:rFonts w:asciiTheme="majorHAnsi" w:hAnsiTheme="majorHAnsi"/>
          <w:sz w:val="20"/>
          <w:szCs w:val="20"/>
        </w:rPr>
        <w:t>господарювання</w:t>
      </w:r>
      <w:r w:rsidRPr="000977F7">
        <w:rPr>
          <w:rFonts w:asciiTheme="majorHAnsi" w:hAnsiTheme="majorHAnsi"/>
          <w:spacing w:val="1"/>
          <w:sz w:val="20"/>
          <w:szCs w:val="20"/>
        </w:rPr>
        <w:t xml:space="preserve"> </w:t>
      </w:r>
      <w:r w:rsidRPr="000977F7">
        <w:rPr>
          <w:rFonts w:asciiTheme="majorHAnsi" w:hAnsiTheme="majorHAnsi"/>
          <w:sz w:val="20"/>
          <w:szCs w:val="20"/>
        </w:rPr>
        <w:t>реалізацію</w:t>
      </w:r>
      <w:r w:rsidRPr="000977F7">
        <w:rPr>
          <w:rFonts w:asciiTheme="majorHAnsi" w:hAnsiTheme="majorHAnsi"/>
          <w:spacing w:val="1"/>
          <w:sz w:val="20"/>
          <w:szCs w:val="20"/>
        </w:rPr>
        <w:t xml:space="preserve"> </w:t>
      </w:r>
      <w:r w:rsidRPr="000977F7">
        <w:rPr>
          <w:rFonts w:asciiTheme="majorHAnsi" w:hAnsiTheme="majorHAnsi"/>
          <w:sz w:val="20"/>
          <w:szCs w:val="20"/>
        </w:rPr>
        <w:t>споживачам продукції:</w:t>
      </w:r>
    </w:p>
    <w:p w14:paraId="6844049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 забороняти суб’єктам господарювання реалізацію</w:t>
      </w:r>
      <w:r w:rsidRPr="000977F7">
        <w:rPr>
          <w:rFonts w:asciiTheme="majorHAnsi" w:hAnsiTheme="majorHAnsi"/>
          <w:spacing w:val="1"/>
          <w:sz w:val="20"/>
          <w:szCs w:val="20"/>
        </w:rPr>
        <w:t xml:space="preserve"> </w:t>
      </w:r>
      <w:r w:rsidRPr="000977F7">
        <w:rPr>
          <w:rFonts w:asciiTheme="majorHAnsi" w:hAnsiTheme="majorHAnsi"/>
          <w:sz w:val="20"/>
          <w:szCs w:val="20"/>
        </w:rPr>
        <w:t>неправильно маркованих харчових продуктів або непридатних</w:t>
      </w:r>
      <w:r w:rsidRPr="000977F7">
        <w:rPr>
          <w:rFonts w:asciiTheme="majorHAnsi" w:hAnsiTheme="majorHAnsi"/>
          <w:spacing w:val="-2"/>
          <w:sz w:val="20"/>
          <w:szCs w:val="20"/>
        </w:rPr>
        <w:t xml:space="preserve"> </w:t>
      </w:r>
      <w:r w:rsidRPr="000977F7">
        <w:rPr>
          <w:rFonts w:asciiTheme="majorHAnsi" w:hAnsiTheme="majorHAnsi"/>
          <w:sz w:val="20"/>
          <w:szCs w:val="20"/>
        </w:rPr>
        <w:t>харчових</w:t>
      </w:r>
      <w:r w:rsidRPr="000977F7">
        <w:rPr>
          <w:rFonts w:asciiTheme="majorHAnsi" w:hAnsiTheme="majorHAnsi"/>
          <w:spacing w:val="-1"/>
          <w:sz w:val="20"/>
          <w:szCs w:val="20"/>
        </w:rPr>
        <w:t xml:space="preserve"> </w:t>
      </w:r>
      <w:r w:rsidRPr="000977F7">
        <w:rPr>
          <w:rFonts w:asciiTheme="majorHAnsi" w:hAnsiTheme="majorHAnsi"/>
          <w:sz w:val="20"/>
          <w:szCs w:val="20"/>
        </w:rPr>
        <w:t>продуктів;</w:t>
      </w:r>
    </w:p>
    <w:p w14:paraId="1471A1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ґ)</w:t>
      </w:r>
      <w:r w:rsidRPr="000977F7">
        <w:rPr>
          <w:rFonts w:asciiTheme="majorHAnsi" w:hAnsiTheme="majorHAnsi"/>
          <w:spacing w:val="-4"/>
          <w:sz w:val="20"/>
          <w:szCs w:val="20"/>
        </w:rPr>
        <w:t xml:space="preserve"> </w:t>
      </w:r>
      <w:r w:rsidRPr="000977F7">
        <w:rPr>
          <w:rFonts w:asciiTheme="majorHAnsi" w:hAnsiTheme="majorHAnsi"/>
          <w:sz w:val="20"/>
          <w:szCs w:val="20"/>
        </w:rPr>
        <w:t>яка</w:t>
      </w:r>
      <w:r w:rsidRPr="000977F7">
        <w:rPr>
          <w:rFonts w:asciiTheme="majorHAnsi" w:hAnsiTheme="majorHAnsi"/>
          <w:spacing w:val="-4"/>
          <w:sz w:val="20"/>
          <w:szCs w:val="20"/>
        </w:rPr>
        <w:t xml:space="preserve"> </w:t>
      </w:r>
      <w:r w:rsidRPr="000977F7">
        <w:rPr>
          <w:rFonts w:asciiTheme="majorHAnsi" w:hAnsiTheme="majorHAnsi"/>
          <w:sz w:val="20"/>
          <w:szCs w:val="20"/>
        </w:rPr>
        <w:t>є</w:t>
      </w:r>
      <w:r w:rsidRPr="000977F7">
        <w:rPr>
          <w:rFonts w:asciiTheme="majorHAnsi" w:hAnsiTheme="majorHAnsi"/>
          <w:spacing w:val="-3"/>
          <w:sz w:val="20"/>
          <w:szCs w:val="20"/>
        </w:rPr>
        <w:t xml:space="preserve"> </w:t>
      </w:r>
      <w:r w:rsidRPr="000977F7">
        <w:rPr>
          <w:rFonts w:asciiTheme="majorHAnsi" w:hAnsiTheme="majorHAnsi"/>
          <w:sz w:val="20"/>
          <w:szCs w:val="20"/>
        </w:rPr>
        <w:t>фальсифікованою;</w:t>
      </w:r>
    </w:p>
    <w:p w14:paraId="6657FF3F" w14:textId="77777777" w:rsidR="0097612F" w:rsidRPr="000977F7" w:rsidRDefault="0097612F" w:rsidP="00FD39A4">
      <w:pPr>
        <w:pStyle w:val="ac"/>
        <w:widowControl w:val="0"/>
        <w:numPr>
          <w:ilvl w:val="0"/>
          <w:numId w:val="118"/>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приймати</w:t>
      </w:r>
      <w:r w:rsidRPr="000977F7">
        <w:rPr>
          <w:rFonts w:asciiTheme="majorHAnsi" w:hAnsiTheme="majorHAnsi"/>
          <w:spacing w:val="-4"/>
          <w:sz w:val="20"/>
          <w:szCs w:val="20"/>
        </w:rPr>
        <w:t xml:space="preserve"> </w:t>
      </w:r>
      <w:r w:rsidRPr="000977F7">
        <w:rPr>
          <w:rFonts w:asciiTheme="majorHAnsi" w:hAnsiTheme="majorHAnsi"/>
          <w:sz w:val="20"/>
          <w:szCs w:val="20"/>
        </w:rPr>
        <w:t>рішення</w:t>
      </w:r>
      <w:r w:rsidRPr="000977F7">
        <w:rPr>
          <w:rFonts w:asciiTheme="majorHAnsi" w:hAnsiTheme="majorHAnsi"/>
          <w:spacing w:val="-4"/>
          <w:sz w:val="20"/>
          <w:szCs w:val="20"/>
        </w:rPr>
        <w:t xml:space="preserve"> </w:t>
      </w:r>
      <w:r w:rsidRPr="000977F7">
        <w:rPr>
          <w:rFonts w:asciiTheme="majorHAnsi" w:hAnsiTheme="majorHAnsi"/>
          <w:sz w:val="20"/>
          <w:szCs w:val="20"/>
        </w:rPr>
        <w:t>про:</w:t>
      </w:r>
    </w:p>
    <w:p w14:paraId="58E7F75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припинення</w:t>
      </w:r>
      <w:r w:rsidRPr="000977F7">
        <w:rPr>
          <w:rFonts w:asciiTheme="majorHAnsi" w:hAnsiTheme="majorHAnsi"/>
          <w:spacing w:val="1"/>
          <w:sz w:val="20"/>
          <w:szCs w:val="20"/>
        </w:rPr>
        <w:t xml:space="preserve"> </w:t>
      </w:r>
      <w:r w:rsidRPr="000977F7">
        <w:rPr>
          <w:rFonts w:asciiTheme="majorHAnsi" w:hAnsiTheme="majorHAnsi"/>
          <w:sz w:val="20"/>
          <w:szCs w:val="20"/>
        </w:rPr>
        <w:t>суб'єктами</w:t>
      </w:r>
      <w:r w:rsidRPr="000977F7">
        <w:rPr>
          <w:rFonts w:asciiTheme="majorHAnsi" w:hAnsiTheme="majorHAnsi"/>
          <w:spacing w:val="1"/>
          <w:sz w:val="20"/>
          <w:szCs w:val="20"/>
        </w:rPr>
        <w:t xml:space="preserve"> </w:t>
      </w:r>
      <w:r w:rsidRPr="000977F7">
        <w:rPr>
          <w:rFonts w:asciiTheme="majorHAnsi" w:hAnsiTheme="majorHAnsi"/>
          <w:sz w:val="20"/>
          <w:szCs w:val="20"/>
        </w:rPr>
        <w:t>господарювання</w:t>
      </w:r>
      <w:r w:rsidRPr="000977F7">
        <w:rPr>
          <w:rFonts w:asciiTheme="majorHAnsi" w:hAnsiTheme="majorHAnsi"/>
          <w:spacing w:val="1"/>
          <w:sz w:val="20"/>
          <w:szCs w:val="20"/>
        </w:rPr>
        <w:t xml:space="preserve"> </w:t>
      </w:r>
      <w:r w:rsidRPr="000977F7">
        <w:rPr>
          <w:rFonts w:asciiTheme="majorHAnsi" w:hAnsiTheme="majorHAnsi"/>
          <w:sz w:val="20"/>
          <w:szCs w:val="20"/>
        </w:rPr>
        <w:t>сфери</w:t>
      </w:r>
      <w:r w:rsidRPr="000977F7">
        <w:rPr>
          <w:rFonts w:asciiTheme="majorHAnsi" w:hAnsiTheme="majorHAnsi"/>
          <w:spacing w:val="1"/>
          <w:sz w:val="20"/>
          <w:szCs w:val="20"/>
        </w:rPr>
        <w:t xml:space="preserve"> </w:t>
      </w:r>
      <w:r w:rsidRPr="000977F7">
        <w:rPr>
          <w:rFonts w:asciiTheme="majorHAnsi" w:hAnsiTheme="majorHAnsi"/>
          <w:sz w:val="20"/>
          <w:szCs w:val="20"/>
        </w:rPr>
        <w:t>торгівлі і послуг реалізації та виробництва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що не відповідає вимогам нормативно-правових актів</w:t>
      </w:r>
      <w:r w:rsidRPr="000977F7">
        <w:rPr>
          <w:rFonts w:asciiTheme="majorHAnsi" w:hAnsiTheme="majorHAnsi"/>
          <w:spacing w:val="1"/>
          <w:sz w:val="20"/>
          <w:szCs w:val="20"/>
        </w:rPr>
        <w:t xml:space="preserve"> </w:t>
      </w:r>
      <w:r w:rsidRPr="000977F7">
        <w:rPr>
          <w:rFonts w:asciiTheme="majorHAnsi" w:hAnsiTheme="majorHAnsi"/>
          <w:sz w:val="20"/>
          <w:szCs w:val="20"/>
        </w:rPr>
        <w:t>стосовно безпеки для життя, здоров’я та майна споживачів і навколишнього природного середовища,</w:t>
      </w:r>
      <w:r w:rsidRPr="000977F7">
        <w:rPr>
          <w:rFonts w:asciiTheme="majorHAnsi" w:hAnsiTheme="majorHAnsi"/>
          <w:spacing w:val="50"/>
          <w:sz w:val="20"/>
          <w:szCs w:val="20"/>
        </w:rPr>
        <w:t xml:space="preserve"> </w:t>
      </w:r>
      <w:r w:rsidRPr="000977F7">
        <w:rPr>
          <w:rFonts w:asciiTheme="majorHAnsi" w:hAnsiTheme="majorHAnsi"/>
          <w:sz w:val="20"/>
          <w:szCs w:val="20"/>
        </w:rPr>
        <w:t>до</w:t>
      </w:r>
      <w:r w:rsidRPr="000977F7">
        <w:rPr>
          <w:rFonts w:asciiTheme="majorHAnsi" w:hAnsiTheme="majorHAnsi"/>
          <w:spacing w:val="2"/>
          <w:sz w:val="20"/>
          <w:szCs w:val="20"/>
        </w:rPr>
        <w:t xml:space="preserve"> </w:t>
      </w:r>
      <w:r w:rsidRPr="000977F7">
        <w:rPr>
          <w:rFonts w:asciiTheme="majorHAnsi" w:hAnsiTheme="majorHAnsi"/>
          <w:sz w:val="20"/>
          <w:szCs w:val="20"/>
        </w:rPr>
        <w:t>усунення</w:t>
      </w:r>
      <w:r w:rsidRPr="000977F7">
        <w:rPr>
          <w:rFonts w:asciiTheme="majorHAnsi" w:hAnsiTheme="majorHAnsi"/>
          <w:spacing w:val="1"/>
          <w:sz w:val="20"/>
          <w:szCs w:val="20"/>
        </w:rPr>
        <w:t xml:space="preserve"> </w:t>
      </w:r>
      <w:r w:rsidRPr="000977F7">
        <w:rPr>
          <w:rFonts w:asciiTheme="majorHAnsi" w:hAnsiTheme="majorHAnsi"/>
          <w:sz w:val="20"/>
          <w:szCs w:val="20"/>
        </w:rPr>
        <w:t>виявлених</w:t>
      </w:r>
      <w:r w:rsidRPr="000977F7">
        <w:rPr>
          <w:rFonts w:asciiTheme="majorHAnsi" w:hAnsiTheme="majorHAnsi"/>
          <w:spacing w:val="1"/>
          <w:sz w:val="20"/>
          <w:szCs w:val="20"/>
        </w:rPr>
        <w:t xml:space="preserve"> </w:t>
      </w:r>
      <w:r w:rsidRPr="000977F7">
        <w:rPr>
          <w:rFonts w:asciiTheme="majorHAnsi" w:hAnsiTheme="majorHAnsi"/>
          <w:sz w:val="20"/>
          <w:szCs w:val="20"/>
        </w:rPr>
        <w:t>недоліків;</w:t>
      </w:r>
    </w:p>
    <w:p w14:paraId="5607B9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 тимчасове припинення діяльності суб'єктів господарювання</w:t>
      </w:r>
      <w:r w:rsidRPr="000977F7">
        <w:rPr>
          <w:rFonts w:asciiTheme="majorHAnsi" w:hAnsiTheme="majorHAnsi"/>
          <w:spacing w:val="1"/>
          <w:sz w:val="20"/>
          <w:szCs w:val="20"/>
        </w:rPr>
        <w:t xml:space="preserve"> </w:t>
      </w:r>
      <w:r w:rsidRPr="000977F7">
        <w:rPr>
          <w:rFonts w:asciiTheme="majorHAnsi" w:hAnsiTheme="majorHAnsi"/>
          <w:sz w:val="20"/>
          <w:szCs w:val="20"/>
        </w:rPr>
        <w:t>сфери</w:t>
      </w:r>
      <w:r w:rsidRPr="000977F7">
        <w:rPr>
          <w:rFonts w:asciiTheme="majorHAnsi" w:hAnsiTheme="majorHAnsi"/>
          <w:spacing w:val="1"/>
          <w:sz w:val="20"/>
          <w:szCs w:val="20"/>
        </w:rPr>
        <w:t xml:space="preserve"> </w:t>
      </w:r>
      <w:r w:rsidRPr="000977F7">
        <w:rPr>
          <w:rFonts w:asciiTheme="majorHAnsi" w:hAnsiTheme="majorHAnsi"/>
          <w:sz w:val="20"/>
          <w:szCs w:val="20"/>
        </w:rPr>
        <w:t>торгівлі</w:t>
      </w:r>
      <w:r w:rsidRPr="000977F7">
        <w:rPr>
          <w:rFonts w:asciiTheme="majorHAnsi" w:hAnsiTheme="majorHAnsi"/>
          <w:spacing w:val="1"/>
          <w:sz w:val="20"/>
          <w:szCs w:val="20"/>
        </w:rPr>
        <w:t xml:space="preserve"> </w:t>
      </w:r>
      <w:r w:rsidRPr="000977F7">
        <w:rPr>
          <w:rFonts w:asciiTheme="majorHAnsi" w:hAnsiTheme="majorHAnsi"/>
          <w:sz w:val="20"/>
          <w:szCs w:val="20"/>
        </w:rPr>
        <w:t>(секцій,</w:t>
      </w:r>
      <w:r w:rsidRPr="000977F7">
        <w:rPr>
          <w:rFonts w:asciiTheme="majorHAnsi" w:hAnsiTheme="majorHAnsi"/>
          <w:spacing w:val="1"/>
          <w:sz w:val="20"/>
          <w:szCs w:val="20"/>
        </w:rPr>
        <w:t xml:space="preserve"> </w:t>
      </w:r>
      <w:r w:rsidRPr="000977F7">
        <w:rPr>
          <w:rFonts w:asciiTheme="majorHAnsi" w:hAnsiTheme="majorHAnsi"/>
          <w:sz w:val="20"/>
          <w:szCs w:val="20"/>
        </w:rPr>
        <w:t>відділів),</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r w:rsidRPr="000977F7">
        <w:rPr>
          <w:rFonts w:asciiTheme="majorHAnsi" w:hAnsiTheme="majorHAnsi"/>
          <w:spacing w:val="1"/>
          <w:sz w:val="20"/>
          <w:szCs w:val="20"/>
        </w:rPr>
        <w:t xml:space="preserve"> </w:t>
      </w:r>
      <w:r w:rsidRPr="000977F7">
        <w:rPr>
          <w:rFonts w:asciiTheme="majorHAnsi" w:hAnsiTheme="majorHAnsi"/>
          <w:sz w:val="20"/>
          <w:szCs w:val="20"/>
        </w:rPr>
        <w:t>складів підприємств оптової і роздрібної торгівлі та</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організацій незалежно від форми власності, що систематично реалізують товари неналежної якості, порушують правила торгівлі та надання послуг, умови</w:t>
      </w:r>
      <w:r w:rsidRPr="000977F7">
        <w:rPr>
          <w:rFonts w:asciiTheme="majorHAnsi" w:hAnsiTheme="majorHAnsi"/>
          <w:spacing w:val="1"/>
          <w:sz w:val="20"/>
          <w:szCs w:val="20"/>
        </w:rPr>
        <w:t xml:space="preserve"> </w:t>
      </w:r>
      <w:r w:rsidRPr="000977F7">
        <w:rPr>
          <w:rFonts w:asciiTheme="majorHAnsi" w:hAnsiTheme="majorHAnsi"/>
          <w:sz w:val="20"/>
          <w:szCs w:val="20"/>
        </w:rPr>
        <w:t>зберігання та транспортування товарів, до усунення</w:t>
      </w:r>
      <w:r w:rsidRPr="000977F7">
        <w:rPr>
          <w:rFonts w:asciiTheme="majorHAnsi" w:hAnsiTheme="majorHAnsi"/>
          <w:spacing w:val="1"/>
          <w:sz w:val="20"/>
          <w:szCs w:val="20"/>
        </w:rPr>
        <w:t xml:space="preserve"> </w:t>
      </w:r>
      <w:r w:rsidRPr="000977F7">
        <w:rPr>
          <w:rFonts w:asciiTheme="majorHAnsi" w:hAnsiTheme="majorHAnsi"/>
          <w:sz w:val="20"/>
          <w:szCs w:val="20"/>
        </w:rPr>
        <w:t>виявлених недоліків;</w:t>
      </w:r>
    </w:p>
    <w:p w14:paraId="016B77EC" w14:textId="77777777" w:rsidR="0097612F" w:rsidRPr="000977F7" w:rsidRDefault="0097612F" w:rsidP="00FD39A4">
      <w:pPr>
        <w:pStyle w:val="ac"/>
        <w:widowControl w:val="0"/>
        <w:numPr>
          <w:ilvl w:val="0"/>
          <w:numId w:val="118"/>
        </w:numPr>
        <w:tabs>
          <w:tab w:val="left" w:pos="284"/>
          <w:tab w:val="left" w:pos="6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опломбовувати у порядку, передбаченому законодавством,</w:t>
      </w:r>
      <w:r w:rsidRPr="000977F7">
        <w:rPr>
          <w:rFonts w:asciiTheme="majorHAnsi" w:hAnsiTheme="majorHAnsi"/>
          <w:spacing w:val="1"/>
          <w:sz w:val="20"/>
          <w:szCs w:val="20"/>
        </w:rPr>
        <w:t xml:space="preserve"> </w:t>
      </w:r>
      <w:r w:rsidRPr="000977F7">
        <w:rPr>
          <w:rFonts w:asciiTheme="majorHAnsi" w:hAnsiTheme="majorHAnsi"/>
          <w:sz w:val="20"/>
          <w:szCs w:val="20"/>
        </w:rPr>
        <w:t>виробничі,</w:t>
      </w:r>
      <w:r w:rsidRPr="000977F7">
        <w:rPr>
          <w:rFonts w:asciiTheme="majorHAnsi" w:hAnsiTheme="majorHAnsi"/>
          <w:spacing w:val="1"/>
          <w:sz w:val="20"/>
          <w:szCs w:val="20"/>
        </w:rPr>
        <w:t xml:space="preserve"> </w:t>
      </w:r>
      <w:r w:rsidRPr="000977F7">
        <w:rPr>
          <w:rFonts w:asciiTheme="majorHAnsi" w:hAnsiTheme="majorHAnsi"/>
          <w:sz w:val="20"/>
          <w:szCs w:val="20"/>
        </w:rPr>
        <w:t>складські,</w:t>
      </w:r>
      <w:r w:rsidRPr="000977F7">
        <w:rPr>
          <w:rFonts w:asciiTheme="majorHAnsi" w:hAnsiTheme="majorHAnsi"/>
          <w:spacing w:val="1"/>
          <w:sz w:val="20"/>
          <w:szCs w:val="20"/>
        </w:rPr>
        <w:t xml:space="preserve"> </w:t>
      </w:r>
      <w:r w:rsidRPr="000977F7">
        <w:rPr>
          <w:rFonts w:asciiTheme="majorHAnsi" w:hAnsiTheme="majorHAnsi"/>
          <w:sz w:val="20"/>
          <w:szCs w:val="20"/>
        </w:rPr>
        <w:t>торговельні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інші</w:t>
      </w:r>
      <w:r w:rsidRPr="000977F7">
        <w:rPr>
          <w:rFonts w:asciiTheme="majorHAnsi" w:hAnsiTheme="majorHAnsi"/>
          <w:spacing w:val="-47"/>
          <w:sz w:val="20"/>
          <w:szCs w:val="20"/>
        </w:rPr>
        <w:t xml:space="preserve"> </w:t>
      </w:r>
      <w:r w:rsidRPr="000977F7">
        <w:rPr>
          <w:rFonts w:asciiTheme="majorHAnsi" w:hAnsiTheme="majorHAnsi"/>
          <w:sz w:val="20"/>
          <w:szCs w:val="20"/>
        </w:rPr>
        <w:t>приміщення</w:t>
      </w:r>
      <w:r w:rsidRPr="000977F7">
        <w:rPr>
          <w:rFonts w:asciiTheme="majorHAnsi" w:hAnsiTheme="majorHAnsi"/>
          <w:spacing w:val="16"/>
          <w:sz w:val="20"/>
          <w:szCs w:val="20"/>
        </w:rPr>
        <w:t xml:space="preserve"> </w:t>
      </w:r>
      <w:r w:rsidRPr="000977F7">
        <w:rPr>
          <w:rFonts w:asciiTheme="majorHAnsi" w:hAnsiTheme="majorHAnsi"/>
          <w:sz w:val="20"/>
          <w:szCs w:val="20"/>
        </w:rPr>
        <w:t>суб'єктів</w:t>
      </w:r>
      <w:r w:rsidRPr="000977F7">
        <w:rPr>
          <w:rFonts w:asciiTheme="majorHAnsi" w:hAnsiTheme="majorHAnsi"/>
          <w:spacing w:val="17"/>
          <w:sz w:val="20"/>
          <w:szCs w:val="20"/>
        </w:rPr>
        <w:t xml:space="preserve"> </w:t>
      </w:r>
      <w:r w:rsidRPr="000977F7">
        <w:rPr>
          <w:rFonts w:asciiTheme="majorHAnsi" w:hAnsiTheme="majorHAnsi"/>
          <w:sz w:val="20"/>
          <w:szCs w:val="20"/>
        </w:rPr>
        <w:t>господарювання</w:t>
      </w:r>
      <w:r w:rsidRPr="000977F7">
        <w:rPr>
          <w:rFonts w:asciiTheme="majorHAnsi" w:hAnsiTheme="majorHAnsi"/>
          <w:spacing w:val="16"/>
          <w:sz w:val="20"/>
          <w:szCs w:val="20"/>
        </w:rPr>
        <w:t xml:space="preserve"> </w:t>
      </w:r>
      <w:r w:rsidRPr="000977F7">
        <w:rPr>
          <w:rFonts w:asciiTheme="majorHAnsi" w:hAnsiTheme="majorHAnsi"/>
          <w:sz w:val="20"/>
          <w:szCs w:val="20"/>
        </w:rPr>
        <w:t>сфери</w:t>
      </w:r>
      <w:r w:rsidRPr="000977F7">
        <w:rPr>
          <w:rFonts w:asciiTheme="majorHAnsi" w:hAnsiTheme="majorHAnsi"/>
          <w:spacing w:val="17"/>
          <w:sz w:val="20"/>
          <w:szCs w:val="20"/>
        </w:rPr>
        <w:t xml:space="preserve"> </w:t>
      </w:r>
      <w:r w:rsidRPr="000977F7">
        <w:rPr>
          <w:rFonts w:asciiTheme="majorHAnsi" w:hAnsiTheme="majorHAnsi"/>
          <w:sz w:val="20"/>
          <w:szCs w:val="20"/>
        </w:rPr>
        <w:t>торгівлі</w:t>
      </w:r>
      <w:r w:rsidRPr="000977F7">
        <w:rPr>
          <w:rFonts w:asciiTheme="majorHAnsi" w:hAnsiTheme="majorHAnsi"/>
          <w:spacing w:val="-48"/>
          <w:sz w:val="20"/>
          <w:szCs w:val="20"/>
        </w:rPr>
        <w:t xml:space="preserve"> </w:t>
      </w:r>
      <w:r w:rsidRPr="000977F7">
        <w:rPr>
          <w:rFonts w:asciiTheme="majorHAnsi" w:hAnsiTheme="majorHAnsi"/>
          <w:sz w:val="20"/>
          <w:szCs w:val="20"/>
        </w:rPr>
        <w:t>і послуг, у тому числі ресторанного господарства, а</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1"/>
          <w:sz w:val="20"/>
          <w:szCs w:val="20"/>
        </w:rPr>
        <w:t xml:space="preserve"> </w:t>
      </w:r>
      <w:r w:rsidRPr="000977F7">
        <w:rPr>
          <w:rFonts w:asciiTheme="majorHAnsi" w:hAnsiTheme="majorHAnsi"/>
          <w:sz w:val="20"/>
          <w:szCs w:val="20"/>
        </w:rPr>
        <w:t>несправні,</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неправильними</w:t>
      </w:r>
      <w:r w:rsidRPr="000977F7">
        <w:rPr>
          <w:rFonts w:asciiTheme="majorHAnsi" w:hAnsiTheme="majorHAnsi"/>
          <w:spacing w:val="1"/>
          <w:sz w:val="20"/>
          <w:szCs w:val="20"/>
        </w:rPr>
        <w:t xml:space="preserve"> </w:t>
      </w:r>
      <w:r w:rsidRPr="000977F7">
        <w:rPr>
          <w:rFonts w:asciiTheme="majorHAnsi" w:hAnsiTheme="majorHAnsi"/>
          <w:sz w:val="20"/>
          <w:szCs w:val="20"/>
        </w:rPr>
        <w:t>показаннями,</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пошкодженим повірочним тавром або без нього, чи з</w:t>
      </w:r>
      <w:r w:rsidRPr="000977F7">
        <w:rPr>
          <w:rFonts w:asciiTheme="majorHAnsi" w:hAnsiTheme="majorHAnsi"/>
          <w:spacing w:val="1"/>
          <w:sz w:val="20"/>
          <w:szCs w:val="20"/>
        </w:rPr>
        <w:t xml:space="preserve"> </w:t>
      </w:r>
      <w:r w:rsidRPr="000977F7">
        <w:rPr>
          <w:rFonts w:asciiTheme="majorHAnsi" w:hAnsiTheme="majorHAnsi"/>
          <w:sz w:val="20"/>
          <w:szCs w:val="20"/>
        </w:rPr>
        <w:t>таким, строк дії якого закінчився, засоби вимірювальної техніки, за допомогою яких здійснюється 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споживачів,</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подальшим</w:t>
      </w:r>
      <w:r w:rsidRPr="000977F7">
        <w:rPr>
          <w:rFonts w:asciiTheme="majorHAnsi" w:hAnsiTheme="majorHAnsi"/>
          <w:spacing w:val="1"/>
          <w:sz w:val="20"/>
          <w:szCs w:val="20"/>
        </w:rPr>
        <w:t xml:space="preserve"> </w:t>
      </w:r>
      <w:r w:rsidRPr="000977F7">
        <w:rPr>
          <w:rFonts w:asciiTheme="majorHAnsi" w:hAnsiTheme="majorHAnsi"/>
          <w:sz w:val="20"/>
          <w:szCs w:val="20"/>
        </w:rPr>
        <w:t>повідомленням</w:t>
      </w:r>
      <w:r w:rsidRPr="000977F7">
        <w:rPr>
          <w:rFonts w:asciiTheme="majorHAnsi" w:hAnsiTheme="majorHAnsi"/>
          <w:spacing w:val="-47"/>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це</w:t>
      </w:r>
      <w:r w:rsidRPr="000977F7">
        <w:rPr>
          <w:rFonts w:asciiTheme="majorHAnsi" w:hAnsiTheme="majorHAnsi"/>
          <w:spacing w:val="1"/>
          <w:sz w:val="20"/>
          <w:szCs w:val="20"/>
        </w:rPr>
        <w:t xml:space="preserve"> </w:t>
      </w:r>
      <w:r w:rsidRPr="000977F7">
        <w:rPr>
          <w:rFonts w:asciiTheme="majorHAnsi" w:hAnsiTheme="majorHAnsi"/>
          <w:sz w:val="20"/>
          <w:szCs w:val="20"/>
        </w:rPr>
        <w:t>центрального</w:t>
      </w:r>
      <w:r w:rsidRPr="000977F7">
        <w:rPr>
          <w:rFonts w:asciiTheme="majorHAnsi" w:hAnsiTheme="majorHAnsi"/>
          <w:spacing w:val="1"/>
          <w:sz w:val="20"/>
          <w:szCs w:val="20"/>
        </w:rPr>
        <w:t xml:space="preserve"> </w:t>
      </w:r>
      <w:r w:rsidRPr="000977F7">
        <w:rPr>
          <w:rFonts w:asciiTheme="majorHAnsi" w:hAnsiTheme="majorHAnsi"/>
          <w:sz w:val="20"/>
          <w:szCs w:val="20"/>
        </w:rPr>
        <w:t>органу</w:t>
      </w:r>
      <w:r w:rsidRPr="000977F7">
        <w:rPr>
          <w:rFonts w:asciiTheme="majorHAnsi" w:hAnsiTheme="majorHAnsi"/>
          <w:spacing w:val="1"/>
          <w:sz w:val="20"/>
          <w:szCs w:val="20"/>
        </w:rPr>
        <w:t xml:space="preserve"> </w:t>
      </w:r>
      <w:r w:rsidRPr="000977F7">
        <w:rPr>
          <w:rFonts w:asciiTheme="majorHAnsi" w:hAnsiTheme="majorHAnsi"/>
          <w:sz w:val="20"/>
          <w:szCs w:val="20"/>
        </w:rPr>
        <w:t>виконавчої</w:t>
      </w:r>
      <w:r w:rsidRPr="000977F7">
        <w:rPr>
          <w:rFonts w:asciiTheme="majorHAnsi" w:hAnsiTheme="majorHAnsi"/>
          <w:spacing w:val="1"/>
          <w:sz w:val="20"/>
          <w:szCs w:val="20"/>
        </w:rPr>
        <w:t xml:space="preserve"> </w:t>
      </w:r>
      <w:r w:rsidRPr="000977F7">
        <w:rPr>
          <w:rFonts w:asciiTheme="majorHAnsi" w:hAnsiTheme="majorHAnsi"/>
          <w:sz w:val="20"/>
          <w:szCs w:val="20"/>
        </w:rPr>
        <w:t>влади,</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реалізує</w:t>
      </w:r>
      <w:r w:rsidRPr="000977F7">
        <w:rPr>
          <w:rFonts w:asciiTheme="majorHAnsi" w:hAnsiTheme="majorHAnsi"/>
          <w:spacing w:val="1"/>
          <w:sz w:val="20"/>
          <w:szCs w:val="20"/>
        </w:rPr>
        <w:t xml:space="preserve"> </w:t>
      </w:r>
      <w:r w:rsidRPr="000977F7">
        <w:rPr>
          <w:rFonts w:asciiTheme="majorHAnsi" w:hAnsiTheme="majorHAnsi"/>
          <w:sz w:val="20"/>
          <w:szCs w:val="20"/>
        </w:rPr>
        <w:t>державну</w:t>
      </w:r>
      <w:r w:rsidRPr="000977F7">
        <w:rPr>
          <w:rFonts w:asciiTheme="majorHAnsi" w:hAnsiTheme="majorHAnsi"/>
          <w:spacing w:val="1"/>
          <w:sz w:val="20"/>
          <w:szCs w:val="20"/>
        </w:rPr>
        <w:t xml:space="preserve"> </w:t>
      </w:r>
      <w:r w:rsidRPr="000977F7">
        <w:rPr>
          <w:rFonts w:asciiTheme="majorHAnsi" w:hAnsiTheme="majorHAnsi"/>
          <w:sz w:val="20"/>
          <w:szCs w:val="20"/>
        </w:rPr>
        <w:t>політику</w:t>
      </w:r>
      <w:r w:rsidRPr="000977F7">
        <w:rPr>
          <w:rFonts w:asciiTheme="majorHAnsi" w:hAnsiTheme="majorHAnsi"/>
          <w:spacing w:val="1"/>
          <w:sz w:val="20"/>
          <w:szCs w:val="20"/>
        </w:rPr>
        <w:t xml:space="preserve"> </w:t>
      </w:r>
      <w:r w:rsidRPr="000977F7">
        <w:rPr>
          <w:rFonts w:asciiTheme="majorHAnsi" w:hAnsiTheme="majorHAnsi"/>
          <w:sz w:val="20"/>
          <w:szCs w:val="20"/>
        </w:rPr>
        <w:t>у сфері</w:t>
      </w:r>
      <w:r w:rsidRPr="000977F7">
        <w:rPr>
          <w:rFonts w:asciiTheme="majorHAnsi" w:hAnsiTheme="majorHAnsi"/>
          <w:spacing w:val="1"/>
          <w:sz w:val="20"/>
          <w:szCs w:val="20"/>
        </w:rPr>
        <w:t xml:space="preserve"> </w:t>
      </w:r>
      <w:r w:rsidRPr="000977F7">
        <w:rPr>
          <w:rFonts w:asciiTheme="majorHAnsi" w:hAnsiTheme="majorHAnsi"/>
          <w:sz w:val="20"/>
          <w:szCs w:val="20"/>
        </w:rPr>
        <w:t>метрологічного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нагляду;</w:t>
      </w:r>
    </w:p>
    <w:p w14:paraId="12E44A31" w14:textId="77777777" w:rsidR="0097612F" w:rsidRPr="000977F7" w:rsidRDefault="0097612F" w:rsidP="00FD39A4">
      <w:pPr>
        <w:pStyle w:val="ac"/>
        <w:widowControl w:val="0"/>
        <w:numPr>
          <w:ilvl w:val="0"/>
          <w:numId w:val="118"/>
        </w:numPr>
        <w:tabs>
          <w:tab w:val="left" w:pos="284"/>
          <w:tab w:val="left" w:pos="78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подавати до суду позови щодо захисту прав споживачів;</w:t>
      </w:r>
    </w:p>
    <w:p w14:paraId="5AFEE8C8" w14:textId="77777777" w:rsidR="0097612F" w:rsidRPr="000977F7" w:rsidRDefault="0097612F" w:rsidP="00FD39A4">
      <w:pPr>
        <w:pStyle w:val="ac"/>
        <w:widowControl w:val="0"/>
        <w:numPr>
          <w:ilvl w:val="0"/>
          <w:numId w:val="118"/>
        </w:numPr>
        <w:tabs>
          <w:tab w:val="left" w:pos="284"/>
          <w:tab w:val="left" w:pos="78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передавати матеріали перевірок на дії осіб, що</w:t>
      </w:r>
      <w:r w:rsidRPr="000977F7">
        <w:rPr>
          <w:rFonts w:asciiTheme="majorHAnsi" w:hAnsiTheme="majorHAnsi"/>
          <w:spacing w:val="1"/>
          <w:sz w:val="20"/>
          <w:szCs w:val="20"/>
        </w:rPr>
        <w:t xml:space="preserve"> </w:t>
      </w:r>
      <w:r w:rsidRPr="000977F7">
        <w:rPr>
          <w:rFonts w:asciiTheme="majorHAnsi" w:hAnsiTheme="majorHAnsi"/>
          <w:sz w:val="20"/>
          <w:szCs w:val="20"/>
        </w:rPr>
        <w:t>містять ознаки кримінального правопорушення, органам досудового</w:t>
      </w:r>
      <w:r w:rsidRPr="000977F7">
        <w:rPr>
          <w:rFonts w:asciiTheme="majorHAnsi" w:hAnsiTheme="majorHAnsi"/>
          <w:spacing w:val="1"/>
          <w:sz w:val="20"/>
          <w:szCs w:val="20"/>
        </w:rPr>
        <w:t xml:space="preserve"> </w:t>
      </w:r>
      <w:r w:rsidRPr="000977F7">
        <w:rPr>
          <w:rFonts w:asciiTheme="majorHAnsi" w:hAnsiTheme="majorHAnsi"/>
          <w:sz w:val="20"/>
          <w:szCs w:val="20"/>
        </w:rPr>
        <w:t>розслідування;</w:t>
      </w:r>
    </w:p>
    <w:p w14:paraId="003521BB" w14:textId="77777777" w:rsidR="0097612F" w:rsidRPr="000977F7" w:rsidRDefault="0097612F" w:rsidP="00FD39A4">
      <w:pPr>
        <w:pStyle w:val="ac"/>
        <w:widowControl w:val="0"/>
        <w:numPr>
          <w:ilvl w:val="0"/>
          <w:numId w:val="118"/>
        </w:numPr>
        <w:tabs>
          <w:tab w:val="left" w:pos="284"/>
          <w:tab w:val="left" w:pos="65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накладати</w:t>
      </w:r>
      <w:r w:rsidRPr="000977F7">
        <w:rPr>
          <w:rFonts w:asciiTheme="majorHAnsi" w:hAnsiTheme="majorHAnsi"/>
          <w:spacing w:val="19"/>
          <w:sz w:val="20"/>
          <w:szCs w:val="20"/>
        </w:rPr>
        <w:t xml:space="preserve"> </w:t>
      </w:r>
      <w:r w:rsidRPr="000977F7">
        <w:rPr>
          <w:rFonts w:asciiTheme="majorHAnsi" w:hAnsiTheme="majorHAnsi"/>
          <w:sz w:val="20"/>
          <w:szCs w:val="20"/>
        </w:rPr>
        <w:t>на</w:t>
      </w:r>
      <w:r w:rsidRPr="000977F7">
        <w:rPr>
          <w:rFonts w:asciiTheme="majorHAnsi" w:hAnsiTheme="majorHAnsi"/>
          <w:spacing w:val="21"/>
          <w:sz w:val="20"/>
          <w:szCs w:val="20"/>
        </w:rPr>
        <w:t xml:space="preserve"> </w:t>
      </w:r>
      <w:r w:rsidRPr="000977F7">
        <w:rPr>
          <w:rFonts w:asciiTheme="majorHAnsi" w:hAnsiTheme="majorHAnsi"/>
          <w:sz w:val="20"/>
          <w:szCs w:val="20"/>
        </w:rPr>
        <w:t>винних</w:t>
      </w:r>
      <w:r w:rsidRPr="000977F7">
        <w:rPr>
          <w:rFonts w:asciiTheme="majorHAnsi" w:hAnsiTheme="majorHAnsi"/>
          <w:spacing w:val="19"/>
          <w:sz w:val="20"/>
          <w:szCs w:val="20"/>
        </w:rPr>
        <w:t xml:space="preserve"> </w:t>
      </w:r>
      <w:r w:rsidRPr="000977F7">
        <w:rPr>
          <w:rFonts w:asciiTheme="majorHAnsi" w:hAnsiTheme="majorHAnsi"/>
          <w:sz w:val="20"/>
          <w:szCs w:val="20"/>
        </w:rPr>
        <w:t>осіб</w:t>
      </w:r>
      <w:r w:rsidRPr="000977F7">
        <w:rPr>
          <w:rFonts w:asciiTheme="majorHAnsi" w:hAnsiTheme="majorHAnsi"/>
          <w:spacing w:val="23"/>
          <w:sz w:val="20"/>
          <w:szCs w:val="20"/>
        </w:rPr>
        <w:t xml:space="preserve"> </w:t>
      </w:r>
      <w:r w:rsidRPr="000977F7">
        <w:rPr>
          <w:rFonts w:asciiTheme="majorHAnsi" w:hAnsiTheme="majorHAnsi"/>
          <w:sz w:val="20"/>
          <w:szCs w:val="20"/>
        </w:rPr>
        <w:t>у</w:t>
      </w:r>
      <w:r w:rsidRPr="000977F7">
        <w:rPr>
          <w:rFonts w:asciiTheme="majorHAnsi" w:hAnsiTheme="majorHAnsi"/>
          <w:spacing w:val="17"/>
          <w:sz w:val="20"/>
          <w:szCs w:val="20"/>
        </w:rPr>
        <w:t xml:space="preserve"> </w:t>
      </w:r>
      <w:r w:rsidRPr="000977F7">
        <w:rPr>
          <w:rFonts w:asciiTheme="majorHAnsi" w:hAnsiTheme="majorHAnsi"/>
          <w:sz w:val="20"/>
          <w:szCs w:val="20"/>
        </w:rPr>
        <w:t>випадках,</w:t>
      </w:r>
      <w:r w:rsidRPr="000977F7">
        <w:rPr>
          <w:rFonts w:asciiTheme="majorHAnsi" w:hAnsiTheme="majorHAnsi"/>
          <w:spacing w:val="26"/>
          <w:sz w:val="20"/>
          <w:szCs w:val="20"/>
        </w:rPr>
        <w:t xml:space="preserve"> </w:t>
      </w:r>
      <w:r w:rsidRPr="000977F7">
        <w:rPr>
          <w:rFonts w:asciiTheme="majorHAnsi" w:hAnsiTheme="majorHAnsi"/>
          <w:sz w:val="20"/>
          <w:szCs w:val="20"/>
        </w:rPr>
        <w:t>передбачених законодавством, адміністративні стягнення.</w:t>
      </w:r>
      <w:r w:rsidRPr="000977F7">
        <w:rPr>
          <w:rFonts w:asciiTheme="majorHAnsi" w:hAnsiTheme="majorHAnsi"/>
          <w:spacing w:val="1"/>
          <w:sz w:val="20"/>
          <w:szCs w:val="20"/>
        </w:rPr>
        <w:t xml:space="preserve"> </w:t>
      </w:r>
      <w:r w:rsidRPr="000977F7">
        <w:rPr>
          <w:rFonts w:asciiTheme="majorHAnsi" w:hAnsiTheme="majorHAnsi"/>
          <w:sz w:val="20"/>
          <w:szCs w:val="20"/>
        </w:rPr>
        <w:t>Справи</w:t>
      </w:r>
      <w:r w:rsidRPr="000977F7">
        <w:rPr>
          <w:rFonts w:asciiTheme="majorHAnsi" w:hAnsiTheme="majorHAnsi"/>
          <w:spacing w:val="15"/>
          <w:sz w:val="20"/>
          <w:szCs w:val="20"/>
        </w:rPr>
        <w:t xml:space="preserve"> </w:t>
      </w:r>
      <w:r w:rsidRPr="000977F7">
        <w:rPr>
          <w:rFonts w:asciiTheme="majorHAnsi" w:hAnsiTheme="majorHAnsi"/>
          <w:sz w:val="20"/>
          <w:szCs w:val="20"/>
        </w:rPr>
        <w:t>про</w:t>
      </w:r>
      <w:r w:rsidRPr="000977F7">
        <w:rPr>
          <w:rFonts w:asciiTheme="majorHAnsi" w:hAnsiTheme="majorHAnsi"/>
          <w:spacing w:val="17"/>
          <w:sz w:val="20"/>
          <w:szCs w:val="20"/>
        </w:rPr>
        <w:t xml:space="preserve"> </w:t>
      </w:r>
      <w:r w:rsidRPr="000977F7">
        <w:rPr>
          <w:rFonts w:asciiTheme="majorHAnsi" w:hAnsiTheme="majorHAnsi"/>
          <w:sz w:val="20"/>
          <w:szCs w:val="20"/>
        </w:rPr>
        <w:t>адміністративні</w:t>
      </w:r>
      <w:r w:rsidRPr="000977F7">
        <w:rPr>
          <w:rFonts w:asciiTheme="majorHAnsi" w:hAnsiTheme="majorHAnsi"/>
          <w:spacing w:val="17"/>
          <w:sz w:val="20"/>
          <w:szCs w:val="20"/>
        </w:rPr>
        <w:t xml:space="preserve"> </w:t>
      </w:r>
      <w:r w:rsidRPr="000977F7">
        <w:rPr>
          <w:rFonts w:asciiTheme="majorHAnsi" w:hAnsiTheme="majorHAnsi"/>
          <w:sz w:val="20"/>
          <w:szCs w:val="20"/>
        </w:rPr>
        <w:t>правопорушення</w:t>
      </w:r>
      <w:r w:rsidRPr="000977F7">
        <w:rPr>
          <w:rFonts w:asciiTheme="majorHAnsi" w:hAnsiTheme="majorHAnsi"/>
          <w:spacing w:val="15"/>
          <w:sz w:val="20"/>
          <w:szCs w:val="20"/>
        </w:rPr>
        <w:t xml:space="preserve"> </w:t>
      </w:r>
      <w:r w:rsidRPr="000977F7">
        <w:rPr>
          <w:rFonts w:asciiTheme="majorHAnsi" w:hAnsiTheme="majorHAnsi"/>
          <w:sz w:val="20"/>
          <w:szCs w:val="20"/>
        </w:rPr>
        <w:t>розглядаються</w:t>
      </w:r>
      <w:r w:rsidRPr="000977F7">
        <w:rPr>
          <w:rFonts w:asciiTheme="majorHAnsi" w:hAnsiTheme="majorHAnsi"/>
          <w:spacing w:val="37"/>
          <w:sz w:val="20"/>
          <w:szCs w:val="20"/>
        </w:rPr>
        <w:t xml:space="preserve"> </w:t>
      </w:r>
      <w:r w:rsidRPr="000977F7">
        <w:rPr>
          <w:rFonts w:asciiTheme="majorHAnsi" w:hAnsiTheme="majorHAnsi"/>
          <w:sz w:val="20"/>
          <w:szCs w:val="20"/>
        </w:rPr>
        <w:t>за</w:t>
      </w:r>
      <w:r w:rsidRPr="000977F7">
        <w:rPr>
          <w:rFonts w:asciiTheme="majorHAnsi" w:hAnsiTheme="majorHAnsi"/>
          <w:spacing w:val="39"/>
          <w:sz w:val="20"/>
          <w:szCs w:val="20"/>
        </w:rPr>
        <w:t xml:space="preserve"> </w:t>
      </w:r>
      <w:r w:rsidRPr="000977F7">
        <w:rPr>
          <w:rFonts w:asciiTheme="majorHAnsi" w:hAnsiTheme="majorHAnsi"/>
          <w:sz w:val="20"/>
          <w:szCs w:val="20"/>
        </w:rPr>
        <w:t>місцезнаходженням</w:t>
      </w:r>
      <w:r w:rsidRPr="000977F7">
        <w:rPr>
          <w:rFonts w:asciiTheme="majorHAnsi" w:hAnsiTheme="majorHAnsi"/>
          <w:spacing w:val="38"/>
          <w:sz w:val="20"/>
          <w:szCs w:val="20"/>
        </w:rPr>
        <w:t xml:space="preserve"> </w:t>
      </w:r>
      <w:r w:rsidRPr="000977F7">
        <w:rPr>
          <w:rFonts w:asciiTheme="majorHAnsi" w:hAnsiTheme="majorHAnsi"/>
          <w:sz w:val="20"/>
          <w:szCs w:val="20"/>
        </w:rPr>
        <w:t>центрального</w:t>
      </w:r>
      <w:r w:rsidRPr="000977F7">
        <w:rPr>
          <w:rFonts w:asciiTheme="majorHAnsi" w:hAnsiTheme="majorHAnsi"/>
          <w:spacing w:val="39"/>
          <w:sz w:val="20"/>
          <w:szCs w:val="20"/>
        </w:rPr>
        <w:t xml:space="preserve"> </w:t>
      </w:r>
      <w:r w:rsidRPr="000977F7">
        <w:rPr>
          <w:rFonts w:asciiTheme="majorHAnsi" w:hAnsiTheme="majorHAnsi"/>
          <w:sz w:val="20"/>
          <w:szCs w:val="20"/>
        </w:rPr>
        <w:t>органу</w:t>
      </w:r>
      <w:r w:rsidRPr="000977F7">
        <w:rPr>
          <w:rFonts w:asciiTheme="majorHAnsi" w:hAnsiTheme="majorHAnsi"/>
          <w:spacing w:val="-47"/>
          <w:sz w:val="20"/>
          <w:szCs w:val="20"/>
        </w:rPr>
        <w:t xml:space="preserve"> </w:t>
      </w:r>
      <w:r w:rsidRPr="000977F7">
        <w:rPr>
          <w:rFonts w:asciiTheme="majorHAnsi" w:hAnsiTheme="majorHAnsi"/>
          <w:sz w:val="20"/>
          <w:szCs w:val="20"/>
        </w:rPr>
        <w:t>виконавчої</w:t>
      </w:r>
      <w:r w:rsidRPr="000977F7">
        <w:rPr>
          <w:rFonts w:asciiTheme="majorHAnsi" w:hAnsiTheme="majorHAnsi"/>
          <w:spacing w:val="1"/>
          <w:sz w:val="20"/>
          <w:szCs w:val="20"/>
        </w:rPr>
        <w:t xml:space="preserve"> </w:t>
      </w:r>
      <w:r w:rsidRPr="000977F7">
        <w:rPr>
          <w:rFonts w:asciiTheme="majorHAnsi" w:hAnsiTheme="majorHAnsi"/>
          <w:sz w:val="20"/>
          <w:szCs w:val="20"/>
        </w:rPr>
        <w:t>влади,</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реалізує</w:t>
      </w:r>
      <w:r w:rsidRPr="000977F7">
        <w:rPr>
          <w:rFonts w:asciiTheme="majorHAnsi" w:hAnsiTheme="majorHAnsi"/>
          <w:spacing w:val="1"/>
          <w:sz w:val="20"/>
          <w:szCs w:val="20"/>
        </w:rPr>
        <w:t xml:space="preserve"> </w:t>
      </w:r>
      <w:r w:rsidRPr="000977F7">
        <w:rPr>
          <w:rFonts w:asciiTheme="majorHAnsi" w:hAnsiTheme="majorHAnsi"/>
          <w:sz w:val="20"/>
          <w:szCs w:val="20"/>
        </w:rPr>
        <w:t>державну політику</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47"/>
          <w:sz w:val="20"/>
          <w:szCs w:val="20"/>
        </w:rPr>
        <w:t xml:space="preserve"> </w:t>
      </w:r>
      <w:r w:rsidRPr="000977F7">
        <w:rPr>
          <w:rFonts w:asciiTheme="majorHAnsi" w:hAnsiTheme="majorHAnsi"/>
          <w:sz w:val="20"/>
          <w:szCs w:val="20"/>
        </w:rPr>
        <w:t>сфері</w:t>
      </w:r>
      <w:r w:rsidRPr="000977F7">
        <w:rPr>
          <w:rFonts w:asciiTheme="majorHAnsi" w:hAnsiTheme="majorHAnsi"/>
          <w:spacing w:val="31"/>
          <w:sz w:val="20"/>
          <w:szCs w:val="20"/>
        </w:rPr>
        <w:t xml:space="preserve"> </w:t>
      </w:r>
      <w:r w:rsidRPr="000977F7">
        <w:rPr>
          <w:rFonts w:asciiTheme="majorHAnsi" w:hAnsiTheme="majorHAnsi"/>
          <w:sz w:val="20"/>
          <w:szCs w:val="20"/>
        </w:rPr>
        <w:t>державного</w:t>
      </w:r>
      <w:r w:rsidRPr="000977F7">
        <w:rPr>
          <w:rFonts w:asciiTheme="majorHAnsi" w:hAnsiTheme="majorHAnsi"/>
          <w:spacing w:val="32"/>
          <w:sz w:val="20"/>
          <w:szCs w:val="20"/>
        </w:rPr>
        <w:t xml:space="preserve"> </w:t>
      </w:r>
      <w:r w:rsidRPr="000977F7">
        <w:rPr>
          <w:rFonts w:asciiTheme="majorHAnsi" w:hAnsiTheme="majorHAnsi"/>
          <w:sz w:val="20"/>
          <w:szCs w:val="20"/>
        </w:rPr>
        <w:t>контролю</w:t>
      </w:r>
      <w:r w:rsidRPr="000977F7">
        <w:rPr>
          <w:rFonts w:asciiTheme="majorHAnsi" w:hAnsiTheme="majorHAnsi"/>
          <w:spacing w:val="32"/>
          <w:sz w:val="20"/>
          <w:szCs w:val="20"/>
        </w:rPr>
        <w:t xml:space="preserve"> </w:t>
      </w:r>
      <w:r w:rsidRPr="000977F7">
        <w:rPr>
          <w:rFonts w:asciiTheme="majorHAnsi" w:hAnsiTheme="majorHAnsi"/>
          <w:sz w:val="20"/>
          <w:szCs w:val="20"/>
        </w:rPr>
        <w:t>за</w:t>
      </w:r>
      <w:r w:rsidRPr="000977F7">
        <w:rPr>
          <w:rFonts w:asciiTheme="majorHAnsi" w:hAnsiTheme="majorHAnsi"/>
          <w:spacing w:val="32"/>
          <w:sz w:val="20"/>
          <w:szCs w:val="20"/>
        </w:rPr>
        <w:t xml:space="preserve"> </w:t>
      </w:r>
      <w:r w:rsidRPr="000977F7">
        <w:rPr>
          <w:rFonts w:asciiTheme="majorHAnsi" w:hAnsiTheme="majorHAnsi"/>
          <w:sz w:val="20"/>
          <w:szCs w:val="20"/>
        </w:rPr>
        <w:t>додержанням</w:t>
      </w:r>
      <w:r w:rsidRPr="000977F7">
        <w:rPr>
          <w:rFonts w:asciiTheme="majorHAnsi" w:hAnsiTheme="majorHAnsi"/>
          <w:spacing w:val="33"/>
          <w:sz w:val="20"/>
          <w:szCs w:val="20"/>
        </w:rPr>
        <w:t xml:space="preserve"> </w:t>
      </w:r>
      <w:r w:rsidRPr="000977F7">
        <w:rPr>
          <w:rFonts w:asciiTheme="majorHAnsi" w:hAnsiTheme="majorHAnsi"/>
          <w:sz w:val="20"/>
          <w:szCs w:val="20"/>
        </w:rPr>
        <w:t>законодавства</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захист</w:t>
      </w:r>
      <w:r w:rsidRPr="000977F7">
        <w:rPr>
          <w:rFonts w:asciiTheme="majorHAnsi" w:hAnsiTheme="majorHAnsi"/>
          <w:spacing w:val="1"/>
          <w:sz w:val="20"/>
          <w:szCs w:val="20"/>
        </w:rPr>
        <w:t xml:space="preserve"> </w:t>
      </w:r>
      <w:r w:rsidRPr="000977F7">
        <w:rPr>
          <w:rFonts w:asciiTheme="majorHAnsi" w:hAnsiTheme="majorHAnsi"/>
          <w:sz w:val="20"/>
          <w:szCs w:val="20"/>
        </w:rPr>
        <w:t>прав</w:t>
      </w:r>
      <w:r w:rsidRPr="000977F7">
        <w:rPr>
          <w:rFonts w:asciiTheme="majorHAnsi" w:hAnsiTheme="majorHAnsi"/>
          <w:spacing w:val="1"/>
          <w:sz w:val="20"/>
          <w:szCs w:val="20"/>
        </w:rPr>
        <w:t xml:space="preserve"> </w:t>
      </w:r>
      <w:r w:rsidRPr="000977F7">
        <w:rPr>
          <w:rFonts w:asciiTheme="majorHAnsi" w:hAnsiTheme="majorHAnsi"/>
          <w:sz w:val="20"/>
          <w:szCs w:val="20"/>
        </w:rPr>
        <w:t>споживачів,</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lastRenderedPageBreak/>
        <w:t>території</w:t>
      </w:r>
      <w:r w:rsidRPr="000977F7">
        <w:rPr>
          <w:rFonts w:asciiTheme="majorHAnsi" w:hAnsiTheme="majorHAnsi"/>
          <w:spacing w:val="-47"/>
          <w:sz w:val="20"/>
          <w:szCs w:val="20"/>
        </w:rPr>
        <w:t xml:space="preserve"> </w:t>
      </w:r>
      <w:r w:rsidRPr="000977F7">
        <w:rPr>
          <w:rFonts w:asciiTheme="majorHAnsi" w:hAnsiTheme="majorHAnsi"/>
          <w:sz w:val="20"/>
          <w:szCs w:val="20"/>
        </w:rPr>
        <w:t>Автономної</w:t>
      </w:r>
      <w:r w:rsidRPr="000977F7">
        <w:rPr>
          <w:rFonts w:asciiTheme="majorHAnsi" w:hAnsiTheme="majorHAnsi"/>
          <w:spacing w:val="26"/>
          <w:sz w:val="20"/>
          <w:szCs w:val="20"/>
        </w:rPr>
        <w:t xml:space="preserve"> </w:t>
      </w:r>
      <w:r w:rsidRPr="000977F7">
        <w:rPr>
          <w:rFonts w:asciiTheme="majorHAnsi" w:hAnsiTheme="majorHAnsi"/>
          <w:sz w:val="20"/>
          <w:szCs w:val="20"/>
        </w:rPr>
        <w:t>Республіки</w:t>
      </w:r>
      <w:r w:rsidRPr="000977F7">
        <w:rPr>
          <w:rFonts w:asciiTheme="majorHAnsi" w:hAnsiTheme="majorHAnsi"/>
          <w:spacing w:val="25"/>
          <w:sz w:val="20"/>
          <w:szCs w:val="20"/>
        </w:rPr>
        <w:t xml:space="preserve"> </w:t>
      </w:r>
      <w:r w:rsidRPr="000977F7">
        <w:rPr>
          <w:rFonts w:asciiTheme="majorHAnsi" w:hAnsiTheme="majorHAnsi"/>
          <w:sz w:val="20"/>
          <w:szCs w:val="20"/>
        </w:rPr>
        <w:t>Крим</w:t>
      </w:r>
      <w:r w:rsidRPr="000977F7">
        <w:rPr>
          <w:rFonts w:asciiTheme="majorHAnsi" w:hAnsiTheme="majorHAnsi"/>
          <w:spacing w:val="30"/>
          <w:sz w:val="20"/>
          <w:szCs w:val="20"/>
        </w:rPr>
        <w:t xml:space="preserve"> </w:t>
      </w:r>
      <w:r w:rsidRPr="000977F7">
        <w:rPr>
          <w:rFonts w:asciiTheme="majorHAnsi" w:hAnsiTheme="majorHAnsi"/>
          <w:sz w:val="20"/>
          <w:szCs w:val="20"/>
        </w:rPr>
        <w:t>органу</w:t>
      </w:r>
      <w:r w:rsidRPr="000977F7">
        <w:rPr>
          <w:rFonts w:asciiTheme="majorHAnsi" w:hAnsiTheme="majorHAnsi"/>
          <w:spacing w:val="22"/>
          <w:sz w:val="20"/>
          <w:szCs w:val="20"/>
        </w:rPr>
        <w:t xml:space="preserve"> </w:t>
      </w:r>
      <w:r w:rsidRPr="000977F7">
        <w:rPr>
          <w:rFonts w:asciiTheme="majorHAnsi" w:hAnsiTheme="majorHAnsi"/>
          <w:sz w:val="20"/>
          <w:szCs w:val="20"/>
        </w:rPr>
        <w:t xml:space="preserve">виконавчої </w:t>
      </w:r>
      <w:r w:rsidRPr="000977F7">
        <w:rPr>
          <w:rFonts w:asciiTheme="majorHAnsi" w:hAnsiTheme="majorHAnsi"/>
          <w:spacing w:val="-47"/>
          <w:sz w:val="20"/>
          <w:szCs w:val="20"/>
        </w:rPr>
        <w:t xml:space="preserve"> </w:t>
      </w:r>
      <w:r w:rsidRPr="000977F7">
        <w:rPr>
          <w:rFonts w:asciiTheme="majorHAnsi" w:hAnsiTheme="majorHAnsi"/>
          <w:sz w:val="20"/>
          <w:szCs w:val="20"/>
        </w:rPr>
        <w:t>влади</w:t>
      </w:r>
      <w:r w:rsidRPr="000977F7">
        <w:rPr>
          <w:rFonts w:asciiTheme="majorHAnsi" w:hAnsiTheme="majorHAnsi"/>
          <w:spacing w:val="36"/>
          <w:sz w:val="20"/>
          <w:szCs w:val="20"/>
        </w:rPr>
        <w:t xml:space="preserve"> </w:t>
      </w:r>
      <w:r w:rsidRPr="000977F7">
        <w:rPr>
          <w:rFonts w:asciiTheme="majorHAnsi" w:hAnsiTheme="majorHAnsi"/>
          <w:sz w:val="20"/>
          <w:szCs w:val="20"/>
        </w:rPr>
        <w:t>Автономної</w:t>
      </w:r>
      <w:r w:rsidRPr="000977F7">
        <w:rPr>
          <w:rFonts w:asciiTheme="majorHAnsi" w:hAnsiTheme="majorHAnsi"/>
          <w:spacing w:val="34"/>
          <w:sz w:val="20"/>
          <w:szCs w:val="20"/>
        </w:rPr>
        <w:t xml:space="preserve"> </w:t>
      </w:r>
      <w:r w:rsidRPr="000977F7">
        <w:rPr>
          <w:rFonts w:asciiTheme="majorHAnsi" w:hAnsiTheme="majorHAnsi"/>
          <w:sz w:val="20"/>
          <w:szCs w:val="20"/>
        </w:rPr>
        <w:t>Республіки</w:t>
      </w:r>
      <w:r w:rsidRPr="000977F7">
        <w:rPr>
          <w:rFonts w:asciiTheme="majorHAnsi" w:hAnsiTheme="majorHAnsi"/>
          <w:spacing w:val="34"/>
          <w:sz w:val="20"/>
          <w:szCs w:val="20"/>
        </w:rPr>
        <w:t xml:space="preserve"> </w:t>
      </w:r>
      <w:r w:rsidRPr="000977F7">
        <w:rPr>
          <w:rFonts w:asciiTheme="majorHAnsi" w:hAnsiTheme="majorHAnsi"/>
          <w:sz w:val="20"/>
          <w:szCs w:val="20"/>
        </w:rPr>
        <w:t>Крим</w:t>
      </w:r>
      <w:r w:rsidRPr="000977F7">
        <w:rPr>
          <w:rFonts w:asciiTheme="majorHAnsi" w:hAnsiTheme="majorHAnsi"/>
          <w:spacing w:val="38"/>
          <w:sz w:val="20"/>
          <w:szCs w:val="20"/>
        </w:rPr>
        <w:t xml:space="preserve"> </w:t>
      </w:r>
      <w:r w:rsidRPr="000977F7">
        <w:rPr>
          <w:rFonts w:asciiTheme="majorHAnsi" w:hAnsiTheme="majorHAnsi"/>
          <w:sz w:val="20"/>
          <w:szCs w:val="20"/>
        </w:rPr>
        <w:t>у</w:t>
      </w:r>
      <w:r w:rsidRPr="000977F7">
        <w:rPr>
          <w:rFonts w:asciiTheme="majorHAnsi" w:hAnsiTheme="majorHAnsi"/>
          <w:spacing w:val="32"/>
          <w:sz w:val="20"/>
          <w:szCs w:val="20"/>
        </w:rPr>
        <w:t xml:space="preserve"> </w:t>
      </w:r>
      <w:r w:rsidRPr="000977F7">
        <w:rPr>
          <w:rFonts w:asciiTheme="majorHAnsi" w:hAnsiTheme="majorHAnsi"/>
          <w:sz w:val="20"/>
          <w:szCs w:val="20"/>
        </w:rPr>
        <w:t>сфері</w:t>
      </w:r>
      <w:r w:rsidRPr="000977F7">
        <w:rPr>
          <w:rFonts w:asciiTheme="majorHAnsi" w:hAnsiTheme="majorHAnsi"/>
          <w:spacing w:val="34"/>
          <w:sz w:val="20"/>
          <w:szCs w:val="20"/>
        </w:rPr>
        <w:t xml:space="preserve"> </w:t>
      </w:r>
      <w:r w:rsidRPr="000977F7">
        <w:rPr>
          <w:rFonts w:asciiTheme="majorHAnsi" w:hAnsiTheme="majorHAnsi"/>
          <w:sz w:val="20"/>
          <w:szCs w:val="20"/>
        </w:rPr>
        <w:t>захисту</w:t>
      </w:r>
      <w:r w:rsidRPr="000977F7">
        <w:rPr>
          <w:rFonts w:asciiTheme="majorHAnsi" w:hAnsiTheme="majorHAnsi"/>
          <w:spacing w:val="-47"/>
          <w:sz w:val="20"/>
          <w:szCs w:val="20"/>
        </w:rPr>
        <w:t xml:space="preserve">    </w:t>
      </w:r>
      <w:r w:rsidRPr="000977F7">
        <w:rPr>
          <w:rFonts w:asciiTheme="majorHAnsi" w:hAnsiTheme="majorHAnsi"/>
          <w:sz w:val="20"/>
          <w:szCs w:val="20"/>
        </w:rPr>
        <w:t>прав</w:t>
      </w:r>
      <w:r w:rsidRPr="000977F7">
        <w:rPr>
          <w:rFonts w:asciiTheme="majorHAnsi" w:hAnsiTheme="majorHAnsi"/>
          <w:spacing w:val="-2"/>
          <w:sz w:val="20"/>
          <w:szCs w:val="20"/>
        </w:rPr>
        <w:t xml:space="preserve"> </w:t>
      </w:r>
      <w:r w:rsidRPr="000977F7">
        <w:rPr>
          <w:rFonts w:asciiTheme="majorHAnsi" w:hAnsiTheme="majorHAnsi"/>
          <w:sz w:val="20"/>
          <w:szCs w:val="20"/>
        </w:rPr>
        <w:t>споживачів;</w:t>
      </w:r>
    </w:p>
    <w:p w14:paraId="115BAF4B" w14:textId="77777777" w:rsidR="0097612F" w:rsidRPr="000977F7" w:rsidRDefault="0097612F" w:rsidP="00FD39A4">
      <w:pPr>
        <w:pStyle w:val="ac"/>
        <w:widowControl w:val="0"/>
        <w:numPr>
          <w:ilvl w:val="0"/>
          <w:numId w:val="118"/>
        </w:numPr>
        <w:tabs>
          <w:tab w:val="left" w:pos="284"/>
          <w:tab w:val="left" w:pos="63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накладати на суб'єктів господарювання сфери торгівлі і послуг, у тому числі ресторанного господарства, стягнення, передбачені статтею 23 цього Закону, в</w:t>
      </w:r>
      <w:r w:rsidRPr="000977F7">
        <w:rPr>
          <w:rFonts w:asciiTheme="majorHAnsi" w:hAnsiTheme="majorHAnsi"/>
          <w:spacing w:val="1"/>
          <w:sz w:val="20"/>
          <w:szCs w:val="20"/>
        </w:rPr>
        <w:t xml:space="preserve"> </w:t>
      </w:r>
      <w:r w:rsidRPr="000977F7">
        <w:rPr>
          <w:rFonts w:asciiTheme="majorHAnsi" w:hAnsiTheme="majorHAnsi"/>
          <w:sz w:val="20"/>
          <w:szCs w:val="20"/>
        </w:rPr>
        <w:t>порядку, що визначається Кабінетом Міністрів України.</w:t>
      </w:r>
    </w:p>
    <w:p w14:paraId="0560981C" w14:textId="77777777" w:rsidR="0097612F" w:rsidRPr="000977F7" w:rsidRDefault="0097612F" w:rsidP="00FD39A4">
      <w:pPr>
        <w:pStyle w:val="ac"/>
        <w:widowControl w:val="0"/>
        <w:numPr>
          <w:ilvl w:val="0"/>
          <w:numId w:val="120"/>
        </w:numPr>
        <w:tabs>
          <w:tab w:val="left" w:pos="284"/>
          <w:tab w:val="left" w:pos="65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Результати</w:t>
      </w:r>
      <w:r w:rsidRPr="000977F7">
        <w:rPr>
          <w:rFonts w:asciiTheme="majorHAnsi" w:hAnsiTheme="majorHAnsi"/>
          <w:spacing w:val="1"/>
          <w:sz w:val="20"/>
          <w:szCs w:val="20"/>
        </w:rPr>
        <w:t xml:space="preserve"> </w:t>
      </w:r>
      <w:r w:rsidRPr="000977F7">
        <w:rPr>
          <w:rFonts w:asciiTheme="majorHAnsi" w:hAnsiTheme="majorHAnsi"/>
          <w:sz w:val="20"/>
          <w:szCs w:val="20"/>
        </w:rPr>
        <w:t>перевірок</w:t>
      </w:r>
      <w:r w:rsidRPr="000977F7">
        <w:rPr>
          <w:rFonts w:asciiTheme="majorHAnsi" w:hAnsiTheme="majorHAnsi"/>
          <w:spacing w:val="1"/>
          <w:sz w:val="20"/>
          <w:szCs w:val="20"/>
        </w:rPr>
        <w:t xml:space="preserve"> </w:t>
      </w:r>
      <w:r w:rsidRPr="000977F7">
        <w:rPr>
          <w:rFonts w:asciiTheme="majorHAnsi" w:hAnsiTheme="majorHAnsi"/>
          <w:sz w:val="20"/>
          <w:szCs w:val="20"/>
        </w:rPr>
        <w:t>суб'єктів</w:t>
      </w:r>
      <w:r w:rsidRPr="000977F7">
        <w:rPr>
          <w:rFonts w:asciiTheme="majorHAnsi" w:hAnsiTheme="majorHAnsi"/>
          <w:spacing w:val="1"/>
          <w:sz w:val="20"/>
          <w:szCs w:val="20"/>
        </w:rPr>
        <w:t xml:space="preserve"> </w:t>
      </w:r>
      <w:r w:rsidRPr="000977F7">
        <w:rPr>
          <w:rFonts w:asciiTheme="majorHAnsi" w:hAnsiTheme="majorHAnsi"/>
          <w:sz w:val="20"/>
          <w:szCs w:val="20"/>
        </w:rPr>
        <w:t>господарювання</w:t>
      </w:r>
      <w:r w:rsidRPr="000977F7">
        <w:rPr>
          <w:rFonts w:asciiTheme="majorHAnsi" w:hAnsiTheme="majorHAnsi"/>
          <w:spacing w:val="1"/>
          <w:sz w:val="20"/>
          <w:szCs w:val="20"/>
        </w:rPr>
        <w:t xml:space="preserve"> </w:t>
      </w:r>
      <w:r w:rsidRPr="000977F7">
        <w:rPr>
          <w:rFonts w:asciiTheme="majorHAnsi" w:hAnsiTheme="majorHAnsi"/>
          <w:sz w:val="20"/>
          <w:szCs w:val="20"/>
        </w:rPr>
        <w:t>службовими особами центрального органу виконавчої</w:t>
      </w:r>
      <w:r w:rsidRPr="000977F7">
        <w:rPr>
          <w:rFonts w:asciiTheme="majorHAnsi" w:hAnsiTheme="majorHAnsi"/>
          <w:spacing w:val="-47"/>
          <w:sz w:val="20"/>
          <w:szCs w:val="20"/>
        </w:rPr>
        <w:t xml:space="preserve"> </w:t>
      </w:r>
      <w:r w:rsidRPr="000977F7">
        <w:rPr>
          <w:rFonts w:asciiTheme="majorHAnsi" w:hAnsiTheme="majorHAnsi"/>
          <w:sz w:val="20"/>
          <w:szCs w:val="20"/>
        </w:rPr>
        <w:t>влади, що реалізує державну політику у сфері державного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додержанням</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законодавства</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47"/>
          <w:sz w:val="20"/>
          <w:szCs w:val="20"/>
        </w:rPr>
        <w:t xml:space="preserve"> </w:t>
      </w:r>
      <w:r w:rsidRPr="000977F7">
        <w:rPr>
          <w:rFonts w:asciiTheme="majorHAnsi" w:hAnsiTheme="majorHAnsi"/>
          <w:sz w:val="20"/>
          <w:szCs w:val="20"/>
        </w:rPr>
        <w:t>захист прав споживачів, оформлюються відповідними</w:t>
      </w:r>
      <w:r w:rsidRPr="000977F7">
        <w:rPr>
          <w:rFonts w:asciiTheme="majorHAnsi" w:hAnsiTheme="majorHAnsi"/>
          <w:spacing w:val="-47"/>
          <w:sz w:val="20"/>
          <w:szCs w:val="20"/>
        </w:rPr>
        <w:t xml:space="preserve"> </w:t>
      </w:r>
      <w:r w:rsidRPr="000977F7">
        <w:rPr>
          <w:rFonts w:asciiTheme="majorHAnsi" w:hAnsiTheme="majorHAnsi"/>
          <w:sz w:val="20"/>
          <w:szCs w:val="20"/>
        </w:rPr>
        <w:t>актами.</w:t>
      </w:r>
    </w:p>
    <w:p w14:paraId="65B80D1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 26 закону України «Про захист прав споживачів»</w:t>
      </w:r>
    </w:p>
    <w:p w14:paraId="60DA3F97" w14:textId="77777777" w:rsidR="0097612F" w:rsidRPr="000977F7" w:rsidRDefault="0097612F" w:rsidP="000977F7">
      <w:pPr>
        <w:pStyle w:val="7"/>
        <w:tabs>
          <w:tab w:val="left" w:pos="284"/>
        </w:tabs>
        <w:spacing w:before="0" w:line="240" w:lineRule="auto"/>
        <w:ind w:left="170"/>
        <w:mirrorIndents/>
        <w:jc w:val="both"/>
        <w:rPr>
          <w:color w:val="auto"/>
          <w:spacing w:val="-8"/>
          <w:sz w:val="20"/>
          <w:szCs w:val="20"/>
        </w:rPr>
      </w:pPr>
      <w:r w:rsidRPr="000977F7">
        <w:rPr>
          <w:color w:val="auto"/>
          <w:spacing w:val="-8"/>
          <w:sz w:val="20"/>
          <w:szCs w:val="20"/>
        </w:rPr>
        <w:t>ПОВНОТА ВИЯВЛЕННЯ НЕСПРАВНОСТЕЙ –</w:t>
      </w:r>
    </w:p>
    <w:p w14:paraId="2FC65D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FAULT</w:t>
      </w:r>
      <w:r w:rsidRPr="000977F7">
        <w:rPr>
          <w:rFonts w:asciiTheme="majorHAnsi" w:hAnsiTheme="majorHAnsi"/>
          <w:spacing w:val="-1"/>
          <w:sz w:val="20"/>
          <w:szCs w:val="20"/>
        </w:rPr>
        <w:t xml:space="preserve"> </w:t>
      </w:r>
      <w:r w:rsidRPr="000977F7">
        <w:rPr>
          <w:rFonts w:asciiTheme="majorHAnsi" w:hAnsiTheme="majorHAnsi"/>
          <w:sz w:val="20"/>
          <w:szCs w:val="20"/>
        </w:rPr>
        <w:t>COVERAGE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680DE6F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Відсоток несправностей об’єкта, які можуть бути виявлені</w:t>
      </w:r>
      <w:r w:rsidRPr="000977F7">
        <w:rPr>
          <w:rFonts w:asciiTheme="majorHAnsi" w:hAnsiTheme="majorHAnsi"/>
          <w:spacing w:val="-2"/>
          <w:sz w:val="20"/>
          <w:szCs w:val="20"/>
        </w:rPr>
        <w:t xml:space="preserve"> </w:t>
      </w:r>
      <w:r w:rsidRPr="000977F7">
        <w:rPr>
          <w:rFonts w:asciiTheme="majorHAnsi" w:hAnsiTheme="majorHAnsi"/>
          <w:sz w:val="20"/>
          <w:szCs w:val="20"/>
        </w:rPr>
        <w:t>за певних</w:t>
      </w:r>
      <w:r w:rsidRPr="000977F7">
        <w:rPr>
          <w:rFonts w:asciiTheme="majorHAnsi" w:hAnsiTheme="majorHAnsi"/>
          <w:spacing w:val="1"/>
          <w:sz w:val="20"/>
          <w:szCs w:val="20"/>
        </w:rPr>
        <w:t xml:space="preserve"> </w:t>
      </w:r>
      <w:r w:rsidRPr="000977F7">
        <w:rPr>
          <w:rFonts w:asciiTheme="majorHAnsi" w:hAnsiTheme="majorHAnsi"/>
          <w:sz w:val="20"/>
          <w:szCs w:val="20"/>
        </w:rPr>
        <w:t>умов</w:t>
      </w:r>
    </w:p>
    <w:p w14:paraId="7861C54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 94</w:t>
      </w:r>
    </w:p>
    <w:p w14:paraId="59DB10AF"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ПОВНОТА РЕМОНТУ –</w:t>
      </w:r>
      <w:r w:rsidRPr="000977F7">
        <w:rPr>
          <w:rFonts w:asciiTheme="majorHAnsi" w:hAnsiTheme="majorHAnsi"/>
          <w:b/>
          <w:spacing w:val="-47"/>
          <w:sz w:val="20"/>
          <w:szCs w:val="20"/>
        </w:rPr>
        <w:t xml:space="preserve"> </w:t>
      </w:r>
    </w:p>
    <w:p w14:paraId="441BF13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REPAIR</w:t>
      </w:r>
      <w:r w:rsidRPr="000977F7">
        <w:rPr>
          <w:rFonts w:asciiTheme="majorHAnsi" w:hAnsiTheme="majorHAnsi"/>
          <w:spacing w:val="-1"/>
          <w:sz w:val="20"/>
          <w:szCs w:val="20"/>
        </w:rPr>
        <w:t xml:space="preserve"> </w:t>
      </w:r>
      <w:r w:rsidRPr="000977F7">
        <w:rPr>
          <w:rFonts w:asciiTheme="majorHAnsi" w:hAnsiTheme="majorHAnsi"/>
          <w:sz w:val="20"/>
          <w:szCs w:val="20"/>
        </w:rPr>
        <w:t>COVERAGE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F01136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Відсоток несправностей об’єкта, які можуть бути успішно</w:t>
      </w:r>
      <w:r w:rsidRPr="000977F7">
        <w:rPr>
          <w:rFonts w:asciiTheme="majorHAnsi" w:hAnsiTheme="majorHAnsi"/>
          <w:spacing w:val="2"/>
          <w:sz w:val="20"/>
          <w:szCs w:val="20"/>
        </w:rPr>
        <w:t xml:space="preserve"> </w:t>
      </w:r>
      <w:r w:rsidRPr="000977F7">
        <w:rPr>
          <w:rFonts w:asciiTheme="majorHAnsi" w:hAnsiTheme="majorHAnsi"/>
          <w:sz w:val="20"/>
          <w:szCs w:val="20"/>
        </w:rPr>
        <w:t>усунені</w:t>
      </w:r>
    </w:p>
    <w:p w14:paraId="675178F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 </w:t>
      </w:r>
      <w:r w:rsidRPr="000977F7">
        <w:rPr>
          <w:rFonts w:asciiTheme="majorHAnsi" w:hAnsiTheme="majorHAnsi"/>
          <w:i/>
          <w:sz w:val="20"/>
          <w:szCs w:val="20"/>
        </w:rPr>
        <w:t>94</w:t>
      </w:r>
    </w:p>
    <w:p w14:paraId="3B9B220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ПОВНОТА</w:t>
      </w:r>
      <w:r w:rsidRPr="000977F7">
        <w:rPr>
          <w:color w:val="auto"/>
          <w:spacing w:val="-10"/>
          <w:sz w:val="20"/>
          <w:szCs w:val="20"/>
        </w:rPr>
        <w:t xml:space="preserve"> </w:t>
      </w:r>
      <w:r w:rsidRPr="000977F7">
        <w:rPr>
          <w:color w:val="auto"/>
          <w:sz w:val="20"/>
          <w:szCs w:val="20"/>
        </w:rPr>
        <w:t>ТЕХНІЧНОГО</w:t>
      </w:r>
      <w:r w:rsidRPr="000977F7">
        <w:rPr>
          <w:color w:val="auto"/>
          <w:spacing w:val="-8"/>
          <w:sz w:val="20"/>
          <w:szCs w:val="20"/>
        </w:rPr>
        <w:t xml:space="preserve"> </w:t>
      </w:r>
      <w:r w:rsidRPr="000977F7">
        <w:rPr>
          <w:color w:val="auto"/>
          <w:sz w:val="20"/>
          <w:szCs w:val="20"/>
        </w:rPr>
        <w:t>ДІАГНОСТУВАННЯ</w:t>
      </w:r>
      <w:r w:rsidRPr="000977F7">
        <w:rPr>
          <w:color w:val="auto"/>
          <w:spacing w:val="-47"/>
          <w:sz w:val="20"/>
          <w:szCs w:val="20"/>
        </w:rPr>
        <w:t xml:space="preserve"> </w:t>
      </w:r>
      <w:r w:rsidRPr="000977F7">
        <w:rPr>
          <w:color w:val="auto"/>
          <w:sz w:val="20"/>
          <w:szCs w:val="20"/>
        </w:rPr>
        <w:t>(КОНТРОЛЮ</w:t>
      </w:r>
      <w:r w:rsidRPr="000977F7">
        <w:rPr>
          <w:color w:val="auto"/>
          <w:spacing w:val="-1"/>
          <w:sz w:val="20"/>
          <w:szCs w:val="20"/>
        </w:rPr>
        <w:t xml:space="preserve"> </w:t>
      </w:r>
      <w:r w:rsidRPr="000977F7">
        <w:rPr>
          <w:color w:val="auto"/>
          <w:sz w:val="20"/>
          <w:szCs w:val="20"/>
        </w:rPr>
        <w:t>ТЕХНІЧНОГО СТАНУ)</w:t>
      </w:r>
      <w:r w:rsidRPr="000977F7">
        <w:rPr>
          <w:color w:val="auto"/>
          <w:spacing w:val="3"/>
          <w:sz w:val="20"/>
          <w:szCs w:val="20"/>
        </w:rPr>
        <w:t xml:space="preserve"> </w:t>
      </w:r>
      <w:r w:rsidRPr="000977F7">
        <w:rPr>
          <w:color w:val="auto"/>
          <w:sz w:val="20"/>
          <w:szCs w:val="20"/>
        </w:rPr>
        <w:t>–</w:t>
      </w:r>
    </w:p>
    <w:p w14:paraId="49764A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Характеристика, яка визначає можливість виявлення</w:t>
      </w:r>
      <w:r w:rsidRPr="000977F7">
        <w:rPr>
          <w:rFonts w:asciiTheme="majorHAnsi" w:hAnsiTheme="majorHAnsi"/>
          <w:spacing w:val="1"/>
          <w:sz w:val="20"/>
          <w:szCs w:val="20"/>
        </w:rPr>
        <w:t xml:space="preserve"> </w:t>
      </w:r>
      <w:r w:rsidRPr="000977F7">
        <w:rPr>
          <w:rFonts w:asciiTheme="majorHAnsi" w:hAnsiTheme="majorHAnsi"/>
          <w:sz w:val="20"/>
          <w:szCs w:val="20"/>
        </w:rPr>
        <w:t>відмов (несправностей) в об’єкті за умови вибраного</w:t>
      </w:r>
      <w:r w:rsidRPr="000977F7">
        <w:rPr>
          <w:rFonts w:asciiTheme="majorHAnsi" w:hAnsiTheme="majorHAnsi"/>
          <w:spacing w:val="1"/>
          <w:sz w:val="20"/>
          <w:szCs w:val="20"/>
        </w:rPr>
        <w:t xml:space="preserve"> </w:t>
      </w:r>
      <w:r w:rsidRPr="000977F7">
        <w:rPr>
          <w:rFonts w:asciiTheme="majorHAnsi" w:hAnsiTheme="majorHAnsi"/>
          <w:sz w:val="20"/>
          <w:szCs w:val="20"/>
        </w:rPr>
        <w:t>методу</w:t>
      </w:r>
      <w:r w:rsidRPr="000977F7">
        <w:rPr>
          <w:rFonts w:asciiTheme="majorHAnsi" w:hAnsiTheme="majorHAnsi"/>
          <w:spacing w:val="-5"/>
          <w:sz w:val="20"/>
          <w:szCs w:val="20"/>
        </w:rPr>
        <w:t xml:space="preserve"> </w:t>
      </w:r>
      <w:r w:rsidRPr="000977F7">
        <w:rPr>
          <w:rFonts w:asciiTheme="majorHAnsi" w:hAnsiTheme="majorHAnsi"/>
          <w:sz w:val="20"/>
          <w:szCs w:val="20"/>
        </w:rPr>
        <w:t>його діагностування</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p>
    <w:p w14:paraId="5A01D6D0"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2389</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139ACA39"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en-US"/>
        </w:rPr>
      </w:pPr>
      <w:r w:rsidRPr="000977F7">
        <w:rPr>
          <w:rFonts w:asciiTheme="majorHAnsi" w:hAnsiTheme="majorHAnsi"/>
          <w:b/>
          <w:sz w:val="20"/>
          <w:szCs w:val="20"/>
        </w:rPr>
        <w:t>ПОВТОРЮВАЛЬНА</w:t>
      </w:r>
      <w:r w:rsidRPr="004D2D14">
        <w:rPr>
          <w:rFonts w:asciiTheme="majorHAnsi" w:hAnsiTheme="majorHAnsi"/>
          <w:b/>
          <w:sz w:val="20"/>
          <w:szCs w:val="20"/>
          <w:lang w:val="en-US"/>
        </w:rPr>
        <w:t xml:space="preserve"> </w:t>
      </w:r>
      <w:r w:rsidRPr="000977F7">
        <w:rPr>
          <w:rFonts w:asciiTheme="majorHAnsi" w:hAnsiTheme="majorHAnsi"/>
          <w:b/>
          <w:sz w:val="20"/>
          <w:szCs w:val="20"/>
        </w:rPr>
        <w:t>ВІДМОВА</w:t>
      </w:r>
      <w:r w:rsidRPr="004D2D14">
        <w:rPr>
          <w:rFonts w:asciiTheme="majorHAnsi" w:hAnsiTheme="majorHAnsi"/>
          <w:b/>
          <w:sz w:val="20"/>
          <w:szCs w:val="20"/>
          <w:lang w:val="en-US"/>
        </w:rPr>
        <w:t xml:space="preserve"> –</w:t>
      </w:r>
      <w:r w:rsidRPr="004D2D14">
        <w:rPr>
          <w:rFonts w:asciiTheme="majorHAnsi" w:hAnsiTheme="majorHAnsi"/>
          <w:b/>
          <w:spacing w:val="-47"/>
          <w:sz w:val="20"/>
          <w:szCs w:val="20"/>
          <w:lang w:val="en-US"/>
        </w:rPr>
        <w:t xml:space="preserve"> </w:t>
      </w:r>
    </w:p>
    <w:p w14:paraId="344CAC52"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INTERMITTENT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w:t>
      </w:r>
    </w:p>
    <w:p w14:paraId="7C7BA7C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Самоусувна відмова одного й того ж характеру, що</w:t>
      </w:r>
      <w:r w:rsidRPr="000977F7">
        <w:rPr>
          <w:rFonts w:asciiTheme="majorHAnsi" w:hAnsiTheme="majorHAnsi"/>
          <w:spacing w:val="1"/>
          <w:sz w:val="20"/>
          <w:szCs w:val="20"/>
        </w:rPr>
        <w:t xml:space="preserve"> </w:t>
      </w:r>
      <w:r w:rsidRPr="000977F7">
        <w:rPr>
          <w:rFonts w:asciiTheme="majorHAnsi" w:hAnsiTheme="majorHAnsi"/>
          <w:sz w:val="20"/>
          <w:szCs w:val="20"/>
        </w:rPr>
        <w:t>виникає багаторазово</w:t>
      </w:r>
    </w:p>
    <w:p w14:paraId="2EE1071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9D8D57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ПОВТОРЮВАЛЬНА НЕСПРАВНІСТЬ; </w:t>
      </w:r>
    </w:p>
    <w:p w14:paraId="5E8127B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НЕСТА</w:t>
      </w:r>
      <w:r w:rsidRPr="000977F7">
        <w:rPr>
          <w:color w:val="auto"/>
          <w:spacing w:val="-47"/>
          <w:sz w:val="20"/>
          <w:szCs w:val="20"/>
        </w:rPr>
        <w:t xml:space="preserve"> </w:t>
      </w:r>
      <w:r w:rsidRPr="000977F7">
        <w:rPr>
          <w:color w:val="auto"/>
          <w:sz w:val="20"/>
          <w:szCs w:val="20"/>
        </w:rPr>
        <w:t>БІЛЬНА</w:t>
      </w:r>
      <w:r w:rsidRPr="000977F7">
        <w:rPr>
          <w:color w:val="auto"/>
          <w:spacing w:val="-1"/>
          <w:sz w:val="20"/>
          <w:szCs w:val="20"/>
        </w:rPr>
        <w:t xml:space="preserve"> </w:t>
      </w:r>
      <w:r w:rsidRPr="000977F7">
        <w:rPr>
          <w:color w:val="auto"/>
          <w:sz w:val="20"/>
          <w:szCs w:val="20"/>
        </w:rPr>
        <w:t>НЕСПРАВНІСТЬ</w:t>
      </w:r>
      <w:r w:rsidRPr="000977F7">
        <w:rPr>
          <w:color w:val="auto"/>
          <w:spacing w:val="3"/>
          <w:sz w:val="20"/>
          <w:szCs w:val="20"/>
        </w:rPr>
        <w:t xml:space="preserve"> </w:t>
      </w:r>
      <w:r w:rsidRPr="000977F7">
        <w:rPr>
          <w:color w:val="auto"/>
          <w:sz w:val="20"/>
          <w:szCs w:val="20"/>
        </w:rPr>
        <w:t>–</w:t>
      </w:r>
    </w:p>
    <w:p w14:paraId="1BDD854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INTERMITTENT</w:t>
      </w:r>
      <w:r w:rsidRPr="004D2D14">
        <w:rPr>
          <w:rFonts w:asciiTheme="majorHAnsi" w:hAnsiTheme="majorHAnsi"/>
          <w:spacing w:val="-4"/>
          <w:sz w:val="20"/>
          <w:szCs w:val="20"/>
          <w:lang w:val="uk-UA"/>
        </w:rPr>
        <w:t xml:space="preserve"> </w:t>
      </w:r>
      <w:r w:rsidRPr="000977F7">
        <w:rPr>
          <w:rFonts w:asciiTheme="majorHAnsi" w:hAnsiTheme="majorHAnsi"/>
          <w:sz w:val="20"/>
          <w:szCs w:val="20"/>
        </w:rPr>
        <w:t>FAULT</w:t>
      </w:r>
      <w:r w:rsidRPr="004D2D14">
        <w:rPr>
          <w:rFonts w:asciiTheme="majorHAnsi" w:hAnsiTheme="majorHAnsi"/>
          <w:sz w:val="20"/>
          <w:szCs w:val="20"/>
          <w:lang w:val="uk-UA"/>
        </w:rPr>
        <w:t>;</w:t>
      </w:r>
      <w:r w:rsidRPr="004D2D14">
        <w:rPr>
          <w:rFonts w:asciiTheme="majorHAnsi" w:hAnsiTheme="majorHAnsi"/>
          <w:spacing w:val="-8"/>
          <w:sz w:val="20"/>
          <w:szCs w:val="20"/>
          <w:lang w:val="uk-UA"/>
        </w:rPr>
        <w:t xml:space="preserve"> </w:t>
      </w:r>
      <w:r w:rsidRPr="000977F7">
        <w:rPr>
          <w:rFonts w:asciiTheme="majorHAnsi" w:hAnsiTheme="majorHAnsi"/>
          <w:sz w:val="20"/>
          <w:szCs w:val="20"/>
        </w:rPr>
        <w:t>VOLATILE</w:t>
      </w:r>
      <w:r w:rsidRPr="004D2D14">
        <w:rPr>
          <w:rFonts w:asciiTheme="majorHAnsi" w:hAnsiTheme="majorHAnsi"/>
          <w:spacing w:val="-47"/>
          <w:sz w:val="20"/>
          <w:szCs w:val="20"/>
          <w:lang w:val="uk-UA"/>
        </w:rPr>
        <w:t xml:space="preserve"> </w:t>
      </w:r>
      <w:r w:rsidRPr="000977F7">
        <w:rPr>
          <w:rFonts w:asciiTheme="majorHAnsi" w:hAnsiTheme="majorHAnsi"/>
          <w:sz w:val="20"/>
          <w:szCs w:val="20"/>
        </w:rPr>
        <w:t>FAULT</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p>
    <w:p w14:paraId="1C4DC61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Несправність об’єкта протягом обмеженого проміжку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часу, після закінчення якого об’єкт відновлює здатність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виконувати потрібну функцію без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проведення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поточного ремонту</w:t>
      </w:r>
    </w:p>
    <w:p w14:paraId="6EB417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DE9D8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Така</w:t>
      </w:r>
      <w:r w:rsidRPr="000977F7">
        <w:rPr>
          <w:rFonts w:asciiTheme="majorHAnsi" w:hAnsiTheme="majorHAnsi"/>
          <w:spacing w:val="-5"/>
          <w:sz w:val="20"/>
          <w:szCs w:val="20"/>
        </w:rPr>
        <w:t xml:space="preserve"> </w:t>
      </w:r>
      <w:r w:rsidRPr="000977F7">
        <w:rPr>
          <w:rFonts w:asciiTheme="majorHAnsi" w:hAnsiTheme="majorHAnsi"/>
          <w:sz w:val="20"/>
          <w:szCs w:val="20"/>
        </w:rPr>
        <w:t>несправність</w:t>
      </w:r>
      <w:r w:rsidRPr="000977F7">
        <w:rPr>
          <w:rFonts w:asciiTheme="majorHAnsi" w:hAnsiTheme="majorHAnsi"/>
          <w:spacing w:val="-4"/>
          <w:sz w:val="20"/>
          <w:szCs w:val="20"/>
        </w:rPr>
        <w:t xml:space="preserve"> </w:t>
      </w:r>
      <w:r w:rsidRPr="000977F7">
        <w:rPr>
          <w:rFonts w:asciiTheme="majorHAnsi" w:hAnsiTheme="majorHAnsi"/>
          <w:sz w:val="20"/>
          <w:szCs w:val="20"/>
        </w:rPr>
        <w:t>може</w:t>
      </w:r>
      <w:r w:rsidRPr="000977F7">
        <w:rPr>
          <w:rFonts w:asciiTheme="majorHAnsi" w:hAnsiTheme="majorHAnsi"/>
          <w:spacing w:val="-4"/>
          <w:sz w:val="20"/>
          <w:szCs w:val="20"/>
        </w:rPr>
        <w:t xml:space="preserve"> </w:t>
      </w:r>
      <w:r w:rsidRPr="000977F7">
        <w:rPr>
          <w:rFonts w:asciiTheme="majorHAnsi" w:hAnsiTheme="majorHAnsi"/>
          <w:sz w:val="20"/>
          <w:szCs w:val="20"/>
        </w:rPr>
        <w:t>часто</w:t>
      </w:r>
      <w:r w:rsidRPr="000977F7">
        <w:rPr>
          <w:rFonts w:asciiTheme="majorHAnsi" w:hAnsiTheme="majorHAnsi"/>
          <w:spacing w:val="-3"/>
          <w:sz w:val="20"/>
          <w:szCs w:val="20"/>
        </w:rPr>
        <w:t xml:space="preserve"> </w:t>
      </w:r>
      <w:r w:rsidRPr="000977F7">
        <w:rPr>
          <w:rFonts w:asciiTheme="majorHAnsi" w:hAnsiTheme="majorHAnsi"/>
          <w:sz w:val="20"/>
          <w:szCs w:val="20"/>
        </w:rPr>
        <w:t>повторюватися</w:t>
      </w:r>
    </w:p>
    <w:p w14:paraId="5F1598F2"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A995AC6"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ПОВТОРЮВАНЕ ДІЯННЯ –</w:t>
      </w:r>
      <w:r w:rsidRPr="000977F7">
        <w:rPr>
          <w:rFonts w:asciiTheme="majorHAnsi" w:hAnsiTheme="majorHAnsi"/>
          <w:b/>
          <w:spacing w:val="-47"/>
          <w:sz w:val="20"/>
          <w:szCs w:val="20"/>
        </w:rPr>
        <w:t xml:space="preserve"> </w:t>
      </w:r>
    </w:p>
    <w:p w14:paraId="483C361F"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sz w:val="20"/>
          <w:szCs w:val="20"/>
        </w:rPr>
        <w:t>REPEATED</w:t>
      </w:r>
      <w:r w:rsidRPr="000977F7">
        <w:rPr>
          <w:rFonts w:asciiTheme="majorHAnsi" w:hAnsiTheme="majorHAnsi"/>
          <w:spacing w:val="-1"/>
          <w:sz w:val="20"/>
          <w:szCs w:val="20"/>
        </w:rPr>
        <w:t xml:space="preserve"> </w:t>
      </w:r>
      <w:r w:rsidRPr="000977F7">
        <w:rPr>
          <w:rFonts w:asciiTheme="majorHAnsi" w:hAnsiTheme="majorHAnsi"/>
          <w:sz w:val="20"/>
          <w:szCs w:val="20"/>
        </w:rPr>
        <w:t>ACTION</w:t>
      </w:r>
      <w:r w:rsidRPr="000977F7">
        <w:rPr>
          <w:rFonts w:asciiTheme="majorHAnsi" w:hAnsiTheme="majorHAnsi"/>
          <w:spacing w:val="2"/>
          <w:sz w:val="20"/>
          <w:szCs w:val="20"/>
        </w:rPr>
        <w:t xml:space="preserve"> </w:t>
      </w:r>
      <w:r w:rsidRPr="000977F7">
        <w:rPr>
          <w:rFonts w:asciiTheme="majorHAnsi" w:hAnsiTheme="majorHAnsi"/>
          <w:b/>
          <w:sz w:val="20"/>
          <w:szCs w:val="20"/>
        </w:rPr>
        <w:t>–</w:t>
      </w:r>
    </w:p>
    <w:p w14:paraId="48F5151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Уривчасте діяння, ознаки і параметри якого визначені</w:t>
      </w:r>
      <w:r w:rsidRPr="000977F7">
        <w:rPr>
          <w:rFonts w:asciiTheme="majorHAnsi" w:hAnsiTheme="majorHAnsi"/>
          <w:spacing w:val="1"/>
          <w:sz w:val="20"/>
          <w:szCs w:val="20"/>
        </w:rPr>
        <w:t xml:space="preserve"> </w:t>
      </w:r>
      <w:r w:rsidRPr="000977F7">
        <w:rPr>
          <w:rFonts w:asciiTheme="majorHAnsi" w:hAnsiTheme="majorHAnsi"/>
          <w:sz w:val="20"/>
          <w:szCs w:val="20"/>
        </w:rPr>
        <w:t>на кількох окремих інтервалах усередині розглядуваного проміжку</w:t>
      </w:r>
      <w:r w:rsidRPr="000977F7">
        <w:rPr>
          <w:rFonts w:asciiTheme="majorHAnsi" w:hAnsiTheme="majorHAnsi"/>
          <w:spacing w:val="-4"/>
          <w:sz w:val="20"/>
          <w:szCs w:val="20"/>
        </w:rPr>
        <w:t xml:space="preserve"> </w:t>
      </w:r>
      <w:r w:rsidRPr="000977F7">
        <w:rPr>
          <w:rFonts w:asciiTheme="majorHAnsi" w:hAnsiTheme="majorHAnsi"/>
          <w:sz w:val="20"/>
          <w:szCs w:val="20"/>
        </w:rPr>
        <w:t>часу</w:t>
      </w:r>
    </w:p>
    <w:p w14:paraId="7D36ADF4"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2000</w:t>
      </w:r>
    </w:p>
    <w:p w14:paraId="35BC55FD"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ПОВТОРЮВАНИЙ СИГНАЛ –</w:t>
      </w:r>
      <w:r w:rsidRPr="000977F7">
        <w:rPr>
          <w:rFonts w:asciiTheme="majorHAnsi" w:hAnsiTheme="majorHAnsi"/>
          <w:b/>
          <w:spacing w:val="-47"/>
          <w:sz w:val="20"/>
          <w:szCs w:val="20"/>
        </w:rPr>
        <w:t xml:space="preserve"> </w:t>
      </w:r>
    </w:p>
    <w:p w14:paraId="153B979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REPEATED</w:t>
      </w:r>
      <w:r w:rsidRPr="000977F7">
        <w:rPr>
          <w:rFonts w:asciiTheme="majorHAnsi" w:hAnsiTheme="majorHAnsi"/>
          <w:spacing w:val="-1"/>
          <w:sz w:val="20"/>
          <w:szCs w:val="20"/>
        </w:rPr>
        <w:t xml:space="preserve"> </w:t>
      </w:r>
      <w:r w:rsidRPr="000977F7">
        <w:rPr>
          <w:rFonts w:asciiTheme="majorHAnsi" w:hAnsiTheme="majorHAnsi"/>
          <w:sz w:val="20"/>
          <w:szCs w:val="20"/>
        </w:rPr>
        <w:t>SIGNAL –</w:t>
      </w:r>
    </w:p>
    <w:p w14:paraId="2A32422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Уривчастий сигнал, що його ініціює деяка умова, не</w:t>
      </w:r>
      <w:r w:rsidRPr="000977F7">
        <w:rPr>
          <w:rFonts w:asciiTheme="majorHAnsi" w:hAnsiTheme="majorHAnsi"/>
          <w:spacing w:val="1"/>
          <w:sz w:val="20"/>
          <w:szCs w:val="20"/>
        </w:rPr>
        <w:t xml:space="preserve"> </w:t>
      </w:r>
      <w:r w:rsidRPr="000977F7">
        <w:rPr>
          <w:rFonts w:asciiTheme="majorHAnsi" w:hAnsiTheme="majorHAnsi"/>
          <w:sz w:val="20"/>
          <w:szCs w:val="20"/>
        </w:rPr>
        <w:t>пов’язана</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повідомленням, яке</w:t>
      </w:r>
      <w:r w:rsidRPr="000977F7">
        <w:rPr>
          <w:rFonts w:asciiTheme="majorHAnsi" w:hAnsiTheme="majorHAnsi"/>
          <w:spacing w:val="-1"/>
          <w:sz w:val="20"/>
          <w:szCs w:val="20"/>
        </w:rPr>
        <w:t xml:space="preserve"> </w:t>
      </w:r>
      <w:r w:rsidRPr="000977F7">
        <w:rPr>
          <w:rFonts w:asciiTheme="majorHAnsi" w:hAnsiTheme="majorHAnsi"/>
          <w:sz w:val="20"/>
          <w:szCs w:val="20"/>
        </w:rPr>
        <w:t>пересилається</w:t>
      </w:r>
    </w:p>
    <w:p w14:paraId="6521DAD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 :</w:t>
      </w:r>
    </w:p>
    <w:p w14:paraId="5ED64FA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Такою умовою може бути час (періодично повторюваний сигнал), виявлені помилки в раніше переданому</w:t>
      </w:r>
      <w:r w:rsidRPr="000977F7">
        <w:rPr>
          <w:rFonts w:asciiTheme="majorHAnsi" w:hAnsiTheme="majorHAnsi"/>
          <w:spacing w:val="-47"/>
          <w:sz w:val="20"/>
          <w:szCs w:val="20"/>
        </w:rPr>
        <w:t xml:space="preserve"> </w:t>
      </w:r>
      <w:r w:rsidRPr="000977F7">
        <w:rPr>
          <w:rFonts w:asciiTheme="majorHAnsi" w:hAnsiTheme="majorHAnsi"/>
          <w:sz w:val="20"/>
          <w:szCs w:val="20"/>
        </w:rPr>
        <w:t>повідомленні</w:t>
      </w:r>
      <w:r w:rsidRPr="000977F7">
        <w:rPr>
          <w:rFonts w:asciiTheme="majorHAnsi" w:hAnsiTheme="majorHAnsi"/>
          <w:spacing w:val="-2"/>
          <w:sz w:val="20"/>
          <w:szCs w:val="20"/>
        </w:rPr>
        <w:t xml:space="preserve"> </w:t>
      </w:r>
      <w:r w:rsidRPr="000977F7">
        <w:rPr>
          <w:rFonts w:asciiTheme="majorHAnsi" w:hAnsiTheme="majorHAnsi"/>
          <w:sz w:val="20"/>
          <w:szCs w:val="20"/>
        </w:rPr>
        <w:t>тощо</w:t>
      </w:r>
    </w:p>
    <w:p w14:paraId="5EBAFE81"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w:t>
      </w:r>
      <w:r w:rsidRPr="000977F7">
        <w:rPr>
          <w:rFonts w:asciiTheme="majorHAnsi" w:hAnsiTheme="majorHAnsi"/>
          <w:i/>
          <w:spacing w:val="2"/>
          <w:sz w:val="20"/>
          <w:szCs w:val="20"/>
        </w:rPr>
        <w:t xml:space="preserve"> </w:t>
      </w:r>
      <w:r w:rsidRPr="000977F7">
        <w:rPr>
          <w:rFonts w:asciiTheme="majorHAnsi" w:hAnsiTheme="majorHAnsi"/>
          <w:i/>
          <w:sz w:val="20"/>
          <w:szCs w:val="20"/>
        </w:rPr>
        <w:t>– 2000</w:t>
      </w:r>
    </w:p>
    <w:p w14:paraId="46C27B39"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ПОВТОРЮВАНІСТЬ</w:t>
      </w:r>
      <w:r w:rsidRPr="000977F7">
        <w:rPr>
          <w:rFonts w:asciiTheme="majorHAnsi" w:hAnsiTheme="majorHAnsi"/>
          <w:b/>
          <w:spacing w:val="-10"/>
          <w:sz w:val="20"/>
          <w:szCs w:val="20"/>
        </w:rPr>
        <w:t xml:space="preserve"> </w:t>
      </w:r>
      <w:r w:rsidRPr="000977F7">
        <w:rPr>
          <w:rFonts w:asciiTheme="majorHAnsi" w:hAnsiTheme="majorHAnsi"/>
          <w:b/>
          <w:sz w:val="20"/>
          <w:szCs w:val="20"/>
        </w:rPr>
        <w:t>–</w:t>
      </w:r>
      <w:r w:rsidRPr="000977F7">
        <w:rPr>
          <w:rFonts w:asciiTheme="majorHAnsi" w:hAnsiTheme="majorHAnsi"/>
          <w:b/>
          <w:spacing w:val="-47"/>
          <w:sz w:val="20"/>
          <w:szCs w:val="20"/>
        </w:rPr>
        <w:t xml:space="preserve"> </w:t>
      </w:r>
    </w:p>
    <w:p w14:paraId="2DFE03D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REPEATABILITY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4E50E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3"/>
          <w:sz w:val="20"/>
          <w:szCs w:val="20"/>
        </w:rPr>
        <w:t xml:space="preserve">Властивість, яка характеризується близькістю </w:t>
      </w:r>
      <w:r w:rsidRPr="000977F7">
        <w:rPr>
          <w:rFonts w:asciiTheme="majorHAnsi" w:hAnsiTheme="majorHAnsi"/>
          <w:spacing w:val="-2"/>
          <w:sz w:val="20"/>
          <w:szCs w:val="20"/>
        </w:rPr>
        <w:t>взаємоза</w:t>
      </w:r>
      <w:r w:rsidRPr="000977F7">
        <w:rPr>
          <w:rFonts w:asciiTheme="majorHAnsi" w:hAnsiTheme="majorHAnsi"/>
          <w:spacing w:val="-1"/>
          <w:sz w:val="20"/>
          <w:szCs w:val="20"/>
        </w:rPr>
        <w:t>лежних</w:t>
      </w:r>
      <w:r w:rsidRPr="000977F7">
        <w:rPr>
          <w:rFonts w:asciiTheme="majorHAnsi" w:hAnsiTheme="majorHAnsi"/>
          <w:spacing w:val="-12"/>
          <w:sz w:val="20"/>
          <w:szCs w:val="20"/>
        </w:rPr>
        <w:t xml:space="preserve"> </w:t>
      </w:r>
      <w:r w:rsidRPr="000977F7">
        <w:rPr>
          <w:rFonts w:asciiTheme="majorHAnsi" w:hAnsiTheme="majorHAnsi"/>
          <w:spacing w:val="-1"/>
          <w:sz w:val="20"/>
          <w:szCs w:val="20"/>
        </w:rPr>
        <w:t>результатів</w:t>
      </w:r>
      <w:r w:rsidRPr="000977F7">
        <w:rPr>
          <w:rFonts w:asciiTheme="majorHAnsi" w:hAnsiTheme="majorHAnsi"/>
          <w:spacing w:val="-9"/>
          <w:sz w:val="20"/>
          <w:szCs w:val="20"/>
        </w:rPr>
        <w:t xml:space="preserve"> </w:t>
      </w:r>
      <w:r w:rsidRPr="000977F7">
        <w:rPr>
          <w:rFonts w:asciiTheme="majorHAnsi" w:hAnsiTheme="majorHAnsi"/>
          <w:spacing w:val="-1"/>
          <w:sz w:val="20"/>
          <w:szCs w:val="20"/>
        </w:rPr>
        <w:t>випробувань,</w:t>
      </w:r>
      <w:r w:rsidRPr="000977F7">
        <w:rPr>
          <w:rFonts w:asciiTheme="majorHAnsi" w:hAnsiTheme="majorHAnsi"/>
          <w:spacing w:val="-10"/>
          <w:sz w:val="20"/>
          <w:szCs w:val="20"/>
        </w:rPr>
        <w:t xml:space="preserve"> </w:t>
      </w:r>
      <w:r w:rsidRPr="000977F7">
        <w:rPr>
          <w:rFonts w:asciiTheme="majorHAnsi" w:hAnsiTheme="majorHAnsi"/>
          <w:spacing w:val="-1"/>
          <w:sz w:val="20"/>
          <w:szCs w:val="20"/>
        </w:rPr>
        <w:t>виконуваних</w:t>
      </w:r>
      <w:r w:rsidRPr="000977F7">
        <w:rPr>
          <w:rFonts w:asciiTheme="majorHAnsi" w:hAnsiTheme="majorHAnsi"/>
          <w:spacing w:val="-10"/>
          <w:sz w:val="20"/>
          <w:szCs w:val="20"/>
        </w:rPr>
        <w:t xml:space="preserve"> </w:t>
      </w:r>
      <w:r w:rsidRPr="000977F7">
        <w:rPr>
          <w:rFonts w:asciiTheme="majorHAnsi" w:hAnsiTheme="majorHAnsi"/>
          <w:spacing w:val="-1"/>
          <w:sz w:val="20"/>
          <w:szCs w:val="20"/>
        </w:rPr>
        <w:t>в</w:t>
      </w:r>
      <w:r w:rsidRPr="000977F7">
        <w:rPr>
          <w:rFonts w:asciiTheme="majorHAnsi" w:hAnsiTheme="majorHAnsi"/>
          <w:spacing w:val="-11"/>
          <w:sz w:val="20"/>
          <w:szCs w:val="20"/>
        </w:rPr>
        <w:t xml:space="preserve"> </w:t>
      </w:r>
      <w:r w:rsidRPr="000977F7">
        <w:rPr>
          <w:rFonts w:asciiTheme="majorHAnsi" w:hAnsiTheme="majorHAnsi"/>
          <w:spacing w:val="-1"/>
          <w:sz w:val="20"/>
          <w:szCs w:val="20"/>
        </w:rPr>
        <w:t>одній</w:t>
      </w:r>
      <w:r w:rsidRPr="000977F7">
        <w:rPr>
          <w:rFonts w:asciiTheme="majorHAnsi" w:hAnsiTheme="majorHAnsi"/>
          <w:spacing w:val="-11"/>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тій самій лабораторії на однакових зразках за одним і</w:t>
      </w:r>
      <w:r w:rsidRPr="000977F7">
        <w:rPr>
          <w:rFonts w:asciiTheme="majorHAnsi" w:hAnsiTheme="majorHAnsi"/>
          <w:spacing w:val="1"/>
          <w:sz w:val="20"/>
          <w:szCs w:val="20"/>
        </w:rPr>
        <w:t xml:space="preserve"> </w:t>
      </w:r>
      <w:r w:rsidRPr="000977F7">
        <w:rPr>
          <w:rFonts w:asciiTheme="majorHAnsi" w:hAnsiTheme="majorHAnsi"/>
          <w:sz w:val="20"/>
          <w:szCs w:val="20"/>
        </w:rPr>
        <w:t>тим самим методом випробувань одним і тим самим</w:t>
      </w:r>
      <w:r w:rsidRPr="000977F7">
        <w:rPr>
          <w:rFonts w:asciiTheme="majorHAnsi" w:hAnsiTheme="majorHAnsi"/>
          <w:spacing w:val="1"/>
          <w:sz w:val="20"/>
          <w:szCs w:val="20"/>
        </w:rPr>
        <w:t xml:space="preserve"> </w:t>
      </w:r>
      <w:r w:rsidRPr="000977F7">
        <w:rPr>
          <w:rFonts w:asciiTheme="majorHAnsi" w:hAnsiTheme="majorHAnsi"/>
          <w:sz w:val="20"/>
          <w:szCs w:val="20"/>
        </w:rPr>
        <w:t>виконавцем</w:t>
      </w:r>
    </w:p>
    <w:p w14:paraId="627164C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ПОВУЗЛОВИЙ</w:t>
      </w:r>
      <w:r w:rsidRPr="000977F7">
        <w:rPr>
          <w:color w:val="auto"/>
          <w:spacing w:val="-6"/>
          <w:sz w:val="20"/>
          <w:szCs w:val="20"/>
        </w:rPr>
        <w:t xml:space="preserve"> </w:t>
      </w:r>
      <w:r w:rsidRPr="000977F7">
        <w:rPr>
          <w:color w:val="auto"/>
          <w:sz w:val="20"/>
          <w:szCs w:val="20"/>
        </w:rPr>
        <w:t>МЕТОД</w:t>
      </w:r>
      <w:r w:rsidRPr="000977F7">
        <w:rPr>
          <w:color w:val="auto"/>
          <w:spacing w:val="-4"/>
          <w:sz w:val="20"/>
          <w:szCs w:val="20"/>
        </w:rPr>
        <w:t xml:space="preserve"> </w:t>
      </w:r>
      <w:r w:rsidRPr="000977F7">
        <w:rPr>
          <w:color w:val="auto"/>
          <w:sz w:val="20"/>
          <w:szCs w:val="20"/>
        </w:rPr>
        <w:t>РЕМОНТУ</w:t>
      </w:r>
      <w:r w:rsidRPr="000977F7">
        <w:rPr>
          <w:color w:val="auto"/>
          <w:spacing w:val="1"/>
          <w:sz w:val="20"/>
          <w:szCs w:val="20"/>
        </w:rPr>
        <w:t xml:space="preserve"> </w:t>
      </w:r>
      <w:r w:rsidRPr="000977F7">
        <w:rPr>
          <w:color w:val="auto"/>
          <w:sz w:val="20"/>
          <w:szCs w:val="20"/>
        </w:rPr>
        <w:t>–</w:t>
      </w:r>
    </w:p>
    <w:p w14:paraId="333332C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Спосіб</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яким</w:t>
      </w:r>
      <w:r w:rsidRPr="000977F7">
        <w:rPr>
          <w:rFonts w:asciiTheme="majorHAnsi" w:hAnsiTheme="majorHAnsi"/>
          <w:spacing w:val="1"/>
          <w:sz w:val="20"/>
          <w:szCs w:val="20"/>
        </w:rPr>
        <w:t xml:space="preserve"> </w:t>
      </w:r>
      <w:r w:rsidRPr="000977F7">
        <w:rPr>
          <w:rFonts w:asciiTheme="majorHAnsi" w:hAnsiTheme="majorHAnsi"/>
          <w:sz w:val="20"/>
          <w:szCs w:val="20"/>
        </w:rPr>
        <w:t>відновлення</w:t>
      </w:r>
      <w:r w:rsidRPr="000977F7">
        <w:rPr>
          <w:rFonts w:asciiTheme="majorHAnsi" w:hAnsiTheme="majorHAnsi"/>
          <w:spacing w:val="1"/>
          <w:sz w:val="20"/>
          <w:szCs w:val="20"/>
        </w:rPr>
        <w:t xml:space="preserve"> </w:t>
      </w:r>
      <w:r w:rsidRPr="000977F7">
        <w:rPr>
          <w:rFonts w:asciiTheme="majorHAnsi" w:hAnsiTheme="majorHAnsi"/>
          <w:sz w:val="20"/>
          <w:szCs w:val="20"/>
        </w:rPr>
        <w:t>спрацьованої деталі виконується повною заміною вузла</w:t>
      </w:r>
      <w:r w:rsidRPr="000977F7">
        <w:rPr>
          <w:rFonts w:asciiTheme="majorHAnsi" w:hAnsiTheme="majorHAnsi"/>
          <w:spacing w:val="-2"/>
          <w:sz w:val="20"/>
          <w:szCs w:val="20"/>
        </w:rPr>
        <w:t xml:space="preserve"> </w:t>
      </w:r>
      <w:r w:rsidRPr="000977F7">
        <w:rPr>
          <w:rFonts w:asciiTheme="majorHAnsi" w:hAnsiTheme="majorHAnsi"/>
          <w:sz w:val="20"/>
          <w:szCs w:val="20"/>
        </w:rPr>
        <w:t>заздалегідь</w:t>
      </w:r>
      <w:r w:rsidRPr="000977F7">
        <w:rPr>
          <w:rFonts w:asciiTheme="majorHAnsi" w:hAnsiTheme="majorHAnsi"/>
          <w:spacing w:val="-2"/>
          <w:sz w:val="20"/>
          <w:szCs w:val="20"/>
        </w:rPr>
        <w:t xml:space="preserve"> </w:t>
      </w:r>
      <w:r w:rsidRPr="000977F7">
        <w:rPr>
          <w:rFonts w:asciiTheme="majorHAnsi" w:hAnsiTheme="majorHAnsi"/>
          <w:sz w:val="20"/>
          <w:szCs w:val="20"/>
        </w:rPr>
        <w:t>відремонтованим або новим</w:t>
      </w:r>
    </w:p>
    <w:p w14:paraId="4E2EEC8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933FB4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ПОДАЛЬША</w:t>
      </w:r>
      <w:r w:rsidRPr="000977F7">
        <w:rPr>
          <w:color w:val="auto"/>
          <w:spacing w:val="-5"/>
          <w:sz w:val="20"/>
          <w:szCs w:val="20"/>
        </w:rPr>
        <w:t xml:space="preserve"> </w:t>
      </w:r>
      <w:r w:rsidRPr="000977F7">
        <w:rPr>
          <w:color w:val="auto"/>
          <w:sz w:val="20"/>
          <w:szCs w:val="20"/>
        </w:rPr>
        <w:t>ОЦІНКА</w:t>
      </w:r>
      <w:r w:rsidRPr="000977F7">
        <w:rPr>
          <w:color w:val="auto"/>
          <w:spacing w:val="-2"/>
          <w:sz w:val="20"/>
          <w:szCs w:val="20"/>
        </w:rPr>
        <w:t xml:space="preserve"> </w:t>
      </w:r>
      <w:r w:rsidRPr="000977F7">
        <w:rPr>
          <w:color w:val="auto"/>
          <w:sz w:val="20"/>
          <w:szCs w:val="20"/>
        </w:rPr>
        <w:t>–</w:t>
      </w:r>
    </w:p>
    <w:p w14:paraId="5A3B107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Величина, котру обчислюють як функцію результатів</w:t>
      </w:r>
      <w:r w:rsidRPr="000977F7">
        <w:rPr>
          <w:rFonts w:asciiTheme="majorHAnsi" w:hAnsiTheme="majorHAnsi"/>
          <w:spacing w:val="1"/>
          <w:sz w:val="20"/>
          <w:szCs w:val="20"/>
        </w:rPr>
        <w:t xml:space="preserve"> </w:t>
      </w:r>
      <w:r w:rsidRPr="000977F7">
        <w:rPr>
          <w:rFonts w:asciiTheme="majorHAnsi" w:hAnsiTheme="majorHAnsi"/>
          <w:sz w:val="20"/>
          <w:szCs w:val="20"/>
        </w:rPr>
        <w:t>статистичного</w:t>
      </w:r>
      <w:r w:rsidRPr="000977F7">
        <w:rPr>
          <w:rFonts w:asciiTheme="majorHAnsi" w:hAnsiTheme="majorHAnsi"/>
          <w:spacing w:val="1"/>
          <w:sz w:val="20"/>
          <w:szCs w:val="20"/>
        </w:rPr>
        <w:t xml:space="preserve"> </w:t>
      </w:r>
      <w:r w:rsidRPr="000977F7">
        <w:rPr>
          <w:rFonts w:asciiTheme="majorHAnsi" w:hAnsiTheme="majorHAnsi"/>
          <w:sz w:val="20"/>
          <w:szCs w:val="20"/>
        </w:rPr>
        <w:t>приймального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декількох</w:t>
      </w:r>
      <w:r w:rsidRPr="000977F7">
        <w:rPr>
          <w:rFonts w:asciiTheme="majorHAnsi" w:hAnsiTheme="majorHAnsi"/>
          <w:spacing w:val="1"/>
          <w:sz w:val="20"/>
          <w:szCs w:val="20"/>
        </w:rPr>
        <w:t xml:space="preserve"> </w:t>
      </w:r>
      <w:r w:rsidRPr="000977F7">
        <w:rPr>
          <w:rFonts w:asciiTheme="majorHAnsi" w:hAnsiTheme="majorHAnsi"/>
          <w:sz w:val="20"/>
          <w:szCs w:val="20"/>
        </w:rPr>
        <w:t>партій продукції, за допомогою якої оцінюють вхідний і вихідний рівні дефектності, ефективність прийнятого плану контролю, а також приймають рішення</w:t>
      </w:r>
      <w:r w:rsidRPr="000977F7">
        <w:rPr>
          <w:rFonts w:asciiTheme="majorHAnsi" w:hAnsiTheme="majorHAnsi"/>
          <w:spacing w:val="-47"/>
          <w:sz w:val="20"/>
          <w:szCs w:val="20"/>
        </w:rPr>
        <w:t xml:space="preserve"> </w:t>
      </w:r>
      <w:r w:rsidRPr="000977F7">
        <w:rPr>
          <w:rFonts w:asciiTheme="majorHAnsi" w:hAnsiTheme="majorHAnsi"/>
          <w:sz w:val="20"/>
          <w:szCs w:val="20"/>
        </w:rPr>
        <w:t>про доцільність</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коригування</w:t>
      </w:r>
    </w:p>
    <w:p w14:paraId="26F4221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3514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97</w:t>
      </w:r>
    </w:p>
    <w:p w14:paraId="7ECD8DC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ПОДАТЛИВІСТЬ</w:t>
      </w:r>
      <w:r w:rsidRPr="000977F7">
        <w:rPr>
          <w:color w:val="auto"/>
          <w:spacing w:val="-4"/>
          <w:sz w:val="20"/>
          <w:szCs w:val="20"/>
        </w:rPr>
        <w:t xml:space="preserve"> </w:t>
      </w:r>
      <w:r w:rsidRPr="000977F7">
        <w:rPr>
          <w:color w:val="auto"/>
          <w:sz w:val="20"/>
          <w:szCs w:val="20"/>
        </w:rPr>
        <w:t>ВИПРОБНОЇ</w:t>
      </w:r>
      <w:r w:rsidRPr="000977F7">
        <w:rPr>
          <w:color w:val="auto"/>
          <w:spacing w:val="-5"/>
          <w:sz w:val="20"/>
          <w:szCs w:val="20"/>
        </w:rPr>
        <w:t xml:space="preserve"> </w:t>
      </w:r>
      <w:r w:rsidRPr="000977F7">
        <w:rPr>
          <w:color w:val="auto"/>
          <w:sz w:val="20"/>
          <w:szCs w:val="20"/>
        </w:rPr>
        <w:t>МАШИНИ–</w:t>
      </w:r>
    </w:p>
    <w:p w14:paraId="2EC5AE1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COMPLIANCE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THE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TESTING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MACHINE–</w:t>
      </w:r>
    </w:p>
    <w:p w14:paraId="70B4803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Характеристика</w:t>
      </w:r>
      <w:r w:rsidRPr="000977F7">
        <w:rPr>
          <w:rFonts w:asciiTheme="majorHAnsi" w:hAnsiTheme="majorHAnsi"/>
          <w:spacing w:val="5"/>
          <w:sz w:val="20"/>
          <w:szCs w:val="20"/>
        </w:rPr>
        <w:t xml:space="preserve"> </w:t>
      </w:r>
      <w:r w:rsidRPr="000977F7">
        <w:rPr>
          <w:rFonts w:asciiTheme="majorHAnsi" w:hAnsiTheme="majorHAnsi"/>
          <w:sz w:val="20"/>
          <w:szCs w:val="20"/>
        </w:rPr>
        <w:t>пружних</w:t>
      </w:r>
      <w:r w:rsidRPr="000977F7">
        <w:rPr>
          <w:rFonts w:asciiTheme="majorHAnsi" w:hAnsiTheme="majorHAnsi"/>
          <w:spacing w:val="3"/>
          <w:sz w:val="20"/>
          <w:szCs w:val="20"/>
        </w:rPr>
        <w:t xml:space="preserve"> </w:t>
      </w:r>
      <w:r w:rsidRPr="000977F7">
        <w:rPr>
          <w:rFonts w:asciiTheme="majorHAnsi" w:hAnsiTheme="majorHAnsi"/>
          <w:sz w:val="20"/>
          <w:szCs w:val="20"/>
        </w:rPr>
        <w:t>властивостей</w:t>
      </w:r>
      <w:r w:rsidRPr="000977F7">
        <w:rPr>
          <w:rFonts w:asciiTheme="majorHAnsi" w:hAnsiTheme="majorHAnsi"/>
          <w:spacing w:val="1"/>
          <w:sz w:val="20"/>
          <w:szCs w:val="20"/>
        </w:rPr>
        <w:t xml:space="preserve"> </w:t>
      </w:r>
      <w:r w:rsidRPr="000977F7">
        <w:rPr>
          <w:rFonts w:asciiTheme="majorHAnsi" w:hAnsiTheme="majorHAnsi"/>
          <w:sz w:val="20"/>
          <w:szCs w:val="20"/>
        </w:rPr>
        <w:t>машини,</w:t>
      </w:r>
      <w:r w:rsidRPr="000977F7">
        <w:rPr>
          <w:rFonts w:asciiTheme="majorHAnsi" w:hAnsiTheme="majorHAnsi"/>
          <w:spacing w:val="2"/>
          <w:sz w:val="20"/>
          <w:szCs w:val="20"/>
        </w:rPr>
        <w:t xml:space="preserve"> </w:t>
      </w:r>
      <w:r w:rsidRPr="000977F7">
        <w:rPr>
          <w:rFonts w:asciiTheme="majorHAnsi" w:hAnsiTheme="majorHAnsi"/>
          <w:sz w:val="20"/>
          <w:szCs w:val="20"/>
        </w:rPr>
        <w:t>величина якої дорівнює оберненій величині жорсткості</w:t>
      </w:r>
    </w:p>
    <w:p w14:paraId="57A8CD32"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1D4EEFB" w14:textId="77777777" w:rsidR="0097612F" w:rsidRPr="000977F7" w:rsidRDefault="0097612F" w:rsidP="000977F7">
      <w:pPr>
        <w:pStyle w:val="7"/>
        <w:tabs>
          <w:tab w:val="left" w:pos="284"/>
        </w:tabs>
        <w:spacing w:before="0" w:line="240" w:lineRule="auto"/>
        <w:ind w:left="170"/>
        <w:mirrorIndents/>
        <w:jc w:val="both"/>
        <w:rPr>
          <w:color w:val="auto"/>
          <w:spacing w:val="-6"/>
          <w:sz w:val="20"/>
          <w:szCs w:val="20"/>
        </w:rPr>
      </w:pPr>
      <w:r w:rsidRPr="000977F7">
        <w:rPr>
          <w:color w:val="auto"/>
          <w:sz w:val="20"/>
          <w:szCs w:val="20"/>
        </w:rPr>
        <w:t>ПОДІЛЕНИЙ</w:t>
      </w:r>
      <w:r w:rsidRPr="000977F7">
        <w:rPr>
          <w:color w:val="auto"/>
          <w:spacing w:val="-5"/>
          <w:sz w:val="20"/>
          <w:szCs w:val="20"/>
        </w:rPr>
        <w:t xml:space="preserve"> </w:t>
      </w:r>
      <w:r w:rsidRPr="000977F7">
        <w:rPr>
          <w:color w:val="auto"/>
          <w:sz w:val="20"/>
          <w:szCs w:val="20"/>
        </w:rPr>
        <w:t>ЗА</w:t>
      </w:r>
      <w:r w:rsidRPr="000977F7">
        <w:rPr>
          <w:color w:val="auto"/>
          <w:spacing w:val="-6"/>
          <w:sz w:val="20"/>
          <w:szCs w:val="20"/>
        </w:rPr>
        <w:t xml:space="preserve"> </w:t>
      </w:r>
      <w:r w:rsidRPr="000977F7">
        <w:rPr>
          <w:color w:val="auto"/>
          <w:sz w:val="20"/>
          <w:szCs w:val="20"/>
        </w:rPr>
        <w:t>ІНТЕНСИВНІСТЮ</w:t>
      </w:r>
      <w:r w:rsidRPr="000977F7">
        <w:rPr>
          <w:color w:val="auto"/>
          <w:spacing w:val="-6"/>
          <w:sz w:val="20"/>
          <w:szCs w:val="20"/>
        </w:rPr>
        <w:t xml:space="preserve"> </w:t>
      </w:r>
    </w:p>
    <w:p w14:paraId="60E0B14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(СКЛАДЕ</w:t>
      </w:r>
      <w:r w:rsidRPr="000977F7">
        <w:rPr>
          <w:color w:val="auto"/>
          <w:spacing w:val="-47"/>
          <w:sz w:val="20"/>
          <w:szCs w:val="20"/>
        </w:rPr>
        <w:t xml:space="preserve"> </w:t>
      </w:r>
      <w:r w:rsidRPr="000977F7">
        <w:rPr>
          <w:color w:val="auto"/>
          <w:sz w:val="20"/>
          <w:szCs w:val="20"/>
        </w:rPr>
        <w:t>НИЙ)</w:t>
      </w:r>
      <w:r w:rsidRPr="000977F7">
        <w:rPr>
          <w:color w:val="auto"/>
          <w:spacing w:val="-1"/>
          <w:sz w:val="20"/>
          <w:szCs w:val="20"/>
        </w:rPr>
        <w:t xml:space="preserve"> </w:t>
      </w:r>
      <w:r w:rsidRPr="000977F7">
        <w:rPr>
          <w:color w:val="auto"/>
          <w:sz w:val="20"/>
          <w:szCs w:val="20"/>
        </w:rPr>
        <w:t>СИГНАЛ</w:t>
      </w:r>
      <w:r w:rsidRPr="000977F7">
        <w:rPr>
          <w:color w:val="auto"/>
          <w:spacing w:val="2"/>
          <w:sz w:val="20"/>
          <w:szCs w:val="20"/>
        </w:rPr>
        <w:t xml:space="preserve"> </w:t>
      </w:r>
      <w:r w:rsidRPr="000977F7">
        <w:rPr>
          <w:color w:val="auto"/>
          <w:sz w:val="20"/>
          <w:szCs w:val="20"/>
        </w:rPr>
        <w:t>–</w:t>
      </w:r>
    </w:p>
    <w:p w14:paraId="26FED7E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SIGNAL</w:t>
      </w:r>
      <w:r w:rsidRPr="004D2D14">
        <w:rPr>
          <w:rFonts w:asciiTheme="majorHAnsi" w:hAnsiTheme="majorHAnsi"/>
          <w:spacing w:val="-4"/>
          <w:sz w:val="20"/>
          <w:szCs w:val="20"/>
          <w:lang w:val="uk-UA"/>
        </w:rPr>
        <w:t xml:space="preserve"> </w:t>
      </w:r>
      <w:r w:rsidRPr="000977F7">
        <w:rPr>
          <w:rFonts w:asciiTheme="majorHAnsi" w:hAnsiTheme="majorHAnsi"/>
          <w:sz w:val="20"/>
          <w:szCs w:val="20"/>
        </w:rPr>
        <w:t>WITH</w:t>
      </w:r>
      <w:r w:rsidRPr="004D2D14">
        <w:rPr>
          <w:rFonts w:asciiTheme="majorHAnsi" w:hAnsiTheme="majorHAnsi"/>
          <w:spacing w:val="-2"/>
          <w:sz w:val="20"/>
          <w:szCs w:val="20"/>
          <w:lang w:val="uk-UA"/>
        </w:rPr>
        <w:t xml:space="preserve"> </w:t>
      </w:r>
      <w:r w:rsidRPr="000977F7">
        <w:rPr>
          <w:rFonts w:asciiTheme="majorHAnsi" w:hAnsiTheme="majorHAnsi"/>
          <w:sz w:val="20"/>
          <w:szCs w:val="20"/>
        </w:rPr>
        <w:t>UNTENSITY</w:t>
      </w:r>
      <w:r w:rsidRPr="004D2D14">
        <w:rPr>
          <w:rFonts w:asciiTheme="majorHAnsi" w:hAnsiTheme="majorHAnsi"/>
          <w:spacing w:val="-2"/>
          <w:sz w:val="20"/>
          <w:szCs w:val="20"/>
          <w:lang w:val="uk-UA"/>
        </w:rPr>
        <w:t xml:space="preserve"> </w:t>
      </w:r>
      <w:r w:rsidRPr="000977F7">
        <w:rPr>
          <w:rFonts w:asciiTheme="majorHAnsi" w:hAnsiTheme="majorHAnsi"/>
          <w:sz w:val="20"/>
          <w:szCs w:val="20"/>
        </w:rPr>
        <w:t>SEPARATION</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19AE80B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Складений сигнал спільного діяння, кожному складовому сигналу якого відповідають свої діапазони змінювання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дієвої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величини</w:t>
      </w:r>
    </w:p>
    <w:p w14:paraId="568D536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06C5B5F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ПОДІЛЕНИЙ</w:t>
      </w:r>
      <w:r w:rsidRPr="000977F7">
        <w:rPr>
          <w:color w:val="auto"/>
          <w:spacing w:val="-3"/>
          <w:sz w:val="20"/>
          <w:szCs w:val="20"/>
        </w:rPr>
        <w:t xml:space="preserve"> </w:t>
      </w:r>
      <w:r w:rsidRPr="000977F7">
        <w:rPr>
          <w:color w:val="auto"/>
          <w:sz w:val="20"/>
          <w:szCs w:val="20"/>
        </w:rPr>
        <w:t>У</w:t>
      </w:r>
      <w:r w:rsidRPr="000977F7">
        <w:rPr>
          <w:color w:val="auto"/>
          <w:spacing w:val="-4"/>
          <w:sz w:val="20"/>
          <w:szCs w:val="20"/>
        </w:rPr>
        <w:t xml:space="preserve"> </w:t>
      </w:r>
      <w:r w:rsidRPr="000977F7">
        <w:rPr>
          <w:color w:val="auto"/>
          <w:sz w:val="20"/>
          <w:szCs w:val="20"/>
        </w:rPr>
        <w:t>ЧАСІ</w:t>
      </w:r>
      <w:r w:rsidRPr="000977F7">
        <w:rPr>
          <w:color w:val="auto"/>
          <w:spacing w:val="-4"/>
          <w:sz w:val="20"/>
          <w:szCs w:val="20"/>
        </w:rPr>
        <w:t xml:space="preserve"> </w:t>
      </w:r>
      <w:r w:rsidRPr="000977F7">
        <w:rPr>
          <w:color w:val="auto"/>
          <w:sz w:val="20"/>
          <w:szCs w:val="20"/>
        </w:rPr>
        <w:t>(СКЛАДЕНИЙ)</w:t>
      </w:r>
      <w:r w:rsidRPr="000977F7">
        <w:rPr>
          <w:color w:val="auto"/>
          <w:spacing w:val="-4"/>
          <w:sz w:val="20"/>
          <w:szCs w:val="20"/>
        </w:rPr>
        <w:t xml:space="preserve"> </w:t>
      </w:r>
      <w:r w:rsidRPr="000977F7">
        <w:rPr>
          <w:color w:val="auto"/>
          <w:sz w:val="20"/>
          <w:szCs w:val="20"/>
        </w:rPr>
        <w:t>СИГНАЛ</w:t>
      </w:r>
      <w:r w:rsidRPr="000977F7">
        <w:rPr>
          <w:color w:val="auto"/>
          <w:spacing w:val="1"/>
          <w:sz w:val="20"/>
          <w:szCs w:val="20"/>
        </w:rPr>
        <w:t xml:space="preserve"> </w:t>
      </w:r>
      <w:r w:rsidRPr="000977F7">
        <w:rPr>
          <w:color w:val="auto"/>
          <w:sz w:val="20"/>
          <w:szCs w:val="20"/>
        </w:rPr>
        <w:t>–</w:t>
      </w:r>
    </w:p>
    <w:p w14:paraId="69E1AD6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TIME</w:t>
      </w:r>
      <w:r w:rsidRPr="004D2D14">
        <w:rPr>
          <w:rFonts w:asciiTheme="majorHAnsi" w:hAnsiTheme="majorHAnsi"/>
          <w:spacing w:val="-2"/>
          <w:sz w:val="20"/>
          <w:szCs w:val="20"/>
          <w:lang w:val="uk-UA"/>
        </w:rPr>
        <w:t xml:space="preserve"> </w:t>
      </w:r>
      <w:r w:rsidRPr="000977F7">
        <w:rPr>
          <w:rFonts w:asciiTheme="majorHAnsi" w:hAnsiTheme="majorHAnsi"/>
          <w:sz w:val="20"/>
          <w:szCs w:val="20"/>
        </w:rPr>
        <w:t>SEPARATION</w:t>
      </w:r>
      <w:r w:rsidRPr="004D2D14">
        <w:rPr>
          <w:rFonts w:asciiTheme="majorHAnsi" w:hAnsiTheme="majorHAnsi"/>
          <w:spacing w:val="-1"/>
          <w:sz w:val="20"/>
          <w:szCs w:val="20"/>
          <w:lang w:val="uk-UA"/>
        </w:rPr>
        <w:t xml:space="preserve"> </w:t>
      </w:r>
      <w:r w:rsidRPr="000977F7">
        <w:rPr>
          <w:rFonts w:asciiTheme="majorHAnsi" w:hAnsiTheme="majorHAnsi"/>
          <w:sz w:val="20"/>
          <w:szCs w:val="20"/>
        </w:rPr>
        <w:t>SIGNAL</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11C5190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Складений сигнал спільного діяння, кожному складовому сигналу якого відповідає свій часовий інтервал</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змінювання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дієвої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величини</w:t>
      </w:r>
    </w:p>
    <w:p w14:paraId="515D597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3956</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2000</w:t>
      </w:r>
    </w:p>
    <w:p w14:paraId="053DE7C0"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ПОДІЛКА</w:t>
      </w:r>
      <w:r w:rsidRPr="004D2D14">
        <w:rPr>
          <w:rFonts w:asciiTheme="majorHAnsi" w:hAnsiTheme="majorHAnsi"/>
          <w:b/>
          <w:spacing w:val="-6"/>
          <w:sz w:val="20"/>
          <w:szCs w:val="20"/>
          <w:lang w:val="en-US"/>
        </w:rPr>
        <w:t xml:space="preserve"> </w:t>
      </w:r>
      <w:r w:rsidRPr="000977F7">
        <w:rPr>
          <w:rFonts w:asciiTheme="majorHAnsi" w:hAnsiTheme="majorHAnsi"/>
          <w:b/>
          <w:sz w:val="20"/>
          <w:szCs w:val="20"/>
        </w:rPr>
        <w:t>ШКАЛИ</w:t>
      </w:r>
      <w:r w:rsidRPr="004D2D14">
        <w:rPr>
          <w:rFonts w:asciiTheme="majorHAnsi" w:hAnsiTheme="majorHAnsi"/>
          <w:b/>
          <w:spacing w:val="-4"/>
          <w:sz w:val="20"/>
          <w:szCs w:val="20"/>
          <w:lang w:val="en-US"/>
        </w:rPr>
        <w:t xml:space="preserve"> </w:t>
      </w:r>
      <w:r w:rsidRPr="004D2D14">
        <w:rPr>
          <w:rFonts w:asciiTheme="majorHAnsi" w:hAnsiTheme="majorHAnsi"/>
          <w:b/>
          <w:sz w:val="20"/>
          <w:szCs w:val="20"/>
          <w:lang w:val="en-US"/>
        </w:rPr>
        <w:t>–</w:t>
      </w:r>
    </w:p>
    <w:p w14:paraId="32F06919"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b/>
          <w:spacing w:val="-47"/>
          <w:sz w:val="20"/>
          <w:szCs w:val="20"/>
          <w:lang w:val="en-US"/>
        </w:rPr>
        <w:t xml:space="preserve"> </w:t>
      </w:r>
      <w:r w:rsidRPr="004D2D14">
        <w:rPr>
          <w:rFonts w:asciiTheme="majorHAnsi" w:hAnsiTheme="majorHAnsi"/>
          <w:sz w:val="20"/>
          <w:szCs w:val="20"/>
          <w:lang w:val="en-US"/>
        </w:rPr>
        <w:t>SCALE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DIVISION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4BFCAE5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Частина</w:t>
      </w:r>
      <w:r w:rsidRPr="000977F7">
        <w:rPr>
          <w:rFonts w:asciiTheme="majorHAnsi" w:hAnsiTheme="majorHAnsi"/>
          <w:spacing w:val="-10"/>
          <w:sz w:val="20"/>
          <w:szCs w:val="20"/>
        </w:rPr>
        <w:t xml:space="preserve"> </w:t>
      </w:r>
      <w:r w:rsidRPr="000977F7">
        <w:rPr>
          <w:rFonts w:asciiTheme="majorHAnsi" w:hAnsiTheme="majorHAnsi"/>
          <w:spacing w:val="-1"/>
          <w:sz w:val="20"/>
          <w:szCs w:val="20"/>
        </w:rPr>
        <w:t>шкали</w:t>
      </w:r>
      <w:r w:rsidRPr="000977F7">
        <w:rPr>
          <w:rFonts w:asciiTheme="majorHAnsi" w:hAnsiTheme="majorHAnsi"/>
          <w:spacing w:val="-11"/>
          <w:sz w:val="20"/>
          <w:szCs w:val="20"/>
        </w:rPr>
        <w:t xml:space="preserve"> </w:t>
      </w:r>
      <w:r w:rsidRPr="000977F7">
        <w:rPr>
          <w:rFonts w:asciiTheme="majorHAnsi" w:hAnsiTheme="majorHAnsi"/>
          <w:spacing w:val="-1"/>
          <w:sz w:val="20"/>
          <w:szCs w:val="20"/>
        </w:rPr>
        <w:t>між</w:t>
      </w:r>
      <w:r w:rsidRPr="000977F7">
        <w:rPr>
          <w:rFonts w:asciiTheme="majorHAnsi" w:hAnsiTheme="majorHAnsi"/>
          <w:spacing w:val="-12"/>
          <w:sz w:val="20"/>
          <w:szCs w:val="20"/>
        </w:rPr>
        <w:t xml:space="preserve"> </w:t>
      </w:r>
      <w:r w:rsidRPr="000977F7">
        <w:rPr>
          <w:rFonts w:asciiTheme="majorHAnsi" w:hAnsiTheme="majorHAnsi"/>
          <w:spacing w:val="-1"/>
          <w:sz w:val="20"/>
          <w:szCs w:val="20"/>
        </w:rPr>
        <w:t>двома</w:t>
      </w:r>
      <w:r w:rsidRPr="000977F7">
        <w:rPr>
          <w:rFonts w:asciiTheme="majorHAnsi" w:hAnsiTheme="majorHAnsi"/>
          <w:spacing w:val="-9"/>
          <w:sz w:val="20"/>
          <w:szCs w:val="20"/>
        </w:rPr>
        <w:t xml:space="preserve"> </w:t>
      </w:r>
      <w:r w:rsidRPr="000977F7">
        <w:rPr>
          <w:rFonts w:asciiTheme="majorHAnsi" w:hAnsiTheme="majorHAnsi"/>
          <w:spacing w:val="-1"/>
          <w:sz w:val="20"/>
          <w:szCs w:val="20"/>
        </w:rPr>
        <w:t>сусідніми</w:t>
      </w:r>
      <w:r w:rsidRPr="000977F7">
        <w:rPr>
          <w:rFonts w:asciiTheme="majorHAnsi" w:hAnsiTheme="majorHAnsi"/>
          <w:spacing w:val="-10"/>
          <w:sz w:val="20"/>
          <w:szCs w:val="20"/>
        </w:rPr>
        <w:t xml:space="preserve"> </w:t>
      </w:r>
      <w:r w:rsidRPr="000977F7">
        <w:rPr>
          <w:rFonts w:asciiTheme="majorHAnsi" w:hAnsiTheme="majorHAnsi"/>
          <w:spacing w:val="-1"/>
          <w:sz w:val="20"/>
          <w:szCs w:val="20"/>
        </w:rPr>
        <w:t>позначками</w:t>
      </w:r>
      <w:r w:rsidRPr="000977F7">
        <w:rPr>
          <w:rFonts w:asciiTheme="majorHAnsi" w:hAnsiTheme="majorHAnsi"/>
          <w:spacing w:val="-11"/>
          <w:sz w:val="20"/>
          <w:szCs w:val="20"/>
        </w:rPr>
        <w:t xml:space="preserve"> </w:t>
      </w:r>
      <w:r w:rsidRPr="000977F7">
        <w:rPr>
          <w:rFonts w:asciiTheme="majorHAnsi" w:hAnsiTheme="majorHAnsi"/>
          <w:spacing w:val="-1"/>
          <w:sz w:val="20"/>
          <w:szCs w:val="20"/>
        </w:rPr>
        <w:t>шкали</w:t>
      </w:r>
    </w:p>
    <w:p w14:paraId="37B8F34F"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8"/>
          <w:sz w:val="20"/>
          <w:szCs w:val="20"/>
        </w:rPr>
      </w:pPr>
      <w:r w:rsidRPr="000977F7">
        <w:rPr>
          <w:rFonts w:asciiTheme="majorHAnsi" w:hAnsiTheme="majorHAnsi"/>
          <w:i/>
          <w:sz w:val="20"/>
          <w:szCs w:val="20"/>
        </w:rPr>
        <w:t>ДСТУ 2681 – 94</w:t>
      </w:r>
      <w:r w:rsidRPr="000977F7">
        <w:rPr>
          <w:rFonts w:asciiTheme="majorHAnsi" w:hAnsiTheme="majorHAnsi"/>
          <w:i/>
          <w:spacing w:val="-48"/>
          <w:sz w:val="20"/>
          <w:szCs w:val="20"/>
        </w:rPr>
        <w:t xml:space="preserve"> </w:t>
      </w:r>
    </w:p>
    <w:p w14:paraId="4D5ADDEA"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ПОДІЯ –</w:t>
      </w:r>
    </w:p>
    <w:p w14:paraId="3200270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EVENT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4AE6539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Змінювання</w:t>
      </w:r>
      <w:r w:rsidRPr="000977F7">
        <w:rPr>
          <w:rFonts w:asciiTheme="majorHAnsi" w:hAnsiTheme="majorHAnsi"/>
          <w:spacing w:val="42"/>
          <w:sz w:val="20"/>
          <w:szCs w:val="20"/>
        </w:rPr>
        <w:t xml:space="preserve"> </w:t>
      </w:r>
      <w:r w:rsidRPr="000977F7">
        <w:rPr>
          <w:rFonts w:asciiTheme="majorHAnsi" w:hAnsiTheme="majorHAnsi"/>
          <w:sz w:val="20"/>
          <w:szCs w:val="20"/>
        </w:rPr>
        <w:t>властивості,</w:t>
      </w:r>
      <w:r w:rsidRPr="000977F7">
        <w:rPr>
          <w:rFonts w:asciiTheme="majorHAnsi" w:hAnsiTheme="majorHAnsi"/>
          <w:spacing w:val="41"/>
          <w:sz w:val="20"/>
          <w:szCs w:val="20"/>
        </w:rPr>
        <w:t xml:space="preserve"> </w:t>
      </w:r>
      <w:r w:rsidRPr="000977F7">
        <w:rPr>
          <w:rFonts w:asciiTheme="majorHAnsi" w:hAnsiTheme="majorHAnsi"/>
          <w:sz w:val="20"/>
          <w:szCs w:val="20"/>
        </w:rPr>
        <w:t>стану</w:t>
      </w:r>
      <w:r w:rsidRPr="000977F7">
        <w:rPr>
          <w:rFonts w:asciiTheme="majorHAnsi" w:hAnsiTheme="majorHAnsi"/>
          <w:spacing w:val="38"/>
          <w:sz w:val="20"/>
          <w:szCs w:val="20"/>
        </w:rPr>
        <w:t xml:space="preserve"> </w:t>
      </w:r>
      <w:r w:rsidRPr="000977F7">
        <w:rPr>
          <w:rFonts w:asciiTheme="majorHAnsi" w:hAnsiTheme="majorHAnsi"/>
          <w:sz w:val="20"/>
          <w:szCs w:val="20"/>
        </w:rPr>
        <w:t>об’єкта</w:t>
      </w:r>
      <w:r w:rsidRPr="000977F7">
        <w:rPr>
          <w:rFonts w:asciiTheme="majorHAnsi" w:hAnsiTheme="majorHAnsi"/>
          <w:spacing w:val="41"/>
          <w:sz w:val="20"/>
          <w:szCs w:val="20"/>
        </w:rPr>
        <w:t xml:space="preserve"> </w:t>
      </w:r>
      <w:r w:rsidRPr="000977F7">
        <w:rPr>
          <w:rFonts w:asciiTheme="majorHAnsi" w:hAnsiTheme="majorHAnsi"/>
          <w:sz w:val="20"/>
          <w:szCs w:val="20"/>
        </w:rPr>
        <w:t>або</w:t>
      </w:r>
      <w:r w:rsidRPr="000977F7">
        <w:rPr>
          <w:rFonts w:asciiTheme="majorHAnsi" w:hAnsiTheme="majorHAnsi"/>
          <w:spacing w:val="42"/>
          <w:sz w:val="20"/>
          <w:szCs w:val="20"/>
        </w:rPr>
        <w:t xml:space="preserve"> </w:t>
      </w:r>
      <w:r w:rsidRPr="000977F7">
        <w:rPr>
          <w:rFonts w:asciiTheme="majorHAnsi" w:hAnsiTheme="majorHAnsi"/>
          <w:sz w:val="20"/>
          <w:szCs w:val="20"/>
        </w:rPr>
        <w:t>процесу,</w:t>
      </w:r>
      <w:r w:rsidRPr="000977F7">
        <w:rPr>
          <w:rFonts w:asciiTheme="majorHAnsi" w:hAnsiTheme="majorHAnsi"/>
          <w:spacing w:val="-47"/>
          <w:sz w:val="20"/>
          <w:szCs w:val="20"/>
        </w:rPr>
        <w:t xml:space="preserve"> </w:t>
      </w:r>
      <w:r w:rsidRPr="000977F7">
        <w:rPr>
          <w:rFonts w:asciiTheme="majorHAnsi" w:hAnsiTheme="majorHAnsi"/>
          <w:sz w:val="20"/>
          <w:szCs w:val="20"/>
        </w:rPr>
        <w:t>істотне</w:t>
      </w:r>
      <w:r w:rsidRPr="000977F7">
        <w:rPr>
          <w:rFonts w:asciiTheme="majorHAnsi" w:hAnsiTheme="majorHAnsi"/>
          <w:spacing w:val="-1"/>
          <w:sz w:val="20"/>
          <w:szCs w:val="20"/>
        </w:rPr>
        <w:t xml:space="preserve"> </w:t>
      </w:r>
      <w:r w:rsidRPr="000977F7">
        <w:rPr>
          <w:rFonts w:asciiTheme="majorHAnsi" w:hAnsiTheme="majorHAnsi"/>
          <w:sz w:val="20"/>
          <w:szCs w:val="20"/>
        </w:rPr>
        <w:t>за певного</w:t>
      </w:r>
      <w:r w:rsidRPr="000977F7">
        <w:rPr>
          <w:rFonts w:asciiTheme="majorHAnsi" w:hAnsiTheme="majorHAnsi"/>
          <w:spacing w:val="1"/>
          <w:sz w:val="20"/>
          <w:szCs w:val="20"/>
        </w:rPr>
        <w:t xml:space="preserve"> </w:t>
      </w:r>
      <w:r w:rsidRPr="000977F7">
        <w:rPr>
          <w:rFonts w:asciiTheme="majorHAnsi" w:hAnsiTheme="majorHAnsi"/>
          <w:sz w:val="20"/>
          <w:szCs w:val="20"/>
        </w:rPr>
        <w:t>розгляду</w:t>
      </w:r>
    </w:p>
    <w:p w14:paraId="0122BBF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2C91342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ПОЕЛЕМЕНТНА ПОВІРКА ЗАСОБІВ </w:t>
      </w:r>
    </w:p>
    <w:p w14:paraId="598B15C2"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ВИМІРЮ</w:t>
      </w:r>
      <w:r w:rsidRPr="000977F7">
        <w:rPr>
          <w:color w:val="auto"/>
          <w:spacing w:val="-48"/>
          <w:sz w:val="20"/>
          <w:szCs w:val="20"/>
        </w:rPr>
        <w:t xml:space="preserve"> </w:t>
      </w:r>
      <w:r w:rsidRPr="000977F7">
        <w:rPr>
          <w:color w:val="auto"/>
          <w:sz w:val="20"/>
          <w:szCs w:val="20"/>
        </w:rPr>
        <w:t>ВАЛЬНОЇ</w:t>
      </w:r>
      <w:r w:rsidRPr="000977F7">
        <w:rPr>
          <w:color w:val="auto"/>
          <w:spacing w:val="-2"/>
          <w:sz w:val="20"/>
          <w:szCs w:val="20"/>
        </w:rPr>
        <w:t xml:space="preserve"> </w:t>
      </w:r>
      <w:r w:rsidRPr="000977F7">
        <w:rPr>
          <w:color w:val="auto"/>
          <w:sz w:val="20"/>
          <w:szCs w:val="20"/>
        </w:rPr>
        <w:t>ТЕХНІКИ</w:t>
      </w:r>
      <w:r w:rsidRPr="000977F7">
        <w:rPr>
          <w:color w:val="auto"/>
          <w:spacing w:val="1"/>
          <w:sz w:val="20"/>
          <w:szCs w:val="20"/>
        </w:rPr>
        <w:t xml:space="preserve"> </w:t>
      </w:r>
      <w:r w:rsidRPr="000977F7">
        <w:rPr>
          <w:b w:val="0"/>
          <w:color w:val="auto"/>
          <w:sz w:val="20"/>
          <w:szCs w:val="20"/>
        </w:rPr>
        <w:t>–</w:t>
      </w:r>
    </w:p>
    <w:p w14:paraId="47CEAB6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Повірка,</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якої</w:t>
      </w:r>
      <w:r w:rsidRPr="000977F7">
        <w:rPr>
          <w:rFonts w:asciiTheme="majorHAnsi" w:hAnsiTheme="majorHAnsi"/>
          <w:spacing w:val="1"/>
          <w:sz w:val="20"/>
          <w:szCs w:val="20"/>
        </w:rPr>
        <w:t xml:space="preserve"> </w:t>
      </w:r>
      <w:r w:rsidRPr="000977F7">
        <w:rPr>
          <w:rFonts w:asciiTheme="majorHAnsi" w:hAnsiTheme="majorHAnsi"/>
          <w:sz w:val="20"/>
          <w:szCs w:val="20"/>
        </w:rPr>
        <w:t>метрологічні</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характеристики</w:t>
      </w:r>
      <w:r w:rsidRPr="000977F7">
        <w:rPr>
          <w:rFonts w:asciiTheme="majorHAnsi" w:hAnsiTheme="majorHAnsi"/>
          <w:spacing w:val="1"/>
          <w:sz w:val="20"/>
          <w:szCs w:val="20"/>
        </w:rPr>
        <w:t xml:space="preserve"> </w:t>
      </w:r>
      <w:r w:rsidRPr="000977F7">
        <w:rPr>
          <w:rFonts w:asciiTheme="majorHAnsi" w:hAnsiTheme="majorHAnsi"/>
          <w:sz w:val="20"/>
          <w:szCs w:val="20"/>
        </w:rPr>
        <w:t>засобів вимірювальної техніки визначають за метрологічними характеристиками</w:t>
      </w:r>
      <w:r w:rsidRPr="000977F7">
        <w:rPr>
          <w:rFonts w:asciiTheme="majorHAnsi" w:hAnsiTheme="majorHAnsi"/>
          <w:spacing w:val="-2"/>
          <w:sz w:val="20"/>
          <w:szCs w:val="20"/>
        </w:rPr>
        <w:t xml:space="preserve"> </w:t>
      </w:r>
      <w:r w:rsidRPr="000977F7">
        <w:rPr>
          <w:rFonts w:asciiTheme="majorHAnsi" w:hAnsiTheme="majorHAnsi"/>
          <w:sz w:val="20"/>
          <w:szCs w:val="20"/>
        </w:rPr>
        <w:t>їх</w:t>
      </w:r>
      <w:r w:rsidRPr="000977F7">
        <w:rPr>
          <w:rFonts w:asciiTheme="majorHAnsi" w:hAnsiTheme="majorHAnsi"/>
          <w:spacing w:val="-3"/>
          <w:sz w:val="20"/>
          <w:szCs w:val="20"/>
        </w:rPr>
        <w:t xml:space="preserve"> </w:t>
      </w:r>
      <w:r w:rsidRPr="000977F7">
        <w:rPr>
          <w:rFonts w:asciiTheme="majorHAnsi" w:hAnsiTheme="majorHAnsi"/>
          <w:sz w:val="20"/>
          <w:szCs w:val="20"/>
        </w:rPr>
        <w:t>окремих</w:t>
      </w:r>
      <w:r w:rsidRPr="000977F7">
        <w:rPr>
          <w:rFonts w:asciiTheme="majorHAnsi" w:hAnsiTheme="majorHAnsi"/>
          <w:spacing w:val="-2"/>
          <w:sz w:val="20"/>
          <w:szCs w:val="20"/>
        </w:rPr>
        <w:t xml:space="preserve"> </w:t>
      </w:r>
      <w:r w:rsidRPr="000977F7">
        <w:rPr>
          <w:rFonts w:asciiTheme="majorHAnsi" w:hAnsiTheme="majorHAnsi"/>
          <w:sz w:val="20"/>
          <w:szCs w:val="20"/>
        </w:rPr>
        <w:t>частин</w:t>
      </w:r>
    </w:p>
    <w:p w14:paraId="5E924A3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2D35D182" w14:textId="77777777" w:rsidR="0097612F" w:rsidRPr="004D2D14" w:rsidRDefault="0097612F" w:rsidP="000977F7">
      <w:pPr>
        <w:tabs>
          <w:tab w:val="left" w:pos="284"/>
        </w:tabs>
        <w:spacing w:after="0" w:line="240" w:lineRule="auto"/>
        <w:ind w:left="170"/>
        <w:mirrorIndents/>
        <w:jc w:val="both"/>
        <w:rPr>
          <w:rFonts w:asciiTheme="majorHAnsi" w:hAnsiTheme="majorHAnsi"/>
          <w:b/>
          <w:bCs/>
          <w:sz w:val="20"/>
          <w:szCs w:val="20"/>
          <w:lang w:val="en-US"/>
        </w:rPr>
      </w:pPr>
      <w:r w:rsidRPr="000977F7">
        <w:rPr>
          <w:rFonts w:asciiTheme="majorHAnsi" w:hAnsiTheme="majorHAnsi"/>
          <w:b/>
          <w:bCs/>
          <w:sz w:val="20"/>
          <w:szCs w:val="20"/>
        </w:rPr>
        <w:t>ПОЄДНАНЕ</w:t>
      </w:r>
      <w:r w:rsidRPr="004D2D14">
        <w:rPr>
          <w:rFonts w:asciiTheme="majorHAnsi" w:hAnsiTheme="majorHAnsi"/>
          <w:b/>
          <w:bCs/>
          <w:spacing w:val="-7"/>
          <w:sz w:val="20"/>
          <w:szCs w:val="20"/>
          <w:lang w:val="en-US"/>
        </w:rPr>
        <w:t xml:space="preserve"> </w:t>
      </w:r>
      <w:r w:rsidRPr="000977F7">
        <w:rPr>
          <w:rFonts w:asciiTheme="majorHAnsi" w:hAnsiTheme="majorHAnsi"/>
          <w:b/>
          <w:bCs/>
          <w:sz w:val="20"/>
          <w:szCs w:val="20"/>
        </w:rPr>
        <w:t>ДІЯННЯ</w:t>
      </w:r>
      <w:r w:rsidRPr="004D2D14">
        <w:rPr>
          <w:rFonts w:asciiTheme="majorHAnsi" w:hAnsiTheme="majorHAnsi"/>
          <w:b/>
          <w:bCs/>
          <w:spacing w:val="-3"/>
          <w:sz w:val="20"/>
          <w:szCs w:val="20"/>
          <w:lang w:val="en-US"/>
        </w:rPr>
        <w:t xml:space="preserve"> </w:t>
      </w:r>
      <w:r w:rsidRPr="004D2D14">
        <w:rPr>
          <w:rFonts w:asciiTheme="majorHAnsi" w:hAnsiTheme="majorHAnsi"/>
          <w:b/>
          <w:bCs/>
          <w:sz w:val="20"/>
          <w:szCs w:val="20"/>
          <w:lang w:val="en-US"/>
        </w:rPr>
        <w:t>–</w:t>
      </w:r>
    </w:p>
    <w:p w14:paraId="04B3448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JOINT EFFECT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6C59339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Одночасне або послідовне діяння на організм чинників</w:t>
      </w:r>
      <w:r w:rsidRPr="000977F7">
        <w:rPr>
          <w:rFonts w:asciiTheme="majorHAnsi" w:hAnsiTheme="majorHAnsi"/>
          <w:spacing w:val="-2"/>
          <w:sz w:val="20"/>
          <w:szCs w:val="20"/>
        </w:rPr>
        <w:t xml:space="preserve"> </w:t>
      </w:r>
      <w:r w:rsidRPr="000977F7">
        <w:rPr>
          <w:rFonts w:asciiTheme="majorHAnsi" w:hAnsiTheme="majorHAnsi"/>
          <w:sz w:val="20"/>
          <w:szCs w:val="20"/>
        </w:rPr>
        <w:t>різного</w:t>
      </w:r>
      <w:r w:rsidRPr="000977F7">
        <w:rPr>
          <w:rFonts w:asciiTheme="majorHAnsi" w:hAnsiTheme="majorHAnsi"/>
          <w:spacing w:val="1"/>
          <w:sz w:val="20"/>
          <w:szCs w:val="20"/>
        </w:rPr>
        <w:t xml:space="preserve"> </w:t>
      </w:r>
      <w:r w:rsidRPr="000977F7">
        <w:rPr>
          <w:rFonts w:asciiTheme="majorHAnsi" w:hAnsiTheme="majorHAnsi"/>
          <w:sz w:val="20"/>
          <w:szCs w:val="20"/>
        </w:rPr>
        <w:t>походження</w:t>
      </w:r>
    </w:p>
    <w:p w14:paraId="351C9F9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3038 -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62424C6"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lastRenderedPageBreak/>
        <w:t>ПОЗАПЛАНОВЕ</w:t>
      </w:r>
      <w:r w:rsidRPr="000977F7">
        <w:rPr>
          <w:color w:val="auto"/>
          <w:spacing w:val="1"/>
          <w:sz w:val="20"/>
          <w:szCs w:val="20"/>
        </w:rPr>
        <w:t xml:space="preserve"> </w:t>
      </w:r>
      <w:r w:rsidRPr="000977F7">
        <w:rPr>
          <w:color w:val="auto"/>
          <w:sz w:val="20"/>
          <w:szCs w:val="20"/>
        </w:rPr>
        <w:t>ТЕХНІЧНЕ</w:t>
      </w:r>
      <w:r w:rsidRPr="000977F7">
        <w:rPr>
          <w:color w:val="auto"/>
          <w:spacing w:val="1"/>
          <w:sz w:val="20"/>
          <w:szCs w:val="20"/>
        </w:rPr>
        <w:t xml:space="preserve"> </w:t>
      </w:r>
    </w:p>
    <w:p w14:paraId="53A3987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ОБСЛУГОВУ</w:t>
      </w:r>
      <w:r w:rsidRPr="000977F7">
        <w:rPr>
          <w:color w:val="auto"/>
          <w:spacing w:val="-47"/>
          <w:sz w:val="20"/>
          <w:szCs w:val="20"/>
        </w:rPr>
        <w:t xml:space="preserve"> </w:t>
      </w:r>
      <w:r w:rsidRPr="000977F7">
        <w:rPr>
          <w:color w:val="auto"/>
          <w:sz w:val="20"/>
          <w:szCs w:val="20"/>
        </w:rPr>
        <w:t>ВАННЯ –</w:t>
      </w:r>
    </w:p>
    <w:p w14:paraId="461E0E7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CORRECTIVE</w:t>
      </w:r>
      <w:r w:rsidRPr="004D2D14">
        <w:rPr>
          <w:rFonts w:asciiTheme="majorHAnsi" w:hAnsiTheme="majorHAnsi"/>
          <w:spacing w:val="46"/>
          <w:sz w:val="20"/>
          <w:szCs w:val="20"/>
          <w:lang w:val="uk-UA"/>
        </w:rPr>
        <w:t xml:space="preserve"> </w:t>
      </w:r>
      <w:r w:rsidRPr="000977F7">
        <w:rPr>
          <w:rFonts w:asciiTheme="majorHAnsi" w:hAnsiTheme="majorHAnsi"/>
          <w:sz w:val="20"/>
          <w:szCs w:val="20"/>
        </w:rPr>
        <w:t>MAINTENANCE</w:t>
      </w:r>
      <w:r w:rsidRPr="004D2D14">
        <w:rPr>
          <w:rFonts w:asciiTheme="majorHAnsi" w:hAnsiTheme="majorHAnsi"/>
          <w:sz w:val="20"/>
          <w:szCs w:val="20"/>
          <w:lang w:val="uk-UA"/>
        </w:rPr>
        <w:t xml:space="preserve"> –</w:t>
      </w:r>
    </w:p>
    <w:p w14:paraId="0A1CB169"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 xml:space="preserve">Технічне обслуговування, що виконується після появи </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відмови</w:t>
      </w:r>
      <w:r w:rsidRPr="004D2D14">
        <w:rPr>
          <w:rFonts w:asciiTheme="majorHAnsi" w:hAnsiTheme="majorHAnsi"/>
          <w:spacing w:val="14"/>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метою</w:t>
      </w:r>
      <w:r w:rsidRPr="004D2D14">
        <w:rPr>
          <w:rFonts w:asciiTheme="majorHAnsi" w:hAnsiTheme="majorHAnsi"/>
          <w:spacing w:val="17"/>
          <w:sz w:val="20"/>
          <w:szCs w:val="20"/>
          <w:lang w:val="uk-UA"/>
        </w:rPr>
        <w:t xml:space="preserve"> </w:t>
      </w:r>
      <w:r w:rsidRPr="004D2D14">
        <w:rPr>
          <w:rFonts w:asciiTheme="majorHAnsi" w:hAnsiTheme="majorHAnsi"/>
          <w:sz w:val="20"/>
          <w:szCs w:val="20"/>
          <w:lang w:val="uk-UA"/>
        </w:rPr>
        <w:t>поновлення</w:t>
      </w:r>
      <w:r w:rsidRPr="004D2D14">
        <w:rPr>
          <w:rFonts w:asciiTheme="majorHAnsi" w:hAnsiTheme="majorHAnsi"/>
          <w:spacing w:val="15"/>
          <w:sz w:val="20"/>
          <w:szCs w:val="20"/>
          <w:lang w:val="uk-UA"/>
        </w:rPr>
        <w:t xml:space="preserve"> </w:t>
      </w:r>
      <w:r w:rsidRPr="004D2D14">
        <w:rPr>
          <w:rFonts w:asciiTheme="majorHAnsi" w:hAnsiTheme="majorHAnsi"/>
          <w:sz w:val="20"/>
          <w:szCs w:val="20"/>
          <w:lang w:val="uk-UA"/>
        </w:rPr>
        <w:t>виробу</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такого</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стану,</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при якому він зможе виконувати потрібну функцію</w:t>
      </w:r>
      <w:r w:rsidRPr="004D2D14">
        <w:rPr>
          <w:rFonts w:asciiTheme="majorHAnsi" w:hAnsiTheme="majorHAnsi"/>
          <w:spacing w:val="1"/>
          <w:sz w:val="20"/>
          <w:szCs w:val="20"/>
          <w:lang w:val="uk-UA"/>
        </w:rPr>
        <w:t xml:space="preserve"> </w:t>
      </w:r>
    </w:p>
    <w:p w14:paraId="09CED101"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0977F7">
        <w:rPr>
          <w:rFonts w:asciiTheme="majorHAnsi" w:hAnsiTheme="majorHAnsi"/>
          <w:b/>
          <w:sz w:val="20"/>
          <w:szCs w:val="20"/>
        </w:rPr>
        <w:t>ПОЗАПРОЕКТНА</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АВАРІЯ</w:t>
      </w:r>
      <w:r w:rsidRPr="004D2D14">
        <w:rPr>
          <w:rFonts w:asciiTheme="majorHAnsi" w:hAnsiTheme="majorHAnsi"/>
          <w:b/>
          <w:spacing w:val="3"/>
          <w:sz w:val="20"/>
          <w:szCs w:val="20"/>
          <w:lang w:val="en-US"/>
        </w:rPr>
        <w:t xml:space="preserve"> </w:t>
      </w:r>
      <w:r w:rsidRPr="004D2D14">
        <w:rPr>
          <w:rFonts w:asciiTheme="majorHAnsi" w:hAnsiTheme="majorHAnsi"/>
          <w:b/>
          <w:sz w:val="20"/>
          <w:szCs w:val="20"/>
          <w:lang w:val="en-US"/>
        </w:rPr>
        <w:t>—</w:t>
      </w:r>
    </w:p>
    <w:p w14:paraId="5E34CE4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BEYONG</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THE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DESIGN-BASISEN ACCIDENT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2AD98A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Аварія, викликана неврахованими для проектних аварій вихідними подіями або супроводжувана додатковими</w:t>
      </w:r>
      <w:r w:rsidRPr="000977F7">
        <w:rPr>
          <w:rFonts w:asciiTheme="majorHAnsi" w:hAnsiTheme="majorHAnsi"/>
          <w:spacing w:val="1"/>
          <w:sz w:val="20"/>
          <w:szCs w:val="20"/>
        </w:rPr>
        <w:t xml:space="preserve"> </w:t>
      </w:r>
      <w:r w:rsidRPr="000977F7">
        <w:rPr>
          <w:rFonts w:asciiTheme="majorHAnsi" w:hAnsiTheme="majorHAnsi"/>
          <w:sz w:val="20"/>
          <w:szCs w:val="20"/>
        </w:rPr>
        <w:t>порівняно</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проектними</w:t>
      </w:r>
      <w:r w:rsidRPr="000977F7">
        <w:rPr>
          <w:rFonts w:asciiTheme="majorHAnsi" w:hAnsiTheme="majorHAnsi"/>
          <w:spacing w:val="1"/>
          <w:sz w:val="20"/>
          <w:szCs w:val="20"/>
        </w:rPr>
        <w:t xml:space="preserve"> </w:t>
      </w:r>
      <w:r w:rsidRPr="000977F7">
        <w:rPr>
          <w:rFonts w:asciiTheme="majorHAnsi" w:hAnsiTheme="majorHAnsi"/>
          <w:sz w:val="20"/>
          <w:szCs w:val="20"/>
        </w:rPr>
        <w:t>аваріями</w:t>
      </w:r>
      <w:r w:rsidRPr="000977F7">
        <w:rPr>
          <w:rFonts w:asciiTheme="majorHAnsi" w:hAnsiTheme="majorHAnsi"/>
          <w:spacing w:val="1"/>
          <w:sz w:val="20"/>
          <w:szCs w:val="20"/>
        </w:rPr>
        <w:t xml:space="preserve"> </w:t>
      </w:r>
      <w:r w:rsidRPr="000977F7">
        <w:rPr>
          <w:rFonts w:asciiTheme="majorHAnsi" w:hAnsiTheme="majorHAnsi"/>
          <w:sz w:val="20"/>
          <w:szCs w:val="20"/>
        </w:rPr>
        <w:t>відмовами</w:t>
      </w:r>
      <w:r w:rsidRPr="000977F7">
        <w:rPr>
          <w:rFonts w:asciiTheme="majorHAnsi" w:hAnsiTheme="majorHAnsi"/>
          <w:spacing w:val="1"/>
          <w:sz w:val="20"/>
          <w:szCs w:val="20"/>
        </w:rPr>
        <w:t xml:space="preserve"> </w:t>
      </w:r>
      <w:r w:rsidRPr="000977F7">
        <w:rPr>
          <w:rFonts w:asciiTheme="majorHAnsi" w:hAnsiTheme="majorHAnsi"/>
          <w:sz w:val="20"/>
          <w:szCs w:val="20"/>
        </w:rPr>
        <w:t>систем безпеки, технологічного устаткування або помилками персоналу, які можуть призвести до тяжких</w:t>
      </w:r>
      <w:r w:rsidRPr="000977F7">
        <w:rPr>
          <w:rFonts w:asciiTheme="majorHAnsi" w:hAnsiTheme="majorHAnsi"/>
          <w:spacing w:val="1"/>
          <w:sz w:val="20"/>
          <w:szCs w:val="20"/>
        </w:rPr>
        <w:t xml:space="preserve"> </w:t>
      </w:r>
      <w:r w:rsidRPr="000977F7">
        <w:rPr>
          <w:rFonts w:asciiTheme="majorHAnsi" w:hAnsiTheme="majorHAnsi"/>
          <w:sz w:val="20"/>
          <w:szCs w:val="20"/>
        </w:rPr>
        <w:t>пошкоджень об'єкта. Зменшення наслідків такої аварії</w:t>
      </w:r>
      <w:r w:rsidRPr="000977F7">
        <w:rPr>
          <w:rFonts w:asciiTheme="majorHAnsi" w:hAnsiTheme="majorHAnsi"/>
          <w:spacing w:val="-47"/>
          <w:sz w:val="20"/>
          <w:szCs w:val="20"/>
        </w:rPr>
        <w:t xml:space="preserve"> </w:t>
      </w:r>
      <w:r w:rsidRPr="000977F7">
        <w:rPr>
          <w:rFonts w:asciiTheme="majorHAnsi" w:hAnsiTheme="majorHAnsi"/>
          <w:sz w:val="20"/>
          <w:szCs w:val="20"/>
        </w:rPr>
        <w:t>досягається керуванням аварією та (або) здійсненням</w:t>
      </w:r>
      <w:r w:rsidRPr="000977F7">
        <w:rPr>
          <w:rFonts w:asciiTheme="majorHAnsi" w:hAnsiTheme="majorHAnsi"/>
          <w:spacing w:val="1"/>
          <w:sz w:val="20"/>
          <w:szCs w:val="20"/>
        </w:rPr>
        <w:t xml:space="preserve"> </w:t>
      </w:r>
      <w:r w:rsidRPr="000977F7">
        <w:rPr>
          <w:rFonts w:asciiTheme="majorHAnsi" w:hAnsiTheme="majorHAnsi"/>
          <w:sz w:val="20"/>
          <w:szCs w:val="20"/>
        </w:rPr>
        <w:t>планів</w:t>
      </w:r>
      <w:r w:rsidRPr="000977F7">
        <w:rPr>
          <w:rFonts w:asciiTheme="majorHAnsi" w:hAnsiTheme="majorHAnsi"/>
          <w:spacing w:val="-2"/>
          <w:sz w:val="20"/>
          <w:szCs w:val="20"/>
        </w:rPr>
        <w:t xml:space="preserve"> </w:t>
      </w:r>
      <w:r w:rsidRPr="000977F7">
        <w:rPr>
          <w:rFonts w:asciiTheme="majorHAnsi" w:hAnsiTheme="majorHAnsi"/>
          <w:sz w:val="20"/>
          <w:szCs w:val="20"/>
        </w:rPr>
        <w:t>заходів</w:t>
      </w:r>
      <w:r w:rsidRPr="000977F7">
        <w:rPr>
          <w:rFonts w:asciiTheme="majorHAnsi" w:hAnsiTheme="majorHAnsi"/>
          <w:spacing w:val="-2"/>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захисту всіх</w:t>
      </w:r>
      <w:r w:rsidRPr="000977F7">
        <w:rPr>
          <w:rFonts w:asciiTheme="majorHAnsi" w:hAnsiTheme="majorHAnsi"/>
          <w:spacing w:val="-3"/>
          <w:sz w:val="20"/>
          <w:szCs w:val="20"/>
        </w:rPr>
        <w:t xml:space="preserve"> </w:t>
      </w:r>
      <w:r w:rsidRPr="000977F7">
        <w:rPr>
          <w:rFonts w:asciiTheme="majorHAnsi" w:hAnsiTheme="majorHAnsi"/>
          <w:sz w:val="20"/>
          <w:szCs w:val="20"/>
        </w:rPr>
        <w:t>реципієнтів</w:t>
      </w:r>
    </w:p>
    <w:p w14:paraId="76B559D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264519E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ПОЗАСИСТЕМНА ОДИНИЦЯ ФІЗИЧНОЇ </w:t>
      </w:r>
    </w:p>
    <w:p w14:paraId="43FE6ED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ВЕЛИЧИНИ</w:t>
      </w:r>
      <w:r w:rsidRPr="000977F7">
        <w:rPr>
          <w:color w:val="auto"/>
          <w:spacing w:val="1"/>
          <w:sz w:val="20"/>
          <w:szCs w:val="20"/>
        </w:rPr>
        <w:t xml:space="preserve"> </w:t>
      </w:r>
      <w:r w:rsidRPr="000977F7">
        <w:rPr>
          <w:color w:val="auto"/>
          <w:sz w:val="20"/>
          <w:szCs w:val="20"/>
        </w:rPr>
        <w:t>–</w:t>
      </w:r>
    </w:p>
    <w:p w14:paraId="12EEADA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OFF</w:t>
      </w:r>
      <w:r w:rsidRPr="000977F7">
        <w:rPr>
          <w:rFonts w:asciiTheme="majorHAnsi" w:hAnsiTheme="majorHAnsi"/>
          <w:spacing w:val="-2"/>
          <w:sz w:val="20"/>
          <w:szCs w:val="20"/>
        </w:rPr>
        <w:t xml:space="preserve"> </w:t>
      </w:r>
      <w:r w:rsidRPr="000977F7">
        <w:rPr>
          <w:rFonts w:asciiTheme="majorHAnsi" w:hAnsiTheme="majorHAnsi"/>
          <w:sz w:val="20"/>
          <w:szCs w:val="20"/>
        </w:rPr>
        <w:t>– SYSTEM</w:t>
      </w:r>
      <w:r w:rsidRPr="000977F7">
        <w:rPr>
          <w:rFonts w:asciiTheme="majorHAnsi" w:hAnsiTheme="majorHAnsi"/>
          <w:spacing w:val="-1"/>
          <w:sz w:val="20"/>
          <w:szCs w:val="20"/>
        </w:rPr>
        <w:t xml:space="preserve"> </w:t>
      </w:r>
      <w:r w:rsidRPr="000977F7">
        <w:rPr>
          <w:rFonts w:asciiTheme="majorHAnsi" w:hAnsiTheme="majorHAnsi"/>
          <w:sz w:val="20"/>
          <w:szCs w:val="20"/>
        </w:rPr>
        <w:t>UNIT –</w:t>
      </w:r>
    </w:p>
    <w:p w14:paraId="6988DC6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Одиниця</w:t>
      </w:r>
      <w:r w:rsidRPr="000977F7">
        <w:rPr>
          <w:rFonts w:asciiTheme="majorHAnsi" w:hAnsiTheme="majorHAnsi"/>
          <w:spacing w:val="2"/>
          <w:sz w:val="20"/>
          <w:szCs w:val="20"/>
        </w:rPr>
        <w:t xml:space="preserve"> </w:t>
      </w:r>
      <w:r w:rsidRPr="000977F7">
        <w:rPr>
          <w:rFonts w:asciiTheme="majorHAnsi" w:hAnsiTheme="majorHAnsi"/>
          <w:sz w:val="20"/>
          <w:szCs w:val="20"/>
        </w:rPr>
        <w:t>фізичної</w:t>
      </w:r>
      <w:r w:rsidRPr="000977F7">
        <w:rPr>
          <w:rFonts w:asciiTheme="majorHAnsi" w:hAnsiTheme="majorHAnsi"/>
          <w:spacing w:val="4"/>
          <w:sz w:val="20"/>
          <w:szCs w:val="20"/>
        </w:rPr>
        <w:t xml:space="preserve"> </w:t>
      </w:r>
      <w:r w:rsidRPr="000977F7">
        <w:rPr>
          <w:rFonts w:asciiTheme="majorHAnsi" w:hAnsiTheme="majorHAnsi"/>
          <w:sz w:val="20"/>
          <w:szCs w:val="20"/>
        </w:rPr>
        <w:t>величини,</w:t>
      </w:r>
      <w:r w:rsidRPr="000977F7">
        <w:rPr>
          <w:rFonts w:asciiTheme="majorHAnsi" w:hAnsiTheme="majorHAnsi"/>
          <w:spacing w:val="4"/>
          <w:sz w:val="20"/>
          <w:szCs w:val="20"/>
        </w:rPr>
        <w:t xml:space="preserve"> </w:t>
      </w:r>
      <w:r w:rsidRPr="000977F7">
        <w:rPr>
          <w:rFonts w:asciiTheme="majorHAnsi" w:hAnsiTheme="majorHAnsi"/>
          <w:sz w:val="20"/>
          <w:szCs w:val="20"/>
        </w:rPr>
        <w:t>що</w:t>
      </w:r>
      <w:r w:rsidRPr="000977F7">
        <w:rPr>
          <w:rFonts w:asciiTheme="majorHAnsi" w:hAnsiTheme="majorHAnsi"/>
          <w:spacing w:val="4"/>
          <w:sz w:val="20"/>
          <w:szCs w:val="20"/>
        </w:rPr>
        <w:t xml:space="preserve"> </w:t>
      </w:r>
      <w:r w:rsidRPr="000977F7">
        <w:rPr>
          <w:rFonts w:asciiTheme="majorHAnsi" w:hAnsiTheme="majorHAnsi"/>
          <w:sz w:val="20"/>
          <w:szCs w:val="20"/>
        </w:rPr>
        <w:t>не</w:t>
      </w:r>
      <w:r w:rsidRPr="000977F7">
        <w:rPr>
          <w:rFonts w:asciiTheme="majorHAnsi" w:hAnsiTheme="majorHAnsi"/>
          <w:spacing w:val="4"/>
          <w:sz w:val="20"/>
          <w:szCs w:val="20"/>
        </w:rPr>
        <w:t xml:space="preserve"> </w:t>
      </w:r>
      <w:r w:rsidRPr="000977F7">
        <w:rPr>
          <w:rFonts w:asciiTheme="majorHAnsi" w:hAnsiTheme="majorHAnsi"/>
          <w:sz w:val="20"/>
          <w:szCs w:val="20"/>
        </w:rPr>
        <w:t>належить</w:t>
      </w:r>
      <w:r w:rsidRPr="000977F7">
        <w:rPr>
          <w:rFonts w:asciiTheme="majorHAnsi" w:hAnsiTheme="majorHAnsi"/>
          <w:spacing w:val="6"/>
          <w:sz w:val="20"/>
          <w:szCs w:val="20"/>
        </w:rPr>
        <w:t xml:space="preserve"> </w:t>
      </w:r>
      <w:r w:rsidRPr="000977F7">
        <w:rPr>
          <w:rFonts w:asciiTheme="majorHAnsi" w:hAnsiTheme="majorHAnsi"/>
          <w:sz w:val="20"/>
          <w:szCs w:val="20"/>
        </w:rPr>
        <w:t>до</w:t>
      </w:r>
      <w:r w:rsidRPr="000977F7">
        <w:rPr>
          <w:rFonts w:asciiTheme="majorHAnsi" w:hAnsiTheme="majorHAnsi"/>
          <w:spacing w:val="4"/>
          <w:sz w:val="20"/>
          <w:szCs w:val="20"/>
        </w:rPr>
        <w:t xml:space="preserve"> </w:t>
      </w:r>
      <w:r w:rsidRPr="000977F7">
        <w:rPr>
          <w:rFonts w:asciiTheme="majorHAnsi" w:hAnsiTheme="majorHAnsi"/>
          <w:sz w:val="20"/>
          <w:szCs w:val="20"/>
        </w:rPr>
        <w:t>даної</w:t>
      </w:r>
      <w:r w:rsidRPr="000977F7">
        <w:rPr>
          <w:rFonts w:asciiTheme="majorHAnsi" w:hAnsiTheme="majorHAnsi"/>
          <w:spacing w:val="-47"/>
          <w:sz w:val="20"/>
          <w:szCs w:val="20"/>
        </w:rPr>
        <w:t xml:space="preserve"> </w:t>
      </w:r>
      <w:r w:rsidRPr="000977F7">
        <w:rPr>
          <w:rFonts w:asciiTheme="majorHAnsi" w:hAnsiTheme="majorHAnsi"/>
          <w:sz w:val="20"/>
          <w:szCs w:val="20"/>
        </w:rPr>
        <w:t>системи</w:t>
      </w:r>
      <w:r w:rsidRPr="000977F7">
        <w:rPr>
          <w:rFonts w:asciiTheme="majorHAnsi" w:hAnsiTheme="majorHAnsi"/>
          <w:spacing w:val="-2"/>
          <w:sz w:val="20"/>
          <w:szCs w:val="20"/>
        </w:rPr>
        <w:t xml:space="preserve"> </w:t>
      </w:r>
      <w:r w:rsidRPr="000977F7">
        <w:rPr>
          <w:rFonts w:asciiTheme="majorHAnsi" w:hAnsiTheme="majorHAnsi"/>
          <w:sz w:val="20"/>
          <w:szCs w:val="20"/>
        </w:rPr>
        <w:t>одиниць</w:t>
      </w:r>
    </w:p>
    <w:p w14:paraId="427D05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л</w:t>
      </w:r>
      <w:r w:rsidRPr="000977F7">
        <w:rPr>
          <w:rFonts w:asciiTheme="majorHAnsi" w:hAnsiTheme="majorHAnsi"/>
          <w:spacing w:val="-1"/>
          <w:sz w:val="20"/>
          <w:szCs w:val="20"/>
        </w:rPr>
        <w:t xml:space="preserve"> </w:t>
      </w:r>
      <w:r w:rsidRPr="000977F7">
        <w:rPr>
          <w:rFonts w:asciiTheme="majorHAnsi" w:hAnsiTheme="majorHAnsi"/>
          <w:sz w:val="20"/>
          <w:szCs w:val="20"/>
        </w:rPr>
        <w:t>а д</w:t>
      </w:r>
      <w:r w:rsidRPr="000977F7">
        <w:rPr>
          <w:rFonts w:asciiTheme="majorHAnsi" w:hAnsiTheme="majorHAnsi"/>
          <w:spacing w:val="-2"/>
          <w:sz w:val="20"/>
          <w:szCs w:val="20"/>
        </w:rPr>
        <w:t xml:space="preserve"> </w:t>
      </w:r>
      <w:r w:rsidRPr="000977F7">
        <w:rPr>
          <w:rFonts w:asciiTheme="majorHAnsi" w:hAnsiTheme="majorHAnsi"/>
          <w:sz w:val="20"/>
          <w:szCs w:val="20"/>
        </w:rPr>
        <w:t>и:</w:t>
      </w:r>
    </w:p>
    <w:p w14:paraId="514DEEFE" w14:textId="77777777" w:rsidR="0097612F" w:rsidRPr="000977F7" w:rsidRDefault="0097612F" w:rsidP="00FD39A4">
      <w:pPr>
        <w:pStyle w:val="ac"/>
        <w:widowControl w:val="0"/>
        <w:numPr>
          <w:ilvl w:val="0"/>
          <w:numId w:val="117"/>
        </w:numPr>
        <w:tabs>
          <w:tab w:val="left" w:pos="284"/>
          <w:tab w:val="left" w:pos="677"/>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Електрон-вольт</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3"/>
          <w:sz w:val="20"/>
          <w:szCs w:val="20"/>
        </w:rPr>
        <w:t xml:space="preserve"> </w:t>
      </w:r>
      <w:r w:rsidRPr="000977F7">
        <w:rPr>
          <w:rFonts w:asciiTheme="majorHAnsi" w:hAnsiTheme="majorHAnsi"/>
          <w:sz w:val="20"/>
          <w:szCs w:val="20"/>
        </w:rPr>
        <w:t>позасистемна</w:t>
      </w:r>
      <w:r w:rsidRPr="000977F7">
        <w:rPr>
          <w:rFonts w:asciiTheme="majorHAnsi" w:hAnsiTheme="majorHAnsi"/>
          <w:spacing w:val="1"/>
          <w:sz w:val="20"/>
          <w:szCs w:val="20"/>
        </w:rPr>
        <w:t xml:space="preserve"> </w:t>
      </w:r>
      <w:r w:rsidRPr="000977F7">
        <w:rPr>
          <w:rFonts w:asciiTheme="majorHAnsi" w:hAnsiTheme="majorHAnsi"/>
          <w:sz w:val="20"/>
          <w:szCs w:val="20"/>
        </w:rPr>
        <w:t>одиниця</w:t>
      </w:r>
      <w:r w:rsidRPr="000977F7">
        <w:rPr>
          <w:rFonts w:asciiTheme="majorHAnsi" w:hAnsiTheme="majorHAnsi"/>
          <w:spacing w:val="1"/>
          <w:sz w:val="20"/>
          <w:szCs w:val="20"/>
        </w:rPr>
        <w:t xml:space="preserve"> </w:t>
      </w:r>
      <w:r w:rsidRPr="000977F7">
        <w:rPr>
          <w:rFonts w:asciiTheme="majorHAnsi" w:hAnsiTheme="majorHAnsi"/>
          <w:sz w:val="20"/>
          <w:szCs w:val="20"/>
        </w:rPr>
        <w:t>енергії</w:t>
      </w:r>
      <w:r w:rsidRPr="000977F7">
        <w:rPr>
          <w:rFonts w:asciiTheme="majorHAnsi" w:hAnsiTheme="majorHAnsi"/>
          <w:spacing w:val="-47"/>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SI</w:t>
      </w:r>
    </w:p>
    <w:p w14:paraId="35D669A1" w14:textId="77777777" w:rsidR="0097612F" w:rsidRPr="000977F7" w:rsidRDefault="0097612F" w:rsidP="00FD39A4">
      <w:pPr>
        <w:pStyle w:val="ac"/>
        <w:widowControl w:val="0"/>
        <w:numPr>
          <w:ilvl w:val="0"/>
          <w:numId w:val="117"/>
        </w:numPr>
        <w:tabs>
          <w:tab w:val="left" w:pos="284"/>
          <w:tab w:val="left" w:pos="677"/>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Доба,</w:t>
      </w:r>
      <w:r w:rsidRPr="000977F7">
        <w:rPr>
          <w:rFonts w:asciiTheme="majorHAnsi" w:hAnsiTheme="majorHAnsi"/>
          <w:spacing w:val="41"/>
          <w:sz w:val="20"/>
          <w:szCs w:val="20"/>
        </w:rPr>
        <w:t xml:space="preserve"> </w:t>
      </w:r>
      <w:r w:rsidRPr="000977F7">
        <w:rPr>
          <w:rFonts w:asciiTheme="majorHAnsi" w:hAnsiTheme="majorHAnsi"/>
          <w:sz w:val="20"/>
          <w:szCs w:val="20"/>
        </w:rPr>
        <w:t>годинна,</w:t>
      </w:r>
      <w:r w:rsidRPr="000977F7">
        <w:rPr>
          <w:rFonts w:asciiTheme="majorHAnsi" w:hAnsiTheme="majorHAnsi"/>
          <w:spacing w:val="45"/>
          <w:sz w:val="20"/>
          <w:szCs w:val="20"/>
        </w:rPr>
        <w:t xml:space="preserve"> </w:t>
      </w:r>
      <w:r w:rsidRPr="000977F7">
        <w:rPr>
          <w:rFonts w:asciiTheme="majorHAnsi" w:hAnsiTheme="majorHAnsi"/>
          <w:sz w:val="20"/>
          <w:szCs w:val="20"/>
        </w:rPr>
        <w:t>хвилина</w:t>
      </w:r>
      <w:r w:rsidRPr="000977F7">
        <w:rPr>
          <w:rFonts w:asciiTheme="majorHAnsi" w:hAnsiTheme="majorHAnsi"/>
          <w:spacing w:val="44"/>
          <w:sz w:val="20"/>
          <w:szCs w:val="20"/>
        </w:rPr>
        <w:t xml:space="preserve"> </w:t>
      </w:r>
      <w:r w:rsidRPr="000977F7">
        <w:rPr>
          <w:rFonts w:asciiTheme="majorHAnsi" w:hAnsiTheme="majorHAnsi"/>
          <w:sz w:val="20"/>
          <w:szCs w:val="20"/>
        </w:rPr>
        <w:t>–</w:t>
      </w:r>
      <w:r w:rsidRPr="000977F7">
        <w:rPr>
          <w:rFonts w:asciiTheme="majorHAnsi" w:hAnsiTheme="majorHAnsi"/>
          <w:spacing w:val="44"/>
          <w:sz w:val="20"/>
          <w:szCs w:val="20"/>
        </w:rPr>
        <w:t xml:space="preserve"> </w:t>
      </w:r>
      <w:r w:rsidRPr="000977F7">
        <w:rPr>
          <w:rFonts w:asciiTheme="majorHAnsi" w:hAnsiTheme="majorHAnsi"/>
          <w:sz w:val="20"/>
          <w:szCs w:val="20"/>
        </w:rPr>
        <w:t>позасистемні</w:t>
      </w:r>
      <w:r w:rsidRPr="000977F7">
        <w:rPr>
          <w:rFonts w:asciiTheme="majorHAnsi" w:hAnsiTheme="majorHAnsi"/>
          <w:spacing w:val="41"/>
          <w:sz w:val="20"/>
          <w:szCs w:val="20"/>
        </w:rPr>
        <w:t xml:space="preserve"> </w:t>
      </w:r>
      <w:r w:rsidRPr="000977F7">
        <w:rPr>
          <w:rFonts w:asciiTheme="majorHAnsi" w:hAnsiTheme="majorHAnsi"/>
          <w:sz w:val="20"/>
          <w:szCs w:val="20"/>
        </w:rPr>
        <w:t>одиниці</w:t>
      </w:r>
      <w:r w:rsidRPr="000977F7">
        <w:rPr>
          <w:rFonts w:asciiTheme="majorHAnsi" w:hAnsiTheme="majorHAnsi"/>
          <w:spacing w:val="-47"/>
          <w:sz w:val="20"/>
          <w:szCs w:val="20"/>
        </w:rPr>
        <w:t xml:space="preserve"> </w:t>
      </w:r>
      <w:r w:rsidRPr="000977F7">
        <w:rPr>
          <w:rFonts w:asciiTheme="majorHAnsi" w:hAnsiTheme="majorHAnsi"/>
          <w:sz w:val="20"/>
          <w:szCs w:val="20"/>
        </w:rPr>
        <w:t>часу</w:t>
      </w:r>
      <w:r w:rsidRPr="000977F7">
        <w:rPr>
          <w:rFonts w:asciiTheme="majorHAnsi" w:hAnsiTheme="majorHAnsi"/>
          <w:spacing w:val="-5"/>
          <w:sz w:val="20"/>
          <w:szCs w:val="20"/>
        </w:rPr>
        <w:t xml:space="preserve"> </w:t>
      </w:r>
      <w:r w:rsidRPr="000977F7">
        <w:rPr>
          <w:rFonts w:asciiTheme="majorHAnsi" w:hAnsiTheme="majorHAnsi"/>
          <w:sz w:val="20"/>
          <w:szCs w:val="20"/>
        </w:rPr>
        <w:t>щодо системи</w:t>
      </w:r>
      <w:r w:rsidRPr="000977F7">
        <w:rPr>
          <w:rFonts w:asciiTheme="majorHAnsi" w:hAnsiTheme="majorHAnsi"/>
          <w:spacing w:val="1"/>
          <w:sz w:val="20"/>
          <w:szCs w:val="20"/>
        </w:rPr>
        <w:t xml:space="preserve"> </w:t>
      </w:r>
      <w:r w:rsidRPr="000977F7">
        <w:rPr>
          <w:rFonts w:asciiTheme="majorHAnsi" w:hAnsiTheme="majorHAnsi"/>
          <w:sz w:val="20"/>
          <w:szCs w:val="20"/>
        </w:rPr>
        <w:t>SI</w:t>
      </w:r>
    </w:p>
    <w:p w14:paraId="7D9F19C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BACF4C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ПОЗАЧЕРГОВА ПОВІРКА ЗАСОБІВ </w:t>
      </w:r>
    </w:p>
    <w:p w14:paraId="15368DE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ВИМІРЮ</w:t>
      </w:r>
      <w:r w:rsidRPr="000977F7">
        <w:rPr>
          <w:color w:val="auto"/>
          <w:spacing w:val="-47"/>
          <w:sz w:val="20"/>
          <w:szCs w:val="20"/>
        </w:rPr>
        <w:t xml:space="preserve"> </w:t>
      </w:r>
      <w:r w:rsidRPr="000977F7">
        <w:rPr>
          <w:color w:val="auto"/>
          <w:sz w:val="20"/>
          <w:szCs w:val="20"/>
        </w:rPr>
        <w:t>ВАЛЬНОЇ</w:t>
      </w:r>
      <w:r w:rsidRPr="000977F7">
        <w:rPr>
          <w:color w:val="auto"/>
          <w:spacing w:val="-2"/>
          <w:sz w:val="20"/>
          <w:szCs w:val="20"/>
        </w:rPr>
        <w:t xml:space="preserve"> </w:t>
      </w:r>
      <w:r w:rsidRPr="000977F7">
        <w:rPr>
          <w:color w:val="auto"/>
          <w:sz w:val="20"/>
          <w:szCs w:val="20"/>
        </w:rPr>
        <w:t>ТЕХНІКИ</w:t>
      </w:r>
      <w:r w:rsidRPr="000977F7">
        <w:rPr>
          <w:color w:val="auto"/>
          <w:spacing w:val="2"/>
          <w:sz w:val="20"/>
          <w:szCs w:val="20"/>
        </w:rPr>
        <w:t xml:space="preserve"> </w:t>
      </w:r>
      <w:r w:rsidRPr="000977F7">
        <w:rPr>
          <w:color w:val="auto"/>
          <w:sz w:val="20"/>
          <w:szCs w:val="20"/>
        </w:rPr>
        <w:t>–</w:t>
      </w:r>
    </w:p>
    <w:p w14:paraId="68EF493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Повірка засобів вимірювальної техніки, що виконується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терміну</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чергової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періодичної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повірки</w:t>
      </w:r>
    </w:p>
    <w:p w14:paraId="3ED96CF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 – 94</w:t>
      </w:r>
    </w:p>
    <w:p w14:paraId="36364EB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ПОЗИЦІЙНЕ</w:t>
      </w:r>
      <w:r w:rsidRPr="000977F7">
        <w:rPr>
          <w:color w:val="auto"/>
          <w:spacing w:val="-4"/>
          <w:sz w:val="20"/>
          <w:szCs w:val="20"/>
        </w:rPr>
        <w:t xml:space="preserve"> </w:t>
      </w:r>
      <w:r w:rsidRPr="000977F7">
        <w:rPr>
          <w:color w:val="auto"/>
          <w:sz w:val="20"/>
          <w:szCs w:val="20"/>
        </w:rPr>
        <w:t>ПОДАННЯ</w:t>
      </w:r>
      <w:r w:rsidRPr="000977F7">
        <w:rPr>
          <w:color w:val="auto"/>
          <w:spacing w:val="-3"/>
          <w:sz w:val="20"/>
          <w:szCs w:val="20"/>
        </w:rPr>
        <w:t xml:space="preserve"> </w:t>
      </w:r>
      <w:r w:rsidRPr="000977F7">
        <w:rPr>
          <w:color w:val="auto"/>
          <w:sz w:val="20"/>
          <w:szCs w:val="20"/>
        </w:rPr>
        <w:t>ДАНИХ –</w:t>
      </w:r>
    </w:p>
    <w:p w14:paraId="5C75CC0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DATA</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POSITION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REPRESENTATION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2E20AEF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Подання даних, що надає смисл як значенню кожного</w:t>
      </w:r>
      <w:r w:rsidRPr="000977F7">
        <w:rPr>
          <w:rFonts w:asciiTheme="majorHAnsi" w:hAnsiTheme="majorHAnsi"/>
          <w:spacing w:val="1"/>
          <w:sz w:val="20"/>
          <w:szCs w:val="20"/>
        </w:rPr>
        <w:t xml:space="preserve"> </w:t>
      </w:r>
      <w:r w:rsidRPr="000977F7">
        <w:rPr>
          <w:rFonts w:asciiTheme="majorHAnsi" w:hAnsiTheme="majorHAnsi"/>
          <w:sz w:val="20"/>
          <w:szCs w:val="20"/>
        </w:rPr>
        <w:t>символу, так і місцю (значущій позиції), яке він займає в</w:t>
      </w:r>
      <w:r w:rsidRPr="000977F7">
        <w:rPr>
          <w:rFonts w:asciiTheme="majorHAnsi" w:hAnsiTheme="majorHAnsi"/>
          <w:spacing w:val="-1"/>
          <w:sz w:val="20"/>
          <w:szCs w:val="20"/>
        </w:rPr>
        <w:t xml:space="preserve"> </w:t>
      </w:r>
      <w:r w:rsidRPr="000977F7">
        <w:rPr>
          <w:rFonts w:asciiTheme="majorHAnsi" w:hAnsiTheme="majorHAnsi"/>
          <w:sz w:val="20"/>
          <w:szCs w:val="20"/>
        </w:rPr>
        <w:t>ряді</w:t>
      </w:r>
      <w:r w:rsidRPr="000977F7">
        <w:rPr>
          <w:rFonts w:asciiTheme="majorHAnsi" w:hAnsiTheme="majorHAnsi"/>
          <w:spacing w:val="-2"/>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символів</w:t>
      </w:r>
      <w:r w:rsidRPr="000977F7">
        <w:rPr>
          <w:rFonts w:asciiTheme="majorHAnsi" w:hAnsiTheme="majorHAnsi"/>
          <w:spacing w:val="1"/>
          <w:sz w:val="20"/>
          <w:szCs w:val="20"/>
        </w:rPr>
        <w:t xml:space="preserve"> </w:t>
      </w:r>
      <w:r w:rsidRPr="000977F7">
        <w:rPr>
          <w:rFonts w:asciiTheme="majorHAnsi" w:hAnsiTheme="majorHAnsi"/>
          <w:sz w:val="20"/>
          <w:szCs w:val="20"/>
        </w:rPr>
        <w:t>повідомлення</w:t>
      </w:r>
    </w:p>
    <w:p w14:paraId="36E5EB3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 :</w:t>
      </w:r>
    </w:p>
    <w:p w14:paraId="2D7D658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Такий спосіб використовується, зокрема, для подання</w:t>
      </w:r>
      <w:r w:rsidRPr="000977F7">
        <w:rPr>
          <w:rFonts w:asciiTheme="majorHAnsi" w:hAnsiTheme="majorHAnsi"/>
          <w:spacing w:val="1"/>
          <w:sz w:val="20"/>
          <w:szCs w:val="20"/>
        </w:rPr>
        <w:t xml:space="preserve"> </w:t>
      </w:r>
      <w:r w:rsidRPr="000977F7">
        <w:rPr>
          <w:rFonts w:asciiTheme="majorHAnsi" w:hAnsiTheme="majorHAnsi"/>
          <w:sz w:val="20"/>
          <w:szCs w:val="20"/>
        </w:rPr>
        <w:t>цифрових</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абетково-цифрових</w:t>
      </w:r>
      <w:r w:rsidRPr="000977F7">
        <w:rPr>
          <w:rFonts w:asciiTheme="majorHAnsi" w:hAnsiTheme="majorHAnsi"/>
          <w:spacing w:val="1"/>
          <w:sz w:val="20"/>
          <w:szCs w:val="20"/>
        </w:rPr>
        <w:t xml:space="preserve"> </w:t>
      </w:r>
      <w:r w:rsidRPr="000977F7">
        <w:rPr>
          <w:rFonts w:asciiTheme="majorHAnsi" w:hAnsiTheme="majorHAnsi"/>
          <w:sz w:val="20"/>
          <w:szCs w:val="20"/>
        </w:rPr>
        <w:t>даних</w:t>
      </w:r>
    </w:p>
    <w:p w14:paraId="3EAC25D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3956</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2000</w:t>
      </w:r>
    </w:p>
    <w:p w14:paraId="6D34550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ПОЗИЦІЙНИЙ</w:t>
      </w:r>
      <w:r w:rsidRPr="000977F7">
        <w:rPr>
          <w:color w:val="auto"/>
          <w:spacing w:val="-3"/>
          <w:sz w:val="20"/>
          <w:szCs w:val="20"/>
        </w:rPr>
        <w:t xml:space="preserve"> </w:t>
      </w:r>
      <w:r w:rsidRPr="000977F7">
        <w:rPr>
          <w:color w:val="auto"/>
          <w:sz w:val="20"/>
          <w:szCs w:val="20"/>
        </w:rPr>
        <w:t>СИГНАЛ</w:t>
      </w:r>
      <w:r w:rsidRPr="000977F7">
        <w:rPr>
          <w:color w:val="auto"/>
          <w:spacing w:val="-3"/>
          <w:sz w:val="20"/>
          <w:szCs w:val="20"/>
        </w:rPr>
        <w:t xml:space="preserve"> </w:t>
      </w:r>
      <w:r w:rsidRPr="000977F7">
        <w:rPr>
          <w:color w:val="auto"/>
          <w:sz w:val="20"/>
          <w:szCs w:val="20"/>
        </w:rPr>
        <w:t>–</w:t>
      </w:r>
    </w:p>
    <w:p w14:paraId="0BAE3ED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POSITION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SIGNAL</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36AE77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Складений сигнал, у якому кожний</w:t>
      </w:r>
      <w:r w:rsidRPr="000977F7">
        <w:rPr>
          <w:rFonts w:asciiTheme="majorHAnsi" w:hAnsiTheme="majorHAnsi"/>
          <w:spacing w:val="1"/>
          <w:sz w:val="20"/>
          <w:szCs w:val="20"/>
        </w:rPr>
        <w:t xml:space="preserve"> </w:t>
      </w:r>
      <w:r w:rsidRPr="000977F7">
        <w:rPr>
          <w:rFonts w:asciiTheme="majorHAnsi" w:hAnsiTheme="majorHAnsi"/>
          <w:sz w:val="20"/>
          <w:szCs w:val="20"/>
        </w:rPr>
        <w:t>з дискретних сигналів, що його складають, ототожнюється з одним із</w:t>
      </w:r>
      <w:r w:rsidRPr="000977F7">
        <w:rPr>
          <w:rFonts w:asciiTheme="majorHAnsi" w:hAnsiTheme="majorHAnsi"/>
          <w:spacing w:val="1"/>
          <w:sz w:val="20"/>
          <w:szCs w:val="20"/>
        </w:rPr>
        <w:t xml:space="preserve"> </w:t>
      </w:r>
      <w:r w:rsidRPr="000977F7">
        <w:rPr>
          <w:rFonts w:asciiTheme="majorHAnsi" w:hAnsiTheme="majorHAnsi"/>
          <w:sz w:val="20"/>
          <w:szCs w:val="20"/>
        </w:rPr>
        <w:t>повідомлень дискретних даних, які пересилаються, а</w:t>
      </w:r>
      <w:r w:rsidRPr="000977F7">
        <w:rPr>
          <w:rFonts w:asciiTheme="majorHAnsi" w:hAnsiTheme="majorHAnsi"/>
          <w:spacing w:val="1"/>
          <w:sz w:val="20"/>
          <w:szCs w:val="20"/>
        </w:rPr>
        <w:t xml:space="preserve"> </w:t>
      </w:r>
      <w:r w:rsidRPr="000977F7">
        <w:rPr>
          <w:rFonts w:asciiTheme="majorHAnsi" w:hAnsiTheme="majorHAnsi"/>
          <w:sz w:val="20"/>
          <w:szCs w:val="20"/>
        </w:rPr>
        <w:t>значення його інформативного параметра – із елементом цього</w:t>
      </w:r>
      <w:r w:rsidRPr="000977F7">
        <w:rPr>
          <w:rFonts w:asciiTheme="majorHAnsi" w:hAnsiTheme="majorHAnsi"/>
          <w:spacing w:val="1"/>
          <w:sz w:val="20"/>
          <w:szCs w:val="20"/>
        </w:rPr>
        <w:t xml:space="preserve"> </w:t>
      </w:r>
      <w:r w:rsidRPr="000977F7">
        <w:rPr>
          <w:rFonts w:asciiTheme="majorHAnsi" w:hAnsiTheme="majorHAnsi"/>
          <w:sz w:val="20"/>
          <w:szCs w:val="20"/>
        </w:rPr>
        <w:t>повідомлення</w:t>
      </w:r>
    </w:p>
    <w:p w14:paraId="5E3DADE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7F4548F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ПОЗИЦІЮВАННЯ</w:t>
      </w:r>
      <w:r w:rsidRPr="000977F7">
        <w:rPr>
          <w:color w:val="auto"/>
          <w:spacing w:val="-4"/>
          <w:sz w:val="20"/>
          <w:szCs w:val="20"/>
        </w:rPr>
        <w:t xml:space="preserve"> </w:t>
      </w:r>
      <w:r w:rsidRPr="000977F7">
        <w:rPr>
          <w:color w:val="auto"/>
          <w:sz w:val="20"/>
          <w:szCs w:val="20"/>
        </w:rPr>
        <w:t>ПРОДУКЦІЇ</w:t>
      </w:r>
      <w:r w:rsidRPr="000977F7">
        <w:rPr>
          <w:color w:val="auto"/>
          <w:spacing w:val="-5"/>
          <w:sz w:val="20"/>
          <w:szCs w:val="20"/>
        </w:rPr>
        <w:t xml:space="preserve"> </w:t>
      </w:r>
      <w:r w:rsidRPr="000977F7">
        <w:rPr>
          <w:color w:val="auto"/>
          <w:sz w:val="20"/>
          <w:szCs w:val="20"/>
        </w:rPr>
        <w:t>НА</w:t>
      </w:r>
      <w:r w:rsidRPr="000977F7">
        <w:rPr>
          <w:color w:val="auto"/>
          <w:spacing w:val="-3"/>
          <w:sz w:val="20"/>
          <w:szCs w:val="20"/>
        </w:rPr>
        <w:t xml:space="preserve"> </w:t>
      </w:r>
      <w:r w:rsidRPr="000977F7">
        <w:rPr>
          <w:color w:val="auto"/>
          <w:sz w:val="20"/>
          <w:szCs w:val="20"/>
        </w:rPr>
        <w:t>РИНКУ –</w:t>
      </w:r>
    </w:p>
    <w:p w14:paraId="200D01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Дії, спрямовані на забезпечення продукції конкурентоспроможного стану на ринку і розроблення відповідного комплексу</w:t>
      </w:r>
      <w:r w:rsidRPr="000977F7">
        <w:rPr>
          <w:rFonts w:asciiTheme="majorHAnsi" w:hAnsiTheme="majorHAnsi"/>
          <w:spacing w:val="-4"/>
          <w:sz w:val="20"/>
          <w:szCs w:val="20"/>
        </w:rPr>
        <w:t xml:space="preserve"> </w:t>
      </w:r>
      <w:r w:rsidRPr="000977F7">
        <w:rPr>
          <w:rFonts w:asciiTheme="majorHAnsi" w:hAnsiTheme="majorHAnsi"/>
          <w:sz w:val="20"/>
          <w:szCs w:val="20"/>
        </w:rPr>
        <w:t>маркетингу</w:t>
      </w:r>
    </w:p>
    <w:p w14:paraId="2E032AB7" w14:textId="77777777" w:rsidR="0097612F" w:rsidRPr="000977F7" w:rsidRDefault="0097612F" w:rsidP="000977F7">
      <w:pPr>
        <w:pStyle w:val="af6"/>
        <w:tabs>
          <w:tab w:val="left" w:pos="284"/>
        </w:tabs>
        <w:spacing w:after="0"/>
        <w:ind w:left="170"/>
        <w:mirrorIndents/>
        <w:jc w:val="both"/>
        <w:rPr>
          <w:rFonts w:asciiTheme="majorHAnsi" w:hAnsiTheme="majorHAnsi"/>
          <w:i/>
          <w:spacing w:val="-47"/>
          <w:sz w:val="20"/>
          <w:szCs w:val="20"/>
        </w:rPr>
      </w:pPr>
      <w:r w:rsidRPr="000977F7">
        <w:rPr>
          <w:rFonts w:asciiTheme="majorHAnsi" w:hAnsiTheme="majorHAnsi"/>
          <w:i/>
          <w:sz w:val="20"/>
          <w:szCs w:val="20"/>
        </w:rPr>
        <w:t>ДСТУ 3294 – 95</w:t>
      </w:r>
    </w:p>
    <w:p w14:paraId="4A8A8A0B" w14:textId="77777777" w:rsidR="0097612F" w:rsidRPr="000977F7" w:rsidRDefault="0097612F" w:rsidP="000977F7">
      <w:pPr>
        <w:pStyle w:val="af6"/>
        <w:tabs>
          <w:tab w:val="left" w:pos="284"/>
        </w:tabs>
        <w:spacing w:after="0"/>
        <w:ind w:left="170"/>
        <w:mirrorIndents/>
        <w:jc w:val="both"/>
        <w:rPr>
          <w:rFonts w:asciiTheme="majorHAnsi" w:hAnsiTheme="majorHAnsi"/>
          <w:b/>
          <w:spacing w:val="1"/>
          <w:sz w:val="20"/>
          <w:szCs w:val="20"/>
        </w:rPr>
      </w:pPr>
      <w:r w:rsidRPr="000977F7">
        <w:rPr>
          <w:rFonts w:asciiTheme="majorHAnsi" w:hAnsiTheme="majorHAnsi"/>
          <w:b/>
          <w:sz w:val="20"/>
          <w:szCs w:val="20"/>
        </w:rPr>
        <w:t>ПОЗИЦІЯ –</w:t>
      </w:r>
      <w:r w:rsidRPr="000977F7">
        <w:rPr>
          <w:rFonts w:asciiTheme="majorHAnsi" w:hAnsiTheme="majorHAnsi"/>
          <w:b/>
          <w:spacing w:val="1"/>
          <w:sz w:val="20"/>
          <w:szCs w:val="20"/>
        </w:rPr>
        <w:t xml:space="preserve"> </w:t>
      </w:r>
    </w:p>
    <w:p w14:paraId="3FDEA07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POSITІON –</w:t>
      </w:r>
    </w:p>
    <w:p w14:paraId="5ABFA2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Фіксоване положення, яке займає закріплена заготовка чи складальна одиниця разом із пристроєм відносно</w:t>
      </w:r>
      <w:r w:rsidRPr="000977F7">
        <w:rPr>
          <w:rFonts w:asciiTheme="majorHAnsi" w:hAnsiTheme="majorHAnsi"/>
          <w:spacing w:val="1"/>
          <w:sz w:val="20"/>
          <w:szCs w:val="20"/>
        </w:rPr>
        <w:t xml:space="preserve"> </w:t>
      </w:r>
      <w:r w:rsidRPr="000977F7">
        <w:rPr>
          <w:rFonts w:asciiTheme="majorHAnsi" w:hAnsiTheme="majorHAnsi"/>
          <w:sz w:val="20"/>
          <w:szCs w:val="20"/>
        </w:rPr>
        <w:t>інструменту</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нерухомої</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r w:rsidRPr="000977F7">
        <w:rPr>
          <w:rFonts w:asciiTheme="majorHAnsi" w:hAnsiTheme="majorHAnsi"/>
          <w:spacing w:val="1"/>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47"/>
          <w:sz w:val="20"/>
          <w:szCs w:val="20"/>
        </w:rPr>
        <w:t xml:space="preserve"> </w:t>
      </w:r>
      <w:r w:rsidRPr="000977F7">
        <w:rPr>
          <w:rFonts w:asciiTheme="majorHAnsi" w:hAnsiTheme="majorHAnsi"/>
          <w:sz w:val="20"/>
          <w:szCs w:val="20"/>
        </w:rPr>
        <w:t>при</w:t>
      </w:r>
      <w:r w:rsidRPr="000977F7">
        <w:rPr>
          <w:rFonts w:asciiTheme="majorHAnsi" w:hAnsiTheme="majorHAnsi"/>
          <w:spacing w:val="-2"/>
          <w:sz w:val="20"/>
          <w:szCs w:val="20"/>
        </w:rPr>
        <w:t xml:space="preserve"> </w:t>
      </w:r>
      <w:r w:rsidRPr="000977F7">
        <w:rPr>
          <w:rFonts w:asciiTheme="majorHAnsi" w:hAnsiTheme="majorHAnsi"/>
          <w:sz w:val="20"/>
          <w:szCs w:val="20"/>
        </w:rPr>
        <w:t>виконанні</w:t>
      </w:r>
      <w:r w:rsidRPr="000977F7">
        <w:rPr>
          <w:rFonts w:asciiTheme="majorHAnsi" w:hAnsiTheme="majorHAnsi"/>
          <w:spacing w:val="-2"/>
          <w:sz w:val="20"/>
          <w:szCs w:val="20"/>
        </w:rPr>
        <w:t xml:space="preserve"> </w:t>
      </w:r>
      <w:r w:rsidRPr="000977F7">
        <w:rPr>
          <w:rFonts w:asciiTheme="majorHAnsi" w:hAnsiTheme="majorHAnsi"/>
          <w:sz w:val="20"/>
          <w:szCs w:val="20"/>
        </w:rPr>
        <w:t>певної</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r w:rsidRPr="000977F7">
        <w:rPr>
          <w:rFonts w:asciiTheme="majorHAnsi" w:hAnsiTheme="majorHAnsi"/>
          <w:spacing w:val="-2"/>
          <w:sz w:val="20"/>
          <w:szCs w:val="20"/>
        </w:rPr>
        <w:t xml:space="preserve"> </w:t>
      </w:r>
      <w:r w:rsidRPr="000977F7">
        <w:rPr>
          <w:rFonts w:asciiTheme="majorHAnsi" w:hAnsiTheme="majorHAnsi"/>
          <w:sz w:val="20"/>
          <w:szCs w:val="20"/>
        </w:rPr>
        <w:t>операції</w:t>
      </w:r>
    </w:p>
    <w:p w14:paraId="04D329D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33F9F12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ПОЗНАЧЕННЯ</w:t>
      </w:r>
      <w:r w:rsidRPr="000977F7">
        <w:rPr>
          <w:color w:val="auto"/>
          <w:spacing w:val="-7"/>
          <w:sz w:val="20"/>
          <w:szCs w:val="20"/>
        </w:rPr>
        <w:t xml:space="preserve"> </w:t>
      </w:r>
      <w:r w:rsidRPr="000977F7">
        <w:rPr>
          <w:color w:val="auto"/>
          <w:sz w:val="20"/>
          <w:szCs w:val="20"/>
        </w:rPr>
        <w:t>ОДИНИЦІ</w:t>
      </w:r>
      <w:r w:rsidRPr="000977F7">
        <w:rPr>
          <w:color w:val="auto"/>
          <w:spacing w:val="-8"/>
          <w:sz w:val="20"/>
          <w:szCs w:val="20"/>
        </w:rPr>
        <w:t xml:space="preserve"> </w:t>
      </w:r>
      <w:r w:rsidRPr="000977F7">
        <w:rPr>
          <w:color w:val="auto"/>
          <w:sz w:val="20"/>
          <w:szCs w:val="20"/>
        </w:rPr>
        <w:t>ФІЗИЧНОЇ</w:t>
      </w:r>
      <w:r w:rsidRPr="000977F7">
        <w:rPr>
          <w:color w:val="auto"/>
          <w:spacing w:val="-47"/>
          <w:sz w:val="20"/>
          <w:szCs w:val="20"/>
        </w:rPr>
        <w:t xml:space="preserve"> </w:t>
      </w:r>
      <w:r w:rsidRPr="000977F7">
        <w:rPr>
          <w:color w:val="auto"/>
          <w:sz w:val="20"/>
          <w:szCs w:val="20"/>
        </w:rPr>
        <w:t>ВЕЛИЧИНИ</w:t>
      </w:r>
      <w:r w:rsidRPr="000977F7">
        <w:rPr>
          <w:color w:val="auto"/>
          <w:spacing w:val="1"/>
          <w:sz w:val="20"/>
          <w:szCs w:val="20"/>
        </w:rPr>
        <w:t xml:space="preserve"> </w:t>
      </w:r>
      <w:r w:rsidRPr="000977F7">
        <w:rPr>
          <w:color w:val="auto"/>
          <w:sz w:val="20"/>
          <w:szCs w:val="20"/>
        </w:rPr>
        <w:t>–</w:t>
      </w:r>
    </w:p>
    <w:p w14:paraId="16A463C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SYMBOL</w:t>
      </w:r>
      <w:r w:rsidRPr="004D2D14">
        <w:rPr>
          <w:rFonts w:asciiTheme="majorHAnsi" w:hAnsiTheme="majorHAnsi"/>
          <w:spacing w:val="-3"/>
          <w:sz w:val="20"/>
          <w:szCs w:val="20"/>
          <w:lang w:val="uk-UA"/>
        </w:rPr>
        <w:t xml:space="preserve"> </w:t>
      </w:r>
      <w:r w:rsidRPr="000977F7">
        <w:rPr>
          <w:rFonts w:asciiTheme="majorHAnsi" w:hAnsiTheme="majorHAnsi"/>
          <w:sz w:val="20"/>
          <w:szCs w:val="20"/>
        </w:rPr>
        <w:t>OF</w:t>
      </w:r>
      <w:r w:rsidRPr="004D2D14">
        <w:rPr>
          <w:rFonts w:asciiTheme="majorHAnsi" w:hAnsiTheme="majorHAnsi"/>
          <w:spacing w:val="1"/>
          <w:sz w:val="20"/>
          <w:szCs w:val="20"/>
          <w:lang w:val="uk-UA"/>
        </w:rPr>
        <w:t xml:space="preserve"> </w:t>
      </w:r>
      <w:r w:rsidRPr="000977F7">
        <w:rPr>
          <w:rFonts w:asciiTheme="majorHAnsi" w:hAnsiTheme="majorHAnsi"/>
          <w:sz w:val="20"/>
          <w:szCs w:val="20"/>
        </w:rPr>
        <w:t>A</w:t>
      </w:r>
      <w:r w:rsidRPr="004D2D14">
        <w:rPr>
          <w:rFonts w:asciiTheme="majorHAnsi" w:hAnsiTheme="majorHAnsi"/>
          <w:spacing w:val="-2"/>
          <w:sz w:val="20"/>
          <w:szCs w:val="20"/>
          <w:lang w:val="uk-UA"/>
        </w:rPr>
        <w:t xml:space="preserve"> </w:t>
      </w:r>
      <w:r w:rsidRPr="000977F7">
        <w:rPr>
          <w:rFonts w:asciiTheme="majorHAnsi" w:hAnsiTheme="majorHAnsi"/>
          <w:sz w:val="20"/>
          <w:szCs w:val="20"/>
        </w:rPr>
        <w:t>UNIT</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p>
    <w:p w14:paraId="3B943BCE" w14:textId="77777777" w:rsidR="0097612F" w:rsidRPr="004D2D14" w:rsidRDefault="0097612F" w:rsidP="000977F7">
      <w:pPr>
        <w:pStyle w:val="af6"/>
        <w:tabs>
          <w:tab w:val="left" w:pos="284"/>
        </w:tabs>
        <w:spacing w:after="0"/>
        <w:ind w:left="170"/>
        <w:mirrorIndents/>
        <w:jc w:val="both"/>
        <w:rPr>
          <w:rFonts w:asciiTheme="majorHAnsi" w:hAnsiTheme="majorHAnsi"/>
          <w:spacing w:val="-47"/>
          <w:sz w:val="20"/>
          <w:szCs w:val="20"/>
          <w:lang w:val="uk-UA"/>
        </w:rPr>
      </w:pPr>
      <w:r w:rsidRPr="004D2D14">
        <w:rPr>
          <w:rFonts w:asciiTheme="majorHAnsi" w:hAnsiTheme="majorHAnsi"/>
          <w:sz w:val="20"/>
          <w:szCs w:val="20"/>
          <w:lang w:val="uk-UA"/>
        </w:rPr>
        <w:t>Умовний</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символ</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одиниці</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фізичної</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величини</w:t>
      </w:r>
      <w:r w:rsidRPr="004D2D14">
        <w:rPr>
          <w:rFonts w:asciiTheme="majorHAnsi" w:hAnsiTheme="majorHAnsi"/>
          <w:spacing w:val="-47"/>
          <w:sz w:val="20"/>
          <w:szCs w:val="20"/>
          <w:lang w:val="uk-UA"/>
        </w:rPr>
        <w:t xml:space="preserve"> </w:t>
      </w:r>
    </w:p>
    <w:p w14:paraId="40C733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л</w:t>
      </w:r>
      <w:r w:rsidRPr="000977F7">
        <w:rPr>
          <w:rFonts w:asciiTheme="majorHAnsi" w:hAnsiTheme="majorHAnsi"/>
          <w:spacing w:val="-1"/>
          <w:sz w:val="20"/>
          <w:szCs w:val="20"/>
        </w:rPr>
        <w:t xml:space="preserve"> </w:t>
      </w:r>
      <w:r w:rsidRPr="000977F7">
        <w:rPr>
          <w:rFonts w:asciiTheme="majorHAnsi" w:hAnsiTheme="majorHAnsi"/>
          <w:sz w:val="20"/>
          <w:szCs w:val="20"/>
        </w:rPr>
        <w:t>а д</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350A5558" w14:textId="77777777" w:rsidR="0097612F" w:rsidRPr="000977F7" w:rsidRDefault="0097612F" w:rsidP="00FD39A4">
      <w:pPr>
        <w:pStyle w:val="ac"/>
        <w:widowControl w:val="0"/>
        <w:numPr>
          <w:ilvl w:val="1"/>
          <w:numId w:val="117"/>
        </w:numPr>
        <w:tabs>
          <w:tab w:val="left" w:pos="284"/>
          <w:tab w:val="left" w:pos="800"/>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m</w:t>
      </w:r>
      <w:r w:rsidRPr="000977F7">
        <w:rPr>
          <w:rFonts w:asciiTheme="majorHAnsi" w:hAnsiTheme="majorHAnsi"/>
          <w:spacing w:val="-5"/>
          <w:sz w:val="20"/>
          <w:szCs w:val="20"/>
        </w:rPr>
        <w:t xml:space="preserve"> </w:t>
      </w:r>
      <w:r w:rsidRPr="000977F7">
        <w:rPr>
          <w:rFonts w:asciiTheme="majorHAnsi" w:hAnsiTheme="majorHAnsi"/>
          <w:sz w:val="20"/>
          <w:szCs w:val="20"/>
        </w:rPr>
        <w:t>–</w:t>
      </w:r>
      <w:r w:rsidRPr="000977F7">
        <w:rPr>
          <w:rFonts w:asciiTheme="majorHAnsi" w:hAnsiTheme="majorHAnsi"/>
          <w:spacing w:val="-2"/>
          <w:sz w:val="20"/>
          <w:szCs w:val="20"/>
        </w:rPr>
        <w:t xml:space="preserve"> </w:t>
      </w:r>
      <w:r w:rsidRPr="000977F7">
        <w:rPr>
          <w:rFonts w:asciiTheme="majorHAnsi" w:hAnsiTheme="majorHAnsi"/>
          <w:sz w:val="20"/>
          <w:szCs w:val="20"/>
        </w:rPr>
        <w:t>позначення</w:t>
      </w:r>
      <w:r w:rsidRPr="000977F7">
        <w:rPr>
          <w:rFonts w:asciiTheme="majorHAnsi" w:hAnsiTheme="majorHAnsi"/>
          <w:spacing w:val="-4"/>
          <w:sz w:val="20"/>
          <w:szCs w:val="20"/>
        </w:rPr>
        <w:t xml:space="preserve"> </w:t>
      </w:r>
      <w:r w:rsidRPr="000977F7">
        <w:rPr>
          <w:rFonts w:asciiTheme="majorHAnsi" w:hAnsiTheme="majorHAnsi"/>
          <w:sz w:val="20"/>
          <w:szCs w:val="20"/>
        </w:rPr>
        <w:t>метра;</w:t>
      </w:r>
    </w:p>
    <w:p w14:paraId="6878F3A6" w14:textId="77777777" w:rsidR="0097612F" w:rsidRPr="000977F7" w:rsidRDefault="0097612F" w:rsidP="00FD39A4">
      <w:pPr>
        <w:pStyle w:val="ac"/>
        <w:widowControl w:val="0"/>
        <w:numPr>
          <w:ilvl w:val="1"/>
          <w:numId w:val="117"/>
        </w:numPr>
        <w:tabs>
          <w:tab w:val="left" w:pos="284"/>
          <w:tab w:val="left" w:pos="800"/>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V</w:t>
      </w:r>
      <w:r w:rsidRPr="000977F7">
        <w:rPr>
          <w:rFonts w:asciiTheme="majorHAnsi" w:hAnsiTheme="majorHAnsi"/>
          <w:spacing w:val="-4"/>
          <w:sz w:val="20"/>
          <w:szCs w:val="20"/>
        </w:rPr>
        <w:t xml:space="preserve"> </w:t>
      </w:r>
      <w:r w:rsidRPr="000977F7">
        <w:rPr>
          <w:rFonts w:asciiTheme="majorHAnsi" w:hAnsiTheme="majorHAnsi"/>
          <w:sz w:val="20"/>
          <w:szCs w:val="20"/>
        </w:rPr>
        <w:t>–</w:t>
      </w:r>
      <w:r w:rsidRPr="000977F7">
        <w:rPr>
          <w:rFonts w:asciiTheme="majorHAnsi" w:hAnsiTheme="majorHAnsi"/>
          <w:spacing w:val="-2"/>
          <w:sz w:val="20"/>
          <w:szCs w:val="20"/>
        </w:rPr>
        <w:t xml:space="preserve"> </w:t>
      </w:r>
      <w:r w:rsidRPr="000977F7">
        <w:rPr>
          <w:rFonts w:asciiTheme="majorHAnsi" w:hAnsiTheme="majorHAnsi"/>
          <w:sz w:val="20"/>
          <w:szCs w:val="20"/>
        </w:rPr>
        <w:t>позначення</w:t>
      </w:r>
      <w:r w:rsidRPr="000977F7">
        <w:rPr>
          <w:rFonts w:asciiTheme="majorHAnsi" w:hAnsiTheme="majorHAnsi"/>
          <w:spacing w:val="-5"/>
          <w:sz w:val="20"/>
          <w:szCs w:val="20"/>
        </w:rPr>
        <w:t xml:space="preserve"> </w:t>
      </w:r>
      <w:r w:rsidRPr="000977F7">
        <w:rPr>
          <w:rFonts w:asciiTheme="majorHAnsi" w:hAnsiTheme="majorHAnsi"/>
          <w:sz w:val="20"/>
          <w:szCs w:val="20"/>
        </w:rPr>
        <w:t>вольта</w:t>
      </w:r>
    </w:p>
    <w:p w14:paraId="0328099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2058B8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b/>
          <w:sz w:val="20"/>
          <w:szCs w:val="20"/>
        </w:rPr>
        <w:t>ПОЗНАЧКА</w:t>
      </w:r>
      <w:r w:rsidRPr="000977F7">
        <w:rPr>
          <w:rFonts w:asciiTheme="majorHAnsi" w:hAnsiTheme="majorHAnsi"/>
          <w:b/>
          <w:spacing w:val="-7"/>
          <w:sz w:val="20"/>
          <w:szCs w:val="20"/>
        </w:rPr>
        <w:t xml:space="preserve"> </w:t>
      </w:r>
      <w:r w:rsidRPr="000977F7">
        <w:rPr>
          <w:rFonts w:asciiTheme="majorHAnsi" w:hAnsiTheme="majorHAnsi"/>
          <w:b/>
          <w:sz w:val="20"/>
          <w:szCs w:val="20"/>
        </w:rPr>
        <w:t>ШКАЛИ</w:t>
      </w:r>
      <w:r w:rsidRPr="000977F7">
        <w:rPr>
          <w:rFonts w:asciiTheme="majorHAnsi" w:hAnsiTheme="majorHAnsi"/>
          <w:b/>
          <w:spacing w:val="-3"/>
          <w:sz w:val="20"/>
          <w:szCs w:val="20"/>
        </w:rPr>
        <w:t xml:space="preserve"> </w:t>
      </w:r>
      <w:r w:rsidRPr="000977F7">
        <w:rPr>
          <w:rFonts w:asciiTheme="majorHAnsi" w:hAnsiTheme="majorHAnsi"/>
          <w:i/>
          <w:sz w:val="20"/>
          <w:szCs w:val="20"/>
        </w:rPr>
        <w:t>–</w:t>
      </w:r>
    </w:p>
    <w:p w14:paraId="19C5819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47"/>
          <w:sz w:val="20"/>
          <w:szCs w:val="20"/>
        </w:rPr>
        <w:t xml:space="preserve"> </w:t>
      </w:r>
      <w:r w:rsidRPr="000977F7">
        <w:rPr>
          <w:rFonts w:asciiTheme="majorHAnsi" w:hAnsiTheme="majorHAnsi"/>
          <w:iCs/>
          <w:sz w:val="20"/>
          <w:szCs w:val="20"/>
        </w:rPr>
        <w:t>SCALE</w:t>
      </w:r>
      <w:r w:rsidRPr="000977F7">
        <w:rPr>
          <w:rFonts w:asciiTheme="majorHAnsi" w:hAnsiTheme="majorHAnsi"/>
          <w:iCs/>
          <w:spacing w:val="-1"/>
          <w:sz w:val="20"/>
          <w:szCs w:val="20"/>
        </w:rPr>
        <w:t xml:space="preserve"> </w:t>
      </w:r>
      <w:r w:rsidRPr="000977F7">
        <w:rPr>
          <w:rFonts w:asciiTheme="majorHAnsi" w:hAnsiTheme="majorHAnsi"/>
          <w:iCs/>
          <w:sz w:val="20"/>
          <w:szCs w:val="20"/>
        </w:rPr>
        <w:t>MARK –</w:t>
      </w:r>
    </w:p>
    <w:p w14:paraId="4908A73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Риска</w:t>
      </w:r>
      <w:r w:rsidRPr="000977F7">
        <w:rPr>
          <w:rFonts w:asciiTheme="majorHAnsi" w:hAnsiTheme="majorHAnsi"/>
          <w:spacing w:val="22"/>
          <w:sz w:val="20"/>
          <w:szCs w:val="20"/>
        </w:rPr>
        <w:t xml:space="preserve"> </w:t>
      </w:r>
      <w:r w:rsidRPr="000977F7">
        <w:rPr>
          <w:rFonts w:asciiTheme="majorHAnsi" w:hAnsiTheme="majorHAnsi"/>
          <w:sz w:val="20"/>
          <w:szCs w:val="20"/>
        </w:rPr>
        <w:t>або</w:t>
      </w:r>
      <w:r w:rsidRPr="000977F7">
        <w:rPr>
          <w:rFonts w:asciiTheme="majorHAnsi" w:hAnsiTheme="majorHAnsi"/>
          <w:spacing w:val="23"/>
          <w:sz w:val="20"/>
          <w:szCs w:val="20"/>
        </w:rPr>
        <w:t xml:space="preserve"> </w:t>
      </w:r>
      <w:r w:rsidRPr="000977F7">
        <w:rPr>
          <w:rFonts w:asciiTheme="majorHAnsi" w:hAnsiTheme="majorHAnsi"/>
          <w:sz w:val="20"/>
          <w:szCs w:val="20"/>
        </w:rPr>
        <w:t>інший</w:t>
      </w:r>
      <w:r w:rsidRPr="000977F7">
        <w:rPr>
          <w:rFonts w:asciiTheme="majorHAnsi" w:hAnsiTheme="majorHAnsi"/>
          <w:spacing w:val="23"/>
          <w:sz w:val="20"/>
          <w:szCs w:val="20"/>
        </w:rPr>
        <w:t xml:space="preserve"> </w:t>
      </w:r>
      <w:r w:rsidRPr="000977F7">
        <w:rPr>
          <w:rFonts w:asciiTheme="majorHAnsi" w:hAnsiTheme="majorHAnsi"/>
          <w:sz w:val="20"/>
          <w:szCs w:val="20"/>
        </w:rPr>
        <w:t>знак</w:t>
      </w:r>
      <w:r w:rsidRPr="000977F7">
        <w:rPr>
          <w:rFonts w:asciiTheme="majorHAnsi" w:hAnsiTheme="majorHAnsi"/>
          <w:spacing w:val="24"/>
          <w:sz w:val="20"/>
          <w:szCs w:val="20"/>
        </w:rPr>
        <w:t xml:space="preserve"> </w:t>
      </w:r>
      <w:r w:rsidRPr="000977F7">
        <w:rPr>
          <w:rFonts w:asciiTheme="majorHAnsi" w:hAnsiTheme="majorHAnsi"/>
          <w:sz w:val="20"/>
          <w:szCs w:val="20"/>
        </w:rPr>
        <w:t>на</w:t>
      </w:r>
      <w:r w:rsidRPr="000977F7">
        <w:rPr>
          <w:rFonts w:asciiTheme="majorHAnsi" w:hAnsiTheme="majorHAnsi"/>
          <w:spacing w:val="22"/>
          <w:sz w:val="20"/>
          <w:szCs w:val="20"/>
        </w:rPr>
        <w:t xml:space="preserve"> </w:t>
      </w:r>
      <w:r w:rsidRPr="000977F7">
        <w:rPr>
          <w:rFonts w:asciiTheme="majorHAnsi" w:hAnsiTheme="majorHAnsi"/>
          <w:sz w:val="20"/>
          <w:szCs w:val="20"/>
        </w:rPr>
        <w:t>шкалі,</w:t>
      </w:r>
      <w:r w:rsidRPr="000977F7">
        <w:rPr>
          <w:rFonts w:asciiTheme="majorHAnsi" w:hAnsiTheme="majorHAnsi"/>
          <w:spacing w:val="26"/>
          <w:sz w:val="20"/>
          <w:szCs w:val="20"/>
        </w:rPr>
        <w:t xml:space="preserve"> </w:t>
      </w:r>
      <w:r w:rsidRPr="000977F7">
        <w:rPr>
          <w:rFonts w:asciiTheme="majorHAnsi" w:hAnsiTheme="majorHAnsi"/>
          <w:sz w:val="20"/>
          <w:szCs w:val="20"/>
        </w:rPr>
        <w:t>що</w:t>
      </w:r>
      <w:r w:rsidRPr="000977F7">
        <w:rPr>
          <w:rFonts w:asciiTheme="majorHAnsi" w:hAnsiTheme="majorHAnsi"/>
          <w:spacing w:val="23"/>
          <w:sz w:val="20"/>
          <w:szCs w:val="20"/>
        </w:rPr>
        <w:t xml:space="preserve"> </w:t>
      </w:r>
      <w:r w:rsidRPr="000977F7">
        <w:rPr>
          <w:rFonts w:asciiTheme="majorHAnsi" w:hAnsiTheme="majorHAnsi"/>
          <w:sz w:val="20"/>
          <w:szCs w:val="20"/>
        </w:rPr>
        <w:t>відповідають</w:t>
      </w:r>
      <w:r w:rsidRPr="000977F7">
        <w:rPr>
          <w:rFonts w:asciiTheme="majorHAnsi" w:hAnsiTheme="majorHAnsi"/>
          <w:spacing w:val="25"/>
          <w:sz w:val="20"/>
          <w:szCs w:val="20"/>
        </w:rPr>
        <w:t xml:space="preserve"> </w:t>
      </w:r>
      <w:r w:rsidRPr="000977F7">
        <w:rPr>
          <w:rFonts w:asciiTheme="majorHAnsi" w:hAnsiTheme="majorHAnsi"/>
          <w:sz w:val="20"/>
          <w:szCs w:val="20"/>
        </w:rPr>
        <w:t>одному або декільком значенням вимірюваної величини</w:t>
      </w:r>
    </w:p>
    <w:p w14:paraId="6C04A9E5"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spacing w:val="1"/>
          <w:sz w:val="20"/>
          <w:szCs w:val="20"/>
        </w:rPr>
        <w:t xml:space="preserve"> </w:t>
      </w: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09F6B52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ПОКАЗ</w:t>
      </w:r>
      <w:r w:rsidRPr="000977F7">
        <w:rPr>
          <w:color w:val="auto"/>
          <w:spacing w:val="-4"/>
          <w:sz w:val="20"/>
          <w:szCs w:val="20"/>
        </w:rPr>
        <w:t xml:space="preserve"> </w:t>
      </w:r>
      <w:r w:rsidRPr="000977F7">
        <w:rPr>
          <w:color w:val="auto"/>
          <w:sz w:val="20"/>
          <w:szCs w:val="20"/>
        </w:rPr>
        <w:t>ЗАСОБУ</w:t>
      </w:r>
      <w:r w:rsidRPr="000977F7">
        <w:rPr>
          <w:color w:val="auto"/>
          <w:spacing w:val="-4"/>
          <w:sz w:val="20"/>
          <w:szCs w:val="20"/>
        </w:rPr>
        <w:t xml:space="preserve"> </w:t>
      </w:r>
      <w:r w:rsidRPr="000977F7">
        <w:rPr>
          <w:color w:val="auto"/>
          <w:sz w:val="20"/>
          <w:szCs w:val="20"/>
        </w:rPr>
        <w:t>ВИМІРЮВАНЬ</w:t>
      </w:r>
      <w:r w:rsidRPr="000977F7">
        <w:rPr>
          <w:color w:val="auto"/>
          <w:spacing w:val="-2"/>
          <w:sz w:val="20"/>
          <w:szCs w:val="20"/>
        </w:rPr>
        <w:t xml:space="preserve"> </w:t>
      </w:r>
      <w:r w:rsidRPr="000977F7">
        <w:rPr>
          <w:color w:val="auto"/>
          <w:sz w:val="20"/>
          <w:szCs w:val="20"/>
        </w:rPr>
        <w:t>–</w:t>
      </w:r>
    </w:p>
    <w:p w14:paraId="588F34B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INDICATION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MEASURING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INSTRUMENT</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w:t>
      </w:r>
    </w:p>
    <w:p w14:paraId="08E60A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 вимірюваної величини, створене</w:t>
      </w:r>
      <w:r w:rsidRPr="000977F7">
        <w:rPr>
          <w:rFonts w:asciiTheme="majorHAnsi" w:hAnsiTheme="majorHAnsi"/>
          <w:spacing w:val="1"/>
          <w:sz w:val="20"/>
          <w:szCs w:val="20"/>
        </w:rPr>
        <w:t xml:space="preserve"> </w:t>
      </w:r>
      <w:r w:rsidRPr="000977F7">
        <w:rPr>
          <w:rFonts w:asciiTheme="majorHAnsi" w:hAnsiTheme="majorHAnsi"/>
          <w:sz w:val="20"/>
          <w:szCs w:val="20"/>
        </w:rPr>
        <w:t>за допомогою засобу вимірювань та подане сигналом вимірювальної</w:t>
      </w:r>
      <w:r w:rsidRPr="000977F7">
        <w:rPr>
          <w:rFonts w:asciiTheme="majorHAnsi" w:hAnsiTheme="majorHAnsi"/>
          <w:spacing w:val="-2"/>
          <w:sz w:val="20"/>
          <w:szCs w:val="20"/>
        </w:rPr>
        <w:t xml:space="preserve"> </w:t>
      </w:r>
      <w:r w:rsidRPr="000977F7">
        <w:rPr>
          <w:rFonts w:asciiTheme="majorHAnsi" w:hAnsiTheme="majorHAnsi"/>
          <w:sz w:val="20"/>
          <w:szCs w:val="20"/>
        </w:rPr>
        <w:t>інформації</w:t>
      </w:r>
    </w:p>
    <w:p w14:paraId="7C3833E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132C2D4A"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ПОКАЗНА</w:t>
      </w:r>
      <w:r w:rsidRPr="004D2D14">
        <w:rPr>
          <w:rFonts w:asciiTheme="majorHAnsi" w:hAnsiTheme="majorHAnsi"/>
          <w:b/>
          <w:sz w:val="20"/>
          <w:szCs w:val="20"/>
          <w:lang w:val="en-US"/>
        </w:rPr>
        <w:t xml:space="preserve"> </w:t>
      </w:r>
      <w:r w:rsidRPr="000977F7">
        <w:rPr>
          <w:rFonts w:asciiTheme="majorHAnsi" w:hAnsiTheme="majorHAnsi"/>
          <w:b/>
          <w:sz w:val="20"/>
          <w:szCs w:val="20"/>
        </w:rPr>
        <w:t>ВИБІРКА</w:t>
      </w:r>
      <w:r w:rsidRPr="004D2D14">
        <w:rPr>
          <w:rFonts w:asciiTheme="majorHAnsi" w:hAnsiTheme="majorHAnsi"/>
          <w:b/>
          <w:sz w:val="20"/>
          <w:szCs w:val="20"/>
          <w:lang w:val="en-US"/>
        </w:rPr>
        <w:t xml:space="preserve"> (</w:t>
      </w:r>
      <w:r w:rsidRPr="000977F7">
        <w:rPr>
          <w:rFonts w:asciiTheme="majorHAnsi" w:hAnsiTheme="majorHAnsi"/>
          <w:b/>
          <w:sz w:val="20"/>
          <w:szCs w:val="20"/>
        </w:rPr>
        <w:t>ПРОБА</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REPRESENTATIVE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SAMPLE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20D239D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Вибірка</w:t>
      </w:r>
      <w:r w:rsidRPr="000977F7">
        <w:rPr>
          <w:rFonts w:asciiTheme="majorHAnsi" w:hAnsiTheme="majorHAnsi"/>
          <w:spacing w:val="1"/>
          <w:sz w:val="20"/>
          <w:szCs w:val="20"/>
        </w:rPr>
        <w:t xml:space="preserve"> </w:t>
      </w:r>
      <w:r w:rsidRPr="000977F7">
        <w:rPr>
          <w:rFonts w:asciiTheme="majorHAnsi" w:hAnsiTheme="majorHAnsi"/>
          <w:sz w:val="20"/>
          <w:szCs w:val="20"/>
        </w:rPr>
        <w:t>(проба), яка в достатній мірі відображає властивості</w:t>
      </w:r>
      <w:r w:rsidRPr="000977F7">
        <w:rPr>
          <w:rFonts w:asciiTheme="majorHAnsi" w:hAnsiTheme="majorHAnsi"/>
          <w:spacing w:val="-2"/>
          <w:sz w:val="20"/>
          <w:szCs w:val="20"/>
        </w:rPr>
        <w:t xml:space="preserve"> </w:t>
      </w:r>
      <w:r w:rsidRPr="000977F7">
        <w:rPr>
          <w:rFonts w:asciiTheme="majorHAnsi" w:hAnsiTheme="majorHAnsi"/>
          <w:sz w:val="20"/>
          <w:szCs w:val="20"/>
        </w:rPr>
        <w:t>цієї</w:t>
      </w:r>
      <w:r w:rsidRPr="000977F7">
        <w:rPr>
          <w:rFonts w:asciiTheme="majorHAnsi" w:hAnsiTheme="majorHAnsi"/>
          <w:spacing w:val="-1"/>
          <w:sz w:val="20"/>
          <w:szCs w:val="20"/>
        </w:rPr>
        <w:t xml:space="preserve"> </w:t>
      </w:r>
      <w:r w:rsidRPr="000977F7">
        <w:rPr>
          <w:rFonts w:asciiTheme="majorHAnsi" w:hAnsiTheme="majorHAnsi"/>
          <w:sz w:val="20"/>
          <w:szCs w:val="20"/>
        </w:rPr>
        <w:t>сукупності</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цілому</w:t>
      </w:r>
    </w:p>
    <w:p w14:paraId="3C01AB4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2715534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ПОКАЗНИК</w:t>
      </w:r>
      <w:r w:rsidRPr="000977F7">
        <w:rPr>
          <w:color w:val="auto"/>
          <w:spacing w:val="-6"/>
          <w:sz w:val="20"/>
          <w:szCs w:val="20"/>
        </w:rPr>
        <w:t xml:space="preserve"> </w:t>
      </w:r>
      <w:r w:rsidRPr="000977F7">
        <w:rPr>
          <w:color w:val="auto"/>
          <w:sz w:val="20"/>
          <w:szCs w:val="20"/>
        </w:rPr>
        <w:t>БЕЗПЕЧНОСТІ</w:t>
      </w:r>
      <w:r w:rsidRPr="000977F7">
        <w:rPr>
          <w:color w:val="auto"/>
          <w:spacing w:val="-4"/>
          <w:sz w:val="20"/>
          <w:szCs w:val="20"/>
        </w:rPr>
        <w:t xml:space="preserve"> </w:t>
      </w:r>
      <w:r w:rsidRPr="000977F7">
        <w:rPr>
          <w:color w:val="auto"/>
          <w:sz w:val="20"/>
          <w:szCs w:val="20"/>
        </w:rPr>
        <w:t>—</w:t>
      </w:r>
    </w:p>
    <w:p w14:paraId="7829C9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Кількісна характеристика однієї або декількох властивостей,</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визначають</w:t>
      </w:r>
      <w:r w:rsidRPr="000977F7">
        <w:rPr>
          <w:rFonts w:asciiTheme="majorHAnsi" w:hAnsiTheme="majorHAnsi"/>
          <w:spacing w:val="1"/>
          <w:sz w:val="20"/>
          <w:szCs w:val="20"/>
        </w:rPr>
        <w:t xml:space="preserve"> </w:t>
      </w:r>
      <w:r w:rsidRPr="000977F7">
        <w:rPr>
          <w:rFonts w:asciiTheme="majorHAnsi" w:hAnsiTheme="majorHAnsi"/>
          <w:sz w:val="20"/>
          <w:szCs w:val="20"/>
        </w:rPr>
        <w:t>безпечність</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залежно</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потенційної</w:t>
      </w:r>
      <w:r w:rsidRPr="000977F7">
        <w:rPr>
          <w:rFonts w:asciiTheme="majorHAnsi" w:hAnsiTheme="majorHAnsi"/>
          <w:spacing w:val="1"/>
          <w:sz w:val="20"/>
          <w:szCs w:val="20"/>
        </w:rPr>
        <w:t xml:space="preserve"> </w:t>
      </w:r>
      <w:r w:rsidRPr="000977F7">
        <w:rPr>
          <w:rFonts w:asciiTheme="majorHAnsi" w:hAnsiTheme="majorHAnsi"/>
          <w:sz w:val="20"/>
          <w:szCs w:val="20"/>
        </w:rPr>
        <w:t>небезпеки</w:t>
      </w:r>
      <w:r w:rsidRPr="000977F7">
        <w:rPr>
          <w:rFonts w:asciiTheme="majorHAnsi" w:hAnsiTheme="majorHAnsi"/>
          <w:spacing w:val="1"/>
          <w:sz w:val="20"/>
          <w:szCs w:val="20"/>
        </w:rPr>
        <w:t xml:space="preserve"> </w:t>
      </w:r>
      <w:r w:rsidRPr="000977F7">
        <w:rPr>
          <w:rFonts w:asciiTheme="majorHAnsi" w:hAnsiTheme="majorHAnsi"/>
          <w:sz w:val="20"/>
          <w:szCs w:val="20"/>
        </w:rPr>
        <w:t>наявних</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регіоні</w:t>
      </w:r>
      <w:r w:rsidRPr="000977F7">
        <w:rPr>
          <w:rFonts w:asciiTheme="majorHAnsi" w:hAnsiTheme="majorHAnsi"/>
          <w:spacing w:val="-2"/>
          <w:sz w:val="20"/>
          <w:szCs w:val="20"/>
        </w:rPr>
        <w:t xml:space="preserve"> </w:t>
      </w:r>
      <w:r w:rsidRPr="000977F7">
        <w:rPr>
          <w:rFonts w:asciiTheme="majorHAnsi" w:hAnsiTheme="majorHAnsi"/>
          <w:sz w:val="20"/>
          <w:szCs w:val="20"/>
        </w:rPr>
        <w:t>об'єктів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специфіки</w:t>
      </w:r>
      <w:r w:rsidRPr="000977F7">
        <w:rPr>
          <w:rFonts w:asciiTheme="majorHAnsi" w:hAnsiTheme="majorHAnsi"/>
          <w:spacing w:val="-1"/>
          <w:sz w:val="20"/>
          <w:szCs w:val="20"/>
        </w:rPr>
        <w:t xml:space="preserve"> </w:t>
      </w:r>
      <w:r w:rsidRPr="000977F7">
        <w:rPr>
          <w:rFonts w:asciiTheme="majorHAnsi" w:hAnsiTheme="majorHAnsi"/>
          <w:sz w:val="20"/>
          <w:szCs w:val="20"/>
        </w:rPr>
        <w:t>реципієнтів</w:t>
      </w:r>
    </w:p>
    <w:p w14:paraId="7619938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4E3CA92F" w14:textId="77777777" w:rsidR="0097612F" w:rsidRPr="000977F7" w:rsidRDefault="0097612F" w:rsidP="00FD39A4">
      <w:pPr>
        <w:pStyle w:val="ac"/>
        <w:widowControl w:val="0"/>
        <w:numPr>
          <w:ilvl w:val="0"/>
          <w:numId w:val="116"/>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Залежно від реципієнта окремі показники безпечності</w:t>
      </w:r>
      <w:r w:rsidRPr="000977F7">
        <w:rPr>
          <w:rFonts w:asciiTheme="majorHAnsi" w:hAnsiTheme="majorHAnsi"/>
          <w:spacing w:val="1"/>
          <w:sz w:val="20"/>
          <w:szCs w:val="20"/>
        </w:rPr>
        <w:t xml:space="preserve"> </w:t>
      </w:r>
      <w:r w:rsidRPr="000977F7">
        <w:rPr>
          <w:rFonts w:asciiTheme="majorHAnsi" w:hAnsiTheme="majorHAnsi"/>
          <w:sz w:val="20"/>
          <w:szCs w:val="20"/>
        </w:rPr>
        <w:t>промислових</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 можуть</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характеризувати його безпечність щодо виробничого персоналу, населення регіону та навколишнього середовища</w:t>
      </w:r>
    </w:p>
    <w:p w14:paraId="08334A84" w14:textId="77777777" w:rsidR="0097612F" w:rsidRPr="000977F7" w:rsidRDefault="0097612F" w:rsidP="00FD39A4">
      <w:pPr>
        <w:pStyle w:val="ac"/>
        <w:widowControl w:val="0"/>
        <w:numPr>
          <w:ilvl w:val="0"/>
          <w:numId w:val="116"/>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Показник безпеки кількісно характеризує ступінь,</w:t>
      </w:r>
      <w:r w:rsidRPr="000977F7">
        <w:rPr>
          <w:rFonts w:asciiTheme="majorHAnsi" w:hAnsiTheme="majorHAnsi"/>
          <w:spacing w:val="-47"/>
          <w:sz w:val="20"/>
          <w:szCs w:val="20"/>
        </w:rPr>
        <w:t xml:space="preserve"> </w:t>
      </w:r>
      <w:r w:rsidRPr="000977F7">
        <w:rPr>
          <w:rFonts w:asciiTheme="majorHAnsi" w:hAnsiTheme="majorHAnsi"/>
          <w:sz w:val="20"/>
          <w:szCs w:val="20"/>
        </w:rPr>
        <w:t>у якому конкретному промисловому підприємству</w:t>
      </w:r>
      <w:r w:rsidRPr="000977F7">
        <w:rPr>
          <w:rFonts w:asciiTheme="majorHAnsi" w:hAnsiTheme="majorHAnsi"/>
          <w:spacing w:val="1"/>
          <w:sz w:val="20"/>
          <w:szCs w:val="20"/>
        </w:rPr>
        <w:t xml:space="preserve"> </w:t>
      </w:r>
      <w:r w:rsidRPr="000977F7">
        <w:rPr>
          <w:rFonts w:asciiTheme="majorHAnsi" w:hAnsiTheme="majorHAnsi"/>
          <w:sz w:val="20"/>
          <w:szCs w:val="20"/>
        </w:rPr>
        <w:t>притаманні</w:t>
      </w:r>
      <w:r w:rsidRPr="000977F7">
        <w:rPr>
          <w:rFonts w:asciiTheme="majorHAnsi" w:hAnsiTheme="majorHAnsi"/>
          <w:spacing w:val="1"/>
          <w:sz w:val="20"/>
          <w:szCs w:val="20"/>
        </w:rPr>
        <w:t xml:space="preserve"> </w:t>
      </w:r>
      <w:r w:rsidRPr="000977F7">
        <w:rPr>
          <w:rFonts w:asciiTheme="majorHAnsi" w:hAnsiTheme="majorHAnsi"/>
          <w:sz w:val="20"/>
          <w:szCs w:val="20"/>
        </w:rPr>
        <w:t>певні</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властивості,</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обумовлюють</w:t>
      </w:r>
      <w:r w:rsidRPr="000977F7">
        <w:rPr>
          <w:rFonts w:asciiTheme="majorHAnsi" w:hAnsiTheme="majorHAnsi"/>
          <w:spacing w:val="1"/>
          <w:sz w:val="20"/>
          <w:szCs w:val="20"/>
        </w:rPr>
        <w:t xml:space="preserve"> </w:t>
      </w:r>
      <w:r w:rsidRPr="000977F7">
        <w:rPr>
          <w:rFonts w:asciiTheme="majorHAnsi" w:hAnsiTheme="majorHAnsi"/>
          <w:sz w:val="20"/>
          <w:szCs w:val="20"/>
        </w:rPr>
        <w:t>його безпечність</w:t>
      </w:r>
    </w:p>
    <w:p w14:paraId="32BE66A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Так, показниками безпечності підприємства щодо</w:t>
      </w:r>
      <w:r w:rsidRPr="000977F7">
        <w:rPr>
          <w:rFonts w:asciiTheme="majorHAnsi" w:hAnsiTheme="majorHAnsi"/>
          <w:spacing w:val="1"/>
          <w:sz w:val="20"/>
          <w:szCs w:val="20"/>
        </w:rPr>
        <w:t xml:space="preserve"> </w:t>
      </w:r>
      <w:r w:rsidRPr="000977F7">
        <w:rPr>
          <w:rFonts w:asciiTheme="majorHAnsi" w:hAnsiTheme="majorHAnsi"/>
          <w:sz w:val="20"/>
          <w:szCs w:val="20"/>
        </w:rPr>
        <w:t>виробничого персоналу можуть бути вірогідність роботи технологічного устаткування, час спрацьовування захисних пристроїв, електрична міцність ізоляції і</w:t>
      </w:r>
      <w:r w:rsidRPr="000977F7">
        <w:rPr>
          <w:rFonts w:asciiTheme="majorHAnsi" w:hAnsiTheme="majorHAnsi"/>
          <w:spacing w:val="1"/>
          <w:sz w:val="20"/>
          <w:szCs w:val="20"/>
        </w:rPr>
        <w:t xml:space="preserve"> </w:t>
      </w:r>
      <w:r w:rsidRPr="000977F7">
        <w:rPr>
          <w:rFonts w:asciiTheme="majorHAnsi" w:hAnsiTheme="majorHAnsi"/>
          <w:sz w:val="20"/>
          <w:szCs w:val="20"/>
        </w:rPr>
        <w:t>струмопровідних частин, з якими можливий мимовільний контакт</w:t>
      </w:r>
      <w:r w:rsidRPr="000977F7">
        <w:rPr>
          <w:rFonts w:asciiTheme="majorHAnsi" w:hAnsiTheme="majorHAnsi"/>
          <w:spacing w:val="-1"/>
          <w:sz w:val="20"/>
          <w:szCs w:val="20"/>
        </w:rPr>
        <w:t xml:space="preserve"> </w:t>
      </w:r>
      <w:r w:rsidRPr="000977F7">
        <w:rPr>
          <w:rFonts w:asciiTheme="majorHAnsi" w:hAnsiTheme="majorHAnsi"/>
          <w:sz w:val="20"/>
          <w:szCs w:val="20"/>
        </w:rPr>
        <w:t>робітників.</w:t>
      </w:r>
    </w:p>
    <w:p w14:paraId="4D74A6B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 екологічних показників безпечності промислового</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віднесені</w:t>
      </w:r>
      <w:r w:rsidRPr="000977F7">
        <w:rPr>
          <w:rFonts w:asciiTheme="majorHAnsi" w:hAnsiTheme="majorHAnsi"/>
          <w:spacing w:val="1"/>
          <w:sz w:val="20"/>
          <w:szCs w:val="20"/>
        </w:rPr>
        <w:t xml:space="preserve"> </w:t>
      </w:r>
      <w:r w:rsidRPr="000977F7">
        <w:rPr>
          <w:rFonts w:asciiTheme="majorHAnsi" w:hAnsiTheme="majorHAnsi"/>
          <w:sz w:val="20"/>
          <w:szCs w:val="20"/>
        </w:rPr>
        <w:t>такі,</w:t>
      </w:r>
      <w:r w:rsidRPr="000977F7">
        <w:rPr>
          <w:rFonts w:asciiTheme="majorHAnsi" w:hAnsiTheme="majorHAnsi"/>
          <w:spacing w:val="50"/>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вміст шкідливих домішок, що викидаються в навколишнє середовище, шкідливих часток, газів, випромінювань</w:t>
      </w:r>
      <w:r w:rsidRPr="000977F7">
        <w:rPr>
          <w:rFonts w:asciiTheme="majorHAnsi" w:hAnsiTheme="majorHAnsi"/>
          <w:spacing w:val="9"/>
          <w:sz w:val="20"/>
          <w:szCs w:val="20"/>
        </w:rPr>
        <w:t xml:space="preserve"> </w:t>
      </w:r>
      <w:r w:rsidRPr="000977F7">
        <w:rPr>
          <w:rFonts w:asciiTheme="majorHAnsi" w:hAnsiTheme="majorHAnsi"/>
          <w:sz w:val="20"/>
          <w:szCs w:val="20"/>
        </w:rPr>
        <w:t>під</w:t>
      </w:r>
      <w:r w:rsidRPr="000977F7">
        <w:rPr>
          <w:rFonts w:asciiTheme="majorHAnsi" w:hAnsiTheme="majorHAnsi"/>
          <w:spacing w:val="8"/>
          <w:sz w:val="20"/>
          <w:szCs w:val="20"/>
        </w:rPr>
        <w:t xml:space="preserve"> </w:t>
      </w:r>
      <w:r w:rsidRPr="000977F7">
        <w:rPr>
          <w:rFonts w:asciiTheme="majorHAnsi" w:hAnsiTheme="majorHAnsi"/>
          <w:sz w:val="20"/>
          <w:szCs w:val="20"/>
        </w:rPr>
        <w:t>час</w:t>
      </w:r>
      <w:r w:rsidRPr="000977F7">
        <w:rPr>
          <w:rFonts w:asciiTheme="majorHAnsi" w:hAnsiTheme="majorHAnsi"/>
          <w:spacing w:val="7"/>
          <w:sz w:val="20"/>
          <w:szCs w:val="20"/>
        </w:rPr>
        <w:t xml:space="preserve"> </w:t>
      </w:r>
      <w:r w:rsidRPr="000977F7">
        <w:rPr>
          <w:rFonts w:asciiTheme="majorHAnsi" w:hAnsiTheme="majorHAnsi"/>
          <w:sz w:val="20"/>
          <w:szCs w:val="20"/>
        </w:rPr>
        <w:t>зберігання,</w:t>
      </w:r>
      <w:r w:rsidRPr="000977F7">
        <w:rPr>
          <w:rFonts w:asciiTheme="majorHAnsi" w:hAnsiTheme="majorHAnsi"/>
          <w:spacing w:val="10"/>
          <w:sz w:val="20"/>
          <w:szCs w:val="20"/>
        </w:rPr>
        <w:t xml:space="preserve"> </w:t>
      </w:r>
      <w:r w:rsidRPr="000977F7">
        <w:rPr>
          <w:rFonts w:asciiTheme="majorHAnsi" w:hAnsiTheme="majorHAnsi"/>
          <w:sz w:val="20"/>
          <w:szCs w:val="20"/>
        </w:rPr>
        <w:t>транспортування,</w:t>
      </w:r>
      <w:r w:rsidRPr="000977F7">
        <w:rPr>
          <w:rFonts w:asciiTheme="majorHAnsi" w:hAnsiTheme="majorHAnsi"/>
          <w:spacing w:val="6"/>
          <w:sz w:val="20"/>
          <w:szCs w:val="20"/>
        </w:rPr>
        <w:t xml:space="preserve"> </w:t>
      </w:r>
      <w:r w:rsidRPr="000977F7">
        <w:rPr>
          <w:rFonts w:asciiTheme="majorHAnsi" w:hAnsiTheme="majorHAnsi"/>
          <w:sz w:val="20"/>
          <w:szCs w:val="20"/>
        </w:rPr>
        <w:t>експлуатації або споживання продукції промислового підприємства.</w:t>
      </w:r>
    </w:p>
    <w:p w14:paraId="0F2CFE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Показник</w:t>
      </w:r>
      <w:r w:rsidRPr="000977F7">
        <w:rPr>
          <w:rFonts w:asciiTheme="majorHAnsi" w:hAnsiTheme="majorHAnsi"/>
          <w:spacing w:val="1"/>
          <w:sz w:val="20"/>
          <w:szCs w:val="20"/>
        </w:rPr>
        <w:t xml:space="preserve"> </w:t>
      </w:r>
      <w:r w:rsidRPr="000977F7">
        <w:rPr>
          <w:rFonts w:asciiTheme="majorHAnsi" w:hAnsiTheme="majorHAnsi"/>
          <w:sz w:val="20"/>
          <w:szCs w:val="20"/>
        </w:rPr>
        <w:t>безпечності</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мати</w:t>
      </w:r>
      <w:r w:rsidRPr="000977F7">
        <w:rPr>
          <w:rFonts w:asciiTheme="majorHAnsi" w:hAnsiTheme="majorHAnsi"/>
          <w:spacing w:val="1"/>
          <w:sz w:val="20"/>
          <w:szCs w:val="20"/>
        </w:rPr>
        <w:t xml:space="preserve"> </w:t>
      </w:r>
      <w:r w:rsidRPr="000977F7">
        <w:rPr>
          <w:rFonts w:asciiTheme="majorHAnsi" w:hAnsiTheme="majorHAnsi"/>
          <w:sz w:val="20"/>
          <w:szCs w:val="20"/>
        </w:rPr>
        <w:t>вимірність</w:t>
      </w:r>
      <w:r w:rsidRPr="000977F7">
        <w:rPr>
          <w:rFonts w:asciiTheme="majorHAnsi" w:hAnsiTheme="majorHAnsi"/>
          <w:spacing w:val="1"/>
          <w:sz w:val="20"/>
          <w:szCs w:val="20"/>
        </w:rPr>
        <w:t xml:space="preserve"> </w:t>
      </w:r>
      <w:r w:rsidRPr="000977F7">
        <w:rPr>
          <w:rFonts w:asciiTheme="majorHAnsi" w:hAnsiTheme="majorHAnsi"/>
          <w:sz w:val="20"/>
          <w:szCs w:val="20"/>
        </w:rPr>
        <w:t>(наприклад, вміст шкідливих домішок, що викидаються в</w:t>
      </w:r>
      <w:r w:rsidRPr="000977F7">
        <w:rPr>
          <w:rFonts w:asciiTheme="majorHAnsi" w:hAnsiTheme="majorHAnsi"/>
          <w:spacing w:val="-47"/>
          <w:sz w:val="20"/>
          <w:szCs w:val="20"/>
        </w:rPr>
        <w:t xml:space="preserve"> </w:t>
      </w:r>
      <w:r w:rsidRPr="000977F7">
        <w:rPr>
          <w:rFonts w:asciiTheme="majorHAnsi" w:hAnsiTheme="majorHAnsi"/>
          <w:sz w:val="20"/>
          <w:szCs w:val="20"/>
        </w:rPr>
        <w:t>навколишнє середовище) або не мати її (наприклад,</w:t>
      </w:r>
      <w:r w:rsidRPr="000977F7">
        <w:rPr>
          <w:rFonts w:asciiTheme="majorHAnsi" w:hAnsiTheme="majorHAnsi"/>
          <w:spacing w:val="1"/>
          <w:sz w:val="20"/>
          <w:szCs w:val="20"/>
        </w:rPr>
        <w:t xml:space="preserve"> </w:t>
      </w:r>
      <w:r w:rsidRPr="000977F7">
        <w:rPr>
          <w:rFonts w:asciiTheme="majorHAnsi" w:hAnsiTheme="majorHAnsi"/>
          <w:sz w:val="20"/>
          <w:szCs w:val="20"/>
        </w:rPr>
        <w:t>вірогідність</w:t>
      </w:r>
      <w:r w:rsidRPr="000977F7">
        <w:rPr>
          <w:rFonts w:asciiTheme="majorHAnsi" w:hAnsiTheme="majorHAnsi"/>
          <w:spacing w:val="1"/>
          <w:sz w:val="20"/>
          <w:szCs w:val="20"/>
        </w:rPr>
        <w:t xml:space="preserve"> </w:t>
      </w:r>
      <w:r w:rsidRPr="000977F7">
        <w:rPr>
          <w:rFonts w:asciiTheme="majorHAnsi" w:hAnsiTheme="majorHAnsi"/>
          <w:sz w:val="20"/>
          <w:szCs w:val="20"/>
        </w:rPr>
        <w:t>безвідмовної</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устаткування)</w:t>
      </w:r>
    </w:p>
    <w:p w14:paraId="4C3787B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095D51E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ПОКАЗНИК</w:t>
      </w:r>
      <w:r w:rsidRPr="000977F7">
        <w:rPr>
          <w:color w:val="auto"/>
          <w:spacing w:val="1"/>
          <w:sz w:val="20"/>
          <w:szCs w:val="20"/>
        </w:rPr>
        <w:t xml:space="preserve"> </w:t>
      </w:r>
      <w:r w:rsidRPr="000977F7">
        <w:rPr>
          <w:color w:val="auto"/>
          <w:sz w:val="20"/>
          <w:szCs w:val="20"/>
        </w:rPr>
        <w:t>БЕЗПЕКИ</w:t>
      </w:r>
      <w:r w:rsidRPr="000977F7">
        <w:rPr>
          <w:color w:val="auto"/>
          <w:spacing w:val="1"/>
          <w:sz w:val="20"/>
          <w:szCs w:val="20"/>
        </w:rPr>
        <w:t xml:space="preserve"> </w:t>
      </w:r>
      <w:r w:rsidRPr="000977F7">
        <w:rPr>
          <w:color w:val="auto"/>
          <w:sz w:val="20"/>
          <w:szCs w:val="20"/>
        </w:rPr>
        <w:t xml:space="preserve">ПРАЦІВНИКІВ </w:t>
      </w:r>
    </w:p>
    <w:p w14:paraId="5C1B615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(НАСЕЛЕННЯ</w:t>
      </w:r>
      <w:r w:rsidRPr="000977F7">
        <w:rPr>
          <w:color w:val="auto"/>
          <w:spacing w:val="-1"/>
          <w:sz w:val="20"/>
          <w:szCs w:val="20"/>
        </w:rPr>
        <w:t xml:space="preserve"> </w:t>
      </w:r>
      <w:r w:rsidRPr="000977F7">
        <w:rPr>
          <w:color w:val="auto"/>
          <w:sz w:val="20"/>
          <w:szCs w:val="20"/>
        </w:rPr>
        <w:t>РЕГІОНУ)</w:t>
      </w:r>
      <w:r w:rsidRPr="000977F7">
        <w:rPr>
          <w:color w:val="auto"/>
          <w:spacing w:val="2"/>
          <w:sz w:val="20"/>
          <w:szCs w:val="20"/>
        </w:rPr>
        <w:t xml:space="preserve"> </w:t>
      </w:r>
      <w:r w:rsidRPr="000977F7">
        <w:rPr>
          <w:color w:val="auto"/>
          <w:sz w:val="20"/>
          <w:szCs w:val="20"/>
        </w:rPr>
        <w:t>–</w:t>
      </w:r>
    </w:p>
    <w:p w14:paraId="2171DAF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Частковий показник безпечності промислового підприємства,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кількісно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характеризує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його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безпечність</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щодо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працівників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населення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регіону</w:t>
      </w:r>
    </w:p>
    <w:p w14:paraId="27EADEF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7878BFBC" w14:textId="77777777" w:rsidR="0097612F" w:rsidRPr="000977F7" w:rsidRDefault="0097612F" w:rsidP="00FD39A4">
      <w:pPr>
        <w:pStyle w:val="ac"/>
        <w:widowControl w:val="0"/>
        <w:numPr>
          <w:ilvl w:val="0"/>
          <w:numId w:val="115"/>
        </w:numPr>
        <w:tabs>
          <w:tab w:val="left" w:pos="284"/>
          <w:tab w:val="left" w:pos="1035"/>
          <w:tab w:val="left" w:pos="103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ab/>
        <w:t>В проектній документації промислового підприємства вказують нормативне (необхідне) значення показника безпечності, яке встановлюється,</w:t>
      </w:r>
      <w:r w:rsidRPr="000977F7">
        <w:rPr>
          <w:rFonts w:asciiTheme="majorHAnsi" w:hAnsiTheme="majorHAnsi"/>
          <w:spacing w:val="1"/>
          <w:sz w:val="20"/>
          <w:szCs w:val="20"/>
        </w:rPr>
        <w:t xml:space="preserve"> </w:t>
      </w:r>
      <w:r w:rsidRPr="000977F7">
        <w:rPr>
          <w:rFonts w:asciiTheme="majorHAnsi" w:hAnsiTheme="majorHAnsi"/>
          <w:sz w:val="20"/>
          <w:szCs w:val="20"/>
        </w:rPr>
        <w:t>як правило, на підставі розрахунку прогнозу і в середньому</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характеризує</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підприємство</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всьому</w:t>
      </w:r>
      <w:r w:rsidRPr="000977F7">
        <w:rPr>
          <w:rFonts w:asciiTheme="majorHAnsi" w:hAnsiTheme="majorHAnsi"/>
          <w:spacing w:val="1"/>
          <w:sz w:val="20"/>
          <w:szCs w:val="20"/>
        </w:rPr>
        <w:t xml:space="preserve"> </w:t>
      </w:r>
      <w:r w:rsidRPr="000977F7">
        <w:rPr>
          <w:rFonts w:asciiTheme="majorHAnsi" w:hAnsiTheme="majorHAnsi"/>
          <w:sz w:val="20"/>
          <w:szCs w:val="20"/>
        </w:rPr>
        <w:t>протязі</w:t>
      </w:r>
      <w:r w:rsidRPr="000977F7">
        <w:rPr>
          <w:rFonts w:asciiTheme="majorHAnsi" w:hAnsiTheme="majorHAnsi"/>
          <w:spacing w:val="-2"/>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існування</w:t>
      </w:r>
    </w:p>
    <w:p w14:paraId="4B6081DD" w14:textId="77777777" w:rsidR="0097612F" w:rsidRPr="000977F7" w:rsidRDefault="0097612F" w:rsidP="00FD39A4">
      <w:pPr>
        <w:pStyle w:val="ac"/>
        <w:widowControl w:val="0"/>
        <w:numPr>
          <w:ilvl w:val="0"/>
          <w:numId w:val="115"/>
        </w:numPr>
        <w:tabs>
          <w:tab w:val="left" w:pos="284"/>
          <w:tab w:val="left" w:pos="1035"/>
          <w:tab w:val="left" w:pos="103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ab/>
        <w:t>В процесі спорудження та експлуатації промислове</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підприємство</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характеризують</w:t>
      </w:r>
      <w:r w:rsidRPr="000977F7">
        <w:rPr>
          <w:rFonts w:asciiTheme="majorHAnsi" w:hAnsiTheme="majorHAnsi"/>
          <w:spacing w:val="1"/>
          <w:sz w:val="20"/>
          <w:szCs w:val="20"/>
        </w:rPr>
        <w:t xml:space="preserve"> </w:t>
      </w:r>
      <w:r w:rsidRPr="000977F7">
        <w:rPr>
          <w:rFonts w:asciiTheme="majorHAnsi" w:hAnsiTheme="majorHAnsi"/>
          <w:sz w:val="20"/>
          <w:szCs w:val="20"/>
        </w:rPr>
        <w:t>оперативним (поточним) значенням показника безпечності,</w:t>
      </w:r>
      <w:r w:rsidRPr="000977F7">
        <w:rPr>
          <w:rFonts w:asciiTheme="majorHAnsi" w:hAnsiTheme="majorHAnsi"/>
          <w:spacing w:val="1"/>
          <w:sz w:val="20"/>
          <w:szCs w:val="20"/>
        </w:rPr>
        <w:t xml:space="preserve"> </w:t>
      </w:r>
      <w:r w:rsidRPr="000977F7">
        <w:rPr>
          <w:rFonts w:asciiTheme="majorHAnsi" w:hAnsiTheme="majorHAnsi"/>
          <w:sz w:val="20"/>
          <w:szCs w:val="20"/>
        </w:rPr>
        <w:t>який фактично реалізований в інтервалі часу, що</w:t>
      </w:r>
      <w:r w:rsidRPr="000977F7">
        <w:rPr>
          <w:rFonts w:asciiTheme="majorHAnsi" w:hAnsiTheme="majorHAnsi"/>
          <w:spacing w:val="1"/>
          <w:sz w:val="20"/>
          <w:szCs w:val="20"/>
        </w:rPr>
        <w:t xml:space="preserve"> </w:t>
      </w:r>
      <w:r w:rsidRPr="000977F7">
        <w:rPr>
          <w:rFonts w:asciiTheme="majorHAnsi" w:hAnsiTheme="majorHAnsi"/>
          <w:sz w:val="20"/>
          <w:szCs w:val="20"/>
        </w:rPr>
        <w:t>розглядається</w:t>
      </w:r>
    </w:p>
    <w:p w14:paraId="5062CAC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2156</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93</w:t>
      </w:r>
    </w:p>
    <w:p w14:paraId="790A502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ПОКАЗНИК</w:t>
      </w:r>
      <w:r w:rsidRPr="000977F7">
        <w:rPr>
          <w:color w:val="auto"/>
          <w:spacing w:val="-6"/>
          <w:sz w:val="20"/>
          <w:szCs w:val="20"/>
        </w:rPr>
        <w:t xml:space="preserve"> </w:t>
      </w:r>
      <w:r w:rsidRPr="000977F7">
        <w:rPr>
          <w:color w:val="auto"/>
          <w:sz w:val="20"/>
          <w:szCs w:val="20"/>
        </w:rPr>
        <w:t>НАДІЙНОСТІ</w:t>
      </w:r>
      <w:r w:rsidRPr="000977F7">
        <w:rPr>
          <w:color w:val="auto"/>
          <w:spacing w:val="-2"/>
          <w:sz w:val="20"/>
          <w:szCs w:val="20"/>
        </w:rPr>
        <w:t xml:space="preserve"> </w:t>
      </w:r>
      <w:r w:rsidRPr="000977F7">
        <w:rPr>
          <w:color w:val="auto"/>
          <w:sz w:val="20"/>
          <w:szCs w:val="20"/>
        </w:rPr>
        <w:t>–</w:t>
      </w:r>
    </w:p>
    <w:p w14:paraId="1BB16E1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DEPENDABILITY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MEASURE –</w:t>
      </w:r>
    </w:p>
    <w:p w14:paraId="00D9295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Кількісна характеристика однієї чи декількох із тих</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властивостей, які в сукупності складають надійність</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2612F4C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2634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0451C6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ПОКАЗНИК НЕСТАБІЛЬНОСТІ НАПРУГИ</w:t>
      </w:r>
      <w:r w:rsidRPr="000977F7">
        <w:rPr>
          <w:color w:val="auto"/>
          <w:spacing w:val="-47"/>
          <w:sz w:val="20"/>
          <w:szCs w:val="20"/>
        </w:rPr>
        <w:t xml:space="preserve"> </w:t>
      </w:r>
      <w:r w:rsidRPr="000977F7">
        <w:rPr>
          <w:color w:val="auto"/>
          <w:sz w:val="20"/>
          <w:szCs w:val="20"/>
        </w:rPr>
        <w:t>(ЧАСТОТИ) –</w:t>
      </w:r>
    </w:p>
    <w:p w14:paraId="36609EC3"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Кількісна</w:t>
      </w:r>
      <w:r w:rsidRPr="000977F7">
        <w:rPr>
          <w:rFonts w:asciiTheme="majorHAnsi" w:hAnsiTheme="majorHAnsi"/>
          <w:spacing w:val="27"/>
          <w:sz w:val="20"/>
          <w:szCs w:val="20"/>
        </w:rPr>
        <w:t xml:space="preserve"> </w:t>
      </w:r>
      <w:r w:rsidRPr="000977F7">
        <w:rPr>
          <w:rFonts w:asciiTheme="majorHAnsi" w:hAnsiTheme="majorHAnsi"/>
          <w:sz w:val="20"/>
          <w:szCs w:val="20"/>
        </w:rPr>
        <w:t>оцінка</w:t>
      </w:r>
      <w:r w:rsidRPr="000977F7">
        <w:rPr>
          <w:rFonts w:asciiTheme="majorHAnsi" w:hAnsiTheme="majorHAnsi"/>
          <w:spacing w:val="27"/>
          <w:sz w:val="20"/>
          <w:szCs w:val="20"/>
        </w:rPr>
        <w:t xml:space="preserve"> </w:t>
      </w:r>
      <w:r w:rsidRPr="000977F7">
        <w:rPr>
          <w:rFonts w:asciiTheme="majorHAnsi" w:hAnsiTheme="majorHAnsi"/>
          <w:sz w:val="20"/>
          <w:szCs w:val="20"/>
        </w:rPr>
        <w:t>нестабільності</w:t>
      </w:r>
      <w:r w:rsidRPr="000977F7">
        <w:rPr>
          <w:rFonts w:asciiTheme="majorHAnsi" w:hAnsiTheme="majorHAnsi"/>
          <w:spacing w:val="26"/>
          <w:sz w:val="20"/>
          <w:szCs w:val="20"/>
        </w:rPr>
        <w:t xml:space="preserve"> </w:t>
      </w:r>
      <w:r w:rsidRPr="000977F7">
        <w:rPr>
          <w:rFonts w:asciiTheme="majorHAnsi" w:hAnsiTheme="majorHAnsi"/>
          <w:sz w:val="20"/>
          <w:szCs w:val="20"/>
        </w:rPr>
        <w:t>напруги</w:t>
      </w:r>
      <w:r w:rsidRPr="000977F7">
        <w:rPr>
          <w:rFonts w:asciiTheme="majorHAnsi" w:hAnsiTheme="majorHAnsi"/>
          <w:spacing w:val="26"/>
          <w:sz w:val="20"/>
          <w:szCs w:val="20"/>
        </w:rPr>
        <w:t xml:space="preserve"> </w:t>
      </w:r>
      <w:r w:rsidRPr="000977F7">
        <w:rPr>
          <w:rFonts w:asciiTheme="majorHAnsi" w:hAnsiTheme="majorHAnsi"/>
          <w:sz w:val="20"/>
          <w:szCs w:val="20"/>
        </w:rPr>
        <w:t>(частоти)</w:t>
      </w:r>
      <w:r w:rsidRPr="000977F7">
        <w:rPr>
          <w:rFonts w:asciiTheme="majorHAnsi" w:hAnsiTheme="majorHAnsi"/>
          <w:spacing w:val="29"/>
          <w:sz w:val="20"/>
          <w:szCs w:val="20"/>
        </w:rPr>
        <w:t xml:space="preserve"> </w:t>
      </w:r>
      <w:r w:rsidRPr="000977F7">
        <w:rPr>
          <w:rFonts w:asciiTheme="majorHAnsi" w:hAnsiTheme="majorHAnsi"/>
          <w:sz w:val="20"/>
          <w:szCs w:val="20"/>
        </w:rPr>
        <w:t>за</w:t>
      </w:r>
      <w:r w:rsidRPr="000977F7">
        <w:rPr>
          <w:rFonts w:asciiTheme="majorHAnsi" w:hAnsiTheme="majorHAnsi"/>
          <w:spacing w:val="-48"/>
          <w:sz w:val="20"/>
          <w:szCs w:val="20"/>
        </w:rPr>
        <w:t xml:space="preserve"> </w:t>
      </w:r>
      <w:r w:rsidRPr="000977F7">
        <w:rPr>
          <w:rFonts w:asciiTheme="majorHAnsi" w:hAnsiTheme="majorHAnsi"/>
          <w:sz w:val="20"/>
          <w:szCs w:val="20"/>
        </w:rPr>
        <w:t>її відхиленням від номінального чи базового значення</w:t>
      </w:r>
      <w:r w:rsidRPr="000977F7">
        <w:rPr>
          <w:rFonts w:asciiTheme="majorHAnsi" w:hAnsiTheme="majorHAnsi"/>
          <w:spacing w:val="-47"/>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33B7652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ПОКАЗНИК СТАБІЛЬНОСТІ </w:t>
      </w:r>
    </w:p>
    <w:p w14:paraId="1DAF3EA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ТЕХНОЛОГІЧНОГО</w:t>
      </w:r>
      <w:r w:rsidRPr="000977F7">
        <w:rPr>
          <w:color w:val="auto"/>
          <w:spacing w:val="3"/>
          <w:sz w:val="20"/>
          <w:szCs w:val="20"/>
        </w:rPr>
        <w:t xml:space="preserve"> </w:t>
      </w:r>
      <w:r w:rsidRPr="000977F7">
        <w:rPr>
          <w:color w:val="auto"/>
          <w:sz w:val="20"/>
          <w:szCs w:val="20"/>
        </w:rPr>
        <w:t>ПРОЦЕСУ –</w:t>
      </w:r>
    </w:p>
    <w:p w14:paraId="6702CE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PROCESS</w:t>
      </w:r>
      <w:r w:rsidRPr="000977F7">
        <w:rPr>
          <w:rFonts w:asciiTheme="majorHAnsi" w:hAnsiTheme="majorHAnsi"/>
          <w:spacing w:val="45"/>
          <w:sz w:val="20"/>
          <w:szCs w:val="20"/>
        </w:rPr>
        <w:t xml:space="preserve"> </w:t>
      </w:r>
      <w:r w:rsidRPr="000977F7">
        <w:rPr>
          <w:rFonts w:asciiTheme="majorHAnsi" w:hAnsiTheme="majorHAnsi"/>
          <w:sz w:val="20"/>
          <w:szCs w:val="20"/>
        </w:rPr>
        <w:t>STABILITY</w:t>
      </w:r>
      <w:r w:rsidRPr="000977F7">
        <w:rPr>
          <w:rFonts w:asciiTheme="majorHAnsi" w:hAnsiTheme="majorHAnsi"/>
          <w:spacing w:val="-2"/>
          <w:sz w:val="20"/>
          <w:szCs w:val="20"/>
        </w:rPr>
        <w:t xml:space="preserve"> </w:t>
      </w:r>
      <w:r w:rsidRPr="000977F7">
        <w:rPr>
          <w:rFonts w:asciiTheme="majorHAnsi" w:hAnsiTheme="majorHAnsi"/>
          <w:sz w:val="20"/>
          <w:szCs w:val="20"/>
        </w:rPr>
        <w:t>INDEX –</w:t>
      </w:r>
    </w:p>
    <w:p w14:paraId="71A6C21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Величина,</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кількісно</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характеризує</w:t>
      </w:r>
      <w:r w:rsidRPr="000977F7">
        <w:rPr>
          <w:rFonts w:asciiTheme="majorHAnsi" w:hAnsiTheme="majorHAnsi"/>
          <w:spacing w:val="1"/>
          <w:sz w:val="20"/>
          <w:szCs w:val="20"/>
        </w:rPr>
        <w:t xml:space="preserve"> </w:t>
      </w:r>
      <w:r w:rsidRPr="000977F7">
        <w:rPr>
          <w:rFonts w:asciiTheme="majorHAnsi" w:hAnsiTheme="majorHAnsi"/>
          <w:sz w:val="20"/>
          <w:szCs w:val="20"/>
        </w:rPr>
        <w:t>стабільність</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 процесу</w:t>
      </w:r>
    </w:p>
    <w:p w14:paraId="257043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ED83FA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Прикладом</w:t>
      </w:r>
      <w:r w:rsidRPr="000977F7">
        <w:rPr>
          <w:rFonts w:asciiTheme="majorHAnsi" w:hAnsiTheme="majorHAnsi"/>
          <w:spacing w:val="1"/>
          <w:sz w:val="20"/>
          <w:szCs w:val="20"/>
        </w:rPr>
        <w:t xml:space="preserve"> </w:t>
      </w:r>
      <w:r w:rsidRPr="000977F7">
        <w:rPr>
          <w:rFonts w:asciiTheme="majorHAnsi" w:hAnsiTheme="majorHAnsi"/>
          <w:sz w:val="20"/>
          <w:szCs w:val="20"/>
        </w:rPr>
        <w:t>показника</w:t>
      </w:r>
      <w:r w:rsidRPr="000977F7">
        <w:rPr>
          <w:rFonts w:asciiTheme="majorHAnsi" w:hAnsiTheme="majorHAnsi"/>
          <w:spacing w:val="1"/>
          <w:sz w:val="20"/>
          <w:szCs w:val="20"/>
        </w:rPr>
        <w:t xml:space="preserve"> </w:t>
      </w:r>
      <w:r w:rsidRPr="000977F7">
        <w:rPr>
          <w:rFonts w:asciiTheme="majorHAnsi" w:hAnsiTheme="majorHAnsi"/>
          <w:sz w:val="20"/>
          <w:szCs w:val="20"/>
        </w:rPr>
        <w:t>стабільності</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47"/>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служити</w:t>
      </w:r>
      <w:r w:rsidRPr="000977F7">
        <w:rPr>
          <w:rFonts w:asciiTheme="majorHAnsi" w:hAnsiTheme="majorHAnsi"/>
          <w:spacing w:val="1"/>
          <w:sz w:val="20"/>
          <w:szCs w:val="20"/>
        </w:rPr>
        <w:t xml:space="preserve"> </w:t>
      </w:r>
      <w:r w:rsidRPr="000977F7">
        <w:rPr>
          <w:rFonts w:asciiTheme="majorHAnsi" w:hAnsiTheme="majorHAnsi"/>
          <w:sz w:val="20"/>
          <w:szCs w:val="20"/>
        </w:rPr>
        <w:t>середнє</w:t>
      </w:r>
      <w:r w:rsidRPr="000977F7">
        <w:rPr>
          <w:rFonts w:asciiTheme="majorHAnsi" w:hAnsiTheme="majorHAnsi"/>
          <w:spacing w:val="1"/>
          <w:sz w:val="20"/>
          <w:szCs w:val="20"/>
        </w:rPr>
        <w:t xml:space="preserve"> </w:t>
      </w:r>
      <w:r w:rsidRPr="000977F7">
        <w:rPr>
          <w:rFonts w:asciiTheme="majorHAnsi" w:hAnsiTheme="majorHAnsi"/>
          <w:sz w:val="20"/>
          <w:szCs w:val="20"/>
        </w:rPr>
        <w:t>квадратичне</w:t>
      </w:r>
      <w:r w:rsidRPr="000977F7">
        <w:rPr>
          <w:rFonts w:asciiTheme="majorHAnsi" w:hAnsiTheme="majorHAnsi"/>
          <w:spacing w:val="1"/>
          <w:sz w:val="20"/>
          <w:szCs w:val="20"/>
        </w:rPr>
        <w:t xml:space="preserve"> </w:t>
      </w:r>
      <w:r w:rsidRPr="000977F7">
        <w:rPr>
          <w:rFonts w:asciiTheme="majorHAnsi" w:hAnsiTheme="majorHAnsi"/>
          <w:sz w:val="20"/>
          <w:szCs w:val="20"/>
        </w:rPr>
        <w:t>відхилення</w:t>
      </w:r>
      <w:r w:rsidRPr="000977F7">
        <w:rPr>
          <w:rFonts w:asciiTheme="majorHAnsi" w:hAnsiTheme="majorHAnsi"/>
          <w:spacing w:val="-2"/>
          <w:sz w:val="20"/>
          <w:szCs w:val="20"/>
        </w:rPr>
        <w:t xml:space="preserve"> </w:t>
      </w:r>
      <w:r w:rsidRPr="000977F7">
        <w:rPr>
          <w:rFonts w:asciiTheme="majorHAnsi" w:hAnsiTheme="majorHAnsi"/>
          <w:sz w:val="20"/>
          <w:szCs w:val="20"/>
        </w:rPr>
        <w:t>контрольованого</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p>
    <w:p w14:paraId="290F08A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40CC4C8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ПОКАЗНИК</w:t>
      </w:r>
      <w:r w:rsidRPr="000977F7">
        <w:rPr>
          <w:color w:val="auto"/>
          <w:spacing w:val="36"/>
          <w:sz w:val="20"/>
          <w:szCs w:val="20"/>
        </w:rPr>
        <w:t xml:space="preserve"> </w:t>
      </w:r>
      <w:r w:rsidRPr="000977F7">
        <w:rPr>
          <w:color w:val="auto"/>
          <w:sz w:val="20"/>
          <w:szCs w:val="20"/>
        </w:rPr>
        <w:t>ТОЧНОСТІ</w:t>
      </w:r>
      <w:r w:rsidRPr="000977F7">
        <w:rPr>
          <w:color w:val="auto"/>
          <w:spacing w:val="39"/>
          <w:sz w:val="20"/>
          <w:szCs w:val="20"/>
        </w:rPr>
        <w:t xml:space="preserve"> </w:t>
      </w:r>
      <w:r w:rsidRPr="000977F7">
        <w:rPr>
          <w:color w:val="auto"/>
          <w:sz w:val="20"/>
          <w:szCs w:val="20"/>
        </w:rPr>
        <w:t>ТЕХНОЛОГІЧНОГО</w:t>
      </w:r>
      <w:r w:rsidRPr="000977F7">
        <w:rPr>
          <w:color w:val="auto"/>
          <w:spacing w:val="-47"/>
          <w:sz w:val="20"/>
          <w:szCs w:val="20"/>
        </w:rPr>
        <w:t xml:space="preserve"> </w:t>
      </w:r>
      <w:r w:rsidRPr="000977F7">
        <w:rPr>
          <w:color w:val="auto"/>
          <w:sz w:val="20"/>
          <w:szCs w:val="20"/>
        </w:rPr>
        <w:t>ПРОЦЕСУ –</w:t>
      </w:r>
    </w:p>
    <w:p w14:paraId="78A0D10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PROCESS</w:t>
      </w:r>
      <w:r w:rsidRPr="004D2D14">
        <w:rPr>
          <w:rFonts w:asciiTheme="majorHAnsi" w:hAnsiTheme="majorHAnsi"/>
          <w:spacing w:val="48"/>
          <w:sz w:val="20"/>
          <w:szCs w:val="20"/>
          <w:lang w:val="uk-UA"/>
        </w:rPr>
        <w:t xml:space="preserve"> </w:t>
      </w:r>
      <w:r w:rsidRPr="000977F7">
        <w:rPr>
          <w:rFonts w:asciiTheme="majorHAnsi" w:hAnsiTheme="majorHAnsi"/>
          <w:sz w:val="20"/>
          <w:szCs w:val="20"/>
        </w:rPr>
        <w:t>ACCURACY</w:t>
      </w:r>
      <w:r w:rsidRPr="004D2D14">
        <w:rPr>
          <w:rFonts w:asciiTheme="majorHAnsi" w:hAnsiTheme="majorHAnsi"/>
          <w:spacing w:val="-2"/>
          <w:sz w:val="20"/>
          <w:szCs w:val="20"/>
          <w:lang w:val="uk-UA"/>
        </w:rPr>
        <w:t xml:space="preserve"> </w:t>
      </w:r>
      <w:r w:rsidRPr="000977F7">
        <w:rPr>
          <w:rFonts w:asciiTheme="majorHAnsi" w:hAnsiTheme="majorHAnsi"/>
          <w:sz w:val="20"/>
          <w:szCs w:val="20"/>
        </w:rPr>
        <w:t>INDEX</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4C7FC84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Величина, яка кількісно характеризує точність технологічного процесу</w:t>
      </w:r>
    </w:p>
    <w:p w14:paraId="5D33BB7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4AC86E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Прикладом</w:t>
      </w:r>
      <w:r w:rsidRPr="000977F7">
        <w:rPr>
          <w:rFonts w:asciiTheme="majorHAnsi" w:hAnsiTheme="majorHAnsi"/>
          <w:spacing w:val="1"/>
          <w:sz w:val="20"/>
          <w:szCs w:val="20"/>
        </w:rPr>
        <w:t xml:space="preserve"> </w:t>
      </w:r>
      <w:r w:rsidRPr="000977F7">
        <w:rPr>
          <w:rFonts w:asciiTheme="majorHAnsi" w:hAnsiTheme="majorHAnsi"/>
          <w:sz w:val="20"/>
          <w:szCs w:val="20"/>
        </w:rPr>
        <w:t>показника</w:t>
      </w:r>
      <w:r w:rsidRPr="000977F7">
        <w:rPr>
          <w:rFonts w:asciiTheme="majorHAnsi" w:hAnsiTheme="majorHAnsi"/>
          <w:spacing w:val="1"/>
          <w:sz w:val="20"/>
          <w:szCs w:val="20"/>
        </w:rPr>
        <w:t xml:space="preserve"> </w:t>
      </w:r>
      <w:r w:rsidRPr="000977F7">
        <w:rPr>
          <w:rFonts w:asciiTheme="majorHAnsi" w:hAnsiTheme="majorHAnsi"/>
          <w:sz w:val="20"/>
          <w:szCs w:val="20"/>
        </w:rPr>
        <w:t>точності</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 може бути різниця між фактичним і номінальним значенням параметрів за розподілом їхніх ймовірностей</w:t>
      </w:r>
    </w:p>
    <w:p w14:paraId="09BEF86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7E4C1D4B"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sz w:val="20"/>
          <w:szCs w:val="20"/>
        </w:rPr>
        <w:t>ПОКАЗНИК</w:t>
      </w:r>
      <w:r w:rsidRPr="000977F7">
        <w:rPr>
          <w:rFonts w:asciiTheme="majorHAnsi" w:hAnsiTheme="majorHAnsi"/>
          <w:b/>
          <w:bCs/>
          <w:spacing w:val="-6"/>
          <w:sz w:val="20"/>
          <w:szCs w:val="20"/>
        </w:rPr>
        <w:t xml:space="preserve"> </w:t>
      </w:r>
      <w:r w:rsidRPr="000977F7">
        <w:rPr>
          <w:rFonts w:asciiTheme="majorHAnsi" w:hAnsiTheme="majorHAnsi"/>
          <w:b/>
          <w:bCs/>
          <w:sz w:val="20"/>
          <w:szCs w:val="20"/>
        </w:rPr>
        <w:t>УНІФІКАЦІЇ –</w:t>
      </w:r>
    </w:p>
    <w:p w14:paraId="490CC7F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Кількісна характеристика виконання завдання з уніфікації</w:t>
      </w:r>
    </w:p>
    <w:p w14:paraId="0A5F78F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 – 95</w:t>
      </w:r>
    </w:p>
    <w:p w14:paraId="0BAF69D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ПОКАЗНИК ЯКОСТІ ЕЛЕКТРИЧНОЇ</w:t>
      </w:r>
      <w:r w:rsidRPr="000977F7">
        <w:rPr>
          <w:color w:val="auto"/>
          <w:spacing w:val="-48"/>
          <w:sz w:val="20"/>
          <w:szCs w:val="20"/>
        </w:rPr>
        <w:t xml:space="preserve"> </w:t>
      </w:r>
      <w:r w:rsidRPr="000977F7">
        <w:rPr>
          <w:color w:val="auto"/>
          <w:sz w:val="20"/>
          <w:szCs w:val="20"/>
        </w:rPr>
        <w:t>ЕНЕРГІЇ</w:t>
      </w:r>
      <w:r w:rsidRPr="000977F7">
        <w:rPr>
          <w:color w:val="auto"/>
          <w:spacing w:val="-1"/>
          <w:sz w:val="20"/>
          <w:szCs w:val="20"/>
        </w:rPr>
        <w:t xml:space="preserve"> </w:t>
      </w:r>
      <w:r w:rsidRPr="000977F7">
        <w:rPr>
          <w:color w:val="auto"/>
          <w:sz w:val="20"/>
          <w:szCs w:val="20"/>
        </w:rPr>
        <w:t>–</w:t>
      </w:r>
    </w:p>
    <w:p w14:paraId="637CA1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Величина, що характеризує якість електричної енергії</w:t>
      </w:r>
      <w:r w:rsidRPr="000977F7">
        <w:rPr>
          <w:rFonts w:asciiTheme="majorHAnsi" w:hAnsiTheme="majorHAnsi"/>
          <w:spacing w:val="-47"/>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одним</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кількома</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параметрами</w:t>
      </w:r>
    </w:p>
    <w:p w14:paraId="3F57BB2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23B432F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ПОКАЗНИК ЯКОСТІ ПРОГРАМНОГО</w:t>
      </w:r>
      <w:r w:rsidRPr="000977F7">
        <w:rPr>
          <w:color w:val="auto"/>
          <w:spacing w:val="-47"/>
          <w:sz w:val="20"/>
          <w:szCs w:val="20"/>
        </w:rPr>
        <w:t xml:space="preserve"> </w:t>
      </w:r>
      <w:r w:rsidRPr="000977F7">
        <w:rPr>
          <w:color w:val="auto"/>
          <w:sz w:val="20"/>
          <w:szCs w:val="20"/>
        </w:rPr>
        <w:t>ЗАСОБУ –</w:t>
      </w:r>
    </w:p>
    <w:p w14:paraId="53141F7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SOFTWARE</w:t>
      </w:r>
      <w:r w:rsidRPr="004D2D14">
        <w:rPr>
          <w:rFonts w:asciiTheme="majorHAnsi" w:hAnsiTheme="majorHAnsi"/>
          <w:spacing w:val="-2"/>
          <w:sz w:val="20"/>
          <w:szCs w:val="20"/>
          <w:lang w:val="uk-UA"/>
        </w:rPr>
        <w:t xml:space="preserve"> </w:t>
      </w:r>
      <w:r w:rsidRPr="000977F7">
        <w:rPr>
          <w:rFonts w:asciiTheme="majorHAnsi" w:hAnsiTheme="majorHAnsi"/>
          <w:sz w:val="20"/>
          <w:szCs w:val="20"/>
        </w:rPr>
        <w:t>QUALITY</w:t>
      </w:r>
      <w:r w:rsidRPr="004D2D14">
        <w:rPr>
          <w:rFonts w:asciiTheme="majorHAnsi" w:hAnsiTheme="majorHAnsi"/>
          <w:spacing w:val="-2"/>
          <w:sz w:val="20"/>
          <w:szCs w:val="20"/>
          <w:lang w:val="uk-UA"/>
        </w:rPr>
        <w:t xml:space="preserve"> </w:t>
      </w:r>
      <w:r w:rsidRPr="000977F7">
        <w:rPr>
          <w:rFonts w:asciiTheme="majorHAnsi" w:hAnsiTheme="majorHAnsi"/>
          <w:sz w:val="20"/>
          <w:szCs w:val="20"/>
        </w:rPr>
        <w:t>METRIC</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46083475"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Кількісна</w:t>
      </w:r>
      <w:r w:rsidRPr="004D2D14">
        <w:rPr>
          <w:rFonts w:asciiTheme="majorHAnsi" w:hAnsiTheme="majorHAnsi"/>
          <w:spacing w:val="25"/>
          <w:sz w:val="20"/>
          <w:szCs w:val="20"/>
          <w:lang w:val="uk-UA"/>
        </w:rPr>
        <w:t xml:space="preserve"> </w:t>
      </w:r>
      <w:r w:rsidRPr="004D2D14">
        <w:rPr>
          <w:rFonts w:asciiTheme="majorHAnsi" w:hAnsiTheme="majorHAnsi"/>
          <w:sz w:val="20"/>
          <w:szCs w:val="20"/>
          <w:lang w:val="uk-UA"/>
        </w:rPr>
        <w:t>міра,</w:t>
      </w:r>
      <w:r w:rsidRPr="004D2D14">
        <w:rPr>
          <w:rFonts w:asciiTheme="majorHAnsi" w:hAnsiTheme="majorHAnsi"/>
          <w:spacing w:val="25"/>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27"/>
          <w:sz w:val="20"/>
          <w:szCs w:val="20"/>
          <w:lang w:val="uk-UA"/>
        </w:rPr>
        <w:t xml:space="preserve"> </w:t>
      </w:r>
      <w:r w:rsidRPr="004D2D14">
        <w:rPr>
          <w:rFonts w:asciiTheme="majorHAnsi" w:hAnsiTheme="majorHAnsi"/>
          <w:sz w:val="20"/>
          <w:szCs w:val="20"/>
          <w:lang w:val="uk-UA"/>
        </w:rPr>
        <w:t>використовується</w:t>
      </w:r>
      <w:r w:rsidRPr="004D2D14">
        <w:rPr>
          <w:rFonts w:asciiTheme="majorHAnsi" w:hAnsiTheme="majorHAnsi"/>
          <w:spacing w:val="24"/>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27"/>
          <w:sz w:val="20"/>
          <w:szCs w:val="20"/>
          <w:lang w:val="uk-UA"/>
        </w:rPr>
        <w:t xml:space="preserve"> </w:t>
      </w:r>
      <w:r w:rsidRPr="004D2D14">
        <w:rPr>
          <w:rFonts w:asciiTheme="majorHAnsi" w:hAnsiTheme="majorHAnsi"/>
          <w:sz w:val="20"/>
          <w:szCs w:val="20"/>
          <w:lang w:val="uk-UA"/>
        </w:rPr>
        <w:t>визначення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ступеня, в якому програмний засіб має дану якість</w:t>
      </w:r>
      <w:r w:rsidRPr="004D2D14">
        <w:rPr>
          <w:rFonts w:asciiTheme="majorHAnsi" w:hAnsiTheme="majorHAnsi"/>
          <w:spacing w:val="1"/>
          <w:sz w:val="20"/>
          <w:szCs w:val="20"/>
          <w:lang w:val="uk-UA"/>
        </w:rPr>
        <w:t xml:space="preserve"> </w:t>
      </w:r>
    </w:p>
    <w:p w14:paraId="43D13BA1"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2844</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4CE9622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ПОКАЗНИК</w:t>
      </w:r>
      <w:r w:rsidRPr="000977F7">
        <w:rPr>
          <w:color w:val="auto"/>
          <w:spacing w:val="44"/>
          <w:sz w:val="20"/>
          <w:szCs w:val="20"/>
        </w:rPr>
        <w:t xml:space="preserve"> </w:t>
      </w:r>
      <w:r w:rsidRPr="000977F7">
        <w:rPr>
          <w:color w:val="auto"/>
          <w:sz w:val="20"/>
          <w:szCs w:val="20"/>
        </w:rPr>
        <w:t>ЯКОСТІ</w:t>
      </w:r>
      <w:r w:rsidRPr="000977F7">
        <w:rPr>
          <w:color w:val="auto"/>
          <w:spacing w:val="43"/>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3066999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Кількісна характеристика однієї або декількох властивостей продукції, що формують її якість, що розглядається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стосовно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визначених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умов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її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створення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експлуатації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або споживання</w:t>
      </w:r>
    </w:p>
    <w:p w14:paraId="6B1F8E5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ПОКАЗНИК</w:t>
      </w:r>
      <w:r w:rsidRPr="000977F7">
        <w:rPr>
          <w:color w:val="auto"/>
          <w:spacing w:val="1"/>
          <w:sz w:val="20"/>
          <w:szCs w:val="20"/>
        </w:rPr>
        <w:t xml:space="preserve"> </w:t>
      </w:r>
      <w:r w:rsidRPr="000977F7">
        <w:rPr>
          <w:color w:val="auto"/>
          <w:sz w:val="20"/>
          <w:szCs w:val="20"/>
        </w:rPr>
        <w:t>ЯКОСТІ</w:t>
      </w:r>
      <w:r w:rsidRPr="000977F7">
        <w:rPr>
          <w:color w:val="auto"/>
          <w:spacing w:val="1"/>
          <w:sz w:val="20"/>
          <w:szCs w:val="20"/>
        </w:rPr>
        <w:t xml:space="preserve"> </w:t>
      </w:r>
      <w:r w:rsidRPr="000977F7">
        <w:rPr>
          <w:color w:val="auto"/>
          <w:sz w:val="20"/>
          <w:szCs w:val="20"/>
        </w:rPr>
        <w:t xml:space="preserve">СТВОРЕННЯ </w:t>
      </w:r>
    </w:p>
    <w:p w14:paraId="34A3D6C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(ЕКСПЛУАТАЦІЇ) ПРОДУКЦІЇ</w:t>
      </w:r>
      <w:r w:rsidRPr="000977F7">
        <w:rPr>
          <w:color w:val="auto"/>
          <w:spacing w:val="1"/>
          <w:sz w:val="20"/>
          <w:szCs w:val="20"/>
        </w:rPr>
        <w:t xml:space="preserve"> </w:t>
      </w:r>
      <w:r w:rsidRPr="000977F7">
        <w:rPr>
          <w:color w:val="auto"/>
          <w:sz w:val="20"/>
          <w:szCs w:val="20"/>
        </w:rPr>
        <w:t>–</w:t>
      </w:r>
    </w:p>
    <w:p w14:paraId="0C7354D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Кількісна характеристика властивостей, що складають</w:t>
      </w:r>
      <w:r w:rsidRPr="000977F7">
        <w:rPr>
          <w:rFonts w:asciiTheme="majorHAnsi" w:hAnsiTheme="majorHAnsi"/>
          <w:spacing w:val="-47"/>
          <w:sz w:val="20"/>
          <w:szCs w:val="20"/>
        </w:rPr>
        <w:t xml:space="preserve"> </w:t>
      </w:r>
      <w:r w:rsidRPr="000977F7">
        <w:rPr>
          <w:rFonts w:asciiTheme="majorHAnsi" w:hAnsiTheme="majorHAnsi"/>
          <w:sz w:val="20"/>
          <w:szCs w:val="20"/>
        </w:rPr>
        <w:t>якість</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створення</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результатів</w:t>
      </w:r>
      <w:r w:rsidRPr="000977F7">
        <w:rPr>
          <w:rFonts w:asciiTheme="majorHAnsi" w:hAnsiTheme="majorHAnsi"/>
          <w:spacing w:val="1"/>
          <w:sz w:val="20"/>
          <w:szCs w:val="20"/>
        </w:rPr>
        <w:t xml:space="preserve"> </w:t>
      </w:r>
      <w:r w:rsidRPr="000977F7">
        <w:rPr>
          <w:rFonts w:asciiTheme="majorHAnsi" w:hAnsiTheme="majorHAnsi"/>
          <w:sz w:val="20"/>
          <w:szCs w:val="20"/>
        </w:rPr>
        <w:t>цього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p>
    <w:p w14:paraId="3F8B10C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ПОКАЗНИКИ САНІТАРНОГО СТАНУ</w:t>
      </w:r>
    </w:p>
    <w:p w14:paraId="550E829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48"/>
          <w:sz w:val="20"/>
          <w:szCs w:val="20"/>
        </w:rPr>
        <w:t xml:space="preserve"> </w:t>
      </w:r>
      <w:r w:rsidRPr="000977F7">
        <w:rPr>
          <w:color w:val="auto"/>
          <w:sz w:val="20"/>
          <w:szCs w:val="20"/>
        </w:rPr>
        <w:t>ҐРУНТІВ –</w:t>
      </w:r>
    </w:p>
    <w:p w14:paraId="28B5E4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w:t>
      </w:r>
      <w:r w:rsidRPr="000977F7">
        <w:rPr>
          <w:rFonts w:asciiTheme="majorHAnsi" w:hAnsiTheme="majorHAnsi"/>
          <w:spacing w:val="1"/>
          <w:sz w:val="20"/>
          <w:szCs w:val="20"/>
        </w:rPr>
        <w:t xml:space="preserve"> </w:t>
      </w:r>
      <w:r w:rsidRPr="000977F7">
        <w:rPr>
          <w:rFonts w:asciiTheme="majorHAnsi" w:hAnsiTheme="majorHAnsi"/>
          <w:sz w:val="20"/>
          <w:szCs w:val="20"/>
        </w:rPr>
        <w:t>критеріїв,</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якими</w:t>
      </w:r>
      <w:r w:rsidRPr="000977F7">
        <w:rPr>
          <w:rFonts w:asciiTheme="majorHAnsi" w:hAnsiTheme="majorHAnsi"/>
          <w:spacing w:val="1"/>
          <w:sz w:val="20"/>
          <w:szCs w:val="20"/>
        </w:rPr>
        <w:t xml:space="preserve"> </w:t>
      </w:r>
      <w:r w:rsidRPr="000977F7">
        <w:rPr>
          <w:rFonts w:asciiTheme="majorHAnsi" w:hAnsiTheme="majorHAnsi"/>
          <w:sz w:val="20"/>
          <w:szCs w:val="20"/>
        </w:rPr>
        <w:t>оцінюють</w:t>
      </w:r>
      <w:r w:rsidRPr="000977F7">
        <w:rPr>
          <w:rFonts w:asciiTheme="majorHAnsi" w:hAnsiTheme="majorHAnsi"/>
          <w:spacing w:val="1"/>
          <w:sz w:val="20"/>
          <w:szCs w:val="20"/>
        </w:rPr>
        <w:t xml:space="preserve"> </w:t>
      </w:r>
      <w:r w:rsidRPr="000977F7">
        <w:rPr>
          <w:rFonts w:asciiTheme="majorHAnsi" w:hAnsiTheme="majorHAnsi"/>
          <w:sz w:val="20"/>
          <w:szCs w:val="20"/>
        </w:rPr>
        <w:t>санітарний</w:t>
      </w:r>
      <w:r w:rsidRPr="000977F7">
        <w:rPr>
          <w:rFonts w:asciiTheme="majorHAnsi" w:hAnsiTheme="majorHAnsi"/>
          <w:spacing w:val="-47"/>
          <w:sz w:val="20"/>
          <w:szCs w:val="20"/>
        </w:rPr>
        <w:t xml:space="preserve"> </w:t>
      </w:r>
      <w:r w:rsidRPr="000977F7">
        <w:rPr>
          <w:rFonts w:asciiTheme="majorHAnsi" w:hAnsiTheme="majorHAnsi"/>
          <w:sz w:val="20"/>
          <w:szCs w:val="20"/>
        </w:rPr>
        <w:t>стан</w:t>
      </w:r>
      <w:r w:rsidRPr="000977F7">
        <w:rPr>
          <w:rFonts w:asciiTheme="majorHAnsi" w:hAnsiTheme="majorHAnsi"/>
          <w:spacing w:val="-2"/>
          <w:sz w:val="20"/>
          <w:szCs w:val="20"/>
        </w:rPr>
        <w:t xml:space="preserve"> </w:t>
      </w:r>
      <w:r w:rsidRPr="000977F7">
        <w:rPr>
          <w:rFonts w:asciiTheme="majorHAnsi" w:hAnsiTheme="majorHAnsi"/>
          <w:sz w:val="20"/>
          <w:szCs w:val="20"/>
        </w:rPr>
        <w:t>ґрунтів</w:t>
      </w:r>
    </w:p>
    <w:p w14:paraId="6512B5A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9CFF50E"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ПОКАЗУВАЛЬНИЙ</w:t>
      </w:r>
      <w:r w:rsidRPr="000977F7">
        <w:rPr>
          <w:rFonts w:asciiTheme="majorHAnsi" w:hAnsiTheme="majorHAnsi"/>
          <w:b/>
          <w:spacing w:val="-9"/>
          <w:sz w:val="20"/>
          <w:szCs w:val="20"/>
        </w:rPr>
        <w:t xml:space="preserve"> </w:t>
      </w:r>
      <w:r w:rsidRPr="000977F7">
        <w:rPr>
          <w:rFonts w:asciiTheme="majorHAnsi" w:hAnsiTheme="majorHAnsi"/>
          <w:b/>
          <w:sz w:val="20"/>
          <w:szCs w:val="20"/>
        </w:rPr>
        <w:t>ПРИСТРІЙ</w:t>
      </w:r>
      <w:r w:rsidRPr="000977F7">
        <w:rPr>
          <w:rFonts w:asciiTheme="majorHAnsi" w:hAnsiTheme="majorHAnsi"/>
          <w:b/>
          <w:spacing w:val="-5"/>
          <w:sz w:val="20"/>
          <w:szCs w:val="20"/>
        </w:rPr>
        <w:t xml:space="preserve"> </w:t>
      </w:r>
      <w:r w:rsidRPr="000977F7">
        <w:rPr>
          <w:rFonts w:asciiTheme="majorHAnsi" w:hAnsiTheme="majorHAnsi"/>
          <w:b/>
          <w:sz w:val="20"/>
          <w:szCs w:val="20"/>
        </w:rPr>
        <w:t>–</w:t>
      </w:r>
    </w:p>
    <w:p w14:paraId="59F8D9B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INDICATING</w:t>
      </w:r>
      <w:r w:rsidRPr="000977F7">
        <w:rPr>
          <w:rFonts w:asciiTheme="majorHAnsi" w:hAnsiTheme="majorHAnsi"/>
          <w:spacing w:val="-1"/>
          <w:sz w:val="20"/>
          <w:szCs w:val="20"/>
        </w:rPr>
        <w:t xml:space="preserve"> </w:t>
      </w:r>
      <w:r w:rsidRPr="000977F7">
        <w:rPr>
          <w:rFonts w:asciiTheme="majorHAnsi" w:hAnsiTheme="majorHAnsi"/>
          <w:sz w:val="20"/>
          <w:szCs w:val="20"/>
        </w:rPr>
        <w:t>DEVICE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AC48A0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елементів або вузол засобу вимірювань,</w:t>
      </w:r>
      <w:r w:rsidRPr="000977F7">
        <w:rPr>
          <w:rFonts w:asciiTheme="majorHAnsi" w:hAnsiTheme="majorHAnsi"/>
          <w:spacing w:val="1"/>
          <w:sz w:val="20"/>
          <w:szCs w:val="20"/>
        </w:rPr>
        <w:t xml:space="preserve"> </w:t>
      </w:r>
      <w:r w:rsidRPr="000977F7">
        <w:rPr>
          <w:rFonts w:asciiTheme="majorHAnsi" w:hAnsiTheme="majorHAnsi"/>
          <w:sz w:val="20"/>
          <w:szCs w:val="20"/>
        </w:rPr>
        <w:t>що подає візуальний сигнал вимірювальної інформації</w:t>
      </w:r>
    </w:p>
    <w:p w14:paraId="20F0453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2681 – 94</w:t>
      </w:r>
    </w:p>
    <w:p w14:paraId="3C9C8043"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i/>
          <w:spacing w:val="-47"/>
          <w:sz w:val="20"/>
          <w:szCs w:val="20"/>
        </w:rPr>
        <w:t xml:space="preserve"> </w:t>
      </w:r>
      <w:r w:rsidRPr="000977F7">
        <w:rPr>
          <w:rFonts w:asciiTheme="majorHAnsi" w:hAnsiTheme="majorHAnsi"/>
          <w:b/>
          <w:sz w:val="20"/>
          <w:szCs w:val="20"/>
        </w:rPr>
        <w:t>ПОКУПЕЦЬ –</w:t>
      </w:r>
      <w:r w:rsidRPr="000977F7">
        <w:rPr>
          <w:rFonts w:asciiTheme="majorHAnsi" w:hAnsiTheme="majorHAnsi"/>
          <w:b/>
          <w:spacing w:val="-47"/>
          <w:sz w:val="20"/>
          <w:szCs w:val="20"/>
        </w:rPr>
        <w:t xml:space="preserve"> </w:t>
      </w:r>
    </w:p>
    <w:p w14:paraId="5AF15B0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PURCHASER</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783E5A28"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Споживач</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контрактній</w:t>
      </w:r>
      <w:r w:rsidRPr="000977F7">
        <w:rPr>
          <w:rFonts w:asciiTheme="majorHAnsi" w:hAnsiTheme="majorHAnsi"/>
          <w:spacing w:val="-5"/>
          <w:sz w:val="20"/>
          <w:szCs w:val="20"/>
        </w:rPr>
        <w:t xml:space="preserve"> </w:t>
      </w:r>
      <w:r w:rsidRPr="000977F7">
        <w:rPr>
          <w:rFonts w:asciiTheme="majorHAnsi" w:hAnsiTheme="majorHAnsi"/>
          <w:sz w:val="20"/>
          <w:szCs w:val="20"/>
        </w:rPr>
        <w:t>ситуації</w:t>
      </w:r>
      <w:r w:rsidRPr="000977F7">
        <w:rPr>
          <w:rFonts w:asciiTheme="majorHAnsi" w:hAnsiTheme="majorHAnsi"/>
          <w:spacing w:val="-47"/>
          <w:sz w:val="20"/>
          <w:szCs w:val="20"/>
        </w:rPr>
        <w:t xml:space="preserve"> </w:t>
      </w:r>
    </w:p>
    <w:p w14:paraId="0B15B45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AB3E7D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Покупця</w:t>
      </w:r>
      <w:r w:rsidRPr="000977F7">
        <w:rPr>
          <w:rFonts w:asciiTheme="majorHAnsi" w:hAnsiTheme="majorHAnsi"/>
          <w:spacing w:val="4"/>
          <w:sz w:val="20"/>
          <w:szCs w:val="20"/>
        </w:rPr>
        <w:t xml:space="preserve"> </w:t>
      </w:r>
      <w:r w:rsidRPr="000977F7">
        <w:rPr>
          <w:rFonts w:asciiTheme="majorHAnsi" w:hAnsiTheme="majorHAnsi"/>
          <w:sz w:val="20"/>
          <w:szCs w:val="20"/>
        </w:rPr>
        <w:t>деколи</w:t>
      </w:r>
      <w:r w:rsidRPr="000977F7">
        <w:rPr>
          <w:rFonts w:asciiTheme="majorHAnsi" w:hAnsiTheme="majorHAnsi"/>
          <w:spacing w:val="5"/>
          <w:sz w:val="20"/>
          <w:szCs w:val="20"/>
        </w:rPr>
        <w:t xml:space="preserve"> </w:t>
      </w:r>
      <w:r w:rsidRPr="000977F7">
        <w:rPr>
          <w:rFonts w:asciiTheme="majorHAnsi" w:hAnsiTheme="majorHAnsi"/>
          <w:sz w:val="20"/>
          <w:szCs w:val="20"/>
        </w:rPr>
        <w:t>розглядаються</w:t>
      </w:r>
      <w:r w:rsidRPr="000977F7">
        <w:rPr>
          <w:rFonts w:asciiTheme="majorHAnsi" w:hAnsiTheme="majorHAnsi"/>
          <w:spacing w:val="4"/>
          <w:sz w:val="20"/>
          <w:szCs w:val="20"/>
        </w:rPr>
        <w:t xml:space="preserve"> </w:t>
      </w:r>
      <w:r w:rsidRPr="000977F7">
        <w:rPr>
          <w:rFonts w:asciiTheme="majorHAnsi" w:hAnsiTheme="majorHAnsi"/>
          <w:sz w:val="20"/>
          <w:szCs w:val="20"/>
        </w:rPr>
        <w:t>як</w:t>
      </w:r>
      <w:r w:rsidRPr="000977F7">
        <w:rPr>
          <w:rFonts w:asciiTheme="majorHAnsi" w:hAnsiTheme="majorHAnsi"/>
          <w:spacing w:val="4"/>
          <w:sz w:val="20"/>
          <w:szCs w:val="20"/>
        </w:rPr>
        <w:t xml:space="preserve"> </w:t>
      </w:r>
      <w:r w:rsidRPr="000977F7">
        <w:rPr>
          <w:rFonts w:asciiTheme="majorHAnsi" w:hAnsiTheme="majorHAnsi"/>
          <w:sz w:val="20"/>
          <w:szCs w:val="20"/>
        </w:rPr>
        <w:t>другу</w:t>
      </w:r>
      <w:r w:rsidRPr="000977F7">
        <w:rPr>
          <w:rFonts w:asciiTheme="majorHAnsi" w:hAnsiTheme="majorHAnsi"/>
          <w:spacing w:val="1"/>
          <w:sz w:val="20"/>
          <w:szCs w:val="20"/>
        </w:rPr>
        <w:t xml:space="preserve"> </w:t>
      </w:r>
      <w:r w:rsidRPr="000977F7">
        <w:rPr>
          <w:rFonts w:asciiTheme="majorHAnsi" w:hAnsiTheme="majorHAnsi"/>
          <w:sz w:val="20"/>
          <w:szCs w:val="20"/>
        </w:rPr>
        <w:t>сторону</w:t>
      </w:r>
      <w:r w:rsidRPr="000977F7">
        <w:rPr>
          <w:rFonts w:asciiTheme="majorHAnsi" w:hAnsiTheme="majorHAnsi"/>
          <w:spacing w:val="4"/>
          <w:sz w:val="20"/>
          <w:szCs w:val="20"/>
        </w:rPr>
        <w:t xml:space="preserve"> </w:t>
      </w:r>
      <w:r w:rsidRPr="000977F7">
        <w:rPr>
          <w:rFonts w:asciiTheme="majorHAnsi" w:hAnsiTheme="majorHAnsi"/>
          <w:sz w:val="20"/>
          <w:szCs w:val="20"/>
        </w:rPr>
        <w:t>в</w:t>
      </w:r>
      <w:r w:rsidRPr="000977F7">
        <w:rPr>
          <w:rFonts w:asciiTheme="majorHAnsi" w:hAnsiTheme="majorHAnsi"/>
          <w:spacing w:val="-47"/>
          <w:sz w:val="20"/>
          <w:szCs w:val="20"/>
        </w:rPr>
        <w:t xml:space="preserve"> </w:t>
      </w:r>
      <w:r w:rsidRPr="000977F7">
        <w:rPr>
          <w:rFonts w:asciiTheme="majorHAnsi" w:hAnsiTheme="majorHAnsi"/>
          <w:sz w:val="20"/>
          <w:szCs w:val="20"/>
        </w:rPr>
        <w:t>комерційній діяльності</w:t>
      </w:r>
    </w:p>
    <w:p w14:paraId="42D1D71B"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ПОЛЕГШЕНИЙ РЕЗЕРВ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073602E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REDUCED</w:t>
      </w:r>
      <w:r w:rsidRPr="000977F7">
        <w:rPr>
          <w:rFonts w:asciiTheme="majorHAnsi" w:hAnsiTheme="majorHAnsi"/>
          <w:spacing w:val="-1"/>
          <w:sz w:val="20"/>
          <w:szCs w:val="20"/>
        </w:rPr>
        <w:t xml:space="preserve"> </w:t>
      </w:r>
      <w:r w:rsidRPr="000977F7">
        <w:rPr>
          <w:rFonts w:asciiTheme="majorHAnsi" w:hAnsiTheme="majorHAnsi"/>
          <w:sz w:val="20"/>
          <w:szCs w:val="20"/>
        </w:rPr>
        <w:t>RESERVE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E19EE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Резерв, що складається з одного чи декількох резервних</w:t>
      </w:r>
      <w:r w:rsidRPr="000977F7">
        <w:rPr>
          <w:rFonts w:asciiTheme="majorHAnsi" w:hAnsiTheme="majorHAnsi"/>
          <w:spacing w:val="1"/>
          <w:sz w:val="20"/>
          <w:szCs w:val="20"/>
        </w:rPr>
        <w:t xml:space="preserve"> </w:t>
      </w:r>
      <w:r w:rsidRPr="000977F7">
        <w:rPr>
          <w:rFonts w:asciiTheme="majorHAnsi" w:hAnsiTheme="majorHAnsi"/>
          <w:sz w:val="20"/>
          <w:szCs w:val="20"/>
        </w:rPr>
        <w:t>елементів,</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перебувають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режимі</w:t>
      </w:r>
      <w:r w:rsidRPr="000977F7">
        <w:rPr>
          <w:rFonts w:asciiTheme="majorHAnsi" w:hAnsiTheme="majorHAnsi"/>
          <w:spacing w:val="1"/>
          <w:sz w:val="20"/>
          <w:szCs w:val="20"/>
        </w:rPr>
        <w:t xml:space="preserve"> </w:t>
      </w:r>
      <w:r w:rsidRPr="000977F7">
        <w:rPr>
          <w:rFonts w:asciiTheme="majorHAnsi" w:hAnsiTheme="majorHAnsi"/>
          <w:sz w:val="20"/>
          <w:szCs w:val="20"/>
        </w:rPr>
        <w:t>меншого</w:t>
      </w:r>
      <w:r w:rsidRPr="000977F7">
        <w:rPr>
          <w:rFonts w:asciiTheme="majorHAnsi" w:hAnsiTheme="majorHAnsi"/>
          <w:spacing w:val="1"/>
          <w:sz w:val="20"/>
          <w:szCs w:val="20"/>
        </w:rPr>
        <w:t xml:space="preserve"> </w:t>
      </w:r>
      <w:r w:rsidRPr="000977F7">
        <w:rPr>
          <w:rFonts w:asciiTheme="majorHAnsi" w:hAnsiTheme="majorHAnsi"/>
          <w:sz w:val="20"/>
          <w:szCs w:val="20"/>
        </w:rPr>
        <w:t>навантаження</w:t>
      </w:r>
      <w:r w:rsidRPr="000977F7">
        <w:rPr>
          <w:rFonts w:asciiTheme="majorHAnsi" w:hAnsiTheme="majorHAnsi"/>
          <w:spacing w:val="-3"/>
          <w:sz w:val="20"/>
          <w:szCs w:val="20"/>
        </w:rPr>
        <w:t xml:space="preserve"> </w:t>
      </w:r>
      <w:r w:rsidRPr="000977F7">
        <w:rPr>
          <w:rFonts w:asciiTheme="majorHAnsi" w:hAnsiTheme="majorHAnsi"/>
          <w:sz w:val="20"/>
          <w:szCs w:val="20"/>
        </w:rPr>
        <w:t>порівняно з</w:t>
      </w:r>
      <w:r w:rsidRPr="000977F7">
        <w:rPr>
          <w:rFonts w:asciiTheme="majorHAnsi" w:hAnsiTheme="majorHAnsi"/>
          <w:spacing w:val="-1"/>
          <w:sz w:val="20"/>
          <w:szCs w:val="20"/>
        </w:rPr>
        <w:t xml:space="preserve"> </w:t>
      </w:r>
      <w:r w:rsidRPr="000977F7">
        <w:rPr>
          <w:rFonts w:asciiTheme="majorHAnsi" w:hAnsiTheme="majorHAnsi"/>
          <w:sz w:val="20"/>
          <w:szCs w:val="20"/>
        </w:rPr>
        <w:t>основним елементом</w:t>
      </w:r>
    </w:p>
    <w:p w14:paraId="03D005E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E8054E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ПОЛІГОННІ</w:t>
      </w:r>
      <w:r w:rsidRPr="000977F7">
        <w:rPr>
          <w:color w:val="auto"/>
          <w:spacing w:val="40"/>
          <w:sz w:val="20"/>
          <w:szCs w:val="20"/>
        </w:rPr>
        <w:t xml:space="preserve"> </w:t>
      </w:r>
      <w:r w:rsidRPr="000977F7">
        <w:rPr>
          <w:color w:val="auto"/>
          <w:sz w:val="20"/>
          <w:szCs w:val="20"/>
        </w:rPr>
        <w:t>ВИПРОБУВАННЯ –</w:t>
      </w:r>
    </w:p>
    <w:p w14:paraId="7C46DD4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GROUND</w:t>
      </w:r>
      <w:r w:rsidRPr="000977F7">
        <w:rPr>
          <w:rFonts w:asciiTheme="majorHAnsi" w:hAnsiTheme="majorHAnsi"/>
          <w:spacing w:val="46"/>
          <w:sz w:val="20"/>
          <w:szCs w:val="20"/>
        </w:rPr>
        <w:t xml:space="preserve"> </w:t>
      </w:r>
      <w:r w:rsidRPr="000977F7">
        <w:rPr>
          <w:rFonts w:asciiTheme="majorHAnsi" w:hAnsiTheme="majorHAnsi"/>
          <w:sz w:val="20"/>
          <w:szCs w:val="20"/>
        </w:rPr>
        <w:t>TEST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45A44DE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25"/>
          <w:sz w:val="20"/>
          <w:szCs w:val="20"/>
        </w:rPr>
        <w:t xml:space="preserve"> </w:t>
      </w:r>
      <w:r w:rsidRPr="000977F7">
        <w:rPr>
          <w:rFonts w:asciiTheme="majorHAnsi" w:hAnsiTheme="majorHAnsi"/>
          <w:sz w:val="20"/>
          <w:szCs w:val="20"/>
        </w:rPr>
        <w:t>об’єкта,</w:t>
      </w:r>
      <w:r w:rsidRPr="000977F7">
        <w:rPr>
          <w:rFonts w:asciiTheme="majorHAnsi" w:hAnsiTheme="majorHAnsi"/>
          <w:spacing w:val="27"/>
          <w:sz w:val="20"/>
          <w:szCs w:val="20"/>
        </w:rPr>
        <w:t xml:space="preserve"> </w:t>
      </w:r>
      <w:r w:rsidRPr="000977F7">
        <w:rPr>
          <w:rFonts w:asciiTheme="majorHAnsi" w:hAnsiTheme="majorHAnsi"/>
          <w:sz w:val="20"/>
          <w:szCs w:val="20"/>
        </w:rPr>
        <w:t>що</w:t>
      </w:r>
      <w:r w:rsidRPr="000977F7">
        <w:rPr>
          <w:rFonts w:asciiTheme="majorHAnsi" w:hAnsiTheme="majorHAnsi"/>
          <w:spacing w:val="27"/>
          <w:sz w:val="20"/>
          <w:szCs w:val="20"/>
        </w:rPr>
        <w:t xml:space="preserve"> </w:t>
      </w:r>
      <w:r w:rsidRPr="000977F7">
        <w:rPr>
          <w:rFonts w:asciiTheme="majorHAnsi" w:hAnsiTheme="majorHAnsi"/>
          <w:sz w:val="20"/>
          <w:szCs w:val="20"/>
        </w:rPr>
        <w:t>проводяться</w:t>
      </w:r>
      <w:r w:rsidRPr="000977F7">
        <w:rPr>
          <w:rFonts w:asciiTheme="majorHAnsi" w:hAnsiTheme="majorHAnsi"/>
          <w:spacing w:val="29"/>
          <w:sz w:val="20"/>
          <w:szCs w:val="20"/>
        </w:rPr>
        <w:t xml:space="preserve"> </w:t>
      </w:r>
      <w:r w:rsidRPr="000977F7">
        <w:rPr>
          <w:rFonts w:asciiTheme="majorHAnsi" w:hAnsiTheme="majorHAnsi"/>
          <w:sz w:val="20"/>
          <w:szCs w:val="20"/>
        </w:rPr>
        <w:t>на</w:t>
      </w:r>
      <w:r w:rsidRPr="000977F7">
        <w:rPr>
          <w:rFonts w:asciiTheme="majorHAnsi" w:hAnsiTheme="majorHAnsi"/>
          <w:spacing w:val="4"/>
          <w:sz w:val="20"/>
          <w:szCs w:val="20"/>
        </w:rPr>
        <w:t xml:space="preserve"> </w:t>
      </w:r>
      <w:r w:rsidRPr="000977F7">
        <w:rPr>
          <w:rFonts w:asciiTheme="majorHAnsi" w:hAnsiTheme="majorHAnsi"/>
          <w:sz w:val="20"/>
          <w:szCs w:val="20"/>
        </w:rPr>
        <w:t>випробувальному</w:t>
      </w:r>
      <w:r w:rsidRPr="000977F7">
        <w:rPr>
          <w:rFonts w:asciiTheme="majorHAnsi" w:hAnsiTheme="majorHAnsi"/>
          <w:spacing w:val="-5"/>
          <w:sz w:val="20"/>
          <w:szCs w:val="20"/>
        </w:rPr>
        <w:t xml:space="preserve"> </w:t>
      </w:r>
      <w:r w:rsidRPr="000977F7">
        <w:rPr>
          <w:rFonts w:asciiTheme="majorHAnsi" w:hAnsiTheme="majorHAnsi"/>
          <w:sz w:val="20"/>
          <w:szCs w:val="20"/>
        </w:rPr>
        <w:t>полігоні</w:t>
      </w:r>
    </w:p>
    <w:p w14:paraId="4B4C7D1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2"/>
          <w:sz w:val="20"/>
          <w:szCs w:val="20"/>
        </w:rPr>
        <w:t xml:space="preserve"> </w:t>
      </w:r>
      <w:r w:rsidRPr="000977F7">
        <w:rPr>
          <w:rFonts w:asciiTheme="majorHAnsi" w:hAnsiTheme="majorHAnsi"/>
          <w:i/>
          <w:sz w:val="20"/>
          <w:szCs w:val="20"/>
        </w:rPr>
        <w:t>– 95</w:t>
      </w:r>
    </w:p>
    <w:p w14:paraId="5067B8B7"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ПОЛІНОМІНАЛЬНА</w:t>
      </w:r>
      <w:r w:rsidRPr="000977F7">
        <w:rPr>
          <w:rFonts w:asciiTheme="majorHAnsi" w:hAnsiTheme="majorHAnsi"/>
          <w:b/>
          <w:spacing w:val="1"/>
          <w:sz w:val="20"/>
          <w:szCs w:val="20"/>
        </w:rPr>
        <w:t xml:space="preserve"> </w:t>
      </w:r>
      <w:r w:rsidRPr="000977F7">
        <w:rPr>
          <w:rFonts w:asciiTheme="majorHAnsi" w:hAnsiTheme="majorHAnsi"/>
          <w:b/>
          <w:sz w:val="20"/>
          <w:szCs w:val="20"/>
        </w:rPr>
        <w:t>МОДЕЛЬ</w:t>
      </w:r>
      <w:r w:rsidRPr="000977F7">
        <w:rPr>
          <w:rFonts w:asciiTheme="majorHAnsi" w:hAnsiTheme="majorHAnsi"/>
          <w:b/>
          <w:spacing w:val="1"/>
          <w:sz w:val="20"/>
          <w:szCs w:val="20"/>
        </w:rPr>
        <w:t xml:space="preserve"> </w:t>
      </w:r>
    </w:p>
    <w:p w14:paraId="36262AC2"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РЕГРЕСІЙНО</w:t>
      </w:r>
      <w:r w:rsidRPr="000977F7">
        <w:rPr>
          <w:rFonts w:asciiTheme="majorHAnsi" w:hAnsiTheme="majorHAnsi"/>
          <w:b/>
          <w:spacing w:val="-48"/>
          <w:sz w:val="20"/>
          <w:szCs w:val="20"/>
        </w:rPr>
        <w:t xml:space="preserve"> </w:t>
      </w:r>
      <w:r w:rsidRPr="000977F7">
        <w:rPr>
          <w:rFonts w:asciiTheme="majorHAnsi" w:hAnsiTheme="majorHAnsi"/>
          <w:b/>
          <w:sz w:val="20"/>
          <w:szCs w:val="20"/>
        </w:rPr>
        <w:t>ГО АНАЛІЗУ</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71432BF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Модель регресійного аналізу, лінійна за параметрами,</w:t>
      </w:r>
      <w:r w:rsidRPr="000977F7">
        <w:rPr>
          <w:rFonts w:asciiTheme="majorHAnsi" w:hAnsiTheme="majorHAnsi"/>
          <w:spacing w:val="1"/>
          <w:sz w:val="20"/>
          <w:szCs w:val="20"/>
        </w:rPr>
        <w:t xml:space="preserve"> </w:t>
      </w:r>
      <w:r w:rsidRPr="000977F7">
        <w:rPr>
          <w:rFonts w:asciiTheme="majorHAnsi" w:hAnsiTheme="majorHAnsi"/>
          <w:sz w:val="20"/>
          <w:szCs w:val="20"/>
        </w:rPr>
        <w:t>що задається</w:t>
      </w:r>
      <w:r w:rsidRPr="000977F7">
        <w:rPr>
          <w:rFonts w:asciiTheme="majorHAnsi" w:hAnsiTheme="majorHAnsi"/>
          <w:spacing w:val="-1"/>
          <w:sz w:val="20"/>
          <w:szCs w:val="20"/>
        </w:rPr>
        <w:t xml:space="preserve"> </w:t>
      </w:r>
      <w:r w:rsidRPr="000977F7">
        <w:rPr>
          <w:rFonts w:asciiTheme="majorHAnsi" w:hAnsiTheme="majorHAnsi"/>
          <w:sz w:val="20"/>
          <w:szCs w:val="20"/>
        </w:rPr>
        <w:t>поліномом</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47"/>
          <w:sz w:val="20"/>
          <w:szCs w:val="20"/>
        </w:rPr>
        <w:t xml:space="preserve"> </w:t>
      </w:r>
      <w:r w:rsidRPr="000977F7">
        <w:rPr>
          <w:rFonts w:asciiTheme="majorHAnsi" w:hAnsiTheme="majorHAnsi"/>
          <w:sz w:val="20"/>
          <w:szCs w:val="20"/>
        </w:rPr>
        <w:t>факторами</w:t>
      </w:r>
    </w:p>
    <w:p w14:paraId="38FB8F1C"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ПОЛІПШЕННЯ</w:t>
      </w:r>
      <w:r w:rsidRPr="000977F7">
        <w:rPr>
          <w:rFonts w:asciiTheme="majorHAnsi" w:hAnsiTheme="majorHAnsi"/>
          <w:b/>
          <w:bCs/>
          <w:spacing w:val="-11"/>
          <w:sz w:val="20"/>
          <w:szCs w:val="20"/>
        </w:rPr>
        <w:t xml:space="preserve"> </w:t>
      </w:r>
      <w:r w:rsidRPr="000977F7">
        <w:rPr>
          <w:rFonts w:asciiTheme="majorHAnsi" w:hAnsiTheme="majorHAnsi"/>
          <w:b/>
          <w:bCs/>
          <w:sz w:val="20"/>
          <w:szCs w:val="20"/>
        </w:rPr>
        <w:t>–</w:t>
      </w:r>
    </w:p>
    <w:p w14:paraId="25ADE4F0"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Термічна обробка, яка складається із загартування</w:t>
      </w:r>
      <w:r w:rsidRPr="000977F7">
        <w:rPr>
          <w:rFonts w:asciiTheme="majorHAnsi" w:hAnsiTheme="majorHAnsi"/>
          <w:spacing w:val="-48"/>
          <w:sz w:val="20"/>
          <w:szCs w:val="20"/>
        </w:rPr>
        <w:t xml:space="preserve"> </w:t>
      </w:r>
      <w:r w:rsidRPr="000977F7">
        <w:rPr>
          <w:rFonts w:asciiTheme="majorHAnsi" w:hAnsiTheme="majorHAnsi"/>
          <w:sz w:val="20"/>
          <w:szCs w:val="20"/>
        </w:rPr>
        <w:t>сталі з наступним високим відпуском</w:t>
      </w:r>
      <w:r w:rsidRPr="000977F7">
        <w:rPr>
          <w:rFonts w:asciiTheme="majorHAnsi" w:hAnsiTheme="majorHAnsi"/>
          <w:spacing w:val="1"/>
          <w:sz w:val="20"/>
          <w:szCs w:val="20"/>
        </w:rPr>
        <w:t xml:space="preserve"> </w:t>
      </w:r>
    </w:p>
    <w:p w14:paraId="1B3494C5"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ПОЛІПШУВАННЯ –</w:t>
      </w:r>
    </w:p>
    <w:p w14:paraId="4B3C0B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визначати та вибирати можливості для поліпшування та виконувати будь-які необхідні дії для задоволення вимог замовника та підвищення</w:t>
      </w:r>
      <w:r w:rsidRPr="000977F7">
        <w:rPr>
          <w:rFonts w:asciiTheme="majorHAnsi" w:hAnsiTheme="majorHAnsi"/>
          <w:spacing w:val="-47"/>
          <w:sz w:val="20"/>
          <w:szCs w:val="20"/>
        </w:rPr>
        <w:t xml:space="preserve"> </w:t>
      </w:r>
      <w:r w:rsidRPr="000977F7">
        <w:rPr>
          <w:rFonts w:asciiTheme="majorHAnsi" w:hAnsiTheme="majorHAnsi"/>
          <w:sz w:val="20"/>
          <w:szCs w:val="20"/>
        </w:rPr>
        <w:t>задоволеності</w:t>
      </w:r>
      <w:r w:rsidRPr="000977F7">
        <w:rPr>
          <w:rFonts w:asciiTheme="majorHAnsi" w:hAnsiTheme="majorHAnsi"/>
          <w:spacing w:val="-2"/>
          <w:sz w:val="20"/>
          <w:szCs w:val="20"/>
        </w:rPr>
        <w:t xml:space="preserve"> </w:t>
      </w:r>
      <w:r w:rsidRPr="000977F7">
        <w:rPr>
          <w:rFonts w:asciiTheme="majorHAnsi" w:hAnsiTheme="majorHAnsi"/>
          <w:sz w:val="20"/>
          <w:szCs w:val="20"/>
        </w:rPr>
        <w:t>замовника.</w:t>
      </w:r>
    </w:p>
    <w:p w14:paraId="5989881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Потрібно,</w:t>
      </w:r>
      <w:r w:rsidRPr="000977F7">
        <w:rPr>
          <w:rFonts w:asciiTheme="majorHAnsi" w:hAnsiTheme="majorHAnsi"/>
          <w:spacing w:val="-3"/>
          <w:sz w:val="20"/>
          <w:szCs w:val="20"/>
        </w:rPr>
        <w:t xml:space="preserve"> </w:t>
      </w:r>
      <w:r w:rsidRPr="000977F7">
        <w:rPr>
          <w:rFonts w:asciiTheme="majorHAnsi" w:hAnsiTheme="majorHAnsi"/>
          <w:sz w:val="20"/>
          <w:szCs w:val="20"/>
        </w:rPr>
        <w:t>щоб</w:t>
      </w:r>
      <w:r w:rsidRPr="000977F7">
        <w:rPr>
          <w:rFonts w:asciiTheme="majorHAnsi" w:hAnsiTheme="majorHAnsi"/>
          <w:spacing w:val="-4"/>
          <w:sz w:val="20"/>
          <w:szCs w:val="20"/>
        </w:rPr>
        <w:t xml:space="preserve"> </w:t>
      </w:r>
      <w:r w:rsidRPr="000977F7">
        <w:rPr>
          <w:rFonts w:asciiTheme="majorHAnsi" w:hAnsiTheme="majorHAnsi"/>
          <w:sz w:val="20"/>
          <w:szCs w:val="20"/>
        </w:rPr>
        <w:t>це</w:t>
      </w:r>
      <w:r w:rsidRPr="000977F7">
        <w:rPr>
          <w:rFonts w:asciiTheme="majorHAnsi" w:hAnsiTheme="majorHAnsi"/>
          <w:spacing w:val="-3"/>
          <w:sz w:val="20"/>
          <w:szCs w:val="20"/>
        </w:rPr>
        <w:t xml:space="preserve"> </w:t>
      </w:r>
      <w:r w:rsidRPr="000977F7">
        <w:rPr>
          <w:rFonts w:asciiTheme="majorHAnsi" w:hAnsiTheme="majorHAnsi"/>
          <w:sz w:val="20"/>
          <w:szCs w:val="20"/>
        </w:rPr>
        <w:t>охоплювало:</w:t>
      </w:r>
    </w:p>
    <w:p w14:paraId="0C36F0B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поліпшування продукції та послуг з тим, щоб задовольняти вимоги, а також щоб ураховувати майбутні</w:t>
      </w:r>
      <w:r w:rsidRPr="000977F7">
        <w:rPr>
          <w:rFonts w:asciiTheme="majorHAnsi" w:hAnsiTheme="majorHAnsi"/>
          <w:spacing w:val="1"/>
          <w:sz w:val="20"/>
          <w:szCs w:val="20"/>
        </w:rPr>
        <w:t xml:space="preserve"> </w:t>
      </w:r>
      <w:r w:rsidRPr="000977F7">
        <w:rPr>
          <w:rFonts w:asciiTheme="majorHAnsi" w:hAnsiTheme="majorHAnsi"/>
          <w:sz w:val="20"/>
          <w:szCs w:val="20"/>
        </w:rPr>
        <w:t>потреби</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очікування;</w:t>
      </w:r>
    </w:p>
    <w:p w14:paraId="32BE4B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w:t>
      </w:r>
      <w:r w:rsidRPr="000977F7">
        <w:rPr>
          <w:rFonts w:asciiTheme="majorHAnsi" w:hAnsiTheme="majorHAnsi"/>
          <w:spacing w:val="1"/>
          <w:sz w:val="20"/>
          <w:szCs w:val="20"/>
        </w:rPr>
        <w:t xml:space="preserve"> </w:t>
      </w:r>
      <w:r w:rsidRPr="000977F7">
        <w:rPr>
          <w:rFonts w:asciiTheme="majorHAnsi" w:hAnsiTheme="majorHAnsi"/>
          <w:sz w:val="20"/>
          <w:szCs w:val="20"/>
        </w:rPr>
        <w:t>коригування,</w:t>
      </w:r>
      <w:r w:rsidRPr="000977F7">
        <w:rPr>
          <w:rFonts w:asciiTheme="majorHAnsi" w:hAnsiTheme="majorHAnsi"/>
          <w:spacing w:val="1"/>
          <w:sz w:val="20"/>
          <w:szCs w:val="20"/>
        </w:rPr>
        <w:t xml:space="preserve"> </w:t>
      </w:r>
      <w:r w:rsidRPr="000977F7">
        <w:rPr>
          <w:rFonts w:asciiTheme="majorHAnsi" w:hAnsiTheme="majorHAnsi"/>
          <w:sz w:val="20"/>
          <w:szCs w:val="20"/>
        </w:rPr>
        <w:t>запобігання</w:t>
      </w:r>
      <w:r w:rsidRPr="000977F7">
        <w:rPr>
          <w:rFonts w:asciiTheme="majorHAnsi" w:hAnsiTheme="majorHAnsi"/>
          <w:spacing w:val="1"/>
          <w:sz w:val="20"/>
          <w:szCs w:val="20"/>
        </w:rPr>
        <w:t xml:space="preserve"> </w:t>
      </w:r>
      <w:r w:rsidRPr="000977F7">
        <w:rPr>
          <w:rFonts w:asciiTheme="majorHAnsi" w:hAnsiTheme="majorHAnsi"/>
          <w:sz w:val="20"/>
          <w:szCs w:val="20"/>
        </w:rPr>
        <w:t>виникненню</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зменшення</w:t>
      </w:r>
      <w:r w:rsidRPr="000977F7">
        <w:rPr>
          <w:rFonts w:asciiTheme="majorHAnsi" w:hAnsiTheme="majorHAnsi"/>
          <w:spacing w:val="-2"/>
          <w:sz w:val="20"/>
          <w:szCs w:val="20"/>
        </w:rPr>
        <w:t xml:space="preserve"> </w:t>
      </w:r>
      <w:r w:rsidRPr="000977F7">
        <w:rPr>
          <w:rFonts w:asciiTheme="majorHAnsi" w:hAnsiTheme="majorHAnsi"/>
          <w:sz w:val="20"/>
          <w:szCs w:val="20"/>
        </w:rPr>
        <w:t>небажаних</w:t>
      </w:r>
      <w:r w:rsidRPr="000977F7">
        <w:rPr>
          <w:rFonts w:asciiTheme="majorHAnsi" w:hAnsiTheme="majorHAnsi"/>
          <w:spacing w:val="-1"/>
          <w:sz w:val="20"/>
          <w:szCs w:val="20"/>
        </w:rPr>
        <w:t xml:space="preserve"> </w:t>
      </w:r>
      <w:r w:rsidRPr="000977F7">
        <w:rPr>
          <w:rFonts w:asciiTheme="majorHAnsi" w:hAnsiTheme="majorHAnsi"/>
          <w:sz w:val="20"/>
          <w:szCs w:val="20"/>
        </w:rPr>
        <w:t>впливів;</w:t>
      </w:r>
    </w:p>
    <w:p w14:paraId="495D29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с) поліпшування дієвості та результативності системи 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якістю.</w:t>
      </w:r>
    </w:p>
    <w:p w14:paraId="1618F4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 р и м і т к а: Приклади поліпшування можуть охоплювати коригування, коригувальну дію, постійне поліпшування, проривну зміну, інновацію та реорганізацію.</w:t>
      </w:r>
    </w:p>
    <w:p w14:paraId="56654BAA"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ISO 9001:2015</w:t>
      </w:r>
    </w:p>
    <w:p w14:paraId="0714ABB4"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en-US"/>
        </w:rPr>
      </w:pPr>
      <w:r w:rsidRPr="000977F7">
        <w:rPr>
          <w:rFonts w:asciiTheme="majorHAnsi" w:hAnsiTheme="majorHAnsi"/>
          <w:b/>
          <w:sz w:val="20"/>
          <w:szCs w:val="20"/>
        </w:rPr>
        <w:t>ПОЛІПШУВАННЯ</w:t>
      </w:r>
      <w:r w:rsidRPr="004D2D14">
        <w:rPr>
          <w:rFonts w:asciiTheme="majorHAnsi" w:hAnsiTheme="majorHAnsi"/>
          <w:b/>
          <w:sz w:val="20"/>
          <w:szCs w:val="20"/>
          <w:lang w:val="en-US"/>
        </w:rPr>
        <w:t xml:space="preserve"> </w:t>
      </w:r>
      <w:r w:rsidRPr="000977F7">
        <w:rPr>
          <w:rFonts w:asciiTheme="majorHAnsi" w:hAnsiTheme="majorHAnsi"/>
          <w:b/>
          <w:sz w:val="20"/>
          <w:szCs w:val="20"/>
        </w:rPr>
        <w:t>ЯКОСТІ</w:t>
      </w:r>
    </w:p>
    <w:p w14:paraId="3F0BBDEE"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QUALITY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IMPROVEMENT-</w:t>
      </w:r>
    </w:p>
    <w:p w14:paraId="40822D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Складова частина управління якістю, зосереджена на</w:t>
      </w:r>
      <w:r w:rsidRPr="000977F7">
        <w:rPr>
          <w:rFonts w:asciiTheme="majorHAnsi" w:hAnsiTheme="majorHAnsi"/>
          <w:spacing w:val="1"/>
          <w:sz w:val="20"/>
          <w:szCs w:val="20"/>
        </w:rPr>
        <w:t xml:space="preserve"> </w:t>
      </w:r>
      <w:r w:rsidRPr="000977F7">
        <w:rPr>
          <w:rFonts w:asciiTheme="majorHAnsi" w:hAnsiTheme="majorHAnsi"/>
          <w:sz w:val="20"/>
          <w:szCs w:val="20"/>
        </w:rPr>
        <w:t>збільшуванні</w:t>
      </w:r>
      <w:r w:rsidRPr="000977F7">
        <w:rPr>
          <w:rFonts w:asciiTheme="majorHAnsi" w:hAnsiTheme="majorHAnsi"/>
          <w:spacing w:val="1"/>
          <w:sz w:val="20"/>
          <w:szCs w:val="20"/>
        </w:rPr>
        <w:t xml:space="preserve"> </w:t>
      </w:r>
      <w:r w:rsidRPr="000977F7">
        <w:rPr>
          <w:rFonts w:asciiTheme="majorHAnsi" w:hAnsiTheme="majorHAnsi"/>
          <w:sz w:val="20"/>
          <w:szCs w:val="20"/>
        </w:rPr>
        <w:t>здатності</w:t>
      </w:r>
      <w:r w:rsidRPr="000977F7">
        <w:rPr>
          <w:rFonts w:asciiTheme="majorHAnsi" w:hAnsiTheme="majorHAnsi"/>
          <w:spacing w:val="1"/>
          <w:sz w:val="20"/>
          <w:szCs w:val="20"/>
        </w:rPr>
        <w:t xml:space="preserve"> </w:t>
      </w:r>
      <w:r w:rsidRPr="000977F7">
        <w:rPr>
          <w:rFonts w:asciiTheme="majorHAnsi" w:hAnsiTheme="majorHAnsi"/>
          <w:sz w:val="20"/>
          <w:szCs w:val="20"/>
        </w:rPr>
        <w:t>виконувати</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p>
    <w:p w14:paraId="5D13948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Вимоги щодо якості можуть бути пов’язані</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будь-яким</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таких</w:t>
      </w:r>
      <w:r w:rsidRPr="000977F7">
        <w:rPr>
          <w:rFonts w:asciiTheme="majorHAnsi" w:hAnsiTheme="majorHAnsi"/>
          <w:spacing w:val="1"/>
          <w:sz w:val="20"/>
          <w:szCs w:val="20"/>
        </w:rPr>
        <w:t xml:space="preserve"> </w:t>
      </w:r>
      <w:r w:rsidRPr="000977F7">
        <w:rPr>
          <w:rFonts w:asciiTheme="majorHAnsi" w:hAnsiTheme="majorHAnsi"/>
          <w:sz w:val="20"/>
          <w:szCs w:val="20"/>
        </w:rPr>
        <w:t>аспектів,</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результативність,</w:t>
      </w:r>
      <w:r w:rsidRPr="000977F7">
        <w:rPr>
          <w:rFonts w:asciiTheme="majorHAnsi" w:hAnsiTheme="majorHAnsi"/>
          <w:spacing w:val="1"/>
          <w:sz w:val="20"/>
          <w:szCs w:val="20"/>
        </w:rPr>
        <w:t xml:space="preserve"> </w:t>
      </w:r>
      <w:r w:rsidRPr="000977F7">
        <w:rPr>
          <w:rFonts w:asciiTheme="majorHAnsi" w:hAnsiTheme="majorHAnsi"/>
          <w:sz w:val="20"/>
          <w:szCs w:val="20"/>
        </w:rPr>
        <w:t>ефективність</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простежуваніть.</w:t>
      </w:r>
    </w:p>
    <w:p w14:paraId="5335613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41DF964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ПОЛІТИКА</w:t>
      </w:r>
      <w:r w:rsidRPr="000977F7">
        <w:rPr>
          <w:color w:val="auto"/>
          <w:spacing w:val="-5"/>
          <w:sz w:val="20"/>
          <w:szCs w:val="20"/>
        </w:rPr>
        <w:t xml:space="preserve"> </w:t>
      </w:r>
      <w:r w:rsidRPr="000977F7">
        <w:rPr>
          <w:color w:val="auto"/>
          <w:sz w:val="20"/>
          <w:szCs w:val="20"/>
        </w:rPr>
        <w:t>–</w:t>
      </w:r>
    </w:p>
    <w:p w14:paraId="39961CEE"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Формування</w:t>
      </w:r>
      <w:r w:rsidRPr="000977F7">
        <w:rPr>
          <w:rFonts w:asciiTheme="majorHAnsi" w:hAnsiTheme="majorHAnsi"/>
          <w:b/>
          <w:spacing w:val="-3"/>
          <w:sz w:val="20"/>
          <w:szCs w:val="20"/>
        </w:rPr>
        <w:t xml:space="preserve"> </w:t>
      </w:r>
      <w:r w:rsidRPr="000977F7">
        <w:rPr>
          <w:rFonts w:asciiTheme="majorHAnsi" w:hAnsiTheme="majorHAnsi"/>
          <w:b/>
          <w:sz w:val="20"/>
          <w:szCs w:val="20"/>
        </w:rPr>
        <w:t>політики</w:t>
      </w:r>
      <w:r w:rsidRPr="000977F7">
        <w:rPr>
          <w:rFonts w:asciiTheme="majorHAnsi" w:hAnsiTheme="majorHAnsi"/>
          <w:b/>
          <w:spacing w:val="-2"/>
          <w:sz w:val="20"/>
          <w:szCs w:val="20"/>
        </w:rPr>
        <w:t xml:space="preserve"> </w:t>
      </w:r>
      <w:r w:rsidRPr="000977F7">
        <w:rPr>
          <w:rFonts w:asciiTheme="majorHAnsi" w:hAnsiTheme="majorHAnsi"/>
          <w:b/>
          <w:sz w:val="20"/>
          <w:szCs w:val="20"/>
        </w:rPr>
        <w:t>у</w:t>
      </w:r>
      <w:r w:rsidRPr="000977F7">
        <w:rPr>
          <w:rFonts w:asciiTheme="majorHAnsi" w:hAnsiTheme="majorHAnsi"/>
          <w:b/>
          <w:spacing w:val="-2"/>
          <w:sz w:val="20"/>
          <w:szCs w:val="20"/>
        </w:rPr>
        <w:t xml:space="preserve"> </w:t>
      </w:r>
      <w:r w:rsidRPr="000977F7">
        <w:rPr>
          <w:rFonts w:asciiTheme="majorHAnsi" w:hAnsiTheme="majorHAnsi"/>
          <w:b/>
          <w:sz w:val="20"/>
          <w:szCs w:val="20"/>
        </w:rPr>
        <w:t>сфері</w:t>
      </w:r>
      <w:r w:rsidRPr="000977F7">
        <w:rPr>
          <w:rFonts w:asciiTheme="majorHAnsi" w:hAnsiTheme="majorHAnsi"/>
          <w:b/>
          <w:spacing w:val="-3"/>
          <w:sz w:val="20"/>
          <w:szCs w:val="20"/>
        </w:rPr>
        <w:t xml:space="preserve"> </w:t>
      </w:r>
      <w:r w:rsidRPr="000977F7">
        <w:rPr>
          <w:rFonts w:asciiTheme="majorHAnsi" w:hAnsiTheme="majorHAnsi"/>
          <w:b/>
          <w:sz w:val="20"/>
          <w:szCs w:val="20"/>
        </w:rPr>
        <w:t>якості</w:t>
      </w:r>
    </w:p>
    <w:p w14:paraId="4EE0B43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Найвище</w:t>
      </w:r>
      <w:r w:rsidRPr="000977F7">
        <w:rPr>
          <w:rFonts w:asciiTheme="majorHAnsi" w:hAnsiTheme="majorHAnsi"/>
          <w:spacing w:val="34"/>
          <w:sz w:val="20"/>
          <w:szCs w:val="20"/>
        </w:rPr>
        <w:t xml:space="preserve"> </w:t>
      </w:r>
      <w:r w:rsidRPr="000977F7">
        <w:rPr>
          <w:rFonts w:asciiTheme="majorHAnsi" w:hAnsiTheme="majorHAnsi"/>
          <w:sz w:val="20"/>
          <w:szCs w:val="20"/>
        </w:rPr>
        <w:t>керівництво</w:t>
      </w:r>
      <w:r w:rsidRPr="000977F7">
        <w:rPr>
          <w:rFonts w:asciiTheme="majorHAnsi" w:hAnsiTheme="majorHAnsi"/>
          <w:spacing w:val="35"/>
          <w:sz w:val="20"/>
          <w:szCs w:val="20"/>
        </w:rPr>
        <w:t xml:space="preserve"> </w:t>
      </w:r>
      <w:r w:rsidRPr="000977F7">
        <w:rPr>
          <w:rFonts w:asciiTheme="majorHAnsi" w:hAnsiTheme="majorHAnsi"/>
          <w:sz w:val="20"/>
          <w:szCs w:val="20"/>
        </w:rPr>
        <w:t>повинне</w:t>
      </w:r>
      <w:r w:rsidRPr="000977F7">
        <w:rPr>
          <w:rFonts w:asciiTheme="majorHAnsi" w:hAnsiTheme="majorHAnsi"/>
          <w:spacing w:val="32"/>
          <w:sz w:val="20"/>
          <w:szCs w:val="20"/>
        </w:rPr>
        <w:t xml:space="preserve"> </w:t>
      </w:r>
      <w:r w:rsidRPr="000977F7">
        <w:rPr>
          <w:rFonts w:asciiTheme="majorHAnsi" w:hAnsiTheme="majorHAnsi"/>
          <w:sz w:val="20"/>
          <w:szCs w:val="20"/>
        </w:rPr>
        <w:t>сформувати,</w:t>
      </w:r>
      <w:r w:rsidRPr="000977F7">
        <w:rPr>
          <w:rFonts w:asciiTheme="majorHAnsi" w:hAnsiTheme="majorHAnsi"/>
          <w:spacing w:val="32"/>
          <w:sz w:val="20"/>
          <w:szCs w:val="20"/>
        </w:rPr>
        <w:t xml:space="preserve"> </w:t>
      </w:r>
      <w:r w:rsidRPr="000977F7">
        <w:rPr>
          <w:rFonts w:asciiTheme="majorHAnsi" w:hAnsiTheme="majorHAnsi"/>
          <w:sz w:val="20"/>
          <w:szCs w:val="20"/>
        </w:rPr>
        <w:t>запровадити</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актуалізувати політику</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5"/>
          <w:sz w:val="20"/>
          <w:szCs w:val="20"/>
        </w:rPr>
        <w:t xml:space="preserve"> </w:t>
      </w:r>
      <w:r w:rsidRPr="000977F7">
        <w:rPr>
          <w:rFonts w:asciiTheme="majorHAnsi" w:hAnsiTheme="majorHAnsi"/>
          <w:sz w:val="20"/>
          <w:szCs w:val="20"/>
        </w:rPr>
        <w:t>сфері</w:t>
      </w:r>
      <w:r w:rsidRPr="000977F7">
        <w:rPr>
          <w:rFonts w:asciiTheme="majorHAnsi" w:hAnsiTheme="majorHAnsi"/>
          <w:spacing w:val="-2"/>
          <w:sz w:val="20"/>
          <w:szCs w:val="20"/>
        </w:rPr>
        <w:t xml:space="preserve"> </w:t>
      </w:r>
      <w:r w:rsidRPr="000977F7">
        <w:rPr>
          <w:rFonts w:asciiTheme="majorHAnsi" w:hAnsiTheme="majorHAnsi"/>
          <w:sz w:val="20"/>
          <w:szCs w:val="20"/>
        </w:rPr>
        <w:t>якості,</w:t>
      </w:r>
    </w:p>
    <w:p w14:paraId="1D6DC4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18"/>
          <w:sz w:val="20"/>
          <w:szCs w:val="20"/>
        </w:rPr>
        <w:t xml:space="preserve"> </w:t>
      </w:r>
      <w:r w:rsidRPr="000977F7">
        <w:rPr>
          <w:rFonts w:asciiTheme="majorHAnsi" w:hAnsiTheme="majorHAnsi"/>
          <w:sz w:val="20"/>
          <w:szCs w:val="20"/>
        </w:rPr>
        <w:t>яка</w:t>
      </w:r>
      <w:r w:rsidRPr="000977F7">
        <w:rPr>
          <w:rFonts w:asciiTheme="majorHAnsi" w:hAnsiTheme="majorHAnsi"/>
          <w:spacing w:val="17"/>
          <w:sz w:val="20"/>
          <w:szCs w:val="20"/>
        </w:rPr>
        <w:t xml:space="preserve"> </w:t>
      </w:r>
      <w:r w:rsidRPr="000977F7">
        <w:rPr>
          <w:rFonts w:asciiTheme="majorHAnsi" w:hAnsiTheme="majorHAnsi"/>
          <w:sz w:val="20"/>
          <w:szCs w:val="20"/>
        </w:rPr>
        <w:t>відповідає</w:t>
      </w:r>
      <w:r w:rsidRPr="000977F7">
        <w:rPr>
          <w:rFonts w:asciiTheme="majorHAnsi" w:hAnsiTheme="majorHAnsi"/>
          <w:spacing w:val="17"/>
          <w:sz w:val="20"/>
          <w:szCs w:val="20"/>
        </w:rPr>
        <w:t xml:space="preserve"> </w:t>
      </w:r>
      <w:r w:rsidRPr="000977F7">
        <w:rPr>
          <w:rFonts w:asciiTheme="majorHAnsi" w:hAnsiTheme="majorHAnsi"/>
          <w:sz w:val="20"/>
          <w:szCs w:val="20"/>
        </w:rPr>
        <w:t>призначеності</w:t>
      </w:r>
      <w:r w:rsidRPr="000977F7">
        <w:rPr>
          <w:rFonts w:asciiTheme="majorHAnsi" w:hAnsiTheme="majorHAnsi"/>
          <w:spacing w:val="16"/>
          <w:sz w:val="20"/>
          <w:szCs w:val="20"/>
        </w:rPr>
        <w:t xml:space="preserve"> </w:t>
      </w:r>
      <w:r w:rsidRPr="000977F7">
        <w:rPr>
          <w:rFonts w:asciiTheme="majorHAnsi" w:hAnsiTheme="majorHAnsi"/>
          <w:sz w:val="20"/>
          <w:szCs w:val="20"/>
        </w:rPr>
        <w:t>й</w:t>
      </w:r>
      <w:r w:rsidRPr="000977F7">
        <w:rPr>
          <w:rFonts w:asciiTheme="majorHAnsi" w:hAnsiTheme="majorHAnsi"/>
          <w:spacing w:val="16"/>
          <w:sz w:val="20"/>
          <w:szCs w:val="20"/>
        </w:rPr>
        <w:t xml:space="preserve"> </w:t>
      </w:r>
      <w:r w:rsidRPr="000977F7">
        <w:rPr>
          <w:rFonts w:asciiTheme="majorHAnsi" w:hAnsiTheme="majorHAnsi"/>
          <w:sz w:val="20"/>
          <w:szCs w:val="20"/>
        </w:rPr>
        <w:t>середовищу</w:t>
      </w:r>
      <w:r w:rsidRPr="000977F7">
        <w:rPr>
          <w:rFonts w:asciiTheme="majorHAnsi" w:hAnsiTheme="majorHAnsi"/>
          <w:spacing w:val="16"/>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підтримує</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2"/>
          <w:sz w:val="20"/>
          <w:szCs w:val="20"/>
        </w:rPr>
        <w:t xml:space="preserve"> </w:t>
      </w:r>
      <w:r w:rsidRPr="000977F7">
        <w:rPr>
          <w:rFonts w:asciiTheme="majorHAnsi" w:hAnsiTheme="majorHAnsi"/>
          <w:sz w:val="20"/>
          <w:szCs w:val="20"/>
        </w:rPr>
        <w:t>стратегічний</w:t>
      </w:r>
      <w:r w:rsidRPr="000977F7">
        <w:rPr>
          <w:rFonts w:asciiTheme="majorHAnsi" w:hAnsiTheme="majorHAnsi"/>
          <w:spacing w:val="-2"/>
          <w:sz w:val="20"/>
          <w:szCs w:val="20"/>
        </w:rPr>
        <w:t xml:space="preserve"> </w:t>
      </w:r>
      <w:r w:rsidRPr="000977F7">
        <w:rPr>
          <w:rFonts w:asciiTheme="majorHAnsi" w:hAnsiTheme="majorHAnsi"/>
          <w:sz w:val="20"/>
          <w:szCs w:val="20"/>
        </w:rPr>
        <w:t>напрямок;</w:t>
      </w:r>
    </w:p>
    <w:p w14:paraId="172854A6" w14:textId="77777777" w:rsidR="0097612F" w:rsidRPr="000977F7" w:rsidRDefault="0097612F" w:rsidP="00FD39A4">
      <w:pPr>
        <w:pStyle w:val="ac"/>
        <w:widowControl w:val="0"/>
        <w:numPr>
          <w:ilvl w:val="0"/>
          <w:numId w:val="114"/>
        </w:numPr>
        <w:tabs>
          <w:tab w:val="left" w:pos="284"/>
          <w:tab w:val="left" w:pos="57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яка</w:t>
      </w:r>
      <w:r w:rsidRPr="000977F7">
        <w:rPr>
          <w:rFonts w:asciiTheme="majorHAnsi" w:hAnsiTheme="majorHAnsi"/>
          <w:spacing w:val="36"/>
          <w:sz w:val="20"/>
          <w:szCs w:val="20"/>
        </w:rPr>
        <w:t xml:space="preserve"> </w:t>
      </w:r>
      <w:r w:rsidRPr="000977F7">
        <w:rPr>
          <w:rFonts w:asciiTheme="majorHAnsi" w:hAnsiTheme="majorHAnsi"/>
          <w:sz w:val="20"/>
          <w:szCs w:val="20"/>
        </w:rPr>
        <w:t>надає</w:t>
      </w:r>
      <w:r w:rsidRPr="000977F7">
        <w:rPr>
          <w:rFonts w:asciiTheme="majorHAnsi" w:hAnsiTheme="majorHAnsi"/>
          <w:spacing w:val="37"/>
          <w:sz w:val="20"/>
          <w:szCs w:val="20"/>
        </w:rPr>
        <w:t xml:space="preserve"> </w:t>
      </w:r>
      <w:r w:rsidRPr="000977F7">
        <w:rPr>
          <w:rFonts w:asciiTheme="majorHAnsi" w:hAnsiTheme="majorHAnsi"/>
          <w:sz w:val="20"/>
          <w:szCs w:val="20"/>
        </w:rPr>
        <w:t>основу</w:t>
      </w:r>
      <w:r w:rsidRPr="000977F7">
        <w:rPr>
          <w:rFonts w:asciiTheme="majorHAnsi" w:hAnsiTheme="majorHAnsi"/>
          <w:spacing w:val="33"/>
          <w:sz w:val="20"/>
          <w:szCs w:val="20"/>
        </w:rPr>
        <w:t xml:space="preserve"> </w:t>
      </w:r>
      <w:r w:rsidRPr="000977F7">
        <w:rPr>
          <w:rFonts w:asciiTheme="majorHAnsi" w:hAnsiTheme="majorHAnsi"/>
          <w:sz w:val="20"/>
          <w:szCs w:val="20"/>
        </w:rPr>
        <w:t>для</w:t>
      </w:r>
      <w:r w:rsidRPr="000977F7">
        <w:rPr>
          <w:rFonts w:asciiTheme="majorHAnsi" w:hAnsiTheme="majorHAnsi"/>
          <w:spacing w:val="35"/>
          <w:sz w:val="20"/>
          <w:szCs w:val="20"/>
        </w:rPr>
        <w:t xml:space="preserve"> </w:t>
      </w:r>
      <w:r w:rsidRPr="000977F7">
        <w:rPr>
          <w:rFonts w:asciiTheme="majorHAnsi" w:hAnsiTheme="majorHAnsi"/>
          <w:sz w:val="20"/>
          <w:szCs w:val="20"/>
        </w:rPr>
        <w:t>встановлення</w:t>
      </w:r>
      <w:r w:rsidRPr="000977F7">
        <w:rPr>
          <w:rFonts w:asciiTheme="majorHAnsi" w:hAnsiTheme="majorHAnsi"/>
          <w:spacing w:val="36"/>
          <w:sz w:val="20"/>
          <w:szCs w:val="20"/>
        </w:rPr>
        <w:t xml:space="preserve"> </w:t>
      </w:r>
      <w:r w:rsidRPr="000977F7">
        <w:rPr>
          <w:rFonts w:asciiTheme="majorHAnsi" w:hAnsiTheme="majorHAnsi"/>
          <w:sz w:val="20"/>
          <w:szCs w:val="20"/>
        </w:rPr>
        <w:t>цілей</w:t>
      </w:r>
      <w:r w:rsidRPr="000977F7">
        <w:rPr>
          <w:rFonts w:asciiTheme="majorHAnsi" w:hAnsiTheme="majorHAnsi"/>
          <w:spacing w:val="38"/>
          <w:sz w:val="20"/>
          <w:szCs w:val="20"/>
        </w:rPr>
        <w:t xml:space="preserve"> </w:t>
      </w:r>
      <w:r w:rsidRPr="000977F7">
        <w:rPr>
          <w:rFonts w:asciiTheme="majorHAnsi" w:hAnsiTheme="majorHAnsi"/>
          <w:sz w:val="20"/>
          <w:szCs w:val="20"/>
        </w:rPr>
        <w:t>у</w:t>
      </w:r>
      <w:r w:rsidRPr="000977F7">
        <w:rPr>
          <w:rFonts w:asciiTheme="majorHAnsi" w:hAnsiTheme="majorHAnsi"/>
          <w:spacing w:val="33"/>
          <w:sz w:val="20"/>
          <w:szCs w:val="20"/>
        </w:rPr>
        <w:t xml:space="preserve"> </w:t>
      </w:r>
      <w:r w:rsidRPr="000977F7">
        <w:rPr>
          <w:rFonts w:asciiTheme="majorHAnsi" w:hAnsiTheme="majorHAnsi"/>
          <w:sz w:val="20"/>
          <w:szCs w:val="20"/>
        </w:rPr>
        <w:t xml:space="preserve">сфері </w:t>
      </w:r>
      <w:r w:rsidRPr="000977F7">
        <w:rPr>
          <w:rFonts w:asciiTheme="majorHAnsi" w:hAnsiTheme="majorHAnsi"/>
          <w:spacing w:val="-47"/>
          <w:sz w:val="20"/>
          <w:szCs w:val="20"/>
        </w:rPr>
        <w:t xml:space="preserve"> </w:t>
      </w:r>
      <w:r w:rsidRPr="000977F7">
        <w:rPr>
          <w:rFonts w:asciiTheme="majorHAnsi" w:hAnsiTheme="majorHAnsi"/>
          <w:sz w:val="20"/>
          <w:szCs w:val="20"/>
        </w:rPr>
        <w:t>якості;</w:t>
      </w:r>
    </w:p>
    <w:p w14:paraId="01441FA7" w14:textId="77777777" w:rsidR="0097612F" w:rsidRPr="000977F7" w:rsidRDefault="0097612F" w:rsidP="00FD39A4">
      <w:pPr>
        <w:pStyle w:val="ac"/>
        <w:widowControl w:val="0"/>
        <w:numPr>
          <w:ilvl w:val="0"/>
          <w:numId w:val="114"/>
        </w:numPr>
        <w:tabs>
          <w:tab w:val="left" w:pos="284"/>
          <w:tab w:val="left" w:pos="55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w:t>
      </w:r>
      <w:r w:rsidRPr="000977F7">
        <w:rPr>
          <w:rFonts w:asciiTheme="majorHAnsi" w:hAnsiTheme="majorHAnsi"/>
          <w:spacing w:val="25"/>
          <w:sz w:val="20"/>
          <w:szCs w:val="20"/>
        </w:rPr>
        <w:t xml:space="preserve"> </w:t>
      </w:r>
      <w:r w:rsidRPr="000977F7">
        <w:rPr>
          <w:rFonts w:asciiTheme="majorHAnsi" w:hAnsiTheme="majorHAnsi"/>
          <w:sz w:val="20"/>
          <w:szCs w:val="20"/>
        </w:rPr>
        <w:t>якій</w:t>
      </w:r>
      <w:r w:rsidRPr="000977F7">
        <w:rPr>
          <w:rFonts w:asciiTheme="majorHAnsi" w:hAnsiTheme="majorHAnsi"/>
          <w:spacing w:val="29"/>
          <w:sz w:val="20"/>
          <w:szCs w:val="20"/>
        </w:rPr>
        <w:t xml:space="preserve"> </w:t>
      </w:r>
      <w:r w:rsidRPr="000977F7">
        <w:rPr>
          <w:rFonts w:asciiTheme="majorHAnsi" w:hAnsiTheme="majorHAnsi"/>
          <w:sz w:val="20"/>
          <w:szCs w:val="20"/>
        </w:rPr>
        <w:t>є</w:t>
      </w:r>
      <w:r w:rsidRPr="000977F7">
        <w:rPr>
          <w:rFonts w:asciiTheme="majorHAnsi" w:hAnsiTheme="majorHAnsi"/>
          <w:spacing w:val="31"/>
          <w:sz w:val="20"/>
          <w:szCs w:val="20"/>
        </w:rPr>
        <w:t xml:space="preserve"> </w:t>
      </w:r>
      <w:r w:rsidRPr="000977F7">
        <w:rPr>
          <w:rFonts w:asciiTheme="majorHAnsi" w:hAnsiTheme="majorHAnsi"/>
          <w:sz w:val="20"/>
          <w:szCs w:val="20"/>
        </w:rPr>
        <w:t>зобов’язання</w:t>
      </w:r>
      <w:r w:rsidRPr="000977F7">
        <w:rPr>
          <w:rFonts w:asciiTheme="majorHAnsi" w:hAnsiTheme="majorHAnsi"/>
          <w:spacing w:val="29"/>
          <w:sz w:val="20"/>
          <w:szCs w:val="20"/>
        </w:rPr>
        <w:t xml:space="preserve"> </w:t>
      </w:r>
      <w:r w:rsidRPr="000977F7">
        <w:rPr>
          <w:rFonts w:asciiTheme="majorHAnsi" w:hAnsiTheme="majorHAnsi"/>
          <w:sz w:val="20"/>
          <w:szCs w:val="20"/>
        </w:rPr>
        <w:t>задовольняти</w:t>
      </w:r>
      <w:r w:rsidRPr="000977F7">
        <w:rPr>
          <w:rFonts w:asciiTheme="majorHAnsi" w:hAnsiTheme="majorHAnsi"/>
          <w:spacing w:val="28"/>
          <w:sz w:val="20"/>
          <w:szCs w:val="20"/>
        </w:rPr>
        <w:t xml:space="preserve"> </w:t>
      </w:r>
      <w:r w:rsidRPr="000977F7">
        <w:rPr>
          <w:rFonts w:asciiTheme="majorHAnsi" w:hAnsiTheme="majorHAnsi"/>
          <w:sz w:val="20"/>
          <w:szCs w:val="20"/>
        </w:rPr>
        <w:t>застосовні</w:t>
      </w:r>
      <w:r w:rsidRPr="000977F7">
        <w:rPr>
          <w:rFonts w:asciiTheme="majorHAnsi" w:hAnsiTheme="majorHAnsi"/>
          <w:spacing w:val="30"/>
          <w:sz w:val="20"/>
          <w:szCs w:val="20"/>
        </w:rPr>
        <w:t xml:space="preserve"> </w:t>
      </w:r>
      <w:r w:rsidRPr="000977F7">
        <w:rPr>
          <w:rFonts w:asciiTheme="majorHAnsi" w:hAnsiTheme="majorHAnsi"/>
          <w:sz w:val="20"/>
          <w:szCs w:val="20"/>
        </w:rPr>
        <w:t>вимоги;</w:t>
      </w:r>
    </w:p>
    <w:p w14:paraId="2D7EF7C0" w14:textId="77777777" w:rsidR="0097612F" w:rsidRPr="000977F7" w:rsidRDefault="0097612F" w:rsidP="00FD39A4">
      <w:pPr>
        <w:pStyle w:val="ac"/>
        <w:widowControl w:val="0"/>
        <w:numPr>
          <w:ilvl w:val="0"/>
          <w:numId w:val="114"/>
        </w:numPr>
        <w:tabs>
          <w:tab w:val="left" w:pos="284"/>
          <w:tab w:val="left" w:pos="54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 якій</w:t>
      </w:r>
      <w:r w:rsidRPr="000977F7">
        <w:rPr>
          <w:rFonts w:asciiTheme="majorHAnsi" w:hAnsiTheme="majorHAnsi"/>
          <w:spacing w:val="4"/>
          <w:sz w:val="20"/>
          <w:szCs w:val="20"/>
        </w:rPr>
        <w:t xml:space="preserve"> </w:t>
      </w:r>
      <w:r w:rsidRPr="000977F7">
        <w:rPr>
          <w:rFonts w:asciiTheme="majorHAnsi" w:hAnsiTheme="majorHAnsi"/>
          <w:sz w:val="20"/>
          <w:szCs w:val="20"/>
        </w:rPr>
        <w:t>є</w:t>
      </w:r>
      <w:r w:rsidRPr="000977F7">
        <w:rPr>
          <w:rFonts w:asciiTheme="majorHAnsi" w:hAnsiTheme="majorHAnsi"/>
          <w:spacing w:val="5"/>
          <w:sz w:val="20"/>
          <w:szCs w:val="20"/>
        </w:rPr>
        <w:t xml:space="preserve"> </w:t>
      </w:r>
      <w:r w:rsidRPr="000977F7">
        <w:rPr>
          <w:rFonts w:asciiTheme="majorHAnsi" w:hAnsiTheme="majorHAnsi"/>
          <w:sz w:val="20"/>
          <w:szCs w:val="20"/>
        </w:rPr>
        <w:t>зобов’язання</w:t>
      </w:r>
      <w:r w:rsidRPr="000977F7">
        <w:rPr>
          <w:rFonts w:asciiTheme="majorHAnsi" w:hAnsiTheme="majorHAnsi"/>
          <w:spacing w:val="3"/>
          <w:sz w:val="20"/>
          <w:szCs w:val="20"/>
        </w:rPr>
        <w:t xml:space="preserve"> </w:t>
      </w:r>
      <w:r w:rsidRPr="000977F7">
        <w:rPr>
          <w:rFonts w:asciiTheme="majorHAnsi" w:hAnsiTheme="majorHAnsi"/>
          <w:sz w:val="20"/>
          <w:szCs w:val="20"/>
        </w:rPr>
        <w:t>щодо</w:t>
      </w:r>
      <w:r w:rsidRPr="000977F7">
        <w:rPr>
          <w:rFonts w:asciiTheme="majorHAnsi" w:hAnsiTheme="majorHAnsi"/>
          <w:spacing w:val="5"/>
          <w:sz w:val="20"/>
          <w:szCs w:val="20"/>
        </w:rPr>
        <w:t xml:space="preserve"> </w:t>
      </w:r>
      <w:r w:rsidRPr="000977F7">
        <w:rPr>
          <w:rFonts w:asciiTheme="majorHAnsi" w:hAnsiTheme="majorHAnsi"/>
          <w:sz w:val="20"/>
          <w:szCs w:val="20"/>
        </w:rPr>
        <w:t>постійного</w:t>
      </w:r>
      <w:r w:rsidRPr="000977F7">
        <w:rPr>
          <w:rFonts w:asciiTheme="majorHAnsi" w:hAnsiTheme="majorHAnsi"/>
          <w:spacing w:val="5"/>
          <w:sz w:val="20"/>
          <w:szCs w:val="20"/>
        </w:rPr>
        <w:t xml:space="preserve"> </w:t>
      </w:r>
      <w:r w:rsidRPr="000977F7">
        <w:rPr>
          <w:rFonts w:asciiTheme="majorHAnsi" w:hAnsiTheme="majorHAnsi"/>
          <w:sz w:val="20"/>
          <w:szCs w:val="20"/>
        </w:rPr>
        <w:t>поліпшуван</w:t>
      </w:r>
      <w:r w:rsidRPr="000977F7">
        <w:rPr>
          <w:rFonts w:asciiTheme="majorHAnsi" w:hAnsiTheme="majorHAnsi"/>
          <w:spacing w:val="-47"/>
          <w:sz w:val="20"/>
          <w:szCs w:val="20"/>
        </w:rPr>
        <w:t xml:space="preserve"> </w:t>
      </w:r>
      <w:r w:rsidRPr="000977F7">
        <w:rPr>
          <w:rFonts w:asciiTheme="majorHAnsi" w:hAnsiTheme="majorHAnsi"/>
          <w:sz w:val="20"/>
          <w:szCs w:val="20"/>
        </w:rPr>
        <w:t>ня</w:t>
      </w:r>
      <w:r w:rsidRPr="000977F7">
        <w:rPr>
          <w:rFonts w:asciiTheme="majorHAnsi" w:hAnsiTheme="majorHAnsi"/>
          <w:spacing w:val="-2"/>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2"/>
          <w:sz w:val="20"/>
          <w:szCs w:val="20"/>
        </w:rPr>
        <w:t xml:space="preserve"> </w:t>
      </w:r>
      <w:r w:rsidRPr="000977F7">
        <w:rPr>
          <w:rFonts w:asciiTheme="majorHAnsi" w:hAnsiTheme="majorHAnsi"/>
          <w:sz w:val="20"/>
          <w:szCs w:val="20"/>
        </w:rPr>
        <w:t>якістю.</w:t>
      </w:r>
    </w:p>
    <w:p w14:paraId="7AF34F6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Інформування</w:t>
      </w:r>
      <w:r w:rsidRPr="000977F7">
        <w:rPr>
          <w:color w:val="auto"/>
          <w:spacing w:val="-4"/>
          <w:sz w:val="20"/>
          <w:szCs w:val="20"/>
        </w:rPr>
        <w:t xml:space="preserve"> </w:t>
      </w:r>
      <w:r w:rsidRPr="000977F7">
        <w:rPr>
          <w:color w:val="auto"/>
          <w:sz w:val="20"/>
          <w:szCs w:val="20"/>
        </w:rPr>
        <w:t>про</w:t>
      </w:r>
      <w:r w:rsidRPr="000977F7">
        <w:rPr>
          <w:color w:val="auto"/>
          <w:spacing w:val="-2"/>
          <w:sz w:val="20"/>
          <w:szCs w:val="20"/>
        </w:rPr>
        <w:t xml:space="preserve"> </w:t>
      </w:r>
      <w:r w:rsidRPr="000977F7">
        <w:rPr>
          <w:color w:val="auto"/>
          <w:sz w:val="20"/>
          <w:szCs w:val="20"/>
        </w:rPr>
        <w:t>політику</w:t>
      </w:r>
      <w:r w:rsidRPr="000977F7">
        <w:rPr>
          <w:color w:val="auto"/>
          <w:spacing w:val="-2"/>
          <w:sz w:val="20"/>
          <w:szCs w:val="20"/>
        </w:rPr>
        <w:t xml:space="preserve"> </w:t>
      </w:r>
      <w:r w:rsidRPr="000977F7">
        <w:rPr>
          <w:color w:val="auto"/>
          <w:sz w:val="20"/>
          <w:szCs w:val="20"/>
        </w:rPr>
        <w:t>у</w:t>
      </w:r>
      <w:r w:rsidRPr="000977F7">
        <w:rPr>
          <w:color w:val="auto"/>
          <w:spacing w:val="-2"/>
          <w:sz w:val="20"/>
          <w:szCs w:val="20"/>
        </w:rPr>
        <w:t xml:space="preserve"> </w:t>
      </w:r>
      <w:r w:rsidRPr="000977F7">
        <w:rPr>
          <w:color w:val="auto"/>
          <w:sz w:val="20"/>
          <w:szCs w:val="20"/>
        </w:rPr>
        <w:t>сфері</w:t>
      </w:r>
      <w:r w:rsidRPr="000977F7">
        <w:rPr>
          <w:color w:val="auto"/>
          <w:spacing w:val="-4"/>
          <w:sz w:val="20"/>
          <w:szCs w:val="20"/>
        </w:rPr>
        <w:t xml:space="preserve"> </w:t>
      </w:r>
      <w:r w:rsidRPr="000977F7">
        <w:rPr>
          <w:color w:val="auto"/>
          <w:sz w:val="20"/>
          <w:szCs w:val="20"/>
        </w:rPr>
        <w:t>якості</w:t>
      </w:r>
    </w:p>
    <w:p w14:paraId="633AE3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Потрібно,</w:t>
      </w:r>
      <w:r w:rsidRPr="000977F7">
        <w:rPr>
          <w:rFonts w:asciiTheme="majorHAnsi" w:hAnsiTheme="majorHAnsi"/>
          <w:spacing w:val="-3"/>
          <w:sz w:val="20"/>
          <w:szCs w:val="20"/>
        </w:rPr>
        <w:t xml:space="preserve"> </w:t>
      </w:r>
      <w:r w:rsidRPr="000977F7">
        <w:rPr>
          <w:rFonts w:asciiTheme="majorHAnsi" w:hAnsiTheme="majorHAnsi"/>
          <w:sz w:val="20"/>
          <w:szCs w:val="20"/>
        </w:rPr>
        <w:t>щоб</w:t>
      </w:r>
      <w:r w:rsidRPr="000977F7">
        <w:rPr>
          <w:rFonts w:asciiTheme="majorHAnsi" w:hAnsiTheme="majorHAnsi"/>
          <w:spacing w:val="-3"/>
          <w:sz w:val="20"/>
          <w:szCs w:val="20"/>
        </w:rPr>
        <w:t xml:space="preserve"> </w:t>
      </w:r>
      <w:r w:rsidRPr="000977F7">
        <w:rPr>
          <w:rFonts w:asciiTheme="majorHAnsi" w:hAnsiTheme="majorHAnsi"/>
          <w:sz w:val="20"/>
          <w:szCs w:val="20"/>
        </w:rPr>
        <w:t>політика</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6"/>
          <w:sz w:val="20"/>
          <w:szCs w:val="20"/>
        </w:rPr>
        <w:t xml:space="preserve"> </w:t>
      </w:r>
      <w:r w:rsidRPr="000977F7">
        <w:rPr>
          <w:rFonts w:asciiTheme="majorHAnsi" w:hAnsiTheme="majorHAnsi"/>
          <w:sz w:val="20"/>
          <w:szCs w:val="20"/>
        </w:rPr>
        <w:t>сфері</w:t>
      </w:r>
      <w:r w:rsidRPr="000977F7">
        <w:rPr>
          <w:rFonts w:asciiTheme="majorHAnsi" w:hAnsiTheme="majorHAnsi"/>
          <w:spacing w:val="-3"/>
          <w:sz w:val="20"/>
          <w:szCs w:val="20"/>
        </w:rPr>
        <w:t xml:space="preserve"> </w:t>
      </w:r>
      <w:r w:rsidRPr="000977F7">
        <w:rPr>
          <w:rFonts w:asciiTheme="majorHAnsi" w:hAnsiTheme="majorHAnsi"/>
          <w:sz w:val="20"/>
          <w:szCs w:val="20"/>
        </w:rPr>
        <w:t>якості</w:t>
      </w:r>
      <w:r w:rsidRPr="000977F7">
        <w:rPr>
          <w:rFonts w:asciiTheme="majorHAnsi" w:hAnsiTheme="majorHAnsi"/>
          <w:spacing w:val="-3"/>
          <w:sz w:val="20"/>
          <w:szCs w:val="20"/>
        </w:rPr>
        <w:t xml:space="preserve"> </w:t>
      </w:r>
      <w:r w:rsidRPr="000977F7">
        <w:rPr>
          <w:rFonts w:asciiTheme="majorHAnsi" w:hAnsiTheme="majorHAnsi"/>
          <w:sz w:val="20"/>
          <w:szCs w:val="20"/>
        </w:rPr>
        <w:t>була</w:t>
      </w:r>
    </w:p>
    <w:p w14:paraId="652EC2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w:t>
      </w:r>
      <w:r w:rsidRPr="000977F7">
        <w:rPr>
          <w:rFonts w:asciiTheme="majorHAnsi" w:hAnsiTheme="majorHAnsi"/>
          <w:spacing w:val="32"/>
          <w:sz w:val="20"/>
          <w:szCs w:val="20"/>
        </w:rPr>
        <w:t xml:space="preserve"> </w:t>
      </w:r>
      <w:r w:rsidRPr="000977F7">
        <w:rPr>
          <w:rFonts w:asciiTheme="majorHAnsi" w:hAnsiTheme="majorHAnsi"/>
          <w:sz w:val="20"/>
          <w:szCs w:val="20"/>
        </w:rPr>
        <w:t>доступною</w:t>
      </w:r>
      <w:r w:rsidRPr="000977F7">
        <w:rPr>
          <w:rFonts w:asciiTheme="majorHAnsi" w:hAnsiTheme="majorHAnsi"/>
          <w:spacing w:val="32"/>
          <w:sz w:val="20"/>
          <w:szCs w:val="20"/>
        </w:rPr>
        <w:t xml:space="preserve"> </w:t>
      </w:r>
      <w:r w:rsidRPr="000977F7">
        <w:rPr>
          <w:rFonts w:asciiTheme="majorHAnsi" w:hAnsiTheme="majorHAnsi"/>
          <w:sz w:val="20"/>
          <w:szCs w:val="20"/>
        </w:rPr>
        <w:t>та</w:t>
      </w:r>
      <w:r w:rsidRPr="000977F7">
        <w:rPr>
          <w:rFonts w:asciiTheme="majorHAnsi" w:hAnsiTheme="majorHAnsi"/>
          <w:spacing w:val="33"/>
          <w:sz w:val="20"/>
          <w:szCs w:val="20"/>
        </w:rPr>
        <w:t xml:space="preserve"> </w:t>
      </w:r>
      <w:r w:rsidRPr="000977F7">
        <w:rPr>
          <w:rFonts w:asciiTheme="majorHAnsi" w:hAnsiTheme="majorHAnsi"/>
          <w:sz w:val="20"/>
          <w:szCs w:val="20"/>
        </w:rPr>
        <w:t>актуалізованою</w:t>
      </w:r>
      <w:r w:rsidRPr="000977F7">
        <w:rPr>
          <w:rFonts w:asciiTheme="majorHAnsi" w:hAnsiTheme="majorHAnsi"/>
          <w:spacing w:val="35"/>
          <w:sz w:val="20"/>
          <w:szCs w:val="20"/>
        </w:rPr>
        <w:t xml:space="preserve"> </w:t>
      </w:r>
      <w:r w:rsidRPr="000977F7">
        <w:rPr>
          <w:rFonts w:asciiTheme="majorHAnsi" w:hAnsiTheme="majorHAnsi"/>
          <w:sz w:val="20"/>
          <w:szCs w:val="20"/>
        </w:rPr>
        <w:t>у</w:t>
      </w:r>
      <w:r w:rsidRPr="000977F7">
        <w:rPr>
          <w:rFonts w:asciiTheme="majorHAnsi" w:hAnsiTheme="majorHAnsi"/>
          <w:spacing w:val="29"/>
          <w:sz w:val="20"/>
          <w:szCs w:val="20"/>
        </w:rPr>
        <w:t xml:space="preserve"> </w:t>
      </w:r>
      <w:r w:rsidRPr="000977F7">
        <w:rPr>
          <w:rFonts w:asciiTheme="majorHAnsi" w:hAnsiTheme="majorHAnsi"/>
          <w:sz w:val="20"/>
          <w:szCs w:val="20"/>
        </w:rPr>
        <w:t>формі</w:t>
      </w:r>
      <w:r w:rsidRPr="000977F7">
        <w:rPr>
          <w:rFonts w:asciiTheme="majorHAnsi" w:hAnsiTheme="majorHAnsi"/>
          <w:spacing w:val="32"/>
          <w:sz w:val="20"/>
          <w:szCs w:val="20"/>
        </w:rPr>
        <w:t xml:space="preserve"> </w:t>
      </w:r>
      <w:r w:rsidRPr="000977F7">
        <w:rPr>
          <w:rFonts w:asciiTheme="majorHAnsi" w:hAnsiTheme="majorHAnsi"/>
          <w:sz w:val="20"/>
          <w:szCs w:val="20"/>
        </w:rPr>
        <w:t>задокументованої</w:t>
      </w:r>
      <w:r w:rsidRPr="000977F7">
        <w:rPr>
          <w:rFonts w:asciiTheme="majorHAnsi" w:hAnsiTheme="majorHAnsi"/>
          <w:spacing w:val="-2"/>
          <w:sz w:val="20"/>
          <w:szCs w:val="20"/>
        </w:rPr>
        <w:t xml:space="preserve"> </w:t>
      </w:r>
      <w:r w:rsidRPr="000977F7">
        <w:rPr>
          <w:rFonts w:asciiTheme="majorHAnsi" w:hAnsiTheme="majorHAnsi"/>
          <w:sz w:val="20"/>
          <w:szCs w:val="20"/>
        </w:rPr>
        <w:t>інформації;</w:t>
      </w:r>
    </w:p>
    <w:p w14:paraId="4DFB185C" w14:textId="77777777" w:rsidR="0097612F" w:rsidRPr="000977F7" w:rsidRDefault="0097612F" w:rsidP="00FD39A4">
      <w:pPr>
        <w:pStyle w:val="ac"/>
        <w:widowControl w:val="0"/>
        <w:numPr>
          <w:ilvl w:val="0"/>
          <w:numId w:val="113"/>
        </w:numPr>
        <w:tabs>
          <w:tab w:val="left" w:pos="284"/>
          <w:tab w:val="left" w:pos="54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доведеною</w:t>
      </w:r>
      <w:r w:rsidRPr="000977F7">
        <w:rPr>
          <w:rFonts w:asciiTheme="majorHAnsi" w:hAnsiTheme="majorHAnsi"/>
          <w:spacing w:val="6"/>
          <w:sz w:val="20"/>
          <w:szCs w:val="20"/>
        </w:rPr>
        <w:t xml:space="preserve"> </w:t>
      </w:r>
      <w:r w:rsidRPr="000977F7">
        <w:rPr>
          <w:rFonts w:asciiTheme="majorHAnsi" w:hAnsiTheme="majorHAnsi"/>
          <w:sz w:val="20"/>
          <w:szCs w:val="20"/>
        </w:rPr>
        <w:t>до</w:t>
      </w:r>
      <w:r w:rsidRPr="000977F7">
        <w:rPr>
          <w:rFonts w:asciiTheme="majorHAnsi" w:hAnsiTheme="majorHAnsi"/>
          <w:spacing w:val="7"/>
          <w:sz w:val="20"/>
          <w:szCs w:val="20"/>
        </w:rPr>
        <w:t xml:space="preserve"> </w:t>
      </w:r>
      <w:r w:rsidRPr="000977F7">
        <w:rPr>
          <w:rFonts w:asciiTheme="majorHAnsi" w:hAnsiTheme="majorHAnsi"/>
          <w:sz w:val="20"/>
          <w:szCs w:val="20"/>
        </w:rPr>
        <w:t>відома,</w:t>
      </w:r>
      <w:r w:rsidRPr="000977F7">
        <w:rPr>
          <w:rFonts w:asciiTheme="majorHAnsi" w:hAnsiTheme="majorHAnsi"/>
          <w:spacing w:val="7"/>
          <w:sz w:val="20"/>
          <w:szCs w:val="20"/>
        </w:rPr>
        <w:t xml:space="preserve"> </w:t>
      </w:r>
      <w:r w:rsidRPr="000977F7">
        <w:rPr>
          <w:rFonts w:asciiTheme="majorHAnsi" w:hAnsiTheme="majorHAnsi"/>
          <w:sz w:val="20"/>
          <w:szCs w:val="20"/>
        </w:rPr>
        <w:t>зрозумілою</w:t>
      </w:r>
      <w:r w:rsidRPr="000977F7">
        <w:rPr>
          <w:rFonts w:asciiTheme="majorHAnsi" w:hAnsiTheme="majorHAnsi"/>
          <w:spacing w:val="6"/>
          <w:sz w:val="20"/>
          <w:szCs w:val="20"/>
        </w:rPr>
        <w:t xml:space="preserve"> </w:t>
      </w:r>
      <w:r w:rsidRPr="000977F7">
        <w:rPr>
          <w:rFonts w:asciiTheme="majorHAnsi" w:hAnsiTheme="majorHAnsi"/>
          <w:sz w:val="20"/>
          <w:szCs w:val="20"/>
        </w:rPr>
        <w:t>та</w:t>
      </w:r>
      <w:r w:rsidRPr="000977F7">
        <w:rPr>
          <w:rFonts w:asciiTheme="majorHAnsi" w:hAnsiTheme="majorHAnsi"/>
          <w:spacing w:val="7"/>
          <w:sz w:val="20"/>
          <w:szCs w:val="20"/>
        </w:rPr>
        <w:t xml:space="preserve"> </w:t>
      </w:r>
      <w:r w:rsidRPr="000977F7">
        <w:rPr>
          <w:rFonts w:asciiTheme="majorHAnsi" w:hAnsiTheme="majorHAnsi"/>
          <w:sz w:val="20"/>
          <w:szCs w:val="20"/>
        </w:rPr>
        <w:t>застосовною</w:t>
      </w:r>
      <w:r w:rsidRPr="000977F7">
        <w:rPr>
          <w:rFonts w:asciiTheme="majorHAnsi" w:hAnsiTheme="majorHAnsi"/>
          <w:spacing w:val="6"/>
          <w:sz w:val="20"/>
          <w:szCs w:val="20"/>
        </w:rPr>
        <w:t xml:space="preserve"> </w:t>
      </w:r>
      <w:r w:rsidRPr="000977F7">
        <w:rPr>
          <w:rFonts w:asciiTheme="majorHAnsi" w:hAnsiTheme="majorHAnsi"/>
          <w:sz w:val="20"/>
          <w:szCs w:val="20"/>
        </w:rPr>
        <w:t>в</w:t>
      </w:r>
      <w:r w:rsidRPr="000977F7">
        <w:rPr>
          <w:rFonts w:asciiTheme="majorHAnsi" w:hAnsiTheme="majorHAnsi"/>
          <w:spacing w:val="-47"/>
          <w:sz w:val="20"/>
          <w:szCs w:val="20"/>
        </w:rPr>
        <w:t xml:space="preserve"> </w:t>
      </w:r>
      <w:r w:rsidRPr="000977F7">
        <w:rPr>
          <w:rFonts w:asciiTheme="majorHAnsi" w:hAnsiTheme="majorHAnsi"/>
          <w:sz w:val="20"/>
          <w:szCs w:val="20"/>
        </w:rPr>
        <w:t>межах</w:t>
      </w:r>
      <w:r w:rsidRPr="000977F7">
        <w:rPr>
          <w:rFonts w:asciiTheme="majorHAnsi" w:hAnsiTheme="majorHAnsi"/>
          <w:spacing w:val="-3"/>
          <w:sz w:val="20"/>
          <w:szCs w:val="20"/>
        </w:rPr>
        <w:t xml:space="preserve"> </w:t>
      </w:r>
      <w:r w:rsidRPr="000977F7">
        <w:rPr>
          <w:rFonts w:asciiTheme="majorHAnsi" w:hAnsiTheme="majorHAnsi"/>
          <w:sz w:val="20"/>
          <w:szCs w:val="20"/>
        </w:rPr>
        <w:t>організації;</w:t>
      </w:r>
    </w:p>
    <w:p w14:paraId="34E260F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w:t>
      </w:r>
      <w:r w:rsidRPr="000977F7">
        <w:rPr>
          <w:rFonts w:asciiTheme="majorHAnsi" w:hAnsiTheme="majorHAnsi"/>
          <w:spacing w:val="9"/>
          <w:sz w:val="20"/>
          <w:szCs w:val="20"/>
        </w:rPr>
        <w:t xml:space="preserve"> </w:t>
      </w:r>
      <w:r w:rsidRPr="000977F7">
        <w:rPr>
          <w:rFonts w:asciiTheme="majorHAnsi" w:hAnsiTheme="majorHAnsi"/>
          <w:sz w:val="20"/>
          <w:szCs w:val="20"/>
        </w:rPr>
        <w:t>доступною</w:t>
      </w:r>
      <w:r w:rsidRPr="000977F7">
        <w:rPr>
          <w:rFonts w:asciiTheme="majorHAnsi" w:hAnsiTheme="majorHAnsi"/>
          <w:spacing w:val="8"/>
          <w:sz w:val="20"/>
          <w:szCs w:val="20"/>
        </w:rPr>
        <w:t xml:space="preserve"> </w:t>
      </w:r>
      <w:r w:rsidRPr="000977F7">
        <w:rPr>
          <w:rFonts w:asciiTheme="majorHAnsi" w:hAnsiTheme="majorHAnsi"/>
          <w:sz w:val="20"/>
          <w:szCs w:val="20"/>
        </w:rPr>
        <w:t>для</w:t>
      </w:r>
      <w:r w:rsidRPr="000977F7">
        <w:rPr>
          <w:rFonts w:asciiTheme="majorHAnsi" w:hAnsiTheme="majorHAnsi"/>
          <w:spacing w:val="10"/>
          <w:sz w:val="20"/>
          <w:szCs w:val="20"/>
        </w:rPr>
        <w:t xml:space="preserve"> </w:t>
      </w:r>
      <w:r w:rsidRPr="000977F7">
        <w:rPr>
          <w:rFonts w:asciiTheme="majorHAnsi" w:hAnsiTheme="majorHAnsi"/>
          <w:sz w:val="20"/>
          <w:szCs w:val="20"/>
        </w:rPr>
        <w:t>відповідних</w:t>
      </w:r>
      <w:r w:rsidRPr="000977F7">
        <w:rPr>
          <w:rFonts w:asciiTheme="majorHAnsi" w:hAnsiTheme="majorHAnsi"/>
          <w:spacing w:val="7"/>
          <w:sz w:val="20"/>
          <w:szCs w:val="20"/>
        </w:rPr>
        <w:t xml:space="preserve"> </w:t>
      </w:r>
      <w:r w:rsidRPr="000977F7">
        <w:rPr>
          <w:rFonts w:asciiTheme="majorHAnsi" w:hAnsiTheme="majorHAnsi"/>
          <w:sz w:val="20"/>
          <w:szCs w:val="20"/>
        </w:rPr>
        <w:t>зацікавлених</w:t>
      </w:r>
      <w:r w:rsidRPr="000977F7">
        <w:rPr>
          <w:rFonts w:asciiTheme="majorHAnsi" w:hAnsiTheme="majorHAnsi"/>
          <w:spacing w:val="6"/>
          <w:sz w:val="20"/>
          <w:szCs w:val="20"/>
        </w:rPr>
        <w:t xml:space="preserve"> </w:t>
      </w:r>
      <w:r w:rsidRPr="000977F7">
        <w:rPr>
          <w:rFonts w:asciiTheme="majorHAnsi" w:hAnsiTheme="majorHAnsi"/>
          <w:sz w:val="20"/>
          <w:szCs w:val="20"/>
        </w:rPr>
        <w:t>сторін,</w:t>
      </w:r>
      <w:r w:rsidRPr="000977F7">
        <w:rPr>
          <w:rFonts w:asciiTheme="majorHAnsi" w:hAnsiTheme="majorHAnsi"/>
          <w:spacing w:val="9"/>
          <w:sz w:val="20"/>
          <w:szCs w:val="20"/>
        </w:rPr>
        <w:t xml:space="preserve"> </w:t>
      </w:r>
      <w:r w:rsidRPr="000977F7">
        <w:rPr>
          <w:rFonts w:asciiTheme="majorHAnsi" w:hAnsiTheme="majorHAnsi"/>
          <w:sz w:val="20"/>
          <w:szCs w:val="20"/>
        </w:rPr>
        <w:t>як</w:t>
      </w:r>
      <w:r w:rsidRPr="000977F7">
        <w:rPr>
          <w:rFonts w:asciiTheme="majorHAnsi" w:hAnsiTheme="majorHAnsi"/>
          <w:spacing w:val="-47"/>
          <w:sz w:val="20"/>
          <w:szCs w:val="20"/>
        </w:rPr>
        <w:t xml:space="preserve"> </w:t>
      </w:r>
      <w:r w:rsidRPr="000977F7">
        <w:rPr>
          <w:rFonts w:asciiTheme="majorHAnsi" w:hAnsiTheme="majorHAnsi"/>
          <w:sz w:val="20"/>
          <w:szCs w:val="20"/>
        </w:rPr>
        <w:t>належить.</w:t>
      </w:r>
    </w:p>
    <w:p w14:paraId="6BAE612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ISO 9001:2015</w:t>
      </w:r>
    </w:p>
    <w:p w14:paraId="1BD31B2C"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en-US"/>
        </w:rPr>
      </w:pPr>
      <w:r w:rsidRPr="000977F7">
        <w:rPr>
          <w:rFonts w:asciiTheme="majorHAnsi" w:hAnsiTheme="majorHAnsi"/>
          <w:b/>
          <w:sz w:val="20"/>
          <w:szCs w:val="20"/>
        </w:rPr>
        <w:t>ПОЛІТИКА</w:t>
      </w:r>
      <w:r w:rsidRPr="004D2D14">
        <w:rPr>
          <w:rFonts w:asciiTheme="majorHAnsi" w:hAnsiTheme="majorHAnsi"/>
          <w:b/>
          <w:sz w:val="20"/>
          <w:szCs w:val="20"/>
          <w:lang w:val="en-US"/>
        </w:rPr>
        <w:t xml:space="preserve"> </w:t>
      </w:r>
      <w:r w:rsidRPr="000977F7">
        <w:rPr>
          <w:rFonts w:asciiTheme="majorHAnsi" w:hAnsiTheme="majorHAnsi"/>
          <w:b/>
          <w:sz w:val="20"/>
          <w:szCs w:val="20"/>
        </w:rPr>
        <w:t>ОРГАНІЗАЦІЇ</w:t>
      </w:r>
      <w:r w:rsidRPr="004D2D14">
        <w:rPr>
          <w:rFonts w:asciiTheme="majorHAnsi" w:hAnsiTheme="majorHAnsi"/>
          <w:b/>
          <w:sz w:val="20"/>
          <w:szCs w:val="20"/>
          <w:lang w:val="en-US"/>
        </w:rPr>
        <w:t xml:space="preserve"> –</w:t>
      </w:r>
      <w:r w:rsidRPr="004D2D14">
        <w:rPr>
          <w:rFonts w:asciiTheme="majorHAnsi" w:hAnsiTheme="majorHAnsi"/>
          <w:b/>
          <w:spacing w:val="-47"/>
          <w:sz w:val="20"/>
          <w:szCs w:val="20"/>
          <w:lang w:val="en-US"/>
        </w:rPr>
        <w:t xml:space="preserve"> </w:t>
      </w:r>
    </w:p>
    <w:p w14:paraId="0CC62B66"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POLICY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ORGANIZATION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297B955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Наміри</w:t>
      </w:r>
      <w:r w:rsidRPr="004D2D14">
        <w:rPr>
          <w:rFonts w:asciiTheme="majorHAnsi" w:hAnsiTheme="majorHAnsi"/>
          <w:spacing w:val="31"/>
          <w:sz w:val="20"/>
          <w:szCs w:val="20"/>
          <w:lang w:val="en-US"/>
        </w:rPr>
        <w:t xml:space="preserve"> </w:t>
      </w:r>
      <w:r w:rsidRPr="000977F7">
        <w:rPr>
          <w:rFonts w:asciiTheme="majorHAnsi" w:hAnsiTheme="majorHAnsi"/>
          <w:sz w:val="20"/>
          <w:szCs w:val="20"/>
        </w:rPr>
        <w:t>та</w:t>
      </w:r>
      <w:r w:rsidRPr="004D2D14">
        <w:rPr>
          <w:rFonts w:asciiTheme="majorHAnsi" w:hAnsiTheme="majorHAnsi"/>
          <w:spacing w:val="36"/>
          <w:sz w:val="20"/>
          <w:szCs w:val="20"/>
          <w:lang w:val="en-US"/>
        </w:rPr>
        <w:t xml:space="preserve"> </w:t>
      </w:r>
      <w:r w:rsidRPr="000977F7">
        <w:rPr>
          <w:rFonts w:asciiTheme="majorHAnsi" w:hAnsiTheme="majorHAnsi"/>
          <w:sz w:val="20"/>
          <w:szCs w:val="20"/>
        </w:rPr>
        <w:t>спрямованість</w:t>
      </w:r>
      <w:r w:rsidRPr="004D2D14">
        <w:rPr>
          <w:rFonts w:asciiTheme="majorHAnsi" w:hAnsiTheme="majorHAnsi"/>
          <w:spacing w:val="36"/>
          <w:sz w:val="20"/>
          <w:szCs w:val="20"/>
          <w:lang w:val="en-US"/>
        </w:rPr>
        <w:t xml:space="preserve"> </w:t>
      </w:r>
      <w:r w:rsidRPr="000977F7">
        <w:rPr>
          <w:rFonts w:asciiTheme="majorHAnsi" w:hAnsiTheme="majorHAnsi"/>
          <w:sz w:val="20"/>
          <w:szCs w:val="20"/>
        </w:rPr>
        <w:t>організації</w:t>
      </w:r>
      <w:r w:rsidRPr="004D2D14">
        <w:rPr>
          <w:rFonts w:asciiTheme="majorHAnsi" w:hAnsiTheme="majorHAnsi"/>
          <w:sz w:val="20"/>
          <w:szCs w:val="20"/>
          <w:lang w:val="en-US"/>
        </w:rPr>
        <w:t>,</w:t>
      </w:r>
      <w:r w:rsidRPr="004D2D14">
        <w:rPr>
          <w:rFonts w:asciiTheme="majorHAnsi" w:hAnsiTheme="majorHAnsi"/>
          <w:spacing w:val="36"/>
          <w:sz w:val="20"/>
          <w:szCs w:val="20"/>
          <w:lang w:val="en-US"/>
        </w:rPr>
        <w:t xml:space="preserve"> </w:t>
      </w:r>
      <w:r w:rsidRPr="000977F7">
        <w:rPr>
          <w:rFonts w:asciiTheme="majorHAnsi" w:hAnsiTheme="majorHAnsi"/>
          <w:sz w:val="20"/>
          <w:szCs w:val="20"/>
        </w:rPr>
        <w:t>офіційно</w:t>
      </w:r>
      <w:r w:rsidRPr="004D2D14">
        <w:rPr>
          <w:rFonts w:asciiTheme="majorHAnsi" w:hAnsiTheme="majorHAnsi"/>
          <w:spacing w:val="34"/>
          <w:sz w:val="20"/>
          <w:szCs w:val="20"/>
          <w:lang w:val="en-US"/>
        </w:rPr>
        <w:t xml:space="preserve"> </w:t>
      </w:r>
      <w:r w:rsidRPr="000977F7">
        <w:rPr>
          <w:rFonts w:asciiTheme="majorHAnsi" w:hAnsiTheme="majorHAnsi"/>
          <w:sz w:val="20"/>
          <w:szCs w:val="20"/>
        </w:rPr>
        <w:t>сформульовані</w:t>
      </w:r>
      <w:r w:rsidRPr="004D2D14">
        <w:rPr>
          <w:rFonts w:asciiTheme="majorHAnsi" w:hAnsiTheme="majorHAnsi"/>
          <w:spacing w:val="-1"/>
          <w:sz w:val="20"/>
          <w:szCs w:val="20"/>
          <w:lang w:val="en-US"/>
        </w:rPr>
        <w:t xml:space="preserve"> </w:t>
      </w:r>
      <w:r w:rsidRPr="000977F7">
        <w:rPr>
          <w:rFonts w:asciiTheme="majorHAnsi" w:hAnsiTheme="majorHAnsi"/>
          <w:sz w:val="20"/>
          <w:szCs w:val="20"/>
        </w:rPr>
        <w:t>її</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найвищим</w:t>
      </w:r>
      <w:r w:rsidRPr="004D2D14">
        <w:rPr>
          <w:rFonts w:asciiTheme="majorHAnsi" w:hAnsiTheme="majorHAnsi"/>
          <w:spacing w:val="2"/>
          <w:sz w:val="20"/>
          <w:szCs w:val="20"/>
          <w:lang w:val="en-US"/>
        </w:rPr>
        <w:t xml:space="preserve"> </w:t>
      </w:r>
      <w:r w:rsidRPr="000977F7">
        <w:rPr>
          <w:rFonts w:asciiTheme="majorHAnsi" w:hAnsiTheme="majorHAnsi"/>
          <w:sz w:val="20"/>
          <w:szCs w:val="20"/>
        </w:rPr>
        <w:t>керівництвом</w:t>
      </w:r>
    </w:p>
    <w:p w14:paraId="051BECD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sz w:val="20"/>
          <w:szCs w:val="20"/>
        </w:rPr>
        <w:t xml:space="preserve">ДСТУ </w:t>
      </w:r>
      <w:r w:rsidRPr="000977F7">
        <w:rPr>
          <w:rFonts w:asciiTheme="majorHAnsi" w:hAnsiTheme="majorHAnsi"/>
          <w:i/>
          <w:sz w:val="20"/>
          <w:szCs w:val="20"/>
        </w:rPr>
        <w:t>ISO</w:t>
      </w:r>
      <w:r w:rsidRPr="000977F7">
        <w:rPr>
          <w:rFonts w:asciiTheme="majorHAnsi" w:hAnsiTheme="majorHAnsi"/>
          <w:i/>
          <w:spacing w:val="-3"/>
          <w:sz w:val="20"/>
          <w:szCs w:val="20"/>
        </w:rPr>
        <w:t xml:space="preserve"> </w:t>
      </w:r>
      <w:r w:rsidRPr="000977F7">
        <w:rPr>
          <w:rFonts w:asciiTheme="majorHAnsi" w:hAnsiTheme="majorHAnsi"/>
          <w:i/>
          <w:sz w:val="20"/>
          <w:szCs w:val="20"/>
        </w:rPr>
        <w:t>9000:2015</w:t>
      </w:r>
    </w:p>
    <w:p w14:paraId="1B58BDBC" w14:textId="77777777" w:rsidR="0097612F" w:rsidRPr="000977F7" w:rsidRDefault="0097612F" w:rsidP="000977F7">
      <w:pPr>
        <w:pStyle w:val="7"/>
        <w:tabs>
          <w:tab w:val="left" w:pos="284"/>
        </w:tabs>
        <w:spacing w:before="0" w:line="240" w:lineRule="auto"/>
        <w:ind w:left="170"/>
        <w:mirrorIndents/>
        <w:jc w:val="both"/>
        <w:rPr>
          <w:b w:val="0"/>
          <w:i/>
          <w:color w:val="auto"/>
          <w:sz w:val="20"/>
          <w:szCs w:val="20"/>
        </w:rPr>
      </w:pPr>
      <w:r w:rsidRPr="000977F7">
        <w:rPr>
          <w:color w:val="auto"/>
          <w:sz w:val="20"/>
          <w:szCs w:val="20"/>
        </w:rPr>
        <w:t>ПОЛІТИКА</w:t>
      </w:r>
      <w:r w:rsidRPr="000977F7">
        <w:rPr>
          <w:color w:val="auto"/>
          <w:spacing w:val="44"/>
          <w:sz w:val="20"/>
          <w:szCs w:val="20"/>
        </w:rPr>
        <w:t xml:space="preserve"> </w:t>
      </w:r>
      <w:r w:rsidRPr="000977F7">
        <w:rPr>
          <w:color w:val="auto"/>
          <w:sz w:val="20"/>
          <w:szCs w:val="20"/>
        </w:rPr>
        <w:t>В</w:t>
      </w:r>
      <w:r w:rsidRPr="000977F7">
        <w:rPr>
          <w:color w:val="auto"/>
          <w:spacing w:val="-2"/>
          <w:sz w:val="20"/>
          <w:szCs w:val="20"/>
        </w:rPr>
        <w:t xml:space="preserve"> </w:t>
      </w:r>
      <w:r w:rsidRPr="000977F7">
        <w:rPr>
          <w:color w:val="auto"/>
          <w:sz w:val="20"/>
          <w:szCs w:val="20"/>
        </w:rPr>
        <w:t>СФЕРІ</w:t>
      </w:r>
      <w:r w:rsidRPr="000977F7">
        <w:rPr>
          <w:color w:val="auto"/>
          <w:spacing w:val="-4"/>
          <w:sz w:val="20"/>
          <w:szCs w:val="20"/>
        </w:rPr>
        <w:t xml:space="preserve"> </w:t>
      </w:r>
      <w:r w:rsidRPr="000977F7">
        <w:rPr>
          <w:color w:val="auto"/>
          <w:sz w:val="20"/>
          <w:szCs w:val="20"/>
        </w:rPr>
        <w:t>ЯКОСТІ</w:t>
      </w:r>
      <w:r w:rsidRPr="000977F7">
        <w:rPr>
          <w:color w:val="auto"/>
          <w:spacing w:val="-2"/>
          <w:sz w:val="20"/>
          <w:szCs w:val="20"/>
        </w:rPr>
        <w:t xml:space="preserve"> </w:t>
      </w:r>
      <w:r w:rsidRPr="000977F7">
        <w:rPr>
          <w:b w:val="0"/>
          <w:i/>
          <w:color w:val="auto"/>
          <w:sz w:val="20"/>
          <w:szCs w:val="20"/>
        </w:rPr>
        <w:t>–</w:t>
      </w:r>
    </w:p>
    <w:p w14:paraId="3673846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QUALITY</w:t>
      </w:r>
      <w:r w:rsidRPr="004D2D14">
        <w:rPr>
          <w:rFonts w:asciiTheme="majorHAnsi" w:hAnsiTheme="majorHAnsi"/>
          <w:spacing w:val="-3"/>
          <w:sz w:val="20"/>
          <w:szCs w:val="20"/>
          <w:lang w:val="uk-UA"/>
        </w:rPr>
        <w:t xml:space="preserve"> </w:t>
      </w:r>
      <w:r w:rsidRPr="000977F7">
        <w:rPr>
          <w:rFonts w:asciiTheme="majorHAnsi" w:hAnsiTheme="majorHAnsi"/>
          <w:sz w:val="20"/>
          <w:szCs w:val="20"/>
        </w:rPr>
        <w:t>POLICY</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08AC2D1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Загальні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наміри та спрямованість сукупності людей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 засобів виробництва з розподілом відповідальності,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повноважень та взаємовідносин, пов’язані з ступенем,</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до якого сукупність власних відмітних властивостей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задовольняє</w:t>
      </w:r>
      <w:r w:rsidRPr="004D2D14">
        <w:rPr>
          <w:rFonts w:asciiTheme="majorHAnsi" w:hAnsiTheme="majorHAnsi"/>
          <w:spacing w:val="40"/>
          <w:sz w:val="20"/>
          <w:szCs w:val="20"/>
          <w:lang w:val="uk-UA"/>
        </w:rPr>
        <w:t xml:space="preserve"> </w:t>
      </w:r>
      <w:r w:rsidRPr="004D2D14">
        <w:rPr>
          <w:rFonts w:asciiTheme="majorHAnsi" w:hAnsiTheme="majorHAnsi"/>
          <w:sz w:val="20"/>
          <w:szCs w:val="20"/>
          <w:lang w:val="uk-UA"/>
        </w:rPr>
        <w:t>сформульовані</w:t>
      </w:r>
      <w:r w:rsidRPr="004D2D14">
        <w:rPr>
          <w:rFonts w:asciiTheme="majorHAnsi" w:hAnsiTheme="majorHAnsi"/>
          <w:spacing w:val="41"/>
          <w:sz w:val="20"/>
          <w:szCs w:val="20"/>
          <w:lang w:val="uk-UA"/>
        </w:rPr>
        <w:t xml:space="preserve"> </w:t>
      </w:r>
      <w:r w:rsidRPr="004D2D14">
        <w:rPr>
          <w:rFonts w:asciiTheme="majorHAnsi" w:hAnsiTheme="majorHAnsi"/>
          <w:sz w:val="20"/>
          <w:szCs w:val="20"/>
          <w:lang w:val="uk-UA"/>
        </w:rPr>
        <w:t>потреби</w:t>
      </w:r>
      <w:r w:rsidRPr="004D2D14">
        <w:rPr>
          <w:rFonts w:asciiTheme="majorHAnsi" w:hAnsiTheme="majorHAnsi"/>
          <w:spacing w:val="39"/>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40"/>
          <w:sz w:val="20"/>
          <w:szCs w:val="20"/>
          <w:lang w:val="uk-UA"/>
        </w:rPr>
        <w:t xml:space="preserve"> </w:t>
      </w:r>
      <w:r w:rsidRPr="004D2D14">
        <w:rPr>
          <w:rFonts w:asciiTheme="majorHAnsi" w:hAnsiTheme="majorHAnsi"/>
          <w:sz w:val="20"/>
          <w:szCs w:val="20"/>
          <w:lang w:val="uk-UA"/>
        </w:rPr>
        <w:t>очікування, загально зрозумілі або обов’язкові, офіційно сформульовані особою чи групою осіб, яка спрямовує та контролює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діяльність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найвищому</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рівні</w:t>
      </w:r>
    </w:p>
    <w:p w14:paraId="504B20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6D316BB4" w14:textId="77777777" w:rsidR="0097612F" w:rsidRPr="000977F7" w:rsidRDefault="0097612F" w:rsidP="00FD39A4">
      <w:pPr>
        <w:pStyle w:val="ac"/>
        <w:widowControl w:val="0"/>
        <w:numPr>
          <w:ilvl w:val="1"/>
          <w:numId w:val="113"/>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Політика в сфері якості, як правило узгоджена з</w:t>
      </w:r>
      <w:r w:rsidRPr="000977F7">
        <w:rPr>
          <w:rFonts w:asciiTheme="majorHAnsi" w:hAnsiTheme="majorHAnsi"/>
          <w:spacing w:val="1"/>
          <w:sz w:val="20"/>
          <w:szCs w:val="20"/>
        </w:rPr>
        <w:t xml:space="preserve"> </w:t>
      </w:r>
      <w:r w:rsidRPr="000977F7">
        <w:rPr>
          <w:rFonts w:asciiTheme="majorHAnsi" w:hAnsiTheme="majorHAnsi"/>
          <w:sz w:val="20"/>
          <w:szCs w:val="20"/>
        </w:rPr>
        <w:t>загальною</w:t>
      </w:r>
      <w:r w:rsidRPr="000977F7">
        <w:rPr>
          <w:rFonts w:asciiTheme="majorHAnsi" w:hAnsiTheme="majorHAnsi"/>
          <w:spacing w:val="-4"/>
          <w:sz w:val="20"/>
          <w:szCs w:val="20"/>
        </w:rPr>
        <w:t xml:space="preserve"> </w:t>
      </w:r>
      <w:r w:rsidRPr="000977F7">
        <w:rPr>
          <w:rFonts w:asciiTheme="majorHAnsi" w:hAnsiTheme="majorHAnsi"/>
          <w:sz w:val="20"/>
          <w:szCs w:val="20"/>
        </w:rPr>
        <w:t>політикою</w:t>
      </w:r>
      <w:r w:rsidRPr="000977F7">
        <w:rPr>
          <w:rFonts w:asciiTheme="majorHAnsi" w:hAnsiTheme="majorHAnsi"/>
          <w:spacing w:val="-4"/>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6"/>
          <w:sz w:val="20"/>
          <w:szCs w:val="20"/>
        </w:rPr>
        <w:t xml:space="preserve"> </w:t>
      </w:r>
      <w:r w:rsidRPr="000977F7">
        <w:rPr>
          <w:rFonts w:asciiTheme="majorHAnsi" w:hAnsiTheme="majorHAnsi"/>
          <w:sz w:val="20"/>
          <w:szCs w:val="20"/>
        </w:rPr>
        <w:t>і</w:t>
      </w:r>
      <w:r w:rsidRPr="000977F7">
        <w:rPr>
          <w:rFonts w:asciiTheme="majorHAnsi" w:hAnsiTheme="majorHAnsi"/>
          <w:spacing w:val="-3"/>
          <w:sz w:val="20"/>
          <w:szCs w:val="20"/>
        </w:rPr>
        <w:t xml:space="preserve"> </w:t>
      </w:r>
      <w:r w:rsidRPr="000977F7">
        <w:rPr>
          <w:rFonts w:asciiTheme="majorHAnsi" w:hAnsiTheme="majorHAnsi"/>
          <w:sz w:val="20"/>
          <w:szCs w:val="20"/>
        </w:rPr>
        <w:t>становить</w:t>
      </w:r>
      <w:r w:rsidRPr="000977F7">
        <w:rPr>
          <w:rFonts w:asciiTheme="majorHAnsi" w:hAnsiTheme="majorHAnsi"/>
          <w:spacing w:val="-4"/>
          <w:sz w:val="20"/>
          <w:szCs w:val="20"/>
        </w:rPr>
        <w:t xml:space="preserve"> </w:t>
      </w:r>
      <w:r w:rsidRPr="000977F7">
        <w:rPr>
          <w:rFonts w:asciiTheme="majorHAnsi" w:hAnsiTheme="majorHAnsi"/>
          <w:sz w:val="20"/>
          <w:szCs w:val="20"/>
        </w:rPr>
        <w:t>основу</w:t>
      </w:r>
      <w:r w:rsidRPr="000977F7">
        <w:rPr>
          <w:rFonts w:asciiTheme="majorHAnsi" w:hAnsiTheme="majorHAnsi"/>
          <w:spacing w:val="-10"/>
          <w:sz w:val="20"/>
          <w:szCs w:val="20"/>
        </w:rPr>
        <w:t xml:space="preserve"> </w:t>
      </w:r>
      <w:r w:rsidRPr="000977F7">
        <w:rPr>
          <w:rFonts w:asciiTheme="majorHAnsi" w:hAnsiTheme="majorHAnsi"/>
          <w:sz w:val="20"/>
          <w:szCs w:val="20"/>
        </w:rPr>
        <w:t>для</w:t>
      </w:r>
      <w:r w:rsidRPr="000977F7">
        <w:rPr>
          <w:rFonts w:asciiTheme="majorHAnsi" w:hAnsiTheme="majorHAnsi"/>
          <w:spacing w:val="-8"/>
          <w:sz w:val="20"/>
          <w:szCs w:val="20"/>
        </w:rPr>
        <w:t xml:space="preserve"> </w:t>
      </w:r>
      <w:r w:rsidRPr="000977F7">
        <w:rPr>
          <w:rFonts w:asciiTheme="majorHAnsi" w:hAnsiTheme="majorHAnsi"/>
          <w:sz w:val="20"/>
          <w:szCs w:val="20"/>
        </w:rPr>
        <w:t>встановлення</w:t>
      </w:r>
      <w:r w:rsidRPr="000977F7">
        <w:rPr>
          <w:rFonts w:asciiTheme="majorHAnsi" w:hAnsiTheme="majorHAnsi"/>
          <w:spacing w:val="-8"/>
          <w:sz w:val="20"/>
          <w:szCs w:val="20"/>
        </w:rPr>
        <w:t xml:space="preserve"> </w:t>
      </w:r>
      <w:r w:rsidRPr="000977F7">
        <w:rPr>
          <w:rFonts w:asciiTheme="majorHAnsi" w:hAnsiTheme="majorHAnsi"/>
          <w:sz w:val="20"/>
          <w:szCs w:val="20"/>
        </w:rPr>
        <w:t>того,</w:t>
      </w:r>
      <w:r w:rsidRPr="000977F7">
        <w:rPr>
          <w:rFonts w:asciiTheme="majorHAnsi" w:hAnsiTheme="majorHAnsi"/>
          <w:spacing w:val="-7"/>
          <w:sz w:val="20"/>
          <w:szCs w:val="20"/>
        </w:rPr>
        <w:t xml:space="preserve"> </w:t>
      </w:r>
      <w:r w:rsidRPr="000977F7">
        <w:rPr>
          <w:rFonts w:asciiTheme="majorHAnsi" w:hAnsiTheme="majorHAnsi"/>
          <w:sz w:val="20"/>
          <w:szCs w:val="20"/>
        </w:rPr>
        <w:t>чого</w:t>
      </w:r>
      <w:r w:rsidRPr="000977F7">
        <w:rPr>
          <w:rFonts w:asciiTheme="majorHAnsi" w:hAnsiTheme="majorHAnsi"/>
          <w:spacing w:val="-8"/>
          <w:sz w:val="20"/>
          <w:szCs w:val="20"/>
        </w:rPr>
        <w:t xml:space="preserve"> </w:t>
      </w:r>
      <w:r w:rsidRPr="000977F7">
        <w:rPr>
          <w:rFonts w:asciiTheme="majorHAnsi" w:hAnsiTheme="majorHAnsi"/>
          <w:sz w:val="20"/>
          <w:szCs w:val="20"/>
        </w:rPr>
        <w:t>прагнуть</w:t>
      </w:r>
      <w:r w:rsidRPr="000977F7">
        <w:rPr>
          <w:rFonts w:asciiTheme="majorHAnsi" w:hAnsiTheme="majorHAnsi"/>
          <w:spacing w:val="-8"/>
          <w:sz w:val="20"/>
          <w:szCs w:val="20"/>
        </w:rPr>
        <w:t xml:space="preserve"> </w:t>
      </w:r>
      <w:r w:rsidRPr="000977F7">
        <w:rPr>
          <w:rFonts w:asciiTheme="majorHAnsi" w:hAnsiTheme="majorHAnsi"/>
          <w:sz w:val="20"/>
          <w:szCs w:val="20"/>
        </w:rPr>
        <w:t>або</w:t>
      </w:r>
      <w:r w:rsidRPr="000977F7">
        <w:rPr>
          <w:rFonts w:asciiTheme="majorHAnsi" w:hAnsiTheme="majorHAnsi"/>
          <w:spacing w:val="-7"/>
          <w:sz w:val="20"/>
          <w:szCs w:val="20"/>
        </w:rPr>
        <w:t xml:space="preserve"> </w:t>
      </w:r>
      <w:r w:rsidRPr="000977F7">
        <w:rPr>
          <w:rFonts w:asciiTheme="majorHAnsi" w:hAnsiTheme="majorHAnsi"/>
          <w:sz w:val="20"/>
          <w:szCs w:val="20"/>
        </w:rPr>
        <w:t>до</w:t>
      </w:r>
      <w:r w:rsidRPr="000977F7">
        <w:rPr>
          <w:rFonts w:asciiTheme="majorHAnsi" w:hAnsiTheme="majorHAnsi"/>
          <w:spacing w:val="-7"/>
          <w:sz w:val="20"/>
          <w:szCs w:val="20"/>
        </w:rPr>
        <w:t xml:space="preserve"> </w:t>
      </w:r>
      <w:r w:rsidRPr="000977F7">
        <w:rPr>
          <w:rFonts w:asciiTheme="majorHAnsi" w:hAnsiTheme="majorHAnsi"/>
          <w:sz w:val="20"/>
          <w:szCs w:val="20"/>
        </w:rPr>
        <w:t>чого</w:t>
      </w:r>
      <w:r w:rsidRPr="000977F7">
        <w:rPr>
          <w:rFonts w:asciiTheme="majorHAnsi" w:hAnsiTheme="majorHAnsi"/>
          <w:spacing w:val="-5"/>
          <w:sz w:val="20"/>
          <w:szCs w:val="20"/>
        </w:rPr>
        <w:t xml:space="preserve"> </w:t>
      </w:r>
      <w:r w:rsidRPr="000977F7">
        <w:rPr>
          <w:rFonts w:asciiTheme="majorHAnsi" w:hAnsiTheme="majorHAnsi"/>
          <w:sz w:val="20"/>
          <w:szCs w:val="20"/>
        </w:rPr>
        <w:t>прямують</w:t>
      </w:r>
      <w:r w:rsidRPr="000977F7">
        <w:rPr>
          <w:rFonts w:asciiTheme="majorHAnsi" w:hAnsiTheme="majorHAnsi"/>
          <w:spacing w:val="-3"/>
          <w:sz w:val="20"/>
          <w:szCs w:val="20"/>
        </w:rPr>
        <w:t xml:space="preserve"> </w:t>
      </w:r>
      <w:r w:rsidRPr="000977F7">
        <w:rPr>
          <w:rFonts w:asciiTheme="majorHAnsi" w:hAnsiTheme="majorHAnsi"/>
          <w:sz w:val="20"/>
          <w:szCs w:val="20"/>
        </w:rPr>
        <w:t>у</w:t>
      </w:r>
      <w:r w:rsidRPr="000977F7">
        <w:rPr>
          <w:rFonts w:asciiTheme="majorHAnsi" w:hAnsiTheme="majorHAnsi"/>
          <w:spacing w:val="-7"/>
          <w:sz w:val="20"/>
          <w:szCs w:val="20"/>
        </w:rPr>
        <w:t xml:space="preserve"> </w:t>
      </w:r>
      <w:r w:rsidRPr="000977F7">
        <w:rPr>
          <w:rFonts w:asciiTheme="majorHAnsi" w:hAnsiTheme="majorHAnsi"/>
          <w:sz w:val="20"/>
          <w:szCs w:val="20"/>
        </w:rPr>
        <w:t>сфері</w:t>
      </w:r>
      <w:r w:rsidRPr="000977F7">
        <w:rPr>
          <w:rFonts w:asciiTheme="majorHAnsi" w:hAnsiTheme="majorHAnsi"/>
          <w:spacing w:val="-6"/>
          <w:sz w:val="20"/>
          <w:szCs w:val="20"/>
        </w:rPr>
        <w:t xml:space="preserve"> </w:t>
      </w:r>
      <w:r w:rsidRPr="000977F7">
        <w:rPr>
          <w:rFonts w:asciiTheme="majorHAnsi" w:hAnsiTheme="majorHAnsi"/>
          <w:sz w:val="20"/>
          <w:szCs w:val="20"/>
        </w:rPr>
        <w:t>якості</w:t>
      </w:r>
    </w:p>
    <w:p w14:paraId="1BFDD6F2" w14:textId="77777777" w:rsidR="0097612F" w:rsidRPr="000977F7" w:rsidRDefault="0097612F" w:rsidP="00FD39A4">
      <w:pPr>
        <w:pStyle w:val="ac"/>
        <w:widowControl w:val="0"/>
        <w:numPr>
          <w:ilvl w:val="1"/>
          <w:numId w:val="113"/>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Політика</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сфері</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ґрунтуватися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pacing w:val="-1"/>
          <w:sz w:val="20"/>
          <w:szCs w:val="20"/>
        </w:rPr>
        <w:t>принципах</w:t>
      </w:r>
      <w:r w:rsidRPr="000977F7">
        <w:rPr>
          <w:rFonts w:asciiTheme="majorHAnsi" w:hAnsiTheme="majorHAnsi"/>
          <w:spacing w:val="-1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0"/>
          <w:sz w:val="20"/>
          <w:szCs w:val="20"/>
        </w:rPr>
        <w:t xml:space="preserve"> </w:t>
      </w:r>
      <w:r w:rsidRPr="000977F7">
        <w:rPr>
          <w:rFonts w:asciiTheme="majorHAnsi" w:hAnsiTheme="majorHAnsi"/>
          <w:sz w:val="20"/>
          <w:szCs w:val="20"/>
        </w:rPr>
        <w:t>якістю,</w:t>
      </w:r>
      <w:r w:rsidRPr="000977F7">
        <w:rPr>
          <w:rFonts w:asciiTheme="majorHAnsi" w:hAnsiTheme="majorHAnsi"/>
          <w:spacing w:val="-10"/>
          <w:sz w:val="20"/>
          <w:szCs w:val="20"/>
        </w:rPr>
        <w:t xml:space="preserve"> </w:t>
      </w:r>
      <w:r w:rsidRPr="000977F7">
        <w:rPr>
          <w:rFonts w:asciiTheme="majorHAnsi" w:hAnsiTheme="majorHAnsi"/>
          <w:sz w:val="20"/>
          <w:szCs w:val="20"/>
        </w:rPr>
        <w:t>викладених</w:t>
      </w:r>
      <w:r w:rsidRPr="000977F7">
        <w:rPr>
          <w:rFonts w:asciiTheme="majorHAnsi" w:hAnsiTheme="majorHAnsi"/>
          <w:spacing w:val="-10"/>
          <w:sz w:val="20"/>
          <w:szCs w:val="20"/>
        </w:rPr>
        <w:t xml:space="preserve"> </w:t>
      </w:r>
      <w:r w:rsidRPr="000977F7">
        <w:rPr>
          <w:rFonts w:asciiTheme="majorHAnsi" w:hAnsiTheme="majorHAnsi"/>
          <w:sz w:val="20"/>
          <w:szCs w:val="20"/>
        </w:rPr>
        <w:t>у</w:t>
      </w:r>
      <w:r w:rsidRPr="000977F7">
        <w:rPr>
          <w:rFonts w:asciiTheme="majorHAnsi" w:hAnsiTheme="majorHAnsi"/>
          <w:spacing w:val="-12"/>
          <w:sz w:val="20"/>
          <w:szCs w:val="20"/>
        </w:rPr>
        <w:t xml:space="preserve"> </w:t>
      </w:r>
      <w:r w:rsidRPr="000977F7">
        <w:rPr>
          <w:rFonts w:asciiTheme="majorHAnsi" w:hAnsiTheme="majorHAnsi"/>
          <w:sz w:val="20"/>
          <w:szCs w:val="20"/>
        </w:rPr>
        <w:t>цьому</w:t>
      </w:r>
      <w:r w:rsidRPr="000977F7">
        <w:rPr>
          <w:rFonts w:asciiTheme="majorHAnsi" w:hAnsiTheme="majorHAnsi"/>
          <w:spacing w:val="-48"/>
          <w:sz w:val="20"/>
          <w:szCs w:val="20"/>
        </w:rPr>
        <w:t xml:space="preserve"> </w:t>
      </w:r>
      <w:r w:rsidRPr="000977F7">
        <w:rPr>
          <w:rFonts w:asciiTheme="majorHAnsi" w:hAnsiTheme="majorHAnsi"/>
          <w:sz w:val="20"/>
          <w:szCs w:val="20"/>
        </w:rPr>
        <w:t>стандарті:</w:t>
      </w:r>
    </w:p>
    <w:p w14:paraId="742BD3C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а)</w:t>
      </w:r>
      <w:r w:rsidRPr="000977F7">
        <w:rPr>
          <w:rFonts w:asciiTheme="majorHAnsi" w:hAnsiTheme="majorHAnsi"/>
          <w:spacing w:val="-11"/>
          <w:sz w:val="20"/>
          <w:szCs w:val="20"/>
        </w:rPr>
        <w:t xml:space="preserve"> </w:t>
      </w:r>
      <w:r w:rsidRPr="000977F7">
        <w:rPr>
          <w:rFonts w:asciiTheme="majorHAnsi" w:hAnsiTheme="majorHAnsi"/>
          <w:spacing w:val="-1"/>
          <w:sz w:val="20"/>
          <w:szCs w:val="20"/>
        </w:rPr>
        <w:t>Орієнтація</w:t>
      </w:r>
      <w:r w:rsidRPr="000977F7">
        <w:rPr>
          <w:rFonts w:asciiTheme="majorHAnsi" w:hAnsiTheme="majorHAnsi"/>
          <w:spacing w:val="-10"/>
          <w:sz w:val="20"/>
          <w:szCs w:val="20"/>
        </w:rPr>
        <w:t xml:space="preserve"> </w:t>
      </w:r>
      <w:r w:rsidRPr="000977F7">
        <w:rPr>
          <w:rFonts w:asciiTheme="majorHAnsi" w:hAnsiTheme="majorHAnsi"/>
          <w:spacing w:val="-1"/>
          <w:sz w:val="20"/>
          <w:szCs w:val="20"/>
        </w:rPr>
        <w:t>на</w:t>
      </w:r>
      <w:r w:rsidRPr="000977F7">
        <w:rPr>
          <w:rFonts w:asciiTheme="majorHAnsi" w:hAnsiTheme="majorHAnsi"/>
          <w:spacing w:val="-10"/>
          <w:sz w:val="20"/>
          <w:szCs w:val="20"/>
        </w:rPr>
        <w:t xml:space="preserve"> </w:t>
      </w:r>
      <w:r w:rsidRPr="000977F7">
        <w:rPr>
          <w:rFonts w:asciiTheme="majorHAnsi" w:hAnsiTheme="majorHAnsi"/>
          <w:spacing w:val="-1"/>
          <w:sz w:val="20"/>
          <w:szCs w:val="20"/>
        </w:rPr>
        <w:t>замовника</w:t>
      </w:r>
    </w:p>
    <w:p w14:paraId="50699A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Організації</w:t>
      </w:r>
      <w:r w:rsidRPr="000977F7">
        <w:rPr>
          <w:rFonts w:asciiTheme="majorHAnsi" w:hAnsiTheme="majorHAnsi"/>
          <w:spacing w:val="-9"/>
          <w:sz w:val="20"/>
          <w:szCs w:val="20"/>
        </w:rPr>
        <w:t xml:space="preserve"> </w:t>
      </w:r>
      <w:r w:rsidRPr="000977F7">
        <w:rPr>
          <w:rFonts w:asciiTheme="majorHAnsi" w:hAnsiTheme="majorHAnsi"/>
          <w:sz w:val="20"/>
          <w:szCs w:val="20"/>
        </w:rPr>
        <w:t>залежать</w:t>
      </w:r>
      <w:r w:rsidRPr="000977F7">
        <w:rPr>
          <w:rFonts w:asciiTheme="majorHAnsi" w:hAnsiTheme="majorHAnsi"/>
          <w:spacing w:val="-8"/>
          <w:sz w:val="20"/>
          <w:szCs w:val="20"/>
        </w:rPr>
        <w:t xml:space="preserve"> </w:t>
      </w:r>
      <w:r w:rsidRPr="000977F7">
        <w:rPr>
          <w:rFonts w:asciiTheme="majorHAnsi" w:hAnsiTheme="majorHAnsi"/>
          <w:sz w:val="20"/>
          <w:szCs w:val="20"/>
        </w:rPr>
        <w:t>від</w:t>
      </w:r>
      <w:r w:rsidRPr="000977F7">
        <w:rPr>
          <w:rFonts w:asciiTheme="majorHAnsi" w:hAnsiTheme="majorHAnsi"/>
          <w:spacing w:val="-8"/>
          <w:sz w:val="20"/>
          <w:szCs w:val="20"/>
        </w:rPr>
        <w:t xml:space="preserve"> </w:t>
      </w:r>
      <w:r w:rsidRPr="000977F7">
        <w:rPr>
          <w:rFonts w:asciiTheme="majorHAnsi" w:hAnsiTheme="majorHAnsi"/>
          <w:sz w:val="20"/>
          <w:szCs w:val="20"/>
        </w:rPr>
        <w:t>своїх</w:t>
      </w:r>
      <w:r w:rsidRPr="000977F7">
        <w:rPr>
          <w:rFonts w:asciiTheme="majorHAnsi" w:hAnsiTheme="majorHAnsi"/>
          <w:spacing w:val="-11"/>
          <w:sz w:val="20"/>
          <w:szCs w:val="20"/>
        </w:rPr>
        <w:t xml:space="preserve"> </w:t>
      </w:r>
      <w:r w:rsidRPr="000977F7">
        <w:rPr>
          <w:rFonts w:asciiTheme="majorHAnsi" w:hAnsiTheme="majorHAnsi"/>
          <w:sz w:val="20"/>
          <w:szCs w:val="20"/>
        </w:rPr>
        <w:t>замовників</w:t>
      </w:r>
      <w:r w:rsidRPr="000977F7">
        <w:rPr>
          <w:rFonts w:asciiTheme="majorHAnsi" w:hAnsiTheme="majorHAnsi"/>
          <w:spacing w:val="-8"/>
          <w:sz w:val="20"/>
          <w:szCs w:val="20"/>
        </w:rPr>
        <w:t xml:space="preserve"> </w:t>
      </w:r>
      <w:r w:rsidRPr="000977F7">
        <w:rPr>
          <w:rFonts w:asciiTheme="majorHAnsi" w:hAnsiTheme="majorHAnsi"/>
          <w:sz w:val="20"/>
          <w:szCs w:val="20"/>
        </w:rPr>
        <w:t>і</w:t>
      </w:r>
      <w:r w:rsidRPr="000977F7">
        <w:rPr>
          <w:rFonts w:asciiTheme="majorHAnsi" w:hAnsiTheme="majorHAnsi"/>
          <w:spacing w:val="-8"/>
          <w:sz w:val="20"/>
          <w:szCs w:val="20"/>
        </w:rPr>
        <w:t xml:space="preserve"> </w:t>
      </w:r>
      <w:r w:rsidRPr="000977F7">
        <w:rPr>
          <w:rFonts w:asciiTheme="majorHAnsi" w:hAnsiTheme="majorHAnsi"/>
          <w:sz w:val="20"/>
          <w:szCs w:val="20"/>
        </w:rPr>
        <w:t>тому</w:t>
      </w:r>
      <w:r w:rsidRPr="000977F7">
        <w:rPr>
          <w:rFonts w:asciiTheme="majorHAnsi" w:hAnsiTheme="majorHAnsi"/>
          <w:spacing w:val="-10"/>
          <w:sz w:val="20"/>
          <w:szCs w:val="20"/>
        </w:rPr>
        <w:t xml:space="preserve"> </w:t>
      </w:r>
      <w:r w:rsidRPr="000977F7">
        <w:rPr>
          <w:rFonts w:asciiTheme="majorHAnsi" w:hAnsiTheme="majorHAnsi"/>
          <w:sz w:val="20"/>
          <w:szCs w:val="20"/>
        </w:rPr>
        <w:t>повинні розуміти поточні та майбутні потреби замовників, виконувати їхні вимоги і прагнути до перевищення</w:t>
      </w:r>
      <w:r w:rsidRPr="000977F7">
        <w:rPr>
          <w:rFonts w:asciiTheme="majorHAnsi" w:hAnsiTheme="majorHAnsi"/>
          <w:spacing w:val="-6"/>
          <w:sz w:val="20"/>
          <w:szCs w:val="20"/>
        </w:rPr>
        <w:t xml:space="preserve"> </w:t>
      </w:r>
      <w:r w:rsidRPr="000977F7">
        <w:rPr>
          <w:rFonts w:asciiTheme="majorHAnsi" w:hAnsiTheme="majorHAnsi"/>
          <w:sz w:val="20"/>
          <w:szCs w:val="20"/>
        </w:rPr>
        <w:t>їхніх</w:t>
      </w:r>
      <w:r w:rsidRPr="000977F7">
        <w:rPr>
          <w:rFonts w:asciiTheme="majorHAnsi" w:hAnsiTheme="majorHAnsi"/>
          <w:spacing w:val="-7"/>
          <w:sz w:val="20"/>
          <w:szCs w:val="20"/>
        </w:rPr>
        <w:t xml:space="preserve"> </w:t>
      </w:r>
      <w:r w:rsidRPr="000977F7">
        <w:rPr>
          <w:rFonts w:asciiTheme="majorHAnsi" w:hAnsiTheme="majorHAnsi"/>
          <w:sz w:val="20"/>
          <w:szCs w:val="20"/>
        </w:rPr>
        <w:t>очікувань.</w:t>
      </w:r>
    </w:p>
    <w:p w14:paraId="7E58BBF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б)</w:t>
      </w:r>
      <w:r w:rsidRPr="000977F7">
        <w:rPr>
          <w:rFonts w:asciiTheme="majorHAnsi" w:hAnsiTheme="majorHAnsi"/>
          <w:spacing w:val="-10"/>
          <w:sz w:val="20"/>
          <w:szCs w:val="20"/>
        </w:rPr>
        <w:t xml:space="preserve"> </w:t>
      </w:r>
      <w:r w:rsidRPr="000977F7">
        <w:rPr>
          <w:rFonts w:asciiTheme="majorHAnsi" w:hAnsiTheme="majorHAnsi"/>
          <w:spacing w:val="-1"/>
          <w:sz w:val="20"/>
          <w:szCs w:val="20"/>
        </w:rPr>
        <w:t>Лідерство</w:t>
      </w:r>
    </w:p>
    <w:p w14:paraId="2D3118E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Керівники встановлюють єдність мети та напрямів</w:t>
      </w:r>
      <w:r w:rsidRPr="000977F7">
        <w:rPr>
          <w:rFonts w:asciiTheme="majorHAnsi" w:hAnsiTheme="majorHAnsi"/>
          <w:spacing w:val="-47"/>
          <w:sz w:val="20"/>
          <w:szCs w:val="20"/>
        </w:rPr>
        <w:t xml:space="preserve"> </w:t>
      </w:r>
      <w:r w:rsidRPr="000977F7">
        <w:rPr>
          <w:rFonts w:asciiTheme="majorHAnsi" w:hAnsiTheme="majorHAnsi"/>
          <w:sz w:val="20"/>
          <w:szCs w:val="20"/>
        </w:rPr>
        <w:t>діяльності організації. Їм слід створювати та підтримувати таке внутрішнє середовище, в якому працівники можуть бути повністю залучені до виконання</w:t>
      </w:r>
      <w:r w:rsidRPr="000977F7">
        <w:rPr>
          <w:rFonts w:asciiTheme="majorHAnsi" w:hAnsiTheme="majorHAnsi"/>
          <w:spacing w:val="-10"/>
          <w:sz w:val="20"/>
          <w:szCs w:val="20"/>
        </w:rPr>
        <w:t xml:space="preserve"> </w:t>
      </w:r>
      <w:r w:rsidRPr="000977F7">
        <w:rPr>
          <w:rFonts w:asciiTheme="majorHAnsi" w:hAnsiTheme="majorHAnsi"/>
          <w:sz w:val="20"/>
          <w:szCs w:val="20"/>
        </w:rPr>
        <w:t>завдань,</w:t>
      </w:r>
      <w:r w:rsidRPr="000977F7">
        <w:rPr>
          <w:rFonts w:asciiTheme="majorHAnsi" w:hAnsiTheme="majorHAnsi"/>
          <w:spacing w:val="-6"/>
          <w:sz w:val="20"/>
          <w:szCs w:val="20"/>
        </w:rPr>
        <w:t xml:space="preserve"> </w:t>
      </w:r>
      <w:r w:rsidRPr="000977F7">
        <w:rPr>
          <w:rFonts w:asciiTheme="majorHAnsi" w:hAnsiTheme="majorHAnsi"/>
          <w:sz w:val="20"/>
          <w:szCs w:val="20"/>
        </w:rPr>
        <w:t>що</w:t>
      </w:r>
      <w:r w:rsidRPr="000977F7">
        <w:rPr>
          <w:rFonts w:asciiTheme="majorHAnsi" w:hAnsiTheme="majorHAnsi"/>
          <w:spacing w:val="-9"/>
          <w:sz w:val="20"/>
          <w:szCs w:val="20"/>
        </w:rPr>
        <w:t xml:space="preserve"> </w:t>
      </w:r>
      <w:r w:rsidRPr="000977F7">
        <w:rPr>
          <w:rFonts w:asciiTheme="majorHAnsi" w:hAnsiTheme="majorHAnsi"/>
          <w:sz w:val="20"/>
          <w:szCs w:val="20"/>
        </w:rPr>
        <w:t>стоять</w:t>
      </w:r>
      <w:r w:rsidRPr="000977F7">
        <w:rPr>
          <w:rFonts w:asciiTheme="majorHAnsi" w:hAnsiTheme="majorHAnsi"/>
          <w:spacing w:val="-6"/>
          <w:sz w:val="20"/>
          <w:szCs w:val="20"/>
        </w:rPr>
        <w:t xml:space="preserve"> </w:t>
      </w:r>
      <w:r w:rsidRPr="000977F7">
        <w:rPr>
          <w:rFonts w:asciiTheme="majorHAnsi" w:hAnsiTheme="majorHAnsi"/>
          <w:sz w:val="20"/>
          <w:szCs w:val="20"/>
        </w:rPr>
        <w:t>перед</w:t>
      </w:r>
      <w:r w:rsidRPr="000977F7">
        <w:rPr>
          <w:rFonts w:asciiTheme="majorHAnsi" w:hAnsiTheme="majorHAnsi"/>
          <w:spacing w:val="-10"/>
          <w:sz w:val="20"/>
          <w:szCs w:val="20"/>
        </w:rPr>
        <w:t xml:space="preserve"> </w:t>
      </w:r>
      <w:r w:rsidRPr="000977F7">
        <w:rPr>
          <w:rFonts w:asciiTheme="majorHAnsi" w:hAnsiTheme="majorHAnsi"/>
          <w:sz w:val="20"/>
          <w:szCs w:val="20"/>
        </w:rPr>
        <w:t>організацією.</w:t>
      </w:r>
    </w:p>
    <w:p w14:paraId="4F94314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в)</w:t>
      </w:r>
      <w:r w:rsidRPr="000977F7">
        <w:rPr>
          <w:rFonts w:asciiTheme="majorHAnsi" w:hAnsiTheme="majorHAnsi"/>
          <w:spacing w:val="-12"/>
          <w:sz w:val="20"/>
          <w:szCs w:val="20"/>
        </w:rPr>
        <w:t xml:space="preserve"> </w:t>
      </w:r>
      <w:r w:rsidRPr="000977F7">
        <w:rPr>
          <w:rFonts w:asciiTheme="majorHAnsi" w:hAnsiTheme="majorHAnsi"/>
          <w:spacing w:val="-1"/>
          <w:sz w:val="20"/>
          <w:szCs w:val="20"/>
        </w:rPr>
        <w:t>Залучення</w:t>
      </w:r>
      <w:r w:rsidRPr="000977F7">
        <w:rPr>
          <w:rFonts w:asciiTheme="majorHAnsi" w:hAnsiTheme="majorHAnsi"/>
          <w:spacing w:val="-10"/>
          <w:sz w:val="20"/>
          <w:szCs w:val="20"/>
        </w:rPr>
        <w:t xml:space="preserve"> </w:t>
      </w:r>
      <w:r w:rsidRPr="000977F7">
        <w:rPr>
          <w:rFonts w:asciiTheme="majorHAnsi" w:hAnsiTheme="majorHAnsi"/>
          <w:spacing w:val="-1"/>
          <w:sz w:val="20"/>
          <w:szCs w:val="20"/>
        </w:rPr>
        <w:t>працівників</w:t>
      </w:r>
    </w:p>
    <w:p w14:paraId="03342E5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Працівники на всіх рівнях становлять основу організації,</w:t>
      </w:r>
      <w:r w:rsidRPr="000977F7">
        <w:rPr>
          <w:rFonts w:asciiTheme="majorHAnsi" w:hAnsiTheme="majorHAnsi"/>
          <w:spacing w:val="-6"/>
          <w:sz w:val="20"/>
          <w:szCs w:val="20"/>
        </w:rPr>
        <w:t xml:space="preserve"> </w:t>
      </w:r>
      <w:r w:rsidRPr="000977F7">
        <w:rPr>
          <w:rFonts w:asciiTheme="majorHAnsi" w:hAnsiTheme="majorHAnsi"/>
          <w:sz w:val="20"/>
          <w:szCs w:val="20"/>
        </w:rPr>
        <w:t>і</w:t>
      </w:r>
      <w:r w:rsidRPr="000977F7">
        <w:rPr>
          <w:rFonts w:asciiTheme="majorHAnsi" w:hAnsiTheme="majorHAnsi"/>
          <w:spacing w:val="-8"/>
          <w:sz w:val="20"/>
          <w:szCs w:val="20"/>
        </w:rPr>
        <w:t xml:space="preserve"> </w:t>
      </w:r>
      <w:r w:rsidRPr="000977F7">
        <w:rPr>
          <w:rFonts w:asciiTheme="majorHAnsi" w:hAnsiTheme="majorHAnsi"/>
          <w:sz w:val="20"/>
          <w:szCs w:val="20"/>
        </w:rPr>
        <w:t>їхнє</w:t>
      </w:r>
      <w:r w:rsidRPr="000977F7">
        <w:rPr>
          <w:rFonts w:asciiTheme="majorHAnsi" w:hAnsiTheme="majorHAnsi"/>
          <w:spacing w:val="-5"/>
          <w:sz w:val="20"/>
          <w:szCs w:val="20"/>
        </w:rPr>
        <w:t xml:space="preserve"> </w:t>
      </w:r>
      <w:r w:rsidRPr="000977F7">
        <w:rPr>
          <w:rFonts w:asciiTheme="majorHAnsi" w:hAnsiTheme="majorHAnsi"/>
          <w:sz w:val="20"/>
          <w:szCs w:val="20"/>
        </w:rPr>
        <w:t>повне</w:t>
      </w:r>
      <w:r w:rsidRPr="000977F7">
        <w:rPr>
          <w:rFonts w:asciiTheme="majorHAnsi" w:hAnsiTheme="majorHAnsi"/>
          <w:spacing w:val="-6"/>
          <w:sz w:val="20"/>
          <w:szCs w:val="20"/>
        </w:rPr>
        <w:t xml:space="preserve"> </w:t>
      </w:r>
      <w:r w:rsidRPr="000977F7">
        <w:rPr>
          <w:rFonts w:asciiTheme="majorHAnsi" w:hAnsiTheme="majorHAnsi"/>
          <w:sz w:val="20"/>
          <w:szCs w:val="20"/>
        </w:rPr>
        <w:t>залучення</w:t>
      </w:r>
      <w:r w:rsidRPr="000977F7">
        <w:rPr>
          <w:rFonts w:asciiTheme="majorHAnsi" w:hAnsiTheme="majorHAnsi"/>
          <w:spacing w:val="-7"/>
          <w:sz w:val="20"/>
          <w:szCs w:val="20"/>
        </w:rPr>
        <w:t xml:space="preserve"> </w:t>
      </w:r>
      <w:r w:rsidRPr="000977F7">
        <w:rPr>
          <w:rFonts w:asciiTheme="majorHAnsi" w:hAnsiTheme="majorHAnsi"/>
          <w:sz w:val="20"/>
          <w:szCs w:val="20"/>
        </w:rPr>
        <w:t>дає</w:t>
      </w:r>
      <w:r w:rsidRPr="000977F7">
        <w:rPr>
          <w:rFonts w:asciiTheme="majorHAnsi" w:hAnsiTheme="majorHAnsi"/>
          <w:spacing w:val="-7"/>
          <w:sz w:val="20"/>
          <w:szCs w:val="20"/>
        </w:rPr>
        <w:t xml:space="preserve"> </w:t>
      </w:r>
      <w:r w:rsidRPr="000977F7">
        <w:rPr>
          <w:rFonts w:asciiTheme="majorHAnsi" w:hAnsiTheme="majorHAnsi"/>
          <w:sz w:val="20"/>
          <w:szCs w:val="20"/>
        </w:rPr>
        <w:t>змогу</w:t>
      </w:r>
      <w:r w:rsidRPr="000977F7">
        <w:rPr>
          <w:rFonts w:asciiTheme="majorHAnsi" w:hAnsiTheme="majorHAnsi"/>
          <w:spacing w:val="-7"/>
          <w:sz w:val="20"/>
          <w:szCs w:val="20"/>
        </w:rPr>
        <w:t xml:space="preserve"> </w:t>
      </w:r>
      <w:r w:rsidRPr="000977F7">
        <w:rPr>
          <w:rFonts w:asciiTheme="majorHAnsi" w:hAnsiTheme="majorHAnsi"/>
          <w:sz w:val="20"/>
          <w:szCs w:val="20"/>
        </w:rPr>
        <w:t>використовувати</w:t>
      </w:r>
      <w:r w:rsidRPr="000977F7">
        <w:rPr>
          <w:rFonts w:asciiTheme="majorHAnsi" w:hAnsiTheme="majorHAnsi"/>
          <w:spacing w:val="-8"/>
          <w:sz w:val="20"/>
          <w:szCs w:val="20"/>
        </w:rPr>
        <w:t xml:space="preserve"> </w:t>
      </w:r>
      <w:r w:rsidRPr="000977F7">
        <w:rPr>
          <w:rFonts w:asciiTheme="majorHAnsi" w:hAnsiTheme="majorHAnsi"/>
          <w:sz w:val="20"/>
          <w:szCs w:val="20"/>
        </w:rPr>
        <w:t>їхні</w:t>
      </w:r>
      <w:r w:rsidRPr="000977F7">
        <w:rPr>
          <w:rFonts w:asciiTheme="majorHAnsi" w:hAnsiTheme="majorHAnsi"/>
          <w:spacing w:val="-9"/>
          <w:sz w:val="20"/>
          <w:szCs w:val="20"/>
        </w:rPr>
        <w:t xml:space="preserve"> </w:t>
      </w:r>
      <w:r w:rsidRPr="000977F7">
        <w:rPr>
          <w:rFonts w:asciiTheme="majorHAnsi" w:hAnsiTheme="majorHAnsi"/>
          <w:sz w:val="20"/>
          <w:szCs w:val="20"/>
        </w:rPr>
        <w:t>здібності</w:t>
      </w:r>
      <w:r w:rsidRPr="000977F7">
        <w:rPr>
          <w:rFonts w:asciiTheme="majorHAnsi" w:hAnsiTheme="majorHAnsi"/>
          <w:spacing w:val="-7"/>
          <w:sz w:val="20"/>
          <w:szCs w:val="20"/>
        </w:rPr>
        <w:t xml:space="preserve"> </w:t>
      </w:r>
      <w:r w:rsidRPr="000977F7">
        <w:rPr>
          <w:rFonts w:asciiTheme="majorHAnsi" w:hAnsiTheme="majorHAnsi"/>
          <w:sz w:val="20"/>
          <w:szCs w:val="20"/>
        </w:rPr>
        <w:t>на</w:t>
      </w:r>
      <w:r w:rsidRPr="000977F7">
        <w:rPr>
          <w:rFonts w:asciiTheme="majorHAnsi" w:hAnsiTheme="majorHAnsi"/>
          <w:spacing w:val="-8"/>
          <w:sz w:val="20"/>
          <w:szCs w:val="20"/>
        </w:rPr>
        <w:t xml:space="preserve"> </w:t>
      </w:r>
      <w:r w:rsidRPr="000977F7">
        <w:rPr>
          <w:rFonts w:asciiTheme="majorHAnsi" w:hAnsiTheme="majorHAnsi"/>
          <w:sz w:val="20"/>
          <w:szCs w:val="20"/>
        </w:rPr>
        <w:t>користь</w:t>
      </w:r>
      <w:r w:rsidRPr="000977F7">
        <w:rPr>
          <w:rFonts w:asciiTheme="majorHAnsi" w:hAnsiTheme="majorHAnsi"/>
          <w:spacing w:val="-8"/>
          <w:sz w:val="20"/>
          <w:szCs w:val="20"/>
        </w:rPr>
        <w:t xml:space="preserve"> </w:t>
      </w:r>
      <w:r w:rsidRPr="000977F7">
        <w:rPr>
          <w:rFonts w:asciiTheme="majorHAnsi" w:hAnsiTheme="majorHAnsi"/>
          <w:sz w:val="20"/>
          <w:szCs w:val="20"/>
        </w:rPr>
        <w:t>організації.</w:t>
      </w:r>
    </w:p>
    <w:p w14:paraId="03E2918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г)</w:t>
      </w:r>
      <w:r w:rsidRPr="000977F7">
        <w:rPr>
          <w:rFonts w:asciiTheme="majorHAnsi" w:hAnsiTheme="majorHAnsi"/>
          <w:spacing w:val="-10"/>
          <w:sz w:val="20"/>
          <w:szCs w:val="20"/>
        </w:rPr>
        <w:t xml:space="preserve"> </w:t>
      </w:r>
      <w:r w:rsidRPr="000977F7">
        <w:rPr>
          <w:rFonts w:asciiTheme="majorHAnsi" w:hAnsiTheme="majorHAnsi"/>
          <w:spacing w:val="-1"/>
          <w:sz w:val="20"/>
          <w:szCs w:val="20"/>
        </w:rPr>
        <w:t>Процесний</w:t>
      </w:r>
      <w:r w:rsidRPr="000977F7">
        <w:rPr>
          <w:rFonts w:asciiTheme="majorHAnsi" w:hAnsiTheme="majorHAnsi"/>
          <w:spacing w:val="-11"/>
          <w:sz w:val="20"/>
          <w:szCs w:val="20"/>
        </w:rPr>
        <w:t xml:space="preserve"> </w:t>
      </w:r>
      <w:r w:rsidRPr="000977F7">
        <w:rPr>
          <w:rFonts w:asciiTheme="majorHAnsi" w:hAnsiTheme="majorHAnsi"/>
          <w:spacing w:val="-1"/>
          <w:sz w:val="20"/>
          <w:szCs w:val="20"/>
        </w:rPr>
        <w:t>підхід</w:t>
      </w:r>
    </w:p>
    <w:p w14:paraId="25F4C9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Бажаного</w:t>
      </w:r>
      <w:r w:rsidRPr="000977F7">
        <w:rPr>
          <w:rFonts w:asciiTheme="majorHAnsi" w:hAnsiTheme="majorHAnsi"/>
          <w:spacing w:val="-7"/>
          <w:sz w:val="20"/>
          <w:szCs w:val="20"/>
        </w:rPr>
        <w:t xml:space="preserve"> </w:t>
      </w:r>
      <w:r w:rsidRPr="000977F7">
        <w:rPr>
          <w:rFonts w:asciiTheme="majorHAnsi" w:hAnsiTheme="majorHAnsi"/>
          <w:sz w:val="20"/>
          <w:szCs w:val="20"/>
        </w:rPr>
        <w:t>результату</w:t>
      </w:r>
      <w:r w:rsidRPr="000977F7">
        <w:rPr>
          <w:rFonts w:asciiTheme="majorHAnsi" w:hAnsiTheme="majorHAnsi"/>
          <w:spacing w:val="-8"/>
          <w:sz w:val="20"/>
          <w:szCs w:val="20"/>
        </w:rPr>
        <w:t xml:space="preserve"> </w:t>
      </w:r>
      <w:r w:rsidRPr="000977F7">
        <w:rPr>
          <w:rFonts w:asciiTheme="majorHAnsi" w:hAnsiTheme="majorHAnsi"/>
          <w:sz w:val="20"/>
          <w:szCs w:val="20"/>
        </w:rPr>
        <w:t>досягають</w:t>
      </w:r>
      <w:r w:rsidRPr="000977F7">
        <w:rPr>
          <w:rFonts w:asciiTheme="majorHAnsi" w:hAnsiTheme="majorHAnsi"/>
          <w:spacing w:val="-6"/>
          <w:sz w:val="20"/>
          <w:szCs w:val="20"/>
        </w:rPr>
        <w:t xml:space="preserve"> </w:t>
      </w:r>
      <w:r w:rsidRPr="000977F7">
        <w:rPr>
          <w:rFonts w:asciiTheme="majorHAnsi" w:hAnsiTheme="majorHAnsi"/>
          <w:sz w:val="20"/>
          <w:szCs w:val="20"/>
        </w:rPr>
        <w:t>ефективніше,</w:t>
      </w:r>
      <w:r w:rsidRPr="000977F7">
        <w:rPr>
          <w:rFonts w:asciiTheme="majorHAnsi" w:hAnsiTheme="majorHAnsi"/>
          <w:spacing w:val="-7"/>
          <w:sz w:val="20"/>
          <w:szCs w:val="20"/>
        </w:rPr>
        <w:t xml:space="preserve"> </w:t>
      </w:r>
      <w:r w:rsidRPr="000977F7">
        <w:rPr>
          <w:rFonts w:asciiTheme="majorHAnsi" w:hAnsiTheme="majorHAnsi"/>
          <w:sz w:val="20"/>
          <w:szCs w:val="20"/>
        </w:rPr>
        <w:t>якщо</w:t>
      </w:r>
      <w:r w:rsidRPr="000977F7">
        <w:rPr>
          <w:rFonts w:asciiTheme="majorHAnsi" w:hAnsiTheme="majorHAnsi"/>
          <w:spacing w:val="-47"/>
          <w:sz w:val="20"/>
          <w:szCs w:val="20"/>
        </w:rPr>
        <w:t xml:space="preserve"> </w:t>
      </w:r>
      <w:r w:rsidRPr="000977F7">
        <w:rPr>
          <w:rFonts w:asciiTheme="majorHAnsi" w:hAnsiTheme="majorHAnsi"/>
          <w:sz w:val="20"/>
          <w:szCs w:val="20"/>
        </w:rPr>
        <w:t>діяльністю та пов’язаними з нею ресурсами управляють</w:t>
      </w:r>
      <w:r w:rsidRPr="000977F7">
        <w:rPr>
          <w:rFonts w:asciiTheme="majorHAnsi" w:hAnsiTheme="majorHAnsi"/>
          <w:spacing w:val="-3"/>
          <w:sz w:val="20"/>
          <w:szCs w:val="20"/>
        </w:rPr>
        <w:t xml:space="preserve"> </w:t>
      </w:r>
      <w:r w:rsidRPr="000977F7">
        <w:rPr>
          <w:rFonts w:asciiTheme="majorHAnsi" w:hAnsiTheme="majorHAnsi"/>
          <w:sz w:val="20"/>
          <w:szCs w:val="20"/>
        </w:rPr>
        <w:t>як</w:t>
      </w:r>
      <w:r w:rsidRPr="000977F7">
        <w:rPr>
          <w:rFonts w:asciiTheme="majorHAnsi" w:hAnsiTheme="majorHAnsi"/>
          <w:spacing w:val="-7"/>
          <w:sz w:val="20"/>
          <w:szCs w:val="20"/>
        </w:rPr>
        <w:t xml:space="preserve"> </w:t>
      </w:r>
      <w:r w:rsidRPr="000977F7">
        <w:rPr>
          <w:rFonts w:asciiTheme="majorHAnsi" w:hAnsiTheme="majorHAnsi"/>
          <w:sz w:val="20"/>
          <w:szCs w:val="20"/>
        </w:rPr>
        <w:t>процесом.</w:t>
      </w:r>
    </w:p>
    <w:p w14:paraId="3AEE6F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д)</w:t>
      </w:r>
      <w:r w:rsidRPr="000977F7">
        <w:rPr>
          <w:rFonts w:asciiTheme="majorHAnsi" w:hAnsiTheme="majorHAnsi"/>
          <w:spacing w:val="-11"/>
          <w:sz w:val="20"/>
          <w:szCs w:val="20"/>
        </w:rPr>
        <w:t xml:space="preserve"> </w:t>
      </w:r>
      <w:r w:rsidRPr="000977F7">
        <w:rPr>
          <w:rFonts w:asciiTheme="majorHAnsi" w:hAnsiTheme="majorHAnsi"/>
          <w:spacing w:val="-1"/>
          <w:sz w:val="20"/>
          <w:szCs w:val="20"/>
        </w:rPr>
        <w:t>Системний</w:t>
      </w:r>
      <w:r w:rsidRPr="000977F7">
        <w:rPr>
          <w:rFonts w:asciiTheme="majorHAnsi" w:hAnsiTheme="majorHAnsi"/>
          <w:spacing w:val="-11"/>
          <w:sz w:val="20"/>
          <w:szCs w:val="20"/>
        </w:rPr>
        <w:t xml:space="preserve"> </w:t>
      </w:r>
      <w:r w:rsidRPr="000977F7">
        <w:rPr>
          <w:rFonts w:asciiTheme="majorHAnsi" w:hAnsiTheme="majorHAnsi"/>
          <w:spacing w:val="-1"/>
          <w:sz w:val="20"/>
          <w:szCs w:val="20"/>
        </w:rPr>
        <w:t>підхід</w:t>
      </w:r>
      <w:r w:rsidRPr="000977F7">
        <w:rPr>
          <w:rFonts w:asciiTheme="majorHAnsi" w:hAnsiTheme="majorHAnsi"/>
          <w:spacing w:val="-9"/>
          <w:sz w:val="20"/>
          <w:szCs w:val="20"/>
        </w:rPr>
        <w:t xml:space="preserve"> </w:t>
      </w:r>
      <w:r w:rsidRPr="000977F7">
        <w:rPr>
          <w:rFonts w:asciiTheme="majorHAnsi" w:hAnsiTheme="majorHAnsi"/>
          <w:spacing w:val="-1"/>
          <w:sz w:val="20"/>
          <w:szCs w:val="20"/>
        </w:rPr>
        <w:t>до</w:t>
      </w:r>
      <w:r w:rsidRPr="000977F7">
        <w:rPr>
          <w:rFonts w:asciiTheme="majorHAnsi" w:hAnsiTheme="majorHAnsi"/>
          <w:spacing w:val="-8"/>
          <w:sz w:val="20"/>
          <w:szCs w:val="20"/>
        </w:rPr>
        <w:t xml:space="preserve"> </w:t>
      </w:r>
      <w:r w:rsidRPr="000977F7">
        <w:rPr>
          <w:rFonts w:asciiTheme="majorHAnsi" w:hAnsiTheme="majorHAnsi"/>
          <w:spacing w:val="-1"/>
          <w:sz w:val="20"/>
          <w:szCs w:val="20"/>
        </w:rPr>
        <w:t>управління</w:t>
      </w:r>
    </w:p>
    <w:p w14:paraId="684A31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Ідентифікування, розуміння та управління взаємо</w:t>
      </w:r>
      <w:r w:rsidRPr="000977F7">
        <w:rPr>
          <w:rFonts w:asciiTheme="majorHAnsi" w:hAnsiTheme="majorHAnsi"/>
          <w:spacing w:val="-1"/>
          <w:sz w:val="20"/>
          <w:szCs w:val="20"/>
        </w:rPr>
        <w:t>пов’язаними</w:t>
      </w:r>
      <w:r w:rsidRPr="000977F7">
        <w:rPr>
          <w:rFonts w:asciiTheme="majorHAnsi" w:hAnsiTheme="majorHAnsi"/>
          <w:spacing w:val="-10"/>
          <w:sz w:val="20"/>
          <w:szCs w:val="20"/>
        </w:rPr>
        <w:t xml:space="preserve"> </w:t>
      </w:r>
      <w:r w:rsidRPr="000977F7">
        <w:rPr>
          <w:rFonts w:asciiTheme="majorHAnsi" w:hAnsiTheme="majorHAnsi"/>
          <w:sz w:val="20"/>
          <w:szCs w:val="20"/>
        </w:rPr>
        <w:t>процесами</w:t>
      </w:r>
      <w:r w:rsidRPr="000977F7">
        <w:rPr>
          <w:rFonts w:asciiTheme="majorHAnsi" w:hAnsiTheme="majorHAnsi"/>
          <w:spacing w:val="-9"/>
          <w:sz w:val="20"/>
          <w:szCs w:val="20"/>
        </w:rPr>
        <w:t xml:space="preserve"> </w:t>
      </w:r>
      <w:r w:rsidRPr="000977F7">
        <w:rPr>
          <w:rFonts w:asciiTheme="majorHAnsi" w:hAnsiTheme="majorHAnsi"/>
          <w:sz w:val="20"/>
          <w:szCs w:val="20"/>
        </w:rPr>
        <w:t>як</w:t>
      </w:r>
      <w:r w:rsidRPr="000977F7">
        <w:rPr>
          <w:rFonts w:asciiTheme="majorHAnsi" w:hAnsiTheme="majorHAnsi"/>
          <w:spacing w:val="-10"/>
          <w:sz w:val="20"/>
          <w:szCs w:val="20"/>
        </w:rPr>
        <w:t xml:space="preserve"> </w:t>
      </w:r>
      <w:r w:rsidRPr="000977F7">
        <w:rPr>
          <w:rFonts w:asciiTheme="majorHAnsi" w:hAnsiTheme="majorHAnsi"/>
          <w:sz w:val="20"/>
          <w:szCs w:val="20"/>
        </w:rPr>
        <w:t>системою</w:t>
      </w:r>
      <w:r w:rsidRPr="000977F7">
        <w:rPr>
          <w:rFonts w:asciiTheme="majorHAnsi" w:hAnsiTheme="majorHAnsi"/>
          <w:spacing w:val="-11"/>
          <w:sz w:val="20"/>
          <w:szCs w:val="20"/>
        </w:rPr>
        <w:t xml:space="preserve"> </w:t>
      </w:r>
      <w:r w:rsidRPr="000977F7">
        <w:rPr>
          <w:rFonts w:asciiTheme="majorHAnsi" w:hAnsiTheme="majorHAnsi"/>
          <w:sz w:val="20"/>
          <w:szCs w:val="20"/>
        </w:rPr>
        <w:t>сприяє</w:t>
      </w:r>
      <w:r w:rsidRPr="000977F7">
        <w:rPr>
          <w:rFonts w:asciiTheme="majorHAnsi" w:hAnsiTheme="majorHAnsi"/>
          <w:spacing w:val="-10"/>
          <w:sz w:val="20"/>
          <w:szCs w:val="20"/>
        </w:rPr>
        <w:t xml:space="preserve"> </w:t>
      </w:r>
      <w:r w:rsidRPr="000977F7">
        <w:rPr>
          <w:rFonts w:asciiTheme="majorHAnsi" w:hAnsiTheme="majorHAnsi"/>
          <w:sz w:val="20"/>
          <w:szCs w:val="20"/>
        </w:rPr>
        <w:t>органі</w:t>
      </w:r>
      <w:r w:rsidRPr="000977F7">
        <w:rPr>
          <w:rFonts w:asciiTheme="majorHAnsi" w:hAnsiTheme="majorHAnsi"/>
          <w:spacing w:val="-1"/>
          <w:sz w:val="20"/>
          <w:szCs w:val="20"/>
        </w:rPr>
        <w:t>зації</w:t>
      </w:r>
      <w:r w:rsidRPr="000977F7">
        <w:rPr>
          <w:rFonts w:asciiTheme="majorHAnsi" w:hAnsiTheme="majorHAnsi"/>
          <w:spacing w:val="-6"/>
          <w:sz w:val="20"/>
          <w:szCs w:val="20"/>
        </w:rPr>
        <w:t xml:space="preserve"> </w:t>
      </w:r>
      <w:r w:rsidRPr="000977F7">
        <w:rPr>
          <w:rFonts w:asciiTheme="majorHAnsi" w:hAnsiTheme="majorHAnsi"/>
          <w:spacing w:val="-1"/>
          <w:sz w:val="20"/>
          <w:szCs w:val="20"/>
        </w:rPr>
        <w:t>у</w:t>
      </w:r>
      <w:r w:rsidRPr="000977F7">
        <w:rPr>
          <w:rFonts w:asciiTheme="majorHAnsi" w:hAnsiTheme="majorHAnsi"/>
          <w:spacing w:val="-11"/>
          <w:sz w:val="20"/>
          <w:szCs w:val="20"/>
        </w:rPr>
        <w:t xml:space="preserve"> </w:t>
      </w:r>
      <w:r w:rsidRPr="000977F7">
        <w:rPr>
          <w:rFonts w:asciiTheme="majorHAnsi" w:hAnsiTheme="majorHAnsi"/>
          <w:spacing w:val="-1"/>
          <w:sz w:val="20"/>
          <w:szCs w:val="20"/>
        </w:rPr>
        <w:t>результативнішому</w:t>
      </w:r>
      <w:r w:rsidRPr="000977F7">
        <w:rPr>
          <w:rFonts w:asciiTheme="majorHAnsi" w:hAnsiTheme="majorHAnsi"/>
          <w:spacing w:val="-8"/>
          <w:sz w:val="20"/>
          <w:szCs w:val="20"/>
        </w:rPr>
        <w:t xml:space="preserve"> </w:t>
      </w:r>
      <w:r w:rsidRPr="000977F7">
        <w:rPr>
          <w:rFonts w:asciiTheme="majorHAnsi" w:hAnsiTheme="majorHAnsi"/>
          <w:sz w:val="20"/>
          <w:szCs w:val="20"/>
        </w:rPr>
        <w:t>та</w:t>
      </w:r>
      <w:r w:rsidRPr="000977F7">
        <w:rPr>
          <w:rFonts w:asciiTheme="majorHAnsi" w:hAnsiTheme="majorHAnsi"/>
          <w:spacing w:val="-6"/>
          <w:sz w:val="20"/>
          <w:szCs w:val="20"/>
        </w:rPr>
        <w:t xml:space="preserve"> </w:t>
      </w:r>
      <w:r w:rsidRPr="000977F7">
        <w:rPr>
          <w:rFonts w:asciiTheme="majorHAnsi" w:hAnsiTheme="majorHAnsi"/>
          <w:sz w:val="20"/>
          <w:szCs w:val="20"/>
        </w:rPr>
        <w:t>ефективнішому</w:t>
      </w:r>
      <w:r w:rsidRPr="000977F7">
        <w:rPr>
          <w:rFonts w:asciiTheme="majorHAnsi" w:hAnsiTheme="majorHAnsi"/>
          <w:spacing w:val="-9"/>
          <w:sz w:val="20"/>
          <w:szCs w:val="20"/>
        </w:rPr>
        <w:t xml:space="preserve"> </w:t>
      </w:r>
      <w:r w:rsidRPr="000977F7">
        <w:rPr>
          <w:rFonts w:asciiTheme="majorHAnsi" w:hAnsiTheme="majorHAnsi"/>
          <w:sz w:val="20"/>
          <w:szCs w:val="20"/>
        </w:rPr>
        <w:t>досяг</w:t>
      </w:r>
      <w:r w:rsidRPr="000977F7">
        <w:rPr>
          <w:rFonts w:asciiTheme="majorHAnsi" w:hAnsiTheme="majorHAnsi"/>
          <w:spacing w:val="-47"/>
          <w:sz w:val="20"/>
          <w:szCs w:val="20"/>
        </w:rPr>
        <w:t xml:space="preserve"> </w:t>
      </w:r>
      <w:r w:rsidRPr="000977F7">
        <w:rPr>
          <w:rFonts w:asciiTheme="majorHAnsi" w:hAnsiTheme="majorHAnsi"/>
          <w:sz w:val="20"/>
          <w:szCs w:val="20"/>
        </w:rPr>
        <w:t>ненні</w:t>
      </w:r>
      <w:r w:rsidRPr="000977F7">
        <w:rPr>
          <w:rFonts w:asciiTheme="majorHAnsi" w:hAnsiTheme="majorHAnsi"/>
          <w:spacing w:val="-6"/>
          <w:sz w:val="20"/>
          <w:szCs w:val="20"/>
        </w:rPr>
        <w:t xml:space="preserve"> </w:t>
      </w:r>
      <w:r w:rsidRPr="000977F7">
        <w:rPr>
          <w:rFonts w:asciiTheme="majorHAnsi" w:hAnsiTheme="majorHAnsi"/>
          <w:sz w:val="20"/>
          <w:szCs w:val="20"/>
        </w:rPr>
        <w:t>її</w:t>
      </w:r>
      <w:r w:rsidRPr="000977F7">
        <w:rPr>
          <w:rFonts w:asciiTheme="majorHAnsi" w:hAnsiTheme="majorHAnsi"/>
          <w:spacing w:val="-3"/>
          <w:sz w:val="20"/>
          <w:szCs w:val="20"/>
        </w:rPr>
        <w:t xml:space="preserve"> </w:t>
      </w:r>
      <w:r w:rsidRPr="000977F7">
        <w:rPr>
          <w:rFonts w:asciiTheme="majorHAnsi" w:hAnsiTheme="majorHAnsi"/>
          <w:sz w:val="20"/>
          <w:szCs w:val="20"/>
        </w:rPr>
        <w:t>цілей.</w:t>
      </w:r>
    </w:p>
    <w:p w14:paraId="015FD0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е)</w:t>
      </w:r>
      <w:r w:rsidRPr="000977F7">
        <w:rPr>
          <w:rFonts w:asciiTheme="majorHAnsi" w:hAnsiTheme="majorHAnsi"/>
          <w:spacing w:val="-12"/>
          <w:sz w:val="20"/>
          <w:szCs w:val="20"/>
        </w:rPr>
        <w:t xml:space="preserve"> </w:t>
      </w:r>
      <w:r w:rsidRPr="000977F7">
        <w:rPr>
          <w:rFonts w:asciiTheme="majorHAnsi" w:hAnsiTheme="majorHAnsi"/>
          <w:spacing w:val="-1"/>
          <w:sz w:val="20"/>
          <w:szCs w:val="20"/>
        </w:rPr>
        <w:t>Постійне</w:t>
      </w:r>
      <w:r w:rsidRPr="000977F7">
        <w:rPr>
          <w:rFonts w:asciiTheme="majorHAnsi" w:hAnsiTheme="majorHAnsi"/>
          <w:spacing w:val="-10"/>
          <w:sz w:val="20"/>
          <w:szCs w:val="20"/>
        </w:rPr>
        <w:t xml:space="preserve"> </w:t>
      </w:r>
      <w:r w:rsidRPr="000977F7">
        <w:rPr>
          <w:rFonts w:asciiTheme="majorHAnsi" w:hAnsiTheme="majorHAnsi"/>
          <w:spacing w:val="-1"/>
          <w:sz w:val="20"/>
          <w:szCs w:val="20"/>
        </w:rPr>
        <w:t>поліпшення</w:t>
      </w:r>
    </w:p>
    <w:p w14:paraId="53DA08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Постійне поліпшення діяльності організації в цілому</w:t>
      </w:r>
      <w:r w:rsidRPr="000977F7">
        <w:rPr>
          <w:rFonts w:asciiTheme="majorHAnsi" w:hAnsiTheme="majorHAnsi"/>
          <w:spacing w:val="-13"/>
          <w:sz w:val="20"/>
          <w:szCs w:val="20"/>
        </w:rPr>
        <w:t xml:space="preserve"> </w:t>
      </w:r>
      <w:r w:rsidRPr="000977F7">
        <w:rPr>
          <w:rFonts w:asciiTheme="majorHAnsi" w:hAnsiTheme="majorHAnsi"/>
          <w:sz w:val="20"/>
          <w:szCs w:val="20"/>
        </w:rPr>
        <w:t>слід</w:t>
      </w:r>
      <w:r w:rsidRPr="000977F7">
        <w:rPr>
          <w:rFonts w:asciiTheme="majorHAnsi" w:hAnsiTheme="majorHAnsi"/>
          <w:spacing w:val="-10"/>
          <w:sz w:val="20"/>
          <w:szCs w:val="20"/>
        </w:rPr>
        <w:t xml:space="preserve"> </w:t>
      </w:r>
      <w:r w:rsidRPr="000977F7">
        <w:rPr>
          <w:rFonts w:asciiTheme="majorHAnsi" w:hAnsiTheme="majorHAnsi"/>
          <w:sz w:val="20"/>
          <w:szCs w:val="20"/>
        </w:rPr>
        <w:t>вважати</w:t>
      </w:r>
      <w:r w:rsidRPr="000977F7">
        <w:rPr>
          <w:rFonts w:asciiTheme="majorHAnsi" w:hAnsiTheme="majorHAnsi"/>
          <w:spacing w:val="-9"/>
          <w:sz w:val="20"/>
          <w:szCs w:val="20"/>
        </w:rPr>
        <w:t xml:space="preserve"> </w:t>
      </w:r>
      <w:r w:rsidRPr="000977F7">
        <w:rPr>
          <w:rFonts w:asciiTheme="majorHAnsi" w:hAnsiTheme="majorHAnsi"/>
          <w:sz w:val="20"/>
          <w:szCs w:val="20"/>
        </w:rPr>
        <w:t>незмінною</w:t>
      </w:r>
      <w:r w:rsidRPr="000977F7">
        <w:rPr>
          <w:rFonts w:asciiTheme="majorHAnsi" w:hAnsiTheme="majorHAnsi"/>
          <w:spacing w:val="-7"/>
          <w:sz w:val="20"/>
          <w:szCs w:val="20"/>
        </w:rPr>
        <w:t xml:space="preserve"> </w:t>
      </w:r>
      <w:r w:rsidRPr="000977F7">
        <w:rPr>
          <w:rFonts w:asciiTheme="majorHAnsi" w:hAnsiTheme="majorHAnsi"/>
          <w:sz w:val="20"/>
          <w:szCs w:val="20"/>
        </w:rPr>
        <w:t>метою</w:t>
      </w:r>
      <w:r w:rsidRPr="000977F7">
        <w:rPr>
          <w:rFonts w:asciiTheme="majorHAnsi" w:hAnsiTheme="majorHAnsi"/>
          <w:spacing w:val="-10"/>
          <w:sz w:val="20"/>
          <w:szCs w:val="20"/>
        </w:rPr>
        <w:t xml:space="preserve"> </w:t>
      </w:r>
      <w:r w:rsidRPr="000977F7">
        <w:rPr>
          <w:rFonts w:asciiTheme="majorHAnsi" w:hAnsiTheme="majorHAnsi"/>
          <w:sz w:val="20"/>
          <w:szCs w:val="20"/>
        </w:rPr>
        <w:t>організації.</w:t>
      </w:r>
    </w:p>
    <w:p w14:paraId="6E9794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ж)</w:t>
      </w:r>
      <w:r w:rsidRPr="000977F7">
        <w:rPr>
          <w:rFonts w:asciiTheme="majorHAnsi" w:hAnsiTheme="majorHAnsi"/>
          <w:spacing w:val="-10"/>
          <w:sz w:val="20"/>
          <w:szCs w:val="20"/>
        </w:rPr>
        <w:t xml:space="preserve"> </w:t>
      </w:r>
      <w:r w:rsidRPr="000977F7">
        <w:rPr>
          <w:rFonts w:asciiTheme="majorHAnsi" w:hAnsiTheme="majorHAnsi"/>
          <w:spacing w:val="-1"/>
          <w:sz w:val="20"/>
          <w:szCs w:val="20"/>
        </w:rPr>
        <w:t>Прийняття</w:t>
      </w:r>
      <w:r w:rsidRPr="000977F7">
        <w:rPr>
          <w:rFonts w:asciiTheme="majorHAnsi" w:hAnsiTheme="majorHAnsi"/>
          <w:spacing w:val="-10"/>
          <w:sz w:val="20"/>
          <w:szCs w:val="20"/>
        </w:rPr>
        <w:t xml:space="preserve"> </w:t>
      </w:r>
      <w:r w:rsidRPr="000977F7">
        <w:rPr>
          <w:rFonts w:asciiTheme="majorHAnsi" w:hAnsiTheme="majorHAnsi"/>
          <w:spacing w:val="-1"/>
          <w:sz w:val="20"/>
          <w:szCs w:val="20"/>
        </w:rPr>
        <w:t>рішень</w:t>
      </w:r>
      <w:r w:rsidRPr="000977F7">
        <w:rPr>
          <w:rFonts w:asciiTheme="majorHAnsi" w:hAnsiTheme="majorHAnsi"/>
          <w:spacing w:val="-8"/>
          <w:sz w:val="20"/>
          <w:szCs w:val="20"/>
        </w:rPr>
        <w:t xml:space="preserve"> </w:t>
      </w:r>
      <w:r w:rsidRPr="000977F7">
        <w:rPr>
          <w:rFonts w:asciiTheme="majorHAnsi" w:hAnsiTheme="majorHAnsi"/>
          <w:spacing w:val="-1"/>
          <w:sz w:val="20"/>
          <w:szCs w:val="20"/>
        </w:rPr>
        <w:t>на</w:t>
      </w:r>
      <w:r w:rsidRPr="000977F7">
        <w:rPr>
          <w:rFonts w:asciiTheme="majorHAnsi" w:hAnsiTheme="majorHAnsi"/>
          <w:spacing w:val="-7"/>
          <w:sz w:val="20"/>
          <w:szCs w:val="20"/>
        </w:rPr>
        <w:t xml:space="preserve"> </w:t>
      </w:r>
      <w:r w:rsidRPr="000977F7">
        <w:rPr>
          <w:rFonts w:asciiTheme="majorHAnsi" w:hAnsiTheme="majorHAnsi"/>
          <w:spacing w:val="-1"/>
          <w:sz w:val="20"/>
          <w:szCs w:val="20"/>
        </w:rPr>
        <w:t>підставі</w:t>
      </w:r>
      <w:r w:rsidRPr="000977F7">
        <w:rPr>
          <w:rFonts w:asciiTheme="majorHAnsi" w:hAnsiTheme="majorHAnsi"/>
          <w:spacing w:val="-11"/>
          <w:sz w:val="20"/>
          <w:szCs w:val="20"/>
        </w:rPr>
        <w:t xml:space="preserve"> </w:t>
      </w:r>
      <w:r w:rsidRPr="000977F7">
        <w:rPr>
          <w:rFonts w:asciiTheme="majorHAnsi" w:hAnsiTheme="majorHAnsi"/>
          <w:spacing w:val="-1"/>
          <w:sz w:val="20"/>
          <w:szCs w:val="20"/>
        </w:rPr>
        <w:t>фактів</w:t>
      </w:r>
    </w:p>
    <w:p w14:paraId="4826CA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Ефективні рішення приймають на підставі аналізування</w:t>
      </w:r>
      <w:r w:rsidRPr="000977F7">
        <w:rPr>
          <w:rFonts w:asciiTheme="majorHAnsi" w:hAnsiTheme="majorHAnsi"/>
          <w:spacing w:val="-6"/>
          <w:sz w:val="20"/>
          <w:szCs w:val="20"/>
        </w:rPr>
        <w:t xml:space="preserve"> </w:t>
      </w:r>
      <w:r w:rsidRPr="000977F7">
        <w:rPr>
          <w:rFonts w:asciiTheme="majorHAnsi" w:hAnsiTheme="majorHAnsi"/>
          <w:sz w:val="20"/>
          <w:szCs w:val="20"/>
        </w:rPr>
        <w:t>даних</w:t>
      </w:r>
      <w:r w:rsidRPr="000977F7">
        <w:rPr>
          <w:rFonts w:asciiTheme="majorHAnsi" w:hAnsiTheme="majorHAnsi"/>
          <w:spacing w:val="-7"/>
          <w:sz w:val="20"/>
          <w:szCs w:val="20"/>
        </w:rPr>
        <w:t xml:space="preserve"> </w:t>
      </w:r>
      <w:r w:rsidRPr="000977F7">
        <w:rPr>
          <w:rFonts w:asciiTheme="majorHAnsi" w:hAnsiTheme="majorHAnsi"/>
          <w:sz w:val="20"/>
          <w:szCs w:val="20"/>
        </w:rPr>
        <w:t>та</w:t>
      </w:r>
      <w:r w:rsidRPr="000977F7">
        <w:rPr>
          <w:rFonts w:asciiTheme="majorHAnsi" w:hAnsiTheme="majorHAnsi"/>
          <w:spacing w:val="-5"/>
          <w:sz w:val="20"/>
          <w:szCs w:val="20"/>
        </w:rPr>
        <w:t xml:space="preserve"> </w:t>
      </w:r>
      <w:r w:rsidRPr="000977F7">
        <w:rPr>
          <w:rFonts w:asciiTheme="majorHAnsi" w:hAnsiTheme="majorHAnsi"/>
          <w:sz w:val="20"/>
          <w:szCs w:val="20"/>
        </w:rPr>
        <w:t>інформації</w:t>
      </w:r>
    </w:p>
    <w:p w14:paraId="13244ED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и) Взаємовигідні стосунки з постачальниками</w:t>
      </w:r>
      <w:r w:rsidRPr="000977F7">
        <w:rPr>
          <w:rFonts w:asciiTheme="majorHAnsi" w:hAnsiTheme="majorHAnsi"/>
          <w:spacing w:val="1"/>
          <w:sz w:val="20"/>
          <w:szCs w:val="20"/>
        </w:rPr>
        <w:t xml:space="preserve"> </w:t>
      </w:r>
      <w:r w:rsidRPr="000977F7">
        <w:rPr>
          <w:rFonts w:asciiTheme="majorHAnsi" w:hAnsiTheme="majorHAnsi"/>
          <w:spacing w:val="-1"/>
          <w:sz w:val="20"/>
          <w:szCs w:val="20"/>
        </w:rPr>
        <w:t>Організація</w:t>
      </w:r>
      <w:r w:rsidRPr="000977F7">
        <w:rPr>
          <w:rFonts w:asciiTheme="majorHAnsi" w:hAnsiTheme="majorHAnsi"/>
          <w:spacing w:val="-11"/>
          <w:sz w:val="20"/>
          <w:szCs w:val="20"/>
        </w:rPr>
        <w:t xml:space="preserve"> </w:t>
      </w:r>
      <w:r w:rsidRPr="000977F7">
        <w:rPr>
          <w:rFonts w:asciiTheme="majorHAnsi" w:hAnsiTheme="majorHAnsi"/>
          <w:spacing w:val="-1"/>
          <w:sz w:val="20"/>
          <w:szCs w:val="20"/>
        </w:rPr>
        <w:t>та</w:t>
      </w:r>
      <w:r w:rsidRPr="000977F7">
        <w:rPr>
          <w:rFonts w:asciiTheme="majorHAnsi" w:hAnsiTheme="majorHAnsi"/>
          <w:spacing w:val="-8"/>
          <w:sz w:val="20"/>
          <w:szCs w:val="20"/>
        </w:rPr>
        <w:t xml:space="preserve"> </w:t>
      </w:r>
      <w:r w:rsidRPr="000977F7">
        <w:rPr>
          <w:rFonts w:asciiTheme="majorHAnsi" w:hAnsiTheme="majorHAnsi"/>
          <w:spacing w:val="-1"/>
          <w:sz w:val="20"/>
          <w:szCs w:val="20"/>
        </w:rPr>
        <w:t>її</w:t>
      </w:r>
      <w:r w:rsidRPr="000977F7">
        <w:rPr>
          <w:rFonts w:asciiTheme="majorHAnsi" w:hAnsiTheme="majorHAnsi"/>
          <w:spacing w:val="-10"/>
          <w:sz w:val="20"/>
          <w:szCs w:val="20"/>
        </w:rPr>
        <w:t xml:space="preserve"> </w:t>
      </w:r>
      <w:r w:rsidRPr="000977F7">
        <w:rPr>
          <w:rFonts w:asciiTheme="majorHAnsi" w:hAnsiTheme="majorHAnsi"/>
          <w:spacing w:val="-1"/>
          <w:sz w:val="20"/>
          <w:szCs w:val="20"/>
        </w:rPr>
        <w:t>постачальники</w:t>
      </w:r>
      <w:r w:rsidRPr="000977F7">
        <w:rPr>
          <w:rFonts w:asciiTheme="majorHAnsi" w:hAnsiTheme="majorHAnsi"/>
          <w:spacing w:val="-11"/>
          <w:sz w:val="20"/>
          <w:szCs w:val="20"/>
        </w:rPr>
        <w:t xml:space="preserve"> </w:t>
      </w:r>
      <w:r w:rsidRPr="000977F7">
        <w:rPr>
          <w:rFonts w:asciiTheme="majorHAnsi" w:hAnsiTheme="majorHAnsi"/>
          <w:sz w:val="20"/>
          <w:szCs w:val="20"/>
        </w:rPr>
        <w:t>є</w:t>
      </w:r>
      <w:r w:rsidRPr="000977F7">
        <w:rPr>
          <w:rFonts w:asciiTheme="majorHAnsi" w:hAnsiTheme="majorHAnsi"/>
          <w:spacing w:val="-8"/>
          <w:sz w:val="20"/>
          <w:szCs w:val="20"/>
        </w:rPr>
        <w:t xml:space="preserve"> </w:t>
      </w:r>
      <w:r w:rsidRPr="000977F7">
        <w:rPr>
          <w:rFonts w:asciiTheme="majorHAnsi" w:hAnsiTheme="majorHAnsi"/>
          <w:sz w:val="20"/>
          <w:szCs w:val="20"/>
        </w:rPr>
        <w:t>взаємозалежними,</w:t>
      </w:r>
      <w:r w:rsidRPr="000977F7">
        <w:rPr>
          <w:rFonts w:asciiTheme="majorHAnsi" w:hAnsiTheme="majorHAnsi"/>
          <w:spacing w:val="-47"/>
          <w:sz w:val="20"/>
          <w:szCs w:val="20"/>
        </w:rPr>
        <w:t xml:space="preserve">          </w:t>
      </w:r>
      <w:r w:rsidRPr="000977F7">
        <w:rPr>
          <w:rFonts w:asciiTheme="majorHAnsi" w:hAnsiTheme="majorHAnsi"/>
          <w:spacing w:val="-1"/>
          <w:sz w:val="20"/>
          <w:szCs w:val="20"/>
        </w:rPr>
        <w:t>і</w:t>
      </w:r>
      <w:r w:rsidRPr="000977F7">
        <w:rPr>
          <w:rFonts w:asciiTheme="majorHAnsi" w:hAnsiTheme="majorHAnsi"/>
          <w:spacing w:val="-11"/>
          <w:sz w:val="20"/>
          <w:szCs w:val="20"/>
        </w:rPr>
        <w:t xml:space="preserve"> </w:t>
      </w:r>
      <w:r w:rsidRPr="000977F7">
        <w:rPr>
          <w:rFonts w:asciiTheme="majorHAnsi" w:hAnsiTheme="majorHAnsi"/>
          <w:spacing w:val="-1"/>
          <w:sz w:val="20"/>
          <w:szCs w:val="20"/>
        </w:rPr>
        <w:t>взаємовигідні</w:t>
      </w:r>
      <w:r w:rsidRPr="000977F7">
        <w:rPr>
          <w:rFonts w:asciiTheme="majorHAnsi" w:hAnsiTheme="majorHAnsi"/>
          <w:spacing w:val="-10"/>
          <w:sz w:val="20"/>
          <w:szCs w:val="20"/>
        </w:rPr>
        <w:t xml:space="preserve"> </w:t>
      </w:r>
      <w:r w:rsidRPr="000977F7">
        <w:rPr>
          <w:rFonts w:asciiTheme="majorHAnsi" w:hAnsiTheme="majorHAnsi"/>
          <w:spacing w:val="-1"/>
          <w:sz w:val="20"/>
          <w:szCs w:val="20"/>
        </w:rPr>
        <w:t>стосунки</w:t>
      </w:r>
      <w:r w:rsidRPr="000977F7">
        <w:rPr>
          <w:rFonts w:asciiTheme="majorHAnsi" w:hAnsiTheme="majorHAnsi"/>
          <w:spacing w:val="-10"/>
          <w:sz w:val="20"/>
          <w:szCs w:val="20"/>
        </w:rPr>
        <w:t xml:space="preserve"> </w:t>
      </w:r>
      <w:r w:rsidRPr="000977F7">
        <w:rPr>
          <w:rFonts w:asciiTheme="majorHAnsi" w:hAnsiTheme="majorHAnsi"/>
          <w:sz w:val="20"/>
          <w:szCs w:val="20"/>
        </w:rPr>
        <w:t>підвищують</w:t>
      </w:r>
      <w:r w:rsidRPr="000977F7">
        <w:rPr>
          <w:rFonts w:asciiTheme="majorHAnsi" w:hAnsiTheme="majorHAnsi"/>
          <w:spacing w:val="-10"/>
          <w:sz w:val="20"/>
          <w:szCs w:val="20"/>
        </w:rPr>
        <w:t xml:space="preserve"> </w:t>
      </w:r>
      <w:r w:rsidRPr="000977F7">
        <w:rPr>
          <w:rFonts w:asciiTheme="majorHAnsi" w:hAnsiTheme="majorHAnsi"/>
          <w:sz w:val="20"/>
          <w:szCs w:val="20"/>
        </w:rPr>
        <w:t>спроможність</w:t>
      </w:r>
      <w:r w:rsidRPr="000977F7">
        <w:rPr>
          <w:rFonts w:asciiTheme="majorHAnsi" w:hAnsiTheme="majorHAnsi"/>
          <w:spacing w:val="-47"/>
          <w:sz w:val="20"/>
          <w:szCs w:val="20"/>
        </w:rPr>
        <w:t xml:space="preserve"> </w:t>
      </w:r>
      <w:r w:rsidRPr="000977F7">
        <w:rPr>
          <w:rFonts w:asciiTheme="majorHAnsi" w:hAnsiTheme="majorHAnsi"/>
          <w:sz w:val="20"/>
          <w:szCs w:val="20"/>
        </w:rPr>
        <w:t>обох</w:t>
      </w:r>
      <w:r w:rsidRPr="000977F7">
        <w:rPr>
          <w:rFonts w:asciiTheme="majorHAnsi" w:hAnsiTheme="majorHAnsi"/>
          <w:spacing w:val="-8"/>
          <w:sz w:val="20"/>
          <w:szCs w:val="20"/>
        </w:rPr>
        <w:t xml:space="preserve"> </w:t>
      </w:r>
      <w:r w:rsidRPr="000977F7">
        <w:rPr>
          <w:rFonts w:asciiTheme="majorHAnsi" w:hAnsiTheme="majorHAnsi"/>
          <w:sz w:val="20"/>
          <w:szCs w:val="20"/>
        </w:rPr>
        <w:t>сторін</w:t>
      </w:r>
      <w:r w:rsidRPr="000977F7">
        <w:rPr>
          <w:rFonts w:asciiTheme="majorHAnsi" w:hAnsiTheme="majorHAnsi"/>
          <w:spacing w:val="-8"/>
          <w:sz w:val="20"/>
          <w:szCs w:val="20"/>
        </w:rPr>
        <w:t xml:space="preserve"> </w:t>
      </w:r>
      <w:r w:rsidRPr="000977F7">
        <w:rPr>
          <w:rFonts w:asciiTheme="majorHAnsi" w:hAnsiTheme="majorHAnsi"/>
          <w:sz w:val="20"/>
          <w:szCs w:val="20"/>
        </w:rPr>
        <w:t>створювати</w:t>
      </w:r>
      <w:r w:rsidRPr="000977F7">
        <w:rPr>
          <w:rFonts w:asciiTheme="majorHAnsi" w:hAnsiTheme="majorHAnsi"/>
          <w:spacing w:val="-5"/>
          <w:sz w:val="20"/>
          <w:szCs w:val="20"/>
        </w:rPr>
        <w:t xml:space="preserve"> </w:t>
      </w:r>
      <w:r w:rsidRPr="000977F7">
        <w:rPr>
          <w:rFonts w:asciiTheme="majorHAnsi" w:hAnsiTheme="majorHAnsi"/>
          <w:sz w:val="20"/>
          <w:szCs w:val="20"/>
        </w:rPr>
        <w:t>цінності.</w:t>
      </w:r>
    </w:p>
    <w:p w14:paraId="72F170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Ці вісім принципів управління якістю формують основу</w:t>
      </w:r>
      <w:r w:rsidRPr="000977F7">
        <w:rPr>
          <w:rFonts w:asciiTheme="majorHAnsi" w:hAnsiTheme="majorHAnsi"/>
          <w:spacing w:val="-9"/>
          <w:sz w:val="20"/>
          <w:szCs w:val="20"/>
        </w:rPr>
        <w:t xml:space="preserve"> </w:t>
      </w:r>
      <w:r w:rsidRPr="000977F7">
        <w:rPr>
          <w:rFonts w:asciiTheme="majorHAnsi" w:hAnsiTheme="majorHAnsi"/>
          <w:sz w:val="20"/>
          <w:szCs w:val="20"/>
        </w:rPr>
        <w:t>стандартів</w:t>
      </w:r>
      <w:r w:rsidRPr="000977F7">
        <w:rPr>
          <w:rFonts w:asciiTheme="majorHAnsi" w:hAnsiTheme="majorHAnsi"/>
          <w:spacing w:val="-7"/>
          <w:sz w:val="20"/>
          <w:szCs w:val="20"/>
        </w:rPr>
        <w:t xml:space="preserve"> </w:t>
      </w:r>
      <w:r w:rsidRPr="000977F7">
        <w:rPr>
          <w:rFonts w:asciiTheme="majorHAnsi" w:hAnsiTheme="majorHAnsi"/>
          <w:sz w:val="20"/>
          <w:szCs w:val="20"/>
        </w:rPr>
        <w:t>на</w:t>
      </w:r>
      <w:r w:rsidRPr="000977F7">
        <w:rPr>
          <w:rFonts w:asciiTheme="majorHAnsi" w:hAnsiTheme="majorHAnsi"/>
          <w:spacing w:val="-7"/>
          <w:sz w:val="20"/>
          <w:szCs w:val="20"/>
        </w:rPr>
        <w:t xml:space="preserve"> </w:t>
      </w:r>
      <w:r w:rsidRPr="000977F7">
        <w:rPr>
          <w:rFonts w:asciiTheme="majorHAnsi" w:hAnsiTheme="majorHAnsi"/>
          <w:sz w:val="20"/>
          <w:szCs w:val="20"/>
        </w:rPr>
        <w:t>системи</w:t>
      </w:r>
      <w:r w:rsidRPr="000977F7">
        <w:rPr>
          <w:rFonts w:asciiTheme="majorHAnsi" w:hAnsiTheme="majorHAnsi"/>
          <w:spacing w:val="-7"/>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6"/>
          <w:sz w:val="20"/>
          <w:szCs w:val="20"/>
        </w:rPr>
        <w:t xml:space="preserve"> </w:t>
      </w:r>
      <w:r w:rsidRPr="000977F7">
        <w:rPr>
          <w:rFonts w:asciiTheme="majorHAnsi" w:hAnsiTheme="majorHAnsi"/>
          <w:sz w:val="20"/>
          <w:szCs w:val="20"/>
        </w:rPr>
        <w:t>якістю,</w:t>
      </w:r>
      <w:r w:rsidRPr="000977F7">
        <w:rPr>
          <w:rFonts w:asciiTheme="majorHAnsi" w:hAnsiTheme="majorHAnsi"/>
          <w:spacing w:val="-6"/>
          <w:sz w:val="20"/>
          <w:szCs w:val="20"/>
        </w:rPr>
        <w:t xml:space="preserve"> </w:t>
      </w:r>
      <w:r w:rsidRPr="000977F7">
        <w:rPr>
          <w:rFonts w:asciiTheme="majorHAnsi" w:hAnsiTheme="majorHAnsi"/>
          <w:sz w:val="20"/>
          <w:szCs w:val="20"/>
        </w:rPr>
        <w:t>які</w:t>
      </w:r>
      <w:r w:rsidRPr="000977F7">
        <w:rPr>
          <w:rFonts w:asciiTheme="majorHAnsi" w:hAnsiTheme="majorHAnsi"/>
          <w:spacing w:val="-8"/>
          <w:sz w:val="20"/>
          <w:szCs w:val="20"/>
        </w:rPr>
        <w:t xml:space="preserve"> </w:t>
      </w:r>
      <w:r w:rsidRPr="000977F7">
        <w:rPr>
          <w:rFonts w:asciiTheme="majorHAnsi" w:hAnsiTheme="majorHAnsi"/>
          <w:sz w:val="20"/>
          <w:szCs w:val="20"/>
        </w:rPr>
        <w:t>вхо</w:t>
      </w:r>
      <w:r w:rsidRPr="000977F7">
        <w:rPr>
          <w:rFonts w:asciiTheme="majorHAnsi" w:hAnsiTheme="majorHAnsi"/>
          <w:spacing w:val="-47"/>
          <w:sz w:val="20"/>
          <w:szCs w:val="20"/>
        </w:rPr>
        <w:t xml:space="preserve"> </w:t>
      </w:r>
      <w:r w:rsidRPr="000977F7">
        <w:rPr>
          <w:rFonts w:asciiTheme="majorHAnsi" w:hAnsiTheme="majorHAnsi"/>
          <w:sz w:val="20"/>
          <w:szCs w:val="20"/>
        </w:rPr>
        <w:t>дять</w:t>
      </w:r>
      <w:r w:rsidRPr="000977F7">
        <w:rPr>
          <w:rFonts w:asciiTheme="majorHAnsi" w:hAnsiTheme="majorHAnsi"/>
          <w:spacing w:val="-6"/>
          <w:sz w:val="20"/>
          <w:szCs w:val="20"/>
        </w:rPr>
        <w:t xml:space="preserve"> </w:t>
      </w:r>
      <w:r w:rsidRPr="000977F7">
        <w:rPr>
          <w:rFonts w:asciiTheme="majorHAnsi" w:hAnsiTheme="majorHAnsi"/>
          <w:sz w:val="20"/>
          <w:szCs w:val="20"/>
        </w:rPr>
        <w:t>до</w:t>
      </w:r>
      <w:r w:rsidRPr="000977F7">
        <w:rPr>
          <w:rFonts w:asciiTheme="majorHAnsi" w:hAnsiTheme="majorHAnsi"/>
          <w:spacing w:val="-5"/>
          <w:sz w:val="20"/>
          <w:szCs w:val="20"/>
        </w:rPr>
        <w:t xml:space="preserve"> </w:t>
      </w:r>
      <w:r w:rsidRPr="000977F7">
        <w:rPr>
          <w:rFonts w:asciiTheme="majorHAnsi" w:hAnsiTheme="majorHAnsi"/>
          <w:sz w:val="20"/>
          <w:szCs w:val="20"/>
        </w:rPr>
        <w:t>стандартів</w:t>
      </w:r>
      <w:r w:rsidRPr="000977F7">
        <w:rPr>
          <w:rFonts w:asciiTheme="majorHAnsi" w:hAnsiTheme="majorHAnsi"/>
          <w:spacing w:val="-6"/>
          <w:sz w:val="20"/>
          <w:szCs w:val="20"/>
        </w:rPr>
        <w:t xml:space="preserve"> </w:t>
      </w:r>
      <w:r w:rsidRPr="000977F7">
        <w:rPr>
          <w:rFonts w:asciiTheme="majorHAnsi" w:hAnsiTheme="majorHAnsi"/>
          <w:sz w:val="20"/>
          <w:szCs w:val="20"/>
        </w:rPr>
        <w:t>серії</w:t>
      </w:r>
      <w:r w:rsidRPr="000977F7">
        <w:rPr>
          <w:rFonts w:asciiTheme="majorHAnsi" w:hAnsiTheme="majorHAnsi"/>
          <w:spacing w:val="-6"/>
          <w:sz w:val="20"/>
          <w:szCs w:val="20"/>
        </w:rPr>
        <w:t xml:space="preserve"> </w:t>
      </w:r>
      <w:r w:rsidRPr="000977F7">
        <w:rPr>
          <w:rFonts w:asciiTheme="majorHAnsi" w:hAnsiTheme="majorHAnsi"/>
          <w:sz w:val="20"/>
          <w:szCs w:val="20"/>
        </w:rPr>
        <w:t>ISO</w:t>
      </w:r>
      <w:r w:rsidRPr="000977F7">
        <w:rPr>
          <w:rFonts w:asciiTheme="majorHAnsi" w:hAnsiTheme="majorHAnsi"/>
          <w:spacing w:val="-4"/>
          <w:sz w:val="20"/>
          <w:szCs w:val="20"/>
        </w:rPr>
        <w:t xml:space="preserve"> </w:t>
      </w:r>
      <w:r w:rsidRPr="000977F7">
        <w:rPr>
          <w:rFonts w:asciiTheme="majorHAnsi" w:hAnsiTheme="majorHAnsi"/>
          <w:sz w:val="20"/>
          <w:szCs w:val="20"/>
        </w:rPr>
        <w:t>9000</w:t>
      </w:r>
    </w:p>
    <w:p w14:paraId="337811B7"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b/>
          <w:bCs/>
          <w:sz w:val="20"/>
          <w:szCs w:val="20"/>
          <w:lang w:eastAsia="ru-RU"/>
        </w:rPr>
      </w:pPr>
      <w:r w:rsidRPr="000977F7">
        <w:rPr>
          <w:rFonts w:asciiTheme="majorHAnsi" w:hAnsiTheme="majorHAnsi"/>
          <w:b/>
          <w:bCs/>
          <w:sz w:val="20"/>
          <w:szCs w:val="20"/>
          <w:lang w:eastAsia="ru-RU"/>
        </w:rPr>
        <w:t>ПОЛЮС –</w:t>
      </w:r>
    </w:p>
    <w:p w14:paraId="204C6563"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Загальна кількість магнітних північних і південних полюсів, які утворюються під час обертання магнітного поля двигуна. Кількість полюсів визначає номінальну швидкість двигуна</w:t>
      </w:r>
    </w:p>
    <w:p w14:paraId="2DDA3A84"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щодо вимог до екодизайну для електродвигунів</w:t>
      </w:r>
    </w:p>
    <w:p w14:paraId="2803B29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ПОЛЯРИЗАЦІЙНА КОРОЗІЙНА</w:t>
      </w:r>
      <w:r w:rsidRPr="000977F7">
        <w:rPr>
          <w:color w:val="auto"/>
          <w:spacing w:val="-47"/>
          <w:sz w:val="20"/>
          <w:szCs w:val="20"/>
        </w:rPr>
        <w:t xml:space="preserve"> </w:t>
      </w:r>
      <w:r w:rsidRPr="000977F7">
        <w:rPr>
          <w:color w:val="auto"/>
          <w:sz w:val="20"/>
          <w:szCs w:val="20"/>
        </w:rPr>
        <w:t>ДІАГРАМА</w:t>
      </w:r>
      <w:r w:rsidRPr="000977F7">
        <w:rPr>
          <w:color w:val="auto"/>
          <w:spacing w:val="-1"/>
          <w:sz w:val="20"/>
          <w:szCs w:val="20"/>
        </w:rPr>
        <w:t xml:space="preserve"> </w:t>
      </w:r>
    </w:p>
    <w:p w14:paraId="30E7467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Діаграма залежності дійсних швидкостей спряжених</w:t>
      </w:r>
      <w:r w:rsidRPr="000977F7">
        <w:rPr>
          <w:rFonts w:asciiTheme="majorHAnsi" w:hAnsiTheme="majorHAnsi"/>
          <w:spacing w:val="1"/>
          <w:sz w:val="20"/>
          <w:szCs w:val="20"/>
        </w:rPr>
        <w:t xml:space="preserve"> </w:t>
      </w:r>
      <w:r w:rsidRPr="000977F7">
        <w:rPr>
          <w:rFonts w:asciiTheme="majorHAnsi" w:hAnsiTheme="majorHAnsi"/>
          <w:sz w:val="20"/>
          <w:szCs w:val="20"/>
        </w:rPr>
        <w:t>анодної</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катодної</w:t>
      </w:r>
      <w:r w:rsidRPr="000977F7">
        <w:rPr>
          <w:rFonts w:asciiTheme="majorHAnsi" w:hAnsiTheme="majorHAnsi"/>
          <w:spacing w:val="1"/>
          <w:sz w:val="20"/>
          <w:szCs w:val="20"/>
        </w:rPr>
        <w:t xml:space="preserve"> </w:t>
      </w:r>
      <w:r w:rsidRPr="000977F7">
        <w:rPr>
          <w:rFonts w:asciiTheme="majorHAnsi" w:hAnsiTheme="majorHAnsi"/>
          <w:sz w:val="20"/>
          <w:szCs w:val="20"/>
        </w:rPr>
        <w:t>реакцій</w:t>
      </w:r>
      <w:r w:rsidRPr="000977F7">
        <w:rPr>
          <w:rFonts w:asciiTheme="majorHAnsi" w:hAnsiTheme="majorHAnsi"/>
          <w:spacing w:val="1"/>
          <w:sz w:val="20"/>
          <w:szCs w:val="20"/>
        </w:rPr>
        <w:t xml:space="preserve"> </w:t>
      </w:r>
      <w:r w:rsidRPr="000977F7">
        <w:rPr>
          <w:rFonts w:asciiTheme="majorHAnsi" w:hAnsiTheme="majorHAnsi"/>
          <w:sz w:val="20"/>
          <w:szCs w:val="20"/>
        </w:rPr>
        <w:t>корозійного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 від</w:t>
      </w:r>
      <w:r w:rsidRPr="000977F7">
        <w:rPr>
          <w:rFonts w:asciiTheme="majorHAnsi" w:hAnsiTheme="majorHAnsi"/>
          <w:spacing w:val="1"/>
          <w:sz w:val="20"/>
          <w:szCs w:val="20"/>
        </w:rPr>
        <w:t xml:space="preserve"> </w:t>
      </w:r>
      <w:r w:rsidRPr="000977F7">
        <w:rPr>
          <w:rFonts w:asciiTheme="majorHAnsi" w:hAnsiTheme="majorHAnsi"/>
          <w:sz w:val="20"/>
          <w:szCs w:val="20"/>
        </w:rPr>
        <w:t>потенціалу</w:t>
      </w:r>
    </w:p>
    <w:p w14:paraId="3387F80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0242535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ПОЛЯРИЗАЦІЙНА</w:t>
      </w:r>
      <w:r w:rsidRPr="000977F7">
        <w:rPr>
          <w:color w:val="auto"/>
          <w:spacing w:val="-5"/>
          <w:sz w:val="20"/>
          <w:szCs w:val="20"/>
        </w:rPr>
        <w:t xml:space="preserve"> </w:t>
      </w:r>
      <w:r w:rsidRPr="000977F7">
        <w:rPr>
          <w:color w:val="auto"/>
          <w:sz w:val="20"/>
          <w:szCs w:val="20"/>
        </w:rPr>
        <w:t>КРИВА</w:t>
      </w:r>
      <w:r w:rsidRPr="000977F7">
        <w:rPr>
          <w:color w:val="auto"/>
          <w:spacing w:val="-2"/>
          <w:sz w:val="20"/>
          <w:szCs w:val="20"/>
        </w:rPr>
        <w:t xml:space="preserve"> </w:t>
      </w:r>
      <w:r w:rsidRPr="000977F7">
        <w:rPr>
          <w:color w:val="auto"/>
          <w:sz w:val="20"/>
          <w:szCs w:val="20"/>
        </w:rPr>
        <w:t>—</w:t>
      </w:r>
    </w:p>
    <w:p w14:paraId="45834E8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Крива залежності швидкості електродного (катодного</w:t>
      </w:r>
      <w:r w:rsidRPr="000977F7">
        <w:rPr>
          <w:rFonts w:asciiTheme="majorHAnsi" w:hAnsiTheme="majorHAnsi"/>
          <w:spacing w:val="1"/>
          <w:sz w:val="20"/>
          <w:szCs w:val="20"/>
        </w:rPr>
        <w:t xml:space="preserve"> </w:t>
      </w:r>
      <w:r w:rsidRPr="000977F7">
        <w:rPr>
          <w:rFonts w:asciiTheme="majorHAnsi" w:hAnsiTheme="majorHAnsi"/>
          <w:sz w:val="20"/>
          <w:szCs w:val="20"/>
        </w:rPr>
        <w:t>або анодного)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2"/>
          <w:sz w:val="20"/>
          <w:szCs w:val="20"/>
        </w:rPr>
        <w:t xml:space="preserve"> </w:t>
      </w:r>
      <w:r w:rsidRPr="000977F7">
        <w:rPr>
          <w:rFonts w:asciiTheme="majorHAnsi" w:hAnsiTheme="majorHAnsi"/>
          <w:sz w:val="20"/>
          <w:szCs w:val="20"/>
        </w:rPr>
        <w:t>корозії</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потенціалу</w:t>
      </w:r>
    </w:p>
    <w:p w14:paraId="59684D7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116F9B9B"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sz w:val="20"/>
          <w:szCs w:val="20"/>
        </w:rPr>
        <w:t>ПОЛЯРИЗАЦІЙНИЙ</w:t>
      </w:r>
      <w:r w:rsidRPr="000977F7">
        <w:rPr>
          <w:rFonts w:asciiTheme="majorHAnsi" w:hAnsiTheme="majorHAnsi"/>
          <w:b/>
          <w:bCs/>
          <w:spacing w:val="-9"/>
          <w:sz w:val="20"/>
          <w:szCs w:val="20"/>
        </w:rPr>
        <w:t xml:space="preserve"> </w:t>
      </w:r>
      <w:r w:rsidRPr="000977F7">
        <w:rPr>
          <w:rFonts w:asciiTheme="majorHAnsi" w:hAnsiTheme="majorHAnsi"/>
          <w:b/>
          <w:bCs/>
          <w:sz w:val="20"/>
          <w:szCs w:val="20"/>
        </w:rPr>
        <w:t>КОНТРОЛЬ</w:t>
      </w:r>
      <w:r w:rsidRPr="000977F7">
        <w:rPr>
          <w:rFonts w:asciiTheme="majorHAnsi" w:hAnsiTheme="majorHAnsi"/>
          <w:b/>
          <w:bCs/>
          <w:spacing w:val="-8"/>
          <w:sz w:val="20"/>
          <w:szCs w:val="20"/>
        </w:rPr>
        <w:t xml:space="preserve"> </w:t>
      </w:r>
      <w:r w:rsidRPr="000977F7">
        <w:rPr>
          <w:rFonts w:asciiTheme="majorHAnsi" w:hAnsiTheme="majorHAnsi"/>
          <w:b/>
          <w:bCs/>
          <w:sz w:val="20"/>
          <w:szCs w:val="20"/>
        </w:rPr>
        <w:t>—</w:t>
      </w:r>
    </w:p>
    <w:p w14:paraId="01B13B9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Обмеження швидкості електрохімічної корозії </w:t>
      </w:r>
    </w:p>
    <w:p w14:paraId="0747BEC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поляризаційними</w:t>
      </w:r>
      <w:r w:rsidRPr="000977F7">
        <w:rPr>
          <w:rFonts w:asciiTheme="majorHAnsi" w:hAnsiTheme="majorHAnsi"/>
          <w:spacing w:val="-2"/>
          <w:sz w:val="20"/>
          <w:szCs w:val="20"/>
        </w:rPr>
        <w:t xml:space="preserve"> </w:t>
      </w:r>
      <w:r w:rsidRPr="000977F7">
        <w:rPr>
          <w:rFonts w:asciiTheme="majorHAnsi" w:hAnsiTheme="majorHAnsi"/>
          <w:sz w:val="20"/>
          <w:szCs w:val="20"/>
        </w:rPr>
        <w:t>явищами</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електродах</w:t>
      </w:r>
    </w:p>
    <w:p w14:paraId="666E0D7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2706874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ПОЛЯРИЗАЦІЙНИЙ</w:t>
      </w:r>
      <w:r w:rsidRPr="000977F7">
        <w:rPr>
          <w:color w:val="auto"/>
          <w:spacing w:val="-7"/>
          <w:sz w:val="20"/>
          <w:szCs w:val="20"/>
        </w:rPr>
        <w:t xml:space="preserve"> </w:t>
      </w:r>
      <w:r w:rsidRPr="000977F7">
        <w:rPr>
          <w:color w:val="auto"/>
          <w:sz w:val="20"/>
          <w:szCs w:val="20"/>
        </w:rPr>
        <w:t>МЕТОД</w:t>
      </w:r>
      <w:r w:rsidRPr="000977F7">
        <w:rPr>
          <w:color w:val="auto"/>
          <w:spacing w:val="-2"/>
          <w:sz w:val="20"/>
          <w:szCs w:val="20"/>
        </w:rPr>
        <w:t xml:space="preserve"> </w:t>
      </w:r>
      <w:r w:rsidRPr="000977F7">
        <w:rPr>
          <w:color w:val="auto"/>
          <w:sz w:val="20"/>
          <w:szCs w:val="20"/>
        </w:rPr>
        <w:t>–</w:t>
      </w:r>
    </w:p>
    <w:p w14:paraId="4080742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реєстрації змін поляризації хвиль випромінення, які</w:t>
      </w:r>
      <w:r w:rsidRPr="000977F7">
        <w:rPr>
          <w:rFonts w:asciiTheme="majorHAnsi" w:hAnsiTheme="majorHAnsi"/>
          <w:spacing w:val="1"/>
          <w:sz w:val="20"/>
          <w:szCs w:val="20"/>
        </w:rPr>
        <w:t xml:space="preserve"> </w:t>
      </w:r>
      <w:r w:rsidRPr="000977F7">
        <w:rPr>
          <w:rFonts w:asciiTheme="majorHAnsi" w:hAnsiTheme="majorHAnsi"/>
          <w:sz w:val="20"/>
          <w:szCs w:val="20"/>
        </w:rPr>
        <w:t>взаємодіють</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контрольованим</w:t>
      </w:r>
      <w:r w:rsidRPr="000977F7">
        <w:rPr>
          <w:rFonts w:asciiTheme="majorHAnsi" w:hAnsiTheme="majorHAnsi"/>
          <w:spacing w:val="1"/>
          <w:sz w:val="20"/>
          <w:szCs w:val="20"/>
        </w:rPr>
        <w:t xml:space="preserve"> </w:t>
      </w:r>
      <w:r w:rsidRPr="000977F7">
        <w:rPr>
          <w:rFonts w:asciiTheme="majorHAnsi" w:hAnsiTheme="majorHAnsi"/>
          <w:sz w:val="20"/>
          <w:szCs w:val="20"/>
        </w:rPr>
        <w:t>об’єктом</w:t>
      </w:r>
    </w:p>
    <w:p w14:paraId="1AF5C3D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16681E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ПОЛЯРИЗАЦІЯ</w:t>
      </w:r>
      <w:r w:rsidRPr="000977F7">
        <w:rPr>
          <w:color w:val="auto"/>
          <w:spacing w:val="-4"/>
          <w:sz w:val="20"/>
          <w:szCs w:val="20"/>
        </w:rPr>
        <w:t xml:space="preserve"> </w:t>
      </w:r>
      <w:r w:rsidRPr="000977F7">
        <w:rPr>
          <w:color w:val="auto"/>
          <w:sz w:val="20"/>
          <w:szCs w:val="20"/>
        </w:rPr>
        <w:t>–</w:t>
      </w:r>
    </w:p>
    <w:p w14:paraId="3492EF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ELECTRODE</w:t>
      </w:r>
      <w:r w:rsidRPr="000977F7">
        <w:rPr>
          <w:rFonts w:asciiTheme="majorHAnsi" w:hAnsiTheme="majorHAnsi"/>
          <w:spacing w:val="-3"/>
          <w:sz w:val="20"/>
          <w:szCs w:val="20"/>
        </w:rPr>
        <w:t xml:space="preserve"> </w:t>
      </w:r>
      <w:r w:rsidRPr="000977F7">
        <w:rPr>
          <w:rFonts w:asciiTheme="majorHAnsi" w:hAnsiTheme="majorHAnsi"/>
          <w:sz w:val="20"/>
          <w:szCs w:val="20"/>
        </w:rPr>
        <w:t>POLARIZATION –</w:t>
      </w:r>
    </w:p>
    <w:p w14:paraId="03F75D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Зміна потенціалу електрода, зумовлена протіканням</w:t>
      </w:r>
      <w:r w:rsidRPr="000977F7">
        <w:rPr>
          <w:rFonts w:asciiTheme="majorHAnsi" w:hAnsiTheme="majorHAnsi"/>
          <w:spacing w:val="1"/>
          <w:sz w:val="20"/>
          <w:szCs w:val="20"/>
        </w:rPr>
        <w:t xml:space="preserve"> </w:t>
      </w:r>
      <w:r w:rsidRPr="000977F7">
        <w:rPr>
          <w:rFonts w:asciiTheme="majorHAnsi" w:hAnsiTheme="majorHAnsi"/>
          <w:sz w:val="20"/>
          <w:szCs w:val="20"/>
        </w:rPr>
        <w:t>електричного струму</w:t>
      </w:r>
    </w:p>
    <w:p w14:paraId="43C0118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3830 – 98</w:t>
      </w:r>
    </w:p>
    <w:p w14:paraId="3A6D15E6"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i/>
          <w:spacing w:val="-47"/>
          <w:sz w:val="20"/>
          <w:szCs w:val="20"/>
        </w:rPr>
        <w:t xml:space="preserve"> </w:t>
      </w:r>
      <w:r w:rsidRPr="000977F7">
        <w:rPr>
          <w:rFonts w:asciiTheme="majorHAnsi" w:hAnsiTheme="majorHAnsi"/>
          <w:b/>
          <w:sz w:val="20"/>
          <w:szCs w:val="20"/>
        </w:rPr>
        <w:t>ПОМИЛКА –</w:t>
      </w:r>
    </w:p>
    <w:p w14:paraId="05EDF8B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MISTAKE –</w:t>
      </w:r>
    </w:p>
    <w:p w14:paraId="156A538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w:t>
      </w:r>
      <w:r w:rsidRPr="000977F7">
        <w:rPr>
          <w:rFonts w:asciiTheme="majorHAnsi" w:hAnsiTheme="majorHAnsi"/>
          <w:spacing w:val="1"/>
          <w:sz w:val="20"/>
          <w:szCs w:val="20"/>
        </w:rPr>
        <w:t xml:space="preserve"> </w:t>
      </w:r>
      <w:r w:rsidRPr="000977F7">
        <w:rPr>
          <w:rFonts w:asciiTheme="majorHAnsi" w:hAnsiTheme="majorHAnsi"/>
          <w:sz w:val="20"/>
          <w:szCs w:val="20"/>
        </w:rPr>
        <w:t>людини,</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призводить</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того</w:t>
      </w:r>
      <w:r w:rsidRPr="000977F7">
        <w:rPr>
          <w:rFonts w:asciiTheme="majorHAnsi" w:hAnsiTheme="majorHAnsi"/>
          <w:spacing w:val="1"/>
          <w:sz w:val="20"/>
          <w:szCs w:val="20"/>
        </w:rPr>
        <w:t xml:space="preserve"> </w:t>
      </w:r>
      <w:r w:rsidRPr="000977F7">
        <w:rPr>
          <w:rFonts w:asciiTheme="majorHAnsi" w:hAnsiTheme="majorHAnsi"/>
          <w:sz w:val="20"/>
          <w:szCs w:val="20"/>
        </w:rPr>
        <w:t>результату,</w:t>
      </w:r>
      <w:r w:rsidRPr="000977F7">
        <w:rPr>
          <w:rFonts w:asciiTheme="majorHAnsi" w:hAnsiTheme="majorHAnsi"/>
          <w:spacing w:val="-47"/>
          <w:sz w:val="20"/>
          <w:szCs w:val="20"/>
        </w:rPr>
        <w:t xml:space="preserve"> </w:t>
      </w:r>
      <w:r w:rsidRPr="000977F7">
        <w:rPr>
          <w:rFonts w:asciiTheme="majorHAnsi" w:hAnsiTheme="majorHAnsi"/>
          <w:sz w:val="20"/>
          <w:szCs w:val="20"/>
        </w:rPr>
        <w:t>який</w:t>
      </w:r>
      <w:r w:rsidRPr="000977F7">
        <w:rPr>
          <w:rFonts w:asciiTheme="majorHAnsi" w:hAnsiTheme="majorHAnsi"/>
          <w:spacing w:val="-2"/>
          <w:sz w:val="20"/>
          <w:szCs w:val="20"/>
        </w:rPr>
        <w:t xml:space="preserve"> </w:t>
      </w:r>
      <w:r w:rsidRPr="000977F7">
        <w:rPr>
          <w:rFonts w:asciiTheme="majorHAnsi" w:hAnsiTheme="majorHAnsi"/>
          <w:sz w:val="20"/>
          <w:szCs w:val="20"/>
        </w:rPr>
        <w:t>був</w:t>
      </w:r>
      <w:r w:rsidRPr="000977F7">
        <w:rPr>
          <w:rFonts w:asciiTheme="majorHAnsi" w:hAnsiTheme="majorHAnsi"/>
          <w:spacing w:val="2"/>
          <w:sz w:val="20"/>
          <w:szCs w:val="20"/>
        </w:rPr>
        <w:t xml:space="preserve"> </w:t>
      </w:r>
      <w:r w:rsidRPr="000977F7">
        <w:rPr>
          <w:rFonts w:asciiTheme="majorHAnsi" w:hAnsiTheme="majorHAnsi"/>
          <w:sz w:val="20"/>
          <w:szCs w:val="20"/>
        </w:rPr>
        <w:t>передбачений</w:t>
      </w:r>
    </w:p>
    <w:p w14:paraId="2B122DF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Оцінка логічного твердження або висновок про щось,</w:t>
      </w:r>
      <w:r w:rsidRPr="000977F7">
        <w:rPr>
          <w:rFonts w:asciiTheme="majorHAnsi" w:hAnsiTheme="majorHAnsi"/>
          <w:spacing w:val="1"/>
          <w:sz w:val="20"/>
          <w:szCs w:val="20"/>
        </w:rPr>
        <w:t xml:space="preserve"> </w:t>
      </w:r>
      <w:r w:rsidRPr="000977F7">
        <w:rPr>
          <w:rFonts w:asciiTheme="majorHAnsi" w:hAnsiTheme="majorHAnsi"/>
          <w:sz w:val="20"/>
          <w:szCs w:val="20"/>
        </w:rPr>
        <w:t>яке</w:t>
      </w:r>
      <w:r w:rsidRPr="000977F7">
        <w:rPr>
          <w:rFonts w:asciiTheme="majorHAnsi" w:hAnsiTheme="majorHAnsi"/>
          <w:spacing w:val="-1"/>
          <w:sz w:val="20"/>
          <w:szCs w:val="20"/>
        </w:rPr>
        <w:t xml:space="preserve"> </w:t>
      </w:r>
      <w:r w:rsidRPr="000977F7">
        <w:rPr>
          <w:rFonts w:asciiTheme="majorHAnsi" w:hAnsiTheme="majorHAnsi"/>
          <w:sz w:val="20"/>
          <w:szCs w:val="20"/>
        </w:rPr>
        <w:t>невірне,</w:t>
      </w:r>
      <w:r w:rsidRPr="000977F7">
        <w:rPr>
          <w:rFonts w:asciiTheme="majorHAnsi" w:hAnsiTheme="majorHAnsi"/>
          <w:spacing w:val="1"/>
          <w:sz w:val="20"/>
          <w:szCs w:val="20"/>
        </w:rPr>
        <w:t xml:space="preserve"> </w:t>
      </w:r>
      <w:r w:rsidRPr="000977F7">
        <w:rPr>
          <w:rFonts w:asciiTheme="majorHAnsi" w:hAnsiTheme="majorHAnsi"/>
          <w:sz w:val="20"/>
          <w:szCs w:val="20"/>
        </w:rPr>
        <w:t>хибне</w:t>
      </w:r>
    </w:p>
    <w:p w14:paraId="737B30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80481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Помилкою, наприклад, є: спотворення кодового сигналу інформації при невірному, хибному відображенні значення елемента кодової послідовності сигналу</w:t>
      </w:r>
      <w:r w:rsidRPr="000977F7">
        <w:rPr>
          <w:rFonts w:asciiTheme="majorHAnsi" w:hAnsiTheme="majorHAnsi"/>
          <w:spacing w:val="1"/>
          <w:sz w:val="20"/>
          <w:szCs w:val="20"/>
        </w:rPr>
        <w:t xml:space="preserve"> </w:t>
      </w:r>
      <w:r w:rsidRPr="000977F7">
        <w:rPr>
          <w:rFonts w:asciiTheme="majorHAnsi" w:hAnsiTheme="majorHAnsi"/>
          <w:sz w:val="20"/>
          <w:szCs w:val="20"/>
        </w:rPr>
        <w:t>одиниці чи нуля; 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відмови як дії, що не</w:t>
      </w:r>
      <w:r w:rsidRPr="000977F7">
        <w:rPr>
          <w:rFonts w:asciiTheme="majorHAnsi" w:hAnsiTheme="majorHAnsi"/>
          <w:spacing w:val="1"/>
          <w:sz w:val="20"/>
          <w:szCs w:val="20"/>
        </w:rPr>
        <w:t xml:space="preserve"> </w:t>
      </w:r>
      <w:r w:rsidRPr="000977F7">
        <w:rPr>
          <w:rFonts w:asciiTheme="majorHAnsi" w:hAnsiTheme="majorHAnsi"/>
          <w:sz w:val="20"/>
          <w:szCs w:val="20"/>
        </w:rPr>
        <w:t>відбулась (хибна відмова); незнайдення відмови (невиявлена</w:t>
      </w:r>
      <w:r w:rsidRPr="000977F7">
        <w:rPr>
          <w:rFonts w:asciiTheme="majorHAnsi" w:hAnsiTheme="majorHAnsi"/>
          <w:spacing w:val="-1"/>
          <w:sz w:val="20"/>
          <w:szCs w:val="20"/>
        </w:rPr>
        <w:t xml:space="preserve"> </w:t>
      </w:r>
      <w:r w:rsidRPr="000977F7">
        <w:rPr>
          <w:rFonts w:asciiTheme="majorHAnsi" w:hAnsiTheme="majorHAnsi"/>
          <w:sz w:val="20"/>
          <w:szCs w:val="20"/>
        </w:rPr>
        <w:t>відмова)</w:t>
      </w:r>
    </w:p>
    <w:p w14:paraId="3FDB7CB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 94</w:t>
      </w:r>
    </w:p>
    <w:p w14:paraId="624CB0F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179" w:name="_Hlk102196879"/>
      <w:r w:rsidRPr="000977F7">
        <w:rPr>
          <w:color w:val="auto"/>
          <w:sz w:val="20"/>
          <w:szCs w:val="20"/>
        </w:rPr>
        <w:t>ПОМИЛКА</w:t>
      </w:r>
      <w:r w:rsidRPr="000977F7">
        <w:rPr>
          <w:color w:val="auto"/>
          <w:spacing w:val="-5"/>
          <w:sz w:val="20"/>
          <w:szCs w:val="20"/>
        </w:rPr>
        <w:t xml:space="preserve"> </w:t>
      </w:r>
      <w:r w:rsidRPr="000977F7">
        <w:rPr>
          <w:color w:val="auto"/>
          <w:sz w:val="20"/>
          <w:szCs w:val="20"/>
        </w:rPr>
        <w:t>(ОПЕРАТОРА)</w:t>
      </w:r>
      <w:r w:rsidRPr="000977F7">
        <w:rPr>
          <w:color w:val="auto"/>
          <w:spacing w:val="-1"/>
          <w:sz w:val="20"/>
          <w:szCs w:val="20"/>
        </w:rPr>
        <w:t xml:space="preserve"> </w:t>
      </w:r>
      <w:r w:rsidRPr="000977F7">
        <w:rPr>
          <w:color w:val="auto"/>
          <w:sz w:val="20"/>
          <w:szCs w:val="20"/>
        </w:rPr>
        <w:t>–</w:t>
      </w:r>
    </w:p>
    <w:p w14:paraId="332D622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HUMAN</w:t>
      </w:r>
      <w:r w:rsidRPr="000977F7">
        <w:rPr>
          <w:rFonts w:asciiTheme="majorHAnsi" w:hAnsiTheme="majorHAnsi"/>
          <w:spacing w:val="-2"/>
          <w:sz w:val="20"/>
          <w:szCs w:val="20"/>
        </w:rPr>
        <w:t xml:space="preserve"> </w:t>
      </w:r>
      <w:r w:rsidRPr="000977F7">
        <w:rPr>
          <w:rFonts w:asciiTheme="majorHAnsi" w:hAnsiTheme="majorHAnsi"/>
          <w:sz w:val="20"/>
          <w:szCs w:val="20"/>
        </w:rPr>
        <w:t>ERROR</w:t>
      </w:r>
      <w:r w:rsidRPr="000977F7">
        <w:rPr>
          <w:rFonts w:asciiTheme="majorHAnsi" w:hAnsiTheme="majorHAnsi"/>
          <w:spacing w:val="-2"/>
          <w:sz w:val="20"/>
          <w:szCs w:val="20"/>
        </w:rPr>
        <w:t xml:space="preserve"> </w:t>
      </w:r>
      <w:r w:rsidRPr="000977F7">
        <w:rPr>
          <w:rFonts w:asciiTheme="majorHAnsi" w:hAnsiTheme="majorHAnsi"/>
          <w:sz w:val="20"/>
          <w:szCs w:val="20"/>
        </w:rPr>
        <w:t>–</w:t>
      </w:r>
    </w:p>
    <w:bookmarkEnd w:id="179"/>
    <w:p w14:paraId="6F1A252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w:t>
      </w:r>
      <w:r w:rsidRPr="000977F7">
        <w:rPr>
          <w:rFonts w:asciiTheme="majorHAnsi" w:hAnsiTheme="majorHAnsi"/>
          <w:spacing w:val="1"/>
          <w:sz w:val="20"/>
          <w:szCs w:val="20"/>
        </w:rPr>
        <w:t xml:space="preserve"> </w:t>
      </w:r>
      <w:r w:rsidRPr="000977F7">
        <w:rPr>
          <w:rFonts w:asciiTheme="majorHAnsi" w:hAnsiTheme="majorHAnsi"/>
          <w:sz w:val="20"/>
          <w:szCs w:val="20"/>
        </w:rPr>
        <w:t>оператора,</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призводить</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непередбачених</w:t>
      </w:r>
      <w:r w:rsidRPr="000977F7">
        <w:rPr>
          <w:rFonts w:asciiTheme="majorHAnsi" w:hAnsiTheme="majorHAnsi"/>
          <w:spacing w:val="1"/>
          <w:sz w:val="20"/>
          <w:szCs w:val="20"/>
        </w:rPr>
        <w:t xml:space="preserve"> </w:t>
      </w:r>
      <w:r w:rsidRPr="000977F7">
        <w:rPr>
          <w:rFonts w:asciiTheme="majorHAnsi" w:hAnsiTheme="majorHAnsi"/>
          <w:sz w:val="20"/>
          <w:szCs w:val="20"/>
        </w:rPr>
        <w:t>наслідків</w:t>
      </w:r>
      <w:r w:rsidRPr="000977F7">
        <w:rPr>
          <w:rFonts w:asciiTheme="majorHAnsi" w:hAnsiTheme="majorHAnsi"/>
          <w:spacing w:val="-2"/>
          <w:sz w:val="20"/>
          <w:szCs w:val="20"/>
        </w:rPr>
        <w:t xml:space="preserve"> </w:t>
      </w:r>
      <w:r w:rsidRPr="000977F7">
        <w:rPr>
          <w:rFonts w:asciiTheme="majorHAnsi" w:hAnsiTheme="majorHAnsi"/>
          <w:sz w:val="20"/>
          <w:szCs w:val="20"/>
        </w:rPr>
        <w:t>функціонування</w:t>
      </w:r>
      <w:r w:rsidRPr="000977F7">
        <w:rPr>
          <w:rFonts w:asciiTheme="majorHAnsi" w:hAnsiTheme="majorHAnsi"/>
          <w:spacing w:val="-2"/>
          <w:sz w:val="20"/>
          <w:szCs w:val="20"/>
        </w:rPr>
        <w:t xml:space="preserve"> </w:t>
      </w:r>
      <w:r w:rsidRPr="000977F7">
        <w:rPr>
          <w:rFonts w:asciiTheme="majorHAnsi" w:hAnsiTheme="majorHAnsi"/>
          <w:sz w:val="20"/>
          <w:szCs w:val="20"/>
        </w:rPr>
        <w:t>модуля</w:t>
      </w:r>
      <w:r w:rsidRPr="000977F7">
        <w:rPr>
          <w:rFonts w:asciiTheme="majorHAnsi" w:hAnsiTheme="majorHAnsi"/>
          <w:spacing w:val="-2"/>
          <w:sz w:val="20"/>
          <w:szCs w:val="20"/>
        </w:rPr>
        <w:t xml:space="preserve"> </w:t>
      </w:r>
      <w:r w:rsidRPr="000977F7">
        <w:rPr>
          <w:rFonts w:asciiTheme="majorHAnsi" w:hAnsiTheme="majorHAnsi"/>
          <w:sz w:val="20"/>
          <w:szCs w:val="20"/>
        </w:rPr>
        <w:t>(системи)</w:t>
      </w:r>
    </w:p>
    <w:p w14:paraId="5910974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ISO/IEC</w:t>
      </w:r>
      <w:r w:rsidRPr="000977F7">
        <w:rPr>
          <w:rFonts w:asciiTheme="majorHAnsi" w:hAnsiTheme="majorHAnsi"/>
          <w:i/>
          <w:spacing w:val="-4"/>
          <w:sz w:val="20"/>
          <w:szCs w:val="20"/>
        </w:rPr>
        <w:t xml:space="preserve"> </w:t>
      </w:r>
      <w:r w:rsidRPr="000977F7">
        <w:rPr>
          <w:rFonts w:asciiTheme="majorHAnsi" w:hAnsiTheme="majorHAnsi"/>
          <w:i/>
          <w:sz w:val="20"/>
          <w:szCs w:val="20"/>
        </w:rPr>
        <w:t>2382:2017</w:t>
      </w:r>
    </w:p>
    <w:p w14:paraId="6C890CC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w:t>
      </w:r>
      <w:r w:rsidRPr="000977F7">
        <w:rPr>
          <w:rFonts w:asciiTheme="majorHAnsi" w:hAnsiTheme="majorHAnsi"/>
          <w:spacing w:val="-5"/>
          <w:sz w:val="20"/>
          <w:szCs w:val="20"/>
        </w:rPr>
        <w:t xml:space="preserve"> </w:t>
      </w:r>
      <w:r w:rsidRPr="000977F7">
        <w:rPr>
          <w:rFonts w:asciiTheme="majorHAnsi" w:hAnsiTheme="majorHAnsi"/>
          <w:sz w:val="20"/>
          <w:szCs w:val="20"/>
        </w:rPr>
        <w:t>людини,</w:t>
      </w:r>
      <w:r w:rsidRPr="000977F7">
        <w:rPr>
          <w:rFonts w:asciiTheme="majorHAnsi" w:hAnsiTheme="majorHAnsi"/>
          <w:spacing w:val="-4"/>
          <w:sz w:val="20"/>
          <w:szCs w:val="20"/>
        </w:rPr>
        <w:t xml:space="preserve"> </w:t>
      </w:r>
      <w:r w:rsidRPr="000977F7">
        <w:rPr>
          <w:rFonts w:asciiTheme="majorHAnsi" w:hAnsiTheme="majorHAnsi"/>
          <w:sz w:val="20"/>
          <w:szCs w:val="20"/>
        </w:rPr>
        <w:t>яка</w:t>
      </w:r>
      <w:r w:rsidRPr="000977F7">
        <w:rPr>
          <w:rFonts w:asciiTheme="majorHAnsi" w:hAnsiTheme="majorHAnsi"/>
          <w:spacing w:val="-3"/>
          <w:sz w:val="20"/>
          <w:szCs w:val="20"/>
        </w:rPr>
        <w:t xml:space="preserve"> </w:t>
      </w:r>
      <w:r w:rsidRPr="000977F7">
        <w:rPr>
          <w:rFonts w:asciiTheme="majorHAnsi" w:hAnsiTheme="majorHAnsi"/>
          <w:sz w:val="20"/>
          <w:szCs w:val="20"/>
        </w:rPr>
        <w:t>призвела</w:t>
      </w:r>
      <w:r w:rsidRPr="000977F7">
        <w:rPr>
          <w:rFonts w:asciiTheme="majorHAnsi" w:hAnsiTheme="majorHAnsi"/>
          <w:spacing w:val="-4"/>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ненавмисного</w:t>
      </w:r>
      <w:r w:rsidRPr="000977F7">
        <w:rPr>
          <w:rFonts w:asciiTheme="majorHAnsi" w:hAnsiTheme="majorHAnsi"/>
          <w:spacing w:val="-2"/>
          <w:sz w:val="20"/>
          <w:szCs w:val="20"/>
        </w:rPr>
        <w:t xml:space="preserve"> </w:t>
      </w:r>
      <w:r w:rsidRPr="000977F7">
        <w:rPr>
          <w:rFonts w:asciiTheme="majorHAnsi" w:hAnsiTheme="majorHAnsi"/>
          <w:sz w:val="20"/>
          <w:szCs w:val="20"/>
        </w:rPr>
        <w:t>наслідку</w:t>
      </w:r>
    </w:p>
    <w:p w14:paraId="60BB599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2860</w:t>
      </w:r>
      <w:r w:rsidRPr="000977F7">
        <w:rPr>
          <w:rFonts w:asciiTheme="majorHAnsi" w:hAnsiTheme="majorHAnsi"/>
          <w:i/>
          <w:spacing w:val="5"/>
          <w:sz w:val="20"/>
          <w:szCs w:val="20"/>
        </w:rPr>
        <w:t xml:space="preserve"> </w:t>
      </w:r>
      <w:r w:rsidRPr="000977F7">
        <w:rPr>
          <w:rFonts w:asciiTheme="majorHAnsi" w:hAnsiTheme="majorHAnsi"/>
          <w:i/>
          <w:sz w:val="20"/>
          <w:szCs w:val="20"/>
        </w:rPr>
        <w:t>–</w:t>
      </w:r>
      <w:r w:rsidRPr="000977F7">
        <w:rPr>
          <w:rFonts w:asciiTheme="majorHAnsi" w:hAnsiTheme="majorHAnsi"/>
          <w:i/>
          <w:spacing w:val="4"/>
          <w:sz w:val="20"/>
          <w:szCs w:val="20"/>
        </w:rPr>
        <w:t xml:space="preserve"> </w:t>
      </w:r>
      <w:r w:rsidRPr="000977F7">
        <w:rPr>
          <w:rFonts w:asciiTheme="majorHAnsi" w:hAnsiTheme="majorHAnsi"/>
          <w:i/>
          <w:sz w:val="20"/>
          <w:szCs w:val="20"/>
        </w:rPr>
        <w:t>94</w:t>
      </w:r>
    </w:p>
    <w:p w14:paraId="0E6A1F60"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ПОМИЛКОСТІЙКА ПРОГРАМА –</w:t>
      </w:r>
      <w:r w:rsidRPr="000977F7">
        <w:rPr>
          <w:rFonts w:asciiTheme="majorHAnsi" w:hAnsiTheme="majorHAnsi"/>
          <w:b/>
          <w:spacing w:val="-47"/>
          <w:sz w:val="20"/>
          <w:szCs w:val="20"/>
        </w:rPr>
        <w:t xml:space="preserve"> </w:t>
      </w:r>
    </w:p>
    <w:p w14:paraId="18426DF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FOOLРROOF</w:t>
      </w:r>
      <w:r w:rsidRPr="000977F7">
        <w:rPr>
          <w:rFonts w:asciiTheme="majorHAnsi" w:hAnsiTheme="majorHAnsi"/>
          <w:spacing w:val="-1"/>
          <w:sz w:val="20"/>
          <w:szCs w:val="20"/>
        </w:rPr>
        <w:t xml:space="preserve"> </w:t>
      </w:r>
      <w:r w:rsidRPr="000977F7">
        <w:rPr>
          <w:rFonts w:asciiTheme="majorHAnsi" w:hAnsiTheme="majorHAnsi"/>
          <w:sz w:val="20"/>
          <w:szCs w:val="20"/>
        </w:rPr>
        <w:t>PROGRAM</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7811F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Програма, що не припиняє працювати, але й не виконує незворотних дій (наприклад, вилучення файлів)</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2"/>
          <w:sz w:val="20"/>
          <w:szCs w:val="20"/>
        </w:rPr>
        <w:t xml:space="preserve"> </w:t>
      </w:r>
      <w:r w:rsidRPr="000977F7">
        <w:rPr>
          <w:rFonts w:asciiTheme="majorHAnsi" w:hAnsiTheme="majorHAnsi"/>
          <w:sz w:val="20"/>
          <w:szCs w:val="20"/>
        </w:rPr>
        <w:t>введенні</w:t>
      </w:r>
      <w:r w:rsidRPr="000977F7">
        <w:rPr>
          <w:rFonts w:asciiTheme="majorHAnsi" w:hAnsiTheme="majorHAnsi"/>
          <w:spacing w:val="-1"/>
          <w:sz w:val="20"/>
          <w:szCs w:val="20"/>
        </w:rPr>
        <w:t xml:space="preserve"> </w:t>
      </w:r>
      <w:r w:rsidRPr="000977F7">
        <w:rPr>
          <w:rFonts w:asciiTheme="majorHAnsi" w:hAnsiTheme="majorHAnsi"/>
          <w:sz w:val="20"/>
          <w:szCs w:val="20"/>
        </w:rPr>
        <w:t>безглуздих команд</w:t>
      </w:r>
      <w:r w:rsidRPr="000977F7">
        <w:rPr>
          <w:rFonts w:asciiTheme="majorHAnsi" w:hAnsiTheme="majorHAnsi"/>
          <w:spacing w:val="-1"/>
          <w:sz w:val="20"/>
          <w:szCs w:val="20"/>
        </w:rPr>
        <w:t xml:space="preserve"> </w:t>
      </w:r>
      <w:r w:rsidRPr="000977F7">
        <w:rPr>
          <w:rFonts w:asciiTheme="majorHAnsi" w:hAnsiTheme="majorHAnsi"/>
          <w:sz w:val="20"/>
          <w:szCs w:val="20"/>
        </w:rPr>
        <w:t>або даних</w:t>
      </w:r>
    </w:p>
    <w:p w14:paraId="3FADE67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ISO/IEC 2382:2017</w:t>
      </w:r>
    </w:p>
    <w:p w14:paraId="0D6F721F"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ПОМИЛКОСТІЙКА СИСТЕМА –</w:t>
      </w:r>
    </w:p>
    <w:p w14:paraId="0779D1A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FAIL</w:t>
      </w:r>
      <w:r w:rsidRPr="000977F7">
        <w:rPr>
          <w:rFonts w:asciiTheme="majorHAnsi" w:hAnsiTheme="majorHAnsi"/>
          <w:spacing w:val="-2"/>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SAFE</w:t>
      </w:r>
      <w:r w:rsidRPr="000977F7">
        <w:rPr>
          <w:rFonts w:asciiTheme="majorHAnsi" w:hAnsiTheme="majorHAnsi"/>
          <w:spacing w:val="1"/>
          <w:sz w:val="20"/>
          <w:szCs w:val="20"/>
        </w:rPr>
        <w:t xml:space="preserve"> </w:t>
      </w:r>
      <w:r w:rsidRPr="000977F7">
        <w:rPr>
          <w:rFonts w:asciiTheme="majorHAnsi" w:hAnsiTheme="majorHAnsi"/>
          <w:sz w:val="20"/>
          <w:szCs w:val="20"/>
        </w:rPr>
        <w:t>SYSTEM</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676CA49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яка зберігає повну працездатність при збої</w:t>
      </w:r>
      <w:r w:rsidRPr="000977F7">
        <w:rPr>
          <w:rFonts w:asciiTheme="majorHAnsi" w:hAnsiTheme="majorHAnsi"/>
          <w:spacing w:val="1"/>
          <w:sz w:val="20"/>
          <w:szCs w:val="20"/>
        </w:rPr>
        <w:t xml:space="preserve"> </w:t>
      </w:r>
      <w:r w:rsidRPr="000977F7">
        <w:rPr>
          <w:rFonts w:asciiTheme="majorHAnsi" w:hAnsiTheme="majorHAnsi"/>
          <w:sz w:val="20"/>
          <w:szCs w:val="20"/>
        </w:rPr>
        <w:t>або помилці</w:t>
      </w:r>
    </w:p>
    <w:p w14:paraId="4DF34C8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ISO/IEC</w:t>
      </w:r>
      <w:r w:rsidRPr="000977F7">
        <w:rPr>
          <w:rFonts w:asciiTheme="majorHAnsi" w:hAnsiTheme="majorHAnsi"/>
          <w:i/>
          <w:spacing w:val="-4"/>
          <w:sz w:val="20"/>
          <w:szCs w:val="20"/>
        </w:rPr>
        <w:t xml:space="preserve"> </w:t>
      </w:r>
      <w:r w:rsidRPr="000977F7">
        <w:rPr>
          <w:rFonts w:asciiTheme="majorHAnsi" w:hAnsiTheme="majorHAnsi"/>
          <w:i/>
          <w:sz w:val="20"/>
          <w:szCs w:val="20"/>
        </w:rPr>
        <w:t>2382:2017</w:t>
      </w:r>
    </w:p>
    <w:p w14:paraId="09CB09A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ПОНДЕРОМОТОРНИЙ</w:t>
      </w:r>
      <w:r w:rsidRPr="000977F7">
        <w:rPr>
          <w:color w:val="auto"/>
          <w:spacing w:val="-6"/>
          <w:sz w:val="20"/>
          <w:szCs w:val="20"/>
        </w:rPr>
        <w:t xml:space="preserve"> </w:t>
      </w:r>
      <w:r w:rsidRPr="000977F7">
        <w:rPr>
          <w:color w:val="auto"/>
          <w:sz w:val="20"/>
          <w:szCs w:val="20"/>
        </w:rPr>
        <w:t>МЕТОД</w:t>
      </w:r>
      <w:r w:rsidRPr="000977F7">
        <w:rPr>
          <w:color w:val="auto"/>
          <w:spacing w:val="-2"/>
          <w:sz w:val="20"/>
          <w:szCs w:val="20"/>
        </w:rPr>
        <w:t xml:space="preserve"> </w:t>
      </w:r>
      <w:r w:rsidRPr="000977F7">
        <w:rPr>
          <w:color w:val="auto"/>
          <w:sz w:val="20"/>
          <w:szCs w:val="20"/>
        </w:rPr>
        <w:t>–</w:t>
      </w:r>
    </w:p>
    <w:p w14:paraId="4D3DC06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Метод магнітного контролю, що ґрунтується на пондеромоторній взаємодії магнітного поля об’єкта контролю, яка реєструється, і магнітного поля постійного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магніту,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електромагніту</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рамки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зі струмом</w:t>
      </w:r>
    </w:p>
    <w:p w14:paraId="550C0C5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2865 –</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4A42FB7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ПОНЯТТЯ</w:t>
      </w:r>
      <w:r w:rsidRPr="000977F7">
        <w:rPr>
          <w:color w:val="auto"/>
          <w:spacing w:val="-4"/>
          <w:sz w:val="20"/>
          <w:szCs w:val="20"/>
        </w:rPr>
        <w:t xml:space="preserve"> </w:t>
      </w:r>
      <w:r w:rsidRPr="000977F7">
        <w:rPr>
          <w:color w:val="auto"/>
          <w:sz w:val="20"/>
          <w:szCs w:val="20"/>
        </w:rPr>
        <w:t>ОХОРОНИ</w:t>
      </w:r>
      <w:r w:rsidRPr="000977F7">
        <w:rPr>
          <w:color w:val="auto"/>
          <w:spacing w:val="-3"/>
          <w:sz w:val="20"/>
          <w:szCs w:val="20"/>
        </w:rPr>
        <w:t xml:space="preserve"> </w:t>
      </w:r>
      <w:r w:rsidRPr="000977F7">
        <w:rPr>
          <w:color w:val="auto"/>
          <w:sz w:val="20"/>
          <w:szCs w:val="20"/>
        </w:rPr>
        <w:t>ПРАЦІ</w:t>
      </w:r>
      <w:r w:rsidRPr="000977F7">
        <w:rPr>
          <w:color w:val="auto"/>
          <w:spacing w:val="-1"/>
          <w:sz w:val="20"/>
          <w:szCs w:val="20"/>
        </w:rPr>
        <w:t xml:space="preserve"> </w:t>
      </w:r>
      <w:r w:rsidRPr="000977F7">
        <w:rPr>
          <w:color w:val="auto"/>
          <w:sz w:val="20"/>
          <w:szCs w:val="20"/>
        </w:rPr>
        <w:t>–</w:t>
      </w:r>
    </w:p>
    <w:p w14:paraId="06B4E59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Охорона</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праці</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це</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система</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правових,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соціально-економічних,</w:t>
      </w:r>
      <w:r w:rsidRPr="004D2D14">
        <w:rPr>
          <w:rFonts w:asciiTheme="majorHAnsi" w:hAnsiTheme="majorHAnsi"/>
          <w:spacing w:val="14"/>
          <w:sz w:val="20"/>
          <w:szCs w:val="20"/>
          <w:lang w:val="uk-UA"/>
        </w:rPr>
        <w:t xml:space="preserve"> </w:t>
      </w:r>
      <w:r w:rsidRPr="004D2D14">
        <w:rPr>
          <w:rFonts w:asciiTheme="majorHAnsi" w:hAnsiTheme="majorHAnsi"/>
          <w:sz w:val="20"/>
          <w:szCs w:val="20"/>
          <w:lang w:val="uk-UA"/>
        </w:rPr>
        <w:t>організаційно</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технічних,</w:t>
      </w:r>
      <w:r w:rsidRPr="004D2D14">
        <w:rPr>
          <w:rFonts w:asciiTheme="majorHAnsi" w:hAnsiTheme="majorHAnsi"/>
          <w:spacing w:val="14"/>
          <w:sz w:val="20"/>
          <w:szCs w:val="20"/>
          <w:lang w:val="uk-UA"/>
        </w:rPr>
        <w:t xml:space="preserve"> </w:t>
      </w:r>
      <w:r w:rsidRPr="004D2D14">
        <w:rPr>
          <w:rFonts w:asciiTheme="majorHAnsi" w:hAnsiTheme="majorHAnsi"/>
          <w:sz w:val="20"/>
          <w:szCs w:val="20"/>
          <w:lang w:val="uk-UA"/>
        </w:rPr>
        <w:t>санітарно-гігієнічних</w:t>
      </w:r>
      <w:r w:rsidRPr="004D2D14">
        <w:rPr>
          <w:rFonts w:asciiTheme="majorHAnsi" w:hAnsiTheme="majorHAnsi"/>
          <w:spacing w:val="24"/>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26"/>
          <w:sz w:val="20"/>
          <w:szCs w:val="20"/>
          <w:lang w:val="uk-UA"/>
        </w:rPr>
        <w:t xml:space="preserve"> </w:t>
      </w:r>
      <w:r w:rsidRPr="004D2D14">
        <w:rPr>
          <w:rFonts w:asciiTheme="majorHAnsi" w:hAnsiTheme="majorHAnsi"/>
          <w:sz w:val="20"/>
          <w:szCs w:val="20"/>
          <w:lang w:val="uk-UA"/>
        </w:rPr>
        <w:t>лікувально</w:t>
      </w:r>
      <w:r w:rsidRPr="004D2D14">
        <w:rPr>
          <w:rFonts w:asciiTheme="majorHAnsi" w:hAnsiTheme="majorHAnsi"/>
          <w:spacing w:val="26"/>
          <w:sz w:val="20"/>
          <w:szCs w:val="20"/>
          <w:lang w:val="uk-UA"/>
        </w:rPr>
        <w:t xml:space="preserve"> </w:t>
      </w:r>
      <w:r w:rsidRPr="004D2D14">
        <w:rPr>
          <w:rFonts w:asciiTheme="majorHAnsi" w:hAnsiTheme="majorHAnsi"/>
          <w:sz w:val="20"/>
          <w:szCs w:val="20"/>
          <w:lang w:val="uk-UA"/>
        </w:rPr>
        <w:t>профілактичних</w:t>
      </w:r>
      <w:r w:rsidRPr="004D2D14">
        <w:rPr>
          <w:rFonts w:asciiTheme="majorHAnsi" w:hAnsiTheme="majorHAnsi"/>
          <w:spacing w:val="23"/>
          <w:sz w:val="20"/>
          <w:szCs w:val="20"/>
          <w:lang w:val="uk-UA"/>
        </w:rPr>
        <w:t xml:space="preserve"> </w:t>
      </w:r>
      <w:r w:rsidRPr="004D2D14">
        <w:rPr>
          <w:rFonts w:asciiTheme="majorHAnsi" w:hAnsiTheme="majorHAnsi"/>
          <w:sz w:val="20"/>
          <w:szCs w:val="20"/>
          <w:lang w:val="uk-UA"/>
        </w:rPr>
        <w:t>заходів</w:t>
      </w:r>
      <w:r w:rsidRPr="004D2D14">
        <w:rPr>
          <w:rFonts w:asciiTheme="majorHAnsi" w:hAnsiTheme="majorHAnsi"/>
          <w:spacing w:val="23"/>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27"/>
          <w:sz w:val="20"/>
          <w:szCs w:val="20"/>
          <w:lang w:val="uk-UA"/>
        </w:rPr>
        <w:t xml:space="preserve"> </w:t>
      </w:r>
      <w:r w:rsidRPr="004D2D14">
        <w:rPr>
          <w:rFonts w:asciiTheme="majorHAnsi" w:hAnsiTheme="majorHAnsi"/>
          <w:sz w:val="20"/>
          <w:szCs w:val="20"/>
          <w:lang w:val="uk-UA"/>
        </w:rPr>
        <w:t>засобів,</w:t>
      </w:r>
      <w:r w:rsidRPr="004D2D14">
        <w:rPr>
          <w:rFonts w:asciiTheme="majorHAnsi" w:hAnsiTheme="majorHAnsi"/>
          <w:spacing w:val="41"/>
          <w:sz w:val="20"/>
          <w:szCs w:val="20"/>
          <w:lang w:val="uk-UA"/>
        </w:rPr>
        <w:t xml:space="preserve"> </w:t>
      </w:r>
      <w:r w:rsidRPr="004D2D14">
        <w:rPr>
          <w:rFonts w:asciiTheme="majorHAnsi" w:hAnsiTheme="majorHAnsi"/>
          <w:sz w:val="20"/>
          <w:szCs w:val="20"/>
          <w:lang w:val="uk-UA"/>
        </w:rPr>
        <w:t>спрямованих</w:t>
      </w:r>
      <w:r w:rsidRPr="004D2D14">
        <w:rPr>
          <w:rFonts w:asciiTheme="majorHAnsi" w:hAnsiTheme="majorHAnsi"/>
          <w:spacing w:val="4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42"/>
          <w:sz w:val="20"/>
          <w:szCs w:val="20"/>
          <w:lang w:val="uk-UA"/>
        </w:rPr>
        <w:t xml:space="preserve"> </w:t>
      </w:r>
      <w:r w:rsidRPr="004D2D14">
        <w:rPr>
          <w:rFonts w:asciiTheme="majorHAnsi" w:hAnsiTheme="majorHAnsi"/>
          <w:sz w:val="20"/>
          <w:szCs w:val="20"/>
          <w:lang w:val="uk-UA"/>
        </w:rPr>
        <w:t>збереження</w:t>
      </w:r>
      <w:r w:rsidRPr="004D2D14">
        <w:rPr>
          <w:rFonts w:asciiTheme="majorHAnsi" w:hAnsiTheme="majorHAnsi"/>
          <w:spacing w:val="45"/>
          <w:sz w:val="20"/>
          <w:szCs w:val="20"/>
          <w:lang w:val="uk-UA"/>
        </w:rPr>
        <w:t xml:space="preserve"> </w:t>
      </w:r>
      <w:r w:rsidRPr="004D2D14">
        <w:rPr>
          <w:rFonts w:asciiTheme="majorHAnsi" w:hAnsiTheme="majorHAnsi"/>
          <w:sz w:val="20"/>
          <w:szCs w:val="20"/>
          <w:lang w:val="uk-UA"/>
        </w:rPr>
        <w:t>життя,</w:t>
      </w:r>
      <w:r w:rsidRPr="004D2D14">
        <w:rPr>
          <w:rFonts w:asciiTheme="majorHAnsi" w:hAnsiTheme="majorHAnsi"/>
          <w:spacing w:val="42"/>
          <w:sz w:val="20"/>
          <w:szCs w:val="20"/>
          <w:lang w:val="uk-UA"/>
        </w:rPr>
        <w:t xml:space="preserve"> </w:t>
      </w:r>
      <w:r w:rsidRPr="004D2D14">
        <w:rPr>
          <w:rFonts w:asciiTheme="majorHAnsi" w:hAnsiTheme="majorHAnsi"/>
          <w:sz w:val="20"/>
          <w:szCs w:val="20"/>
          <w:lang w:val="uk-UA"/>
        </w:rPr>
        <w:t>здоров'я</w:t>
      </w:r>
      <w:r w:rsidRPr="004D2D14">
        <w:rPr>
          <w:rFonts w:asciiTheme="majorHAnsi" w:hAnsiTheme="majorHAnsi"/>
          <w:spacing w:val="42"/>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працездатності людини в процесі трудової діяльності</w:t>
      </w:r>
    </w:p>
    <w:p w14:paraId="64D9570E"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2"/>
          <w:sz w:val="20"/>
          <w:szCs w:val="20"/>
        </w:rPr>
        <w:t xml:space="preserve"> </w:t>
      </w:r>
      <w:r w:rsidRPr="000977F7">
        <w:rPr>
          <w:rFonts w:asciiTheme="majorHAnsi" w:hAnsiTheme="majorHAnsi"/>
          <w:i/>
          <w:sz w:val="20"/>
          <w:szCs w:val="20"/>
        </w:rPr>
        <w:t>1</w:t>
      </w:r>
      <w:r w:rsidRPr="000977F7">
        <w:rPr>
          <w:rFonts w:asciiTheme="majorHAnsi" w:hAnsiTheme="majorHAnsi"/>
          <w:i/>
          <w:spacing w:val="-1"/>
          <w:sz w:val="20"/>
          <w:szCs w:val="20"/>
        </w:rPr>
        <w:t xml:space="preserve"> </w:t>
      </w:r>
      <w:r w:rsidRPr="000977F7">
        <w:rPr>
          <w:rFonts w:asciiTheme="majorHAnsi" w:hAnsiTheme="majorHAnsi"/>
          <w:i/>
          <w:sz w:val="20"/>
          <w:szCs w:val="20"/>
        </w:rPr>
        <w:t>закону</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1"/>
          <w:sz w:val="20"/>
          <w:szCs w:val="20"/>
        </w:rPr>
        <w:t xml:space="preserve"> "</w:t>
      </w:r>
      <w:r w:rsidRPr="000977F7">
        <w:rPr>
          <w:rFonts w:asciiTheme="majorHAnsi" w:hAnsiTheme="majorHAnsi"/>
          <w:i/>
          <w:sz w:val="20"/>
          <w:szCs w:val="20"/>
        </w:rPr>
        <w:t>Про</w:t>
      </w:r>
      <w:r w:rsidRPr="000977F7">
        <w:rPr>
          <w:rFonts w:asciiTheme="majorHAnsi" w:hAnsiTheme="majorHAnsi"/>
          <w:i/>
          <w:spacing w:val="-3"/>
          <w:sz w:val="20"/>
          <w:szCs w:val="20"/>
        </w:rPr>
        <w:t xml:space="preserve"> </w:t>
      </w:r>
      <w:r w:rsidRPr="000977F7">
        <w:rPr>
          <w:rFonts w:asciiTheme="majorHAnsi" w:hAnsiTheme="majorHAnsi"/>
          <w:i/>
          <w:sz w:val="20"/>
          <w:szCs w:val="20"/>
        </w:rPr>
        <w:t>охорону</w:t>
      </w:r>
      <w:r w:rsidRPr="000977F7">
        <w:rPr>
          <w:rFonts w:asciiTheme="majorHAnsi" w:hAnsiTheme="majorHAnsi"/>
          <w:i/>
          <w:spacing w:val="-2"/>
          <w:sz w:val="20"/>
          <w:szCs w:val="20"/>
        </w:rPr>
        <w:t xml:space="preserve"> </w:t>
      </w:r>
      <w:r w:rsidRPr="000977F7">
        <w:rPr>
          <w:rFonts w:asciiTheme="majorHAnsi" w:hAnsiTheme="majorHAnsi"/>
          <w:i/>
          <w:sz w:val="20"/>
          <w:szCs w:val="20"/>
        </w:rPr>
        <w:t>праці"</w:t>
      </w:r>
    </w:p>
    <w:p w14:paraId="00ED959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180" w:name="_Hlk100990964"/>
      <w:r w:rsidRPr="000977F7">
        <w:rPr>
          <w:color w:val="auto"/>
          <w:sz w:val="20"/>
          <w:szCs w:val="20"/>
        </w:rPr>
        <w:t>ПООДИНОКЕ</w:t>
      </w:r>
      <w:r w:rsidRPr="000977F7">
        <w:rPr>
          <w:color w:val="auto"/>
          <w:spacing w:val="-6"/>
          <w:sz w:val="20"/>
          <w:szCs w:val="20"/>
        </w:rPr>
        <w:t xml:space="preserve"> </w:t>
      </w:r>
      <w:r w:rsidRPr="000977F7">
        <w:rPr>
          <w:color w:val="auto"/>
          <w:sz w:val="20"/>
          <w:szCs w:val="20"/>
        </w:rPr>
        <w:t>ДІЯНЯ</w:t>
      </w:r>
      <w:r w:rsidRPr="000977F7">
        <w:rPr>
          <w:color w:val="auto"/>
          <w:spacing w:val="-1"/>
          <w:sz w:val="20"/>
          <w:szCs w:val="20"/>
        </w:rPr>
        <w:t xml:space="preserve"> </w:t>
      </w:r>
      <w:r w:rsidRPr="000977F7">
        <w:rPr>
          <w:color w:val="auto"/>
          <w:sz w:val="20"/>
          <w:szCs w:val="20"/>
        </w:rPr>
        <w:t>–</w:t>
      </w:r>
    </w:p>
    <w:p w14:paraId="358FC19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SINGLE ACTION –</w:t>
      </w:r>
    </w:p>
    <w:bookmarkEnd w:id="180"/>
    <w:p w14:paraId="670225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Уривчасте діяння, ознаки і параметри якого визначені</w:t>
      </w:r>
      <w:r w:rsidRPr="000977F7">
        <w:rPr>
          <w:rFonts w:asciiTheme="majorHAnsi" w:hAnsiTheme="majorHAnsi"/>
          <w:spacing w:val="-47"/>
          <w:sz w:val="20"/>
          <w:szCs w:val="20"/>
        </w:rPr>
        <w:t xml:space="preserve"> </w:t>
      </w:r>
      <w:r w:rsidRPr="000977F7">
        <w:rPr>
          <w:rFonts w:asciiTheme="majorHAnsi" w:hAnsiTheme="majorHAnsi"/>
          <w:sz w:val="20"/>
          <w:szCs w:val="20"/>
        </w:rPr>
        <w:t>тільки на одному інтервалі усередині розглядуваного</w:t>
      </w:r>
      <w:r w:rsidRPr="000977F7">
        <w:rPr>
          <w:rFonts w:asciiTheme="majorHAnsi" w:hAnsiTheme="majorHAnsi"/>
          <w:spacing w:val="1"/>
          <w:sz w:val="20"/>
          <w:szCs w:val="20"/>
        </w:rPr>
        <w:t xml:space="preserve"> </w:t>
      </w:r>
      <w:r w:rsidRPr="000977F7">
        <w:rPr>
          <w:rFonts w:asciiTheme="majorHAnsi" w:hAnsiTheme="majorHAnsi"/>
          <w:sz w:val="20"/>
          <w:szCs w:val="20"/>
        </w:rPr>
        <w:t>проміжку</w:t>
      </w:r>
      <w:r w:rsidRPr="000977F7">
        <w:rPr>
          <w:rFonts w:asciiTheme="majorHAnsi" w:hAnsiTheme="majorHAnsi"/>
          <w:spacing w:val="-5"/>
          <w:sz w:val="20"/>
          <w:szCs w:val="20"/>
        </w:rPr>
        <w:t xml:space="preserve"> </w:t>
      </w:r>
      <w:r w:rsidRPr="000977F7">
        <w:rPr>
          <w:rFonts w:asciiTheme="majorHAnsi" w:hAnsiTheme="majorHAnsi"/>
          <w:sz w:val="20"/>
          <w:szCs w:val="20"/>
        </w:rPr>
        <w:t>часу</w:t>
      </w:r>
    </w:p>
    <w:p w14:paraId="5871296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3956</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2000</w:t>
      </w:r>
    </w:p>
    <w:p w14:paraId="084D240A"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8"/>
          <w:sz w:val="20"/>
          <w:szCs w:val="20"/>
          <w:lang w:val="en-US"/>
        </w:rPr>
      </w:pPr>
      <w:r w:rsidRPr="000977F7">
        <w:rPr>
          <w:rFonts w:asciiTheme="majorHAnsi" w:hAnsiTheme="majorHAnsi"/>
          <w:b/>
          <w:sz w:val="20"/>
          <w:szCs w:val="20"/>
        </w:rPr>
        <w:t>ПОПЕРЕДЖУВАЛЬНІ</w:t>
      </w:r>
      <w:r w:rsidRPr="004D2D14">
        <w:rPr>
          <w:rFonts w:asciiTheme="majorHAnsi" w:hAnsiTheme="majorHAnsi"/>
          <w:b/>
          <w:sz w:val="20"/>
          <w:szCs w:val="20"/>
          <w:lang w:val="en-US"/>
        </w:rPr>
        <w:t xml:space="preserve"> </w:t>
      </w:r>
      <w:r w:rsidRPr="000977F7">
        <w:rPr>
          <w:rFonts w:asciiTheme="majorHAnsi" w:hAnsiTheme="majorHAnsi"/>
          <w:b/>
          <w:sz w:val="20"/>
          <w:szCs w:val="20"/>
        </w:rPr>
        <w:t>ДІЇ</w:t>
      </w:r>
      <w:r w:rsidRPr="004D2D14">
        <w:rPr>
          <w:rFonts w:asciiTheme="majorHAnsi" w:hAnsiTheme="majorHAnsi"/>
          <w:b/>
          <w:sz w:val="20"/>
          <w:szCs w:val="20"/>
          <w:lang w:val="en-US"/>
        </w:rPr>
        <w:t xml:space="preserve"> –</w:t>
      </w:r>
      <w:r w:rsidRPr="004D2D14">
        <w:rPr>
          <w:rFonts w:asciiTheme="majorHAnsi" w:hAnsiTheme="majorHAnsi"/>
          <w:b/>
          <w:spacing w:val="-48"/>
          <w:sz w:val="20"/>
          <w:szCs w:val="20"/>
          <w:lang w:val="en-US"/>
        </w:rPr>
        <w:t xml:space="preserve"> </w:t>
      </w:r>
    </w:p>
    <w:p w14:paraId="126C5725"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PREVENTIVE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ACTION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6157F32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Дія</w:t>
      </w:r>
      <w:r w:rsidRPr="004D2D14">
        <w:rPr>
          <w:rFonts w:asciiTheme="majorHAnsi" w:hAnsiTheme="majorHAnsi"/>
          <w:sz w:val="20"/>
          <w:szCs w:val="20"/>
          <w:lang w:val="en-US"/>
        </w:rPr>
        <w:t xml:space="preserve">, </w:t>
      </w:r>
      <w:r w:rsidRPr="000977F7">
        <w:rPr>
          <w:rFonts w:asciiTheme="majorHAnsi" w:hAnsiTheme="majorHAnsi"/>
          <w:sz w:val="20"/>
          <w:szCs w:val="20"/>
        </w:rPr>
        <w:t>запроваджена</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усунення</w:t>
      </w:r>
      <w:r w:rsidRPr="004D2D14">
        <w:rPr>
          <w:rFonts w:asciiTheme="majorHAnsi" w:hAnsiTheme="majorHAnsi"/>
          <w:sz w:val="20"/>
          <w:szCs w:val="20"/>
          <w:lang w:val="en-US"/>
        </w:rPr>
        <w:t xml:space="preserve"> </w:t>
      </w:r>
      <w:r w:rsidRPr="000977F7">
        <w:rPr>
          <w:rFonts w:asciiTheme="majorHAnsi" w:hAnsiTheme="majorHAnsi"/>
          <w:sz w:val="20"/>
          <w:szCs w:val="20"/>
        </w:rPr>
        <w:t>причин</w:t>
      </w:r>
      <w:r w:rsidRPr="004D2D14">
        <w:rPr>
          <w:rFonts w:asciiTheme="majorHAnsi" w:hAnsiTheme="majorHAnsi"/>
          <w:sz w:val="20"/>
          <w:szCs w:val="20"/>
          <w:lang w:val="en-US"/>
        </w:rPr>
        <w:t xml:space="preserve"> </w:t>
      </w:r>
      <w:r w:rsidRPr="000977F7">
        <w:rPr>
          <w:rFonts w:asciiTheme="majorHAnsi" w:hAnsiTheme="majorHAnsi"/>
          <w:sz w:val="20"/>
          <w:szCs w:val="20"/>
        </w:rPr>
        <w:t>потенційної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невідповідності</w:t>
      </w:r>
      <w:r w:rsidRPr="004D2D14">
        <w:rPr>
          <w:rFonts w:asciiTheme="majorHAnsi" w:hAnsiTheme="majorHAnsi"/>
          <w:sz w:val="20"/>
          <w:szCs w:val="20"/>
          <w:lang w:val="en-US"/>
        </w:rPr>
        <w:t xml:space="preserve">, </w:t>
      </w:r>
      <w:r w:rsidRPr="000977F7">
        <w:rPr>
          <w:rFonts w:asciiTheme="majorHAnsi" w:hAnsiTheme="majorHAnsi"/>
          <w:sz w:val="20"/>
          <w:szCs w:val="20"/>
        </w:rPr>
        <w:t>дефекту</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іншої</w:t>
      </w:r>
      <w:r w:rsidRPr="004D2D14">
        <w:rPr>
          <w:rFonts w:asciiTheme="majorHAnsi" w:hAnsiTheme="majorHAnsi"/>
          <w:sz w:val="20"/>
          <w:szCs w:val="20"/>
          <w:lang w:val="en-US"/>
        </w:rPr>
        <w:t xml:space="preserve"> </w:t>
      </w:r>
      <w:r w:rsidRPr="000977F7">
        <w:rPr>
          <w:rFonts w:asciiTheme="majorHAnsi" w:hAnsiTheme="majorHAnsi"/>
          <w:sz w:val="20"/>
          <w:szCs w:val="20"/>
        </w:rPr>
        <w:t>небажаної</w:t>
      </w:r>
      <w:r w:rsidRPr="004D2D14">
        <w:rPr>
          <w:rFonts w:asciiTheme="majorHAnsi" w:hAnsiTheme="majorHAnsi"/>
          <w:sz w:val="20"/>
          <w:szCs w:val="20"/>
          <w:lang w:val="en-US"/>
        </w:rPr>
        <w:t xml:space="preserve"> </w:t>
      </w:r>
      <w:r w:rsidRPr="000977F7">
        <w:rPr>
          <w:rFonts w:asciiTheme="majorHAnsi" w:hAnsiTheme="majorHAnsi"/>
          <w:sz w:val="20"/>
          <w:szCs w:val="20"/>
        </w:rPr>
        <w:t>ситуації</w:t>
      </w:r>
      <w:r w:rsidRPr="004D2D14">
        <w:rPr>
          <w:rFonts w:asciiTheme="majorHAnsi" w:hAnsiTheme="majorHAnsi"/>
          <w:spacing w:val="-47"/>
          <w:sz w:val="20"/>
          <w:szCs w:val="20"/>
          <w:lang w:val="en-US"/>
        </w:rPr>
        <w:t xml:space="preserve"> </w:t>
      </w:r>
      <w:r w:rsidRPr="000977F7">
        <w:rPr>
          <w:rFonts w:asciiTheme="majorHAnsi" w:hAnsiTheme="majorHAnsi"/>
          <w:sz w:val="20"/>
          <w:szCs w:val="20"/>
        </w:rPr>
        <w:t>для</w:t>
      </w:r>
      <w:r w:rsidRPr="004D2D14">
        <w:rPr>
          <w:rFonts w:asciiTheme="majorHAnsi" w:hAnsiTheme="majorHAnsi"/>
          <w:spacing w:val="1"/>
          <w:sz w:val="20"/>
          <w:szCs w:val="20"/>
          <w:lang w:val="en-US"/>
        </w:rPr>
        <w:t xml:space="preserve"> </w:t>
      </w:r>
      <w:r w:rsidRPr="000977F7">
        <w:rPr>
          <w:rFonts w:asciiTheme="majorHAnsi" w:hAnsiTheme="majorHAnsi"/>
          <w:sz w:val="20"/>
          <w:szCs w:val="20"/>
        </w:rPr>
        <w:t>того</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щоб</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попередити</w:t>
      </w:r>
      <w:r w:rsidRPr="004D2D14">
        <w:rPr>
          <w:rFonts w:asciiTheme="majorHAnsi" w:hAnsiTheme="majorHAnsi"/>
          <w:spacing w:val="-2"/>
          <w:sz w:val="20"/>
          <w:szCs w:val="20"/>
          <w:lang w:val="en-US"/>
        </w:rPr>
        <w:t xml:space="preserve"> </w:t>
      </w:r>
      <w:r w:rsidRPr="000977F7">
        <w:rPr>
          <w:rFonts w:asciiTheme="majorHAnsi" w:hAnsiTheme="majorHAnsi"/>
          <w:sz w:val="20"/>
          <w:szCs w:val="20"/>
        </w:rPr>
        <w:t>їх</w:t>
      </w:r>
      <w:r w:rsidRPr="004D2D14">
        <w:rPr>
          <w:rFonts w:asciiTheme="majorHAnsi" w:hAnsiTheme="majorHAnsi"/>
          <w:sz w:val="20"/>
          <w:szCs w:val="20"/>
          <w:lang w:val="en-US"/>
        </w:rPr>
        <w:t xml:space="preserve"> </w:t>
      </w:r>
      <w:r w:rsidRPr="000977F7">
        <w:rPr>
          <w:rFonts w:asciiTheme="majorHAnsi" w:hAnsiTheme="majorHAnsi"/>
          <w:sz w:val="20"/>
          <w:szCs w:val="20"/>
        </w:rPr>
        <w:t>виникнення</w:t>
      </w:r>
    </w:p>
    <w:p w14:paraId="061892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7B78A89"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Ці</w:t>
      </w:r>
      <w:r w:rsidRPr="000977F7">
        <w:rPr>
          <w:rFonts w:asciiTheme="majorHAnsi" w:hAnsiTheme="majorHAnsi"/>
          <w:spacing w:val="-1"/>
          <w:sz w:val="20"/>
          <w:szCs w:val="20"/>
        </w:rPr>
        <w:t xml:space="preserve"> </w:t>
      </w:r>
      <w:r w:rsidRPr="000977F7">
        <w:rPr>
          <w:rFonts w:asciiTheme="majorHAnsi" w:hAnsiTheme="majorHAnsi"/>
          <w:sz w:val="20"/>
          <w:szCs w:val="20"/>
        </w:rPr>
        <w:t>попереджувальні</w:t>
      </w:r>
      <w:r w:rsidRPr="000977F7">
        <w:rPr>
          <w:rFonts w:asciiTheme="majorHAnsi" w:hAnsiTheme="majorHAnsi"/>
          <w:spacing w:val="2"/>
          <w:sz w:val="20"/>
          <w:szCs w:val="20"/>
        </w:rPr>
        <w:t xml:space="preserve"> </w:t>
      </w:r>
      <w:r w:rsidRPr="000977F7">
        <w:rPr>
          <w:rFonts w:asciiTheme="majorHAnsi" w:hAnsiTheme="majorHAnsi"/>
          <w:sz w:val="20"/>
          <w:szCs w:val="20"/>
        </w:rPr>
        <w:t>дії можуть</w:t>
      </w:r>
      <w:r w:rsidRPr="000977F7">
        <w:rPr>
          <w:rFonts w:asciiTheme="majorHAnsi" w:hAnsiTheme="majorHAnsi"/>
          <w:spacing w:val="2"/>
          <w:sz w:val="20"/>
          <w:szCs w:val="20"/>
        </w:rPr>
        <w:t xml:space="preserve"> </w:t>
      </w:r>
      <w:r w:rsidRPr="000977F7">
        <w:rPr>
          <w:rFonts w:asciiTheme="majorHAnsi" w:hAnsiTheme="majorHAnsi"/>
          <w:sz w:val="20"/>
          <w:szCs w:val="20"/>
        </w:rPr>
        <w:t>спричинити</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змін</w:t>
      </w:r>
      <w:r w:rsidRPr="000977F7">
        <w:rPr>
          <w:rFonts w:asciiTheme="majorHAnsi" w:hAnsiTheme="majorHAnsi"/>
          <w:spacing w:val="-2"/>
          <w:sz w:val="20"/>
          <w:szCs w:val="20"/>
        </w:rPr>
        <w:t xml:space="preserve"> </w:t>
      </w:r>
      <w:r w:rsidRPr="000977F7">
        <w:rPr>
          <w:rFonts w:asciiTheme="majorHAnsi" w:hAnsiTheme="majorHAnsi"/>
          <w:sz w:val="20"/>
          <w:szCs w:val="20"/>
        </w:rPr>
        <w:t>як</w:t>
      </w:r>
      <w:r w:rsidRPr="000977F7">
        <w:rPr>
          <w:rFonts w:asciiTheme="majorHAnsi" w:hAnsiTheme="majorHAnsi"/>
          <w:spacing w:val="-47"/>
          <w:sz w:val="20"/>
          <w:szCs w:val="20"/>
        </w:rPr>
        <w:t xml:space="preserve"> </w:t>
      </w:r>
      <w:r w:rsidRPr="000977F7">
        <w:rPr>
          <w:rFonts w:asciiTheme="majorHAnsi" w:hAnsiTheme="majorHAnsi"/>
          <w:sz w:val="20"/>
          <w:szCs w:val="20"/>
        </w:rPr>
        <w:t>в</w:t>
      </w:r>
      <w:r w:rsidRPr="000977F7">
        <w:rPr>
          <w:rFonts w:asciiTheme="majorHAnsi" w:hAnsiTheme="majorHAnsi"/>
          <w:spacing w:val="10"/>
          <w:sz w:val="20"/>
          <w:szCs w:val="20"/>
        </w:rPr>
        <w:t xml:space="preserve"> </w:t>
      </w:r>
      <w:r w:rsidRPr="000977F7">
        <w:rPr>
          <w:rFonts w:asciiTheme="majorHAnsi" w:hAnsiTheme="majorHAnsi"/>
          <w:sz w:val="20"/>
          <w:szCs w:val="20"/>
        </w:rPr>
        <w:t>методиках,</w:t>
      </w:r>
      <w:r w:rsidRPr="000977F7">
        <w:rPr>
          <w:rFonts w:asciiTheme="majorHAnsi" w:hAnsiTheme="majorHAnsi"/>
          <w:spacing w:val="11"/>
          <w:sz w:val="20"/>
          <w:szCs w:val="20"/>
        </w:rPr>
        <w:t xml:space="preserve"> </w:t>
      </w:r>
      <w:r w:rsidRPr="000977F7">
        <w:rPr>
          <w:rFonts w:asciiTheme="majorHAnsi" w:hAnsiTheme="majorHAnsi"/>
          <w:sz w:val="20"/>
          <w:szCs w:val="20"/>
        </w:rPr>
        <w:t>так</w:t>
      </w:r>
      <w:r w:rsidRPr="000977F7">
        <w:rPr>
          <w:rFonts w:asciiTheme="majorHAnsi" w:hAnsiTheme="majorHAnsi"/>
          <w:spacing w:val="10"/>
          <w:sz w:val="20"/>
          <w:szCs w:val="20"/>
        </w:rPr>
        <w:t xml:space="preserve"> </w:t>
      </w:r>
      <w:r w:rsidRPr="000977F7">
        <w:rPr>
          <w:rFonts w:asciiTheme="majorHAnsi" w:hAnsiTheme="majorHAnsi"/>
          <w:sz w:val="20"/>
          <w:szCs w:val="20"/>
        </w:rPr>
        <w:t>і</w:t>
      </w:r>
      <w:r w:rsidRPr="000977F7">
        <w:rPr>
          <w:rFonts w:asciiTheme="majorHAnsi" w:hAnsiTheme="majorHAnsi"/>
          <w:spacing w:val="13"/>
          <w:sz w:val="20"/>
          <w:szCs w:val="20"/>
        </w:rPr>
        <w:t xml:space="preserve"> </w:t>
      </w:r>
      <w:r w:rsidRPr="000977F7">
        <w:rPr>
          <w:rFonts w:asciiTheme="majorHAnsi" w:hAnsiTheme="majorHAnsi"/>
          <w:sz w:val="20"/>
          <w:szCs w:val="20"/>
        </w:rPr>
        <w:t>в</w:t>
      </w:r>
      <w:r w:rsidRPr="000977F7">
        <w:rPr>
          <w:rFonts w:asciiTheme="majorHAnsi" w:hAnsiTheme="majorHAnsi"/>
          <w:spacing w:val="11"/>
          <w:sz w:val="20"/>
          <w:szCs w:val="20"/>
        </w:rPr>
        <w:t xml:space="preserve"> </w:t>
      </w:r>
      <w:r w:rsidRPr="000977F7">
        <w:rPr>
          <w:rFonts w:asciiTheme="majorHAnsi" w:hAnsiTheme="majorHAnsi"/>
          <w:sz w:val="20"/>
          <w:szCs w:val="20"/>
        </w:rPr>
        <w:t>системах</w:t>
      </w:r>
      <w:r w:rsidRPr="000977F7">
        <w:rPr>
          <w:rFonts w:asciiTheme="majorHAnsi" w:hAnsiTheme="majorHAnsi"/>
          <w:spacing w:val="10"/>
          <w:sz w:val="20"/>
          <w:szCs w:val="20"/>
        </w:rPr>
        <w:t xml:space="preserve"> </w:t>
      </w:r>
      <w:r w:rsidRPr="000977F7">
        <w:rPr>
          <w:rFonts w:asciiTheme="majorHAnsi" w:hAnsiTheme="majorHAnsi"/>
          <w:sz w:val="20"/>
          <w:szCs w:val="20"/>
        </w:rPr>
        <w:t>з</w:t>
      </w:r>
      <w:r w:rsidRPr="000977F7">
        <w:rPr>
          <w:rFonts w:asciiTheme="majorHAnsi" w:hAnsiTheme="majorHAnsi"/>
          <w:spacing w:val="11"/>
          <w:sz w:val="20"/>
          <w:szCs w:val="20"/>
        </w:rPr>
        <w:t xml:space="preserve"> </w:t>
      </w:r>
      <w:r w:rsidRPr="000977F7">
        <w:rPr>
          <w:rFonts w:asciiTheme="majorHAnsi" w:hAnsiTheme="majorHAnsi"/>
          <w:sz w:val="20"/>
          <w:szCs w:val="20"/>
        </w:rPr>
        <w:t>метою</w:t>
      </w:r>
      <w:r w:rsidRPr="000977F7">
        <w:rPr>
          <w:rFonts w:asciiTheme="majorHAnsi" w:hAnsiTheme="majorHAnsi"/>
          <w:spacing w:val="13"/>
          <w:sz w:val="20"/>
          <w:szCs w:val="20"/>
        </w:rPr>
        <w:t xml:space="preserve"> </w:t>
      </w:r>
      <w:r w:rsidRPr="000977F7">
        <w:rPr>
          <w:rFonts w:asciiTheme="majorHAnsi" w:hAnsiTheme="majorHAnsi"/>
          <w:sz w:val="20"/>
          <w:szCs w:val="20"/>
        </w:rPr>
        <w:t>досягнення</w:t>
      </w:r>
      <w:r w:rsidRPr="000977F7">
        <w:rPr>
          <w:rFonts w:asciiTheme="majorHAnsi" w:hAnsiTheme="majorHAnsi"/>
          <w:spacing w:val="13"/>
          <w:sz w:val="20"/>
          <w:szCs w:val="20"/>
        </w:rPr>
        <w:t xml:space="preserve"> </w:t>
      </w:r>
      <w:r w:rsidRPr="000977F7">
        <w:rPr>
          <w:rFonts w:asciiTheme="majorHAnsi" w:hAnsiTheme="majorHAnsi"/>
          <w:sz w:val="20"/>
          <w:szCs w:val="20"/>
        </w:rPr>
        <w:t>поліпшення якості на всіх етапах петлі якості</w:t>
      </w:r>
      <w:r w:rsidRPr="000977F7">
        <w:rPr>
          <w:rFonts w:asciiTheme="majorHAnsi" w:hAnsiTheme="majorHAnsi"/>
          <w:spacing w:val="1"/>
          <w:sz w:val="20"/>
          <w:szCs w:val="20"/>
        </w:rPr>
        <w:t xml:space="preserve"> </w:t>
      </w:r>
    </w:p>
    <w:p w14:paraId="574AA985"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ПОПЕРЕДЖУВАЛЬНА</w:t>
      </w:r>
      <w:r w:rsidRPr="000977F7">
        <w:rPr>
          <w:rFonts w:asciiTheme="majorHAnsi" w:hAnsiTheme="majorHAnsi"/>
          <w:b/>
          <w:spacing w:val="2"/>
          <w:sz w:val="20"/>
          <w:szCs w:val="20"/>
        </w:rPr>
        <w:t xml:space="preserve"> </w:t>
      </w:r>
      <w:r w:rsidRPr="000977F7">
        <w:rPr>
          <w:rFonts w:asciiTheme="majorHAnsi" w:hAnsiTheme="majorHAnsi"/>
          <w:b/>
          <w:sz w:val="20"/>
          <w:szCs w:val="20"/>
        </w:rPr>
        <w:t>МЕЖА</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665647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WARNING</w:t>
      </w:r>
      <w:r w:rsidRPr="000977F7">
        <w:rPr>
          <w:rFonts w:asciiTheme="majorHAnsi" w:hAnsiTheme="majorHAnsi"/>
          <w:spacing w:val="-3"/>
          <w:sz w:val="20"/>
          <w:szCs w:val="20"/>
        </w:rPr>
        <w:t xml:space="preserve"> </w:t>
      </w:r>
      <w:r w:rsidRPr="000977F7">
        <w:rPr>
          <w:rFonts w:asciiTheme="majorHAnsi" w:hAnsiTheme="majorHAnsi"/>
          <w:sz w:val="20"/>
          <w:szCs w:val="20"/>
        </w:rPr>
        <w:t>LIMIT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7143A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Лінія на контрольній карті під (верхньою), над (нижньою) межею регулювання чи між ними під час статистично керованого технологічного процесу, де значення вибіркової характеристики трапляються з вели</w:t>
      </w:r>
      <w:r w:rsidRPr="000977F7">
        <w:rPr>
          <w:rFonts w:asciiTheme="majorHAnsi" w:hAnsiTheme="majorHAnsi"/>
          <w:spacing w:val="1"/>
          <w:sz w:val="20"/>
          <w:szCs w:val="20"/>
        </w:rPr>
        <w:t xml:space="preserve"> </w:t>
      </w:r>
      <w:r w:rsidRPr="000977F7">
        <w:rPr>
          <w:rFonts w:asciiTheme="majorHAnsi" w:hAnsiTheme="majorHAnsi"/>
          <w:sz w:val="20"/>
          <w:szCs w:val="20"/>
        </w:rPr>
        <w:t>кою</w:t>
      </w:r>
      <w:r w:rsidRPr="000977F7">
        <w:rPr>
          <w:rFonts w:asciiTheme="majorHAnsi" w:hAnsiTheme="majorHAnsi"/>
          <w:spacing w:val="-1"/>
          <w:sz w:val="20"/>
          <w:szCs w:val="20"/>
        </w:rPr>
        <w:t xml:space="preserve"> </w:t>
      </w:r>
      <w:r w:rsidRPr="000977F7">
        <w:rPr>
          <w:rFonts w:asciiTheme="majorHAnsi" w:hAnsiTheme="majorHAnsi"/>
          <w:sz w:val="20"/>
          <w:szCs w:val="20"/>
        </w:rPr>
        <w:t>імовірністю</w:t>
      </w:r>
    </w:p>
    <w:p w14:paraId="7E249E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DD385F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Попадання одного значення вибіркової характеристики між попереджувальною і регульованою межами є</w:t>
      </w:r>
      <w:r w:rsidRPr="000977F7">
        <w:rPr>
          <w:rFonts w:asciiTheme="majorHAnsi" w:hAnsiTheme="majorHAnsi"/>
          <w:spacing w:val="1"/>
          <w:sz w:val="20"/>
          <w:szCs w:val="20"/>
        </w:rPr>
        <w:t xml:space="preserve"> </w:t>
      </w:r>
      <w:r w:rsidRPr="000977F7">
        <w:rPr>
          <w:rFonts w:asciiTheme="majorHAnsi" w:hAnsiTheme="majorHAnsi"/>
          <w:sz w:val="20"/>
          <w:szCs w:val="20"/>
        </w:rPr>
        <w:t>попереджувальним сигналом</w:t>
      </w:r>
    </w:p>
    <w:p w14:paraId="16C7729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7C84734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ПОПЕРЕДЖУВАЛЬНИЙ</w:t>
      </w:r>
      <w:r w:rsidRPr="000977F7">
        <w:rPr>
          <w:color w:val="auto"/>
          <w:spacing w:val="44"/>
          <w:sz w:val="20"/>
          <w:szCs w:val="20"/>
        </w:rPr>
        <w:t xml:space="preserve"> </w:t>
      </w:r>
      <w:r w:rsidRPr="000977F7">
        <w:rPr>
          <w:color w:val="auto"/>
          <w:sz w:val="20"/>
          <w:szCs w:val="20"/>
        </w:rPr>
        <w:t>СИГНАЛ</w:t>
      </w:r>
      <w:r w:rsidRPr="000977F7">
        <w:rPr>
          <w:color w:val="auto"/>
          <w:spacing w:val="-1"/>
          <w:sz w:val="20"/>
          <w:szCs w:val="20"/>
        </w:rPr>
        <w:t xml:space="preserve"> </w:t>
      </w:r>
      <w:r w:rsidRPr="000977F7">
        <w:rPr>
          <w:color w:val="auto"/>
          <w:sz w:val="20"/>
          <w:szCs w:val="20"/>
        </w:rPr>
        <w:t>–</w:t>
      </w:r>
    </w:p>
    <w:p w14:paraId="00477C3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WARNING</w:t>
      </w:r>
      <w:r w:rsidRPr="000977F7">
        <w:rPr>
          <w:rFonts w:asciiTheme="majorHAnsi" w:hAnsiTheme="majorHAnsi"/>
          <w:spacing w:val="-2"/>
          <w:sz w:val="20"/>
          <w:szCs w:val="20"/>
        </w:rPr>
        <w:t xml:space="preserve"> </w:t>
      </w:r>
      <w:r w:rsidRPr="000977F7">
        <w:rPr>
          <w:rFonts w:asciiTheme="majorHAnsi" w:hAnsiTheme="majorHAnsi"/>
          <w:sz w:val="20"/>
          <w:szCs w:val="20"/>
        </w:rPr>
        <w:t>SIGNAL</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5175ACA3" w14:textId="77777777" w:rsidR="0097612F" w:rsidRPr="000977F7" w:rsidRDefault="0097612F" w:rsidP="000977F7">
      <w:pPr>
        <w:pStyle w:val="af6"/>
        <w:tabs>
          <w:tab w:val="left" w:pos="284"/>
        </w:tabs>
        <w:spacing w:after="0"/>
        <w:ind w:left="170"/>
        <w:mirrorIndents/>
        <w:jc w:val="both"/>
        <w:rPr>
          <w:rFonts w:asciiTheme="majorHAnsi" w:hAnsiTheme="majorHAnsi"/>
          <w:spacing w:val="26"/>
          <w:sz w:val="20"/>
          <w:szCs w:val="20"/>
        </w:rPr>
      </w:pPr>
      <w:r w:rsidRPr="000977F7">
        <w:rPr>
          <w:rFonts w:asciiTheme="majorHAnsi" w:hAnsiTheme="majorHAnsi"/>
          <w:sz w:val="20"/>
          <w:szCs w:val="20"/>
        </w:rPr>
        <w:t>Сигнал,</w:t>
      </w:r>
      <w:r w:rsidRPr="000977F7">
        <w:rPr>
          <w:rFonts w:asciiTheme="majorHAnsi" w:hAnsiTheme="majorHAnsi"/>
          <w:spacing w:val="27"/>
          <w:sz w:val="20"/>
          <w:szCs w:val="20"/>
        </w:rPr>
        <w:t xml:space="preserve"> </w:t>
      </w:r>
      <w:r w:rsidRPr="000977F7">
        <w:rPr>
          <w:rFonts w:asciiTheme="majorHAnsi" w:hAnsiTheme="majorHAnsi"/>
          <w:sz w:val="20"/>
          <w:szCs w:val="20"/>
        </w:rPr>
        <w:t>який</w:t>
      </w:r>
      <w:r w:rsidRPr="000977F7">
        <w:rPr>
          <w:rFonts w:asciiTheme="majorHAnsi" w:hAnsiTheme="majorHAnsi"/>
          <w:spacing w:val="27"/>
          <w:sz w:val="20"/>
          <w:szCs w:val="20"/>
        </w:rPr>
        <w:t xml:space="preserve"> </w:t>
      </w:r>
      <w:r w:rsidRPr="000977F7">
        <w:rPr>
          <w:rFonts w:asciiTheme="majorHAnsi" w:hAnsiTheme="majorHAnsi"/>
          <w:sz w:val="20"/>
          <w:szCs w:val="20"/>
        </w:rPr>
        <w:t>сповіщає</w:t>
      </w:r>
      <w:r w:rsidRPr="000977F7">
        <w:rPr>
          <w:rFonts w:asciiTheme="majorHAnsi" w:hAnsiTheme="majorHAnsi"/>
          <w:spacing w:val="28"/>
          <w:sz w:val="20"/>
          <w:szCs w:val="20"/>
        </w:rPr>
        <w:t xml:space="preserve"> </w:t>
      </w:r>
      <w:r w:rsidRPr="000977F7">
        <w:rPr>
          <w:rFonts w:asciiTheme="majorHAnsi" w:hAnsiTheme="majorHAnsi"/>
          <w:sz w:val="20"/>
          <w:szCs w:val="20"/>
        </w:rPr>
        <w:t>про</w:t>
      </w:r>
      <w:r w:rsidRPr="000977F7">
        <w:rPr>
          <w:rFonts w:asciiTheme="majorHAnsi" w:hAnsiTheme="majorHAnsi"/>
          <w:spacing w:val="31"/>
          <w:sz w:val="20"/>
          <w:szCs w:val="20"/>
        </w:rPr>
        <w:t xml:space="preserve"> </w:t>
      </w:r>
      <w:r w:rsidRPr="000977F7">
        <w:rPr>
          <w:rFonts w:asciiTheme="majorHAnsi" w:hAnsiTheme="majorHAnsi"/>
          <w:sz w:val="20"/>
          <w:szCs w:val="20"/>
        </w:rPr>
        <w:t>наближення</w:t>
      </w:r>
      <w:r w:rsidRPr="000977F7">
        <w:rPr>
          <w:rFonts w:asciiTheme="majorHAnsi" w:hAnsiTheme="majorHAnsi"/>
          <w:spacing w:val="28"/>
          <w:sz w:val="20"/>
          <w:szCs w:val="20"/>
        </w:rPr>
        <w:t xml:space="preserve"> </w:t>
      </w:r>
      <w:r w:rsidRPr="000977F7">
        <w:rPr>
          <w:rFonts w:asciiTheme="majorHAnsi" w:hAnsiTheme="majorHAnsi"/>
          <w:sz w:val="20"/>
          <w:szCs w:val="20"/>
        </w:rPr>
        <w:t>розладу</w:t>
      </w:r>
      <w:r w:rsidRPr="000977F7">
        <w:rPr>
          <w:rFonts w:asciiTheme="majorHAnsi" w:hAnsiTheme="majorHAnsi"/>
          <w:spacing w:val="26"/>
          <w:sz w:val="20"/>
          <w:szCs w:val="20"/>
        </w:rPr>
        <w:t xml:space="preserve"> </w:t>
      </w:r>
    </w:p>
    <w:p w14:paraId="2A6CD4D1"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технологічного</w:t>
      </w:r>
      <w:r w:rsidRPr="000977F7">
        <w:rPr>
          <w:rFonts w:asciiTheme="majorHAnsi" w:hAnsiTheme="majorHAnsi"/>
          <w:spacing w:val="19"/>
          <w:sz w:val="20"/>
          <w:szCs w:val="20"/>
        </w:rPr>
        <w:t xml:space="preserve"> </w:t>
      </w:r>
      <w:r w:rsidRPr="000977F7">
        <w:rPr>
          <w:rFonts w:asciiTheme="majorHAnsi" w:hAnsiTheme="majorHAnsi"/>
          <w:sz w:val="20"/>
          <w:szCs w:val="20"/>
        </w:rPr>
        <w:t>процесу</w:t>
      </w:r>
      <w:r w:rsidRPr="000977F7">
        <w:rPr>
          <w:rFonts w:asciiTheme="majorHAnsi" w:hAnsiTheme="majorHAnsi"/>
          <w:spacing w:val="14"/>
          <w:sz w:val="20"/>
          <w:szCs w:val="20"/>
        </w:rPr>
        <w:t xml:space="preserve"> </w:t>
      </w:r>
      <w:r w:rsidRPr="000977F7">
        <w:rPr>
          <w:rFonts w:asciiTheme="majorHAnsi" w:hAnsiTheme="majorHAnsi"/>
          <w:sz w:val="20"/>
          <w:szCs w:val="20"/>
        </w:rPr>
        <w:t>за</w:t>
      </w:r>
      <w:r w:rsidRPr="000977F7">
        <w:rPr>
          <w:rFonts w:asciiTheme="majorHAnsi" w:hAnsiTheme="majorHAnsi"/>
          <w:spacing w:val="18"/>
          <w:sz w:val="20"/>
          <w:szCs w:val="20"/>
        </w:rPr>
        <w:t xml:space="preserve"> </w:t>
      </w:r>
      <w:r w:rsidRPr="000977F7">
        <w:rPr>
          <w:rFonts w:asciiTheme="majorHAnsi" w:hAnsiTheme="majorHAnsi"/>
          <w:sz w:val="20"/>
          <w:szCs w:val="20"/>
        </w:rPr>
        <w:t>допомогою</w:t>
      </w:r>
      <w:r w:rsidRPr="000977F7">
        <w:rPr>
          <w:rFonts w:asciiTheme="majorHAnsi" w:hAnsiTheme="majorHAnsi"/>
          <w:spacing w:val="18"/>
          <w:sz w:val="20"/>
          <w:szCs w:val="20"/>
        </w:rPr>
        <w:t xml:space="preserve"> </w:t>
      </w:r>
      <w:r w:rsidRPr="000977F7">
        <w:rPr>
          <w:rFonts w:asciiTheme="majorHAnsi" w:hAnsiTheme="majorHAnsi"/>
          <w:sz w:val="20"/>
          <w:szCs w:val="20"/>
        </w:rPr>
        <w:t>надходжу-ваних статистичних даних про вибіркову характеристику</w:t>
      </w:r>
      <w:r w:rsidRPr="000977F7">
        <w:rPr>
          <w:rFonts w:asciiTheme="majorHAnsi" w:hAnsiTheme="majorHAnsi"/>
          <w:spacing w:val="1"/>
          <w:sz w:val="20"/>
          <w:szCs w:val="20"/>
        </w:rPr>
        <w:t xml:space="preserve"> </w:t>
      </w:r>
    </w:p>
    <w:p w14:paraId="2C2D117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3514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5804F81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ПОПЕРЕДНЄ</w:t>
      </w:r>
      <w:r w:rsidRPr="000977F7">
        <w:rPr>
          <w:color w:val="auto"/>
          <w:spacing w:val="-4"/>
          <w:sz w:val="20"/>
          <w:szCs w:val="20"/>
        </w:rPr>
        <w:t xml:space="preserve"> </w:t>
      </w:r>
      <w:r w:rsidRPr="000977F7">
        <w:rPr>
          <w:color w:val="auto"/>
          <w:sz w:val="20"/>
          <w:szCs w:val="20"/>
        </w:rPr>
        <w:t>ПОВІДОМЛЕННЯ</w:t>
      </w:r>
      <w:r w:rsidRPr="000977F7">
        <w:rPr>
          <w:color w:val="auto"/>
          <w:spacing w:val="-3"/>
          <w:sz w:val="20"/>
          <w:szCs w:val="20"/>
        </w:rPr>
        <w:t xml:space="preserve"> </w:t>
      </w:r>
      <w:r w:rsidRPr="000977F7">
        <w:rPr>
          <w:color w:val="auto"/>
          <w:sz w:val="20"/>
          <w:szCs w:val="20"/>
        </w:rPr>
        <w:t>ПРО</w:t>
      </w:r>
      <w:r w:rsidRPr="000977F7">
        <w:rPr>
          <w:color w:val="auto"/>
          <w:spacing w:val="-2"/>
          <w:sz w:val="20"/>
          <w:szCs w:val="20"/>
        </w:rPr>
        <w:t xml:space="preserve"> </w:t>
      </w:r>
      <w:r w:rsidRPr="000977F7">
        <w:rPr>
          <w:color w:val="auto"/>
          <w:sz w:val="20"/>
          <w:szCs w:val="20"/>
        </w:rPr>
        <w:t>ЗМІНУ</w:t>
      </w:r>
      <w:r w:rsidRPr="000977F7">
        <w:rPr>
          <w:color w:val="auto"/>
          <w:spacing w:val="1"/>
          <w:sz w:val="20"/>
          <w:szCs w:val="20"/>
        </w:rPr>
        <w:t xml:space="preserve"> </w:t>
      </w:r>
      <w:r w:rsidRPr="000977F7">
        <w:rPr>
          <w:color w:val="auto"/>
          <w:sz w:val="20"/>
          <w:szCs w:val="20"/>
        </w:rPr>
        <w:t>–</w:t>
      </w:r>
    </w:p>
    <w:p w14:paraId="51AFA5F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Тимчасовий документ, який містить відомості, необхідні для внесення змін у копії конструкторських документів, що перебувають у виробництві, чинний до скасування його повідомленням про зміну, закінчення терміну дії чи анулювання</w:t>
      </w:r>
    </w:p>
    <w:p w14:paraId="5A7DB882"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3321</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 2003</w:t>
      </w:r>
    </w:p>
    <w:p w14:paraId="241C48A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ПОПЕРЕДНІ</w:t>
      </w:r>
      <w:r w:rsidRPr="000977F7">
        <w:rPr>
          <w:color w:val="auto"/>
          <w:spacing w:val="42"/>
          <w:sz w:val="20"/>
          <w:szCs w:val="20"/>
        </w:rPr>
        <w:t xml:space="preserve"> </w:t>
      </w:r>
      <w:r w:rsidRPr="000977F7">
        <w:rPr>
          <w:color w:val="auto"/>
          <w:sz w:val="20"/>
          <w:szCs w:val="20"/>
        </w:rPr>
        <w:t>ВИПРОБУВАННЯ –</w:t>
      </w:r>
    </w:p>
    <w:p w14:paraId="6C1B874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PRELIMINARY</w:t>
      </w:r>
      <w:r w:rsidRPr="004D2D14">
        <w:rPr>
          <w:rFonts w:asciiTheme="majorHAnsi" w:hAnsiTheme="majorHAnsi"/>
          <w:spacing w:val="47"/>
          <w:sz w:val="20"/>
          <w:szCs w:val="20"/>
          <w:lang w:val="uk-UA"/>
        </w:rPr>
        <w:t xml:space="preserve"> </w:t>
      </w:r>
      <w:r w:rsidRPr="000977F7">
        <w:rPr>
          <w:rFonts w:asciiTheme="majorHAnsi" w:hAnsiTheme="majorHAnsi"/>
          <w:sz w:val="20"/>
          <w:szCs w:val="20"/>
        </w:rPr>
        <w:t>TEST</w:t>
      </w:r>
      <w:r w:rsidRPr="004D2D14">
        <w:rPr>
          <w:rFonts w:asciiTheme="majorHAnsi" w:hAnsiTheme="majorHAnsi"/>
          <w:sz w:val="20"/>
          <w:szCs w:val="20"/>
          <w:lang w:val="uk-UA"/>
        </w:rPr>
        <w:t xml:space="preserve"> -</w:t>
      </w:r>
    </w:p>
    <w:p w14:paraId="7720B3FC"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Контрольні</w:t>
      </w:r>
      <w:r w:rsidRPr="004D2D14">
        <w:rPr>
          <w:rFonts w:asciiTheme="majorHAnsi" w:hAnsiTheme="majorHAnsi"/>
          <w:spacing w:val="25"/>
          <w:sz w:val="20"/>
          <w:szCs w:val="20"/>
          <w:lang w:val="uk-UA"/>
        </w:rPr>
        <w:t xml:space="preserve"> </w:t>
      </w:r>
      <w:r w:rsidRPr="004D2D14">
        <w:rPr>
          <w:rFonts w:asciiTheme="majorHAnsi" w:hAnsiTheme="majorHAnsi"/>
          <w:sz w:val="20"/>
          <w:szCs w:val="20"/>
          <w:lang w:val="uk-UA"/>
        </w:rPr>
        <w:t>випробування</w:t>
      </w:r>
      <w:r w:rsidRPr="004D2D14">
        <w:rPr>
          <w:rFonts w:asciiTheme="majorHAnsi" w:hAnsiTheme="majorHAnsi"/>
          <w:spacing w:val="27"/>
          <w:sz w:val="20"/>
          <w:szCs w:val="20"/>
          <w:lang w:val="uk-UA"/>
        </w:rPr>
        <w:t xml:space="preserve"> </w:t>
      </w:r>
      <w:r w:rsidRPr="004D2D14">
        <w:rPr>
          <w:rFonts w:asciiTheme="majorHAnsi" w:hAnsiTheme="majorHAnsi"/>
          <w:sz w:val="20"/>
          <w:szCs w:val="20"/>
          <w:lang w:val="uk-UA"/>
        </w:rPr>
        <w:t>дослідних</w:t>
      </w:r>
      <w:r w:rsidRPr="004D2D14">
        <w:rPr>
          <w:rFonts w:asciiTheme="majorHAnsi" w:hAnsiTheme="majorHAnsi"/>
          <w:spacing w:val="24"/>
          <w:sz w:val="20"/>
          <w:szCs w:val="20"/>
          <w:lang w:val="uk-UA"/>
        </w:rPr>
        <w:t xml:space="preserve"> </w:t>
      </w:r>
      <w:r w:rsidRPr="004D2D14">
        <w:rPr>
          <w:rFonts w:asciiTheme="majorHAnsi" w:hAnsiTheme="majorHAnsi"/>
          <w:sz w:val="20"/>
          <w:szCs w:val="20"/>
          <w:lang w:val="uk-UA"/>
        </w:rPr>
        <w:t>зразків</w:t>
      </w:r>
      <w:r w:rsidRPr="004D2D14">
        <w:rPr>
          <w:rFonts w:asciiTheme="majorHAnsi" w:hAnsiTheme="majorHAnsi"/>
          <w:spacing w:val="27"/>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25"/>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дослідних</w:t>
      </w:r>
      <w:r w:rsidRPr="004D2D14">
        <w:rPr>
          <w:rFonts w:asciiTheme="majorHAnsi" w:hAnsiTheme="majorHAnsi"/>
          <w:spacing w:val="15"/>
          <w:sz w:val="20"/>
          <w:szCs w:val="20"/>
          <w:lang w:val="uk-UA"/>
        </w:rPr>
        <w:t xml:space="preserve"> </w:t>
      </w:r>
      <w:r w:rsidRPr="004D2D14">
        <w:rPr>
          <w:rFonts w:asciiTheme="majorHAnsi" w:hAnsiTheme="majorHAnsi"/>
          <w:sz w:val="20"/>
          <w:szCs w:val="20"/>
          <w:lang w:val="uk-UA"/>
        </w:rPr>
        <w:t>партій</w:t>
      </w:r>
      <w:r w:rsidRPr="004D2D14">
        <w:rPr>
          <w:rFonts w:asciiTheme="majorHAnsi" w:hAnsiTheme="majorHAnsi"/>
          <w:spacing w:val="17"/>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7"/>
          <w:sz w:val="20"/>
          <w:szCs w:val="20"/>
          <w:lang w:val="uk-UA"/>
        </w:rPr>
        <w:t xml:space="preserve"> </w:t>
      </w:r>
      <w:r w:rsidRPr="004D2D14">
        <w:rPr>
          <w:rFonts w:asciiTheme="majorHAnsi" w:hAnsiTheme="majorHAnsi"/>
          <w:sz w:val="20"/>
          <w:szCs w:val="20"/>
          <w:lang w:val="uk-UA"/>
        </w:rPr>
        <w:t>метою</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визначення</w:t>
      </w:r>
      <w:r w:rsidRPr="004D2D14">
        <w:rPr>
          <w:rFonts w:asciiTheme="majorHAnsi" w:hAnsiTheme="majorHAnsi"/>
          <w:spacing w:val="15"/>
          <w:sz w:val="20"/>
          <w:szCs w:val="20"/>
          <w:lang w:val="uk-UA"/>
        </w:rPr>
        <w:t xml:space="preserve"> </w:t>
      </w:r>
      <w:r w:rsidRPr="004D2D14">
        <w:rPr>
          <w:rFonts w:asciiTheme="majorHAnsi" w:hAnsiTheme="majorHAnsi"/>
          <w:sz w:val="20"/>
          <w:szCs w:val="20"/>
          <w:lang w:val="uk-UA"/>
        </w:rPr>
        <w:t>можливості їх пред’явлення на приймальні випробування</w:t>
      </w:r>
      <w:r w:rsidRPr="004D2D14">
        <w:rPr>
          <w:rFonts w:asciiTheme="majorHAnsi" w:hAnsiTheme="majorHAnsi"/>
          <w:spacing w:val="1"/>
          <w:sz w:val="20"/>
          <w:szCs w:val="20"/>
          <w:lang w:val="uk-UA"/>
        </w:rPr>
        <w:t xml:space="preserve"> </w:t>
      </w:r>
    </w:p>
    <w:p w14:paraId="3CA5AFA0"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2"/>
          <w:sz w:val="20"/>
          <w:szCs w:val="20"/>
        </w:rPr>
        <w:t xml:space="preserve"> </w:t>
      </w:r>
      <w:r w:rsidRPr="000977F7">
        <w:rPr>
          <w:rFonts w:asciiTheme="majorHAnsi" w:hAnsiTheme="majorHAnsi"/>
          <w:i/>
          <w:sz w:val="20"/>
          <w:szCs w:val="20"/>
        </w:rPr>
        <w:t>– 95</w:t>
      </w:r>
    </w:p>
    <w:p w14:paraId="3B4F685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ПОПЕРЕДНІЙ</w:t>
      </w:r>
      <w:r w:rsidRPr="000977F7">
        <w:rPr>
          <w:color w:val="auto"/>
          <w:spacing w:val="-3"/>
          <w:sz w:val="20"/>
          <w:szCs w:val="20"/>
        </w:rPr>
        <w:t xml:space="preserve"> </w:t>
      </w:r>
      <w:r w:rsidRPr="000977F7">
        <w:rPr>
          <w:color w:val="auto"/>
          <w:sz w:val="20"/>
          <w:szCs w:val="20"/>
        </w:rPr>
        <w:t>СТАНДАРТ</w:t>
      </w:r>
      <w:r w:rsidRPr="000977F7">
        <w:rPr>
          <w:color w:val="auto"/>
          <w:spacing w:val="-2"/>
          <w:sz w:val="20"/>
          <w:szCs w:val="20"/>
        </w:rPr>
        <w:t xml:space="preserve"> </w:t>
      </w:r>
      <w:r w:rsidRPr="000977F7">
        <w:rPr>
          <w:color w:val="auto"/>
          <w:sz w:val="20"/>
          <w:szCs w:val="20"/>
        </w:rPr>
        <w:t>–</w:t>
      </w:r>
    </w:p>
    <w:p w14:paraId="7061A1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тимчасово</w:t>
      </w:r>
      <w:r w:rsidRPr="000977F7">
        <w:rPr>
          <w:rFonts w:asciiTheme="majorHAnsi" w:hAnsiTheme="majorHAnsi"/>
          <w:spacing w:val="1"/>
          <w:sz w:val="20"/>
          <w:szCs w:val="20"/>
        </w:rPr>
        <w:t xml:space="preserve"> </w:t>
      </w:r>
      <w:r w:rsidRPr="000977F7">
        <w:rPr>
          <w:rFonts w:asciiTheme="majorHAnsi" w:hAnsiTheme="majorHAnsi"/>
          <w:sz w:val="20"/>
          <w:szCs w:val="20"/>
        </w:rPr>
        <w:t>прийнятий</w:t>
      </w:r>
      <w:r w:rsidRPr="000977F7">
        <w:rPr>
          <w:rFonts w:asciiTheme="majorHAnsi" w:hAnsiTheme="majorHAnsi"/>
          <w:spacing w:val="1"/>
          <w:sz w:val="20"/>
          <w:szCs w:val="20"/>
        </w:rPr>
        <w:t xml:space="preserve"> </w:t>
      </w:r>
      <w:r w:rsidRPr="000977F7">
        <w:rPr>
          <w:rFonts w:asciiTheme="majorHAnsi" w:hAnsiTheme="majorHAnsi"/>
          <w:sz w:val="20"/>
          <w:szCs w:val="20"/>
        </w:rPr>
        <w:t>органом,</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займається стандартизацією, і доведений до широкого</w:t>
      </w:r>
      <w:r w:rsidRPr="000977F7">
        <w:rPr>
          <w:rFonts w:asciiTheme="majorHAnsi" w:hAnsiTheme="majorHAnsi"/>
          <w:spacing w:val="-47"/>
          <w:sz w:val="20"/>
          <w:szCs w:val="20"/>
        </w:rPr>
        <w:t xml:space="preserve"> </w:t>
      </w:r>
      <w:r w:rsidRPr="000977F7">
        <w:rPr>
          <w:rFonts w:asciiTheme="majorHAnsi" w:hAnsiTheme="majorHAnsi"/>
          <w:sz w:val="20"/>
          <w:szCs w:val="20"/>
        </w:rPr>
        <w:t>кола споживачів з метою накопичення в процесі його</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 необхідного досвіду, на якому повинен</w:t>
      </w:r>
      <w:r w:rsidRPr="000977F7">
        <w:rPr>
          <w:rFonts w:asciiTheme="majorHAnsi" w:hAnsiTheme="majorHAnsi"/>
          <w:spacing w:val="1"/>
          <w:sz w:val="20"/>
          <w:szCs w:val="20"/>
        </w:rPr>
        <w:t xml:space="preserve"> </w:t>
      </w:r>
      <w:r w:rsidRPr="000977F7">
        <w:rPr>
          <w:rFonts w:asciiTheme="majorHAnsi" w:hAnsiTheme="majorHAnsi"/>
          <w:sz w:val="20"/>
          <w:szCs w:val="20"/>
        </w:rPr>
        <w:t>базуватися</w:t>
      </w:r>
      <w:r w:rsidRPr="000977F7">
        <w:rPr>
          <w:rFonts w:asciiTheme="majorHAnsi" w:hAnsiTheme="majorHAnsi"/>
          <w:spacing w:val="-2"/>
          <w:sz w:val="20"/>
          <w:szCs w:val="20"/>
        </w:rPr>
        <w:t xml:space="preserve"> </w:t>
      </w:r>
      <w:r w:rsidRPr="000977F7">
        <w:rPr>
          <w:rFonts w:asciiTheme="majorHAnsi" w:hAnsiTheme="majorHAnsi"/>
          <w:sz w:val="20"/>
          <w:szCs w:val="20"/>
        </w:rPr>
        <w:t>стандарт</w:t>
      </w:r>
    </w:p>
    <w:p w14:paraId="6C6D31D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ПОПЕРЕЧНА</w:t>
      </w:r>
      <w:r w:rsidRPr="000977F7">
        <w:rPr>
          <w:color w:val="auto"/>
          <w:spacing w:val="-4"/>
          <w:sz w:val="20"/>
          <w:szCs w:val="20"/>
        </w:rPr>
        <w:t xml:space="preserve"> </w:t>
      </w:r>
      <w:r w:rsidRPr="000977F7">
        <w:rPr>
          <w:color w:val="auto"/>
          <w:sz w:val="20"/>
          <w:szCs w:val="20"/>
        </w:rPr>
        <w:t>СИЛА</w:t>
      </w:r>
      <w:r w:rsidRPr="000977F7">
        <w:rPr>
          <w:color w:val="auto"/>
          <w:spacing w:val="-1"/>
          <w:sz w:val="20"/>
          <w:szCs w:val="20"/>
        </w:rPr>
        <w:t xml:space="preserve"> </w:t>
      </w:r>
      <w:r w:rsidRPr="000977F7">
        <w:rPr>
          <w:color w:val="auto"/>
          <w:sz w:val="20"/>
          <w:szCs w:val="20"/>
        </w:rPr>
        <w:t>–</w:t>
      </w:r>
    </w:p>
    <w:p w14:paraId="341DDA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TRANSVERSAL</w:t>
      </w:r>
      <w:r w:rsidRPr="000977F7">
        <w:rPr>
          <w:rFonts w:asciiTheme="majorHAnsi" w:hAnsiTheme="majorHAnsi"/>
          <w:spacing w:val="-2"/>
          <w:sz w:val="20"/>
          <w:szCs w:val="20"/>
        </w:rPr>
        <w:t xml:space="preserve"> </w:t>
      </w:r>
      <w:r w:rsidRPr="000977F7">
        <w:rPr>
          <w:rFonts w:asciiTheme="majorHAnsi" w:hAnsiTheme="majorHAnsi"/>
          <w:sz w:val="20"/>
          <w:szCs w:val="20"/>
        </w:rPr>
        <w:t>FORCE –</w:t>
      </w:r>
    </w:p>
    <w:p w14:paraId="7846C3E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Дотична складова рівнодійної внутрішніх сил у перерізі</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4DD7A9C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598036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ПОПИТ</w:t>
      </w:r>
      <w:r w:rsidRPr="000977F7">
        <w:rPr>
          <w:color w:val="auto"/>
          <w:spacing w:val="-2"/>
          <w:sz w:val="20"/>
          <w:szCs w:val="20"/>
        </w:rPr>
        <w:t xml:space="preserve"> </w:t>
      </w:r>
      <w:r w:rsidRPr="000977F7">
        <w:rPr>
          <w:color w:val="auto"/>
          <w:sz w:val="20"/>
          <w:szCs w:val="20"/>
        </w:rPr>
        <w:t>–</w:t>
      </w:r>
    </w:p>
    <w:p w14:paraId="13C6E89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4"/>
          <w:sz w:val="20"/>
          <w:szCs w:val="20"/>
        </w:rPr>
        <w:t xml:space="preserve"> </w:t>
      </w:r>
      <w:r w:rsidRPr="000977F7">
        <w:rPr>
          <w:rFonts w:asciiTheme="majorHAnsi" w:hAnsiTheme="majorHAnsi"/>
          <w:sz w:val="20"/>
          <w:szCs w:val="20"/>
        </w:rPr>
        <w:t>вимог</w:t>
      </w:r>
      <w:r w:rsidRPr="000977F7">
        <w:rPr>
          <w:rFonts w:asciiTheme="majorHAnsi" w:hAnsiTheme="majorHAnsi"/>
          <w:spacing w:val="-3"/>
          <w:sz w:val="20"/>
          <w:szCs w:val="20"/>
        </w:rPr>
        <w:t xml:space="preserve"> </w:t>
      </w:r>
      <w:r w:rsidRPr="000977F7">
        <w:rPr>
          <w:rFonts w:asciiTheme="majorHAnsi" w:hAnsiTheme="majorHAnsi"/>
          <w:sz w:val="20"/>
          <w:szCs w:val="20"/>
        </w:rPr>
        <w:t>на</w:t>
      </w:r>
      <w:r w:rsidRPr="000977F7">
        <w:rPr>
          <w:rFonts w:asciiTheme="majorHAnsi" w:hAnsiTheme="majorHAnsi"/>
          <w:spacing w:val="-4"/>
          <w:sz w:val="20"/>
          <w:szCs w:val="20"/>
        </w:rPr>
        <w:t xml:space="preserve"> </w:t>
      </w:r>
      <w:r w:rsidRPr="000977F7">
        <w:rPr>
          <w:rFonts w:asciiTheme="majorHAnsi" w:hAnsiTheme="majorHAnsi"/>
          <w:sz w:val="20"/>
          <w:szCs w:val="20"/>
        </w:rPr>
        <w:t>продукцію</w:t>
      </w:r>
      <w:r w:rsidRPr="000977F7">
        <w:rPr>
          <w:rFonts w:asciiTheme="majorHAnsi" w:hAnsiTheme="majorHAnsi"/>
          <w:spacing w:val="-3"/>
          <w:sz w:val="20"/>
          <w:szCs w:val="20"/>
        </w:rPr>
        <w:t xml:space="preserve"> </w:t>
      </w:r>
      <w:r w:rsidRPr="000977F7">
        <w:rPr>
          <w:rFonts w:asciiTheme="majorHAnsi" w:hAnsiTheme="majorHAnsi"/>
          <w:sz w:val="20"/>
          <w:szCs w:val="20"/>
        </w:rPr>
        <w:t>з</w:t>
      </w:r>
      <w:r w:rsidRPr="000977F7">
        <w:rPr>
          <w:rFonts w:asciiTheme="majorHAnsi" w:hAnsiTheme="majorHAnsi"/>
          <w:spacing w:val="-2"/>
          <w:sz w:val="20"/>
          <w:szCs w:val="20"/>
        </w:rPr>
        <w:t xml:space="preserve"> </w:t>
      </w:r>
      <w:r w:rsidRPr="000977F7">
        <w:rPr>
          <w:rFonts w:asciiTheme="majorHAnsi" w:hAnsiTheme="majorHAnsi"/>
          <w:sz w:val="20"/>
          <w:szCs w:val="20"/>
        </w:rPr>
        <w:t>боку</w:t>
      </w:r>
      <w:r w:rsidRPr="000977F7">
        <w:rPr>
          <w:rFonts w:asciiTheme="majorHAnsi" w:hAnsiTheme="majorHAnsi"/>
          <w:spacing w:val="-3"/>
          <w:sz w:val="20"/>
          <w:szCs w:val="20"/>
        </w:rPr>
        <w:t xml:space="preserve"> </w:t>
      </w:r>
      <w:r w:rsidRPr="000977F7">
        <w:rPr>
          <w:rFonts w:asciiTheme="majorHAnsi" w:hAnsiTheme="majorHAnsi"/>
          <w:sz w:val="20"/>
          <w:szCs w:val="20"/>
        </w:rPr>
        <w:t>покупця</w:t>
      </w:r>
    </w:p>
    <w:p w14:paraId="50D6042E"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3294 – 95</w:t>
      </w:r>
    </w:p>
    <w:p w14:paraId="3D6B474E"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ПОПРАВКА –</w:t>
      </w:r>
    </w:p>
    <w:p w14:paraId="579B591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pacing w:val="-1"/>
          <w:sz w:val="20"/>
          <w:szCs w:val="20"/>
        </w:rPr>
        <w:t>CORRECTION</w:t>
      </w:r>
      <w:r w:rsidRPr="000977F7">
        <w:rPr>
          <w:rFonts w:asciiTheme="majorHAnsi" w:hAnsiTheme="majorHAnsi"/>
          <w:spacing w:val="-7"/>
          <w:sz w:val="20"/>
          <w:szCs w:val="20"/>
        </w:rPr>
        <w:t xml:space="preserve"> </w:t>
      </w:r>
      <w:r w:rsidRPr="000977F7">
        <w:rPr>
          <w:rFonts w:asciiTheme="majorHAnsi" w:hAnsiTheme="majorHAnsi"/>
          <w:sz w:val="20"/>
          <w:szCs w:val="20"/>
        </w:rPr>
        <w:t>–</w:t>
      </w:r>
    </w:p>
    <w:p w14:paraId="7DB4EA4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Виправлення, зроблене в опублікованому тексті нормативного документа з метою усунення друкарських,</w:t>
      </w:r>
      <w:r w:rsidRPr="000977F7">
        <w:rPr>
          <w:rFonts w:asciiTheme="majorHAnsi" w:hAnsiTheme="majorHAnsi"/>
          <w:spacing w:val="1"/>
          <w:sz w:val="20"/>
          <w:szCs w:val="20"/>
        </w:rPr>
        <w:t xml:space="preserve"> </w:t>
      </w:r>
      <w:r w:rsidRPr="000977F7">
        <w:rPr>
          <w:rFonts w:asciiTheme="majorHAnsi" w:hAnsiTheme="majorHAnsi"/>
          <w:sz w:val="20"/>
          <w:szCs w:val="20"/>
        </w:rPr>
        <w:t>лінгвістичних</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інших подібних помилок</w:t>
      </w:r>
    </w:p>
    <w:p w14:paraId="208D288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 Поправки можуть бути подані відповідно через опублікування окремого листа</w:t>
      </w:r>
      <w:r w:rsidRPr="000977F7">
        <w:rPr>
          <w:rFonts w:asciiTheme="majorHAnsi" w:hAnsiTheme="majorHAnsi"/>
          <w:spacing w:val="1"/>
          <w:sz w:val="20"/>
          <w:szCs w:val="20"/>
        </w:rPr>
        <w:t xml:space="preserve"> </w:t>
      </w:r>
      <w:r w:rsidRPr="000977F7">
        <w:rPr>
          <w:rFonts w:asciiTheme="majorHAnsi" w:hAnsiTheme="majorHAnsi"/>
          <w:sz w:val="20"/>
          <w:szCs w:val="20"/>
        </w:rPr>
        <w:t>поправок нового видання</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нормативного документа</w:t>
      </w:r>
    </w:p>
    <w:p w14:paraId="6258581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723892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 величини, що алгебраїчно додається до результату</w:t>
      </w:r>
      <w:r w:rsidRPr="000977F7">
        <w:rPr>
          <w:rFonts w:asciiTheme="majorHAnsi" w:hAnsiTheme="majorHAnsi"/>
          <w:spacing w:val="1"/>
          <w:sz w:val="20"/>
          <w:szCs w:val="20"/>
        </w:rPr>
        <w:t xml:space="preserve"> </w:t>
      </w:r>
      <w:r w:rsidRPr="000977F7">
        <w:rPr>
          <w:rFonts w:asciiTheme="majorHAnsi" w:hAnsiTheme="majorHAnsi"/>
          <w:sz w:val="20"/>
          <w:szCs w:val="20"/>
        </w:rPr>
        <w:t>вимірювання</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метою</w:t>
      </w:r>
      <w:r w:rsidRPr="000977F7">
        <w:rPr>
          <w:rFonts w:asciiTheme="majorHAnsi" w:hAnsiTheme="majorHAnsi"/>
          <w:spacing w:val="1"/>
          <w:sz w:val="20"/>
          <w:szCs w:val="20"/>
        </w:rPr>
        <w:t xml:space="preserve"> </w:t>
      </w:r>
      <w:r w:rsidRPr="000977F7">
        <w:rPr>
          <w:rFonts w:asciiTheme="majorHAnsi" w:hAnsiTheme="majorHAnsi"/>
          <w:sz w:val="20"/>
          <w:szCs w:val="20"/>
        </w:rPr>
        <w:t>вилучення</w:t>
      </w:r>
      <w:r w:rsidRPr="000977F7">
        <w:rPr>
          <w:rFonts w:asciiTheme="majorHAnsi" w:hAnsiTheme="majorHAnsi"/>
          <w:spacing w:val="1"/>
          <w:sz w:val="20"/>
          <w:szCs w:val="20"/>
        </w:rPr>
        <w:t xml:space="preserve"> </w:t>
      </w:r>
      <w:r w:rsidRPr="000977F7">
        <w:rPr>
          <w:rFonts w:asciiTheme="majorHAnsi" w:hAnsiTheme="majorHAnsi"/>
          <w:sz w:val="20"/>
          <w:szCs w:val="20"/>
        </w:rPr>
        <w:t>систематичної</w:t>
      </w:r>
      <w:r w:rsidRPr="000977F7">
        <w:rPr>
          <w:rFonts w:asciiTheme="majorHAnsi" w:hAnsiTheme="majorHAnsi"/>
          <w:spacing w:val="1"/>
          <w:sz w:val="20"/>
          <w:szCs w:val="20"/>
        </w:rPr>
        <w:t xml:space="preserve"> </w:t>
      </w:r>
      <w:r w:rsidRPr="000977F7">
        <w:rPr>
          <w:rFonts w:asciiTheme="majorHAnsi" w:hAnsiTheme="majorHAnsi"/>
          <w:sz w:val="20"/>
          <w:szCs w:val="20"/>
        </w:rPr>
        <w:t>похибки</w:t>
      </w:r>
    </w:p>
    <w:p w14:paraId="7F58DCB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50"/>
          <w:sz w:val="20"/>
          <w:szCs w:val="20"/>
        </w:rPr>
        <w:t xml:space="preserve"> </w:t>
      </w:r>
      <w:r w:rsidRPr="000977F7">
        <w:rPr>
          <w:rFonts w:asciiTheme="majorHAnsi" w:hAnsiTheme="majorHAnsi"/>
          <w:i/>
          <w:sz w:val="20"/>
          <w:szCs w:val="20"/>
        </w:rPr>
        <w:t>94</w:t>
      </w:r>
    </w:p>
    <w:p w14:paraId="0F1741F4"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ПОПРАВЛЕНИЙ РЕЗУЛЬТАТ –</w:t>
      </w:r>
    </w:p>
    <w:p w14:paraId="0A49E46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8"/>
          <w:sz w:val="20"/>
          <w:szCs w:val="20"/>
        </w:rPr>
        <w:t xml:space="preserve"> </w:t>
      </w:r>
      <w:r w:rsidRPr="000977F7">
        <w:rPr>
          <w:rFonts w:asciiTheme="majorHAnsi" w:hAnsiTheme="majorHAnsi"/>
          <w:sz w:val="20"/>
          <w:szCs w:val="20"/>
        </w:rPr>
        <w:t>CORRECTED</w:t>
      </w:r>
      <w:r w:rsidRPr="000977F7">
        <w:rPr>
          <w:rFonts w:asciiTheme="majorHAnsi" w:hAnsiTheme="majorHAnsi"/>
          <w:spacing w:val="-1"/>
          <w:sz w:val="20"/>
          <w:szCs w:val="20"/>
        </w:rPr>
        <w:t xml:space="preserve"> </w:t>
      </w:r>
      <w:r w:rsidRPr="000977F7">
        <w:rPr>
          <w:rFonts w:asciiTheme="majorHAnsi" w:hAnsiTheme="majorHAnsi"/>
          <w:sz w:val="20"/>
          <w:szCs w:val="20"/>
        </w:rPr>
        <w:t>RESULT</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4FCC87E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Результат</w:t>
      </w:r>
      <w:r w:rsidRPr="000977F7">
        <w:rPr>
          <w:rFonts w:asciiTheme="majorHAnsi" w:hAnsiTheme="majorHAnsi"/>
          <w:spacing w:val="1"/>
          <w:sz w:val="20"/>
          <w:szCs w:val="20"/>
        </w:rPr>
        <w:t xml:space="preserve"> </w:t>
      </w:r>
      <w:r w:rsidRPr="000977F7">
        <w:rPr>
          <w:rFonts w:asciiTheme="majorHAnsi" w:hAnsiTheme="majorHAnsi"/>
          <w:sz w:val="20"/>
          <w:szCs w:val="20"/>
        </w:rPr>
        <w:t>вимірювання,</w:t>
      </w:r>
      <w:r w:rsidRPr="000977F7">
        <w:rPr>
          <w:rFonts w:asciiTheme="majorHAnsi" w:hAnsiTheme="majorHAnsi"/>
          <w:spacing w:val="1"/>
          <w:sz w:val="20"/>
          <w:szCs w:val="20"/>
        </w:rPr>
        <w:t xml:space="preserve"> </w:t>
      </w:r>
      <w:r w:rsidRPr="000977F7">
        <w:rPr>
          <w:rFonts w:asciiTheme="majorHAnsi" w:hAnsiTheme="majorHAnsi"/>
          <w:sz w:val="20"/>
          <w:szCs w:val="20"/>
        </w:rPr>
        <w:t>отриманий</w:t>
      </w:r>
      <w:r w:rsidRPr="000977F7">
        <w:rPr>
          <w:rFonts w:asciiTheme="majorHAnsi" w:hAnsiTheme="majorHAnsi"/>
          <w:spacing w:val="1"/>
          <w:sz w:val="20"/>
          <w:szCs w:val="20"/>
        </w:rPr>
        <w:t xml:space="preserve"> </w:t>
      </w:r>
      <w:r w:rsidRPr="000977F7">
        <w:rPr>
          <w:rFonts w:asciiTheme="majorHAnsi" w:hAnsiTheme="majorHAnsi"/>
          <w:sz w:val="20"/>
          <w:szCs w:val="20"/>
        </w:rPr>
        <w:t>після</w:t>
      </w:r>
      <w:r w:rsidRPr="000977F7">
        <w:rPr>
          <w:rFonts w:asciiTheme="majorHAnsi" w:hAnsiTheme="majorHAnsi"/>
          <w:spacing w:val="1"/>
          <w:sz w:val="20"/>
          <w:szCs w:val="20"/>
        </w:rPr>
        <w:t xml:space="preserve"> </w:t>
      </w:r>
      <w:r w:rsidRPr="000977F7">
        <w:rPr>
          <w:rFonts w:asciiTheme="majorHAnsi" w:hAnsiTheme="majorHAnsi"/>
          <w:sz w:val="20"/>
          <w:szCs w:val="20"/>
        </w:rPr>
        <w:t>введення</w:t>
      </w:r>
      <w:r w:rsidRPr="000977F7">
        <w:rPr>
          <w:rFonts w:asciiTheme="majorHAnsi" w:hAnsiTheme="majorHAnsi"/>
          <w:spacing w:val="-47"/>
          <w:sz w:val="20"/>
          <w:szCs w:val="20"/>
        </w:rPr>
        <w:t xml:space="preserve"> </w:t>
      </w:r>
      <w:r w:rsidRPr="000977F7">
        <w:rPr>
          <w:rFonts w:asciiTheme="majorHAnsi" w:hAnsiTheme="majorHAnsi"/>
          <w:sz w:val="20"/>
          <w:szCs w:val="20"/>
        </w:rPr>
        <w:t>поправки і (чи) врахування коригувального коефіцієнта</w:t>
      </w:r>
    </w:p>
    <w:p w14:paraId="7485A69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2681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655DA1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ПОПРАВНИЙ</w:t>
      </w:r>
      <w:r w:rsidRPr="000977F7">
        <w:rPr>
          <w:color w:val="auto"/>
          <w:spacing w:val="44"/>
          <w:sz w:val="20"/>
          <w:szCs w:val="20"/>
        </w:rPr>
        <w:t xml:space="preserve"> </w:t>
      </w:r>
      <w:r w:rsidRPr="000977F7">
        <w:rPr>
          <w:color w:val="auto"/>
          <w:sz w:val="20"/>
          <w:szCs w:val="20"/>
        </w:rPr>
        <w:t>БРАК</w:t>
      </w:r>
      <w:r w:rsidRPr="000977F7">
        <w:rPr>
          <w:color w:val="auto"/>
          <w:spacing w:val="1"/>
          <w:sz w:val="20"/>
          <w:szCs w:val="20"/>
        </w:rPr>
        <w:t xml:space="preserve"> </w:t>
      </w:r>
      <w:r w:rsidRPr="000977F7">
        <w:rPr>
          <w:color w:val="auto"/>
          <w:sz w:val="20"/>
          <w:szCs w:val="20"/>
        </w:rPr>
        <w:t>–</w:t>
      </w:r>
    </w:p>
    <w:p w14:paraId="669D2E6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Брак,</w:t>
      </w:r>
      <w:r w:rsidRPr="000977F7">
        <w:rPr>
          <w:rFonts w:asciiTheme="majorHAnsi" w:hAnsiTheme="majorHAnsi"/>
          <w:spacing w:val="5"/>
          <w:sz w:val="20"/>
          <w:szCs w:val="20"/>
        </w:rPr>
        <w:t xml:space="preserve"> </w:t>
      </w:r>
      <w:r w:rsidRPr="000977F7">
        <w:rPr>
          <w:rFonts w:asciiTheme="majorHAnsi" w:hAnsiTheme="majorHAnsi"/>
          <w:sz w:val="20"/>
          <w:szCs w:val="20"/>
        </w:rPr>
        <w:t>всі</w:t>
      </w:r>
      <w:r w:rsidRPr="000977F7">
        <w:rPr>
          <w:rFonts w:asciiTheme="majorHAnsi" w:hAnsiTheme="majorHAnsi"/>
          <w:spacing w:val="5"/>
          <w:sz w:val="20"/>
          <w:szCs w:val="20"/>
        </w:rPr>
        <w:t xml:space="preserve"> </w:t>
      </w:r>
      <w:r w:rsidRPr="000977F7">
        <w:rPr>
          <w:rFonts w:asciiTheme="majorHAnsi" w:hAnsiTheme="majorHAnsi"/>
          <w:sz w:val="20"/>
          <w:szCs w:val="20"/>
        </w:rPr>
        <w:t>дефекти</w:t>
      </w:r>
      <w:r w:rsidRPr="000977F7">
        <w:rPr>
          <w:rFonts w:asciiTheme="majorHAnsi" w:hAnsiTheme="majorHAnsi"/>
          <w:spacing w:val="5"/>
          <w:sz w:val="20"/>
          <w:szCs w:val="20"/>
        </w:rPr>
        <w:t xml:space="preserve"> </w:t>
      </w:r>
      <w:r w:rsidRPr="000977F7">
        <w:rPr>
          <w:rFonts w:asciiTheme="majorHAnsi" w:hAnsiTheme="majorHAnsi"/>
          <w:sz w:val="20"/>
          <w:szCs w:val="20"/>
        </w:rPr>
        <w:t>в</w:t>
      </w:r>
      <w:r w:rsidRPr="000977F7">
        <w:rPr>
          <w:rFonts w:asciiTheme="majorHAnsi" w:hAnsiTheme="majorHAnsi"/>
          <w:spacing w:val="4"/>
          <w:sz w:val="20"/>
          <w:szCs w:val="20"/>
        </w:rPr>
        <w:t xml:space="preserve"> </w:t>
      </w:r>
      <w:r w:rsidRPr="000977F7">
        <w:rPr>
          <w:rFonts w:asciiTheme="majorHAnsi" w:hAnsiTheme="majorHAnsi"/>
          <w:sz w:val="20"/>
          <w:szCs w:val="20"/>
        </w:rPr>
        <w:t>якому,</w:t>
      </w:r>
      <w:r w:rsidRPr="000977F7">
        <w:rPr>
          <w:rFonts w:asciiTheme="majorHAnsi" w:hAnsiTheme="majorHAnsi"/>
          <w:spacing w:val="6"/>
          <w:sz w:val="20"/>
          <w:szCs w:val="20"/>
        </w:rPr>
        <w:t xml:space="preserve"> </w:t>
      </w:r>
      <w:r w:rsidRPr="000977F7">
        <w:rPr>
          <w:rFonts w:asciiTheme="majorHAnsi" w:hAnsiTheme="majorHAnsi"/>
          <w:sz w:val="20"/>
          <w:szCs w:val="20"/>
        </w:rPr>
        <w:t>на</w:t>
      </w:r>
      <w:r w:rsidRPr="000977F7">
        <w:rPr>
          <w:rFonts w:asciiTheme="majorHAnsi" w:hAnsiTheme="majorHAnsi"/>
          <w:spacing w:val="5"/>
          <w:sz w:val="20"/>
          <w:szCs w:val="20"/>
        </w:rPr>
        <w:t xml:space="preserve"> </w:t>
      </w:r>
      <w:r w:rsidRPr="000977F7">
        <w:rPr>
          <w:rFonts w:asciiTheme="majorHAnsi" w:hAnsiTheme="majorHAnsi"/>
          <w:sz w:val="20"/>
          <w:szCs w:val="20"/>
        </w:rPr>
        <w:t>підставі</w:t>
      </w:r>
      <w:r w:rsidRPr="000977F7">
        <w:rPr>
          <w:rFonts w:asciiTheme="majorHAnsi" w:hAnsiTheme="majorHAnsi"/>
          <w:spacing w:val="5"/>
          <w:sz w:val="20"/>
          <w:szCs w:val="20"/>
        </w:rPr>
        <w:t xml:space="preserve"> </w:t>
      </w:r>
      <w:r w:rsidRPr="000977F7">
        <w:rPr>
          <w:rFonts w:asciiTheme="majorHAnsi" w:hAnsiTheme="majorHAnsi"/>
          <w:sz w:val="20"/>
          <w:szCs w:val="20"/>
        </w:rPr>
        <w:t>яких</w:t>
      </w:r>
      <w:r w:rsidRPr="000977F7">
        <w:rPr>
          <w:rFonts w:asciiTheme="majorHAnsi" w:hAnsiTheme="majorHAnsi"/>
          <w:spacing w:val="4"/>
          <w:sz w:val="20"/>
          <w:szCs w:val="20"/>
        </w:rPr>
        <w:t xml:space="preserve"> </w:t>
      </w:r>
      <w:r w:rsidRPr="000977F7">
        <w:rPr>
          <w:rFonts w:asciiTheme="majorHAnsi" w:hAnsiTheme="majorHAnsi"/>
          <w:sz w:val="20"/>
          <w:szCs w:val="20"/>
        </w:rPr>
        <w:t>забракова</w:t>
      </w:r>
      <w:r w:rsidRPr="000977F7">
        <w:rPr>
          <w:rFonts w:asciiTheme="majorHAnsi" w:hAnsiTheme="majorHAnsi"/>
          <w:spacing w:val="-47"/>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продукція, можуть бути усунені</w:t>
      </w:r>
    </w:p>
    <w:p w14:paraId="370AE5A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ПОРІВНЮВАЛЬНІ</w:t>
      </w:r>
      <w:r w:rsidRPr="000977F7">
        <w:rPr>
          <w:rFonts w:asciiTheme="majorHAnsi" w:hAnsiTheme="majorHAnsi"/>
          <w:b/>
          <w:spacing w:val="47"/>
          <w:sz w:val="20"/>
          <w:szCs w:val="20"/>
        </w:rPr>
        <w:t xml:space="preserve"> </w:t>
      </w:r>
      <w:r w:rsidRPr="000977F7">
        <w:rPr>
          <w:rFonts w:asciiTheme="majorHAnsi" w:hAnsiTheme="majorHAnsi"/>
          <w:b/>
          <w:sz w:val="20"/>
          <w:szCs w:val="20"/>
        </w:rPr>
        <w:t>ВИПРОБУВАННЯ</w:t>
      </w:r>
      <w:r w:rsidRPr="000977F7">
        <w:rPr>
          <w:rFonts w:asciiTheme="majorHAnsi" w:hAnsiTheme="majorHAnsi"/>
          <w:b/>
          <w:spacing w:val="3"/>
          <w:sz w:val="20"/>
          <w:szCs w:val="20"/>
        </w:rPr>
        <w:t xml:space="preserve"> </w:t>
      </w:r>
      <w:r w:rsidRPr="000977F7">
        <w:rPr>
          <w:rFonts w:asciiTheme="majorHAnsi" w:hAnsiTheme="majorHAnsi"/>
          <w:b/>
          <w:sz w:val="20"/>
          <w:szCs w:val="20"/>
        </w:rPr>
        <w:t>–</w:t>
      </w:r>
      <w:r w:rsidRPr="000977F7">
        <w:rPr>
          <w:rFonts w:asciiTheme="majorHAnsi" w:hAnsiTheme="majorHAnsi"/>
          <w:sz w:val="20"/>
          <w:szCs w:val="20"/>
        </w:rPr>
        <w:t>COMPARATIVE</w:t>
      </w:r>
      <w:r w:rsidRPr="000977F7">
        <w:rPr>
          <w:rFonts w:asciiTheme="majorHAnsi" w:hAnsiTheme="majorHAnsi"/>
          <w:spacing w:val="2"/>
          <w:sz w:val="20"/>
          <w:szCs w:val="20"/>
        </w:rPr>
        <w:t xml:space="preserve"> </w:t>
      </w:r>
      <w:r w:rsidRPr="000977F7">
        <w:rPr>
          <w:rFonts w:asciiTheme="majorHAnsi" w:hAnsiTheme="majorHAnsi"/>
          <w:sz w:val="20"/>
          <w:szCs w:val="20"/>
        </w:rPr>
        <w:t>TEST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8196AF9"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Випробування аналогічних за характеристиками або</w:t>
      </w:r>
      <w:r w:rsidRPr="000977F7">
        <w:rPr>
          <w:rFonts w:asciiTheme="majorHAnsi" w:hAnsiTheme="majorHAnsi"/>
          <w:spacing w:val="1"/>
          <w:sz w:val="20"/>
          <w:szCs w:val="20"/>
        </w:rPr>
        <w:t xml:space="preserve"> </w:t>
      </w:r>
      <w:r w:rsidRPr="000977F7">
        <w:rPr>
          <w:rFonts w:asciiTheme="majorHAnsi" w:hAnsiTheme="majorHAnsi"/>
          <w:sz w:val="20"/>
          <w:szCs w:val="20"/>
        </w:rPr>
        <w:t>однакових</w:t>
      </w:r>
      <w:r w:rsidRPr="000977F7">
        <w:rPr>
          <w:rFonts w:asciiTheme="majorHAnsi" w:hAnsiTheme="majorHAnsi"/>
          <w:spacing w:val="1"/>
          <w:sz w:val="20"/>
          <w:szCs w:val="20"/>
        </w:rPr>
        <w:t xml:space="preserve"> </w:t>
      </w:r>
      <w:r w:rsidRPr="000977F7">
        <w:rPr>
          <w:rFonts w:asciiTheme="majorHAnsi" w:hAnsiTheme="majorHAnsi"/>
          <w:sz w:val="20"/>
          <w:szCs w:val="20"/>
        </w:rPr>
        <w:t>об’єктів,</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проводяться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ідентичних</w:t>
      </w:r>
      <w:r w:rsidRPr="000977F7">
        <w:rPr>
          <w:rFonts w:asciiTheme="majorHAnsi" w:hAnsiTheme="majorHAnsi"/>
          <w:spacing w:val="1"/>
          <w:sz w:val="20"/>
          <w:szCs w:val="20"/>
        </w:rPr>
        <w:t xml:space="preserve"> </w:t>
      </w:r>
      <w:r w:rsidRPr="000977F7">
        <w:rPr>
          <w:rFonts w:asciiTheme="majorHAnsi" w:hAnsiTheme="majorHAnsi"/>
          <w:sz w:val="20"/>
          <w:szCs w:val="20"/>
        </w:rPr>
        <w:t>умовах для порівняння характеристик їх властивостей</w:t>
      </w:r>
      <w:r w:rsidRPr="000977F7">
        <w:rPr>
          <w:rFonts w:asciiTheme="majorHAnsi" w:hAnsiTheme="majorHAnsi"/>
          <w:spacing w:val="-47"/>
          <w:sz w:val="20"/>
          <w:szCs w:val="20"/>
        </w:rPr>
        <w:t xml:space="preserve"> </w:t>
      </w:r>
    </w:p>
    <w:p w14:paraId="42299F7C"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1D82765" w14:textId="77777777" w:rsidR="0097612F" w:rsidRPr="000977F7" w:rsidRDefault="0097612F" w:rsidP="000977F7">
      <w:pPr>
        <w:pStyle w:val="af6"/>
        <w:tabs>
          <w:tab w:val="left" w:pos="284"/>
        </w:tabs>
        <w:spacing w:after="0"/>
        <w:ind w:left="170"/>
        <w:mirrorIndents/>
        <w:jc w:val="both"/>
        <w:rPr>
          <w:rFonts w:asciiTheme="majorHAnsi" w:hAnsiTheme="majorHAnsi"/>
          <w:b/>
          <w:bCs/>
          <w:iCs/>
          <w:sz w:val="20"/>
          <w:szCs w:val="20"/>
        </w:rPr>
      </w:pPr>
      <w:r w:rsidRPr="000977F7">
        <w:rPr>
          <w:rFonts w:asciiTheme="majorHAnsi" w:hAnsiTheme="majorHAnsi"/>
          <w:b/>
          <w:bCs/>
          <w:iCs/>
          <w:sz w:val="20"/>
          <w:szCs w:val="20"/>
        </w:rPr>
        <w:t>ПОРІВНЮВАНІ ДАНІ ЩОДО ЕМІСІЇ -</w:t>
      </w:r>
    </w:p>
    <w:p w14:paraId="6C6C353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COMPARATIV EMISSION DATA –</w:t>
      </w:r>
    </w:p>
    <w:p w14:paraId="0E4366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Сукупність даних щодо емісії для схожих машин, зібрана для порівняння. </w:t>
      </w:r>
    </w:p>
    <w:p w14:paraId="4ABCB0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Примітка. Щодо порівняння шуму див. ISО 11689. </w:t>
      </w:r>
    </w:p>
    <w:p w14:paraId="43D4763C"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48C8AB2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ПОРІВНЯННІ</w:t>
      </w:r>
      <w:r w:rsidRPr="000977F7">
        <w:rPr>
          <w:color w:val="auto"/>
          <w:spacing w:val="40"/>
          <w:sz w:val="20"/>
          <w:szCs w:val="20"/>
        </w:rPr>
        <w:t xml:space="preserve"> </w:t>
      </w:r>
      <w:r w:rsidRPr="000977F7">
        <w:rPr>
          <w:color w:val="auto"/>
          <w:sz w:val="20"/>
          <w:szCs w:val="20"/>
        </w:rPr>
        <w:t>СТАНДАРТИ</w:t>
      </w:r>
      <w:r w:rsidRPr="000977F7">
        <w:rPr>
          <w:color w:val="auto"/>
          <w:spacing w:val="-1"/>
          <w:sz w:val="20"/>
          <w:szCs w:val="20"/>
        </w:rPr>
        <w:t xml:space="preserve"> </w:t>
      </w:r>
      <w:r w:rsidRPr="000977F7">
        <w:rPr>
          <w:color w:val="auto"/>
          <w:sz w:val="20"/>
          <w:szCs w:val="20"/>
        </w:rPr>
        <w:t>–</w:t>
      </w:r>
    </w:p>
    <w:p w14:paraId="555A91F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COMPARABLE</w:t>
      </w:r>
      <w:r w:rsidRPr="004D2D14">
        <w:rPr>
          <w:rFonts w:asciiTheme="majorHAnsi" w:hAnsiTheme="majorHAnsi"/>
          <w:spacing w:val="43"/>
          <w:sz w:val="20"/>
          <w:szCs w:val="20"/>
          <w:lang w:val="uk-UA"/>
        </w:rPr>
        <w:t xml:space="preserve"> </w:t>
      </w:r>
      <w:r w:rsidRPr="000977F7">
        <w:rPr>
          <w:rFonts w:asciiTheme="majorHAnsi" w:hAnsiTheme="majorHAnsi"/>
          <w:sz w:val="20"/>
          <w:szCs w:val="20"/>
        </w:rPr>
        <w:t>STANDARDS</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0E9F982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Стандарти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однакові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процеси чи послуги,</w:t>
      </w:r>
      <w:r w:rsidRPr="004D2D14">
        <w:rPr>
          <w:rFonts w:asciiTheme="majorHAnsi" w:hAnsiTheme="majorHAnsi"/>
          <w:spacing w:val="28"/>
          <w:sz w:val="20"/>
          <w:szCs w:val="20"/>
          <w:lang w:val="uk-UA"/>
        </w:rPr>
        <w:t xml:space="preserve"> </w:t>
      </w:r>
      <w:r w:rsidRPr="004D2D14">
        <w:rPr>
          <w:rFonts w:asciiTheme="majorHAnsi" w:hAnsiTheme="majorHAnsi"/>
          <w:sz w:val="20"/>
          <w:szCs w:val="20"/>
          <w:lang w:val="uk-UA"/>
        </w:rPr>
        <w:t>затверджені</w:t>
      </w:r>
      <w:r w:rsidRPr="004D2D14">
        <w:rPr>
          <w:rFonts w:asciiTheme="majorHAnsi" w:hAnsiTheme="majorHAnsi"/>
          <w:spacing w:val="28"/>
          <w:sz w:val="20"/>
          <w:szCs w:val="20"/>
          <w:lang w:val="uk-UA"/>
        </w:rPr>
        <w:t xml:space="preserve"> </w:t>
      </w:r>
      <w:r w:rsidRPr="004D2D14">
        <w:rPr>
          <w:rFonts w:asciiTheme="majorHAnsi" w:hAnsiTheme="majorHAnsi"/>
          <w:sz w:val="20"/>
          <w:szCs w:val="20"/>
          <w:lang w:val="uk-UA"/>
        </w:rPr>
        <w:t>різними</w:t>
      </w:r>
      <w:r w:rsidRPr="004D2D14">
        <w:rPr>
          <w:rFonts w:asciiTheme="majorHAnsi" w:hAnsiTheme="majorHAnsi"/>
          <w:spacing w:val="30"/>
          <w:sz w:val="20"/>
          <w:szCs w:val="20"/>
          <w:lang w:val="uk-UA"/>
        </w:rPr>
        <w:t xml:space="preserve"> </w:t>
      </w:r>
      <w:r w:rsidRPr="004D2D14">
        <w:rPr>
          <w:rFonts w:asciiTheme="majorHAnsi" w:hAnsiTheme="majorHAnsi"/>
          <w:sz w:val="20"/>
          <w:szCs w:val="20"/>
          <w:lang w:val="uk-UA"/>
        </w:rPr>
        <w:t>органами</w:t>
      </w:r>
      <w:r w:rsidRPr="004D2D14">
        <w:rPr>
          <w:rFonts w:asciiTheme="majorHAnsi" w:hAnsiTheme="majorHAnsi"/>
          <w:spacing w:val="28"/>
          <w:sz w:val="20"/>
          <w:szCs w:val="20"/>
          <w:lang w:val="uk-UA"/>
        </w:rPr>
        <w:t xml:space="preserve"> </w:t>
      </w:r>
      <w:r w:rsidRPr="004D2D14">
        <w:rPr>
          <w:rFonts w:asciiTheme="majorHAnsi" w:hAnsiTheme="majorHAnsi"/>
          <w:sz w:val="20"/>
          <w:szCs w:val="20"/>
          <w:lang w:val="uk-UA"/>
        </w:rPr>
        <w:t>стандартизації</w:t>
      </w:r>
      <w:r w:rsidRPr="004D2D14">
        <w:rPr>
          <w:rFonts w:asciiTheme="majorHAnsi" w:hAnsiTheme="majorHAnsi"/>
          <w:spacing w:val="27"/>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 яких схожі вимоги ґрунтуються на однакових характеристиках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оцінюються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однаковими</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методами,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які</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дають</w:t>
      </w:r>
      <w:r w:rsidRPr="004D2D14">
        <w:rPr>
          <w:rFonts w:asciiTheme="majorHAnsi" w:hAnsiTheme="majorHAnsi"/>
          <w:spacing w:val="19"/>
          <w:sz w:val="20"/>
          <w:szCs w:val="20"/>
          <w:lang w:val="uk-UA"/>
        </w:rPr>
        <w:t xml:space="preserve"> </w:t>
      </w:r>
      <w:r w:rsidRPr="004D2D14">
        <w:rPr>
          <w:rFonts w:asciiTheme="majorHAnsi" w:hAnsiTheme="majorHAnsi"/>
          <w:sz w:val="20"/>
          <w:szCs w:val="20"/>
          <w:lang w:val="uk-UA"/>
        </w:rPr>
        <w:t>змогу</w:t>
      </w:r>
      <w:r w:rsidRPr="004D2D14">
        <w:rPr>
          <w:rFonts w:asciiTheme="majorHAnsi" w:hAnsiTheme="majorHAnsi"/>
          <w:spacing w:val="13"/>
          <w:sz w:val="20"/>
          <w:szCs w:val="20"/>
          <w:lang w:val="uk-UA"/>
        </w:rPr>
        <w:t xml:space="preserve"> </w:t>
      </w:r>
      <w:r w:rsidRPr="004D2D14">
        <w:rPr>
          <w:rFonts w:asciiTheme="majorHAnsi" w:hAnsiTheme="majorHAnsi"/>
          <w:sz w:val="20"/>
          <w:szCs w:val="20"/>
          <w:lang w:val="uk-UA"/>
        </w:rPr>
        <w:t>однозначно</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порівнювати</w:t>
      </w:r>
      <w:r w:rsidRPr="004D2D14">
        <w:rPr>
          <w:rFonts w:asciiTheme="majorHAnsi" w:hAnsiTheme="majorHAnsi"/>
          <w:spacing w:val="17"/>
          <w:sz w:val="20"/>
          <w:szCs w:val="20"/>
          <w:lang w:val="uk-UA"/>
        </w:rPr>
        <w:t xml:space="preserve"> </w:t>
      </w:r>
      <w:r w:rsidRPr="004D2D14">
        <w:rPr>
          <w:rFonts w:asciiTheme="majorHAnsi" w:hAnsiTheme="majorHAnsi"/>
          <w:sz w:val="20"/>
          <w:szCs w:val="20"/>
          <w:lang w:val="uk-UA"/>
        </w:rPr>
        <w:t>відмінності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вимогах</w:t>
      </w:r>
    </w:p>
    <w:p w14:paraId="1B9D436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B2F66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Порівнянні</w:t>
      </w:r>
      <w:r w:rsidRPr="000977F7">
        <w:rPr>
          <w:rFonts w:asciiTheme="majorHAnsi" w:hAnsiTheme="majorHAnsi"/>
          <w:spacing w:val="-6"/>
          <w:sz w:val="20"/>
          <w:szCs w:val="20"/>
        </w:rPr>
        <w:t xml:space="preserve"> </w:t>
      </w:r>
      <w:r w:rsidRPr="000977F7">
        <w:rPr>
          <w:rFonts w:asciiTheme="majorHAnsi" w:hAnsiTheme="majorHAnsi"/>
          <w:sz w:val="20"/>
          <w:szCs w:val="20"/>
        </w:rPr>
        <w:t>стандарти</w:t>
      </w:r>
      <w:r w:rsidRPr="000977F7">
        <w:rPr>
          <w:rFonts w:asciiTheme="majorHAnsi" w:hAnsiTheme="majorHAnsi"/>
          <w:spacing w:val="-4"/>
          <w:sz w:val="20"/>
          <w:szCs w:val="20"/>
        </w:rPr>
        <w:t xml:space="preserve"> </w:t>
      </w:r>
      <w:r w:rsidRPr="000977F7">
        <w:rPr>
          <w:rFonts w:asciiTheme="majorHAnsi" w:hAnsiTheme="majorHAnsi"/>
          <w:sz w:val="20"/>
          <w:szCs w:val="20"/>
        </w:rPr>
        <w:t>не</w:t>
      </w:r>
      <w:r w:rsidRPr="000977F7">
        <w:rPr>
          <w:rFonts w:asciiTheme="majorHAnsi" w:hAnsiTheme="majorHAnsi"/>
          <w:spacing w:val="-4"/>
          <w:sz w:val="20"/>
          <w:szCs w:val="20"/>
        </w:rPr>
        <w:t xml:space="preserve"> </w:t>
      </w:r>
      <w:r w:rsidRPr="000977F7">
        <w:rPr>
          <w:rFonts w:asciiTheme="majorHAnsi" w:hAnsiTheme="majorHAnsi"/>
          <w:sz w:val="20"/>
          <w:szCs w:val="20"/>
        </w:rPr>
        <w:t>є</w:t>
      </w:r>
      <w:r w:rsidRPr="000977F7">
        <w:rPr>
          <w:rFonts w:asciiTheme="majorHAnsi" w:hAnsiTheme="majorHAnsi"/>
          <w:spacing w:val="-5"/>
          <w:sz w:val="20"/>
          <w:szCs w:val="20"/>
        </w:rPr>
        <w:t xml:space="preserve"> </w:t>
      </w:r>
      <w:r w:rsidRPr="000977F7">
        <w:rPr>
          <w:rFonts w:asciiTheme="majorHAnsi" w:hAnsiTheme="majorHAnsi"/>
          <w:sz w:val="20"/>
          <w:szCs w:val="20"/>
        </w:rPr>
        <w:t>гармонізованими</w:t>
      </w:r>
    </w:p>
    <w:p w14:paraId="646D3A0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 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4D571FB0" w14:textId="77777777" w:rsidR="0097612F" w:rsidRPr="000977F7" w:rsidRDefault="0097612F" w:rsidP="000977F7">
      <w:pPr>
        <w:pStyle w:val="7"/>
        <w:tabs>
          <w:tab w:val="left" w:pos="284"/>
        </w:tabs>
        <w:spacing w:before="0" w:line="240" w:lineRule="auto"/>
        <w:ind w:left="170"/>
        <w:mirrorIndents/>
        <w:jc w:val="both"/>
        <w:rPr>
          <w:b w:val="0"/>
          <w:i/>
          <w:color w:val="auto"/>
          <w:sz w:val="20"/>
          <w:szCs w:val="20"/>
        </w:rPr>
      </w:pPr>
      <w:r w:rsidRPr="000977F7">
        <w:rPr>
          <w:color w:val="auto"/>
          <w:sz w:val="20"/>
          <w:szCs w:val="20"/>
        </w:rPr>
        <w:t>ПОРІВНЯННЯ</w:t>
      </w:r>
      <w:r w:rsidRPr="000977F7">
        <w:rPr>
          <w:color w:val="auto"/>
          <w:spacing w:val="-3"/>
          <w:sz w:val="20"/>
          <w:szCs w:val="20"/>
        </w:rPr>
        <w:t xml:space="preserve"> </w:t>
      </w:r>
      <w:r w:rsidRPr="000977F7">
        <w:rPr>
          <w:color w:val="auto"/>
          <w:sz w:val="20"/>
          <w:szCs w:val="20"/>
        </w:rPr>
        <w:t>ФІЗИЧНИХ</w:t>
      </w:r>
      <w:r w:rsidRPr="000977F7">
        <w:rPr>
          <w:color w:val="auto"/>
          <w:spacing w:val="-2"/>
          <w:sz w:val="20"/>
          <w:szCs w:val="20"/>
        </w:rPr>
        <w:t xml:space="preserve"> </w:t>
      </w:r>
      <w:r w:rsidRPr="000977F7">
        <w:rPr>
          <w:color w:val="auto"/>
          <w:sz w:val="20"/>
          <w:szCs w:val="20"/>
        </w:rPr>
        <w:t>ВЕЛИЧИН</w:t>
      </w:r>
      <w:r w:rsidRPr="000977F7">
        <w:rPr>
          <w:color w:val="auto"/>
          <w:spacing w:val="3"/>
          <w:sz w:val="20"/>
          <w:szCs w:val="20"/>
        </w:rPr>
        <w:t xml:space="preserve"> </w:t>
      </w:r>
      <w:r w:rsidRPr="000977F7">
        <w:rPr>
          <w:b w:val="0"/>
          <w:i/>
          <w:color w:val="auto"/>
          <w:sz w:val="20"/>
          <w:szCs w:val="20"/>
        </w:rPr>
        <w:t>–</w:t>
      </w:r>
    </w:p>
    <w:p w14:paraId="22678F4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Вимірювальна операція, що полягає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 відображенні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співвідношення між розмірами двох однорідних фізичних величин відповідним висновком: більша, менша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однакова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 розміром</w:t>
      </w:r>
    </w:p>
    <w:p w14:paraId="79F0B00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 – 94</w:t>
      </w:r>
    </w:p>
    <w:p w14:paraId="219D9B1E"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ПОРІГ ЧУТЛИВОСТІ ЗАСОБУ</w:t>
      </w:r>
      <w:r w:rsidRPr="000977F7">
        <w:rPr>
          <w:rFonts w:asciiTheme="majorHAnsi" w:hAnsiTheme="majorHAnsi"/>
          <w:b/>
          <w:spacing w:val="1"/>
          <w:sz w:val="20"/>
          <w:szCs w:val="20"/>
        </w:rPr>
        <w:t xml:space="preserve"> </w:t>
      </w:r>
      <w:r w:rsidRPr="000977F7">
        <w:rPr>
          <w:rFonts w:asciiTheme="majorHAnsi" w:hAnsiTheme="majorHAnsi"/>
          <w:b/>
          <w:sz w:val="20"/>
          <w:szCs w:val="20"/>
        </w:rPr>
        <w:t>ВИМІРЮВАНЬ –</w:t>
      </w:r>
    </w:p>
    <w:p w14:paraId="3654859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DISCRIMINATION</w:t>
      </w:r>
      <w:r w:rsidRPr="000977F7">
        <w:rPr>
          <w:rFonts w:asciiTheme="majorHAnsi" w:hAnsiTheme="majorHAnsi"/>
          <w:spacing w:val="-11"/>
          <w:sz w:val="20"/>
          <w:szCs w:val="20"/>
        </w:rPr>
        <w:t xml:space="preserve"> </w:t>
      </w:r>
      <w:r w:rsidRPr="000977F7">
        <w:rPr>
          <w:rFonts w:asciiTheme="majorHAnsi" w:hAnsiTheme="majorHAnsi"/>
          <w:sz w:val="20"/>
          <w:szCs w:val="20"/>
        </w:rPr>
        <w:t>THRESHOLD</w:t>
      </w:r>
      <w:r w:rsidRPr="000977F7">
        <w:rPr>
          <w:rFonts w:asciiTheme="majorHAnsi" w:hAnsiTheme="majorHAnsi"/>
          <w:spacing w:val="-10"/>
          <w:sz w:val="20"/>
          <w:szCs w:val="20"/>
        </w:rPr>
        <w:t xml:space="preserve"> </w:t>
      </w:r>
      <w:r w:rsidRPr="000977F7">
        <w:rPr>
          <w:rFonts w:asciiTheme="majorHAnsi" w:hAnsiTheme="majorHAnsi"/>
          <w:sz w:val="20"/>
          <w:szCs w:val="20"/>
        </w:rPr>
        <w:t>–</w:t>
      </w:r>
    </w:p>
    <w:p w14:paraId="63950A4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Найменше значення вимірюваної величини, яка 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2"/>
          <w:sz w:val="20"/>
          <w:szCs w:val="20"/>
        </w:rPr>
        <w:t xml:space="preserve"> </w:t>
      </w:r>
      <w:r w:rsidRPr="000977F7">
        <w:rPr>
          <w:rFonts w:asciiTheme="majorHAnsi" w:hAnsiTheme="majorHAnsi"/>
          <w:sz w:val="20"/>
          <w:szCs w:val="20"/>
        </w:rPr>
        <w:t>виявлена</w:t>
      </w:r>
      <w:r w:rsidRPr="000977F7">
        <w:rPr>
          <w:rFonts w:asciiTheme="majorHAnsi" w:hAnsiTheme="majorHAnsi"/>
          <w:spacing w:val="-1"/>
          <w:sz w:val="20"/>
          <w:szCs w:val="20"/>
        </w:rPr>
        <w:t xml:space="preserve"> </w:t>
      </w:r>
      <w:r w:rsidRPr="000977F7">
        <w:rPr>
          <w:rFonts w:asciiTheme="majorHAnsi" w:hAnsiTheme="majorHAnsi"/>
          <w:sz w:val="20"/>
          <w:szCs w:val="20"/>
        </w:rPr>
        <w:t>засобом</w:t>
      </w:r>
      <w:r w:rsidRPr="000977F7">
        <w:rPr>
          <w:rFonts w:asciiTheme="majorHAnsi" w:hAnsiTheme="majorHAnsi"/>
          <w:spacing w:val="1"/>
          <w:sz w:val="20"/>
          <w:szCs w:val="20"/>
        </w:rPr>
        <w:t xml:space="preserve"> </w:t>
      </w:r>
      <w:r w:rsidRPr="000977F7">
        <w:rPr>
          <w:rFonts w:asciiTheme="majorHAnsi" w:hAnsiTheme="majorHAnsi"/>
          <w:sz w:val="20"/>
          <w:szCs w:val="20"/>
        </w:rPr>
        <w:t>вимірювань</w:t>
      </w:r>
    </w:p>
    <w:p w14:paraId="67B92B2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5B84DD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ПОРОШКОВИЙ</w:t>
      </w:r>
      <w:r w:rsidRPr="000977F7">
        <w:rPr>
          <w:color w:val="auto"/>
          <w:spacing w:val="-5"/>
          <w:sz w:val="20"/>
          <w:szCs w:val="20"/>
        </w:rPr>
        <w:t xml:space="preserve"> </w:t>
      </w:r>
      <w:r w:rsidRPr="000977F7">
        <w:rPr>
          <w:color w:val="auto"/>
          <w:sz w:val="20"/>
          <w:szCs w:val="20"/>
        </w:rPr>
        <w:t>МЕТОД</w:t>
      </w:r>
      <w:r w:rsidRPr="000977F7">
        <w:rPr>
          <w:color w:val="auto"/>
          <w:spacing w:val="-1"/>
          <w:sz w:val="20"/>
          <w:szCs w:val="20"/>
        </w:rPr>
        <w:t xml:space="preserve"> </w:t>
      </w:r>
      <w:r w:rsidRPr="000977F7">
        <w:rPr>
          <w:color w:val="auto"/>
          <w:sz w:val="20"/>
          <w:szCs w:val="20"/>
        </w:rPr>
        <w:t>–</w:t>
      </w:r>
    </w:p>
    <w:p w14:paraId="4A8EAAB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реєстрації збільшення амплітуди акустичних коливань</w:t>
      </w:r>
      <w:r w:rsidRPr="000977F7">
        <w:rPr>
          <w:rFonts w:asciiTheme="majorHAnsi" w:hAnsiTheme="majorHAnsi"/>
          <w:spacing w:val="-47"/>
          <w:sz w:val="20"/>
          <w:szCs w:val="20"/>
        </w:rPr>
        <w:t xml:space="preserve"> </w:t>
      </w:r>
      <w:r w:rsidRPr="000977F7">
        <w:rPr>
          <w:rFonts w:asciiTheme="majorHAnsi" w:hAnsiTheme="majorHAnsi"/>
          <w:sz w:val="20"/>
          <w:szCs w:val="20"/>
        </w:rPr>
        <w:t>відділених дефектами ділянок внаслідок резонансів на</w:t>
      </w:r>
      <w:r w:rsidRPr="000977F7">
        <w:rPr>
          <w:rFonts w:asciiTheme="majorHAnsi" w:hAnsiTheme="majorHAnsi"/>
          <w:spacing w:val="-47"/>
          <w:sz w:val="20"/>
          <w:szCs w:val="20"/>
        </w:rPr>
        <w:t xml:space="preserve"> </w:t>
      </w:r>
      <w:r w:rsidRPr="000977F7">
        <w:rPr>
          <w:rFonts w:asciiTheme="majorHAnsi" w:hAnsiTheme="majorHAnsi"/>
          <w:sz w:val="20"/>
          <w:szCs w:val="20"/>
        </w:rPr>
        <w:t>власних</w:t>
      </w:r>
      <w:r w:rsidRPr="000977F7">
        <w:rPr>
          <w:rFonts w:asciiTheme="majorHAnsi" w:hAnsiTheme="majorHAnsi"/>
          <w:spacing w:val="1"/>
          <w:sz w:val="20"/>
          <w:szCs w:val="20"/>
        </w:rPr>
        <w:t xml:space="preserve"> </w:t>
      </w:r>
      <w:r w:rsidRPr="000977F7">
        <w:rPr>
          <w:rFonts w:asciiTheme="majorHAnsi" w:hAnsiTheme="majorHAnsi"/>
          <w:sz w:val="20"/>
          <w:szCs w:val="20"/>
        </w:rPr>
        <w:t>частотах</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допомогою</w:t>
      </w:r>
      <w:r w:rsidRPr="000977F7">
        <w:rPr>
          <w:rFonts w:asciiTheme="majorHAnsi" w:hAnsiTheme="majorHAnsi"/>
          <w:spacing w:val="1"/>
          <w:sz w:val="20"/>
          <w:szCs w:val="20"/>
        </w:rPr>
        <w:t xml:space="preserve"> </w:t>
      </w:r>
      <w:r w:rsidRPr="000977F7">
        <w:rPr>
          <w:rFonts w:asciiTheme="majorHAnsi" w:hAnsiTheme="majorHAnsi"/>
          <w:sz w:val="20"/>
          <w:szCs w:val="20"/>
        </w:rPr>
        <w:t>тонко дисперсного</w:t>
      </w:r>
      <w:r w:rsidRPr="000977F7">
        <w:rPr>
          <w:rFonts w:asciiTheme="majorHAnsi" w:hAnsiTheme="majorHAnsi"/>
          <w:spacing w:val="1"/>
          <w:sz w:val="20"/>
          <w:szCs w:val="20"/>
        </w:rPr>
        <w:t xml:space="preserve"> </w:t>
      </w:r>
      <w:r w:rsidRPr="000977F7">
        <w:rPr>
          <w:rFonts w:asciiTheme="majorHAnsi" w:hAnsiTheme="majorHAnsi"/>
          <w:sz w:val="20"/>
          <w:szCs w:val="20"/>
        </w:rPr>
        <w:t>порошку</w:t>
      </w:r>
    </w:p>
    <w:p w14:paraId="5E38DDA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2865 - 94</w:t>
      </w:r>
    </w:p>
    <w:p w14:paraId="469BB34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ПОРТФЕЛЬ</w:t>
      </w:r>
      <w:r w:rsidRPr="000977F7">
        <w:rPr>
          <w:color w:val="auto"/>
          <w:spacing w:val="-4"/>
          <w:sz w:val="20"/>
          <w:szCs w:val="20"/>
        </w:rPr>
        <w:t xml:space="preserve"> </w:t>
      </w:r>
      <w:r w:rsidRPr="000977F7">
        <w:rPr>
          <w:color w:val="auto"/>
          <w:sz w:val="20"/>
          <w:szCs w:val="20"/>
        </w:rPr>
        <w:t>ЗАМОВЛЕНЬ –</w:t>
      </w:r>
    </w:p>
    <w:p w14:paraId="5E393DF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замовлень, які має організація на визначену</w:t>
      </w:r>
      <w:r w:rsidRPr="000977F7">
        <w:rPr>
          <w:rFonts w:asciiTheme="majorHAnsi" w:hAnsiTheme="majorHAnsi"/>
          <w:spacing w:val="-2"/>
          <w:sz w:val="20"/>
          <w:szCs w:val="20"/>
        </w:rPr>
        <w:t xml:space="preserve"> </w:t>
      </w:r>
      <w:r w:rsidRPr="000977F7">
        <w:rPr>
          <w:rFonts w:asciiTheme="majorHAnsi" w:hAnsiTheme="majorHAnsi"/>
          <w:sz w:val="20"/>
          <w:szCs w:val="20"/>
        </w:rPr>
        <w:t>дату</w:t>
      </w:r>
      <w:r w:rsidRPr="000977F7">
        <w:rPr>
          <w:rFonts w:asciiTheme="majorHAnsi" w:hAnsiTheme="majorHAnsi"/>
          <w:spacing w:val="-4"/>
          <w:sz w:val="20"/>
          <w:szCs w:val="20"/>
        </w:rPr>
        <w:t xml:space="preserve"> </w:t>
      </w:r>
      <w:r w:rsidRPr="000977F7">
        <w:rPr>
          <w:rFonts w:asciiTheme="majorHAnsi" w:hAnsiTheme="majorHAnsi"/>
          <w:sz w:val="20"/>
          <w:szCs w:val="20"/>
        </w:rPr>
        <w:t>або певний</w:t>
      </w:r>
      <w:r w:rsidRPr="000977F7">
        <w:rPr>
          <w:rFonts w:asciiTheme="majorHAnsi" w:hAnsiTheme="majorHAnsi"/>
          <w:spacing w:val="-1"/>
          <w:sz w:val="20"/>
          <w:szCs w:val="20"/>
        </w:rPr>
        <w:t xml:space="preserve"> </w:t>
      </w:r>
      <w:r w:rsidRPr="000977F7">
        <w:rPr>
          <w:rFonts w:asciiTheme="majorHAnsi" w:hAnsiTheme="majorHAnsi"/>
          <w:sz w:val="20"/>
          <w:szCs w:val="20"/>
        </w:rPr>
        <w:t>період</w:t>
      </w:r>
    </w:p>
    <w:p w14:paraId="550B667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3294 - 95</w:t>
      </w:r>
    </w:p>
    <w:p w14:paraId="31673B2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ПОРУШЕННЯ ВИМОГ ЩОДО ВИПУСКУ З РЕМОНТУ</w:t>
      </w:r>
      <w:r w:rsidRPr="000977F7">
        <w:rPr>
          <w:color w:val="auto"/>
          <w:spacing w:val="1"/>
          <w:sz w:val="20"/>
          <w:szCs w:val="20"/>
        </w:rPr>
        <w:t xml:space="preserve"> </w:t>
      </w:r>
      <w:r w:rsidRPr="000977F7">
        <w:rPr>
          <w:color w:val="auto"/>
          <w:sz w:val="20"/>
          <w:szCs w:val="20"/>
        </w:rPr>
        <w:t>ТА</w:t>
      </w:r>
      <w:r w:rsidRPr="000977F7">
        <w:rPr>
          <w:color w:val="auto"/>
          <w:spacing w:val="1"/>
          <w:sz w:val="20"/>
          <w:szCs w:val="20"/>
        </w:rPr>
        <w:t xml:space="preserve"> </w:t>
      </w:r>
      <w:r w:rsidRPr="000977F7">
        <w:rPr>
          <w:color w:val="auto"/>
          <w:sz w:val="20"/>
          <w:szCs w:val="20"/>
        </w:rPr>
        <w:t>ВИДАЧІ</w:t>
      </w:r>
      <w:r w:rsidRPr="000977F7">
        <w:rPr>
          <w:color w:val="auto"/>
          <w:spacing w:val="1"/>
          <w:sz w:val="20"/>
          <w:szCs w:val="20"/>
        </w:rPr>
        <w:t xml:space="preserve"> </w:t>
      </w:r>
      <w:r w:rsidRPr="000977F7">
        <w:rPr>
          <w:color w:val="auto"/>
          <w:sz w:val="20"/>
          <w:szCs w:val="20"/>
        </w:rPr>
        <w:t>НА</w:t>
      </w:r>
      <w:r w:rsidRPr="000977F7">
        <w:rPr>
          <w:color w:val="auto"/>
          <w:spacing w:val="1"/>
          <w:sz w:val="20"/>
          <w:szCs w:val="20"/>
        </w:rPr>
        <w:t xml:space="preserve"> </w:t>
      </w:r>
      <w:r w:rsidRPr="000977F7">
        <w:rPr>
          <w:color w:val="auto"/>
          <w:sz w:val="20"/>
          <w:szCs w:val="20"/>
        </w:rPr>
        <w:t>ПРОКАТ</w:t>
      </w:r>
      <w:r w:rsidRPr="000977F7">
        <w:rPr>
          <w:color w:val="auto"/>
          <w:spacing w:val="1"/>
          <w:sz w:val="20"/>
          <w:szCs w:val="20"/>
        </w:rPr>
        <w:t xml:space="preserve"> </w:t>
      </w:r>
      <w:r w:rsidRPr="000977F7">
        <w:rPr>
          <w:color w:val="auto"/>
          <w:sz w:val="20"/>
          <w:szCs w:val="20"/>
        </w:rPr>
        <w:t>ЗАСОБІВ</w:t>
      </w:r>
      <w:r w:rsidRPr="000977F7">
        <w:rPr>
          <w:color w:val="auto"/>
          <w:spacing w:val="-47"/>
          <w:sz w:val="20"/>
          <w:szCs w:val="20"/>
        </w:rPr>
        <w:t xml:space="preserve">            </w:t>
      </w:r>
      <w:r w:rsidRPr="000977F7">
        <w:rPr>
          <w:color w:val="auto"/>
          <w:sz w:val="20"/>
          <w:szCs w:val="20"/>
        </w:rPr>
        <w:t>ВИМІРЮВАЛЬНОЇ</w:t>
      </w:r>
      <w:r w:rsidRPr="000977F7">
        <w:rPr>
          <w:color w:val="auto"/>
          <w:spacing w:val="-2"/>
          <w:sz w:val="20"/>
          <w:szCs w:val="20"/>
        </w:rPr>
        <w:t xml:space="preserve"> </w:t>
      </w:r>
      <w:r w:rsidRPr="000977F7">
        <w:rPr>
          <w:color w:val="auto"/>
          <w:sz w:val="20"/>
          <w:szCs w:val="20"/>
        </w:rPr>
        <w:t>ТЕХНІКИ</w:t>
      </w:r>
      <w:r w:rsidRPr="000977F7">
        <w:rPr>
          <w:color w:val="auto"/>
          <w:spacing w:val="3"/>
          <w:sz w:val="20"/>
          <w:szCs w:val="20"/>
        </w:rPr>
        <w:t xml:space="preserve"> </w:t>
      </w:r>
      <w:r w:rsidRPr="000977F7">
        <w:rPr>
          <w:color w:val="auto"/>
          <w:sz w:val="20"/>
          <w:szCs w:val="20"/>
        </w:rPr>
        <w:t>-</w:t>
      </w:r>
    </w:p>
    <w:p w14:paraId="6055F38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Випуск з ремонту та видача на прокат засобів вимірювальної</w:t>
      </w:r>
      <w:r w:rsidRPr="004D2D14">
        <w:rPr>
          <w:rFonts w:asciiTheme="majorHAnsi" w:hAnsiTheme="majorHAnsi"/>
          <w:spacing w:val="34"/>
          <w:sz w:val="20"/>
          <w:szCs w:val="20"/>
          <w:lang w:val="uk-UA"/>
        </w:rPr>
        <w:t xml:space="preserve"> </w:t>
      </w:r>
      <w:r w:rsidRPr="004D2D14">
        <w:rPr>
          <w:rFonts w:asciiTheme="majorHAnsi" w:hAnsiTheme="majorHAnsi"/>
          <w:sz w:val="20"/>
          <w:szCs w:val="20"/>
          <w:lang w:val="uk-UA"/>
        </w:rPr>
        <w:t>техніки,</w:t>
      </w:r>
      <w:r w:rsidRPr="004D2D14">
        <w:rPr>
          <w:rFonts w:asciiTheme="majorHAnsi" w:hAnsiTheme="majorHAnsi"/>
          <w:spacing w:val="33"/>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34"/>
          <w:sz w:val="20"/>
          <w:szCs w:val="20"/>
          <w:lang w:val="uk-UA"/>
        </w:rPr>
        <w:t xml:space="preserve"> </w:t>
      </w:r>
      <w:r w:rsidRPr="004D2D14">
        <w:rPr>
          <w:rFonts w:asciiTheme="majorHAnsi" w:hAnsiTheme="majorHAnsi"/>
          <w:sz w:val="20"/>
          <w:szCs w:val="20"/>
          <w:lang w:val="uk-UA"/>
        </w:rPr>
        <w:t>застосовуються</w:t>
      </w:r>
      <w:r w:rsidRPr="004D2D14">
        <w:rPr>
          <w:rFonts w:asciiTheme="majorHAnsi" w:hAnsiTheme="majorHAnsi"/>
          <w:spacing w:val="34"/>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32"/>
          <w:sz w:val="20"/>
          <w:szCs w:val="20"/>
          <w:lang w:val="uk-UA"/>
        </w:rPr>
        <w:t xml:space="preserve"> </w:t>
      </w:r>
      <w:r w:rsidRPr="004D2D14">
        <w:rPr>
          <w:rFonts w:asciiTheme="majorHAnsi" w:hAnsiTheme="majorHAnsi"/>
          <w:sz w:val="20"/>
          <w:szCs w:val="20"/>
          <w:lang w:val="uk-UA"/>
        </w:rPr>
        <w:t>сфері</w:t>
      </w:r>
      <w:r w:rsidRPr="004D2D14">
        <w:rPr>
          <w:rFonts w:asciiTheme="majorHAnsi" w:hAnsiTheme="majorHAnsi"/>
          <w:spacing w:val="33"/>
          <w:sz w:val="20"/>
          <w:szCs w:val="20"/>
          <w:lang w:val="uk-UA"/>
        </w:rPr>
        <w:t xml:space="preserve"> </w:t>
      </w:r>
      <w:r w:rsidRPr="004D2D14">
        <w:rPr>
          <w:rFonts w:asciiTheme="majorHAnsi" w:hAnsiTheme="majorHAnsi"/>
          <w:sz w:val="20"/>
          <w:szCs w:val="20"/>
          <w:lang w:val="uk-UA"/>
        </w:rPr>
        <w:t>законодавчо регульованої метрології та не відповідають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нормативно-правовим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актам,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містять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вимоги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таких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засобів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вимірювальної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техніки, -тягне за собою накладення штрафу на посадових осіб</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підприємств,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установ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організацій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незалежно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форми власності та фізичних осіб підприємців від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трьох до тридцяти неоподатковуваних мінімумів доходів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громадян.</w:t>
      </w:r>
    </w:p>
    <w:p w14:paraId="5C6D6FF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171 Кодексу України про адміністративні порушення</w:t>
      </w:r>
    </w:p>
    <w:p w14:paraId="6D6E423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ПОРУШЕННЯ</w:t>
      </w:r>
      <w:r w:rsidRPr="000977F7">
        <w:rPr>
          <w:color w:val="auto"/>
          <w:spacing w:val="45"/>
          <w:sz w:val="20"/>
          <w:szCs w:val="20"/>
        </w:rPr>
        <w:t xml:space="preserve"> </w:t>
      </w:r>
      <w:r w:rsidRPr="000977F7">
        <w:rPr>
          <w:color w:val="auto"/>
          <w:sz w:val="20"/>
          <w:szCs w:val="20"/>
        </w:rPr>
        <w:t>ПОВЕРХНІ</w:t>
      </w:r>
      <w:r w:rsidRPr="000977F7">
        <w:rPr>
          <w:color w:val="auto"/>
          <w:spacing w:val="-1"/>
          <w:sz w:val="20"/>
          <w:szCs w:val="20"/>
        </w:rPr>
        <w:t xml:space="preserve"> </w:t>
      </w:r>
      <w:r w:rsidRPr="000977F7">
        <w:rPr>
          <w:color w:val="auto"/>
          <w:sz w:val="20"/>
          <w:szCs w:val="20"/>
        </w:rPr>
        <w:t>ЗЕМЛІ</w:t>
      </w:r>
      <w:r w:rsidRPr="000977F7">
        <w:rPr>
          <w:color w:val="auto"/>
          <w:spacing w:val="-2"/>
          <w:sz w:val="20"/>
          <w:szCs w:val="20"/>
        </w:rPr>
        <w:t xml:space="preserve"> </w:t>
      </w:r>
      <w:r w:rsidRPr="000977F7">
        <w:rPr>
          <w:color w:val="auto"/>
          <w:sz w:val="20"/>
          <w:szCs w:val="20"/>
        </w:rPr>
        <w:t>—</w:t>
      </w:r>
    </w:p>
    <w:p w14:paraId="39EECA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різноманітних видів змін природного стану</w:t>
      </w:r>
      <w:r w:rsidRPr="000977F7">
        <w:rPr>
          <w:rFonts w:asciiTheme="majorHAnsi" w:hAnsiTheme="majorHAnsi"/>
          <w:spacing w:val="27"/>
          <w:sz w:val="20"/>
          <w:szCs w:val="20"/>
        </w:rPr>
        <w:t xml:space="preserve"> </w:t>
      </w:r>
      <w:r w:rsidRPr="000977F7">
        <w:rPr>
          <w:rFonts w:asciiTheme="majorHAnsi" w:hAnsiTheme="majorHAnsi"/>
          <w:sz w:val="20"/>
          <w:szCs w:val="20"/>
        </w:rPr>
        <w:t>земної</w:t>
      </w:r>
      <w:r w:rsidRPr="000977F7">
        <w:rPr>
          <w:rFonts w:asciiTheme="majorHAnsi" w:hAnsiTheme="majorHAnsi"/>
          <w:spacing w:val="32"/>
          <w:sz w:val="20"/>
          <w:szCs w:val="20"/>
        </w:rPr>
        <w:t xml:space="preserve"> </w:t>
      </w:r>
      <w:r w:rsidRPr="000977F7">
        <w:rPr>
          <w:rFonts w:asciiTheme="majorHAnsi" w:hAnsiTheme="majorHAnsi"/>
          <w:sz w:val="20"/>
          <w:szCs w:val="20"/>
        </w:rPr>
        <w:t>поверхні</w:t>
      </w:r>
      <w:r w:rsidRPr="000977F7">
        <w:rPr>
          <w:rFonts w:asciiTheme="majorHAnsi" w:hAnsiTheme="majorHAnsi"/>
          <w:spacing w:val="32"/>
          <w:sz w:val="20"/>
          <w:szCs w:val="20"/>
        </w:rPr>
        <w:t xml:space="preserve"> </w:t>
      </w:r>
      <w:r w:rsidRPr="000977F7">
        <w:rPr>
          <w:rFonts w:asciiTheme="majorHAnsi" w:hAnsiTheme="majorHAnsi"/>
          <w:sz w:val="20"/>
          <w:szCs w:val="20"/>
        </w:rPr>
        <w:t>внаслідок</w:t>
      </w:r>
      <w:r w:rsidRPr="000977F7">
        <w:rPr>
          <w:rFonts w:asciiTheme="majorHAnsi" w:hAnsiTheme="majorHAnsi"/>
          <w:spacing w:val="30"/>
          <w:sz w:val="20"/>
          <w:szCs w:val="20"/>
        </w:rPr>
        <w:t xml:space="preserve"> </w:t>
      </w:r>
      <w:r w:rsidRPr="000977F7">
        <w:rPr>
          <w:rFonts w:asciiTheme="majorHAnsi" w:hAnsiTheme="majorHAnsi"/>
          <w:sz w:val="20"/>
          <w:szCs w:val="20"/>
        </w:rPr>
        <w:t>техногенної</w:t>
      </w:r>
      <w:r w:rsidRPr="000977F7">
        <w:rPr>
          <w:rFonts w:asciiTheme="majorHAnsi" w:hAnsiTheme="majorHAnsi"/>
          <w:spacing w:val="32"/>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48"/>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несприятливих природних</w:t>
      </w:r>
      <w:r w:rsidRPr="000977F7">
        <w:rPr>
          <w:rFonts w:asciiTheme="majorHAnsi" w:hAnsiTheme="majorHAnsi"/>
          <w:spacing w:val="-2"/>
          <w:sz w:val="20"/>
          <w:szCs w:val="20"/>
        </w:rPr>
        <w:t xml:space="preserve"> </w:t>
      </w:r>
      <w:r w:rsidRPr="000977F7">
        <w:rPr>
          <w:rFonts w:asciiTheme="majorHAnsi" w:hAnsiTheme="majorHAnsi"/>
          <w:sz w:val="20"/>
          <w:szCs w:val="20"/>
        </w:rPr>
        <w:t>процесів</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явищ</w:t>
      </w:r>
    </w:p>
    <w:p w14:paraId="18D8125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344522B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ПОРУШЕННЯ</w:t>
      </w:r>
      <w:r w:rsidRPr="000977F7">
        <w:rPr>
          <w:color w:val="auto"/>
          <w:spacing w:val="30"/>
          <w:sz w:val="20"/>
          <w:szCs w:val="20"/>
        </w:rPr>
        <w:t xml:space="preserve"> </w:t>
      </w:r>
      <w:r w:rsidRPr="000977F7">
        <w:rPr>
          <w:color w:val="auto"/>
          <w:sz w:val="20"/>
          <w:szCs w:val="20"/>
        </w:rPr>
        <w:t>ПРАВИЛ</w:t>
      </w:r>
      <w:r w:rsidRPr="000977F7">
        <w:rPr>
          <w:color w:val="auto"/>
          <w:spacing w:val="32"/>
          <w:sz w:val="20"/>
          <w:szCs w:val="20"/>
        </w:rPr>
        <w:t xml:space="preserve"> </w:t>
      </w:r>
      <w:r w:rsidRPr="000977F7">
        <w:rPr>
          <w:color w:val="auto"/>
          <w:sz w:val="20"/>
          <w:szCs w:val="20"/>
        </w:rPr>
        <w:t>ЗАСТОСУВАННЯ</w:t>
      </w:r>
      <w:r w:rsidRPr="000977F7">
        <w:rPr>
          <w:color w:val="auto"/>
          <w:spacing w:val="30"/>
          <w:sz w:val="20"/>
          <w:szCs w:val="20"/>
        </w:rPr>
        <w:t xml:space="preserve"> </w:t>
      </w:r>
      <w:r w:rsidRPr="000977F7">
        <w:rPr>
          <w:color w:val="auto"/>
          <w:sz w:val="20"/>
          <w:szCs w:val="20"/>
        </w:rPr>
        <w:t>ЗАСОБІВ ВИМІРЮВАЛЬНОЇ</w:t>
      </w:r>
      <w:r w:rsidRPr="000977F7">
        <w:rPr>
          <w:color w:val="auto"/>
          <w:spacing w:val="-2"/>
          <w:sz w:val="20"/>
          <w:szCs w:val="20"/>
        </w:rPr>
        <w:t xml:space="preserve"> </w:t>
      </w:r>
      <w:r w:rsidRPr="000977F7">
        <w:rPr>
          <w:color w:val="auto"/>
          <w:sz w:val="20"/>
          <w:szCs w:val="20"/>
        </w:rPr>
        <w:t>ТЕХНІКИ</w:t>
      </w:r>
      <w:r w:rsidRPr="000977F7">
        <w:rPr>
          <w:color w:val="auto"/>
          <w:spacing w:val="1"/>
          <w:sz w:val="20"/>
          <w:szCs w:val="20"/>
        </w:rPr>
        <w:t xml:space="preserve"> </w:t>
      </w:r>
      <w:r w:rsidRPr="000977F7">
        <w:rPr>
          <w:color w:val="auto"/>
          <w:sz w:val="20"/>
          <w:szCs w:val="20"/>
        </w:rPr>
        <w:t>-</w:t>
      </w:r>
    </w:p>
    <w:p w14:paraId="5B50E7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Порушення правил застосування засобів вимірювальної техніки, які використовуються у сфері законодавчо регульованої</w:t>
      </w:r>
      <w:r w:rsidRPr="000977F7">
        <w:rPr>
          <w:rFonts w:asciiTheme="majorHAnsi" w:hAnsiTheme="majorHAnsi"/>
          <w:spacing w:val="-1"/>
          <w:sz w:val="20"/>
          <w:szCs w:val="20"/>
        </w:rPr>
        <w:t xml:space="preserve"> </w:t>
      </w:r>
      <w:r w:rsidRPr="000977F7">
        <w:rPr>
          <w:rFonts w:asciiTheme="majorHAnsi" w:hAnsiTheme="majorHAnsi"/>
          <w:sz w:val="20"/>
          <w:szCs w:val="20"/>
        </w:rPr>
        <w:t>метрології,</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49C43AE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тягне за собою накладення штрафу на посадових осіб</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 та організацій незалежно від форми власності, фізичних осіб підприємців від трьох до тридцяти</w:t>
      </w:r>
      <w:r w:rsidRPr="000977F7">
        <w:rPr>
          <w:rFonts w:asciiTheme="majorHAnsi" w:hAnsiTheme="majorHAnsi"/>
          <w:spacing w:val="1"/>
          <w:sz w:val="20"/>
          <w:szCs w:val="20"/>
        </w:rPr>
        <w:t xml:space="preserve"> </w:t>
      </w:r>
      <w:r w:rsidRPr="000977F7">
        <w:rPr>
          <w:rFonts w:asciiTheme="majorHAnsi" w:hAnsiTheme="majorHAnsi"/>
          <w:sz w:val="20"/>
          <w:szCs w:val="20"/>
        </w:rPr>
        <w:t>неоподатковуваних</w:t>
      </w:r>
      <w:r w:rsidRPr="000977F7">
        <w:rPr>
          <w:rFonts w:asciiTheme="majorHAnsi" w:hAnsiTheme="majorHAnsi"/>
          <w:spacing w:val="1"/>
          <w:sz w:val="20"/>
          <w:szCs w:val="20"/>
        </w:rPr>
        <w:t xml:space="preserve"> </w:t>
      </w:r>
      <w:r w:rsidRPr="000977F7">
        <w:rPr>
          <w:rFonts w:asciiTheme="majorHAnsi" w:hAnsiTheme="majorHAnsi"/>
          <w:sz w:val="20"/>
          <w:szCs w:val="20"/>
        </w:rPr>
        <w:t>мінімумів</w:t>
      </w:r>
      <w:r w:rsidRPr="000977F7">
        <w:rPr>
          <w:rFonts w:asciiTheme="majorHAnsi" w:hAnsiTheme="majorHAnsi"/>
          <w:spacing w:val="1"/>
          <w:sz w:val="20"/>
          <w:szCs w:val="20"/>
        </w:rPr>
        <w:t xml:space="preserve"> </w:t>
      </w:r>
      <w:r w:rsidRPr="000977F7">
        <w:rPr>
          <w:rFonts w:asciiTheme="majorHAnsi" w:hAnsiTheme="majorHAnsi"/>
          <w:sz w:val="20"/>
          <w:szCs w:val="20"/>
        </w:rPr>
        <w:t>доходів</w:t>
      </w:r>
      <w:r w:rsidRPr="000977F7">
        <w:rPr>
          <w:rFonts w:asciiTheme="majorHAnsi" w:hAnsiTheme="majorHAnsi"/>
          <w:spacing w:val="1"/>
          <w:sz w:val="20"/>
          <w:szCs w:val="20"/>
        </w:rPr>
        <w:t xml:space="preserve"> </w:t>
      </w:r>
      <w:r w:rsidRPr="000977F7">
        <w:rPr>
          <w:rFonts w:asciiTheme="majorHAnsi" w:hAnsiTheme="majorHAnsi"/>
          <w:sz w:val="20"/>
          <w:szCs w:val="20"/>
        </w:rPr>
        <w:t>громадян.</w:t>
      </w:r>
    </w:p>
    <w:p w14:paraId="0814495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172 Кодексу України про адміністративні порушення</w:t>
      </w:r>
    </w:p>
    <w:p w14:paraId="0D4D985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ПОРУШЕННЯ</w:t>
      </w:r>
      <w:r w:rsidRPr="000977F7">
        <w:rPr>
          <w:color w:val="auto"/>
          <w:spacing w:val="-6"/>
          <w:sz w:val="20"/>
          <w:szCs w:val="20"/>
        </w:rPr>
        <w:t xml:space="preserve"> </w:t>
      </w:r>
      <w:r w:rsidRPr="000977F7">
        <w:rPr>
          <w:color w:val="auto"/>
          <w:sz w:val="20"/>
          <w:szCs w:val="20"/>
        </w:rPr>
        <w:t>ПРАВИЛ,</w:t>
      </w:r>
      <w:r w:rsidRPr="000977F7">
        <w:rPr>
          <w:color w:val="auto"/>
          <w:spacing w:val="-5"/>
          <w:sz w:val="20"/>
          <w:szCs w:val="20"/>
        </w:rPr>
        <w:t xml:space="preserve"> </w:t>
      </w:r>
      <w:r w:rsidRPr="000977F7">
        <w:rPr>
          <w:color w:val="auto"/>
          <w:sz w:val="20"/>
          <w:szCs w:val="20"/>
        </w:rPr>
        <w:t>НОРМ</w:t>
      </w:r>
      <w:r w:rsidRPr="000977F7">
        <w:rPr>
          <w:color w:val="auto"/>
          <w:spacing w:val="-2"/>
          <w:sz w:val="20"/>
          <w:szCs w:val="20"/>
        </w:rPr>
        <w:t xml:space="preserve"> </w:t>
      </w:r>
      <w:r w:rsidRPr="000977F7">
        <w:rPr>
          <w:color w:val="auto"/>
          <w:sz w:val="20"/>
          <w:szCs w:val="20"/>
        </w:rPr>
        <w:t>І</w:t>
      </w:r>
      <w:r w:rsidRPr="000977F7">
        <w:rPr>
          <w:color w:val="auto"/>
          <w:spacing w:val="-6"/>
          <w:sz w:val="20"/>
          <w:szCs w:val="20"/>
        </w:rPr>
        <w:t xml:space="preserve"> </w:t>
      </w:r>
      <w:r w:rsidRPr="000977F7">
        <w:rPr>
          <w:color w:val="auto"/>
          <w:sz w:val="20"/>
          <w:szCs w:val="20"/>
        </w:rPr>
        <w:t>СТАНДАРТІВ,</w:t>
      </w:r>
      <w:r w:rsidRPr="000977F7">
        <w:rPr>
          <w:color w:val="auto"/>
          <w:spacing w:val="-47"/>
          <w:sz w:val="20"/>
          <w:szCs w:val="20"/>
        </w:rPr>
        <w:t xml:space="preserve"> </w:t>
      </w:r>
      <w:r w:rsidRPr="000977F7">
        <w:rPr>
          <w:color w:val="auto"/>
          <w:sz w:val="20"/>
          <w:szCs w:val="20"/>
        </w:rPr>
        <w:t>ЩО СТОСУЮТЬСЯ УБЕЗПЕЧЕННЯ ДОРОЖНЬОГО РУХУ</w:t>
      </w:r>
      <w:r w:rsidRPr="000977F7">
        <w:rPr>
          <w:color w:val="auto"/>
          <w:spacing w:val="1"/>
          <w:sz w:val="20"/>
          <w:szCs w:val="20"/>
        </w:rPr>
        <w:t xml:space="preserve"> </w:t>
      </w:r>
      <w:r w:rsidRPr="000977F7">
        <w:rPr>
          <w:color w:val="auto"/>
          <w:sz w:val="20"/>
          <w:szCs w:val="20"/>
        </w:rPr>
        <w:t>-</w:t>
      </w:r>
    </w:p>
    <w:p w14:paraId="74DB363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Порушення правил, норм і стандартів, що стосуються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убезпечення дорожнього руху, вчинене особою, відповідальною за будівництво, реконструкцію, ремонт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 утримання автомобільних доріг, вулиць, залізничних переїздів, інших дорожніх споруд, або особою,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яка виконує такі роботи, якщо це порушення спричинило потерпілому середньої тяжкості тілесне ушкодження, тяжке тілесне ушкодження або смерть, карається штрафом від двохсот до п'ятисот неоподатковуваних мінімумів доходів громадян або виправними роботами на строк до двох років, або обмеженням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волі на строк до п'яти років, або позбавленням волі на</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строк</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до п'яти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років.</w:t>
      </w:r>
    </w:p>
    <w:p w14:paraId="18BC0E0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3"/>
          <w:sz w:val="20"/>
          <w:szCs w:val="20"/>
        </w:rPr>
        <w:t xml:space="preserve"> </w:t>
      </w:r>
      <w:r w:rsidRPr="000977F7">
        <w:rPr>
          <w:rFonts w:asciiTheme="majorHAnsi" w:hAnsiTheme="majorHAnsi"/>
          <w:i/>
          <w:sz w:val="20"/>
          <w:szCs w:val="20"/>
        </w:rPr>
        <w:t>227</w:t>
      </w:r>
      <w:r w:rsidRPr="000977F7">
        <w:rPr>
          <w:rFonts w:asciiTheme="majorHAnsi" w:hAnsiTheme="majorHAnsi"/>
          <w:i/>
          <w:spacing w:val="-2"/>
          <w:sz w:val="20"/>
          <w:szCs w:val="20"/>
        </w:rPr>
        <w:t xml:space="preserve"> </w:t>
      </w:r>
      <w:r w:rsidRPr="000977F7">
        <w:rPr>
          <w:rFonts w:asciiTheme="majorHAnsi" w:hAnsiTheme="majorHAnsi"/>
          <w:i/>
          <w:sz w:val="20"/>
          <w:szCs w:val="20"/>
        </w:rPr>
        <w:t>Кримінального</w:t>
      </w:r>
      <w:r w:rsidRPr="000977F7">
        <w:rPr>
          <w:rFonts w:asciiTheme="majorHAnsi" w:hAnsiTheme="majorHAnsi"/>
          <w:i/>
          <w:spacing w:val="-3"/>
          <w:sz w:val="20"/>
          <w:szCs w:val="20"/>
        </w:rPr>
        <w:t xml:space="preserve"> </w:t>
      </w:r>
      <w:r w:rsidRPr="000977F7">
        <w:rPr>
          <w:rFonts w:asciiTheme="majorHAnsi" w:hAnsiTheme="majorHAnsi"/>
          <w:i/>
          <w:sz w:val="20"/>
          <w:szCs w:val="20"/>
        </w:rPr>
        <w:t>кодексу</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p>
    <w:p w14:paraId="017252C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ПОРУШЕННЯ</w:t>
      </w:r>
      <w:r w:rsidRPr="000977F7">
        <w:rPr>
          <w:color w:val="auto"/>
          <w:spacing w:val="25"/>
          <w:sz w:val="20"/>
          <w:szCs w:val="20"/>
        </w:rPr>
        <w:t xml:space="preserve"> </w:t>
      </w:r>
      <w:r w:rsidRPr="000977F7">
        <w:rPr>
          <w:color w:val="auto"/>
          <w:sz w:val="20"/>
          <w:szCs w:val="20"/>
        </w:rPr>
        <w:t>ПРОЦЕДУР</w:t>
      </w:r>
      <w:r w:rsidRPr="000977F7">
        <w:rPr>
          <w:color w:val="auto"/>
          <w:spacing w:val="27"/>
          <w:sz w:val="20"/>
          <w:szCs w:val="20"/>
        </w:rPr>
        <w:t xml:space="preserve"> </w:t>
      </w:r>
      <w:r w:rsidRPr="000977F7">
        <w:rPr>
          <w:color w:val="auto"/>
          <w:sz w:val="20"/>
          <w:szCs w:val="20"/>
        </w:rPr>
        <w:t>ОЦІНКИ</w:t>
      </w:r>
      <w:r w:rsidRPr="000977F7">
        <w:rPr>
          <w:color w:val="auto"/>
          <w:spacing w:val="26"/>
          <w:sz w:val="20"/>
          <w:szCs w:val="20"/>
        </w:rPr>
        <w:t xml:space="preserve"> </w:t>
      </w:r>
      <w:r w:rsidRPr="000977F7">
        <w:rPr>
          <w:color w:val="auto"/>
          <w:sz w:val="20"/>
          <w:szCs w:val="20"/>
        </w:rPr>
        <w:t>ВІДПОВІДНОСТІ</w:t>
      </w:r>
      <w:r w:rsidRPr="000977F7">
        <w:rPr>
          <w:color w:val="auto"/>
          <w:spacing w:val="-1"/>
          <w:sz w:val="20"/>
          <w:szCs w:val="20"/>
        </w:rPr>
        <w:t xml:space="preserve"> </w:t>
      </w:r>
      <w:r w:rsidRPr="000977F7">
        <w:rPr>
          <w:color w:val="auto"/>
          <w:sz w:val="20"/>
          <w:szCs w:val="20"/>
        </w:rPr>
        <w:t>–</w:t>
      </w:r>
    </w:p>
    <w:p w14:paraId="19DD321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Порушення призначеними органами з оцінки відповідності чи визнаними незалежними організаціями процедур оцінки відповідності вимогам технічних регламентів; порушення органами з сертифікації, призначеними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державній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системі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сертифікації,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правил</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порядку</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обов’язкової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сертифікації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тягнуть за собою накладення штрафу на посадових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осіб</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lastRenderedPageBreak/>
        <w:t>двадцяти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п’ятдесяти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неоподатковуваних</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мінімумів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доходів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громадян.</w:t>
      </w:r>
    </w:p>
    <w:p w14:paraId="55D6975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172-1 Кодексу України про адміністративні порушення</w:t>
      </w:r>
    </w:p>
    <w:p w14:paraId="247979F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ПОРУШЕННЯ УМОВ І ПРАВИЛ ПРОВЕДЕННЯ</w:t>
      </w:r>
      <w:r w:rsidRPr="000977F7">
        <w:rPr>
          <w:color w:val="auto"/>
          <w:spacing w:val="1"/>
          <w:sz w:val="20"/>
          <w:szCs w:val="20"/>
        </w:rPr>
        <w:t xml:space="preserve"> </w:t>
      </w:r>
      <w:r w:rsidRPr="000977F7">
        <w:rPr>
          <w:color w:val="auto"/>
          <w:sz w:val="20"/>
          <w:szCs w:val="20"/>
        </w:rPr>
        <w:t>ПОВІРКИ ЗАСОБІВ ВИМІРЮВАЛЬНОЇ ТЕХНІКИ -</w:t>
      </w:r>
    </w:p>
    <w:p w14:paraId="6348596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Порушення умов і правил проведення повірки засобів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вимірювальної техніки, що перебувають в експлуатації</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7"/>
          <w:sz w:val="20"/>
          <w:szCs w:val="20"/>
          <w:lang w:val="uk-UA"/>
        </w:rPr>
        <w:t xml:space="preserve"> </w:t>
      </w:r>
      <w:r w:rsidRPr="004D2D14">
        <w:rPr>
          <w:rFonts w:asciiTheme="majorHAnsi" w:hAnsiTheme="majorHAnsi"/>
          <w:sz w:val="20"/>
          <w:szCs w:val="20"/>
          <w:lang w:val="uk-UA"/>
        </w:rPr>
        <w:t>застосовуються</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сфері</w:t>
      </w:r>
      <w:r w:rsidRPr="004D2D14">
        <w:rPr>
          <w:rFonts w:asciiTheme="majorHAnsi" w:hAnsiTheme="majorHAnsi"/>
          <w:spacing w:val="17"/>
          <w:sz w:val="20"/>
          <w:szCs w:val="20"/>
          <w:lang w:val="uk-UA"/>
        </w:rPr>
        <w:t xml:space="preserve"> </w:t>
      </w:r>
      <w:r w:rsidRPr="004D2D14">
        <w:rPr>
          <w:rFonts w:asciiTheme="majorHAnsi" w:hAnsiTheme="majorHAnsi"/>
          <w:sz w:val="20"/>
          <w:szCs w:val="20"/>
          <w:lang w:val="uk-UA"/>
        </w:rPr>
        <w:t>законодавчо</w:t>
      </w:r>
      <w:r w:rsidRPr="004D2D14">
        <w:rPr>
          <w:rFonts w:asciiTheme="majorHAnsi" w:hAnsiTheme="majorHAnsi"/>
          <w:spacing w:val="17"/>
          <w:sz w:val="20"/>
          <w:szCs w:val="20"/>
          <w:lang w:val="uk-UA"/>
        </w:rPr>
        <w:t xml:space="preserve"> </w:t>
      </w:r>
      <w:r w:rsidRPr="004D2D14">
        <w:rPr>
          <w:rFonts w:asciiTheme="majorHAnsi" w:hAnsiTheme="majorHAnsi"/>
          <w:sz w:val="20"/>
          <w:szCs w:val="20"/>
          <w:lang w:val="uk-UA"/>
        </w:rPr>
        <w:t>регульованої метрології, а також проведення такої повірки неуповноваженими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науковими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метрологічними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центрами, метрологічними центрами та повірочними лабораторіями, крім повірки, що проводиться науковими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метрологічними центрами, які мають міжнародно визнані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калібрувальні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вимірювальні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можливості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відповідними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видами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підвидами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вимірювань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застосовують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національні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еталони,</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тягнуть за собою накладення штрафу на посадових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осіб підприємств та організацій незалежно від форми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власності, фізичних осіб підприємців від трьох 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тридцяти неоподатковуваних мінімумів доходів громадян.</w:t>
      </w:r>
    </w:p>
    <w:p w14:paraId="699AEDD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171-1 Кодексу України про адміністративні порушення</w:t>
      </w:r>
    </w:p>
    <w:p w14:paraId="77A2D24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ПОРЯДОК</w:t>
      </w:r>
      <w:r w:rsidRPr="000977F7">
        <w:rPr>
          <w:color w:val="auto"/>
          <w:spacing w:val="-7"/>
          <w:sz w:val="20"/>
          <w:szCs w:val="20"/>
        </w:rPr>
        <w:t xml:space="preserve"> </w:t>
      </w:r>
      <w:r w:rsidRPr="000977F7">
        <w:rPr>
          <w:color w:val="auto"/>
          <w:sz w:val="20"/>
          <w:szCs w:val="20"/>
        </w:rPr>
        <w:t>ПРОВЕДЕННЯ</w:t>
      </w:r>
      <w:r w:rsidRPr="000977F7">
        <w:rPr>
          <w:color w:val="auto"/>
          <w:spacing w:val="-6"/>
          <w:sz w:val="20"/>
          <w:szCs w:val="20"/>
        </w:rPr>
        <w:t xml:space="preserve"> </w:t>
      </w:r>
      <w:r w:rsidRPr="000977F7">
        <w:rPr>
          <w:color w:val="auto"/>
          <w:sz w:val="20"/>
          <w:szCs w:val="20"/>
        </w:rPr>
        <w:t>АКРЕДИТАЦІЇ–</w:t>
      </w:r>
    </w:p>
    <w:p w14:paraId="3C6AD094"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bookmarkStart w:id="181" w:name="n200"/>
      <w:bookmarkStart w:id="182" w:name="n201"/>
      <w:bookmarkEnd w:id="181"/>
      <w:bookmarkEnd w:id="182"/>
      <w:r w:rsidRPr="000977F7">
        <w:rPr>
          <w:rFonts w:asciiTheme="majorHAnsi" w:hAnsiTheme="majorHAnsi"/>
          <w:sz w:val="20"/>
          <w:szCs w:val="20"/>
          <w:lang w:val="uk-UA"/>
        </w:rPr>
        <w:t>Основними етапами здійснення акредитації є:</w:t>
      </w:r>
    </w:p>
    <w:p w14:paraId="68D09A4D"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bookmarkStart w:id="183" w:name="n202"/>
      <w:bookmarkStart w:id="184" w:name="n203"/>
      <w:bookmarkEnd w:id="183"/>
      <w:bookmarkEnd w:id="184"/>
      <w:r w:rsidRPr="000977F7">
        <w:rPr>
          <w:rFonts w:asciiTheme="majorHAnsi" w:hAnsiTheme="majorHAnsi"/>
          <w:sz w:val="20"/>
          <w:szCs w:val="20"/>
          <w:lang w:val="uk-UA"/>
        </w:rPr>
        <w:t>подання заявки органом з оцінки відповідності (заявником) на акредитацію чи розширення сфери його акредитації;</w:t>
      </w:r>
    </w:p>
    <w:p w14:paraId="25BC6254"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bookmarkStart w:id="185" w:name="n204"/>
      <w:bookmarkStart w:id="186" w:name="n205"/>
      <w:bookmarkEnd w:id="185"/>
      <w:bookmarkEnd w:id="186"/>
      <w:r w:rsidRPr="000977F7">
        <w:rPr>
          <w:rFonts w:asciiTheme="majorHAnsi" w:hAnsiTheme="majorHAnsi"/>
          <w:sz w:val="20"/>
          <w:szCs w:val="20"/>
          <w:lang w:val="uk-UA"/>
        </w:rPr>
        <w:t>надання заявником інформації та документації, необхідної для акредитації;</w:t>
      </w:r>
    </w:p>
    <w:p w14:paraId="4714E8A3"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bookmarkStart w:id="187" w:name="n206"/>
      <w:bookmarkEnd w:id="187"/>
      <w:r w:rsidRPr="000977F7">
        <w:rPr>
          <w:rFonts w:asciiTheme="majorHAnsi" w:hAnsiTheme="majorHAnsi"/>
          <w:sz w:val="20"/>
          <w:szCs w:val="20"/>
          <w:lang w:val="uk-UA"/>
        </w:rPr>
        <w:t>призначення групи аудиторів з акредитації;</w:t>
      </w:r>
    </w:p>
    <w:p w14:paraId="082D90EE"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bookmarkStart w:id="188" w:name="n207"/>
      <w:bookmarkEnd w:id="188"/>
      <w:r w:rsidRPr="000977F7">
        <w:rPr>
          <w:rFonts w:asciiTheme="majorHAnsi" w:hAnsiTheme="majorHAnsi"/>
          <w:sz w:val="20"/>
          <w:szCs w:val="20"/>
          <w:lang w:val="uk-UA"/>
        </w:rPr>
        <w:t>складання програми робіт з акредитації та інформування про це заявника;</w:t>
      </w:r>
    </w:p>
    <w:p w14:paraId="571DBA86" w14:textId="77777777" w:rsidR="0097612F" w:rsidRPr="000977F7" w:rsidRDefault="0097612F" w:rsidP="000977F7">
      <w:pPr>
        <w:pStyle w:val="rvps2"/>
        <w:shd w:val="clear" w:color="auto" w:fill="FFFFFF"/>
        <w:tabs>
          <w:tab w:val="left" w:pos="284"/>
          <w:tab w:val="left" w:pos="4820"/>
        </w:tabs>
        <w:spacing w:before="0" w:beforeAutospacing="0" w:after="0" w:afterAutospacing="0"/>
        <w:ind w:left="170"/>
        <w:mirrorIndents/>
        <w:jc w:val="both"/>
        <w:rPr>
          <w:rFonts w:asciiTheme="majorHAnsi" w:hAnsiTheme="majorHAnsi"/>
          <w:sz w:val="20"/>
          <w:szCs w:val="20"/>
          <w:lang w:val="uk-UA"/>
        </w:rPr>
      </w:pPr>
      <w:r w:rsidRPr="000977F7">
        <w:rPr>
          <w:rFonts w:asciiTheme="majorHAnsi" w:hAnsiTheme="majorHAnsi"/>
          <w:sz w:val="20"/>
          <w:szCs w:val="20"/>
          <w:lang w:val="uk-UA"/>
        </w:rPr>
        <w:t>проведення аналізу наданої інформації та документації;</w:t>
      </w:r>
    </w:p>
    <w:p w14:paraId="2A898C22"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bookmarkStart w:id="189" w:name="n209"/>
      <w:bookmarkEnd w:id="189"/>
      <w:r w:rsidRPr="000977F7">
        <w:rPr>
          <w:rFonts w:asciiTheme="majorHAnsi" w:hAnsiTheme="majorHAnsi"/>
          <w:sz w:val="20"/>
          <w:szCs w:val="20"/>
          <w:lang w:val="uk-UA"/>
        </w:rPr>
        <w:t>проведення оцінки заявника на місці;</w:t>
      </w:r>
    </w:p>
    <w:p w14:paraId="79D1CBF1"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bookmarkStart w:id="190" w:name="n210"/>
      <w:bookmarkStart w:id="191" w:name="n211"/>
      <w:bookmarkEnd w:id="190"/>
      <w:bookmarkEnd w:id="191"/>
      <w:r w:rsidRPr="000977F7">
        <w:rPr>
          <w:rFonts w:asciiTheme="majorHAnsi" w:hAnsiTheme="majorHAnsi"/>
          <w:sz w:val="20"/>
          <w:szCs w:val="20"/>
          <w:lang w:val="uk-UA"/>
        </w:rPr>
        <w:t>аналіз зібраних матеріалів і складання акта оцінки з рекомендаціями щодо акредитації заявника (розширення сфери його акредитації) або відмови в акредитації заявника (відмови в розширенні сфери його акредитації);</w:t>
      </w:r>
    </w:p>
    <w:p w14:paraId="0089C35B"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bookmarkStart w:id="192" w:name="n212"/>
      <w:bookmarkStart w:id="193" w:name="n213"/>
      <w:bookmarkEnd w:id="192"/>
      <w:bookmarkEnd w:id="193"/>
      <w:r w:rsidRPr="000977F7">
        <w:rPr>
          <w:rFonts w:asciiTheme="majorHAnsi" w:hAnsiTheme="majorHAnsi"/>
          <w:sz w:val="20"/>
          <w:szCs w:val="20"/>
          <w:lang w:val="uk-UA"/>
        </w:rPr>
        <w:t>прийняття рішення про акредитацію заявника (розширення сфери його акредитації) або про відмову в акредитації заявника (відмову в розширенні сфери його акредитації).</w:t>
      </w:r>
    </w:p>
    <w:p w14:paraId="401835A0"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bookmarkStart w:id="194" w:name="n214"/>
      <w:bookmarkStart w:id="195" w:name="n215"/>
      <w:bookmarkEnd w:id="194"/>
      <w:bookmarkEnd w:id="195"/>
      <w:r w:rsidRPr="000977F7">
        <w:rPr>
          <w:rFonts w:asciiTheme="majorHAnsi" w:hAnsiTheme="majorHAnsi"/>
          <w:sz w:val="20"/>
          <w:szCs w:val="20"/>
          <w:lang w:val="uk-UA"/>
        </w:rPr>
        <w:t>Національний орган України з акредитації на підставі заявки органу з оцінки відповідності оцінює компетентність цього органу для провадження визначеної в заявці діяльності з оцінки відповідності.</w:t>
      </w:r>
    </w:p>
    <w:p w14:paraId="7BCE2479"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bookmarkStart w:id="196" w:name="n216"/>
      <w:bookmarkStart w:id="197" w:name="n217"/>
      <w:bookmarkEnd w:id="196"/>
      <w:bookmarkEnd w:id="197"/>
      <w:r w:rsidRPr="000977F7">
        <w:rPr>
          <w:rFonts w:asciiTheme="majorHAnsi" w:hAnsiTheme="majorHAnsi"/>
          <w:sz w:val="20"/>
          <w:szCs w:val="20"/>
          <w:lang w:val="uk-UA"/>
        </w:rPr>
        <w:t xml:space="preserve">Якщо національний орган України з акредитації встановлює, що відповідний орган з оцінки відповідності є компетентним для провадження визначеної в заявці діяльності з оцінки відповідності, національний орган України з акредитації приймає рішення про його акредитацію чи розширення сфери його акредитації. У разі прийняття рішення про акредитацію органу з оцінки відповідності йому видається атестат про акредитацію та надається право використовувати національний знак </w:t>
      </w:r>
      <w:r w:rsidRPr="000977F7">
        <w:rPr>
          <w:rFonts w:asciiTheme="majorHAnsi" w:hAnsiTheme="majorHAnsi"/>
          <w:sz w:val="20"/>
          <w:szCs w:val="20"/>
          <w:lang w:val="uk-UA"/>
        </w:rPr>
        <w:t xml:space="preserve">акредитації. Строк дії атестата про акредитацію становить п'ять років. </w:t>
      </w:r>
      <w:hyperlink r:id="rId33" w:tgtFrame="_blank" w:history="1">
        <w:r w:rsidRPr="000977F7">
          <w:rPr>
            <w:rStyle w:val="af1"/>
            <w:rFonts w:asciiTheme="majorHAnsi" w:hAnsiTheme="majorHAnsi"/>
            <w:color w:val="auto"/>
            <w:sz w:val="20"/>
            <w:szCs w:val="20"/>
            <w:lang w:val="uk-UA"/>
          </w:rPr>
          <w:t>Опис</w:t>
        </w:r>
      </w:hyperlink>
      <w:r w:rsidRPr="000977F7">
        <w:rPr>
          <w:rFonts w:asciiTheme="majorHAnsi" w:hAnsiTheme="majorHAnsi"/>
          <w:sz w:val="20"/>
          <w:szCs w:val="20"/>
          <w:lang w:val="uk-UA"/>
        </w:rPr>
        <w:t xml:space="preserve"> та </w:t>
      </w:r>
      <w:hyperlink r:id="rId34" w:tgtFrame="_blank" w:history="1">
        <w:r w:rsidRPr="000977F7">
          <w:rPr>
            <w:rStyle w:val="af1"/>
            <w:rFonts w:asciiTheme="majorHAnsi" w:hAnsiTheme="majorHAnsi"/>
            <w:color w:val="auto"/>
            <w:sz w:val="20"/>
            <w:szCs w:val="20"/>
            <w:lang w:val="uk-UA"/>
          </w:rPr>
          <w:t>правила застосування національного знака акредитації</w:t>
        </w:r>
      </w:hyperlink>
      <w:r w:rsidRPr="000977F7">
        <w:rPr>
          <w:rStyle w:val="af1"/>
          <w:rFonts w:asciiTheme="majorHAnsi" w:hAnsiTheme="majorHAnsi"/>
          <w:color w:val="auto"/>
          <w:sz w:val="20"/>
          <w:szCs w:val="20"/>
          <w:lang w:val="uk-UA"/>
        </w:rPr>
        <w:t xml:space="preserve"> </w:t>
      </w:r>
      <w:r w:rsidRPr="000977F7">
        <w:rPr>
          <w:rFonts w:asciiTheme="majorHAnsi" w:hAnsiTheme="majorHAnsi"/>
          <w:sz w:val="20"/>
          <w:szCs w:val="20"/>
          <w:lang w:val="uk-UA"/>
        </w:rPr>
        <w:t>встановлюються центральним органом виконавчої влади, що забезпечує формування державної політики у сфері економічного розвитку.</w:t>
      </w:r>
    </w:p>
    <w:p w14:paraId="2E5A2A19"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bookmarkStart w:id="198" w:name="n218"/>
      <w:bookmarkStart w:id="199" w:name="n219"/>
      <w:bookmarkEnd w:id="198"/>
      <w:bookmarkEnd w:id="199"/>
      <w:r w:rsidRPr="000977F7">
        <w:rPr>
          <w:rFonts w:asciiTheme="majorHAnsi" w:hAnsiTheme="majorHAnsi"/>
          <w:sz w:val="20"/>
          <w:szCs w:val="20"/>
          <w:lang w:val="uk-UA"/>
        </w:rPr>
        <w:t xml:space="preserve">У разі прийняття рішення про відмову в акредитації чи відмову в розширенні сфери акредитації заявникові видається (надсилається) письмове повідомлення про таку відмову, в якому </w:t>
      </w:r>
    </w:p>
    <w:p w14:paraId="540DC989"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bookmarkStart w:id="200" w:name="n221"/>
      <w:bookmarkEnd w:id="200"/>
      <w:r w:rsidRPr="000977F7">
        <w:rPr>
          <w:rFonts w:asciiTheme="majorHAnsi" w:hAnsiTheme="majorHAnsi"/>
          <w:sz w:val="20"/>
          <w:szCs w:val="20"/>
          <w:lang w:val="uk-UA"/>
        </w:rPr>
        <w:t>Національний орган України з акредитації проводить моніторинг шляхом здійснення нагляду, повторних, позачергових та інших оцінок акредитованих органів.</w:t>
      </w:r>
    </w:p>
    <w:p w14:paraId="2FF97F69"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bookmarkStart w:id="201" w:name="n222"/>
      <w:bookmarkStart w:id="202" w:name="n223"/>
      <w:bookmarkEnd w:id="201"/>
      <w:bookmarkEnd w:id="202"/>
      <w:r w:rsidRPr="000977F7">
        <w:rPr>
          <w:rFonts w:asciiTheme="majorHAnsi" w:hAnsiTheme="majorHAnsi"/>
          <w:sz w:val="20"/>
          <w:szCs w:val="20"/>
          <w:lang w:val="uk-UA"/>
        </w:rPr>
        <w:t>Якщо національний орган України з акредитації встановлює, що акредитований орган з оцінки відповідності втратив компетентність для провадження визначеної діяльності з оцінки відповідності або вчинив грубе порушення своїх обов'язків, національний орган України з акредитації вживає всіх належних заходів до обмеження сфери акредитації, тимчасового зупинення дії або скасування атестата про акредитацію.</w:t>
      </w:r>
    </w:p>
    <w:p w14:paraId="1199B58A"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bookmarkStart w:id="203" w:name="n224"/>
      <w:bookmarkStart w:id="204" w:name="n225"/>
      <w:bookmarkEnd w:id="203"/>
      <w:bookmarkEnd w:id="204"/>
      <w:r w:rsidRPr="000977F7">
        <w:rPr>
          <w:rFonts w:asciiTheme="majorHAnsi" w:hAnsiTheme="majorHAnsi"/>
          <w:sz w:val="20"/>
          <w:szCs w:val="20"/>
          <w:lang w:val="uk-UA"/>
        </w:rPr>
        <w:t>Рішення про акредитацію, відмову в акредитації, розширення та обмеження сфери акредитації, тимчасове зупинення і поновлення дії та скасування атестата про акредитацію приймає керівник національного органу України з акредитації, а у разі його відсутності особа, яка його заміщує.</w:t>
      </w:r>
    </w:p>
    <w:p w14:paraId="50D6332B"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bookmarkStart w:id="205" w:name="n226"/>
      <w:bookmarkStart w:id="206" w:name="n227"/>
      <w:bookmarkEnd w:id="205"/>
      <w:bookmarkEnd w:id="206"/>
      <w:r w:rsidRPr="000977F7">
        <w:rPr>
          <w:rFonts w:asciiTheme="majorHAnsi" w:hAnsiTheme="majorHAnsi"/>
          <w:sz w:val="20"/>
          <w:szCs w:val="20"/>
          <w:lang w:val="uk-UA"/>
        </w:rPr>
        <w:t>У разі, якщо керівник національного органу України з акредитації або особа, яка його заміщує на час відсутності, брав (брала) участь у проведенні оцінки органу з оцінки відповідності, рішення, зазначене в частині восьмій цієї статті, на підставі такої оцінки приймає один із заступників керівника національного органу України з акредитації, який не брав участі у проведенні відповідної оцінки.</w:t>
      </w:r>
    </w:p>
    <w:p w14:paraId="4475CFC3"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bookmarkStart w:id="207" w:name="n228"/>
      <w:bookmarkEnd w:id="207"/>
      <w:r w:rsidRPr="000977F7">
        <w:rPr>
          <w:rFonts w:asciiTheme="majorHAnsi" w:hAnsiTheme="majorHAnsi"/>
          <w:sz w:val="20"/>
          <w:szCs w:val="20"/>
          <w:lang w:val="uk-UA"/>
        </w:rPr>
        <w:t>Строки здійснення акредитації визначаються національним органом України з акредитації.</w:t>
      </w:r>
    </w:p>
    <w:p w14:paraId="76B04F3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bookmarkStart w:id="208" w:name="n230"/>
      <w:bookmarkEnd w:id="208"/>
      <w:r w:rsidRPr="000977F7">
        <w:rPr>
          <w:rFonts w:asciiTheme="majorHAnsi" w:hAnsiTheme="majorHAnsi"/>
          <w:i/>
          <w:sz w:val="20"/>
          <w:szCs w:val="20"/>
        </w:rPr>
        <w:t>СТ. 11 закону України "Про акредитацію органів з оцінки</w:t>
      </w:r>
      <w:r w:rsidRPr="000977F7">
        <w:rPr>
          <w:rFonts w:asciiTheme="majorHAnsi" w:hAnsiTheme="majorHAnsi"/>
          <w:i/>
          <w:spacing w:val="1"/>
          <w:sz w:val="20"/>
          <w:szCs w:val="20"/>
        </w:rPr>
        <w:t xml:space="preserve"> </w:t>
      </w:r>
      <w:r w:rsidRPr="000977F7">
        <w:rPr>
          <w:rFonts w:asciiTheme="majorHAnsi" w:hAnsiTheme="majorHAnsi"/>
          <w:i/>
          <w:sz w:val="20"/>
          <w:szCs w:val="20"/>
        </w:rPr>
        <w:t>відповідності"</w:t>
      </w:r>
    </w:p>
    <w:p w14:paraId="64DB057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ПОРЯДОК РОЗРОБЛЕННЯ ТЕХНІЧНИХ</w:t>
      </w:r>
      <w:r w:rsidRPr="000977F7">
        <w:rPr>
          <w:color w:val="auto"/>
          <w:spacing w:val="-47"/>
          <w:sz w:val="20"/>
          <w:szCs w:val="20"/>
        </w:rPr>
        <w:t xml:space="preserve"> </w:t>
      </w:r>
      <w:r w:rsidRPr="000977F7">
        <w:rPr>
          <w:color w:val="auto"/>
          <w:sz w:val="20"/>
          <w:szCs w:val="20"/>
        </w:rPr>
        <w:t>УМОВ</w:t>
      </w:r>
      <w:r w:rsidRPr="000977F7">
        <w:rPr>
          <w:color w:val="auto"/>
          <w:spacing w:val="1"/>
          <w:sz w:val="20"/>
          <w:szCs w:val="20"/>
        </w:rPr>
        <w:t xml:space="preserve"> </w:t>
      </w:r>
    </w:p>
    <w:p w14:paraId="416D40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Основою</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прийняття</w:t>
      </w:r>
      <w:r w:rsidRPr="000977F7">
        <w:rPr>
          <w:rFonts w:asciiTheme="majorHAnsi" w:hAnsiTheme="majorHAnsi"/>
          <w:spacing w:val="1"/>
          <w:sz w:val="20"/>
          <w:szCs w:val="20"/>
        </w:rPr>
        <w:t xml:space="preserve"> </w:t>
      </w:r>
      <w:r w:rsidRPr="000977F7">
        <w:rPr>
          <w:rFonts w:asciiTheme="majorHAnsi" w:hAnsiTheme="majorHAnsi"/>
          <w:sz w:val="20"/>
          <w:szCs w:val="20"/>
        </w:rPr>
        <w:t>рішення</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w:t>
      </w:r>
      <w:r w:rsidRPr="000977F7">
        <w:rPr>
          <w:rFonts w:asciiTheme="majorHAnsi" w:hAnsiTheme="majorHAnsi"/>
          <w:spacing w:val="1"/>
          <w:sz w:val="20"/>
          <w:szCs w:val="20"/>
        </w:rPr>
        <w:t xml:space="preserve"> </w:t>
      </w:r>
      <w:r w:rsidRPr="000977F7">
        <w:rPr>
          <w:rFonts w:asciiTheme="majorHAnsi" w:hAnsiTheme="majorHAnsi"/>
          <w:sz w:val="20"/>
          <w:szCs w:val="20"/>
        </w:rPr>
        <w:t>технічних умов</w:t>
      </w:r>
      <w:r w:rsidRPr="000977F7">
        <w:rPr>
          <w:rFonts w:asciiTheme="majorHAnsi" w:hAnsiTheme="majorHAnsi"/>
          <w:spacing w:val="-1"/>
          <w:sz w:val="20"/>
          <w:szCs w:val="20"/>
        </w:rPr>
        <w:t xml:space="preserve"> </w:t>
      </w:r>
      <w:r w:rsidRPr="000977F7">
        <w:rPr>
          <w:rFonts w:asciiTheme="majorHAnsi" w:hAnsiTheme="majorHAnsi"/>
          <w:sz w:val="20"/>
          <w:szCs w:val="20"/>
        </w:rPr>
        <w:t>(ТУ)</w:t>
      </w:r>
      <w:r w:rsidRPr="000977F7">
        <w:rPr>
          <w:rFonts w:asciiTheme="majorHAnsi" w:hAnsiTheme="majorHAnsi"/>
          <w:spacing w:val="1"/>
          <w:sz w:val="20"/>
          <w:szCs w:val="20"/>
        </w:rPr>
        <w:t xml:space="preserve"> </w:t>
      </w:r>
      <w:r w:rsidRPr="000977F7">
        <w:rPr>
          <w:rFonts w:asciiTheme="majorHAnsi" w:hAnsiTheme="majorHAnsi"/>
          <w:sz w:val="20"/>
          <w:szCs w:val="20"/>
        </w:rPr>
        <w:t>є:</w:t>
      </w:r>
    </w:p>
    <w:p w14:paraId="175731A0" w14:textId="77777777" w:rsidR="0097612F" w:rsidRPr="000977F7" w:rsidRDefault="0097612F" w:rsidP="00FD39A4">
      <w:pPr>
        <w:pStyle w:val="ac"/>
        <w:widowControl w:val="0"/>
        <w:numPr>
          <w:ilvl w:val="0"/>
          <w:numId w:val="112"/>
        </w:numPr>
        <w:tabs>
          <w:tab w:val="left" w:pos="284"/>
          <w:tab w:val="left" w:pos="73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технічне завдання на розроблення продукції (договір, контракт, протокол і т. ін.), розроблене та затверджене в порядку, встановленому підприємством</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(організацією)</w:t>
      </w:r>
      <w:r w:rsidRPr="000977F7">
        <w:rPr>
          <w:rFonts w:asciiTheme="majorHAnsi" w:hAnsiTheme="majorHAnsi"/>
          <w:spacing w:val="1"/>
          <w:sz w:val="20"/>
          <w:szCs w:val="20"/>
        </w:rPr>
        <w:t xml:space="preserve"> </w:t>
      </w:r>
      <w:r w:rsidRPr="000977F7">
        <w:rPr>
          <w:rFonts w:asciiTheme="majorHAnsi" w:hAnsiTheme="majorHAnsi"/>
          <w:sz w:val="20"/>
          <w:szCs w:val="20"/>
        </w:rPr>
        <w:t>розробником</w:t>
      </w:r>
      <w:r w:rsidRPr="000977F7">
        <w:rPr>
          <w:rFonts w:asciiTheme="majorHAnsi" w:hAnsiTheme="majorHAnsi"/>
          <w:spacing w:val="1"/>
          <w:sz w:val="20"/>
          <w:szCs w:val="20"/>
        </w:rPr>
        <w:t xml:space="preserve"> </w:t>
      </w:r>
      <w:r w:rsidRPr="000977F7">
        <w:rPr>
          <w:rFonts w:asciiTheme="majorHAnsi" w:hAnsiTheme="majorHAnsi"/>
          <w:sz w:val="20"/>
          <w:szCs w:val="20"/>
        </w:rPr>
        <w:t>продукції та замовником (основним</w:t>
      </w:r>
      <w:r w:rsidRPr="000977F7">
        <w:rPr>
          <w:rFonts w:asciiTheme="majorHAnsi" w:hAnsiTheme="majorHAnsi"/>
          <w:spacing w:val="1"/>
          <w:sz w:val="20"/>
          <w:szCs w:val="20"/>
        </w:rPr>
        <w:t xml:space="preserve"> </w:t>
      </w:r>
      <w:r w:rsidRPr="000977F7">
        <w:rPr>
          <w:rFonts w:asciiTheme="majorHAnsi" w:hAnsiTheme="majorHAnsi"/>
          <w:sz w:val="20"/>
          <w:szCs w:val="20"/>
        </w:rPr>
        <w:t>споживачем);</w:t>
      </w:r>
    </w:p>
    <w:p w14:paraId="07177582" w14:textId="77777777" w:rsidR="0097612F" w:rsidRPr="000977F7" w:rsidRDefault="0097612F" w:rsidP="00FD39A4">
      <w:pPr>
        <w:pStyle w:val="ac"/>
        <w:widowControl w:val="0"/>
        <w:numPr>
          <w:ilvl w:val="0"/>
          <w:numId w:val="112"/>
        </w:numPr>
        <w:tabs>
          <w:tab w:val="left" w:pos="284"/>
          <w:tab w:val="left" w:pos="71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державна</w:t>
      </w:r>
      <w:r w:rsidRPr="000977F7">
        <w:rPr>
          <w:rFonts w:asciiTheme="majorHAnsi" w:hAnsiTheme="majorHAnsi"/>
          <w:spacing w:val="-2"/>
          <w:sz w:val="20"/>
          <w:szCs w:val="20"/>
        </w:rPr>
        <w:t xml:space="preserve"> </w:t>
      </w:r>
      <w:r w:rsidRPr="000977F7">
        <w:rPr>
          <w:rFonts w:asciiTheme="majorHAnsi" w:hAnsiTheme="majorHAnsi"/>
          <w:sz w:val="20"/>
          <w:szCs w:val="20"/>
        </w:rPr>
        <w:t>програма</w:t>
      </w:r>
      <w:r w:rsidRPr="000977F7">
        <w:rPr>
          <w:rFonts w:asciiTheme="majorHAnsi" w:hAnsiTheme="majorHAnsi"/>
          <w:spacing w:val="-5"/>
          <w:sz w:val="20"/>
          <w:szCs w:val="20"/>
        </w:rPr>
        <w:t xml:space="preserve"> </w:t>
      </w:r>
      <w:r w:rsidRPr="000977F7">
        <w:rPr>
          <w:rFonts w:asciiTheme="majorHAnsi" w:hAnsiTheme="majorHAnsi"/>
          <w:sz w:val="20"/>
          <w:szCs w:val="20"/>
        </w:rPr>
        <w:t>або</w:t>
      </w:r>
      <w:r w:rsidRPr="000977F7">
        <w:rPr>
          <w:rFonts w:asciiTheme="majorHAnsi" w:hAnsiTheme="majorHAnsi"/>
          <w:spacing w:val="-4"/>
          <w:sz w:val="20"/>
          <w:szCs w:val="20"/>
        </w:rPr>
        <w:t xml:space="preserve"> </w:t>
      </w:r>
      <w:r w:rsidRPr="000977F7">
        <w:rPr>
          <w:rFonts w:asciiTheme="majorHAnsi" w:hAnsiTheme="majorHAnsi"/>
          <w:sz w:val="20"/>
          <w:szCs w:val="20"/>
        </w:rPr>
        <w:t>директивний</w:t>
      </w:r>
      <w:r w:rsidRPr="000977F7">
        <w:rPr>
          <w:rFonts w:asciiTheme="majorHAnsi" w:hAnsiTheme="majorHAnsi"/>
          <w:spacing w:val="-4"/>
          <w:sz w:val="20"/>
          <w:szCs w:val="20"/>
        </w:rPr>
        <w:t xml:space="preserve"> </w:t>
      </w:r>
      <w:r w:rsidRPr="000977F7">
        <w:rPr>
          <w:rFonts w:asciiTheme="majorHAnsi" w:hAnsiTheme="majorHAnsi"/>
          <w:sz w:val="20"/>
          <w:szCs w:val="20"/>
        </w:rPr>
        <w:t>документ;</w:t>
      </w:r>
    </w:p>
    <w:p w14:paraId="2A03C06A" w14:textId="77777777" w:rsidR="0097612F" w:rsidRPr="000977F7" w:rsidRDefault="0097612F" w:rsidP="00FD39A4">
      <w:pPr>
        <w:pStyle w:val="ac"/>
        <w:widowControl w:val="0"/>
        <w:numPr>
          <w:ilvl w:val="0"/>
          <w:numId w:val="112"/>
        </w:numPr>
        <w:tabs>
          <w:tab w:val="left" w:pos="284"/>
          <w:tab w:val="left" w:pos="71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ініціативні пропозиції підприємств (організацій) розробників або підприємств (організацій) виробників</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6CF961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Розроблення змін до ТУ здійснюють 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 власники</w:t>
      </w:r>
      <w:r w:rsidRPr="000977F7">
        <w:rPr>
          <w:rFonts w:asciiTheme="majorHAnsi" w:hAnsiTheme="majorHAnsi"/>
          <w:spacing w:val="-1"/>
          <w:sz w:val="20"/>
          <w:szCs w:val="20"/>
        </w:rPr>
        <w:t xml:space="preserve"> </w:t>
      </w:r>
      <w:r w:rsidRPr="000977F7">
        <w:rPr>
          <w:rFonts w:asciiTheme="majorHAnsi" w:hAnsiTheme="majorHAnsi"/>
          <w:sz w:val="20"/>
          <w:szCs w:val="20"/>
        </w:rPr>
        <w:t>оригіналів</w:t>
      </w:r>
      <w:r w:rsidRPr="000977F7">
        <w:rPr>
          <w:rFonts w:asciiTheme="majorHAnsi" w:hAnsiTheme="majorHAnsi"/>
          <w:spacing w:val="-2"/>
          <w:sz w:val="20"/>
          <w:szCs w:val="20"/>
        </w:rPr>
        <w:t xml:space="preserve"> </w:t>
      </w:r>
      <w:r w:rsidRPr="000977F7">
        <w:rPr>
          <w:rFonts w:asciiTheme="majorHAnsi" w:hAnsiTheme="majorHAnsi"/>
          <w:sz w:val="20"/>
          <w:szCs w:val="20"/>
        </w:rPr>
        <w:t>ТУ</w:t>
      </w:r>
    </w:p>
    <w:p w14:paraId="3613A2D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ПОСАДОВІ</w:t>
      </w:r>
      <w:r w:rsidRPr="000977F7">
        <w:rPr>
          <w:color w:val="auto"/>
          <w:spacing w:val="-6"/>
          <w:sz w:val="20"/>
          <w:szCs w:val="20"/>
        </w:rPr>
        <w:t xml:space="preserve"> </w:t>
      </w:r>
      <w:r w:rsidRPr="000977F7">
        <w:rPr>
          <w:color w:val="auto"/>
          <w:sz w:val="20"/>
          <w:szCs w:val="20"/>
        </w:rPr>
        <w:t>ОСОБИ</w:t>
      </w:r>
      <w:r w:rsidRPr="000977F7">
        <w:rPr>
          <w:color w:val="auto"/>
          <w:spacing w:val="-3"/>
          <w:sz w:val="20"/>
          <w:szCs w:val="20"/>
        </w:rPr>
        <w:t xml:space="preserve"> </w:t>
      </w:r>
      <w:r w:rsidRPr="000977F7">
        <w:rPr>
          <w:color w:val="auto"/>
          <w:sz w:val="20"/>
          <w:szCs w:val="20"/>
        </w:rPr>
        <w:t>ПІДПРИЄМСТВА –</w:t>
      </w:r>
    </w:p>
    <w:p w14:paraId="2A5A275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Керівники та інші працівники підприємств (резиденти</w:t>
      </w:r>
      <w:r w:rsidRPr="000977F7">
        <w:rPr>
          <w:rFonts w:asciiTheme="majorHAnsi" w:hAnsiTheme="majorHAnsi"/>
          <w:spacing w:val="-47"/>
          <w:sz w:val="20"/>
          <w:szCs w:val="20"/>
        </w:rPr>
        <w:t xml:space="preserve"> </w:t>
      </w:r>
      <w:r w:rsidRPr="000977F7">
        <w:rPr>
          <w:rFonts w:asciiTheme="majorHAnsi" w:hAnsiTheme="majorHAnsi"/>
          <w:sz w:val="20"/>
          <w:szCs w:val="20"/>
        </w:rPr>
        <w:t>та нерезиденти), які в силу постійно або тимчасово</w:t>
      </w:r>
      <w:r w:rsidRPr="000977F7">
        <w:rPr>
          <w:rFonts w:asciiTheme="majorHAnsi" w:hAnsiTheme="majorHAnsi"/>
          <w:spacing w:val="1"/>
          <w:sz w:val="20"/>
          <w:szCs w:val="20"/>
        </w:rPr>
        <w:t xml:space="preserve"> </w:t>
      </w:r>
      <w:r w:rsidRPr="000977F7">
        <w:rPr>
          <w:rFonts w:asciiTheme="majorHAnsi" w:hAnsiTheme="majorHAnsi"/>
          <w:sz w:val="20"/>
          <w:szCs w:val="20"/>
        </w:rPr>
        <w:t>виконуваних ними трудових (службових) обов’язків</w:t>
      </w:r>
      <w:r w:rsidRPr="000977F7">
        <w:rPr>
          <w:rFonts w:asciiTheme="majorHAnsi" w:hAnsiTheme="majorHAnsi"/>
          <w:spacing w:val="1"/>
          <w:sz w:val="20"/>
          <w:szCs w:val="20"/>
        </w:rPr>
        <w:t xml:space="preserve"> </w:t>
      </w:r>
      <w:r w:rsidRPr="000977F7">
        <w:rPr>
          <w:rFonts w:asciiTheme="majorHAnsi" w:hAnsiTheme="majorHAnsi"/>
          <w:sz w:val="20"/>
          <w:szCs w:val="20"/>
        </w:rPr>
        <w:t>відповідають за виконання вимог, встановлених цим</w:t>
      </w:r>
      <w:r w:rsidRPr="000977F7">
        <w:rPr>
          <w:rFonts w:asciiTheme="majorHAnsi" w:hAnsiTheme="majorHAnsi"/>
          <w:spacing w:val="1"/>
          <w:sz w:val="20"/>
          <w:szCs w:val="20"/>
        </w:rPr>
        <w:t xml:space="preserve"> </w:t>
      </w:r>
      <w:r w:rsidRPr="000977F7">
        <w:rPr>
          <w:rFonts w:asciiTheme="majorHAnsi" w:hAnsiTheme="majorHAnsi"/>
          <w:sz w:val="20"/>
          <w:szCs w:val="20"/>
        </w:rPr>
        <w:t xml:space="preserve">Кодексом, законами та </w:t>
      </w:r>
      <w:r w:rsidRPr="000977F7">
        <w:rPr>
          <w:rFonts w:asciiTheme="majorHAnsi" w:hAnsiTheme="majorHAnsi"/>
          <w:sz w:val="20"/>
          <w:szCs w:val="20"/>
        </w:rPr>
        <w:lastRenderedPageBreak/>
        <w:t>іншими нормативно-правовими актами України, а також міжнародними договорами України з питань митної справи, укладеними в</w:t>
      </w:r>
      <w:r w:rsidRPr="000977F7">
        <w:rPr>
          <w:rFonts w:asciiTheme="majorHAnsi" w:hAnsiTheme="majorHAnsi"/>
          <w:spacing w:val="1"/>
          <w:sz w:val="20"/>
          <w:szCs w:val="20"/>
        </w:rPr>
        <w:t xml:space="preserve"> </w:t>
      </w:r>
      <w:r w:rsidRPr="000977F7">
        <w:rPr>
          <w:rFonts w:asciiTheme="majorHAnsi" w:hAnsiTheme="majorHAnsi"/>
          <w:sz w:val="20"/>
          <w:szCs w:val="20"/>
        </w:rPr>
        <w:t>установленому</w:t>
      </w:r>
      <w:r w:rsidRPr="000977F7">
        <w:rPr>
          <w:rFonts w:asciiTheme="majorHAnsi" w:hAnsiTheme="majorHAnsi"/>
          <w:spacing w:val="-5"/>
          <w:sz w:val="20"/>
          <w:szCs w:val="20"/>
        </w:rPr>
        <w:t xml:space="preserve"> </w:t>
      </w:r>
      <w:r w:rsidRPr="000977F7">
        <w:rPr>
          <w:rFonts w:asciiTheme="majorHAnsi" w:hAnsiTheme="majorHAnsi"/>
          <w:sz w:val="20"/>
          <w:szCs w:val="20"/>
        </w:rPr>
        <w:t>законом</w:t>
      </w:r>
      <w:r w:rsidRPr="000977F7">
        <w:rPr>
          <w:rFonts w:asciiTheme="majorHAnsi" w:hAnsiTheme="majorHAnsi"/>
          <w:spacing w:val="1"/>
          <w:sz w:val="20"/>
          <w:szCs w:val="20"/>
        </w:rPr>
        <w:t xml:space="preserve"> </w:t>
      </w:r>
      <w:r w:rsidRPr="000977F7">
        <w:rPr>
          <w:rFonts w:asciiTheme="majorHAnsi" w:hAnsiTheme="majorHAnsi"/>
          <w:sz w:val="20"/>
          <w:szCs w:val="20"/>
        </w:rPr>
        <w:t>порядку</w:t>
      </w:r>
    </w:p>
    <w:p w14:paraId="5FA3C7EF"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Митний кодекс України.</w:t>
      </w:r>
      <w:r w:rsidRPr="000977F7">
        <w:rPr>
          <w:rFonts w:asciiTheme="majorHAnsi" w:hAnsiTheme="majorHAnsi"/>
          <w:i/>
          <w:spacing w:val="1"/>
          <w:sz w:val="20"/>
          <w:szCs w:val="20"/>
        </w:rPr>
        <w:t xml:space="preserve"> </w:t>
      </w:r>
    </w:p>
    <w:p w14:paraId="293A16C9"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ПОСИЛАННЯ</w:t>
      </w:r>
      <w:r w:rsidRPr="000977F7">
        <w:rPr>
          <w:rFonts w:asciiTheme="majorHAnsi" w:hAnsiTheme="majorHAnsi"/>
          <w:b/>
          <w:spacing w:val="40"/>
          <w:sz w:val="20"/>
          <w:szCs w:val="20"/>
        </w:rPr>
        <w:t xml:space="preserve"> </w:t>
      </w:r>
      <w:r w:rsidRPr="000977F7">
        <w:rPr>
          <w:rFonts w:asciiTheme="majorHAnsi" w:hAnsiTheme="majorHAnsi"/>
          <w:b/>
          <w:sz w:val="20"/>
          <w:szCs w:val="20"/>
        </w:rPr>
        <w:t>НА</w:t>
      </w:r>
      <w:r w:rsidRPr="000977F7">
        <w:rPr>
          <w:rFonts w:asciiTheme="majorHAnsi" w:hAnsiTheme="majorHAnsi"/>
          <w:b/>
          <w:spacing w:val="40"/>
          <w:sz w:val="20"/>
          <w:szCs w:val="20"/>
        </w:rPr>
        <w:t xml:space="preserve"> </w:t>
      </w:r>
      <w:r w:rsidRPr="000977F7">
        <w:rPr>
          <w:rFonts w:asciiTheme="majorHAnsi" w:hAnsiTheme="majorHAnsi"/>
          <w:b/>
          <w:sz w:val="20"/>
          <w:szCs w:val="20"/>
        </w:rPr>
        <w:t>КОМПЛЕКСИ</w:t>
      </w:r>
      <w:r w:rsidRPr="000977F7">
        <w:rPr>
          <w:rFonts w:asciiTheme="majorHAnsi" w:hAnsiTheme="majorHAnsi"/>
          <w:b/>
          <w:spacing w:val="-47"/>
          <w:sz w:val="20"/>
          <w:szCs w:val="20"/>
        </w:rPr>
        <w:t xml:space="preserve"> </w:t>
      </w:r>
      <w:r w:rsidRPr="000977F7">
        <w:rPr>
          <w:rFonts w:asciiTheme="majorHAnsi" w:hAnsiTheme="majorHAnsi"/>
          <w:b/>
          <w:sz w:val="20"/>
          <w:szCs w:val="20"/>
        </w:rPr>
        <w:t>СТАНДАРТІВ</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3488D34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REFERENCE</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48"/>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46"/>
          <w:sz w:val="20"/>
          <w:szCs w:val="20"/>
          <w:lang w:val="en-US"/>
        </w:rPr>
        <w:t xml:space="preserve"> </w:t>
      </w:r>
      <w:r w:rsidRPr="004D2D14">
        <w:rPr>
          <w:rFonts w:asciiTheme="majorHAnsi" w:hAnsiTheme="majorHAnsi"/>
          <w:sz w:val="20"/>
          <w:szCs w:val="20"/>
          <w:lang w:val="en-US"/>
        </w:rPr>
        <w:t>COMPLEX</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STANDARDS</w:t>
      </w:r>
      <w:r w:rsidRPr="004D2D14">
        <w:rPr>
          <w:rFonts w:asciiTheme="majorHAnsi" w:hAnsiTheme="majorHAnsi"/>
          <w:spacing w:val="3"/>
          <w:sz w:val="20"/>
          <w:szCs w:val="20"/>
          <w:lang w:val="en-US"/>
        </w:rPr>
        <w:t xml:space="preserve"> </w:t>
      </w:r>
    </w:p>
    <w:p w14:paraId="001DC5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Посилання, що містить зазначення групового заголовка комплексу стандартів без позначень і найменувань</w:t>
      </w:r>
      <w:r w:rsidRPr="000977F7">
        <w:rPr>
          <w:rFonts w:asciiTheme="majorHAnsi" w:hAnsiTheme="majorHAnsi"/>
          <w:spacing w:val="1"/>
          <w:sz w:val="20"/>
          <w:szCs w:val="20"/>
        </w:rPr>
        <w:t xml:space="preserve"> </w:t>
      </w:r>
      <w:r w:rsidRPr="000977F7">
        <w:rPr>
          <w:rFonts w:asciiTheme="majorHAnsi" w:hAnsiTheme="majorHAnsi"/>
          <w:sz w:val="20"/>
          <w:szCs w:val="20"/>
        </w:rPr>
        <w:t>конкретних</w:t>
      </w:r>
      <w:r w:rsidRPr="000977F7">
        <w:rPr>
          <w:rFonts w:asciiTheme="majorHAnsi" w:hAnsiTheme="majorHAnsi"/>
          <w:spacing w:val="-2"/>
          <w:sz w:val="20"/>
          <w:szCs w:val="20"/>
        </w:rPr>
        <w:t xml:space="preserve"> </w:t>
      </w:r>
      <w:r w:rsidRPr="000977F7">
        <w:rPr>
          <w:rFonts w:asciiTheme="majorHAnsi" w:hAnsiTheme="majorHAnsi"/>
          <w:sz w:val="20"/>
          <w:szCs w:val="20"/>
        </w:rPr>
        <w:t>стандартів</w:t>
      </w:r>
    </w:p>
    <w:p w14:paraId="111C518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ПОСИЛАННЯ</w:t>
      </w:r>
      <w:r w:rsidRPr="000977F7">
        <w:rPr>
          <w:color w:val="auto"/>
          <w:spacing w:val="43"/>
          <w:sz w:val="20"/>
          <w:szCs w:val="20"/>
        </w:rPr>
        <w:t xml:space="preserve"> </w:t>
      </w:r>
      <w:r w:rsidRPr="000977F7">
        <w:rPr>
          <w:color w:val="auto"/>
          <w:sz w:val="20"/>
          <w:szCs w:val="20"/>
        </w:rPr>
        <w:t>НА</w:t>
      </w:r>
      <w:r w:rsidRPr="000977F7">
        <w:rPr>
          <w:color w:val="auto"/>
          <w:spacing w:val="-4"/>
          <w:sz w:val="20"/>
          <w:szCs w:val="20"/>
        </w:rPr>
        <w:t xml:space="preserve"> </w:t>
      </w:r>
      <w:r w:rsidRPr="000977F7">
        <w:rPr>
          <w:color w:val="auto"/>
          <w:sz w:val="20"/>
          <w:szCs w:val="20"/>
        </w:rPr>
        <w:t>СТАНДАРТИ</w:t>
      </w:r>
      <w:r w:rsidRPr="000977F7">
        <w:rPr>
          <w:color w:val="auto"/>
          <w:spacing w:val="1"/>
          <w:sz w:val="20"/>
          <w:szCs w:val="20"/>
        </w:rPr>
        <w:t xml:space="preserve"> </w:t>
      </w:r>
      <w:r w:rsidRPr="000977F7">
        <w:rPr>
          <w:color w:val="auto"/>
          <w:sz w:val="20"/>
          <w:szCs w:val="20"/>
        </w:rPr>
        <w:t>–</w:t>
      </w:r>
    </w:p>
    <w:p w14:paraId="06711D97"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REFFRENCE</w:t>
      </w:r>
      <w:r w:rsidRPr="000977F7">
        <w:rPr>
          <w:b w:val="0"/>
          <w:bCs/>
          <w:color w:val="auto"/>
          <w:spacing w:val="46"/>
          <w:sz w:val="20"/>
          <w:szCs w:val="20"/>
        </w:rPr>
        <w:t xml:space="preserve"> </w:t>
      </w:r>
      <w:r w:rsidRPr="000977F7">
        <w:rPr>
          <w:b w:val="0"/>
          <w:bCs/>
          <w:color w:val="auto"/>
          <w:sz w:val="20"/>
          <w:szCs w:val="20"/>
        </w:rPr>
        <w:t>TO</w:t>
      </w:r>
      <w:r w:rsidRPr="000977F7">
        <w:rPr>
          <w:b w:val="0"/>
          <w:bCs/>
          <w:color w:val="auto"/>
          <w:spacing w:val="47"/>
          <w:sz w:val="20"/>
          <w:szCs w:val="20"/>
        </w:rPr>
        <w:t xml:space="preserve"> </w:t>
      </w:r>
      <w:r w:rsidRPr="000977F7">
        <w:rPr>
          <w:b w:val="0"/>
          <w:bCs/>
          <w:color w:val="auto"/>
          <w:sz w:val="20"/>
          <w:szCs w:val="20"/>
        </w:rPr>
        <w:t>STANDARDS –</w:t>
      </w:r>
    </w:p>
    <w:p w14:paraId="3C88CE6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Заміна детального викладення тексту документа посиланням на один або декілька стандартів. Метод</w:t>
      </w:r>
      <w:r w:rsidRPr="000977F7">
        <w:rPr>
          <w:rFonts w:asciiTheme="majorHAnsi" w:hAnsiTheme="majorHAnsi"/>
          <w:spacing w:val="1"/>
          <w:sz w:val="20"/>
          <w:szCs w:val="20"/>
        </w:rPr>
        <w:t xml:space="preserve"> </w:t>
      </w:r>
      <w:r w:rsidRPr="000977F7">
        <w:rPr>
          <w:rFonts w:asciiTheme="majorHAnsi" w:hAnsiTheme="majorHAnsi"/>
          <w:sz w:val="20"/>
          <w:szCs w:val="20"/>
        </w:rPr>
        <w:t>складання регламенту, у відповідності з яким деталь</w:t>
      </w:r>
      <w:r w:rsidRPr="000977F7">
        <w:rPr>
          <w:rFonts w:asciiTheme="majorHAnsi" w:hAnsiTheme="majorHAnsi"/>
          <w:spacing w:val="1"/>
          <w:sz w:val="20"/>
          <w:szCs w:val="20"/>
        </w:rPr>
        <w:t xml:space="preserve"> </w:t>
      </w:r>
      <w:r w:rsidRPr="000977F7">
        <w:rPr>
          <w:rFonts w:asciiTheme="majorHAnsi" w:hAnsiTheme="majorHAnsi"/>
          <w:sz w:val="20"/>
          <w:szCs w:val="20"/>
        </w:rPr>
        <w:t>не викладення в тексті документа технічних умов замінюється</w:t>
      </w:r>
      <w:r w:rsidRPr="000977F7">
        <w:rPr>
          <w:rFonts w:asciiTheme="majorHAnsi" w:hAnsiTheme="majorHAnsi"/>
          <w:spacing w:val="1"/>
          <w:sz w:val="20"/>
          <w:szCs w:val="20"/>
        </w:rPr>
        <w:t xml:space="preserve"> </w:t>
      </w:r>
      <w:r w:rsidRPr="000977F7">
        <w:rPr>
          <w:rFonts w:asciiTheme="majorHAnsi" w:hAnsiTheme="majorHAnsi"/>
          <w:sz w:val="20"/>
          <w:szCs w:val="20"/>
        </w:rPr>
        <w:t>посиланням на один або декілька стандартів</w:t>
      </w:r>
    </w:p>
    <w:p w14:paraId="67631951"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ПОСИЛАННЯ</w:t>
      </w:r>
      <w:r w:rsidRPr="000977F7">
        <w:rPr>
          <w:color w:val="auto"/>
          <w:spacing w:val="1"/>
          <w:sz w:val="20"/>
          <w:szCs w:val="20"/>
        </w:rPr>
        <w:t xml:space="preserve"> </w:t>
      </w:r>
      <w:r w:rsidRPr="000977F7">
        <w:rPr>
          <w:color w:val="auto"/>
          <w:sz w:val="20"/>
          <w:szCs w:val="20"/>
        </w:rPr>
        <w:t>НА</w:t>
      </w:r>
      <w:r w:rsidRPr="000977F7">
        <w:rPr>
          <w:color w:val="auto"/>
          <w:spacing w:val="1"/>
          <w:sz w:val="20"/>
          <w:szCs w:val="20"/>
        </w:rPr>
        <w:t xml:space="preserve"> </w:t>
      </w:r>
      <w:r w:rsidRPr="000977F7">
        <w:rPr>
          <w:color w:val="auto"/>
          <w:sz w:val="20"/>
          <w:szCs w:val="20"/>
        </w:rPr>
        <w:t>СТАНДАРТИ</w:t>
      </w:r>
      <w:r w:rsidRPr="000977F7">
        <w:rPr>
          <w:color w:val="auto"/>
          <w:spacing w:val="1"/>
          <w:sz w:val="20"/>
          <w:szCs w:val="20"/>
        </w:rPr>
        <w:t xml:space="preserve"> </w:t>
      </w:r>
    </w:p>
    <w:p w14:paraId="5FCF2AE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w:t>
      </w:r>
      <w:r w:rsidRPr="000977F7">
        <w:rPr>
          <w:color w:val="auto"/>
          <w:spacing w:val="1"/>
          <w:sz w:val="20"/>
          <w:szCs w:val="20"/>
        </w:rPr>
        <w:t xml:space="preserve"> </w:t>
      </w:r>
      <w:r w:rsidRPr="000977F7">
        <w:rPr>
          <w:color w:val="auto"/>
          <w:sz w:val="20"/>
          <w:szCs w:val="20"/>
        </w:rPr>
        <w:t>РЕГЛА</w:t>
      </w:r>
      <w:r w:rsidRPr="000977F7">
        <w:rPr>
          <w:color w:val="auto"/>
          <w:spacing w:val="-47"/>
          <w:sz w:val="20"/>
          <w:szCs w:val="20"/>
        </w:rPr>
        <w:t xml:space="preserve"> </w:t>
      </w:r>
      <w:r w:rsidRPr="000977F7">
        <w:rPr>
          <w:color w:val="auto"/>
          <w:sz w:val="20"/>
          <w:szCs w:val="20"/>
        </w:rPr>
        <w:t>МЕНТАХ) –</w:t>
      </w:r>
    </w:p>
    <w:p w14:paraId="29AE41D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REFERENCE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STANDARDS</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(IN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REGULATIONS)–</w:t>
      </w:r>
    </w:p>
    <w:p w14:paraId="1D202E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Посилання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один</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декілька</w:t>
      </w:r>
      <w:r w:rsidRPr="000977F7">
        <w:rPr>
          <w:rFonts w:asciiTheme="majorHAnsi" w:hAnsiTheme="majorHAnsi"/>
          <w:spacing w:val="1"/>
          <w:sz w:val="20"/>
          <w:szCs w:val="20"/>
        </w:rPr>
        <w:t xml:space="preserve"> </w:t>
      </w:r>
      <w:r w:rsidRPr="000977F7">
        <w:rPr>
          <w:rFonts w:asciiTheme="majorHAnsi" w:hAnsiTheme="majorHAnsi"/>
          <w:sz w:val="20"/>
          <w:szCs w:val="20"/>
        </w:rPr>
        <w:t>стандартів</w:t>
      </w:r>
      <w:r w:rsidRPr="000977F7">
        <w:rPr>
          <w:rFonts w:asciiTheme="majorHAnsi" w:hAnsiTheme="majorHAnsi"/>
          <w:spacing w:val="1"/>
          <w:sz w:val="20"/>
          <w:szCs w:val="20"/>
        </w:rPr>
        <w:t xml:space="preserve"> </w:t>
      </w:r>
      <w:r w:rsidRPr="000977F7">
        <w:rPr>
          <w:rFonts w:asciiTheme="majorHAnsi" w:hAnsiTheme="majorHAnsi"/>
          <w:sz w:val="20"/>
          <w:szCs w:val="20"/>
        </w:rPr>
        <w:t>замість</w:t>
      </w:r>
      <w:r w:rsidRPr="000977F7">
        <w:rPr>
          <w:rFonts w:asciiTheme="majorHAnsi" w:hAnsiTheme="majorHAnsi"/>
          <w:spacing w:val="1"/>
          <w:sz w:val="20"/>
          <w:szCs w:val="20"/>
        </w:rPr>
        <w:t xml:space="preserve"> </w:t>
      </w:r>
      <w:r w:rsidRPr="000977F7">
        <w:rPr>
          <w:rFonts w:asciiTheme="majorHAnsi" w:hAnsiTheme="majorHAnsi"/>
          <w:sz w:val="20"/>
          <w:szCs w:val="20"/>
        </w:rPr>
        <w:t>детального викладу</w:t>
      </w:r>
      <w:r w:rsidRPr="000977F7">
        <w:rPr>
          <w:rFonts w:asciiTheme="majorHAnsi" w:hAnsiTheme="majorHAnsi"/>
          <w:spacing w:val="-2"/>
          <w:sz w:val="20"/>
          <w:szCs w:val="20"/>
        </w:rPr>
        <w:t xml:space="preserve"> </w:t>
      </w:r>
      <w:r w:rsidRPr="000977F7">
        <w:rPr>
          <w:rFonts w:asciiTheme="majorHAnsi" w:hAnsiTheme="majorHAnsi"/>
          <w:sz w:val="20"/>
          <w:szCs w:val="20"/>
        </w:rPr>
        <w:t>положень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регламенті</w:t>
      </w:r>
    </w:p>
    <w:p w14:paraId="769CC9A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и:</w:t>
      </w:r>
    </w:p>
    <w:p w14:paraId="77F05C9C" w14:textId="77777777" w:rsidR="0097612F" w:rsidRPr="000977F7" w:rsidRDefault="0097612F" w:rsidP="00FD39A4">
      <w:pPr>
        <w:pStyle w:val="ac"/>
        <w:widowControl w:val="0"/>
        <w:numPr>
          <w:ilvl w:val="0"/>
          <w:numId w:val="111"/>
        </w:numPr>
        <w:tabs>
          <w:tab w:val="left" w:pos="284"/>
          <w:tab w:val="left" w:pos="86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Посилання на стандарти може бути зі сталою або</w:t>
      </w:r>
      <w:r w:rsidRPr="000977F7">
        <w:rPr>
          <w:rFonts w:asciiTheme="majorHAnsi" w:hAnsiTheme="majorHAnsi"/>
          <w:spacing w:val="-47"/>
          <w:sz w:val="20"/>
          <w:szCs w:val="20"/>
        </w:rPr>
        <w:t xml:space="preserve"> </w:t>
      </w:r>
      <w:r w:rsidRPr="000977F7">
        <w:rPr>
          <w:rFonts w:asciiTheme="majorHAnsi" w:hAnsiTheme="majorHAnsi"/>
          <w:sz w:val="20"/>
          <w:szCs w:val="20"/>
        </w:rPr>
        <w:t>змінною ідентифікацією чи загальним і одночасно або винятковим, або вказівним</w:t>
      </w:r>
    </w:p>
    <w:p w14:paraId="5B1DCA2D" w14:textId="77777777" w:rsidR="0097612F" w:rsidRPr="000977F7" w:rsidRDefault="0097612F" w:rsidP="00FD39A4">
      <w:pPr>
        <w:pStyle w:val="ac"/>
        <w:widowControl w:val="0"/>
        <w:numPr>
          <w:ilvl w:val="0"/>
          <w:numId w:val="111"/>
        </w:numPr>
        <w:tabs>
          <w:tab w:val="left" w:pos="284"/>
          <w:tab w:val="left" w:pos="860"/>
          <w:tab w:val="left" w:pos="861"/>
        </w:tabs>
        <w:autoSpaceDE w:val="0"/>
        <w:autoSpaceDN w:val="0"/>
        <w:spacing w:after="0" w:line="240" w:lineRule="auto"/>
        <w:ind w:left="170" w:firstLine="0"/>
        <w:contextualSpacing w:val="0"/>
        <w:mirrorIndents/>
        <w:jc w:val="both"/>
        <w:rPr>
          <w:rFonts w:asciiTheme="majorHAnsi" w:hAnsiTheme="majorHAnsi"/>
          <w:i/>
          <w:sz w:val="20"/>
          <w:szCs w:val="20"/>
        </w:rPr>
      </w:pPr>
      <w:r w:rsidRPr="000977F7">
        <w:rPr>
          <w:rFonts w:asciiTheme="majorHAnsi" w:hAnsiTheme="majorHAnsi"/>
          <w:sz w:val="20"/>
          <w:szCs w:val="20"/>
        </w:rPr>
        <w:t>Посилання</w:t>
      </w:r>
      <w:r w:rsidRPr="000977F7">
        <w:rPr>
          <w:rFonts w:asciiTheme="majorHAnsi" w:hAnsiTheme="majorHAnsi"/>
          <w:spacing w:val="23"/>
          <w:sz w:val="20"/>
          <w:szCs w:val="20"/>
        </w:rPr>
        <w:t xml:space="preserve"> </w:t>
      </w:r>
      <w:r w:rsidRPr="000977F7">
        <w:rPr>
          <w:rFonts w:asciiTheme="majorHAnsi" w:hAnsiTheme="majorHAnsi"/>
          <w:sz w:val="20"/>
          <w:szCs w:val="20"/>
        </w:rPr>
        <w:t>на</w:t>
      </w:r>
      <w:r w:rsidRPr="000977F7">
        <w:rPr>
          <w:rFonts w:asciiTheme="majorHAnsi" w:hAnsiTheme="majorHAnsi"/>
          <w:spacing w:val="26"/>
          <w:sz w:val="20"/>
          <w:szCs w:val="20"/>
        </w:rPr>
        <w:t xml:space="preserve"> </w:t>
      </w:r>
      <w:r w:rsidRPr="000977F7">
        <w:rPr>
          <w:rFonts w:asciiTheme="majorHAnsi" w:hAnsiTheme="majorHAnsi"/>
          <w:sz w:val="20"/>
          <w:szCs w:val="20"/>
        </w:rPr>
        <w:t>стандарти</w:t>
      </w:r>
      <w:r w:rsidRPr="000977F7">
        <w:rPr>
          <w:rFonts w:asciiTheme="majorHAnsi" w:hAnsiTheme="majorHAnsi"/>
          <w:spacing w:val="22"/>
          <w:sz w:val="20"/>
          <w:szCs w:val="20"/>
        </w:rPr>
        <w:t xml:space="preserve"> </w:t>
      </w:r>
      <w:r w:rsidRPr="000977F7">
        <w:rPr>
          <w:rFonts w:asciiTheme="majorHAnsi" w:hAnsiTheme="majorHAnsi"/>
          <w:sz w:val="20"/>
          <w:szCs w:val="20"/>
        </w:rPr>
        <w:t>може</w:t>
      </w:r>
      <w:r w:rsidRPr="000977F7">
        <w:rPr>
          <w:rFonts w:asciiTheme="majorHAnsi" w:hAnsiTheme="majorHAnsi"/>
          <w:spacing w:val="23"/>
          <w:sz w:val="20"/>
          <w:szCs w:val="20"/>
        </w:rPr>
        <w:t xml:space="preserve"> </w:t>
      </w:r>
      <w:r w:rsidRPr="000977F7">
        <w:rPr>
          <w:rFonts w:asciiTheme="majorHAnsi" w:hAnsiTheme="majorHAnsi"/>
          <w:sz w:val="20"/>
          <w:szCs w:val="20"/>
        </w:rPr>
        <w:t>бути</w:t>
      </w:r>
      <w:r w:rsidRPr="000977F7">
        <w:rPr>
          <w:rFonts w:asciiTheme="majorHAnsi" w:hAnsiTheme="majorHAnsi"/>
          <w:spacing w:val="25"/>
          <w:sz w:val="20"/>
          <w:szCs w:val="20"/>
        </w:rPr>
        <w:t xml:space="preserve"> </w:t>
      </w:r>
      <w:r w:rsidRPr="000977F7">
        <w:rPr>
          <w:rFonts w:asciiTheme="majorHAnsi" w:hAnsiTheme="majorHAnsi"/>
          <w:sz w:val="20"/>
          <w:szCs w:val="20"/>
        </w:rPr>
        <w:t>пов’язане</w:t>
      </w:r>
      <w:r w:rsidRPr="000977F7">
        <w:rPr>
          <w:rFonts w:asciiTheme="majorHAnsi" w:hAnsiTheme="majorHAnsi"/>
          <w:spacing w:val="25"/>
          <w:sz w:val="20"/>
          <w:szCs w:val="20"/>
        </w:rPr>
        <w:t xml:space="preserve"> </w:t>
      </w:r>
      <w:r w:rsidRPr="000977F7">
        <w:rPr>
          <w:rFonts w:asciiTheme="majorHAnsi" w:hAnsiTheme="majorHAnsi"/>
          <w:sz w:val="20"/>
          <w:szCs w:val="20"/>
        </w:rPr>
        <w:t>із</w:t>
      </w:r>
      <w:r w:rsidRPr="000977F7">
        <w:rPr>
          <w:rFonts w:asciiTheme="majorHAnsi" w:hAnsiTheme="majorHAnsi"/>
          <w:spacing w:val="-47"/>
          <w:sz w:val="20"/>
          <w:szCs w:val="20"/>
        </w:rPr>
        <w:t xml:space="preserve"> </w:t>
      </w:r>
      <w:r w:rsidRPr="000977F7">
        <w:rPr>
          <w:rFonts w:asciiTheme="majorHAnsi" w:hAnsiTheme="majorHAnsi"/>
          <w:sz w:val="20"/>
          <w:szCs w:val="20"/>
        </w:rPr>
        <w:t>загальнішим</w:t>
      </w:r>
      <w:r w:rsidRPr="000977F7">
        <w:rPr>
          <w:rFonts w:asciiTheme="majorHAnsi" w:hAnsiTheme="majorHAnsi"/>
          <w:spacing w:val="6"/>
          <w:sz w:val="20"/>
          <w:szCs w:val="20"/>
        </w:rPr>
        <w:t xml:space="preserve"> </w:t>
      </w:r>
      <w:r w:rsidRPr="000977F7">
        <w:rPr>
          <w:rFonts w:asciiTheme="majorHAnsi" w:hAnsiTheme="majorHAnsi"/>
          <w:sz w:val="20"/>
          <w:szCs w:val="20"/>
        </w:rPr>
        <w:t>чинним</w:t>
      </w:r>
      <w:r w:rsidRPr="000977F7">
        <w:rPr>
          <w:rFonts w:asciiTheme="majorHAnsi" w:hAnsiTheme="majorHAnsi"/>
          <w:spacing w:val="6"/>
          <w:sz w:val="20"/>
          <w:szCs w:val="20"/>
        </w:rPr>
        <w:t xml:space="preserve"> </w:t>
      </w:r>
      <w:r w:rsidRPr="000977F7">
        <w:rPr>
          <w:rFonts w:asciiTheme="majorHAnsi" w:hAnsiTheme="majorHAnsi"/>
          <w:sz w:val="20"/>
          <w:szCs w:val="20"/>
        </w:rPr>
        <w:t>положенням</w:t>
      </w:r>
      <w:r w:rsidRPr="000977F7">
        <w:rPr>
          <w:rFonts w:asciiTheme="majorHAnsi" w:hAnsiTheme="majorHAnsi"/>
          <w:spacing w:val="6"/>
          <w:sz w:val="20"/>
          <w:szCs w:val="20"/>
        </w:rPr>
        <w:t xml:space="preserve"> </w:t>
      </w:r>
      <w:r w:rsidRPr="000977F7">
        <w:rPr>
          <w:rFonts w:asciiTheme="majorHAnsi" w:hAnsiTheme="majorHAnsi"/>
          <w:sz w:val="20"/>
          <w:szCs w:val="20"/>
        </w:rPr>
        <w:t>стосовно</w:t>
      </w:r>
      <w:r w:rsidRPr="000977F7">
        <w:rPr>
          <w:rFonts w:asciiTheme="majorHAnsi" w:hAnsiTheme="majorHAnsi"/>
          <w:spacing w:val="6"/>
          <w:sz w:val="20"/>
          <w:szCs w:val="20"/>
        </w:rPr>
        <w:t xml:space="preserve"> </w:t>
      </w:r>
      <w:r w:rsidRPr="000977F7">
        <w:rPr>
          <w:rFonts w:asciiTheme="majorHAnsi" w:hAnsiTheme="majorHAnsi"/>
          <w:sz w:val="20"/>
          <w:szCs w:val="20"/>
        </w:rPr>
        <w:t>рівня</w:t>
      </w:r>
      <w:r w:rsidRPr="000977F7">
        <w:rPr>
          <w:rFonts w:asciiTheme="majorHAnsi" w:hAnsiTheme="majorHAnsi"/>
          <w:spacing w:val="-47"/>
          <w:sz w:val="20"/>
          <w:szCs w:val="20"/>
        </w:rPr>
        <w:t xml:space="preserve"> </w:t>
      </w:r>
      <w:r w:rsidRPr="000977F7">
        <w:rPr>
          <w:rFonts w:asciiTheme="majorHAnsi" w:hAnsiTheme="majorHAnsi"/>
          <w:sz w:val="20"/>
          <w:szCs w:val="20"/>
        </w:rPr>
        <w:t>розвитку</w:t>
      </w:r>
      <w:r w:rsidRPr="000977F7">
        <w:rPr>
          <w:rFonts w:asciiTheme="majorHAnsi" w:hAnsiTheme="majorHAnsi"/>
          <w:spacing w:val="17"/>
          <w:sz w:val="20"/>
          <w:szCs w:val="20"/>
        </w:rPr>
        <w:t xml:space="preserve"> </w:t>
      </w:r>
      <w:r w:rsidRPr="000977F7">
        <w:rPr>
          <w:rFonts w:asciiTheme="majorHAnsi" w:hAnsiTheme="majorHAnsi"/>
          <w:sz w:val="20"/>
          <w:szCs w:val="20"/>
        </w:rPr>
        <w:t>техніки</w:t>
      </w:r>
      <w:r w:rsidRPr="000977F7">
        <w:rPr>
          <w:rFonts w:asciiTheme="majorHAnsi" w:hAnsiTheme="majorHAnsi"/>
          <w:spacing w:val="15"/>
          <w:sz w:val="20"/>
          <w:szCs w:val="20"/>
        </w:rPr>
        <w:t xml:space="preserve"> </w:t>
      </w:r>
      <w:r w:rsidRPr="000977F7">
        <w:rPr>
          <w:rFonts w:asciiTheme="majorHAnsi" w:hAnsiTheme="majorHAnsi"/>
          <w:sz w:val="20"/>
          <w:szCs w:val="20"/>
        </w:rPr>
        <w:t>або</w:t>
      </w:r>
      <w:r w:rsidRPr="000977F7">
        <w:rPr>
          <w:rFonts w:asciiTheme="majorHAnsi" w:hAnsiTheme="majorHAnsi"/>
          <w:spacing w:val="16"/>
          <w:sz w:val="20"/>
          <w:szCs w:val="20"/>
        </w:rPr>
        <w:t xml:space="preserve"> </w:t>
      </w:r>
      <w:r w:rsidRPr="000977F7">
        <w:rPr>
          <w:rFonts w:asciiTheme="majorHAnsi" w:hAnsiTheme="majorHAnsi"/>
          <w:sz w:val="20"/>
          <w:szCs w:val="20"/>
        </w:rPr>
        <w:t>з</w:t>
      </w:r>
      <w:r w:rsidRPr="000977F7">
        <w:rPr>
          <w:rFonts w:asciiTheme="majorHAnsi" w:hAnsiTheme="majorHAnsi"/>
          <w:spacing w:val="20"/>
          <w:sz w:val="20"/>
          <w:szCs w:val="20"/>
        </w:rPr>
        <w:t xml:space="preserve"> </w:t>
      </w:r>
      <w:r w:rsidRPr="000977F7">
        <w:rPr>
          <w:rFonts w:asciiTheme="majorHAnsi" w:hAnsiTheme="majorHAnsi"/>
          <w:sz w:val="20"/>
          <w:szCs w:val="20"/>
        </w:rPr>
        <w:t>визнаним</w:t>
      </w:r>
      <w:r w:rsidRPr="000977F7">
        <w:rPr>
          <w:rFonts w:asciiTheme="majorHAnsi" w:hAnsiTheme="majorHAnsi"/>
          <w:spacing w:val="19"/>
          <w:sz w:val="20"/>
          <w:szCs w:val="20"/>
        </w:rPr>
        <w:t xml:space="preserve"> </w:t>
      </w:r>
      <w:r w:rsidRPr="000977F7">
        <w:rPr>
          <w:rFonts w:asciiTheme="majorHAnsi" w:hAnsiTheme="majorHAnsi"/>
          <w:sz w:val="20"/>
          <w:szCs w:val="20"/>
        </w:rPr>
        <w:t>технічним</w:t>
      </w:r>
      <w:r w:rsidRPr="000977F7">
        <w:rPr>
          <w:rFonts w:asciiTheme="majorHAnsi" w:hAnsiTheme="majorHAnsi"/>
          <w:spacing w:val="19"/>
          <w:sz w:val="20"/>
          <w:szCs w:val="20"/>
        </w:rPr>
        <w:t xml:space="preserve"> </w:t>
      </w:r>
      <w:r w:rsidRPr="000977F7">
        <w:rPr>
          <w:rFonts w:asciiTheme="majorHAnsi" w:hAnsiTheme="majorHAnsi"/>
          <w:sz w:val="20"/>
          <w:szCs w:val="20"/>
        </w:rPr>
        <w:t>правилом. Таке положення може бути окремим</w:t>
      </w:r>
    </w:p>
    <w:p w14:paraId="20E203C8" w14:textId="77777777" w:rsidR="0097612F" w:rsidRPr="000977F7" w:rsidRDefault="0097612F" w:rsidP="000977F7">
      <w:pPr>
        <w:pStyle w:val="ac"/>
        <w:tabs>
          <w:tab w:val="left" w:pos="284"/>
          <w:tab w:val="left" w:pos="860"/>
          <w:tab w:val="left" w:pos="861"/>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ДСТУISO/IEC</w:t>
      </w:r>
      <w:r w:rsidRPr="000977F7">
        <w:rPr>
          <w:rFonts w:asciiTheme="majorHAnsi" w:hAnsiTheme="majorHAnsi"/>
          <w:i/>
          <w:spacing w:val="-33"/>
          <w:sz w:val="20"/>
          <w:szCs w:val="20"/>
        </w:rPr>
        <w:t xml:space="preserve"> </w:t>
      </w:r>
      <w:r w:rsidRPr="000977F7">
        <w:rPr>
          <w:rFonts w:asciiTheme="majorHAnsi" w:hAnsiTheme="majorHAnsi"/>
          <w:i/>
          <w:sz w:val="20"/>
          <w:szCs w:val="20"/>
        </w:rPr>
        <w:t>17000:2007</w:t>
      </w:r>
    </w:p>
    <w:p w14:paraId="19B7C48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ПОСИЛАННЯ</w:t>
      </w:r>
      <w:r w:rsidRPr="000977F7">
        <w:rPr>
          <w:color w:val="auto"/>
          <w:spacing w:val="18"/>
          <w:sz w:val="20"/>
          <w:szCs w:val="20"/>
        </w:rPr>
        <w:t xml:space="preserve"> </w:t>
      </w:r>
      <w:r w:rsidRPr="000977F7">
        <w:rPr>
          <w:color w:val="auto"/>
          <w:sz w:val="20"/>
          <w:szCs w:val="20"/>
        </w:rPr>
        <w:t>НА</w:t>
      </w:r>
      <w:r w:rsidRPr="000977F7">
        <w:rPr>
          <w:color w:val="auto"/>
          <w:spacing w:val="18"/>
          <w:sz w:val="20"/>
          <w:szCs w:val="20"/>
        </w:rPr>
        <w:t xml:space="preserve"> </w:t>
      </w:r>
      <w:r w:rsidRPr="000977F7">
        <w:rPr>
          <w:color w:val="auto"/>
          <w:sz w:val="20"/>
          <w:szCs w:val="20"/>
        </w:rPr>
        <w:t>СТАНДАРТІ</w:t>
      </w:r>
      <w:r w:rsidRPr="000977F7">
        <w:rPr>
          <w:color w:val="auto"/>
          <w:spacing w:val="17"/>
          <w:sz w:val="20"/>
          <w:szCs w:val="20"/>
        </w:rPr>
        <w:t xml:space="preserve"> </w:t>
      </w:r>
      <w:r w:rsidRPr="000977F7">
        <w:rPr>
          <w:color w:val="auto"/>
          <w:sz w:val="20"/>
          <w:szCs w:val="20"/>
        </w:rPr>
        <w:t>ЗІ</w:t>
      </w:r>
      <w:r w:rsidRPr="000977F7">
        <w:rPr>
          <w:color w:val="auto"/>
          <w:spacing w:val="17"/>
          <w:sz w:val="20"/>
          <w:szCs w:val="20"/>
        </w:rPr>
        <w:t xml:space="preserve"> </w:t>
      </w:r>
      <w:r w:rsidRPr="000977F7">
        <w:rPr>
          <w:color w:val="auto"/>
          <w:sz w:val="20"/>
          <w:szCs w:val="20"/>
        </w:rPr>
        <w:t>СТАЛОЮ</w:t>
      </w:r>
      <w:r w:rsidRPr="000977F7">
        <w:rPr>
          <w:color w:val="auto"/>
          <w:spacing w:val="-47"/>
          <w:sz w:val="20"/>
          <w:szCs w:val="20"/>
        </w:rPr>
        <w:t xml:space="preserve"> </w:t>
      </w:r>
      <w:r w:rsidRPr="000977F7">
        <w:rPr>
          <w:color w:val="auto"/>
          <w:sz w:val="20"/>
          <w:szCs w:val="20"/>
        </w:rPr>
        <w:t>(ЗМІННОЮ)</w:t>
      </w:r>
      <w:r w:rsidRPr="000977F7">
        <w:rPr>
          <w:color w:val="auto"/>
          <w:spacing w:val="-1"/>
          <w:sz w:val="20"/>
          <w:szCs w:val="20"/>
        </w:rPr>
        <w:t xml:space="preserve"> </w:t>
      </w:r>
      <w:r w:rsidRPr="000977F7">
        <w:rPr>
          <w:color w:val="auto"/>
          <w:sz w:val="20"/>
          <w:szCs w:val="20"/>
        </w:rPr>
        <w:t>ІДЕНТИФІКАЦІЄЮ</w:t>
      </w:r>
      <w:r w:rsidRPr="000977F7">
        <w:rPr>
          <w:color w:val="auto"/>
          <w:spacing w:val="1"/>
          <w:sz w:val="20"/>
          <w:szCs w:val="20"/>
        </w:rPr>
        <w:t xml:space="preserve"> </w:t>
      </w:r>
      <w:r w:rsidRPr="000977F7">
        <w:rPr>
          <w:color w:val="auto"/>
          <w:sz w:val="20"/>
          <w:szCs w:val="20"/>
        </w:rPr>
        <w:t>–</w:t>
      </w:r>
    </w:p>
    <w:p w14:paraId="39FC5E9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(UN)DATED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REFERENCE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STANDARDS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1C4B8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Посилання на стандарти, яке ідентифікує один чи більше конкретних стандартів таким чином, щоб подальший перегляд їх набирав чинності тільки після (без)</w:t>
      </w:r>
      <w:r w:rsidRPr="000977F7">
        <w:rPr>
          <w:rFonts w:asciiTheme="majorHAnsi" w:hAnsiTheme="majorHAnsi"/>
          <w:spacing w:val="-47"/>
          <w:sz w:val="20"/>
          <w:szCs w:val="20"/>
        </w:rPr>
        <w:t xml:space="preserve"> </w:t>
      </w:r>
      <w:r w:rsidRPr="000977F7">
        <w:rPr>
          <w:rFonts w:asciiTheme="majorHAnsi" w:hAnsiTheme="majorHAnsi"/>
          <w:sz w:val="20"/>
          <w:szCs w:val="20"/>
        </w:rPr>
        <w:t>внесення</w:t>
      </w:r>
      <w:r w:rsidRPr="000977F7">
        <w:rPr>
          <w:rFonts w:asciiTheme="majorHAnsi" w:hAnsiTheme="majorHAnsi"/>
          <w:spacing w:val="-2"/>
          <w:sz w:val="20"/>
          <w:szCs w:val="20"/>
        </w:rPr>
        <w:t xml:space="preserve"> </w:t>
      </w:r>
      <w:r w:rsidRPr="000977F7">
        <w:rPr>
          <w:rFonts w:asciiTheme="majorHAnsi" w:hAnsiTheme="majorHAnsi"/>
          <w:sz w:val="20"/>
          <w:szCs w:val="20"/>
        </w:rPr>
        <w:t>змін</w:t>
      </w:r>
      <w:r w:rsidRPr="000977F7">
        <w:rPr>
          <w:rFonts w:asciiTheme="majorHAnsi" w:hAnsiTheme="majorHAnsi"/>
          <w:spacing w:val="-1"/>
          <w:sz w:val="20"/>
          <w:szCs w:val="20"/>
        </w:rPr>
        <w:t xml:space="preserve"> </w:t>
      </w:r>
      <w:r w:rsidRPr="000977F7">
        <w:rPr>
          <w:rFonts w:asciiTheme="majorHAnsi" w:hAnsiTheme="majorHAnsi"/>
          <w:sz w:val="20"/>
          <w:szCs w:val="20"/>
        </w:rPr>
        <w:t>до регламенту</w:t>
      </w:r>
    </w:p>
    <w:p w14:paraId="12E68F1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20D477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як звичайно, ідентифікують через його номер та (або) дату видання (лише через його номер).</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вказана</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назва</w:t>
      </w:r>
      <w:r w:rsidRPr="000977F7">
        <w:rPr>
          <w:rFonts w:asciiTheme="majorHAnsi" w:hAnsiTheme="majorHAnsi"/>
          <w:spacing w:val="-2"/>
          <w:sz w:val="20"/>
          <w:szCs w:val="20"/>
        </w:rPr>
        <w:t xml:space="preserve"> </w:t>
      </w:r>
      <w:r w:rsidRPr="000977F7">
        <w:rPr>
          <w:rFonts w:asciiTheme="majorHAnsi" w:hAnsiTheme="majorHAnsi"/>
          <w:sz w:val="20"/>
          <w:szCs w:val="20"/>
        </w:rPr>
        <w:t>стандарту</w:t>
      </w:r>
    </w:p>
    <w:p w14:paraId="427B8AB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pacing w:val="-7"/>
          <w:w w:val="95"/>
          <w:sz w:val="20"/>
          <w:szCs w:val="20"/>
        </w:rPr>
        <w:t>ДСТУ ISO/IEC 17000:2007</w:t>
      </w:r>
      <w:r w:rsidRPr="000977F7">
        <w:rPr>
          <w:rFonts w:asciiTheme="majorHAnsi" w:hAnsiTheme="majorHAnsi"/>
          <w:i/>
          <w:spacing w:val="-6"/>
          <w:w w:val="95"/>
          <w:sz w:val="20"/>
          <w:szCs w:val="20"/>
        </w:rPr>
        <w:t xml:space="preserve"> </w:t>
      </w:r>
    </w:p>
    <w:p w14:paraId="1884F981"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ПОСЛАБЛЕНИЙ КОНТРОЛЬ –</w:t>
      </w:r>
      <w:r w:rsidRPr="000977F7">
        <w:rPr>
          <w:rFonts w:asciiTheme="majorHAnsi" w:hAnsiTheme="majorHAnsi"/>
          <w:b/>
          <w:spacing w:val="-47"/>
          <w:sz w:val="20"/>
          <w:szCs w:val="20"/>
        </w:rPr>
        <w:t xml:space="preserve"> </w:t>
      </w:r>
    </w:p>
    <w:p w14:paraId="406482B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REDUCED</w:t>
      </w:r>
      <w:r w:rsidRPr="000977F7">
        <w:rPr>
          <w:rFonts w:asciiTheme="majorHAnsi" w:hAnsiTheme="majorHAnsi"/>
          <w:spacing w:val="-1"/>
          <w:sz w:val="20"/>
          <w:szCs w:val="20"/>
        </w:rPr>
        <w:t xml:space="preserve"> </w:t>
      </w:r>
      <w:r w:rsidRPr="000977F7">
        <w:rPr>
          <w:rFonts w:asciiTheme="majorHAnsi" w:hAnsiTheme="majorHAnsi"/>
          <w:sz w:val="20"/>
          <w:szCs w:val="20"/>
        </w:rPr>
        <w:t>INSPECTION</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6AF83AF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Статистичний приймальний контроль, який застосовують у разі, коли результат контролю заданої кількості попередніх партій продукції дає підстави для висновку</w:t>
      </w:r>
    </w:p>
    <w:p w14:paraId="4FFAF94F"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ПОСИЛЕНИЙ КОНТРОЛЬ –</w:t>
      </w:r>
    </w:p>
    <w:p w14:paraId="6A3B34F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TIGHTENED</w:t>
      </w:r>
      <w:r w:rsidRPr="000977F7">
        <w:rPr>
          <w:rFonts w:asciiTheme="majorHAnsi" w:hAnsiTheme="majorHAnsi"/>
          <w:spacing w:val="-1"/>
          <w:sz w:val="20"/>
          <w:szCs w:val="20"/>
        </w:rPr>
        <w:t xml:space="preserve"> </w:t>
      </w:r>
      <w:r w:rsidRPr="000977F7">
        <w:rPr>
          <w:rFonts w:asciiTheme="majorHAnsi" w:hAnsiTheme="majorHAnsi"/>
          <w:sz w:val="20"/>
          <w:szCs w:val="20"/>
        </w:rPr>
        <w:t>INSPECTION –</w:t>
      </w:r>
    </w:p>
    <w:p w14:paraId="7C6C162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Статистичний що дійсний рівень дефектності нижчий ніж</w:t>
      </w:r>
      <w:r w:rsidRPr="000977F7">
        <w:rPr>
          <w:rFonts w:asciiTheme="majorHAnsi" w:hAnsiTheme="majorHAnsi"/>
          <w:spacing w:val="1"/>
          <w:sz w:val="20"/>
          <w:szCs w:val="20"/>
        </w:rPr>
        <w:t xml:space="preserve"> </w:t>
      </w:r>
      <w:r w:rsidRPr="000977F7">
        <w:rPr>
          <w:rFonts w:asciiTheme="majorHAnsi" w:hAnsiTheme="majorHAnsi"/>
          <w:sz w:val="20"/>
          <w:szCs w:val="20"/>
        </w:rPr>
        <w:t>приймальний,</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характеризується</w:t>
      </w:r>
      <w:r w:rsidRPr="000977F7">
        <w:rPr>
          <w:rFonts w:asciiTheme="majorHAnsi" w:hAnsiTheme="majorHAnsi"/>
          <w:spacing w:val="1"/>
          <w:sz w:val="20"/>
          <w:szCs w:val="20"/>
        </w:rPr>
        <w:t xml:space="preserve"> </w:t>
      </w:r>
      <w:r w:rsidRPr="000977F7">
        <w:rPr>
          <w:rFonts w:asciiTheme="majorHAnsi" w:hAnsiTheme="majorHAnsi"/>
          <w:sz w:val="20"/>
          <w:szCs w:val="20"/>
        </w:rPr>
        <w:t>меншим</w:t>
      </w:r>
      <w:r w:rsidRPr="000977F7">
        <w:rPr>
          <w:rFonts w:asciiTheme="majorHAnsi" w:hAnsiTheme="majorHAnsi"/>
          <w:spacing w:val="1"/>
          <w:sz w:val="20"/>
          <w:szCs w:val="20"/>
        </w:rPr>
        <w:t xml:space="preserve"> </w:t>
      </w:r>
      <w:r w:rsidRPr="000977F7">
        <w:rPr>
          <w:rFonts w:asciiTheme="majorHAnsi" w:hAnsiTheme="majorHAnsi"/>
          <w:sz w:val="20"/>
          <w:szCs w:val="20"/>
        </w:rPr>
        <w:t>обсягом</w:t>
      </w:r>
      <w:r w:rsidRPr="000977F7">
        <w:rPr>
          <w:rFonts w:asciiTheme="majorHAnsi" w:hAnsiTheme="majorHAnsi"/>
          <w:spacing w:val="-47"/>
          <w:sz w:val="20"/>
          <w:szCs w:val="20"/>
        </w:rPr>
        <w:t xml:space="preserve"> </w:t>
      </w:r>
      <w:r w:rsidRPr="000977F7">
        <w:rPr>
          <w:rFonts w:asciiTheme="majorHAnsi" w:hAnsiTheme="majorHAnsi"/>
          <w:sz w:val="20"/>
          <w:szCs w:val="20"/>
        </w:rPr>
        <w:t>вибірки, ніж за нормального контролю та (чи) можливою</w:t>
      </w:r>
      <w:r w:rsidRPr="000977F7">
        <w:rPr>
          <w:rFonts w:asciiTheme="majorHAnsi" w:hAnsiTheme="majorHAnsi"/>
          <w:spacing w:val="-1"/>
          <w:sz w:val="20"/>
          <w:szCs w:val="20"/>
        </w:rPr>
        <w:t xml:space="preserve"> </w:t>
      </w:r>
      <w:r w:rsidRPr="000977F7">
        <w:rPr>
          <w:rFonts w:asciiTheme="majorHAnsi" w:hAnsiTheme="majorHAnsi"/>
          <w:sz w:val="20"/>
          <w:szCs w:val="20"/>
        </w:rPr>
        <w:t>зміною контрольних параметрів</w:t>
      </w:r>
    </w:p>
    <w:p w14:paraId="599B1DB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 – 97</w:t>
      </w:r>
    </w:p>
    <w:p w14:paraId="2ECF512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ПОСЛІДОВНЕ</w:t>
      </w:r>
      <w:r w:rsidRPr="000977F7">
        <w:rPr>
          <w:color w:val="auto"/>
          <w:spacing w:val="-6"/>
          <w:sz w:val="20"/>
          <w:szCs w:val="20"/>
        </w:rPr>
        <w:t xml:space="preserve"> </w:t>
      </w:r>
      <w:r w:rsidRPr="000977F7">
        <w:rPr>
          <w:color w:val="auto"/>
          <w:sz w:val="20"/>
          <w:szCs w:val="20"/>
        </w:rPr>
        <w:t>ПОЄДНАННЯ</w:t>
      </w:r>
      <w:r w:rsidRPr="000977F7">
        <w:rPr>
          <w:color w:val="auto"/>
          <w:spacing w:val="-5"/>
          <w:sz w:val="20"/>
          <w:szCs w:val="20"/>
        </w:rPr>
        <w:t xml:space="preserve"> </w:t>
      </w:r>
      <w:r w:rsidRPr="000977F7">
        <w:rPr>
          <w:color w:val="auto"/>
          <w:sz w:val="20"/>
          <w:szCs w:val="20"/>
        </w:rPr>
        <w:t>ОПЕРАЦІЙ–</w:t>
      </w:r>
    </w:p>
    <w:p w14:paraId="6268A83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виробничих</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яким</w:t>
      </w:r>
      <w:r w:rsidRPr="000977F7">
        <w:rPr>
          <w:rFonts w:asciiTheme="majorHAnsi" w:hAnsiTheme="majorHAnsi"/>
          <w:spacing w:val="1"/>
          <w:sz w:val="20"/>
          <w:szCs w:val="20"/>
        </w:rPr>
        <w:t xml:space="preserve"> </w:t>
      </w:r>
      <w:r w:rsidRPr="000977F7">
        <w:rPr>
          <w:rFonts w:asciiTheme="majorHAnsi" w:hAnsiTheme="majorHAnsi"/>
          <w:sz w:val="20"/>
          <w:szCs w:val="20"/>
        </w:rPr>
        <w:t xml:space="preserve">окремий предмет праці передається на наступну </w:t>
      </w:r>
      <w:r w:rsidRPr="000977F7">
        <w:rPr>
          <w:rFonts w:asciiTheme="majorHAnsi" w:hAnsiTheme="majorHAnsi"/>
          <w:sz w:val="20"/>
          <w:szCs w:val="20"/>
        </w:rPr>
        <w:t>операцію</w:t>
      </w:r>
      <w:r w:rsidRPr="000977F7">
        <w:rPr>
          <w:rFonts w:asciiTheme="majorHAnsi" w:hAnsiTheme="majorHAnsi"/>
          <w:spacing w:val="1"/>
          <w:sz w:val="20"/>
          <w:szCs w:val="20"/>
        </w:rPr>
        <w:t xml:space="preserve"> </w:t>
      </w:r>
      <w:r w:rsidRPr="000977F7">
        <w:rPr>
          <w:rFonts w:asciiTheme="majorHAnsi" w:hAnsiTheme="majorHAnsi"/>
          <w:sz w:val="20"/>
          <w:szCs w:val="20"/>
        </w:rPr>
        <w:t>після</w:t>
      </w:r>
      <w:r w:rsidRPr="000977F7">
        <w:rPr>
          <w:rFonts w:asciiTheme="majorHAnsi" w:hAnsiTheme="majorHAnsi"/>
          <w:spacing w:val="1"/>
          <w:sz w:val="20"/>
          <w:szCs w:val="20"/>
        </w:rPr>
        <w:t xml:space="preserve"> </w:t>
      </w:r>
      <w:r w:rsidRPr="000977F7">
        <w:rPr>
          <w:rFonts w:asciiTheme="majorHAnsi" w:hAnsiTheme="majorHAnsi"/>
          <w:sz w:val="20"/>
          <w:szCs w:val="20"/>
        </w:rPr>
        <w:t>того,</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уся</w:t>
      </w:r>
      <w:r w:rsidRPr="000977F7">
        <w:rPr>
          <w:rFonts w:asciiTheme="majorHAnsi" w:hAnsiTheme="majorHAnsi"/>
          <w:spacing w:val="1"/>
          <w:sz w:val="20"/>
          <w:szCs w:val="20"/>
        </w:rPr>
        <w:t xml:space="preserve"> </w:t>
      </w:r>
      <w:r w:rsidRPr="000977F7">
        <w:rPr>
          <w:rFonts w:asciiTheme="majorHAnsi" w:hAnsiTheme="majorHAnsi"/>
          <w:sz w:val="20"/>
          <w:szCs w:val="20"/>
        </w:rPr>
        <w:t>партія</w:t>
      </w:r>
      <w:r w:rsidRPr="000977F7">
        <w:rPr>
          <w:rFonts w:asciiTheme="majorHAnsi" w:hAnsiTheme="majorHAnsi"/>
          <w:spacing w:val="1"/>
          <w:sz w:val="20"/>
          <w:szCs w:val="20"/>
        </w:rPr>
        <w:t xml:space="preserve"> </w:t>
      </w:r>
      <w:r w:rsidRPr="000977F7">
        <w:rPr>
          <w:rFonts w:asciiTheme="majorHAnsi" w:hAnsiTheme="majorHAnsi"/>
          <w:sz w:val="20"/>
          <w:szCs w:val="20"/>
        </w:rPr>
        <w:t>пройде</w:t>
      </w:r>
      <w:r w:rsidRPr="000977F7">
        <w:rPr>
          <w:rFonts w:asciiTheme="majorHAnsi" w:hAnsiTheme="majorHAnsi"/>
          <w:spacing w:val="1"/>
          <w:sz w:val="20"/>
          <w:szCs w:val="20"/>
        </w:rPr>
        <w:t xml:space="preserve"> </w:t>
      </w:r>
      <w:r w:rsidRPr="000977F7">
        <w:rPr>
          <w:rFonts w:asciiTheme="majorHAnsi" w:hAnsiTheme="majorHAnsi"/>
          <w:sz w:val="20"/>
          <w:szCs w:val="20"/>
        </w:rPr>
        <w:t>попередню</w:t>
      </w:r>
      <w:r w:rsidRPr="000977F7">
        <w:rPr>
          <w:rFonts w:asciiTheme="majorHAnsi" w:hAnsiTheme="majorHAnsi"/>
          <w:spacing w:val="1"/>
          <w:sz w:val="20"/>
          <w:szCs w:val="20"/>
        </w:rPr>
        <w:t xml:space="preserve"> </w:t>
      </w:r>
      <w:r w:rsidRPr="000977F7">
        <w:rPr>
          <w:rFonts w:asciiTheme="majorHAnsi" w:hAnsiTheme="majorHAnsi"/>
          <w:sz w:val="20"/>
          <w:szCs w:val="20"/>
        </w:rPr>
        <w:t>операцію</w:t>
      </w:r>
    </w:p>
    <w:p w14:paraId="640B4E6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0CAC2B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ПОСЛІДОВНИЙ</w:t>
      </w:r>
      <w:r w:rsidRPr="000977F7">
        <w:rPr>
          <w:color w:val="auto"/>
          <w:spacing w:val="42"/>
          <w:sz w:val="20"/>
          <w:szCs w:val="20"/>
        </w:rPr>
        <w:t xml:space="preserve"> </w:t>
      </w:r>
      <w:r w:rsidRPr="000977F7">
        <w:rPr>
          <w:color w:val="auto"/>
          <w:sz w:val="20"/>
          <w:szCs w:val="20"/>
        </w:rPr>
        <w:t>ЕКСПЕРИМЕНТ</w:t>
      </w:r>
      <w:r w:rsidRPr="000977F7">
        <w:rPr>
          <w:color w:val="auto"/>
          <w:spacing w:val="-1"/>
          <w:sz w:val="20"/>
          <w:szCs w:val="20"/>
        </w:rPr>
        <w:t xml:space="preserve"> </w:t>
      </w:r>
      <w:r w:rsidRPr="000977F7">
        <w:rPr>
          <w:color w:val="auto"/>
          <w:sz w:val="20"/>
          <w:szCs w:val="20"/>
        </w:rPr>
        <w:t>–</w:t>
      </w:r>
    </w:p>
    <w:p w14:paraId="1D9DD54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Експеримент, що реалізується у вигляді серій, в якому</w:t>
      </w:r>
      <w:r w:rsidRPr="000977F7">
        <w:rPr>
          <w:rFonts w:asciiTheme="majorHAnsi" w:hAnsiTheme="majorHAnsi"/>
          <w:spacing w:val="-47"/>
          <w:sz w:val="20"/>
          <w:szCs w:val="20"/>
        </w:rPr>
        <w:t xml:space="preserve"> </w:t>
      </w:r>
      <w:r w:rsidRPr="000977F7">
        <w:rPr>
          <w:rFonts w:asciiTheme="majorHAnsi" w:hAnsiTheme="majorHAnsi"/>
          <w:sz w:val="20"/>
          <w:szCs w:val="20"/>
        </w:rPr>
        <w:t>умови проведення кожної наступної серії визначаються</w:t>
      </w:r>
      <w:r w:rsidRPr="000977F7">
        <w:rPr>
          <w:rFonts w:asciiTheme="majorHAnsi" w:hAnsiTheme="majorHAnsi"/>
          <w:spacing w:val="-2"/>
          <w:sz w:val="20"/>
          <w:szCs w:val="20"/>
        </w:rPr>
        <w:t xml:space="preserve"> </w:t>
      </w:r>
      <w:r w:rsidRPr="000977F7">
        <w:rPr>
          <w:rFonts w:asciiTheme="majorHAnsi" w:hAnsiTheme="majorHAnsi"/>
          <w:sz w:val="20"/>
          <w:szCs w:val="20"/>
        </w:rPr>
        <w:t>результатами</w:t>
      </w:r>
      <w:r w:rsidRPr="000977F7">
        <w:rPr>
          <w:rFonts w:asciiTheme="majorHAnsi" w:hAnsiTheme="majorHAnsi"/>
          <w:spacing w:val="1"/>
          <w:sz w:val="20"/>
          <w:szCs w:val="20"/>
        </w:rPr>
        <w:t xml:space="preserve"> </w:t>
      </w:r>
      <w:r w:rsidRPr="000977F7">
        <w:rPr>
          <w:rFonts w:asciiTheme="majorHAnsi" w:hAnsiTheme="majorHAnsi"/>
          <w:sz w:val="20"/>
          <w:szCs w:val="20"/>
        </w:rPr>
        <w:t>попередніх</w:t>
      </w:r>
    </w:p>
    <w:p w14:paraId="4B0AFD79" w14:textId="77777777" w:rsidR="0097612F" w:rsidRPr="000977F7" w:rsidRDefault="0097612F" w:rsidP="000977F7">
      <w:pPr>
        <w:pStyle w:val="af6"/>
        <w:tabs>
          <w:tab w:val="left" w:pos="284"/>
        </w:tabs>
        <w:spacing w:after="0"/>
        <w:ind w:left="170"/>
        <w:mirrorIndents/>
        <w:jc w:val="both"/>
        <w:rPr>
          <w:rFonts w:asciiTheme="majorHAnsi" w:hAnsiTheme="majorHAnsi"/>
          <w:b/>
          <w:spacing w:val="-47"/>
          <w:sz w:val="20"/>
          <w:szCs w:val="20"/>
        </w:rPr>
      </w:pPr>
      <w:r w:rsidRPr="000977F7">
        <w:rPr>
          <w:rFonts w:asciiTheme="majorHAnsi" w:hAnsiTheme="majorHAnsi"/>
          <w:b/>
          <w:sz w:val="20"/>
          <w:szCs w:val="20"/>
        </w:rPr>
        <w:t>ПОСЛІДОВНИЙ ІНТЕРФЕЙС –</w:t>
      </w:r>
      <w:r w:rsidRPr="000977F7">
        <w:rPr>
          <w:rFonts w:asciiTheme="majorHAnsi" w:hAnsiTheme="majorHAnsi"/>
          <w:b/>
          <w:spacing w:val="-47"/>
          <w:sz w:val="20"/>
          <w:szCs w:val="20"/>
        </w:rPr>
        <w:t xml:space="preserve"> </w:t>
      </w:r>
    </w:p>
    <w:p w14:paraId="7FAAE32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SERIAL</w:t>
      </w:r>
      <w:r w:rsidRPr="000977F7">
        <w:rPr>
          <w:rFonts w:asciiTheme="majorHAnsi" w:hAnsiTheme="majorHAnsi"/>
          <w:spacing w:val="-3"/>
          <w:sz w:val="20"/>
          <w:szCs w:val="20"/>
        </w:rPr>
        <w:t xml:space="preserve"> </w:t>
      </w:r>
      <w:r w:rsidRPr="000977F7">
        <w:rPr>
          <w:rFonts w:asciiTheme="majorHAnsi" w:hAnsiTheme="majorHAnsi"/>
          <w:sz w:val="20"/>
          <w:szCs w:val="20"/>
        </w:rPr>
        <w:t>INTERFACE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9D8FAA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Інформаційний</w:t>
      </w:r>
      <w:r w:rsidRPr="000977F7">
        <w:rPr>
          <w:rFonts w:asciiTheme="majorHAnsi" w:hAnsiTheme="majorHAnsi"/>
          <w:spacing w:val="49"/>
          <w:sz w:val="20"/>
          <w:szCs w:val="20"/>
        </w:rPr>
        <w:t xml:space="preserve"> </w:t>
      </w:r>
      <w:r w:rsidRPr="000977F7">
        <w:rPr>
          <w:rFonts w:asciiTheme="majorHAnsi" w:hAnsiTheme="majorHAnsi"/>
          <w:sz w:val="20"/>
          <w:szCs w:val="20"/>
        </w:rPr>
        <w:t>інтерфейс,</w:t>
      </w:r>
      <w:r w:rsidRPr="000977F7">
        <w:rPr>
          <w:rFonts w:asciiTheme="majorHAnsi" w:hAnsiTheme="majorHAnsi"/>
          <w:spacing w:val="6"/>
          <w:sz w:val="20"/>
          <w:szCs w:val="20"/>
        </w:rPr>
        <w:t xml:space="preserve"> </w:t>
      </w:r>
      <w:r w:rsidRPr="000977F7">
        <w:rPr>
          <w:rFonts w:asciiTheme="majorHAnsi" w:hAnsiTheme="majorHAnsi"/>
          <w:sz w:val="20"/>
          <w:szCs w:val="20"/>
        </w:rPr>
        <w:t>який</w:t>
      </w:r>
      <w:r w:rsidRPr="000977F7">
        <w:rPr>
          <w:rFonts w:asciiTheme="majorHAnsi" w:hAnsiTheme="majorHAnsi"/>
          <w:spacing w:val="2"/>
          <w:sz w:val="20"/>
          <w:szCs w:val="20"/>
        </w:rPr>
        <w:t xml:space="preserve"> </w:t>
      </w:r>
      <w:r w:rsidRPr="000977F7">
        <w:rPr>
          <w:rFonts w:asciiTheme="majorHAnsi" w:hAnsiTheme="majorHAnsi"/>
          <w:sz w:val="20"/>
          <w:szCs w:val="20"/>
        </w:rPr>
        <w:t>передбачає</w:t>
      </w:r>
      <w:r w:rsidRPr="000977F7">
        <w:rPr>
          <w:rFonts w:asciiTheme="majorHAnsi" w:hAnsiTheme="majorHAnsi"/>
          <w:spacing w:val="2"/>
          <w:sz w:val="20"/>
          <w:szCs w:val="20"/>
        </w:rPr>
        <w:t xml:space="preserve"> </w:t>
      </w:r>
      <w:r w:rsidRPr="000977F7">
        <w:rPr>
          <w:rFonts w:asciiTheme="majorHAnsi" w:hAnsiTheme="majorHAnsi"/>
          <w:sz w:val="20"/>
          <w:szCs w:val="20"/>
        </w:rPr>
        <w:t>часовий</w:t>
      </w:r>
      <w:r w:rsidRPr="000977F7">
        <w:rPr>
          <w:rFonts w:asciiTheme="majorHAnsi" w:hAnsiTheme="majorHAnsi"/>
          <w:spacing w:val="-47"/>
          <w:sz w:val="20"/>
          <w:szCs w:val="20"/>
        </w:rPr>
        <w:t xml:space="preserve"> </w:t>
      </w:r>
      <w:r w:rsidRPr="000977F7">
        <w:rPr>
          <w:rFonts w:asciiTheme="majorHAnsi" w:hAnsiTheme="majorHAnsi"/>
          <w:sz w:val="20"/>
          <w:szCs w:val="20"/>
        </w:rPr>
        <w:t>розподіл</w:t>
      </w:r>
      <w:r w:rsidRPr="000977F7">
        <w:rPr>
          <w:rFonts w:asciiTheme="majorHAnsi" w:hAnsiTheme="majorHAnsi"/>
          <w:spacing w:val="-2"/>
          <w:sz w:val="20"/>
          <w:szCs w:val="20"/>
        </w:rPr>
        <w:t xml:space="preserve"> </w:t>
      </w:r>
      <w:r w:rsidRPr="000977F7">
        <w:rPr>
          <w:rFonts w:asciiTheme="majorHAnsi" w:hAnsiTheme="majorHAnsi"/>
          <w:sz w:val="20"/>
          <w:szCs w:val="20"/>
        </w:rPr>
        <w:t>інтерфейсних</w:t>
      </w:r>
      <w:r w:rsidRPr="000977F7">
        <w:rPr>
          <w:rFonts w:asciiTheme="majorHAnsi" w:hAnsiTheme="majorHAnsi"/>
          <w:spacing w:val="-1"/>
          <w:sz w:val="20"/>
          <w:szCs w:val="20"/>
        </w:rPr>
        <w:t xml:space="preserve"> </w:t>
      </w:r>
      <w:r w:rsidRPr="000977F7">
        <w:rPr>
          <w:rFonts w:asciiTheme="majorHAnsi" w:hAnsiTheme="majorHAnsi"/>
          <w:sz w:val="20"/>
          <w:szCs w:val="20"/>
        </w:rPr>
        <w:t>сигналів</w:t>
      </w:r>
    </w:p>
    <w:p w14:paraId="7413B37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32D82F2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ПОСЛІДОВНИЙ</w:t>
      </w:r>
      <w:r w:rsidRPr="000977F7">
        <w:rPr>
          <w:color w:val="auto"/>
          <w:spacing w:val="43"/>
          <w:sz w:val="20"/>
          <w:szCs w:val="20"/>
        </w:rPr>
        <w:t xml:space="preserve"> </w:t>
      </w:r>
      <w:r w:rsidRPr="000977F7">
        <w:rPr>
          <w:color w:val="auto"/>
          <w:sz w:val="20"/>
          <w:szCs w:val="20"/>
        </w:rPr>
        <w:t>КОНТРОЛЬ</w:t>
      </w:r>
      <w:r w:rsidRPr="000977F7">
        <w:rPr>
          <w:color w:val="auto"/>
          <w:spacing w:val="-1"/>
          <w:sz w:val="20"/>
          <w:szCs w:val="20"/>
        </w:rPr>
        <w:t xml:space="preserve"> </w:t>
      </w:r>
      <w:r w:rsidRPr="000977F7">
        <w:rPr>
          <w:color w:val="auto"/>
          <w:sz w:val="20"/>
          <w:szCs w:val="20"/>
        </w:rPr>
        <w:t>–</w:t>
      </w:r>
    </w:p>
    <w:p w14:paraId="2A94AB47"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Статистичний</w:t>
      </w:r>
      <w:r w:rsidRPr="000977F7">
        <w:rPr>
          <w:rFonts w:asciiTheme="majorHAnsi" w:hAnsiTheme="majorHAnsi"/>
          <w:spacing w:val="38"/>
          <w:sz w:val="20"/>
          <w:szCs w:val="20"/>
        </w:rPr>
        <w:t xml:space="preserve"> </w:t>
      </w:r>
      <w:r w:rsidRPr="000977F7">
        <w:rPr>
          <w:rFonts w:asciiTheme="majorHAnsi" w:hAnsiTheme="majorHAnsi"/>
          <w:sz w:val="20"/>
          <w:szCs w:val="20"/>
        </w:rPr>
        <w:t>приймальний</w:t>
      </w:r>
      <w:r w:rsidRPr="000977F7">
        <w:rPr>
          <w:rFonts w:asciiTheme="majorHAnsi" w:hAnsiTheme="majorHAnsi"/>
          <w:spacing w:val="39"/>
          <w:sz w:val="20"/>
          <w:szCs w:val="20"/>
        </w:rPr>
        <w:t xml:space="preserve"> </w:t>
      </w:r>
      <w:r w:rsidRPr="000977F7">
        <w:rPr>
          <w:rFonts w:asciiTheme="majorHAnsi" w:hAnsiTheme="majorHAnsi"/>
          <w:sz w:val="20"/>
          <w:szCs w:val="20"/>
        </w:rPr>
        <w:t>контроль,</w:t>
      </w:r>
      <w:r w:rsidRPr="000977F7">
        <w:rPr>
          <w:rFonts w:asciiTheme="majorHAnsi" w:hAnsiTheme="majorHAnsi"/>
          <w:spacing w:val="38"/>
          <w:sz w:val="20"/>
          <w:szCs w:val="20"/>
        </w:rPr>
        <w:t xml:space="preserve"> </w:t>
      </w:r>
      <w:r w:rsidRPr="000977F7">
        <w:rPr>
          <w:rFonts w:asciiTheme="majorHAnsi" w:hAnsiTheme="majorHAnsi"/>
          <w:sz w:val="20"/>
          <w:szCs w:val="20"/>
        </w:rPr>
        <w:t>який</w:t>
      </w:r>
      <w:r w:rsidRPr="000977F7">
        <w:rPr>
          <w:rFonts w:asciiTheme="majorHAnsi" w:hAnsiTheme="majorHAnsi"/>
          <w:spacing w:val="38"/>
          <w:sz w:val="20"/>
          <w:szCs w:val="20"/>
        </w:rPr>
        <w:t xml:space="preserve"> </w:t>
      </w:r>
      <w:r w:rsidRPr="000977F7">
        <w:rPr>
          <w:rFonts w:asciiTheme="majorHAnsi" w:hAnsiTheme="majorHAnsi"/>
          <w:sz w:val="20"/>
          <w:szCs w:val="20"/>
        </w:rPr>
        <w:t>характеризується</w:t>
      </w:r>
      <w:r w:rsidRPr="000977F7">
        <w:rPr>
          <w:rFonts w:asciiTheme="majorHAnsi" w:hAnsiTheme="majorHAnsi"/>
          <w:spacing w:val="2"/>
          <w:sz w:val="20"/>
          <w:szCs w:val="20"/>
        </w:rPr>
        <w:t xml:space="preserve"> </w:t>
      </w:r>
      <w:r w:rsidRPr="000977F7">
        <w:rPr>
          <w:rFonts w:asciiTheme="majorHAnsi" w:hAnsiTheme="majorHAnsi"/>
          <w:sz w:val="20"/>
          <w:szCs w:val="20"/>
        </w:rPr>
        <w:t>тим,</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3"/>
          <w:sz w:val="20"/>
          <w:szCs w:val="20"/>
        </w:rPr>
        <w:t xml:space="preserve"> </w:t>
      </w:r>
      <w:r w:rsidRPr="000977F7">
        <w:rPr>
          <w:rFonts w:asciiTheme="majorHAnsi" w:hAnsiTheme="majorHAnsi"/>
          <w:sz w:val="20"/>
          <w:szCs w:val="20"/>
        </w:rPr>
        <w:t>рішення відносно</w:t>
      </w:r>
      <w:r w:rsidRPr="000977F7">
        <w:rPr>
          <w:rFonts w:asciiTheme="majorHAnsi" w:hAnsiTheme="majorHAnsi"/>
          <w:spacing w:val="2"/>
          <w:sz w:val="20"/>
          <w:szCs w:val="20"/>
        </w:rPr>
        <w:t xml:space="preserve"> </w:t>
      </w:r>
      <w:r w:rsidRPr="000977F7">
        <w:rPr>
          <w:rFonts w:asciiTheme="majorHAnsi" w:hAnsiTheme="majorHAnsi"/>
          <w:sz w:val="20"/>
          <w:szCs w:val="20"/>
        </w:rPr>
        <w:t>приймання партії</w:t>
      </w:r>
      <w:r w:rsidRPr="000977F7">
        <w:rPr>
          <w:rFonts w:asciiTheme="majorHAnsi" w:hAnsiTheme="majorHAnsi"/>
          <w:spacing w:val="-47"/>
          <w:sz w:val="20"/>
          <w:szCs w:val="20"/>
        </w:rPr>
        <w:t xml:space="preserve"> </w:t>
      </w:r>
      <w:r w:rsidRPr="000977F7">
        <w:rPr>
          <w:rFonts w:asciiTheme="majorHAnsi" w:hAnsiTheme="majorHAnsi"/>
          <w:sz w:val="20"/>
          <w:szCs w:val="20"/>
        </w:rPr>
        <w:t>продукції</w:t>
      </w:r>
      <w:r w:rsidRPr="000977F7">
        <w:rPr>
          <w:rFonts w:asciiTheme="majorHAnsi" w:hAnsiTheme="majorHAnsi"/>
          <w:spacing w:val="15"/>
          <w:sz w:val="20"/>
          <w:szCs w:val="20"/>
        </w:rPr>
        <w:t xml:space="preserve"> </w:t>
      </w:r>
      <w:r w:rsidRPr="000977F7">
        <w:rPr>
          <w:rFonts w:asciiTheme="majorHAnsi" w:hAnsiTheme="majorHAnsi"/>
          <w:sz w:val="20"/>
          <w:szCs w:val="20"/>
        </w:rPr>
        <w:t>приймають</w:t>
      </w:r>
      <w:r w:rsidRPr="000977F7">
        <w:rPr>
          <w:rFonts w:asciiTheme="majorHAnsi" w:hAnsiTheme="majorHAnsi"/>
          <w:spacing w:val="13"/>
          <w:sz w:val="20"/>
          <w:szCs w:val="20"/>
        </w:rPr>
        <w:t xml:space="preserve"> </w:t>
      </w:r>
      <w:r w:rsidRPr="000977F7">
        <w:rPr>
          <w:rFonts w:asciiTheme="majorHAnsi" w:hAnsiTheme="majorHAnsi"/>
          <w:sz w:val="20"/>
          <w:szCs w:val="20"/>
        </w:rPr>
        <w:t>за</w:t>
      </w:r>
      <w:r w:rsidRPr="000977F7">
        <w:rPr>
          <w:rFonts w:asciiTheme="majorHAnsi" w:hAnsiTheme="majorHAnsi"/>
          <w:spacing w:val="14"/>
          <w:sz w:val="20"/>
          <w:szCs w:val="20"/>
        </w:rPr>
        <w:t xml:space="preserve"> </w:t>
      </w:r>
      <w:r w:rsidRPr="000977F7">
        <w:rPr>
          <w:rFonts w:asciiTheme="majorHAnsi" w:hAnsiTheme="majorHAnsi"/>
          <w:sz w:val="20"/>
          <w:szCs w:val="20"/>
        </w:rPr>
        <w:t>результатами</w:t>
      </w:r>
      <w:r w:rsidRPr="000977F7">
        <w:rPr>
          <w:rFonts w:asciiTheme="majorHAnsi" w:hAnsiTheme="majorHAnsi"/>
          <w:spacing w:val="14"/>
          <w:sz w:val="20"/>
          <w:szCs w:val="20"/>
        </w:rPr>
        <w:t xml:space="preserve"> </w:t>
      </w:r>
      <w:r w:rsidRPr="000977F7">
        <w:rPr>
          <w:rFonts w:asciiTheme="majorHAnsi" w:hAnsiTheme="majorHAnsi"/>
          <w:sz w:val="20"/>
          <w:szCs w:val="20"/>
        </w:rPr>
        <w:t>перевірки</w:t>
      </w:r>
      <w:r w:rsidRPr="000977F7">
        <w:rPr>
          <w:rFonts w:asciiTheme="majorHAnsi" w:hAnsiTheme="majorHAnsi"/>
          <w:spacing w:val="11"/>
          <w:sz w:val="20"/>
          <w:szCs w:val="20"/>
        </w:rPr>
        <w:t xml:space="preserve"> </w:t>
      </w:r>
      <w:r w:rsidRPr="000977F7">
        <w:rPr>
          <w:rFonts w:asciiTheme="majorHAnsi" w:hAnsiTheme="majorHAnsi"/>
          <w:sz w:val="20"/>
          <w:szCs w:val="20"/>
        </w:rPr>
        <w:t>декількох</w:t>
      </w:r>
      <w:r w:rsidRPr="000977F7">
        <w:rPr>
          <w:rFonts w:asciiTheme="majorHAnsi" w:hAnsiTheme="majorHAnsi"/>
          <w:spacing w:val="22"/>
          <w:sz w:val="20"/>
          <w:szCs w:val="20"/>
        </w:rPr>
        <w:t xml:space="preserve"> </w:t>
      </w:r>
      <w:r w:rsidRPr="000977F7">
        <w:rPr>
          <w:rFonts w:asciiTheme="majorHAnsi" w:hAnsiTheme="majorHAnsi"/>
          <w:sz w:val="20"/>
          <w:szCs w:val="20"/>
        </w:rPr>
        <w:t>вибірок</w:t>
      </w:r>
      <w:r w:rsidRPr="000977F7">
        <w:rPr>
          <w:rFonts w:asciiTheme="majorHAnsi" w:hAnsiTheme="majorHAnsi"/>
          <w:spacing w:val="21"/>
          <w:sz w:val="20"/>
          <w:szCs w:val="20"/>
        </w:rPr>
        <w:t xml:space="preserve"> </w:t>
      </w:r>
      <w:r w:rsidRPr="000977F7">
        <w:rPr>
          <w:rFonts w:asciiTheme="majorHAnsi" w:hAnsiTheme="majorHAnsi"/>
          <w:sz w:val="20"/>
          <w:szCs w:val="20"/>
        </w:rPr>
        <w:t>або</w:t>
      </w:r>
      <w:r w:rsidRPr="000977F7">
        <w:rPr>
          <w:rFonts w:asciiTheme="majorHAnsi" w:hAnsiTheme="majorHAnsi"/>
          <w:spacing w:val="25"/>
          <w:sz w:val="20"/>
          <w:szCs w:val="20"/>
        </w:rPr>
        <w:t xml:space="preserve"> </w:t>
      </w:r>
      <w:r w:rsidRPr="000977F7">
        <w:rPr>
          <w:rFonts w:asciiTheme="majorHAnsi" w:hAnsiTheme="majorHAnsi"/>
          <w:sz w:val="20"/>
          <w:szCs w:val="20"/>
        </w:rPr>
        <w:t>проб,</w:t>
      </w:r>
      <w:r w:rsidRPr="000977F7">
        <w:rPr>
          <w:rFonts w:asciiTheme="majorHAnsi" w:hAnsiTheme="majorHAnsi"/>
          <w:spacing w:val="21"/>
          <w:sz w:val="20"/>
          <w:szCs w:val="20"/>
        </w:rPr>
        <w:t xml:space="preserve"> </w:t>
      </w:r>
      <w:r w:rsidRPr="000977F7">
        <w:rPr>
          <w:rFonts w:asciiTheme="majorHAnsi" w:hAnsiTheme="majorHAnsi"/>
          <w:sz w:val="20"/>
          <w:szCs w:val="20"/>
        </w:rPr>
        <w:t>максимальне</w:t>
      </w:r>
      <w:r w:rsidRPr="000977F7">
        <w:rPr>
          <w:rFonts w:asciiTheme="majorHAnsi" w:hAnsiTheme="majorHAnsi"/>
          <w:spacing w:val="22"/>
          <w:sz w:val="20"/>
          <w:szCs w:val="20"/>
        </w:rPr>
        <w:t xml:space="preserve"> </w:t>
      </w:r>
      <w:r w:rsidRPr="000977F7">
        <w:rPr>
          <w:rFonts w:asciiTheme="majorHAnsi" w:hAnsiTheme="majorHAnsi"/>
          <w:sz w:val="20"/>
          <w:szCs w:val="20"/>
        </w:rPr>
        <w:t>число</w:t>
      </w:r>
      <w:r w:rsidRPr="000977F7">
        <w:rPr>
          <w:rFonts w:asciiTheme="majorHAnsi" w:hAnsiTheme="majorHAnsi"/>
          <w:spacing w:val="23"/>
          <w:sz w:val="20"/>
          <w:szCs w:val="20"/>
        </w:rPr>
        <w:t xml:space="preserve"> </w:t>
      </w:r>
      <w:r w:rsidRPr="000977F7">
        <w:rPr>
          <w:rFonts w:asciiTheme="majorHAnsi" w:hAnsiTheme="majorHAnsi"/>
          <w:sz w:val="20"/>
          <w:szCs w:val="20"/>
        </w:rPr>
        <w:t>яких</w:t>
      </w:r>
      <w:r w:rsidRPr="000977F7">
        <w:rPr>
          <w:rFonts w:asciiTheme="majorHAnsi" w:hAnsiTheme="majorHAnsi"/>
          <w:spacing w:val="23"/>
          <w:sz w:val="20"/>
          <w:szCs w:val="20"/>
        </w:rPr>
        <w:t xml:space="preserve"> </w:t>
      </w:r>
      <w:r w:rsidRPr="000977F7">
        <w:rPr>
          <w:rFonts w:asciiTheme="majorHAnsi" w:hAnsiTheme="majorHAnsi"/>
          <w:sz w:val="20"/>
          <w:szCs w:val="20"/>
        </w:rPr>
        <w:t>наперед</w:t>
      </w:r>
      <w:r w:rsidRPr="000977F7">
        <w:rPr>
          <w:rFonts w:asciiTheme="majorHAnsi" w:hAnsiTheme="majorHAnsi"/>
          <w:spacing w:val="32"/>
          <w:sz w:val="20"/>
          <w:szCs w:val="20"/>
        </w:rPr>
        <w:t xml:space="preserve"> </w:t>
      </w:r>
      <w:r w:rsidRPr="000977F7">
        <w:rPr>
          <w:rFonts w:asciiTheme="majorHAnsi" w:hAnsiTheme="majorHAnsi"/>
          <w:sz w:val="20"/>
          <w:szCs w:val="20"/>
        </w:rPr>
        <w:t>не</w:t>
      </w:r>
      <w:r w:rsidRPr="000977F7">
        <w:rPr>
          <w:rFonts w:asciiTheme="majorHAnsi" w:hAnsiTheme="majorHAnsi"/>
          <w:spacing w:val="31"/>
          <w:sz w:val="20"/>
          <w:szCs w:val="20"/>
        </w:rPr>
        <w:t xml:space="preserve"> </w:t>
      </w:r>
      <w:r w:rsidRPr="000977F7">
        <w:rPr>
          <w:rFonts w:asciiTheme="majorHAnsi" w:hAnsiTheme="majorHAnsi"/>
          <w:sz w:val="20"/>
          <w:szCs w:val="20"/>
        </w:rPr>
        <w:t>встановлене,</w:t>
      </w:r>
      <w:r w:rsidRPr="000977F7">
        <w:rPr>
          <w:rFonts w:asciiTheme="majorHAnsi" w:hAnsiTheme="majorHAnsi"/>
          <w:spacing w:val="33"/>
          <w:sz w:val="20"/>
          <w:szCs w:val="20"/>
        </w:rPr>
        <w:t xml:space="preserve"> </w:t>
      </w:r>
      <w:r w:rsidRPr="000977F7">
        <w:rPr>
          <w:rFonts w:asciiTheme="majorHAnsi" w:hAnsiTheme="majorHAnsi"/>
          <w:sz w:val="20"/>
          <w:szCs w:val="20"/>
        </w:rPr>
        <w:t>причому</w:t>
      </w:r>
      <w:r w:rsidRPr="000977F7">
        <w:rPr>
          <w:rFonts w:asciiTheme="majorHAnsi" w:hAnsiTheme="majorHAnsi"/>
          <w:spacing w:val="29"/>
          <w:sz w:val="20"/>
          <w:szCs w:val="20"/>
        </w:rPr>
        <w:t xml:space="preserve"> </w:t>
      </w:r>
      <w:r w:rsidRPr="000977F7">
        <w:rPr>
          <w:rFonts w:asciiTheme="majorHAnsi" w:hAnsiTheme="majorHAnsi"/>
          <w:sz w:val="20"/>
          <w:szCs w:val="20"/>
        </w:rPr>
        <w:t>необхідність</w:t>
      </w:r>
      <w:r w:rsidRPr="000977F7">
        <w:rPr>
          <w:rFonts w:asciiTheme="majorHAnsi" w:hAnsiTheme="majorHAnsi"/>
          <w:spacing w:val="32"/>
          <w:sz w:val="20"/>
          <w:szCs w:val="20"/>
        </w:rPr>
        <w:t xml:space="preserve"> </w:t>
      </w:r>
      <w:r w:rsidRPr="000977F7">
        <w:rPr>
          <w:rFonts w:asciiTheme="majorHAnsi" w:hAnsiTheme="majorHAnsi"/>
          <w:sz w:val="20"/>
          <w:szCs w:val="20"/>
        </w:rPr>
        <w:t>відбору</w:t>
      </w:r>
      <w:r w:rsidRPr="000977F7">
        <w:rPr>
          <w:rFonts w:asciiTheme="majorHAnsi" w:hAnsiTheme="majorHAnsi"/>
          <w:spacing w:val="-47"/>
          <w:sz w:val="20"/>
          <w:szCs w:val="20"/>
        </w:rPr>
        <w:t xml:space="preserve"> </w:t>
      </w:r>
      <w:r w:rsidRPr="000977F7">
        <w:rPr>
          <w:rFonts w:asciiTheme="majorHAnsi" w:hAnsiTheme="majorHAnsi"/>
          <w:sz w:val="20"/>
          <w:szCs w:val="20"/>
        </w:rPr>
        <w:t>наступної</w:t>
      </w:r>
      <w:r w:rsidRPr="000977F7">
        <w:rPr>
          <w:rFonts w:asciiTheme="majorHAnsi" w:hAnsiTheme="majorHAnsi"/>
          <w:spacing w:val="5"/>
          <w:sz w:val="20"/>
          <w:szCs w:val="20"/>
        </w:rPr>
        <w:t xml:space="preserve"> </w:t>
      </w:r>
      <w:r w:rsidRPr="000977F7">
        <w:rPr>
          <w:rFonts w:asciiTheme="majorHAnsi" w:hAnsiTheme="majorHAnsi"/>
          <w:sz w:val="20"/>
          <w:szCs w:val="20"/>
        </w:rPr>
        <w:t>вибірки</w:t>
      </w:r>
      <w:r w:rsidRPr="000977F7">
        <w:rPr>
          <w:rFonts w:asciiTheme="majorHAnsi" w:hAnsiTheme="majorHAnsi"/>
          <w:spacing w:val="7"/>
          <w:sz w:val="20"/>
          <w:szCs w:val="20"/>
        </w:rPr>
        <w:t xml:space="preserve"> </w:t>
      </w:r>
      <w:r w:rsidRPr="000977F7">
        <w:rPr>
          <w:rFonts w:asciiTheme="majorHAnsi" w:hAnsiTheme="majorHAnsi"/>
          <w:sz w:val="20"/>
          <w:szCs w:val="20"/>
        </w:rPr>
        <w:t>або</w:t>
      </w:r>
      <w:r w:rsidRPr="000977F7">
        <w:rPr>
          <w:rFonts w:asciiTheme="majorHAnsi" w:hAnsiTheme="majorHAnsi"/>
          <w:spacing w:val="9"/>
          <w:sz w:val="20"/>
          <w:szCs w:val="20"/>
        </w:rPr>
        <w:t xml:space="preserve"> </w:t>
      </w:r>
      <w:r w:rsidRPr="000977F7">
        <w:rPr>
          <w:rFonts w:asciiTheme="majorHAnsi" w:hAnsiTheme="majorHAnsi"/>
          <w:sz w:val="20"/>
          <w:szCs w:val="20"/>
        </w:rPr>
        <w:t>проби</w:t>
      </w:r>
      <w:r w:rsidRPr="000977F7">
        <w:rPr>
          <w:rFonts w:asciiTheme="majorHAnsi" w:hAnsiTheme="majorHAnsi"/>
          <w:spacing w:val="5"/>
          <w:sz w:val="20"/>
          <w:szCs w:val="20"/>
        </w:rPr>
        <w:t xml:space="preserve"> </w:t>
      </w:r>
      <w:r w:rsidRPr="000977F7">
        <w:rPr>
          <w:rFonts w:asciiTheme="majorHAnsi" w:hAnsiTheme="majorHAnsi"/>
          <w:sz w:val="20"/>
          <w:szCs w:val="20"/>
        </w:rPr>
        <w:t>залежить</w:t>
      </w:r>
      <w:r w:rsidRPr="000977F7">
        <w:rPr>
          <w:rFonts w:asciiTheme="majorHAnsi" w:hAnsiTheme="majorHAnsi"/>
          <w:spacing w:val="8"/>
          <w:sz w:val="20"/>
          <w:szCs w:val="20"/>
        </w:rPr>
        <w:t xml:space="preserve"> </w:t>
      </w:r>
      <w:r w:rsidRPr="000977F7">
        <w:rPr>
          <w:rFonts w:asciiTheme="majorHAnsi" w:hAnsiTheme="majorHAnsi"/>
          <w:sz w:val="20"/>
          <w:szCs w:val="20"/>
        </w:rPr>
        <w:t>від</w:t>
      </w:r>
      <w:r w:rsidRPr="000977F7">
        <w:rPr>
          <w:rFonts w:asciiTheme="majorHAnsi" w:hAnsiTheme="majorHAnsi"/>
          <w:spacing w:val="8"/>
          <w:sz w:val="20"/>
          <w:szCs w:val="20"/>
        </w:rPr>
        <w:t xml:space="preserve"> </w:t>
      </w:r>
      <w:r w:rsidRPr="000977F7">
        <w:rPr>
          <w:rFonts w:asciiTheme="majorHAnsi" w:hAnsiTheme="majorHAnsi"/>
          <w:sz w:val="20"/>
          <w:szCs w:val="20"/>
        </w:rPr>
        <w:t>результатів</w:t>
      </w:r>
      <w:r w:rsidRPr="000977F7">
        <w:rPr>
          <w:rFonts w:asciiTheme="majorHAnsi" w:hAnsiTheme="majorHAnsi"/>
          <w:spacing w:val="-47"/>
          <w:sz w:val="20"/>
          <w:szCs w:val="20"/>
        </w:rPr>
        <w:t xml:space="preserve"> </w:t>
      </w:r>
      <w:r w:rsidRPr="000977F7">
        <w:rPr>
          <w:rFonts w:asciiTheme="majorHAnsi" w:hAnsiTheme="majorHAnsi"/>
          <w:sz w:val="20"/>
          <w:szCs w:val="20"/>
        </w:rPr>
        <w:t>контролю попередніх вибірок або проб</w:t>
      </w:r>
      <w:r w:rsidRPr="000977F7">
        <w:rPr>
          <w:rFonts w:asciiTheme="majorHAnsi" w:hAnsiTheme="majorHAnsi"/>
          <w:spacing w:val="1"/>
          <w:sz w:val="20"/>
          <w:szCs w:val="20"/>
        </w:rPr>
        <w:t xml:space="preserve"> </w:t>
      </w:r>
    </w:p>
    <w:p w14:paraId="247B95AA"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ПОСЛІДОВНИЙ</w:t>
      </w:r>
      <w:r w:rsidRPr="000977F7">
        <w:rPr>
          <w:rFonts w:asciiTheme="majorHAnsi" w:hAnsiTheme="majorHAnsi"/>
          <w:b/>
          <w:spacing w:val="1"/>
          <w:sz w:val="20"/>
          <w:szCs w:val="20"/>
        </w:rPr>
        <w:t xml:space="preserve"> </w:t>
      </w:r>
      <w:r w:rsidRPr="000977F7">
        <w:rPr>
          <w:rFonts w:asciiTheme="majorHAnsi" w:hAnsiTheme="majorHAnsi"/>
          <w:b/>
          <w:sz w:val="20"/>
          <w:szCs w:val="20"/>
        </w:rPr>
        <w:t>ПЛАН</w:t>
      </w:r>
      <w:r w:rsidRPr="000977F7">
        <w:rPr>
          <w:rFonts w:asciiTheme="majorHAnsi" w:hAnsiTheme="majorHAnsi"/>
          <w:b/>
          <w:spacing w:val="1"/>
          <w:sz w:val="20"/>
          <w:szCs w:val="20"/>
        </w:rPr>
        <w:t xml:space="preserve"> </w:t>
      </w:r>
      <w:r w:rsidRPr="000977F7">
        <w:rPr>
          <w:rFonts w:asciiTheme="majorHAnsi" w:hAnsiTheme="majorHAnsi"/>
          <w:b/>
          <w:sz w:val="20"/>
          <w:szCs w:val="20"/>
        </w:rPr>
        <w:t>ВИБІРКОВОГО</w:t>
      </w:r>
      <w:r w:rsidRPr="000977F7">
        <w:rPr>
          <w:rFonts w:asciiTheme="majorHAnsi" w:hAnsiTheme="majorHAnsi"/>
          <w:b/>
          <w:spacing w:val="1"/>
          <w:sz w:val="20"/>
          <w:szCs w:val="20"/>
        </w:rPr>
        <w:t xml:space="preserve"> </w:t>
      </w:r>
      <w:r w:rsidRPr="000977F7">
        <w:rPr>
          <w:rFonts w:asciiTheme="majorHAnsi" w:hAnsiTheme="majorHAnsi"/>
          <w:b/>
          <w:sz w:val="20"/>
          <w:szCs w:val="20"/>
        </w:rPr>
        <w:t>КОНТРОЛЮ -</w:t>
      </w:r>
    </w:p>
    <w:p w14:paraId="342970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SEQUENTIAL</w:t>
      </w:r>
      <w:r w:rsidRPr="000977F7">
        <w:rPr>
          <w:rFonts w:asciiTheme="majorHAnsi" w:hAnsiTheme="majorHAnsi"/>
          <w:spacing w:val="44"/>
          <w:sz w:val="20"/>
          <w:szCs w:val="20"/>
        </w:rPr>
        <w:t xml:space="preserve"> </w:t>
      </w:r>
      <w:r w:rsidRPr="000977F7">
        <w:rPr>
          <w:rFonts w:asciiTheme="majorHAnsi" w:hAnsiTheme="majorHAnsi"/>
          <w:sz w:val="20"/>
          <w:szCs w:val="20"/>
        </w:rPr>
        <w:t>SAMPLING</w:t>
      </w:r>
      <w:r w:rsidRPr="000977F7">
        <w:rPr>
          <w:rFonts w:asciiTheme="majorHAnsi" w:hAnsiTheme="majorHAnsi"/>
          <w:spacing w:val="48"/>
          <w:sz w:val="20"/>
          <w:szCs w:val="20"/>
        </w:rPr>
        <w:t xml:space="preserve"> </w:t>
      </w:r>
      <w:r w:rsidRPr="000977F7">
        <w:rPr>
          <w:rFonts w:asciiTheme="majorHAnsi" w:hAnsiTheme="majorHAnsi"/>
          <w:sz w:val="20"/>
          <w:szCs w:val="20"/>
        </w:rPr>
        <w:t>PLAN -</w:t>
      </w:r>
    </w:p>
    <w:p w14:paraId="34CFAA3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План</w:t>
      </w:r>
      <w:r w:rsidRPr="000977F7">
        <w:rPr>
          <w:rFonts w:asciiTheme="majorHAnsi" w:hAnsiTheme="majorHAnsi"/>
          <w:spacing w:val="5"/>
          <w:sz w:val="20"/>
          <w:szCs w:val="20"/>
        </w:rPr>
        <w:t xml:space="preserve"> </w:t>
      </w:r>
      <w:r w:rsidRPr="000977F7">
        <w:rPr>
          <w:rFonts w:asciiTheme="majorHAnsi" w:hAnsiTheme="majorHAnsi"/>
          <w:sz w:val="20"/>
          <w:szCs w:val="20"/>
        </w:rPr>
        <w:t>вибіркового</w:t>
      </w:r>
      <w:r w:rsidRPr="000977F7">
        <w:rPr>
          <w:rFonts w:asciiTheme="majorHAnsi" w:hAnsiTheme="majorHAnsi"/>
          <w:spacing w:val="7"/>
          <w:sz w:val="20"/>
          <w:szCs w:val="20"/>
        </w:rPr>
        <w:t xml:space="preserve"> </w:t>
      </w:r>
      <w:r w:rsidRPr="000977F7">
        <w:rPr>
          <w:rFonts w:asciiTheme="majorHAnsi" w:hAnsiTheme="majorHAnsi"/>
          <w:sz w:val="20"/>
          <w:szCs w:val="20"/>
        </w:rPr>
        <w:t>контролю,</w:t>
      </w:r>
      <w:r w:rsidRPr="000977F7">
        <w:rPr>
          <w:rFonts w:asciiTheme="majorHAnsi" w:hAnsiTheme="majorHAnsi"/>
          <w:spacing w:val="5"/>
          <w:sz w:val="20"/>
          <w:szCs w:val="20"/>
        </w:rPr>
        <w:t xml:space="preserve"> </w:t>
      </w:r>
      <w:r w:rsidRPr="000977F7">
        <w:rPr>
          <w:rFonts w:asciiTheme="majorHAnsi" w:hAnsiTheme="majorHAnsi"/>
          <w:sz w:val="20"/>
          <w:szCs w:val="20"/>
        </w:rPr>
        <w:t>який</w:t>
      </w:r>
      <w:r w:rsidRPr="000977F7">
        <w:rPr>
          <w:rFonts w:asciiTheme="majorHAnsi" w:hAnsiTheme="majorHAnsi"/>
          <w:spacing w:val="5"/>
          <w:sz w:val="20"/>
          <w:szCs w:val="20"/>
        </w:rPr>
        <w:t xml:space="preserve"> </w:t>
      </w:r>
      <w:r w:rsidRPr="000977F7">
        <w:rPr>
          <w:rFonts w:asciiTheme="majorHAnsi" w:hAnsiTheme="majorHAnsi"/>
          <w:sz w:val="20"/>
          <w:szCs w:val="20"/>
        </w:rPr>
        <w:t>характеризується</w:t>
      </w:r>
      <w:r w:rsidRPr="000977F7">
        <w:rPr>
          <w:rFonts w:asciiTheme="majorHAnsi" w:hAnsiTheme="majorHAnsi"/>
          <w:spacing w:val="-47"/>
          <w:sz w:val="20"/>
          <w:szCs w:val="20"/>
        </w:rPr>
        <w:t xml:space="preserve"> </w:t>
      </w:r>
      <w:r w:rsidRPr="000977F7">
        <w:rPr>
          <w:rFonts w:asciiTheme="majorHAnsi" w:hAnsiTheme="majorHAnsi"/>
          <w:sz w:val="20"/>
          <w:szCs w:val="20"/>
        </w:rPr>
        <w:t>тим,</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2"/>
          <w:sz w:val="20"/>
          <w:szCs w:val="20"/>
        </w:rPr>
        <w:t xml:space="preserve"> </w:t>
      </w:r>
      <w:r w:rsidRPr="000977F7">
        <w:rPr>
          <w:rFonts w:asciiTheme="majorHAnsi" w:hAnsiTheme="majorHAnsi"/>
          <w:sz w:val="20"/>
          <w:szCs w:val="20"/>
        </w:rPr>
        <w:t>рішення</w:t>
      </w:r>
      <w:r w:rsidRPr="000977F7">
        <w:rPr>
          <w:rFonts w:asciiTheme="majorHAnsi" w:hAnsiTheme="majorHAnsi"/>
          <w:spacing w:val="1"/>
          <w:sz w:val="20"/>
          <w:szCs w:val="20"/>
        </w:rPr>
        <w:t xml:space="preserve"> </w:t>
      </w:r>
      <w:r w:rsidRPr="000977F7">
        <w:rPr>
          <w:rFonts w:asciiTheme="majorHAnsi" w:hAnsiTheme="majorHAnsi"/>
          <w:sz w:val="20"/>
          <w:szCs w:val="20"/>
        </w:rPr>
        <w:t>стосовно</w:t>
      </w:r>
      <w:r w:rsidRPr="000977F7">
        <w:rPr>
          <w:rFonts w:asciiTheme="majorHAnsi" w:hAnsiTheme="majorHAnsi"/>
          <w:spacing w:val="2"/>
          <w:sz w:val="20"/>
          <w:szCs w:val="20"/>
        </w:rPr>
        <w:t xml:space="preserve"> </w:t>
      </w:r>
      <w:r w:rsidRPr="000977F7">
        <w:rPr>
          <w:rFonts w:asciiTheme="majorHAnsi" w:hAnsiTheme="majorHAnsi"/>
          <w:sz w:val="20"/>
          <w:szCs w:val="20"/>
        </w:rPr>
        <w:t>приймання</w:t>
      </w:r>
      <w:r w:rsidRPr="000977F7">
        <w:rPr>
          <w:rFonts w:asciiTheme="majorHAnsi" w:hAnsiTheme="majorHAnsi"/>
          <w:spacing w:val="2"/>
          <w:sz w:val="20"/>
          <w:szCs w:val="20"/>
        </w:rPr>
        <w:t xml:space="preserve"> </w:t>
      </w:r>
      <w:r w:rsidRPr="000977F7">
        <w:rPr>
          <w:rFonts w:asciiTheme="majorHAnsi" w:hAnsiTheme="majorHAnsi"/>
          <w:sz w:val="20"/>
          <w:szCs w:val="20"/>
        </w:rPr>
        <w:t>партії</w:t>
      </w:r>
      <w:r w:rsidRPr="000977F7">
        <w:rPr>
          <w:rFonts w:asciiTheme="majorHAnsi" w:hAnsiTheme="majorHAnsi"/>
          <w:spacing w:val="3"/>
          <w:sz w:val="20"/>
          <w:szCs w:val="20"/>
        </w:rPr>
        <w:t xml:space="preserve"> </w:t>
      </w:r>
      <w:r w:rsidRPr="000977F7">
        <w:rPr>
          <w:rFonts w:asciiTheme="majorHAnsi" w:hAnsiTheme="majorHAnsi"/>
          <w:sz w:val="20"/>
          <w:szCs w:val="20"/>
        </w:rPr>
        <w:t>продукції</w:t>
      </w:r>
      <w:r w:rsidRPr="000977F7">
        <w:rPr>
          <w:rFonts w:asciiTheme="majorHAnsi" w:hAnsiTheme="majorHAnsi"/>
          <w:spacing w:val="-47"/>
          <w:sz w:val="20"/>
          <w:szCs w:val="20"/>
        </w:rPr>
        <w:t xml:space="preserve"> </w:t>
      </w:r>
      <w:r w:rsidRPr="000977F7">
        <w:rPr>
          <w:rFonts w:asciiTheme="majorHAnsi" w:hAnsiTheme="majorHAnsi"/>
          <w:sz w:val="20"/>
          <w:szCs w:val="20"/>
        </w:rPr>
        <w:t>приймають</w:t>
      </w:r>
      <w:r w:rsidRPr="000977F7">
        <w:rPr>
          <w:rFonts w:asciiTheme="majorHAnsi" w:hAnsiTheme="majorHAnsi"/>
          <w:spacing w:val="10"/>
          <w:sz w:val="20"/>
          <w:szCs w:val="20"/>
        </w:rPr>
        <w:t xml:space="preserve"> </w:t>
      </w:r>
      <w:r w:rsidRPr="000977F7">
        <w:rPr>
          <w:rFonts w:asciiTheme="majorHAnsi" w:hAnsiTheme="majorHAnsi"/>
          <w:sz w:val="20"/>
          <w:szCs w:val="20"/>
        </w:rPr>
        <w:t>за</w:t>
      </w:r>
      <w:r w:rsidRPr="000977F7">
        <w:rPr>
          <w:rFonts w:asciiTheme="majorHAnsi" w:hAnsiTheme="majorHAnsi"/>
          <w:spacing w:val="10"/>
          <w:sz w:val="20"/>
          <w:szCs w:val="20"/>
        </w:rPr>
        <w:t xml:space="preserve"> </w:t>
      </w:r>
      <w:r w:rsidRPr="000977F7">
        <w:rPr>
          <w:rFonts w:asciiTheme="majorHAnsi" w:hAnsiTheme="majorHAnsi"/>
          <w:sz w:val="20"/>
          <w:szCs w:val="20"/>
        </w:rPr>
        <w:t>результатами</w:t>
      </w:r>
      <w:r w:rsidRPr="000977F7">
        <w:rPr>
          <w:rFonts w:asciiTheme="majorHAnsi" w:hAnsiTheme="majorHAnsi"/>
          <w:spacing w:val="10"/>
          <w:sz w:val="20"/>
          <w:szCs w:val="20"/>
        </w:rPr>
        <w:t xml:space="preserve"> </w:t>
      </w:r>
      <w:r w:rsidRPr="000977F7">
        <w:rPr>
          <w:rFonts w:asciiTheme="majorHAnsi" w:hAnsiTheme="majorHAnsi"/>
          <w:sz w:val="20"/>
          <w:szCs w:val="20"/>
        </w:rPr>
        <w:t>перевірки</w:t>
      </w:r>
      <w:r w:rsidRPr="000977F7">
        <w:rPr>
          <w:rFonts w:asciiTheme="majorHAnsi" w:hAnsiTheme="majorHAnsi"/>
          <w:spacing w:val="10"/>
          <w:sz w:val="20"/>
          <w:szCs w:val="20"/>
        </w:rPr>
        <w:t xml:space="preserve"> </w:t>
      </w:r>
      <w:r w:rsidRPr="000977F7">
        <w:rPr>
          <w:rFonts w:asciiTheme="majorHAnsi" w:hAnsiTheme="majorHAnsi"/>
          <w:sz w:val="20"/>
          <w:szCs w:val="20"/>
        </w:rPr>
        <w:t>декількох</w:t>
      </w:r>
      <w:r w:rsidRPr="000977F7">
        <w:rPr>
          <w:rFonts w:asciiTheme="majorHAnsi" w:hAnsiTheme="majorHAnsi"/>
          <w:spacing w:val="8"/>
          <w:sz w:val="20"/>
          <w:szCs w:val="20"/>
        </w:rPr>
        <w:t xml:space="preserve"> </w:t>
      </w:r>
      <w:r w:rsidRPr="000977F7">
        <w:rPr>
          <w:rFonts w:asciiTheme="majorHAnsi" w:hAnsiTheme="majorHAnsi"/>
          <w:sz w:val="20"/>
          <w:szCs w:val="20"/>
        </w:rPr>
        <w:t>вибірок,</w:t>
      </w:r>
      <w:r w:rsidRPr="000977F7">
        <w:rPr>
          <w:rFonts w:asciiTheme="majorHAnsi" w:hAnsiTheme="majorHAnsi"/>
          <w:spacing w:val="-8"/>
          <w:sz w:val="20"/>
          <w:szCs w:val="20"/>
        </w:rPr>
        <w:t xml:space="preserve"> </w:t>
      </w:r>
      <w:r w:rsidRPr="000977F7">
        <w:rPr>
          <w:rFonts w:asciiTheme="majorHAnsi" w:hAnsiTheme="majorHAnsi"/>
          <w:sz w:val="20"/>
          <w:szCs w:val="20"/>
        </w:rPr>
        <w:t>максимальну</w:t>
      </w:r>
      <w:r w:rsidRPr="000977F7">
        <w:rPr>
          <w:rFonts w:asciiTheme="majorHAnsi" w:hAnsiTheme="majorHAnsi"/>
          <w:spacing w:val="-8"/>
          <w:sz w:val="20"/>
          <w:szCs w:val="20"/>
        </w:rPr>
        <w:t xml:space="preserve"> </w:t>
      </w:r>
      <w:r w:rsidRPr="000977F7">
        <w:rPr>
          <w:rFonts w:asciiTheme="majorHAnsi" w:hAnsiTheme="majorHAnsi"/>
          <w:sz w:val="20"/>
          <w:szCs w:val="20"/>
        </w:rPr>
        <w:t>кількість</w:t>
      </w:r>
      <w:r w:rsidRPr="000977F7">
        <w:rPr>
          <w:rFonts w:asciiTheme="majorHAnsi" w:hAnsiTheme="majorHAnsi"/>
          <w:spacing w:val="-7"/>
          <w:sz w:val="20"/>
          <w:szCs w:val="20"/>
        </w:rPr>
        <w:t xml:space="preserve"> </w:t>
      </w:r>
      <w:r w:rsidRPr="000977F7">
        <w:rPr>
          <w:rFonts w:asciiTheme="majorHAnsi" w:hAnsiTheme="majorHAnsi"/>
          <w:sz w:val="20"/>
          <w:szCs w:val="20"/>
        </w:rPr>
        <w:t>яких</w:t>
      </w:r>
      <w:r w:rsidRPr="000977F7">
        <w:rPr>
          <w:rFonts w:asciiTheme="majorHAnsi" w:hAnsiTheme="majorHAnsi"/>
          <w:spacing w:val="-8"/>
          <w:sz w:val="20"/>
          <w:szCs w:val="20"/>
        </w:rPr>
        <w:t xml:space="preserve"> </w:t>
      </w:r>
      <w:r w:rsidRPr="000977F7">
        <w:rPr>
          <w:rFonts w:asciiTheme="majorHAnsi" w:hAnsiTheme="majorHAnsi"/>
          <w:sz w:val="20"/>
          <w:szCs w:val="20"/>
        </w:rPr>
        <w:t>заздалегідь</w:t>
      </w:r>
      <w:r w:rsidRPr="000977F7">
        <w:rPr>
          <w:rFonts w:asciiTheme="majorHAnsi" w:hAnsiTheme="majorHAnsi"/>
          <w:spacing w:val="-5"/>
          <w:sz w:val="20"/>
          <w:szCs w:val="20"/>
        </w:rPr>
        <w:t xml:space="preserve"> </w:t>
      </w:r>
      <w:r w:rsidRPr="000977F7">
        <w:rPr>
          <w:rFonts w:asciiTheme="majorHAnsi" w:hAnsiTheme="majorHAnsi"/>
          <w:sz w:val="20"/>
          <w:szCs w:val="20"/>
        </w:rPr>
        <w:t>не</w:t>
      </w:r>
      <w:r w:rsidRPr="000977F7">
        <w:rPr>
          <w:rFonts w:asciiTheme="majorHAnsi" w:hAnsiTheme="majorHAnsi"/>
          <w:spacing w:val="-7"/>
          <w:sz w:val="20"/>
          <w:szCs w:val="20"/>
        </w:rPr>
        <w:t xml:space="preserve"> </w:t>
      </w:r>
      <w:r w:rsidRPr="000977F7">
        <w:rPr>
          <w:rFonts w:asciiTheme="majorHAnsi" w:hAnsiTheme="majorHAnsi"/>
          <w:sz w:val="20"/>
          <w:szCs w:val="20"/>
        </w:rPr>
        <w:t>встано</w:t>
      </w:r>
      <w:r w:rsidRPr="000977F7">
        <w:rPr>
          <w:rFonts w:asciiTheme="majorHAnsi" w:hAnsiTheme="majorHAnsi"/>
          <w:spacing w:val="-2"/>
          <w:sz w:val="20"/>
          <w:szCs w:val="20"/>
        </w:rPr>
        <w:t>влено,</w:t>
      </w:r>
      <w:r w:rsidRPr="000977F7">
        <w:rPr>
          <w:rFonts w:asciiTheme="majorHAnsi" w:hAnsiTheme="majorHAnsi"/>
          <w:spacing w:val="-8"/>
          <w:sz w:val="20"/>
          <w:szCs w:val="20"/>
        </w:rPr>
        <w:t xml:space="preserve"> </w:t>
      </w:r>
      <w:r w:rsidRPr="000977F7">
        <w:rPr>
          <w:rFonts w:asciiTheme="majorHAnsi" w:hAnsiTheme="majorHAnsi"/>
          <w:spacing w:val="-2"/>
          <w:sz w:val="20"/>
          <w:szCs w:val="20"/>
        </w:rPr>
        <w:t>причому</w:t>
      </w:r>
      <w:r w:rsidRPr="000977F7">
        <w:rPr>
          <w:rFonts w:asciiTheme="majorHAnsi" w:hAnsiTheme="majorHAnsi"/>
          <w:spacing w:val="-9"/>
          <w:sz w:val="20"/>
          <w:szCs w:val="20"/>
        </w:rPr>
        <w:t xml:space="preserve"> </w:t>
      </w:r>
      <w:r w:rsidRPr="000977F7">
        <w:rPr>
          <w:rFonts w:asciiTheme="majorHAnsi" w:hAnsiTheme="majorHAnsi"/>
          <w:spacing w:val="-1"/>
          <w:sz w:val="20"/>
          <w:szCs w:val="20"/>
        </w:rPr>
        <w:t>необхідність</w:t>
      </w:r>
      <w:r w:rsidRPr="000977F7">
        <w:rPr>
          <w:rFonts w:asciiTheme="majorHAnsi" w:hAnsiTheme="majorHAnsi"/>
          <w:spacing w:val="-8"/>
          <w:sz w:val="20"/>
          <w:szCs w:val="20"/>
        </w:rPr>
        <w:t xml:space="preserve"> </w:t>
      </w:r>
      <w:r w:rsidRPr="000977F7">
        <w:rPr>
          <w:rFonts w:asciiTheme="majorHAnsi" w:hAnsiTheme="majorHAnsi"/>
          <w:spacing w:val="-1"/>
          <w:sz w:val="20"/>
          <w:szCs w:val="20"/>
        </w:rPr>
        <w:t>відбору</w:t>
      </w:r>
      <w:r w:rsidRPr="000977F7">
        <w:rPr>
          <w:rFonts w:asciiTheme="majorHAnsi" w:hAnsiTheme="majorHAnsi"/>
          <w:spacing w:val="-11"/>
          <w:sz w:val="20"/>
          <w:szCs w:val="20"/>
        </w:rPr>
        <w:t xml:space="preserve"> </w:t>
      </w:r>
      <w:r w:rsidRPr="000977F7">
        <w:rPr>
          <w:rFonts w:asciiTheme="majorHAnsi" w:hAnsiTheme="majorHAnsi"/>
          <w:spacing w:val="-1"/>
          <w:sz w:val="20"/>
          <w:szCs w:val="20"/>
        </w:rPr>
        <w:t>наступної</w:t>
      </w:r>
      <w:r w:rsidRPr="000977F7">
        <w:rPr>
          <w:rFonts w:asciiTheme="majorHAnsi" w:hAnsiTheme="majorHAnsi"/>
          <w:spacing w:val="-11"/>
          <w:sz w:val="20"/>
          <w:szCs w:val="20"/>
        </w:rPr>
        <w:t xml:space="preserve"> </w:t>
      </w:r>
      <w:r w:rsidRPr="000977F7">
        <w:rPr>
          <w:rFonts w:asciiTheme="majorHAnsi" w:hAnsiTheme="majorHAnsi"/>
          <w:spacing w:val="-1"/>
          <w:sz w:val="20"/>
          <w:szCs w:val="20"/>
        </w:rPr>
        <w:t>вибірки</w:t>
      </w:r>
      <w:r w:rsidRPr="000977F7">
        <w:rPr>
          <w:rFonts w:asciiTheme="majorHAnsi" w:hAnsiTheme="majorHAnsi"/>
          <w:spacing w:val="-47"/>
          <w:sz w:val="20"/>
          <w:szCs w:val="20"/>
        </w:rPr>
        <w:t xml:space="preserve"> </w:t>
      </w:r>
      <w:r w:rsidRPr="000977F7">
        <w:rPr>
          <w:rFonts w:asciiTheme="majorHAnsi" w:hAnsiTheme="majorHAnsi"/>
          <w:spacing w:val="-2"/>
          <w:sz w:val="20"/>
          <w:szCs w:val="20"/>
        </w:rPr>
        <w:t xml:space="preserve">залежить від результатів </w:t>
      </w:r>
      <w:r w:rsidRPr="000977F7">
        <w:rPr>
          <w:rFonts w:asciiTheme="majorHAnsi" w:hAnsiTheme="majorHAnsi"/>
          <w:spacing w:val="-1"/>
          <w:sz w:val="20"/>
          <w:szCs w:val="20"/>
        </w:rPr>
        <w:t>контролю попередніх вибірок</w:t>
      </w:r>
      <w:r w:rsidRPr="000977F7">
        <w:rPr>
          <w:rFonts w:asciiTheme="majorHAnsi" w:hAnsiTheme="majorHAnsi"/>
          <w:sz w:val="20"/>
          <w:szCs w:val="20"/>
        </w:rPr>
        <w:t xml:space="preserve"> </w:t>
      </w:r>
    </w:p>
    <w:p w14:paraId="1DC2B7E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3514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52161FA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ПОСЛІДОВНИЙ</w:t>
      </w:r>
      <w:r w:rsidRPr="000977F7">
        <w:rPr>
          <w:color w:val="auto"/>
          <w:spacing w:val="-5"/>
          <w:sz w:val="20"/>
          <w:szCs w:val="20"/>
        </w:rPr>
        <w:t xml:space="preserve"> </w:t>
      </w:r>
      <w:r w:rsidRPr="000977F7">
        <w:rPr>
          <w:color w:val="auto"/>
          <w:sz w:val="20"/>
          <w:szCs w:val="20"/>
        </w:rPr>
        <w:t>СИМПЛЕКСНИЙ</w:t>
      </w:r>
      <w:r w:rsidRPr="000977F7">
        <w:rPr>
          <w:color w:val="auto"/>
          <w:spacing w:val="-4"/>
          <w:sz w:val="20"/>
          <w:szCs w:val="20"/>
        </w:rPr>
        <w:t xml:space="preserve"> </w:t>
      </w:r>
      <w:r w:rsidRPr="000977F7">
        <w:rPr>
          <w:color w:val="auto"/>
          <w:sz w:val="20"/>
          <w:szCs w:val="20"/>
        </w:rPr>
        <w:t>МЕТОД</w:t>
      </w:r>
      <w:r w:rsidRPr="000977F7">
        <w:rPr>
          <w:color w:val="auto"/>
          <w:spacing w:val="-2"/>
          <w:sz w:val="20"/>
          <w:szCs w:val="20"/>
        </w:rPr>
        <w:t xml:space="preserve"> </w:t>
      </w:r>
      <w:r w:rsidRPr="000977F7">
        <w:rPr>
          <w:color w:val="auto"/>
          <w:sz w:val="20"/>
          <w:szCs w:val="20"/>
        </w:rPr>
        <w:t>–</w:t>
      </w:r>
    </w:p>
    <w:p w14:paraId="35C8A0A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експериментальної оптимізації, що заснований</w:t>
      </w:r>
      <w:r w:rsidRPr="000977F7">
        <w:rPr>
          <w:rFonts w:asciiTheme="majorHAnsi" w:hAnsiTheme="majorHAnsi"/>
          <w:spacing w:val="1"/>
          <w:sz w:val="20"/>
          <w:szCs w:val="20"/>
        </w:rPr>
        <w:t xml:space="preserve"> </w:t>
      </w:r>
      <w:r w:rsidRPr="000977F7">
        <w:rPr>
          <w:rFonts w:asciiTheme="majorHAnsi" w:hAnsiTheme="majorHAnsi"/>
          <w:sz w:val="20"/>
          <w:szCs w:val="20"/>
        </w:rPr>
        <w:t>на сполученні насиченого плану, заданого вершинами</w:t>
      </w:r>
      <w:r w:rsidRPr="000977F7">
        <w:rPr>
          <w:rFonts w:asciiTheme="majorHAnsi" w:hAnsiTheme="majorHAnsi"/>
          <w:spacing w:val="-47"/>
          <w:sz w:val="20"/>
          <w:szCs w:val="20"/>
        </w:rPr>
        <w:t xml:space="preserve"> </w:t>
      </w:r>
      <w:r w:rsidRPr="000977F7">
        <w:rPr>
          <w:rFonts w:asciiTheme="majorHAnsi" w:hAnsiTheme="majorHAnsi"/>
          <w:sz w:val="20"/>
          <w:szCs w:val="20"/>
        </w:rPr>
        <w:t>симплекса,</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послідовним</w:t>
      </w:r>
      <w:r w:rsidRPr="000977F7">
        <w:rPr>
          <w:rFonts w:asciiTheme="majorHAnsi" w:hAnsiTheme="majorHAnsi"/>
          <w:spacing w:val="1"/>
          <w:sz w:val="20"/>
          <w:szCs w:val="20"/>
        </w:rPr>
        <w:t xml:space="preserve"> </w:t>
      </w:r>
      <w:r w:rsidRPr="000977F7">
        <w:rPr>
          <w:rFonts w:asciiTheme="majorHAnsi" w:hAnsiTheme="majorHAnsi"/>
          <w:sz w:val="20"/>
          <w:szCs w:val="20"/>
        </w:rPr>
        <w:t>відображенням</w:t>
      </w:r>
      <w:r w:rsidRPr="000977F7">
        <w:rPr>
          <w:rFonts w:asciiTheme="majorHAnsi" w:hAnsiTheme="majorHAnsi"/>
          <w:spacing w:val="1"/>
          <w:sz w:val="20"/>
          <w:szCs w:val="20"/>
        </w:rPr>
        <w:t xml:space="preserve"> </w:t>
      </w:r>
      <w:r w:rsidRPr="000977F7">
        <w:rPr>
          <w:rFonts w:asciiTheme="majorHAnsi" w:hAnsiTheme="majorHAnsi"/>
          <w:sz w:val="20"/>
          <w:szCs w:val="20"/>
        </w:rPr>
        <w:t>найгіршої</w:t>
      </w:r>
      <w:r w:rsidRPr="000977F7">
        <w:rPr>
          <w:rFonts w:asciiTheme="majorHAnsi" w:hAnsiTheme="majorHAnsi"/>
          <w:spacing w:val="-47"/>
          <w:sz w:val="20"/>
          <w:szCs w:val="20"/>
        </w:rPr>
        <w:t xml:space="preserve"> </w:t>
      </w:r>
      <w:r w:rsidRPr="000977F7">
        <w:rPr>
          <w:rFonts w:asciiTheme="majorHAnsi" w:hAnsiTheme="majorHAnsi"/>
          <w:sz w:val="20"/>
          <w:szCs w:val="20"/>
        </w:rPr>
        <w:t>вершини</w:t>
      </w:r>
      <w:r w:rsidRPr="000977F7">
        <w:rPr>
          <w:rFonts w:asciiTheme="majorHAnsi" w:hAnsiTheme="majorHAnsi"/>
          <w:spacing w:val="-2"/>
          <w:sz w:val="20"/>
          <w:szCs w:val="20"/>
        </w:rPr>
        <w:t xml:space="preserve"> </w:t>
      </w:r>
      <w:r w:rsidRPr="000977F7">
        <w:rPr>
          <w:rFonts w:asciiTheme="majorHAnsi" w:hAnsiTheme="majorHAnsi"/>
          <w:sz w:val="20"/>
          <w:szCs w:val="20"/>
        </w:rPr>
        <w:t>відносно протилежної</w:t>
      </w:r>
      <w:r w:rsidRPr="000977F7">
        <w:rPr>
          <w:rFonts w:asciiTheme="majorHAnsi" w:hAnsiTheme="majorHAnsi"/>
          <w:spacing w:val="-1"/>
          <w:sz w:val="20"/>
          <w:szCs w:val="20"/>
        </w:rPr>
        <w:t xml:space="preserve"> </w:t>
      </w:r>
      <w:r w:rsidRPr="000977F7">
        <w:rPr>
          <w:rFonts w:asciiTheme="majorHAnsi" w:hAnsiTheme="majorHAnsi"/>
          <w:sz w:val="20"/>
          <w:szCs w:val="20"/>
        </w:rPr>
        <w:t>грані</w:t>
      </w:r>
    </w:p>
    <w:p w14:paraId="6CC925B3"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ПОСЛУГА -</w:t>
      </w:r>
    </w:p>
    <w:p w14:paraId="7BB832D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SERVICE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4837B2F"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Діяльність виконавця з надання (передачі) споживачеві певного визначеного договором матеріального чи нематеріального блага, що здійснюється за індивідуальним замовленням споживача для задоволення його особистих потреб</w:t>
      </w:r>
    </w:p>
    <w:p w14:paraId="23199783"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Закон України "Про захист прав споживачів"</w:t>
      </w:r>
    </w:p>
    <w:p w14:paraId="27D6437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Результат принаймні однієї дії, обов’язково виконуваної у взаємодії між постачальником і замовником, який зазвичай є нематеріальним. </w:t>
      </w:r>
    </w:p>
    <w:p w14:paraId="61E74C5A"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ДСТУ EN ISO/IEC 17020:2019</w:t>
      </w:r>
    </w:p>
    <w:p w14:paraId="0168F8E8"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Результат як мінімум однієї дії, що обов'язково виконується у взаємодії між постачальником та замовником, і, зазвичай, є нематеріальним.</w:t>
      </w:r>
    </w:p>
    <w:p w14:paraId="33219873"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ПРИМІТКА 1 Надання послуги може охоплювати, наприклад, наступне:</w:t>
      </w:r>
    </w:p>
    <w:p w14:paraId="2AE24826"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дія, виконана з матеріальною продукцією, наданою замовником (наприклад, автомобіль для ремонту);</w:t>
      </w:r>
    </w:p>
    <w:p w14:paraId="45F6AD03"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дія, виконана з нематеріальним продукцією, наданою замовником (наприклад, з декларацією про отримані доходи, необхідною для обчислення розміру податку);</w:t>
      </w:r>
    </w:p>
    <w:p w14:paraId="23582E10"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lastRenderedPageBreak/>
        <w:t>подання нематеріальної продукції (наприклад, передача інформації в контексті надання знань);</w:t>
      </w:r>
    </w:p>
    <w:p w14:paraId="08EBCF11"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створення оточення для замовника (наприклад, в готелях і ресторанах).</w:t>
      </w:r>
    </w:p>
    <w:p w14:paraId="59737BF1"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lang w:eastAsia="ru-RU"/>
        </w:rPr>
        <w:t>ДСТУ EN ISO/IEC 17065:2019</w:t>
      </w:r>
    </w:p>
    <w:p w14:paraId="3E66B24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Вихід</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обов’язкового</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принаймні одного виду роботи між організацією та замовником.</w:t>
      </w:r>
    </w:p>
    <w:p w14:paraId="04D3277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Домінантні елементи послуги, зазвичай,</w:t>
      </w:r>
      <w:r w:rsidRPr="000977F7">
        <w:rPr>
          <w:rFonts w:asciiTheme="majorHAnsi" w:hAnsiTheme="majorHAnsi"/>
          <w:spacing w:val="1"/>
          <w:sz w:val="20"/>
          <w:szCs w:val="20"/>
        </w:rPr>
        <w:t xml:space="preserve"> </w:t>
      </w:r>
      <w:r w:rsidRPr="000977F7">
        <w:rPr>
          <w:rFonts w:asciiTheme="majorHAnsi" w:hAnsiTheme="majorHAnsi"/>
          <w:sz w:val="20"/>
          <w:szCs w:val="20"/>
        </w:rPr>
        <w:t>нематеріальні.</w:t>
      </w:r>
    </w:p>
    <w:p w14:paraId="339CCA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2. Послуга часто охоплює діяльність на межі взаємодії із замовником, щоб установлювати вимоги замовника, а також під час надавання послуги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передбачити</w:t>
      </w:r>
      <w:r w:rsidRPr="000977F7">
        <w:rPr>
          <w:rFonts w:asciiTheme="majorHAnsi" w:hAnsiTheme="majorHAnsi"/>
          <w:spacing w:val="1"/>
          <w:sz w:val="20"/>
          <w:szCs w:val="20"/>
        </w:rPr>
        <w:t xml:space="preserve"> </w:t>
      </w:r>
      <w:r w:rsidRPr="000977F7">
        <w:rPr>
          <w:rFonts w:asciiTheme="majorHAnsi" w:hAnsiTheme="majorHAnsi"/>
          <w:sz w:val="20"/>
          <w:szCs w:val="20"/>
        </w:rPr>
        <w:t>підтримання</w:t>
      </w:r>
      <w:r w:rsidRPr="000977F7">
        <w:rPr>
          <w:rFonts w:asciiTheme="majorHAnsi" w:hAnsiTheme="majorHAnsi"/>
          <w:spacing w:val="1"/>
          <w:sz w:val="20"/>
          <w:szCs w:val="20"/>
        </w:rPr>
        <w:t xml:space="preserve"> </w:t>
      </w:r>
      <w:r w:rsidRPr="000977F7">
        <w:rPr>
          <w:rFonts w:asciiTheme="majorHAnsi" w:hAnsiTheme="majorHAnsi"/>
          <w:sz w:val="20"/>
          <w:szCs w:val="20"/>
        </w:rPr>
        <w:t>постійного</w:t>
      </w:r>
      <w:r w:rsidRPr="000977F7">
        <w:rPr>
          <w:rFonts w:asciiTheme="majorHAnsi" w:hAnsiTheme="majorHAnsi"/>
          <w:spacing w:val="1"/>
          <w:sz w:val="20"/>
          <w:szCs w:val="20"/>
        </w:rPr>
        <w:t xml:space="preserve"> </w:t>
      </w:r>
      <w:r w:rsidRPr="000977F7">
        <w:rPr>
          <w:rFonts w:asciiTheme="majorHAnsi" w:hAnsiTheme="majorHAnsi"/>
          <w:sz w:val="20"/>
          <w:szCs w:val="20"/>
        </w:rPr>
        <w:t>зв’язку,</w:t>
      </w:r>
      <w:r w:rsidRPr="000977F7">
        <w:rPr>
          <w:rFonts w:asciiTheme="majorHAnsi" w:hAnsiTheme="majorHAnsi"/>
          <w:spacing w:val="1"/>
          <w:sz w:val="20"/>
          <w:szCs w:val="20"/>
        </w:rPr>
        <w:t xml:space="preserve"> </w:t>
      </w:r>
      <w:r w:rsidRPr="000977F7">
        <w:rPr>
          <w:rFonts w:asciiTheme="majorHAnsi" w:hAnsiTheme="majorHAnsi"/>
          <w:sz w:val="20"/>
          <w:szCs w:val="20"/>
        </w:rPr>
        <w:t>наприклад, з фінансовими установами, бюро бухгалтерської експертизи чи державними організаціями, як</w:t>
      </w:r>
      <w:r w:rsidRPr="000977F7">
        <w:rPr>
          <w:rFonts w:asciiTheme="majorHAnsi" w:hAnsiTheme="majorHAnsi"/>
          <w:spacing w:val="1"/>
          <w:sz w:val="20"/>
          <w:szCs w:val="20"/>
        </w:rPr>
        <w:t xml:space="preserve"> </w:t>
      </w:r>
      <w:r w:rsidRPr="000977F7">
        <w:rPr>
          <w:rFonts w:asciiTheme="majorHAnsi" w:hAnsiTheme="majorHAnsi"/>
          <w:sz w:val="20"/>
          <w:szCs w:val="20"/>
        </w:rPr>
        <w:t>от</w:t>
      </w:r>
      <w:r w:rsidRPr="000977F7">
        <w:rPr>
          <w:rFonts w:asciiTheme="majorHAnsi" w:hAnsiTheme="majorHAnsi"/>
          <w:spacing w:val="-2"/>
          <w:sz w:val="20"/>
          <w:szCs w:val="20"/>
        </w:rPr>
        <w:t xml:space="preserve"> </w:t>
      </w:r>
      <w:r w:rsidRPr="000977F7">
        <w:rPr>
          <w:rFonts w:asciiTheme="majorHAnsi" w:hAnsiTheme="majorHAnsi"/>
          <w:sz w:val="20"/>
          <w:szCs w:val="20"/>
        </w:rPr>
        <w:t>школи чи</w:t>
      </w:r>
      <w:r w:rsidRPr="000977F7">
        <w:rPr>
          <w:rFonts w:asciiTheme="majorHAnsi" w:hAnsiTheme="majorHAnsi"/>
          <w:spacing w:val="-1"/>
          <w:sz w:val="20"/>
          <w:szCs w:val="20"/>
        </w:rPr>
        <w:t xml:space="preserve"> </w:t>
      </w:r>
      <w:r w:rsidRPr="000977F7">
        <w:rPr>
          <w:rFonts w:asciiTheme="majorHAnsi" w:hAnsiTheme="majorHAnsi"/>
          <w:sz w:val="20"/>
          <w:szCs w:val="20"/>
        </w:rPr>
        <w:t>лікарні.</w:t>
      </w:r>
    </w:p>
    <w:p w14:paraId="20FE6B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3. Надання послуги може охоплювати, наприклад,</w:t>
      </w:r>
      <w:r w:rsidRPr="000977F7">
        <w:rPr>
          <w:rFonts w:asciiTheme="majorHAnsi" w:hAnsiTheme="majorHAnsi"/>
          <w:spacing w:val="-1"/>
          <w:sz w:val="20"/>
          <w:szCs w:val="20"/>
        </w:rPr>
        <w:t xml:space="preserve"> </w:t>
      </w:r>
      <w:r w:rsidRPr="000977F7">
        <w:rPr>
          <w:rFonts w:asciiTheme="majorHAnsi" w:hAnsiTheme="majorHAnsi"/>
          <w:sz w:val="20"/>
          <w:szCs w:val="20"/>
        </w:rPr>
        <w:t>таке:</w:t>
      </w:r>
    </w:p>
    <w:p w14:paraId="5B7A2602" w14:textId="77777777" w:rsidR="0097612F" w:rsidRPr="000977F7" w:rsidRDefault="0097612F" w:rsidP="00FD39A4">
      <w:pPr>
        <w:pStyle w:val="ac"/>
        <w:widowControl w:val="0"/>
        <w:numPr>
          <w:ilvl w:val="1"/>
          <w:numId w:val="180"/>
        </w:numPr>
        <w:tabs>
          <w:tab w:val="left" w:pos="284"/>
          <w:tab w:val="left" w:pos="44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роботу, виконану з матеріальною продукцією, поданою замовником (наприклад, з автомобілем, що підлягав</w:t>
      </w:r>
      <w:r w:rsidRPr="000977F7">
        <w:rPr>
          <w:rFonts w:asciiTheme="majorHAnsi" w:hAnsiTheme="majorHAnsi"/>
          <w:spacing w:val="-2"/>
          <w:sz w:val="20"/>
          <w:szCs w:val="20"/>
        </w:rPr>
        <w:t xml:space="preserve"> </w:t>
      </w:r>
      <w:r w:rsidRPr="000977F7">
        <w:rPr>
          <w:rFonts w:asciiTheme="majorHAnsi" w:hAnsiTheme="majorHAnsi"/>
          <w:sz w:val="20"/>
          <w:szCs w:val="20"/>
        </w:rPr>
        <w:t>ремонту);</w:t>
      </w:r>
    </w:p>
    <w:p w14:paraId="7810FDB4" w14:textId="77777777" w:rsidR="0097612F" w:rsidRPr="000977F7" w:rsidRDefault="0097612F" w:rsidP="00FD39A4">
      <w:pPr>
        <w:pStyle w:val="ac"/>
        <w:widowControl w:val="0"/>
        <w:numPr>
          <w:ilvl w:val="1"/>
          <w:numId w:val="180"/>
        </w:numPr>
        <w:tabs>
          <w:tab w:val="left" w:pos="284"/>
          <w:tab w:val="left" w:pos="44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роботу, виконану з нематеріальною продукцією, поданою</w:t>
      </w:r>
      <w:r w:rsidRPr="000977F7">
        <w:rPr>
          <w:rFonts w:asciiTheme="majorHAnsi" w:hAnsiTheme="majorHAnsi"/>
          <w:spacing w:val="1"/>
          <w:sz w:val="20"/>
          <w:szCs w:val="20"/>
        </w:rPr>
        <w:t xml:space="preserve"> </w:t>
      </w:r>
      <w:r w:rsidRPr="000977F7">
        <w:rPr>
          <w:rFonts w:asciiTheme="majorHAnsi" w:hAnsiTheme="majorHAnsi"/>
          <w:sz w:val="20"/>
          <w:szCs w:val="20"/>
        </w:rPr>
        <w:t>замовником</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декларацією</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доходи,</w:t>
      </w:r>
      <w:r w:rsidRPr="000977F7">
        <w:rPr>
          <w:rFonts w:asciiTheme="majorHAnsi" w:hAnsiTheme="majorHAnsi"/>
          <w:spacing w:val="-2"/>
          <w:sz w:val="20"/>
          <w:szCs w:val="20"/>
        </w:rPr>
        <w:t xml:space="preserve"> </w:t>
      </w:r>
      <w:r w:rsidRPr="000977F7">
        <w:rPr>
          <w:rFonts w:asciiTheme="majorHAnsi" w:hAnsiTheme="majorHAnsi"/>
          <w:sz w:val="20"/>
          <w:szCs w:val="20"/>
        </w:rPr>
        <w:t>необхідною</w:t>
      </w:r>
      <w:r w:rsidRPr="000977F7">
        <w:rPr>
          <w:rFonts w:asciiTheme="majorHAnsi" w:hAnsiTheme="majorHAnsi"/>
          <w:spacing w:val="-4"/>
          <w:sz w:val="20"/>
          <w:szCs w:val="20"/>
        </w:rPr>
        <w:t xml:space="preserve"> </w:t>
      </w:r>
      <w:r w:rsidRPr="000977F7">
        <w:rPr>
          <w:rFonts w:asciiTheme="majorHAnsi" w:hAnsiTheme="majorHAnsi"/>
          <w:sz w:val="20"/>
          <w:szCs w:val="20"/>
        </w:rPr>
        <w:t>для</w:t>
      </w:r>
      <w:r w:rsidRPr="000977F7">
        <w:rPr>
          <w:rFonts w:asciiTheme="majorHAnsi" w:hAnsiTheme="majorHAnsi"/>
          <w:spacing w:val="-4"/>
          <w:sz w:val="20"/>
          <w:szCs w:val="20"/>
        </w:rPr>
        <w:t xml:space="preserve"> </w:t>
      </w:r>
      <w:r w:rsidRPr="000977F7">
        <w:rPr>
          <w:rFonts w:asciiTheme="majorHAnsi" w:hAnsiTheme="majorHAnsi"/>
          <w:sz w:val="20"/>
          <w:szCs w:val="20"/>
        </w:rPr>
        <w:t>обчислення</w:t>
      </w:r>
      <w:r w:rsidRPr="000977F7">
        <w:rPr>
          <w:rFonts w:asciiTheme="majorHAnsi" w:hAnsiTheme="majorHAnsi"/>
          <w:spacing w:val="-5"/>
          <w:sz w:val="20"/>
          <w:szCs w:val="20"/>
        </w:rPr>
        <w:t xml:space="preserve"> </w:t>
      </w:r>
      <w:r w:rsidRPr="000977F7">
        <w:rPr>
          <w:rFonts w:asciiTheme="majorHAnsi" w:hAnsiTheme="majorHAnsi"/>
          <w:sz w:val="20"/>
          <w:szCs w:val="20"/>
        </w:rPr>
        <w:t>розміру</w:t>
      </w:r>
      <w:r w:rsidRPr="000977F7">
        <w:rPr>
          <w:rFonts w:asciiTheme="majorHAnsi" w:hAnsiTheme="majorHAnsi"/>
          <w:spacing w:val="-7"/>
          <w:sz w:val="20"/>
          <w:szCs w:val="20"/>
        </w:rPr>
        <w:t xml:space="preserve"> </w:t>
      </w:r>
      <w:r w:rsidRPr="000977F7">
        <w:rPr>
          <w:rFonts w:asciiTheme="majorHAnsi" w:hAnsiTheme="majorHAnsi"/>
          <w:sz w:val="20"/>
          <w:szCs w:val="20"/>
        </w:rPr>
        <w:t>податку);</w:t>
      </w:r>
    </w:p>
    <w:p w14:paraId="3EE1E092" w14:textId="77777777" w:rsidR="0097612F" w:rsidRPr="000977F7" w:rsidRDefault="0097612F" w:rsidP="00FD39A4">
      <w:pPr>
        <w:pStyle w:val="ac"/>
        <w:widowControl w:val="0"/>
        <w:numPr>
          <w:ilvl w:val="1"/>
          <w:numId w:val="180"/>
        </w:numPr>
        <w:tabs>
          <w:tab w:val="left" w:pos="284"/>
          <w:tab w:val="left" w:pos="48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подання</w:t>
      </w:r>
      <w:r w:rsidRPr="000977F7">
        <w:rPr>
          <w:rFonts w:asciiTheme="majorHAnsi" w:hAnsiTheme="majorHAnsi"/>
          <w:spacing w:val="1"/>
          <w:sz w:val="20"/>
          <w:szCs w:val="20"/>
        </w:rPr>
        <w:t xml:space="preserve"> </w:t>
      </w:r>
      <w:r w:rsidRPr="000977F7">
        <w:rPr>
          <w:rFonts w:asciiTheme="majorHAnsi" w:hAnsiTheme="majorHAnsi"/>
          <w:sz w:val="20"/>
          <w:szCs w:val="20"/>
        </w:rPr>
        <w:t>нематеріальної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подання</w:t>
      </w:r>
      <w:r w:rsidRPr="000977F7">
        <w:rPr>
          <w:rFonts w:asciiTheme="majorHAnsi" w:hAnsiTheme="majorHAnsi"/>
          <w:spacing w:val="-3"/>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контексті</w:t>
      </w:r>
      <w:r w:rsidRPr="000977F7">
        <w:rPr>
          <w:rFonts w:asciiTheme="majorHAnsi" w:hAnsiTheme="majorHAnsi"/>
          <w:spacing w:val="-2"/>
          <w:sz w:val="20"/>
          <w:szCs w:val="20"/>
        </w:rPr>
        <w:t xml:space="preserve"> </w:t>
      </w:r>
      <w:r w:rsidRPr="000977F7">
        <w:rPr>
          <w:rFonts w:asciiTheme="majorHAnsi" w:hAnsiTheme="majorHAnsi"/>
          <w:sz w:val="20"/>
          <w:szCs w:val="20"/>
        </w:rPr>
        <w:t>передавання</w:t>
      </w:r>
      <w:r w:rsidRPr="000977F7">
        <w:rPr>
          <w:rFonts w:asciiTheme="majorHAnsi" w:hAnsiTheme="majorHAnsi"/>
          <w:spacing w:val="-2"/>
          <w:sz w:val="20"/>
          <w:szCs w:val="20"/>
        </w:rPr>
        <w:t xml:space="preserve"> </w:t>
      </w:r>
      <w:r w:rsidRPr="000977F7">
        <w:rPr>
          <w:rFonts w:asciiTheme="majorHAnsi" w:hAnsiTheme="majorHAnsi"/>
          <w:sz w:val="20"/>
          <w:szCs w:val="20"/>
        </w:rPr>
        <w:t>знань);</w:t>
      </w:r>
    </w:p>
    <w:p w14:paraId="7A711661" w14:textId="77777777" w:rsidR="0097612F" w:rsidRPr="000977F7" w:rsidRDefault="0097612F" w:rsidP="00FD39A4">
      <w:pPr>
        <w:pStyle w:val="ac"/>
        <w:widowControl w:val="0"/>
        <w:numPr>
          <w:ilvl w:val="1"/>
          <w:numId w:val="180"/>
        </w:numPr>
        <w:tabs>
          <w:tab w:val="left" w:pos="284"/>
          <w:tab w:val="left" w:pos="43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створення сприятливих</w:t>
      </w:r>
      <w:r w:rsidRPr="000977F7">
        <w:rPr>
          <w:rFonts w:asciiTheme="majorHAnsi" w:hAnsiTheme="majorHAnsi"/>
          <w:spacing w:val="1"/>
          <w:sz w:val="20"/>
          <w:szCs w:val="20"/>
        </w:rPr>
        <w:t xml:space="preserve"> </w:t>
      </w:r>
      <w:r w:rsidRPr="000977F7">
        <w:rPr>
          <w:rFonts w:asciiTheme="majorHAnsi" w:hAnsiTheme="majorHAnsi"/>
          <w:sz w:val="20"/>
          <w:szCs w:val="20"/>
        </w:rPr>
        <w:t>умов для замовника (наприклад,</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готелях</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ресторанах).</w:t>
      </w:r>
    </w:p>
    <w:p w14:paraId="5F7483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4"/>
          <w:sz w:val="20"/>
          <w:szCs w:val="20"/>
        </w:rPr>
        <w:t xml:space="preserve"> </w:t>
      </w:r>
      <w:r w:rsidRPr="000977F7">
        <w:rPr>
          <w:rFonts w:asciiTheme="majorHAnsi" w:hAnsiTheme="majorHAnsi"/>
          <w:sz w:val="20"/>
          <w:szCs w:val="20"/>
        </w:rPr>
        <w:t>4.</w:t>
      </w:r>
      <w:r w:rsidRPr="000977F7">
        <w:rPr>
          <w:rFonts w:asciiTheme="majorHAnsi" w:hAnsiTheme="majorHAnsi"/>
          <w:spacing w:val="-4"/>
          <w:sz w:val="20"/>
          <w:szCs w:val="20"/>
        </w:rPr>
        <w:t xml:space="preserve"> </w:t>
      </w:r>
      <w:r w:rsidRPr="000977F7">
        <w:rPr>
          <w:rFonts w:asciiTheme="majorHAnsi" w:hAnsiTheme="majorHAnsi"/>
          <w:sz w:val="20"/>
          <w:szCs w:val="20"/>
        </w:rPr>
        <w:t>Послугу,</w:t>
      </w:r>
      <w:r w:rsidRPr="000977F7">
        <w:rPr>
          <w:rFonts w:asciiTheme="majorHAnsi" w:hAnsiTheme="majorHAnsi"/>
          <w:spacing w:val="-4"/>
          <w:sz w:val="20"/>
          <w:szCs w:val="20"/>
        </w:rPr>
        <w:t xml:space="preserve"> </w:t>
      </w:r>
      <w:r w:rsidRPr="000977F7">
        <w:rPr>
          <w:rFonts w:asciiTheme="majorHAnsi" w:hAnsiTheme="majorHAnsi"/>
          <w:sz w:val="20"/>
          <w:szCs w:val="20"/>
        </w:rPr>
        <w:t>зазвичай, відчуває</w:t>
      </w:r>
      <w:r w:rsidRPr="000977F7">
        <w:rPr>
          <w:rFonts w:asciiTheme="majorHAnsi" w:hAnsiTheme="majorHAnsi"/>
          <w:spacing w:val="-4"/>
          <w:sz w:val="20"/>
          <w:szCs w:val="20"/>
        </w:rPr>
        <w:t xml:space="preserve"> </w:t>
      </w:r>
      <w:r w:rsidRPr="000977F7">
        <w:rPr>
          <w:rFonts w:asciiTheme="majorHAnsi" w:hAnsiTheme="majorHAnsi"/>
          <w:sz w:val="20"/>
          <w:szCs w:val="20"/>
        </w:rPr>
        <w:t>замовник</w:t>
      </w:r>
    </w:p>
    <w:p w14:paraId="13D8F33F"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ISO 9000:2015</w:t>
      </w:r>
    </w:p>
    <w:p w14:paraId="04F87D93"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ПОСТАВЛЕННЯ</w:t>
      </w:r>
      <w:r w:rsidRPr="000977F7">
        <w:rPr>
          <w:rFonts w:asciiTheme="majorHAnsi" w:hAnsiTheme="majorHAnsi"/>
          <w:b/>
          <w:spacing w:val="-7"/>
          <w:sz w:val="20"/>
          <w:szCs w:val="20"/>
        </w:rPr>
        <w:t xml:space="preserve"> </w:t>
      </w:r>
      <w:r w:rsidRPr="000977F7">
        <w:rPr>
          <w:rFonts w:asciiTheme="majorHAnsi" w:hAnsiTheme="majorHAnsi"/>
          <w:b/>
          <w:sz w:val="20"/>
          <w:szCs w:val="20"/>
        </w:rPr>
        <w:t>ПРОДУКЦІЇ</w:t>
      </w:r>
      <w:r w:rsidRPr="000977F7">
        <w:rPr>
          <w:rFonts w:asciiTheme="majorHAnsi" w:hAnsiTheme="majorHAnsi"/>
          <w:b/>
          <w:spacing w:val="-8"/>
          <w:sz w:val="20"/>
          <w:szCs w:val="20"/>
        </w:rPr>
        <w:t xml:space="preserve"> </w:t>
      </w:r>
      <w:r w:rsidRPr="000977F7">
        <w:rPr>
          <w:rFonts w:asciiTheme="majorHAnsi" w:hAnsiTheme="majorHAnsi"/>
          <w:b/>
          <w:sz w:val="20"/>
          <w:szCs w:val="20"/>
        </w:rPr>
        <w:t>НА</w:t>
      </w:r>
      <w:r w:rsidRPr="000977F7">
        <w:rPr>
          <w:rFonts w:asciiTheme="majorHAnsi" w:hAnsiTheme="majorHAnsi"/>
          <w:b/>
          <w:spacing w:val="-47"/>
          <w:sz w:val="20"/>
          <w:szCs w:val="20"/>
        </w:rPr>
        <w:t xml:space="preserve"> </w:t>
      </w:r>
      <w:r w:rsidRPr="000977F7">
        <w:rPr>
          <w:rFonts w:asciiTheme="majorHAnsi" w:hAnsiTheme="majorHAnsi"/>
          <w:b/>
          <w:sz w:val="20"/>
          <w:szCs w:val="20"/>
        </w:rPr>
        <w:t>ВИРОБНИЦТВО</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4BF621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заходів щодо організації виробництва новорозробленої,</w:t>
      </w:r>
      <w:r w:rsidRPr="000977F7">
        <w:rPr>
          <w:rFonts w:asciiTheme="majorHAnsi" w:hAnsiTheme="majorHAnsi"/>
          <w:spacing w:val="1"/>
          <w:sz w:val="20"/>
          <w:szCs w:val="20"/>
        </w:rPr>
        <w:t xml:space="preserve"> </w:t>
      </w:r>
      <w:r w:rsidRPr="000977F7">
        <w:rPr>
          <w:rFonts w:asciiTheme="majorHAnsi" w:hAnsiTheme="majorHAnsi"/>
          <w:sz w:val="20"/>
          <w:szCs w:val="20"/>
        </w:rPr>
        <w:t>модернізованої</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раніше</w:t>
      </w:r>
      <w:r w:rsidRPr="000977F7">
        <w:rPr>
          <w:rFonts w:asciiTheme="majorHAnsi" w:hAnsiTheme="majorHAnsi"/>
          <w:spacing w:val="1"/>
          <w:sz w:val="20"/>
          <w:szCs w:val="20"/>
        </w:rPr>
        <w:t xml:space="preserve"> </w:t>
      </w:r>
      <w:r w:rsidRPr="000977F7">
        <w:rPr>
          <w:rFonts w:asciiTheme="majorHAnsi" w:hAnsiTheme="majorHAnsi"/>
          <w:sz w:val="20"/>
          <w:szCs w:val="20"/>
        </w:rPr>
        <w:t>освоєної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3C5E055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ПОСТАЧАЛЬНИК</w:t>
      </w:r>
      <w:r w:rsidRPr="000977F7">
        <w:rPr>
          <w:color w:val="auto"/>
          <w:spacing w:val="-6"/>
          <w:sz w:val="20"/>
          <w:szCs w:val="20"/>
        </w:rPr>
        <w:t xml:space="preserve"> </w:t>
      </w:r>
      <w:r w:rsidRPr="000977F7">
        <w:rPr>
          <w:color w:val="auto"/>
          <w:sz w:val="20"/>
          <w:szCs w:val="20"/>
        </w:rPr>
        <w:t>–</w:t>
      </w:r>
    </w:p>
    <w:p w14:paraId="7DFF1DA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SUPPLIER</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sz w:val="20"/>
          <w:szCs w:val="20"/>
        </w:rPr>
        <w:t>PROVIDER –</w:t>
      </w:r>
    </w:p>
    <w:p w14:paraId="3F22CF4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iCs/>
          <w:sz w:val="20"/>
          <w:szCs w:val="20"/>
        </w:rPr>
        <w:t>,</w:t>
      </w:r>
      <w:r w:rsidRPr="000977F7">
        <w:rPr>
          <w:rFonts w:asciiTheme="majorHAnsi" w:hAnsiTheme="majorHAnsi"/>
          <w:iCs/>
          <w:spacing w:val="-4"/>
          <w:sz w:val="20"/>
          <w:szCs w:val="20"/>
        </w:rPr>
        <w:t xml:space="preserve"> </w:t>
      </w:r>
      <w:r w:rsidRPr="000977F7">
        <w:rPr>
          <w:rFonts w:asciiTheme="majorHAnsi" w:hAnsiTheme="majorHAnsi"/>
          <w:iCs/>
          <w:sz w:val="20"/>
          <w:szCs w:val="20"/>
        </w:rPr>
        <w:t>яка</w:t>
      </w:r>
      <w:r w:rsidRPr="000977F7">
        <w:rPr>
          <w:rFonts w:asciiTheme="majorHAnsi" w:hAnsiTheme="majorHAnsi"/>
          <w:iCs/>
          <w:spacing w:val="-2"/>
          <w:sz w:val="20"/>
          <w:szCs w:val="20"/>
        </w:rPr>
        <w:t xml:space="preserve"> </w:t>
      </w:r>
      <w:r w:rsidRPr="000977F7">
        <w:rPr>
          <w:rFonts w:asciiTheme="majorHAnsi" w:hAnsiTheme="majorHAnsi"/>
          <w:iCs/>
          <w:sz w:val="20"/>
          <w:szCs w:val="20"/>
        </w:rPr>
        <w:t>постачає</w:t>
      </w:r>
      <w:r w:rsidRPr="000977F7">
        <w:rPr>
          <w:rFonts w:asciiTheme="majorHAnsi" w:hAnsiTheme="majorHAnsi"/>
          <w:iCs/>
          <w:spacing w:val="-4"/>
          <w:sz w:val="20"/>
          <w:szCs w:val="20"/>
        </w:rPr>
        <w:t xml:space="preserve"> </w:t>
      </w:r>
      <w:r w:rsidRPr="000977F7">
        <w:rPr>
          <w:rFonts w:asciiTheme="majorHAnsi" w:hAnsiTheme="majorHAnsi"/>
          <w:iCs/>
          <w:sz w:val="20"/>
          <w:szCs w:val="20"/>
        </w:rPr>
        <w:t>продукцію</w:t>
      </w:r>
      <w:r w:rsidRPr="000977F7">
        <w:rPr>
          <w:rFonts w:asciiTheme="majorHAnsi" w:hAnsiTheme="majorHAnsi"/>
          <w:i/>
          <w:spacing w:val="47"/>
          <w:sz w:val="20"/>
          <w:szCs w:val="20"/>
        </w:rPr>
        <w:t xml:space="preserve"> </w:t>
      </w:r>
      <w:r w:rsidRPr="000977F7">
        <w:rPr>
          <w:rFonts w:asciiTheme="majorHAnsi" w:hAnsiTheme="majorHAnsi"/>
          <w:sz w:val="20"/>
          <w:szCs w:val="20"/>
        </w:rPr>
        <w:t>чи</w:t>
      </w:r>
      <w:r w:rsidRPr="000977F7">
        <w:rPr>
          <w:rFonts w:asciiTheme="majorHAnsi" w:hAnsiTheme="majorHAnsi"/>
          <w:spacing w:val="-4"/>
          <w:sz w:val="20"/>
          <w:szCs w:val="20"/>
        </w:rPr>
        <w:t xml:space="preserve"> </w:t>
      </w:r>
      <w:r w:rsidRPr="000977F7">
        <w:rPr>
          <w:rFonts w:asciiTheme="majorHAnsi" w:hAnsiTheme="majorHAnsi"/>
          <w:sz w:val="20"/>
          <w:szCs w:val="20"/>
        </w:rPr>
        <w:t>послугу.</w:t>
      </w:r>
      <w:r w:rsidRPr="000977F7">
        <w:rPr>
          <w:rFonts w:asciiTheme="majorHAnsi" w:hAnsiTheme="majorHAnsi"/>
          <w:spacing w:val="-47"/>
          <w:sz w:val="20"/>
          <w:szCs w:val="20"/>
        </w:rPr>
        <w:t xml:space="preserve"> </w:t>
      </w:r>
      <w:r w:rsidRPr="000977F7">
        <w:rPr>
          <w:rFonts w:asciiTheme="majorHAnsi" w:hAnsiTheme="majorHAnsi"/>
          <w:sz w:val="20"/>
          <w:szCs w:val="20"/>
        </w:rPr>
        <w:t>Приклади.</w:t>
      </w:r>
    </w:p>
    <w:p w14:paraId="357728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Виробник,</w:t>
      </w:r>
      <w:r w:rsidRPr="000977F7">
        <w:rPr>
          <w:rFonts w:asciiTheme="majorHAnsi" w:hAnsiTheme="majorHAnsi"/>
          <w:spacing w:val="-5"/>
          <w:sz w:val="20"/>
          <w:szCs w:val="20"/>
        </w:rPr>
        <w:t xml:space="preserve"> </w:t>
      </w:r>
      <w:r w:rsidRPr="000977F7">
        <w:rPr>
          <w:rFonts w:asciiTheme="majorHAnsi" w:hAnsiTheme="majorHAnsi"/>
          <w:sz w:val="20"/>
          <w:szCs w:val="20"/>
        </w:rPr>
        <w:t>дистриб’ютор,</w:t>
      </w:r>
      <w:r w:rsidRPr="000977F7">
        <w:rPr>
          <w:rFonts w:asciiTheme="majorHAnsi" w:hAnsiTheme="majorHAnsi"/>
          <w:spacing w:val="-5"/>
          <w:sz w:val="20"/>
          <w:szCs w:val="20"/>
        </w:rPr>
        <w:t xml:space="preserve"> </w:t>
      </w:r>
      <w:r w:rsidRPr="000977F7">
        <w:rPr>
          <w:rFonts w:asciiTheme="majorHAnsi" w:hAnsiTheme="majorHAnsi"/>
          <w:sz w:val="20"/>
          <w:szCs w:val="20"/>
        </w:rPr>
        <w:t>роздрібний</w:t>
      </w:r>
      <w:r w:rsidRPr="000977F7">
        <w:rPr>
          <w:rFonts w:asciiTheme="majorHAnsi" w:hAnsiTheme="majorHAnsi"/>
          <w:spacing w:val="-3"/>
          <w:sz w:val="20"/>
          <w:szCs w:val="20"/>
        </w:rPr>
        <w:t xml:space="preserve"> </w:t>
      </w:r>
      <w:r w:rsidRPr="000977F7">
        <w:rPr>
          <w:rFonts w:asciiTheme="majorHAnsi" w:hAnsiTheme="majorHAnsi"/>
          <w:sz w:val="20"/>
          <w:szCs w:val="20"/>
        </w:rPr>
        <w:t>продавець</w:t>
      </w:r>
      <w:r w:rsidRPr="000977F7">
        <w:rPr>
          <w:rFonts w:asciiTheme="majorHAnsi" w:hAnsiTheme="majorHAnsi"/>
          <w:spacing w:val="-5"/>
          <w:sz w:val="20"/>
          <w:szCs w:val="20"/>
        </w:rPr>
        <w:t xml:space="preserve"> </w:t>
      </w:r>
      <w:r w:rsidRPr="000977F7">
        <w:rPr>
          <w:rFonts w:asciiTheme="majorHAnsi" w:hAnsiTheme="majorHAnsi"/>
          <w:sz w:val="20"/>
          <w:szCs w:val="20"/>
        </w:rPr>
        <w:t>або</w:t>
      </w:r>
      <w:r w:rsidRPr="000977F7">
        <w:rPr>
          <w:rFonts w:asciiTheme="majorHAnsi" w:hAnsiTheme="majorHAnsi"/>
          <w:spacing w:val="-47"/>
          <w:sz w:val="20"/>
          <w:szCs w:val="20"/>
        </w:rPr>
        <w:t xml:space="preserve"> </w:t>
      </w:r>
      <w:r w:rsidRPr="000977F7">
        <w:rPr>
          <w:rFonts w:asciiTheme="majorHAnsi" w:hAnsiTheme="majorHAnsi"/>
          <w:sz w:val="20"/>
          <w:szCs w:val="20"/>
        </w:rPr>
        <w:t>агент</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продажу</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послуги.</w:t>
      </w:r>
    </w:p>
    <w:p w14:paraId="375A39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4"/>
          <w:sz w:val="20"/>
          <w:szCs w:val="20"/>
        </w:rPr>
        <w:t xml:space="preserve"> </w:t>
      </w:r>
      <w:r w:rsidRPr="000977F7">
        <w:rPr>
          <w:rFonts w:asciiTheme="majorHAnsi" w:hAnsiTheme="majorHAnsi"/>
          <w:sz w:val="20"/>
          <w:szCs w:val="20"/>
        </w:rPr>
        <w:t>1.</w:t>
      </w:r>
      <w:r w:rsidRPr="000977F7">
        <w:rPr>
          <w:rFonts w:asciiTheme="majorHAnsi" w:hAnsiTheme="majorHAnsi"/>
          <w:spacing w:val="-4"/>
          <w:sz w:val="20"/>
          <w:szCs w:val="20"/>
        </w:rPr>
        <w:t xml:space="preserve"> </w:t>
      </w:r>
      <w:r w:rsidRPr="000977F7">
        <w:rPr>
          <w:rFonts w:asciiTheme="majorHAnsi" w:hAnsiTheme="majorHAnsi"/>
          <w:sz w:val="20"/>
          <w:szCs w:val="20"/>
        </w:rPr>
        <w:t>Стосовно</w:t>
      </w:r>
      <w:r w:rsidRPr="000977F7">
        <w:rPr>
          <w:rFonts w:asciiTheme="majorHAnsi" w:hAnsiTheme="majorHAnsi"/>
          <w:spacing w:val="-3"/>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5"/>
          <w:sz w:val="20"/>
          <w:szCs w:val="20"/>
        </w:rPr>
        <w:t xml:space="preserve"> </w:t>
      </w:r>
      <w:r w:rsidRPr="000977F7">
        <w:rPr>
          <w:rFonts w:asciiTheme="majorHAnsi" w:hAnsiTheme="majorHAnsi"/>
          <w:sz w:val="20"/>
          <w:szCs w:val="20"/>
        </w:rPr>
        <w:t>постачальник</w:t>
      </w:r>
      <w:r w:rsidRPr="000977F7">
        <w:rPr>
          <w:rFonts w:asciiTheme="majorHAnsi" w:hAnsiTheme="majorHAnsi"/>
          <w:spacing w:val="-4"/>
          <w:sz w:val="20"/>
          <w:szCs w:val="20"/>
        </w:rPr>
        <w:t xml:space="preserve"> </w:t>
      </w:r>
      <w:r w:rsidRPr="000977F7">
        <w:rPr>
          <w:rFonts w:asciiTheme="majorHAnsi" w:hAnsiTheme="majorHAnsi"/>
          <w:sz w:val="20"/>
          <w:szCs w:val="20"/>
        </w:rPr>
        <w:t>може</w:t>
      </w:r>
      <w:r w:rsidRPr="000977F7">
        <w:rPr>
          <w:rFonts w:asciiTheme="majorHAnsi" w:hAnsiTheme="majorHAnsi"/>
          <w:spacing w:val="-47"/>
          <w:sz w:val="20"/>
          <w:szCs w:val="20"/>
        </w:rPr>
        <w:t xml:space="preserve"> </w:t>
      </w:r>
      <w:r w:rsidRPr="000977F7">
        <w:rPr>
          <w:rFonts w:asciiTheme="majorHAnsi" w:hAnsiTheme="majorHAnsi"/>
          <w:sz w:val="20"/>
          <w:szCs w:val="20"/>
        </w:rPr>
        <w:t>бути</w:t>
      </w:r>
      <w:r w:rsidRPr="000977F7">
        <w:rPr>
          <w:rFonts w:asciiTheme="majorHAnsi" w:hAnsiTheme="majorHAnsi"/>
          <w:spacing w:val="-2"/>
          <w:sz w:val="20"/>
          <w:szCs w:val="20"/>
        </w:rPr>
        <w:t xml:space="preserve"> </w:t>
      </w:r>
      <w:r w:rsidRPr="000977F7">
        <w:rPr>
          <w:rFonts w:asciiTheme="majorHAnsi" w:hAnsiTheme="majorHAnsi"/>
          <w:sz w:val="20"/>
          <w:szCs w:val="20"/>
        </w:rPr>
        <w:t>внутрішнім</w:t>
      </w:r>
      <w:r w:rsidRPr="000977F7">
        <w:rPr>
          <w:rFonts w:asciiTheme="majorHAnsi" w:hAnsiTheme="majorHAnsi"/>
          <w:spacing w:val="1"/>
          <w:sz w:val="20"/>
          <w:szCs w:val="20"/>
        </w:rPr>
        <w:t xml:space="preserve"> </w:t>
      </w:r>
      <w:r w:rsidRPr="000977F7">
        <w:rPr>
          <w:rFonts w:asciiTheme="majorHAnsi" w:hAnsiTheme="majorHAnsi"/>
          <w:sz w:val="20"/>
          <w:szCs w:val="20"/>
        </w:rPr>
        <w:t>або зовнішнім.</w:t>
      </w:r>
    </w:p>
    <w:p w14:paraId="1B60A7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5"/>
          <w:sz w:val="20"/>
          <w:szCs w:val="20"/>
        </w:rPr>
        <w:t xml:space="preserve"> </w:t>
      </w:r>
      <w:r w:rsidRPr="000977F7">
        <w:rPr>
          <w:rFonts w:asciiTheme="majorHAnsi" w:hAnsiTheme="majorHAnsi"/>
          <w:sz w:val="20"/>
          <w:szCs w:val="20"/>
        </w:rPr>
        <w:t>2.</w:t>
      </w:r>
      <w:r w:rsidRPr="000977F7">
        <w:rPr>
          <w:rFonts w:asciiTheme="majorHAnsi" w:hAnsiTheme="majorHAnsi"/>
          <w:spacing w:val="-4"/>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контрактній</w:t>
      </w:r>
      <w:r w:rsidRPr="000977F7">
        <w:rPr>
          <w:rFonts w:asciiTheme="majorHAnsi" w:hAnsiTheme="majorHAnsi"/>
          <w:spacing w:val="-6"/>
          <w:sz w:val="20"/>
          <w:szCs w:val="20"/>
        </w:rPr>
        <w:t xml:space="preserve"> </w:t>
      </w:r>
      <w:r w:rsidRPr="000977F7">
        <w:rPr>
          <w:rFonts w:asciiTheme="majorHAnsi" w:hAnsiTheme="majorHAnsi"/>
          <w:sz w:val="20"/>
          <w:szCs w:val="20"/>
        </w:rPr>
        <w:t>ситуації</w:t>
      </w:r>
      <w:r w:rsidRPr="000977F7">
        <w:rPr>
          <w:rFonts w:asciiTheme="majorHAnsi" w:hAnsiTheme="majorHAnsi"/>
          <w:spacing w:val="-5"/>
          <w:sz w:val="20"/>
          <w:szCs w:val="20"/>
        </w:rPr>
        <w:t xml:space="preserve"> </w:t>
      </w:r>
      <w:r w:rsidRPr="000977F7">
        <w:rPr>
          <w:rFonts w:asciiTheme="majorHAnsi" w:hAnsiTheme="majorHAnsi"/>
          <w:sz w:val="20"/>
          <w:szCs w:val="20"/>
        </w:rPr>
        <w:t>постачальника</w:t>
      </w:r>
      <w:r w:rsidRPr="000977F7">
        <w:rPr>
          <w:rFonts w:asciiTheme="majorHAnsi" w:hAnsiTheme="majorHAnsi"/>
          <w:spacing w:val="-47"/>
          <w:sz w:val="20"/>
          <w:szCs w:val="20"/>
        </w:rPr>
        <w:t xml:space="preserve">        </w:t>
      </w:r>
      <w:r w:rsidRPr="000977F7">
        <w:rPr>
          <w:rFonts w:asciiTheme="majorHAnsi" w:hAnsiTheme="majorHAnsi"/>
          <w:sz w:val="20"/>
          <w:szCs w:val="20"/>
        </w:rPr>
        <w:t>часто називають "підрядник".</w:t>
      </w:r>
    </w:p>
    <w:p w14:paraId="65F88330"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ISO 9000:2015</w:t>
      </w:r>
    </w:p>
    <w:p w14:paraId="09CDBF5A"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ПОСТАЧАЛЬНИК</w:t>
      </w:r>
      <w:r w:rsidRPr="000977F7">
        <w:rPr>
          <w:rFonts w:asciiTheme="majorHAnsi" w:hAnsiTheme="majorHAnsi"/>
          <w:b/>
          <w:spacing w:val="-8"/>
          <w:sz w:val="20"/>
          <w:szCs w:val="20"/>
        </w:rPr>
        <w:t xml:space="preserve"> </w:t>
      </w:r>
      <w:r w:rsidRPr="000977F7">
        <w:rPr>
          <w:rFonts w:asciiTheme="majorHAnsi" w:hAnsiTheme="majorHAnsi"/>
          <w:b/>
          <w:sz w:val="20"/>
          <w:szCs w:val="20"/>
        </w:rPr>
        <w:t>ПРОДУКЦІЇ</w:t>
      </w:r>
      <w:r w:rsidRPr="000977F7">
        <w:rPr>
          <w:rFonts w:asciiTheme="majorHAnsi" w:hAnsiTheme="majorHAnsi"/>
          <w:b/>
          <w:spacing w:val="-5"/>
          <w:sz w:val="20"/>
          <w:szCs w:val="20"/>
        </w:rPr>
        <w:t xml:space="preserve"> </w:t>
      </w:r>
      <w:r w:rsidRPr="000977F7">
        <w:rPr>
          <w:rFonts w:asciiTheme="majorHAnsi" w:hAnsiTheme="majorHAnsi"/>
          <w:b/>
          <w:sz w:val="20"/>
          <w:szCs w:val="20"/>
        </w:rPr>
        <w:t>–</w:t>
      </w:r>
      <w:r w:rsidRPr="000977F7">
        <w:rPr>
          <w:rFonts w:asciiTheme="majorHAnsi" w:hAnsiTheme="majorHAnsi"/>
          <w:b/>
          <w:spacing w:val="-47"/>
          <w:sz w:val="20"/>
          <w:szCs w:val="20"/>
        </w:rPr>
        <w:t xml:space="preserve"> </w:t>
      </w:r>
    </w:p>
    <w:p w14:paraId="35329D4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SUPPLYING</w:t>
      </w:r>
      <w:r w:rsidRPr="000977F7">
        <w:rPr>
          <w:rFonts w:asciiTheme="majorHAnsi" w:hAnsiTheme="majorHAnsi"/>
          <w:spacing w:val="-1"/>
          <w:sz w:val="20"/>
          <w:szCs w:val="20"/>
        </w:rPr>
        <w:t xml:space="preserve"> </w:t>
      </w:r>
      <w:r w:rsidRPr="000977F7">
        <w:rPr>
          <w:rFonts w:asciiTheme="majorHAnsi" w:hAnsiTheme="majorHAnsi"/>
          <w:sz w:val="20"/>
          <w:szCs w:val="20"/>
        </w:rPr>
        <w:t>FIRM</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1C8DF3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Підприємство</w:t>
      </w:r>
      <w:r w:rsidRPr="000977F7">
        <w:rPr>
          <w:rFonts w:asciiTheme="majorHAnsi" w:hAnsiTheme="majorHAnsi"/>
          <w:spacing w:val="19"/>
          <w:sz w:val="20"/>
          <w:szCs w:val="20"/>
        </w:rPr>
        <w:t xml:space="preserve"> </w:t>
      </w:r>
      <w:r w:rsidRPr="000977F7">
        <w:rPr>
          <w:rFonts w:asciiTheme="majorHAnsi" w:hAnsiTheme="majorHAnsi"/>
          <w:sz w:val="20"/>
          <w:szCs w:val="20"/>
        </w:rPr>
        <w:t>чи</w:t>
      </w:r>
      <w:r w:rsidRPr="000977F7">
        <w:rPr>
          <w:rFonts w:asciiTheme="majorHAnsi" w:hAnsiTheme="majorHAnsi"/>
          <w:spacing w:val="17"/>
          <w:sz w:val="20"/>
          <w:szCs w:val="20"/>
        </w:rPr>
        <w:t xml:space="preserve"> </w:t>
      </w:r>
      <w:r w:rsidRPr="000977F7">
        <w:rPr>
          <w:rFonts w:asciiTheme="majorHAnsi" w:hAnsiTheme="majorHAnsi"/>
          <w:sz w:val="20"/>
          <w:szCs w:val="20"/>
        </w:rPr>
        <w:t>організація,</w:t>
      </w:r>
      <w:r w:rsidRPr="000977F7">
        <w:rPr>
          <w:rFonts w:asciiTheme="majorHAnsi" w:hAnsiTheme="majorHAnsi"/>
          <w:spacing w:val="18"/>
          <w:sz w:val="20"/>
          <w:szCs w:val="20"/>
        </w:rPr>
        <w:t xml:space="preserve"> </w:t>
      </w:r>
      <w:r w:rsidRPr="000977F7">
        <w:rPr>
          <w:rFonts w:asciiTheme="majorHAnsi" w:hAnsiTheme="majorHAnsi"/>
          <w:sz w:val="20"/>
          <w:szCs w:val="20"/>
        </w:rPr>
        <w:t>які</w:t>
      </w:r>
      <w:r w:rsidRPr="000977F7">
        <w:rPr>
          <w:rFonts w:asciiTheme="majorHAnsi" w:hAnsiTheme="majorHAnsi"/>
          <w:spacing w:val="21"/>
          <w:sz w:val="20"/>
          <w:szCs w:val="20"/>
        </w:rPr>
        <w:t xml:space="preserve"> </w:t>
      </w:r>
      <w:r w:rsidRPr="000977F7">
        <w:rPr>
          <w:rFonts w:asciiTheme="majorHAnsi" w:hAnsiTheme="majorHAnsi"/>
          <w:sz w:val="20"/>
          <w:szCs w:val="20"/>
        </w:rPr>
        <w:t>постачають</w:t>
      </w:r>
      <w:r w:rsidRPr="000977F7">
        <w:rPr>
          <w:rFonts w:asciiTheme="majorHAnsi" w:hAnsiTheme="majorHAnsi"/>
          <w:spacing w:val="19"/>
          <w:sz w:val="20"/>
          <w:szCs w:val="20"/>
        </w:rPr>
        <w:t xml:space="preserve"> </w:t>
      </w:r>
      <w:r w:rsidRPr="000977F7">
        <w:rPr>
          <w:rFonts w:asciiTheme="majorHAnsi" w:hAnsiTheme="majorHAnsi"/>
          <w:sz w:val="20"/>
          <w:szCs w:val="20"/>
        </w:rPr>
        <w:t>продукцію</w:t>
      </w:r>
      <w:r w:rsidRPr="000977F7">
        <w:rPr>
          <w:rFonts w:asciiTheme="majorHAnsi" w:hAnsiTheme="majorHAnsi"/>
          <w:spacing w:val="-2"/>
          <w:sz w:val="20"/>
          <w:szCs w:val="20"/>
        </w:rPr>
        <w:t xml:space="preserve"> </w:t>
      </w:r>
      <w:r w:rsidRPr="000977F7">
        <w:rPr>
          <w:rFonts w:asciiTheme="majorHAnsi" w:hAnsiTheme="majorHAnsi"/>
          <w:sz w:val="20"/>
          <w:szCs w:val="20"/>
        </w:rPr>
        <w:t>згідно</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договором постачання</w:t>
      </w:r>
    </w:p>
    <w:p w14:paraId="42276DA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DA6C6D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0226BC70" w14:textId="77777777" w:rsidR="0097612F" w:rsidRPr="000977F7" w:rsidRDefault="0097612F" w:rsidP="00FD39A4">
      <w:pPr>
        <w:pStyle w:val="ac"/>
        <w:widowControl w:val="0"/>
        <w:numPr>
          <w:ilvl w:val="0"/>
          <w:numId w:val="11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 контрактній ситуації постачальник може називатися</w:t>
      </w:r>
      <w:r w:rsidRPr="000977F7">
        <w:rPr>
          <w:rFonts w:asciiTheme="majorHAnsi" w:hAnsiTheme="majorHAnsi"/>
          <w:spacing w:val="-2"/>
          <w:sz w:val="20"/>
          <w:szCs w:val="20"/>
        </w:rPr>
        <w:t xml:space="preserve"> </w:t>
      </w:r>
      <w:r w:rsidRPr="000977F7">
        <w:rPr>
          <w:rFonts w:asciiTheme="majorHAnsi" w:hAnsiTheme="majorHAnsi"/>
          <w:sz w:val="20"/>
          <w:szCs w:val="20"/>
        </w:rPr>
        <w:t>підрядником</w:t>
      </w:r>
    </w:p>
    <w:p w14:paraId="2317CD43" w14:textId="77777777" w:rsidR="0097612F" w:rsidRPr="000977F7" w:rsidRDefault="0097612F" w:rsidP="00FD39A4">
      <w:pPr>
        <w:pStyle w:val="ac"/>
        <w:widowControl w:val="0"/>
        <w:numPr>
          <w:ilvl w:val="0"/>
          <w:numId w:val="11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Постачальником</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виробник, оптовик, імпортер, монтажник чи 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яка надає</w:t>
      </w:r>
      <w:r w:rsidRPr="000977F7">
        <w:rPr>
          <w:rFonts w:asciiTheme="majorHAnsi" w:hAnsiTheme="majorHAnsi"/>
          <w:spacing w:val="3"/>
          <w:sz w:val="20"/>
          <w:szCs w:val="20"/>
        </w:rPr>
        <w:t xml:space="preserve"> </w:t>
      </w:r>
      <w:r w:rsidRPr="000977F7">
        <w:rPr>
          <w:rFonts w:asciiTheme="majorHAnsi" w:hAnsiTheme="majorHAnsi"/>
          <w:sz w:val="20"/>
          <w:szCs w:val="20"/>
        </w:rPr>
        <w:t>послуги</w:t>
      </w:r>
    </w:p>
    <w:p w14:paraId="632A3C23" w14:textId="77777777" w:rsidR="0097612F" w:rsidRPr="000977F7" w:rsidRDefault="0097612F" w:rsidP="00FD39A4">
      <w:pPr>
        <w:pStyle w:val="ac"/>
        <w:widowControl w:val="0"/>
        <w:numPr>
          <w:ilvl w:val="0"/>
          <w:numId w:val="11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Постачальник може бути зовнішнім чи внутрішнім</w:t>
      </w:r>
    </w:p>
    <w:p w14:paraId="6651EF6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ПОСТАЧАННЯ</w:t>
      </w:r>
      <w:r w:rsidRPr="000977F7">
        <w:rPr>
          <w:color w:val="auto"/>
          <w:spacing w:val="-5"/>
          <w:sz w:val="20"/>
          <w:szCs w:val="20"/>
        </w:rPr>
        <w:t xml:space="preserve"> </w:t>
      </w:r>
      <w:r w:rsidRPr="000977F7">
        <w:rPr>
          <w:color w:val="auto"/>
          <w:sz w:val="20"/>
          <w:szCs w:val="20"/>
        </w:rPr>
        <w:t>ПРОДУКЦІЇ</w:t>
      </w:r>
      <w:r w:rsidRPr="000977F7">
        <w:rPr>
          <w:color w:val="auto"/>
          <w:spacing w:val="-3"/>
          <w:sz w:val="20"/>
          <w:szCs w:val="20"/>
        </w:rPr>
        <w:t xml:space="preserve"> </w:t>
      </w:r>
      <w:r w:rsidRPr="000977F7">
        <w:rPr>
          <w:color w:val="auto"/>
          <w:sz w:val="20"/>
          <w:szCs w:val="20"/>
        </w:rPr>
        <w:t>–</w:t>
      </w:r>
    </w:p>
    <w:p w14:paraId="705ABA81"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Будь-які операції, що здійснюються згідно з договорами купівлі-продажу, міни, поставки та іншими цивільно-правовими договорами, які передбачають передачу права власності на такі товари за компенсацію незалежно від строків її надання, а також операції з безоплатної поставки товарів (результатів робіт) та операції з передачі майна орендодавцем (лізингодавцем) на баланс орендаря (лізингоотримувача) згідно з договорами фінансової оренди (лізингу) або поставки майна згідно з будь-якими іншими договорами, умови яких передбачають відстрочення оплати та передачу права власності на таке майно не пізніше дати останнього платежу</w:t>
      </w:r>
    </w:p>
    <w:p w14:paraId="63B1D083"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i/>
          <w:iCs/>
          <w:sz w:val="20"/>
          <w:szCs w:val="20"/>
          <w:lang w:eastAsia="ru-RU"/>
        </w:rPr>
      </w:pPr>
      <w:r w:rsidRPr="000977F7">
        <w:rPr>
          <w:rFonts w:asciiTheme="majorHAnsi" w:hAnsiTheme="majorHAnsi"/>
          <w:i/>
          <w:iCs/>
          <w:sz w:val="20"/>
          <w:szCs w:val="20"/>
          <w:lang w:eastAsia="ru-RU"/>
        </w:rPr>
        <w:t>Закон України "Про загальну безпечність нехарчової продукції"</w:t>
      </w:r>
    </w:p>
    <w:p w14:paraId="37990FED"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Виконання</w:t>
      </w:r>
      <w:r w:rsidRPr="000977F7">
        <w:rPr>
          <w:rFonts w:asciiTheme="majorHAnsi" w:hAnsiTheme="majorHAnsi"/>
          <w:spacing w:val="28"/>
          <w:sz w:val="20"/>
          <w:szCs w:val="20"/>
        </w:rPr>
        <w:t xml:space="preserve"> </w:t>
      </w:r>
      <w:r w:rsidRPr="000977F7">
        <w:rPr>
          <w:rFonts w:asciiTheme="majorHAnsi" w:hAnsiTheme="majorHAnsi"/>
          <w:sz w:val="20"/>
          <w:szCs w:val="20"/>
        </w:rPr>
        <w:t>зобов’язань</w:t>
      </w:r>
      <w:r w:rsidRPr="000977F7">
        <w:rPr>
          <w:rFonts w:asciiTheme="majorHAnsi" w:hAnsiTheme="majorHAnsi"/>
          <w:spacing w:val="29"/>
          <w:sz w:val="20"/>
          <w:szCs w:val="20"/>
        </w:rPr>
        <w:t xml:space="preserve"> </w:t>
      </w:r>
      <w:r w:rsidRPr="000977F7">
        <w:rPr>
          <w:rFonts w:asciiTheme="majorHAnsi" w:hAnsiTheme="majorHAnsi"/>
          <w:sz w:val="20"/>
          <w:szCs w:val="20"/>
        </w:rPr>
        <w:t>постачальника</w:t>
      </w:r>
      <w:r w:rsidRPr="000977F7">
        <w:rPr>
          <w:rFonts w:asciiTheme="majorHAnsi" w:hAnsiTheme="majorHAnsi"/>
          <w:spacing w:val="30"/>
          <w:sz w:val="20"/>
          <w:szCs w:val="20"/>
        </w:rPr>
        <w:t xml:space="preserve"> </w:t>
      </w:r>
      <w:r w:rsidRPr="000977F7">
        <w:rPr>
          <w:rFonts w:asciiTheme="majorHAnsi" w:hAnsiTheme="majorHAnsi"/>
          <w:sz w:val="20"/>
          <w:szCs w:val="20"/>
        </w:rPr>
        <w:t>щодо</w:t>
      </w:r>
      <w:r w:rsidRPr="000977F7">
        <w:rPr>
          <w:rFonts w:asciiTheme="majorHAnsi" w:hAnsiTheme="majorHAnsi"/>
          <w:spacing w:val="29"/>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2"/>
          <w:sz w:val="20"/>
          <w:szCs w:val="20"/>
        </w:rPr>
        <w:t xml:space="preserve"> </w:t>
      </w:r>
      <w:r w:rsidRPr="000977F7">
        <w:rPr>
          <w:rFonts w:asciiTheme="majorHAnsi" w:hAnsiTheme="majorHAnsi"/>
          <w:sz w:val="20"/>
          <w:szCs w:val="20"/>
        </w:rPr>
        <w:t>споживача продукцією</w:t>
      </w:r>
    </w:p>
    <w:p w14:paraId="0604C4E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0018DA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Постачання</w:t>
      </w:r>
      <w:r w:rsidRPr="000977F7">
        <w:rPr>
          <w:rFonts w:asciiTheme="majorHAnsi" w:hAnsiTheme="majorHAnsi"/>
          <w:spacing w:val="-4"/>
          <w:sz w:val="20"/>
          <w:szCs w:val="20"/>
        </w:rPr>
        <w:t xml:space="preserve"> </w:t>
      </w:r>
      <w:r w:rsidRPr="000977F7">
        <w:rPr>
          <w:rFonts w:asciiTheme="majorHAnsi" w:hAnsiTheme="majorHAnsi"/>
          <w:sz w:val="20"/>
          <w:szCs w:val="20"/>
        </w:rPr>
        <w:t>продукції</w:t>
      </w:r>
      <w:r w:rsidRPr="000977F7">
        <w:rPr>
          <w:rFonts w:asciiTheme="majorHAnsi" w:hAnsiTheme="majorHAnsi"/>
          <w:spacing w:val="-4"/>
          <w:sz w:val="20"/>
          <w:szCs w:val="20"/>
        </w:rPr>
        <w:t xml:space="preserve"> </w:t>
      </w:r>
      <w:r w:rsidRPr="000977F7">
        <w:rPr>
          <w:rFonts w:asciiTheme="majorHAnsi" w:hAnsiTheme="majorHAnsi"/>
          <w:sz w:val="20"/>
          <w:szCs w:val="20"/>
        </w:rPr>
        <w:t>не</w:t>
      </w:r>
      <w:r w:rsidRPr="000977F7">
        <w:rPr>
          <w:rFonts w:asciiTheme="majorHAnsi" w:hAnsiTheme="majorHAnsi"/>
          <w:spacing w:val="-3"/>
          <w:sz w:val="20"/>
          <w:szCs w:val="20"/>
        </w:rPr>
        <w:t xml:space="preserve"> </w:t>
      </w:r>
      <w:r w:rsidRPr="000977F7">
        <w:rPr>
          <w:rFonts w:asciiTheme="majorHAnsi" w:hAnsiTheme="majorHAnsi"/>
          <w:sz w:val="20"/>
          <w:szCs w:val="20"/>
        </w:rPr>
        <w:t>є</w:t>
      </w:r>
      <w:r w:rsidRPr="000977F7">
        <w:rPr>
          <w:rFonts w:asciiTheme="majorHAnsi" w:hAnsiTheme="majorHAnsi"/>
          <w:spacing w:val="-2"/>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продаванням</w:t>
      </w:r>
    </w:p>
    <w:p w14:paraId="56A530E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A525FA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ПОСТІЙНА</w:t>
      </w:r>
      <w:r w:rsidRPr="000977F7">
        <w:rPr>
          <w:color w:val="auto"/>
          <w:spacing w:val="-3"/>
          <w:sz w:val="20"/>
          <w:szCs w:val="20"/>
        </w:rPr>
        <w:t xml:space="preserve"> </w:t>
      </w:r>
      <w:r w:rsidRPr="000977F7">
        <w:rPr>
          <w:color w:val="auto"/>
          <w:sz w:val="20"/>
          <w:szCs w:val="20"/>
        </w:rPr>
        <w:t>ДІЄВА</w:t>
      </w:r>
      <w:r w:rsidRPr="000977F7">
        <w:rPr>
          <w:color w:val="auto"/>
          <w:spacing w:val="-3"/>
          <w:sz w:val="20"/>
          <w:szCs w:val="20"/>
        </w:rPr>
        <w:t xml:space="preserve"> </w:t>
      </w:r>
      <w:r w:rsidRPr="000977F7">
        <w:rPr>
          <w:color w:val="auto"/>
          <w:sz w:val="20"/>
          <w:szCs w:val="20"/>
        </w:rPr>
        <w:t>ВЕЛИЧИНА</w:t>
      </w:r>
      <w:r w:rsidRPr="000977F7">
        <w:rPr>
          <w:color w:val="auto"/>
          <w:spacing w:val="1"/>
          <w:sz w:val="20"/>
          <w:szCs w:val="20"/>
        </w:rPr>
        <w:t xml:space="preserve"> </w:t>
      </w:r>
      <w:r w:rsidRPr="000977F7">
        <w:rPr>
          <w:color w:val="auto"/>
          <w:sz w:val="20"/>
          <w:szCs w:val="20"/>
        </w:rPr>
        <w:t>–</w:t>
      </w:r>
    </w:p>
    <w:p w14:paraId="652C0E1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CONSTANT ACTING</w:t>
      </w:r>
      <w:r w:rsidRPr="000977F7">
        <w:rPr>
          <w:rFonts w:asciiTheme="majorHAnsi" w:hAnsiTheme="majorHAnsi"/>
          <w:spacing w:val="-2"/>
          <w:sz w:val="20"/>
          <w:szCs w:val="20"/>
        </w:rPr>
        <w:t xml:space="preserve"> </w:t>
      </w:r>
      <w:r w:rsidRPr="000977F7">
        <w:rPr>
          <w:rFonts w:asciiTheme="majorHAnsi" w:hAnsiTheme="majorHAnsi"/>
          <w:sz w:val="20"/>
          <w:szCs w:val="20"/>
        </w:rPr>
        <w:t>VALUE –</w:t>
      </w:r>
    </w:p>
    <w:p w14:paraId="662557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Дієва</w:t>
      </w:r>
      <w:r w:rsidRPr="000977F7">
        <w:rPr>
          <w:rFonts w:asciiTheme="majorHAnsi" w:hAnsiTheme="majorHAnsi"/>
          <w:spacing w:val="-7"/>
          <w:sz w:val="20"/>
          <w:szCs w:val="20"/>
        </w:rPr>
        <w:t xml:space="preserve"> </w:t>
      </w:r>
      <w:r w:rsidRPr="000977F7">
        <w:rPr>
          <w:rFonts w:asciiTheme="majorHAnsi" w:hAnsiTheme="majorHAnsi"/>
          <w:sz w:val="20"/>
          <w:szCs w:val="20"/>
        </w:rPr>
        <w:t>величина,</w:t>
      </w:r>
      <w:r w:rsidRPr="000977F7">
        <w:rPr>
          <w:rFonts w:asciiTheme="majorHAnsi" w:hAnsiTheme="majorHAnsi"/>
          <w:spacing w:val="-4"/>
          <w:sz w:val="20"/>
          <w:szCs w:val="20"/>
        </w:rPr>
        <w:t xml:space="preserve"> </w:t>
      </w:r>
      <w:r w:rsidRPr="000977F7">
        <w:rPr>
          <w:rFonts w:asciiTheme="majorHAnsi" w:hAnsiTheme="majorHAnsi"/>
          <w:sz w:val="20"/>
          <w:szCs w:val="20"/>
        </w:rPr>
        <w:t>миттєві</w:t>
      </w:r>
      <w:r w:rsidRPr="000977F7">
        <w:rPr>
          <w:rFonts w:asciiTheme="majorHAnsi" w:hAnsiTheme="majorHAnsi"/>
          <w:spacing w:val="-6"/>
          <w:sz w:val="20"/>
          <w:szCs w:val="20"/>
        </w:rPr>
        <w:t xml:space="preserve"> </w:t>
      </w:r>
      <w:r w:rsidRPr="000977F7">
        <w:rPr>
          <w:rFonts w:asciiTheme="majorHAnsi" w:hAnsiTheme="majorHAnsi"/>
          <w:sz w:val="20"/>
          <w:szCs w:val="20"/>
        </w:rPr>
        <w:t>значення</w:t>
      </w:r>
      <w:r w:rsidRPr="000977F7">
        <w:rPr>
          <w:rFonts w:asciiTheme="majorHAnsi" w:hAnsiTheme="majorHAnsi"/>
          <w:spacing w:val="-4"/>
          <w:sz w:val="20"/>
          <w:szCs w:val="20"/>
        </w:rPr>
        <w:t xml:space="preserve"> </w:t>
      </w:r>
      <w:r w:rsidRPr="000977F7">
        <w:rPr>
          <w:rFonts w:asciiTheme="majorHAnsi" w:hAnsiTheme="majorHAnsi"/>
          <w:sz w:val="20"/>
          <w:szCs w:val="20"/>
        </w:rPr>
        <w:t>якої</w:t>
      </w:r>
      <w:r w:rsidRPr="000977F7">
        <w:rPr>
          <w:rFonts w:asciiTheme="majorHAnsi" w:hAnsiTheme="majorHAnsi"/>
          <w:spacing w:val="-4"/>
          <w:sz w:val="20"/>
          <w:szCs w:val="20"/>
        </w:rPr>
        <w:t xml:space="preserve"> </w:t>
      </w:r>
      <w:r w:rsidRPr="000977F7">
        <w:rPr>
          <w:rFonts w:asciiTheme="majorHAnsi" w:hAnsiTheme="majorHAnsi"/>
          <w:sz w:val="20"/>
          <w:szCs w:val="20"/>
        </w:rPr>
        <w:t>характеризують</w:t>
      </w:r>
      <w:r w:rsidRPr="000977F7">
        <w:rPr>
          <w:rFonts w:asciiTheme="majorHAnsi" w:hAnsiTheme="majorHAnsi"/>
          <w:spacing w:val="-47"/>
          <w:sz w:val="20"/>
          <w:szCs w:val="20"/>
        </w:rPr>
        <w:t xml:space="preserve"> </w:t>
      </w:r>
      <w:r w:rsidRPr="000977F7">
        <w:rPr>
          <w:rFonts w:asciiTheme="majorHAnsi" w:hAnsiTheme="majorHAnsi"/>
          <w:sz w:val="20"/>
          <w:szCs w:val="20"/>
        </w:rPr>
        <w:t>діяння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кожний</w:t>
      </w:r>
      <w:r w:rsidRPr="000977F7">
        <w:rPr>
          <w:rFonts w:asciiTheme="majorHAnsi" w:hAnsiTheme="majorHAnsi"/>
          <w:spacing w:val="-1"/>
          <w:sz w:val="20"/>
          <w:szCs w:val="20"/>
        </w:rPr>
        <w:t xml:space="preserve"> </w:t>
      </w:r>
      <w:r w:rsidRPr="000977F7">
        <w:rPr>
          <w:rFonts w:asciiTheme="majorHAnsi" w:hAnsiTheme="majorHAnsi"/>
          <w:sz w:val="20"/>
          <w:szCs w:val="20"/>
        </w:rPr>
        <w:t>момент</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41941C9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 :</w:t>
      </w:r>
    </w:p>
    <w:p w14:paraId="6A1995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Такими</w:t>
      </w:r>
      <w:r w:rsidRPr="000977F7">
        <w:rPr>
          <w:rFonts w:asciiTheme="majorHAnsi" w:hAnsiTheme="majorHAnsi"/>
          <w:spacing w:val="9"/>
          <w:sz w:val="20"/>
          <w:szCs w:val="20"/>
        </w:rPr>
        <w:t xml:space="preserve"> </w:t>
      </w:r>
      <w:r w:rsidRPr="000977F7">
        <w:rPr>
          <w:rFonts w:asciiTheme="majorHAnsi" w:hAnsiTheme="majorHAnsi"/>
          <w:sz w:val="20"/>
          <w:szCs w:val="20"/>
        </w:rPr>
        <w:t>величинами</w:t>
      </w:r>
      <w:r w:rsidRPr="000977F7">
        <w:rPr>
          <w:rFonts w:asciiTheme="majorHAnsi" w:hAnsiTheme="majorHAnsi"/>
          <w:spacing w:val="9"/>
          <w:sz w:val="20"/>
          <w:szCs w:val="20"/>
        </w:rPr>
        <w:t xml:space="preserve"> </w:t>
      </w:r>
      <w:r w:rsidRPr="000977F7">
        <w:rPr>
          <w:rFonts w:asciiTheme="majorHAnsi" w:hAnsiTheme="majorHAnsi"/>
          <w:sz w:val="20"/>
          <w:szCs w:val="20"/>
        </w:rPr>
        <w:t>є,</w:t>
      </w:r>
      <w:r w:rsidRPr="000977F7">
        <w:rPr>
          <w:rFonts w:asciiTheme="majorHAnsi" w:hAnsiTheme="majorHAnsi"/>
          <w:spacing w:val="9"/>
          <w:sz w:val="20"/>
          <w:szCs w:val="20"/>
        </w:rPr>
        <w:t xml:space="preserve"> </w:t>
      </w:r>
      <w:r w:rsidRPr="000977F7">
        <w:rPr>
          <w:rFonts w:asciiTheme="majorHAnsi" w:hAnsiTheme="majorHAnsi"/>
          <w:sz w:val="20"/>
          <w:szCs w:val="20"/>
        </w:rPr>
        <w:t>наприклад,</w:t>
      </w:r>
      <w:r w:rsidRPr="000977F7">
        <w:rPr>
          <w:rFonts w:asciiTheme="majorHAnsi" w:hAnsiTheme="majorHAnsi"/>
          <w:spacing w:val="11"/>
          <w:sz w:val="20"/>
          <w:szCs w:val="20"/>
        </w:rPr>
        <w:t xml:space="preserve"> </w:t>
      </w:r>
      <w:r w:rsidRPr="000977F7">
        <w:rPr>
          <w:rFonts w:asciiTheme="majorHAnsi" w:hAnsiTheme="majorHAnsi"/>
          <w:sz w:val="20"/>
          <w:szCs w:val="20"/>
        </w:rPr>
        <w:t>переміщення,</w:t>
      </w:r>
      <w:r w:rsidRPr="000977F7">
        <w:rPr>
          <w:rFonts w:asciiTheme="majorHAnsi" w:hAnsiTheme="majorHAnsi"/>
          <w:spacing w:val="10"/>
          <w:sz w:val="20"/>
          <w:szCs w:val="20"/>
        </w:rPr>
        <w:t xml:space="preserve"> </w:t>
      </w:r>
      <w:r w:rsidRPr="000977F7">
        <w:rPr>
          <w:rFonts w:asciiTheme="majorHAnsi" w:hAnsiTheme="majorHAnsi"/>
          <w:sz w:val="20"/>
          <w:szCs w:val="20"/>
        </w:rPr>
        <w:t>сила,</w:t>
      </w:r>
      <w:r w:rsidRPr="000977F7">
        <w:rPr>
          <w:rFonts w:asciiTheme="majorHAnsi" w:hAnsiTheme="majorHAnsi"/>
          <w:spacing w:val="-47"/>
          <w:sz w:val="20"/>
          <w:szCs w:val="20"/>
        </w:rPr>
        <w:t xml:space="preserve"> </w:t>
      </w:r>
      <w:r w:rsidRPr="000977F7">
        <w:rPr>
          <w:rFonts w:asciiTheme="majorHAnsi" w:hAnsiTheme="majorHAnsi"/>
          <w:sz w:val="20"/>
          <w:szCs w:val="20"/>
        </w:rPr>
        <w:t>напруга</w:t>
      </w:r>
      <w:r w:rsidRPr="000977F7">
        <w:rPr>
          <w:rFonts w:asciiTheme="majorHAnsi" w:hAnsiTheme="majorHAnsi"/>
          <w:spacing w:val="-2"/>
          <w:sz w:val="20"/>
          <w:szCs w:val="20"/>
        </w:rPr>
        <w:t xml:space="preserve"> </w:t>
      </w:r>
      <w:r w:rsidRPr="000977F7">
        <w:rPr>
          <w:rFonts w:asciiTheme="majorHAnsi" w:hAnsiTheme="majorHAnsi"/>
          <w:sz w:val="20"/>
          <w:szCs w:val="20"/>
        </w:rPr>
        <w:t>постійного струму,</w:t>
      </w:r>
      <w:r w:rsidRPr="000977F7">
        <w:rPr>
          <w:rFonts w:asciiTheme="majorHAnsi" w:hAnsiTheme="majorHAnsi"/>
          <w:spacing w:val="1"/>
          <w:sz w:val="20"/>
          <w:szCs w:val="20"/>
        </w:rPr>
        <w:t xml:space="preserve"> </w:t>
      </w:r>
      <w:r w:rsidRPr="000977F7">
        <w:rPr>
          <w:rFonts w:asciiTheme="majorHAnsi" w:hAnsiTheme="majorHAnsi"/>
          <w:sz w:val="20"/>
          <w:szCs w:val="20"/>
        </w:rPr>
        <w:t>звуковий</w:t>
      </w:r>
      <w:r w:rsidRPr="000977F7">
        <w:rPr>
          <w:rFonts w:asciiTheme="majorHAnsi" w:hAnsiTheme="majorHAnsi"/>
          <w:spacing w:val="-2"/>
          <w:sz w:val="20"/>
          <w:szCs w:val="20"/>
        </w:rPr>
        <w:t xml:space="preserve"> </w:t>
      </w:r>
      <w:r w:rsidRPr="000977F7">
        <w:rPr>
          <w:rFonts w:asciiTheme="majorHAnsi" w:hAnsiTheme="majorHAnsi"/>
          <w:sz w:val="20"/>
          <w:szCs w:val="20"/>
        </w:rPr>
        <w:t>тиск</w:t>
      </w:r>
      <w:r w:rsidRPr="000977F7">
        <w:rPr>
          <w:rFonts w:asciiTheme="majorHAnsi" w:hAnsiTheme="majorHAnsi"/>
          <w:spacing w:val="-2"/>
          <w:sz w:val="20"/>
          <w:szCs w:val="20"/>
        </w:rPr>
        <w:t xml:space="preserve"> </w:t>
      </w:r>
      <w:r w:rsidRPr="000977F7">
        <w:rPr>
          <w:rFonts w:asciiTheme="majorHAnsi" w:hAnsiTheme="majorHAnsi"/>
          <w:sz w:val="20"/>
          <w:szCs w:val="20"/>
        </w:rPr>
        <w:t>тощо</w:t>
      </w:r>
    </w:p>
    <w:p w14:paraId="729BC92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5D819B0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ПОСТІЙНЕ</w:t>
      </w:r>
      <w:r w:rsidRPr="000977F7">
        <w:rPr>
          <w:color w:val="auto"/>
          <w:spacing w:val="-6"/>
          <w:sz w:val="20"/>
          <w:szCs w:val="20"/>
        </w:rPr>
        <w:t xml:space="preserve"> </w:t>
      </w:r>
      <w:r w:rsidRPr="000977F7">
        <w:rPr>
          <w:color w:val="auto"/>
          <w:sz w:val="20"/>
          <w:szCs w:val="20"/>
        </w:rPr>
        <w:t>ПОЛІПШУВАННЯ</w:t>
      </w:r>
      <w:r w:rsidRPr="000977F7">
        <w:rPr>
          <w:color w:val="auto"/>
          <w:spacing w:val="-2"/>
          <w:sz w:val="20"/>
          <w:szCs w:val="20"/>
        </w:rPr>
        <w:t xml:space="preserve"> </w:t>
      </w:r>
      <w:r w:rsidRPr="000977F7">
        <w:rPr>
          <w:color w:val="auto"/>
          <w:sz w:val="20"/>
          <w:szCs w:val="20"/>
        </w:rPr>
        <w:t>–</w:t>
      </w:r>
    </w:p>
    <w:p w14:paraId="5024B0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повинна</w:t>
      </w:r>
      <w:r w:rsidRPr="000977F7">
        <w:rPr>
          <w:rFonts w:asciiTheme="majorHAnsi" w:hAnsiTheme="majorHAnsi"/>
          <w:spacing w:val="1"/>
          <w:sz w:val="20"/>
          <w:szCs w:val="20"/>
        </w:rPr>
        <w:t xml:space="preserve"> </w:t>
      </w:r>
      <w:r w:rsidRPr="000977F7">
        <w:rPr>
          <w:rFonts w:asciiTheme="majorHAnsi" w:hAnsiTheme="majorHAnsi"/>
          <w:sz w:val="20"/>
          <w:szCs w:val="20"/>
        </w:rPr>
        <w:t>постійно</w:t>
      </w:r>
      <w:r w:rsidRPr="000977F7">
        <w:rPr>
          <w:rFonts w:asciiTheme="majorHAnsi" w:hAnsiTheme="majorHAnsi"/>
          <w:spacing w:val="1"/>
          <w:sz w:val="20"/>
          <w:szCs w:val="20"/>
        </w:rPr>
        <w:t xml:space="preserve"> </w:t>
      </w:r>
      <w:r w:rsidRPr="000977F7">
        <w:rPr>
          <w:rFonts w:asciiTheme="majorHAnsi" w:hAnsiTheme="majorHAnsi"/>
          <w:sz w:val="20"/>
          <w:szCs w:val="20"/>
        </w:rPr>
        <w:t>поліпшувати</w:t>
      </w:r>
      <w:r w:rsidRPr="000977F7">
        <w:rPr>
          <w:rFonts w:asciiTheme="majorHAnsi" w:hAnsiTheme="majorHAnsi"/>
          <w:spacing w:val="1"/>
          <w:sz w:val="20"/>
          <w:szCs w:val="20"/>
        </w:rPr>
        <w:t xml:space="preserve"> </w:t>
      </w:r>
      <w:r w:rsidRPr="000977F7">
        <w:rPr>
          <w:rFonts w:asciiTheme="majorHAnsi" w:hAnsiTheme="majorHAnsi"/>
          <w:sz w:val="20"/>
          <w:szCs w:val="20"/>
        </w:rPr>
        <w:t>придатність, адекватність і результативність системи управління</w:t>
      </w:r>
      <w:r w:rsidRPr="000977F7">
        <w:rPr>
          <w:rFonts w:asciiTheme="majorHAnsi" w:hAnsiTheme="majorHAnsi"/>
          <w:spacing w:val="-2"/>
          <w:sz w:val="20"/>
          <w:szCs w:val="20"/>
        </w:rPr>
        <w:t xml:space="preserve"> </w:t>
      </w:r>
      <w:r w:rsidRPr="000977F7">
        <w:rPr>
          <w:rFonts w:asciiTheme="majorHAnsi" w:hAnsiTheme="majorHAnsi"/>
          <w:sz w:val="20"/>
          <w:szCs w:val="20"/>
        </w:rPr>
        <w:t>якістю.</w:t>
      </w:r>
    </w:p>
    <w:p w14:paraId="2A81287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розглядати результати аналізування та оцінювання, а також вихідні дані аналізування системи управління, щоб визначити, чи є потреби</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можливості,</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потребують</w:t>
      </w:r>
      <w:r w:rsidRPr="000977F7">
        <w:rPr>
          <w:rFonts w:asciiTheme="majorHAnsi" w:hAnsiTheme="majorHAnsi"/>
          <w:spacing w:val="1"/>
          <w:sz w:val="20"/>
          <w:szCs w:val="20"/>
        </w:rPr>
        <w:t xml:space="preserve"> </w:t>
      </w:r>
      <w:r w:rsidRPr="000977F7">
        <w:rPr>
          <w:rFonts w:asciiTheme="majorHAnsi" w:hAnsiTheme="majorHAnsi"/>
          <w:sz w:val="20"/>
          <w:szCs w:val="20"/>
        </w:rPr>
        <w:t>свого</w:t>
      </w:r>
      <w:r w:rsidRPr="000977F7">
        <w:rPr>
          <w:rFonts w:asciiTheme="majorHAnsi" w:hAnsiTheme="majorHAnsi"/>
          <w:spacing w:val="1"/>
          <w:sz w:val="20"/>
          <w:szCs w:val="20"/>
        </w:rPr>
        <w:t xml:space="preserve"> </w:t>
      </w:r>
      <w:r w:rsidRPr="000977F7">
        <w:rPr>
          <w:rFonts w:asciiTheme="majorHAnsi" w:hAnsiTheme="majorHAnsi"/>
          <w:sz w:val="20"/>
          <w:szCs w:val="20"/>
        </w:rPr>
        <w:t>розгляду</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складники</w:t>
      </w:r>
      <w:r w:rsidRPr="000977F7">
        <w:rPr>
          <w:rFonts w:asciiTheme="majorHAnsi" w:hAnsiTheme="majorHAnsi"/>
          <w:spacing w:val="-2"/>
          <w:sz w:val="20"/>
          <w:szCs w:val="20"/>
        </w:rPr>
        <w:t xml:space="preserve"> </w:t>
      </w:r>
      <w:r w:rsidRPr="000977F7">
        <w:rPr>
          <w:rFonts w:asciiTheme="majorHAnsi" w:hAnsiTheme="majorHAnsi"/>
          <w:sz w:val="20"/>
          <w:szCs w:val="20"/>
        </w:rPr>
        <w:t>постійного</w:t>
      </w:r>
      <w:r w:rsidRPr="000977F7">
        <w:rPr>
          <w:rFonts w:asciiTheme="majorHAnsi" w:hAnsiTheme="majorHAnsi"/>
          <w:spacing w:val="1"/>
          <w:sz w:val="20"/>
          <w:szCs w:val="20"/>
        </w:rPr>
        <w:t xml:space="preserve"> </w:t>
      </w:r>
      <w:r w:rsidRPr="000977F7">
        <w:rPr>
          <w:rFonts w:asciiTheme="majorHAnsi" w:hAnsiTheme="majorHAnsi"/>
          <w:sz w:val="20"/>
          <w:szCs w:val="20"/>
        </w:rPr>
        <w:t>поліпшування.</w:t>
      </w:r>
    </w:p>
    <w:p w14:paraId="37FA8B71"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ISO</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9001-2015</w:t>
      </w:r>
    </w:p>
    <w:p w14:paraId="21C42D9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ПОСТУПОВА</w:t>
      </w:r>
      <w:r w:rsidRPr="000977F7">
        <w:rPr>
          <w:color w:val="auto"/>
          <w:spacing w:val="-3"/>
          <w:sz w:val="20"/>
          <w:szCs w:val="20"/>
        </w:rPr>
        <w:t xml:space="preserve"> </w:t>
      </w:r>
      <w:r w:rsidRPr="000977F7">
        <w:rPr>
          <w:color w:val="auto"/>
          <w:sz w:val="20"/>
          <w:szCs w:val="20"/>
        </w:rPr>
        <w:t>ВІДМОВА</w:t>
      </w:r>
      <w:r w:rsidRPr="000977F7">
        <w:rPr>
          <w:color w:val="auto"/>
          <w:spacing w:val="-2"/>
          <w:sz w:val="20"/>
          <w:szCs w:val="20"/>
        </w:rPr>
        <w:t xml:space="preserve"> </w:t>
      </w:r>
      <w:r w:rsidRPr="000977F7">
        <w:rPr>
          <w:color w:val="auto"/>
          <w:sz w:val="20"/>
          <w:szCs w:val="20"/>
        </w:rPr>
        <w:t>–</w:t>
      </w:r>
    </w:p>
    <w:p w14:paraId="7E15D4E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CRADUAL</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45"/>
          <w:sz w:val="20"/>
          <w:szCs w:val="20"/>
          <w:lang w:val="en-US"/>
        </w:rPr>
        <w:t xml:space="preserve"> </w:t>
      </w:r>
      <w:r w:rsidRPr="004D2D14">
        <w:rPr>
          <w:rFonts w:asciiTheme="majorHAnsi" w:hAnsiTheme="majorHAnsi"/>
          <w:sz w:val="20"/>
          <w:szCs w:val="20"/>
          <w:lang w:val="en-US"/>
        </w:rPr>
        <w:t>DRIFT FAILURE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695234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w:t>
      </w:r>
      <w:r w:rsidRPr="000977F7">
        <w:rPr>
          <w:rFonts w:asciiTheme="majorHAnsi" w:hAnsiTheme="majorHAnsi"/>
          <w:spacing w:val="9"/>
          <w:sz w:val="20"/>
          <w:szCs w:val="20"/>
        </w:rPr>
        <w:t xml:space="preserve"> </w:t>
      </w:r>
      <w:r w:rsidRPr="000977F7">
        <w:rPr>
          <w:rFonts w:asciiTheme="majorHAnsi" w:hAnsiTheme="majorHAnsi"/>
          <w:sz w:val="20"/>
          <w:szCs w:val="20"/>
        </w:rPr>
        <w:t>спричинена</w:t>
      </w:r>
      <w:r w:rsidRPr="000977F7">
        <w:rPr>
          <w:rFonts w:asciiTheme="majorHAnsi" w:hAnsiTheme="majorHAnsi"/>
          <w:spacing w:val="9"/>
          <w:sz w:val="20"/>
          <w:szCs w:val="20"/>
        </w:rPr>
        <w:t xml:space="preserve"> </w:t>
      </w:r>
      <w:r w:rsidRPr="000977F7">
        <w:rPr>
          <w:rFonts w:asciiTheme="majorHAnsi" w:hAnsiTheme="majorHAnsi"/>
          <w:sz w:val="20"/>
          <w:szCs w:val="20"/>
        </w:rPr>
        <w:t>поступовими</w:t>
      </w:r>
      <w:r w:rsidRPr="000977F7">
        <w:rPr>
          <w:rFonts w:asciiTheme="majorHAnsi" w:hAnsiTheme="majorHAnsi"/>
          <w:spacing w:val="7"/>
          <w:sz w:val="20"/>
          <w:szCs w:val="20"/>
        </w:rPr>
        <w:t xml:space="preserve"> </w:t>
      </w:r>
      <w:r w:rsidRPr="000977F7">
        <w:rPr>
          <w:rFonts w:asciiTheme="majorHAnsi" w:hAnsiTheme="majorHAnsi"/>
          <w:sz w:val="20"/>
          <w:szCs w:val="20"/>
        </w:rPr>
        <w:t>змінами</w:t>
      </w:r>
      <w:r w:rsidRPr="000977F7">
        <w:rPr>
          <w:rFonts w:asciiTheme="majorHAnsi" w:hAnsiTheme="majorHAnsi"/>
          <w:spacing w:val="7"/>
          <w:sz w:val="20"/>
          <w:szCs w:val="20"/>
        </w:rPr>
        <w:t xml:space="preserve"> </w:t>
      </w:r>
      <w:r w:rsidRPr="000977F7">
        <w:rPr>
          <w:rFonts w:asciiTheme="majorHAnsi" w:hAnsiTheme="majorHAnsi"/>
          <w:sz w:val="20"/>
          <w:szCs w:val="20"/>
        </w:rPr>
        <w:t>значень</w:t>
      </w:r>
      <w:r w:rsidRPr="000977F7">
        <w:rPr>
          <w:rFonts w:asciiTheme="majorHAnsi" w:hAnsiTheme="majorHAnsi"/>
          <w:spacing w:val="-47"/>
          <w:sz w:val="20"/>
          <w:szCs w:val="20"/>
        </w:rPr>
        <w:t xml:space="preserve"> </w:t>
      </w:r>
      <w:r w:rsidRPr="000977F7">
        <w:rPr>
          <w:rFonts w:asciiTheme="majorHAnsi" w:hAnsiTheme="majorHAnsi"/>
          <w:sz w:val="20"/>
          <w:szCs w:val="20"/>
        </w:rPr>
        <w:t>одного чи</w:t>
      </w:r>
      <w:r w:rsidRPr="000977F7">
        <w:rPr>
          <w:rFonts w:asciiTheme="majorHAnsi" w:hAnsiTheme="majorHAnsi"/>
          <w:spacing w:val="-1"/>
          <w:sz w:val="20"/>
          <w:szCs w:val="20"/>
        </w:rPr>
        <w:t xml:space="preserve"> </w:t>
      </w:r>
      <w:r w:rsidRPr="000977F7">
        <w:rPr>
          <w:rFonts w:asciiTheme="majorHAnsi" w:hAnsiTheme="majorHAnsi"/>
          <w:sz w:val="20"/>
          <w:szCs w:val="20"/>
        </w:rPr>
        <w:t>декількох</w:t>
      </w:r>
      <w:r w:rsidRPr="000977F7">
        <w:rPr>
          <w:rFonts w:asciiTheme="majorHAnsi" w:hAnsiTheme="majorHAnsi"/>
          <w:spacing w:val="-2"/>
          <w:sz w:val="20"/>
          <w:szCs w:val="20"/>
        </w:rPr>
        <w:t xml:space="preserve"> </w:t>
      </w:r>
      <w:r w:rsidRPr="000977F7">
        <w:rPr>
          <w:rFonts w:asciiTheme="majorHAnsi" w:hAnsiTheme="majorHAnsi"/>
          <w:sz w:val="20"/>
          <w:szCs w:val="20"/>
        </w:rPr>
        <w:t>параметрів</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4276CC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27E310F"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Поступову</w:t>
      </w:r>
      <w:r w:rsidRPr="000977F7">
        <w:rPr>
          <w:rFonts w:asciiTheme="majorHAnsi" w:hAnsiTheme="majorHAnsi"/>
          <w:spacing w:val="33"/>
          <w:sz w:val="20"/>
          <w:szCs w:val="20"/>
        </w:rPr>
        <w:t xml:space="preserve"> </w:t>
      </w:r>
      <w:r w:rsidRPr="000977F7">
        <w:rPr>
          <w:rFonts w:asciiTheme="majorHAnsi" w:hAnsiTheme="majorHAnsi"/>
          <w:sz w:val="20"/>
          <w:szCs w:val="20"/>
        </w:rPr>
        <w:t>відмову</w:t>
      </w:r>
      <w:r w:rsidRPr="000977F7">
        <w:rPr>
          <w:rFonts w:asciiTheme="majorHAnsi" w:hAnsiTheme="majorHAnsi"/>
          <w:spacing w:val="33"/>
          <w:sz w:val="20"/>
          <w:szCs w:val="20"/>
        </w:rPr>
        <w:t xml:space="preserve"> </w:t>
      </w:r>
      <w:r w:rsidRPr="000977F7">
        <w:rPr>
          <w:rFonts w:asciiTheme="majorHAnsi" w:hAnsiTheme="majorHAnsi"/>
          <w:sz w:val="20"/>
          <w:szCs w:val="20"/>
        </w:rPr>
        <w:t>можна</w:t>
      </w:r>
      <w:r w:rsidRPr="000977F7">
        <w:rPr>
          <w:rFonts w:asciiTheme="majorHAnsi" w:hAnsiTheme="majorHAnsi"/>
          <w:spacing w:val="36"/>
          <w:sz w:val="20"/>
          <w:szCs w:val="20"/>
        </w:rPr>
        <w:t xml:space="preserve"> </w:t>
      </w:r>
      <w:r w:rsidRPr="000977F7">
        <w:rPr>
          <w:rFonts w:asciiTheme="majorHAnsi" w:hAnsiTheme="majorHAnsi"/>
          <w:sz w:val="20"/>
          <w:szCs w:val="20"/>
        </w:rPr>
        <w:t>передбачити</w:t>
      </w:r>
      <w:r w:rsidRPr="000977F7">
        <w:rPr>
          <w:rFonts w:asciiTheme="majorHAnsi" w:hAnsiTheme="majorHAnsi"/>
          <w:spacing w:val="33"/>
          <w:sz w:val="20"/>
          <w:szCs w:val="20"/>
        </w:rPr>
        <w:t xml:space="preserve"> </w:t>
      </w:r>
      <w:r w:rsidRPr="000977F7">
        <w:rPr>
          <w:rFonts w:asciiTheme="majorHAnsi" w:hAnsiTheme="majorHAnsi"/>
          <w:sz w:val="20"/>
          <w:szCs w:val="20"/>
        </w:rPr>
        <w:t>попередніми</w:t>
      </w:r>
      <w:r w:rsidRPr="000977F7">
        <w:rPr>
          <w:rFonts w:asciiTheme="majorHAnsi" w:hAnsiTheme="majorHAnsi"/>
          <w:spacing w:val="-47"/>
          <w:sz w:val="20"/>
          <w:szCs w:val="20"/>
        </w:rPr>
        <w:t xml:space="preserve"> </w:t>
      </w:r>
      <w:r w:rsidRPr="000977F7">
        <w:rPr>
          <w:rFonts w:asciiTheme="majorHAnsi" w:hAnsiTheme="majorHAnsi"/>
          <w:sz w:val="20"/>
          <w:szCs w:val="20"/>
        </w:rPr>
        <w:t>дослідженнями</w:t>
      </w:r>
      <w:r w:rsidRPr="000977F7">
        <w:rPr>
          <w:rFonts w:asciiTheme="majorHAnsi" w:hAnsiTheme="majorHAnsi"/>
          <w:spacing w:val="16"/>
          <w:sz w:val="20"/>
          <w:szCs w:val="20"/>
        </w:rPr>
        <w:t xml:space="preserve"> </w:t>
      </w:r>
      <w:r w:rsidRPr="000977F7">
        <w:rPr>
          <w:rFonts w:asciiTheme="majorHAnsi" w:hAnsiTheme="majorHAnsi"/>
          <w:sz w:val="20"/>
          <w:szCs w:val="20"/>
        </w:rPr>
        <w:t>чи</w:t>
      </w:r>
      <w:r w:rsidRPr="000977F7">
        <w:rPr>
          <w:rFonts w:asciiTheme="majorHAnsi" w:hAnsiTheme="majorHAnsi"/>
          <w:spacing w:val="17"/>
          <w:sz w:val="20"/>
          <w:szCs w:val="20"/>
        </w:rPr>
        <w:t xml:space="preserve"> </w:t>
      </w:r>
      <w:r w:rsidRPr="000977F7">
        <w:rPr>
          <w:rFonts w:asciiTheme="majorHAnsi" w:hAnsiTheme="majorHAnsi"/>
          <w:sz w:val="20"/>
          <w:szCs w:val="20"/>
        </w:rPr>
        <w:t>технічним</w:t>
      </w:r>
      <w:r w:rsidRPr="000977F7">
        <w:rPr>
          <w:rFonts w:asciiTheme="majorHAnsi" w:hAnsiTheme="majorHAnsi"/>
          <w:spacing w:val="19"/>
          <w:sz w:val="20"/>
          <w:szCs w:val="20"/>
        </w:rPr>
        <w:t xml:space="preserve"> </w:t>
      </w:r>
      <w:r w:rsidRPr="000977F7">
        <w:rPr>
          <w:rFonts w:asciiTheme="majorHAnsi" w:hAnsiTheme="majorHAnsi"/>
          <w:sz w:val="20"/>
          <w:szCs w:val="20"/>
        </w:rPr>
        <w:t>оглядом,</w:t>
      </w:r>
      <w:r w:rsidRPr="000977F7">
        <w:rPr>
          <w:rFonts w:asciiTheme="majorHAnsi" w:hAnsiTheme="majorHAnsi"/>
          <w:spacing w:val="17"/>
          <w:sz w:val="20"/>
          <w:szCs w:val="20"/>
        </w:rPr>
        <w:t xml:space="preserve"> </w:t>
      </w:r>
      <w:r w:rsidRPr="000977F7">
        <w:rPr>
          <w:rFonts w:asciiTheme="majorHAnsi" w:hAnsiTheme="majorHAnsi"/>
          <w:sz w:val="20"/>
          <w:szCs w:val="20"/>
        </w:rPr>
        <w:t>інколи</w:t>
      </w:r>
      <w:r w:rsidRPr="000977F7">
        <w:rPr>
          <w:rFonts w:asciiTheme="majorHAnsi" w:hAnsiTheme="majorHAnsi"/>
          <w:spacing w:val="17"/>
          <w:sz w:val="20"/>
          <w:szCs w:val="20"/>
        </w:rPr>
        <w:t xml:space="preserve"> </w:t>
      </w:r>
      <w:r w:rsidRPr="000977F7">
        <w:rPr>
          <w:rFonts w:asciiTheme="majorHAnsi" w:hAnsiTheme="majorHAnsi"/>
          <w:sz w:val="20"/>
          <w:szCs w:val="20"/>
        </w:rPr>
        <w:t>її</w:t>
      </w:r>
      <w:r w:rsidRPr="000977F7">
        <w:rPr>
          <w:rFonts w:asciiTheme="majorHAnsi" w:hAnsiTheme="majorHAnsi"/>
          <w:spacing w:val="18"/>
          <w:sz w:val="20"/>
          <w:szCs w:val="20"/>
        </w:rPr>
        <w:t xml:space="preserve"> </w:t>
      </w:r>
      <w:r w:rsidRPr="000977F7">
        <w:rPr>
          <w:rFonts w:asciiTheme="majorHAnsi" w:hAnsiTheme="majorHAnsi"/>
          <w:sz w:val="20"/>
          <w:szCs w:val="20"/>
        </w:rPr>
        <w:t>можна відвернути заходами технічного обслуговування</w:t>
      </w:r>
    </w:p>
    <w:p w14:paraId="1E2D0AB5"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10077B4"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ПОСУДИНА –</w:t>
      </w:r>
    </w:p>
    <w:p w14:paraId="49FD05D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Герметична ємкість, сконструйована і виготовлена для розміщення робочого середовища під тиском, у тому числі додаткові пристрої до неї, до точки з’єднання з іншим обладнанням; одна посудина може включати кілька камер</w:t>
      </w:r>
    </w:p>
    <w:p w14:paraId="0AD5CD98"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обладнання, що працює під тиском</w:t>
      </w:r>
    </w:p>
    <w:p w14:paraId="473CF47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ПОТЕНЦІАЛ</w:t>
      </w:r>
      <w:r w:rsidRPr="000977F7">
        <w:rPr>
          <w:color w:val="auto"/>
          <w:spacing w:val="-5"/>
          <w:sz w:val="20"/>
          <w:szCs w:val="20"/>
        </w:rPr>
        <w:t xml:space="preserve"> </w:t>
      </w:r>
      <w:r w:rsidRPr="000977F7">
        <w:rPr>
          <w:color w:val="auto"/>
          <w:sz w:val="20"/>
          <w:szCs w:val="20"/>
        </w:rPr>
        <w:t>АКТИВАЦІЇ</w:t>
      </w:r>
      <w:r w:rsidRPr="000977F7">
        <w:rPr>
          <w:color w:val="auto"/>
          <w:spacing w:val="-2"/>
          <w:sz w:val="20"/>
          <w:szCs w:val="20"/>
        </w:rPr>
        <w:t xml:space="preserve"> </w:t>
      </w:r>
      <w:r w:rsidRPr="000977F7">
        <w:rPr>
          <w:color w:val="auto"/>
          <w:sz w:val="20"/>
          <w:szCs w:val="20"/>
        </w:rPr>
        <w:t>—</w:t>
      </w:r>
    </w:p>
    <w:p w14:paraId="087A840C"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Потенціал, який відповідає переходу металу з пасивного стану</w:t>
      </w:r>
      <w:r w:rsidRPr="000977F7">
        <w:rPr>
          <w:b w:val="0"/>
          <w:bCs/>
          <w:color w:val="auto"/>
          <w:spacing w:val="-1"/>
          <w:sz w:val="20"/>
          <w:szCs w:val="20"/>
        </w:rPr>
        <w:t xml:space="preserve"> </w:t>
      </w:r>
      <w:r w:rsidRPr="000977F7">
        <w:rPr>
          <w:b w:val="0"/>
          <w:bCs/>
          <w:color w:val="auto"/>
          <w:sz w:val="20"/>
          <w:szCs w:val="20"/>
        </w:rPr>
        <w:t>в</w:t>
      </w:r>
      <w:r w:rsidRPr="000977F7">
        <w:rPr>
          <w:b w:val="0"/>
          <w:bCs/>
          <w:color w:val="auto"/>
          <w:spacing w:val="-1"/>
          <w:sz w:val="20"/>
          <w:szCs w:val="20"/>
        </w:rPr>
        <w:t xml:space="preserve"> </w:t>
      </w:r>
      <w:r w:rsidRPr="000977F7">
        <w:rPr>
          <w:b w:val="0"/>
          <w:bCs/>
          <w:color w:val="auto"/>
          <w:sz w:val="20"/>
          <w:szCs w:val="20"/>
        </w:rPr>
        <w:t>активний</w:t>
      </w:r>
    </w:p>
    <w:p w14:paraId="5F287089"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3830</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98</w:t>
      </w:r>
    </w:p>
    <w:p w14:paraId="2D72301B"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lastRenderedPageBreak/>
        <w:t>ПОТЕНЦІАЛ</w:t>
      </w:r>
      <w:r w:rsidRPr="004D2D14">
        <w:rPr>
          <w:rFonts w:asciiTheme="majorHAnsi" w:hAnsiTheme="majorHAnsi"/>
          <w:b/>
          <w:sz w:val="20"/>
          <w:szCs w:val="20"/>
          <w:lang w:val="en-US"/>
        </w:rPr>
        <w:t xml:space="preserve"> </w:t>
      </w:r>
      <w:r w:rsidRPr="000977F7">
        <w:rPr>
          <w:rFonts w:asciiTheme="majorHAnsi" w:hAnsiTheme="majorHAnsi"/>
          <w:b/>
          <w:sz w:val="20"/>
          <w:szCs w:val="20"/>
        </w:rPr>
        <w:t>КОРОЗІЇ</w:t>
      </w:r>
      <w:r w:rsidRPr="004D2D14">
        <w:rPr>
          <w:rFonts w:asciiTheme="majorHAnsi" w:hAnsiTheme="majorHAnsi"/>
          <w:b/>
          <w:sz w:val="20"/>
          <w:szCs w:val="20"/>
          <w:lang w:val="en-US"/>
        </w:rPr>
        <w:t xml:space="preserve"> –</w:t>
      </w:r>
    </w:p>
    <w:p w14:paraId="10AC4AB6"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CORROSION</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POTENTIAL</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w:t>
      </w:r>
    </w:p>
    <w:p w14:paraId="3CBAE5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Потенціал корозії металу, що встановлюється внаслідок протікання спряжених анодного і катодного процесів</w:t>
      </w:r>
      <w:r w:rsidRPr="000977F7">
        <w:rPr>
          <w:rFonts w:asciiTheme="majorHAnsi" w:hAnsiTheme="majorHAnsi"/>
          <w:spacing w:val="-2"/>
          <w:sz w:val="20"/>
          <w:szCs w:val="20"/>
        </w:rPr>
        <w:t xml:space="preserve"> </w:t>
      </w:r>
      <w:r w:rsidRPr="000977F7">
        <w:rPr>
          <w:rFonts w:asciiTheme="majorHAnsi" w:hAnsiTheme="majorHAnsi"/>
          <w:sz w:val="20"/>
          <w:szCs w:val="20"/>
        </w:rPr>
        <w:t>без зовнішньої</w:t>
      </w:r>
      <w:r w:rsidRPr="000977F7">
        <w:rPr>
          <w:rFonts w:asciiTheme="majorHAnsi" w:hAnsiTheme="majorHAnsi"/>
          <w:spacing w:val="-1"/>
          <w:sz w:val="20"/>
          <w:szCs w:val="20"/>
        </w:rPr>
        <w:t xml:space="preserve"> </w:t>
      </w:r>
      <w:r w:rsidRPr="000977F7">
        <w:rPr>
          <w:rFonts w:asciiTheme="majorHAnsi" w:hAnsiTheme="majorHAnsi"/>
          <w:sz w:val="20"/>
          <w:szCs w:val="20"/>
        </w:rPr>
        <w:t>поляризації</w:t>
      </w:r>
    </w:p>
    <w:p w14:paraId="6910F62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4AC0DA3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ПОТЕНЦІАЛ</w:t>
      </w:r>
      <w:r w:rsidRPr="000977F7">
        <w:rPr>
          <w:color w:val="auto"/>
          <w:spacing w:val="-4"/>
          <w:sz w:val="20"/>
          <w:szCs w:val="20"/>
        </w:rPr>
        <w:t xml:space="preserve"> </w:t>
      </w:r>
      <w:r w:rsidRPr="000977F7">
        <w:rPr>
          <w:color w:val="auto"/>
          <w:sz w:val="20"/>
          <w:szCs w:val="20"/>
        </w:rPr>
        <w:t>ПЕРЕПАСИВАЦІЇ</w:t>
      </w:r>
      <w:r w:rsidRPr="000977F7">
        <w:rPr>
          <w:color w:val="auto"/>
          <w:spacing w:val="-5"/>
          <w:sz w:val="20"/>
          <w:szCs w:val="20"/>
        </w:rPr>
        <w:t xml:space="preserve"> </w:t>
      </w:r>
      <w:r w:rsidRPr="000977F7">
        <w:rPr>
          <w:color w:val="auto"/>
          <w:sz w:val="20"/>
          <w:szCs w:val="20"/>
        </w:rPr>
        <w:t>–</w:t>
      </w:r>
    </w:p>
    <w:p w14:paraId="6381315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Потенціал, який відповідає переходу металу з пасив</w:t>
      </w:r>
      <w:r w:rsidRPr="000977F7">
        <w:rPr>
          <w:rFonts w:asciiTheme="majorHAnsi" w:hAnsiTheme="majorHAnsi"/>
          <w:spacing w:val="-47"/>
          <w:sz w:val="20"/>
          <w:szCs w:val="20"/>
        </w:rPr>
        <w:t xml:space="preserve"> </w:t>
      </w:r>
      <w:r w:rsidRPr="000977F7">
        <w:rPr>
          <w:rFonts w:asciiTheme="majorHAnsi" w:hAnsiTheme="majorHAnsi"/>
          <w:sz w:val="20"/>
          <w:szCs w:val="20"/>
        </w:rPr>
        <w:t>ного стану</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стан</w:t>
      </w:r>
      <w:r w:rsidRPr="000977F7">
        <w:rPr>
          <w:rFonts w:asciiTheme="majorHAnsi" w:hAnsiTheme="majorHAnsi"/>
          <w:spacing w:val="-1"/>
          <w:sz w:val="20"/>
          <w:szCs w:val="20"/>
        </w:rPr>
        <w:t xml:space="preserve"> </w:t>
      </w:r>
      <w:r w:rsidRPr="000977F7">
        <w:rPr>
          <w:rFonts w:asciiTheme="majorHAnsi" w:hAnsiTheme="majorHAnsi"/>
          <w:sz w:val="20"/>
          <w:szCs w:val="20"/>
        </w:rPr>
        <w:t>перепасивації</w:t>
      </w:r>
    </w:p>
    <w:p w14:paraId="6E4EFF5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67A6AEE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ПОТЕНЦІАЛ ПІТІНГОУТВОРЕННЯ;</w:t>
      </w:r>
      <w:r w:rsidRPr="000977F7">
        <w:rPr>
          <w:rFonts w:asciiTheme="majorHAnsi" w:hAnsiTheme="majorHAnsi"/>
          <w:b/>
          <w:spacing w:val="1"/>
          <w:sz w:val="20"/>
          <w:szCs w:val="20"/>
        </w:rPr>
        <w:t xml:space="preserve"> </w:t>
      </w:r>
      <w:r w:rsidRPr="000977F7">
        <w:rPr>
          <w:rFonts w:asciiTheme="majorHAnsi" w:hAnsiTheme="majorHAnsi"/>
          <w:b/>
          <w:sz w:val="20"/>
          <w:szCs w:val="20"/>
        </w:rPr>
        <w:t>ПOТЕНЦІАЛ ВИРАЗКОУТВОРЕННЯ —</w:t>
      </w:r>
      <w:r w:rsidRPr="000977F7">
        <w:rPr>
          <w:rFonts w:asciiTheme="majorHAnsi" w:hAnsiTheme="majorHAnsi"/>
          <w:b/>
          <w:spacing w:val="-47"/>
          <w:sz w:val="20"/>
          <w:szCs w:val="20"/>
        </w:rPr>
        <w:t xml:space="preserve"> </w:t>
      </w:r>
      <w:r w:rsidRPr="000977F7">
        <w:rPr>
          <w:rFonts w:asciiTheme="majorHAnsi" w:hAnsiTheme="majorHAnsi"/>
          <w:sz w:val="20"/>
          <w:szCs w:val="20"/>
        </w:rPr>
        <w:t>PITING</w:t>
      </w:r>
      <w:r w:rsidRPr="000977F7">
        <w:rPr>
          <w:rFonts w:asciiTheme="majorHAnsi" w:hAnsiTheme="majorHAnsi"/>
          <w:spacing w:val="-1"/>
          <w:sz w:val="20"/>
          <w:szCs w:val="20"/>
        </w:rPr>
        <w:t xml:space="preserve"> </w:t>
      </w:r>
      <w:r w:rsidRPr="000977F7">
        <w:rPr>
          <w:rFonts w:asciiTheme="majorHAnsi" w:hAnsiTheme="majorHAnsi"/>
          <w:sz w:val="20"/>
          <w:szCs w:val="20"/>
        </w:rPr>
        <w:t>INITIATION</w:t>
      </w:r>
      <w:r w:rsidRPr="000977F7">
        <w:rPr>
          <w:rFonts w:asciiTheme="majorHAnsi" w:hAnsiTheme="majorHAnsi"/>
          <w:spacing w:val="-1"/>
          <w:sz w:val="20"/>
          <w:szCs w:val="20"/>
        </w:rPr>
        <w:t xml:space="preserve"> </w:t>
      </w:r>
      <w:r w:rsidRPr="000977F7">
        <w:rPr>
          <w:rFonts w:asciiTheme="majorHAnsi" w:hAnsiTheme="majorHAnsi"/>
          <w:sz w:val="20"/>
          <w:szCs w:val="20"/>
        </w:rPr>
        <w:t>POTENTIAL</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090CF54"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Потенціал,</w:t>
      </w:r>
      <w:r w:rsidRPr="000977F7">
        <w:rPr>
          <w:rFonts w:asciiTheme="majorHAnsi" w:hAnsiTheme="majorHAnsi"/>
          <w:spacing w:val="-10"/>
          <w:sz w:val="20"/>
          <w:szCs w:val="20"/>
        </w:rPr>
        <w:t xml:space="preserve"> </w:t>
      </w:r>
      <w:r w:rsidRPr="000977F7">
        <w:rPr>
          <w:rFonts w:asciiTheme="majorHAnsi" w:hAnsiTheme="majorHAnsi"/>
          <w:sz w:val="20"/>
          <w:szCs w:val="20"/>
        </w:rPr>
        <w:t>що</w:t>
      </w:r>
      <w:r w:rsidRPr="000977F7">
        <w:rPr>
          <w:rFonts w:asciiTheme="majorHAnsi" w:hAnsiTheme="majorHAnsi"/>
          <w:spacing w:val="-9"/>
          <w:sz w:val="20"/>
          <w:szCs w:val="20"/>
        </w:rPr>
        <w:t xml:space="preserve"> </w:t>
      </w:r>
      <w:r w:rsidRPr="000977F7">
        <w:rPr>
          <w:rFonts w:asciiTheme="majorHAnsi" w:hAnsiTheme="majorHAnsi"/>
          <w:sz w:val="20"/>
          <w:szCs w:val="20"/>
        </w:rPr>
        <w:t>зумовлює</w:t>
      </w:r>
      <w:r w:rsidRPr="000977F7">
        <w:rPr>
          <w:rFonts w:asciiTheme="majorHAnsi" w:hAnsiTheme="majorHAnsi"/>
          <w:spacing w:val="-9"/>
          <w:sz w:val="20"/>
          <w:szCs w:val="20"/>
        </w:rPr>
        <w:t xml:space="preserve"> </w:t>
      </w:r>
      <w:r w:rsidRPr="000977F7">
        <w:rPr>
          <w:rFonts w:asciiTheme="majorHAnsi" w:hAnsiTheme="majorHAnsi"/>
          <w:sz w:val="20"/>
          <w:szCs w:val="20"/>
        </w:rPr>
        <w:t>виникнення</w:t>
      </w:r>
      <w:r w:rsidRPr="000977F7">
        <w:rPr>
          <w:rFonts w:asciiTheme="majorHAnsi" w:hAnsiTheme="majorHAnsi"/>
          <w:spacing w:val="-8"/>
          <w:sz w:val="20"/>
          <w:szCs w:val="20"/>
        </w:rPr>
        <w:t xml:space="preserve"> </w:t>
      </w:r>
      <w:r w:rsidRPr="000977F7">
        <w:rPr>
          <w:rFonts w:asciiTheme="majorHAnsi" w:hAnsiTheme="majorHAnsi"/>
          <w:sz w:val="20"/>
          <w:szCs w:val="20"/>
        </w:rPr>
        <w:t>пітінгової</w:t>
      </w:r>
      <w:r w:rsidRPr="000977F7">
        <w:rPr>
          <w:rFonts w:asciiTheme="majorHAnsi" w:hAnsiTheme="majorHAnsi"/>
          <w:spacing w:val="-10"/>
          <w:sz w:val="20"/>
          <w:szCs w:val="20"/>
        </w:rPr>
        <w:t xml:space="preserve"> </w:t>
      </w:r>
      <w:r w:rsidRPr="000977F7">
        <w:rPr>
          <w:rFonts w:asciiTheme="majorHAnsi" w:hAnsiTheme="majorHAnsi"/>
          <w:sz w:val="20"/>
          <w:szCs w:val="20"/>
        </w:rPr>
        <w:t xml:space="preserve">корозії </w:t>
      </w:r>
      <w:r w:rsidRPr="000977F7">
        <w:rPr>
          <w:rFonts w:asciiTheme="majorHAnsi" w:hAnsiTheme="majorHAnsi"/>
          <w:spacing w:val="-47"/>
          <w:sz w:val="20"/>
          <w:szCs w:val="20"/>
        </w:rPr>
        <w:t xml:space="preserve"> </w:t>
      </w:r>
      <w:r w:rsidRPr="000977F7">
        <w:rPr>
          <w:rFonts w:asciiTheme="majorHAnsi" w:hAnsiTheme="majorHAnsi"/>
          <w:spacing w:val="-1"/>
          <w:sz w:val="20"/>
          <w:szCs w:val="20"/>
        </w:rPr>
        <w:t xml:space="preserve">внаслідок локального порушення пасивності </w:t>
      </w:r>
      <w:r w:rsidRPr="000977F7">
        <w:rPr>
          <w:rFonts w:asciiTheme="majorHAnsi" w:hAnsiTheme="majorHAnsi"/>
          <w:sz w:val="20"/>
          <w:szCs w:val="20"/>
        </w:rPr>
        <w:t>металу</w:t>
      </w:r>
      <w:r w:rsidRPr="000977F7">
        <w:rPr>
          <w:rFonts w:asciiTheme="majorHAnsi" w:hAnsiTheme="majorHAnsi"/>
          <w:spacing w:val="1"/>
          <w:sz w:val="20"/>
          <w:szCs w:val="20"/>
        </w:rPr>
        <w:t xml:space="preserve"> </w:t>
      </w:r>
    </w:p>
    <w:p w14:paraId="4E6E8336"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00AC833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ПОТЕНЦІАЛ</w:t>
      </w:r>
      <w:r w:rsidRPr="000977F7">
        <w:rPr>
          <w:color w:val="auto"/>
          <w:spacing w:val="-4"/>
          <w:sz w:val="20"/>
          <w:szCs w:val="20"/>
        </w:rPr>
        <w:t xml:space="preserve"> </w:t>
      </w:r>
      <w:r w:rsidRPr="000977F7">
        <w:rPr>
          <w:color w:val="auto"/>
          <w:sz w:val="20"/>
          <w:szCs w:val="20"/>
        </w:rPr>
        <w:t>ПОВНОЇ</w:t>
      </w:r>
      <w:r w:rsidRPr="000977F7">
        <w:rPr>
          <w:color w:val="auto"/>
          <w:spacing w:val="-5"/>
          <w:sz w:val="20"/>
          <w:szCs w:val="20"/>
        </w:rPr>
        <w:t xml:space="preserve"> </w:t>
      </w:r>
      <w:r w:rsidRPr="000977F7">
        <w:rPr>
          <w:color w:val="auto"/>
          <w:sz w:val="20"/>
          <w:szCs w:val="20"/>
        </w:rPr>
        <w:t>ПАСИВАЦІЇ</w:t>
      </w:r>
      <w:r w:rsidRPr="000977F7">
        <w:rPr>
          <w:color w:val="auto"/>
          <w:spacing w:val="-3"/>
          <w:sz w:val="20"/>
          <w:szCs w:val="20"/>
        </w:rPr>
        <w:t xml:space="preserve"> </w:t>
      </w:r>
      <w:r w:rsidRPr="000977F7">
        <w:rPr>
          <w:color w:val="auto"/>
          <w:sz w:val="20"/>
          <w:szCs w:val="20"/>
        </w:rPr>
        <w:t>—</w:t>
      </w:r>
    </w:p>
    <w:p w14:paraId="753296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Потенціал, що зумовлює виникнення пасивного стану </w:t>
      </w:r>
      <w:r w:rsidRPr="000977F7">
        <w:rPr>
          <w:rFonts w:asciiTheme="majorHAnsi" w:hAnsiTheme="majorHAnsi"/>
          <w:spacing w:val="-47"/>
          <w:sz w:val="20"/>
          <w:szCs w:val="20"/>
        </w:rPr>
        <w:t xml:space="preserve"> </w:t>
      </w:r>
      <w:r w:rsidRPr="000977F7">
        <w:rPr>
          <w:rFonts w:asciiTheme="majorHAnsi" w:hAnsiTheme="majorHAnsi"/>
          <w:sz w:val="20"/>
          <w:szCs w:val="20"/>
        </w:rPr>
        <w:t>металу</w:t>
      </w:r>
    </w:p>
    <w:p w14:paraId="30CBE99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19CDB48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ПОТЕНЦІАЛ</w:t>
      </w:r>
      <w:r w:rsidRPr="000977F7">
        <w:rPr>
          <w:color w:val="auto"/>
          <w:spacing w:val="-5"/>
          <w:sz w:val="20"/>
          <w:szCs w:val="20"/>
        </w:rPr>
        <w:t xml:space="preserve"> </w:t>
      </w:r>
      <w:r w:rsidRPr="000977F7">
        <w:rPr>
          <w:color w:val="auto"/>
          <w:sz w:val="20"/>
          <w:szCs w:val="20"/>
        </w:rPr>
        <w:t>ПОЧАТКУ</w:t>
      </w:r>
      <w:r w:rsidRPr="000977F7">
        <w:rPr>
          <w:color w:val="auto"/>
          <w:spacing w:val="-2"/>
          <w:sz w:val="20"/>
          <w:szCs w:val="20"/>
        </w:rPr>
        <w:t xml:space="preserve"> </w:t>
      </w:r>
      <w:r w:rsidRPr="000977F7">
        <w:rPr>
          <w:color w:val="auto"/>
          <w:sz w:val="20"/>
          <w:szCs w:val="20"/>
        </w:rPr>
        <w:t>ПАСИВАЦІЇ</w:t>
      </w:r>
      <w:r w:rsidRPr="000977F7">
        <w:rPr>
          <w:color w:val="auto"/>
          <w:spacing w:val="-4"/>
          <w:sz w:val="20"/>
          <w:szCs w:val="20"/>
        </w:rPr>
        <w:t xml:space="preserve"> </w:t>
      </w:r>
      <w:r w:rsidRPr="000977F7">
        <w:rPr>
          <w:color w:val="auto"/>
          <w:sz w:val="20"/>
          <w:szCs w:val="20"/>
        </w:rPr>
        <w:t>—</w:t>
      </w:r>
    </w:p>
    <w:p w14:paraId="0392808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Потенціал переходу металу від стану активного анодного розчинення</w:t>
      </w:r>
      <w:r w:rsidRPr="000977F7">
        <w:rPr>
          <w:rFonts w:asciiTheme="majorHAnsi" w:hAnsiTheme="majorHAnsi"/>
          <w:spacing w:val="-2"/>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активно-пасивного стану</w:t>
      </w:r>
    </w:p>
    <w:p w14:paraId="2658547E"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25AE1CC6"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ПОТЕНЦІАЛЬНИЙ СИГНАЛ –</w:t>
      </w:r>
      <w:r w:rsidRPr="000977F7">
        <w:rPr>
          <w:rFonts w:asciiTheme="majorHAnsi" w:hAnsiTheme="majorHAnsi"/>
          <w:b/>
          <w:spacing w:val="-47"/>
          <w:sz w:val="20"/>
          <w:szCs w:val="20"/>
        </w:rPr>
        <w:t xml:space="preserve"> </w:t>
      </w:r>
    </w:p>
    <w:p w14:paraId="239297D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POTENTIAL</w:t>
      </w:r>
      <w:r w:rsidRPr="000977F7">
        <w:rPr>
          <w:rFonts w:asciiTheme="majorHAnsi" w:hAnsiTheme="majorHAnsi"/>
          <w:spacing w:val="-3"/>
          <w:sz w:val="20"/>
          <w:szCs w:val="20"/>
        </w:rPr>
        <w:t xml:space="preserve"> </w:t>
      </w:r>
      <w:r w:rsidRPr="000977F7">
        <w:rPr>
          <w:rFonts w:asciiTheme="majorHAnsi" w:hAnsiTheme="majorHAnsi"/>
          <w:sz w:val="20"/>
          <w:szCs w:val="20"/>
        </w:rPr>
        <w:t>SIGNAL –</w:t>
      </w:r>
    </w:p>
    <w:p w14:paraId="49D810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w:t>
      </w:r>
      <w:r w:rsidRPr="000977F7">
        <w:rPr>
          <w:rFonts w:asciiTheme="majorHAnsi" w:hAnsiTheme="majorHAnsi"/>
          <w:spacing w:val="1"/>
          <w:sz w:val="20"/>
          <w:szCs w:val="20"/>
        </w:rPr>
        <w:t xml:space="preserve"> </w:t>
      </w:r>
      <w:r w:rsidRPr="000977F7">
        <w:rPr>
          <w:rFonts w:asciiTheme="majorHAnsi" w:hAnsiTheme="majorHAnsi"/>
          <w:sz w:val="20"/>
          <w:szCs w:val="20"/>
        </w:rPr>
        <w:t>у вигляді</w:t>
      </w:r>
      <w:r w:rsidRPr="000977F7">
        <w:rPr>
          <w:rFonts w:asciiTheme="majorHAnsi" w:hAnsiTheme="majorHAnsi"/>
          <w:spacing w:val="1"/>
          <w:sz w:val="20"/>
          <w:szCs w:val="20"/>
        </w:rPr>
        <w:t xml:space="preserve"> </w:t>
      </w:r>
      <w:r w:rsidRPr="000977F7">
        <w:rPr>
          <w:rFonts w:asciiTheme="majorHAnsi" w:hAnsiTheme="majorHAnsi"/>
          <w:sz w:val="20"/>
          <w:szCs w:val="20"/>
        </w:rPr>
        <w:t>неперервного</w:t>
      </w:r>
      <w:r w:rsidRPr="000977F7">
        <w:rPr>
          <w:rFonts w:asciiTheme="majorHAnsi" w:hAnsiTheme="majorHAnsi"/>
          <w:spacing w:val="1"/>
          <w:sz w:val="20"/>
          <w:szCs w:val="20"/>
        </w:rPr>
        <w:t xml:space="preserve"> </w:t>
      </w:r>
      <w:r w:rsidRPr="000977F7">
        <w:rPr>
          <w:rFonts w:asciiTheme="majorHAnsi" w:hAnsiTheme="majorHAnsi"/>
          <w:sz w:val="20"/>
          <w:szCs w:val="20"/>
        </w:rPr>
        <w:t>діяння, інформативним</w:t>
      </w:r>
      <w:r w:rsidRPr="000977F7">
        <w:rPr>
          <w:rFonts w:asciiTheme="majorHAnsi" w:hAnsiTheme="majorHAnsi"/>
          <w:spacing w:val="1"/>
          <w:sz w:val="20"/>
          <w:szCs w:val="20"/>
        </w:rPr>
        <w:t xml:space="preserve"> </w:t>
      </w:r>
      <w:r w:rsidRPr="000977F7">
        <w:rPr>
          <w:rFonts w:asciiTheme="majorHAnsi" w:hAnsiTheme="majorHAnsi"/>
          <w:sz w:val="20"/>
          <w:szCs w:val="20"/>
        </w:rPr>
        <w:t>параметром</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дієвої</w:t>
      </w:r>
      <w:r w:rsidRPr="000977F7">
        <w:rPr>
          <w:rFonts w:asciiTheme="majorHAnsi" w:hAnsiTheme="majorHAnsi"/>
          <w:spacing w:val="50"/>
          <w:sz w:val="20"/>
          <w:szCs w:val="20"/>
        </w:rPr>
        <w:t xml:space="preserve"> </w:t>
      </w:r>
      <w:r w:rsidRPr="000977F7">
        <w:rPr>
          <w:rFonts w:asciiTheme="majorHAnsi" w:hAnsiTheme="majorHAnsi"/>
          <w:sz w:val="20"/>
          <w:szCs w:val="20"/>
        </w:rPr>
        <w:t>(постійної</w:t>
      </w:r>
      <w:r w:rsidRPr="000977F7">
        <w:rPr>
          <w:rFonts w:asciiTheme="majorHAnsi" w:hAnsiTheme="majorHAnsi"/>
          <w:spacing w:val="-47"/>
          <w:sz w:val="20"/>
          <w:szCs w:val="20"/>
        </w:rPr>
        <w:t xml:space="preserve"> </w:t>
      </w:r>
      <w:r w:rsidRPr="000977F7">
        <w:rPr>
          <w:rFonts w:asciiTheme="majorHAnsi" w:hAnsiTheme="majorHAnsi"/>
          <w:sz w:val="20"/>
          <w:szCs w:val="20"/>
        </w:rPr>
        <w:t>або змінної) фізичної</w:t>
      </w:r>
      <w:r w:rsidRPr="000977F7">
        <w:rPr>
          <w:rFonts w:asciiTheme="majorHAnsi" w:hAnsiTheme="majorHAnsi"/>
          <w:spacing w:val="-2"/>
          <w:sz w:val="20"/>
          <w:szCs w:val="20"/>
        </w:rPr>
        <w:t xml:space="preserve"> </w:t>
      </w:r>
      <w:r w:rsidRPr="000977F7">
        <w:rPr>
          <w:rFonts w:asciiTheme="majorHAnsi" w:hAnsiTheme="majorHAnsi"/>
          <w:sz w:val="20"/>
          <w:szCs w:val="20"/>
        </w:rPr>
        <w:t>величини</w:t>
      </w:r>
    </w:p>
    <w:p w14:paraId="0110736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6F27364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ПОТЕНЦІЙНИЙ</w:t>
      </w:r>
      <w:r w:rsidRPr="000977F7">
        <w:rPr>
          <w:color w:val="auto"/>
          <w:spacing w:val="-3"/>
          <w:sz w:val="20"/>
          <w:szCs w:val="20"/>
        </w:rPr>
        <w:t xml:space="preserve"> </w:t>
      </w:r>
      <w:r w:rsidRPr="000977F7">
        <w:rPr>
          <w:color w:val="auto"/>
          <w:sz w:val="20"/>
          <w:szCs w:val="20"/>
        </w:rPr>
        <w:t>ПОПИТ</w:t>
      </w:r>
      <w:r w:rsidRPr="000977F7">
        <w:rPr>
          <w:color w:val="auto"/>
          <w:spacing w:val="-2"/>
          <w:sz w:val="20"/>
          <w:szCs w:val="20"/>
        </w:rPr>
        <w:t xml:space="preserve"> </w:t>
      </w:r>
      <w:r w:rsidRPr="000977F7">
        <w:rPr>
          <w:color w:val="auto"/>
          <w:sz w:val="20"/>
          <w:szCs w:val="20"/>
        </w:rPr>
        <w:t>–</w:t>
      </w:r>
    </w:p>
    <w:p w14:paraId="4E5A9D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Попит, який визначається купівельною спроможністю</w:t>
      </w:r>
      <w:r w:rsidRPr="000977F7">
        <w:rPr>
          <w:rFonts w:asciiTheme="majorHAnsi" w:hAnsiTheme="majorHAnsi"/>
          <w:spacing w:val="-47"/>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кількістю потенційних</w:t>
      </w:r>
      <w:r w:rsidRPr="000977F7">
        <w:rPr>
          <w:rFonts w:asciiTheme="majorHAnsi" w:hAnsiTheme="majorHAnsi"/>
          <w:spacing w:val="-2"/>
          <w:sz w:val="20"/>
          <w:szCs w:val="20"/>
        </w:rPr>
        <w:t xml:space="preserve"> </w:t>
      </w:r>
      <w:r w:rsidRPr="000977F7">
        <w:rPr>
          <w:rFonts w:asciiTheme="majorHAnsi" w:hAnsiTheme="majorHAnsi"/>
          <w:sz w:val="20"/>
          <w:szCs w:val="20"/>
        </w:rPr>
        <w:t>споживачів</w:t>
      </w:r>
    </w:p>
    <w:p w14:paraId="0566D25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4A14AF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ПОТЕНЦІЙНО НЕБЕЗПЕЧНЕ</w:t>
      </w:r>
      <w:r w:rsidRPr="000977F7">
        <w:rPr>
          <w:color w:val="auto"/>
          <w:spacing w:val="-47"/>
          <w:sz w:val="20"/>
          <w:szCs w:val="20"/>
        </w:rPr>
        <w:t xml:space="preserve"> </w:t>
      </w:r>
      <w:r w:rsidRPr="000977F7">
        <w:rPr>
          <w:color w:val="auto"/>
          <w:sz w:val="20"/>
          <w:szCs w:val="20"/>
        </w:rPr>
        <w:t>ПІДПРИЄМСТВО</w:t>
      </w:r>
      <w:r w:rsidRPr="000977F7">
        <w:rPr>
          <w:color w:val="auto"/>
          <w:spacing w:val="2"/>
          <w:sz w:val="20"/>
          <w:szCs w:val="20"/>
        </w:rPr>
        <w:t xml:space="preserve"> </w:t>
      </w:r>
      <w:r w:rsidRPr="000977F7">
        <w:rPr>
          <w:color w:val="auto"/>
          <w:sz w:val="20"/>
          <w:szCs w:val="20"/>
        </w:rPr>
        <w:t>—</w:t>
      </w:r>
    </w:p>
    <w:p w14:paraId="4AC6F33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Промислове підприємство, що використовує в своїй</w:t>
      </w:r>
      <w:r w:rsidRPr="000977F7">
        <w:rPr>
          <w:rFonts w:asciiTheme="majorHAnsi" w:hAnsiTheme="majorHAnsi"/>
          <w:spacing w:val="1"/>
          <w:sz w:val="20"/>
          <w:szCs w:val="20"/>
        </w:rPr>
        <w:t xml:space="preserve"> </w:t>
      </w:r>
      <w:r w:rsidRPr="000977F7">
        <w:rPr>
          <w:rFonts w:asciiTheme="majorHAnsi" w:hAnsiTheme="majorHAnsi"/>
          <w:sz w:val="20"/>
          <w:szCs w:val="20"/>
        </w:rPr>
        <w:t>діяльності або має на своїй території потенційно небе</w:t>
      </w:r>
      <w:r w:rsidRPr="000977F7">
        <w:rPr>
          <w:rFonts w:asciiTheme="majorHAnsi" w:hAnsiTheme="majorHAnsi"/>
          <w:spacing w:val="-47"/>
          <w:sz w:val="20"/>
          <w:szCs w:val="20"/>
        </w:rPr>
        <w:t xml:space="preserve"> </w:t>
      </w:r>
      <w:r w:rsidRPr="000977F7">
        <w:rPr>
          <w:rFonts w:asciiTheme="majorHAnsi" w:hAnsiTheme="majorHAnsi"/>
          <w:sz w:val="20"/>
          <w:szCs w:val="20"/>
        </w:rPr>
        <w:t>зпечні</w:t>
      </w:r>
      <w:r w:rsidRPr="000977F7">
        <w:rPr>
          <w:rFonts w:asciiTheme="majorHAnsi" w:hAnsiTheme="majorHAnsi"/>
          <w:spacing w:val="-2"/>
          <w:sz w:val="20"/>
          <w:szCs w:val="20"/>
        </w:rPr>
        <w:t xml:space="preserve"> </w:t>
      </w:r>
      <w:r w:rsidRPr="000977F7">
        <w:rPr>
          <w:rFonts w:asciiTheme="majorHAnsi" w:hAnsiTheme="majorHAnsi"/>
          <w:sz w:val="20"/>
          <w:szCs w:val="20"/>
        </w:rPr>
        <w:t>об'єкти</w:t>
      </w:r>
    </w:p>
    <w:p w14:paraId="4D6DC2B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06D3239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ПОТЕНЦІЙНО</w:t>
      </w:r>
      <w:r w:rsidRPr="000977F7">
        <w:rPr>
          <w:color w:val="auto"/>
          <w:spacing w:val="-4"/>
          <w:sz w:val="20"/>
          <w:szCs w:val="20"/>
        </w:rPr>
        <w:t xml:space="preserve"> </w:t>
      </w:r>
      <w:r w:rsidRPr="000977F7">
        <w:rPr>
          <w:color w:val="auto"/>
          <w:sz w:val="20"/>
          <w:szCs w:val="20"/>
        </w:rPr>
        <w:t>НЕБЕЗПЕЧНИЙ</w:t>
      </w:r>
      <w:r w:rsidRPr="000977F7">
        <w:rPr>
          <w:color w:val="auto"/>
          <w:spacing w:val="-4"/>
          <w:sz w:val="20"/>
          <w:szCs w:val="20"/>
        </w:rPr>
        <w:t xml:space="preserve"> </w:t>
      </w:r>
      <w:r w:rsidRPr="000977F7">
        <w:rPr>
          <w:color w:val="auto"/>
          <w:sz w:val="20"/>
          <w:szCs w:val="20"/>
        </w:rPr>
        <w:t>ОБ'ЄКТ</w:t>
      </w:r>
      <w:r w:rsidRPr="000977F7">
        <w:rPr>
          <w:color w:val="auto"/>
          <w:spacing w:val="-5"/>
          <w:sz w:val="20"/>
          <w:szCs w:val="20"/>
        </w:rPr>
        <w:t xml:space="preserve"> </w:t>
      </w:r>
      <w:r w:rsidRPr="000977F7">
        <w:rPr>
          <w:color w:val="auto"/>
          <w:sz w:val="20"/>
          <w:szCs w:val="20"/>
        </w:rPr>
        <w:t>–</w:t>
      </w:r>
    </w:p>
    <w:p w14:paraId="6D086A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Будь-яке джерело потенційної шкоди життєво важливим інтересам</w:t>
      </w:r>
      <w:r w:rsidRPr="000977F7">
        <w:rPr>
          <w:rFonts w:asciiTheme="majorHAnsi" w:hAnsiTheme="majorHAnsi"/>
          <w:spacing w:val="1"/>
          <w:sz w:val="20"/>
          <w:szCs w:val="20"/>
        </w:rPr>
        <w:t xml:space="preserve"> </w:t>
      </w:r>
      <w:r w:rsidRPr="000977F7">
        <w:rPr>
          <w:rFonts w:asciiTheme="majorHAnsi" w:hAnsiTheme="majorHAnsi"/>
          <w:sz w:val="20"/>
          <w:szCs w:val="20"/>
        </w:rPr>
        <w:t>людини</w:t>
      </w:r>
    </w:p>
    <w:p w14:paraId="76D7C3F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2156</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93</w:t>
      </w:r>
    </w:p>
    <w:p w14:paraId="4E86A51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ПОТІК</w:t>
      </w:r>
      <w:r w:rsidRPr="000977F7">
        <w:rPr>
          <w:color w:val="auto"/>
          <w:spacing w:val="-4"/>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1E7837A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FLOW</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PRODUCTS –</w:t>
      </w:r>
    </w:p>
    <w:p w14:paraId="04FBC2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одиниць продукції, які перебувають в русі</w:t>
      </w:r>
      <w:r w:rsidRPr="000977F7">
        <w:rPr>
          <w:rFonts w:asciiTheme="majorHAnsi" w:hAnsiTheme="majorHAnsi"/>
          <w:spacing w:val="-47"/>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технічному</w:t>
      </w:r>
      <w:r w:rsidRPr="000977F7">
        <w:rPr>
          <w:rFonts w:asciiTheme="majorHAnsi" w:hAnsiTheme="majorHAnsi"/>
          <w:spacing w:val="-4"/>
          <w:sz w:val="20"/>
          <w:szCs w:val="20"/>
        </w:rPr>
        <w:t xml:space="preserve"> </w:t>
      </w:r>
      <w:r w:rsidRPr="000977F7">
        <w:rPr>
          <w:rFonts w:asciiTheme="majorHAnsi" w:hAnsiTheme="majorHAnsi"/>
          <w:sz w:val="20"/>
          <w:szCs w:val="20"/>
        </w:rPr>
        <w:t>процесі</w:t>
      </w:r>
    </w:p>
    <w:p w14:paraId="495DE73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327C4E9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ПОТОКОВА</w:t>
      </w:r>
      <w:r w:rsidRPr="000977F7">
        <w:rPr>
          <w:color w:val="auto"/>
          <w:spacing w:val="-4"/>
          <w:sz w:val="20"/>
          <w:szCs w:val="20"/>
        </w:rPr>
        <w:t xml:space="preserve"> </w:t>
      </w:r>
      <w:r w:rsidRPr="000977F7">
        <w:rPr>
          <w:color w:val="auto"/>
          <w:sz w:val="20"/>
          <w:szCs w:val="20"/>
        </w:rPr>
        <w:t>ЛІНІЯ</w:t>
      </w:r>
      <w:r w:rsidRPr="000977F7">
        <w:rPr>
          <w:color w:val="auto"/>
          <w:spacing w:val="-2"/>
          <w:sz w:val="20"/>
          <w:szCs w:val="20"/>
        </w:rPr>
        <w:t xml:space="preserve"> </w:t>
      </w:r>
      <w:r w:rsidRPr="000977F7">
        <w:rPr>
          <w:color w:val="auto"/>
          <w:sz w:val="20"/>
          <w:szCs w:val="20"/>
        </w:rPr>
        <w:t>–</w:t>
      </w:r>
    </w:p>
    <w:p w14:paraId="65DF21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Виробнича дільниця, оснащена сукупністю машин і</w:t>
      </w:r>
      <w:r w:rsidRPr="000977F7">
        <w:rPr>
          <w:rFonts w:asciiTheme="majorHAnsi" w:hAnsiTheme="majorHAnsi"/>
          <w:spacing w:val="1"/>
          <w:sz w:val="20"/>
          <w:szCs w:val="20"/>
        </w:rPr>
        <w:t xml:space="preserve"> </w:t>
      </w:r>
      <w:r w:rsidRPr="000977F7">
        <w:rPr>
          <w:rFonts w:asciiTheme="majorHAnsi" w:hAnsiTheme="majorHAnsi"/>
          <w:sz w:val="20"/>
          <w:szCs w:val="20"/>
        </w:rPr>
        <w:t>механізмів,</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призначених</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певної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встановлених</w:t>
      </w:r>
      <w:r w:rsidRPr="000977F7">
        <w:rPr>
          <w:rFonts w:asciiTheme="majorHAnsi" w:hAnsiTheme="majorHAnsi"/>
          <w:spacing w:val="1"/>
          <w:sz w:val="20"/>
          <w:szCs w:val="20"/>
        </w:rPr>
        <w:t xml:space="preserve"> </w:t>
      </w:r>
      <w:r w:rsidRPr="000977F7">
        <w:rPr>
          <w:rFonts w:asciiTheme="majorHAnsi" w:hAnsiTheme="majorHAnsi"/>
          <w:sz w:val="20"/>
          <w:szCs w:val="20"/>
        </w:rPr>
        <w:t>згідно</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послідовністю</w:t>
      </w:r>
      <w:r w:rsidRPr="000977F7">
        <w:rPr>
          <w:rFonts w:asciiTheme="majorHAnsi" w:hAnsiTheme="majorHAnsi"/>
          <w:spacing w:val="1"/>
          <w:sz w:val="20"/>
          <w:szCs w:val="20"/>
        </w:rPr>
        <w:t xml:space="preserve"> </w:t>
      </w:r>
      <w:r w:rsidRPr="000977F7">
        <w:rPr>
          <w:rFonts w:asciiTheme="majorHAnsi" w:hAnsiTheme="majorHAnsi"/>
          <w:sz w:val="20"/>
          <w:szCs w:val="20"/>
        </w:rPr>
        <w:t>операцій технологічного процесу, що виконується із</w:t>
      </w:r>
      <w:r w:rsidRPr="000977F7">
        <w:rPr>
          <w:rFonts w:asciiTheme="majorHAnsi" w:hAnsiTheme="majorHAnsi"/>
          <w:spacing w:val="1"/>
          <w:sz w:val="20"/>
          <w:szCs w:val="20"/>
        </w:rPr>
        <w:t xml:space="preserve"> </w:t>
      </w:r>
      <w:r w:rsidRPr="000977F7">
        <w:rPr>
          <w:rFonts w:asciiTheme="majorHAnsi" w:hAnsiTheme="majorHAnsi"/>
          <w:sz w:val="20"/>
          <w:szCs w:val="20"/>
        </w:rPr>
        <w:t>заданим ритмом</w:t>
      </w:r>
    </w:p>
    <w:p w14:paraId="3C09FD3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64416B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ПОТОКОВЕ</w:t>
      </w:r>
      <w:r w:rsidRPr="000977F7">
        <w:rPr>
          <w:color w:val="auto"/>
          <w:spacing w:val="-5"/>
          <w:sz w:val="20"/>
          <w:szCs w:val="20"/>
        </w:rPr>
        <w:t xml:space="preserve"> </w:t>
      </w:r>
      <w:r w:rsidRPr="000977F7">
        <w:rPr>
          <w:color w:val="auto"/>
          <w:sz w:val="20"/>
          <w:szCs w:val="20"/>
        </w:rPr>
        <w:t>ВИРОБНИЦТВО</w:t>
      </w:r>
      <w:r w:rsidRPr="000977F7">
        <w:rPr>
          <w:color w:val="auto"/>
          <w:spacing w:val="-1"/>
          <w:sz w:val="20"/>
          <w:szCs w:val="20"/>
        </w:rPr>
        <w:t xml:space="preserve"> </w:t>
      </w:r>
      <w:r w:rsidRPr="000977F7">
        <w:rPr>
          <w:color w:val="auto"/>
          <w:sz w:val="20"/>
          <w:szCs w:val="20"/>
        </w:rPr>
        <w:t>–</w:t>
      </w:r>
    </w:p>
    <w:p w14:paraId="5D27A43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Виробництво, що характеризується розміщенням засобів</w:t>
      </w:r>
      <w:r w:rsidRPr="000977F7">
        <w:rPr>
          <w:rFonts w:asciiTheme="majorHAnsi" w:hAnsiTheme="majorHAnsi"/>
          <w:spacing w:val="23"/>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24"/>
          <w:sz w:val="20"/>
          <w:szCs w:val="20"/>
        </w:rPr>
        <w:t xml:space="preserve"> </w:t>
      </w:r>
      <w:r w:rsidRPr="000977F7">
        <w:rPr>
          <w:rFonts w:asciiTheme="majorHAnsi" w:hAnsiTheme="majorHAnsi"/>
          <w:sz w:val="20"/>
          <w:szCs w:val="20"/>
        </w:rPr>
        <w:t>спорядження</w:t>
      </w:r>
      <w:r w:rsidRPr="000977F7">
        <w:rPr>
          <w:rFonts w:asciiTheme="majorHAnsi" w:hAnsiTheme="majorHAnsi"/>
          <w:spacing w:val="23"/>
          <w:sz w:val="20"/>
          <w:szCs w:val="20"/>
        </w:rPr>
        <w:t xml:space="preserve"> </w:t>
      </w:r>
      <w:r w:rsidRPr="000977F7">
        <w:rPr>
          <w:rFonts w:asciiTheme="majorHAnsi" w:hAnsiTheme="majorHAnsi"/>
          <w:sz w:val="20"/>
          <w:szCs w:val="20"/>
        </w:rPr>
        <w:t>послідовно</w:t>
      </w:r>
      <w:r w:rsidRPr="000977F7">
        <w:rPr>
          <w:rFonts w:asciiTheme="majorHAnsi" w:hAnsiTheme="majorHAnsi"/>
          <w:spacing w:val="24"/>
          <w:sz w:val="20"/>
          <w:szCs w:val="20"/>
        </w:rPr>
        <w:t xml:space="preserve"> </w:t>
      </w:r>
      <w:r w:rsidRPr="000977F7">
        <w:rPr>
          <w:rFonts w:asciiTheme="majorHAnsi" w:hAnsiTheme="majorHAnsi"/>
          <w:sz w:val="20"/>
          <w:szCs w:val="20"/>
        </w:rPr>
        <w:t>до</w:t>
      </w:r>
      <w:r w:rsidRPr="000977F7">
        <w:rPr>
          <w:rFonts w:asciiTheme="majorHAnsi" w:hAnsiTheme="majorHAnsi"/>
          <w:spacing w:val="24"/>
          <w:sz w:val="20"/>
          <w:szCs w:val="20"/>
        </w:rPr>
        <w:t xml:space="preserve"> </w:t>
      </w:r>
      <w:r w:rsidRPr="000977F7">
        <w:rPr>
          <w:rFonts w:asciiTheme="majorHAnsi" w:hAnsiTheme="majorHAnsi"/>
          <w:sz w:val="20"/>
          <w:szCs w:val="20"/>
        </w:rPr>
        <w:t>ви-конання операцій технологічного процесу та визначеним періодом</w:t>
      </w:r>
      <w:r w:rsidRPr="000977F7">
        <w:rPr>
          <w:rFonts w:asciiTheme="majorHAnsi" w:hAnsiTheme="majorHAnsi"/>
          <w:spacing w:val="1"/>
          <w:sz w:val="20"/>
          <w:szCs w:val="20"/>
        </w:rPr>
        <w:t xml:space="preserve"> </w:t>
      </w:r>
      <w:r w:rsidRPr="000977F7">
        <w:rPr>
          <w:rFonts w:asciiTheme="majorHAnsi" w:hAnsiTheme="majorHAnsi"/>
          <w:sz w:val="20"/>
          <w:szCs w:val="20"/>
        </w:rPr>
        <w:t>випуску</w:t>
      </w:r>
      <w:r w:rsidRPr="000977F7">
        <w:rPr>
          <w:rFonts w:asciiTheme="majorHAnsi" w:hAnsiTheme="majorHAnsi"/>
          <w:spacing w:val="-2"/>
          <w:sz w:val="20"/>
          <w:szCs w:val="20"/>
        </w:rPr>
        <w:t xml:space="preserve"> </w:t>
      </w:r>
      <w:r w:rsidRPr="000977F7">
        <w:rPr>
          <w:rFonts w:asciiTheme="majorHAnsi" w:hAnsiTheme="majorHAnsi"/>
          <w:sz w:val="20"/>
          <w:szCs w:val="20"/>
        </w:rPr>
        <w:t>виробів</w:t>
      </w:r>
    </w:p>
    <w:p w14:paraId="54D303D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E46CAE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ПОТОЧНА КІЛЬКІСТЬ ЦИКЛІВ </w:t>
      </w:r>
    </w:p>
    <w:p w14:paraId="3CE31FE4"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НАВАНТАЖУ</w:t>
      </w:r>
      <w:r w:rsidRPr="000977F7">
        <w:rPr>
          <w:color w:val="auto"/>
          <w:spacing w:val="-47"/>
          <w:sz w:val="20"/>
          <w:szCs w:val="20"/>
        </w:rPr>
        <w:t xml:space="preserve"> </w:t>
      </w:r>
      <w:r w:rsidRPr="000977F7">
        <w:rPr>
          <w:color w:val="auto"/>
          <w:sz w:val="20"/>
          <w:szCs w:val="20"/>
        </w:rPr>
        <w:t>ВАННЯ</w:t>
      </w:r>
      <w:r w:rsidRPr="000977F7">
        <w:rPr>
          <w:b w:val="0"/>
          <w:color w:val="auto"/>
          <w:sz w:val="20"/>
          <w:szCs w:val="20"/>
        </w:rPr>
        <w:t xml:space="preserve">, </w:t>
      </w:r>
      <w:r w:rsidRPr="000977F7">
        <w:rPr>
          <w:i/>
          <w:color w:val="auto"/>
          <w:sz w:val="20"/>
          <w:szCs w:val="20"/>
        </w:rPr>
        <w:t xml:space="preserve">n </w:t>
      </w:r>
      <w:r w:rsidRPr="000977F7">
        <w:rPr>
          <w:b w:val="0"/>
          <w:color w:val="auto"/>
          <w:sz w:val="20"/>
          <w:szCs w:val="20"/>
        </w:rPr>
        <w:t>—</w:t>
      </w:r>
    </w:p>
    <w:p w14:paraId="704B401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NUMBER</w:t>
      </w:r>
      <w:r w:rsidRPr="004D2D14">
        <w:rPr>
          <w:rFonts w:asciiTheme="majorHAnsi" w:hAnsiTheme="majorHAnsi"/>
          <w:spacing w:val="-3"/>
          <w:sz w:val="20"/>
          <w:szCs w:val="20"/>
          <w:lang w:val="uk-UA"/>
        </w:rPr>
        <w:t xml:space="preserve"> </w:t>
      </w:r>
      <w:r w:rsidRPr="000977F7">
        <w:rPr>
          <w:rFonts w:asciiTheme="majorHAnsi" w:hAnsiTheme="majorHAnsi"/>
          <w:sz w:val="20"/>
          <w:szCs w:val="20"/>
        </w:rPr>
        <w:t>OF</w:t>
      </w:r>
      <w:r w:rsidRPr="004D2D14">
        <w:rPr>
          <w:rFonts w:asciiTheme="majorHAnsi" w:hAnsiTheme="majorHAnsi"/>
          <w:spacing w:val="-3"/>
          <w:sz w:val="20"/>
          <w:szCs w:val="20"/>
          <w:lang w:val="uk-UA"/>
        </w:rPr>
        <w:t xml:space="preserve"> </w:t>
      </w:r>
      <w:r w:rsidRPr="000977F7">
        <w:rPr>
          <w:rFonts w:asciiTheme="majorHAnsi" w:hAnsiTheme="majorHAnsi"/>
          <w:sz w:val="20"/>
          <w:szCs w:val="20"/>
        </w:rPr>
        <w:t>CYCLES</w:t>
      </w:r>
      <w:r w:rsidRPr="004D2D14">
        <w:rPr>
          <w:rFonts w:asciiTheme="majorHAnsi" w:hAnsiTheme="majorHAnsi"/>
          <w:sz w:val="20"/>
          <w:szCs w:val="20"/>
          <w:lang w:val="uk-UA"/>
        </w:rPr>
        <w:t xml:space="preserve"> –</w:t>
      </w:r>
    </w:p>
    <w:p w14:paraId="11E6E9D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Кількість циклів напруження чи деформації, витриманих навантажуваним об'єктом до даного моменту випробувань</w:t>
      </w:r>
    </w:p>
    <w:p w14:paraId="62A64A4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07B755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ПОТОЧНИЙ</w:t>
      </w:r>
      <w:r w:rsidRPr="000977F7">
        <w:rPr>
          <w:color w:val="auto"/>
          <w:spacing w:val="46"/>
          <w:sz w:val="20"/>
          <w:szCs w:val="20"/>
        </w:rPr>
        <w:t xml:space="preserve"> </w:t>
      </w:r>
      <w:r w:rsidRPr="000977F7">
        <w:rPr>
          <w:color w:val="auto"/>
          <w:sz w:val="20"/>
          <w:szCs w:val="20"/>
        </w:rPr>
        <w:t>РЕМОНТ –</w:t>
      </w:r>
    </w:p>
    <w:p w14:paraId="3B510F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Вид</w:t>
      </w:r>
      <w:r w:rsidRPr="000977F7">
        <w:rPr>
          <w:rFonts w:asciiTheme="majorHAnsi" w:hAnsiTheme="majorHAnsi"/>
          <w:spacing w:val="1"/>
          <w:sz w:val="20"/>
          <w:szCs w:val="20"/>
        </w:rPr>
        <w:t xml:space="preserve"> </w:t>
      </w:r>
      <w:r w:rsidRPr="000977F7">
        <w:rPr>
          <w:rFonts w:asciiTheme="majorHAnsi" w:hAnsiTheme="majorHAnsi"/>
          <w:sz w:val="20"/>
          <w:szCs w:val="20"/>
        </w:rPr>
        <w:t>планового</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провадиться</w:t>
      </w:r>
      <w:r w:rsidRPr="000977F7">
        <w:rPr>
          <w:rFonts w:asciiTheme="majorHAnsi" w:hAnsiTheme="majorHAnsi"/>
          <w:spacing w:val="-47"/>
          <w:sz w:val="20"/>
          <w:szCs w:val="20"/>
        </w:rPr>
        <w:t xml:space="preserve"> </w:t>
      </w:r>
      <w:r w:rsidRPr="000977F7">
        <w:rPr>
          <w:rFonts w:asciiTheme="majorHAnsi" w:hAnsiTheme="majorHAnsi"/>
          <w:sz w:val="20"/>
          <w:szCs w:val="20"/>
        </w:rPr>
        <w:t>заміна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відновлення</w:t>
      </w:r>
      <w:r w:rsidRPr="000977F7">
        <w:rPr>
          <w:rFonts w:asciiTheme="majorHAnsi" w:hAnsiTheme="majorHAnsi"/>
          <w:spacing w:val="1"/>
          <w:sz w:val="20"/>
          <w:szCs w:val="20"/>
        </w:rPr>
        <w:t xml:space="preserve"> </w:t>
      </w:r>
      <w:r w:rsidRPr="000977F7">
        <w:rPr>
          <w:rFonts w:asciiTheme="majorHAnsi" w:hAnsiTheme="majorHAnsi"/>
          <w:sz w:val="20"/>
          <w:szCs w:val="20"/>
        </w:rPr>
        <w:t>окремих</w:t>
      </w:r>
      <w:r w:rsidRPr="000977F7">
        <w:rPr>
          <w:rFonts w:asciiTheme="majorHAnsi" w:hAnsiTheme="majorHAnsi"/>
          <w:spacing w:val="1"/>
          <w:sz w:val="20"/>
          <w:szCs w:val="20"/>
        </w:rPr>
        <w:t xml:space="preserve"> </w:t>
      </w:r>
      <w:r w:rsidRPr="000977F7">
        <w:rPr>
          <w:rFonts w:asciiTheme="majorHAnsi" w:hAnsiTheme="majorHAnsi"/>
          <w:sz w:val="20"/>
          <w:szCs w:val="20"/>
        </w:rPr>
        <w:t>зношених</w:t>
      </w:r>
      <w:r w:rsidRPr="000977F7">
        <w:rPr>
          <w:rFonts w:asciiTheme="majorHAnsi" w:hAnsiTheme="majorHAnsi"/>
          <w:spacing w:val="1"/>
          <w:sz w:val="20"/>
          <w:szCs w:val="20"/>
        </w:rPr>
        <w:t xml:space="preserve"> </w:t>
      </w:r>
      <w:r w:rsidRPr="000977F7">
        <w:rPr>
          <w:rFonts w:asciiTheme="majorHAnsi" w:hAnsiTheme="majorHAnsi"/>
          <w:sz w:val="20"/>
          <w:szCs w:val="20"/>
        </w:rPr>
        <w:t>деталей,</w:t>
      </w:r>
      <w:r w:rsidRPr="000977F7">
        <w:rPr>
          <w:rFonts w:asciiTheme="majorHAnsi" w:hAnsiTheme="majorHAnsi"/>
          <w:spacing w:val="1"/>
          <w:sz w:val="20"/>
          <w:szCs w:val="20"/>
        </w:rPr>
        <w:t xml:space="preserve"> </w:t>
      </w:r>
      <w:r w:rsidRPr="000977F7">
        <w:rPr>
          <w:rFonts w:asciiTheme="majorHAnsi" w:hAnsiTheme="majorHAnsi"/>
          <w:sz w:val="20"/>
          <w:szCs w:val="20"/>
        </w:rPr>
        <w:t>регулювання механізмів, які забезпечують нормальну</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експлуатацію устаткування до</w:t>
      </w:r>
      <w:r w:rsidRPr="000977F7">
        <w:rPr>
          <w:rFonts w:asciiTheme="majorHAnsi" w:hAnsiTheme="majorHAnsi"/>
          <w:spacing w:val="-2"/>
          <w:sz w:val="20"/>
          <w:szCs w:val="20"/>
        </w:rPr>
        <w:t xml:space="preserve"> </w:t>
      </w:r>
      <w:r w:rsidRPr="000977F7">
        <w:rPr>
          <w:rFonts w:asciiTheme="majorHAnsi" w:hAnsiTheme="majorHAnsi"/>
          <w:sz w:val="20"/>
          <w:szCs w:val="20"/>
        </w:rPr>
        <w:t>чергового</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p>
    <w:p w14:paraId="2FDCCC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4AFFFB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Поточний</w:t>
      </w:r>
      <w:r w:rsidRPr="000977F7">
        <w:rPr>
          <w:rFonts w:asciiTheme="majorHAnsi" w:hAnsiTheme="majorHAnsi"/>
          <w:spacing w:val="1"/>
          <w:sz w:val="20"/>
          <w:szCs w:val="20"/>
        </w:rPr>
        <w:t xml:space="preserve"> </w:t>
      </w:r>
      <w:r w:rsidRPr="000977F7">
        <w:rPr>
          <w:rFonts w:asciiTheme="majorHAnsi" w:hAnsiTheme="majorHAnsi"/>
          <w:sz w:val="20"/>
          <w:szCs w:val="20"/>
        </w:rPr>
        <w:t>ремонт</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середнім</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частковим</w:t>
      </w:r>
      <w:r w:rsidRPr="000977F7">
        <w:rPr>
          <w:rFonts w:asciiTheme="majorHAnsi" w:hAnsiTheme="majorHAnsi"/>
          <w:spacing w:val="-47"/>
          <w:sz w:val="20"/>
          <w:szCs w:val="20"/>
        </w:rPr>
        <w:t xml:space="preserve"> </w:t>
      </w:r>
      <w:r w:rsidRPr="000977F7">
        <w:rPr>
          <w:rFonts w:asciiTheme="majorHAnsi" w:hAnsiTheme="majorHAnsi"/>
          <w:sz w:val="20"/>
          <w:szCs w:val="20"/>
        </w:rPr>
        <w:t>демонтажем ремонтованого устаткування, та малим,</w:t>
      </w:r>
      <w:r w:rsidRPr="000977F7">
        <w:rPr>
          <w:rFonts w:asciiTheme="majorHAnsi" w:hAnsiTheme="majorHAnsi"/>
          <w:spacing w:val="1"/>
          <w:sz w:val="20"/>
          <w:szCs w:val="20"/>
        </w:rPr>
        <w:t xml:space="preserve"> </w:t>
      </w:r>
      <w:r w:rsidRPr="000977F7">
        <w:rPr>
          <w:rFonts w:asciiTheme="majorHAnsi" w:hAnsiTheme="majorHAnsi"/>
          <w:sz w:val="20"/>
          <w:szCs w:val="20"/>
        </w:rPr>
        <w:t>коли усувають дрібні</w:t>
      </w:r>
      <w:r w:rsidRPr="000977F7">
        <w:rPr>
          <w:rFonts w:asciiTheme="majorHAnsi" w:hAnsiTheme="majorHAnsi"/>
          <w:spacing w:val="-2"/>
          <w:sz w:val="20"/>
          <w:szCs w:val="20"/>
        </w:rPr>
        <w:t xml:space="preserve"> </w:t>
      </w:r>
      <w:r w:rsidRPr="000977F7">
        <w:rPr>
          <w:rFonts w:asciiTheme="majorHAnsi" w:hAnsiTheme="majorHAnsi"/>
          <w:sz w:val="20"/>
          <w:szCs w:val="20"/>
        </w:rPr>
        <w:t>несправності</w:t>
      </w:r>
    </w:p>
    <w:p w14:paraId="2EF1DD1C"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FBC358B"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ПОТРІБНИЙ</w:t>
      </w:r>
      <w:r w:rsidRPr="000977F7">
        <w:rPr>
          <w:rFonts w:asciiTheme="majorHAnsi" w:hAnsiTheme="majorHAnsi"/>
          <w:b/>
          <w:spacing w:val="1"/>
          <w:sz w:val="20"/>
          <w:szCs w:val="20"/>
        </w:rPr>
        <w:t xml:space="preserve"> </w:t>
      </w:r>
      <w:r w:rsidRPr="000977F7">
        <w:rPr>
          <w:rFonts w:asciiTheme="majorHAnsi" w:hAnsiTheme="majorHAnsi"/>
          <w:b/>
          <w:sz w:val="20"/>
          <w:szCs w:val="20"/>
        </w:rPr>
        <w:t>ЧАС</w:t>
      </w:r>
    </w:p>
    <w:p w14:paraId="425EDC1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REQUIRED</w:t>
      </w:r>
      <w:r w:rsidRPr="000977F7">
        <w:rPr>
          <w:rFonts w:asciiTheme="majorHAnsi" w:hAnsiTheme="majorHAnsi"/>
          <w:spacing w:val="49"/>
          <w:sz w:val="20"/>
          <w:szCs w:val="20"/>
        </w:rPr>
        <w:t xml:space="preserve"> </w:t>
      </w:r>
      <w:r w:rsidRPr="000977F7">
        <w:rPr>
          <w:rFonts w:asciiTheme="majorHAnsi" w:hAnsiTheme="majorHAnsi"/>
          <w:sz w:val="20"/>
          <w:szCs w:val="20"/>
        </w:rPr>
        <w:t>TIME-</w:t>
      </w:r>
    </w:p>
    <w:p w14:paraId="4C2DC9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Період часу, на протязі якого споживач вимагає, щоб</w:t>
      </w:r>
      <w:r w:rsidRPr="000977F7">
        <w:rPr>
          <w:rFonts w:asciiTheme="majorHAnsi" w:hAnsiTheme="majorHAnsi"/>
          <w:spacing w:val="1"/>
          <w:sz w:val="20"/>
          <w:szCs w:val="20"/>
        </w:rPr>
        <w:t xml:space="preserve"> </w:t>
      </w:r>
      <w:r w:rsidRPr="000977F7">
        <w:rPr>
          <w:rFonts w:asciiTheme="majorHAnsi" w:hAnsiTheme="majorHAnsi"/>
          <w:sz w:val="20"/>
          <w:szCs w:val="20"/>
        </w:rPr>
        <w:t>об’єкт</w:t>
      </w:r>
      <w:r w:rsidRPr="000977F7">
        <w:rPr>
          <w:rFonts w:asciiTheme="majorHAnsi" w:hAnsiTheme="majorHAnsi"/>
          <w:spacing w:val="-2"/>
          <w:sz w:val="20"/>
          <w:szCs w:val="20"/>
        </w:rPr>
        <w:t xml:space="preserve"> </w:t>
      </w:r>
      <w:r w:rsidRPr="000977F7">
        <w:rPr>
          <w:rFonts w:asciiTheme="majorHAnsi" w:hAnsiTheme="majorHAnsi"/>
          <w:sz w:val="20"/>
          <w:szCs w:val="20"/>
        </w:rPr>
        <w:t>був</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працездатному</w:t>
      </w:r>
      <w:r w:rsidRPr="000977F7">
        <w:rPr>
          <w:rFonts w:asciiTheme="majorHAnsi" w:hAnsiTheme="majorHAnsi"/>
          <w:spacing w:val="-2"/>
          <w:sz w:val="20"/>
          <w:szCs w:val="20"/>
        </w:rPr>
        <w:t xml:space="preserve"> </w:t>
      </w:r>
      <w:r w:rsidRPr="000977F7">
        <w:rPr>
          <w:rFonts w:asciiTheme="majorHAnsi" w:hAnsiTheme="majorHAnsi"/>
          <w:sz w:val="20"/>
          <w:szCs w:val="20"/>
        </w:rPr>
        <w:t>стані</w:t>
      </w:r>
    </w:p>
    <w:p w14:paraId="138AA78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ПОТУЖНІСТЬ</w:t>
      </w:r>
      <w:r w:rsidRPr="000977F7">
        <w:rPr>
          <w:color w:val="auto"/>
          <w:spacing w:val="-4"/>
          <w:sz w:val="20"/>
          <w:szCs w:val="20"/>
        </w:rPr>
        <w:t xml:space="preserve"> </w:t>
      </w:r>
      <w:r w:rsidRPr="000977F7">
        <w:rPr>
          <w:color w:val="auto"/>
          <w:sz w:val="20"/>
          <w:szCs w:val="20"/>
        </w:rPr>
        <w:t>КРИТЕРІЮ</w:t>
      </w:r>
      <w:r w:rsidRPr="000977F7">
        <w:rPr>
          <w:color w:val="auto"/>
          <w:spacing w:val="-3"/>
          <w:sz w:val="20"/>
          <w:szCs w:val="20"/>
        </w:rPr>
        <w:t xml:space="preserve"> </w:t>
      </w:r>
      <w:r w:rsidRPr="000977F7">
        <w:rPr>
          <w:color w:val="auto"/>
          <w:sz w:val="20"/>
          <w:szCs w:val="20"/>
        </w:rPr>
        <w:t>–</w:t>
      </w:r>
    </w:p>
    <w:p w14:paraId="494894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Імовірність того, що нульова гіпотеза буде відкинута,</w:t>
      </w:r>
      <w:r w:rsidRPr="000977F7">
        <w:rPr>
          <w:rFonts w:asciiTheme="majorHAnsi" w:hAnsiTheme="majorHAnsi"/>
          <w:spacing w:val="1"/>
          <w:sz w:val="20"/>
          <w:szCs w:val="20"/>
        </w:rPr>
        <w:t xml:space="preserve"> </w:t>
      </w:r>
      <w:r w:rsidRPr="000977F7">
        <w:rPr>
          <w:rFonts w:asciiTheme="majorHAnsi" w:hAnsiTheme="majorHAnsi"/>
          <w:sz w:val="20"/>
          <w:szCs w:val="20"/>
        </w:rPr>
        <w:t>коли</w:t>
      </w:r>
      <w:r w:rsidRPr="000977F7">
        <w:rPr>
          <w:rFonts w:asciiTheme="majorHAnsi" w:hAnsiTheme="majorHAnsi"/>
          <w:spacing w:val="-2"/>
          <w:sz w:val="20"/>
          <w:szCs w:val="20"/>
        </w:rPr>
        <w:t xml:space="preserve"> </w:t>
      </w:r>
      <w:r w:rsidRPr="000977F7">
        <w:rPr>
          <w:rFonts w:asciiTheme="majorHAnsi" w:hAnsiTheme="majorHAnsi"/>
          <w:sz w:val="20"/>
          <w:szCs w:val="20"/>
        </w:rPr>
        <w:t>справедлива</w:t>
      </w:r>
      <w:r w:rsidRPr="000977F7">
        <w:rPr>
          <w:rFonts w:asciiTheme="majorHAnsi" w:hAnsiTheme="majorHAnsi"/>
          <w:spacing w:val="-2"/>
          <w:sz w:val="20"/>
          <w:szCs w:val="20"/>
        </w:rPr>
        <w:t xml:space="preserve"> </w:t>
      </w:r>
      <w:r w:rsidRPr="000977F7">
        <w:rPr>
          <w:rFonts w:asciiTheme="majorHAnsi" w:hAnsiTheme="majorHAnsi"/>
          <w:sz w:val="20"/>
          <w:szCs w:val="20"/>
        </w:rPr>
        <w:t>альтернативна</w:t>
      </w:r>
      <w:r w:rsidRPr="000977F7">
        <w:rPr>
          <w:rFonts w:asciiTheme="majorHAnsi" w:hAnsiTheme="majorHAnsi"/>
          <w:spacing w:val="-1"/>
          <w:sz w:val="20"/>
          <w:szCs w:val="20"/>
        </w:rPr>
        <w:t xml:space="preserve"> </w:t>
      </w:r>
      <w:r w:rsidRPr="000977F7">
        <w:rPr>
          <w:rFonts w:asciiTheme="majorHAnsi" w:hAnsiTheme="majorHAnsi"/>
          <w:sz w:val="20"/>
          <w:szCs w:val="20"/>
        </w:rPr>
        <w:t>гіпотеза</w:t>
      </w:r>
    </w:p>
    <w:p w14:paraId="00691815"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3514 – 97</w:t>
      </w:r>
      <w:r w:rsidRPr="000977F7">
        <w:rPr>
          <w:rFonts w:asciiTheme="majorHAnsi" w:hAnsiTheme="majorHAnsi"/>
          <w:i/>
          <w:spacing w:val="-47"/>
          <w:sz w:val="20"/>
          <w:szCs w:val="20"/>
        </w:rPr>
        <w:t xml:space="preserve"> </w:t>
      </w:r>
    </w:p>
    <w:p w14:paraId="5ACD84AA"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ПОХИБКА –</w:t>
      </w:r>
    </w:p>
    <w:p w14:paraId="19675FF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ERROR</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DD8CE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Різниця між розрахованим, спостережуваним або виміряним значенням величини чи параметру та дійсним, установленим або теоретично правильним значенням</w:t>
      </w:r>
      <w:r w:rsidRPr="000977F7">
        <w:rPr>
          <w:rFonts w:asciiTheme="majorHAnsi" w:hAnsiTheme="majorHAnsi"/>
          <w:spacing w:val="-1"/>
          <w:sz w:val="20"/>
          <w:szCs w:val="20"/>
        </w:rPr>
        <w:t xml:space="preserve"> </w:t>
      </w:r>
      <w:r w:rsidRPr="000977F7">
        <w:rPr>
          <w:rFonts w:asciiTheme="majorHAnsi" w:hAnsiTheme="majorHAnsi"/>
          <w:sz w:val="20"/>
          <w:szCs w:val="20"/>
        </w:rPr>
        <w:t>величини</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параметру</w:t>
      </w:r>
    </w:p>
    <w:p w14:paraId="717B0EA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18ED667F" w14:textId="77777777" w:rsidR="0097612F" w:rsidRPr="000977F7" w:rsidRDefault="0097612F" w:rsidP="00FD39A4">
      <w:pPr>
        <w:pStyle w:val="ac"/>
        <w:widowControl w:val="0"/>
        <w:numPr>
          <w:ilvl w:val="0"/>
          <w:numId w:val="109"/>
        </w:numPr>
        <w:tabs>
          <w:tab w:val="left" w:pos="284"/>
          <w:tab w:val="left" w:pos="8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Похибка інструментальна може бути викликана</w:t>
      </w:r>
      <w:r w:rsidRPr="000977F7">
        <w:rPr>
          <w:rFonts w:asciiTheme="majorHAnsi" w:hAnsiTheme="majorHAnsi"/>
          <w:spacing w:val="1"/>
          <w:sz w:val="20"/>
          <w:szCs w:val="20"/>
        </w:rPr>
        <w:t xml:space="preserve"> </w:t>
      </w:r>
      <w:r w:rsidRPr="000977F7">
        <w:rPr>
          <w:rFonts w:asciiTheme="majorHAnsi" w:hAnsiTheme="majorHAnsi"/>
          <w:sz w:val="20"/>
          <w:szCs w:val="20"/>
        </w:rPr>
        <w:t>несправним об’єктом, наприклад, похибка обчислення, допущена несправним засобом обчислювальної</w:t>
      </w:r>
      <w:r w:rsidRPr="000977F7">
        <w:rPr>
          <w:rFonts w:asciiTheme="majorHAnsi" w:hAnsiTheme="majorHAnsi"/>
          <w:spacing w:val="-2"/>
          <w:sz w:val="20"/>
          <w:szCs w:val="20"/>
        </w:rPr>
        <w:t xml:space="preserve"> </w:t>
      </w:r>
      <w:r w:rsidRPr="000977F7">
        <w:rPr>
          <w:rFonts w:asciiTheme="majorHAnsi" w:hAnsiTheme="majorHAnsi"/>
          <w:sz w:val="20"/>
          <w:szCs w:val="20"/>
        </w:rPr>
        <w:t>техніки</w:t>
      </w:r>
    </w:p>
    <w:p w14:paraId="6681E389" w14:textId="77777777" w:rsidR="0097612F" w:rsidRPr="000977F7" w:rsidRDefault="0097612F" w:rsidP="00FD39A4">
      <w:pPr>
        <w:pStyle w:val="ac"/>
        <w:widowControl w:val="0"/>
        <w:numPr>
          <w:ilvl w:val="0"/>
          <w:numId w:val="109"/>
        </w:numPr>
        <w:tabs>
          <w:tab w:val="left" w:pos="284"/>
          <w:tab w:val="left" w:pos="8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Похибка методична може бути викликана використанням тієї чи іншої теоретичної функції розподілу випадкової величини наробітку, параметра, кількості</w:t>
      </w:r>
      <w:r w:rsidRPr="000977F7">
        <w:rPr>
          <w:rFonts w:asciiTheme="majorHAnsi" w:hAnsiTheme="majorHAnsi"/>
          <w:spacing w:val="-1"/>
          <w:sz w:val="20"/>
          <w:szCs w:val="20"/>
        </w:rPr>
        <w:t xml:space="preserve"> </w:t>
      </w:r>
      <w:r w:rsidRPr="000977F7">
        <w:rPr>
          <w:rFonts w:asciiTheme="majorHAnsi" w:hAnsiTheme="majorHAnsi"/>
          <w:sz w:val="20"/>
          <w:szCs w:val="20"/>
        </w:rPr>
        <w:t>відмов</w:t>
      </w:r>
    </w:p>
    <w:p w14:paraId="2002F0F6" w14:textId="77777777" w:rsidR="0097612F" w:rsidRPr="000977F7" w:rsidRDefault="0097612F" w:rsidP="00FD39A4">
      <w:pPr>
        <w:pStyle w:val="ac"/>
        <w:widowControl w:val="0"/>
        <w:numPr>
          <w:ilvl w:val="0"/>
          <w:numId w:val="109"/>
        </w:numPr>
        <w:tabs>
          <w:tab w:val="left" w:pos="284"/>
          <w:tab w:val="left" w:pos="8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 характеру появи похибка може бути систематичною,</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випадковою</w:t>
      </w:r>
    </w:p>
    <w:p w14:paraId="2BE2E05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 94</w:t>
      </w:r>
    </w:p>
    <w:p w14:paraId="39C439D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ПОХИБКА</w:t>
      </w:r>
      <w:r w:rsidRPr="000977F7">
        <w:rPr>
          <w:color w:val="auto"/>
          <w:spacing w:val="-4"/>
          <w:sz w:val="20"/>
          <w:szCs w:val="20"/>
        </w:rPr>
        <w:t xml:space="preserve"> </w:t>
      </w:r>
      <w:r w:rsidRPr="000977F7">
        <w:rPr>
          <w:color w:val="auto"/>
          <w:sz w:val="20"/>
          <w:szCs w:val="20"/>
        </w:rPr>
        <w:t>ВИМІРЮВАННЯ</w:t>
      </w:r>
      <w:r w:rsidRPr="000977F7">
        <w:rPr>
          <w:color w:val="auto"/>
          <w:spacing w:val="-4"/>
          <w:sz w:val="20"/>
          <w:szCs w:val="20"/>
        </w:rPr>
        <w:t xml:space="preserve"> </w:t>
      </w:r>
      <w:r w:rsidRPr="000977F7">
        <w:rPr>
          <w:color w:val="auto"/>
          <w:sz w:val="20"/>
          <w:szCs w:val="20"/>
        </w:rPr>
        <w:t>ВІД</w:t>
      </w:r>
      <w:r w:rsidRPr="000977F7">
        <w:rPr>
          <w:color w:val="auto"/>
          <w:spacing w:val="-4"/>
          <w:sz w:val="20"/>
          <w:szCs w:val="20"/>
        </w:rPr>
        <w:t xml:space="preserve"> </w:t>
      </w:r>
      <w:r w:rsidRPr="000977F7">
        <w:rPr>
          <w:color w:val="auto"/>
          <w:sz w:val="20"/>
          <w:szCs w:val="20"/>
        </w:rPr>
        <w:t>ВЗАЄМОДІЇ</w:t>
      </w:r>
      <w:r w:rsidRPr="000977F7">
        <w:rPr>
          <w:color w:val="auto"/>
          <w:spacing w:val="-1"/>
          <w:sz w:val="20"/>
          <w:szCs w:val="20"/>
        </w:rPr>
        <w:t xml:space="preserve"> </w:t>
      </w:r>
      <w:r w:rsidRPr="000977F7">
        <w:rPr>
          <w:color w:val="auto"/>
          <w:sz w:val="20"/>
          <w:szCs w:val="20"/>
        </w:rPr>
        <w:t>–</w:t>
      </w:r>
    </w:p>
    <w:p w14:paraId="37EB288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Складова інструментальної похибки, що виникає внаслідок впливу засобу вимірювальної техніки на стан</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об’єкта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вимірювання</w:t>
      </w:r>
    </w:p>
    <w:p w14:paraId="537F54FB"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3"/>
          <w:sz w:val="20"/>
          <w:szCs w:val="20"/>
          <w:lang w:val="uk-UA"/>
        </w:rPr>
        <w:t xml:space="preserve"> </w:t>
      </w:r>
      <w:r w:rsidRPr="004D2D14">
        <w:rPr>
          <w:rFonts w:asciiTheme="majorHAnsi" w:hAnsiTheme="majorHAnsi"/>
          <w:i/>
          <w:sz w:val="20"/>
          <w:szCs w:val="20"/>
          <w:lang w:val="uk-UA"/>
        </w:rPr>
        <w:t>2681</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56EBFE0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ПОХИБКА</w:t>
      </w:r>
      <w:r w:rsidRPr="000977F7">
        <w:rPr>
          <w:color w:val="auto"/>
          <w:spacing w:val="44"/>
          <w:sz w:val="20"/>
          <w:szCs w:val="20"/>
        </w:rPr>
        <w:t xml:space="preserve"> </w:t>
      </w:r>
      <w:r w:rsidRPr="000977F7">
        <w:rPr>
          <w:color w:val="auto"/>
          <w:sz w:val="20"/>
          <w:szCs w:val="20"/>
        </w:rPr>
        <w:t>ВИРОБЛЕННЯ</w:t>
      </w:r>
      <w:r w:rsidRPr="000977F7">
        <w:rPr>
          <w:color w:val="auto"/>
          <w:spacing w:val="44"/>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367CE1A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ERROR</w:t>
      </w:r>
      <w:r w:rsidRPr="004D2D14">
        <w:rPr>
          <w:rFonts w:asciiTheme="majorHAnsi" w:hAnsiTheme="majorHAnsi"/>
          <w:spacing w:val="-3"/>
          <w:sz w:val="20"/>
          <w:szCs w:val="20"/>
          <w:lang w:val="uk-UA"/>
        </w:rPr>
        <w:t xml:space="preserve"> </w:t>
      </w:r>
      <w:r w:rsidRPr="000977F7">
        <w:rPr>
          <w:rFonts w:asciiTheme="majorHAnsi" w:hAnsiTheme="majorHAnsi"/>
          <w:sz w:val="20"/>
          <w:szCs w:val="20"/>
        </w:rPr>
        <w:t>OF</w:t>
      </w:r>
      <w:r w:rsidRPr="004D2D14">
        <w:rPr>
          <w:rFonts w:asciiTheme="majorHAnsi" w:hAnsiTheme="majorHAnsi"/>
          <w:spacing w:val="-3"/>
          <w:sz w:val="20"/>
          <w:szCs w:val="20"/>
          <w:lang w:val="uk-UA"/>
        </w:rPr>
        <w:t xml:space="preserve"> </w:t>
      </w:r>
      <w:r w:rsidRPr="000977F7">
        <w:rPr>
          <w:rFonts w:asciiTheme="majorHAnsi" w:hAnsiTheme="majorHAnsi"/>
          <w:sz w:val="20"/>
          <w:szCs w:val="20"/>
        </w:rPr>
        <w:t>FABRICATION</w:t>
      </w:r>
      <w:r w:rsidRPr="004D2D14">
        <w:rPr>
          <w:rFonts w:asciiTheme="majorHAnsi" w:hAnsiTheme="majorHAnsi"/>
          <w:sz w:val="20"/>
          <w:szCs w:val="20"/>
          <w:lang w:val="uk-UA"/>
        </w:rPr>
        <w:t xml:space="preserve"> –</w:t>
      </w:r>
    </w:p>
    <w:p w14:paraId="6FEA9E3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Відхилення дійсного значення параметра виготовлюваної продукції від його номінального значення, встановленого нормативною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документацією</w:t>
      </w:r>
    </w:p>
    <w:p w14:paraId="16C45AD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05DD4F5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ПОХИБКА ПЕРЕРВНОСТІ; ПОХИБКА </w:t>
      </w:r>
    </w:p>
    <w:p w14:paraId="163A35D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КВАНТУВАННЯ</w:t>
      </w:r>
      <w:r w:rsidRPr="000977F7">
        <w:rPr>
          <w:color w:val="auto"/>
          <w:spacing w:val="-1"/>
          <w:sz w:val="20"/>
          <w:szCs w:val="20"/>
        </w:rPr>
        <w:t xml:space="preserve"> </w:t>
      </w:r>
      <w:r w:rsidRPr="000977F7">
        <w:rPr>
          <w:color w:val="auto"/>
          <w:sz w:val="20"/>
          <w:szCs w:val="20"/>
        </w:rPr>
        <w:t>–</w:t>
      </w:r>
    </w:p>
    <w:p w14:paraId="522F720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QUANTIZATION</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ERROR</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MEASURING</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INSTRUMENT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0135A3D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Методична похибка методу відображення (при вимірюванні) неперервної фізичної величини її перервним</w:t>
      </w:r>
      <w:r w:rsidRPr="000977F7">
        <w:rPr>
          <w:rFonts w:asciiTheme="majorHAnsi" w:hAnsiTheme="majorHAnsi"/>
          <w:spacing w:val="1"/>
          <w:sz w:val="20"/>
          <w:szCs w:val="20"/>
        </w:rPr>
        <w:t xml:space="preserve"> </w:t>
      </w:r>
      <w:r w:rsidRPr="000977F7">
        <w:rPr>
          <w:rFonts w:asciiTheme="majorHAnsi" w:hAnsiTheme="majorHAnsi"/>
          <w:sz w:val="20"/>
          <w:szCs w:val="20"/>
        </w:rPr>
        <w:t>значенням</w:t>
      </w:r>
    </w:p>
    <w:p w14:paraId="01DA9B1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 – 94</w:t>
      </w:r>
    </w:p>
    <w:p w14:paraId="3A7D69A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ПОХІДНА</w:t>
      </w:r>
      <w:r w:rsidRPr="000977F7">
        <w:rPr>
          <w:color w:val="auto"/>
          <w:spacing w:val="-4"/>
          <w:sz w:val="20"/>
          <w:szCs w:val="20"/>
        </w:rPr>
        <w:t xml:space="preserve"> </w:t>
      </w:r>
      <w:r w:rsidRPr="000977F7">
        <w:rPr>
          <w:color w:val="auto"/>
          <w:sz w:val="20"/>
          <w:szCs w:val="20"/>
        </w:rPr>
        <w:t>ОДИНИЦЯ</w:t>
      </w:r>
      <w:r w:rsidRPr="000977F7">
        <w:rPr>
          <w:color w:val="auto"/>
          <w:spacing w:val="-4"/>
          <w:sz w:val="20"/>
          <w:szCs w:val="20"/>
        </w:rPr>
        <w:t xml:space="preserve"> </w:t>
      </w:r>
      <w:r w:rsidRPr="000977F7">
        <w:rPr>
          <w:color w:val="auto"/>
          <w:sz w:val="20"/>
          <w:szCs w:val="20"/>
        </w:rPr>
        <w:t>СИСТЕМИ</w:t>
      </w:r>
      <w:r w:rsidRPr="000977F7">
        <w:rPr>
          <w:color w:val="auto"/>
          <w:spacing w:val="-3"/>
          <w:sz w:val="20"/>
          <w:szCs w:val="20"/>
        </w:rPr>
        <w:t xml:space="preserve"> </w:t>
      </w:r>
      <w:r w:rsidRPr="000977F7">
        <w:rPr>
          <w:color w:val="auto"/>
          <w:sz w:val="20"/>
          <w:szCs w:val="20"/>
        </w:rPr>
        <w:t>ОДИНИЦЬ</w:t>
      </w:r>
      <w:r w:rsidRPr="000977F7">
        <w:rPr>
          <w:color w:val="auto"/>
          <w:spacing w:val="1"/>
          <w:sz w:val="20"/>
          <w:szCs w:val="20"/>
        </w:rPr>
        <w:t xml:space="preserve"> </w:t>
      </w:r>
      <w:r w:rsidRPr="000977F7">
        <w:rPr>
          <w:color w:val="auto"/>
          <w:sz w:val="20"/>
          <w:szCs w:val="20"/>
        </w:rPr>
        <w:t>–</w:t>
      </w:r>
    </w:p>
    <w:p w14:paraId="7849E60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DERIVED</w:t>
      </w:r>
      <w:r w:rsidRPr="004D2D14">
        <w:rPr>
          <w:rFonts w:asciiTheme="majorHAnsi" w:hAnsiTheme="majorHAnsi"/>
          <w:spacing w:val="-2"/>
          <w:sz w:val="20"/>
          <w:szCs w:val="20"/>
          <w:lang w:val="uk-UA"/>
        </w:rPr>
        <w:t xml:space="preserve"> </w:t>
      </w:r>
      <w:r w:rsidRPr="000977F7">
        <w:rPr>
          <w:rFonts w:asciiTheme="majorHAnsi" w:hAnsiTheme="majorHAnsi"/>
          <w:sz w:val="20"/>
          <w:szCs w:val="20"/>
        </w:rPr>
        <w:t>UNIT</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460B071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 xml:space="preserve">Одиниця похідної фізичної величини в певній системі </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одиниць</w:t>
      </w:r>
    </w:p>
    <w:p w14:paraId="301BE821"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2681</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39A50D9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ПОХІДНА</w:t>
      </w:r>
      <w:r w:rsidRPr="000977F7">
        <w:rPr>
          <w:color w:val="auto"/>
          <w:spacing w:val="-3"/>
          <w:sz w:val="20"/>
          <w:szCs w:val="20"/>
        </w:rPr>
        <w:t xml:space="preserve"> </w:t>
      </w:r>
      <w:r w:rsidRPr="000977F7">
        <w:rPr>
          <w:color w:val="auto"/>
          <w:sz w:val="20"/>
          <w:szCs w:val="20"/>
        </w:rPr>
        <w:t>ФІЗИЧНА</w:t>
      </w:r>
      <w:r w:rsidRPr="000977F7">
        <w:rPr>
          <w:color w:val="auto"/>
          <w:spacing w:val="-2"/>
          <w:sz w:val="20"/>
          <w:szCs w:val="20"/>
        </w:rPr>
        <w:t xml:space="preserve"> </w:t>
      </w:r>
      <w:r w:rsidRPr="000977F7">
        <w:rPr>
          <w:color w:val="auto"/>
          <w:sz w:val="20"/>
          <w:szCs w:val="20"/>
        </w:rPr>
        <w:t>ВЕЛИЧИНА –</w:t>
      </w:r>
    </w:p>
    <w:p w14:paraId="0C07E86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DERIVED</w:t>
      </w:r>
      <w:r w:rsidRPr="004D2D14">
        <w:rPr>
          <w:rFonts w:asciiTheme="majorHAnsi" w:hAnsiTheme="majorHAnsi"/>
          <w:spacing w:val="-2"/>
          <w:sz w:val="20"/>
          <w:szCs w:val="20"/>
          <w:lang w:val="uk-UA"/>
        </w:rPr>
        <w:t xml:space="preserve"> </w:t>
      </w:r>
      <w:r w:rsidRPr="000977F7">
        <w:rPr>
          <w:rFonts w:asciiTheme="majorHAnsi" w:hAnsiTheme="majorHAnsi"/>
          <w:sz w:val="20"/>
          <w:szCs w:val="20"/>
        </w:rPr>
        <w:t>QUANTITY</w:t>
      </w:r>
      <w:r w:rsidRPr="004D2D14">
        <w:rPr>
          <w:rFonts w:asciiTheme="majorHAnsi" w:hAnsiTheme="majorHAnsi"/>
          <w:sz w:val="20"/>
          <w:szCs w:val="20"/>
          <w:lang w:val="uk-UA"/>
        </w:rPr>
        <w:t xml:space="preserve"> –</w:t>
      </w:r>
    </w:p>
    <w:p w14:paraId="266C4D67"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Фізична</w:t>
      </w:r>
      <w:r w:rsidRPr="000977F7">
        <w:rPr>
          <w:rFonts w:asciiTheme="majorHAnsi" w:hAnsiTheme="majorHAnsi"/>
          <w:spacing w:val="18"/>
          <w:sz w:val="20"/>
          <w:szCs w:val="20"/>
        </w:rPr>
        <w:t xml:space="preserve"> </w:t>
      </w:r>
      <w:r w:rsidRPr="000977F7">
        <w:rPr>
          <w:rFonts w:asciiTheme="majorHAnsi" w:hAnsiTheme="majorHAnsi"/>
          <w:sz w:val="20"/>
          <w:szCs w:val="20"/>
        </w:rPr>
        <w:t>величина,</w:t>
      </w:r>
      <w:r w:rsidRPr="000977F7">
        <w:rPr>
          <w:rFonts w:asciiTheme="majorHAnsi" w:hAnsiTheme="majorHAnsi"/>
          <w:spacing w:val="17"/>
          <w:sz w:val="20"/>
          <w:szCs w:val="20"/>
        </w:rPr>
        <w:t xml:space="preserve"> </w:t>
      </w:r>
      <w:r w:rsidRPr="000977F7">
        <w:rPr>
          <w:rFonts w:asciiTheme="majorHAnsi" w:hAnsiTheme="majorHAnsi"/>
          <w:sz w:val="20"/>
          <w:szCs w:val="20"/>
        </w:rPr>
        <w:t>що</w:t>
      </w:r>
      <w:r w:rsidRPr="000977F7">
        <w:rPr>
          <w:rFonts w:asciiTheme="majorHAnsi" w:hAnsiTheme="majorHAnsi"/>
          <w:spacing w:val="17"/>
          <w:sz w:val="20"/>
          <w:szCs w:val="20"/>
        </w:rPr>
        <w:t xml:space="preserve"> </w:t>
      </w:r>
      <w:r w:rsidRPr="000977F7">
        <w:rPr>
          <w:rFonts w:asciiTheme="majorHAnsi" w:hAnsiTheme="majorHAnsi"/>
          <w:sz w:val="20"/>
          <w:szCs w:val="20"/>
        </w:rPr>
        <w:t>входить</w:t>
      </w:r>
      <w:r w:rsidRPr="000977F7">
        <w:rPr>
          <w:rFonts w:asciiTheme="majorHAnsi" w:hAnsiTheme="majorHAnsi"/>
          <w:spacing w:val="19"/>
          <w:sz w:val="20"/>
          <w:szCs w:val="20"/>
        </w:rPr>
        <w:t xml:space="preserve"> </w:t>
      </w:r>
      <w:r w:rsidRPr="000977F7">
        <w:rPr>
          <w:rFonts w:asciiTheme="majorHAnsi" w:hAnsiTheme="majorHAnsi"/>
          <w:sz w:val="20"/>
          <w:szCs w:val="20"/>
        </w:rPr>
        <w:t>у</w:t>
      </w:r>
      <w:r w:rsidRPr="000977F7">
        <w:rPr>
          <w:rFonts w:asciiTheme="majorHAnsi" w:hAnsiTheme="majorHAnsi"/>
          <w:spacing w:val="15"/>
          <w:sz w:val="20"/>
          <w:szCs w:val="20"/>
        </w:rPr>
        <w:t xml:space="preserve"> </w:t>
      </w:r>
      <w:r w:rsidRPr="000977F7">
        <w:rPr>
          <w:rFonts w:asciiTheme="majorHAnsi" w:hAnsiTheme="majorHAnsi"/>
          <w:sz w:val="20"/>
          <w:szCs w:val="20"/>
        </w:rPr>
        <w:t>систему</w:t>
      </w:r>
      <w:r w:rsidRPr="000977F7">
        <w:rPr>
          <w:rFonts w:asciiTheme="majorHAnsi" w:hAnsiTheme="majorHAnsi"/>
          <w:spacing w:val="15"/>
          <w:sz w:val="20"/>
          <w:szCs w:val="20"/>
        </w:rPr>
        <w:t xml:space="preserve"> </w:t>
      </w:r>
      <w:r w:rsidRPr="000977F7">
        <w:rPr>
          <w:rFonts w:asciiTheme="majorHAnsi" w:hAnsiTheme="majorHAnsi"/>
          <w:sz w:val="20"/>
          <w:szCs w:val="20"/>
        </w:rPr>
        <w:t>величин</w:t>
      </w:r>
      <w:r w:rsidRPr="000977F7">
        <w:rPr>
          <w:rFonts w:asciiTheme="majorHAnsi" w:hAnsiTheme="majorHAnsi"/>
          <w:spacing w:val="15"/>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визначається через основні величини цієї системи</w:t>
      </w:r>
      <w:r w:rsidRPr="000977F7">
        <w:rPr>
          <w:rFonts w:asciiTheme="majorHAnsi" w:hAnsiTheme="majorHAnsi"/>
          <w:spacing w:val="1"/>
          <w:sz w:val="20"/>
          <w:szCs w:val="20"/>
        </w:rPr>
        <w:t xml:space="preserve"> </w:t>
      </w:r>
    </w:p>
    <w:p w14:paraId="23E23DE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96DF72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209" w:name="_Hlk104024077"/>
      <w:r w:rsidRPr="000977F7">
        <w:rPr>
          <w:color w:val="auto"/>
          <w:sz w:val="20"/>
          <w:szCs w:val="20"/>
        </w:rPr>
        <w:t>ПОЧАСОВЕ</w:t>
      </w:r>
      <w:r w:rsidRPr="000977F7">
        <w:rPr>
          <w:color w:val="auto"/>
          <w:spacing w:val="-3"/>
          <w:sz w:val="20"/>
          <w:szCs w:val="20"/>
        </w:rPr>
        <w:t xml:space="preserve"> </w:t>
      </w:r>
      <w:r w:rsidRPr="000977F7">
        <w:rPr>
          <w:color w:val="auto"/>
          <w:sz w:val="20"/>
          <w:szCs w:val="20"/>
        </w:rPr>
        <w:t>РЕЗЕРВУВАННЯ</w:t>
      </w:r>
      <w:r w:rsidRPr="000977F7">
        <w:rPr>
          <w:color w:val="auto"/>
          <w:spacing w:val="1"/>
          <w:sz w:val="20"/>
          <w:szCs w:val="20"/>
        </w:rPr>
        <w:t xml:space="preserve"> </w:t>
      </w:r>
      <w:r w:rsidRPr="000977F7">
        <w:rPr>
          <w:color w:val="auto"/>
          <w:sz w:val="20"/>
          <w:szCs w:val="20"/>
        </w:rPr>
        <w:t>–</w:t>
      </w:r>
    </w:p>
    <w:p w14:paraId="4AAF4F0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TIME</w:t>
      </w:r>
      <w:r w:rsidRPr="000977F7">
        <w:rPr>
          <w:rFonts w:asciiTheme="majorHAnsi" w:hAnsiTheme="majorHAnsi"/>
          <w:spacing w:val="-2"/>
          <w:sz w:val="20"/>
          <w:szCs w:val="20"/>
        </w:rPr>
        <w:t xml:space="preserve"> </w:t>
      </w:r>
      <w:r w:rsidRPr="000977F7">
        <w:rPr>
          <w:rFonts w:asciiTheme="majorHAnsi" w:hAnsiTheme="majorHAnsi"/>
          <w:sz w:val="20"/>
          <w:szCs w:val="20"/>
        </w:rPr>
        <w:t>REDUNDANCY –</w:t>
      </w:r>
    </w:p>
    <w:bookmarkEnd w:id="209"/>
    <w:p w14:paraId="4277EB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Резервування</w:t>
      </w:r>
      <w:r w:rsidRPr="000977F7">
        <w:rPr>
          <w:rFonts w:asciiTheme="majorHAnsi" w:hAnsiTheme="majorHAnsi"/>
          <w:spacing w:val="-5"/>
          <w:sz w:val="20"/>
          <w:szCs w:val="20"/>
        </w:rPr>
        <w:t xml:space="preserve"> </w:t>
      </w:r>
      <w:r w:rsidRPr="000977F7">
        <w:rPr>
          <w:rFonts w:asciiTheme="majorHAnsi" w:hAnsiTheme="majorHAnsi"/>
          <w:sz w:val="20"/>
          <w:szCs w:val="20"/>
        </w:rPr>
        <w:t>з</w:t>
      </w:r>
      <w:r w:rsidRPr="000977F7">
        <w:rPr>
          <w:rFonts w:asciiTheme="majorHAnsi" w:hAnsiTheme="majorHAnsi"/>
          <w:spacing w:val="-3"/>
          <w:sz w:val="20"/>
          <w:szCs w:val="20"/>
        </w:rPr>
        <w:t xml:space="preserve"> </w:t>
      </w:r>
      <w:r w:rsidRPr="000977F7">
        <w:rPr>
          <w:rFonts w:asciiTheme="majorHAnsi" w:hAnsiTheme="majorHAnsi"/>
          <w:sz w:val="20"/>
          <w:szCs w:val="20"/>
        </w:rPr>
        <w:t>застосуванням</w:t>
      </w:r>
      <w:r w:rsidRPr="000977F7">
        <w:rPr>
          <w:rFonts w:asciiTheme="majorHAnsi" w:hAnsiTheme="majorHAnsi"/>
          <w:spacing w:val="-3"/>
          <w:sz w:val="20"/>
          <w:szCs w:val="20"/>
        </w:rPr>
        <w:t xml:space="preserve"> </w:t>
      </w:r>
      <w:r w:rsidRPr="000977F7">
        <w:rPr>
          <w:rFonts w:asciiTheme="majorHAnsi" w:hAnsiTheme="majorHAnsi"/>
          <w:sz w:val="20"/>
          <w:szCs w:val="20"/>
        </w:rPr>
        <w:t>резервів</w:t>
      </w:r>
      <w:r w:rsidRPr="000977F7">
        <w:rPr>
          <w:rFonts w:asciiTheme="majorHAnsi" w:hAnsiTheme="majorHAnsi"/>
          <w:spacing w:val="-4"/>
          <w:sz w:val="20"/>
          <w:szCs w:val="20"/>
        </w:rPr>
        <w:t xml:space="preserve"> </w:t>
      </w:r>
      <w:r w:rsidRPr="000977F7">
        <w:rPr>
          <w:rFonts w:asciiTheme="majorHAnsi" w:hAnsiTheme="majorHAnsi"/>
          <w:sz w:val="20"/>
          <w:szCs w:val="20"/>
        </w:rPr>
        <w:t>часу</w:t>
      </w:r>
    </w:p>
    <w:p w14:paraId="0D84292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22C9B89"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ПОЧАТКОВИЙ СТАН -</w:t>
      </w:r>
    </w:p>
    <w:p w14:paraId="245797B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INITIAL</w:t>
      </w:r>
      <w:r w:rsidRPr="000977F7">
        <w:rPr>
          <w:rFonts w:asciiTheme="majorHAnsi" w:hAnsiTheme="majorHAnsi"/>
          <w:spacing w:val="-1"/>
          <w:sz w:val="20"/>
          <w:szCs w:val="20"/>
        </w:rPr>
        <w:t xml:space="preserve"> </w:t>
      </w:r>
      <w:r w:rsidRPr="000977F7">
        <w:rPr>
          <w:rFonts w:asciiTheme="majorHAnsi" w:hAnsiTheme="majorHAnsi"/>
          <w:sz w:val="20"/>
          <w:szCs w:val="20"/>
        </w:rPr>
        <w:t>STATE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F64CD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 об’єкта в момент часу, прийнятий як початковий</w:t>
      </w:r>
      <w:r w:rsidRPr="000977F7">
        <w:rPr>
          <w:rFonts w:asciiTheme="majorHAnsi" w:hAnsiTheme="majorHAnsi"/>
          <w:spacing w:val="-47"/>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розглядуваного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p>
    <w:p w14:paraId="69240FA8"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3956</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2000</w:t>
      </w:r>
    </w:p>
    <w:p w14:paraId="27798B55"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8"/>
          <w:sz w:val="20"/>
          <w:szCs w:val="20"/>
          <w:lang w:val="en-US"/>
        </w:rPr>
      </w:pPr>
      <w:r w:rsidRPr="000977F7">
        <w:rPr>
          <w:rFonts w:asciiTheme="majorHAnsi" w:hAnsiTheme="majorHAnsi"/>
          <w:b/>
          <w:sz w:val="20"/>
          <w:szCs w:val="20"/>
        </w:rPr>
        <w:t>ПОЧАТКОВІ</w:t>
      </w:r>
      <w:r w:rsidRPr="004D2D14">
        <w:rPr>
          <w:rFonts w:asciiTheme="majorHAnsi" w:hAnsiTheme="majorHAnsi"/>
          <w:b/>
          <w:sz w:val="20"/>
          <w:szCs w:val="20"/>
          <w:lang w:val="en-US"/>
        </w:rPr>
        <w:t xml:space="preserve"> </w:t>
      </w:r>
      <w:r w:rsidRPr="000977F7">
        <w:rPr>
          <w:rFonts w:asciiTheme="majorHAnsi" w:hAnsiTheme="majorHAnsi"/>
          <w:b/>
          <w:sz w:val="20"/>
          <w:szCs w:val="20"/>
        </w:rPr>
        <w:t>ДАНІ</w:t>
      </w:r>
      <w:r w:rsidRPr="004D2D14">
        <w:rPr>
          <w:rFonts w:asciiTheme="majorHAnsi" w:hAnsiTheme="majorHAnsi"/>
          <w:b/>
          <w:sz w:val="20"/>
          <w:szCs w:val="20"/>
          <w:lang w:val="en-US"/>
        </w:rPr>
        <w:t xml:space="preserve"> –</w:t>
      </w:r>
      <w:r w:rsidRPr="004D2D14">
        <w:rPr>
          <w:rFonts w:asciiTheme="majorHAnsi" w:hAnsiTheme="majorHAnsi"/>
          <w:b/>
          <w:spacing w:val="-48"/>
          <w:sz w:val="20"/>
          <w:szCs w:val="20"/>
          <w:lang w:val="en-US"/>
        </w:rPr>
        <w:t xml:space="preserve"> </w:t>
      </w:r>
    </w:p>
    <w:p w14:paraId="7CE2F38C"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REFERENCE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DATA</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29A6407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Дані, які за спільною згодою можна використовувати</w:t>
      </w:r>
      <w:r w:rsidRPr="000977F7">
        <w:rPr>
          <w:rFonts w:asciiTheme="majorHAnsi" w:hAnsiTheme="majorHAnsi"/>
          <w:spacing w:val="1"/>
          <w:sz w:val="20"/>
          <w:szCs w:val="20"/>
        </w:rPr>
        <w:t xml:space="preserve"> </w:t>
      </w:r>
      <w:r w:rsidRPr="000977F7">
        <w:rPr>
          <w:rFonts w:asciiTheme="majorHAnsi" w:hAnsiTheme="majorHAnsi"/>
          <w:sz w:val="20"/>
          <w:szCs w:val="20"/>
        </w:rPr>
        <w:t>як основні для прогнозування та (або) для порівняння</w:t>
      </w:r>
      <w:r w:rsidRPr="000977F7">
        <w:rPr>
          <w:rFonts w:asciiTheme="majorHAnsi" w:hAnsiTheme="majorHAnsi"/>
          <w:spacing w:val="-47"/>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даними, що</w:t>
      </w:r>
      <w:r w:rsidRPr="000977F7">
        <w:rPr>
          <w:rFonts w:asciiTheme="majorHAnsi" w:hAnsiTheme="majorHAnsi"/>
          <w:spacing w:val="1"/>
          <w:sz w:val="20"/>
          <w:szCs w:val="20"/>
        </w:rPr>
        <w:t xml:space="preserve"> </w:t>
      </w:r>
      <w:r w:rsidRPr="000977F7">
        <w:rPr>
          <w:rFonts w:asciiTheme="majorHAnsi" w:hAnsiTheme="majorHAnsi"/>
          <w:sz w:val="20"/>
          <w:szCs w:val="20"/>
        </w:rPr>
        <w:t>спостерігаються</w:t>
      </w:r>
    </w:p>
    <w:p w14:paraId="6A04D459"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6534B79"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 xml:space="preserve">ПОШАРОВА КОРОЗІЯ </w:t>
      </w:r>
    </w:p>
    <w:p w14:paraId="5483456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AYER</w:t>
      </w:r>
      <w:r w:rsidRPr="000977F7">
        <w:rPr>
          <w:rFonts w:asciiTheme="majorHAnsi" w:hAnsiTheme="majorHAnsi"/>
          <w:spacing w:val="-2"/>
          <w:sz w:val="20"/>
          <w:szCs w:val="20"/>
        </w:rPr>
        <w:t xml:space="preserve"> </w:t>
      </w:r>
      <w:r w:rsidRPr="000977F7">
        <w:rPr>
          <w:rFonts w:asciiTheme="majorHAnsi" w:hAnsiTheme="majorHAnsi"/>
          <w:sz w:val="20"/>
          <w:szCs w:val="20"/>
        </w:rPr>
        <w:t>CORROSION –</w:t>
      </w:r>
    </w:p>
    <w:p w14:paraId="4B0BA36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Корозія,</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поширюється</w:t>
      </w:r>
      <w:r w:rsidRPr="000977F7">
        <w:rPr>
          <w:rFonts w:asciiTheme="majorHAnsi" w:hAnsiTheme="majorHAnsi"/>
          <w:spacing w:val="1"/>
          <w:sz w:val="20"/>
          <w:szCs w:val="20"/>
        </w:rPr>
        <w:t xml:space="preserve"> </w:t>
      </w:r>
      <w:r w:rsidRPr="000977F7">
        <w:rPr>
          <w:rFonts w:asciiTheme="majorHAnsi" w:hAnsiTheme="majorHAnsi"/>
          <w:sz w:val="20"/>
          <w:szCs w:val="20"/>
        </w:rPr>
        <w:t>шарами</w:t>
      </w:r>
      <w:r w:rsidRPr="000977F7">
        <w:rPr>
          <w:rFonts w:asciiTheme="majorHAnsi" w:hAnsiTheme="majorHAnsi"/>
          <w:spacing w:val="1"/>
          <w:sz w:val="20"/>
          <w:szCs w:val="20"/>
        </w:rPr>
        <w:t xml:space="preserve"> </w:t>
      </w:r>
      <w:r w:rsidRPr="000977F7">
        <w:rPr>
          <w:rFonts w:asciiTheme="majorHAnsi" w:hAnsiTheme="majorHAnsi"/>
          <w:sz w:val="20"/>
          <w:szCs w:val="20"/>
        </w:rPr>
        <w:t>переважно</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напрямку</w:t>
      </w:r>
      <w:r w:rsidRPr="000977F7">
        <w:rPr>
          <w:rFonts w:asciiTheme="majorHAnsi" w:hAnsiTheme="majorHAnsi"/>
          <w:spacing w:val="-2"/>
          <w:sz w:val="20"/>
          <w:szCs w:val="20"/>
        </w:rPr>
        <w:t xml:space="preserve"> </w:t>
      </w:r>
      <w:r w:rsidRPr="000977F7">
        <w:rPr>
          <w:rFonts w:asciiTheme="majorHAnsi" w:hAnsiTheme="majorHAnsi"/>
          <w:sz w:val="20"/>
          <w:szCs w:val="20"/>
        </w:rPr>
        <w:t>пластичної</w:t>
      </w:r>
      <w:r w:rsidRPr="000977F7">
        <w:rPr>
          <w:rFonts w:asciiTheme="majorHAnsi" w:hAnsiTheme="majorHAnsi"/>
          <w:spacing w:val="-1"/>
          <w:sz w:val="20"/>
          <w:szCs w:val="20"/>
        </w:rPr>
        <w:t xml:space="preserve"> </w:t>
      </w:r>
      <w:r w:rsidRPr="000977F7">
        <w:rPr>
          <w:rFonts w:asciiTheme="majorHAnsi" w:hAnsiTheme="majorHAnsi"/>
          <w:sz w:val="20"/>
          <w:szCs w:val="20"/>
        </w:rPr>
        <w:t>деформації</w:t>
      </w:r>
      <w:r w:rsidRPr="000977F7">
        <w:rPr>
          <w:rFonts w:asciiTheme="majorHAnsi" w:hAnsiTheme="majorHAnsi"/>
          <w:spacing w:val="-1"/>
          <w:sz w:val="20"/>
          <w:szCs w:val="20"/>
        </w:rPr>
        <w:t xml:space="preserve"> </w:t>
      </w:r>
      <w:r w:rsidRPr="000977F7">
        <w:rPr>
          <w:rFonts w:asciiTheme="majorHAnsi" w:hAnsiTheme="majorHAnsi"/>
          <w:sz w:val="20"/>
          <w:szCs w:val="20"/>
        </w:rPr>
        <w:t>металу</w:t>
      </w:r>
    </w:p>
    <w:p w14:paraId="18890F86"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5D253E60"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pacing w:val="-1"/>
          <w:sz w:val="20"/>
          <w:szCs w:val="20"/>
        </w:rPr>
        <w:t xml:space="preserve">ПОШКОДЖЕННЯ </w:t>
      </w:r>
      <w:r w:rsidRPr="000977F7">
        <w:rPr>
          <w:rFonts w:asciiTheme="majorHAnsi" w:hAnsiTheme="majorHAnsi"/>
          <w:b/>
          <w:sz w:val="20"/>
          <w:szCs w:val="20"/>
        </w:rPr>
        <w:t>–</w:t>
      </w:r>
      <w:r w:rsidRPr="000977F7">
        <w:rPr>
          <w:rFonts w:asciiTheme="majorHAnsi" w:hAnsiTheme="majorHAnsi"/>
          <w:b/>
          <w:spacing w:val="-47"/>
          <w:sz w:val="20"/>
          <w:szCs w:val="20"/>
        </w:rPr>
        <w:t xml:space="preserve"> </w:t>
      </w:r>
    </w:p>
    <w:p w14:paraId="78D6D9A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DEMAGE –</w:t>
      </w:r>
    </w:p>
    <w:p w14:paraId="6568509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Подія,</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полягає</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порушені</w:t>
      </w:r>
      <w:r w:rsidRPr="000977F7">
        <w:rPr>
          <w:rFonts w:asciiTheme="majorHAnsi" w:hAnsiTheme="majorHAnsi"/>
          <w:spacing w:val="1"/>
          <w:sz w:val="20"/>
          <w:szCs w:val="20"/>
        </w:rPr>
        <w:t xml:space="preserve"> </w:t>
      </w:r>
      <w:r w:rsidRPr="000977F7">
        <w:rPr>
          <w:rFonts w:asciiTheme="majorHAnsi" w:hAnsiTheme="majorHAnsi"/>
          <w:sz w:val="20"/>
          <w:szCs w:val="20"/>
        </w:rPr>
        <w:t>справного</w:t>
      </w:r>
      <w:r w:rsidRPr="000977F7">
        <w:rPr>
          <w:rFonts w:asciiTheme="majorHAnsi" w:hAnsiTheme="majorHAnsi"/>
          <w:spacing w:val="1"/>
          <w:sz w:val="20"/>
          <w:szCs w:val="20"/>
        </w:rPr>
        <w:t xml:space="preserve"> </w:t>
      </w:r>
      <w:r w:rsidRPr="000977F7">
        <w:rPr>
          <w:rFonts w:asciiTheme="majorHAnsi" w:hAnsiTheme="majorHAnsi"/>
          <w:sz w:val="20"/>
          <w:szCs w:val="20"/>
        </w:rPr>
        <w:t>стану</w:t>
      </w:r>
      <w:r w:rsidRPr="000977F7">
        <w:rPr>
          <w:rFonts w:asciiTheme="majorHAnsi" w:hAnsiTheme="majorHAnsi"/>
          <w:spacing w:val="1"/>
          <w:sz w:val="20"/>
          <w:szCs w:val="20"/>
        </w:rPr>
        <w:t xml:space="preserve"> </w:t>
      </w:r>
      <w:r w:rsidRPr="000977F7">
        <w:rPr>
          <w:rFonts w:asciiTheme="majorHAnsi" w:hAnsiTheme="majorHAnsi"/>
          <w:sz w:val="20"/>
          <w:szCs w:val="20"/>
        </w:rPr>
        <w:t>об’єкта, коли</w:t>
      </w:r>
      <w:r w:rsidRPr="000977F7">
        <w:rPr>
          <w:rFonts w:asciiTheme="majorHAnsi" w:hAnsiTheme="majorHAnsi"/>
          <w:spacing w:val="-2"/>
          <w:sz w:val="20"/>
          <w:szCs w:val="20"/>
        </w:rPr>
        <w:t xml:space="preserve"> </w:t>
      </w:r>
      <w:r w:rsidRPr="000977F7">
        <w:rPr>
          <w:rFonts w:asciiTheme="majorHAnsi" w:hAnsiTheme="majorHAnsi"/>
          <w:sz w:val="20"/>
          <w:szCs w:val="20"/>
        </w:rPr>
        <w:t>зберігається</w:t>
      </w:r>
      <w:r w:rsidRPr="000977F7">
        <w:rPr>
          <w:rFonts w:asciiTheme="majorHAnsi" w:hAnsiTheme="majorHAnsi"/>
          <w:spacing w:val="1"/>
          <w:sz w:val="20"/>
          <w:szCs w:val="20"/>
        </w:rPr>
        <w:t xml:space="preserve"> </w:t>
      </w:r>
      <w:r w:rsidRPr="000977F7">
        <w:rPr>
          <w:rFonts w:asciiTheme="majorHAnsi" w:hAnsiTheme="majorHAnsi"/>
          <w:sz w:val="20"/>
          <w:szCs w:val="20"/>
        </w:rPr>
        <w:t>його працездатність</w:t>
      </w:r>
    </w:p>
    <w:p w14:paraId="6DE81C1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C8ADF38"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bookmarkStart w:id="210" w:name="_Hlk103694342"/>
      <w:r w:rsidRPr="000977F7">
        <w:rPr>
          <w:rFonts w:asciiTheme="majorHAnsi" w:hAnsiTheme="majorHAnsi"/>
          <w:b/>
          <w:bCs/>
          <w:sz w:val="20"/>
          <w:szCs w:val="20"/>
        </w:rPr>
        <w:t>ПОШТОВХОВИЙ ПРИСТРІЙ КЕРУВАННЯ –</w:t>
      </w:r>
    </w:p>
    <w:p w14:paraId="76A2562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HOLD-TO-RUN CJNTRJL –</w:t>
      </w:r>
    </w:p>
    <w:bookmarkEnd w:id="210"/>
    <w:p w14:paraId="4CD055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Пристрій керування, який вмикає та підтримує функції машини лише під час дії на ручний орган керування </w:t>
      </w:r>
    </w:p>
    <w:p w14:paraId="6F711F1B"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61C33C0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ПОШТУЧНА</w:t>
      </w:r>
      <w:r w:rsidRPr="000977F7">
        <w:rPr>
          <w:color w:val="auto"/>
          <w:spacing w:val="-3"/>
          <w:sz w:val="20"/>
          <w:szCs w:val="20"/>
        </w:rPr>
        <w:t xml:space="preserve"> </w:t>
      </w:r>
      <w:r w:rsidRPr="000977F7">
        <w:rPr>
          <w:color w:val="auto"/>
          <w:sz w:val="20"/>
          <w:szCs w:val="20"/>
        </w:rPr>
        <w:t>ПРОДУКЦІЯ –</w:t>
      </w:r>
    </w:p>
    <w:p w14:paraId="19E3B8A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Продукція, кількість якої обчислюється штуками (екземплярами,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примірниками,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зразками 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іншими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цілими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одиницями)</w:t>
      </w:r>
    </w:p>
    <w:p w14:paraId="502EE6A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252AF2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ПОШУК МІСЦЯ ТА ВИЯВЛЕННЯ ПРИЧИН ВІДМОВИ (НЕСПРАВНОСТІ)</w:t>
      </w:r>
    </w:p>
    <w:p w14:paraId="2915CD3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46DDE3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ПОЯСНЮВАЛЬНА</w:t>
      </w:r>
      <w:r w:rsidRPr="000977F7">
        <w:rPr>
          <w:color w:val="auto"/>
          <w:spacing w:val="-6"/>
          <w:sz w:val="20"/>
          <w:szCs w:val="20"/>
        </w:rPr>
        <w:t xml:space="preserve"> </w:t>
      </w:r>
      <w:r w:rsidRPr="000977F7">
        <w:rPr>
          <w:color w:val="auto"/>
          <w:sz w:val="20"/>
          <w:szCs w:val="20"/>
        </w:rPr>
        <w:t>ЗАПИСКА</w:t>
      </w:r>
      <w:r w:rsidRPr="000977F7">
        <w:rPr>
          <w:color w:val="auto"/>
          <w:spacing w:val="-2"/>
          <w:sz w:val="20"/>
          <w:szCs w:val="20"/>
        </w:rPr>
        <w:t xml:space="preserve"> </w:t>
      </w:r>
      <w:r w:rsidRPr="000977F7">
        <w:rPr>
          <w:color w:val="auto"/>
          <w:sz w:val="20"/>
          <w:szCs w:val="20"/>
        </w:rPr>
        <w:t>–</w:t>
      </w:r>
    </w:p>
    <w:p w14:paraId="45F1CE4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Текстовий конструкторський документ, який містить</w:t>
      </w:r>
      <w:r w:rsidRPr="000977F7">
        <w:rPr>
          <w:rFonts w:asciiTheme="majorHAnsi" w:hAnsiTheme="majorHAnsi"/>
          <w:spacing w:val="1"/>
          <w:sz w:val="20"/>
          <w:szCs w:val="20"/>
        </w:rPr>
        <w:t xml:space="preserve"> </w:t>
      </w:r>
      <w:r w:rsidRPr="000977F7">
        <w:rPr>
          <w:rFonts w:asciiTheme="majorHAnsi" w:hAnsiTheme="majorHAnsi"/>
          <w:sz w:val="20"/>
          <w:szCs w:val="20"/>
        </w:rPr>
        <w:t>опис будови та принципу дії розроблюваного виробу,</w:t>
      </w:r>
      <w:r w:rsidRPr="000977F7">
        <w:rPr>
          <w:rFonts w:asciiTheme="majorHAnsi" w:hAnsiTheme="majorHAnsi"/>
          <w:spacing w:val="1"/>
          <w:sz w:val="20"/>
          <w:szCs w:val="20"/>
        </w:rPr>
        <w:t xml:space="preserve"> </w:t>
      </w:r>
      <w:r w:rsidRPr="000977F7">
        <w:rPr>
          <w:rFonts w:asciiTheme="majorHAnsi" w:hAnsiTheme="majorHAnsi"/>
          <w:sz w:val="20"/>
          <w:szCs w:val="20"/>
        </w:rPr>
        <w:t>обґрунтування прийнятих на стадії його розроблення</w:t>
      </w:r>
      <w:r w:rsidRPr="000977F7">
        <w:rPr>
          <w:rFonts w:asciiTheme="majorHAnsi" w:hAnsiTheme="majorHAnsi"/>
          <w:spacing w:val="1"/>
          <w:sz w:val="20"/>
          <w:szCs w:val="20"/>
        </w:rPr>
        <w:t xml:space="preserve"> </w:t>
      </w:r>
      <w:r w:rsidRPr="000977F7">
        <w:rPr>
          <w:rFonts w:asciiTheme="majorHAnsi" w:hAnsiTheme="majorHAnsi"/>
          <w:sz w:val="20"/>
          <w:szCs w:val="20"/>
        </w:rPr>
        <w:t>технічних</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техніко-економічних</w:t>
      </w:r>
      <w:r w:rsidRPr="000977F7">
        <w:rPr>
          <w:rFonts w:asciiTheme="majorHAnsi" w:hAnsiTheme="majorHAnsi"/>
          <w:spacing w:val="-2"/>
          <w:sz w:val="20"/>
          <w:szCs w:val="20"/>
        </w:rPr>
        <w:t xml:space="preserve"> </w:t>
      </w:r>
      <w:r w:rsidRPr="000977F7">
        <w:rPr>
          <w:rFonts w:asciiTheme="majorHAnsi" w:hAnsiTheme="majorHAnsi"/>
          <w:sz w:val="20"/>
          <w:szCs w:val="20"/>
        </w:rPr>
        <w:t>рішень</w:t>
      </w:r>
    </w:p>
    <w:p w14:paraId="6883306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0BE53C4F" w14:textId="77777777" w:rsidR="0097612F" w:rsidRPr="000977F7" w:rsidRDefault="0097612F" w:rsidP="000977F7">
      <w:pPr>
        <w:pStyle w:val="7"/>
        <w:tabs>
          <w:tab w:val="left" w:pos="284"/>
        </w:tabs>
        <w:spacing w:before="0" w:line="240" w:lineRule="auto"/>
        <w:ind w:left="170"/>
        <w:mirrorIndents/>
        <w:jc w:val="both"/>
        <w:rPr>
          <w:color w:val="auto"/>
          <w:spacing w:val="42"/>
          <w:sz w:val="20"/>
          <w:szCs w:val="20"/>
        </w:rPr>
      </w:pPr>
      <w:r w:rsidRPr="000977F7">
        <w:rPr>
          <w:color w:val="auto"/>
          <w:sz w:val="20"/>
          <w:szCs w:val="20"/>
        </w:rPr>
        <w:t>ПРАВА</w:t>
      </w:r>
      <w:r w:rsidRPr="000977F7">
        <w:rPr>
          <w:color w:val="auto"/>
          <w:spacing w:val="41"/>
          <w:sz w:val="20"/>
          <w:szCs w:val="20"/>
        </w:rPr>
        <w:t xml:space="preserve"> </w:t>
      </w:r>
      <w:r w:rsidRPr="000977F7">
        <w:rPr>
          <w:color w:val="auto"/>
          <w:sz w:val="20"/>
          <w:szCs w:val="20"/>
        </w:rPr>
        <w:t>ГРОМАДСЬКИХ</w:t>
      </w:r>
      <w:r w:rsidRPr="000977F7">
        <w:rPr>
          <w:color w:val="auto"/>
          <w:spacing w:val="41"/>
          <w:sz w:val="20"/>
          <w:szCs w:val="20"/>
        </w:rPr>
        <w:t xml:space="preserve"> </w:t>
      </w:r>
      <w:r w:rsidRPr="000977F7">
        <w:rPr>
          <w:color w:val="auto"/>
          <w:sz w:val="20"/>
          <w:szCs w:val="20"/>
        </w:rPr>
        <w:t>ОРГАНІЗАЦІЙ</w:t>
      </w:r>
      <w:r w:rsidRPr="000977F7">
        <w:rPr>
          <w:color w:val="auto"/>
          <w:spacing w:val="42"/>
          <w:sz w:val="20"/>
          <w:szCs w:val="20"/>
        </w:rPr>
        <w:t xml:space="preserve"> </w:t>
      </w:r>
    </w:p>
    <w:p w14:paraId="7447687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СПО</w:t>
      </w:r>
      <w:r w:rsidRPr="000977F7">
        <w:rPr>
          <w:color w:val="auto"/>
          <w:spacing w:val="-47"/>
          <w:sz w:val="20"/>
          <w:szCs w:val="20"/>
        </w:rPr>
        <w:t xml:space="preserve"> </w:t>
      </w:r>
      <w:r w:rsidRPr="000977F7">
        <w:rPr>
          <w:color w:val="auto"/>
          <w:sz w:val="20"/>
          <w:szCs w:val="20"/>
        </w:rPr>
        <w:t>ЖИВАЧІВ (ОБ’ЄДНАНЬ</w:t>
      </w:r>
      <w:r w:rsidRPr="000977F7">
        <w:rPr>
          <w:color w:val="auto"/>
          <w:spacing w:val="-1"/>
          <w:sz w:val="20"/>
          <w:szCs w:val="20"/>
        </w:rPr>
        <w:t xml:space="preserve"> </w:t>
      </w:r>
      <w:r w:rsidRPr="000977F7">
        <w:rPr>
          <w:color w:val="auto"/>
          <w:sz w:val="20"/>
          <w:szCs w:val="20"/>
        </w:rPr>
        <w:t>СПОЖИВАЧІВ)</w:t>
      </w:r>
      <w:r w:rsidRPr="000977F7">
        <w:rPr>
          <w:color w:val="auto"/>
          <w:spacing w:val="3"/>
          <w:sz w:val="20"/>
          <w:szCs w:val="20"/>
        </w:rPr>
        <w:t xml:space="preserve"> </w:t>
      </w:r>
    </w:p>
    <w:p w14:paraId="727F2E7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1.</w:t>
      </w:r>
      <w:r w:rsidRPr="000977F7">
        <w:rPr>
          <w:rFonts w:asciiTheme="majorHAnsi" w:hAnsiTheme="majorHAnsi"/>
          <w:spacing w:val="-4"/>
          <w:sz w:val="20"/>
          <w:szCs w:val="20"/>
        </w:rPr>
        <w:t xml:space="preserve"> </w:t>
      </w:r>
      <w:r w:rsidRPr="000977F7">
        <w:rPr>
          <w:rFonts w:asciiTheme="majorHAnsi" w:hAnsiTheme="majorHAnsi"/>
          <w:sz w:val="20"/>
          <w:szCs w:val="20"/>
        </w:rPr>
        <w:t>Об'єднання</w:t>
      </w:r>
      <w:r w:rsidRPr="000977F7">
        <w:rPr>
          <w:rFonts w:asciiTheme="majorHAnsi" w:hAnsiTheme="majorHAnsi"/>
          <w:spacing w:val="-5"/>
          <w:sz w:val="20"/>
          <w:szCs w:val="20"/>
        </w:rPr>
        <w:t xml:space="preserve"> </w:t>
      </w:r>
      <w:r w:rsidRPr="000977F7">
        <w:rPr>
          <w:rFonts w:asciiTheme="majorHAnsi" w:hAnsiTheme="majorHAnsi"/>
          <w:sz w:val="20"/>
          <w:szCs w:val="20"/>
        </w:rPr>
        <w:t>споживачів</w:t>
      </w:r>
      <w:r w:rsidRPr="000977F7">
        <w:rPr>
          <w:rFonts w:asciiTheme="majorHAnsi" w:hAnsiTheme="majorHAnsi"/>
          <w:spacing w:val="-5"/>
          <w:sz w:val="20"/>
          <w:szCs w:val="20"/>
        </w:rPr>
        <w:t xml:space="preserve"> </w:t>
      </w:r>
      <w:r w:rsidRPr="000977F7">
        <w:rPr>
          <w:rFonts w:asciiTheme="majorHAnsi" w:hAnsiTheme="majorHAnsi"/>
          <w:sz w:val="20"/>
          <w:szCs w:val="20"/>
        </w:rPr>
        <w:t>мають</w:t>
      </w:r>
      <w:r w:rsidRPr="000977F7">
        <w:rPr>
          <w:rFonts w:asciiTheme="majorHAnsi" w:hAnsiTheme="majorHAnsi"/>
          <w:spacing w:val="-3"/>
          <w:sz w:val="20"/>
          <w:szCs w:val="20"/>
        </w:rPr>
        <w:t xml:space="preserve"> </w:t>
      </w:r>
      <w:r w:rsidRPr="000977F7">
        <w:rPr>
          <w:rFonts w:asciiTheme="majorHAnsi" w:hAnsiTheme="majorHAnsi"/>
          <w:sz w:val="20"/>
          <w:szCs w:val="20"/>
        </w:rPr>
        <w:t>право:</w:t>
      </w:r>
    </w:p>
    <w:p w14:paraId="14265CAE" w14:textId="77777777" w:rsidR="0097612F" w:rsidRPr="000977F7" w:rsidRDefault="0097612F" w:rsidP="00FD39A4">
      <w:pPr>
        <w:pStyle w:val="ac"/>
        <w:widowControl w:val="0"/>
        <w:numPr>
          <w:ilvl w:val="0"/>
          <w:numId w:val="108"/>
        </w:numPr>
        <w:tabs>
          <w:tab w:val="left" w:pos="284"/>
          <w:tab w:val="left" w:pos="60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вивчати споживчі властивості продукції, попит на</w:t>
      </w:r>
      <w:r w:rsidRPr="000977F7">
        <w:rPr>
          <w:rFonts w:asciiTheme="majorHAnsi" w:hAnsiTheme="majorHAnsi"/>
          <w:spacing w:val="1"/>
          <w:sz w:val="20"/>
          <w:szCs w:val="20"/>
        </w:rPr>
        <w:t xml:space="preserve"> </w:t>
      </w:r>
      <w:r w:rsidRPr="000977F7">
        <w:rPr>
          <w:rFonts w:asciiTheme="majorHAnsi" w:hAnsiTheme="majorHAnsi"/>
          <w:sz w:val="20"/>
          <w:szCs w:val="20"/>
        </w:rPr>
        <w:t>неї, проводити опитування населення для виявлення</w:t>
      </w:r>
      <w:r w:rsidRPr="000977F7">
        <w:rPr>
          <w:rFonts w:asciiTheme="majorHAnsi" w:hAnsiTheme="majorHAnsi"/>
          <w:spacing w:val="1"/>
          <w:sz w:val="20"/>
          <w:szCs w:val="20"/>
        </w:rPr>
        <w:t xml:space="preserve"> </w:t>
      </w:r>
      <w:r w:rsidRPr="000977F7">
        <w:rPr>
          <w:rFonts w:asciiTheme="majorHAnsi" w:hAnsiTheme="majorHAnsi"/>
          <w:sz w:val="20"/>
          <w:szCs w:val="20"/>
        </w:rPr>
        <w:t>громадської</w:t>
      </w:r>
      <w:r w:rsidRPr="000977F7">
        <w:rPr>
          <w:rFonts w:asciiTheme="majorHAnsi" w:hAnsiTheme="majorHAnsi"/>
          <w:spacing w:val="1"/>
          <w:sz w:val="20"/>
          <w:szCs w:val="20"/>
        </w:rPr>
        <w:t xml:space="preserve"> </w:t>
      </w:r>
      <w:r w:rsidRPr="000977F7">
        <w:rPr>
          <w:rFonts w:asciiTheme="majorHAnsi" w:hAnsiTheme="majorHAnsi"/>
          <w:sz w:val="20"/>
          <w:szCs w:val="20"/>
        </w:rPr>
        <w:t>думки</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якість</w:t>
      </w:r>
      <w:r w:rsidRPr="000977F7">
        <w:rPr>
          <w:rFonts w:asciiTheme="majorHAnsi" w:hAnsiTheme="majorHAnsi"/>
          <w:spacing w:val="1"/>
          <w:sz w:val="20"/>
          <w:szCs w:val="20"/>
        </w:rPr>
        <w:t xml:space="preserve"> </w:t>
      </w:r>
      <w:r w:rsidRPr="000977F7">
        <w:rPr>
          <w:rFonts w:asciiTheme="majorHAnsi" w:hAnsiTheme="majorHAnsi"/>
          <w:sz w:val="20"/>
          <w:szCs w:val="20"/>
        </w:rPr>
        <w:t>товарів,</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випускаються</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реалізуються,</w:t>
      </w:r>
      <w:r w:rsidRPr="000977F7">
        <w:rPr>
          <w:rFonts w:asciiTheme="majorHAnsi" w:hAnsiTheme="majorHAnsi"/>
          <w:spacing w:val="-1"/>
          <w:sz w:val="20"/>
          <w:szCs w:val="20"/>
        </w:rPr>
        <w:t xml:space="preserve"> </w:t>
      </w:r>
      <w:r w:rsidRPr="000977F7">
        <w:rPr>
          <w:rFonts w:asciiTheme="majorHAnsi" w:hAnsiTheme="majorHAnsi"/>
          <w:sz w:val="20"/>
          <w:szCs w:val="20"/>
        </w:rPr>
        <w:t>та ціни</w:t>
      </w:r>
      <w:r w:rsidRPr="000977F7">
        <w:rPr>
          <w:rFonts w:asciiTheme="majorHAnsi" w:hAnsiTheme="majorHAnsi"/>
          <w:spacing w:val="-2"/>
          <w:sz w:val="20"/>
          <w:szCs w:val="20"/>
        </w:rPr>
        <w:t xml:space="preserve"> </w:t>
      </w:r>
      <w:r w:rsidRPr="000977F7">
        <w:rPr>
          <w:rFonts w:asciiTheme="majorHAnsi" w:hAnsiTheme="majorHAnsi"/>
          <w:sz w:val="20"/>
          <w:szCs w:val="20"/>
        </w:rPr>
        <w:t>на них;</w:t>
      </w:r>
    </w:p>
    <w:p w14:paraId="1EBE43C6" w14:textId="77777777" w:rsidR="0097612F" w:rsidRPr="000977F7" w:rsidRDefault="0097612F" w:rsidP="00FD39A4">
      <w:pPr>
        <w:pStyle w:val="ac"/>
        <w:widowControl w:val="0"/>
        <w:numPr>
          <w:ilvl w:val="0"/>
          <w:numId w:val="108"/>
        </w:numPr>
        <w:tabs>
          <w:tab w:val="left" w:pos="284"/>
          <w:tab w:val="left" w:pos="62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проводити самостійно або звертатися до уповноважених державних органів щодо проведення експертизи</w:t>
      </w:r>
      <w:r w:rsidRPr="000977F7">
        <w:rPr>
          <w:rFonts w:asciiTheme="majorHAnsi" w:hAnsiTheme="majorHAnsi"/>
          <w:spacing w:val="-2"/>
          <w:sz w:val="20"/>
          <w:szCs w:val="20"/>
        </w:rPr>
        <w:t xml:space="preserve"> </w:t>
      </w:r>
      <w:r w:rsidRPr="000977F7">
        <w:rPr>
          <w:rFonts w:asciiTheme="majorHAnsi" w:hAnsiTheme="majorHAnsi"/>
          <w:sz w:val="20"/>
          <w:szCs w:val="20"/>
        </w:rPr>
        <w:t>та 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043ABE21" w14:textId="77777777" w:rsidR="0097612F" w:rsidRPr="000977F7" w:rsidRDefault="0097612F" w:rsidP="00FD39A4">
      <w:pPr>
        <w:pStyle w:val="ac"/>
        <w:widowControl w:val="0"/>
        <w:numPr>
          <w:ilvl w:val="0"/>
          <w:numId w:val="108"/>
        </w:numPr>
        <w:tabs>
          <w:tab w:val="left" w:pos="284"/>
          <w:tab w:val="left" w:pos="73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одержувати від органів виконавчої влади, органів</w:t>
      </w:r>
      <w:r w:rsidRPr="000977F7">
        <w:rPr>
          <w:rFonts w:asciiTheme="majorHAnsi" w:hAnsiTheme="majorHAnsi"/>
          <w:spacing w:val="1"/>
          <w:sz w:val="20"/>
          <w:szCs w:val="20"/>
        </w:rPr>
        <w:t xml:space="preserve"> </w:t>
      </w:r>
      <w:r w:rsidRPr="000977F7">
        <w:rPr>
          <w:rFonts w:asciiTheme="majorHAnsi" w:hAnsiTheme="majorHAnsi"/>
          <w:sz w:val="20"/>
          <w:szCs w:val="20"/>
        </w:rPr>
        <w:t>місцевого самоврядування інформацію, необхідну для</w:t>
      </w:r>
      <w:r w:rsidRPr="000977F7">
        <w:rPr>
          <w:rFonts w:asciiTheme="majorHAnsi" w:hAnsiTheme="majorHAnsi"/>
          <w:spacing w:val="-47"/>
          <w:sz w:val="20"/>
          <w:szCs w:val="20"/>
        </w:rPr>
        <w:t xml:space="preserve"> </w:t>
      </w:r>
      <w:r w:rsidRPr="000977F7">
        <w:rPr>
          <w:rFonts w:asciiTheme="majorHAnsi" w:hAnsiTheme="majorHAnsi"/>
          <w:sz w:val="20"/>
          <w:szCs w:val="20"/>
        </w:rPr>
        <w:t>реалізації</w:t>
      </w:r>
      <w:r w:rsidRPr="000977F7">
        <w:rPr>
          <w:rFonts w:asciiTheme="majorHAnsi" w:hAnsiTheme="majorHAnsi"/>
          <w:spacing w:val="-2"/>
          <w:sz w:val="20"/>
          <w:szCs w:val="20"/>
        </w:rPr>
        <w:t xml:space="preserve"> </w:t>
      </w:r>
      <w:r w:rsidRPr="000977F7">
        <w:rPr>
          <w:rFonts w:asciiTheme="majorHAnsi" w:hAnsiTheme="majorHAnsi"/>
          <w:sz w:val="20"/>
          <w:szCs w:val="20"/>
        </w:rPr>
        <w:t>своїх</w:t>
      </w:r>
      <w:r w:rsidRPr="000977F7">
        <w:rPr>
          <w:rFonts w:asciiTheme="majorHAnsi" w:hAnsiTheme="majorHAnsi"/>
          <w:spacing w:val="-1"/>
          <w:sz w:val="20"/>
          <w:szCs w:val="20"/>
        </w:rPr>
        <w:t xml:space="preserve"> </w:t>
      </w:r>
      <w:r w:rsidRPr="000977F7">
        <w:rPr>
          <w:rFonts w:asciiTheme="majorHAnsi" w:hAnsiTheme="majorHAnsi"/>
          <w:sz w:val="20"/>
          <w:szCs w:val="20"/>
        </w:rPr>
        <w:t>цілей</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завдань;</w:t>
      </w:r>
    </w:p>
    <w:p w14:paraId="5C9C9822" w14:textId="77777777" w:rsidR="0097612F" w:rsidRPr="000977F7" w:rsidRDefault="0097612F" w:rsidP="00FD39A4">
      <w:pPr>
        <w:pStyle w:val="ac"/>
        <w:widowControl w:val="0"/>
        <w:numPr>
          <w:ilvl w:val="0"/>
          <w:numId w:val="108"/>
        </w:numPr>
        <w:tabs>
          <w:tab w:val="left" w:pos="284"/>
          <w:tab w:val="left" w:pos="73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сприяти відповідним державним органам у здійсненні контролю за якістю продукції та обслуговування;</w:t>
      </w:r>
    </w:p>
    <w:p w14:paraId="7E852744" w14:textId="77777777" w:rsidR="0097612F" w:rsidRPr="000977F7" w:rsidRDefault="0097612F" w:rsidP="00FD39A4">
      <w:pPr>
        <w:pStyle w:val="ac"/>
        <w:widowControl w:val="0"/>
        <w:numPr>
          <w:ilvl w:val="0"/>
          <w:numId w:val="108"/>
        </w:numPr>
        <w:tabs>
          <w:tab w:val="left" w:pos="284"/>
          <w:tab w:val="left" w:pos="78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надавати</w:t>
      </w:r>
      <w:r w:rsidRPr="000977F7">
        <w:rPr>
          <w:rFonts w:asciiTheme="majorHAnsi" w:hAnsiTheme="majorHAnsi"/>
          <w:spacing w:val="1"/>
          <w:sz w:val="20"/>
          <w:szCs w:val="20"/>
        </w:rPr>
        <w:t xml:space="preserve"> </w:t>
      </w:r>
      <w:r w:rsidRPr="000977F7">
        <w:rPr>
          <w:rFonts w:asciiTheme="majorHAnsi" w:hAnsiTheme="majorHAnsi"/>
          <w:sz w:val="20"/>
          <w:szCs w:val="20"/>
        </w:rPr>
        <w:t>юридичну</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консультаційну</w:t>
      </w:r>
      <w:r w:rsidRPr="000977F7">
        <w:rPr>
          <w:rFonts w:asciiTheme="majorHAnsi" w:hAnsiTheme="majorHAnsi"/>
          <w:spacing w:val="1"/>
          <w:sz w:val="20"/>
          <w:szCs w:val="20"/>
        </w:rPr>
        <w:t xml:space="preserve"> </w:t>
      </w:r>
      <w:r w:rsidRPr="000977F7">
        <w:rPr>
          <w:rFonts w:asciiTheme="majorHAnsi" w:hAnsiTheme="majorHAnsi"/>
          <w:sz w:val="20"/>
          <w:szCs w:val="20"/>
        </w:rPr>
        <w:t>допомогу</w:t>
      </w:r>
      <w:r w:rsidRPr="000977F7">
        <w:rPr>
          <w:rFonts w:asciiTheme="majorHAnsi" w:hAnsiTheme="majorHAnsi"/>
          <w:spacing w:val="1"/>
          <w:sz w:val="20"/>
          <w:szCs w:val="20"/>
        </w:rPr>
        <w:t xml:space="preserve"> </w:t>
      </w:r>
      <w:r w:rsidRPr="000977F7">
        <w:rPr>
          <w:rFonts w:asciiTheme="majorHAnsi" w:hAnsiTheme="majorHAnsi"/>
          <w:sz w:val="20"/>
          <w:szCs w:val="20"/>
        </w:rPr>
        <w:t>споживачам згідно із законодавством;</w:t>
      </w:r>
    </w:p>
    <w:p w14:paraId="55405084" w14:textId="77777777" w:rsidR="0097612F" w:rsidRPr="000977F7" w:rsidRDefault="0097612F" w:rsidP="00FD39A4">
      <w:pPr>
        <w:pStyle w:val="ac"/>
        <w:widowControl w:val="0"/>
        <w:numPr>
          <w:ilvl w:val="0"/>
          <w:numId w:val="108"/>
        </w:numPr>
        <w:tabs>
          <w:tab w:val="left" w:pos="284"/>
          <w:tab w:val="left" w:pos="74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вносити пропозиції щодо розроблення нормативно-правових актів, які встановлюють вимоги до якості</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1F5DB8B0" w14:textId="77777777" w:rsidR="0097612F" w:rsidRPr="000977F7" w:rsidRDefault="0097612F" w:rsidP="00FD39A4">
      <w:pPr>
        <w:pStyle w:val="ac"/>
        <w:widowControl w:val="0"/>
        <w:numPr>
          <w:ilvl w:val="0"/>
          <w:numId w:val="108"/>
        </w:numPr>
        <w:tabs>
          <w:tab w:val="left" w:pos="284"/>
          <w:tab w:val="left" w:pos="76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представляти</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захищати</w:t>
      </w:r>
      <w:r w:rsidRPr="000977F7">
        <w:rPr>
          <w:rFonts w:asciiTheme="majorHAnsi" w:hAnsiTheme="majorHAnsi"/>
          <w:spacing w:val="1"/>
          <w:sz w:val="20"/>
          <w:szCs w:val="20"/>
        </w:rPr>
        <w:t xml:space="preserve"> </w:t>
      </w:r>
      <w:r w:rsidRPr="000977F7">
        <w:rPr>
          <w:rFonts w:asciiTheme="majorHAnsi" w:hAnsiTheme="majorHAnsi"/>
          <w:sz w:val="20"/>
          <w:szCs w:val="20"/>
        </w:rPr>
        <w:t>інтереси</w:t>
      </w:r>
      <w:r w:rsidRPr="000977F7">
        <w:rPr>
          <w:rFonts w:asciiTheme="majorHAnsi" w:hAnsiTheme="majorHAnsi"/>
          <w:spacing w:val="1"/>
          <w:sz w:val="20"/>
          <w:szCs w:val="20"/>
        </w:rPr>
        <w:t xml:space="preserve"> </w:t>
      </w:r>
      <w:r w:rsidRPr="000977F7">
        <w:rPr>
          <w:rFonts w:asciiTheme="majorHAnsi" w:hAnsiTheme="majorHAnsi"/>
          <w:sz w:val="20"/>
          <w:szCs w:val="20"/>
        </w:rPr>
        <w:t>споживачів</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органах виконавчої влади та органах місцевого самоврядування</w:t>
      </w:r>
      <w:r w:rsidRPr="000977F7">
        <w:rPr>
          <w:rFonts w:asciiTheme="majorHAnsi" w:hAnsiTheme="majorHAnsi"/>
          <w:spacing w:val="-2"/>
          <w:sz w:val="20"/>
          <w:szCs w:val="20"/>
        </w:rPr>
        <w:t xml:space="preserve"> </w:t>
      </w:r>
      <w:r w:rsidRPr="000977F7">
        <w:rPr>
          <w:rFonts w:asciiTheme="majorHAnsi" w:hAnsiTheme="majorHAnsi"/>
          <w:sz w:val="20"/>
          <w:szCs w:val="20"/>
        </w:rPr>
        <w:t>згідно</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законодавством;</w:t>
      </w:r>
    </w:p>
    <w:p w14:paraId="6982FE85" w14:textId="77777777" w:rsidR="0097612F" w:rsidRPr="000977F7" w:rsidRDefault="0097612F" w:rsidP="00FD39A4">
      <w:pPr>
        <w:pStyle w:val="ac"/>
        <w:widowControl w:val="0"/>
        <w:numPr>
          <w:ilvl w:val="0"/>
          <w:numId w:val="108"/>
        </w:numPr>
        <w:tabs>
          <w:tab w:val="left" w:pos="284"/>
          <w:tab w:val="left" w:pos="72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вносити органам виконавчої влади і суб'єктам господарювання пропозиції про заходи щодо підвищення</w:t>
      </w:r>
      <w:r w:rsidRPr="000977F7">
        <w:rPr>
          <w:rFonts w:asciiTheme="majorHAnsi" w:hAnsiTheme="majorHAnsi"/>
          <w:spacing w:val="-47"/>
          <w:sz w:val="20"/>
          <w:szCs w:val="20"/>
        </w:rPr>
        <w:t xml:space="preserve"> </w:t>
      </w:r>
      <w:r w:rsidRPr="000977F7">
        <w:rPr>
          <w:rFonts w:asciiTheme="majorHAnsi" w:hAnsiTheme="majorHAnsi"/>
          <w:sz w:val="20"/>
          <w:szCs w:val="20"/>
        </w:rPr>
        <w:t>якості продукції, про тимчасове зупинення випуску та</w:t>
      </w:r>
      <w:r w:rsidRPr="000977F7">
        <w:rPr>
          <w:rFonts w:asciiTheme="majorHAnsi" w:hAnsiTheme="majorHAnsi"/>
          <w:spacing w:val="-47"/>
          <w:sz w:val="20"/>
          <w:szCs w:val="20"/>
        </w:rPr>
        <w:t xml:space="preserve"> </w:t>
      </w:r>
      <w:r w:rsidRPr="000977F7">
        <w:rPr>
          <w:rFonts w:asciiTheme="majorHAnsi" w:hAnsiTheme="majorHAnsi"/>
          <w:sz w:val="20"/>
          <w:szCs w:val="20"/>
        </w:rPr>
        <w:t>реалізації продукції, яка не відповідає встановленим</w:t>
      </w:r>
      <w:r w:rsidRPr="000977F7">
        <w:rPr>
          <w:rFonts w:asciiTheme="majorHAnsi" w:hAnsiTheme="majorHAnsi"/>
          <w:spacing w:val="1"/>
          <w:sz w:val="20"/>
          <w:szCs w:val="20"/>
        </w:rPr>
        <w:t xml:space="preserve"> </w:t>
      </w:r>
      <w:r w:rsidRPr="000977F7">
        <w:rPr>
          <w:rFonts w:asciiTheme="majorHAnsi" w:hAnsiTheme="majorHAnsi"/>
          <w:sz w:val="20"/>
          <w:szCs w:val="20"/>
        </w:rPr>
        <w:t>вимогам щодо якості, про припинення 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вилучення з реалізації продукції, що становлять небезпеку для життя, здоров'я та майна громадян або завдають</w:t>
      </w:r>
      <w:r w:rsidRPr="000977F7">
        <w:rPr>
          <w:rFonts w:asciiTheme="majorHAnsi" w:hAnsiTheme="majorHAnsi"/>
          <w:spacing w:val="1"/>
          <w:sz w:val="20"/>
          <w:szCs w:val="20"/>
        </w:rPr>
        <w:t xml:space="preserve"> </w:t>
      </w:r>
      <w:r w:rsidRPr="000977F7">
        <w:rPr>
          <w:rFonts w:asciiTheme="majorHAnsi" w:hAnsiTheme="majorHAnsi"/>
          <w:sz w:val="20"/>
          <w:szCs w:val="20"/>
        </w:rPr>
        <w:t>шкоди</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навколишньому</w:t>
      </w:r>
      <w:r w:rsidRPr="000977F7">
        <w:rPr>
          <w:rFonts w:asciiTheme="majorHAnsi" w:hAnsiTheme="majorHAnsi"/>
          <w:spacing w:val="1"/>
          <w:sz w:val="20"/>
          <w:szCs w:val="20"/>
        </w:rPr>
        <w:t xml:space="preserve"> </w:t>
      </w:r>
      <w:r w:rsidRPr="000977F7">
        <w:rPr>
          <w:rFonts w:asciiTheme="majorHAnsi" w:hAnsiTheme="majorHAnsi"/>
          <w:sz w:val="20"/>
          <w:szCs w:val="20"/>
        </w:rPr>
        <w:t>природному</w:t>
      </w:r>
      <w:r w:rsidRPr="000977F7">
        <w:rPr>
          <w:rFonts w:asciiTheme="majorHAnsi" w:hAnsiTheme="majorHAnsi"/>
          <w:spacing w:val="1"/>
          <w:sz w:val="20"/>
          <w:szCs w:val="20"/>
        </w:rPr>
        <w:t xml:space="preserve"> </w:t>
      </w:r>
      <w:r w:rsidRPr="000977F7">
        <w:rPr>
          <w:rFonts w:asciiTheme="majorHAnsi" w:hAnsiTheme="majorHAnsi"/>
          <w:sz w:val="20"/>
          <w:szCs w:val="20"/>
        </w:rPr>
        <w:t>середовищу, фальсифіковану та дефектну продукцію, а також про коригування цін, встановлених з порушенням</w:t>
      </w:r>
      <w:r w:rsidRPr="000977F7">
        <w:rPr>
          <w:rFonts w:asciiTheme="majorHAnsi" w:hAnsiTheme="majorHAnsi"/>
          <w:spacing w:val="-47"/>
          <w:sz w:val="20"/>
          <w:szCs w:val="20"/>
        </w:rPr>
        <w:t xml:space="preserve">            </w:t>
      </w:r>
      <w:r w:rsidRPr="000977F7">
        <w:rPr>
          <w:rFonts w:asciiTheme="majorHAnsi" w:hAnsiTheme="majorHAnsi"/>
          <w:sz w:val="20"/>
          <w:szCs w:val="20"/>
        </w:rPr>
        <w:t>законодавства;</w:t>
      </w:r>
    </w:p>
    <w:p w14:paraId="616B1233" w14:textId="77777777" w:rsidR="0097612F" w:rsidRPr="000977F7" w:rsidRDefault="0097612F" w:rsidP="00FD39A4">
      <w:pPr>
        <w:pStyle w:val="ac"/>
        <w:widowControl w:val="0"/>
        <w:numPr>
          <w:ilvl w:val="0"/>
          <w:numId w:val="108"/>
        </w:numPr>
        <w:tabs>
          <w:tab w:val="left" w:pos="284"/>
          <w:tab w:val="left" w:pos="76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звертатися</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позовом</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суду</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визнання</w:t>
      </w:r>
      <w:r w:rsidRPr="000977F7">
        <w:rPr>
          <w:rFonts w:asciiTheme="majorHAnsi" w:hAnsiTheme="majorHAnsi"/>
          <w:spacing w:val="1"/>
          <w:sz w:val="20"/>
          <w:szCs w:val="20"/>
        </w:rPr>
        <w:t xml:space="preserve"> </w:t>
      </w:r>
      <w:r w:rsidRPr="000977F7">
        <w:rPr>
          <w:rFonts w:asciiTheme="majorHAnsi" w:hAnsiTheme="majorHAnsi"/>
          <w:sz w:val="20"/>
          <w:szCs w:val="20"/>
        </w:rPr>
        <w:t>дій</w:t>
      </w:r>
      <w:r w:rsidRPr="000977F7">
        <w:rPr>
          <w:rFonts w:asciiTheme="majorHAnsi" w:hAnsiTheme="majorHAnsi"/>
          <w:spacing w:val="-47"/>
          <w:sz w:val="20"/>
          <w:szCs w:val="20"/>
        </w:rPr>
        <w:t xml:space="preserve"> </w:t>
      </w:r>
      <w:r w:rsidRPr="000977F7">
        <w:rPr>
          <w:rFonts w:asciiTheme="majorHAnsi" w:hAnsiTheme="majorHAnsi"/>
          <w:sz w:val="20"/>
          <w:szCs w:val="20"/>
        </w:rPr>
        <w:t>продавця,</w:t>
      </w:r>
      <w:r w:rsidRPr="000977F7">
        <w:rPr>
          <w:rFonts w:asciiTheme="majorHAnsi" w:hAnsiTheme="majorHAnsi"/>
          <w:spacing w:val="1"/>
          <w:sz w:val="20"/>
          <w:szCs w:val="20"/>
        </w:rPr>
        <w:t xml:space="preserve"> </w:t>
      </w:r>
      <w:r w:rsidRPr="000977F7">
        <w:rPr>
          <w:rFonts w:asciiTheme="majorHAnsi" w:hAnsiTheme="majorHAnsi"/>
          <w:sz w:val="20"/>
          <w:szCs w:val="20"/>
        </w:rPr>
        <w:t>виробника</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виконує</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функції), виконавця протиправними щодо невизначеного</w:t>
      </w:r>
      <w:r w:rsidRPr="000977F7">
        <w:rPr>
          <w:rFonts w:asciiTheme="majorHAnsi" w:hAnsiTheme="majorHAnsi"/>
          <w:spacing w:val="-1"/>
          <w:sz w:val="20"/>
          <w:szCs w:val="20"/>
        </w:rPr>
        <w:t xml:space="preserve"> </w:t>
      </w:r>
      <w:r w:rsidRPr="000977F7">
        <w:rPr>
          <w:rFonts w:asciiTheme="majorHAnsi" w:hAnsiTheme="majorHAnsi"/>
          <w:sz w:val="20"/>
          <w:szCs w:val="20"/>
        </w:rPr>
        <w:t>кола</w:t>
      </w:r>
      <w:r w:rsidRPr="000977F7">
        <w:rPr>
          <w:rFonts w:asciiTheme="majorHAnsi" w:hAnsiTheme="majorHAnsi"/>
          <w:spacing w:val="-1"/>
          <w:sz w:val="20"/>
          <w:szCs w:val="20"/>
        </w:rPr>
        <w:t xml:space="preserve"> </w:t>
      </w:r>
      <w:r w:rsidRPr="000977F7">
        <w:rPr>
          <w:rFonts w:asciiTheme="majorHAnsi" w:hAnsiTheme="majorHAnsi"/>
          <w:sz w:val="20"/>
          <w:szCs w:val="20"/>
        </w:rPr>
        <w:t>споживачів</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припинення</w:t>
      </w:r>
      <w:r w:rsidRPr="000977F7">
        <w:rPr>
          <w:rFonts w:asciiTheme="majorHAnsi" w:hAnsiTheme="majorHAnsi"/>
          <w:spacing w:val="-2"/>
          <w:sz w:val="20"/>
          <w:szCs w:val="20"/>
        </w:rPr>
        <w:t xml:space="preserve"> </w:t>
      </w:r>
      <w:r w:rsidRPr="000977F7">
        <w:rPr>
          <w:rFonts w:asciiTheme="majorHAnsi" w:hAnsiTheme="majorHAnsi"/>
          <w:sz w:val="20"/>
          <w:szCs w:val="20"/>
        </w:rPr>
        <w:t>цих дій.</w:t>
      </w:r>
    </w:p>
    <w:p w14:paraId="63A61F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 задоволенні такого позову суд зобов'язує порушника</w:t>
      </w:r>
      <w:r w:rsidRPr="000977F7">
        <w:rPr>
          <w:rFonts w:asciiTheme="majorHAnsi" w:hAnsiTheme="majorHAnsi"/>
          <w:spacing w:val="1"/>
          <w:sz w:val="20"/>
          <w:szCs w:val="20"/>
        </w:rPr>
        <w:t xml:space="preserve"> </w:t>
      </w:r>
      <w:r w:rsidRPr="000977F7">
        <w:rPr>
          <w:rFonts w:asciiTheme="majorHAnsi" w:hAnsiTheme="majorHAnsi"/>
          <w:sz w:val="20"/>
          <w:szCs w:val="20"/>
        </w:rPr>
        <w:t>довести</w:t>
      </w:r>
      <w:r w:rsidRPr="000977F7">
        <w:rPr>
          <w:rFonts w:asciiTheme="majorHAnsi" w:hAnsiTheme="majorHAnsi"/>
          <w:spacing w:val="1"/>
          <w:sz w:val="20"/>
          <w:szCs w:val="20"/>
        </w:rPr>
        <w:t xml:space="preserve"> </w:t>
      </w:r>
      <w:r w:rsidRPr="000977F7">
        <w:rPr>
          <w:rFonts w:asciiTheme="majorHAnsi" w:hAnsiTheme="majorHAnsi"/>
          <w:sz w:val="20"/>
          <w:szCs w:val="20"/>
        </w:rPr>
        <w:t>рішення</w:t>
      </w:r>
      <w:r w:rsidRPr="000977F7">
        <w:rPr>
          <w:rFonts w:asciiTheme="majorHAnsi" w:hAnsiTheme="majorHAnsi"/>
          <w:spacing w:val="1"/>
          <w:sz w:val="20"/>
          <w:szCs w:val="20"/>
        </w:rPr>
        <w:t xml:space="preserve"> </w:t>
      </w:r>
      <w:r w:rsidRPr="000977F7">
        <w:rPr>
          <w:rFonts w:asciiTheme="majorHAnsi" w:hAnsiTheme="majorHAnsi"/>
          <w:sz w:val="20"/>
          <w:szCs w:val="20"/>
        </w:rPr>
        <w:t>суду</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встановлений</w:t>
      </w:r>
      <w:r w:rsidRPr="000977F7">
        <w:rPr>
          <w:rFonts w:asciiTheme="majorHAnsi" w:hAnsiTheme="majorHAnsi"/>
          <w:spacing w:val="1"/>
          <w:sz w:val="20"/>
          <w:szCs w:val="20"/>
        </w:rPr>
        <w:t xml:space="preserve"> </w:t>
      </w:r>
      <w:r w:rsidRPr="000977F7">
        <w:rPr>
          <w:rFonts w:asciiTheme="majorHAnsi" w:hAnsiTheme="majorHAnsi"/>
          <w:sz w:val="20"/>
          <w:szCs w:val="20"/>
        </w:rPr>
        <w:t>ним</w:t>
      </w:r>
      <w:r w:rsidRPr="000977F7">
        <w:rPr>
          <w:rFonts w:asciiTheme="majorHAnsi" w:hAnsiTheme="majorHAnsi"/>
          <w:spacing w:val="1"/>
          <w:sz w:val="20"/>
          <w:szCs w:val="20"/>
        </w:rPr>
        <w:t xml:space="preserve"> </w:t>
      </w:r>
      <w:r w:rsidRPr="000977F7">
        <w:rPr>
          <w:rFonts w:asciiTheme="majorHAnsi" w:hAnsiTheme="majorHAnsi"/>
          <w:sz w:val="20"/>
          <w:szCs w:val="20"/>
        </w:rPr>
        <w:t>строк через засоби масової інформації або іншим способом до відома споживачів.</w:t>
      </w:r>
    </w:p>
    <w:p w14:paraId="7708885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Рішення</w:t>
      </w:r>
      <w:r w:rsidRPr="000977F7">
        <w:rPr>
          <w:rFonts w:asciiTheme="majorHAnsi" w:hAnsiTheme="majorHAnsi"/>
          <w:spacing w:val="1"/>
          <w:sz w:val="20"/>
          <w:szCs w:val="20"/>
        </w:rPr>
        <w:t xml:space="preserve"> </w:t>
      </w:r>
      <w:r w:rsidRPr="000977F7">
        <w:rPr>
          <w:rFonts w:asciiTheme="majorHAnsi" w:hAnsiTheme="majorHAnsi"/>
          <w:sz w:val="20"/>
          <w:szCs w:val="20"/>
        </w:rPr>
        <w:t>суду,</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набрало</w:t>
      </w:r>
      <w:r w:rsidRPr="000977F7">
        <w:rPr>
          <w:rFonts w:asciiTheme="majorHAnsi" w:hAnsiTheme="majorHAnsi"/>
          <w:spacing w:val="1"/>
          <w:sz w:val="20"/>
          <w:szCs w:val="20"/>
        </w:rPr>
        <w:t xml:space="preserve"> </w:t>
      </w:r>
      <w:r w:rsidRPr="000977F7">
        <w:rPr>
          <w:rFonts w:asciiTheme="majorHAnsi" w:hAnsiTheme="majorHAnsi"/>
          <w:sz w:val="20"/>
          <w:szCs w:val="20"/>
        </w:rPr>
        <w:t>законної</w:t>
      </w:r>
      <w:r w:rsidRPr="000977F7">
        <w:rPr>
          <w:rFonts w:asciiTheme="majorHAnsi" w:hAnsiTheme="majorHAnsi"/>
          <w:spacing w:val="1"/>
          <w:sz w:val="20"/>
          <w:szCs w:val="20"/>
        </w:rPr>
        <w:t xml:space="preserve"> </w:t>
      </w:r>
      <w:r w:rsidRPr="000977F7">
        <w:rPr>
          <w:rFonts w:asciiTheme="majorHAnsi" w:hAnsiTheme="majorHAnsi"/>
          <w:sz w:val="20"/>
          <w:szCs w:val="20"/>
        </w:rPr>
        <w:t>сили,</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визнання</w:t>
      </w:r>
      <w:r w:rsidRPr="000977F7">
        <w:rPr>
          <w:rFonts w:asciiTheme="majorHAnsi" w:hAnsiTheme="majorHAnsi"/>
          <w:spacing w:val="1"/>
          <w:sz w:val="20"/>
          <w:szCs w:val="20"/>
        </w:rPr>
        <w:t xml:space="preserve"> </w:t>
      </w:r>
      <w:r w:rsidRPr="000977F7">
        <w:rPr>
          <w:rFonts w:asciiTheme="majorHAnsi" w:hAnsiTheme="majorHAnsi"/>
          <w:sz w:val="20"/>
          <w:szCs w:val="20"/>
        </w:rPr>
        <w:t>дій</w:t>
      </w:r>
      <w:r w:rsidRPr="000977F7">
        <w:rPr>
          <w:rFonts w:asciiTheme="majorHAnsi" w:hAnsiTheme="majorHAnsi"/>
          <w:spacing w:val="1"/>
          <w:sz w:val="20"/>
          <w:szCs w:val="20"/>
        </w:rPr>
        <w:t xml:space="preserve"> </w:t>
      </w:r>
      <w:r w:rsidRPr="000977F7">
        <w:rPr>
          <w:rFonts w:asciiTheme="majorHAnsi" w:hAnsiTheme="majorHAnsi"/>
          <w:sz w:val="20"/>
          <w:szCs w:val="20"/>
        </w:rPr>
        <w:t>продавця,</w:t>
      </w:r>
      <w:r w:rsidRPr="000977F7">
        <w:rPr>
          <w:rFonts w:asciiTheme="majorHAnsi" w:hAnsiTheme="majorHAnsi"/>
          <w:spacing w:val="1"/>
          <w:sz w:val="20"/>
          <w:szCs w:val="20"/>
        </w:rPr>
        <w:t xml:space="preserve"> </w:t>
      </w:r>
      <w:r w:rsidRPr="000977F7">
        <w:rPr>
          <w:rFonts w:asciiTheme="majorHAnsi" w:hAnsiTheme="majorHAnsi"/>
          <w:sz w:val="20"/>
          <w:szCs w:val="20"/>
        </w:rPr>
        <w:t>виробника</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виконує їх функції), виконавця протиправними щодо</w:t>
      </w:r>
      <w:r w:rsidRPr="000977F7">
        <w:rPr>
          <w:rFonts w:asciiTheme="majorHAnsi" w:hAnsiTheme="majorHAnsi"/>
          <w:spacing w:val="1"/>
          <w:sz w:val="20"/>
          <w:szCs w:val="20"/>
        </w:rPr>
        <w:t xml:space="preserve"> </w:t>
      </w:r>
      <w:r w:rsidRPr="000977F7">
        <w:rPr>
          <w:rFonts w:asciiTheme="majorHAnsi" w:hAnsiTheme="majorHAnsi"/>
          <w:sz w:val="20"/>
          <w:szCs w:val="20"/>
        </w:rPr>
        <w:t>невизначеного</w:t>
      </w:r>
      <w:r w:rsidRPr="000977F7">
        <w:rPr>
          <w:rFonts w:asciiTheme="majorHAnsi" w:hAnsiTheme="majorHAnsi"/>
          <w:spacing w:val="1"/>
          <w:sz w:val="20"/>
          <w:szCs w:val="20"/>
        </w:rPr>
        <w:t xml:space="preserve"> </w:t>
      </w:r>
      <w:r w:rsidRPr="000977F7">
        <w:rPr>
          <w:rFonts w:asciiTheme="majorHAnsi" w:hAnsiTheme="majorHAnsi"/>
          <w:sz w:val="20"/>
          <w:szCs w:val="20"/>
        </w:rPr>
        <w:t>кола</w:t>
      </w:r>
      <w:r w:rsidRPr="000977F7">
        <w:rPr>
          <w:rFonts w:asciiTheme="majorHAnsi" w:hAnsiTheme="majorHAnsi"/>
          <w:spacing w:val="1"/>
          <w:sz w:val="20"/>
          <w:szCs w:val="20"/>
        </w:rPr>
        <w:t xml:space="preserve"> </w:t>
      </w:r>
      <w:r w:rsidRPr="000977F7">
        <w:rPr>
          <w:rFonts w:asciiTheme="majorHAnsi" w:hAnsiTheme="majorHAnsi"/>
          <w:sz w:val="20"/>
          <w:szCs w:val="20"/>
        </w:rPr>
        <w:t>споживачів</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обов'язковим</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суду, що розглядає позов споживача щодо цивільно правових наслідків їх дій з</w:t>
      </w:r>
      <w:r w:rsidRPr="000977F7">
        <w:rPr>
          <w:rFonts w:asciiTheme="majorHAnsi" w:hAnsiTheme="majorHAnsi"/>
          <w:spacing w:val="1"/>
          <w:sz w:val="20"/>
          <w:szCs w:val="20"/>
        </w:rPr>
        <w:t xml:space="preserve"> </w:t>
      </w:r>
      <w:r w:rsidRPr="000977F7">
        <w:rPr>
          <w:rFonts w:asciiTheme="majorHAnsi" w:hAnsiTheme="majorHAnsi"/>
          <w:sz w:val="20"/>
          <w:szCs w:val="20"/>
        </w:rPr>
        <w:t>питань,</w:t>
      </w:r>
      <w:r w:rsidRPr="000977F7">
        <w:rPr>
          <w:rFonts w:asciiTheme="majorHAnsi" w:hAnsiTheme="majorHAnsi"/>
          <w:spacing w:val="1"/>
          <w:sz w:val="20"/>
          <w:szCs w:val="20"/>
        </w:rPr>
        <w:t xml:space="preserve"> </w:t>
      </w:r>
      <w:r w:rsidRPr="000977F7">
        <w:rPr>
          <w:rFonts w:asciiTheme="majorHAnsi" w:hAnsiTheme="majorHAnsi"/>
          <w:sz w:val="20"/>
          <w:szCs w:val="20"/>
        </w:rPr>
        <w:t>чи мали місце</w:t>
      </w:r>
      <w:r w:rsidRPr="000977F7">
        <w:rPr>
          <w:rFonts w:asciiTheme="majorHAnsi" w:hAnsiTheme="majorHAnsi"/>
          <w:spacing w:val="50"/>
          <w:sz w:val="20"/>
          <w:szCs w:val="20"/>
        </w:rPr>
        <w:t xml:space="preserve"> </w:t>
      </w:r>
      <w:r w:rsidRPr="000977F7">
        <w:rPr>
          <w:rFonts w:asciiTheme="majorHAnsi" w:hAnsiTheme="majorHAnsi"/>
          <w:sz w:val="20"/>
          <w:szCs w:val="20"/>
        </w:rPr>
        <w:t>ці</w:t>
      </w:r>
      <w:r w:rsidRPr="000977F7">
        <w:rPr>
          <w:rFonts w:asciiTheme="majorHAnsi" w:hAnsiTheme="majorHAnsi"/>
          <w:spacing w:val="1"/>
          <w:sz w:val="20"/>
          <w:szCs w:val="20"/>
        </w:rPr>
        <w:t xml:space="preserve"> </w:t>
      </w:r>
      <w:r w:rsidRPr="000977F7">
        <w:rPr>
          <w:rFonts w:asciiTheme="majorHAnsi" w:hAnsiTheme="majorHAnsi"/>
          <w:sz w:val="20"/>
          <w:szCs w:val="20"/>
        </w:rPr>
        <w:t>дії</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були</w:t>
      </w:r>
      <w:r w:rsidRPr="000977F7">
        <w:rPr>
          <w:rFonts w:asciiTheme="majorHAnsi" w:hAnsiTheme="majorHAnsi"/>
          <w:spacing w:val="-1"/>
          <w:sz w:val="20"/>
          <w:szCs w:val="20"/>
        </w:rPr>
        <w:t xml:space="preserve"> </w:t>
      </w:r>
      <w:r w:rsidRPr="000977F7">
        <w:rPr>
          <w:rFonts w:asciiTheme="majorHAnsi" w:hAnsiTheme="majorHAnsi"/>
          <w:sz w:val="20"/>
          <w:szCs w:val="20"/>
        </w:rPr>
        <w:t>здійснені</w:t>
      </w:r>
      <w:r w:rsidRPr="000977F7">
        <w:rPr>
          <w:rFonts w:asciiTheme="majorHAnsi" w:hAnsiTheme="majorHAnsi"/>
          <w:spacing w:val="1"/>
          <w:sz w:val="20"/>
          <w:szCs w:val="20"/>
        </w:rPr>
        <w:t xml:space="preserve"> </w:t>
      </w:r>
      <w:r w:rsidRPr="000977F7">
        <w:rPr>
          <w:rFonts w:asciiTheme="majorHAnsi" w:hAnsiTheme="majorHAnsi"/>
          <w:sz w:val="20"/>
          <w:szCs w:val="20"/>
        </w:rPr>
        <w:t>вони цими</w:t>
      </w:r>
      <w:r w:rsidRPr="000977F7">
        <w:rPr>
          <w:rFonts w:asciiTheme="majorHAnsi" w:hAnsiTheme="majorHAnsi"/>
          <w:spacing w:val="-2"/>
          <w:sz w:val="20"/>
          <w:szCs w:val="20"/>
        </w:rPr>
        <w:t xml:space="preserve"> </w:t>
      </w:r>
      <w:r w:rsidRPr="000977F7">
        <w:rPr>
          <w:rFonts w:asciiTheme="majorHAnsi" w:hAnsiTheme="majorHAnsi"/>
          <w:sz w:val="20"/>
          <w:szCs w:val="20"/>
        </w:rPr>
        <w:t>особами;</w:t>
      </w:r>
    </w:p>
    <w:p w14:paraId="1D64AD55" w14:textId="77777777" w:rsidR="0097612F" w:rsidRPr="000977F7" w:rsidRDefault="0097612F" w:rsidP="00FD39A4">
      <w:pPr>
        <w:pStyle w:val="ac"/>
        <w:widowControl w:val="0"/>
        <w:numPr>
          <w:ilvl w:val="0"/>
          <w:numId w:val="108"/>
        </w:numPr>
        <w:tabs>
          <w:tab w:val="left" w:pos="284"/>
          <w:tab w:val="left" w:pos="81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відповідно до законодавства захищати у суді права споживачів, які не є членами громадських організацій</w:t>
      </w:r>
      <w:r w:rsidRPr="000977F7">
        <w:rPr>
          <w:rFonts w:asciiTheme="majorHAnsi" w:hAnsiTheme="majorHAnsi"/>
          <w:spacing w:val="-2"/>
          <w:sz w:val="20"/>
          <w:szCs w:val="20"/>
        </w:rPr>
        <w:t xml:space="preserve"> </w:t>
      </w:r>
      <w:r w:rsidRPr="000977F7">
        <w:rPr>
          <w:rFonts w:asciiTheme="majorHAnsi" w:hAnsiTheme="majorHAnsi"/>
          <w:sz w:val="20"/>
          <w:szCs w:val="20"/>
        </w:rPr>
        <w:t>споживачів</w:t>
      </w:r>
      <w:r w:rsidRPr="000977F7">
        <w:rPr>
          <w:rFonts w:asciiTheme="majorHAnsi" w:hAnsiTheme="majorHAnsi"/>
          <w:spacing w:val="-2"/>
          <w:sz w:val="20"/>
          <w:szCs w:val="20"/>
        </w:rPr>
        <w:t xml:space="preserve"> </w:t>
      </w:r>
      <w:r w:rsidRPr="000977F7">
        <w:rPr>
          <w:rFonts w:asciiTheme="majorHAnsi" w:hAnsiTheme="majorHAnsi"/>
          <w:sz w:val="20"/>
          <w:szCs w:val="20"/>
        </w:rPr>
        <w:t>(об'єднань споживачів);</w:t>
      </w:r>
    </w:p>
    <w:p w14:paraId="3A5A636E" w14:textId="77777777" w:rsidR="0097612F" w:rsidRPr="000977F7" w:rsidRDefault="0097612F" w:rsidP="00FD39A4">
      <w:pPr>
        <w:pStyle w:val="ac"/>
        <w:widowControl w:val="0"/>
        <w:numPr>
          <w:ilvl w:val="0"/>
          <w:numId w:val="108"/>
        </w:numPr>
        <w:tabs>
          <w:tab w:val="left" w:pos="284"/>
          <w:tab w:val="left" w:pos="82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звертатися до правоохоронних органів та органів</w:t>
      </w:r>
      <w:r w:rsidRPr="000977F7">
        <w:rPr>
          <w:rFonts w:asciiTheme="majorHAnsi" w:hAnsiTheme="majorHAnsi"/>
          <w:spacing w:val="1"/>
          <w:sz w:val="20"/>
          <w:szCs w:val="20"/>
        </w:rPr>
        <w:t xml:space="preserve"> </w:t>
      </w:r>
      <w:r w:rsidRPr="000977F7">
        <w:rPr>
          <w:rFonts w:asciiTheme="majorHAnsi" w:hAnsiTheme="majorHAnsi"/>
          <w:sz w:val="20"/>
          <w:szCs w:val="20"/>
        </w:rPr>
        <w:t>виконавчої влади про притягнення до відповідальності осіб, винних у випуску та реалізації продукції неналежної</w:t>
      </w:r>
      <w:r w:rsidRPr="000977F7">
        <w:rPr>
          <w:rFonts w:asciiTheme="majorHAnsi" w:hAnsiTheme="majorHAnsi"/>
          <w:spacing w:val="-2"/>
          <w:sz w:val="20"/>
          <w:szCs w:val="20"/>
        </w:rPr>
        <w:t xml:space="preserve"> </w:t>
      </w:r>
      <w:r w:rsidRPr="000977F7">
        <w:rPr>
          <w:rFonts w:asciiTheme="majorHAnsi" w:hAnsiTheme="majorHAnsi"/>
          <w:sz w:val="20"/>
          <w:szCs w:val="20"/>
        </w:rPr>
        <w:t>якості;</w:t>
      </w:r>
    </w:p>
    <w:p w14:paraId="38A54CBA" w14:textId="77777777" w:rsidR="0097612F" w:rsidRPr="000977F7" w:rsidRDefault="0097612F" w:rsidP="00FD39A4">
      <w:pPr>
        <w:pStyle w:val="ac"/>
        <w:widowControl w:val="0"/>
        <w:numPr>
          <w:ilvl w:val="0"/>
          <w:numId w:val="108"/>
        </w:numPr>
        <w:tabs>
          <w:tab w:val="left" w:pos="284"/>
          <w:tab w:val="left" w:pos="81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інформувати</w:t>
      </w:r>
      <w:r w:rsidRPr="000977F7">
        <w:rPr>
          <w:rFonts w:asciiTheme="majorHAnsi" w:hAnsiTheme="majorHAnsi"/>
          <w:spacing w:val="-7"/>
          <w:sz w:val="20"/>
          <w:szCs w:val="20"/>
        </w:rPr>
        <w:t xml:space="preserve"> </w:t>
      </w:r>
      <w:r w:rsidRPr="000977F7">
        <w:rPr>
          <w:rFonts w:asciiTheme="majorHAnsi" w:hAnsiTheme="majorHAnsi"/>
          <w:sz w:val="20"/>
          <w:szCs w:val="20"/>
        </w:rPr>
        <w:t>громадськість</w:t>
      </w:r>
      <w:r w:rsidRPr="000977F7">
        <w:rPr>
          <w:rFonts w:asciiTheme="majorHAnsi" w:hAnsiTheme="majorHAnsi"/>
          <w:spacing w:val="-5"/>
          <w:sz w:val="20"/>
          <w:szCs w:val="20"/>
        </w:rPr>
        <w:t xml:space="preserve"> </w:t>
      </w:r>
      <w:r w:rsidRPr="000977F7">
        <w:rPr>
          <w:rFonts w:asciiTheme="majorHAnsi" w:hAnsiTheme="majorHAnsi"/>
          <w:sz w:val="20"/>
          <w:szCs w:val="20"/>
        </w:rPr>
        <w:t>про</w:t>
      </w:r>
      <w:r w:rsidRPr="000977F7">
        <w:rPr>
          <w:rFonts w:asciiTheme="majorHAnsi" w:hAnsiTheme="majorHAnsi"/>
          <w:spacing w:val="-4"/>
          <w:sz w:val="20"/>
          <w:szCs w:val="20"/>
        </w:rPr>
        <w:t xml:space="preserve"> </w:t>
      </w:r>
      <w:r w:rsidRPr="000977F7">
        <w:rPr>
          <w:rFonts w:asciiTheme="majorHAnsi" w:hAnsiTheme="majorHAnsi"/>
          <w:sz w:val="20"/>
          <w:szCs w:val="20"/>
        </w:rPr>
        <w:t>права</w:t>
      </w:r>
      <w:r w:rsidRPr="000977F7">
        <w:rPr>
          <w:rFonts w:asciiTheme="majorHAnsi" w:hAnsiTheme="majorHAnsi"/>
          <w:spacing w:val="-6"/>
          <w:sz w:val="20"/>
          <w:szCs w:val="20"/>
        </w:rPr>
        <w:t xml:space="preserve"> </w:t>
      </w:r>
      <w:r w:rsidRPr="000977F7">
        <w:rPr>
          <w:rFonts w:asciiTheme="majorHAnsi" w:hAnsiTheme="majorHAnsi"/>
          <w:sz w:val="20"/>
          <w:szCs w:val="20"/>
        </w:rPr>
        <w:t>споживачів;</w:t>
      </w:r>
    </w:p>
    <w:p w14:paraId="387D4646" w14:textId="77777777" w:rsidR="0097612F" w:rsidRPr="000977F7" w:rsidRDefault="0097612F" w:rsidP="00FD39A4">
      <w:pPr>
        <w:pStyle w:val="ac"/>
        <w:widowControl w:val="0"/>
        <w:numPr>
          <w:ilvl w:val="0"/>
          <w:numId w:val="108"/>
        </w:numPr>
        <w:tabs>
          <w:tab w:val="left" w:pos="284"/>
          <w:tab w:val="left" w:pos="83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lastRenderedPageBreak/>
        <w:t>сприяти розвитку міжнародного співробітництва</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сфері</w:t>
      </w:r>
      <w:r w:rsidRPr="000977F7">
        <w:rPr>
          <w:rFonts w:asciiTheme="majorHAnsi" w:hAnsiTheme="majorHAnsi"/>
          <w:spacing w:val="-2"/>
          <w:sz w:val="20"/>
          <w:szCs w:val="20"/>
        </w:rPr>
        <w:t xml:space="preserve"> </w:t>
      </w:r>
      <w:r w:rsidRPr="000977F7">
        <w:rPr>
          <w:rFonts w:asciiTheme="majorHAnsi" w:hAnsiTheme="majorHAnsi"/>
          <w:sz w:val="20"/>
          <w:szCs w:val="20"/>
        </w:rPr>
        <w:t>захисту</w:t>
      </w:r>
      <w:r w:rsidRPr="000977F7">
        <w:rPr>
          <w:rFonts w:asciiTheme="majorHAnsi" w:hAnsiTheme="majorHAnsi"/>
          <w:spacing w:val="-2"/>
          <w:sz w:val="20"/>
          <w:szCs w:val="20"/>
        </w:rPr>
        <w:t xml:space="preserve"> </w:t>
      </w:r>
      <w:r w:rsidRPr="000977F7">
        <w:rPr>
          <w:rFonts w:asciiTheme="majorHAnsi" w:hAnsiTheme="majorHAnsi"/>
          <w:sz w:val="20"/>
          <w:szCs w:val="20"/>
        </w:rPr>
        <w:t>прав</w:t>
      </w:r>
      <w:r w:rsidRPr="000977F7">
        <w:rPr>
          <w:rFonts w:asciiTheme="majorHAnsi" w:hAnsiTheme="majorHAnsi"/>
          <w:spacing w:val="-2"/>
          <w:sz w:val="20"/>
          <w:szCs w:val="20"/>
        </w:rPr>
        <w:t xml:space="preserve"> </w:t>
      </w:r>
      <w:r w:rsidRPr="000977F7">
        <w:rPr>
          <w:rFonts w:asciiTheme="majorHAnsi" w:hAnsiTheme="majorHAnsi"/>
          <w:sz w:val="20"/>
          <w:szCs w:val="20"/>
        </w:rPr>
        <w:t>та інтересів</w:t>
      </w:r>
      <w:r w:rsidRPr="000977F7">
        <w:rPr>
          <w:rFonts w:asciiTheme="majorHAnsi" w:hAnsiTheme="majorHAnsi"/>
          <w:spacing w:val="-2"/>
          <w:sz w:val="20"/>
          <w:szCs w:val="20"/>
        </w:rPr>
        <w:t xml:space="preserve"> </w:t>
      </w:r>
      <w:r w:rsidRPr="000977F7">
        <w:rPr>
          <w:rFonts w:asciiTheme="majorHAnsi" w:hAnsiTheme="majorHAnsi"/>
          <w:sz w:val="20"/>
          <w:szCs w:val="20"/>
        </w:rPr>
        <w:t>споживачів.</w:t>
      </w:r>
    </w:p>
    <w:p w14:paraId="38FDC8F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1"/>
          <w:sz w:val="20"/>
          <w:szCs w:val="20"/>
        </w:rPr>
        <w:t xml:space="preserve"> </w:t>
      </w:r>
      <w:r w:rsidRPr="000977F7">
        <w:rPr>
          <w:rFonts w:asciiTheme="majorHAnsi" w:hAnsiTheme="majorHAnsi"/>
          <w:i/>
          <w:sz w:val="20"/>
          <w:szCs w:val="20"/>
        </w:rPr>
        <w:t>25 Закону України "Про захист прав споживачів"</w:t>
      </w:r>
    </w:p>
    <w:p w14:paraId="7B129366" w14:textId="77777777" w:rsidR="0097612F" w:rsidRPr="000977F7" w:rsidRDefault="0097612F" w:rsidP="000977F7">
      <w:pPr>
        <w:pStyle w:val="7"/>
        <w:tabs>
          <w:tab w:val="left" w:pos="284"/>
        </w:tabs>
        <w:spacing w:before="0" w:line="240" w:lineRule="auto"/>
        <w:ind w:left="170"/>
        <w:mirrorIndents/>
        <w:jc w:val="both"/>
        <w:rPr>
          <w:color w:val="auto"/>
          <w:spacing w:val="36"/>
          <w:sz w:val="20"/>
          <w:szCs w:val="20"/>
        </w:rPr>
      </w:pPr>
      <w:r w:rsidRPr="000977F7">
        <w:rPr>
          <w:color w:val="auto"/>
          <w:sz w:val="20"/>
          <w:szCs w:val="20"/>
        </w:rPr>
        <w:t>ПРАВА</w:t>
      </w:r>
      <w:r w:rsidRPr="000977F7">
        <w:rPr>
          <w:color w:val="auto"/>
          <w:spacing w:val="35"/>
          <w:sz w:val="20"/>
          <w:szCs w:val="20"/>
        </w:rPr>
        <w:t xml:space="preserve"> </w:t>
      </w:r>
      <w:r w:rsidRPr="000977F7">
        <w:rPr>
          <w:color w:val="auto"/>
          <w:sz w:val="20"/>
          <w:szCs w:val="20"/>
        </w:rPr>
        <w:t>НА</w:t>
      </w:r>
      <w:r w:rsidRPr="000977F7">
        <w:rPr>
          <w:color w:val="auto"/>
          <w:spacing w:val="36"/>
          <w:sz w:val="20"/>
          <w:szCs w:val="20"/>
        </w:rPr>
        <w:t xml:space="preserve"> </w:t>
      </w:r>
      <w:r w:rsidRPr="000977F7">
        <w:rPr>
          <w:color w:val="auto"/>
          <w:sz w:val="20"/>
          <w:szCs w:val="20"/>
        </w:rPr>
        <w:t>ОХОРОНУ</w:t>
      </w:r>
      <w:r w:rsidRPr="000977F7">
        <w:rPr>
          <w:color w:val="auto"/>
          <w:spacing w:val="34"/>
          <w:sz w:val="20"/>
          <w:szCs w:val="20"/>
        </w:rPr>
        <w:t xml:space="preserve"> </w:t>
      </w:r>
      <w:r w:rsidRPr="000977F7">
        <w:rPr>
          <w:color w:val="auto"/>
          <w:sz w:val="20"/>
          <w:szCs w:val="20"/>
        </w:rPr>
        <w:t>ПРАЦІ</w:t>
      </w:r>
      <w:r w:rsidRPr="000977F7">
        <w:rPr>
          <w:color w:val="auto"/>
          <w:spacing w:val="36"/>
          <w:sz w:val="20"/>
          <w:szCs w:val="20"/>
        </w:rPr>
        <w:t xml:space="preserve"> </w:t>
      </w:r>
      <w:r w:rsidRPr="000977F7">
        <w:rPr>
          <w:color w:val="auto"/>
          <w:sz w:val="20"/>
          <w:szCs w:val="20"/>
        </w:rPr>
        <w:t>ПІД</w:t>
      </w:r>
      <w:r w:rsidRPr="000977F7">
        <w:rPr>
          <w:color w:val="auto"/>
          <w:spacing w:val="36"/>
          <w:sz w:val="20"/>
          <w:szCs w:val="20"/>
        </w:rPr>
        <w:t xml:space="preserve"> </w:t>
      </w:r>
      <w:r w:rsidRPr="000977F7">
        <w:rPr>
          <w:color w:val="auto"/>
          <w:sz w:val="20"/>
          <w:szCs w:val="20"/>
        </w:rPr>
        <w:t>ЧАС</w:t>
      </w:r>
      <w:r w:rsidRPr="000977F7">
        <w:rPr>
          <w:color w:val="auto"/>
          <w:spacing w:val="36"/>
          <w:sz w:val="20"/>
          <w:szCs w:val="20"/>
        </w:rPr>
        <w:t xml:space="preserve"> </w:t>
      </w:r>
    </w:p>
    <w:p w14:paraId="12ADA5B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УКЛАДАННЯ</w:t>
      </w:r>
      <w:r w:rsidRPr="000977F7">
        <w:rPr>
          <w:color w:val="auto"/>
          <w:spacing w:val="-1"/>
          <w:sz w:val="20"/>
          <w:szCs w:val="20"/>
        </w:rPr>
        <w:t xml:space="preserve"> </w:t>
      </w:r>
      <w:r w:rsidRPr="000977F7">
        <w:rPr>
          <w:color w:val="auto"/>
          <w:sz w:val="20"/>
          <w:szCs w:val="20"/>
        </w:rPr>
        <w:t>ТРУДОВОГО</w:t>
      </w:r>
      <w:r w:rsidRPr="000977F7">
        <w:rPr>
          <w:color w:val="auto"/>
          <w:spacing w:val="1"/>
          <w:sz w:val="20"/>
          <w:szCs w:val="20"/>
        </w:rPr>
        <w:t xml:space="preserve"> </w:t>
      </w:r>
      <w:r w:rsidRPr="000977F7">
        <w:rPr>
          <w:color w:val="auto"/>
          <w:sz w:val="20"/>
          <w:szCs w:val="20"/>
        </w:rPr>
        <w:t>ДОГОВОРУ</w:t>
      </w:r>
      <w:r w:rsidRPr="000977F7">
        <w:rPr>
          <w:color w:val="auto"/>
          <w:spacing w:val="2"/>
          <w:sz w:val="20"/>
          <w:szCs w:val="20"/>
        </w:rPr>
        <w:t xml:space="preserve"> </w:t>
      </w:r>
      <w:r w:rsidRPr="000977F7">
        <w:rPr>
          <w:color w:val="auto"/>
          <w:sz w:val="20"/>
          <w:szCs w:val="20"/>
        </w:rPr>
        <w:t>-</w:t>
      </w:r>
    </w:p>
    <w:p w14:paraId="2ABA580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Умови трудового договору не можуть містити положень, що суперечать законам та іншим нормативно правовим актам</w:t>
      </w:r>
      <w:r w:rsidRPr="000977F7">
        <w:rPr>
          <w:rFonts w:asciiTheme="majorHAnsi" w:hAnsiTheme="majorHAnsi"/>
          <w:spacing w:val="1"/>
          <w:sz w:val="20"/>
          <w:szCs w:val="20"/>
        </w:rPr>
        <w:t xml:space="preserve"> </w:t>
      </w:r>
      <w:r w:rsidRPr="000977F7">
        <w:rPr>
          <w:rFonts w:asciiTheme="majorHAnsi" w:hAnsiTheme="majorHAnsi"/>
          <w:sz w:val="20"/>
          <w:szCs w:val="20"/>
        </w:rPr>
        <w:t>з охорони</w:t>
      </w:r>
      <w:r w:rsidRPr="000977F7">
        <w:rPr>
          <w:rFonts w:asciiTheme="majorHAnsi" w:hAnsiTheme="majorHAnsi"/>
          <w:spacing w:val="-2"/>
          <w:sz w:val="20"/>
          <w:szCs w:val="20"/>
        </w:rPr>
        <w:t xml:space="preserve"> </w:t>
      </w:r>
      <w:r w:rsidRPr="000977F7">
        <w:rPr>
          <w:rFonts w:asciiTheme="majorHAnsi" w:hAnsiTheme="majorHAnsi"/>
          <w:sz w:val="20"/>
          <w:szCs w:val="20"/>
        </w:rPr>
        <w:t>праці.</w:t>
      </w:r>
    </w:p>
    <w:p w14:paraId="49D017D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 час укладання трудового договору роботодавець</w:t>
      </w:r>
      <w:r w:rsidRPr="000977F7">
        <w:rPr>
          <w:rFonts w:asciiTheme="majorHAnsi" w:hAnsiTheme="majorHAnsi"/>
          <w:spacing w:val="1"/>
          <w:sz w:val="20"/>
          <w:szCs w:val="20"/>
        </w:rPr>
        <w:t xml:space="preserve"> </w:t>
      </w:r>
      <w:r w:rsidRPr="000977F7">
        <w:rPr>
          <w:rFonts w:asciiTheme="majorHAnsi" w:hAnsiTheme="majorHAnsi"/>
          <w:sz w:val="20"/>
          <w:szCs w:val="20"/>
        </w:rPr>
        <w:t>повинен проінформувати працівника під розписку про</w:t>
      </w:r>
      <w:r w:rsidRPr="000977F7">
        <w:rPr>
          <w:rFonts w:asciiTheme="majorHAnsi" w:hAnsiTheme="majorHAnsi"/>
          <w:spacing w:val="-47"/>
          <w:sz w:val="20"/>
          <w:szCs w:val="20"/>
        </w:rPr>
        <w:t xml:space="preserve"> </w:t>
      </w:r>
      <w:r w:rsidRPr="000977F7">
        <w:rPr>
          <w:rFonts w:asciiTheme="majorHAnsi" w:hAnsiTheme="majorHAnsi"/>
          <w:sz w:val="20"/>
          <w:szCs w:val="20"/>
        </w:rPr>
        <w:t>умови праці та про наявність на його робочому місці</w:t>
      </w:r>
      <w:r w:rsidRPr="000977F7">
        <w:rPr>
          <w:rFonts w:asciiTheme="majorHAnsi" w:hAnsiTheme="majorHAnsi"/>
          <w:spacing w:val="1"/>
          <w:sz w:val="20"/>
          <w:szCs w:val="20"/>
        </w:rPr>
        <w:t xml:space="preserve"> </w:t>
      </w:r>
      <w:r w:rsidRPr="000977F7">
        <w:rPr>
          <w:rFonts w:asciiTheme="majorHAnsi" w:hAnsiTheme="majorHAnsi"/>
          <w:sz w:val="20"/>
          <w:szCs w:val="20"/>
        </w:rPr>
        <w:t>небезпечних і шкідливих виробничих факторів, які ще</w:t>
      </w:r>
      <w:r w:rsidRPr="000977F7">
        <w:rPr>
          <w:rFonts w:asciiTheme="majorHAnsi" w:hAnsiTheme="majorHAnsi"/>
          <w:spacing w:val="-47"/>
          <w:sz w:val="20"/>
          <w:szCs w:val="20"/>
        </w:rPr>
        <w:t xml:space="preserve"> </w:t>
      </w:r>
      <w:r w:rsidRPr="000977F7">
        <w:rPr>
          <w:rFonts w:asciiTheme="majorHAnsi" w:hAnsiTheme="majorHAnsi"/>
          <w:sz w:val="20"/>
          <w:szCs w:val="20"/>
        </w:rPr>
        <w:t>не усунуто, можливі наслідки їх впливу на здоров'я та</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8"/>
          <w:sz w:val="20"/>
          <w:szCs w:val="20"/>
        </w:rPr>
        <w:t xml:space="preserve"> </w:t>
      </w:r>
      <w:r w:rsidRPr="000977F7">
        <w:rPr>
          <w:rFonts w:asciiTheme="majorHAnsi" w:hAnsiTheme="majorHAnsi"/>
          <w:sz w:val="20"/>
          <w:szCs w:val="20"/>
        </w:rPr>
        <w:t>права</w:t>
      </w:r>
      <w:r w:rsidRPr="000977F7">
        <w:rPr>
          <w:rFonts w:asciiTheme="majorHAnsi" w:hAnsiTheme="majorHAnsi"/>
          <w:spacing w:val="10"/>
          <w:sz w:val="20"/>
          <w:szCs w:val="20"/>
        </w:rPr>
        <w:t xml:space="preserve"> </w:t>
      </w:r>
      <w:r w:rsidRPr="000977F7">
        <w:rPr>
          <w:rFonts w:asciiTheme="majorHAnsi" w:hAnsiTheme="majorHAnsi"/>
          <w:sz w:val="20"/>
          <w:szCs w:val="20"/>
        </w:rPr>
        <w:t>працівника</w:t>
      </w:r>
      <w:r w:rsidRPr="000977F7">
        <w:rPr>
          <w:rFonts w:asciiTheme="majorHAnsi" w:hAnsiTheme="majorHAnsi"/>
          <w:spacing w:val="9"/>
          <w:sz w:val="20"/>
          <w:szCs w:val="20"/>
        </w:rPr>
        <w:t xml:space="preserve"> </w:t>
      </w:r>
      <w:r w:rsidRPr="000977F7">
        <w:rPr>
          <w:rFonts w:asciiTheme="majorHAnsi" w:hAnsiTheme="majorHAnsi"/>
          <w:sz w:val="20"/>
          <w:szCs w:val="20"/>
        </w:rPr>
        <w:t>на</w:t>
      </w:r>
      <w:r w:rsidRPr="000977F7">
        <w:rPr>
          <w:rFonts w:asciiTheme="majorHAnsi" w:hAnsiTheme="majorHAnsi"/>
          <w:spacing w:val="10"/>
          <w:sz w:val="20"/>
          <w:szCs w:val="20"/>
        </w:rPr>
        <w:t xml:space="preserve"> </w:t>
      </w:r>
      <w:r w:rsidRPr="000977F7">
        <w:rPr>
          <w:rFonts w:asciiTheme="majorHAnsi" w:hAnsiTheme="majorHAnsi"/>
          <w:sz w:val="20"/>
          <w:szCs w:val="20"/>
        </w:rPr>
        <w:t>пільги</w:t>
      </w:r>
      <w:r w:rsidRPr="000977F7">
        <w:rPr>
          <w:rFonts w:asciiTheme="majorHAnsi" w:hAnsiTheme="majorHAnsi"/>
          <w:spacing w:val="7"/>
          <w:sz w:val="20"/>
          <w:szCs w:val="20"/>
        </w:rPr>
        <w:t xml:space="preserve"> </w:t>
      </w:r>
      <w:r w:rsidRPr="000977F7">
        <w:rPr>
          <w:rFonts w:asciiTheme="majorHAnsi" w:hAnsiTheme="majorHAnsi"/>
          <w:sz w:val="20"/>
          <w:szCs w:val="20"/>
        </w:rPr>
        <w:t>і</w:t>
      </w:r>
      <w:r w:rsidRPr="000977F7">
        <w:rPr>
          <w:rFonts w:asciiTheme="majorHAnsi" w:hAnsiTheme="majorHAnsi"/>
          <w:spacing w:val="9"/>
          <w:sz w:val="20"/>
          <w:szCs w:val="20"/>
        </w:rPr>
        <w:t xml:space="preserve"> </w:t>
      </w:r>
      <w:r w:rsidRPr="000977F7">
        <w:rPr>
          <w:rFonts w:asciiTheme="majorHAnsi" w:hAnsiTheme="majorHAnsi"/>
          <w:sz w:val="20"/>
          <w:szCs w:val="20"/>
        </w:rPr>
        <w:t>компенсації</w:t>
      </w:r>
      <w:r w:rsidRPr="000977F7">
        <w:rPr>
          <w:rFonts w:asciiTheme="majorHAnsi" w:hAnsiTheme="majorHAnsi"/>
          <w:spacing w:val="8"/>
          <w:sz w:val="20"/>
          <w:szCs w:val="20"/>
        </w:rPr>
        <w:t xml:space="preserve"> </w:t>
      </w:r>
      <w:r w:rsidRPr="000977F7">
        <w:rPr>
          <w:rFonts w:asciiTheme="majorHAnsi" w:hAnsiTheme="majorHAnsi"/>
          <w:sz w:val="20"/>
          <w:szCs w:val="20"/>
        </w:rPr>
        <w:t>за</w:t>
      </w:r>
      <w:r w:rsidRPr="000977F7">
        <w:rPr>
          <w:rFonts w:asciiTheme="majorHAnsi" w:hAnsiTheme="majorHAnsi"/>
          <w:spacing w:val="10"/>
          <w:sz w:val="20"/>
          <w:szCs w:val="20"/>
        </w:rPr>
        <w:t xml:space="preserve"> </w:t>
      </w:r>
      <w:r w:rsidRPr="000977F7">
        <w:rPr>
          <w:rFonts w:asciiTheme="majorHAnsi" w:hAnsiTheme="majorHAnsi"/>
          <w:sz w:val="20"/>
          <w:szCs w:val="20"/>
        </w:rPr>
        <w:t>робо-ту в таких умовах відповідно до законодавства і колективного договору.</w:t>
      </w:r>
    </w:p>
    <w:p w14:paraId="4F2FE4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Працівнику</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пропонуватися</w:t>
      </w:r>
      <w:r w:rsidRPr="000977F7">
        <w:rPr>
          <w:rFonts w:asciiTheme="majorHAnsi" w:hAnsiTheme="majorHAnsi"/>
          <w:spacing w:val="1"/>
          <w:sz w:val="20"/>
          <w:szCs w:val="20"/>
        </w:rPr>
        <w:t xml:space="preserve"> </w:t>
      </w:r>
      <w:r w:rsidRPr="000977F7">
        <w:rPr>
          <w:rFonts w:asciiTheme="majorHAnsi" w:hAnsiTheme="majorHAnsi"/>
          <w:sz w:val="20"/>
          <w:szCs w:val="20"/>
        </w:rPr>
        <w:t>робота,</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47"/>
          <w:sz w:val="20"/>
          <w:szCs w:val="20"/>
        </w:rPr>
        <w:t xml:space="preserve"> </w:t>
      </w:r>
      <w:r w:rsidRPr="000977F7">
        <w:rPr>
          <w:rFonts w:asciiTheme="majorHAnsi" w:hAnsiTheme="majorHAnsi"/>
          <w:sz w:val="20"/>
          <w:szCs w:val="20"/>
        </w:rPr>
        <w:t>медичним висновком протипоказана йому за станом</w:t>
      </w:r>
      <w:r w:rsidRPr="000977F7">
        <w:rPr>
          <w:rFonts w:asciiTheme="majorHAnsi" w:hAnsiTheme="majorHAnsi"/>
          <w:spacing w:val="1"/>
          <w:sz w:val="20"/>
          <w:szCs w:val="20"/>
        </w:rPr>
        <w:t xml:space="preserve"> </w:t>
      </w:r>
      <w:r w:rsidRPr="000977F7">
        <w:rPr>
          <w:rFonts w:asciiTheme="majorHAnsi" w:hAnsiTheme="majorHAnsi"/>
          <w:sz w:val="20"/>
          <w:szCs w:val="20"/>
        </w:rPr>
        <w:t>здоров'я. До виконання робіт підвищеної небезпеки та</w:t>
      </w:r>
      <w:r w:rsidRPr="000977F7">
        <w:rPr>
          <w:rFonts w:asciiTheme="majorHAnsi" w:hAnsiTheme="majorHAnsi"/>
          <w:spacing w:val="-47"/>
          <w:sz w:val="20"/>
          <w:szCs w:val="20"/>
        </w:rPr>
        <w:t xml:space="preserve"> </w:t>
      </w:r>
      <w:r w:rsidRPr="000977F7">
        <w:rPr>
          <w:rFonts w:asciiTheme="majorHAnsi" w:hAnsiTheme="majorHAnsi"/>
          <w:sz w:val="20"/>
          <w:szCs w:val="20"/>
        </w:rPr>
        <w:t>тих,</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потребують</w:t>
      </w:r>
      <w:r w:rsidRPr="000977F7">
        <w:rPr>
          <w:rFonts w:asciiTheme="majorHAnsi" w:hAnsiTheme="majorHAnsi"/>
          <w:spacing w:val="1"/>
          <w:sz w:val="20"/>
          <w:szCs w:val="20"/>
        </w:rPr>
        <w:t xml:space="preserve"> </w:t>
      </w:r>
      <w:r w:rsidRPr="000977F7">
        <w:rPr>
          <w:rFonts w:asciiTheme="majorHAnsi" w:hAnsiTheme="majorHAnsi"/>
          <w:sz w:val="20"/>
          <w:szCs w:val="20"/>
        </w:rPr>
        <w:t>професійного</w:t>
      </w:r>
      <w:r w:rsidRPr="000977F7">
        <w:rPr>
          <w:rFonts w:asciiTheme="majorHAnsi" w:hAnsiTheme="majorHAnsi"/>
          <w:spacing w:val="1"/>
          <w:sz w:val="20"/>
          <w:szCs w:val="20"/>
        </w:rPr>
        <w:t xml:space="preserve"> </w:t>
      </w:r>
      <w:r w:rsidRPr="000977F7">
        <w:rPr>
          <w:rFonts w:asciiTheme="majorHAnsi" w:hAnsiTheme="majorHAnsi"/>
          <w:sz w:val="20"/>
          <w:szCs w:val="20"/>
        </w:rPr>
        <w:t>добору,</w:t>
      </w:r>
      <w:r w:rsidRPr="000977F7">
        <w:rPr>
          <w:rFonts w:asciiTheme="majorHAnsi" w:hAnsiTheme="majorHAnsi"/>
          <w:spacing w:val="1"/>
          <w:sz w:val="20"/>
          <w:szCs w:val="20"/>
        </w:rPr>
        <w:t xml:space="preserve"> </w:t>
      </w:r>
      <w:r w:rsidRPr="000977F7">
        <w:rPr>
          <w:rFonts w:asciiTheme="majorHAnsi" w:hAnsiTheme="majorHAnsi"/>
          <w:sz w:val="20"/>
          <w:szCs w:val="20"/>
        </w:rPr>
        <w:t>допускаються особи за наявності висновку психофізіологічної</w:t>
      </w:r>
      <w:r w:rsidRPr="000977F7">
        <w:rPr>
          <w:rFonts w:asciiTheme="majorHAnsi" w:hAnsiTheme="majorHAnsi"/>
          <w:spacing w:val="-47"/>
          <w:sz w:val="20"/>
          <w:szCs w:val="20"/>
        </w:rPr>
        <w:t xml:space="preserve"> </w:t>
      </w:r>
      <w:r w:rsidRPr="000977F7">
        <w:rPr>
          <w:rFonts w:asciiTheme="majorHAnsi" w:hAnsiTheme="majorHAnsi"/>
          <w:sz w:val="20"/>
          <w:szCs w:val="20"/>
        </w:rPr>
        <w:t>експертизи.</w:t>
      </w:r>
    </w:p>
    <w:p w14:paraId="7B4DC3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Усі працівники згідно із законом підлягають загальнообов'язковому державному соціальному страхуванню від нещасного випадку на виробництві та професійного захворювання, які спричинили втрату працездатності.</w:t>
      </w:r>
    </w:p>
    <w:p w14:paraId="71636F0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2"/>
          <w:sz w:val="20"/>
          <w:szCs w:val="20"/>
        </w:rPr>
        <w:t xml:space="preserve"> </w:t>
      </w:r>
      <w:r w:rsidRPr="000977F7">
        <w:rPr>
          <w:rFonts w:asciiTheme="majorHAnsi" w:hAnsiTheme="majorHAnsi"/>
          <w:i/>
          <w:sz w:val="20"/>
          <w:szCs w:val="20"/>
        </w:rPr>
        <w:t>5 закону</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2"/>
          <w:sz w:val="20"/>
          <w:szCs w:val="20"/>
        </w:rPr>
        <w:t xml:space="preserve"> "</w:t>
      </w:r>
      <w:r w:rsidRPr="000977F7">
        <w:rPr>
          <w:rFonts w:asciiTheme="majorHAnsi" w:hAnsiTheme="majorHAnsi"/>
          <w:i/>
          <w:sz w:val="20"/>
          <w:szCs w:val="20"/>
        </w:rPr>
        <w:t>Про</w:t>
      </w:r>
      <w:r w:rsidRPr="000977F7">
        <w:rPr>
          <w:rFonts w:asciiTheme="majorHAnsi" w:hAnsiTheme="majorHAnsi"/>
          <w:i/>
          <w:spacing w:val="-5"/>
          <w:sz w:val="20"/>
          <w:szCs w:val="20"/>
        </w:rPr>
        <w:t xml:space="preserve"> </w:t>
      </w:r>
      <w:r w:rsidRPr="000977F7">
        <w:rPr>
          <w:rFonts w:asciiTheme="majorHAnsi" w:hAnsiTheme="majorHAnsi"/>
          <w:i/>
          <w:sz w:val="20"/>
          <w:szCs w:val="20"/>
        </w:rPr>
        <w:t>охорону</w:t>
      </w:r>
      <w:r w:rsidRPr="000977F7">
        <w:rPr>
          <w:rFonts w:asciiTheme="majorHAnsi" w:hAnsiTheme="majorHAnsi"/>
          <w:i/>
          <w:spacing w:val="-2"/>
          <w:sz w:val="20"/>
          <w:szCs w:val="20"/>
        </w:rPr>
        <w:t xml:space="preserve"> </w:t>
      </w:r>
      <w:r w:rsidRPr="000977F7">
        <w:rPr>
          <w:rFonts w:asciiTheme="majorHAnsi" w:hAnsiTheme="majorHAnsi"/>
          <w:i/>
          <w:sz w:val="20"/>
          <w:szCs w:val="20"/>
        </w:rPr>
        <w:t>праці"</w:t>
      </w:r>
    </w:p>
    <w:p w14:paraId="0EA78EC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ПРАВА</w:t>
      </w:r>
      <w:r w:rsidRPr="000977F7">
        <w:rPr>
          <w:color w:val="auto"/>
          <w:spacing w:val="1"/>
          <w:sz w:val="20"/>
          <w:szCs w:val="20"/>
        </w:rPr>
        <w:t xml:space="preserve"> </w:t>
      </w:r>
      <w:r w:rsidRPr="000977F7">
        <w:rPr>
          <w:color w:val="auto"/>
          <w:sz w:val="20"/>
          <w:szCs w:val="20"/>
        </w:rPr>
        <w:t>ПРАЦІВНИКІВ</w:t>
      </w:r>
      <w:r w:rsidRPr="000977F7">
        <w:rPr>
          <w:color w:val="auto"/>
          <w:spacing w:val="1"/>
          <w:sz w:val="20"/>
          <w:szCs w:val="20"/>
        </w:rPr>
        <w:t xml:space="preserve"> </w:t>
      </w:r>
      <w:r w:rsidRPr="000977F7">
        <w:rPr>
          <w:color w:val="auto"/>
          <w:sz w:val="20"/>
          <w:szCs w:val="20"/>
        </w:rPr>
        <w:t>НА</w:t>
      </w:r>
      <w:r w:rsidRPr="000977F7">
        <w:rPr>
          <w:color w:val="auto"/>
          <w:spacing w:val="1"/>
          <w:sz w:val="20"/>
          <w:szCs w:val="20"/>
        </w:rPr>
        <w:t xml:space="preserve"> </w:t>
      </w:r>
      <w:r w:rsidRPr="000977F7">
        <w:rPr>
          <w:color w:val="auto"/>
          <w:sz w:val="20"/>
          <w:szCs w:val="20"/>
        </w:rPr>
        <w:t>ОХОРОНУ</w:t>
      </w:r>
      <w:r w:rsidRPr="000977F7">
        <w:rPr>
          <w:color w:val="auto"/>
          <w:spacing w:val="1"/>
          <w:sz w:val="20"/>
          <w:szCs w:val="20"/>
        </w:rPr>
        <w:t xml:space="preserve"> </w:t>
      </w:r>
      <w:r w:rsidRPr="000977F7">
        <w:rPr>
          <w:color w:val="auto"/>
          <w:sz w:val="20"/>
          <w:szCs w:val="20"/>
        </w:rPr>
        <w:t>ПРАЦІ</w:t>
      </w:r>
      <w:r w:rsidRPr="000977F7">
        <w:rPr>
          <w:color w:val="auto"/>
          <w:spacing w:val="1"/>
          <w:sz w:val="20"/>
          <w:szCs w:val="20"/>
        </w:rPr>
        <w:t xml:space="preserve"> </w:t>
      </w:r>
      <w:r w:rsidRPr="000977F7">
        <w:rPr>
          <w:color w:val="auto"/>
          <w:sz w:val="20"/>
          <w:szCs w:val="20"/>
        </w:rPr>
        <w:t>ПІД</w:t>
      </w:r>
      <w:r w:rsidRPr="000977F7">
        <w:rPr>
          <w:color w:val="auto"/>
          <w:spacing w:val="-2"/>
          <w:sz w:val="20"/>
          <w:szCs w:val="20"/>
        </w:rPr>
        <w:t xml:space="preserve"> </w:t>
      </w:r>
      <w:r w:rsidRPr="000977F7">
        <w:rPr>
          <w:color w:val="auto"/>
          <w:sz w:val="20"/>
          <w:szCs w:val="20"/>
        </w:rPr>
        <w:t>ЧАС РОБОТИ</w:t>
      </w:r>
      <w:r w:rsidRPr="000977F7">
        <w:rPr>
          <w:color w:val="auto"/>
          <w:spacing w:val="2"/>
          <w:sz w:val="20"/>
          <w:szCs w:val="20"/>
        </w:rPr>
        <w:t xml:space="preserve"> </w:t>
      </w:r>
      <w:r w:rsidRPr="000977F7">
        <w:rPr>
          <w:color w:val="auto"/>
          <w:sz w:val="20"/>
          <w:szCs w:val="20"/>
        </w:rPr>
        <w:t>-</w:t>
      </w:r>
    </w:p>
    <w:p w14:paraId="4D1E22E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Умови праці на робочому місці, безпека технологічних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процесів,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машин,</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механізмів,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устаткування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інших засобів виробництва, стан засобів колективного</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індивідуального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захисту,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використовуються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працівником,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також</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санітарно-побутові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умови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повинні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відповідати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вимогам законодавства.</w:t>
      </w:r>
    </w:p>
    <w:p w14:paraId="182E600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4D2D14">
        <w:rPr>
          <w:rFonts w:asciiTheme="majorHAnsi" w:hAnsiTheme="majorHAnsi"/>
          <w:sz w:val="20"/>
          <w:szCs w:val="20"/>
          <w:lang w:val="uk-UA"/>
        </w:rPr>
        <w:t>Працівник має право відмовитися від дорученої роботи, якщо створилася виробнича ситуація, небезпечна для його життя чи здоров'я або для людей, які його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оточують,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виробничого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середовища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 xml:space="preserve">довкілля. </w:t>
      </w:r>
      <w:r w:rsidRPr="000977F7">
        <w:rPr>
          <w:rFonts w:asciiTheme="majorHAnsi" w:hAnsiTheme="majorHAnsi"/>
          <w:sz w:val="20"/>
          <w:szCs w:val="20"/>
        </w:rPr>
        <w:t>Він зобов'язаний негайно повідомити про це</w:t>
      </w:r>
      <w:r w:rsidRPr="000977F7">
        <w:rPr>
          <w:rFonts w:asciiTheme="majorHAnsi" w:hAnsiTheme="majorHAnsi"/>
          <w:spacing w:val="1"/>
          <w:sz w:val="20"/>
          <w:szCs w:val="20"/>
        </w:rPr>
        <w:t xml:space="preserve"> </w:t>
      </w:r>
      <w:r w:rsidRPr="000977F7">
        <w:rPr>
          <w:rFonts w:asciiTheme="majorHAnsi" w:hAnsiTheme="majorHAnsi"/>
          <w:sz w:val="20"/>
          <w:szCs w:val="20"/>
        </w:rPr>
        <w:t>безпосереднього</w:t>
      </w:r>
      <w:r w:rsidRPr="000977F7">
        <w:rPr>
          <w:rFonts w:asciiTheme="majorHAnsi" w:hAnsiTheme="majorHAnsi"/>
          <w:spacing w:val="1"/>
          <w:sz w:val="20"/>
          <w:szCs w:val="20"/>
        </w:rPr>
        <w:t xml:space="preserve"> </w:t>
      </w:r>
      <w:r w:rsidRPr="000977F7">
        <w:rPr>
          <w:rFonts w:asciiTheme="majorHAnsi" w:hAnsiTheme="majorHAnsi"/>
          <w:sz w:val="20"/>
          <w:szCs w:val="20"/>
        </w:rPr>
        <w:t>керівника</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роботодавця.</w:t>
      </w:r>
      <w:r w:rsidRPr="000977F7">
        <w:rPr>
          <w:rFonts w:asciiTheme="majorHAnsi" w:hAnsiTheme="majorHAnsi"/>
          <w:spacing w:val="1"/>
          <w:sz w:val="20"/>
          <w:szCs w:val="20"/>
        </w:rPr>
        <w:t xml:space="preserve"> </w:t>
      </w:r>
      <w:r w:rsidRPr="000977F7">
        <w:rPr>
          <w:rFonts w:asciiTheme="majorHAnsi" w:hAnsiTheme="majorHAnsi"/>
          <w:sz w:val="20"/>
          <w:szCs w:val="20"/>
        </w:rPr>
        <w:t>Факт</w:t>
      </w:r>
      <w:r w:rsidRPr="000977F7">
        <w:rPr>
          <w:rFonts w:asciiTheme="majorHAnsi" w:hAnsiTheme="majorHAnsi"/>
          <w:spacing w:val="1"/>
          <w:sz w:val="20"/>
          <w:szCs w:val="20"/>
        </w:rPr>
        <w:t xml:space="preserve"> </w:t>
      </w:r>
      <w:r w:rsidRPr="000977F7">
        <w:rPr>
          <w:rFonts w:asciiTheme="majorHAnsi" w:hAnsiTheme="majorHAnsi"/>
          <w:sz w:val="20"/>
          <w:szCs w:val="20"/>
        </w:rPr>
        <w:t>наявності такої ситуації за необхідності підтверджується спеціалістами з охорони праці підприємства за</w:t>
      </w:r>
      <w:r w:rsidRPr="000977F7">
        <w:rPr>
          <w:rFonts w:asciiTheme="majorHAnsi" w:hAnsiTheme="majorHAnsi"/>
          <w:spacing w:val="1"/>
          <w:sz w:val="20"/>
          <w:szCs w:val="20"/>
        </w:rPr>
        <w:t xml:space="preserve"> </w:t>
      </w:r>
      <w:r w:rsidRPr="000977F7">
        <w:rPr>
          <w:rFonts w:asciiTheme="majorHAnsi" w:hAnsiTheme="majorHAnsi"/>
          <w:sz w:val="20"/>
          <w:szCs w:val="20"/>
        </w:rPr>
        <w:t>участю представника профспілки, членом якої він є,</w:t>
      </w:r>
      <w:r w:rsidRPr="000977F7">
        <w:rPr>
          <w:rFonts w:asciiTheme="majorHAnsi" w:hAnsiTheme="majorHAnsi"/>
          <w:spacing w:val="1"/>
          <w:sz w:val="20"/>
          <w:szCs w:val="20"/>
        </w:rPr>
        <w:t xml:space="preserve"> </w:t>
      </w:r>
      <w:r w:rsidRPr="000977F7">
        <w:rPr>
          <w:rFonts w:asciiTheme="majorHAnsi" w:hAnsiTheme="majorHAnsi"/>
          <w:sz w:val="20"/>
          <w:szCs w:val="20"/>
        </w:rPr>
        <w:t>або уповноваженої працівниками особи з питань охорони праці (якщо професійна спілка на підприємстві</w:t>
      </w:r>
      <w:r w:rsidRPr="000977F7">
        <w:rPr>
          <w:rFonts w:asciiTheme="majorHAnsi" w:hAnsiTheme="majorHAnsi"/>
          <w:spacing w:val="1"/>
          <w:sz w:val="20"/>
          <w:szCs w:val="20"/>
        </w:rPr>
        <w:t xml:space="preserve"> </w:t>
      </w:r>
      <w:r w:rsidRPr="000977F7">
        <w:rPr>
          <w:rFonts w:asciiTheme="majorHAnsi" w:hAnsiTheme="majorHAnsi"/>
          <w:sz w:val="20"/>
          <w:szCs w:val="20"/>
        </w:rPr>
        <w:t>не створювалася), а також страхового експерта з охорони</w:t>
      </w:r>
      <w:r w:rsidRPr="000977F7">
        <w:rPr>
          <w:rFonts w:asciiTheme="majorHAnsi" w:hAnsiTheme="majorHAnsi"/>
          <w:spacing w:val="-2"/>
          <w:sz w:val="20"/>
          <w:szCs w:val="20"/>
        </w:rPr>
        <w:t xml:space="preserve"> </w:t>
      </w:r>
      <w:r w:rsidRPr="000977F7">
        <w:rPr>
          <w:rFonts w:asciiTheme="majorHAnsi" w:hAnsiTheme="majorHAnsi"/>
          <w:sz w:val="20"/>
          <w:szCs w:val="20"/>
        </w:rPr>
        <w:t>праці.</w:t>
      </w:r>
    </w:p>
    <w:p w14:paraId="46277B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 період простою з причин, передбачених частиною</w:t>
      </w:r>
      <w:r w:rsidRPr="000977F7">
        <w:rPr>
          <w:rFonts w:asciiTheme="majorHAnsi" w:hAnsiTheme="majorHAnsi"/>
          <w:spacing w:val="1"/>
          <w:sz w:val="20"/>
          <w:szCs w:val="20"/>
        </w:rPr>
        <w:t xml:space="preserve"> </w:t>
      </w:r>
      <w:r w:rsidRPr="000977F7">
        <w:rPr>
          <w:rFonts w:asciiTheme="majorHAnsi" w:hAnsiTheme="majorHAnsi"/>
          <w:sz w:val="20"/>
          <w:szCs w:val="20"/>
        </w:rPr>
        <w:t>другою цієї статті, які виникли не з вини працівника,</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ним</w:t>
      </w:r>
      <w:r w:rsidRPr="000977F7">
        <w:rPr>
          <w:rFonts w:asciiTheme="majorHAnsi" w:hAnsiTheme="majorHAnsi"/>
          <w:spacing w:val="1"/>
          <w:sz w:val="20"/>
          <w:szCs w:val="20"/>
        </w:rPr>
        <w:t xml:space="preserve"> </w:t>
      </w:r>
      <w:r w:rsidRPr="000977F7">
        <w:rPr>
          <w:rFonts w:asciiTheme="majorHAnsi" w:hAnsiTheme="majorHAnsi"/>
          <w:sz w:val="20"/>
          <w:szCs w:val="20"/>
        </w:rPr>
        <w:t>зберігається</w:t>
      </w:r>
      <w:r w:rsidRPr="000977F7">
        <w:rPr>
          <w:rFonts w:asciiTheme="majorHAnsi" w:hAnsiTheme="majorHAnsi"/>
          <w:spacing w:val="-2"/>
          <w:sz w:val="20"/>
          <w:szCs w:val="20"/>
        </w:rPr>
        <w:t xml:space="preserve"> </w:t>
      </w:r>
      <w:r w:rsidRPr="000977F7">
        <w:rPr>
          <w:rFonts w:asciiTheme="majorHAnsi" w:hAnsiTheme="majorHAnsi"/>
          <w:sz w:val="20"/>
          <w:szCs w:val="20"/>
        </w:rPr>
        <w:t>середній</w:t>
      </w:r>
      <w:r w:rsidRPr="000977F7">
        <w:rPr>
          <w:rFonts w:asciiTheme="majorHAnsi" w:hAnsiTheme="majorHAnsi"/>
          <w:spacing w:val="1"/>
          <w:sz w:val="20"/>
          <w:szCs w:val="20"/>
        </w:rPr>
        <w:t xml:space="preserve"> </w:t>
      </w:r>
      <w:r w:rsidRPr="000977F7">
        <w:rPr>
          <w:rFonts w:asciiTheme="majorHAnsi" w:hAnsiTheme="majorHAnsi"/>
          <w:sz w:val="20"/>
          <w:szCs w:val="20"/>
        </w:rPr>
        <w:t>заробіток.</w:t>
      </w:r>
    </w:p>
    <w:p w14:paraId="73BBF69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Працівник має право розірвати трудовий договір за</w:t>
      </w:r>
      <w:r w:rsidRPr="000977F7">
        <w:rPr>
          <w:rFonts w:asciiTheme="majorHAnsi" w:hAnsiTheme="majorHAnsi"/>
          <w:spacing w:val="1"/>
          <w:sz w:val="20"/>
          <w:szCs w:val="20"/>
        </w:rPr>
        <w:t xml:space="preserve"> </w:t>
      </w:r>
      <w:r w:rsidRPr="000977F7">
        <w:rPr>
          <w:rFonts w:asciiTheme="majorHAnsi" w:hAnsiTheme="majorHAnsi"/>
          <w:sz w:val="20"/>
          <w:szCs w:val="20"/>
        </w:rPr>
        <w:t>власним</w:t>
      </w:r>
      <w:r w:rsidRPr="000977F7">
        <w:rPr>
          <w:rFonts w:asciiTheme="majorHAnsi" w:hAnsiTheme="majorHAnsi"/>
          <w:spacing w:val="1"/>
          <w:sz w:val="20"/>
          <w:szCs w:val="20"/>
        </w:rPr>
        <w:t xml:space="preserve"> </w:t>
      </w:r>
      <w:r w:rsidRPr="000977F7">
        <w:rPr>
          <w:rFonts w:asciiTheme="majorHAnsi" w:hAnsiTheme="majorHAnsi"/>
          <w:sz w:val="20"/>
          <w:szCs w:val="20"/>
        </w:rPr>
        <w:t>бажанням,</w:t>
      </w:r>
      <w:r w:rsidRPr="000977F7">
        <w:rPr>
          <w:rFonts w:asciiTheme="majorHAnsi" w:hAnsiTheme="majorHAnsi"/>
          <w:spacing w:val="1"/>
          <w:sz w:val="20"/>
          <w:szCs w:val="20"/>
        </w:rPr>
        <w:t xml:space="preserve"> </w:t>
      </w:r>
      <w:r w:rsidRPr="000977F7">
        <w:rPr>
          <w:rFonts w:asciiTheme="majorHAnsi" w:hAnsiTheme="majorHAnsi"/>
          <w:sz w:val="20"/>
          <w:szCs w:val="20"/>
        </w:rPr>
        <w:t>якщо</w:t>
      </w:r>
      <w:r w:rsidRPr="000977F7">
        <w:rPr>
          <w:rFonts w:asciiTheme="majorHAnsi" w:hAnsiTheme="majorHAnsi"/>
          <w:spacing w:val="1"/>
          <w:sz w:val="20"/>
          <w:szCs w:val="20"/>
        </w:rPr>
        <w:t xml:space="preserve"> </w:t>
      </w:r>
      <w:r w:rsidRPr="000977F7">
        <w:rPr>
          <w:rFonts w:asciiTheme="majorHAnsi" w:hAnsiTheme="majorHAnsi"/>
          <w:sz w:val="20"/>
          <w:szCs w:val="20"/>
        </w:rPr>
        <w:t>роботодавець</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виконує</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законодавства</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охорону</w:t>
      </w:r>
      <w:r w:rsidRPr="000977F7">
        <w:rPr>
          <w:rFonts w:asciiTheme="majorHAnsi" w:hAnsiTheme="majorHAnsi"/>
          <w:spacing w:val="1"/>
          <w:sz w:val="20"/>
          <w:szCs w:val="20"/>
        </w:rPr>
        <w:t xml:space="preserve"> </w:t>
      </w:r>
      <w:r w:rsidRPr="000977F7">
        <w:rPr>
          <w:rFonts w:asciiTheme="majorHAnsi" w:hAnsiTheme="majorHAnsi"/>
          <w:sz w:val="20"/>
          <w:szCs w:val="20"/>
        </w:rPr>
        <w:t>праці,</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додержується</w:t>
      </w:r>
      <w:r w:rsidRPr="000977F7">
        <w:rPr>
          <w:rFonts w:asciiTheme="majorHAnsi" w:hAnsiTheme="majorHAnsi"/>
          <w:spacing w:val="1"/>
          <w:sz w:val="20"/>
          <w:szCs w:val="20"/>
        </w:rPr>
        <w:t xml:space="preserve"> </w:t>
      </w:r>
      <w:r w:rsidRPr="000977F7">
        <w:rPr>
          <w:rFonts w:asciiTheme="majorHAnsi" w:hAnsiTheme="majorHAnsi"/>
          <w:sz w:val="20"/>
          <w:szCs w:val="20"/>
        </w:rPr>
        <w:t>умов колективного договору з цих питань. У цьому</w:t>
      </w:r>
      <w:r w:rsidRPr="000977F7">
        <w:rPr>
          <w:rFonts w:asciiTheme="majorHAnsi" w:hAnsiTheme="majorHAnsi"/>
          <w:spacing w:val="1"/>
          <w:sz w:val="20"/>
          <w:szCs w:val="20"/>
        </w:rPr>
        <w:t xml:space="preserve"> </w:t>
      </w:r>
      <w:r w:rsidRPr="000977F7">
        <w:rPr>
          <w:rFonts w:asciiTheme="majorHAnsi" w:hAnsiTheme="majorHAnsi"/>
          <w:sz w:val="20"/>
          <w:szCs w:val="20"/>
        </w:rPr>
        <w:t>разі</w:t>
      </w:r>
      <w:r w:rsidRPr="000977F7">
        <w:rPr>
          <w:rFonts w:asciiTheme="majorHAnsi" w:hAnsiTheme="majorHAnsi"/>
          <w:spacing w:val="1"/>
          <w:sz w:val="20"/>
          <w:szCs w:val="20"/>
        </w:rPr>
        <w:t xml:space="preserve"> </w:t>
      </w:r>
      <w:r w:rsidRPr="000977F7">
        <w:rPr>
          <w:rFonts w:asciiTheme="majorHAnsi" w:hAnsiTheme="majorHAnsi"/>
          <w:sz w:val="20"/>
          <w:szCs w:val="20"/>
        </w:rPr>
        <w:t>працівникові</w:t>
      </w:r>
      <w:r w:rsidRPr="000977F7">
        <w:rPr>
          <w:rFonts w:asciiTheme="majorHAnsi" w:hAnsiTheme="majorHAnsi"/>
          <w:spacing w:val="1"/>
          <w:sz w:val="20"/>
          <w:szCs w:val="20"/>
        </w:rPr>
        <w:t xml:space="preserve"> </w:t>
      </w:r>
      <w:r w:rsidRPr="000977F7">
        <w:rPr>
          <w:rFonts w:asciiTheme="majorHAnsi" w:hAnsiTheme="majorHAnsi"/>
          <w:sz w:val="20"/>
          <w:szCs w:val="20"/>
        </w:rPr>
        <w:t>виплачується</w:t>
      </w:r>
      <w:r w:rsidRPr="000977F7">
        <w:rPr>
          <w:rFonts w:asciiTheme="majorHAnsi" w:hAnsiTheme="majorHAnsi"/>
          <w:spacing w:val="1"/>
          <w:sz w:val="20"/>
          <w:szCs w:val="20"/>
        </w:rPr>
        <w:t xml:space="preserve"> </w:t>
      </w:r>
      <w:r w:rsidRPr="000977F7">
        <w:rPr>
          <w:rFonts w:asciiTheme="majorHAnsi" w:hAnsiTheme="majorHAnsi"/>
          <w:sz w:val="20"/>
          <w:szCs w:val="20"/>
        </w:rPr>
        <w:t>вихідна</w:t>
      </w:r>
      <w:r w:rsidRPr="000977F7">
        <w:rPr>
          <w:rFonts w:asciiTheme="majorHAnsi" w:hAnsiTheme="majorHAnsi"/>
          <w:spacing w:val="1"/>
          <w:sz w:val="20"/>
          <w:szCs w:val="20"/>
        </w:rPr>
        <w:t xml:space="preserve"> </w:t>
      </w:r>
      <w:r w:rsidRPr="000977F7">
        <w:rPr>
          <w:rFonts w:asciiTheme="majorHAnsi" w:hAnsiTheme="majorHAnsi"/>
          <w:sz w:val="20"/>
          <w:szCs w:val="20"/>
        </w:rPr>
        <w:t>допомога</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47"/>
          <w:sz w:val="20"/>
          <w:szCs w:val="20"/>
        </w:rPr>
        <w:t xml:space="preserve"> </w:t>
      </w:r>
      <w:r w:rsidRPr="000977F7">
        <w:rPr>
          <w:rFonts w:asciiTheme="majorHAnsi" w:hAnsiTheme="majorHAnsi"/>
          <w:sz w:val="20"/>
          <w:szCs w:val="20"/>
        </w:rPr>
        <w:t>розмірі, передбаченому колективним договором, але</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менше тримісячного заробітку.</w:t>
      </w:r>
    </w:p>
    <w:p w14:paraId="0CEED5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Працівника,</w:t>
      </w:r>
      <w:r w:rsidRPr="000977F7">
        <w:rPr>
          <w:rFonts w:asciiTheme="majorHAnsi" w:hAnsiTheme="majorHAnsi"/>
          <w:spacing w:val="1"/>
          <w:sz w:val="20"/>
          <w:szCs w:val="20"/>
        </w:rPr>
        <w:t xml:space="preserve"> </w:t>
      </w:r>
      <w:r w:rsidRPr="000977F7">
        <w:rPr>
          <w:rFonts w:asciiTheme="majorHAnsi" w:hAnsiTheme="majorHAnsi"/>
          <w:sz w:val="20"/>
          <w:szCs w:val="20"/>
        </w:rPr>
        <w:t>який за</w:t>
      </w:r>
      <w:r w:rsidRPr="000977F7">
        <w:rPr>
          <w:rFonts w:asciiTheme="majorHAnsi" w:hAnsiTheme="majorHAnsi"/>
          <w:spacing w:val="1"/>
          <w:sz w:val="20"/>
          <w:szCs w:val="20"/>
        </w:rPr>
        <w:t xml:space="preserve"> </w:t>
      </w:r>
      <w:r w:rsidRPr="000977F7">
        <w:rPr>
          <w:rFonts w:asciiTheme="majorHAnsi" w:hAnsiTheme="majorHAnsi"/>
          <w:sz w:val="20"/>
          <w:szCs w:val="20"/>
        </w:rPr>
        <w:t>станом</w:t>
      </w:r>
      <w:r w:rsidRPr="000977F7">
        <w:rPr>
          <w:rFonts w:asciiTheme="majorHAnsi" w:hAnsiTheme="majorHAnsi"/>
          <w:spacing w:val="1"/>
          <w:sz w:val="20"/>
          <w:szCs w:val="20"/>
        </w:rPr>
        <w:t xml:space="preserve"> </w:t>
      </w:r>
      <w:r w:rsidRPr="000977F7">
        <w:rPr>
          <w:rFonts w:asciiTheme="majorHAnsi" w:hAnsiTheme="majorHAnsi"/>
          <w:sz w:val="20"/>
          <w:szCs w:val="20"/>
        </w:rPr>
        <w:t>здоров'я відповідно</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медичного висновку потребує надання легшої роботи,</w:t>
      </w:r>
      <w:r w:rsidRPr="000977F7">
        <w:rPr>
          <w:rFonts w:asciiTheme="majorHAnsi" w:hAnsiTheme="majorHAnsi"/>
          <w:spacing w:val="-47"/>
          <w:sz w:val="20"/>
          <w:szCs w:val="20"/>
        </w:rPr>
        <w:t xml:space="preserve"> </w:t>
      </w:r>
      <w:r w:rsidRPr="000977F7">
        <w:rPr>
          <w:rFonts w:asciiTheme="majorHAnsi" w:hAnsiTheme="majorHAnsi"/>
          <w:sz w:val="20"/>
          <w:szCs w:val="20"/>
        </w:rPr>
        <w:t>роботодавець повинен перевести за згодою працівника на таку роботу на термін, зазначений у медичному</w:t>
      </w:r>
      <w:r w:rsidRPr="000977F7">
        <w:rPr>
          <w:rFonts w:asciiTheme="majorHAnsi" w:hAnsiTheme="majorHAnsi"/>
          <w:spacing w:val="1"/>
          <w:sz w:val="20"/>
          <w:szCs w:val="20"/>
        </w:rPr>
        <w:t xml:space="preserve"> </w:t>
      </w:r>
      <w:r w:rsidRPr="000977F7">
        <w:rPr>
          <w:rFonts w:asciiTheme="majorHAnsi" w:hAnsiTheme="majorHAnsi"/>
          <w:sz w:val="20"/>
          <w:szCs w:val="20"/>
        </w:rPr>
        <w:t>висновку, і у разі потреби встановити скорочений робочий день та організувати проведення навчання працівника з набуття іншої професії відповідно до законодавства.</w:t>
      </w:r>
    </w:p>
    <w:p w14:paraId="417F35E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зупинення експлуатації</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цеху,</w:t>
      </w:r>
      <w:r w:rsidRPr="000977F7">
        <w:rPr>
          <w:rFonts w:asciiTheme="majorHAnsi" w:hAnsiTheme="majorHAnsi"/>
          <w:spacing w:val="1"/>
          <w:sz w:val="20"/>
          <w:szCs w:val="20"/>
        </w:rPr>
        <w:t xml:space="preserve"> </w:t>
      </w:r>
      <w:r w:rsidRPr="000977F7">
        <w:rPr>
          <w:rFonts w:asciiTheme="majorHAnsi" w:hAnsiTheme="majorHAnsi"/>
          <w:sz w:val="20"/>
          <w:szCs w:val="20"/>
        </w:rPr>
        <w:t>дільниці,</w:t>
      </w:r>
      <w:r w:rsidRPr="000977F7">
        <w:rPr>
          <w:rFonts w:asciiTheme="majorHAnsi" w:hAnsiTheme="majorHAnsi"/>
          <w:spacing w:val="1"/>
          <w:sz w:val="20"/>
          <w:szCs w:val="20"/>
        </w:rPr>
        <w:t xml:space="preserve"> </w:t>
      </w:r>
      <w:r w:rsidRPr="000977F7">
        <w:rPr>
          <w:rFonts w:asciiTheme="majorHAnsi" w:hAnsiTheme="majorHAnsi"/>
          <w:sz w:val="20"/>
          <w:szCs w:val="20"/>
        </w:rPr>
        <w:t>окремого</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1"/>
          <w:sz w:val="20"/>
          <w:szCs w:val="20"/>
        </w:rPr>
        <w:t xml:space="preserve"> </w:t>
      </w:r>
      <w:r w:rsidRPr="000977F7">
        <w:rPr>
          <w:rFonts w:asciiTheme="majorHAnsi" w:hAnsiTheme="majorHAnsi"/>
          <w:sz w:val="20"/>
          <w:szCs w:val="20"/>
        </w:rPr>
        <w:t>органом</w:t>
      </w:r>
      <w:r w:rsidRPr="000977F7">
        <w:rPr>
          <w:rFonts w:asciiTheme="majorHAnsi" w:hAnsiTheme="majorHAnsi"/>
          <w:spacing w:val="1"/>
          <w:sz w:val="20"/>
          <w:szCs w:val="20"/>
        </w:rPr>
        <w:t xml:space="preserve"> </w:t>
      </w:r>
      <w:r w:rsidRPr="000977F7">
        <w:rPr>
          <w:rFonts w:asciiTheme="majorHAnsi" w:hAnsiTheme="majorHAnsi"/>
          <w:sz w:val="20"/>
          <w:szCs w:val="20"/>
        </w:rPr>
        <w:t>державного</w:t>
      </w:r>
      <w:r w:rsidRPr="000977F7">
        <w:rPr>
          <w:rFonts w:asciiTheme="majorHAnsi" w:hAnsiTheme="majorHAnsi"/>
          <w:spacing w:val="1"/>
          <w:sz w:val="20"/>
          <w:szCs w:val="20"/>
        </w:rPr>
        <w:t xml:space="preserve"> </w:t>
      </w:r>
      <w:r w:rsidRPr="000977F7">
        <w:rPr>
          <w:rFonts w:asciiTheme="majorHAnsi" w:hAnsiTheme="majorHAnsi"/>
          <w:sz w:val="20"/>
          <w:szCs w:val="20"/>
        </w:rPr>
        <w:t>нагляду за</w:t>
      </w:r>
      <w:r w:rsidRPr="000977F7">
        <w:rPr>
          <w:rFonts w:asciiTheme="majorHAnsi" w:hAnsiTheme="majorHAnsi"/>
          <w:spacing w:val="1"/>
          <w:sz w:val="20"/>
          <w:szCs w:val="20"/>
        </w:rPr>
        <w:t xml:space="preserve"> </w:t>
      </w:r>
      <w:r w:rsidRPr="000977F7">
        <w:rPr>
          <w:rFonts w:asciiTheme="majorHAnsi" w:hAnsiTheme="majorHAnsi"/>
          <w:sz w:val="20"/>
          <w:szCs w:val="20"/>
        </w:rPr>
        <w:t>охороною</w:t>
      </w:r>
      <w:r w:rsidRPr="000977F7">
        <w:rPr>
          <w:rFonts w:asciiTheme="majorHAnsi" w:hAnsiTheme="majorHAnsi"/>
          <w:spacing w:val="1"/>
          <w:sz w:val="20"/>
          <w:szCs w:val="20"/>
        </w:rPr>
        <w:t xml:space="preserve"> </w:t>
      </w:r>
      <w:r w:rsidRPr="000977F7">
        <w:rPr>
          <w:rFonts w:asciiTheme="majorHAnsi" w:hAnsiTheme="majorHAnsi"/>
          <w:sz w:val="20"/>
          <w:szCs w:val="20"/>
        </w:rPr>
        <w:t>праці</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службою охорони праці за працівником зберігаються</w:t>
      </w:r>
      <w:r w:rsidRPr="000977F7">
        <w:rPr>
          <w:rFonts w:asciiTheme="majorHAnsi" w:hAnsiTheme="majorHAnsi"/>
          <w:spacing w:val="1"/>
          <w:sz w:val="20"/>
          <w:szCs w:val="20"/>
        </w:rPr>
        <w:t xml:space="preserve"> </w:t>
      </w:r>
      <w:r w:rsidRPr="000977F7">
        <w:rPr>
          <w:rFonts w:asciiTheme="majorHAnsi" w:hAnsiTheme="majorHAnsi"/>
          <w:sz w:val="20"/>
          <w:szCs w:val="20"/>
        </w:rPr>
        <w:t>місце</w:t>
      </w:r>
      <w:r w:rsidRPr="000977F7">
        <w:rPr>
          <w:rFonts w:asciiTheme="majorHAnsi" w:hAnsiTheme="majorHAnsi"/>
          <w:spacing w:val="-1"/>
          <w:sz w:val="20"/>
          <w:szCs w:val="20"/>
        </w:rPr>
        <w:t xml:space="preserve"> </w:t>
      </w:r>
      <w:r w:rsidRPr="000977F7">
        <w:rPr>
          <w:rFonts w:asciiTheme="majorHAnsi" w:hAnsiTheme="majorHAnsi"/>
          <w:sz w:val="20"/>
          <w:szCs w:val="20"/>
        </w:rPr>
        <w:t>роботи, а</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1"/>
          <w:sz w:val="20"/>
          <w:szCs w:val="20"/>
        </w:rPr>
        <w:t xml:space="preserve"> </w:t>
      </w:r>
      <w:r w:rsidRPr="000977F7">
        <w:rPr>
          <w:rFonts w:asciiTheme="majorHAnsi" w:hAnsiTheme="majorHAnsi"/>
          <w:sz w:val="20"/>
          <w:szCs w:val="20"/>
        </w:rPr>
        <w:t>середній</w:t>
      </w:r>
      <w:r w:rsidRPr="000977F7">
        <w:rPr>
          <w:rFonts w:asciiTheme="majorHAnsi" w:hAnsiTheme="majorHAnsi"/>
          <w:spacing w:val="-2"/>
          <w:sz w:val="20"/>
          <w:szCs w:val="20"/>
        </w:rPr>
        <w:t xml:space="preserve"> </w:t>
      </w:r>
      <w:r w:rsidRPr="000977F7">
        <w:rPr>
          <w:rFonts w:asciiTheme="majorHAnsi" w:hAnsiTheme="majorHAnsi"/>
          <w:sz w:val="20"/>
          <w:szCs w:val="20"/>
        </w:rPr>
        <w:t>заробіток.</w:t>
      </w:r>
    </w:p>
    <w:p w14:paraId="4842CCC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2"/>
          <w:sz w:val="20"/>
          <w:szCs w:val="20"/>
        </w:rPr>
        <w:t xml:space="preserve"> </w:t>
      </w:r>
      <w:r w:rsidRPr="000977F7">
        <w:rPr>
          <w:rFonts w:asciiTheme="majorHAnsi" w:hAnsiTheme="majorHAnsi"/>
          <w:i/>
          <w:sz w:val="20"/>
          <w:szCs w:val="20"/>
        </w:rPr>
        <w:t>6 закону</w:t>
      </w:r>
      <w:r w:rsidRPr="000977F7">
        <w:rPr>
          <w:rFonts w:asciiTheme="majorHAnsi" w:hAnsiTheme="majorHAnsi"/>
          <w:i/>
          <w:spacing w:val="-3"/>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1"/>
          <w:sz w:val="20"/>
          <w:szCs w:val="20"/>
        </w:rPr>
        <w:t xml:space="preserve"> "</w:t>
      </w:r>
      <w:r w:rsidRPr="000977F7">
        <w:rPr>
          <w:rFonts w:asciiTheme="majorHAnsi" w:hAnsiTheme="majorHAnsi"/>
          <w:i/>
          <w:sz w:val="20"/>
          <w:szCs w:val="20"/>
        </w:rPr>
        <w:t>Про</w:t>
      </w:r>
      <w:r w:rsidRPr="000977F7">
        <w:rPr>
          <w:rFonts w:asciiTheme="majorHAnsi" w:hAnsiTheme="majorHAnsi"/>
          <w:i/>
          <w:spacing w:val="-6"/>
          <w:sz w:val="20"/>
          <w:szCs w:val="20"/>
        </w:rPr>
        <w:t xml:space="preserve"> </w:t>
      </w:r>
      <w:r w:rsidRPr="000977F7">
        <w:rPr>
          <w:rFonts w:asciiTheme="majorHAnsi" w:hAnsiTheme="majorHAnsi"/>
          <w:i/>
          <w:sz w:val="20"/>
          <w:szCs w:val="20"/>
        </w:rPr>
        <w:t>охорону</w:t>
      </w:r>
      <w:r w:rsidRPr="000977F7">
        <w:rPr>
          <w:rFonts w:asciiTheme="majorHAnsi" w:hAnsiTheme="majorHAnsi"/>
          <w:i/>
          <w:spacing w:val="-2"/>
          <w:sz w:val="20"/>
          <w:szCs w:val="20"/>
        </w:rPr>
        <w:t xml:space="preserve"> </w:t>
      </w:r>
      <w:r w:rsidRPr="000977F7">
        <w:rPr>
          <w:rFonts w:asciiTheme="majorHAnsi" w:hAnsiTheme="majorHAnsi"/>
          <w:i/>
          <w:sz w:val="20"/>
          <w:szCs w:val="20"/>
        </w:rPr>
        <w:t>праці"</w:t>
      </w:r>
    </w:p>
    <w:p w14:paraId="45B7F365"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ПРАВА НА ПРОМИСЛОВИЙ ЗРАЗОК –</w:t>
      </w:r>
    </w:p>
    <w:p w14:paraId="3D014D7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Права інтелектуальної власності на промисловий зразок;</w:t>
      </w:r>
    </w:p>
    <w:p w14:paraId="7606D8E0"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Ст. 1 закону України "Про охорону прав на промислові зразки"</w:t>
      </w:r>
    </w:p>
    <w:p w14:paraId="7FBAFE1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ПРАВА</w:t>
      </w:r>
      <w:r w:rsidRPr="000977F7">
        <w:rPr>
          <w:color w:val="auto"/>
          <w:spacing w:val="1"/>
          <w:sz w:val="20"/>
          <w:szCs w:val="20"/>
        </w:rPr>
        <w:t xml:space="preserve"> </w:t>
      </w:r>
      <w:r w:rsidRPr="000977F7">
        <w:rPr>
          <w:color w:val="auto"/>
          <w:sz w:val="20"/>
          <w:szCs w:val="20"/>
        </w:rPr>
        <w:t>СПОЖИВАЧА</w:t>
      </w:r>
      <w:r w:rsidRPr="000977F7">
        <w:rPr>
          <w:color w:val="auto"/>
          <w:spacing w:val="1"/>
          <w:sz w:val="20"/>
          <w:szCs w:val="20"/>
        </w:rPr>
        <w:t xml:space="preserve"> </w:t>
      </w:r>
      <w:r w:rsidRPr="000977F7">
        <w:rPr>
          <w:color w:val="auto"/>
          <w:sz w:val="20"/>
          <w:szCs w:val="20"/>
        </w:rPr>
        <w:t>У</w:t>
      </w:r>
      <w:r w:rsidRPr="000977F7">
        <w:rPr>
          <w:color w:val="auto"/>
          <w:spacing w:val="1"/>
          <w:sz w:val="20"/>
          <w:szCs w:val="20"/>
        </w:rPr>
        <w:t xml:space="preserve"> </w:t>
      </w:r>
      <w:r w:rsidRPr="000977F7">
        <w:rPr>
          <w:color w:val="auto"/>
          <w:sz w:val="20"/>
          <w:szCs w:val="20"/>
        </w:rPr>
        <w:t>РАЗІ</w:t>
      </w:r>
      <w:r w:rsidRPr="000977F7">
        <w:rPr>
          <w:color w:val="auto"/>
          <w:spacing w:val="1"/>
          <w:sz w:val="20"/>
          <w:szCs w:val="20"/>
        </w:rPr>
        <w:t xml:space="preserve"> </w:t>
      </w:r>
      <w:r w:rsidRPr="000977F7">
        <w:rPr>
          <w:color w:val="auto"/>
          <w:sz w:val="20"/>
          <w:szCs w:val="20"/>
        </w:rPr>
        <w:t>ПОРУШЕННЯ</w:t>
      </w:r>
      <w:r w:rsidRPr="000977F7">
        <w:rPr>
          <w:color w:val="auto"/>
          <w:spacing w:val="-47"/>
          <w:sz w:val="20"/>
          <w:szCs w:val="20"/>
        </w:rPr>
        <w:t xml:space="preserve"> </w:t>
      </w:r>
      <w:r w:rsidRPr="000977F7">
        <w:rPr>
          <w:color w:val="auto"/>
          <w:sz w:val="20"/>
          <w:szCs w:val="20"/>
        </w:rPr>
        <w:t xml:space="preserve">ВИКОНАВЦЕМ УМОВ ДОГОВОРУ ПРО </w:t>
      </w:r>
    </w:p>
    <w:p w14:paraId="43B3786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ВИКОНАННЯ</w:t>
      </w:r>
      <w:r w:rsidRPr="000977F7">
        <w:rPr>
          <w:color w:val="auto"/>
          <w:spacing w:val="-1"/>
          <w:sz w:val="20"/>
          <w:szCs w:val="20"/>
        </w:rPr>
        <w:t xml:space="preserve"> </w:t>
      </w:r>
      <w:r w:rsidRPr="000977F7">
        <w:rPr>
          <w:color w:val="auto"/>
          <w:sz w:val="20"/>
          <w:szCs w:val="20"/>
        </w:rPr>
        <w:t>РОБІТ</w:t>
      </w:r>
      <w:r w:rsidRPr="000977F7">
        <w:rPr>
          <w:color w:val="auto"/>
          <w:spacing w:val="-3"/>
          <w:sz w:val="20"/>
          <w:szCs w:val="20"/>
        </w:rPr>
        <w:t xml:space="preserve"> </w:t>
      </w:r>
      <w:r w:rsidRPr="000977F7">
        <w:rPr>
          <w:color w:val="auto"/>
          <w:sz w:val="20"/>
          <w:szCs w:val="20"/>
        </w:rPr>
        <w:t>(НАДАННЯ</w:t>
      </w:r>
      <w:r w:rsidRPr="000977F7">
        <w:rPr>
          <w:color w:val="auto"/>
          <w:spacing w:val="-1"/>
          <w:sz w:val="20"/>
          <w:szCs w:val="20"/>
        </w:rPr>
        <w:t xml:space="preserve"> </w:t>
      </w:r>
      <w:r w:rsidRPr="000977F7">
        <w:rPr>
          <w:color w:val="auto"/>
          <w:sz w:val="20"/>
          <w:szCs w:val="20"/>
        </w:rPr>
        <w:t>ПОСЛУГ)</w:t>
      </w:r>
      <w:r w:rsidRPr="000977F7">
        <w:rPr>
          <w:color w:val="auto"/>
          <w:spacing w:val="4"/>
          <w:sz w:val="20"/>
          <w:szCs w:val="20"/>
        </w:rPr>
        <w:t xml:space="preserve"> </w:t>
      </w:r>
      <w:r w:rsidRPr="000977F7">
        <w:rPr>
          <w:color w:val="auto"/>
          <w:sz w:val="20"/>
          <w:szCs w:val="20"/>
        </w:rPr>
        <w:t>-</w:t>
      </w:r>
    </w:p>
    <w:p w14:paraId="571DCC9F" w14:textId="77777777" w:rsidR="0097612F" w:rsidRPr="004D2D14" w:rsidRDefault="0097612F" w:rsidP="00FD39A4">
      <w:pPr>
        <w:pStyle w:val="ac"/>
        <w:widowControl w:val="0"/>
        <w:numPr>
          <w:ilvl w:val="0"/>
          <w:numId w:val="107"/>
        </w:numPr>
        <w:tabs>
          <w:tab w:val="left" w:pos="284"/>
          <w:tab w:val="left" w:pos="659"/>
        </w:tabs>
        <w:autoSpaceDE w:val="0"/>
        <w:autoSpaceDN w:val="0"/>
        <w:spacing w:after="0" w:line="240" w:lineRule="auto"/>
        <w:ind w:left="170" w:firstLine="0"/>
        <w:contextualSpacing w:val="0"/>
        <w:mirrorIndents/>
        <w:jc w:val="both"/>
        <w:rPr>
          <w:rFonts w:asciiTheme="majorHAnsi" w:hAnsiTheme="majorHAnsi"/>
          <w:sz w:val="20"/>
          <w:szCs w:val="20"/>
          <w:lang w:val="uk-UA"/>
        </w:rPr>
      </w:pPr>
      <w:r w:rsidRPr="004D2D14">
        <w:rPr>
          <w:rFonts w:asciiTheme="majorHAnsi" w:hAnsiTheme="majorHAnsi"/>
          <w:sz w:val="20"/>
          <w:szCs w:val="20"/>
          <w:lang w:val="uk-UA"/>
        </w:rPr>
        <w:t>Споживач має право відмовитися від договору про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виконання робіт (надання послуг) і вимагати відшкодування збитків, якщо виконавець своєчасно не приступив до виконання зобов'язань за договором або виконує роботу так повільно, що закінчити її у визначений</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строк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неможливим.</w:t>
      </w:r>
    </w:p>
    <w:p w14:paraId="2D3FD01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Якщо значну частину обсягу послуги чи робіт (понад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сімдесят відсотків загального обсягу) вже було виконано, споживач має право розірвати договір лише стосовно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частини послуги</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робіт,</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що залишилася.</w:t>
      </w:r>
    </w:p>
    <w:p w14:paraId="041FFF5F" w14:textId="77777777" w:rsidR="0097612F" w:rsidRPr="004D2D14" w:rsidRDefault="0097612F" w:rsidP="00FD39A4">
      <w:pPr>
        <w:pStyle w:val="ac"/>
        <w:widowControl w:val="0"/>
        <w:numPr>
          <w:ilvl w:val="0"/>
          <w:numId w:val="107"/>
        </w:numPr>
        <w:tabs>
          <w:tab w:val="left" w:pos="284"/>
          <w:tab w:val="left" w:pos="743"/>
        </w:tabs>
        <w:autoSpaceDE w:val="0"/>
        <w:autoSpaceDN w:val="0"/>
        <w:spacing w:after="0" w:line="240" w:lineRule="auto"/>
        <w:ind w:left="170" w:firstLine="0"/>
        <w:contextualSpacing w:val="0"/>
        <w:mirrorIndents/>
        <w:jc w:val="both"/>
        <w:rPr>
          <w:rFonts w:asciiTheme="majorHAnsi" w:hAnsiTheme="majorHAnsi"/>
          <w:sz w:val="20"/>
          <w:szCs w:val="20"/>
          <w:lang w:val="uk-UA"/>
        </w:rPr>
      </w:pPr>
      <w:r w:rsidRPr="004D2D14">
        <w:rPr>
          <w:rFonts w:asciiTheme="majorHAnsi" w:hAnsiTheme="majorHAnsi"/>
          <w:sz w:val="20"/>
          <w:szCs w:val="20"/>
          <w:lang w:val="uk-UA"/>
        </w:rPr>
        <w:t>Якщо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 час</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виконання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робіт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(надання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послуг)</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стане очевидним, що їх не буде виконано з вини виконавця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згідно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умовами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договору,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споживач</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має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право призначити виконавцю відповідний строк 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 xml:space="preserve">усунення недоліків, а в разі невиконання цієї вимоги у </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визначений строк розірвати договір і вимагати відшкодування збитків або доручити виправлення недоліків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третій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особі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за рахунок</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виконавця.</w:t>
      </w:r>
    </w:p>
    <w:p w14:paraId="5A948546" w14:textId="77777777" w:rsidR="0097612F" w:rsidRPr="000977F7" w:rsidRDefault="0097612F" w:rsidP="00FD39A4">
      <w:pPr>
        <w:pStyle w:val="ac"/>
        <w:widowControl w:val="0"/>
        <w:numPr>
          <w:ilvl w:val="0"/>
          <w:numId w:val="107"/>
        </w:numPr>
        <w:tabs>
          <w:tab w:val="left" w:pos="284"/>
          <w:tab w:val="left" w:pos="70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 разі виявлення недоліків у виконаній роботі (наданій послузі) споживач має право на свій вибір вимагати:</w:t>
      </w:r>
    </w:p>
    <w:p w14:paraId="0EC9BD41" w14:textId="77777777" w:rsidR="0097612F" w:rsidRPr="000977F7" w:rsidRDefault="0097612F" w:rsidP="00FD39A4">
      <w:pPr>
        <w:pStyle w:val="ac"/>
        <w:widowControl w:val="0"/>
        <w:numPr>
          <w:ilvl w:val="0"/>
          <w:numId w:val="106"/>
        </w:numPr>
        <w:tabs>
          <w:tab w:val="left" w:pos="284"/>
          <w:tab w:val="left" w:pos="74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безоплатного усунення недоліків у виконаній роботі</w:t>
      </w:r>
      <w:r w:rsidRPr="000977F7">
        <w:rPr>
          <w:rFonts w:asciiTheme="majorHAnsi" w:hAnsiTheme="majorHAnsi"/>
          <w:spacing w:val="-2"/>
          <w:sz w:val="20"/>
          <w:szCs w:val="20"/>
        </w:rPr>
        <w:t xml:space="preserve"> </w:t>
      </w:r>
      <w:r w:rsidRPr="000977F7">
        <w:rPr>
          <w:rFonts w:asciiTheme="majorHAnsi" w:hAnsiTheme="majorHAnsi"/>
          <w:sz w:val="20"/>
          <w:szCs w:val="20"/>
        </w:rPr>
        <w:t>(наданій</w:t>
      </w:r>
      <w:r w:rsidRPr="000977F7">
        <w:rPr>
          <w:rFonts w:asciiTheme="majorHAnsi" w:hAnsiTheme="majorHAnsi"/>
          <w:spacing w:val="-1"/>
          <w:sz w:val="20"/>
          <w:szCs w:val="20"/>
        </w:rPr>
        <w:t xml:space="preserve"> </w:t>
      </w:r>
      <w:r w:rsidRPr="000977F7">
        <w:rPr>
          <w:rFonts w:asciiTheme="majorHAnsi" w:hAnsiTheme="majorHAnsi"/>
          <w:sz w:val="20"/>
          <w:szCs w:val="20"/>
        </w:rPr>
        <w:t>послузі)</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розумний</w:t>
      </w:r>
      <w:r w:rsidRPr="000977F7">
        <w:rPr>
          <w:rFonts w:asciiTheme="majorHAnsi" w:hAnsiTheme="majorHAnsi"/>
          <w:spacing w:val="-2"/>
          <w:sz w:val="20"/>
          <w:szCs w:val="20"/>
        </w:rPr>
        <w:t xml:space="preserve"> </w:t>
      </w:r>
      <w:r w:rsidRPr="000977F7">
        <w:rPr>
          <w:rFonts w:asciiTheme="majorHAnsi" w:hAnsiTheme="majorHAnsi"/>
          <w:sz w:val="20"/>
          <w:szCs w:val="20"/>
        </w:rPr>
        <w:t>строк;</w:t>
      </w:r>
    </w:p>
    <w:p w14:paraId="6C6E0C86" w14:textId="77777777" w:rsidR="0097612F" w:rsidRPr="000977F7" w:rsidRDefault="0097612F" w:rsidP="00FD39A4">
      <w:pPr>
        <w:pStyle w:val="ac"/>
        <w:widowControl w:val="0"/>
        <w:numPr>
          <w:ilvl w:val="0"/>
          <w:numId w:val="106"/>
        </w:numPr>
        <w:tabs>
          <w:tab w:val="left" w:pos="284"/>
          <w:tab w:val="left" w:pos="7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відповідного</w:t>
      </w:r>
      <w:r w:rsidRPr="000977F7">
        <w:rPr>
          <w:rFonts w:asciiTheme="majorHAnsi" w:hAnsiTheme="majorHAnsi"/>
          <w:spacing w:val="1"/>
          <w:sz w:val="20"/>
          <w:szCs w:val="20"/>
        </w:rPr>
        <w:t xml:space="preserve"> </w:t>
      </w:r>
      <w:r w:rsidRPr="000977F7">
        <w:rPr>
          <w:rFonts w:asciiTheme="majorHAnsi" w:hAnsiTheme="majorHAnsi"/>
          <w:sz w:val="20"/>
          <w:szCs w:val="20"/>
        </w:rPr>
        <w:t>зменшення</w:t>
      </w:r>
      <w:r w:rsidRPr="000977F7">
        <w:rPr>
          <w:rFonts w:asciiTheme="majorHAnsi" w:hAnsiTheme="majorHAnsi"/>
          <w:spacing w:val="1"/>
          <w:sz w:val="20"/>
          <w:szCs w:val="20"/>
        </w:rPr>
        <w:t xml:space="preserve"> </w:t>
      </w:r>
      <w:r w:rsidRPr="000977F7">
        <w:rPr>
          <w:rFonts w:asciiTheme="majorHAnsi" w:hAnsiTheme="majorHAnsi"/>
          <w:sz w:val="20"/>
          <w:szCs w:val="20"/>
        </w:rPr>
        <w:t>ціни</w:t>
      </w:r>
      <w:r w:rsidRPr="000977F7">
        <w:rPr>
          <w:rFonts w:asciiTheme="majorHAnsi" w:hAnsiTheme="majorHAnsi"/>
          <w:spacing w:val="1"/>
          <w:sz w:val="20"/>
          <w:szCs w:val="20"/>
        </w:rPr>
        <w:t xml:space="preserve"> </w:t>
      </w:r>
      <w:r w:rsidRPr="000977F7">
        <w:rPr>
          <w:rFonts w:asciiTheme="majorHAnsi" w:hAnsiTheme="majorHAnsi"/>
          <w:sz w:val="20"/>
          <w:szCs w:val="20"/>
        </w:rPr>
        <w:t>виконаної</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r w:rsidRPr="000977F7">
        <w:rPr>
          <w:rFonts w:asciiTheme="majorHAnsi" w:hAnsiTheme="majorHAnsi"/>
          <w:spacing w:val="1"/>
          <w:sz w:val="20"/>
          <w:szCs w:val="20"/>
        </w:rPr>
        <w:t xml:space="preserve"> </w:t>
      </w:r>
      <w:r w:rsidRPr="000977F7">
        <w:rPr>
          <w:rFonts w:asciiTheme="majorHAnsi" w:hAnsiTheme="majorHAnsi"/>
          <w:sz w:val="20"/>
          <w:szCs w:val="20"/>
        </w:rPr>
        <w:t>(наданої</w:t>
      </w:r>
      <w:r w:rsidRPr="000977F7">
        <w:rPr>
          <w:rFonts w:asciiTheme="majorHAnsi" w:hAnsiTheme="majorHAnsi"/>
          <w:spacing w:val="1"/>
          <w:sz w:val="20"/>
          <w:szCs w:val="20"/>
        </w:rPr>
        <w:t xml:space="preserve"> </w:t>
      </w:r>
      <w:r w:rsidRPr="000977F7">
        <w:rPr>
          <w:rFonts w:asciiTheme="majorHAnsi" w:hAnsiTheme="majorHAnsi"/>
          <w:sz w:val="20"/>
          <w:szCs w:val="20"/>
        </w:rPr>
        <w:t>послуги);</w:t>
      </w:r>
    </w:p>
    <w:p w14:paraId="54E36D6F" w14:textId="77777777" w:rsidR="0097612F" w:rsidRPr="000977F7" w:rsidRDefault="0097612F" w:rsidP="00FD39A4">
      <w:pPr>
        <w:pStyle w:val="ac"/>
        <w:widowControl w:val="0"/>
        <w:numPr>
          <w:ilvl w:val="0"/>
          <w:numId w:val="106"/>
        </w:numPr>
        <w:tabs>
          <w:tab w:val="left" w:pos="284"/>
          <w:tab w:val="left" w:pos="74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безоплатного виготовлення іншої речі з такого ж</w:t>
      </w:r>
      <w:r w:rsidRPr="000977F7">
        <w:rPr>
          <w:rFonts w:asciiTheme="majorHAnsi" w:hAnsiTheme="majorHAnsi"/>
          <w:spacing w:val="1"/>
          <w:sz w:val="20"/>
          <w:szCs w:val="20"/>
        </w:rPr>
        <w:t xml:space="preserve"> </w:t>
      </w:r>
      <w:r w:rsidRPr="000977F7">
        <w:rPr>
          <w:rFonts w:asciiTheme="majorHAnsi" w:hAnsiTheme="majorHAnsi"/>
          <w:sz w:val="20"/>
          <w:szCs w:val="20"/>
        </w:rPr>
        <w:t>матеріалу і такої ж якості чи повторного виконання</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p>
    <w:p w14:paraId="33EA25CC" w14:textId="77777777" w:rsidR="0097612F" w:rsidRPr="000977F7" w:rsidRDefault="0097612F" w:rsidP="00FD39A4">
      <w:pPr>
        <w:pStyle w:val="ac"/>
        <w:widowControl w:val="0"/>
        <w:numPr>
          <w:ilvl w:val="0"/>
          <w:numId w:val="106"/>
        </w:numPr>
        <w:tabs>
          <w:tab w:val="left" w:pos="284"/>
          <w:tab w:val="left" w:pos="71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відшкодування завданих йому збитків з усуненням</w:t>
      </w:r>
      <w:r w:rsidRPr="000977F7">
        <w:rPr>
          <w:rFonts w:asciiTheme="majorHAnsi" w:hAnsiTheme="majorHAnsi"/>
          <w:spacing w:val="-47"/>
          <w:sz w:val="20"/>
          <w:szCs w:val="20"/>
        </w:rPr>
        <w:t xml:space="preserve"> </w:t>
      </w:r>
      <w:r w:rsidRPr="000977F7">
        <w:rPr>
          <w:rFonts w:asciiTheme="majorHAnsi" w:hAnsiTheme="majorHAnsi"/>
          <w:sz w:val="20"/>
          <w:szCs w:val="20"/>
        </w:rPr>
        <w:t>недоліків виконаної роботи (наданої послуги) своїми</w:t>
      </w:r>
      <w:r w:rsidRPr="000977F7">
        <w:rPr>
          <w:rFonts w:asciiTheme="majorHAnsi" w:hAnsiTheme="majorHAnsi"/>
          <w:spacing w:val="1"/>
          <w:sz w:val="20"/>
          <w:szCs w:val="20"/>
        </w:rPr>
        <w:t xml:space="preserve"> </w:t>
      </w:r>
      <w:r w:rsidRPr="000977F7">
        <w:rPr>
          <w:rFonts w:asciiTheme="majorHAnsi" w:hAnsiTheme="majorHAnsi"/>
          <w:sz w:val="20"/>
          <w:szCs w:val="20"/>
        </w:rPr>
        <w:t>силами</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залученням третьої</w:t>
      </w:r>
      <w:r w:rsidRPr="000977F7">
        <w:rPr>
          <w:rFonts w:asciiTheme="majorHAnsi" w:hAnsiTheme="majorHAnsi"/>
          <w:spacing w:val="-1"/>
          <w:sz w:val="20"/>
          <w:szCs w:val="20"/>
        </w:rPr>
        <w:t xml:space="preserve"> </w:t>
      </w:r>
      <w:r w:rsidRPr="000977F7">
        <w:rPr>
          <w:rFonts w:asciiTheme="majorHAnsi" w:hAnsiTheme="majorHAnsi"/>
          <w:sz w:val="20"/>
          <w:szCs w:val="20"/>
        </w:rPr>
        <w:t>особи;</w:t>
      </w:r>
    </w:p>
    <w:p w14:paraId="38B8E138" w14:textId="77777777" w:rsidR="0097612F" w:rsidRPr="000977F7" w:rsidRDefault="0097612F" w:rsidP="00FD39A4">
      <w:pPr>
        <w:pStyle w:val="ac"/>
        <w:widowControl w:val="0"/>
        <w:numPr>
          <w:ilvl w:val="0"/>
          <w:numId w:val="106"/>
        </w:numPr>
        <w:tabs>
          <w:tab w:val="left" w:pos="284"/>
          <w:tab w:val="left" w:pos="73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реалізації інших прав, що передбачені чинним законодавством на день укладення відповідного договору.</w:t>
      </w:r>
    </w:p>
    <w:p w14:paraId="27A5009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Зазначені вимоги підлягають задоволенню у разі виявлення недоліків під час приймання виконаної </w:t>
      </w:r>
      <w:r w:rsidRPr="000977F7">
        <w:rPr>
          <w:rFonts w:asciiTheme="majorHAnsi" w:hAnsiTheme="majorHAnsi"/>
          <w:sz w:val="20"/>
          <w:szCs w:val="20"/>
        </w:rPr>
        <w:lastRenderedPageBreak/>
        <w:t>роботи (наданої послуги) або під час її виконання (надання), а в разі неможливості виявлення недоліків під час</w:t>
      </w:r>
      <w:r w:rsidRPr="000977F7">
        <w:rPr>
          <w:rFonts w:asciiTheme="majorHAnsi" w:hAnsiTheme="majorHAnsi"/>
          <w:spacing w:val="-47"/>
          <w:sz w:val="20"/>
          <w:szCs w:val="20"/>
        </w:rPr>
        <w:t xml:space="preserve"> </w:t>
      </w:r>
      <w:r w:rsidRPr="000977F7">
        <w:rPr>
          <w:rFonts w:asciiTheme="majorHAnsi" w:hAnsiTheme="majorHAnsi"/>
          <w:sz w:val="20"/>
          <w:szCs w:val="20"/>
        </w:rPr>
        <w:t>приймання виконаної роботи (наданої послуги) протягом гарантійного чи іншого строку, встановленого</w:t>
      </w:r>
      <w:r w:rsidRPr="000977F7">
        <w:rPr>
          <w:rFonts w:asciiTheme="majorHAnsi" w:hAnsiTheme="majorHAnsi"/>
          <w:spacing w:val="1"/>
          <w:sz w:val="20"/>
          <w:szCs w:val="20"/>
        </w:rPr>
        <w:t xml:space="preserve"> </w:t>
      </w:r>
      <w:r w:rsidRPr="000977F7">
        <w:rPr>
          <w:rFonts w:asciiTheme="majorHAnsi" w:hAnsiTheme="majorHAnsi"/>
          <w:sz w:val="20"/>
          <w:szCs w:val="20"/>
        </w:rPr>
        <w:t>договором, чи протягом двох років з дня прийняття</w:t>
      </w:r>
      <w:r w:rsidRPr="000977F7">
        <w:rPr>
          <w:rFonts w:asciiTheme="majorHAnsi" w:hAnsiTheme="majorHAnsi"/>
          <w:spacing w:val="1"/>
          <w:sz w:val="20"/>
          <w:szCs w:val="20"/>
        </w:rPr>
        <w:t xml:space="preserve"> </w:t>
      </w:r>
      <w:r w:rsidRPr="000977F7">
        <w:rPr>
          <w:rFonts w:asciiTheme="majorHAnsi" w:hAnsiTheme="majorHAnsi"/>
          <w:sz w:val="20"/>
          <w:szCs w:val="20"/>
        </w:rPr>
        <w:t>виконаної роботи (наданої послуги) у разі відсутності</w:t>
      </w:r>
      <w:r w:rsidRPr="000977F7">
        <w:rPr>
          <w:rFonts w:asciiTheme="majorHAnsi" w:hAnsiTheme="majorHAnsi"/>
          <w:spacing w:val="1"/>
          <w:sz w:val="20"/>
          <w:szCs w:val="20"/>
        </w:rPr>
        <w:t xml:space="preserve"> </w:t>
      </w:r>
      <w:r w:rsidRPr="000977F7">
        <w:rPr>
          <w:rFonts w:asciiTheme="majorHAnsi" w:hAnsiTheme="majorHAnsi"/>
          <w:sz w:val="20"/>
          <w:szCs w:val="20"/>
        </w:rPr>
        <w:t>гарантійного чи іншого строку, встановленого законодавством або</w:t>
      </w:r>
      <w:r w:rsidRPr="000977F7">
        <w:rPr>
          <w:rFonts w:asciiTheme="majorHAnsi" w:hAnsiTheme="majorHAnsi"/>
          <w:spacing w:val="1"/>
          <w:sz w:val="20"/>
          <w:szCs w:val="20"/>
        </w:rPr>
        <w:t xml:space="preserve"> </w:t>
      </w:r>
      <w:r w:rsidRPr="000977F7">
        <w:rPr>
          <w:rFonts w:asciiTheme="majorHAnsi" w:hAnsiTheme="majorHAnsi"/>
          <w:sz w:val="20"/>
          <w:szCs w:val="20"/>
        </w:rPr>
        <w:t>договором.</w:t>
      </w:r>
    </w:p>
    <w:p w14:paraId="00140270" w14:textId="77777777" w:rsidR="0097612F" w:rsidRPr="000977F7" w:rsidRDefault="0097612F" w:rsidP="00FD39A4">
      <w:pPr>
        <w:pStyle w:val="ac"/>
        <w:widowControl w:val="0"/>
        <w:numPr>
          <w:ilvl w:val="0"/>
          <w:numId w:val="107"/>
        </w:numPr>
        <w:tabs>
          <w:tab w:val="left" w:pos="284"/>
          <w:tab w:val="left" w:pos="71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 наявності у роботі (послузі) істотних недоліків</w:t>
      </w:r>
      <w:r w:rsidRPr="000977F7">
        <w:rPr>
          <w:rFonts w:asciiTheme="majorHAnsi" w:hAnsiTheme="majorHAnsi"/>
          <w:spacing w:val="1"/>
          <w:sz w:val="20"/>
          <w:szCs w:val="20"/>
        </w:rPr>
        <w:t xml:space="preserve"> </w:t>
      </w:r>
      <w:r w:rsidRPr="000977F7">
        <w:rPr>
          <w:rFonts w:asciiTheme="majorHAnsi" w:hAnsiTheme="majorHAnsi"/>
          <w:sz w:val="20"/>
          <w:szCs w:val="20"/>
        </w:rPr>
        <w:t>споживач має право вимагати розірвання договору та</w:t>
      </w:r>
      <w:r w:rsidRPr="000977F7">
        <w:rPr>
          <w:rFonts w:asciiTheme="majorHAnsi" w:hAnsiTheme="majorHAnsi"/>
          <w:spacing w:val="1"/>
          <w:sz w:val="20"/>
          <w:szCs w:val="20"/>
        </w:rPr>
        <w:t xml:space="preserve"> </w:t>
      </w:r>
      <w:r w:rsidRPr="000977F7">
        <w:rPr>
          <w:rFonts w:asciiTheme="majorHAnsi" w:hAnsiTheme="majorHAnsi"/>
          <w:sz w:val="20"/>
          <w:szCs w:val="20"/>
        </w:rPr>
        <w:t>відшкодування</w:t>
      </w:r>
      <w:r w:rsidRPr="000977F7">
        <w:rPr>
          <w:rFonts w:asciiTheme="majorHAnsi" w:hAnsiTheme="majorHAnsi"/>
          <w:spacing w:val="-2"/>
          <w:sz w:val="20"/>
          <w:szCs w:val="20"/>
        </w:rPr>
        <w:t xml:space="preserve"> </w:t>
      </w:r>
      <w:r w:rsidRPr="000977F7">
        <w:rPr>
          <w:rFonts w:asciiTheme="majorHAnsi" w:hAnsiTheme="majorHAnsi"/>
          <w:sz w:val="20"/>
          <w:szCs w:val="20"/>
        </w:rPr>
        <w:t>збитків.</w:t>
      </w:r>
    </w:p>
    <w:p w14:paraId="1AAE3F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Якщо істотні недоліки було виявлено в роботі (послузі), виконаній з матеріалу споживача, споживач має</w:t>
      </w:r>
      <w:r w:rsidRPr="000977F7">
        <w:rPr>
          <w:rFonts w:asciiTheme="majorHAnsi" w:hAnsiTheme="majorHAnsi"/>
          <w:spacing w:val="1"/>
          <w:sz w:val="20"/>
          <w:szCs w:val="20"/>
        </w:rPr>
        <w:t xml:space="preserve"> </w:t>
      </w:r>
      <w:r w:rsidRPr="000977F7">
        <w:rPr>
          <w:rFonts w:asciiTheme="majorHAnsi" w:hAnsiTheme="majorHAnsi"/>
          <w:sz w:val="20"/>
          <w:szCs w:val="20"/>
        </w:rPr>
        <w:t>право вимагати на свій вибір або виконання її з такого</w:t>
      </w:r>
      <w:r w:rsidRPr="000977F7">
        <w:rPr>
          <w:rFonts w:asciiTheme="majorHAnsi" w:hAnsiTheme="majorHAnsi"/>
          <w:spacing w:val="-47"/>
          <w:sz w:val="20"/>
          <w:szCs w:val="20"/>
        </w:rPr>
        <w:t xml:space="preserve"> </w:t>
      </w:r>
      <w:r w:rsidRPr="000977F7">
        <w:rPr>
          <w:rFonts w:asciiTheme="majorHAnsi" w:hAnsiTheme="majorHAnsi"/>
          <w:sz w:val="20"/>
          <w:szCs w:val="20"/>
        </w:rPr>
        <w:t>ж матеріалу виконавця, або розірвання договору і відшкодування</w:t>
      </w:r>
      <w:r w:rsidRPr="000977F7">
        <w:rPr>
          <w:rFonts w:asciiTheme="majorHAnsi" w:hAnsiTheme="majorHAnsi"/>
          <w:spacing w:val="-2"/>
          <w:sz w:val="20"/>
          <w:szCs w:val="20"/>
        </w:rPr>
        <w:t xml:space="preserve"> </w:t>
      </w:r>
      <w:r w:rsidRPr="000977F7">
        <w:rPr>
          <w:rFonts w:asciiTheme="majorHAnsi" w:hAnsiTheme="majorHAnsi"/>
          <w:sz w:val="20"/>
          <w:szCs w:val="20"/>
        </w:rPr>
        <w:t>збитків.</w:t>
      </w:r>
    </w:p>
    <w:p w14:paraId="29D66A1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Зазначені вимоги можуть бути пред'явлені споживачем</w:t>
      </w:r>
      <w:r w:rsidRPr="000977F7">
        <w:rPr>
          <w:rFonts w:asciiTheme="majorHAnsi" w:hAnsiTheme="majorHAnsi"/>
          <w:spacing w:val="1"/>
          <w:sz w:val="20"/>
          <w:szCs w:val="20"/>
        </w:rPr>
        <w:t xml:space="preserve"> </w:t>
      </w:r>
      <w:r w:rsidRPr="000977F7">
        <w:rPr>
          <w:rFonts w:asciiTheme="majorHAnsi" w:hAnsiTheme="majorHAnsi"/>
          <w:sz w:val="20"/>
          <w:szCs w:val="20"/>
        </w:rPr>
        <w:t>протягом</w:t>
      </w:r>
      <w:r w:rsidRPr="000977F7">
        <w:rPr>
          <w:rFonts w:asciiTheme="majorHAnsi" w:hAnsiTheme="majorHAnsi"/>
          <w:spacing w:val="1"/>
          <w:sz w:val="20"/>
          <w:szCs w:val="20"/>
        </w:rPr>
        <w:t xml:space="preserve"> </w:t>
      </w:r>
      <w:r w:rsidRPr="000977F7">
        <w:rPr>
          <w:rFonts w:asciiTheme="majorHAnsi" w:hAnsiTheme="majorHAnsi"/>
          <w:sz w:val="20"/>
          <w:szCs w:val="20"/>
        </w:rPr>
        <w:t>строків,</w:t>
      </w:r>
      <w:r w:rsidRPr="000977F7">
        <w:rPr>
          <w:rFonts w:asciiTheme="majorHAnsi" w:hAnsiTheme="majorHAnsi"/>
          <w:spacing w:val="1"/>
          <w:sz w:val="20"/>
          <w:szCs w:val="20"/>
        </w:rPr>
        <w:t xml:space="preserve"> </w:t>
      </w:r>
      <w:r w:rsidRPr="000977F7">
        <w:rPr>
          <w:rFonts w:asciiTheme="majorHAnsi" w:hAnsiTheme="majorHAnsi"/>
          <w:sz w:val="20"/>
          <w:szCs w:val="20"/>
        </w:rPr>
        <w:t>передбачених</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нормативно - правовими</w:t>
      </w:r>
      <w:r w:rsidRPr="000977F7">
        <w:rPr>
          <w:rFonts w:asciiTheme="majorHAnsi" w:hAnsiTheme="majorHAnsi"/>
          <w:spacing w:val="1"/>
          <w:sz w:val="20"/>
          <w:szCs w:val="20"/>
        </w:rPr>
        <w:t xml:space="preserve"> </w:t>
      </w:r>
      <w:r w:rsidRPr="000977F7">
        <w:rPr>
          <w:rFonts w:asciiTheme="majorHAnsi" w:hAnsiTheme="majorHAnsi"/>
          <w:sz w:val="20"/>
          <w:szCs w:val="20"/>
        </w:rPr>
        <w:t>актами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нормативними</w:t>
      </w:r>
      <w:r w:rsidRPr="000977F7">
        <w:rPr>
          <w:rFonts w:asciiTheme="majorHAnsi" w:hAnsiTheme="majorHAnsi"/>
          <w:spacing w:val="1"/>
          <w:sz w:val="20"/>
          <w:szCs w:val="20"/>
        </w:rPr>
        <w:t xml:space="preserve"> </w:t>
      </w:r>
      <w:r w:rsidRPr="000977F7">
        <w:rPr>
          <w:rFonts w:asciiTheme="majorHAnsi" w:hAnsiTheme="majorHAnsi"/>
          <w:sz w:val="20"/>
          <w:szCs w:val="20"/>
        </w:rPr>
        <w:t>документами,</w:t>
      </w:r>
      <w:r w:rsidRPr="000977F7">
        <w:rPr>
          <w:rFonts w:asciiTheme="majorHAnsi" w:hAnsiTheme="majorHAnsi"/>
          <w:spacing w:val="1"/>
          <w:sz w:val="20"/>
          <w:szCs w:val="20"/>
        </w:rPr>
        <w:t xml:space="preserve"> </w:t>
      </w:r>
      <w:r w:rsidRPr="000977F7">
        <w:rPr>
          <w:rFonts w:asciiTheme="majorHAnsi" w:hAnsiTheme="majorHAnsi"/>
          <w:sz w:val="20"/>
          <w:szCs w:val="20"/>
        </w:rPr>
        <w:t>умовами договору, а в разі відсутності таких строків протягом десяти</w:t>
      </w:r>
      <w:r w:rsidRPr="000977F7">
        <w:rPr>
          <w:rFonts w:asciiTheme="majorHAnsi" w:hAnsiTheme="majorHAnsi"/>
          <w:spacing w:val="-1"/>
          <w:sz w:val="20"/>
          <w:szCs w:val="20"/>
        </w:rPr>
        <w:t xml:space="preserve"> </w:t>
      </w:r>
      <w:r w:rsidRPr="000977F7">
        <w:rPr>
          <w:rFonts w:asciiTheme="majorHAnsi" w:hAnsiTheme="majorHAnsi"/>
          <w:sz w:val="20"/>
          <w:szCs w:val="20"/>
        </w:rPr>
        <w:t>років.</w:t>
      </w:r>
    </w:p>
    <w:p w14:paraId="21B1E94B" w14:textId="77777777" w:rsidR="0097612F" w:rsidRPr="000977F7" w:rsidRDefault="0097612F" w:rsidP="00FD39A4">
      <w:pPr>
        <w:pStyle w:val="ac"/>
        <w:widowControl w:val="0"/>
        <w:numPr>
          <w:ilvl w:val="0"/>
          <w:numId w:val="107"/>
        </w:numPr>
        <w:tabs>
          <w:tab w:val="left" w:pos="284"/>
          <w:tab w:val="left" w:pos="73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 разі коли виконавець не може виконати (прострочує виконання) роботу (надання послуги) згідно з</w:t>
      </w:r>
      <w:r w:rsidRPr="000977F7">
        <w:rPr>
          <w:rFonts w:asciiTheme="majorHAnsi" w:hAnsiTheme="majorHAnsi"/>
          <w:spacing w:val="1"/>
          <w:sz w:val="20"/>
          <w:szCs w:val="20"/>
        </w:rPr>
        <w:t xml:space="preserve"> </w:t>
      </w:r>
      <w:r w:rsidRPr="000977F7">
        <w:rPr>
          <w:rFonts w:asciiTheme="majorHAnsi" w:hAnsiTheme="majorHAnsi"/>
          <w:sz w:val="20"/>
          <w:szCs w:val="20"/>
        </w:rPr>
        <w:t>договором, за кожний день (кожну годину, якщо тривалість виконання визначено у годинах) прострочення</w:t>
      </w:r>
      <w:r w:rsidRPr="000977F7">
        <w:rPr>
          <w:rFonts w:asciiTheme="majorHAnsi" w:hAnsiTheme="majorHAnsi"/>
          <w:spacing w:val="-47"/>
          <w:sz w:val="20"/>
          <w:szCs w:val="20"/>
        </w:rPr>
        <w:t xml:space="preserve"> </w:t>
      </w:r>
      <w:r w:rsidRPr="000977F7">
        <w:rPr>
          <w:rFonts w:asciiTheme="majorHAnsi" w:hAnsiTheme="majorHAnsi"/>
          <w:sz w:val="20"/>
          <w:szCs w:val="20"/>
        </w:rPr>
        <w:t>споживачеві сплачується пеня у розмірі трьох відсотків</w:t>
      </w:r>
      <w:r w:rsidRPr="000977F7">
        <w:rPr>
          <w:rFonts w:asciiTheme="majorHAnsi" w:hAnsiTheme="majorHAnsi"/>
          <w:spacing w:val="15"/>
          <w:sz w:val="20"/>
          <w:szCs w:val="20"/>
        </w:rPr>
        <w:t xml:space="preserve"> </w:t>
      </w:r>
      <w:r w:rsidRPr="000977F7">
        <w:rPr>
          <w:rFonts w:asciiTheme="majorHAnsi" w:hAnsiTheme="majorHAnsi"/>
          <w:sz w:val="20"/>
          <w:szCs w:val="20"/>
        </w:rPr>
        <w:t>вартості</w:t>
      </w:r>
      <w:r w:rsidRPr="000977F7">
        <w:rPr>
          <w:rFonts w:asciiTheme="majorHAnsi" w:hAnsiTheme="majorHAnsi"/>
          <w:spacing w:val="16"/>
          <w:sz w:val="20"/>
          <w:szCs w:val="20"/>
        </w:rPr>
        <w:t xml:space="preserve"> </w:t>
      </w:r>
      <w:r w:rsidRPr="000977F7">
        <w:rPr>
          <w:rFonts w:asciiTheme="majorHAnsi" w:hAnsiTheme="majorHAnsi"/>
          <w:sz w:val="20"/>
          <w:szCs w:val="20"/>
        </w:rPr>
        <w:t>роботи</w:t>
      </w:r>
      <w:r w:rsidRPr="000977F7">
        <w:rPr>
          <w:rFonts w:asciiTheme="majorHAnsi" w:hAnsiTheme="majorHAnsi"/>
          <w:spacing w:val="16"/>
          <w:sz w:val="20"/>
          <w:szCs w:val="20"/>
        </w:rPr>
        <w:t xml:space="preserve"> </w:t>
      </w:r>
      <w:r w:rsidRPr="000977F7">
        <w:rPr>
          <w:rFonts w:asciiTheme="majorHAnsi" w:hAnsiTheme="majorHAnsi"/>
          <w:sz w:val="20"/>
          <w:szCs w:val="20"/>
        </w:rPr>
        <w:t>(послуги),</w:t>
      </w:r>
      <w:r w:rsidRPr="000977F7">
        <w:rPr>
          <w:rFonts w:asciiTheme="majorHAnsi" w:hAnsiTheme="majorHAnsi"/>
          <w:spacing w:val="15"/>
          <w:sz w:val="20"/>
          <w:szCs w:val="20"/>
        </w:rPr>
        <w:t xml:space="preserve"> </w:t>
      </w:r>
      <w:r w:rsidRPr="000977F7">
        <w:rPr>
          <w:rFonts w:asciiTheme="majorHAnsi" w:hAnsiTheme="majorHAnsi"/>
          <w:sz w:val="20"/>
          <w:szCs w:val="20"/>
        </w:rPr>
        <w:t>якщо</w:t>
      </w:r>
      <w:r w:rsidRPr="000977F7">
        <w:rPr>
          <w:rFonts w:asciiTheme="majorHAnsi" w:hAnsiTheme="majorHAnsi"/>
          <w:spacing w:val="16"/>
          <w:sz w:val="20"/>
          <w:szCs w:val="20"/>
        </w:rPr>
        <w:t xml:space="preserve"> </w:t>
      </w:r>
      <w:r w:rsidRPr="000977F7">
        <w:rPr>
          <w:rFonts w:asciiTheme="majorHAnsi" w:hAnsiTheme="majorHAnsi"/>
          <w:sz w:val="20"/>
          <w:szCs w:val="20"/>
        </w:rPr>
        <w:t>інше</w:t>
      </w:r>
      <w:r w:rsidRPr="000977F7">
        <w:rPr>
          <w:rFonts w:asciiTheme="majorHAnsi" w:hAnsiTheme="majorHAnsi"/>
          <w:spacing w:val="17"/>
          <w:sz w:val="20"/>
          <w:szCs w:val="20"/>
        </w:rPr>
        <w:t xml:space="preserve"> </w:t>
      </w:r>
      <w:r w:rsidRPr="000977F7">
        <w:rPr>
          <w:rFonts w:asciiTheme="majorHAnsi" w:hAnsiTheme="majorHAnsi"/>
          <w:sz w:val="20"/>
          <w:szCs w:val="20"/>
        </w:rPr>
        <w:t>не</w:t>
      </w:r>
      <w:r w:rsidRPr="000977F7">
        <w:rPr>
          <w:rFonts w:asciiTheme="majorHAnsi" w:hAnsiTheme="majorHAnsi"/>
          <w:spacing w:val="16"/>
          <w:sz w:val="20"/>
          <w:szCs w:val="20"/>
        </w:rPr>
        <w:t xml:space="preserve"> </w:t>
      </w:r>
      <w:r w:rsidRPr="000977F7">
        <w:rPr>
          <w:rFonts w:asciiTheme="majorHAnsi" w:hAnsiTheme="majorHAnsi"/>
          <w:sz w:val="20"/>
          <w:szCs w:val="20"/>
        </w:rPr>
        <w:t>передбачено законодавством. У разі коли вартість роботи (послуги) не визначено, виконавець сплачує споживачеві</w:t>
      </w:r>
      <w:r w:rsidRPr="000977F7">
        <w:rPr>
          <w:rFonts w:asciiTheme="majorHAnsi" w:hAnsiTheme="majorHAnsi"/>
          <w:spacing w:val="1"/>
          <w:sz w:val="20"/>
          <w:szCs w:val="20"/>
        </w:rPr>
        <w:t xml:space="preserve"> </w:t>
      </w:r>
      <w:r w:rsidRPr="000977F7">
        <w:rPr>
          <w:rFonts w:asciiTheme="majorHAnsi" w:hAnsiTheme="majorHAnsi"/>
          <w:sz w:val="20"/>
          <w:szCs w:val="20"/>
        </w:rPr>
        <w:t>неустойку в розмірі трьох відсотків загальної вартості</w:t>
      </w:r>
      <w:r w:rsidRPr="000977F7">
        <w:rPr>
          <w:rFonts w:asciiTheme="majorHAnsi" w:hAnsiTheme="majorHAnsi"/>
          <w:spacing w:val="1"/>
          <w:sz w:val="20"/>
          <w:szCs w:val="20"/>
        </w:rPr>
        <w:t xml:space="preserve"> </w:t>
      </w:r>
      <w:r w:rsidRPr="000977F7">
        <w:rPr>
          <w:rFonts w:asciiTheme="majorHAnsi" w:hAnsiTheme="majorHAnsi"/>
          <w:sz w:val="20"/>
          <w:szCs w:val="20"/>
        </w:rPr>
        <w:t>замовлення.</w:t>
      </w:r>
    </w:p>
    <w:p w14:paraId="414FB53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Сплата виконавцем неустойки (пені), встановленої в</w:t>
      </w:r>
      <w:r w:rsidRPr="000977F7">
        <w:rPr>
          <w:rFonts w:asciiTheme="majorHAnsi" w:hAnsiTheme="majorHAnsi"/>
          <w:spacing w:val="1"/>
          <w:sz w:val="20"/>
          <w:szCs w:val="20"/>
        </w:rPr>
        <w:t xml:space="preserve"> </w:t>
      </w:r>
      <w:r w:rsidRPr="000977F7">
        <w:rPr>
          <w:rFonts w:asciiTheme="majorHAnsi" w:hAnsiTheme="majorHAnsi"/>
          <w:sz w:val="20"/>
          <w:szCs w:val="20"/>
        </w:rPr>
        <w:t>разі невиконання, прострочення виконання або іншого неналежного виконання зобов'язання, не звільняє</w:t>
      </w:r>
      <w:r w:rsidRPr="000977F7">
        <w:rPr>
          <w:rFonts w:asciiTheme="majorHAnsi" w:hAnsiTheme="majorHAnsi"/>
          <w:spacing w:val="1"/>
          <w:sz w:val="20"/>
          <w:szCs w:val="20"/>
        </w:rPr>
        <w:t xml:space="preserve"> </w:t>
      </w:r>
      <w:r w:rsidRPr="000977F7">
        <w:rPr>
          <w:rFonts w:asciiTheme="majorHAnsi" w:hAnsiTheme="majorHAnsi"/>
          <w:sz w:val="20"/>
          <w:szCs w:val="20"/>
        </w:rPr>
        <w:t>його від</w:t>
      </w:r>
      <w:r w:rsidRPr="000977F7">
        <w:rPr>
          <w:rFonts w:asciiTheme="majorHAnsi" w:hAnsiTheme="majorHAnsi"/>
          <w:spacing w:val="-2"/>
          <w:sz w:val="20"/>
          <w:szCs w:val="20"/>
        </w:rPr>
        <w:t xml:space="preserve"> </w:t>
      </w:r>
      <w:r w:rsidRPr="000977F7">
        <w:rPr>
          <w:rFonts w:asciiTheme="majorHAnsi" w:hAnsiTheme="majorHAnsi"/>
          <w:sz w:val="20"/>
          <w:szCs w:val="20"/>
        </w:rPr>
        <w:t>виконання</w:t>
      </w:r>
      <w:r w:rsidRPr="000977F7">
        <w:rPr>
          <w:rFonts w:asciiTheme="majorHAnsi" w:hAnsiTheme="majorHAnsi"/>
          <w:spacing w:val="-2"/>
          <w:sz w:val="20"/>
          <w:szCs w:val="20"/>
        </w:rPr>
        <w:t xml:space="preserve"> </w:t>
      </w:r>
      <w:r w:rsidRPr="000977F7">
        <w:rPr>
          <w:rFonts w:asciiTheme="majorHAnsi" w:hAnsiTheme="majorHAnsi"/>
          <w:sz w:val="20"/>
          <w:szCs w:val="20"/>
        </w:rPr>
        <w:t>зобов'язання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натурі.</w:t>
      </w:r>
    </w:p>
    <w:p w14:paraId="29E6F590" w14:textId="77777777" w:rsidR="0097612F" w:rsidRPr="000977F7" w:rsidRDefault="0097612F" w:rsidP="00FD39A4">
      <w:pPr>
        <w:pStyle w:val="ac"/>
        <w:widowControl w:val="0"/>
        <w:numPr>
          <w:ilvl w:val="0"/>
          <w:numId w:val="107"/>
        </w:numPr>
        <w:tabs>
          <w:tab w:val="left" w:pos="284"/>
          <w:tab w:val="left" w:pos="62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Виконавець</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несе</w:t>
      </w:r>
      <w:r w:rsidRPr="000977F7">
        <w:rPr>
          <w:rFonts w:asciiTheme="majorHAnsi" w:hAnsiTheme="majorHAnsi"/>
          <w:spacing w:val="1"/>
          <w:sz w:val="20"/>
          <w:szCs w:val="20"/>
        </w:rPr>
        <w:t xml:space="preserve"> </w:t>
      </w:r>
      <w:r w:rsidRPr="000977F7">
        <w:rPr>
          <w:rFonts w:asciiTheme="majorHAnsi" w:hAnsiTheme="majorHAnsi"/>
          <w:sz w:val="20"/>
          <w:szCs w:val="20"/>
        </w:rPr>
        <w:t>відповідальності</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невиконання, прострочення виконання або інше неналежне</w:t>
      </w:r>
      <w:r w:rsidRPr="000977F7">
        <w:rPr>
          <w:rFonts w:asciiTheme="majorHAnsi" w:hAnsiTheme="majorHAnsi"/>
          <w:spacing w:val="1"/>
          <w:sz w:val="20"/>
          <w:szCs w:val="20"/>
        </w:rPr>
        <w:t xml:space="preserve"> </w:t>
      </w:r>
      <w:r w:rsidRPr="000977F7">
        <w:rPr>
          <w:rFonts w:asciiTheme="majorHAnsi" w:hAnsiTheme="majorHAnsi"/>
          <w:sz w:val="20"/>
          <w:szCs w:val="20"/>
        </w:rPr>
        <w:t>виконання зобов'язання та недоліки у виконаних роботах або наданих послугах, якщо доведе, що вони</w:t>
      </w:r>
      <w:r w:rsidRPr="000977F7">
        <w:rPr>
          <w:rFonts w:asciiTheme="majorHAnsi" w:hAnsiTheme="majorHAnsi"/>
          <w:spacing w:val="1"/>
          <w:sz w:val="20"/>
          <w:szCs w:val="20"/>
        </w:rPr>
        <w:t xml:space="preserve"> </w:t>
      </w:r>
      <w:r w:rsidRPr="000977F7">
        <w:rPr>
          <w:rFonts w:asciiTheme="majorHAnsi" w:hAnsiTheme="majorHAnsi"/>
          <w:sz w:val="20"/>
          <w:szCs w:val="20"/>
        </w:rPr>
        <w:t>виникли з</w:t>
      </w:r>
      <w:r w:rsidRPr="000977F7">
        <w:rPr>
          <w:rFonts w:asciiTheme="majorHAnsi" w:hAnsiTheme="majorHAnsi"/>
          <w:spacing w:val="1"/>
          <w:sz w:val="20"/>
          <w:szCs w:val="20"/>
        </w:rPr>
        <w:t xml:space="preserve"> </w:t>
      </w:r>
      <w:r w:rsidRPr="000977F7">
        <w:rPr>
          <w:rFonts w:asciiTheme="majorHAnsi" w:hAnsiTheme="majorHAnsi"/>
          <w:sz w:val="20"/>
          <w:szCs w:val="20"/>
        </w:rPr>
        <w:t>вини самого</w:t>
      </w:r>
      <w:r w:rsidRPr="000977F7">
        <w:rPr>
          <w:rFonts w:asciiTheme="majorHAnsi" w:hAnsiTheme="majorHAnsi"/>
          <w:spacing w:val="1"/>
          <w:sz w:val="20"/>
          <w:szCs w:val="20"/>
        </w:rPr>
        <w:t xml:space="preserve"> </w:t>
      </w:r>
      <w:r w:rsidRPr="000977F7">
        <w:rPr>
          <w:rFonts w:asciiTheme="majorHAnsi" w:hAnsiTheme="majorHAnsi"/>
          <w:sz w:val="20"/>
          <w:szCs w:val="20"/>
        </w:rPr>
        <w:t>споживача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внаслідок дії</w:t>
      </w:r>
      <w:r w:rsidRPr="000977F7">
        <w:rPr>
          <w:rFonts w:asciiTheme="majorHAnsi" w:hAnsiTheme="majorHAnsi"/>
          <w:spacing w:val="1"/>
          <w:sz w:val="20"/>
          <w:szCs w:val="20"/>
        </w:rPr>
        <w:t xml:space="preserve"> </w:t>
      </w:r>
      <w:r w:rsidRPr="000977F7">
        <w:rPr>
          <w:rFonts w:asciiTheme="majorHAnsi" w:hAnsiTheme="majorHAnsi"/>
          <w:sz w:val="20"/>
          <w:szCs w:val="20"/>
        </w:rPr>
        <w:t>непереборної</w:t>
      </w:r>
      <w:r w:rsidRPr="000977F7">
        <w:rPr>
          <w:rFonts w:asciiTheme="majorHAnsi" w:hAnsiTheme="majorHAnsi"/>
          <w:spacing w:val="-2"/>
          <w:sz w:val="20"/>
          <w:szCs w:val="20"/>
        </w:rPr>
        <w:t xml:space="preserve"> </w:t>
      </w:r>
      <w:r w:rsidRPr="000977F7">
        <w:rPr>
          <w:rFonts w:asciiTheme="majorHAnsi" w:hAnsiTheme="majorHAnsi"/>
          <w:sz w:val="20"/>
          <w:szCs w:val="20"/>
        </w:rPr>
        <w:t>сили.</w:t>
      </w:r>
    </w:p>
    <w:p w14:paraId="1C676A35" w14:textId="77777777" w:rsidR="0097612F" w:rsidRPr="000977F7" w:rsidRDefault="0097612F" w:rsidP="00FD39A4">
      <w:pPr>
        <w:pStyle w:val="ac"/>
        <w:widowControl w:val="0"/>
        <w:numPr>
          <w:ilvl w:val="0"/>
          <w:numId w:val="107"/>
        </w:numPr>
        <w:tabs>
          <w:tab w:val="left" w:pos="284"/>
          <w:tab w:val="left" w:pos="5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Про відступи від умов договору та інші недоліки в</w:t>
      </w:r>
      <w:r w:rsidRPr="000977F7">
        <w:rPr>
          <w:rFonts w:asciiTheme="majorHAnsi" w:hAnsiTheme="majorHAnsi"/>
          <w:spacing w:val="1"/>
          <w:sz w:val="20"/>
          <w:szCs w:val="20"/>
        </w:rPr>
        <w:t xml:space="preserve"> </w:t>
      </w:r>
      <w:r w:rsidRPr="000977F7">
        <w:rPr>
          <w:rFonts w:asciiTheme="majorHAnsi" w:hAnsiTheme="majorHAnsi"/>
          <w:sz w:val="20"/>
          <w:szCs w:val="20"/>
        </w:rPr>
        <w:t>роботі (послузі), що не могли бути виявлені при звичайному способі її прийняття, споживач зобов'язаний</w:t>
      </w:r>
      <w:r w:rsidRPr="000977F7">
        <w:rPr>
          <w:rFonts w:asciiTheme="majorHAnsi" w:hAnsiTheme="majorHAnsi"/>
          <w:spacing w:val="1"/>
          <w:sz w:val="20"/>
          <w:szCs w:val="20"/>
        </w:rPr>
        <w:t xml:space="preserve"> </w:t>
      </w:r>
      <w:r w:rsidRPr="000977F7">
        <w:rPr>
          <w:rFonts w:asciiTheme="majorHAnsi" w:hAnsiTheme="majorHAnsi"/>
          <w:sz w:val="20"/>
          <w:szCs w:val="20"/>
        </w:rPr>
        <w:t>повідомити виконавцеві не пізніше трьох діб після їх</w:t>
      </w:r>
      <w:r w:rsidRPr="000977F7">
        <w:rPr>
          <w:rFonts w:asciiTheme="majorHAnsi" w:hAnsiTheme="majorHAnsi"/>
          <w:spacing w:val="1"/>
          <w:sz w:val="20"/>
          <w:szCs w:val="20"/>
        </w:rPr>
        <w:t xml:space="preserve"> </w:t>
      </w:r>
      <w:r w:rsidRPr="000977F7">
        <w:rPr>
          <w:rFonts w:asciiTheme="majorHAnsi" w:hAnsiTheme="majorHAnsi"/>
          <w:sz w:val="20"/>
          <w:szCs w:val="20"/>
        </w:rPr>
        <w:t>виявлення.</w:t>
      </w:r>
    </w:p>
    <w:p w14:paraId="46624560" w14:textId="77777777" w:rsidR="0097612F" w:rsidRPr="000977F7" w:rsidRDefault="0097612F" w:rsidP="00FD39A4">
      <w:pPr>
        <w:pStyle w:val="ac"/>
        <w:widowControl w:val="0"/>
        <w:numPr>
          <w:ilvl w:val="0"/>
          <w:numId w:val="107"/>
        </w:numPr>
        <w:tabs>
          <w:tab w:val="left" w:pos="284"/>
          <w:tab w:val="left" w:pos="5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shd w:val="clear" w:color="auto" w:fill="FFFFFF"/>
        </w:rPr>
        <w:t>Виконавець залежно від характеру і специфіки виконаної роботи (наданої послуги) зобов'язаний видати споживачеві розрахунковий документ, що засвідчує факт виконання роботи (надання послуги), або відтворити на дисплеї програмного реєстратора розрахункових операцій (дисплеї пристрою, на якому встановлений програмний реєстратор розрахункових операцій) QR-код, що дає змогу споживачеві здійснювати його зчитування та ідентифікацію з розрахунковим документом за структурою даних, що в ньому містяться, або надіслати електронний розрахунковий документ на наданий споживачем абонентський номер чи адресу електронної пошти.</w:t>
      </w:r>
    </w:p>
    <w:p w14:paraId="430C50B6" w14:textId="77777777" w:rsidR="0097612F" w:rsidRPr="000977F7" w:rsidRDefault="0097612F" w:rsidP="00FD39A4">
      <w:pPr>
        <w:pStyle w:val="ac"/>
        <w:widowControl w:val="0"/>
        <w:numPr>
          <w:ilvl w:val="0"/>
          <w:numId w:val="107"/>
        </w:numPr>
        <w:tabs>
          <w:tab w:val="left" w:pos="284"/>
          <w:tab w:val="left" w:pos="58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 xml:space="preserve">Виконавець залежно від характеру і специфіки </w:t>
      </w:r>
      <w:r w:rsidRPr="000977F7">
        <w:rPr>
          <w:rFonts w:asciiTheme="majorHAnsi" w:hAnsiTheme="majorHAnsi"/>
          <w:sz w:val="20"/>
          <w:szCs w:val="20"/>
        </w:rPr>
        <w:t>виконаної роботи (наданої послуги) зобов'язаний видати</w:t>
      </w:r>
      <w:r w:rsidRPr="000977F7">
        <w:rPr>
          <w:rFonts w:asciiTheme="majorHAnsi" w:hAnsiTheme="majorHAnsi"/>
          <w:spacing w:val="-47"/>
          <w:sz w:val="20"/>
          <w:szCs w:val="20"/>
        </w:rPr>
        <w:t xml:space="preserve"> </w:t>
      </w:r>
      <w:r w:rsidRPr="000977F7">
        <w:rPr>
          <w:rFonts w:asciiTheme="majorHAnsi" w:hAnsiTheme="majorHAnsi"/>
          <w:sz w:val="20"/>
          <w:szCs w:val="20"/>
        </w:rPr>
        <w:t>споживачеві</w:t>
      </w:r>
      <w:r w:rsidRPr="000977F7">
        <w:rPr>
          <w:rFonts w:asciiTheme="majorHAnsi" w:hAnsiTheme="majorHAnsi"/>
          <w:spacing w:val="1"/>
          <w:sz w:val="20"/>
          <w:szCs w:val="20"/>
        </w:rPr>
        <w:t xml:space="preserve"> </w:t>
      </w:r>
      <w:r w:rsidRPr="000977F7">
        <w:rPr>
          <w:rFonts w:asciiTheme="majorHAnsi" w:hAnsiTheme="majorHAnsi"/>
          <w:sz w:val="20"/>
          <w:szCs w:val="20"/>
        </w:rPr>
        <w:t>розрахунковий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засвідчує</w:t>
      </w:r>
      <w:r w:rsidRPr="000977F7">
        <w:rPr>
          <w:rFonts w:asciiTheme="majorHAnsi" w:hAnsiTheme="majorHAnsi"/>
          <w:spacing w:val="-47"/>
          <w:sz w:val="20"/>
          <w:szCs w:val="20"/>
        </w:rPr>
        <w:t xml:space="preserve"> </w:t>
      </w:r>
      <w:r w:rsidRPr="000977F7">
        <w:rPr>
          <w:rFonts w:asciiTheme="majorHAnsi" w:hAnsiTheme="majorHAnsi"/>
          <w:sz w:val="20"/>
          <w:szCs w:val="20"/>
        </w:rPr>
        <w:t>факт</w:t>
      </w:r>
      <w:r w:rsidRPr="000977F7">
        <w:rPr>
          <w:rFonts w:asciiTheme="majorHAnsi" w:hAnsiTheme="majorHAnsi"/>
          <w:spacing w:val="-2"/>
          <w:sz w:val="20"/>
          <w:szCs w:val="20"/>
        </w:rPr>
        <w:t xml:space="preserve"> </w:t>
      </w:r>
      <w:r w:rsidRPr="000977F7">
        <w:rPr>
          <w:rFonts w:asciiTheme="majorHAnsi" w:hAnsiTheme="majorHAnsi"/>
          <w:sz w:val="20"/>
          <w:szCs w:val="20"/>
        </w:rPr>
        <w:t>виконання</w:t>
      </w:r>
      <w:r w:rsidRPr="000977F7">
        <w:rPr>
          <w:rFonts w:asciiTheme="majorHAnsi" w:hAnsiTheme="majorHAnsi"/>
          <w:spacing w:val="-2"/>
          <w:sz w:val="20"/>
          <w:szCs w:val="20"/>
        </w:rPr>
        <w:t xml:space="preserve"> </w:t>
      </w:r>
      <w:r w:rsidRPr="000977F7">
        <w:rPr>
          <w:rFonts w:asciiTheme="majorHAnsi" w:hAnsiTheme="majorHAnsi"/>
          <w:sz w:val="20"/>
          <w:szCs w:val="20"/>
        </w:rPr>
        <w:t>роботи</w:t>
      </w:r>
      <w:r w:rsidRPr="000977F7">
        <w:rPr>
          <w:rFonts w:asciiTheme="majorHAnsi" w:hAnsiTheme="majorHAnsi"/>
          <w:spacing w:val="-1"/>
          <w:sz w:val="20"/>
          <w:szCs w:val="20"/>
        </w:rPr>
        <w:t xml:space="preserve"> </w:t>
      </w:r>
      <w:r w:rsidRPr="000977F7">
        <w:rPr>
          <w:rFonts w:asciiTheme="majorHAnsi" w:hAnsiTheme="majorHAnsi"/>
          <w:sz w:val="20"/>
          <w:szCs w:val="20"/>
        </w:rPr>
        <w:t>(надання</w:t>
      </w:r>
      <w:r w:rsidRPr="000977F7">
        <w:rPr>
          <w:rFonts w:asciiTheme="majorHAnsi" w:hAnsiTheme="majorHAnsi"/>
          <w:spacing w:val="-2"/>
          <w:sz w:val="20"/>
          <w:szCs w:val="20"/>
        </w:rPr>
        <w:t xml:space="preserve"> </w:t>
      </w:r>
      <w:r w:rsidRPr="000977F7">
        <w:rPr>
          <w:rFonts w:asciiTheme="majorHAnsi" w:hAnsiTheme="majorHAnsi"/>
          <w:sz w:val="20"/>
          <w:szCs w:val="20"/>
        </w:rPr>
        <w:t>послуги).</w:t>
      </w:r>
    </w:p>
    <w:p w14:paraId="4A8131FB" w14:textId="77777777" w:rsidR="0097612F" w:rsidRPr="000977F7" w:rsidRDefault="0097612F" w:rsidP="00FD39A4">
      <w:pPr>
        <w:pStyle w:val="ac"/>
        <w:widowControl w:val="0"/>
        <w:numPr>
          <w:ilvl w:val="0"/>
          <w:numId w:val="107"/>
        </w:numPr>
        <w:tabs>
          <w:tab w:val="left" w:pos="284"/>
          <w:tab w:val="left" w:pos="58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Виконавець</w:t>
      </w:r>
      <w:r w:rsidRPr="000977F7">
        <w:rPr>
          <w:rFonts w:asciiTheme="majorHAnsi" w:hAnsiTheme="majorHAnsi"/>
          <w:spacing w:val="15"/>
          <w:sz w:val="20"/>
          <w:szCs w:val="20"/>
        </w:rPr>
        <w:t xml:space="preserve"> </w:t>
      </w:r>
      <w:r w:rsidRPr="000977F7">
        <w:rPr>
          <w:rFonts w:asciiTheme="majorHAnsi" w:hAnsiTheme="majorHAnsi"/>
          <w:sz w:val="20"/>
          <w:szCs w:val="20"/>
        </w:rPr>
        <w:t>зобов'язаний</w:t>
      </w:r>
      <w:r w:rsidRPr="000977F7">
        <w:rPr>
          <w:rFonts w:asciiTheme="majorHAnsi" w:hAnsiTheme="majorHAnsi"/>
          <w:spacing w:val="17"/>
          <w:sz w:val="20"/>
          <w:szCs w:val="20"/>
        </w:rPr>
        <w:t xml:space="preserve"> </w:t>
      </w:r>
      <w:r w:rsidRPr="000977F7">
        <w:rPr>
          <w:rFonts w:asciiTheme="majorHAnsi" w:hAnsiTheme="majorHAnsi"/>
          <w:sz w:val="20"/>
          <w:szCs w:val="20"/>
        </w:rPr>
        <w:t>протягом</w:t>
      </w:r>
      <w:r w:rsidRPr="000977F7">
        <w:rPr>
          <w:rFonts w:asciiTheme="majorHAnsi" w:hAnsiTheme="majorHAnsi"/>
          <w:spacing w:val="16"/>
          <w:sz w:val="20"/>
          <w:szCs w:val="20"/>
        </w:rPr>
        <w:t xml:space="preserve"> </w:t>
      </w:r>
      <w:r w:rsidRPr="000977F7">
        <w:rPr>
          <w:rFonts w:asciiTheme="majorHAnsi" w:hAnsiTheme="majorHAnsi"/>
          <w:sz w:val="20"/>
          <w:szCs w:val="20"/>
        </w:rPr>
        <w:t>місяця</w:t>
      </w:r>
      <w:r w:rsidRPr="000977F7">
        <w:rPr>
          <w:rFonts w:asciiTheme="majorHAnsi" w:hAnsiTheme="majorHAnsi"/>
          <w:spacing w:val="15"/>
          <w:sz w:val="20"/>
          <w:szCs w:val="20"/>
        </w:rPr>
        <w:t xml:space="preserve"> </w:t>
      </w:r>
      <w:r w:rsidRPr="000977F7">
        <w:rPr>
          <w:rFonts w:asciiTheme="majorHAnsi" w:hAnsiTheme="majorHAnsi"/>
          <w:sz w:val="20"/>
          <w:szCs w:val="20"/>
        </w:rPr>
        <w:t>відшкодувати</w:t>
      </w:r>
      <w:r w:rsidRPr="000977F7">
        <w:rPr>
          <w:rFonts w:asciiTheme="majorHAnsi" w:hAnsiTheme="majorHAnsi"/>
          <w:spacing w:val="24"/>
          <w:sz w:val="20"/>
          <w:szCs w:val="20"/>
        </w:rPr>
        <w:t xml:space="preserve"> </w:t>
      </w:r>
      <w:r w:rsidRPr="000977F7">
        <w:rPr>
          <w:rFonts w:asciiTheme="majorHAnsi" w:hAnsiTheme="majorHAnsi"/>
          <w:sz w:val="20"/>
          <w:szCs w:val="20"/>
        </w:rPr>
        <w:t>збитки,</w:t>
      </w:r>
      <w:r w:rsidRPr="000977F7">
        <w:rPr>
          <w:rFonts w:asciiTheme="majorHAnsi" w:hAnsiTheme="majorHAnsi"/>
          <w:spacing w:val="26"/>
          <w:sz w:val="20"/>
          <w:szCs w:val="20"/>
        </w:rPr>
        <w:t xml:space="preserve"> </w:t>
      </w:r>
      <w:r w:rsidRPr="000977F7">
        <w:rPr>
          <w:rFonts w:asciiTheme="majorHAnsi" w:hAnsiTheme="majorHAnsi"/>
          <w:sz w:val="20"/>
          <w:szCs w:val="20"/>
        </w:rPr>
        <w:t>що</w:t>
      </w:r>
      <w:r w:rsidRPr="000977F7">
        <w:rPr>
          <w:rFonts w:asciiTheme="majorHAnsi" w:hAnsiTheme="majorHAnsi"/>
          <w:spacing w:val="25"/>
          <w:sz w:val="20"/>
          <w:szCs w:val="20"/>
        </w:rPr>
        <w:t xml:space="preserve"> </w:t>
      </w:r>
      <w:r w:rsidRPr="000977F7">
        <w:rPr>
          <w:rFonts w:asciiTheme="majorHAnsi" w:hAnsiTheme="majorHAnsi"/>
          <w:sz w:val="20"/>
          <w:szCs w:val="20"/>
        </w:rPr>
        <w:t>виникли</w:t>
      </w:r>
      <w:r w:rsidRPr="000977F7">
        <w:rPr>
          <w:rFonts w:asciiTheme="majorHAnsi" w:hAnsiTheme="majorHAnsi"/>
          <w:spacing w:val="27"/>
          <w:sz w:val="20"/>
          <w:szCs w:val="20"/>
        </w:rPr>
        <w:t xml:space="preserve"> </w:t>
      </w:r>
      <w:r w:rsidRPr="000977F7">
        <w:rPr>
          <w:rFonts w:asciiTheme="majorHAnsi" w:hAnsiTheme="majorHAnsi"/>
          <w:sz w:val="20"/>
          <w:szCs w:val="20"/>
        </w:rPr>
        <w:t>у</w:t>
      </w:r>
      <w:r w:rsidRPr="000977F7">
        <w:rPr>
          <w:rFonts w:asciiTheme="majorHAnsi" w:hAnsiTheme="majorHAnsi"/>
          <w:spacing w:val="21"/>
          <w:sz w:val="20"/>
          <w:szCs w:val="20"/>
        </w:rPr>
        <w:t xml:space="preserve"> </w:t>
      </w:r>
      <w:r w:rsidRPr="000977F7">
        <w:rPr>
          <w:rFonts w:asciiTheme="majorHAnsi" w:hAnsiTheme="majorHAnsi"/>
          <w:sz w:val="20"/>
          <w:szCs w:val="20"/>
        </w:rPr>
        <w:t>зв'язку</w:t>
      </w:r>
      <w:r w:rsidRPr="000977F7">
        <w:rPr>
          <w:rFonts w:asciiTheme="majorHAnsi" w:hAnsiTheme="majorHAnsi"/>
          <w:spacing w:val="22"/>
          <w:sz w:val="20"/>
          <w:szCs w:val="20"/>
        </w:rPr>
        <w:t xml:space="preserve"> </w:t>
      </w:r>
      <w:r w:rsidRPr="000977F7">
        <w:rPr>
          <w:rFonts w:asciiTheme="majorHAnsi" w:hAnsiTheme="majorHAnsi"/>
          <w:sz w:val="20"/>
          <w:szCs w:val="20"/>
        </w:rPr>
        <w:t>з</w:t>
      </w:r>
      <w:r w:rsidRPr="000977F7">
        <w:rPr>
          <w:rFonts w:asciiTheme="majorHAnsi" w:hAnsiTheme="majorHAnsi"/>
          <w:spacing w:val="27"/>
          <w:sz w:val="20"/>
          <w:szCs w:val="20"/>
        </w:rPr>
        <w:t xml:space="preserve"> </w:t>
      </w:r>
      <w:r w:rsidRPr="000977F7">
        <w:rPr>
          <w:rFonts w:asciiTheme="majorHAnsi" w:hAnsiTheme="majorHAnsi"/>
          <w:sz w:val="20"/>
          <w:szCs w:val="20"/>
        </w:rPr>
        <w:t>втратою,</w:t>
      </w:r>
      <w:r w:rsidRPr="000977F7">
        <w:rPr>
          <w:rFonts w:asciiTheme="majorHAnsi" w:hAnsiTheme="majorHAnsi"/>
          <w:spacing w:val="24"/>
          <w:sz w:val="20"/>
          <w:szCs w:val="20"/>
        </w:rPr>
        <w:t xml:space="preserve"> </w:t>
      </w:r>
      <w:r w:rsidRPr="000977F7">
        <w:rPr>
          <w:rFonts w:asciiTheme="majorHAnsi" w:hAnsiTheme="majorHAnsi"/>
          <w:sz w:val="20"/>
          <w:szCs w:val="20"/>
        </w:rPr>
        <w:t>псуванням</w:t>
      </w:r>
      <w:r w:rsidRPr="000977F7">
        <w:rPr>
          <w:rFonts w:asciiTheme="majorHAnsi" w:hAnsiTheme="majorHAnsi"/>
          <w:spacing w:val="11"/>
          <w:sz w:val="20"/>
          <w:szCs w:val="20"/>
        </w:rPr>
        <w:t xml:space="preserve"> </w:t>
      </w:r>
      <w:r w:rsidRPr="000977F7">
        <w:rPr>
          <w:rFonts w:asciiTheme="majorHAnsi" w:hAnsiTheme="majorHAnsi"/>
          <w:sz w:val="20"/>
          <w:szCs w:val="20"/>
        </w:rPr>
        <w:t>чи</w:t>
      </w:r>
      <w:r w:rsidRPr="000977F7">
        <w:rPr>
          <w:rFonts w:asciiTheme="majorHAnsi" w:hAnsiTheme="majorHAnsi"/>
          <w:spacing w:val="9"/>
          <w:sz w:val="20"/>
          <w:szCs w:val="20"/>
        </w:rPr>
        <w:t xml:space="preserve"> </w:t>
      </w:r>
      <w:r w:rsidRPr="000977F7">
        <w:rPr>
          <w:rFonts w:asciiTheme="majorHAnsi" w:hAnsiTheme="majorHAnsi"/>
          <w:sz w:val="20"/>
          <w:szCs w:val="20"/>
        </w:rPr>
        <w:t>пошкодженням</w:t>
      </w:r>
      <w:r w:rsidRPr="000977F7">
        <w:rPr>
          <w:rFonts w:asciiTheme="majorHAnsi" w:hAnsiTheme="majorHAnsi"/>
          <w:spacing w:val="11"/>
          <w:sz w:val="20"/>
          <w:szCs w:val="20"/>
        </w:rPr>
        <w:t xml:space="preserve"> </w:t>
      </w:r>
      <w:r w:rsidRPr="000977F7">
        <w:rPr>
          <w:rFonts w:asciiTheme="majorHAnsi" w:hAnsiTheme="majorHAnsi"/>
          <w:sz w:val="20"/>
          <w:szCs w:val="20"/>
        </w:rPr>
        <w:t>речі,</w:t>
      </w:r>
      <w:r w:rsidRPr="000977F7">
        <w:rPr>
          <w:rFonts w:asciiTheme="majorHAnsi" w:hAnsiTheme="majorHAnsi"/>
          <w:spacing w:val="11"/>
          <w:sz w:val="20"/>
          <w:szCs w:val="20"/>
        </w:rPr>
        <w:t xml:space="preserve"> </w:t>
      </w:r>
      <w:r w:rsidRPr="000977F7">
        <w:rPr>
          <w:rFonts w:asciiTheme="majorHAnsi" w:hAnsiTheme="majorHAnsi"/>
          <w:sz w:val="20"/>
          <w:szCs w:val="20"/>
        </w:rPr>
        <w:t>прийнятої</w:t>
      </w:r>
      <w:r w:rsidRPr="000977F7">
        <w:rPr>
          <w:rFonts w:asciiTheme="majorHAnsi" w:hAnsiTheme="majorHAnsi"/>
          <w:spacing w:val="10"/>
          <w:sz w:val="20"/>
          <w:szCs w:val="20"/>
        </w:rPr>
        <w:t xml:space="preserve"> </w:t>
      </w:r>
      <w:r w:rsidRPr="000977F7">
        <w:rPr>
          <w:rFonts w:asciiTheme="majorHAnsi" w:hAnsiTheme="majorHAnsi"/>
          <w:sz w:val="20"/>
          <w:szCs w:val="20"/>
        </w:rPr>
        <w:t>ним</w:t>
      </w:r>
      <w:r w:rsidRPr="000977F7">
        <w:rPr>
          <w:rFonts w:asciiTheme="majorHAnsi" w:hAnsiTheme="majorHAnsi"/>
          <w:spacing w:val="11"/>
          <w:sz w:val="20"/>
          <w:szCs w:val="20"/>
        </w:rPr>
        <w:t xml:space="preserve"> </w:t>
      </w:r>
      <w:r w:rsidRPr="000977F7">
        <w:rPr>
          <w:rFonts w:asciiTheme="majorHAnsi" w:hAnsiTheme="majorHAnsi"/>
          <w:sz w:val="20"/>
          <w:szCs w:val="20"/>
        </w:rPr>
        <w:t>від</w:t>
      </w:r>
      <w:r w:rsidRPr="000977F7">
        <w:rPr>
          <w:rFonts w:asciiTheme="majorHAnsi" w:hAnsiTheme="majorHAnsi"/>
          <w:spacing w:val="-47"/>
          <w:sz w:val="20"/>
          <w:szCs w:val="20"/>
        </w:rPr>
        <w:t xml:space="preserve"> </w:t>
      </w:r>
      <w:r w:rsidRPr="000977F7">
        <w:rPr>
          <w:rFonts w:asciiTheme="majorHAnsi" w:hAnsiTheme="majorHAnsi"/>
          <w:sz w:val="20"/>
          <w:szCs w:val="20"/>
        </w:rPr>
        <w:t>споживача</w:t>
      </w:r>
      <w:r w:rsidRPr="000977F7">
        <w:rPr>
          <w:rFonts w:asciiTheme="majorHAnsi" w:hAnsiTheme="majorHAnsi"/>
          <w:spacing w:val="8"/>
          <w:sz w:val="20"/>
          <w:szCs w:val="20"/>
        </w:rPr>
        <w:t xml:space="preserve"> </w:t>
      </w:r>
      <w:r w:rsidRPr="000977F7">
        <w:rPr>
          <w:rFonts w:asciiTheme="majorHAnsi" w:hAnsiTheme="majorHAnsi"/>
          <w:sz w:val="20"/>
          <w:szCs w:val="20"/>
        </w:rPr>
        <w:t>для</w:t>
      </w:r>
      <w:r w:rsidRPr="000977F7">
        <w:rPr>
          <w:rFonts w:asciiTheme="majorHAnsi" w:hAnsiTheme="majorHAnsi"/>
          <w:spacing w:val="7"/>
          <w:sz w:val="20"/>
          <w:szCs w:val="20"/>
        </w:rPr>
        <w:t xml:space="preserve"> </w:t>
      </w:r>
      <w:r w:rsidRPr="000977F7">
        <w:rPr>
          <w:rFonts w:asciiTheme="majorHAnsi" w:hAnsiTheme="majorHAnsi"/>
          <w:sz w:val="20"/>
          <w:szCs w:val="20"/>
        </w:rPr>
        <w:t>виконання</w:t>
      </w:r>
      <w:r w:rsidRPr="000977F7">
        <w:rPr>
          <w:rFonts w:asciiTheme="majorHAnsi" w:hAnsiTheme="majorHAnsi"/>
          <w:spacing w:val="7"/>
          <w:sz w:val="20"/>
          <w:szCs w:val="20"/>
        </w:rPr>
        <w:t xml:space="preserve"> </w:t>
      </w:r>
      <w:r w:rsidRPr="000977F7">
        <w:rPr>
          <w:rFonts w:asciiTheme="majorHAnsi" w:hAnsiTheme="majorHAnsi"/>
          <w:sz w:val="20"/>
          <w:szCs w:val="20"/>
        </w:rPr>
        <w:t>робіт</w:t>
      </w:r>
      <w:r w:rsidRPr="000977F7">
        <w:rPr>
          <w:rFonts w:asciiTheme="majorHAnsi" w:hAnsiTheme="majorHAnsi"/>
          <w:spacing w:val="7"/>
          <w:sz w:val="20"/>
          <w:szCs w:val="20"/>
        </w:rPr>
        <w:t xml:space="preserve"> </w:t>
      </w:r>
      <w:r w:rsidRPr="000977F7">
        <w:rPr>
          <w:rFonts w:asciiTheme="majorHAnsi" w:hAnsiTheme="majorHAnsi"/>
          <w:sz w:val="20"/>
          <w:szCs w:val="20"/>
        </w:rPr>
        <w:t>(надання</w:t>
      </w:r>
      <w:r w:rsidRPr="000977F7">
        <w:rPr>
          <w:rFonts w:asciiTheme="majorHAnsi" w:hAnsiTheme="majorHAnsi"/>
          <w:spacing w:val="10"/>
          <w:sz w:val="20"/>
          <w:szCs w:val="20"/>
        </w:rPr>
        <w:t xml:space="preserve"> </w:t>
      </w:r>
      <w:r w:rsidRPr="000977F7">
        <w:rPr>
          <w:rFonts w:asciiTheme="majorHAnsi" w:hAnsiTheme="majorHAnsi"/>
          <w:sz w:val="20"/>
          <w:szCs w:val="20"/>
        </w:rPr>
        <w:t>послуг).</w:t>
      </w:r>
      <w:r w:rsidRPr="000977F7">
        <w:rPr>
          <w:rFonts w:asciiTheme="majorHAnsi" w:hAnsiTheme="majorHAnsi"/>
          <w:spacing w:val="8"/>
          <w:sz w:val="20"/>
          <w:szCs w:val="20"/>
        </w:rPr>
        <w:t xml:space="preserve"> </w:t>
      </w:r>
      <w:r w:rsidRPr="000977F7">
        <w:rPr>
          <w:rFonts w:asciiTheme="majorHAnsi" w:hAnsiTheme="majorHAnsi"/>
          <w:sz w:val="20"/>
          <w:szCs w:val="20"/>
        </w:rPr>
        <w:t>Виконавець</w:t>
      </w:r>
      <w:r w:rsidRPr="000977F7">
        <w:rPr>
          <w:rFonts w:asciiTheme="majorHAnsi" w:hAnsiTheme="majorHAnsi"/>
          <w:spacing w:val="41"/>
          <w:sz w:val="20"/>
          <w:szCs w:val="20"/>
        </w:rPr>
        <w:t xml:space="preserve"> </w:t>
      </w:r>
      <w:r w:rsidRPr="000977F7">
        <w:rPr>
          <w:rFonts w:asciiTheme="majorHAnsi" w:hAnsiTheme="majorHAnsi"/>
          <w:sz w:val="20"/>
          <w:szCs w:val="20"/>
        </w:rPr>
        <w:t>не</w:t>
      </w:r>
      <w:r w:rsidRPr="000977F7">
        <w:rPr>
          <w:rFonts w:asciiTheme="majorHAnsi" w:hAnsiTheme="majorHAnsi"/>
          <w:spacing w:val="39"/>
          <w:sz w:val="20"/>
          <w:szCs w:val="20"/>
        </w:rPr>
        <w:t xml:space="preserve"> </w:t>
      </w:r>
      <w:r w:rsidRPr="000977F7">
        <w:rPr>
          <w:rFonts w:asciiTheme="majorHAnsi" w:hAnsiTheme="majorHAnsi"/>
          <w:sz w:val="20"/>
          <w:szCs w:val="20"/>
        </w:rPr>
        <w:t>звільняється</w:t>
      </w:r>
      <w:r w:rsidRPr="000977F7">
        <w:rPr>
          <w:rFonts w:asciiTheme="majorHAnsi" w:hAnsiTheme="majorHAnsi"/>
          <w:spacing w:val="41"/>
          <w:sz w:val="20"/>
          <w:szCs w:val="20"/>
        </w:rPr>
        <w:t xml:space="preserve"> </w:t>
      </w:r>
      <w:r w:rsidRPr="000977F7">
        <w:rPr>
          <w:rFonts w:asciiTheme="majorHAnsi" w:hAnsiTheme="majorHAnsi"/>
          <w:sz w:val="20"/>
          <w:szCs w:val="20"/>
        </w:rPr>
        <w:t>від</w:t>
      </w:r>
      <w:r w:rsidRPr="000977F7">
        <w:rPr>
          <w:rFonts w:asciiTheme="majorHAnsi" w:hAnsiTheme="majorHAnsi"/>
          <w:spacing w:val="38"/>
          <w:sz w:val="20"/>
          <w:szCs w:val="20"/>
        </w:rPr>
        <w:t xml:space="preserve"> </w:t>
      </w:r>
      <w:r w:rsidRPr="000977F7">
        <w:rPr>
          <w:rFonts w:asciiTheme="majorHAnsi" w:hAnsiTheme="majorHAnsi"/>
          <w:sz w:val="20"/>
          <w:szCs w:val="20"/>
        </w:rPr>
        <w:t>відповідальності,</w:t>
      </w:r>
      <w:r w:rsidRPr="000977F7">
        <w:rPr>
          <w:rFonts w:asciiTheme="majorHAnsi" w:hAnsiTheme="majorHAnsi"/>
          <w:spacing w:val="42"/>
          <w:sz w:val="20"/>
          <w:szCs w:val="20"/>
        </w:rPr>
        <w:t xml:space="preserve"> </w:t>
      </w:r>
      <w:r w:rsidRPr="000977F7">
        <w:rPr>
          <w:rFonts w:asciiTheme="majorHAnsi" w:hAnsiTheme="majorHAnsi"/>
          <w:sz w:val="20"/>
          <w:szCs w:val="20"/>
        </w:rPr>
        <w:t>якщо</w:t>
      </w:r>
      <w:r w:rsidRPr="000977F7">
        <w:rPr>
          <w:rFonts w:asciiTheme="majorHAnsi" w:hAnsiTheme="majorHAnsi"/>
          <w:spacing w:val="-47"/>
          <w:sz w:val="20"/>
          <w:szCs w:val="20"/>
        </w:rPr>
        <w:t xml:space="preserve"> </w:t>
      </w:r>
      <w:r w:rsidRPr="000977F7">
        <w:rPr>
          <w:rFonts w:asciiTheme="majorHAnsi" w:hAnsiTheme="majorHAnsi"/>
          <w:sz w:val="20"/>
          <w:szCs w:val="20"/>
        </w:rPr>
        <w:t>рівень</w:t>
      </w:r>
      <w:r w:rsidRPr="000977F7">
        <w:rPr>
          <w:rFonts w:asciiTheme="majorHAnsi" w:hAnsiTheme="majorHAnsi"/>
          <w:spacing w:val="24"/>
          <w:sz w:val="20"/>
          <w:szCs w:val="20"/>
        </w:rPr>
        <w:t xml:space="preserve"> </w:t>
      </w:r>
      <w:r w:rsidRPr="000977F7">
        <w:rPr>
          <w:rFonts w:asciiTheme="majorHAnsi" w:hAnsiTheme="majorHAnsi"/>
          <w:sz w:val="20"/>
          <w:szCs w:val="20"/>
        </w:rPr>
        <w:t>його</w:t>
      </w:r>
      <w:r w:rsidRPr="000977F7">
        <w:rPr>
          <w:rFonts w:asciiTheme="majorHAnsi" w:hAnsiTheme="majorHAnsi"/>
          <w:spacing w:val="24"/>
          <w:sz w:val="20"/>
          <w:szCs w:val="20"/>
        </w:rPr>
        <w:t xml:space="preserve"> </w:t>
      </w:r>
      <w:r w:rsidRPr="000977F7">
        <w:rPr>
          <w:rFonts w:asciiTheme="majorHAnsi" w:hAnsiTheme="majorHAnsi"/>
          <w:sz w:val="20"/>
          <w:szCs w:val="20"/>
        </w:rPr>
        <w:t>наукових</w:t>
      </w:r>
      <w:r w:rsidRPr="000977F7">
        <w:rPr>
          <w:rFonts w:asciiTheme="majorHAnsi" w:hAnsiTheme="majorHAnsi"/>
          <w:spacing w:val="20"/>
          <w:sz w:val="20"/>
          <w:szCs w:val="20"/>
        </w:rPr>
        <w:t xml:space="preserve"> </w:t>
      </w:r>
      <w:r w:rsidRPr="000977F7">
        <w:rPr>
          <w:rFonts w:asciiTheme="majorHAnsi" w:hAnsiTheme="majorHAnsi"/>
          <w:sz w:val="20"/>
          <w:szCs w:val="20"/>
        </w:rPr>
        <w:t>і</w:t>
      </w:r>
      <w:r w:rsidRPr="000977F7">
        <w:rPr>
          <w:rFonts w:asciiTheme="majorHAnsi" w:hAnsiTheme="majorHAnsi"/>
          <w:spacing w:val="25"/>
          <w:sz w:val="20"/>
          <w:szCs w:val="20"/>
        </w:rPr>
        <w:t xml:space="preserve"> </w:t>
      </w:r>
      <w:r w:rsidRPr="000977F7">
        <w:rPr>
          <w:rFonts w:asciiTheme="majorHAnsi" w:hAnsiTheme="majorHAnsi"/>
          <w:sz w:val="20"/>
          <w:szCs w:val="20"/>
        </w:rPr>
        <w:t>технічних</w:t>
      </w:r>
      <w:r w:rsidRPr="000977F7">
        <w:rPr>
          <w:rFonts w:asciiTheme="majorHAnsi" w:hAnsiTheme="majorHAnsi"/>
          <w:spacing w:val="20"/>
          <w:sz w:val="20"/>
          <w:szCs w:val="20"/>
        </w:rPr>
        <w:t xml:space="preserve"> </w:t>
      </w:r>
      <w:r w:rsidRPr="000977F7">
        <w:rPr>
          <w:rFonts w:asciiTheme="majorHAnsi" w:hAnsiTheme="majorHAnsi"/>
          <w:sz w:val="20"/>
          <w:szCs w:val="20"/>
        </w:rPr>
        <w:t>знань</w:t>
      </w:r>
      <w:r w:rsidRPr="000977F7">
        <w:rPr>
          <w:rFonts w:asciiTheme="majorHAnsi" w:hAnsiTheme="majorHAnsi"/>
          <w:spacing w:val="25"/>
          <w:sz w:val="20"/>
          <w:szCs w:val="20"/>
        </w:rPr>
        <w:t xml:space="preserve"> </w:t>
      </w:r>
      <w:r w:rsidRPr="000977F7">
        <w:rPr>
          <w:rFonts w:asciiTheme="majorHAnsi" w:hAnsiTheme="majorHAnsi"/>
          <w:sz w:val="20"/>
          <w:szCs w:val="20"/>
        </w:rPr>
        <w:t>не</w:t>
      </w:r>
      <w:r w:rsidRPr="000977F7">
        <w:rPr>
          <w:rFonts w:asciiTheme="majorHAnsi" w:hAnsiTheme="majorHAnsi"/>
          <w:spacing w:val="24"/>
          <w:sz w:val="20"/>
          <w:szCs w:val="20"/>
        </w:rPr>
        <w:t xml:space="preserve"> </w:t>
      </w:r>
      <w:r w:rsidRPr="000977F7">
        <w:rPr>
          <w:rFonts w:asciiTheme="majorHAnsi" w:hAnsiTheme="majorHAnsi"/>
          <w:sz w:val="20"/>
          <w:szCs w:val="20"/>
        </w:rPr>
        <w:t>дав</w:t>
      </w:r>
      <w:r w:rsidRPr="000977F7">
        <w:rPr>
          <w:rFonts w:asciiTheme="majorHAnsi" w:hAnsiTheme="majorHAnsi"/>
          <w:spacing w:val="22"/>
          <w:sz w:val="20"/>
          <w:szCs w:val="20"/>
        </w:rPr>
        <w:t xml:space="preserve"> </w:t>
      </w:r>
      <w:r w:rsidRPr="000977F7">
        <w:rPr>
          <w:rFonts w:asciiTheme="majorHAnsi" w:hAnsiTheme="majorHAnsi"/>
          <w:sz w:val="20"/>
          <w:szCs w:val="20"/>
        </w:rPr>
        <w:t>змоги</w:t>
      </w:r>
      <w:r w:rsidRPr="000977F7">
        <w:rPr>
          <w:rFonts w:asciiTheme="majorHAnsi" w:hAnsiTheme="majorHAnsi"/>
          <w:spacing w:val="-47"/>
          <w:sz w:val="20"/>
          <w:szCs w:val="20"/>
        </w:rPr>
        <w:t xml:space="preserve"> </w:t>
      </w:r>
      <w:r w:rsidRPr="000977F7">
        <w:rPr>
          <w:rFonts w:asciiTheme="majorHAnsi" w:hAnsiTheme="majorHAnsi"/>
          <w:sz w:val="20"/>
          <w:szCs w:val="20"/>
        </w:rPr>
        <w:t>виявити</w:t>
      </w:r>
      <w:r w:rsidRPr="000977F7">
        <w:rPr>
          <w:rFonts w:asciiTheme="majorHAnsi" w:hAnsiTheme="majorHAnsi"/>
          <w:spacing w:val="10"/>
          <w:sz w:val="20"/>
          <w:szCs w:val="20"/>
        </w:rPr>
        <w:t xml:space="preserve"> </w:t>
      </w:r>
      <w:r w:rsidRPr="000977F7">
        <w:rPr>
          <w:rFonts w:asciiTheme="majorHAnsi" w:hAnsiTheme="majorHAnsi"/>
          <w:sz w:val="20"/>
          <w:szCs w:val="20"/>
        </w:rPr>
        <w:t>особливі</w:t>
      </w:r>
      <w:r w:rsidRPr="000977F7">
        <w:rPr>
          <w:rFonts w:asciiTheme="majorHAnsi" w:hAnsiTheme="majorHAnsi"/>
          <w:spacing w:val="14"/>
          <w:sz w:val="20"/>
          <w:szCs w:val="20"/>
        </w:rPr>
        <w:t xml:space="preserve"> </w:t>
      </w:r>
      <w:r w:rsidRPr="000977F7">
        <w:rPr>
          <w:rFonts w:asciiTheme="majorHAnsi" w:hAnsiTheme="majorHAnsi"/>
          <w:sz w:val="20"/>
          <w:szCs w:val="20"/>
        </w:rPr>
        <w:t>властивості</w:t>
      </w:r>
      <w:r w:rsidRPr="000977F7">
        <w:rPr>
          <w:rFonts w:asciiTheme="majorHAnsi" w:hAnsiTheme="majorHAnsi"/>
          <w:spacing w:val="11"/>
          <w:sz w:val="20"/>
          <w:szCs w:val="20"/>
        </w:rPr>
        <w:t xml:space="preserve"> </w:t>
      </w:r>
      <w:r w:rsidRPr="000977F7">
        <w:rPr>
          <w:rFonts w:asciiTheme="majorHAnsi" w:hAnsiTheme="majorHAnsi"/>
          <w:sz w:val="20"/>
          <w:szCs w:val="20"/>
        </w:rPr>
        <w:t>речі,</w:t>
      </w:r>
      <w:r w:rsidRPr="000977F7">
        <w:rPr>
          <w:rFonts w:asciiTheme="majorHAnsi" w:hAnsiTheme="majorHAnsi"/>
          <w:spacing w:val="13"/>
          <w:sz w:val="20"/>
          <w:szCs w:val="20"/>
        </w:rPr>
        <w:t xml:space="preserve"> </w:t>
      </w:r>
      <w:r w:rsidRPr="000977F7">
        <w:rPr>
          <w:rFonts w:asciiTheme="majorHAnsi" w:hAnsiTheme="majorHAnsi"/>
          <w:sz w:val="20"/>
          <w:szCs w:val="20"/>
        </w:rPr>
        <w:t>прийнятої</w:t>
      </w:r>
      <w:r w:rsidRPr="000977F7">
        <w:rPr>
          <w:rFonts w:asciiTheme="majorHAnsi" w:hAnsiTheme="majorHAnsi"/>
          <w:spacing w:val="11"/>
          <w:sz w:val="20"/>
          <w:szCs w:val="20"/>
        </w:rPr>
        <w:t xml:space="preserve"> </w:t>
      </w:r>
      <w:r w:rsidRPr="000977F7">
        <w:rPr>
          <w:rFonts w:asciiTheme="majorHAnsi" w:hAnsiTheme="majorHAnsi"/>
          <w:sz w:val="20"/>
          <w:szCs w:val="20"/>
        </w:rPr>
        <w:t>ним</w:t>
      </w:r>
      <w:r w:rsidRPr="000977F7">
        <w:rPr>
          <w:rFonts w:asciiTheme="majorHAnsi" w:hAnsiTheme="majorHAnsi"/>
          <w:spacing w:val="13"/>
          <w:sz w:val="20"/>
          <w:szCs w:val="20"/>
        </w:rPr>
        <w:t xml:space="preserve"> </w:t>
      </w:r>
      <w:r w:rsidRPr="000977F7">
        <w:rPr>
          <w:rFonts w:asciiTheme="majorHAnsi" w:hAnsiTheme="majorHAnsi"/>
          <w:sz w:val="20"/>
          <w:szCs w:val="20"/>
        </w:rPr>
        <w:t>від</w:t>
      </w:r>
      <w:r w:rsidRPr="000977F7">
        <w:rPr>
          <w:rFonts w:asciiTheme="majorHAnsi" w:hAnsiTheme="majorHAnsi"/>
          <w:spacing w:val="-47"/>
          <w:sz w:val="20"/>
          <w:szCs w:val="20"/>
        </w:rPr>
        <w:t xml:space="preserve"> </w:t>
      </w:r>
      <w:r w:rsidRPr="000977F7">
        <w:rPr>
          <w:rFonts w:asciiTheme="majorHAnsi" w:hAnsiTheme="majorHAnsi"/>
          <w:sz w:val="20"/>
          <w:szCs w:val="20"/>
        </w:rPr>
        <w:t>споживача для виконання робіт (надання послуг).</w:t>
      </w:r>
      <w:r w:rsidRPr="000977F7">
        <w:rPr>
          <w:rFonts w:asciiTheme="majorHAnsi" w:hAnsiTheme="majorHAnsi"/>
          <w:spacing w:val="1"/>
          <w:sz w:val="20"/>
          <w:szCs w:val="20"/>
        </w:rPr>
        <w:t xml:space="preserve"> </w:t>
      </w:r>
      <w:r w:rsidRPr="000977F7">
        <w:rPr>
          <w:rFonts w:asciiTheme="majorHAnsi" w:hAnsiTheme="majorHAnsi"/>
          <w:sz w:val="20"/>
          <w:szCs w:val="20"/>
        </w:rPr>
        <w:t>Якщо</w:t>
      </w:r>
      <w:r w:rsidRPr="000977F7">
        <w:rPr>
          <w:rFonts w:asciiTheme="majorHAnsi" w:hAnsiTheme="majorHAnsi"/>
          <w:spacing w:val="24"/>
          <w:sz w:val="20"/>
          <w:szCs w:val="20"/>
        </w:rPr>
        <w:t xml:space="preserve"> </w:t>
      </w:r>
      <w:r w:rsidRPr="000977F7">
        <w:rPr>
          <w:rFonts w:asciiTheme="majorHAnsi" w:hAnsiTheme="majorHAnsi"/>
          <w:sz w:val="20"/>
          <w:szCs w:val="20"/>
        </w:rPr>
        <w:t>виконання</w:t>
      </w:r>
      <w:r w:rsidRPr="000977F7">
        <w:rPr>
          <w:rFonts w:asciiTheme="majorHAnsi" w:hAnsiTheme="majorHAnsi"/>
          <w:spacing w:val="23"/>
          <w:sz w:val="20"/>
          <w:szCs w:val="20"/>
        </w:rPr>
        <w:t xml:space="preserve"> </w:t>
      </w:r>
      <w:r w:rsidRPr="000977F7">
        <w:rPr>
          <w:rFonts w:asciiTheme="majorHAnsi" w:hAnsiTheme="majorHAnsi"/>
          <w:sz w:val="20"/>
          <w:szCs w:val="20"/>
        </w:rPr>
        <w:t>робіт</w:t>
      </w:r>
      <w:r w:rsidRPr="000977F7">
        <w:rPr>
          <w:rFonts w:asciiTheme="majorHAnsi" w:hAnsiTheme="majorHAnsi"/>
          <w:spacing w:val="24"/>
          <w:sz w:val="20"/>
          <w:szCs w:val="20"/>
        </w:rPr>
        <w:t xml:space="preserve"> </w:t>
      </w:r>
      <w:r w:rsidRPr="000977F7">
        <w:rPr>
          <w:rFonts w:asciiTheme="majorHAnsi" w:hAnsiTheme="majorHAnsi"/>
          <w:sz w:val="20"/>
          <w:szCs w:val="20"/>
        </w:rPr>
        <w:t>(надання</w:t>
      </w:r>
      <w:r w:rsidRPr="000977F7">
        <w:rPr>
          <w:rFonts w:asciiTheme="majorHAnsi" w:hAnsiTheme="majorHAnsi"/>
          <w:spacing w:val="23"/>
          <w:sz w:val="20"/>
          <w:szCs w:val="20"/>
        </w:rPr>
        <w:t xml:space="preserve"> </w:t>
      </w:r>
      <w:r w:rsidRPr="000977F7">
        <w:rPr>
          <w:rFonts w:asciiTheme="majorHAnsi" w:hAnsiTheme="majorHAnsi"/>
          <w:sz w:val="20"/>
          <w:szCs w:val="20"/>
        </w:rPr>
        <w:t>послуг)</w:t>
      </w:r>
      <w:r w:rsidRPr="000977F7">
        <w:rPr>
          <w:rFonts w:asciiTheme="majorHAnsi" w:hAnsiTheme="majorHAnsi"/>
          <w:spacing w:val="25"/>
          <w:sz w:val="20"/>
          <w:szCs w:val="20"/>
        </w:rPr>
        <w:t xml:space="preserve"> </w:t>
      </w:r>
      <w:r w:rsidRPr="000977F7">
        <w:rPr>
          <w:rFonts w:asciiTheme="majorHAnsi" w:hAnsiTheme="majorHAnsi"/>
          <w:sz w:val="20"/>
          <w:szCs w:val="20"/>
        </w:rPr>
        <w:t>вимагає</w:t>
      </w:r>
      <w:r w:rsidRPr="000977F7">
        <w:rPr>
          <w:rFonts w:asciiTheme="majorHAnsi" w:hAnsiTheme="majorHAnsi"/>
          <w:spacing w:val="24"/>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9"/>
          <w:sz w:val="20"/>
          <w:szCs w:val="20"/>
        </w:rPr>
        <w:t xml:space="preserve"> </w:t>
      </w:r>
      <w:r w:rsidRPr="000977F7">
        <w:rPr>
          <w:rFonts w:asciiTheme="majorHAnsi" w:hAnsiTheme="majorHAnsi"/>
          <w:sz w:val="20"/>
          <w:szCs w:val="20"/>
        </w:rPr>
        <w:t>додаткових</w:t>
      </w:r>
      <w:r w:rsidRPr="000977F7">
        <w:rPr>
          <w:rFonts w:asciiTheme="majorHAnsi" w:hAnsiTheme="majorHAnsi"/>
          <w:spacing w:val="16"/>
          <w:sz w:val="20"/>
          <w:szCs w:val="20"/>
        </w:rPr>
        <w:t xml:space="preserve"> </w:t>
      </w:r>
      <w:r w:rsidRPr="000977F7">
        <w:rPr>
          <w:rFonts w:asciiTheme="majorHAnsi" w:hAnsiTheme="majorHAnsi"/>
          <w:sz w:val="20"/>
          <w:szCs w:val="20"/>
        </w:rPr>
        <w:t>матеріалів,</w:t>
      </w:r>
      <w:r w:rsidRPr="000977F7">
        <w:rPr>
          <w:rFonts w:asciiTheme="majorHAnsi" w:hAnsiTheme="majorHAnsi"/>
          <w:spacing w:val="17"/>
          <w:sz w:val="20"/>
          <w:szCs w:val="20"/>
        </w:rPr>
        <w:t xml:space="preserve"> </w:t>
      </w:r>
      <w:r w:rsidRPr="000977F7">
        <w:rPr>
          <w:rFonts w:asciiTheme="majorHAnsi" w:hAnsiTheme="majorHAnsi"/>
          <w:sz w:val="20"/>
          <w:szCs w:val="20"/>
        </w:rPr>
        <w:t>такі</w:t>
      </w:r>
      <w:r w:rsidRPr="000977F7">
        <w:rPr>
          <w:rFonts w:asciiTheme="majorHAnsi" w:hAnsiTheme="majorHAnsi"/>
          <w:spacing w:val="17"/>
          <w:sz w:val="20"/>
          <w:szCs w:val="20"/>
        </w:rPr>
        <w:t xml:space="preserve"> </w:t>
      </w:r>
      <w:r w:rsidRPr="000977F7">
        <w:rPr>
          <w:rFonts w:asciiTheme="majorHAnsi" w:hAnsiTheme="majorHAnsi"/>
          <w:sz w:val="20"/>
          <w:szCs w:val="20"/>
        </w:rPr>
        <w:t>матеріали</w:t>
      </w:r>
      <w:r w:rsidRPr="000977F7">
        <w:rPr>
          <w:rFonts w:asciiTheme="majorHAnsi" w:hAnsiTheme="majorHAnsi"/>
          <w:spacing w:val="17"/>
          <w:sz w:val="20"/>
          <w:szCs w:val="20"/>
        </w:rPr>
        <w:t xml:space="preserve"> </w:t>
      </w:r>
      <w:r w:rsidRPr="000977F7">
        <w:rPr>
          <w:rFonts w:asciiTheme="majorHAnsi" w:hAnsiTheme="majorHAnsi"/>
          <w:sz w:val="20"/>
          <w:szCs w:val="20"/>
        </w:rPr>
        <w:t>повинні</w:t>
      </w:r>
      <w:r w:rsidRPr="000977F7">
        <w:rPr>
          <w:rFonts w:asciiTheme="majorHAnsi" w:hAnsiTheme="majorHAnsi"/>
          <w:spacing w:val="40"/>
          <w:sz w:val="20"/>
          <w:szCs w:val="20"/>
        </w:rPr>
        <w:t xml:space="preserve"> </w:t>
      </w:r>
      <w:r w:rsidRPr="000977F7">
        <w:rPr>
          <w:rFonts w:asciiTheme="majorHAnsi" w:hAnsiTheme="majorHAnsi"/>
          <w:sz w:val="20"/>
          <w:szCs w:val="20"/>
        </w:rPr>
        <w:t>відповідати</w:t>
      </w:r>
      <w:r w:rsidRPr="000977F7">
        <w:rPr>
          <w:rFonts w:asciiTheme="majorHAnsi" w:hAnsiTheme="majorHAnsi"/>
          <w:spacing w:val="40"/>
          <w:sz w:val="20"/>
          <w:szCs w:val="20"/>
        </w:rPr>
        <w:t xml:space="preserve"> </w:t>
      </w:r>
      <w:r w:rsidRPr="000977F7">
        <w:rPr>
          <w:rFonts w:asciiTheme="majorHAnsi" w:hAnsiTheme="majorHAnsi"/>
          <w:sz w:val="20"/>
          <w:szCs w:val="20"/>
        </w:rPr>
        <w:t>вимогам</w:t>
      </w:r>
      <w:r w:rsidRPr="000977F7">
        <w:rPr>
          <w:rFonts w:asciiTheme="majorHAnsi" w:hAnsiTheme="majorHAnsi"/>
          <w:spacing w:val="39"/>
          <w:sz w:val="20"/>
          <w:szCs w:val="20"/>
        </w:rPr>
        <w:t xml:space="preserve"> </w:t>
      </w:r>
      <w:r w:rsidRPr="000977F7">
        <w:rPr>
          <w:rFonts w:asciiTheme="majorHAnsi" w:hAnsiTheme="majorHAnsi"/>
          <w:sz w:val="20"/>
          <w:szCs w:val="20"/>
        </w:rPr>
        <w:t>безпеки,</w:t>
      </w:r>
      <w:r w:rsidRPr="000977F7">
        <w:rPr>
          <w:rFonts w:asciiTheme="majorHAnsi" w:hAnsiTheme="majorHAnsi"/>
          <w:spacing w:val="41"/>
          <w:sz w:val="20"/>
          <w:szCs w:val="20"/>
        </w:rPr>
        <w:t xml:space="preserve"> </w:t>
      </w:r>
      <w:r w:rsidRPr="000977F7">
        <w:rPr>
          <w:rFonts w:asciiTheme="majorHAnsi" w:hAnsiTheme="majorHAnsi"/>
          <w:sz w:val="20"/>
          <w:szCs w:val="20"/>
        </w:rPr>
        <w:t>встановленим</w:t>
      </w:r>
      <w:r w:rsidRPr="000977F7">
        <w:rPr>
          <w:rFonts w:asciiTheme="majorHAnsi" w:hAnsiTheme="majorHAnsi"/>
          <w:spacing w:val="-47"/>
          <w:sz w:val="20"/>
          <w:szCs w:val="20"/>
        </w:rPr>
        <w:t xml:space="preserve"> </w:t>
      </w:r>
      <w:r w:rsidRPr="000977F7">
        <w:rPr>
          <w:rFonts w:asciiTheme="majorHAnsi" w:hAnsiTheme="majorHAnsi"/>
          <w:sz w:val="20"/>
          <w:szCs w:val="20"/>
        </w:rPr>
        <w:t>законодавством до таких</w:t>
      </w:r>
      <w:r w:rsidRPr="000977F7">
        <w:rPr>
          <w:rFonts w:asciiTheme="majorHAnsi" w:hAnsiTheme="majorHAnsi"/>
          <w:spacing w:val="-2"/>
          <w:sz w:val="20"/>
          <w:szCs w:val="20"/>
        </w:rPr>
        <w:t xml:space="preserve"> </w:t>
      </w:r>
      <w:r w:rsidRPr="000977F7">
        <w:rPr>
          <w:rFonts w:asciiTheme="majorHAnsi" w:hAnsiTheme="majorHAnsi"/>
          <w:sz w:val="20"/>
          <w:szCs w:val="20"/>
        </w:rPr>
        <w:t>матеріалів.</w:t>
      </w:r>
    </w:p>
    <w:p w14:paraId="5967382F" w14:textId="77777777" w:rsidR="0097612F" w:rsidRPr="000977F7" w:rsidRDefault="0097612F" w:rsidP="00FD39A4">
      <w:pPr>
        <w:pStyle w:val="ac"/>
        <w:widowControl w:val="0"/>
        <w:numPr>
          <w:ilvl w:val="0"/>
          <w:numId w:val="107"/>
        </w:numPr>
        <w:tabs>
          <w:tab w:val="left" w:pos="284"/>
          <w:tab w:val="left" w:pos="71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Виконавець несе відповідальність за шкоду, завдану життю, здоров'ю або майну споживача, що виникла</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зв'язку</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використанням</w:t>
      </w:r>
      <w:r w:rsidRPr="000977F7">
        <w:rPr>
          <w:rFonts w:asciiTheme="majorHAnsi" w:hAnsiTheme="majorHAnsi"/>
          <w:spacing w:val="1"/>
          <w:sz w:val="20"/>
          <w:szCs w:val="20"/>
        </w:rPr>
        <w:t xml:space="preserve"> </w:t>
      </w:r>
      <w:r w:rsidRPr="000977F7">
        <w:rPr>
          <w:rFonts w:asciiTheme="majorHAnsi" w:hAnsiTheme="majorHAnsi"/>
          <w:sz w:val="20"/>
          <w:szCs w:val="20"/>
        </w:rPr>
        <w:t>речей,</w:t>
      </w:r>
      <w:r w:rsidRPr="000977F7">
        <w:rPr>
          <w:rFonts w:asciiTheme="majorHAnsi" w:hAnsiTheme="majorHAnsi"/>
          <w:spacing w:val="1"/>
          <w:sz w:val="20"/>
          <w:szCs w:val="20"/>
        </w:rPr>
        <w:t xml:space="preserve"> </w:t>
      </w:r>
      <w:r w:rsidRPr="000977F7">
        <w:rPr>
          <w:rFonts w:asciiTheme="majorHAnsi" w:hAnsiTheme="majorHAnsi"/>
          <w:sz w:val="20"/>
          <w:szCs w:val="20"/>
        </w:rPr>
        <w:t>матеріалів,</w:t>
      </w:r>
      <w:r w:rsidRPr="000977F7">
        <w:rPr>
          <w:rFonts w:asciiTheme="majorHAnsi" w:hAnsiTheme="majorHAnsi"/>
          <w:spacing w:val="1"/>
          <w:sz w:val="20"/>
          <w:szCs w:val="20"/>
        </w:rPr>
        <w:t xml:space="preserve"> </w:t>
      </w:r>
      <w:r w:rsidRPr="000977F7">
        <w:rPr>
          <w:rFonts w:asciiTheme="majorHAnsi" w:hAnsiTheme="majorHAnsi"/>
          <w:sz w:val="20"/>
          <w:szCs w:val="20"/>
        </w:rPr>
        <w:t>обладнання, приладів, інструментів, пристосувань чи</w:t>
      </w:r>
      <w:r w:rsidRPr="000977F7">
        <w:rPr>
          <w:rFonts w:asciiTheme="majorHAnsi" w:hAnsiTheme="majorHAnsi"/>
          <w:spacing w:val="1"/>
          <w:sz w:val="20"/>
          <w:szCs w:val="20"/>
        </w:rPr>
        <w:t xml:space="preserve"> </w:t>
      </w:r>
      <w:r w:rsidRPr="000977F7">
        <w:rPr>
          <w:rFonts w:asciiTheme="majorHAnsi" w:hAnsiTheme="majorHAnsi"/>
          <w:sz w:val="20"/>
          <w:szCs w:val="20"/>
        </w:rPr>
        <w:t>інших засобів, необхідних для виконання ним робіт</w:t>
      </w:r>
      <w:r w:rsidRPr="000977F7">
        <w:rPr>
          <w:rFonts w:asciiTheme="majorHAnsi" w:hAnsiTheme="majorHAnsi"/>
          <w:spacing w:val="1"/>
          <w:sz w:val="20"/>
          <w:szCs w:val="20"/>
        </w:rPr>
        <w:t xml:space="preserve"> </w:t>
      </w:r>
      <w:r w:rsidRPr="000977F7">
        <w:rPr>
          <w:rFonts w:asciiTheme="majorHAnsi" w:hAnsiTheme="majorHAnsi"/>
          <w:sz w:val="20"/>
          <w:szCs w:val="20"/>
        </w:rPr>
        <w:t>(надання послуг), незалежно від рівня його наукових і</w:t>
      </w:r>
      <w:r w:rsidRPr="000977F7">
        <w:rPr>
          <w:rFonts w:asciiTheme="majorHAnsi" w:hAnsiTheme="majorHAnsi"/>
          <w:spacing w:val="-47"/>
          <w:sz w:val="20"/>
          <w:szCs w:val="20"/>
        </w:rPr>
        <w:t xml:space="preserve"> </w:t>
      </w:r>
      <w:r w:rsidRPr="000977F7">
        <w:rPr>
          <w:rFonts w:asciiTheme="majorHAnsi" w:hAnsiTheme="majorHAnsi"/>
          <w:sz w:val="20"/>
          <w:szCs w:val="20"/>
        </w:rPr>
        <w:t>технічних знань, що дає змогу виявити їх властивості,</w:t>
      </w:r>
      <w:r w:rsidRPr="000977F7">
        <w:rPr>
          <w:rFonts w:asciiTheme="majorHAnsi" w:hAnsiTheme="majorHAnsi"/>
          <w:spacing w:val="1"/>
          <w:sz w:val="20"/>
          <w:szCs w:val="20"/>
        </w:rPr>
        <w:t xml:space="preserve"> </w:t>
      </w:r>
      <w:r w:rsidRPr="000977F7">
        <w:rPr>
          <w:rFonts w:asciiTheme="majorHAnsi" w:hAnsiTheme="majorHAnsi"/>
          <w:sz w:val="20"/>
          <w:szCs w:val="20"/>
        </w:rPr>
        <w:t>згідно із законодавством.</w:t>
      </w:r>
    </w:p>
    <w:p w14:paraId="67E34048" w14:textId="77777777" w:rsidR="0097612F" w:rsidRPr="000977F7" w:rsidRDefault="0097612F" w:rsidP="00FD39A4">
      <w:pPr>
        <w:pStyle w:val="ac"/>
        <w:widowControl w:val="0"/>
        <w:numPr>
          <w:ilvl w:val="0"/>
          <w:numId w:val="107"/>
        </w:numPr>
        <w:tabs>
          <w:tab w:val="left" w:pos="284"/>
          <w:tab w:val="left" w:pos="70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Якщо під час виконання робіт (надання послуг)</w:t>
      </w:r>
      <w:r w:rsidRPr="000977F7">
        <w:rPr>
          <w:rFonts w:asciiTheme="majorHAnsi" w:hAnsiTheme="majorHAnsi"/>
          <w:spacing w:val="1"/>
          <w:sz w:val="20"/>
          <w:szCs w:val="20"/>
        </w:rPr>
        <w:t xml:space="preserve"> </w:t>
      </w:r>
      <w:r w:rsidRPr="000977F7">
        <w:rPr>
          <w:rFonts w:asciiTheme="majorHAnsi" w:hAnsiTheme="majorHAnsi"/>
          <w:sz w:val="20"/>
          <w:szCs w:val="20"/>
        </w:rPr>
        <w:t>виникає</w:t>
      </w:r>
      <w:r w:rsidRPr="000977F7">
        <w:rPr>
          <w:rFonts w:asciiTheme="majorHAnsi" w:hAnsiTheme="majorHAnsi"/>
          <w:spacing w:val="1"/>
          <w:sz w:val="20"/>
          <w:szCs w:val="20"/>
        </w:rPr>
        <w:t xml:space="preserve"> </w:t>
      </w:r>
      <w:r w:rsidRPr="000977F7">
        <w:rPr>
          <w:rFonts w:asciiTheme="majorHAnsi" w:hAnsiTheme="majorHAnsi"/>
          <w:sz w:val="20"/>
          <w:szCs w:val="20"/>
        </w:rPr>
        <w:t>необхідність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додаткових</w:t>
      </w:r>
      <w:r w:rsidRPr="000977F7">
        <w:rPr>
          <w:rFonts w:asciiTheme="majorHAnsi" w:hAnsiTheme="majorHAnsi"/>
          <w:spacing w:val="1"/>
          <w:sz w:val="20"/>
          <w:szCs w:val="20"/>
        </w:rPr>
        <w:t xml:space="preserve"> </w:t>
      </w:r>
      <w:r w:rsidRPr="000977F7">
        <w:rPr>
          <w:rFonts w:asciiTheme="majorHAnsi" w:hAnsiTheme="majorHAnsi"/>
          <w:sz w:val="20"/>
          <w:szCs w:val="20"/>
        </w:rPr>
        <w:t>роботах</w:t>
      </w:r>
      <w:r w:rsidRPr="000977F7">
        <w:rPr>
          <w:rFonts w:asciiTheme="majorHAnsi" w:hAnsiTheme="majorHAnsi"/>
          <w:spacing w:val="1"/>
          <w:sz w:val="20"/>
          <w:szCs w:val="20"/>
        </w:rPr>
        <w:t xml:space="preserve"> </w:t>
      </w:r>
      <w:r w:rsidRPr="000977F7">
        <w:rPr>
          <w:rFonts w:asciiTheme="majorHAnsi" w:hAnsiTheme="majorHAnsi"/>
          <w:sz w:val="20"/>
          <w:szCs w:val="20"/>
        </w:rPr>
        <w:t>(послугах), що не були передбачені умовами договору, виконавець зобов'язаний одержати від споживача дозвіл</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2"/>
          <w:sz w:val="20"/>
          <w:szCs w:val="20"/>
        </w:rPr>
        <w:t xml:space="preserve"> </w:t>
      </w:r>
      <w:r w:rsidRPr="000977F7">
        <w:rPr>
          <w:rFonts w:asciiTheme="majorHAnsi" w:hAnsiTheme="majorHAnsi"/>
          <w:sz w:val="20"/>
          <w:szCs w:val="20"/>
        </w:rPr>
        <w:t>таких</w:t>
      </w:r>
      <w:r w:rsidRPr="000977F7">
        <w:rPr>
          <w:rFonts w:asciiTheme="majorHAnsi" w:hAnsiTheme="majorHAnsi"/>
          <w:spacing w:val="-2"/>
          <w:sz w:val="20"/>
          <w:szCs w:val="20"/>
        </w:rPr>
        <w:t xml:space="preserve"> </w:t>
      </w:r>
      <w:r w:rsidRPr="000977F7">
        <w:rPr>
          <w:rFonts w:asciiTheme="majorHAnsi" w:hAnsiTheme="majorHAnsi"/>
          <w:sz w:val="20"/>
          <w:szCs w:val="20"/>
        </w:rPr>
        <w:t>робіт</w:t>
      </w:r>
      <w:r w:rsidRPr="000977F7">
        <w:rPr>
          <w:rFonts w:asciiTheme="majorHAnsi" w:hAnsiTheme="majorHAnsi"/>
          <w:spacing w:val="-1"/>
          <w:sz w:val="20"/>
          <w:szCs w:val="20"/>
        </w:rPr>
        <w:t xml:space="preserve"> </w:t>
      </w:r>
      <w:r w:rsidRPr="000977F7">
        <w:rPr>
          <w:rFonts w:asciiTheme="majorHAnsi" w:hAnsiTheme="majorHAnsi"/>
          <w:sz w:val="20"/>
          <w:szCs w:val="20"/>
        </w:rPr>
        <w:t>(надання</w:t>
      </w:r>
      <w:r w:rsidRPr="000977F7">
        <w:rPr>
          <w:rFonts w:asciiTheme="majorHAnsi" w:hAnsiTheme="majorHAnsi"/>
          <w:spacing w:val="-2"/>
          <w:sz w:val="20"/>
          <w:szCs w:val="20"/>
        </w:rPr>
        <w:t xml:space="preserve"> </w:t>
      </w:r>
      <w:r w:rsidRPr="000977F7">
        <w:rPr>
          <w:rFonts w:asciiTheme="majorHAnsi" w:hAnsiTheme="majorHAnsi"/>
          <w:sz w:val="20"/>
          <w:szCs w:val="20"/>
        </w:rPr>
        <w:t>послуг).</w:t>
      </w:r>
    </w:p>
    <w:p w14:paraId="142608D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Будь-які додаткові роботи (послуги), виконані (надані) виконавцем</w:t>
      </w:r>
      <w:r w:rsidRPr="000977F7">
        <w:rPr>
          <w:rFonts w:asciiTheme="majorHAnsi" w:hAnsiTheme="majorHAnsi"/>
          <w:spacing w:val="1"/>
          <w:sz w:val="20"/>
          <w:szCs w:val="20"/>
        </w:rPr>
        <w:t xml:space="preserve"> </w:t>
      </w:r>
      <w:r w:rsidRPr="000977F7">
        <w:rPr>
          <w:rFonts w:asciiTheme="majorHAnsi" w:hAnsiTheme="majorHAnsi"/>
          <w:sz w:val="20"/>
          <w:szCs w:val="20"/>
        </w:rPr>
        <w:t>без згоди</w:t>
      </w:r>
      <w:r w:rsidRPr="000977F7">
        <w:rPr>
          <w:rFonts w:asciiTheme="majorHAnsi" w:hAnsiTheme="majorHAnsi"/>
          <w:spacing w:val="50"/>
          <w:sz w:val="20"/>
          <w:szCs w:val="20"/>
        </w:rPr>
        <w:t xml:space="preserve"> </w:t>
      </w:r>
      <w:r w:rsidRPr="000977F7">
        <w:rPr>
          <w:rFonts w:asciiTheme="majorHAnsi" w:hAnsiTheme="majorHAnsi"/>
          <w:sz w:val="20"/>
          <w:szCs w:val="20"/>
        </w:rPr>
        <w:t>споживача, не створюють</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4"/>
          <w:sz w:val="20"/>
          <w:szCs w:val="20"/>
        </w:rPr>
        <w:t xml:space="preserve"> </w:t>
      </w:r>
      <w:r w:rsidRPr="000977F7">
        <w:rPr>
          <w:rFonts w:asciiTheme="majorHAnsi" w:hAnsiTheme="majorHAnsi"/>
          <w:sz w:val="20"/>
          <w:szCs w:val="20"/>
        </w:rPr>
        <w:t>споживача</w:t>
      </w:r>
      <w:r w:rsidRPr="000977F7">
        <w:rPr>
          <w:rFonts w:asciiTheme="majorHAnsi" w:hAnsiTheme="majorHAnsi"/>
          <w:spacing w:val="-3"/>
          <w:sz w:val="20"/>
          <w:szCs w:val="20"/>
        </w:rPr>
        <w:t xml:space="preserve"> </w:t>
      </w:r>
      <w:r w:rsidRPr="000977F7">
        <w:rPr>
          <w:rFonts w:asciiTheme="majorHAnsi" w:hAnsiTheme="majorHAnsi"/>
          <w:sz w:val="20"/>
          <w:szCs w:val="20"/>
        </w:rPr>
        <w:t>будь-яких</w:t>
      </w:r>
      <w:r w:rsidRPr="000977F7">
        <w:rPr>
          <w:rFonts w:asciiTheme="majorHAnsi" w:hAnsiTheme="majorHAnsi"/>
          <w:spacing w:val="-4"/>
          <w:sz w:val="20"/>
          <w:szCs w:val="20"/>
        </w:rPr>
        <w:t xml:space="preserve"> </w:t>
      </w:r>
      <w:r w:rsidRPr="000977F7">
        <w:rPr>
          <w:rFonts w:asciiTheme="majorHAnsi" w:hAnsiTheme="majorHAnsi"/>
          <w:sz w:val="20"/>
          <w:szCs w:val="20"/>
        </w:rPr>
        <w:t>зобов'язань</w:t>
      </w:r>
      <w:r w:rsidRPr="000977F7">
        <w:rPr>
          <w:rFonts w:asciiTheme="majorHAnsi" w:hAnsiTheme="majorHAnsi"/>
          <w:spacing w:val="-3"/>
          <w:sz w:val="20"/>
          <w:szCs w:val="20"/>
        </w:rPr>
        <w:t xml:space="preserve"> </w:t>
      </w:r>
      <w:r w:rsidRPr="000977F7">
        <w:rPr>
          <w:rFonts w:asciiTheme="majorHAnsi" w:hAnsiTheme="majorHAnsi"/>
          <w:sz w:val="20"/>
          <w:szCs w:val="20"/>
        </w:rPr>
        <w:t>щодо</w:t>
      </w:r>
      <w:r w:rsidRPr="000977F7">
        <w:rPr>
          <w:rFonts w:asciiTheme="majorHAnsi" w:hAnsiTheme="majorHAnsi"/>
          <w:spacing w:val="-3"/>
          <w:sz w:val="20"/>
          <w:szCs w:val="20"/>
        </w:rPr>
        <w:t xml:space="preserve"> </w:t>
      </w:r>
      <w:r w:rsidRPr="000977F7">
        <w:rPr>
          <w:rFonts w:asciiTheme="majorHAnsi" w:hAnsiTheme="majorHAnsi"/>
          <w:sz w:val="20"/>
          <w:szCs w:val="20"/>
        </w:rPr>
        <w:t>їх</w:t>
      </w:r>
      <w:r w:rsidRPr="000977F7">
        <w:rPr>
          <w:rFonts w:asciiTheme="majorHAnsi" w:hAnsiTheme="majorHAnsi"/>
          <w:spacing w:val="-4"/>
          <w:sz w:val="20"/>
          <w:szCs w:val="20"/>
        </w:rPr>
        <w:t xml:space="preserve"> </w:t>
      </w:r>
      <w:r w:rsidRPr="000977F7">
        <w:rPr>
          <w:rFonts w:asciiTheme="majorHAnsi" w:hAnsiTheme="majorHAnsi"/>
          <w:sz w:val="20"/>
          <w:szCs w:val="20"/>
        </w:rPr>
        <w:t>оплати.</w:t>
      </w:r>
    </w:p>
    <w:p w14:paraId="122EBFAF" w14:textId="77777777" w:rsidR="0097612F" w:rsidRPr="000977F7" w:rsidRDefault="0097612F" w:rsidP="00FD39A4">
      <w:pPr>
        <w:pStyle w:val="ac"/>
        <w:widowControl w:val="0"/>
        <w:numPr>
          <w:ilvl w:val="0"/>
          <w:numId w:val="107"/>
        </w:numPr>
        <w:tabs>
          <w:tab w:val="left" w:pos="284"/>
          <w:tab w:val="left" w:pos="67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Якщо після укладення договору стане очевидним,</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29"/>
          <w:sz w:val="20"/>
          <w:szCs w:val="20"/>
        </w:rPr>
        <w:t xml:space="preserve"> </w:t>
      </w:r>
      <w:r w:rsidRPr="000977F7">
        <w:rPr>
          <w:rFonts w:asciiTheme="majorHAnsi" w:hAnsiTheme="majorHAnsi"/>
          <w:sz w:val="20"/>
          <w:szCs w:val="20"/>
        </w:rPr>
        <w:t>роботи</w:t>
      </w:r>
      <w:r w:rsidRPr="000977F7">
        <w:rPr>
          <w:rFonts w:asciiTheme="majorHAnsi" w:hAnsiTheme="majorHAnsi"/>
          <w:spacing w:val="28"/>
          <w:sz w:val="20"/>
          <w:szCs w:val="20"/>
        </w:rPr>
        <w:t xml:space="preserve"> </w:t>
      </w:r>
      <w:r w:rsidRPr="000977F7">
        <w:rPr>
          <w:rFonts w:asciiTheme="majorHAnsi" w:hAnsiTheme="majorHAnsi"/>
          <w:sz w:val="20"/>
          <w:szCs w:val="20"/>
        </w:rPr>
        <w:t>(послуги),</w:t>
      </w:r>
      <w:r w:rsidRPr="000977F7">
        <w:rPr>
          <w:rFonts w:asciiTheme="majorHAnsi" w:hAnsiTheme="majorHAnsi"/>
          <w:spacing w:val="28"/>
          <w:sz w:val="20"/>
          <w:szCs w:val="20"/>
        </w:rPr>
        <w:t xml:space="preserve"> </w:t>
      </w:r>
      <w:r w:rsidRPr="000977F7">
        <w:rPr>
          <w:rFonts w:asciiTheme="majorHAnsi" w:hAnsiTheme="majorHAnsi"/>
          <w:sz w:val="20"/>
          <w:szCs w:val="20"/>
        </w:rPr>
        <w:t>зважаючи</w:t>
      </w:r>
      <w:r w:rsidRPr="000977F7">
        <w:rPr>
          <w:rFonts w:asciiTheme="majorHAnsi" w:hAnsiTheme="majorHAnsi"/>
          <w:spacing w:val="28"/>
          <w:sz w:val="20"/>
          <w:szCs w:val="20"/>
        </w:rPr>
        <w:t xml:space="preserve"> </w:t>
      </w:r>
      <w:r w:rsidRPr="000977F7">
        <w:rPr>
          <w:rFonts w:asciiTheme="majorHAnsi" w:hAnsiTheme="majorHAnsi"/>
          <w:sz w:val="20"/>
          <w:szCs w:val="20"/>
        </w:rPr>
        <w:t>на</w:t>
      </w:r>
      <w:r w:rsidRPr="000977F7">
        <w:rPr>
          <w:rFonts w:asciiTheme="majorHAnsi" w:hAnsiTheme="majorHAnsi"/>
          <w:spacing w:val="28"/>
          <w:sz w:val="20"/>
          <w:szCs w:val="20"/>
        </w:rPr>
        <w:t xml:space="preserve"> </w:t>
      </w:r>
      <w:r w:rsidRPr="000977F7">
        <w:rPr>
          <w:rFonts w:asciiTheme="majorHAnsi" w:hAnsiTheme="majorHAnsi"/>
          <w:sz w:val="20"/>
          <w:szCs w:val="20"/>
        </w:rPr>
        <w:t>їх</w:t>
      </w:r>
      <w:r w:rsidRPr="000977F7">
        <w:rPr>
          <w:rFonts w:asciiTheme="majorHAnsi" w:hAnsiTheme="majorHAnsi"/>
          <w:spacing w:val="28"/>
          <w:sz w:val="20"/>
          <w:szCs w:val="20"/>
        </w:rPr>
        <w:t xml:space="preserve"> </w:t>
      </w:r>
      <w:r w:rsidRPr="000977F7">
        <w:rPr>
          <w:rFonts w:asciiTheme="majorHAnsi" w:hAnsiTheme="majorHAnsi"/>
          <w:sz w:val="20"/>
          <w:szCs w:val="20"/>
        </w:rPr>
        <w:t>ціну</w:t>
      </w:r>
      <w:r w:rsidRPr="000977F7">
        <w:rPr>
          <w:rFonts w:asciiTheme="majorHAnsi" w:hAnsiTheme="majorHAnsi"/>
          <w:spacing w:val="24"/>
          <w:sz w:val="20"/>
          <w:szCs w:val="20"/>
        </w:rPr>
        <w:t xml:space="preserve"> </w:t>
      </w:r>
      <w:r w:rsidRPr="000977F7">
        <w:rPr>
          <w:rFonts w:asciiTheme="majorHAnsi" w:hAnsiTheme="majorHAnsi"/>
          <w:sz w:val="20"/>
          <w:szCs w:val="20"/>
        </w:rPr>
        <w:t>(вартість)</w:t>
      </w:r>
      <w:r w:rsidRPr="000977F7">
        <w:rPr>
          <w:rFonts w:asciiTheme="majorHAnsi" w:hAnsiTheme="majorHAnsi"/>
          <w:spacing w:val="-47"/>
          <w:sz w:val="20"/>
          <w:szCs w:val="20"/>
        </w:rPr>
        <w:t xml:space="preserve"> </w:t>
      </w:r>
      <w:r w:rsidRPr="000977F7">
        <w:rPr>
          <w:rFonts w:asciiTheme="majorHAnsi" w:hAnsiTheme="majorHAnsi"/>
          <w:sz w:val="20"/>
          <w:szCs w:val="20"/>
        </w:rPr>
        <w:t>та характеристики або інші обставини, явно не задовольнятимуть інтереси або вимоги споживача, виконавець зобов'язаний негайно повідомити про це споживача.</w:t>
      </w:r>
    </w:p>
    <w:p w14:paraId="267C55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Виконавець зобов'язаний таким же чином повідомити</w:t>
      </w:r>
      <w:r w:rsidRPr="000977F7">
        <w:rPr>
          <w:rFonts w:asciiTheme="majorHAnsi" w:hAnsiTheme="majorHAnsi"/>
          <w:spacing w:val="-47"/>
          <w:sz w:val="20"/>
          <w:szCs w:val="20"/>
        </w:rPr>
        <w:t xml:space="preserve"> </w:t>
      </w:r>
      <w:r w:rsidRPr="000977F7">
        <w:rPr>
          <w:rFonts w:asciiTheme="majorHAnsi" w:hAnsiTheme="majorHAnsi"/>
          <w:sz w:val="20"/>
          <w:szCs w:val="20"/>
        </w:rPr>
        <w:t>споживача, якщо вартість робіт (послуг) може істотно</w:t>
      </w:r>
      <w:r w:rsidRPr="000977F7">
        <w:rPr>
          <w:rFonts w:asciiTheme="majorHAnsi" w:hAnsiTheme="majorHAnsi"/>
          <w:spacing w:val="-47"/>
          <w:sz w:val="20"/>
          <w:szCs w:val="20"/>
        </w:rPr>
        <w:t xml:space="preserve"> </w:t>
      </w:r>
      <w:r w:rsidRPr="000977F7">
        <w:rPr>
          <w:rFonts w:asciiTheme="majorHAnsi" w:hAnsiTheme="majorHAnsi"/>
          <w:sz w:val="20"/>
          <w:szCs w:val="20"/>
        </w:rPr>
        <w:t>зрости, ніж можна було очікувати під час укладення</w:t>
      </w:r>
      <w:r w:rsidRPr="000977F7">
        <w:rPr>
          <w:rFonts w:asciiTheme="majorHAnsi" w:hAnsiTheme="majorHAnsi"/>
          <w:spacing w:val="1"/>
          <w:sz w:val="20"/>
          <w:szCs w:val="20"/>
        </w:rPr>
        <w:t xml:space="preserve"> </w:t>
      </w:r>
      <w:r w:rsidRPr="000977F7">
        <w:rPr>
          <w:rFonts w:asciiTheme="majorHAnsi" w:hAnsiTheme="majorHAnsi"/>
          <w:sz w:val="20"/>
          <w:szCs w:val="20"/>
        </w:rPr>
        <w:t>договору.</w:t>
      </w:r>
    </w:p>
    <w:p w14:paraId="0AE10B5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Споживач має право</w:t>
      </w:r>
      <w:r w:rsidRPr="000977F7">
        <w:rPr>
          <w:rFonts w:asciiTheme="majorHAnsi" w:hAnsiTheme="majorHAnsi"/>
          <w:spacing w:val="1"/>
          <w:sz w:val="20"/>
          <w:szCs w:val="20"/>
        </w:rPr>
        <w:t xml:space="preserve"> </w:t>
      </w:r>
      <w:r w:rsidRPr="000977F7">
        <w:rPr>
          <w:rFonts w:asciiTheme="majorHAnsi" w:hAnsiTheme="majorHAnsi"/>
          <w:sz w:val="20"/>
          <w:szCs w:val="20"/>
        </w:rPr>
        <w:t>відмовитися від договору про</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21"/>
          <w:sz w:val="20"/>
          <w:szCs w:val="20"/>
        </w:rPr>
        <w:t xml:space="preserve"> </w:t>
      </w:r>
      <w:r w:rsidRPr="000977F7">
        <w:rPr>
          <w:rFonts w:asciiTheme="majorHAnsi" w:hAnsiTheme="majorHAnsi"/>
          <w:sz w:val="20"/>
          <w:szCs w:val="20"/>
        </w:rPr>
        <w:t>робіт</w:t>
      </w:r>
      <w:r w:rsidRPr="000977F7">
        <w:rPr>
          <w:rFonts w:asciiTheme="majorHAnsi" w:hAnsiTheme="majorHAnsi"/>
          <w:spacing w:val="20"/>
          <w:sz w:val="20"/>
          <w:szCs w:val="20"/>
        </w:rPr>
        <w:t xml:space="preserve"> </w:t>
      </w:r>
      <w:r w:rsidRPr="000977F7">
        <w:rPr>
          <w:rFonts w:asciiTheme="majorHAnsi" w:hAnsiTheme="majorHAnsi"/>
          <w:sz w:val="20"/>
          <w:szCs w:val="20"/>
        </w:rPr>
        <w:t>(надання</w:t>
      </w:r>
      <w:r w:rsidRPr="000977F7">
        <w:rPr>
          <w:rFonts w:asciiTheme="majorHAnsi" w:hAnsiTheme="majorHAnsi"/>
          <w:spacing w:val="19"/>
          <w:sz w:val="20"/>
          <w:szCs w:val="20"/>
        </w:rPr>
        <w:t xml:space="preserve"> </w:t>
      </w:r>
      <w:r w:rsidRPr="000977F7">
        <w:rPr>
          <w:rFonts w:asciiTheme="majorHAnsi" w:hAnsiTheme="majorHAnsi"/>
          <w:sz w:val="20"/>
          <w:szCs w:val="20"/>
        </w:rPr>
        <w:t>послуг)</w:t>
      </w:r>
      <w:r w:rsidRPr="000977F7">
        <w:rPr>
          <w:rFonts w:asciiTheme="majorHAnsi" w:hAnsiTheme="majorHAnsi"/>
          <w:spacing w:val="23"/>
          <w:sz w:val="20"/>
          <w:szCs w:val="20"/>
        </w:rPr>
        <w:t xml:space="preserve"> </w:t>
      </w:r>
      <w:r w:rsidRPr="000977F7">
        <w:rPr>
          <w:rFonts w:asciiTheme="majorHAnsi" w:hAnsiTheme="majorHAnsi"/>
          <w:sz w:val="20"/>
          <w:szCs w:val="20"/>
        </w:rPr>
        <w:t>без</w:t>
      </w:r>
      <w:r w:rsidRPr="000977F7">
        <w:rPr>
          <w:rFonts w:asciiTheme="majorHAnsi" w:hAnsiTheme="majorHAnsi"/>
          <w:spacing w:val="20"/>
          <w:sz w:val="20"/>
          <w:szCs w:val="20"/>
        </w:rPr>
        <w:t xml:space="preserve"> </w:t>
      </w:r>
      <w:r w:rsidRPr="000977F7">
        <w:rPr>
          <w:rFonts w:asciiTheme="majorHAnsi" w:hAnsiTheme="majorHAnsi"/>
          <w:sz w:val="20"/>
          <w:szCs w:val="20"/>
        </w:rPr>
        <w:t>штрафних</w:t>
      </w:r>
      <w:r w:rsidRPr="000977F7">
        <w:rPr>
          <w:rFonts w:asciiTheme="majorHAnsi" w:hAnsiTheme="majorHAnsi"/>
          <w:spacing w:val="19"/>
          <w:sz w:val="20"/>
          <w:szCs w:val="20"/>
        </w:rPr>
        <w:t xml:space="preserve"> </w:t>
      </w:r>
      <w:r w:rsidRPr="000977F7">
        <w:rPr>
          <w:rFonts w:asciiTheme="majorHAnsi" w:hAnsiTheme="majorHAnsi"/>
          <w:sz w:val="20"/>
          <w:szCs w:val="20"/>
        </w:rPr>
        <w:t>санкцій з боку виконавця</w:t>
      </w:r>
      <w:r w:rsidRPr="000977F7">
        <w:rPr>
          <w:rFonts w:asciiTheme="majorHAnsi" w:hAnsiTheme="majorHAnsi"/>
          <w:spacing w:val="1"/>
          <w:sz w:val="20"/>
          <w:szCs w:val="20"/>
        </w:rPr>
        <w:t xml:space="preserve"> </w:t>
      </w:r>
      <w:r w:rsidRPr="000977F7">
        <w:rPr>
          <w:rFonts w:asciiTheme="majorHAnsi" w:hAnsiTheme="majorHAnsi"/>
          <w:sz w:val="20"/>
          <w:szCs w:val="20"/>
        </w:rPr>
        <w:t>у разі виникнення обставин,</w:t>
      </w:r>
      <w:r w:rsidRPr="000977F7">
        <w:rPr>
          <w:rFonts w:asciiTheme="majorHAnsi" w:hAnsiTheme="majorHAnsi"/>
          <w:spacing w:val="1"/>
          <w:sz w:val="20"/>
          <w:szCs w:val="20"/>
        </w:rPr>
        <w:t xml:space="preserve"> </w:t>
      </w:r>
      <w:r w:rsidRPr="000977F7">
        <w:rPr>
          <w:rFonts w:asciiTheme="majorHAnsi" w:hAnsiTheme="majorHAnsi"/>
          <w:sz w:val="20"/>
          <w:szCs w:val="20"/>
        </w:rPr>
        <w:t>передбачених в абзацах першому та другому цієї частини.</w:t>
      </w:r>
    </w:p>
    <w:p w14:paraId="767CF46D" w14:textId="77777777" w:rsidR="0097612F" w:rsidRPr="000977F7" w:rsidRDefault="0097612F" w:rsidP="00FD39A4">
      <w:pPr>
        <w:pStyle w:val="ac"/>
        <w:widowControl w:val="0"/>
        <w:numPr>
          <w:ilvl w:val="0"/>
          <w:numId w:val="107"/>
        </w:numPr>
        <w:tabs>
          <w:tab w:val="left" w:pos="284"/>
          <w:tab w:val="left" w:pos="80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Вимоги цієї статті не поширюються на виконання</w:t>
      </w:r>
      <w:r w:rsidRPr="000977F7">
        <w:rPr>
          <w:rFonts w:asciiTheme="majorHAnsi" w:hAnsiTheme="majorHAnsi"/>
          <w:spacing w:val="-47"/>
          <w:sz w:val="20"/>
          <w:szCs w:val="20"/>
        </w:rPr>
        <w:t xml:space="preserve"> </w:t>
      </w:r>
      <w:r w:rsidRPr="000977F7">
        <w:rPr>
          <w:rFonts w:asciiTheme="majorHAnsi" w:hAnsiTheme="majorHAnsi"/>
          <w:sz w:val="20"/>
          <w:szCs w:val="20"/>
        </w:rPr>
        <w:t>робіт</w:t>
      </w:r>
      <w:r w:rsidRPr="000977F7">
        <w:rPr>
          <w:rFonts w:asciiTheme="majorHAnsi" w:hAnsiTheme="majorHAnsi"/>
          <w:spacing w:val="-2"/>
          <w:sz w:val="20"/>
          <w:szCs w:val="20"/>
        </w:rPr>
        <w:t xml:space="preserve"> </w:t>
      </w:r>
      <w:r w:rsidRPr="000977F7">
        <w:rPr>
          <w:rFonts w:asciiTheme="majorHAnsi" w:hAnsiTheme="majorHAnsi"/>
          <w:sz w:val="20"/>
          <w:szCs w:val="20"/>
        </w:rPr>
        <w:t>з гарантійного</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p>
    <w:p w14:paraId="32B9E20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10 закону України "Про захист прав споживачів"</w:t>
      </w:r>
    </w:p>
    <w:p w14:paraId="2021C84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ПРАВА СПОЖИВАЧА ПРИ ПРИДБАННІ </w:t>
      </w:r>
    </w:p>
    <w:p w14:paraId="4B0DA83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ТОВАРУ</w:t>
      </w:r>
      <w:r w:rsidRPr="000977F7">
        <w:rPr>
          <w:color w:val="auto"/>
          <w:spacing w:val="-1"/>
          <w:sz w:val="20"/>
          <w:szCs w:val="20"/>
        </w:rPr>
        <w:t xml:space="preserve"> </w:t>
      </w:r>
      <w:r w:rsidRPr="000977F7">
        <w:rPr>
          <w:color w:val="auto"/>
          <w:sz w:val="20"/>
          <w:szCs w:val="20"/>
        </w:rPr>
        <w:t>НЕНАЛЕЖНОЇ</w:t>
      </w:r>
      <w:r w:rsidRPr="000977F7">
        <w:rPr>
          <w:color w:val="auto"/>
          <w:spacing w:val="1"/>
          <w:sz w:val="20"/>
          <w:szCs w:val="20"/>
        </w:rPr>
        <w:t xml:space="preserve"> </w:t>
      </w:r>
      <w:r w:rsidRPr="000977F7">
        <w:rPr>
          <w:color w:val="auto"/>
          <w:sz w:val="20"/>
          <w:szCs w:val="20"/>
        </w:rPr>
        <w:t>ЯКОСТІ</w:t>
      </w:r>
      <w:r w:rsidRPr="000977F7">
        <w:rPr>
          <w:color w:val="auto"/>
          <w:spacing w:val="1"/>
          <w:sz w:val="20"/>
          <w:szCs w:val="20"/>
        </w:rPr>
        <w:t xml:space="preserve"> </w:t>
      </w:r>
      <w:r w:rsidRPr="000977F7">
        <w:rPr>
          <w:color w:val="auto"/>
          <w:sz w:val="20"/>
          <w:szCs w:val="20"/>
        </w:rPr>
        <w:t>-</w:t>
      </w:r>
    </w:p>
    <w:p w14:paraId="65FBC81B" w14:textId="77777777" w:rsidR="0097612F" w:rsidRPr="000977F7" w:rsidRDefault="0097612F" w:rsidP="00FD39A4">
      <w:pPr>
        <w:pStyle w:val="ac"/>
        <w:widowControl w:val="0"/>
        <w:numPr>
          <w:ilvl w:val="0"/>
          <w:numId w:val="105"/>
        </w:numPr>
        <w:tabs>
          <w:tab w:val="left" w:pos="284"/>
          <w:tab w:val="left" w:pos="73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 разі виявлення протягом встановленого гарантійного</w:t>
      </w:r>
      <w:r w:rsidRPr="000977F7">
        <w:rPr>
          <w:rFonts w:asciiTheme="majorHAnsi" w:hAnsiTheme="majorHAnsi"/>
          <w:spacing w:val="1"/>
          <w:sz w:val="20"/>
          <w:szCs w:val="20"/>
        </w:rPr>
        <w:t xml:space="preserve"> </w:t>
      </w:r>
      <w:r w:rsidRPr="000977F7">
        <w:rPr>
          <w:rFonts w:asciiTheme="majorHAnsi" w:hAnsiTheme="majorHAnsi"/>
          <w:sz w:val="20"/>
          <w:szCs w:val="20"/>
        </w:rPr>
        <w:t>строку</w:t>
      </w:r>
      <w:r w:rsidRPr="000977F7">
        <w:rPr>
          <w:rFonts w:asciiTheme="majorHAnsi" w:hAnsiTheme="majorHAnsi"/>
          <w:spacing w:val="1"/>
          <w:sz w:val="20"/>
          <w:szCs w:val="20"/>
        </w:rPr>
        <w:t xml:space="preserve"> </w:t>
      </w:r>
      <w:r w:rsidRPr="000977F7">
        <w:rPr>
          <w:rFonts w:asciiTheme="majorHAnsi" w:hAnsiTheme="majorHAnsi"/>
          <w:sz w:val="20"/>
          <w:szCs w:val="20"/>
        </w:rPr>
        <w:t>недоліків</w:t>
      </w:r>
      <w:r w:rsidRPr="000977F7">
        <w:rPr>
          <w:rFonts w:asciiTheme="majorHAnsi" w:hAnsiTheme="majorHAnsi"/>
          <w:spacing w:val="1"/>
          <w:sz w:val="20"/>
          <w:szCs w:val="20"/>
        </w:rPr>
        <w:t xml:space="preserve"> </w:t>
      </w:r>
      <w:r w:rsidRPr="000977F7">
        <w:rPr>
          <w:rFonts w:asciiTheme="majorHAnsi" w:hAnsiTheme="majorHAnsi"/>
          <w:sz w:val="20"/>
          <w:szCs w:val="20"/>
        </w:rPr>
        <w:t>споживач,</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порядку</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47"/>
          <w:sz w:val="20"/>
          <w:szCs w:val="20"/>
        </w:rPr>
        <w:t xml:space="preserve"> </w:t>
      </w:r>
      <w:r w:rsidRPr="000977F7">
        <w:rPr>
          <w:rFonts w:asciiTheme="majorHAnsi" w:hAnsiTheme="majorHAnsi"/>
          <w:sz w:val="20"/>
          <w:szCs w:val="20"/>
        </w:rPr>
        <w:t>строки,</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встановлені</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законодавством,</w:t>
      </w:r>
      <w:r w:rsidRPr="000977F7">
        <w:rPr>
          <w:rFonts w:asciiTheme="majorHAnsi" w:hAnsiTheme="majorHAnsi"/>
          <w:spacing w:val="1"/>
          <w:sz w:val="20"/>
          <w:szCs w:val="20"/>
        </w:rPr>
        <w:t xml:space="preserve"> </w:t>
      </w:r>
      <w:r w:rsidRPr="000977F7">
        <w:rPr>
          <w:rFonts w:asciiTheme="majorHAnsi" w:hAnsiTheme="majorHAnsi"/>
          <w:sz w:val="20"/>
          <w:szCs w:val="20"/>
        </w:rPr>
        <w:t>має</w:t>
      </w:r>
      <w:r w:rsidRPr="000977F7">
        <w:rPr>
          <w:rFonts w:asciiTheme="majorHAnsi" w:hAnsiTheme="majorHAnsi"/>
          <w:spacing w:val="1"/>
          <w:sz w:val="20"/>
          <w:szCs w:val="20"/>
        </w:rPr>
        <w:t xml:space="preserve"> </w:t>
      </w:r>
      <w:r w:rsidRPr="000977F7">
        <w:rPr>
          <w:rFonts w:asciiTheme="majorHAnsi" w:hAnsiTheme="majorHAnsi"/>
          <w:sz w:val="20"/>
          <w:szCs w:val="20"/>
        </w:rPr>
        <w:t>право</w:t>
      </w:r>
      <w:r w:rsidRPr="000977F7">
        <w:rPr>
          <w:rFonts w:asciiTheme="majorHAnsi" w:hAnsiTheme="majorHAnsi"/>
          <w:spacing w:val="1"/>
          <w:sz w:val="20"/>
          <w:szCs w:val="20"/>
        </w:rPr>
        <w:t xml:space="preserve"> </w:t>
      </w:r>
      <w:r w:rsidRPr="000977F7">
        <w:rPr>
          <w:rFonts w:asciiTheme="majorHAnsi" w:hAnsiTheme="majorHAnsi"/>
          <w:sz w:val="20"/>
          <w:szCs w:val="20"/>
        </w:rPr>
        <w:t>вимагати:</w:t>
      </w:r>
    </w:p>
    <w:p w14:paraId="0738AA80" w14:textId="77777777" w:rsidR="0097612F" w:rsidRPr="000977F7" w:rsidRDefault="0097612F" w:rsidP="00FD39A4">
      <w:pPr>
        <w:pStyle w:val="ac"/>
        <w:widowControl w:val="0"/>
        <w:numPr>
          <w:ilvl w:val="0"/>
          <w:numId w:val="104"/>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пропорційного</w:t>
      </w:r>
      <w:r w:rsidRPr="000977F7">
        <w:rPr>
          <w:rFonts w:asciiTheme="majorHAnsi" w:hAnsiTheme="majorHAnsi"/>
          <w:spacing w:val="-5"/>
          <w:sz w:val="20"/>
          <w:szCs w:val="20"/>
        </w:rPr>
        <w:t xml:space="preserve"> </w:t>
      </w:r>
      <w:r w:rsidRPr="000977F7">
        <w:rPr>
          <w:rFonts w:asciiTheme="majorHAnsi" w:hAnsiTheme="majorHAnsi"/>
          <w:sz w:val="20"/>
          <w:szCs w:val="20"/>
        </w:rPr>
        <w:t>зменшення</w:t>
      </w:r>
      <w:r w:rsidRPr="000977F7">
        <w:rPr>
          <w:rFonts w:asciiTheme="majorHAnsi" w:hAnsiTheme="majorHAnsi"/>
          <w:spacing w:val="-6"/>
          <w:sz w:val="20"/>
          <w:szCs w:val="20"/>
        </w:rPr>
        <w:t xml:space="preserve"> </w:t>
      </w:r>
      <w:r w:rsidRPr="000977F7">
        <w:rPr>
          <w:rFonts w:asciiTheme="majorHAnsi" w:hAnsiTheme="majorHAnsi"/>
          <w:sz w:val="20"/>
          <w:szCs w:val="20"/>
        </w:rPr>
        <w:t>ціни;</w:t>
      </w:r>
    </w:p>
    <w:p w14:paraId="23F19930" w14:textId="77777777" w:rsidR="0097612F" w:rsidRPr="000977F7" w:rsidRDefault="0097612F" w:rsidP="00FD39A4">
      <w:pPr>
        <w:pStyle w:val="ac"/>
        <w:widowControl w:val="0"/>
        <w:numPr>
          <w:ilvl w:val="0"/>
          <w:numId w:val="104"/>
        </w:numPr>
        <w:tabs>
          <w:tab w:val="left" w:pos="284"/>
          <w:tab w:val="left" w:pos="74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безоплатного усунення недоліків товару в розумний</w:t>
      </w:r>
      <w:r w:rsidRPr="000977F7">
        <w:rPr>
          <w:rFonts w:asciiTheme="majorHAnsi" w:hAnsiTheme="majorHAnsi"/>
          <w:spacing w:val="-2"/>
          <w:sz w:val="20"/>
          <w:szCs w:val="20"/>
        </w:rPr>
        <w:t xml:space="preserve"> </w:t>
      </w:r>
      <w:r w:rsidRPr="000977F7">
        <w:rPr>
          <w:rFonts w:asciiTheme="majorHAnsi" w:hAnsiTheme="majorHAnsi"/>
          <w:sz w:val="20"/>
          <w:szCs w:val="20"/>
        </w:rPr>
        <w:t>строк;</w:t>
      </w:r>
    </w:p>
    <w:p w14:paraId="068E921E" w14:textId="77777777" w:rsidR="0097612F" w:rsidRPr="000977F7" w:rsidRDefault="0097612F" w:rsidP="00FD39A4">
      <w:pPr>
        <w:pStyle w:val="ac"/>
        <w:widowControl w:val="0"/>
        <w:numPr>
          <w:ilvl w:val="0"/>
          <w:numId w:val="104"/>
        </w:numPr>
        <w:tabs>
          <w:tab w:val="left" w:pos="284"/>
          <w:tab w:val="left" w:pos="72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lastRenderedPageBreak/>
        <w:t>відшкодування витрат на усунення недоліків товару.</w:t>
      </w:r>
    </w:p>
    <w:p w14:paraId="26884DE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разі виявлення протягом встановленого гарантійного строку істотних недоліків, які</w:t>
      </w:r>
      <w:r w:rsidRPr="000977F7">
        <w:rPr>
          <w:rFonts w:asciiTheme="majorHAnsi" w:hAnsiTheme="majorHAnsi"/>
          <w:spacing w:val="1"/>
          <w:sz w:val="20"/>
          <w:szCs w:val="20"/>
        </w:rPr>
        <w:t xml:space="preserve"> </w:t>
      </w:r>
      <w:r w:rsidRPr="000977F7">
        <w:rPr>
          <w:rFonts w:asciiTheme="majorHAnsi" w:hAnsiTheme="majorHAnsi"/>
          <w:sz w:val="20"/>
          <w:szCs w:val="20"/>
        </w:rPr>
        <w:t>виникли з вини</w:t>
      </w:r>
      <w:r w:rsidRPr="000977F7">
        <w:rPr>
          <w:rFonts w:asciiTheme="majorHAnsi" w:hAnsiTheme="majorHAnsi"/>
          <w:spacing w:val="1"/>
          <w:sz w:val="20"/>
          <w:szCs w:val="20"/>
        </w:rPr>
        <w:t xml:space="preserve"> </w:t>
      </w:r>
      <w:r w:rsidRPr="000977F7">
        <w:rPr>
          <w:rFonts w:asciiTheme="majorHAnsi" w:hAnsiTheme="majorHAnsi"/>
          <w:sz w:val="20"/>
          <w:szCs w:val="20"/>
        </w:rPr>
        <w:t>виробника товару (продавця, виконавця), або фальсифікації товару, підтверджених за необхідності висновком експертизи, споживач, в порядку та у строки, що</w:t>
      </w:r>
      <w:r w:rsidRPr="000977F7">
        <w:rPr>
          <w:rFonts w:asciiTheme="majorHAnsi" w:hAnsiTheme="majorHAnsi"/>
          <w:spacing w:val="-47"/>
          <w:sz w:val="20"/>
          <w:szCs w:val="20"/>
        </w:rPr>
        <w:t xml:space="preserve"> </w:t>
      </w:r>
      <w:r w:rsidRPr="000977F7">
        <w:rPr>
          <w:rFonts w:asciiTheme="majorHAnsi" w:hAnsiTheme="majorHAnsi"/>
          <w:sz w:val="20"/>
          <w:szCs w:val="20"/>
        </w:rPr>
        <w:t>встановлені законодавством і на підставі обов'язкових</w:t>
      </w:r>
      <w:r w:rsidRPr="000977F7">
        <w:rPr>
          <w:rFonts w:asciiTheme="majorHAnsi" w:hAnsiTheme="majorHAnsi"/>
          <w:spacing w:val="-47"/>
          <w:sz w:val="20"/>
          <w:szCs w:val="20"/>
        </w:rPr>
        <w:t xml:space="preserve"> </w:t>
      </w:r>
      <w:r w:rsidRPr="000977F7">
        <w:rPr>
          <w:rFonts w:asciiTheme="majorHAnsi" w:hAnsiTheme="majorHAnsi"/>
          <w:sz w:val="20"/>
          <w:szCs w:val="20"/>
        </w:rPr>
        <w:t>для сторін</w:t>
      </w:r>
      <w:r w:rsidRPr="000977F7">
        <w:rPr>
          <w:rFonts w:asciiTheme="majorHAnsi" w:hAnsiTheme="majorHAnsi"/>
          <w:spacing w:val="1"/>
          <w:sz w:val="20"/>
          <w:szCs w:val="20"/>
        </w:rPr>
        <w:t xml:space="preserve"> </w:t>
      </w:r>
      <w:r w:rsidRPr="000977F7">
        <w:rPr>
          <w:rFonts w:asciiTheme="majorHAnsi" w:hAnsiTheme="majorHAnsi"/>
          <w:sz w:val="20"/>
          <w:szCs w:val="20"/>
        </w:rPr>
        <w:t>правил чи договору,</w:t>
      </w:r>
      <w:r w:rsidRPr="000977F7">
        <w:rPr>
          <w:rFonts w:asciiTheme="majorHAnsi" w:hAnsiTheme="majorHAnsi"/>
          <w:spacing w:val="1"/>
          <w:sz w:val="20"/>
          <w:szCs w:val="20"/>
        </w:rPr>
        <w:t xml:space="preserve"> </w:t>
      </w:r>
      <w:r w:rsidRPr="000977F7">
        <w:rPr>
          <w:rFonts w:asciiTheme="majorHAnsi" w:hAnsiTheme="majorHAnsi"/>
          <w:sz w:val="20"/>
          <w:szCs w:val="20"/>
        </w:rPr>
        <w:t>має</w:t>
      </w:r>
      <w:r w:rsidRPr="000977F7">
        <w:rPr>
          <w:rFonts w:asciiTheme="majorHAnsi" w:hAnsiTheme="majorHAnsi"/>
          <w:spacing w:val="1"/>
          <w:sz w:val="20"/>
          <w:szCs w:val="20"/>
        </w:rPr>
        <w:t xml:space="preserve"> </w:t>
      </w:r>
      <w:r w:rsidRPr="000977F7">
        <w:rPr>
          <w:rFonts w:asciiTheme="majorHAnsi" w:hAnsiTheme="majorHAnsi"/>
          <w:sz w:val="20"/>
          <w:szCs w:val="20"/>
        </w:rPr>
        <w:t>право</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своїм</w:t>
      </w:r>
      <w:r w:rsidRPr="000977F7">
        <w:rPr>
          <w:rFonts w:asciiTheme="majorHAnsi" w:hAnsiTheme="majorHAnsi"/>
          <w:spacing w:val="1"/>
          <w:sz w:val="20"/>
          <w:szCs w:val="20"/>
        </w:rPr>
        <w:t xml:space="preserve"> </w:t>
      </w:r>
      <w:r w:rsidRPr="000977F7">
        <w:rPr>
          <w:rFonts w:asciiTheme="majorHAnsi" w:hAnsiTheme="majorHAnsi"/>
          <w:sz w:val="20"/>
          <w:szCs w:val="20"/>
        </w:rPr>
        <w:t>вибором</w:t>
      </w:r>
      <w:r w:rsidRPr="000977F7">
        <w:rPr>
          <w:rFonts w:asciiTheme="majorHAnsi" w:hAnsiTheme="majorHAnsi"/>
          <w:spacing w:val="-1"/>
          <w:sz w:val="20"/>
          <w:szCs w:val="20"/>
        </w:rPr>
        <w:t xml:space="preserve"> </w:t>
      </w:r>
      <w:r w:rsidRPr="000977F7">
        <w:rPr>
          <w:rFonts w:asciiTheme="majorHAnsi" w:hAnsiTheme="majorHAnsi"/>
          <w:sz w:val="20"/>
          <w:szCs w:val="20"/>
        </w:rPr>
        <w:t>вимагати</w:t>
      </w:r>
      <w:r w:rsidRPr="000977F7">
        <w:rPr>
          <w:rFonts w:asciiTheme="majorHAnsi" w:hAnsiTheme="majorHAnsi"/>
          <w:spacing w:val="-2"/>
          <w:sz w:val="20"/>
          <w:szCs w:val="20"/>
        </w:rPr>
        <w:t xml:space="preserve"> </w:t>
      </w:r>
      <w:r w:rsidRPr="000977F7">
        <w:rPr>
          <w:rFonts w:asciiTheme="majorHAnsi" w:hAnsiTheme="majorHAnsi"/>
          <w:sz w:val="20"/>
          <w:szCs w:val="20"/>
        </w:rPr>
        <w:t>від</w:t>
      </w:r>
      <w:r w:rsidRPr="000977F7">
        <w:rPr>
          <w:rFonts w:asciiTheme="majorHAnsi" w:hAnsiTheme="majorHAnsi"/>
          <w:spacing w:val="-2"/>
          <w:sz w:val="20"/>
          <w:szCs w:val="20"/>
        </w:rPr>
        <w:t xml:space="preserve"> </w:t>
      </w:r>
      <w:r w:rsidRPr="000977F7">
        <w:rPr>
          <w:rFonts w:asciiTheme="majorHAnsi" w:hAnsiTheme="majorHAnsi"/>
          <w:sz w:val="20"/>
          <w:szCs w:val="20"/>
        </w:rPr>
        <w:t>продавця</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2"/>
          <w:sz w:val="20"/>
          <w:szCs w:val="20"/>
        </w:rPr>
        <w:t xml:space="preserve"> </w:t>
      </w:r>
      <w:r w:rsidRPr="000977F7">
        <w:rPr>
          <w:rFonts w:asciiTheme="majorHAnsi" w:hAnsiTheme="majorHAnsi"/>
          <w:sz w:val="20"/>
          <w:szCs w:val="20"/>
        </w:rPr>
        <w:t>виробника:</w:t>
      </w:r>
    </w:p>
    <w:p w14:paraId="5621A249" w14:textId="77777777" w:rsidR="0097612F" w:rsidRPr="000977F7" w:rsidRDefault="0097612F" w:rsidP="00FD39A4">
      <w:pPr>
        <w:pStyle w:val="ac"/>
        <w:widowControl w:val="0"/>
        <w:numPr>
          <w:ilvl w:val="0"/>
          <w:numId w:val="103"/>
        </w:numPr>
        <w:tabs>
          <w:tab w:val="left" w:pos="284"/>
          <w:tab w:val="left" w:pos="75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розірвання договору та повернення сплаченої за</w:t>
      </w:r>
      <w:r w:rsidRPr="000977F7">
        <w:rPr>
          <w:rFonts w:asciiTheme="majorHAnsi" w:hAnsiTheme="majorHAnsi"/>
          <w:spacing w:val="1"/>
          <w:sz w:val="20"/>
          <w:szCs w:val="20"/>
        </w:rPr>
        <w:t xml:space="preserve"> </w:t>
      </w:r>
      <w:r w:rsidRPr="000977F7">
        <w:rPr>
          <w:rFonts w:asciiTheme="majorHAnsi" w:hAnsiTheme="majorHAnsi"/>
          <w:sz w:val="20"/>
          <w:szCs w:val="20"/>
        </w:rPr>
        <w:t>товар грошової</w:t>
      </w:r>
      <w:r w:rsidRPr="000977F7">
        <w:rPr>
          <w:rFonts w:asciiTheme="majorHAnsi" w:hAnsiTheme="majorHAnsi"/>
          <w:spacing w:val="-1"/>
          <w:sz w:val="20"/>
          <w:szCs w:val="20"/>
        </w:rPr>
        <w:t xml:space="preserve"> </w:t>
      </w:r>
      <w:r w:rsidRPr="000977F7">
        <w:rPr>
          <w:rFonts w:asciiTheme="majorHAnsi" w:hAnsiTheme="majorHAnsi"/>
          <w:sz w:val="20"/>
          <w:szCs w:val="20"/>
        </w:rPr>
        <w:t>суми;</w:t>
      </w:r>
    </w:p>
    <w:p w14:paraId="635B9EAA" w14:textId="77777777" w:rsidR="0097612F" w:rsidRPr="000977F7" w:rsidRDefault="0097612F" w:rsidP="00FD39A4">
      <w:pPr>
        <w:pStyle w:val="ac"/>
        <w:widowControl w:val="0"/>
        <w:numPr>
          <w:ilvl w:val="0"/>
          <w:numId w:val="103"/>
        </w:numPr>
        <w:tabs>
          <w:tab w:val="left" w:pos="284"/>
          <w:tab w:val="left" w:pos="73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вимагати заміни товару на такий же товар або на</w:t>
      </w:r>
      <w:r w:rsidRPr="000977F7">
        <w:rPr>
          <w:rFonts w:asciiTheme="majorHAnsi" w:hAnsiTheme="majorHAnsi"/>
          <w:spacing w:val="1"/>
          <w:sz w:val="20"/>
          <w:szCs w:val="20"/>
        </w:rPr>
        <w:t xml:space="preserve"> </w:t>
      </w:r>
      <w:r w:rsidRPr="000977F7">
        <w:rPr>
          <w:rFonts w:asciiTheme="majorHAnsi" w:hAnsiTheme="majorHAnsi"/>
          <w:sz w:val="20"/>
          <w:szCs w:val="20"/>
        </w:rPr>
        <w:t>аналогічний, з числа наявних у продавця (виробника),</w:t>
      </w:r>
      <w:r w:rsidRPr="000977F7">
        <w:rPr>
          <w:rFonts w:asciiTheme="majorHAnsi" w:hAnsiTheme="majorHAnsi"/>
          <w:spacing w:val="-47"/>
          <w:sz w:val="20"/>
          <w:szCs w:val="20"/>
        </w:rPr>
        <w:t xml:space="preserve"> </w:t>
      </w:r>
      <w:r w:rsidRPr="000977F7">
        <w:rPr>
          <w:rFonts w:asciiTheme="majorHAnsi" w:hAnsiTheme="majorHAnsi"/>
          <w:sz w:val="20"/>
          <w:szCs w:val="20"/>
        </w:rPr>
        <w:t>товар.</w:t>
      </w:r>
    </w:p>
    <w:p w14:paraId="4CE2B8EC" w14:textId="77777777" w:rsidR="0097612F" w:rsidRPr="000977F7" w:rsidRDefault="0097612F" w:rsidP="00FD39A4">
      <w:pPr>
        <w:pStyle w:val="ac"/>
        <w:widowControl w:val="0"/>
        <w:numPr>
          <w:ilvl w:val="0"/>
          <w:numId w:val="105"/>
        </w:numPr>
        <w:tabs>
          <w:tab w:val="left" w:pos="284"/>
          <w:tab w:val="left" w:pos="71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Стосовно</w:t>
      </w:r>
      <w:r w:rsidRPr="000977F7">
        <w:rPr>
          <w:rFonts w:asciiTheme="majorHAnsi" w:hAnsiTheme="majorHAnsi"/>
          <w:spacing w:val="18"/>
          <w:sz w:val="20"/>
          <w:szCs w:val="20"/>
        </w:rPr>
        <w:t xml:space="preserve"> </w:t>
      </w:r>
      <w:r w:rsidRPr="000977F7">
        <w:rPr>
          <w:rFonts w:asciiTheme="majorHAnsi" w:hAnsiTheme="majorHAnsi"/>
          <w:sz w:val="20"/>
          <w:szCs w:val="20"/>
        </w:rPr>
        <w:t>непродовольчих</w:t>
      </w:r>
      <w:r w:rsidRPr="000977F7">
        <w:rPr>
          <w:rFonts w:asciiTheme="majorHAnsi" w:hAnsiTheme="majorHAnsi"/>
          <w:spacing w:val="19"/>
          <w:sz w:val="20"/>
          <w:szCs w:val="20"/>
        </w:rPr>
        <w:t xml:space="preserve"> </w:t>
      </w:r>
      <w:r w:rsidRPr="000977F7">
        <w:rPr>
          <w:rFonts w:asciiTheme="majorHAnsi" w:hAnsiTheme="majorHAnsi"/>
          <w:sz w:val="20"/>
          <w:szCs w:val="20"/>
        </w:rPr>
        <w:t>товарів,</w:t>
      </w:r>
      <w:r w:rsidRPr="000977F7">
        <w:rPr>
          <w:rFonts w:asciiTheme="majorHAnsi" w:hAnsiTheme="majorHAnsi"/>
          <w:spacing w:val="18"/>
          <w:sz w:val="20"/>
          <w:szCs w:val="20"/>
        </w:rPr>
        <w:t xml:space="preserve"> </w:t>
      </w:r>
      <w:r w:rsidRPr="000977F7">
        <w:rPr>
          <w:rFonts w:asciiTheme="majorHAnsi" w:hAnsiTheme="majorHAnsi"/>
          <w:sz w:val="20"/>
          <w:szCs w:val="20"/>
        </w:rPr>
        <w:t>що</w:t>
      </w:r>
      <w:r w:rsidRPr="000977F7">
        <w:rPr>
          <w:rFonts w:asciiTheme="majorHAnsi" w:hAnsiTheme="majorHAnsi"/>
          <w:spacing w:val="19"/>
          <w:sz w:val="20"/>
          <w:szCs w:val="20"/>
        </w:rPr>
        <w:t xml:space="preserve"> </w:t>
      </w:r>
      <w:r w:rsidRPr="000977F7">
        <w:rPr>
          <w:rFonts w:asciiTheme="majorHAnsi" w:hAnsiTheme="majorHAnsi"/>
          <w:sz w:val="20"/>
          <w:szCs w:val="20"/>
        </w:rPr>
        <w:t>перебували</w:t>
      </w:r>
      <w:r w:rsidRPr="000977F7">
        <w:rPr>
          <w:rFonts w:asciiTheme="majorHAnsi" w:hAnsiTheme="majorHAnsi"/>
          <w:spacing w:val="-47"/>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були</w:t>
      </w:r>
      <w:r w:rsidRPr="000977F7">
        <w:rPr>
          <w:rFonts w:asciiTheme="majorHAnsi" w:hAnsiTheme="majorHAnsi"/>
          <w:spacing w:val="1"/>
          <w:sz w:val="20"/>
          <w:szCs w:val="20"/>
        </w:rPr>
        <w:t xml:space="preserve"> </w:t>
      </w:r>
      <w:r w:rsidRPr="000977F7">
        <w:rPr>
          <w:rFonts w:asciiTheme="majorHAnsi" w:hAnsiTheme="majorHAnsi"/>
          <w:sz w:val="20"/>
          <w:szCs w:val="20"/>
        </w:rPr>
        <w:t>реалізовані</w:t>
      </w:r>
      <w:r w:rsidRPr="000977F7">
        <w:rPr>
          <w:rFonts w:asciiTheme="majorHAnsi" w:hAnsiTheme="majorHAnsi"/>
          <w:spacing w:val="1"/>
          <w:sz w:val="20"/>
          <w:szCs w:val="20"/>
        </w:rPr>
        <w:t xml:space="preserve"> </w:t>
      </w:r>
      <w:r w:rsidRPr="000977F7">
        <w:rPr>
          <w:rFonts w:asciiTheme="majorHAnsi" w:hAnsiTheme="majorHAnsi"/>
          <w:sz w:val="20"/>
          <w:szCs w:val="20"/>
        </w:rPr>
        <w:t>через</w:t>
      </w:r>
      <w:r w:rsidRPr="000977F7">
        <w:rPr>
          <w:rFonts w:asciiTheme="majorHAnsi" w:hAnsiTheme="majorHAnsi"/>
          <w:spacing w:val="1"/>
          <w:sz w:val="20"/>
          <w:szCs w:val="20"/>
        </w:rPr>
        <w:t xml:space="preserve"> </w:t>
      </w:r>
      <w:r w:rsidRPr="000977F7">
        <w:rPr>
          <w:rFonts w:asciiTheme="majorHAnsi" w:hAnsiTheme="majorHAnsi"/>
          <w:sz w:val="20"/>
          <w:szCs w:val="20"/>
        </w:rPr>
        <w:t>роздрібні</w:t>
      </w:r>
      <w:r w:rsidRPr="000977F7">
        <w:rPr>
          <w:rFonts w:asciiTheme="majorHAnsi" w:hAnsiTheme="majorHAnsi"/>
          <w:spacing w:val="-47"/>
          <w:sz w:val="20"/>
          <w:szCs w:val="20"/>
        </w:rPr>
        <w:t xml:space="preserve"> </w:t>
      </w:r>
      <w:r w:rsidRPr="000977F7">
        <w:rPr>
          <w:rFonts w:asciiTheme="majorHAnsi" w:hAnsiTheme="majorHAnsi"/>
          <w:sz w:val="20"/>
          <w:szCs w:val="20"/>
        </w:rPr>
        <w:t>комісійні торговельні підприємства, вимоги споживача, зазначені у частині першій цієї статті, задовольняються</w:t>
      </w:r>
      <w:r w:rsidRPr="000977F7">
        <w:rPr>
          <w:rFonts w:asciiTheme="majorHAnsi" w:hAnsiTheme="majorHAnsi"/>
          <w:spacing w:val="-2"/>
          <w:sz w:val="20"/>
          <w:szCs w:val="20"/>
        </w:rPr>
        <w:t xml:space="preserve"> </w:t>
      </w:r>
      <w:r w:rsidRPr="000977F7">
        <w:rPr>
          <w:rFonts w:asciiTheme="majorHAnsi" w:hAnsiTheme="majorHAnsi"/>
          <w:sz w:val="20"/>
          <w:szCs w:val="20"/>
        </w:rPr>
        <w:t>за згодою продавця.</w:t>
      </w:r>
    </w:p>
    <w:p w14:paraId="30DD156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Згідно</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цією</w:t>
      </w:r>
      <w:r w:rsidRPr="000977F7">
        <w:rPr>
          <w:rFonts w:asciiTheme="majorHAnsi" w:hAnsiTheme="majorHAnsi"/>
          <w:spacing w:val="1"/>
          <w:sz w:val="20"/>
          <w:szCs w:val="20"/>
        </w:rPr>
        <w:t xml:space="preserve"> </w:t>
      </w:r>
      <w:r w:rsidRPr="000977F7">
        <w:rPr>
          <w:rFonts w:asciiTheme="majorHAnsi" w:hAnsiTheme="majorHAnsi"/>
          <w:sz w:val="20"/>
          <w:szCs w:val="20"/>
        </w:rPr>
        <w:t>частиною</w:t>
      </w:r>
      <w:r w:rsidRPr="000977F7">
        <w:rPr>
          <w:rFonts w:asciiTheme="majorHAnsi" w:hAnsiTheme="majorHAnsi"/>
          <w:spacing w:val="1"/>
          <w:sz w:val="20"/>
          <w:szCs w:val="20"/>
        </w:rPr>
        <w:t xml:space="preserve"> </w:t>
      </w:r>
      <w:r w:rsidRPr="000977F7">
        <w:rPr>
          <w:rFonts w:asciiTheme="majorHAnsi" w:hAnsiTheme="majorHAnsi"/>
          <w:sz w:val="20"/>
          <w:szCs w:val="20"/>
        </w:rPr>
        <w:t>задовольняються</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споживача щодо товарів, гарантійний строк на які не</w:t>
      </w:r>
      <w:r w:rsidRPr="000977F7">
        <w:rPr>
          <w:rFonts w:asciiTheme="majorHAnsi" w:hAnsiTheme="majorHAnsi"/>
          <w:spacing w:val="1"/>
          <w:sz w:val="20"/>
          <w:szCs w:val="20"/>
        </w:rPr>
        <w:t xml:space="preserve"> </w:t>
      </w:r>
      <w:r w:rsidRPr="000977F7">
        <w:rPr>
          <w:rFonts w:asciiTheme="majorHAnsi" w:hAnsiTheme="majorHAnsi"/>
          <w:sz w:val="20"/>
          <w:szCs w:val="20"/>
        </w:rPr>
        <w:t>закінчився.</w:t>
      </w:r>
    </w:p>
    <w:p w14:paraId="2C8B81FD" w14:textId="77777777" w:rsidR="0097612F" w:rsidRPr="000977F7" w:rsidRDefault="0097612F" w:rsidP="00FD39A4">
      <w:pPr>
        <w:pStyle w:val="ac"/>
        <w:widowControl w:val="0"/>
        <w:numPr>
          <w:ilvl w:val="0"/>
          <w:numId w:val="105"/>
        </w:numPr>
        <w:tabs>
          <w:tab w:val="left" w:pos="284"/>
          <w:tab w:val="left" w:pos="70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Вимоги споживача, встановлені частиною першою</w:t>
      </w:r>
      <w:r w:rsidRPr="000977F7">
        <w:rPr>
          <w:rFonts w:asciiTheme="majorHAnsi" w:hAnsiTheme="majorHAnsi"/>
          <w:spacing w:val="1"/>
          <w:sz w:val="20"/>
          <w:szCs w:val="20"/>
        </w:rPr>
        <w:t xml:space="preserve"> </w:t>
      </w:r>
      <w:r w:rsidRPr="000977F7">
        <w:rPr>
          <w:rFonts w:asciiTheme="majorHAnsi" w:hAnsiTheme="majorHAnsi"/>
          <w:sz w:val="20"/>
          <w:szCs w:val="20"/>
        </w:rPr>
        <w:t>цієї статті, пред'являються на вибір споживача продавцеві</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місцем</w:t>
      </w:r>
      <w:r w:rsidRPr="000977F7">
        <w:rPr>
          <w:rFonts w:asciiTheme="majorHAnsi" w:hAnsiTheme="majorHAnsi"/>
          <w:spacing w:val="1"/>
          <w:sz w:val="20"/>
          <w:szCs w:val="20"/>
        </w:rPr>
        <w:t xml:space="preserve"> </w:t>
      </w:r>
      <w:r w:rsidRPr="000977F7">
        <w:rPr>
          <w:rFonts w:asciiTheme="majorHAnsi" w:hAnsiTheme="majorHAnsi"/>
          <w:sz w:val="20"/>
          <w:szCs w:val="20"/>
        </w:rPr>
        <w:t>купівлі</w:t>
      </w:r>
      <w:r w:rsidRPr="000977F7">
        <w:rPr>
          <w:rFonts w:asciiTheme="majorHAnsi" w:hAnsiTheme="majorHAnsi"/>
          <w:spacing w:val="1"/>
          <w:sz w:val="20"/>
          <w:szCs w:val="20"/>
        </w:rPr>
        <w:t xml:space="preserve"> </w:t>
      </w:r>
      <w:r w:rsidRPr="000977F7">
        <w:rPr>
          <w:rFonts w:asciiTheme="majorHAnsi" w:hAnsiTheme="majorHAnsi"/>
          <w:sz w:val="20"/>
          <w:szCs w:val="20"/>
        </w:rPr>
        <w:t>товару,</w:t>
      </w:r>
      <w:r w:rsidRPr="000977F7">
        <w:rPr>
          <w:rFonts w:asciiTheme="majorHAnsi" w:hAnsiTheme="majorHAnsi"/>
          <w:spacing w:val="1"/>
          <w:sz w:val="20"/>
          <w:szCs w:val="20"/>
        </w:rPr>
        <w:t xml:space="preserve"> </w:t>
      </w:r>
      <w:r w:rsidRPr="000977F7">
        <w:rPr>
          <w:rFonts w:asciiTheme="majorHAnsi" w:hAnsiTheme="majorHAnsi"/>
          <w:sz w:val="20"/>
          <w:szCs w:val="20"/>
        </w:rPr>
        <w:t>виробникові</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підприємству, що задовольняє ці вимоги за місцезнаходженням</w:t>
      </w:r>
      <w:r w:rsidRPr="000977F7">
        <w:rPr>
          <w:rFonts w:asciiTheme="majorHAnsi" w:hAnsiTheme="majorHAnsi"/>
          <w:spacing w:val="-1"/>
          <w:sz w:val="20"/>
          <w:szCs w:val="20"/>
        </w:rPr>
        <w:t xml:space="preserve"> </w:t>
      </w:r>
      <w:r w:rsidRPr="000977F7">
        <w:rPr>
          <w:rFonts w:asciiTheme="majorHAnsi" w:hAnsiTheme="majorHAnsi"/>
          <w:sz w:val="20"/>
          <w:szCs w:val="20"/>
        </w:rPr>
        <w:t>споживача.</w:t>
      </w:r>
    </w:p>
    <w:p w14:paraId="7F0691C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Споживач має право пред'явити одну з вимог, передбачених частиною першою цієї статті, а в разі її невиконання заявити іншу вимогу, передбачену частиною</w:t>
      </w:r>
      <w:r w:rsidRPr="000977F7">
        <w:rPr>
          <w:rFonts w:asciiTheme="majorHAnsi" w:hAnsiTheme="majorHAnsi"/>
          <w:spacing w:val="1"/>
          <w:sz w:val="20"/>
          <w:szCs w:val="20"/>
        </w:rPr>
        <w:t xml:space="preserve"> </w:t>
      </w:r>
      <w:r w:rsidRPr="000977F7">
        <w:rPr>
          <w:rFonts w:asciiTheme="majorHAnsi" w:hAnsiTheme="majorHAnsi"/>
          <w:sz w:val="20"/>
          <w:szCs w:val="20"/>
        </w:rPr>
        <w:t>першою</w:t>
      </w:r>
      <w:r w:rsidRPr="000977F7">
        <w:rPr>
          <w:rFonts w:asciiTheme="majorHAnsi" w:hAnsiTheme="majorHAnsi"/>
          <w:spacing w:val="-1"/>
          <w:sz w:val="20"/>
          <w:szCs w:val="20"/>
        </w:rPr>
        <w:t xml:space="preserve"> </w:t>
      </w:r>
      <w:r w:rsidRPr="000977F7">
        <w:rPr>
          <w:rFonts w:asciiTheme="majorHAnsi" w:hAnsiTheme="majorHAnsi"/>
          <w:sz w:val="20"/>
          <w:szCs w:val="20"/>
        </w:rPr>
        <w:t>цієї</w:t>
      </w:r>
      <w:r w:rsidRPr="000977F7">
        <w:rPr>
          <w:rFonts w:asciiTheme="majorHAnsi" w:hAnsiTheme="majorHAnsi"/>
          <w:spacing w:val="-1"/>
          <w:sz w:val="20"/>
          <w:szCs w:val="20"/>
        </w:rPr>
        <w:t xml:space="preserve"> </w:t>
      </w:r>
      <w:r w:rsidRPr="000977F7">
        <w:rPr>
          <w:rFonts w:asciiTheme="majorHAnsi" w:hAnsiTheme="majorHAnsi"/>
          <w:sz w:val="20"/>
          <w:szCs w:val="20"/>
        </w:rPr>
        <w:t>статті.</w:t>
      </w:r>
    </w:p>
    <w:p w14:paraId="3A12D14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Зазначені</w:t>
      </w:r>
      <w:r w:rsidRPr="000977F7">
        <w:rPr>
          <w:rFonts w:asciiTheme="majorHAnsi" w:hAnsiTheme="majorHAnsi"/>
          <w:spacing w:val="1"/>
          <w:sz w:val="20"/>
          <w:szCs w:val="20"/>
        </w:rPr>
        <w:t xml:space="preserve"> </w:t>
      </w:r>
      <w:r w:rsidRPr="000977F7">
        <w:rPr>
          <w:rFonts w:asciiTheme="majorHAnsi" w:hAnsiTheme="majorHAnsi"/>
          <w:sz w:val="20"/>
          <w:szCs w:val="20"/>
        </w:rPr>
        <w:t>вимоги за</w:t>
      </w:r>
      <w:r w:rsidRPr="000977F7">
        <w:rPr>
          <w:rFonts w:asciiTheme="majorHAnsi" w:hAnsiTheme="majorHAnsi"/>
          <w:spacing w:val="1"/>
          <w:sz w:val="20"/>
          <w:szCs w:val="20"/>
        </w:rPr>
        <w:t xml:space="preserve"> </w:t>
      </w:r>
      <w:r w:rsidRPr="000977F7">
        <w:rPr>
          <w:rFonts w:asciiTheme="majorHAnsi" w:hAnsiTheme="majorHAnsi"/>
          <w:sz w:val="20"/>
          <w:szCs w:val="20"/>
        </w:rPr>
        <w:t>місцезнаходженням</w:t>
      </w:r>
      <w:r w:rsidRPr="000977F7">
        <w:rPr>
          <w:rFonts w:asciiTheme="majorHAnsi" w:hAnsiTheme="majorHAnsi"/>
          <w:spacing w:val="1"/>
          <w:sz w:val="20"/>
          <w:szCs w:val="20"/>
        </w:rPr>
        <w:t xml:space="preserve"> </w:t>
      </w:r>
      <w:r w:rsidRPr="000977F7">
        <w:rPr>
          <w:rFonts w:asciiTheme="majorHAnsi" w:hAnsiTheme="majorHAnsi"/>
          <w:sz w:val="20"/>
          <w:szCs w:val="20"/>
        </w:rPr>
        <w:t>споживача</w:t>
      </w:r>
      <w:r w:rsidRPr="000977F7">
        <w:rPr>
          <w:rFonts w:asciiTheme="majorHAnsi" w:hAnsiTheme="majorHAnsi"/>
          <w:spacing w:val="1"/>
          <w:sz w:val="20"/>
          <w:szCs w:val="20"/>
        </w:rPr>
        <w:t xml:space="preserve"> </w:t>
      </w:r>
      <w:r w:rsidRPr="000977F7">
        <w:rPr>
          <w:rFonts w:asciiTheme="majorHAnsi" w:hAnsiTheme="majorHAnsi"/>
          <w:sz w:val="20"/>
          <w:szCs w:val="20"/>
        </w:rPr>
        <w:t>задовольняють</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1"/>
          <w:sz w:val="20"/>
          <w:szCs w:val="20"/>
        </w:rPr>
        <w:t xml:space="preserve"> </w:t>
      </w:r>
      <w:r w:rsidRPr="000977F7">
        <w:rPr>
          <w:rFonts w:asciiTheme="majorHAnsi" w:hAnsiTheme="majorHAnsi"/>
          <w:sz w:val="20"/>
          <w:szCs w:val="20"/>
        </w:rPr>
        <w:t>створені</w:t>
      </w:r>
      <w:r w:rsidRPr="000977F7">
        <w:rPr>
          <w:rFonts w:asciiTheme="majorHAnsi" w:hAnsiTheme="majorHAnsi"/>
          <w:spacing w:val="1"/>
          <w:sz w:val="20"/>
          <w:szCs w:val="20"/>
        </w:rPr>
        <w:t xml:space="preserve"> </w:t>
      </w:r>
      <w:r w:rsidRPr="000977F7">
        <w:rPr>
          <w:rFonts w:asciiTheme="majorHAnsi" w:hAnsiTheme="majorHAnsi"/>
          <w:sz w:val="20"/>
          <w:szCs w:val="20"/>
        </w:rPr>
        <w:t>власником</w:t>
      </w:r>
      <w:r w:rsidRPr="000977F7">
        <w:rPr>
          <w:rFonts w:asciiTheme="majorHAnsi" w:hAnsiTheme="majorHAnsi"/>
          <w:spacing w:val="1"/>
          <w:sz w:val="20"/>
          <w:szCs w:val="20"/>
        </w:rPr>
        <w:t xml:space="preserve"> </w:t>
      </w:r>
      <w:r w:rsidRPr="000977F7">
        <w:rPr>
          <w:rFonts w:asciiTheme="majorHAnsi" w:hAnsiTheme="majorHAnsi"/>
          <w:sz w:val="20"/>
          <w:szCs w:val="20"/>
        </w:rPr>
        <w:t>продавця</w:t>
      </w:r>
      <w:r w:rsidRPr="000977F7">
        <w:rPr>
          <w:rFonts w:asciiTheme="majorHAnsi" w:hAnsiTheme="majorHAnsi"/>
          <w:spacing w:val="1"/>
          <w:sz w:val="20"/>
          <w:szCs w:val="20"/>
        </w:rPr>
        <w:t xml:space="preserve"> </w:t>
      </w:r>
      <w:r w:rsidRPr="000977F7">
        <w:rPr>
          <w:rFonts w:asciiTheme="majorHAnsi" w:hAnsiTheme="majorHAnsi"/>
          <w:sz w:val="20"/>
          <w:szCs w:val="20"/>
        </w:rPr>
        <w:t>торговельні</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філії,</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здійснюють</w:t>
      </w:r>
      <w:r w:rsidRPr="000977F7">
        <w:rPr>
          <w:rFonts w:asciiTheme="majorHAnsi" w:hAnsiTheme="majorHAnsi"/>
          <w:spacing w:val="1"/>
          <w:sz w:val="20"/>
          <w:szCs w:val="20"/>
        </w:rPr>
        <w:t xml:space="preserve"> </w:t>
      </w:r>
      <w:r w:rsidRPr="000977F7">
        <w:rPr>
          <w:rFonts w:asciiTheme="majorHAnsi" w:hAnsiTheme="majorHAnsi"/>
          <w:sz w:val="20"/>
          <w:szCs w:val="20"/>
        </w:rPr>
        <w:t>продаж аналогічних придбаним споживачем товарів,</w:t>
      </w:r>
      <w:r w:rsidRPr="000977F7">
        <w:rPr>
          <w:rFonts w:asciiTheme="majorHAnsi" w:hAnsiTheme="majorHAnsi"/>
          <w:spacing w:val="1"/>
          <w:sz w:val="20"/>
          <w:szCs w:val="20"/>
        </w:rPr>
        <w:t xml:space="preserve"> </w:t>
      </w:r>
      <w:r w:rsidRPr="000977F7">
        <w:rPr>
          <w:rFonts w:asciiTheme="majorHAnsi" w:hAnsiTheme="majorHAnsi"/>
          <w:sz w:val="20"/>
          <w:szCs w:val="20"/>
        </w:rPr>
        <w:t>або підприємства, на які ці функції покладено на підставі</w:t>
      </w:r>
      <w:r w:rsidRPr="000977F7">
        <w:rPr>
          <w:rFonts w:asciiTheme="majorHAnsi" w:hAnsiTheme="majorHAnsi"/>
          <w:spacing w:val="1"/>
          <w:sz w:val="20"/>
          <w:szCs w:val="20"/>
        </w:rPr>
        <w:t xml:space="preserve"> </w:t>
      </w:r>
      <w:r w:rsidRPr="000977F7">
        <w:rPr>
          <w:rFonts w:asciiTheme="majorHAnsi" w:hAnsiTheme="majorHAnsi"/>
          <w:sz w:val="20"/>
          <w:szCs w:val="20"/>
        </w:rPr>
        <w:t>договору.</w:t>
      </w:r>
      <w:r w:rsidRPr="000977F7">
        <w:rPr>
          <w:rFonts w:asciiTheme="majorHAnsi" w:hAnsiTheme="majorHAnsi"/>
          <w:spacing w:val="1"/>
          <w:sz w:val="20"/>
          <w:szCs w:val="20"/>
        </w:rPr>
        <w:t xml:space="preserve"> </w:t>
      </w:r>
      <w:r w:rsidRPr="000977F7">
        <w:rPr>
          <w:rFonts w:asciiTheme="majorHAnsi" w:hAnsiTheme="majorHAnsi"/>
          <w:sz w:val="20"/>
          <w:szCs w:val="20"/>
        </w:rPr>
        <w:t>Функції</w:t>
      </w:r>
      <w:r w:rsidRPr="000977F7">
        <w:rPr>
          <w:rFonts w:asciiTheme="majorHAnsi" w:hAnsiTheme="majorHAnsi"/>
          <w:spacing w:val="1"/>
          <w:sz w:val="20"/>
          <w:szCs w:val="20"/>
        </w:rPr>
        <w:t xml:space="preserve"> </w:t>
      </w:r>
      <w:r w:rsidRPr="000977F7">
        <w:rPr>
          <w:rFonts w:asciiTheme="majorHAnsi" w:hAnsiTheme="majorHAnsi"/>
          <w:sz w:val="20"/>
          <w:szCs w:val="20"/>
        </w:rPr>
        <w:t>представників</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 - виробників</w:t>
      </w:r>
      <w:r w:rsidRPr="000977F7">
        <w:rPr>
          <w:rFonts w:asciiTheme="majorHAnsi" w:hAnsiTheme="majorHAnsi"/>
          <w:spacing w:val="1"/>
          <w:sz w:val="20"/>
          <w:szCs w:val="20"/>
        </w:rPr>
        <w:t xml:space="preserve"> </w:t>
      </w:r>
      <w:r w:rsidRPr="000977F7">
        <w:rPr>
          <w:rFonts w:asciiTheme="majorHAnsi" w:hAnsiTheme="majorHAnsi"/>
          <w:sz w:val="20"/>
          <w:szCs w:val="20"/>
        </w:rPr>
        <w:t>виконують</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представництва</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філії,</w:t>
      </w:r>
      <w:r w:rsidRPr="000977F7">
        <w:rPr>
          <w:rFonts w:asciiTheme="majorHAnsi" w:hAnsiTheme="majorHAnsi"/>
          <w:spacing w:val="1"/>
          <w:sz w:val="20"/>
          <w:szCs w:val="20"/>
        </w:rPr>
        <w:t xml:space="preserve"> </w:t>
      </w:r>
      <w:r w:rsidRPr="000977F7">
        <w:rPr>
          <w:rFonts w:asciiTheme="majorHAnsi" w:hAnsiTheme="majorHAnsi"/>
          <w:sz w:val="20"/>
          <w:szCs w:val="20"/>
        </w:rPr>
        <w:t>створені виробниками для цієї мети, або 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задовольняють</w:t>
      </w:r>
      <w:r w:rsidRPr="000977F7">
        <w:rPr>
          <w:rFonts w:asciiTheme="majorHAnsi" w:hAnsiTheme="majorHAnsi"/>
          <w:spacing w:val="1"/>
          <w:sz w:val="20"/>
          <w:szCs w:val="20"/>
        </w:rPr>
        <w:t xml:space="preserve"> </w:t>
      </w:r>
      <w:r w:rsidRPr="000977F7">
        <w:rPr>
          <w:rFonts w:asciiTheme="majorHAnsi" w:hAnsiTheme="majorHAnsi"/>
          <w:sz w:val="20"/>
          <w:szCs w:val="20"/>
        </w:rPr>
        <w:t>зазначені</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підставі</w:t>
      </w:r>
      <w:r w:rsidRPr="000977F7">
        <w:rPr>
          <w:rFonts w:asciiTheme="majorHAnsi" w:hAnsiTheme="majorHAnsi"/>
          <w:spacing w:val="-47"/>
          <w:sz w:val="20"/>
          <w:szCs w:val="20"/>
        </w:rPr>
        <w:t xml:space="preserve"> </w:t>
      </w:r>
      <w:r w:rsidRPr="000977F7">
        <w:rPr>
          <w:rFonts w:asciiTheme="majorHAnsi" w:hAnsiTheme="majorHAnsi"/>
          <w:sz w:val="20"/>
          <w:szCs w:val="20"/>
        </w:rPr>
        <w:t>договору</w:t>
      </w:r>
      <w:r w:rsidRPr="000977F7">
        <w:rPr>
          <w:rFonts w:asciiTheme="majorHAnsi" w:hAnsiTheme="majorHAnsi"/>
          <w:spacing w:val="-5"/>
          <w:sz w:val="20"/>
          <w:szCs w:val="20"/>
        </w:rPr>
        <w:t xml:space="preserve"> </w:t>
      </w:r>
      <w:r w:rsidRPr="000977F7">
        <w:rPr>
          <w:rFonts w:asciiTheme="majorHAnsi" w:hAnsiTheme="majorHAnsi"/>
          <w:sz w:val="20"/>
          <w:szCs w:val="20"/>
        </w:rPr>
        <w:t>з виробником.</w:t>
      </w:r>
    </w:p>
    <w:p w14:paraId="7EF3C9A3" w14:textId="77777777" w:rsidR="0097612F" w:rsidRPr="000977F7" w:rsidRDefault="0097612F" w:rsidP="00FD39A4">
      <w:pPr>
        <w:pStyle w:val="ac"/>
        <w:widowControl w:val="0"/>
        <w:numPr>
          <w:ilvl w:val="0"/>
          <w:numId w:val="105"/>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Продавець і виробник під час продажу (реалізації)</w:t>
      </w:r>
      <w:r w:rsidRPr="000977F7">
        <w:rPr>
          <w:rFonts w:asciiTheme="majorHAnsi" w:hAnsiTheme="majorHAnsi"/>
          <w:spacing w:val="1"/>
          <w:sz w:val="20"/>
          <w:szCs w:val="20"/>
        </w:rPr>
        <w:t xml:space="preserve"> </w:t>
      </w:r>
      <w:r w:rsidRPr="000977F7">
        <w:rPr>
          <w:rFonts w:asciiTheme="majorHAnsi" w:hAnsiTheme="majorHAnsi"/>
          <w:sz w:val="20"/>
          <w:szCs w:val="20"/>
        </w:rPr>
        <w:t>товару зобов'язані інформувати споживача про підприємства, що задовольняють вимоги, встановлені частинами</w:t>
      </w:r>
      <w:r w:rsidRPr="000977F7">
        <w:rPr>
          <w:rFonts w:asciiTheme="majorHAnsi" w:hAnsiTheme="majorHAnsi"/>
          <w:spacing w:val="41"/>
          <w:sz w:val="20"/>
          <w:szCs w:val="20"/>
        </w:rPr>
        <w:t xml:space="preserve"> </w:t>
      </w:r>
      <w:r w:rsidRPr="000977F7">
        <w:rPr>
          <w:rFonts w:asciiTheme="majorHAnsi" w:hAnsiTheme="majorHAnsi"/>
          <w:sz w:val="20"/>
          <w:szCs w:val="20"/>
        </w:rPr>
        <w:t>першою</w:t>
      </w:r>
      <w:r w:rsidRPr="000977F7">
        <w:rPr>
          <w:rFonts w:asciiTheme="majorHAnsi" w:hAnsiTheme="majorHAnsi"/>
          <w:spacing w:val="42"/>
          <w:sz w:val="20"/>
          <w:szCs w:val="20"/>
        </w:rPr>
        <w:t xml:space="preserve"> </w:t>
      </w:r>
      <w:r w:rsidRPr="000977F7">
        <w:rPr>
          <w:rFonts w:asciiTheme="majorHAnsi" w:hAnsiTheme="majorHAnsi"/>
          <w:sz w:val="20"/>
          <w:szCs w:val="20"/>
        </w:rPr>
        <w:t>і</w:t>
      </w:r>
      <w:r w:rsidRPr="000977F7">
        <w:rPr>
          <w:rFonts w:asciiTheme="majorHAnsi" w:hAnsiTheme="majorHAnsi"/>
          <w:spacing w:val="44"/>
          <w:sz w:val="20"/>
          <w:szCs w:val="20"/>
        </w:rPr>
        <w:t xml:space="preserve"> </w:t>
      </w:r>
      <w:r w:rsidRPr="000977F7">
        <w:rPr>
          <w:rFonts w:asciiTheme="majorHAnsi" w:hAnsiTheme="majorHAnsi"/>
          <w:sz w:val="20"/>
          <w:szCs w:val="20"/>
        </w:rPr>
        <w:t>третьою</w:t>
      </w:r>
      <w:r w:rsidRPr="000977F7">
        <w:rPr>
          <w:rFonts w:asciiTheme="majorHAnsi" w:hAnsiTheme="majorHAnsi"/>
          <w:spacing w:val="45"/>
          <w:sz w:val="20"/>
          <w:szCs w:val="20"/>
        </w:rPr>
        <w:t xml:space="preserve"> </w:t>
      </w:r>
      <w:r w:rsidRPr="000977F7">
        <w:rPr>
          <w:rFonts w:asciiTheme="majorHAnsi" w:hAnsiTheme="majorHAnsi"/>
          <w:sz w:val="20"/>
          <w:szCs w:val="20"/>
        </w:rPr>
        <w:t>цієї</w:t>
      </w:r>
      <w:r w:rsidRPr="000977F7">
        <w:rPr>
          <w:rFonts w:asciiTheme="majorHAnsi" w:hAnsiTheme="majorHAnsi"/>
          <w:spacing w:val="42"/>
          <w:sz w:val="20"/>
          <w:szCs w:val="20"/>
        </w:rPr>
        <w:t xml:space="preserve"> </w:t>
      </w:r>
      <w:r w:rsidRPr="000977F7">
        <w:rPr>
          <w:rFonts w:asciiTheme="majorHAnsi" w:hAnsiTheme="majorHAnsi"/>
          <w:sz w:val="20"/>
          <w:szCs w:val="20"/>
        </w:rPr>
        <w:t>статті.</w:t>
      </w:r>
      <w:r w:rsidRPr="000977F7">
        <w:rPr>
          <w:rFonts w:asciiTheme="majorHAnsi" w:hAnsiTheme="majorHAnsi"/>
          <w:spacing w:val="43"/>
          <w:sz w:val="20"/>
          <w:szCs w:val="20"/>
        </w:rPr>
        <w:t xml:space="preserve"> </w:t>
      </w:r>
      <w:r w:rsidRPr="000977F7">
        <w:rPr>
          <w:rFonts w:asciiTheme="majorHAnsi" w:hAnsiTheme="majorHAnsi"/>
          <w:sz w:val="20"/>
          <w:szCs w:val="20"/>
        </w:rPr>
        <w:t>За</w:t>
      </w:r>
      <w:r w:rsidRPr="000977F7">
        <w:rPr>
          <w:rFonts w:asciiTheme="majorHAnsi" w:hAnsiTheme="majorHAnsi"/>
          <w:spacing w:val="43"/>
          <w:sz w:val="20"/>
          <w:szCs w:val="20"/>
        </w:rPr>
        <w:t xml:space="preserve"> </w:t>
      </w:r>
      <w:r w:rsidRPr="000977F7">
        <w:rPr>
          <w:rFonts w:asciiTheme="majorHAnsi" w:hAnsiTheme="majorHAnsi"/>
          <w:sz w:val="20"/>
          <w:szCs w:val="20"/>
        </w:rPr>
        <w:t>ненадання такої</w:t>
      </w:r>
      <w:r w:rsidRPr="000977F7">
        <w:rPr>
          <w:rFonts w:asciiTheme="majorHAnsi" w:hAnsiTheme="majorHAnsi"/>
          <w:spacing w:val="25"/>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27"/>
          <w:sz w:val="20"/>
          <w:szCs w:val="20"/>
        </w:rPr>
        <w:t xml:space="preserve"> </w:t>
      </w:r>
      <w:r w:rsidRPr="000977F7">
        <w:rPr>
          <w:rFonts w:asciiTheme="majorHAnsi" w:hAnsiTheme="majorHAnsi"/>
          <w:sz w:val="20"/>
          <w:szCs w:val="20"/>
        </w:rPr>
        <w:t>встановлюється</w:t>
      </w:r>
      <w:r w:rsidRPr="000977F7">
        <w:rPr>
          <w:rFonts w:asciiTheme="majorHAnsi" w:hAnsiTheme="majorHAnsi"/>
          <w:spacing w:val="27"/>
          <w:sz w:val="20"/>
          <w:szCs w:val="20"/>
        </w:rPr>
        <w:t xml:space="preserve"> </w:t>
      </w:r>
      <w:r w:rsidRPr="000977F7">
        <w:rPr>
          <w:rFonts w:asciiTheme="majorHAnsi" w:hAnsiTheme="majorHAnsi"/>
          <w:sz w:val="20"/>
          <w:szCs w:val="20"/>
        </w:rPr>
        <w:t>відповідальність</w:t>
      </w:r>
      <w:r w:rsidRPr="000977F7">
        <w:rPr>
          <w:rFonts w:asciiTheme="majorHAnsi" w:hAnsiTheme="majorHAnsi"/>
          <w:spacing w:val="-47"/>
          <w:sz w:val="20"/>
          <w:szCs w:val="20"/>
        </w:rPr>
        <w:t xml:space="preserve"> </w:t>
      </w:r>
      <w:r w:rsidRPr="000977F7">
        <w:rPr>
          <w:rFonts w:asciiTheme="majorHAnsi" w:hAnsiTheme="majorHAnsi"/>
          <w:sz w:val="20"/>
          <w:szCs w:val="20"/>
        </w:rPr>
        <w:t>згідно із</w:t>
      </w:r>
      <w:r w:rsidRPr="000977F7">
        <w:rPr>
          <w:rFonts w:asciiTheme="majorHAnsi" w:hAnsiTheme="majorHAnsi"/>
          <w:spacing w:val="-1"/>
          <w:sz w:val="20"/>
          <w:szCs w:val="20"/>
        </w:rPr>
        <w:t xml:space="preserve"> </w:t>
      </w:r>
      <w:r w:rsidRPr="000977F7">
        <w:rPr>
          <w:rFonts w:asciiTheme="majorHAnsi" w:hAnsiTheme="majorHAnsi"/>
          <w:sz w:val="20"/>
          <w:szCs w:val="20"/>
        </w:rPr>
        <w:t>статтями</w:t>
      </w:r>
      <w:r w:rsidRPr="000977F7">
        <w:rPr>
          <w:rFonts w:asciiTheme="majorHAnsi" w:hAnsiTheme="majorHAnsi"/>
          <w:spacing w:val="-1"/>
          <w:sz w:val="20"/>
          <w:szCs w:val="20"/>
        </w:rPr>
        <w:t xml:space="preserve"> </w:t>
      </w:r>
      <w:r w:rsidRPr="000977F7">
        <w:rPr>
          <w:rFonts w:asciiTheme="majorHAnsi" w:hAnsiTheme="majorHAnsi"/>
          <w:sz w:val="20"/>
          <w:szCs w:val="20"/>
        </w:rPr>
        <w:t>15 і</w:t>
      </w:r>
      <w:r w:rsidRPr="000977F7">
        <w:rPr>
          <w:rFonts w:asciiTheme="majorHAnsi" w:hAnsiTheme="majorHAnsi"/>
          <w:spacing w:val="-1"/>
          <w:sz w:val="20"/>
          <w:szCs w:val="20"/>
        </w:rPr>
        <w:t xml:space="preserve"> </w:t>
      </w:r>
      <w:r w:rsidRPr="000977F7">
        <w:rPr>
          <w:rFonts w:asciiTheme="majorHAnsi" w:hAnsiTheme="majorHAnsi"/>
          <w:sz w:val="20"/>
          <w:szCs w:val="20"/>
        </w:rPr>
        <w:t>23 цього</w:t>
      </w:r>
      <w:r w:rsidRPr="000977F7">
        <w:rPr>
          <w:rFonts w:asciiTheme="majorHAnsi" w:hAnsiTheme="majorHAnsi"/>
          <w:spacing w:val="1"/>
          <w:sz w:val="20"/>
          <w:szCs w:val="20"/>
        </w:rPr>
        <w:t xml:space="preserve"> </w:t>
      </w:r>
      <w:r w:rsidRPr="000977F7">
        <w:rPr>
          <w:rFonts w:asciiTheme="majorHAnsi" w:hAnsiTheme="majorHAnsi"/>
          <w:sz w:val="20"/>
          <w:szCs w:val="20"/>
        </w:rPr>
        <w:t>Закону.</w:t>
      </w:r>
    </w:p>
    <w:p w14:paraId="698B7689" w14:textId="77777777" w:rsidR="0097612F" w:rsidRPr="000977F7" w:rsidRDefault="0097612F" w:rsidP="00FD39A4">
      <w:pPr>
        <w:pStyle w:val="ac"/>
        <w:widowControl w:val="0"/>
        <w:numPr>
          <w:ilvl w:val="0"/>
          <w:numId w:val="105"/>
        </w:numPr>
        <w:tabs>
          <w:tab w:val="left" w:pos="284"/>
          <w:tab w:val="left" w:pos="58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Продавець,</w:t>
      </w:r>
      <w:r w:rsidRPr="000977F7">
        <w:rPr>
          <w:rFonts w:asciiTheme="majorHAnsi" w:hAnsiTheme="majorHAnsi"/>
          <w:spacing w:val="15"/>
          <w:sz w:val="20"/>
          <w:szCs w:val="20"/>
        </w:rPr>
        <w:t xml:space="preserve"> </w:t>
      </w:r>
      <w:r w:rsidRPr="000977F7">
        <w:rPr>
          <w:rFonts w:asciiTheme="majorHAnsi" w:hAnsiTheme="majorHAnsi"/>
          <w:sz w:val="20"/>
          <w:szCs w:val="20"/>
        </w:rPr>
        <w:t>виробник</w:t>
      </w:r>
      <w:r w:rsidRPr="000977F7">
        <w:rPr>
          <w:rFonts w:asciiTheme="majorHAnsi" w:hAnsiTheme="majorHAnsi"/>
          <w:spacing w:val="14"/>
          <w:sz w:val="20"/>
          <w:szCs w:val="20"/>
        </w:rPr>
        <w:t xml:space="preserve"> </w:t>
      </w:r>
      <w:r w:rsidRPr="000977F7">
        <w:rPr>
          <w:rFonts w:asciiTheme="majorHAnsi" w:hAnsiTheme="majorHAnsi"/>
          <w:sz w:val="20"/>
          <w:szCs w:val="20"/>
        </w:rPr>
        <w:t>(підприємство,</w:t>
      </w:r>
      <w:r w:rsidRPr="000977F7">
        <w:rPr>
          <w:rFonts w:asciiTheme="majorHAnsi" w:hAnsiTheme="majorHAnsi"/>
          <w:spacing w:val="14"/>
          <w:sz w:val="20"/>
          <w:szCs w:val="20"/>
        </w:rPr>
        <w:t xml:space="preserve"> </w:t>
      </w:r>
      <w:r w:rsidRPr="000977F7">
        <w:rPr>
          <w:rFonts w:asciiTheme="majorHAnsi" w:hAnsiTheme="majorHAnsi"/>
          <w:sz w:val="20"/>
          <w:szCs w:val="20"/>
        </w:rPr>
        <w:t>що</w:t>
      </w:r>
      <w:r w:rsidRPr="000977F7">
        <w:rPr>
          <w:rFonts w:asciiTheme="majorHAnsi" w:hAnsiTheme="majorHAnsi"/>
          <w:spacing w:val="16"/>
          <w:sz w:val="20"/>
          <w:szCs w:val="20"/>
        </w:rPr>
        <w:t xml:space="preserve"> </w:t>
      </w:r>
      <w:r w:rsidRPr="000977F7">
        <w:rPr>
          <w:rFonts w:asciiTheme="majorHAnsi" w:hAnsiTheme="majorHAnsi"/>
          <w:sz w:val="20"/>
          <w:szCs w:val="20"/>
        </w:rPr>
        <w:t>задовольняє вимоги споживача, встановлені частиною першою</w:t>
      </w:r>
      <w:r w:rsidRPr="000977F7">
        <w:rPr>
          <w:rFonts w:asciiTheme="majorHAnsi" w:hAnsiTheme="majorHAnsi"/>
          <w:spacing w:val="-47"/>
          <w:sz w:val="20"/>
          <w:szCs w:val="20"/>
        </w:rPr>
        <w:t xml:space="preserve"> </w:t>
      </w:r>
      <w:r w:rsidRPr="000977F7">
        <w:rPr>
          <w:rFonts w:asciiTheme="majorHAnsi" w:hAnsiTheme="majorHAnsi"/>
          <w:sz w:val="20"/>
          <w:szCs w:val="20"/>
        </w:rPr>
        <w:t>цієї</w:t>
      </w:r>
      <w:r w:rsidRPr="000977F7">
        <w:rPr>
          <w:rFonts w:asciiTheme="majorHAnsi" w:hAnsiTheme="majorHAnsi"/>
          <w:spacing w:val="18"/>
          <w:sz w:val="20"/>
          <w:szCs w:val="20"/>
        </w:rPr>
        <w:t xml:space="preserve"> </w:t>
      </w:r>
      <w:r w:rsidRPr="000977F7">
        <w:rPr>
          <w:rFonts w:asciiTheme="majorHAnsi" w:hAnsiTheme="majorHAnsi"/>
          <w:sz w:val="20"/>
          <w:szCs w:val="20"/>
        </w:rPr>
        <w:t>статті)</w:t>
      </w:r>
      <w:r w:rsidRPr="000977F7">
        <w:rPr>
          <w:rFonts w:asciiTheme="majorHAnsi" w:hAnsiTheme="majorHAnsi"/>
          <w:spacing w:val="18"/>
          <w:sz w:val="20"/>
          <w:szCs w:val="20"/>
        </w:rPr>
        <w:t xml:space="preserve"> </w:t>
      </w:r>
      <w:r w:rsidRPr="000977F7">
        <w:rPr>
          <w:rFonts w:asciiTheme="majorHAnsi" w:hAnsiTheme="majorHAnsi"/>
          <w:sz w:val="20"/>
          <w:szCs w:val="20"/>
        </w:rPr>
        <w:t>зобов'язані</w:t>
      </w:r>
      <w:r w:rsidRPr="000977F7">
        <w:rPr>
          <w:rFonts w:asciiTheme="majorHAnsi" w:hAnsiTheme="majorHAnsi"/>
          <w:spacing w:val="19"/>
          <w:sz w:val="20"/>
          <w:szCs w:val="20"/>
        </w:rPr>
        <w:t xml:space="preserve"> </w:t>
      </w:r>
      <w:r w:rsidRPr="000977F7">
        <w:rPr>
          <w:rFonts w:asciiTheme="majorHAnsi" w:hAnsiTheme="majorHAnsi"/>
          <w:sz w:val="20"/>
          <w:szCs w:val="20"/>
        </w:rPr>
        <w:t>прийняти</w:t>
      </w:r>
      <w:r w:rsidRPr="000977F7">
        <w:rPr>
          <w:rFonts w:asciiTheme="majorHAnsi" w:hAnsiTheme="majorHAnsi"/>
          <w:spacing w:val="19"/>
          <w:sz w:val="20"/>
          <w:szCs w:val="20"/>
        </w:rPr>
        <w:t xml:space="preserve"> </w:t>
      </w:r>
      <w:r w:rsidRPr="000977F7">
        <w:rPr>
          <w:rFonts w:asciiTheme="majorHAnsi" w:hAnsiTheme="majorHAnsi"/>
          <w:sz w:val="20"/>
          <w:szCs w:val="20"/>
        </w:rPr>
        <w:t>товар</w:t>
      </w:r>
      <w:r w:rsidRPr="000977F7">
        <w:rPr>
          <w:rFonts w:asciiTheme="majorHAnsi" w:hAnsiTheme="majorHAnsi"/>
          <w:spacing w:val="19"/>
          <w:sz w:val="20"/>
          <w:szCs w:val="20"/>
        </w:rPr>
        <w:t xml:space="preserve"> </w:t>
      </w:r>
      <w:r w:rsidRPr="000977F7">
        <w:rPr>
          <w:rFonts w:asciiTheme="majorHAnsi" w:hAnsiTheme="majorHAnsi"/>
          <w:sz w:val="20"/>
          <w:szCs w:val="20"/>
        </w:rPr>
        <w:t>неналежної</w:t>
      </w:r>
      <w:r w:rsidRPr="000977F7">
        <w:rPr>
          <w:rFonts w:asciiTheme="majorHAnsi" w:hAnsiTheme="majorHAnsi"/>
          <w:spacing w:val="-47"/>
          <w:sz w:val="20"/>
          <w:szCs w:val="20"/>
        </w:rPr>
        <w:t xml:space="preserve"> </w:t>
      </w:r>
      <w:r w:rsidRPr="000977F7">
        <w:rPr>
          <w:rFonts w:asciiTheme="majorHAnsi" w:hAnsiTheme="majorHAnsi"/>
          <w:sz w:val="20"/>
          <w:szCs w:val="20"/>
        </w:rPr>
        <w:t>якості у споживача і задовольнити його вимоги.</w:t>
      </w:r>
      <w:r w:rsidRPr="000977F7">
        <w:rPr>
          <w:rFonts w:asciiTheme="majorHAnsi" w:hAnsiTheme="majorHAnsi"/>
          <w:spacing w:val="1"/>
          <w:sz w:val="20"/>
          <w:szCs w:val="20"/>
        </w:rPr>
        <w:t xml:space="preserve"> </w:t>
      </w:r>
      <w:r w:rsidRPr="000977F7">
        <w:rPr>
          <w:rFonts w:asciiTheme="majorHAnsi" w:hAnsiTheme="majorHAnsi"/>
          <w:sz w:val="20"/>
          <w:szCs w:val="20"/>
        </w:rPr>
        <w:t>Доставка</w:t>
      </w:r>
      <w:r w:rsidRPr="000977F7">
        <w:rPr>
          <w:rFonts w:asciiTheme="majorHAnsi" w:hAnsiTheme="majorHAnsi"/>
          <w:spacing w:val="1"/>
          <w:sz w:val="20"/>
          <w:szCs w:val="20"/>
        </w:rPr>
        <w:t xml:space="preserve"> </w:t>
      </w:r>
      <w:r w:rsidRPr="000977F7">
        <w:rPr>
          <w:rFonts w:asciiTheme="majorHAnsi" w:hAnsiTheme="majorHAnsi"/>
          <w:sz w:val="20"/>
          <w:szCs w:val="20"/>
        </w:rPr>
        <w:t>великогабаритних</w:t>
      </w:r>
      <w:r w:rsidRPr="000977F7">
        <w:rPr>
          <w:rFonts w:asciiTheme="majorHAnsi" w:hAnsiTheme="majorHAnsi"/>
          <w:spacing w:val="1"/>
          <w:sz w:val="20"/>
          <w:szCs w:val="20"/>
        </w:rPr>
        <w:t xml:space="preserve"> </w:t>
      </w:r>
      <w:r w:rsidRPr="000977F7">
        <w:rPr>
          <w:rFonts w:asciiTheme="majorHAnsi" w:hAnsiTheme="majorHAnsi"/>
          <w:sz w:val="20"/>
          <w:szCs w:val="20"/>
        </w:rPr>
        <w:t>товарів</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товарів</w:t>
      </w:r>
      <w:r w:rsidRPr="000977F7">
        <w:rPr>
          <w:rFonts w:asciiTheme="majorHAnsi" w:hAnsiTheme="majorHAnsi"/>
          <w:spacing w:val="1"/>
          <w:sz w:val="20"/>
          <w:szCs w:val="20"/>
        </w:rPr>
        <w:t xml:space="preserve"> </w:t>
      </w:r>
      <w:r w:rsidRPr="000977F7">
        <w:rPr>
          <w:rFonts w:asciiTheme="majorHAnsi" w:hAnsiTheme="majorHAnsi"/>
          <w:sz w:val="20"/>
          <w:szCs w:val="20"/>
        </w:rPr>
        <w:t>вагою</w:t>
      </w:r>
      <w:r w:rsidRPr="000977F7">
        <w:rPr>
          <w:rFonts w:asciiTheme="majorHAnsi" w:hAnsiTheme="majorHAnsi"/>
          <w:spacing w:val="-47"/>
          <w:sz w:val="20"/>
          <w:szCs w:val="20"/>
        </w:rPr>
        <w:t xml:space="preserve"> п</w:t>
      </w:r>
      <w:r w:rsidRPr="000977F7">
        <w:rPr>
          <w:rFonts w:asciiTheme="majorHAnsi" w:hAnsiTheme="majorHAnsi"/>
          <w:sz w:val="20"/>
          <w:szCs w:val="20"/>
        </w:rPr>
        <w:t>онад</w:t>
      </w:r>
      <w:r w:rsidRPr="000977F7">
        <w:rPr>
          <w:rFonts w:asciiTheme="majorHAnsi" w:hAnsiTheme="majorHAnsi"/>
          <w:spacing w:val="16"/>
          <w:sz w:val="20"/>
          <w:szCs w:val="20"/>
        </w:rPr>
        <w:t xml:space="preserve"> </w:t>
      </w:r>
      <w:r w:rsidRPr="000977F7">
        <w:rPr>
          <w:rFonts w:asciiTheme="majorHAnsi" w:hAnsiTheme="majorHAnsi"/>
          <w:sz w:val="20"/>
          <w:szCs w:val="20"/>
        </w:rPr>
        <w:t>п'ять</w:t>
      </w:r>
      <w:r w:rsidRPr="000977F7">
        <w:rPr>
          <w:rFonts w:asciiTheme="majorHAnsi" w:hAnsiTheme="majorHAnsi"/>
          <w:spacing w:val="14"/>
          <w:sz w:val="20"/>
          <w:szCs w:val="20"/>
        </w:rPr>
        <w:t xml:space="preserve"> </w:t>
      </w:r>
      <w:r w:rsidRPr="000977F7">
        <w:rPr>
          <w:rFonts w:asciiTheme="majorHAnsi" w:hAnsiTheme="majorHAnsi"/>
          <w:sz w:val="20"/>
          <w:szCs w:val="20"/>
        </w:rPr>
        <w:t>кілограмів</w:t>
      </w:r>
      <w:r w:rsidRPr="000977F7">
        <w:rPr>
          <w:rFonts w:asciiTheme="majorHAnsi" w:hAnsiTheme="majorHAnsi"/>
          <w:spacing w:val="15"/>
          <w:sz w:val="20"/>
          <w:szCs w:val="20"/>
        </w:rPr>
        <w:t xml:space="preserve"> </w:t>
      </w:r>
      <w:r w:rsidRPr="000977F7">
        <w:rPr>
          <w:rFonts w:asciiTheme="majorHAnsi" w:hAnsiTheme="majorHAnsi"/>
          <w:sz w:val="20"/>
          <w:szCs w:val="20"/>
        </w:rPr>
        <w:t>продавцю,</w:t>
      </w:r>
      <w:r w:rsidRPr="000977F7">
        <w:rPr>
          <w:rFonts w:asciiTheme="majorHAnsi" w:hAnsiTheme="majorHAnsi"/>
          <w:spacing w:val="14"/>
          <w:sz w:val="20"/>
          <w:szCs w:val="20"/>
        </w:rPr>
        <w:t xml:space="preserve"> </w:t>
      </w:r>
      <w:r w:rsidRPr="000977F7">
        <w:rPr>
          <w:rFonts w:asciiTheme="majorHAnsi" w:hAnsiTheme="majorHAnsi"/>
          <w:sz w:val="20"/>
          <w:szCs w:val="20"/>
        </w:rPr>
        <w:t>виробнику</w:t>
      </w:r>
      <w:r w:rsidRPr="000977F7">
        <w:rPr>
          <w:rFonts w:asciiTheme="majorHAnsi" w:hAnsiTheme="majorHAnsi"/>
          <w:spacing w:val="10"/>
          <w:sz w:val="20"/>
          <w:szCs w:val="20"/>
        </w:rPr>
        <w:t xml:space="preserve"> </w:t>
      </w:r>
      <w:r w:rsidRPr="000977F7">
        <w:rPr>
          <w:rFonts w:asciiTheme="majorHAnsi" w:hAnsiTheme="majorHAnsi"/>
          <w:sz w:val="20"/>
          <w:szCs w:val="20"/>
        </w:rPr>
        <w:t>(підприємству,</w:t>
      </w:r>
      <w:r w:rsidRPr="000977F7">
        <w:rPr>
          <w:rFonts w:asciiTheme="majorHAnsi" w:hAnsiTheme="majorHAnsi"/>
          <w:spacing w:val="35"/>
          <w:sz w:val="20"/>
          <w:szCs w:val="20"/>
        </w:rPr>
        <w:t xml:space="preserve"> </w:t>
      </w:r>
      <w:r w:rsidRPr="000977F7">
        <w:rPr>
          <w:rFonts w:asciiTheme="majorHAnsi" w:hAnsiTheme="majorHAnsi"/>
          <w:sz w:val="20"/>
          <w:szCs w:val="20"/>
        </w:rPr>
        <w:t>що</w:t>
      </w:r>
      <w:r w:rsidRPr="000977F7">
        <w:rPr>
          <w:rFonts w:asciiTheme="majorHAnsi" w:hAnsiTheme="majorHAnsi"/>
          <w:spacing w:val="36"/>
          <w:sz w:val="20"/>
          <w:szCs w:val="20"/>
        </w:rPr>
        <w:t xml:space="preserve"> </w:t>
      </w:r>
      <w:r w:rsidRPr="000977F7">
        <w:rPr>
          <w:rFonts w:asciiTheme="majorHAnsi" w:hAnsiTheme="majorHAnsi"/>
          <w:sz w:val="20"/>
          <w:szCs w:val="20"/>
        </w:rPr>
        <w:t>задовольняє</w:t>
      </w:r>
      <w:r w:rsidRPr="000977F7">
        <w:rPr>
          <w:rFonts w:asciiTheme="majorHAnsi" w:hAnsiTheme="majorHAnsi"/>
          <w:spacing w:val="37"/>
          <w:sz w:val="20"/>
          <w:szCs w:val="20"/>
        </w:rPr>
        <w:t xml:space="preserve"> </w:t>
      </w:r>
      <w:r w:rsidRPr="000977F7">
        <w:rPr>
          <w:rFonts w:asciiTheme="majorHAnsi" w:hAnsiTheme="majorHAnsi"/>
          <w:sz w:val="20"/>
          <w:szCs w:val="20"/>
        </w:rPr>
        <w:t>вимоги</w:t>
      </w:r>
      <w:r w:rsidRPr="000977F7">
        <w:rPr>
          <w:rFonts w:asciiTheme="majorHAnsi" w:hAnsiTheme="majorHAnsi"/>
          <w:spacing w:val="34"/>
          <w:sz w:val="20"/>
          <w:szCs w:val="20"/>
        </w:rPr>
        <w:t xml:space="preserve"> </w:t>
      </w:r>
      <w:r w:rsidRPr="000977F7">
        <w:rPr>
          <w:rFonts w:asciiTheme="majorHAnsi" w:hAnsiTheme="majorHAnsi"/>
          <w:sz w:val="20"/>
          <w:szCs w:val="20"/>
        </w:rPr>
        <w:t>споживача,</w:t>
      </w:r>
      <w:r w:rsidRPr="000977F7">
        <w:rPr>
          <w:rFonts w:asciiTheme="majorHAnsi" w:hAnsiTheme="majorHAnsi"/>
          <w:spacing w:val="36"/>
          <w:sz w:val="20"/>
          <w:szCs w:val="20"/>
        </w:rPr>
        <w:t xml:space="preserve"> </w:t>
      </w:r>
      <w:r w:rsidRPr="000977F7">
        <w:rPr>
          <w:rFonts w:asciiTheme="majorHAnsi" w:hAnsiTheme="majorHAnsi"/>
          <w:sz w:val="20"/>
          <w:szCs w:val="20"/>
        </w:rPr>
        <w:t>встановлені</w:t>
      </w:r>
      <w:r w:rsidRPr="000977F7">
        <w:rPr>
          <w:rFonts w:asciiTheme="majorHAnsi" w:hAnsiTheme="majorHAnsi"/>
          <w:spacing w:val="34"/>
          <w:sz w:val="20"/>
          <w:szCs w:val="20"/>
        </w:rPr>
        <w:t xml:space="preserve"> </w:t>
      </w:r>
      <w:r w:rsidRPr="000977F7">
        <w:rPr>
          <w:rFonts w:asciiTheme="majorHAnsi" w:hAnsiTheme="majorHAnsi"/>
          <w:sz w:val="20"/>
          <w:szCs w:val="20"/>
        </w:rPr>
        <w:t>частиною</w:t>
      </w:r>
      <w:r w:rsidRPr="000977F7">
        <w:rPr>
          <w:rFonts w:asciiTheme="majorHAnsi" w:hAnsiTheme="majorHAnsi"/>
          <w:spacing w:val="34"/>
          <w:sz w:val="20"/>
          <w:szCs w:val="20"/>
        </w:rPr>
        <w:t xml:space="preserve"> </w:t>
      </w:r>
      <w:r w:rsidRPr="000977F7">
        <w:rPr>
          <w:rFonts w:asciiTheme="majorHAnsi" w:hAnsiTheme="majorHAnsi"/>
          <w:sz w:val="20"/>
          <w:szCs w:val="20"/>
        </w:rPr>
        <w:t>першою</w:t>
      </w:r>
      <w:r w:rsidRPr="000977F7">
        <w:rPr>
          <w:rFonts w:asciiTheme="majorHAnsi" w:hAnsiTheme="majorHAnsi"/>
          <w:spacing w:val="35"/>
          <w:sz w:val="20"/>
          <w:szCs w:val="20"/>
        </w:rPr>
        <w:t xml:space="preserve"> </w:t>
      </w:r>
      <w:r w:rsidRPr="000977F7">
        <w:rPr>
          <w:rFonts w:asciiTheme="majorHAnsi" w:hAnsiTheme="majorHAnsi"/>
          <w:sz w:val="20"/>
          <w:szCs w:val="20"/>
        </w:rPr>
        <w:t>цієї</w:t>
      </w:r>
      <w:r w:rsidRPr="000977F7">
        <w:rPr>
          <w:rFonts w:asciiTheme="majorHAnsi" w:hAnsiTheme="majorHAnsi"/>
          <w:spacing w:val="34"/>
          <w:sz w:val="20"/>
          <w:szCs w:val="20"/>
        </w:rPr>
        <w:t xml:space="preserve"> </w:t>
      </w:r>
      <w:r w:rsidRPr="000977F7">
        <w:rPr>
          <w:rFonts w:asciiTheme="majorHAnsi" w:hAnsiTheme="majorHAnsi"/>
          <w:sz w:val="20"/>
          <w:szCs w:val="20"/>
        </w:rPr>
        <w:t>статті)</w:t>
      </w:r>
      <w:r w:rsidRPr="000977F7">
        <w:rPr>
          <w:rFonts w:asciiTheme="majorHAnsi" w:hAnsiTheme="majorHAnsi"/>
          <w:spacing w:val="33"/>
          <w:sz w:val="20"/>
          <w:szCs w:val="20"/>
        </w:rPr>
        <w:t xml:space="preserve"> </w:t>
      </w:r>
      <w:r w:rsidRPr="000977F7">
        <w:rPr>
          <w:rFonts w:asciiTheme="majorHAnsi" w:hAnsiTheme="majorHAnsi"/>
          <w:sz w:val="20"/>
          <w:szCs w:val="20"/>
        </w:rPr>
        <w:t>та</w:t>
      </w:r>
      <w:r w:rsidRPr="000977F7">
        <w:rPr>
          <w:rFonts w:asciiTheme="majorHAnsi" w:hAnsiTheme="majorHAnsi"/>
          <w:spacing w:val="34"/>
          <w:sz w:val="20"/>
          <w:szCs w:val="20"/>
        </w:rPr>
        <w:t xml:space="preserve"> </w:t>
      </w:r>
      <w:r w:rsidRPr="000977F7">
        <w:rPr>
          <w:rFonts w:asciiTheme="majorHAnsi" w:hAnsiTheme="majorHAnsi"/>
          <w:sz w:val="20"/>
          <w:szCs w:val="20"/>
        </w:rPr>
        <w:t>їх</w:t>
      </w:r>
      <w:r w:rsidRPr="000977F7">
        <w:rPr>
          <w:rFonts w:asciiTheme="majorHAnsi" w:hAnsiTheme="majorHAnsi"/>
          <w:spacing w:val="34"/>
          <w:sz w:val="20"/>
          <w:szCs w:val="20"/>
        </w:rPr>
        <w:t xml:space="preserve"> </w:t>
      </w:r>
      <w:r w:rsidRPr="000977F7">
        <w:rPr>
          <w:rFonts w:asciiTheme="majorHAnsi" w:hAnsiTheme="majorHAnsi"/>
          <w:sz w:val="20"/>
          <w:szCs w:val="20"/>
        </w:rPr>
        <w:t>повернення</w:t>
      </w:r>
      <w:r w:rsidRPr="000977F7">
        <w:rPr>
          <w:rFonts w:asciiTheme="majorHAnsi" w:hAnsiTheme="majorHAnsi"/>
          <w:spacing w:val="-47"/>
          <w:sz w:val="20"/>
          <w:szCs w:val="20"/>
        </w:rPr>
        <w:t xml:space="preserve"> </w:t>
      </w:r>
      <w:r w:rsidRPr="000977F7">
        <w:rPr>
          <w:rFonts w:asciiTheme="majorHAnsi" w:hAnsiTheme="majorHAnsi"/>
          <w:sz w:val="20"/>
          <w:szCs w:val="20"/>
        </w:rPr>
        <w:t>споживачеві</w:t>
      </w:r>
      <w:r w:rsidRPr="000977F7">
        <w:rPr>
          <w:rFonts w:asciiTheme="majorHAnsi" w:hAnsiTheme="majorHAnsi"/>
          <w:spacing w:val="1"/>
          <w:sz w:val="20"/>
          <w:szCs w:val="20"/>
        </w:rPr>
        <w:t xml:space="preserve"> </w:t>
      </w:r>
      <w:r w:rsidRPr="000977F7">
        <w:rPr>
          <w:rFonts w:asciiTheme="majorHAnsi" w:hAnsiTheme="majorHAnsi"/>
          <w:sz w:val="20"/>
          <w:szCs w:val="20"/>
        </w:rPr>
        <w:t>здійснюються</w:t>
      </w:r>
      <w:r w:rsidRPr="000977F7">
        <w:rPr>
          <w:rFonts w:asciiTheme="majorHAnsi" w:hAnsiTheme="majorHAnsi"/>
          <w:spacing w:val="1"/>
          <w:sz w:val="20"/>
          <w:szCs w:val="20"/>
        </w:rPr>
        <w:t xml:space="preserve"> </w:t>
      </w:r>
      <w:r w:rsidRPr="000977F7">
        <w:rPr>
          <w:rFonts w:asciiTheme="majorHAnsi" w:hAnsiTheme="majorHAnsi"/>
          <w:sz w:val="20"/>
          <w:szCs w:val="20"/>
        </w:rPr>
        <w:t>за рахунок</w:t>
      </w:r>
      <w:r w:rsidRPr="000977F7">
        <w:rPr>
          <w:rFonts w:asciiTheme="majorHAnsi" w:hAnsiTheme="majorHAnsi"/>
          <w:spacing w:val="1"/>
          <w:sz w:val="20"/>
          <w:szCs w:val="20"/>
        </w:rPr>
        <w:t xml:space="preserve"> </w:t>
      </w:r>
      <w:r w:rsidRPr="000977F7">
        <w:rPr>
          <w:rFonts w:asciiTheme="majorHAnsi" w:hAnsiTheme="majorHAnsi"/>
          <w:sz w:val="20"/>
          <w:szCs w:val="20"/>
        </w:rPr>
        <w:t>продавця,</w:t>
      </w:r>
      <w:r w:rsidRPr="000977F7">
        <w:rPr>
          <w:rFonts w:asciiTheme="majorHAnsi" w:hAnsiTheme="majorHAnsi"/>
          <w:spacing w:val="1"/>
          <w:sz w:val="20"/>
          <w:szCs w:val="20"/>
        </w:rPr>
        <w:t xml:space="preserve"> </w:t>
      </w:r>
      <w:r w:rsidRPr="000977F7">
        <w:rPr>
          <w:rFonts w:asciiTheme="majorHAnsi" w:hAnsiTheme="majorHAnsi"/>
          <w:sz w:val="20"/>
          <w:szCs w:val="20"/>
        </w:rPr>
        <w:t>виробника</w:t>
      </w:r>
      <w:r w:rsidRPr="000977F7">
        <w:rPr>
          <w:rFonts w:asciiTheme="majorHAnsi" w:hAnsiTheme="majorHAnsi"/>
          <w:spacing w:val="35"/>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35"/>
          <w:sz w:val="20"/>
          <w:szCs w:val="20"/>
        </w:rPr>
        <w:t xml:space="preserve"> </w:t>
      </w:r>
      <w:r w:rsidRPr="000977F7">
        <w:rPr>
          <w:rFonts w:asciiTheme="majorHAnsi" w:hAnsiTheme="majorHAnsi"/>
          <w:sz w:val="20"/>
          <w:szCs w:val="20"/>
        </w:rPr>
        <w:t>що</w:t>
      </w:r>
      <w:r w:rsidRPr="000977F7">
        <w:rPr>
          <w:rFonts w:asciiTheme="majorHAnsi" w:hAnsiTheme="majorHAnsi"/>
          <w:spacing w:val="35"/>
          <w:sz w:val="20"/>
          <w:szCs w:val="20"/>
        </w:rPr>
        <w:t xml:space="preserve"> </w:t>
      </w:r>
      <w:r w:rsidRPr="000977F7">
        <w:rPr>
          <w:rFonts w:asciiTheme="majorHAnsi" w:hAnsiTheme="majorHAnsi"/>
          <w:sz w:val="20"/>
          <w:szCs w:val="20"/>
        </w:rPr>
        <w:t>задовольняє</w:t>
      </w:r>
      <w:r w:rsidRPr="000977F7">
        <w:rPr>
          <w:rFonts w:asciiTheme="majorHAnsi" w:hAnsiTheme="majorHAnsi"/>
          <w:spacing w:val="35"/>
          <w:sz w:val="20"/>
          <w:szCs w:val="20"/>
        </w:rPr>
        <w:t xml:space="preserve"> </w:t>
      </w:r>
      <w:r w:rsidRPr="000977F7">
        <w:rPr>
          <w:rFonts w:asciiTheme="majorHAnsi" w:hAnsiTheme="majorHAnsi"/>
          <w:sz w:val="20"/>
          <w:szCs w:val="20"/>
        </w:rPr>
        <w:t>вимоги</w:t>
      </w:r>
      <w:r w:rsidRPr="000977F7">
        <w:rPr>
          <w:rFonts w:asciiTheme="majorHAnsi" w:hAnsiTheme="majorHAnsi"/>
          <w:spacing w:val="34"/>
          <w:sz w:val="20"/>
          <w:szCs w:val="20"/>
        </w:rPr>
        <w:t xml:space="preserve"> </w:t>
      </w:r>
      <w:r w:rsidRPr="000977F7">
        <w:rPr>
          <w:rFonts w:asciiTheme="majorHAnsi" w:hAnsiTheme="majorHAnsi"/>
          <w:sz w:val="20"/>
          <w:szCs w:val="20"/>
        </w:rPr>
        <w:t>споживача,</w:t>
      </w:r>
      <w:r w:rsidRPr="000977F7">
        <w:rPr>
          <w:rFonts w:asciiTheme="majorHAnsi" w:hAnsiTheme="majorHAnsi"/>
          <w:spacing w:val="-2"/>
          <w:sz w:val="20"/>
          <w:szCs w:val="20"/>
        </w:rPr>
        <w:t xml:space="preserve"> </w:t>
      </w:r>
      <w:r w:rsidRPr="000977F7">
        <w:rPr>
          <w:rFonts w:asciiTheme="majorHAnsi" w:hAnsiTheme="majorHAnsi"/>
          <w:sz w:val="20"/>
          <w:szCs w:val="20"/>
        </w:rPr>
        <w:t>встановлені</w:t>
      </w:r>
      <w:r w:rsidRPr="000977F7">
        <w:rPr>
          <w:rFonts w:asciiTheme="majorHAnsi" w:hAnsiTheme="majorHAnsi"/>
          <w:spacing w:val="-3"/>
          <w:sz w:val="20"/>
          <w:szCs w:val="20"/>
        </w:rPr>
        <w:t xml:space="preserve"> </w:t>
      </w:r>
      <w:r w:rsidRPr="000977F7">
        <w:rPr>
          <w:rFonts w:asciiTheme="majorHAnsi" w:hAnsiTheme="majorHAnsi"/>
          <w:sz w:val="20"/>
          <w:szCs w:val="20"/>
        </w:rPr>
        <w:t>частиною</w:t>
      </w:r>
      <w:r w:rsidRPr="000977F7">
        <w:rPr>
          <w:rFonts w:asciiTheme="majorHAnsi" w:hAnsiTheme="majorHAnsi"/>
          <w:spacing w:val="-2"/>
          <w:sz w:val="20"/>
          <w:szCs w:val="20"/>
        </w:rPr>
        <w:t xml:space="preserve"> </w:t>
      </w:r>
      <w:r w:rsidRPr="000977F7">
        <w:rPr>
          <w:rFonts w:asciiTheme="majorHAnsi" w:hAnsiTheme="majorHAnsi"/>
          <w:sz w:val="20"/>
          <w:szCs w:val="20"/>
        </w:rPr>
        <w:t>першою</w:t>
      </w:r>
      <w:r w:rsidRPr="000977F7">
        <w:rPr>
          <w:rFonts w:asciiTheme="majorHAnsi" w:hAnsiTheme="majorHAnsi"/>
          <w:spacing w:val="-2"/>
          <w:sz w:val="20"/>
          <w:szCs w:val="20"/>
        </w:rPr>
        <w:t xml:space="preserve"> </w:t>
      </w:r>
      <w:r w:rsidRPr="000977F7">
        <w:rPr>
          <w:rFonts w:asciiTheme="majorHAnsi" w:hAnsiTheme="majorHAnsi"/>
          <w:sz w:val="20"/>
          <w:szCs w:val="20"/>
        </w:rPr>
        <w:t>цієї</w:t>
      </w:r>
      <w:r w:rsidRPr="000977F7">
        <w:rPr>
          <w:rFonts w:asciiTheme="majorHAnsi" w:hAnsiTheme="majorHAnsi"/>
          <w:spacing w:val="-3"/>
          <w:sz w:val="20"/>
          <w:szCs w:val="20"/>
        </w:rPr>
        <w:t xml:space="preserve"> </w:t>
      </w:r>
      <w:r w:rsidRPr="000977F7">
        <w:rPr>
          <w:rFonts w:asciiTheme="majorHAnsi" w:hAnsiTheme="majorHAnsi"/>
          <w:sz w:val="20"/>
          <w:szCs w:val="20"/>
        </w:rPr>
        <w:t>статті).</w:t>
      </w:r>
    </w:p>
    <w:p w14:paraId="264F5D95" w14:textId="77777777" w:rsidR="0097612F" w:rsidRPr="000977F7" w:rsidRDefault="0097612F" w:rsidP="00FD39A4">
      <w:pPr>
        <w:pStyle w:val="ac"/>
        <w:widowControl w:val="0"/>
        <w:numPr>
          <w:ilvl w:val="0"/>
          <w:numId w:val="105"/>
        </w:numPr>
        <w:tabs>
          <w:tab w:val="left" w:pos="284"/>
          <w:tab w:val="left" w:pos="61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 наявності товару вимога споживача про його</w:t>
      </w:r>
      <w:r w:rsidRPr="000977F7">
        <w:rPr>
          <w:rFonts w:asciiTheme="majorHAnsi" w:hAnsiTheme="majorHAnsi"/>
          <w:spacing w:val="1"/>
          <w:sz w:val="20"/>
          <w:szCs w:val="20"/>
        </w:rPr>
        <w:t xml:space="preserve"> </w:t>
      </w:r>
      <w:r w:rsidRPr="000977F7">
        <w:rPr>
          <w:rFonts w:asciiTheme="majorHAnsi" w:hAnsiTheme="majorHAnsi"/>
          <w:sz w:val="20"/>
          <w:szCs w:val="20"/>
        </w:rPr>
        <w:t>заміну підлягає негайному задоволенню, а в разі виникнення потреби в перевірці якості протягом чотирнадцяти</w:t>
      </w:r>
      <w:r w:rsidRPr="000977F7">
        <w:rPr>
          <w:rFonts w:asciiTheme="majorHAnsi" w:hAnsiTheme="majorHAnsi"/>
          <w:spacing w:val="-2"/>
          <w:sz w:val="20"/>
          <w:szCs w:val="20"/>
        </w:rPr>
        <w:t xml:space="preserve"> </w:t>
      </w:r>
      <w:r w:rsidRPr="000977F7">
        <w:rPr>
          <w:rFonts w:asciiTheme="majorHAnsi" w:hAnsiTheme="majorHAnsi"/>
          <w:sz w:val="20"/>
          <w:szCs w:val="20"/>
        </w:rPr>
        <w:t>днів</w:t>
      </w:r>
      <w:r w:rsidRPr="000977F7">
        <w:rPr>
          <w:rFonts w:asciiTheme="majorHAnsi" w:hAnsiTheme="majorHAnsi"/>
          <w:spacing w:val="-2"/>
          <w:sz w:val="20"/>
          <w:szCs w:val="20"/>
        </w:rPr>
        <w:t xml:space="preserve"> </w:t>
      </w:r>
      <w:r w:rsidRPr="000977F7">
        <w:rPr>
          <w:rFonts w:asciiTheme="majorHAnsi" w:hAnsiTheme="majorHAnsi"/>
          <w:sz w:val="20"/>
          <w:szCs w:val="20"/>
        </w:rPr>
        <w:t>або за домовленістю</w:t>
      </w:r>
      <w:r w:rsidRPr="000977F7">
        <w:rPr>
          <w:rFonts w:asciiTheme="majorHAnsi" w:hAnsiTheme="majorHAnsi"/>
          <w:spacing w:val="-2"/>
          <w:sz w:val="20"/>
          <w:szCs w:val="20"/>
        </w:rPr>
        <w:t xml:space="preserve"> </w:t>
      </w:r>
      <w:r w:rsidRPr="000977F7">
        <w:rPr>
          <w:rFonts w:asciiTheme="majorHAnsi" w:hAnsiTheme="majorHAnsi"/>
          <w:sz w:val="20"/>
          <w:szCs w:val="20"/>
        </w:rPr>
        <w:t>сторін.</w:t>
      </w:r>
    </w:p>
    <w:p w14:paraId="4DC5E1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разі відсутності товару вимога споживача про його</w:t>
      </w:r>
      <w:r w:rsidRPr="000977F7">
        <w:rPr>
          <w:rFonts w:asciiTheme="majorHAnsi" w:hAnsiTheme="majorHAnsi"/>
          <w:spacing w:val="1"/>
          <w:sz w:val="20"/>
          <w:szCs w:val="20"/>
        </w:rPr>
        <w:t xml:space="preserve"> </w:t>
      </w:r>
      <w:r w:rsidRPr="000977F7">
        <w:rPr>
          <w:rFonts w:asciiTheme="majorHAnsi" w:hAnsiTheme="majorHAnsi"/>
          <w:sz w:val="20"/>
          <w:szCs w:val="20"/>
        </w:rPr>
        <w:t>заміну підлягає задоволенню у двомісячний строк з</w:t>
      </w:r>
      <w:r w:rsidRPr="000977F7">
        <w:rPr>
          <w:rFonts w:asciiTheme="majorHAnsi" w:hAnsiTheme="majorHAnsi"/>
          <w:spacing w:val="1"/>
          <w:sz w:val="20"/>
          <w:szCs w:val="20"/>
        </w:rPr>
        <w:t xml:space="preserve"> </w:t>
      </w:r>
      <w:r w:rsidRPr="000977F7">
        <w:rPr>
          <w:rFonts w:asciiTheme="majorHAnsi" w:hAnsiTheme="majorHAnsi"/>
          <w:sz w:val="20"/>
          <w:szCs w:val="20"/>
        </w:rPr>
        <w:t>моменту подання відповідної заяви. Якщо задовольнити вимогу споживача про заміну товару в установлений строк неможливо, споживач вправі на свій вибір</w:t>
      </w:r>
      <w:r w:rsidRPr="000977F7">
        <w:rPr>
          <w:rFonts w:asciiTheme="majorHAnsi" w:hAnsiTheme="majorHAnsi"/>
          <w:spacing w:val="1"/>
          <w:sz w:val="20"/>
          <w:szCs w:val="20"/>
        </w:rPr>
        <w:t xml:space="preserve"> </w:t>
      </w:r>
      <w:r w:rsidRPr="000977F7">
        <w:rPr>
          <w:rFonts w:asciiTheme="majorHAnsi" w:hAnsiTheme="majorHAnsi"/>
          <w:sz w:val="20"/>
          <w:szCs w:val="20"/>
        </w:rPr>
        <w:t>пред'явити продавцю,</w:t>
      </w:r>
      <w:r w:rsidRPr="000977F7">
        <w:rPr>
          <w:rFonts w:asciiTheme="majorHAnsi" w:hAnsiTheme="majorHAnsi"/>
          <w:spacing w:val="1"/>
          <w:sz w:val="20"/>
          <w:szCs w:val="20"/>
        </w:rPr>
        <w:t xml:space="preserve"> </w:t>
      </w:r>
      <w:r w:rsidRPr="000977F7">
        <w:rPr>
          <w:rFonts w:asciiTheme="majorHAnsi" w:hAnsiTheme="majorHAnsi"/>
          <w:sz w:val="20"/>
          <w:szCs w:val="20"/>
        </w:rPr>
        <w:t>виробнику (підприємству,</w:t>
      </w:r>
      <w:r w:rsidRPr="000977F7">
        <w:rPr>
          <w:rFonts w:asciiTheme="majorHAnsi" w:hAnsiTheme="majorHAnsi"/>
          <w:spacing w:val="1"/>
          <w:sz w:val="20"/>
          <w:szCs w:val="20"/>
        </w:rPr>
        <w:t xml:space="preserve"> </w:t>
      </w:r>
      <w:r w:rsidRPr="000977F7">
        <w:rPr>
          <w:rFonts w:asciiTheme="majorHAnsi" w:hAnsiTheme="majorHAnsi"/>
          <w:sz w:val="20"/>
          <w:szCs w:val="20"/>
        </w:rPr>
        <w:t>що виконує їх функції) інші вимоги, передбачені пунктами</w:t>
      </w:r>
      <w:r w:rsidRPr="000977F7">
        <w:rPr>
          <w:rFonts w:asciiTheme="majorHAnsi" w:hAnsiTheme="majorHAnsi"/>
          <w:spacing w:val="-2"/>
          <w:sz w:val="20"/>
          <w:szCs w:val="20"/>
        </w:rPr>
        <w:t xml:space="preserve"> </w:t>
      </w:r>
      <w:r w:rsidRPr="000977F7">
        <w:rPr>
          <w:rFonts w:asciiTheme="majorHAnsi" w:hAnsiTheme="majorHAnsi"/>
          <w:sz w:val="20"/>
          <w:szCs w:val="20"/>
        </w:rPr>
        <w:t>1, 3,</w:t>
      </w:r>
      <w:r w:rsidRPr="000977F7">
        <w:rPr>
          <w:rFonts w:asciiTheme="majorHAnsi" w:hAnsiTheme="majorHAnsi"/>
          <w:spacing w:val="-1"/>
          <w:sz w:val="20"/>
          <w:szCs w:val="20"/>
        </w:rPr>
        <w:t xml:space="preserve"> </w:t>
      </w:r>
      <w:r w:rsidRPr="000977F7">
        <w:rPr>
          <w:rFonts w:asciiTheme="majorHAnsi" w:hAnsiTheme="majorHAnsi"/>
          <w:sz w:val="20"/>
          <w:szCs w:val="20"/>
        </w:rPr>
        <w:t>4, 5 частини</w:t>
      </w:r>
      <w:r w:rsidRPr="000977F7">
        <w:rPr>
          <w:rFonts w:asciiTheme="majorHAnsi" w:hAnsiTheme="majorHAnsi"/>
          <w:spacing w:val="-1"/>
          <w:sz w:val="20"/>
          <w:szCs w:val="20"/>
        </w:rPr>
        <w:t xml:space="preserve"> </w:t>
      </w:r>
      <w:r w:rsidRPr="000977F7">
        <w:rPr>
          <w:rFonts w:asciiTheme="majorHAnsi" w:hAnsiTheme="majorHAnsi"/>
          <w:sz w:val="20"/>
          <w:szCs w:val="20"/>
        </w:rPr>
        <w:t>першої</w:t>
      </w:r>
      <w:r w:rsidRPr="000977F7">
        <w:rPr>
          <w:rFonts w:asciiTheme="majorHAnsi" w:hAnsiTheme="majorHAnsi"/>
          <w:spacing w:val="-2"/>
          <w:sz w:val="20"/>
          <w:szCs w:val="20"/>
        </w:rPr>
        <w:t xml:space="preserve"> </w:t>
      </w:r>
      <w:r w:rsidRPr="000977F7">
        <w:rPr>
          <w:rFonts w:asciiTheme="majorHAnsi" w:hAnsiTheme="majorHAnsi"/>
          <w:sz w:val="20"/>
          <w:szCs w:val="20"/>
        </w:rPr>
        <w:t>цієї</w:t>
      </w:r>
      <w:r w:rsidRPr="000977F7">
        <w:rPr>
          <w:rFonts w:asciiTheme="majorHAnsi" w:hAnsiTheme="majorHAnsi"/>
          <w:spacing w:val="-1"/>
          <w:sz w:val="20"/>
          <w:szCs w:val="20"/>
        </w:rPr>
        <w:t xml:space="preserve"> </w:t>
      </w:r>
      <w:r w:rsidRPr="000977F7">
        <w:rPr>
          <w:rFonts w:asciiTheme="majorHAnsi" w:hAnsiTheme="majorHAnsi"/>
          <w:sz w:val="20"/>
          <w:szCs w:val="20"/>
        </w:rPr>
        <w:t>статті.</w:t>
      </w:r>
    </w:p>
    <w:p w14:paraId="3B6D1EA0" w14:textId="77777777" w:rsidR="0097612F" w:rsidRPr="000977F7" w:rsidRDefault="0097612F" w:rsidP="00FD39A4">
      <w:pPr>
        <w:pStyle w:val="ac"/>
        <w:widowControl w:val="0"/>
        <w:numPr>
          <w:ilvl w:val="0"/>
          <w:numId w:val="105"/>
        </w:numPr>
        <w:tabs>
          <w:tab w:val="left" w:pos="284"/>
          <w:tab w:val="left" w:pos="57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Під час заміни товару з недоліками на товар аналогічної марки (моделі, артикулу, модифікації) належної</w:t>
      </w:r>
      <w:r w:rsidRPr="000977F7">
        <w:rPr>
          <w:rFonts w:asciiTheme="majorHAnsi" w:hAnsiTheme="majorHAnsi"/>
          <w:spacing w:val="-47"/>
          <w:sz w:val="20"/>
          <w:szCs w:val="20"/>
        </w:rPr>
        <w:t xml:space="preserve"> </w:t>
      </w:r>
      <w:r w:rsidRPr="000977F7">
        <w:rPr>
          <w:rFonts w:asciiTheme="majorHAnsi" w:hAnsiTheme="majorHAnsi"/>
          <w:sz w:val="20"/>
          <w:szCs w:val="20"/>
        </w:rPr>
        <w:t>якості, ціна на який змінилася, перерахунок вартості</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провадиться.</w:t>
      </w:r>
    </w:p>
    <w:p w14:paraId="643CAAC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 час заміни товару з недоліками на такий же товар</w:t>
      </w:r>
      <w:r w:rsidRPr="000977F7">
        <w:rPr>
          <w:rFonts w:asciiTheme="majorHAnsi" w:hAnsiTheme="majorHAnsi"/>
          <w:spacing w:val="-47"/>
          <w:sz w:val="20"/>
          <w:szCs w:val="20"/>
        </w:rPr>
        <w:t xml:space="preserve"> </w:t>
      </w:r>
      <w:r w:rsidRPr="000977F7">
        <w:rPr>
          <w:rFonts w:asciiTheme="majorHAnsi" w:hAnsiTheme="majorHAnsi"/>
          <w:sz w:val="20"/>
          <w:szCs w:val="20"/>
        </w:rPr>
        <w:t>іншої марки (моделі, артикулу, модифікації) належної</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перерахунок</w:t>
      </w:r>
      <w:r w:rsidRPr="000977F7">
        <w:rPr>
          <w:rFonts w:asciiTheme="majorHAnsi" w:hAnsiTheme="majorHAnsi"/>
          <w:spacing w:val="1"/>
          <w:sz w:val="20"/>
          <w:szCs w:val="20"/>
        </w:rPr>
        <w:t xml:space="preserve"> </w:t>
      </w:r>
      <w:r w:rsidRPr="000977F7">
        <w:rPr>
          <w:rFonts w:asciiTheme="majorHAnsi" w:hAnsiTheme="majorHAnsi"/>
          <w:sz w:val="20"/>
          <w:szCs w:val="20"/>
        </w:rPr>
        <w:t>вартості</w:t>
      </w:r>
      <w:r w:rsidRPr="000977F7">
        <w:rPr>
          <w:rFonts w:asciiTheme="majorHAnsi" w:hAnsiTheme="majorHAnsi"/>
          <w:spacing w:val="1"/>
          <w:sz w:val="20"/>
          <w:szCs w:val="20"/>
        </w:rPr>
        <w:t xml:space="preserve"> </w:t>
      </w:r>
      <w:r w:rsidRPr="000977F7">
        <w:rPr>
          <w:rFonts w:asciiTheme="majorHAnsi" w:hAnsiTheme="majorHAnsi"/>
          <w:sz w:val="20"/>
          <w:szCs w:val="20"/>
        </w:rPr>
        <w:t>товару</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недоліками</w:t>
      </w:r>
      <w:r w:rsidRPr="000977F7">
        <w:rPr>
          <w:rFonts w:asciiTheme="majorHAnsi" w:hAnsiTheme="majorHAnsi"/>
          <w:spacing w:val="50"/>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разі</w:t>
      </w:r>
      <w:r w:rsidRPr="000977F7">
        <w:rPr>
          <w:rFonts w:asciiTheme="majorHAnsi" w:hAnsiTheme="majorHAnsi"/>
          <w:spacing w:val="1"/>
          <w:sz w:val="20"/>
          <w:szCs w:val="20"/>
        </w:rPr>
        <w:t xml:space="preserve"> </w:t>
      </w:r>
      <w:r w:rsidRPr="000977F7">
        <w:rPr>
          <w:rFonts w:asciiTheme="majorHAnsi" w:hAnsiTheme="majorHAnsi"/>
          <w:sz w:val="20"/>
          <w:szCs w:val="20"/>
        </w:rPr>
        <w:t>підвищення</w:t>
      </w:r>
      <w:r w:rsidRPr="000977F7">
        <w:rPr>
          <w:rFonts w:asciiTheme="majorHAnsi" w:hAnsiTheme="majorHAnsi"/>
          <w:spacing w:val="1"/>
          <w:sz w:val="20"/>
          <w:szCs w:val="20"/>
        </w:rPr>
        <w:t xml:space="preserve"> </w:t>
      </w:r>
      <w:r w:rsidRPr="000977F7">
        <w:rPr>
          <w:rFonts w:asciiTheme="majorHAnsi" w:hAnsiTheme="majorHAnsi"/>
          <w:sz w:val="20"/>
          <w:szCs w:val="20"/>
        </w:rPr>
        <w:t>ціни</w:t>
      </w:r>
      <w:r w:rsidRPr="000977F7">
        <w:rPr>
          <w:rFonts w:asciiTheme="majorHAnsi" w:hAnsiTheme="majorHAnsi"/>
          <w:spacing w:val="1"/>
          <w:sz w:val="20"/>
          <w:szCs w:val="20"/>
        </w:rPr>
        <w:t xml:space="preserve"> </w:t>
      </w:r>
      <w:r w:rsidRPr="000977F7">
        <w:rPr>
          <w:rFonts w:asciiTheme="majorHAnsi" w:hAnsiTheme="majorHAnsi"/>
          <w:sz w:val="20"/>
          <w:szCs w:val="20"/>
        </w:rPr>
        <w:t>провадиться</w:t>
      </w:r>
      <w:r w:rsidRPr="000977F7">
        <w:rPr>
          <w:rFonts w:asciiTheme="majorHAnsi" w:hAnsiTheme="majorHAnsi"/>
          <w:spacing w:val="1"/>
          <w:sz w:val="20"/>
          <w:szCs w:val="20"/>
        </w:rPr>
        <w:t xml:space="preserve"> </w:t>
      </w:r>
      <w:r w:rsidRPr="000977F7">
        <w:rPr>
          <w:rFonts w:asciiTheme="majorHAnsi" w:hAnsiTheme="majorHAnsi"/>
          <w:sz w:val="20"/>
          <w:szCs w:val="20"/>
        </w:rPr>
        <w:t>виходячи</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47"/>
          <w:sz w:val="20"/>
          <w:szCs w:val="20"/>
        </w:rPr>
        <w:t xml:space="preserve"> </w:t>
      </w:r>
      <w:r w:rsidRPr="000977F7">
        <w:rPr>
          <w:rFonts w:asciiTheme="majorHAnsi" w:hAnsiTheme="majorHAnsi"/>
          <w:sz w:val="20"/>
          <w:szCs w:val="20"/>
        </w:rPr>
        <w:t>вартості на час обміну, а в разі зниження ціни виходячи</w:t>
      </w:r>
      <w:r w:rsidRPr="000977F7">
        <w:rPr>
          <w:rFonts w:asciiTheme="majorHAnsi" w:hAnsiTheme="majorHAnsi"/>
          <w:spacing w:val="-2"/>
          <w:sz w:val="20"/>
          <w:szCs w:val="20"/>
        </w:rPr>
        <w:t xml:space="preserve"> </w:t>
      </w:r>
      <w:r w:rsidRPr="000977F7">
        <w:rPr>
          <w:rFonts w:asciiTheme="majorHAnsi" w:hAnsiTheme="majorHAnsi"/>
          <w:sz w:val="20"/>
          <w:szCs w:val="20"/>
        </w:rPr>
        <w:t>з вартості</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час купівлі.</w:t>
      </w:r>
    </w:p>
    <w:p w14:paraId="066F84A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 розірванні договору розрахунки із споживачем у</w:t>
      </w:r>
      <w:r w:rsidRPr="000977F7">
        <w:rPr>
          <w:rFonts w:asciiTheme="majorHAnsi" w:hAnsiTheme="majorHAnsi"/>
          <w:spacing w:val="1"/>
          <w:sz w:val="20"/>
          <w:szCs w:val="20"/>
        </w:rPr>
        <w:t xml:space="preserve"> </w:t>
      </w:r>
      <w:r w:rsidRPr="000977F7">
        <w:rPr>
          <w:rFonts w:asciiTheme="majorHAnsi" w:hAnsiTheme="majorHAnsi"/>
          <w:sz w:val="20"/>
          <w:szCs w:val="20"/>
        </w:rPr>
        <w:t>разі підвищення ціни на товар провадяться виходячи з</w:t>
      </w:r>
      <w:r w:rsidRPr="000977F7">
        <w:rPr>
          <w:rFonts w:asciiTheme="majorHAnsi" w:hAnsiTheme="majorHAnsi"/>
          <w:spacing w:val="-47"/>
          <w:sz w:val="20"/>
          <w:szCs w:val="20"/>
        </w:rPr>
        <w:t xml:space="preserve"> </w:t>
      </w:r>
      <w:r w:rsidRPr="000977F7">
        <w:rPr>
          <w:rFonts w:asciiTheme="majorHAnsi" w:hAnsiTheme="majorHAnsi"/>
          <w:sz w:val="20"/>
          <w:szCs w:val="20"/>
        </w:rPr>
        <w:t>його вартості на час пред'явлення відповідної вимоги,</w:t>
      </w:r>
      <w:r w:rsidRPr="000977F7">
        <w:rPr>
          <w:rFonts w:asciiTheme="majorHAnsi" w:hAnsiTheme="majorHAnsi"/>
          <w:spacing w:val="1"/>
          <w:sz w:val="20"/>
          <w:szCs w:val="20"/>
        </w:rPr>
        <w:t xml:space="preserve"> </w:t>
      </w:r>
      <w:r w:rsidRPr="000977F7">
        <w:rPr>
          <w:rFonts w:asciiTheme="majorHAnsi" w:hAnsiTheme="majorHAnsi"/>
          <w:sz w:val="20"/>
          <w:szCs w:val="20"/>
        </w:rPr>
        <w:t>а в разі зниження ціни виходячи з вартості товару на</w:t>
      </w:r>
      <w:r w:rsidRPr="000977F7">
        <w:rPr>
          <w:rFonts w:asciiTheme="majorHAnsi" w:hAnsiTheme="majorHAnsi"/>
          <w:spacing w:val="1"/>
          <w:sz w:val="20"/>
          <w:szCs w:val="20"/>
        </w:rPr>
        <w:t xml:space="preserve"> </w:t>
      </w:r>
      <w:r w:rsidRPr="000977F7">
        <w:rPr>
          <w:rFonts w:asciiTheme="majorHAnsi" w:hAnsiTheme="majorHAnsi"/>
          <w:sz w:val="20"/>
          <w:szCs w:val="20"/>
        </w:rPr>
        <w:t>час купівлі. Гроші, сплачені за товар, повертаються</w:t>
      </w:r>
      <w:r w:rsidRPr="000977F7">
        <w:rPr>
          <w:rFonts w:asciiTheme="majorHAnsi" w:hAnsiTheme="majorHAnsi"/>
          <w:spacing w:val="1"/>
          <w:sz w:val="20"/>
          <w:szCs w:val="20"/>
        </w:rPr>
        <w:t xml:space="preserve"> </w:t>
      </w:r>
      <w:r w:rsidRPr="000977F7">
        <w:rPr>
          <w:rFonts w:asciiTheme="majorHAnsi" w:hAnsiTheme="majorHAnsi"/>
          <w:sz w:val="20"/>
          <w:szCs w:val="20"/>
        </w:rPr>
        <w:t>споживачеві у день розірвання договору, а в разі неможливості повернути гроші у день розірвання договору - в інший строк за домовленістю сторін, але не</w:t>
      </w:r>
      <w:r w:rsidRPr="000977F7">
        <w:rPr>
          <w:rFonts w:asciiTheme="majorHAnsi" w:hAnsiTheme="majorHAnsi"/>
          <w:spacing w:val="1"/>
          <w:sz w:val="20"/>
          <w:szCs w:val="20"/>
        </w:rPr>
        <w:t xml:space="preserve"> </w:t>
      </w:r>
      <w:r w:rsidRPr="000977F7">
        <w:rPr>
          <w:rFonts w:asciiTheme="majorHAnsi" w:hAnsiTheme="majorHAnsi"/>
          <w:sz w:val="20"/>
          <w:szCs w:val="20"/>
        </w:rPr>
        <w:t>пізніше</w:t>
      </w:r>
      <w:r w:rsidRPr="000977F7">
        <w:rPr>
          <w:rFonts w:asciiTheme="majorHAnsi" w:hAnsiTheme="majorHAnsi"/>
          <w:spacing w:val="-1"/>
          <w:sz w:val="20"/>
          <w:szCs w:val="20"/>
        </w:rPr>
        <w:t xml:space="preserve"> </w:t>
      </w:r>
      <w:r w:rsidRPr="000977F7">
        <w:rPr>
          <w:rFonts w:asciiTheme="majorHAnsi" w:hAnsiTheme="majorHAnsi"/>
          <w:sz w:val="20"/>
          <w:szCs w:val="20"/>
        </w:rPr>
        <w:t>ніж</w:t>
      </w:r>
      <w:r w:rsidRPr="000977F7">
        <w:rPr>
          <w:rFonts w:asciiTheme="majorHAnsi" w:hAnsiTheme="majorHAnsi"/>
          <w:spacing w:val="-1"/>
          <w:sz w:val="20"/>
          <w:szCs w:val="20"/>
        </w:rPr>
        <w:t xml:space="preserve"> </w:t>
      </w:r>
      <w:r w:rsidRPr="000977F7">
        <w:rPr>
          <w:rFonts w:asciiTheme="majorHAnsi" w:hAnsiTheme="majorHAnsi"/>
          <w:sz w:val="20"/>
          <w:szCs w:val="20"/>
        </w:rPr>
        <w:t>протягом</w:t>
      </w:r>
      <w:r w:rsidRPr="000977F7">
        <w:rPr>
          <w:rFonts w:asciiTheme="majorHAnsi" w:hAnsiTheme="majorHAnsi"/>
          <w:spacing w:val="1"/>
          <w:sz w:val="20"/>
          <w:szCs w:val="20"/>
        </w:rPr>
        <w:t xml:space="preserve"> </w:t>
      </w:r>
      <w:r w:rsidRPr="000977F7">
        <w:rPr>
          <w:rFonts w:asciiTheme="majorHAnsi" w:hAnsiTheme="majorHAnsi"/>
          <w:sz w:val="20"/>
          <w:szCs w:val="20"/>
        </w:rPr>
        <w:t>семи</w:t>
      </w:r>
      <w:r w:rsidRPr="000977F7">
        <w:rPr>
          <w:rFonts w:asciiTheme="majorHAnsi" w:hAnsiTheme="majorHAnsi"/>
          <w:spacing w:val="-2"/>
          <w:sz w:val="20"/>
          <w:szCs w:val="20"/>
        </w:rPr>
        <w:t xml:space="preserve"> </w:t>
      </w:r>
      <w:r w:rsidRPr="000977F7">
        <w:rPr>
          <w:rFonts w:asciiTheme="majorHAnsi" w:hAnsiTheme="majorHAnsi"/>
          <w:sz w:val="20"/>
          <w:szCs w:val="20"/>
        </w:rPr>
        <w:t>днів.</w:t>
      </w:r>
    </w:p>
    <w:p w14:paraId="7F40F300" w14:textId="77777777" w:rsidR="0097612F" w:rsidRPr="000977F7" w:rsidRDefault="0097612F" w:rsidP="00FD39A4">
      <w:pPr>
        <w:pStyle w:val="ac"/>
        <w:widowControl w:val="0"/>
        <w:numPr>
          <w:ilvl w:val="0"/>
          <w:numId w:val="105"/>
        </w:numPr>
        <w:tabs>
          <w:tab w:val="left" w:pos="284"/>
          <w:tab w:val="left" w:pos="57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 разі придбання споживачем непридатного харчового продукту продавець зобов’язаний замінити його</w:t>
      </w:r>
      <w:r w:rsidRPr="000977F7">
        <w:rPr>
          <w:rFonts w:asciiTheme="majorHAnsi" w:hAnsiTheme="majorHAnsi"/>
          <w:spacing w:val="1"/>
          <w:sz w:val="20"/>
          <w:szCs w:val="20"/>
        </w:rPr>
        <w:t xml:space="preserve"> </w:t>
      </w:r>
      <w:r w:rsidRPr="000977F7">
        <w:rPr>
          <w:rFonts w:asciiTheme="majorHAnsi" w:hAnsiTheme="majorHAnsi"/>
          <w:sz w:val="20"/>
          <w:szCs w:val="20"/>
        </w:rPr>
        <w:t>на харчовий продукт, який є придатним до споживання, або повернути споживачеві сплачені ним кошти.</w:t>
      </w:r>
      <w:r w:rsidRPr="000977F7">
        <w:rPr>
          <w:rFonts w:asciiTheme="majorHAnsi" w:hAnsiTheme="majorHAnsi"/>
          <w:spacing w:val="1"/>
          <w:sz w:val="20"/>
          <w:szCs w:val="20"/>
        </w:rPr>
        <w:t xml:space="preserve"> </w:t>
      </w:r>
      <w:r w:rsidRPr="000977F7">
        <w:rPr>
          <w:rFonts w:asciiTheme="majorHAnsi" w:hAnsiTheme="majorHAnsi"/>
          <w:sz w:val="20"/>
          <w:szCs w:val="20"/>
        </w:rPr>
        <w:t>Розрахунки із споживачем</w:t>
      </w:r>
      <w:r w:rsidRPr="000977F7">
        <w:rPr>
          <w:rFonts w:asciiTheme="majorHAnsi" w:hAnsiTheme="majorHAnsi"/>
          <w:spacing w:val="50"/>
          <w:sz w:val="20"/>
          <w:szCs w:val="20"/>
        </w:rPr>
        <w:t xml:space="preserve"> </w:t>
      </w:r>
      <w:r w:rsidRPr="000977F7">
        <w:rPr>
          <w:rFonts w:asciiTheme="majorHAnsi" w:hAnsiTheme="majorHAnsi"/>
          <w:sz w:val="20"/>
          <w:szCs w:val="20"/>
        </w:rPr>
        <w:t>у такому разі проводяться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порядку,</w:t>
      </w:r>
      <w:r w:rsidRPr="000977F7">
        <w:rPr>
          <w:rFonts w:asciiTheme="majorHAnsi" w:hAnsiTheme="majorHAnsi"/>
          <w:spacing w:val="1"/>
          <w:sz w:val="20"/>
          <w:szCs w:val="20"/>
        </w:rPr>
        <w:t xml:space="preserve"> </w:t>
      </w:r>
      <w:r w:rsidRPr="000977F7">
        <w:rPr>
          <w:rFonts w:asciiTheme="majorHAnsi" w:hAnsiTheme="majorHAnsi"/>
          <w:sz w:val="20"/>
          <w:szCs w:val="20"/>
        </w:rPr>
        <w:t>передбаченому</w:t>
      </w:r>
      <w:r w:rsidRPr="000977F7">
        <w:rPr>
          <w:rFonts w:asciiTheme="majorHAnsi" w:hAnsiTheme="majorHAnsi"/>
          <w:spacing w:val="1"/>
          <w:sz w:val="20"/>
          <w:szCs w:val="20"/>
        </w:rPr>
        <w:t xml:space="preserve"> </w:t>
      </w:r>
      <w:r w:rsidRPr="000977F7">
        <w:rPr>
          <w:rFonts w:asciiTheme="majorHAnsi" w:hAnsiTheme="majorHAnsi"/>
          <w:sz w:val="20"/>
          <w:szCs w:val="20"/>
        </w:rPr>
        <w:t>абзацом</w:t>
      </w:r>
      <w:r w:rsidRPr="000977F7">
        <w:rPr>
          <w:rFonts w:asciiTheme="majorHAnsi" w:hAnsiTheme="majorHAnsi"/>
          <w:spacing w:val="1"/>
          <w:sz w:val="20"/>
          <w:szCs w:val="20"/>
        </w:rPr>
        <w:t xml:space="preserve"> </w:t>
      </w:r>
      <w:r w:rsidRPr="000977F7">
        <w:rPr>
          <w:rFonts w:asciiTheme="majorHAnsi" w:hAnsiTheme="majorHAnsi"/>
          <w:sz w:val="20"/>
          <w:szCs w:val="20"/>
        </w:rPr>
        <w:t>третім</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r w:rsidRPr="000977F7">
        <w:rPr>
          <w:rFonts w:asciiTheme="majorHAnsi" w:hAnsiTheme="majorHAnsi"/>
          <w:spacing w:val="1"/>
          <w:sz w:val="20"/>
          <w:szCs w:val="20"/>
        </w:rPr>
        <w:t xml:space="preserve"> </w:t>
      </w:r>
      <w:r w:rsidRPr="000977F7">
        <w:rPr>
          <w:rFonts w:asciiTheme="majorHAnsi" w:hAnsiTheme="majorHAnsi"/>
          <w:sz w:val="20"/>
          <w:szCs w:val="20"/>
        </w:rPr>
        <w:t>сьомої</w:t>
      </w:r>
      <w:r w:rsidRPr="000977F7">
        <w:rPr>
          <w:rFonts w:asciiTheme="majorHAnsi" w:hAnsiTheme="majorHAnsi"/>
          <w:spacing w:val="-2"/>
          <w:sz w:val="20"/>
          <w:szCs w:val="20"/>
        </w:rPr>
        <w:t xml:space="preserve"> </w:t>
      </w:r>
      <w:r w:rsidRPr="000977F7">
        <w:rPr>
          <w:rFonts w:asciiTheme="majorHAnsi" w:hAnsiTheme="majorHAnsi"/>
          <w:sz w:val="20"/>
          <w:szCs w:val="20"/>
        </w:rPr>
        <w:t>цієї</w:t>
      </w:r>
      <w:r w:rsidRPr="000977F7">
        <w:rPr>
          <w:rFonts w:asciiTheme="majorHAnsi" w:hAnsiTheme="majorHAnsi"/>
          <w:spacing w:val="-1"/>
          <w:sz w:val="20"/>
          <w:szCs w:val="20"/>
        </w:rPr>
        <w:t xml:space="preserve"> </w:t>
      </w:r>
      <w:r w:rsidRPr="000977F7">
        <w:rPr>
          <w:rFonts w:asciiTheme="majorHAnsi" w:hAnsiTheme="majorHAnsi"/>
          <w:sz w:val="20"/>
          <w:szCs w:val="20"/>
        </w:rPr>
        <w:t>статті.</w:t>
      </w:r>
    </w:p>
    <w:p w14:paraId="79B73C42" w14:textId="77777777" w:rsidR="0097612F" w:rsidRPr="000977F7" w:rsidRDefault="0097612F" w:rsidP="00FD39A4">
      <w:pPr>
        <w:pStyle w:val="ac"/>
        <w:widowControl w:val="0"/>
        <w:numPr>
          <w:ilvl w:val="0"/>
          <w:numId w:val="105"/>
        </w:numPr>
        <w:tabs>
          <w:tab w:val="left" w:pos="284"/>
          <w:tab w:val="left" w:pos="53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При пред'явленні споживачем вимоги про безоплатне усунення недоліків товару вони повинні бути усунуті протягом чотирнадцяти днів з дати його пред'явлення</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згодою сторін</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інший</w:t>
      </w:r>
      <w:r w:rsidRPr="000977F7">
        <w:rPr>
          <w:rFonts w:asciiTheme="majorHAnsi" w:hAnsiTheme="majorHAnsi"/>
          <w:spacing w:val="-2"/>
          <w:sz w:val="20"/>
          <w:szCs w:val="20"/>
        </w:rPr>
        <w:t xml:space="preserve"> </w:t>
      </w:r>
      <w:r w:rsidRPr="000977F7">
        <w:rPr>
          <w:rFonts w:asciiTheme="majorHAnsi" w:hAnsiTheme="majorHAnsi"/>
          <w:sz w:val="20"/>
          <w:szCs w:val="20"/>
        </w:rPr>
        <w:t>строк.</w:t>
      </w:r>
    </w:p>
    <w:p w14:paraId="058FBA8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 письмову вимогу споживача на час ремонту йому</w:t>
      </w:r>
      <w:r w:rsidRPr="000977F7">
        <w:rPr>
          <w:rFonts w:asciiTheme="majorHAnsi" w:hAnsiTheme="majorHAnsi"/>
          <w:spacing w:val="1"/>
          <w:sz w:val="20"/>
          <w:szCs w:val="20"/>
        </w:rPr>
        <w:t xml:space="preserve"> </w:t>
      </w:r>
      <w:r w:rsidRPr="000977F7">
        <w:rPr>
          <w:rFonts w:asciiTheme="majorHAnsi" w:hAnsiTheme="majorHAnsi"/>
          <w:sz w:val="20"/>
          <w:szCs w:val="20"/>
        </w:rPr>
        <w:t>надається (з доставкою) товар аналогічної марки (моделі,</w:t>
      </w:r>
      <w:r w:rsidRPr="000977F7">
        <w:rPr>
          <w:rFonts w:asciiTheme="majorHAnsi" w:hAnsiTheme="majorHAnsi"/>
          <w:spacing w:val="1"/>
          <w:sz w:val="20"/>
          <w:szCs w:val="20"/>
        </w:rPr>
        <w:t xml:space="preserve"> </w:t>
      </w:r>
      <w:r w:rsidRPr="000977F7">
        <w:rPr>
          <w:rFonts w:asciiTheme="majorHAnsi" w:hAnsiTheme="majorHAnsi"/>
          <w:sz w:val="20"/>
          <w:szCs w:val="20"/>
        </w:rPr>
        <w:t>артикулу,</w:t>
      </w:r>
      <w:r w:rsidRPr="000977F7">
        <w:rPr>
          <w:rFonts w:asciiTheme="majorHAnsi" w:hAnsiTheme="majorHAnsi"/>
          <w:spacing w:val="1"/>
          <w:sz w:val="20"/>
          <w:szCs w:val="20"/>
        </w:rPr>
        <w:t xml:space="preserve"> </w:t>
      </w:r>
      <w:r w:rsidRPr="000977F7">
        <w:rPr>
          <w:rFonts w:asciiTheme="majorHAnsi" w:hAnsiTheme="majorHAnsi"/>
          <w:sz w:val="20"/>
          <w:szCs w:val="20"/>
        </w:rPr>
        <w:t>модифікації)</w:t>
      </w:r>
      <w:r w:rsidRPr="000977F7">
        <w:rPr>
          <w:rFonts w:asciiTheme="majorHAnsi" w:hAnsiTheme="majorHAnsi"/>
          <w:spacing w:val="1"/>
          <w:sz w:val="20"/>
          <w:szCs w:val="20"/>
        </w:rPr>
        <w:t xml:space="preserve"> </w:t>
      </w:r>
      <w:r w:rsidRPr="000977F7">
        <w:rPr>
          <w:rFonts w:asciiTheme="majorHAnsi" w:hAnsiTheme="majorHAnsi"/>
          <w:sz w:val="20"/>
          <w:szCs w:val="20"/>
        </w:rPr>
        <w:t>незалежно</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50"/>
          <w:sz w:val="20"/>
          <w:szCs w:val="20"/>
        </w:rPr>
        <w:t xml:space="preserve"> </w:t>
      </w:r>
      <w:r w:rsidRPr="000977F7">
        <w:rPr>
          <w:rFonts w:asciiTheme="majorHAnsi" w:hAnsiTheme="majorHAnsi"/>
          <w:sz w:val="20"/>
          <w:szCs w:val="20"/>
        </w:rPr>
        <w:t>моделі.</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цього</w:t>
      </w:r>
      <w:r w:rsidRPr="000977F7">
        <w:rPr>
          <w:rFonts w:asciiTheme="majorHAnsi" w:hAnsiTheme="majorHAnsi"/>
          <w:spacing w:val="1"/>
          <w:sz w:val="20"/>
          <w:szCs w:val="20"/>
        </w:rPr>
        <w:t xml:space="preserve"> </w:t>
      </w:r>
      <w:r w:rsidRPr="000977F7">
        <w:rPr>
          <w:rFonts w:asciiTheme="majorHAnsi" w:hAnsiTheme="majorHAnsi"/>
          <w:sz w:val="20"/>
          <w:szCs w:val="20"/>
        </w:rPr>
        <w:t>продавець,</w:t>
      </w:r>
      <w:r w:rsidRPr="000977F7">
        <w:rPr>
          <w:rFonts w:asciiTheme="majorHAnsi" w:hAnsiTheme="majorHAnsi"/>
          <w:spacing w:val="1"/>
          <w:sz w:val="20"/>
          <w:szCs w:val="20"/>
        </w:rPr>
        <w:t xml:space="preserve"> </w:t>
      </w:r>
      <w:r w:rsidRPr="000977F7">
        <w:rPr>
          <w:rFonts w:asciiTheme="majorHAnsi" w:hAnsiTheme="majorHAnsi"/>
          <w:sz w:val="20"/>
          <w:szCs w:val="20"/>
        </w:rPr>
        <w:t>виробник</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(підприємство,</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задовольняє вимоги споживача, встановлені частиною</w:t>
      </w:r>
      <w:r w:rsidRPr="000977F7">
        <w:rPr>
          <w:rFonts w:asciiTheme="majorHAnsi" w:hAnsiTheme="majorHAnsi"/>
          <w:spacing w:val="-47"/>
          <w:sz w:val="20"/>
          <w:szCs w:val="20"/>
        </w:rPr>
        <w:t xml:space="preserve"> </w:t>
      </w:r>
      <w:r w:rsidRPr="000977F7">
        <w:rPr>
          <w:rFonts w:asciiTheme="majorHAnsi" w:hAnsiTheme="majorHAnsi"/>
          <w:sz w:val="20"/>
          <w:szCs w:val="20"/>
        </w:rPr>
        <w:t>першою</w:t>
      </w:r>
      <w:r w:rsidRPr="000977F7">
        <w:rPr>
          <w:rFonts w:asciiTheme="majorHAnsi" w:hAnsiTheme="majorHAnsi"/>
          <w:spacing w:val="1"/>
          <w:sz w:val="20"/>
          <w:szCs w:val="20"/>
        </w:rPr>
        <w:t xml:space="preserve"> </w:t>
      </w:r>
      <w:r w:rsidRPr="000977F7">
        <w:rPr>
          <w:rFonts w:asciiTheme="majorHAnsi" w:hAnsiTheme="majorHAnsi"/>
          <w:sz w:val="20"/>
          <w:szCs w:val="20"/>
        </w:rPr>
        <w:t>цієї</w:t>
      </w:r>
      <w:r w:rsidRPr="000977F7">
        <w:rPr>
          <w:rFonts w:asciiTheme="majorHAnsi" w:hAnsiTheme="majorHAnsi"/>
          <w:spacing w:val="1"/>
          <w:sz w:val="20"/>
          <w:szCs w:val="20"/>
        </w:rPr>
        <w:t xml:space="preserve"> </w:t>
      </w:r>
      <w:r w:rsidRPr="000977F7">
        <w:rPr>
          <w:rFonts w:asciiTheme="majorHAnsi" w:hAnsiTheme="majorHAnsi"/>
          <w:sz w:val="20"/>
          <w:szCs w:val="20"/>
        </w:rPr>
        <w:t>статті)</w:t>
      </w:r>
      <w:r w:rsidRPr="000977F7">
        <w:rPr>
          <w:rFonts w:asciiTheme="majorHAnsi" w:hAnsiTheme="majorHAnsi"/>
          <w:spacing w:val="1"/>
          <w:sz w:val="20"/>
          <w:szCs w:val="20"/>
        </w:rPr>
        <w:t xml:space="preserve"> </w:t>
      </w:r>
      <w:r w:rsidRPr="000977F7">
        <w:rPr>
          <w:rFonts w:asciiTheme="majorHAnsi" w:hAnsiTheme="majorHAnsi"/>
          <w:sz w:val="20"/>
          <w:szCs w:val="20"/>
        </w:rPr>
        <w:t>зобов'язані</w:t>
      </w:r>
      <w:r w:rsidRPr="000977F7">
        <w:rPr>
          <w:rFonts w:asciiTheme="majorHAnsi" w:hAnsiTheme="majorHAnsi"/>
          <w:spacing w:val="1"/>
          <w:sz w:val="20"/>
          <w:szCs w:val="20"/>
        </w:rPr>
        <w:t xml:space="preserve"> </w:t>
      </w:r>
      <w:r w:rsidRPr="000977F7">
        <w:rPr>
          <w:rFonts w:asciiTheme="majorHAnsi" w:hAnsiTheme="majorHAnsi"/>
          <w:sz w:val="20"/>
          <w:szCs w:val="20"/>
        </w:rPr>
        <w:t>створювати</w:t>
      </w:r>
      <w:r w:rsidRPr="000977F7">
        <w:rPr>
          <w:rFonts w:asciiTheme="majorHAnsi" w:hAnsiTheme="majorHAnsi"/>
          <w:spacing w:val="1"/>
          <w:sz w:val="20"/>
          <w:szCs w:val="20"/>
        </w:rPr>
        <w:t xml:space="preserve"> </w:t>
      </w:r>
      <w:r w:rsidRPr="000977F7">
        <w:rPr>
          <w:rFonts w:asciiTheme="majorHAnsi" w:hAnsiTheme="majorHAnsi"/>
          <w:sz w:val="20"/>
          <w:szCs w:val="20"/>
        </w:rPr>
        <w:t>(мати)</w:t>
      </w:r>
      <w:r w:rsidRPr="000977F7">
        <w:rPr>
          <w:rFonts w:asciiTheme="majorHAnsi" w:hAnsiTheme="majorHAnsi"/>
          <w:spacing w:val="1"/>
          <w:sz w:val="20"/>
          <w:szCs w:val="20"/>
        </w:rPr>
        <w:t xml:space="preserve"> </w:t>
      </w:r>
      <w:r w:rsidRPr="000977F7">
        <w:rPr>
          <w:rFonts w:asciiTheme="majorHAnsi" w:hAnsiTheme="majorHAnsi"/>
          <w:sz w:val="20"/>
          <w:szCs w:val="20"/>
        </w:rPr>
        <w:t>обмінний фонд товарів. Перелік таких товарів визначається</w:t>
      </w:r>
      <w:r w:rsidRPr="000977F7">
        <w:rPr>
          <w:rFonts w:asciiTheme="majorHAnsi" w:hAnsiTheme="majorHAnsi"/>
          <w:spacing w:val="-2"/>
          <w:sz w:val="20"/>
          <w:szCs w:val="20"/>
        </w:rPr>
        <w:t xml:space="preserve"> </w:t>
      </w:r>
      <w:r w:rsidRPr="000977F7">
        <w:rPr>
          <w:rFonts w:asciiTheme="majorHAnsi" w:hAnsiTheme="majorHAnsi"/>
          <w:sz w:val="20"/>
          <w:szCs w:val="20"/>
        </w:rPr>
        <w:t>Кабінетом Міністрів</w:t>
      </w:r>
      <w:r w:rsidRPr="000977F7">
        <w:rPr>
          <w:rFonts w:asciiTheme="majorHAnsi" w:hAnsiTheme="majorHAnsi"/>
          <w:spacing w:val="1"/>
          <w:sz w:val="20"/>
          <w:szCs w:val="20"/>
        </w:rPr>
        <w:t xml:space="preserve"> </w:t>
      </w:r>
      <w:r w:rsidRPr="000977F7">
        <w:rPr>
          <w:rFonts w:asciiTheme="majorHAnsi" w:hAnsiTheme="majorHAnsi"/>
          <w:sz w:val="20"/>
          <w:szCs w:val="20"/>
        </w:rPr>
        <w:t>України. За кожний день затримки виконання вимоги про надання</w:t>
      </w:r>
      <w:r w:rsidRPr="000977F7">
        <w:rPr>
          <w:rFonts w:asciiTheme="majorHAnsi" w:hAnsiTheme="majorHAnsi"/>
          <w:spacing w:val="1"/>
          <w:sz w:val="20"/>
          <w:szCs w:val="20"/>
        </w:rPr>
        <w:t xml:space="preserve"> </w:t>
      </w:r>
      <w:r w:rsidRPr="000977F7">
        <w:rPr>
          <w:rFonts w:asciiTheme="majorHAnsi" w:hAnsiTheme="majorHAnsi"/>
          <w:sz w:val="20"/>
          <w:szCs w:val="20"/>
        </w:rPr>
        <w:t>товару</w:t>
      </w:r>
      <w:r w:rsidRPr="000977F7">
        <w:rPr>
          <w:rFonts w:asciiTheme="majorHAnsi" w:hAnsiTheme="majorHAnsi"/>
          <w:spacing w:val="1"/>
          <w:sz w:val="20"/>
          <w:szCs w:val="20"/>
        </w:rPr>
        <w:t xml:space="preserve"> </w:t>
      </w:r>
      <w:r w:rsidRPr="000977F7">
        <w:rPr>
          <w:rFonts w:asciiTheme="majorHAnsi" w:hAnsiTheme="majorHAnsi"/>
          <w:sz w:val="20"/>
          <w:szCs w:val="20"/>
        </w:rPr>
        <w:t>аналогічної</w:t>
      </w:r>
      <w:r w:rsidRPr="000977F7">
        <w:rPr>
          <w:rFonts w:asciiTheme="majorHAnsi" w:hAnsiTheme="majorHAnsi"/>
          <w:spacing w:val="1"/>
          <w:sz w:val="20"/>
          <w:szCs w:val="20"/>
        </w:rPr>
        <w:t xml:space="preserve"> </w:t>
      </w:r>
      <w:r w:rsidRPr="000977F7">
        <w:rPr>
          <w:rFonts w:asciiTheme="majorHAnsi" w:hAnsiTheme="majorHAnsi"/>
          <w:sz w:val="20"/>
          <w:szCs w:val="20"/>
        </w:rPr>
        <w:t>марки</w:t>
      </w:r>
      <w:r w:rsidRPr="000977F7">
        <w:rPr>
          <w:rFonts w:asciiTheme="majorHAnsi" w:hAnsiTheme="majorHAnsi"/>
          <w:spacing w:val="1"/>
          <w:sz w:val="20"/>
          <w:szCs w:val="20"/>
        </w:rPr>
        <w:t xml:space="preserve"> </w:t>
      </w:r>
      <w:r w:rsidRPr="000977F7">
        <w:rPr>
          <w:rFonts w:asciiTheme="majorHAnsi" w:hAnsiTheme="majorHAnsi"/>
          <w:sz w:val="20"/>
          <w:szCs w:val="20"/>
        </w:rPr>
        <w:t>(моделі,</w:t>
      </w:r>
      <w:r w:rsidRPr="000977F7">
        <w:rPr>
          <w:rFonts w:asciiTheme="majorHAnsi" w:hAnsiTheme="majorHAnsi"/>
          <w:spacing w:val="1"/>
          <w:sz w:val="20"/>
          <w:szCs w:val="20"/>
        </w:rPr>
        <w:t xml:space="preserve"> </w:t>
      </w:r>
      <w:r w:rsidRPr="000977F7">
        <w:rPr>
          <w:rFonts w:asciiTheme="majorHAnsi" w:hAnsiTheme="majorHAnsi"/>
          <w:sz w:val="20"/>
          <w:szCs w:val="20"/>
        </w:rPr>
        <w:t>артикулу,</w:t>
      </w:r>
      <w:r w:rsidRPr="000977F7">
        <w:rPr>
          <w:rFonts w:asciiTheme="majorHAnsi" w:hAnsiTheme="majorHAnsi"/>
          <w:spacing w:val="1"/>
          <w:sz w:val="20"/>
          <w:szCs w:val="20"/>
        </w:rPr>
        <w:t xml:space="preserve"> </w:t>
      </w:r>
      <w:r w:rsidRPr="000977F7">
        <w:rPr>
          <w:rFonts w:asciiTheme="majorHAnsi" w:hAnsiTheme="majorHAnsi"/>
          <w:sz w:val="20"/>
          <w:szCs w:val="20"/>
        </w:rPr>
        <w:t>модифікації)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кожний</w:t>
      </w:r>
      <w:r w:rsidRPr="000977F7">
        <w:rPr>
          <w:rFonts w:asciiTheme="majorHAnsi" w:hAnsiTheme="majorHAnsi"/>
          <w:spacing w:val="1"/>
          <w:sz w:val="20"/>
          <w:szCs w:val="20"/>
        </w:rPr>
        <w:t xml:space="preserve"> </w:t>
      </w:r>
      <w:r w:rsidRPr="000977F7">
        <w:rPr>
          <w:rFonts w:asciiTheme="majorHAnsi" w:hAnsiTheme="majorHAnsi"/>
          <w:sz w:val="20"/>
          <w:szCs w:val="20"/>
        </w:rPr>
        <w:t>день</w:t>
      </w:r>
      <w:r w:rsidRPr="000977F7">
        <w:rPr>
          <w:rFonts w:asciiTheme="majorHAnsi" w:hAnsiTheme="majorHAnsi"/>
          <w:spacing w:val="1"/>
          <w:sz w:val="20"/>
          <w:szCs w:val="20"/>
        </w:rPr>
        <w:t xml:space="preserve"> </w:t>
      </w:r>
      <w:r w:rsidRPr="000977F7">
        <w:rPr>
          <w:rFonts w:asciiTheme="majorHAnsi" w:hAnsiTheme="majorHAnsi"/>
          <w:sz w:val="20"/>
          <w:szCs w:val="20"/>
        </w:rPr>
        <w:t>затримки</w:t>
      </w:r>
      <w:r w:rsidRPr="000977F7">
        <w:rPr>
          <w:rFonts w:asciiTheme="majorHAnsi" w:hAnsiTheme="majorHAnsi"/>
          <w:spacing w:val="1"/>
          <w:sz w:val="20"/>
          <w:szCs w:val="20"/>
        </w:rPr>
        <w:t xml:space="preserve"> </w:t>
      </w:r>
      <w:r w:rsidRPr="000977F7">
        <w:rPr>
          <w:rFonts w:asciiTheme="majorHAnsi" w:hAnsiTheme="majorHAnsi"/>
          <w:sz w:val="20"/>
          <w:szCs w:val="20"/>
        </w:rPr>
        <w:t>усунення</w:t>
      </w:r>
      <w:r w:rsidRPr="000977F7">
        <w:rPr>
          <w:rFonts w:asciiTheme="majorHAnsi" w:hAnsiTheme="majorHAnsi"/>
          <w:spacing w:val="-47"/>
          <w:sz w:val="20"/>
          <w:szCs w:val="20"/>
        </w:rPr>
        <w:t xml:space="preserve"> </w:t>
      </w:r>
      <w:r w:rsidRPr="000977F7">
        <w:rPr>
          <w:rFonts w:asciiTheme="majorHAnsi" w:hAnsiTheme="majorHAnsi"/>
          <w:sz w:val="20"/>
          <w:szCs w:val="20"/>
        </w:rPr>
        <w:t>недоліків</w:t>
      </w:r>
      <w:r w:rsidRPr="000977F7">
        <w:rPr>
          <w:rFonts w:asciiTheme="majorHAnsi" w:hAnsiTheme="majorHAnsi"/>
          <w:spacing w:val="1"/>
          <w:sz w:val="20"/>
          <w:szCs w:val="20"/>
        </w:rPr>
        <w:t xml:space="preserve"> </w:t>
      </w:r>
      <w:r w:rsidRPr="000977F7">
        <w:rPr>
          <w:rFonts w:asciiTheme="majorHAnsi" w:hAnsiTheme="majorHAnsi"/>
          <w:sz w:val="20"/>
          <w:szCs w:val="20"/>
        </w:rPr>
        <w:t>понад</w:t>
      </w:r>
      <w:r w:rsidRPr="000977F7">
        <w:rPr>
          <w:rFonts w:asciiTheme="majorHAnsi" w:hAnsiTheme="majorHAnsi"/>
          <w:spacing w:val="1"/>
          <w:sz w:val="20"/>
          <w:szCs w:val="20"/>
        </w:rPr>
        <w:t xml:space="preserve"> </w:t>
      </w:r>
      <w:r w:rsidRPr="000977F7">
        <w:rPr>
          <w:rFonts w:asciiTheme="majorHAnsi" w:hAnsiTheme="majorHAnsi"/>
          <w:sz w:val="20"/>
          <w:szCs w:val="20"/>
        </w:rPr>
        <w:t>установлений</w:t>
      </w:r>
      <w:r w:rsidRPr="000977F7">
        <w:rPr>
          <w:rFonts w:asciiTheme="majorHAnsi" w:hAnsiTheme="majorHAnsi"/>
          <w:spacing w:val="1"/>
          <w:sz w:val="20"/>
          <w:szCs w:val="20"/>
        </w:rPr>
        <w:t xml:space="preserve"> </w:t>
      </w:r>
      <w:r w:rsidRPr="000977F7">
        <w:rPr>
          <w:rFonts w:asciiTheme="majorHAnsi" w:hAnsiTheme="majorHAnsi"/>
          <w:sz w:val="20"/>
          <w:szCs w:val="20"/>
        </w:rPr>
        <w:t>строк</w:t>
      </w:r>
      <w:r w:rsidRPr="000977F7">
        <w:rPr>
          <w:rFonts w:asciiTheme="majorHAnsi" w:hAnsiTheme="majorHAnsi"/>
          <w:spacing w:val="1"/>
          <w:sz w:val="20"/>
          <w:szCs w:val="20"/>
        </w:rPr>
        <w:t xml:space="preserve"> </w:t>
      </w:r>
      <w:r w:rsidRPr="000977F7">
        <w:rPr>
          <w:rFonts w:asciiTheme="majorHAnsi" w:hAnsiTheme="majorHAnsi"/>
          <w:sz w:val="20"/>
          <w:szCs w:val="20"/>
        </w:rPr>
        <w:t>(чотирнадцять</w:t>
      </w:r>
      <w:r w:rsidRPr="000977F7">
        <w:rPr>
          <w:rFonts w:asciiTheme="majorHAnsi" w:hAnsiTheme="majorHAnsi"/>
          <w:spacing w:val="1"/>
          <w:sz w:val="20"/>
          <w:szCs w:val="20"/>
        </w:rPr>
        <w:t xml:space="preserve"> </w:t>
      </w:r>
      <w:r w:rsidRPr="000977F7">
        <w:rPr>
          <w:rFonts w:asciiTheme="majorHAnsi" w:hAnsiTheme="majorHAnsi"/>
          <w:sz w:val="20"/>
          <w:szCs w:val="20"/>
        </w:rPr>
        <w:t xml:space="preserve">днів) </w:t>
      </w:r>
      <w:r w:rsidRPr="000977F7">
        <w:rPr>
          <w:rFonts w:asciiTheme="majorHAnsi" w:hAnsiTheme="majorHAnsi"/>
          <w:sz w:val="20"/>
          <w:szCs w:val="20"/>
        </w:rPr>
        <w:lastRenderedPageBreak/>
        <w:t>споживачеві виплачується неустойка відповідно</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розмірі</w:t>
      </w:r>
      <w:r w:rsidRPr="000977F7">
        <w:rPr>
          <w:rFonts w:asciiTheme="majorHAnsi" w:hAnsiTheme="majorHAnsi"/>
          <w:spacing w:val="-2"/>
          <w:sz w:val="20"/>
          <w:szCs w:val="20"/>
        </w:rPr>
        <w:t xml:space="preserve"> </w:t>
      </w:r>
      <w:r w:rsidRPr="000977F7">
        <w:rPr>
          <w:rFonts w:asciiTheme="majorHAnsi" w:hAnsiTheme="majorHAnsi"/>
          <w:sz w:val="20"/>
          <w:szCs w:val="20"/>
        </w:rPr>
        <w:t>одного</w:t>
      </w:r>
      <w:r w:rsidRPr="000977F7">
        <w:rPr>
          <w:rFonts w:asciiTheme="majorHAnsi" w:hAnsiTheme="majorHAnsi"/>
          <w:spacing w:val="1"/>
          <w:sz w:val="20"/>
          <w:szCs w:val="20"/>
        </w:rPr>
        <w:t xml:space="preserve"> </w:t>
      </w:r>
      <w:r w:rsidRPr="000977F7">
        <w:rPr>
          <w:rFonts w:asciiTheme="majorHAnsi" w:hAnsiTheme="majorHAnsi"/>
          <w:sz w:val="20"/>
          <w:szCs w:val="20"/>
        </w:rPr>
        <w:t>відсотка</w:t>
      </w:r>
      <w:r w:rsidRPr="000977F7">
        <w:rPr>
          <w:rFonts w:asciiTheme="majorHAnsi" w:hAnsiTheme="majorHAnsi"/>
          <w:spacing w:val="-1"/>
          <w:sz w:val="20"/>
          <w:szCs w:val="20"/>
        </w:rPr>
        <w:t xml:space="preserve"> </w:t>
      </w:r>
      <w:r w:rsidRPr="000977F7">
        <w:rPr>
          <w:rFonts w:asciiTheme="majorHAnsi" w:hAnsiTheme="majorHAnsi"/>
          <w:sz w:val="20"/>
          <w:szCs w:val="20"/>
        </w:rPr>
        <w:t>вартості</w:t>
      </w:r>
      <w:r w:rsidRPr="000977F7">
        <w:rPr>
          <w:rFonts w:asciiTheme="majorHAnsi" w:hAnsiTheme="majorHAnsi"/>
          <w:spacing w:val="-1"/>
          <w:sz w:val="20"/>
          <w:szCs w:val="20"/>
        </w:rPr>
        <w:t xml:space="preserve"> </w:t>
      </w:r>
      <w:r w:rsidRPr="000977F7">
        <w:rPr>
          <w:rFonts w:asciiTheme="majorHAnsi" w:hAnsiTheme="majorHAnsi"/>
          <w:sz w:val="20"/>
          <w:szCs w:val="20"/>
        </w:rPr>
        <w:t>товару.</w:t>
      </w:r>
    </w:p>
    <w:p w14:paraId="75F354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 усуненні недоліків шляхом заміни комплектуючого</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складової</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r w:rsidRPr="000977F7">
        <w:rPr>
          <w:rFonts w:asciiTheme="majorHAnsi" w:hAnsiTheme="majorHAnsi"/>
          <w:spacing w:val="1"/>
          <w:sz w:val="20"/>
          <w:szCs w:val="20"/>
        </w:rPr>
        <w:t xml:space="preserve"> </w:t>
      </w:r>
      <w:r w:rsidRPr="000977F7">
        <w:rPr>
          <w:rFonts w:asciiTheme="majorHAnsi" w:hAnsiTheme="majorHAnsi"/>
          <w:sz w:val="20"/>
          <w:szCs w:val="20"/>
        </w:rPr>
        <w:t>товару,</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встановлено гарантійні строки, гарантійний строк на</w:t>
      </w:r>
      <w:r w:rsidRPr="000977F7">
        <w:rPr>
          <w:rFonts w:asciiTheme="majorHAnsi" w:hAnsiTheme="majorHAnsi"/>
          <w:spacing w:val="1"/>
          <w:sz w:val="20"/>
          <w:szCs w:val="20"/>
        </w:rPr>
        <w:t xml:space="preserve"> </w:t>
      </w:r>
      <w:r w:rsidRPr="000977F7">
        <w:rPr>
          <w:rFonts w:asciiTheme="majorHAnsi" w:hAnsiTheme="majorHAnsi"/>
          <w:sz w:val="20"/>
          <w:szCs w:val="20"/>
        </w:rPr>
        <w:t>новий комплектуючий виріб і складову частину обчислюється починаючи від дня видачі споживачеві товару</w:t>
      </w:r>
      <w:r w:rsidRPr="000977F7">
        <w:rPr>
          <w:rFonts w:asciiTheme="majorHAnsi" w:hAnsiTheme="majorHAnsi"/>
          <w:spacing w:val="-5"/>
          <w:sz w:val="20"/>
          <w:szCs w:val="20"/>
        </w:rPr>
        <w:t xml:space="preserve"> </w:t>
      </w:r>
      <w:r w:rsidRPr="000977F7">
        <w:rPr>
          <w:rFonts w:asciiTheme="majorHAnsi" w:hAnsiTheme="majorHAnsi"/>
          <w:sz w:val="20"/>
          <w:szCs w:val="20"/>
        </w:rPr>
        <w:t>після</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p>
    <w:p w14:paraId="1301CBC7" w14:textId="77777777" w:rsidR="0097612F" w:rsidRPr="000977F7" w:rsidRDefault="0097612F" w:rsidP="00FD39A4">
      <w:pPr>
        <w:pStyle w:val="ac"/>
        <w:widowControl w:val="0"/>
        <w:numPr>
          <w:ilvl w:val="0"/>
          <w:numId w:val="105"/>
        </w:numPr>
        <w:tabs>
          <w:tab w:val="left" w:pos="284"/>
          <w:tab w:val="left" w:pos="81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Споживач має право пред'явити виробнику (продавцю)</w:t>
      </w:r>
      <w:r w:rsidRPr="000977F7">
        <w:rPr>
          <w:rFonts w:asciiTheme="majorHAnsi" w:hAnsiTheme="majorHAnsi"/>
          <w:spacing w:val="1"/>
          <w:sz w:val="20"/>
          <w:szCs w:val="20"/>
        </w:rPr>
        <w:t xml:space="preserve"> </w:t>
      </w:r>
      <w:r w:rsidRPr="000977F7">
        <w:rPr>
          <w:rFonts w:asciiTheme="majorHAnsi" w:hAnsiTheme="majorHAnsi"/>
          <w:sz w:val="20"/>
          <w:szCs w:val="20"/>
        </w:rPr>
        <w:t>вимогу</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безоплатне</w:t>
      </w:r>
      <w:r w:rsidRPr="000977F7">
        <w:rPr>
          <w:rFonts w:asciiTheme="majorHAnsi" w:hAnsiTheme="majorHAnsi"/>
          <w:spacing w:val="1"/>
          <w:sz w:val="20"/>
          <w:szCs w:val="20"/>
        </w:rPr>
        <w:t xml:space="preserve"> </w:t>
      </w:r>
      <w:r w:rsidRPr="000977F7">
        <w:rPr>
          <w:rFonts w:asciiTheme="majorHAnsi" w:hAnsiTheme="majorHAnsi"/>
          <w:sz w:val="20"/>
          <w:szCs w:val="20"/>
        </w:rPr>
        <w:t>усунення</w:t>
      </w:r>
      <w:r w:rsidRPr="000977F7">
        <w:rPr>
          <w:rFonts w:asciiTheme="majorHAnsi" w:hAnsiTheme="majorHAnsi"/>
          <w:spacing w:val="1"/>
          <w:sz w:val="20"/>
          <w:szCs w:val="20"/>
        </w:rPr>
        <w:t xml:space="preserve"> </w:t>
      </w:r>
      <w:r w:rsidRPr="000977F7">
        <w:rPr>
          <w:rFonts w:asciiTheme="majorHAnsi" w:hAnsiTheme="majorHAnsi"/>
          <w:sz w:val="20"/>
          <w:szCs w:val="20"/>
        </w:rPr>
        <w:t>недоліків</w:t>
      </w:r>
      <w:r w:rsidRPr="000977F7">
        <w:rPr>
          <w:rFonts w:asciiTheme="majorHAnsi" w:hAnsiTheme="majorHAnsi"/>
          <w:spacing w:val="1"/>
          <w:sz w:val="20"/>
          <w:szCs w:val="20"/>
        </w:rPr>
        <w:t xml:space="preserve"> </w:t>
      </w:r>
      <w:r w:rsidRPr="000977F7">
        <w:rPr>
          <w:rFonts w:asciiTheme="majorHAnsi" w:hAnsiTheme="majorHAnsi"/>
          <w:sz w:val="20"/>
          <w:szCs w:val="20"/>
        </w:rPr>
        <w:t>товару після закінчення гарантійного строку. Ця вимога може бути пред'явлена протягом установленого</w:t>
      </w:r>
      <w:r w:rsidRPr="000977F7">
        <w:rPr>
          <w:rFonts w:asciiTheme="majorHAnsi" w:hAnsiTheme="majorHAnsi"/>
          <w:spacing w:val="1"/>
          <w:sz w:val="20"/>
          <w:szCs w:val="20"/>
        </w:rPr>
        <w:t xml:space="preserve"> </w:t>
      </w:r>
      <w:r w:rsidRPr="000977F7">
        <w:rPr>
          <w:rFonts w:asciiTheme="majorHAnsi" w:hAnsiTheme="majorHAnsi"/>
          <w:sz w:val="20"/>
          <w:szCs w:val="20"/>
        </w:rPr>
        <w:t>строку служби, а якщо такий не встановлено протягом десяти років, якщо в товарі було виявлено недоліки</w:t>
      </w:r>
      <w:r w:rsidRPr="000977F7">
        <w:rPr>
          <w:rFonts w:asciiTheme="majorHAnsi" w:hAnsiTheme="majorHAnsi"/>
          <w:spacing w:val="1"/>
          <w:sz w:val="20"/>
          <w:szCs w:val="20"/>
        </w:rPr>
        <w:t xml:space="preserve"> </w:t>
      </w:r>
      <w:r w:rsidRPr="000977F7">
        <w:rPr>
          <w:rFonts w:asciiTheme="majorHAnsi" w:hAnsiTheme="majorHAnsi"/>
          <w:sz w:val="20"/>
          <w:szCs w:val="20"/>
        </w:rPr>
        <w:t>(істотні</w:t>
      </w:r>
      <w:r w:rsidRPr="000977F7">
        <w:rPr>
          <w:rFonts w:asciiTheme="majorHAnsi" w:hAnsiTheme="majorHAnsi"/>
          <w:spacing w:val="1"/>
          <w:sz w:val="20"/>
          <w:szCs w:val="20"/>
        </w:rPr>
        <w:t xml:space="preserve"> </w:t>
      </w:r>
      <w:r w:rsidRPr="000977F7">
        <w:rPr>
          <w:rFonts w:asciiTheme="majorHAnsi" w:hAnsiTheme="majorHAnsi"/>
          <w:sz w:val="20"/>
          <w:szCs w:val="20"/>
        </w:rPr>
        <w:t>недоліки),</w:t>
      </w:r>
      <w:r w:rsidRPr="000977F7">
        <w:rPr>
          <w:rFonts w:asciiTheme="majorHAnsi" w:hAnsiTheme="majorHAnsi"/>
          <w:spacing w:val="1"/>
          <w:sz w:val="20"/>
          <w:szCs w:val="20"/>
        </w:rPr>
        <w:t xml:space="preserve"> </w:t>
      </w:r>
      <w:r w:rsidRPr="000977F7">
        <w:rPr>
          <w:rFonts w:asciiTheme="majorHAnsi" w:hAnsiTheme="majorHAnsi"/>
          <w:sz w:val="20"/>
          <w:szCs w:val="20"/>
        </w:rPr>
        <w:t>допущені</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вини</w:t>
      </w:r>
      <w:r w:rsidRPr="000977F7">
        <w:rPr>
          <w:rFonts w:asciiTheme="majorHAnsi" w:hAnsiTheme="majorHAnsi"/>
          <w:spacing w:val="1"/>
          <w:sz w:val="20"/>
          <w:szCs w:val="20"/>
        </w:rPr>
        <w:t xml:space="preserve"> </w:t>
      </w:r>
      <w:r w:rsidRPr="000977F7">
        <w:rPr>
          <w:rFonts w:asciiTheme="majorHAnsi" w:hAnsiTheme="majorHAnsi"/>
          <w:sz w:val="20"/>
          <w:szCs w:val="20"/>
        </w:rPr>
        <w:t>виробника.</w:t>
      </w:r>
      <w:r w:rsidRPr="000977F7">
        <w:rPr>
          <w:rFonts w:asciiTheme="majorHAnsi" w:hAnsiTheme="majorHAnsi"/>
          <w:spacing w:val="1"/>
          <w:sz w:val="20"/>
          <w:szCs w:val="20"/>
        </w:rPr>
        <w:t xml:space="preserve"> </w:t>
      </w:r>
      <w:r w:rsidRPr="000977F7">
        <w:rPr>
          <w:rFonts w:asciiTheme="majorHAnsi" w:hAnsiTheme="majorHAnsi"/>
          <w:sz w:val="20"/>
          <w:szCs w:val="20"/>
        </w:rPr>
        <w:t>Якщо цю вимогу не задоволено у строки, передбачені</w:t>
      </w:r>
      <w:r w:rsidRPr="000977F7">
        <w:rPr>
          <w:rFonts w:asciiTheme="majorHAnsi" w:hAnsiTheme="majorHAnsi"/>
          <w:spacing w:val="1"/>
          <w:sz w:val="20"/>
          <w:szCs w:val="20"/>
        </w:rPr>
        <w:t xml:space="preserve"> </w:t>
      </w:r>
      <w:r w:rsidRPr="000977F7">
        <w:rPr>
          <w:rFonts w:asciiTheme="majorHAnsi" w:hAnsiTheme="majorHAnsi"/>
          <w:sz w:val="20"/>
          <w:szCs w:val="20"/>
        </w:rPr>
        <w:t>частиною дев'ятою цієї статті, споживач має право на</w:t>
      </w:r>
      <w:r w:rsidRPr="000977F7">
        <w:rPr>
          <w:rFonts w:asciiTheme="majorHAnsi" w:hAnsiTheme="majorHAnsi"/>
          <w:spacing w:val="1"/>
          <w:sz w:val="20"/>
          <w:szCs w:val="20"/>
        </w:rPr>
        <w:t xml:space="preserve"> </w:t>
      </w:r>
      <w:r w:rsidRPr="000977F7">
        <w:rPr>
          <w:rFonts w:asciiTheme="majorHAnsi" w:hAnsiTheme="majorHAnsi"/>
          <w:sz w:val="20"/>
          <w:szCs w:val="20"/>
        </w:rPr>
        <w:t>свій вибір пред'явити виробникові (продавцеві) інші</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2"/>
          <w:sz w:val="20"/>
          <w:szCs w:val="20"/>
        </w:rPr>
        <w:t xml:space="preserve"> </w:t>
      </w:r>
      <w:r w:rsidRPr="000977F7">
        <w:rPr>
          <w:rFonts w:asciiTheme="majorHAnsi" w:hAnsiTheme="majorHAnsi"/>
          <w:sz w:val="20"/>
          <w:szCs w:val="20"/>
        </w:rPr>
        <w:t>відповідно</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r w:rsidRPr="000977F7">
        <w:rPr>
          <w:rFonts w:asciiTheme="majorHAnsi" w:hAnsiTheme="majorHAnsi"/>
          <w:spacing w:val="-1"/>
          <w:sz w:val="20"/>
          <w:szCs w:val="20"/>
        </w:rPr>
        <w:t xml:space="preserve"> </w:t>
      </w:r>
      <w:r w:rsidRPr="000977F7">
        <w:rPr>
          <w:rFonts w:asciiTheme="majorHAnsi" w:hAnsiTheme="majorHAnsi"/>
          <w:sz w:val="20"/>
          <w:szCs w:val="20"/>
        </w:rPr>
        <w:t>першої</w:t>
      </w:r>
      <w:r w:rsidRPr="000977F7">
        <w:rPr>
          <w:rFonts w:asciiTheme="majorHAnsi" w:hAnsiTheme="majorHAnsi"/>
          <w:spacing w:val="-2"/>
          <w:sz w:val="20"/>
          <w:szCs w:val="20"/>
        </w:rPr>
        <w:t xml:space="preserve"> </w:t>
      </w:r>
      <w:r w:rsidRPr="000977F7">
        <w:rPr>
          <w:rFonts w:asciiTheme="majorHAnsi" w:hAnsiTheme="majorHAnsi"/>
          <w:sz w:val="20"/>
          <w:szCs w:val="20"/>
        </w:rPr>
        <w:t>цієї</w:t>
      </w:r>
      <w:r w:rsidRPr="000977F7">
        <w:rPr>
          <w:rFonts w:asciiTheme="majorHAnsi" w:hAnsiTheme="majorHAnsi"/>
          <w:spacing w:val="-3"/>
          <w:sz w:val="20"/>
          <w:szCs w:val="20"/>
        </w:rPr>
        <w:t xml:space="preserve"> </w:t>
      </w:r>
      <w:r w:rsidRPr="000977F7">
        <w:rPr>
          <w:rFonts w:asciiTheme="majorHAnsi" w:hAnsiTheme="majorHAnsi"/>
          <w:sz w:val="20"/>
          <w:szCs w:val="20"/>
        </w:rPr>
        <w:t>статті.</w:t>
      </w:r>
    </w:p>
    <w:p w14:paraId="46F3425F" w14:textId="77777777" w:rsidR="0097612F" w:rsidRPr="000977F7" w:rsidRDefault="0097612F" w:rsidP="00FD39A4">
      <w:pPr>
        <w:pStyle w:val="ac"/>
        <w:widowControl w:val="0"/>
        <w:numPr>
          <w:ilvl w:val="0"/>
          <w:numId w:val="105"/>
        </w:numPr>
        <w:tabs>
          <w:tab w:val="left" w:pos="284"/>
          <w:tab w:val="left" w:pos="102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споживача</w:t>
      </w:r>
      <w:r w:rsidRPr="000977F7">
        <w:rPr>
          <w:rFonts w:asciiTheme="majorHAnsi" w:hAnsiTheme="majorHAnsi"/>
          <w:spacing w:val="1"/>
          <w:sz w:val="20"/>
          <w:szCs w:val="20"/>
        </w:rPr>
        <w:t xml:space="preserve"> </w:t>
      </w:r>
      <w:r w:rsidRPr="000977F7">
        <w:rPr>
          <w:rFonts w:asciiTheme="majorHAnsi" w:hAnsiTheme="majorHAnsi"/>
          <w:sz w:val="20"/>
          <w:szCs w:val="20"/>
        </w:rPr>
        <w:t>розглядаються</w:t>
      </w:r>
      <w:r w:rsidRPr="000977F7">
        <w:rPr>
          <w:rFonts w:asciiTheme="majorHAnsi" w:hAnsiTheme="majorHAnsi"/>
          <w:spacing w:val="1"/>
          <w:sz w:val="20"/>
          <w:szCs w:val="20"/>
        </w:rPr>
        <w:t xml:space="preserve"> </w:t>
      </w:r>
      <w:r w:rsidRPr="000977F7">
        <w:rPr>
          <w:rFonts w:asciiTheme="majorHAnsi" w:hAnsiTheme="majorHAnsi"/>
          <w:sz w:val="20"/>
          <w:szCs w:val="20"/>
        </w:rPr>
        <w:t>після</w:t>
      </w:r>
      <w:r w:rsidRPr="000977F7">
        <w:rPr>
          <w:rFonts w:asciiTheme="majorHAnsi" w:hAnsiTheme="majorHAnsi"/>
          <w:spacing w:val="1"/>
          <w:sz w:val="20"/>
          <w:szCs w:val="20"/>
        </w:rPr>
        <w:t xml:space="preserve"> </w:t>
      </w:r>
      <w:r w:rsidRPr="000977F7">
        <w:rPr>
          <w:rFonts w:asciiTheme="majorHAnsi" w:hAnsiTheme="majorHAnsi"/>
          <w:sz w:val="20"/>
          <w:szCs w:val="20"/>
        </w:rPr>
        <w:t>пред’явлення споживачем розрахункового документа,</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spacing w:val="3"/>
          <w:sz w:val="20"/>
          <w:szCs w:val="20"/>
        </w:rPr>
        <w:t xml:space="preserve"> </w:t>
      </w:r>
      <w:r w:rsidRPr="000977F7">
        <w:rPr>
          <w:rFonts w:asciiTheme="majorHAnsi" w:hAnsiTheme="majorHAnsi"/>
          <w:sz w:val="20"/>
          <w:szCs w:val="20"/>
        </w:rPr>
        <w:t>щодо</w:t>
      </w:r>
      <w:r w:rsidRPr="000977F7">
        <w:rPr>
          <w:rFonts w:asciiTheme="majorHAnsi" w:hAnsiTheme="majorHAnsi"/>
          <w:spacing w:val="4"/>
          <w:sz w:val="20"/>
          <w:szCs w:val="20"/>
        </w:rPr>
        <w:t xml:space="preserve"> </w:t>
      </w:r>
      <w:r w:rsidRPr="000977F7">
        <w:rPr>
          <w:rFonts w:asciiTheme="majorHAnsi" w:hAnsiTheme="majorHAnsi"/>
          <w:sz w:val="20"/>
          <w:szCs w:val="20"/>
        </w:rPr>
        <w:t>товарів,</w:t>
      </w:r>
      <w:r w:rsidRPr="000977F7">
        <w:rPr>
          <w:rFonts w:asciiTheme="majorHAnsi" w:hAnsiTheme="majorHAnsi"/>
          <w:spacing w:val="6"/>
          <w:sz w:val="20"/>
          <w:szCs w:val="20"/>
        </w:rPr>
        <w:t xml:space="preserve"> </w:t>
      </w:r>
      <w:r w:rsidRPr="000977F7">
        <w:rPr>
          <w:rFonts w:asciiTheme="majorHAnsi" w:hAnsiTheme="majorHAnsi"/>
          <w:sz w:val="20"/>
          <w:szCs w:val="20"/>
        </w:rPr>
        <w:t>на</w:t>
      </w:r>
      <w:r w:rsidRPr="000977F7">
        <w:rPr>
          <w:rFonts w:asciiTheme="majorHAnsi" w:hAnsiTheme="majorHAnsi"/>
          <w:spacing w:val="4"/>
          <w:sz w:val="20"/>
          <w:szCs w:val="20"/>
        </w:rPr>
        <w:t xml:space="preserve"> </w:t>
      </w:r>
      <w:r w:rsidRPr="000977F7">
        <w:rPr>
          <w:rFonts w:asciiTheme="majorHAnsi" w:hAnsiTheme="majorHAnsi"/>
          <w:sz w:val="20"/>
          <w:szCs w:val="20"/>
        </w:rPr>
        <w:t>які</w:t>
      </w:r>
      <w:r w:rsidRPr="000977F7">
        <w:rPr>
          <w:rFonts w:asciiTheme="majorHAnsi" w:hAnsiTheme="majorHAnsi"/>
          <w:spacing w:val="3"/>
          <w:sz w:val="20"/>
          <w:szCs w:val="20"/>
        </w:rPr>
        <w:t xml:space="preserve"> </w:t>
      </w:r>
      <w:r w:rsidRPr="000977F7">
        <w:rPr>
          <w:rFonts w:asciiTheme="majorHAnsi" w:hAnsiTheme="majorHAnsi"/>
          <w:sz w:val="20"/>
          <w:szCs w:val="20"/>
        </w:rPr>
        <w:t>встановлено</w:t>
      </w:r>
      <w:r w:rsidRPr="000977F7">
        <w:rPr>
          <w:rFonts w:asciiTheme="majorHAnsi" w:hAnsiTheme="majorHAnsi"/>
          <w:spacing w:val="5"/>
          <w:sz w:val="20"/>
          <w:szCs w:val="20"/>
        </w:rPr>
        <w:t xml:space="preserve"> </w:t>
      </w:r>
      <w:r w:rsidRPr="000977F7">
        <w:rPr>
          <w:rFonts w:asciiTheme="majorHAnsi" w:hAnsiTheme="majorHAnsi"/>
          <w:sz w:val="20"/>
          <w:szCs w:val="20"/>
        </w:rPr>
        <w:t>гарантійний</w:t>
      </w:r>
      <w:r w:rsidRPr="000977F7">
        <w:rPr>
          <w:rFonts w:asciiTheme="majorHAnsi" w:hAnsiTheme="majorHAnsi"/>
          <w:spacing w:val="4"/>
          <w:sz w:val="20"/>
          <w:szCs w:val="20"/>
        </w:rPr>
        <w:t xml:space="preserve"> </w:t>
      </w:r>
      <w:r w:rsidRPr="000977F7">
        <w:rPr>
          <w:rFonts w:asciiTheme="majorHAnsi" w:hAnsiTheme="majorHAnsi"/>
          <w:sz w:val="20"/>
          <w:szCs w:val="20"/>
        </w:rPr>
        <w:t>строк,</w:t>
      </w:r>
    </w:p>
    <w:p w14:paraId="7D460F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технічного паспорта чи іншого документа, що його</w:t>
      </w:r>
      <w:r w:rsidRPr="000977F7">
        <w:rPr>
          <w:rFonts w:asciiTheme="majorHAnsi" w:hAnsiTheme="majorHAnsi"/>
          <w:spacing w:val="1"/>
          <w:sz w:val="20"/>
          <w:szCs w:val="20"/>
        </w:rPr>
        <w:t xml:space="preserve"> </w:t>
      </w:r>
      <w:r w:rsidRPr="000977F7">
        <w:rPr>
          <w:rFonts w:asciiTheme="majorHAnsi" w:hAnsiTheme="majorHAnsi"/>
          <w:sz w:val="20"/>
          <w:szCs w:val="20"/>
        </w:rPr>
        <w:t>замінює, з позначкою про дату продажу. Вимоги споживача</w:t>
      </w:r>
      <w:r w:rsidRPr="000977F7">
        <w:rPr>
          <w:rFonts w:asciiTheme="majorHAnsi" w:hAnsiTheme="majorHAnsi"/>
          <w:spacing w:val="1"/>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технічно</w:t>
      </w:r>
      <w:r w:rsidRPr="000977F7">
        <w:rPr>
          <w:rFonts w:asciiTheme="majorHAnsi" w:hAnsiTheme="majorHAnsi"/>
          <w:spacing w:val="1"/>
          <w:sz w:val="20"/>
          <w:szCs w:val="20"/>
        </w:rPr>
        <w:t xml:space="preserve"> </w:t>
      </w:r>
      <w:r w:rsidRPr="000977F7">
        <w:rPr>
          <w:rFonts w:asciiTheme="majorHAnsi" w:hAnsiTheme="majorHAnsi"/>
          <w:sz w:val="20"/>
          <w:szCs w:val="20"/>
        </w:rPr>
        <w:t>складних</w:t>
      </w:r>
      <w:r w:rsidRPr="000977F7">
        <w:rPr>
          <w:rFonts w:asciiTheme="majorHAnsi" w:hAnsiTheme="majorHAnsi"/>
          <w:spacing w:val="1"/>
          <w:sz w:val="20"/>
          <w:szCs w:val="20"/>
        </w:rPr>
        <w:t xml:space="preserve"> </w:t>
      </w:r>
      <w:r w:rsidRPr="000977F7">
        <w:rPr>
          <w:rFonts w:asciiTheme="majorHAnsi" w:hAnsiTheme="majorHAnsi"/>
          <w:sz w:val="20"/>
          <w:szCs w:val="20"/>
        </w:rPr>
        <w:t>побутових</w:t>
      </w:r>
      <w:r w:rsidRPr="000977F7">
        <w:rPr>
          <w:rFonts w:asciiTheme="majorHAnsi" w:hAnsiTheme="majorHAnsi"/>
          <w:spacing w:val="1"/>
          <w:sz w:val="20"/>
          <w:szCs w:val="20"/>
        </w:rPr>
        <w:t xml:space="preserve"> </w:t>
      </w:r>
      <w:r w:rsidRPr="000977F7">
        <w:rPr>
          <w:rFonts w:asciiTheme="majorHAnsi" w:hAnsiTheme="majorHAnsi"/>
          <w:sz w:val="20"/>
          <w:szCs w:val="20"/>
        </w:rPr>
        <w:t>товарів</w:t>
      </w:r>
      <w:r w:rsidRPr="000977F7">
        <w:rPr>
          <w:rFonts w:asciiTheme="majorHAnsi" w:hAnsiTheme="majorHAnsi"/>
          <w:spacing w:val="1"/>
          <w:sz w:val="20"/>
          <w:szCs w:val="20"/>
        </w:rPr>
        <w:t xml:space="preserve"> </w:t>
      </w:r>
      <w:r w:rsidRPr="000977F7">
        <w:rPr>
          <w:rFonts w:asciiTheme="majorHAnsi" w:hAnsiTheme="majorHAnsi"/>
          <w:sz w:val="20"/>
          <w:szCs w:val="20"/>
        </w:rPr>
        <w:t>розглядаються після пред’явлення споживачем розрахункового документа, передбаченого Законом України</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реєстраторів</w:t>
      </w:r>
      <w:r w:rsidRPr="000977F7">
        <w:rPr>
          <w:rFonts w:asciiTheme="majorHAnsi" w:hAnsiTheme="majorHAnsi"/>
          <w:spacing w:val="1"/>
          <w:sz w:val="20"/>
          <w:szCs w:val="20"/>
        </w:rPr>
        <w:t xml:space="preserve"> </w:t>
      </w:r>
      <w:r w:rsidRPr="000977F7">
        <w:rPr>
          <w:rFonts w:asciiTheme="majorHAnsi" w:hAnsiTheme="majorHAnsi"/>
          <w:sz w:val="20"/>
          <w:szCs w:val="20"/>
        </w:rPr>
        <w:t>розрахункових</w:t>
      </w:r>
      <w:r w:rsidRPr="000977F7">
        <w:rPr>
          <w:rFonts w:asciiTheme="majorHAnsi" w:hAnsiTheme="majorHAnsi"/>
          <w:spacing w:val="1"/>
          <w:sz w:val="20"/>
          <w:szCs w:val="20"/>
        </w:rPr>
        <w:t xml:space="preserve"> </w:t>
      </w:r>
      <w:r w:rsidRPr="000977F7">
        <w:rPr>
          <w:rFonts w:asciiTheme="majorHAnsi" w:hAnsiTheme="majorHAnsi"/>
          <w:sz w:val="20"/>
          <w:szCs w:val="20"/>
        </w:rPr>
        <w:t>операцій у сфері торгівлі, громадського харчування та</w:t>
      </w:r>
      <w:r w:rsidRPr="000977F7">
        <w:rPr>
          <w:rFonts w:asciiTheme="majorHAnsi" w:hAnsiTheme="majorHAnsi"/>
          <w:spacing w:val="-47"/>
          <w:sz w:val="20"/>
          <w:szCs w:val="20"/>
        </w:rPr>
        <w:t xml:space="preserve"> </w:t>
      </w:r>
      <w:r w:rsidRPr="000977F7">
        <w:rPr>
          <w:rFonts w:asciiTheme="majorHAnsi" w:hAnsiTheme="majorHAnsi"/>
          <w:sz w:val="20"/>
          <w:szCs w:val="20"/>
        </w:rPr>
        <w:t>послуг" та технічного паспорта чи іншого документа,</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його замінює,</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2"/>
          <w:sz w:val="20"/>
          <w:szCs w:val="20"/>
        </w:rPr>
        <w:t xml:space="preserve"> </w:t>
      </w:r>
      <w:r w:rsidRPr="000977F7">
        <w:rPr>
          <w:rFonts w:asciiTheme="majorHAnsi" w:hAnsiTheme="majorHAnsi"/>
          <w:sz w:val="20"/>
          <w:szCs w:val="20"/>
        </w:rPr>
        <w:t>позначкою</w:t>
      </w:r>
      <w:r w:rsidRPr="000977F7">
        <w:rPr>
          <w:rFonts w:asciiTheme="majorHAnsi" w:hAnsiTheme="majorHAnsi"/>
          <w:spacing w:val="-1"/>
          <w:sz w:val="20"/>
          <w:szCs w:val="20"/>
        </w:rPr>
        <w:t xml:space="preserve"> </w:t>
      </w:r>
      <w:r w:rsidRPr="000977F7">
        <w:rPr>
          <w:rFonts w:asciiTheme="majorHAnsi" w:hAnsiTheme="majorHAnsi"/>
          <w:sz w:val="20"/>
          <w:szCs w:val="20"/>
        </w:rPr>
        <w:t>про дату</w:t>
      </w:r>
      <w:r w:rsidRPr="000977F7">
        <w:rPr>
          <w:rFonts w:asciiTheme="majorHAnsi" w:hAnsiTheme="majorHAnsi"/>
          <w:spacing w:val="-2"/>
          <w:sz w:val="20"/>
          <w:szCs w:val="20"/>
        </w:rPr>
        <w:t xml:space="preserve"> </w:t>
      </w:r>
      <w:r w:rsidRPr="000977F7">
        <w:rPr>
          <w:rFonts w:asciiTheme="majorHAnsi" w:hAnsiTheme="majorHAnsi"/>
          <w:sz w:val="20"/>
          <w:szCs w:val="20"/>
        </w:rPr>
        <w:t>продажу.</w:t>
      </w:r>
    </w:p>
    <w:p w14:paraId="03C8C0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Виконавець залежно від характеру і специфіки виконаної роботи (наданої послуги) зобов'язаний видати споживачеві розрахунковий документ, що засвідчує факт виконання роботи (надання послуги), або відтворити на дисплеї програмного реєстратора розрахункових операцій (дисплеї пристрою, на якому встановлений програмний реєстратор розрахункових операцій) QR-код, що дає змогу споживачеві здійснювати його зчитування та ідентифікацію з розрахунковим документом за структурою даних, що в ньому містяться, або надіслати електронний розрахунковий документ на наданий споживачем абонентський номер чи адресу електронної пошти.</w:t>
      </w:r>
    </w:p>
    <w:p w14:paraId="477C750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shd w:val="clear" w:color="auto" w:fill="FFFFFF"/>
        </w:rPr>
        <w:t>Розрахунковий документ має бути виданий або створений в електронній формі не пізніше моменту передачі товару (послуги).</w:t>
      </w:r>
    </w:p>
    <w:p w14:paraId="0CA2AA9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разі</w:t>
      </w:r>
      <w:r w:rsidRPr="000977F7">
        <w:rPr>
          <w:rFonts w:asciiTheme="majorHAnsi" w:hAnsiTheme="majorHAnsi"/>
          <w:spacing w:val="1"/>
          <w:sz w:val="20"/>
          <w:szCs w:val="20"/>
        </w:rPr>
        <w:t xml:space="preserve"> </w:t>
      </w:r>
      <w:r w:rsidRPr="000977F7">
        <w:rPr>
          <w:rFonts w:asciiTheme="majorHAnsi" w:hAnsiTheme="majorHAnsi"/>
          <w:sz w:val="20"/>
          <w:szCs w:val="20"/>
        </w:rPr>
        <w:t>втрати</w:t>
      </w:r>
      <w:r w:rsidRPr="000977F7">
        <w:rPr>
          <w:rFonts w:asciiTheme="majorHAnsi" w:hAnsiTheme="majorHAnsi"/>
          <w:spacing w:val="1"/>
          <w:sz w:val="20"/>
          <w:szCs w:val="20"/>
        </w:rPr>
        <w:t xml:space="preserve"> </w:t>
      </w:r>
      <w:r w:rsidRPr="000977F7">
        <w:rPr>
          <w:rFonts w:asciiTheme="majorHAnsi" w:hAnsiTheme="majorHAnsi"/>
          <w:sz w:val="20"/>
          <w:szCs w:val="20"/>
        </w:rPr>
        <w:t>споживачем</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паспорта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іншого документа, що його замінює, їх відновлення</w:t>
      </w:r>
      <w:r w:rsidRPr="000977F7">
        <w:rPr>
          <w:rFonts w:asciiTheme="majorHAnsi" w:hAnsiTheme="majorHAnsi"/>
          <w:spacing w:val="1"/>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порядку,</w:t>
      </w:r>
      <w:r w:rsidRPr="000977F7">
        <w:rPr>
          <w:rFonts w:asciiTheme="majorHAnsi" w:hAnsiTheme="majorHAnsi"/>
          <w:spacing w:val="1"/>
          <w:sz w:val="20"/>
          <w:szCs w:val="20"/>
        </w:rPr>
        <w:t xml:space="preserve"> </w:t>
      </w:r>
      <w:r w:rsidRPr="000977F7">
        <w:rPr>
          <w:rFonts w:asciiTheme="majorHAnsi" w:hAnsiTheme="majorHAnsi"/>
          <w:sz w:val="20"/>
          <w:szCs w:val="20"/>
        </w:rPr>
        <w:t>визначеному</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законодавством.</w:t>
      </w:r>
    </w:p>
    <w:p w14:paraId="57775844" w14:textId="77777777" w:rsidR="0097612F" w:rsidRPr="000977F7" w:rsidRDefault="0097612F" w:rsidP="00FD39A4">
      <w:pPr>
        <w:pStyle w:val="ac"/>
        <w:widowControl w:val="0"/>
        <w:numPr>
          <w:ilvl w:val="0"/>
          <w:numId w:val="105"/>
        </w:numPr>
        <w:tabs>
          <w:tab w:val="left" w:pos="284"/>
          <w:tab w:val="left" w:pos="82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Виробник зобов'язаний відшкодувати всі збитки</w:t>
      </w:r>
      <w:r w:rsidRPr="000977F7">
        <w:rPr>
          <w:rFonts w:asciiTheme="majorHAnsi" w:hAnsiTheme="majorHAnsi"/>
          <w:spacing w:val="1"/>
          <w:sz w:val="20"/>
          <w:szCs w:val="20"/>
        </w:rPr>
        <w:t xml:space="preserve"> </w:t>
      </w:r>
      <w:r w:rsidRPr="000977F7">
        <w:rPr>
          <w:rFonts w:asciiTheme="majorHAnsi" w:hAnsiTheme="majorHAnsi"/>
          <w:sz w:val="20"/>
          <w:szCs w:val="20"/>
        </w:rPr>
        <w:t>продавця (підприємства, що задовольняє вимоги споживача,</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встановлені</w:t>
      </w:r>
      <w:r w:rsidRPr="000977F7">
        <w:rPr>
          <w:rFonts w:asciiTheme="majorHAnsi" w:hAnsiTheme="majorHAnsi"/>
          <w:spacing w:val="1"/>
          <w:sz w:val="20"/>
          <w:szCs w:val="20"/>
        </w:rPr>
        <w:t xml:space="preserve"> </w:t>
      </w:r>
      <w:r w:rsidRPr="000977F7">
        <w:rPr>
          <w:rFonts w:asciiTheme="majorHAnsi" w:hAnsiTheme="majorHAnsi"/>
          <w:sz w:val="20"/>
          <w:szCs w:val="20"/>
        </w:rPr>
        <w:t>частиною</w:t>
      </w:r>
      <w:r w:rsidRPr="000977F7">
        <w:rPr>
          <w:rFonts w:asciiTheme="majorHAnsi" w:hAnsiTheme="majorHAnsi"/>
          <w:spacing w:val="1"/>
          <w:sz w:val="20"/>
          <w:szCs w:val="20"/>
        </w:rPr>
        <w:t xml:space="preserve"> </w:t>
      </w:r>
      <w:r w:rsidRPr="000977F7">
        <w:rPr>
          <w:rFonts w:asciiTheme="majorHAnsi" w:hAnsiTheme="majorHAnsi"/>
          <w:sz w:val="20"/>
          <w:szCs w:val="20"/>
        </w:rPr>
        <w:t>першою</w:t>
      </w:r>
      <w:r w:rsidRPr="000977F7">
        <w:rPr>
          <w:rFonts w:asciiTheme="majorHAnsi" w:hAnsiTheme="majorHAnsi"/>
          <w:spacing w:val="1"/>
          <w:sz w:val="20"/>
          <w:szCs w:val="20"/>
        </w:rPr>
        <w:t xml:space="preserve"> </w:t>
      </w:r>
      <w:r w:rsidRPr="000977F7">
        <w:rPr>
          <w:rFonts w:asciiTheme="majorHAnsi" w:hAnsiTheme="majorHAnsi"/>
          <w:sz w:val="20"/>
          <w:szCs w:val="20"/>
        </w:rPr>
        <w:t>цієї</w:t>
      </w:r>
      <w:r w:rsidRPr="000977F7">
        <w:rPr>
          <w:rFonts w:asciiTheme="majorHAnsi" w:hAnsiTheme="majorHAnsi"/>
          <w:spacing w:val="1"/>
          <w:sz w:val="20"/>
          <w:szCs w:val="20"/>
        </w:rPr>
        <w:t xml:space="preserve"> </w:t>
      </w:r>
      <w:r w:rsidRPr="000977F7">
        <w:rPr>
          <w:rFonts w:asciiTheme="majorHAnsi" w:hAnsiTheme="majorHAnsi"/>
          <w:sz w:val="20"/>
          <w:szCs w:val="20"/>
        </w:rPr>
        <w:t>статті),</w:t>
      </w:r>
      <w:r w:rsidRPr="000977F7">
        <w:rPr>
          <w:rFonts w:asciiTheme="majorHAnsi" w:hAnsiTheme="majorHAnsi"/>
          <w:spacing w:val="1"/>
          <w:sz w:val="20"/>
          <w:szCs w:val="20"/>
        </w:rPr>
        <w:t xml:space="preserve"> </w:t>
      </w:r>
      <w:r w:rsidRPr="000977F7">
        <w:rPr>
          <w:rFonts w:asciiTheme="majorHAnsi" w:hAnsiTheme="majorHAnsi"/>
          <w:sz w:val="20"/>
          <w:szCs w:val="20"/>
        </w:rPr>
        <w:t>який розглядає претензію споживача до придбаного</w:t>
      </w:r>
      <w:r w:rsidRPr="000977F7">
        <w:rPr>
          <w:rFonts w:asciiTheme="majorHAnsi" w:hAnsiTheme="majorHAnsi"/>
          <w:spacing w:val="1"/>
          <w:sz w:val="20"/>
          <w:szCs w:val="20"/>
        </w:rPr>
        <w:t xml:space="preserve"> </w:t>
      </w:r>
      <w:r w:rsidRPr="000977F7">
        <w:rPr>
          <w:rFonts w:asciiTheme="majorHAnsi" w:hAnsiTheme="majorHAnsi"/>
          <w:sz w:val="20"/>
          <w:szCs w:val="20"/>
        </w:rPr>
        <w:t>товару.</w:t>
      </w:r>
    </w:p>
    <w:p w14:paraId="18821AB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Продавець (виробник) товарів зобов'язаний у місячний</w:t>
      </w:r>
      <w:r w:rsidRPr="000977F7">
        <w:rPr>
          <w:rFonts w:asciiTheme="majorHAnsi" w:hAnsiTheme="majorHAnsi"/>
          <w:spacing w:val="1"/>
          <w:sz w:val="20"/>
          <w:szCs w:val="20"/>
        </w:rPr>
        <w:t xml:space="preserve"> </w:t>
      </w:r>
      <w:r w:rsidRPr="000977F7">
        <w:rPr>
          <w:rFonts w:asciiTheme="majorHAnsi" w:hAnsiTheme="majorHAnsi"/>
          <w:sz w:val="20"/>
          <w:szCs w:val="20"/>
        </w:rPr>
        <w:t>строк</w:t>
      </w:r>
      <w:r w:rsidRPr="000977F7">
        <w:rPr>
          <w:rFonts w:asciiTheme="majorHAnsi" w:hAnsiTheme="majorHAnsi"/>
          <w:spacing w:val="1"/>
          <w:sz w:val="20"/>
          <w:szCs w:val="20"/>
        </w:rPr>
        <w:t xml:space="preserve"> </w:t>
      </w:r>
      <w:r w:rsidRPr="000977F7">
        <w:rPr>
          <w:rFonts w:asciiTheme="majorHAnsi" w:hAnsiTheme="majorHAnsi"/>
          <w:sz w:val="20"/>
          <w:szCs w:val="20"/>
        </w:rPr>
        <w:t>відшкодувати</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підприємству,</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виконує</w:t>
      </w:r>
      <w:r w:rsidRPr="000977F7">
        <w:rPr>
          <w:rFonts w:asciiTheme="majorHAnsi" w:hAnsiTheme="majorHAnsi"/>
          <w:spacing w:val="1"/>
          <w:sz w:val="20"/>
          <w:szCs w:val="20"/>
        </w:rPr>
        <w:t xml:space="preserve"> </w:t>
      </w:r>
      <w:r w:rsidRPr="000977F7">
        <w:rPr>
          <w:rFonts w:asciiTheme="majorHAnsi" w:hAnsiTheme="majorHAnsi"/>
          <w:sz w:val="20"/>
          <w:szCs w:val="20"/>
        </w:rPr>
        <w:t xml:space="preserve">його функції, збитки, яких воно зазнало у </w:t>
      </w:r>
      <w:r w:rsidRPr="000977F7">
        <w:rPr>
          <w:rFonts w:asciiTheme="majorHAnsi" w:hAnsiTheme="majorHAnsi"/>
          <w:sz w:val="20"/>
          <w:szCs w:val="20"/>
        </w:rPr>
        <w:t>зв'язку із</w:t>
      </w:r>
      <w:r w:rsidRPr="000977F7">
        <w:rPr>
          <w:rFonts w:asciiTheme="majorHAnsi" w:hAnsiTheme="majorHAnsi"/>
          <w:spacing w:val="1"/>
          <w:sz w:val="20"/>
          <w:szCs w:val="20"/>
        </w:rPr>
        <w:t xml:space="preserve"> </w:t>
      </w:r>
      <w:r w:rsidRPr="000977F7">
        <w:rPr>
          <w:rFonts w:asciiTheme="majorHAnsi" w:hAnsiTheme="majorHAnsi"/>
          <w:sz w:val="20"/>
          <w:szCs w:val="20"/>
        </w:rPr>
        <w:t>задоволенням</w:t>
      </w:r>
      <w:r w:rsidRPr="000977F7">
        <w:rPr>
          <w:rFonts w:asciiTheme="majorHAnsi" w:hAnsiTheme="majorHAnsi"/>
          <w:spacing w:val="1"/>
          <w:sz w:val="20"/>
          <w:szCs w:val="20"/>
        </w:rPr>
        <w:t xml:space="preserve"> </w:t>
      </w:r>
      <w:r w:rsidRPr="000977F7">
        <w:rPr>
          <w:rFonts w:asciiTheme="majorHAnsi" w:hAnsiTheme="majorHAnsi"/>
          <w:sz w:val="20"/>
          <w:szCs w:val="20"/>
        </w:rPr>
        <w:t>вимог</w:t>
      </w:r>
      <w:r w:rsidRPr="000977F7">
        <w:rPr>
          <w:rFonts w:asciiTheme="majorHAnsi" w:hAnsiTheme="majorHAnsi"/>
          <w:spacing w:val="1"/>
          <w:sz w:val="20"/>
          <w:szCs w:val="20"/>
        </w:rPr>
        <w:t xml:space="preserve"> </w:t>
      </w:r>
      <w:r w:rsidRPr="000977F7">
        <w:rPr>
          <w:rFonts w:asciiTheme="majorHAnsi" w:hAnsiTheme="majorHAnsi"/>
          <w:sz w:val="20"/>
          <w:szCs w:val="20"/>
        </w:rPr>
        <w:t>споживача,</w:t>
      </w:r>
      <w:r w:rsidRPr="000977F7">
        <w:rPr>
          <w:rFonts w:asciiTheme="majorHAnsi" w:hAnsiTheme="majorHAnsi"/>
          <w:spacing w:val="1"/>
          <w:sz w:val="20"/>
          <w:szCs w:val="20"/>
        </w:rPr>
        <w:t xml:space="preserve"> </w:t>
      </w:r>
      <w:r w:rsidRPr="000977F7">
        <w:rPr>
          <w:rFonts w:asciiTheme="majorHAnsi" w:hAnsiTheme="majorHAnsi"/>
          <w:sz w:val="20"/>
          <w:szCs w:val="20"/>
        </w:rPr>
        <w:t>передбачених</w:t>
      </w:r>
      <w:r w:rsidRPr="000977F7">
        <w:rPr>
          <w:rFonts w:asciiTheme="majorHAnsi" w:hAnsiTheme="majorHAnsi"/>
          <w:spacing w:val="1"/>
          <w:sz w:val="20"/>
          <w:szCs w:val="20"/>
        </w:rPr>
        <w:t xml:space="preserve"> </w:t>
      </w:r>
      <w:r w:rsidRPr="000977F7">
        <w:rPr>
          <w:rFonts w:asciiTheme="majorHAnsi" w:hAnsiTheme="majorHAnsi"/>
          <w:sz w:val="20"/>
          <w:szCs w:val="20"/>
        </w:rPr>
        <w:t>цією</w:t>
      </w:r>
      <w:r w:rsidRPr="000977F7">
        <w:rPr>
          <w:rFonts w:asciiTheme="majorHAnsi" w:hAnsiTheme="majorHAnsi"/>
          <w:spacing w:val="1"/>
          <w:sz w:val="20"/>
          <w:szCs w:val="20"/>
        </w:rPr>
        <w:t xml:space="preserve"> </w:t>
      </w:r>
      <w:r w:rsidRPr="000977F7">
        <w:rPr>
          <w:rFonts w:asciiTheme="majorHAnsi" w:hAnsiTheme="majorHAnsi"/>
          <w:sz w:val="20"/>
          <w:szCs w:val="20"/>
        </w:rPr>
        <w:t>статтею.</w:t>
      </w:r>
    </w:p>
    <w:p w14:paraId="5248D665" w14:textId="77777777" w:rsidR="0097612F" w:rsidRPr="000977F7" w:rsidRDefault="0097612F" w:rsidP="00FD39A4">
      <w:pPr>
        <w:pStyle w:val="ac"/>
        <w:widowControl w:val="0"/>
        <w:numPr>
          <w:ilvl w:val="0"/>
          <w:numId w:val="105"/>
        </w:numPr>
        <w:tabs>
          <w:tab w:val="left" w:pos="284"/>
          <w:tab w:val="left" w:pos="79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Вимоги, встановлені частиною першою цієї статті</w:t>
      </w:r>
      <w:r w:rsidRPr="000977F7">
        <w:rPr>
          <w:rFonts w:asciiTheme="majorHAnsi" w:hAnsiTheme="majorHAnsi"/>
          <w:spacing w:val="-47"/>
          <w:sz w:val="20"/>
          <w:szCs w:val="20"/>
        </w:rPr>
        <w:t xml:space="preserve"> </w:t>
      </w:r>
      <w:r w:rsidRPr="000977F7">
        <w:rPr>
          <w:rFonts w:asciiTheme="majorHAnsi" w:hAnsiTheme="majorHAnsi"/>
          <w:sz w:val="20"/>
          <w:szCs w:val="20"/>
        </w:rPr>
        <w:t>щодо товарів, виготовлених за межами України, задовольняються</w:t>
      </w:r>
      <w:r w:rsidRPr="000977F7">
        <w:rPr>
          <w:rFonts w:asciiTheme="majorHAnsi" w:hAnsiTheme="majorHAnsi"/>
          <w:spacing w:val="-2"/>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рахунок</w:t>
      </w:r>
      <w:r w:rsidRPr="000977F7">
        <w:rPr>
          <w:rFonts w:asciiTheme="majorHAnsi" w:hAnsiTheme="majorHAnsi"/>
          <w:spacing w:val="-2"/>
          <w:sz w:val="20"/>
          <w:szCs w:val="20"/>
        </w:rPr>
        <w:t xml:space="preserve"> </w:t>
      </w:r>
      <w:r w:rsidRPr="000977F7">
        <w:rPr>
          <w:rFonts w:asciiTheme="majorHAnsi" w:hAnsiTheme="majorHAnsi"/>
          <w:sz w:val="20"/>
          <w:szCs w:val="20"/>
        </w:rPr>
        <w:t>продавця</w:t>
      </w:r>
      <w:r w:rsidRPr="000977F7">
        <w:rPr>
          <w:rFonts w:asciiTheme="majorHAnsi" w:hAnsiTheme="majorHAnsi"/>
          <w:spacing w:val="-2"/>
          <w:sz w:val="20"/>
          <w:szCs w:val="20"/>
        </w:rPr>
        <w:t xml:space="preserve"> </w:t>
      </w:r>
      <w:r w:rsidRPr="000977F7">
        <w:rPr>
          <w:rFonts w:asciiTheme="majorHAnsi" w:hAnsiTheme="majorHAnsi"/>
          <w:sz w:val="20"/>
          <w:szCs w:val="20"/>
        </w:rPr>
        <w:t>(імпортера).</w:t>
      </w:r>
    </w:p>
    <w:p w14:paraId="4F55C5B2" w14:textId="77777777" w:rsidR="0097612F" w:rsidRPr="000977F7" w:rsidRDefault="0097612F" w:rsidP="00FD39A4">
      <w:pPr>
        <w:pStyle w:val="ac"/>
        <w:widowControl w:val="0"/>
        <w:numPr>
          <w:ilvl w:val="0"/>
          <w:numId w:val="105"/>
        </w:numPr>
        <w:tabs>
          <w:tab w:val="left" w:pos="284"/>
          <w:tab w:val="left" w:pos="81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Вимоги споживача, передбачені цією статтею, не</w:t>
      </w:r>
      <w:r w:rsidRPr="000977F7">
        <w:rPr>
          <w:rFonts w:asciiTheme="majorHAnsi" w:hAnsiTheme="majorHAnsi"/>
          <w:spacing w:val="1"/>
          <w:sz w:val="20"/>
          <w:szCs w:val="20"/>
        </w:rPr>
        <w:t xml:space="preserve"> </w:t>
      </w:r>
      <w:r w:rsidRPr="000977F7">
        <w:rPr>
          <w:rFonts w:asciiTheme="majorHAnsi" w:hAnsiTheme="majorHAnsi"/>
          <w:sz w:val="20"/>
          <w:szCs w:val="20"/>
        </w:rPr>
        <w:t>підлягають задоволенню, якщо продавець, виробник</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(підприємство,</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задовольняє</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споживача,</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встановлені частиною першою цієї статті) доведуть,</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недоліки</w:t>
      </w:r>
      <w:r w:rsidRPr="000977F7">
        <w:rPr>
          <w:rFonts w:asciiTheme="majorHAnsi" w:hAnsiTheme="majorHAnsi"/>
          <w:spacing w:val="1"/>
          <w:sz w:val="20"/>
          <w:szCs w:val="20"/>
        </w:rPr>
        <w:t xml:space="preserve"> </w:t>
      </w:r>
      <w:r w:rsidRPr="000977F7">
        <w:rPr>
          <w:rFonts w:asciiTheme="majorHAnsi" w:hAnsiTheme="majorHAnsi"/>
          <w:sz w:val="20"/>
          <w:szCs w:val="20"/>
        </w:rPr>
        <w:t>товару</w:t>
      </w:r>
      <w:r w:rsidRPr="000977F7">
        <w:rPr>
          <w:rFonts w:asciiTheme="majorHAnsi" w:hAnsiTheme="majorHAnsi"/>
          <w:spacing w:val="1"/>
          <w:sz w:val="20"/>
          <w:szCs w:val="20"/>
        </w:rPr>
        <w:t xml:space="preserve"> </w:t>
      </w:r>
      <w:r w:rsidRPr="000977F7">
        <w:rPr>
          <w:rFonts w:asciiTheme="majorHAnsi" w:hAnsiTheme="majorHAnsi"/>
          <w:sz w:val="20"/>
          <w:szCs w:val="20"/>
        </w:rPr>
        <w:t>виникли</w:t>
      </w:r>
      <w:r w:rsidRPr="000977F7">
        <w:rPr>
          <w:rFonts w:asciiTheme="majorHAnsi" w:hAnsiTheme="majorHAnsi"/>
          <w:spacing w:val="1"/>
          <w:sz w:val="20"/>
          <w:szCs w:val="20"/>
        </w:rPr>
        <w:t xml:space="preserve"> </w:t>
      </w:r>
      <w:r w:rsidRPr="000977F7">
        <w:rPr>
          <w:rFonts w:asciiTheme="majorHAnsi" w:hAnsiTheme="majorHAnsi"/>
          <w:sz w:val="20"/>
          <w:szCs w:val="20"/>
        </w:rPr>
        <w:t>внаслідок</w:t>
      </w:r>
      <w:r w:rsidRPr="000977F7">
        <w:rPr>
          <w:rFonts w:asciiTheme="majorHAnsi" w:hAnsiTheme="majorHAnsi"/>
          <w:spacing w:val="1"/>
          <w:sz w:val="20"/>
          <w:szCs w:val="20"/>
        </w:rPr>
        <w:t xml:space="preserve"> </w:t>
      </w:r>
      <w:r w:rsidRPr="000977F7">
        <w:rPr>
          <w:rFonts w:asciiTheme="majorHAnsi" w:hAnsiTheme="majorHAnsi"/>
          <w:sz w:val="20"/>
          <w:szCs w:val="20"/>
        </w:rPr>
        <w:t>порушення</w:t>
      </w:r>
      <w:r w:rsidRPr="000977F7">
        <w:rPr>
          <w:rFonts w:asciiTheme="majorHAnsi" w:hAnsiTheme="majorHAnsi"/>
          <w:spacing w:val="1"/>
          <w:sz w:val="20"/>
          <w:szCs w:val="20"/>
        </w:rPr>
        <w:t xml:space="preserve"> </w:t>
      </w:r>
      <w:r w:rsidRPr="000977F7">
        <w:rPr>
          <w:rFonts w:asciiTheme="majorHAnsi" w:hAnsiTheme="majorHAnsi"/>
          <w:sz w:val="20"/>
          <w:szCs w:val="20"/>
        </w:rPr>
        <w:t>споживачем правил користування товаром або</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зберігання.</w:t>
      </w:r>
      <w:r w:rsidRPr="000977F7">
        <w:rPr>
          <w:rFonts w:asciiTheme="majorHAnsi" w:hAnsiTheme="majorHAnsi"/>
          <w:spacing w:val="16"/>
          <w:sz w:val="20"/>
          <w:szCs w:val="20"/>
        </w:rPr>
        <w:t xml:space="preserve"> </w:t>
      </w:r>
      <w:r w:rsidRPr="000977F7">
        <w:rPr>
          <w:rFonts w:asciiTheme="majorHAnsi" w:hAnsiTheme="majorHAnsi"/>
          <w:sz w:val="20"/>
          <w:szCs w:val="20"/>
        </w:rPr>
        <w:t>Споживач</w:t>
      </w:r>
      <w:r w:rsidRPr="000977F7">
        <w:rPr>
          <w:rFonts w:asciiTheme="majorHAnsi" w:hAnsiTheme="majorHAnsi"/>
          <w:spacing w:val="14"/>
          <w:sz w:val="20"/>
          <w:szCs w:val="20"/>
        </w:rPr>
        <w:t xml:space="preserve"> </w:t>
      </w:r>
      <w:r w:rsidRPr="000977F7">
        <w:rPr>
          <w:rFonts w:asciiTheme="majorHAnsi" w:hAnsiTheme="majorHAnsi"/>
          <w:sz w:val="20"/>
          <w:szCs w:val="20"/>
        </w:rPr>
        <w:t>має</w:t>
      </w:r>
      <w:r w:rsidRPr="000977F7">
        <w:rPr>
          <w:rFonts w:asciiTheme="majorHAnsi" w:hAnsiTheme="majorHAnsi"/>
          <w:spacing w:val="18"/>
          <w:sz w:val="20"/>
          <w:szCs w:val="20"/>
        </w:rPr>
        <w:t xml:space="preserve"> </w:t>
      </w:r>
      <w:r w:rsidRPr="000977F7">
        <w:rPr>
          <w:rFonts w:asciiTheme="majorHAnsi" w:hAnsiTheme="majorHAnsi"/>
          <w:sz w:val="20"/>
          <w:szCs w:val="20"/>
        </w:rPr>
        <w:t>право</w:t>
      </w:r>
      <w:r w:rsidRPr="000977F7">
        <w:rPr>
          <w:rFonts w:asciiTheme="majorHAnsi" w:hAnsiTheme="majorHAnsi"/>
          <w:spacing w:val="14"/>
          <w:sz w:val="20"/>
          <w:szCs w:val="20"/>
        </w:rPr>
        <w:t xml:space="preserve"> </w:t>
      </w:r>
      <w:r w:rsidRPr="000977F7">
        <w:rPr>
          <w:rFonts w:asciiTheme="majorHAnsi" w:hAnsiTheme="majorHAnsi"/>
          <w:sz w:val="20"/>
          <w:szCs w:val="20"/>
        </w:rPr>
        <w:t>брати</w:t>
      </w:r>
      <w:r w:rsidRPr="000977F7">
        <w:rPr>
          <w:rFonts w:asciiTheme="majorHAnsi" w:hAnsiTheme="majorHAnsi"/>
          <w:spacing w:val="16"/>
          <w:sz w:val="20"/>
          <w:szCs w:val="20"/>
        </w:rPr>
        <w:t xml:space="preserve"> </w:t>
      </w:r>
      <w:r w:rsidRPr="000977F7">
        <w:rPr>
          <w:rFonts w:asciiTheme="majorHAnsi" w:hAnsiTheme="majorHAnsi"/>
          <w:sz w:val="20"/>
          <w:szCs w:val="20"/>
        </w:rPr>
        <w:t>участь</w:t>
      </w:r>
      <w:r w:rsidRPr="000977F7">
        <w:rPr>
          <w:rFonts w:asciiTheme="majorHAnsi" w:hAnsiTheme="majorHAnsi"/>
          <w:spacing w:val="16"/>
          <w:sz w:val="20"/>
          <w:szCs w:val="20"/>
        </w:rPr>
        <w:t xml:space="preserve"> </w:t>
      </w:r>
      <w:r w:rsidRPr="000977F7">
        <w:rPr>
          <w:rFonts w:asciiTheme="majorHAnsi" w:hAnsiTheme="majorHAnsi"/>
          <w:sz w:val="20"/>
          <w:szCs w:val="20"/>
        </w:rPr>
        <w:t>у</w:t>
      </w:r>
      <w:r w:rsidRPr="000977F7">
        <w:rPr>
          <w:rFonts w:asciiTheme="majorHAnsi" w:hAnsiTheme="majorHAnsi"/>
          <w:spacing w:val="15"/>
          <w:sz w:val="20"/>
          <w:szCs w:val="20"/>
        </w:rPr>
        <w:t xml:space="preserve"> </w:t>
      </w:r>
      <w:r w:rsidRPr="000977F7">
        <w:rPr>
          <w:rFonts w:asciiTheme="majorHAnsi" w:hAnsiTheme="majorHAnsi"/>
          <w:sz w:val="20"/>
          <w:szCs w:val="20"/>
        </w:rPr>
        <w:t>перевірці якості товару особисто або через свого представника.</w:t>
      </w:r>
    </w:p>
    <w:p w14:paraId="288E11C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2"/>
          <w:sz w:val="20"/>
          <w:szCs w:val="20"/>
        </w:rPr>
        <w:t xml:space="preserve"> </w:t>
      </w:r>
      <w:r w:rsidRPr="000977F7">
        <w:rPr>
          <w:rFonts w:asciiTheme="majorHAnsi" w:hAnsiTheme="majorHAnsi"/>
          <w:i/>
          <w:sz w:val="20"/>
          <w:szCs w:val="20"/>
        </w:rPr>
        <w:t>8</w:t>
      </w:r>
      <w:r w:rsidRPr="000977F7">
        <w:rPr>
          <w:rFonts w:asciiTheme="majorHAnsi" w:hAnsiTheme="majorHAnsi"/>
          <w:i/>
          <w:spacing w:val="-1"/>
          <w:sz w:val="20"/>
          <w:szCs w:val="20"/>
        </w:rPr>
        <w:t xml:space="preserve"> </w:t>
      </w:r>
      <w:r w:rsidRPr="000977F7">
        <w:rPr>
          <w:rFonts w:asciiTheme="majorHAnsi" w:hAnsiTheme="majorHAnsi"/>
          <w:i/>
          <w:sz w:val="20"/>
          <w:szCs w:val="20"/>
        </w:rPr>
        <w:t>закону</w:t>
      </w:r>
      <w:r w:rsidRPr="000977F7">
        <w:rPr>
          <w:rFonts w:asciiTheme="majorHAnsi" w:hAnsiTheme="majorHAnsi"/>
          <w:i/>
          <w:spacing w:val="-3"/>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2"/>
          <w:sz w:val="20"/>
          <w:szCs w:val="20"/>
        </w:rPr>
        <w:t xml:space="preserve"> "</w:t>
      </w:r>
      <w:r w:rsidRPr="000977F7">
        <w:rPr>
          <w:rFonts w:asciiTheme="majorHAnsi" w:hAnsiTheme="majorHAnsi"/>
          <w:i/>
          <w:sz w:val="20"/>
          <w:szCs w:val="20"/>
        </w:rPr>
        <w:t>Про</w:t>
      </w:r>
      <w:r w:rsidRPr="000977F7">
        <w:rPr>
          <w:rFonts w:asciiTheme="majorHAnsi" w:hAnsiTheme="majorHAnsi"/>
          <w:i/>
          <w:spacing w:val="-2"/>
          <w:sz w:val="20"/>
          <w:szCs w:val="20"/>
        </w:rPr>
        <w:t xml:space="preserve"> </w:t>
      </w:r>
      <w:r w:rsidRPr="000977F7">
        <w:rPr>
          <w:rFonts w:asciiTheme="majorHAnsi" w:hAnsiTheme="majorHAnsi"/>
          <w:i/>
          <w:sz w:val="20"/>
          <w:szCs w:val="20"/>
        </w:rPr>
        <w:t>захист</w:t>
      </w:r>
      <w:r w:rsidRPr="000977F7">
        <w:rPr>
          <w:rFonts w:asciiTheme="majorHAnsi" w:hAnsiTheme="majorHAnsi"/>
          <w:i/>
          <w:spacing w:val="-2"/>
          <w:sz w:val="20"/>
          <w:szCs w:val="20"/>
        </w:rPr>
        <w:t xml:space="preserve"> </w:t>
      </w:r>
      <w:r w:rsidRPr="000977F7">
        <w:rPr>
          <w:rFonts w:asciiTheme="majorHAnsi" w:hAnsiTheme="majorHAnsi"/>
          <w:i/>
          <w:sz w:val="20"/>
          <w:szCs w:val="20"/>
        </w:rPr>
        <w:t>прав</w:t>
      </w:r>
      <w:r w:rsidRPr="000977F7">
        <w:rPr>
          <w:rFonts w:asciiTheme="majorHAnsi" w:hAnsiTheme="majorHAnsi"/>
          <w:i/>
          <w:spacing w:val="-3"/>
          <w:sz w:val="20"/>
          <w:szCs w:val="20"/>
        </w:rPr>
        <w:t xml:space="preserve"> </w:t>
      </w:r>
      <w:r w:rsidRPr="000977F7">
        <w:rPr>
          <w:rFonts w:asciiTheme="majorHAnsi" w:hAnsiTheme="majorHAnsi"/>
          <w:i/>
          <w:sz w:val="20"/>
          <w:szCs w:val="20"/>
        </w:rPr>
        <w:t>споживачів"</w:t>
      </w:r>
    </w:p>
    <w:p w14:paraId="6D4E0B5D" w14:textId="77777777" w:rsidR="0097612F" w:rsidRPr="000977F7" w:rsidRDefault="0097612F" w:rsidP="000977F7">
      <w:pPr>
        <w:tabs>
          <w:tab w:val="left" w:pos="284"/>
          <w:tab w:val="left" w:pos="538"/>
        </w:tabs>
        <w:spacing w:after="0" w:line="240" w:lineRule="auto"/>
        <w:ind w:left="170"/>
        <w:mirrorIndents/>
        <w:jc w:val="both"/>
        <w:rPr>
          <w:rFonts w:asciiTheme="majorHAnsi" w:hAnsiTheme="majorHAnsi"/>
          <w:sz w:val="20"/>
          <w:szCs w:val="20"/>
        </w:rPr>
      </w:pPr>
      <w:r w:rsidRPr="000977F7">
        <w:rPr>
          <w:rFonts w:asciiTheme="majorHAnsi" w:hAnsiTheme="majorHAnsi"/>
          <w:b/>
          <w:bCs/>
          <w:sz w:val="20"/>
          <w:szCs w:val="20"/>
        </w:rPr>
        <w:t>ПРАВА СПОЖИВАЧА ПРИ ПРИДБАННІ ТОВАРУ НАЛЕЖНОЇ ЯКОСТІ</w:t>
      </w:r>
      <w:r w:rsidRPr="000977F7">
        <w:rPr>
          <w:rFonts w:asciiTheme="majorHAnsi" w:hAnsiTheme="majorHAnsi"/>
          <w:sz w:val="20"/>
          <w:szCs w:val="20"/>
        </w:rPr>
        <w:t xml:space="preserve"> -</w:t>
      </w:r>
    </w:p>
    <w:p w14:paraId="6616CE77" w14:textId="77777777" w:rsidR="0097612F" w:rsidRPr="000977F7" w:rsidRDefault="0097612F" w:rsidP="00FD39A4">
      <w:pPr>
        <w:pStyle w:val="ac"/>
        <w:widowControl w:val="0"/>
        <w:numPr>
          <w:ilvl w:val="0"/>
          <w:numId w:val="229"/>
        </w:numPr>
        <w:tabs>
          <w:tab w:val="left" w:pos="284"/>
          <w:tab w:val="left" w:pos="53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Споживач має право обміняти непродовольчий то</w:t>
      </w:r>
      <w:r w:rsidRPr="000977F7">
        <w:rPr>
          <w:rFonts w:asciiTheme="majorHAnsi" w:hAnsiTheme="majorHAnsi"/>
          <w:spacing w:val="1"/>
          <w:sz w:val="20"/>
          <w:szCs w:val="20"/>
        </w:rPr>
        <w:t xml:space="preserve"> </w:t>
      </w:r>
      <w:r w:rsidRPr="000977F7">
        <w:rPr>
          <w:rFonts w:asciiTheme="majorHAnsi" w:hAnsiTheme="majorHAnsi"/>
          <w:sz w:val="20"/>
          <w:szCs w:val="20"/>
        </w:rPr>
        <w:t>вар належної якості на аналогічний у продавця, в якого він був придбаний, якщо товар не задовольнив його</w:t>
      </w:r>
      <w:r w:rsidRPr="000977F7">
        <w:rPr>
          <w:rFonts w:asciiTheme="majorHAnsi" w:hAnsiTheme="majorHAnsi"/>
          <w:spacing w:val="-47"/>
          <w:sz w:val="20"/>
          <w:szCs w:val="20"/>
        </w:rPr>
        <w:t xml:space="preserve"> </w:t>
      </w:r>
      <w:r w:rsidRPr="000977F7">
        <w:rPr>
          <w:rFonts w:asciiTheme="majorHAnsi" w:hAnsiTheme="majorHAnsi"/>
          <w:sz w:val="20"/>
          <w:szCs w:val="20"/>
        </w:rPr>
        <w:t>за формою, габаритами, фасоном, кольором, розміром</w:t>
      </w:r>
      <w:r w:rsidRPr="000977F7">
        <w:rPr>
          <w:rFonts w:asciiTheme="majorHAnsi" w:hAnsiTheme="majorHAnsi"/>
          <w:spacing w:val="-47"/>
          <w:sz w:val="20"/>
          <w:szCs w:val="20"/>
        </w:rPr>
        <w:t xml:space="preserve">  </w:t>
      </w:r>
      <w:r w:rsidRPr="000977F7">
        <w:rPr>
          <w:rFonts w:asciiTheme="majorHAnsi" w:hAnsiTheme="majorHAnsi"/>
          <w:sz w:val="20"/>
          <w:szCs w:val="20"/>
        </w:rPr>
        <w:t>або</w:t>
      </w:r>
      <w:r w:rsidRPr="000977F7">
        <w:rPr>
          <w:rFonts w:asciiTheme="majorHAnsi" w:hAnsiTheme="majorHAnsi"/>
          <w:spacing w:val="19"/>
          <w:sz w:val="20"/>
          <w:szCs w:val="20"/>
        </w:rPr>
        <w:t xml:space="preserve"> </w:t>
      </w:r>
      <w:r w:rsidRPr="000977F7">
        <w:rPr>
          <w:rFonts w:asciiTheme="majorHAnsi" w:hAnsiTheme="majorHAnsi"/>
          <w:sz w:val="20"/>
          <w:szCs w:val="20"/>
        </w:rPr>
        <w:t>з</w:t>
      </w:r>
      <w:r w:rsidRPr="000977F7">
        <w:rPr>
          <w:rFonts w:asciiTheme="majorHAnsi" w:hAnsiTheme="majorHAnsi"/>
          <w:spacing w:val="20"/>
          <w:sz w:val="20"/>
          <w:szCs w:val="20"/>
        </w:rPr>
        <w:t xml:space="preserve"> </w:t>
      </w:r>
      <w:r w:rsidRPr="000977F7">
        <w:rPr>
          <w:rFonts w:asciiTheme="majorHAnsi" w:hAnsiTheme="majorHAnsi"/>
          <w:sz w:val="20"/>
          <w:szCs w:val="20"/>
        </w:rPr>
        <w:t>інших</w:t>
      </w:r>
      <w:r w:rsidRPr="000977F7">
        <w:rPr>
          <w:rFonts w:asciiTheme="majorHAnsi" w:hAnsiTheme="majorHAnsi"/>
          <w:spacing w:val="18"/>
          <w:sz w:val="20"/>
          <w:szCs w:val="20"/>
        </w:rPr>
        <w:t xml:space="preserve"> </w:t>
      </w:r>
      <w:r w:rsidRPr="000977F7">
        <w:rPr>
          <w:rFonts w:asciiTheme="majorHAnsi" w:hAnsiTheme="majorHAnsi"/>
          <w:sz w:val="20"/>
          <w:szCs w:val="20"/>
        </w:rPr>
        <w:t>причин</w:t>
      </w:r>
      <w:r w:rsidRPr="000977F7">
        <w:rPr>
          <w:rFonts w:asciiTheme="majorHAnsi" w:hAnsiTheme="majorHAnsi"/>
          <w:spacing w:val="21"/>
          <w:sz w:val="20"/>
          <w:szCs w:val="20"/>
        </w:rPr>
        <w:t xml:space="preserve"> </w:t>
      </w:r>
      <w:r w:rsidRPr="000977F7">
        <w:rPr>
          <w:rFonts w:asciiTheme="majorHAnsi" w:hAnsiTheme="majorHAnsi"/>
          <w:sz w:val="20"/>
          <w:szCs w:val="20"/>
        </w:rPr>
        <w:t>не</w:t>
      </w:r>
      <w:r w:rsidRPr="000977F7">
        <w:rPr>
          <w:rFonts w:asciiTheme="majorHAnsi" w:hAnsiTheme="majorHAnsi"/>
          <w:spacing w:val="20"/>
          <w:sz w:val="20"/>
          <w:szCs w:val="20"/>
        </w:rPr>
        <w:t xml:space="preserve"> </w:t>
      </w:r>
      <w:r w:rsidRPr="000977F7">
        <w:rPr>
          <w:rFonts w:asciiTheme="majorHAnsi" w:hAnsiTheme="majorHAnsi"/>
          <w:sz w:val="20"/>
          <w:szCs w:val="20"/>
        </w:rPr>
        <w:t>може</w:t>
      </w:r>
      <w:r w:rsidRPr="000977F7">
        <w:rPr>
          <w:rFonts w:asciiTheme="majorHAnsi" w:hAnsiTheme="majorHAnsi"/>
          <w:spacing w:val="19"/>
          <w:sz w:val="20"/>
          <w:szCs w:val="20"/>
        </w:rPr>
        <w:t xml:space="preserve"> </w:t>
      </w:r>
      <w:r w:rsidRPr="000977F7">
        <w:rPr>
          <w:rFonts w:asciiTheme="majorHAnsi" w:hAnsiTheme="majorHAnsi"/>
          <w:sz w:val="20"/>
          <w:szCs w:val="20"/>
        </w:rPr>
        <w:t>бути</w:t>
      </w:r>
      <w:r w:rsidRPr="000977F7">
        <w:rPr>
          <w:rFonts w:asciiTheme="majorHAnsi" w:hAnsiTheme="majorHAnsi"/>
          <w:spacing w:val="20"/>
          <w:sz w:val="20"/>
          <w:szCs w:val="20"/>
        </w:rPr>
        <w:t xml:space="preserve"> </w:t>
      </w:r>
      <w:r w:rsidRPr="000977F7">
        <w:rPr>
          <w:rFonts w:asciiTheme="majorHAnsi" w:hAnsiTheme="majorHAnsi"/>
          <w:sz w:val="20"/>
          <w:szCs w:val="20"/>
        </w:rPr>
        <w:t>ним</w:t>
      </w:r>
      <w:r w:rsidRPr="000977F7">
        <w:rPr>
          <w:rFonts w:asciiTheme="majorHAnsi" w:hAnsiTheme="majorHAnsi"/>
          <w:spacing w:val="20"/>
          <w:sz w:val="20"/>
          <w:szCs w:val="20"/>
        </w:rPr>
        <w:t xml:space="preserve"> </w:t>
      </w:r>
      <w:r w:rsidRPr="000977F7">
        <w:rPr>
          <w:rFonts w:asciiTheme="majorHAnsi" w:hAnsiTheme="majorHAnsi"/>
          <w:sz w:val="20"/>
          <w:szCs w:val="20"/>
        </w:rPr>
        <w:t>використаний</w:t>
      </w:r>
      <w:r w:rsidRPr="000977F7">
        <w:rPr>
          <w:rFonts w:asciiTheme="majorHAnsi" w:hAnsiTheme="majorHAnsi"/>
          <w:spacing w:val="-48"/>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призначенням.</w:t>
      </w:r>
    </w:p>
    <w:p w14:paraId="13FBA9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Споживач має право на обмін товару належної якості</w:t>
      </w:r>
      <w:r w:rsidRPr="000977F7">
        <w:rPr>
          <w:rFonts w:asciiTheme="majorHAnsi" w:hAnsiTheme="majorHAnsi"/>
          <w:spacing w:val="1"/>
          <w:sz w:val="20"/>
          <w:szCs w:val="20"/>
        </w:rPr>
        <w:t xml:space="preserve"> </w:t>
      </w:r>
      <w:r w:rsidRPr="000977F7">
        <w:rPr>
          <w:rFonts w:asciiTheme="majorHAnsi" w:hAnsiTheme="majorHAnsi"/>
          <w:sz w:val="20"/>
          <w:szCs w:val="20"/>
        </w:rPr>
        <w:t>протягом чотирнадцяти днів, не рахуючи дня купівлі,</w:t>
      </w:r>
      <w:r w:rsidRPr="000977F7">
        <w:rPr>
          <w:rFonts w:asciiTheme="majorHAnsi" w:hAnsiTheme="majorHAnsi"/>
          <w:spacing w:val="1"/>
          <w:sz w:val="20"/>
          <w:szCs w:val="20"/>
        </w:rPr>
        <w:t xml:space="preserve"> </w:t>
      </w:r>
      <w:r w:rsidRPr="000977F7">
        <w:rPr>
          <w:rFonts w:asciiTheme="majorHAnsi" w:hAnsiTheme="majorHAnsi"/>
          <w:sz w:val="20"/>
          <w:szCs w:val="20"/>
        </w:rPr>
        <w:t>якщо</w:t>
      </w:r>
      <w:r w:rsidRPr="000977F7">
        <w:rPr>
          <w:rFonts w:asciiTheme="majorHAnsi" w:hAnsiTheme="majorHAnsi"/>
          <w:spacing w:val="-1"/>
          <w:sz w:val="20"/>
          <w:szCs w:val="20"/>
        </w:rPr>
        <w:t xml:space="preserve"> </w:t>
      </w:r>
      <w:r w:rsidRPr="000977F7">
        <w:rPr>
          <w:rFonts w:asciiTheme="majorHAnsi" w:hAnsiTheme="majorHAnsi"/>
          <w:sz w:val="20"/>
          <w:szCs w:val="20"/>
        </w:rPr>
        <w:t>триваліший</w:t>
      </w:r>
      <w:r w:rsidRPr="000977F7">
        <w:rPr>
          <w:rFonts w:asciiTheme="majorHAnsi" w:hAnsiTheme="majorHAnsi"/>
          <w:spacing w:val="-3"/>
          <w:sz w:val="20"/>
          <w:szCs w:val="20"/>
        </w:rPr>
        <w:t xml:space="preserve"> </w:t>
      </w:r>
      <w:r w:rsidRPr="000977F7">
        <w:rPr>
          <w:rFonts w:asciiTheme="majorHAnsi" w:hAnsiTheme="majorHAnsi"/>
          <w:sz w:val="20"/>
          <w:szCs w:val="20"/>
        </w:rPr>
        <w:t>строк</w:t>
      </w:r>
      <w:r w:rsidRPr="000977F7">
        <w:rPr>
          <w:rFonts w:asciiTheme="majorHAnsi" w:hAnsiTheme="majorHAnsi"/>
          <w:spacing w:val="-3"/>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оголошений</w:t>
      </w:r>
      <w:r w:rsidRPr="000977F7">
        <w:rPr>
          <w:rFonts w:asciiTheme="majorHAnsi" w:hAnsiTheme="majorHAnsi"/>
          <w:spacing w:val="-1"/>
          <w:sz w:val="20"/>
          <w:szCs w:val="20"/>
        </w:rPr>
        <w:t xml:space="preserve"> </w:t>
      </w:r>
      <w:r w:rsidRPr="000977F7">
        <w:rPr>
          <w:rFonts w:asciiTheme="majorHAnsi" w:hAnsiTheme="majorHAnsi"/>
          <w:sz w:val="20"/>
          <w:szCs w:val="20"/>
        </w:rPr>
        <w:t>продавцем.</w:t>
      </w:r>
    </w:p>
    <w:p w14:paraId="38AD55D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shd w:val="clear" w:color="auto" w:fill="FFFFFF"/>
        </w:rPr>
        <w:t>Обмін товару належної якості провадиться, якщо він не використовувався і якщо збережено його товарний вигляд, споживчі властивості, пломби, ярлики, а також розрахунковий документ, виданий споживачеві разом з проданим товаром, або відтворений на дисплеї програмного реєстратора розрахункових операцій (дисплеї пристрою, на якому встановлений програмний реєстратор розрахункових операцій) QR-код, що дає змогу споживачеві здійснювати його зчитування та ідентифікацію з розрахунковим документом за структурою даних, що в ньому містяться, або надісланий електронний розрахунковий документ на наданий споживачем абонентський номер чи адресу електронної пошти.</w:t>
      </w:r>
    </w:p>
    <w:p w14:paraId="6CC300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Перелік товарів, що не підлягають обміну (поверненню) з підстав, зазначених у цій статті, затверджується</w:t>
      </w:r>
      <w:r w:rsidRPr="000977F7">
        <w:rPr>
          <w:rFonts w:asciiTheme="majorHAnsi" w:hAnsiTheme="majorHAnsi"/>
          <w:spacing w:val="1"/>
          <w:sz w:val="20"/>
          <w:szCs w:val="20"/>
        </w:rPr>
        <w:t xml:space="preserve"> </w:t>
      </w:r>
      <w:r w:rsidRPr="000977F7">
        <w:rPr>
          <w:rFonts w:asciiTheme="majorHAnsi" w:hAnsiTheme="majorHAnsi"/>
          <w:sz w:val="20"/>
          <w:szCs w:val="20"/>
        </w:rPr>
        <w:t>Кабінетом Міністрів</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p>
    <w:p w14:paraId="0FF4684F" w14:textId="77777777" w:rsidR="0097612F" w:rsidRPr="000977F7" w:rsidRDefault="0097612F" w:rsidP="00FD39A4">
      <w:pPr>
        <w:pStyle w:val="ac"/>
        <w:widowControl w:val="0"/>
        <w:numPr>
          <w:ilvl w:val="0"/>
          <w:numId w:val="229"/>
        </w:numPr>
        <w:tabs>
          <w:tab w:val="left" w:pos="284"/>
          <w:tab w:val="left" w:pos="57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Якщо на момент обміну аналогічного товару немає</w:t>
      </w:r>
      <w:r w:rsidRPr="000977F7">
        <w:rPr>
          <w:rFonts w:asciiTheme="majorHAnsi" w:hAnsiTheme="majorHAnsi"/>
          <w:spacing w:val="-47"/>
          <w:sz w:val="20"/>
          <w:szCs w:val="20"/>
        </w:rPr>
        <w:t xml:space="preserve"> </w:t>
      </w:r>
      <w:r w:rsidRPr="000977F7">
        <w:rPr>
          <w:rFonts w:asciiTheme="majorHAnsi" w:hAnsiTheme="majorHAnsi"/>
          <w:sz w:val="20"/>
          <w:szCs w:val="20"/>
        </w:rPr>
        <w:t>у продажу, споживач має право або придбати будь-які</w:t>
      </w:r>
      <w:r w:rsidRPr="000977F7">
        <w:rPr>
          <w:rFonts w:asciiTheme="majorHAnsi" w:hAnsiTheme="majorHAnsi"/>
          <w:spacing w:val="-47"/>
          <w:sz w:val="20"/>
          <w:szCs w:val="20"/>
        </w:rPr>
        <w:t xml:space="preserve"> </w:t>
      </w:r>
      <w:r w:rsidRPr="000977F7">
        <w:rPr>
          <w:rFonts w:asciiTheme="majorHAnsi" w:hAnsiTheme="majorHAnsi"/>
          <w:sz w:val="20"/>
          <w:szCs w:val="20"/>
        </w:rPr>
        <w:t>інші</w:t>
      </w:r>
      <w:r w:rsidRPr="000977F7">
        <w:rPr>
          <w:rFonts w:asciiTheme="majorHAnsi" w:hAnsiTheme="majorHAnsi"/>
          <w:spacing w:val="1"/>
          <w:sz w:val="20"/>
          <w:szCs w:val="20"/>
        </w:rPr>
        <w:t xml:space="preserve"> </w:t>
      </w:r>
      <w:r w:rsidRPr="000977F7">
        <w:rPr>
          <w:rFonts w:asciiTheme="majorHAnsi" w:hAnsiTheme="majorHAnsi"/>
          <w:sz w:val="20"/>
          <w:szCs w:val="20"/>
        </w:rPr>
        <w:t>товари</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наявного</w:t>
      </w:r>
      <w:r w:rsidRPr="000977F7">
        <w:rPr>
          <w:rFonts w:asciiTheme="majorHAnsi" w:hAnsiTheme="majorHAnsi"/>
          <w:spacing w:val="1"/>
          <w:sz w:val="20"/>
          <w:szCs w:val="20"/>
        </w:rPr>
        <w:t xml:space="preserve"> </w:t>
      </w:r>
      <w:r w:rsidRPr="000977F7">
        <w:rPr>
          <w:rFonts w:asciiTheme="majorHAnsi" w:hAnsiTheme="majorHAnsi"/>
          <w:sz w:val="20"/>
          <w:szCs w:val="20"/>
        </w:rPr>
        <w:t>асортименту</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відповідним</w:t>
      </w:r>
      <w:r w:rsidRPr="000977F7">
        <w:rPr>
          <w:rFonts w:asciiTheme="majorHAnsi" w:hAnsiTheme="majorHAnsi"/>
          <w:spacing w:val="1"/>
          <w:sz w:val="20"/>
          <w:szCs w:val="20"/>
        </w:rPr>
        <w:t xml:space="preserve"> </w:t>
      </w:r>
      <w:r w:rsidRPr="000977F7">
        <w:rPr>
          <w:rFonts w:asciiTheme="majorHAnsi" w:hAnsiTheme="majorHAnsi"/>
          <w:sz w:val="20"/>
          <w:szCs w:val="20"/>
        </w:rPr>
        <w:t>перерахуванням</w:t>
      </w:r>
      <w:r w:rsidRPr="000977F7">
        <w:rPr>
          <w:rFonts w:asciiTheme="majorHAnsi" w:hAnsiTheme="majorHAnsi"/>
          <w:spacing w:val="1"/>
          <w:sz w:val="20"/>
          <w:szCs w:val="20"/>
        </w:rPr>
        <w:t xml:space="preserve"> </w:t>
      </w:r>
      <w:r w:rsidRPr="000977F7">
        <w:rPr>
          <w:rFonts w:asciiTheme="majorHAnsi" w:hAnsiTheme="majorHAnsi"/>
          <w:sz w:val="20"/>
          <w:szCs w:val="20"/>
        </w:rPr>
        <w:t>вартості,</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розірвати</w:t>
      </w:r>
      <w:r w:rsidRPr="000977F7">
        <w:rPr>
          <w:rFonts w:asciiTheme="majorHAnsi" w:hAnsiTheme="majorHAnsi"/>
          <w:spacing w:val="1"/>
          <w:sz w:val="20"/>
          <w:szCs w:val="20"/>
        </w:rPr>
        <w:t xml:space="preserve"> </w:t>
      </w:r>
      <w:r w:rsidRPr="000977F7">
        <w:rPr>
          <w:rFonts w:asciiTheme="majorHAnsi" w:hAnsiTheme="majorHAnsi"/>
          <w:sz w:val="20"/>
          <w:szCs w:val="20"/>
        </w:rPr>
        <w:t>договір</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одержати назад гроші у розмірі вартості повернутого</w:t>
      </w:r>
      <w:r w:rsidRPr="000977F7">
        <w:rPr>
          <w:rFonts w:asciiTheme="majorHAnsi" w:hAnsiTheme="majorHAnsi"/>
          <w:spacing w:val="1"/>
          <w:sz w:val="20"/>
          <w:szCs w:val="20"/>
        </w:rPr>
        <w:t xml:space="preserve"> </w:t>
      </w:r>
      <w:r w:rsidRPr="000977F7">
        <w:rPr>
          <w:rFonts w:asciiTheme="majorHAnsi" w:hAnsiTheme="majorHAnsi"/>
          <w:sz w:val="20"/>
          <w:szCs w:val="20"/>
        </w:rPr>
        <w:t>товару,</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здійснити</w:t>
      </w:r>
      <w:r w:rsidRPr="000977F7">
        <w:rPr>
          <w:rFonts w:asciiTheme="majorHAnsi" w:hAnsiTheme="majorHAnsi"/>
          <w:spacing w:val="1"/>
          <w:sz w:val="20"/>
          <w:szCs w:val="20"/>
        </w:rPr>
        <w:t xml:space="preserve"> </w:t>
      </w:r>
      <w:r w:rsidRPr="000977F7">
        <w:rPr>
          <w:rFonts w:asciiTheme="majorHAnsi" w:hAnsiTheme="majorHAnsi"/>
          <w:sz w:val="20"/>
          <w:szCs w:val="20"/>
        </w:rPr>
        <w:t>обмін</w:t>
      </w:r>
      <w:r w:rsidRPr="000977F7">
        <w:rPr>
          <w:rFonts w:asciiTheme="majorHAnsi" w:hAnsiTheme="majorHAnsi"/>
          <w:spacing w:val="1"/>
          <w:sz w:val="20"/>
          <w:szCs w:val="20"/>
        </w:rPr>
        <w:t xml:space="preserve"> </w:t>
      </w:r>
      <w:r w:rsidRPr="000977F7">
        <w:rPr>
          <w:rFonts w:asciiTheme="majorHAnsi" w:hAnsiTheme="majorHAnsi"/>
          <w:sz w:val="20"/>
          <w:szCs w:val="20"/>
        </w:rPr>
        <w:t>товару</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50"/>
          <w:sz w:val="20"/>
          <w:szCs w:val="20"/>
        </w:rPr>
        <w:t xml:space="preserve"> </w:t>
      </w:r>
      <w:r w:rsidRPr="000977F7">
        <w:rPr>
          <w:rFonts w:asciiTheme="majorHAnsi" w:hAnsiTheme="majorHAnsi"/>
          <w:sz w:val="20"/>
          <w:szCs w:val="20"/>
        </w:rPr>
        <w:t>аналогічний</w:t>
      </w:r>
      <w:r w:rsidRPr="000977F7">
        <w:rPr>
          <w:rFonts w:asciiTheme="majorHAnsi" w:hAnsiTheme="majorHAnsi"/>
          <w:spacing w:val="-47"/>
          <w:sz w:val="20"/>
          <w:szCs w:val="20"/>
        </w:rPr>
        <w:t xml:space="preserve"> </w:t>
      </w:r>
      <w:r w:rsidRPr="000977F7">
        <w:rPr>
          <w:rFonts w:asciiTheme="majorHAnsi" w:hAnsiTheme="majorHAnsi"/>
          <w:sz w:val="20"/>
          <w:szCs w:val="20"/>
        </w:rPr>
        <w:t>при першому ж надходженні відповідного товару в</w:t>
      </w:r>
      <w:r w:rsidRPr="000977F7">
        <w:rPr>
          <w:rFonts w:asciiTheme="majorHAnsi" w:hAnsiTheme="majorHAnsi"/>
          <w:spacing w:val="1"/>
          <w:sz w:val="20"/>
          <w:szCs w:val="20"/>
        </w:rPr>
        <w:t xml:space="preserve"> </w:t>
      </w:r>
      <w:r w:rsidRPr="000977F7">
        <w:rPr>
          <w:rFonts w:asciiTheme="majorHAnsi" w:hAnsiTheme="majorHAnsi"/>
          <w:sz w:val="20"/>
          <w:szCs w:val="20"/>
        </w:rPr>
        <w:t>продаж. Продавець зобов'язаний у день надходження</w:t>
      </w:r>
      <w:r w:rsidRPr="000977F7">
        <w:rPr>
          <w:rFonts w:asciiTheme="majorHAnsi" w:hAnsiTheme="majorHAnsi"/>
          <w:spacing w:val="1"/>
          <w:sz w:val="20"/>
          <w:szCs w:val="20"/>
        </w:rPr>
        <w:t xml:space="preserve"> </w:t>
      </w:r>
      <w:r w:rsidRPr="000977F7">
        <w:rPr>
          <w:rFonts w:asciiTheme="majorHAnsi" w:hAnsiTheme="majorHAnsi"/>
          <w:sz w:val="20"/>
          <w:szCs w:val="20"/>
        </w:rPr>
        <w:t>товару в продаж повідомити про це споживача, який</w:t>
      </w:r>
      <w:r w:rsidRPr="000977F7">
        <w:rPr>
          <w:rFonts w:asciiTheme="majorHAnsi" w:hAnsiTheme="majorHAnsi"/>
          <w:spacing w:val="1"/>
          <w:sz w:val="20"/>
          <w:szCs w:val="20"/>
        </w:rPr>
        <w:t xml:space="preserve"> </w:t>
      </w:r>
      <w:r w:rsidRPr="000977F7">
        <w:rPr>
          <w:rFonts w:asciiTheme="majorHAnsi" w:hAnsiTheme="majorHAnsi"/>
          <w:sz w:val="20"/>
          <w:szCs w:val="20"/>
        </w:rPr>
        <w:t>вимагає</w:t>
      </w:r>
      <w:r w:rsidRPr="000977F7">
        <w:rPr>
          <w:rFonts w:asciiTheme="majorHAnsi" w:hAnsiTheme="majorHAnsi"/>
          <w:spacing w:val="-1"/>
          <w:sz w:val="20"/>
          <w:szCs w:val="20"/>
        </w:rPr>
        <w:t xml:space="preserve"> </w:t>
      </w:r>
      <w:r w:rsidRPr="000977F7">
        <w:rPr>
          <w:rFonts w:asciiTheme="majorHAnsi" w:hAnsiTheme="majorHAnsi"/>
          <w:sz w:val="20"/>
          <w:szCs w:val="20"/>
        </w:rPr>
        <w:t>обміну</w:t>
      </w:r>
      <w:r w:rsidRPr="000977F7">
        <w:rPr>
          <w:rFonts w:asciiTheme="majorHAnsi" w:hAnsiTheme="majorHAnsi"/>
          <w:spacing w:val="-1"/>
          <w:sz w:val="20"/>
          <w:szCs w:val="20"/>
        </w:rPr>
        <w:t xml:space="preserve"> </w:t>
      </w:r>
      <w:r w:rsidRPr="000977F7">
        <w:rPr>
          <w:rFonts w:asciiTheme="majorHAnsi" w:hAnsiTheme="majorHAnsi"/>
          <w:sz w:val="20"/>
          <w:szCs w:val="20"/>
        </w:rPr>
        <w:t>товару.</w:t>
      </w:r>
    </w:p>
    <w:p w14:paraId="2E526B5A" w14:textId="77777777" w:rsidR="0097612F" w:rsidRPr="000977F7" w:rsidRDefault="0097612F" w:rsidP="00FD39A4">
      <w:pPr>
        <w:pStyle w:val="ac"/>
        <w:widowControl w:val="0"/>
        <w:numPr>
          <w:ilvl w:val="0"/>
          <w:numId w:val="229"/>
        </w:numPr>
        <w:tabs>
          <w:tab w:val="left" w:pos="284"/>
          <w:tab w:val="left" w:pos="57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При розірванні договору купівлі-продажу розрахунки із споживачем провадяться виходячи з вартості</w:t>
      </w:r>
      <w:r w:rsidRPr="000977F7">
        <w:rPr>
          <w:rFonts w:asciiTheme="majorHAnsi" w:hAnsiTheme="majorHAnsi"/>
          <w:spacing w:val="1"/>
          <w:sz w:val="20"/>
          <w:szCs w:val="20"/>
        </w:rPr>
        <w:t xml:space="preserve"> </w:t>
      </w:r>
      <w:r w:rsidRPr="000977F7">
        <w:rPr>
          <w:rFonts w:asciiTheme="majorHAnsi" w:hAnsiTheme="majorHAnsi"/>
          <w:sz w:val="20"/>
          <w:szCs w:val="20"/>
        </w:rPr>
        <w:t>товару на час його купівлі. Гроші, сплачені за товар,</w:t>
      </w:r>
      <w:r w:rsidRPr="000977F7">
        <w:rPr>
          <w:rFonts w:asciiTheme="majorHAnsi" w:hAnsiTheme="majorHAnsi"/>
          <w:spacing w:val="1"/>
          <w:sz w:val="20"/>
          <w:szCs w:val="20"/>
        </w:rPr>
        <w:t xml:space="preserve"> </w:t>
      </w:r>
      <w:r w:rsidRPr="000977F7">
        <w:rPr>
          <w:rFonts w:asciiTheme="majorHAnsi" w:hAnsiTheme="majorHAnsi"/>
          <w:sz w:val="20"/>
          <w:szCs w:val="20"/>
        </w:rPr>
        <w:t xml:space="preserve">повертаються споживачеві у день розірвання договору, а в разі неможливості </w:t>
      </w:r>
      <w:r w:rsidRPr="000977F7">
        <w:rPr>
          <w:rFonts w:asciiTheme="majorHAnsi" w:hAnsiTheme="majorHAnsi"/>
          <w:sz w:val="20"/>
          <w:szCs w:val="20"/>
        </w:rPr>
        <w:lastRenderedPageBreak/>
        <w:t>повернути гроші у день розірвання договору в інший строк за домовленістю</w:t>
      </w:r>
      <w:r w:rsidRPr="000977F7">
        <w:rPr>
          <w:rFonts w:asciiTheme="majorHAnsi" w:hAnsiTheme="majorHAnsi"/>
          <w:spacing w:val="1"/>
          <w:sz w:val="20"/>
          <w:szCs w:val="20"/>
        </w:rPr>
        <w:t xml:space="preserve"> </w:t>
      </w:r>
      <w:r w:rsidRPr="000977F7">
        <w:rPr>
          <w:rFonts w:asciiTheme="majorHAnsi" w:hAnsiTheme="majorHAnsi"/>
          <w:sz w:val="20"/>
          <w:szCs w:val="20"/>
        </w:rPr>
        <w:t>сторін,</w:t>
      </w:r>
      <w:r w:rsidRPr="000977F7">
        <w:rPr>
          <w:rFonts w:asciiTheme="majorHAnsi" w:hAnsiTheme="majorHAnsi"/>
          <w:spacing w:val="-1"/>
          <w:sz w:val="20"/>
          <w:szCs w:val="20"/>
        </w:rPr>
        <w:t xml:space="preserve"> </w:t>
      </w:r>
      <w:r w:rsidRPr="000977F7">
        <w:rPr>
          <w:rFonts w:asciiTheme="majorHAnsi" w:hAnsiTheme="majorHAnsi"/>
          <w:sz w:val="20"/>
          <w:szCs w:val="20"/>
        </w:rPr>
        <w:t>але</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2"/>
          <w:sz w:val="20"/>
          <w:szCs w:val="20"/>
        </w:rPr>
        <w:t xml:space="preserve"> </w:t>
      </w:r>
      <w:r w:rsidRPr="000977F7">
        <w:rPr>
          <w:rFonts w:asciiTheme="majorHAnsi" w:hAnsiTheme="majorHAnsi"/>
          <w:sz w:val="20"/>
          <w:szCs w:val="20"/>
        </w:rPr>
        <w:t>пізніше</w:t>
      </w:r>
      <w:r w:rsidRPr="000977F7">
        <w:rPr>
          <w:rFonts w:asciiTheme="majorHAnsi" w:hAnsiTheme="majorHAnsi"/>
          <w:spacing w:val="-1"/>
          <w:sz w:val="20"/>
          <w:szCs w:val="20"/>
        </w:rPr>
        <w:t xml:space="preserve"> </w:t>
      </w:r>
      <w:r w:rsidRPr="000977F7">
        <w:rPr>
          <w:rFonts w:asciiTheme="majorHAnsi" w:hAnsiTheme="majorHAnsi"/>
          <w:sz w:val="20"/>
          <w:szCs w:val="20"/>
        </w:rPr>
        <w:t>ніж</w:t>
      </w:r>
      <w:r w:rsidRPr="000977F7">
        <w:rPr>
          <w:rFonts w:asciiTheme="majorHAnsi" w:hAnsiTheme="majorHAnsi"/>
          <w:spacing w:val="-2"/>
          <w:sz w:val="20"/>
          <w:szCs w:val="20"/>
        </w:rPr>
        <w:t xml:space="preserve"> </w:t>
      </w:r>
      <w:r w:rsidRPr="000977F7">
        <w:rPr>
          <w:rFonts w:asciiTheme="majorHAnsi" w:hAnsiTheme="majorHAnsi"/>
          <w:sz w:val="20"/>
          <w:szCs w:val="20"/>
        </w:rPr>
        <w:t>протягом семи</w:t>
      </w:r>
      <w:r w:rsidRPr="000977F7">
        <w:rPr>
          <w:rFonts w:asciiTheme="majorHAnsi" w:hAnsiTheme="majorHAnsi"/>
          <w:spacing w:val="-2"/>
          <w:sz w:val="20"/>
          <w:szCs w:val="20"/>
        </w:rPr>
        <w:t xml:space="preserve"> </w:t>
      </w:r>
      <w:r w:rsidRPr="000977F7">
        <w:rPr>
          <w:rFonts w:asciiTheme="majorHAnsi" w:hAnsiTheme="majorHAnsi"/>
          <w:sz w:val="20"/>
          <w:szCs w:val="20"/>
        </w:rPr>
        <w:t>днів.</w:t>
      </w:r>
    </w:p>
    <w:p w14:paraId="2AED2E91"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Ст. 9 закону України "Про захист прав споживачів"</w:t>
      </w:r>
      <w:r w:rsidRPr="000977F7">
        <w:rPr>
          <w:rFonts w:asciiTheme="majorHAnsi" w:hAnsiTheme="majorHAnsi"/>
          <w:i/>
          <w:spacing w:val="1"/>
          <w:sz w:val="20"/>
          <w:szCs w:val="20"/>
        </w:rPr>
        <w:t xml:space="preserve"> </w:t>
      </w:r>
    </w:p>
    <w:p w14:paraId="68204677"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20"/>
          <w:sz w:val="20"/>
          <w:szCs w:val="20"/>
        </w:rPr>
      </w:pPr>
      <w:r w:rsidRPr="000977F7">
        <w:rPr>
          <w:rFonts w:asciiTheme="majorHAnsi" w:hAnsiTheme="majorHAnsi"/>
          <w:b/>
          <w:sz w:val="20"/>
          <w:szCs w:val="20"/>
        </w:rPr>
        <w:t>ПРАВА</w:t>
      </w:r>
      <w:r w:rsidRPr="000977F7">
        <w:rPr>
          <w:rFonts w:asciiTheme="majorHAnsi" w:hAnsiTheme="majorHAnsi"/>
          <w:b/>
          <w:spacing w:val="20"/>
          <w:sz w:val="20"/>
          <w:szCs w:val="20"/>
        </w:rPr>
        <w:t xml:space="preserve"> </w:t>
      </w:r>
      <w:r w:rsidRPr="000977F7">
        <w:rPr>
          <w:rFonts w:asciiTheme="majorHAnsi" w:hAnsiTheme="majorHAnsi"/>
          <w:b/>
          <w:sz w:val="20"/>
          <w:szCs w:val="20"/>
        </w:rPr>
        <w:t>СПОЖИВАЧА</w:t>
      </w:r>
      <w:r w:rsidRPr="000977F7">
        <w:rPr>
          <w:rFonts w:asciiTheme="majorHAnsi" w:hAnsiTheme="majorHAnsi"/>
          <w:b/>
          <w:spacing w:val="21"/>
          <w:sz w:val="20"/>
          <w:szCs w:val="20"/>
        </w:rPr>
        <w:t xml:space="preserve"> </w:t>
      </w:r>
      <w:r w:rsidRPr="000977F7">
        <w:rPr>
          <w:rFonts w:asciiTheme="majorHAnsi" w:hAnsiTheme="majorHAnsi"/>
          <w:b/>
          <w:sz w:val="20"/>
          <w:szCs w:val="20"/>
        </w:rPr>
        <w:t>У</w:t>
      </w:r>
      <w:r w:rsidRPr="000977F7">
        <w:rPr>
          <w:rFonts w:asciiTheme="majorHAnsi" w:hAnsiTheme="majorHAnsi"/>
          <w:b/>
          <w:spacing w:val="20"/>
          <w:sz w:val="20"/>
          <w:szCs w:val="20"/>
        </w:rPr>
        <w:t xml:space="preserve"> </w:t>
      </w:r>
      <w:r w:rsidRPr="000977F7">
        <w:rPr>
          <w:rFonts w:asciiTheme="majorHAnsi" w:hAnsiTheme="majorHAnsi"/>
          <w:b/>
          <w:sz w:val="20"/>
          <w:szCs w:val="20"/>
        </w:rPr>
        <w:t>СФЕРІ</w:t>
      </w:r>
      <w:r w:rsidRPr="000977F7">
        <w:rPr>
          <w:rFonts w:asciiTheme="majorHAnsi" w:hAnsiTheme="majorHAnsi"/>
          <w:b/>
          <w:spacing w:val="20"/>
          <w:sz w:val="20"/>
          <w:szCs w:val="20"/>
        </w:rPr>
        <w:t xml:space="preserve"> </w:t>
      </w:r>
    </w:p>
    <w:p w14:paraId="393C429C"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ТОРГОВЕЛЬ</w:t>
      </w:r>
      <w:r w:rsidRPr="000977F7">
        <w:rPr>
          <w:rFonts w:asciiTheme="majorHAnsi" w:hAnsiTheme="majorHAnsi"/>
          <w:b/>
          <w:spacing w:val="-47"/>
          <w:sz w:val="20"/>
          <w:szCs w:val="20"/>
        </w:rPr>
        <w:t xml:space="preserve"> </w:t>
      </w:r>
      <w:r w:rsidRPr="000977F7">
        <w:rPr>
          <w:rFonts w:asciiTheme="majorHAnsi" w:hAnsiTheme="majorHAnsi"/>
          <w:b/>
          <w:sz w:val="20"/>
          <w:szCs w:val="20"/>
        </w:rPr>
        <w:t>НОГО</w:t>
      </w:r>
      <w:r w:rsidRPr="000977F7">
        <w:rPr>
          <w:rFonts w:asciiTheme="majorHAnsi" w:hAnsiTheme="majorHAnsi"/>
          <w:b/>
          <w:spacing w:val="-3"/>
          <w:sz w:val="20"/>
          <w:szCs w:val="20"/>
        </w:rPr>
        <w:t xml:space="preserve"> </w:t>
      </w:r>
      <w:r w:rsidRPr="000977F7">
        <w:rPr>
          <w:rFonts w:asciiTheme="majorHAnsi" w:hAnsiTheme="majorHAnsi"/>
          <w:b/>
          <w:sz w:val="20"/>
          <w:szCs w:val="20"/>
        </w:rPr>
        <w:t>ТА</w:t>
      </w:r>
      <w:r w:rsidRPr="000977F7">
        <w:rPr>
          <w:rFonts w:asciiTheme="majorHAnsi" w:hAnsiTheme="majorHAnsi"/>
          <w:b/>
          <w:spacing w:val="-3"/>
          <w:sz w:val="20"/>
          <w:szCs w:val="20"/>
        </w:rPr>
        <w:t xml:space="preserve"> </w:t>
      </w:r>
      <w:r w:rsidRPr="000977F7">
        <w:rPr>
          <w:rFonts w:asciiTheme="majorHAnsi" w:hAnsiTheme="majorHAnsi"/>
          <w:b/>
          <w:sz w:val="20"/>
          <w:szCs w:val="20"/>
        </w:rPr>
        <w:t>ІНШИХ</w:t>
      </w:r>
      <w:r w:rsidRPr="000977F7">
        <w:rPr>
          <w:rFonts w:asciiTheme="majorHAnsi" w:hAnsiTheme="majorHAnsi"/>
          <w:b/>
          <w:spacing w:val="-3"/>
          <w:sz w:val="20"/>
          <w:szCs w:val="20"/>
        </w:rPr>
        <w:t xml:space="preserve"> </w:t>
      </w:r>
      <w:r w:rsidRPr="000977F7">
        <w:rPr>
          <w:rFonts w:asciiTheme="majorHAnsi" w:hAnsiTheme="majorHAnsi"/>
          <w:b/>
          <w:sz w:val="20"/>
          <w:szCs w:val="20"/>
        </w:rPr>
        <w:t>ВИДІВ</w:t>
      </w:r>
      <w:r w:rsidRPr="000977F7">
        <w:rPr>
          <w:rFonts w:asciiTheme="majorHAnsi" w:hAnsiTheme="majorHAnsi"/>
          <w:b/>
          <w:spacing w:val="-2"/>
          <w:sz w:val="20"/>
          <w:szCs w:val="20"/>
        </w:rPr>
        <w:t xml:space="preserve"> </w:t>
      </w:r>
      <w:r w:rsidRPr="000977F7">
        <w:rPr>
          <w:rFonts w:asciiTheme="majorHAnsi" w:hAnsiTheme="majorHAnsi"/>
          <w:b/>
          <w:sz w:val="20"/>
          <w:szCs w:val="20"/>
        </w:rPr>
        <w:t>ОБСЛУГОВУВАННЯ</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57D42C6B" w14:textId="77777777" w:rsidR="0097612F" w:rsidRPr="000977F7" w:rsidRDefault="0097612F" w:rsidP="00FD39A4">
      <w:pPr>
        <w:pStyle w:val="ac"/>
        <w:widowControl w:val="0"/>
        <w:numPr>
          <w:ilvl w:val="0"/>
          <w:numId w:val="102"/>
        </w:numPr>
        <w:tabs>
          <w:tab w:val="left" w:pos="284"/>
          <w:tab w:val="left" w:pos="58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 всіма споживачами однаковою мірою визнається право на задоволення їх потреб у сфері торговельного</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видів</w:t>
      </w:r>
      <w:r w:rsidRPr="000977F7">
        <w:rPr>
          <w:rFonts w:asciiTheme="majorHAnsi" w:hAnsiTheme="majorHAnsi"/>
          <w:spacing w:val="1"/>
          <w:sz w:val="20"/>
          <w:szCs w:val="20"/>
        </w:rPr>
        <w:t xml:space="preserve"> </w:t>
      </w:r>
      <w:r w:rsidRPr="000977F7">
        <w:rPr>
          <w:rFonts w:asciiTheme="majorHAnsi" w:hAnsiTheme="majorHAnsi"/>
          <w:sz w:val="20"/>
          <w:szCs w:val="20"/>
        </w:rPr>
        <w:t>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Встановлення</w:t>
      </w:r>
      <w:r w:rsidRPr="000977F7">
        <w:rPr>
          <w:rFonts w:asciiTheme="majorHAnsi" w:hAnsiTheme="majorHAnsi"/>
          <w:spacing w:val="-47"/>
          <w:sz w:val="20"/>
          <w:szCs w:val="20"/>
        </w:rPr>
        <w:t xml:space="preserve"> </w:t>
      </w:r>
      <w:r w:rsidRPr="000977F7">
        <w:rPr>
          <w:rFonts w:asciiTheme="majorHAnsi" w:hAnsiTheme="majorHAnsi"/>
          <w:sz w:val="20"/>
          <w:szCs w:val="20"/>
        </w:rPr>
        <w:t>будь-яких</w:t>
      </w:r>
      <w:r w:rsidRPr="000977F7">
        <w:rPr>
          <w:rFonts w:asciiTheme="majorHAnsi" w:hAnsiTheme="majorHAnsi"/>
          <w:spacing w:val="1"/>
          <w:sz w:val="20"/>
          <w:szCs w:val="20"/>
        </w:rPr>
        <w:t xml:space="preserve"> </w:t>
      </w:r>
      <w:r w:rsidRPr="000977F7">
        <w:rPr>
          <w:rFonts w:asciiTheme="majorHAnsi" w:hAnsiTheme="majorHAnsi"/>
          <w:sz w:val="20"/>
          <w:szCs w:val="20"/>
        </w:rPr>
        <w:t>переваг,</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прямих</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непрямих обмежень прав споживачів не допускається, крім</w:t>
      </w:r>
      <w:r w:rsidRPr="000977F7">
        <w:rPr>
          <w:rFonts w:asciiTheme="majorHAnsi" w:hAnsiTheme="majorHAnsi"/>
          <w:spacing w:val="1"/>
          <w:sz w:val="20"/>
          <w:szCs w:val="20"/>
        </w:rPr>
        <w:t xml:space="preserve"> </w:t>
      </w:r>
      <w:r w:rsidRPr="000977F7">
        <w:rPr>
          <w:rFonts w:asciiTheme="majorHAnsi" w:hAnsiTheme="majorHAnsi"/>
          <w:sz w:val="20"/>
          <w:szCs w:val="20"/>
        </w:rPr>
        <w:t>випадків, передбачених нормативно-правовими актами.</w:t>
      </w:r>
    </w:p>
    <w:p w14:paraId="01B8E53C" w14:textId="77777777" w:rsidR="0097612F" w:rsidRPr="000977F7" w:rsidRDefault="0097612F" w:rsidP="00FD39A4">
      <w:pPr>
        <w:pStyle w:val="ac"/>
        <w:widowControl w:val="0"/>
        <w:numPr>
          <w:ilvl w:val="0"/>
          <w:numId w:val="102"/>
        </w:numPr>
        <w:tabs>
          <w:tab w:val="left" w:pos="284"/>
          <w:tab w:val="left" w:pos="57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Споживач має право на вільний вибір товарів і послуг у зручний для нього час та на вільне використання електронних платіжних засобів з урахуванням режиму роботи та обов'язкових для продавця (виконавця) форм (видів)</w:t>
      </w:r>
      <w:r w:rsidRPr="000977F7">
        <w:rPr>
          <w:rFonts w:asciiTheme="majorHAnsi" w:hAnsiTheme="majorHAnsi"/>
          <w:spacing w:val="1"/>
          <w:sz w:val="20"/>
          <w:szCs w:val="20"/>
        </w:rPr>
        <w:t xml:space="preserve"> </w:t>
      </w:r>
      <w:r w:rsidRPr="000977F7">
        <w:rPr>
          <w:rFonts w:asciiTheme="majorHAnsi" w:hAnsiTheme="majorHAnsi"/>
          <w:sz w:val="20"/>
          <w:szCs w:val="20"/>
        </w:rPr>
        <w:t>розрахунків,</w:t>
      </w:r>
      <w:r w:rsidRPr="000977F7">
        <w:rPr>
          <w:rFonts w:asciiTheme="majorHAnsi" w:hAnsiTheme="majorHAnsi"/>
          <w:spacing w:val="1"/>
          <w:sz w:val="20"/>
          <w:szCs w:val="20"/>
        </w:rPr>
        <w:t xml:space="preserve"> </w:t>
      </w:r>
      <w:r w:rsidRPr="000977F7">
        <w:rPr>
          <w:rFonts w:asciiTheme="majorHAnsi" w:hAnsiTheme="majorHAnsi"/>
          <w:sz w:val="20"/>
          <w:szCs w:val="20"/>
        </w:rPr>
        <w:t>установлених законодавством України.</w:t>
      </w:r>
    </w:p>
    <w:p w14:paraId="2D3ED2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Продавець (виконавець) зобов'язаний всіляко сприяти споживачеві у вільному виборі продукції та форм її</w:t>
      </w:r>
      <w:r w:rsidRPr="000977F7">
        <w:rPr>
          <w:rFonts w:asciiTheme="majorHAnsi" w:hAnsiTheme="majorHAnsi"/>
          <w:spacing w:val="-47"/>
          <w:sz w:val="20"/>
          <w:szCs w:val="20"/>
        </w:rPr>
        <w:t xml:space="preserve"> </w:t>
      </w:r>
      <w:r w:rsidRPr="000977F7">
        <w:rPr>
          <w:rFonts w:asciiTheme="majorHAnsi" w:hAnsiTheme="majorHAnsi"/>
          <w:sz w:val="20"/>
          <w:szCs w:val="20"/>
        </w:rPr>
        <w:t>оплати.</w:t>
      </w:r>
    </w:p>
    <w:p w14:paraId="5E1FC44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Забороняється</w:t>
      </w:r>
      <w:r w:rsidRPr="000977F7">
        <w:rPr>
          <w:rFonts w:asciiTheme="majorHAnsi" w:hAnsiTheme="majorHAnsi"/>
          <w:spacing w:val="1"/>
          <w:sz w:val="20"/>
          <w:szCs w:val="20"/>
        </w:rPr>
        <w:t xml:space="preserve"> </w:t>
      </w:r>
      <w:r w:rsidRPr="000977F7">
        <w:rPr>
          <w:rFonts w:asciiTheme="majorHAnsi" w:hAnsiTheme="majorHAnsi"/>
          <w:sz w:val="20"/>
          <w:szCs w:val="20"/>
        </w:rPr>
        <w:t>примушувати</w:t>
      </w:r>
      <w:r w:rsidRPr="000977F7">
        <w:rPr>
          <w:rFonts w:asciiTheme="majorHAnsi" w:hAnsiTheme="majorHAnsi"/>
          <w:spacing w:val="1"/>
          <w:sz w:val="20"/>
          <w:szCs w:val="20"/>
        </w:rPr>
        <w:t xml:space="preserve"> </w:t>
      </w:r>
      <w:r w:rsidRPr="000977F7">
        <w:rPr>
          <w:rFonts w:asciiTheme="majorHAnsi" w:hAnsiTheme="majorHAnsi"/>
          <w:sz w:val="20"/>
          <w:szCs w:val="20"/>
        </w:rPr>
        <w:t>споживача</w:t>
      </w:r>
      <w:r w:rsidRPr="000977F7">
        <w:rPr>
          <w:rFonts w:asciiTheme="majorHAnsi" w:hAnsiTheme="majorHAnsi"/>
          <w:spacing w:val="1"/>
          <w:sz w:val="20"/>
          <w:szCs w:val="20"/>
        </w:rPr>
        <w:t xml:space="preserve"> </w:t>
      </w:r>
      <w:r w:rsidRPr="000977F7">
        <w:rPr>
          <w:rFonts w:asciiTheme="majorHAnsi" w:hAnsiTheme="majorHAnsi"/>
          <w:sz w:val="20"/>
          <w:szCs w:val="20"/>
        </w:rPr>
        <w:t>придбавати</w:t>
      </w:r>
      <w:r w:rsidRPr="000977F7">
        <w:rPr>
          <w:rFonts w:asciiTheme="majorHAnsi" w:hAnsiTheme="majorHAnsi"/>
          <w:spacing w:val="-47"/>
          <w:sz w:val="20"/>
          <w:szCs w:val="20"/>
        </w:rPr>
        <w:t xml:space="preserve"> </w:t>
      </w:r>
      <w:r w:rsidRPr="000977F7">
        <w:rPr>
          <w:rFonts w:asciiTheme="majorHAnsi" w:hAnsiTheme="majorHAnsi"/>
          <w:sz w:val="20"/>
          <w:szCs w:val="20"/>
        </w:rPr>
        <w:t>продукцію неналежної якості або непотрібного йому</w:t>
      </w:r>
      <w:r w:rsidRPr="000977F7">
        <w:rPr>
          <w:rFonts w:asciiTheme="majorHAnsi" w:hAnsiTheme="majorHAnsi"/>
          <w:spacing w:val="1"/>
          <w:sz w:val="20"/>
          <w:szCs w:val="20"/>
        </w:rPr>
        <w:t xml:space="preserve"> </w:t>
      </w:r>
      <w:r w:rsidRPr="000977F7">
        <w:rPr>
          <w:rFonts w:asciiTheme="majorHAnsi" w:hAnsiTheme="majorHAnsi"/>
          <w:sz w:val="20"/>
          <w:szCs w:val="20"/>
        </w:rPr>
        <w:t>асортименту, у будь-який спосіб обмежувати використання ним електронних платіжних засобів, якщо відповідно до законодавства продавець (виконавець) зобов'язаний приймати</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3"/>
          <w:sz w:val="20"/>
          <w:szCs w:val="20"/>
        </w:rPr>
        <w:t xml:space="preserve"> </w:t>
      </w:r>
      <w:r w:rsidRPr="000977F7">
        <w:rPr>
          <w:rFonts w:asciiTheme="majorHAnsi" w:hAnsiTheme="majorHAnsi"/>
          <w:sz w:val="20"/>
          <w:szCs w:val="20"/>
        </w:rPr>
        <w:t>до сплати.</w:t>
      </w:r>
    </w:p>
    <w:p w14:paraId="03B91DCD" w14:textId="77777777" w:rsidR="0097612F" w:rsidRPr="000977F7" w:rsidRDefault="0097612F" w:rsidP="00FD39A4">
      <w:pPr>
        <w:pStyle w:val="ac"/>
        <w:widowControl w:val="0"/>
        <w:numPr>
          <w:ilvl w:val="0"/>
          <w:numId w:val="102"/>
        </w:numPr>
        <w:tabs>
          <w:tab w:val="left" w:pos="284"/>
          <w:tab w:val="left" w:pos="68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Продавець (виконавець) зобов'язаний надати споживачеві достовірну і доступну інформацію про найменування, належність та режим роботи свого підприємства.</w:t>
      </w:r>
    </w:p>
    <w:p w14:paraId="6FB904AE" w14:textId="77777777" w:rsidR="0097612F" w:rsidRPr="000977F7" w:rsidRDefault="0097612F" w:rsidP="00FD39A4">
      <w:pPr>
        <w:pStyle w:val="ac"/>
        <w:widowControl w:val="0"/>
        <w:numPr>
          <w:ilvl w:val="0"/>
          <w:numId w:val="102"/>
        </w:numPr>
        <w:tabs>
          <w:tab w:val="left" w:pos="284"/>
          <w:tab w:val="left" w:pos="71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Споживач має право на перевірку якості, безпеки,</w:t>
      </w:r>
      <w:r w:rsidRPr="000977F7">
        <w:rPr>
          <w:rFonts w:asciiTheme="majorHAnsi" w:hAnsiTheme="majorHAnsi"/>
          <w:spacing w:val="1"/>
          <w:sz w:val="20"/>
          <w:szCs w:val="20"/>
        </w:rPr>
        <w:t xml:space="preserve"> </w:t>
      </w:r>
      <w:r w:rsidRPr="000977F7">
        <w:rPr>
          <w:rFonts w:asciiTheme="majorHAnsi" w:hAnsiTheme="majorHAnsi"/>
          <w:sz w:val="20"/>
          <w:szCs w:val="20"/>
        </w:rPr>
        <w:t>комплектності, міри, ваги та ціни продукції, що придбавається (замовляється), демонстрацію безпечного та</w:t>
      </w:r>
      <w:r w:rsidRPr="000977F7">
        <w:rPr>
          <w:rFonts w:asciiTheme="majorHAnsi" w:hAnsiTheme="majorHAnsi"/>
          <w:spacing w:val="-47"/>
          <w:sz w:val="20"/>
          <w:szCs w:val="20"/>
        </w:rPr>
        <w:t xml:space="preserve"> </w:t>
      </w:r>
      <w:r w:rsidRPr="000977F7">
        <w:rPr>
          <w:rFonts w:asciiTheme="majorHAnsi" w:hAnsiTheme="majorHAnsi"/>
          <w:sz w:val="20"/>
          <w:szCs w:val="20"/>
        </w:rPr>
        <w:t>правильного</w:t>
      </w:r>
      <w:r w:rsidRPr="000977F7">
        <w:rPr>
          <w:rFonts w:asciiTheme="majorHAnsi" w:hAnsiTheme="majorHAnsi"/>
          <w:spacing w:val="1"/>
          <w:sz w:val="20"/>
          <w:szCs w:val="20"/>
        </w:rPr>
        <w:t xml:space="preserve"> </w:t>
      </w:r>
      <w:r w:rsidRPr="000977F7">
        <w:rPr>
          <w:rFonts w:asciiTheme="majorHAnsi" w:hAnsiTheme="majorHAnsi"/>
          <w:sz w:val="20"/>
          <w:szCs w:val="20"/>
        </w:rPr>
        <w:t>її використання. На</w:t>
      </w:r>
      <w:r w:rsidRPr="000977F7">
        <w:rPr>
          <w:rFonts w:asciiTheme="majorHAnsi" w:hAnsiTheme="majorHAnsi"/>
          <w:spacing w:val="1"/>
          <w:sz w:val="20"/>
          <w:szCs w:val="20"/>
        </w:rPr>
        <w:t xml:space="preserve"> </w:t>
      </w:r>
      <w:r w:rsidRPr="000977F7">
        <w:rPr>
          <w:rFonts w:asciiTheme="majorHAnsi" w:hAnsiTheme="majorHAnsi"/>
          <w:sz w:val="20"/>
          <w:szCs w:val="20"/>
        </w:rPr>
        <w:t>вимогу споживача</w:t>
      </w:r>
      <w:r w:rsidRPr="000977F7">
        <w:rPr>
          <w:rFonts w:asciiTheme="majorHAnsi" w:hAnsiTheme="majorHAnsi"/>
          <w:spacing w:val="1"/>
          <w:sz w:val="20"/>
          <w:szCs w:val="20"/>
        </w:rPr>
        <w:t xml:space="preserve"> </w:t>
      </w:r>
      <w:r w:rsidRPr="000977F7">
        <w:rPr>
          <w:rFonts w:asciiTheme="majorHAnsi" w:hAnsiTheme="majorHAnsi"/>
          <w:sz w:val="20"/>
          <w:szCs w:val="20"/>
        </w:rPr>
        <w:t>продавець</w:t>
      </w:r>
      <w:r w:rsidRPr="000977F7">
        <w:rPr>
          <w:rFonts w:asciiTheme="majorHAnsi" w:hAnsiTheme="majorHAnsi"/>
          <w:spacing w:val="1"/>
          <w:sz w:val="20"/>
          <w:szCs w:val="20"/>
        </w:rPr>
        <w:t xml:space="preserve"> </w:t>
      </w:r>
      <w:r w:rsidRPr="000977F7">
        <w:rPr>
          <w:rFonts w:asciiTheme="majorHAnsi" w:hAnsiTheme="majorHAnsi"/>
          <w:sz w:val="20"/>
          <w:szCs w:val="20"/>
        </w:rPr>
        <w:t>(виконавець)</w:t>
      </w:r>
      <w:r w:rsidRPr="000977F7">
        <w:rPr>
          <w:rFonts w:asciiTheme="majorHAnsi" w:hAnsiTheme="majorHAnsi"/>
          <w:spacing w:val="1"/>
          <w:sz w:val="20"/>
          <w:szCs w:val="20"/>
        </w:rPr>
        <w:t xml:space="preserve"> </w:t>
      </w:r>
      <w:r w:rsidRPr="000977F7">
        <w:rPr>
          <w:rFonts w:asciiTheme="majorHAnsi" w:hAnsiTheme="majorHAnsi"/>
          <w:sz w:val="20"/>
          <w:szCs w:val="20"/>
        </w:rPr>
        <w:t>зобов'язаний</w:t>
      </w:r>
      <w:r w:rsidRPr="000977F7">
        <w:rPr>
          <w:rFonts w:asciiTheme="majorHAnsi" w:hAnsiTheme="majorHAnsi"/>
          <w:spacing w:val="1"/>
          <w:sz w:val="20"/>
          <w:szCs w:val="20"/>
        </w:rPr>
        <w:t xml:space="preserve"> </w:t>
      </w:r>
      <w:r w:rsidRPr="000977F7">
        <w:rPr>
          <w:rFonts w:asciiTheme="majorHAnsi" w:hAnsiTheme="majorHAnsi"/>
          <w:sz w:val="20"/>
          <w:szCs w:val="20"/>
        </w:rPr>
        <w:t>надати</w:t>
      </w:r>
      <w:r w:rsidRPr="000977F7">
        <w:rPr>
          <w:rFonts w:asciiTheme="majorHAnsi" w:hAnsiTheme="majorHAnsi"/>
          <w:spacing w:val="1"/>
          <w:sz w:val="20"/>
          <w:szCs w:val="20"/>
        </w:rPr>
        <w:t xml:space="preserve"> </w:t>
      </w:r>
      <w:r w:rsidRPr="000977F7">
        <w:rPr>
          <w:rFonts w:asciiTheme="majorHAnsi" w:hAnsiTheme="majorHAnsi"/>
          <w:sz w:val="20"/>
          <w:szCs w:val="20"/>
        </w:rPr>
        <w:t>йому</w:t>
      </w:r>
      <w:r w:rsidRPr="000977F7">
        <w:rPr>
          <w:rFonts w:asciiTheme="majorHAnsi" w:hAnsiTheme="majorHAnsi"/>
          <w:spacing w:val="1"/>
          <w:sz w:val="20"/>
          <w:szCs w:val="20"/>
        </w:rPr>
        <w:t xml:space="preserve"> </w:t>
      </w:r>
      <w:r w:rsidRPr="000977F7">
        <w:rPr>
          <w:rFonts w:asciiTheme="majorHAnsi" w:hAnsiTheme="majorHAnsi"/>
          <w:sz w:val="20"/>
          <w:szCs w:val="20"/>
        </w:rPr>
        <w:t>контрольно-вимірювальні</w:t>
      </w:r>
      <w:r w:rsidRPr="000977F7">
        <w:rPr>
          <w:rFonts w:asciiTheme="majorHAnsi" w:hAnsiTheme="majorHAnsi"/>
          <w:spacing w:val="1"/>
          <w:sz w:val="20"/>
          <w:szCs w:val="20"/>
        </w:rPr>
        <w:t xml:space="preserve"> </w:t>
      </w:r>
      <w:r w:rsidRPr="000977F7">
        <w:rPr>
          <w:rFonts w:asciiTheme="majorHAnsi" w:hAnsiTheme="majorHAnsi"/>
          <w:sz w:val="20"/>
          <w:szCs w:val="20"/>
        </w:rPr>
        <w:t>прилади,</w:t>
      </w:r>
      <w:r w:rsidRPr="000977F7">
        <w:rPr>
          <w:rFonts w:asciiTheme="majorHAnsi" w:hAnsiTheme="majorHAnsi"/>
          <w:spacing w:val="1"/>
          <w:sz w:val="20"/>
          <w:szCs w:val="20"/>
        </w:rPr>
        <w:t xml:space="preserve"> </w:t>
      </w:r>
      <w:r w:rsidRPr="000977F7">
        <w:rPr>
          <w:rFonts w:asciiTheme="majorHAnsi" w:hAnsiTheme="majorHAnsi"/>
          <w:sz w:val="20"/>
          <w:szCs w:val="20"/>
        </w:rPr>
        <w:t>документи</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47"/>
          <w:sz w:val="20"/>
          <w:szCs w:val="20"/>
        </w:rPr>
        <w:t xml:space="preserve"> </w:t>
      </w:r>
      <w:r w:rsidRPr="000977F7">
        <w:rPr>
          <w:rFonts w:asciiTheme="majorHAnsi" w:hAnsiTheme="majorHAnsi"/>
          <w:sz w:val="20"/>
          <w:szCs w:val="20"/>
        </w:rPr>
        <w:t>якість,</w:t>
      </w:r>
      <w:r w:rsidRPr="000977F7">
        <w:rPr>
          <w:rFonts w:asciiTheme="majorHAnsi" w:hAnsiTheme="majorHAnsi"/>
          <w:spacing w:val="-1"/>
          <w:sz w:val="20"/>
          <w:szCs w:val="20"/>
        </w:rPr>
        <w:t xml:space="preserve"> </w:t>
      </w:r>
      <w:r w:rsidRPr="000977F7">
        <w:rPr>
          <w:rFonts w:asciiTheme="majorHAnsi" w:hAnsiTheme="majorHAnsi"/>
          <w:sz w:val="20"/>
          <w:szCs w:val="20"/>
        </w:rPr>
        <w:t>безпеку, ціну</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27F584C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разі коли під час гарантійного строку необхідно</w:t>
      </w:r>
      <w:r w:rsidRPr="000977F7">
        <w:rPr>
          <w:rFonts w:asciiTheme="majorHAnsi" w:hAnsiTheme="majorHAnsi"/>
          <w:spacing w:val="1"/>
          <w:sz w:val="20"/>
          <w:szCs w:val="20"/>
        </w:rPr>
        <w:t xml:space="preserve"> </w:t>
      </w:r>
      <w:r w:rsidRPr="000977F7">
        <w:rPr>
          <w:rFonts w:asciiTheme="majorHAnsi" w:hAnsiTheme="majorHAnsi"/>
          <w:sz w:val="20"/>
          <w:szCs w:val="20"/>
        </w:rPr>
        <w:t>визначити</w:t>
      </w:r>
      <w:r w:rsidRPr="000977F7">
        <w:rPr>
          <w:rFonts w:asciiTheme="majorHAnsi" w:hAnsiTheme="majorHAnsi"/>
          <w:spacing w:val="1"/>
          <w:sz w:val="20"/>
          <w:szCs w:val="20"/>
        </w:rPr>
        <w:t xml:space="preserve"> </w:t>
      </w:r>
      <w:r w:rsidRPr="000977F7">
        <w:rPr>
          <w:rFonts w:asciiTheme="majorHAnsi" w:hAnsiTheme="majorHAnsi"/>
          <w:sz w:val="20"/>
          <w:szCs w:val="20"/>
        </w:rPr>
        <w:t>причини</w:t>
      </w:r>
      <w:r w:rsidRPr="000977F7">
        <w:rPr>
          <w:rFonts w:asciiTheme="majorHAnsi" w:hAnsiTheme="majorHAnsi"/>
          <w:spacing w:val="1"/>
          <w:sz w:val="20"/>
          <w:szCs w:val="20"/>
        </w:rPr>
        <w:t xml:space="preserve"> </w:t>
      </w:r>
      <w:r w:rsidRPr="000977F7">
        <w:rPr>
          <w:rFonts w:asciiTheme="majorHAnsi" w:hAnsiTheme="majorHAnsi"/>
          <w:sz w:val="20"/>
          <w:szCs w:val="20"/>
        </w:rPr>
        <w:t>втрати</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продавець (виконавець, виробник) зобов'язаний у триденний строк з дня одержання від споживача письмової</w:t>
      </w:r>
      <w:r w:rsidRPr="000977F7">
        <w:rPr>
          <w:rFonts w:asciiTheme="majorHAnsi" w:hAnsiTheme="majorHAnsi"/>
          <w:spacing w:val="1"/>
          <w:sz w:val="20"/>
          <w:szCs w:val="20"/>
        </w:rPr>
        <w:t xml:space="preserve"> </w:t>
      </w:r>
      <w:r w:rsidRPr="000977F7">
        <w:rPr>
          <w:rFonts w:asciiTheme="majorHAnsi" w:hAnsiTheme="majorHAnsi"/>
          <w:sz w:val="20"/>
          <w:szCs w:val="20"/>
        </w:rPr>
        <w:t>згоди організувати проведення експертизи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Експертиза проводиться за рахунок продавця (виконавця, виробника). Якщо у висновках експертизи буде</w:t>
      </w:r>
      <w:r w:rsidRPr="000977F7">
        <w:rPr>
          <w:rFonts w:asciiTheme="majorHAnsi" w:hAnsiTheme="majorHAnsi"/>
          <w:spacing w:val="-47"/>
          <w:sz w:val="20"/>
          <w:szCs w:val="20"/>
        </w:rPr>
        <w:t xml:space="preserve"> </w:t>
      </w:r>
      <w:r w:rsidRPr="000977F7">
        <w:rPr>
          <w:rFonts w:asciiTheme="majorHAnsi" w:hAnsiTheme="majorHAnsi"/>
          <w:sz w:val="20"/>
          <w:szCs w:val="20"/>
        </w:rPr>
        <w:t>доведено, що недоліки виникли після передачі продукції споживачеві внаслідок порушення ним встановлених правил використання, зберігання чи транспортування або дій третіх осіб, вимоги споживача не підлягають задоволенню, а споживач зобов'язаний відшкодувати</w:t>
      </w:r>
      <w:r w:rsidRPr="000977F7">
        <w:rPr>
          <w:rFonts w:asciiTheme="majorHAnsi" w:hAnsiTheme="majorHAnsi"/>
          <w:spacing w:val="1"/>
          <w:sz w:val="20"/>
          <w:szCs w:val="20"/>
        </w:rPr>
        <w:t xml:space="preserve"> </w:t>
      </w:r>
      <w:r w:rsidRPr="000977F7">
        <w:rPr>
          <w:rFonts w:asciiTheme="majorHAnsi" w:hAnsiTheme="majorHAnsi"/>
          <w:sz w:val="20"/>
          <w:szCs w:val="20"/>
        </w:rPr>
        <w:t>продавцю</w:t>
      </w:r>
      <w:r w:rsidRPr="000977F7">
        <w:rPr>
          <w:rFonts w:asciiTheme="majorHAnsi" w:hAnsiTheme="majorHAnsi"/>
          <w:spacing w:val="1"/>
          <w:sz w:val="20"/>
          <w:szCs w:val="20"/>
        </w:rPr>
        <w:t xml:space="preserve"> </w:t>
      </w:r>
      <w:r w:rsidRPr="000977F7">
        <w:rPr>
          <w:rFonts w:asciiTheme="majorHAnsi" w:hAnsiTheme="majorHAnsi"/>
          <w:sz w:val="20"/>
          <w:szCs w:val="20"/>
        </w:rPr>
        <w:t>(виконавцю,</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підприємству,</w:t>
      </w:r>
      <w:r w:rsidRPr="000977F7">
        <w:rPr>
          <w:rFonts w:asciiTheme="majorHAnsi" w:hAnsiTheme="majorHAnsi"/>
          <w:spacing w:val="1"/>
          <w:sz w:val="20"/>
          <w:szCs w:val="20"/>
        </w:rPr>
        <w:t xml:space="preserve"> </w:t>
      </w:r>
      <w:r w:rsidRPr="000977F7">
        <w:rPr>
          <w:rFonts w:asciiTheme="majorHAnsi" w:hAnsiTheme="majorHAnsi"/>
          <w:sz w:val="20"/>
          <w:szCs w:val="20"/>
        </w:rPr>
        <w:t>яке</w:t>
      </w:r>
      <w:r w:rsidRPr="000977F7">
        <w:rPr>
          <w:rFonts w:asciiTheme="majorHAnsi" w:hAnsiTheme="majorHAnsi"/>
          <w:spacing w:val="1"/>
          <w:sz w:val="20"/>
          <w:szCs w:val="20"/>
        </w:rPr>
        <w:t xml:space="preserve"> </w:t>
      </w:r>
      <w:r w:rsidRPr="000977F7">
        <w:rPr>
          <w:rFonts w:asciiTheme="majorHAnsi" w:hAnsiTheme="majorHAnsi"/>
          <w:sz w:val="20"/>
          <w:szCs w:val="20"/>
        </w:rPr>
        <w:t>виконує його функції) витрати на проведення експертизи.</w:t>
      </w:r>
      <w:r w:rsidRPr="000977F7">
        <w:rPr>
          <w:rFonts w:asciiTheme="majorHAnsi" w:hAnsiTheme="majorHAnsi"/>
          <w:spacing w:val="1"/>
          <w:sz w:val="20"/>
          <w:szCs w:val="20"/>
        </w:rPr>
        <w:t xml:space="preserve"> </w:t>
      </w:r>
      <w:r w:rsidRPr="000977F7">
        <w:rPr>
          <w:rFonts w:asciiTheme="majorHAnsi" w:hAnsiTheme="majorHAnsi"/>
          <w:sz w:val="20"/>
          <w:szCs w:val="20"/>
        </w:rPr>
        <w:t>Споживач,</w:t>
      </w:r>
      <w:r w:rsidRPr="000977F7">
        <w:rPr>
          <w:rFonts w:asciiTheme="majorHAnsi" w:hAnsiTheme="majorHAnsi"/>
          <w:spacing w:val="1"/>
          <w:sz w:val="20"/>
          <w:szCs w:val="20"/>
        </w:rPr>
        <w:t xml:space="preserve"> </w:t>
      </w:r>
      <w:r w:rsidRPr="000977F7">
        <w:rPr>
          <w:rFonts w:asciiTheme="majorHAnsi" w:hAnsiTheme="majorHAnsi"/>
          <w:sz w:val="20"/>
          <w:szCs w:val="20"/>
        </w:rPr>
        <w:t>продавець</w:t>
      </w:r>
      <w:r w:rsidRPr="000977F7">
        <w:rPr>
          <w:rFonts w:asciiTheme="majorHAnsi" w:hAnsiTheme="majorHAnsi"/>
          <w:spacing w:val="1"/>
          <w:sz w:val="20"/>
          <w:szCs w:val="20"/>
        </w:rPr>
        <w:t xml:space="preserve"> </w:t>
      </w:r>
      <w:r w:rsidRPr="000977F7">
        <w:rPr>
          <w:rFonts w:asciiTheme="majorHAnsi" w:hAnsiTheme="majorHAnsi"/>
          <w:sz w:val="20"/>
          <w:szCs w:val="20"/>
        </w:rPr>
        <w:t>(виконавець,</w:t>
      </w:r>
      <w:r w:rsidRPr="000977F7">
        <w:rPr>
          <w:rFonts w:asciiTheme="majorHAnsi" w:hAnsiTheme="majorHAnsi"/>
          <w:spacing w:val="1"/>
          <w:sz w:val="20"/>
          <w:szCs w:val="20"/>
        </w:rPr>
        <w:t xml:space="preserve"> </w:t>
      </w:r>
      <w:r w:rsidRPr="000977F7">
        <w:rPr>
          <w:rFonts w:asciiTheme="majorHAnsi" w:hAnsiTheme="majorHAnsi"/>
          <w:sz w:val="20"/>
          <w:szCs w:val="20"/>
        </w:rPr>
        <w:t>виробник)</w:t>
      </w:r>
      <w:r w:rsidRPr="000977F7">
        <w:rPr>
          <w:rFonts w:asciiTheme="majorHAnsi" w:hAnsiTheme="majorHAnsi"/>
          <w:spacing w:val="1"/>
          <w:sz w:val="20"/>
          <w:szCs w:val="20"/>
        </w:rPr>
        <w:t xml:space="preserve"> </w:t>
      </w:r>
      <w:r w:rsidRPr="000977F7">
        <w:rPr>
          <w:rFonts w:asciiTheme="majorHAnsi" w:hAnsiTheme="majorHAnsi"/>
          <w:sz w:val="20"/>
          <w:szCs w:val="20"/>
        </w:rPr>
        <w:t>мають право на оскарження висновків експертизи у</w:t>
      </w:r>
      <w:r w:rsidRPr="000977F7">
        <w:rPr>
          <w:rFonts w:asciiTheme="majorHAnsi" w:hAnsiTheme="majorHAnsi"/>
          <w:spacing w:val="1"/>
          <w:sz w:val="20"/>
          <w:szCs w:val="20"/>
        </w:rPr>
        <w:t xml:space="preserve"> </w:t>
      </w:r>
      <w:r w:rsidRPr="000977F7">
        <w:rPr>
          <w:rFonts w:asciiTheme="majorHAnsi" w:hAnsiTheme="majorHAnsi"/>
          <w:sz w:val="20"/>
          <w:szCs w:val="20"/>
        </w:rPr>
        <w:t>судовому</w:t>
      </w:r>
      <w:r w:rsidRPr="000977F7">
        <w:rPr>
          <w:rFonts w:asciiTheme="majorHAnsi" w:hAnsiTheme="majorHAnsi"/>
          <w:spacing w:val="-2"/>
          <w:sz w:val="20"/>
          <w:szCs w:val="20"/>
        </w:rPr>
        <w:t xml:space="preserve"> </w:t>
      </w:r>
      <w:r w:rsidRPr="000977F7">
        <w:rPr>
          <w:rFonts w:asciiTheme="majorHAnsi" w:hAnsiTheme="majorHAnsi"/>
          <w:sz w:val="20"/>
          <w:szCs w:val="20"/>
        </w:rPr>
        <w:t>порядку.</w:t>
      </w:r>
    </w:p>
    <w:p w14:paraId="10F423B6" w14:textId="77777777" w:rsidR="0097612F" w:rsidRPr="000977F7" w:rsidRDefault="0097612F" w:rsidP="00FD39A4">
      <w:pPr>
        <w:pStyle w:val="ac"/>
        <w:widowControl w:val="0"/>
        <w:numPr>
          <w:ilvl w:val="0"/>
          <w:numId w:val="102"/>
        </w:numPr>
        <w:tabs>
          <w:tab w:val="left" w:pos="284"/>
          <w:tab w:val="left" w:pos="71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 xml:space="preserve">У разі порушення прав споживача на підприємствах сфери обслуговування продавець </w:t>
      </w:r>
      <w:r w:rsidRPr="000977F7">
        <w:rPr>
          <w:rFonts w:asciiTheme="majorHAnsi" w:hAnsiTheme="majorHAnsi"/>
          <w:sz w:val="20"/>
          <w:szCs w:val="20"/>
        </w:rPr>
        <w:t>(виробник, виконавець) і працівники цих підприємств несуть відповідальність,</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встановлену</w:t>
      </w:r>
      <w:r w:rsidRPr="000977F7">
        <w:rPr>
          <w:rFonts w:asciiTheme="majorHAnsi" w:hAnsiTheme="majorHAnsi"/>
          <w:spacing w:val="-4"/>
          <w:sz w:val="20"/>
          <w:szCs w:val="20"/>
        </w:rPr>
        <w:t xml:space="preserve"> </w:t>
      </w:r>
      <w:r w:rsidRPr="000977F7">
        <w:rPr>
          <w:rFonts w:asciiTheme="majorHAnsi" w:hAnsiTheme="majorHAnsi"/>
          <w:sz w:val="20"/>
          <w:szCs w:val="20"/>
        </w:rPr>
        <w:t>законом.</w:t>
      </w:r>
    </w:p>
    <w:p w14:paraId="010AA6E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17 закону України "Про захист прав споживачів"</w:t>
      </w:r>
    </w:p>
    <w:p w14:paraId="10B2B99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ПРАВА</w:t>
      </w:r>
      <w:r w:rsidRPr="000977F7">
        <w:rPr>
          <w:color w:val="auto"/>
          <w:spacing w:val="-5"/>
          <w:sz w:val="20"/>
          <w:szCs w:val="20"/>
        </w:rPr>
        <w:t xml:space="preserve"> ТА ОБОВ’ЯЗКИ </w:t>
      </w:r>
      <w:r w:rsidRPr="000977F7">
        <w:rPr>
          <w:color w:val="auto"/>
          <w:sz w:val="20"/>
          <w:szCs w:val="20"/>
        </w:rPr>
        <w:t>СПОЖИВАЧІВ</w:t>
      </w:r>
      <w:r w:rsidRPr="000977F7">
        <w:rPr>
          <w:color w:val="auto"/>
          <w:spacing w:val="-2"/>
          <w:sz w:val="20"/>
          <w:szCs w:val="20"/>
        </w:rPr>
        <w:t xml:space="preserve"> </w:t>
      </w:r>
      <w:r w:rsidRPr="000977F7">
        <w:rPr>
          <w:color w:val="auto"/>
          <w:sz w:val="20"/>
          <w:szCs w:val="20"/>
        </w:rPr>
        <w:t>–</w:t>
      </w:r>
    </w:p>
    <w:p w14:paraId="33861053"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shd w:val="clear" w:color="auto" w:fill="FFFFFF"/>
        </w:rPr>
        <w:t>1. Споживачі під час укладення, зміни, виконання та припинення договорів щодо отримання (придбання, замовлення тощо) продукції, а також при використанні продукції, яка реалізується на території України, для задоволення своїх особистих потреб мають право на:</w:t>
      </w:r>
    </w:p>
    <w:p w14:paraId="392D0FEA" w14:textId="77777777" w:rsidR="0097612F" w:rsidRPr="000977F7" w:rsidRDefault="0097612F" w:rsidP="00FD39A4">
      <w:pPr>
        <w:pStyle w:val="ac"/>
        <w:widowControl w:val="0"/>
        <w:numPr>
          <w:ilvl w:val="0"/>
          <w:numId w:val="101"/>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захист</w:t>
      </w:r>
      <w:r w:rsidRPr="000977F7">
        <w:rPr>
          <w:rFonts w:asciiTheme="majorHAnsi" w:hAnsiTheme="majorHAnsi"/>
          <w:spacing w:val="-4"/>
          <w:sz w:val="20"/>
          <w:szCs w:val="20"/>
        </w:rPr>
        <w:t xml:space="preserve"> </w:t>
      </w:r>
      <w:r w:rsidRPr="000977F7">
        <w:rPr>
          <w:rFonts w:asciiTheme="majorHAnsi" w:hAnsiTheme="majorHAnsi"/>
          <w:sz w:val="20"/>
          <w:szCs w:val="20"/>
        </w:rPr>
        <w:t>своїх</w:t>
      </w:r>
      <w:r w:rsidRPr="000977F7">
        <w:rPr>
          <w:rFonts w:asciiTheme="majorHAnsi" w:hAnsiTheme="majorHAnsi"/>
          <w:spacing w:val="-3"/>
          <w:sz w:val="20"/>
          <w:szCs w:val="20"/>
        </w:rPr>
        <w:t xml:space="preserve"> </w:t>
      </w:r>
      <w:r w:rsidRPr="000977F7">
        <w:rPr>
          <w:rFonts w:asciiTheme="majorHAnsi" w:hAnsiTheme="majorHAnsi"/>
          <w:sz w:val="20"/>
          <w:szCs w:val="20"/>
        </w:rPr>
        <w:t>прав</w:t>
      </w:r>
      <w:r w:rsidRPr="000977F7">
        <w:rPr>
          <w:rFonts w:asciiTheme="majorHAnsi" w:hAnsiTheme="majorHAnsi"/>
          <w:spacing w:val="-4"/>
          <w:sz w:val="20"/>
          <w:szCs w:val="20"/>
        </w:rPr>
        <w:t xml:space="preserve"> </w:t>
      </w:r>
      <w:r w:rsidRPr="000977F7">
        <w:rPr>
          <w:rFonts w:asciiTheme="majorHAnsi" w:hAnsiTheme="majorHAnsi"/>
          <w:sz w:val="20"/>
          <w:szCs w:val="20"/>
        </w:rPr>
        <w:t>державою;</w:t>
      </w:r>
    </w:p>
    <w:p w14:paraId="10C85858" w14:textId="77777777" w:rsidR="0097612F" w:rsidRPr="000977F7" w:rsidRDefault="0097612F" w:rsidP="00FD39A4">
      <w:pPr>
        <w:pStyle w:val="ac"/>
        <w:widowControl w:val="0"/>
        <w:numPr>
          <w:ilvl w:val="0"/>
          <w:numId w:val="101"/>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належну</w:t>
      </w:r>
      <w:r w:rsidRPr="000977F7">
        <w:rPr>
          <w:rFonts w:asciiTheme="majorHAnsi" w:hAnsiTheme="majorHAnsi"/>
          <w:spacing w:val="-6"/>
          <w:sz w:val="20"/>
          <w:szCs w:val="20"/>
        </w:rPr>
        <w:t xml:space="preserve"> </w:t>
      </w:r>
      <w:r w:rsidRPr="000977F7">
        <w:rPr>
          <w:rFonts w:asciiTheme="majorHAnsi" w:hAnsiTheme="majorHAnsi"/>
          <w:sz w:val="20"/>
          <w:szCs w:val="20"/>
        </w:rPr>
        <w:t>якість</w:t>
      </w:r>
      <w:r w:rsidRPr="000977F7">
        <w:rPr>
          <w:rFonts w:asciiTheme="majorHAnsi" w:hAnsiTheme="majorHAnsi"/>
          <w:spacing w:val="-3"/>
          <w:sz w:val="20"/>
          <w:szCs w:val="20"/>
        </w:rPr>
        <w:t xml:space="preserve"> </w:t>
      </w:r>
      <w:r w:rsidRPr="000977F7">
        <w:rPr>
          <w:rFonts w:asciiTheme="majorHAnsi" w:hAnsiTheme="majorHAnsi"/>
          <w:sz w:val="20"/>
          <w:szCs w:val="20"/>
        </w:rPr>
        <w:t>продукції</w:t>
      </w:r>
      <w:r w:rsidRPr="000977F7">
        <w:rPr>
          <w:rFonts w:asciiTheme="majorHAnsi" w:hAnsiTheme="majorHAnsi"/>
          <w:spacing w:val="-3"/>
          <w:sz w:val="20"/>
          <w:szCs w:val="20"/>
        </w:rPr>
        <w:t xml:space="preserve"> </w:t>
      </w:r>
      <w:r w:rsidRPr="000977F7">
        <w:rPr>
          <w:rFonts w:asciiTheme="majorHAnsi" w:hAnsiTheme="majorHAnsi"/>
          <w:sz w:val="20"/>
          <w:szCs w:val="20"/>
        </w:rPr>
        <w:t>та</w:t>
      </w:r>
      <w:r w:rsidRPr="000977F7">
        <w:rPr>
          <w:rFonts w:asciiTheme="majorHAnsi" w:hAnsiTheme="majorHAnsi"/>
          <w:spacing w:val="-5"/>
          <w:sz w:val="20"/>
          <w:szCs w:val="20"/>
        </w:rPr>
        <w:t xml:space="preserve"> </w:t>
      </w:r>
      <w:r w:rsidRPr="000977F7">
        <w:rPr>
          <w:rFonts w:asciiTheme="majorHAnsi" w:hAnsiTheme="majorHAnsi"/>
          <w:sz w:val="20"/>
          <w:szCs w:val="20"/>
        </w:rPr>
        <w:t>обслуговування;</w:t>
      </w:r>
    </w:p>
    <w:p w14:paraId="70F1D8F8" w14:textId="77777777" w:rsidR="0097612F" w:rsidRPr="000977F7" w:rsidRDefault="0097612F" w:rsidP="00FD39A4">
      <w:pPr>
        <w:pStyle w:val="ac"/>
        <w:widowControl w:val="0"/>
        <w:numPr>
          <w:ilvl w:val="0"/>
          <w:numId w:val="101"/>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безпеку</w:t>
      </w:r>
      <w:r w:rsidRPr="000977F7">
        <w:rPr>
          <w:rFonts w:asciiTheme="majorHAnsi" w:hAnsiTheme="majorHAnsi"/>
          <w:spacing w:val="-5"/>
          <w:sz w:val="20"/>
          <w:szCs w:val="20"/>
        </w:rPr>
        <w:t xml:space="preserve"> </w:t>
      </w:r>
      <w:r w:rsidRPr="000977F7">
        <w:rPr>
          <w:rFonts w:asciiTheme="majorHAnsi" w:hAnsiTheme="majorHAnsi"/>
          <w:sz w:val="20"/>
          <w:szCs w:val="20"/>
        </w:rPr>
        <w:t>продукції;</w:t>
      </w:r>
    </w:p>
    <w:p w14:paraId="091D9A5B" w14:textId="77777777" w:rsidR="0097612F" w:rsidRPr="000977F7" w:rsidRDefault="0097612F" w:rsidP="00FD39A4">
      <w:pPr>
        <w:pStyle w:val="ac"/>
        <w:widowControl w:val="0"/>
        <w:numPr>
          <w:ilvl w:val="0"/>
          <w:numId w:val="101"/>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 xml:space="preserve">необхідну, доступну, достовірну та своєчасну інформацію державною мовою про продукцію, її кількість, якість, асортимент, її виробника (виконавця, продавця) відповідно до </w:t>
      </w:r>
      <w:hyperlink r:id="rId35" w:tgtFrame="_blank" w:history="1">
        <w:r w:rsidRPr="000977F7">
          <w:rPr>
            <w:rFonts w:asciiTheme="majorHAnsi" w:hAnsiTheme="majorHAnsi"/>
            <w:sz w:val="20"/>
            <w:szCs w:val="20"/>
          </w:rPr>
          <w:t>Закону України</w:t>
        </w:r>
      </w:hyperlink>
      <w:r w:rsidRPr="000977F7">
        <w:rPr>
          <w:rFonts w:asciiTheme="majorHAnsi" w:hAnsiTheme="majorHAnsi"/>
          <w:sz w:val="20"/>
          <w:szCs w:val="20"/>
        </w:rPr>
        <w:t> "Про забезпечення функціонування української мови як державної";</w:t>
      </w:r>
    </w:p>
    <w:p w14:paraId="4FB75D10" w14:textId="77777777" w:rsidR="0097612F" w:rsidRPr="000977F7" w:rsidRDefault="0097612F" w:rsidP="00FD39A4">
      <w:pPr>
        <w:pStyle w:val="ac"/>
        <w:widowControl w:val="0"/>
        <w:numPr>
          <w:ilvl w:val="0"/>
          <w:numId w:val="101"/>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 xml:space="preserve"> відшкодування майнової та моральної шкоди, завданої внаслідок недоліків продукції (дефекту в продукції), відповідно</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закону;</w:t>
      </w:r>
    </w:p>
    <w:p w14:paraId="487A1E02" w14:textId="77777777" w:rsidR="0097612F" w:rsidRPr="000977F7" w:rsidRDefault="0097612F" w:rsidP="00FD39A4">
      <w:pPr>
        <w:pStyle w:val="ac"/>
        <w:widowControl w:val="0"/>
        <w:numPr>
          <w:ilvl w:val="0"/>
          <w:numId w:val="106"/>
        </w:numPr>
        <w:tabs>
          <w:tab w:val="left" w:pos="284"/>
          <w:tab w:val="left" w:pos="67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звернення до суду та інших уповноважених державних</w:t>
      </w:r>
      <w:r w:rsidRPr="000977F7">
        <w:rPr>
          <w:rFonts w:asciiTheme="majorHAnsi" w:hAnsiTheme="majorHAnsi"/>
          <w:spacing w:val="-2"/>
          <w:sz w:val="20"/>
          <w:szCs w:val="20"/>
        </w:rPr>
        <w:t xml:space="preserve"> </w:t>
      </w:r>
      <w:r w:rsidRPr="000977F7">
        <w:rPr>
          <w:rFonts w:asciiTheme="majorHAnsi" w:hAnsiTheme="majorHAnsi"/>
          <w:sz w:val="20"/>
          <w:szCs w:val="20"/>
        </w:rPr>
        <w:t>органів</w:t>
      </w:r>
      <w:r w:rsidRPr="000977F7">
        <w:rPr>
          <w:rFonts w:asciiTheme="majorHAnsi" w:hAnsiTheme="majorHAnsi"/>
          <w:spacing w:val="-2"/>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захистом порушених прав;</w:t>
      </w:r>
    </w:p>
    <w:p w14:paraId="0FDDFB7C" w14:textId="77777777" w:rsidR="0097612F" w:rsidRPr="000977F7" w:rsidRDefault="0097612F" w:rsidP="00FD39A4">
      <w:pPr>
        <w:pStyle w:val="ac"/>
        <w:widowControl w:val="0"/>
        <w:numPr>
          <w:ilvl w:val="0"/>
          <w:numId w:val="106"/>
        </w:numPr>
        <w:tabs>
          <w:tab w:val="left" w:pos="284"/>
          <w:tab w:val="left" w:pos="74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об'єднання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громадські</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споживачів</w:t>
      </w:r>
      <w:r w:rsidRPr="000977F7">
        <w:rPr>
          <w:rFonts w:asciiTheme="majorHAnsi" w:hAnsiTheme="majorHAnsi"/>
          <w:spacing w:val="1"/>
          <w:sz w:val="20"/>
          <w:szCs w:val="20"/>
        </w:rPr>
        <w:t xml:space="preserve"> </w:t>
      </w:r>
      <w:r w:rsidRPr="000977F7">
        <w:rPr>
          <w:rFonts w:asciiTheme="majorHAnsi" w:hAnsiTheme="majorHAnsi"/>
          <w:sz w:val="20"/>
          <w:szCs w:val="20"/>
        </w:rPr>
        <w:t>(об'єднання</w:t>
      </w:r>
      <w:r w:rsidRPr="000977F7">
        <w:rPr>
          <w:rFonts w:asciiTheme="majorHAnsi" w:hAnsiTheme="majorHAnsi"/>
          <w:spacing w:val="-2"/>
          <w:sz w:val="20"/>
          <w:szCs w:val="20"/>
        </w:rPr>
        <w:t xml:space="preserve"> </w:t>
      </w:r>
      <w:r w:rsidRPr="000977F7">
        <w:rPr>
          <w:rFonts w:asciiTheme="majorHAnsi" w:hAnsiTheme="majorHAnsi"/>
          <w:sz w:val="20"/>
          <w:szCs w:val="20"/>
        </w:rPr>
        <w:t>споживачів).</w:t>
      </w:r>
    </w:p>
    <w:p w14:paraId="520585D5" w14:textId="77777777" w:rsidR="0097612F" w:rsidRPr="000977F7" w:rsidRDefault="0097612F" w:rsidP="00FD39A4">
      <w:pPr>
        <w:pStyle w:val="ac"/>
        <w:widowControl w:val="0"/>
        <w:numPr>
          <w:ilvl w:val="0"/>
          <w:numId w:val="106"/>
        </w:numPr>
        <w:tabs>
          <w:tab w:val="left" w:pos="284"/>
          <w:tab w:val="left" w:pos="74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Споживачі також мають інші права, встановлені</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законодавством</w:t>
      </w:r>
      <w:r w:rsidRPr="000977F7">
        <w:rPr>
          <w:rFonts w:asciiTheme="majorHAnsi" w:hAnsiTheme="majorHAnsi"/>
          <w:spacing w:val="-1"/>
          <w:sz w:val="20"/>
          <w:szCs w:val="20"/>
        </w:rPr>
        <w:t xml:space="preserve"> </w:t>
      </w:r>
      <w:r w:rsidRPr="000977F7">
        <w:rPr>
          <w:rFonts w:asciiTheme="majorHAnsi" w:hAnsiTheme="majorHAnsi"/>
          <w:sz w:val="20"/>
          <w:szCs w:val="20"/>
        </w:rPr>
        <w:t>про захист</w:t>
      </w:r>
      <w:r w:rsidRPr="000977F7">
        <w:rPr>
          <w:rFonts w:asciiTheme="majorHAnsi" w:hAnsiTheme="majorHAnsi"/>
          <w:spacing w:val="1"/>
          <w:sz w:val="20"/>
          <w:szCs w:val="20"/>
        </w:rPr>
        <w:t xml:space="preserve"> </w:t>
      </w:r>
      <w:r w:rsidRPr="000977F7">
        <w:rPr>
          <w:rFonts w:asciiTheme="majorHAnsi" w:hAnsiTheme="majorHAnsi"/>
          <w:sz w:val="20"/>
          <w:szCs w:val="20"/>
        </w:rPr>
        <w:t>прав</w:t>
      </w:r>
      <w:r w:rsidRPr="000977F7">
        <w:rPr>
          <w:rFonts w:asciiTheme="majorHAnsi" w:hAnsiTheme="majorHAnsi"/>
          <w:spacing w:val="-2"/>
          <w:sz w:val="20"/>
          <w:szCs w:val="20"/>
        </w:rPr>
        <w:t xml:space="preserve"> </w:t>
      </w:r>
      <w:r w:rsidRPr="000977F7">
        <w:rPr>
          <w:rFonts w:asciiTheme="majorHAnsi" w:hAnsiTheme="majorHAnsi"/>
          <w:sz w:val="20"/>
          <w:szCs w:val="20"/>
        </w:rPr>
        <w:t>споживачів.</w:t>
      </w:r>
    </w:p>
    <w:p w14:paraId="38EC28A7" w14:textId="77777777" w:rsidR="0097612F" w:rsidRPr="000977F7" w:rsidRDefault="0097612F" w:rsidP="000977F7">
      <w:pPr>
        <w:pStyle w:val="ac"/>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3. Споживачі зобов'язані:</w:t>
      </w:r>
    </w:p>
    <w:p w14:paraId="56E05433" w14:textId="77777777" w:rsidR="0097612F" w:rsidRPr="000977F7" w:rsidRDefault="0097612F" w:rsidP="000977F7">
      <w:pPr>
        <w:pStyle w:val="ac"/>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1) перед початком експлуатації товару уважно ознайомитися з правилами експлуатації, викладеними в наданій виробником (продавцем, виконавцем) документації на товар;</w:t>
      </w:r>
    </w:p>
    <w:p w14:paraId="770B17F1" w14:textId="77777777" w:rsidR="0097612F" w:rsidRPr="000977F7" w:rsidRDefault="0097612F" w:rsidP="000977F7">
      <w:pPr>
        <w:pStyle w:val="ac"/>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2) в разі необхідності роз'яснення умов та правил використання товару до початку використання товару звернутися за роз'ясненнями до продавця (виробника, виконавця) або до іншої вказаної в експлуатаційній документації особи, що виконує їх функції;</w:t>
      </w:r>
    </w:p>
    <w:p w14:paraId="7FA27C92" w14:textId="77777777" w:rsidR="0097612F" w:rsidRPr="000977F7" w:rsidRDefault="0097612F" w:rsidP="000977F7">
      <w:pPr>
        <w:pStyle w:val="ac"/>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3) користуватися товаром згідно з його цільовим призначенням та дотримуватися умов (вимог, норм, правил), встановлених виробником товару (виконавцем) в експлуатаційній документації;</w:t>
      </w:r>
    </w:p>
    <w:p w14:paraId="1791EF58" w14:textId="77777777" w:rsidR="0097612F" w:rsidRPr="000977F7" w:rsidRDefault="0097612F" w:rsidP="000977F7">
      <w:pPr>
        <w:pStyle w:val="ac"/>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4) з метою запобігання негативним для споживача наслідкам використання товару застосовувати передбачені виробником в товарі засоби безпеки з дотриманням передбачених експлуатаційною документацією спеціальних правил, а в разі відсутності таких правил в документації дотримуватися звичайних розумних заходів безпеки, встановлених для товарів такого роду.</w:t>
      </w:r>
    </w:p>
    <w:p w14:paraId="5497B1A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2"/>
          <w:sz w:val="20"/>
          <w:szCs w:val="20"/>
        </w:rPr>
        <w:t xml:space="preserve"> </w:t>
      </w:r>
      <w:r w:rsidRPr="000977F7">
        <w:rPr>
          <w:rFonts w:asciiTheme="majorHAnsi" w:hAnsiTheme="majorHAnsi"/>
          <w:i/>
          <w:sz w:val="20"/>
          <w:szCs w:val="20"/>
        </w:rPr>
        <w:t>4</w:t>
      </w:r>
      <w:r w:rsidRPr="000977F7">
        <w:rPr>
          <w:rFonts w:asciiTheme="majorHAnsi" w:hAnsiTheme="majorHAnsi"/>
          <w:i/>
          <w:spacing w:val="-1"/>
          <w:sz w:val="20"/>
          <w:szCs w:val="20"/>
        </w:rPr>
        <w:t xml:space="preserve"> </w:t>
      </w:r>
      <w:r w:rsidRPr="000977F7">
        <w:rPr>
          <w:rFonts w:asciiTheme="majorHAnsi" w:hAnsiTheme="majorHAnsi"/>
          <w:i/>
          <w:sz w:val="20"/>
          <w:szCs w:val="20"/>
        </w:rPr>
        <w:t>закону</w:t>
      </w:r>
      <w:r w:rsidRPr="000977F7">
        <w:rPr>
          <w:rFonts w:asciiTheme="majorHAnsi" w:hAnsiTheme="majorHAnsi"/>
          <w:i/>
          <w:spacing w:val="-3"/>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2"/>
          <w:sz w:val="20"/>
          <w:szCs w:val="20"/>
        </w:rPr>
        <w:t xml:space="preserve"> "</w:t>
      </w:r>
      <w:r w:rsidRPr="000977F7">
        <w:rPr>
          <w:rFonts w:asciiTheme="majorHAnsi" w:hAnsiTheme="majorHAnsi"/>
          <w:i/>
          <w:sz w:val="20"/>
          <w:szCs w:val="20"/>
        </w:rPr>
        <w:t>Про</w:t>
      </w:r>
      <w:r w:rsidRPr="000977F7">
        <w:rPr>
          <w:rFonts w:asciiTheme="majorHAnsi" w:hAnsiTheme="majorHAnsi"/>
          <w:i/>
          <w:spacing w:val="-2"/>
          <w:sz w:val="20"/>
          <w:szCs w:val="20"/>
        </w:rPr>
        <w:t xml:space="preserve"> </w:t>
      </w:r>
      <w:r w:rsidRPr="000977F7">
        <w:rPr>
          <w:rFonts w:asciiTheme="majorHAnsi" w:hAnsiTheme="majorHAnsi"/>
          <w:i/>
          <w:sz w:val="20"/>
          <w:szCs w:val="20"/>
        </w:rPr>
        <w:t>захист</w:t>
      </w:r>
      <w:r w:rsidRPr="000977F7">
        <w:rPr>
          <w:rFonts w:asciiTheme="majorHAnsi" w:hAnsiTheme="majorHAnsi"/>
          <w:i/>
          <w:spacing w:val="-2"/>
          <w:sz w:val="20"/>
          <w:szCs w:val="20"/>
        </w:rPr>
        <w:t xml:space="preserve"> </w:t>
      </w:r>
      <w:r w:rsidRPr="000977F7">
        <w:rPr>
          <w:rFonts w:asciiTheme="majorHAnsi" w:hAnsiTheme="majorHAnsi"/>
          <w:i/>
          <w:sz w:val="20"/>
          <w:szCs w:val="20"/>
        </w:rPr>
        <w:t>прав</w:t>
      </w:r>
      <w:r w:rsidRPr="000977F7">
        <w:rPr>
          <w:rFonts w:asciiTheme="majorHAnsi" w:hAnsiTheme="majorHAnsi"/>
          <w:i/>
          <w:spacing w:val="-3"/>
          <w:sz w:val="20"/>
          <w:szCs w:val="20"/>
        </w:rPr>
        <w:t xml:space="preserve"> </w:t>
      </w:r>
      <w:r w:rsidRPr="000977F7">
        <w:rPr>
          <w:rFonts w:asciiTheme="majorHAnsi" w:hAnsiTheme="majorHAnsi"/>
          <w:i/>
          <w:sz w:val="20"/>
          <w:szCs w:val="20"/>
        </w:rPr>
        <w:t>споживачів"</w:t>
      </w:r>
    </w:p>
    <w:p w14:paraId="5A870D5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ПРАВДНИК</w:t>
      </w:r>
      <w:r w:rsidRPr="000977F7">
        <w:rPr>
          <w:color w:val="auto"/>
          <w:spacing w:val="-3"/>
          <w:sz w:val="20"/>
          <w:szCs w:val="20"/>
        </w:rPr>
        <w:t xml:space="preserve"> </w:t>
      </w:r>
      <w:r w:rsidRPr="000977F7">
        <w:rPr>
          <w:color w:val="auto"/>
          <w:sz w:val="20"/>
          <w:szCs w:val="20"/>
        </w:rPr>
        <w:t>–</w:t>
      </w:r>
    </w:p>
    <w:p w14:paraId="0A187D6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Конструкторський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виконаний</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будь - якому матеріалі, придатному для багаторазового виготовлення з нього копій, і оформлений правдивими</w:t>
      </w:r>
      <w:r w:rsidRPr="000977F7">
        <w:rPr>
          <w:rFonts w:asciiTheme="majorHAnsi" w:hAnsiTheme="majorHAnsi"/>
          <w:spacing w:val="1"/>
          <w:sz w:val="20"/>
          <w:szCs w:val="20"/>
        </w:rPr>
        <w:t xml:space="preserve"> </w:t>
      </w:r>
      <w:r w:rsidRPr="000977F7">
        <w:rPr>
          <w:rFonts w:asciiTheme="majorHAnsi" w:hAnsiTheme="majorHAnsi"/>
          <w:sz w:val="20"/>
          <w:szCs w:val="20"/>
        </w:rPr>
        <w:t>установленими</w:t>
      </w:r>
      <w:r w:rsidRPr="000977F7">
        <w:rPr>
          <w:rFonts w:asciiTheme="majorHAnsi" w:hAnsiTheme="majorHAnsi"/>
          <w:spacing w:val="-2"/>
          <w:sz w:val="20"/>
          <w:szCs w:val="20"/>
        </w:rPr>
        <w:t xml:space="preserve"> </w:t>
      </w:r>
      <w:r w:rsidRPr="000977F7">
        <w:rPr>
          <w:rFonts w:asciiTheme="majorHAnsi" w:hAnsiTheme="majorHAnsi"/>
          <w:sz w:val="20"/>
          <w:szCs w:val="20"/>
        </w:rPr>
        <w:t>підписами</w:t>
      </w:r>
    </w:p>
    <w:p w14:paraId="688ECED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49A2482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ПРАВИЛА</w:t>
      </w:r>
      <w:r w:rsidRPr="000977F7">
        <w:rPr>
          <w:color w:val="auto"/>
          <w:spacing w:val="11"/>
          <w:sz w:val="20"/>
          <w:szCs w:val="20"/>
        </w:rPr>
        <w:t xml:space="preserve"> </w:t>
      </w:r>
      <w:r w:rsidRPr="000977F7">
        <w:rPr>
          <w:color w:val="auto"/>
          <w:sz w:val="20"/>
          <w:szCs w:val="20"/>
        </w:rPr>
        <w:t>ТОРГОВЕЛЬНОГО,</w:t>
      </w:r>
      <w:r w:rsidRPr="000977F7">
        <w:rPr>
          <w:color w:val="auto"/>
          <w:spacing w:val="11"/>
          <w:sz w:val="20"/>
          <w:szCs w:val="20"/>
        </w:rPr>
        <w:t xml:space="preserve"> </w:t>
      </w:r>
      <w:r w:rsidRPr="000977F7">
        <w:rPr>
          <w:color w:val="auto"/>
          <w:sz w:val="20"/>
          <w:szCs w:val="20"/>
        </w:rPr>
        <w:t>ПОБУТОВОГО</w:t>
      </w:r>
      <w:r w:rsidRPr="000977F7">
        <w:rPr>
          <w:color w:val="auto"/>
          <w:spacing w:val="-47"/>
          <w:sz w:val="20"/>
          <w:szCs w:val="20"/>
        </w:rPr>
        <w:t xml:space="preserve"> </w:t>
      </w:r>
      <w:r w:rsidRPr="000977F7">
        <w:rPr>
          <w:color w:val="auto"/>
          <w:sz w:val="20"/>
          <w:szCs w:val="20"/>
        </w:rPr>
        <w:t>ТА</w:t>
      </w:r>
      <w:r w:rsidRPr="000977F7">
        <w:rPr>
          <w:color w:val="auto"/>
          <w:spacing w:val="-1"/>
          <w:sz w:val="20"/>
          <w:szCs w:val="20"/>
        </w:rPr>
        <w:t xml:space="preserve"> </w:t>
      </w:r>
      <w:r w:rsidRPr="000977F7">
        <w:rPr>
          <w:color w:val="auto"/>
          <w:sz w:val="20"/>
          <w:szCs w:val="20"/>
        </w:rPr>
        <w:t>ІНШИХ</w:t>
      </w:r>
      <w:r w:rsidRPr="000977F7">
        <w:rPr>
          <w:color w:val="auto"/>
          <w:spacing w:val="-1"/>
          <w:sz w:val="20"/>
          <w:szCs w:val="20"/>
        </w:rPr>
        <w:t xml:space="preserve"> </w:t>
      </w:r>
      <w:r w:rsidRPr="000977F7">
        <w:rPr>
          <w:color w:val="auto"/>
          <w:sz w:val="20"/>
          <w:szCs w:val="20"/>
        </w:rPr>
        <w:t>ВИДІВ ОБСЛУГОВУВАННЯ –</w:t>
      </w:r>
    </w:p>
    <w:p w14:paraId="71B6DA87"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Правила</w:t>
      </w:r>
      <w:r w:rsidRPr="000977F7">
        <w:rPr>
          <w:b w:val="0"/>
          <w:bCs/>
          <w:color w:val="auto"/>
          <w:spacing w:val="1"/>
          <w:sz w:val="20"/>
          <w:szCs w:val="20"/>
        </w:rPr>
        <w:t xml:space="preserve"> </w:t>
      </w:r>
      <w:r w:rsidRPr="000977F7">
        <w:rPr>
          <w:b w:val="0"/>
          <w:bCs/>
          <w:color w:val="auto"/>
          <w:sz w:val="20"/>
          <w:szCs w:val="20"/>
        </w:rPr>
        <w:t>торговельного,</w:t>
      </w:r>
      <w:r w:rsidRPr="000977F7">
        <w:rPr>
          <w:b w:val="0"/>
          <w:bCs/>
          <w:color w:val="auto"/>
          <w:spacing w:val="1"/>
          <w:sz w:val="20"/>
          <w:szCs w:val="20"/>
        </w:rPr>
        <w:t xml:space="preserve"> </w:t>
      </w:r>
      <w:r w:rsidRPr="000977F7">
        <w:rPr>
          <w:b w:val="0"/>
          <w:bCs/>
          <w:color w:val="auto"/>
          <w:sz w:val="20"/>
          <w:szCs w:val="20"/>
        </w:rPr>
        <w:t>побутового</w:t>
      </w:r>
      <w:r w:rsidRPr="000977F7">
        <w:rPr>
          <w:b w:val="0"/>
          <w:bCs/>
          <w:color w:val="auto"/>
          <w:spacing w:val="1"/>
          <w:sz w:val="20"/>
          <w:szCs w:val="20"/>
        </w:rPr>
        <w:t xml:space="preserve"> </w:t>
      </w:r>
      <w:r w:rsidRPr="000977F7">
        <w:rPr>
          <w:b w:val="0"/>
          <w:bCs/>
          <w:color w:val="auto"/>
          <w:sz w:val="20"/>
          <w:szCs w:val="20"/>
        </w:rPr>
        <w:t>та</w:t>
      </w:r>
      <w:r w:rsidRPr="000977F7">
        <w:rPr>
          <w:b w:val="0"/>
          <w:bCs/>
          <w:color w:val="auto"/>
          <w:spacing w:val="1"/>
          <w:sz w:val="20"/>
          <w:szCs w:val="20"/>
        </w:rPr>
        <w:t xml:space="preserve"> </w:t>
      </w:r>
      <w:r w:rsidRPr="000977F7">
        <w:rPr>
          <w:b w:val="0"/>
          <w:bCs/>
          <w:color w:val="auto"/>
          <w:sz w:val="20"/>
          <w:szCs w:val="20"/>
        </w:rPr>
        <w:t>інших</w:t>
      </w:r>
      <w:r w:rsidRPr="000977F7">
        <w:rPr>
          <w:b w:val="0"/>
          <w:bCs/>
          <w:color w:val="auto"/>
          <w:spacing w:val="1"/>
          <w:sz w:val="20"/>
          <w:szCs w:val="20"/>
        </w:rPr>
        <w:t xml:space="preserve"> </w:t>
      </w:r>
      <w:r w:rsidRPr="000977F7">
        <w:rPr>
          <w:b w:val="0"/>
          <w:bCs/>
          <w:color w:val="auto"/>
          <w:sz w:val="20"/>
          <w:szCs w:val="20"/>
        </w:rPr>
        <w:t>видів</w:t>
      </w:r>
      <w:r w:rsidRPr="000977F7">
        <w:rPr>
          <w:b w:val="0"/>
          <w:bCs/>
          <w:color w:val="auto"/>
          <w:spacing w:val="1"/>
          <w:sz w:val="20"/>
          <w:szCs w:val="20"/>
        </w:rPr>
        <w:t xml:space="preserve"> </w:t>
      </w:r>
      <w:r w:rsidRPr="000977F7">
        <w:rPr>
          <w:b w:val="0"/>
          <w:bCs/>
          <w:color w:val="auto"/>
          <w:sz w:val="20"/>
          <w:szCs w:val="20"/>
        </w:rPr>
        <w:t>обслуговування</w:t>
      </w:r>
      <w:r w:rsidRPr="000977F7">
        <w:rPr>
          <w:b w:val="0"/>
          <w:bCs/>
          <w:color w:val="auto"/>
          <w:spacing w:val="1"/>
          <w:sz w:val="20"/>
          <w:szCs w:val="20"/>
        </w:rPr>
        <w:t xml:space="preserve"> </w:t>
      </w:r>
      <w:r w:rsidRPr="000977F7">
        <w:rPr>
          <w:b w:val="0"/>
          <w:bCs/>
          <w:color w:val="auto"/>
          <w:sz w:val="20"/>
          <w:szCs w:val="20"/>
        </w:rPr>
        <w:t>(виконання</w:t>
      </w:r>
      <w:r w:rsidRPr="000977F7">
        <w:rPr>
          <w:b w:val="0"/>
          <w:bCs/>
          <w:color w:val="auto"/>
          <w:spacing w:val="1"/>
          <w:sz w:val="20"/>
          <w:szCs w:val="20"/>
        </w:rPr>
        <w:t xml:space="preserve"> </w:t>
      </w:r>
      <w:r w:rsidRPr="000977F7">
        <w:rPr>
          <w:b w:val="0"/>
          <w:bCs/>
          <w:color w:val="auto"/>
          <w:sz w:val="20"/>
          <w:szCs w:val="20"/>
        </w:rPr>
        <w:t>робіт,</w:t>
      </w:r>
      <w:r w:rsidRPr="000977F7">
        <w:rPr>
          <w:b w:val="0"/>
          <w:bCs/>
          <w:color w:val="auto"/>
          <w:spacing w:val="1"/>
          <w:sz w:val="20"/>
          <w:szCs w:val="20"/>
        </w:rPr>
        <w:t xml:space="preserve"> </w:t>
      </w:r>
      <w:r w:rsidRPr="000977F7">
        <w:rPr>
          <w:b w:val="0"/>
          <w:bCs/>
          <w:color w:val="auto"/>
          <w:sz w:val="20"/>
          <w:szCs w:val="20"/>
        </w:rPr>
        <w:t>надання</w:t>
      </w:r>
      <w:r w:rsidRPr="000977F7">
        <w:rPr>
          <w:b w:val="0"/>
          <w:bCs/>
          <w:color w:val="auto"/>
          <w:spacing w:val="1"/>
          <w:sz w:val="20"/>
          <w:szCs w:val="20"/>
        </w:rPr>
        <w:t xml:space="preserve"> </w:t>
      </w:r>
      <w:r w:rsidRPr="000977F7">
        <w:rPr>
          <w:b w:val="0"/>
          <w:bCs/>
          <w:color w:val="auto"/>
          <w:sz w:val="20"/>
          <w:szCs w:val="20"/>
        </w:rPr>
        <w:t>послуг)</w:t>
      </w:r>
      <w:r w:rsidRPr="000977F7">
        <w:rPr>
          <w:b w:val="0"/>
          <w:bCs/>
          <w:color w:val="auto"/>
          <w:spacing w:val="1"/>
          <w:sz w:val="20"/>
          <w:szCs w:val="20"/>
        </w:rPr>
        <w:t xml:space="preserve"> </w:t>
      </w:r>
      <w:r w:rsidRPr="000977F7">
        <w:rPr>
          <w:b w:val="0"/>
          <w:bCs/>
          <w:color w:val="auto"/>
          <w:sz w:val="20"/>
          <w:szCs w:val="20"/>
        </w:rPr>
        <w:t>затверджуються Кабінетом Міністрів України. Зазначені</w:t>
      </w:r>
      <w:r w:rsidRPr="000977F7">
        <w:rPr>
          <w:b w:val="0"/>
          <w:bCs/>
          <w:color w:val="auto"/>
          <w:spacing w:val="1"/>
          <w:sz w:val="20"/>
          <w:szCs w:val="20"/>
        </w:rPr>
        <w:t xml:space="preserve"> </w:t>
      </w:r>
      <w:r w:rsidRPr="000977F7">
        <w:rPr>
          <w:b w:val="0"/>
          <w:bCs/>
          <w:color w:val="auto"/>
          <w:sz w:val="20"/>
          <w:szCs w:val="20"/>
        </w:rPr>
        <w:t>правила</w:t>
      </w:r>
      <w:r w:rsidRPr="000977F7">
        <w:rPr>
          <w:b w:val="0"/>
          <w:bCs/>
          <w:color w:val="auto"/>
          <w:spacing w:val="1"/>
          <w:sz w:val="20"/>
          <w:szCs w:val="20"/>
        </w:rPr>
        <w:t xml:space="preserve"> </w:t>
      </w:r>
      <w:r w:rsidRPr="000977F7">
        <w:rPr>
          <w:b w:val="0"/>
          <w:bCs/>
          <w:color w:val="auto"/>
          <w:sz w:val="20"/>
          <w:szCs w:val="20"/>
        </w:rPr>
        <w:t>не</w:t>
      </w:r>
      <w:r w:rsidRPr="000977F7">
        <w:rPr>
          <w:b w:val="0"/>
          <w:bCs/>
          <w:color w:val="auto"/>
          <w:spacing w:val="1"/>
          <w:sz w:val="20"/>
          <w:szCs w:val="20"/>
        </w:rPr>
        <w:t xml:space="preserve"> </w:t>
      </w:r>
      <w:r w:rsidRPr="000977F7">
        <w:rPr>
          <w:b w:val="0"/>
          <w:bCs/>
          <w:color w:val="auto"/>
          <w:sz w:val="20"/>
          <w:szCs w:val="20"/>
        </w:rPr>
        <w:t>можуть</w:t>
      </w:r>
      <w:r w:rsidRPr="000977F7">
        <w:rPr>
          <w:b w:val="0"/>
          <w:bCs/>
          <w:color w:val="auto"/>
          <w:spacing w:val="1"/>
          <w:sz w:val="20"/>
          <w:szCs w:val="20"/>
        </w:rPr>
        <w:t xml:space="preserve"> </w:t>
      </w:r>
      <w:r w:rsidRPr="000977F7">
        <w:rPr>
          <w:b w:val="0"/>
          <w:bCs/>
          <w:color w:val="auto"/>
          <w:sz w:val="20"/>
          <w:szCs w:val="20"/>
        </w:rPr>
        <w:t>суперечити</w:t>
      </w:r>
      <w:r w:rsidRPr="000977F7">
        <w:rPr>
          <w:b w:val="0"/>
          <w:bCs/>
          <w:color w:val="auto"/>
          <w:spacing w:val="1"/>
          <w:sz w:val="20"/>
          <w:szCs w:val="20"/>
        </w:rPr>
        <w:t xml:space="preserve"> </w:t>
      </w:r>
      <w:r w:rsidRPr="000977F7">
        <w:rPr>
          <w:b w:val="0"/>
          <w:bCs/>
          <w:color w:val="auto"/>
          <w:sz w:val="20"/>
          <w:szCs w:val="20"/>
        </w:rPr>
        <w:t>законодавчим</w:t>
      </w:r>
      <w:r w:rsidRPr="000977F7">
        <w:rPr>
          <w:b w:val="0"/>
          <w:bCs/>
          <w:color w:val="auto"/>
          <w:spacing w:val="1"/>
          <w:sz w:val="20"/>
          <w:szCs w:val="20"/>
        </w:rPr>
        <w:t xml:space="preserve"> </w:t>
      </w:r>
      <w:r w:rsidRPr="000977F7">
        <w:rPr>
          <w:b w:val="0"/>
          <w:bCs/>
          <w:color w:val="auto"/>
          <w:sz w:val="20"/>
          <w:szCs w:val="20"/>
        </w:rPr>
        <w:t>актам України</w:t>
      </w:r>
    </w:p>
    <w:p w14:paraId="0EEA6F7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6"/>
          <w:sz w:val="20"/>
          <w:szCs w:val="20"/>
        </w:rPr>
        <w:t xml:space="preserve"> </w:t>
      </w:r>
      <w:r w:rsidRPr="000977F7">
        <w:rPr>
          <w:rFonts w:asciiTheme="majorHAnsi" w:hAnsiTheme="majorHAnsi"/>
          <w:i/>
          <w:sz w:val="20"/>
          <w:szCs w:val="20"/>
        </w:rPr>
        <w:t>20</w:t>
      </w:r>
      <w:r w:rsidRPr="000977F7">
        <w:rPr>
          <w:rFonts w:asciiTheme="majorHAnsi" w:hAnsiTheme="majorHAnsi"/>
          <w:i/>
          <w:spacing w:val="-4"/>
          <w:sz w:val="20"/>
          <w:szCs w:val="20"/>
        </w:rPr>
        <w:t xml:space="preserve"> </w:t>
      </w:r>
      <w:r w:rsidRPr="000977F7">
        <w:rPr>
          <w:rFonts w:asciiTheme="majorHAnsi" w:hAnsiTheme="majorHAnsi"/>
          <w:i/>
          <w:sz w:val="20"/>
          <w:szCs w:val="20"/>
        </w:rPr>
        <w:t>закону</w:t>
      </w:r>
      <w:r w:rsidRPr="000977F7">
        <w:rPr>
          <w:rFonts w:asciiTheme="majorHAnsi" w:hAnsiTheme="majorHAnsi"/>
          <w:i/>
          <w:spacing w:val="-5"/>
          <w:sz w:val="20"/>
          <w:szCs w:val="20"/>
        </w:rPr>
        <w:t xml:space="preserve"> </w:t>
      </w:r>
      <w:r w:rsidRPr="000977F7">
        <w:rPr>
          <w:rFonts w:asciiTheme="majorHAnsi" w:hAnsiTheme="majorHAnsi"/>
          <w:i/>
          <w:sz w:val="20"/>
          <w:szCs w:val="20"/>
        </w:rPr>
        <w:t>України "Про</w:t>
      </w:r>
      <w:r w:rsidRPr="000977F7">
        <w:rPr>
          <w:rFonts w:asciiTheme="majorHAnsi" w:hAnsiTheme="majorHAnsi"/>
          <w:i/>
          <w:spacing w:val="-6"/>
          <w:sz w:val="20"/>
          <w:szCs w:val="20"/>
        </w:rPr>
        <w:t xml:space="preserve"> </w:t>
      </w:r>
      <w:r w:rsidRPr="000977F7">
        <w:rPr>
          <w:rFonts w:asciiTheme="majorHAnsi" w:hAnsiTheme="majorHAnsi"/>
          <w:i/>
          <w:sz w:val="20"/>
          <w:szCs w:val="20"/>
        </w:rPr>
        <w:t>захист</w:t>
      </w:r>
      <w:r w:rsidRPr="000977F7">
        <w:rPr>
          <w:rFonts w:asciiTheme="majorHAnsi" w:hAnsiTheme="majorHAnsi"/>
          <w:i/>
          <w:spacing w:val="-5"/>
          <w:sz w:val="20"/>
          <w:szCs w:val="20"/>
        </w:rPr>
        <w:t xml:space="preserve"> </w:t>
      </w:r>
      <w:r w:rsidRPr="000977F7">
        <w:rPr>
          <w:rFonts w:asciiTheme="majorHAnsi" w:hAnsiTheme="majorHAnsi"/>
          <w:i/>
          <w:sz w:val="20"/>
          <w:szCs w:val="20"/>
        </w:rPr>
        <w:t>прав</w:t>
      </w:r>
      <w:r w:rsidRPr="000977F7">
        <w:rPr>
          <w:rFonts w:asciiTheme="majorHAnsi" w:hAnsiTheme="majorHAnsi"/>
          <w:i/>
          <w:spacing w:val="-6"/>
          <w:sz w:val="20"/>
          <w:szCs w:val="20"/>
        </w:rPr>
        <w:t xml:space="preserve"> </w:t>
      </w:r>
      <w:r w:rsidRPr="000977F7">
        <w:rPr>
          <w:rFonts w:asciiTheme="majorHAnsi" w:hAnsiTheme="majorHAnsi"/>
          <w:i/>
          <w:sz w:val="20"/>
          <w:szCs w:val="20"/>
        </w:rPr>
        <w:t>споживачів"</w:t>
      </w:r>
    </w:p>
    <w:p w14:paraId="52C417C1"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ПРАВИЛО ПРИЙНЯТТЯ РІШЕННЯ -</w:t>
      </w:r>
    </w:p>
    <w:p w14:paraId="47D01EE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DECISION RULE –</w:t>
      </w:r>
    </w:p>
    <w:p w14:paraId="163F65C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Правило, що описує, як ураховують невизначеність вимірювання під час установлення відповідності певній вимозі</w:t>
      </w:r>
    </w:p>
    <w:p w14:paraId="1931656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EN ISO/IEC 17025:2019</w:t>
      </w:r>
    </w:p>
    <w:p w14:paraId="170C0AE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ПРАВИЛЬНІСТЬ</w:t>
      </w:r>
      <w:r w:rsidRPr="000977F7">
        <w:rPr>
          <w:color w:val="auto"/>
          <w:spacing w:val="-6"/>
          <w:sz w:val="20"/>
          <w:szCs w:val="20"/>
        </w:rPr>
        <w:t xml:space="preserve"> </w:t>
      </w:r>
      <w:r w:rsidRPr="000977F7">
        <w:rPr>
          <w:color w:val="auto"/>
          <w:sz w:val="20"/>
          <w:szCs w:val="20"/>
        </w:rPr>
        <w:t>ВИМІРЮВАННЯ</w:t>
      </w:r>
      <w:r w:rsidRPr="000977F7">
        <w:rPr>
          <w:color w:val="auto"/>
          <w:spacing w:val="-3"/>
          <w:sz w:val="20"/>
          <w:szCs w:val="20"/>
        </w:rPr>
        <w:t xml:space="preserve"> </w:t>
      </w:r>
      <w:r w:rsidRPr="000977F7">
        <w:rPr>
          <w:color w:val="auto"/>
          <w:sz w:val="20"/>
          <w:szCs w:val="20"/>
        </w:rPr>
        <w:t>–</w:t>
      </w:r>
    </w:p>
    <w:p w14:paraId="440AAAF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Характеристика якості</w:t>
      </w:r>
      <w:r w:rsidRPr="000977F7">
        <w:rPr>
          <w:rFonts w:asciiTheme="majorHAnsi" w:hAnsiTheme="majorHAnsi"/>
          <w:spacing w:val="1"/>
          <w:sz w:val="20"/>
          <w:szCs w:val="20"/>
        </w:rPr>
        <w:t xml:space="preserve"> </w:t>
      </w:r>
      <w:r w:rsidRPr="000977F7">
        <w:rPr>
          <w:rFonts w:asciiTheme="majorHAnsi" w:hAnsiTheme="majorHAnsi"/>
          <w:sz w:val="20"/>
          <w:szCs w:val="20"/>
        </w:rPr>
        <w:t>вимірювання, що</w:t>
      </w:r>
      <w:r w:rsidRPr="000977F7">
        <w:rPr>
          <w:rFonts w:asciiTheme="majorHAnsi" w:hAnsiTheme="majorHAnsi"/>
          <w:spacing w:val="1"/>
          <w:sz w:val="20"/>
          <w:szCs w:val="20"/>
        </w:rPr>
        <w:t xml:space="preserve"> </w:t>
      </w:r>
      <w:r w:rsidRPr="000977F7">
        <w:rPr>
          <w:rFonts w:asciiTheme="majorHAnsi" w:hAnsiTheme="majorHAnsi"/>
          <w:sz w:val="20"/>
          <w:szCs w:val="20"/>
        </w:rPr>
        <w:t>відображає</w:t>
      </w:r>
      <w:r w:rsidRPr="000977F7">
        <w:rPr>
          <w:rFonts w:asciiTheme="majorHAnsi" w:hAnsiTheme="majorHAnsi"/>
          <w:spacing w:val="1"/>
          <w:sz w:val="20"/>
          <w:szCs w:val="20"/>
        </w:rPr>
        <w:t xml:space="preserve"> </w:t>
      </w:r>
      <w:r w:rsidRPr="000977F7">
        <w:rPr>
          <w:rFonts w:asciiTheme="majorHAnsi" w:hAnsiTheme="majorHAnsi"/>
          <w:sz w:val="20"/>
          <w:szCs w:val="20"/>
        </w:rPr>
        <w:t>близькість</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нуля</w:t>
      </w:r>
      <w:r w:rsidRPr="000977F7">
        <w:rPr>
          <w:rFonts w:asciiTheme="majorHAnsi" w:hAnsiTheme="majorHAnsi"/>
          <w:spacing w:val="1"/>
          <w:sz w:val="20"/>
          <w:szCs w:val="20"/>
        </w:rPr>
        <w:t xml:space="preserve"> </w:t>
      </w:r>
      <w:r w:rsidRPr="000977F7">
        <w:rPr>
          <w:rFonts w:asciiTheme="majorHAnsi" w:hAnsiTheme="majorHAnsi"/>
          <w:sz w:val="20"/>
          <w:szCs w:val="20"/>
        </w:rPr>
        <w:t>систематичної</w:t>
      </w:r>
      <w:r w:rsidRPr="000977F7">
        <w:rPr>
          <w:rFonts w:asciiTheme="majorHAnsi" w:hAnsiTheme="majorHAnsi"/>
          <w:spacing w:val="1"/>
          <w:sz w:val="20"/>
          <w:szCs w:val="20"/>
        </w:rPr>
        <w:t xml:space="preserve"> </w:t>
      </w:r>
      <w:r w:rsidRPr="000977F7">
        <w:rPr>
          <w:rFonts w:asciiTheme="majorHAnsi" w:hAnsiTheme="majorHAnsi"/>
          <w:sz w:val="20"/>
          <w:szCs w:val="20"/>
        </w:rPr>
        <w:t>похибки</w:t>
      </w:r>
      <w:r w:rsidRPr="000977F7">
        <w:rPr>
          <w:rFonts w:asciiTheme="majorHAnsi" w:hAnsiTheme="majorHAnsi"/>
          <w:spacing w:val="1"/>
          <w:sz w:val="20"/>
          <w:szCs w:val="20"/>
        </w:rPr>
        <w:t xml:space="preserve"> </w:t>
      </w:r>
      <w:r w:rsidRPr="000977F7">
        <w:rPr>
          <w:rFonts w:asciiTheme="majorHAnsi" w:hAnsiTheme="majorHAnsi"/>
          <w:sz w:val="20"/>
          <w:szCs w:val="20"/>
        </w:rPr>
        <w:t>вимірювання</w:t>
      </w:r>
    </w:p>
    <w:p w14:paraId="684C986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D803BE7" w14:textId="77777777" w:rsidR="0097612F" w:rsidRPr="000977F7" w:rsidRDefault="0097612F" w:rsidP="000977F7">
      <w:pPr>
        <w:pStyle w:val="7"/>
        <w:tabs>
          <w:tab w:val="left" w:pos="284"/>
        </w:tabs>
        <w:spacing w:before="0" w:line="240" w:lineRule="auto"/>
        <w:ind w:left="170"/>
        <w:mirrorIndents/>
        <w:jc w:val="both"/>
        <w:rPr>
          <w:color w:val="auto"/>
          <w:spacing w:val="44"/>
          <w:sz w:val="20"/>
          <w:szCs w:val="20"/>
        </w:rPr>
      </w:pPr>
      <w:r w:rsidRPr="000977F7">
        <w:rPr>
          <w:color w:val="auto"/>
          <w:sz w:val="20"/>
          <w:szCs w:val="20"/>
        </w:rPr>
        <w:t>ПРАВО</w:t>
      </w:r>
      <w:r w:rsidRPr="000977F7">
        <w:rPr>
          <w:color w:val="auto"/>
          <w:spacing w:val="42"/>
          <w:sz w:val="20"/>
          <w:szCs w:val="20"/>
        </w:rPr>
        <w:t xml:space="preserve"> </w:t>
      </w:r>
      <w:r w:rsidRPr="000977F7">
        <w:rPr>
          <w:color w:val="auto"/>
          <w:sz w:val="20"/>
          <w:szCs w:val="20"/>
        </w:rPr>
        <w:t>ПРЦІВНИКІВ</w:t>
      </w:r>
      <w:r w:rsidRPr="000977F7">
        <w:rPr>
          <w:color w:val="auto"/>
          <w:spacing w:val="44"/>
          <w:sz w:val="20"/>
          <w:szCs w:val="20"/>
        </w:rPr>
        <w:t xml:space="preserve"> </w:t>
      </w:r>
      <w:r w:rsidRPr="000977F7">
        <w:rPr>
          <w:color w:val="auto"/>
          <w:sz w:val="20"/>
          <w:szCs w:val="20"/>
        </w:rPr>
        <w:t>НА</w:t>
      </w:r>
      <w:r w:rsidRPr="000977F7">
        <w:rPr>
          <w:color w:val="auto"/>
          <w:spacing w:val="42"/>
          <w:sz w:val="20"/>
          <w:szCs w:val="20"/>
        </w:rPr>
        <w:t xml:space="preserve"> </w:t>
      </w:r>
      <w:r w:rsidRPr="000977F7">
        <w:rPr>
          <w:color w:val="auto"/>
          <w:sz w:val="20"/>
          <w:szCs w:val="20"/>
        </w:rPr>
        <w:t>ПІЛЬГИ</w:t>
      </w:r>
      <w:r w:rsidRPr="000977F7">
        <w:rPr>
          <w:color w:val="auto"/>
          <w:spacing w:val="44"/>
          <w:sz w:val="20"/>
          <w:szCs w:val="20"/>
        </w:rPr>
        <w:t xml:space="preserve"> </w:t>
      </w:r>
      <w:r w:rsidRPr="000977F7">
        <w:rPr>
          <w:color w:val="auto"/>
          <w:sz w:val="20"/>
          <w:szCs w:val="20"/>
        </w:rPr>
        <w:t>І</w:t>
      </w:r>
      <w:r w:rsidRPr="000977F7">
        <w:rPr>
          <w:color w:val="auto"/>
          <w:spacing w:val="44"/>
          <w:sz w:val="20"/>
          <w:szCs w:val="20"/>
        </w:rPr>
        <w:t xml:space="preserve"> </w:t>
      </w:r>
    </w:p>
    <w:p w14:paraId="1B86F08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КОМПЕН</w:t>
      </w:r>
      <w:r w:rsidRPr="000977F7">
        <w:rPr>
          <w:color w:val="auto"/>
          <w:spacing w:val="-47"/>
          <w:sz w:val="20"/>
          <w:szCs w:val="20"/>
        </w:rPr>
        <w:t xml:space="preserve"> </w:t>
      </w:r>
      <w:r w:rsidRPr="000977F7">
        <w:rPr>
          <w:color w:val="auto"/>
          <w:sz w:val="20"/>
          <w:szCs w:val="20"/>
        </w:rPr>
        <w:t>САЦІЇ</w:t>
      </w:r>
      <w:r w:rsidRPr="000977F7">
        <w:rPr>
          <w:color w:val="auto"/>
          <w:spacing w:val="-3"/>
          <w:sz w:val="20"/>
          <w:szCs w:val="20"/>
        </w:rPr>
        <w:t xml:space="preserve"> </w:t>
      </w:r>
      <w:r w:rsidRPr="000977F7">
        <w:rPr>
          <w:color w:val="auto"/>
          <w:sz w:val="20"/>
          <w:szCs w:val="20"/>
        </w:rPr>
        <w:t>ЗА</w:t>
      </w:r>
      <w:r w:rsidRPr="000977F7">
        <w:rPr>
          <w:color w:val="auto"/>
          <w:spacing w:val="-2"/>
          <w:sz w:val="20"/>
          <w:szCs w:val="20"/>
        </w:rPr>
        <w:t xml:space="preserve"> </w:t>
      </w:r>
      <w:r w:rsidRPr="000977F7">
        <w:rPr>
          <w:color w:val="auto"/>
          <w:sz w:val="20"/>
          <w:szCs w:val="20"/>
        </w:rPr>
        <w:t>ВАЖКІ</w:t>
      </w:r>
      <w:r w:rsidRPr="000977F7">
        <w:rPr>
          <w:color w:val="auto"/>
          <w:spacing w:val="-2"/>
          <w:sz w:val="20"/>
          <w:szCs w:val="20"/>
        </w:rPr>
        <w:t xml:space="preserve"> </w:t>
      </w:r>
      <w:r w:rsidRPr="000977F7">
        <w:rPr>
          <w:color w:val="auto"/>
          <w:sz w:val="20"/>
          <w:szCs w:val="20"/>
        </w:rPr>
        <w:t>ТА</w:t>
      </w:r>
      <w:r w:rsidRPr="000977F7">
        <w:rPr>
          <w:color w:val="auto"/>
          <w:spacing w:val="1"/>
          <w:sz w:val="20"/>
          <w:szCs w:val="20"/>
        </w:rPr>
        <w:t xml:space="preserve"> </w:t>
      </w:r>
      <w:r w:rsidRPr="000977F7">
        <w:rPr>
          <w:color w:val="auto"/>
          <w:sz w:val="20"/>
          <w:szCs w:val="20"/>
        </w:rPr>
        <w:t>ШКІДЛИВІ</w:t>
      </w:r>
      <w:r w:rsidRPr="000977F7">
        <w:rPr>
          <w:color w:val="auto"/>
          <w:spacing w:val="-3"/>
          <w:sz w:val="20"/>
          <w:szCs w:val="20"/>
        </w:rPr>
        <w:t xml:space="preserve"> </w:t>
      </w:r>
      <w:r w:rsidRPr="000977F7">
        <w:rPr>
          <w:color w:val="auto"/>
          <w:sz w:val="20"/>
          <w:szCs w:val="20"/>
        </w:rPr>
        <w:t>УМОВИ</w:t>
      </w:r>
      <w:r w:rsidRPr="000977F7">
        <w:rPr>
          <w:color w:val="auto"/>
          <w:spacing w:val="-1"/>
          <w:sz w:val="20"/>
          <w:szCs w:val="20"/>
        </w:rPr>
        <w:t xml:space="preserve"> </w:t>
      </w:r>
      <w:r w:rsidRPr="000977F7">
        <w:rPr>
          <w:color w:val="auto"/>
          <w:sz w:val="20"/>
          <w:szCs w:val="20"/>
        </w:rPr>
        <w:t>ПРАЦІ</w:t>
      </w:r>
      <w:r w:rsidRPr="000977F7">
        <w:rPr>
          <w:color w:val="auto"/>
          <w:spacing w:val="2"/>
          <w:sz w:val="20"/>
          <w:szCs w:val="20"/>
        </w:rPr>
        <w:t xml:space="preserve"> </w:t>
      </w:r>
      <w:r w:rsidRPr="000977F7">
        <w:rPr>
          <w:color w:val="auto"/>
          <w:sz w:val="20"/>
          <w:szCs w:val="20"/>
        </w:rPr>
        <w:t>-</w:t>
      </w:r>
    </w:p>
    <w:p w14:paraId="22C5215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Працівники, зайняті на роботах з важкими та шкідливими умовами праці, безоплатно забезпечуються лікувально-профілактичним харчуванням, молоком 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рівноцінними харчовими продуктами, газованою солоною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водою,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мають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право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оплачувані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перерви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санітарно-оздоровчого призначення, скорочення тривалості робочого часу, додаткову оплачувану відпустку, пільгову пенсію, оплату праці у підвищеному розмірі та інші пільги і компенсації, що надаються в порядку,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визначеному</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законодавством.</w:t>
      </w:r>
    </w:p>
    <w:p w14:paraId="7F9CBA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разі роз'їзного характеру роботи працівникові виплачується грошова компенсація на придбання лікувально-профілактичного харчування, молока або рівноцінних йому харчових продуктів на умовах, передбачених</w:t>
      </w:r>
      <w:r w:rsidRPr="000977F7">
        <w:rPr>
          <w:rFonts w:asciiTheme="majorHAnsi" w:hAnsiTheme="majorHAnsi"/>
          <w:spacing w:val="-2"/>
          <w:sz w:val="20"/>
          <w:szCs w:val="20"/>
        </w:rPr>
        <w:t xml:space="preserve"> </w:t>
      </w:r>
      <w:r w:rsidRPr="000977F7">
        <w:rPr>
          <w:rFonts w:asciiTheme="majorHAnsi" w:hAnsiTheme="majorHAnsi"/>
          <w:sz w:val="20"/>
          <w:szCs w:val="20"/>
        </w:rPr>
        <w:t>колективним</w:t>
      </w:r>
      <w:r w:rsidRPr="000977F7">
        <w:rPr>
          <w:rFonts w:asciiTheme="majorHAnsi" w:hAnsiTheme="majorHAnsi"/>
          <w:spacing w:val="1"/>
          <w:sz w:val="20"/>
          <w:szCs w:val="20"/>
        </w:rPr>
        <w:t xml:space="preserve"> </w:t>
      </w:r>
      <w:r w:rsidRPr="000977F7">
        <w:rPr>
          <w:rFonts w:asciiTheme="majorHAnsi" w:hAnsiTheme="majorHAnsi"/>
          <w:sz w:val="20"/>
          <w:szCs w:val="20"/>
        </w:rPr>
        <w:t>договором.</w:t>
      </w:r>
    </w:p>
    <w:p w14:paraId="3ABE07C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Роботодавець може за свої кошти додатково встановлювати за колективним договором (угодою, трудовим</w:t>
      </w:r>
      <w:r w:rsidRPr="000977F7">
        <w:rPr>
          <w:rFonts w:asciiTheme="majorHAnsi" w:hAnsiTheme="majorHAnsi"/>
          <w:spacing w:val="1"/>
          <w:sz w:val="20"/>
          <w:szCs w:val="20"/>
        </w:rPr>
        <w:t xml:space="preserve"> </w:t>
      </w:r>
      <w:r w:rsidRPr="000977F7">
        <w:rPr>
          <w:rFonts w:asciiTheme="majorHAnsi" w:hAnsiTheme="majorHAnsi"/>
          <w:sz w:val="20"/>
          <w:szCs w:val="20"/>
        </w:rPr>
        <w:t>договором) працівникові пільги і компенсації, не передбачені</w:t>
      </w:r>
      <w:r w:rsidRPr="000977F7">
        <w:rPr>
          <w:rFonts w:asciiTheme="majorHAnsi" w:hAnsiTheme="majorHAnsi"/>
          <w:spacing w:val="-2"/>
          <w:sz w:val="20"/>
          <w:szCs w:val="20"/>
        </w:rPr>
        <w:t xml:space="preserve"> </w:t>
      </w:r>
      <w:r w:rsidRPr="000977F7">
        <w:rPr>
          <w:rFonts w:asciiTheme="majorHAnsi" w:hAnsiTheme="majorHAnsi"/>
          <w:sz w:val="20"/>
          <w:szCs w:val="20"/>
        </w:rPr>
        <w:t>законодавством.</w:t>
      </w:r>
    </w:p>
    <w:p w14:paraId="273C1F3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Протягом</w:t>
      </w:r>
      <w:r w:rsidRPr="000977F7">
        <w:rPr>
          <w:rFonts w:asciiTheme="majorHAnsi" w:hAnsiTheme="majorHAnsi"/>
          <w:spacing w:val="1"/>
          <w:sz w:val="20"/>
          <w:szCs w:val="20"/>
        </w:rPr>
        <w:t xml:space="preserve"> </w:t>
      </w:r>
      <w:r w:rsidRPr="000977F7">
        <w:rPr>
          <w:rFonts w:asciiTheme="majorHAnsi" w:hAnsiTheme="majorHAnsi"/>
          <w:sz w:val="20"/>
          <w:szCs w:val="20"/>
        </w:rPr>
        <w:t>дії</w:t>
      </w:r>
      <w:r w:rsidRPr="000977F7">
        <w:rPr>
          <w:rFonts w:asciiTheme="majorHAnsi" w:hAnsiTheme="majorHAnsi"/>
          <w:spacing w:val="1"/>
          <w:sz w:val="20"/>
          <w:szCs w:val="20"/>
        </w:rPr>
        <w:t xml:space="preserve"> </w:t>
      </w:r>
      <w:r w:rsidRPr="000977F7">
        <w:rPr>
          <w:rFonts w:asciiTheme="majorHAnsi" w:hAnsiTheme="majorHAnsi"/>
          <w:sz w:val="20"/>
          <w:szCs w:val="20"/>
        </w:rPr>
        <w:t>укладеного</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працівником</w:t>
      </w:r>
      <w:r w:rsidRPr="000977F7">
        <w:rPr>
          <w:rFonts w:asciiTheme="majorHAnsi" w:hAnsiTheme="majorHAnsi"/>
          <w:spacing w:val="1"/>
          <w:sz w:val="20"/>
          <w:szCs w:val="20"/>
        </w:rPr>
        <w:t xml:space="preserve"> </w:t>
      </w:r>
      <w:r w:rsidRPr="000977F7">
        <w:rPr>
          <w:rFonts w:asciiTheme="majorHAnsi" w:hAnsiTheme="majorHAnsi"/>
          <w:sz w:val="20"/>
          <w:szCs w:val="20"/>
        </w:rPr>
        <w:t>трудового</w:t>
      </w:r>
      <w:r w:rsidRPr="000977F7">
        <w:rPr>
          <w:rFonts w:asciiTheme="majorHAnsi" w:hAnsiTheme="majorHAnsi"/>
          <w:spacing w:val="1"/>
          <w:sz w:val="20"/>
          <w:szCs w:val="20"/>
        </w:rPr>
        <w:t xml:space="preserve"> </w:t>
      </w:r>
      <w:r w:rsidRPr="000977F7">
        <w:rPr>
          <w:rFonts w:asciiTheme="majorHAnsi" w:hAnsiTheme="majorHAnsi"/>
          <w:sz w:val="20"/>
          <w:szCs w:val="20"/>
        </w:rPr>
        <w:t>договору роботодавець повинен, не пізніш як за 2 місяці,</w:t>
      </w:r>
      <w:r w:rsidRPr="000977F7">
        <w:rPr>
          <w:rFonts w:asciiTheme="majorHAnsi" w:hAnsiTheme="majorHAnsi"/>
          <w:spacing w:val="1"/>
          <w:sz w:val="20"/>
          <w:szCs w:val="20"/>
        </w:rPr>
        <w:t xml:space="preserve"> </w:t>
      </w:r>
      <w:r w:rsidRPr="000977F7">
        <w:rPr>
          <w:rFonts w:asciiTheme="majorHAnsi" w:hAnsiTheme="majorHAnsi"/>
          <w:sz w:val="20"/>
          <w:szCs w:val="20"/>
        </w:rPr>
        <w:t>письмово</w:t>
      </w:r>
      <w:r w:rsidRPr="000977F7">
        <w:rPr>
          <w:rFonts w:asciiTheme="majorHAnsi" w:hAnsiTheme="majorHAnsi"/>
          <w:spacing w:val="1"/>
          <w:sz w:val="20"/>
          <w:szCs w:val="20"/>
        </w:rPr>
        <w:t xml:space="preserve"> </w:t>
      </w:r>
      <w:r w:rsidRPr="000977F7">
        <w:rPr>
          <w:rFonts w:asciiTheme="majorHAnsi" w:hAnsiTheme="majorHAnsi"/>
          <w:sz w:val="20"/>
          <w:szCs w:val="20"/>
        </w:rPr>
        <w:t>інформувати</w:t>
      </w:r>
      <w:r w:rsidRPr="000977F7">
        <w:rPr>
          <w:rFonts w:asciiTheme="majorHAnsi" w:hAnsiTheme="majorHAnsi"/>
          <w:spacing w:val="1"/>
          <w:sz w:val="20"/>
          <w:szCs w:val="20"/>
        </w:rPr>
        <w:t xml:space="preserve"> </w:t>
      </w:r>
      <w:r w:rsidRPr="000977F7">
        <w:rPr>
          <w:rFonts w:asciiTheme="majorHAnsi" w:hAnsiTheme="majorHAnsi"/>
          <w:sz w:val="20"/>
          <w:szCs w:val="20"/>
        </w:rPr>
        <w:t>працівника</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зміни</w:t>
      </w:r>
      <w:r w:rsidRPr="000977F7">
        <w:rPr>
          <w:rFonts w:asciiTheme="majorHAnsi" w:hAnsiTheme="majorHAnsi"/>
          <w:spacing w:val="1"/>
          <w:sz w:val="20"/>
          <w:szCs w:val="20"/>
        </w:rPr>
        <w:t xml:space="preserve"> </w:t>
      </w:r>
      <w:r w:rsidRPr="000977F7">
        <w:rPr>
          <w:rFonts w:asciiTheme="majorHAnsi" w:hAnsiTheme="majorHAnsi"/>
          <w:sz w:val="20"/>
          <w:szCs w:val="20"/>
        </w:rPr>
        <w:t>виробничих умов та розмірів пільг і компенсацій, з</w:t>
      </w:r>
      <w:r w:rsidRPr="000977F7">
        <w:rPr>
          <w:rFonts w:asciiTheme="majorHAnsi" w:hAnsiTheme="majorHAnsi"/>
          <w:spacing w:val="1"/>
          <w:sz w:val="20"/>
          <w:szCs w:val="20"/>
        </w:rPr>
        <w:t xml:space="preserve"> </w:t>
      </w:r>
      <w:r w:rsidRPr="000977F7">
        <w:rPr>
          <w:rFonts w:asciiTheme="majorHAnsi" w:hAnsiTheme="majorHAnsi"/>
          <w:sz w:val="20"/>
          <w:szCs w:val="20"/>
        </w:rPr>
        <w:t>урахуванням</w:t>
      </w:r>
      <w:r w:rsidRPr="000977F7">
        <w:rPr>
          <w:rFonts w:asciiTheme="majorHAnsi" w:hAnsiTheme="majorHAnsi"/>
          <w:spacing w:val="-2"/>
          <w:sz w:val="20"/>
          <w:szCs w:val="20"/>
        </w:rPr>
        <w:t xml:space="preserve"> </w:t>
      </w:r>
      <w:r w:rsidRPr="000977F7">
        <w:rPr>
          <w:rFonts w:asciiTheme="majorHAnsi" w:hAnsiTheme="majorHAnsi"/>
          <w:sz w:val="20"/>
          <w:szCs w:val="20"/>
        </w:rPr>
        <w:t>тих,</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надаються</w:t>
      </w:r>
      <w:r w:rsidRPr="000977F7">
        <w:rPr>
          <w:rFonts w:asciiTheme="majorHAnsi" w:hAnsiTheme="majorHAnsi"/>
          <w:spacing w:val="-2"/>
          <w:sz w:val="20"/>
          <w:szCs w:val="20"/>
        </w:rPr>
        <w:t xml:space="preserve"> </w:t>
      </w:r>
      <w:r w:rsidRPr="000977F7">
        <w:rPr>
          <w:rFonts w:asciiTheme="majorHAnsi" w:hAnsiTheme="majorHAnsi"/>
          <w:sz w:val="20"/>
          <w:szCs w:val="20"/>
        </w:rPr>
        <w:t>йому</w:t>
      </w:r>
      <w:r w:rsidRPr="000977F7">
        <w:rPr>
          <w:rFonts w:asciiTheme="majorHAnsi" w:hAnsiTheme="majorHAnsi"/>
          <w:spacing w:val="-2"/>
          <w:sz w:val="20"/>
          <w:szCs w:val="20"/>
        </w:rPr>
        <w:t xml:space="preserve"> </w:t>
      </w:r>
      <w:r w:rsidRPr="000977F7">
        <w:rPr>
          <w:rFonts w:asciiTheme="majorHAnsi" w:hAnsiTheme="majorHAnsi"/>
          <w:sz w:val="20"/>
          <w:szCs w:val="20"/>
        </w:rPr>
        <w:t>додатково.</w:t>
      </w:r>
    </w:p>
    <w:p w14:paraId="4885C82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2"/>
          <w:sz w:val="20"/>
          <w:szCs w:val="20"/>
        </w:rPr>
        <w:t xml:space="preserve"> </w:t>
      </w:r>
      <w:r w:rsidRPr="000977F7">
        <w:rPr>
          <w:rFonts w:asciiTheme="majorHAnsi" w:hAnsiTheme="majorHAnsi"/>
          <w:i/>
          <w:sz w:val="20"/>
          <w:szCs w:val="20"/>
        </w:rPr>
        <w:t>7 закону</w:t>
      </w:r>
      <w:r w:rsidRPr="000977F7">
        <w:rPr>
          <w:rFonts w:asciiTheme="majorHAnsi" w:hAnsiTheme="majorHAnsi"/>
          <w:i/>
          <w:spacing w:val="-3"/>
          <w:sz w:val="20"/>
          <w:szCs w:val="20"/>
        </w:rPr>
        <w:t xml:space="preserve"> </w:t>
      </w:r>
      <w:r w:rsidRPr="000977F7">
        <w:rPr>
          <w:rFonts w:asciiTheme="majorHAnsi" w:hAnsiTheme="majorHAnsi"/>
          <w:i/>
          <w:sz w:val="20"/>
          <w:szCs w:val="20"/>
        </w:rPr>
        <w:t>України "Про</w:t>
      </w:r>
      <w:r w:rsidRPr="000977F7">
        <w:rPr>
          <w:rFonts w:asciiTheme="majorHAnsi" w:hAnsiTheme="majorHAnsi"/>
          <w:i/>
          <w:spacing w:val="-6"/>
          <w:sz w:val="20"/>
          <w:szCs w:val="20"/>
        </w:rPr>
        <w:t xml:space="preserve"> </w:t>
      </w:r>
      <w:r w:rsidRPr="000977F7">
        <w:rPr>
          <w:rFonts w:asciiTheme="majorHAnsi" w:hAnsiTheme="majorHAnsi"/>
          <w:i/>
          <w:sz w:val="20"/>
          <w:szCs w:val="20"/>
        </w:rPr>
        <w:t>охорону</w:t>
      </w:r>
      <w:r w:rsidRPr="000977F7">
        <w:rPr>
          <w:rFonts w:asciiTheme="majorHAnsi" w:hAnsiTheme="majorHAnsi"/>
          <w:i/>
          <w:spacing w:val="-2"/>
          <w:sz w:val="20"/>
          <w:szCs w:val="20"/>
        </w:rPr>
        <w:t xml:space="preserve"> </w:t>
      </w:r>
      <w:r w:rsidRPr="000977F7">
        <w:rPr>
          <w:rFonts w:asciiTheme="majorHAnsi" w:hAnsiTheme="majorHAnsi"/>
          <w:i/>
          <w:sz w:val="20"/>
          <w:szCs w:val="20"/>
        </w:rPr>
        <w:t>праці"</w:t>
      </w:r>
    </w:p>
    <w:p w14:paraId="4F5D990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ПРАВО</w:t>
      </w:r>
      <w:r w:rsidRPr="000977F7">
        <w:rPr>
          <w:color w:val="auto"/>
          <w:spacing w:val="5"/>
          <w:sz w:val="20"/>
          <w:szCs w:val="20"/>
        </w:rPr>
        <w:t xml:space="preserve"> </w:t>
      </w:r>
      <w:r w:rsidRPr="000977F7">
        <w:rPr>
          <w:color w:val="auto"/>
          <w:sz w:val="20"/>
          <w:szCs w:val="20"/>
        </w:rPr>
        <w:t>СПОЖИВАЧА</w:t>
      </w:r>
      <w:r w:rsidRPr="000977F7">
        <w:rPr>
          <w:color w:val="auto"/>
          <w:spacing w:val="5"/>
          <w:sz w:val="20"/>
          <w:szCs w:val="20"/>
        </w:rPr>
        <w:t xml:space="preserve"> </w:t>
      </w:r>
      <w:r w:rsidRPr="000977F7">
        <w:rPr>
          <w:color w:val="auto"/>
          <w:sz w:val="20"/>
          <w:szCs w:val="20"/>
        </w:rPr>
        <w:t>НА</w:t>
      </w:r>
      <w:r w:rsidRPr="000977F7">
        <w:rPr>
          <w:color w:val="auto"/>
          <w:spacing w:val="5"/>
          <w:sz w:val="20"/>
          <w:szCs w:val="20"/>
        </w:rPr>
        <w:t xml:space="preserve"> </w:t>
      </w:r>
      <w:r w:rsidRPr="000977F7">
        <w:rPr>
          <w:color w:val="auto"/>
          <w:sz w:val="20"/>
          <w:szCs w:val="20"/>
        </w:rPr>
        <w:t>БЕЗПЕКУ</w:t>
      </w:r>
      <w:r w:rsidRPr="000977F7">
        <w:rPr>
          <w:color w:val="auto"/>
          <w:spacing w:val="7"/>
          <w:sz w:val="20"/>
          <w:szCs w:val="20"/>
        </w:rPr>
        <w:t xml:space="preserve"> </w:t>
      </w:r>
      <w:r w:rsidRPr="000977F7">
        <w:rPr>
          <w:color w:val="auto"/>
          <w:sz w:val="20"/>
          <w:szCs w:val="20"/>
        </w:rPr>
        <w:t>ТОВАРІВ</w:t>
      </w:r>
      <w:r w:rsidRPr="000977F7">
        <w:rPr>
          <w:color w:val="auto"/>
          <w:spacing w:val="-47"/>
          <w:sz w:val="20"/>
          <w:szCs w:val="20"/>
        </w:rPr>
        <w:t xml:space="preserve"> </w:t>
      </w:r>
      <w:r w:rsidRPr="000977F7">
        <w:rPr>
          <w:color w:val="auto"/>
          <w:sz w:val="20"/>
          <w:szCs w:val="20"/>
        </w:rPr>
        <w:t>(РОБІТ,</w:t>
      </w:r>
      <w:r w:rsidRPr="000977F7">
        <w:rPr>
          <w:color w:val="auto"/>
          <w:spacing w:val="-1"/>
          <w:sz w:val="20"/>
          <w:szCs w:val="20"/>
        </w:rPr>
        <w:t xml:space="preserve"> </w:t>
      </w:r>
      <w:r w:rsidRPr="000977F7">
        <w:rPr>
          <w:color w:val="auto"/>
          <w:sz w:val="20"/>
          <w:szCs w:val="20"/>
        </w:rPr>
        <w:t>ПОСЛУГ)</w:t>
      </w:r>
      <w:r w:rsidRPr="000977F7">
        <w:rPr>
          <w:color w:val="auto"/>
          <w:spacing w:val="3"/>
          <w:sz w:val="20"/>
          <w:szCs w:val="20"/>
        </w:rPr>
        <w:t xml:space="preserve"> </w:t>
      </w:r>
      <w:r w:rsidRPr="000977F7">
        <w:rPr>
          <w:color w:val="auto"/>
          <w:sz w:val="20"/>
          <w:szCs w:val="20"/>
        </w:rPr>
        <w:t>–</w:t>
      </w:r>
    </w:p>
    <w:p w14:paraId="54C569BA" w14:textId="77777777" w:rsidR="0097612F" w:rsidRPr="000977F7" w:rsidRDefault="0097612F" w:rsidP="000977F7">
      <w:pPr>
        <w:pStyle w:val="ac"/>
        <w:tabs>
          <w:tab w:val="left" w:pos="284"/>
          <w:tab w:val="left" w:pos="568"/>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1) Споживач</w:t>
      </w:r>
      <w:r w:rsidRPr="000977F7">
        <w:rPr>
          <w:rFonts w:asciiTheme="majorHAnsi" w:hAnsiTheme="majorHAnsi"/>
          <w:spacing w:val="1"/>
          <w:sz w:val="20"/>
          <w:szCs w:val="20"/>
        </w:rPr>
        <w:t xml:space="preserve"> </w:t>
      </w:r>
      <w:r w:rsidRPr="000977F7">
        <w:rPr>
          <w:rFonts w:asciiTheme="majorHAnsi" w:hAnsiTheme="majorHAnsi"/>
          <w:sz w:val="20"/>
          <w:szCs w:val="20"/>
        </w:rPr>
        <w:t>має</w:t>
      </w:r>
      <w:r w:rsidRPr="000977F7">
        <w:rPr>
          <w:rFonts w:asciiTheme="majorHAnsi" w:hAnsiTheme="majorHAnsi"/>
          <w:spacing w:val="1"/>
          <w:sz w:val="20"/>
          <w:szCs w:val="20"/>
        </w:rPr>
        <w:t xml:space="preserve"> </w:t>
      </w:r>
      <w:r w:rsidRPr="000977F7">
        <w:rPr>
          <w:rFonts w:asciiTheme="majorHAnsi" w:hAnsiTheme="majorHAnsi"/>
          <w:sz w:val="20"/>
          <w:szCs w:val="20"/>
        </w:rPr>
        <w:t>право</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те,</w:t>
      </w:r>
      <w:r w:rsidRPr="000977F7">
        <w:rPr>
          <w:rFonts w:asciiTheme="majorHAnsi" w:hAnsiTheme="majorHAnsi"/>
          <w:spacing w:val="1"/>
          <w:sz w:val="20"/>
          <w:szCs w:val="20"/>
        </w:rPr>
        <w:t xml:space="preserve"> </w:t>
      </w:r>
      <w:r w:rsidRPr="000977F7">
        <w:rPr>
          <w:rFonts w:asciiTheme="majorHAnsi" w:hAnsiTheme="majorHAnsi"/>
          <w:sz w:val="20"/>
          <w:szCs w:val="20"/>
        </w:rPr>
        <w:t>щоб</w:t>
      </w:r>
      <w:r w:rsidRPr="000977F7">
        <w:rPr>
          <w:rFonts w:asciiTheme="majorHAnsi" w:hAnsiTheme="majorHAnsi"/>
          <w:spacing w:val="1"/>
          <w:sz w:val="20"/>
          <w:szCs w:val="20"/>
        </w:rPr>
        <w:t xml:space="preserve"> </w:t>
      </w:r>
      <w:r w:rsidRPr="000977F7">
        <w:rPr>
          <w:rFonts w:asciiTheme="majorHAnsi" w:hAnsiTheme="majorHAnsi"/>
          <w:sz w:val="20"/>
          <w:szCs w:val="20"/>
        </w:rPr>
        <w:t>товари (роботи,</w:t>
      </w:r>
      <w:r w:rsidRPr="000977F7">
        <w:rPr>
          <w:rFonts w:asciiTheme="majorHAnsi" w:hAnsiTheme="majorHAnsi"/>
          <w:spacing w:val="1"/>
          <w:sz w:val="20"/>
          <w:szCs w:val="20"/>
        </w:rPr>
        <w:t xml:space="preserve"> </w:t>
      </w:r>
      <w:r w:rsidRPr="000977F7">
        <w:rPr>
          <w:rFonts w:asciiTheme="majorHAnsi" w:hAnsiTheme="majorHAnsi"/>
          <w:sz w:val="20"/>
          <w:szCs w:val="20"/>
        </w:rPr>
        <w:t>послуги) за звичайних умов їх використання, зберігання і транспортування були безпечними для його</w:t>
      </w:r>
      <w:r w:rsidRPr="000977F7">
        <w:rPr>
          <w:rFonts w:asciiTheme="majorHAnsi" w:hAnsiTheme="majorHAnsi"/>
          <w:spacing w:val="1"/>
          <w:sz w:val="20"/>
          <w:szCs w:val="20"/>
        </w:rPr>
        <w:t xml:space="preserve"> </w:t>
      </w:r>
      <w:r w:rsidRPr="000977F7">
        <w:rPr>
          <w:rFonts w:asciiTheme="majorHAnsi" w:hAnsiTheme="majorHAnsi"/>
          <w:sz w:val="20"/>
          <w:szCs w:val="20"/>
        </w:rPr>
        <w:t>життя, здоров'я, навколишнього природного середовища, а</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2"/>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завдавали шкоди його майну.</w:t>
      </w:r>
    </w:p>
    <w:p w14:paraId="3475F4E4" w14:textId="77777777" w:rsidR="0097612F" w:rsidRPr="000977F7" w:rsidRDefault="0097612F" w:rsidP="000977F7">
      <w:pPr>
        <w:pStyle w:val="ac"/>
        <w:tabs>
          <w:tab w:val="left" w:pos="284"/>
          <w:tab w:val="left" w:pos="806"/>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2) На товари (наслідки робіт), використання яких</w:t>
      </w:r>
      <w:r w:rsidRPr="000977F7">
        <w:rPr>
          <w:rFonts w:asciiTheme="majorHAnsi" w:hAnsiTheme="majorHAnsi"/>
          <w:spacing w:val="1"/>
          <w:sz w:val="20"/>
          <w:szCs w:val="20"/>
        </w:rPr>
        <w:t xml:space="preserve"> </w:t>
      </w:r>
      <w:r w:rsidRPr="000977F7">
        <w:rPr>
          <w:rFonts w:asciiTheme="majorHAnsi" w:hAnsiTheme="majorHAnsi"/>
          <w:sz w:val="20"/>
          <w:szCs w:val="20"/>
        </w:rPr>
        <w:t>понад визначений термін є небезпечним для життя,</w:t>
      </w:r>
      <w:r w:rsidRPr="000977F7">
        <w:rPr>
          <w:rFonts w:asciiTheme="majorHAnsi" w:hAnsiTheme="majorHAnsi"/>
          <w:spacing w:val="1"/>
          <w:sz w:val="20"/>
          <w:szCs w:val="20"/>
        </w:rPr>
        <w:t xml:space="preserve"> </w:t>
      </w:r>
      <w:r w:rsidRPr="000977F7">
        <w:rPr>
          <w:rFonts w:asciiTheme="majorHAnsi" w:hAnsiTheme="majorHAnsi"/>
          <w:sz w:val="20"/>
          <w:szCs w:val="20"/>
        </w:rPr>
        <w:t>здоров'я споживача, навколишнього природного середовища або може заподіяти шкоду майну споживача,</w:t>
      </w:r>
      <w:r w:rsidRPr="000977F7">
        <w:rPr>
          <w:rFonts w:asciiTheme="majorHAnsi" w:hAnsiTheme="majorHAnsi"/>
          <w:spacing w:val="1"/>
          <w:sz w:val="20"/>
          <w:szCs w:val="20"/>
        </w:rPr>
        <w:t xml:space="preserve"> </w:t>
      </w:r>
      <w:r w:rsidRPr="000977F7">
        <w:rPr>
          <w:rFonts w:asciiTheme="majorHAnsi" w:hAnsiTheme="majorHAnsi"/>
          <w:sz w:val="20"/>
          <w:szCs w:val="20"/>
        </w:rPr>
        <w:t xml:space="preserve">встановлюється термін служби (термін </w:t>
      </w:r>
      <w:r w:rsidRPr="000977F7">
        <w:rPr>
          <w:rFonts w:asciiTheme="majorHAnsi" w:hAnsiTheme="majorHAnsi"/>
          <w:sz w:val="20"/>
          <w:szCs w:val="20"/>
        </w:rPr>
        <w:t>придатності).</w:t>
      </w:r>
      <w:r w:rsidRPr="000977F7">
        <w:rPr>
          <w:rFonts w:asciiTheme="majorHAnsi" w:hAnsiTheme="majorHAnsi"/>
          <w:spacing w:val="1"/>
          <w:sz w:val="20"/>
          <w:szCs w:val="20"/>
        </w:rPr>
        <w:t xml:space="preserve"> </w:t>
      </w:r>
      <w:r w:rsidRPr="000977F7">
        <w:rPr>
          <w:rFonts w:asciiTheme="majorHAnsi" w:hAnsiTheme="majorHAnsi"/>
          <w:sz w:val="20"/>
          <w:szCs w:val="20"/>
        </w:rPr>
        <w:t>Ці вимоги можуть поширюватись як на виріб у цілому,</w:t>
      </w:r>
      <w:r w:rsidRPr="000977F7">
        <w:rPr>
          <w:rFonts w:asciiTheme="majorHAnsi" w:hAnsiTheme="majorHAnsi"/>
          <w:spacing w:val="-1"/>
          <w:sz w:val="20"/>
          <w:szCs w:val="20"/>
        </w:rPr>
        <w:t xml:space="preserve"> </w:t>
      </w:r>
      <w:r w:rsidRPr="000977F7">
        <w:rPr>
          <w:rFonts w:asciiTheme="majorHAnsi" w:hAnsiTheme="majorHAnsi"/>
          <w:sz w:val="20"/>
          <w:szCs w:val="20"/>
        </w:rPr>
        <w:t>так</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окремі</w:t>
      </w:r>
      <w:r w:rsidRPr="000977F7">
        <w:rPr>
          <w:rFonts w:asciiTheme="majorHAnsi" w:hAnsiTheme="majorHAnsi"/>
          <w:spacing w:val="-1"/>
          <w:sz w:val="20"/>
          <w:szCs w:val="20"/>
        </w:rPr>
        <w:t xml:space="preserve"> </w:t>
      </w:r>
      <w:r w:rsidRPr="000977F7">
        <w:rPr>
          <w:rFonts w:asciiTheme="majorHAnsi" w:hAnsiTheme="majorHAnsi"/>
          <w:sz w:val="20"/>
          <w:szCs w:val="20"/>
        </w:rPr>
        <w:t>його частини.</w:t>
      </w:r>
    </w:p>
    <w:p w14:paraId="2C408D05" w14:textId="77777777" w:rsidR="0097612F" w:rsidRPr="000977F7" w:rsidRDefault="0097612F" w:rsidP="000977F7">
      <w:pPr>
        <w:pStyle w:val="ac"/>
        <w:tabs>
          <w:tab w:val="left" w:pos="284"/>
          <w:tab w:val="left" w:pos="806"/>
        </w:tabs>
        <w:spacing w:after="0" w:line="240" w:lineRule="auto"/>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Виробник (виконавець, продавець) повинен попереджати споживача про встановлений строк служби (строк придатності) товару (наслідків роботи) або його частини, обов'язкові умови його використання та можливі наслідки в разі їх невиконання, а також про необхідні дії після закінчення цього строку.</w:t>
      </w:r>
    </w:p>
    <w:p w14:paraId="436EC984" w14:textId="77777777" w:rsidR="0097612F" w:rsidRPr="000977F7" w:rsidRDefault="0097612F" w:rsidP="000977F7">
      <w:pPr>
        <w:pStyle w:val="ac"/>
        <w:tabs>
          <w:tab w:val="left" w:pos="284"/>
          <w:tab w:val="left" w:pos="806"/>
        </w:tabs>
        <w:spacing w:after="0" w:line="240" w:lineRule="auto"/>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3) Якщо для безпечного використання продукції, її зберігання, транспортування та утилізації необхідно додержуватися спеціальних правил, виробник (виконавець) зобов'язаний розробити такі правила та довести їх до продавця або споживача, а продавець до споживача, якщо відповідними нормативно-правовими актами, у тому числі технічними регламентами, не встановлено інші способи інформування споживачів про певні види ризику чи продукції.</w:t>
      </w:r>
    </w:p>
    <w:p w14:paraId="0C35987C"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r w:rsidRPr="000977F7">
        <w:rPr>
          <w:rFonts w:asciiTheme="majorHAnsi" w:hAnsiTheme="majorHAnsi"/>
          <w:sz w:val="20"/>
          <w:szCs w:val="20"/>
          <w:lang w:val="uk-UA"/>
        </w:rPr>
        <w:t>4) Продукція, щодо якої нормативно-правовими актами, в тому числі технічними регламентами, встановлені вимоги стосовно безпеки для життя, здоров’я та майна споживачів і навколишнього природного середовища, повинна вводитися в обіг та реалізовуватися з додержанням зазначених вимог.</w:t>
      </w:r>
      <w:bookmarkStart w:id="211" w:name="n713"/>
      <w:bookmarkStart w:id="212" w:name="n346"/>
      <w:bookmarkEnd w:id="211"/>
      <w:bookmarkEnd w:id="212"/>
    </w:p>
    <w:p w14:paraId="7F27841E"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r w:rsidRPr="000977F7">
        <w:rPr>
          <w:rFonts w:asciiTheme="majorHAnsi" w:hAnsiTheme="majorHAnsi"/>
          <w:sz w:val="20"/>
          <w:szCs w:val="20"/>
          <w:lang w:val="uk-UA"/>
        </w:rPr>
        <w:t>5) Виробник (виконавець) зобов’язаний відшкодувати у повному обсязі завдані споживачам збитки, пов’язані з відкликанням продукції.</w:t>
      </w:r>
    </w:p>
    <w:p w14:paraId="2A046025"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bookmarkStart w:id="213" w:name="n694"/>
      <w:bookmarkStart w:id="214" w:name="n349"/>
      <w:bookmarkStart w:id="215" w:name="n350"/>
      <w:bookmarkEnd w:id="213"/>
      <w:bookmarkEnd w:id="214"/>
      <w:bookmarkEnd w:id="215"/>
      <w:r w:rsidRPr="000977F7">
        <w:rPr>
          <w:rFonts w:asciiTheme="majorHAnsi" w:hAnsiTheme="majorHAnsi"/>
          <w:sz w:val="20"/>
          <w:szCs w:val="20"/>
          <w:lang w:val="uk-UA"/>
        </w:rPr>
        <w:t>6) Виробник (виконавець) зобов'язаний інформувати споживача про можливий ризик і про безпечне використання продукції за допомогою прийнятих загальновідомих у міжнародній практиці позначень, якщо відповідними нормативно-правовими актами, у тому числі технічними регламентами, не встановлено інші способи інформування споживачів про певні види ризику чи продукції.</w:t>
      </w:r>
    </w:p>
    <w:p w14:paraId="04E93EFE"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bookmarkStart w:id="216" w:name="n740"/>
      <w:bookmarkEnd w:id="216"/>
      <w:r w:rsidRPr="000977F7">
        <w:rPr>
          <w:rFonts w:asciiTheme="majorHAnsi" w:hAnsiTheme="majorHAnsi"/>
          <w:i/>
          <w:sz w:val="20"/>
          <w:szCs w:val="20"/>
        </w:rPr>
        <w:t>Ст. 14 закону України "Про захист прав споживачів"</w:t>
      </w:r>
    </w:p>
    <w:p w14:paraId="032237B2"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ПРАВО</w:t>
      </w:r>
      <w:r w:rsidRPr="000977F7">
        <w:rPr>
          <w:rFonts w:asciiTheme="majorHAnsi" w:hAnsiTheme="majorHAnsi"/>
          <w:b/>
          <w:spacing w:val="40"/>
          <w:sz w:val="20"/>
          <w:szCs w:val="20"/>
        </w:rPr>
        <w:t xml:space="preserve"> </w:t>
      </w:r>
      <w:r w:rsidRPr="000977F7">
        <w:rPr>
          <w:rFonts w:asciiTheme="majorHAnsi" w:hAnsiTheme="majorHAnsi"/>
          <w:b/>
          <w:sz w:val="20"/>
          <w:szCs w:val="20"/>
        </w:rPr>
        <w:t>СПОЖИВАЧА НА ІНФОРМАЦІЮ ПРО ПРОДУКЦІЮ –</w:t>
      </w:r>
    </w:p>
    <w:p w14:paraId="52BF5B97" w14:textId="77777777" w:rsidR="0097612F" w:rsidRPr="000977F7" w:rsidRDefault="0097612F" w:rsidP="00FD39A4">
      <w:pPr>
        <w:pStyle w:val="ac"/>
        <w:widowControl w:val="0"/>
        <w:numPr>
          <w:ilvl w:val="0"/>
          <w:numId w:val="100"/>
        </w:numPr>
        <w:tabs>
          <w:tab w:val="left" w:pos="284"/>
          <w:tab w:val="left" w:pos="65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Споживач</w:t>
      </w:r>
      <w:r w:rsidRPr="000977F7">
        <w:rPr>
          <w:rFonts w:asciiTheme="majorHAnsi" w:hAnsiTheme="majorHAnsi"/>
          <w:spacing w:val="7"/>
          <w:sz w:val="20"/>
          <w:szCs w:val="20"/>
        </w:rPr>
        <w:t xml:space="preserve"> </w:t>
      </w:r>
      <w:r w:rsidRPr="000977F7">
        <w:rPr>
          <w:rFonts w:asciiTheme="majorHAnsi" w:hAnsiTheme="majorHAnsi"/>
          <w:sz w:val="20"/>
          <w:szCs w:val="20"/>
        </w:rPr>
        <w:t>має</w:t>
      </w:r>
      <w:r w:rsidRPr="000977F7">
        <w:rPr>
          <w:rFonts w:asciiTheme="majorHAnsi" w:hAnsiTheme="majorHAnsi"/>
          <w:spacing w:val="10"/>
          <w:sz w:val="20"/>
          <w:szCs w:val="20"/>
        </w:rPr>
        <w:t xml:space="preserve"> </w:t>
      </w:r>
      <w:r w:rsidRPr="000977F7">
        <w:rPr>
          <w:rFonts w:asciiTheme="majorHAnsi" w:hAnsiTheme="majorHAnsi"/>
          <w:sz w:val="20"/>
          <w:szCs w:val="20"/>
        </w:rPr>
        <w:t>право</w:t>
      </w:r>
      <w:r w:rsidRPr="000977F7">
        <w:rPr>
          <w:rFonts w:asciiTheme="majorHAnsi" w:hAnsiTheme="majorHAnsi"/>
          <w:spacing w:val="7"/>
          <w:sz w:val="20"/>
          <w:szCs w:val="20"/>
        </w:rPr>
        <w:t xml:space="preserve"> </w:t>
      </w:r>
      <w:r w:rsidRPr="000977F7">
        <w:rPr>
          <w:rFonts w:asciiTheme="majorHAnsi" w:hAnsiTheme="majorHAnsi"/>
          <w:sz w:val="20"/>
          <w:szCs w:val="20"/>
        </w:rPr>
        <w:t>на</w:t>
      </w:r>
      <w:r w:rsidRPr="000977F7">
        <w:rPr>
          <w:rFonts w:asciiTheme="majorHAnsi" w:hAnsiTheme="majorHAnsi"/>
          <w:spacing w:val="10"/>
          <w:sz w:val="20"/>
          <w:szCs w:val="20"/>
        </w:rPr>
        <w:t xml:space="preserve"> </w:t>
      </w:r>
      <w:r w:rsidRPr="000977F7">
        <w:rPr>
          <w:rFonts w:asciiTheme="majorHAnsi" w:hAnsiTheme="majorHAnsi"/>
          <w:sz w:val="20"/>
          <w:szCs w:val="20"/>
        </w:rPr>
        <w:t>одержання</w:t>
      </w:r>
      <w:r w:rsidRPr="000977F7">
        <w:rPr>
          <w:rFonts w:asciiTheme="majorHAnsi" w:hAnsiTheme="majorHAnsi"/>
          <w:spacing w:val="8"/>
          <w:sz w:val="20"/>
          <w:szCs w:val="20"/>
        </w:rPr>
        <w:t xml:space="preserve"> </w:t>
      </w:r>
      <w:r w:rsidRPr="000977F7">
        <w:rPr>
          <w:rFonts w:asciiTheme="majorHAnsi" w:hAnsiTheme="majorHAnsi"/>
          <w:sz w:val="20"/>
          <w:szCs w:val="20"/>
        </w:rPr>
        <w:t>необхідної,</w:t>
      </w:r>
      <w:r w:rsidRPr="000977F7">
        <w:rPr>
          <w:rFonts w:asciiTheme="majorHAnsi" w:hAnsiTheme="majorHAnsi"/>
          <w:spacing w:val="7"/>
          <w:sz w:val="20"/>
          <w:szCs w:val="20"/>
        </w:rPr>
        <w:t xml:space="preserve"> </w:t>
      </w:r>
      <w:r w:rsidRPr="000977F7">
        <w:rPr>
          <w:rFonts w:asciiTheme="majorHAnsi" w:hAnsiTheme="majorHAnsi"/>
          <w:sz w:val="20"/>
          <w:szCs w:val="20"/>
        </w:rPr>
        <w:t>доступної,</w:t>
      </w:r>
      <w:r w:rsidRPr="000977F7">
        <w:rPr>
          <w:rFonts w:asciiTheme="majorHAnsi" w:hAnsiTheme="majorHAnsi"/>
          <w:spacing w:val="12"/>
          <w:sz w:val="20"/>
          <w:szCs w:val="20"/>
        </w:rPr>
        <w:t xml:space="preserve"> </w:t>
      </w:r>
      <w:r w:rsidRPr="000977F7">
        <w:rPr>
          <w:rFonts w:asciiTheme="majorHAnsi" w:hAnsiTheme="majorHAnsi"/>
          <w:sz w:val="20"/>
          <w:szCs w:val="20"/>
        </w:rPr>
        <w:t>достовірної</w:t>
      </w:r>
      <w:r w:rsidRPr="000977F7">
        <w:rPr>
          <w:rFonts w:asciiTheme="majorHAnsi" w:hAnsiTheme="majorHAnsi"/>
          <w:spacing w:val="11"/>
          <w:sz w:val="20"/>
          <w:szCs w:val="20"/>
        </w:rPr>
        <w:t xml:space="preserve"> </w:t>
      </w:r>
      <w:r w:rsidRPr="000977F7">
        <w:rPr>
          <w:rFonts w:asciiTheme="majorHAnsi" w:hAnsiTheme="majorHAnsi"/>
          <w:sz w:val="20"/>
          <w:szCs w:val="20"/>
        </w:rPr>
        <w:t>та</w:t>
      </w:r>
      <w:r w:rsidRPr="000977F7">
        <w:rPr>
          <w:rFonts w:asciiTheme="majorHAnsi" w:hAnsiTheme="majorHAnsi"/>
          <w:spacing w:val="12"/>
          <w:sz w:val="20"/>
          <w:szCs w:val="20"/>
        </w:rPr>
        <w:t xml:space="preserve"> </w:t>
      </w:r>
      <w:r w:rsidRPr="000977F7">
        <w:rPr>
          <w:rFonts w:asciiTheme="majorHAnsi" w:hAnsiTheme="majorHAnsi"/>
          <w:sz w:val="20"/>
          <w:szCs w:val="20"/>
        </w:rPr>
        <w:t>своєчасної</w:t>
      </w:r>
      <w:r w:rsidRPr="000977F7">
        <w:rPr>
          <w:rFonts w:asciiTheme="majorHAnsi" w:hAnsiTheme="majorHAnsi"/>
          <w:spacing w:val="12"/>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13"/>
          <w:sz w:val="20"/>
          <w:szCs w:val="20"/>
        </w:rPr>
        <w:t xml:space="preserve"> </w:t>
      </w:r>
      <w:r w:rsidRPr="000977F7">
        <w:rPr>
          <w:rFonts w:asciiTheme="majorHAnsi" w:hAnsiTheme="majorHAnsi"/>
          <w:sz w:val="20"/>
          <w:szCs w:val="20"/>
        </w:rPr>
        <w:t>про</w:t>
      </w:r>
      <w:r w:rsidRPr="000977F7">
        <w:rPr>
          <w:rFonts w:asciiTheme="majorHAnsi" w:hAnsiTheme="majorHAnsi"/>
          <w:spacing w:val="12"/>
          <w:sz w:val="20"/>
          <w:szCs w:val="20"/>
        </w:rPr>
        <w:t xml:space="preserve"> </w:t>
      </w:r>
      <w:r w:rsidRPr="000977F7">
        <w:rPr>
          <w:rFonts w:asciiTheme="majorHAnsi" w:hAnsiTheme="majorHAnsi"/>
          <w:sz w:val="20"/>
          <w:szCs w:val="20"/>
        </w:rPr>
        <w:t>продукцію, що забезпечує можливість її свідомого і компетентного вибору. Інформація повинна бути надана</w:t>
      </w:r>
      <w:r w:rsidRPr="000977F7">
        <w:rPr>
          <w:rFonts w:asciiTheme="majorHAnsi" w:hAnsiTheme="majorHAnsi"/>
          <w:spacing w:val="1"/>
          <w:sz w:val="20"/>
          <w:szCs w:val="20"/>
        </w:rPr>
        <w:t xml:space="preserve"> </w:t>
      </w:r>
      <w:r w:rsidRPr="000977F7">
        <w:rPr>
          <w:rFonts w:asciiTheme="majorHAnsi" w:hAnsiTheme="majorHAnsi"/>
          <w:sz w:val="20"/>
          <w:szCs w:val="20"/>
        </w:rPr>
        <w:t>споживачеві до придбання ним товару чи замовлення</w:t>
      </w:r>
      <w:r w:rsidRPr="000977F7">
        <w:rPr>
          <w:rFonts w:asciiTheme="majorHAnsi" w:hAnsiTheme="majorHAnsi"/>
          <w:spacing w:val="1"/>
          <w:sz w:val="20"/>
          <w:szCs w:val="20"/>
        </w:rPr>
        <w:t xml:space="preserve"> </w:t>
      </w:r>
      <w:r w:rsidRPr="000977F7">
        <w:rPr>
          <w:rFonts w:asciiTheme="majorHAnsi" w:hAnsiTheme="majorHAnsi"/>
          <w:sz w:val="20"/>
          <w:szCs w:val="20"/>
        </w:rPr>
        <w:t>роботи (послуги). Інформація про продукцію не вважається</w:t>
      </w:r>
      <w:r w:rsidRPr="000977F7">
        <w:rPr>
          <w:rFonts w:asciiTheme="majorHAnsi" w:hAnsiTheme="majorHAnsi"/>
          <w:spacing w:val="-2"/>
          <w:sz w:val="20"/>
          <w:szCs w:val="20"/>
        </w:rPr>
        <w:t xml:space="preserve"> </w:t>
      </w:r>
      <w:r w:rsidRPr="000977F7">
        <w:rPr>
          <w:rFonts w:asciiTheme="majorHAnsi" w:hAnsiTheme="majorHAnsi"/>
          <w:sz w:val="20"/>
          <w:szCs w:val="20"/>
        </w:rPr>
        <w:t>рекламою.</w:t>
      </w:r>
    </w:p>
    <w:p w14:paraId="122984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Інформація</w:t>
      </w:r>
      <w:r w:rsidRPr="000977F7">
        <w:rPr>
          <w:rFonts w:asciiTheme="majorHAnsi" w:hAnsiTheme="majorHAnsi"/>
          <w:spacing w:val="-6"/>
          <w:sz w:val="20"/>
          <w:szCs w:val="20"/>
        </w:rPr>
        <w:t xml:space="preserve"> </w:t>
      </w:r>
      <w:r w:rsidRPr="000977F7">
        <w:rPr>
          <w:rFonts w:asciiTheme="majorHAnsi" w:hAnsiTheme="majorHAnsi"/>
          <w:sz w:val="20"/>
          <w:szCs w:val="20"/>
        </w:rPr>
        <w:t>про</w:t>
      </w:r>
      <w:r w:rsidRPr="000977F7">
        <w:rPr>
          <w:rFonts w:asciiTheme="majorHAnsi" w:hAnsiTheme="majorHAnsi"/>
          <w:spacing w:val="-4"/>
          <w:sz w:val="20"/>
          <w:szCs w:val="20"/>
        </w:rPr>
        <w:t xml:space="preserve"> </w:t>
      </w:r>
      <w:r w:rsidRPr="000977F7">
        <w:rPr>
          <w:rFonts w:asciiTheme="majorHAnsi" w:hAnsiTheme="majorHAnsi"/>
          <w:sz w:val="20"/>
          <w:szCs w:val="20"/>
        </w:rPr>
        <w:t>продукцію</w:t>
      </w:r>
      <w:r w:rsidRPr="000977F7">
        <w:rPr>
          <w:rFonts w:asciiTheme="majorHAnsi" w:hAnsiTheme="majorHAnsi"/>
          <w:spacing w:val="-3"/>
          <w:sz w:val="20"/>
          <w:szCs w:val="20"/>
        </w:rPr>
        <w:t xml:space="preserve"> </w:t>
      </w:r>
      <w:r w:rsidRPr="000977F7">
        <w:rPr>
          <w:rFonts w:asciiTheme="majorHAnsi" w:hAnsiTheme="majorHAnsi"/>
          <w:sz w:val="20"/>
          <w:szCs w:val="20"/>
        </w:rPr>
        <w:t>повинна</w:t>
      </w:r>
      <w:r w:rsidRPr="000977F7">
        <w:rPr>
          <w:rFonts w:asciiTheme="majorHAnsi" w:hAnsiTheme="majorHAnsi"/>
          <w:spacing w:val="-5"/>
          <w:sz w:val="20"/>
          <w:szCs w:val="20"/>
        </w:rPr>
        <w:t xml:space="preserve"> </w:t>
      </w:r>
      <w:r w:rsidRPr="000977F7">
        <w:rPr>
          <w:rFonts w:asciiTheme="majorHAnsi" w:hAnsiTheme="majorHAnsi"/>
          <w:sz w:val="20"/>
          <w:szCs w:val="20"/>
        </w:rPr>
        <w:t>містити:</w:t>
      </w:r>
    </w:p>
    <w:p w14:paraId="5DDF42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1) назву товару, найменування або відтворення знака</w:t>
      </w:r>
      <w:r w:rsidRPr="000977F7">
        <w:rPr>
          <w:rFonts w:asciiTheme="majorHAnsi" w:hAnsiTheme="majorHAnsi"/>
          <w:spacing w:val="1"/>
          <w:sz w:val="20"/>
          <w:szCs w:val="20"/>
        </w:rPr>
        <w:t xml:space="preserve"> </w:t>
      </w:r>
      <w:r w:rsidRPr="000977F7">
        <w:rPr>
          <w:rFonts w:asciiTheme="majorHAnsi" w:hAnsiTheme="majorHAnsi"/>
          <w:sz w:val="20"/>
          <w:szCs w:val="20"/>
        </w:rPr>
        <w:t>для товарів</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3"/>
          <w:sz w:val="20"/>
          <w:szCs w:val="20"/>
        </w:rPr>
        <w:t xml:space="preserve"> </w:t>
      </w:r>
      <w:r w:rsidRPr="000977F7">
        <w:rPr>
          <w:rFonts w:asciiTheme="majorHAnsi" w:hAnsiTheme="majorHAnsi"/>
          <w:sz w:val="20"/>
          <w:szCs w:val="20"/>
        </w:rPr>
        <w:t>послуг,</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якими</w:t>
      </w:r>
      <w:r w:rsidRPr="000977F7">
        <w:rPr>
          <w:rFonts w:asciiTheme="majorHAnsi" w:hAnsiTheme="majorHAnsi"/>
          <w:spacing w:val="-2"/>
          <w:sz w:val="20"/>
          <w:szCs w:val="20"/>
        </w:rPr>
        <w:t xml:space="preserve"> </w:t>
      </w:r>
      <w:r w:rsidRPr="000977F7">
        <w:rPr>
          <w:rFonts w:asciiTheme="majorHAnsi" w:hAnsiTheme="majorHAnsi"/>
          <w:sz w:val="20"/>
          <w:szCs w:val="20"/>
        </w:rPr>
        <w:t>вони</w:t>
      </w:r>
      <w:r w:rsidRPr="000977F7">
        <w:rPr>
          <w:rFonts w:asciiTheme="majorHAnsi" w:hAnsiTheme="majorHAnsi"/>
          <w:spacing w:val="-3"/>
          <w:sz w:val="20"/>
          <w:szCs w:val="20"/>
        </w:rPr>
        <w:t xml:space="preserve"> </w:t>
      </w:r>
      <w:r w:rsidRPr="000977F7">
        <w:rPr>
          <w:rFonts w:asciiTheme="majorHAnsi" w:hAnsiTheme="majorHAnsi"/>
          <w:sz w:val="20"/>
          <w:szCs w:val="20"/>
        </w:rPr>
        <w:t>реалізуються;</w:t>
      </w:r>
    </w:p>
    <w:p w14:paraId="59067CD1" w14:textId="77777777" w:rsidR="0097612F" w:rsidRPr="000977F7" w:rsidRDefault="0097612F" w:rsidP="00FD39A4">
      <w:pPr>
        <w:pStyle w:val="ac"/>
        <w:widowControl w:val="0"/>
        <w:numPr>
          <w:ilvl w:val="0"/>
          <w:numId w:val="99"/>
        </w:numPr>
        <w:tabs>
          <w:tab w:val="left" w:pos="284"/>
          <w:tab w:val="left" w:pos="54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дані про основні властивості продукції, номінальну</w:t>
      </w:r>
      <w:r w:rsidRPr="000977F7">
        <w:rPr>
          <w:rFonts w:asciiTheme="majorHAnsi" w:hAnsiTheme="majorHAnsi"/>
          <w:spacing w:val="-47"/>
          <w:sz w:val="20"/>
          <w:szCs w:val="20"/>
        </w:rPr>
        <w:t xml:space="preserve"> </w:t>
      </w:r>
      <w:r w:rsidRPr="000977F7">
        <w:rPr>
          <w:rFonts w:asciiTheme="majorHAnsi" w:hAnsiTheme="majorHAnsi"/>
          <w:sz w:val="20"/>
          <w:szCs w:val="20"/>
        </w:rPr>
        <w:t>кількість</w:t>
      </w:r>
      <w:r w:rsidRPr="000977F7">
        <w:rPr>
          <w:rFonts w:asciiTheme="majorHAnsi" w:hAnsiTheme="majorHAnsi"/>
          <w:spacing w:val="-3"/>
          <w:sz w:val="20"/>
          <w:szCs w:val="20"/>
        </w:rPr>
        <w:t xml:space="preserve"> </w:t>
      </w:r>
      <w:r w:rsidRPr="000977F7">
        <w:rPr>
          <w:rFonts w:asciiTheme="majorHAnsi" w:hAnsiTheme="majorHAnsi"/>
          <w:sz w:val="20"/>
          <w:szCs w:val="20"/>
        </w:rPr>
        <w:t>(масу,</w:t>
      </w:r>
      <w:r w:rsidRPr="000977F7">
        <w:rPr>
          <w:rFonts w:asciiTheme="majorHAnsi" w:hAnsiTheme="majorHAnsi"/>
          <w:spacing w:val="-1"/>
          <w:sz w:val="20"/>
          <w:szCs w:val="20"/>
        </w:rPr>
        <w:t xml:space="preserve"> </w:t>
      </w:r>
      <w:r w:rsidRPr="000977F7">
        <w:rPr>
          <w:rFonts w:asciiTheme="majorHAnsi" w:hAnsiTheme="majorHAnsi"/>
          <w:sz w:val="20"/>
          <w:szCs w:val="20"/>
        </w:rPr>
        <w:t>об’єм</w:t>
      </w:r>
      <w:r w:rsidRPr="000977F7">
        <w:rPr>
          <w:rFonts w:asciiTheme="majorHAnsi" w:hAnsiTheme="majorHAnsi"/>
          <w:spacing w:val="-1"/>
          <w:sz w:val="20"/>
          <w:szCs w:val="20"/>
        </w:rPr>
        <w:t xml:space="preserve"> </w:t>
      </w:r>
      <w:r w:rsidRPr="000977F7">
        <w:rPr>
          <w:rFonts w:asciiTheme="majorHAnsi" w:hAnsiTheme="majorHAnsi"/>
          <w:sz w:val="20"/>
          <w:szCs w:val="20"/>
        </w:rPr>
        <w:t>тощо),</w:t>
      </w:r>
      <w:r w:rsidRPr="000977F7">
        <w:rPr>
          <w:rFonts w:asciiTheme="majorHAnsi" w:hAnsiTheme="majorHAnsi"/>
          <w:spacing w:val="-1"/>
          <w:sz w:val="20"/>
          <w:szCs w:val="20"/>
        </w:rPr>
        <w:t xml:space="preserve"> </w:t>
      </w:r>
      <w:r w:rsidRPr="000977F7">
        <w:rPr>
          <w:rFonts w:asciiTheme="majorHAnsi" w:hAnsiTheme="majorHAnsi"/>
          <w:sz w:val="20"/>
          <w:szCs w:val="20"/>
        </w:rPr>
        <w:t>умови</w:t>
      </w:r>
      <w:r w:rsidRPr="000977F7">
        <w:rPr>
          <w:rFonts w:asciiTheme="majorHAnsi" w:hAnsiTheme="majorHAnsi"/>
          <w:spacing w:val="-3"/>
          <w:sz w:val="20"/>
          <w:szCs w:val="20"/>
        </w:rPr>
        <w:t xml:space="preserve"> </w:t>
      </w:r>
      <w:r w:rsidRPr="000977F7">
        <w:rPr>
          <w:rFonts w:asciiTheme="majorHAnsi" w:hAnsiTheme="majorHAnsi"/>
          <w:sz w:val="20"/>
          <w:szCs w:val="20"/>
        </w:rPr>
        <w:t>використання;</w:t>
      </w:r>
    </w:p>
    <w:p w14:paraId="68EF3BBC" w14:textId="77777777" w:rsidR="0097612F" w:rsidRPr="000977F7" w:rsidRDefault="0097612F" w:rsidP="00FD39A4">
      <w:pPr>
        <w:pStyle w:val="ac"/>
        <w:widowControl w:val="0"/>
        <w:numPr>
          <w:ilvl w:val="0"/>
          <w:numId w:val="99"/>
        </w:numPr>
        <w:tabs>
          <w:tab w:val="left" w:pos="284"/>
          <w:tab w:val="left" w:pos="56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відомості про вміст шкідливих для здоров'я речовин,</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встановлені</w:t>
      </w:r>
      <w:r w:rsidRPr="000977F7">
        <w:rPr>
          <w:rFonts w:asciiTheme="majorHAnsi" w:hAnsiTheme="majorHAnsi"/>
          <w:spacing w:val="50"/>
          <w:sz w:val="20"/>
          <w:szCs w:val="20"/>
        </w:rPr>
        <w:t xml:space="preserve"> </w:t>
      </w:r>
      <w:r w:rsidRPr="000977F7">
        <w:rPr>
          <w:rFonts w:asciiTheme="majorHAnsi" w:hAnsiTheme="majorHAnsi"/>
          <w:sz w:val="20"/>
          <w:szCs w:val="20"/>
        </w:rPr>
        <w:t>нормативно-правовими актами,</w:t>
      </w:r>
      <w:r w:rsidRPr="000977F7">
        <w:rPr>
          <w:rFonts w:asciiTheme="majorHAnsi" w:hAnsiTheme="majorHAnsi"/>
          <w:spacing w:val="1"/>
          <w:sz w:val="20"/>
          <w:szCs w:val="20"/>
        </w:rPr>
        <w:t xml:space="preserve"> </w:t>
      </w:r>
      <w:r w:rsidRPr="000977F7">
        <w:rPr>
          <w:rFonts w:asciiTheme="majorHAnsi" w:hAnsiTheme="majorHAnsi"/>
          <w:sz w:val="20"/>
          <w:szCs w:val="20"/>
        </w:rPr>
        <w:t>та застереження щодо застосування окремої продукції, якщо такі застереження встановлені нормативно-правовими</w:t>
      </w:r>
      <w:r w:rsidRPr="000977F7">
        <w:rPr>
          <w:rFonts w:asciiTheme="majorHAnsi" w:hAnsiTheme="majorHAnsi"/>
          <w:spacing w:val="-2"/>
          <w:sz w:val="20"/>
          <w:szCs w:val="20"/>
        </w:rPr>
        <w:t xml:space="preserve"> </w:t>
      </w:r>
      <w:r w:rsidRPr="000977F7">
        <w:rPr>
          <w:rFonts w:asciiTheme="majorHAnsi" w:hAnsiTheme="majorHAnsi"/>
          <w:sz w:val="20"/>
          <w:szCs w:val="20"/>
        </w:rPr>
        <w:t>актами;</w:t>
      </w:r>
    </w:p>
    <w:p w14:paraId="3CD38505" w14:textId="77777777" w:rsidR="0097612F" w:rsidRPr="000977F7" w:rsidRDefault="0097612F" w:rsidP="00FD39A4">
      <w:pPr>
        <w:pStyle w:val="ac"/>
        <w:widowControl w:val="0"/>
        <w:numPr>
          <w:ilvl w:val="0"/>
          <w:numId w:val="99"/>
        </w:numPr>
        <w:tabs>
          <w:tab w:val="left" w:pos="284"/>
          <w:tab w:val="left" w:pos="60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позначку про наявність у складі продукції генетично модифікованих</w:t>
      </w:r>
      <w:r w:rsidRPr="000977F7">
        <w:rPr>
          <w:rFonts w:asciiTheme="majorHAnsi" w:hAnsiTheme="majorHAnsi"/>
          <w:spacing w:val="-1"/>
          <w:sz w:val="20"/>
          <w:szCs w:val="20"/>
        </w:rPr>
        <w:t xml:space="preserve"> </w:t>
      </w:r>
      <w:r w:rsidRPr="000977F7">
        <w:rPr>
          <w:rFonts w:asciiTheme="majorHAnsi" w:hAnsiTheme="majorHAnsi"/>
          <w:sz w:val="20"/>
          <w:szCs w:val="20"/>
        </w:rPr>
        <w:t>організмів;</w:t>
      </w:r>
    </w:p>
    <w:p w14:paraId="19A2F5F9" w14:textId="77777777" w:rsidR="0097612F" w:rsidRPr="000977F7" w:rsidRDefault="0097612F" w:rsidP="00FD39A4">
      <w:pPr>
        <w:pStyle w:val="ac"/>
        <w:widowControl w:val="0"/>
        <w:numPr>
          <w:ilvl w:val="0"/>
          <w:numId w:val="99"/>
        </w:numPr>
        <w:tabs>
          <w:tab w:val="left" w:pos="284"/>
          <w:tab w:val="left" w:pos="54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 xml:space="preserve">дані про ціну (тариф), умови та правила </w:t>
      </w:r>
      <w:r w:rsidRPr="000977F7">
        <w:rPr>
          <w:rFonts w:asciiTheme="majorHAnsi" w:hAnsiTheme="majorHAnsi"/>
          <w:sz w:val="20"/>
          <w:szCs w:val="20"/>
        </w:rPr>
        <w:lastRenderedPageBreak/>
        <w:t>придбання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z w:val="20"/>
          <w:szCs w:val="20"/>
          <w:shd w:val="clear" w:color="auto" w:fill="FFFFFF"/>
        </w:rPr>
        <w:t xml:space="preserve"> </w:t>
      </w:r>
    </w:p>
    <w:p w14:paraId="1BC30D2D" w14:textId="77777777" w:rsidR="0097612F" w:rsidRPr="000977F7" w:rsidRDefault="0097612F" w:rsidP="000977F7">
      <w:pPr>
        <w:pStyle w:val="ac"/>
        <w:tabs>
          <w:tab w:val="left" w:pos="284"/>
          <w:tab w:val="left" w:pos="543"/>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6</w:t>
      </w:r>
      <w:r w:rsidRPr="000977F7">
        <w:rPr>
          <w:rFonts w:asciiTheme="majorHAnsi" w:hAnsiTheme="majorHAnsi"/>
          <w:sz w:val="20"/>
          <w:szCs w:val="20"/>
          <w:vertAlign w:val="superscript"/>
        </w:rPr>
        <w:t>1</w:t>
      </w:r>
      <w:r w:rsidRPr="000977F7">
        <w:rPr>
          <w:rFonts w:asciiTheme="majorHAnsi" w:hAnsiTheme="majorHAnsi"/>
          <w:sz w:val="20"/>
          <w:szCs w:val="20"/>
        </w:rPr>
        <w:t>) виробник (продавець) у разі виявлення недостовірної інформації про продукцію (якщо вона не шкодить життю, здоров'ю або майну споживача) протягом</w:t>
      </w:r>
      <w:r w:rsidRPr="000977F7">
        <w:rPr>
          <w:rFonts w:asciiTheme="majorHAnsi" w:hAnsiTheme="majorHAnsi"/>
          <w:spacing w:val="-47"/>
          <w:sz w:val="20"/>
          <w:szCs w:val="20"/>
        </w:rPr>
        <w:t xml:space="preserve"> </w:t>
      </w:r>
      <w:r w:rsidRPr="000977F7">
        <w:rPr>
          <w:rFonts w:asciiTheme="majorHAnsi" w:hAnsiTheme="majorHAnsi"/>
          <w:sz w:val="20"/>
          <w:szCs w:val="20"/>
        </w:rPr>
        <w:t>тижня вилучає цю продукцію з продажу та приводить</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інформацію</w:t>
      </w:r>
      <w:r w:rsidRPr="000977F7">
        <w:rPr>
          <w:rFonts w:asciiTheme="majorHAnsi" w:hAnsiTheme="majorHAnsi"/>
          <w:spacing w:val="-2"/>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неї</w:t>
      </w:r>
      <w:r w:rsidRPr="000977F7">
        <w:rPr>
          <w:rFonts w:asciiTheme="majorHAnsi" w:hAnsiTheme="majorHAnsi"/>
          <w:spacing w:val="-1"/>
          <w:sz w:val="20"/>
          <w:szCs w:val="20"/>
        </w:rPr>
        <w:t xml:space="preserve"> </w:t>
      </w:r>
      <w:r w:rsidRPr="000977F7">
        <w:rPr>
          <w:rFonts w:asciiTheme="majorHAnsi" w:hAnsiTheme="majorHAnsi"/>
          <w:sz w:val="20"/>
          <w:szCs w:val="20"/>
          <w:shd w:val="clear" w:color="auto" w:fill="FFFFFF"/>
        </w:rPr>
        <w:t>у відповідність, якщо законом чи відповідним технічним регламентом не встановлено інший порядок дій виробника (продавця) у таких випадках;</w:t>
      </w:r>
    </w:p>
    <w:p w14:paraId="24DD4846" w14:textId="77777777" w:rsidR="0097612F" w:rsidRPr="000977F7" w:rsidRDefault="0097612F" w:rsidP="00FD39A4">
      <w:pPr>
        <w:pStyle w:val="ac"/>
        <w:widowControl w:val="0"/>
        <w:numPr>
          <w:ilvl w:val="0"/>
          <w:numId w:val="99"/>
        </w:numPr>
        <w:tabs>
          <w:tab w:val="left" w:pos="284"/>
          <w:tab w:val="left" w:pos="53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дату</w:t>
      </w:r>
      <w:r w:rsidRPr="000977F7">
        <w:rPr>
          <w:rFonts w:asciiTheme="majorHAnsi" w:hAnsiTheme="majorHAnsi"/>
          <w:spacing w:val="-8"/>
          <w:sz w:val="20"/>
          <w:szCs w:val="20"/>
        </w:rPr>
        <w:t xml:space="preserve"> </w:t>
      </w:r>
      <w:r w:rsidRPr="000977F7">
        <w:rPr>
          <w:rFonts w:asciiTheme="majorHAnsi" w:hAnsiTheme="majorHAnsi"/>
          <w:sz w:val="20"/>
          <w:szCs w:val="20"/>
        </w:rPr>
        <w:t>виготовлення;</w:t>
      </w:r>
    </w:p>
    <w:p w14:paraId="582A5F7F" w14:textId="77777777" w:rsidR="0097612F" w:rsidRPr="000977F7" w:rsidRDefault="0097612F" w:rsidP="00FD39A4">
      <w:pPr>
        <w:pStyle w:val="ac"/>
        <w:widowControl w:val="0"/>
        <w:numPr>
          <w:ilvl w:val="0"/>
          <w:numId w:val="99"/>
        </w:numPr>
        <w:tabs>
          <w:tab w:val="left" w:pos="284"/>
          <w:tab w:val="left" w:pos="58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відомості</w:t>
      </w:r>
      <w:r w:rsidRPr="000977F7">
        <w:rPr>
          <w:rFonts w:asciiTheme="majorHAnsi" w:hAnsiTheme="majorHAnsi"/>
          <w:spacing w:val="-4"/>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умови</w:t>
      </w:r>
      <w:r w:rsidRPr="000977F7">
        <w:rPr>
          <w:rFonts w:asciiTheme="majorHAnsi" w:hAnsiTheme="majorHAnsi"/>
          <w:spacing w:val="-5"/>
          <w:sz w:val="20"/>
          <w:szCs w:val="20"/>
        </w:rPr>
        <w:t xml:space="preserve"> </w:t>
      </w:r>
      <w:r w:rsidRPr="000977F7">
        <w:rPr>
          <w:rFonts w:asciiTheme="majorHAnsi" w:hAnsiTheme="majorHAnsi"/>
          <w:sz w:val="20"/>
          <w:szCs w:val="20"/>
        </w:rPr>
        <w:t>зберігання;</w:t>
      </w:r>
    </w:p>
    <w:p w14:paraId="6C9E8292" w14:textId="77777777" w:rsidR="0097612F" w:rsidRPr="000977F7" w:rsidRDefault="0097612F" w:rsidP="00FD39A4">
      <w:pPr>
        <w:pStyle w:val="ac"/>
        <w:widowControl w:val="0"/>
        <w:numPr>
          <w:ilvl w:val="0"/>
          <w:numId w:val="99"/>
        </w:numPr>
        <w:tabs>
          <w:tab w:val="left" w:pos="284"/>
          <w:tab w:val="left" w:pos="58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гарантійні</w:t>
      </w:r>
      <w:r w:rsidRPr="000977F7">
        <w:rPr>
          <w:rFonts w:asciiTheme="majorHAnsi" w:hAnsiTheme="majorHAnsi"/>
          <w:spacing w:val="-8"/>
          <w:sz w:val="20"/>
          <w:szCs w:val="20"/>
        </w:rPr>
        <w:t xml:space="preserve"> </w:t>
      </w:r>
      <w:r w:rsidRPr="000977F7">
        <w:rPr>
          <w:rFonts w:asciiTheme="majorHAnsi" w:hAnsiTheme="majorHAnsi"/>
          <w:sz w:val="20"/>
          <w:szCs w:val="20"/>
        </w:rPr>
        <w:t>зобов'язання</w:t>
      </w:r>
      <w:r w:rsidRPr="000977F7">
        <w:rPr>
          <w:rFonts w:asciiTheme="majorHAnsi" w:hAnsiTheme="majorHAnsi"/>
          <w:spacing w:val="-8"/>
          <w:sz w:val="20"/>
          <w:szCs w:val="20"/>
        </w:rPr>
        <w:t xml:space="preserve"> </w:t>
      </w:r>
      <w:r w:rsidRPr="000977F7">
        <w:rPr>
          <w:rFonts w:asciiTheme="majorHAnsi" w:hAnsiTheme="majorHAnsi"/>
          <w:sz w:val="20"/>
          <w:szCs w:val="20"/>
        </w:rPr>
        <w:t>виробника</w:t>
      </w:r>
      <w:r w:rsidRPr="000977F7">
        <w:rPr>
          <w:rFonts w:asciiTheme="majorHAnsi" w:hAnsiTheme="majorHAnsi"/>
          <w:spacing w:val="-7"/>
          <w:sz w:val="20"/>
          <w:szCs w:val="20"/>
        </w:rPr>
        <w:t xml:space="preserve"> </w:t>
      </w:r>
      <w:r w:rsidRPr="000977F7">
        <w:rPr>
          <w:rFonts w:asciiTheme="majorHAnsi" w:hAnsiTheme="majorHAnsi"/>
          <w:sz w:val="20"/>
          <w:szCs w:val="20"/>
        </w:rPr>
        <w:t>(виконавця);</w:t>
      </w:r>
    </w:p>
    <w:p w14:paraId="18040969" w14:textId="77777777" w:rsidR="0097612F" w:rsidRPr="000977F7" w:rsidRDefault="0097612F" w:rsidP="00FD39A4">
      <w:pPr>
        <w:pStyle w:val="ac"/>
        <w:widowControl w:val="0"/>
        <w:numPr>
          <w:ilvl w:val="0"/>
          <w:numId w:val="99"/>
        </w:numPr>
        <w:tabs>
          <w:tab w:val="left" w:pos="284"/>
          <w:tab w:val="left" w:pos="69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правила</w:t>
      </w:r>
      <w:r w:rsidRPr="000977F7">
        <w:rPr>
          <w:rFonts w:asciiTheme="majorHAnsi" w:hAnsiTheme="majorHAnsi"/>
          <w:spacing w:val="6"/>
          <w:sz w:val="20"/>
          <w:szCs w:val="20"/>
        </w:rPr>
        <w:t xml:space="preserve"> </w:t>
      </w:r>
      <w:r w:rsidRPr="000977F7">
        <w:rPr>
          <w:rFonts w:asciiTheme="majorHAnsi" w:hAnsiTheme="majorHAnsi"/>
          <w:sz w:val="20"/>
          <w:szCs w:val="20"/>
        </w:rPr>
        <w:t>та</w:t>
      </w:r>
      <w:r w:rsidRPr="000977F7">
        <w:rPr>
          <w:rFonts w:asciiTheme="majorHAnsi" w:hAnsiTheme="majorHAnsi"/>
          <w:spacing w:val="9"/>
          <w:sz w:val="20"/>
          <w:szCs w:val="20"/>
        </w:rPr>
        <w:t xml:space="preserve"> </w:t>
      </w:r>
      <w:r w:rsidRPr="000977F7">
        <w:rPr>
          <w:rFonts w:asciiTheme="majorHAnsi" w:hAnsiTheme="majorHAnsi"/>
          <w:sz w:val="20"/>
          <w:szCs w:val="20"/>
        </w:rPr>
        <w:t>умови</w:t>
      </w:r>
      <w:r w:rsidRPr="000977F7">
        <w:rPr>
          <w:rFonts w:asciiTheme="majorHAnsi" w:hAnsiTheme="majorHAnsi"/>
          <w:spacing w:val="4"/>
          <w:sz w:val="20"/>
          <w:szCs w:val="20"/>
        </w:rPr>
        <w:t xml:space="preserve"> </w:t>
      </w:r>
      <w:r w:rsidRPr="000977F7">
        <w:rPr>
          <w:rFonts w:asciiTheme="majorHAnsi" w:hAnsiTheme="majorHAnsi"/>
          <w:sz w:val="20"/>
          <w:szCs w:val="20"/>
        </w:rPr>
        <w:t>ефективного</w:t>
      </w:r>
      <w:r w:rsidRPr="000977F7">
        <w:rPr>
          <w:rFonts w:asciiTheme="majorHAnsi" w:hAnsiTheme="majorHAnsi"/>
          <w:spacing w:val="7"/>
          <w:sz w:val="20"/>
          <w:szCs w:val="20"/>
        </w:rPr>
        <w:t xml:space="preserve"> </w:t>
      </w:r>
      <w:r w:rsidRPr="000977F7">
        <w:rPr>
          <w:rFonts w:asciiTheme="majorHAnsi" w:hAnsiTheme="majorHAnsi"/>
          <w:sz w:val="20"/>
          <w:szCs w:val="20"/>
        </w:rPr>
        <w:t>і</w:t>
      </w:r>
      <w:r w:rsidRPr="000977F7">
        <w:rPr>
          <w:rFonts w:asciiTheme="majorHAnsi" w:hAnsiTheme="majorHAnsi"/>
          <w:spacing w:val="5"/>
          <w:sz w:val="20"/>
          <w:szCs w:val="20"/>
        </w:rPr>
        <w:t xml:space="preserve"> </w:t>
      </w:r>
      <w:r w:rsidRPr="000977F7">
        <w:rPr>
          <w:rFonts w:asciiTheme="majorHAnsi" w:hAnsiTheme="majorHAnsi"/>
          <w:sz w:val="20"/>
          <w:szCs w:val="20"/>
        </w:rPr>
        <w:t>безпечного</w:t>
      </w:r>
      <w:r w:rsidRPr="000977F7">
        <w:rPr>
          <w:rFonts w:asciiTheme="majorHAnsi" w:hAnsiTheme="majorHAnsi"/>
          <w:spacing w:val="7"/>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6DE9CA0C" w14:textId="77777777" w:rsidR="0097612F" w:rsidRPr="000977F7" w:rsidRDefault="0097612F" w:rsidP="00FD39A4">
      <w:pPr>
        <w:pStyle w:val="ac"/>
        <w:widowControl w:val="0"/>
        <w:numPr>
          <w:ilvl w:val="0"/>
          <w:numId w:val="99"/>
        </w:numPr>
        <w:tabs>
          <w:tab w:val="left" w:pos="284"/>
          <w:tab w:val="left" w:pos="69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строк придатності (строк служби) товару (наслідків</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r w:rsidRPr="000977F7">
        <w:rPr>
          <w:rFonts w:asciiTheme="majorHAnsi" w:hAnsiTheme="majorHAnsi"/>
          <w:spacing w:val="1"/>
          <w:sz w:val="20"/>
          <w:szCs w:val="20"/>
        </w:rPr>
        <w:t xml:space="preserve"> </w:t>
      </w:r>
      <w:r w:rsidRPr="000977F7">
        <w:rPr>
          <w:rFonts w:asciiTheme="majorHAnsi" w:hAnsiTheme="majorHAnsi"/>
          <w:sz w:val="20"/>
          <w:szCs w:val="20"/>
        </w:rPr>
        <w:t>відомості</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необхідні</w:t>
      </w:r>
      <w:r w:rsidRPr="000977F7">
        <w:rPr>
          <w:rFonts w:asciiTheme="majorHAnsi" w:hAnsiTheme="majorHAnsi"/>
          <w:spacing w:val="1"/>
          <w:sz w:val="20"/>
          <w:szCs w:val="20"/>
        </w:rPr>
        <w:t xml:space="preserve"> </w:t>
      </w:r>
      <w:r w:rsidRPr="000977F7">
        <w:rPr>
          <w:rFonts w:asciiTheme="majorHAnsi" w:hAnsiTheme="majorHAnsi"/>
          <w:sz w:val="20"/>
          <w:szCs w:val="20"/>
        </w:rPr>
        <w:t>дії</w:t>
      </w:r>
      <w:r w:rsidRPr="000977F7">
        <w:rPr>
          <w:rFonts w:asciiTheme="majorHAnsi" w:hAnsiTheme="majorHAnsi"/>
          <w:spacing w:val="1"/>
          <w:sz w:val="20"/>
          <w:szCs w:val="20"/>
        </w:rPr>
        <w:t xml:space="preserve"> </w:t>
      </w:r>
      <w:r w:rsidRPr="000977F7">
        <w:rPr>
          <w:rFonts w:asciiTheme="majorHAnsi" w:hAnsiTheme="majorHAnsi"/>
          <w:sz w:val="20"/>
          <w:szCs w:val="20"/>
        </w:rPr>
        <w:t>споживача</w:t>
      </w:r>
      <w:r w:rsidRPr="000977F7">
        <w:rPr>
          <w:rFonts w:asciiTheme="majorHAnsi" w:hAnsiTheme="majorHAnsi"/>
          <w:spacing w:val="1"/>
          <w:sz w:val="20"/>
          <w:szCs w:val="20"/>
        </w:rPr>
        <w:t xml:space="preserve"> </w:t>
      </w:r>
      <w:r w:rsidRPr="000977F7">
        <w:rPr>
          <w:rFonts w:asciiTheme="majorHAnsi" w:hAnsiTheme="majorHAnsi"/>
          <w:sz w:val="20"/>
          <w:szCs w:val="20"/>
        </w:rPr>
        <w:t>після їх закінчення, а також про можливі наслідки в</w:t>
      </w:r>
      <w:r w:rsidRPr="000977F7">
        <w:rPr>
          <w:rFonts w:asciiTheme="majorHAnsi" w:hAnsiTheme="majorHAnsi"/>
          <w:spacing w:val="1"/>
          <w:sz w:val="20"/>
          <w:szCs w:val="20"/>
        </w:rPr>
        <w:t xml:space="preserve"> </w:t>
      </w:r>
      <w:r w:rsidRPr="000977F7">
        <w:rPr>
          <w:rFonts w:asciiTheme="majorHAnsi" w:hAnsiTheme="majorHAnsi"/>
          <w:sz w:val="20"/>
          <w:szCs w:val="20"/>
        </w:rPr>
        <w:t>разі</w:t>
      </w:r>
      <w:r w:rsidRPr="000977F7">
        <w:rPr>
          <w:rFonts w:asciiTheme="majorHAnsi" w:hAnsiTheme="majorHAnsi"/>
          <w:spacing w:val="-2"/>
          <w:sz w:val="20"/>
          <w:szCs w:val="20"/>
        </w:rPr>
        <w:t xml:space="preserve"> </w:t>
      </w:r>
      <w:r w:rsidRPr="000977F7">
        <w:rPr>
          <w:rFonts w:asciiTheme="majorHAnsi" w:hAnsiTheme="majorHAnsi"/>
          <w:sz w:val="20"/>
          <w:szCs w:val="20"/>
        </w:rPr>
        <w:t>невиконання</w:t>
      </w:r>
      <w:r w:rsidRPr="000977F7">
        <w:rPr>
          <w:rFonts w:asciiTheme="majorHAnsi" w:hAnsiTheme="majorHAnsi"/>
          <w:spacing w:val="2"/>
          <w:sz w:val="20"/>
          <w:szCs w:val="20"/>
        </w:rPr>
        <w:t xml:space="preserve"> </w:t>
      </w:r>
      <w:r w:rsidRPr="000977F7">
        <w:rPr>
          <w:rFonts w:asciiTheme="majorHAnsi" w:hAnsiTheme="majorHAnsi"/>
          <w:sz w:val="20"/>
          <w:szCs w:val="20"/>
        </w:rPr>
        <w:t>цих</w:t>
      </w:r>
      <w:r w:rsidRPr="000977F7">
        <w:rPr>
          <w:rFonts w:asciiTheme="majorHAnsi" w:hAnsiTheme="majorHAnsi"/>
          <w:spacing w:val="-1"/>
          <w:sz w:val="20"/>
          <w:szCs w:val="20"/>
        </w:rPr>
        <w:t xml:space="preserve"> </w:t>
      </w:r>
      <w:r w:rsidRPr="000977F7">
        <w:rPr>
          <w:rFonts w:asciiTheme="majorHAnsi" w:hAnsiTheme="majorHAnsi"/>
          <w:sz w:val="20"/>
          <w:szCs w:val="20"/>
        </w:rPr>
        <w:t>дій;</w:t>
      </w:r>
      <w:r w:rsidRPr="000977F7">
        <w:rPr>
          <w:rFonts w:asciiTheme="majorHAnsi" w:hAnsiTheme="majorHAnsi"/>
          <w:sz w:val="20"/>
          <w:szCs w:val="20"/>
          <w:shd w:val="clear" w:color="auto" w:fill="FFFFFF"/>
        </w:rPr>
        <w:t xml:space="preserve"> </w:t>
      </w:r>
    </w:p>
    <w:p w14:paraId="3CF92472" w14:textId="77777777" w:rsidR="0097612F" w:rsidRPr="000977F7" w:rsidRDefault="0097612F" w:rsidP="00FD39A4">
      <w:pPr>
        <w:pStyle w:val="ac"/>
        <w:widowControl w:val="0"/>
        <w:numPr>
          <w:ilvl w:val="0"/>
          <w:numId w:val="99"/>
        </w:numPr>
        <w:tabs>
          <w:tab w:val="left" w:pos="284"/>
          <w:tab w:val="left" w:pos="75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найменування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місцезнаходження</w:t>
      </w:r>
      <w:r w:rsidRPr="000977F7">
        <w:rPr>
          <w:rFonts w:asciiTheme="majorHAnsi" w:hAnsiTheme="majorHAnsi"/>
          <w:spacing w:val="1"/>
          <w:sz w:val="20"/>
          <w:szCs w:val="20"/>
        </w:rPr>
        <w:t xml:space="preserve"> </w:t>
      </w:r>
      <w:r w:rsidRPr="000977F7">
        <w:rPr>
          <w:rFonts w:asciiTheme="majorHAnsi" w:hAnsiTheme="majorHAnsi"/>
          <w:sz w:val="20"/>
          <w:szCs w:val="20"/>
        </w:rPr>
        <w:t>виробника</w:t>
      </w:r>
      <w:r w:rsidRPr="000977F7">
        <w:rPr>
          <w:rFonts w:asciiTheme="majorHAnsi" w:hAnsiTheme="majorHAnsi"/>
          <w:spacing w:val="1"/>
          <w:sz w:val="20"/>
          <w:szCs w:val="20"/>
        </w:rPr>
        <w:t xml:space="preserve"> </w:t>
      </w:r>
      <w:r w:rsidRPr="000977F7">
        <w:rPr>
          <w:rFonts w:asciiTheme="majorHAnsi" w:hAnsiTheme="majorHAnsi"/>
          <w:sz w:val="20"/>
          <w:szCs w:val="20"/>
        </w:rPr>
        <w:t>(виконавця,</w:t>
      </w:r>
      <w:r w:rsidRPr="000977F7">
        <w:rPr>
          <w:rFonts w:asciiTheme="majorHAnsi" w:hAnsiTheme="majorHAnsi"/>
          <w:spacing w:val="1"/>
          <w:sz w:val="20"/>
          <w:szCs w:val="20"/>
        </w:rPr>
        <w:t xml:space="preserve"> </w:t>
      </w:r>
      <w:r w:rsidRPr="000977F7">
        <w:rPr>
          <w:rFonts w:asciiTheme="majorHAnsi" w:hAnsiTheme="majorHAnsi"/>
          <w:sz w:val="20"/>
          <w:szCs w:val="20"/>
        </w:rPr>
        <w:t>продавця) і</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 яке здійснює</w:t>
      </w:r>
      <w:r w:rsidRPr="000977F7">
        <w:rPr>
          <w:rFonts w:asciiTheme="majorHAnsi" w:hAnsiTheme="majorHAnsi"/>
          <w:spacing w:val="1"/>
          <w:sz w:val="20"/>
          <w:szCs w:val="20"/>
        </w:rPr>
        <w:t xml:space="preserve"> </w:t>
      </w:r>
      <w:r w:rsidRPr="000977F7">
        <w:rPr>
          <w:rFonts w:asciiTheme="majorHAnsi" w:hAnsiTheme="majorHAnsi"/>
          <w:sz w:val="20"/>
          <w:szCs w:val="20"/>
        </w:rPr>
        <w:t>його функції щодо прийняття претензій від споживача, а також проводить ремонт і технічне обслуговування.</w:t>
      </w:r>
    </w:p>
    <w:p w14:paraId="3CF80D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Стосовно</w:t>
      </w:r>
      <w:r w:rsidRPr="000977F7">
        <w:rPr>
          <w:rFonts w:asciiTheme="majorHAnsi" w:hAnsiTheme="majorHAnsi"/>
          <w:spacing w:val="45"/>
          <w:sz w:val="20"/>
          <w:szCs w:val="20"/>
        </w:rPr>
        <w:t xml:space="preserve"> </w:t>
      </w:r>
      <w:r w:rsidRPr="000977F7">
        <w:rPr>
          <w:rFonts w:asciiTheme="majorHAnsi" w:hAnsiTheme="majorHAnsi"/>
          <w:sz w:val="20"/>
          <w:szCs w:val="20"/>
        </w:rPr>
        <w:t>продукції,</w:t>
      </w:r>
      <w:r w:rsidRPr="000977F7">
        <w:rPr>
          <w:rFonts w:asciiTheme="majorHAnsi" w:hAnsiTheme="majorHAnsi"/>
          <w:spacing w:val="43"/>
          <w:sz w:val="20"/>
          <w:szCs w:val="20"/>
        </w:rPr>
        <w:t xml:space="preserve"> </w:t>
      </w:r>
      <w:r w:rsidRPr="000977F7">
        <w:rPr>
          <w:rFonts w:asciiTheme="majorHAnsi" w:hAnsiTheme="majorHAnsi"/>
          <w:sz w:val="20"/>
          <w:szCs w:val="20"/>
        </w:rPr>
        <w:t>яка</w:t>
      </w:r>
      <w:r w:rsidRPr="000977F7">
        <w:rPr>
          <w:rFonts w:asciiTheme="majorHAnsi" w:hAnsiTheme="majorHAnsi"/>
          <w:spacing w:val="42"/>
          <w:sz w:val="20"/>
          <w:szCs w:val="20"/>
        </w:rPr>
        <w:t xml:space="preserve"> </w:t>
      </w:r>
      <w:r w:rsidRPr="000977F7">
        <w:rPr>
          <w:rFonts w:asciiTheme="majorHAnsi" w:hAnsiTheme="majorHAnsi"/>
          <w:sz w:val="20"/>
          <w:szCs w:val="20"/>
        </w:rPr>
        <w:t>за</w:t>
      </w:r>
      <w:r w:rsidRPr="000977F7">
        <w:rPr>
          <w:rFonts w:asciiTheme="majorHAnsi" w:hAnsiTheme="majorHAnsi"/>
          <w:spacing w:val="45"/>
          <w:sz w:val="20"/>
          <w:szCs w:val="20"/>
        </w:rPr>
        <w:t xml:space="preserve"> </w:t>
      </w:r>
      <w:r w:rsidRPr="000977F7">
        <w:rPr>
          <w:rFonts w:asciiTheme="majorHAnsi" w:hAnsiTheme="majorHAnsi"/>
          <w:sz w:val="20"/>
          <w:szCs w:val="20"/>
        </w:rPr>
        <w:t>певних</w:t>
      </w:r>
      <w:r w:rsidRPr="000977F7">
        <w:rPr>
          <w:rFonts w:asciiTheme="majorHAnsi" w:hAnsiTheme="majorHAnsi"/>
          <w:spacing w:val="43"/>
          <w:sz w:val="20"/>
          <w:szCs w:val="20"/>
        </w:rPr>
        <w:t xml:space="preserve"> </w:t>
      </w:r>
      <w:r w:rsidRPr="000977F7">
        <w:rPr>
          <w:rFonts w:asciiTheme="majorHAnsi" w:hAnsiTheme="majorHAnsi"/>
          <w:sz w:val="20"/>
          <w:szCs w:val="20"/>
        </w:rPr>
        <w:t>умов</w:t>
      </w:r>
      <w:r w:rsidRPr="000977F7">
        <w:rPr>
          <w:rFonts w:asciiTheme="majorHAnsi" w:hAnsiTheme="majorHAnsi"/>
          <w:spacing w:val="44"/>
          <w:sz w:val="20"/>
          <w:szCs w:val="20"/>
        </w:rPr>
        <w:t xml:space="preserve"> </w:t>
      </w:r>
      <w:r w:rsidRPr="000977F7">
        <w:rPr>
          <w:rFonts w:asciiTheme="majorHAnsi" w:hAnsiTheme="majorHAnsi"/>
          <w:sz w:val="20"/>
          <w:szCs w:val="20"/>
        </w:rPr>
        <w:t>може</w:t>
      </w:r>
      <w:r w:rsidRPr="000977F7">
        <w:rPr>
          <w:rFonts w:asciiTheme="majorHAnsi" w:hAnsiTheme="majorHAnsi"/>
          <w:spacing w:val="43"/>
          <w:sz w:val="20"/>
          <w:szCs w:val="20"/>
        </w:rPr>
        <w:t xml:space="preserve"> </w:t>
      </w:r>
      <w:r w:rsidRPr="000977F7">
        <w:rPr>
          <w:rFonts w:asciiTheme="majorHAnsi" w:hAnsiTheme="majorHAnsi"/>
          <w:sz w:val="20"/>
          <w:szCs w:val="20"/>
        </w:rPr>
        <w:t>бути</w:t>
      </w:r>
      <w:r w:rsidRPr="000977F7">
        <w:rPr>
          <w:rFonts w:asciiTheme="majorHAnsi" w:hAnsiTheme="majorHAnsi"/>
          <w:spacing w:val="-47"/>
          <w:sz w:val="20"/>
          <w:szCs w:val="20"/>
        </w:rPr>
        <w:t xml:space="preserve"> </w:t>
      </w:r>
      <w:r w:rsidRPr="000977F7">
        <w:rPr>
          <w:rFonts w:asciiTheme="majorHAnsi" w:hAnsiTheme="majorHAnsi"/>
          <w:sz w:val="20"/>
          <w:szCs w:val="20"/>
        </w:rPr>
        <w:t>небезпечною</w:t>
      </w:r>
      <w:r w:rsidRPr="000977F7">
        <w:rPr>
          <w:rFonts w:asciiTheme="majorHAnsi" w:hAnsiTheme="majorHAnsi"/>
          <w:spacing w:val="33"/>
          <w:sz w:val="20"/>
          <w:szCs w:val="20"/>
        </w:rPr>
        <w:t xml:space="preserve"> </w:t>
      </w:r>
      <w:r w:rsidRPr="000977F7">
        <w:rPr>
          <w:rFonts w:asciiTheme="majorHAnsi" w:hAnsiTheme="majorHAnsi"/>
          <w:sz w:val="20"/>
          <w:szCs w:val="20"/>
        </w:rPr>
        <w:t>для</w:t>
      </w:r>
      <w:r w:rsidRPr="000977F7">
        <w:rPr>
          <w:rFonts w:asciiTheme="majorHAnsi" w:hAnsiTheme="majorHAnsi"/>
          <w:spacing w:val="34"/>
          <w:sz w:val="20"/>
          <w:szCs w:val="20"/>
        </w:rPr>
        <w:t xml:space="preserve"> </w:t>
      </w:r>
      <w:r w:rsidRPr="000977F7">
        <w:rPr>
          <w:rFonts w:asciiTheme="majorHAnsi" w:hAnsiTheme="majorHAnsi"/>
          <w:sz w:val="20"/>
          <w:szCs w:val="20"/>
        </w:rPr>
        <w:t>життя,</w:t>
      </w:r>
      <w:r w:rsidRPr="000977F7">
        <w:rPr>
          <w:rFonts w:asciiTheme="majorHAnsi" w:hAnsiTheme="majorHAnsi"/>
          <w:spacing w:val="34"/>
          <w:sz w:val="20"/>
          <w:szCs w:val="20"/>
        </w:rPr>
        <w:t xml:space="preserve"> </w:t>
      </w:r>
      <w:r w:rsidRPr="000977F7">
        <w:rPr>
          <w:rFonts w:asciiTheme="majorHAnsi" w:hAnsiTheme="majorHAnsi"/>
          <w:sz w:val="20"/>
          <w:szCs w:val="20"/>
        </w:rPr>
        <w:t>здоров'я</w:t>
      </w:r>
      <w:r w:rsidRPr="000977F7">
        <w:rPr>
          <w:rFonts w:asciiTheme="majorHAnsi" w:hAnsiTheme="majorHAnsi"/>
          <w:spacing w:val="30"/>
          <w:sz w:val="20"/>
          <w:szCs w:val="20"/>
        </w:rPr>
        <w:t xml:space="preserve"> </w:t>
      </w:r>
      <w:r w:rsidRPr="000977F7">
        <w:rPr>
          <w:rFonts w:asciiTheme="majorHAnsi" w:hAnsiTheme="majorHAnsi"/>
          <w:sz w:val="20"/>
          <w:szCs w:val="20"/>
        </w:rPr>
        <w:t>споживача</w:t>
      </w:r>
      <w:r w:rsidRPr="000977F7">
        <w:rPr>
          <w:rFonts w:asciiTheme="majorHAnsi" w:hAnsiTheme="majorHAnsi"/>
          <w:spacing w:val="35"/>
          <w:sz w:val="20"/>
          <w:szCs w:val="20"/>
        </w:rPr>
        <w:t xml:space="preserve"> </w:t>
      </w:r>
      <w:r w:rsidRPr="000977F7">
        <w:rPr>
          <w:rFonts w:asciiTheme="majorHAnsi" w:hAnsiTheme="majorHAnsi"/>
          <w:sz w:val="20"/>
          <w:szCs w:val="20"/>
        </w:rPr>
        <w:t>та</w:t>
      </w:r>
      <w:r w:rsidRPr="000977F7">
        <w:rPr>
          <w:rFonts w:asciiTheme="majorHAnsi" w:hAnsiTheme="majorHAnsi"/>
          <w:spacing w:val="35"/>
          <w:sz w:val="20"/>
          <w:szCs w:val="20"/>
        </w:rPr>
        <w:t xml:space="preserve"> </w:t>
      </w:r>
      <w:r w:rsidRPr="000977F7">
        <w:rPr>
          <w:rFonts w:asciiTheme="majorHAnsi" w:hAnsiTheme="majorHAnsi"/>
          <w:sz w:val="20"/>
          <w:szCs w:val="20"/>
        </w:rPr>
        <w:t>його</w:t>
      </w:r>
      <w:r w:rsidRPr="000977F7">
        <w:rPr>
          <w:rFonts w:asciiTheme="majorHAnsi" w:hAnsiTheme="majorHAnsi"/>
          <w:spacing w:val="-47"/>
          <w:sz w:val="20"/>
          <w:szCs w:val="20"/>
        </w:rPr>
        <w:t xml:space="preserve"> </w:t>
      </w:r>
      <w:r w:rsidRPr="000977F7">
        <w:rPr>
          <w:rFonts w:asciiTheme="majorHAnsi" w:hAnsiTheme="majorHAnsi"/>
          <w:sz w:val="20"/>
          <w:szCs w:val="20"/>
        </w:rPr>
        <w:t>майна,</w:t>
      </w:r>
      <w:r w:rsidRPr="000977F7">
        <w:rPr>
          <w:rFonts w:asciiTheme="majorHAnsi" w:hAnsiTheme="majorHAnsi"/>
          <w:spacing w:val="8"/>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9"/>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9"/>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8"/>
          <w:sz w:val="20"/>
          <w:szCs w:val="20"/>
        </w:rPr>
        <w:t xml:space="preserve"> </w:t>
      </w:r>
      <w:r w:rsidRPr="000977F7">
        <w:rPr>
          <w:rFonts w:asciiTheme="majorHAnsi" w:hAnsiTheme="majorHAnsi"/>
          <w:sz w:val="20"/>
          <w:szCs w:val="20"/>
        </w:rPr>
        <w:t>виробник (виконавець, продавець) зобов'язаний довести до</w:t>
      </w:r>
      <w:r w:rsidRPr="000977F7">
        <w:rPr>
          <w:rFonts w:asciiTheme="majorHAnsi" w:hAnsiTheme="majorHAnsi"/>
          <w:spacing w:val="-47"/>
          <w:sz w:val="20"/>
          <w:szCs w:val="20"/>
        </w:rPr>
        <w:t xml:space="preserve"> </w:t>
      </w:r>
      <w:r w:rsidRPr="000977F7">
        <w:rPr>
          <w:rFonts w:asciiTheme="majorHAnsi" w:hAnsiTheme="majorHAnsi"/>
          <w:sz w:val="20"/>
          <w:szCs w:val="20"/>
        </w:rPr>
        <w:t>відома</w:t>
      </w:r>
      <w:r w:rsidRPr="000977F7">
        <w:rPr>
          <w:rFonts w:asciiTheme="majorHAnsi" w:hAnsiTheme="majorHAnsi"/>
          <w:spacing w:val="35"/>
          <w:sz w:val="20"/>
          <w:szCs w:val="20"/>
        </w:rPr>
        <w:t xml:space="preserve"> </w:t>
      </w:r>
      <w:r w:rsidRPr="000977F7">
        <w:rPr>
          <w:rFonts w:asciiTheme="majorHAnsi" w:hAnsiTheme="majorHAnsi"/>
          <w:sz w:val="20"/>
          <w:szCs w:val="20"/>
        </w:rPr>
        <w:t>споживача</w:t>
      </w:r>
      <w:r w:rsidRPr="000977F7">
        <w:rPr>
          <w:rFonts w:asciiTheme="majorHAnsi" w:hAnsiTheme="majorHAnsi"/>
          <w:spacing w:val="35"/>
          <w:sz w:val="20"/>
          <w:szCs w:val="20"/>
        </w:rPr>
        <w:t xml:space="preserve"> </w:t>
      </w:r>
      <w:r w:rsidRPr="000977F7">
        <w:rPr>
          <w:rFonts w:asciiTheme="majorHAnsi" w:hAnsiTheme="majorHAnsi"/>
          <w:sz w:val="20"/>
          <w:szCs w:val="20"/>
        </w:rPr>
        <w:t>інформацію</w:t>
      </w:r>
      <w:r w:rsidRPr="000977F7">
        <w:rPr>
          <w:rFonts w:asciiTheme="majorHAnsi" w:hAnsiTheme="majorHAnsi"/>
          <w:spacing w:val="34"/>
          <w:sz w:val="20"/>
          <w:szCs w:val="20"/>
        </w:rPr>
        <w:t xml:space="preserve"> </w:t>
      </w:r>
      <w:r w:rsidRPr="000977F7">
        <w:rPr>
          <w:rFonts w:asciiTheme="majorHAnsi" w:hAnsiTheme="majorHAnsi"/>
          <w:sz w:val="20"/>
          <w:szCs w:val="20"/>
        </w:rPr>
        <w:t>про</w:t>
      </w:r>
      <w:r w:rsidRPr="000977F7">
        <w:rPr>
          <w:rFonts w:asciiTheme="majorHAnsi" w:hAnsiTheme="majorHAnsi"/>
          <w:spacing w:val="36"/>
          <w:sz w:val="20"/>
          <w:szCs w:val="20"/>
        </w:rPr>
        <w:t xml:space="preserve"> </w:t>
      </w:r>
      <w:r w:rsidRPr="000977F7">
        <w:rPr>
          <w:rFonts w:asciiTheme="majorHAnsi" w:hAnsiTheme="majorHAnsi"/>
          <w:sz w:val="20"/>
          <w:szCs w:val="20"/>
        </w:rPr>
        <w:t>таку</w:t>
      </w:r>
      <w:r w:rsidRPr="000977F7">
        <w:rPr>
          <w:rFonts w:asciiTheme="majorHAnsi" w:hAnsiTheme="majorHAnsi"/>
          <w:spacing w:val="33"/>
          <w:sz w:val="20"/>
          <w:szCs w:val="20"/>
        </w:rPr>
        <w:t xml:space="preserve"> </w:t>
      </w:r>
      <w:r w:rsidRPr="000977F7">
        <w:rPr>
          <w:rFonts w:asciiTheme="majorHAnsi" w:hAnsiTheme="majorHAnsi"/>
          <w:sz w:val="20"/>
          <w:szCs w:val="20"/>
        </w:rPr>
        <w:t>продукцію</w:t>
      </w:r>
      <w:r w:rsidRPr="000977F7">
        <w:rPr>
          <w:rFonts w:asciiTheme="majorHAnsi" w:hAnsiTheme="majorHAnsi"/>
          <w:spacing w:val="34"/>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можливі</w:t>
      </w:r>
      <w:r w:rsidRPr="000977F7">
        <w:rPr>
          <w:rFonts w:asciiTheme="majorHAnsi" w:hAnsiTheme="majorHAnsi"/>
          <w:spacing w:val="-3"/>
          <w:sz w:val="20"/>
          <w:szCs w:val="20"/>
        </w:rPr>
        <w:t xml:space="preserve"> </w:t>
      </w:r>
      <w:r w:rsidRPr="000977F7">
        <w:rPr>
          <w:rFonts w:asciiTheme="majorHAnsi" w:hAnsiTheme="majorHAnsi"/>
          <w:sz w:val="20"/>
          <w:szCs w:val="20"/>
        </w:rPr>
        <w:t>наслідки</w:t>
      </w:r>
      <w:r w:rsidRPr="000977F7">
        <w:rPr>
          <w:rFonts w:asciiTheme="majorHAnsi" w:hAnsiTheme="majorHAnsi"/>
          <w:spacing w:val="-2"/>
          <w:sz w:val="20"/>
          <w:szCs w:val="20"/>
        </w:rPr>
        <w:t xml:space="preserve"> </w:t>
      </w:r>
      <w:r w:rsidRPr="000977F7">
        <w:rPr>
          <w:rFonts w:asciiTheme="majorHAnsi" w:hAnsiTheme="majorHAnsi"/>
          <w:sz w:val="20"/>
          <w:szCs w:val="20"/>
        </w:rPr>
        <w:t>її</w:t>
      </w:r>
      <w:r w:rsidRPr="000977F7">
        <w:rPr>
          <w:rFonts w:asciiTheme="majorHAnsi" w:hAnsiTheme="majorHAnsi"/>
          <w:spacing w:val="-2"/>
          <w:sz w:val="20"/>
          <w:szCs w:val="20"/>
        </w:rPr>
        <w:t xml:space="preserve"> </w:t>
      </w:r>
      <w:r w:rsidRPr="000977F7">
        <w:rPr>
          <w:rFonts w:asciiTheme="majorHAnsi" w:hAnsiTheme="majorHAnsi"/>
          <w:sz w:val="20"/>
          <w:szCs w:val="20"/>
        </w:rPr>
        <w:t>споживання</w:t>
      </w:r>
      <w:r w:rsidRPr="000977F7">
        <w:rPr>
          <w:rFonts w:asciiTheme="majorHAnsi" w:hAnsiTheme="majorHAnsi"/>
          <w:spacing w:val="-3"/>
          <w:sz w:val="20"/>
          <w:szCs w:val="20"/>
        </w:rPr>
        <w:t xml:space="preserve"> </w:t>
      </w:r>
      <w:r w:rsidRPr="000977F7">
        <w:rPr>
          <w:rFonts w:asciiTheme="majorHAnsi" w:hAnsiTheme="majorHAnsi"/>
          <w:sz w:val="20"/>
          <w:szCs w:val="20"/>
        </w:rPr>
        <w:t>(використання).</w:t>
      </w:r>
    </w:p>
    <w:p w14:paraId="132894B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Нормативно-правовими актами, в тому числі технічними регламентами, можуть бути встановлені додаткові</w:t>
      </w:r>
      <w:r w:rsidRPr="000977F7">
        <w:rPr>
          <w:rFonts w:asciiTheme="majorHAnsi" w:hAnsiTheme="majorHAnsi"/>
          <w:spacing w:val="-2"/>
          <w:sz w:val="20"/>
          <w:szCs w:val="20"/>
        </w:rPr>
        <w:t xml:space="preserve"> </w:t>
      </w:r>
      <w:r w:rsidRPr="000977F7">
        <w:rPr>
          <w:rFonts w:asciiTheme="majorHAnsi" w:hAnsiTheme="majorHAnsi"/>
          <w:sz w:val="20"/>
          <w:szCs w:val="20"/>
        </w:rPr>
        <w:t>вимоги</w:t>
      </w:r>
      <w:r w:rsidRPr="000977F7">
        <w:rPr>
          <w:rFonts w:asciiTheme="majorHAnsi" w:hAnsiTheme="majorHAnsi"/>
          <w:spacing w:val="-2"/>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змісту</w:t>
      </w:r>
      <w:r w:rsidRPr="000977F7">
        <w:rPr>
          <w:rFonts w:asciiTheme="majorHAnsi" w:hAnsiTheme="majorHAnsi"/>
          <w:spacing w:val="-5"/>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1"/>
          <w:sz w:val="20"/>
          <w:szCs w:val="20"/>
        </w:rPr>
        <w:t xml:space="preserve"> </w:t>
      </w:r>
      <w:r w:rsidRPr="000977F7">
        <w:rPr>
          <w:rFonts w:asciiTheme="majorHAnsi" w:hAnsiTheme="majorHAnsi"/>
          <w:sz w:val="20"/>
          <w:szCs w:val="20"/>
        </w:rPr>
        <w:t>про продукцію.</w:t>
      </w:r>
    </w:p>
    <w:p w14:paraId="16DD590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Інформація споживачеві повинна надаватися згідно із</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законодавством про</w:t>
      </w:r>
      <w:r w:rsidRPr="000977F7">
        <w:rPr>
          <w:rFonts w:asciiTheme="majorHAnsi" w:hAnsiTheme="majorHAnsi"/>
          <w:spacing w:val="1"/>
          <w:sz w:val="20"/>
          <w:szCs w:val="20"/>
        </w:rPr>
        <w:t xml:space="preserve"> </w:t>
      </w:r>
      <w:r w:rsidRPr="000977F7">
        <w:rPr>
          <w:rFonts w:asciiTheme="majorHAnsi" w:hAnsiTheme="majorHAnsi"/>
          <w:sz w:val="20"/>
          <w:szCs w:val="20"/>
        </w:rPr>
        <w:t>мови.</w:t>
      </w:r>
    </w:p>
    <w:p w14:paraId="44ADAF72" w14:textId="77777777" w:rsidR="0097612F" w:rsidRPr="000977F7" w:rsidRDefault="0097612F" w:rsidP="00FD39A4">
      <w:pPr>
        <w:pStyle w:val="ac"/>
        <w:widowControl w:val="0"/>
        <w:numPr>
          <w:ilvl w:val="0"/>
          <w:numId w:val="100"/>
        </w:numPr>
        <w:tabs>
          <w:tab w:val="left" w:pos="284"/>
          <w:tab w:val="left" w:pos="75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Інформація,</w:t>
      </w:r>
      <w:r w:rsidRPr="000977F7">
        <w:rPr>
          <w:rFonts w:asciiTheme="majorHAnsi" w:hAnsiTheme="majorHAnsi"/>
          <w:spacing w:val="1"/>
          <w:sz w:val="20"/>
          <w:szCs w:val="20"/>
        </w:rPr>
        <w:t xml:space="preserve"> </w:t>
      </w:r>
      <w:r w:rsidRPr="000977F7">
        <w:rPr>
          <w:rFonts w:asciiTheme="majorHAnsi" w:hAnsiTheme="majorHAnsi"/>
          <w:sz w:val="20"/>
          <w:szCs w:val="20"/>
        </w:rPr>
        <w:t>передбачена</w:t>
      </w:r>
      <w:r w:rsidRPr="000977F7">
        <w:rPr>
          <w:rFonts w:asciiTheme="majorHAnsi" w:hAnsiTheme="majorHAnsi"/>
          <w:spacing w:val="1"/>
          <w:sz w:val="20"/>
          <w:szCs w:val="20"/>
        </w:rPr>
        <w:t xml:space="preserve"> </w:t>
      </w:r>
      <w:r w:rsidRPr="000977F7">
        <w:rPr>
          <w:rFonts w:asciiTheme="majorHAnsi" w:hAnsiTheme="majorHAnsi"/>
          <w:sz w:val="20"/>
          <w:szCs w:val="20"/>
        </w:rPr>
        <w:t>частиною</w:t>
      </w:r>
      <w:r w:rsidRPr="000977F7">
        <w:rPr>
          <w:rFonts w:asciiTheme="majorHAnsi" w:hAnsiTheme="majorHAnsi"/>
          <w:spacing w:val="1"/>
          <w:sz w:val="20"/>
          <w:szCs w:val="20"/>
        </w:rPr>
        <w:t xml:space="preserve"> </w:t>
      </w:r>
      <w:r w:rsidRPr="000977F7">
        <w:rPr>
          <w:rFonts w:asciiTheme="majorHAnsi" w:hAnsiTheme="majorHAnsi"/>
          <w:sz w:val="20"/>
          <w:szCs w:val="20"/>
        </w:rPr>
        <w:t>першою</w:t>
      </w:r>
      <w:r w:rsidRPr="000977F7">
        <w:rPr>
          <w:rFonts w:asciiTheme="majorHAnsi" w:hAnsiTheme="majorHAnsi"/>
          <w:spacing w:val="1"/>
          <w:sz w:val="20"/>
          <w:szCs w:val="20"/>
        </w:rPr>
        <w:t xml:space="preserve"> </w:t>
      </w:r>
      <w:r w:rsidRPr="000977F7">
        <w:rPr>
          <w:rFonts w:asciiTheme="majorHAnsi" w:hAnsiTheme="majorHAnsi"/>
          <w:sz w:val="20"/>
          <w:szCs w:val="20"/>
        </w:rPr>
        <w:t>цієї</w:t>
      </w:r>
      <w:r w:rsidRPr="000977F7">
        <w:rPr>
          <w:rFonts w:asciiTheme="majorHAnsi" w:hAnsiTheme="majorHAnsi"/>
          <w:spacing w:val="1"/>
          <w:sz w:val="20"/>
          <w:szCs w:val="20"/>
        </w:rPr>
        <w:t xml:space="preserve"> </w:t>
      </w:r>
      <w:r w:rsidRPr="000977F7">
        <w:rPr>
          <w:rFonts w:asciiTheme="majorHAnsi" w:hAnsiTheme="majorHAnsi"/>
          <w:sz w:val="20"/>
          <w:szCs w:val="20"/>
        </w:rPr>
        <w:t>статті, доводиться до відома споживачів виробником</w:t>
      </w:r>
      <w:r w:rsidRPr="000977F7">
        <w:rPr>
          <w:rFonts w:asciiTheme="majorHAnsi" w:hAnsiTheme="majorHAnsi"/>
          <w:spacing w:val="1"/>
          <w:sz w:val="20"/>
          <w:szCs w:val="20"/>
        </w:rPr>
        <w:t xml:space="preserve"> </w:t>
      </w:r>
      <w:r w:rsidRPr="000977F7">
        <w:rPr>
          <w:rFonts w:asciiTheme="majorHAnsi" w:hAnsiTheme="majorHAnsi"/>
          <w:sz w:val="20"/>
          <w:szCs w:val="20"/>
        </w:rPr>
        <w:t>(виконавцем, продавцем) у супровідній документації,</w:t>
      </w:r>
      <w:r w:rsidRPr="000977F7">
        <w:rPr>
          <w:rFonts w:asciiTheme="majorHAnsi" w:hAnsiTheme="majorHAnsi"/>
          <w:spacing w:val="1"/>
          <w:sz w:val="20"/>
          <w:szCs w:val="20"/>
        </w:rPr>
        <w:t xml:space="preserve"> </w:t>
      </w:r>
      <w:r w:rsidRPr="000977F7">
        <w:rPr>
          <w:rFonts w:asciiTheme="majorHAnsi" w:hAnsiTheme="majorHAnsi"/>
          <w:sz w:val="20"/>
          <w:szCs w:val="20"/>
        </w:rPr>
        <w:t>що додається до продукції, на етикетці, а також у маркуванні</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іншим</w:t>
      </w:r>
      <w:r w:rsidRPr="000977F7">
        <w:rPr>
          <w:rFonts w:asciiTheme="majorHAnsi" w:hAnsiTheme="majorHAnsi"/>
          <w:spacing w:val="1"/>
          <w:sz w:val="20"/>
          <w:szCs w:val="20"/>
        </w:rPr>
        <w:t xml:space="preserve"> </w:t>
      </w:r>
      <w:r w:rsidRPr="000977F7">
        <w:rPr>
          <w:rFonts w:asciiTheme="majorHAnsi" w:hAnsiTheme="majorHAnsi"/>
          <w:sz w:val="20"/>
          <w:szCs w:val="20"/>
        </w:rPr>
        <w:t>способом</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доступній</w:t>
      </w:r>
      <w:r w:rsidRPr="000977F7">
        <w:rPr>
          <w:rFonts w:asciiTheme="majorHAnsi" w:hAnsiTheme="majorHAnsi"/>
          <w:spacing w:val="1"/>
          <w:sz w:val="20"/>
          <w:szCs w:val="20"/>
        </w:rPr>
        <w:t xml:space="preserve"> </w:t>
      </w:r>
      <w:r w:rsidRPr="000977F7">
        <w:rPr>
          <w:rFonts w:asciiTheme="majorHAnsi" w:hAnsiTheme="majorHAnsi"/>
          <w:sz w:val="20"/>
          <w:szCs w:val="20"/>
        </w:rPr>
        <w:t>наочній</w:t>
      </w:r>
      <w:r w:rsidRPr="000977F7">
        <w:rPr>
          <w:rFonts w:asciiTheme="majorHAnsi" w:hAnsiTheme="majorHAnsi"/>
          <w:spacing w:val="1"/>
          <w:sz w:val="20"/>
          <w:szCs w:val="20"/>
        </w:rPr>
        <w:t xml:space="preserve"> </w:t>
      </w:r>
      <w:r w:rsidRPr="000977F7">
        <w:rPr>
          <w:rFonts w:asciiTheme="majorHAnsi" w:hAnsiTheme="majorHAnsi"/>
          <w:sz w:val="20"/>
          <w:szCs w:val="20"/>
        </w:rPr>
        <w:t>формі), прийнятим для окремих видів продукції або в</w:t>
      </w:r>
      <w:r w:rsidRPr="000977F7">
        <w:rPr>
          <w:rFonts w:asciiTheme="majorHAnsi" w:hAnsiTheme="majorHAnsi"/>
          <w:spacing w:val="1"/>
          <w:sz w:val="20"/>
          <w:szCs w:val="20"/>
        </w:rPr>
        <w:t xml:space="preserve"> </w:t>
      </w:r>
      <w:r w:rsidRPr="000977F7">
        <w:rPr>
          <w:rFonts w:asciiTheme="majorHAnsi" w:hAnsiTheme="majorHAnsi"/>
          <w:sz w:val="20"/>
          <w:szCs w:val="20"/>
        </w:rPr>
        <w:t>окремих</w:t>
      </w:r>
      <w:r w:rsidRPr="000977F7">
        <w:rPr>
          <w:rFonts w:asciiTheme="majorHAnsi" w:hAnsiTheme="majorHAnsi"/>
          <w:spacing w:val="-2"/>
          <w:sz w:val="20"/>
          <w:szCs w:val="20"/>
        </w:rPr>
        <w:t xml:space="preserve"> </w:t>
      </w:r>
      <w:r w:rsidRPr="000977F7">
        <w:rPr>
          <w:rFonts w:asciiTheme="majorHAnsi" w:hAnsiTheme="majorHAnsi"/>
          <w:sz w:val="20"/>
          <w:szCs w:val="20"/>
        </w:rPr>
        <w:t>сферах</w:t>
      </w:r>
      <w:r w:rsidRPr="000977F7">
        <w:rPr>
          <w:rFonts w:asciiTheme="majorHAnsi" w:hAnsiTheme="majorHAnsi"/>
          <w:spacing w:val="-1"/>
          <w:sz w:val="20"/>
          <w:szCs w:val="20"/>
        </w:rPr>
        <w:t xml:space="preserve"> </w:t>
      </w:r>
      <w:r w:rsidRPr="000977F7">
        <w:rPr>
          <w:rFonts w:asciiTheme="majorHAnsi" w:hAnsiTheme="majorHAnsi"/>
          <w:sz w:val="20"/>
          <w:szCs w:val="20"/>
        </w:rPr>
        <w:t>обслуговування.</w:t>
      </w:r>
    </w:p>
    <w:p w14:paraId="563087F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Інформація про</w:t>
      </w:r>
      <w:r w:rsidRPr="000977F7">
        <w:rPr>
          <w:rFonts w:asciiTheme="majorHAnsi" w:hAnsiTheme="majorHAnsi"/>
          <w:spacing w:val="1"/>
          <w:sz w:val="20"/>
          <w:szCs w:val="20"/>
        </w:rPr>
        <w:t xml:space="preserve"> </w:t>
      </w:r>
      <w:r w:rsidRPr="000977F7">
        <w:rPr>
          <w:rFonts w:asciiTheme="majorHAnsi" w:hAnsiTheme="majorHAnsi"/>
          <w:sz w:val="20"/>
          <w:szCs w:val="20"/>
        </w:rPr>
        <w:t>продукцію може бути розміщена</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місцях, де вона реалізується, а також за згодою споживача</w:t>
      </w:r>
      <w:r w:rsidRPr="000977F7">
        <w:rPr>
          <w:rFonts w:asciiTheme="majorHAnsi" w:hAnsiTheme="majorHAnsi"/>
          <w:spacing w:val="1"/>
          <w:sz w:val="20"/>
          <w:szCs w:val="20"/>
        </w:rPr>
        <w:t xml:space="preserve"> </w:t>
      </w:r>
      <w:r w:rsidRPr="000977F7">
        <w:rPr>
          <w:rFonts w:asciiTheme="majorHAnsi" w:hAnsiTheme="majorHAnsi"/>
          <w:sz w:val="20"/>
          <w:szCs w:val="20"/>
        </w:rPr>
        <w:t>доводитися</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нього</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допомогою</w:t>
      </w:r>
      <w:r w:rsidRPr="000977F7">
        <w:rPr>
          <w:rFonts w:asciiTheme="majorHAnsi" w:hAnsiTheme="majorHAnsi"/>
          <w:spacing w:val="1"/>
          <w:sz w:val="20"/>
          <w:szCs w:val="20"/>
        </w:rPr>
        <w:t xml:space="preserve"> </w:t>
      </w:r>
      <w:r w:rsidRPr="000977F7">
        <w:rPr>
          <w:rFonts w:asciiTheme="majorHAnsi" w:hAnsiTheme="majorHAnsi"/>
          <w:sz w:val="20"/>
          <w:szCs w:val="20"/>
        </w:rPr>
        <w:t>засобів</w:t>
      </w:r>
      <w:r w:rsidRPr="000977F7">
        <w:rPr>
          <w:rFonts w:asciiTheme="majorHAnsi" w:hAnsiTheme="majorHAnsi"/>
          <w:spacing w:val="1"/>
          <w:sz w:val="20"/>
          <w:szCs w:val="20"/>
        </w:rPr>
        <w:t xml:space="preserve"> </w:t>
      </w:r>
      <w:r w:rsidRPr="000977F7">
        <w:rPr>
          <w:rFonts w:asciiTheme="majorHAnsi" w:hAnsiTheme="majorHAnsi"/>
          <w:sz w:val="20"/>
          <w:szCs w:val="20"/>
        </w:rPr>
        <w:t>дистанційного зв'язку.</w:t>
      </w:r>
    </w:p>
    <w:p w14:paraId="1EDC3F75" w14:textId="77777777" w:rsidR="0097612F" w:rsidRPr="000977F7" w:rsidRDefault="0097612F" w:rsidP="00FD39A4">
      <w:pPr>
        <w:pStyle w:val="ac"/>
        <w:widowControl w:val="0"/>
        <w:numPr>
          <w:ilvl w:val="0"/>
          <w:numId w:val="100"/>
        </w:numPr>
        <w:tabs>
          <w:tab w:val="left" w:pos="284"/>
          <w:tab w:val="left" w:pos="66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Продавець (виконавець), який реалізує продукцію,</w:t>
      </w:r>
      <w:r w:rsidRPr="000977F7">
        <w:rPr>
          <w:rFonts w:asciiTheme="majorHAnsi" w:hAnsiTheme="majorHAnsi"/>
          <w:spacing w:val="1"/>
          <w:sz w:val="20"/>
          <w:szCs w:val="20"/>
        </w:rPr>
        <w:t xml:space="preserve"> </w:t>
      </w:r>
      <w:r w:rsidRPr="000977F7">
        <w:rPr>
          <w:rFonts w:asciiTheme="majorHAnsi" w:hAnsiTheme="majorHAnsi"/>
          <w:sz w:val="20"/>
          <w:szCs w:val="20"/>
        </w:rPr>
        <w:t>повинен обов'язково зазначати ціну кожної одиниці</w:t>
      </w:r>
      <w:r w:rsidRPr="000977F7">
        <w:rPr>
          <w:rFonts w:asciiTheme="majorHAnsi" w:hAnsiTheme="majorHAnsi"/>
          <w:spacing w:val="1"/>
          <w:sz w:val="20"/>
          <w:szCs w:val="20"/>
        </w:rPr>
        <w:t xml:space="preserve"> </w:t>
      </w:r>
      <w:r w:rsidRPr="000977F7">
        <w:rPr>
          <w:rFonts w:asciiTheme="majorHAnsi" w:hAnsiTheme="majorHAnsi"/>
          <w:sz w:val="20"/>
          <w:szCs w:val="20"/>
        </w:rPr>
        <w:t>такої продукції або однієї категорії продукції та ціну</w:t>
      </w:r>
      <w:r w:rsidRPr="000977F7">
        <w:rPr>
          <w:rFonts w:asciiTheme="majorHAnsi" w:hAnsiTheme="majorHAnsi"/>
          <w:spacing w:val="1"/>
          <w:sz w:val="20"/>
          <w:szCs w:val="20"/>
        </w:rPr>
        <w:t xml:space="preserve"> </w:t>
      </w:r>
      <w:r w:rsidRPr="000977F7">
        <w:rPr>
          <w:rFonts w:asciiTheme="majorHAnsi" w:hAnsiTheme="majorHAnsi"/>
          <w:sz w:val="20"/>
          <w:szCs w:val="20"/>
        </w:rPr>
        <w:t>однієї</w:t>
      </w:r>
      <w:r w:rsidRPr="000977F7">
        <w:rPr>
          <w:rFonts w:asciiTheme="majorHAnsi" w:hAnsiTheme="majorHAnsi"/>
          <w:spacing w:val="-2"/>
          <w:sz w:val="20"/>
          <w:szCs w:val="20"/>
        </w:rPr>
        <w:t xml:space="preserve"> </w:t>
      </w:r>
      <w:r w:rsidRPr="000977F7">
        <w:rPr>
          <w:rFonts w:asciiTheme="majorHAnsi" w:hAnsiTheme="majorHAnsi"/>
          <w:sz w:val="20"/>
          <w:szCs w:val="20"/>
        </w:rPr>
        <w:t>стандартної</w:t>
      </w:r>
      <w:r w:rsidRPr="000977F7">
        <w:rPr>
          <w:rFonts w:asciiTheme="majorHAnsi" w:hAnsiTheme="majorHAnsi"/>
          <w:spacing w:val="-2"/>
          <w:sz w:val="20"/>
          <w:szCs w:val="20"/>
        </w:rPr>
        <w:t xml:space="preserve"> </w:t>
      </w:r>
      <w:r w:rsidRPr="000977F7">
        <w:rPr>
          <w:rFonts w:asciiTheme="majorHAnsi" w:hAnsiTheme="majorHAnsi"/>
          <w:sz w:val="20"/>
          <w:szCs w:val="20"/>
        </w:rPr>
        <w:t>одиниці</w:t>
      </w:r>
      <w:r w:rsidRPr="000977F7">
        <w:rPr>
          <w:rFonts w:asciiTheme="majorHAnsi" w:hAnsiTheme="majorHAnsi"/>
          <w:spacing w:val="1"/>
          <w:sz w:val="20"/>
          <w:szCs w:val="20"/>
        </w:rPr>
        <w:t xml:space="preserve"> </w:t>
      </w:r>
      <w:r w:rsidRPr="000977F7">
        <w:rPr>
          <w:rFonts w:asciiTheme="majorHAnsi" w:hAnsiTheme="majorHAnsi"/>
          <w:sz w:val="20"/>
          <w:szCs w:val="20"/>
        </w:rPr>
        <w:t>цієї</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027B3E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Написи щодо ціни реалізації продукції мають бути</w:t>
      </w:r>
      <w:r w:rsidRPr="000977F7">
        <w:rPr>
          <w:rFonts w:asciiTheme="majorHAnsi" w:hAnsiTheme="majorHAnsi"/>
          <w:spacing w:val="1"/>
          <w:sz w:val="20"/>
          <w:szCs w:val="20"/>
        </w:rPr>
        <w:t xml:space="preserve"> </w:t>
      </w:r>
      <w:r w:rsidRPr="000977F7">
        <w:rPr>
          <w:rFonts w:asciiTheme="majorHAnsi" w:hAnsiTheme="majorHAnsi"/>
          <w:sz w:val="20"/>
          <w:szCs w:val="20"/>
        </w:rPr>
        <w:t>чіткими</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простими</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розуміння.</w:t>
      </w:r>
    </w:p>
    <w:p w14:paraId="4D1D5E4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Ціна продукції повинна включати в себе всі податки</w:t>
      </w:r>
      <w:r w:rsidRPr="000977F7">
        <w:rPr>
          <w:rFonts w:asciiTheme="majorHAnsi" w:hAnsiTheme="majorHAnsi"/>
          <w:spacing w:val="1"/>
          <w:sz w:val="20"/>
          <w:szCs w:val="20"/>
        </w:rPr>
        <w:t xml:space="preserve"> </w:t>
      </w:r>
      <w:r w:rsidRPr="000977F7">
        <w:rPr>
          <w:rFonts w:asciiTheme="majorHAnsi" w:hAnsiTheme="majorHAnsi"/>
          <w:sz w:val="20"/>
          <w:szCs w:val="20"/>
        </w:rPr>
        <w:t>та неподаткові обов'язкові платежі, які відповідно до</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законодавства сплачуються споживачем під час придбання</w:t>
      </w:r>
      <w:r w:rsidRPr="000977F7">
        <w:rPr>
          <w:rFonts w:asciiTheme="majorHAnsi" w:hAnsiTheme="majorHAnsi"/>
          <w:spacing w:val="-2"/>
          <w:sz w:val="20"/>
          <w:szCs w:val="20"/>
        </w:rPr>
        <w:t xml:space="preserve"> </w:t>
      </w:r>
      <w:r w:rsidRPr="000977F7">
        <w:rPr>
          <w:rFonts w:asciiTheme="majorHAnsi" w:hAnsiTheme="majorHAnsi"/>
          <w:sz w:val="20"/>
          <w:szCs w:val="20"/>
        </w:rPr>
        <w:t>відповідної</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7AB6BCC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 аукціонних торгах споживачам повинна повідомлятися</w:t>
      </w:r>
      <w:r w:rsidRPr="000977F7">
        <w:rPr>
          <w:rFonts w:asciiTheme="majorHAnsi" w:hAnsiTheme="majorHAnsi"/>
          <w:spacing w:val="-3"/>
          <w:sz w:val="20"/>
          <w:szCs w:val="20"/>
        </w:rPr>
        <w:t xml:space="preserve"> </w:t>
      </w:r>
      <w:r w:rsidRPr="000977F7">
        <w:rPr>
          <w:rFonts w:asciiTheme="majorHAnsi" w:hAnsiTheme="majorHAnsi"/>
          <w:sz w:val="20"/>
          <w:szCs w:val="20"/>
        </w:rPr>
        <w:t>стартова</w:t>
      </w:r>
      <w:r w:rsidRPr="000977F7">
        <w:rPr>
          <w:rFonts w:asciiTheme="majorHAnsi" w:hAnsiTheme="majorHAnsi"/>
          <w:spacing w:val="-3"/>
          <w:sz w:val="20"/>
          <w:szCs w:val="20"/>
        </w:rPr>
        <w:t xml:space="preserve"> </w:t>
      </w:r>
      <w:r w:rsidRPr="000977F7">
        <w:rPr>
          <w:rFonts w:asciiTheme="majorHAnsi" w:hAnsiTheme="majorHAnsi"/>
          <w:sz w:val="20"/>
          <w:szCs w:val="20"/>
        </w:rPr>
        <w:t>ціна</w:t>
      </w:r>
      <w:r w:rsidRPr="000977F7">
        <w:rPr>
          <w:rFonts w:asciiTheme="majorHAnsi" w:hAnsiTheme="majorHAnsi"/>
          <w:spacing w:val="-2"/>
          <w:sz w:val="20"/>
          <w:szCs w:val="20"/>
        </w:rPr>
        <w:t xml:space="preserve"> </w:t>
      </w:r>
      <w:r w:rsidRPr="000977F7">
        <w:rPr>
          <w:rFonts w:asciiTheme="majorHAnsi" w:hAnsiTheme="majorHAnsi"/>
          <w:sz w:val="20"/>
          <w:szCs w:val="20"/>
        </w:rPr>
        <w:t>продажу</w:t>
      </w:r>
      <w:r w:rsidRPr="000977F7">
        <w:rPr>
          <w:rFonts w:asciiTheme="majorHAnsi" w:hAnsiTheme="majorHAnsi"/>
          <w:spacing w:val="-3"/>
          <w:sz w:val="20"/>
          <w:szCs w:val="20"/>
        </w:rPr>
        <w:t xml:space="preserve"> </w:t>
      </w:r>
      <w:r w:rsidRPr="000977F7">
        <w:rPr>
          <w:rFonts w:asciiTheme="majorHAnsi" w:hAnsiTheme="majorHAnsi"/>
          <w:sz w:val="20"/>
          <w:szCs w:val="20"/>
        </w:rPr>
        <w:t>відповідного</w:t>
      </w:r>
      <w:r w:rsidRPr="000977F7">
        <w:rPr>
          <w:rFonts w:asciiTheme="majorHAnsi" w:hAnsiTheme="majorHAnsi"/>
          <w:spacing w:val="-1"/>
          <w:sz w:val="20"/>
          <w:szCs w:val="20"/>
        </w:rPr>
        <w:t xml:space="preserve"> </w:t>
      </w:r>
      <w:r w:rsidRPr="000977F7">
        <w:rPr>
          <w:rFonts w:asciiTheme="majorHAnsi" w:hAnsiTheme="majorHAnsi"/>
          <w:sz w:val="20"/>
          <w:szCs w:val="20"/>
        </w:rPr>
        <w:t>товару.</w:t>
      </w:r>
    </w:p>
    <w:p w14:paraId="4F763B1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Ціна</w:t>
      </w:r>
      <w:r w:rsidRPr="000977F7">
        <w:rPr>
          <w:rFonts w:asciiTheme="majorHAnsi" w:hAnsiTheme="majorHAnsi"/>
          <w:spacing w:val="1"/>
          <w:sz w:val="20"/>
          <w:szCs w:val="20"/>
        </w:rPr>
        <w:t xml:space="preserve"> </w:t>
      </w:r>
      <w:r w:rsidRPr="000977F7">
        <w:rPr>
          <w:rFonts w:asciiTheme="majorHAnsi" w:hAnsiTheme="majorHAnsi"/>
          <w:sz w:val="20"/>
          <w:szCs w:val="20"/>
        </w:rPr>
        <w:t>товару</w:t>
      </w:r>
      <w:r w:rsidRPr="000977F7">
        <w:rPr>
          <w:rFonts w:asciiTheme="majorHAnsi" w:hAnsiTheme="majorHAnsi"/>
          <w:spacing w:val="1"/>
          <w:sz w:val="20"/>
          <w:szCs w:val="20"/>
        </w:rPr>
        <w:t xml:space="preserve"> </w:t>
      </w:r>
      <w:r w:rsidRPr="000977F7">
        <w:rPr>
          <w:rFonts w:asciiTheme="majorHAnsi" w:hAnsiTheme="majorHAnsi"/>
          <w:sz w:val="20"/>
          <w:szCs w:val="20"/>
        </w:rPr>
        <w:t>зазначається</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одну</w:t>
      </w:r>
      <w:r w:rsidRPr="000977F7">
        <w:rPr>
          <w:rFonts w:asciiTheme="majorHAnsi" w:hAnsiTheme="majorHAnsi"/>
          <w:spacing w:val="1"/>
          <w:sz w:val="20"/>
          <w:szCs w:val="20"/>
        </w:rPr>
        <w:t xml:space="preserve"> </w:t>
      </w:r>
      <w:r w:rsidRPr="000977F7">
        <w:rPr>
          <w:rFonts w:asciiTheme="majorHAnsi" w:hAnsiTheme="majorHAnsi"/>
          <w:sz w:val="20"/>
          <w:szCs w:val="20"/>
        </w:rPr>
        <w:t>упаковку</w:t>
      </w:r>
      <w:r w:rsidRPr="000977F7">
        <w:rPr>
          <w:rFonts w:asciiTheme="majorHAnsi" w:hAnsiTheme="majorHAnsi"/>
          <w:spacing w:val="1"/>
          <w:sz w:val="20"/>
          <w:szCs w:val="20"/>
        </w:rPr>
        <w:t xml:space="preserve"> </w:t>
      </w:r>
      <w:r w:rsidRPr="000977F7">
        <w:rPr>
          <w:rFonts w:asciiTheme="majorHAnsi" w:hAnsiTheme="majorHAnsi"/>
          <w:sz w:val="20"/>
          <w:szCs w:val="20"/>
        </w:rPr>
        <w:t>такого</w:t>
      </w:r>
      <w:r w:rsidRPr="000977F7">
        <w:rPr>
          <w:rFonts w:asciiTheme="majorHAnsi" w:hAnsiTheme="majorHAnsi"/>
          <w:spacing w:val="1"/>
          <w:sz w:val="20"/>
          <w:szCs w:val="20"/>
        </w:rPr>
        <w:t xml:space="preserve"> </w:t>
      </w:r>
      <w:r w:rsidRPr="000977F7">
        <w:rPr>
          <w:rFonts w:asciiTheme="majorHAnsi" w:hAnsiTheme="majorHAnsi"/>
          <w:sz w:val="20"/>
          <w:szCs w:val="20"/>
        </w:rPr>
        <w:t>товару, а якщо товар поставляється без упаковки за</w:t>
      </w:r>
      <w:r w:rsidRPr="000977F7">
        <w:rPr>
          <w:rFonts w:asciiTheme="majorHAnsi" w:hAnsiTheme="majorHAnsi"/>
          <w:spacing w:val="1"/>
          <w:sz w:val="20"/>
          <w:szCs w:val="20"/>
        </w:rPr>
        <w:t xml:space="preserve"> </w:t>
      </w:r>
      <w:r w:rsidRPr="000977F7">
        <w:rPr>
          <w:rFonts w:asciiTheme="majorHAnsi" w:hAnsiTheme="majorHAnsi"/>
          <w:sz w:val="20"/>
          <w:szCs w:val="20"/>
        </w:rPr>
        <w:t>одиницю вимірювання, яка звичайно застосовується</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такого</w:t>
      </w:r>
      <w:r w:rsidRPr="000977F7">
        <w:rPr>
          <w:rFonts w:asciiTheme="majorHAnsi" w:hAnsiTheme="majorHAnsi"/>
          <w:spacing w:val="1"/>
          <w:sz w:val="20"/>
          <w:szCs w:val="20"/>
        </w:rPr>
        <w:t xml:space="preserve"> </w:t>
      </w:r>
      <w:r w:rsidRPr="000977F7">
        <w:rPr>
          <w:rFonts w:asciiTheme="majorHAnsi" w:hAnsiTheme="majorHAnsi"/>
          <w:sz w:val="20"/>
          <w:szCs w:val="20"/>
        </w:rPr>
        <w:t>товару.</w:t>
      </w:r>
    </w:p>
    <w:p w14:paraId="05C514B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разі коли за одну ціну пропонується кілька товарів,</w:t>
      </w:r>
      <w:r w:rsidRPr="000977F7">
        <w:rPr>
          <w:rFonts w:asciiTheme="majorHAnsi" w:hAnsiTheme="majorHAnsi"/>
          <w:spacing w:val="1"/>
          <w:sz w:val="20"/>
          <w:szCs w:val="20"/>
        </w:rPr>
        <w:t xml:space="preserve"> </w:t>
      </w:r>
      <w:r w:rsidRPr="000977F7">
        <w:rPr>
          <w:rFonts w:asciiTheme="majorHAnsi" w:hAnsiTheme="majorHAnsi"/>
          <w:sz w:val="20"/>
          <w:szCs w:val="20"/>
        </w:rPr>
        <w:t>робіт або послуг чи їх поєднання або якщо продавець</w:t>
      </w:r>
      <w:r w:rsidRPr="000977F7">
        <w:rPr>
          <w:rFonts w:asciiTheme="majorHAnsi" w:hAnsiTheme="majorHAnsi"/>
          <w:spacing w:val="1"/>
          <w:sz w:val="20"/>
          <w:szCs w:val="20"/>
        </w:rPr>
        <w:t xml:space="preserve"> </w:t>
      </w:r>
      <w:r w:rsidRPr="000977F7">
        <w:rPr>
          <w:rFonts w:asciiTheme="majorHAnsi" w:hAnsiTheme="majorHAnsi"/>
          <w:sz w:val="20"/>
          <w:szCs w:val="20"/>
        </w:rPr>
        <w:t>(виконавець) надає споживачеві при реалізації однієї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 право одержати іншу продукцію за зниженою ціною, до споживача доводиться інформація щодо:</w:t>
      </w:r>
    </w:p>
    <w:p w14:paraId="74B81E32" w14:textId="77777777" w:rsidR="0097612F" w:rsidRPr="000977F7" w:rsidRDefault="0097612F" w:rsidP="00FD39A4">
      <w:pPr>
        <w:pStyle w:val="ac"/>
        <w:widowControl w:val="0"/>
        <w:numPr>
          <w:ilvl w:val="0"/>
          <w:numId w:val="98"/>
        </w:numPr>
        <w:tabs>
          <w:tab w:val="left" w:pos="284"/>
          <w:tab w:val="left" w:pos="71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змісту та вартості пропозиції та у разі пропонування товарів, робіт або послуг за одну ціну ціни таких</w:t>
      </w:r>
      <w:r w:rsidRPr="000977F7">
        <w:rPr>
          <w:rFonts w:asciiTheme="majorHAnsi" w:hAnsiTheme="majorHAnsi"/>
          <w:spacing w:val="1"/>
          <w:sz w:val="20"/>
          <w:szCs w:val="20"/>
        </w:rPr>
        <w:t xml:space="preserve"> </w:t>
      </w:r>
      <w:r w:rsidRPr="000977F7">
        <w:rPr>
          <w:rFonts w:asciiTheme="majorHAnsi" w:hAnsiTheme="majorHAnsi"/>
          <w:sz w:val="20"/>
          <w:szCs w:val="20"/>
        </w:rPr>
        <w:t>товарів,</w:t>
      </w:r>
      <w:r w:rsidRPr="000977F7">
        <w:rPr>
          <w:rFonts w:asciiTheme="majorHAnsi" w:hAnsiTheme="majorHAnsi"/>
          <w:spacing w:val="-1"/>
          <w:sz w:val="20"/>
          <w:szCs w:val="20"/>
        </w:rPr>
        <w:t xml:space="preserve"> </w:t>
      </w:r>
      <w:r w:rsidRPr="000977F7">
        <w:rPr>
          <w:rFonts w:asciiTheme="majorHAnsi" w:hAnsiTheme="majorHAnsi"/>
          <w:sz w:val="20"/>
          <w:szCs w:val="20"/>
        </w:rPr>
        <w:t>робіт</w:t>
      </w:r>
      <w:r w:rsidRPr="000977F7">
        <w:rPr>
          <w:rFonts w:asciiTheme="majorHAnsi" w:hAnsiTheme="majorHAnsi"/>
          <w:spacing w:val="-1"/>
          <w:sz w:val="20"/>
          <w:szCs w:val="20"/>
        </w:rPr>
        <w:t xml:space="preserve"> </w:t>
      </w:r>
      <w:r w:rsidRPr="000977F7">
        <w:rPr>
          <w:rFonts w:asciiTheme="majorHAnsi" w:hAnsiTheme="majorHAnsi"/>
          <w:sz w:val="20"/>
          <w:szCs w:val="20"/>
        </w:rPr>
        <w:t>або послуг, взятих</w:t>
      </w:r>
      <w:r w:rsidRPr="000977F7">
        <w:rPr>
          <w:rFonts w:asciiTheme="majorHAnsi" w:hAnsiTheme="majorHAnsi"/>
          <w:spacing w:val="-2"/>
          <w:sz w:val="20"/>
          <w:szCs w:val="20"/>
        </w:rPr>
        <w:t xml:space="preserve"> </w:t>
      </w:r>
      <w:r w:rsidRPr="000977F7">
        <w:rPr>
          <w:rFonts w:asciiTheme="majorHAnsi" w:hAnsiTheme="majorHAnsi"/>
          <w:sz w:val="20"/>
          <w:szCs w:val="20"/>
        </w:rPr>
        <w:t>окремо;</w:t>
      </w:r>
    </w:p>
    <w:p w14:paraId="566B5814" w14:textId="77777777" w:rsidR="0097612F" w:rsidRPr="000977F7" w:rsidRDefault="0097612F" w:rsidP="00FD39A4">
      <w:pPr>
        <w:pStyle w:val="ac"/>
        <w:widowControl w:val="0"/>
        <w:numPr>
          <w:ilvl w:val="0"/>
          <w:numId w:val="98"/>
        </w:numPr>
        <w:tabs>
          <w:tab w:val="left" w:pos="284"/>
          <w:tab w:val="left" w:pos="73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умови прийняття пропозиції, зокрема строку її дії</w:t>
      </w:r>
      <w:r w:rsidRPr="000977F7">
        <w:rPr>
          <w:rFonts w:asciiTheme="majorHAnsi" w:hAnsiTheme="majorHAnsi"/>
          <w:spacing w:val="1"/>
          <w:sz w:val="20"/>
          <w:szCs w:val="20"/>
        </w:rPr>
        <w:t xml:space="preserve"> </w:t>
      </w:r>
      <w:r w:rsidRPr="000977F7">
        <w:rPr>
          <w:rFonts w:asciiTheme="majorHAnsi" w:hAnsiTheme="majorHAnsi"/>
          <w:sz w:val="20"/>
          <w:szCs w:val="20"/>
        </w:rPr>
        <w:t>та будь-яких обмежень, включаючи обмеження щодо</w:t>
      </w:r>
      <w:r w:rsidRPr="000977F7">
        <w:rPr>
          <w:rFonts w:asciiTheme="majorHAnsi" w:hAnsiTheme="majorHAnsi"/>
          <w:spacing w:val="1"/>
          <w:sz w:val="20"/>
          <w:szCs w:val="20"/>
        </w:rPr>
        <w:t xml:space="preserve"> </w:t>
      </w:r>
      <w:r w:rsidRPr="000977F7">
        <w:rPr>
          <w:rFonts w:asciiTheme="majorHAnsi" w:hAnsiTheme="majorHAnsi"/>
          <w:sz w:val="20"/>
          <w:szCs w:val="20"/>
        </w:rPr>
        <w:t>кількості.</w:t>
      </w:r>
    </w:p>
    <w:p w14:paraId="6F1ED1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w:t>
      </w:r>
      <w:r w:rsidRPr="000977F7">
        <w:rPr>
          <w:rFonts w:asciiTheme="majorHAnsi" w:hAnsiTheme="majorHAnsi"/>
          <w:spacing w:val="1"/>
          <w:sz w:val="20"/>
          <w:szCs w:val="20"/>
        </w:rPr>
        <w:t xml:space="preserve"> </w:t>
      </w:r>
      <w:r w:rsidRPr="000977F7">
        <w:rPr>
          <w:rFonts w:asciiTheme="majorHAnsi" w:hAnsiTheme="majorHAnsi"/>
          <w:sz w:val="20"/>
          <w:szCs w:val="20"/>
        </w:rPr>
        <w:t>положень</w:t>
      </w:r>
      <w:r w:rsidRPr="000977F7">
        <w:rPr>
          <w:rFonts w:asciiTheme="majorHAnsi" w:hAnsiTheme="majorHAnsi"/>
          <w:spacing w:val="1"/>
          <w:sz w:val="20"/>
          <w:szCs w:val="20"/>
        </w:rPr>
        <w:t xml:space="preserve"> </w:t>
      </w:r>
      <w:r w:rsidRPr="000977F7">
        <w:rPr>
          <w:rFonts w:asciiTheme="majorHAnsi" w:hAnsiTheme="majorHAnsi"/>
          <w:sz w:val="20"/>
          <w:szCs w:val="20"/>
        </w:rPr>
        <w:t>цієї</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r w:rsidRPr="000977F7">
        <w:rPr>
          <w:rFonts w:asciiTheme="majorHAnsi" w:hAnsiTheme="majorHAnsi"/>
          <w:spacing w:val="1"/>
          <w:sz w:val="20"/>
          <w:szCs w:val="20"/>
        </w:rPr>
        <w:t xml:space="preserve"> </w:t>
      </w:r>
      <w:r w:rsidRPr="000977F7">
        <w:rPr>
          <w:rFonts w:asciiTheme="majorHAnsi" w:hAnsiTheme="majorHAnsi"/>
          <w:sz w:val="20"/>
          <w:szCs w:val="20"/>
        </w:rPr>
        <w:t>поширюється</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47"/>
          <w:sz w:val="20"/>
          <w:szCs w:val="20"/>
        </w:rPr>
        <w:t xml:space="preserve"> </w:t>
      </w:r>
      <w:r w:rsidRPr="000977F7">
        <w:rPr>
          <w:rFonts w:asciiTheme="majorHAnsi" w:hAnsiTheme="majorHAnsi"/>
          <w:sz w:val="20"/>
          <w:szCs w:val="20"/>
        </w:rPr>
        <w:t>продукцію,</w:t>
      </w:r>
      <w:r w:rsidRPr="000977F7">
        <w:rPr>
          <w:rFonts w:asciiTheme="majorHAnsi" w:hAnsiTheme="majorHAnsi"/>
          <w:spacing w:val="-1"/>
          <w:sz w:val="20"/>
          <w:szCs w:val="20"/>
        </w:rPr>
        <w:t xml:space="preserve"> </w:t>
      </w:r>
      <w:r w:rsidRPr="000977F7">
        <w:rPr>
          <w:rFonts w:asciiTheme="majorHAnsi" w:hAnsiTheme="majorHAnsi"/>
          <w:sz w:val="20"/>
          <w:szCs w:val="20"/>
        </w:rPr>
        <w:t>що є харчовим продуктом.</w:t>
      </w:r>
    </w:p>
    <w:p w14:paraId="0C48CA7C" w14:textId="77777777" w:rsidR="0097612F" w:rsidRPr="000977F7" w:rsidRDefault="0097612F" w:rsidP="00FD39A4">
      <w:pPr>
        <w:pStyle w:val="ac"/>
        <w:widowControl w:val="0"/>
        <w:numPr>
          <w:ilvl w:val="0"/>
          <w:numId w:val="100"/>
        </w:numPr>
        <w:tabs>
          <w:tab w:val="left" w:pos="284"/>
          <w:tab w:val="left" w:pos="64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Вживання понять "знижка" або "зменшена ціна" або</w:t>
      </w:r>
      <w:r w:rsidRPr="000977F7">
        <w:rPr>
          <w:rFonts w:asciiTheme="majorHAnsi" w:hAnsiTheme="majorHAnsi"/>
          <w:spacing w:val="-47"/>
          <w:sz w:val="20"/>
          <w:szCs w:val="20"/>
        </w:rPr>
        <w:t xml:space="preserve"> </w:t>
      </w:r>
      <w:r w:rsidRPr="000977F7">
        <w:rPr>
          <w:rFonts w:asciiTheme="majorHAnsi" w:hAnsiTheme="majorHAnsi"/>
          <w:sz w:val="20"/>
          <w:szCs w:val="20"/>
        </w:rPr>
        <w:t>будь-яких інших, аналогічних за значенням, дозволяється</w:t>
      </w:r>
      <w:r w:rsidRPr="000977F7">
        <w:rPr>
          <w:rFonts w:asciiTheme="majorHAnsi" w:hAnsiTheme="majorHAnsi"/>
          <w:spacing w:val="-2"/>
          <w:sz w:val="20"/>
          <w:szCs w:val="20"/>
        </w:rPr>
        <w:t xml:space="preserve"> </w:t>
      </w:r>
      <w:r w:rsidRPr="000977F7">
        <w:rPr>
          <w:rFonts w:asciiTheme="majorHAnsi" w:hAnsiTheme="majorHAnsi"/>
          <w:sz w:val="20"/>
          <w:szCs w:val="20"/>
        </w:rPr>
        <w:t>лише</w:t>
      </w:r>
      <w:r w:rsidRPr="000977F7">
        <w:rPr>
          <w:rFonts w:asciiTheme="majorHAnsi" w:hAnsiTheme="majorHAnsi"/>
          <w:spacing w:val="-1"/>
          <w:sz w:val="20"/>
          <w:szCs w:val="20"/>
        </w:rPr>
        <w:t xml:space="preserve"> </w:t>
      </w:r>
      <w:r w:rsidRPr="000977F7">
        <w:rPr>
          <w:rFonts w:asciiTheme="majorHAnsi" w:hAnsiTheme="majorHAnsi"/>
          <w:sz w:val="20"/>
          <w:szCs w:val="20"/>
        </w:rPr>
        <w:t>з додержанням</w:t>
      </w:r>
      <w:r w:rsidRPr="000977F7">
        <w:rPr>
          <w:rFonts w:asciiTheme="majorHAnsi" w:hAnsiTheme="majorHAnsi"/>
          <w:spacing w:val="-1"/>
          <w:sz w:val="20"/>
          <w:szCs w:val="20"/>
        </w:rPr>
        <w:t xml:space="preserve"> </w:t>
      </w:r>
      <w:r w:rsidRPr="000977F7">
        <w:rPr>
          <w:rFonts w:asciiTheme="majorHAnsi" w:hAnsiTheme="majorHAnsi"/>
          <w:sz w:val="20"/>
          <w:szCs w:val="20"/>
        </w:rPr>
        <w:t>таких</w:t>
      </w:r>
      <w:r w:rsidRPr="000977F7">
        <w:rPr>
          <w:rFonts w:asciiTheme="majorHAnsi" w:hAnsiTheme="majorHAnsi"/>
          <w:spacing w:val="1"/>
          <w:sz w:val="20"/>
          <w:szCs w:val="20"/>
        </w:rPr>
        <w:t xml:space="preserve"> </w:t>
      </w:r>
      <w:r w:rsidRPr="000977F7">
        <w:rPr>
          <w:rFonts w:asciiTheme="majorHAnsi" w:hAnsiTheme="majorHAnsi"/>
          <w:sz w:val="20"/>
          <w:szCs w:val="20"/>
        </w:rPr>
        <w:t>умов:</w:t>
      </w:r>
    </w:p>
    <w:p w14:paraId="5F8CAA39" w14:textId="77777777" w:rsidR="0097612F" w:rsidRPr="000977F7" w:rsidRDefault="0097612F" w:rsidP="00FD39A4">
      <w:pPr>
        <w:pStyle w:val="ac"/>
        <w:widowControl w:val="0"/>
        <w:numPr>
          <w:ilvl w:val="0"/>
          <w:numId w:val="97"/>
        </w:numPr>
        <w:tabs>
          <w:tab w:val="left" w:pos="284"/>
          <w:tab w:val="left" w:pos="74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якщо вони застосовуються до продукції, яку безпосередньо</w:t>
      </w:r>
      <w:r w:rsidRPr="000977F7">
        <w:rPr>
          <w:rFonts w:asciiTheme="majorHAnsi" w:hAnsiTheme="majorHAnsi"/>
          <w:spacing w:val="-1"/>
          <w:sz w:val="20"/>
          <w:szCs w:val="20"/>
        </w:rPr>
        <w:t xml:space="preserve"> </w:t>
      </w:r>
      <w:r w:rsidRPr="000977F7">
        <w:rPr>
          <w:rFonts w:asciiTheme="majorHAnsi" w:hAnsiTheme="majorHAnsi"/>
          <w:sz w:val="20"/>
          <w:szCs w:val="20"/>
        </w:rPr>
        <w:t>реалізує</w:t>
      </w:r>
      <w:r w:rsidRPr="000977F7">
        <w:rPr>
          <w:rFonts w:asciiTheme="majorHAnsi" w:hAnsiTheme="majorHAnsi"/>
          <w:spacing w:val="-1"/>
          <w:sz w:val="20"/>
          <w:szCs w:val="20"/>
        </w:rPr>
        <w:t xml:space="preserve"> </w:t>
      </w:r>
      <w:r w:rsidRPr="000977F7">
        <w:rPr>
          <w:rFonts w:asciiTheme="majorHAnsi" w:hAnsiTheme="majorHAnsi"/>
          <w:sz w:val="20"/>
          <w:szCs w:val="20"/>
        </w:rPr>
        <w:t>суб'єкт</w:t>
      </w:r>
      <w:r w:rsidRPr="000977F7">
        <w:rPr>
          <w:rFonts w:asciiTheme="majorHAnsi" w:hAnsiTheme="majorHAnsi"/>
          <w:spacing w:val="-1"/>
          <w:sz w:val="20"/>
          <w:szCs w:val="20"/>
        </w:rPr>
        <w:t xml:space="preserve"> </w:t>
      </w:r>
      <w:r w:rsidRPr="000977F7">
        <w:rPr>
          <w:rFonts w:asciiTheme="majorHAnsi" w:hAnsiTheme="majorHAnsi"/>
          <w:sz w:val="20"/>
          <w:szCs w:val="20"/>
        </w:rPr>
        <w:t>господарювання;</w:t>
      </w:r>
    </w:p>
    <w:p w14:paraId="326B28DF" w14:textId="77777777" w:rsidR="0097612F" w:rsidRPr="000977F7" w:rsidRDefault="0097612F" w:rsidP="00FD39A4">
      <w:pPr>
        <w:pStyle w:val="ac"/>
        <w:widowControl w:val="0"/>
        <w:numPr>
          <w:ilvl w:val="0"/>
          <w:numId w:val="97"/>
        </w:numPr>
        <w:tabs>
          <w:tab w:val="left" w:pos="284"/>
          <w:tab w:val="left" w:pos="73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якщо такого роду знижка або зменшення ціни застосовується</w:t>
      </w:r>
      <w:r w:rsidRPr="000977F7">
        <w:rPr>
          <w:rFonts w:asciiTheme="majorHAnsi" w:hAnsiTheme="majorHAnsi"/>
          <w:spacing w:val="1"/>
          <w:sz w:val="20"/>
          <w:szCs w:val="20"/>
        </w:rPr>
        <w:t xml:space="preserve"> </w:t>
      </w:r>
      <w:r w:rsidRPr="000977F7">
        <w:rPr>
          <w:rFonts w:asciiTheme="majorHAnsi" w:hAnsiTheme="majorHAnsi"/>
          <w:sz w:val="20"/>
          <w:szCs w:val="20"/>
        </w:rPr>
        <w:t>протягом</w:t>
      </w:r>
      <w:r w:rsidRPr="000977F7">
        <w:rPr>
          <w:rFonts w:asciiTheme="majorHAnsi" w:hAnsiTheme="majorHAnsi"/>
          <w:spacing w:val="1"/>
          <w:sz w:val="20"/>
          <w:szCs w:val="20"/>
        </w:rPr>
        <w:t xml:space="preserve"> </w:t>
      </w:r>
      <w:r w:rsidRPr="000977F7">
        <w:rPr>
          <w:rFonts w:asciiTheme="majorHAnsi" w:hAnsiTheme="majorHAnsi"/>
          <w:sz w:val="20"/>
          <w:szCs w:val="20"/>
        </w:rPr>
        <w:t>визначеного</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обмеженого</w:t>
      </w:r>
      <w:r w:rsidRPr="000977F7">
        <w:rPr>
          <w:rFonts w:asciiTheme="majorHAnsi" w:hAnsiTheme="majorHAnsi"/>
          <w:spacing w:val="1"/>
          <w:sz w:val="20"/>
          <w:szCs w:val="20"/>
        </w:rPr>
        <w:t xml:space="preserve"> </w:t>
      </w:r>
      <w:r w:rsidRPr="000977F7">
        <w:rPr>
          <w:rFonts w:asciiTheme="majorHAnsi" w:hAnsiTheme="majorHAnsi"/>
          <w:sz w:val="20"/>
          <w:szCs w:val="20"/>
        </w:rPr>
        <w:t>періоду</w:t>
      </w:r>
      <w:r w:rsidRPr="000977F7">
        <w:rPr>
          <w:rFonts w:asciiTheme="majorHAnsi" w:hAnsiTheme="majorHAnsi"/>
          <w:spacing w:val="-5"/>
          <w:sz w:val="20"/>
          <w:szCs w:val="20"/>
        </w:rPr>
        <w:t xml:space="preserve"> </w:t>
      </w:r>
      <w:r w:rsidRPr="000977F7">
        <w:rPr>
          <w:rFonts w:asciiTheme="majorHAnsi" w:hAnsiTheme="majorHAnsi"/>
          <w:sz w:val="20"/>
          <w:szCs w:val="20"/>
        </w:rPr>
        <w:t>часу;</w:t>
      </w:r>
    </w:p>
    <w:p w14:paraId="540BB685" w14:textId="77777777" w:rsidR="0097612F" w:rsidRPr="000977F7" w:rsidRDefault="0097612F" w:rsidP="00FD39A4">
      <w:pPr>
        <w:pStyle w:val="ac"/>
        <w:widowControl w:val="0"/>
        <w:numPr>
          <w:ilvl w:val="0"/>
          <w:numId w:val="97"/>
        </w:numPr>
        <w:tabs>
          <w:tab w:val="left" w:pos="284"/>
          <w:tab w:val="left" w:pos="72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якщо ціна продукції є нижчою від її звичайної ціни.</w:t>
      </w:r>
    </w:p>
    <w:p w14:paraId="6065FF6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w:t>
      </w:r>
      <w:r w:rsidRPr="000977F7">
        <w:rPr>
          <w:rFonts w:asciiTheme="majorHAnsi" w:hAnsiTheme="majorHAnsi"/>
          <w:spacing w:val="1"/>
          <w:sz w:val="20"/>
          <w:szCs w:val="20"/>
        </w:rPr>
        <w:t xml:space="preserve"> </w:t>
      </w:r>
      <w:r w:rsidRPr="000977F7">
        <w:rPr>
          <w:rFonts w:asciiTheme="majorHAnsi" w:hAnsiTheme="majorHAnsi"/>
          <w:sz w:val="20"/>
          <w:szCs w:val="20"/>
        </w:rPr>
        <w:t>положень</w:t>
      </w:r>
      <w:r w:rsidRPr="000977F7">
        <w:rPr>
          <w:rFonts w:asciiTheme="majorHAnsi" w:hAnsiTheme="majorHAnsi"/>
          <w:spacing w:val="1"/>
          <w:sz w:val="20"/>
          <w:szCs w:val="20"/>
        </w:rPr>
        <w:t xml:space="preserve"> </w:t>
      </w:r>
      <w:r w:rsidRPr="000977F7">
        <w:rPr>
          <w:rFonts w:asciiTheme="majorHAnsi" w:hAnsiTheme="majorHAnsi"/>
          <w:sz w:val="20"/>
          <w:szCs w:val="20"/>
        </w:rPr>
        <w:t>цієї</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r w:rsidRPr="000977F7">
        <w:rPr>
          <w:rFonts w:asciiTheme="majorHAnsi" w:hAnsiTheme="majorHAnsi"/>
          <w:spacing w:val="1"/>
          <w:sz w:val="20"/>
          <w:szCs w:val="20"/>
        </w:rPr>
        <w:t xml:space="preserve"> </w:t>
      </w:r>
      <w:r w:rsidRPr="000977F7">
        <w:rPr>
          <w:rFonts w:asciiTheme="majorHAnsi" w:hAnsiTheme="majorHAnsi"/>
          <w:sz w:val="20"/>
          <w:szCs w:val="20"/>
        </w:rPr>
        <w:t>поширюється</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47"/>
          <w:sz w:val="20"/>
          <w:szCs w:val="20"/>
        </w:rPr>
        <w:t xml:space="preserve"> </w:t>
      </w:r>
      <w:r w:rsidRPr="000977F7">
        <w:rPr>
          <w:rFonts w:asciiTheme="majorHAnsi" w:hAnsiTheme="majorHAnsi"/>
          <w:sz w:val="20"/>
          <w:szCs w:val="20"/>
        </w:rPr>
        <w:t>продукцію,</w:t>
      </w:r>
      <w:r w:rsidRPr="000977F7">
        <w:rPr>
          <w:rFonts w:asciiTheme="majorHAnsi" w:hAnsiTheme="majorHAnsi"/>
          <w:spacing w:val="-1"/>
          <w:sz w:val="20"/>
          <w:szCs w:val="20"/>
        </w:rPr>
        <w:t xml:space="preserve"> </w:t>
      </w:r>
      <w:r w:rsidRPr="000977F7">
        <w:rPr>
          <w:rFonts w:asciiTheme="majorHAnsi" w:hAnsiTheme="majorHAnsi"/>
          <w:sz w:val="20"/>
          <w:szCs w:val="20"/>
        </w:rPr>
        <w:t>що є харчовим продуктом.</w:t>
      </w:r>
    </w:p>
    <w:p w14:paraId="4404129F" w14:textId="77777777" w:rsidR="0097612F" w:rsidRPr="000977F7" w:rsidRDefault="0097612F" w:rsidP="00FD39A4">
      <w:pPr>
        <w:pStyle w:val="ac"/>
        <w:widowControl w:val="0"/>
        <w:numPr>
          <w:ilvl w:val="0"/>
          <w:numId w:val="100"/>
        </w:numPr>
        <w:tabs>
          <w:tab w:val="left" w:pos="284"/>
          <w:tab w:val="left" w:pos="68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Вживання поняття "розпродаж" або будь-яких інших, аналогічних йому, дозволяється лише з додержанням</w:t>
      </w:r>
      <w:r w:rsidRPr="000977F7">
        <w:rPr>
          <w:rFonts w:asciiTheme="majorHAnsi" w:hAnsiTheme="majorHAnsi"/>
          <w:spacing w:val="-1"/>
          <w:sz w:val="20"/>
          <w:szCs w:val="20"/>
        </w:rPr>
        <w:t xml:space="preserve"> </w:t>
      </w:r>
      <w:r w:rsidRPr="000977F7">
        <w:rPr>
          <w:rFonts w:asciiTheme="majorHAnsi" w:hAnsiTheme="majorHAnsi"/>
          <w:sz w:val="20"/>
          <w:szCs w:val="20"/>
        </w:rPr>
        <w:t>таких</w:t>
      </w:r>
      <w:r w:rsidRPr="000977F7">
        <w:rPr>
          <w:rFonts w:asciiTheme="majorHAnsi" w:hAnsiTheme="majorHAnsi"/>
          <w:spacing w:val="1"/>
          <w:sz w:val="20"/>
          <w:szCs w:val="20"/>
        </w:rPr>
        <w:t xml:space="preserve"> </w:t>
      </w:r>
      <w:r w:rsidRPr="000977F7">
        <w:rPr>
          <w:rFonts w:asciiTheme="majorHAnsi" w:hAnsiTheme="majorHAnsi"/>
          <w:sz w:val="20"/>
          <w:szCs w:val="20"/>
        </w:rPr>
        <w:t>умов:</w:t>
      </w:r>
    </w:p>
    <w:p w14:paraId="6B4B2F6E" w14:textId="77777777" w:rsidR="0097612F" w:rsidRPr="000977F7" w:rsidRDefault="0097612F" w:rsidP="00FD39A4">
      <w:pPr>
        <w:pStyle w:val="ac"/>
        <w:widowControl w:val="0"/>
        <w:numPr>
          <w:ilvl w:val="0"/>
          <w:numId w:val="96"/>
        </w:numPr>
        <w:tabs>
          <w:tab w:val="left" w:pos="284"/>
          <w:tab w:val="left" w:pos="71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якщо здійснюється розпродаж усіх товарів у межах</w:t>
      </w:r>
      <w:r w:rsidRPr="000977F7">
        <w:rPr>
          <w:rFonts w:asciiTheme="majorHAnsi" w:hAnsiTheme="majorHAnsi"/>
          <w:spacing w:val="-47"/>
          <w:sz w:val="20"/>
          <w:szCs w:val="20"/>
        </w:rPr>
        <w:t xml:space="preserve"> </w:t>
      </w:r>
      <w:r w:rsidRPr="000977F7">
        <w:rPr>
          <w:rFonts w:asciiTheme="majorHAnsi" w:hAnsiTheme="majorHAnsi"/>
          <w:sz w:val="20"/>
          <w:szCs w:val="20"/>
        </w:rPr>
        <w:t>певного</w:t>
      </w:r>
      <w:r w:rsidRPr="000977F7">
        <w:rPr>
          <w:rFonts w:asciiTheme="majorHAnsi" w:hAnsiTheme="majorHAnsi"/>
          <w:spacing w:val="-1"/>
          <w:sz w:val="20"/>
          <w:szCs w:val="20"/>
        </w:rPr>
        <w:t xml:space="preserve"> </w:t>
      </w:r>
      <w:r w:rsidRPr="000977F7">
        <w:rPr>
          <w:rFonts w:asciiTheme="majorHAnsi" w:hAnsiTheme="majorHAnsi"/>
          <w:sz w:val="20"/>
          <w:szCs w:val="20"/>
        </w:rPr>
        <w:t>місця</w:t>
      </w:r>
      <w:r w:rsidRPr="000977F7">
        <w:rPr>
          <w:rFonts w:asciiTheme="majorHAnsi" w:hAnsiTheme="majorHAnsi"/>
          <w:spacing w:val="-3"/>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чітко</w:t>
      </w:r>
      <w:r w:rsidRPr="000977F7">
        <w:rPr>
          <w:rFonts w:asciiTheme="majorHAnsi" w:hAnsiTheme="majorHAnsi"/>
          <w:spacing w:val="-1"/>
          <w:sz w:val="20"/>
          <w:szCs w:val="20"/>
        </w:rPr>
        <w:t xml:space="preserve"> </w:t>
      </w:r>
      <w:r w:rsidRPr="000977F7">
        <w:rPr>
          <w:rFonts w:asciiTheme="majorHAnsi" w:hAnsiTheme="majorHAnsi"/>
          <w:sz w:val="20"/>
          <w:szCs w:val="20"/>
        </w:rPr>
        <w:t>визначеної</w:t>
      </w:r>
      <w:r w:rsidRPr="000977F7">
        <w:rPr>
          <w:rFonts w:asciiTheme="majorHAnsi" w:hAnsiTheme="majorHAnsi"/>
          <w:spacing w:val="-2"/>
          <w:sz w:val="20"/>
          <w:szCs w:val="20"/>
        </w:rPr>
        <w:t xml:space="preserve"> </w:t>
      </w:r>
      <w:r w:rsidRPr="000977F7">
        <w:rPr>
          <w:rFonts w:asciiTheme="majorHAnsi" w:hAnsiTheme="majorHAnsi"/>
          <w:sz w:val="20"/>
          <w:szCs w:val="20"/>
        </w:rPr>
        <w:t>групи</w:t>
      </w:r>
      <w:r w:rsidRPr="000977F7">
        <w:rPr>
          <w:rFonts w:asciiTheme="majorHAnsi" w:hAnsiTheme="majorHAnsi"/>
          <w:spacing w:val="-1"/>
          <w:sz w:val="20"/>
          <w:szCs w:val="20"/>
        </w:rPr>
        <w:t xml:space="preserve"> </w:t>
      </w:r>
      <w:r w:rsidRPr="000977F7">
        <w:rPr>
          <w:rFonts w:asciiTheme="majorHAnsi" w:hAnsiTheme="majorHAnsi"/>
          <w:sz w:val="20"/>
          <w:szCs w:val="20"/>
        </w:rPr>
        <w:t>товарів;</w:t>
      </w:r>
    </w:p>
    <w:p w14:paraId="3E678EB7" w14:textId="77777777" w:rsidR="0097612F" w:rsidRPr="000977F7" w:rsidRDefault="0097612F" w:rsidP="00FD39A4">
      <w:pPr>
        <w:pStyle w:val="ac"/>
        <w:widowControl w:val="0"/>
        <w:numPr>
          <w:ilvl w:val="0"/>
          <w:numId w:val="96"/>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якщо</w:t>
      </w:r>
      <w:r w:rsidRPr="000977F7">
        <w:rPr>
          <w:rFonts w:asciiTheme="majorHAnsi" w:hAnsiTheme="majorHAnsi"/>
          <w:spacing w:val="-2"/>
          <w:sz w:val="20"/>
          <w:szCs w:val="20"/>
        </w:rPr>
        <w:t xml:space="preserve"> </w:t>
      </w:r>
      <w:r w:rsidRPr="000977F7">
        <w:rPr>
          <w:rFonts w:asciiTheme="majorHAnsi" w:hAnsiTheme="majorHAnsi"/>
          <w:sz w:val="20"/>
          <w:szCs w:val="20"/>
        </w:rPr>
        <w:t>тривалість</w:t>
      </w:r>
      <w:r w:rsidRPr="000977F7">
        <w:rPr>
          <w:rFonts w:asciiTheme="majorHAnsi" w:hAnsiTheme="majorHAnsi"/>
          <w:spacing w:val="-3"/>
          <w:sz w:val="20"/>
          <w:szCs w:val="20"/>
        </w:rPr>
        <w:t xml:space="preserve"> </w:t>
      </w:r>
      <w:r w:rsidRPr="000977F7">
        <w:rPr>
          <w:rFonts w:asciiTheme="majorHAnsi" w:hAnsiTheme="majorHAnsi"/>
          <w:sz w:val="20"/>
          <w:szCs w:val="20"/>
        </w:rPr>
        <w:t>розпродажу</w:t>
      </w:r>
      <w:r w:rsidRPr="000977F7">
        <w:rPr>
          <w:rFonts w:asciiTheme="majorHAnsi" w:hAnsiTheme="majorHAnsi"/>
          <w:spacing w:val="-7"/>
          <w:sz w:val="20"/>
          <w:szCs w:val="20"/>
        </w:rPr>
        <w:t xml:space="preserve"> </w:t>
      </w:r>
      <w:r w:rsidRPr="000977F7">
        <w:rPr>
          <w:rFonts w:asciiTheme="majorHAnsi" w:hAnsiTheme="majorHAnsi"/>
          <w:sz w:val="20"/>
          <w:szCs w:val="20"/>
        </w:rPr>
        <w:t>обмежено</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3"/>
          <w:sz w:val="20"/>
          <w:szCs w:val="20"/>
        </w:rPr>
        <w:t xml:space="preserve"> </w:t>
      </w:r>
      <w:r w:rsidRPr="000977F7">
        <w:rPr>
          <w:rFonts w:asciiTheme="majorHAnsi" w:hAnsiTheme="majorHAnsi"/>
          <w:sz w:val="20"/>
          <w:szCs w:val="20"/>
        </w:rPr>
        <w:t>часі;</w:t>
      </w:r>
    </w:p>
    <w:p w14:paraId="25DAD0C8" w14:textId="77777777" w:rsidR="0097612F" w:rsidRPr="000977F7" w:rsidRDefault="0097612F" w:rsidP="00FD39A4">
      <w:pPr>
        <w:pStyle w:val="ac"/>
        <w:widowControl w:val="0"/>
        <w:numPr>
          <w:ilvl w:val="0"/>
          <w:numId w:val="96"/>
        </w:numPr>
        <w:tabs>
          <w:tab w:val="left" w:pos="284"/>
          <w:tab w:val="left" w:pos="74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якщо ціни товарів, що підлягають розпродажу, є</w:t>
      </w:r>
      <w:r w:rsidRPr="000977F7">
        <w:rPr>
          <w:rFonts w:asciiTheme="majorHAnsi" w:hAnsiTheme="majorHAnsi"/>
          <w:spacing w:val="1"/>
          <w:sz w:val="20"/>
          <w:szCs w:val="20"/>
        </w:rPr>
        <w:t xml:space="preserve"> </w:t>
      </w:r>
      <w:r w:rsidRPr="000977F7">
        <w:rPr>
          <w:rFonts w:asciiTheme="majorHAnsi" w:hAnsiTheme="majorHAnsi"/>
          <w:sz w:val="20"/>
          <w:szCs w:val="20"/>
        </w:rPr>
        <w:t>меншими від</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звичайної</w:t>
      </w:r>
      <w:r w:rsidRPr="000977F7">
        <w:rPr>
          <w:rFonts w:asciiTheme="majorHAnsi" w:hAnsiTheme="majorHAnsi"/>
          <w:spacing w:val="-2"/>
          <w:sz w:val="20"/>
          <w:szCs w:val="20"/>
        </w:rPr>
        <w:t xml:space="preserve"> </w:t>
      </w:r>
      <w:r w:rsidRPr="000977F7">
        <w:rPr>
          <w:rFonts w:asciiTheme="majorHAnsi" w:hAnsiTheme="majorHAnsi"/>
          <w:sz w:val="20"/>
          <w:szCs w:val="20"/>
        </w:rPr>
        <w:t>ціни.</w:t>
      </w:r>
    </w:p>
    <w:p w14:paraId="56885B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w:t>
      </w:r>
      <w:r w:rsidRPr="000977F7">
        <w:rPr>
          <w:rFonts w:asciiTheme="majorHAnsi" w:hAnsiTheme="majorHAnsi"/>
          <w:spacing w:val="1"/>
          <w:sz w:val="20"/>
          <w:szCs w:val="20"/>
        </w:rPr>
        <w:t xml:space="preserve"> </w:t>
      </w:r>
      <w:r w:rsidRPr="000977F7">
        <w:rPr>
          <w:rFonts w:asciiTheme="majorHAnsi" w:hAnsiTheme="majorHAnsi"/>
          <w:sz w:val="20"/>
          <w:szCs w:val="20"/>
        </w:rPr>
        <w:t>положень</w:t>
      </w:r>
      <w:r w:rsidRPr="000977F7">
        <w:rPr>
          <w:rFonts w:asciiTheme="majorHAnsi" w:hAnsiTheme="majorHAnsi"/>
          <w:spacing w:val="1"/>
          <w:sz w:val="20"/>
          <w:szCs w:val="20"/>
        </w:rPr>
        <w:t xml:space="preserve"> </w:t>
      </w:r>
      <w:r w:rsidRPr="000977F7">
        <w:rPr>
          <w:rFonts w:asciiTheme="majorHAnsi" w:hAnsiTheme="majorHAnsi"/>
          <w:sz w:val="20"/>
          <w:szCs w:val="20"/>
        </w:rPr>
        <w:t>цієї</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r w:rsidRPr="000977F7">
        <w:rPr>
          <w:rFonts w:asciiTheme="majorHAnsi" w:hAnsiTheme="majorHAnsi"/>
          <w:spacing w:val="1"/>
          <w:sz w:val="20"/>
          <w:szCs w:val="20"/>
        </w:rPr>
        <w:t xml:space="preserve"> </w:t>
      </w:r>
      <w:r w:rsidRPr="000977F7">
        <w:rPr>
          <w:rFonts w:asciiTheme="majorHAnsi" w:hAnsiTheme="majorHAnsi"/>
          <w:sz w:val="20"/>
          <w:szCs w:val="20"/>
        </w:rPr>
        <w:t>поширюється</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продукцію,</w:t>
      </w:r>
      <w:r w:rsidRPr="000977F7">
        <w:rPr>
          <w:rFonts w:asciiTheme="majorHAnsi" w:hAnsiTheme="majorHAnsi"/>
          <w:spacing w:val="-1"/>
          <w:sz w:val="20"/>
          <w:szCs w:val="20"/>
        </w:rPr>
        <w:t xml:space="preserve"> </w:t>
      </w:r>
      <w:r w:rsidRPr="000977F7">
        <w:rPr>
          <w:rFonts w:asciiTheme="majorHAnsi" w:hAnsiTheme="majorHAnsi"/>
          <w:sz w:val="20"/>
          <w:szCs w:val="20"/>
        </w:rPr>
        <w:t>що є харчовим продуктом.</w:t>
      </w:r>
    </w:p>
    <w:p w14:paraId="4826601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6 Після публічного повідомлення про початок проведення</w:t>
      </w:r>
      <w:r w:rsidRPr="000977F7">
        <w:rPr>
          <w:rFonts w:asciiTheme="majorHAnsi" w:hAnsiTheme="majorHAnsi"/>
          <w:spacing w:val="1"/>
          <w:sz w:val="20"/>
          <w:szCs w:val="20"/>
        </w:rPr>
        <w:t xml:space="preserve"> </w:t>
      </w:r>
      <w:r w:rsidRPr="000977F7">
        <w:rPr>
          <w:rFonts w:asciiTheme="majorHAnsi" w:hAnsiTheme="majorHAnsi"/>
          <w:sz w:val="20"/>
          <w:szCs w:val="20"/>
        </w:rPr>
        <w:t>розпродажу,</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знижок</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зменшення ціни до споживачів повинна доводитися інформація про ціну продукції, що була встановлена до</w:t>
      </w:r>
      <w:r w:rsidRPr="000977F7">
        <w:rPr>
          <w:rFonts w:asciiTheme="majorHAnsi" w:hAnsiTheme="majorHAnsi"/>
          <w:spacing w:val="1"/>
          <w:sz w:val="20"/>
          <w:szCs w:val="20"/>
        </w:rPr>
        <w:t xml:space="preserve"> </w:t>
      </w:r>
      <w:r w:rsidRPr="000977F7">
        <w:rPr>
          <w:rFonts w:asciiTheme="majorHAnsi" w:hAnsiTheme="majorHAnsi"/>
          <w:sz w:val="20"/>
          <w:szCs w:val="20"/>
        </w:rPr>
        <w:t>початку проведення відповідного розпродажу, застосування знижок або зменшення ціни, а також ціну цієї</w:t>
      </w:r>
      <w:r w:rsidRPr="000977F7">
        <w:rPr>
          <w:rFonts w:asciiTheme="majorHAnsi" w:hAnsiTheme="majorHAnsi"/>
          <w:spacing w:val="-47"/>
          <w:sz w:val="20"/>
          <w:szCs w:val="20"/>
        </w:rPr>
        <w:t xml:space="preserve"> </w:t>
      </w:r>
      <w:r w:rsidRPr="000977F7">
        <w:rPr>
          <w:rFonts w:asciiTheme="majorHAnsi" w:hAnsiTheme="majorHAnsi"/>
          <w:sz w:val="20"/>
          <w:szCs w:val="20"/>
        </w:rPr>
        <w:t>ж</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встановлену</w:t>
      </w:r>
      <w:r w:rsidRPr="000977F7">
        <w:rPr>
          <w:rFonts w:asciiTheme="majorHAnsi" w:hAnsiTheme="majorHAnsi"/>
          <w:spacing w:val="-2"/>
          <w:sz w:val="20"/>
          <w:szCs w:val="20"/>
        </w:rPr>
        <w:t xml:space="preserve"> </w:t>
      </w:r>
      <w:r w:rsidRPr="000977F7">
        <w:rPr>
          <w:rFonts w:asciiTheme="majorHAnsi" w:hAnsiTheme="majorHAnsi"/>
          <w:sz w:val="20"/>
          <w:szCs w:val="20"/>
        </w:rPr>
        <w:t>після</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2"/>
          <w:sz w:val="20"/>
          <w:szCs w:val="20"/>
        </w:rPr>
        <w:t xml:space="preserve"> </w:t>
      </w:r>
      <w:r w:rsidRPr="000977F7">
        <w:rPr>
          <w:rFonts w:asciiTheme="majorHAnsi" w:hAnsiTheme="majorHAnsi"/>
          <w:sz w:val="20"/>
          <w:szCs w:val="20"/>
        </w:rPr>
        <w:t>початку.</w:t>
      </w:r>
    </w:p>
    <w:p w14:paraId="034159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w:t>
      </w:r>
      <w:r w:rsidRPr="000977F7">
        <w:rPr>
          <w:rFonts w:asciiTheme="majorHAnsi" w:hAnsiTheme="majorHAnsi"/>
          <w:spacing w:val="1"/>
          <w:sz w:val="20"/>
          <w:szCs w:val="20"/>
        </w:rPr>
        <w:t xml:space="preserve"> </w:t>
      </w:r>
      <w:r w:rsidRPr="000977F7">
        <w:rPr>
          <w:rFonts w:asciiTheme="majorHAnsi" w:hAnsiTheme="majorHAnsi"/>
          <w:sz w:val="20"/>
          <w:szCs w:val="20"/>
        </w:rPr>
        <w:t>положень</w:t>
      </w:r>
      <w:r w:rsidRPr="000977F7">
        <w:rPr>
          <w:rFonts w:asciiTheme="majorHAnsi" w:hAnsiTheme="majorHAnsi"/>
          <w:spacing w:val="1"/>
          <w:sz w:val="20"/>
          <w:szCs w:val="20"/>
        </w:rPr>
        <w:t xml:space="preserve"> </w:t>
      </w:r>
      <w:r w:rsidRPr="000977F7">
        <w:rPr>
          <w:rFonts w:asciiTheme="majorHAnsi" w:hAnsiTheme="majorHAnsi"/>
          <w:sz w:val="20"/>
          <w:szCs w:val="20"/>
        </w:rPr>
        <w:t>цієї</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r w:rsidRPr="000977F7">
        <w:rPr>
          <w:rFonts w:asciiTheme="majorHAnsi" w:hAnsiTheme="majorHAnsi"/>
          <w:spacing w:val="1"/>
          <w:sz w:val="20"/>
          <w:szCs w:val="20"/>
        </w:rPr>
        <w:t xml:space="preserve"> </w:t>
      </w:r>
      <w:r w:rsidRPr="000977F7">
        <w:rPr>
          <w:rFonts w:asciiTheme="majorHAnsi" w:hAnsiTheme="majorHAnsi"/>
          <w:sz w:val="20"/>
          <w:szCs w:val="20"/>
        </w:rPr>
        <w:t>поширюється</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продукцію,</w:t>
      </w:r>
      <w:r w:rsidRPr="000977F7">
        <w:rPr>
          <w:rFonts w:asciiTheme="majorHAnsi" w:hAnsiTheme="majorHAnsi"/>
          <w:spacing w:val="-1"/>
          <w:sz w:val="20"/>
          <w:szCs w:val="20"/>
        </w:rPr>
        <w:t xml:space="preserve"> </w:t>
      </w:r>
      <w:r w:rsidRPr="000977F7">
        <w:rPr>
          <w:rFonts w:asciiTheme="majorHAnsi" w:hAnsiTheme="majorHAnsi"/>
          <w:sz w:val="20"/>
          <w:szCs w:val="20"/>
        </w:rPr>
        <w:t>що є харчовим продуктом.</w:t>
      </w:r>
    </w:p>
    <w:p w14:paraId="7D259CD0" w14:textId="77777777" w:rsidR="0097612F" w:rsidRPr="000977F7" w:rsidRDefault="0097612F" w:rsidP="000977F7">
      <w:pPr>
        <w:tabs>
          <w:tab w:val="left" w:pos="284"/>
          <w:tab w:val="left" w:pos="57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У разі</w:t>
      </w:r>
      <w:r w:rsidRPr="000977F7">
        <w:rPr>
          <w:rFonts w:asciiTheme="majorHAnsi" w:hAnsiTheme="majorHAnsi"/>
          <w:spacing w:val="1"/>
          <w:sz w:val="20"/>
          <w:szCs w:val="20"/>
        </w:rPr>
        <w:t xml:space="preserve"> </w:t>
      </w:r>
      <w:r w:rsidRPr="000977F7">
        <w:rPr>
          <w:rFonts w:asciiTheme="majorHAnsi" w:hAnsiTheme="majorHAnsi"/>
          <w:sz w:val="20"/>
          <w:szCs w:val="20"/>
        </w:rPr>
        <w:t>коли</w:t>
      </w:r>
      <w:r w:rsidRPr="000977F7">
        <w:rPr>
          <w:rFonts w:asciiTheme="majorHAnsi" w:hAnsiTheme="majorHAnsi"/>
          <w:spacing w:val="1"/>
          <w:sz w:val="20"/>
          <w:szCs w:val="20"/>
        </w:rPr>
        <w:t xml:space="preserve"> </w:t>
      </w:r>
      <w:r w:rsidRPr="000977F7">
        <w:rPr>
          <w:rFonts w:asciiTheme="majorHAnsi" w:hAnsiTheme="majorHAnsi"/>
          <w:sz w:val="20"/>
          <w:szCs w:val="20"/>
        </w:rPr>
        <w:t>надання</w:t>
      </w:r>
      <w:r w:rsidRPr="000977F7">
        <w:rPr>
          <w:rFonts w:asciiTheme="majorHAnsi" w:hAnsiTheme="majorHAnsi"/>
          <w:spacing w:val="1"/>
          <w:sz w:val="20"/>
          <w:szCs w:val="20"/>
        </w:rPr>
        <w:t xml:space="preserve"> </w:t>
      </w:r>
      <w:r w:rsidRPr="000977F7">
        <w:rPr>
          <w:rFonts w:asciiTheme="majorHAnsi" w:hAnsiTheme="majorHAnsi"/>
          <w:sz w:val="20"/>
          <w:szCs w:val="20"/>
        </w:rPr>
        <w:t>недоступної,</w:t>
      </w:r>
      <w:r w:rsidRPr="000977F7">
        <w:rPr>
          <w:rFonts w:asciiTheme="majorHAnsi" w:hAnsiTheme="majorHAnsi"/>
          <w:spacing w:val="1"/>
          <w:sz w:val="20"/>
          <w:szCs w:val="20"/>
        </w:rPr>
        <w:t xml:space="preserve"> </w:t>
      </w:r>
      <w:r w:rsidRPr="000977F7">
        <w:rPr>
          <w:rFonts w:asciiTheme="majorHAnsi" w:hAnsiTheme="majorHAnsi"/>
          <w:sz w:val="20"/>
          <w:szCs w:val="20"/>
        </w:rPr>
        <w:t>недостовірної,</w:t>
      </w:r>
      <w:r w:rsidRPr="000977F7">
        <w:rPr>
          <w:rFonts w:asciiTheme="majorHAnsi" w:hAnsiTheme="majorHAnsi"/>
          <w:spacing w:val="-47"/>
          <w:sz w:val="20"/>
          <w:szCs w:val="20"/>
        </w:rPr>
        <w:t xml:space="preserve"> </w:t>
      </w:r>
      <w:r w:rsidRPr="000977F7">
        <w:rPr>
          <w:rFonts w:asciiTheme="majorHAnsi" w:hAnsiTheme="majorHAnsi"/>
          <w:sz w:val="20"/>
          <w:szCs w:val="20"/>
        </w:rPr>
        <w:t>неповної або несвоєчасної інформації про продукцію</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4"/>
          <w:sz w:val="20"/>
          <w:szCs w:val="20"/>
        </w:rPr>
        <w:t xml:space="preserve"> </w:t>
      </w:r>
      <w:r w:rsidRPr="000977F7">
        <w:rPr>
          <w:rFonts w:asciiTheme="majorHAnsi" w:hAnsiTheme="majorHAnsi"/>
          <w:sz w:val="20"/>
          <w:szCs w:val="20"/>
        </w:rPr>
        <w:t>про</w:t>
      </w:r>
      <w:r w:rsidRPr="000977F7">
        <w:rPr>
          <w:rFonts w:asciiTheme="majorHAnsi" w:hAnsiTheme="majorHAnsi"/>
          <w:spacing w:val="-2"/>
          <w:sz w:val="20"/>
          <w:szCs w:val="20"/>
        </w:rPr>
        <w:t xml:space="preserve"> </w:t>
      </w:r>
      <w:r w:rsidRPr="000977F7">
        <w:rPr>
          <w:rFonts w:asciiTheme="majorHAnsi" w:hAnsiTheme="majorHAnsi"/>
          <w:sz w:val="20"/>
          <w:szCs w:val="20"/>
        </w:rPr>
        <w:t>виробника</w:t>
      </w:r>
      <w:r w:rsidRPr="000977F7">
        <w:rPr>
          <w:rFonts w:asciiTheme="majorHAnsi" w:hAnsiTheme="majorHAnsi"/>
          <w:spacing w:val="-3"/>
          <w:sz w:val="20"/>
          <w:szCs w:val="20"/>
        </w:rPr>
        <w:t xml:space="preserve"> </w:t>
      </w:r>
      <w:r w:rsidRPr="000977F7">
        <w:rPr>
          <w:rFonts w:asciiTheme="majorHAnsi" w:hAnsiTheme="majorHAnsi"/>
          <w:sz w:val="20"/>
          <w:szCs w:val="20"/>
        </w:rPr>
        <w:t>(виконавця,</w:t>
      </w:r>
      <w:r w:rsidRPr="000977F7">
        <w:rPr>
          <w:rFonts w:asciiTheme="majorHAnsi" w:hAnsiTheme="majorHAnsi"/>
          <w:spacing w:val="-3"/>
          <w:sz w:val="20"/>
          <w:szCs w:val="20"/>
        </w:rPr>
        <w:t xml:space="preserve"> </w:t>
      </w:r>
      <w:r w:rsidRPr="000977F7">
        <w:rPr>
          <w:rFonts w:asciiTheme="majorHAnsi" w:hAnsiTheme="majorHAnsi"/>
          <w:sz w:val="20"/>
          <w:szCs w:val="20"/>
        </w:rPr>
        <w:t>продавця)</w:t>
      </w:r>
      <w:r w:rsidRPr="000977F7">
        <w:rPr>
          <w:rFonts w:asciiTheme="majorHAnsi" w:hAnsiTheme="majorHAnsi"/>
          <w:spacing w:val="-4"/>
          <w:sz w:val="20"/>
          <w:szCs w:val="20"/>
        </w:rPr>
        <w:t xml:space="preserve"> </w:t>
      </w:r>
      <w:r w:rsidRPr="000977F7">
        <w:rPr>
          <w:rFonts w:asciiTheme="majorHAnsi" w:hAnsiTheme="majorHAnsi"/>
          <w:sz w:val="20"/>
          <w:szCs w:val="20"/>
        </w:rPr>
        <w:t>спричинило:</w:t>
      </w:r>
    </w:p>
    <w:p w14:paraId="26FDE555" w14:textId="77777777" w:rsidR="0097612F" w:rsidRPr="000977F7" w:rsidRDefault="0097612F" w:rsidP="00FD39A4">
      <w:pPr>
        <w:pStyle w:val="ac"/>
        <w:widowControl w:val="0"/>
        <w:numPr>
          <w:ilvl w:val="0"/>
          <w:numId w:val="95"/>
        </w:numPr>
        <w:tabs>
          <w:tab w:val="left" w:pos="284"/>
          <w:tab w:val="left" w:pos="59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придбання продукції, яка не має потрібних споживачеві властивостей, споживач має право розірвати</w:t>
      </w:r>
      <w:r w:rsidRPr="000977F7">
        <w:rPr>
          <w:rFonts w:asciiTheme="majorHAnsi" w:hAnsiTheme="majorHAnsi"/>
          <w:spacing w:val="1"/>
          <w:sz w:val="20"/>
          <w:szCs w:val="20"/>
        </w:rPr>
        <w:t xml:space="preserve"> </w:t>
      </w:r>
      <w:r w:rsidRPr="000977F7">
        <w:rPr>
          <w:rFonts w:asciiTheme="majorHAnsi" w:hAnsiTheme="majorHAnsi"/>
          <w:sz w:val="20"/>
          <w:szCs w:val="20"/>
        </w:rPr>
        <w:t>договір і вимагати відшкодування завданих йому збитків;</w:t>
      </w:r>
    </w:p>
    <w:p w14:paraId="7553AB8B" w14:textId="77777777" w:rsidR="0097612F" w:rsidRPr="000977F7" w:rsidRDefault="0097612F" w:rsidP="00FD39A4">
      <w:pPr>
        <w:pStyle w:val="ac"/>
        <w:widowControl w:val="0"/>
        <w:numPr>
          <w:ilvl w:val="0"/>
          <w:numId w:val="95"/>
        </w:numPr>
        <w:tabs>
          <w:tab w:val="left" w:pos="284"/>
          <w:tab w:val="left" w:pos="63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lastRenderedPageBreak/>
        <w:t>неможливість використання придбаної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за призначенням споживач має право вимагати надання у прийнятно короткий, але не більше місяця,</w:t>
      </w:r>
      <w:r w:rsidRPr="000977F7">
        <w:rPr>
          <w:rFonts w:asciiTheme="majorHAnsi" w:hAnsiTheme="majorHAnsi"/>
          <w:spacing w:val="1"/>
          <w:sz w:val="20"/>
          <w:szCs w:val="20"/>
        </w:rPr>
        <w:t xml:space="preserve"> </w:t>
      </w:r>
      <w:r w:rsidRPr="000977F7">
        <w:rPr>
          <w:rFonts w:asciiTheme="majorHAnsi" w:hAnsiTheme="majorHAnsi"/>
          <w:sz w:val="20"/>
          <w:szCs w:val="20"/>
        </w:rPr>
        <w:t>строк належної інформації. Якщо інформацію в обумовлений строк не буде надано, споживач має право</w:t>
      </w:r>
      <w:r w:rsidRPr="000977F7">
        <w:rPr>
          <w:rFonts w:asciiTheme="majorHAnsi" w:hAnsiTheme="majorHAnsi"/>
          <w:spacing w:val="1"/>
          <w:sz w:val="20"/>
          <w:szCs w:val="20"/>
        </w:rPr>
        <w:t xml:space="preserve"> </w:t>
      </w:r>
      <w:r w:rsidRPr="000977F7">
        <w:rPr>
          <w:rFonts w:asciiTheme="majorHAnsi" w:hAnsiTheme="majorHAnsi"/>
          <w:sz w:val="20"/>
          <w:szCs w:val="20"/>
        </w:rPr>
        <w:t>розірвати</w:t>
      </w:r>
      <w:r w:rsidRPr="000977F7">
        <w:rPr>
          <w:rFonts w:asciiTheme="majorHAnsi" w:hAnsiTheme="majorHAnsi"/>
          <w:spacing w:val="-4"/>
          <w:sz w:val="20"/>
          <w:szCs w:val="20"/>
        </w:rPr>
        <w:t xml:space="preserve"> </w:t>
      </w:r>
      <w:r w:rsidRPr="000977F7">
        <w:rPr>
          <w:rFonts w:asciiTheme="majorHAnsi" w:hAnsiTheme="majorHAnsi"/>
          <w:sz w:val="20"/>
          <w:szCs w:val="20"/>
        </w:rPr>
        <w:t>договір</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4"/>
          <w:sz w:val="20"/>
          <w:szCs w:val="20"/>
        </w:rPr>
        <w:t xml:space="preserve"> </w:t>
      </w:r>
      <w:r w:rsidRPr="000977F7">
        <w:rPr>
          <w:rFonts w:asciiTheme="majorHAnsi" w:hAnsiTheme="majorHAnsi"/>
          <w:sz w:val="20"/>
          <w:szCs w:val="20"/>
        </w:rPr>
        <w:t>вимагати</w:t>
      </w:r>
      <w:r w:rsidRPr="000977F7">
        <w:rPr>
          <w:rFonts w:asciiTheme="majorHAnsi" w:hAnsiTheme="majorHAnsi"/>
          <w:spacing w:val="-2"/>
          <w:sz w:val="20"/>
          <w:szCs w:val="20"/>
        </w:rPr>
        <w:t xml:space="preserve"> </w:t>
      </w:r>
      <w:r w:rsidRPr="000977F7">
        <w:rPr>
          <w:rFonts w:asciiTheme="majorHAnsi" w:hAnsiTheme="majorHAnsi"/>
          <w:sz w:val="20"/>
          <w:szCs w:val="20"/>
        </w:rPr>
        <w:t>відшкодування</w:t>
      </w:r>
      <w:r w:rsidRPr="000977F7">
        <w:rPr>
          <w:rFonts w:asciiTheme="majorHAnsi" w:hAnsiTheme="majorHAnsi"/>
          <w:spacing w:val="-4"/>
          <w:sz w:val="20"/>
          <w:szCs w:val="20"/>
        </w:rPr>
        <w:t xml:space="preserve"> </w:t>
      </w:r>
      <w:r w:rsidRPr="000977F7">
        <w:rPr>
          <w:rFonts w:asciiTheme="majorHAnsi" w:hAnsiTheme="majorHAnsi"/>
          <w:sz w:val="20"/>
          <w:szCs w:val="20"/>
        </w:rPr>
        <w:t>збитків;</w:t>
      </w:r>
    </w:p>
    <w:p w14:paraId="25E8E025" w14:textId="77777777" w:rsidR="0097612F" w:rsidRPr="000977F7" w:rsidRDefault="0097612F" w:rsidP="00FD39A4">
      <w:pPr>
        <w:pStyle w:val="ac"/>
        <w:widowControl w:val="0"/>
        <w:numPr>
          <w:ilvl w:val="0"/>
          <w:numId w:val="95"/>
        </w:numPr>
        <w:tabs>
          <w:tab w:val="left" w:pos="284"/>
          <w:tab w:val="left" w:pos="66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заподіяння</w:t>
      </w:r>
      <w:r w:rsidRPr="000977F7">
        <w:rPr>
          <w:rFonts w:asciiTheme="majorHAnsi" w:hAnsiTheme="majorHAnsi"/>
          <w:spacing w:val="1"/>
          <w:sz w:val="20"/>
          <w:szCs w:val="20"/>
        </w:rPr>
        <w:t xml:space="preserve"> </w:t>
      </w:r>
      <w:r w:rsidRPr="000977F7">
        <w:rPr>
          <w:rFonts w:asciiTheme="majorHAnsi" w:hAnsiTheme="majorHAnsi"/>
          <w:sz w:val="20"/>
          <w:szCs w:val="20"/>
        </w:rPr>
        <w:t>шкоди</w:t>
      </w:r>
      <w:r w:rsidRPr="000977F7">
        <w:rPr>
          <w:rFonts w:asciiTheme="majorHAnsi" w:hAnsiTheme="majorHAnsi"/>
          <w:spacing w:val="1"/>
          <w:sz w:val="20"/>
          <w:szCs w:val="20"/>
        </w:rPr>
        <w:t xml:space="preserve"> </w:t>
      </w:r>
      <w:r w:rsidRPr="000977F7">
        <w:rPr>
          <w:rFonts w:asciiTheme="majorHAnsi" w:hAnsiTheme="majorHAnsi"/>
          <w:sz w:val="20"/>
          <w:szCs w:val="20"/>
        </w:rPr>
        <w:t>життю,</w:t>
      </w:r>
      <w:r w:rsidRPr="000977F7">
        <w:rPr>
          <w:rFonts w:asciiTheme="majorHAnsi" w:hAnsiTheme="majorHAnsi"/>
          <w:spacing w:val="1"/>
          <w:sz w:val="20"/>
          <w:szCs w:val="20"/>
        </w:rPr>
        <w:t xml:space="preserve"> </w:t>
      </w:r>
      <w:r w:rsidRPr="000977F7">
        <w:rPr>
          <w:rFonts w:asciiTheme="majorHAnsi" w:hAnsiTheme="majorHAnsi"/>
          <w:sz w:val="20"/>
          <w:szCs w:val="20"/>
        </w:rPr>
        <w:t>здоров'ю</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майну</w:t>
      </w:r>
      <w:r w:rsidRPr="000977F7">
        <w:rPr>
          <w:rFonts w:asciiTheme="majorHAnsi" w:hAnsiTheme="majorHAnsi"/>
          <w:spacing w:val="1"/>
          <w:sz w:val="20"/>
          <w:szCs w:val="20"/>
        </w:rPr>
        <w:t xml:space="preserve"> </w:t>
      </w:r>
      <w:r w:rsidRPr="000977F7">
        <w:rPr>
          <w:rFonts w:asciiTheme="majorHAnsi" w:hAnsiTheme="majorHAnsi"/>
          <w:sz w:val="20"/>
          <w:szCs w:val="20"/>
        </w:rPr>
        <w:t>споживача споживач має право пред'явити продавцю</w:t>
      </w:r>
      <w:r w:rsidRPr="000977F7">
        <w:rPr>
          <w:rFonts w:asciiTheme="majorHAnsi" w:hAnsiTheme="majorHAnsi"/>
          <w:spacing w:val="-47"/>
          <w:sz w:val="20"/>
          <w:szCs w:val="20"/>
        </w:rPr>
        <w:t xml:space="preserve"> </w:t>
      </w:r>
      <w:r w:rsidRPr="000977F7">
        <w:rPr>
          <w:rFonts w:asciiTheme="majorHAnsi" w:hAnsiTheme="majorHAnsi"/>
          <w:sz w:val="20"/>
          <w:szCs w:val="20"/>
        </w:rPr>
        <w:t>(виробнику,</w:t>
      </w:r>
      <w:r w:rsidRPr="000977F7">
        <w:rPr>
          <w:rFonts w:asciiTheme="majorHAnsi" w:hAnsiTheme="majorHAnsi"/>
          <w:spacing w:val="1"/>
          <w:sz w:val="20"/>
          <w:szCs w:val="20"/>
        </w:rPr>
        <w:t xml:space="preserve"> </w:t>
      </w:r>
      <w:r w:rsidRPr="000977F7">
        <w:rPr>
          <w:rFonts w:asciiTheme="majorHAnsi" w:hAnsiTheme="majorHAnsi"/>
          <w:sz w:val="20"/>
          <w:szCs w:val="20"/>
        </w:rPr>
        <w:t>виконавцю)</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передбачені</w:t>
      </w:r>
      <w:r w:rsidRPr="000977F7">
        <w:rPr>
          <w:rFonts w:asciiTheme="majorHAnsi" w:hAnsiTheme="majorHAnsi"/>
          <w:spacing w:val="1"/>
          <w:sz w:val="20"/>
          <w:szCs w:val="20"/>
        </w:rPr>
        <w:t xml:space="preserve"> </w:t>
      </w:r>
      <w:r w:rsidRPr="000977F7">
        <w:rPr>
          <w:rFonts w:asciiTheme="majorHAnsi" w:hAnsiTheme="majorHAnsi"/>
          <w:sz w:val="20"/>
          <w:szCs w:val="20"/>
        </w:rPr>
        <w:t>законом, а також вимагати відшкодування збитків, завданих природним об'єктам, що перебувають у його володінні</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праві</w:t>
      </w:r>
      <w:r w:rsidRPr="000977F7">
        <w:rPr>
          <w:rFonts w:asciiTheme="majorHAnsi" w:hAnsiTheme="majorHAnsi"/>
          <w:spacing w:val="1"/>
          <w:sz w:val="20"/>
          <w:szCs w:val="20"/>
        </w:rPr>
        <w:t xml:space="preserve"> </w:t>
      </w:r>
      <w:r w:rsidRPr="000977F7">
        <w:rPr>
          <w:rFonts w:asciiTheme="majorHAnsi" w:hAnsiTheme="majorHAnsi"/>
          <w:sz w:val="20"/>
          <w:szCs w:val="20"/>
        </w:rPr>
        <w:t>власності</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підставах,</w:t>
      </w:r>
      <w:r w:rsidRPr="000977F7">
        <w:rPr>
          <w:rFonts w:asciiTheme="majorHAnsi" w:hAnsiTheme="majorHAnsi"/>
          <w:spacing w:val="-47"/>
          <w:sz w:val="20"/>
          <w:szCs w:val="20"/>
        </w:rPr>
        <w:t xml:space="preserve"> </w:t>
      </w:r>
      <w:r w:rsidRPr="000977F7">
        <w:rPr>
          <w:rFonts w:asciiTheme="majorHAnsi" w:hAnsiTheme="majorHAnsi"/>
          <w:sz w:val="20"/>
          <w:szCs w:val="20"/>
        </w:rPr>
        <w:t>передбачених</w:t>
      </w:r>
      <w:r w:rsidRPr="000977F7">
        <w:rPr>
          <w:rFonts w:asciiTheme="majorHAnsi" w:hAnsiTheme="majorHAnsi"/>
          <w:spacing w:val="-2"/>
          <w:sz w:val="20"/>
          <w:szCs w:val="20"/>
        </w:rPr>
        <w:t xml:space="preserve"> </w:t>
      </w:r>
      <w:r w:rsidRPr="000977F7">
        <w:rPr>
          <w:rFonts w:asciiTheme="majorHAnsi" w:hAnsiTheme="majorHAnsi"/>
          <w:sz w:val="20"/>
          <w:szCs w:val="20"/>
        </w:rPr>
        <w:t>законом</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договором.</w:t>
      </w:r>
    </w:p>
    <w:p w14:paraId="71EBAD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8. Збитки, завдані споживачеві недобросовісною рекламою, підлягають відшкодуванню винною особою у повному обсязі.</w:t>
      </w:r>
    </w:p>
    <w:p w14:paraId="796FD5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Продавець не звільняється від відповідальності у разі неодержання ним від виробника (імпортера) відповідної інформації про товар.</w:t>
      </w:r>
    </w:p>
    <w:p w14:paraId="5265E51B" w14:textId="77777777" w:rsidR="0097612F" w:rsidRPr="000977F7" w:rsidRDefault="0097612F" w:rsidP="00FD39A4">
      <w:pPr>
        <w:pStyle w:val="ac"/>
        <w:widowControl w:val="0"/>
        <w:numPr>
          <w:ilvl w:val="0"/>
          <w:numId w:val="230"/>
        </w:numPr>
        <w:tabs>
          <w:tab w:val="left" w:pos="28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Під час розгляду вимог споживача про відшкодування збитків, завданих недостовірною або неповною</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інформацією про продукцію чи недобросовісною рекламою, необхідно виходити з припущення, що у споживача немає спеціальних знань про властивості та</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характеристики</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яку</w:t>
      </w:r>
      <w:r w:rsidRPr="000977F7">
        <w:rPr>
          <w:rFonts w:asciiTheme="majorHAnsi" w:hAnsiTheme="majorHAnsi"/>
          <w:spacing w:val="-5"/>
          <w:sz w:val="20"/>
          <w:szCs w:val="20"/>
        </w:rPr>
        <w:t xml:space="preserve"> </w:t>
      </w:r>
      <w:r w:rsidRPr="000977F7">
        <w:rPr>
          <w:rFonts w:asciiTheme="majorHAnsi" w:hAnsiTheme="majorHAnsi"/>
          <w:sz w:val="20"/>
          <w:szCs w:val="20"/>
        </w:rPr>
        <w:t>він придбаває.</w:t>
      </w:r>
    </w:p>
    <w:p w14:paraId="2A1315C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15 закону України "Про захист прав споживачів"</w:t>
      </w:r>
    </w:p>
    <w:p w14:paraId="3936318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ПРАВОВИЙ ЗАХИСТ СЛУЖБОВИХ ОСІБ ЦЕНТРАЛЬНОГО ОРГАНУ ВИКОНАВЧОЇ ВЛАДИ, ЩО РЕАЛІЗУЄ ДЕРЖАВНУ ПОЛІТИКУ У СФЕРІ ДЕРЖАВНОГО КОНТРОЛЮ ЗА ДОДЕРЖАННЯМ ЗАКОНОДАВСТВА ПРО ЗАХИСТ ПРАВ СПОЖИВАЧІВ -</w:t>
      </w:r>
    </w:p>
    <w:p w14:paraId="6F16EC85"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1. Службова особа центрального органу виконавчої влади, що реалізує державну політику у сфері державного контролю за додержанням законодавства про захист прав споживачів, при виконанні своїх службових обов'язків перебуває під захистом закону.</w:t>
      </w:r>
    </w:p>
    <w:p w14:paraId="5D7C9A68"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bookmarkStart w:id="217" w:name="n592"/>
      <w:bookmarkEnd w:id="217"/>
      <w:r w:rsidRPr="000977F7">
        <w:rPr>
          <w:rFonts w:asciiTheme="majorHAnsi" w:hAnsiTheme="majorHAnsi"/>
          <w:sz w:val="20"/>
          <w:szCs w:val="20"/>
          <w:lang w:eastAsia="ru-RU"/>
        </w:rPr>
        <w:t>Держава гарантує захист життя, здоров'я, честі, гідності та майна службової особи центрального органу виконавчої влади, що реалізує державну політику у сфері державного контролю за додержанням законодавства про захист прав споживачів, і членів її сім'ї від кримінальних та інших протиправних дій.</w:t>
      </w:r>
    </w:p>
    <w:p w14:paraId="103C7DCC"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 xml:space="preserve">2. </w:t>
      </w:r>
      <w:r w:rsidRPr="000977F7">
        <w:rPr>
          <w:rFonts w:asciiTheme="majorHAnsi" w:hAnsiTheme="majorHAnsi"/>
          <w:sz w:val="20"/>
          <w:szCs w:val="20"/>
          <w:shd w:val="clear" w:color="auto" w:fill="FFFFFF"/>
        </w:rPr>
        <w:t>Службові особи центрального органу виконавчої влади, що реалізує державну політику у сфері державного контролю за додержанням законодавства про захист прав споживачів, підлягають загальнообов’язковому державному соціальному страхуванню відповідно до законодавства про загальнообов’язкове державне соціальне страхування.</w:t>
      </w:r>
    </w:p>
    <w:p w14:paraId="7BB2B1CE"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 xml:space="preserve">3. Образа службової особи центрального органу виконавчої влади, що реалізує державну політику у сфері державного контролю за додержанням законодавства про захист прав споживачів, а також опір, погроза, насильство та інші дії, які перешкоджають виконанню покладених на неї </w:t>
      </w:r>
      <w:r w:rsidRPr="000977F7">
        <w:rPr>
          <w:rFonts w:asciiTheme="majorHAnsi" w:hAnsiTheme="majorHAnsi"/>
          <w:sz w:val="20"/>
          <w:szCs w:val="20"/>
          <w:lang w:eastAsia="ru-RU"/>
        </w:rPr>
        <w:t>завдань, тягнуть за собою встановлену законом відповідальність.</w:t>
      </w:r>
    </w:p>
    <w:p w14:paraId="115C1C9B"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Шкода (збитки), завдані майну службової особи центрального органу виконавчої влади, що реалізує державну політику у сфері державного контролю за додержанням законодавства про захист прав споживачів, або членів її сім'ї у зв'язку з виконанням нею службових обов'язків, компенсуються в повному обсязі за рахунок коштів державного бюджету з подальшим стягненням цієї суми з винних осіб</w:t>
      </w:r>
    </w:p>
    <w:p w14:paraId="15C2280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6"/>
          <w:sz w:val="20"/>
          <w:szCs w:val="20"/>
        </w:rPr>
        <w:t xml:space="preserve"> </w:t>
      </w:r>
      <w:r w:rsidRPr="000977F7">
        <w:rPr>
          <w:rFonts w:asciiTheme="majorHAnsi" w:hAnsiTheme="majorHAnsi"/>
          <w:i/>
          <w:sz w:val="20"/>
          <w:szCs w:val="20"/>
        </w:rPr>
        <w:t>32</w:t>
      </w:r>
      <w:r w:rsidRPr="000977F7">
        <w:rPr>
          <w:rFonts w:asciiTheme="majorHAnsi" w:hAnsiTheme="majorHAnsi"/>
          <w:i/>
          <w:spacing w:val="-6"/>
          <w:sz w:val="20"/>
          <w:szCs w:val="20"/>
        </w:rPr>
        <w:t xml:space="preserve"> </w:t>
      </w:r>
      <w:r w:rsidRPr="000977F7">
        <w:rPr>
          <w:rFonts w:asciiTheme="majorHAnsi" w:hAnsiTheme="majorHAnsi"/>
          <w:i/>
          <w:sz w:val="20"/>
          <w:szCs w:val="20"/>
        </w:rPr>
        <w:t>закону</w:t>
      </w:r>
      <w:r w:rsidRPr="000977F7">
        <w:rPr>
          <w:rFonts w:asciiTheme="majorHAnsi" w:hAnsiTheme="majorHAnsi"/>
          <w:i/>
          <w:spacing w:val="-6"/>
          <w:sz w:val="20"/>
          <w:szCs w:val="20"/>
        </w:rPr>
        <w:t xml:space="preserve"> </w:t>
      </w:r>
      <w:r w:rsidRPr="000977F7">
        <w:rPr>
          <w:rFonts w:asciiTheme="majorHAnsi" w:hAnsiTheme="majorHAnsi"/>
          <w:i/>
          <w:sz w:val="20"/>
          <w:szCs w:val="20"/>
        </w:rPr>
        <w:t>України "Про</w:t>
      </w:r>
      <w:r w:rsidRPr="000977F7">
        <w:rPr>
          <w:rFonts w:asciiTheme="majorHAnsi" w:hAnsiTheme="majorHAnsi"/>
          <w:i/>
          <w:spacing w:val="-6"/>
          <w:sz w:val="20"/>
          <w:szCs w:val="20"/>
        </w:rPr>
        <w:t xml:space="preserve"> </w:t>
      </w:r>
      <w:r w:rsidRPr="000977F7">
        <w:rPr>
          <w:rFonts w:asciiTheme="majorHAnsi" w:hAnsiTheme="majorHAnsi"/>
          <w:i/>
          <w:sz w:val="20"/>
          <w:szCs w:val="20"/>
        </w:rPr>
        <w:t>захист</w:t>
      </w:r>
      <w:r w:rsidRPr="000977F7">
        <w:rPr>
          <w:rFonts w:asciiTheme="majorHAnsi" w:hAnsiTheme="majorHAnsi"/>
          <w:i/>
          <w:spacing w:val="-6"/>
          <w:sz w:val="20"/>
          <w:szCs w:val="20"/>
        </w:rPr>
        <w:t xml:space="preserve"> </w:t>
      </w:r>
      <w:r w:rsidRPr="000977F7">
        <w:rPr>
          <w:rFonts w:asciiTheme="majorHAnsi" w:hAnsiTheme="majorHAnsi"/>
          <w:i/>
          <w:sz w:val="20"/>
          <w:szCs w:val="20"/>
        </w:rPr>
        <w:t>прав</w:t>
      </w:r>
      <w:r w:rsidRPr="000977F7">
        <w:rPr>
          <w:rFonts w:asciiTheme="majorHAnsi" w:hAnsiTheme="majorHAnsi"/>
          <w:i/>
          <w:spacing w:val="-7"/>
          <w:sz w:val="20"/>
          <w:szCs w:val="20"/>
        </w:rPr>
        <w:t xml:space="preserve"> </w:t>
      </w:r>
      <w:r w:rsidRPr="000977F7">
        <w:rPr>
          <w:rFonts w:asciiTheme="majorHAnsi" w:hAnsiTheme="majorHAnsi"/>
          <w:i/>
          <w:sz w:val="20"/>
          <w:szCs w:val="20"/>
        </w:rPr>
        <w:t>споживачів"</w:t>
      </w:r>
    </w:p>
    <w:p w14:paraId="54862D1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ПРАЦЕЗДАТНИЙ</w:t>
      </w:r>
      <w:r w:rsidRPr="000977F7">
        <w:rPr>
          <w:color w:val="auto"/>
          <w:spacing w:val="40"/>
          <w:sz w:val="20"/>
          <w:szCs w:val="20"/>
        </w:rPr>
        <w:t xml:space="preserve"> </w:t>
      </w:r>
      <w:r w:rsidRPr="000977F7">
        <w:rPr>
          <w:color w:val="auto"/>
          <w:sz w:val="20"/>
          <w:szCs w:val="20"/>
        </w:rPr>
        <w:t>СТАН;</w:t>
      </w:r>
      <w:r w:rsidRPr="000977F7">
        <w:rPr>
          <w:color w:val="auto"/>
          <w:spacing w:val="-47"/>
          <w:sz w:val="20"/>
          <w:szCs w:val="20"/>
        </w:rPr>
        <w:t xml:space="preserve"> </w:t>
      </w:r>
      <w:r w:rsidRPr="000977F7">
        <w:rPr>
          <w:color w:val="auto"/>
          <w:sz w:val="20"/>
          <w:szCs w:val="20"/>
        </w:rPr>
        <w:t>ПРАЦЕЗДАТНІСТЬ</w:t>
      </w:r>
      <w:r w:rsidRPr="000977F7">
        <w:rPr>
          <w:color w:val="auto"/>
          <w:spacing w:val="-1"/>
          <w:sz w:val="20"/>
          <w:szCs w:val="20"/>
        </w:rPr>
        <w:t xml:space="preserve"> </w:t>
      </w:r>
      <w:r w:rsidRPr="000977F7">
        <w:rPr>
          <w:color w:val="auto"/>
          <w:sz w:val="20"/>
          <w:szCs w:val="20"/>
        </w:rPr>
        <w:t>–</w:t>
      </w:r>
    </w:p>
    <w:p w14:paraId="3A7DC7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UP</w:t>
      </w:r>
      <w:r w:rsidRPr="000977F7">
        <w:rPr>
          <w:rFonts w:asciiTheme="majorHAnsi" w:hAnsiTheme="majorHAnsi"/>
          <w:spacing w:val="1"/>
          <w:sz w:val="20"/>
          <w:szCs w:val="20"/>
        </w:rPr>
        <w:t xml:space="preserve"> </w:t>
      </w:r>
      <w:r w:rsidRPr="000977F7">
        <w:rPr>
          <w:rFonts w:asciiTheme="majorHAnsi" w:hAnsiTheme="majorHAnsi"/>
          <w:sz w:val="20"/>
          <w:szCs w:val="20"/>
        </w:rPr>
        <w:t>STATE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066B4B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 об’єкта, який характеризується його здатністю</w:t>
      </w:r>
      <w:r w:rsidRPr="000977F7">
        <w:rPr>
          <w:rFonts w:asciiTheme="majorHAnsi" w:hAnsiTheme="majorHAnsi"/>
          <w:spacing w:val="1"/>
          <w:sz w:val="20"/>
          <w:szCs w:val="20"/>
        </w:rPr>
        <w:t xml:space="preserve"> </w:t>
      </w:r>
      <w:r w:rsidRPr="000977F7">
        <w:rPr>
          <w:rFonts w:asciiTheme="majorHAnsi" w:hAnsiTheme="majorHAnsi"/>
          <w:sz w:val="20"/>
          <w:szCs w:val="20"/>
        </w:rPr>
        <w:t>виконувати усі</w:t>
      </w:r>
      <w:r w:rsidRPr="000977F7">
        <w:rPr>
          <w:rFonts w:asciiTheme="majorHAnsi" w:hAnsiTheme="majorHAnsi"/>
          <w:spacing w:val="2"/>
          <w:sz w:val="20"/>
          <w:szCs w:val="20"/>
        </w:rPr>
        <w:t xml:space="preserve"> </w:t>
      </w:r>
      <w:r w:rsidRPr="000977F7">
        <w:rPr>
          <w:rFonts w:asciiTheme="majorHAnsi" w:hAnsiTheme="majorHAnsi"/>
          <w:sz w:val="20"/>
          <w:szCs w:val="20"/>
        </w:rPr>
        <w:t>потрібні</w:t>
      </w:r>
      <w:r w:rsidRPr="000977F7">
        <w:rPr>
          <w:rFonts w:asciiTheme="majorHAnsi" w:hAnsiTheme="majorHAnsi"/>
          <w:spacing w:val="-2"/>
          <w:sz w:val="20"/>
          <w:szCs w:val="20"/>
        </w:rPr>
        <w:t xml:space="preserve"> </w:t>
      </w:r>
      <w:r w:rsidRPr="000977F7">
        <w:rPr>
          <w:rFonts w:asciiTheme="majorHAnsi" w:hAnsiTheme="majorHAnsi"/>
          <w:sz w:val="20"/>
          <w:szCs w:val="20"/>
        </w:rPr>
        <w:t>функції</w:t>
      </w:r>
    </w:p>
    <w:p w14:paraId="5D2B12E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 94</w:t>
      </w:r>
    </w:p>
    <w:p w14:paraId="5881184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218" w:name="_Hlk102150863"/>
      <w:r w:rsidRPr="000977F7">
        <w:rPr>
          <w:color w:val="auto"/>
          <w:sz w:val="20"/>
          <w:szCs w:val="20"/>
        </w:rPr>
        <w:t>ПРАЦЕЗДАТНИЙ</w:t>
      </w:r>
      <w:r w:rsidRPr="000977F7">
        <w:rPr>
          <w:color w:val="auto"/>
          <w:spacing w:val="-5"/>
          <w:sz w:val="20"/>
          <w:szCs w:val="20"/>
        </w:rPr>
        <w:t xml:space="preserve"> </w:t>
      </w:r>
      <w:r w:rsidRPr="000977F7">
        <w:rPr>
          <w:color w:val="auto"/>
          <w:sz w:val="20"/>
          <w:szCs w:val="20"/>
        </w:rPr>
        <w:t>СТАН</w:t>
      </w:r>
      <w:r w:rsidRPr="000977F7">
        <w:rPr>
          <w:color w:val="auto"/>
          <w:spacing w:val="39"/>
          <w:sz w:val="20"/>
          <w:szCs w:val="20"/>
        </w:rPr>
        <w:t xml:space="preserve"> </w:t>
      </w:r>
      <w:r w:rsidRPr="000977F7">
        <w:rPr>
          <w:color w:val="auto"/>
          <w:sz w:val="20"/>
          <w:szCs w:val="20"/>
        </w:rPr>
        <w:t>ТЕХНОЛОГІЧНОЇ</w:t>
      </w:r>
      <w:r w:rsidRPr="000977F7">
        <w:rPr>
          <w:color w:val="auto"/>
          <w:spacing w:val="-47"/>
          <w:sz w:val="20"/>
          <w:szCs w:val="20"/>
        </w:rPr>
        <w:t xml:space="preserve"> </w:t>
      </w:r>
      <w:r w:rsidRPr="000977F7">
        <w:rPr>
          <w:color w:val="auto"/>
          <w:sz w:val="20"/>
          <w:szCs w:val="20"/>
        </w:rPr>
        <w:t>СИСТЕМИ –</w:t>
      </w:r>
    </w:p>
    <w:p w14:paraId="6B8E7A3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SERVICEABLE</w:t>
      </w:r>
      <w:r w:rsidRPr="004D2D14">
        <w:rPr>
          <w:rFonts w:asciiTheme="majorHAnsi" w:hAnsiTheme="majorHAnsi"/>
          <w:spacing w:val="43"/>
          <w:sz w:val="20"/>
          <w:szCs w:val="20"/>
          <w:lang w:val="en-US"/>
        </w:rPr>
        <w:t xml:space="preserve"> </w:t>
      </w:r>
      <w:r w:rsidRPr="004D2D14">
        <w:rPr>
          <w:rFonts w:asciiTheme="majorHAnsi" w:hAnsiTheme="majorHAnsi"/>
          <w:sz w:val="20"/>
          <w:szCs w:val="20"/>
          <w:lang w:val="en-US"/>
        </w:rPr>
        <w:t>CONDITION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TECHNOLOGICAL</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SYSTEM –</w:t>
      </w:r>
    </w:p>
    <w:bookmarkEnd w:id="218"/>
    <w:p w14:paraId="53F3A94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Стан</w:t>
      </w:r>
      <w:r w:rsidRPr="004D2D14">
        <w:rPr>
          <w:rFonts w:asciiTheme="majorHAnsi" w:hAnsiTheme="majorHAnsi"/>
          <w:sz w:val="20"/>
          <w:szCs w:val="20"/>
          <w:lang w:val="en-US"/>
        </w:rPr>
        <w:t xml:space="preserve"> </w:t>
      </w:r>
      <w:r w:rsidRPr="000977F7">
        <w:rPr>
          <w:rFonts w:asciiTheme="majorHAnsi" w:hAnsiTheme="majorHAnsi"/>
          <w:sz w:val="20"/>
          <w:szCs w:val="20"/>
        </w:rPr>
        <w:t>технологічної</w:t>
      </w:r>
      <w:r w:rsidRPr="004D2D14">
        <w:rPr>
          <w:rFonts w:asciiTheme="majorHAnsi" w:hAnsiTheme="majorHAnsi"/>
          <w:sz w:val="20"/>
          <w:szCs w:val="20"/>
          <w:lang w:val="en-US"/>
        </w:rPr>
        <w:t xml:space="preserve"> </w:t>
      </w:r>
      <w:r w:rsidRPr="000977F7">
        <w:rPr>
          <w:rFonts w:asciiTheme="majorHAnsi" w:hAnsiTheme="majorHAnsi"/>
          <w:sz w:val="20"/>
          <w:szCs w:val="20"/>
        </w:rPr>
        <w:t>системи</w:t>
      </w:r>
      <w:r w:rsidRPr="004D2D14">
        <w:rPr>
          <w:rFonts w:asciiTheme="majorHAnsi" w:hAnsiTheme="majorHAnsi"/>
          <w:sz w:val="20"/>
          <w:szCs w:val="20"/>
          <w:lang w:val="en-US"/>
        </w:rPr>
        <w:t xml:space="preserve">, </w:t>
      </w:r>
      <w:r w:rsidRPr="000977F7">
        <w:rPr>
          <w:rFonts w:asciiTheme="majorHAnsi" w:hAnsiTheme="majorHAnsi"/>
          <w:sz w:val="20"/>
          <w:szCs w:val="20"/>
        </w:rPr>
        <w:t>який</w:t>
      </w:r>
      <w:r w:rsidRPr="004D2D14">
        <w:rPr>
          <w:rFonts w:asciiTheme="majorHAnsi" w:hAnsiTheme="majorHAnsi"/>
          <w:sz w:val="20"/>
          <w:szCs w:val="20"/>
          <w:lang w:val="en-US"/>
        </w:rPr>
        <w:t xml:space="preserve"> </w:t>
      </w:r>
      <w:r w:rsidRPr="000977F7">
        <w:rPr>
          <w:rFonts w:asciiTheme="majorHAnsi" w:hAnsiTheme="majorHAnsi"/>
          <w:sz w:val="20"/>
          <w:szCs w:val="20"/>
        </w:rPr>
        <w:t>характеризується</w:t>
      </w:r>
      <w:r w:rsidRPr="004D2D14">
        <w:rPr>
          <w:rFonts w:asciiTheme="majorHAnsi" w:hAnsiTheme="majorHAnsi"/>
          <w:sz w:val="20"/>
          <w:szCs w:val="20"/>
          <w:lang w:val="en-US"/>
        </w:rPr>
        <w:t xml:space="preserve"> </w:t>
      </w:r>
      <w:r w:rsidRPr="000977F7">
        <w:rPr>
          <w:rFonts w:asciiTheme="majorHAnsi" w:hAnsiTheme="majorHAnsi"/>
          <w:sz w:val="20"/>
          <w:szCs w:val="20"/>
        </w:rPr>
        <w:t>її</w:t>
      </w:r>
      <w:r w:rsidRPr="004D2D14">
        <w:rPr>
          <w:rFonts w:asciiTheme="majorHAnsi" w:hAnsiTheme="majorHAnsi"/>
          <w:spacing w:val="1"/>
          <w:sz w:val="20"/>
          <w:szCs w:val="20"/>
          <w:lang w:val="en-US"/>
        </w:rPr>
        <w:t xml:space="preserve"> </w:t>
      </w:r>
      <w:r w:rsidRPr="000977F7">
        <w:rPr>
          <w:rFonts w:asciiTheme="majorHAnsi" w:hAnsiTheme="majorHAnsi"/>
          <w:sz w:val="20"/>
          <w:szCs w:val="20"/>
        </w:rPr>
        <w:t>здатністю</w:t>
      </w:r>
      <w:r w:rsidRPr="004D2D14">
        <w:rPr>
          <w:rFonts w:asciiTheme="majorHAnsi" w:hAnsiTheme="majorHAnsi"/>
          <w:sz w:val="20"/>
          <w:szCs w:val="20"/>
          <w:lang w:val="en-US"/>
        </w:rPr>
        <w:t xml:space="preserve"> </w:t>
      </w:r>
      <w:r w:rsidRPr="000977F7">
        <w:rPr>
          <w:rFonts w:asciiTheme="majorHAnsi" w:hAnsiTheme="majorHAnsi"/>
          <w:sz w:val="20"/>
          <w:szCs w:val="20"/>
        </w:rPr>
        <w:t>виконувати</w:t>
      </w:r>
      <w:r w:rsidRPr="004D2D14">
        <w:rPr>
          <w:rFonts w:asciiTheme="majorHAnsi" w:hAnsiTheme="majorHAnsi"/>
          <w:sz w:val="20"/>
          <w:szCs w:val="20"/>
          <w:lang w:val="en-US"/>
        </w:rPr>
        <w:t xml:space="preserve"> </w:t>
      </w:r>
      <w:r w:rsidRPr="000977F7">
        <w:rPr>
          <w:rFonts w:asciiTheme="majorHAnsi" w:hAnsiTheme="majorHAnsi"/>
          <w:sz w:val="20"/>
          <w:szCs w:val="20"/>
        </w:rPr>
        <w:t>потрібні</w:t>
      </w:r>
      <w:r w:rsidRPr="004D2D14">
        <w:rPr>
          <w:rFonts w:asciiTheme="majorHAnsi" w:hAnsiTheme="majorHAnsi"/>
          <w:sz w:val="20"/>
          <w:szCs w:val="20"/>
          <w:lang w:val="en-US"/>
        </w:rPr>
        <w:t xml:space="preserve"> </w:t>
      </w:r>
      <w:r w:rsidRPr="000977F7">
        <w:rPr>
          <w:rFonts w:asciiTheme="majorHAnsi" w:hAnsiTheme="majorHAnsi"/>
          <w:sz w:val="20"/>
          <w:szCs w:val="20"/>
        </w:rPr>
        <w:t>функції</w:t>
      </w:r>
      <w:r w:rsidRPr="004D2D14">
        <w:rPr>
          <w:rFonts w:asciiTheme="majorHAnsi" w:hAnsiTheme="majorHAnsi"/>
          <w:sz w:val="20"/>
          <w:szCs w:val="20"/>
          <w:lang w:val="en-US"/>
        </w:rPr>
        <w:t xml:space="preserve"> </w:t>
      </w:r>
      <w:r w:rsidRPr="000977F7">
        <w:rPr>
          <w:rFonts w:asciiTheme="majorHAnsi" w:hAnsiTheme="majorHAnsi"/>
          <w:sz w:val="20"/>
          <w:szCs w:val="20"/>
        </w:rPr>
        <w:t>за</w:t>
      </w:r>
      <w:r w:rsidRPr="004D2D14">
        <w:rPr>
          <w:rFonts w:asciiTheme="majorHAnsi" w:hAnsiTheme="majorHAnsi"/>
          <w:sz w:val="20"/>
          <w:szCs w:val="20"/>
          <w:lang w:val="en-US"/>
        </w:rPr>
        <w:t xml:space="preserve"> </w:t>
      </w:r>
      <w:r w:rsidRPr="000977F7">
        <w:rPr>
          <w:rFonts w:asciiTheme="majorHAnsi" w:hAnsiTheme="majorHAnsi"/>
          <w:sz w:val="20"/>
          <w:szCs w:val="20"/>
        </w:rPr>
        <w:t>умови</w:t>
      </w:r>
      <w:r w:rsidRPr="004D2D14">
        <w:rPr>
          <w:rFonts w:asciiTheme="majorHAnsi" w:hAnsiTheme="majorHAnsi"/>
          <w:sz w:val="20"/>
          <w:szCs w:val="20"/>
          <w:lang w:val="en-US"/>
        </w:rPr>
        <w:t xml:space="preserve"> </w:t>
      </w:r>
      <w:r w:rsidRPr="000977F7">
        <w:rPr>
          <w:rFonts w:asciiTheme="majorHAnsi" w:hAnsiTheme="majorHAnsi"/>
          <w:sz w:val="20"/>
          <w:szCs w:val="20"/>
        </w:rPr>
        <w:t>забезпечення</w:t>
      </w:r>
      <w:r w:rsidRPr="004D2D14">
        <w:rPr>
          <w:rFonts w:asciiTheme="majorHAnsi" w:hAnsiTheme="majorHAnsi"/>
          <w:spacing w:val="-2"/>
          <w:sz w:val="20"/>
          <w:szCs w:val="20"/>
          <w:lang w:val="en-US"/>
        </w:rPr>
        <w:t xml:space="preserve"> </w:t>
      </w:r>
      <w:r w:rsidRPr="000977F7">
        <w:rPr>
          <w:rFonts w:asciiTheme="majorHAnsi" w:hAnsiTheme="majorHAnsi"/>
          <w:sz w:val="20"/>
          <w:szCs w:val="20"/>
        </w:rPr>
        <w:t>зовнішніми</w:t>
      </w:r>
      <w:r w:rsidRPr="004D2D14">
        <w:rPr>
          <w:rFonts w:asciiTheme="majorHAnsi" w:hAnsiTheme="majorHAnsi"/>
          <w:spacing w:val="-1"/>
          <w:sz w:val="20"/>
          <w:szCs w:val="20"/>
          <w:lang w:val="en-US"/>
        </w:rPr>
        <w:t xml:space="preserve"> </w:t>
      </w:r>
      <w:r w:rsidRPr="000977F7">
        <w:rPr>
          <w:rFonts w:asciiTheme="majorHAnsi" w:hAnsiTheme="majorHAnsi"/>
          <w:sz w:val="20"/>
          <w:szCs w:val="20"/>
        </w:rPr>
        <w:t>ресурсами</w:t>
      </w:r>
    </w:p>
    <w:p w14:paraId="45B2219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2470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DBEC5E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ПРАЦЕЗДАТНІСТЬ</w:t>
      </w:r>
      <w:r w:rsidRPr="000977F7">
        <w:rPr>
          <w:color w:val="auto"/>
          <w:spacing w:val="-4"/>
          <w:sz w:val="20"/>
          <w:szCs w:val="20"/>
        </w:rPr>
        <w:t xml:space="preserve"> </w:t>
      </w:r>
      <w:r w:rsidRPr="000977F7">
        <w:rPr>
          <w:color w:val="auto"/>
          <w:sz w:val="20"/>
          <w:szCs w:val="20"/>
        </w:rPr>
        <w:t>—</w:t>
      </w:r>
    </w:p>
    <w:p w14:paraId="7ABA8C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Потенційна здатність людини протягом заданого часу</w:t>
      </w:r>
      <w:r w:rsidRPr="000977F7">
        <w:rPr>
          <w:rFonts w:asciiTheme="majorHAnsi" w:hAnsiTheme="majorHAnsi"/>
          <w:spacing w:val="1"/>
          <w:sz w:val="20"/>
          <w:szCs w:val="20"/>
        </w:rPr>
        <w:t xml:space="preserve"> </w:t>
      </w:r>
      <w:r w:rsidRPr="000977F7">
        <w:rPr>
          <w:rFonts w:asciiTheme="majorHAnsi" w:hAnsiTheme="majorHAnsi"/>
          <w:sz w:val="20"/>
          <w:szCs w:val="20"/>
        </w:rPr>
        <w:t>та з певною ефективністю виконувати максимально</w:t>
      </w:r>
      <w:r w:rsidRPr="000977F7">
        <w:rPr>
          <w:rFonts w:asciiTheme="majorHAnsi" w:hAnsiTheme="majorHAnsi"/>
          <w:spacing w:val="1"/>
          <w:sz w:val="20"/>
          <w:szCs w:val="20"/>
        </w:rPr>
        <w:t xml:space="preserve"> </w:t>
      </w:r>
      <w:r w:rsidRPr="000977F7">
        <w:rPr>
          <w:rFonts w:asciiTheme="majorHAnsi" w:hAnsiTheme="majorHAnsi"/>
          <w:sz w:val="20"/>
          <w:szCs w:val="20"/>
        </w:rPr>
        <w:t>можливий</w:t>
      </w:r>
      <w:r w:rsidRPr="000977F7">
        <w:rPr>
          <w:rFonts w:asciiTheme="majorHAnsi" w:hAnsiTheme="majorHAnsi"/>
          <w:spacing w:val="-2"/>
          <w:sz w:val="20"/>
          <w:szCs w:val="20"/>
        </w:rPr>
        <w:t xml:space="preserve"> </w:t>
      </w:r>
      <w:r w:rsidRPr="000977F7">
        <w:rPr>
          <w:rFonts w:asciiTheme="majorHAnsi" w:hAnsiTheme="majorHAnsi"/>
          <w:sz w:val="20"/>
          <w:szCs w:val="20"/>
        </w:rPr>
        <w:t>обсяг</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p>
    <w:p w14:paraId="61A26316"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3038 -</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95</w:t>
      </w:r>
    </w:p>
    <w:p w14:paraId="2DC030EA"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1"/>
          <w:sz w:val="20"/>
          <w:szCs w:val="20"/>
          <w:lang w:val="en-US"/>
        </w:rPr>
      </w:pPr>
      <w:r w:rsidRPr="000977F7">
        <w:rPr>
          <w:rFonts w:asciiTheme="majorHAnsi" w:hAnsiTheme="majorHAnsi"/>
          <w:b/>
          <w:sz w:val="20"/>
          <w:szCs w:val="20"/>
        </w:rPr>
        <w:t>ПРЕВЕНТИВНА</w:t>
      </w:r>
      <w:r w:rsidRPr="004D2D14">
        <w:rPr>
          <w:rFonts w:asciiTheme="majorHAnsi" w:hAnsiTheme="majorHAnsi"/>
          <w:b/>
          <w:sz w:val="20"/>
          <w:szCs w:val="20"/>
          <w:lang w:val="en-US"/>
        </w:rPr>
        <w:t xml:space="preserve"> </w:t>
      </w:r>
      <w:r w:rsidRPr="000977F7">
        <w:rPr>
          <w:rFonts w:asciiTheme="majorHAnsi" w:hAnsiTheme="majorHAnsi"/>
          <w:b/>
          <w:sz w:val="20"/>
          <w:szCs w:val="20"/>
        </w:rPr>
        <w:t>ДІЯ</w:t>
      </w:r>
      <w:r w:rsidRPr="004D2D14">
        <w:rPr>
          <w:rFonts w:asciiTheme="majorHAnsi" w:hAnsiTheme="majorHAnsi"/>
          <w:b/>
          <w:sz w:val="20"/>
          <w:szCs w:val="20"/>
          <w:lang w:val="en-US"/>
        </w:rPr>
        <w:t xml:space="preserve"> –</w:t>
      </w:r>
    </w:p>
    <w:p w14:paraId="41214664"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PREVENTIVE</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ACTION</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w:t>
      </w:r>
    </w:p>
    <w:p w14:paraId="34964BD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Дія</w:t>
      </w:r>
      <w:r w:rsidRPr="004D2D14">
        <w:rPr>
          <w:rFonts w:asciiTheme="majorHAnsi" w:hAnsiTheme="majorHAnsi"/>
          <w:sz w:val="20"/>
          <w:szCs w:val="20"/>
          <w:lang w:val="en-US"/>
        </w:rPr>
        <w:t xml:space="preserve">, </w:t>
      </w:r>
      <w:r w:rsidRPr="000977F7">
        <w:rPr>
          <w:rFonts w:asciiTheme="majorHAnsi" w:hAnsiTheme="majorHAnsi"/>
          <w:sz w:val="20"/>
          <w:szCs w:val="20"/>
        </w:rPr>
        <w:t>ужита</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усунення</w:t>
      </w:r>
      <w:r w:rsidRPr="004D2D14">
        <w:rPr>
          <w:rFonts w:asciiTheme="majorHAnsi" w:hAnsiTheme="majorHAnsi"/>
          <w:sz w:val="20"/>
          <w:szCs w:val="20"/>
          <w:lang w:val="en-US"/>
        </w:rPr>
        <w:t xml:space="preserve"> </w:t>
      </w:r>
      <w:r w:rsidRPr="000977F7">
        <w:rPr>
          <w:rFonts w:asciiTheme="majorHAnsi" w:hAnsiTheme="majorHAnsi"/>
          <w:sz w:val="20"/>
          <w:szCs w:val="20"/>
        </w:rPr>
        <w:t>причин</w:t>
      </w:r>
      <w:r w:rsidRPr="004D2D14">
        <w:rPr>
          <w:rFonts w:asciiTheme="majorHAnsi" w:hAnsiTheme="majorHAnsi"/>
          <w:sz w:val="20"/>
          <w:szCs w:val="20"/>
          <w:lang w:val="en-US"/>
        </w:rPr>
        <w:t xml:space="preserve"> </w:t>
      </w:r>
      <w:r w:rsidRPr="000977F7">
        <w:rPr>
          <w:rFonts w:asciiTheme="majorHAnsi" w:hAnsiTheme="majorHAnsi"/>
          <w:sz w:val="20"/>
          <w:szCs w:val="20"/>
        </w:rPr>
        <w:t>потенційної</w:t>
      </w:r>
      <w:r w:rsidRPr="004D2D14">
        <w:rPr>
          <w:rFonts w:asciiTheme="majorHAnsi" w:hAnsiTheme="majorHAnsi"/>
          <w:sz w:val="20"/>
          <w:szCs w:val="20"/>
          <w:lang w:val="en-US"/>
        </w:rPr>
        <w:t xml:space="preserve"> </w:t>
      </w:r>
      <w:r w:rsidRPr="000977F7">
        <w:rPr>
          <w:rFonts w:asciiTheme="majorHAnsi" w:hAnsiTheme="majorHAnsi"/>
          <w:sz w:val="20"/>
          <w:szCs w:val="20"/>
        </w:rPr>
        <w:t>невідповідності</w:t>
      </w:r>
      <w:r w:rsidRPr="004D2D14">
        <w:rPr>
          <w:rFonts w:asciiTheme="majorHAnsi" w:hAnsiTheme="majorHAnsi"/>
          <w:spacing w:val="-4"/>
          <w:sz w:val="20"/>
          <w:szCs w:val="20"/>
          <w:lang w:val="en-US"/>
        </w:rPr>
        <w:t xml:space="preserve"> </w:t>
      </w:r>
      <w:r w:rsidRPr="000977F7">
        <w:rPr>
          <w:rFonts w:asciiTheme="majorHAnsi" w:hAnsiTheme="majorHAnsi"/>
          <w:sz w:val="20"/>
          <w:szCs w:val="20"/>
        </w:rPr>
        <w:t>або</w:t>
      </w:r>
      <w:r w:rsidRPr="004D2D14">
        <w:rPr>
          <w:rFonts w:asciiTheme="majorHAnsi" w:hAnsiTheme="majorHAnsi"/>
          <w:spacing w:val="-2"/>
          <w:sz w:val="20"/>
          <w:szCs w:val="20"/>
          <w:lang w:val="en-US"/>
        </w:rPr>
        <w:t xml:space="preserve"> </w:t>
      </w:r>
      <w:r w:rsidRPr="000977F7">
        <w:rPr>
          <w:rFonts w:asciiTheme="majorHAnsi" w:hAnsiTheme="majorHAnsi"/>
          <w:sz w:val="20"/>
          <w:szCs w:val="20"/>
        </w:rPr>
        <w:t>іншої</w:t>
      </w:r>
      <w:r w:rsidRPr="004D2D14">
        <w:rPr>
          <w:rFonts w:asciiTheme="majorHAnsi" w:hAnsiTheme="majorHAnsi"/>
          <w:spacing w:val="-3"/>
          <w:sz w:val="20"/>
          <w:szCs w:val="20"/>
          <w:lang w:val="en-US"/>
        </w:rPr>
        <w:t xml:space="preserve"> </w:t>
      </w:r>
      <w:r w:rsidRPr="000977F7">
        <w:rPr>
          <w:rFonts w:asciiTheme="majorHAnsi" w:hAnsiTheme="majorHAnsi"/>
          <w:sz w:val="20"/>
          <w:szCs w:val="20"/>
        </w:rPr>
        <w:t>потенційно</w:t>
      </w:r>
      <w:r w:rsidRPr="004D2D14">
        <w:rPr>
          <w:rFonts w:asciiTheme="majorHAnsi" w:hAnsiTheme="majorHAnsi"/>
          <w:spacing w:val="-2"/>
          <w:sz w:val="20"/>
          <w:szCs w:val="20"/>
          <w:lang w:val="en-US"/>
        </w:rPr>
        <w:t xml:space="preserve"> </w:t>
      </w:r>
      <w:r w:rsidRPr="000977F7">
        <w:rPr>
          <w:rFonts w:asciiTheme="majorHAnsi" w:hAnsiTheme="majorHAnsi"/>
          <w:sz w:val="20"/>
          <w:szCs w:val="20"/>
        </w:rPr>
        <w:t>небажаної</w:t>
      </w:r>
      <w:r w:rsidRPr="004D2D14">
        <w:rPr>
          <w:rFonts w:asciiTheme="majorHAnsi" w:hAnsiTheme="majorHAnsi"/>
          <w:spacing w:val="-4"/>
          <w:sz w:val="20"/>
          <w:szCs w:val="20"/>
          <w:lang w:val="en-US"/>
        </w:rPr>
        <w:t xml:space="preserve"> </w:t>
      </w:r>
      <w:r w:rsidRPr="000977F7">
        <w:rPr>
          <w:rFonts w:asciiTheme="majorHAnsi" w:hAnsiTheme="majorHAnsi"/>
          <w:sz w:val="20"/>
          <w:szCs w:val="20"/>
        </w:rPr>
        <w:t>ситуації</w:t>
      </w:r>
    </w:p>
    <w:p w14:paraId="04E72A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3347027C" w14:textId="77777777" w:rsidR="0097612F" w:rsidRPr="000977F7" w:rsidRDefault="0097612F" w:rsidP="00FD39A4">
      <w:pPr>
        <w:pStyle w:val="ac"/>
        <w:widowControl w:val="0"/>
        <w:numPr>
          <w:ilvl w:val="0"/>
          <w:numId w:val="94"/>
        </w:numPr>
        <w:tabs>
          <w:tab w:val="left" w:pos="284"/>
          <w:tab w:val="left" w:pos="8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Превентивна</w:t>
      </w:r>
      <w:r w:rsidRPr="000977F7">
        <w:rPr>
          <w:rFonts w:asciiTheme="majorHAnsi" w:hAnsiTheme="majorHAnsi"/>
          <w:spacing w:val="1"/>
          <w:sz w:val="20"/>
          <w:szCs w:val="20"/>
        </w:rPr>
        <w:t xml:space="preserve"> </w:t>
      </w:r>
      <w:r w:rsidRPr="000977F7">
        <w:rPr>
          <w:rFonts w:asciiTheme="majorHAnsi" w:hAnsiTheme="majorHAnsi"/>
          <w:sz w:val="20"/>
          <w:szCs w:val="20"/>
        </w:rPr>
        <w:t>дія</w:t>
      </w:r>
      <w:r w:rsidRPr="000977F7">
        <w:rPr>
          <w:rFonts w:asciiTheme="majorHAnsi" w:hAnsiTheme="majorHAnsi"/>
          <w:spacing w:val="1"/>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запобігання</w:t>
      </w:r>
      <w:r w:rsidRPr="000977F7">
        <w:rPr>
          <w:rFonts w:asciiTheme="majorHAnsi" w:hAnsiTheme="majorHAnsi"/>
          <w:spacing w:val="1"/>
          <w:sz w:val="20"/>
          <w:szCs w:val="20"/>
        </w:rPr>
        <w:t xml:space="preserve"> </w:t>
      </w:r>
      <w:r w:rsidRPr="000977F7">
        <w:rPr>
          <w:rFonts w:asciiTheme="majorHAnsi" w:hAnsiTheme="majorHAnsi"/>
          <w:sz w:val="20"/>
          <w:szCs w:val="20"/>
        </w:rPr>
        <w:t>появи невідповідності. В той час як коригувальна</w:t>
      </w:r>
      <w:r w:rsidRPr="000977F7">
        <w:rPr>
          <w:rFonts w:asciiTheme="majorHAnsi" w:hAnsiTheme="majorHAnsi"/>
          <w:spacing w:val="-47"/>
          <w:sz w:val="20"/>
          <w:szCs w:val="20"/>
        </w:rPr>
        <w:t xml:space="preserve"> </w:t>
      </w:r>
      <w:r w:rsidRPr="000977F7">
        <w:rPr>
          <w:rFonts w:asciiTheme="majorHAnsi" w:hAnsiTheme="majorHAnsi"/>
          <w:sz w:val="20"/>
          <w:szCs w:val="20"/>
        </w:rPr>
        <w:t>дія здійснюється для запобігання повторення невідповідності</w:t>
      </w:r>
    </w:p>
    <w:p w14:paraId="46371D1F" w14:textId="77777777" w:rsidR="0097612F" w:rsidRPr="000977F7" w:rsidRDefault="0097612F" w:rsidP="00FD39A4">
      <w:pPr>
        <w:pStyle w:val="ac"/>
        <w:widowControl w:val="0"/>
        <w:numPr>
          <w:ilvl w:val="0"/>
          <w:numId w:val="94"/>
        </w:numPr>
        <w:tabs>
          <w:tab w:val="left" w:pos="284"/>
          <w:tab w:val="left" w:pos="8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Превентивна дія звичайно виникає із аналізу ризиків</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оцінки</w:t>
      </w:r>
      <w:r w:rsidRPr="000977F7">
        <w:rPr>
          <w:rFonts w:asciiTheme="majorHAnsi" w:hAnsiTheme="majorHAnsi"/>
          <w:spacing w:val="-1"/>
          <w:sz w:val="20"/>
          <w:szCs w:val="20"/>
        </w:rPr>
        <w:t xml:space="preserve"> </w:t>
      </w:r>
      <w:r w:rsidRPr="000977F7">
        <w:rPr>
          <w:rFonts w:asciiTheme="majorHAnsi" w:hAnsiTheme="majorHAnsi"/>
          <w:sz w:val="20"/>
          <w:szCs w:val="20"/>
        </w:rPr>
        <w:t>ризику</w:t>
      </w:r>
    </w:p>
    <w:p w14:paraId="4B65127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ПРЕДМЕТ</w:t>
      </w:r>
      <w:r w:rsidRPr="000977F7">
        <w:rPr>
          <w:color w:val="auto"/>
          <w:spacing w:val="-4"/>
          <w:sz w:val="20"/>
          <w:szCs w:val="20"/>
        </w:rPr>
        <w:t xml:space="preserve"> </w:t>
      </w:r>
      <w:r w:rsidRPr="000977F7">
        <w:rPr>
          <w:color w:val="auto"/>
          <w:sz w:val="20"/>
          <w:szCs w:val="20"/>
        </w:rPr>
        <w:t>ПРАЦІ</w:t>
      </w:r>
      <w:r w:rsidRPr="000977F7">
        <w:rPr>
          <w:color w:val="auto"/>
          <w:spacing w:val="-1"/>
          <w:sz w:val="20"/>
          <w:szCs w:val="20"/>
        </w:rPr>
        <w:t xml:space="preserve"> </w:t>
      </w:r>
      <w:r w:rsidRPr="000977F7">
        <w:rPr>
          <w:color w:val="auto"/>
          <w:sz w:val="20"/>
          <w:szCs w:val="20"/>
        </w:rPr>
        <w:t>–</w:t>
      </w:r>
    </w:p>
    <w:p w14:paraId="7F814D4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Природна</w:t>
      </w:r>
      <w:r w:rsidRPr="000977F7">
        <w:rPr>
          <w:rFonts w:asciiTheme="majorHAnsi" w:hAnsiTheme="majorHAnsi"/>
          <w:spacing w:val="1"/>
          <w:sz w:val="20"/>
          <w:szCs w:val="20"/>
        </w:rPr>
        <w:t xml:space="preserve"> </w:t>
      </w:r>
      <w:r w:rsidRPr="000977F7">
        <w:rPr>
          <w:rFonts w:asciiTheme="majorHAnsi" w:hAnsiTheme="majorHAnsi"/>
          <w:sz w:val="20"/>
          <w:szCs w:val="20"/>
        </w:rPr>
        <w:t>речовина</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продукт</w:t>
      </w:r>
      <w:r w:rsidRPr="000977F7">
        <w:rPr>
          <w:rFonts w:asciiTheme="majorHAnsi" w:hAnsiTheme="majorHAnsi"/>
          <w:spacing w:val="1"/>
          <w:sz w:val="20"/>
          <w:szCs w:val="20"/>
        </w:rPr>
        <w:t xml:space="preserve"> </w:t>
      </w:r>
      <w:r w:rsidRPr="000977F7">
        <w:rPr>
          <w:rFonts w:asciiTheme="majorHAnsi" w:hAnsiTheme="majorHAnsi"/>
          <w:sz w:val="20"/>
          <w:szCs w:val="20"/>
        </w:rPr>
        <w:t>попередніх</w:t>
      </w:r>
      <w:r w:rsidRPr="000977F7">
        <w:rPr>
          <w:rFonts w:asciiTheme="majorHAnsi" w:hAnsiTheme="majorHAnsi"/>
          <w:spacing w:val="1"/>
          <w:sz w:val="20"/>
          <w:szCs w:val="20"/>
        </w:rPr>
        <w:t xml:space="preserve"> </w:t>
      </w:r>
      <w:r w:rsidRPr="000977F7">
        <w:rPr>
          <w:rFonts w:asciiTheme="majorHAnsi" w:hAnsiTheme="majorHAnsi"/>
          <w:sz w:val="20"/>
          <w:szCs w:val="20"/>
        </w:rPr>
        <w:t>стадій</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 які за допомогою праці перетворюються</w:t>
      </w:r>
      <w:r w:rsidRPr="000977F7">
        <w:rPr>
          <w:rFonts w:asciiTheme="majorHAnsi" w:hAnsiTheme="majorHAnsi"/>
          <w:spacing w:val="-47"/>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продукцію</w:t>
      </w:r>
    </w:p>
    <w:p w14:paraId="1E7E303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2960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A0BF02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ПРЕДМЕТИ</w:t>
      </w:r>
      <w:r w:rsidRPr="000977F7">
        <w:rPr>
          <w:color w:val="auto"/>
          <w:spacing w:val="-2"/>
          <w:sz w:val="20"/>
          <w:szCs w:val="20"/>
        </w:rPr>
        <w:t xml:space="preserve"> </w:t>
      </w:r>
      <w:r w:rsidRPr="000977F7">
        <w:rPr>
          <w:color w:val="auto"/>
          <w:sz w:val="20"/>
          <w:szCs w:val="20"/>
        </w:rPr>
        <w:t>–</w:t>
      </w:r>
    </w:p>
    <w:p w14:paraId="67095AB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Особисті речі, товари, транспортні засоби та окремі</w:t>
      </w:r>
      <w:r w:rsidRPr="000977F7">
        <w:rPr>
          <w:rFonts w:asciiTheme="majorHAnsi" w:hAnsiTheme="majorHAnsi"/>
          <w:spacing w:val="1"/>
          <w:sz w:val="20"/>
          <w:szCs w:val="20"/>
        </w:rPr>
        <w:t xml:space="preserve"> </w:t>
      </w:r>
      <w:r w:rsidRPr="000977F7">
        <w:rPr>
          <w:rFonts w:asciiTheme="majorHAnsi" w:hAnsiTheme="majorHAnsi"/>
          <w:sz w:val="20"/>
          <w:szCs w:val="20"/>
        </w:rPr>
        <w:t>номерні вузли до них, що переміщуються через митний</w:t>
      </w:r>
      <w:r w:rsidRPr="000977F7">
        <w:rPr>
          <w:rFonts w:asciiTheme="majorHAnsi" w:hAnsiTheme="majorHAnsi"/>
          <w:spacing w:val="-2"/>
          <w:sz w:val="20"/>
          <w:szCs w:val="20"/>
        </w:rPr>
        <w:t xml:space="preserve"> </w:t>
      </w:r>
      <w:r w:rsidRPr="000977F7">
        <w:rPr>
          <w:rFonts w:asciiTheme="majorHAnsi" w:hAnsiTheme="majorHAnsi"/>
          <w:sz w:val="20"/>
          <w:szCs w:val="20"/>
        </w:rPr>
        <w:t>кордон</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p>
    <w:p w14:paraId="6CEA080D"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Митний</w:t>
      </w:r>
      <w:r w:rsidRPr="000977F7">
        <w:rPr>
          <w:rFonts w:asciiTheme="majorHAnsi" w:hAnsiTheme="majorHAnsi"/>
          <w:i/>
          <w:spacing w:val="-3"/>
          <w:sz w:val="20"/>
          <w:szCs w:val="20"/>
        </w:rPr>
        <w:t xml:space="preserve"> </w:t>
      </w:r>
      <w:r w:rsidRPr="000977F7">
        <w:rPr>
          <w:rFonts w:asciiTheme="majorHAnsi" w:hAnsiTheme="majorHAnsi"/>
          <w:i/>
          <w:sz w:val="20"/>
          <w:szCs w:val="20"/>
        </w:rPr>
        <w:t>кодекс</w:t>
      </w:r>
      <w:r w:rsidRPr="000977F7">
        <w:rPr>
          <w:rFonts w:asciiTheme="majorHAnsi" w:hAnsiTheme="majorHAnsi"/>
          <w:i/>
          <w:spacing w:val="-3"/>
          <w:sz w:val="20"/>
          <w:szCs w:val="20"/>
        </w:rPr>
        <w:t xml:space="preserve"> </w:t>
      </w:r>
      <w:r w:rsidRPr="000977F7">
        <w:rPr>
          <w:rFonts w:asciiTheme="majorHAnsi" w:hAnsiTheme="majorHAnsi"/>
          <w:i/>
          <w:sz w:val="20"/>
          <w:szCs w:val="20"/>
        </w:rPr>
        <w:t>України</w:t>
      </w:r>
    </w:p>
    <w:p w14:paraId="6943D84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ПРЕДСТАВНИЦТВО</w:t>
      </w:r>
      <w:r w:rsidRPr="000977F7">
        <w:rPr>
          <w:color w:val="auto"/>
          <w:spacing w:val="-3"/>
          <w:sz w:val="20"/>
          <w:szCs w:val="20"/>
        </w:rPr>
        <w:t xml:space="preserve"> </w:t>
      </w:r>
      <w:r w:rsidRPr="000977F7">
        <w:rPr>
          <w:color w:val="auto"/>
          <w:sz w:val="20"/>
          <w:szCs w:val="20"/>
        </w:rPr>
        <w:t>ІНОЗЕМНОЇ</w:t>
      </w:r>
      <w:r w:rsidRPr="000977F7">
        <w:rPr>
          <w:color w:val="auto"/>
          <w:spacing w:val="-3"/>
          <w:sz w:val="20"/>
          <w:szCs w:val="20"/>
        </w:rPr>
        <w:t xml:space="preserve"> </w:t>
      </w:r>
      <w:r w:rsidRPr="000977F7">
        <w:rPr>
          <w:color w:val="auto"/>
          <w:sz w:val="20"/>
          <w:szCs w:val="20"/>
        </w:rPr>
        <w:t>ФІРМИ</w:t>
      </w:r>
      <w:r w:rsidRPr="000977F7">
        <w:rPr>
          <w:color w:val="auto"/>
          <w:spacing w:val="-1"/>
          <w:sz w:val="20"/>
          <w:szCs w:val="20"/>
        </w:rPr>
        <w:t xml:space="preserve"> </w:t>
      </w:r>
      <w:r w:rsidRPr="000977F7">
        <w:rPr>
          <w:color w:val="auto"/>
          <w:sz w:val="20"/>
          <w:szCs w:val="20"/>
        </w:rPr>
        <w:t>–</w:t>
      </w:r>
    </w:p>
    <w:p w14:paraId="6ACDEC4B"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Акредитована</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установленому</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законодавством</w:t>
      </w:r>
      <w:r w:rsidRPr="000977F7">
        <w:rPr>
          <w:rFonts w:asciiTheme="majorHAnsi" w:hAnsiTheme="majorHAnsi"/>
          <w:spacing w:val="1"/>
          <w:sz w:val="20"/>
          <w:szCs w:val="20"/>
        </w:rPr>
        <w:t xml:space="preserve"> </w:t>
      </w:r>
      <w:r w:rsidRPr="000977F7">
        <w:rPr>
          <w:rFonts w:asciiTheme="majorHAnsi" w:hAnsiTheme="majorHAnsi"/>
          <w:sz w:val="20"/>
          <w:szCs w:val="20"/>
        </w:rPr>
        <w:t>порядку</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Україні</w:t>
      </w:r>
      <w:r w:rsidRPr="000977F7">
        <w:rPr>
          <w:rFonts w:asciiTheme="majorHAnsi" w:hAnsiTheme="majorHAnsi"/>
          <w:spacing w:val="1"/>
          <w:sz w:val="20"/>
          <w:szCs w:val="20"/>
        </w:rPr>
        <w:t xml:space="preserve"> </w:t>
      </w:r>
      <w:r w:rsidRPr="000977F7">
        <w:rPr>
          <w:rFonts w:asciiTheme="majorHAnsi" w:hAnsiTheme="majorHAnsi"/>
          <w:sz w:val="20"/>
          <w:szCs w:val="20"/>
        </w:rPr>
        <w:t>особа,</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підставі</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відповідних</w:t>
      </w:r>
      <w:r w:rsidRPr="000977F7">
        <w:rPr>
          <w:rFonts w:asciiTheme="majorHAnsi" w:hAnsiTheme="majorHAnsi"/>
          <w:spacing w:val="1"/>
          <w:sz w:val="20"/>
          <w:szCs w:val="20"/>
        </w:rPr>
        <w:t xml:space="preserve"> </w:t>
      </w:r>
      <w:r w:rsidRPr="000977F7">
        <w:rPr>
          <w:rFonts w:asciiTheme="majorHAnsi" w:hAnsiTheme="majorHAnsi"/>
          <w:sz w:val="20"/>
          <w:szCs w:val="20"/>
        </w:rPr>
        <w:t>належним чином оформлених повноважень представляє в Україні інтереси юридичної особи – нерезидента</w:t>
      </w:r>
      <w:r w:rsidRPr="000977F7">
        <w:rPr>
          <w:rFonts w:asciiTheme="majorHAnsi" w:hAnsiTheme="majorHAnsi"/>
          <w:spacing w:val="-47"/>
          <w:sz w:val="20"/>
          <w:szCs w:val="20"/>
        </w:rPr>
        <w:t xml:space="preserve"> </w:t>
      </w:r>
    </w:p>
    <w:p w14:paraId="78EEEFC8"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Митний кодекс України.</w:t>
      </w:r>
    </w:p>
    <w:p w14:paraId="0171B34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ПРЕДСТАВНИЦЬКА</w:t>
      </w:r>
      <w:r w:rsidRPr="000977F7">
        <w:rPr>
          <w:color w:val="auto"/>
          <w:spacing w:val="-5"/>
          <w:sz w:val="20"/>
          <w:szCs w:val="20"/>
        </w:rPr>
        <w:t xml:space="preserve"> </w:t>
      </w:r>
      <w:r w:rsidRPr="000977F7">
        <w:rPr>
          <w:color w:val="auto"/>
          <w:sz w:val="20"/>
          <w:szCs w:val="20"/>
        </w:rPr>
        <w:t>ВИБОРКА</w:t>
      </w:r>
      <w:r w:rsidRPr="000977F7">
        <w:rPr>
          <w:color w:val="auto"/>
          <w:spacing w:val="-1"/>
          <w:sz w:val="20"/>
          <w:szCs w:val="20"/>
        </w:rPr>
        <w:t xml:space="preserve"> </w:t>
      </w:r>
      <w:r w:rsidRPr="000977F7">
        <w:rPr>
          <w:color w:val="auto"/>
          <w:sz w:val="20"/>
          <w:szCs w:val="20"/>
        </w:rPr>
        <w:t>–</w:t>
      </w:r>
    </w:p>
    <w:p w14:paraId="01F7B31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REPRESENTATIVE</w:t>
      </w:r>
      <w:r w:rsidRPr="004D2D14">
        <w:rPr>
          <w:rFonts w:asciiTheme="majorHAnsi" w:hAnsiTheme="majorHAnsi"/>
          <w:spacing w:val="-3"/>
          <w:sz w:val="20"/>
          <w:szCs w:val="20"/>
          <w:lang w:val="uk-UA"/>
        </w:rPr>
        <w:t xml:space="preserve"> </w:t>
      </w:r>
      <w:r w:rsidRPr="000977F7">
        <w:rPr>
          <w:rFonts w:asciiTheme="majorHAnsi" w:hAnsiTheme="majorHAnsi"/>
          <w:sz w:val="20"/>
          <w:szCs w:val="20"/>
        </w:rPr>
        <w:t>SAMPLE</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169E3C5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 xml:space="preserve">Вибірка, при складанні якої із кожної частини контрольованої сукупності відбирають таку </w:t>
      </w:r>
      <w:r w:rsidRPr="004D2D14">
        <w:rPr>
          <w:rFonts w:asciiTheme="majorHAnsi" w:hAnsiTheme="majorHAnsi"/>
          <w:sz w:val="20"/>
          <w:szCs w:val="20"/>
          <w:lang w:val="uk-UA"/>
        </w:rPr>
        <w:lastRenderedPageBreak/>
        <w:t>кількість виробів, щоб в достатній мірі відобразити властивості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даної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сукупності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цілому</w:t>
      </w:r>
    </w:p>
    <w:p w14:paraId="4F7DC9C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ПРЕД’ЯВНИЦЬКІ</w:t>
      </w:r>
      <w:r w:rsidRPr="000977F7">
        <w:rPr>
          <w:color w:val="auto"/>
          <w:spacing w:val="-7"/>
          <w:sz w:val="20"/>
          <w:szCs w:val="20"/>
        </w:rPr>
        <w:t xml:space="preserve"> </w:t>
      </w:r>
      <w:r w:rsidRPr="000977F7">
        <w:rPr>
          <w:color w:val="auto"/>
          <w:sz w:val="20"/>
          <w:szCs w:val="20"/>
        </w:rPr>
        <w:t>ВИПРОБУВАННЯ</w:t>
      </w:r>
      <w:r w:rsidRPr="000977F7">
        <w:rPr>
          <w:color w:val="auto"/>
          <w:spacing w:val="-2"/>
          <w:sz w:val="20"/>
          <w:szCs w:val="20"/>
        </w:rPr>
        <w:t xml:space="preserve"> </w:t>
      </w:r>
      <w:r w:rsidRPr="000977F7">
        <w:rPr>
          <w:color w:val="auto"/>
          <w:sz w:val="20"/>
          <w:szCs w:val="20"/>
        </w:rPr>
        <w:t>–</w:t>
      </w:r>
    </w:p>
    <w:p w14:paraId="27B2C5A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PREDELIVERY</w:t>
      </w:r>
      <w:r w:rsidRPr="004D2D14">
        <w:rPr>
          <w:rFonts w:asciiTheme="majorHAnsi" w:hAnsiTheme="majorHAnsi"/>
          <w:spacing w:val="-3"/>
          <w:sz w:val="20"/>
          <w:szCs w:val="20"/>
          <w:lang w:val="uk-UA"/>
        </w:rPr>
        <w:t xml:space="preserve"> </w:t>
      </w:r>
      <w:r w:rsidRPr="000977F7">
        <w:rPr>
          <w:rFonts w:asciiTheme="majorHAnsi" w:hAnsiTheme="majorHAnsi"/>
          <w:sz w:val="20"/>
          <w:szCs w:val="20"/>
        </w:rPr>
        <w:t>TEST</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p>
    <w:p w14:paraId="105463B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Контрольні випробування продукції, що проводяться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службою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технічного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контролю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підприємства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пред’явленням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приймання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представником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замовника,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споживача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інших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приймання</w:t>
      </w:r>
    </w:p>
    <w:p w14:paraId="10814B9B"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3021 –</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95</w:t>
      </w:r>
    </w:p>
    <w:p w14:paraId="4B3E25AA" w14:textId="77777777" w:rsidR="0097612F" w:rsidRPr="004D2D14"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val="uk-UA" w:eastAsia="ru-RU"/>
        </w:rPr>
      </w:pPr>
      <w:r w:rsidRPr="004D2D14">
        <w:rPr>
          <w:rFonts w:asciiTheme="majorHAnsi" w:hAnsiTheme="majorHAnsi"/>
          <w:b/>
          <w:bCs/>
          <w:sz w:val="20"/>
          <w:szCs w:val="20"/>
          <w:lang w:val="uk-UA" w:eastAsia="ru-RU"/>
        </w:rPr>
        <w:t>ПРЕЗУМПЦІЯ ВІДПОВІДНОСТІ</w:t>
      </w:r>
      <w:r w:rsidRPr="004D2D14">
        <w:rPr>
          <w:rFonts w:asciiTheme="majorHAnsi" w:hAnsiTheme="majorHAnsi"/>
          <w:sz w:val="20"/>
          <w:szCs w:val="20"/>
          <w:lang w:val="uk-UA" w:eastAsia="ru-RU"/>
        </w:rPr>
        <w:t xml:space="preserve"> –</w:t>
      </w:r>
    </w:p>
    <w:p w14:paraId="2A37D8FB" w14:textId="77777777" w:rsidR="0097612F" w:rsidRPr="004D2D14"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val="uk-UA" w:eastAsia="ru-RU"/>
        </w:rPr>
      </w:pPr>
      <w:r w:rsidRPr="004D2D14">
        <w:rPr>
          <w:rFonts w:asciiTheme="majorHAnsi" w:hAnsiTheme="majorHAnsi"/>
          <w:sz w:val="20"/>
          <w:szCs w:val="20"/>
          <w:lang w:val="uk-UA" w:eastAsia="ru-RU"/>
        </w:rPr>
        <w:t>Припущення, яке визнається достовірним, поки не буде доведено інше, про те, що продукція, пов’язаний з нею процес або метод виробництва чи інший об’єкт відповідає вимогам відповідного технічного регламенту, що визначені в ньому, а орган з оцінки відповідності відповідає спеціальним вимогам до призначених органів з оцінки відповідності (далі призначений орган) чи визнаних незалежних організацій;</w:t>
      </w:r>
    </w:p>
    <w:p w14:paraId="3B8BD01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bookmarkStart w:id="219" w:name="_Hlk103185497"/>
      <w:r w:rsidRPr="000977F7">
        <w:rPr>
          <w:rFonts w:asciiTheme="majorHAnsi" w:hAnsiTheme="majorHAnsi"/>
          <w:i/>
          <w:iCs/>
          <w:sz w:val="20"/>
          <w:szCs w:val="20"/>
        </w:rPr>
        <w:t xml:space="preserve">Ст. 1 закону </w:t>
      </w:r>
      <w:r w:rsidRPr="000977F7">
        <w:rPr>
          <w:rFonts w:asciiTheme="majorHAnsi" w:hAnsiTheme="majorHAnsi"/>
          <w:i/>
          <w:sz w:val="20"/>
          <w:szCs w:val="20"/>
        </w:rPr>
        <w:t>України "Про технічні регламенти та оцінку відповідності"</w:t>
      </w:r>
    </w:p>
    <w:p w14:paraId="7DBA604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Технічний регламент безпеки машин</w:t>
      </w:r>
    </w:p>
    <w:bookmarkEnd w:id="219"/>
    <w:p w14:paraId="720BD1B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ПРЕТЕНДЕНТ НА СВІДОЦТВО В ГАЛУЗІ </w:t>
      </w:r>
    </w:p>
    <w:p w14:paraId="4A7A32F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СЕРТИФІКАЦІЇ</w:t>
      </w:r>
      <w:r w:rsidRPr="000977F7">
        <w:rPr>
          <w:color w:val="auto"/>
          <w:spacing w:val="-1"/>
          <w:sz w:val="20"/>
          <w:szCs w:val="20"/>
        </w:rPr>
        <w:t xml:space="preserve"> </w:t>
      </w:r>
      <w:r w:rsidRPr="000977F7">
        <w:rPr>
          <w:color w:val="auto"/>
          <w:sz w:val="20"/>
          <w:szCs w:val="20"/>
        </w:rPr>
        <w:t>–</w:t>
      </w:r>
    </w:p>
    <w:p w14:paraId="4D02694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APPLICANT</w:t>
      </w:r>
      <w:r w:rsidRPr="004D2D14">
        <w:rPr>
          <w:rFonts w:asciiTheme="majorHAnsi" w:hAnsiTheme="majorHAnsi"/>
          <w:spacing w:val="-1"/>
          <w:sz w:val="20"/>
          <w:szCs w:val="20"/>
          <w:lang w:val="uk-UA"/>
        </w:rPr>
        <w:t xml:space="preserve"> </w:t>
      </w:r>
      <w:r w:rsidRPr="000977F7">
        <w:rPr>
          <w:rFonts w:asciiTheme="majorHAnsi" w:hAnsiTheme="majorHAnsi"/>
          <w:sz w:val="20"/>
          <w:szCs w:val="20"/>
        </w:rPr>
        <w:t>FOR</w:t>
      </w:r>
      <w:r w:rsidRPr="004D2D14">
        <w:rPr>
          <w:rFonts w:asciiTheme="majorHAnsi" w:hAnsiTheme="majorHAnsi"/>
          <w:spacing w:val="-3"/>
          <w:sz w:val="20"/>
          <w:szCs w:val="20"/>
          <w:lang w:val="uk-UA"/>
        </w:rPr>
        <w:t xml:space="preserve"> </w:t>
      </w:r>
      <w:r w:rsidRPr="000977F7">
        <w:rPr>
          <w:rFonts w:asciiTheme="majorHAnsi" w:hAnsiTheme="majorHAnsi"/>
          <w:sz w:val="20"/>
          <w:szCs w:val="20"/>
        </w:rPr>
        <w:t>CERTIFICATION</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708D9511"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uk-UA"/>
        </w:rPr>
      </w:pPr>
      <w:r w:rsidRPr="004D2D14">
        <w:rPr>
          <w:rFonts w:asciiTheme="majorHAnsi" w:hAnsiTheme="majorHAnsi"/>
          <w:sz w:val="20"/>
          <w:szCs w:val="20"/>
          <w:lang w:val="uk-UA"/>
        </w:rPr>
        <w:t>Особа</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орган,</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добиваються</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отримання</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відповідного свідоцтва від органу з сертифікації</w:t>
      </w:r>
      <w:r w:rsidRPr="004D2D14">
        <w:rPr>
          <w:rFonts w:asciiTheme="majorHAnsi" w:hAnsiTheme="majorHAnsi"/>
          <w:spacing w:val="1"/>
          <w:sz w:val="20"/>
          <w:szCs w:val="20"/>
          <w:lang w:val="uk-UA"/>
        </w:rPr>
        <w:t xml:space="preserve"> </w:t>
      </w:r>
      <w:r w:rsidRPr="004D2D14">
        <w:rPr>
          <w:rFonts w:asciiTheme="majorHAnsi" w:hAnsiTheme="majorHAnsi"/>
          <w:b/>
          <w:sz w:val="20"/>
          <w:szCs w:val="20"/>
          <w:lang w:val="uk-UA"/>
        </w:rPr>
        <w:t>ПРЕФЕРЕНЦІЙНЕ</w:t>
      </w:r>
      <w:r w:rsidRPr="004D2D14">
        <w:rPr>
          <w:rFonts w:asciiTheme="majorHAnsi" w:hAnsiTheme="majorHAnsi"/>
          <w:b/>
          <w:spacing w:val="-2"/>
          <w:sz w:val="20"/>
          <w:szCs w:val="20"/>
          <w:lang w:val="uk-UA"/>
        </w:rPr>
        <w:t xml:space="preserve"> </w:t>
      </w:r>
      <w:r w:rsidRPr="004D2D14">
        <w:rPr>
          <w:rFonts w:asciiTheme="majorHAnsi" w:hAnsiTheme="majorHAnsi"/>
          <w:b/>
          <w:sz w:val="20"/>
          <w:szCs w:val="20"/>
          <w:lang w:val="uk-UA"/>
        </w:rPr>
        <w:t>МИТО</w:t>
      </w:r>
      <w:r w:rsidRPr="004D2D14">
        <w:rPr>
          <w:rFonts w:asciiTheme="majorHAnsi" w:hAnsiTheme="majorHAnsi"/>
          <w:b/>
          <w:spacing w:val="3"/>
          <w:sz w:val="20"/>
          <w:szCs w:val="20"/>
          <w:lang w:val="uk-UA"/>
        </w:rPr>
        <w:t xml:space="preserve"> </w:t>
      </w:r>
      <w:r w:rsidRPr="004D2D14">
        <w:rPr>
          <w:rFonts w:asciiTheme="majorHAnsi" w:hAnsiTheme="majorHAnsi"/>
          <w:b/>
          <w:sz w:val="20"/>
          <w:szCs w:val="20"/>
          <w:lang w:val="uk-UA"/>
        </w:rPr>
        <w:t>–</w:t>
      </w:r>
    </w:p>
    <w:p w14:paraId="029CA9E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Встановлене державою мито, що віддає перевагу для</w:t>
      </w:r>
      <w:r w:rsidRPr="000977F7">
        <w:rPr>
          <w:rFonts w:asciiTheme="majorHAnsi" w:hAnsiTheme="majorHAnsi"/>
          <w:spacing w:val="1"/>
          <w:sz w:val="20"/>
          <w:szCs w:val="20"/>
        </w:rPr>
        <w:t xml:space="preserve"> </w:t>
      </w:r>
      <w:r w:rsidRPr="000977F7">
        <w:rPr>
          <w:rFonts w:asciiTheme="majorHAnsi" w:hAnsiTheme="majorHAnsi"/>
          <w:sz w:val="20"/>
          <w:szCs w:val="20"/>
        </w:rPr>
        <w:t>однієї чи декількох країн з метою створення особливо</w:t>
      </w:r>
      <w:r w:rsidRPr="000977F7">
        <w:rPr>
          <w:rFonts w:asciiTheme="majorHAnsi" w:hAnsiTheme="majorHAnsi"/>
          <w:spacing w:val="1"/>
          <w:sz w:val="20"/>
          <w:szCs w:val="20"/>
        </w:rPr>
        <w:t xml:space="preserve"> </w:t>
      </w:r>
      <w:r w:rsidRPr="000977F7">
        <w:rPr>
          <w:rFonts w:asciiTheme="majorHAnsi" w:hAnsiTheme="majorHAnsi"/>
          <w:sz w:val="20"/>
          <w:szCs w:val="20"/>
        </w:rPr>
        <w:t>сприятливого режиму під час ввезення всіх або окремих</w:t>
      </w:r>
      <w:r w:rsidRPr="000977F7">
        <w:rPr>
          <w:rFonts w:asciiTheme="majorHAnsi" w:hAnsiTheme="majorHAnsi"/>
          <w:spacing w:val="-2"/>
          <w:sz w:val="20"/>
          <w:szCs w:val="20"/>
        </w:rPr>
        <w:t xml:space="preserve"> </w:t>
      </w:r>
      <w:r w:rsidRPr="000977F7">
        <w:rPr>
          <w:rFonts w:asciiTheme="majorHAnsi" w:hAnsiTheme="majorHAnsi"/>
          <w:sz w:val="20"/>
          <w:szCs w:val="20"/>
        </w:rPr>
        <w:t>груп</w:t>
      </w:r>
      <w:r w:rsidRPr="000977F7">
        <w:rPr>
          <w:rFonts w:asciiTheme="majorHAnsi" w:hAnsiTheme="majorHAnsi"/>
          <w:spacing w:val="-1"/>
          <w:sz w:val="20"/>
          <w:szCs w:val="20"/>
        </w:rPr>
        <w:t xml:space="preserve"> </w:t>
      </w:r>
      <w:r w:rsidRPr="000977F7">
        <w:rPr>
          <w:rFonts w:asciiTheme="majorHAnsi" w:hAnsiTheme="majorHAnsi"/>
          <w:sz w:val="20"/>
          <w:szCs w:val="20"/>
        </w:rPr>
        <w:t>імпортованих</w:t>
      </w:r>
      <w:r w:rsidRPr="000977F7">
        <w:rPr>
          <w:rFonts w:asciiTheme="majorHAnsi" w:hAnsiTheme="majorHAnsi"/>
          <w:spacing w:val="-1"/>
          <w:sz w:val="20"/>
          <w:szCs w:val="20"/>
        </w:rPr>
        <w:t xml:space="preserve"> </w:t>
      </w:r>
      <w:r w:rsidRPr="000977F7">
        <w:rPr>
          <w:rFonts w:asciiTheme="majorHAnsi" w:hAnsiTheme="majorHAnsi"/>
          <w:sz w:val="20"/>
          <w:szCs w:val="20"/>
        </w:rPr>
        <w:t>товарів</w:t>
      </w:r>
    </w:p>
    <w:p w14:paraId="4F2FF9E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 – 95</w:t>
      </w:r>
    </w:p>
    <w:p w14:paraId="7E9423E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ПРЕФЕРЕНЦІЙНИЙ</w:t>
      </w:r>
      <w:r w:rsidRPr="000977F7">
        <w:rPr>
          <w:color w:val="auto"/>
          <w:spacing w:val="-4"/>
          <w:sz w:val="20"/>
          <w:szCs w:val="20"/>
        </w:rPr>
        <w:t xml:space="preserve"> </w:t>
      </w:r>
      <w:r w:rsidRPr="000977F7">
        <w:rPr>
          <w:color w:val="auto"/>
          <w:sz w:val="20"/>
          <w:szCs w:val="20"/>
        </w:rPr>
        <w:t>РЕЖИМ</w:t>
      </w:r>
      <w:r w:rsidRPr="000977F7">
        <w:rPr>
          <w:color w:val="auto"/>
          <w:spacing w:val="2"/>
          <w:sz w:val="20"/>
          <w:szCs w:val="20"/>
        </w:rPr>
        <w:t xml:space="preserve"> </w:t>
      </w:r>
      <w:r w:rsidRPr="000977F7">
        <w:rPr>
          <w:color w:val="auto"/>
          <w:sz w:val="20"/>
          <w:szCs w:val="20"/>
        </w:rPr>
        <w:t>–</w:t>
      </w:r>
    </w:p>
    <w:p w14:paraId="14337E10"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Особливий</w:t>
      </w:r>
      <w:r w:rsidRPr="000977F7">
        <w:rPr>
          <w:rFonts w:asciiTheme="majorHAnsi" w:hAnsiTheme="majorHAnsi"/>
          <w:spacing w:val="16"/>
          <w:sz w:val="20"/>
          <w:szCs w:val="20"/>
        </w:rPr>
        <w:t xml:space="preserve"> </w:t>
      </w:r>
      <w:r w:rsidRPr="000977F7">
        <w:rPr>
          <w:rFonts w:asciiTheme="majorHAnsi" w:hAnsiTheme="majorHAnsi"/>
          <w:sz w:val="20"/>
          <w:szCs w:val="20"/>
        </w:rPr>
        <w:t>пільговий</w:t>
      </w:r>
      <w:r w:rsidRPr="000977F7">
        <w:rPr>
          <w:rFonts w:asciiTheme="majorHAnsi" w:hAnsiTheme="majorHAnsi"/>
          <w:spacing w:val="13"/>
          <w:sz w:val="20"/>
          <w:szCs w:val="20"/>
        </w:rPr>
        <w:t xml:space="preserve"> </w:t>
      </w:r>
      <w:r w:rsidRPr="000977F7">
        <w:rPr>
          <w:rFonts w:asciiTheme="majorHAnsi" w:hAnsiTheme="majorHAnsi"/>
          <w:sz w:val="20"/>
          <w:szCs w:val="20"/>
        </w:rPr>
        <w:t>економічний</w:t>
      </w:r>
      <w:r w:rsidRPr="000977F7">
        <w:rPr>
          <w:rFonts w:asciiTheme="majorHAnsi" w:hAnsiTheme="majorHAnsi"/>
          <w:spacing w:val="13"/>
          <w:sz w:val="20"/>
          <w:szCs w:val="20"/>
        </w:rPr>
        <w:t xml:space="preserve"> </w:t>
      </w:r>
      <w:r w:rsidRPr="000977F7">
        <w:rPr>
          <w:rFonts w:asciiTheme="majorHAnsi" w:hAnsiTheme="majorHAnsi"/>
          <w:sz w:val="20"/>
          <w:szCs w:val="20"/>
        </w:rPr>
        <w:t>режим,</w:t>
      </w:r>
      <w:r w:rsidRPr="000977F7">
        <w:rPr>
          <w:rFonts w:asciiTheme="majorHAnsi" w:hAnsiTheme="majorHAnsi"/>
          <w:spacing w:val="15"/>
          <w:sz w:val="20"/>
          <w:szCs w:val="20"/>
        </w:rPr>
        <w:t xml:space="preserve"> </w:t>
      </w:r>
      <w:r w:rsidRPr="000977F7">
        <w:rPr>
          <w:rFonts w:asciiTheme="majorHAnsi" w:hAnsiTheme="majorHAnsi"/>
          <w:sz w:val="20"/>
          <w:szCs w:val="20"/>
        </w:rPr>
        <w:t>наданий</w:t>
      </w:r>
      <w:r w:rsidRPr="000977F7">
        <w:rPr>
          <w:rFonts w:asciiTheme="majorHAnsi" w:hAnsiTheme="majorHAnsi"/>
          <w:spacing w:val="-47"/>
          <w:sz w:val="20"/>
          <w:szCs w:val="20"/>
        </w:rPr>
        <w:t xml:space="preserve"> </w:t>
      </w:r>
      <w:r w:rsidRPr="000977F7">
        <w:rPr>
          <w:rFonts w:asciiTheme="majorHAnsi" w:hAnsiTheme="majorHAnsi"/>
          <w:spacing w:val="-1"/>
          <w:sz w:val="20"/>
          <w:szCs w:val="20"/>
        </w:rPr>
        <w:t xml:space="preserve">однією державою іншій без поширення на треті </w:t>
      </w:r>
      <w:r w:rsidRPr="000977F7">
        <w:rPr>
          <w:rFonts w:asciiTheme="majorHAnsi" w:hAnsiTheme="majorHAnsi"/>
          <w:sz w:val="20"/>
          <w:szCs w:val="20"/>
        </w:rPr>
        <w:t>країни</w:t>
      </w:r>
      <w:r w:rsidRPr="000977F7">
        <w:rPr>
          <w:rFonts w:asciiTheme="majorHAnsi" w:hAnsiTheme="majorHAnsi"/>
          <w:spacing w:val="-47"/>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677F79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ПРИВЕДЕНИЙ</w:t>
      </w:r>
      <w:r w:rsidRPr="000977F7">
        <w:rPr>
          <w:color w:val="auto"/>
          <w:spacing w:val="44"/>
          <w:sz w:val="20"/>
          <w:szCs w:val="20"/>
        </w:rPr>
        <w:t xml:space="preserve"> </w:t>
      </w:r>
      <w:r w:rsidRPr="000977F7">
        <w:rPr>
          <w:color w:val="auto"/>
          <w:sz w:val="20"/>
          <w:szCs w:val="20"/>
        </w:rPr>
        <w:t>СИГНАЛ</w:t>
      </w:r>
      <w:r w:rsidRPr="000977F7">
        <w:rPr>
          <w:color w:val="auto"/>
          <w:spacing w:val="1"/>
          <w:sz w:val="20"/>
          <w:szCs w:val="20"/>
        </w:rPr>
        <w:t xml:space="preserve"> </w:t>
      </w:r>
      <w:r w:rsidRPr="000977F7">
        <w:rPr>
          <w:color w:val="auto"/>
          <w:sz w:val="20"/>
          <w:szCs w:val="20"/>
        </w:rPr>
        <w:t>–</w:t>
      </w:r>
    </w:p>
    <w:p w14:paraId="136141A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2"/>
          <w:sz w:val="20"/>
          <w:szCs w:val="20"/>
        </w:rPr>
        <w:t>Сигнал,</w:t>
      </w:r>
      <w:r w:rsidRPr="000977F7">
        <w:rPr>
          <w:rFonts w:asciiTheme="majorHAnsi" w:hAnsiTheme="majorHAnsi"/>
          <w:spacing w:val="-10"/>
          <w:sz w:val="20"/>
          <w:szCs w:val="20"/>
        </w:rPr>
        <w:t xml:space="preserve"> </w:t>
      </w:r>
      <w:r w:rsidRPr="000977F7">
        <w:rPr>
          <w:rFonts w:asciiTheme="majorHAnsi" w:hAnsiTheme="majorHAnsi"/>
          <w:spacing w:val="-1"/>
          <w:sz w:val="20"/>
          <w:szCs w:val="20"/>
        </w:rPr>
        <w:t>перетворений</w:t>
      </w:r>
      <w:r w:rsidRPr="000977F7">
        <w:rPr>
          <w:rFonts w:asciiTheme="majorHAnsi" w:hAnsiTheme="majorHAnsi"/>
          <w:spacing w:val="-11"/>
          <w:sz w:val="20"/>
          <w:szCs w:val="20"/>
        </w:rPr>
        <w:t xml:space="preserve"> </w:t>
      </w:r>
      <w:r w:rsidRPr="000977F7">
        <w:rPr>
          <w:rFonts w:asciiTheme="majorHAnsi" w:hAnsiTheme="majorHAnsi"/>
          <w:spacing w:val="-1"/>
          <w:sz w:val="20"/>
          <w:szCs w:val="20"/>
        </w:rPr>
        <w:t>в</w:t>
      </w:r>
      <w:r w:rsidRPr="000977F7">
        <w:rPr>
          <w:rFonts w:asciiTheme="majorHAnsi" w:hAnsiTheme="majorHAnsi"/>
          <w:spacing w:val="-11"/>
          <w:sz w:val="20"/>
          <w:szCs w:val="20"/>
        </w:rPr>
        <w:t xml:space="preserve"> </w:t>
      </w:r>
      <w:r w:rsidRPr="000977F7">
        <w:rPr>
          <w:rFonts w:asciiTheme="majorHAnsi" w:hAnsiTheme="majorHAnsi"/>
          <w:spacing w:val="-1"/>
          <w:sz w:val="20"/>
          <w:szCs w:val="20"/>
        </w:rPr>
        <w:t>один</w:t>
      </w:r>
      <w:r w:rsidRPr="000977F7">
        <w:rPr>
          <w:rFonts w:asciiTheme="majorHAnsi" w:hAnsiTheme="majorHAnsi"/>
          <w:spacing w:val="-9"/>
          <w:sz w:val="20"/>
          <w:szCs w:val="20"/>
        </w:rPr>
        <w:t xml:space="preserve"> </w:t>
      </w:r>
      <w:r w:rsidRPr="000977F7">
        <w:rPr>
          <w:rFonts w:asciiTheme="majorHAnsi" w:hAnsiTheme="majorHAnsi"/>
          <w:spacing w:val="-1"/>
          <w:sz w:val="20"/>
          <w:szCs w:val="20"/>
        </w:rPr>
        <w:t>із</w:t>
      </w:r>
      <w:r w:rsidRPr="000977F7">
        <w:rPr>
          <w:rFonts w:asciiTheme="majorHAnsi" w:hAnsiTheme="majorHAnsi"/>
          <w:spacing w:val="-10"/>
          <w:sz w:val="20"/>
          <w:szCs w:val="20"/>
        </w:rPr>
        <w:t xml:space="preserve"> </w:t>
      </w:r>
      <w:r w:rsidRPr="000977F7">
        <w:rPr>
          <w:rFonts w:asciiTheme="majorHAnsi" w:hAnsiTheme="majorHAnsi"/>
          <w:spacing w:val="-1"/>
          <w:sz w:val="20"/>
          <w:szCs w:val="20"/>
        </w:rPr>
        <w:t>стандартизованих</w:t>
      </w:r>
      <w:r w:rsidRPr="000977F7">
        <w:rPr>
          <w:rFonts w:asciiTheme="majorHAnsi" w:hAnsiTheme="majorHAnsi"/>
          <w:spacing w:val="-11"/>
          <w:sz w:val="20"/>
          <w:szCs w:val="20"/>
        </w:rPr>
        <w:t xml:space="preserve"> </w:t>
      </w:r>
      <w:r w:rsidRPr="000977F7">
        <w:rPr>
          <w:rFonts w:asciiTheme="majorHAnsi" w:hAnsiTheme="majorHAnsi"/>
          <w:spacing w:val="-1"/>
          <w:sz w:val="20"/>
          <w:szCs w:val="20"/>
        </w:rPr>
        <w:t>видів</w:t>
      </w:r>
    </w:p>
    <w:p w14:paraId="1520848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ПРИДАТНА</w:t>
      </w:r>
      <w:r w:rsidRPr="000977F7">
        <w:rPr>
          <w:color w:val="auto"/>
          <w:spacing w:val="45"/>
          <w:sz w:val="20"/>
          <w:szCs w:val="20"/>
        </w:rPr>
        <w:t xml:space="preserve"> </w:t>
      </w:r>
      <w:r w:rsidRPr="000977F7">
        <w:rPr>
          <w:color w:val="auto"/>
          <w:sz w:val="20"/>
          <w:szCs w:val="20"/>
        </w:rPr>
        <w:t>ПРОДУКЦІЯ</w:t>
      </w:r>
      <w:r w:rsidRPr="000977F7">
        <w:rPr>
          <w:color w:val="auto"/>
          <w:spacing w:val="1"/>
          <w:sz w:val="20"/>
          <w:szCs w:val="20"/>
        </w:rPr>
        <w:t xml:space="preserve"> </w:t>
      </w:r>
      <w:r w:rsidRPr="000977F7">
        <w:rPr>
          <w:color w:val="auto"/>
          <w:sz w:val="20"/>
          <w:szCs w:val="20"/>
        </w:rPr>
        <w:t>–</w:t>
      </w:r>
    </w:p>
    <w:p w14:paraId="1B89E9B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AССEPTABLE</w:t>
      </w:r>
      <w:r w:rsidRPr="000977F7">
        <w:rPr>
          <w:rFonts w:asciiTheme="majorHAnsi" w:hAnsiTheme="majorHAnsi"/>
          <w:spacing w:val="-4"/>
          <w:sz w:val="20"/>
          <w:szCs w:val="20"/>
        </w:rPr>
        <w:t xml:space="preserve"> </w:t>
      </w:r>
      <w:r w:rsidRPr="000977F7">
        <w:rPr>
          <w:rFonts w:asciiTheme="majorHAnsi" w:hAnsiTheme="majorHAnsi"/>
          <w:sz w:val="20"/>
          <w:szCs w:val="20"/>
        </w:rPr>
        <w:t>PRODUCT –</w:t>
      </w:r>
    </w:p>
    <w:p w14:paraId="14D8F3A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w:t>
      </w:r>
      <w:r w:rsidRPr="000977F7">
        <w:rPr>
          <w:rFonts w:asciiTheme="majorHAnsi" w:hAnsiTheme="majorHAnsi"/>
          <w:spacing w:val="-5"/>
          <w:sz w:val="20"/>
          <w:szCs w:val="20"/>
        </w:rPr>
        <w:t xml:space="preserve"> </w:t>
      </w:r>
      <w:r w:rsidRPr="000977F7">
        <w:rPr>
          <w:rFonts w:asciiTheme="majorHAnsi" w:hAnsiTheme="majorHAnsi"/>
          <w:sz w:val="20"/>
          <w:szCs w:val="20"/>
        </w:rPr>
        <w:t>яка</w:t>
      </w:r>
      <w:r w:rsidRPr="000977F7">
        <w:rPr>
          <w:rFonts w:asciiTheme="majorHAnsi" w:hAnsiTheme="majorHAnsi"/>
          <w:spacing w:val="-5"/>
          <w:sz w:val="20"/>
          <w:szCs w:val="20"/>
        </w:rPr>
        <w:t xml:space="preserve"> </w:t>
      </w:r>
      <w:r w:rsidRPr="000977F7">
        <w:rPr>
          <w:rFonts w:asciiTheme="majorHAnsi" w:hAnsiTheme="majorHAnsi"/>
          <w:sz w:val="20"/>
          <w:szCs w:val="20"/>
        </w:rPr>
        <w:t>задовольняє</w:t>
      </w:r>
      <w:r w:rsidRPr="000977F7">
        <w:rPr>
          <w:rFonts w:asciiTheme="majorHAnsi" w:hAnsiTheme="majorHAnsi"/>
          <w:spacing w:val="-2"/>
          <w:sz w:val="20"/>
          <w:szCs w:val="20"/>
        </w:rPr>
        <w:t xml:space="preserve"> </w:t>
      </w:r>
      <w:r w:rsidRPr="000977F7">
        <w:rPr>
          <w:rFonts w:asciiTheme="majorHAnsi" w:hAnsiTheme="majorHAnsi"/>
          <w:sz w:val="20"/>
          <w:szCs w:val="20"/>
        </w:rPr>
        <w:t>всі</w:t>
      </w:r>
      <w:r w:rsidRPr="000977F7">
        <w:rPr>
          <w:rFonts w:asciiTheme="majorHAnsi" w:hAnsiTheme="majorHAnsi"/>
          <w:spacing w:val="-5"/>
          <w:sz w:val="20"/>
          <w:szCs w:val="20"/>
        </w:rPr>
        <w:t xml:space="preserve"> </w:t>
      </w:r>
      <w:r w:rsidRPr="000977F7">
        <w:rPr>
          <w:rFonts w:asciiTheme="majorHAnsi" w:hAnsiTheme="majorHAnsi"/>
          <w:sz w:val="20"/>
          <w:szCs w:val="20"/>
        </w:rPr>
        <w:t>встановлені</w:t>
      </w:r>
      <w:r w:rsidRPr="000977F7">
        <w:rPr>
          <w:rFonts w:asciiTheme="majorHAnsi" w:hAnsiTheme="majorHAnsi"/>
          <w:spacing w:val="-6"/>
          <w:sz w:val="20"/>
          <w:szCs w:val="20"/>
        </w:rPr>
        <w:t xml:space="preserve"> </w:t>
      </w:r>
      <w:r w:rsidRPr="000977F7">
        <w:rPr>
          <w:rFonts w:asciiTheme="majorHAnsi" w:hAnsiTheme="majorHAnsi"/>
          <w:sz w:val="20"/>
          <w:szCs w:val="20"/>
        </w:rPr>
        <w:t>вимоги</w:t>
      </w:r>
    </w:p>
    <w:p w14:paraId="6208B23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2A9288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ПРИЗНАЧЕНИЙ</w:t>
      </w:r>
      <w:r w:rsidRPr="000977F7">
        <w:rPr>
          <w:rFonts w:asciiTheme="majorHAnsi" w:hAnsiTheme="majorHAnsi"/>
          <w:b/>
          <w:spacing w:val="-11"/>
          <w:sz w:val="20"/>
          <w:szCs w:val="20"/>
        </w:rPr>
        <w:t xml:space="preserve"> </w:t>
      </w:r>
      <w:r w:rsidRPr="000977F7">
        <w:rPr>
          <w:rFonts w:asciiTheme="majorHAnsi" w:hAnsiTheme="majorHAnsi"/>
          <w:b/>
          <w:sz w:val="20"/>
          <w:szCs w:val="20"/>
        </w:rPr>
        <w:t>НАРОБОК</w:t>
      </w:r>
      <w:r w:rsidRPr="000977F7">
        <w:rPr>
          <w:rFonts w:asciiTheme="majorHAnsi" w:hAnsiTheme="majorHAnsi"/>
          <w:b/>
          <w:spacing w:val="-12"/>
          <w:sz w:val="20"/>
          <w:szCs w:val="20"/>
        </w:rPr>
        <w:t xml:space="preserve"> </w:t>
      </w:r>
      <w:r w:rsidRPr="000977F7">
        <w:rPr>
          <w:rFonts w:asciiTheme="majorHAnsi" w:hAnsiTheme="majorHAnsi"/>
          <w:b/>
          <w:sz w:val="20"/>
          <w:szCs w:val="20"/>
        </w:rPr>
        <w:t>ТЕХНОЛОГІЧНОГО</w:t>
      </w:r>
      <w:r w:rsidRPr="000977F7">
        <w:rPr>
          <w:rFonts w:asciiTheme="majorHAnsi" w:hAnsiTheme="majorHAnsi"/>
          <w:b/>
          <w:spacing w:val="-47"/>
          <w:sz w:val="20"/>
          <w:szCs w:val="20"/>
        </w:rPr>
        <w:t xml:space="preserve"> </w:t>
      </w:r>
      <w:r w:rsidRPr="000977F7">
        <w:rPr>
          <w:rFonts w:asciiTheme="majorHAnsi" w:hAnsiTheme="majorHAnsi"/>
          <w:b/>
          <w:sz w:val="20"/>
          <w:szCs w:val="20"/>
        </w:rPr>
        <w:t>КОМПЛЕКСУ ДО ПІДНАЛАГОДЖЕННЯ –</w:t>
      </w:r>
      <w:r w:rsidRPr="000977F7">
        <w:rPr>
          <w:rFonts w:asciiTheme="majorHAnsi" w:hAnsiTheme="majorHAnsi"/>
          <w:b/>
          <w:spacing w:val="1"/>
          <w:sz w:val="20"/>
          <w:szCs w:val="20"/>
        </w:rPr>
        <w:t xml:space="preserve"> </w:t>
      </w:r>
      <w:r w:rsidRPr="000977F7">
        <w:rPr>
          <w:rFonts w:asciiTheme="majorHAnsi" w:hAnsiTheme="majorHAnsi"/>
          <w:sz w:val="20"/>
          <w:szCs w:val="20"/>
        </w:rPr>
        <w:t>PRESENTOPERATING TIME OF TECHNOLOGICAL</w:t>
      </w:r>
      <w:r w:rsidRPr="000977F7">
        <w:rPr>
          <w:rFonts w:asciiTheme="majorHAnsi" w:hAnsiTheme="majorHAnsi"/>
          <w:spacing w:val="1"/>
          <w:sz w:val="20"/>
          <w:szCs w:val="20"/>
        </w:rPr>
        <w:t xml:space="preserve"> </w:t>
      </w:r>
      <w:r w:rsidRPr="000977F7">
        <w:rPr>
          <w:rFonts w:asciiTheme="majorHAnsi" w:hAnsiTheme="majorHAnsi"/>
          <w:sz w:val="20"/>
          <w:szCs w:val="20"/>
        </w:rPr>
        <w:t>COMPLEX</w:t>
      </w:r>
      <w:r w:rsidRPr="000977F7">
        <w:rPr>
          <w:rFonts w:asciiTheme="majorHAnsi" w:hAnsiTheme="majorHAnsi"/>
          <w:spacing w:val="-2"/>
          <w:sz w:val="20"/>
          <w:szCs w:val="20"/>
        </w:rPr>
        <w:t xml:space="preserve"> </w:t>
      </w:r>
      <w:r w:rsidRPr="000977F7">
        <w:rPr>
          <w:rFonts w:asciiTheme="majorHAnsi" w:hAnsiTheme="majorHAnsi"/>
          <w:sz w:val="20"/>
          <w:szCs w:val="20"/>
        </w:rPr>
        <w:t>BEFORE</w:t>
      </w:r>
      <w:r w:rsidRPr="000977F7">
        <w:rPr>
          <w:rFonts w:asciiTheme="majorHAnsi" w:hAnsiTheme="majorHAnsi"/>
          <w:spacing w:val="-2"/>
          <w:sz w:val="20"/>
          <w:szCs w:val="20"/>
        </w:rPr>
        <w:t xml:space="preserve"> </w:t>
      </w:r>
      <w:r w:rsidRPr="000977F7">
        <w:rPr>
          <w:rFonts w:asciiTheme="majorHAnsi" w:hAnsiTheme="majorHAnsi"/>
          <w:sz w:val="20"/>
          <w:szCs w:val="20"/>
        </w:rPr>
        <w:t>CORRECTIVE</w:t>
      </w:r>
      <w:r w:rsidRPr="000977F7">
        <w:rPr>
          <w:rFonts w:asciiTheme="majorHAnsi" w:hAnsiTheme="majorHAnsi"/>
          <w:spacing w:val="-1"/>
          <w:sz w:val="20"/>
          <w:szCs w:val="20"/>
        </w:rPr>
        <w:t xml:space="preserve"> </w:t>
      </w:r>
      <w:r w:rsidRPr="000977F7">
        <w:rPr>
          <w:rFonts w:asciiTheme="majorHAnsi" w:hAnsiTheme="majorHAnsi"/>
          <w:sz w:val="20"/>
          <w:szCs w:val="20"/>
        </w:rPr>
        <w:t>ADJUSTMENT -</w:t>
      </w:r>
    </w:p>
    <w:p w14:paraId="2E842F9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Наробіток технологічного комплексу, після досягнення</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повинно</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проведено</w:t>
      </w:r>
      <w:r w:rsidRPr="000977F7">
        <w:rPr>
          <w:rFonts w:asciiTheme="majorHAnsi" w:hAnsiTheme="majorHAnsi"/>
          <w:spacing w:val="1"/>
          <w:sz w:val="20"/>
          <w:szCs w:val="20"/>
        </w:rPr>
        <w:t xml:space="preserve"> </w:t>
      </w:r>
      <w:r w:rsidRPr="000977F7">
        <w:rPr>
          <w:rFonts w:asciiTheme="majorHAnsi" w:hAnsiTheme="majorHAnsi"/>
          <w:sz w:val="20"/>
          <w:szCs w:val="20"/>
        </w:rPr>
        <w:t xml:space="preserve">підналагодження </w:t>
      </w:r>
      <w:r w:rsidRPr="000977F7">
        <w:rPr>
          <w:rFonts w:asciiTheme="majorHAnsi" w:hAnsiTheme="majorHAnsi"/>
          <w:spacing w:val="-47"/>
          <w:sz w:val="20"/>
          <w:szCs w:val="20"/>
        </w:rPr>
        <w:t xml:space="preserve"> </w:t>
      </w:r>
      <w:r w:rsidRPr="000977F7">
        <w:rPr>
          <w:rFonts w:asciiTheme="majorHAnsi" w:hAnsiTheme="majorHAnsi"/>
          <w:sz w:val="20"/>
          <w:szCs w:val="20"/>
        </w:rPr>
        <w:t>засобів</w:t>
      </w:r>
      <w:r w:rsidRPr="000977F7">
        <w:rPr>
          <w:rFonts w:asciiTheme="majorHAnsi" w:hAnsiTheme="majorHAnsi"/>
          <w:spacing w:val="-2"/>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оснащення.</w:t>
      </w:r>
    </w:p>
    <w:p w14:paraId="202178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w w:val="99"/>
          <w:sz w:val="20"/>
          <w:szCs w:val="20"/>
        </w:rPr>
        <w:t>П</w:t>
      </w:r>
      <w:r w:rsidRPr="000977F7">
        <w:rPr>
          <w:rFonts w:asciiTheme="majorHAnsi" w:hAnsiTheme="majorHAnsi"/>
          <w:spacing w:val="1"/>
          <w:w w:val="99"/>
          <w:sz w:val="20"/>
          <w:szCs w:val="20"/>
        </w:rPr>
        <w:t>о</w:t>
      </w:r>
      <w:r w:rsidRPr="000977F7">
        <w:rPr>
          <w:rFonts w:asciiTheme="majorHAnsi" w:hAnsiTheme="majorHAnsi"/>
          <w:spacing w:val="-1"/>
          <w:w w:val="99"/>
          <w:sz w:val="20"/>
          <w:szCs w:val="20"/>
        </w:rPr>
        <w:t>к</w:t>
      </w:r>
      <w:r w:rsidRPr="000977F7">
        <w:rPr>
          <w:rFonts w:asciiTheme="majorHAnsi" w:hAnsiTheme="majorHAnsi"/>
          <w:w w:val="99"/>
          <w:sz w:val="20"/>
          <w:szCs w:val="20"/>
        </w:rPr>
        <w:t>аз</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и</w:t>
      </w:r>
      <w:r w:rsidRPr="000977F7">
        <w:rPr>
          <w:rFonts w:asciiTheme="majorHAnsi" w:hAnsiTheme="majorHAnsi"/>
          <w:w w:val="99"/>
          <w:sz w:val="20"/>
          <w:szCs w:val="20"/>
        </w:rPr>
        <w:t>к</w:t>
      </w:r>
      <w:r w:rsidRPr="000977F7">
        <w:rPr>
          <w:rFonts w:asciiTheme="majorHAnsi" w:hAnsiTheme="majorHAnsi"/>
          <w:sz w:val="20"/>
          <w:szCs w:val="20"/>
        </w:rPr>
        <w:t xml:space="preserve"> "</w:t>
      </w:r>
      <w:r w:rsidRPr="000977F7">
        <w:rPr>
          <w:rFonts w:asciiTheme="majorHAnsi" w:hAnsiTheme="majorHAnsi"/>
          <w:spacing w:val="-1"/>
          <w:w w:val="99"/>
          <w:sz w:val="20"/>
          <w:szCs w:val="20"/>
        </w:rPr>
        <w:t>П</w:t>
      </w:r>
      <w:r w:rsidRPr="000977F7">
        <w:rPr>
          <w:rFonts w:asciiTheme="majorHAnsi" w:hAnsiTheme="majorHAnsi"/>
          <w:spacing w:val="3"/>
          <w:w w:val="99"/>
          <w:sz w:val="20"/>
          <w:szCs w:val="20"/>
        </w:rPr>
        <w:t>р</w:t>
      </w:r>
      <w:r w:rsidRPr="000977F7">
        <w:rPr>
          <w:rFonts w:asciiTheme="majorHAnsi" w:hAnsiTheme="majorHAnsi"/>
          <w:spacing w:val="-2"/>
          <w:w w:val="99"/>
          <w:sz w:val="20"/>
          <w:szCs w:val="20"/>
        </w:rPr>
        <w:t>и</w:t>
      </w:r>
      <w:r w:rsidRPr="000977F7">
        <w:rPr>
          <w:rFonts w:asciiTheme="majorHAnsi" w:hAnsiTheme="majorHAnsi"/>
          <w:w w:val="99"/>
          <w:sz w:val="20"/>
          <w:szCs w:val="20"/>
        </w:rPr>
        <w:t>знач</w:t>
      </w:r>
      <w:r w:rsidRPr="000977F7">
        <w:rPr>
          <w:rFonts w:asciiTheme="majorHAnsi" w:hAnsiTheme="majorHAnsi"/>
          <w:spacing w:val="2"/>
          <w:w w:val="99"/>
          <w:sz w:val="20"/>
          <w:szCs w:val="20"/>
        </w:rPr>
        <w:t>е</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и</w:t>
      </w:r>
      <w:r w:rsidRPr="000977F7">
        <w:rPr>
          <w:rFonts w:asciiTheme="majorHAnsi" w:hAnsiTheme="majorHAnsi"/>
          <w:w w:val="99"/>
          <w:sz w:val="20"/>
          <w:szCs w:val="20"/>
        </w:rPr>
        <w:t>й</w:t>
      </w:r>
      <w:r w:rsidRPr="000977F7">
        <w:rPr>
          <w:rFonts w:asciiTheme="majorHAnsi" w:hAnsiTheme="majorHAnsi"/>
          <w:spacing w:val="-24"/>
          <w:sz w:val="20"/>
          <w:szCs w:val="20"/>
        </w:rPr>
        <w:t xml:space="preserve"> </w:t>
      </w:r>
      <w:r w:rsidRPr="000977F7">
        <w:rPr>
          <w:rFonts w:asciiTheme="majorHAnsi" w:hAnsiTheme="majorHAnsi"/>
          <w:spacing w:val="-2"/>
          <w:w w:val="99"/>
          <w:sz w:val="20"/>
          <w:szCs w:val="20"/>
        </w:rPr>
        <w:t>н</w:t>
      </w:r>
      <w:r w:rsidRPr="000977F7">
        <w:rPr>
          <w:rFonts w:asciiTheme="majorHAnsi" w:hAnsiTheme="majorHAnsi"/>
          <w:w w:val="99"/>
          <w:sz w:val="20"/>
          <w:szCs w:val="20"/>
        </w:rPr>
        <w:t>а</w:t>
      </w:r>
      <w:r w:rsidRPr="000977F7">
        <w:rPr>
          <w:rFonts w:asciiTheme="majorHAnsi" w:hAnsiTheme="majorHAnsi"/>
          <w:spacing w:val="1"/>
          <w:w w:val="99"/>
          <w:sz w:val="20"/>
          <w:szCs w:val="20"/>
        </w:rPr>
        <w:t>ро</w:t>
      </w:r>
      <w:r w:rsidRPr="000977F7">
        <w:rPr>
          <w:rFonts w:asciiTheme="majorHAnsi" w:hAnsiTheme="majorHAnsi"/>
          <w:w w:val="99"/>
          <w:sz w:val="20"/>
          <w:szCs w:val="20"/>
        </w:rPr>
        <w:t>бок</w:t>
      </w:r>
      <w:r w:rsidRPr="000977F7">
        <w:rPr>
          <w:rFonts w:asciiTheme="majorHAnsi" w:hAnsiTheme="majorHAnsi"/>
          <w:sz w:val="20"/>
          <w:szCs w:val="20"/>
        </w:rPr>
        <w:t xml:space="preserve"> </w:t>
      </w:r>
      <w:r w:rsidRPr="000977F7">
        <w:rPr>
          <w:rFonts w:asciiTheme="majorHAnsi" w:hAnsiTheme="majorHAnsi"/>
          <w:spacing w:val="-1"/>
          <w:w w:val="99"/>
          <w:sz w:val="20"/>
          <w:szCs w:val="20"/>
        </w:rPr>
        <w:t>т</w:t>
      </w:r>
      <w:r w:rsidRPr="000977F7">
        <w:rPr>
          <w:rFonts w:asciiTheme="majorHAnsi" w:hAnsiTheme="majorHAnsi"/>
          <w:spacing w:val="2"/>
          <w:w w:val="99"/>
          <w:sz w:val="20"/>
          <w:szCs w:val="20"/>
        </w:rPr>
        <w:t>е</w:t>
      </w:r>
      <w:r w:rsidRPr="000977F7">
        <w:rPr>
          <w:rFonts w:asciiTheme="majorHAnsi" w:hAnsiTheme="majorHAnsi"/>
          <w:spacing w:val="-2"/>
          <w:w w:val="99"/>
          <w:sz w:val="20"/>
          <w:szCs w:val="20"/>
        </w:rPr>
        <w:t>хн</w:t>
      </w:r>
      <w:r w:rsidRPr="000977F7">
        <w:rPr>
          <w:rFonts w:asciiTheme="majorHAnsi" w:hAnsiTheme="majorHAnsi"/>
          <w:spacing w:val="1"/>
          <w:w w:val="99"/>
          <w:sz w:val="20"/>
          <w:szCs w:val="20"/>
        </w:rPr>
        <w:t>о</w:t>
      </w:r>
      <w:r w:rsidRPr="000977F7">
        <w:rPr>
          <w:rFonts w:asciiTheme="majorHAnsi" w:hAnsiTheme="majorHAnsi"/>
          <w:spacing w:val="-1"/>
          <w:w w:val="99"/>
          <w:sz w:val="20"/>
          <w:szCs w:val="20"/>
        </w:rPr>
        <w:t>л</w:t>
      </w:r>
      <w:r w:rsidRPr="000977F7">
        <w:rPr>
          <w:rFonts w:asciiTheme="majorHAnsi" w:hAnsiTheme="majorHAnsi"/>
          <w:spacing w:val="1"/>
          <w:w w:val="99"/>
          <w:sz w:val="20"/>
          <w:szCs w:val="20"/>
        </w:rPr>
        <w:t>о</w:t>
      </w:r>
      <w:r w:rsidRPr="000977F7">
        <w:rPr>
          <w:rFonts w:asciiTheme="majorHAnsi" w:hAnsiTheme="majorHAnsi"/>
          <w:spacing w:val="-1"/>
          <w:w w:val="99"/>
          <w:sz w:val="20"/>
          <w:szCs w:val="20"/>
        </w:rPr>
        <w:t>гі</w:t>
      </w:r>
      <w:r w:rsidRPr="000977F7">
        <w:rPr>
          <w:rFonts w:asciiTheme="majorHAnsi" w:hAnsiTheme="majorHAnsi"/>
          <w:spacing w:val="2"/>
          <w:w w:val="99"/>
          <w:sz w:val="20"/>
          <w:szCs w:val="20"/>
        </w:rPr>
        <w:t>ч</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о</w:t>
      </w:r>
      <w:r w:rsidRPr="000977F7">
        <w:rPr>
          <w:rFonts w:asciiTheme="majorHAnsi" w:hAnsiTheme="majorHAnsi"/>
          <w:spacing w:val="-1"/>
          <w:w w:val="99"/>
          <w:sz w:val="20"/>
          <w:szCs w:val="20"/>
        </w:rPr>
        <w:t xml:space="preserve">го </w:t>
      </w:r>
      <w:r w:rsidRPr="000977F7">
        <w:rPr>
          <w:rFonts w:asciiTheme="majorHAnsi" w:hAnsiTheme="majorHAnsi"/>
          <w:sz w:val="20"/>
          <w:szCs w:val="20"/>
        </w:rPr>
        <w:t>комплексу</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підналагодження"</w:t>
      </w:r>
      <w:r w:rsidRPr="000977F7">
        <w:rPr>
          <w:rFonts w:asciiTheme="majorHAnsi" w:hAnsiTheme="majorHAnsi"/>
          <w:spacing w:val="1"/>
          <w:sz w:val="20"/>
          <w:szCs w:val="20"/>
        </w:rPr>
        <w:t xml:space="preserve"> </w:t>
      </w:r>
      <w:r w:rsidRPr="000977F7">
        <w:rPr>
          <w:rFonts w:asciiTheme="majorHAnsi" w:hAnsiTheme="majorHAnsi"/>
          <w:sz w:val="20"/>
          <w:szCs w:val="20"/>
        </w:rPr>
        <w:t>установлюють</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технологічних</w:t>
      </w:r>
      <w:r w:rsidRPr="000977F7">
        <w:rPr>
          <w:rFonts w:asciiTheme="majorHAnsi" w:hAnsiTheme="majorHAnsi"/>
          <w:spacing w:val="1"/>
          <w:sz w:val="20"/>
          <w:szCs w:val="20"/>
        </w:rPr>
        <w:t xml:space="preserve"> </w:t>
      </w:r>
      <w:r w:rsidRPr="000977F7">
        <w:rPr>
          <w:rFonts w:asciiTheme="majorHAnsi" w:hAnsiTheme="majorHAnsi"/>
          <w:sz w:val="20"/>
          <w:szCs w:val="20"/>
        </w:rPr>
        <w:t>систем</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періодичним</w:t>
      </w:r>
      <w:r w:rsidRPr="000977F7">
        <w:rPr>
          <w:rFonts w:asciiTheme="majorHAnsi" w:hAnsiTheme="majorHAnsi"/>
          <w:spacing w:val="1"/>
          <w:sz w:val="20"/>
          <w:szCs w:val="20"/>
        </w:rPr>
        <w:t xml:space="preserve"> </w:t>
      </w:r>
      <w:r w:rsidRPr="000977F7">
        <w:rPr>
          <w:rFonts w:asciiTheme="majorHAnsi" w:hAnsiTheme="majorHAnsi"/>
          <w:sz w:val="20"/>
          <w:szCs w:val="20"/>
        </w:rPr>
        <w:t>технічним</w:t>
      </w:r>
      <w:r w:rsidRPr="000977F7">
        <w:rPr>
          <w:rFonts w:asciiTheme="majorHAnsi" w:hAnsiTheme="majorHAnsi"/>
          <w:spacing w:val="1"/>
          <w:sz w:val="20"/>
          <w:szCs w:val="20"/>
        </w:rPr>
        <w:t xml:space="preserve"> </w:t>
      </w:r>
      <w:r w:rsidRPr="000977F7">
        <w:rPr>
          <w:rFonts w:asciiTheme="majorHAnsi" w:hAnsiTheme="majorHAnsi"/>
          <w:sz w:val="20"/>
          <w:szCs w:val="20"/>
        </w:rPr>
        <w:t>обслуговуванням (підналагодженням). Зазначений показник характеризує тривалість безвідмовного функціонування технологічної системи без проведення підналагодження</w:t>
      </w:r>
    </w:p>
    <w:p w14:paraId="3F172CD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2470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7203C7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ПРИЗНАЧЕНИЙ</w:t>
      </w:r>
      <w:r w:rsidRPr="000977F7">
        <w:rPr>
          <w:color w:val="auto"/>
          <w:spacing w:val="-4"/>
          <w:sz w:val="20"/>
          <w:szCs w:val="20"/>
        </w:rPr>
        <w:t xml:space="preserve"> </w:t>
      </w:r>
      <w:r w:rsidRPr="000977F7">
        <w:rPr>
          <w:color w:val="auto"/>
          <w:sz w:val="20"/>
          <w:szCs w:val="20"/>
        </w:rPr>
        <w:t>РЕСУРС –</w:t>
      </w:r>
    </w:p>
    <w:p w14:paraId="2ABCDE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ASIGNED</w:t>
      </w:r>
      <w:r w:rsidRPr="000977F7">
        <w:rPr>
          <w:rFonts w:asciiTheme="majorHAnsi" w:hAnsiTheme="majorHAnsi"/>
          <w:spacing w:val="-3"/>
          <w:sz w:val="20"/>
          <w:szCs w:val="20"/>
        </w:rPr>
        <w:t xml:space="preserve"> </w:t>
      </w:r>
      <w:r w:rsidRPr="000977F7">
        <w:rPr>
          <w:rFonts w:asciiTheme="majorHAnsi" w:hAnsiTheme="majorHAnsi"/>
          <w:sz w:val="20"/>
          <w:szCs w:val="20"/>
        </w:rPr>
        <w:t>OPERATING</w:t>
      </w:r>
      <w:r w:rsidRPr="000977F7">
        <w:rPr>
          <w:rFonts w:asciiTheme="majorHAnsi" w:hAnsiTheme="majorHAnsi"/>
          <w:spacing w:val="-2"/>
          <w:sz w:val="20"/>
          <w:szCs w:val="20"/>
        </w:rPr>
        <w:t xml:space="preserve"> </w:t>
      </w:r>
      <w:r w:rsidRPr="000977F7">
        <w:rPr>
          <w:rFonts w:asciiTheme="majorHAnsi" w:hAnsiTheme="majorHAnsi"/>
          <w:sz w:val="20"/>
          <w:szCs w:val="20"/>
        </w:rPr>
        <w:t>TIME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AA8080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Сумарний наробіток, при досягненні якого експлуатацію об’єкта належить припинити незалежно від його</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 стану</w:t>
      </w:r>
    </w:p>
    <w:p w14:paraId="0B49FF1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2680 – 94</w:t>
      </w:r>
    </w:p>
    <w:p w14:paraId="30CCE94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ПРИЗНАЧЕНИЙ</w:t>
      </w:r>
      <w:r w:rsidRPr="000977F7">
        <w:rPr>
          <w:color w:val="auto"/>
          <w:spacing w:val="-4"/>
          <w:sz w:val="20"/>
          <w:szCs w:val="20"/>
        </w:rPr>
        <w:t xml:space="preserve"> </w:t>
      </w:r>
      <w:r w:rsidRPr="000977F7">
        <w:rPr>
          <w:color w:val="auto"/>
          <w:sz w:val="20"/>
          <w:szCs w:val="20"/>
        </w:rPr>
        <w:t>ТЕРМІН</w:t>
      </w:r>
      <w:r w:rsidRPr="000977F7">
        <w:rPr>
          <w:color w:val="auto"/>
          <w:spacing w:val="-4"/>
          <w:sz w:val="20"/>
          <w:szCs w:val="20"/>
        </w:rPr>
        <w:t xml:space="preserve"> </w:t>
      </w:r>
      <w:r w:rsidRPr="000977F7">
        <w:rPr>
          <w:color w:val="auto"/>
          <w:sz w:val="20"/>
          <w:szCs w:val="20"/>
        </w:rPr>
        <w:t>ЗБЕРІГАННЯ</w:t>
      </w:r>
      <w:r w:rsidRPr="000977F7">
        <w:rPr>
          <w:color w:val="auto"/>
          <w:spacing w:val="-1"/>
          <w:sz w:val="20"/>
          <w:szCs w:val="20"/>
        </w:rPr>
        <w:t xml:space="preserve"> </w:t>
      </w:r>
      <w:r w:rsidRPr="000977F7">
        <w:rPr>
          <w:color w:val="auto"/>
          <w:sz w:val="20"/>
          <w:szCs w:val="20"/>
        </w:rPr>
        <w:t>-</w:t>
      </w:r>
    </w:p>
    <w:p w14:paraId="401F332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ASSIGNED</w:t>
      </w:r>
      <w:r w:rsidRPr="000977F7">
        <w:rPr>
          <w:rFonts w:asciiTheme="majorHAnsi" w:hAnsiTheme="majorHAnsi"/>
          <w:spacing w:val="-2"/>
          <w:sz w:val="20"/>
          <w:szCs w:val="20"/>
        </w:rPr>
        <w:t xml:space="preserve"> </w:t>
      </w:r>
      <w:r w:rsidRPr="000977F7">
        <w:rPr>
          <w:rFonts w:asciiTheme="majorHAnsi" w:hAnsiTheme="majorHAnsi"/>
          <w:sz w:val="20"/>
          <w:szCs w:val="20"/>
        </w:rPr>
        <w:t>STORAGE</w:t>
      </w:r>
      <w:r w:rsidRPr="000977F7">
        <w:rPr>
          <w:rFonts w:asciiTheme="majorHAnsi" w:hAnsiTheme="majorHAnsi"/>
          <w:spacing w:val="-2"/>
          <w:sz w:val="20"/>
          <w:szCs w:val="20"/>
        </w:rPr>
        <w:t xml:space="preserve"> </w:t>
      </w:r>
      <w:r w:rsidRPr="000977F7">
        <w:rPr>
          <w:rFonts w:asciiTheme="majorHAnsi" w:hAnsiTheme="majorHAnsi"/>
          <w:sz w:val="20"/>
          <w:szCs w:val="20"/>
        </w:rPr>
        <w:t>TIME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07F9FC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Календарна</w:t>
      </w:r>
      <w:r w:rsidRPr="000977F7">
        <w:rPr>
          <w:rFonts w:asciiTheme="majorHAnsi" w:hAnsiTheme="majorHAnsi"/>
          <w:spacing w:val="1"/>
          <w:sz w:val="20"/>
          <w:szCs w:val="20"/>
        </w:rPr>
        <w:t xml:space="preserve"> </w:t>
      </w:r>
      <w:r w:rsidRPr="000977F7">
        <w:rPr>
          <w:rFonts w:asciiTheme="majorHAnsi" w:hAnsiTheme="majorHAnsi"/>
          <w:sz w:val="20"/>
          <w:szCs w:val="20"/>
        </w:rPr>
        <w:t>тривалість</w:t>
      </w:r>
      <w:r w:rsidRPr="000977F7">
        <w:rPr>
          <w:rFonts w:asciiTheme="majorHAnsi" w:hAnsiTheme="majorHAnsi"/>
          <w:spacing w:val="1"/>
          <w:sz w:val="20"/>
          <w:szCs w:val="20"/>
        </w:rPr>
        <w:t xml:space="preserve"> </w:t>
      </w:r>
      <w:r w:rsidRPr="000977F7">
        <w:rPr>
          <w:rFonts w:asciiTheme="majorHAnsi" w:hAnsiTheme="majorHAnsi"/>
          <w:sz w:val="20"/>
          <w:szCs w:val="20"/>
        </w:rPr>
        <w:t>зберігання,</w:t>
      </w:r>
      <w:r w:rsidRPr="000977F7">
        <w:rPr>
          <w:rFonts w:asciiTheme="majorHAnsi" w:hAnsiTheme="majorHAnsi"/>
          <w:spacing w:val="1"/>
          <w:sz w:val="20"/>
          <w:szCs w:val="20"/>
        </w:rPr>
        <w:t xml:space="preserve"> </w:t>
      </w:r>
      <w:r w:rsidRPr="000977F7">
        <w:rPr>
          <w:rFonts w:asciiTheme="majorHAnsi" w:hAnsiTheme="majorHAnsi"/>
          <w:sz w:val="20"/>
          <w:szCs w:val="20"/>
        </w:rPr>
        <w:t>після</w:t>
      </w:r>
      <w:r w:rsidRPr="000977F7">
        <w:rPr>
          <w:rFonts w:asciiTheme="majorHAnsi" w:hAnsiTheme="majorHAnsi"/>
          <w:spacing w:val="1"/>
          <w:sz w:val="20"/>
          <w:szCs w:val="20"/>
        </w:rPr>
        <w:t xml:space="preserve"> </w:t>
      </w:r>
      <w:r w:rsidRPr="000977F7">
        <w:rPr>
          <w:rFonts w:asciiTheme="majorHAnsi" w:hAnsiTheme="majorHAnsi"/>
          <w:sz w:val="20"/>
          <w:szCs w:val="20"/>
        </w:rPr>
        <w:t>досягнення</w:t>
      </w:r>
      <w:r w:rsidRPr="000977F7">
        <w:rPr>
          <w:rFonts w:asciiTheme="majorHAnsi" w:hAnsiTheme="majorHAnsi"/>
          <w:spacing w:val="-47"/>
          <w:sz w:val="20"/>
          <w:szCs w:val="20"/>
        </w:rPr>
        <w:t xml:space="preserve"> </w:t>
      </w:r>
      <w:r w:rsidRPr="000977F7">
        <w:rPr>
          <w:rFonts w:asciiTheme="majorHAnsi" w:hAnsiTheme="majorHAnsi"/>
          <w:sz w:val="20"/>
          <w:szCs w:val="20"/>
        </w:rPr>
        <w:t>якої зберігання об’єкта належить припинити незалежно від</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 стану</w:t>
      </w:r>
    </w:p>
    <w:p w14:paraId="1C4BBC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087EA3A"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Після</w:t>
      </w:r>
      <w:r w:rsidRPr="000977F7">
        <w:rPr>
          <w:rFonts w:asciiTheme="majorHAnsi" w:hAnsiTheme="majorHAnsi"/>
          <w:spacing w:val="17"/>
          <w:sz w:val="20"/>
          <w:szCs w:val="20"/>
        </w:rPr>
        <w:t xml:space="preserve"> </w:t>
      </w:r>
      <w:r w:rsidRPr="000977F7">
        <w:rPr>
          <w:rFonts w:asciiTheme="majorHAnsi" w:hAnsiTheme="majorHAnsi"/>
          <w:sz w:val="20"/>
          <w:szCs w:val="20"/>
        </w:rPr>
        <w:t>закінчення</w:t>
      </w:r>
      <w:r w:rsidRPr="000977F7">
        <w:rPr>
          <w:rFonts w:asciiTheme="majorHAnsi" w:hAnsiTheme="majorHAnsi"/>
          <w:spacing w:val="19"/>
          <w:sz w:val="20"/>
          <w:szCs w:val="20"/>
        </w:rPr>
        <w:t xml:space="preserve"> </w:t>
      </w:r>
      <w:r w:rsidRPr="000977F7">
        <w:rPr>
          <w:rFonts w:asciiTheme="majorHAnsi" w:hAnsiTheme="majorHAnsi"/>
          <w:sz w:val="20"/>
          <w:szCs w:val="20"/>
        </w:rPr>
        <w:t>призначеного</w:t>
      </w:r>
      <w:r w:rsidRPr="000977F7">
        <w:rPr>
          <w:rFonts w:asciiTheme="majorHAnsi" w:hAnsiTheme="majorHAnsi"/>
          <w:spacing w:val="18"/>
          <w:sz w:val="20"/>
          <w:szCs w:val="20"/>
        </w:rPr>
        <w:t xml:space="preserve"> </w:t>
      </w:r>
      <w:r w:rsidRPr="000977F7">
        <w:rPr>
          <w:rFonts w:asciiTheme="majorHAnsi" w:hAnsiTheme="majorHAnsi"/>
          <w:sz w:val="20"/>
          <w:szCs w:val="20"/>
        </w:rPr>
        <w:t>ресурсу</w:t>
      </w:r>
      <w:r w:rsidRPr="000977F7">
        <w:rPr>
          <w:rFonts w:asciiTheme="majorHAnsi" w:hAnsiTheme="majorHAnsi"/>
          <w:spacing w:val="14"/>
          <w:sz w:val="20"/>
          <w:szCs w:val="20"/>
        </w:rPr>
        <w:t xml:space="preserve"> </w:t>
      </w:r>
      <w:r w:rsidRPr="000977F7">
        <w:rPr>
          <w:rFonts w:asciiTheme="majorHAnsi" w:hAnsiTheme="majorHAnsi"/>
          <w:sz w:val="20"/>
          <w:szCs w:val="20"/>
        </w:rPr>
        <w:t>(терміну</w:t>
      </w:r>
      <w:r w:rsidRPr="000977F7">
        <w:rPr>
          <w:rFonts w:asciiTheme="majorHAnsi" w:hAnsiTheme="majorHAnsi"/>
          <w:spacing w:val="15"/>
          <w:sz w:val="20"/>
          <w:szCs w:val="20"/>
        </w:rPr>
        <w:t xml:space="preserve"> </w:t>
      </w:r>
      <w:r w:rsidRPr="000977F7">
        <w:rPr>
          <w:rFonts w:asciiTheme="majorHAnsi" w:hAnsiTheme="majorHAnsi"/>
          <w:sz w:val="20"/>
          <w:szCs w:val="20"/>
        </w:rPr>
        <w:t>служби,</w:t>
      </w:r>
      <w:r w:rsidRPr="000977F7">
        <w:rPr>
          <w:rFonts w:asciiTheme="majorHAnsi" w:hAnsiTheme="majorHAnsi"/>
          <w:spacing w:val="15"/>
          <w:sz w:val="20"/>
          <w:szCs w:val="20"/>
        </w:rPr>
        <w:t xml:space="preserve"> </w:t>
      </w:r>
      <w:r w:rsidRPr="000977F7">
        <w:rPr>
          <w:rFonts w:asciiTheme="majorHAnsi" w:hAnsiTheme="majorHAnsi"/>
          <w:sz w:val="20"/>
          <w:szCs w:val="20"/>
        </w:rPr>
        <w:t>терміну</w:t>
      </w:r>
      <w:r w:rsidRPr="000977F7">
        <w:rPr>
          <w:rFonts w:asciiTheme="majorHAnsi" w:hAnsiTheme="majorHAnsi"/>
          <w:spacing w:val="15"/>
          <w:sz w:val="20"/>
          <w:szCs w:val="20"/>
        </w:rPr>
        <w:t xml:space="preserve"> </w:t>
      </w:r>
      <w:r w:rsidRPr="000977F7">
        <w:rPr>
          <w:rFonts w:asciiTheme="majorHAnsi" w:hAnsiTheme="majorHAnsi"/>
          <w:sz w:val="20"/>
          <w:szCs w:val="20"/>
        </w:rPr>
        <w:t>зберігання)</w:t>
      </w:r>
      <w:r w:rsidRPr="000977F7">
        <w:rPr>
          <w:rFonts w:asciiTheme="majorHAnsi" w:hAnsiTheme="majorHAnsi"/>
          <w:spacing w:val="16"/>
          <w:sz w:val="20"/>
          <w:szCs w:val="20"/>
        </w:rPr>
        <w:t xml:space="preserve"> </w:t>
      </w:r>
      <w:r w:rsidRPr="000977F7">
        <w:rPr>
          <w:rFonts w:asciiTheme="majorHAnsi" w:hAnsiTheme="majorHAnsi"/>
          <w:sz w:val="20"/>
          <w:szCs w:val="20"/>
        </w:rPr>
        <w:t>об’єкт</w:t>
      </w:r>
      <w:r w:rsidRPr="000977F7">
        <w:rPr>
          <w:rFonts w:asciiTheme="majorHAnsi" w:hAnsiTheme="majorHAnsi"/>
          <w:spacing w:val="16"/>
          <w:sz w:val="20"/>
          <w:szCs w:val="20"/>
        </w:rPr>
        <w:t xml:space="preserve"> </w:t>
      </w:r>
      <w:r w:rsidRPr="000977F7">
        <w:rPr>
          <w:rFonts w:asciiTheme="majorHAnsi" w:hAnsiTheme="majorHAnsi"/>
          <w:sz w:val="20"/>
          <w:szCs w:val="20"/>
        </w:rPr>
        <w:t>належить</w:t>
      </w:r>
      <w:r w:rsidRPr="000977F7">
        <w:rPr>
          <w:rFonts w:asciiTheme="majorHAnsi" w:hAnsiTheme="majorHAnsi"/>
          <w:spacing w:val="18"/>
          <w:sz w:val="20"/>
          <w:szCs w:val="20"/>
        </w:rPr>
        <w:t xml:space="preserve"> </w:t>
      </w:r>
      <w:r w:rsidRPr="000977F7">
        <w:rPr>
          <w:rFonts w:asciiTheme="majorHAnsi" w:hAnsiTheme="majorHAnsi"/>
          <w:sz w:val="20"/>
          <w:szCs w:val="20"/>
        </w:rPr>
        <w:t>вилучити</w:t>
      </w:r>
      <w:r w:rsidRPr="000977F7">
        <w:rPr>
          <w:rFonts w:asciiTheme="majorHAnsi" w:hAnsiTheme="majorHAnsi"/>
          <w:spacing w:val="15"/>
          <w:sz w:val="20"/>
          <w:szCs w:val="20"/>
        </w:rPr>
        <w:t xml:space="preserve"> </w:t>
      </w:r>
      <w:r w:rsidRPr="000977F7">
        <w:rPr>
          <w:rFonts w:asciiTheme="majorHAnsi" w:hAnsiTheme="majorHAnsi"/>
          <w:sz w:val="20"/>
          <w:szCs w:val="20"/>
        </w:rPr>
        <w:t>з</w:t>
      </w:r>
      <w:r w:rsidRPr="000977F7">
        <w:rPr>
          <w:rFonts w:asciiTheme="majorHAnsi" w:hAnsiTheme="majorHAnsi"/>
          <w:spacing w:val="-47"/>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4"/>
          <w:sz w:val="20"/>
          <w:szCs w:val="20"/>
        </w:rPr>
        <w:t xml:space="preserve"> </w:t>
      </w:r>
      <w:r w:rsidRPr="000977F7">
        <w:rPr>
          <w:rFonts w:asciiTheme="majorHAnsi" w:hAnsiTheme="majorHAnsi"/>
          <w:sz w:val="20"/>
          <w:szCs w:val="20"/>
        </w:rPr>
        <w:t>повинно</w:t>
      </w:r>
      <w:r w:rsidRPr="000977F7">
        <w:rPr>
          <w:rFonts w:asciiTheme="majorHAnsi" w:hAnsiTheme="majorHAnsi"/>
          <w:spacing w:val="5"/>
          <w:sz w:val="20"/>
          <w:szCs w:val="20"/>
        </w:rPr>
        <w:t xml:space="preserve"> </w:t>
      </w:r>
      <w:r w:rsidRPr="000977F7">
        <w:rPr>
          <w:rFonts w:asciiTheme="majorHAnsi" w:hAnsiTheme="majorHAnsi"/>
          <w:sz w:val="20"/>
          <w:szCs w:val="20"/>
        </w:rPr>
        <w:t>бути</w:t>
      </w:r>
      <w:r w:rsidRPr="000977F7">
        <w:rPr>
          <w:rFonts w:asciiTheme="majorHAnsi" w:hAnsiTheme="majorHAnsi"/>
          <w:spacing w:val="3"/>
          <w:sz w:val="20"/>
          <w:szCs w:val="20"/>
        </w:rPr>
        <w:t xml:space="preserve"> </w:t>
      </w:r>
      <w:r w:rsidRPr="000977F7">
        <w:rPr>
          <w:rFonts w:asciiTheme="majorHAnsi" w:hAnsiTheme="majorHAnsi"/>
          <w:sz w:val="20"/>
          <w:szCs w:val="20"/>
        </w:rPr>
        <w:t>прийняте</w:t>
      </w:r>
      <w:r w:rsidRPr="000977F7">
        <w:rPr>
          <w:rFonts w:asciiTheme="majorHAnsi" w:hAnsiTheme="majorHAnsi"/>
          <w:spacing w:val="4"/>
          <w:sz w:val="20"/>
          <w:szCs w:val="20"/>
        </w:rPr>
        <w:t xml:space="preserve"> </w:t>
      </w:r>
      <w:r w:rsidRPr="000977F7">
        <w:rPr>
          <w:rFonts w:asciiTheme="majorHAnsi" w:hAnsiTheme="majorHAnsi"/>
          <w:sz w:val="20"/>
          <w:szCs w:val="20"/>
        </w:rPr>
        <w:t>одне</w:t>
      </w:r>
      <w:r w:rsidRPr="000977F7">
        <w:rPr>
          <w:rFonts w:asciiTheme="majorHAnsi" w:hAnsiTheme="majorHAnsi"/>
          <w:spacing w:val="4"/>
          <w:sz w:val="20"/>
          <w:szCs w:val="20"/>
        </w:rPr>
        <w:t xml:space="preserve"> </w:t>
      </w:r>
      <w:r w:rsidRPr="000977F7">
        <w:rPr>
          <w:rFonts w:asciiTheme="majorHAnsi" w:hAnsiTheme="majorHAnsi"/>
          <w:sz w:val="20"/>
          <w:szCs w:val="20"/>
        </w:rPr>
        <w:t>з</w:t>
      </w:r>
      <w:r w:rsidRPr="000977F7">
        <w:rPr>
          <w:rFonts w:asciiTheme="majorHAnsi" w:hAnsiTheme="majorHAnsi"/>
          <w:spacing w:val="4"/>
          <w:sz w:val="20"/>
          <w:szCs w:val="20"/>
        </w:rPr>
        <w:t xml:space="preserve"> </w:t>
      </w:r>
      <w:r w:rsidRPr="000977F7">
        <w:rPr>
          <w:rFonts w:asciiTheme="majorHAnsi" w:hAnsiTheme="majorHAnsi"/>
          <w:sz w:val="20"/>
          <w:szCs w:val="20"/>
        </w:rPr>
        <w:t>рішень,</w:t>
      </w:r>
      <w:r w:rsidRPr="000977F7">
        <w:rPr>
          <w:rFonts w:asciiTheme="majorHAnsi" w:hAnsiTheme="majorHAnsi"/>
          <w:spacing w:val="-47"/>
          <w:sz w:val="20"/>
          <w:szCs w:val="20"/>
        </w:rPr>
        <w:t xml:space="preserve"> </w:t>
      </w:r>
      <w:r w:rsidRPr="000977F7">
        <w:rPr>
          <w:rFonts w:asciiTheme="majorHAnsi" w:hAnsiTheme="majorHAnsi"/>
          <w:sz w:val="20"/>
          <w:szCs w:val="20"/>
        </w:rPr>
        <w:t>передбачених</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відповідною</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нормативною</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документацією:</w:t>
      </w:r>
      <w:r w:rsidRPr="000977F7">
        <w:rPr>
          <w:rFonts w:asciiTheme="majorHAnsi" w:hAnsiTheme="majorHAnsi"/>
          <w:spacing w:val="11"/>
          <w:sz w:val="20"/>
          <w:szCs w:val="20"/>
        </w:rPr>
        <w:t xml:space="preserve"> </w:t>
      </w:r>
      <w:r w:rsidRPr="000977F7">
        <w:rPr>
          <w:rFonts w:asciiTheme="majorHAnsi" w:hAnsiTheme="majorHAnsi"/>
          <w:sz w:val="20"/>
          <w:szCs w:val="20"/>
        </w:rPr>
        <w:t>скерувати</w:t>
      </w:r>
      <w:r w:rsidRPr="000977F7">
        <w:rPr>
          <w:rFonts w:asciiTheme="majorHAnsi" w:hAnsiTheme="majorHAnsi"/>
          <w:spacing w:val="12"/>
          <w:sz w:val="20"/>
          <w:szCs w:val="20"/>
        </w:rPr>
        <w:t xml:space="preserve"> </w:t>
      </w:r>
      <w:r w:rsidRPr="000977F7">
        <w:rPr>
          <w:rFonts w:asciiTheme="majorHAnsi" w:hAnsiTheme="majorHAnsi"/>
          <w:sz w:val="20"/>
          <w:szCs w:val="20"/>
        </w:rPr>
        <w:t>на</w:t>
      </w:r>
      <w:r w:rsidRPr="000977F7">
        <w:rPr>
          <w:rFonts w:asciiTheme="majorHAnsi" w:hAnsiTheme="majorHAnsi"/>
          <w:spacing w:val="14"/>
          <w:sz w:val="20"/>
          <w:szCs w:val="20"/>
        </w:rPr>
        <w:t xml:space="preserve"> </w:t>
      </w:r>
      <w:r w:rsidRPr="000977F7">
        <w:rPr>
          <w:rFonts w:asciiTheme="majorHAnsi" w:hAnsiTheme="majorHAnsi"/>
          <w:sz w:val="20"/>
          <w:szCs w:val="20"/>
        </w:rPr>
        <w:t>ремонт,</w:t>
      </w:r>
      <w:r w:rsidRPr="000977F7">
        <w:rPr>
          <w:rFonts w:asciiTheme="majorHAnsi" w:hAnsiTheme="majorHAnsi"/>
          <w:spacing w:val="14"/>
          <w:sz w:val="20"/>
          <w:szCs w:val="20"/>
        </w:rPr>
        <w:t xml:space="preserve"> </w:t>
      </w:r>
      <w:r w:rsidRPr="000977F7">
        <w:rPr>
          <w:rFonts w:asciiTheme="majorHAnsi" w:hAnsiTheme="majorHAnsi"/>
          <w:sz w:val="20"/>
          <w:szCs w:val="20"/>
        </w:rPr>
        <w:t>списати,</w:t>
      </w:r>
      <w:r w:rsidRPr="000977F7">
        <w:rPr>
          <w:rFonts w:asciiTheme="majorHAnsi" w:hAnsiTheme="majorHAnsi"/>
          <w:spacing w:val="11"/>
          <w:sz w:val="20"/>
          <w:szCs w:val="20"/>
        </w:rPr>
        <w:t xml:space="preserve"> </w:t>
      </w:r>
      <w:r w:rsidRPr="000977F7">
        <w:rPr>
          <w:rFonts w:asciiTheme="majorHAnsi" w:hAnsiTheme="majorHAnsi"/>
          <w:sz w:val="20"/>
          <w:szCs w:val="20"/>
        </w:rPr>
        <w:t>знищити,</w:t>
      </w:r>
      <w:r w:rsidRPr="000977F7">
        <w:rPr>
          <w:rFonts w:asciiTheme="majorHAnsi" w:hAnsiTheme="majorHAnsi"/>
          <w:spacing w:val="14"/>
          <w:sz w:val="20"/>
          <w:szCs w:val="20"/>
        </w:rPr>
        <w:t xml:space="preserve"> </w:t>
      </w:r>
      <w:r w:rsidRPr="000977F7">
        <w:rPr>
          <w:rFonts w:asciiTheme="majorHAnsi" w:hAnsiTheme="majorHAnsi"/>
          <w:sz w:val="20"/>
          <w:szCs w:val="20"/>
        </w:rPr>
        <w:t>перевірити та встановити новий призначений ресурс тощо</w:t>
      </w:r>
      <w:r w:rsidRPr="000977F7">
        <w:rPr>
          <w:rFonts w:asciiTheme="majorHAnsi" w:hAnsiTheme="majorHAnsi"/>
          <w:spacing w:val="1"/>
          <w:sz w:val="20"/>
          <w:szCs w:val="20"/>
        </w:rPr>
        <w:t xml:space="preserve"> </w:t>
      </w:r>
    </w:p>
    <w:p w14:paraId="193183F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BA187B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ПРИЗНАЧЕНИЙ</w:t>
      </w:r>
      <w:r w:rsidRPr="000977F7">
        <w:rPr>
          <w:color w:val="auto"/>
          <w:spacing w:val="-4"/>
          <w:sz w:val="20"/>
          <w:szCs w:val="20"/>
        </w:rPr>
        <w:t xml:space="preserve"> </w:t>
      </w:r>
      <w:r w:rsidRPr="000977F7">
        <w:rPr>
          <w:color w:val="auto"/>
          <w:sz w:val="20"/>
          <w:szCs w:val="20"/>
        </w:rPr>
        <w:t>ТЕРМІН</w:t>
      </w:r>
      <w:r w:rsidRPr="000977F7">
        <w:rPr>
          <w:color w:val="auto"/>
          <w:spacing w:val="-4"/>
          <w:sz w:val="20"/>
          <w:szCs w:val="20"/>
        </w:rPr>
        <w:t xml:space="preserve"> </w:t>
      </w:r>
      <w:r w:rsidRPr="000977F7">
        <w:rPr>
          <w:color w:val="auto"/>
          <w:sz w:val="20"/>
          <w:szCs w:val="20"/>
        </w:rPr>
        <w:t>СЛУЖБИ –</w:t>
      </w:r>
    </w:p>
    <w:p w14:paraId="1EDFFBD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ASSIGNED</w:t>
      </w:r>
      <w:r w:rsidRPr="000977F7">
        <w:rPr>
          <w:rFonts w:asciiTheme="majorHAnsi" w:hAnsiTheme="majorHAnsi"/>
          <w:spacing w:val="-1"/>
          <w:sz w:val="20"/>
          <w:szCs w:val="20"/>
        </w:rPr>
        <w:t xml:space="preserve"> </w:t>
      </w:r>
      <w:r w:rsidRPr="000977F7">
        <w:rPr>
          <w:rFonts w:asciiTheme="majorHAnsi" w:hAnsiTheme="majorHAnsi"/>
          <w:sz w:val="20"/>
          <w:szCs w:val="20"/>
        </w:rPr>
        <w:t>LIFETIME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1CCBC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Календарна</w:t>
      </w:r>
      <w:r w:rsidRPr="000977F7">
        <w:rPr>
          <w:rFonts w:asciiTheme="majorHAnsi" w:hAnsiTheme="majorHAnsi"/>
          <w:spacing w:val="1"/>
          <w:sz w:val="20"/>
          <w:szCs w:val="20"/>
        </w:rPr>
        <w:t xml:space="preserve"> </w:t>
      </w:r>
      <w:r w:rsidRPr="000977F7">
        <w:rPr>
          <w:rFonts w:asciiTheme="majorHAnsi" w:hAnsiTheme="majorHAnsi"/>
          <w:sz w:val="20"/>
          <w:szCs w:val="20"/>
        </w:rPr>
        <w:t>тривалість</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досягненні</w:t>
      </w:r>
      <w:r w:rsidRPr="000977F7">
        <w:rPr>
          <w:rFonts w:asciiTheme="majorHAnsi" w:hAnsiTheme="majorHAnsi"/>
          <w:spacing w:val="-47"/>
          <w:sz w:val="20"/>
          <w:szCs w:val="20"/>
        </w:rPr>
        <w:t xml:space="preserve"> </w:t>
      </w:r>
      <w:r w:rsidRPr="000977F7">
        <w:rPr>
          <w:rFonts w:asciiTheme="majorHAnsi" w:hAnsiTheme="majorHAnsi"/>
          <w:sz w:val="20"/>
          <w:szCs w:val="20"/>
        </w:rPr>
        <w:t>якої експлуатацію об’єкта належить припинити незалежно від</w:t>
      </w:r>
      <w:r w:rsidRPr="000977F7">
        <w:rPr>
          <w:rFonts w:asciiTheme="majorHAnsi" w:hAnsiTheme="majorHAnsi"/>
          <w:spacing w:val="2"/>
          <w:sz w:val="20"/>
          <w:szCs w:val="20"/>
        </w:rPr>
        <w:t xml:space="preserve"> </w:t>
      </w:r>
      <w:r w:rsidRPr="000977F7">
        <w:rPr>
          <w:rFonts w:asciiTheme="majorHAnsi" w:hAnsiTheme="majorHAnsi"/>
          <w:sz w:val="20"/>
          <w:szCs w:val="20"/>
        </w:rPr>
        <w:t>його 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стану</w:t>
      </w:r>
    </w:p>
    <w:p w14:paraId="7655FB02"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ДСТУ2860 – 94</w:t>
      </w:r>
      <w:bookmarkStart w:id="220" w:name="_Hlk101778760"/>
    </w:p>
    <w:p w14:paraId="5B8B6AD8"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pacing w:val="-1"/>
          <w:sz w:val="20"/>
          <w:szCs w:val="20"/>
        </w:rPr>
        <w:t>ПРИЗНАЧЕННЯ</w:t>
      </w:r>
    </w:p>
    <w:p w14:paraId="0E8EC8B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Cs/>
          <w:sz w:val="20"/>
          <w:szCs w:val="20"/>
        </w:rPr>
        <w:t>DESIGNATION</w:t>
      </w:r>
      <w:r w:rsidRPr="000977F7">
        <w:rPr>
          <w:rFonts w:asciiTheme="majorHAnsi" w:hAnsiTheme="majorHAnsi"/>
          <w:i/>
          <w:sz w:val="20"/>
          <w:szCs w:val="20"/>
        </w:rPr>
        <w:t>-</w:t>
      </w:r>
    </w:p>
    <w:p w14:paraId="16B6218B"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Надання органом, що призначає, органу з оцінки відповідності права здійснювати певну діяльність з оцінки відповідності</w:t>
      </w:r>
    </w:p>
    <w:p w14:paraId="643192E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bookmarkStart w:id="221" w:name="_Hlk103185892"/>
      <w:r w:rsidRPr="000977F7">
        <w:rPr>
          <w:rFonts w:asciiTheme="majorHAnsi" w:hAnsiTheme="majorHAnsi"/>
          <w:i/>
          <w:iCs/>
          <w:sz w:val="20"/>
          <w:szCs w:val="20"/>
        </w:rPr>
        <w:t xml:space="preserve">Ст. 1 закону </w:t>
      </w:r>
      <w:r w:rsidRPr="000977F7">
        <w:rPr>
          <w:rFonts w:asciiTheme="majorHAnsi" w:hAnsiTheme="majorHAnsi"/>
          <w:i/>
          <w:sz w:val="20"/>
          <w:szCs w:val="20"/>
        </w:rPr>
        <w:t>України "Про технічні регламенти та оцінку відповідності"</w:t>
      </w:r>
    </w:p>
    <w:p w14:paraId="5CDDBE1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Технічний регламент безпеки машин</w:t>
      </w:r>
    </w:p>
    <w:bookmarkEnd w:id="220"/>
    <w:bookmarkEnd w:id="221"/>
    <w:p w14:paraId="41D1B90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Надання</w:t>
      </w:r>
      <w:r w:rsidRPr="000977F7">
        <w:rPr>
          <w:rFonts w:asciiTheme="majorHAnsi" w:hAnsiTheme="majorHAnsi"/>
          <w:spacing w:val="1"/>
          <w:sz w:val="20"/>
          <w:szCs w:val="20"/>
        </w:rPr>
        <w:t xml:space="preserve"> </w:t>
      </w:r>
      <w:r w:rsidRPr="000977F7">
        <w:rPr>
          <w:rFonts w:asciiTheme="majorHAnsi" w:hAnsiTheme="majorHAnsi"/>
          <w:sz w:val="20"/>
          <w:szCs w:val="20"/>
        </w:rPr>
        <w:t>урядом</w:t>
      </w:r>
      <w:r w:rsidRPr="000977F7">
        <w:rPr>
          <w:rFonts w:asciiTheme="majorHAnsi" w:hAnsiTheme="majorHAnsi"/>
          <w:spacing w:val="1"/>
          <w:sz w:val="20"/>
          <w:szCs w:val="20"/>
        </w:rPr>
        <w:t xml:space="preserve"> </w:t>
      </w:r>
      <w:r w:rsidRPr="000977F7">
        <w:rPr>
          <w:rFonts w:asciiTheme="majorHAnsi" w:hAnsiTheme="majorHAnsi"/>
          <w:sz w:val="20"/>
          <w:szCs w:val="20"/>
        </w:rPr>
        <w:t>органу</w:t>
      </w:r>
      <w:r w:rsidRPr="000977F7">
        <w:rPr>
          <w:rFonts w:asciiTheme="majorHAnsi" w:hAnsiTheme="majorHAnsi"/>
          <w:spacing w:val="1"/>
          <w:sz w:val="20"/>
          <w:szCs w:val="20"/>
        </w:rPr>
        <w:t xml:space="preserve"> </w:t>
      </w:r>
      <w:r w:rsidRPr="000977F7">
        <w:rPr>
          <w:rFonts w:asciiTheme="majorHAnsi" w:hAnsiTheme="majorHAnsi"/>
          <w:sz w:val="20"/>
          <w:szCs w:val="20"/>
        </w:rPr>
        <w:t>оцінювання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права займатися певною діяльністю щодо оцінювання</w:t>
      </w:r>
      <w:r w:rsidRPr="000977F7">
        <w:rPr>
          <w:rFonts w:asciiTheme="majorHAnsi" w:hAnsiTheme="majorHAnsi"/>
          <w:spacing w:val="-47"/>
          <w:sz w:val="20"/>
          <w:szCs w:val="20"/>
        </w:rPr>
        <w:t xml:space="preserve"> </w:t>
      </w:r>
      <w:r w:rsidRPr="000977F7">
        <w:rPr>
          <w:rFonts w:asciiTheme="majorHAnsi" w:hAnsiTheme="majorHAnsi"/>
          <w:sz w:val="20"/>
          <w:szCs w:val="20"/>
        </w:rPr>
        <w:t>відповідності</w:t>
      </w:r>
    </w:p>
    <w:p w14:paraId="25B4A22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8"/>
          <w:sz w:val="20"/>
          <w:szCs w:val="20"/>
        </w:rPr>
        <w:t xml:space="preserve"> </w:t>
      </w:r>
      <w:r w:rsidRPr="000977F7">
        <w:rPr>
          <w:rFonts w:asciiTheme="majorHAnsi" w:hAnsiTheme="majorHAnsi"/>
          <w:i/>
          <w:sz w:val="20"/>
          <w:szCs w:val="20"/>
        </w:rPr>
        <w:t>ISO/IEC</w:t>
      </w:r>
      <w:r w:rsidRPr="000977F7">
        <w:rPr>
          <w:rFonts w:asciiTheme="majorHAnsi" w:hAnsiTheme="majorHAnsi"/>
          <w:i/>
          <w:spacing w:val="-8"/>
          <w:sz w:val="20"/>
          <w:szCs w:val="20"/>
        </w:rPr>
        <w:t xml:space="preserve"> </w:t>
      </w:r>
      <w:r w:rsidRPr="000977F7">
        <w:rPr>
          <w:rFonts w:asciiTheme="majorHAnsi" w:hAnsiTheme="majorHAnsi"/>
          <w:i/>
          <w:sz w:val="20"/>
          <w:szCs w:val="20"/>
        </w:rPr>
        <w:t>17000:2007</w:t>
      </w:r>
    </w:p>
    <w:p w14:paraId="1DBE879E"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i/>
          <w:spacing w:val="-47"/>
          <w:sz w:val="20"/>
          <w:szCs w:val="20"/>
        </w:rPr>
        <w:t xml:space="preserve"> </w:t>
      </w:r>
      <w:bookmarkStart w:id="222" w:name="_Hlk101779191"/>
      <w:r w:rsidRPr="000977F7">
        <w:rPr>
          <w:rFonts w:asciiTheme="majorHAnsi" w:hAnsiTheme="majorHAnsi"/>
          <w:b/>
          <w:sz w:val="20"/>
          <w:szCs w:val="20"/>
        </w:rPr>
        <w:t>ПРИЗУПИНЕННЯ -</w:t>
      </w:r>
    </w:p>
    <w:p w14:paraId="3165882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SUSPENSION-</w:t>
      </w:r>
      <w:bookmarkEnd w:id="222"/>
    </w:p>
    <w:p w14:paraId="1F23F14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Тимчасове визнання нечинною заяви про невідповідність для всієї або частини встановленої сфери підтвердження</w:t>
      </w:r>
    </w:p>
    <w:p w14:paraId="40EC908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ISO/IEC</w:t>
      </w:r>
      <w:r w:rsidRPr="000977F7">
        <w:rPr>
          <w:rFonts w:asciiTheme="majorHAnsi" w:hAnsiTheme="majorHAnsi"/>
          <w:i/>
          <w:spacing w:val="-2"/>
          <w:sz w:val="20"/>
          <w:szCs w:val="20"/>
        </w:rPr>
        <w:t xml:space="preserve"> </w:t>
      </w:r>
      <w:r w:rsidRPr="000977F7">
        <w:rPr>
          <w:rFonts w:asciiTheme="majorHAnsi" w:hAnsiTheme="majorHAnsi"/>
          <w:i/>
          <w:sz w:val="20"/>
          <w:szCs w:val="20"/>
        </w:rPr>
        <w:t>17000:2007</w:t>
      </w:r>
    </w:p>
    <w:p w14:paraId="4E71736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ПРИЙМАЛЬНА</w:t>
      </w:r>
      <w:r w:rsidRPr="000977F7">
        <w:rPr>
          <w:color w:val="auto"/>
          <w:spacing w:val="-5"/>
          <w:sz w:val="20"/>
          <w:szCs w:val="20"/>
        </w:rPr>
        <w:t xml:space="preserve"> </w:t>
      </w:r>
      <w:r w:rsidRPr="000977F7">
        <w:rPr>
          <w:color w:val="auto"/>
          <w:sz w:val="20"/>
          <w:szCs w:val="20"/>
        </w:rPr>
        <w:t>КОМІСІЯ</w:t>
      </w:r>
      <w:r w:rsidRPr="000977F7">
        <w:rPr>
          <w:color w:val="auto"/>
          <w:spacing w:val="-2"/>
          <w:sz w:val="20"/>
          <w:szCs w:val="20"/>
        </w:rPr>
        <w:t xml:space="preserve"> </w:t>
      </w:r>
      <w:r w:rsidRPr="000977F7">
        <w:rPr>
          <w:color w:val="auto"/>
          <w:sz w:val="20"/>
          <w:szCs w:val="20"/>
        </w:rPr>
        <w:t>–</w:t>
      </w:r>
    </w:p>
    <w:p w14:paraId="7165AAAE"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Колегіальний</w:t>
      </w:r>
      <w:r w:rsidRPr="004D2D14">
        <w:rPr>
          <w:rFonts w:asciiTheme="majorHAnsi" w:hAnsiTheme="majorHAnsi"/>
          <w:spacing w:val="42"/>
          <w:sz w:val="20"/>
          <w:szCs w:val="20"/>
          <w:lang w:val="uk-UA"/>
        </w:rPr>
        <w:t xml:space="preserve"> </w:t>
      </w:r>
      <w:r w:rsidRPr="004D2D14">
        <w:rPr>
          <w:rFonts w:asciiTheme="majorHAnsi" w:hAnsiTheme="majorHAnsi"/>
          <w:sz w:val="20"/>
          <w:szCs w:val="20"/>
          <w:lang w:val="uk-UA"/>
        </w:rPr>
        <w:t>орган,</w:t>
      </w:r>
      <w:r w:rsidRPr="004D2D14">
        <w:rPr>
          <w:rFonts w:asciiTheme="majorHAnsi" w:hAnsiTheme="majorHAnsi"/>
          <w:spacing w:val="46"/>
          <w:sz w:val="20"/>
          <w:szCs w:val="20"/>
          <w:lang w:val="uk-UA"/>
        </w:rPr>
        <w:t xml:space="preserve"> </w:t>
      </w:r>
      <w:r w:rsidRPr="004D2D14">
        <w:rPr>
          <w:rFonts w:asciiTheme="majorHAnsi" w:hAnsiTheme="majorHAnsi"/>
          <w:sz w:val="20"/>
          <w:szCs w:val="20"/>
          <w:lang w:val="uk-UA"/>
        </w:rPr>
        <w:t>який</w:t>
      </w:r>
      <w:r w:rsidRPr="004D2D14">
        <w:rPr>
          <w:rFonts w:asciiTheme="majorHAnsi" w:hAnsiTheme="majorHAnsi"/>
          <w:spacing w:val="45"/>
          <w:sz w:val="20"/>
          <w:szCs w:val="20"/>
          <w:lang w:val="uk-UA"/>
        </w:rPr>
        <w:t xml:space="preserve"> </w:t>
      </w:r>
      <w:r w:rsidRPr="004D2D14">
        <w:rPr>
          <w:rFonts w:asciiTheme="majorHAnsi" w:hAnsiTheme="majorHAnsi"/>
          <w:sz w:val="20"/>
          <w:szCs w:val="20"/>
          <w:lang w:val="uk-UA"/>
        </w:rPr>
        <w:t>призначається</w:t>
      </w:r>
      <w:r w:rsidRPr="004D2D14">
        <w:rPr>
          <w:rFonts w:asciiTheme="majorHAnsi" w:hAnsiTheme="majorHAnsi"/>
          <w:spacing w:val="46"/>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43"/>
          <w:sz w:val="20"/>
          <w:szCs w:val="20"/>
          <w:lang w:val="uk-UA"/>
        </w:rPr>
        <w:t xml:space="preserve"> </w:t>
      </w:r>
      <w:r w:rsidRPr="004D2D14">
        <w:rPr>
          <w:rFonts w:asciiTheme="majorHAnsi" w:hAnsiTheme="majorHAnsi"/>
          <w:sz w:val="20"/>
          <w:szCs w:val="20"/>
          <w:lang w:val="uk-UA"/>
        </w:rPr>
        <w:t>оцінювання</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технічного</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рівня</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розроблюваної</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визначення</w:t>
      </w:r>
      <w:r w:rsidRPr="004D2D14">
        <w:rPr>
          <w:rFonts w:asciiTheme="majorHAnsi" w:hAnsiTheme="majorHAnsi"/>
          <w:spacing w:val="31"/>
          <w:sz w:val="20"/>
          <w:szCs w:val="20"/>
          <w:lang w:val="uk-UA"/>
        </w:rPr>
        <w:t xml:space="preserve"> </w:t>
      </w:r>
      <w:r w:rsidRPr="004D2D14">
        <w:rPr>
          <w:rFonts w:asciiTheme="majorHAnsi" w:hAnsiTheme="majorHAnsi"/>
          <w:sz w:val="20"/>
          <w:szCs w:val="20"/>
          <w:lang w:val="uk-UA"/>
        </w:rPr>
        <w:t>можливості</w:t>
      </w:r>
      <w:r w:rsidRPr="004D2D14">
        <w:rPr>
          <w:rFonts w:asciiTheme="majorHAnsi" w:hAnsiTheme="majorHAnsi"/>
          <w:spacing w:val="3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33"/>
          <w:sz w:val="20"/>
          <w:szCs w:val="20"/>
          <w:lang w:val="uk-UA"/>
        </w:rPr>
        <w:t xml:space="preserve"> </w:t>
      </w:r>
      <w:r w:rsidRPr="004D2D14">
        <w:rPr>
          <w:rFonts w:asciiTheme="majorHAnsi" w:hAnsiTheme="majorHAnsi"/>
          <w:sz w:val="20"/>
          <w:szCs w:val="20"/>
          <w:lang w:val="uk-UA"/>
        </w:rPr>
        <w:t>доцільності</w:t>
      </w:r>
      <w:r w:rsidRPr="004D2D14">
        <w:rPr>
          <w:rFonts w:asciiTheme="majorHAnsi" w:hAnsiTheme="majorHAnsi"/>
          <w:spacing w:val="31"/>
          <w:sz w:val="20"/>
          <w:szCs w:val="20"/>
          <w:lang w:val="uk-UA"/>
        </w:rPr>
        <w:t xml:space="preserve"> </w:t>
      </w:r>
      <w:r w:rsidRPr="004D2D14">
        <w:rPr>
          <w:rFonts w:asciiTheme="majorHAnsi" w:hAnsiTheme="majorHAnsi"/>
          <w:sz w:val="20"/>
          <w:szCs w:val="20"/>
          <w:lang w:val="uk-UA"/>
        </w:rPr>
        <w:t>постановки</w:t>
      </w:r>
      <w:r w:rsidRPr="004D2D14">
        <w:rPr>
          <w:rFonts w:asciiTheme="majorHAnsi" w:hAnsiTheme="majorHAnsi"/>
          <w:spacing w:val="31"/>
          <w:sz w:val="20"/>
          <w:szCs w:val="20"/>
          <w:lang w:val="uk-UA"/>
        </w:rPr>
        <w:t xml:space="preserve"> </w:t>
      </w:r>
      <w:r w:rsidRPr="004D2D14">
        <w:rPr>
          <w:rFonts w:asciiTheme="majorHAnsi" w:hAnsiTheme="majorHAnsi"/>
          <w:sz w:val="20"/>
          <w:szCs w:val="20"/>
          <w:lang w:val="uk-UA"/>
        </w:rPr>
        <w:t>даної</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виробництво</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введення</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експлуатацію для продукції разового виготовлення</w:t>
      </w:r>
    </w:p>
    <w:p w14:paraId="6451DB1B"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uk-UA"/>
        </w:rPr>
      </w:pPr>
      <w:r w:rsidRPr="004D2D14">
        <w:rPr>
          <w:rFonts w:asciiTheme="majorHAnsi" w:hAnsiTheme="majorHAnsi"/>
          <w:b/>
          <w:sz w:val="20"/>
          <w:szCs w:val="20"/>
          <w:lang w:val="uk-UA"/>
        </w:rPr>
        <w:t>ПРИЙМАЛЬНЕ</w:t>
      </w:r>
      <w:r w:rsidRPr="004D2D14">
        <w:rPr>
          <w:rFonts w:asciiTheme="majorHAnsi" w:hAnsiTheme="majorHAnsi"/>
          <w:b/>
          <w:spacing w:val="48"/>
          <w:sz w:val="20"/>
          <w:szCs w:val="20"/>
          <w:lang w:val="uk-UA"/>
        </w:rPr>
        <w:t xml:space="preserve"> </w:t>
      </w:r>
      <w:r w:rsidRPr="004D2D14">
        <w:rPr>
          <w:rFonts w:asciiTheme="majorHAnsi" w:hAnsiTheme="majorHAnsi"/>
          <w:b/>
          <w:sz w:val="20"/>
          <w:szCs w:val="20"/>
          <w:lang w:val="uk-UA"/>
        </w:rPr>
        <w:t>ЧИСЛО</w:t>
      </w:r>
      <w:r w:rsidRPr="004D2D14">
        <w:rPr>
          <w:rFonts w:asciiTheme="majorHAnsi" w:hAnsiTheme="majorHAnsi"/>
          <w:b/>
          <w:spacing w:val="2"/>
          <w:sz w:val="20"/>
          <w:szCs w:val="20"/>
          <w:lang w:val="uk-UA"/>
        </w:rPr>
        <w:t xml:space="preserve"> </w:t>
      </w:r>
      <w:r w:rsidRPr="004D2D14">
        <w:rPr>
          <w:rFonts w:asciiTheme="majorHAnsi" w:hAnsiTheme="majorHAnsi"/>
          <w:b/>
          <w:sz w:val="20"/>
          <w:szCs w:val="20"/>
          <w:lang w:val="uk-UA"/>
        </w:rPr>
        <w:t>–</w:t>
      </w:r>
    </w:p>
    <w:p w14:paraId="334F8B6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ACCEPTANCE</w:t>
      </w:r>
      <w:r w:rsidRPr="004D2D14">
        <w:rPr>
          <w:rFonts w:asciiTheme="majorHAnsi" w:hAnsiTheme="majorHAnsi"/>
          <w:spacing w:val="46"/>
          <w:sz w:val="20"/>
          <w:szCs w:val="20"/>
          <w:lang w:val="uk-UA"/>
        </w:rPr>
        <w:t xml:space="preserve"> </w:t>
      </w:r>
      <w:r w:rsidRPr="000977F7">
        <w:rPr>
          <w:rFonts w:asciiTheme="majorHAnsi" w:hAnsiTheme="majorHAnsi"/>
          <w:sz w:val="20"/>
          <w:szCs w:val="20"/>
        </w:rPr>
        <w:t>NUMBER</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0DA4AEAA" w14:textId="77777777" w:rsidR="0097612F" w:rsidRPr="004D2D14" w:rsidRDefault="0097612F" w:rsidP="000977F7">
      <w:pPr>
        <w:pStyle w:val="af6"/>
        <w:tabs>
          <w:tab w:val="left" w:pos="284"/>
        </w:tabs>
        <w:spacing w:after="0"/>
        <w:ind w:left="170"/>
        <w:mirrorIndents/>
        <w:jc w:val="both"/>
        <w:rPr>
          <w:rFonts w:asciiTheme="majorHAnsi" w:hAnsiTheme="majorHAnsi"/>
          <w:spacing w:val="-47"/>
          <w:sz w:val="20"/>
          <w:szCs w:val="20"/>
          <w:lang w:val="uk-UA"/>
        </w:rPr>
      </w:pPr>
      <w:r w:rsidRPr="004D2D14">
        <w:rPr>
          <w:rFonts w:asciiTheme="majorHAnsi" w:hAnsiTheme="majorHAnsi"/>
          <w:sz w:val="20"/>
          <w:szCs w:val="20"/>
          <w:lang w:val="uk-UA"/>
        </w:rPr>
        <w:t>Контрольний норматив, який дорівнює максимальній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кількості дефектних одиниць продукції у вибірці 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кількості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дефектів,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припадають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одиниць</w:t>
      </w:r>
      <w:r w:rsidRPr="004D2D14">
        <w:rPr>
          <w:rFonts w:asciiTheme="majorHAnsi" w:hAnsiTheme="majorHAnsi"/>
          <w:spacing w:val="-47"/>
          <w:sz w:val="20"/>
          <w:szCs w:val="20"/>
          <w:lang w:val="uk-UA"/>
        </w:rPr>
        <w:t xml:space="preserve"> </w:t>
      </w:r>
      <w:r w:rsidRPr="004D2D14">
        <w:rPr>
          <w:rFonts w:asciiTheme="majorHAnsi" w:hAnsiTheme="majorHAnsi"/>
          <w:spacing w:val="-2"/>
          <w:sz w:val="20"/>
          <w:szCs w:val="20"/>
          <w:lang w:val="uk-UA"/>
        </w:rPr>
        <w:t>продукції,</w:t>
      </w:r>
      <w:r w:rsidRPr="004D2D14">
        <w:rPr>
          <w:rFonts w:asciiTheme="majorHAnsi" w:hAnsiTheme="majorHAnsi"/>
          <w:spacing w:val="-10"/>
          <w:sz w:val="20"/>
          <w:szCs w:val="20"/>
          <w:lang w:val="uk-UA"/>
        </w:rPr>
        <w:t xml:space="preserve"> </w:t>
      </w:r>
      <w:r w:rsidRPr="004D2D14">
        <w:rPr>
          <w:rFonts w:asciiTheme="majorHAnsi" w:hAnsiTheme="majorHAnsi"/>
          <w:spacing w:val="-2"/>
          <w:sz w:val="20"/>
          <w:szCs w:val="20"/>
          <w:lang w:val="uk-UA"/>
        </w:rPr>
        <w:t>і</w:t>
      </w:r>
      <w:r w:rsidRPr="004D2D14">
        <w:rPr>
          <w:rFonts w:asciiTheme="majorHAnsi" w:hAnsiTheme="majorHAnsi"/>
          <w:spacing w:val="-10"/>
          <w:sz w:val="20"/>
          <w:szCs w:val="20"/>
          <w:lang w:val="uk-UA"/>
        </w:rPr>
        <w:t xml:space="preserve"> </w:t>
      </w:r>
      <w:r w:rsidRPr="004D2D14">
        <w:rPr>
          <w:rFonts w:asciiTheme="majorHAnsi" w:hAnsiTheme="majorHAnsi"/>
          <w:spacing w:val="-2"/>
          <w:sz w:val="20"/>
          <w:szCs w:val="20"/>
          <w:lang w:val="uk-UA"/>
        </w:rPr>
        <w:t>є</w:t>
      </w:r>
      <w:r w:rsidRPr="004D2D14">
        <w:rPr>
          <w:rFonts w:asciiTheme="majorHAnsi" w:hAnsiTheme="majorHAnsi"/>
          <w:spacing w:val="-7"/>
          <w:sz w:val="20"/>
          <w:szCs w:val="20"/>
          <w:lang w:val="uk-UA"/>
        </w:rPr>
        <w:t xml:space="preserve"> </w:t>
      </w:r>
      <w:r w:rsidRPr="004D2D14">
        <w:rPr>
          <w:rFonts w:asciiTheme="majorHAnsi" w:hAnsiTheme="majorHAnsi"/>
          <w:spacing w:val="-2"/>
          <w:sz w:val="20"/>
          <w:szCs w:val="20"/>
          <w:lang w:val="uk-UA"/>
        </w:rPr>
        <w:t>критерієм</w:t>
      </w:r>
      <w:r w:rsidRPr="004D2D14">
        <w:rPr>
          <w:rFonts w:asciiTheme="majorHAnsi" w:hAnsiTheme="majorHAnsi"/>
          <w:spacing w:val="-7"/>
          <w:sz w:val="20"/>
          <w:szCs w:val="20"/>
          <w:lang w:val="uk-UA"/>
        </w:rPr>
        <w:t xml:space="preserve"> </w:t>
      </w:r>
      <w:r w:rsidRPr="004D2D14">
        <w:rPr>
          <w:rFonts w:asciiTheme="majorHAnsi" w:hAnsiTheme="majorHAnsi"/>
          <w:spacing w:val="-1"/>
          <w:sz w:val="20"/>
          <w:szCs w:val="20"/>
          <w:lang w:val="uk-UA"/>
        </w:rPr>
        <w:t>для</w:t>
      </w:r>
      <w:r w:rsidRPr="004D2D14">
        <w:rPr>
          <w:rFonts w:asciiTheme="majorHAnsi" w:hAnsiTheme="majorHAnsi"/>
          <w:spacing w:val="-8"/>
          <w:sz w:val="20"/>
          <w:szCs w:val="20"/>
          <w:lang w:val="uk-UA"/>
        </w:rPr>
        <w:t xml:space="preserve"> </w:t>
      </w:r>
      <w:r w:rsidRPr="004D2D14">
        <w:rPr>
          <w:rFonts w:asciiTheme="majorHAnsi" w:hAnsiTheme="majorHAnsi"/>
          <w:spacing w:val="-1"/>
          <w:sz w:val="20"/>
          <w:szCs w:val="20"/>
          <w:lang w:val="uk-UA"/>
        </w:rPr>
        <w:t>приймання</w:t>
      </w:r>
      <w:r w:rsidRPr="004D2D14">
        <w:rPr>
          <w:rFonts w:asciiTheme="majorHAnsi" w:hAnsiTheme="majorHAnsi"/>
          <w:spacing w:val="-8"/>
          <w:sz w:val="20"/>
          <w:szCs w:val="20"/>
          <w:lang w:val="uk-UA"/>
        </w:rPr>
        <w:t xml:space="preserve"> </w:t>
      </w:r>
      <w:r w:rsidRPr="004D2D14">
        <w:rPr>
          <w:rFonts w:asciiTheme="majorHAnsi" w:hAnsiTheme="majorHAnsi"/>
          <w:spacing w:val="-1"/>
          <w:sz w:val="20"/>
          <w:szCs w:val="20"/>
          <w:lang w:val="uk-UA"/>
        </w:rPr>
        <w:t>партії</w:t>
      </w:r>
      <w:r w:rsidRPr="004D2D14">
        <w:rPr>
          <w:rFonts w:asciiTheme="majorHAnsi" w:hAnsiTheme="majorHAnsi"/>
          <w:spacing w:val="-9"/>
          <w:sz w:val="20"/>
          <w:szCs w:val="20"/>
          <w:lang w:val="uk-UA"/>
        </w:rPr>
        <w:t xml:space="preserve"> </w:t>
      </w:r>
      <w:r w:rsidRPr="004D2D14">
        <w:rPr>
          <w:rFonts w:asciiTheme="majorHAnsi" w:hAnsiTheme="majorHAnsi"/>
          <w:spacing w:val="-1"/>
          <w:sz w:val="20"/>
          <w:szCs w:val="20"/>
          <w:lang w:val="uk-UA"/>
        </w:rPr>
        <w:t>продукції</w:t>
      </w:r>
      <w:r w:rsidRPr="004D2D14">
        <w:rPr>
          <w:rFonts w:asciiTheme="majorHAnsi" w:hAnsiTheme="majorHAnsi"/>
          <w:spacing w:val="-47"/>
          <w:sz w:val="20"/>
          <w:szCs w:val="20"/>
          <w:lang w:val="uk-UA"/>
        </w:rPr>
        <w:t xml:space="preserve"> </w:t>
      </w:r>
    </w:p>
    <w:p w14:paraId="01CD6FF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3514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414D707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ПРИЙМАЛЬНИЙ</w:t>
      </w:r>
      <w:r w:rsidRPr="000977F7">
        <w:rPr>
          <w:color w:val="auto"/>
          <w:spacing w:val="42"/>
          <w:sz w:val="20"/>
          <w:szCs w:val="20"/>
        </w:rPr>
        <w:t xml:space="preserve"> </w:t>
      </w:r>
      <w:r w:rsidRPr="000977F7">
        <w:rPr>
          <w:color w:val="auto"/>
          <w:sz w:val="20"/>
          <w:szCs w:val="20"/>
        </w:rPr>
        <w:t>КОНТРОЛЬ</w:t>
      </w:r>
      <w:r w:rsidRPr="000977F7">
        <w:rPr>
          <w:color w:val="auto"/>
          <w:spacing w:val="-1"/>
          <w:sz w:val="20"/>
          <w:szCs w:val="20"/>
        </w:rPr>
        <w:t xml:space="preserve"> </w:t>
      </w:r>
      <w:r w:rsidRPr="000977F7">
        <w:rPr>
          <w:color w:val="auto"/>
          <w:sz w:val="20"/>
          <w:szCs w:val="20"/>
        </w:rPr>
        <w:t>–</w:t>
      </w:r>
    </w:p>
    <w:p w14:paraId="52E1146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ACCEPTANCE</w:t>
      </w:r>
      <w:r w:rsidRPr="000977F7">
        <w:rPr>
          <w:rFonts w:asciiTheme="majorHAnsi" w:hAnsiTheme="majorHAnsi"/>
          <w:spacing w:val="45"/>
          <w:sz w:val="20"/>
          <w:szCs w:val="20"/>
        </w:rPr>
        <w:t xml:space="preserve"> </w:t>
      </w:r>
      <w:r w:rsidRPr="000977F7">
        <w:rPr>
          <w:rFonts w:asciiTheme="majorHAnsi" w:hAnsiTheme="majorHAnsi"/>
          <w:sz w:val="20"/>
          <w:szCs w:val="20"/>
        </w:rPr>
        <w:t>INSPECTION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FD865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w:t>
      </w:r>
      <w:r w:rsidRPr="000977F7">
        <w:rPr>
          <w:rFonts w:asciiTheme="majorHAnsi" w:hAnsiTheme="majorHAnsi"/>
          <w:spacing w:val="1"/>
          <w:sz w:val="20"/>
          <w:szCs w:val="20"/>
        </w:rPr>
        <w:t xml:space="preserve"> </w:t>
      </w:r>
      <w:r w:rsidRPr="000977F7">
        <w:rPr>
          <w:rFonts w:asciiTheme="majorHAnsi" w:hAnsiTheme="majorHAnsi"/>
          <w:sz w:val="20"/>
          <w:szCs w:val="20"/>
        </w:rPr>
        <w:t>продукції, за</w:t>
      </w:r>
      <w:r w:rsidRPr="000977F7">
        <w:rPr>
          <w:rFonts w:asciiTheme="majorHAnsi" w:hAnsiTheme="majorHAnsi"/>
          <w:spacing w:val="1"/>
          <w:sz w:val="20"/>
          <w:szCs w:val="20"/>
        </w:rPr>
        <w:t xml:space="preserve"> </w:t>
      </w:r>
      <w:r w:rsidRPr="000977F7">
        <w:rPr>
          <w:rFonts w:asciiTheme="majorHAnsi" w:hAnsiTheme="majorHAnsi"/>
          <w:sz w:val="20"/>
          <w:szCs w:val="20"/>
        </w:rPr>
        <w:t>результатами якого</w:t>
      </w:r>
      <w:r w:rsidRPr="000977F7">
        <w:rPr>
          <w:rFonts w:asciiTheme="majorHAnsi" w:hAnsiTheme="majorHAnsi"/>
          <w:spacing w:val="1"/>
          <w:sz w:val="20"/>
          <w:szCs w:val="20"/>
        </w:rPr>
        <w:t xml:space="preserve"> </w:t>
      </w:r>
      <w:r w:rsidRPr="000977F7">
        <w:rPr>
          <w:rFonts w:asciiTheme="majorHAnsi" w:hAnsiTheme="majorHAnsi"/>
          <w:sz w:val="20"/>
          <w:szCs w:val="20"/>
        </w:rPr>
        <w:t>приймається рішення щодо її придатності для постачання і</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p>
    <w:p w14:paraId="4BB0F3B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3021</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95</w:t>
      </w:r>
    </w:p>
    <w:p w14:paraId="5E824E14"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lastRenderedPageBreak/>
        <w:t>ПРИЙМАЛЬНИЙ</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РІВЕНЬ</w:t>
      </w:r>
      <w:r w:rsidRPr="004D2D14">
        <w:rPr>
          <w:rFonts w:asciiTheme="majorHAnsi" w:hAnsiTheme="majorHAnsi"/>
          <w:b/>
          <w:sz w:val="20"/>
          <w:szCs w:val="20"/>
          <w:lang w:val="en-US"/>
        </w:rPr>
        <w:t xml:space="preserve"> </w:t>
      </w:r>
      <w:r w:rsidRPr="000977F7">
        <w:rPr>
          <w:rFonts w:asciiTheme="majorHAnsi" w:hAnsiTheme="majorHAnsi"/>
          <w:b/>
          <w:sz w:val="20"/>
          <w:szCs w:val="20"/>
        </w:rPr>
        <w:t>ДЕФЕКТНОСТІ</w:t>
      </w:r>
      <w:r w:rsidRPr="004D2D14">
        <w:rPr>
          <w:rFonts w:asciiTheme="majorHAnsi" w:hAnsiTheme="majorHAnsi"/>
          <w:b/>
          <w:sz w:val="20"/>
          <w:szCs w:val="20"/>
          <w:lang w:val="en-US"/>
        </w:rPr>
        <w:t xml:space="preserve"> –</w:t>
      </w:r>
      <w:r w:rsidRPr="004D2D14">
        <w:rPr>
          <w:rFonts w:asciiTheme="majorHAnsi" w:hAnsiTheme="majorHAnsi"/>
          <w:b/>
          <w:spacing w:val="-48"/>
          <w:sz w:val="20"/>
          <w:szCs w:val="20"/>
          <w:lang w:val="en-US"/>
        </w:rPr>
        <w:t xml:space="preserve"> </w:t>
      </w:r>
      <w:r w:rsidRPr="004D2D14">
        <w:rPr>
          <w:rFonts w:asciiTheme="majorHAnsi" w:hAnsiTheme="majorHAnsi"/>
          <w:sz w:val="20"/>
          <w:szCs w:val="20"/>
          <w:lang w:val="en-US"/>
        </w:rPr>
        <w:t>ACCEPTABLE</w:t>
      </w:r>
      <w:r w:rsidRPr="004D2D14">
        <w:rPr>
          <w:rFonts w:asciiTheme="majorHAnsi" w:hAnsiTheme="majorHAnsi"/>
          <w:spacing w:val="48"/>
          <w:sz w:val="20"/>
          <w:szCs w:val="20"/>
          <w:lang w:val="en-US"/>
        </w:rPr>
        <w:t xml:space="preserve"> </w:t>
      </w:r>
      <w:r w:rsidRPr="004D2D14">
        <w:rPr>
          <w:rFonts w:asciiTheme="majorHAnsi" w:hAnsiTheme="majorHAnsi"/>
          <w:sz w:val="20"/>
          <w:szCs w:val="20"/>
          <w:lang w:val="en-US"/>
        </w:rPr>
        <w:t>IMPERFECTION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LEVEL</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47FA41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Максимальний</w:t>
      </w:r>
      <w:r w:rsidRPr="000977F7">
        <w:rPr>
          <w:rFonts w:asciiTheme="majorHAnsi" w:hAnsiTheme="majorHAnsi"/>
          <w:spacing w:val="1"/>
          <w:sz w:val="20"/>
          <w:szCs w:val="20"/>
        </w:rPr>
        <w:t xml:space="preserve"> </w:t>
      </w:r>
      <w:r w:rsidRPr="000977F7">
        <w:rPr>
          <w:rFonts w:asciiTheme="majorHAnsi" w:hAnsiTheme="majorHAnsi"/>
          <w:sz w:val="20"/>
          <w:szCs w:val="20"/>
        </w:rPr>
        <w:t>рівень</w:t>
      </w:r>
      <w:r w:rsidRPr="000977F7">
        <w:rPr>
          <w:rFonts w:asciiTheme="majorHAnsi" w:hAnsiTheme="majorHAnsi"/>
          <w:spacing w:val="1"/>
          <w:sz w:val="20"/>
          <w:szCs w:val="20"/>
        </w:rPr>
        <w:t xml:space="preserve"> </w:t>
      </w:r>
      <w:r w:rsidRPr="000977F7">
        <w:rPr>
          <w:rFonts w:asciiTheme="majorHAnsi" w:hAnsiTheme="majorHAnsi"/>
          <w:sz w:val="20"/>
          <w:szCs w:val="20"/>
        </w:rPr>
        <w:t>дефектності</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одиничних</w:t>
      </w:r>
      <w:r w:rsidRPr="000977F7">
        <w:rPr>
          <w:rFonts w:asciiTheme="majorHAnsi" w:hAnsiTheme="majorHAnsi"/>
          <w:spacing w:val="1"/>
          <w:sz w:val="20"/>
          <w:szCs w:val="20"/>
        </w:rPr>
        <w:t xml:space="preserve"> </w:t>
      </w:r>
      <w:r w:rsidRPr="000977F7">
        <w:rPr>
          <w:rFonts w:asciiTheme="majorHAnsi" w:hAnsiTheme="majorHAnsi"/>
          <w:sz w:val="20"/>
          <w:szCs w:val="20"/>
        </w:rPr>
        <w:t>партій чи середній рівень дефектності для послідовності партій, який для цілей приймання продукції є</w:t>
      </w:r>
      <w:r w:rsidRPr="000977F7">
        <w:rPr>
          <w:rFonts w:asciiTheme="majorHAnsi" w:hAnsiTheme="majorHAnsi"/>
          <w:spacing w:val="1"/>
          <w:sz w:val="20"/>
          <w:szCs w:val="20"/>
        </w:rPr>
        <w:t xml:space="preserve"> </w:t>
      </w:r>
      <w:r w:rsidRPr="000977F7">
        <w:rPr>
          <w:rFonts w:asciiTheme="majorHAnsi" w:hAnsiTheme="majorHAnsi"/>
          <w:sz w:val="20"/>
          <w:szCs w:val="20"/>
        </w:rPr>
        <w:t>задовільним</w:t>
      </w:r>
    </w:p>
    <w:p w14:paraId="66B3F08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01FA3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Приймальному рівню дефектності для певного плану</w:t>
      </w:r>
      <w:r w:rsidRPr="000977F7">
        <w:rPr>
          <w:rFonts w:asciiTheme="majorHAnsi" w:hAnsiTheme="majorHAnsi"/>
          <w:spacing w:val="1"/>
          <w:sz w:val="20"/>
          <w:szCs w:val="20"/>
        </w:rPr>
        <w:t xml:space="preserve"> </w:t>
      </w:r>
      <w:r w:rsidRPr="000977F7">
        <w:rPr>
          <w:rFonts w:asciiTheme="majorHAnsi" w:hAnsiTheme="majorHAnsi"/>
          <w:sz w:val="20"/>
          <w:szCs w:val="20"/>
        </w:rPr>
        <w:t>вибіркового контролю відповідає висока ймовірність</w:t>
      </w:r>
      <w:r w:rsidRPr="000977F7">
        <w:rPr>
          <w:rFonts w:asciiTheme="majorHAnsi" w:hAnsiTheme="majorHAnsi"/>
          <w:spacing w:val="1"/>
          <w:sz w:val="20"/>
          <w:szCs w:val="20"/>
        </w:rPr>
        <w:t xml:space="preserve"> </w:t>
      </w:r>
      <w:r w:rsidRPr="000977F7">
        <w:rPr>
          <w:rFonts w:asciiTheme="majorHAnsi" w:hAnsiTheme="majorHAnsi"/>
          <w:sz w:val="20"/>
          <w:szCs w:val="20"/>
        </w:rPr>
        <w:t>приймання</w:t>
      </w:r>
    </w:p>
    <w:p w14:paraId="78BFA13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6A986CE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ПРИЙМАЛЬНІ</w:t>
      </w:r>
      <w:r w:rsidRPr="000977F7">
        <w:rPr>
          <w:color w:val="auto"/>
          <w:spacing w:val="40"/>
          <w:sz w:val="20"/>
          <w:szCs w:val="20"/>
        </w:rPr>
        <w:t xml:space="preserve"> </w:t>
      </w:r>
      <w:r w:rsidRPr="000977F7">
        <w:rPr>
          <w:color w:val="auto"/>
          <w:sz w:val="20"/>
          <w:szCs w:val="20"/>
        </w:rPr>
        <w:t>ВИПРОБУВАННЯ –</w:t>
      </w:r>
    </w:p>
    <w:p w14:paraId="7495F30A"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ACCEPTANCE</w:t>
      </w:r>
      <w:r w:rsidRPr="000977F7">
        <w:rPr>
          <w:b w:val="0"/>
          <w:bCs/>
          <w:color w:val="auto"/>
          <w:spacing w:val="46"/>
          <w:sz w:val="20"/>
          <w:szCs w:val="20"/>
        </w:rPr>
        <w:t xml:space="preserve"> </w:t>
      </w:r>
      <w:r w:rsidRPr="000977F7">
        <w:rPr>
          <w:b w:val="0"/>
          <w:bCs/>
          <w:color w:val="auto"/>
          <w:sz w:val="20"/>
          <w:szCs w:val="20"/>
        </w:rPr>
        <w:t>TEST</w:t>
      </w:r>
      <w:r w:rsidRPr="000977F7">
        <w:rPr>
          <w:b w:val="0"/>
          <w:bCs/>
          <w:color w:val="auto"/>
          <w:spacing w:val="1"/>
          <w:sz w:val="20"/>
          <w:szCs w:val="20"/>
        </w:rPr>
        <w:t xml:space="preserve"> </w:t>
      </w:r>
      <w:r w:rsidRPr="000977F7">
        <w:rPr>
          <w:b w:val="0"/>
          <w:bCs/>
          <w:color w:val="auto"/>
          <w:sz w:val="20"/>
          <w:szCs w:val="20"/>
        </w:rPr>
        <w:t>–</w:t>
      </w:r>
    </w:p>
    <w:p w14:paraId="3799B7C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Контрольні випробування дослідних зразків, дослідних партій продукції чи виробів одиничного виробництва, що проводяться для визначення доцільності</w:t>
      </w:r>
      <w:r w:rsidRPr="000977F7">
        <w:rPr>
          <w:rFonts w:asciiTheme="majorHAnsi" w:hAnsiTheme="majorHAnsi"/>
          <w:spacing w:val="1"/>
          <w:sz w:val="20"/>
          <w:szCs w:val="20"/>
        </w:rPr>
        <w:t xml:space="preserve"> </w:t>
      </w:r>
      <w:r w:rsidRPr="000977F7">
        <w:rPr>
          <w:rFonts w:asciiTheme="majorHAnsi" w:hAnsiTheme="majorHAnsi"/>
          <w:sz w:val="20"/>
          <w:szCs w:val="20"/>
        </w:rPr>
        <w:t>впровадження</w:t>
      </w:r>
      <w:r w:rsidRPr="000977F7">
        <w:rPr>
          <w:rFonts w:asciiTheme="majorHAnsi" w:hAnsiTheme="majorHAnsi"/>
          <w:spacing w:val="1"/>
          <w:sz w:val="20"/>
          <w:szCs w:val="20"/>
        </w:rPr>
        <w:t xml:space="preserve"> </w:t>
      </w:r>
      <w:r w:rsidRPr="000977F7">
        <w:rPr>
          <w:rFonts w:asciiTheme="majorHAnsi" w:hAnsiTheme="majorHAnsi"/>
          <w:sz w:val="20"/>
          <w:szCs w:val="20"/>
        </w:rPr>
        <w:t>цієї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у виробництво</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2"/>
          <w:sz w:val="20"/>
          <w:szCs w:val="20"/>
        </w:rPr>
        <w:t xml:space="preserve"> </w:t>
      </w:r>
      <w:r w:rsidRPr="000977F7">
        <w:rPr>
          <w:rFonts w:asciiTheme="majorHAnsi" w:hAnsiTheme="majorHAnsi"/>
          <w:sz w:val="20"/>
          <w:szCs w:val="20"/>
        </w:rPr>
        <w:t>за призначенням</w:t>
      </w:r>
    </w:p>
    <w:p w14:paraId="1F2C0B9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7C4449D" w14:textId="77777777" w:rsidR="0097612F" w:rsidRPr="000977F7" w:rsidRDefault="0097612F" w:rsidP="000977F7">
      <w:pPr>
        <w:pStyle w:val="7"/>
        <w:tabs>
          <w:tab w:val="left" w:pos="284"/>
        </w:tabs>
        <w:spacing w:before="0" w:line="240" w:lineRule="auto"/>
        <w:ind w:left="170"/>
        <w:mirrorIndents/>
        <w:jc w:val="both"/>
        <w:rPr>
          <w:color w:val="auto"/>
          <w:spacing w:val="16"/>
          <w:sz w:val="20"/>
          <w:szCs w:val="20"/>
        </w:rPr>
      </w:pPr>
      <w:r w:rsidRPr="000977F7">
        <w:rPr>
          <w:color w:val="auto"/>
          <w:sz w:val="20"/>
          <w:szCs w:val="20"/>
        </w:rPr>
        <w:t>ПРИЙМАЛЬНО</w:t>
      </w:r>
      <w:r w:rsidRPr="000977F7">
        <w:rPr>
          <w:color w:val="auto"/>
          <w:spacing w:val="19"/>
          <w:sz w:val="20"/>
          <w:szCs w:val="20"/>
        </w:rPr>
        <w:t xml:space="preserve"> </w:t>
      </w:r>
      <w:r w:rsidRPr="000977F7">
        <w:rPr>
          <w:color w:val="auto"/>
          <w:sz w:val="20"/>
          <w:szCs w:val="20"/>
        </w:rPr>
        <w:t>–</w:t>
      </w:r>
      <w:r w:rsidRPr="000977F7">
        <w:rPr>
          <w:color w:val="auto"/>
          <w:spacing w:val="16"/>
          <w:sz w:val="20"/>
          <w:szCs w:val="20"/>
        </w:rPr>
        <w:t xml:space="preserve"> </w:t>
      </w:r>
      <w:r w:rsidRPr="000977F7">
        <w:rPr>
          <w:color w:val="auto"/>
          <w:sz w:val="20"/>
          <w:szCs w:val="20"/>
        </w:rPr>
        <w:t>ЗДАВАЛЬНІ</w:t>
      </w:r>
      <w:r w:rsidRPr="000977F7">
        <w:rPr>
          <w:color w:val="auto"/>
          <w:spacing w:val="16"/>
          <w:sz w:val="20"/>
          <w:szCs w:val="20"/>
        </w:rPr>
        <w:t xml:space="preserve"> </w:t>
      </w:r>
    </w:p>
    <w:p w14:paraId="3F8928C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ВИПРОБУВАН</w:t>
      </w:r>
      <w:r w:rsidRPr="000977F7">
        <w:rPr>
          <w:color w:val="auto"/>
          <w:spacing w:val="-47"/>
          <w:sz w:val="20"/>
          <w:szCs w:val="20"/>
        </w:rPr>
        <w:t xml:space="preserve"> </w:t>
      </w:r>
      <w:r w:rsidRPr="000977F7">
        <w:rPr>
          <w:color w:val="auto"/>
          <w:sz w:val="20"/>
          <w:szCs w:val="20"/>
        </w:rPr>
        <w:t>НЯ</w:t>
      </w:r>
      <w:r w:rsidRPr="000977F7">
        <w:rPr>
          <w:color w:val="auto"/>
          <w:spacing w:val="5"/>
          <w:sz w:val="20"/>
          <w:szCs w:val="20"/>
        </w:rPr>
        <w:t xml:space="preserve"> </w:t>
      </w:r>
      <w:r w:rsidRPr="000977F7">
        <w:rPr>
          <w:color w:val="auto"/>
          <w:sz w:val="20"/>
          <w:szCs w:val="20"/>
        </w:rPr>
        <w:t>–</w:t>
      </w:r>
    </w:p>
    <w:p w14:paraId="0BEF44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APPROVAL</w:t>
      </w:r>
      <w:r w:rsidRPr="000977F7">
        <w:rPr>
          <w:rFonts w:asciiTheme="majorHAnsi" w:hAnsiTheme="majorHAnsi"/>
          <w:spacing w:val="46"/>
          <w:sz w:val="20"/>
          <w:szCs w:val="20"/>
        </w:rPr>
        <w:t xml:space="preserve"> </w:t>
      </w:r>
      <w:r w:rsidRPr="000977F7">
        <w:rPr>
          <w:rFonts w:asciiTheme="majorHAnsi" w:hAnsiTheme="majorHAnsi"/>
          <w:sz w:val="20"/>
          <w:szCs w:val="20"/>
        </w:rPr>
        <w:t>TEST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52C37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Контрольні</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49"/>
          <w:sz w:val="20"/>
          <w:szCs w:val="20"/>
        </w:rPr>
        <w:t xml:space="preserve"> </w:t>
      </w:r>
      <w:r w:rsidRPr="000977F7">
        <w:rPr>
          <w:rFonts w:asciiTheme="majorHAnsi" w:hAnsiTheme="majorHAnsi"/>
          <w:sz w:val="20"/>
          <w:szCs w:val="20"/>
        </w:rPr>
        <w:t>приймального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p>
    <w:p w14:paraId="3C5B63C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47"/>
          <w:sz w:val="20"/>
          <w:szCs w:val="20"/>
        </w:rPr>
        <w:t xml:space="preserve"> </w:t>
      </w:r>
      <w:r w:rsidRPr="000977F7">
        <w:rPr>
          <w:rFonts w:asciiTheme="majorHAnsi" w:hAnsiTheme="majorHAnsi"/>
          <w:i/>
          <w:sz w:val="20"/>
          <w:szCs w:val="20"/>
        </w:rPr>
        <w:t>95</w:t>
      </w:r>
    </w:p>
    <w:p w14:paraId="1910920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ПРИЙМАННЯ</w:t>
      </w:r>
      <w:r w:rsidRPr="000977F7">
        <w:rPr>
          <w:color w:val="auto"/>
          <w:spacing w:val="-4"/>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2BBE04B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w:t>
      </w:r>
      <w:r w:rsidRPr="000977F7">
        <w:rPr>
          <w:rFonts w:asciiTheme="majorHAnsi" w:hAnsiTheme="majorHAnsi"/>
          <w:spacing w:val="1"/>
          <w:sz w:val="20"/>
          <w:szCs w:val="20"/>
        </w:rPr>
        <w:t xml:space="preserve"> </w:t>
      </w:r>
      <w:r w:rsidRPr="000977F7">
        <w:rPr>
          <w:rFonts w:asciiTheme="majorHAnsi" w:hAnsiTheme="majorHAnsi"/>
          <w:sz w:val="20"/>
          <w:szCs w:val="20"/>
        </w:rPr>
        <w:t>перевірки</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вимогам,</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встановленим</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стандартах,</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конструкторській</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документації, технічних договорах на поставку та оформлення</w:t>
      </w:r>
      <w:r w:rsidRPr="000977F7">
        <w:rPr>
          <w:rFonts w:asciiTheme="majorHAnsi" w:hAnsiTheme="majorHAnsi"/>
          <w:spacing w:val="-2"/>
          <w:sz w:val="20"/>
          <w:szCs w:val="20"/>
        </w:rPr>
        <w:t xml:space="preserve"> </w:t>
      </w:r>
      <w:r w:rsidRPr="000977F7">
        <w:rPr>
          <w:rFonts w:asciiTheme="majorHAnsi" w:hAnsiTheme="majorHAnsi"/>
          <w:sz w:val="20"/>
          <w:szCs w:val="20"/>
        </w:rPr>
        <w:t>відповідних</w:t>
      </w:r>
      <w:r w:rsidRPr="000977F7">
        <w:rPr>
          <w:rFonts w:asciiTheme="majorHAnsi" w:hAnsiTheme="majorHAnsi"/>
          <w:spacing w:val="-1"/>
          <w:sz w:val="20"/>
          <w:szCs w:val="20"/>
        </w:rPr>
        <w:t xml:space="preserve"> </w:t>
      </w:r>
      <w:r w:rsidRPr="000977F7">
        <w:rPr>
          <w:rFonts w:asciiTheme="majorHAnsi" w:hAnsiTheme="majorHAnsi"/>
          <w:sz w:val="20"/>
          <w:szCs w:val="20"/>
        </w:rPr>
        <w:t>документів.</w:t>
      </w:r>
    </w:p>
    <w:p w14:paraId="33C86801"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ПРИЙНЯТТЯ І СКАСУВАННЯ НАЦІОНАЛЬНИХ СТАНДАРТІВ, КОДЕКСІВ УСТАЛЕНОЇ ПРАКТИКИ ТА ЗМІН ДО НИХ -</w:t>
      </w:r>
    </w:p>
    <w:p w14:paraId="2A4AC1AF"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1. Проекти національних стандартів, кодексів усталеної практики та змін до них не підлягають погодженню з центральними органами виконавчої влади, іншими державними органами.</w:t>
      </w:r>
    </w:p>
    <w:p w14:paraId="10F52FD1"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2. Міжнародні та регіональні стандарти, кодекси усталеної практики та зміни до них приймаються як національні стандарти, кодекси усталеної практики та зміни до них національним органом стандартизації.</w:t>
      </w:r>
    </w:p>
    <w:p w14:paraId="29382537"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3. У разі досягнення консенсусу щодо проекту національного стандарту, кодексу усталеної практики та змін до них національний орган стандартизації приймає їх та визначає строк набрання ними чинності з урахуванням періоду підготовчих заходів.</w:t>
      </w:r>
    </w:p>
    <w:p w14:paraId="69F882F9"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bookmarkStart w:id="223" w:name="n220"/>
      <w:bookmarkEnd w:id="223"/>
      <w:r w:rsidRPr="000977F7">
        <w:rPr>
          <w:rFonts w:asciiTheme="majorHAnsi" w:hAnsiTheme="majorHAnsi"/>
          <w:bCs/>
          <w:sz w:val="20"/>
          <w:szCs w:val="20"/>
        </w:rPr>
        <w:t>4. За пропозиціями заінтересованих сторін національний орган стандартизації у разі необхідності встановлює строк одночасної дії прийнятого національного стандарту чи кодексу усталеної практики та чинного національного стандарту чи кодексу усталеної практики на один і той самий об’єкт стандартизації.</w:t>
      </w:r>
    </w:p>
    <w:p w14:paraId="7DC57C0B"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5. У разі якщо технічний комітет стандартизації погоджує пропозиції щодо скасування національних стандартів та кодексів усталеної практики, національний орган стандартизації приймає рішення із зазначеного питання.</w:t>
      </w:r>
    </w:p>
    <w:p w14:paraId="1C34C04A"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 xml:space="preserve">6. Інформація про прийняті і скасовані протягом календарного місяця національні стандарти, </w:t>
      </w:r>
      <w:r w:rsidRPr="000977F7">
        <w:rPr>
          <w:rFonts w:asciiTheme="majorHAnsi" w:hAnsiTheme="majorHAnsi"/>
          <w:bCs/>
          <w:sz w:val="20"/>
          <w:szCs w:val="20"/>
        </w:rPr>
        <w:t>кодекси усталеної практики, зміни до них та ті з них, дію яких</w:t>
      </w:r>
      <w:r w:rsidRPr="000977F7">
        <w:rPr>
          <w:rFonts w:asciiTheme="majorHAnsi" w:hAnsiTheme="majorHAnsi"/>
          <w:b/>
          <w:sz w:val="20"/>
          <w:szCs w:val="20"/>
        </w:rPr>
        <w:t xml:space="preserve"> </w:t>
      </w:r>
      <w:r w:rsidRPr="000977F7">
        <w:rPr>
          <w:rFonts w:asciiTheme="majorHAnsi" w:hAnsiTheme="majorHAnsi"/>
          <w:bCs/>
          <w:sz w:val="20"/>
          <w:szCs w:val="20"/>
        </w:rPr>
        <w:t>відновлено, оприлюднюється наступного календарного місяця в офіційному друкованому виданні національного органу стандартизації та розміщується не пізніше п’яти робочих днів з дня завершення звітного місяця на офіційному веб-сайті.</w:t>
      </w:r>
    </w:p>
    <w:p w14:paraId="2EC187F6" w14:textId="77777777" w:rsidR="0097612F" w:rsidRPr="000977F7" w:rsidRDefault="0097612F" w:rsidP="000977F7">
      <w:pPr>
        <w:tabs>
          <w:tab w:val="left" w:pos="284"/>
        </w:tabs>
        <w:spacing w:after="0" w:line="240" w:lineRule="auto"/>
        <w:ind w:left="170"/>
        <w:mirrorIndents/>
        <w:jc w:val="both"/>
        <w:rPr>
          <w:rFonts w:asciiTheme="majorHAnsi" w:hAnsiTheme="majorHAnsi"/>
          <w:bCs/>
          <w:i/>
          <w:iCs/>
          <w:sz w:val="20"/>
          <w:szCs w:val="20"/>
        </w:rPr>
      </w:pPr>
      <w:r w:rsidRPr="000977F7">
        <w:rPr>
          <w:rFonts w:asciiTheme="majorHAnsi" w:hAnsiTheme="majorHAnsi"/>
          <w:bCs/>
          <w:i/>
          <w:iCs/>
          <w:sz w:val="20"/>
          <w:szCs w:val="20"/>
        </w:rPr>
        <w:t xml:space="preserve">Ст. 21 закону України "Про стандартизацію" </w:t>
      </w:r>
    </w:p>
    <w:p w14:paraId="5189C13B"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ПРИЙНЯТТЯ МІЖНАРОДНОГО СТАНДАРТУ (ЧЕРЕЗ НАЦІОНАЛЬНИЙ НОРМАТИВНИЙ ДОКУМЕНТ) –</w:t>
      </w:r>
    </w:p>
    <w:p w14:paraId="2CC6DE9C" w14:textId="77777777" w:rsidR="0097612F" w:rsidRPr="004D2D14" w:rsidRDefault="0097612F" w:rsidP="000977F7">
      <w:pPr>
        <w:tabs>
          <w:tab w:val="left" w:pos="284"/>
        </w:tabs>
        <w:spacing w:after="0" w:line="240" w:lineRule="auto"/>
        <w:ind w:left="170"/>
        <w:mirrorIndents/>
        <w:jc w:val="both"/>
        <w:rPr>
          <w:rFonts w:asciiTheme="majorHAnsi" w:hAnsiTheme="majorHAnsi"/>
          <w:bCs/>
          <w:sz w:val="20"/>
          <w:szCs w:val="20"/>
          <w:lang w:val="en-US"/>
        </w:rPr>
      </w:pPr>
      <w:r w:rsidRPr="004D2D14">
        <w:rPr>
          <w:rFonts w:asciiTheme="majorHAnsi" w:hAnsiTheme="majorHAnsi"/>
          <w:bCs/>
          <w:sz w:val="20"/>
          <w:szCs w:val="20"/>
          <w:lang w:val="en-US"/>
        </w:rPr>
        <w:t>TAKING OVER AN INTERNATIONAL STANDARD (IN A NATIONAL NORMATIVE DOCUMENT) –</w:t>
      </w:r>
    </w:p>
    <w:p w14:paraId="6456C8E8"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Видання національного нормативного документа на основі відповідного міжнародного стандарту чи підтвердження, що міжнародний стандарт має такий самий статус, що й національний нормативний документ, із зазначенням будь-яких відхилень від міжнародного стандарту</w:t>
      </w:r>
    </w:p>
    <w:p w14:paraId="70665BFF"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ПРИЙНЯТТЯ</w:t>
      </w:r>
      <w:r w:rsidRPr="004D2D14">
        <w:rPr>
          <w:rFonts w:asciiTheme="majorHAnsi" w:hAnsiTheme="majorHAnsi"/>
          <w:b/>
          <w:sz w:val="20"/>
          <w:szCs w:val="20"/>
          <w:lang w:val="en-US"/>
        </w:rPr>
        <w:t xml:space="preserve"> </w:t>
      </w:r>
      <w:r w:rsidRPr="000977F7">
        <w:rPr>
          <w:rFonts w:asciiTheme="majorHAnsi" w:hAnsiTheme="majorHAnsi"/>
          <w:b/>
          <w:sz w:val="20"/>
          <w:szCs w:val="20"/>
        </w:rPr>
        <w:t>РЕЗУЛЬТАТІВ</w:t>
      </w:r>
      <w:r w:rsidRPr="004D2D14">
        <w:rPr>
          <w:rFonts w:asciiTheme="majorHAnsi" w:hAnsiTheme="majorHAnsi"/>
          <w:b/>
          <w:sz w:val="20"/>
          <w:szCs w:val="20"/>
          <w:lang w:val="en-US"/>
        </w:rPr>
        <w:t xml:space="preserve"> </w:t>
      </w:r>
      <w:r w:rsidRPr="000977F7">
        <w:rPr>
          <w:rFonts w:asciiTheme="majorHAnsi" w:hAnsiTheme="majorHAnsi"/>
          <w:b/>
          <w:sz w:val="20"/>
          <w:szCs w:val="20"/>
        </w:rPr>
        <w:t>ОЦІНЮВАННЯ</w:t>
      </w:r>
      <w:r w:rsidRPr="004D2D14">
        <w:rPr>
          <w:rFonts w:asciiTheme="majorHAnsi" w:hAnsiTheme="majorHAnsi"/>
          <w:b/>
          <w:sz w:val="20"/>
          <w:szCs w:val="20"/>
          <w:lang w:val="en-US"/>
        </w:rPr>
        <w:t xml:space="preserve"> </w:t>
      </w:r>
      <w:r w:rsidRPr="000977F7">
        <w:rPr>
          <w:rFonts w:asciiTheme="majorHAnsi" w:hAnsiTheme="majorHAnsi"/>
          <w:b/>
          <w:sz w:val="20"/>
          <w:szCs w:val="20"/>
        </w:rPr>
        <w:t>ВІДПОВІДНОСТІ</w:t>
      </w:r>
      <w:r w:rsidRPr="004D2D14">
        <w:rPr>
          <w:rFonts w:asciiTheme="majorHAnsi" w:hAnsiTheme="majorHAnsi"/>
          <w:b/>
          <w:sz w:val="20"/>
          <w:szCs w:val="20"/>
          <w:lang w:val="en-US"/>
        </w:rPr>
        <w:t>-</w:t>
      </w:r>
    </w:p>
    <w:p w14:paraId="21E43F2C"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4D2D14">
        <w:rPr>
          <w:rFonts w:asciiTheme="majorHAnsi" w:hAnsiTheme="majorHAnsi"/>
          <w:bCs/>
          <w:sz w:val="20"/>
          <w:szCs w:val="20"/>
          <w:lang w:val="en-US"/>
        </w:rPr>
        <w:t xml:space="preserve">ACCEPTANCE; ACCEPTANCE OF CONFORMITY ASSESMENT RESULTS </w:t>
      </w:r>
      <w:r w:rsidRPr="004D2D14">
        <w:rPr>
          <w:rFonts w:asciiTheme="majorHAnsi" w:hAnsiTheme="majorHAnsi"/>
          <w:b/>
          <w:sz w:val="20"/>
          <w:szCs w:val="20"/>
          <w:lang w:val="en-US"/>
        </w:rPr>
        <w:t>-</w:t>
      </w:r>
    </w:p>
    <w:p w14:paraId="4C584670"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Використання результату оцінювання відповідності, проведеного іншою особою чи органом.</w:t>
      </w:r>
    </w:p>
    <w:p w14:paraId="71930D27" w14:textId="77777777" w:rsidR="0097612F" w:rsidRPr="000977F7" w:rsidRDefault="0097612F" w:rsidP="000977F7">
      <w:pPr>
        <w:tabs>
          <w:tab w:val="left" w:pos="284"/>
        </w:tabs>
        <w:spacing w:after="0" w:line="240" w:lineRule="auto"/>
        <w:ind w:left="170"/>
        <w:mirrorIndents/>
        <w:jc w:val="both"/>
        <w:rPr>
          <w:rFonts w:asciiTheme="majorHAnsi" w:hAnsiTheme="majorHAnsi"/>
          <w:bCs/>
          <w:i/>
          <w:iCs/>
          <w:sz w:val="20"/>
          <w:szCs w:val="20"/>
        </w:rPr>
      </w:pPr>
      <w:r w:rsidRPr="000977F7">
        <w:rPr>
          <w:rFonts w:asciiTheme="majorHAnsi" w:hAnsiTheme="majorHAnsi"/>
          <w:bCs/>
          <w:i/>
          <w:iCs/>
          <w:sz w:val="20"/>
          <w:szCs w:val="20"/>
        </w:rPr>
        <w:t>ДСТУ ISO/IEC 17000:2007</w:t>
      </w:r>
    </w:p>
    <w:p w14:paraId="316C8289"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ПРИЛАД ЕЛЕКТРИЧНОГО НЕРУЙНІВНОГО КОНТРОЛЮ –</w:t>
      </w:r>
    </w:p>
    <w:p w14:paraId="2AD894DE"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Прилад, призначений для виявлення дефектів об’єкта контролю, який ґрунтується на методі електричного неруйнівного контролю</w:t>
      </w:r>
    </w:p>
    <w:p w14:paraId="51D3CCFB" w14:textId="77777777" w:rsidR="0097612F" w:rsidRPr="000977F7" w:rsidRDefault="0097612F" w:rsidP="000977F7">
      <w:pPr>
        <w:tabs>
          <w:tab w:val="left" w:pos="284"/>
        </w:tabs>
        <w:spacing w:after="0" w:line="240" w:lineRule="auto"/>
        <w:ind w:left="170"/>
        <w:mirrorIndents/>
        <w:jc w:val="both"/>
        <w:rPr>
          <w:rFonts w:asciiTheme="majorHAnsi" w:hAnsiTheme="majorHAnsi"/>
          <w:bCs/>
          <w:i/>
          <w:iCs/>
          <w:sz w:val="20"/>
          <w:szCs w:val="20"/>
        </w:rPr>
      </w:pPr>
      <w:r w:rsidRPr="000977F7">
        <w:rPr>
          <w:rFonts w:asciiTheme="majorHAnsi" w:hAnsiTheme="majorHAnsi"/>
          <w:bCs/>
          <w:i/>
          <w:iCs/>
          <w:sz w:val="20"/>
          <w:szCs w:val="20"/>
        </w:rPr>
        <w:t>ДСТУ 2865 – 94; ДСТУ 2866 – 94</w:t>
      </w:r>
    </w:p>
    <w:p w14:paraId="456BAC33"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ПРИЛАД КАПІЛЯРНОГО НЕРУЙНІВНОГО КОНТРОЛЮ –</w:t>
      </w:r>
    </w:p>
    <w:p w14:paraId="4EB9F366"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 xml:space="preserve">Обладнання, за допомогою якого інформація про технологічні операції, дефектоскопічні матеріали або наявність порушень суцільності одержують, пересилають і перетворюють для безпосереднього сприймання оператором чи засобом, який його заміщує </w:t>
      </w:r>
    </w:p>
    <w:p w14:paraId="4EBB65D9" w14:textId="77777777" w:rsidR="0097612F" w:rsidRPr="000977F7" w:rsidRDefault="0097612F" w:rsidP="000977F7">
      <w:pPr>
        <w:tabs>
          <w:tab w:val="left" w:pos="284"/>
        </w:tabs>
        <w:spacing w:after="0" w:line="240" w:lineRule="auto"/>
        <w:ind w:left="170"/>
        <w:mirrorIndents/>
        <w:jc w:val="both"/>
        <w:rPr>
          <w:rFonts w:asciiTheme="majorHAnsi" w:hAnsiTheme="majorHAnsi"/>
          <w:bCs/>
          <w:i/>
          <w:iCs/>
          <w:sz w:val="20"/>
          <w:szCs w:val="20"/>
        </w:rPr>
      </w:pPr>
      <w:r w:rsidRPr="000977F7">
        <w:rPr>
          <w:rFonts w:asciiTheme="majorHAnsi" w:hAnsiTheme="majorHAnsi"/>
          <w:bCs/>
          <w:i/>
          <w:iCs/>
          <w:sz w:val="20"/>
          <w:szCs w:val="20"/>
        </w:rPr>
        <w:t>ДСТУ 2865 – 94</w:t>
      </w:r>
    </w:p>
    <w:p w14:paraId="063F0EDA"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ПРИЛАД ОПТИЧНОГО НЕРУЙНІВНОГО КОНТРОЛЮ –</w:t>
      </w:r>
    </w:p>
    <w:p w14:paraId="3C296C94"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Система, яка складається з освітлювальних, оптичних та реєструвальних пристроїв, а також засобів калібрування і настроювання і яка призначена для оптичного неруйнівного контролю</w:t>
      </w:r>
    </w:p>
    <w:p w14:paraId="1C374A20" w14:textId="77777777" w:rsidR="0097612F" w:rsidRPr="000977F7" w:rsidRDefault="0097612F" w:rsidP="000977F7">
      <w:pPr>
        <w:tabs>
          <w:tab w:val="left" w:pos="284"/>
        </w:tabs>
        <w:spacing w:after="0" w:line="240" w:lineRule="auto"/>
        <w:ind w:left="170"/>
        <w:mirrorIndents/>
        <w:jc w:val="both"/>
        <w:rPr>
          <w:rFonts w:asciiTheme="majorHAnsi" w:hAnsiTheme="majorHAnsi"/>
          <w:bCs/>
          <w:i/>
          <w:iCs/>
          <w:sz w:val="20"/>
          <w:szCs w:val="20"/>
        </w:rPr>
      </w:pPr>
      <w:r w:rsidRPr="000977F7">
        <w:rPr>
          <w:rFonts w:asciiTheme="majorHAnsi" w:hAnsiTheme="majorHAnsi"/>
          <w:bCs/>
          <w:i/>
          <w:iCs/>
          <w:sz w:val="20"/>
          <w:szCs w:val="20"/>
        </w:rPr>
        <w:t>ДСТУ 2865 – 94</w:t>
      </w:r>
    </w:p>
    <w:p w14:paraId="102377BB"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ПРИЛАД РАДІОХВИЛЬОВОГО НЕРУЙНІВНОГО КОНТРОЛЮ –</w:t>
      </w:r>
    </w:p>
    <w:p w14:paraId="3BB50D10"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Прилад, призначений для виявлення дефектів об’єкта контролю, який ґрунтується на методі радіохвильового неруйнівного контролю</w:t>
      </w:r>
    </w:p>
    <w:p w14:paraId="2BC2E745" w14:textId="77777777" w:rsidR="0097612F" w:rsidRPr="000977F7" w:rsidRDefault="0097612F" w:rsidP="000977F7">
      <w:pPr>
        <w:tabs>
          <w:tab w:val="left" w:pos="284"/>
        </w:tabs>
        <w:spacing w:after="0" w:line="240" w:lineRule="auto"/>
        <w:ind w:left="170"/>
        <w:mirrorIndents/>
        <w:jc w:val="both"/>
        <w:rPr>
          <w:rFonts w:asciiTheme="majorHAnsi" w:hAnsiTheme="majorHAnsi"/>
          <w:bCs/>
          <w:i/>
          <w:iCs/>
          <w:sz w:val="20"/>
          <w:szCs w:val="20"/>
        </w:rPr>
      </w:pPr>
      <w:r w:rsidRPr="000977F7">
        <w:rPr>
          <w:rFonts w:asciiTheme="majorHAnsi" w:hAnsiTheme="majorHAnsi"/>
          <w:bCs/>
          <w:i/>
          <w:iCs/>
          <w:sz w:val="20"/>
          <w:szCs w:val="20"/>
        </w:rPr>
        <w:t>ДСТУ 2865 – 94</w:t>
      </w:r>
    </w:p>
    <w:p w14:paraId="6F2F0E57"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ПРИЛАДИ, ЩО ПРАЦЮЮТЬ ПІД ТИСКОМ –</w:t>
      </w:r>
    </w:p>
    <w:p w14:paraId="7B461C5C"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Пристрої з експлуатаційною функцією, що мають корпус, на який діє тиск</w:t>
      </w:r>
    </w:p>
    <w:p w14:paraId="4BBADFE5" w14:textId="77777777" w:rsidR="0097612F" w:rsidRPr="000977F7" w:rsidRDefault="0097612F" w:rsidP="000977F7">
      <w:pPr>
        <w:tabs>
          <w:tab w:val="left" w:pos="284"/>
        </w:tabs>
        <w:spacing w:after="0" w:line="240" w:lineRule="auto"/>
        <w:ind w:left="170"/>
        <w:mirrorIndents/>
        <w:jc w:val="both"/>
        <w:rPr>
          <w:rFonts w:asciiTheme="majorHAnsi" w:hAnsiTheme="majorHAnsi"/>
          <w:bCs/>
          <w:i/>
          <w:iCs/>
          <w:sz w:val="20"/>
          <w:szCs w:val="20"/>
        </w:rPr>
      </w:pPr>
      <w:r w:rsidRPr="000977F7">
        <w:rPr>
          <w:rFonts w:asciiTheme="majorHAnsi" w:hAnsiTheme="majorHAnsi"/>
          <w:bCs/>
          <w:i/>
          <w:iCs/>
          <w:sz w:val="20"/>
          <w:szCs w:val="20"/>
        </w:rPr>
        <w:t>Технічний регламент обладнання, що працює під тиском</w:t>
      </w:r>
    </w:p>
    <w:p w14:paraId="5B2C3260"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ПРИМІТКА</w:t>
      </w:r>
      <w:r w:rsidRPr="004D2D14">
        <w:rPr>
          <w:rFonts w:asciiTheme="majorHAnsi" w:hAnsiTheme="majorHAnsi"/>
          <w:b/>
          <w:sz w:val="20"/>
          <w:szCs w:val="20"/>
          <w:lang w:val="en-US"/>
        </w:rPr>
        <w:t xml:space="preserve"> </w:t>
      </w:r>
      <w:r w:rsidRPr="000977F7">
        <w:rPr>
          <w:rFonts w:asciiTheme="majorHAnsi" w:hAnsiTheme="majorHAnsi"/>
          <w:b/>
          <w:sz w:val="20"/>
          <w:szCs w:val="20"/>
        </w:rPr>
        <w:t>В</w:t>
      </w:r>
      <w:r w:rsidRPr="004D2D14">
        <w:rPr>
          <w:rFonts w:asciiTheme="majorHAnsi" w:hAnsiTheme="majorHAnsi"/>
          <w:b/>
          <w:sz w:val="20"/>
          <w:szCs w:val="20"/>
          <w:lang w:val="en-US"/>
        </w:rPr>
        <w:t xml:space="preserve"> </w:t>
      </w:r>
      <w:r w:rsidRPr="000977F7">
        <w:rPr>
          <w:rFonts w:asciiTheme="majorHAnsi" w:hAnsiTheme="majorHAnsi"/>
          <w:b/>
          <w:sz w:val="20"/>
          <w:szCs w:val="20"/>
        </w:rPr>
        <w:t>ТЕКСТІ</w:t>
      </w:r>
      <w:r w:rsidRPr="004D2D14">
        <w:rPr>
          <w:rFonts w:asciiTheme="majorHAnsi" w:hAnsiTheme="majorHAnsi"/>
          <w:b/>
          <w:sz w:val="20"/>
          <w:szCs w:val="20"/>
          <w:lang w:val="en-US"/>
        </w:rPr>
        <w:t xml:space="preserve"> </w:t>
      </w:r>
      <w:r w:rsidRPr="000977F7">
        <w:rPr>
          <w:rFonts w:asciiTheme="majorHAnsi" w:hAnsiTheme="majorHAnsi"/>
          <w:b/>
          <w:sz w:val="20"/>
          <w:szCs w:val="20"/>
        </w:rPr>
        <w:t>СТАНДАРТУ</w:t>
      </w:r>
      <w:r w:rsidRPr="004D2D14">
        <w:rPr>
          <w:rFonts w:asciiTheme="majorHAnsi" w:hAnsiTheme="majorHAnsi"/>
          <w:b/>
          <w:sz w:val="20"/>
          <w:szCs w:val="20"/>
          <w:lang w:val="en-US"/>
        </w:rPr>
        <w:t xml:space="preserve"> – NOTE INTEGRATED IN THE TEXT OF A STANDARD </w:t>
      </w:r>
    </w:p>
    <w:p w14:paraId="49957314"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bCs/>
          <w:sz w:val="20"/>
          <w:szCs w:val="20"/>
        </w:rPr>
        <w:lastRenderedPageBreak/>
        <w:t>Пояснення змісту тексту, таблиць або ілюстрацій, яке не містить вимог і наводиться у виняткових</w:t>
      </w:r>
      <w:r w:rsidRPr="000977F7">
        <w:rPr>
          <w:rFonts w:asciiTheme="majorHAnsi" w:hAnsiTheme="majorHAnsi"/>
          <w:sz w:val="20"/>
          <w:szCs w:val="20"/>
        </w:rPr>
        <w:t xml:space="preserve"> випадках</w:t>
      </w:r>
    </w:p>
    <w:p w14:paraId="056C96D1"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ПРИНЦИПИ</w:t>
      </w:r>
      <w:r w:rsidRPr="000977F7">
        <w:rPr>
          <w:rFonts w:asciiTheme="majorHAnsi" w:hAnsiTheme="majorHAnsi"/>
          <w:b/>
          <w:spacing w:val="-3"/>
          <w:sz w:val="20"/>
          <w:szCs w:val="20"/>
        </w:rPr>
        <w:t xml:space="preserve"> </w:t>
      </w:r>
      <w:r w:rsidRPr="000977F7">
        <w:rPr>
          <w:rFonts w:asciiTheme="majorHAnsi" w:hAnsiTheme="majorHAnsi"/>
          <w:b/>
          <w:sz w:val="20"/>
          <w:szCs w:val="20"/>
        </w:rPr>
        <w:t>МЕНЕДЖМЕНТА</w:t>
      </w:r>
      <w:r w:rsidRPr="000977F7">
        <w:rPr>
          <w:rFonts w:asciiTheme="majorHAnsi" w:hAnsiTheme="majorHAnsi"/>
          <w:b/>
          <w:spacing w:val="-1"/>
          <w:sz w:val="20"/>
          <w:szCs w:val="20"/>
        </w:rPr>
        <w:t xml:space="preserve"> </w:t>
      </w:r>
      <w:r w:rsidRPr="000977F7">
        <w:rPr>
          <w:rFonts w:asciiTheme="majorHAnsi" w:hAnsiTheme="majorHAnsi"/>
          <w:b/>
          <w:sz w:val="20"/>
          <w:szCs w:val="20"/>
        </w:rPr>
        <w:t>ЯКОСТІ</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31E28D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Успішне ведення та функціонування організації вимагає керування</w:t>
      </w:r>
      <w:r w:rsidRPr="000977F7">
        <w:rPr>
          <w:rFonts w:asciiTheme="majorHAnsi" w:hAnsiTheme="majorHAnsi"/>
          <w:spacing w:val="1"/>
          <w:sz w:val="20"/>
          <w:szCs w:val="20"/>
        </w:rPr>
        <w:t xml:space="preserve"> </w:t>
      </w:r>
      <w:r w:rsidRPr="000977F7">
        <w:rPr>
          <w:rFonts w:asciiTheme="majorHAnsi" w:hAnsiTheme="majorHAnsi"/>
          <w:sz w:val="20"/>
          <w:szCs w:val="20"/>
        </w:rPr>
        <w:t>на систематичній та</w:t>
      </w:r>
      <w:r w:rsidRPr="000977F7">
        <w:rPr>
          <w:rFonts w:asciiTheme="majorHAnsi" w:hAnsiTheme="majorHAnsi"/>
          <w:spacing w:val="1"/>
          <w:sz w:val="20"/>
          <w:szCs w:val="20"/>
        </w:rPr>
        <w:t xml:space="preserve"> </w:t>
      </w:r>
      <w:r w:rsidRPr="000977F7">
        <w:rPr>
          <w:rFonts w:asciiTheme="majorHAnsi" w:hAnsiTheme="majorHAnsi"/>
          <w:sz w:val="20"/>
          <w:szCs w:val="20"/>
        </w:rPr>
        <w:t>прозорій основі.</w:t>
      </w:r>
      <w:r w:rsidRPr="000977F7">
        <w:rPr>
          <w:rFonts w:asciiTheme="majorHAnsi" w:hAnsiTheme="majorHAnsi"/>
          <w:spacing w:val="1"/>
          <w:sz w:val="20"/>
          <w:szCs w:val="20"/>
        </w:rPr>
        <w:t xml:space="preserve"> </w:t>
      </w:r>
      <w:r w:rsidRPr="000977F7">
        <w:rPr>
          <w:rFonts w:asciiTheme="majorHAnsi" w:hAnsiTheme="majorHAnsi"/>
          <w:sz w:val="20"/>
          <w:szCs w:val="20"/>
        </w:rPr>
        <w:t>Успіх</w:t>
      </w:r>
      <w:r w:rsidRPr="000977F7">
        <w:rPr>
          <w:rFonts w:asciiTheme="majorHAnsi" w:hAnsiTheme="majorHAnsi"/>
          <w:spacing w:val="-11"/>
          <w:sz w:val="20"/>
          <w:szCs w:val="20"/>
        </w:rPr>
        <w:t xml:space="preserve"> </w:t>
      </w:r>
      <w:r w:rsidRPr="000977F7">
        <w:rPr>
          <w:rFonts w:asciiTheme="majorHAnsi" w:hAnsiTheme="majorHAnsi"/>
          <w:sz w:val="20"/>
          <w:szCs w:val="20"/>
        </w:rPr>
        <w:t>може</w:t>
      </w:r>
      <w:r w:rsidRPr="000977F7">
        <w:rPr>
          <w:rFonts w:asciiTheme="majorHAnsi" w:hAnsiTheme="majorHAnsi"/>
          <w:spacing w:val="-9"/>
          <w:sz w:val="20"/>
          <w:szCs w:val="20"/>
        </w:rPr>
        <w:t xml:space="preserve"> </w:t>
      </w:r>
      <w:r w:rsidRPr="000977F7">
        <w:rPr>
          <w:rFonts w:asciiTheme="majorHAnsi" w:hAnsiTheme="majorHAnsi"/>
          <w:sz w:val="20"/>
          <w:szCs w:val="20"/>
        </w:rPr>
        <w:t>бути</w:t>
      </w:r>
      <w:r w:rsidRPr="000977F7">
        <w:rPr>
          <w:rFonts w:asciiTheme="majorHAnsi" w:hAnsiTheme="majorHAnsi"/>
          <w:spacing w:val="-11"/>
          <w:sz w:val="20"/>
          <w:szCs w:val="20"/>
        </w:rPr>
        <w:t xml:space="preserve"> </w:t>
      </w:r>
      <w:r w:rsidRPr="000977F7">
        <w:rPr>
          <w:rFonts w:asciiTheme="majorHAnsi" w:hAnsiTheme="majorHAnsi"/>
          <w:sz w:val="20"/>
          <w:szCs w:val="20"/>
        </w:rPr>
        <w:t>результатом</w:t>
      </w:r>
      <w:r w:rsidRPr="000977F7">
        <w:rPr>
          <w:rFonts w:asciiTheme="majorHAnsi" w:hAnsiTheme="majorHAnsi"/>
          <w:spacing w:val="-8"/>
          <w:sz w:val="20"/>
          <w:szCs w:val="20"/>
        </w:rPr>
        <w:t xml:space="preserve"> </w:t>
      </w:r>
      <w:r w:rsidRPr="000977F7">
        <w:rPr>
          <w:rFonts w:asciiTheme="majorHAnsi" w:hAnsiTheme="majorHAnsi"/>
          <w:sz w:val="20"/>
          <w:szCs w:val="20"/>
        </w:rPr>
        <w:t>впровадження</w:t>
      </w:r>
      <w:r w:rsidRPr="000977F7">
        <w:rPr>
          <w:rFonts w:asciiTheme="majorHAnsi" w:hAnsiTheme="majorHAnsi"/>
          <w:spacing w:val="-10"/>
          <w:sz w:val="20"/>
          <w:szCs w:val="20"/>
        </w:rPr>
        <w:t xml:space="preserve"> </w:t>
      </w:r>
      <w:r w:rsidRPr="000977F7">
        <w:rPr>
          <w:rFonts w:asciiTheme="majorHAnsi" w:hAnsiTheme="majorHAnsi"/>
          <w:sz w:val="20"/>
          <w:szCs w:val="20"/>
        </w:rPr>
        <w:t>і</w:t>
      </w:r>
      <w:r w:rsidRPr="000977F7">
        <w:rPr>
          <w:rFonts w:asciiTheme="majorHAnsi" w:hAnsiTheme="majorHAnsi"/>
          <w:spacing w:val="-9"/>
          <w:sz w:val="20"/>
          <w:szCs w:val="20"/>
        </w:rPr>
        <w:t xml:space="preserve"> </w:t>
      </w:r>
      <w:r w:rsidRPr="000977F7">
        <w:rPr>
          <w:rFonts w:asciiTheme="majorHAnsi" w:hAnsiTheme="majorHAnsi"/>
          <w:sz w:val="20"/>
          <w:szCs w:val="20"/>
        </w:rPr>
        <w:t>функціонування системи керування, яка розроблена з урахуванням постійного поліпшення показників, які відо</w:t>
      </w:r>
      <w:r w:rsidRPr="000977F7">
        <w:rPr>
          <w:rFonts w:asciiTheme="majorHAnsi" w:hAnsiTheme="majorHAnsi"/>
          <w:spacing w:val="-1"/>
          <w:sz w:val="20"/>
          <w:szCs w:val="20"/>
        </w:rPr>
        <w:t>бражають</w:t>
      </w:r>
      <w:r w:rsidRPr="000977F7">
        <w:rPr>
          <w:rFonts w:asciiTheme="majorHAnsi" w:hAnsiTheme="majorHAnsi"/>
          <w:spacing w:val="-8"/>
          <w:sz w:val="20"/>
          <w:szCs w:val="20"/>
        </w:rPr>
        <w:t xml:space="preserve"> </w:t>
      </w:r>
      <w:r w:rsidRPr="000977F7">
        <w:rPr>
          <w:rFonts w:asciiTheme="majorHAnsi" w:hAnsiTheme="majorHAnsi"/>
          <w:spacing w:val="-1"/>
          <w:sz w:val="20"/>
          <w:szCs w:val="20"/>
        </w:rPr>
        <w:t>потреби</w:t>
      </w:r>
      <w:r w:rsidRPr="000977F7">
        <w:rPr>
          <w:rFonts w:asciiTheme="majorHAnsi" w:hAnsiTheme="majorHAnsi"/>
          <w:spacing w:val="-7"/>
          <w:sz w:val="20"/>
          <w:szCs w:val="20"/>
        </w:rPr>
        <w:t xml:space="preserve"> </w:t>
      </w:r>
      <w:r w:rsidRPr="000977F7">
        <w:rPr>
          <w:rFonts w:asciiTheme="majorHAnsi" w:hAnsiTheme="majorHAnsi"/>
          <w:spacing w:val="-1"/>
          <w:sz w:val="20"/>
          <w:szCs w:val="20"/>
        </w:rPr>
        <w:t>усіх</w:t>
      </w:r>
      <w:r w:rsidRPr="000977F7">
        <w:rPr>
          <w:rFonts w:asciiTheme="majorHAnsi" w:hAnsiTheme="majorHAnsi"/>
          <w:spacing w:val="-10"/>
          <w:sz w:val="20"/>
          <w:szCs w:val="20"/>
        </w:rPr>
        <w:t xml:space="preserve"> </w:t>
      </w:r>
      <w:r w:rsidRPr="000977F7">
        <w:rPr>
          <w:rFonts w:asciiTheme="majorHAnsi" w:hAnsiTheme="majorHAnsi"/>
          <w:spacing w:val="-1"/>
          <w:sz w:val="20"/>
          <w:szCs w:val="20"/>
        </w:rPr>
        <w:t>зацікавлених</w:t>
      </w:r>
      <w:r w:rsidRPr="000977F7">
        <w:rPr>
          <w:rFonts w:asciiTheme="majorHAnsi" w:hAnsiTheme="majorHAnsi"/>
          <w:spacing w:val="-11"/>
          <w:sz w:val="20"/>
          <w:szCs w:val="20"/>
        </w:rPr>
        <w:t xml:space="preserve"> </w:t>
      </w:r>
      <w:r w:rsidRPr="000977F7">
        <w:rPr>
          <w:rFonts w:asciiTheme="majorHAnsi" w:hAnsiTheme="majorHAnsi"/>
          <w:sz w:val="20"/>
          <w:szCs w:val="20"/>
        </w:rPr>
        <w:t>сторін.</w:t>
      </w:r>
      <w:r w:rsidRPr="000977F7">
        <w:rPr>
          <w:rFonts w:asciiTheme="majorHAnsi" w:hAnsiTheme="majorHAnsi"/>
          <w:spacing w:val="-7"/>
          <w:sz w:val="20"/>
          <w:szCs w:val="20"/>
        </w:rPr>
        <w:t xml:space="preserve"> </w:t>
      </w:r>
      <w:r w:rsidRPr="000977F7">
        <w:rPr>
          <w:rFonts w:asciiTheme="majorHAnsi" w:hAnsiTheme="majorHAnsi"/>
          <w:sz w:val="20"/>
          <w:szCs w:val="20"/>
        </w:rPr>
        <w:t>Керування</w:t>
      </w:r>
      <w:r w:rsidRPr="000977F7">
        <w:rPr>
          <w:rFonts w:asciiTheme="majorHAnsi" w:hAnsiTheme="majorHAnsi"/>
          <w:spacing w:val="-48"/>
          <w:sz w:val="20"/>
          <w:szCs w:val="20"/>
        </w:rPr>
        <w:t xml:space="preserve"> </w:t>
      </w:r>
      <w:r w:rsidRPr="000977F7">
        <w:rPr>
          <w:rFonts w:asciiTheme="majorHAnsi" w:hAnsiTheme="majorHAnsi"/>
          <w:sz w:val="20"/>
          <w:szCs w:val="20"/>
        </w:rPr>
        <w:t>організацією поєднує менеджмент якості з іншими видами</w:t>
      </w:r>
      <w:r w:rsidRPr="000977F7">
        <w:rPr>
          <w:rFonts w:asciiTheme="majorHAnsi" w:hAnsiTheme="majorHAnsi"/>
          <w:spacing w:val="-7"/>
          <w:sz w:val="20"/>
          <w:szCs w:val="20"/>
        </w:rPr>
        <w:t xml:space="preserve"> </w:t>
      </w:r>
      <w:r w:rsidRPr="000977F7">
        <w:rPr>
          <w:rFonts w:asciiTheme="majorHAnsi" w:hAnsiTheme="majorHAnsi"/>
          <w:sz w:val="20"/>
          <w:szCs w:val="20"/>
        </w:rPr>
        <w:t>менеджменту.</w:t>
      </w:r>
    </w:p>
    <w:p w14:paraId="5B5BE6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Вісім</w:t>
      </w:r>
      <w:r w:rsidRPr="000977F7">
        <w:rPr>
          <w:rFonts w:asciiTheme="majorHAnsi" w:hAnsiTheme="majorHAnsi"/>
          <w:spacing w:val="1"/>
          <w:sz w:val="20"/>
          <w:szCs w:val="20"/>
        </w:rPr>
        <w:t xml:space="preserve"> </w:t>
      </w:r>
      <w:r w:rsidRPr="000977F7">
        <w:rPr>
          <w:rFonts w:asciiTheme="majorHAnsi" w:hAnsiTheme="majorHAnsi"/>
          <w:sz w:val="20"/>
          <w:szCs w:val="20"/>
        </w:rPr>
        <w:t>принципів</w:t>
      </w:r>
      <w:r w:rsidRPr="000977F7">
        <w:rPr>
          <w:rFonts w:asciiTheme="majorHAnsi" w:hAnsiTheme="majorHAnsi"/>
          <w:spacing w:val="1"/>
          <w:sz w:val="20"/>
          <w:szCs w:val="20"/>
        </w:rPr>
        <w:t xml:space="preserve"> </w:t>
      </w:r>
      <w:r w:rsidRPr="000977F7">
        <w:rPr>
          <w:rFonts w:asciiTheme="majorHAnsi" w:hAnsiTheme="majorHAnsi"/>
          <w:sz w:val="20"/>
          <w:szCs w:val="20"/>
        </w:rPr>
        <w:t>менеджменту</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визначені</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47"/>
          <w:sz w:val="20"/>
          <w:szCs w:val="20"/>
        </w:rPr>
        <w:t xml:space="preserve"> </w:t>
      </w:r>
      <w:r w:rsidRPr="000977F7">
        <w:rPr>
          <w:rFonts w:asciiTheme="majorHAnsi" w:hAnsiTheme="majorHAnsi"/>
          <w:sz w:val="20"/>
          <w:szCs w:val="20"/>
        </w:rPr>
        <w:t>досягнення</w:t>
      </w:r>
      <w:r w:rsidRPr="000977F7">
        <w:rPr>
          <w:rFonts w:asciiTheme="majorHAnsi" w:hAnsiTheme="majorHAnsi"/>
          <w:spacing w:val="-2"/>
          <w:sz w:val="20"/>
          <w:szCs w:val="20"/>
        </w:rPr>
        <w:t xml:space="preserve"> </w:t>
      </w:r>
      <w:r w:rsidRPr="000977F7">
        <w:rPr>
          <w:rFonts w:asciiTheme="majorHAnsi" w:hAnsiTheme="majorHAnsi"/>
          <w:sz w:val="20"/>
          <w:szCs w:val="20"/>
        </w:rPr>
        <w:t>мети</w:t>
      </w:r>
      <w:r w:rsidRPr="000977F7">
        <w:rPr>
          <w:rFonts w:asciiTheme="majorHAnsi" w:hAnsiTheme="majorHAnsi"/>
          <w:spacing w:val="-1"/>
          <w:sz w:val="20"/>
          <w:szCs w:val="20"/>
        </w:rPr>
        <w:t xml:space="preserve"> </w:t>
      </w:r>
      <w:r w:rsidRPr="000977F7">
        <w:rPr>
          <w:rFonts w:asciiTheme="majorHAnsi" w:hAnsiTheme="majorHAnsi"/>
          <w:sz w:val="20"/>
          <w:szCs w:val="20"/>
        </w:rPr>
        <w:t>з якості:</w:t>
      </w:r>
    </w:p>
    <w:p w14:paraId="6FAB9AFB" w14:textId="77777777" w:rsidR="0097612F" w:rsidRPr="000977F7" w:rsidRDefault="0097612F" w:rsidP="00FD39A4">
      <w:pPr>
        <w:pStyle w:val="ac"/>
        <w:widowControl w:val="0"/>
        <w:numPr>
          <w:ilvl w:val="0"/>
          <w:numId w:val="93"/>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орієнтація на споживача</w:t>
      </w:r>
      <w:r w:rsidRPr="000977F7">
        <w:rPr>
          <w:rFonts w:asciiTheme="majorHAnsi" w:hAnsiTheme="majorHAnsi"/>
          <w:spacing w:val="1"/>
          <w:sz w:val="20"/>
          <w:szCs w:val="20"/>
        </w:rPr>
        <w:t xml:space="preserve"> </w:t>
      </w:r>
      <w:r w:rsidRPr="000977F7">
        <w:rPr>
          <w:rFonts w:asciiTheme="majorHAnsi" w:hAnsiTheme="majorHAnsi"/>
          <w:sz w:val="20"/>
          <w:szCs w:val="20"/>
        </w:rPr>
        <w:t>– організація залежить</w:t>
      </w:r>
      <w:r w:rsidRPr="000977F7">
        <w:rPr>
          <w:rFonts w:asciiTheme="majorHAnsi" w:hAnsiTheme="majorHAnsi"/>
          <w:spacing w:val="1"/>
          <w:sz w:val="20"/>
          <w:szCs w:val="20"/>
        </w:rPr>
        <w:t xml:space="preserve"> </w:t>
      </w:r>
      <w:r w:rsidRPr="000977F7">
        <w:rPr>
          <w:rFonts w:asciiTheme="majorHAnsi" w:hAnsiTheme="majorHAnsi"/>
          <w:sz w:val="20"/>
          <w:szCs w:val="20"/>
        </w:rPr>
        <w:t>від своїх потреб і, тому, повинна розуміти сучасні</w:t>
      </w:r>
      <w:r w:rsidRPr="000977F7">
        <w:rPr>
          <w:rFonts w:asciiTheme="majorHAnsi" w:hAnsiTheme="majorHAnsi"/>
          <w:spacing w:val="-47"/>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майбутні</w:t>
      </w:r>
      <w:r w:rsidRPr="000977F7">
        <w:rPr>
          <w:rFonts w:asciiTheme="majorHAnsi" w:hAnsiTheme="majorHAnsi"/>
          <w:spacing w:val="1"/>
          <w:sz w:val="20"/>
          <w:szCs w:val="20"/>
        </w:rPr>
        <w:t xml:space="preserve"> </w:t>
      </w:r>
      <w:r w:rsidRPr="000977F7">
        <w:rPr>
          <w:rFonts w:asciiTheme="majorHAnsi" w:hAnsiTheme="majorHAnsi"/>
          <w:sz w:val="20"/>
          <w:szCs w:val="20"/>
        </w:rPr>
        <w:t>потреби</w:t>
      </w:r>
      <w:r w:rsidRPr="000977F7">
        <w:rPr>
          <w:rFonts w:asciiTheme="majorHAnsi" w:hAnsiTheme="majorHAnsi"/>
          <w:spacing w:val="1"/>
          <w:sz w:val="20"/>
          <w:szCs w:val="20"/>
        </w:rPr>
        <w:t xml:space="preserve"> </w:t>
      </w:r>
      <w:r w:rsidRPr="000977F7">
        <w:rPr>
          <w:rFonts w:asciiTheme="majorHAnsi" w:hAnsiTheme="majorHAnsi"/>
          <w:sz w:val="20"/>
          <w:szCs w:val="20"/>
        </w:rPr>
        <w:t>споживача,</w:t>
      </w:r>
      <w:r w:rsidRPr="000977F7">
        <w:rPr>
          <w:rFonts w:asciiTheme="majorHAnsi" w:hAnsiTheme="majorHAnsi"/>
          <w:spacing w:val="1"/>
          <w:sz w:val="20"/>
          <w:szCs w:val="20"/>
        </w:rPr>
        <w:t xml:space="preserve"> </w:t>
      </w:r>
      <w:r w:rsidRPr="000977F7">
        <w:rPr>
          <w:rFonts w:asciiTheme="majorHAnsi" w:hAnsiTheme="majorHAnsi"/>
          <w:sz w:val="20"/>
          <w:szCs w:val="20"/>
        </w:rPr>
        <w:t>задовольняти</w:t>
      </w:r>
      <w:r w:rsidRPr="000977F7">
        <w:rPr>
          <w:rFonts w:asciiTheme="majorHAnsi" w:hAnsiTheme="majorHAnsi"/>
          <w:spacing w:val="1"/>
          <w:sz w:val="20"/>
          <w:szCs w:val="20"/>
        </w:rPr>
        <w:t xml:space="preserve"> </w:t>
      </w:r>
      <w:r w:rsidRPr="000977F7">
        <w:rPr>
          <w:rFonts w:asciiTheme="majorHAnsi" w:hAnsiTheme="majorHAnsi"/>
          <w:sz w:val="20"/>
          <w:szCs w:val="20"/>
        </w:rPr>
        <w:t>вимоги споживача та прагнути перевершити очікування</w:t>
      </w:r>
      <w:r w:rsidRPr="000977F7">
        <w:rPr>
          <w:rFonts w:asciiTheme="majorHAnsi" w:hAnsiTheme="majorHAnsi"/>
          <w:spacing w:val="-2"/>
          <w:sz w:val="20"/>
          <w:szCs w:val="20"/>
        </w:rPr>
        <w:t xml:space="preserve"> </w:t>
      </w:r>
      <w:r w:rsidRPr="000977F7">
        <w:rPr>
          <w:rFonts w:asciiTheme="majorHAnsi" w:hAnsiTheme="majorHAnsi"/>
          <w:sz w:val="20"/>
          <w:szCs w:val="20"/>
        </w:rPr>
        <w:t>споживача;</w:t>
      </w:r>
    </w:p>
    <w:p w14:paraId="25658FFD" w14:textId="77777777" w:rsidR="0097612F" w:rsidRPr="000977F7" w:rsidRDefault="0097612F" w:rsidP="00FD39A4">
      <w:pPr>
        <w:pStyle w:val="ac"/>
        <w:widowControl w:val="0"/>
        <w:numPr>
          <w:ilvl w:val="0"/>
          <w:numId w:val="93"/>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pacing w:val="-1"/>
          <w:sz w:val="20"/>
          <w:szCs w:val="20"/>
        </w:rPr>
        <w:t>лідерство</w:t>
      </w:r>
      <w:r w:rsidRPr="000977F7">
        <w:rPr>
          <w:rFonts w:asciiTheme="majorHAnsi" w:hAnsiTheme="majorHAnsi"/>
          <w:spacing w:val="-9"/>
          <w:sz w:val="20"/>
          <w:szCs w:val="20"/>
        </w:rPr>
        <w:t xml:space="preserve"> </w:t>
      </w:r>
      <w:r w:rsidRPr="000977F7">
        <w:rPr>
          <w:rFonts w:asciiTheme="majorHAnsi" w:hAnsiTheme="majorHAnsi"/>
          <w:spacing w:val="-1"/>
          <w:sz w:val="20"/>
          <w:szCs w:val="20"/>
        </w:rPr>
        <w:t>–</w:t>
      </w:r>
      <w:r w:rsidRPr="000977F7">
        <w:rPr>
          <w:rFonts w:asciiTheme="majorHAnsi" w:hAnsiTheme="majorHAnsi"/>
          <w:spacing w:val="-9"/>
          <w:sz w:val="20"/>
          <w:szCs w:val="20"/>
        </w:rPr>
        <w:t xml:space="preserve"> </w:t>
      </w:r>
      <w:r w:rsidRPr="000977F7">
        <w:rPr>
          <w:rFonts w:asciiTheme="majorHAnsi" w:hAnsiTheme="majorHAnsi"/>
          <w:spacing w:val="-1"/>
          <w:sz w:val="20"/>
          <w:szCs w:val="20"/>
        </w:rPr>
        <w:t>лідери</w:t>
      </w:r>
      <w:r w:rsidRPr="000977F7">
        <w:rPr>
          <w:rFonts w:asciiTheme="majorHAnsi" w:hAnsiTheme="majorHAnsi"/>
          <w:spacing w:val="-10"/>
          <w:sz w:val="20"/>
          <w:szCs w:val="20"/>
        </w:rPr>
        <w:t xml:space="preserve"> </w:t>
      </w:r>
      <w:r w:rsidRPr="000977F7">
        <w:rPr>
          <w:rFonts w:asciiTheme="majorHAnsi" w:hAnsiTheme="majorHAnsi"/>
          <w:spacing w:val="-1"/>
          <w:sz w:val="20"/>
          <w:szCs w:val="20"/>
        </w:rPr>
        <w:t>визначають</w:t>
      </w:r>
      <w:r w:rsidRPr="000977F7">
        <w:rPr>
          <w:rFonts w:asciiTheme="majorHAnsi" w:hAnsiTheme="majorHAnsi"/>
          <w:spacing w:val="-10"/>
          <w:sz w:val="20"/>
          <w:szCs w:val="20"/>
        </w:rPr>
        <w:t xml:space="preserve"> </w:t>
      </w:r>
      <w:r w:rsidRPr="000977F7">
        <w:rPr>
          <w:rFonts w:asciiTheme="majorHAnsi" w:hAnsiTheme="majorHAnsi"/>
          <w:spacing w:val="-1"/>
          <w:sz w:val="20"/>
          <w:szCs w:val="20"/>
        </w:rPr>
        <w:t>єдність</w:t>
      </w:r>
      <w:r w:rsidRPr="000977F7">
        <w:rPr>
          <w:rFonts w:asciiTheme="majorHAnsi" w:hAnsiTheme="majorHAnsi"/>
          <w:spacing w:val="-10"/>
          <w:sz w:val="20"/>
          <w:szCs w:val="20"/>
        </w:rPr>
        <w:t xml:space="preserve"> </w:t>
      </w:r>
      <w:r w:rsidRPr="000977F7">
        <w:rPr>
          <w:rFonts w:asciiTheme="majorHAnsi" w:hAnsiTheme="majorHAnsi"/>
          <w:sz w:val="20"/>
          <w:szCs w:val="20"/>
        </w:rPr>
        <w:t>мети,</w:t>
      </w:r>
      <w:r w:rsidRPr="000977F7">
        <w:rPr>
          <w:rFonts w:asciiTheme="majorHAnsi" w:hAnsiTheme="majorHAnsi"/>
          <w:spacing w:val="-9"/>
          <w:sz w:val="20"/>
          <w:szCs w:val="20"/>
        </w:rPr>
        <w:t xml:space="preserve"> </w:t>
      </w:r>
      <w:r w:rsidRPr="000977F7">
        <w:rPr>
          <w:rFonts w:asciiTheme="majorHAnsi" w:hAnsiTheme="majorHAnsi"/>
          <w:sz w:val="20"/>
          <w:szCs w:val="20"/>
        </w:rPr>
        <w:t>напрямків</w:t>
      </w:r>
      <w:r w:rsidRPr="000977F7">
        <w:rPr>
          <w:rFonts w:asciiTheme="majorHAnsi" w:hAnsiTheme="majorHAnsi"/>
          <w:spacing w:val="-9"/>
          <w:sz w:val="20"/>
          <w:szCs w:val="20"/>
        </w:rPr>
        <w:t xml:space="preserve"> </w:t>
      </w:r>
      <w:r w:rsidRPr="000977F7">
        <w:rPr>
          <w:rFonts w:asciiTheme="majorHAnsi" w:hAnsiTheme="majorHAnsi"/>
          <w:sz w:val="20"/>
          <w:szCs w:val="20"/>
        </w:rPr>
        <w:t>та</w:t>
      </w:r>
      <w:r w:rsidRPr="000977F7">
        <w:rPr>
          <w:rFonts w:asciiTheme="majorHAnsi" w:hAnsiTheme="majorHAnsi"/>
          <w:spacing w:val="-8"/>
          <w:sz w:val="20"/>
          <w:szCs w:val="20"/>
        </w:rPr>
        <w:t xml:space="preserve"> </w:t>
      </w:r>
      <w:r w:rsidRPr="000977F7">
        <w:rPr>
          <w:rFonts w:asciiTheme="majorHAnsi" w:hAnsiTheme="majorHAnsi"/>
          <w:sz w:val="20"/>
          <w:szCs w:val="20"/>
        </w:rPr>
        <w:t>внутрішній</w:t>
      </w:r>
      <w:r w:rsidRPr="000977F7">
        <w:rPr>
          <w:rFonts w:asciiTheme="majorHAnsi" w:hAnsiTheme="majorHAnsi"/>
          <w:spacing w:val="-8"/>
          <w:sz w:val="20"/>
          <w:szCs w:val="20"/>
        </w:rPr>
        <w:t xml:space="preserve"> </w:t>
      </w:r>
      <w:r w:rsidRPr="000977F7">
        <w:rPr>
          <w:rFonts w:asciiTheme="majorHAnsi" w:hAnsiTheme="majorHAnsi"/>
          <w:sz w:val="20"/>
          <w:szCs w:val="20"/>
        </w:rPr>
        <w:t>клімат</w:t>
      </w:r>
      <w:r w:rsidRPr="000977F7">
        <w:rPr>
          <w:rFonts w:asciiTheme="majorHAnsi" w:hAnsiTheme="majorHAnsi"/>
          <w:spacing w:val="-9"/>
          <w:sz w:val="20"/>
          <w:szCs w:val="20"/>
        </w:rPr>
        <w:t xml:space="preserve"> </w:t>
      </w:r>
      <w:r w:rsidRPr="000977F7">
        <w:rPr>
          <w:rFonts w:asciiTheme="majorHAnsi" w:hAnsiTheme="majorHAnsi"/>
          <w:sz w:val="20"/>
          <w:szCs w:val="20"/>
        </w:rPr>
        <w:t>в</w:t>
      </w:r>
      <w:r w:rsidRPr="000977F7">
        <w:rPr>
          <w:rFonts w:asciiTheme="majorHAnsi" w:hAnsiTheme="majorHAnsi"/>
          <w:spacing w:val="-8"/>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9"/>
          <w:sz w:val="20"/>
          <w:szCs w:val="20"/>
        </w:rPr>
        <w:t xml:space="preserve"> </w:t>
      </w:r>
      <w:r w:rsidRPr="000977F7">
        <w:rPr>
          <w:rFonts w:asciiTheme="majorHAnsi" w:hAnsiTheme="majorHAnsi"/>
          <w:sz w:val="20"/>
          <w:szCs w:val="20"/>
        </w:rPr>
        <w:t>Вони</w:t>
      </w:r>
      <w:r w:rsidRPr="000977F7">
        <w:rPr>
          <w:rFonts w:asciiTheme="majorHAnsi" w:hAnsiTheme="majorHAnsi"/>
          <w:spacing w:val="-9"/>
          <w:sz w:val="20"/>
          <w:szCs w:val="20"/>
        </w:rPr>
        <w:t xml:space="preserve"> </w:t>
      </w:r>
      <w:r w:rsidRPr="000977F7">
        <w:rPr>
          <w:rFonts w:asciiTheme="majorHAnsi" w:hAnsiTheme="majorHAnsi"/>
          <w:sz w:val="20"/>
          <w:szCs w:val="20"/>
        </w:rPr>
        <w:t>ство</w:t>
      </w:r>
      <w:r w:rsidRPr="000977F7">
        <w:rPr>
          <w:rFonts w:asciiTheme="majorHAnsi" w:hAnsiTheme="majorHAnsi"/>
          <w:spacing w:val="-3"/>
          <w:sz w:val="20"/>
          <w:szCs w:val="20"/>
        </w:rPr>
        <w:t>рюють</w:t>
      </w:r>
      <w:r w:rsidRPr="000977F7">
        <w:rPr>
          <w:rFonts w:asciiTheme="majorHAnsi" w:hAnsiTheme="majorHAnsi"/>
          <w:spacing w:val="-9"/>
          <w:sz w:val="20"/>
          <w:szCs w:val="20"/>
        </w:rPr>
        <w:t xml:space="preserve"> </w:t>
      </w:r>
      <w:r w:rsidRPr="000977F7">
        <w:rPr>
          <w:rFonts w:asciiTheme="majorHAnsi" w:hAnsiTheme="majorHAnsi"/>
          <w:spacing w:val="-3"/>
          <w:sz w:val="20"/>
          <w:szCs w:val="20"/>
        </w:rPr>
        <w:t>середовище,</w:t>
      </w:r>
      <w:r w:rsidRPr="000977F7">
        <w:rPr>
          <w:rFonts w:asciiTheme="majorHAnsi" w:hAnsiTheme="majorHAnsi"/>
          <w:spacing w:val="-6"/>
          <w:sz w:val="20"/>
          <w:szCs w:val="20"/>
        </w:rPr>
        <w:t xml:space="preserve"> </w:t>
      </w:r>
      <w:r w:rsidRPr="000977F7">
        <w:rPr>
          <w:rFonts w:asciiTheme="majorHAnsi" w:hAnsiTheme="majorHAnsi"/>
          <w:spacing w:val="-3"/>
          <w:sz w:val="20"/>
          <w:szCs w:val="20"/>
        </w:rPr>
        <w:t>в</w:t>
      </w:r>
      <w:r w:rsidRPr="000977F7">
        <w:rPr>
          <w:rFonts w:asciiTheme="majorHAnsi" w:hAnsiTheme="majorHAnsi"/>
          <w:spacing w:val="-9"/>
          <w:sz w:val="20"/>
          <w:szCs w:val="20"/>
        </w:rPr>
        <w:t xml:space="preserve"> </w:t>
      </w:r>
      <w:r w:rsidRPr="000977F7">
        <w:rPr>
          <w:rFonts w:asciiTheme="majorHAnsi" w:hAnsiTheme="majorHAnsi"/>
          <w:spacing w:val="-3"/>
          <w:sz w:val="20"/>
          <w:szCs w:val="20"/>
        </w:rPr>
        <w:t>якому</w:t>
      </w:r>
      <w:r w:rsidRPr="000977F7">
        <w:rPr>
          <w:rFonts w:asciiTheme="majorHAnsi" w:hAnsiTheme="majorHAnsi"/>
          <w:spacing w:val="-7"/>
          <w:sz w:val="20"/>
          <w:szCs w:val="20"/>
        </w:rPr>
        <w:t xml:space="preserve"> </w:t>
      </w:r>
      <w:r w:rsidRPr="000977F7">
        <w:rPr>
          <w:rFonts w:asciiTheme="majorHAnsi" w:hAnsiTheme="majorHAnsi"/>
          <w:spacing w:val="-2"/>
          <w:sz w:val="20"/>
          <w:szCs w:val="20"/>
        </w:rPr>
        <w:t>люди</w:t>
      </w:r>
      <w:r w:rsidRPr="000977F7">
        <w:rPr>
          <w:rFonts w:asciiTheme="majorHAnsi" w:hAnsiTheme="majorHAnsi"/>
          <w:spacing w:val="-10"/>
          <w:sz w:val="20"/>
          <w:szCs w:val="20"/>
        </w:rPr>
        <w:t xml:space="preserve"> </w:t>
      </w:r>
      <w:r w:rsidRPr="000977F7">
        <w:rPr>
          <w:rFonts w:asciiTheme="majorHAnsi" w:hAnsiTheme="majorHAnsi"/>
          <w:spacing w:val="-2"/>
          <w:sz w:val="20"/>
          <w:szCs w:val="20"/>
        </w:rPr>
        <w:t>можуть</w:t>
      </w:r>
      <w:r w:rsidRPr="000977F7">
        <w:rPr>
          <w:rFonts w:asciiTheme="majorHAnsi" w:hAnsiTheme="majorHAnsi"/>
          <w:spacing w:val="-8"/>
          <w:sz w:val="20"/>
          <w:szCs w:val="20"/>
        </w:rPr>
        <w:t xml:space="preserve"> </w:t>
      </w:r>
      <w:r w:rsidRPr="000977F7">
        <w:rPr>
          <w:rFonts w:asciiTheme="majorHAnsi" w:hAnsiTheme="majorHAnsi"/>
          <w:spacing w:val="-2"/>
          <w:sz w:val="20"/>
          <w:szCs w:val="20"/>
        </w:rPr>
        <w:t>бути</w:t>
      </w:r>
      <w:r w:rsidRPr="000977F7">
        <w:rPr>
          <w:rFonts w:asciiTheme="majorHAnsi" w:hAnsiTheme="majorHAnsi"/>
          <w:spacing w:val="-5"/>
          <w:sz w:val="20"/>
          <w:szCs w:val="20"/>
        </w:rPr>
        <w:t xml:space="preserve"> </w:t>
      </w:r>
      <w:r w:rsidRPr="000977F7">
        <w:rPr>
          <w:rFonts w:asciiTheme="majorHAnsi" w:hAnsiTheme="majorHAnsi"/>
          <w:spacing w:val="-2"/>
          <w:sz w:val="20"/>
          <w:szCs w:val="20"/>
        </w:rPr>
        <w:t>пов</w:t>
      </w:r>
      <w:r w:rsidRPr="000977F7">
        <w:rPr>
          <w:rFonts w:asciiTheme="majorHAnsi" w:hAnsiTheme="majorHAnsi"/>
          <w:spacing w:val="-4"/>
          <w:sz w:val="20"/>
          <w:szCs w:val="20"/>
        </w:rPr>
        <w:t>ністю</w:t>
      </w:r>
      <w:r w:rsidRPr="000977F7">
        <w:rPr>
          <w:rFonts w:asciiTheme="majorHAnsi" w:hAnsiTheme="majorHAnsi"/>
          <w:spacing w:val="-7"/>
          <w:sz w:val="20"/>
          <w:szCs w:val="20"/>
        </w:rPr>
        <w:t xml:space="preserve"> </w:t>
      </w:r>
      <w:r w:rsidRPr="000977F7">
        <w:rPr>
          <w:rFonts w:asciiTheme="majorHAnsi" w:hAnsiTheme="majorHAnsi"/>
          <w:spacing w:val="-4"/>
          <w:sz w:val="20"/>
          <w:szCs w:val="20"/>
        </w:rPr>
        <w:t>залучені</w:t>
      </w:r>
      <w:r w:rsidRPr="000977F7">
        <w:rPr>
          <w:rFonts w:asciiTheme="majorHAnsi" w:hAnsiTheme="majorHAnsi"/>
          <w:spacing w:val="-7"/>
          <w:sz w:val="20"/>
          <w:szCs w:val="20"/>
        </w:rPr>
        <w:t xml:space="preserve"> </w:t>
      </w:r>
      <w:r w:rsidRPr="000977F7">
        <w:rPr>
          <w:rFonts w:asciiTheme="majorHAnsi" w:hAnsiTheme="majorHAnsi"/>
          <w:spacing w:val="-4"/>
          <w:sz w:val="20"/>
          <w:szCs w:val="20"/>
        </w:rPr>
        <w:t>для</w:t>
      </w:r>
      <w:r w:rsidRPr="000977F7">
        <w:rPr>
          <w:rFonts w:asciiTheme="majorHAnsi" w:hAnsiTheme="majorHAnsi"/>
          <w:spacing w:val="-8"/>
          <w:sz w:val="20"/>
          <w:szCs w:val="20"/>
        </w:rPr>
        <w:t xml:space="preserve"> </w:t>
      </w:r>
      <w:r w:rsidRPr="000977F7">
        <w:rPr>
          <w:rFonts w:asciiTheme="majorHAnsi" w:hAnsiTheme="majorHAnsi"/>
          <w:spacing w:val="-4"/>
          <w:sz w:val="20"/>
          <w:szCs w:val="20"/>
        </w:rPr>
        <w:t>досягнення</w:t>
      </w:r>
      <w:r w:rsidRPr="000977F7">
        <w:rPr>
          <w:rFonts w:asciiTheme="majorHAnsi" w:hAnsiTheme="majorHAnsi"/>
          <w:spacing w:val="-10"/>
          <w:sz w:val="20"/>
          <w:szCs w:val="20"/>
        </w:rPr>
        <w:t xml:space="preserve"> </w:t>
      </w:r>
      <w:r w:rsidRPr="000977F7">
        <w:rPr>
          <w:rFonts w:asciiTheme="majorHAnsi" w:hAnsiTheme="majorHAnsi"/>
          <w:spacing w:val="-4"/>
          <w:sz w:val="20"/>
          <w:szCs w:val="20"/>
        </w:rPr>
        <w:t>мети</w:t>
      </w:r>
      <w:r w:rsidRPr="000977F7">
        <w:rPr>
          <w:rFonts w:asciiTheme="majorHAnsi" w:hAnsiTheme="majorHAnsi"/>
          <w:spacing w:val="-11"/>
          <w:sz w:val="20"/>
          <w:szCs w:val="20"/>
        </w:rPr>
        <w:t xml:space="preserve"> </w:t>
      </w:r>
      <w:r w:rsidRPr="000977F7">
        <w:rPr>
          <w:rFonts w:asciiTheme="majorHAnsi" w:hAnsiTheme="majorHAnsi"/>
          <w:spacing w:val="-3"/>
          <w:sz w:val="20"/>
          <w:szCs w:val="20"/>
        </w:rPr>
        <w:t>організації;</w:t>
      </w:r>
    </w:p>
    <w:p w14:paraId="445199AD" w14:textId="77777777" w:rsidR="0097612F" w:rsidRPr="000977F7" w:rsidRDefault="0097612F" w:rsidP="00FD39A4">
      <w:pPr>
        <w:pStyle w:val="ac"/>
        <w:widowControl w:val="0"/>
        <w:numPr>
          <w:ilvl w:val="0"/>
          <w:numId w:val="93"/>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залучення</w:t>
      </w:r>
      <w:r w:rsidRPr="000977F7">
        <w:rPr>
          <w:rFonts w:asciiTheme="majorHAnsi" w:hAnsiTheme="majorHAnsi"/>
          <w:spacing w:val="-3"/>
          <w:sz w:val="20"/>
          <w:szCs w:val="20"/>
        </w:rPr>
        <w:t xml:space="preserve"> </w:t>
      </w:r>
      <w:r w:rsidRPr="000977F7">
        <w:rPr>
          <w:rFonts w:asciiTheme="majorHAnsi" w:hAnsiTheme="majorHAnsi"/>
          <w:sz w:val="20"/>
          <w:szCs w:val="20"/>
        </w:rPr>
        <w:t>персоналу</w:t>
      </w:r>
      <w:r w:rsidRPr="000977F7">
        <w:rPr>
          <w:rFonts w:asciiTheme="majorHAnsi" w:hAnsiTheme="majorHAnsi"/>
          <w:spacing w:val="-4"/>
          <w:sz w:val="20"/>
          <w:szCs w:val="20"/>
        </w:rPr>
        <w:t xml:space="preserve"> </w:t>
      </w:r>
      <w:r w:rsidRPr="000977F7">
        <w:rPr>
          <w:rFonts w:asciiTheme="majorHAnsi" w:hAnsiTheme="majorHAnsi"/>
          <w:sz w:val="20"/>
          <w:szCs w:val="20"/>
        </w:rPr>
        <w:t>– люди</w:t>
      </w:r>
      <w:r w:rsidRPr="000977F7">
        <w:rPr>
          <w:rFonts w:asciiTheme="majorHAnsi" w:hAnsiTheme="majorHAnsi"/>
          <w:spacing w:val="-4"/>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всіх</w:t>
      </w:r>
      <w:r w:rsidRPr="000977F7">
        <w:rPr>
          <w:rFonts w:asciiTheme="majorHAnsi" w:hAnsiTheme="majorHAnsi"/>
          <w:spacing w:val="-4"/>
          <w:sz w:val="20"/>
          <w:szCs w:val="20"/>
        </w:rPr>
        <w:t xml:space="preserve"> </w:t>
      </w:r>
      <w:r w:rsidRPr="000977F7">
        <w:rPr>
          <w:rFonts w:asciiTheme="majorHAnsi" w:hAnsiTheme="majorHAnsi"/>
          <w:sz w:val="20"/>
          <w:szCs w:val="20"/>
        </w:rPr>
        <w:t>рівнях</w:t>
      </w:r>
      <w:r w:rsidRPr="000977F7">
        <w:rPr>
          <w:rFonts w:asciiTheme="majorHAnsi" w:hAnsiTheme="majorHAnsi"/>
          <w:spacing w:val="-5"/>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основою організації і повне залучення їх можливостей</w:t>
      </w:r>
      <w:r w:rsidRPr="000977F7">
        <w:rPr>
          <w:rFonts w:asciiTheme="majorHAnsi" w:hAnsiTheme="majorHAnsi"/>
          <w:spacing w:val="1"/>
          <w:sz w:val="20"/>
          <w:szCs w:val="20"/>
        </w:rPr>
        <w:t xml:space="preserve"> </w:t>
      </w:r>
      <w:r w:rsidRPr="000977F7">
        <w:rPr>
          <w:rFonts w:asciiTheme="majorHAnsi" w:hAnsiTheme="majorHAnsi"/>
          <w:spacing w:val="-2"/>
          <w:sz w:val="20"/>
          <w:szCs w:val="20"/>
        </w:rPr>
        <w:t>та</w:t>
      </w:r>
      <w:r w:rsidRPr="000977F7">
        <w:rPr>
          <w:rFonts w:asciiTheme="majorHAnsi" w:hAnsiTheme="majorHAnsi"/>
          <w:spacing w:val="-6"/>
          <w:sz w:val="20"/>
          <w:szCs w:val="20"/>
        </w:rPr>
        <w:t xml:space="preserve"> </w:t>
      </w:r>
      <w:r w:rsidRPr="000977F7">
        <w:rPr>
          <w:rFonts w:asciiTheme="majorHAnsi" w:hAnsiTheme="majorHAnsi"/>
          <w:spacing w:val="-2"/>
          <w:sz w:val="20"/>
          <w:szCs w:val="20"/>
        </w:rPr>
        <w:t>нахилів</w:t>
      </w:r>
      <w:r w:rsidRPr="000977F7">
        <w:rPr>
          <w:rFonts w:asciiTheme="majorHAnsi" w:hAnsiTheme="majorHAnsi"/>
          <w:spacing w:val="-9"/>
          <w:sz w:val="20"/>
          <w:szCs w:val="20"/>
        </w:rPr>
        <w:t xml:space="preserve"> </w:t>
      </w:r>
      <w:r w:rsidRPr="000977F7">
        <w:rPr>
          <w:rFonts w:asciiTheme="majorHAnsi" w:hAnsiTheme="majorHAnsi"/>
          <w:spacing w:val="-2"/>
          <w:sz w:val="20"/>
          <w:szCs w:val="20"/>
        </w:rPr>
        <w:t>використовується</w:t>
      </w:r>
      <w:r w:rsidRPr="000977F7">
        <w:rPr>
          <w:rFonts w:asciiTheme="majorHAnsi" w:hAnsiTheme="majorHAnsi"/>
          <w:spacing w:val="-7"/>
          <w:sz w:val="20"/>
          <w:szCs w:val="20"/>
        </w:rPr>
        <w:t xml:space="preserve"> </w:t>
      </w:r>
      <w:r w:rsidRPr="000977F7">
        <w:rPr>
          <w:rFonts w:asciiTheme="majorHAnsi" w:hAnsiTheme="majorHAnsi"/>
          <w:spacing w:val="-1"/>
          <w:sz w:val="20"/>
          <w:szCs w:val="20"/>
        </w:rPr>
        <w:t>для</w:t>
      </w:r>
      <w:r w:rsidRPr="000977F7">
        <w:rPr>
          <w:rFonts w:asciiTheme="majorHAnsi" w:hAnsiTheme="majorHAnsi"/>
          <w:spacing w:val="-9"/>
          <w:sz w:val="20"/>
          <w:szCs w:val="20"/>
        </w:rPr>
        <w:t xml:space="preserve"> </w:t>
      </w:r>
      <w:r w:rsidRPr="000977F7">
        <w:rPr>
          <w:rFonts w:asciiTheme="majorHAnsi" w:hAnsiTheme="majorHAnsi"/>
          <w:spacing w:val="-1"/>
          <w:sz w:val="20"/>
          <w:szCs w:val="20"/>
        </w:rPr>
        <w:t>вигоди</w:t>
      </w:r>
      <w:r w:rsidRPr="000977F7">
        <w:rPr>
          <w:rFonts w:asciiTheme="majorHAnsi" w:hAnsiTheme="majorHAnsi"/>
          <w:spacing w:val="-9"/>
          <w:sz w:val="20"/>
          <w:szCs w:val="20"/>
        </w:rPr>
        <w:t xml:space="preserve"> </w:t>
      </w:r>
      <w:r w:rsidRPr="000977F7">
        <w:rPr>
          <w:rFonts w:asciiTheme="majorHAnsi" w:hAnsiTheme="majorHAnsi"/>
          <w:spacing w:val="-1"/>
          <w:sz w:val="20"/>
          <w:szCs w:val="20"/>
        </w:rPr>
        <w:t>організації;</w:t>
      </w:r>
    </w:p>
    <w:p w14:paraId="0981679B" w14:textId="77777777" w:rsidR="0097612F" w:rsidRPr="000977F7" w:rsidRDefault="0097612F" w:rsidP="00FD39A4">
      <w:pPr>
        <w:pStyle w:val="ac"/>
        <w:widowControl w:val="0"/>
        <w:numPr>
          <w:ilvl w:val="0"/>
          <w:numId w:val="93"/>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pacing w:val="-1"/>
          <w:sz w:val="20"/>
          <w:szCs w:val="20"/>
        </w:rPr>
        <w:t xml:space="preserve">процесний підхід – бажаний результат </w:t>
      </w:r>
      <w:r w:rsidRPr="000977F7">
        <w:rPr>
          <w:rFonts w:asciiTheme="majorHAnsi" w:hAnsiTheme="majorHAnsi"/>
          <w:sz w:val="20"/>
          <w:szCs w:val="20"/>
        </w:rPr>
        <w:t>досягається</w:t>
      </w:r>
      <w:r w:rsidRPr="000977F7">
        <w:rPr>
          <w:rFonts w:asciiTheme="majorHAnsi" w:hAnsiTheme="majorHAnsi"/>
          <w:spacing w:val="-47"/>
          <w:sz w:val="20"/>
          <w:szCs w:val="20"/>
        </w:rPr>
        <w:t xml:space="preserve"> </w:t>
      </w:r>
      <w:r w:rsidRPr="000977F7">
        <w:rPr>
          <w:rFonts w:asciiTheme="majorHAnsi" w:hAnsiTheme="majorHAnsi"/>
          <w:sz w:val="20"/>
          <w:szCs w:val="20"/>
        </w:rPr>
        <w:t>більш ефективно, якщо відповідні ресурси і діяльність спрямовуються на основі процесного підходу;</w:t>
      </w:r>
    </w:p>
    <w:p w14:paraId="44704C0C" w14:textId="77777777" w:rsidR="0097612F" w:rsidRPr="000977F7" w:rsidRDefault="0097612F" w:rsidP="00FD39A4">
      <w:pPr>
        <w:pStyle w:val="ac"/>
        <w:widowControl w:val="0"/>
        <w:numPr>
          <w:ilvl w:val="0"/>
          <w:numId w:val="93"/>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pacing w:val="-6"/>
          <w:sz w:val="20"/>
          <w:szCs w:val="20"/>
        </w:rPr>
        <w:t>системний підхід до менеджменту означає ідентифі</w:t>
      </w:r>
      <w:r w:rsidRPr="000977F7">
        <w:rPr>
          <w:rFonts w:asciiTheme="majorHAnsi" w:hAnsiTheme="majorHAnsi"/>
          <w:spacing w:val="-1"/>
          <w:sz w:val="20"/>
          <w:szCs w:val="20"/>
        </w:rPr>
        <w:t>кацію,</w:t>
      </w:r>
      <w:r w:rsidRPr="000977F7">
        <w:rPr>
          <w:rFonts w:asciiTheme="majorHAnsi" w:hAnsiTheme="majorHAnsi"/>
          <w:sz w:val="20"/>
          <w:szCs w:val="20"/>
        </w:rPr>
        <w:t xml:space="preserve"> </w:t>
      </w:r>
      <w:r w:rsidRPr="000977F7">
        <w:rPr>
          <w:rFonts w:asciiTheme="majorHAnsi" w:hAnsiTheme="majorHAnsi"/>
          <w:spacing w:val="-1"/>
          <w:sz w:val="20"/>
          <w:szCs w:val="20"/>
        </w:rPr>
        <w:t>розуміння</w:t>
      </w:r>
      <w:r w:rsidRPr="000977F7">
        <w:rPr>
          <w:rFonts w:asciiTheme="majorHAnsi" w:hAnsiTheme="majorHAnsi"/>
          <w:sz w:val="20"/>
          <w:szCs w:val="20"/>
        </w:rPr>
        <w:t xml:space="preserve"> і</w:t>
      </w:r>
      <w:r w:rsidRPr="000977F7">
        <w:rPr>
          <w:rFonts w:asciiTheme="majorHAnsi" w:hAnsiTheme="majorHAnsi"/>
          <w:spacing w:val="1"/>
          <w:sz w:val="20"/>
          <w:szCs w:val="20"/>
        </w:rPr>
        <w:t xml:space="preserve"> </w:t>
      </w:r>
      <w:r w:rsidRPr="000977F7">
        <w:rPr>
          <w:rFonts w:asciiTheme="majorHAnsi" w:hAnsiTheme="majorHAnsi"/>
          <w:sz w:val="20"/>
          <w:szCs w:val="20"/>
        </w:rPr>
        <w:t>керування</w:t>
      </w:r>
      <w:r w:rsidRPr="000977F7">
        <w:rPr>
          <w:rFonts w:asciiTheme="majorHAnsi" w:hAnsiTheme="majorHAnsi"/>
          <w:spacing w:val="1"/>
          <w:sz w:val="20"/>
          <w:szCs w:val="20"/>
        </w:rPr>
        <w:t xml:space="preserve"> </w:t>
      </w:r>
      <w:r w:rsidRPr="000977F7">
        <w:rPr>
          <w:rFonts w:asciiTheme="majorHAnsi" w:hAnsiTheme="majorHAnsi"/>
          <w:sz w:val="20"/>
          <w:szCs w:val="20"/>
        </w:rPr>
        <w:t>системою</w:t>
      </w:r>
      <w:r w:rsidRPr="000977F7">
        <w:rPr>
          <w:rFonts w:asciiTheme="majorHAnsi" w:hAnsiTheme="majorHAnsi"/>
          <w:spacing w:val="1"/>
          <w:sz w:val="20"/>
          <w:szCs w:val="20"/>
        </w:rPr>
        <w:t xml:space="preserve"> </w:t>
      </w:r>
      <w:r w:rsidRPr="000977F7">
        <w:rPr>
          <w:rFonts w:asciiTheme="majorHAnsi" w:hAnsiTheme="majorHAnsi"/>
          <w:sz w:val="20"/>
          <w:szCs w:val="20"/>
        </w:rPr>
        <w:t>взаємо</w:t>
      </w:r>
      <w:r w:rsidRPr="000977F7">
        <w:rPr>
          <w:rFonts w:asciiTheme="majorHAnsi" w:hAnsiTheme="majorHAnsi"/>
          <w:spacing w:val="-7"/>
          <w:sz w:val="20"/>
          <w:szCs w:val="20"/>
        </w:rPr>
        <w:t>пов’язаних</w:t>
      </w:r>
      <w:r w:rsidRPr="000977F7">
        <w:rPr>
          <w:rFonts w:asciiTheme="majorHAnsi" w:hAnsiTheme="majorHAnsi"/>
          <w:spacing w:val="-13"/>
          <w:sz w:val="20"/>
          <w:szCs w:val="20"/>
        </w:rPr>
        <w:t xml:space="preserve"> </w:t>
      </w:r>
      <w:r w:rsidRPr="000977F7">
        <w:rPr>
          <w:rFonts w:asciiTheme="majorHAnsi" w:hAnsiTheme="majorHAnsi"/>
          <w:spacing w:val="-7"/>
          <w:sz w:val="20"/>
          <w:szCs w:val="20"/>
        </w:rPr>
        <w:t>процесів</w:t>
      </w:r>
      <w:r w:rsidRPr="000977F7">
        <w:rPr>
          <w:rFonts w:asciiTheme="majorHAnsi" w:hAnsiTheme="majorHAnsi"/>
          <w:spacing w:val="-11"/>
          <w:sz w:val="20"/>
          <w:szCs w:val="20"/>
        </w:rPr>
        <w:t xml:space="preserve"> </w:t>
      </w:r>
      <w:r w:rsidRPr="000977F7">
        <w:rPr>
          <w:rFonts w:asciiTheme="majorHAnsi" w:hAnsiTheme="majorHAnsi"/>
          <w:spacing w:val="-7"/>
          <w:sz w:val="20"/>
          <w:szCs w:val="20"/>
        </w:rPr>
        <w:t>за</w:t>
      </w:r>
      <w:r w:rsidRPr="000977F7">
        <w:rPr>
          <w:rFonts w:asciiTheme="majorHAnsi" w:hAnsiTheme="majorHAnsi"/>
          <w:spacing w:val="-14"/>
          <w:sz w:val="20"/>
          <w:szCs w:val="20"/>
        </w:rPr>
        <w:t xml:space="preserve"> </w:t>
      </w:r>
      <w:r w:rsidRPr="000977F7">
        <w:rPr>
          <w:rFonts w:asciiTheme="majorHAnsi" w:hAnsiTheme="majorHAnsi"/>
          <w:spacing w:val="-7"/>
          <w:sz w:val="20"/>
          <w:szCs w:val="20"/>
        </w:rPr>
        <w:t>їх</w:t>
      </w:r>
      <w:r w:rsidRPr="000977F7">
        <w:rPr>
          <w:rFonts w:asciiTheme="majorHAnsi" w:hAnsiTheme="majorHAnsi"/>
          <w:spacing w:val="-12"/>
          <w:sz w:val="20"/>
          <w:szCs w:val="20"/>
        </w:rPr>
        <w:t xml:space="preserve"> </w:t>
      </w:r>
      <w:r w:rsidRPr="000977F7">
        <w:rPr>
          <w:rFonts w:asciiTheme="majorHAnsi" w:hAnsiTheme="majorHAnsi"/>
          <w:spacing w:val="-7"/>
          <w:sz w:val="20"/>
          <w:szCs w:val="20"/>
        </w:rPr>
        <w:t>вкладами</w:t>
      </w:r>
      <w:r w:rsidRPr="000977F7">
        <w:rPr>
          <w:rFonts w:asciiTheme="majorHAnsi" w:hAnsiTheme="majorHAnsi"/>
          <w:spacing w:val="-12"/>
          <w:sz w:val="20"/>
          <w:szCs w:val="20"/>
        </w:rPr>
        <w:t xml:space="preserve"> </w:t>
      </w:r>
      <w:r w:rsidRPr="000977F7">
        <w:rPr>
          <w:rFonts w:asciiTheme="majorHAnsi" w:hAnsiTheme="majorHAnsi"/>
          <w:spacing w:val="-7"/>
          <w:sz w:val="20"/>
          <w:szCs w:val="20"/>
        </w:rPr>
        <w:t>у</w:t>
      </w:r>
      <w:r w:rsidRPr="000977F7">
        <w:rPr>
          <w:rFonts w:asciiTheme="majorHAnsi" w:hAnsiTheme="majorHAnsi"/>
          <w:spacing w:val="-16"/>
          <w:sz w:val="20"/>
          <w:szCs w:val="20"/>
        </w:rPr>
        <w:t xml:space="preserve"> </w:t>
      </w:r>
      <w:r w:rsidRPr="000977F7">
        <w:rPr>
          <w:rFonts w:asciiTheme="majorHAnsi" w:hAnsiTheme="majorHAnsi"/>
          <w:spacing w:val="-7"/>
          <w:sz w:val="20"/>
          <w:szCs w:val="20"/>
        </w:rPr>
        <w:t>встановлену</w:t>
      </w:r>
      <w:r w:rsidRPr="000977F7">
        <w:rPr>
          <w:rFonts w:asciiTheme="majorHAnsi" w:hAnsiTheme="majorHAnsi"/>
          <w:spacing w:val="-15"/>
          <w:sz w:val="20"/>
          <w:szCs w:val="20"/>
        </w:rPr>
        <w:t xml:space="preserve"> </w:t>
      </w:r>
      <w:r w:rsidRPr="000977F7">
        <w:rPr>
          <w:rFonts w:asciiTheme="majorHAnsi" w:hAnsiTheme="majorHAnsi"/>
          <w:spacing w:val="-6"/>
          <w:sz w:val="20"/>
          <w:szCs w:val="20"/>
        </w:rPr>
        <w:t>мету</w:t>
      </w:r>
      <w:r w:rsidRPr="000977F7">
        <w:rPr>
          <w:rFonts w:asciiTheme="majorHAnsi" w:hAnsiTheme="majorHAnsi"/>
          <w:spacing w:val="-48"/>
          <w:sz w:val="20"/>
          <w:szCs w:val="20"/>
        </w:rPr>
        <w:t xml:space="preserve"> </w:t>
      </w:r>
      <w:r w:rsidRPr="000977F7">
        <w:rPr>
          <w:rFonts w:asciiTheme="majorHAnsi" w:hAnsiTheme="majorHAnsi"/>
          <w:spacing w:val="-8"/>
          <w:sz w:val="20"/>
          <w:szCs w:val="20"/>
        </w:rPr>
        <w:t>в</w:t>
      </w:r>
      <w:r w:rsidRPr="000977F7">
        <w:rPr>
          <w:rFonts w:asciiTheme="majorHAnsi" w:hAnsiTheme="majorHAnsi"/>
          <w:spacing w:val="-14"/>
          <w:sz w:val="20"/>
          <w:szCs w:val="20"/>
        </w:rPr>
        <w:t xml:space="preserve"> </w:t>
      </w:r>
      <w:r w:rsidRPr="000977F7">
        <w:rPr>
          <w:rFonts w:asciiTheme="majorHAnsi" w:hAnsiTheme="majorHAnsi"/>
          <w:spacing w:val="-8"/>
          <w:sz w:val="20"/>
          <w:szCs w:val="20"/>
        </w:rPr>
        <w:t>галузі</w:t>
      </w:r>
      <w:r w:rsidRPr="000977F7">
        <w:rPr>
          <w:rFonts w:asciiTheme="majorHAnsi" w:hAnsiTheme="majorHAnsi"/>
          <w:spacing w:val="-13"/>
          <w:sz w:val="20"/>
          <w:szCs w:val="20"/>
        </w:rPr>
        <w:t xml:space="preserve"> </w:t>
      </w:r>
      <w:r w:rsidRPr="000977F7">
        <w:rPr>
          <w:rFonts w:asciiTheme="majorHAnsi" w:hAnsiTheme="majorHAnsi"/>
          <w:spacing w:val="-8"/>
          <w:sz w:val="20"/>
          <w:szCs w:val="20"/>
        </w:rPr>
        <w:t>ефективності</w:t>
      </w:r>
      <w:r w:rsidRPr="000977F7">
        <w:rPr>
          <w:rFonts w:asciiTheme="majorHAnsi" w:hAnsiTheme="majorHAnsi"/>
          <w:spacing w:val="-14"/>
          <w:sz w:val="20"/>
          <w:szCs w:val="20"/>
        </w:rPr>
        <w:t xml:space="preserve"> </w:t>
      </w:r>
      <w:r w:rsidRPr="000977F7">
        <w:rPr>
          <w:rFonts w:asciiTheme="majorHAnsi" w:hAnsiTheme="majorHAnsi"/>
          <w:spacing w:val="-8"/>
          <w:sz w:val="20"/>
          <w:szCs w:val="20"/>
        </w:rPr>
        <w:t>та</w:t>
      </w:r>
      <w:r w:rsidRPr="000977F7">
        <w:rPr>
          <w:rFonts w:asciiTheme="majorHAnsi" w:hAnsiTheme="majorHAnsi"/>
          <w:spacing w:val="-14"/>
          <w:sz w:val="20"/>
          <w:szCs w:val="20"/>
        </w:rPr>
        <w:t xml:space="preserve"> </w:t>
      </w:r>
      <w:r w:rsidRPr="000977F7">
        <w:rPr>
          <w:rFonts w:asciiTheme="majorHAnsi" w:hAnsiTheme="majorHAnsi"/>
          <w:spacing w:val="-8"/>
          <w:sz w:val="20"/>
          <w:szCs w:val="20"/>
        </w:rPr>
        <w:t>результативності</w:t>
      </w:r>
      <w:r w:rsidRPr="000977F7">
        <w:rPr>
          <w:rFonts w:asciiTheme="majorHAnsi" w:hAnsiTheme="majorHAnsi"/>
          <w:spacing w:val="-16"/>
          <w:sz w:val="20"/>
          <w:szCs w:val="20"/>
        </w:rPr>
        <w:t xml:space="preserve"> </w:t>
      </w:r>
      <w:r w:rsidRPr="000977F7">
        <w:rPr>
          <w:rFonts w:asciiTheme="majorHAnsi" w:hAnsiTheme="majorHAnsi"/>
          <w:spacing w:val="-7"/>
          <w:sz w:val="20"/>
          <w:szCs w:val="20"/>
        </w:rPr>
        <w:t>організації;</w:t>
      </w:r>
    </w:p>
    <w:p w14:paraId="23223EAE" w14:textId="77777777" w:rsidR="0097612F" w:rsidRPr="000977F7" w:rsidRDefault="0097612F" w:rsidP="00FD39A4">
      <w:pPr>
        <w:pStyle w:val="ac"/>
        <w:widowControl w:val="0"/>
        <w:numPr>
          <w:ilvl w:val="0"/>
          <w:numId w:val="93"/>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постійне</w:t>
      </w:r>
      <w:r w:rsidRPr="000977F7">
        <w:rPr>
          <w:rFonts w:asciiTheme="majorHAnsi" w:hAnsiTheme="majorHAnsi"/>
          <w:spacing w:val="-10"/>
          <w:sz w:val="20"/>
          <w:szCs w:val="20"/>
        </w:rPr>
        <w:t xml:space="preserve"> </w:t>
      </w:r>
      <w:r w:rsidRPr="000977F7">
        <w:rPr>
          <w:rFonts w:asciiTheme="majorHAnsi" w:hAnsiTheme="majorHAnsi"/>
          <w:sz w:val="20"/>
          <w:szCs w:val="20"/>
        </w:rPr>
        <w:t>поліпшення</w:t>
      </w:r>
      <w:r w:rsidRPr="000977F7">
        <w:rPr>
          <w:rFonts w:asciiTheme="majorHAnsi" w:hAnsiTheme="majorHAnsi"/>
          <w:spacing w:val="-11"/>
          <w:sz w:val="20"/>
          <w:szCs w:val="20"/>
        </w:rPr>
        <w:t xml:space="preserve"> </w:t>
      </w:r>
      <w:r w:rsidRPr="000977F7">
        <w:rPr>
          <w:rFonts w:asciiTheme="majorHAnsi" w:hAnsiTheme="majorHAnsi"/>
          <w:sz w:val="20"/>
          <w:szCs w:val="20"/>
        </w:rPr>
        <w:t>–</w:t>
      </w:r>
      <w:r w:rsidRPr="000977F7">
        <w:rPr>
          <w:rFonts w:asciiTheme="majorHAnsi" w:hAnsiTheme="majorHAnsi"/>
          <w:spacing w:val="-8"/>
          <w:sz w:val="20"/>
          <w:szCs w:val="20"/>
        </w:rPr>
        <w:t xml:space="preserve"> </w:t>
      </w:r>
      <w:r w:rsidRPr="000977F7">
        <w:rPr>
          <w:rFonts w:asciiTheme="majorHAnsi" w:hAnsiTheme="majorHAnsi"/>
          <w:sz w:val="20"/>
          <w:szCs w:val="20"/>
        </w:rPr>
        <w:t>постійне</w:t>
      </w:r>
      <w:r w:rsidRPr="000977F7">
        <w:rPr>
          <w:rFonts w:asciiTheme="majorHAnsi" w:hAnsiTheme="majorHAnsi"/>
          <w:spacing w:val="-10"/>
          <w:sz w:val="20"/>
          <w:szCs w:val="20"/>
        </w:rPr>
        <w:t xml:space="preserve"> </w:t>
      </w:r>
      <w:r w:rsidRPr="000977F7">
        <w:rPr>
          <w:rFonts w:asciiTheme="majorHAnsi" w:hAnsiTheme="majorHAnsi"/>
          <w:sz w:val="20"/>
          <w:szCs w:val="20"/>
        </w:rPr>
        <w:t>поліпшення</w:t>
      </w:r>
      <w:r w:rsidRPr="000977F7">
        <w:rPr>
          <w:rFonts w:asciiTheme="majorHAnsi" w:hAnsiTheme="majorHAnsi"/>
          <w:spacing w:val="-11"/>
          <w:sz w:val="20"/>
          <w:szCs w:val="20"/>
        </w:rPr>
        <w:t xml:space="preserve"> </w:t>
      </w:r>
      <w:r w:rsidRPr="000977F7">
        <w:rPr>
          <w:rFonts w:asciiTheme="majorHAnsi" w:hAnsiTheme="majorHAnsi"/>
          <w:sz w:val="20"/>
          <w:szCs w:val="20"/>
        </w:rPr>
        <w:t>є</w:t>
      </w:r>
      <w:r w:rsidRPr="000977F7">
        <w:rPr>
          <w:rFonts w:asciiTheme="majorHAnsi" w:hAnsiTheme="majorHAnsi"/>
          <w:spacing w:val="-10"/>
          <w:sz w:val="20"/>
          <w:szCs w:val="20"/>
        </w:rPr>
        <w:t xml:space="preserve"> </w:t>
      </w:r>
      <w:r w:rsidRPr="000977F7">
        <w:rPr>
          <w:rFonts w:asciiTheme="majorHAnsi" w:hAnsiTheme="majorHAnsi"/>
          <w:sz w:val="20"/>
          <w:szCs w:val="20"/>
        </w:rPr>
        <w:t>постійною</w:t>
      </w:r>
      <w:r w:rsidRPr="000977F7">
        <w:rPr>
          <w:rFonts w:asciiTheme="majorHAnsi" w:hAnsiTheme="majorHAnsi"/>
          <w:spacing w:val="-7"/>
          <w:sz w:val="20"/>
          <w:szCs w:val="20"/>
        </w:rPr>
        <w:t xml:space="preserve"> </w:t>
      </w:r>
      <w:r w:rsidRPr="000977F7">
        <w:rPr>
          <w:rFonts w:asciiTheme="majorHAnsi" w:hAnsiTheme="majorHAnsi"/>
          <w:sz w:val="20"/>
          <w:szCs w:val="20"/>
        </w:rPr>
        <w:t>діючою</w:t>
      </w:r>
      <w:r w:rsidRPr="000977F7">
        <w:rPr>
          <w:rFonts w:asciiTheme="majorHAnsi" w:hAnsiTheme="majorHAnsi"/>
          <w:spacing w:val="-7"/>
          <w:sz w:val="20"/>
          <w:szCs w:val="20"/>
        </w:rPr>
        <w:t xml:space="preserve"> </w:t>
      </w:r>
      <w:r w:rsidRPr="000977F7">
        <w:rPr>
          <w:rFonts w:asciiTheme="majorHAnsi" w:hAnsiTheme="majorHAnsi"/>
          <w:sz w:val="20"/>
          <w:szCs w:val="20"/>
        </w:rPr>
        <w:t>метою</w:t>
      </w:r>
      <w:r w:rsidRPr="000977F7">
        <w:rPr>
          <w:rFonts w:asciiTheme="majorHAnsi" w:hAnsiTheme="majorHAnsi"/>
          <w:spacing w:val="-6"/>
          <w:sz w:val="20"/>
          <w:szCs w:val="20"/>
        </w:rPr>
        <w:t xml:space="preserve"> </w:t>
      </w:r>
      <w:r w:rsidRPr="000977F7">
        <w:rPr>
          <w:rFonts w:asciiTheme="majorHAnsi" w:hAnsiTheme="majorHAnsi"/>
          <w:sz w:val="20"/>
          <w:szCs w:val="20"/>
        </w:rPr>
        <w:t>організації;</w:t>
      </w:r>
    </w:p>
    <w:p w14:paraId="73CB5646" w14:textId="77777777" w:rsidR="0097612F" w:rsidRPr="000977F7" w:rsidRDefault="0097612F" w:rsidP="00FD39A4">
      <w:pPr>
        <w:pStyle w:val="ac"/>
        <w:widowControl w:val="0"/>
        <w:numPr>
          <w:ilvl w:val="0"/>
          <w:numId w:val="93"/>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прийняття рішень на підставі фактів – ефективні</w:t>
      </w:r>
      <w:r w:rsidRPr="000977F7">
        <w:rPr>
          <w:rFonts w:asciiTheme="majorHAnsi" w:hAnsiTheme="majorHAnsi"/>
          <w:spacing w:val="1"/>
          <w:sz w:val="20"/>
          <w:szCs w:val="20"/>
        </w:rPr>
        <w:t xml:space="preserve"> </w:t>
      </w:r>
      <w:r w:rsidRPr="000977F7">
        <w:rPr>
          <w:rFonts w:asciiTheme="majorHAnsi" w:hAnsiTheme="majorHAnsi"/>
          <w:sz w:val="20"/>
          <w:szCs w:val="20"/>
        </w:rPr>
        <w:t>рішення базуються на логічному та інтуїтивному</w:t>
      </w:r>
      <w:r w:rsidRPr="000977F7">
        <w:rPr>
          <w:rFonts w:asciiTheme="majorHAnsi" w:hAnsiTheme="majorHAnsi"/>
          <w:spacing w:val="1"/>
          <w:sz w:val="20"/>
          <w:szCs w:val="20"/>
        </w:rPr>
        <w:t xml:space="preserve"> </w:t>
      </w:r>
      <w:r w:rsidRPr="000977F7">
        <w:rPr>
          <w:rFonts w:asciiTheme="majorHAnsi" w:hAnsiTheme="majorHAnsi"/>
          <w:sz w:val="20"/>
          <w:szCs w:val="20"/>
        </w:rPr>
        <w:t>аналізах</w:t>
      </w:r>
      <w:r w:rsidRPr="000977F7">
        <w:rPr>
          <w:rFonts w:asciiTheme="majorHAnsi" w:hAnsiTheme="majorHAnsi"/>
          <w:spacing w:val="-5"/>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6"/>
          <w:sz w:val="20"/>
          <w:szCs w:val="20"/>
        </w:rPr>
        <w:t xml:space="preserve"> </w:t>
      </w:r>
      <w:r w:rsidRPr="000977F7">
        <w:rPr>
          <w:rFonts w:asciiTheme="majorHAnsi" w:hAnsiTheme="majorHAnsi"/>
          <w:sz w:val="20"/>
          <w:szCs w:val="20"/>
        </w:rPr>
        <w:t>і</w:t>
      </w:r>
      <w:r w:rsidRPr="000977F7">
        <w:rPr>
          <w:rFonts w:asciiTheme="majorHAnsi" w:hAnsiTheme="majorHAnsi"/>
          <w:spacing w:val="-4"/>
          <w:sz w:val="20"/>
          <w:szCs w:val="20"/>
        </w:rPr>
        <w:t xml:space="preserve"> </w:t>
      </w:r>
      <w:r w:rsidRPr="000977F7">
        <w:rPr>
          <w:rFonts w:asciiTheme="majorHAnsi" w:hAnsiTheme="majorHAnsi"/>
          <w:sz w:val="20"/>
          <w:szCs w:val="20"/>
        </w:rPr>
        <w:t>даних;</w:t>
      </w:r>
    </w:p>
    <w:p w14:paraId="5AB9BD0E" w14:textId="77777777" w:rsidR="0097612F" w:rsidRPr="000977F7" w:rsidRDefault="0097612F" w:rsidP="00FD39A4">
      <w:pPr>
        <w:pStyle w:val="ac"/>
        <w:widowControl w:val="0"/>
        <w:numPr>
          <w:ilvl w:val="0"/>
          <w:numId w:val="93"/>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взаємовигідні відносини з постачальниками – взаємовигідні</w:t>
      </w:r>
      <w:r w:rsidRPr="000977F7">
        <w:rPr>
          <w:rFonts w:asciiTheme="majorHAnsi" w:hAnsiTheme="majorHAnsi"/>
          <w:spacing w:val="-3"/>
          <w:sz w:val="20"/>
          <w:szCs w:val="20"/>
        </w:rPr>
        <w:t xml:space="preserve"> </w:t>
      </w:r>
      <w:r w:rsidRPr="000977F7">
        <w:rPr>
          <w:rFonts w:asciiTheme="majorHAnsi" w:hAnsiTheme="majorHAnsi"/>
          <w:sz w:val="20"/>
          <w:szCs w:val="20"/>
        </w:rPr>
        <w:t>відносини</w:t>
      </w:r>
      <w:r w:rsidRPr="000977F7">
        <w:rPr>
          <w:rFonts w:asciiTheme="majorHAnsi" w:hAnsiTheme="majorHAnsi"/>
          <w:spacing w:val="-6"/>
          <w:sz w:val="20"/>
          <w:szCs w:val="20"/>
        </w:rPr>
        <w:t xml:space="preserve"> </w:t>
      </w:r>
      <w:r w:rsidRPr="000977F7">
        <w:rPr>
          <w:rFonts w:asciiTheme="majorHAnsi" w:hAnsiTheme="majorHAnsi"/>
          <w:sz w:val="20"/>
          <w:szCs w:val="20"/>
        </w:rPr>
        <w:t>між</w:t>
      </w:r>
      <w:r w:rsidRPr="000977F7">
        <w:rPr>
          <w:rFonts w:asciiTheme="majorHAnsi" w:hAnsiTheme="majorHAnsi"/>
          <w:spacing w:val="-3"/>
          <w:sz w:val="20"/>
          <w:szCs w:val="20"/>
        </w:rPr>
        <w:t xml:space="preserve"> </w:t>
      </w:r>
      <w:r w:rsidRPr="000977F7">
        <w:rPr>
          <w:rFonts w:asciiTheme="majorHAnsi" w:hAnsiTheme="majorHAnsi"/>
          <w:sz w:val="20"/>
          <w:szCs w:val="20"/>
        </w:rPr>
        <w:t>організацією</w:t>
      </w:r>
      <w:r w:rsidRPr="000977F7">
        <w:rPr>
          <w:rFonts w:asciiTheme="majorHAnsi" w:hAnsiTheme="majorHAnsi"/>
          <w:spacing w:val="-3"/>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її</w:t>
      </w:r>
      <w:r w:rsidRPr="000977F7">
        <w:rPr>
          <w:rFonts w:asciiTheme="majorHAnsi" w:hAnsiTheme="majorHAnsi"/>
          <w:spacing w:val="-3"/>
          <w:sz w:val="20"/>
          <w:szCs w:val="20"/>
        </w:rPr>
        <w:t xml:space="preserve"> </w:t>
      </w:r>
      <w:r w:rsidRPr="000977F7">
        <w:rPr>
          <w:rFonts w:asciiTheme="majorHAnsi" w:hAnsiTheme="majorHAnsi"/>
          <w:sz w:val="20"/>
          <w:szCs w:val="20"/>
        </w:rPr>
        <w:t>постачальниками підсилюють можливості обох у створенні</w:t>
      </w:r>
      <w:r w:rsidRPr="000977F7">
        <w:rPr>
          <w:rFonts w:asciiTheme="majorHAnsi" w:hAnsiTheme="majorHAnsi"/>
          <w:spacing w:val="-4"/>
          <w:sz w:val="20"/>
          <w:szCs w:val="20"/>
        </w:rPr>
        <w:t xml:space="preserve"> </w:t>
      </w:r>
      <w:r w:rsidRPr="000977F7">
        <w:rPr>
          <w:rFonts w:asciiTheme="majorHAnsi" w:hAnsiTheme="majorHAnsi"/>
          <w:sz w:val="20"/>
          <w:szCs w:val="20"/>
        </w:rPr>
        <w:t>цінності</w:t>
      </w:r>
    </w:p>
    <w:p w14:paraId="2296A538"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ПРИНЦИПОВА СХЕМА –</w:t>
      </w:r>
    </w:p>
    <w:p w14:paraId="084D14B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Схема, яка визначає повний склад елементів і зв’язків</w:t>
      </w:r>
      <w:r w:rsidRPr="000977F7">
        <w:rPr>
          <w:rFonts w:asciiTheme="majorHAnsi" w:hAnsiTheme="majorHAnsi"/>
          <w:spacing w:val="1"/>
          <w:sz w:val="20"/>
          <w:szCs w:val="20"/>
        </w:rPr>
        <w:t xml:space="preserve"> </w:t>
      </w:r>
      <w:r w:rsidRPr="000977F7">
        <w:rPr>
          <w:rFonts w:asciiTheme="majorHAnsi" w:hAnsiTheme="majorHAnsi"/>
          <w:sz w:val="20"/>
          <w:szCs w:val="20"/>
        </w:rPr>
        <w:t>між ними і, як правило, дає детальне уявлення про</w:t>
      </w:r>
      <w:r w:rsidRPr="000977F7">
        <w:rPr>
          <w:rFonts w:asciiTheme="majorHAnsi" w:hAnsiTheme="majorHAnsi"/>
          <w:spacing w:val="1"/>
          <w:sz w:val="20"/>
          <w:szCs w:val="20"/>
        </w:rPr>
        <w:t xml:space="preserve"> </w:t>
      </w:r>
      <w:r w:rsidRPr="000977F7">
        <w:rPr>
          <w:rFonts w:asciiTheme="majorHAnsi" w:hAnsiTheme="majorHAnsi"/>
          <w:sz w:val="20"/>
          <w:szCs w:val="20"/>
        </w:rPr>
        <w:t>принципи</w:t>
      </w:r>
      <w:r w:rsidRPr="000977F7">
        <w:rPr>
          <w:rFonts w:asciiTheme="majorHAnsi" w:hAnsiTheme="majorHAnsi"/>
          <w:spacing w:val="-2"/>
          <w:sz w:val="20"/>
          <w:szCs w:val="20"/>
        </w:rPr>
        <w:t xml:space="preserve"> </w:t>
      </w:r>
      <w:r w:rsidRPr="000977F7">
        <w:rPr>
          <w:rFonts w:asciiTheme="majorHAnsi" w:hAnsiTheme="majorHAnsi"/>
          <w:sz w:val="20"/>
          <w:szCs w:val="20"/>
        </w:rPr>
        <w:t>роботи</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4"/>
          <w:sz w:val="20"/>
          <w:szCs w:val="20"/>
        </w:rPr>
        <w:t xml:space="preserve"> </w:t>
      </w:r>
      <w:r w:rsidRPr="000977F7">
        <w:rPr>
          <w:rFonts w:asciiTheme="majorHAnsi" w:hAnsiTheme="majorHAnsi"/>
          <w:sz w:val="20"/>
          <w:szCs w:val="20"/>
        </w:rPr>
        <w:t>чи</w:t>
      </w:r>
      <w:r w:rsidRPr="000977F7">
        <w:rPr>
          <w:rFonts w:asciiTheme="majorHAnsi" w:hAnsiTheme="majorHAnsi"/>
          <w:spacing w:val="3"/>
          <w:sz w:val="20"/>
          <w:szCs w:val="20"/>
        </w:rPr>
        <w:t xml:space="preserve"> </w:t>
      </w:r>
      <w:r w:rsidRPr="000977F7">
        <w:rPr>
          <w:rFonts w:asciiTheme="majorHAnsi" w:hAnsiTheme="majorHAnsi"/>
          <w:sz w:val="20"/>
          <w:szCs w:val="20"/>
        </w:rPr>
        <w:t>устави</w:t>
      </w:r>
    </w:p>
    <w:p w14:paraId="10213D6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663D485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ПРИПИНЕННЯ ЕКСПЛУАТАЦІЇ ВИРОБУ–</w:t>
      </w:r>
    </w:p>
    <w:p w14:paraId="580E47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заходів, які встановлюють неможливість</w:t>
      </w:r>
      <w:r w:rsidRPr="000977F7">
        <w:rPr>
          <w:rFonts w:asciiTheme="majorHAnsi" w:hAnsiTheme="majorHAnsi"/>
          <w:spacing w:val="1"/>
          <w:sz w:val="20"/>
          <w:szCs w:val="20"/>
        </w:rPr>
        <w:t xml:space="preserve"> </w:t>
      </w:r>
      <w:r w:rsidRPr="000977F7">
        <w:rPr>
          <w:rFonts w:asciiTheme="majorHAnsi" w:hAnsiTheme="majorHAnsi"/>
          <w:sz w:val="20"/>
          <w:szCs w:val="20"/>
        </w:rPr>
        <w:t>чи недоцільність подальшого використання за призначенням та ремонту виробу, результати яких оформляють</w:t>
      </w:r>
      <w:r w:rsidRPr="000977F7">
        <w:rPr>
          <w:rFonts w:asciiTheme="majorHAnsi" w:hAnsiTheme="majorHAnsi"/>
          <w:spacing w:val="-1"/>
          <w:sz w:val="20"/>
          <w:szCs w:val="20"/>
        </w:rPr>
        <w:t xml:space="preserve"> </w:t>
      </w:r>
      <w:r w:rsidRPr="000977F7">
        <w:rPr>
          <w:rFonts w:asciiTheme="majorHAnsi" w:hAnsiTheme="majorHAnsi"/>
          <w:sz w:val="20"/>
          <w:szCs w:val="20"/>
        </w:rPr>
        <w:t>документально в</w:t>
      </w:r>
      <w:r w:rsidRPr="000977F7">
        <w:rPr>
          <w:rFonts w:asciiTheme="majorHAnsi" w:hAnsiTheme="majorHAnsi"/>
          <w:spacing w:val="1"/>
          <w:sz w:val="20"/>
          <w:szCs w:val="20"/>
        </w:rPr>
        <w:t xml:space="preserve"> </w:t>
      </w:r>
      <w:r w:rsidRPr="000977F7">
        <w:rPr>
          <w:rFonts w:asciiTheme="majorHAnsi" w:hAnsiTheme="majorHAnsi"/>
          <w:sz w:val="20"/>
          <w:szCs w:val="20"/>
        </w:rPr>
        <w:t>установленому</w:t>
      </w:r>
      <w:r w:rsidRPr="000977F7">
        <w:rPr>
          <w:rFonts w:asciiTheme="majorHAnsi" w:hAnsiTheme="majorHAnsi"/>
          <w:spacing w:val="-5"/>
          <w:sz w:val="20"/>
          <w:szCs w:val="20"/>
        </w:rPr>
        <w:t xml:space="preserve"> </w:t>
      </w:r>
      <w:r w:rsidRPr="000977F7">
        <w:rPr>
          <w:rFonts w:asciiTheme="majorHAnsi" w:hAnsiTheme="majorHAnsi"/>
          <w:sz w:val="20"/>
          <w:szCs w:val="20"/>
        </w:rPr>
        <w:t>порядку</w:t>
      </w:r>
    </w:p>
    <w:p w14:paraId="36EAC3D0" w14:textId="77777777" w:rsidR="0097612F" w:rsidRPr="000977F7" w:rsidRDefault="0097612F" w:rsidP="000977F7">
      <w:pPr>
        <w:pStyle w:val="af6"/>
        <w:tabs>
          <w:tab w:val="left" w:pos="284"/>
        </w:tabs>
        <w:spacing w:after="0"/>
        <w:ind w:left="170"/>
        <w:mirrorIndents/>
        <w:jc w:val="both"/>
        <w:rPr>
          <w:rFonts w:asciiTheme="majorHAnsi" w:eastAsia="Calibri" w:hAnsiTheme="majorHAnsi"/>
          <w:bCs/>
          <w:i/>
          <w:iCs/>
          <w:sz w:val="20"/>
          <w:szCs w:val="20"/>
          <w:lang w:eastAsia="en-US"/>
        </w:rPr>
      </w:pPr>
      <w:r w:rsidRPr="000977F7">
        <w:rPr>
          <w:rFonts w:asciiTheme="majorHAnsi" w:eastAsia="Calibri" w:hAnsiTheme="majorHAnsi"/>
          <w:bCs/>
          <w:i/>
          <w:iCs/>
          <w:sz w:val="20"/>
          <w:szCs w:val="20"/>
          <w:lang w:eastAsia="en-US"/>
        </w:rPr>
        <w:t>ДСТУ 3278 – 95</w:t>
      </w:r>
    </w:p>
    <w:p w14:paraId="6766E58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ПРИПУСК –</w:t>
      </w:r>
    </w:p>
    <w:p w14:paraId="7180DD4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Шар матеріалу, який усувають з поверхні заготовки з</w:t>
      </w:r>
      <w:r w:rsidRPr="000977F7">
        <w:rPr>
          <w:rFonts w:asciiTheme="majorHAnsi" w:hAnsiTheme="majorHAnsi"/>
          <w:spacing w:val="1"/>
          <w:sz w:val="20"/>
          <w:szCs w:val="20"/>
        </w:rPr>
        <w:t xml:space="preserve"> </w:t>
      </w:r>
      <w:r w:rsidRPr="000977F7">
        <w:rPr>
          <w:rFonts w:asciiTheme="majorHAnsi" w:hAnsiTheme="majorHAnsi"/>
          <w:sz w:val="20"/>
          <w:szCs w:val="20"/>
        </w:rPr>
        <w:t>метою досягнення заданих властивостей оброблюваної</w:t>
      </w:r>
      <w:r w:rsidRPr="000977F7">
        <w:rPr>
          <w:rFonts w:asciiTheme="majorHAnsi" w:hAnsiTheme="majorHAnsi"/>
          <w:spacing w:val="-2"/>
          <w:sz w:val="20"/>
          <w:szCs w:val="20"/>
        </w:rPr>
        <w:t xml:space="preserve"> </w:t>
      </w:r>
      <w:r w:rsidRPr="000977F7">
        <w:rPr>
          <w:rFonts w:asciiTheme="majorHAnsi" w:hAnsiTheme="majorHAnsi"/>
          <w:sz w:val="20"/>
          <w:szCs w:val="20"/>
        </w:rPr>
        <w:t>поверхні</w:t>
      </w:r>
    </w:p>
    <w:p w14:paraId="77B71B6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6A33A6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властивостей</w:t>
      </w:r>
      <w:r w:rsidRPr="000977F7">
        <w:rPr>
          <w:rFonts w:asciiTheme="majorHAnsi" w:hAnsiTheme="majorHAnsi"/>
          <w:spacing w:val="1"/>
          <w:sz w:val="20"/>
          <w:szCs w:val="20"/>
        </w:rPr>
        <w:t xml:space="preserve"> </w:t>
      </w:r>
      <w:r w:rsidRPr="000977F7">
        <w:rPr>
          <w:rFonts w:asciiTheme="majorHAnsi" w:hAnsiTheme="majorHAnsi"/>
          <w:sz w:val="20"/>
          <w:szCs w:val="20"/>
        </w:rPr>
        <w:t>оброблюваного</w:t>
      </w:r>
      <w:r w:rsidRPr="000977F7">
        <w:rPr>
          <w:rFonts w:asciiTheme="majorHAnsi" w:hAnsiTheme="majorHAnsi"/>
          <w:spacing w:val="1"/>
          <w:sz w:val="20"/>
          <w:szCs w:val="20"/>
        </w:rPr>
        <w:t xml:space="preserve"> </w:t>
      </w:r>
      <w:r w:rsidRPr="000977F7">
        <w:rPr>
          <w:rFonts w:asciiTheme="majorHAnsi" w:hAnsiTheme="majorHAnsi"/>
          <w:sz w:val="20"/>
          <w:szCs w:val="20"/>
        </w:rPr>
        <w:t>предмета</w:t>
      </w:r>
      <w:r w:rsidRPr="000977F7">
        <w:rPr>
          <w:rFonts w:asciiTheme="majorHAnsi" w:hAnsiTheme="majorHAnsi"/>
          <w:spacing w:val="1"/>
          <w:sz w:val="20"/>
          <w:szCs w:val="20"/>
        </w:rPr>
        <w:t xml:space="preserve"> </w:t>
      </w:r>
      <w:r w:rsidRPr="000977F7">
        <w:rPr>
          <w:rFonts w:asciiTheme="majorHAnsi" w:hAnsiTheme="majorHAnsi"/>
          <w:sz w:val="20"/>
          <w:szCs w:val="20"/>
        </w:rPr>
        <w:t>праці</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47"/>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поверхні</w:t>
      </w:r>
      <w:r w:rsidRPr="000977F7">
        <w:rPr>
          <w:rFonts w:asciiTheme="majorHAnsi" w:hAnsiTheme="majorHAnsi"/>
          <w:spacing w:val="1"/>
          <w:sz w:val="20"/>
          <w:szCs w:val="20"/>
        </w:rPr>
        <w:t xml:space="preserve"> </w:t>
      </w:r>
      <w:r w:rsidRPr="000977F7">
        <w:rPr>
          <w:rFonts w:asciiTheme="majorHAnsi" w:hAnsiTheme="majorHAnsi"/>
          <w:sz w:val="20"/>
          <w:szCs w:val="20"/>
        </w:rPr>
        <w:t>відносять</w:t>
      </w:r>
      <w:r w:rsidRPr="000977F7">
        <w:rPr>
          <w:rFonts w:asciiTheme="majorHAnsi" w:hAnsiTheme="majorHAnsi"/>
          <w:spacing w:val="1"/>
          <w:sz w:val="20"/>
          <w:szCs w:val="20"/>
        </w:rPr>
        <w:t xml:space="preserve"> </w:t>
      </w:r>
      <w:r w:rsidRPr="000977F7">
        <w:rPr>
          <w:rFonts w:asciiTheme="majorHAnsi" w:hAnsiTheme="majorHAnsi"/>
          <w:sz w:val="20"/>
          <w:szCs w:val="20"/>
        </w:rPr>
        <w:t>розміри,</w:t>
      </w:r>
      <w:r w:rsidRPr="000977F7">
        <w:rPr>
          <w:rFonts w:asciiTheme="majorHAnsi" w:hAnsiTheme="majorHAnsi"/>
          <w:spacing w:val="1"/>
          <w:sz w:val="20"/>
          <w:szCs w:val="20"/>
        </w:rPr>
        <w:t xml:space="preserve"> </w:t>
      </w:r>
      <w:r w:rsidRPr="000977F7">
        <w:rPr>
          <w:rFonts w:asciiTheme="majorHAnsi" w:hAnsiTheme="majorHAnsi"/>
          <w:sz w:val="20"/>
          <w:szCs w:val="20"/>
        </w:rPr>
        <w:t>форми,</w:t>
      </w:r>
      <w:r w:rsidRPr="000977F7">
        <w:rPr>
          <w:rFonts w:asciiTheme="majorHAnsi" w:hAnsiTheme="majorHAnsi"/>
          <w:spacing w:val="1"/>
          <w:sz w:val="20"/>
          <w:szCs w:val="20"/>
        </w:rPr>
        <w:t xml:space="preserve"> </w:t>
      </w:r>
      <w:r w:rsidRPr="000977F7">
        <w:rPr>
          <w:rFonts w:asciiTheme="majorHAnsi" w:hAnsiTheme="majorHAnsi"/>
          <w:sz w:val="20"/>
          <w:szCs w:val="20"/>
        </w:rPr>
        <w:t>міцність,</w:t>
      </w:r>
      <w:r w:rsidRPr="000977F7">
        <w:rPr>
          <w:rFonts w:asciiTheme="majorHAnsi" w:hAnsiTheme="majorHAnsi"/>
          <w:spacing w:val="1"/>
          <w:sz w:val="20"/>
          <w:szCs w:val="20"/>
        </w:rPr>
        <w:t xml:space="preserve"> </w:t>
      </w:r>
      <w:r w:rsidRPr="000977F7">
        <w:rPr>
          <w:rFonts w:asciiTheme="majorHAnsi" w:hAnsiTheme="majorHAnsi"/>
          <w:sz w:val="20"/>
          <w:szCs w:val="20"/>
        </w:rPr>
        <w:t>шорсткість</w:t>
      </w:r>
      <w:r w:rsidRPr="000977F7">
        <w:rPr>
          <w:rFonts w:asciiTheme="majorHAnsi" w:hAnsiTheme="majorHAnsi"/>
          <w:spacing w:val="-2"/>
          <w:sz w:val="20"/>
          <w:szCs w:val="20"/>
        </w:rPr>
        <w:t xml:space="preserve"> </w:t>
      </w:r>
      <w:r w:rsidRPr="000977F7">
        <w:rPr>
          <w:rFonts w:asciiTheme="majorHAnsi" w:hAnsiTheme="majorHAnsi"/>
          <w:sz w:val="20"/>
          <w:szCs w:val="20"/>
        </w:rPr>
        <w:t>тощо</w:t>
      </w:r>
    </w:p>
    <w:p w14:paraId="7F0532B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0578D0B6"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ПРИРІБ (ДЛЯ НЕРЕМОНТОНЕПРИДАТНОГО ОБ’ЄКТА) –</w:t>
      </w:r>
    </w:p>
    <w:p w14:paraId="06EB8B6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BURN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IN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(FOR</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NONREPAIRABLE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HARDWARE)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154F5ACA" w14:textId="77777777" w:rsidR="0097612F" w:rsidRPr="000977F7" w:rsidRDefault="0097612F" w:rsidP="000977F7">
      <w:pPr>
        <w:pStyle w:val="af6"/>
        <w:tabs>
          <w:tab w:val="left" w:pos="284"/>
        </w:tabs>
        <w:spacing w:after="0"/>
        <w:ind w:left="170"/>
        <w:mirrorIndents/>
        <w:jc w:val="both"/>
        <w:rPr>
          <w:rFonts w:asciiTheme="majorHAnsi" w:hAnsiTheme="majorHAnsi"/>
          <w:spacing w:val="-6"/>
          <w:sz w:val="20"/>
          <w:szCs w:val="20"/>
        </w:rPr>
      </w:pPr>
      <w:r w:rsidRPr="000977F7">
        <w:rPr>
          <w:rFonts w:asciiTheme="majorHAnsi" w:hAnsiTheme="majorHAnsi"/>
          <w:spacing w:val="-4"/>
          <w:sz w:val="20"/>
          <w:szCs w:val="20"/>
        </w:rPr>
        <w:t>Процес</w:t>
      </w:r>
      <w:r w:rsidRPr="000977F7">
        <w:rPr>
          <w:rFonts w:asciiTheme="majorHAnsi" w:hAnsiTheme="majorHAnsi"/>
          <w:spacing w:val="32"/>
          <w:sz w:val="20"/>
          <w:szCs w:val="20"/>
        </w:rPr>
        <w:t xml:space="preserve"> </w:t>
      </w:r>
      <w:r w:rsidRPr="000977F7">
        <w:rPr>
          <w:rFonts w:asciiTheme="majorHAnsi" w:hAnsiTheme="majorHAnsi"/>
          <w:spacing w:val="-4"/>
          <w:sz w:val="20"/>
          <w:szCs w:val="20"/>
        </w:rPr>
        <w:t>підвищення</w:t>
      </w:r>
      <w:r w:rsidRPr="000977F7">
        <w:rPr>
          <w:rFonts w:asciiTheme="majorHAnsi" w:hAnsiTheme="majorHAnsi"/>
          <w:spacing w:val="33"/>
          <w:sz w:val="20"/>
          <w:szCs w:val="20"/>
        </w:rPr>
        <w:t xml:space="preserve"> </w:t>
      </w:r>
      <w:r w:rsidRPr="000977F7">
        <w:rPr>
          <w:rFonts w:asciiTheme="majorHAnsi" w:hAnsiTheme="majorHAnsi"/>
          <w:spacing w:val="-4"/>
          <w:sz w:val="20"/>
          <w:szCs w:val="20"/>
        </w:rPr>
        <w:t>показників</w:t>
      </w:r>
      <w:r w:rsidRPr="000977F7">
        <w:rPr>
          <w:rFonts w:asciiTheme="majorHAnsi" w:hAnsiTheme="majorHAnsi"/>
          <w:spacing w:val="32"/>
          <w:sz w:val="20"/>
          <w:szCs w:val="20"/>
        </w:rPr>
        <w:t xml:space="preserve"> </w:t>
      </w:r>
      <w:r w:rsidRPr="000977F7">
        <w:rPr>
          <w:rFonts w:asciiTheme="majorHAnsi" w:hAnsiTheme="majorHAnsi"/>
          <w:spacing w:val="-4"/>
          <w:sz w:val="20"/>
          <w:szCs w:val="20"/>
        </w:rPr>
        <w:t>безвідмовності</w:t>
      </w:r>
      <w:r w:rsidRPr="000977F7">
        <w:rPr>
          <w:rFonts w:asciiTheme="majorHAnsi" w:hAnsiTheme="majorHAnsi"/>
          <w:spacing w:val="32"/>
          <w:sz w:val="20"/>
          <w:szCs w:val="20"/>
        </w:rPr>
        <w:t xml:space="preserve"> </w:t>
      </w:r>
      <w:r w:rsidRPr="000977F7">
        <w:rPr>
          <w:rFonts w:asciiTheme="majorHAnsi" w:hAnsiTheme="majorHAnsi"/>
          <w:spacing w:val="-3"/>
          <w:sz w:val="20"/>
          <w:szCs w:val="20"/>
        </w:rPr>
        <w:t>об’єкта,</w:t>
      </w:r>
      <w:r w:rsidRPr="000977F7">
        <w:rPr>
          <w:rFonts w:asciiTheme="majorHAnsi" w:hAnsiTheme="majorHAnsi"/>
          <w:spacing w:val="-47"/>
          <w:sz w:val="20"/>
          <w:szCs w:val="20"/>
        </w:rPr>
        <w:t xml:space="preserve">      </w:t>
      </w:r>
      <w:r w:rsidRPr="000977F7">
        <w:rPr>
          <w:rFonts w:asciiTheme="majorHAnsi" w:hAnsiTheme="majorHAnsi"/>
          <w:spacing w:val="-8"/>
          <w:sz w:val="20"/>
          <w:szCs w:val="20"/>
        </w:rPr>
        <w:t xml:space="preserve">який використовує </w:t>
      </w:r>
      <w:r w:rsidRPr="000977F7">
        <w:rPr>
          <w:rFonts w:asciiTheme="majorHAnsi" w:hAnsiTheme="majorHAnsi"/>
          <w:spacing w:val="-7"/>
          <w:sz w:val="20"/>
          <w:szCs w:val="20"/>
        </w:rPr>
        <w:t>його функціонування у заданих умовах</w:t>
      </w:r>
      <w:r w:rsidRPr="000977F7">
        <w:rPr>
          <w:rFonts w:asciiTheme="majorHAnsi" w:hAnsiTheme="majorHAnsi"/>
          <w:spacing w:val="-6"/>
          <w:sz w:val="20"/>
          <w:szCs w:val="20"/>
        </w:rPr>
        <w:t xml:space="preserve"> </w:t>
      </w:r>
    </w:p>
    <w:p w14:paraId="205ABA99" w14:textId="77777777" w:rsidR="0097612F" w:rsidRPr="000977F7" w:rsidRDefault="0097612F" w:rsidP="000977F7">
      <w:pPr>
        <w:pStyle w:val="af6"/>
        <w:tabs>
          <w:tab w:val="left" w:pos="284"/>
        </w:tabs>
        <w:spacing w:after="0"/>
        <w:ind w:left="170"/>
        <w:mirrorIndents/>
        <w:jc w:val="both"/>
        <w:rPr>
          <w:rFonts w:asciiTheme="majorHAnsi" w:eastAsia="Calibri" w:hAnsiTheme="majorHAnsi"/>
          <w:i/>
          <w:sz w:val="20"/>
          <w:szCs w:val="20"/>
          <w:lang w:eastAsia="en-US"/>
        </w:rPr>
      </w:pPr>
      <w:r w:rsidRPr="000977F7">
        <w:rPr>
          <w:rFonts w:asciiTheme="majorHAnsi" w:eastAsia="Calibri" w:hAnsiTheme="majorHAnsi"/>
          <w:i/>
          <w:sz w:val="20"/>
          <w:szCs w:val="20"/>
          <w:lang w:eastAsia="en-US"/>
        </w:rPr>
        <w:t>ДСТУ 2860 - 94</w:t>
      </w:r>
    </w:p>
    <w:p w14:paraId="53B5306F"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ПРИРІБ (ДЛЯ РЕМОНТОПРИДАТНОГО ОБ’ЄКТА) –</w:t>
      </w:r>
    </w:p>
    <w:p w14:paraId="690FFCA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BURN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IN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(FOR</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REPAIRABLE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HARDWARE)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255C3C7B" w14:textId="77777777" w:rsidR="0097612F" w:rsidRPr="004D2D14" w:rsidRDefault="0097612F" w:rsidP="000977F7">
      <w:pPr>
        <w:pStyle w:val="af6"/>
        <w:tabs>
          <w:tab w:val="left" w:pos="284"/>
        </w:tabs>
        <w:spacing w:after="0"/>
        <w:ind w:left="170"/>
        <w:mirrorIndents/>
        <w:jc w:val="both"/>
        <w:rPr>
          <w:rFonts w:asciiTheme="majorHAnsi" w:hAnsiTheme="majorHAnsi"/>
          <w:spacing w:val="-8"/>
          <w:sz w:val="20"/>
          <w:szCs w:val="20"/>
          <w:lang w:val="en-US"/>
        </w:rPr>
      </w:pPr>
      <w:r w:rsidRPr="000977F7">
        <w:rPr>
          <w:rFonts w:asciiTheme="majorHAnsi" w:hAnsiTheme="majorHAnsi"/>
          <w:spacing w:val="-10"/>
          <w:sz w:val="20"/>
          <w:szCs w:val="20"/>
        </w:rPr>
        <w:t>Процес</w:t>
      </w:r>
      <w:r w:rsidRPr="004D2D14">
        <w:rPr>
          <w:rFonts w:asciiTheme="majorHAnsi" w:hAnsiTheme="majorHAnsi"/>
          <w:spacing w:val="-7"/>
          <w:sz w:val="20"/>
          <w:szCs w:val="20"/>
          <w:lang w:val="en-US"/>
        </w:rPr>
        <w:t xml:space="preserve"> </w:t>
      </w:r>
      <w:r w:rsidRPr="000977F7">
        <w:rPr>
          <w:rFonts w:asciiTheme="majorHAnsi" w:hAnsiTheme="majorHAnsi"/>
          <w:spacing w:val="-10"/>
          <w:sz w:val="20"/>
          <w:szCs w:val="20"/>
        </w:rPr>
        <w:t>підвищення</w:t>
      </w:r>
      <w:r w:rsidRPr="004D2D14">
        <w:rPr>
          <w:rFonts w:asciiTheme="majorHAnsi" w:hAnsiTheme="majorHAnsi"/>
          <w:spacing w:val="-8"/>
          <w:sz w:val="20"/>
          <w:szCs w:val="20"/>
          <w:lang w:val="en-US"/>
        </w:rPr>
        <w:t xml:space="preserve"> </w:t>
      </w:r>
      <w:r w:rsidRPr="000977F7">
        <w:rPr>
          <w:rFonts w:asciiTheme="majorHAnsi" w:hAnsiTheme="majorHAnsi"/>
          <w:spacing w:val="-10"/>
          <w:sz w:val="20"/>
          <w:szCs w:val="20"/>
        </w:rPr>
        <w:t>показників</w:t>
      </w:r>
      <w:r w:rsidRPr="004D2D14">
        <w:rPr>
          <w:rFonts w:asciiTheme="majorHAnsi" w:hAnsiTheme="majorHAnsi"/>
          <w:spacing w:val="-5"/>
          <w:sz w:val="20"/>
          <w:szCs w:val="20"/>
          <w:lang w:val="en-US"/>
        </w:rPr>
        <w:t xml:space="preserve"> </w:t>
      </w:r>
      <w:r w:rsidRPr="000977F7">
        <w:rPr>
          <w:rFonts w:asciiTheme="majorHAnsi" w:hAnsiTheme="majorHAnsi"/>
          <w:spacing w:val="-9"/>
          <w:sz w:val="20"/>
          <w:szCs w:val="20"/>
        </w:rPr>
        <w:t>безвідмовності</w:t>
      </w:r>
      <w:r w:rsidRPr="004D2D14">
        <w:rPr>
          <w:rFonts w:asciiTheme="majorHAnsi" w:hAnsiTheme="majorHAnsi"/>
          <w:spacing w:val="-8"/>
          <w:sz w:val="20"/>
          <w:szCs w:val="20"/>
          <w:lang w:val="en-US"/>
        </w:rPr>
        <w:t xml:space="preserve"> </w:t>
      </w:r>
      <w:r w:rsidRPr="000977F7">
        <w:rPr>
          <w:rFonts w:asciiTheme="majorHAnsi" w:hAnsiTheme="majorHAnsi"/>
          <w:spacing w:val="-9"/>
          <w:sz w:val="20"/>
          <w:szCs w:val="20"/>
        </w:rPr>
        <w:t>об</w:t>
      </w:r>
      <w:r w:rsidRPr="004D2D14">
        <w:rPr>
          <w:rFonts w:asciiTheme="majorHAnsi" w:hAnsiTheme="majorHAnsi"/>
          <w:spacing w:val="-9"/>
          <w:sz w:val="20"/>
          <w:szCs w:val="20"/>
          <w:lang w:val="en-US"/>
        </w:rPr>
        <w:t>’</w:t>
      </w:r>
      <w:r w:rsidRPr="000977F7">
        <w:rPr>
          <w:rFonts w:asciiTheme="majorHAnsi" w:hAnsiTheme="majorHAnsi"/>
          <w:spacing w:val="-9"/>
          <w:sz w:val="20"/>
          <w:szCs w:val="20"/>
        </w:rPr>
        <w:t>єкта</w:t>
      </w:r>
      <w:r w:rsidRPr="004D2D14">
        <w:rPr>
          <w:rFonts w:asciiTheme="majorHAnsi" w:hAnsiTheme="majorHAnsi"/>
          <w:spacing w:val="-9"/>
          <w:sz w:val="20"/>
          <w:szCs w:val="20"/>
          <w:lang w:val="en-US"/>
        </w:rPr>
        <w:t>,</w:t>
      </w:r>
      <w:r w:rsidRPr="004D2D14">
        <w:rPr>
          <w:rFonts w:asciiTheme="majorHAnsi" w:hAnsiTheme="majorHAnsi"/>
          <w:spacing w:val="-7"/>
          <w:sz w:val="20"/>
          <w:szCs w:val="20"/>
          <w:lang w:val="en-US"/>
        </w:rPr>
        <w:t xml:space="preserve"> </w:t>
      </w:r>
      <w:r w:rsidRPr="000977F7">
        <w:rPr>
          <w:rFonts w:asciiTheme="majorHAnsi" w:hAnsiTheme="majorHAnsi"/>
          <w:spacing w:val="-9"/>
          <w:sz w:val="20"/>
          <w:szCs w:val="20"/>
        </w:rPr>
        <w:t>який</w:t>
      </w:r>
      <w:r w:rsidRPr="004D2D14">
        <w:rPr>
          <w:rFonts w:asciiTheme="majorHAnsi" w:hAnsiTheme="majorHAnsi"/>
          <w:spacing w:val="-47"/>
          <w:sz w:val="20"/>
          <w:szCs w:val="20"/>
          <w:lang w:val="en-US"/>
        </w:rPr>
        <w:t xml:space="preserve"> </w:t>
      </w:r>
      <w:r w:rsidRPr="000977F7">
        <w:rPr>
          <w:rFonts w:asciiTheme="majorHAnsi" w:hAnsiTheme="majorHAnsi"/>
          <w:spacing w:val="-8"/>
          <w:sz w:val="20"/>
          <w:szCs w:val="20"/>
        </w:rPr>
        <w:t>використовує</w:t>
      </w:r>
      <w:r w:rsidRPr="004D2D14">
        <w:rPr>
          <w:rFonts w:asciiTheme="majorHAnsi" w:hAnsiTheme="majorHAnsi"/>
          <w:spacing w:val="-2"/>
          <w:sz w:val="20"/>
          <w:szCs w:val="20"/>
          <w:lang w:val="en-US"/>
        </w:rPr>
        <w:t xml:space="preserve"> </w:t>
      </w:r>
      <w:r w:rsidRPr="000977F7">
        <w:rPr>
          <w:rFonts w:asciiTheme="majorHAnsi" w:hAnsiTheme="majorHAnsi"/>
          <w:spacing w:val="-8"/>
          <w:sz w:val="20"/>
          <w:szCs w:val="20"/>
        </w:rPr>
        <w:t>функціонування</w:t>
      </w:r>
      <w:r w:rsidRPr="004D2D14">
        <w:rPr>
          <w:rFonts w:asciiTheme="majorHAnsi" w:hAnsiTheme="majorHAnsi"/>
          <w:sz w:val="20"/>
          <w:szCs w:val="20"/>
          <w:lang w:val="en-US"/>
        </w:rPr>
        <w:t xml:space="preserve"> </w:t>
      </w:r>
      <w:r w:rsidRPr="000977F7">
        <w:rPr>
          <w:rFonts w:asciiTheme="majorHAnsi" w:hAnsiTheme="majorHAnsi"/>
          <w:spacing w:val="-8"/>
          <w:sz w:val="20"/>
          <w:szCs w:val="20"/>
        </w:rPr>
        <w:t>кожного</w:t>
      </w:r>
      <w:r w:rsidRPr="004D2D14">
        <w:rPr>
          <w:rFonts w:asciiTheme="majorHAnsi" w:hAnsiTheme="majorHAnsi"/>
          <w:spacing w:val="-1"/>
          <w:sz w:val="20"/>
          <w:szCs w:val="20"/>
          <w:lang w:val="en-US"/>
        </w:rPr>
        <w:t xml:space="preserve"> </w:t>
      </w:r>
      <w:r w:rsidRPr="000977F7">
        <w:rPr>
          <w:rFonts w:asciiTheme="majorHAnsi" w:hAnsiTheme="majorHAnsi"/>
          <w:spacing w:val="-8"/>
          <w:sz w:val="20"/>
          <w:szCs w:val="20"/>
        </w:rPr>
        <w:t>виробу</w:t>
      </w:r>
      <w:r w:rsidRPr="004D2D14">
        <w:rPr>
          <w:rFonts w:asciiTheme="majorHAnsi" w:hAnsiTheme="majorHAnsi"/>
          <w:spacing w:val="-5"/>
          <w:sz w:val="20"/>
          <w:szCs w:val="20"/>
          <w:lang w:val="en-US"/>
        </w:rPr>
        <w:t xml:space="preserve"> </w:t>
      </w:r>
      <w:r w:rsidRPr="000977F7">
        <w:rPr>
          <w:rFonts w:asciiTheme="majorHAnsi" w:hAnsiTheme="majorHAnsi"/>
          <w:spacing w:val="-8"/>
          <w:sz w:val="20"/>
          <w:szCs w:val="20"/>
        </w:rPr>
        <w:t>в</w:t>
      </w:r>
      <w:r w:rsidRPr="004D2D14">
        <w:rPr>
          <w:rFonts w:asciiTheme="majorHAnsi" w:hAnsiTheme="majorHAnsi"/>
          <w:spacing w:val="-1"/>
          <w:sz w:val="20"/>
          <w:szCs w:val="20"/>
          <w:lang w:val="en-US"/>
        </w:rPr>
        <w:t xml:space="preserve"> </w:t>
      </w:r>
      <w:r w:rsidRPr="000977F7">
        <w:rPr>
          <w:rFonts w:asciiTheme="majorHAnsi" w:hAnsiTheme="majorHAnsi"/>
          <w:spacing w:val="-8"/>
          <w:sz w:val="20"/>
          <w:szCs w:val="20"/>
        </w:rPr>
        <w:t>належних</w:t>
      </w:r>
      <w:r w:rsidRPr="004D2D14">
        <w:rPr>
          <w:rFonts w:asciiTheme="majorHAnsi" w:hAnsiTheme="majorHAnsi"/>
          <w:spacing w:val="-47"/>
          <w:sz w:val="20"/>
          <w:szCs w:val="20"/>
          <w:lang w:val="en-US"/>
        </w:rPr>
        <w:t xml:space="preserve"> </w:t>
      </w:r>
      <w:r w:rsidRPr="000977F7">
        <w:rPr>
          <w:rFonts w:asciiTheme="majorHAnsi" w:hAnsiTheme="majorHAnsi"/>
          <w:spacing w:val="-10"/>
          <w:sz w:val="20"/>
          <w:szCs w:val="20"/>
        </w:rPr>
        <w:t>навколишніх</w:t>
      </w:r>
      <w:r w:rsidRPr="004D2D14">
        <w:rPr>
          <w:rFonts w:asciiTheme="majorHAnsi" w:hAnsiTheme="majorHAnsi"/>
          <w:spacing w:val="-16"/>
          <w:sz w:val="20"/>
          <w:szCs w:val="20"/>
          <w:lang w:val="en-US"/>
        </w:rPr>
        <w:t xml:space="preserve"> </w:t>
      </w:r>
      <w:r w:rsidRPr="000977F7">
        <w:rPr>
          <w:rFonts w:asciiTheme="majorHAnsi" w:hAnsiTheme="majorHAnsi"/>
          <w:spacing w:val="-9"/>
          <w:sz w:val="20"/>
          <w:szCs w:val="20"/>
        </w:rPr>
        <w:t>умовах</w:t>
      </w:r>
      <w:r w:rsidRPr="004D2D14">
        <w:rPr>
          <w:rFonts w:asciiTheme="majorHAnsi" w:hAnsiTheme="majorHAnsi"/>
          <w:spacing w:val="-15"/>
          <w:sz w:val="20"/>
          <w:szCs w:val="20"/>
          <w:lang w:val="en-US"/>
        </w:rPr>
        <w:t xml:space="preserve"> </w:t>
      </w:r>
      <w:r w:rsidRPr="000977F7">
        <w:rPr>
          <w:rFonts w:asciiTheme="majorHAnsi" w:hAnsiTheme="majorHAnsi"/>
          <w:spacing w:val="-9"/>
          <w:sz w:val="20"/>
          <w:szCs w:val="20"/>
        </w:rPr>
        <w:t>з</w:t>
      </w:r>
      <w:r w:rsidRPr="004D2D14">
        <w:rPr>
          <w:rFonts w:asciiTheme="majorHAnsi" w:hAnsiTheme="majorHAnsi"/>
          <w:spacing w:val="-15"/>
          <w:sz w:val="20"/>
          <w:szCs w:val="20"/>
          <w:lang w:val="en-US"/>
        </w:rPr>
        <w:t xml:space="preserve"> </w:t>
      </w:r>
      <w:r w:rsidRPr="000977F7">
        <w:rPr>
          <w:rFonts w:asciiTheme="majorHAnsi" w:hAnsiTheme="majorHAnsi"/>
          <w:spacing w:val="-9"/>
          <w:sz w:val="20"/>
          <w:szCs w:val="20"/>
        </w:rPr>
        <w:t>його</w:t>
      </w:r>
      <w:r w:rsidRPr="004D2D14">
        <w:rPr>
          <w:rFonts w:asciiTheme="majorHAnsi" w:hAnsiTheme="majorHAnsi"/>
          <w:spacing w:val="-12"/>
          <w:sz w:val="20"/>
          <w:szCs w:val="20"/>
          <w:lang w:val="en-US"/>
        </w:rPr>
        <w:t xml:space="preserve"> </w:t>
      </w:r>
      <w:r w:rsidRPr="000977F7">
        <w:rPr>
          <w:rFonts w:asciiTheme="majorHAnsi" w:hAnsiTheme="majorHAnsi"/>
          <w:spacing w:val="-9"/>
          <w:sz w:val="20"/>
          <w:szCs w:val="20"/>
        </w:rPr>
        <w:t>успішним</w:t>
      </w:r>
      <w:r w:rsidRPr="004D2D14">
        <w:rPr>
          <w:rFonts w:asciiTheme="majorHAnsi" w:hAnsiTheme="majorHAnsi"/>
          <w:spacing w:val="-16"/>
          <w:sz w:val="20"/>
          <w:szCs w:val="20"/>
          <w:lang w:val="en-US"/>
        </w:rPr>
        <w:t xml:space="preserve"> </w:t>
      </w:r>
      <w:r w:rsidRPr="000977F7">
        <w:rPr>
          <w:rFonts w:asciiTheme="majorHAnsi" w:hAnsiTheme="majorHAnsi"/>
          <w:spacing w:val="-9"/>
          <w:sz w:val="20"/>
          <w:szCs w:val="20"/>
        </w:rPr>
        <w:t>неплановим</w:t>
      </w:r>
      <w:r w:rsidRPr="004D2D14">
        <w:rPr>
          <w:rFonts w:asciiTheme="majorHAnsi" w:hAnsiTheme="majorHAnsi"/>
          <w:spacing w:val="-15"/>
          <w:sz w:val="20"/>
          <w:szCs w:val="20"/>
          <w:lang w:val="en-US"/>
        </w:rPr>
        <w:t xml:space="preserve"> </w:t>
      </w:r>
      <w:r w:rsidRPr="000977F7">
        <w:rPr>
          <w:rFonts w:asciiTheme="majorHAnsi" w:hAnsiTheme="majorHAnsi"/>
          <w:spacing w:val="-9"/>
          <w:sz w:val="20"/>
          <w:szCs w:val="20"/>
        </w:rPr>
        <w:t>ремонтом</w:t>
      </w:r>
      <w:r w:rsidRPr="004D2D14">
        <w:rPr>
          <w:rFonts w:asciiTheme="majorHAnsi" w:hAnsiTheme="majorHAnsi"/>
          <w:spacing w:val="-47"/>
          <w:sz w:val="20"/>
          <w:szCs w:val="20"/>
          <w:lang w:val="en-US"/>
        </w:rPr>
        <w:t xml:space="preserve"> </w:t>
      </w:r>
      <w:r w:rsidRPr="000977F7">
        <w:rPr>
          <w:rFonts w:asciiTheme="majorHAnsi" w:hAnsiTheme="majorHAnsi"/>
          <w:spacing w:val="-9"/>
          <w:sz w:val="20"/>
          <w:szCs w:val="20"/>
        </w:rPr>
        <w:t>після</w:t>
      </w:r>
      <w:r w:rsidRPr="004D2D14">
        <w:rPr>
          <w:rFonts w:asciiTheme="majorHAnsi" w:hAnsiTheme="majorHAnsi"/>
          <w:spacing w:val="-7"/>
          <w:sz w:val="20"/>
          <w:szCs w:val="20"/>
          <w:lang w:val="en-US"/>
        </w:rPr>
        <w:t xml:space="preserve"> </w:t>
      </w:r>
      <w:r w:rsidRPr="000977F7">
        <w:rPr>
          <w:rFonts w:asciiTheme="majorHAnsi" w:hAnsiTheme="majorHAnsi"/>
          <w:spacing w:val="-9"/>
          <w:sz w:val="20"/>
          <w:szCs w:val="20"/>
        </w:rPr>
        <w:t>кожної</w:t>
      </w:r>
      <w:r w:rsidRPr="004D2D14">
        <w:rPr>
          <w:rFonts w:asciiTheme="majorHAnsi" w:hAnsiTheme="majorHAnsi"/>
          <w:spacing w:val="-6"/>
          <w:sz w:val="20"/>
          <w:szCs w:val="20"/>
          <w:lang w:val="en-US"/>
        </w:rPr>
        <w:t xml:space="preserve"> </w:t>
      </w:r>
      <w:r w:rsidRPr="000977F7">
        <w:rPr>
          <w:rFonts w:asciiTheme="majorHAnsi" w:hAnsiTheme="majorHAnsi"/>
          <w:spacing w:val="-9"/>
          <w:sz w:val="20"/>
          <w:szCs w:val="20"/>
        </w:rPr>
        <w:t>відмови</w:t>
      </w:r>
      <w:r w:rsidRPr="004D2D14">
        <w:rPr>
          <w:rFonts w:asciiTheme="majorHAnsi" w:hAnsiTheme="majorHAnsi"/>
          <w:spacing w:val="-9"/>
          <w:sz w:val="20"/>
          <w:szCs w:val="20"/>
          <w:lang w:val="en-US"/>
        </w:rPr>
        <w:t>,</w:t>
      </w:r>
      <w:r w:rsidRPr="004D2D14">
        <w:rPr>
          <w:rFonts w:asciiTheme="majorHAnsi" w:hAnsiTheme="majorHAnsi"/>
          <w:spacing w:val="-6"/>
          <w:sz w:val="20"/>
          <w:szCs w:val="20"/>
          <w:lang w:val="en-US"/>
        </w:rPr>
        <w:t xml:space="preserve"> </w:t>
      </w:r>
      <w:r w:rsidRPr="000977F7">
        <w:rPr>
          <w:rFonts w:asciiTheme="majorHAnsi" w:hAnsiTheme="majorHAnsi"/>
          <w:spacing w:val="-9"/>
          <w:sz w:val="20"/>
          <w:szCs w:val="20"/>
        </w:rPr>
        <w:t>протягом</w:t>
      </w:r>
      <w:r w:rsidRPr="004D2D14">
        <w:rPr>
          <w:rFonts w:asciiTheme="majorHAnsi" w:hAnsiTheme="majorHAnsi"/>
          <w:spacing w:val="-10"/>
          <w:sz w:val="20"/>
          <w:szCs w:val="20"/>
          <w:lang w:val="en-US"/>
        </w:rPr>
        <w:t xml:space="preserve"> </w:t>
      </w:r>
      <w:r w:rsidRPr="000977F7">
        <w:rPr>
          <w:rFonts w:asciiTheme="majorHAnsi" w:hAnsiTheme="majorHAnsi"/>
          <w:spacing w:val="-9"/>
          <w:sz w:val="20"/>
          <w:szCs w:val="20"/>
        </w:rPr>
        <w:t>періоду</w:t>
      </w:r>
      <w:r w:rsidRPr="004D2D14">
        <w:rPr>
          <w:rFonts w:asciiTheme="majorHAnsi" w:hAnsiTheme="majorHAnsi"/>
          <w:spacing w:val="-9"/>
          <w:sz w:val="20"/>
          <w:szCs w:val="20"/>
          <w:lang w:val="en-US"/>
        </w:rPr>
        <w:t xml:space="preserve"> </w:t>
      </w:r>
      <w:r w:rsidRPr="000977F7">
        <w:rPr>
          <w:rFonts w:asciiTheme="majorHAnsi" w:hAnsiTheme="majorHAnsi"/>
          <w:spacing w:val="-9"/>
          <w:sz w:val="20"/>
          <w:szCs w:val="20"/>
        </w:rPr>
        <w:t>ранніх</w:t>
      </w:r>
      <w:r w:rsidRPr="004D2D14">
        <w:rPr>
          <w:rFonts w:asciiTheme="majorHAnsi" w:hAnsiTheme="majorHAnsi"/>
          <w:spacing w:val="-7"/>
          <w:sz w:val="20"/>
          <w:szCs w:val="20"/>
          <w:lang w:val="en-US"/>
        </w:rPr>
        <w:t xml:space="preserve"> </w:t>
      </w:r>
      <w:r w:rsidRPr="000977F7">
        <w:rPr>
          <w:rFonts w:asciiTheme="majorHAnsi" w:hAnsiTheme="majorHAnsi"/>
          <w:spacing w:val="-9"/>
          <w:sz w:val="20"/>
          <w:szCs w:val="20"/>
        </w:rPr>
        <w:t>відмов</w:t>
      </w:r>
      <w:r w:rsidRPr="004D2D14">
        <w:rPr>
          <w:rFonts w:asciiTheme="majorHAnsi" w:hAnsiTheme="majorHAnsi"/>
          <w:spacing w:val="-8"/>
          <w:sz w:val="20"/>
          <w:szCs w:val="20"/>
          <w:lang w:val="en-US"/>
        </w:rPr>
        <w:t xml:space="preserve"> </w:t>
      </w:r>
    </w:p>
    <w:p w14:paraId="5E88FBCB" w14:textId="77777777" w:rsidR="0097612F" w:rsidRPr="004D2D14" w:rsidRDefault="0097612F" w:rsidP="000977F7">
      <w:pPr>
        <w:pStyle w:val="af6"/>
        <w:tabs>
          <w:tab w:val="left" w:pos="284"/>
        </w:tabs>
        <w:spacing w:after="0"/>
        <w:ind w:left="170"/>
        <w:mirrorIndents/>
        <w:jc w:val="both"/>
        <w:rPr>
          <w:rFonts w:asciiTheme="majorHAnsi" w:eastAsia="Calibri" w:hAnsiTheme="majorHAnsi"/>
          <w:i/>
          <w:sz w:val="20"/>
          <w:szCs w:val="20"/>
          <w:lang w:val="en-US" w:eastAsia="en-US"/>
        </w:rPr>
      </w:pPr>
      <w:r w:rsidRPr="000977F7">
        <w:rPr>
          <w:rFonts w:asciiTheme="majorHAnsi" w:eastAsia="Calibri" w:hAnsiTheme="majorHAnsi"/>
          <w:i/>
          <w:sz w:val="20"/>
          <w:szCs w:val="20"/>
          <w:lang w:eastAsia="en-US"/>
        </w:rPr>
        <w:t>ДСТУ</w:t>
      </w:r>
      <w:r w:rsidRPr="004D2D14">
        <w:rPr>
          <w:rFonts w:asciiTheme="majorHAnsi" w:eastAsia="Calibri" w:hAnsiTheme="majorHAnsi"/>
          <w:i/>
          <w:sz w:val="20"/>
          <w:szCs w:val="20"/>
          <w:lang w:val="en-US" w:eastAsia="en-US"/>
        </w:rPr>
        <w:t xml:space="preserve"> 2860 - 94</w:t>
      </w:r>
    </w:p>
    <w:p w14:paraId="48309507"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ПРИСКОРЕНІ</w:t>
      </w:r>
      <w:r w:rsidRPr="004D2D14">
        <w:rPr>
          <w:rFonts w:asciiTheme="majorHAnsi" w:hAnsiTheme="majorHAnsi"/>
          <w:b/>
          <w:sz w:val="20"/>
          <w:szCs w:val="20"/>
          <w:lang w:val="en-US"/>
        </w:rPr>
        <w:t xml:space="preserve"> </w:t>
      </w:r>
      <w:r w:rsidRPr="000977F7">
        <w:rPr>
          <w:rFonts w:asciiTheme="majorHAnsi" w:hAnsiTheme="majorHAnsi"/>
          <w:b/>
          <w:sz w:val="20"/>
          <w:szCs w:val="20"/>
        </w:rPr>
        <w:t>ВИПРОБУВАННЯ</w:t>
      </w:r>
      <w:r w:rsidRPr="004D2D14">
        <w:rPr>
          <w:rFonts w:asciiTheme="majorHAnsi" w:hAnsiTheme="majorHAnsi"/>
          <w:b/>
          <w:sz w:val="20"/>
          <w:szCs w:val="20"/>
          <w:lang w:val="en-US"/>
        </w:rPr>
        <w:t xml:space="preserve"> –</w:t>
      </w:r>
    </w:p>
    <w:p w14:paraId="0AD2182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ACCELERAITED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TESTING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38F5EF4E"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Випробування,</w:t>
      </w:r>
      <w:r w:rsidRPr="000977F7">
        <w:rPr>
          <w:rFonts w:asciiTheme="majorHAnsi" w:hAnsiTheme="majorHAnsi"/>
          <w:spacing w:val="44"/>
          <w:sz w:val="20"/>
          <w:szCs w:val="20"/>
        </w:rPr>
        <w:t xml:space="preserve"> </w:t>
      </w:r>
      <w:r w:rsidRPr="000977F7">
        <w:rPr>
          <w:rFonts w:asciiTheme="majorHAnsi" w:hAnsiTheme="majorHAnsi"/>
          <w:sz w:val="20"/>
          <w:szCs w:val="20"/>
        </w:rPr>
        <w:t>методи</w:t>
      </w:r>
      <w:r w:rsidRPr="000977F7">
        <w:rPr>
          <w:rFonts w:asciiTheme="majorHAnsi" w:hAnsiTheme="majorHAnsi"/>
          <w:spacing w:val="42"/>
          <w:sz w:val="20"/>
          <w:szCs w:val="20"/>
        </w:rPr>
        <w:t xml:space="preserve"> </w:t>
      </w:r>
      <w:r w:rsidRPr="000977F7">
        <w:rPr>
          <w:rFonts w:asciiTheme="majorHAnsi" w:hAnsiTheme="majorHAnsi"/>
          <w:sz w:val="20"/>
          <w:szCs w:val="20"/>
        </w:rPr>
        <w:t>і</w:t>
      </w:r>
      <w:r w:rsidRPr="000977F7">
        <w:rPr>
          <w:rFonts w:asciiTheme="majorHAnsi" w:hAnsiTheme="majorHAnsi"/>
          <w:spacing w:val="48"/>
          <w:sz w:val="20"/>
          <w:szCs w:val="20"/>
        </w:rPr>
        <w:t xml:space="preserve"> </w:t>
      </w:r>
      <w:r w:rsidRPr="000977F7">
        <w:rPr>
          <w:rFonts w:asciiTheme="majorHAnsi" w:hAnsiTheme="majorHAnsi"/>
          <w:sz w:val="20"/>
          <w:szCs w:val="20"/>
        </w:rPr>
        <w:t>умови</w:t>
      </w:r>
      <w:r w:rsidRPr="000977F7">
        <w:rPr>
          <w:rFonts w:asciiTheme="majorHAnsi" w:hAnsiTheme="majorHAnsi"/>
          <w:spacing w:val="42"/>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43"/>
          <w:sz w:val="20"/>
          <w:szCs w:val="20"/>
        </w:rPr>
        <w:t xml:space="preserve"> </w:t>
      </w:r>
      <w:r w:rsidRPr="000977F7">
        <w:rPr>
          <w:rFonts w:asciiTheme="majorHAnsi" w:hAnsiTheme="majorHAnsi"/>
          <w:sz w:val="20"/>
          <w:szCs w:val="20"/>
        </w:rPr>
        <w:t>яких</w:t>
      </w:r>
      <w:r w:rsidRPr="000977F7">
        <w:rPr>
          <w:rFonts w:asciiTheme="majorHAnsi" w:hAnsiTheme="majorHAnsi"/>
          <w:spacing w:val="42"/>
          <w:sz w:val="20"/>
          <w:szCs w:val="20"/>
        </w:rPr>
        <w:t xml:space="preserve"> </w:t>
      </w:r>
      <w:r w:rsidRPr="000977F7">
        <w:rPr>
          <w:rFonts w:asciiTheme="majorHAnsi" w:hAnsiTheme="majorHAnsi"/>
          <w:sz w:val="20"/>
          <w:szCs w:val="20"/>
        </w:rPr>
        <w:t>забезпечують</w:t>
      </w:r>
      <w:r w:rsidRPr="000977F7">
        <w:rPr>
          <w:rFonts w:asciiTheme="majorHAnsi" w:hAnsiTheme="majorHAnsi"/>
          <w:spacing w:val="21"/>
          <w:sz w:val="20"/>
          <w:szCs w:val="20"/>
        </w:rPr>
        <w:t xml:space="preserve"> </w:t>
      </w:r>
      <w:r w:rsidRPr="000977F7">
        <w:rPr>
          <w:rFonts w:asciiTheme="majorHAnsi" w:hAnsiTheme="majorHAnsi"/>
          <w:sz w:val="20"/>
          <w:szCs w:val="20"/>
        </w:rPr>
        <w:t>отримання</w:t>
      </w:r>
      <w:r w:rsidRPr="000977F7">
        <w:rPr>
          <w:rFonts w:asciiTheme="majorHAnsi" w:hAnsiTheme="majorHAnsi"/>
          <w:spacing w:val="20"/>
          <w:sz w:val="20"/>
          <w:szCs w:val="20"/>
        </w:rPr>
        <w:t xml:space="preserve"> </w:t>
      </w:r>
      <w:r w:rsidRPr="000977F7">
        <w:rPr>
          <w:rFonts w:asciiTheme="majorHAnsi" w:hAnsiTheme="majorHAnsi"/>
          <w:sz w:val="20"/>
          <w:szCs w:val="20"/>
        </w:rPr>
        <w:t>необхідної</w:t>
      </w:r>
      <w:r w:rsidRPr="000977F7">
        <w:rPr>
          <w:rFonts w:asciiTheme="majorHAnsi" w:hAnsiTheme="majorHAnsi"/>
          <w:spacing w:val="18"/>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21"/>
          <w:sz w:val="20"/>
          <w:szCs w:val="20"/>
        </w:rPr>
        <w:t xml:space="preserve"> </w:t>
      </w:r>
      <w:r w:rsidRPr="000977F7">
        <w:rPr>
          <w:rFonts w:asciiTheme="majorHAnsi" w:hAnsiTheme="majorHAnsi"/>
          <w:sz w:val="20"/>
          <w:szCs w:val="20"/>
        </w:rPr>
        <w:t>про</w:t>
      </w:r>
      <w:r w:rsidRPr="000977F7">
        <w:rPr>
          <w:rFonts w:asciiTheme="majorHAnsi" w:hAnsiTheme="majorHAnsi"/>
          <w:spacing w:val="19"/>
          <w:sz w:val="20"/>
          <w:szCs w:val="20"/>
        </w:rPr>
        <w:t xml:space="preserve"> </w:t>
      </w:r>
      <w:r w:rsidRPr="000977F7">
        <w:rPr>
          <w:rFonts w:asciiTheme="majorHAnsi" w:hAnsiTheme="majorHAnsi"/>
          <w:sz w:val="20"/>
          <w:szCs w:val="20"/>
        </w:rPr>
        <w:t>характеристики</w:t>
      </w:r>
      <w:r w:rsidRPr="000977F7">
        <w:rPr>
          <w:rFonts w:asciiTheme="majorHAnsi" w:hAnsiTheme="majorHAnsi"/>
          <w:spacing w:val="26"/>
          <w:sz w:val="20"/>
          <w:szCs w:val="20"/>
        </w:rPr>
        <w:t xml:space="preserve"> </w:t>
      </w:r>
      <w:r w:rsidRPr="000977F7">
        <w:rPr>
          <w:rFonts w:asciiTheme="majorHAnsi" w:hAnsiTheme="majorHAnsi"/>
          <w:sz w:val="20"/>
          <w:szCs w:val="20"/>
        </w:rPr>
        <w:t>механічних</w:t>
      </w:r>
      <w:r w:rsidRPr="000977F7">
        <w:rPr>
          <w:rFonts w:asciiTheme="majorHAnsi" w:hAnsiTheme="majorHAnsi"/>
          <w:spacing w:val="27"/>
          <w:sz w:val="20"/>
          <w:szCs w:val="20"/>
        </w:rPr>
        <w:t xml:space="preserve"> </w:t>
      </w:r>
      <w:r w:rsidRPr="000977F7">
        <w:rPr>
          <w:rFonts w:asciiTheme="majorHAnsi" w:hAnsiTheme="majorHAnsi"/>
          <w:sz w:val="20"/>
          <w:szCs w:val="20"/>
        </w:rPr>
        <w:t>властивостей</w:t>
      </w:r>
      <w:r w:rsidRPr="000977F7">
        <w:rPr>
          <w:rFonts w:asciiTheme="majorHAnsi" w:hAnsiTheme="majorHAnsi"/>
          <w:spacing w:val="27"/>
          <w:sz w:val="20"/>
          <w:szCs w:val="20"/>
        </w:rPr>
        <w:t xml:space="preserve"> </w:t>
      </w:r>
      <w:r w:rsidRPr="000977F7">
        <w:rPr>
          <w:rFonts w:asciiTheme="majorHAnsi" w:hAnsiTheme="majorHAnsi"/>
          <w:sz w:val="20"/>
          <w:szCs w:val="20"/>
        </w:rPr>
        <w:t>об’єкта</w:t>
      </w:r>
      <w:r w:rsidRPr="000977F7">
        <w:rPr>
          <w:rFonts w:asciiTheme="majorHAnsi" w:hAnsiTheme="majorHAnsi"/>
          <w:spacing w:val="28"/>
          <w:sz w:val="20"/>
          <w:szCs w:val="20"/>
        </w:rPr>
        <w:t xml:space="preserve"> </w:t>
      </w:r>
      <w:r w:rsidRPr="000977F7">
        <w:rPr>
          <w:rFonts w:asciiTheme="majorHAnsi" w:hAnsiTheme="majorHAnsi"/>
          <w:sz w:val="20"/>
          <w:szCs w:val="20"/>
        </w:rPr>
        <w:t>за</w:t>
      </w:r>
      <w:r w:rsidRPr="000977F7">
        <w:rPr>
          <w:rFonts w:asciiTheme="majorHAnsi" w:hAnsiTheme="majorHAnsi"/>
          <w:spacing w:val="28"/>
          <w:sz w:val="20"/>
          <w:szCs w:val="20"/>
        </w:rPr>
        <w:t xml:space="preserve"> </w:t>
      </w:r>
      <w:r w:rsidRPr="000977F7">
        <w:rPr>
          <w:rFonts w:asciiTheme="majorHAnsi" w:hAnsiTheme="majorHAnsi"/>
          <w:sz w:val="20"/>
          <w:szCs w:val="20"/>
        </w:rPr>
        <w:t>істотно коротший час, ніж за нормальних випробувань</w:t>
      </w:r>
      <w:r w:rsidRPr="000977F7">
        <w:rPr>
          <w:rFonts w:asciiTheme="majorHAnsi" w:hAnsiTheme="majorHAnsi"/>
          <w:spacing w:val="1"/>
          <w:sz w:val="20"/>
          <w:szCs w:val="20"/>
        </w:rPr>
        <w:t xml:space="preserve"> </w:t>
      </w:r>
    </w:p>
    <w:p w14:paraId="4DEA5A54" w14:textId="77777777" w:rsidR="0097612F" w:rsidRPr="000977F7" w:rsidRDefault="0097612F" w:rsidP="000977F7">
      <w:pPr>
        <w:pStyle w:val="af6"/>
        <w:tabs>
          <w:tab w:val="left" w:pos="284"/>
        </w:tabs>
        <w:spacing w:after="0"/>
        <w:ind w:left="170"/>
        <w:mirrorIndents/>
        <w:jc w:val="both"/>
        <w:rPr>
          <w:rFonts w:asciiTheme="majorHAnsi" w:eastAsia="Calibri" w:hAnsiTheme="majorHAnsi"/>
          <w:i/>
          <w:sz w:val="20"/>
          <w:szCs w:val="20"/>
          <w:lang w:eastAsia="en-US"/>
        </w:rPr>
      </w:pPr>
      <w:r w:rsidRPr="000977F7">
        <w:rPr>
          <w:rFonts w:asciiTheme="majorHAnsi" w:eastAsia="Calibri" w:hAnsiTheme="majorHAnsi"/>
          <w:i/>
          <w:sz w:val="20"/>
          <w:szCs w:val="20"/>
          <w:lang w:eastAsia="en-US"/>
        </w:rPr>
        <w:t>ДСТУ 2444 – 94</w:t>
      </w:r>
    </w:p>
    <w:p w14:paraId="32981DE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ACCELERATED</w:t>
      </w:r>
      <w:r w:rsidRPr="000977F7">
        <w:rPr>
          <w:rFonts w:asciiTheme="majorHAnsi" w:hAnsiTheme="majorHAnsi"/>
          <w:spacing w:val="-2"/>
          <w:sz w:val="20"/>
          <w:szCs w:val="20"/>
        </w:rPr>
        <w:t xml:space="preserve"> </w:t>
      </w:r>
      <w:r w:rsidRPr="000977F7">
        <w:rPr>
          <w:rFonts w:asciiTheme="majorHAnsi" w:hAnsiTheme="majorHAnsi"/>
          <w:sz w:val="20"/>
          <w:szCs w:val="20"/>
        </w:rPr>
        <w:t>TEST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0C136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методи та умови проведення яких забезпечують одержання необхідної інформації про характеристики властивостей об’єкта за коротший термін,</w:t>
      </w:r>
      <w:r w:rsidRPr="000977F7">
        <w:rPr>
          <w:rFonts w:asciiTheme="majorHAnsi" w:hAnsiTheme="majorHAnsi"/>
          <w:spacing w:val="-1"/>
          <w:sz w:val="20"/>
          <w:szCs w:val="20"/>
        </w:rPr>
        <w:t xml:space="preserve"> </w:t>
      </w:r>
      <w:r w:rsidRPr="000977F7">
        <w:rPr>
          <w:rFonts w:asciiTheme="majorHAnsi" w:hAnsiTheme="majorHAnsi"/>
          <w:sz w:val="20"/>
          <w:szCs w:val="20"/>
        </w:rPr>
        <w:t>ніж</w:t>
      </w:r>
      <w:r w:rsidRPr="000977F7">
        <w:rPr>
          <w:rFonts w:asciiTheme="majorHAnsi" w:hAnsiTheme="majorHAnsi"/>
          <w:spacing w:val="-2"/>
          <w:sz w:val="20"/>
          <w:szCs w:val="20"/>
        </w:rPr>
        <w:t xml:space="preserve"> </w:t>
      </w:r>
      <w:r w:rsidRPr="000977F7">
        <w:rPr>
          <w:rFonts w:asciiTheme="majorHAnsi" w:hAnsiTheme="majorHAnsi"/>
          <w:sz w:val="20"/>
          <w:szCs w:val="20"/>
        </w:rPr>
        <w:t>за</w:t>
      </w:r>
      <w:r w:rsidRPr="000977F7">
        <w:rPr>
          <w:rFonts w:asciiTheme="majorHAnsi" w:hAnsiTheme="majorHAnsi"/>
          <w:spacing w:val="3"/>
          <w:sz w:val="20"/>
          <w:szCs w:val="20"/>
        </w:rPr>
        <w:t xml:space="preserve"> </w:t>
      </w:r>
      <w:r w:rsidRPr="000977F7">
        <w:rPr>
          <w:rFonts w:asciiTheme="majorHAnsi" w:hAnsiTheme="majorHAnsi"/>
          <w:sz w:val="20"/>
          <w:szCs w:val="20"/>
        </w:rPr>
        <w:t>нормальних</w:t>
      </w:r>
      <w:r w:rsidRPr="000977F7">
        <w:rPr>
          <w:rFonts w:asciiTheme="majorHAnsi" w:hAnsiTheme="majorHAnsi"/>
          <w:spacing w:val="-2"/>
          <w:sz w:val="20"/>
          <w:szCs w:val="20"/>
        </w:rPr>
        <w:t xml:space="preserve"> </w:t>
      </w:r>
      <w:r w:rsidRPr="000977F7">
        <w:rPr>
          <w:rFonts w:asciiTheme="majorHAnsi" w:hAnsiTheme="majorHAnsi"/>
          <w:sz w:val="20"/>
          <w:szCs w:val="20"/>
        </w:rPr>
        <w:t>випробувань</w:t>
      </w:r>
    </w:p>
    <w:p w14:paraId="5F4F4DC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0067836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ПРИСКОРЕНІ ВИПРОБОВУВАННЯ НА НАДІЙНІСТЬ –</w:t>
      </w:r>
    </w:p>
    <w:p w14:paraId="1E29553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ACCELERATED</w:t>
      </w:r>
      <w:r w:rsidRPr="004D2D14">
        <w:rPr>
          <w:rFonts w:asciiTheme="majorHAnsi" w:hAnsiTheme="majorHAnsi"/>
          <w:spacing w:val="-2"/>
          <w:sz w:val="20"/>
          <w:szCs w:val="20"/>
          <w:lang w:val="uk-UA"/>
        </w:rPr>
        <w:t xml:space="preserve"> </w:t>
      </w:r>
      <w:r w:rsidRPr="000977F7">
        <w:rPr>
          <w:rFonts w:asciiTheme="majorHAnsi" w:hAnsiTheme="majorHAnsi"/>
          <w:sz w:val="20"/>
          <w:szCs w:val="20"/>
        </w:rPr>
        <w:t>DEPENDABILITY</w:t>
      </w:r>
      <w:r w:rsidRPr="004D2D14">
        <w:rPr>
          <w:rFonts w:asciiTheme="majorHAnsi" w:hAnsiTheme="majorHAnsi"/>
          <w:spacing w:val="-4"/>
          <w:sz w:val="20"/>
          <w:szCs w:val="20"/>
          <w:lang w:val="uk-UA"/>
        </w:rPr>
        <w:t xml:space="preserve"> </w:t>
      </w:r>
      <w:r w:rsidRPr="000977F7">
        <w:rPr>
          <w:rFonts w:asciiTheme="majorHAnsi" w:hAnsiTheme="majorHAnsi"/>
          <w:sz w:val="20"/>
          <w:szCs w:val="20"/>
        </w:rPr>
        <w:t>TEST</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w:t>
      </w:r>
    </w:p>
    <w:p w14:paraId="32B72BC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Випробовування, в яких рівень діючого навантаження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вибирають вищим, ніж рівень навантаження у початкових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умовах,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щоб</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скоротити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необхідний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спостереження характеристики навантаження об’єкта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її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підсилення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за заданий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w:t>
      </w:r>
    </w:p>
    <w:p w14:paraId="3817186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9102093"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Вірно</w:t>
      </w:r>
      <w:r w:rsidRPr="000977F7">
        <w:rPr>
          <w:rFonts w:asciiTheme="majorHAnsi" w:hAnsiTheme="majorHAnsi"/>
          <w:spacing w:val="9"/>
          <w:sz w:val="20"/>
          <w:szCs w:val="20"/>
        </w:rPr>
        <w:t xml:space="preserve"> </w:t>
      </w:r>
      <w:r w:rsidRPr="000977F7">
        <w:rPr>
          <w:rFonts w:asciiTheme="majorHAnsi" w:hAnsiTheme="majorHAnsi"/>
          <w:sz w:val="20"/>
          <w:szCs w:val="20"/>
        </w:rPr>
        <w:t>обґрунтоване</w:t>
      </w:r>
      <w:r w:rsidRPr="000977F7">
        <w:rPr>
          <w:rFonts w:asciiTheme="majorHAnsi" w:hAnsiTheme="majorHAnsi"/>
          <w:spacing w:val="11"/>
          <w:sz w:val="20"/>
          <w:szCs w:val="20"/>
        </w:rPr>
        <w:t xml:space="preserve"> </w:t>
      </w:r>
      <w:r w:rsidRPr="000977F7">
        <w:rPr>
          <w:rFonts w:asciiTheme="majorHAnsi" w:hAnsiTheme="majorHAnsi"/>
          <w:sz w:val="20"/>
          <w:szCs w:val="20"/>
        </w:rPr>
        <w:t>прискорене</w:t>
      </w:r>
      <w:r w:rsidRPr="000977F7">
        <w:rPr>
          <w:rFonts w:asciiTheme="majorHAnsi" w:hAnsiTheme="majorHAnsi"/>
          <w:spacing w:val="9"/>
          <w:sz w:val="20"/>
          <w:szCs w:val="20"/>
        </w:rPr>
        <w:t xml:space="preserve"> </w:t>
      </w:r>
      <w:r w:rsidRPr="000977F7">
        <w:rPr>
          <w:rFonts w:asciiTheme="majorHAnsi" w:hAnsiTheme="majorHAnsi"/>
          <w:sz w:val="20"/>
          <w:szCs w:val="20"/>
        </w:rPr>
        <w:t>випробовування</w:t>
      </w:r>
      <w:r w:rsidRPr="000977F7">
        <w:rPr>
          <w:rFonts w:asciiTheme="majorHAnsi" w:hAnsiTheme="majorHAnsi"/>
          <w:spacing w:val="10"/>
          <w:sz w:val="20"/>
          <w:szCs w:val="20"/>
        </w:rPr>
        <w:t xml:space="preserve"> </w:t>
      </w:r>
      <w:r w:rsidRPr="000977F7">
        <w:rPr>
          <w:rFonts w:asciiTheme="majorHAnsi" w:hAnsiTheme="majorHAnsi"/>
          <w:sz w:val="20"/>
          <w:szCs w:val="20"/>
        </w:rPr>
        <w:t>не</w:t>
      </w:r>
      <w:r w:rsidRPr="000977F7">
        <w:rPr>
          <w:rFonts w:asciiTheme="majorHAnsi" w:hAnsiTheme="majorHAnsi"/>
          <w:spacing w:val="-47"/>
          <w:sz w:val="20"/>
          <w:szCs w:val="20"/>
        </w:rPr>
        <w:t xml:space="preserve"> </w:t>
      </w:r>
      <w:r w:rsidRPr="000977F7">
        <w:rPr>
          <w:rFonts w:asciiTheme="majorHAnsi" w:hAnsiTheme="majorHAnsi"/>
          <w:sz w:val="20"/>
          <w:szCs w:val="20"/>
        </w:rPr>
        <w:t>повинно</w:t>
      </w:r>
      <w:r w:rsidRPr="000977F7">
        <w:rPr>
          <w:rFonts w:asciiTheme="majorHAnsi" w:hAnsiTheme="majorHAnsi"/>
          <w:spacing w:val="11"/>
          <w:sz w:val="20"/>
          <w:szCs w:val="20"/>
        </w:rPr>
        <w:t xml:space="preserve"> </w:t>
      </w:r>
      <w:r w:rsidRPr="000977F7">
        <w:rPr>
          <w:rFonts w:asciiTheme="majorHAnsi" w:hAnsiTheme="majorHAnsi"/>
          <w:sz w:val="20"/>
          <w:szCs w:val="20"/>
        </w:rPr>
        <w:t>змінювати</w:t>
      </w:r>
      <w:r w:rsidRPr="000977F7">
        <w:rPr>
          <w:rFonts w:asciiTheme="majorHAnsi" w:hAnsiTheme="majorHAnsi"/>
          <w:spacing w:val="7"/>
          <w:sz w:val="20"/>
          <w:szCs w:val="20"/>
        </w:rPr>
        <w:t xml:space="preserve"> </w:t>
      </w:r>
      <w:r w:rsidRPr="000977F7">
        <w:rPr>
          <w:rFonts w:asciiTheme="majorHAnsi" w:hAnsiTheme="majorHAnsi"/>
          <w:sz w:val="20"/>
          <w:szCs w:val="20"/>
        </w:rPr>
        <w:t>основні</w:t>
      </w:r>
      <w:r w:rsidRPr="000977F7">
        <w:rPr>
          <w:rFonts w:asciiTheme="majorHAnsi" w:hAnsiTheme="majorHAnsi"/>
          <w:spacing w:val="8"/>
          <w:sz w:val="20"/>
          <w:szCs w:val="20"/>
        </w:rPr>
        <w:t xml:space="preserve"> </w:t>
      </w:r>
      <w:r w:rsidRPr="000977F7">
        <w:rPr>
          <w:rFonts w:asciiTheme="majorHAnsi" w:hAnsiTheme="majorHAnsi"/>
          <w:sz w:val="20"/>
          <w:szCs w:val="20"/>
        </w:rPr>
        <w:t>види</w:t>
      </w:r>
      <w:r w:rsidRPr="000977F7">
        <w:rPr>
          <w:rFonts w:asciiTheme="majorHAnsi" w:hAnsiTheme="majorHAnsi"/>
          <w:spacing w:val="9"/>
          <w:sz w:val="20"/>
          <w:szCs w:val="20"/>
        </w:rPr>
        <w:t xml:space="preserve"> </w:t>
      </w:r>
      <w:r w:rsidRPr="000977F7">
        <w:rPr>
          <w:rFonts w:asciiTheme="majorHAnsi" w:hAnsiTheme="majorHAnsi"/>
          <w:sz w:val="20"/>
          <w:szCs w:val="20"/>
        </w:rPr>
        <w:t>несправностей</w:t>
      </w:r>
      <w:r w:rsidRPr="000977F7">
        <w:rPr>
          <w:rFonts w:asciiTheme="majorHAnsi" w:hAnsiTheme="majorHAnsi"/>
          <w:spacing w:val="9"/>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характер виникнення відмов або їх відносну перевагу</w:t>
      </w:r>
      <w:r w:rsidRPr="000977F7">
        <w:rPr>
          <w:rFonts w:asciiTheme="majorHAnsi" w:hAnsiTheme="majorHAnsi"/>
          <w:spacing w:val="1"/>
          <w:sz w:val="20"/>
          <w:szCs w:val="20"/>
        </w:rPr>
        <w:t xml:space="preserve"> </w:t>
      </w:r>
    </w:p>
    <w:p w14:paraId="2ABE9C98" w14:textId="77777777" w:rsidR="0097612F" w:rsidRPr="000977F7" w:rsidRDefault="0097612F" w:rsidP="000977F7">
      <w:pPr>
        <w:pStyle w:val="af6"/>
        <w:tabs>
          <w:tab w:val="left" w:pos="284"/>
        </w:tabs>
        <w:spacing w:after="0"/>
        <w:ind w:left="170"/>
        <w:mirrorIndents/>
        <w:jc w:val="both"/>
        <w:rPr>
          <w:rFonts w:asciiTheme="majorHAnsi" w:eastAsia="Calibri" w:hAnsiTheme="majorHAnsi"/>
          <w:i/>
          <w:sz w:val="20"/>
          <w:szCs w:val="20"/>
          <w:lang w:eastAsia="en-US"/>
        </w:rPr>
      </w:pPr>
      <w:r w:rsidRPr="000977F7">
        <w:rPr>
          <w:rFonts w:asciiTheme="majorHAnsi" w:eastAsia="Calibri" w:hAnsiTheme="majorHAnsi"/>
          <w:i/>
          <w:sz w:val="20"/>
          <w:szCs w:val="20"/>
          <w:lang w:eastAsia="en-US"/>
        </w:rPr>
        <w:t>ДСТУ 2860 – 94</w:t>
      </w:r>
    </w:p>
    <w:p w14:paraId="6D8A29F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ACCELERATED</w:t>
      </w:r>
      <w:r w:rsidRPr="000977F7">
        <w:rPr>
          <w:rFonts w:asciiTheme="majorHAnsi" w:hAnsiTheme="majorHAnsi"/>
          <w:spacing w:val="-2"/>
          <w:sz w:val="20"/>
          <w:szCs w:val="20"/>
        </w:rPr>
        <w:t xml:space="preserve"> </w:t>
      </w:r>
      <w:r w:rsidRPr="000977F7">
        <w:rPr>
          <w:rFonts w:asciiTheme="majorHAnsi" w:hAnsiTheme="majorHAnsi"/>
          <w:sz w:val="20"/>
          <w:szCs w:val="20"/>
        </w:rPr>
        <w:t>TEST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879C6A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Лабораторні (стендові) випробування, методи та умови проведення яких забезпечують одержання інформації про надійність за коротший термін, ніж за нормальних</w:t>
      </w:r>
      <w:r w:rsidRPr="000977F7">
        <w:rPr>
          <w:rFonts w:asciiTheme="majorHAnsi" w:hAnsiTheme="majorHAnsi"/>
          <w:spacing w:val="-2"/>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надійність</w:t>
      </w:r>
    </w:p>
    <w:p w14:paraId="22C68BF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5F495B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ПРИСКОРЕНІ КОРОЗІЙНІ ВИПРОБУВАННЯ -</w:t>
      </w:r>
    </w:p>
    <w:p w14:paraId="03215C0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ACCELERATED</w:t>
      </w:r>
      <w:r w:rsidRPr="000977F7">
        <w:rPr>
          <w:rFonts w:asciiTheme="majorHAnsi" w:hAnsiTheme="majorHAnsi"/>
          <w:spacing w:val="-2"/>
          <w:sz w:val="20"/>
          <w:szCs w:val="20"/>
        </w:rPr>
        <w:t xml:space="preserve"> </w:t>
      </w:r>
      <w:r w:rsidRPr="000977F7">
        <w:rPr>
          <w:rFonts w:asciiTheme="majorHAnsi" w:hAnsiTheme="majorHAnsi"/>
          <w:sz w:val="20"/>
          <w:szCs w:val="20"/>
        </w:rPr>
        <w:t>CORROSION</w:t>
      </w:r>
      <w:r w:rsidRPr="000977F7">
        <w:rPr>
          <w:rFonts w:asciiTheme="majorHAnsi" w:hAnsiTheme="majorHAnsi"/>
          <w:spacing w:val="-2"/>
          <w:sz w:val="20"/>
          <w:szCs w:val="20"/>
        </w:rPr>
        <w:t xml:space="preserve"> </w:t>
      </w:r>
      <w:r w:rsidRPr="000977F7">
        <w:rPr>
          <w:rFonts w:asciiTheme="majorHAnsi" w:hAnsiTheme="majorHAnsi"/>
          <w:sz w:val="20"/>
          <w:szCs w:val="20"/>
        </w:rPr>
        <w:t>TESTS –</w:t>
      </w:r>
    </w:p>
    <w:p w14:paraId="31D4A01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Корозійні випробування у штучних умовах, які адекватно відтворюють умови експлуатації і прискорюють</w:t>
      </w:r>
      <w:r w:rsidRPr="000977F7">
        <w:rPr>
          <w:rFonts w:asciiTheme="majorHAnsi" w:hAnsiTheme="majorHAnsi"/>
          <w:spacing w:val="-47"/>
          <w:sz w:val="20"/>
          <w:szCs w:val="20"/>
        </w:rPr>
        <w:t xml:space="preserve"> </w:t>
      </w:r>
      <w:r w:rsidRPr="000977F7">
        <w:rPr>
          <w:rFonts w:asciiTheme="majorHAnsi" w:hAnsiTheme="majorHAnsi"/>
          <w:sz w:val="20"/>
          <w:szCs w:val="20"/>
        </w:rPr>
        <w:t>корозійні</w:t>
      </w:r>
      <w:r w:rsidRPr="000977F7">
        <w:rPr>
          <w:rFonts w:asciiTheme="majorHAnsi" w:hAnsiTheme="majorHAnsi"/>
          <w:spacing w:val="-2"/>
          <w:sz w:val="20"/>
          <w:szCs w:val="20"/>
        </w:rPr>
        <w:t xml:space="preserve"> </w:t>
      </w:r>
      <w:r w:rsidRPr="000977F7">
        <w:rPr>
          <w:rFonts w:asciiTheme="majorHAnsi" w:hAnsiTheme="majorHAnsi"/>
          <w:sz w:val="20"/>
          <w:szCs w:val="20"/>
        </w:rPr>
        <w:t>процеси</w:t>
      </w:r>
    </w:p>
    <w:p w14:paraId="450E252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4AB49D7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ПРИСТОСОВАНІСТЬ ОБ’ЄКТА ДО ДІАГНОСТУВАННЯ –</w:t>
      </w:r>
    </w:p>
    <w:p w14:paraId="0E08C21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DIAGNOSABILITY OF AN OBJECT;</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CONTROLABILITY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010A64C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Властивість</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характеризує</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придатність до проведення діагностування (контролю) заданими</w:t>
      </w:r>
      <w:r w:rsidRPr="000977F7">
        <w:rPr>
          <w:rFonts w:asciiTheme="majorHAnsi" w:hAnsiTheme="majorHAnsi"/>
          <w:spacing w:val="-2"/>
          <w:sz w:val="20"/>
          <w:szCs w:val="20"/>
        </w:rPr>
        <w:t xml:space="preserve"> </w:t>
      </w:r>
      <w:r w:rsidRPr="000977F7">
        <w:rPr>
          <w:rFonts w:asciiTheme="majorHAnsi" w:hAnsiTheme="majorHAnsi"/>
          <w:sz w:val="20"/>
          <w:szCs w:val="20"/>
        </w:rPr>
        <w:t>засобами</w:t>
      </w:r>
      <w:r w:rsidRPr="000977F7">
        <w:rPr>
          <w:rFonts w:asciiTheme="majorHAnsi" w:hAnsiTheme="majorHAnsi"/>
          <w:spacing w:val="-2"/>
          <w:sz w:val="20"/>
          <w:szCs w:val="20"/>
        </w:rPr>
        <w:t xml:space="preserve"> </w:t>
      </w:r>
      <w:r w:rsidRPr="000977F7">
        <w:rPr>
          <w:rFonts w:asciiTheme="majorHAnsi" w:hAnsiTheme="majorHAnsi"/>
          <w:sz w:val="20"/>
          <w:szCs w:val="20"/>
        </w:rPr>
        <w:t>діагностування</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p>
    <w:p w14:paraId="06C965F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7595A4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ПРИСТРІЙ –</w:t>
      </w:r>
    </w:p>
    <w:p w14:paraId="39E8EE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DEVICE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811CC0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технічних засобів, окремий технічний засіб або його складова частина, які призначені для виконування</w:t>
      </w:r>
      <w:r w:rsidRPr="000977F7">
        <w:rPr>
          <w:rFonts w:asciiTheme="majorHAnsi" w:hAnsiTheme="majorHAnsi"/>
          <w:spacing w:val="-2"/>
          <w:sz w:val="20"/>
          <w:szCs w:val="20"/>
        </w:rPr>
        <w:t xml:space="preserve"> </w:t>
      </w:r>
      <w:r w:rsidRPr="000977F7">
        <w:rPr>
          <w:rFonts w:asciiTheme="majorHAnsi" w:hAnsiTheme="majorHAnsi"/>
          <w:sz w:val="20"/>
          <w:szCs w:val="20"/>
        </w:rPr>
        <w:t>однієї</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2"/>
          <w:sz w:val="20"/>
          <w:szCs w:val="20"/>
        </w:rPr>
        <w:t xml:space="preserve"> </w:t>
      </w:r>
      <w:r w:rsidRPr="000977F7">
        <w:rPr>
          <w:rFonts w:asciiTheme="majorHAnsi" w:hAnsiTheme="majorHAnsi"/>
          <w:sz w:val="20"/>
          <w:szCs w:val="20"/>
        </w:rPr>
        <w:t>кількох</w:t>
      </w:r>
      <w:r w:rsidRPr="000977F7">
        <w:rPr>
          <w:rFonts w:asciiTheme="majorHAnsi" w:hAnsiTheme="majorHAnsi"/>
          <w:spacing w:val="-2"/>
          <w:sz w:val="20"/>
          <w:szCs w:val="20"/>
        </w:rPr>
        <w:t xml:space="preserve"> </w:t>
      </w:r>
      <w:r w:rsidRPr="000977F7">
        <w:rPr>
          <w:rFonts w:asciiTheme="majorHAnsi" w:hAnsiTheme="majorHAnsi"/>
          <w:sz w:val="20"/>
          <w:szCs w:val="20"/>
        </w:rPr>
        <w:t>заданих</w:t>
      </w:r>
      <w:r w:rsidRPr="000977F7">
        <w:rPr>
          <w:rFonts w:asciiTheme="majorHAnsi" w:hAnsiTheme="majorHAnsi"/>
          <w:spacing w:val="-2"/>
          <w:sz w:val="20"/>
          <w:szCs w:val="20"/>
        </w:rPr>
        <w:t xml:space="preserve"> </w:t>
      </w:r>
      <w:r w:rsidRPr="000977F7">
        <w:rPr>
          <w:rFonts w:asciiTheme="majorHAnsi" w:hAnsiTheme="majorHAnsi"/>
          <w:sz w:val="20"/>
          <w:szCs w:val="20"/>
        </w:rPr>
        <w:t>функцій</w:t>
      </w:r>
    </w:p>
    <w:p w14:paraId="1DCC551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2000</w:t>
      </w:r>
    </w:p>
    <w:p w14:paraId="42E88667"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bookmarkStart w:id="224" w:name="_Hlk103694905"/>
      <w:r w:rsidRPr="000977F7">
        <w:rPr>
          <w:rFonts w:asciiTheme="majorHAnsi" w:hAnsiTheme="majorHAnsi"/>
          <w:b/>
          <w:bCs/>
          <w:iCs/>
          <w:sz w:val="20"/>
          <w:szCs w:val="20"/>
        </w:rPr>
        <w:t>ПРИСТРІЙ ДВОРУЧНОГО КЕРУВАННЯ –</w:t>
      </w:r>
    </w:p>
    <w:p w14:paraId="6D7908B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TWO-HAND CONTROL DEVICE –</w:t>
      </w:r>
    </w:p>
    <w:bookmarkEnd w:id="224"/>
    <w:p w14:paraId="5750328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Пристрій керування, який для вмикання та підтримання небезпечних функцій машини потребує одночасної дії обома руками і в такий спосіб запевнює захист лише для людини, яка використовує його </w:t>
      </w:r>
    </w:p>
    <w:p w14:paraId="3AAECA4B"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5E937F01"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r w:rsidRPr="000977F7">
        <w:rPr>
          <w:rFonts w:asciiTheme="majorHAnsi" w:hAnsiTheme="majorHAnsi"/>
          <w:b/>
          <w:bCs/>
          <w:iCs/>
          <w:sz w:val="20"/>
          <w:szCs w:val="20"/>
        </w:rPr>
        <w:t>ПРИСТРІЙ ДОЗВОЛУ -</w:t>
      </w:r>
    </w:p>
    <w:p w14:paraId="5B7C2872"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iCs/>
          <w:sz w:val="20"/>
          <w:szCs w:val="20"/>
        </w:rPr>
        <w:t>ENABLING DEVICE –</w:t>
      </w:r>
    </w:p>
    <w:p w14:paraId="45288A8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Додатковий пристрій з ручним керуванням, використовуваний у сукупності з пристроєм керування пуском і який в активному стані уможливлює функціонування машини </w:t>
      </w:r>
    </w:p>
    <w:p w14:paraId="3F56890C"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75D479CE"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b/>
          <w:bCs/>
          <w:sz w:val="20"/>
          <w:szCs w:val="20"/>
          <w:lang w:val="uk-UA"/>
        </w:rPr>
      </w:pPr>
      <w:r w:rsidRPr="000977F7">
        <w:rPr>
          <w:rFonts w:asciiTheme="majorHAnsi" w:hAnsiTheme="majorHAnsi"/>
          <w:b/>
          <w:bCs/>
          <w:sz w:val="20"/>
          <w:szCs w:val="20"/>
          <w:lang w:val="uk-UA"/>
        </w:rPr>
        <w:t>ПРИСТРІЙ ДЛЯ ПЕРЕВЕЗЕННЯ –</w:t>
      </w:r>
    </w:p>
    <w:p w14:paraId="7351DBFA"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r w:rsidRPr="000977F7">
        <w:rPr>
          <w:rFonts w:asciiTheme="majorHAnsi" w:hAnsiTheme="majorHAnsi"/>
          <w:sz w:val="20"/>
          <w:szCs w:val="20"/>
          <w:lang w:val="uk-UA"/>
        </w:rPr>
        <w:t>Складова частина ліфта, де перебувають люди та/або вантажі під час підіймання чи опускання</w:t>
      </w:r>
    </w:p>
    <w:p w14:paraId="267107AC"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ліфтів і компонентів безпеки для ліфтів</w:t>
      </w:r>
    </w:p>
    <w:p w14:paraId="594023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
          <w:bCs/>
          <w:sz w:val="20"/>
          <w:szCs w:val="20"/>
        </w:rPr>
        <w:t>ПРИСТРІЙ КЕРУВАННЯ</w:t>
      </w:r>
      <w:r w:rsidRPr="000977F7">
        <w:rPr>
          <w:rFonts w:asciiTheme="majorHAnsi" w:hAnsiTheme="majorHAnsi"/>
          <w:sz w:val="20"/>
          <w:szCs w:val="20"/>
        </w:rPr>
        <w:t xml:space="preserve"> –</w:t>
      </w:r>
    </w:p>
    <w:p w14:paraId="0C8EAF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Пристрій, що забезпечує здійснення машиною відповідної функції, на виконання якої подав команду оператор через орган керування</w:t>
      </w:r>
    </w:p>
    <w:p w14:paraId="58DE5811"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безпеки машин</w:t>
      </w:r>
    </w:p>
    <w:p w14:paraId="64E575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bookmarkStart w:id="225" w:name="_Hlk103741906"/>
      <w:r w:rsidRPr="000977F7">
        <w:rPr>
          <w:rFonts w:asciiTheme="majorHAnsi" w:hAnsiTheme="majorHAnsi"/>
          <w:b/>
          <w:bCs/>
          <w:sz w:val="20"/>
          <w:szCs w:val="20"/>
        </w:rPr>
        <w:t>ПРИСТРІЙ З МЕХАНІЧНОЮ ПЕРЕШКОДОЮ</w:t>
      </w:r>
      <w:r w:rsidRPr="000977F7">
        <w:rPr>
          <w:rFonts w:asciiTheme="majorHAnsi" w:hAnsiTheme="majorHAnsi"/>
          <w:sz w:val="20"/>
          <w:szCs w:val="20"/>
        </w:rPr>
        <w:t xml:space="preserve"> -MECHANICAL RESTRAINT DEVICE -</w:t>
      </w:r>
    </w:p>
    <w:bookmarkEnd w:id="225"/>
    <w:p w14:paraId="51E987D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Пристрій, який упроваджує в механізм механічну перешкоду (наприклад, клин, стрижень, розпірка, колодка), яка завдяки своїй міцності може запобігати небезпечному руху </w:t>
      </w:r>
    </w:p>
    <w:p w14:paraId="070E4524"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497F225C"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bookmarkStart w:id="226" w:name="_Hlk103743497"/>
      <w:r w:rsidRPr="000977F7">
        <w:rPr>
          <w:rFonts w:asciiTheme="majorHAnsi" w:hAnsiTheme="majorHAnsi"/>
          <w:b/>
          <w:bCs/>
          <w:sz w:val="20"/>
          <w:szCs w:val="20"/>
        </w:rPr>
        <w:t>ПРИСТРІЙ ОБМЕЖЕННЯ РУХУ –</w:t>
      </w:r>
    </w:p>
    <w:p w14:paraId="2D560A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LIMITED MOVEMENT CONTROL DEVICE –</w:t>
      </w:r>
    </w:p>
    <w:bookmarkEnd w:id="226"/>
    <w:p w14:paraId="58E44D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Пристрій керування, одноразова активізація якого сукупно із системою керування машини уможливлює лише обмежене переміщення машини або її частини </w:t>
      </w:r>
    </w:p>
    <w:p w14:paraId="498BE7E8"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174C9A35"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ПРИХОВАНА ВІДМОВА –</w:t>
      </w:r>
    </w:p>
    <w:p w14:paraId="70C49E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LATENT</w:t>
      </w:r>
      <w:r w:rsidRPr="000977F7">
        <w:rPr>
          <w:rFonts w:asciiTheme="majorHAnsi" w:hAnsiTheme="majorHAnsi"/>
          <w:spacing w:val="2"/>
          <w:sz w:val="20"/>
          <w:szCs w:val="20"/>
        </w:rPr>
        <w:t xml:space="preserve"> </w:t>
      </w:r>
      <w:r w:rsidRPr="000977F7">
        <w:rPr>
          <w:rFonts w:asciiTheme="majorHAnsi" w:hAnsiTheme="majorHAnsi"/>
          <w:sz w:val="20"/>
          <w:szCs w:val="20"/>
        </w:rPr>
        <w:t>FAILURE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1FF684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 що не виявляється візуально чи штатними</w:t>
      </w:r>
      <w:r w:rsidRPr="000977F7">
        <w:rPr>
          <w:rFonts w:asciiTheme="majorHAnsi" w:hAnsiTheme="majorHAnsi"/>
          <w:spacing w:val="1"/>
          <w:sz w:val="20"/>
          <w:szCs w:val="20"/>
        </w:rPr>
        <w:t xml:space="preserve"> </w:t>
      </w:r>
      <w:r w:rsidRPr="000977F7">
        <w:rPr>
          <w:rFonts w:asciiTheme="majorHAnsi" w:hAnsiTheme="majorHAnsi"/>
          <w:sz w:val="20"/>
          <w:szCs w:val="20"/>
        </w:rPr>
        <w:t>методами</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засобами</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діагностики,</w:t>
      </w:r>
      <w:r w:rsidRPr="000977F7">
        <w:rPr>
          <w:rFonts w:asciiTheme="majorHAnsi" w:hAnsiTheme="majorHAnsi"/>
          <w:spacing w:val="1"/>
          <w:sz w:val="20"/>
          <w:szCs w:val="20"/>
        </w:rPr>
        <w:t xml:space="preserve"> </w:t>
      </w:r>
      <w:r w:rsidRPr="000977F7">
        <w:rPr>
          <w:rFonts w:asciiTheme="majorHAnsi" w:hAnsiTheme="majorHAnsi"/>
          <w:sz w:val="20"/>
          <w:szCs w:val="20"/>
        </w:rPr>
        <w:t>але</w:t>
      </w:r>
      <w:r w:rsidRPr="000977F7">
        <w:rPr>
          <w:rFonts w:asciiTheme="majorHAnsi" w:hAnsiTheme="majorHAnsi"/>
          <w:spacing w:val="1"/>
          <w:sz w:val="20"/>
          <w:szCs w:val="20"/>
        </w:rPr>
        <w:t xml:space="preserve"> </w:t>
      </w:r>
      <w:r w:rsidRPr="000977F7">
        <w:rPr>
          <w:rFonts w:asciiTheme="majorHAnsi" w:hAnsiTheme="majorHAnsi"/>
          <w:sz w:val="20"/>
          <w:szCs w:val="20"/>
        </w:rPr>
        <w:t>виявляється під час проведення технічного обслуговування</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спеціальними</w:t>
      </w:r>
      <w:r w:rsidRPr="000977F7">
        <w:rPr>
          <w:rFonts w:asciiTheme="majorHAnsi" w:hAnsiTheme="majorHAnsi"/>
          <w:spacing w:val="-2"/>
          <w:sz w:val="20"/>
          <w:szCs w:val="20"/>
        </w:rPr>
        <w:t xml:space="preserve"> </w:t>
      </w:r>
      <w:r w:rsidRPr="000977F7">
        <w:rPr>
          <w:rFonts w:asciiTheme="majorHAnsi" w:hAnsiTheme="majorHAnsi"/>
          <w:sz w:val="20"/>
          <w:szCs w:val="20"/>
        </w:rPr>
        <w:t>методами</w:t>
      </w:r>
      <w:r w:rsidRPr="000977F7">
        <w:rPr>
          <w:rFonts w:asciiTheme="majorHAnsi" w:hAnsiTheme="majorHAnsi"/>
          <w:spacing w:val="-2"/>
          <w:sz w:val="20"/>
          <w:szCs w:val="20"/>
        </w:rPr>
        <w:t xml:space="preserve"> </w:t>
      </w:r>
      <w:r w:rsidRPr="000977F7">
        <w:rPr>
          <w:rFonts w:asciiTheme="majorHAnsi" w:hAnsiTheme="majorHAnsi"/>
          <w:sz w:val="20"/>
          <w:szCs w:val="20"/>
        </w:rPr>
        <w:t>діагностики</w:t>
      </w:r>
    </w:p>
    <w:p w14:paraId="7E508F8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2860 - 94</w:t>
      </w:r>
    </w:p>
    <w:p w14:paraId="739E6A0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ПРИХОВАНА</w:t>
      </w:r>
      <w:r w:rsidRPr="000977F7">
        <w:rPr>
          <w:color w:val="auto"/>
          <w:spacing w:val="-6"/>
          <w:sz w:val="20"/>
          <w:szCs w:val="20"/>
        </w:rPr>
        <w:t xml:space="preserve"> </w:t>
      </w:r>
      <w:r w:rsidRPr="000977F7">
        <w:rPr>
          <w:color w:val="auto"/>
          <w:sz w:val="20"/>
          <w:szCs w:val="20"/>
        </w:rPr>
        <w:t>НЕСПРАВНІСТЬ</w:t>
      </w:r>
      <w:r w:rsidRPr="000977F7">
        <w:rPr>
          <w:color w:val="auto"/>
          <w:spacing w:val="-4"/>
          <w:sz w:val="20"/>
          <w:szCs w:val="20"/>
        </w:rPr>
        <w:t xml:space="preserve"> </w:t>
      </w:r>
      <w:r w:rsidRPr="000977F7">
        <w:rPr>
          <w:color w:val="auto"/>
          <w:sz w:val="20"/>
          <w:szCs w:val="20"/>
        </w:rPr>
        <w:t>–</w:t>
      </w:r>
    </w:p>
    <w:p w14:paraId="1F55AB4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LATENT</w:t>
      </w:r>
      <w:r w:rsidRPr="000977F7">
        <w:rPr>
          <w:rFonts w:asciiTheme="majorHAnsi" w:hAnsiTheme="majorHAnsi"/>
          <w:spacing w:val="-1"/>
          <w:sz w:val="20"/>
          <w:szCs w:val="20"/>
        </w:rPr>
        <w:t xml:space="preserve"> </w:t>
      </w:r>
      <w:r w:rsidRPr="000977F7">
        <w:rPr>
          <w:rFonts w:asciiTheme="majorHAnsi" w:hAnsiTheme="majorHAnsi"/>
          <w:sz w:val="20"/>
          <w:szCs w:val="20"/>
        </w:rPr>
        <w:t>FAULT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4980FC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Несправність,</w:t>
      </w:r>
      <w:r w:rsidRPr="000977F7">
        <w:rPr>
          <w:rFonts w:asciiTheme="majorHAnsi" w:hAnsiTheme="majorHAnsi"/>
          <w:spacing w:val="-3"/>
          <w:sz w:val="20"/>
          <w:szCs w:val="20"/>
        </w:rPr>
        <w:t xml:space="preserve"> </w:t>
      </w:r>
      <w:r w:rsidRPr="000977F7">
        <w:rPr>
          <w:rFonts w:asciiTheme="majorHAnsi" w:hAnsiTheme="majorHAnsi"/>
          <w:sz w:val="20"/>
          <w:szCs w:val="20"/>
        </w:rPr>
        <w:t>яка</w:t>
      </w:r>
      <w:r w:rsidRPr="000977F7">
        <w:rPr>
          <w:rFonts w:asciiTheme="majorHAnsi" w:hAnsiTheme="majorHAnsi"/>
          <w:spacing w:val="-3"/>
          <w:sz w:val="20"/>
          <w:szCs w:val="20"/>
        </w:rPr>
        <w:t xml:space="preserve"> </w:t>
      </w:r>
      <w:r w:rsidRPr="000977F7">
        <w:rPr>
          <w:rFonts w:asciiTheme="majorHAnsi" w:hAnsiTheme="majorHAnsi"/>
          <w:sz w:val="20"/>
          <w:szCs w:val="20"/>
        </w:rPr>
        <w:t>існує,</w:t>
      </w:r>
      <w:r w:rsidRPr="000977F7">
        <w:rPr>
          <w:rFonts w:asciiTheme="majorHAnsi" w:hAnsiTheme="majorHAnsi"/>
          <w:spacing w:val="-3"/>
          <w:sz w:val="20"/>
          <w:szCs w:val="20"/>
        </w:rPr>
        <w:t xml:space="preserve"> </w:t>
      </w:r>
      <w:r w:rsidRPr="000977F7">
        <w:rPr>
          <w:rFonts w:asciiTheme="majorHAnsi" w:hAnsiTheme="majorHAnsi"/>
          <w:sz w:val="20"/>
          <w:szCs w:val="20"/>
        </w:rPr>
        <w:t>але ще</w:t>
      </w:r>
      <w:r w:rsidRPr="000977F7">
        <w:rPr>
          <w:rFonts w:asciiTheme="majorHAnsi" w:hAnsiTheme="majorHAnsi"/>
          <w:spacing w:val="-3"/>
          <w:sz w:val="20"/>
          <w:szCs w:val="20"/>
        </w:rPr>
        <w:t xml:space="preserve"> </w:t>
      </w:r>
      <w:r w:rsidRPr="000977F7">
        <w:rPr>
          <w:rFonts w:asciiTheme="majorHAnsi" w:hAnsiTheme="majorHAnsi"/>
          <w:sz w:val="20"/>
          <w:szCs w:val="20"/>
        </w:rPr>
        <w:t>не</w:t>
      </w:r>
      <w:r w:rsidRPr="000977F7">
        <w:rPr>
          <w:rFonts w:asciiTheme="majorHAnsi" w:hAnsiTheme="majorHAnsi"/>
          <w:spacing w:val="-3"/>
          <w:sz w:val="20"/>
          <w:szCs w:val="20"/>
        </w:rPr>
        <w:t xml:space="preserve"> </w:t>
      </w:r>
      <w:r w:rsidRPr="000977F7">
        <w:rPr>
          <w:rFonts w:asciiTheme="majorHAnsi" w:hAnsiTheme="majorHAnsi"/>
          <w:sz w:val="20"/>
          <w:szCs w:val="20"/>
        </w:rPr>
        <w:t>виявлена</w:t>
      </w:r>
    </w:p>
    <w:p w14:paraId="48A1B7A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2860 - 94</w:t>
      </w:r>
    </w:p>
    <w:p w14:paraId="7F0F7F9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ПРИЧИНА</w:t>
      </w:r>
      <w:r w:rsidRPr="000977F7">
        <w:rPr>
          <w:color w:val="auto"/>
          <w:spacing w:val="-2"/>
          <w:sz w:val="20"/>
          <w:szCs w:val="20"/>
        </w:rPr>
        <w:t xml:space="preserve"> </w:t>
      </w:r>
      <w:r w:rsidRPr="000977F7">
        <w:rPr>
          <w:color w:val="auto"/>
          <w:sz w:val="20"/>
          <w:szCs w:val="20"/>
        </w:rPr>
        <w:t>ВІДМОВИ</w:t>
      </w:r>
      <w:r w:rsidRPr="000977F7">
        <w:rPr>
          <w:color w:val="auto"/>
          <w:spacing w:val="-2"/>
          <w:sz w:val="20"/>
          <w:szCs w:val="20"/>
        </w:rPr>
        <w:t xml:space="preserve"> </w:t>
      </w:r>
      <w:r w:rsidRPr="000977F7">
        <w:rPr>
          <w:color w:val="auto"/>
          <w:sz w:val="20"/>
          <w:szCs w:val="20"/>
        </w:rPr>
        <w:t>–</w:t>
      </w:r>
    </w:p>
    <w:p w14:paraId="109FDD9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FAILURE</w:t>
      </w:r>
      <w:r w:rsidRPr="000977F7">
        <w:rPr>
          <w:rFonts w:asciiTheme="majorHAnsi" w:hAnsiTheme="majorHAnsi"/>
          <w:spacing w:val="-3"/>
          <w:sz w:val="20"/>
          <w:szCs w:val="20"/>
        </w:rPr>
        <w:t xml:space="preserve"> </w:t>
      </w:r>
      <w:r w:rsidRPr="000977F7">
        <w:rPr>
          <w:rFonts w:asciiTheme="majorHAnsi" w:hAnsiTheme="majorHAnsi"/>
          <w:sz w:val="20"/>
          <w:szCs w:val="20"/>
        </w:rPr>
        <w:t>CAUSE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003BF3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Обставини під час проектування, виробництва чи використання</w:t>
      </w:r>
      <w:r w:rsidRPr="000977F7">
        <w:rPr>
          <w:rFonts w:asciiTheme="majorHAnsi" w:hAnsiTheme="majorHAnsi"/>
          <w:spacing w:val="-2"/>
          <w:sz w:val="20"/>
          <w:szCs w:val="20"/>
        </w:rPr>
        <w:t xml:space="preserve"> </w:t>
      </w:r>
      <w:r w:rsidRPr="000977F7">
        <w:rPr>
          <w:rFonts w:asciiTheme="majorHAnsi" w:hAnsiTheme="majorHAnsi"/>
          <w:sz w:val="20"/>
          <w:szCs w:val="20"/>
        </w:rPr>
        <w:t>об’єкта, які</w:t>
      </w:r>
      <w:r w:rsidRPr="000977F7">
        <w:rPr>
          <w:rFonts w:asciiTheme="majorHAnsi" w:hAnsiTheme="majorHAnsi"/>
          <w:spacing w:val="1"/>
          <w:sz w:val="20"/>
          <w:szCs w:val="20"/>
        </w:rPr>
        <w:t xml:space="preserve"> </w:t>
      </w:r>
      <w:r w:rsidRPr="000977F7">
        <w:rPr>
          <w:rFonts w:asciiTheme="majorHAnsi" w:hAnsiTheme="majorHAnsi"/>
          <w:sz w:val="20"/>
          <w:szCs w:val="20"/>
        </w:rPr>
        <w:t>привели</w:t>
      </w:r>
      <w:r w:rsidRPr="000977F7">
        <w:rPr>
          <w:rFonts w:asciiTheme="majorHAnsi" w:hAnsiTheme="majorHAnsi"/>
          <w:spacing w:val="-2"/>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відмови</w:t>
      </w:r>
    </w:p>
    <w:p w14:paraId="0ACC96E0"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2860 – 94</w:t>
      </w:r>
      <w:r w:rsidRPr="000977F7">
        <w:rPr>
          <w:rFonts w:asciiTheme="majorHAnsi" w:hAnsiTheme="majorHAnsi"/>
          <w:i/>
          <w:spacing w:val="-47"/>
          <w:sz w:val="20"/>
          <w:szCs w:val="20"/>
        </w:rPr>
        <w:t xml:space="preserve"> </w:t>
      </w:r>
    </w:p>
    <w:p w14:paraId="65C4D1A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ПРІОРИТЕТ ЗАЯВКИ –</w:t>
      </w:r>
    </w:p>
    <w:p w14:paraId="4AAD1D43"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Першість у поданні заявки</w:t>
      </w:r>
    </w:p>
    <w:p w14:paraId="6E486263"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охорону прав на промислові зразки"</w:t>
      </w:r>
    </w:p>
    <w:p w14:paraId="69F36201"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1"/>
          <w:sz w:val="20"/>
          <w:szCs w:val="20"/>
          <w:lang w:val="uk-UA"/>
        </w:rPr>
      </w:pPr>
      <w:r w:rsidRPr="004D2D14">
        <w:rPr>
          <w:rFonts w:asciiTheme="majorHAnsi" w:hAnsiTheme="majorHAnsi"/>
          <w:b/>
          <w:sz w:val="20"/>
          <w:szCs w:val="20"/>
          <w:lang w:val="uk-UA"/>
        </w:rPr>
        <w:t>ПРОБА –</w:t>
      </w:r>
    </w:p>
    <w:p w14:paraId="3903ABE3"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0977F7">
        <w:rPr>
          <w:rFonts w:asciiTheme="majorHAnsi" w:hAnsiTheme="majorHAnsi"/>
          <w:sz w:val="20"/>
          <w:szCs w:val="20"/>
        </w:rPr>
        <w:t>SAMPLE</w:t>
      </w:r>
      <w:r w:rsidRPr="004D2D14">
        <w:rPr>
          <w:rFonts w:asciiTheme="majorHAnsi" w:hAnsiTheme="majorHAnsi"/>
          <w:sz w:val="20"/>
          <w:szCs w:val="20"/>
          <w:lang w:val="uk-UA"/>
        </w:rPr>
        <w:t xml:space="preserve"> –</w:t>
      </w:r>
    </w:p>
    <w:p w14:paraId="5CE5F00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Кількість непоштучної продукції, відібрана з контрольованої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сукупності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прийняття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рішення</w:t>
      </w:r>
    </w:p>
    <w:p w14:paraId="7C36A1E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3514</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97</w:t>
      </w:r>
    </w:p>
    <w:p w14:paraId="56EDCE7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ПРОВАЙДЕР</w:t>
      </w:r>
      <w:r w:rsidRPr="000977F7">
        <w:rPr>
          <w:color w:val="auto"/>
          <w:spacing w:val="6"/>
          <w:sz w:val="20"/>
          <w:szCs w:val="20"/>
        </w:rPr>
        <w:t xml:space="preserve"> -</w:t>
      </w:r>
    </w:p>
    <w:p w14:paraId="7C16AA3B" w14:textId="77777777" w:rsidR="0097612F" w:rsidRPr="004D2D14" w:rsidRDefault="0097612F" w:rsidP="000977F7">
      <w:pPr>
        <w:pStyle w:val="af6"/>
        <w:tabs>
          <w:tab w:val="left" w:pos="284"/>
          <w:tab w:val="left" w:pos="2533"/>
          <w:tab w:val="left" w:pos="3866"/>
        </w:tabs>
        <w:spacing w:after="0"/>
        <w:ind w:left="170"/>
        <w:mirrorIndents/>
        <w:jc w:val="both"/>
        <w:rPr>
          <w:rFonts w:asciiTheme="majorHAnsi" w:hAnsiTheme="majorHAnsi"/>
          <w:b/>
          <w:sz w:val="20"/>
          <w:szCs w:val="20"/>
          <w:lang w:val="uk-UA"/>
        </w:rPr>
      </w:pPr>
      <w:r w:rsidRPr="000977F7">
        <w:rPr>
          <w:rFonts w:asciiTheme="majorHAnsi" w:hAnsiTheme="majorHAnsi"/>
          <w:sz w:val="20"/>
          <w:szCs w:val="20"/>
        </w:rPr>
        <w:t>SUOPLIER</w:t>
      </w:r>
      <w:r w:rsidRPr="004D2D14">
        <w:rPr>
          <w:rFonts w:asciiTheme="majorHAnsi" w:hAnsiTheme="majorHAnsi"/>
          <w:sz w:val="20"/>
          <w:szCs w:val="20"/>
          <w:lang w:val="uk-UA"/>
        </w:rPr>
        <w:t xml:space="preserve">, </w:t>
      </w:r>
      <w:r w:rsidRPr="000977F7">
        <w:rPr>
          <w:rFonts w:asciiTheme="majorHAnsi" w:hAnsiTheme="majorHAnsi"/>
          <w:sz w:val="20"/>
          <w:szCs w:val="20"/>
        </w:rPr>
        <w:t>PROVIDER</w:t>
      </w:r>
      <w:r w:rsidRPr="004D2D14">
        <w:rPr>
          <w:rFonts w:asciiTheme="majorHAnsi" w:hAnsiTheme="majorHAnsi"/>
          <w:i/>
          <w:sz w:val="20"/>
          <w:szCs w:val="20"/>
          <w:lang w:val="uk-UA"/>
        </w:rPr>
        <w:t xml:space="preserve"> -</w:t>
      </w:r>
    </w:p>
    <w:p w14:paraId="0C8D9512"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4D2D14">
        <w:rPr>
          <w:rFonts w:asciiTheme="majorHAnsi" w:hAnsiTheme="majorHAnsi"/>
          <w:sz w:val="20"/>
          <w:szCs w:val="20"/>
          <w:lang w:val="uk-UA"/>
        </w:rPr>
        <w:t>Особа чи організація, яка постачає продукцію чи послугу</w:t>
      </w:r>
    </w:p>
    <w:p w14:paraId="2E9C7BE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444B0944" w14:textId="77777777" w:rsidR="0097612F" w:rsidRPr="000977F7" w:rsidRDefault="0097612F" w:rsidP="000977F7">
      <w:pPr>
        <w:pStyle w:val="7"/>
        <w:tabs>
          <w:tab w:val="left" w:pos="284"/>
        </w:tabs>
        <w:spacing w:before="0" w:line="240" w:lineRule="auto"/>
        <w:ind w:left="170"/>
        <w:mirrorIndents/>
        <w:jc w:val="both"/>
        <w:rPr>
          <w:color w:val="auto"/>
          <w:spacing w:val="5"/>
          <w:sz w:val="20"/>
          <w:szCs w:val="20"/>
        </w:rPr>
      </w:pPr>
      <w:r w:rsidRPr="000977F7">
        <w:rPr>
          <w:color w:val="auto"/>
          <w:sz w:val="20"/>
          <w:szCs w:val="20"/>
        </w:rPr>
        <w:t>ПРОВАЙДЕР</w:t>
      </w:r>
      <w:r w:rsidRPr="000977F7">
        <w:rPr>
          <w:color w:val="auto"/>
          <w:spacing w:val="6"/>
          <w:sz w:val="20"/>
          <w:szCs w:val="20"/>
        </w:rPr>
        <w:t xml:space="preserve"> </w:t>
      </w:r>
      <w:r w:rsidRPr="000977F7">
        <w:rPr>
          <w:color w:val="auto"/>
          <w:sz w:val="20"/>
          <w:szCs w:val="20"/>
        </w:rPr>
        <w:t>ПРОЦЕСУ</w:t>
      </w:r>
      <w:r w:rsidRPr="000977F7">
        <w:rPr>
          <w:color w:val="auto"/>
          <w:spacing w:val="6"/>
          <w:sz w:val="20"/>
          <w:szCs w:val="20"/>
        </w:rPr>
        <w:t xml:space="preserve"> </w:t>
      </w:r>
      <w:r w:rsidRPr="000977F7">
        <w:rPr>
          <w:color w:val="auto"/>
          <w:sz w:val="20"/>
          <w:szCs w:val="20"/>
        </w:rPr>
        <w:t>РОЗВ’ЯЗАННЯ</w:t>
      </w:r>
    </w:p>
    <w:p w14:paraId="0DAF4B33"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 xml:space="preserve">СПОРІВ </w:t>
      </w:r>
      <w:r w:rsidRPr="000977F7">
        <w:rPr>
          <w:b w:val="0"/>
          <w:color w:val="auto"/>
          <w:sz w:val="20"/>
          <w:szCs w:val="20"/>
        </w:rPr>
        <w:t>–</w:t>
      </w:r>
    </w:p>
    <w:p w14:paraId="18E4A0AC"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 xml:space="preserve">DRP-PROVIDER; DISPUTE </w:t>
      </w:r>
      <w:r w:rsidRPr="000977F7">
        <w:rPr>
          <w:b w:val="0"/>
          <w:bCs/>
          <w:color w:val="auto"/>
          <w:spacing w:val="-1"/>
          <w:sz w:val="20"/>
          <w:szCs w:val="20"/>
        </w:rPr>
        <w:t>RESOLUTION</w:t>
      </w:r>
      <w:r w:rsidRPr="000977F7">
        <w:rPr>
          <w:b w:val="0"/>
          <w:bCs/>
          <w:color w:val="auto"/>
          <w:spacing w:val="-47"/>
          <w:sz w:val="20"/>
          <w:szCs w:val="20"/>
        </w:rPr>
        <w:t xml:space="preserve">        -</w:t>
      </w:r>
      <w:r w:rsidRPr="000977F7">
        <w:rPr>
          <w:b w:val="0"/>
          <w:bCs/>
          <w:color w:val="auto"/>
          <w:sz w:val="20"/>
          <w:szCs w:val="20"/>
        </w:rPr>
        <w:t>PROCESS</w:t>
      </w:r>
      <w:r w:rsidRPr="000977F7">
        <w:rPr>
          <w:b w:val="0"/>
          <w:bCs/>
          <w:color w:val="auto"/>
          <w:spacing w:val="-1"/>
          <w:sz w:val="20"/>
          <w:szCs w:val="20"/>
        </w:rPr>
        <w:t xml:space="preserve"> </w:t>
      </w:r>
      <w:r w:rsidRPr="000977F7">
        <w:rPr>
          <w:b w:val="0"/>
          <w:bCs/>
          <w:color w:val="auto"/>
          <w:sz w:val="20"/>
          <w:szCs w:val="20"/>
        </w:rPr>
        <w:t>PROVIDER -</w:t>
      </w:r>
    </w:p>
    <w:p w14:paraId="15F4A25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Особа чи організація, яка забезпечує та здійснює процес</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зовнішнього розв'язання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спорів</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w:t>
      </w:r>
    </w:p>
    <w:p w14:paraId="650535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Зазвичай провайдер процесу розв'язання</w:t>
      </w:r>
      <w:r w:rsidRPr="000977F7">
        <w:rPr>
          <w:rFonts w:asciiTheme="majorHAnsi" w:hAnsiTheme="majorHAnsi"/>
          <w:spacing w:val="1"/>
          <w:sz w:val="20"/>
          <w:szCs w:val="20"/>
        </w:rPr>
        <w:t xml:space="preserve"> </w:t>
      </w:r>
      <w:r w:rsidRPr="000977F7">
        <w:rPr>
          <w:rFonts w:asciiTheme="majorHAnsi" w:hAnsiTheme="majorHAnsi"/>
          <w:sz w:val="20"/>
          <w:szCs w:val="20"/>
        </w:rPr>
        <w:t>спорів - це юридична особа, не пов</w:t>
      </w:r>
      <w:bookmarkStart w:id="227" w:name="_Hlk105593836"/>
      <w:r w:rsidRPr="000977F7">
        <w:rPr>
          <w:rFonts w:asciiTheme="majorHAnsi" w:hAnsiTheme="majorHAnsi"/>
          <w:sz w:val="20"/>
          <w:szCs w:val="20"/>
        </w:rPr>
        <w:t>'</w:t>
      </w:r>
      <w:bookmarkEnd w:id="227"/>
      <w:r w:rsidRPr="000977F7">
        <w:rPr>
          <w:rFonts w:asciiTheme="majorHAnsi" w:hAnsiTheme="majorHAnsi"/>
          <w:sz w:val="20"/>
          <w:szCs w:val="20"/>
        </w:rPr>
        <w:t>язана з організацією, чи приватна особа, а також скаржник. Саме це</w:t>
      </w:r>
      <w:r w:rsidRPr="000977F7">
        <w:rPr>
          <w:rFonts w:asciiTheme="majorHAnsi" w:hAnsiTheme="majorHAnsi"/>
          <w:spacing w:val="1"/>
          <w:sz w:val="20"/>
          <w:szCs w:val="20"/>
        </w:rPr>
        <w:t xml:space="preserve"> </w:t>
      </w:r>
      <w:r w:rsidRPr="000977F7">
        <w:rPr>
          <w:rFonts w:asciiTheme="majorHAnsi" w:hAnsiTheme="majorHAnsi"/>
          <w:sz w:val="20"/>
          <w:szCs w:val="20"/>
        </w:rPr>
        <w:t>підкреслює</w:t>
      </w:r>
      <w:r w:rsidRPr="000977F7">
        <w:rPr>
          <w:rFonts w:asciiTheme="majorHAnsi" w:hAnsiTheme="majorHAnsi"/>
          <w:spacing w:val="1"/>
          <w:sz w:val="20"/>
          <w:szCs w:val="20"/>
        </w:rPr>
        <w:t xml:space="preserve"> </w:t>
      </w:r>
      <w:r w:rsidRPr="000977F7">
        <w:rPr>
          <w:rFonts w:asciiTheme="majorHAnsi" w:hAnsiTheme="majorHAnsi"/>
          <w:sz w:val="20"/>
          <w:szCs w:val="20"/>
        </w:rPr>
        <w:t>такі</w:t>
      </w:r>
      <w:r w:rsidRPr="000977F7">
        <w:rPr>
          <w:rFonts w:asciiTheme="majorHAnsi" w:hAnsiTheme="majorHAnsi"/>
          <w:spacing w:val="1"/>
          <w:sz w:val="20"/>
          <w:szCs w:val="20"/>
        </w:rPr>
        <w:t xml:space="preserve"> </w:t>
      </w:r>
      <w:r w:rsidRPr="000977F7">
        <w:rPr>
          <w:rFonts w:asciiTheme="majorHAnsi" w:hAnsiTheme="majorHAnsi"/>
          <w:sz w:val="20"/>
          <w:szCs w:val="20"/>
        </w:rPr>
        <w:t>ознаки,</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незалежність</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чесність.</w:t>
      </w:r>
      <w:r w:rsidRPr="000977F7">
        <w:rPr>
          <w:rFonts w:asciiTheme="majorHAnsi" w:hAnsiTheme="majorHAnsi"/>
          <w:spacing w:val="-47"/>
          <w:sz w:val="20"/>
          <w:szCs w:val="20"/>
        </w:rPr>
        <w:t xml:space="preserve"> </w:t>
      </w:r>
      <w:r w:rsidRPr="000977F7">
        <w:rPr>
          <w:rFonts w:asciiTheme="majorHAnsi" w:hAnsiTheme="majorHAnsi"/>
          <w:sz w:val="20"/>
          <w:szCs w:val="20"/>
        </w:rPr>
        <w:t>Інколи в межах організації засновують окремий підрозділ,</w:t>
      </w:r>
      <w:r w:rsidRPr="000977F7">
        <w:rPr>
          <w:rFonts w:asciiTheme="majorHAnsi" w:hAnsiTheme="majorHAnsi"/>
          <w:spacing w:val="-1"/>
          <w:sz w:val="20"/>
          <w:szCs w:val="20"/>
        </w:rPr>
        <w:t xml:space="preserve"> </w:t>
      </w:r>
      <w:r w:rsidRPr="000977F7">
        <w:rPr>
          <w:rFonts w:asciiTheme="majorHAnsi" w:hAnsiTheme="majorHAnsi"/>
          <w:sz w:val="20"/>
          <w:szCs w:val="20"/>
        </w:rPr>
        <w:t>щоб</w:t>
      </w:r>
      <w:r w:rsidRPr="000977F7">
        <w:rPr>
          <w:rFonts w:asciiTheme="majorHAnsi" w:hAnsiTheme="majorHAnsi"/>
          <w:spacing w:val="-1"/>
          <w:sz w:val="20"/>
          <w:szCs w:val="20"/>
        </w:rPr>
        <w:t xml:space="preserve"> </w:t>
      </w:r>
      <w:r w:rsidRPr="000977F7">
        <w:rPr>
          <w:rFonts w:asciiTheme="majorHAnsi" w:hAnsiTheme="majorHAnsi"/>
          <w:sz w:val="20"/>
          <w:szCs w:val="20"/>
        </w:rPr>
        <w:t>розглядати</w:t>
      </w:r>
      <w:r w:rsidRPr="000977F7">
        <w:rPr>
          <w:rFonts w:asciiTheme="majorHAnsi" w:hAnsiTheme="majorHAnsi"/>
          <w:spacing w:val="-1"/>
          <w:sz w:val="20"/>
          <w:szCs w:val="20"/>
        </w:rPr>
        <w:t xml:space="preserve"> </w:t>
      </w:r>
      <w:r w:rsidRPr="000977F7">
        <w:rPr>
          <w:rFonts w:asciiTheme="majorHAnsi" w:hAnsiTheme="majorHAnsi"/>
          <w:sz w:val="20"/>
          <w:szCs w:val="20"/>
        </w:rPr>
        <w:t>невирішені скарги</w:t>
      </w:r>
      <w:r w:rsidRPr="000977F7">
        <w:rPr>
          <w:rFonts w:asciiTheme="majorHAnsi" w:hAnsiTheme="majorHAnsi"/>
          <w:spacing w:val="-1"/>
          <w:sz w:val="20"/>
          <w:szCs w:val="20"/>
        </w:rPr>
        <w:t>.</w:t>
      </w:r>
    </w:p>
    <w:p w14:paraId="13E460C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1"/>
          <w:sz w:val="20"/>
          <w:szCs w:val="20"/>
        </w:rPr>
        <w:t xml:space="preserve"> </w:t>
      </w:r>
      <w:r w:rsidRPr="000977F7">
        <w:rPr>
          <w:rFonts w:asciiTheme="majorHAnsi" w:hAnsiTheme="majorHAnsi"/>
          <w:sz w:val="20"/>
          <w:szCs w:val="20"/>
        </w:rPr>
        <w:t>2.</w:t>
      </w:r>
      <w:r w:rsidRPr="000977F7">
        <w:rPr>
          <w:rFonts w:asciiTheme="majorHAnsi" w:hAnsiTheme="majorHAnsi"/>
          <w:spacing w:val="1"/>
          <w:sz w:val="20"/>
          <w:szCs w:val="20"/>
        </w:rPr>
        <w:t xml:space="preserve"> </w:t>
      </w:r>
      <w:r w:rsidRPr="000977F7">
        <w:rPr>
          <w:rFonts w:asciiTheme="majorHAnsi" w:hAnsiTheme="majorHAnsi"/>
          <w:sz w:val="20"/>
          <w:szCs w:val="20"/>
        </w:rPr>
        <w:t>Провайдер</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розв</w:t>
      </w:r>
      <w:bookmarkStart w:id="228" w:name="_Hlk105593761"/>
      <w:r w:rsidRPr="000977F7">
        <w:rPr>
          <w:rFonts w:asciiTheme="majorHAnsi" w:hAnsiTheme="majorHAnsi"/>
          <w:sz w:val="20"/>
          <w:szCs w:val="20"/>
        </w:rPr>
        <w:t>'</w:t>
      </w:r>
      <w:bookmarkEnd w:id="228"/>
      <w:r w:rsidRPr="000977F7">
        <w:rPr>
          <w:rFonts w:asciiTheme="majorHAnsi" w:hAnsiTheme="majorHAnsi"/>
          <w:sz w:val="20"/>
          <w:szCs w:val="20"/>
        </w:rPr>
        <w:t>язання</w:t>
      </w:r>
      <w:r w:rsidRPr="000977F7">
        <w:rPr>
          <w:rFonts w:asciiTheme="majorHAnsi" w:hAnsiTheme="majorHAnsi"/>
          <w:spacing w:val="1"/>
          <w:sz w:val="20"/>
          <w:szCs w:val="20"/>
        </w:rPr>
        <w:t xml:space="preserve"> </w:t>
      </w:r>
      <w:r w:rsidRPr="000977F7">
        <w:rPr>
          <w:rFonts w:asciiTheme="majorHAnsi" w:hAnsiTheme="majorHAnsi"/>
          <w:sz w:val="20"/>
          <w:szCs w:val="20"/>
        </w:rPr>
        <w:t>спорів</w:t>
      </w:r>
      <w:r w:rsidRPr="000977F7">
        <w:rPr>
          <w:rFonts w:asciiTheme="majorHAnsi" w:hAnsiTheme="majorHAnsi"/>
          <w:spacing w:val="1"/>
          <w:sz w:val="20"/>
          <w:szCs w:val="20"/>
        </w:rPr>
        <w:t xml:space="preserve"> </w:t>
      </w:r>
      <w:r w:rsidRPr="000977F7">
        <w:rPr>
          <w:rFonts w:asciiTheme="majorHAnsi" w:hAnsiTheme="majorHAnsi"/>
          <w:sz w:val="20"/>
          <w:szCs w:val="20"/>
        </w:rPr>
        <w:t>укладає зі сторонами контракт</w:t>
      </w:r>
      <w:r w:rsidRPr="000977F7">
        <w:rPr>
          <w:rFonts w:asciiTheme="majorHAnsi" w:hAnsiTheme="majorHAnsi"/>
          <w:spacing w:val="1"/>
          <w:sz w:val="20"/>
          <w:szCs w:val="20"/>
        </w:rPr>
        <w:t xml:space="preserve"> </w:t>
      </w:r>
      <w:r w:rsidRPr="000977F7">
        <w:rPr>
          <w:rFonts w:asciiTheme="majorHAnsi" w:hAnsiTheme="majorHAnsi"/>
          <w:sz w:val="20"/>
          <w:szCs w:val="20"/>
        </w:rPr>
        <w:t>на забезпечення розв'язання спору та відповідає за його дієвість.</w:t>
      </w:r>
      <w:r w:rsidRPr="000977F7">
        <w:rPr>
          <w:rFonts w:asciiTheme="majorHAnsi" w:hAnsiTheme="majorHAnsi"/>
          <w:spacing w:val="1"/>
          <w:sz w:val="20"/>
          <w:szCs w:val="20"/>
        </w:rPr>
        <w:t xml:space="preserve"> </w:t>
      </w:r>
      <w:r w:rsidRPr="000977F7">
        <w:rPr>
          <w:rFonts w:asciiTheme="majorHAnsi" w:hAnsiTheme="majorHAnsi"/>
          <w:sz w:val="20"/>
          <w:szCs w:val="20"/>
        </w:rPr>
        <w:t>Провайдер</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розв'язання</w:t>
      </w:r>
      <w:r w:rsidRPr="000977F7">
        <w:rPr>
          <w:rFonts w:asciiTheme="majorHAnsi" w:hAnsiTheme="majorHAnsi"/>
          <w:spacing w:val="1"/>
          <w:sz w:val="20"/>
          <w:szCs w:val="20"/>
        </w:rPr>
        <w:t xml:space="preserve"> </w:t>
      </w:r>
      <w:r w:rsidRPr="000977F7">
        <w:rPr>
          <w:rFonts w:asciiTheme="majorHAnsi" w:hAnsiTheme="majorHAnsi"/>
          <w:sz w:val="20"/>
          <w:szCs w:val="20"/>
        </w:rPr>
        <w:t>спорів</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забезпечує</w:t>
      </w:r>
      <w:r w:rsidRPr="000977F7">
        <w:rPr>
          <w:rFonts w:asciiTheme="majorHAnsi" w:hAnsiTheme="majorHAnsi"/>
          <w:spacing w:val="1"/>
          <w:sz w:val="20"/>
          <w:szCs w:val="20"/>
        </w:rPr>
        <w:t xml:space="preserve"> </w:t>
      </w:r>
      <w:r w:rsidRPr="000977F7">
        <w:rPr>
          <w:rFonts w:asciiTheme="majorHAnsi" w:hAnsiTheme="majorHAnsi"/>
          <w:sz w:val="20"/>
          <w:szCs w:val="20"/>
        </w:rPr>
        <w:t>участь</w:t>
      </w:r>
      <w:r w:rsidRPr="000977F7">
        <w:rPr>
          <w:rFonts w:asciiTheme="majorHAnsi" w:hAnsiTheme="majorHAnsi"/>
          <w:spacing w:val="1"/>
          <w:sz w:val="20"/>
          <w:szCs w:val="20"/>
        </w:rPr>
        <w:t xml:space="preserve"> </w:t>
      </w:r>
      <w:r w:rsidRPr="000977F7">
        <w:rPr>
          <w:rFonts w:asciiTheme="majorHAnsi" w:hAnsiTheme="majorHAnsi"/>
          <w:sz w:val="20"/>
          <w:szCs w:val="20"/>
        </w:rPr>
        <w:t>розв'язувачів спорів. Провайдер процесу розв'язання</w:t>
      </w:r>
      <w:r w:rsidRPr="000977F7">
        <w:rPr>
          <w:rFonts w:asciiTheme="majorHAnsi" w:hAnsiTheme="majorHAnsi"/>
          <w:spacing w:val="1"/>
          <w:sz w:val="20"/>
          <w:szCs w:val="20"/>
        </w:rPr>
        <w:t xml:space="preserve"> </w:t>
      </w:r>
      <w:r w:rsidRPr="000977F7">
        <w:rPr>
          <w:rFonts w:asciiTheme="majorHAnsi" w:hAnsiTheme="majorHAnsi"/>
          <w:sz w:val="20"/>
          <w:szCs w:val="20"/>
        </w:rPr>
        <w:t>спорів також залучає допоміжний, виконавчий та інший управлінський штатний персонал, щоб забезпечити фінансові ресурси, канцтовари, допомогу у складанні планів-графіків, навчання, приміщення для засідань</w:t>
      </w:r>
      <w:r w:rsidRPr="000977F7">
        <w:rPr>
          <w:rFonts w:asciiTheme="majorHAnsi" w:hAnsiTheme="majorHAnsi"/>
          <w:spacing w:val="-1"/>
          <w:sz w:val="20"/>
          <w:szCs w:val="20"/>
        </w:rPr>
        <w:t xml:space="preserve"> </w:t>
      </w:r>
      <w:r w:rsidRPr="000977F7">
        <w:rPr>
          <w:rFonts w:asciiTheme="majorHAnsi" w:hAnsiTheme="majorHAnsi"/>
          <w:sz w:val="20"/>
          <w:szCs w:val="20"/>
        </w:rPr>
        <w:t>наглядові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подібні</w:t>
      </w:r>
      <w:r w:rsidRPr="000977F7">
        <w:rPr>
          <w:rFonts w:asciiTheme="majorHAnsi" w:hAnsiTheme="majorHAnsi"/>
          <w:spacing w:val="-1"/>
          <w:sz w:val="20"/>
          <w:szCs w:val="20"/>
        </w:rPr>
        <w:t xml:space="preserve"> </w:t>
      </w:r>
      <w:r w:rsidRPr="000977F7">
        <w:rPr>
          <w:rFonts w:asciiTheme="majorHAnsi" w:hAnsiTheme="majorHAnsi"/>
          <w:sz w:val="20"/>
          <w:szCs w:val="20"/>
        </w:rPr>
        <w:t>функції.</w:t>
      </w:r>
    </w:p>
    <w:p w14:paraId="3B61841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3. Провайдерами процесу розв’язання спорів можуть бути суб'єкти різної організаційно правової форми, зокрема некомерційні, комерційні та державні.</w:t>
      </w:r>
      <w:r w:rsidRPr="000977F7">
        <w:rPr>
          <w:rFonts w:asciiTheme="majorHAnsi" w:hAnsiTheme="majorHAnsi"/>
          <w:spacing w:val="1"/>
          <w:sz w:val="20"/>
          <w:szCs w:val="20"/>
        </w:rPr>
        <w:t xml:space="preserve"> </w:t>
      </w:r>
      <w:r w:rsidRPr="000977F7">
        <w:rPr>
          <w:rFonts w:asciiTheme="majorHAnsi" w:hAnsiTheme="majorHAnsi"/>
          <w:sz w:val="20"/>
          <w:szCs w:val="20"/>
        </w:rPr>
        <w:t>Асоціація</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провайдером</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5"/>
          <w:sz w:val="20"/>
          <w:szCs w:val="20"/>
        </w:rPr>
        <w:t xml:space="preserve"> </w:t>
      </w:r>
      <w:r w:rsidRPr="000977F7">
        <w:rPr>
          <w:rFonts w:asciiTheme="majorHAnsi" w:hAnsiTheme="majorHAnsi"/>
          <w:sz w:val="20"/>
          <w:szCs w:val="20"/>
        </w:rPr>
        <w:t>розв'язання</w:t>
      </w:r>
      <w:r w:rsidRPr="000977F7">
        <w:rPr>
          <w:rFonts w:asciiTheme="majorHAnsi" w:hAnsiTheme="majorHAnsi"/>
          <w:spacing w:val="-1"/>
          <w:sz w:val="20"/>
          <w:szCs w:val="20"/>
        </w:rPr>
        <w:t xml:space="preserve"> </w:t>
      </w:r>
      <w:r w:rsidRPr="000977F7">
        <w:rPr>
          <w:rFonts w:asciiTheme="majorHAnsi" w:hAnsiTheme="majorHAnsi"/>
          <w:sz w:val="20"/>
          <w:szCs w:val="20"/>
        </w:rPr>
        <w:t>спорів.</w:t>
      </w:r>
    </w:p>
    <w:p w14:paraId="271633D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19D06B4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ПРОВАЛ</w:t>
      </w:r>
      <w:r w:rsidRPr="000977F7">
        <w:rPr>
          <w:color w:val="auto"/>
          <w:spacing w:val="-3"/>
          <w:sz w:val="20"/>
          <w:szCs w:val="20"/>
        </w:rPr>
        <w:t xml:space="preserve"> </w:t>
      </w:r>
      <w:r w:rsidRPr="000977F7">
        <w:rPr>
          <w:color w:val="auto"/>
          <w:sz w:val="20"/>
          <w:szCs w:val="20"/>
        </w:rPr>
        <w:t>НАПРУГИ –</w:t>
      </w:r>
    </w:p>
    <w:p w14:paraId="6BB0029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VOLTAGE</w:t>
      </w:r>
      <w:r w:rsidRPr="000977F7">
        <w:rPr>
          <w:color w:val="auto"/>
          <w:spacing w:val="-2"/>
          <w:sz w:val="20"/>
          <w:szCs w:val="20"/>
        </w:rPr>
        <w:t xml:space="preserve"> </w:t>
      </w:r>
      <w:r w:rsidRPr="000977F7">
        <w:rPr>
          <w:color w:val="auto"/>
          <w:sz w:val="20"/>
          <w:szCs w:val="20"/>
        </w:rPr>
        <w:t>DIP</w:t>
      </w:r>
      <w:r w:rsidRPr="000977F7">
        <w:rPr>
          <w:color w:val="auto"/>
          <w:spacing w:val="1"/>
          <w:sz w:val="20"/>
          <w:szCs w:val="20"/>
        </w:rPr>
        <w:t xml:space="preserve"> </w:t>
      </w:r>
      <w:r w:rsidRPr="000977F7">
        <w:rPr>
          <w:color w:val="auto"/>
          <w:sz w:val="20"/>
          <w:szCs w:val="20"/>
        </w:rPr>
        <w:t>–</w:t>
      </w:r>
    </w:p>
    <w:p w14:paraId="5A5F5FF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Раптове значне зниження напруги в електропостачальній</w:t>
      </w:r>
      <w:r w:rsidRPr="000977F7">
        <w:rPr>
          <w:rFonts w:asciiTheme="majorHAnsi" w:hAnsiTheme="majorHAnsi"/>
          <w:spacing w:val="-3"/>
          <w:sz w:val="20"/>
          <w:szCs w:val="20"/>
        </w:rPr>
        <w:t xml:space="preserve"> </w:t>
      </w:r>
      <w:r w:rsidRPr="000977F7">
        <w:rPr>
          <w:rFonts w:asciiTheme="majorHAnsi" w:hAnsiTheme="majorHAnsi"/>
          <w:sz w:val="20"/>
          <w:szCs w:val="20"/>
        </w:rPr>
        <w:t>системі</w:t>
      </w:r>
      <w:r w:rsidRPr="000977F7">
        <w:rPr>
          <w:rFonts w:asciiTheme="majorHAnsi" w:hAnsiTheme="majorHAnsi"/>
          <w:spacing w:val="-2"/>
          <w:sz w:val="20"/>
          <w:szCs w:val="20"/>
        </w:rPr>
        <w:t xml:space="preserve"> </w:t>
      </w:r>
      <w:r w:rsidRPr="000977F7">
        <w:rPr>
          <w:rFonts w:asciiTheme="majorHAnsi" w:hAnsiTheme="majorHAnsi"/>
          <w:sz w:val="20"/>
          <w:szCs w:val="20"/>
        </w:rPr>
        <w:t>з подальшим</w:t>
      </w:r>
      <w:r w:rsidRPr="000977F7">
        <w:rPr>
          <w:rFonts w:asciiTheme="majorHAnsi" w:hAnsiTheme="majorHAnsi"/>
          <w:spacing w:val="2"/>
          <w:sz w:val="20"/>
          <w:szCs w:val="20"/>
        </w:rPr>
        <w:t xml:space="preserve"> </w:t>
      </w:r>
      <w:r w:rsidRPr="000977F7">
        <w:rPr>
          <w:rFonts w:asciiTheme="majorHAnsi" w:hAnsiTheme="majorHAnsi"/>
          <w:sz w:val="20"/>
          <w:szCs w:val="20"/>
        </w:rPr>
        <w:t>його відновленням</w:t>
      </w:r>
    </w:p>
    <w:p w14:paraId="17F1B17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2E33070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ПРОВІДНА</w:t>
      </w:r>
      <w:r w:rsidRPr="000977F7">
        <w:rPr>
          <w:color w:val="auto"/>
          <w:spacing w:val="-4"/>
          <w:sz w:val="20"/>
          <w:szCs w:val="20"/>
        </w:rPr>
        <w:t xml:space="preserve"> </w:t>
      </w:r>
      <w:r w:rsidRPr="000977F7">
        <w:rPr>
          <w:color w:val="auto"/>
          <w:sz w:val="20"/>
          <w:szCs w:val="20"/>
        </w:rPr>
        <w:t>ЛАНКА</w:t>
      </w:r>
      <w:r w:rsidRPr="000977F7">
        <w:rPr>
          <w:color w:val="auto"/>
          <w:spacing w:val="-4"/>
          <w:sz w:val="20"/>
          <w:szCs w:val="20"/>
        </w:rPr>
        <w:t xml:space="preserve"> </w:t>
      </w:r>
      <w:r w:rsidRPr="000977F7">
        <w:rPr>
          <w:color w:val="auto"/>
          <w:sz w:val="20"/>
          <w:szCs w:val="20"/>
        </w:rPr>
        <w:t>ВИРОБНИЦТВА –</w:t>
      </w:r>
    </w:p>
    <w:p w14:paraId="76A1E36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Виробничий підрозділ або устаткування, що є вирішальним у виконанні заданої програми випуску продукції</w:t>
      </w:r>
    </w:p>
    <w:p w14:paraId="3B9E8971"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2960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4C0B7A6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ПРОГНОЗОВАНА</w:t>
      </w:r>
      <w:r w:rsidRPr="000977F7">
        <w:rPr>
          <w:color w:val="auto"/>
          <w:spacing w:val="-8"/>
          <w:sz w:val="20"/>
          <w:szCs w:val="20"/>
        </w:rPr>
        <w:t xml:space="preserve"> </w:t>
      </w:r>
      <w:r w:rsidRPr="000977F7">
        <w:rPr>
          <w:color w:val="auto"/>
          <w:sz w:val="20"/>
          <w:szCs w:val="20"/>
        </w:rPr>
        <w:t>НАДІЙНІСТЬ</w:t>
      </w:r>
      <w:r w:rsidRPr="000977F7">
        <w:rPr>
          <w:color w:val="auto"/>
          <w:spacing w:val="-2"/>
          <w:sz w:val="20"/>
          <w:szCs w:val="20"/>
        </w:rPr>
        <w:t xml:space="preserve"> </w:t>
      </w:r>
      <w:r w:rsidRPr="000977F7">
        <w:rPr>
          <w:color w:val="auto"/>
          <w:sz w:val="20"/>
          <w:szCs w:val="20"/>
        </w:rPr>
        <w:t>–</w:t>
      </w:r>
    </w:p>
    <w:p w14:paraId="6F63D71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PREDICTED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RELIABILITY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6440BD5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lastRenderedPageBreak/>
        <w:t>Надійність</w:t>
      </w:r>
      <w:r w:rsidRPr="004D2D14">
        <w:rPr>
          <w:rFonts w:asciiTheme="majorHAnsi" w:hAnsiTheme="majorHAnsi"/>
          <w:sz w:val="20"/>
          <w:szCs w:val="20"/>
          <w:lang w:val="en-US"/>
        </w:rPr>
        <w:t xml:space="preserve"> </w:t>
      </w:r>
      <w:r w:rsidRPr="000977F7">
        <w:rPr>
          <w:rFonts w:asciiTheme="majorHAnsi" w:hAnsiTheme="majorHAnsi"/>
          <w:sz w:val="20"/>
          <w:szCs w:val="20"/>
        </w:rPr>
        <w:t>виробу</w:t>
      </w:r>
      <w:r w:rsidRPr="004D2D14">
        <w:rPr>
          <w:rFonts w:asciiTheme="majorHAnsi" w:hAnsiTheme="majorHAnsi"/>
          <w:sz w:val="20"/>
          <w:szCs w:val="20"/>
          <w:lang w:val="en-US"/>
        </w:rPr>
        <w:t xml:space="preserve">, </w:t>
      </w:r>
      <w:r w:rsidRPr="000977F7">
        <w:rPr>
          <w:rFonts w:asciiTheme="majorHAnsi" w:hAnsiTheme="majorHAnsi"/>
          <w:sz w:val="20"/>
          <w:szCs w:val="20"/>
        </w:rPr>
        <w:t>розрахована</w:t>
      </w:r>
      <w:r w:rsidRPr="004D2D14">
        <w:rPr>
          <w:rFonts w:asciiTheme="majorHAnsi" w:hAnsiTheme="majorHAnsi"/>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підставі</w:t>
      </w:r>
      <w:r w:rsidRPr="004D2D14">
        <w:rPr>
          <w:rFonts w:asciiTheme="majorHAnsi" w:hAnsiTheme="majorHAnsi"/>
          <w:sz w:val="20"/>
          <w:szCs w:val="20"/>
          <w:lang w:val="en-US"/>
        </w:rPr>
        <w:t xml:space="preserve"> </w:t>
      </w:r>
      <w:r w:rsidRPr="000977F7">
        <w:rPr>
          <w:rFonts w:asciiTheme="majorHAnsi" w:hAnsiTheme="majorHAnsi"/>
          <w:sz w:val="20"/>
          <w:szCs w:val="20"/>
        </w:rPr>
        <w:t>спостереженої</w:t>
      </w:r>
      <w:r w:rsidRPr="004D2D14">
        <w:rPr>
          <w:rFonts w:asciiTheme="majorHAnsi" w:hAnsiTheme="majorHAnsi"/>
          <w:sz w:val="20"/>
          <w:szCs w:val="20"/>
          <w:lang w:val="en-US"/>
        </w:rPr>
        <w:t xml:space="preserve">, </w:t>
      </w:r>
      <w:r w:rsidRPr="000977F7">
        <w:rPr>
          <w:rFonts w:asciiTheme="majorHAnsi" w:hAnsiTheme="majorHAnsi"/>
          <w:sz w:val="20"/>
          <w:szCs w:val="20"/>
        </w:rPr>
        <w:t>оціненої</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екстрапольованої</w:t>
      </w:r>
      <w:r w:rsidRPr="004D2D14">
        <w:rPr>
          <w:rFonts w:asciiTheme="majorHAnsi" w:hAnsiTheme="majorHAnsi"/>
          <w:sz w:val="20"/>
          <w:szCs w:val="20"/>
          <w:lang w:val="en-US"/>
        </w:rPr>
        <w:t xml:space="preserve"> </w:t>
      </w:r>
      <w:r w:rsidRPr="000977F7">
        <w:rPr>
          <w:rFonts w:asciiTheme="majorHAnsi" w:hAnsiTheme="majorHAnsi"/>
          <w:sz w:val="20"/>
          <w:szCs w:val="20"/>
        </w:rPr>
        <w:t>надійності</w:t>
      </w:r>
      <w:r w:rsidRPr="004D2D14">
        <w:rPr>
          <w:rFonts w:asciiTheme="majorHAnsi" w:hAnsiTheme="majorHAnsi"/>
          <w:sz w:val="20"/>
          <w:szCs w:val="20"/>
          <w:lang w:val="en-US"/>
        </w:rPr>
        <w:t xml:space="preserve"> </w:t>
      </w:r>
      <w:r w:rsidRPr="000977F7">
        <w:rPr>
          <w:rFonts w:asciiTheme="majorHAnsi" w:hAnsiTheme="majorHAnsi"/>
          <w:sz w:val="20"/>
          <w:szCs w:val="20"/>
        </w:rPr>
        <w:t>частин</w:t>
      </w:r>
      <w:r w:rsidRPr="004D2D14">
        <w:rPr>
          <w:rFonts w:asciiTheme="majorHAnsi" w:hAnsiTheme="majorHAnsi"/>
          <w:sz w:val="20"/>
          <w:szCs w:val="20"/>
          <w:lang w:val="en-US"/>
        </w:rPr>
        <w:t xml:space="preserve"> </w:t>
      </w:r>
      <w:r w:rsidRPr="000977F7">
        <w:rPr>
          <w:rFonts w:asciiTheme="majorHAnsi" w:hAnsiTheme="majorHAnsi"/>
          <w:sz w:val="20"/>
          <w:szCs w:val="20"/>
        </w:rPr>
        <w:t>виробу</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заданих</w:t>
      </w:r>
      <w:r w:rsidRPr="004D2D14">
        <w:rPr>
          <w:rFonts w:asciiTheme="majorHAnsi" w:hAnsiTheme="majorHAnsi"/>
          <w:sz w:val="20"/>
          <w:szCs w:val="20"/>
          <w:lang w:val="en-US"/>
        </w:rPr>
        <w:t xml:space="preserve"> </w:t>
      </w:r>
      <w:r w:rsidRPr="000977F7">
        <w:rPr>
          <w:rFonts w:asciiTheme="majorHAnsi" w:hAnsiTheme="majorHAnsi"/>
          <w:sz w:val="20"/>
          <w:szCs w:val="20"/>
        </w:rPr>
        <w:t>умов</w:t>
      </w:r>
      <w:r w:rsidRPr="004D2D14">
        <w:rPr>
          <w:rFonts w:asciiTheme="majorHAnsi" w:hAnsiTheme="majorHAnsi"/>
          <w:sz w:val="20"/>
          <w:szCs w:val="20"/>
          <w:lang w:val="en-US"/>
        </w:rPr>
        <w:t xml:space="preserve"> </w:t>
      </w:r>
      <w:r w:rsidRPr="000977F7">
        <w:rPr>
          <w:rFonts w:asciiTheme="majorHAnsi" w:hAnsiTheme="majorHAnsi"/>
          <w:sz w:val="20"/>
          <w:szCs w:val="20"/>
        </w:rPr>
        <w:t>експлуатації</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врахуванням</w:t>
      </w:r>
      <w:r w:rsidRPr="004D2D14">
        <w:rPr>
          <w:rFonts w:asciiTheme="majorHAnsi" w:hAnsiTheme="majorHAnsi"/>
          <w:spacing w:val="-1"/>
          <w:sz w:val="20"/>
          <w:szCs w:val="20"/>
          <w:lang w:val="en-US"/>
        </w:rPr>
        <w:t xml:space="preserve"> </w:t>
      </w:r>
      <w:r w:rsidRPr="000977F7">
        <w:rPr>
          <w:rFonts w:asciiTheme="majorHAnsi" w:hAnsiTheme="majorHAnsi"/>
          <w:sz w:val="20"/>
          <w:szCs w:val="20"/>
        </w:rPr>
        <w:t>конструкції</w:t>
      </w:r>
      <w:r w:rsidRPr="004D2D14">
        <w:rPr>
          <w:rFonts w:asciiTheme="majorHAnsi" w:hAnsiTheme="majorHAnsi"/>
          <w:spacing w:val="2"/>
          <w:sz w:val="20"/>
          <w:szCs w:val="20"/>
          <w:lang w:val="en-US"/>
        </w:rPr>
        <w:t xml:space="preserve"> </w:t>
      </w:r>
      <w:r w:rsidRPr="000977F7">
        <w:rPr>
          <w:rFonts w:asciiTheme="majorHAnsi" w:hAnsiTheme="majorHAnsi"/>
          <w:sz w:val="20"/>
          <w:szCs w:val="20"/>
        </w:rPr>
        <w:t>виробу</w:t>
      </w:r>
    </w:p>
    <w:p w14:paraId="22ABAC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F0205C6"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sz w:val="20"/>
          <w:szCs w:val="20"/>
        </w:rPr>
        <w:t>Повинні</w:t>
      </w:r>
      <w:r w:rsidRPr="000977F7">
        <w:rPr>
          <w:rFonts w:asciiTheme="majorHAnsi" w:hAnsiTheme="majorHAnsi"/>
          <w:spacing w:val="36"/>
          <w:sz w:val="20"/>
          <w:szCs w:val="20"/>
        </w:rPr>
        <w:t xml:space="preserve"> </w:t>
      </w:r>
      <w:r w:rsidRPr="000977F7">
        <w:rPr>
          <w:rFonts w:asciiTheme="majorHAnsi" w:hAnsiTheme="majorHAnsi"/>
          <w:sz w:val="20"/>
          <w:szCs w:val="20"/>
        </w:rPr>
        <w:t>бути</w:t>
      </w:r>
      <w:r w:rsidRPr="000977F7">
        <w:rPr>
          <w:rFonts w:asciiTheme="majorHAnsi" w:hAnsiTheme="majorHAnsi"/>
          <w:spacing w:val="37"/>
          <w:sz w:val="20"/>
          <w:szCs w:val="20"/>
        </w:rPr>
        <w:t xml:space="preserve"> </w:t>
      </w:r>
      <w:r w:rsidRPr="000977F7">
        <w:rPr>
          <w:rFonts w:asciiTheme="majorHAnsi" w:hAnsiTheme="majorHAnsi"/>
          <w:sz w:val="20"/>
          <w:szCs w:val="20"/>
        </w:rPr>
        <w:t>вказані</w:t>
      </w:r>
      <w:r w:rsidRPr="000977F7">
        <w:rPr>
          <w:rFonts w:asciiTheme="majorHAnsi" w:hAnsiTheme="majorHAnsi"/>
          <w:spacing w:val="40"/>
          <w:sz w:val="20"/>
          <w:szCs w:val="20"/>
        </w:rPr>
        <w:t xml:space="preserve"> </w:t>
      </w:r>
      <w:r w:rsidRPr="000977F7">
        <w:rPr>
          <w:rFonts w:asciiTheme="majorHAnsi" w:hAnsiTheme="majorHAnsi"/>
          <w:sz w:val="20"/>
          <w:szCs w:val="20"/>
        </w:rPr>
        <w:t>технологічні</w:t>
      </w:r>
      <w:r w:rsidRPr="000977F7">
        <w:rPr>
          <w:rFonts w:asciiTheme="majorHAnsi" w:hAnsiTheme="majorHAnsi"/>
          <w:spacing w:val="37"/>
          <w:sz w:val="20"/>
          <w:szCs w:val="20"/>
        </w:rPr>
        <w:t xml:space="preserve"> </w:t>
      </w:r>
      <w:r w:rsidRPr="000977F7">
        <w:rPr>
          <w:rFonts w:asciiTheme="majorHAnsi" w:hAnsiTheme="majorHAnsi"/>
          <w:sz w:val="20"/>
          <w:szCs w:val="20"/>
        </w:rPr>
        <w:t>і</w:t>
      </w:r>
      <w:r w:rsidRPr="000977F7">
        <w:rPr>
          <w:rFonts w:asciiTheme="majorHAnsi" w:hAnsiTheme="majorHAnsi"/>
          <w:spacing w:val="37"/>
          <w:sz w:val="20"/>
          <w:szCs w:val="20"/>
        </w:rPr>
        <w:t xml:space="preserve"> </w:t>
      </w:r>
      <w:r w:rsidRPr="000977F7">
        <w:rPr>
          <w:rFonts w:asciiTheme="majorHAnsi" w:hAnsiTheme="majorHAnsi"/>
          <w:sz w:val="20"/>
          <w:szCs w:val="20"/>
        </w:rPr>
        <w:t>статистичні</w:t>
      </w:r>
      <w:r w:rsidRPr="000977F7">
        <w:rPr>
          <w:rFonts w:asciiTheme="majorHAnsi" w:hAnsiTheme="majorHAnsi"/>
          <w:spacing w:val="37"/>
          <w:sz w:val="20"/>
          <w:szCs w:val="20"/>
        </w:rPr>
        <w:t xml:space="preserve"> </w:t>
      </w:r>
      <w:r w:rsidRPr="000977F7">
        <w:rPr>
          <w:rFonts w:asciiTheme="majorHAnsi" w:hAnsiTheme="majorHAnsi"/>
          <w:sz w:val="20"/>
          <w:szCs w:val="20"/>
        </w:rPr>
        <w:t>допущення,</w:t>
      </w:r>
      <w:r w:rsidRPr="000977F7">
        <w:rPr>
          <w:rFonts w:asciiTheme="majorHAnsi" w:hAnsiTheme="majorHAnsi"/>
          <w:spacing w:val="27"/>
          <w:sz w:val="20"/>
          <w:szCs w:val="20"/>
        </w:rPr>
        <w:t xml:space="preserve"> </w:t>
      </w:r>
      <w:r w:rsidRPr="000977F7">
        <w:rPr>
          <w:rFonts w:asciiTheme="majorHAnsi" w:hAnsiTheme="majorHAnsi"/>
          <w:sz w:val="20"/>
          <w:szCs w:val="20"/>
        </w:rPr>
        <w:t>а</w:t>
      </w:r>
      <w:r w:rsidRPr="000977F7">
        <w:rPr>
          <w:rFonts w:asciiTheme="majorHAnsi" w:hAnsiTheme="majorHAnsi"/>
          <w:spacing w:val="27"/>
          <w:sz w:val="20"/>
          <w:szCs w:val="20"/>
        </w:rPr>
        <w:t xml:space="preserve"> </w:t>
      </w:r>
      <w:r w:rsidRPr="000977F7">
        <w:rPr>
          <w:rFonts w:asciiTheme="majorHAnsi" w:hAnsiTheme="majorHAnsi"/>
          <w:sz w:val="20"/>
          <w:szCs w:val="20"/>
        </w:rPr>
        <w:t>також</w:t>
      </w:r>
      <w:r w:rsidRPr="000977F7">
        <w:rPr>
          <w:rFonts w:asciiTheme="majorHAnsi" w:hAnsiTheme="majorHAnsi"/>
          <w:spacing w:val="29"/>
          <w:sz w:val="20"/>
          <w:szCs w:val="20"/>
        </w:rPr>
        <w:t xml:space="preserve"> </w:t>
      </w:r>
      <w:r w:rsidRPr="000977F7">
        <w:rPr>
          <w:rFonts w:asciiTheme="majorHAnsi" w:hAnsiTheme="majorHAnsi"/>
          <w:sz w:val="20"/>
          <w:szCs w:val="20"/>
        </w:rPr>
        <w:t>характер</w:t>
      </w:r>
      <w:r w:rsidRPr="000977F7">
        <w:rPr>
          <w:rFonts w:asciiTheme="majorHAnsi" w:hAnsiTheme="majorHAnsi"/>
          <w:spacing w:val="31"/>
          <w:sz w:val="20"/>
          <w:szCs w:val="20"/>
        </w:rPr>
        <w:t xml:space="preserve"> </w:t>
      </w:r>
      <w:r w:rsidRPr="000977F7">
        <w:rPr>
          <w:rFonts w:asciiTheme="majorHAnsi" w:hAnsiTheme="majorHAnsi"/>
          <w:sz w:val="20"/>
          <w:szCs w:val="20"/>
        </w:rPr>
        <w:t>даних,</w:t>
      </w:r>
      <w:r w:rsidRPr="000977F7">
        <w:rPr>
          <w:rFonts w:asciiTheme="majorHAnsi" w:hAnsiTheme="majorHAnsi"/>
          <w:spacing w:val="30"/>
          <w:sz w:val="20"/>
          <w:szCs w:val="20"/>
        </w:rPr>
        <w:t xml:space="preserve"> </w:t>
      </w:r>
      <w:r w:rsidRPr="000977F7">
        <w:rPr>
          <w:rFonts w:asciiTheme="majorHAnsi" w:hAnsiTheme="majorHAnsi"/>
          <w:sz w:val="20"/>
          <w:szCs w:val="20"/>
        </w:rPr>
        <w:t>використаних</w:t>
      </w:r>
      <w:r w:rsidRPr="000977F7">
        <w:rPr>
          <w:rFonts w:asciiTheme="majorHAnsi" w:hAnsiTheme="majorHAnsi"/>
          <w:spacing w:val="26"/>
          <w:sz w:val="20"/>
          <w:szCs w:val="20"/>
        </w:rPr>
        <w:t xml:space="preserve"> </w:t>
      </w:r>
      <w:r w:rsidRPr="000977F7">
        <w:rPr>
          <w:rFonts w:asciiTheme="majorHAnsi" w:hAnsiTheme="majorHAnsi"/>
          <w:sz w:val="20"/>
          <w:szCs w:val="20"/>
        </w:rPr>
        <w:t>для</w:t>
      </w:r>
      <w:r w:rsidRPr="000977F7">
        <w:rPr>
          <w:rFonts w:asciiTheme="majorHAnsi" w:hAnsiTheme="majorHAnsi"/>
          <w:spacing w:val="-47"/>
          <w:sz w:val="20"/>
          <w:szCs w:val="20"/>
        </w:rPr>
        <w:t xml:space="preserve"> </w:t>
      </w:r>
      <w:r w:rsidRPr="000977F7">
        <w:rPr>
          <w:rFonts w:asciiTheme="majorHAnsi" w:hAnsiTheme="majorHAnsi"/>
          <w:sz w:val="20"/>
          <w:szCs w:val="20"/>
        </w:rPr>
        <w:t>розрахунків (спостережені або оцінені показники)</w:t>
      </w:r>
    </w:p>
    <w:p w14:paraId="7BA4374C"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ПРОГНОЗОВАНЕ СЕРЕДНЄ НАПРАЦЮВАННЯ</w:t>
      </w:r>
      <w:r w:rsidRPr="000977F7">
        <w:rPr>
          <w:rFonts w:asciiTheme="majorHAnsi" w:hAnsiTheme="majorHAnsi"/>
          <w:b/>
          <w:spacing w:val="1"/>
          <w:sz w:val="20"/>
          <w:szCs w:val="20"/>
        </w:rPr>
        <w:t xml:space="preserve"> </w:t>
      </w:r>
      <w:r w:rsidRPr="000977F7">
        <w:rPr>
          <w:rFonts w:asciiTheme="majorHAnsi" w:hAnsiTheme="majorHAnsi"/>
          <w:b/>
          <w:sz w:val="20"/>
          <w:szCs w:val="20"/>
        </w:rPr>
        <w:t>ДО</w:t>
      </w:r>
      <w:r w:rsidRPr="000977F7">
        <w:rPr>
          <w:rFonts w:asciiTheme="majorHAnsi" w:hAnsiTheme="majorHAnsi"/>
          <w:b/>
          <w:spacing w:val="-1"/>
          <w:sz w:val="20"/>
          <w:szCs w:val="20"/>
        </w:rPr>
        <w:t xml:space="preserve"> </w:t>
      </w:r>
      <w:r w:rsidRPr="000977F7">
        <w:rPr>
          <w:rFonts w:asciiTheme="majorHAnsi" w:hAnsiTheme="majorHAnsi"/>
          <w:b/>
          <w:sz w:val="20"/>
          <w:szCs w:val="20"/>
        </w:rPr>
        <w:t>ВІДМОВИ</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65EA4B8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PREDICTED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MEAN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6861649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Середнє</w:t>
      </w:r>
      <w:r w:rsidRPr="004D2D14">
        <w:rPr>
          <w:rFonts w:asciiTheme="majorHAnsi" w:hAnsiTheme="majorHAnsi"/>
          <w:sz w:val="20"/>
          <w:szCs w:val="20"/>
          <w:lang w:val="en-US"/>
        </w:rPr>
        <w:t xml:space="preserve"> </w:t>
      </w:r>
      <w:r w:rsidRPr="000977F7">
        <w:rPr>
          <w:rFonts w:asciiTheme="majorHAnsi" w:hAnsiTheme="majorHAnsi"/>
          <w:sz w:val="20"/>
          <w:szCs w:val="20"/>
        </w:rPr>
        <w:t>напрацювання</w:t>
      </w:r>
      <w:r w:rsidRPr="004D2D14">
        <w:rPr>
          <w:rFonts w:asciiTheme="majorHAnsi" w:hAnsiTheme="majorHAnsi"/>
          <w:sz w:val="20"/>
          <w:szCs w:val="20"/>
          <w:lang w:val="en-US"/>
        </w:rPr>
        <w:t xml:space="preserve"> </w:t>
      </w:r>
      <w:r w:rsidRPr="000977F7">
        <w:rPr>
          <w:rFonts w:asciiTheme="majorHAnsi" w:hAnsiTheme="majorHAnsi"/>
          <w:sz w:val="20"/>
          <w:szCs w:val="20"/>
        </w:rPr>
        <w:t>до</w:t>
      </w:r>
      <w:r w:rsidRPr="004D2D14">
        <w:rPr>
          <w:rFonts w:asciiTheme="majorHAnsi" w:hAnsiTheme="majorHAnsi"/>
          <w:sz w:val="20"/>
          <w:szCs w:val="20"/>
          <w:lang w:val="en-US"/>
        </w:rPr>
        <w:t xml:space="preserve"> </w:t>
      </w:r>
      <w:r w:rsidRPr="000977F7">
        <w:rPr>
          <w:rFonts w:asciiTheme="majorHAnsi" w:hAnsiTheme="majorHAnsi"/>
          <w:sz w:val="20"/>
          <w:szCs w:val="20"/>
        </w:rPr>
        <w:t>відмови</w:t>
      </w:r>
      <w:r w:rsidRPr="004D2D14">
        <w:rPr>
          <w:rFonts w:asciiTheme="majorHAnsi" w:hAnsiTheme="majorHAnsi"/>
          <w:sz w:val="20"/>
          <w:szCs w:val="20"/>
          <w:lang w:val="en-US"/>
        </w:rPr>
        <w:t xml:space="preserve"> </w:t>
      </w:r>
      <w:r w:rsidRPr="000977F7">
        <w:rPr>
          <w:rFonts w:asciiTheme="majorHAnsi" w:hAnsiTheme="majorHAnsi"/>
          <w:sz w:val="20"/>
          <w:szCs w:val="20"/>
        </w:rPr>
        <w:t>апаратури</w:t>
      </w:r>
      <w:r w:rsidRPr="004D2D14">
        <w:rPr>
          <w:rFonts w:asciiTheme="majorHAnsi" w:hAnsiTheme="majorHAnsi"/>
          <w:sz w:val="20"/>
          <w:szCs w:val="20"/>
          <w:lang w:val="en-US"/>
        </w:rPr>
        <w:t xml:space="preserve">, </w:t>
      </w:r>
      <w:r w:rsidRPr="000977F7">
        <w:rPr>
          <w:rFonts w:asciiTheme="majorHAnsi" w:hAnsiTheme="majorHAnsi"/>
          <w:sz w:val="20"/>
          <w:szCs w:val="20"/>
        </w:rPr>
        <w:t>розраховане</w:t>
      </w:r>
      <w:r w:rsidRPr="004D2D14">
        <w:rPr>
          <w:rFonts w:asciiTheme="majorHAnsi" w:hAnsiTheme="majorHAnsi"/>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підставі</w:t>
      </w:r>
      <w:r w:rsidRPr="004D2D14">
        <w:rPr>
          <w:rFonts w:asciiTheme="majorHAnsi" w:hAnsiTheme="majorHAnsi"/>
          <w:sz w:val="20"/>
          <w:szCs w:val="20"/>
          <w:lang w:val="en-US"/>
        </w:rPr>
        <w:t xml:space="preserve"> </w:t>
      </w:r>
      <w:r w:rsidRPr="000977F7">
        <w:rPr>
          <w:rFonts w:asciiTheme="majorHAnsi" w:hAnsiTheme="majorHAnsi"/>
          <w:sz w:val="20"/>
          <w:szCs w:val="20"/>
        </w:rPr>
        <w:t>спостереженого</w:t>
      </w:r>
      <w:r w:rsidRPr="004D2D14">
        <w:rPr>
          <w:rFonts w:asciiTheme="majorHAnsi" w:hAnsiTheme="majorHAnsi"/>
          <w:sz w:val="20"/>
          <w:szCs w:val="20"/>
          <w:lang w:val="en-US"/>
        </w:rPr>
        <w:t xml:space="preserve">, </w:t>
      </w:r>
      <w:r w:rsidRPr="000977F7">
        <w:rPr>
          <w:rFonts w:asciiTheme="majorHAnsi" w:hAnsiTheme="majorHAnsi"/>
          <w:sz w:val="20"/>
          <w:szCs w:val="20"/>
        </w:rPr>
        <w:t>оціненого</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екстрапольованого</w:t>
      </w:r>
      <w:r w:rsidRPr="004D2D14">
        <w:rPr>
          <w:rFonts w:asciiTheme="majorHAnsi" w:hAnsiTheme="majorHAnsi"/>
          <w:sz w:val="20"/>
          <w:szCs w:val="20"/>
          <w:lang w:val="en-US"/>
        </w:rPr>
        <w:t xml:space="preserve"> </w:t>
      </w:r>
      <w:r w:rsidRPr="000977F7">
        <w:rPr>
          <w:rFonts w:asciiTheme="majorHAnsi" w:hAnsiTheme="majorHAnsi"/>
          <w:sz w:val="20"/>
          <w:szCs w:val="20"/>
        </w:rPr>
        <w:t>середнього</w:t>
      </w:r>
      <w:r w:rsidRPr="004D2D14">
        <w:rPr>
          <w:rFonts w:asciiTheme="majorHAnsi" w:hAnsiTheme="majorHAnsi"/>
          <w:sz w:val="20"/>
          <w:szCs w:val="20"/>
          <w:lang w:val="en-US"/>
        </w:rPr>
        <w:t xml:space="preserve"> </w:t>
      </w:r>
      <w:r w:rsidRPr="000977F7">
        <w:rPr>
          <w:rFonts w:asciiTheme="majorHAnsi" w:hAnsiTheme="majorHAnsi"/>
          <w:sz w:val="20"/>
          <w:szCs w:val="20"/>
        </w:rPr>
        <w:t>напрацювання</w:t>
      </w:r>
      <w:r w:rsidRPr="004D2D14">
        <w:rPr>
          <w:rFonts w:asciiTheme="majorHAnsi" w:hAnsiTheme="majorHAnsi"/>
          <w:sz w:val="20"/>
          <w:szCs w:val="20"/>
          <w:lang w:val="en-US"/>
        </w:rPr>
        <w:t xml:space="preserve"> </w:t>
      </w:r>
      <w:r w:rsidRPr="000977F7">
        <w:rPr>
          <w:rFonts w:asciiTheme="majorHAnsi" w:hAnsiTheme="majorHAnsi"/>
          <w:sz w:val="20"/>
          <w:szCs w:val="20"/>
        </w:rPr>
        <w:t>до</w:t>
      </w:r>
      <w:r w:rsidRPr="004D2D14">
        <w:rPr>
          <w:rFonts w:asciiTheme="majorHAnsi" w:hAnsiTheme="majorHAnsi"/>
          <w:sz w:val="20"/>
          <w:szCs w:val="20"/>
          <w:lang w:val="en-US"/>
        </w:rPr>
        <w:t xml:space="preserve"> </w:t>
      </w:r>
      <w:r w:rsidRPr="000977F7">
        <w:rPr>
          <w:rFonts w:asciiTheme="majorHAnsi" w:hAnsiTheme="majorHAnsi"/>
          <w:sz w:val="20"/>
          <w:szCs w:val="20"/>
        </w:rPr>
        <w:t>відмови</w:t>
      </w:r>
      <w:r w:rsidRPr="004D2D14">
        <w:rPr>
          <w:rFonts w:asciiTheme="majorHAnsi" w:hAnsiTheme="majorHAnsi"/>
          <w:spacing w:val="1"/>
          <w:sz w:val="20"/>
          <w:szCs w:val="20"/>
          <w:lang w:val="en-US"/>
        </w:rPr>
        <w:t xml:space="preserve"> </w:t>
      </w:r>
      <w:r w:rsidRPr="000977F7">
        <w:rPr>
          <w:rFonts w:asciiTheme="majorHAnsi" w:hAnsiTheme="majorHAnsi"/>
          <w:sz w:val="20"/>
          <w:szCs w:val="20"/>
        </w:rPr>
        <w:t>частин</w:t>
      </w:r>
      <w:r w:rsidRPr="004D2D14">
        <w:rPr>
          <w:rFonts w:asciiTheme="majorHAnsi" w:hAnsiTheme="majorHAnsi"/>
          <w:sz w:val="20"/>
          <w:szCs w:val="20"/>
          <w:lang w:val="en-US"/>
        </w:rPr>
        <w:t xml:space="preserve"> </w:t>
      </w:r>
      <w:r w:rsidRPr="000977F7">
        <w:rPr>
          <w:rFonts w:asciiTheme="majorHAnsi" w:hAnsiTheme="majorHAnsi"/>
          <w:sz w:val="20"/>
          <w:szCs w:val="20"/>
        </w:rPr>
        <w:t>виробу</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заданих</w:t>
      </w:r>
      <w:r w:rsidRPr="004D2D14">
        <w:rPr>
          <w:rFonts w:asciiTheme="majorHAnsi" w:hAnsiTheme="majorHAnsi"/>
          <w:sz w:val="20"/>
          <w:szCs w:val="20"/>
          <w:lang w:val="en-US"/>
        </w:rPr>
        <w:t xml:space="preserve"> </w:t>
      </w:r>
      <w:r w:rsidRPr="000977F7">
        <w:rPr>
          <w:rFonts w:asciiTheme="majorHAnsi" w:hAnsiTheme="majorHAnsi"/>
          <w:sz w:val="20"/>
          <w:szCs w:val="20"/>
        </w:rPr>
        <w:t>умов</w:t>
      </w:r>
      <w:r w:rsidRPr="004D2D14">
        <w:rPr>
          <w:rFonts w:asciiTheme="majorHAnsi" w:hAnsiTheme="majorHAnsi"/>
          <w:sz w:val="20"/>
          <w:szCs w:val="20"/>
          <w:lang w:val="en-US"/>
        </w:rPr>
        <w:t xml:space="preserve"> </w:t>
      </w:r>
      <w:r w:rsidRPr="000977F7">
        <w:rPr>
          <w:rFonts w:asciiTheme="majorHAnsi" w:hAnsiTheme="majorHAnsi"/>
          <w:sz w:val="20"/>
          <w:szCs w:val="20"/>
        </w:rPr>
        <w:t>експлуатації</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врахуванням</w:t>
      </w:r>
      <w:r w:rsidRPr="004D2D14">
        <w:rPr>
          <w:rFonts w:asciiTheme="majorHAnsi" w:hAnsiTheme="majorHAnsi"/>
          <w:spacing w:val="-1"/>
          <w:sz w:val="20"/>
          <w:szCs w:val="20"/>
          <w:lang w:val="en-US"/>
        </w:rPr>
        <w:t xml:space="preserve"> </w:t>
      </w:r>
      <w:r w:rsidRPr="000977F7">
        <w:rPr>
          <w:rFonts w:asciiTheme="majorHAnsi" w:hAnsiTheme="majorHAnsi"/>
          <w:sz w:val="20"/>
          <w:szCs w:val="20"/>
        </w:rPr>
        <w:t>конструкції</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виробу</w:t>
      </w:r>
    </w:p>
    <w:p w14:paraId="7B5E00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033E555"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sz w:val="20"/>
          <w:szCs w:val="20"/>
        </w:rPr>
        <w:t>Повинні</w:t>
      </w:r>
      <w:r w:rsidRPr="000977F7">
        <w:rPr>
          <w:rFonts w:asciiTheme="majorHAnsi" w:hAnsiTheme="majorHAnsi"/>
          <w:spacing w:val="9"/>
          <w:sz w:val="20"/>
          <w:szCs w:val="20"/>
        </w:rPr>
        <w:t xml:space="preserve"> </w:t>
      </w:r>
      <w:r w:rsidRPr="000977F7">
        <w:rPr>
          <w:rFonts w:asciiTheme="majorHAnsi" w:hAnsiTheme="majorHAnsi"/>
          <w:sz w:val="20"/>
          <w:szCs w:val="20"/>
        </w:rPr>
        <w:t>бути</w:t>
      </w:r>
      <w:r w:rsidRPr="000977F7">
        <w:rPr>
          <w:rFonts w:asciiTheme="majorHAnsi" w:hAnsiTheme="majorHAnsi"/>
          <w:spacing w:val="10"/>
          <w:sz w:val="20"/>
          <w:szCs w:val="20"/>
        </w:rPr>
        <w:t xml:space="preserve"> </w:t>
      </w:r>
      <w:r w:rsidRPr="000977F7">
        <w:rPr>
          <w:rFonts w:asciiTheme="majorHAnsi" w:hAnsiTheme="majorHAnsi"/>
          <w:sz w:val="20"/>
          <w:szCs w:val="20"/>
        </w:rPr>
        <w:t>указані</w:t>
      </w:r>
      <w:r w:rsidRPr="000977F7">
        <w:rPr>
          <w:rFonts w:asciiTheme="majorHAnsi" w:hAnsiTheme="majorHAnsi"/>
          <w:spacing w:val="6"/>
          <w:sz w:val="20"/>
          <w:szCs w:val="20"/>
        </w:rPr>
        <w:t xml:space="preserve"> </w:t>
      </w:r>
      <w:r w:rsidRPr="000977F7">
        <w:rPr>
          <w:rFonts w:asciiTheme="majorHAnsi" w:hAnsiTheme="majorHAnsi"/>
          <w:sz w:val="20"/>
          <w:szCs w:val="20"/>
        </w:rPr>
        <w:t>технічні</w:t>
      </w:r>
      <w:r w:rsidRPr="000977F7">
        <w:rPr>
          <w:rFonts w:asciiTheme="majorHAnsi" w:hAnsiTheme="majorHAnsi"/>
          <w:spacing w:val="7"/>
          <w:sz w:val="20"/>
          <w:szCs w:val="20"/>
        </w:rPr>
        <w:t xml:space="preserve"> </w:t>
      </w:r>
      <w:r w:rsidRPr="000977F7">
        <w:rPr>
          <w:rFonts w:asciiTheme="majorHAnsi" w:hAnsiTheme="majorHAnsi"/>
          <w:sz w:val="20"/>
          <w:szCs w:val="20"/>
        </w:rPr>
        <w:t>і</w:t>
      </w:r>
      <w:r w:rsidRPr="000977F7">
        <w:rPr>
          <w:rFonts w:asciiTheme="majorHAnsi" w:hAnsiTheme="majorHAnsi"/>
          <w:spacing w:val="6"/>
          <w:sz w:val="20"/>
          <w:szCs w:val="20"/>
        </w:rPr>
        <w:t xml:space="preserve"> </w:t>
      </w:r>
      <w:r w:rsidRPr="000977F7">
        <w:rPr>
          <w:rFonts w:asciiTheme="majorHAnsi" w:hAnsiTheme="majorHAnsi"/>
          <w:sz w:val="20"/>
          <w:szCs w:val="20"/>
        </w:rPr>
        <w:t>статистичні</w:t>
      </w:r>
      <w:r w:rsidRPr="000977F7">
        <w:rPr>
          <w:rFonts w:asciiTheme="majorHAnsi" w:hAnsiTheme="majorHAnsi"/>
          <w:spacing w:val="8"/>
          <w:sz w:val="20"/>
          <w:szCs w:val="20"/>
        </w:rPr>
        <w:t xml:space="preserve"> </w:t>
      </w:r>
      <w:r w:rsidRPr="000977F7">
        <w:rPr>
          <w:rFonts w:asciiTheme="majorHAnsi" w:hAnsiTheme="majorHAnsi"/>
          <w:sz w:val="20"/>
          <w:szCs w:val="20"/>
        </w:rPr>
        <w:t>допущення,</w:t>
      </w:r>
      <w:r w:rsidRPr="000977F7">
        <w:rPr>
          <w:rFonts w:asciiTheme="majorHAnsi" w:hAnsiTheme="majorHAnsi"/>
          <w:spacing w:val="21"/>
          <w:sz w:val="20"/>
          <w:szCs w:val="20"/>
        </w:rPr>
        <w:t xml:space="preserve"> </w:t>
      </w:r>
      <w:r w:rsidRPr="000977F7">
        <w:rPr>
          <w:rFonts w:asciiTheme="majorHAnsi" w:hAnsiTheme="majorHAnsi"/>
          <w:sz w:val="20"/>
          <w:szCs w:val="20"/>
        </w:rPr>
        <w:t>а</w:t>
      </w:r>
      <w:r w:rsidRPr="000977F7">
        <w:rPr>
          <w:rFonts w:asciiTheme="majorHAnsi" w:hAnsiTheme="majorHAnsi"/>
          <w:spacing w:val="21"/>
          <w:sz w:val="20"/>
          <w:szCs w:val="20"/>
        </w:rPr>
        <w:t xml:space="preserve"> </w:t>
      </w:r>
      <w:r w:rsidRPr="000977F7">
        <w:rPr>
          <w:rFonts w:asciiTheme="majorHAnsi" w:hAnsiTheme="majorHAnsi"/>
          <w:sz w:val="20"/>
          <w:szCs w:val="20"/>
        </w:rPr>
        <w:t>також</w:t>
      </w:r>
      <w:r w:rsidRPr="000977F7">
        <w:rPr>
          <w:rFonts w:asciiTheme="majorHAnsi" w:hAnsiTheme="majorHAnsi"/>
          <w:spacing w:val="21"/>
          <w:sz w:val="20"/>
          <w:szCs w:val="20"/>
        </w:rPr>
        <w:t xml:space="preserve"> </w:t>
      </w:r>
      <w:r w:rsidRPr="000977F7">
        <w:rPr>
          <w:rFonts w:asciiTheme="majorHAnsi" w:hAnsiTheme="majorHAnsi"/>
          <w:sz w:val="20"/>
          <w:szCs w:val="20"/>
        </w:rPr>
        <w:t>характер</w:t>
      </w:r>
      <w:r w:rsidRPr="000977F7">
        <w:rPr>
          <w:rFonts w:asciiTheme="majorHAnsi" w:hAnsiTheme="majorHAnsi"/>
          <w:spacing w:val="22"/>
          <w:sz w:val="20"/>
          <w:szCs w:val="20"/>
        </w:rPr>
        <w:t xml:space="preserve"> </w:t>
      </w:r>
      <w:r w:rsidRPr="000977F7">
        <w:rPr>
          <w:rFonts w:asciiTheme="majorHAnsi" w:hAnsiTheme="majorHAnsi"/>
          <w:sz w:val="20"/>
          <w:szCs w:val="20"/>
        </w:rPr>
        <w:t>даних,</w:t>
      </w:r>
      <w:r w:rsidRPr="000977F7">
        <w:rPr>
          <w:rFonts w:asciiTheme="majorHAnsi" w:hAnsiTheme="majorHAnsi"/>
          <w:spacing w:val="24"/>
          <w:sz w:val="20"/>
          <w:szCs w:val="20"/>
        </w:rPr>
        <w:t xml:space="preserve"> </w:t>
      </w:r>
      <w:r w:rsidRPr="000977F7">
        <w:rPr>
          <w:rFonts w:asciiTheme="majorHAnsi" w:hAnsiTheme="majorHAnsi"/>
          <w:sz w:val="20"/>
          <w:szCs w:val="20"/>
        </w:rPr>
        <w:t>використаних</w:t>
      </w:r>
      <w:r w:rsidRPr="000977F7">
        <w:rPr>
          <w:rFonts w:asciiTheme="majorHAnsi" w:hAnsiTheme="majorHAnsi"/>
          <w:spacing w:val="19"/>
          <w:sz w:val="20"/>
          <w:szCs w:val="20"/>
        </w:rPr>
        <w:t xml:space="preserve"> </w:t>
      </w:r>
      <w:r w:rsidRPr="000977F7">
        <w:rPr>
          <w:rFonts w:asciiTheme="majorHAnsi" w:hAnsiTheme="majorHAnsi"/>
          <w:sz w:val="20"/>
          <w:szCs w:val="20"/>
        </w:rPr>
        <w:t>для</w:t>
      </w:r>
      <w:r w:rsidRPr="000977F7">
        <w:rPr>
          <w:rFonts w:asciiTheme="majorHAnsi" w:hAnsiTheme="majorHAnsi"/>
          <w:spacing w:val="21"/>
          <w:sz w:val="20"/>
          <w:szCs w:val="20"/>
        </w:rPr>
        <w:t xml:space="preserve"> </w:t>
      </w:r>
      <w:r w:rsidRPr="000977F7">
        <w:rPr>
          <w:rFonts w:asciiTheme="majorHAnsi" w:hAnsiTheme="majorHAnsi"/>
          <w:sz w:val="20"/>
          <w:szCs w:val="20"/>
        </w:rPr>
        <w:t>розрахунку (спостережені або оцінені показники)</w:t>
      </w:r>
      <w:r w:rsidRPr="000977F7">
        <w:rPr>
          <w:rFonts w:asciiTheme="majorHAnsi" w:hAnsiTheme="majorHAnsi"/>
          <w:spacing w:val="1"/>
          <w:sz w:val="20"/>
          <w:szCs w:val="20"/>
        </w:rPr>
        <w:t xml:space="preserve"> </w:t>
      </w:r>
    </w:p>
    <w:p w14:paraId="41F1D129"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ПРОГНОЗОВАНЕ СЕРЕДНЄ НАПРАЦЮВАННЯ</w:t>
      </w:r>
      <w:r w:rsidRPr="000977F7">
        <w:rPr>
          <w:rFonts w:asciiTheme="majorHAnsi" w:hAnsiTheme="majorHAnsi"/>
          <w:b/>
          <w:spacing w:val="1"/>
          <w:sz w:val="20"/>
          <w:szCs w:val="20"/>
        </w:rPr>
        <w:t xml:space="preserve"> </w:t>
      </w:r>
      <w:r w:rsidRPr="000977F7">
        <w:rPr>
          <w:rFonts w:asciiTheme="majorHAnsi" w:hAnsiTheme="majorHAnsi"/>
          <w:b/>
          <w:sz w:val="20"/>
          <w:szCs w:val="20"/>
        </w:rPr>
        <w:t>НА</w:t>
      </w:r>
      <w:r w:rsidRPr="000977F7">
        <w:rPr>
          <w:rFonts w:asciiTheme="majorHAnsi" w:hAnsiTheme="majorHAnsi"/>
          <w:b/>
          <w:spacing w:val="-1"/>
          <w:sz w:val="20"/>
          <w:szCs w:val="20"/>
        </w:rPr>
        <w:t xml:space="preserve"> </w:t>
      </w:r>
      <w:r w:rsidRPr="000977F7">
        <w:rPr>
          <w:rFonts w:asciiTheme="majorHAnsi" w:hAnsiTheme="majorHAnsi"/>
          <w:b/>
          <w:sz w:val="20"/>
          <w:szCs w:val="20"/>
        </w:rPr>
        <w:t>ВІДМОВУ-</w:t>
      </w:r>
    </w:p>
    <w:p w14:paraId="74F1DF3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PREDICTED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MEAN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BETWEEN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FAILURES -</w:t>
      </w:r>
    </w:p>
    <w:p w14:paraId="7E0D529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Середнє</w:t>
      </w:r>
      <w:r w:rsidRPr="004D2D14">
        <w:rPr>
          <w:rFonts w:asciiTheme="majorHAnsi" w:hAnsiTheme="majorHAnsi"/>
          <w:sz w:val="20"/>
          <w:szCs w:val="20"/>
          <w:lang w:val="en-US"/>
        </w:rPr>
        <w:t xml:space="preserve"> </w:t>
      </w:r>
      <w:r w:rsidRPr="000977F7">
        <w:rPr>
          <w:rFonts w:asciiTheme="majorHAnsi" w:hAnsiTheme="majorHAnsi"/>
          <w:sz w:val="20"/>
          <w:szCs w:val="20"/>
        </w:rPr>
        <w:t>напрацювання</w:t>
      </w:r>
      <w:r w:rsidRPr="004D2D14">
        <w:rPr>
          <w:rFonts w:asciiTheme="majorHAnsi" w:hAnsiTheme="majorHAnsi"/>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відмову</w:t>
      </w:r>
      <w:r w:rsidRPr="004D2D14">
        <w:rPr>
          <w:rFonts w:asciiTheme="majorHAnsi" w:hAnsiTheme="majorHAnsi"/>
          <w:sz w:val="20"/>
          <w:szCs w:val="20"/>
          <w:lang w:val="en-US"/>
        </w:rPr>
        <w:t xml:space="preserve"> </w:t>
      </w:r>
      <w:r w:rsidRPr="000977F7">
        <w:rPr>
          <w:rFonts w:asciiTheme="majorHAnsi" w:hAnsiTheme="majorHAnsi"/>
          <w:sz w:val="20"/>
          <w:szCs w:val="20"/>
        </w:rPr>
        <w:t>апаратури</w:t>
      </w:r>
      <w:r w:rsidRPr="004D2D14">
        <w:rPr>
          <w:rFonts w:asciiTheme="majorHAnsi" w:hAnsiTheme="majorHAnsi"/>
          <w:sz w:val="20"/>
          <w:szCs w:val="20"/>
          <w:lang w:val="en-US"/>
        </w:rPr>
        <w:t xml:space="preserve">, </w:t>
      </w:r>
      <w:r w:rsidRPr="000977F7">
        <w:rPr>
          <w:rFonts w:asciiTheme="majorHAnsi" w:hAnsiTheme="majorHAnsi"/>
          <w:sz w:val="20"/>
          <w:szCs w:val="20"/>
        </w:rPr>
        <w:t>розраховане</w:t>
      </w:r>
      <w:r w:rsidRPr="004D2D14">
        <w:rPr>
          <w:rFonts w:asciiTheme="majorHAnsi" w:hAnsiTheme="majorHAnsi"/>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підставі</w:t>
      </w:r>
      <w:r w:rsidRPr="004D2D14">
        <w:rPr>
          <w:rFonts w:asciiTheme="majorHAnsi" w:hAnsiTheme="majorHAnsi"/>
          <w:sz w:val="20"/>
          <w:szCs w:val="20"/>
          <w:lang w:val="en-US"/>
        </w:rPr>
        <w:t xml:space="preserve"> </w:t>
      </w:r>
      <w:r w:rsidRPr="000977F7">
        <w:rPr>
          <w:rFonts w:asciiTheme="majorHAnsi" w:hAnsiTheme="majorHAnsi"/>
          <w:sz w:val="20"/>
          <w:szCs w:val="20"/>
        </w:rPr>
        <w:t>спостереженої</w:t>
      </w:r>
      <w:r w:rsidRPr="004D2D14">
        <w:rPr>
          <w:rFonts w:asciiTheme="majorHAnsi" w:hAnsiTheme="majorHAnsi"/>
          <w:sz w:val="20"/>
          <w:szCs w:val="20"/>
          <w:lang w:val="en-US"/>
        </w:rPr>
        <w:t xml:space="preserve">, </w:t>
      </w:r>
      <w:r w:rsidRPr="000977F7">
        <w:rPr>
          <w:rFonts w:asciiTheme="majorHAnsi" w:hAnsiTheme="majorHAnsi"/>
          <w:sz w:val="20"/>
          <w:szCs w:val="20"/>
        </w:rPr>
        <w:t>оціненої</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екстрапольованої</w:t>
      </w:r>
      <w:r w:rsidRPr="004D2D14">
        <w:rPr>
          <w:rFonts w:asciiTheme="majorHAnsi" w:hAnsiTheme="majorHAnsi"/>
          <w:sz w:val="20"/>
          <w:szCs w:val="20"/>
          <w:lang w:val="en-US"/>
        </w:rPr>
        <w:t xml:space="preserve"> </w:t>
      </w:r>
      <w:r w:rsidRPr="000977F7">
        <w:rPr>
          <w:rFonts w:asciiTheme="majorHAnsi" w:hAnsiTheme="majorHAnsi"/>
          <w:sz w:val="20"/>
          <w:szCs w:val="20"/>
        </w:rPr>
        <w:t>інтенсивності</w:t>
      </w:r>
      <w:r w:rsidRPr="004D2D14">
        <w:rPr>
          <w:rFonts w:asciiTheme="majorHAnsi" w:hAnsiTheme="majorHAnsi"/>
          <w:sz w:val="20"/>
          <w:szCs w:val="20"/>
          <w:lang w:val="en-US"/>
        </w:rPr>
        <w:t xml:space="preserve"> </w:t>
      </w:r>
      <w:r w:rsidRPr="000977F7">
        <w:rPr>
          <w:rFonts w:asciiTheme="majorHAnsi" w:hAnsiTheme="majorHAnsi"/>
          <w:sz w:val="20"/>
          <w:szCs w:val="20"/>
        </w:rPr>
        <w:t>відмов</w:t>
      </w:r>
      <w:r w:rsidRPr="004D2D14">
        <w:rPr>
          <w:rFonts w:asciiTheme="majorHAnsi" w:hAnsiTheme="majorHAnsi"/>
          <w:sz w:val="20"/>
          <w:szCs w:val="20"/>
          <w:lang w:val="en-US"/>
        </w:rPr>
        <w:t xml:space="preserve"> </w:t>
      </w:r>
      <w:r w:rsidRPr="000977F7">
        <w:rPr>
          <w:rFonts w:asciiTheme="majorHAnsi" w:hAnsiTheme="majorHAnsi"/>
          <w:sz w:val="20"/>
          <w:szCs w:val="20"/>
        </w:rPr>
        <w:t>частин</w:t>
      </w:r>
      <w:r w:rsidRPr="004D2D14">
        <w:rPr>
          <w:rFonts w:asciiTheme="majorHAnsi" w:hAnsiTheme="majorHAnsi"/>
          <w:sz w:val="20"/>
          <w:szCs w:val="20"/>
          <w:lang w:val="en-US"/>
        </w:rPr>
        <w:t xml:space="preserve"> </w:t>
      </w:r>
      <w:r w:rsidRPr="000977F7">
        <w:rPr>
          <w:rFonts w:asciiTheme="majorHAnsi" w:hAnsiTheme="majorHAnsi"/>
          <w:sz w:val="20"/>
          <w:szCs w:val="20"/>
        </w:rPr>
        <w:t>виробу</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заданих</w:t>
      </w:r>
      <w:r w:rsidRPr="004D2D14">
        <w:rPr>
          <w:rFonts w:asciiTheme="majorHAnsi" w:hAnsiTheme="majorHAnsi"/>
          <w:spacing w:val="1"/>
          <w:sz w:val="20"/>
          <w:szCs w:val="20"/>
          <w:lang w:val="en-US"/>
        </w:rPr>
        <w:t xml:space="preserve"> </w:t>
      </w:r>
      <w:r w:rsidRPr="000977F7">
        <w:rPr>
          <w:rFonts w:asciiTheme="majorHAnsi" w:hAnsiTheme="majorHAnsi"/>
          <w:sz w:val="20"/>
          <w:szCs w:val="20"/>
        </w:rPr>
        <w:t>умов</w:t>
      </w:r>
      <w:r w:rsidRPr="004D2D14">
        <w:rPr>
          <w:rFonts w:asciiTheme="majorHAnsi" w:hAnsiTheme="majorHAnsi"/>
          <w:spacing w:val="1"/>
          <w:sz w:val="20"/>
          <w:szCs w:val="20"/>
          <w:lang w:val="en-US"/>
        </w:rPr>
        <w:t xml:space="preserve"> </w:t>
      </w:r>
      <w:r w:rsidRPr="000977F7">
        <w:rPr>
          <w:rFonts w:asciiTheme="majorHAnsi" w:hAnsiTheme="majorHAnsi"/>
          <w:sz w:val="20"/>
          <w:szCs w:val="20"/>
        </w:rPr>
        <w:t>експлуатації</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виробу</w:t>
      </w:r>
      <w:r w:rsidRPr="004D2D14">
        <w:rPr>
          <w:rFonts w:asciiTheme="majorHAnsi" w:hAnsiTheme="majorHAnsi"/>
          <w:spacing w:val="1"/>
          <w:sz w:val="20"/>
          <w:szCs w:val="20"/>
          <w:lang w:val="en-US"/>
        </w:rPr>
        <w:t xml:space="preserve"> </w:t>
      </w:r>
      <w:r w:rsidRPr="000977F7">
        <w:rPr>
          <w:rFonts w:asciiTheme="majorHAnsi" w:hAnsiTheme="majorHAnsi"/>
          <w:sz w:val="20"/>
          <w:szCs w:val="20"/>
        </w:rPr>
        <w:t>і</w:t>
      </w:r>
      <w:r w:rsidRPr="004D2D14">
        <w:rPr>
          <w:rFonts w:asciiTheme="majorHAnsi" w:hAnsiTheme="majorHAnsi"/>
          <w:spacing w:val="1"/>
          <w:sz w:val="20"/>
          <w:szCs w:val="20"/>
          <w:lang w:val="en-US"/>
        </w:rPr>
        <w:t xml:space="preserve"> </w:t>
      </w:r>
      <w:r w:rsidRPr="000977F7">
        <w:rPr>
          <w:rFonts w:asciiTheme="majorHAnsi" w:hAnsiTheme="majorHAnsi"/>
          <w:sz w:val="20"/>
          <w:szCs w:val="20"/>
        </w:rPr>
        <w:t>з</w:t>
      </w:r>
      <w:r w:rsidRPr="004D2D14">
        <w:rPr>
          <w:rFonts w:asciiTheme="majorHAnsi" w:hAnsiTheme="majorHAnsi"/>
          <w:spacing w:val="1"/>
          <w:sz w:val="20"/>
          <w:szCs w:val="20"/>
          <w:lang w:val="en-US"/>
        </w:rPr>
        <w:t xml:space="preserve"> </w:t>
      </w:r>
      <w:r w:rsidRPr="000977F7">
        <w:rPr>
          <w:rFonts w:asciiTheme="majorHAnsi" w:hAnsiTheme="majorHAnsi"/>
          <w:sz w:val="20"/>
          <w:szCs w:val="20"/>
        </w:rPr>
        <w:t>урахуванням</w:t>
      </w:r>
      <w:r w:rsidRPr="004D2D14">
        <w:rPr>
          <w:rFonts w:asciiTheme="majorHAnsi" w:hAnsiTheme="majorHAnsi"/>
          <w:spacing w:val="1"/>
          <w:sz w:val="20"/>
          <w:szCs w:val="20"/>
          <w:lang w:val="en-US"/>
        </w:rPr>
        <w:t xml:space="preserve"> </w:t>
      </w:r>
      <w:r w:rsidRPr="000977F7">
        <w:rPr>
          <w:rFonts w:asciiTheme="majorHAnsi" w:hAnsiTheme="majorHAnsi"/>
          <w:sz w:val="20"/>
          <w:szCs w:val="20"/>
        </w:rPr>
        <w:t>його</w:t>
      </w:r>
      <w:r w:rsidRPr="004D2D14">
        <w:rPr>
          <w:rFonts w:asciiTheme="majorHAnsi" w:hAnsiTheme="majorHAnsi"/>
          <w:sz w:val="20"/>
          <w:szCs w:val="20"/>
          <w:lang w:val="en-US"/>
        </w:rPr>
        <w:t xml:space="preserve"> </w:t>
      </w:r>
      <w:r w:rsidRPr="000977F7">
        <w:rPr>
          <w:rFonts w:asciiTheme="majorHAnsi" w:hAnsiTheme="majorHAnsi"/>
          <w:sz w:val="20"/>
          <w:szCs w:val="20"/>
        </w:rPr>
        <w:t>конструкції</w:t>
      </w:r>
    </w:p>
    <w:p w14:paraId="60255BD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1440445C"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sz w:val="20"/>
          <w:szCs w:val="20"/>
        </w:rPr>
        <w:t>Повинні</w:t>
      </w:r>
      <w:r w:rsidRPr="000977F7">
        <w:rPr>
          <w:rFonts w:asciiTheme="majorHAnsi" w:hAnsiTheme="majorHAnsi"/>
          <w:spacing w:val="9"/>
          <w:sz w:val="20"/>
          <w:szCs w:val="20"/>
        </w:rPr>
        <w:t xml:space="preserve"> </w:t>
      </w:r>
      <w:r w:rsidRPr="000977F7">
        <w:rPr>
          <w:rFonts w:asciiTheme="majorHAnsi" w:hAnsiTheme="majorHAnsi"/>
          <w:sz w:val="20"/>
          <w:szCs w:val="20"/>
        </w:rPr>
        <w:t>бути</w:t>
      </w:r>
      <w:r w:rsidRPr="000977F7">
        <w:rPr>
          <w:rFonts w:asciiTheme="majorHAnsi" w:hAnsiTheme="majorHAnsi"/>
          <w:spacing w:val="10"/>
          <w:sz w:val="20"/>
          <w:szCs w:val="20"/>
        </w:rPr>
        <w:t xml:space="preserve"> </w:t>
      </w:r>
      <w:r w:rsidRPr="000977F7">
        <w:rPr>
          <w:rFonts w:asciiTheme="majorHAnsi" w:hAnsiTheme="majorHAnsi"/>
          <w:sz w:val="20"/>
          <w:szCs w:val="20"/>
        </w:rPr>
        <w:t>указані</w:t>
      </w:r>
      <w:r w:rsidRPr="000977F7">
        <w:rPr>
          <w:rFonts w:asciiTheme="majorHAnsi" w:hAnsiTheme="majorHAnsi"/>
          <w:spacing w:val="6"/>
          <w:sz w:val="20"/>
          <w:szCs w:val="20"/>
        </w:rPr>
        <w:t xml:space="preserve"> </w:t>
      </w:r>
      <w:r w:rsidRPr="000977F7">
        <w:rPr>
          <w:rFonts w:asciiTheme="majorHAnsi" w:hAnsiTheme="majorHAnsi"/>
          <w:sz w:val="20"/>
          <w:szCs w:val="20"/>
        </w:rPr>
        <w:t>технічні</w:t>
      </w:r>
      <w:r w:rsidRPr="000977F7">
        <w:rPr>
          <w:rFonts w:asciiTheme="majorHAnsi" w:hAnsiTheme="majorHAnsi"/>
          <w:spacing w:val="7"/>
          <w:sz w:val="20"/>
          <w:szCs w:val="20"/>
        </w:rPr>
        <w:t xml:space="preserve"> </w:t>
      </w:r>
      <w:r w:rsidRPr="000977F7">
        <w:rPr>
          <w:rFonts w:asciiTheme="majorHAnsi" w:hAnsiTheme="majorHAnsi"/>
          <w:sz w:val="20"/>
          <w:szCs w:val="20"/>
        </w:rPr>
        <w:t>і</w:t>
      </w:r>
      <w:r w:rsidRPr="000977F7">
        <w:rPr>
          <w:rFonts w:asciiTheme="majorHAnsi" w:hAnsiTheme="majorHAnsi"/>
          <w:spacing w:val="6"/>
          <w:sz w:val="20"/>
          <w:szCs w:val="20"/>
        </w:rPr>
        <w:t xml:space="preserve"> </w:t>
      </w:r>
      <w:r w:rsidRPr="000977F7">
        <w:rPr>
          <w:rFonts w:asciiTheme="majorHAnsi" w:hAnsiTheme="majorHAnsi"/>
          <w:sz w:val="20"/>
          <w:szCs w:val="20"/>
        </w:rPr>
        <w:t>статистичні</w:t>
      </w:r>
      <w:r w:rsidRPr="000977F7">
        <w:rPr>
          <w:rFonts w:asciiTheme="majorHAnsi" w:hAnsiTheme="majorHAnsi"/>
          <w:spacing w:val="8"/>
          <w:sz w:val="20"/>
          <w:szCs w:val="20"/>
        </w:rPr>
        <w:t xml:space="preserve"> </w:t>
      </w:r>
      <w:r w:rsidRPr="000977F7">
        <w:rPr>
          <w:rFonts w:asciiTheme="majorHAnsi" w:hAnsiTheme="majorHAnsi"/>
          <w:sz w:val="20"/>
          <w:szCs w:val="20"/>
        </w:rPr>
        <w:t>допущення,</w:t>
      </w:r>
      <w:r w:rsidRPr="000977F7">
        <w:rPr>
          <w:rFonts w:asciiTheme="majorHAnsi" w:hAnsiTheme="majorHAnsi"/>
          <w:spacing w:val="21"/>
          <w:sz w:val="20"/>
          <w:szCs w:val="20"/>
        </w:rPr>
        <w:t xml:space="preserve"> </w:t>
      </w:r>
      <w:r w:rsidRPr="000977F7">
        <w:rPr>
          <w:rFonts w:asciiTheme="majorHAnsi" w:hAnsiTheme="majorHAnsi"/>
          <w:sz w:val="20"/>
          <w:szCs w:val="20"/>
        </w:rPr>
        <w:t>а</w:t>
      </w:r>
      <w:r w:rsidRPr="000977F7">
        <w:rPr>
          <w:rFonts w:asciiTheme="majorHAnsi" w:hAnsiTheme="majorHAnsi"/>
          <w:spacing w:val="21"/>
          <w:sz w:val="20"/>
          <w:szCs w:val="20"/>
        </w:rPr>
        <w:t xml:space="preserve"> </w:t>
      </w:r>
      <w:r w:rsidRPr="000977F7">
        <w:rPr>
          <w:rFonts w:asciiTheme="majorHAnsi" w:hAnsiTheme="majorHAnsi"/>
          <w:sz w:val="20"/>
          <w:szCs w:val="20"/>
        </w:rPr>
        <w:t>також</w:t>
      </w:r>
      <w:r w:rsidRPr="000977F7">
        <w:rPr>
          <w:rFonts w:asciiTheme="majorHAnsi" w:hAnsiTheme="majorHAnsi"/>
          <w:spacing w:val="21"/>
          <w:sz w:val="20"/>
          <w:szCs w:val="20"/>
        </w:rPr>
        <w:t xml:space="preserve"> </w:t>
      </w:r>
      <w:r w:rsidRPr="000977F7">
        <w:rPr>
          <w:rFonts w:asciiTheme="majorHAnsi" w:hAnsiTheme="majorHAnsi"/>
          <w:sz w:val="20"/>
          <w:szCs w:val="20"/>
        </w:rPr>
        <w:t>характер</w:t>
      </w:r>
      <w:r w:rsidRPr="000977F7">
        <w:rPr>
          <w:rFonts w:asciiTheme="majorHAnsi" w:hAnsiTheme="majorHAnsi"/>
          <w:spacing w:val="22"/>
          <w:sz w:val="20"/>
          <w:szCs w:val="20"/>
        </w:rPr>
        <w:t xml:space="preserve"> </w:t>
      </w:r>
      <w:r w:rsidRPr="000977F7">
        <w:rPr>
          <w:rFonts w:asciiTheme="majorHAnsi" w:hAnsiTheme="majorHAnsi"/>
          <w:sz w:val="20"/>
          <w:szCs w:val="20"/>
        </w:rPr>
        <w:t>даних,</w:t>
      </w:r>
      <w:r w:rsidRPr="000977F7">
        <w:rPr>
          <w:rFonts w:asciiTheme="majorHAnsi" w:hAnsiTheme="majorHAnsi"/>
          <w:spacing w:val="24"/>
          <w:sz w:val="20"/>
          <w:szCs w:val="20"/>
        </w:rPr>
        <w:t xml:space="preserve"> </w:t>
      </w:r>
      <w:r w:rsidRPr="000977F7">
        <w:rPr>
          <w:rFonts w:asciiTheme="majorHAnsi" w:hAnsiTheme="majorHAnsi"/>
          <w:sz w:val="20"/>
          <w:szCs w:val="20"/>
        </w:rPr>
        <w:t>використаних</w:t>
      </w:r>
      <w:r w:rsidRPr="000977F7">
        <w:rPr>
          <w:rFonts w:asciiTheme="majorHAnsi" w:hAnsiTheme="majorHAnsi"/>
          <w:spacing w:val="19"/>
          <w:sz w:val="20"/>
          <w:szCs w:val="20"/>
        </w:rPr>
        <w:t xml:space="preserve"> </w:t>
      </w:r>
      <w:r w:rsidRPr="000977F7">
        <w:rPr>
          <w:rFonts w:asciiTheme="majorHAnsi" w:hAnsiTheme="majorHAnsi"/>
          <w:sz w:val="20"/>
          <w:szCs w:val="20"/>
        </w:rPr>
        <w:t>для</w:t>
      </w:r>
      <w:r w:rsidRPr="000977F7">
        <w:rPr>
          <w:rFonts w:asciiTheme="majorHAnsi" w:hAnsiTheme="majorHAnsi"/>
          <w:spacing w:val="21"/>
          <w:sz w:val="20"/>
          <w:szCs w:val="20"/>
        </w:rPr>
        <w:t xml:space="preserve"> </w:t>
      </w:r>
      <w:r w:rsidRPr="000977F7">
        <w:rPr>
          <w:rFonts w:asciiTheme="majorHAnsi" w:hAnsiTheme="majorHAnsi"/>
          <w:sz w:val="20"/>
          <w:szCs w:val="20"/>
        </w:rPr>
        <w:t>розрахунку (спостережені або оцінені показники)</w:t>
      </w:r>
      <w:r w:rsidRPr="000977F7">
        <w:rPr>
          <w:rFonts w:asciiTheme="majorHAnsi" w:hAnsiTheme="majorHAnsi"/>
          <w:spacing w:val="1"/>
          <w:sz w:val="20"/>
          <w:szCs w:val="20"/>
        </w:rPr>
        <w:t xml:space="preserve"> </w:t>
      </w:r>
    </w:p>
    <w:p w14:paraId="008B3253"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ПРОГНОЗОВАНИЙ</w:t>
      </w:r>
      <w:r w:rsidRPr="000977F7">
        <w:rPr>
          <w:rFonts w:asciiTheme="majorHAnsi" w:hAnsiTheme="majorHAnsi"/>
          <w:b/>
          <w:spacing w:val="1"/>
          <w:sz w:val="20"/>
          <w:szCs w:val="20"/>
        </w:rPr>
        <w:t xml:space="preserve"> </w:t>
      </w:r>
      <w:r w:rsidRPr="000977F7">
        <w:rPr>
          <w:rFonts w:asciiTheme="majorHAnsi" w:hAnsiTheme="majorHAnsi"/>
          <w:b/>
          <w:sz w:val="20"/>
          <w:szCs w:val="20"/>
        </w:rPr>
        <w:t>СЕРЕДНІЙ</w:t>
      </w:r>
      <w:r w:rsidRPr="000977F7">
        <w:rPr>
          <w:rFonts w:asciiTheme="majorHAnsi" w:hAnsiTheme="majorHAnsi"/>
          <w:b/>
          <w:spacing w:val="1"/>
          <w:sz w:val="20"/>
          <w:szCs w:val="20"/>
        </w:rPr>
        <w:t xml:space="preserve"> </w:t>
      </w:r>
      <w:r w:rsidRPr="000977F7">
        <w:rPr>
          <w:rFonts w:asciiTheme="majorHAnsi" w:hAnsiTheme="majorHAnsi"/>
          <w:b/>
          <w:sz w:val="20"/>
          <w:szCs w:val="20"/>
        </w:rPr>
        <w:t>ТЕРМІН</w:t>
      </w:r>
      <w:r w:rsidRPr="000977F7">
        <w:rPr>
          <w:rFonts w:asciiTheme="majorHAnsi" w:hAnsiTheme="majorHAnsi"/>
          <w:b/>
          <w:spacing w:val="1"/>
          <w:sz w:val="20"/>
          <w:szCs w:val="20"/>
        </w:rPr>
        <w:t xml:space="preserve"> </w:t>
      </w:r>
      <w:r w:rsidRPr="000977F7">
        <w:rPr>
          <w:rFonts w:asciiTheme="majorHAnsi" w:hAnsiTheme="majorHAnsi"/>
          <w:b/>
          <w:sz w:val="20"/>
          <w:szCs w:val="20"/>
        </w:rPr>
        <w:t>СЛУЖБИ</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771656C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PREDICTED</w:t>
      </w:r>
      <w:r w:rsidRPr="000977F7">
        <w:rPr>
          <w:rFonts w:asciiTheme="majorHAnsi" w:hAnsiTheme="majorHAnsi"/>
          <w:spacing w:val="-3"/>
          <w:sz w:val="20"/>
          <w:szCs w:val="20"/>
        </w:rPr>
        <w:t xml:space="preserve"> </w:t>
      </w:r>
      <w:r w:rsidRPr="000977F7">
        <w:rPr>
          <w:rFonts w:asciiTheme="majorHAnsi" w:hAnsiTheme="majorHAnsi"/>
          <w:sz w:val="20"/>
          <w:szCs w:val="20"/>
        </w:rPr>
        <w:t>MEAN</w:t>
      </w:r>
      <w:r w:rsidRPr="000977F7">
        <w:rPr>
          <w:rFonts w:asciiTheme="majorHAnsi" w:hAnsiTheme="majorHAnsi"/>
          <w:spacing w:val="-2"/>
          <w:sz w:val="20"/>
          <w:szCs w:val="20"/>
        </w:rPr>
        <w:t xml:space="preserve"> </w:t>
      </w:r>
      <w:r w:rsidRPr="000977F7">
        <w:rPr>
          <w:rFonts w:asciiTheme="majorHAnsi" w:hAnsiTheme="majorHAnsi"/>
          <w:sz w:val="20"/>
          <w:szCs w:val="20"/>
        </w:rPr>
        <w:t>LIFE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F0B9B6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Середній термін служби виробу, розрахований на підставі</w:t>
      </w:r>
      <w:r w:rsidRPr="000977F7">
        <w:rPr>
          <w:rFonts w:asciiTheme="majorHAnsi" w:hAnsiTheme="majorHAnsi"/>
          <w:spacing w:val="1"/>
          <w:sz w:val="20"/>
          <w:szCs w:val="20"/>
        </w:rPr>
        <w:t xml:space="preserve"> </w:t>
      </w:r>
      <w:r w:rsidRPr="000977F7">
        <w:rPr>
          <w:rFonts w:asciiTheme="majorHAnsi" w:hAnsiTheme="majorHAnsi"/>
          <w:sz w:val="20"/>
          <w:szCs w:val="20"/>
        </w:rPr>
        <w:t>спостереженого,</w:t>
      </w:r>
      <w:r w:rsidRPr="000977F7">
        <w:rPr>
          <w:rFonts w:asciiTheme="majorHAnsi" w:hAnsiTheme="majorHAnsi"/>
          <w:spacing w:val="1"/>
          <w:sz w:val="20"/>
          <w:szCs w:val="20"/>
        </w:rPr>
        <w:t xml:space="preserve"> </w:t>
      </w:r>
      <w:r w:rsidRPr="000977F7">
        <w:rPr>
          <w:rFonts w:asciiTheme="majorHAnsi" w:hAnsiTheme="majorHAnsi"/>
          <w:sz w:val="20"/>
          <w:szCs w:val="20"/>
        </w:rPr>
        <w:t>оціненого</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екстрапольованого середнього терміну служби частин виробу, для</w:t>
      </w:r>
      <w:r w:rsidRPr="000977F7">
        <w:rPr>
          <w:rFonts w:asciiTheme="majorHAnsi" w:hAnsiTheme="majorHAnsi"/>
          <w:spacing w:val="1"/>
          <w:sz w:val="20"/>
          <w:szCs w:val="20"/>
        </w:rPr>
        <w:t xml:space="preserve"> </w:t>
      </w:r>
      <w:r w:rsidRPr="000977F7">
        <w:rPr>
          <w:rFonts w:asciiTheme="majorHAnsi" w:hAnsiTheme="majorHAnsi"/>
          <w:sz w:val="20"/>
          <w:szCs w:val="20"/>
        </w:rPr>
        <w:t>заданих умов експлуатації і з врахуванням конструкції</w:t>
      </w:r>
      <w:r w:rsidRPr="000977F7">
        <w:rPr>
          <w:rFonts w:asciiTheme="majorHAnsi" w:hAnsiTheme="majorHAnsi"/>
          <w:spacing w:val="-2"/>
          <w:sz w:val="20"/>
          <w:szCs w:val="20"/>
        </w:rPr>
        <w:t xml:space="preserve"> </w:t>
      </w:r>
      <w:r w:rsidRPr="000977F7">
        <w:rPr>
          <w:rFonts w:asciiTheme="majorHAnsi" w:hAnsiTheme="majorHAnsi"/>
          <w:sz w:val="20"/>
          <w:szCs w:val="20"/>
        </w:rPr>
        <w:t>виробу</w:t>
      </w:r>
    </w:p>
    <w:p w14:paraId="6B54DF7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20E6C9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Повинні</w:t>
      </w:r>
      <w:r w:rsidRPr="000977F7">
        <w:rPr>
          <w:rFonts w:asciiTheme="majorHAnsi" w:hAnsiTheme="majorHAnsi"/>
          <w:spacing w:val="9"/>
          <w:sz w:val="20"/>
          <w:szCs w:val="20"/>
        </w:rPr>
        <w:t xml:space="preserve"> </w:t>
      </w:r>
      <w:r w:rsidRPr="000977F7">
        <w:rPr>
          <w:rFonts w:asciiTheme="majorHAnsi" w:hAnsiTheme="majorHAnsi"/>
          <w:sz w:val="20"/>
          <w:szCs w:val="20"/>
        </w:rPr>
        <w:t>бути</w:t>
      </w:r>
      <w:r w:rsidRPr="000977F7">
        <w:rPr>
          <w:rFonts w:asciiTheme="majorHAnsi" w:hAnsiTheme="majorHAnsi"/>
          <w:spacing w:val="10"/>
          <w:sz w:val="20"/>
          <w:szCs w:val="20"/>
        </w:rPr>
        <w:t xml:space="preserve"> </w:t>
      </w:r>
      <w:r w:rsidRPr="000977F7">
        <w:rPr>
          <w:rFonts w:asciiTheme="majorHAnsi" w:hAnsiTheme="majorHAnsi"/>
          <w:sz w:val="20"/>
          <w:szCs w:val="20"/>
        </w:rPr>
        <w:t>указані</w:t>
      </w:r>
      <w:r w:rsidRPr="000977F7">
        <w:rPr>
          <w:rFonts w:asciiTheme="majorHAnsi" w:hAnsiTheme="majorHAnsi"/>
          <w:spacing w:val="6"/>
          <w:sz w:val="20"/>
          <w:szCs w:val="20"/>
        </w:rPr>
        <w:t xml:space="preserve"> </w:t>
      </w:r>
      <w:r w:rsidRPr="000977F7">
        <w:rPr>
          <w:rFonts w:asciiTheme="majorHAnsi" w:hAnsiTheme="majorHAnsi"/>
          <w:sz w:val="20"/>
          <w:szCs w:val="20"/>
        </w:rPr>
        <w:t>технічні</w:t>
      </w:r>
      <w:r w:rsidRPr="000977F7">
        <w:rPr>
          <w:rFonts w:asciiTheme="majorHAnsi" w:hAnsiTheme="majorHAnsi"/>
          <w:spacing w:val="7"/>
          <w:sz w:val="20"/>
          <w:szCs w:val="20"/>
        </w:rPr>
        <w:t xml:space="preserve"> </w:t>
      </w:r>
      <w:r w:rsidRPr="000977F7">
        <w:rPr>
          <w:rFonts w:asciiTheme="majorHAnsi" w:hAnsiTheme="majorHAnsi"/>
          <w:sz w:val="20"/>
          <w:szCs w:val="20"/>
        </w:rPr>
        <w:t>і</w:t>
      </w:r>
      <w:r w:rsidRPr="000977F7">
        <w:rPr>
          <w:rFonts w:asciiTheme="majorHAnsi" w:hAnsiTheme="majorHAnsi"/>
          <w:spacing w:val="6"/>
          <w:sz w:val="20"/>
          <w:szCs w:val="20"/>
        </w:rPr>
        <w:t xml:space="preserve"> </w:t>
      </w:r>
      <w:r w:rsidRPr="000977F7">
        <w:rPr>
          <w:rFonts w:asciiTheme="majorHAnsi" w:hAnsiTheme="majorHAnsi"/>
          <w:sz w:val="20"/>
          <w:szCs w:val="20"/>
        </w:rPr>
        <w:t>статистичні</w:t>
      </w:r>
      <w:r w:rsidRPr="000977F7">
        <w:rPr>
          <w:rFonts w:asciiTheme="majorHAnsi" w:hAnsiTheme="majorHAnsi"/>
          <w:spacing w:val="8"/>
          <w:sz w:val="20"/>
          <w:szCs w:val="20"/>
        </w:rPr>
        <w:t xml:space="preserve"> </w:t>
      </w:r>
      <w:r w:rsidRPr="000977F7">
        <w:rPr>
          <w:rFonts w:asciiTheme="majorHAnsi" w:hAnsiTheme="majorHAnsi"/>
          <w:sz w:val="20"/>
          <w:szCs w:val="20"/>
        </w:rPr>
        <w:t>допущення,</w:t>
      </w:r>
      <w:r w:rsidRPr="000977F7">
        <w:rPr>
          <w:rFonts w:asciiTheme="majorHAnsi" w:hAnsiTheme="majorHAnsi"/>
          <w:spacing w:val="21"/>
          <w:sz w:val="20"/>
          <w:szCs w:val="20"/>
        </w:rPr>
        <w:t xml:space="preserve"> </w:t>
      </w:r>
      <w:r w:rsidRPr="000977F7">
        <w:rPr>
          <w:rFonts w:asciiTheme="majorHAnsi" w:hAnsiTheme="majorHAnsi"/>
          <w:sz w:val="20"/>
          <w:szCs w:val="20"/>
        </w:rPr>
        <w:t>а</w:t>
      </w:r>
      <w:r w:rsidRPr="000977F7">
        <w:rPr>
          <w:rFonts w:asciiTheme="majorHAnsi" w:hAnsiTheme="majorHAnsi"/>
          <w:spacing w:val="21"/>
          <w:sz w:val="20"/>
          <w:szCs w:val="20"/>
        </w:rPr>
        <w:t xml:space="preserve"> </w:t>
      </w:r>
      <w:r w:rsidRPr="000977F7">
        <w:rPr>
          <w:rFonts w:asciiTheme="majorHAnsi" w:hAnsiTheme="majorHAnsi"/>
          <w:sz w:val="20"/>
          <w:szCs w:val="20"/>
        </w:rPr>
        <w:t>також</w:t>
      </w:r>
      <w:r w:rsidRPr="000977F7">
        <w:rPr>
          <w:rFonts w:asciiTheme="majorHAnsi" w:hAnsiTheme="majorHAnsi"/>
          <w:spacing w:val="21"/>
          <w:sz w:val="20"/>
          <w:szCs w:val="20"/>
        </w:rPr>
        <w:t xml:space="preserve"> </w:t>
      </w:r>
      <w:r w:rsidRPr="000977F7">
        <w:rPr>
          <w:rFonts w:asciiTheme="majorHAnsi" w:hAnsiTheme="majorHAnsi"/>
          <w:sz w:val="20"/>
          <w:szCs w:val="20"/>
        </w:rPr>
        <w:t>характер</w:t>
      </w:r>
      <w:r w:rsidRPr="000977F7">
        <w:rPr>
          <w:rFonts w:asciiTheme="majorHAnsi" w:hAnsiTheme="majorHAnsi"/>
          <w:spacing w:val="22"/>
          <w:sz w:val="20"/>
          <w:szCs w:val="20"/>
        </w:rPr>
        <w:t xml:space="preserve"> </w:t>
      </w:r>
      <w:r w:rsidRPr="000977F7">
        <w:rPr>
          <w:rFonts w:asciiTheme="majorHAnsi" w:hAnsiTheme="majorHAnsi"/>
          <w:sz w:val="20"/>
          <w:szCs w:val="20"/>
        </w:rPr>
        <w:t>даних,</w:t>
      </w:r>
      <w:r w:rsidRPr="000977F7">
        <w:rPr>
          <w:rFonts w:asciiTheme="majorHAnsi" w:hAnsiTheme="majorHAnsi"/>
          <w:spacing w:val="24"/>
          <w:sz w:val="20"/>
          <w:szCs w:val="20"/>
        </w:rPr>
        <w:t xml:space="preserve"> </w:t>
      </w:r>
      <w:r w:rsidRPr="000977F7">
        <w:rPr>
          <w:rFonts w:asciiTheme="majorHAnsi" w:hAnsiTheme="majorHAnsi"/>
          <w:sz w:val="20"/>
          <w:szCs w:val="20"/>
        </w:rPr>
        <w:t>використаних</w:t>
      </w:r>
      <w:r w:rsidRPr="000977F7">
        <w:rPr>
          <w:rFonts w:asciiTheme="majorHAnsi" w:hAnsiTheme="majorHAnsi"/>
          <w:spacing w:val="19"/>
          <w:sz w:val="20"/>
          <w:szCs w:val="20"/>
        </w:rPr>
        <w:t xml:space="preserve"> </w:t>
      </w:r>
      <w:r w:rsidRPr="000977F7">
        <w:rPr>
          <w:rFonts w:asciiTheme="majorHAnsi" w:hAnsiTheme="majorHAnsi"/>
          <w:sz w:val="20"/>
          <w:szCs w:val="20"/>
        </w:rPr>
        <w:t>для</w:t>
      </w:r>
      <w:r w:rsidRPr="000977F7">
        <w:rPr>
          <w:rFonts w:asciiTheme="majorHAnsi" w:hAnsiTheme="majorHAnsi"/>
          <w:spacing w:val="21"/>
          <w:sz w:val="20"/>
          <w:szCs w:val="20"/>
        </w:rPr>
        <w:t xml:space="preserve"> </w:t>
      </w:r>
      <w:r w:rsidRPr="000977F7">
        <w:rPr>
          <w:rFonts w:asciiTheme="majorHAnsi" w:hAnsiTheme="majorHAnsi"/>
          <w:sz w:val="20"/>
          <w:szCs w:val="20"/>
        </w:rPr>
        <w:t>розрахунку (спостережені або оцінені показники)</w:t>
      </w:r>
    </w:p>
    <w:p w14:paraId="6E67CC51"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ПРОГНОЗОВАНИЙ Q-ВІДСОТКОВИЙ ТЕРМІН</w:t>
      </w:r>
      <w:r w:rsidRPr="000977F7">
        <w:rPr>
          <w:rFonts w:asciiTheme="majorHAnsi" w:hAnsiTheme="majorHAnsi"/>
          <w:b/>
          <w:spacing w:val="1"/>
          <w:sz w:val="20"/>
          <w:szCs w:val="20"/>
        </w:rPr>
        <w:t xml:space="preserve"> </w:t>
      </w:r>
      <w:r w:rsidRPr="000977F7">
        <w:rPr>
          <w:rFonts w:asciiTheme="majorHAnsi" w:hAnsiTheme="majorHAnsi"/>
          <w:b/>
          <w:sz w:val="20"/>
          <w:szCs w:val="20"/>
        </w:rPr>
        <w:t>СЛУЖБИ -</w:t>
      </w:r>
    </w:p>
    <w:p w14:paraId="1F1630D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PREDICTED</w:t>
      </w:r>
      <w:r w:rsidRPr="000977F7">
        <w:rPr>
          <w:rFonts w:asciiTheme="majorHAnsi" w:hAnsiTheme="majorHAnsi"/>
          <w:spacing w:val="-3"/>
          <w:sz w:val="20"/>
          <w:szCs w:val="20"/>
        </w:rPr>
        <w:t xml:space="preserve"> </w:t>
      </w:r>
      <w:r w:rsidRPr="000977F7">
        <w:rPr>
          <w:rFonts w:asciiTheme="majorHAnsi" w:hAnsiTheme="majorHAnsi"/>
          <w:sz w:val="20"/>
          <w:szCs w:val="20"/>
        </w:rPr>
        <w:t>Q</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3"/>
          <w:sz w:val="20"/>
          <w:szCs w:val="20"/>
        </w:rPr>
        <w:t xml:space="preserve"> </w:t>
      </w:r>
      <w:r w:rsidRPr="000977F7">
        <w:rPr>
          <w:rFonts w:asciiTheme="majorHAnsi" w:hAnsiTheme="majorHAnsi"/>
          <w:sz w:val="20"/>
          <w:szCs w:val="20"/>
        </w:rPr>
        <w:t>PERCENTILE LIFE -</w:t>
      </w:r>
    </w:p>
    <w:p w14:paraId="315D8E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Розрахунковий Q-відсотковий термін служби виробу,</w:t>
      </w:r>
      <w:r w:rsidRPr="000977F7">
        <w:rPr>
          <w:rFonts w:asciiTheme="majorHAnsi" w:hAnsiTheme="majorHAnsi"/>
          <w:spacing w:val="-47"/>
          <w:sz w:val="20"/>
          <w:szCs w:val="20"/>
        </w:rPr>
        <w:t xml:space="preserve"> </w:t>
      </w:r>
      <w:r w:rsidRPr="000977F7">
        <w:rPr>
          <w:rFonts w:asciiTheme="majorHAnsi" w:hAnsiTheme="majorHAnsi"/>
          <w:sz w:val="20"/>
          <w:szCs w:val="20"/>
        </w:rPr>
        <w:t>отриманий на підставі спостереженого, оціненого або</w:t>
      </w:r>
      <w:r w:rsidRPr="000977F7">
        <w:rPr>
          <w:rFonts w:asciiTheme="majorHAnsi" w:hAnsiTheme="majorHAnsi"/>
          <w:spacing w:val="1"/>
          <w:sz w:val="20"/>
          <w:szCs w:val="20"/>
        </w:rPr>
        <w:t xml:space="preserve"> </w:t>
      </w:r>
      <w:r w:rsidRPr="000977F7">
        <w:rPr>
          <w:rFonts w:asciiTheme="majorHAnsi" w:hAnsiTheme="majorHAnsi"/>
          <w:sz w:val="20"/>
          <w:szCs w:val="20"/>
        </w:rPr>
        <w:t>екстрапольованого терміну служби його частин, для</w:t>
      </w:r>
      <w:r w:rsidRPr="000977F7">
        <w:rPr>
          <w:rFonts w:asciiTheme="majorHAnsi" w:hAnsiTheme="majorHAnsi"/>
          <w:spacing w:val="1"/>
          <w:sz w:val="20"/>
          <w:szCs w:val="20"/>
        </w:rPr>
        <w:t xml:space="preserve"> </w:t>
      </w:r>
      <w:r w:rsidRPr="000977F7">
        <w:rPr>
          <w:rFonts w:asciiTheme="majorHAnsi" w:hAnsiTheme="majorHAnsi"/>
          <w:sz w:val="20"/>
          <w:szCs w:val="20"/>
        </w:rPr>
        <w:t>заданих умов експлуатації і з врахуванням конструкції</w:t>
      </w:r>
      <w:r w:rsidRPr="000977F7">
        <w:rPr>
          <w:rFonts w:asciiTheme="majorHAnsi" w:hAnsiTheme="majorHAnsi"/>
          <w:spacing w:val="-2"/>
          <w:sz w:val="20"/>
          <w:szCs w:val="20"/>
        </w:rPr>
        <w:t xml:space="preserve"> </w:t>
      </w:r>
      <w:r w:rsidRPr="000977F7">
        <w:rPr>
          <w:rFonts w:asciiTheme="majorHAnsi" w:hAnsiTheme="majorHAnsi"/>
          <w:sz w:val="20"/>
          <w:szCs w:val="20"/>
        </w:rPr>
        <w:t>виробу</w:t>
      </w:r>
    </w:p>
    <w:p w14:paraId="6D3BA29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3D85D95"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Повинні</w:t>
      </w:r>
      <w:r w:rsidRPr="000977F7">
        <w:rPr>
          <w:rFonts w:asciiTheme="majorHAnsi" w:hAnsiTheme="majorHAnsi"/>
          <w:spacing w:val="7"/>
          <w:sz w:val="20"/>
          <w:szCs w:val="20"/>
        </w:rPr>
        <w:t xml:space="preserve"> </w:t>
      </w:r>
      <w:r w:rsidRPr="000977F7">
        <w:rPr>
          <w:rFonts w:asciiTheme="majorHAnsi" w:hAnsiTheme="majorHAnsi"/>
          <w:sz w:val="20"/>
          <w:szCs w:val="20"/>
        </w:rPr>
        <w:t>бути</w:t>
      </w:r>
      <w:r w:rsidRPr="000977F7">
        <w:rPr>
          <w:rFonts w:asciiTheme="majorHAnsi" w:hAnsiTheme="majorHAnsi"/>
          <w:spacing w:val="8"/>
          <w:sz w:val="20"/>
          <w:szCs w:val="20"/>
        </w:rPr>
        <w:t xml:space="preserve"> </w:t>
      </w:r>
      <w:r w:rsidRPr="000977F7">
        <w:rPr>
          <w:rFonts w:asciiTheme="majorHAnsi" w:hAnsiTheme="majorHAnsi"/>
          <w:sz w:val="20"/>
          <w:szCs w:val="20"/>
        </w:rPr>
        <w:t>указані</w:t>
      </w:r>
      <w:r w:rsidRPr="000977F7">
        <w:rPr>
          <w:rFonts w:asciiTheme="majorHAnsi" w:hAnsiTheme="majorHAnsi"/>
          <w:spacing w:val="9"/>
          <w:sz w:val="20"/>
          <w:szCs w:val="20"/>
        </w:rPr>
        <w:t xml:space="preserve"> </w:t>
      </w:r>
      <w:r w:rsidRPr="000977F7">
        <w:rPr>
          <w:rFonts w:asciiTheme="majorHAnsi" w:hAnsiTheme="majorHAnsi"/>
          <w:sz w:val="20"/>
          <w:szCs w:val="20"/>
        </w:rPr>
        <w:t>технічні</w:t>
      </w:r>
      <w:r w:rsidRPr="000977F7">
        <w:rPr>
          <w:rFonts w:asciiTheme="majorHAnsi" w:hAnsiTheme="majorHAnsi"/>
          <w:spacing w:val="8"/>
          <w:sz w:val="20"/>
          <w:szCs w:val="20"/>
        </w:rPr>
        <w:t xml:space="preserve"> </w:t>
      </w:r>
      <w:r w:rsidRPr="000977F7">
        <w:rPr>
          <w:rFonts w:asciiTheme="majorHAnsi" w:hAnsiTheme="majorHAnsi"/>
          <w:sz w:val="20"/>
          <w:szCs w:val="20"/>
        </w:rPr>
        <w:t>і</w:t>
      </w:r>
      <w:r w:rsidRPr="000977F7">
        <w:rPr>
          <w:rFonts w:asciiTheme="majorHAnsi" w:hAnsiTheme="majorHAnsi"/>
          <w:spacing w:val="7"/>
          <w:sz w:val="20"/>
          <w:szCs w:val="20"/>
        </w:rPr>
        <w:t xml:space="preserve"> </w:t>
      </w:r>
      <w:r w:rsidRPr="000977F7">
        <w:rPr>
          <w:rFonts w:asciiTheme="majorHAnsi" w:hAnsiTheme="majorHAnsi"/>
          <w:sz w:val="20"/>
          <w:szCs w:val="20"/>
        </w:rPr>
        <w:t>статистичні</w:t>
      </w:r>
      <w:r w:rsidRPr="000977F7">
        <w:rPr>
          <w:rFonts w:asciiTheme="majorHAnsi" w:hAnsiTheme="majorHAnsi"/>
          <w:spacing w:val="7"/>
          <w:sz w:val="20"/>
          <w:szCs w:val="20"/>
        </w:rPr>
        <w:t xml:space="preserve"> </w:t>
      </w:r>
      <w:r w:rsidRPr="000977F7">
        <w:rPr>
          <w:rFonts w:asciiTheme="majorHAnsi" w:hAnsiTheme="majorHAnsi"/>
          <w:sz w:val="20"/>
          <w:szCs w:val="20"/>
        </w:rPr>
        <w:t>допущення,</w:t>
      </w:r>
      <w:r w:rsidRPr="000977F7">
        <w:rPr>
          <w:rFonts w:asciiTheme="majorHAnsi" w:hAnsiTheme="majorHAnsi"/>
          <w:spacing w:val="13"/>
          <w:sz w:val="20"/>
          <w:szCs w:val="20"/>
        </w:rPr>
        <w:t xml:space="preserve"> </w:t>
      </w:r>
      <w:r w:rsidRPr="000977F7">
        <w:rPr>
          <w:rFonts w:asciiTheme="majorHAnsi" w:hAnsiTheme="majorHAnsi"/>
          <w:sz w:val="20"/>
          <w:szCs w:val="20"/>
        </w:rPr>
        <w:t>а</w:t>
      </w:r>
      <w:r w:rsidRPr="000977F7">
        <w:rPr>
          <w:rFonts w:asciiTheme="majorHAnsi" w:hAnsiTheme="majorHAnsi"/>
          <w:spacing w:val="15"/>
          <w:sz w:val="20"/>
          <w:szCs w:val="20"/>
        </w:rPr>
        <w:t xml:space="preserve"> </w:t>
      </w:r>
      <w:r w:rsidRPr="000977F7">
        <w:rPr>
          <w:rFonts w:asciiTheme="majorHAnsi" w:hAnsiTheme="majorHAnsi"/>
          <w:sz w:val="20"/>
          <w:szCs w:val="20"/>
        </w:rPr>
        <w:t>також</w:t>
      </w:r>
      <w:r w:rsidRPr="000977F7">
        <w:rPr>
          <w:rFonts w:asciiTheme="majorHAnsi" w:hAnsiTheme="majorHAnsi"/>
          <w:spacing w:val="14"/>
          <w:sz w:val="20"/>
          <w:szCs w:val="20"/>
        </w:rPr>
        <w:t xml:space="preserve"> </w:t>
      </w:r>
      <w:r w:rsidRPr="000977F7">
        <w:rPr>
          <w:rFonts w:asciiTheme="majorHAnsi" w:hAnsiTheme="majorHAnsi"/>
          <w:sz w:val="20"/>
          <w:szCs w:val="20"/>
        </w:rPr>
        <w:t>характер</w:t>
      </w:r>
      <w:r w:rsidRPr="000977F7">
        <w:rPr>
          <w:rFonts w:asciiTheme="majorHAnsi" w:hAnsiTheme="majorHAnsi"/>
          <w:spacing w:val="16"/>
          <w:sz w:val="20"/>
          <w:szCs w:val="20"/>
        </w:rPr>
        <w:t xml:space="preserve"> </w:t>
      </w:r>
      <w:r w:rsidRPr="000977F7">
        <w:rPr>
          <w:rFonts w:asciiTheme="majorHAnsi" w:hAnsiTheme="majorHAnsi"/>
          <w:sz w:val="20"/>
          <w:szCs w:val="20"/>
        </w:rPr>
        <w:t>даних,</w:t>
      </w:r>
      <w:r w:rsidRPr="000977F7">
        <w:rPr>
          <w:rFonts w:asciiTheme="majorHAnsi" w:hAnsiTheme="majorHAnsi"/>
          <w:spacing w:val="15"/>
          <w:sz w:val="20"/>
          <w:szCs w:val="20"/>
        </w:rPr>
        <w:t xml:space="preserve"> </w:t>
      </w:r>
      <w:r w:rsidRPr="000977F7">
        <w:rPr>
          <w:rFonts w:asciiTheme="majorHAnsi" w:hAnsiTheme="majorHAnsi"/>
          <w:sz w:val="20"/>
          <w:szCs w:val="20"/>
        </w:rPr>
        <w:t>використаних</w:t>
      </w:r>
      <w:r w:rsidRPr="000977F7">
        <w:rPr>
          <w:rFonts w:asciiTheme="majorHAnsi" w:hAnsiTheme="majorHAnsi"/>
          <w:spacing w:val="13"/>
          <w:sz w:val="20"/>
          <w:szCs w:val="20"/>
        </w:rPr>
        <w:t xml:space="preserve"> </w:t>
      </w:r>
      <w:r w:rsidRPr="000977F7">
        <w:rPr>
          <w:rFonts w:asciiTheme="majorHAnsi" w:hAnsiTheme="majorHAnsi"/>
          <w:sz w:val="20"/>
          <w:szCs w:val="20"/>
        </w:rPr>
        <w:t>для</w:t>
      </w:r>
      <w:r w:rsidRPr="000977F7">
        <w:rPr>
          <w:rFonts w:asciiTheme="majorHAnsi" w:hAnsiTheme="majorHAnsi"/>
          <w:spacing w:val="-47"/>
          <w:sz w:val="20"/>
          <w:szCs w:val="20"/>
        </w:rPr>
        <w:t xml:space="preserve"> </w:t>
      </w:r>
      <w:r w:rsidRPr="000977F7">
        <w:rPr>
          <w:rFonts w:asciiTheme="majorHAnsi" w:hAnsiTheme="majorHAnsi"/>
          <w:sz w:val="20"/>
          <w:szCs w:val="20"/>
        </w:rPr>
        <w:t>розрахунку (спостережені або оцінені показники)</w:t>
      </w:r>
    </w:p>
    <w:p w14:paraId="3E8AECEE"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pacing w:val="-2"/>
          <w:sz w:val="20"/>
          <w:szCs w:val="20"/>
        </w:rPr>
        <w:t xml:space="preserve">ПРОГНОЗУВАННЯ ІНТЕНСИВНОСТІ </w:t>
      </w:r>
      <w:r w:rsidRPr="000977F7">
        <w:rPr>
          <w:rFonts w:asciiTheme="majorHAnsi" w:hAnsiTheme="majorHAnsi"/>
          <w:b/>
          <w:spacing w:val="-1"/>
          <w:sz w:val="20"/>
          <w:szCs w:val="20"/>
        </w:rPr>
        <w:t>ВІДМОВ –</w:t>
      </w:r>
    </w:p>
    <w:p w14:paraId="72B02B1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PREDICTED</w:t>
      </w:r>
      <w:r w:rsidRPr="000977F7">
        <w:rPr>
          <w:rFonts w:asciiTheme="majorHAnsi" w:hAnsiTheme="majorHAnsi"/>
          <w:spacing w:val="-1"/>
          <w:sz w:val="20"/>
          <w:szCs w:val="20"/>
        </w:rPr>
        <w:t xml:space="preserve"> </w:t>
      </w:r>
      <w:r w:rsidRPr="000977F7">
        <w:rPr>
          <w:rFonts w:asciiTheme="majorHAnsi" w:hAnsiTheme="majorHAnsi"/>
          <w:sz w:val="20"/>
          <w:szCs w:val="20"/>
        </w:rPr>
        <w:t>FAILURE</w:t>
      </w:r>
      <w:r w:rsidRPr="000977F7">
        <w:rPr>
          <w:rFonts w:asciiTheme="majorHAnsi" w:hAnsiTheme="majorHAnsi"/>
          <w:spacing w:val="3"/>
          <w:sz w:val="20"/>
          <w:szCs w:val="20"/>
        </w:rPr>
        <w:t xml:space="preserve"> </w:t>
      </w:r>
      <w:r w:rsidRPr="000977F7">
        <w:rPr>
          <w:rFonts w:asciiTheme="majorHAnsi" w:hAnsiTheme="majorHAnsi"/>
          <w:sz w:val="20"/>
          <w:szCs w:val="20"/>
        </w:rPr>
        <w:t>RATE</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6B72203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Інтенсивність відмов апаратури, розрахована на підставі спостереженої, оціненої та екстрапольованої інтенсивності відмов частин виробу для заданих умов</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врахуванням</w:t>
      </w:r>
      <w:r w:rsidRPr="000977F7">
        <w:rPr>
          <w:rFonts w:asciiTheme="majorHAnsi" w:hAnsiTheme="majorHAnsi"/>
          <w:spacing w:val="2"/>
          <w:sz w:val="20"/>
          <w:szCs w:val="20"/>
        </w:rPr>
        <w:t xml:space="preserve"> </w:t>
      </w:r>
      <w:r w:rsidRPr="000977F7">
        <w:rPr>
          <w:rFonts w:asciiTheme="majorHAnsi" w:hAnsiTheme="majorHAnsi"/>
          <w:sz w:val="20"/>
          <w:szCs w:val="20"/>
        </w:rPr>
        <w:t>його конструкції</w:t>
      </w:r>
    </w:p>
    <w:p w14:paraId="144BD35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BF7DBA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Повинні</w:t>
      </w:r>
      <w:r w:rsidRPr="000977F7">
        <w:rPr>
          <w:rFonts w:asciiTheme="majorHAnsi" w:hAnsiTheme="majorHAnsi"/>
          <w:spacing w:val="9"/>
          <w:sz w:val="20"/>
          <w:szCs w:val="20"/>
        </w:rPr>
        <w:t xml:space="preserve"> </w:t>
      </w:r>
      <w:r w:rsidRPr="000977F7">
        <w:rPr>
          <w:rFonts w:asciiTheme="majorHAnsi" w:hAnsiTheme="majorHAnsi"/>
          <w:sz w:val="20"/>
          <w:szCs w:val="20"/>
        </w:rPr>
        <w:t>бути</w:t>
      </w:r>
      <w:r w:rsidRPr="000977F7">
        <w:rPr>
          <w:rFonts w:asciiTheme="majorHAnsi" w:hAnsiTheme="majorHAnsi"/>
          <w:spacing w:val="10"/>
          <w:sz w:val="20"/>
          <w:szCs w:val="20"/>
        </w:rPr>
        <w:t xml:space="preserve"> </w:t>
      </w:r>
      <w:r w:rsidRPr="000977F7">
        <w:rPr>
          <w:rFonts w:asciiTheme="majorHAnsi" w:hAnsiTheme="majorHAnsi"/>
          <w:sz w:val="20"/>
          <w:szCs w:val="20"/>
        </w:rPr>
        <w:t>указані</w:t>
      </w:r>
      <w:r w:rsidRPr="000977F7">
        <w:rPr>
          <w:rFonts w:asciiTheme="majorHAnsi" w:hAnsiTheme="majorHAnsi"/>
          <w:spacing w:val="6"/>
          <w:sz w:val="20"/>
          <w:szCs w:val="20"/>
        </w:rPr>
        <w:t xml:space="preserve"> </w:t>
      </w:r>
      <w:r w:rsidRPr="000977F7">
        <w:rPr>
          <w:rFonts w:asciiTheme="majorHAnsi" w:hAnsiTheme="majorHAnsi"/>
          <w:sz w:val="20"/>
          <w:szCs w:val="20"/>
        </w:rPr>
        <w:t>технічні</w:t>
      </w:r>
      <w:r w:rsidRPr="000977F7">
        <w:rPr>
          <w:rFonts w:asciiTheme="majorHAnsi" w:hAnsiTheme="majorHAnsi"/>
          <w:spacing w:val="6"/>
          <w:sz w:val="20"/>
          <w:szCs w:val="20"/>
        </w:rPr>
        <w:t xml:space="preserve"> </w:t>
      </w:r>
      <w:r w:rsidRPr="000977F7">
        <w:rPr>
          <w:rFonts w:asciiTheme="majorHAnsi" w:hAnsiTheme="majorHAnsi"/>
          <w:sz w:val="20"/>
          <w:szCs w:val="20"/>
        </w:rPr>
        <w:t>і</w:t>
      </w:r>
      <w:r w:rsidRPr="000977F7">
        <w:rPr>
          <w:rFonts w:asciiTheme="majorHAnsi" w:hAnsiTheme="majorHAnsi"/>
          <w:spacing w:val="6"/>
          <w:sz w:val="20"/>
          <w:szCs w:val="20"/>
        </w:rPr>
        <w:t xml:space="preserve"> </w:t>
      </w:r>
      <w:r w:rsidRPr="000977F7">
        <w:rPr>
          <w:rFonts w:asciiTheme="majorHAnsi" w:hAnsiTheme="majorHAnsi"/>
          <w:sz w:val="20"/>
          <w:szCs w:val="20"/>
        </w:rPr>
        <w:t>статистичні</w:t>
      </w:r>
      <w:r w:rsidRPr="000977F7">
        <w:rPr>
          <w:rFonts w:asciiTheme="majorHAnsi" w:hAnsiTheme="majorHAnsi"/>
          <w:spacing w:val="8"/>
          <w:sz w:val="20"/>
          <w:szCs w:val="20"/>
        </w:rPr>
        <w:t xml:space="preserve"> </w:t>
      </w:r>
      <w:r w:rsidRPr="000977F7">
        <w:rPr>
          <w:rFonts w:asciiTheme="majorHAnsi" w:hAnsiTheme="majorHAnsi"/>
          <w:sz w:val="20"/>
          <w:szCs w:val="20"/>
        </w:rPr>
        <w:t>допущення,</w:t>
      </w:r>
      <w:r w:rsidRPr="000977F7">
        <w:rPr>
          <w:rFonts w:asciiTheme="majorHAnsi" w:hAnsiTheme="majorHAnsi"/>
          <w:spacing w:val="2"/>
          <w:sz w:val="20"/>
          <w:szCs w:val="20"/>
        </w:rPr>
        <w:t xml:space="preserve"> </w:t>
      </w:r>
      <w:r w:rsidRPr="000977F7">
        <w:rPr>
          <w:rFonts w:asciiTheme="majorHAnsi" w:hAnsiTheme="majorHAnsi"/>
          <w:sz w:val="20"/>
          <w:szCs w:val="20"/>
        </w:rPr>
        <w:t>а</w:t>
      </w:r>
      <w:r w:rsidRPr="000977F7">
        <w:rPr>
          <w:rFonts w:asciiTheme="majorHAnsi" w:hAnsiTheme="majorHAnsi"/>
          <w:spacing w:val="4"/>
          <w:sz w:val="20"/>
          <w:szCs w:val="20"/>
        </w:rPr>
        <w:t xml:space="preserve"> </w:t>
      </w:r>
      <w:r w:rsidRPr="000977F7">
        <w:rPr>
          <w:rFonts w:asciiTheme="majorHAnsi" w:hAnsiTheme="majorHAnsi"/>
          <w:sz w:val="20"/>
          <w:szCs w:val="20"/>
        </w:rPr>
        <w:t>також</w:t>
      </w:r>
      <w:r w:rsidRPr="000977F7">
        <w:rPr>
          <w:rFonts w:asciiTheme="majorHAnsi" w:hAnsiTheme="majorHAnsi"/>
          <w:spacing w:val="3"/>
          <w:sz w:val="20"/>
          <w:szCs w:val="20"/>
        </w:rPr>
        <w:t xml:space="preserve"> </w:t>
      </w:r>
      <w:r w:rsidRPr="000977F7">
        <w:rPr>
          <w:rFonts w:asciiTheme="majorHAnsi" w:hAnsiTheme="majorHAnsi"/>
          <w:sz w:val="20"/>
          <w:szCs w:val="20"/>
        </w:rPr>
        <w:t>характер</w:t>
      </w:r>
      <w:r w:rsidRPr="000977F7">
        <w:rPr>
          <w:rFonts w:asciiTheme="majorHAnsi" w:hAnsiTheme="majorHAnsi"/>
          <w:spacing w:val="6"/>
          <w:sz w:val="20"/>
          <w:szCs w:val="20"/>
        </w:rPr>
        <w:t xml:space="preserve"> </w:t>
      </w:r>
      <w:r w:rsidRPr="000977F7">
        <w:rPr>
          <w:rFonts w:asciiTheme="majorHAnsi" w:hAnsiTheme="majorHAnsi"/>
          <w:sz w:val="20"/>
          <w:szCs w:val="20"/>
        </w:rPr>
        <w:t>даних,</w:t>
      </w:r>
      <w:r w:rsidRPr="000977F7">
        <w:rPr>
          <w:rFonts w:asciiTheme="majorHAnsi" w:hAnsiTheme="majorHAnsi"/>
          <w:spacing w:val="4"/>
          <w:sz w:val="20"/>
          <w:szCs w:val="20"/>
        </w:rPr>
        <w:t xml:space="preserve"> </w:t>
      </w:r>
      <w:r w:rsidRPr="000977F7">
        <w:rPr>
          <w:rFonts w:asciiTheme="majorHAnsi" w:hAnsiTheme="majorHAnsi"/>
          <w:sz w:val="20"/>
          <w:szCs w:val="20"/>
        </w:rPr>
        <w:t>що</w:t>
      </w:r>
      <w:r w:rsidRPr="000977F7">
        <w:rPr>
          <w:rFonts w:asciiTheme="majorHAnsi" w:hAnsiTheme="majorHAnsi"/>
          <w:spacing w:val="3"/>
          <w:sz w:val="20"/>
          <w:szCs w:val="20"/>
        </w:rPr>
        <w:t xml:space="preserve"> </w:t>
      </w:r>
      <w:r w:rsidRPr="000977F7">
        <w:rPr>
          <w:rFonts w:asciiTheme="majorHAnsi" w:hAnsiTheme="majorHAnsi"/>
          <w:sz w:val="20"/>
          <w:szCs w:val="20"/>
        </w:rPr>
        <w:t>використовуються</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47"/>
          <w:sz w:val="20"/>
          <w:szCs w:val="20"/>
        </w:rPr>
        <w:t xml:space="preserve"> </w:t>
      </w:r>
      <w:r w:rsidRPr="000977F7">
        <w:rPr>
          <w:rFonts w:asciiTheme="majorHAnsi" w:hAnsiTheme="majorHAnsi"/>
          <w:sz w:val="20"/>
          <w:szCs w:val="20"/>
        </w:rPr>
        <w:t>розрахунку (спостережені або оцінені показники)</w:t>
      </w:r>
    </w:p>
    <w:p w14:paraId="2EB2FCE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b/>
          <w:sz w:val="20"/>
          <w:szCs w:val="20"/>
        </w:rPr>
        <w:t>ПРОГНОЗУВАННЯ</w:t>
      </w:r>
      <w:r w:rsidRPr="004D2D14">
        <w:rPr>
          <w:rFonts w:asciiTheme="majorHAnsi" w:hAnsiTheme="majorHAnsi"/>
          <w:b/>
          <w:sz w:val="20"/>
          <w:szCs w:val="20"/>
          <w:lang w:val="en-US"/>
        </w:rPr>
        <w:t xml:space="preserve"> </w:t>
      </w:r>
      <w:r w:rsidRPr="000977F7">
        <w:rPr>
          <w:rFonts w:asciiTheme="majorHAnsi" w:hAnsiTheme="majorHAnsi"/>
          <w:b/>
          <w:sz w:val="20"/>
          <w:szCs w:val="20"/>
        </w:rPr>
        <w:t>ТЕХНІЧНОГО</w:t>
      </w:r>
      <w:r w:rsidRPr="004D2D14">
        <w:rPr>
          <w:rFonts w:asciiTheme="majorHAnsi" w:hAnsiTheme="majorHAnsi"/>
          <w:b/>
          <w:sz w:val="20"/>
          <w:szCs w:val="20"/>
          <w:lang w:val="en-US"/>
        </w:rPr>
        <w:t xml:space="preserve"> </w:t>
      </w:r>
      <w:r w:rsidRPr="000977F7">
        <w:rPr>
          <w:rFonts w:asciiTheme="majorHAnsi" w:hAnsiTheme="majorHAnsi"/>
          <w:b/>
          <w:sz w:val="20"/>
          <w:szCs w:val="20"/>
        </w:rPr>
        <w:t>СТАНУ</w:t>
      </w:r>
      <w:r w:rsidRPr="004D2D14">
        <w:rPr>
          <w:rFonts w:asciiTheme="majorHAnsi" w:hAnsiTheme="majorHAnsi"/>
          <w:b/>
          <w:sz w:val="20"/>
          <w:szCs w:val="20"/>
          <w:lang w:val="en-US"/>
        </w:rPr>
        <w:t xml:space="preserve"> –</w:t>
      </w:r>
      <w:r w:rsidRPr="004D2D14">
        <w:rPr>
          <w:rFonts w:asciiTheme="majorHAnsi" w:hAnsiTheme="majorHAnsi"/>
          <w:sz w:val="20"/>
          <w:szCs w:val="20"/>
          <w:lang w:val="en-US"/>
        </w:rPr>
        <w:t>TECHNICAL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STATE PREDICTION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239CCBD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Визначення технічного стану об’єкта з заданою імовірністю</w:t>
      </w:r>
      <w:r w:rsidRPr="000977F7">
        <w:rPr>
          <w:rFonts w:asciiTheme="majorHAnsi" w:hAnsiTheme="majorHAnsi"/>
          <w:spacing w:val="1"/>
          <w:sz w:val="20"/>
          <w:szCs w:val="20"/>
        </w:rPr>
        <w:t xml:space="preserve"> </w:t>
      </w:r>
      <w:r w:rsidRPr="000977F7">
        <w:rPr>
          <w:rFonts w:asciiTheme="majorHAnsi" w:hAnsiTheme="majorHAnsi"/>
          <w:sz w:val="20"/>
          <w:szCs w:val="20"/>
        </w:rPr>
        <w:t>на наступний</w:t>
      </w:r>
      <w:r w:rsidRPr="000977F7">
        <w:rPr>
          <w:rFonts w:asciiTheme="majorHAnsi" w:hAnsiTheme="majorHAnsi"/>
          <w:spacing w:val="-2"/>
          <w:sz w:val="20"/>
          <w:szCs w:val="20"/>
        </w:rPr>
        <w:t xml:space="preserve"> </w:t>
      </w:r>
      <w:r w:rsidRPr="000977F7">
        <w:rPr>
          <w:rFonts w:asciiTheme="majorHAnsi" w:hAnsiTheme="majorHAnsi"/>
          <w:sz w:val="20"/>
          <w:szCs w:val="20"/>
        </w:rPr>
        <w:t>інтервал</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51459BA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67027C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Метою</w:t>
      </w:r>
      <w:r w:rsidRPr="000977F7">
        <w:rPr>
          <w:rFonts w:asciiTheme="majorHAnsi" w:hAnsiTheme="majorHAnsi"/>
          <w:spacing w:val="1"/>
          <w:sz w:val="20"/>
          <w:szCs w:val="20"/>
        </w:rPr>
        <w:t xml:space="preserve"> </w:t>
      </w:r>
      <w:r w:rsidRPr="000977F7">
        <w:rPr>
          <w:rFonts w:asciiTheme="majorHAnsi" w:hAnsiTheme="majorHAnsi"/>
          <w:sz w:val="20"/>
          <w:szCs w:val="20"/>
        </w:rPr>
        <w:t>прогнозування</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стану</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 з заданою імовірністю інтервалу часу (ресурсу),</w:t>
      </w:r>
      <w:r w:rsidRPr="000977F7">
        <w:rPr>
          <w:rFonts w:asciiTheme="majorHAnsi" w:hAnsiTheme="majorHAnsi"/>
          <w:spacing w:val="1"/>
          <w:sz w:val="20"/>
          <w:szCs w:val="20"/>
        </w:rPr>
        <w:t xml:space="preserve"> </w:t>
      </w:r>
      <w:r w:rsidRPr="000977F7">
        <w:rPr>
          <w:rFonts w:asciiTheme="majorHAnsi" w:hAnsiTheme="majorHAnsi"/>
          <w:sz w:val="20"/>
          <w:szCs w:val="20"/>
        </w:rPr>
        <w:t>протягом</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збережеться</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працездатний</w:t>
      </w:r>
      <w:r w:rsidRPr="000977F7">
        <w:rPr>
          <w:rFonts w:asciiTheme="majorHAnsi" w:hAnsiTheme="majorHAnsi"/>
          <w:spacing w:val="1"/>
          <w:sz w:val="20"/>
          <w:szCs w:val="20"/>
        </w:rPr>
        <w:t xml:space="preserve"> </w:t>
      </w:r>
      <w:r w:rsidRPr="000977F7">
        <w:rPr>
          <w:rFonts w:asciiTheme="majorHAnsi" w:hAnsiTheme="majorHAnsi"/>
          <w:sz w:val="20"/>
          <w:szCs w:val="20"/>
        </w:rPr>
        <w:t>(справний) стан об’єкта, або імовірності збереження</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працездатного (справного) стану об’єкта на заданий</w:t>
      </w:r>
      <w:r w:rsidRPr="000977F7">
        <w:rPr>
          <w:rFonts w:asciiTheme="majorHAnsi" w:hAnsiTheme="majorHAnsi"/>
          <w:spacing w:val="1"/>
          <w:sz w:val="20"/>
          <w:szCs w:val="20"/>
        </w:rPr>
        <w:t xml:space="preserve"> </w:t>
      </w:r>
      <w:r w:rsidRPr="000977F7">
        <w:rPr>
          <w:rFonts w:asciiTheme="majorHAnsi" w:hAnsiTheme="majorHAnsi"/>
          <w:sz w:val="20"/>
          <w:szCs w:val="20"/>
        </w:rPr>
        <w:t>інтервал</w:t>
      </w:r>
      <w:r w:rsidRPr="000977F7">
        <w:rPr>
          <w:rFonts w:asciiTheme="majorHAnsi" w:hAnsiTheme="majorHAnsi"/>
          <w:spacing w:val="-2"/>
          <w:sz w:val="20"/>
          <w:szCs w:val="20"/>
        </w:rPr>
        <w:t xml:space="preserve"> </w:t>
      </w:r>
      <w:r w:rsidRPr="000977F7">
        <w:rPr>
          <w:rFonts w:asciiTheme="majorHAnsi" w:hAnsiTheme="majorHAnsi"/>
          <w:sz w:val="20"/>
          <w:szCs w:val="20"/>
        </w:rPr>
        <w:t>часу</w:t>
      </w:r>
    </w:p>
    <w:p w14:paraId="47B2272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 – 94</w:t>
      </w:r>
    </w:p>
    <w:p w14:paraId="1893D4F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ПРОГНОЗУВАННЯ</w:t>
      </w:r>
      <w:r w:rsidRPr="000977F7">
        <w:rPr>
          <w:color w:val="auto"/>
          <w:spacing w:val="-6"/>
          <w:sz w:val="20"/>
          <w:szCs w:val="20"/>
        </w:rPr>
        <w:t xml:space="preserve"> </w:t>
      </w:r>
      <w:r w:rsidRPr="000977F7">
        <w:rPr>
          <w:color w:val="auto"/>
          <w:sz w:val="20"/>
          <w:szCs w:val="20"/>
        </w:rPr>
        <w:t>ТОВАРНОГО</w:t>
      </w:r>
      <w:r w:rsidRPr="000977F7">
        <w:rPr>
          <w:color w:val="auto"/>
          <w:spacing w:val="-4"/>
          <w:sz w:val="20"/>
          <w:szCs w:val="20"/>
        </w:rPr>
        <w:t xml:space="preserve"> </w:t>
      </w:r>
      <w:r w:rsidRPr="000977F7">
        <w:rPr>
          <w:color w:val="auto"/>
          <w:sz w:val="20"/>
          <w:szCs w:val="20"/>
        </w:rPr>
        <w:t>РИНКУ –</w:t>
      </w:r>
    </w:p>
    <w:p w14:paraId="7A5DAF24" w14:textId="77777777" w:rsidR="0097612F" w:rsidRPr="000977F7" w:rsidRDefault="0097612F" w:rsidP="000977F7">
      <w:pPr>
        <w:pStyle w:val="af6"/>
        <w:tabs>
          <w:tab w:val="left" w:pos="284"/>
        </w:tabs>
        <w:spacing w:after="0"/>
        <w:ind w:left="170"/>
        <w:mirrorIndents/>
        <w:jc w:val="both"/>
        <w:rPr>
          <w:rFonts w:asciiTheme="majorHAnsi" w:hAnsiTheme="majorHAnsi"/>
          <w:spacing w:val="-1"/>
          <w:w w:val="95"/>
          <w:sz w:val="20"/>
          <w:szCs w:val="20"/>
        </w:rPr>
      </w:pPr>
      <w:r w:rsidRPr="000977F7">
        <w:rPr>
          <w:rFonts w:asciiTheme="majorHAnsi" w:hAnsiTheme="majorHAnsi"/>
          <w:spacing w:val="-8"/>
          <w:sz w:val="20"/>
          <w:szCs w:val="20"/>
        </w:rPr>
        <w:t>Оцінювання</w:t>
      </w:r>
      <w:r w:rsidRPr="000977F7">
        <w:rPr>
          <w:rFonts w:asciiTheme="majorHAnsi" w:hAnsiTheme="majorHAnsi"/>
          <w:spacing w:val="-2"/>
          <w:sz w:val="20"/>
          <w:szCs w:val="20"/>
        </w:rPr>
        <w:t xml:space="preserve"> </w:t>
      </w:r>
      <w:r w:rsidRPr="000977F7">
        <w:rPr>
          <w:rFonts w:asciiTheme="majorHAnsi" w:hAnsiTheme="majorHAnsi"/>
          <w:spacing w:val="-8"/>
          <w:sz w:val="20"/>
          <w:szCs w:val="20"/>
        </w:rPr>
        <w:t>перспектив</w:t>
      </w:r>
      <w:r w:rsidRPr="000977F7">
        <w:rPr>
          <w:rFonts w:asciiTheme="majorHAnsi" w:hAnsiTheme="majorHAnsi"/>
          <w:spacing w:val="-2"/>
          <w:sz w:val="20"/>
          <w:szCs w:val="20"/>
        </w:rPr>
        <w:t xml:space="preserve"> </w:t>
      </w:r>
      <w:r w:rsidRPr="000977F7">
        <w:rPr>
          <w:rFonts w:asciiTheme="majorHAnsi" w:hAnsiTheme="majorHAnsi"/>
          <w:spacing w:val="-8"/>
          <w:sz w:val="20"/>
          <w:szCs w:val="20"/>
        </w:rPr>
        <w:t>розвитку</w:t>
      </w:r>
      <w:r w:rsidRPr="000977F7">
        <w:rPr>
          <w:rFonts w:asciiTheme="majorHAnsi" w:hAnsiTheme="majorHAnsi"/>
          <w:spacing w:val="-4"/>
          <w:sz w:val="20"/>
          <w:szCs w:val="20"/>
        </w:rPr>
        <w:t xml:space="preserve"> </w:t>
      </w:r>
      <w:r w:rsidRPr="000977F7">
        <w:rPr>
          <w:rFonts w:asciiTheme="majorHAnsi" w:hAnsiTheme="majorHAnsi"/>
          <w:spacing w:val="-7"/>
          <w:sz w:val="20"/>
          <w:szCs w:val="20"/>
        </w:rPr>
        <w:t>кон’юнктури</w:t>
      </w:r>
      <w:r w:rsidRPr="000977F7">
        <w:rPr>
          <w:rFonts w:asciiTheme="majorHAnsi" w:hAnsiTheme="majorHAnsi"/>
          <w:spacing w:val="-3"/>
          <w:sz w:val="20"/>
          <w:szCs w:val="20"/>
        </w:rPr>
        <w:t xml:space="preserve"> </w:t>
      </w:r>
      <w:r w:rsidRPr="000977F7">
        <w:rPr>
          <w:rFonts w:asciiTheme="majorHAnsi" w:hAnsiTheme="majorHAnsi"/>
          <w:spacing w:val="-7"/>
          <w:sz w:val="20"/>
          <w:szCs w:val="20"/>
        </w:rPr>
        <w:t>ринку,</w:t>
      </w:r>
      <w:r w:rsidRPr="000977F7">
        <w:rPr>
          <w:rFonts w:asciiTheme="majorHAnsi" w:hAnsiTheme="majorHAnsi"/>
          <w:sz w:val="20"/>
          <w:szCs w:val="20"/>
        </w:rPr>
        <w:t xml:space="preserve"> </w:t>
      </w:r>
      <w:r w:rsidRPr="000977F7">
        <w:rPr>
          <w:rFonts w:asciiTheme="majorHAnsi" w:hAnsiTheme="majorHAnsi"/>
          <w:spacing w:val="-7"/>
          <w:sz w:val="20"/>
          <w:szCs w:val="20"/>
        </w:rPr>
        <w:t>зміни</w:t>
      </w:r>
      <w:r w:rsidRPr="000977F7">
        <w:rPr>
          <w:rFonts w:asciiTheme="majorHAnsi" w:hAnsiTheme="majorHAnsi"/>
          <w:spacing w:val="-6"/>
          <w:sz w:val="20"/>
          <w:szCs w:val="20"/>
        </w:rPr>
        <w:t xml:space="preserve"> </w:t>
      </w:r>
      <w:r w:rsidRPr="000977F7">
        <w:rPr>
          <w:rFonts w:asciiTheme="majorHAnsi" w:hAnsiTheme="majorHAnsi"/>
          <w:spacing w:val="-7"/>
          <w:sz w:val="20"/>
          <w:szCs w:val="20"/>
        </w:rPr>
        <w:t>ринкових</w:t>
      </w:r>
      <w:r w:rsidRPr="000977F7">
        <w:rPr>
          <w:rFonts w:asciiTheme="majorHAnsi" w:hAnsiTheme="majorHAnsi"/>
          <w:spacing w:val="-2"/>
          <w:sz w:val="20"/>
          <w:szCs w:val="20"/>
        </w:rPr>
        <w:t xml:space="preserve"> </w:t>
      </w:r>
      <w:r w:rsidRPr="000977F7">
        <w:rPr>
          <w:rFonts w:asciiTheme="majorHAnsi" w:hAnsiTheme="majorHAnsi"/>
          <w:spacing w:val="-7"/>
          <w:sz w:val="20"/>
          <w:szCs w:val="20"/>
        </w:rPr>
        <w:t>умов</w:t>
      </w:r>
      <w:r w:rsidRPr="000977F7">
        <w:rPr>
          <w:rFonts w:asciiTheme="majorHAnsi" w:hAnsiTheme="majorHAnsi"/>
          <w:spacing w:val="-4"/>
          <w:sz w:val="20"/>
          <w:szCs w:val="20"/>
        </w:rPr>
        <w:t xml:space="preserve"> </w:t>
      </w:r>
      <w:r w:rsidRPr="000977F7">
        <w:rPr>
          <w:rFonts w:asciiTheme="majorHAnsi" w:hAnsiTheme="majorHAnsi"/>
          <w:spacing w:val="-7"/>
          <w:sz w:val="20"/>
          <w:szCs w:val="20"/>
        </w:rPr>
        <w:t>на</w:t>
      </w:r>
      <w:r w:rsidRPr="000977F7">
        <w:rPr>
          <w:rFonts w:asciiTheme="majorHAnsi" w:hAnsiTheme="majorHAnsi"/>
          <w:spacing w:val="-3"/>
          <w:sz w:val="20"/>
          <w:szCs w:val="20"/>
        </w:rPr>
        <w:t xml:space="preserve"> </w:t>
      </w:r>
      <w:r w:rsidRPr="000977F7">
        <w:rPr>
          <w:rFonts w:asciiTheme="majorHAnsi" w:hAnsiTheme="majorHAnsi"/>
          <w:spacing w:val="-7"/>
          <w:sz w:val="20"/>
          <w:szCs w:val="20"/>
        </w:rPr>
        <w:t>наступний</w:t>
      </w:r>
      <w:r w:rsidRPr="000977F7">
        <w:rPr>
          <w:rFonts w:asciiTheme="majorHAnsi" w:hAnsiTheme="majorHAnsi"/>
          <w:spacing w:val="-6"/>
          <w:sz w:val="20"/>
          <w:szCs w:val="20"/>
        </w:rPr>
        <w:t xml:space="preserve"> період</w:t>
      </w:r>
      <w:r w:rsidRPr="000977F7">
        <w:rPr>
          <w:rFonts w:asciiTheme="majorHAnsi" w:hAnsiTheme="majorHAnsi"/>
          <w:spacing w:val="-4"/>
          <w:sz w:val="20"/>
          <w:szCs w:val="20"/>
        </w:rPr>
        <w:t xml:space="preserve"> </w:t>
      </w:r>
      <w:r w:rsidRPr="000977F7">
        <w:rPr>
          <w:rFonts w:asciiTheme="majorHAnsi" w:hAnsiTheme="majorHAnsi"/>
          <w:spacing w:val="-6"/>
          <w:sz w:val="20"/>
          <w:szCs w:val="20"/>
        </w:rPr>
        <w:t>для</w:t>
      </w:r>
      <w:r w:rsidRPr="000977F7">
        <w:rPr>
          <w:rFonts w:asciiTheme="majorHAnsi" w:hAnsiTheme="majorHAnsi"/>
          <w:spacing w:val="-4"/>
          <w:sz w:val="20"/>
          <w:szCs w:val="20"/>
        </w:rPr>
        <w:t xml:space="preserve"> </w:t>
      </w:r>
      <w:r w:rsidRPr="000977F7">
        <w:rPr>
          <w:rFonts w:asciiTheme="majorHAnsi" w:hAnsiTheme="majorHAnsi"/>
          <w:spacing w:val="-6"/>
          <w:sz w:val="20"/>
          <w:szCs w:val="20"/>
        </w:rPr>
        <w:t>обліку</w:t>
      </w:r>
      <w:r w:rsidRPr="000977F7">
        <w:rPr>
          <w:rFonts w:asciiTheme="majorHAnsi" w:hAnsiTheme="majorHAnsi"/>
          <w:spacing w:val="-5"/>
          <w:sz w:val="20"/>
          <w:szCs w:val="20"/>
        </w:rPr>
        <w:t xml:space="preserve"> </w:t>
      </w:r>
      <w:r w:rsidRPr="000977F7">
        <w:rPr>
          <w:rFonts w:asciiTheme="majorHAnsi" w:hAnsiTheme="majorHAnsi"/>
          <w:spacing w:val="-6"/>
          <w:sz w:val="20"/>
          <w:szCs w:val="20"/>
        </w:rPr>
        <w:t>прогно</w:t>
      </w:r>
      <w:r w:rsidRPr="000977F7">
        <w:rPr>
          <w:rFonts w:asciiTheme="majorHAnsi" w:hAnsiTheme="majorHAnsi"/>
          <w:spacing w:val="-3"/>
          <w:w w:val="95"/>
          <w:sz w:val="20"/>
          <w:szCs w:val="20"/>
        </w:rPr>
        <w:t xml:space="preserve">зованих даних у стратегії і тактиці </w:t>
      </w:r>
      <w:r w:rsidRPr="000977F7">
        <w:rPr>
          <w:rFonts w:asciiTheme="majorHAnsi" w:hAnsiTheme="majorHAnsi"/>
          <w:spacing w:val="-2"/>
          <w:w w:val="95"/>
          <w:sz w:val="20"/>
          <w:szCs w:val="20"/>
        </w:rPr>
        <w:t>маркетингу організації</w:t>
      </w:r>
      <w:r w:rsidRPr="000977F7">
        <w:rPr>
          <w:rFonts w:asciiTheme="majorHAnsi" w:hAnsiTheme="majorHAnsi"/>
          <w:spacing w:val="-1"/>
          <w:w w:val="95"/>
          <w:sz w:val="20"/>
          <w:szCs w:val="20"/>
        </w:rPr>
        <w:t xml:space="preserve"> </w:t>
      </w:r>
    </w:p>
    <w:p w14:paraId="7714E6B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7E5122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ПРОГРАМА</w:t>
      </w:r>
      <w:r w:rsidRPr="000977F7">
        <w:rPr>
          <w:color w:val="auto"/>
          <w:spacing w:val="-2"/>
          <w:sz w:val="20"/>
          <w:szCs w:val="20"/>
        </w:rPr>
        <w:t xml:space="preserve"> </w:t>
      </w:r>
      <w:r w:rsidRPr="000977F7">
        <w:rPr>
          <w:color w:val="auto"/>
          <w:sz w:val="20"/>
          <w:szCs w:val="20"/>
        </w:rPr>
        <w:t>–</w:t>
      </w:r>
    </w:p>
    <w:p w14:paraId="29F6BAF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PROGRAM</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796E4F6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Послідовність</w:t>
      </w:r>
      <w:r w:rsidRPr="000977F7">
        <w:rPr>
          <w:rFonts w:asciiTheme="majorHAnsi" w:hAnsiTheme="majorHAnsi"/>
          <w:spacing w:val="-5"/>
          <w:sz w:val="20"/>
          <w:szCs w:val="20"/>
        </w:rPr>
        <w:t xml:space="preserve"> </w:t>
      </w:r>
      <w:r w:rsidRPr="000977F7">
        <w:rPr>
          <w:rFonts w:asciiTheme="majorHAnsi" w:hAnsiTheme="majorHAnsi"/>
          <w:sz w:val="20"/>
          <w:szCs w:val="20"/>
        </w:rPr>
        <w:t>інструкцій,</w:t>
      </w:r>
      <w:r w:rsidRPr="000977F7">
        <w:rPr>
          <w:rFonts w:asciiTheme="majorHAnsi" w:hAnsiTheme="majorHAnsi"/>
          <w:spacing w:val="-4"/>
          <w:sz w:val="20"/>
          <w:szCs w:val="20"/>
        </w:rPr>
        <w:t xml:space="preserve"> </w:t>
      </w:r>
      <w:r w:rsidRPr="000977F7">
        <w:rPr>
          <w:rFonts w:asciiTheme="majorHAnsi" w:hAnsiTheme="majorHAnsi"/>
          <w:sz w:val="20"/>
          <w:szCs w:val="20"/>
        </w:rPr>
        <w:t>які</w:t>
      </w:r>
      <w:r w:rsidRPr="000977F7">
        <w:rPr>
          <w:rFonts w:asciiTheme="majorHAnsi" w:hAnsiTheme="majorHAnsi"/>
          <w:spacing w:val="-4"/>
          <w:sz w:val="20"/>
          <w:szCs w:val="20"/>
        </w:rPr>
        <w:t xml:space="preserve"> </w:t>
      </w:r>
      <w:r w:rsidRPr="000977F7">
        <w:rPr>
          <w:rFonts w:asciiTheme="majorHAnsi" w:hAnsiTheme="majorHAnsi"/>
          <w:sz w:val="20"/>
          <w:szCs w:val="20"/>
        </w:rPr>
        <w:t>може</w:t>
      </w:r>
      <w:r w:rsidRPr="000977F7">
        <w:rPr>
          <w:rFonts w:asciiTheme="majorHAnsi" w:hAnsiTheme="majorHAnsi"/>
          <w:spacing w:val="-4"/>
          <w:sz w:val="20"/>
          <w:szCs w:val="20"/>
        </w:rPr>
        <w:t xml:space="preserve"> </w:t>
      </w:r>
      <w:r w:rsidRPr="000977F7">
        <w:rPr>
          <w:rFonts w:asciiTheme="majorHAnsi" w:hAnsiTheme="majorHAnsi"/>
          <w:sz w:val="20"/>
          <w:szCs w:val="20"/>
        </w:rPr>
        <w:t>виконати</w:t>
      </w:r>
      <w:r w:rsidRPr="000977F7">
        <w:rPr>
          <w:rFonts w:asciiTheme="majorHAnsi" w:hAnsiTheme="majorHAnsi"/>
          <w:spacing w:val="-4"/>
          <w:sz w:val="20"/>
          <w:szCs w:val="20"/>
        </w:rPr>
        <w:t xml:space="preserve"> </w:t>
      </w:r>
      <w:r w:rsidRPr="000977F7">
        <w:rPr>
          <w:rFonts w:asciiTheme="majorHAnsi" w:hAnsiTheme="majorHAnsi"/>
          <w:sz w:val="20"/>
          <w:szCs w:val="20"/>
        </w:rPr>
        <w:t>ЕОМ</w:t>
      </w:r>
    </w:p>
    <w:p w14:paraId="17E8B71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2844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55C5190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1"/>
          <w:sz w:val="20"/>
          <w:szCs w:val="20"/>
        </w:rPr>
        <w:t xml:space="preserve">ПРОГРАМА </w:t>
      </w:r>
      <w:r w:rsidRPr="000977F7">
        <w:rPr>
          <w:color w:val="auto"/>
          <w:sz w:val="20"/>
          <w:szCs w:val="20"/>
        </w:rPr>
        <w:t>АВТОМАТИЗОВАНОГО</w:t>
      </w:r>
      <w:r w:rsidRPr="000977F7">
        <w:rPr>
          <w:color w:val="auto"/>
          <w:spacing w:val="-47"/>
          <w:sz w:val="20"/>
          <w:szCs w:val="20"/>
        </w:rPr>
        <w:t xml:space="preserve"> </w:t>
      </w:r>
      <w:r w:rsidRPr="000977F7">
        <w:rPr>
          <w:color w:val="auto"/>
          <w:sz w:val="20"/>
          <w:szCs w:val="20"/>
        </w:rPr>
        <w:t>КОНТРОЛЮ</w:t>
      </w:r>
      <w:r w:rsidRPr="000977F7">
        <w:rPr>
          <w:color w:val="auto"/>
          <w:spacing w:val="-1"/>
          <w:sz w:val="20"/>
          <w:szCs w:val="20"/>
        </w:rPr>
        <w:t xml:space="preserve"> </w:t>
      </w:r>
      <w:r w:rsidRPr="000977F7">
        <w:rPr>
          <w:color w:val="auto"/>
          <w:sz w:val="20"/>
          <w:szCs w:val="20"/>
        </w:rPr>
        <w:t>–</w:t>
      </w:r>
    </w:p>
    <w:p w14:paraId="055D8D9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Формалізований опис алгоритму контролю в конструктивних</w:t>
      </w:r>
      <w:r w:rsidRPr="000977F7">
        <w:rPr>
          <w:rFonts w:asciiTheme="majorHAnsi" w:hAnsiTheme="majorHAnsi"/>
          <w:spacing w:val="1"/>
          <w:sz w:val="20"/>
          <w:szCs w:val="20"/>
        </w:rPr>
        <w:t xml:space="preserve"> </w:t>
      </w:r>
      <w:r w:rsidRPr="000977F7">
        <w:rPr>
          <w:rFonts w:asciiTheme="majorHAnsi" w:hAnsiTheme="majorHAnsi"/>
          <w:sz w:val="20"/>
          <w:szCs w:val="20"/>
        </w:rPr>
        <w:t>одиницях</w:t>
      </w:r>
      <w:r w:rsidRPr="000977F7">
        <w:rPr>
          <w:rFonts w:asciiTheme="majorHAnsi" w:hAnsiTheme="majorHAnsi"/>
          <w:spacing w:val="1"/>
          <w:sz w:val="20"/>
          <w:szCs w:val="20"/>
        </w:rPr>
        <w:t xml:space="preserve"> </w:t>
      </w:r>
      <w:r w:rsidRPr="000977F7">
        <w:rPr>
          <w:rFonts w:asciiTheme="majorHAnsi" w:hAnsiTheme="majorHAnsi"/>
          <w:sz w:val="20"/>
          <w:szCs w:val="20"/>
        </w:rPr>
        <w:t>алгоритмічної</w:t>
      </w:r>
      <w:r w:rsidRPr="000977F7">
        <w:rPr>
          <w:rFonts w:asciiTheme="majorHAnsi" w:hAnsiTheme="majorHAnsi"/>
          <w:spacing w:val="1"/>
          <w:sz w:val="20"/>
          <w:szCs w:val="20"/>
        </w:rPr>
        <w:t xml:space="preserve"> </w:t>
      </w:r>
      <w:r w:rsidRPr="000977F7">
        <w:rPr>
          <w:rFonts w:asciiTheme="majorHAnsi" w:hAnsiTheme="majorHAnsi"/>
          <w:sz w:val="20"/>
          <w:szCs w:val="20"/>
        </w:rPr>
        <w:t>мови</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47"/>
          <w:sz w:val="20"/>
          <w:szCs w:val="20"/>
        </w:rPr>
        <w:t xml:space="preserve"> </w:t>
      </w:r>
      <w:r w:rsidRPr="000977F7">
        <w:rPr>
          <w:rFonts w:asciiTheme="majorHAnsi" w:hAnsiTheme="majorHAnsi"/>
          <w:sz w:val="20"/>
          <w:szCs w:val="20"/>
        </w:rPr>
        <w:t>команд</w:t>
      </w:r>
      <w:r w:rsidRPr="000977F7">
        <w:rPr>
          <w:rFonts w:asciiTheme="majorHAnsi" w:hAnsiTheme="majorHAnsi"/>
          <w:spacing w:val="-2"/>
          <w:sz w:val="20"/>
          <w:szCs w:val="20"/>
        </w:rPr>
        <w:t xml:space="preserve"> </w:t>
      </w:r>
      <w:r w:rsidRPr="000977F7">
        <w:rPr>
          <w:rFonts w:asciiTheme="majorHAnsi" w:hAnsiTheme="majorHAnsi"/>
          <w:sz w:val="20"/>
          <w:szCs w:val="20"/>
        </w:rPr>
        <w:t>апаратури</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2"/>
          <w:sz w:val="20"/>
          <w:szCs w:val="20"/>
        </w:rPr>
        <w:t xml:space="preserve"> </w:t>
      </w:r>
      <w:r w:rsidRPr="000977F7">
        <w:rPr>
          <w:rFonts w:asciiTheme="majorHAnsi" w:hAnsiTheme="majorHAnsi"/>
          <w:sz w:val="20"/>
          <w:szCs w:val="20"/>
        </w:rPr>
        <w:t>засобом контролю</w:t>
      </w:r>
    </w:p>
    <w:p w14:paraId="710E8DB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ПРОГРАМА</w:t>
      </w:r>
      <w:r w:rsidRPr="000977F7">
        <w:rPr>
          <w:color w:val="auto"/>
          <w:spacing w:val="-6"/>
          <w:sz w:val="20"/>
          <w:szCs w:val="20"/>
        </w:rPr>
        <w:t xml:space="preserve"> </w:t>
      </w:r>
      <w:r w:rsidRPr="000977F7">
        <w:rPr>
          <w:color w:val="auto"/>
          <w:sz w:val="20"/>
          <w:szCs w:val="20"/>
        </w:rPr>
        <w:t>ВИПРОБУВАНЬ</w:t>
      </w:r>
      <w:r w:rsidRPr="000977F7">
        <w:rPr>
          <w:color w:val="auto"/>
          <w:spacing w:val="-2"/>
          <w:sz w:val="20"/>
          <w:szCs w:val="20"/>
        </w:rPr>
        <w:t xml:space="preserve"> </w:t>
      </w:r>
      <w:r w:rsidRPr="000977F7">
        <w:rPr>
          <w:color w:val="auto"/>
          <w:sz w:val="20"/>
          <w:szCs w:val="20"/>
        </w:rPr>
        <w:t>–</w:t>
      </w:r>
    </w:p>
    <w:p w14:paraId="56604CF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TEST</w:t>
      </w:r>
      <w:r w:rsidRPr="000977F7">
        <w:rPr>
          <w:rFonts w:asciiTheme="majorHAnsi" w:hAnsiTheme="majorHAnsi"/>
          <w:spacing w:val="-2"/>
          <w:sz w:val="20"/>
          <w:szCs w:val="20"/>
        </w:rPr>
        <w:t xml:space="preserve"> </w:t>
      </w:r>
      <w:r w:rsidRPr="000977F7">
        <w:rPr>
          <w:rFonts w:asciiTheme="majorHAnsi" w:hAnsiTheme="majorHAnsi"/>
          <w:sz w:val="20"/>
          <w:szCs w:val="20"/>
        </w:rPr>
        <w:t>PROGRAM</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776BB7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4"/>
          <w:sz w:val="20"/>
          <w:szCs w:val="20"/>
        </w:rPr>
        <w:t xml:space="preserve">Організаційно-методичний </w:t>
      </w:r>
      <w:r w:rsidRPr="000977F7">
        <w:rPr>
          <w:rFonts w:asciiTheme="majorHAnsi" w:hAnsiTheme="majorHAnsi"/>
          <w:spacing w:val="-3"/>
          <w:sz w:val="20"/>
          <w:szCs w:val="20"/>
        </w:rPr>
        <w:t>документ, обов’язковий для</w:t>
      </w:r>
      <w:r w:rsidRPr="000977F7">
        <w:rPr>
          <w:rFonts w:asciiTheme="majorHAnsi" w:hAnsiTheme="majorHAnsi"/>
          <w:spacing w:val="-2"/>
          <w:sz w:val="20"/>
          <w:szCs w:val="20"/>
        </w:rPr>
        <w:t xml:space="preserve"> </w:t>
      </w:r>
      <w:r w:rsidRPr="000977F7">
        <w:rPr>
          <w:rFonts w:asciiTheme="majorHAnsi" w:hAnsiTheme="majorHAnsi"/>
          <w:spacing w:val="-5"/>
          <w:sz w:val="20"/>
          <w:szCs w:val="20"/>
        </w:rPr>
        <w:t xml:space="preserve">виконання, </w:t>
      </w:r>
      <w:r w:rsidRPr="000977F7">
        <w:rPr>
          <w:rFonts w:asciiTheme="majorHAnsi" w:hAnsiTheme="majorHAnsi"/>
          <w:spacing w:val="-4"/>
          <w:sz w:val="20"/>
          <w:szCs w:val="20"/>
        </w:rPr>
        <w:t>який встановлює об’єкт та мету випробувань,</w:t>
      </w:r>
      <w:r w:rsidRPr="000977F7">
        <w:rPr>
          <w:rFonts w:asciiTheme="majorHAnsi" w:hAnsiTheme="majorHAnsi"/>
          <w:spacing w:val="-47"/>
          <w:sz w:val="20"/>
          <w:szCs w:val="20"/>
        </w:rPr>
        <w:t xml:space="preserve"> </w:t>
      </w:r>
      <w:r w:rsidRPr="000977F7">
        <w:rPr>
          <w:rFonts w:asciiTheme="majorHAnsi" w:hAnsiTheme="majorHAnsi"/>
          <w:spacing w:val="-1"/>
          <w:w w:val="95"/>
          <w:sz w:val="20"/>
          <w:szCs w:val="20"/>
        </w:rPr>
        <w:t>види,</w:t>
      </w:r>
      <w:r w:rsidRPr="000977F7">
        <w:rPr>
          <w:rFonts w:asciiTheme="majorHAnsi" w:hAnsiTheme="majorHAnsi"/>
          <w:spacing w:val="-6"/>
          <w:w w:val="95"/>
          <w:sz w:val="20"/>
          <w:szCs w:val="20"/>
        </w:rPr>
        <w:t xml:space="preserve"> </w:t>
      </w:r>
      <w:r w:rsidRPr="000977F7">
        <w:rPr>
          <w:rFonts w:asciiTheme="majorHAnsi" w:hAnsiTheme="majorHAnsi"/>
          <w:spacing w:val="-1"/>
          <w:w w:val="95"/>
          <w:sz w:val="20"/>
          <w:szCs w:val="20"/>
        </w:rPr>
        <w:t>послідовність</w:t>
      </w:r>
      <w:r w:rsidRPr="000977F7">
        <w:rPr>
          <w:rFonts w:asciiTheme="majorHAnsi" w:hAnsiTheme="majorHAnsi"/>
          <w:spacing w:val="-8"/>
          <w:w w:val="95"/>
          <w:sz w:val="20"/>
          <w:szCs w:val="20"/>
        </w:rPr>
        <w:t xml:space="preserve"> </w:t>
      </w:r>
      <w:r w:rsidRPr="000977F7">
        <w:rPr>
          <w:rFonts w:asciiTheme="majorHAnsi" w:hAnsiTheme="majorHAnsi"/>
          <w:spacing w:val="-1"/>
          <w:w w:val="95"/>
          <w:sz w:val="20"/>
          <w:szCs w:val="20"/>
        </w:rPr>
        <w:t>та</w:t>
      </w:r>
      <w:r w:rsidRPr="000977F7">
        <w:rPr>
          <w:rFonts w:asciiTheme="majorHAnsi" w:hAnsiTheme="majorHAnsi"/>
          <w:spacing w:val="-8"/>
          <w:w w:val="95"/>
          <w:sz w:val="20"/>
          <w:szCs w:val="20"/>
        </w:rPr>
        <w:t xml:space="preserve"> </w:t>
      </w:r>
      <w:r w:rsidRPr="000977F7">
        <w:rPr>
          <w:rFonts w:asciiTheme="majorHAnsi" w:hAnsiTheme="majorHAnsi"/>
          <w:spacing w:val="-1"/>
          <w:w w:val="95"/>
          <w:sz w:val="20"/>
          <w:szCs w:val="20"/>
        </w:rPr>
        <w:t>обсяг</w:t>
      </w:r>
      <w:r w:rsidRPr="000977F7">
        <w:rPr>
          <w:rFonts w:asciiTheme="majorHAnsi" w:hAnsiTheme="majorHAnsi"/>
          <w:spacing w:val="-9"/>
          <w:w w:val="95"/>
          <w:sz w:val="20"/>
          <w:szCs w:val="20"/>
        </w:rPr>
        <w:t xml:space="preserve"> </w:t>
      </w:r>
      <w:r w:rsidRPr="000977F7">
        <w:rPr>
          <w:rFonts w:asciiTheme="majorHAnsi" w:hAnsiTheme="majorHAnsi"/>
          <w:spacing w:val="-1"/>
          <w:w w:val="95"/>
          <w:sz w:val="20"/>
          <w:szCs w:val="20"/>
        </w:rPr>
        <w:t>здійснюваних</w:t>
      </w:r>
      <w:r w:rsidRPr="000977F7">
        <w:rPr>
          <w:rFonts w:asciiTheme="majorHAnsi" w:hAnsiTheme="majorHAnsi"/>
          <w:spacing w:val="-8"/>
          <w:w w:val="95"/>
          <w:sz w:val="20"/>
          <w:szCs w:val="20"/>
        </w:rPr>
        <w:t xml:space="preserve"> </w:t>
      </w:r>
      <w:r w:rsidRPr="000977F7">
        <w:rPr>
          <w:rFonts w:asciiTheme="majorHAnsi" w:hAnsiTheme="majorHAnsi"/>
          <w:spacing w:val="-1"/>
          <w:w w:val="95"/>
          <w:sz w:val="20"/>
          <w:szCs w:val="20"/>
        </w:rPr>
        <w:t>експериментів,</w:t>
      </w:r>
      <w:r w:rsidRPr="000977F7">
        <w:rPr>
          <w:rFonts w:asciiTheme="majorHAnsi" w:hAnsiTheme="majorHAnsi"/>
          <w:spacing w:val="-45"/>
          <w:w w:val="95"/>
          <w:sz w:val="20"/>
          <w:szCs w:val="20"/>
        </w:rPr>
        <w:t xml:space="preserve"> </w:t>
      </w:r>
      <w:r w:rsidRPr="000977F7">
        <w:rPr>
          <w:rFonts w:asciiTheme="majorHAnsi" w:hAnsiTheme="majorHAnsi"/>
          <w:spacing w:val="-3"/>
          <w:sz w:val="20"/>
          <w:szCs w:val="20"/>
        </w:rPr>
        <w:t>порядок,</w:t>
      </w:r>
      <w:r w:rsidRPr="000977F7">
        <w:rPr>
          <w:rFonts w:asciiTheme="majorHAnsi" w:hAnsiTheme="majorHAnsi"/>
          <w:spacing w:val="-8"/>
          <w:sz w:val="20"/>
          <w:szCs w:val="20"/>
        </w:rPr>
        <w:t xml:space="preserve"> </w:t>
      </w:r>
      <w:r w:rsidRPr="000977F7">
        <w:rPr>
          <w:rFonts w:asciiTheme="majorHAnsi" w:hAnsiTheme="majorHAnsi"/>
          <w:spacing w:val="-3"/>
          <w:sz w:val="20"/>
          <w:szCs w:val="20"/>
        </w:rPr>
        <w:t>умови,</w:t>
      </w:r>
      <w:r w:rsidRPr="000977F7">
        <w:rPr>
          <w:rFonts w:asciiTheme="majorHAnsi" w:hAnsiTheme="majorHAnsi"/>
          <w:spacing w:val="-9"/>
          <w:sz w:val="20"/>
          <w:szCs w:val="20"/>
        </w:rPr>
        <w:t xml:space="preserve"> </w:t>
      </w:r>
      <w:r w:rsidRPr="000977F7">
        <w:rPr>
          <w:rFonts w:asciiTheme="majorHAnsi" w:hAnsiTheme="majorHAnsi"/>
          <w:spacing w:val="-3"/>
          <w:sz w:val="20"/>
          <w:szCs w:val="20"/>
        </w:rPr>
        <w:t>місце</w:t>
      </w:r>
      <w:r w:rsidRPr="000977F7">
        <w:rPr>
          <w:rFonts w:asciiTheme="majorHAnsi" w:hAnsiTheme="majorHAnsi"/>
          <w:spacing w:val="-7"/>
          <w:sz w:val="20"/>
          <w:szCs w:val="20"/>
        </w:rPr>
        <w:t xml:space="preserve"> </w:t>
      </w:r>
      <w:r w:rsidRPr="000977F7">
        <w:rPr>
          <w:rFonts w:asciiTheme="majorHAnsi" w:hAnsiTheme="majorHAnsi"/>
          <w:spacing w:val="-3"/>
          <w:sz w:val="20"/>
          <w:szCs w:val="20"/>
        </w:rPr>
        <w:t>і</w:t>
      </w:r>
      <w:r w:rsidRPr="000977F7">
        <w:rPr>
          <w:rFonts w:asciiTheme="majorHAnsi" w:hAnsiTheme="majorHAnsi"/>
          <w:spacing w:val="-9"/>
          <w:sz w:val="20"/>
          <w:szCs w:val="20"/>
        </w:rPr>
        <w:t xml:space="preserve"> </w:t>
      </w:r>
      <w:r w:rsidRPr="000977F7">
        <w:rPr>
          <w:rFonts w:asciiTheme="majorHAnsi" w:hAnsiTheme="majorHAnsi"/>
          <w:spacing w:val="-3"/>
          <w:sz w:val="20"/>
          <w:szCs w:val="20"/>
        </w:rPr>
        <w:t>терміни</w:t>
      </w:r>
      <w:r w:rsidRPr="000977F7">
        <w:rPr>
          <w:rFonts w:asciiTheme="majorHAnsi" w:hAnsiTheme="majorHAnsi"/>
          <w:spacing w:val="-8"/>
          <w:sz w:val="20"/>
          <w:szCs w:val="20"/>
        </w:rPr>
        <w:t xml:space="preserve"> </w:t>
      </w:r>
      <w:r w:rsidRPr="000977F7">
        <w:rPr>
          <w:rFonts w:asciiTheme="majorHAnsi" w:hAnsiTheme="majorHAnsi"/>
          <w:spacing w:val="-3"/>
          <w:sz w:val="20"/>
          <w:szCs w:val="20"/>
        </w:rPr>
        <w:t>виконання</w:t>
      </w:r>
      <w:r w:rsidRPr="000977F7">
        <w:rPr>
          <w:rFonts w:asciiTheme="majorHAnsi" w:hAnsiTheme="majorHAnsi"/>
          <w:spacing w:val="-8"/>
          <w:sz w:val="20"/>
          <w:szCs w:val="20"/>
        </w:rPr>
        <w:t xml:space="preserve"> </w:t>
      </w:r>
      <w:r w:rsidRPr="000977F7">
        <w:rPr>
          <w:rFonts w:asciiTheme="majorHAnsi" w:hAnsiTheme="majorHAnsi"/>
          <w:spacing w:val="-3"/>
          <w:sz w:val="20"/>
          <w:szCs w:val="20"/>
        </w:rPr>
        <w:t>випробувань,</w:t>
      </w:r>
      <w:r w:rsidRPr="000977F7">
        <w:rPr>
          <w:rFonts w:asciiTheme="majorHAnsi" w:hAnsiTheme="majorHAnsi"/>
          <w:spacing w:val="-48"/>
          <w:sz w:val="20"/>
          <w:szCs w:val="20"/>
        </w:rPr>
        <w:t xml:space="preserve"> </w:t>
      </w:r>
      <w:r w:rsidRPr="000977F7">
        <w:rPr>
          <w:rFonts w:asciiTheme="majorHAnsi" w:hAnsiTheme="majorHAnsi"/>
          <w:spacing w:val="-5"/>
          <w:sz w:val="20"/>
          <w:szCs w:val="20"/>
        </w:rPr>
        <w:t>забезпечення та звітність за них, а також відповідальність</w:t>
      </w:r>
      <w:r w:rsidRPr="000977F7">
        <w:rPr>
          <w:rFonts w:asciiTheme="majorHAnsi" w:hAnsiTheme="majorHAnsi"/>
          <w:spacing w:val="-47"/>
          <w:sz w:val="20"/>
          <w:szCs w:val="20"/>
        </w:rPr>
        <w:t xml:space="preserve"> </w:t>
      </w:r>
      <w:r w:rsidRPr="000977F7">
        <w:rPr>
          <w:rFonts w:asciiTheme="majorHAnsi" w:hAnsiTheme="majorHAnsi"/>
          <w:spacing w:val="-6"/>
          <w:sz w:val="20"/>
          <w:szCs w:val="20"/>
        </w:rPr>
        <w:t>за</w:t>
      </w:r>
      <w:r w:rsidRPr="000977F7">
        <w:rPr>
          <w:rFonts w:asciiTheme="majorHAnsi" w:hAnsiTheme="majorHAnsi"/>
          <w:spacing w:val="-12"/>
          <w:sz w:val="20"/>
          <w:szCs w:val="20"/>
        </w:rPr>
        <w:t xml:space="preserve"> </w:t>
      </w:r>
      <w:r w:rsidRPr="000977F7">
        <w:rPr>
          <w:rFonts w:asciiTheme="majorHAnsi" w:hAnsiTheme="majorHAnsi"/>
          <w:spacing w:val="-6"/>
          <w:sz w:val="20"/>
          <w:szCs w:val="20"/>
        </w:rPr>
        <w:t>забезпечення</w:t>
      </w:r>
      <w:r w:rsidRPr="000977F7">
        <w:rPr>
          <w:rFonts w:asciiTheme="majorHAnsi" w:hAnsiTheme="majorHAnsi"/>
          <w:spacing w:val="-12"/>
          <w:sz w:val="20"/>
          <w:szCs w:val="20"/>
        </w:rPr>
        <w:t xml:space="preserve"> </w:t>
      </w:r>
      <w:r w:rsidRPr="000977F7">
        <w:rPr>
          <w:rFonts w:asciiTheme="majorHAnsi" w:hAnsiTheme="majorHAnsi"/>
          <w:spacing w:val="-6"/>
          <w:sz w:val="20"/>
          <w:szCs w:val="20"/>
        </w:rPr>
        <w:t>і</w:t>
      </w:r>
      <w:r w:rsidRPr="000977F7">
        <w:rPr>
          <w:rFonts w:asciiTheme="majorHAnsi" w:hAnsiTheme="majorHAnsi"/>
          <w:spacing w:val="-10"/>
          <w:sz w:val="20"/>
          <w:szCs w:val="20"/>
        </w:rPr>
        <w:t xml:space="preserve"> </w:t>
      </w:r>
      <w:r w:rsidRPr="000977F7">
        <w:rPr>
          <w:rFonts w:asciiTheme="majorHAnsi" w:hAnsiTheme="majorHAnsi"/>
          <w:spacing w:val="-6"/>
          <w:sz w:val="20"/>
          <w:szCs w:val="20"/>
        </w:rPr>
        <w:t>проведення</w:t>
      </w:r>
      <w:r w:rsidRPr="000977F7">
        <w:rPr>
          <w:rFonts w:asciiTheme="majorHAnsi" w:hAnsiTheme="majorHAnsi"/>
          <w:spacing w:val="-12"/>
          <w:sz w:val="20"/>
          <w:szCs w:val="20"/>
        </w:rPr>
        <w:t xml:space="preserve"> </w:t>
      </w:r>
      <w:r w:rsidRPr="000977F7">
        <w:rPr>
          <w:rFonts w:asciiTheme="majorHAnsi" w:hAnsiTheme="majorHAnsi"/>
          <w:spacing w:val="-5"/>
          <w:sz w:val="20"/>
          <w:szCs w:val="20"/>
        </w:rPr>
        <w:t>випробувань</w:t>
      </w:r>
    </w:p>
    <w:p w14:paraId="31027C2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760C4C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ПРОГРАМА</w:t>
      </w:r>
      <w:r w:rsidRPr="000977F7">
        <w:rPr>
          <w:color w:val="auto"/>
          <w:spacing w:val="-4"/>
          <w:sz w:val="20"/>
          <w:szCs w:val="20"/>
        </w:rPr>
        <w:t xml:space="preserve"> </w:t>
      </w:r>
      <w:r w:rsidRPr="000977F7">
        <w:rPr>
          <w:color w:val="auto"/>
          <w:sz w:val="20"/>
          <w:szCs w:val="20"/>
        </w:rPr>
        <w:t>ВИПУСКУ</w:t>
      </w:r>
      <w:r w:rsidRPr="000977F7">
        <w:rPr>
          <w:color w:val="auto"/>
          <w:spacing w:val="-4"/>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666A928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Установлений для даного виробництва перелік виробів, які виготовляються чи ремонтуються, із зазначенням</w:t>
      </w:r>
      <w:r w:rsidRPr="000977F7">
        <w:rPr>
          <w:rFonts w:asciiTheme="majorHAnsi" w:hAnsiTheme="majorHAnsi"/>
          <w:spacing w:val="-1"/>
          <w:sz w:val="20"/>
          <w:szCs w:val="20"/>
        </w:rPr>
        <w:t xml:space="preserve"> </w:t>
      </w:r>
      <w:r w:rsidRPr="000977F7">
        <w:rPr>
          <w:rFonts w:asciiTheme="majorHAnsi" w:hAnsiTheme="majorHAnsi"/>
          <w:sz w:val="20"/>
          <w:szCs w:val="20"/>
        </w:rPr>
        <w:t>терміну</w:t>
      </w:r>
      <w:r w:rsidRPr="000977F7">
        <w:rPr>
          <w:rFonts w:asciiTheme="majorHAnsi" w:hAnsiTheme="majorHAnsi"/>
          <w:spacing w:val="-2"/>
          <w:sz w:val="20"/>
          <w:szCs w:val="20"/>
        </w:rPr>
        <w:t xml:space="preserve"> </w:t>
      </w:r>
      <w:r w:rsidRPr="000977F7">
        <w:rPr>
          <w:rFonts w:asciiTheme="majorHAnsi" w:hAnsiTheme="majorHAnsi"/>
          <w:sz w:val="20"/>
          <w:szCs w:val="20"/>
        </w:rPr>
        <w:t>та обсягу</w:t>
      </w:r>
      <w:r w:rsidRPr="000977F7">
        <w:rPr>
          <w:rFonts w:asciiTheme="majorHAnsi" w:hAnsiTheme="majorHAnsi"/>
          <w:spacing w:val="-2"/>
          <w:sz w:val="20"/>
          <w:szCs w:val="20"/>
        </w:rPr>
        <w:t xml:space="preserve"> </w:t>
      </w:r>
      <w:r w:rsidRPr="000977F7">
        <w:rPr>
          <w:rFonts w:asciiTheme="majorHAnsi" w:hAnsiTheme="majorHAnsi"/>
          <w:sz w:val="20"/>
          <w:szCs w:val="20"/>
        </w:rPr>
        <w:t>випуску</w:t>
      </w:r>
      <w:r w:rsidRPr="000977F7">
        <w:rPr>
          <w:rFonts w:asciiTheme="majorHAnsi" w:hAnsiTheme="majorHAnsi"/>
          <w:spacing w:val="-5"/>
          <w:sz w:val="20"/>
          <w:szCs w:val="20"/>
        </w:rPr>
        <w:t xml:space="preserve"> </w:t>
      </w:r>
      <w:r w:rsidRPr="000977F7">
        <w:rPr>
          <w:rFonts w:asciiTheme="majorHAnsi" w:hAnsiTheme="majorHAnsi"/>
          <w:sz w:val="20"/>
          <w:szCs w:val="20"/>
        </w:rPr>
        <w:t>кожної</w:t>
      </w:r>
      <w:r w:rsidRPr="000977F7">
        <w:rPr>
          <w:rFonts w:asciiTheme="majorHAnsi" w:hAnsiTheme="majorHAnsi"/>
          <w:spacing w:val="2"/>
          <w:sz w:val="20"/>
          <w:szCs w:val="20"/>
        </w:rPr>
        <w:t xml:space="preserve"> </w:t>
      </w:r>
      <w:r w:rsidRPr="000977F7">
        <w:rPr>
          <w:rFonts w:asciiTheme="majorHAnsi" w:hAnsiTheme="majorHAnsi"/>
          <w:sz w:val="20"/>
          <w:szCs w:val="20"/>
        </w:rPr>
        <w:t>назви</w:t>
      </w:r>
    </w:p>
    <w:p w14:paraId="2184761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1B37F3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ПРОГРАМА</w:t>
      </w:r>
      <w:r w:rsidRPr="000977F7">
        <w:rPr>
          <w:color w:val="auto"/>
          <w:spacing w:val="-6"/>
          <w:sz w:val="20"/>
          <w:szCs w:val="20"/>
        </w:rPr>
        <w:t xml:space="preserve"> </w:t>
      </w:r>
      <w:r w:rsidRPr="000977F7">
        <w:rPr>
          <w:color w:val="auto"/>
          <w:sz w:val="20"/>
          <w:szCs w:val="20"/>
        </w:rPr>
        <w:t>ЗАБЕЗПЕЧЕННЯ</w:t>
      </w:r>
      <w:r w:rsidRPr="000977F7">
        <w:rPr>
          <w:color w:val="auto"/>
          <w:spacing w:val="-5"/>
          <w:sz w:val="20"/>
          <w:szCs w:val="20"/>
        </w:rPr>
        <w:t xml:space="preserve"> </w:t>
      </w:r>
      <w:r w:rsidRPr="000977F7">
        <w:rPr>
          <w:color w:val="auto"/>
          <w:sz w:val="20"/>
          <w:szCs w:val="20"/>
        </w:rPr>
        <w:t>НАДІЙНОСТІ</w:t>
      </w:r>
      <w:r w:rsidRPr="000977F7">
        <w:rPr>
          <w:color w:val="auto"/>
          <w:spacing w:val="-5"/>
          <w:sz w:val="20"/>
          <w:szCs w:val="20"/>
        </w:rPr>
        <w:t xml:space="preserve"> </w:t>
      </w:r>
      <w:r w:rsidRPr="000977F7">
        <w:rPr>
          <w:color w:val="auto"/>
          <w:sz w:val="20"/>
          <w:szCs w:val="20"/>
        </w:rPr>
        <w:t>–</w:t>
      </w:r>
    </w:p>
    <w:p w14:paraId="0E251F0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DEPENDABILITY</w:t>
      </w:r>
      <w:r w:rsidRPr="004D2D14">
        <w:rPr>
          <w:rFonts w:asciiTheme="majorHAnsi" w:hAnsiTheme="majorHAnsi"/>
          <w:spacing w:val="-4"/>
          <w:sz w:val="20"/>
          <w:szCs w:val="20"/>
          <w:lang w:val="uk-UA"/>
        </w:rPr>
        <w:t xml:space="preserve"> </w:t>
      </w:r>
      <w:r w:rsidRPr="000977F7">
        <w:rPr>
          <w:rFonts w:asciiTheme="majorHAnsi" w:hAnsiTheme="majorHAnsi"/>
          <w:sz w:val="20"/>
          <w:szCs w:val="20"/>
        </w:rPr>
        <w:t>SUPPORT</w:t>
      </w:r>
      <w:r w:rsidRPr="004D2D14">
        <w:rPr>
          <w:rFonts w:asciiTheme="majorHAnsi" w:hAnsiTheme="majorHAnsi"/>
          <w:spacing w:val="-3"/>
          <w:sz w:val="20"/>
          <w:szCs w:val="20"/>
          <w:lang w:val="uk-UA"/>
        </w:rPr>
        <w:t xml:space="preserve"> </w:t>
      </w:r>
      <w:r w:rsidRPr="000977F7">
        <w:rPr>
          <w:rFonts w:asciiTheme="majorHAnsi" w:hAnsiTheme="majorHAnsi"/>
          <w:sz w:val="20"/>
          <w:szCs w:val="20"/>
        </w:rPr>
        <w:t>PROGRAMME</w:t>
      </w:r>
      <w:r w:rsidRPr="004D2D14">
        <w:rPr>
          <w:rFonts w:asciiTheme="majorHAnsi" w:hAnsiTheme="majorHAnsi"/>
          <w:sz w:val="20"/>
          <w:szCs w:val="20"/>
          <w:lang w:val="uk-UA"/>
        </w:rPr>
        <w:t xml:space="preserve"> –</w:t>
      </w:r>
    </w:p>
    <w:p w14:paraId="4125121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Документ, що встановлює комплекс взаємообумовлених організаційно-технічних вимог та заходів, які належать проводити на певних еталонах життєвого циклу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об’єкта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спрямованих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забезпечення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заданих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вимог</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надійності</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(або) на</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підвищення</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надійності</w:t>
      </w:r>
    </w:p>
    <w:p w14:paraId="46349496"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6A35253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ПРОГРАМА</w:t>
      </w:r>
      <w:r w:rsidRPr="000977F7">
        <w:rPr>
          <w:color w:val="auto"/>
          <w:spacing w:val="-6"/>
          <w:sz w:val="20"/>
          <w:szCs w:val="20"/>
        </w:rPr>
        <w:t xml:space="preserve"> </w:t>
      </w:r>
      <w:r w:rsidRPr="000977F7">
        <w:rPr>
          <w:color w:val="auto"/>
          <w:sz w:val="20"/>
          <w:szCs w:val="20"/>
        </w:rPr>
        <w:t>ОЦІНЮВАННЯ -</w:t>
      </w:r>
    </w:p>
    <w:p w14:paraId="13E1B04F"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Застосування</w:t>
      </w:r>
      <w:r w:rsidRPr="000977F7">
        <w:rPr>
          <w:rFonts w:asciiTheme="majorHAnsi" w:hAnsiTheme="majorHAnsi"/>
          <w:spacing w:val="29"/>
          <w:sz w:val="20"/>
          <w:szCs w:val="20"/>
        </w:rPr>
        <w:t xml:space="preserve"> </w:t>
      </w:r>
      <w:r w:rsidRPr="000977F7">
        <w:rPr>
          <w:rFonts w:asciiTheme="majorHAnsi" w:hAnsiTheme="majorHAnsi"/>
          <w:sz w:val="20"/>
          <w:szCs w:val="20"/>
        </w:rPr>
        <w:t>системи</w:t>
      </w:r>
      <w:r w:rsidRPr="000977F7">
        <w:rPr>
          <w:rFonts w:asciiTheme="majorHAnsi" w:hAnsiTheme="majorHAnsi"/>
          <w:spacing w:val="29"/>
          <w:sz w:val="20"/>
          <w:szCs w:val="20"/>
        </w:rPr>
        <w:t xml:space="preserve"> </w:t>
      </w:r>
      <w:r w:rsidRPr="000977F7">
        <w:rPr>
          <w:rFonts w:asciiTheme="majorHAnsi" w:hAnsiTheme="majorHAnsi"/>
          <w:sz w:val="20"/>
          <w:szCs w:val="20"/>
        </w:rPr>
        <w:t>оцінювання</w:t>
      </w:r>
      <w:r w:rsidRPr="000977F7">
        <w:rPr>
          <w:rFonts w:asciiTheme="majorHAnsi" w:hAnsiTheme="majorHAnsi"/>
          <w:spacing w:val="30"/>
          <w:sz w:val="20"/>
          <w:szCs w:val="20"/>
        </w:rPr>
        <w:t xml:space="preserve"> </w:t>
      </w:r>
      <w:r w:rsidRPr="000977F7">
        <w:rPr>
          <w:rFonts w:asciiTheme="majorHAnsi" w:hAnsiTheme="majorHAnsi"/>
          <w:sz w:val="20"/>
          <w:szCs w:val="20"/>
        </w:rPr>
        <w:t>до</w:t>
      </w:r>
      <w:r w:rsidRPr="000977F7">
        <w:rPr>
          <w:rFonts w:asciiTheme="majorHAnsi" w:hAnsiTheme="majorHAnsi"/>
          <w:spacing w:val="31"/>
          <w:sz w:val="20"/>
          <w:szCs w:val="20"/>
        </w:rPr>
        <w:t xml:space="preserve"> </w:t>
      </w:r>
      <w:r w:rsidRPr="000977F7">
        <w:rPr>
          <w:rFonts w:asciiTheme="majorHAnsi" w:hAnsiTheme="majorHAnsi"/>
          <w:sz w:val="20"/>
          <w:szCs w:val="20"/>
        </w:rPr>
        <w:t>системи</w:t>
      </w:r>
      <w:r w:rsidRPr="000977F7">
        <w:rPr>
          <w:rFonts w:asciiTheme="majorHAnsi" w:hAnsiTheme="majorHAnsi"/>
          <w:spacing w:val="29"/>
          <w:sz w:val="20"/>
          <w:szCs w:val="20"/>
        </w:rPr>
        <w:t xml:space="preserve"> </w:t>
      </w:r>
      <w:r w:rsidRPr="000977F7">
        <w:rPr>
          <w:rFonts w:asciiTheme="majorHAnsi" w:hAnsiTheme="majorHAnsi"/>
          <w:sz w:val="20"/>
          <w:szCs w:val="20"/>
        </w:rPr>
        <w:t>якості</w:t>
      </w:r>
      <w:r w:rsidRPr="000977F7">
        <w:rPr>
          <w:rFonts w:asciiTheme="majorHAnsi" w:hAnsiTheme="majorHAnsi"/>
          <w:spacing w:val="-47"/>
          <w:sz w:val="20"/>
          <w:szCs w:val="20"/>
        </w:rPr>
        <w:t xml:space="preserve"> </w:t>
      </w:r>
      <w:r w:rsidRPr="000977F7">
        <w:rPr>
          <w:rFonts w:asciiTheme="majorHAnsi" w:hAnsiTheme="majorHAnsi"/>
          <w:sz w:val="20"/>
          <w:szCs w:val="20"/>
        </w:rPr>
        <w:t>постачальника</w:t>
      </w:r>
      <w:r w:rsidRPr="000977F7">
        <w:rPr>
          <w:rFonts w:asciiTheme="majorHAnsi" w:hAnsiTheme="majorHAnsi"/>
          <w:spacing w:val="6"/>
          <w:sz w:val="20"/>
          <w:szCs w:val="20"/>
        </w:rPr>
        <w:t xml:space="preserve"> </w:t>
      </w:r>
      <w:r w:rsidRPr="000977F7">
        <w:rPr>
          <w:rFonts w:asciiTheme="majorHAnsi" w:hAnsiTheme="majorHAnsi"/>
          <w:sz w:val="20"/>
          <w:szCs w:val="20"/>
        </w:rPr>
        <w:t>для</w:t>
      </w:r>
      <w:r w:rsidRPr="000977F7">
        <w:rPr>
          <w:rFonts w:asciiTheme="majorHAnsi" w:hAnsiTheme="majorHAnsi"/>
          <w:spacing w:val="3"/>
          <w:sz w:val="20"/>
          <w:szCs w:val="20"/>
        </w:rPr>
        <w:t xml:space="preserve"> </w:t>
      </w:r>
      <w:r w:rsidRPr="000977F7">
        <w:rPr>
          <w:rFonts w:asciiTheme="majorHAnsi" w:hAnsiTheme="majorHAnsi"/>
          <w:sz w:val="20"/>
          <w:szCs w:val="20"/>
        </w:rPr>
        <w:t>оцінювання</w:t>
      </w:r>
      <w:r w:rsidRPr="000977F7">
        <w:rPr>
          <w:rFonts w:asciiTheme="majorHAnsi" w:hAnsiTheme="majorHAnsi"/>
          <w:spacing w:val="5"/>
          <w:sz w:val="20"/>
          <w:szCs w:val="20"/>
        </w:rPr>
        <w:t xml:space="preserve"> </w:t>
      </w:r>
      <w:r w:rsidRPr="000977F7">
        <w:rPr>
          <w:rFonts w:asciiTheme="majorHAnsi" w:hAnsiTheme="majorHAnsi"/>
          <w:sz w:val="20"/>
          <w:szCs w:val="20"/>
        </w:rPr>
        <w:t>його</w:t>
      </w:r>
      <w:r w:rsidRPr="000977F7">
        <w:rPr>
          <w:rFonts w:asciiTheme="majorHAnsi" w:hAnsiTheme="majorHAnsi"/>
          <w:spacing w:val="5"/>
          <w:sz w:val="20"/>
          <w:szCs w:val="20"/>
        </w:rPr>
        <w:t xml:space="preserve"> </w:t>
      </w:r>
      <w:r w:rsidRPr="000977F7">
        <w:rPr>
          <w:rFonts w:asciiTheme="majorHAnsi" w:hAnsiTheme="majorHAnsi"/>
          <w:sz w:val="20"/>
          <w:szCs w:val="20"/>
        </w:rPr>
        <w:t>продукції,</w:t>
      </w:r>
      <w:r w:rsidRPr="000977F7">
        <w:rPr>
          <w:rFonts w:asciiTheme="majorHAnsi" w:hAnsiTheme="majorHAnsi"/>
          <w:spacing w:val="6"/>
          <w:sz w:val="20"/>
          <w:szCs w:val="20"/>
        </w:rPr>
        <w:t xml:space="preserve"> </w:t>
      </w:r>
      <w:r w:rsidRPr="000977F7">
        <w:rPr>
          <w:rFonts w:asciiTheme="majorHAnsi" w:hAnsiTheme="majorHAnsi"/>
          <w:sz w:val="20"/>
          <w:szCs w:val="20"/>
        </w:rPr>
        <w:t>процесів</w:t>
      </w:r>
      <w:r w:rsidRPr="000977F7">
        <w:rPr>
          <w:rFonts w:asciiTheme="majorHAnsi" w:hAnsiTheme="majorHAnsi"/>
          <w:spacing w:val="10"/>
          <w:sz w:val="20"/>
          <w:szCs w:val="20"/>
        </w:rPr>
        <w:t xml:space="preserve"> </w:t>
      </w:r>
      <w:r w:rsidRPr="000977F7">
        <w:rPr>
          <w:rFonts w:asciiTheme="majorHAnsi" w:hAnsiTheme="majorHAnsi"/>
          <w:sz w:val="20"/>
          <w:szCs w:val="20"/>
        </w:rPr>
        <w:t>або</w:t>
      </w:r>
      <w:r w:rsidRPr="000977F7">
        <w:rPr>
          <w:rFonts w:asciiTheme="majorHAnsi" w:hAnsiTheme="majorHAnsi"/>
          <w:spacing w:val="11"/>
          <w:sz w:val="20"/>
          <w:szCs w:val="20"/>
        </w:rPr>
        <w:t xml:space="preserve"> </w:t>
      </w:r>
      <w:r w:rsidRPr="000977F7">
        <w:rPr>
          <w:rFonts w:asciiTheme="majorHAnsi" w:hAnsiTheme="majorHAnsi"/>
          <w:sz w:val="20"/>
          <w:szCs w:val="20"/>
        </w:rPr>
        <w:t>послуг,</w:t>
      </w:r>
      <w:r w:rsidRPr="000977F7">
        <w:rPr>
          <w:rFonts w:asciiTheme="majorHAnsi" w:hAnsiTheme="majorHAnsi"/>
          <w:spacing w:val="10"/>
          <w:sz w:val="20"/>
          <w:szCs w:val="20"/>
        </w:rPr>
        <w:t xml:space="preserve"> </w:t>
      </w:r>
      <w:r w:rsidRPr="000977F7">
        <w:rPr>
          <w:rFonts w:asciiTheme="majorHAnsi" w:hAnsiTheme="majorHAnsi"/>
          <w:sz w:val="20"/>
          <w:szCs w:val="20"/>
        </w:rPr>
        <w:t>до</w:t>
      </w:r>
      <w:r w:rsidRPr="000977F7">
        <w:rPr>
          <w:rFonts w:asciiTheme="majorHAnsi" w:hAnsiTheme="majorHAnsi"/>
          <w:spacing w:val="11"/>
          <w:sz w:val="20"/>
          <w:szCs w:val="20"/>
        </w:rPr>
        <w:t xml:space="preserve"> </w:t>
      </w:r>
      <w:r w:rsidRPr="000977F7">
        <w:rPr>
          <w:rFonts w:asciiTheme="majorHAnsi" w:hAnsiTheme="majorHAnsi"/>
          <w:sz w:val="20"/>
          <w:szCs w:val="20"/>
        </w:rPr>
        <w:t>яких</w:t>
      </w:r>
      <w:r w:rsidRPr="000977F7">
        <w:rPr>
          <w:rFonts w:asciiTheme="majorHAnsi" w:hAnsiTheme="majorHAnsi"/>
          <w:spacing w:val="8"/>
          <w:sz w:val="20"/>
          <w:szCs w:val="20"/>
        </w:rPr>
        <w:t xml:space="preserve"> </w:t>
      </w:r>
      <w:r w:rsidRPr="000977F7">
        <w:rPr>
          <w:rFonts w:asciiTheme="majorHAnsi" w:hAnsiTheme="majorHAnsi"/>
          <w:sz w:val="20"/>
          <w:szCs w:val="20"/>
        </w:rPr>
        <w:t>застосовуються</w:t>
      </w:r>
      <w:r w:rsidRPr="000977F7">
        <w:rPr>
          <w:rFonts w:asciiTheme="majorHAnsi" w:hAnsiTheme="majorHAnsi"/>
          <w:spacing w:val="10"/>
          <w:sz w:val="20"/>
          <w:szCs w:val="20"/>
        </w:rPr>
        <w:t xml:space="preserve"> </w:t>
      </w:r>
      <w:r w:rsidRPr="000977F7">
        <w:rPr>
          <w:rFonts w:asciiTheme="majorHAnsi" w:hAnsiTheme="majorHAnsi"/>
          <w:sz w:val="20"/>
          <w:szCs w:val="20"/>
        </w:rPr>
        <w:t>одні</w:t>
      </w:r>
      <w:r w:rsidRPr="000977F7">
        <w:rPr>
          <w:rFonts w:asciiTheme="majorHAnsi" w:hAnsiTheme="majorHAnsi"/>
          <w:spacing w:val="10"/>
          <w:sz w:val="20"/>
          <w:szCs w:val="20"/>
        </w:rPr>
        <w:t xml:space="preserve"> </w:t>
      </w:r>
      <w:r w:rsidRPr="000977F7">
        <w:rPr>
          <w:rFonts w:asciiTheme="majorHAnsi" w:hAnsiTheme="majorHAnsi"/>
          <w:sz w:val="20"/>
          <w:szCs w:val="20"/>
        </w:rPr>
        <w:t>і</w:t>
      </w:r>
      <w:r w:rsidRPr="000977F7">
        <w:rPr>
          <w:rFonts w:asciiTheme="majorHAnsi" w:hAnsiTheme="majorHAnsi"/>
          <w:spacing w:val="11"/>
          <w:sz w:val="20"/>
          <w:szCs w:val="20"/>
        </w:rPr>
        <w:t xml:space="preserve"> </w:t>
      </w:r>
      <w:r w:rsidRPr="000977F7">
        <w:rPr>
          <w:rFonts w:asciiTheme="majorHAnsi" w:hAnsiTheme="majorHAnsi"/>
          <w:sz w:val="20"/>
          <w:szCs w:val="20"/>
        </w:rPr>
        <w:t>ті</w:t>
      </w:r>
      <w:r w:rsidRPr="000977F7">
        <w:rPr>
          <w:rFonts w:asciiTheme="majorHAnsi" w:hAnsiTheme="majorHAnsi"/>
          <w:spacing w:val="12"/>
          <w:sz w:val="20"/>
          <w:szCs w:val="20"/>
        </w:rPr>
        <w:t xml:space="preserve"> </w:t>
      </w:r>
      <w:r w:rsidRPr="000977F7">
        <w:rPr>
          <w:rFonts w:asciiTheme="majorHAnsi" w:hAnsiTheme="majorHAnsi"/>
          <w:sz w:val="20"/>
          <w:szCs w:val="20"/>
        </w:rPr>
        <w:t>ж</w:t>
      </w:r>
      <w:r w:rsidRPr="000977F7">
        <w:rPr>
          <w:rFonts w:asciiTheme="majorHAnsi" w:hAnsiTheme="majorHAnsi"/>
          <w:spacing w:val="10"/>
          <w:sz w:val="20"/>
          <w:szCs w:val="20"/>
        </w:rPr>
        <w:t xml:space="preserve"> </w:t>
      </w:r>
      <w:r w:rsidRPr="000977F7">
        <w:rPr>
          <w:rFonts w:asciiTheme="majorHAnsi" w:hAnsiTheme="majorHAnsi"/>
          <w:sz w:val="20"/>
          <w:szCs w:val="20"/>
        </w:rPr>
        <w:t>визначені стандарти на системи якості і правила</w:t>
      </w:r>
      <w:r w:rsidRPr="000977F7">
        <w:rPr>
          <w:rFonts w:asciiTheme="majorHAnsi" w:hAnsiTheme="majorHAnsi"/>
          <w:spacing w:val="1"/>
          <w:sz w:val="20"/>
          <w:szCs w:val="20"/>
        </w:rPr>
        <w:t xml:space="preserve"> </w:t>
      </w:r>
    </w:p>
    <w:p w14:paraId="54358DCE"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ПРОГРАМА</w:t>
      </w:r>
      <w:r w:rsidRPr="000977F7">
        <w:rPr>
          <w:rFonts w:asciiTheme="majorHAnsi" w:hAnsiTheme="majorHAnsi"/>
          <w:b/>
          <w:spacing w:val="-1"/>
          <w:sz w:val="20"/>
          <w:szCs w:val="20"/>
        </w:rPr>
        <w:t xml:space="preserve"> </w:t>
      </w:r>
      <w:r w:rsidRPr="000977F7">
        <w:rPr>
          <w:rFonts w:asciiTheme="majorHAnsi" w:hAnsiTheme="majorHAnsi"/>
          <w:b/>
          <w:sz w:val="20"/>
          <w:szCs w:val="20"/>
        </w:rPr>
        <w:t>СТАНДАРТИЗАЦІЇ -</w:t>
      </w:r>
    </w:p>
    <w:p w14:paraId="258E002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STANDARDS</w:t>
      </w:r>
      <w:r w:rsidRPr="000977F7">
        <w:rPr>
          <w:rFonts w:asciiTheme="majorHAnsi" w:hAnsiTheme="majorHAnsi"/>
          <w:spacing w:val="-3"/>
          <w:sz w:val="20"/>
          <w:szCs w:val="20"/>
        </w:rPr>
        <w:t xml:space="preserve"> </w:t>
      </w:r>
      <w:r w:rsidRPr="000977F7">
        <w:rPr>
          <w:rFonts w:asciiTheme="majorHAnsi" w:hAnsiTheme="majorHAnsi"/>
          <w:sz w:val="20"/>
          <w:szCs w:val="20"/>
        </w:rPr>
        <w:t>PROGRAMME -</w:t>
      </w:r>
    </w:p>
    <w:p w14:paraId="53A812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План роботи органу стандартизації, в якому перелічено назви</w:t>
      </w:r>
      <w:r w:rsidRPr="000977F7">
        <w:rPr>
          <w:rFonts w:asciiTheme="majorHAnsi" w:hAnsiTheme="majorHAnsi"/>
          <w:spacing w:val="-2"/>
          <w:sz w:val="20"/>
          <w:szCs w:val="20"/>
        </w:rPr>
        <w:t xml:space="preserve"> </w:t>
      </w:r>
      <w:r w:rsidRPr="000977F7">
        <w:rPr>
          <w:rFonts w:asciiTheme="majorHAnsi" w:hAnsiTheme="majorHAnsi"/>
          <w:sz w:val="20"/>
          <w:szCs w:val="20"/>
        </w:rPr>
        <w:t>поточних</w:t>
      </w:r>
      <w:r w:rsidRPr="000977F7">
        <w:rPr>
          <w:rFonts w:asciiTheme="majorHAnsi" w:hAnsiTheme="majorHAnsi"/>
          <w:spacing w:val="-1"/>
          <w:sz w:val="20"/>
          <w:szCs w:val="20"/>
        </w:rPr>
        <w:t xml:space="preserve"> </w:t>
      </w:r>
      <w:r w:rsidRPr="000977F7">
        <w:rPr>
          <w:rFonts w:asciiTheme="majorHAnsi" w:hAnsiTheme="majorHAnsi"/>
          <w:sz w:val="20"/>
          <w:szCs w:val="20"/>
        </w:rPr>
        <w:t>робіт</w:t>
      </w:r>
      <w:r w:rsidRPr="000977F7">
        <w:rPr>
          <w:rFonts w:asciiTheme="majorHAnsi" w:hAnsiTheme="majorHAnsi"/>
          <w:spacing w:val="-2"/>
          <w:sz w:val="20"/>
          <w:szCs w:val="20"/>
        </w:rPr>
        <w:t xml:space="preserve"> </w:t>
      </w:r>
      <w:r w:rsidRPr="000977F7">
        <w:rPr>
          <w:rFonts w:asciiTheme="majorHAnsi" w:hAnsiTheme="majorHAnsi"/>
          <w:sz w:val="20"/>
          <w:szCs w:val="20"/>
        </w:rPr>
        <w:t>з стандартизації</w:t>
      </w:r>
    </w:p>
    <w:p w14:paraId="71DCDB9A"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1"/>
          <w:sz w:val="20"/>
          <w:szCs w:val="20"/>
        </w:rPr>
      </w:pPr>
      <w:r w:rsidRPr="000977F7">
        <w:rPr>
          <w:rFonts w:asciiTheme="majorHAnsi" w:hAnsiTheme="majorHAnsi"/>
          <w:i/>
          <w:spacing w:val="-12"/>
          <w:sz w:val="20"/>
          <w:szCs w:val="20"/>
        </w:rPr>
        <w:t xml:space="preserve">ДСТУ ISO/IEC </w:t>
      </w:r>
      <w:r w:rsidRPr="000977F7">
        <w:rPr>
          <w:rFonts w:asciiTheme="majorHAnsi" w:hAnsiTheme="majorHAnsi"/>
          <w:i/>
          <w:spacing w:val="-11"/>
          <w:sz w:val="20"/>
          <w:szCs w:val="20"/>
        </w:rPr>
        <w:t>17000:2007</w:t>
      </w:r>
    </w:p>
    <w:p w14:paraId="40E1931D"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ПРОГРАМНА ПРОДУКЦІЯ –</w:t>
      </w:r>
      <w:r w:rsidRPr="000977F7">
        <w:rPr>
          <w:rFonts w:asciiTheme="majorHAnsi" w:hAnsiTheme="majorHAnsi"/>
          <w:b/>
          <w:spacing w:val="-47"/>
          <w:sz w:val="20"/>
          <w:szCs w:val="20"/>
        </w:rPr>
        <w:t xml:space="preserve"> </w:t>
      </w:r>
    </w:p>
    <w:p w14:paraId="28D5963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SOFTWARE</w:t>
      </w:r>
      <w:r w:rsidRPr="000977F7">
        <w:rPr>
          <w:rFonts w:asciiTheme="majorHAnsi" w:hAnsiTheme="majorHAnsi"/>
          <w:spacing w:val="-2"/>
          <w:sz w:val="20"/>
          <w:szCs w:val="20"/>
        </w:rPr>
        <w:t xml:space="preserve"> </w:t>
      </w:r>
      <w:r w:rsidRPr="000977F7">
        <w:rPr>
          <w:rFonts w:asciiTheme="majorHAnsi" w:hAnsiTheme="majorHAnsi"/>
          <w:sz w:val="20"/>
          <w:szCs w:val="20"/>
        </w:rPr>
        <w:t>PRODUCTION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4F10E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програмних засобів і програмних продуктів, які мають загальну класифікаційну ознаку (за належністю,</w:t>
      </w:r>
      <w:r w:rsidRPr="000977F7">
        <w:rPr>
          <w:rFonts w:asciiTheme="majorHAnsi" w:hAnsiTheme="majorHAnsi"/>
          <w:spacing w:val="-2"/>
          <w:sz w:val="20"/>
          <w:szCs w:val="20"/>
        </w:rPr>
        <w:t xml:space="preserve"> </w:t>
      </w:r>
      <w:r w:rsidRPr="000977F7">
        <w:rPr>
          <w:rFonts w:asciiTheme="majorHAnsi" w:hAnsiTheme="majorHAnsi"/>
          <w:sz w:val="20"/>
          <w:szCs w:val="20"/>
        </w:rPr>
        <w:t>місцем розробки,</w:t>
      </w:r>
      <w:r w:rsidRPr="000977F7">
        <w:rPr>
          <w:rFonts w:asciiTheme="majorHAnsi" w:hAnsiTheme="majorHAnsi"/>
          <w:spacing w:val="-2"/>
          <w:sz w:val="20"/>
          <w:szCs w:val="20"/>
        </w:rPr>
        <w:t xml:space="preserve"> </w:t>
      </w:r>
      <w:r w:rsidRPr="000977F7">
        <w:rPr>
          <w:rFonts w:asciiTheme="majorHAnsi" w:hAnsiTheme="majorHAnsi"/>
          <w:sz w:val="20"/>
          <w:szCs w:val="20"/>
        </w:rPr>
        <w:t>призначенням</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4ED879D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1C711F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Розрізняють програмну продукцію країни, галузі, 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т.п.</w:t>
      </w:r>
    </w:p>
    <w:p w14:paraId="2D08D09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2844</w:t>
      </w:r>
      <w:r w:rsidRPr="000977F7">
        <w:rPr>
          <w:rFonts w:asciiTheme="majorHAnsi" w:hAnsiTheme="majorHAnsi"/>
          <w:i/>
          <w:spacing w:val="2"/>
          <w:sz w:val="20"/>
          <w:szCs w:val="20"/>
        </w:rPr>
        <w:t xml:space="preserve"> </w:t>
      </w:r>
      <w:r w:rsidRPr="000977F7">
        <w:rPr>
          <w:rFonts w:asciiTheme="majorHAnsi" w:hAnsiTheme="majorHAnsi"/>
          <w:i/>
          <w:sz w:val="20"/>
          <w:szCs w:val="20"/>
        </w:rPr>
        <w:t>– 94</w:t>
      </w:r>
    </w:p>
    <w:p w14:paraId="463678CF"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ПРОГРАМНИЙ ЗАСІБ –</w:t>
      </w:r>
      <w:r w:rsidRPr="000977F7">
        <w:rPr>
          <w:rFonts w:asciiTheme="majorHAnsi" w:hAnsiTheme="majorHAnsi"/>
          <w:b/>
          <w:spacing w:val="-47"/>
          <w:sz w:val="20"/>
          <w:szCs w:val="20"/>
        </w:rPr>
        <w:t xml:space="preserve"> </w:t>
      </w:r>
    </w:p>
    <w:p w14:paraId="32C57C2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SOFTWARE –</w:t>
      </w:r>
    </w:p>
    <w:p w14:paraId="5D38038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Взаємозв’язана</w:t>
      </w:r>
      <w:r w:rsidRPr="000977F7">
        <w:rPr>
          <w:rFonts w:asciiTheme="majorHAnsi" w:hAnsiTheme="majorHAnsi"/>
          <w:spacing w:val="1"/>
          <w:sz w:val="20"/>
          <w:szCs w:val="20"/>
        </w:rPr>
        <w:t xml:space="preserve"> </w:t>
      </w: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програм,</w:t>
      </w:r>
      <w:r w:rsidRPr="000977F7">
        <w:rPr>
          <w:rFonts w:asciiTheme="majorHAnsi" w:hAnsiTheme="majorHAnsi"/>
          <w:spacing w:val="1"/>
          <w:sz w:val="20"/>
          <w:szCs w:val="20"/>
        </w:rPr>
        <w:t xml:space="preserve"> </w:t>
      </w:r>
      <w:r w:rsidRPr="000977F7">
        <w:rPr>
          <w:rFonts w:asciiTheme="majorHAnsi" w:hAnsiTheme="majorHAnsi"/>
          <w:sz w:val="20"/>
          <w:szCs w:val="20"/>
        </w:rPr>
        <w:t>процедур,</w:t>
      </w:r>
      <w:r w:rsidRPr="000977F7">
        <w:rPr>
          <w:rFonts w:asciiTheme="majorHAnsi" w:hAnsiTheme="majorHAnsi"/>
          <w:spacing w:val="1"/>
          <w:sz w:val="20"/>
          <w:szCs w:val="20"/>
        </w:rPr>
        <w:t xml:space="preserve"> </w:t>
      </w:r>
      <w:r w:rsidRPr="000977F7">
        <w:rPr>
          <w:rFonts w:asciiTheme="majorHAnsi" w:hAnsiTheme="majorHAnsi"/>
          <w:sz w:val="20"/>
          <w:szCs w:val="20"/>
        </w:rPr>
        <w:t>правил, документації та даних, що належить до функціонування</w:t>
      </w:r>
      <w:r w:rsidRPr="000977F7">
        <w:rPr>
          <w:rFonts w:asciiTheme="majorHAnsi" w:hAnsiTheme="majorHAnsi"/>
          <w:spacing w:val="-2"/>
          <w:sz w:val="20"/>
          <w:szCs w:val="20"/>
        </w:rPr>
        <w:t xml:space="preserve"> </w:t>
      </w:r>
      <w:r w:rsidRPr="000977F7">
        <w:rPr>
          <w:rFonts w:asciiTheme="majorHAnsi" w:hAnsiTheme="majorHAnsi"/>
          <w:sz w:val="20"/>
          <w:szCs w:val="20"/>
        </w:rPr>
        <w:t>обчислювальної</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p>
    <w:p w14:paraId="48EB864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E8BAC9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ПРОГРАМНИЙ</w:t>
      </w:r>
      <w:r w:rsidRPr="000977F7">
        <w:rPr>
          <w:color w:val="auto"/>
          <w:spacing w:val="-4"/>
          <w:sz w:val="20"/>
          <w:szCs w:val="20"/>
        </w:rPr>
        <w:t xml:space="preserve"> </w:t>
      </w:r>
      <w:r w:rsidRPr="000977F7">
        <w:rPr>
          <w:color w:val="auto"/>
          <w:sz w:val="20"/>
          <w:szCs w:val="20"/>
        </w:rPr>
        <w:t>КОРИСНИЙ</w:t>
      </w:r>
      <w:r w:rsidRPr="000977F7">
        <w:rPr>
          <w:color w:val="auto"/>
          <w:spacing w:val="-3"/>
          <w:sz w:val="20"/>
          <w:szCs w:val="20"/>
        </w:rPr>
        <w:t xml:space="preserve"> </w:t>
      </w:r>
      <w:r w:rsidRPr="000977F7">
        <w:rPr>
          <w:color w:val="auto"/>
          <w:sz w:val="20"/>
          <w:szCs w:val="20"/>
        </w:rPr>
        <w:t>ЧАС –</w:t>
      </w:r>
    </w:p>
    <w:p w14:paraId="1F68B8F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PROGRAM</w:t>
      </w:r>
      <w:r w:rsidRPr="000977F7">
        <w:rPr>
          <w:rFonts w:asciiTheme="majorHAnsi" w:hAnsiTheme="majorHAnsi"/>
          <w:spacing w:val="-2"/>
          <w:sz w:val="20"/>
          <w:szCs w:val="20"/>
        </w:rPr>
        <w:t xml:space="preserve"> </w:t>
      </w:r>
      <w:r w:rsidRPr="000977F7">
        <w:rPr>
          <w:rFonts w:asciiTheme="majorHAnsi" w:hAnsiTheme="majorHAnsi"/>
          <w:sz w:val="20"/>
          <w:szCs w:val="20"/>
        </w:rPr>
        <w:t>PRODUCTION</w:t>
      </w:r>
      <w:r w:rsidRPr="000977F7">
        <w:rPr>
          <w:rFonts w:asciiTheme="majorHAnsi" w:hAnsiTheme="majorHAnsi"/>
          <w:spacing w:val="-2"/>
          <w:sz w:val="20"/>
          <w:szCs w:val="20"/>
        </w:rPr>
        <w:t xml:space="preserve"> </w:t>
      </w:r>
      <w:r w:rsidRPr="000977F7">
        <w:rPr>
          <w:rFonts w:asciiTheme="majorHAnsi" w:hAnsiTheme="majorHAnsi"/>
          <w:sz w:val="20"/>
          <w:szCs w:val="20"/>
        </w:rPr>
        <w:t>TIME –</w:t>
      </w:r>
    </w:p>
    <w:p w14:paraId="0F8C46E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31"/>
          <w:sz w:val="20"/>
          <w:szCs w:val="20"/>
        </w:rPr>
        <w:t xml:space="preserve"> </w:t>
      </w:r>
      <w:r w:rsidRPr="000977F7">
        <w:rPr>
          <w:rFonts w:asciiTheme="majorHAnsi" w:hAnsiTheme="majorHAnsi"/>
          <w:sz w:val="20"/>
          <w:szCs w:val="20"/>
        </w:rPr>
        <w:t>системного</w:t>
      </w:r>
      <w:r w:rsidRPr="000977F7">
        <w:rPr>
          <w:rFonts w:asciiTheme="majorHAnsi" w:hAnsiTheme="majorHAnsi"/>
          <w:spacing w:val="33"/>
          <w:sz w:val="20"/>
          <w:szCs w:val="20"/>
        </w:rPr>
        <w:t xml:space="preserve"> </w:t>
      </w:r>
      <w:r w:rsidRPr="000977F7">
        <w:rPr>
          <w:rFonts w:asciiTheme="majorHAnsi" w:hAnsiTheme="majorHAnsi"/>
          <w:sz w:val="20"/>
          <w:szCs w:val="20"/>
        </w:rPr>
        <w:t>корисного</w:t>
      </w:r>
      <w:r w:rsidRPr="000977F7">
        <w:rPr>
          <w:rFonts w:asciiTheme="majorHAnsi" w:hAnsiTheme="majorHAnsi"/>
          <w:spacing w:val="32"/>
          <w:sz w:val="20"/>
          <w:szCs w:val="20"/>
        </w:rPr>
        <w:t xml:space="preserve"> </w:t>
      </w:r>
      <w:r w:rsidRPr="000977F7">
        <w:rPr>
          <w:rFonts w:asciiTheme="majorHAnsi" w:hAnsiTheme="majorHAnsi"/>
          <w:sz w:val="20"/>
          <w:szCs w:val="20"/>
        </w:rPr>
        <w:t>часу,</w:t>
      </w:r>
      <w:r w:rsidRPr="000977F7">
        <w:rPr>
          <w:rFonts w:asciiTheme="majorHAnsi" w:hAnsiTheme="majorHAnsi"/>
          <w:spacing w:val="32"/>
          <w:sz w:val="20"/>
          <w:szCs w:val="20"/>
        </w:rPr>
        <w:t xml:space="preserve"> </w:t>
      </w:r>
      <w:r w:rsidRPr="000977F7">
        <w:rPr>
          <w:rFonts w:asciiTheme="majorHAnsi" w:hAnsiTheme="majorHAnsi"/>
          <w:sz w:val="20"/>
          <w:szCs w:val="20"/>
        </w:rPr>
        <w:t>протягом</w:t>
      </w:r>
      <w:r w:rsidRPr="000977F7">
        <w:rPr>
          <w:rFonts w:asciiTheme="majorHAnsi" w:hAnsiTheme="majorHAnsi"/>
          <w:spacing w:val="33"/>
          <w:sz w:val="20"/>
          <w:szCs w:val="20"/>
        </w:rPr>
        <w:t xml:space="preserve"> </w:t>
      </w:r>
      <w:r w:rsidRPr="000977F7">
        <w:rPr>
          <w:rFonts w:asciiTheme="majorHAnsi" w:hAnsiTheme="majorHAnsi"/>
          <w:sz w:val="20"/>
          <w:szCs w:val="20"/>
        </w:rPr>
        <w:t>якого</w:t>
      </w:r>
      <w:r w:rsidRPr="000977F7">
        <w:rPr>
          <w:rFonts w:asciiTheme="majorHAnsi" w:hAnsiTheme="majorHAnsi"/>
          <w:spacing w:val="-47"/>
          <w:sz w:val="20"/>
          <w:szCs w:val="20"/>
        </w:rPr>
        <w:t xml:space="preserve"> </w:t>
      </w:r>
      <w:r w:rsidRPr="000977F7">
        <w:rPr>
          <w:rFonts w:asciiTheme="majorHAnsi" w:hAnsiTheme="majorHAnsi"/>
          <w:sz w:val="20"/>
          <w:szCs w:val="20"/>
        </w:rPr>
        <w:t>виконувалась комп’ютерна програма користувача</w:t>
      </w:r>
    </w:p>
    <w:p w14:paraId="1388D2B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ISO/IEC</w:t>
      </w:r>
      <w:r w:rsidRPr="000977F7">
        <w:rPr>
          <w:rFonts w:asciiTheme="majorHAnsi" w:hAnsiTheme="majorHAnsi"/>
          <w:i/>
          <w:spacing w:val="-1"/>
          <w:sz w:val="20"/>
          <w:szCs w:val="20"/>
        </w:rPr>
        <w:t xml:space="preserve"> </w:t>
      </w:r>
      <w:r w:rsidRPr="000977F7">
        <w:rPr>
          <w:rFonts w:asciiTheme="majorHAnsi" w:hAnsiTheme="majorHAnsi"/>
          <w:i/>
          <w:sz w:val="20"/>
          <w:szCs w:val="20"/>
        </w:rPr>
        <w:t>2382:2017</w:t>
      </w:r>
    </w:p>
    <w:p w14:paraId="0308F60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ПРОГРАМНИЙ</w:t>
      </w:r>
      <w:r w:rsidRPr="000977F7">
        <w:rPr>
          <w:color w:val="auto"/>
          <w:spacing w:val="-6"/>
          <w:sz w:val="20"/>
          <w:szCs w:val="20"/>
        </w:rPr>
        <w:t xml:space="preserve"> </w:t>
      </w:r>
      <w:r w:rsidRPr="000977F7">
        <w:rPr>
          <w:color w:val="auto"/>
          <w:sz w:val="20"/>
          <w:szCs w:val="20"/>
        </w:rPr>
        <w:t>ПРОДУКТ</w:t>
      </w:r>
      <w:r w:rsidRPr="000977F7">
        <w:rPr>
          <w:color w:val="auto"/>
          <w:spacing w:val="-1"/>
          <w:sz w:val="20"/>
          <w:szCs w:val="20"/>
        </w:rPr>
        <w:t xml:space="preserve"> </w:t>
      </w:r>
      <w:r w:rsidRPr="000977F7">
        <w:rPr>
          <w:color w:val="auto"/>
          <w:sz w:val="20"/>
          <w:szCs w:val="20"/>
        </w:rPr>
        <w:t>–</w:t>
      </w:r>
    </w:p>
    <w:p w14:paraId="09D21BF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SOFTWARE</w:t>
      </w:r>
      <w:r w:rsidRPr="000977F7">
        <w:rPr>
          <w:rFonts w:asciiTheme="majorHAnsi" w:hAnsiTheme="majorHAnsi"/>
          <w:spacing w:val="-3"/>
          <w:sz w:val="20"/>
          <w:szCs w:val="20"/>
        </w:rPr>
        <w:t xml:space="preserve"> </w:t>
      </w:r>
      <w:r w:rsidRPr="000977F7">
        <w:rPr>
          <w:rFonts w:asciiTheme="majorHAnsi" w:hAnsiTheme="majorHAnsi"/>
          <w:sz w:val="20"/>
          <w:szCs w:val="20"/>
        </w:rPr>
        <w:t>PRODUCT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C87B4E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Програмний засіб, призначений для постачання користувачу</w:t>
      </w:r>
    </w:p>
    <w:p w14:paraId="5D33575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5AADBA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ПРОГРАМНО</w:t>
      </w:r>
      <w:r w:rsidRPr="000977F7">
        <w:rPr>
          <w:color w:val="auto"/>
          <w:spacing w:val="-5"/>
          <w:sz w:val="20"/>
          <w:szCs w:val="20"/>
        </w:rPr>
        <w:t xml:space="preserve"> </w:t>
      </w:r>
      <w:r w:rsidRPr="000977F7">
        <w:rPr>
          <w:color w:val="auto"/>
          <w:sz w:val="20"/>
          <w:szCs w:val="20"/>
        </w:rPr>
        <w:t>–</w:t>
      </w:r>
      <w:r w:rsidRPr="000977F7">
        <w:rPr>
          <w:color w:val="auto"/>
          <w:spacing w:val="-4"/>
          <w:sz w:val="20"/>
          <w:szCs w:val="20"/>
        </w:rPr>
        <w:t xml:space="preserve"> </w:t>
      </w:r>
      <w:r w:rsidRPr="000977F7">
        <w:rPr>
          <w:color w:val="auto"/>
          <w:sz w:val="20"/>
          <w:szCs w:val="20"/>
        </w:rPr>
        <w:t>ВИЯВНА</w:t>
      </w:r>
      <w:r w:rsidRPr="000977F7">
        <w:rPr>
          <w:color w:val="auto"/>
          <w:spacing w:val="-7"/>
          <w:sz w:val="20"/>
          <w:szCs w:val="20"/>
        </w:rPr>
        <w:t xml:space="preserve"> </w:t>
      </w:r>
      <w:r w:rsidRPr="000977F7">
        <w:rPr>
          <w:color w:val="auto"/>
          <w:sz w:val="20"/>
          <w:szCs w:val="20"/>
        </w:rPr>
        <w:t>НЕСПРАВНІСТЬ –</w:t>
      </w:r>
    </w:p>
    <w:p w14:paraId="56B98C3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PROGRAMME</w:t>
      </w:r>
      <w:r w:rsidRPr="000977F7">
        <w:rPr>
          <w:rFonts w:asciiTheme="majorHAnsi" w:hAnsiTheme="majorHAnsi"/>
          <w:spacing w:val="-2"/>
          <w:sz w:val="20"/>
          <w:szCs w:val="20"/>
        </w:rPr>
        <w:t xml:space="preserve"> </w:t>
      </w:r>
      <w:r w:rsidRPr="000977F7">
        <w:rPr>
          <w:rFonts w:asciiTheme="majorHAnsi" w:hAnsiTheme="majorHAnsi"/>
          <w:sz w:val="20"/>
          <w:szCs w:val="20"/>
        </w:rPr>
        <w:t>–</w:t>
      </w:r>
      <w:r w:rsidRPr="000977F7">
        <w:rPr>
          <w:rFonts w:asciiTheme="majorHAnsi" w:hAnsiTheme="majorHAnsi"/>
          <w:spacing w:val="-2"/>
          <w:sz w:val="20"/>
          <w:szCs w:val="20"/>
        </w:rPr>
        <w:t xml:space="preserve"> </w:t>
      </w:r>
      <w:r w:rsidRPr="000977F7">
        <w:rPr>
          <w:rFonts w:asciiTheme="majorHAnsi" w:hAnsiTheme="majorHAnsi"/>
          <w:sz w:val="20"/>
          <w:szCs w:val="20"/>
        </w:rPr>
        <w:t>SENSITIVE</w:t>
      </w:r>
      <w:r w:rsidRPr="000977F7">
        <w:rPr>
          <w:rFonts w:asciiTheme="majorHAnsi" w:hAnsiTheme="majorHAnsi"/>
          <w:spacing w:val="-3"/>
          <w:sz w:val="20"/>
          <w:szCs w:val="20"/>
        </w:rPr>
        <w:t xml:space="preserve"> </w:t>
      </w:r>
      <w:r w:rsidRPr="000977F7">
        <w:rPr>
          <w:rFonts w:asciiTheme="majorHAnsi" w:hAnsiTheme="majorHAnsi"/>
          <w:sz w:val="20"/>
          <w:szCs w:val="20"/>
        </w:rPr>
        <w:t>FAULT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7448E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Несправність,</w:t>
      </w:r>
      <w:r w:rsidRPr="000977F7">
        <w:rPr>
          <w:rFonts w:asciiTheme="majorHAnsi" w:hAnsiTheme="majorHAnsi"/>
          <w:spacing w:val="1"/>
          <w:sz w:val="20"/>
          <w:szCs w:val="20"/>
        </w:rPr>
        <w:t xml:space="preserve"> </w:t>
      </w:r>
      <w:r w:rsidRPr="000977F7">
        <w:rPr>
          <w:rFonts w:asciiTheme="majorHAnsi" w:hAnsiTheme="majorHAnsi"/>
          <w:sz w:val="20"/>
          <w:szCs w:val="20"/>
        </w:rPr>
        <w:t>яку</w:t>
      </w:r>
      <w:r w:rsidRPr="000977F7">
        <w:rPr>
          <w:rFonts w:asciiTheme="majorHAnsi" w:hAnsiTheme="majorHAnsi"/>
          <w:spacing w:val="1"/>
          <w:sz w:val="20"/>
          <w:szCs w:val="20"/>
        </w:rPr>
        <w:t xml:space="preserve"> </w:t>
      </w:r>
      <w:r w:rsidRPr="000977F7">
        <w:rPr>
          <w:rFonts w:asciiTheme="majorHAnsi" w:hAnsiTheme="majorHAnsi"/>
          <w:sz w:val="20"/>
          <w:szCs w:val="20"/>
        </w:rPr>
        <w:t>виявляють</w:t>
      </w:r>
      <w:r w:rsidRPr="000977F7">
        <w:rPr>
          <w:rFonts w:asciiTheme="majorHAnsi" w:hAnsiTheme="majorHAnsi"/>
          <w:spacing w:val="1"/>
          <w:sz w:val="20"/>
          <w:szCs w:val="20"/>
        </w:rPr>
        <w:t xml:space="preserve"> </w:t>
      </w:r>
      <w:r w:rsidRPr="000977F7">
        <w:rPr>
          <w:rFonts w:asciiTheme="majorHAnsi" w:hAnsiTheme="majorHAnsi"/>
          <w:sz w:val="20"/>
          <w:szCs w:val="20"/>
        </w:rPr>
        <w:t>внаслідок</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деякої певної послідовності операції згідно з інструкцією</w:t>
      </w:r>
    </w:p>
    <w:p w14:paraId="0C16801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63BF6C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1"/>
          <w:sz w:val="20"/>
          <w:szCs w:val="20"/>
        </w:rPr>
        <w:t xml:space="preserve">ПРОГРАМНО ВИЯВНИЙ </w:t>
      </w:r>
      <w:r w:rsidRPr="000977F7">
        <w:rPr>
          <w:color w:val="auto"/>
          <w:sz w:val="20"/>
          <w:szCs w:val="20"/>
        </w:rPr>
        <w:t>НЕСПРАВНИЙ</w:t>
      </w:r>
      <w:r w:rsidRPr="000977F7">
        <w:rPr>
          <w:color w:val="auto"/>
          <w:spacing w:val="-47"/>
          <w:sz w:val="20"/>
          <w:szCs w:val="20"/>
        </w:rPr>
        <w:t xml:space="preserve"> </w:t>
      </w:r>
      <w:r w:rsidRPr="000977F7">
        <w:rPr>
          <w:color w:val="auto"/>
          <w:sz w:val="20"/>
          <w:szCs w:val="20"/>
        </w:rPr>
        <w:t>СТАН –</w:t>
      </w:r>
    </w:p>
    <w:p w14:paraId="5577DC2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PROGRAM</w:t>
      </w:r>
      <w:r w:rsidRPr="004D2D14">
        <w:rPr>
          <w:rFonts w:asciiTheme="majorHAnsi" w:hAnsiTheme="majorHAnsi"/>
          <w:sz w:val="20"/>
          <w:szCs w:val="20"/>
          <w:lang w:val="uk-UA"/>
        </w:rPr>
        <w:t>-</w:t>
      </w:r>
      <w:r w:rsidRPr="000977F7">
        <w:rPr>
          <w:rFonts w:asciiTheme="majorHAnsi" w:hAnsiTheme="majorHAnsi"/>
          <w:sz w:val="20"/>
          <w:szCs w:val="20"/>
        </w:rPr>
        <w:t>SENSITIVE</w:t>
      </w:r>
      <w:r w:rsidRPr="004D2D14">
        <w:rPr>
          <w:rFonts w:asciiTheme="majorHAnsi" w:hAnsiTheme="majorHAnsi"/>
          <w:spacing w:val="-3"/>
          <w:sz w:val="20"/>
          <w:szCs w:val="20"/>
          <w:lang w:val="uk-UA"/>
        </w:rPr>
        <w:t xml:space="preserve"> </w:t>
      </w:r>
      <w:r w:rsidRPr="000977F7">
        <w:rPr>
          <w:rFonts w:asciiTheme="majorHAnsi" w:hAnsiTheme="majorHAnsi"/>
          <w:sz w:val="20"/>
          <w:szCs w:val="20"/>
        </w:rPr>
        <w:t>FAULT</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7245C18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Несправний стан,</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який виявляється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внаслідок виконання</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визначеної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групи програмних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інструкцій</w:t>
      </w:r>
    </w:p>
    <w:p w14:paraId="791E071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ISO/IEC 2382:2017</w:t>
      </w:r>
    </w:p>
    <w:p w14:paraId="1003269F"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lang w:eastAsia="ru-RU"/>
        </w:rPr>
      </w:pPr>
      <w:r w:rsidRPr="000977F7">
        <w:rPr>
          <w:rFonts w:asciiTheme="majorHAnsi" w:hAnsiTheme="majorHAnsi"/>
          <w:b/>
          <w:sz w:val="20"/>
          <w:szCs w:val="20"/>
        </w:rPr>
        <w:t>ПРОГРАМНО ЧУТЛИВИЙ ДЕФЕКТ –</w:t>
      </w:r>
      <w:r w:rsidRPr="000977F7">
        <w:rPr>
          <w:rFonts w:asciiTheme="majorHAnsi" w:hAnsiTheme="majorHAnsi"/>
          <w:b/>
          <w:spacing w:val="-47"/>
          <w:sz w:val="20"/>
          <w:szCs w:val="20"/>
        </w:rPr>
        <w:t xml:space="preserve"> </w:t>
      </w:r>
    </w:p>
    <w:p w14:paraId="63ED61D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PROGRAM-SENSITIVE</w:t>
      </w:r>
      <w:r w:rsidRPr="000977F7">
        <w:rPr>
          <w:rFonts w:asciiTheme="majorHAnsi" w:hAnsiTheme="majorHAnsi"/>
          <w:spacing w:val="-1"/>
          <w:sz w:val="20"/>
          <w:szCs w:val="20"/>
        </w:rPr>
        <w:t xml:space="preserve"> </w:t>
      </w:r>
      <w:r w:rsidRPr="000977F7">
        <w:rPr>
          <w:rFonts w:asciiTheme="majorHAnsi" w:hAnsiTheme="majorHAnsi"/>
          <w:sz w:val="20"/>
          <w:szCs w:val="20"/>
        </w:rPr>
        <w:t>FAULN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4CEC1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Дефект, що виявляється в результаті виконання деякої</w:t>
      </w:r>
      <w:r w:rsidRPr="000977F7">
        <w:rPr>
          <w:rFonts w:asciiTheme="majorHAnsi" w:hAnsiTheme="majorHAnsi"/>
          <w:spacing w:val="-47"/>
          <w:sz w:val="20"/>
          <w:szCs w:val="20"/>
        </w:rPr>
        <w:t xml:space="preserve"> </w:t>
      </w:r>
      <w:r w:rsidRPr="000977F7">
        <w:rPr>
          <w:rFonts w:asciiTheme="majorHAnsi" w:hAnsiTheme="majorHAnsi"/>
          <w:sz w:val="20"/>
          <w:szCs w:val="20"/>
        </w:rPr>
        <w:t>спеціальної</w:t>
      </w:r>
      <w:r w:rsidRPr="000977F7">
        <w:rPr>
          <w:rFonts w:asciiTheme="majorHAnsi" w:hAnsiTheme="majorHAnsi"/>
          <w:spacing w:val="-2"/>
          <w:sz w:val="20"/>
          <w:szCs w:val="20"/>
        </w:rPr>
        <w:t xml:space="preserve"> </w:t>
      </w:r>
      <w:r w:rsidRPr="000977F7">
        <w:rPr>
          <w:rFonts w:asciiTheme="majorHAnsi" w:hAnsiTheme="majorHAnsi"/>
          <w:sz w:val="20"/>
          <w:szCs w:val="20"/>
        </w:rPr>
        <w:t>послідовності</w:t>
      </w:r>
      <w:r w:rsidRPr="000977F7">
        <w:rPr>
          <w:rFonts w:asciiTheme="majorHAnsi" w:hAnsiTheme="majorHAnsi"/>
          <w:spacing w:val="2"/>
          <w:sz w:val="20"/>
          <w:szCs w:val="20"/>
        </w:rPr>
        <w:t xml:space="preserve"> </w:t>
      </w:r>
      <w:r w:rsidRPr="000977F7">
        <w:rPr>
          <w:rFonts w:asciiTheme="majorHAnsi" w:hAnsiTheme="majorHAnsi"/>
          <w:sz w:val="20"/>
          <w:szCs w:val="20"/>
        </w:rPr>
        <w:t>команд</w:t>
      </w:r>
    </w:p>
    <w:p w14:paraId="2AD3006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b/>
          <w:bCs/>
          <w:sz w:val="20"/>
          <w:szCs w:val="20"/>
          <w:lang w:eastAsia="ru-RU"/>
        </w:rPr>
        <w:t>ПРОДАВЕЦЬ –</w:t>
      </w:r>
      <w:r w:rsidRPr="000977F7">
        <w:rPr>
          <w:rFonts w:asciiTheme="majorHAnsi" w:hAnsiTheme="majorHAnsi"/>
          <w:sz w:val="20"/>
          <w:szCs w:val="20"/>
          <w:lang w:eastAsia="ru-RU"/>
        </w:rPr>
        <w:t xml:space="preserve"> </w:t>
      </w:r>
    </w:p>
    <w:p w14:paraId="7BC32FD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Суб'єкт господарювання, який згідно з договором реалізує споживачеві товари або пропонує </w:t>
      </w:r>
    </w:p>
    <w:p w14:paraId="0A0FC6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їх до реалізації</w:t>
      </w:r>
    </w:p>
    <w:p w14:paraId="1A3E92D6"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 xml:space="preserve">Ст. 1 закону </w:t>
      </w:r>
      <w:r w:rsidRPr="000977F7">
        <w:rPr>
          <w:rFonts w:asciiTheme="majorHAnsi" w:hAnsiTheme="majorHAnsi"/>
          <w:sz w:val="20"/>
          <w:szCs w:val="20"/>
        </w:rPr>
        <w:t>України "Про захист прав споживачів</w:t>
      </w:r>
      <w:r w:rsidRPr="000977F7">
        <w:rPr>
          <w:rFonts w:asciiTheme="majorHAnsi" w:hAnsiTheme="majorHAnsi"/>
          <w:i/>
          <w:iCs/>
          <w:sz w:val="20"/>
          <w:szCs w:val="20"/>
        </w:rPr>
        <w:t>"</w:t>
      </w:r>
    </w:p>
    <w:p w14:paraId="6D93E50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ПРОДУКТИ</w:t>
      </w:r>
      <w:r w:rsidRPr="000977F7">
        <w:rPr>
          <w:color w:val="auto"/>
          <w:spacing w:val="-2"/>
          <w:sz w:val="20"/>
          <w:szCs w:val="20"/>
        </w:rPr>
        <w:t xml:space="preserve"> </w:t>
      </w:r>
      <w:r w:rsidRPr="000977F7">
        <w:rPr>
          <w:color w:val="auto"/>
          <w:sz w:val="20"/>
          <w:szCs w:val="20"/>
        </w:rPr>
        <w:t>КОРОЗІЇ</w:t>
      </w:r>
      <w:r w:rsidRPr="000977F7">
        <w:rPr>
          <w:color w:val="auto"/>
          <w:spacing w:val="-1"/>
          <w:sz w:val="20"/>
          <w:szCs w:val="20"/>
        </w:rPr>
        <w:t xml:space="preserve"> </w:t>
      </w:r>
      <w:r w:rsidRPr="000977F7">
        <w:rPr>
          <w:color w:val="auto"/>
          <w:sz w:val="20"/>
          <w:szCs w:val="20"/>
        </w:rPr>
        <w:t>–</w:t>
      </w:r>
    </w:p>
    <w:p w14:paraId="5DC5E36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CORROSION</w:t>
      </w:r>
      <w:r w:rsidRPr="000977F7">
        <w:rPr>
          <w:rFonts w:asciiTheme="majorHAnsi" w:hAnsiTheme="majorHAnsi"/>
          <w:spacing w:val="-2"/>
          <w:sz w:val="20"/>
          <w:szCs w:val="20"/>
        </w:rPr>
        <w:t xml:space="preserve"> </w:t>
      </w:r>
      <w:r w:rsidRPr="000977F7">
        <w:rPr>
          <w:rFonts w:asciiTheme="majorHAnsi" w:hAnsiTheme="majorHAnsi"/>
          <w:sz w:val="20"/>
          <w:szCs w:val="20"/>
        </w:rPr>
        <w:t>PRODUCTS –</w:t>
      </w:r>
    </w:p>
    <w:p w14:paraId="0BB0F6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Хімічні сполуки, які утворюються через взаємодію</w:t>
      </w:r>
      <w:r w:rsidRPr="000977F7">
        <w:rPr>
          <w:rFonts w:asciiTheme="majorHAnsi" w:hAnsiTheme="majorHAnsi"/>
          <w:spacing w:val="-47"/>
          <w:sz w:val="20"/>
          <w:szCs w:val="20"/>
        </w:rPr>
        <w:t xml:space="preserve"> </w:t>
      </w:r>
      <w:r w:rsidRPr="000977F7">
        <w:rPr>
          <w:rFonts w:asciiTheme="majorHAnsi" w:hAnsiTheme="majorHAnsi"/>
          <w:sz w:val="20"/>
          <w:szCs w:val="20"/>
        </w:rPr>
        <w:t>металу</w:t>
      </w:r>
      <w:r w:rsidRPr="000977F7">
        <w:rPr>
          <w:rFonts w:asciiTheme="majorHAnsi" w:hAnsiTheme="majorHAnsi"/>
          <w:spacing w:val="-2"/>
          <w:sz w:val="20"/>
          <w:szCs w:val="20"/>
        </w:rPr>
        <w:t xml:space="preserve"> </w:t>
      </w:r>
      <w:r w:rsidRPr="000977F7">
        <w:rPr>
          <w:rFonts w:asciiTheme="majorHAnsi" w:hAnsiTheme="majorHAnsi"/>
          <w:sz w:val="20"/>
          <w:szCs w:val="20"/>
        </w:rPr>
        <w:t>та корозивного середовища</w:t>
      </w:r>
    </w:p>
    <w:p w14:paraId="1EDE129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487B3DA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ПРОДУКТИВНІСТЬ</w:t>
      </w:r>
      <w:r w:rsidRPr="000977F7">
        <w:rPr>
          <w:color w:val="auto"/>
          <w:spacing w:val="-6"/>
          <w:sz w:val="20"/>
          <w:szCs w:val="20"/>
        </w:rPr>
        <w:t xml:space="preserve"> </w:t>
      </w:r>
      <w:r w:rsidRPr="000977F7">
        <w:rPr>
          <w:color w:val="auto"/>
          <w:sz w:val="20"/>
          <w:szCs w:val="20"/>
        </w:rPr>
        <w:t>УСТАТКУВАННЯ</w:t>
      </w:r>
      <w:r w:rsidRPr="000977F7">
        <w:rPr>
          <w:color w:val="auto"/>
          <w:spacing w:val="-3"/>
          <w:sz w:val="20"/>
          <w:szCs w:val="20"/>
        </w:rPr>
        <w:t xml:space="preserve"> </w:t>
      </w:r>
      <w:r w:rsidRPr="000977F7">
        <w:rPr>
          <w:color w:val="auto"/>
          <w:sz w:val="20"/>
          <w:szCs w:val="20"/>
        </w:rPr>
        <w:t>–</w:t>
      </w:r>
    </w:p>
    <w:p w14:paraId="3AFA49D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Кількість</w:t>
      </w:r>
      <w:r w:rsidRPr="000977F7">
        <w:rPr>
          <w:rFonts w:asciiTheme="majorHAnsi" w:hAnsiTheme="majorHAnsi"/>
          <w:spacing w:val="9"/>
          <w:sz w:val="20"/>
          <w:szCs w:val="20"/>
        </w:rPr>
        <w:t xml:space="preserve"> </w:t>
      </w:r>
      <w:r w:rsidRPr="000977F7">
        <w:rPr>
          <w:rFonts w:asciiTheme="majorHAnsi" w:hAnsiTheme="majorHAnsi"/>
          <w:sz w:val="20"/>
          <w:szCs w:val="20"/>
        </w:rPr>
        <w:t>продукції.</w:t>
      </w:r>
      <w:r w:rsidRPr="000977F7">
        <w:rPr>
          <w:rFonts w:asciiTheme="majorHAnsi" w:hAnsiTheme="majorHAnsi"/>
          <w:spacing w:val="8"/>
          <w:sz w:val="20"/>
          <w:szCs w:val="20"/>
        </w:rPr>
        <w:t xml:space="preserve"> </w:t>
      </w:r>
      <w:r w:rsidRPr="000977F7">
        <w:rPr>
          <w:rFonts w:asciiTheme="majorHAnsi" w:hAnsiTheme="majorHAnsi"/>
          <w:sz w:val="20"/>
          <w:szCs w:val="20"/>
        </w:rPr>
        <w:t>що</w:t>
      </w:r>
      <w:r w:rsidRPr="000977F7">
        <w:rPr>
          <w:rFonts w:asciiTheme="majorHAnsi" w:hAnsiTheme="majorHAnsi"/>
          <w:spacing w:val="7"/>
          <w:sz w:val="20"/>
          <w:szCs w:val="20"/>
        </w:rPr>
        <w:t xml:space="preserve"> </w:t>
      </w:r>
      <w:r w:rsidRPr="000977F7">
        <w:rPr>
          <w:rFonts w:asciiTheme="majorHAnsi" w:hAnsiTheme="majorHAnsi"/>
          <w:sz w:val="20"/>
          <w:szCs w:val="20"/>
        </w:rPr>
        <w:t>виробляється</w:t>
      </w:r>
      <w:r w:rsidRPr="000977F7">
        <w:rPr>
          <w:rFonts w:asciiTheme="majorHAnsi" w:hAnsiTheme="majorHAnsi"/>
          <w:spacing w:val="7"/>
          <w:sz w:val="20"/>
          <w:szCs w:val="20"/>
        </w:rPr>
        <w:t xml:space="preserve"> </w:t>
      </w:r>
      <w:r w:rsidRPr="000977F7">
        <w:rPr>
          <w:rFonts w:asciiTheme="majorHAnsi" w:hAnsiTheme="majorHAnsi"/>
          <w:sz w:val="20"/>
          <w:szCs w:val="20"/>
        </w:rPr>
        <w:t>на</w:t>
      </w:r>
      <w:r w:rsidRPr="000977F7">
        <w:rPr>
          <w:rFonts w:asciiTheme="majorHAnsi" w:hAnsiTheme="majorHAnsi"/>
          <w:spacing w:val="9"/>
          <w:sz w:val="20"/>
          <w:szCs w:val="20"/>
        </w:rPr>
        <w:t xml:space="preserve"> </w:t>
      </w:r>
      <w:r w:rsidRPr="000977F7">
        <w:rPr>
          <w:rFonts w:asciiTheme="majorHAnsi" w:hAnsiTheme="majorHAnsi"/>
          <w:sz w:val="20"/>
          <w:szCs w:val="20"/>
        </w:rPr>
        <w:t>даному</w:t>
      </w:r>
      <w:r w:rsidRPr="000977F7">
        <w:rPr>
          <w:rFonts w:asciiTheme="majorHAnsi" w:hAnsiTheme="majorHAnsi"/>
          <w:spacing w:val="6"/>
          <w:sz w:val="20"/>
          <w:szCs w:val="20"/>
        </w:rPr>
        <w:t xml:space="preserve"> </w:t>
      </w:r>
      <w:r w:rsidRPr="000977F7">
        <w:rPr>
          <w:rFonts w:asciiTheme="majorHAnsi" w:hAnsiTheme="majorHAnsi"/>
          <w:sz w:val="20"/>
          <w:szCs w:val="20"/>
        </w:rPr>
        <w:t>устаткуванні</w:t>
      </w:r>
      <w:r w:rsidRPr="000977F7">
        <w:rPr>
          <w:rFonts w:asciiTheme="majorHAnsi" w:hAnsiTheme="majorHAnsi"/>
          <w:spacing w:val="-2"/>
          <w:sz w:val="20"/>
          <w:szCs w:val="20"/>
        </w:rPr>
        <w:t xml:space="preserve"> </w:t>
      </w:r>
      <w:r w:rsidRPr="000977F7">
        <w:rPr>
          <w:rFonts w:asciiTheme="majorHAnsi" w:hAnsiTheme="majorHAnsi"/>
          <w:sz w:val="20"/>
          <w:szCs w:val="20"/>
        </w:rPr>
        <w:t>за одиницю часу</w:t>
      </w:r>
    </w:p>
    <w:p w14:paraId="2EEF090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2960 – 94</w:t>
      </w:r>
    </w:p>
    <w:p w14:paraId="233A4888"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i/>
          <w:spacing w:val="-47"/>
          <w:sz w:val="20"/>
          <w:szCs w:val="20"/>
        </w:rPr>
        <w:t xml:space="preserve"> </w:t>
      </w:r>
      <w:r w:rsidRPr="000977F7">
        <w:rPr>
          <w:rFonts w:asciiTheme="majorHAnsi" w:hAnsiTheme="majorHAnsi"/>
          <w:b/>
          <w:spacing w:val="-1"/>
          <w:sz w:val="20"/>
          <w:szCs w:val="20"/>
        </w:rPr>
        <w:t xml:space="preserve">ПРОДУКЦІЯ </w:t>
      </w:r>
      <w:r w:rsidRPr="000977F7">
        <w:rPr>
          <w:rFonts w:asciiTheme="majorHAnsi" w:hAnsiTheme="majorHAnsi"/>
          <w:b/>
          <w:sz w:val="20"/>
          <w:szCs w:val="20"/>
        </w:rPr>
        <w:t>–</w:t>
      </w:r>
      <w:r w:rsidRPr="000977F7">
        <w:rPr>
          <w:rFonts w:asciiTheme="majorHAnsi" w:hAnsiTheme="majorHAnsi"/>
          <w:b/>
          <w:spacing w:val="-47"/>
          <w:sz w:val="20"/>
          <w:szCs w:val="20"/>
        </w:rPr>
        <w:t xml:space="preserve"> </w:t>
      </w:r>
    </w:p>
    <w:p w14:paraId="0DFD4DF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PRODUCT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9A4DE49"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Безпечна нехарчова продукція (далі продукція) будь-яка продукція, яка за звичайних або обґрунтовано передбачуваних умов використання (у тому числі щодо строку служби та за необхідності введення в експлуатацію вимог стосовно встановлення і технічного обслуговування) не становить жодного ризику чи становить лише мінімальні ризики, зумовлені використанням такої продукції, які вважаються прийнятними і не створюють загрози суспільним інтересам, з урахуванням:</w:t>
      </w:r>
    </w:p>
    <w:p w14:paraId="54F08364"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характеристик продукції, у тому числі її складу, упаковки, вимог щодо встановлення і технічного обслуговування;</w:t>
      </w:r>
    </w:p>
    <w:p w14:paraId="29ED6A3F"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впливу продукції на іншу продукцію, якщо вона буде використовуватися разом з нею;</w:t>
      </w:r>
    </w:p>
    <w:p w14:paraId="1411C157"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попереджень, що містяться на етикетці продукції, в інструкції з її використання та знищення, а також в іншій інформації стосовно продукції;</w:t>
      </w:r>
    </w:p>
    <w:p w14:paraId="0832E0E7"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застережень щодо споживання чи використання продукції певними категоріями населення (дітьми, вагітними жінками, людьми похилого віку тощо)</w:t>
      </w:r>
    </w:p>
    <w:p w14:paraId="22EABD89"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i/>
          <w:iCs/>
          <w:sz w:val="20"/>
          <w:szCs w:val="20"/>
        </w:rPr>
      </w:pPr>
      <w:bookmarkStart w:id="229" w:name="_Hlk105848425"/>
      <w:r w:rsidRPr="000977F7">
        <w:rPr>
          <w:rFonts w:asciiTheme="majorHAnsi" w:hAnsiTheme="majorHAnsi"/>
          <w:i/>
          <w:iCs/>
          <w:sz w:val="20"/>
          <w:szCs w:val="20"/>
        </w:rPr>
        <w:t xml:space="preserve">Ст. 1 закону </w:t>
      </w:r>
      <w:bookmarkEnd w:id="229"/>
      <w:r w:rsidRPr="000977F7">
        <w:rPr>
          <w:rFonts w:asciiTheme="majorHAnsi" w:hAnsiTheme="majorHAnsi"/>
          <w:i/>
          <w:iCs/>
          <w:sz w:val="20"/>
          <w:szCs w:val="20"/>
        </w:rPr>
        <w:t>України "Про загальну безпечність нехарчової продукції"</w:t>
      </w:r>
    </w:p>
    <w:p w14:paraId="2275EC6A"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Речовина, препарат або товар, виготовлений у ході виробничого процесу (крім послуг)</w:t>
      </w:r>
      <w:bookmarkStart w:id="230" w:name="_Hlk103186245"/>
    </w:p>
    <w:p w14:paraId="20FB6877"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Ст. 1 закону України "Про технічні регламенти та оцінку відповідності"</w:t>
      </w:r>
    </w:p>
    <w:p w14:paraId="67E35B6B"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Будь-які виріб (товар), робота чи послуга, що виготовляються, виконуються чи надаються для задоволення суспільних потреб</w:t>
      </w:r>
    </w:p>
    <w:p w14:paraId="18370EEF"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Ст. 1 закону України "Про захист прав споживачів"</w:t>
      </w:r>
    </w:p>
    <w:p w14:paraId="1344B25B"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Результат процесу</w:t>
      </w:r>
    </w:p>
    <w:p w14:paraId="4D7B0421"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ДСТУ EN ISO/IEC 17020:2019</w:t>
      </w:r>
    </w:p>
    <w:p w14:paraId="035A533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 1:</w:t>
      </w:r>
    </w:p>
    <w:p w14:paraId="3B37F831"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Чотири загальні категорії продукції визначені в ISO 9000:2005: послуги (наприклад, транспортуван-ня);програмні засоби (наприклад, комп'ютерна програма, словник); технічні засоби (наприклад, двигун, механічна деталь); перероблювані матеріали (наприклад, мастило). Багато видів продукції складається з елементів, що належать до різних загальних категорій продукції. Віднесення продукції до послуги, програмного засобу, технічного засобу або перероблюваного матеріалу залежить від головного елементу.</w:t>
      </w:r>
    </w:p>
    <w:p w14:paraId="6D3950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 2:</w:t>
      </w:r>
    </w:p>
    <w:p w14:paraId="4ABF3F42"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Продукція  включає результати природних процесів, таких як ріст рослин та формування інших природних ресурсів.</w:t>
      </w:r>
    </w:p>
    <w:p w14:paraId="25EA9B6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 3:</w:t>
      </w:r>
    </w:p>
    <w:p w14:paraId="34594CE9"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Адаптовано з ISO/IEC 17000:2004, визначення 3.3</w:t>
      </w:r>
    </w:p>
    <w:p w14:paraId="60E855D8"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ДСТУ EN ISO/IEC 17065:2019</w:t>
      </w:r>
    </w:p>
    <w:bookmarkEnd w:id="230"/>
    <w:p w14:paraId="4C32191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Вихід</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2"/>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2"/>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виготовлено</w:t>
      </w:r>
      <w:r w:rsidRPr="000977F7">
        <w:rPr>
          <w:rFonts w:asciiTheme="majorHAnsi" w:hAnsiTheme="majorHAnsi"/>
          <w:spacing w:val="3"/>
          <w:sz w:val="20"/>
          <w:szCs w:val="20"/>
        </w:rPr>
        <w:t xml:space="preserve"> </w:t>
      </w:r>
      <w:r w:rsidRPr="000977F7">
        <w:rPr>
          <w:rFonts w:asciiTheme="majorHAnsi" w:hAnsiTheme="majorHAnsi"/>
          <w:sz w:val="20"/>
          <w:szCs w:val="20"/>
        </w:rPr>
        <w:t>без</w:t>
      </w:r>
      <w:r w:rsidRPr="000977F7">
        <w:rPr>
          <w:rFonts w:asciiTheme="majorHAnsi" w:hAnsiTheme="majorHAnsi"/>
          <w:spacing w:val="-47"/>
          <w:sz w:val="20"/>
          <w:szCs w:val="20"/>
        </w:rPr>
        <w:t xml:space="preserve"> </w:t>
      </w:r>
      <w:r w:rsidRPr="000977F7">
        <w:rPr>
          <w:rFonts w:asciiTheme="majorHAnsi" w:hAnsiTheme="majorHAnsi"/>
          <w:sz w:val="20"/>
          <w:szCs w:val="20"/>
        </w:rPr>
        <w:t>будь-якої</w:t>
      </w:r>
      <w:r w:rsidRPr="000977F7">
        <w:rPr>
          <w:rFonts w:asciiTheme="majorHAnsi" w:hAnsiTheme="majorHAnsi"/>
          <w:spacing w:val="15"/>
          <w:sz w:val="20"/>
          <w:szCs w:val="20"/>
        </w:rPr>
        <w:t xml:space="preserve"> </w:t>
      </w:r>
      <w:r w:rsidRPr="000977F7">
        <w:rPr>
          <w:rFonts w:asciiTheme="majorHAnsi" w:hAnsiTheme="majorHAnsi"/>
          <w:sz w:val="20"/>
          <w:szCs w:val="20"/>
        </w:rPr>
        <w:t>ділової</w:t>
      </w:r>
      <w:r w:rsidRPr="000977F7">
        <w:rPr>
          <w:rFonts w:asciiTheme="majorHAnsi" w:hAnsiTheme="majorHAnsi"/>
          <w:spacing w:val="17"/>
          <w:sz w:val="20"/>
          <w:szCs w:val="20"/>
        </w:rPr>
        <w:t xml:space="preserve"> </w:t>
      </w:r>
      <w:r w:rsidRPr="000977F7">
        <w:rPr>
          <w:rFonts w:asciiTheme="majorHAnsi" w:hAnsiTheme="majorHAnsi"/>
          <w:sz w:val="20"/>
          <w:szCs w:val="20"/>
        </w:rPr>
        <w:t>угоди</w:t>
      </w:r>
      <w:r w:rsidRPr="000977F7">
        <w:rPr>
          <w:rFonts w:asciiTheme="majorHAnsi" w:hAnsiTheme="majorHAnsi"/>
          <w:spacing w:val="14"/>
          <w:sz w:val="20"/>
          <w:szCs w:val="20"/>
        </w:rPr>
        <w:t xml:space="preserve"> </w:t>
      </w:r>
      <w:r w:rsidRPr="000977F7">
        <w:rPr>
          <w:rFonts w:asciiTheme="majorHAnsi" w:hAnsiTheme="majorHAnsi"/>
          <w:sz w:val="20"/>
          <w:szCs w:val="20"/>
        </w:rPr>
        <w:t>між</w:t>
      </w:r>
      <w:r w:rsidRPr="000977F7">
        <w:rPr>
          <w:rFonts w:asciiTheme="majorHAnsi" w:hAnsiTheme="majorHAnsi"/>
          <w:spacing w:val="16"/>
          <w:sz w:val="20"/>
          <w:szCs w:val="20"/>
        </w:rPr>
        <w:t xml:space="preserve"> </w:t>
      </w:r>
      <w:r w:rsidRPr="000977F7">
        <w:rPr>
          <w:rFonts w:asciiTheme="majorHAnsi" w:hAnsiTheme="majorHAnsi"/>
          <w:sz w:val="20"/>
          <w:szCs w:val="20"/>
        </w:rPr>
        <w:t>організацією</w:t>
      </w:r>
      <w:r w:rsidRPr="000977F7">
        <w:rPr>
          <w:rFonts w:asciiTheme="majorHAnsi" w:hAnsiTheme="majorHAnsi"/>
          <w:spacing w:val="18"/>
          <w:sz w:val="20"/>
          <w:szCs w:val="20"/>
        </w:rPr>
        <w:t xml:space="preserve"> </w:t>
      </w:r>
      <w:r w:rsidRPr="000977F7">
        <w:rPr>
          <w:rFonts w:asciiTheme="majorHAnsi" w:hAnsiTheme="majorHAnsi"/>
          <w:sz w:val="20"/>
          <w:szCs w:val="20"/>
        </w:rPr>
        <w:t>та</w:t>
      </w:r>
      <w:r w:rsidRPr="000977F7">
        <w:rPr>
          <w:rFonts w:asciiTheme="majorHAnsi" w:hAnsiTheme="majorHAnsi"/>
          <w:spacing w:val="16"/>
          <w:sz w:val="20"/>
          <w:szCs w:val="20"/>
        </w:rPr>
        <w:t xml:space="preserve"> </w:t>
      </w:r>
      <w:r w:rsidRPr="000977F7">
        <w:rPr>
          <w:rFonts w:asciiTheme="majorHAnsi" w:hAnsiTheme="majorHAnsi"/>
          <w:sz w:val="20"/>
          <w:szCs w:val="20"/>
        </w:rPr>
        <w:t>замовником</w:t>
      </w:r>
    </w:p>
    <w:p w14:paraId="38F91DC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Примітка 1. Виробництво продукції здійснюють без</w:t>
      </w:r>
      <w:r w:rsidRPr="000977F7">
        <w:rPr>
          <w:rFonts w:asciiTheme="majorHAnsi" w:hAnsiTheme="majorHAnsi"/>
          <w:spacing w:val="1"/>
          <w:sz w:val="20"/>
          <w:szCs w:val="20"/>
        </w:rPr>
        <w:t xml:space="preserve"> </w:t>
      </w:r>
      <w:r w:rsidRPr="000977F7">
        <w:rPr>
          <w:rFonts w:asciiTheme="majorHAnsi" w:hAnsiTheme="majorHAnsi"/>
          <w:sz w:val="20"/>
          <w:szCs w:val="20"/>
        </w:rPr>
        <w:t>того,</w:t>
      </w:r>
      <w:r w:rsidRPr="000977F7">
        <w:rPr>
          <w:rFonts w:asciiTheme="majorHAnsi" w:hAnsiTheme="majorHAnsi"/>
          <w:spacing w:val="1"/>
          <w:sz w:val="20"/>
          <w:szCs w:val="20"/>
        </w:rPr>
        <w:t xml:space="preserve"> </w:t>
      </w:r>
      <w:r w:rsidRPr="000977F7">
        <w:rPr>
          <w:rFonts w:asciiTheme="majorHAnsi" w:hAnsiTheme="majorHAnsi"/>
          <w:sz w:val="20"/>
          <w:szCs w:val="20"/>
        </w:rPr>
        <w:t>щоб</w:t>
      </w:r>
      <w:r w:rsidRPr="000977F7">
        <w:rPr>
          <w:rFonts w:asciiTheme="majorHAnsi" w:hAnsiTheme="majorHAnsi"/>
          <w:spacing w:val="1"/>
          <w:sz w:val="20"/>
          <w:szCs w:val="20"/>
        </w:rPr>
        <w:t xml:space="preserve"> </w:t>
      </w:r>
      <w:r w:rsidRPr="000977F7">
        <w:rPr>
          <w:rFonts w:asciiTheme="majorHAnsi" w:hAnsiTheme="majorHAnsi"/>
          <w:sz w:val="20"/>
          <w:szCs w:val="20"/>
        </w:rPr>
        <w:t>між</w:t>
      </w:r>
      <w:r w:rsidRPr="000977F7">
        <w:rPr>
          <w:rFonts w:asciiTheme="majorHAnsi" w:hAnsiTheme="majorHAnsi"/>
          <w:spacing w:val="1"/>
          <w:sz w:val="20"/>
          <w:szCs w:val="20"/>
        </w:rPr>
        <w:t xml:space="preserve"> </w:t>
      </w:r>
      <w:r w:rsidRPr="000977F7">
        <w:rPr>
          <w:rFonts w:asciiTheme="majorHAnsi" w:hAnsiTheme="majorHAnsi"/>
          <w:sz w:val="20"/>
          <w:szCs w:val="20"/>
        </w:rPr>
        <w:t>постачальником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замовником</w:t>
      </w:r>
      <w:r w:rsidRPr="000977F7">
        <w:rPr>
          <w:rFonts w:asciiTheme="majorHAnsi" w:hAnsiTheme="majorHAnsi"/>
          <w:spacing w:val="1"/>
          <w:sz w:val="20"/>
          <w:szCs w:val="20"/>
        </w:rPr>
        <w:t xml:space="preserve"> </w:t>
      </w:r>
      <w:r w:rsidRPr="000977F7">
        <w:rPr>
          <w:rFonts w:asciiTheme="majorHAnsi" w:hAnsiTheme="majorHAnsi"/>
          <w:sz w:val="20"/>
          <w:szCs w:val="20"/>
        </w:rPr>
        <w:t>обов’язково мала місце якась ділова угода, але може</w:t>
      </w:r>
      <w:r w:rsidRPr="000977F7">
        <w:rPr>
          <w:rFonts w:asciiTheme="majorHAnsi" w:hAnsiTheme="majorHAnsi"/>
          <w:spacing w:val="1"/>
          <w:sz w:val="20"/>
          <w:szCs w:val="20"/>
        </w:rPr>
        <w:t xml:space="preserve"> </w:t>
      </w:r>
      <w:r w:rsidRPr="000977F7">
        <w:rPr>
          <w:rFonts w:asciiTheme="majorHAnsi" w:hAnsiTheme="majorHAnsi"/>
          <w:sz w:val="20"/>
          <w:szCs w:val="20"/>
        </w:rPr>
        <w:t>часто передбачити цей елемент послуги під час постачання</w:t>
      </w:r>
      <w:r w:rsidRPr="000977F7">
        <w:rPr>
          <w:rFonts w:asciiTheme="majorHAnsi" w:hAnsiTheme="majorHAnsi"/>
          <w:spacing w:val="-1"/>
          <w:sz w:val="20"/>
          <w:szCs w:val="20"/>
        </w:rPr>
        <w:t xml:space="preserve"> </w:t>
      </w:r>
      <w:r w:rsidRPr="000977F7">
        <w:rPr>
          <w:rFonts w:asciiTheme="majorHAnsi" w:hAnsiTheme="majorHAnsi"/>
          <w:sz w:val="20"/>
          <w:szCs w:val="20"/>
        </w:rPr>
        <w:t>останньої замовнику.</w:t>
      </w:r>
    </w:p>
    <w:p w14:paraId="47F7813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2. Домінантним елементом продукції є те,</w:t>
      </w:r>
      <w:r w:rsidRPr="000977F7">
        <w:rPr>
          <w:rFonts w:asciiTheme="majorHAnsi" w:hAnsiTheme="majorHAnsi"/>
          <w:spacing w:val="1"/>
          <w:sz w:val="20"/>
          <w:szCs w:val="20"/>
        </w:rPr>
        <w:t xml:space="preserve"> </w:t>
      </w:r>
      <w:r w:rsidRPr="000977F7">
        <w:rPr>
          <w:rFonts w:asciiTheme="majorHAnsi" w:hAnsiTheme="majorHAnsi"/>
          <w:sz w:val="20"/>
          <w:szCs w:val="20"/>
        </w:rPr>
        <w:t>що вона,</w:t>
      </w:r>
      <w:r w:rsidRPr="000977F7">
        <w:rPr>
          <w:rFonts w:asciiTheme="majorHAnsi" w:hAnsiTheme="majorHAnsi"/>
          <w:spacing w:val="1"/>
          <w:sz w:val="20"/>
          <w:szCs w:val="20"/>
        </w:rPr>
        <w:t xml:space="preserve"> </w:t>
      </w:r>
      <w:r w:rsidRPr="000977F7">
        <w:rPr>
          <w:rFonts w:asciiTheme="majorHAnsi" w:hAnsiTheme="majorHAnsi"/>
          <w:sz w:val="20"/>
          <w:szCs w:val="20"/>
        </w:rPr>
        <w:t>зазвичай, матеріальна.</w:t>
      </w:r>
    </w:p>
    <w:p w14:paraId="7D2581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3. Технічні засоби матеріальні та їхня кількість</w:t>
      </w:r>
      <w:r w:rsidRPr="000977F7">
        <w:rPr>
          <w:rFonts w:asciiTheme="majorHAnsi" w:hAnsiTheme="majorHAnsi"/>
          <w:spacing w:val="1"/>
          <w:sz w:val="20"/>
          <w:szCs w:val="20"/>
        </w:rPr>
        <w:t xml:space="preserve"> </w:t>
      </w:r>
      <w:r w:rsidRPr="000977F7">
        <w:rPr>
          <w:rFonts w:asciiTheme="majorHAnsi" w:hAnsiTheme="majorHAnsi"/>
          <w:sz w:val="20"/>
          <w:szCs w:val="20"/>
        </w:rPr>
        <w:t>становить</w:t>
      </w:r>
      <w:r w:rsidRPr="000977F7">
        <w:rPr>
          <w:rFonts w:asciiTheme="majorHAnsi" w:hAnsiTheme="majorHAnsi"/>
          <w:spacing w:val="1"/>
          <w:sz w:val="20"/>
          <w:szCs w:val="20"/>
        </w:rPr>
        <w:t xml:space="preserve"> </w:t>
      </w:r>
      <w:r w:rsidRPr="000977F7">
        <w:rPr>
          <w:rFonts w:asciiTheme="majorHAnsi" w:hAnsiTheme="majorHAnsi"/>
          <w:sz w:val="20"/>
          <w:szCs w:val="20"/>
        </w:rPr>
        <w:t>обчислювальну</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характеристику</w:t>
      </w:r>
      <w:r w:rsidRPr="000977F7">
        <w:rPr>
          <w:rFonts w:asciiTheme="majorHAnsi" w:hAnsiTheme="majorHAnsi"/>
          <w:spacing w:val="1"/>
          <w:sz w:val="20"/>
          <w:szCs w:val="20"/>
        </w:rPr>
        <w:t xml:space="preserve"> </w:t>
      </w:r>
      <w:r w:rsidRPr="000977F7">
        <w:rPr>
          <w:rFonts w:asciiTheme="majorHAnsi" w:hAnsiTheme="majorHAnsi"/>
          <w:sz w:val="20"/>
          <w:szCs w:val="20"/>
        </w:rPr>
        <w:t>(наприклад, шини). Перероблені матеріали матеріальні, і</w:t>
      </w:r>
      <w:r w:rsidRPr="000977F7">
        <w:rPr>
          <w:rFonts w:asciiTheme="majorHAnsi" w:hAnsiTheme="majorHAnsi"/>
          <w:spacing w:val="1"/>
          <w:sz w:val="20"/>
          <w:szCs w:val="20"/>
        </w:rPr>
        <w:t xml:space="preserve"> </w:t>
      </w:r>
      <w:r w:rsidRPr="000977F7">
        <w:rPr>
          <w:rFonts w:asciiTheme="majorHAnsi" w:hAnsiTheme="majorHAnsi"/>
          <w:sz w:val="20"/>
          <w:szCs w:val="20"/>
        </w:rPr>
        <w:t>їхня кількість становить</w:t>
      </w:r>
      <w:r w:rsidRPr="000977F7">
        <w:rPr>
          <w:rFonts w:asciiTheme="majorHAnsi" w:hAnsiTheme="majorHAnsi"/>
          <w:spacing w:val="1"/>
          <w:sz w:val="20"/>
          <w:szCs w:val="20"/>
        </w:rPr>
        <w:t xml:space="preserve"> </w:t>
      </w:r>
      <w:r w:rsidRPr="000977F7">
        <w:rPr>
          <w:rFonts w:asciiTheme="majorHAnsi" w:hAnsiTheme="majorHAnsi"/>
          <w:sz w:val="20"/>
          <w:szCs w:val="20"/>
        </w:rPr>
        <w:t>безперервну характеристику</w:t>
      </w:r>
      <w:r w:rsidRPr="000977F7">
        <w:rPr>
          <w:rFonts w:asciiTheme="majorHAnsi" w:hAnsiTheme="majorHAnsi"/>
          <w:spacing w:val="1"/>
          <w:sz w:val="20"/>
          <w:szCs w:val="20"/>
        </w:rPr>
        <w:t xml:space="preserve"> </w:t>
      </w:r>
      <w:r w:rsidRPr="000977F7">
        <w:rPr>
          <w:rFonts w:asciiTheme="majorHAnsi" w:hAnsiTheme="majorHAnsi"/>
          <w:sz w:val="20"/>
          <w:szCs w:val="20"/>
        </w:rPr>
        <w:t>(наприклад, паливо та безалкогольні напої). Технічні</w:t>
      </w:r>
      <w:r w:rsidRPr="000977F7">
        <w:rPr>
          <w:rFonts w:asciiTheme="majorHAnsi" w:hAnsiTheme="majorHAnsi"/>
          <w:spacing w:val="1"/>
          <w:sz w:val="20"/>
          <w:szCs w:val="20"/>
        </w:rPr>
        <w:t xml:space="preserve"> </w:t>
      </w:r>
      <w:r w:rsidRPr="000977F7">
        <w:rPr>
          <w:rFonts w:asciiTheme="majorHAnsi" w:hAnsiTheme="majorHAnsi"/>
          <w:sz w:val="20"/>
          <w:szCs w:val="20"/>
        </w:rPr>
        <w:t>засоби та перероблені матеріали часто називають товаром. Інтелектуальна продукція складається з інформації незалежно від її носія (наприклад, комп’ютерна</w:t>
      </w:r>
      <w:r w:rsidRPr="000977F7">
        <w:rPr>
          <w:rFonts w:asciiTheme="majorHAnsi" w:hAnsiTheme="majorHAnsi"/>
          <w:spacing w:val="1"/>
          <w:sz w:val="20"/>
          <w:szCs w:val="20"/>
        </w:rPr>
        <w:t xml:space="preserve"> </w:t>
      </w:r>
      <w:r w:rsidRPr="000977F7">
        <w:rPr>
          <w:rFonts w:asciiTheme="majorHAnsi" w:hAnsiTheme="majorHAnsi"/>
          <w:sz w:val="20"/>
          <w:szCs w:val="20"/>
        </w:rPr>
        <w:t>програма, застосована програма до мобільного телефону, інструкція з експлуатації, уміст словників, музична композиція з авторським правом на неї, водійські</w:t>
      </w:r>
      <w:r w:rsidRPr="000977F7">
        <w:rPr>
          <w:rFonts w:asciiTheme="majorHAnsi" w:hAnsiTheme="majorHAnsi"/>
          <w:spacing w:val="-1"/>
          <w:sz w:val="20"/>
          <w:szCs w:val="20"/>
        </w:rPr>
        <w:t xml:space="preserve"> </w:t>
      </w:r>
      <w:r w:rsidRPr="000977F7">
        <w:rPr>
          <w:rFonts w:asciiTheme="majorHAnsi" w:hAnsiTheme="majorHAnsi"/>
          <w:sz w:val="20"/>
          <w:szCs w:val="20"/>
        </w:rPr>
        <w:t>права)</w:t>
      </w:r>
    </w:p>
    <w:p w14:paraId="22E73B1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1BD29E6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Результат процесу</w:t>
      </w:r>
      <w:r w:rsidRPr="000977F7">
        <w:rPr>
          <w:rFonts w:asciiTheme="majorHAnsi" w:hAnsiTheme="majorHAnsi"/>
          <w:spacing w:val="-47"/>
          <w:sz w:val="20"/>
          <w:szCs w:val="20"/>
        </w:rPr>
        <w:t xml:space="preserve">               </w:t>
      </w:r>
      <w:r w:rsidRPr="000977F7">
        <w:rPr>
          <w:rFonts w:asciiTheme="majorHAnsi" w:hAnsiTheme="majorHAnsi"/>
          <w:sz w:val="20"/>
          <w:szCs w:val="20"/>
        </w:rPr>
        <w:t>ISO 9000</w:t>
      </w:r>
    </w:p>
    <w:p w14:paraId="7A1470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D2C9B1D" w14:textId="77777777" w:rsidR="0097612F" w:rsidRPr="000977F7" w:rsidRDefault="0097612F" w:rsidP="000977F7">
      <w:pPr>
        <w:pStyle w:val="af6"/>
        <w:tabs>
          <w:tab w:val="left" w:pos="284"/>
          <w:tab w:val="left" w:pos="1490"/>
          <w:tab w:val="left" w:pos="1555"/>
          <w:tab w:val="left" w:pos="2042"/>
          <w:tab w:val="left" w:pos="2426"/>
          <w:tab w:val="left" w:pos="3062"/>
          <w:tab w:val="left" w:pos="3227"/>
          <w:tab w:val="left" w:pos="3494"/>
          <w:tab w:val="left" w:pos="4271"/>
          <w:tab w:val="left" w:pos="447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ISO</w:t>
      </w:r>
      <w:r w:rsidRPr="000977F7">
        <w:rPr>
          <w:rFonts w:asciiTheme="majorHAnsi" w:hAnsiTheme="majorHAnsi"/>
          <w:spacing w:val="1"/>
          <w:sz w:val="20"/>
          <w:szCs w:val="20"/>
        </w:rPr>
        <w:t xml:space="preserve"> </w:t>
      </w:r>
      <w:r w:rsidRPr="000977F7">
        <w:rPr>
          <w:rFonts w:asciiTheme="majorHAnsi" w:hAnsiTheme="majorHAnsi"/>
          <w:sz w:val="20"/>
          <w:szCs w:val="20"/>
        </w:rPr>
        <w:t>9000</w:t>
      </w:r>
      <w:r w:rsidRPr="000977F7">
        <w:rPr>
          <w:rFonts w:asciiTheme="majorHAnsi" w:hAnsiTheme="majorHAnsi"/>
          <w:spacing w:val="1"/>
          <w:sz w:val="20"/>
          <w:szCs w:val="20"/>
        </w:rPr>
        <w:t xml:space="preserve"> </w:t>
      </w:r>
      <w:r w:rsidRPr="000977F7">
        <w:rPr>
          <w:rFonts w:asciiTheme="majorHAnsi" w:hAnsiTheme="majorHAnsi"/>
          <w:sz w:val="20"/>
          <w:szCs w:val="20"/>
        </w:rPr>
        <w:t>розглядають</w:t>
      </w:r>
      <w:r w:rsidRPr="000977F7">
        <w:rPr>
          <w:rFonts w:asciiTheme="majorHAnsi" w:hAnsiTheme="majorHAnsi"/>
          <w:spacing w:val="1"/>
          <w:sz w:val="20"/>
          <w:szCs w:val="20"/>
        </w:rPr>
        <w:t xml:space="preserve"> </w:t>
      </w:r>
      <w:r w:rsidRPr="000977F7">
        <w:rPr>
          <w:rFonts w:asciiTheme="majorHAnsi" w:hAnsiTheme="majorHAnsi"/>
          <w:sz w:val="20"/>
          <w:szCs w:val="20"/>
        </w:rPr>
        <w:t>чотири</w:t>
      </w:r>
      <w:r w:rsidRPr="000977F7">
        <w:rPr>
          <w:rFonts w:asciiTheme="majorHAnsi" w:hAnsiTheme="majorHAnsi"/>
          <w:spacing w:val="1"/>
          <w:sz w:val="20"/>
          <w:szCs w:val="20"/>
        </w:rPr>
        <w:t xml:space="preserve"> </w:t>
      </w:r>
      <w:r w:rsidRPr="000977F7">
        <w:rPr>
          <w:rFonts w:asciiTheme="majorHAnsi" w:hAnsiTheme="majorHAnsi"/>
          <w:sz w:val="20"/>
          <w:szCs w:val="20"/>
        </w:rPr>
        <w:t>загальні</w:t>
      </w:r>
      <w:r w:rsidRPr="000977F7">
        <w:rPr>
          <w:rFonts w:asciiTheme="majorHAnsi" w:hAnsiTheme="majorHAnsi"/>
          <w:spacing w:val="1"/>
          <w:sz w:val="20"/>
          <w:szCs w:val="20"/>
        </w:rPr>
        <w:t xml:space="preserve"> </w:t>
      </w:r>
      <w:r w:rsidRPr="000977F7">
        <w:rPr>
          <w:rFonts w:asciiTheme="majorHAnsi" w:hAnsiTheme="majorHAnsi"/>
          <w:sz w:val="20"/>
          <w:szCs w:val="20"/>
        </w:rPr>
        <w:t>категорії</w:t>
      </w:r>
      <w:r w:rsidRPr="000977F7">
        <w:rPr>
          <w:rFonts w:asciiTheme="majorHAnsi" w:hAnsiTheme="majorHAnsi"/>
          <w:spacing w:val="-47"/>
          <w:sz w:val="20"/>
          <w:szCs w:val="20"/>
        </w:rPr>
        <w:t xml:space="preserve"> </w:t>
      </w:r>
      <w:r w:rsidRPr="000977F7">
        <w:rPr>
          <w:rFonts w:asciiTheme="majorHAnsi" w:hAnsiTheme="majorHAnsi"/>
          <w:sz w:val="20"/>
          <w:szCs w:val="20"/>
        </w:rPr>
        <w:t>продукції:</w:t>
      </w:r>
      <w:r w:rsidRPr="000977F7">
        <w:rPr>
          <w:rFonts w:asciiTheme="majorHAnsi" w:hAnsiTheme="majorHAnsi"/>
          <w:spacing w:val="18"/>
          <w:sz w:val="20"/>
          <w:szCs w:val="20"/>
        </w:rPr>
        <w:t xml:space="preserve"> </w:t>
      </w:r>
      <w:r w:rsidRPr="000977F7">
        <w:rPr>
          <w:rFonts w:asciiTheme="majorHAnsi" w:hAnsiTheme="majorHAnsi"/>
          <w:sz w:val="20"/>
          <w:szCs w:val="20"/>
        </w:rPr>
        <w:t>послуги</w:t>
      </w:r>
      <w:r w:rsidRPr="000977F7">
        <w:rPr>
          <w:rFonts w:asciiTheme="majorHAnsi" w:hAnsiTheme="majorHAnsi"/>
          <w:spacing w:val="18"/>
          <w:sz w:val="20"/>
          <w:szCs w:val="20"/>
        </w:rPr>
        <w:t xml:space="preserve"> </w:t>
      </w:r>
      <w:r w:rsidRPr="000977F7">
        <w:rPr>
          <w:rFonts w:asciiTheme="majorHAnsi" w:hAnsiTheme="majorHAnsi"/>
          <w:sz w:val="20"/>
          <w:szCs w:val="20"/>
        </w:rPr>
        <w:t>(наприклад,</w:t>
      </w:r>
      <w:r w:rsidRPr="000977F7">
        <w:rPr>
          <w:rFonts w:asciiTheme="majorHAnsi" w:hAnsiTheme="majorHAnsi"/>
          <w:spacing w:val="19"/>
          <w:sz w:val="20"/>
          <w:szCs w:val="20"/>
        </w:rPr>
        <w:t xml:space="preserve"> </w:t>
      </w:r>
      <w:r w:rsidRPr="000977F7">
        <w:rPr>
          <w:rFonts w:asciiTheme="majorHAnsi" w:hAnsiTheme="majorHAnsi"/>
          <w:sz w:val="20"/>
          <w:szCs w:val="20"/>
        </w:rPr>
        <w:t>транспортування);</w:t>
      </w:r>
      <w:r w:rsidRPr="000977F7">
        <w:rPr>
          <w:rFonts w:asciiTheme="majorHAnsi" w:hAnsiTheme="majorHAnsi"/>
          <w:spacing w:val="-47"/>
          <w:sz w:val="20"/>
          <w:szCs w:val="20"/>
        </w:rPr>
        <w:t xml:space="preserve"> </w:t>
      </w:r>
      <w:r w:rsidRPr="000977F7">
        <w:rPr>
          <w:rFonts w:asciiTheme="majorHAnsi" w:hAnsiTheme="majorHAnsi"/>
          <w:sz w:val="20"/>
          <w:szCs w:val="20"/>
        </w:rPr>
        <w:t>програмні</w:t>
      </w:r>
      <w:r w:rsidRPr="000977F7">
        <w:rPr>
          <w:rFonts w:asciiTheme="majorHAnsi" w:hAnsiTheme="majorHAnsi"/>
          <w:spacing w:val="6"/>
          <w:sz w:val="20"/>
          <w:szCs w:val="20"/>
        </w:rPr>
        <w:t xml:space="preserve"> </w:t>
      </w:r>
      <w:r w:rsidRPr="000977F7">
        <w:rPr>
          <w:rFonts w:asciiTheme="majorHAnsi" w:hAnsiTheme="majorHAnsi"/>
          <w:sz w:val="20"/>
          <w:szCs w:val="20"/>
        </w:rPr>
        <w:t>засоби</w:t>
      </w:r>
      <w:r w:rsidRPr="000977F7">
        <w:rPr>
          <w:rFonts w:asciiTheme="majorHAnsi" w:hAnsiTheme="majorHAnsi"/>
          <w:spacing w:val="4"/>
          <w:sz w:val="20"/>
          <w:szCs w:val="20"/>
        </w:rPr>
        <w:t xml:space="preserve"> </w:t>
      </w:r>
      <w:r w:rsidRPr="000977F7">
        <w:rPr>
          <w:rFonts w:asciiTheme="majorHAnsi" w:hAnsiTheme="majorHAnsi"/>
          <w:sz w:val="20"/>
          <w:szCs w:val="20"/>
        </w:rPr>
        <w:t>(наприклад,</w:t>
      </w:r>
      <w:r w:rsidRPr="000977F7">
        <w:rPr>
          <w:rFonts w:asciiTheme="majorHAnsi" w:hAnsiTheme="majorHAnsi"/>
          <w:spacing w:val="6"/>
          <w:sz w:val="20"/>
          <w:szCs w:val="20"/>
        </w:rPr>
        <w:t xml:space="preserve"> </w:t>
      </w:r>
      <w:r w:rsidRPr="000977F7">
        <w:rPr>
          <w:rFonts w:asciiTheme="majorHAnsi" w:hAnsiTheme="majorHAnsi"/>
          <w:sz w:val="20"/>
          <w:szCs w:val="20"/>
        </w:rPr>
        <w:t>комп’ютерна</w:t>
      </w:r>
      <w:r w:rsidRPr="000977F7">
        <w:rPr>
          <w:rFonts w:asciiTheme="majorHAnsi" w:hAnsiTheme="majorHAnsi"/>
          <w:spacing w:val="9"/>
          <w:sz w:val="20"/>
          <w:szCs w:val="20"/>
        </w:rPr>
        <w:t xml:space="preserve"> </w:t>
      </w:r>
      <w:r w:rsidRPr="000977F7">
        <w:rPr>
          <w:rFonts w:asciiTheme="majorHAnsi" w:hAnsiTheme="majorHAnsi"/>
          <w:sz w:val="20"/>
          <w:szCs w:val="20"/>
        </w:rPr>
        <w:t>програма,</w:t>
      </w:r>
      <w:r w:rsidRPr="000977F7">
        <w:rPr>
          <w:rFonts w:asciiTheme="majorHAnsi" w:hAnsiTheme="majorHAnsi"/>
          <w:spacing w:val="-47"/>
          <w:sz w:val="20"/>
          <w:szCs w:val="20"/>
        </w:rPr>
        <w:t xml:space="preserve"> </w:t>
      </w:r>
      <w:r w:rsidRPr="000977F7">
        <w:rPr>
          <w:rFonts w:asciiTheme="majorHAnsi" w:hAnsiTheme="majorHAnsi"/>
          <w:sz w:val="20"/>
          <w:szCs w:val="20"/>
        </w:rPr>
        <w:t>словник); технічні засоби (наприклад, двигун,</w:t>
      </w:r>
      <w:r w:rsidRPr="000977F7">
        <w:rPr>
          <w:rFonts w:asciiTheme="majorHAnsi" w:hAnsiTheme="majorHAnsi"/>
          <w:spacing w:val="-47"/>
          <w:sz w:val="20"/>
          <w:szCs w:val="20"/>
        </w:rPr>
        <w:t xml:space="preserve"> </w:t>
      </w:r>
      <w:r w:rsidRPr="000977F7">
        <w:rPr>
          <w:rFonts w:asciiTheme="majorHAnsi" w:hAnsiTheme="majorHAnsi"/>
          <w:sz w:val="20"/>
          <w:szCs w:val="20"/>
        </w:rPr>
        <w:t>механічна</w:t>
      </w:r>
      <w:r w:rsidRPr="000977F7">
        <w:rPr>
          <w:rFonts w:asciiTheme="majorHAnsi" w:hAnsiTheme="majorHAnsi"/>
          <w:spacing w:val="13"/>
          <w:sz w:val="20"/>
          <w:szCs w:val="20"/>
        </w:rPr>
        <w:t xml:space="preserve"> </w:t>
      </w:r>
      <w:r w:rsidRPr="000977F7">
        <w:rPr>
          <w:rFonts w:asciiTheme="majorHAnsi" w:hAnsiTheme="majorHAnsi"/>
          <w:sz w:val="20"/>
          <w:szCs w:val="20"/>
        </w:rPr>
        <w:t>деталь);</w:t>
      </w:r>
      <w:r w:rsidRPr="000977F7">
        <w:rPr>
          <w:rFonts w:asciiTheme="majorHAnsi" w:hAnsiTheme="majorHAnsi"/>
          <w:spacing w:val="15"/>
          <w:sz w:val="20"/>
          <w:szCs w:val="20"/>
        </w:rPr>
        <w:t xml:space="preserve"> </w:t>
      </w:r>
      <w:r w:rsidRPr="000977F7">
        <w:rPr>
          <w:rFonts w:asciiTheme="majorHAnsi" w:hAnsiTheme="majorHAnsi"/>
          <w:sz w:val="20"/>
          <w:szCs w:val="20"/>
        </w:rPr>
        <w:t>перероблювані</w:t>
      </w:r>
      <w:r w:rsidRPr="000977F7">
        <w:rPr>
          <w:rFonts w:asciiTheme="majorHAnsi" w:hAnsiTheme="majorHAnsi"/>
          <w:spacing w:val="13"/>
          <w:sz w:val="20"/>
          <w:szCs w:val="20"/>
        </w:rPr>
        <w:t xml:space="preserve"> </w:t>
      </w:r>
      <w:r w:rsidRPr="000977F7">
        <w:rPr>
          <w:rFonts w:asciiTheme="majorHAnsi" w:hAnsiTheme="majorHAnsi"/>
          <w:sz w:val="20"/>
          <w:szCs w:val="20"/>
        </w:rPr>
        <w:t>матеріали</w:t>
      </w:r>
      <w:r w:rsidRPr="000977F7">
        <w:rPr>
          <w:rFonts w:asciiTheme="majorHAnsi" w:hAnsiTheme="majorHAnsi"/>
          <w:spacing w:val="12"/>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мастила).</w:t>
      </w:r>
      <w:r w:rsidRPr="000977F7">
        <w:rPr>
          <w:rFonts w:asciiTheme="majorHAnsi" w:hAnsiTheme="majorHAnsi"/>
          <w:spacing w:val="1"/>
          <w:sz w:val="20"/>
          <w:szCs w:val="20"/>
        </w:rPr>
        <w:t xml:space="preserve"> </w:t>
      </w:r>
      <w:r w:rsidRPr="000977F7">
        <w:rPr>
          <w:rFonts w:asciiTheme="majorHAnsi" w:hAnsiTheme="majorHAnsi"/>
          <w:sz w:val="20"/>
          <w:szCs w:val="20"/>
        </w:rPr>
        <w:t>Багато</w:t>
      </w:r>
      <w:r w:rsidRPr="000977F7">
        <w:rPr>
          <w:rFonts w:asciiTheme="majorHAnsi" w:hAnsiTheme="majorHAnsi"/>
          <w:spacing w:val="1"/>
          <w:sz w:val="20"/>
          <w:szCs w:val="20"/>
        </w:rPr>
        <w:t xml:space="preserve"> </w:t>
      </w:r>
      <w:r w:rsidRPr="000977F7">
        <w:rPr>
          <w:rFonts w:asciiTheme="majorHAnsi" w:hAnsiTheme="majorHAnsi"/>
          <w:sz w:val="20"/>
          <w:szCs w:val="20"/>
        </w:rPr>
        <w:t>видів</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складається</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47"/>
          <w:sz w:val="20"/>
          <w:szCs w:val="20"/>
        </w:rPr>
        <w:t xml:space="preserve"> </w:t>
      </w:r>
      <w:r w:rsidRPr="000977F7">
        <w:rPr>
          <w:rFonts w:asciiTheme="majorHAnsi" w:hAnsiTheme="majorHAnsi"/>
          <w:sz w:val="20"/>
          <w:szCs w:val="20"/>
        </w:rPr>
        <w:t>елементів, що належать до різних</w:t>
      </w:r>
      <w:r w:rsidRPr="000977F7">
        <w:rPr>
          <w:rFonts w:asciiTheme="majorHAnsi" w:hAnsiTheme="majorHAnsi"/>
          <w:sz w:val="20"/>
          <w:szCs w:val="20"/>
        </w:rPr>
        <w:tab/>
        <w:t>загальних</w:t>
      </w:r>
      <w:r w:rsidRPr="000977F7">
        <w:rPr>
          <w:rFonts w:asciiTheme="majorHAnsi" w:hAnsiTheme="majorHAnsi"/>
          <w:spacing w:val="-47"/>
          <w:sz w:val="20"/>
          <w:szCs w:val="20"/>
        </w:rPr>
        <w:t xml:space="preserve"> </w:t>
      </w:r>
      <w:r w:rsidRPr="000977F7">
        <w:rPr>
          <w:rFonts w:asciiTheme="majorHAnsi" w:hAnsiTheme="majorHAnsi"/>
          <w:sz w:val="20"/>
          <w:szCs w:val="20"/>
        </w:rPr>
        <w:t>категорій.</w:t>
      </w:r>
      <w:r w:rsidRPr="000977F7">
        <w:rPr>
          <w:rFonts w:asciiTheme="majorHAnsi" w:hAnsiTheme="majorHAnsi"/>
          <w:spacing w:val="32"/>
          <w:sz w:val="20"/>
          <w:szCs w:val="20"/>
        </w:rPr>
        <w:t xml:space="preserve"> </w:t>
      </w:r>
      <w:r w:rsidRPr="000977F7">
        <w:rPr>
          <w:rFonts w:asciiTheme="majorHAnsi" w:hAnsiTheme="majorHAnsi"/>
          <w:sz w:val="20"/>
          <w:szCs w:val="20"/>
        </w:rPr>
        <w:t>У</w:t>
      </w:r>
      <w:r w:rsidRPr="000977F7">
        <w:rPr>
          <w:rFonts w:asciiTheme="majorHAnsi" w:hAnsiTheme="majorHAnsi"/>
          <w:spacing w:val="31"/>
          <w:sz w:val="20"/>
          <w:szCs w:val="20"/>
        </w:rPr>
        <w:t xml:space="preserve"> </w:t>
      </w:r>
      <w:r w:rsidRPr="000977F7">
        <w:rPr>
          <w:rFonts w:asciiTheme="majorHAnsi" w:hAnsiTheme="majorHAnsi"/>
          <w:sz w:val="20"/>
          <w:szCs w:val="20"/>
        </w:rPr>
        <w:t>такому</w:t>
      </w:r>
      <w:r w:rsidRPr="000977F7">
        <w:rPr>
          <w:rFonts w:asciiTheme="majorHAnsi" w:hAnsiTheme="majorHAnsi"/>
          <w:spacing w:val="27"/>
          <w:sz w:val="20"/>
          <w:szCs w:val="20"/>
        </w:rPr>
        <w:t xml:space="preserve"> </w:t>
      </w:r>
      <w:r w:rsidRPr="000977F7">
        <w:rPr>
          <w:rFonts w:asciiTheme="majorHAnsi" w:hAnsiTheme="majorHAnsi"/>
          <w:sz w:val="20"/>
          <w:szCs w:val="20"/>
        </w:rPr>
        <w:t>разі</w:t>
      </w:r>
      <w:r w:rsidRPr="000977F7">
        <w:rPr>
          <w:rFonts w:asciiTheme="majorHAnsi" w:hAnsiTheme="majorHAnsi"/>
          <w:spacing w:val="31"/>
          <w:sz w:val="20"/>
          <w:szCs w:val="20"/>
        </w:rPr>
        <w:t xml:space="preserve"> </w:t>
      </w:r>
      <w:r w:rsidRPr="000977F7">
        <w:rPr>
          <w:rFonts w:asciiTheme="majorHAnsi" w:hAnsiTheme="majorHAnsi"/>
          <w:sz w:val="20"/>
          <w:szCs w:val="20"/>
        </w:rPr>
        <w:t>віднесення</w:t>
      </w:r>
      <w:r w:rsidRPr="000977F7">
        <w:rPr>
          <w:rFonts w:asciiTheme="majorHAnsi" w:hAnsiTheme="majorHAnsi"/>
          <w:spacing w:val="30"/>
          <w:sz w:val="20"/>
          <w:szCs w:val="20"/>
        </w:rPr>
        <w:t xml:space="preserve"> </w:t>
      </w:r>
      <w:r w:rsidRPr="000977F7">
        <w:rPr>
          <w:rFonts w:asciiTheme="majorHAnsi" w:hAnsiTheme="majorHAnsi"/>
          <w:sz w:val="20"/>
          <w:szCs w:val="20"/>
        </w:rPr>
        <w:t>продукції</w:t>
      </w:r>
      <w:r w:rsidRPr="000977F7">
        <w:rPr>
          <w:rFonts w:asciiTheme="majorHAnsi" w:hAnsiTheme="majorHAnsi"/>
          <w:spacing w:val="30"/>
          <w:sz w:val="20"/>
          <w:szCs w:val="20"/>
        </w:rPr>
        <w:t xml:space="preserve"> </w:t>
      </w:r>
      <w:r w:rsidRPr="000977F7">
        <w:rPr>
          <w:rFonts w:asciiTheme="majorHAnsi" w:hAnsiTheme="majorHAnsi"/>
          <w:sz w:val="20"/>
          <w:szCs w:val="20"/>
        </w:rPr>
        <w:t>до</w:t>
      </w:r>
      <w:r w:rsidRPr="000977F7">
        <w:rPr>
          <w:rFonts w:asciiTheme="majorHAnsi" w:hAnsiTheme="majorHAnsi"/>
          <w:spacing w:val="-47"/>
          <w:sz w:val="20"/>
          <w:szCs w:val="20"/>
        </w:rPr>
        <w:t xml:space="preserve"> </w:t>
      </w:r>
      <w:r w:rsidRPr="000977F7">
        <w:rPr>
          <w:rFonts w:asciiTheme="majorHAnsi" w:hAnsiTheme="majorHAnsi"/>
          <w:sz w:val="20"/>
          <w:szCs w:val="20"/>
        </w:rPr>
        <w:t>певної категорії залежить від переважного елемента.</w:t>
      </w:r>
    </w:p>
    <w:p w14:paraId="3347A5CA" w14:textId="77777777" w:rsidR="0097612F" w:rsidRPr="000977F7" w:rsidRDefault="0097612F" w:rsidP="000977F7">
      <w:pPr>
        <w:pStyle w:val="af6"/>
        <w:tabs>
          <w:tab w:val="left" w:pos="284"/>
          <w:tab w:val="left" w:pos="1490"/>
          <w:tab w:val="left" w:pos="1555"/>
          <w:tab w:val="left" w:pos="2042"/>
          <w:tab w:val="left" w:pos="2426"/>
          <w:tab w:val="left" w:pos="3062"/>
          <w:tab w:val="left" w:pos="3227"/>
          <w:tab w:val="left" w:pos="3494"/>
          <w:tab w:val="left" w:pos="4271"/>
          <w:tab w:val="left" w:pos="4474"/>
        </w:tabs>
        <w:spacing w:after="0"/>
        <w:ind w:left="170"/>
        <w:mirrorIndents/>
        <w:jc w:val="both"/>
        <w:rPr>
          <w:rFonts w:asciiTheme="majorHAnsi" w:hAnsiTheme="majorHAnsi"/>
          <w:sz w:val="20"/>
          <w:szCs w:val="20"/>
        </w:rPr>
      </w:pPr>
      <w:r w:rsidRPr="000977F7">
        <w:rPr>
          <w:rFonts w:asciiTheme="majorHAnsi" w:hAnsiTheme="majorHAnsi"/>
          <w:sz w:val="20"/>
          <w:szCs w:val="20"/>
        </w:rPr>
        <w:t>ДСТУISO/IEC</w:t>
      </w:r>
      <w:r w:rsidRPr="000977F7">
        <w:rPr>
          <w:rFonts w:asciiTheme="majorHAnsi" w:hAnsiTheme="majorHAnsi"/>
          <w:spacing w:val="-32"/>
          <w:sz w:val="20"/>
          <w:szCs w:val="20"/>
        </w:rPr>
        <w:t xml:space="preserve"> </w:t>
      </w:r>
      <w:r w:rsidRPr="000977F7">
        <w:rPr>
          <w:rFonts w:asciiTheme="majorHAnsi" w:hAnsiTheme="majorHAnsi"/>
          <w:sz w:val="20"/>
          <w:szCs w:val="20"/>
        </w:rPr>
        <w:t>17000:2007</w:t>
      </w:r>
    </w:p>
    <w:p w14:paraId="5EB012C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Матеріальний результат трудової діяльності або виробничих процесів, що має корисні властивості і призначений</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споживачем</w:t>
      </w:r>
    </w:p>
    <w:p w14:paraId="23CCE7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6EC6E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Цей термін вживається тоді, коли результатом діяльності є вироби, матеріали, речовини та інші матеріальні об’єкти, які перед процесом виробництва підлягають</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розробленню.</w:t>
      </w:r>
      <w:r w:rsidRPr="000977F7">
        <w:rPr>
          <w:rFonts w:asciiTheme="majorHAnsi" w:hAnsiTheme="majorHAnsi"/>
          <w:spacing w:val="1"/>
          <w:sz w:val="20"/>
          <w:szCs w:val="20"/>
        </w:rPr>
        <w:t xml:space="preserve"> </w:t>
      </w:r>
      <w:r w:rsidRPr="000977F7">
        <w:rPr>
          <w:rFonts w:asciiTheme="majorHAnsi" w:hAnsiTheme="majorHAnsi"/>
          <w:sz w:val="20"/>
          <w:szCs w:val="20"/>
        </w:rPr>
        <w:t>Тому</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бути зараховані,</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ресурси,</w:t>
      </w:r>
      <w:r w:rsidRPr="000977F7">
        <w:rPr>
          <w:rFonts w:asciiTheme="majorHAnsi" w:hAnsiTheme="majorHAnsi"/>
          <w:spacing w:val="1"/>
          <w:sz w:val="20"/>
          <w:szCs w:val="20"/>
        </w:rPr>
        <w:t xml:space="preserve"> </w:t>
      </w:r>
      <w:r w:rsidRPr="000977F7">
        <w:rPr>
          <w:rFonts w:asciiTheme="majorHAnsi" w:hAnsiTheme="majorHAnsi"/>
          <w:sz w:val="20"/>
          <w:szCs w:val="20"/>
        </w:rPr>
        <w:t>сільськогосподарська продукція, які використовуються безпосередньо (без додаткового оброблення)</w:t>
      </w:r>
    </w:p>
    <w:p w14:paraId="3767BB9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19516C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ПРОДУКЦІЯ</w:t>
      </w:r>
      <w:r w:rsidRPr="000977F7">
        <w:rPr>
          <w:color w:val="auto"/>
          <w:spacing w:val="-5"/>
          <w:sz w:val="20"/>
          <w:szCs w:val="20"/>
        </w:rPr>
        <w:t xml:space="preserve"> </w:t>
      </w:r>
      <w:r w:rsidRPr="000977F7">
        <w:rPr>
          <w:color w:val="auto"/>
          <w:sz w:val="20"/>
          <w:szCs w:val="20"/>
        </w:rPr>
        <w:t>СЕРІЙНОГО</w:t>
      </w:r>
      <w:r w:rsidRPr="000977F7">
        <w:rPr>
          <w:color w:val="auto"/>
          <w:spacing w:val="-3"/>
          <w:sz w:val="20"/>
          <w:szCs w:val="20"/>
        </w:rPr>
        <w:t xml:space="preserve"> </w:t>
      </w:r>
      <w:r w:rsidRPr="000977F7">
        <w:rPr>
          <w:color w:val="auto"/>
          <w:sz w:val="20"/>
          <w:szCs w:val="20"/>
        </w:rPr>
        <w:t>ВИРОБНИЦТВА –</w:t>
      </w:r>
    </w:p>
    <w:p w14:paraId="6F97B89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w:t>
      </w:r>
      <w:r w:rsidRPr="000977F7">
        <w:rPr>
          <w:rFonts w:asciiTheme="majorHAnsi" w:hAnsiTheme="majorHAnsi"/>
          <w:spacing w:val="40"/>
          <w:sz w:val="20"/>
          <w:szCs w:val="20"/>
        </w:rPr>
        <w:t xml:space="preserve"> </w:t>
      </w:r>
      <w:r w:rsidRPr="000977F7">
        <w:rPr>
          <w:rFonts w:asciiTheme="majorHAnsi" w:hAnsiTheme="majorHAnsi"/>
          <w:sz w:val="20"/>
          <w:szCs w:val="20"/>
        </w:rPr>
        <w:t>яка</w:t>
      </w:r>
      <w:r w:rsidRPr="000977F7">
        <w:rPr>
          <w:rFonts w:asciiTheme="majorHAnsi" w:hAnsiTheme="majorHAnsi"/>
          <w:spacing w:val="40"/>
          <w:sz w:val="20"/>
          <w:szCs w:val="20"/>
        </w:rPr>
        <w:t xml:space="preserve"> </w:t>
      </w:r>
      <w:r w:rsidRPr="000977F7">
        <w:rPr>
          <w:rFonts w:asciiTheme="majorHAnsi" w:hAnsiTheme="majorHAnsi"/>
          <w:sz w:val="20"/>
          <w:szCs w:val="20"/>
        </w:rPr>
        <w:t>виготовляється</w:t>
      </w:r>
      <w:r w:rsidRPr="000977F7">
        <w:rPr>
          <w:rFonts w:asciiTheme="majorHAnsi" w:hAnsiTheme="majorHAnsi"/>
          <w:spacing w:val="38"/>
          <w:sz w:val="20"/>
          <w:szCs w:val="20"/>
        </w:rPr>
        <w:t xml:space="preserve"> </w:t>
      </w:r>
      <w:r w:rsidRPr="000977F7">
        <w:rPr>
          <w:rFonts w:asciiTheme="majorHAnsi" w:hAnsiTheme="majorHAnsi"/>
          <w:sz w:val="20"/>
          <w:szCs w:val="20"/>
        </w:rPr>
        <w:t>періодично</w:t>
      </w:r>
      <w:r w:rsidRPr="000977F7">
        <w:rPr>
          <w:rFonts w:asciiTheme="majorHAnsi" w:hAnsiTheme="majorHAnsi"/>
          <w:spacing w:val="40"/>
          <w:sz w:val="20"/>
          <w:szCs w:val="20"/>
        </w:rPr>
        <w:t xml:space="preserve"> </w:t>
      </w:r>
      <w:r w:rsidRPr="000977F7">
        <w:rPr>
          <w:rFonts w:asciiTheme="majorHAnsi" w:hAnsiTheme="majorHAnsi"/>
          <w:sz w:val="20"/>
          <w:szCs w:val="20"/>
        </w:rPr>
        <w:t>повторюваними</w:t>
      </w:r>
      <w:r w:rsidRPr="000977F7">
        <w:rPr>
          <w:rFonts w:asciiTheme="majorHAnsi" w:hAnsiTheme="majorHAnsi"/>
          <w:spacing w:val="-2"/>
          <w:sz w:val="20"/>
          <w:szCs w:val="20"/>
        </w:rPr>
        <w:t xml:space="preserve"> </w:t>
      </w:r>
      <w:r w:rsidRPr="000977F7">
        <w:rPr>
          <w:rFonts w:asciiTheme="majorHAnsi" w:hAnsiTheme="majorHAnsi"/>
          <w:sz w:val="20"/>
          <w:szCs w:val="20"/>
        </w:rPr>
        <w:t>партіями</w:t>
      </w:r>
    </w:p>
    <w:p w14:paraId="2A91731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ПРОДУКЦІЯ</w:t>
      </w:r>
      <w:r w:rsidRPr="000977F7">
        <w:rPr>
          <w:color w:val="auto"/>
          <w:spacing w:val="-4"/>
          <w:sz w:val="20"/>
          <w:szCs w:val="20"/>
        </w:rPr>
        <w:t xml:space="preserve"> </w:t>
      </w:r>
      <w:r w:rsidRPr="000977F7">
        <w:rPr>
          <w:color w:val="auto"/>
          <w:sz w:val="20"/>
          <w:szCs w:val="20"/>
        </w:rPr>
        <w:t>МАСОВОГО</w:t>
      </w:r>
      <w:r w:rsidRPr="000977F7">
        <w:rPr>
          <w:color w:val="auto"/>
          <w:spacing w:val="-3"/>
          <w:sz w:val="20"/>
          <w:szCs w:val="20"/>
        </w:rPr>
        <w:t xml:space="preserve"> </w:t>
      </w:r>
      <w:r w:rsidRPr="000977F7">
        <w:rPr>
          <w:color w:val="auto"/>
          <w:sz w:val="20"/>
          <w:szCs w:val="20"/>
        </w:rPr>
        <w:t>ВИРОБНИЦТВА –</w:t>
      </w:r>
    </w:p>
    <w:p w14:paraId="28F8108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w:t>
      </w:r>
      <w:r w:rsidRPr="000977F7">
        <w:rPr>
          <w:rFonts w:asciiTheme="majorHAnsi" w:hAnsiTheme="majorHAnsi"/>
          <w:spacing w:val="21"/>
          <w:sz w:val="20"/>
          <w:szCs w:val="20"/>
        </w:rPr>
        <w:t xml:space="preserve"> </w:t>
      </w:r>
      <w:r w:rsidRPr="000977F7">
        <w:rPr>
          <w:rFonts w:asciiTheme="majorHAnsi" w:hAnsiTheme="majorHAnsi"/>
          <w:sz w:val="20"/>
          <w:szCs w:val="20"/>
        </w:rPr>
        <w:t>яка</w:t>
      </w:r>
      <w:r w:rsidRPr="000977F7">
        <w:rPr>
          <w:rFonts w:asciiTheme="majorHAnsi" w:hAnsiTheme="majorHAnsi"/>
          <w:spacing w:val="20"/>
          <w:sz w:val="20"/>
          <w:szCs w:val="20"/>
        </w:rPr>
        <w:t xml:space="preserve"> </w:t>
      </w:r>
      <w:r w:rsidRPr="000977F7">
        <w:rPr>
          <w:rFonts w:asciiTheme="majorHAnsi" w:hAnsiTheme="majorHAnsi"/>
          <w:sz w:val="20"/>
          <w:szCs w:val="20"/>
        </w:rPr>
        <w:t>виготовляється</w:t>
      </w:r>
      <w:r w:rsidRPr="000977F7">
        <w:rPr>
          <w:rFonts w:asciiTheme="majorHAnsi" w:hAnsiTheme="majorHAnsi"/>
          <w:spacing w:val="17"/>
          <w:sz w:val="20"/>
          <w:szCs w:val="20"/>
        </w:rPr>
        <w:t xml:space="preserve"> </w:t>
      </w:r>
      <w:r w:rsidRPr="000977F7">
        <w:rPr>
          <w:rFonts w:asciiTheme="majorHAnsi" w:hAnsiTheme="majorHAnsi"/>
          <w:sz w:val="20"/>
          <w:szCs w:val="20"/>
        </w:rPr>
        <w:t>безперервно</w:t>
      </w:r>
      <w:r w:rsidRPr="000977F7">
        <w:rPr>
          <w:rFonts w:asciiTheme="majorHAnsi" w:hAnsiTheme="majorHAnsi"/>
          <w:spacing w:val="22"/>
          <w:sz w:val="20"/>
          <w:szCs w:val="20"/>
        </w:rPr>
        <w:t xml:space="preserve"> </w:t>
      </w:r>
      <w:r w:rsidRPr="000977F7">
        <w:rPr>
          <w:rFonts w:asciiTheme="majorHAnsi" w:hAnsiTheme="majorHAnsi"/>
          <w:sz w:val="20"/>
          <w:szCs w:val="20"/>
        </w:rPr>
        <w:t>протягом</w:t>
      </w:r>
      <w:r w:rsidRPr="000977F7">
        <w:rPr>
          <w:rFonts w:asciiTheme="majorHAnsi" w:hAnsiTheme="majorHAnsi"/>
          <w:spacing w:val="-47"/>
          <w:sz w:val="20"/>
          <w:szCs w:val="20"/>
        </w:rPr>
        <w:t xml:space="preserve"> </w:t>
      </w:r>
      <w:r w:rsidRPr="000977F7">
        <w:rPr>
          <w:rFonts w:asciiTheme="majorHAnsi" w:hAnsiTheme="majorHAnsi"/>
          <w:sz w:val="20"/>
          <w:szCs w:val="20"/>
        </w:rPr>
        <w:t>тривалого часу</w:t>
      </w:r>
      <w:r w:rsidRPr="000977F7">
        <w:rPr>
          <w:rFonts w:asciiTheme="majorHAnsi" w:hAnsiTheme="majorHAnsi"/>
          <w:spacing w:val="-5"/>
          <w:sz w:val="20"/>
          <w:szCs w:val="20"/>
        </w:rPr>
        <w:t xml:space="preserve"> </w:t>
      </w:r>
      <w:r w:rsidRPr="000977F7">
        <w:rPr>
          <w:rFonts w:asciiTheme="majorHAnsi" w:hAnsiTheme="majorHAnsi"/>
          <w:sz w:val="20"/>
          <w:szCs w:val="20"/>
        </w:rPr>
        <w:t>великими</w:t>
      </w:r>
      <w:r w:rsidRPr="000977F7">
        <w:rPr>
          <w:rFonts w:asciiTheme="majorHAnsi" w:hAnsiTheme="majorHAnsi"/>
          <w:spacing w:val="-1"/>
          <w:sz w:val="20"/>
          <w:szCs w:val="20"/>
        </w:rPr>
        <w:t xml:space="preserve"> </w:t>
      </w:r>
      <w:r w:rsidRPr="000977F7">
        <w:rPr>
          <w:rFonts w:asciiTheme="majorHAnsi" w:hAnsiTheme="majorHAnsi"/>
          <w:sz w:val="20"/>
          <w:szCs w:val="20"/>
        </w:rPr>
        <w:t>обсягами</w:t>
      </w:r>
      <w:r w:rsidRPr="000977F7">
        <w:rPr>
          <w:rFonts w:asciiTheme="majorHAnsi" w:hAnsiTheme="majorHAnsi"/>
          <w:spacing w:val="-2"/>
          <w:sz w:val="20"/>
          <w:szCs w:val="20"/>
        </w:rPr>
        <w:t xml:space="preserve"> </w:t>
      </w:r>
      <w:r w:rsidRPr="000977F7">
        <w:rPr>
          <w:rFonts w:asciiTheme="majorHAnsi" w:hAnsiTheme="majorHAnsi"/>
          <w:sz w:val="20"/>
          <w:szCs w:val="20"/>
        </w:rPr>
        <w:t>випуску</w:t>
      </w:r>
    </w:p>
    <w:p w14:paraId="4F9F754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ПРОДУКЦІЯ</w:t>
      </w:r>
      <w:r w:rsidRPr="000977F7">
        <w:rPr>
          <w:color w:val="auto"/>
          <w:spacing w:val="-5"/>
          <w:sz w:val="20"/>
          <w:szCs w:val="20"/>
        </w:rPr>
        <w:t xml:space="preserve"> </w:t>
      </w:r>
      <w:r w:rsidRPr="000977F7">
        <w:rPr>
          <w:color w:val="auto"/>
          <w:sz w:val="20"/>
          <w:szCs w:val="20"/>
        </w:rPr>
        <w:t xml:space="preserve">ОДИНИЧНОГО </w:t>
      </w:r>
    </w:p>
    <w:p w14:paraId="3362AA9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ВИРОБНИЦТВА -</w:t>
      </w:r>
    </w:p>
    <w:p w14:paraId="6B362FA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w:t>
      </w:r>
      <w:r w:rsidRPr="000977F7">
        <w:rPr>
          <w:rFonts w:asciiTheme="majorHAnsi" w:hAnsiTheme="majorHAnsi"/>
          <w:spacing w:val="14"/>
          <w:sz w:val="20"/>
          <w:szCs w:val="20"/>
        </w:rPr>
        <w:t xml:space="preserve"> </w:t>
      </w:r>
      <w:r w:rsidRPr="000977F7">
        <w:rPr>
          <w:rFonts w:asciiTheme="majorHAnsi" w:hAnsiTheme="majorHAnsi"/>
          <w:sz w:val="20"/>
          <w:szCs w:val="20"/>
        </w:rPr>
        <w:t>яка</w:t>
      </w:r>
      <w:r w:rsidRPr="000977F7">
        <w:rPr>
          <w:rFonts w:asciiTheme="majorHAnsi" w:hAnsiTheme="majorHAnsi"/>
          <w:spacing w:val="14"/>
          <w:sz w:val="20"/>
          <w:szCs w:val="20"/>
        </w:rPr>
        <w:t xml:space="preserve"> </w:t>
      </w:r>
      <w:r w:rsidRPr="000977F7">
        <w:rPr>
          <w:rFonts w:asciiTheme="majorHAnsi" w:hAnsiTheme="majorHAnsi"/>
          <w:sz w:val="20"/>
          <w:szCs w:val="20"/>
        </w:rPr>
        <w:t>випускається</w:t>
      </w:r>
      <w:r w:rsidRPr="000977F7">
        <w:rPr>
          <w:rFonts w:asciiTheme="majorHAnsi" w:hAnsiTheme="majorHAnsi"/>
          <w:spacing w:val="14"/>
          <w:sz w:val="20"/>
          <w:szCs w:val="20"/>
        </w:rPr>
        <w:t xml:space="preserve"> </w:t>
      </w:r>
      <w:r w:rsidRPr="000977F7">
        <w:rPr>
          <w:rFonts w:asciiTheme="majorHAnsi" w:hAnsiTheme="majorHAnsi"/>
          <w:sz w:val="20"/>
          <w:szCs w:val="20"/>
        </w:rPr>
        <w:t>одноразово</w:t>
      </w:r>
      <w:r w:rsidRPr="000977F7">
        <w:rPr>
          <w:rFonts w:asciiTheme="majorHAnsi" w:hAnsiTheme="majorHAnsi"/>
          <w:spacing w:val="14"/>
          <w:sz w:val="20"/>
          <w:szCs w:val="20"/>
        </w:rPr>
        <w:t xml:space="preserve"> </w:t>
      </w:r>
      <w:r w:rsidRPr="000977F7">
        <w:rPr>
          <w:rFonts w:asciiTheme="majorHAnsi" w:hAnsiTheme="majorHAnsi"/>
          <w:sz w:val="20"/>
          <w:szCs w:val="20"/>
        </w:rPr>
        <w:t>або</w:t>
      </w:r>
      <w:r w:rsidRPr="000977F7">
        <w:rPr>
          <w:rFonts w:asciiTheme="majorHAnsi" w:hAnsiTheme="majorHAnsi"/>
          <w:spacing w:val="15"/>
          <w:sz w:val="20"/>
          <w:szCs w:val="20"/>
        </w:rPr>
        <w:t xml:space="preserve"> </w:t>
      </w:r>
      <w:r w:rsidRPr="000977F7">
        <w:rPr>
          <w:rFonts w:asciiTheme="majorHAnsi" w:hAnsiTheme="majorHAnsi"/>
          <w:sz w:val="20"/>
          <w:szCs w:val="20"/>
        </w:rPr>
        <w:t>періодично окремими</w:t>
      </w:r>
      <w:r w:rsidRPr="000977F7">
        <w:rPr>
          <w:rFonts w:asciiTheme="majorHAnsi" w:hAnsiTheme="majorHAnsi"/>
          <w:spacing w:val="-1"/>
          <w:sz w:val="20"/>
          <w:szCs w:val="20"/>
        </w:rPr>
        <w:t xml:space="preserve"> </w:t>
      </w:r>
      <w:r w:rsidRPr="000977F7">
        <w:rPr>
          <w:rFonts w:asciiTheme="majorHAnsi" w:hAnsiTheme="majorHAnsi"/>
          <w:sz w:val="20"/>
          <w:szCs w:val="20"/>
        </w:rPr>
        <w:t>одиницями</w:t>
      </w:r>
    </w:p>
    <w:p w14:paraId="18CDFABF"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ПРОДУКЦІЯ ПОВТОРЮВАНОГО ОДИНИЧНО</w:t>
      </w:r>
      <w:r w:rsidRPr="000977F7">
        <w:rPr>
          <w:rFonts w:asciiTheme="majorHAnsi" w:hAnsiTheme="majorHAnsi"/>
          <w:b/>
          <w:bCs/>
          <w:spacing w:val="-47"/>
          <w:sz w:val="20"/>
          <w:szCs w:val="20"/>
        </w:rPr>
        <w:t xml:space="preserve"> </w:t>
      </w:r>
      <w:r w:rsidRPr="000977F7">
        <w:rPr>
          <w:rFonts w:asciiTheme="majorHAnsi" w:hAnsiTheme="majorHAnsi"/>
          <w:b/>
          <w:bCs/>
          <w:sz w:val="20"/>
          <w:szCs w:val="20"/>
        </w:rPr>
        <w:t>ГО ВИРОБНИЦТВА</w:t>
      </w:r>
      <w:r w:rsidRPr="000977F7">
        <w:rPr>
          <w:rFonts w:asciiTheme="majorHAnsi" w:hAnsiTheme="majorHAnsi"/>
          <w:b/>
          <w:bCs/>
          <w:spacing w:val="2"/>
          <w:sz w:val="20"/>
          <w:szCs w:val="20"/>
        </w:rPr>
        <w:t xml:space="preserve"> </w:t>
      </w:r>
      <w:r w:rsidRPr="000977F7">
        <w:rPr>
          <w:rFonts w:asciiTheme="majorHAnsi" w:hAnsiTheme="majorHAnsi"/>
          <w:b/>
          <w:bCs/>
          <w:sz w:val="20"/>
          <w:szCs w:val="20"/>
        </w:rPr>
        <w:t>–</w:t>
      </w:r>
    </w:p>
    <w:p w14:paraId="3119415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w:t>
      </w:r>
      <w:r w:rsidRPr="000977F7">
        <w:rPr>
          <w:rFonts w:asciiTheme="majorHAnsi" w:hAnsiTheme="majorHAnsi"/>
          <w:spacing w:val="1"/>
          <w:sz w:val="20"/>
          <w:szCs w:val="20"/>
        </w:rPr>
        <w:t xml:space="preserve"> </w:t>
      </w:r>
      <w:r w:rsidRPr="000977F7">
        <w:rPr>
          <w:rFonts w:asciiTheme="majorHAnsi" w:hAnsiTheme="majorHAnsi"/>
          <w:sz w:val="20"/>
          <w:szCs w:val="20"/>
        </w:rPr>
        <w:t>одиничного</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виготовляється періодично окремими одиницями за умови, що</w:t>
      </w:r>
      <w:r w:rsidRPr="000977F7">
        <w:rPr>
          <w:rFonts w:asciiTheme="majorHAnsi" w:hAnsiTheme="majorHAnsi"/>
          <w:spacing w:val="1"/>
          <w:sz w:val="20"/>
          <w:szCs w:val="20"/>
        </w:rPr>
        <w:t xml:space="preserve"> </w:t>
      </w:r>
      <w:r w:rsidRPr="000977F7">
        <w:rPr>
          <w:rFonts w:asciiTheme="majorHAnsi" w:hAnsiTheme="majorHAnsi"/>
          <w:sz w:val="20"/>
          <w:szCs w:val="20"/>
        </w:rPr>
        <w:t xml:space="preserve">інтервал часу між випуском </w:t>
      </w:r>
      <w:r w:rsidRPr="000977F7">
        <w:rPr>
          <w:rFonts w:asciiTheme="majorHAnsi" w:hAnsiTheme="majorHAnsi"/>
          <w:sz w:val="20"/>
          <w:szCs w:val="20"/>
        </w:rPr>
        <w:t>попередньої та наступної</w:t>
      </w:r>
      <w:r w:rsidRPr="000977F7">
        <w:rPr>
          <w:rFonts w:asciiTheme="majorHAnsi" w:hAnsiTheme="majorHAnsi"/>
          <w:spacing w:val="1"/>
          <w:sz w:val="20"/>
          <w:szCs w:val="20"/>
        </w:rPr>
        <w:t xml:space="preserve"> </w:t>
      </w:r>
      <w:r w:rsidRPr="000977F7">
        <w:rPr>
          <w:rFonts w:asciiTheme="majorHAnsi" w:hAnsiTheme="majorHAnsi"/>
          <w:sz w:val="20"/>
          <w:szCs w:val="20"/>
        </w:rPr>
        <w:t>одиниці</w:t>
      </w:r>
      <w:r w:rsidRPr="000977F7">
        <w:rPr>
          <w:rFonts w:asciiTheme="majorHAnsi" w:hAnsiTheme="majorHAnsi"/>
          <w:spacing w:val="-3"/>
          <w:sz w:val="20"/>
          <w:szCs w:val="20"/>
        </w:rPr>
        <w:t xml:space="preserve"> </w:t>
      </w:r>
      <w:r w:rsidRPr="000977F7">
        <w:rPr>
          <w:rFonts w:asciiTheme="majorHAnsi" w:hAnsiTheme="majorHAnsi"/>
          <w:sz w:val="20"/>
          <w:szCs w:val="20"/>
        </w:rPr>
        <w:t>продукції</w:t>
      </w:r>
      <w:r w:rsidRPr="000977F7">
        <w:rPr>
          <w:rFonts w:asciiTheme="majorHAnsi" w:hAnsiTheme="majorHAnsi"/>
          <w:spacing w:val="-2"/>
          <w:sz w:val="20"/>
          <w:szCs w:val="20"/>
        </w:rPr>
        <w:t xml:space="preserve"> </w:t>
      </w:r>
      <w:r w:rsidRPr="000977F7">
        <w:rPr>
          <w:rFonts w:asciiTheme="majorHAnsi" w:hAnsiTheme="majorHAnsi"/>
          <w:sz w:val="20"/>
          <w:szCs w:val="20"/>
        </w:rPr>
        <w:t>перевищує</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2"/>
          <w:sz w:val="20"/>
          <w:szCs w:val="20"/>
        </w:rPr>
        <w:t xml:space="preserve"> </w:t>
      </w:r>
      <w:r w:rsidRPr="000977F7">
        <w:rPr>
          <w:rFonts w:asciiTheme="majorHAnsi" w:hAnsiTheme="majorHAnsi"/>
          <w:sz w:val="20"/>
          <w:szCs w:val="20"/>
        </w:rPr>
        <w:t>виробничий</w:t>
      </w:r>
      <w:r w:rsidRPr="000977F7">
        <w:rPr>
          <w:rFonts w:asciiTheme="majorHAnsi" w:hAnsiTheme="majorHAnsi"/>
          <w:spacing w:val="-3"/>
          <w:sz w:val="20"/>
          <w:szCs w:val="20"/>
        </w:rPr>
        <w:t xml:space="preserve"> </w:t>
      </w:r>
      <w:r w:rsidRPr="000977F7">
        <w:rPr>
          <w:rFonts w:asciiTheme="majorHAnsi" w:hAnsiTheme="majorHAnsi"/>
          <w:sz w:val="20"/>
          <w:szCs w:val="20"/>
        </w:rPr>
        <w:t>цикл</w:t>
      </w:r>
    </w:p>
    <w:p w14:paraId="30EC52D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 :</w:t>
      </w:r>
    </w:p>
    <w:p w14:paraId="7531D5D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Особливістю повторюваного одиничного виробництва є</w:t>
      </w:r>
      <w:r w:rsidRPr="000977F7">
        <w:rPr>
          <w:rFonts w:asciiTheme="majorHAnsi" w:hAnsiTheme="majorHAnsi"/>
          <w:spacing w:val="1"/>
          <w:sz w:val="20"/>
          <w:szCs w:val="20"/>
        </w:rPr>
        <w:t xml:space="preserve"> </w:t>
      </w:r>
      <w:r w:rsidRPr="000977F7">
        <w:rPr>
          <w:rFonts w:asciiTheme="majorHAnsi" w:hAnsiTheme="majorHAnsi"/>
          <w:sz w:val="20"/>
          <w:szCs w:val="20"/>
        </w:rPr>
        <w:t>індивідуальний</w:t>
      </w:r>
      <w:r w:rsidRPr="000977F7">
        <w:rPr>
          <w:rFonts w:asciiTheme="majorHAnsi" w:hAnsiTheme="majorHAnsi"/>
          <w:spacing w:val="1"/>
          <w:sz w:val="20"/>
          <w:szCs w:val="20"/>
        </w:rPr>
        <w:t xml:space="preserve"> </w:t>
      </w:r>
      <w:r w:rsidRPr="000977F7">
        <w:rPr>
          <w:rFonts w:asciiTheme="majorHAnsi" w:hAnsiTheme="majorHAnsi"/>
          <w:sz w:val="20"/>
          <w:szCs w:val="20"/>
        </w:rPr>
        <w:t>підхід</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виготовлення кожної</w:t>
      </w:r>
      <w:r w:rsidRPr="000977F7">
        <w:rPr>
          <w:rFonts w:asciiTheme="majorHAnsi" w:hAnsiTheme="majorHAnsi"/>
          <w:spacing w:val="1"/>
          <w:sz w:val="20"/>
          <w:szCs w:val="20"/>
        </w:rPr>
        <w:t xml:space="preserve"> </w:t>
      </w:r>
      <w:r w:rsidRPr="000977F7">
        <w:rPr>
          <w:rFonts w:asciiTheme="majorHAnsi" w:hAnsiTheme="majorHAnsi"/>
          <w:sz w:val="20"/>
          <w:szCs w:val="20"/>
        </w:rPr>
        <w:t>одиниці продукції, який включає застосування методів</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50"/>
          <w:sz w:val="20"/>
          <w:szCs w:val="20"/>
        </w:rPr>
        <w:t xml:space="preserve"> </w:t>
      </w:r>
      <w:r w:rsidRPr="000977F7">
        <w:rPr>
          <w:rFonts w:asciiTheme="majorHAnsi" w:hAnsiTheme="majorHAnsi"/>
          <w:sz w:val="20"/>
          <w:szCs w:val="20"/>
        </w:rPr>
        <w:t>характерних</w:t>
      </w:r>
      <w:r w:rsidRPr="000977F7">
        <w:rPr>
          <w:rFonts w:asciiTheme="majorHAnsi" w:hAnsiTheme="majorHAnsi"/>
          <w:spacing w:val="50"/>
          <w:sz w:val="20"/>
          <w:szCs w:val="20"/>
        </w:rPr>
        <w:t xml:space="preserve"> </w:t>
      </w:r>
      <w:r w:rsidRPr="000977F7">
        <w:rPr>
          <w:rFonts w:asciiTheme="majorHAnsi" w:hAnsiTheme="majorHAnsi"/>
          <w:sz w:val="20"/>
          <w:szCs w:val="20"/>
        </w:rPr>
        <w:t>серійному</w:t>
      </w:r>
      <w:r w:rsidRPr="000977F7">
        <w:rPr>
          <w:rFonts w:asciiTheme="majorHAnsi" w:hAnsiTheme="majorHAnsi"/>
          <w:spacing w:val="-47"/>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масовому</w:t>
      </w:r>
      <w:r w:rsidRPr="000977F7">
        <w:rPr>
          <w:rFonts w:asciiTheme="majorHAnsi" w:hAnsiTheme="majorHAnsi"/>
          <w:spacing w:val="-4"/>
          <w:sz w:val="20"/>
          <w:szCs w:val="20"/>
        </w:rPr>
        <w:t xml:space="preserve"> </w:t>
      </w:r>
      <w:r w:rsidRPr="000977F7">
        <w:rPr>
          <w:rFonts w:asciiTheme="majorHAnsi" w:hAnsiTheme="majorHAnsi"/>
          <w:sz w:val="20"/>
          <w:szCs w:val="20"/>
        </w:rPr>
        <w:t>виробництву</w:t>
      </w:r>
    </w:p>
    <w:p w14:paraId="13E5A8F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ПРОДУКЦІЯ</w:t>
      </w:r>
      <w:r w:rsidRPr="000977F7">
        <w:rPr>
          <w:color w:val="auto"/>
          <w:spacing w:val="-5"/>
          <w:sz w:val="20"/>
          <w:szCs w:val="20"/>
        </w:rPr>
        <w:t xml:space="preserve"> </w:t>
      </w:r>
      <w:r w:rsidRPr="000977F7">
        <w:rPr>
          <w:color w:val="auto"/>
          <w:sz w:val="20"/>
          <w:szCs w:val="20"/>
        </w:rPr>
        <w:t>РАЗОВОГО</w:t>
      </w:r>
      <w:r w:rsidRPr="000977F7">
        <w:rPr>
          <w:color w:val="auto"/>
          <w:spacing w:val="-3"/>
          <w:sz w:val="20"/>
          <w:szCs w:val="20"/>
        </w:rPr>
        <w:t xml:space="preserve"> </w:t>
      </w:r>
      <w:r w:rsidRPr="000977F7">
        <w:rPr>
          <w:color w:val="auto"/>
          <w:sz w:val="20"/>
          <w:szCs w:val="20"/>
        </w:rPr>
        <w:t>ВИГОТОВЛЕННЯ</w:t>
      </w:r>
      <w:r w:rsidRPr="000977F7">
        <w:rPr>
          <w:color w:val="auto"/>
          <w:spacing w:val="-1"/>
          <w:sz w:val="20"/>
          <w:szCs w:val="20"/>
        </w:rPr>
        <w:t xml:space="preserve"> </w:t>
      </w:r>
      <w:r w:rsidRPr="000977F7">
        <w:rPr>
          <w:color w:val="auto"/>
          <w:sz w:val="20"/>
          <w:szCs w:val="20"/>
        </w:rPr>
        <w:t>–</w:t>
      </w:r>
    </w:p>
    <w:p w14:paraId="6C9002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 одиничного 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у вигляді окремих виробів або партії продукції, які виготовляються</w:t>
      </w:r>
      <w:r w:rsidRPr="000977F7">
        <w:rPr>
          <w:rFonts w:asciiTheme="majorHAnsi" w:hAnsiTheme="majorHAnsi"/>
          <w:spacing w:val="1"/>
          <w:sz w:val="20"/>
          <w:szCs w:val="20"/>
        </w:rPr>
        <w:t xml:space="preserve"> </w:t>
      </w:r>
      <w:r w:rsidRPr="000977F7">
        <w:rPr>
          <w:rFonts w:asciiTheme="majorHAnsi" w:hAnsiTheme="majorHAnsi"/>
          <w:sz w:val="20"/>
          <w:szCs w:val="20"/>
        </w:rPr>
        <w:t>одноразово і не передбачені до повторного виробництва</w:t>
      </w:r>
    </w:p>
    <w:p w14:paraId="6BB6B20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ПРОДУКЦІЯ</w:t>
      </w:r>
      <w:r w:rsidRPr="000977F7">
        <w:rPr>
          <w:color w:val="auto"/>
          <w:spacing w:val="-5"/>
          <w:sz w:val="20"/>
          <w:szCs w:val="20"/>
        </w:rPr>
        <w:t xml:space="preserve"> </w:t>
      </w:r>
      <w:r w:rsidRPr="000977F7">
        <w:rPr>
          <w:color w:val="auto"/>
          <w:sz w:val="20"/>
          <w:szCs w:val="20"/>
        </w:rPr>
        <w:t>ОСНОВНОГО</w:t>
      </w:r>
      <w:r w:rsidRPr="000977F7">
        <w:rPr>
          <w:color w:val="auto"/>
          <w:spacing w:val="-3"/>
          <w:sz w:val="20"/>
          <w:szCs w:val="20"/>
        </w:rPr>
        <w:t xml:space="preserve"> </w:t>
      </w:r>
      <w:r w:rsidRPr="000977F7">
        <w:rPr>
          <w:color w:val="auto"/>
          <w:sz w:val="20"/>
          <w:szCs w:val="20"/>
        </w:rPr>
        <w:t>ВИРОБНИЦТВА –</w:t>
      </w:r>
    </w:p>
    <w:p w14:paraId="5AD96CA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Товарна</w:t>
      </w:r>
      <w:r w:rsidRPr="000977F7">
        <w:rPr>
          <w:rFonts w:asciiTheme="majorHAnsi" w:hAnsiTheme="majorHAnsi"/>
          <w:spacing w:val="-4"/>
          <w:sz w:val="20"/>
          <w:szCs w:val="20"/>
        </w:rPr>
        <w:t xml:space="preserve"> </w:t>
      </w:r>
      <w:r w:rsidRPr="000977F7">
        <w:rPr>
          <w:rFonts w:asciiTheme="majorHAnsi" w:hAnsiTheme="majorHAnsi"/>
          <w:sz w:val="20"/>
          <w:szCs w:val="20"/>
        </w:rPr>
        <w:t>продукція,</w:t>
      </w:r>
      <w:r w:rsidRPr="000977F7">
        <w:rPr>
          <w:rFonts w:asciiTheme="majorHAnsi" w:hAnsiTheme="majorHAnsi"/>
          <w:spacing w:val="-3"/>
          <w:sz w:val="20"/>
          <w:szCs w:val="20"/>
        </w:rPr>
        <w:t xml:space="preserve"> </w:t>
      </w:r>
      <w:r w:rsidRPr="000977F7">
        <w:rPr>
          <w:rFonts w:asciiTheme="majorHAnsi" w:hAnsiTheme="majorHAnsi"/>
          <w:sz w:val="20"/>
          <w:szCs w:val="20"/>
        </w:rPr>
        <w:t>призначена</w:t>
      </w:r>
      <w:r w:rsidRPr="000977F7">
        <w:rPr>
          <w:rFonts w:asciiTheme="majorHAnsi" w:hAnsiTheme="majorHAnsi"/>
          <w:spacing w:val="-3"/>
          <w:sz w:val="20"/>
          <w:szCs w:val="20"/>
        </w:rPr>
        <w:t xml:space="preserve"> </w:t>
      </w:r>
      <w:r w:rsidRPr="000977F7">
        <w:rPr>
          <w:rFonts w:asciiTheme="majorHAnsi" w:hAnsiTheme="majorHAnsi"/>
          <w:sz w:val="20"/>
          <w:szCs w:val="20"/>
        </w:rPr>
        <w:t>для</w:t>
      </w:r>
      <w:r w:rsidRPr="000977F7">
        <w:rPr>
          <w:rFonts w:asciiTheme="majorHAnsi" w:hAnsiTheme="majorHAnsi"/>
          <w:spacing w:val="-5"/>
          <w:sz w:val="20"/>
          <w:szCs w:val="20"/>
        </w:rPr>
        <w:t xml:space="preserve"> </w:t>
      </w:r>
      <w:r w:rsidRPr="000977F7">
        <w:rPr>
          <w:rFonts w:asciiTheme="majorHAnsi" w:hAnsiTheme="majorHAnsi"/>
          <w:sz w:val="20"/>
          <w:szCs w:val="20"/>
        </w:rPr>
        <w:t>поставки</w:t>
      </w:r>
    </w:p>
    <w:p w14:paraId="622AD52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ПРОДУКЦІЯ</w:t>
      </w:r>
      <w:r w:rsidRPr="000977F7">
        <w:rPr>
          <w:color w:val="auto"/>
          <w:spacing w:val="43"/>
          <w:sz w:val="20"/>
          <w:szCs w:val="20"/>
        </w:rPr>
        <w:t xml:space="preserve"> </w:t>
      </w:r>
      <w:r w:rsidRPr="000977F7">
        <w:rPr>
          <w:color w:val="auto"/>
          <w:sz w:val="20"/>
          <w:szCs w:val="20"/>
        </w:rPr>
        <w:t>ДОПОМІЖНОГО</w:t>
      </w:r>
      <w:r w:rsidRPr="000977F7">
        <w:rPr>
          <w:color w:val="auto"/>
          <w:spacing w:val="44"/>
          <w:sz w:val="20"/>
          <w:szCs w:val="20"/>
        </w:rPr>
        <w:t xml:space="preserve"> </w:t>
      </w:r>
      <w:r w:rsidRPr="000977F7">
        <w:rPr>
          <w:color w:val="auto"/>
          <w:sz w:val="20"/>
          <w:szCs w:val="20"/>
        </w:rPr>
        <w:t>ВИРОБНИЦТВА -</w:t>
      </w:r>
    </w:p>
    <w:p w14:paraId="203F3A3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призначена</w:t>
      </w:r>
      <w:r w:rsidRPr="000977F7">
        <w:rPr>
          <w:rFonts w:asciiTheme="majorHAnsi" w:hAnsiTheme="majorHAnsi"/>
          <w:spacing w:val="1"/>
          <w:sz w:val="20"/>
          <w:szCs w:val="20"/>
        </w:rPr>
        <w:t xml:space="preserve"> </w:t>
      </w:r>
      <w:r w:rsidRPr="000977F7">
        <w:rPr>
          <w:rFonts w:asciiTheme="majorHAnsi" w:hAnsiTheme="majorHAnsi"/>
          <w:sz w:val="20"/>
          <w:szCs w:val="20"/>
        </w:rPr>
        <w:t>тільки</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власних</w:t>
      </w:r>
      <w:r w:rsidRPr="000977F7">
        <w:rPr>
          <w:rFonts w:asciiTheme="majorHAnsi" w:hAnsiTheme="majorHAnsi"/>
          <w:spacing w:val="1"/>
          <w:sz w:val="20"/>
          <w:szCs w:val="20"/>
        </w:rPr>
        <w:t xml:space="preserve"> </w:t>
      </w:r>
      <w:r w:rsidRPr="000977F7">
        <w:rPr>
          <w:rFonts w:asciiTheme="majorHAnsi" w:hAnsiTheme="majorHAnsi"/>
          <w:sz w:val="20"/>
          <w:szCs w:val="20"/>
        </w:rPr>
        <w:t>потреб</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 яке</w:t>
      </w:r>
      <w:r w:rsidRPr="000977F7">
        <w:rPr>
          <w:rFonts w:asciiTheme="majorHAnsi" w:hAnsiTheme="majorHAnsi"/>
          <w:spacing w:val="2"/>
          <w:sz w:val="20"/>
          <w:szCs w:val="20"/>
        </w:rPr>
        <w:t xml:space="preserve"> </w:t>
      </w:r>
      <w:r w:rsidRPr="000977F7">
        <w:rPr>
          <w:rFonts w:asciiTheme="majorHAnsi" w:hAnsiTheme="majorHAnsi"/>
          <w:sz w:val="20"/>
          <w:szCs w:val="20"/>
        </w:rPr>
        <w:t>виготовляє</w:t>
      </w:r>
      <w:r w:rsidRPr="000977F7">
        <w:rPr>
          <w:rFonts w:asciiTheme="majorHAnsi" w:hAnsiTheme="majorHAnsi"/>
          <w:spacing w:val="-1"/>
          <w:sz w:val="20"/>
          <w:szCs w:val="20"/>
        </w:rPr>
        <w:t xml:space="preserve"> </w:t>
      </w:r>
      <w:r w:rsidRPr="000977F7">
        <w:rPr>
          <w:rFonts w:asciiTheme="majorHAnsi" w:hAnsiTheme="majorHAnsi"/>
          <w:sz w:val="20"/>
          <w:szCs w:val="20"/>
        </w:rPr>
        <w:t>її</w:t>
      </w:r>
    </w:p>
    <w:p w14:paraId="34AA1B8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ПРОДУКЦІЯ ВИРОБНИЧО – ТЕХНІЧНОГО</w:t>
      </w:r>
      <w:r w:rsidRPr="000977F7">
        <w:rPr>
          <w:color w:val="auto"/>
          <w:spacing w:val="-47"/>
          <w:sz w:val="20"/>
          <w:szCs w:val="20"/>
        </w:rPr>
        <w:t xml:space="preserve"> </w:t>
      </w:r>
      <w:r w:rsidRPr="000977F7">
        <w:rPr>
          <w:color w:val="auto"/>
          <w:sz w:val="20"/>
          <w:szCs w:val="20"/>
        </w:rPr>
        <w:t>ПРИЗНАЧЕННЯ –</w:t>
      </w:r>
    </w:p>
    <w:p w14:paraId="7CEF4DC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 призначена для використання як засіб 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виробничих</w:t>
      </w:r>
      <w:r w:rsidRPr="000977F7">
        <w:rPr>
          <w:rFonts w:asciiTheme="majorHAnsi" w:hAnsiTheme="majorHAnsi"/>
          <w:spacing w:val="-2"/>
          <w:sz w:val="20"/>
          <w:szCs w:val="20"/>
        </w:rPr>
        <w:t xml:space="preserve"> </w:t>
      </w:r>
      <w:r w:rsidRPr="000977F7">
        <w:rPr>
          <w:rFonts w:asciiTheme="majorHAnsi" w:hAnsiTheme="majorHAnsi"/>
          <w:sz w:val="20"/>
          <w:szCs w:val="20"/>
        </w:rPr>
        <w:t>процесах</w:t>
      </w:r>
    </w:p>
    <w:p w14:paraId="0386D00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5E7CAE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ПРОДУКЦІЯ ВІЙСЬКОВОГО</w:t>
      </w:r>
      <w:r w:rsidRPr="000977F7">
        <w:rPr>
          <w:color w:val="auto"/>
          <w:spacing w:val="-47"/>
          <w:sz w:val="20"/>
          <w:szCs w:val="20"/>
        </w:rPr>
        <w:t xml:space="preserve"> </w:t>
      </w:r>
      <w:r w:rsidRPr="000977F7">
        <w:rPr>
          <w:color w:val="auto"/>
          <w:sz w:val="20"/>
          <w:szCs w:val="20"/>
        </w:rPr>
        <w:t>ПРИЗНАЧЕННЯ –</w:t>
      </w:r>
    </w:p>
    <w:p w14:paraId="085FCD6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w:t>
      </w:r>
      <w:r w:rsidRPr="000977F7">
        <w:rPr>
          <w:rFonts w:asciiTheme="majorHAnsi" w:hAnsiTheme="majorHAnsi"/>
          <w:spacing w:val="-4"/>
          <w:sz w:val="20"/>
          <w:szCs w:val="20"/>
        </w:rPr>
        <w:t xml:space="preserve"> </w:t>
      </w:r>
      <w:r w:rsidRPr="000977F7">
        <w:rPr>
          <w:rFonts w:asciiTheme="majorHAnsi" w:hAnsiTheme="majorHAnsi"/>
          <w:sz w:val="20"/>
          <w:szCs w:val="20"/>
        </w:rPr>
        <w:t>призначена</w:t>
      </w:r>
      <w:r w:rsidRPr="000977F7">
        <w:rPr>
          <w:rFonts w:asciiTheme="majorHAnsi" w:hAnsiTheme="majorHAnsi"/>
          <w:spacing w:val="-4"/>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потреб</w:t>
      </w:r>
      <w:r w:rsidRPr="000977F7">
        <w:rPr>
          <w:rFonts w:asciiTheme="majorHAnsi" w:hAnsiTheme="majorHAnsi"/>
          <w:spacing w:val="-4"/>
          <w:sz w:val="20"/>
          <w:szCs w:val="20"/>
        </w:rPr>
        <w:t xml:space="preserve"> </w:t>
      </w:r>
      <w:r w:rsidRPr="000977F7">
        <w:rPr>
          <w:rFonts w:asciiTheme="majorHAnsi" w:hAnsiTheme="majorHAnsi"/>
          <w:sz w:val="20"/>
          <w:szCs w:val="20"/>
        </w:rPr>
        <w:t>оборони</w:t>
      </w:r>
      <w:r w:rsidRPr="000977F7">
        <w:rPr>
          <w:rFonts w:asciiTheme="majorHAnsi" w:hAnsiTheme="majorHAnsi"/>
          <w:spacing w:val="-5"/>
          <w:sz w:val="20"/>
          <w:szCs w:val="20"/>
        </w:rPr>
        <w:t xml:space="preserve"> </w:t>
      </w:r>
      <w:r w:rsidRPr="000977F7">
        <w:rPr>
          <w:rFonts w:asciiTheme="majorHAnsi" w:hAnsiTheme="majorHAnsi"/>
          <w:sz w:val="20"/>
          <w:szCs w:val="20"/>
        </w:rPr>
        <w:t>держави</w:t>
      </w:r>
    </w:p>
    <w:p w14:paraId="5E576E7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3278 - 95</w:t>
      </w:r>
    </w:p>
    <w:p w14:paraId="5B36803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ПРОЕКТ;</w:t>
      </w:r>
      <w:r w:rsidRPr="000977F7">
        <w:rPr>
          <w:color w:val="auto"/>
          <w:spacing w:val="-4"/>
          <w:sz w:val="20"/>
          <w:szCs w:val="20"/>
        </w:rPr>
        <w:t xml:space="preserve"> </w:t>
      </w:r>
      <w:r w:rsidRPr="000977F7">
        <w:rPr>
          <w:color w:val="auto"/>
          <w:sz w:val="20"/>
          <w:szCs w:val="20"/>
        </w:rPr>
        <w:t>ПРОЕКТУВАННЯ</w:t>
      </w:r>
      <w:r w:rsidRPr="000977F7">
        <w:rPr>
          <w:color w:val="auto"/>
          <w:spacing w:val="-1"/>
          <w:sz w:val="20"/>
          <w:szCs w:val="20"/>
        </w:rPr>
        <w:t xml:space="preserve"> </w:t>
      </w:r>
      <w:r w:rsidRPr="000977F7">
        <w:rPr>
          <w:color w:val="auto"/>
          <w:sz w:val="20"/>
          <w:szCs w:val="20"/>
        </w:rPr>
        <w:t>–</w:t>
      </w:r>
    </w:p>
    <w:p w14:paraId="54E25AE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PROJECT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0AC754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Унікальний</w:t>
      </w:r>
      <w:r w:rsidRPr="000977F7">
        <w:rPr>
          <w:rFonts w:asciiTheme="majorHAnsi" w:hAnsiTheme="majorHAnsi"/>
          <w:spacing w:val="1"/>
          <w:sz w:val="20"/>
          <w:szCs w:val="20"/>
        </w:rPr>
        <w:t xml:space="preserve"> </w:t>
      </w:r>
      <w:r w:rsidRPr="000977F7">
        <w:rPr>
          <w:rFonts w:asciiTheme="majorHAnsi" w:hAnsiTheme="majorHAnsi"/>
          <w:sz w:val="20"/>
          <w:szCs w:val="20"/>
        </w:rPr>
        <w:t>процес,</w:t>
      </w:r>
      <w:r w:rsidRPr="000977F7">
        <w:rPr>
          <w:rFonts w:asciiTheme="majorHAnsi" w:hAnsiTheme="majorHAnsi"/>
          <w:spacing w:val="1"/>
          <w:sz w:val="20"/>
          <w:szCs w:val="20"/>
        </w:rPr>
        <w:t xml:space="preserve"> </w:t>
      </w:r>
      <w:r w:rsidRPr="000977F7">
        <w:rPr>
          <w:rFonts w:asciiTheme="majorHAnsi" w:hAnsiTheme="majorHAnsi"/>
          <w:sz w:val="20"/>
          <w:szCs w:val="20"/>
        </w:rPr>
        <w:t>наслідок</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складається із сукупності скоординованих і контрольованих</w:t>
      </w:r>
      <w:r w:rsidRPr="000977F7">
        <w:rPr>
          <w:rFonts w:asciiTheme="majorHAnsi" w:hAnsiTheme="majorHAnsi"/>
          <w:spacing w:val="1"/>
          <w:sz w:val="20"/>
          <w:szCs w:val="20"/>
        </w:rPr>
        <w:t xml:space="preserve"> </w:t>
      </w:r>
      <w:r w:rsidRPr="000977F7">
        <w:rPr>
          <w:rFonts w:asciiTheme="majorHAnsi" w:hAnsiTheme="majorHAnsi"/>
          <w:sz w:val="20"/>
          <w:szCs w:val="20"/>
        </w:rPr>
        <w:t>дій з датами початку та закінчення, що його виконують задля досягнення цілі, яка відповідає конкретним</w:t>
      </w:r>
      <w:r w:rsidRPr="000977F7">
        <w:rPr>
          <w:rFonts w:asciiTheme="majorHAnsi" w:hAnsiTheme="majorHAnsi"/>
          <w:spacing w:val="1"/>
          <w:sz w:val="20"/>
          <w:szCs w:val="20"/>
        </w:rPr>
        <w:t xml:space="preserve"> </w:t>
      </w:r>
      <w:r w:rsidRPr="000977F7">
        <w:rPr>
          <w:rFonts w:asciiTheme="majorHAnsi" w:hAnsiTheme="majorHAnsi"/>
          <w:sz w:val="20"/>
          <w:szCs w:val="20"/>
        </w:rPr>
        <w:t>вимогам, і який має обмеження щодо строку, вартості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p>
    <w:p w14:paraId="1BF5E60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1"/>
          <w:sz w:val="20"/>
          <w:szCs w:val="20"/>
        </w:rPr>
        <w:t xml:space="preserve"> </w:t>
      </w:r>
      <w:r w:rsidRPr="000977F7">
        <w:rPr>
          <w:rFonts w:asciiTheme="majorHAnsi" w:hAnsiTheme="majorHAnsi"/>
          <w:sz w:val="20"/>
          <w:szCs w:val="20"/>
        </w:rPr>
        <w:t>1.</w:t>
      </w:r>
      <w:r w:rsidRPr="000977F7">
        <w:rPr>
          <w:rFonts w:asciiTheme="majorHAnsi" w:hAnsiTheme="majorHAnsi"/>
          <w:spacing w:val="1"/>
          <w:sz w:val="20"/>
          <w:szCs w:val="20"/>
        </w:rPr>
        <w:t xml:space="preserve"> </w:t>
      </w:r>
      <w:r w:rsidRPr="000977F7">
        <w:rPr>
          <w:rFonts w:asciiTheme="majorHAnsi" w:hAnsiTheme="majorHAnsi"/>
          <w:sz w:val="20"/>
          <w:szCs w:val="20"/>
        </w:rPr>
        <w:t>Окремий</w:t>
      </w:r>
      <w:r w:rsidRPr="000977F7">
        <w:rPr>
          <w:rFonts w:asciiTheme="majorHAnsi" w:hAnsiTheme="majorHAnsi"/>
          <w:spacing w:val="1"/>
          <w:sz w:val="20"/>
          <w:szCs w:val="20"/>
        </w:rPr>
        <w:t xml:space="preserve"> </w:t>
      </w:r>
      <w:r w:rsidRPr="000977F7">
        <w:rPr>
          <w:rFonts w:asciiTheme="majorHAnsi" w:hAnsiTheme="majorHAnsi"/>
          <w:sz w:val="20"/>
          <w:szCs w:val="20"/>
        </w:rPr>
        <w:t>проект</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частиною</w:t>
      </w:r>
      <w:r w:rsidRPr="000977F7">
        <w:rPr>
          <w:rFonts w:asciiTheme="majorHAnsi" w:hAnsiTheme="majorHAnsi"/>
          <w:spacing w:val="1"/>
          <w:sz w:val="20"/>
          <w:szCs w:val="20"/>
        </w:rPr>
        <w:t xml:space="preserve"> </w:t>
      </w:r>
      <w:r w:rsidRPr="000977F7">
        <w:rPr>
          <w:rFonts w:asciiTheme="majorHAnsi" w:hAnsiTheme="majorHAnsi"/>
          <w:sz w:val="20"/>
          <w:szCs w:val="20"/>
        </w:rPr>
        <w:t>структури</w:t>
      </w:r>
      <w:r w:rsidRPr="000977F7">
        <w:rPr>
          <w:rFonts w:asciiTheme="majorHAnsi" w:hAnsiTheme="majorHAnsi"/>
          <w:spacing w:val="1"/>
          <w:sz w:val="20"/>
          <w:szCs w:val="20"/>
        </w:rPr>
        <w:t xml:space="preserve"> </w:t>
      </w:r>
      <w:r w:rsidRPr="000977F7">
        <w:rPr>
          <w:rFonts w:asciiTheme="majorHAnsi" w:hAnsiTheme="majorHAnsi"/>
          <w:sz w:val="20"/>
          <w:szCs w:val="20"/>
        </w:rPr>
        <w:t>масштабнішого</w:t>
      </w:r>
      <w:r w:rsidRPr="000977F7">
        <w:rPr>
          <w:rFonts w:asciiTheme="majorHAnsi" w:hAnsiTheme="majorHAnsi"/>
          <w:spacing w:val="1"/>
          <w:sz w:val="20"/>
          <w:szCs w:val="20"/>
        </w:rPr>
        <w:t xml:space="preserve"> </w:t>
      </w:r>
      <w:r w:rsidRPr="000977F7">
        <w:rPr>
          <w:rFonts w:asciiTheme="majorHAnsi" w:hAnsiTheme="majorHAnsi"/>
          <w:sz w:val="20"/>
          <w:szCs w:val="20"/>
        </w:rPr>
        <w:t>проекту</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зазвичай</w:t>
      </w:r>
      <w:r w:rsidRPr="000977F7">
        <w:rPr>
          <w:rFonts w:asciiTheme="majorHAnsi" w:hAnsiTheme="majorHAnsi"/>
          <w:spacing w:val="1"/>
          <w:sz w:val="20"/>
          <w:szCs w:val="20"/>
        </w:rPr>
        <w:t xml:space="preserve"> </w:t>
      </w:r>
      <w:r w:rsidRPr="000977F7">
        <w:rPr>
          <w:rFonts w:asciiTheme="majorHAnsi" w:hAnsiTheme="majorHAnsi"/>
          <w:sz w:val="20"/>
          <w:szCs w:val="20"/>
        </w:rPr>
        <w:t>має</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встановлені</w:t>
      </w:r>
      <w:r w:rsidRPr="000977F7">
        <w:rPr>
          <w:rFonts w:asciiTheme="majorHAnsi" w:hAnsiTheme="majorHAnsi"/>
          <w:spacing w:val="-1"/>
          <w:sz w:val="20"/>
          <w:szCs w:val="20"/>
        </w:rPr>
        <w:t xml:space="preserve"> </w:t>
      </w:r>
      <w:r w:rsidRPr="000977F7">
        <w:rPr>
          <w:rFonts w:asciiTheme="majorHAnsi" w:hAnsiTheme="majorHAnsi"/>
          <w:sz w:val="20"/>
          <w:szCs w:val="20"/>
        </w:rPr>
        <w:t>дати</w:t>
      </w:r>
    </w:p>
    <w:p w14:paraId="438712B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початку</w:t>
      </w:r>
      <w:r w:rsidRPr="000977F7">
        <w:rPr>
          <w:rFonts w:asciiTheme="majorHAnsi" w:hAnsiTheme="majorHAnsi"/>
          <w:spacing w:val="-5"/>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кінця.</w:t>
      </w:r>
    </w:p>
    <w:p w14:paraId="2FE574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2. У деяких проектах цілі та сферу застосування актуалізують, а характеристики продукції чи по</w:t>
      </w:r>
      <w:r w:rsidRPr="000977F7">
        <w:rPr>
          <w:rFonts w:asciiTheme="majorHAnsi" w:hAnsiTheme="majorHAnsi"/>
          <w:spacing w:val="1"/>
          <w:sz w:val="20"/>
          <w:szCs w:val="20"/>
        </w:rPr>
        <w:t xml:space="preserve"> </w:t>
      </w:r>
      <w:r w:rsidRPr="000977F7">
        <w:rPr>
          <w:rFonts w:asciiTheme="majorHAnsi" w:hAnsiTheme="majorHAnsi"/>
          <w:sz w:val="20"/>
          <w:szCs w:val="20"/>
        </w:rPr>
        <w:t>слуги визначають поступово в ході виконання проекту.</w:t>
      </w:r>
    </w:p>
    <w:p w14:paraId="10A04AC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3. Виходом проекту може бути одна чи кілька</w:t>
      </w:r>
      <w:r w:rsidRPr="000977F7">
        <w:rPr>
          <w:rFonts w:asciiTheme="majorHAnsi" w:hAnsiTheme="majorHAnsi"/>
          <w:spacing w:val="-1"/>
          <w:sz w:val="20"/>
          <w:szCs w:val="20"/>
        </w:rPr>
        <w:t xml:space="preserve"> </w:t>
      </w:r>
      <w:r w:rsidRPr="000977F7">
        <w:rPr>
          <w:rFonts w:asciiTheme="majorHAnsi" w:hAnsiTheme="majorHAnsi"/>
          <w:sz w:val="20"/>
          <w:szCs w:val="20"/>
        </w:rPr>
        <w:t>одиниць</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послуги.</w:t>
      </w:r>
    </w:p>
    <w:p w14:paraId="70620DF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4. Відповідальна за проект організація є зазвичай тимчасовою, її створюють на період виконання</w:t>
      </w:r>
      <w:r w:rsidRPr="000977F7">
        <w:rPr>
          <w:rFonts w:asciiTheme="majorHAnsi" w:hAnsiTheme="majorHAnsi"/>
          <w:spacing w:val="-47"/>
          <w:sz w:val="20"/>
          <w:szCs w:val="20"/>
        </w:rPr>
        <w:t xml:space="preserve"> </w:t>
      </w:r>
      <w:r w:rsidRPr="000977F7">
        <w:rPr>
          <w:rFonts w:asciiTheme="majorHAnsi" w:hAnsiTheme="majorHAnsi"/>
          <w:sz w:val="20"/>
          <w:szCs w:val="20"/>
        </w:rPr>
        <w:t>проекту.</w:t>
      </w:r>
    </w:p>
    <w:p w14:paraId="7CBE636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5. Складність взаємодій між видами робіт у</w:t>
      </w:r>
      <w:r w:rsidRPr="000977F7">
        <w:rPr>
          <w:rFonts w:asciiTheme="majorHAnsi" w:hAnsiTheme="majorHAnsi"/>
          <w:spacing w:val="1"/>
          <w:sz w:val="20"/>
          <w:szCs w:val="20"/>
        </w:rPr>
        <w:t xml:space="preserve"> </w:t>
      </w:r>
      <w:r w:rsidRPr="000977F7">
        <w:rPr>
          <w:rFonts w:asciiTheme="majorHAnsi" w:hAnsiTheme="majorHAnsi"/>
          <w:sz w:val="20"/>
          <w:szCs w:val="20"/>
        </w:rPr>
        <w:t>межах проекту не обов’язково пов’язана з розміром</w:t>
      </w:r>
      <w:r w:rsidRPr="000977F7">
        <w:rPr>
          <w:rFonts w:asciiTheme="majorHAnsi" w:hAnsiTheme="majorHAnsi"/>
          <w:spacing w:val="1"/>
          <w:sz w:val="20"/>
          <w:szCs w:val="20"/>
        </w:rPr>
        <w:t xml:space="preserve"> </w:t>
      </w:r>
      <w:r w:rsidRPr="000977F7">
        <w:rPr>
          <w:rFonts w:asciiTheme="majorHAnsi" w:hAnsiTheme="majorHAnsi"/>
          <w:sz w:val="20"/>
          <w:szCs w:val="20"/>
        </w:rPr>
        <w:t>проекту</w:t>
      </w:r>
    </w:p>
    <w:p w14:paraId="2EF7E90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77B40C4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Тимчасова</w:t>
      </w:r>
      <w:r w:rsidRPr="000977F7">
        <w:rPr>
          <w:rFonts w:asciiTheme="majorHAnsi" w:hAnsiTheme="majorHAnsi"/>
          <w:spacing w:val="28"/>
          <w:sz w:val="20"/>
          <w:szCs w:val="20"/>
        </w:rPr>
        <w:t xml:space="preserve"> </w:t>
      </w:r>
      <w:r w:rsidRPr="000977F7">
        <w:rPr>
          <w:rFonts w:asciiTheme="majorHAnsi" w:hAnsiTheme="majorHAnsi"/>
          <w:sz w:val="20"/>
          <w:szCs w:val="20"/>
        </w:rPr>
        <w:t>дія,</w:t>
      </w:r>
      <w:r w:rsidRPr="000977F7">
        <w:rPr>
          <w:rFonts w:asciiTheme="majorHAnsi" w:hAnsiTheme="majorHAnsi"/>
          <w:spacing w:val="28"/>
          <w:sz w:val="20"/>
          <w:szCs w:val="20"/>
        </w:rPr>
        <w:t xml:space="preserve"> </w:t>
      </w:r>
      <w:r w:rsidRPr="000977F7">
        <w:rPr>
          <w:rFonts w:asciiTheme="majorHAnsi" w:hAnsiTheme="majorHAnsi"/>
          <w:sz w:val="20"/>
          <w:szCs w:val="20"/>
        </w:rPr>
        <w:t>що</w:t>
      </w:r>
      <w:r w:rsidRPr="000977F7">
        <w:rPr>
          <w:rFonts w:asciiTheme="majorHAnsi" w:hAnsiTheme="majorHAnsi"/>
          <w:spacing w:val="29"/>
          <w:sz w:val="20"/>
          <w:szCs w:val="20"/>
        </w:rPr>
        <w:t xml:space="preserve"> </w:t>
      </w:r>
      <w:r w:rsidRPr="000977F7">
        <w:rPr>
          <w:rFonts w:asciiTheme="majorHAnsi" w:hAnsiTheme="majorHAnsi"/>
          <w:sz w:val="20"/>
          <w:szCs w:val="20"/>
        </w:rPr>
        <w:t>виконується</w:t>
      </w:r>
      <w:r w:rsidRPr="000977F7">
        <w:rPr>
          <w:rFonts w:asciiTheme="majorHAnsi" w:hAnsiTheme="majorHAnsi"/>
          <w:spacing w:val="27"/>
          <w:sz w:val="20"/>
          <w:szCs w:val="20"/>
        </w:rPr>
        <w:t xml:space="preserve"> </w:t>
      </w:r>
      <w:r w:rsidRPr="000977F7">
        <w:rPr>
          <w:rFonts w:asciiTheme="majorHAnsi" w:hAnsiTheme="majorHAnsi"/>
          <w:sz w:val="20"/>
          <w:szCs w:val="20"/>
        </w:rPr>
        <w:t>для</w:t>
      </w:r>
      <w:r w:rsidRPr="000977F7">
        <w:rPr>
          <w:rFonts w:asciiTheme="majorHAnsi" w:hAnsiTheme="majorHAnsi"/>
          <w:spacing w:val="27"/>
          <w:sz w:val="20"/>
          <w:szCs w:val="20"/>
        </w:rPr>
        <w:t xml:space="preserve"> </w:t>
      </w:r>
      <w:r w:rsidRPr="000977F7">
        <w:rPr>
          <w:rFonts w:asciiTheme="majorHAnsi" w:hAnsiTheme="majorHAnsi"/>
          <w:sz w:val="20"/>
          <w:szCs w:val="20"/>
        </w:rPr>
        <w:t>створення</w:t>
      </w:r>
      <w:r w:rsidRPr="000977F7">
        <w:rPr>
          <w:rFonts w:asciiTheme="majorHAnsi" w:hAnsiTheme="majorHAnsi"/>
          <w:spacing w:val="30"/>
          <w:sz w:val="20"/>
          <w:szCs w:val="20"/>
        </w:rPr>
        <w:t xml:space="preserve"> </w:t>
      </w:r>
      <w:r w:rsidRPr="000977F7">
        <w:rPr>
          <w:rFonts w:asciiTheme="majorHAnsi" w:hAnsiTheme="majorHAnsi"/>
          <w:sz w:val="20"/>
          <w:szCs w:val="20"/>
        </w:rPr>
        <w:t>унікального продукту</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послуги</w:t>
      </w:r>
    </w:p>
    <w:p w14:paraId="514721D5" w14:textId="77777777" w:rsidR="0097612F" w:rsidRPr="000977F7" w:rsidRDefault="0097612F" w:rsidP="000977F7">
      <w:pPr>
        <w:tabs>
          <w:tab w:val="left" w:pos="284"/>
        </w:tabs>
        <w:spacing w:after="0" w:line="240" w:lineRule="auto"/>
        <w:ind w:left="170"/>
        <w:mirrorIndents/>
        <w:jc w:val="both"/>
        <w:rPr>
          <w:rFonts w:asciiTheme="majorHAnsi" w:hAnsiTheme="majorHAnsi"/>
          <w:i/>
          <w:w w:val="137"/>
          <w:sz w:val="20"/>
          <w:szCs w:val="20"/>
        </w:rPr>
      </w:pPr>
      <w:r w:rsidRPr="000977F7">
        <w:rPr>
          <w:rFonts w:asciiTheme="majorHAnsi" w:hAnsiTheme="majorHAnsi"/>
          <w:i/>
          <w:spacing w:val="-1"/>
          <w:w w:val="99"/>
          <w:sz w:val="20"/>
          <w:szCs w:val="20"/>
        </w:rPr>
        <w:t>Ке</w:t>
      </w:r>
      <w:r w:rsidRPr="000977F7">
        <w:rPr>
          <w:rFonts w:asciiTheme="majorHAnsi" w:hAnsiTheme="majorHAnsi"/>
          <w:i/>
          <w:w w:val="99"/>
          <w:sz w:val="20"/>
          <w:szCs w:val="20"/>
        </w:rPr>
        <w:t>р.</w:t>
      </w:r>
      <w:r w:rsidRPr="000977F7">
        <w:rPr>
          <w:rFonts w:asciiTheme="majorHAnsi" w:hAnsiTheme="majorHAnsi"/>
          <w:i/>
          <w:sz w:val="20"/>
          <w:szCs w:val="20"/>
        </w:rPr>
        <w:t xml:space="preserve"> </w:t>
      </w:r>
      <w:r w:rsidRPr="000977F7">
        <w:rPr>
          <w:rFonts w:asciiTheme="majorHAnsi" w:hAnsiTheme="majorHAnsi"/>
          <w:i/>
          <w:spacing w:val="1"/>
          <w:w w:val="99"/>
          <w:sz w:val="20"/>
          <w:szCs w:val="20"/>
        </w:rPr>
        <w:t>про</w:t>
      </w:r>
      <w:r w:rsidRPr="000977F7">
        <w:rPr>
          <w:rFonts w:asciiTheme="majorHAnsi" w:hAnsiTheme="majorHAnsi"/>
          <w:i/>
          <w:w w:val="99"/>
          <w:sz w:val="20"/>
          <w:szCs w:val="20"/>
        </w:rPr>
        <w:t>ек</w:t>
      </w:r>
      <w:r w:rsidRPr="000977F7">
        <w:rPr>
          <w:rFonts w:asciiTheme="majorHAnsi" w:hAnsiTheme="majorHAnsi"/>
          <w:i/>
          <w:spacing w:val="-1"/>
          <w:w w:val="99"/>
          <w:sz w:val="20"/>
          <w:szCs w:val="20"/>
        </w:rPr>
        <w:t>тн</w:t>
      </w:r>
      <w:r w:rsidRPr="000977F7">
        <w:rPr>
          <w:rFonts w:asciiTheme="majorHAnsi" w:hAnsiTheme="majorHAnsi"/>
          <w:i/>
          <w:w w:val="99"/>
          <w:sz w:val="20"/>
          <w:szCs w:val="20"/>
        </w:rPr>
        <w:t>.</w:t>
      </w:r>
      <w:r w:rsidRPr="000977F7">
        <w:rPr>
          <w:rFonts w:asciiTheme="majorHAnsi" w:hAnsiTheme="majorHAnsi"/>
          <w:i/>
          <w:sz w:val="20"/>
          <w:szCs w:val="20"/>
        </w:rPr>
        <w:t xml:space="preserve"> </w:t>
      </w:r>
      <w:r w:rsidRPr="000977F7">
        <w:rPr>
          <w:rFonts w:asciiTheme="majorHAnsi" w:hAnsiTheme="majorHAnsi"/>
          <w:i/>
          <w:spacing w:val="-1"/>
          <w:w w:val="99"/>
          <w:sz w:val="20"/>
          <w:szCs w:val="20"/>
        </w:rPr>
        <w:t>менеджм</w:t>
      </w:r>
      <w:r w:rsidRPr="000977F7">
        <w:rPr>
          <w:rFonts w:asciiTheme="majorHAnsi" w:hAnsiTheme="majorHAnsi"/>
          <w:i/>
          <w:spacing w:val="3"/>
          <w:w w:val="99"/>
          <w:sz w:val="20"/>
          <w:szCs w:val="20"/>
        </w:rPr>
        <w:t>.</w:t>
      </w:r>
      <w:r w:rsidRPr="000977F7">
        <w:rPr>
          <w:rFonts w:asciiTheme="majorHAnsi" w:hAnsiTheme="majorHAnsi"/>
          <w:i/>
          <w:w w:val="99"/>
          <w:sz w:val="20"/>
          <w:szCs w:val="20"/>
        </w:rPr>
        <w:t>-</w:t>
      </w:r>
      <w:r w:rsidRPr="000977F7">
        <w:rPr>
          <w:rFonts w:asciiTheme="majorHAnsi" w:hAnsiTheme="majorHAnsi"/>
          <w:i/>
          <w:spacing w:val="2"/>
          <w:w w:val="99"/>
          <w:sz w:val="20"/>
          <w:szCs w:val="20"/>
        </w:rPr>
        <w:t>т</w:t>
      </w:r>
      <w:r w:rsidRPr="000977F7">
        <w:rPr>
          <w:rFonts w:asciiTheme="majorHAnsi" w:hAnsiTheme="majorHAnsi"/>
          <w:i/>
          <w:w w:val="137"/>
          <w:sz w:val="20"/>
          <w:szCs w:val="20"/>
        </w:rPr>
        <w:t>у</w:t>
      </w:r>
    </w:p>
    <w:p w14:paraId="30E9CAE9" w14:textId="77777777" w:rsidR="0097612F" w:rsidRPr="000977F7" w:rsidRDefault="0097612F" w:rsidP="000977F7">
      <w:pPr>
        <w:pStyle w:val="7"/>
        <w:tabs>
          <w:tab w:val="left" w:pos="284"/>
        </w:tabs>
        <w:spacing w:before="0" w:line="240" w:lineRule="auto"/>
        <w:ind w:left="170"/>
        <w:mirrorIndents/>
        <w:jc w:val="both"/>
        <w:rPr>
          <w:caps/>
          <w:color w:val="auto"/>
          <w:sz w:val="20"/>
          <w:szCs w:val="20"/>
        </w:rPr>
      </w:pPr>
      <w:r w:rsidRPr="000977F7">
        <w:rPr>
          <w:caps/>
          <w:color w:val="auto"/>
          <w:sz w:val="20"/>
          <w:szCs w:val="20"/>
        </w:rPr>
        <w:t>Проектування та розробляння, проект і розробка -</w:t>
      </w:r>
    </w:p>
    <w:p w14:paraId="141A2104" w14:textId="77777777" w:rsidR="0097612F" w:rsidRPr="004D2D14" w:rsidRDefault="0097612F" w:rsidP="000977F7">
      <w:pPr>
        <w:pStyle w:val="af6"/>
        <w:tabs>
          <w:tab w:val="left" w:pos="284"/>
        </w:tabs>
        <w:spacing w:after="0"/>
        <w:ind w:left="170"/>
        <w:mirrorIndents/>
        <w:jc w:val="both"/>
        <w:rPr>
          <w:rFonts w:asciiTheme="majorHAnsi" w:hAnsiTheme="majorHAnsi"/>
          <w:caps/>
          <w:sz w:val="20"/>
          <w:szCs w:val="20"/>
          <w:lang w:val="uk-UA"/>
        </w:rPr>
      </w:pPr>
      <w:r w:rsidRPr="000977F7">
        <w:rPr>
          <w:rFonts w:asciiTheme="majorHAnsi" w:hAnsiTheme="majorHAnsi"/>
          <w:caps/>
          <w:sz w:val="20"/>
          <w:szCs w:val="20"/>
        </w:rPr>
        <w:t>Design</w:t>
      </w:r>
      <w:r w:rsidRPr="004D2D14">
        <w:rPr>
          <w:rFonts w:asciiTheme="majorHAnsi" w:hAnsiTheme="majorHAnsi"/>
          <w:caps/>
          <w:sz w:val="20"/>
          <w:szCs w:val="20"/>
          <w:lang w:val="uk-UA"/>
        </w:rPr>
        <w:t xml:space="preserve"> </w:t>
      </w:r>
      <w:r w:rsidRPr="000977F7">
        <w:rPr>
          <w:rFonts w:asciiTheme="majorHAnsi" w:hAnsiTheme="majorHAnsi"/>
          <w:caps/>
          <w:sz w:val="20"/>
          <w:szCs w:val="20"/>
        </w:rPr>
        <w:t>and</w:t>
      </w:r>
      <w:r w:rsidRPr="004D2D14">
        <w:rPr>
          <w:rFonts w:asciiTheme="majorHAnsi" w:hAnsiTheme="majorHAnsi"/>
          <w:caps/>
          <w:sz w:val="20"/>
          <w:szCs w:val="20"/>
          <w:lang w:val="uk-UA"/>
        </w:rPr>
        <w:t xml:space="preserve"> </w:t>
      </w:r>
      <w:r w:rsidRPr="000977F7">
        <w:rPr>
          <w:rFonts w:asciiTheme="majorHAnsi" w:hAnsiTheme="majorHAnsi"/>
          <w:caps/>
          <w:sz w:val="20"/>
          <w:szCs w:val="20"/>
        </w:rPr>
        <w:t>development</w:t>
      </w:r>
      <w:r w:rsidRPr="004D2D14">
        <w:rPr>
          <w:rFonts w:asciiTheme="majorHAnsi" w:hAnsiTheme="majorHAnsi"/>
          <w:caps/>
          <w:sz w:val="20"/>
          <w:szCs w:val="20"/>
          <w:lang w:val="uk-UA"/>
        </w:rPr>
        <w:t xml:space="preserve"> -</w:t>
      </w:r>
    </w:p>
    <w:p w14:paraId="49715E2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Сукупність процесів, наслідків процесів, які перетворюють вимоги до об’єкта у докладніші вимоги до цього об’єкта</w:t>
      </w:r>
    </w:p>
    <w:p w14:paraId="1D361E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Примітка 1. Вимоги, що становлять вхід до проектування та розробляння, часто є результатом дослідження, їх може бути висловлено в ширшому, загальнішому сенсі, ніж вимоги, що становлять вихід проектування та розробляння. Вимоги зазвичай визначають у термінах характеристик. У проекті може бути кілька стадій проектування та розробляння.</w:t>
      </w:r>
    </w:p>
    <w:p w14:paraId="4031FD38"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i/>
          <w:color w:val="auto"/>
          <w:sz w:val="20"/>
          <w:szCs w:val="20"/>
        </w:rPr>
        <w:t>ДСТУ</w:t>
      </w:r>
      <w:r w:rsidRPr="000977F7">
        <w:rPr>
          <w:b w:val="0"/>
          <w:bCs/>
          <w:i/>
          <w:color w:val="auto"/>
          <w:spacing w:val="-3"/>
          <w:sz w:val="20"/>
          <w:szCs w:val="20"/>
        </w:rPr>
        <w:t xml:space="preserve"> </w:t>
      </w:r>
      <w:r w:rsidRPr="000977F7">
        <w:rPr>
          <w:b w:val="0"/>
          <w:bCs/>
          <w:i/>
          <w:color w:val="auto"/>
          <w:sz w:val="20"/>
          <w:szCs w:val="20"/>
        </w:rPr>
        <w:t>ISO</w:t>
      </w:r>
      <w:r w:rsidRPr="000977F7">
        <w:rPr>
          <w:b w:val="0"/>
          <w:bCs/>
          <w:i/>
          <w:color w:val="auto"/>
          <w:spacing w:val="-2"/>
          <w:sz w:val="20"/>
          <w:szCs w:val="20"/>
        </w:rPr>
        <w:t xml:space="preserve"> </w:t>
      </w:r>
      <w:r w:rsidRPr="000977F7">
        <w:rPr>
          <w:b w:val="0"/>
          <w:bCs/>
          <w:i/>
          <w:color w:val="auto"/>
          <w:sz w:val="20"/>
          <w:szCs w:val="20"/>
        </w:rPr>
        <w:t>9000:2015</w:t>
      </w:r>
    </w:p>
    <w:p w14:paraId="58CC33FF"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ПРОЕКТ СТАНДАРТУ –</w:t>
      </w:r>
    </w:p>
    <w:p w14:paraId="2CF391A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DRAFT</w:t>
      </w:r>
      <w:r w:rsidRPr="000977F7">
        <w:rPr>
          <w:rFonts w:asciiTheme="majorHAnsi" w:hAnsiTheme="majorHAnsi"/>
          <w:spacing w:val="1"/>
          <w:sz w:val="20"/>
          <w:szCs w:val="20"/>
        </w:rPr>
        <w:t xml:space="preserve"> </w:t>
      </w:r>
      <w:r w:rsidRPr="000977F7">
        <w:rPr>
          <w:rFonts w:asciiTheme="majorHAnsi" w:hAnsiTheme="majorHAnsi"/>
          <w:sz w:val="20"/>
          <w:szCs w:val="20"/>
        </w:rPr>
        <w:t>STANDARD –</w:t>
      </w:r>
    </w:p>
    <w:p w14:paraId="1726BF1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6"/>
          <w:sz w:val="20"/>
          <w:szCs w:val="20"/>
        </w:rPr>
        <w:t>Рукопис</w:t>
      </w:r>
      <w:r w:rsidRPr="000977F7">
        <w:rPr>
          <w:rFonts w:asciiTheme="majorHAnsi" w:hAnsiTheme="majorHAnsi"/>
          <w:spacing w:val="-1"/>
          <w:sz w:val="20"/>
          <w:szCs w:val="20"/>
        </w:rPr>
        <w:t xml:space="preserve"> </w:t>
      </w:r>
      <w:r w:rsidRPr="000977F7">
        <w:rPr>
          <w:rFonts w:asciiTheme="majorHAnsi" w:hAnsiTheme="majorHAnsi"/>
          <w:spacing w:val="-6"/>
          <w:sz w:val="20"/>
          <w:szCs w:val="20"/>
        </w:rPr>
        <w:t>пропонованого</w:t>
      </w:r>
      <w:r w:rsidRPr="000977F7">
        <w:rPr>
          <w:rFonts w:asciiTheme="majorHAnsi" w:hAnsiTheme="majorHAnsi"/>
          <w:sz w:val="20"/>
          <w:szCs w:val="20"/>
        </w:rPr>
        <w:t xml:space="preserve"> </w:t>
      </w:r>
      <w:r w:rsidRPr="000977F7">
        <w:rPr>
          <w:rFonts w:asciiTheme="majorHAnsi" w:hAnsiTheme="majorHAnsi"/>
          <w:spacing w:val="-6"/>
          <w:sz w:val="20"/>
          <w:szCs w:val="20"/>
        </w:rPr>
        <w:t>стандарту,</w:t>
      </w:r>
      <w:r w:rsidRPr="000977F7">
        <w:rPr>
          <w:rFonts w:asciiTheme="majorHAnsi" w:hAnsiTheme="majorHAnsi"/>
          <w:spacing w:val="-1"/>
          <w:sz w:val="20"/>
          <w:szCs w:val="20"/>
        </w:rPr>
        <w:t xml:space="preserve"> </w:t>
      </w:r>
      <w:r w:rsidRPr="000977F7">
        <w:rPr>
          <w:rFonts w:asciiTheme="majorHAnsi" w:hAnsiTheme="majorHAnsi"/>
          <w:spacing w:val="-6"/>
          <w:sz w:val="20"/>
          <w:szCs w:val="20"/>
        </w:rPr>
        <w:t>який</w:t>
      </w:r>
      <w:r w:rsidRPr="000977F7">
        <w:rPr>
          <w:rFonts w:asciiTheme="majorHAnsi" w:hAnsiTheme="majorHAnsi"/>
          <w:spacing w:val="-4"/>
          <w:sz w:val="20"/>
          <w:szCs w:val="20"/>
        </w:rPr>
        <w:t xml:space="preserve"> </w:t>
      </w:r>
      <w:r w:rsidRPr="000977F7">
        <w:rPr>
          <w:rFonts w:asciiTheme="majorHAnsi" w:hAnsiTheme="majorHAnsi"/>
          <w:spacing w:val="-6"/>
          <w:sz w:val="20"/>
          <w:szCs w:val="20"/>
        </w:rPr>
        <w:t>є</w:t>
      </w:r>
      <w:r w:rsidRPr="000977F7">
        <w:rPr>
          <w:rFonts w:asciiTheme="majorHAnsi" w:hAnsiTheme="majorHAnsi"/>
          <w:spacing w:val="-1"/>
          <w:sz w:val="20"/>
          <w:szCs w:val="20"/>
        </w:rPr>
        <w:t xml:space="preserve"> </w:t>
      </w:r>
      <w:r w:rsidRPr="000977F7">
        <w:rPr>
          <w:rFonts w:asciiTheme="majorHAnsi" w:hAnsiTheme="majorHAnsi"/>
          <w:spacing w:val="-6"/>
          <w:sz w:val="20"/>
          <w:szCs w:val="20"/>
        </w:rPr>
        <w:t>широкодоступним</w:t>
      </w:r>
      <w:r w:rsidRPr="000977F7">
        <w:rPr>
          <w:rFonts w:asciiTheme="majorHAnsi" w:hAnsiTheme="majorHAnsi"/>
          <w:spacing w:val="-9"/>
          <w:sz w:val="20"/>
          <w:szCs w:val="20"/>
        </w:rPr>
        <w:t xml:space="preserve"> </w:t>
      </w:r>
      <w:r w:rsidRPr="000977F7">
        <w:rPr>
          <w:rFonts w:asciiTheme="majorHAnsi" w:hAnsiTheme="majorHAnsi"/>
          <w:spacing w:val="-6"/>
          <w:sz w:val="20"/>
          <w:szCs w:val="20"/>
        </w:rPr>
        <w:t>для</w:t>
      </w:r>
      <w:r w:rsidRPr="000977F7">
        <w:rPr>
          <w:rFonts w:asciiTheme="majorHAnsi" w:hAnsiTheme="majorHAnsi"/>
          <w:spacing w:val="-14"/>
          <w:sz w:val="20"/>
          <w:szCs w:val="20"/>
        </w:rPr>
        <w:t xml:space="preserve"> </w:t>
      </w:r>
      <w:r w:rsidRPr="000977F7">
        <w:rPr>
          <w:rFonts w:asciiTheme="majorHAnsi" w:hAnsiTheme="majorHAnsi"/>
          <w:spacing w:val="-6"/>
          <w:sz w:val="20"/>
          <w:szCs w:val="20"/>
        </w:rPr>
        <w:t>обговорення,</w:t>
      </w:r>
      <w:r w:rsidRPr="000977F7">
        <w:rPr>
          <w:rFonts w:asciiTheme="majorHAnsi" w:hAnsiTheme="majorHAnsi"/>
          <w:spacing w:val="-11"/>
          <w:sz w:val="20"/>
          <w:szCs w:val="20"/>
        </w:rPr>
        <w:t xml:space="preserve"> </w:t>
      </w:r>
      <w:r w:rsidRPr="000977F7">
        <w:rPr>
          <w:rFonts w:asciiTheme="majorHAnsi" w:hAnsiTheme="majorHAnsi"/>
          <w:spacing w:val="-6"/>
          <w:sz w:val="20"/>
          <w:szCs w:val="20"/>
        </w:rPr>
        <w:t>подання</w:t>
      </w:r>
      <w:r w:rsidRPr="000977F7">
        <w:rPr>
          <w:rFonts w:asciiTheme="majorHAnsi" w:hAnsiTheme="majorHAnsi"/>
          <w:spacing w:val="-11"/>
          <w:sz w:val="20"/>
          <w:szCs w:val="20"/>
        </w:rPr>
        <w:t xml:space="preserve"> </w:t>
      </w:r>
      <w:r w:rsidRPr="000977F7">
        <w:rPr>
          <w:rFonts w:asciiTheme="majorHAnsi" w:hAnsiTheme="majorHAnsi"/>
          <w:spacing w:val="-6"/>
          <w:sz w:val="20"/>
          <w:szCs w:val="20"/>
        </w:rPr>
        <w:t>пропозицій</w:t>
      </w:r>
      <w:r w:rsidRPr="000977F7">
        <w:rPr>
          <w:rFonts w:asciiTheme="majorHAnsi" w:hAnsiTheme="majorHAnsi"/>
          <w:spacing w:val="-12"/>
          <w:sz w:val="20"/>
          <w:szCs w:val="20"/>
        </w:rPr>
        <w:t xml:space="preserve"> </w:t>
      </w:r>
      <w:r w:rsidRPr="000977F7">
        <w:rPr>
          <w:rFonts w:asciiTheme="majorHAnsi" w:hAnsiTheme="majorHAnsi"/>
          <w:spacing w:val="-5"/>
          <w:sz w:val="20"/>
          <w:szCs w:val="20"/>
        </w:rPr>
        <w:t>чи</w:t>
      </w:r>
      <w:r w:rsidRPr="000977F7">
        <w:rPr>
          <w:rFonts w:asciiTheme="majorHAnsi" w:hAnsiTheme="majorHAnsi"/>
          <w:spacing w:val="-13"/>
          <w:sz w:val="20"/>
          <w:szCs w:val="20"/>
        </w:rPr>
        <w:t xml:space="preserve"> </w:t>
      </w:r>
      <w:r w:rsidRPr="000977F7">
        <w:rPr>
          <w:rFonts w:asciiTheme="majorHAnsi" w:hAnsiTheme="majorHAnsi"/>
          <w:spacing w:val="-5"/>
          <w:sz w:val="20"/>
          <w:szCs w:val="20"/>
        </w:rPr>
        <w:t>схвалення</w:t>
      </w:r>
    </w:p>
    <w:p w14:paraId="447D4A31"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0"/>
          <w:sz w:val="20"/>
          <w:szCs w:val="20"/>
        </w:rPr>
      </w:pPr>
      <w:r w:rsidRPr="000977F7">
        <w:rPr>
          <w:rFonts w:asciiTheme="majorHAnsi" w:hAnsiTheme="majorHAnsi"/>
          <w:i/>
          <w:spacing w:val="-12"/>
          <w:sz w:val="20"/>
          <w:szCs w:val="20"/>
        </w:rPr>
        <w:t xml:space="preserve">ДСТУ ISO/IEC </w:t>
      </w:r>
      <w:r w:rsidRPr="000977F7">
        <w:rPr>
          <w:rFonts w:asciiTheme="majorHAnsi" w:hAnsiTheme="majorHAnsi"/>
          <w:i/>
          <w:spacing w:val="-11"/>
          <w:sz w:val="20"/>
          <w:szCs w:val="20"/>
        </w:rPr>
        <w:t>17000:2007</w:t>
      </w:r>
    </w:p>
    <w:p w14:paraId="1594112C"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ПРОЕКТНА</w:t>
      </w:r>
      <w:r w:rsidRPr="000977F7">
        <w:rPr>
          <w:rFonts w:asciiTheme="majorHAnsi" w:hAnsiTheme="majorHAnsi"/>
          <w:b/>
          <w:spacing w:val="-2"/>
          <w:sz w:val="20"/>
          <w:szCs w:val="20"/>
        </w:rPr>
        <w:t xml:space="preserve"> </w:t>
      </w:r>
      <w:r w:rsidRPr="000977F7">
        <w:rPr>
          <w:rFonts w:asciiTheme="majorHAnsi" w:hAnsiTheme="majorHAnsi"/>
          <w:b/>
          <w:sz w:val="20"/>
          <w:szCs w:val="20"/>
        </w:rPr>
        <w:t>АВАРІЯ</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6C63708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DESIGN-BASIS</w:t>
      </w:r>
      <w:r w:rsidRPr="000977F7">
        <w:rPr>
          <w:rFonts w:asciiTheme="majorHAnsi" w:hAnsiTheme="majorHAnsi"/>
          <w:spacing w:val="-4"/>
          <w:sz w:val="20"/>
          <w:szCs w:val="20"/>
        </w:rPr>
        <w:t xml:space="preserve"> </w:t>
      </w:r>
      <w:r w:rsidRPr="000977F7">
        <w:rPr>
          <w:rFonts w:asciiTheme="majorHAnsi" w:hAnsiTheme="majorHAnsi"/>
          <w:sz w:val="20"/>
          <w:szCs w:val="20"/>
        </w:rPr>
        <w:t>ACCIDENT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DE066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Аварія, для якої проектом визначено вихідні події та</w:t>
      </w:r>
      <w:r w:rsidRPr="000977F7">
        <w:rPr>
          <w:rFonts w:asciiTheme="majorHAnsi" w:hAnsiTheme="majorHAnsi"/>
          <w:spacing w:val="1"/>
          <w:sz w:val="20"/>
          <w:szCs w:val="20"/>
        </w:rPr>
        <w:t xml:space="preserve"> </w:t>
      </w:r>
      <w:r w:rsidRPr="000977F7">
        <w:rPr>
          <w:rFonts w:asciiTheme="majorHAnsi" w:hAnsiTheme="majorHAnsi"/>
          <w:sz w:val="20"/>
          <w:szCs w:val="20"/>
        </w:rPr>
        <w:t>кінцеві стани, а також передбачені системи безпеки,</w:t>
      </w:r>
      <w:r w:rsidRPr="000977F7">
        <w:rPr>
          <w:rFonts w:asciiTheme="majorHAnsi" w:hAnsiTheme="majorHAnsi"/>
          <w:spacing w:val="1"/>
          <w:sz w:val="20"/>
          <w:szCs w:val="20"/>
        </w:rPr>
        <w:t xml:space="preserve"> </w:t>
      </w:r>
      <w:r w:rsidRPr="000977F7">
        <w:rPr>
          <w:rFonts w:asciiTheme="majorHAnsi" w:hAnsiTheme="majorHAnsi"/>
          <w:sz w:val="20"/>
          <w:szCs w:val="20"/>
        </w:rPr>
        <w:t>що забезпечують обмеження її</w:t>
      </w:r>
      <w:r w:rsidRPr="000977F7">
        <w:rPr>
          <w:rFonts w:asciiTheme="majorHAnsi" w:hAnsiTheme="majorHAnsi"/>
          <w:spacing w:val="1"/>
          <w:sz w:val="20"/>
          <w:szCs w:val="20"/>
        </w:rPr>
        <w:t xml:space="preserve"> </w:t>
      </w:r>
      <w:r w:rsidRPr="000977F7">
        <w:rPr>
          <w:rFonts w:asciiTheme="majorHAnsi" w:hAnsiTheme="majorHAnsi"/>
          <w:sz w:val="20"/>
          <w:szCs w:val="20"/>
        </w:rPr>
        <w:t>наслідків</w:t>
      </w:r>
      <w:r w:rsidRPr="000977F7">
        <w:rPr>
          <w:rFonts w:asciiTheme="majorHAnsi" w:hAnsiTheme="majorHAnsi"/>
          <w:spacing w:val="1"/>
          <w:sz w:val="20"/>
          <w:szCs w:val="20"/>
        </w:rPr>
        <w:t xml:space="preserve"> </w:t>
      </w:r>
      <w:r w:rsidRPr="000977F7">
        <w:rPr>
          <w:rFonts w:asciiTheme="majorHAnsi" w:hAnsiTheme="majorHAnsi"/>
          <w:sz w:val="20"/>
          <w:szCs w:val="20"/>
        </w:rPr>
        <w:t>установленими</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таких</w:t>
      </w:r>
      <w:r w:rsidRPr="000977F7">
        <w:rPr>
          <w:rFonts w:asciiTheme="majorHAnsi" w:hAnsiTheme="majorHAnsi"/>
          <w:spacing w:val="-1"/>
          <w:sz w:val="20"/>
          <w:szCs w:val="20"/>
        </w:rPr>
        <w:t xml:space="preserve"> </w:t>
      </w:r>
      <w:r w:rsidRPr="000977F7">
        <w:rPr>
          <w:rFonts w:asciiTheme="majorHAnsi" w:hAnsiTheme="majorHAnsi"/>
          <w:sz w:val="20"/>
          <w:szCs w:val="20"/>
        </w:rPr>
        <w:t>аварій</w:t>
      </w:r>
      <w:r w:rsidRPr="000977F7">
        <w:rPr>
          <w:rFonts w:asciiTheme="majorHAnsi" w:hAnsiTheme="majorHAnsi"/>
          <w:spacing w:val="-1"/>
          <w:sz w:val="20"/>
          <w:szCs w:val="20"/>
        </w:rPr>
        <w:t xml:space="preserve"> </w:t>
      </w:r>
      <w:r w:rsidRPr="000977F7">
        <w:rPr>
          <w:rFonts w:asciiTheme="majorHAnsi" w:hAnsiTheme="majorHAnsi"/>
          <w:sz w:val="20"/>
          <w:szCs w:val="20"/>
        </w:rPr>
        <w:t>межами</w:t>
      </w:r>
    </w:p>
    <w:p w14:paraId="64BF671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1DE3906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ПРОЕКТНА КОНСТРУКТОРСЬКА </w:t>
      </w:r>
    </w:p>
    <w:p w14:paraId="3E27F3E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ДОКУМЕНТАЦІЯ</w:t>
      </w:r>
      <w:r w:rsidRPr="000977F7">
        <w:rPr>
          <w:color w:val="auto"/>
          <w:spacing w:val="-1"/>
          <w:sz w:val="20"/>
          <w:szCs w:val="20"/>
        </w:rPr>
        <w:t xml:space="preserve"> </w:t>
      </w:r>
      <w:r w:rsidRPr="000977F7">
        <w:rPr>
          <w:color w:val="auto"/>
          <w:sz w:val="20"/>
          <w:szCs w:val="20"/>
        </w:rPr>
        <w:t>–</w:t>
      </w:r>
    </w:p>
    <w:p w14:paraId="1DC56E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конструкторських</w:t>
      </w:r>
      <w:r w:rsidRPr="000977F7">
        <w:rPr>
          <w:rFonts w:asciiTheme="majorHAnsi" w:hAnsiTheme="majorHAnsi"/>
          <w:spacing w:val="1"/>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1"/>
          <w:sz w:val="20"/>
          <w:szCs w:val="20"/>
        </w:rPr>
        <w:t xml:space="preserve"> </w:t>
      </w:r>
      <w:r w:rsidRPr="000977F7">
        <w:rPr>
          <w:rFonts w:asciiTheme="majorHAnsi" w:hAnsiTheme="majorHAnsi"/>
          <w:sz w:val="20"/>
          <w:szCs w:val="20"/>
        </w:rPr>
        <w:t>певного</w:t>
      </w:r>
      <w:r w:rsidRPr="000977F7">
        <w:rPr>
          <w:rFonts w:asciiTheme="majorHAnsi" w:hAnsiTheme="majorHAnsi"/>
          <w:spacing w:val="1"/>
          <w:sz w:val="20"/>
          <w:szCs w:val="20"/>
        </w:rPr>
        <w:t xml:space="preserve"> </w:t>
      </w:r>
      <w:r w:rsidRPr="000977F7">
        <w:rPr>
          <w:rFonts w:asciiTheme="majorHAnsi" w:hAnsiTheme="majorHAnsi"/>
          <w:sz w:val="20"/>
          <w:szCs w:val="20"/>
        </w:rPr>
        <w:t>виду, виконаних на різних стадіях проектування до</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w:t>
      </w:r>
      <w:r w:rsidRPr="000977F7">
        <w:rPr>
          <w:rFonts w:asciiTheme="majorHAnsi" w:hAnsiTheme="majorHAnsi"/>
          <w:spacing w:val="-2"/>
          <w:sz w:val="20"/>
          <w:szCs w:val="20"/>
        </w:rPr>
        <w:t xml:space="preserve"> </w:t>
      </w:r>
      <w:r w:rsidRPr="000977F7">
        <w:rPr>
          <w:rFonts w:asciiTheme="majorHAnsi" w:hAnsiTheme="majorHAnsi"/>
          <w:sz w:val="20"/>
          <w:szCs w:val="20"/>
        </w:rPr>
        <w:t>робочої</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документації</w:t>
      </w:r>
    </w:p>
    <w:p w14:paraId="3A201B6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3321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2003</w:t>
      </w:r>
    </w:p>
    <w:p w14:paraId="7CC7DF3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ПРОЕКТНЕ</w:t>
      </w:r>
      <w:r w:rsidRPr="000977F7">
        <w:rPr>
          <w:color w:val="auto"/>
          <w:spacing w:val="-6"/>
          <w:sz w:val="20"/>
          <w:szCs w:val="20"/>
        </w:rPr>
        <w:t xml:space="preserve"> </w:t>
      </w:r>
      <w:r w:rsidRPr="000977F7">
        <w:rPr>
          <w:color w:val="auto"/>
          <w:sz w:val="20"/>
          <w:szCs w:val="20"/>
        </w:rPr>
        <w:t>ОЦІНЮВАННЯ</w:t>
      </w:r>
      <w:r w:rsidRPr="000977F7">
        <w:rPr>
          <w:color w:val="auto"/>
          <w:spacing w:val="-6"/>
          <w:sz w:val="20"/>
          <w:szCs w:val="20"/>
        </w:rPr>
        <w:t xml:space="preserve"> </w:t>
      </w:r>
      <w:r w:rsidRPr="000977F7">
        <w:rPr>
          <w:color w:val="auto"/>
          <w:sz w:val="20"/>
          <w:szCs w:val="20"/>
        </w:rPr>
        <w:t>НАДІЙНОСТІ</w:t>
      </w:r>
      <w:r w:rsidRPr="000977F7">
        <w:rPr>
          <w:color w:val="auto"/>
          <w:spacing w:val="-2"/>
          <w:sz w:val="20"/>
          <w:szCs w:val="20"/>
        </w:rPr>
        <w:t xml:space="preserve"> </w:t>
      </w:r>
      <w:r w:rsidRPr="000977F7">
        <w:rPr>
          <w:color w:val="auto"/>
          <w:sz w:val="20"/>
          <w:szCs w:val="20"/>
        </w:rPr>
        <w:t>–</w:t>
      </w:r>
    </w:p>
    <w:p w14:paraId="1ACBF01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PROJECTED</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ESTIMATIC</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DEPENDABILITY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1CC58B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Визначення</w:t>
      </w:r>
      <w:r w:rsidRPr="000977F7">
        <w:rPr>
          <w:rFonts w:asciiTheme="majorHAnsi" w:hAnsiTheme="majorHAnsi"/>
          <w:spacing w:val="28"/>
          <w:sz w:val="20"/>
          <w:szCs w:val="20"/>
        </w:rPr>
        <w:t xml:space="preserve"> </w:t>
      </w:r>
      <w:r w:rsidRPr="000977F7">
        <w:rPr>
          <w:rFonts w:asciiTheme="majorHAnsi" w:hAnsiTheme="majorHAnsi"/>
          <w:sz w:val="20"/>
          <w:szCs w:val="20"/>
        </w:rPr>
        <w:t>сподіваних</w:t>
      </w:r>
      <w:r w:rsidRPr="000977F7">
        <w:rPr>
          <w:rFonts w:asciiTheme="majorHAnsi" w:hAnsiTheme="majorHAnsi"/>
          <w:spacing w:val="28"/>
          <w:sz w:val="20"/>
          <w:szCs w:val="20"/>
        </w:rPr>
        <w:t xml:space="preserve"> </w:t>
      </w:r>
      <w:r w:rsidRPr="000977F7">
        <w:rPr>
          <w:rFonts w:asciiTheme="majorHAnsi" w:hAnsiTheme="majorHAnsi"/>
          <w:sz w:val="20"/>
          <w:szCs w:val="20"/>
        </w:rPr>
        <w:t>числових</w:t>
      </w:r>
      <w:r w:rsidRPr="000977F7">
        <w:rPr>
          <w:rFonts w:asciiTheme="majorHAnsi" w:hAnsiTheme="majorHAnsi"/>
          <w:spacing w:val="28"/>
          <w:sz w:val="20"/>
          <w:szCs w:val="20"/>
        </w:rPr>
        <w:t xml:space="preserve"> </w:t>
      </w:r>
      <w:r w:rsidRPr="000977F7">
        <w:rPr>
          <w:rFonts w:asciiTheme="majorHAnsi" w:hAnsiTheme="majorHAnsi"/>
          <w:sz w:val="20"/>
          <w:szCs w:val="20"/>
        </w:rPr>
        <w:t>значень</w:t>
      </w:r>
      <w:r w:rsidRPr="000977F7">
        <w:rPr>
          <w:rFonts w:asciiTheme="majorHAnsi" w:hAnsiTheme="majorHAnsi"/>
          <w:spacing w:val="31"/>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47"/>
          <w:sz w:val="20"/>
          <w:szCs w:val="20"/>
        </w:rPr>
        <w:t xml:space="preserve"> </w:t>
      </w:r>
      <w:r w:rsidRPr="000977F7">
        <w:rPr>
          <w:rFonts w:asciiTheme="majorHAnsi" w:hAnsiTheme="majorHAnsi"/>
          <w:spacing w:val="-1"/>
          <w:sz w:val="20"/>
          <w:szCs w:val="20"/>
        </w:rPr>
        <w:t>надійності</w:t>
      </w:r>
      <w:r w:rsidRPr="000977F7">
        <w:rPr>
          <w:rFonts w:asciiTheme="majorHAnsi" w:hAnsiTheme="majorHAnsi"/>
          <w:spacing w:val="-9"/>
          <w:sz w:val="20"/>
          <w:szCs w:val="20"/>
        </w:rPr>
        <w:t xml:space="preserve"> </w:t>
      </w:r>
      <w:r w:rsidRPr="000977F7">
        <w:rPr>
          <w:rFonts w:asciiTheme="majorHAnsi" w:hAnsiTheme="majorHAnsi"/>
          <w:spacing w:val="-1"/>
          <w:sz w:val="20"/>
          <w:szCs w:val="20"/>
        </w:rPr>
        <w:t>проектованого</w:t>
      </w:r>
      <w:r w:rsidRPr="000977F7">
        <w:rPr>
          <w:rFonts w:asciiTheme="majorHAnsi" w:hAnsiTheme="majorHAnsi"/>
          <w:spacing w:val="-9"/>
          <w:sz w:val="20"/>
          <w:szCs w:val="20"/>
        </w:rPr>
        <w:t xml:space="preserve"> </w:t>
      </w:r>
      <w:r w:rsidRPr="000977F7">
        <w:rPr>
          <w:rFonts w:asciiTheme="majorHAnsi" w:hAnsiTheme="majorHAnsi"/>
          <w:spacing w:val="-1"/>
          <w:sz w:val="20"/>
          <w:szCs w:val="20"/>
        </w:rPr>
        <w:t>об’єкта</w:t>
      </w:r>
      <w:r w:rsidRPr="000977F7">
        <w:rPr>
          <w:rFonts w:asciiTheme="majorHAnsi" w:hAnsiTheme="majorHAnsi"/>
          <w:spacing w:val="-8"/>
          <w:sz w:val="20"/>
          <w:szCs w:val="20"/>
        </w:rPr>
        <w:t xml:space="preserve"> </w:t>
      </w:r>
      <w:r w:rsidRPr="000977F7">
        <w:rPr>
          <w:rFonts w:asciiTheme="majorHAnsi" w:hAnsiTheme="majorHAnsi"/>
          <w:spacing w:val="-1"/>
          <w:sz w:val="20"/>
          <w:szCs w:val="20"/>
        </w:rPr>
        <w:t>на</w:t>
      </w:r>
      <w:r w:rsidRPr="000977F7">
        <w:rPr>
          <w:rFonts w:asciiTheme="majorHAnsi" w:hAnsiTheme="majorHAnsi"/>
          <w:spacing w:val="-10"/>
          <w:sz w:val="20"/>
          <w:szCs w:val="20"/>
        </w:rPr>
        <w:t xml:space="preserve"> </w:t>
      </w:r>
      <w:r w:rsidRPr="000977F7">
        <w:rPr>
          <w:rFonts w:asciiTheme="majorHAnsi" w:hAnsiTheme="majorHAnsi"/>
          <w:spacing w:val="-1"/>
          <w:sz w:val="20"/>
          <w:szCs w:val="20"/>
        </w:rPr>
        <w:t>підставі</w:t>
      </w:r>
      <w:r w:rsidRPr="000977F7">
        <w:rPr>
          <w:rFonts w:asciiTheme="majorHAnsi" w:hAnsiTheme="majorHAnsi"/>
          <w:spacing w:val="-11"/>
          <w:sz w:val="20"/>
          <w:szCs w:val="20"/>
        </w:rPr>
        <w:t xml:space="preserve"> </w:t>
      </w:r>
      <w:r w:rsidRPr="000977F7">
        <w:rPr>
          <w:rFonts w:asciiTheme="majorHAnsi" w:hAnsiTheme="majorHAnsi"/>
          <w:spacing w:val="-1"/>
          <w:sz w:val="20"/>
          <w:szCs w:val="20"/>
        </w:rPr>
        <w:t>даних</w:t>
      </w:r>
      <w:r w:rsidRPr="000977F7">
        <w:rPr>
          <w:rFonts w:asciiTheme="majorHAnsi" w:hAnsiTheme="majorHAnsi"/>
          <w:spacing w:val="-8"/>
          <w:sz w:val="20"/>
          <w:szCs w:val="20"/>
        </w:rPr>
        <w:t xml:space="preserve"> </w:t>
      </w:r>
      <w:r w:rsidRPr="000977F7">
        <w:rPr>
          <w:rFonts w:asciiTheme="majorHAnsi" w:hAnsiTheme="majorHAnsi"/>
          <w:sz w:val="20"/>
          <w:szCs w:val="20"/>
        </w:rPr>
        <w:t>про</w:t>
      </w:r>
      <w:r w:rsidRPr="000977F7">
        <w:rPr>
          <w:rFonts w:asciiTheme="majorHAnsi" w:hAnsiTheme="majorHAnsi"/>
          <w:spacing w:val="-47"/>
          <w:sz w:val="20"/>
          <w:szCs w:val="20"/>
        </w:rPr>
        <w:t xml:space="preserve"> </w:t>
      </w:r>
      <w:r w:rsidRPr="000977F7">
        <w:rPr>
          <w:rFonts w:asciiTheme="majorHAnsi" w:hAnsiTheme="majorHAnsi"/>
          <w:spacing w:val="-1"/>
          <w:sz w:val="20"/>
          <w:szCs w:val="20"/>
        </w:rPr>
        <w:t xml:space="preserve">надійності його складових частин і структури </w:t>
      </w:r>
      <w:r w:rsidRPr="000977F7">
        <w:rPr>
          <w:rFonts w:asciiTheme="majorHAnsi" w:hAnsiTheme="majorHAnsi"/>
          <w:sz w:val="20"/>
          <w:szCs w:val="20"/>
        </w:rPr>
        <w:t>об’єкта</w:t>
      </w:r>
    </w:p>
    <w:p w14:paraId="6197BA74"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4D8DCA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ПРОЕКТНИЙ</w:t>
      </w:r>
      <w:r w:rsidRPr="000977F7">
        <w:rPr>
          <w:color w:val="auto"/>
          <w:spacing w:val="-4"/>
          <w:sz w:val="20"/>
          <w:szCs w:val="20"/>
        </w:rPr>
        <w:t xml:space="preserve"> </w:t>
      </w:r>
      <w:r w:rsidRPr="000977F7">
        <w:rPr>
          <w:color w:val="auto"/>
          <w:sz w:val="20"/>
          <w:szCs w:val="20"/>
        </w:rPr>
        <w:t>МАКЕТ</w:t>
      </w:r>
      <w:r w:rsidRPr="000977F7">
        <w:rPr>
          <w:color w:val="auto"/>
          <w:spacing w:val="-3"/>
          <w:sz w:val="20"/>
          <w:szCs w:val="20"/>
        </w:rPr>
        <w:t xml:space="preserve"> </w:t>
      </w:r>
      <w:r w:rsidRPr="000977F7">
        <w:rPr>
          <w:color w:val="auto"/>
          <w:sz w:val="20"/>
          <w:szCs w:val="20"/>
        </w:rPr>
        <w:t>–</w:t>
      </w:r>
    </w:p>
    <w:p w14:paraId="5E964E8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Макет</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1"/>
          <w:sz w:val="20"/>
          <w:szCs w:val="20"/>
        </w:rPr>
        <w:t xml:space="preserve"> </w:t>
      </w:r>
      <w:r w:rsidRPr="000977F7">
        <w:rPr>
          <w:rFonts w:asciiTheme="majorHAnsi" w:hAnsiTheme="majorHAnsi"/>
          <w:sz w:val="20"/>
          <w:szCs w:val="20"/>
        </w:rPr>
        <w:t>виготовлений</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стадії</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w:t>
      </w:r>
      <w:r w:rsidRPr="000977F7">
        <w:rPr>
          <w:rFonts w:asciiTheme="majorHAnsi" w:hAnsiTheme="majorHAnsi"/>
          <w:spacing w:val="1"/>
          <w:sz w:val="20"/>
          <w:szCs w:val="20"/>
        </w:rPr>
        <w:t xml:space="preserve"> </w:t>
      </w:r>
      <w:r w:rsidRPr="000977F7">
        <w:rPr>
          <w:rFonts w:asciiTheme="majorHAnsi" w:hAnsiTheme="majorHAnsi"/>
          <w:sz w:val="20"/>
          <w:szCs w:val="20"/>
        </w:rPr>
        <w:t>ескізного і</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проектів</w:t>
      </w:r>
    </w:p>
    <w:p w14:paraId="474EA88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2FA3C13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ПРОЕКТНИЙ</w:t>
      </w:r>
      <w:r w:rsidRPr="000977F7">
        <w:rPr>
          <w:color w:val="auto"/>
          <w:spacing w:val="-3"/>
          <w:sz w:val="20"/>
          <w:szCs w:val="20"/>
        </w:rPr>
        <w:t xml:space="preserve"> </w:t>
      </w:r>
      <w:r w:rsidRPr="000977F7">
        <w:rPr>
          <w:color w:val="auto"/>
          <w:sz w:val="20"/>
          <w:szCs w:val="20"/>
        </w:rPr>
        <w:t>МЕНЕДЖМЕНТ</w:t>
      </w:r>
      <w:r w:rsidRPr="000977F7">
        <w:rPr>
          <w:color w:val="auto"/>
          <w:spacing w:val="-1"/>
          <w:sz w:val="20"/>
          <w:szCs w:val="20"/>
        </w:rPr>
        <w:t xml:space="preserve"> </w:t>
      </w:r>
      <w:r w:rsidRPr="000977F7">
        <w:rPr>
          <w:color w:val="auto"/>
          <w:sz w:val="20"/>
          <w:szCs w:val="20"/>
        </w:rPr>
        <w:t>–</w:t>
      </w:r>
    </w:p>
    <w:p w14:paraId="383959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Привнесення додатково до робіт проекту знань, навичок,</w:t>
      </w:r>
      <w:r w:rsidRPr="000977F7">
        <w:rPr>
          <w:rFonts w:asciiTheme="majorHAnsi" w:hAnsiTheme="majorHAnsi"/>
          <w:spacing w:val="1"/>
          <w:sz w:val="20"/>
          <w:szCs w:val="20"/>
        </w:rPr>
        <w:t xml:space="preserve"> </w:t>
      </w:r>
      <w:r w:rsidRPr="000977F7">
        <w:rPr>
          <w:rFonts w:asciiTheme="majorHAnsi" w:hAnsiTheme="majorHAnsi"/>
          <w:sz w:val="20"/>
          <w:szCs w:val="20"/>
        </w:rPr>
        <w:t>методів</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засобів</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задоволення</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перевищення</w:t>
      </w:r>
      <w:r w:rsidRPr="000977F7">
        <w:rPr>
          <w:rFonts w:asciiTheme="majorHAnsi" w:hAnsiTheme="majorHAnsi"/>
          <w:spacing w:val="1"/>
          <w:sz w:val="20"/>
          <w:szCs w:val="20"/>
        </w:rPr>
        <w:t xml:space="preserve"> </w:t>
      </w:r>
      <w:r w:rsidRPr="000977F7">
        <w:rPr>
          <w:rFonts w:asciiTheme="majorHAnsi" w:hAnsiTheme="majorHAnsi"/>
          <w:sz w:val="20"/>
          <w:szCs w:val="20"/>
        </w:rPr>
        <w:t>потреб</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бажань</w:t>
      </w:r>
      <w:r w:rsidRPr="000977F7">
        <w:rPr>
          <w:rFonts w:asciiTheme="majorHAnsi" w:hAnsiTheme="majorHAnsi"/>
          <w:spacing w:val="1"/>
          <w:sz w:val="20"/>
          <w:szCs w:val="20"/>
        </w:rPr>
        <w:t xml:space="preserve"> </w:t>
      </w:r>
      <w:r w:rsidRPr="000977F7">
        <w:rPr>
          <w:rFonts w:asciiTheme="majorHAnsi" w:hAnsiTheme="majorHAnsi"/>
          <w:sz w:val="20"/>
          <w:szCs w:val="20"/>
        </w:rPr>
        <w:t>зацікавлених</w:t>
      </w:r>
      <w:r w:rsidRPr="000977F7">
        <w:rPr>
          <w:rFonts w:asciiTheme="majorHAnsi" w:hAnsiTheme="majorHAnsi"/>
          <w:spacing w:val="1"/>
          <w:sz w:val="20"/>
          <w:szCs w:val="20"/>
        </w:rPr>
        <w:t xml:space="preserve"> </w:t>
      </w:r>
      <w:r w:rsidRPr="000977F7">
        <w:rPr>
          <w:rFonts w:asciiTheme="majorHAnsi" w:hAnsiTheme="majorHAnsi"/>
          <w:sz w:val="20"/>
          <w:szCs w:val="20"/>
        </w:rPr>
        <w:t>осіб</w:t>
      </w:r>
      <w:r w:rsidRPr="000977F7">
        <w:rPr>
          <w:rFonts w:asciiTheme="majorHAnsi" w:hAnsiTheme="majorHAnsi"/>
          <w:spacing w:val="1"/>
          <w:sz w:val="20"/>
          <w:szCs w:val="20"/>
        </w:rPr>
        <w:t xml:space="preserve"> </w:t>
      </w:r>
      <w:r w:rsidRPr="000977F7">
        <w:rPr>
          <w:rFonts w:asciiTheme="majorHAnsi" w:hAnsiTheme="majorHAnsi"/>
          <w:sz w:val="20"/>
          <w:szCs w:val="20"/>
        </w:rPr>
        <w:t>проекту.</w:t>
      </w:r>
      <w:r w:rsidRPr="000977F7">
        <w:rPr>
          <w:rFonts w:asciiTheme="majorHAnsi" w:hAnsiTheme="majorHAnsi"/>
          <w:spacing w:val="1"/>
          <w:sz w:val="20"/>
          <w:szCs w:val="20"/>
        </w:rPr>
        <w:t xml:space="preserve"> </w:t>
      </w:r>
      <w:r w:rsidRPr="000977F7">
        <w:rPr>
          <w:rFonts w:asciiTheme="majorHAnsi" w:hAnsiTheme="majorHAnsi"/>
          <w:sz w:val="20"/>
          <w:szCs w:val="20"/>
        </w:rPr>
        <w:t>Задоволення або перевищення бажань останніх одночасно</w:t>
      </w:r>
      <w:r w:rsidRPr="000977F7">
        <w:rPr>
          <w:rFonts w:asciiTheme="majorHAnsi" w:hAnsiTheme="majorHAnsi"/>
          <w:spacing w:val="1"/>
          <w:sz w:val="20"/>
          <w:szCs w:val="20"/>
        </w:rPr>
        <w:t xml:space="preserve"> </w:t>
      </w:r>
      <w:r w:rsidRPr="000977F7">
        <w:rPr>
          <w:rFonts w:asciiTheme="majorHAnsi" w:hAnsiTheme="majorHAnsi"/>
          <w:sz w:val="20"/>
          <w:szCs w:val="20"/>
        </w:rPr>
        <w:t>означає</w:t>
      </w:r>
      <w:r w:rsidRPr="000977F7">
        <w:rPr>
          <w:rFonts w:asciiTheme="majorHAnsi" w:hAnsiTheme="majorHAnsi"/>
          <w:spacing w:val="1"/>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1"/>
          <w:sz w:val="20"/>
          <w:szCs w:val="20"/>
        </w:rPr>
        <w:t xml:space="preserve"> </w:t>
      </w:r>
      <w:r w:rsidRPr="000977F7">
        <w:rPr>
          <w:rFonts w:asciiTheme="majorHAnsi" w:hAnsiTheme="majorHAnsi"/>
          <w:sz w:val="20"/>
          <w:szCs w:val="20"/>
        </w:rPr>
        <w:t>балансу</w:t>
      </w:r>
      <w:r w:rsidRPr="000977F7">
        <w:rPr>
          <w:rFonts w:asciiTheme="majorHAnsi" w:hAnsiTheme="majorHAnsi"/>
          <w:spacing w:val="1"/>
          <w:sz w:val="20"/>
          <w:szCs w:val="20"/>
        </w:rPr>
        <w:t xml:space="preserve"> </w:t>
      </w:r>
      <w:r w:rsidRPr="000977F7">
        <w:rPr>
          <w:rFonts w:asciiTheme="majorHAnsi" w:hAnsiTheme="majorHAnsi"/>
          <w:sz w:val="20"/>
          <w:szCs w:val="20"/>
        </w:rPr>
        <w:t>конкуруючих</w:t>
      </w:r>
      <w:r w:rsidRPr="000977F7">
        <w:rPr>
          <w:rFonts w:asciiTheme="majorHAnsi" w:hAnsiTheme="majorHAnsi"/>
          <w:spacing w:val="1"/>
          <w:sz w:val="20"/>
          <w:szCs w:val="20"/>
        </w:rPr>
        <w:t xml:space="preserve"> </w:t>
      </w:r>
      <w:r w:rsidRPr="000977F7">
        <w:rPr>
          <w:rFonts w:asciiTheme="majorHAnsi" w:hAnsiTheme="majorHAnsi"/>
          <w:sz w:val="20"/>
          <w:szCs w:val="20"/>
        </w:rPr>
        <w:t>вимог</w:t>
      </w:r>
      <w:r w:rsidRPr="000977F7">
        <w:rPr>
          <w:rFonts w:asciiTheme="majorHAnsi" w:hAnsiTheme="majorHAnsi"/>
          <w:spacing w:val="-2"/>
          <w:sz w:val="20"/>
          <w:szCs w:val="20"/>
        </w:rPr>
        <w:t xml:space="preserve"> </w:t>
      </w:r>
      <w:r w:rsidRPr="000977F7">
        <w:rPr>
          <w:rFonts w:asciiTheme="majorHAnsi" w:hAnsiTheme="majorHAnsi"/>
          <w:sz w:val="20"/>
          <w:szCs w:val="20"/>
        </w:rPr>
        <w:t>відносно:</w:t>
      </w:r>
    </w:p>
    <w:p w14:paraId="0B3C340B" w14:textId="77777777" w:rsidR="0097612F" w:rsidRPr="000977F7" w:rsidRDefault="0097612F" w:rsidP="00FD39A4">
      <w:pPr>
        <w:pStyle w:val="ac"/>
        <w:widowControl w:val="0"/>
        <w:numPr>
          <w:ilvl w:val="0"/>
          <w:numId w:val="92"/>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внутрішнього середовища (змісту), часу, вартості</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p>
    <w:p w14:paraId="1FA53408" w14:textId="77777777" w:rsidR="0097612F" w:rsidRPr="000977F7" w:rsidRDefault="0097612F" w:rsidP="00FD39A4">
      <w:pPr>
        <w:pStyle w:val="ac"/>
        <w:widowControl w:val="0"/>
        <w:numPr>
          <w:ilvl w:val="0"/>
          <w:numId w:val="92"/>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різних</w:t>
      </w:r>
      <w:r w:rsidRPr="000977F7">
        <w:rPr>
          <w:rFonts w:asciiTheme="majorHAnsi" w:hAnsiTheme="majorHAnsi"/>
          <w:spacing w:val="-3"/>
          <w:sz w:val="20"/>
          <w:szCs w:val="20"/>
        </w:rPr>
        <w:t xml:space="preserve"> </w:t>
      </w:r>
      <w:r w:rsidRPr="000977F7">
        <w:rPr>
          <w:rFonts w:asciiTheme="majorHAnsi" w:hAnsiTheme="majorHAnsi"/>
          <w:sz w:val="20"/>
          <w:szCs w:val="20"/>
        </w:rPr>
        <w:t>потреб</w:t>
      </w:r>
      <w:r w:rsidRPr="000977F7">
        <w:rPr>
          <w:rFonts w:asciiTheme="majorHAnsi" w:hAnsiTheme="majorHAnsi"/>
          <w:spacing w:val="-3"/>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бажань</w:t>
      </w:r>
      <w:r w:rsidRPr="000977F7">
        <w:rPr>
          <w:rFonts w:asciiTheme="majorHAnsi" w:hAnsiTheme="majorHAnsi"/>
          <w:spacing w:val="-2"/>
          <w:sz w:val="20"/>
          <w:szCs w:val="20"/>
        </w:rPr>
        <w:t xml:space="preserve"> </w:t>
      </w:r>
      <w:r w:rsidRPr="000977F7">
        <w:rPr>
          <w:rFonts w:asciiTheme="majorHAnsi" w:hAnsiTheme="majorHAnsi"/>
          <w:sz w:val="20"/>
          <w:szCs w:val="20"/>
        </w:rPr>
        <w:t>зацікавлених</w:t>
      </w:r>
      <w:r w:rsidRPr="000977F7">
        <w:rPr>
          <w:rFonts w:asciiTheme="majorHAnsi" w:hAnsiTheme="majorHAnsi"/>
          <w:spacing w:val="-3"/>
          <w:sz w:val="20"/>
          <w:szCs w:val="20"/>
        </w:rPr>
        <w:t xml:space="preserve"> </w:t>
      </w:r>
      <w:r w:rsidRPr="000977F7">
        <w:rPr>
          <w:rFonts w:asciiTheme="majorHAnsi" w:hAnsiTheme="majorHAnsi"/>
          <w:sz w:val="20"/>
          <w:szCs w:val="20"/>
        </w:rPr>
        <w:t>осіб;</w:t>
      </w:r>
    </w:p>
    <w:p w14:paraId="1FC9ECED" w14:textId="77777777" w:rsidR="0097612F" w:rsidRPr="000977F7" w:rsidRDefault="0097612F" w:rsidP="00FD39A4">
      <w:pPr>
        <w:pStyle w:val="ac"/>
        <w:widowControl w:val="0"/>
        <w:numPr>
          <w:ilvl w:val="0"/>
          <w:numId w:val="92"/>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ідентифікованих і не ідентифікованих вимог</w:t>
      </w:r>
      <w:r w:rsidRPr="000977F7">
        <w:rPr>
          <w:rFonts w:asciiTheme="majorHAnsi" w:hAnsiTheme="majorHAnsi"/>
          <w:spacing w:val="1"/>
          <w:sz w:val="20"/>
          <w:szCs w:val="20"/>
        </w:rPr>
        <w:t xml:space="preserve"> </w:t>
      </w:r>
      <w:r w:rsidRPr="000977F7">
        <w:rPr>
          <w:rFonts w:asciiTheme="majorHAnsi" w:hAnsiTheme="majorHAnsi"/>
          <w:sz w:val="20"/>
          <w:szCs w:val="20"/>
        </w:rPr>
        <w:t>(потреб)</w:t>
      </w:r>
    </w:p>
    <w:p w14:paraId="209307A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spacing w:val="-3"/>
          <w:w w:val="44"/>
          <w:sz w:val="20"/>
          <w:szCs w:val="20"/>
        </w:rPr>
        <w:t>―</w:t>
      </w:r>
      <w:r w:rsidRPr="000977F7">
        <w:rPr>
          <w:rFonts w:asciiTheme="majorHAnsi" w:hAnsiTheme="majorHAnsi"/>
          <w:i/>
          <w:spacing w:val="-1"/>
          <w:w w:val="99"/>
          <w:sz w:val="20"/>
          <w:szCs w:val="20"/>
        </w:rPr>
        <w:t>Ке</w:t>
      </w:r>
      <w:r w:rsidRPr="000977F7">
        <w:rPr>
          <w:rFonts w:asciiTheme="majorHAnsi" w:hAnsiTheme="majorHAnsi"/>
          <w:i/>
          <w:w w:val="99"/>
          <w:sz w:val="20"/>
          <w:szCs w:val="20"/>
        </w:rPr>
        <w:t>р.</w:t>
      </w:r>
      <w:r w:rsidRPr="000977F7">
        <w:rPr>
          <w:rFonts w:asciiTheme="majorHAnsi" w:hAnsiTheme="majorHAnsi"/>
          <w:i/>
          <w:sz w:val="20"/>
          <w:szCs w:val="20"/>
        </w:rPr>
        <w:t xml:space="preserve"> </w:t>
      </w:r>
      <w:r w:rsidRPr="000977F7">
        <w:rPr>
          <w:rFonts w:asciiTheme="majorHAnsi" w:hAnsiTheme="majorHAnsi"/>
          <w:i/>
          <w:spacing w:val="1"/>
          <w:w w:val="99"/>
          <w:sz w:val="20"/>
          <w:szCs w:val="20"/>
        </w:rPr>
        <w:t>про</w:t>
      </w:r>
      <w:r w:rsidRPr="000977F7">
        <w:rPr>
          <w:rFonts w:asciiTheme="majorHAnsi" w:hAnsiTheme="majorHAnsi"/>
          <w:i/>
          <w:w w:val="99"/>
          <w:sz w:val="20"/>
          <w:szCs w:val="20"/>
        </w:rPr>
        <w:t>ек</w:t>
      </w:r>
      <w:r w:rsidRPr="000977F7">
        <w:rPr>
          <w:rFonts w:asciiTheme="majorHAnsi" w:hAnsiTheme="majorHAnsi"/>
          <w:i/>
          <w:spacing w:val="-1"/>
          <w:w w:val="99"/>
          <w:sz w:val="20"/>
          <w:szCs w:val="20"/>
        </w:rPr>
        <w:t>тн</w:t>
      </w:r>
      <w:r w:rsidRPr="000977F7">
        <w:rPr>
          <w:rFonts w:asciiTheme="majorHAnsi" w:hAnsiTheme="majorHAnsi"/>
          <w:i/>
          <w:w w:val="99"/>
          <w:sz w:val="20"/>
          <w:szCs w:val="20"/>
        </w:rPr>
        <w:t>.</w:t>
      </w:r>
      <w:r w:rsidRPr="000977F7">
        <w:rPr>
          <w:rFonts w:asciiTheme="majorHAnsi" w:hAnsiTheme="majorHAnsi"/>
          <w:i/>
          <w:sz w:val="20"/>
          <w:szCs w:val="20"/>
        </w:rPr>
        <w:t xml:space="preserve"> </w:t>
      </w:r>
      <w:r w:rsidRPr="000977F7">
        <w:rPr>
          <w:rFonts w:asciiTheme="majorHAnsi" w:hAnsiTheme="majorHAnsi"/>
          <w:i/>
          <w:spacing w:val="-1"/>
          <w:w w:val="99"/>
          <w:sz w:val="20"/>
          <w:szCs w:val="20"/>
        </w:rPr>
        <w:t>менеджм</w:t>
      </w:r>
      <w:r w:rsidRPr="000977F7">
        <w:rPr>
          <w:rFonts w:asciiTheme="majorHAnsi" w:hAnsiTheme="majorHAnsi"/>
          <w:i/>
          <w:spacing w:val="3"/>
          <w:w w:val="99"/>
          <w:sz w:val="20"/>
          <w:szCs w:val="20"/>
        </w:rPr>
        <w:t>.</w:t>
      </w:r>
      <w:r w:rsidRPr="000977F7">
        <w:rPr>
          <w:rFonts w:asciiTheme="majorHAnsi" w:hAnsiTheme="majorHAnsi"/>
          <w:i/>
          <w:w w:val="99"/>
          <w:sz w:val="20"/>
          <w:szCs w:val="20"/>
        </w:rPr>
        <w:t>-</w:t>
      </w:r>
      <w:r w:rsidRPr="000977F7">
        <w:rPr>
          <w:rFonts w:asciiTheme="majorHAnsi" w:hAnsiTheme="majorHAnsi"/>
          <w:i/>
          <w:spacing w:val="2"/>
          <w:w w:val="99"/>
          <w:sz w:val="20"/>
          <w:szCs w:val="20"/>
        </w:rPr>
        <w:t>т</w:t>
      </w:r>
      <w:r w:rsidRPr="000977F7">
        <w:rPr>
          <w:rFonts w:asciiTheme="majorHAnsi" w:hAnsiTheme="majorHAnsi"/>
          <w:i/>
          <w:w w:val="137"/>
          <w:sz w:val="20"/>
          <w:szCs w:val="20"/>
        </w:rPr>
        <w:t>у</w:t>
      </w:r>
    </w:p>
    <w:p w14:paraId="43997D6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ПРОЕКТНО –КОНСТРУКТОРСЬКЕ </w:t>
      </w:r>
    </w:p>
    <w:p w14:paraId="726D2CF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ПІДГОТО</w:t>
      </w:r>
      <w:r w:rsidRPr="000977F7">
        <w:rPr>
          <w:color w:val="auto"/>
          <w:spacing w:val="-48"/>
          <w:sz w:val="20"/>
          <w:szCs w:val="20"/>
        </w:rPr>
        <w:t xml:space="preserve"> </w:t>
      </w:r>
      <w:r w:rsidRPr="000977F7">
        <w:rPr>
          <w:color w:val="auto"/>
          <w:sz w:val="20"/>
          <w:szCs w:val="20"/>
        </w:rPr>
        <w:t>ВЛЕННЯ</w:t>
      </w:r>
      <w:r w:rsidRPr="000977F7">
        <w:rPr>
          <w:color w:val="auto"/>
          <w:spacing w:val="-1"/>
          <w:sz w:val="20"/>
          <w:szCs w:val="20"/>
        </w:rPr>
        <w:t xml:space="preserve"> </w:t>
      </w:r>
      <w:r w:rsidRPr="000977F7">
        <w:rPr>
          <w:color w:val="auto"/>
          <w:sz w:val="20"/>
          <w:szCs w:val="20"/>
        </w:rPr>
        <w:t>ВИРОБНИЦТВА</w:t>
      </w:r>
      <w:r w:rsidRPr="000977F7">
        <w:rPr>
          <w:color w:val="auto"/>
          <w:spacing w:val="3"/>
          <w:sz w:val="20"/>
          <w:szCs w:val="20"/>
        </w:rPr>
        <w:t xml:space="preserve"> </w:t>
      </w:r>
      <w:r w:rsidRPr="000977F7">
        <w:rPr>
          <w:color w:val="auto"/>
          <w:sz w:val="20"/>
          <w:szCs w:val="20"/>
        </w:rPr>
        <w:t>–</w:t>
      </w:r>
    </w:p>
    <w:p w14:paraId="6163CBD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Частина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підготовлення виробництва,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передбачає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проектування нової продукції та модернізацію виготовлюваної, а також розроблення проектів реконструкції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переобладнання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підприємства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окремих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його підрозділів</w:t>
      </w:r>
    </w:p>
    <w:p w14:paraId="4C8EC59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 </w:t>
      </w:r>
      <w:r w:rsidRPr="000977F7">
        <w:rPr>
          <w:rFonts w:asciiTheme="majorHAnsi" w:hAnsiTheme="majorHAnsi"/>
          <w:i/>
          <w:sz w:val="20"/>
          <w:szCs w:val="20"/>
        </w:rPr>
        <w:t>94</w:t>
      </w:r>
    </w:p>
    <w:p w14:paraId="1C3F730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ПРОЕКТУВАННЯ ТА РОЗРОБЛЕННЯ </w:t>
      </w:r>
    </w:p>
    <w:p w14:paraId="492C6AFF"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ПРОДУ</w:t>
      </w:r>
      <w:r w:rsidRPr="000977F7">
        <w:rPr>
          <w:color w:val="auto"/>
          <w:spacing w:val="-47"/>
          <w:sz w:val="20"/>
          <w:szCs w:val="20"/>
        </w:rPr>
        <w:t xml:space="preserve"> </w:t>
      </w:r>
      <w:r w:rsidRPr="000977F7">
        <w:rPr>
          <w:color w:val="auto"/>
          <w:sz w:val="20"/>
          <w:szCs w:val="20"/>
        </w:rPr>
        <w:t>КЦІЇ ТА ПОСЛУГ</w:t>
      </w:r>
      <w:r w:rsidRPr="000977F7">
        <w:rPr>
          <w:color w:val="auto"/>
          <w:spacing w:val="1"/>
          <w:sz w:val="20"/>
          <w:szCs w:val="20"/>
        </w:rPr>
        <w:t xml:space="preserve"> </w:t>
      </w:r>
      <w:r w:rsidRPr="000977F7">
        <w:rPr>
          <w:b w:val="0"/>
          <w:color w:val="auto"/>
          <w:sz w:val="20"/>
          <w:szCs w:val="20"/>
        </w:rPr>
        <w:t>–</w:t>
      </w:r>
    </w:p>
    <w:p w14:paraId="48118CD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розробити, запровадити та підтримувати належний час процес проектування та розроблення</w:t>
      </w:r>
      <w:r w:rsidRPr="000977F7">
        <w:rPr>
          <w:rFonts w:asciiTheme="majorHAnsi" w:hAnsiTheme="majorHAnsi"/>
          <w:spacing w:val="-7"/>
          <w:sz w:val="20"/>
          <w:szCs w:val="20"/>
        </w:rPr>
        <w:t xml:space="preserve"> </w:t>
      </w:r>
      <w:r w:rsidRPr="000977F7">
        <w:rPr>
          <w:rFonts w:asciiTheme="majorHAnsi" w:hAnsiTheme="majorHAnsi"/>
          <w:sz w:val="20"/>
          <w:szCs w:val="20"/>
        </w:rPr>
        <w:t>для</w:t>
      </w:r>
      <w:r w:rsidRPr="000977F7">
        <w:rPr>
          <w:rFonts w:asciiTheme="majorHAnsi" w:hAnsiTheme="majorHAnsi"/>
          <w:spacing w:val="-7"/>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5"/>
          <w:sz w:val="20"/>
          <w:szCs w:val="20"/>
        </w:rPr>
        <w:t xml:space="preserve"> </w:t>
      </w:r>
      <w:r w:rsidRPr="000977F7">
        <w:rPr>
          <w:rFonts w:asciiTheme="majorHAnsi" w:hAnsiTheme="majorHAnsi"/>
          <w:sz w:val="20"/>
          <w:szCs w:val="20"/>
        </w:rPr>
        <w:t>подальшого</w:t>
      </w:r>
      <w:r w:rsidRPr="000977F7">
        <w:rPr>
          <w:rFonts w:asciiTheme="majorHAnsi" w:hAnsiTheme="majorHAnsi"/>
          <w:spacing w:val="-5"/>
          <w:sz w:val="20"/>
          <w:szCs w:val="20"/>
        </w:rPr>
        <w:t xml:space="preserve"> </w:t>
      </w:r>
      <w:r w:rsidRPr="000977F7">
        <w:rPr>
          <w:rFonts w:asciiTheme="majorHAnsi" w:hAnsiTheme="majorHAnsi"/>
          <w:sz w:val="20"/>
          <w:szCs w:val="20"/>
        </w:rPr>
        <w:t>виготовлення</w:t>
      </w:r>
      <w:r w:rsidRPr="000977F7">
        <w:rPr>
          <w:rFonts w:asciiTheme="majorHAnsi" w:hAnsiTheme="majorHAnsi"/>
          <w:spacing w:val="-48"/>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 надання</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p>
    <w:p w14:paraId="64558DB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41299AD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ПРОМАХ; АНОМАЛЬНИЙ РЕЗУЛЬТАТ </w:t>
      </w:r>
    </w:p>
    <w:p w14:paraId="7426E8C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w:t>
      </w:r>
      <w:r w:rsidRPr="000977F7">
        <w:rPr>
          <w:color w:val="auto"/>
          <w:spacing w:val="-47"/>
          <w:sz w:val="20"/>
          <w:szCs w:val="20"/>
        </w:rPr>
        <w:t xml:space="preserve"> </w:t>
      </w:r>
      <w:r w:rsidRPr="000977F7">
        <w:rPr>
          <w:color w:val="auto"/>
          <w:sz w:val="20"/>
          <w:szCs w:val="20"/>
        </w:rPr>
        <w:t>РЮВАННЯ –</w:t>
      </w:r>
    </w:p>
    <w:p w14:paraId="13BCE1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Результат</w:t>
      </w:r>
      <w:r w:rsidRPr="000977F7">
        <w:rPr>
          <w:rFonts w:asciiTheme="majorHAnsi" w:hAnsiTheme="majorHAnsi"/>
          <w:spacing w:val="-4"/>
          <w:sz w:val="20"/>
          <w:szCs w:val="20"/>
        </w:rPr>
        <w:t xml:space="preserve"> </w:t>
      </w:r>
      <w:r w:rsidRPr="000977F7">
        <w:rPr>
          <w:rFonts w:asciiTheme="majorHAnsi" w:hAnsiTheme="majorHAnsi"/>
          <w:sz w:val="20"/>
          <w:szCs w:val="20"/>
        </w:rPr>
        <w:t>вимірювання,</w:t>
      </w:r>
      <w:r w:rsidRPr="000977F7">
        <w:rPr>
          <w:rFonts w:asciiTheme="majorHAnsi" w:hAnsiTheme="majorHAnsi"/>
          <w:spacing w:val="-4"/>
          <w:sz w:val="20"/>
          <w:szCs w:val="20"/>
        </w:rPr>
        <w:t xml:space="preserve"> </w:t>
      </w:r>
      <w:r w:rsidRPr="000977F7">
        <w:rPr>
          <w:rFonts w:asciiTheme="majorHAnsi" w:hAnsiTheme="majorHAnsi"/>
          <w:sz w:val="20"/>
          <w:szCs w:val="20"/>
        </w:rPr>
        <w:t>що</w:t>
      </w:r>
      <w:r w:rsidRPr="000977F7">
        <w:rPr>
          <w:rFonts w:asciiTheme="majorHAnsi" w:hAnsiTheme="majorHAnsi"/>
          <w:spacing w:val="-3"/>
          <w:sz w:val="20"/>
          <w:szCs w:val="20"/>
        </w:rPr>
        <w:t xml:space="preserve"> </w:t>
      </w:r>
      <w:r w:rsidRPr="000977F7">
        <w:rPr>
          <w:rFonts w:asciiTheme="majorHAnsi" w:hAnsiTheme="majorHAnsi"/>
          <w:sz w:val="20"/>
          <w:szCs w:val="20"/>
        </w:rPr>
        <w:t>має</w:t>
      </w:r>
      <w:r w:rsidRPr="000977F7">
        <w:rPr>
          <w:rFonts w:asciiTheme="majorHAnsi" w:hAnsiTheme="majorHAnsi"/>
          <w:spacing w:val="-3"/>
          <w:sz w:val="20"/>
          <w:szCs w:val="20"/>
        </w:rPr>
        <w:t xml:space="preserve"> </w:t>
      </w:r>
      <w:r w:rsidRPr="000977F7">
        <w:rPr>
          <w:rFonts w:asciiTheme="majorHAnsi" w:hAnsiTheme="majorHAnsi"/>
          <w:sz w:val="20"/>
          <w:szCs w:val="20"/>
        </w:rPr>
        <w:t>надмірну</w:t>
      </w:r>
      <w:r w:rsidRPr="000977F7">
        <w:rPr>
          <w:rFonts w:asciiTheme="majorHAnsi" w:hAnsiTheme="majorHAnsi"/>
          <w:spacing w:val="-5"/>
          <w:sz w:val="20"/>
          <w:szCs w:val="20"/>
        </w:rPr>
        <w:t xml:space="preserve"> </w:t>
      </w:r>
      <w:r w:rsidRPr="000977F7">
        <w:rPr>
          <w:rFonts w:asciiTheme="majorHAnsi" w:hAnsiTheme="majorHAnsi"/>
          <w:sz w:val="20"/>
          <w:szCs w:val="20"/>
        </w:rPr>
        <w:t>похибку</w:t>
      </w:r>
    </w:p>
    <w:p w14:paraId="50288DF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 94</w:t>
      </w:r>
    </w:p>
    <w:p w14:paraId="3EDB2A9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ПРОМИСЛОВА</w:t>
      </w:r>
      <w:r w:rsidRPr="000977F7">
        <w:rPr>
          <w:color w:val="auto"/>
          <w:spacing w:val="-4"/>
          <w:sz w:val="20"/>
          <w:szCs w:val="20"/>
        </w:rPr>
        <w:t xml:space="preserve"> </w:t>
      </w:r>
      <w:r w:rsidRPr="000977F7">
        <w:rPr>
          <w:color w:val="auto"/>
          <w:sz w:val="20"/>
          <w:szCs w:val="20"/>
        </w:rPr>
        <w:t>ПРОДУКЦІЯ</w:t>
      </w:r>
      <w:r w:rsidRPr="000977F7">
        <w:rPr>
          <w:color w:val="auto"/>
          <w:spacing w:val="-1"/>
          <w:sz w:val="20"/>
          <w:szCs w:val="20"/>
        </w:rPr>
        <w:t xml:space="preserve"> </w:t>
      </w:r>
      <w:r w:rsidRPr="000977F7">
        <w:rPr>
          <w:color w:val="auto"/>
          <w:sz w:val="20"/>
          <w:szCs w:val="20"/>
        </w:rPr>
        <w:t>–</w:t>
      </w:r>
    </w:p>
    <w:p w14:paraId="78FD2E2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Предмет праці, що</w:t>
      </w:r>
      <w:r w:rsidRPr="000977F7">
        <w:rPr>
          <w:rFonts w:asciiTheme="majorHAnsi" w:hAnsiTheme="majorHAnsi"/>
          <w:spacing w:val="1"/>
          <w:sz w:val="20"/>
          <w:szCs w:val="20"/>
        </w:rPr>
        <w:t xml:space="preserve"> </w:t>
      </w:r>
      <w:r w:rsidRPr="000977F7">
        <w:rPr>
          <w:rFonts w:asciiTheme="majorHAnsi" w:hAnsiTheme="majorHAnsi"/>
          <w:sz w:val="20"/>
          <w:szCs w:val="20"/>
        </w:rPr>
        <w:t>пройшов</w:t>
      </w:r>
      <w:r w:rsidRPr="000977F7">
        <w:rPr>
          <w:rFonts w:asciiTheme="majorHAnsi" w:hAnsiTheme="majorHAnsi"/>
          <w:spacing w:val="1"/>
          <w:sz w:val="20"/>
          <w:szCs w:val="20"/>
        </w:rPr>
        <w:t xml:space="preserve"> </w:t>
      </w:r>
      <w:r w:rsidRPr="000977F7">
        <w:rPr>
          <w:rFonts w:asciiTheme="majorHAnsi" w:hAnsiTheme="majorHAnsi"/>
          <w:sz w:val="20"/>
          <w:szCs w:val="20"/>
        </w:rPr>
        <w:t>усі</w:t>
      </w:r>
      <w:r w:rsidRPr="000977F7">
        <w:rPr>
          <w:rFonts w:asciiTheme="majorHAnsi" w:hAnsiTheme="majorHAnsi"/>
          <w:spacing w:val="1"/>
          <w:sz w:val="20"/>
          <w:szCs w:val="20"/>
        </w:rPr>
        <w:t xml:space="preserve"> </w:t>
      </w:r>
      <w:r w:rsidRPr="000977F7">
        <w:rPr>
          <w:rFonts w:asciiTheme="majorHAnsi" w:hAnsiTheme="majorHAnsi"/>
          <w:sz w:val="20"/>
          <w:szCs w:val="20"/>
        </w:rPr>
        <w:t>стадії виробничого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 на даному підприємстві та придатний до безпосереднього</w:t>
      </w:r>
      <w:r w:rsidRPr="000977F7">
        <w:rPr>
          <w:rFonts w:asciiTheme="majorHAnsi" w:hAnsiTheme="majorHAnsi"/>
          <w:spacing w:val="1"/>
          <w:sz w:val="20"/>
          <w:szCs w:val="20"/>
        </w:rPr>
        <w:t xml:space="preserve"> </w:t>
      </w:r>
      <w:r w:rsidRPr="000977F7">
        <w:rPr>
          <w:rFonts w:asciiTheme="majorHAnsi" w:hAnsiTheme="majorHAnsi"/>
          <w:sz w:val="20"/>
          <w:szCs w:val="20"/>
        </w:rPr>
        <w:t>споживання</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подальшого</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сфері</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p>
    <w:p w14:paraId="23E1805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 – 94</w:t>
      </w:r>
    </w:p>
    <w:p w14:paraId="1D04629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ПРОМИСЛОВА</w:t>
      </w:r>
      <w:r w:rsidRPr="000977F7">
        <w:rPr>
          <w:color w:val="auto"/>
          <w:spacing w:val="-4"/>
          <w:sz w:val="20"/>
          <w:szCs w:val="20"/>
        </w:rPr>
        <w:t xml:space="preserve"> </w:t>
      </w:r>
      <w:r w:rsidRPr="000977F7">
        <w:rPr>
          <w:color w:val="auto"/>
          <w:sz w:val="20"/>
          <w:szCs w:val="20"/>
        </w:rPr>
        <w:t>ЧАСТОТА</w:t>
      </w:r>
      <w:r w:rsidRPr="000977F7">
        <w:rPr>
          <w:color w:val="auto"/>
          <w:spacing w:val="-1"/>
          <w:sz w:val="20"/>
          <w:szCs w:val="20"/>
        </w:rPr>
        <w:t xml:space="preserve"> </w:t>
      </w:r>
      <w:r w:rsidRPr="000977F7">
        <w:rPr>
          <w:color w:val="auto"/>
          <w:sz w:val="20"/>
          <w:szCs w:val="20"/>
        </w:rPr>
        <w:t>–POWER</w:t>
      </w:r>
      <w:r w:rsidRPr="000977F7">
        <w:rPr>
          <w:color w:val="auto"/>
          <w:spacing w:val="-5"/>
          <w:sz w:val="20"/>
          <w:szCs w:val="20"/>
        </w:rPr>
        <w:t xml:space="preserve"> </w:t>
      </w:r>
      <w:r w:rsidRPr="000977F7">
        <w:rPr>
          <w:color w:val="auto"/>
          <w:sz w:val="20"/>
          <w:szCs w:val="20"/>
        </w:rPr>
        <w:t>FREQUENCY</w:t>
      </w:r>
      <w:r w:rsidRPr="000977F7">
        <w:rPr>
          <w:color w:val="auto"/>
          <w:spacing w:val="-2"/>
          <w:sz w:val="20"/>
          <w:szCs w:val="20"/>
        </w:rPr>
        <w:t xml:space="preserve"> </w:t>
      </w:r>
      <w:r w:rsidRPr="000977F7">
        <w:rPr>
          <w:color w:val="auto"/>
          <w:sz w:val="20"/>
          <w:szCs w:val="20"/>
        </w:rPr>
        <w:t>–</w:t>
      </w:r>
    </w:p>
    <w:p w14:paraId="4C4719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Частота, яка використовується в електропоста-чальній</w:t>
      </w:r>
      <w:r w:rsidRPr="000977F7">
        <w:rPr>
          <w:rFonts w:asciiTheme="majorHAnsi" w:hAnsiTheme="majorHAnsi"/>
          <w:spacing w:val="1"/>
          <w:sz w:val="20"/>
          <w:szCs w:val="20"/>
        </w:rPr>
        <w:t xml:space="preserve"> </w:t>
      </w:r>
      <w:r w:rsidRPr="000977F7">
        <w:rPr>
          <w:rFonts w:asciiTheme="majorHAnsi" w:hAnsiTheme="majorHAnsi"/>
          <w:sz w:val="20"/>
          <w:szCs w:val="20"/>
        </w:rPr>
        <w:t>системі</w:t>
      </w:r>
    </w:p>
    <w:p w14:paraId="5EA6DA3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420D45B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ПРОМИСЛОВЕ</w:t>
      </w:r>
      <w:r w:rsidRPr="000977F7">
        <w:rPr>
          <w:color w:val="auto"/>
          <w:spacing w:val="-6"/>
          <w:sz w:val="20"/>
          <w:szCs w:val="20"/>
        </w:rPr>
        <w:t xml:space="preserve"> </w:t>
      </w:r>
      <w:r w:rsidRPr="000977F7">
        <w:rPr>
          <w:color w:val="auto"/>
          <w:sz w:val="20"/>
          <w:szCs w:val="20"/>
        </w:rPr>
        <w:t>ВИРОБНИЦТВО</w:t>
      </w:r>
      <w:r w:rsidRPr="000977F7">
        <w:rPr>
          <w:color w:val="auto"/>
          <w:spacing w:val="-1"/>
          <w:sz w:val="20"/>
          <w:szCs w:val="20"/>
        </w:rPr>
        <w:t xml:space="preserve"> </w:t>
      </w:r>
      <w:r w:rsidRPr="000977F7">
        <w:rPr>
          <w:color w:val="auto"/>
          <w:sz w:val="20"/>
          <w:szCs w:val="20"/>
        </w:rPr>
        <w:t>–</w:t>
      </w:r>
    </w:p>
    <w:p w14:paraId="12396FDB"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Сукупність</w:t>
      </w:r>
      <w:r w:rsidRPr="000977F7">
        <w:rPr>
          <w:rFonts w:asciiTheme="majorHAnsi" w:hAnsiTheme="majorHAnsi"/>
          <w:spacing w:val="10"/>
          <w:sz w:val="20"/>
          <w:szCs w:val="20"/>
        </w:rPr>
        <w:t xml:space="preserve"> </w:t>
      </w:r>
      <w:r w:rsidRPr="000977F7">
        <w:rPr>
          <w:rFonts w:asciiTheme="majorHAnsi" w:hAnsiTheme="majorHAnsi"/>
          <w:sz w:val="20"/>
          <w:szCs w:val="20"/>
        </w:rPr>
        <w:t>організованих</w:t>
      </w:r>
      <w:r w:rsidRPr="000977F7">
        <w:rPr>
          <w:rFonts w:asciiTheme="majorHAnsi" w:hAnsiTheme="majorHAnsi"/>
          <w:spacing w:val="10"/>
          <w:sz w:val="20"/>
          <w:szCs w:val="20"/>
        </w:rPr>
        <w:t xml:space="preserve"> </w:t>
      </w:r>
      <w:r w:rsidRPr="000977F7">
        <w:rPr>
          <w:rFonts w:asciiTheme="majorHAnsi" w:hAnsiTheme="majorHAnsi"/>
          <w:sz w:val="20"/>
          <w:szCs w:val="20"/>
        </w:rPr>
        <w:t>у</w:t>
      </w:r>
      <w:r w:rsidRPr="000977F7">
        <w:rPr>
          <w:rFonts w:asciiTheme="majorHAnsi" w:hAnsiTheme="majorHAnsi"/>
          <w:spacing w:val="10"/>
          <w:sz w:val="20"/>
          <w:szCs w:val="20"/>
        </w:rPr>
        <w:t xml:space="preserve"> </w:t>
      </w:r>
      <w:r w:rsidRPr="000977F7">
        <w:rPr>
          <w:rFonts w:asciiTheme="majorHAnsi" w:hAnsiTheme="majorHAnsi"/>
          <w:sz w:val="20"/>
          <w:szCs w:val="20"/>
        </w:rPr>
        <w:t>систему</w:t>
      </w:r>
      <w:r w:rsidRPr="000977F7">
        <w:rPr>
          <w:rFonts w:asciiTheme="majorHAnsi" w:hAnsiTheme="majorHAnsi"/>
          <w:spacing w:val="10"/>
          <w:sz w:val="20"/>
          <w:szCs w:val="20"/>
        </w:rPr>
        <w:t xml:space="preserve"> </w:t>
      </w:r>
      <w:r w:rsidRPr="000977F7">
        <w:rPr>
          <w:rFonts w:asciiTheme="majorHAnsi" w:hAnsiTheme="majorHAnsi"/>
          <w:sz w:val="20"/>
          <w:szCs w:val="20"/>
        </w:rPr>
        <w:t>виробничих</w:t>
      </w:r>
      <w:r w:rsidRPr="000977F7">
        <w:rPr>
          <w:rFonts w:asciiTheme="majorHAnsi" w:hAnsiTheme="majorHAnsi"/>
          <w:spacing w:val="10"/>
          <w:sz w:val="20"/>
          <w:szCs w:val="20"/>
        </w:rPr>
        <w:t xml:space="preserve"> </w:t>
      </w:r>
      <w:r w:rsidRPr="000977F7">
        <w:rPr>
          <w:rFonts w:asciiTheme="majorHAnsi" w:hAnsiTheme="majorHAnsi"/>
          <w:sz w:val="20"/>
          <w:szCs w:val="20"/>
        </w:rPr>
        <w:t>процесів</w:t>
      </w:r>
      <w:r w:rsidRPr="000977F7">
        <w:rPr>
          <w:rFonts w:asciiTheme="majorHAnsi" w:hAnsiTheme="majorHAnsi"/>
          <w:spacing w:val="9"/>
          <w:sz w:val="20"/>
          <w:szCs w:val="20"/>
        </w:rPr>
        <w:t xml:space="preserve"> </w:t>
      </w:r>
      <w:r w:rsidRPr="000977F7">
        <w:rPr>
          <w:rFonts w:asciiTheme="majorHAnsi" w:hAnsiTheme="majorHAnsi"/>
          <w:sz w:val="20"/>
          <w:szCs w:val="20"/>
        </w:rPr>
        <w:t>створення</w:t>
      </w:r>
      <w:r w:rsidRPr="000977F7">
        <w:rPr>
          <w:rFonts w:asciiTheme="majorHAnsi" w:hAnsiTheme="majorHAnsi"/>
          <w:spacing w:val="10"/>
          <w:sz w:val="20"/>
          <w:szCs w:val="20"/>
        </w:rPr>
        <w:t xml:space="preserve"> </w:t>
      </w:r>
      <w:r w:rsidRPr="000977F7">
        <w:rPr>
          <w:rFonts w:asciiTheme="majorHAnsi" w:hAnsiTheme="majorHAnsi"/>
          <w:sz w:val="20"/>
          <w:szCs w:val="20"/>
        </w:rPr>
        <w:t>з</w:t>
      </w:r>
      <w:r w:rsidRPr="000977F7">
        <w:rPr>
          <w:rFonts w:asciiTheme="majorHAnsi" w:hAnsiTheme="majorHAnsi"/>
          <w:spacing w:val="10"/>
          <w:sz w:val="20"/>
          <w:szCs w:val="20"/>
        </w:rPr>
        <w:t xml:space="preserve"> </w:t>
      </w:r>
      <w:r w:rsidRPr="000977F7">
        <w:rPr>
          <w:rFonts w:asciiTheme="majorHAnsi" w:hAnsiTheme="majorHAnsi"/>
          <w:sz w:val="20"/>
          <w:szCs w:val="20"/>
        </w:rPr>
        <w:t>предметів</w:t>
      </w:r>
      <w:r w:rsidRPr="000977F7">
        <w:rPr>
          <w:rFonts w:asciiTheme="majorHAnsi" w:hAnsiTheme="majorHAnsi"/>
          <w:spacing w:val="12"/>
          <w:sz w:val="20"/>
          <w:szCs w:val="20"/>
        </w:rPr>
        <w:t xml:space="preserve"> </w:t>
      </w:r>
      <w:r w:rsidRPr="000977F7">
        <w:rPr>
          <w:rFonts w:asciiTheme="majorHAnsi" w:hAnsiTheme="majorHAnsi"/>
          <w:sz w:val="20"/>
          <w:szCs w:val="20"/>
        </w:rPr>
        <w:t>праці</w:t>
      </w:r>
      <w:r w:rsidRPr="000977F7">
        <w:rPr>
          <w:rFonts w:asciiTheme="majorHAnsi" w:hAnsiTheme="majorHAnsi"/>
          <w:spacing w:val="10"/>
          <w:sz w:val="20"/>
          <w:szCs w:val="20"/>
        </w:rPr>
        <w:t xml:space="preserve"> </w:t>
      </w:r>
      <w:r w:rsidRPr="000977F7">
        <w:rPr>
          <w:rFonts w:asciiTheme="majorHAnsi" w:hAnsiTheme="majorHAnsi"/>
          <w:sz w:val="20"/>
          <w:szCs w:val="20"/>
        </w:rPr>
        <w:t>за</w:t>
      </w:r>
      <w:r w:rsidRPr="000977F7">
        <w:rPr>
          <w:rFonts w:asciiTheme="majorHAnsi" w:hAnsiTheme="majorHAnsi"/>
          <w:spacing w:val="11"/>
          <w:sz w:val="20"/>
          <w:szCs w:val="20"/>
        </w:rPr>
        <w:t xml:space="preserve"> </w:t>
      </w:r>
      <w:r w:rsidRPr="000977F7">
        <w:rPr>
          <w:rFonts w:asciiTheme="majorHAnsi" w:hAnsiTheme="majorHAnsi"/>
          <w:sz w:val="20"/>
          <w:szCs w:val="20"/>
        </w:rPr>
        <w:t>допомогою</w:t>
      </w:r>
      <w:r w:rsidRPr="000977F7">
        <w:rPr>
          <w:rFonts w:asciiTheme="majorHAnsi" w:hAnsiTheme="majorHAnsi"/>
          <w:spacing w:val="10"/>
          <w:sz w:val="20"/>
          <w:szCs w:val="20"/>
        </w:rPr>
        <w:t xml:space="preserve"> </w:t>
      </w:r>
      <w:r w:rsidRPr="000977F7">
        <w:rPr>
          <w:rFonts w:asciiTheme="majorHAnsi" w:hAnsiTheme="majorHAnsi"/>
          <w:sz w:val="20"/>
          <w:szCs w:val="20"/>
        </w:rPr>
        <w:t>засобів праці промислової продукції певного призначення</w:t>
      </w:r>
      <w:r w:rsidRPr="000977F7">
        <w:rPr>
          <w:rFonts w:asciiTheme="majorHAnsi" w:hAnsiTheme="majorHAnsi"/>
          <w:spacing w:val="1"/>
          <w:sz w:val="20"/>
          <w:szCs w:val="20"/>
        </w:rPr>
        <w:t xml:space="preserve"> </w:t>
      </w:r>
    </w:p>
    <w:p w14:paraId="4084D244"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 xml:space="preserve">2960 </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2834CE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ПРОМИСЛОВИЙ ЗРАЗОК –</w:t>
      </w:r>
    </w:p>
    <w:p w14:paraId="4229F75C"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Результат інтелектуальної, творчої діяльності людини в галузі художнього конструювання;</w:t>
      </w:r>
    </w:p>
    <w:p w14:paraId="5F035C29"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i/>
          <w:iCs w:val="0"/>
          <w:color w:val="auto"/>
          <w:sz w:val="20"/>
          <w:szCs w:val="20"/>
        </w:rPr>
        <w:t>Ст. 1 закону України "Про охорону прав на промислові зразки</w:t>
      </w:r>
      <w:r w:rsidRPr="000977F7">
        <w:rPr>
          <w:b w:val="0"/>
          <w:bCs/>
          <w:color w:val="auto"/>
          <w:sz w:val="20"/>
          <w:szCs w:val="20"/>
        </w:rPr>
        <w:t>"</w:t>
      </w:r>
    </w:p>
    <w:p w14:paraId="1EF385A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ПРОМИСЛОВІ</w:t>
      </w:r>
      <w:r w:rsidRPr="000977F7">
        <w:rPr>
          <w:color w:val="auto"/>
          <w:spacing w:val="-4"/>
          <w:sz w:val="20"/>
          <w:szCs w:val="20"/>
        </w:rPr>
        <w:t xml:space="preserve"> </w:t>
      </w:r>
      <w:r w:rsidRPr="000977F7">
        <w:rPr>
          <w:color w:val="auto"/>
          <w:sz w:val="20"/>
          <w:szCs w:val="20"/>
        </w:rPr>
        <w:t>ВІДХОДИ —</w:t>
      </w:r>
    </w:p>
    <w:p w14:paraId="7F5A718A" w14:textId="77777777" w:rsidR="0097612F" w:rsidRPr="004D2D14" w:rsidRDefault="0097612F" w:rsidP="000977F7">
      <w:pPr>
        <w:pStyle w:val="af6"/>
        <w:tabs>
          <w:tab w:val="left" w:pos="284"/>
        </w:tabs>
        <w:spacing w:after="0"/>
        <w:ind w:left="170"/>
        <w:mirrorIndents/>
        <w:jc w:val="both"/>
        <w:rPr>
          <w:rFonts w:asciiTheme="majorHAnsi" w:hAnsiTheme="majorHAnsi"/>
          <w:spacing w:val="-47"/>
          <w:sz w:val="20"/>
          <w:szCs w:val="20"/>
          <w:lang w:val="uk-UA"/>
        </w:rPr>
      </w:pPr>
      <w:r w:rsidRPr="004D2D14">
        <w:rPr>
          <w:rFonts w:asciiTheme="majorHAnsi" w:hAnsiTheme="majorHAnsi"/>
          <w:sz w:val="20"/>
          <w:szCs w:val="20"/>
          <w:lang w:val="uk-UA"/>
        </w:rPr>
        <w:t>Відходи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виробництва,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також</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залишки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сировини,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матеріалів,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напівфабрикатів,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утворилися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виробництва продукції або виконання робіт із спорудження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обслуговування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підприємства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втратили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повністю або частково первинні споживчі властивості</w:t>
      </w:r>
      <w:r w:rsidRPr="004D2D14">
        <w:rPr>
          <w:rFonts w:asciiTheme="majorHAnsi" w:hAnsiTheme="majorHAnsi"/>
          <w:spacing w:val="-47"/>
          <w:sz w:val="20"/>
          <w:szCs w:val="20"/>
          <w:lang w:val="uk-UA"/>
        </w:rPr>
        <w:t xml:space="preserve"> </w:t>
      </w:r>
    </w:p>
    <w:p w14:paraId="4BC2A53B"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2156</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93</w:t>
      </w:r>
    </w:p>
    <w:p w14:paraId="0549AA1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ПРОМИСЛОВЕ</w:t>
      </w:r>
      <w:r w:rsidRPr="000977F7">
        <w:rPr>
          <w:color w:val="auto"/>
          <w:spacing w:val="-5"/>
          <w:sz w:val="20"/>
          <w:szCs w:val="20"/>
        </w:rPr>
        <w:t xml:space="preserve"> </w:t>
      </w:r>
      <w:r w:rsidRPr="000977F7">
        <w:rPr>
          <w:color w:val="auto"/>
          <w:sz w:val="20"/>
          <w:szCs w:val="20"/>
        </w:rPr>
        <w:t>ПІДПРИЄМСТВО</w:t>
      </w:r>
      <w:r w:rsidRPr="000977F7">
        <w:rPr>
          <w:color w:val="auto"/>
          <w:spacing w:val="-2"/>
          <w:sz w:val="20"/>
          <w:szCs w:val="20"/>
        </w:rPr>
        <w:t xml:space="preserve"> </w:t>
      </w:r>
      <w:r w:rsidRPr="000977F7">
        <w:rPr>
          <w:color w:val="auto"/>
          <w:sz w:val="20"/>
          <w:szCs w:val="20"/>
        </w:rPr>
        <w:t>—</w:t>
      </w:r>
    </w:p>
    <w:p w14:paraId="760E1BA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INDUSTRIAL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ENTERPRISE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1647A8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Державна, змішана, спільна, іноземна, кооперативна</w:t>
      </w:r>
      <w:r w:rsidRPr="000977F7">
        <w:rPr>
          <w:rFonts w:asciiTheme="majorHAnsi" w:hAnsiTheme="majorHAnsi"/>
          <w:spacing w:val="1"/>
          <w:sz w:val="20"/>
          <w:szCs w:val="20"/>
        </w:rPr>
        <w:t xml:space="preserve"> </w:t>
      </w:r>
      <w:r w:rsidRPr="000977F7">
        <w:rPr>
          <w:rFonts w:asciiTheme="majorHAnsi" w:hAnsiTheme="majorHAnsi"/>
          <w:sz w:val="20"/>
          <w:szCs w:val="20"/>
        </w:rPr>
        <w:t>виробнича одиниця (декілька одиниць), що діє на території держави і створена з метою одержання товарної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5616AC2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2156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93</w:t>
      </w:r>
    </w:p>
    <w:p w14:paraId="3ED65218"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sz w:val="20"/>
          <w:szCs w:val="20"/>
        </w:rPr>
        <w:t>Статутний об’єкт,</w:t>
      </w:r>
      <w:r w:rsidRPr="000977F7">
        <w:rPr>
          <w:rFonts w:asciiTheme="majorHAnsi" w:hAnsiTheme="majorHAnsi"/>
          <w:spacing w:val="2"/>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має</w:t>
      </w:r>
      <w:r w:rsidRPr="000977F7">
        <w:rPr>
          <w:rFonts w:asciiTheme="majorHAnsi" w:hAnsiTheme="majorHAnsi"/>
          <w:spacing w:val="5"/>
          <w:sz w:val="20"/>
          <w:szCs w:val="20"/>
        </w:rPr>
        <w:t xml:space="preserve"> </w:t>
      </w:r>
      <w:r w:rsidRPr="000977F7">
        <w:rPr>
          <w:rFonts w:asciiTheme="majorHAnsi" w:hAnsiTheme="majorHAnsi"/>
          <w:sz w:val="20"/>
          <w:szCs w:val="20"/>
        </w:rPr>
        <w:t>право</w:t>
      </w:r>
      <w:r w:rsidRPr="000977F7">
        <w:rPr>
          <w:rFonts w:asciiTheme="majorHAnsi" w:hAnsiTheme="majorHAnsi"/>
          <w:spacing w:val="3"/>
          <w:sz w:val="20"/>
          <w:szCs w:val="20"/>
        </w:rPr>
        <w:t xml:space="preserve"> </w:t>
      </w:r>
      <w:r w:rsidRPr="000977F7">
        <w:rPr>
          <w:rFonts w:asciiTheme="majorHAnsi" w:hAnsiTheme="majorHAnsi"/>
          <w:sz w:val="20"/>
          <w:szCs w:val="20"/>
        </w:rPr>
        <w:t>юридичної</w:t>
      </w:r>
      <w:r w:rsidRPr="000977F7">
        <w:rPr>
          <w:rFonts w:asciiTheme="majorHAnsi" w:hAnsiTheme="majorHAnsi"/>
          <w:spacing w:val="1"/>
          <w:sz w:val="20"/>
          <w:szCs w:val="20"/>
        </w:rPr>
        <w:t xml:space="preserve"> </w:t>
      </w:r>
      <w:r w:rsidRPr="000977F7">
        <w:rPr>
          <w:rFonts w:asciiTheme="majorHAnsi" w:hAnsiTheme="majorHAnsi"/>
          <w:sz w:val="20"/>
          <w:szCs w:val="20"/>
        </w:rPr>
        <w:t>особи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здійснює</w:t>
      </w:r>
      <w:r w:rsidRPr="000977F7">
        <w:rPr>
          <w:rFonts w:asciiTheme="majorHAnsi" w:hAnsiTheme="majorHAnsi"/>
          <w:spacing w:val="26"/>
          <w:sz w:val="20"/>
          <w:szCs w:val="20"/>
        </w:rPr>
        <w:t xml:space="preserve"> </w:t>
      </w:r>
      <w:r w:rsidRPr="000977F7">
        <w:rPr>
          <w:rFonts w:asciiTheme="majorHAnsi" w:hAnsiTheme="majorHAnsi"/>
          <w:sz w:val="20"/>
          <w:szCs w:val="20"/>
        </w:rPr>
        <w:t>виробництво</w:t>
      </w:r>
      <w:r w:rsidRPr="000977F7">
        <w:rPr>
          <w:rFonts w:asciiTheme="majorHAnsi" w:hAnsiTheme="majorHAnsi"/>
          <w:spacing w:val="27"/>
          <w:sz w:val="20"/>
          <w:szCs w:val="20"/>
        </w:rPr>
        <w:t xml:space="preserve"> </w:t>
      </w:r>
      <w:r w:rsidRPr="000977F7">
        <w:rPr>
          <w:rFonts w:asciiTheme="majorHAnsi" w:hAnsiTheme="majorHAnsi"/>
          <w:sz w:val="20"/>
          <w:szCs w:val="20"/>
        </w:rPr>
        <w:t>і</w:t>
      </w:r>
      <w:r w:rsidRPr="000977F7">
        <w:rPr>
          <w:rFonts w:asciiTheme="majorHAnsi" w:hAnsiTheme="majorHAnsi"/>
          <w:spacing w:val="26"/>
          <w:sz w:val="20"/>
          <w:szCs w:val="20"/>
        </w:rPr>
        <w:t xml:space="preserve"> </w:t>
      </w:r>
      <w:r w:rsidRPr="000977F7">
        <w:rPr>
          <w:rFonts w:asciiTheme="majorHAnsi" w:hAnsiTheme="majorHAnsi"/>
          <w:sz w:val="20"/>
          <w:szCs w:val="20"/>
        </w:rPr>
        <w:t>реалізацію</w:t>
      </w:r>
      <w:r w:rsidRPr="000977F7">
        <w:rPr>
          <w:rFonts w:asciiTheme="majorHAnsi" w:hAnsiTheme="majorHAnsi"/>
          <w:spacing w:val="25"/>
          <w:sz w:val="20"/>
          <w:szCs w:val="20"/>
        </w:rPr>
        <w:t xml:space="preserve"> </w:t>
      </w:r>
      <w:r w:rsidRPr="000977F7">
        <w:rPr>
          <w:rFonts w:asciiTheme="majorHAnsi" w:hAnsiTheme="majorHAnsi"/>
          <w:sz w:val="20"/>
          <w:szCs w:val="20"/>
        </w:rPr>
        <w:t>продукції</w:t>
      </w:r>
      <w:r w:rsidRPr="000977F7">
        <w:rPr>
          <w:rFonts w:asciiTheme="majorHAnsi" w:hAnsiTheme="majorHAnsi"/>
          <w:spacing w:val="26"/>
          <w:sz w:val="20"/>
          <w:szCs w:val="20"/>
        </w:rPr>
        <w:t xml:space="preserve"> </w:t>
      </w:r>
      <w:r w:rsidRPr="000977F7">
        <w:rPr>
          <w:rFonts w:asciiTheme="majorHAnsi" w:hAnsiTheme="majorHAnsi"/>
          <w:sz w:val="20"/>
          <w:szCs w:val="20"/>
        </w:rPr>
        <w:t>певних</w:t>
      </w:r>
      <w:r w:rsidRPr="000977F7">
        <w:rPr>
          <w:rFonts w:asciiTheme="majorHAnsi" w:hAnsiTheme="majorHAnsi"/>
          <w:spacing w:val="-47"/>
          <w:sz w:val="20"/>
          <w:szCs w:val="20"/>
        </w:rPr>
        <w:t xml:space="preserve"> </w:t>
      </w:r>
      <w:r w:rsidRPr="000977F7">
        <w:rPr>
          <w:rFonts w:asciiTheme="majorHAnsi" w:hAnsiTheme="majorHAnsi"/>
          <w:sz w:val="20"/>
          <w:szCs w:val="20"/>
        </w:rPr>
        <w:t>видів з метою одержання відповідного прибутку</w:t>
      </w:r>
      <w:r w:rsidRPr="000977F7">
        <w:rPr>
          <w:rFonts w:asciiTheme="majorHAnsi" w:hAnsiTheme="majorHAnsi"/>
          <w:spacing w:val="1"/>
          <w:sz w:val="20"/>
          <w:szCs w:val="20"/>
        </w:rPr>
        <w:t xml:space="preserve"> </w:t>
      </w:r>
      <w:r w:rsidRPr="000977F7">
        <w:rPr>
          <w:rFonts w:asciiTheme="majorHAnsi" w:hAnsiTheme="majorHAnsi"/>
          <w:i/>
          <w:iCs/>
          <w:sz w:val="20"/>
          <w:szCs w:val="20"/>
        </w:rPr>
        <w:t>ДСТУ</w:t>
      </w:r>
      <w:r w:rsidRPr="000977F7">
        <w:rPr>
          <w:rFonts w:asciiTheme="majorHAnsi" w:hAnsiTheme="majorHAnsi"/>
          <w:i/>
          <w:iCs/>
          <w:spacing w:val="-1"/>
          <w:sz w:val="20"/>
          <w:szCs w:val="20"/>
        </w:rPr>
        <w:t xml:space="preserve"> </w:t>
      </w:r>
      <w:r w:rsidRPr="000977F7">
        <w:rPr>
          <w:rFonts w:asciiTheme="majorHAnsi" w:hAnsiTheme="majorHAnsi"/>
          <w:i/>
          <w:iCs/>
          <w:sz w:val="20"/>
          <w:szCs w:val="20"/>
        </w:rPr>
        <w:t>2960</w:t>
      </w:r>
      <w:r w:rsidRPr="000977F7">
        <w:rPr>
          <w:rFonts w:asciiTheme="majorHAnsi" w:hAnsiTheme="majorHAnsi"/>
          <w:i/>
          <w:iCs/>
          <w:spacing w:val="-1"/>
          <w:sz w:val="20"/>
          <w:szCs w:val="20"/>
        </w:rPr>
        <w:t xml:space="preserve"> </w:t>
      </w:r>
      <w:r w:rsidRPr="000977F7">
        <w:rPr>
          <w:rFonts w:asciiTheme="majorHAnsi" w:hAnsiTheme="majorHAnsi"/>
          <w:i/>
          <w:iCs/>
          <w:sz w:val="20"/>
          <w:szCs w:val="20"/>
        </w:rPr>
        <w:t>–</w:t>
      </w:r>
      <w:r w:rsidRPr="000977F7">
        <w:rPr>
          <w:rFonts w:asciiTheme="majorHAnsi" w:hAnsiTheme="majorHAnsi"/>
          <w:i/>
          <w:iCs/>
          <w:spacing w:val="1"/>
          <w:sz w:val="20"/>
          <w:szCs w:val="20"/>
        </w:rPr>
        <w:t xml:space="preserve"> </w:t>
      </w:r>
      <w:r w:rsidRPr="000977F7">
        <w:rPr>
          <w:rFonts w:asciiTheme="majorHAnsi" w:hAnsiTheme="majorHAnsi"/>
          <w:i/>
          <w:iCs/>
          <w:sz w:val="20"/>
          <w:szCs w:val="20"/>
        </w:rPr>
        <w:t>94</w:t>
      </w:r>
    </w:p>
    <w:p w14:paraId="3F182FF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ПРОМИСЛОВИЙ</w:t>
      </w:r>
      <w:r w:rsidRPr="000977F7">
        <w:rPr>
          <w:color w:val="auto"/>
          <w:spacing w:val="-3"/>
          <w:sz w:val="20"/>
          <w:szCs w:val="20"/>
        </w:rPr>
        <w:t xml:space="preserve"> </w:t>
      </w:r>
      <w:r w:rsidRPr="000977F7">
        <w:rPr>
          <w:color w:val="auto"/>
          <w:sz w:val="20"/>
          <w:szCs w:val="20"/>
        </w:rPr>
        <w:t>ЗРАЗОК</w:t>
      </w:r>
      <w:r w:rsidRPr="000977F7">
        <w:rPr>
          <w:color w:val="auto"/>
          <w:spacing w:val="-3"/>
          <w:sz w:val="20"/>
          <w:szCs w:val="20"/>
        </w:rPr>
        <w:t xml:space="preserve"> </w:t>
      </w:r>
      <w:r w:rsidRPr="000977F7">
        <w:rPr>
          <w:color w:val="auto"/>
          <w:sz w:val="20"/>
          <w:szCs w:val="20"/>
        </w:rPr>
        <w:t>–</w:t>
      </w:r>
    </w:p>
    <w:p w14:paraId="1DF5215A"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Нове</w:t>
      </w:r>
      <w:r w:rsidRPr="000977F7">
        <w:rPr>
          <w:rFonts w:asciiTheme="majorHAnsi" w:hAnsiTheme="majorHAnsi"/>
          <w:spacing w:val="10"/>
          <w:sz w:val="20"/>
          <w:szCs w:val="20"/>
        </w:rPr>
        <w:t xml:space="preserve"> </w:t>
      </w:r>
      <w:r w:rsidRPr="000977F7">
        <w:rPr>
          <w:rFonts w:asciiTheme="majorHAnsi" w:hAnsiTheme="majorHAnsi"/>
          <w:sz w:val="20"/>
          <w:szCs w:val="20"/>
        </w:rPr>
        <w:t>художньо</w:t>
      </w:r>
      <w:r w:rsidRPr="000977F7">
        <w:rPr>
          <w:rFonts w:asciiTheme="majorHAnsi" w:hAnsiTheme="majorHAnsi"/>
          <w:spacing w:val="13"/>
          <w:sz w:val="20"/>
          <w:szCs w:val="20"/>
        </w:rPr>
        <w:t xml:space="preserve"> </w:t>
      </w:r>
      <w:r w:rsidRPr="000977F7">
        <w:rPr>
          <w:rFonts w:asciiTheme="majorHAnsi" w:hAnsiTheme="majorHAnsi"/>
          <w:sz w:val="20"/>
          <w:szCs w:val="20"/>
        </w:rPr>
        <w:t>–</w:t>
      </w:r>
      <w:r w:rsidRPr="000977F7">
        <w:rPr>
          <w:rFonts w:asciiTheme="majorHAnsi" w:hAnsiTheme="majorHAnsi"/>
          <w:spacing w:val="12"/>
          <w:sz w:val="20"/>
          <w:szCs w:val="20"/>
        </w:rPr>
        <w:t xml:space="preserve"> </w:t>
      </w:r>
      <w:r w:rsidRPr="000977F7">
        <w:rPr>
          <w:rFonts w:asciiTheme="majorHAnsi" w:hAnsiTheme="majorHAnsi"/>
          <w:sz w:val="20"/>
          <w:szCs w:val="20"/>
        </w:rPr>
        <w:t>конструкторське</w:t>
      </w:r>
      <w:r w:rsidRPr="000977F7">
        <w:rPr>
          <w:rFonts w:asciiTheme="majorHAnsi" w:hAnsiTheme="majorHAnsi"/>
          <w:spacing w:val="11"/>
          <w:sz w:val="20"/>
          <w:szCs w:val="20"/>
        </w:rPr>
        <w:t xml:space="preserve"> </w:t>
      </w:r>
      <w:r w:rsidRPr="000977F7">
        <w:rPr>
          <w:rFonts w:asciiTheme="majorHAnsi" w:hAnsiTheme="majorHAnsi"/>
          <w:sz w:val="20"/>
          <w:szCs w:val="20"/>
        </w:rPr>
        <w:t>вирішення</w:t>
      </w:r>
      <w:r w:rsidRPr="000977F7">
        <w:rPr>
          <w:rFonts w:asciiTheme="majorHAnsi" w:hAnsiTheme="majorHAnsi"/>
          <w:spacing w:val="12"/>
          <w:sz w:val="20"/>
          <w:szCs w:val="20"/>
        </w:rPr>
        <w:t xml:space="preserve"> </w:t>
      </w:r>
      <w:r w:rsidRPr="000977F7">
        <w:rPr>
          <w:rFonts w:asciiTheme="majorHAnsi" w:hAnsiTheme="majorHAnsi"/>
          <w:sz w:val="20"/>
          <w:szCs w:val="20"/>
        </w:rPr>
        <w:t>виробу,</w:t>
      </w:r>
      <w:r w:rsidRPr="000977F7">
        <w:rPr>
          <w:rFonts w:asciiTheme="majorHAnsi" w:hAnsiTheme="majorHAnsi"/>
          <w:spacing w:val="-47"/>
          <w:sz w:val="20"/>
          <w:szCs w:val="20"/>
        </w:rPr>
        <w:t xml:space="preserve"> </w:t>
      </w:r>
      <w:r w:rsidRPr="000977F7">
        <w:rPr>
          <w:rFonts w:asciiTheme="majorHAnsi" w:hAnsiTheme="majorHAnsi"/>
          <w:sz w:val="20"/>
          <w:szCs w:val="20"/>
        </w:rPr>
        <w:t>яке</w:t>
      </w:r>
      <w:r w:rsidRPr="000977F7">
        <w:rPr>
          <w:rFonts w:asciiTheme="majorHAnsi" w:hAnsiTheme="majorHAnsi"/>
          <w:spacing w:val="14"/>
          <w:sz w:val="20"/>
          <w:szCs w:val="20"/>
        </w:rPr>
        <w:t xml:space="preserve"> </w:t>
      </w:r>
      <w:r w:rsidRPr="000977F7">
        <w:rPr>
          <w:rFonts w:asciiTheme="majorHAnsi" w:hAnsiTheme="majorHAnsi"/>
          <w:sz w:val="20"/>
          <w:szCs w:val="20"/>
        </w:rPr>
        <w:t>визначає</w:t>
      </w:r>
      <w:r w:rsidRPr="000977F7">
        <w:rPr>
          <w:rFonts w:asciiTheme="majorHAnsi" w:hAnsiTheme="majorHAnsi"/>
          <w:spacing w:val="12"/>
          <w:sz w:val="20"/>
          <w:szCs w:val="20"/>
        </w:rPr>
        <w:t xml:space="preserve"> </w:t>
      </w:r>
      <w:r w:rsidRPr="000977F7">
        <w:rPr>
          <w:rFonts w:asciiTheme="majorHAnsi" w:hAnsiTheme="majorHAnsi"/>
          <w:sz w:val="20"/>
          <w:szCs w:val="20"/>
        </w:rPr>
        <w:t>його</w:t>
      </w:r>
      <w:r w:rsidRPr="000977F7">
        <w:rPr>
          <w:rFonts w:asciiTheme="majorHAnsi" w:hAnsiTheme="majorHAnsi"/>
          <w:spacing w:val="12"/>
          <w:sz w:val="20"/>
          <w:szCs w:val="20"/>
        </w:rPr>
        <w:t xml:space="preserve"> </w:t>
      </w:r>
      <w:r w:rsidRPr="000977F7">
        <w:rPr>
          <w:rFonts w:asciiTheme="majorHAnsi" w:hAnsiTheme="majorHAnsi"/>
          <w:sz w:val="20"/>
          <w:szCs w:val="20"/>
        </w:rPr>
        <w:t>зовнішній</w:t>
      </w:r>
      <w:r w:rsidRPr="000977F7">
        <w:rPr>
          <w:rFonts w:asciiTheme="majorHAnsi" w:hAnsiTheme="majorHAnsi"/>
          <w:spacing w:val="11"/>
          <w:sz w:val="20"/>
          <w:szCs w:val="20"/>
        </w:rPr>
        <w:t xml:space="preserve"> </w:t>
      </w:r>
      <w:r w:rsidRPr="000977F7">
        <w:rPr>
          <w:rFonts w:asciiTheme="majorHAnsi" w:hAnsiTheme="majorHAnsi"/>
          <w:sz w:val="20"/>
          <w:szCs w:val="20"/>
        </w:rPr>
        <w:t>вигляд,</w:t>
      </w:r>
      <w:r w:rsidRPr="000977F7">
        <w:rPr>
          <w:rFonts w:asciiTheme="majorHAnsi" w:hAnsiTheme="majorHAnsi"/>
          <w:spacing w:val="14"/>
          <w:sz w:val="20"/>
          <w:szCs w:val="20"/>
        </w:rPr>
        <w:t xml:space="preserve"> </w:t>
      </w:r>
      <w:r w:rsidRPr="000977F7">
        <w:rPr>
          <w:rFonts w:asciiTheme="majorHAnsi" w:hAnsiTheme="majorHAnsi"/>
          <w:sz w:val="20"/>
          <w:szCs w:val="20"/>
        </w:rPr>
        <w:t>відповідає</w:t>
      </w:r>
      <w:r w:rsidRPr="000977F7">
        <w:rPr>
          <w:rFonts w:asciiTheme="majorHAnsi" w:hAnsiTheme="majorHAnsi"/>
          <w:spacing w:val="13"/>
          <w:sz w:val="20"/>
          <w:szCs w:val="20"/>
        </w:rPr>
        <w:t xml:space="preserve"> </w:t>
      </w:r>
      <w:r w:rsidRPr="000977F7">
        <w:rPr>
          <w:rFonts w:asciiTheme="majorHAnsi" w:hAnsiTheme="majorHAnsi"/>
          <w:sz w:val="20"/>
          <w:szCs w:val="20"/>
        </w:rPr>
        <w:t>вимогам технічної естетики і є промислово придатним</w:t>
      </w:r>
      <w:r w:rsidRPr="000977F7">
        <w:rPr>
          <w:rFonts w:asciiTheme="majorHAnsi" w:hAnsiTheme="majorHAnsi"/>
          <w:spacing w:val="1"/>
          <w:sz w:val="20"/>
          <w:szCs w:val="20"/>
        </w:rPr>
        <w:t xml:space="preserve"> </w:t>
      </w:r>
    </w:p>
    <w:p w14:paraId="600D2E85"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3278</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4BE805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Правова охорона надається промисловому зразку, що не суперечить публічному порядку, загальновизнаним принципам моралі та відповідає критеріям охороноздатності. (новизна та індивідуальний характер).</w:t>
      </w:r>
    </w:p>
    <w:p w14:paraId="4B4DF27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Промисловим зразком може бути зовнішній вигляд виробу або його частини, що визначається, зокрема, лініями, контурами, кольором, формою, текстурою та/або матеріалом виробу, та/або його оздобленням.</w:t>
      </w:r>
    </w:p>
    <w:p w14:paraId="085B2130" w14:textId="77777777" w:rsidR="0097612F" w:rsidRPr="000977F7" w:rsidRDefault="0097612F" w:rsidP="000977F7">
      <w:pPr>
        <w:pStyle w:val="1"/>
        <w:tabs>
          <w:tab w:val="left" w:pos="284"/>
        </w:tabs>
        <w:spacing w:line="240" w:lineRule="auto"/>
        <w:ind w:left="170"/>
        <w:mirrorIndents/>
        <w:jc w:val="both"/>
        <w:rPr>
          <w:b w:val="0"/>
          <w:bCs/>
          <w:i/>
          <w:color w:val="auto"/>
          <w:sz w:val="20"/>
          <w:szCs w:val="20"/>
        </w:rPr>
      </w:pPr>
      <w:bookmarkStart w:id="231" w:name="_Toc132629643"/>
      <w:bookmarkStart w:id="232" w:name="_Hlk104733732"/>
      <w:r w:rsidRPr="000977F7">
        <w:rPr>
          <w:b w:val="0"/>
          <w:bCs/>
          <w:i/>
          <w:color w:val="auto"/>
          <w:sz w:val="20"/>
          <w:szCs w:val="20"/>
        </w:rPr>
        <w:t>Закон України «Про охорону прав на промислові зразки»</w:t>
      </w:r>
      <w:bookmarkEnd w:id="231"/>
    </w:p>
    <w:bookmarkEnd w:id="232"/>
    <w:p w14:paraId="2B14E82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ПРОМИСЛОВИЙ</w:t>
      </w:r>
      <w:r w:rsidRPr="000977F7">
        <w:rPr>
          <w:color w:val="auto"/>
          <w:spacing w:val="-4"/>
          <w:sz w:val="20"/>
          <w:szCs w:val="20"/>
        </w:rPr>
        <w:t xml:space="preserve"> </w:t>
      </w:r>
      <w:r w:rsidRPr="000977F7">
        <w:rPr>
          <w:color w:val="auto"/>
          <w:sz w:val="20"/>
          <w:szCs w:val="20"/>
        </w:rPr>
        <w:t>ПРОЦЕС</w:t>
      </w:r>
      <w:r w:rsidRPr="000977F7">
        <w:rPr>
          <w:color w:val="auto"/>
          <w:spacing w:val="-2"/>
          <w:sz w:val="20"/>
          <w:szCs w:val="20"/>
        </w:rPr>
        <w:t xml:space="preserve"> </w:t>
      </w:r>
      <w:r w:rsidRPr="000977F7">
        <w:rPr>
          <w:color w:val="auto"/>
          <w:sz w:val="20"/>
          <w:szCs w:val="20"/>
        </w:rPr>
        <w:t>–</w:t>
      </w:r>
    </w:p>
    <w:p w14:paraId="5C1A34F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INDUSTRIAL</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PROCESS;</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PRODUCTION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PROCESS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46E048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Взаємодія</w:t>
      </w:r>
      <w:r w:rsidRPr="004D2D14">
        <w:rPr>
          <w:rFonts w:asciiTheme="majorHAnsi" w:hAnsiTheme="majorHAnsi"/>
          <w:spacing w:val="47"/>
          <w:sz w:val="20"/>
          <w:szCs w:val="20"/>
          <w:lang w:val="en-US"/>
        </w:rPr>
        <w:t xml:space="preserve"> </w:t>
      </w:r>
      <w:r w:rsidRPr="000977F7">
        <w:rPr>
          <w:rFonts w:asciiTheme="majorHAnsi" w:hAnsiTheme="majorHAnsi"/>
          <w:sz w:val="20"/>
          <w:szCs w:val="20"/>
        </w:rPr>
        <w:t>людей</w:t>
      </w:r>
      <w:r w:rsidRPr="004D2D14">
        <w:rPr>
          <w:rFonts w:asciiTheme="majorHAnsi" w:hAnsiTheme="majorHAnsi"/>
          <w:spacing w:val="46"/>
          <w:sz w:val="20"/>
          <w:szCs w:val="20"/>
          <w:lang w:val="en-US"/>
        </w:rPr>
        <w:t xml:space="preserve"> </w:t>
      </w:r>
      <w:r w:rsidRPr="000977F7">
        <w:rPr>
          <w:rFonts w:asciiTheme="majorHAnsi" w:hAnsiTheme="majorHAnsi"/>
          <w:sz w:val="20"/>
          <w:szCs w:val="20"/>
        </w:rPr>
        <w:t>та</w:t>
      </w:r>
      <w:r w:rsidRPr="004D2D14">
        <w:rPr>
          <w:rFonts w:asciiTheme="majorHAnsi" w:hAnsiTheme="majorHAnsi"/>
          <w:spacing w:val="46"/>
          <w:sz w:val="20"/>
          <w:szCs w:val="20"/>
          <w:lang w:val="en-US"/>
        </w:rPr>
        <w:t xml:space="preserve"> </w:t>
      </w:r>
      <w:r w:rsidRPr="000977F7">
        <w:rPr>
          <w:rFonts w:asciiTheme="majorHAnsi" w:hAnsiTheme="majorHAnsi"/>
          <w:sz w:val="20"/>
          <w:szCs w:val="20"/>
        </w:rPr>
        <w:t>механічних</w:t>
      </w:r>
      <w:r w:rsidRPr="004D2D14">
        <w:rPr>
          <w:rFonts w:asciiTheme="majorHAnsi" w:hAnsiTheme="majorHAnsi"/>
          <w:spacing w:val="44"/>
          <w:sz w:val="20"/>
          <w:szCs w:val="20"/>
          <w:lang w:val="en-US"/>
        </w:rPr>
        <w:t xml:space="preserve"> </w:t>
      </w:r>
      <w:r w:rsidRPr="000977F7">
        <w:rPr>
          <w:rFonts w:asciiTheme="majorHAnsi" w:hAnsiTheme="majorHAnsi"/>
          <w:sz w:val="20"/>
          <w:szCs w:val="20"/>
        </w:rPr>
        <w:t>засобів</w:t>
      </w:r>
      <w:r w:rsidRPr="004D2D14">
        <w:rPr>
          <w:rFonts w:asciiTheme="majorHAnsi" w:hAnsiTheme="majorHAnsi"/>
          <w:spacing w:val="47"/>
          <w:sz w:val="20"/>
          <w:szCs w:val="20"/>
          <w:lang w:val="en-US"/>
        </w:rPr>
        <w:t xml:space="preserve"> </w:t>
      </w:r>
      <w:r w:rsidRPr="000977F7">
        <w:rPr>
          <w:rFonts w:asciiTheme="majorHAnsi" w:hAnsiTheme="majorHAnsi"/>
          <w:sz w:val="20"/>
          <w:szCs w:val="20"/>
        </w:rPr>
        <w:t>у</w:t>
      </w:r>
      <w:r w:rsidRPr="004D2D14">
        <w:rPr>
          <w:rFonts w:asciiTheme="majorHAnsi" w:hAnsiTheme="majorHAnsi"/>
          <w:spacing w:val="45"/>
          <w:sz w:val="20"/>
          <w:szCs w:val="20"/>
          <w:lang w:val="en-US"/>
        </w:rPr>
        <w:t xml:space="preserve"> </w:t>
      </w:r>
      <w:r w:rsidRPr="000977F7">
        <w:rPr>
          <w:rFonts w:asciiTheme="majorHAnsi" w:hAnsiTheme="majorHAnsi"/>
          <w:sz w:val="20"/>
          <w:szCs w:val="20"/>
        </w:rPr>
        <w:t>структурі</w:t>
      </w:r>
      <w:r w:rsidRPr="004D2D14">
        <w:rPr>
          <w:rFonts w:asciiTheme="majorHAnsi" w:hAnsiTheme="majorHAnsi"/>
          <w:spacing w:val="-47"/>
          <w:sz w:val="20"/>
          <w:szCs w:val="20"/>
          <w:lang w:val="en-US"/>
        </w:rPr>
        <w:t xml:space="preserve"> </w:t>
      </w:r>
      <w:r w:rsidRPr="000977F7">
        <w:rPr>
          <w:rFonts w:asciiTheme="majorHAnsi" w:hAnsiTheme="majorHAnsi"/>
          <w:sz w:val="20"/>
          <w:szCs w:val="20"/>
        </w:rPr>
        <w:t>виробничого</w:t>
      </w:r>
      <w:r w:rsidRPr="004D2D14">
        <w:rPr>
          <w:rFonts w:asciiTheme="majorHAnsi" w:hAnsiTheme="majorHAnsi"/>
          <w:spacing w:val="-10"/>
          <w:sz w:val="20"/>
          <w:szCs w:val="20"/>
          <w:lang w:val="en-US"/>
        </w:rPr>
        <w:t xml:space="preserve"> </w:t>
      </w:r>
      <w:r w:rsidRPr="000977F7">
        <w:rPr>
          <w:rFonts w:asciiTheme="majorHAnsi" w:hAnsiTheme="majorHAnsi"/>
          <w:sz w:val="20"/>
          <w:szCs w:val="20"/>
        </w:rPr>
        <w:t>підприємства</w:t>
      </w:r>
      <w:r w:rsidRPr="004D2D14">
        <w:rPr>
          <w:rFonts w:asciiTheme="majorHAnsi" w:hAnsiTheme="majorHAnsi"/>
          <w:spacing w:val="-10"/>
          <w:sz w:val="20"/>
          <w:szCs w:val="20"/>
          <w:lang w:val="en-US"/>
        </w:rPr>
        <w:t xml:space="preserve"> </w:t>
      </w:r>
      <w:r w:rsidRPr="000977F7">
        <w:rPr>
          <w:rFonts w:asciiTheme="majorHAnsi" w:hAnsiTheme="majorHAnsi"/>
          <w:sz w:val="20"/>
          <w:szCs w:val="20"/>
        </w:rPr>
        <w:t>з</w:t>
      </w:r>
      <w:r w:rsidRPr="004D2D14">
        <w:rPr>
          <w:rFonts w:asciiTheme="majorHAnsi" w:hAnsiTheme="majorHAnsi"/>
          <w:spacing w:val="-10"/>
          <w:sz w:val="20"/>
          <w:szCs w:val="20"/>
          <w:lang w:val="en-US"/>
        </w:rPr>
        <w:t xml:space="preserve"> </w:t>
      </w:r>
      <w:r w:rsidRPr="000977F7">
        <w:rPr>
          <w:rFonts w:asciiTheme="majorHAnsi" w:hAnsiTheme="majorHAnsi"/>
          <w:sz w:val="20"/>
          <w:szCs w:val="20"/>
        </w:rPr>
        <w:t>метою</w:t>
      </w:r>
      <w:r w:rsidRPr="004D2D14">
        <w:rPr>
          <w:rFonts w:asciiTheme="majorHAnsi" w:hAnsiTheme="majorHAnsi"/>
          <w:spacing w:val="-12"/>
          <w:sz w:val="20"/>
          <w:szCs w:val="20"/>
          <w:lang w:val="en-US"/>
        </w:rPr>
        <w:t xml:space="preserve"> </w:t>
      </w:r>
      <w:r w:rsidRPr="000977F7">
        <w:rPr>
          <w:rFonts w:asciiTheme="majorHAnsi" w:hAnsiTheme="majorHAnsi"/>
          <w:sz w:val="20"/>
          <w:szCs w:val="20"/>
        </w:rPr>
        <w:t>отримання</w:t>
      </w:r>
      <w:r w:rsidRPr="004D2D14">
        <w:rPr>
          <w:rFonts w:asciiTheme="majorHAnsi" w:hAnsiTheme="majorHAnsi"/>
          <w:spacing w:val="-11"/>
          <w:sz w:val="20"/>
          <w:szCs w:val="20"/>
          <w:lang w:val="en-US"/>
        </w:rPr>
        <w:t xml:space="preserve"> </w:t>
      </w:r>
      <w:r w:rsidRPr="000977F7">
        <w:rPr>
          <w:rFonts w:asciiTheme="majorHAnsi" w:hAnsiTheme="majorHAnsi"/>
          <w:sz w:val="20"/>
          <w:szCs w:val="20"/>
        </w:rPr>
        <w:t>та</w:t>
      </w:r>
      <w:r w:rsidRPr="004D2D14">
        <w:rPr>
          <w:rFonts w:asciiTheme="majorHAnsi" w:hAnsiTheme="majorHAnsi"/>
          <w:spacing w:val="-12"/>
          <w:sz w:val="20"/>
          <w:szCs w:val="20"/>
          <w:lang w:val="en-US"/>
        </w:rPr>
        <w:t xml:space="preserve"> </w:t>
      </w:r>
      <w:r w:rsidRPr="000977F7">
        <w:rPr>
          <w:rFonts w:asciiTheme="majorHAnsi" w:hAnsiTheme="majorHAnsi"/>
          <w:sz w:val="20"/>
          <w:szCs w:val="20"/>
        </w:rPr>
        <w:t>вико</w:t>
      </w:r>
      <w:r w:rsidRPr="000977F7">
        <w:rPr>
          <w:rFonts w:asciiTheme="majorHAnsi" w:hAnsiTheme="majorHAnsi"/>
          <w:spacing w:val="-1"/>
          <w:sz w:val="20"/>
          <w:szCs w:val="20"/>
        </w:rPr>
        <w:t>ристання</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прибутку</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від</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виробництва</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готової</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продукції</w:t>
      </w:r>
    </w:p>
    <w:p w14:paraId="3BB07600"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2000</w:t>
      </w:r>
    </w:p>
    <w:p w14:paraId="7BABB86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ПРОМІЖНИЙ</w:t>
      </w:r>
      <w:r w:rsidRPr="000977F7">
        <w:rPr>
          <w:color w:val="auto"/>
          <w:spacing w:val="-3"/>
          <w:sz w:val="20"/>
          <w:szCs w:val="20"/>
        </w:rPr>
        <w:t xml:space="preserve"> </w:t>
      </w:r>
      <w:r w:rsidRPr="000977F7">
        <w:rPr>
          <w:color w:val="auto"/>
          <w:sz w:val="20"/>
          <w:szCs w:val="20"/>
        </w:rPr>
        <w:t>ПРИПУСК</w:t>
      </w:r>
      <w:r w:rsidRPr="000977F7">
        <w:rPr>
          <w:color w:val="auto"/>
          <w:spacing w:val="1"/>
          <w:sz w:val="20"/>
          <w:szCs w:val="20"/>
        </w:rPr>
        <w:t xml:space="preserve"> </w:t>
      </w:r>
      <w:r w:rsidRPr="000977F7">
        <w:rPr>
          <w:color w:val="auto"/>
          <w:sz w:val="20"/>
          <w:szCs w:val="20"/>
        </w:rPr>
        <w:t>–</w:t>
      </w:r>
    </w:p>
    <w:p w14:paraId="05CF83B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Припуск,</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усувають</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одного</w:t>
      </w:r>
      <w:r w:rsidRPr="000977F7">
        <w:rPr>
          <w:rFonts w:asciiTheme="majorHAnsi" w:hAnsiTheme="majorHAnsi"/>
          <w:spacing w:val="-47"/>
          <w:sz w:val="20"/>
          <w:szCs w:val="20"/>
        </w:rPr>
        <w:t xml:space="preserve"> </w:t>
      </w:r>
      <w:r w:rsidRPr="000977F7">
        <w:rPr>
          <w:rFonts w:asciiTheme="majorHAnsi" w:hAnsiTheme="majorHAnsi"/>
          <w:sz w:val="20"/>
          <w:szCs w:val="20"/>
        </w:rPr>
        <w:t>технологічного переходу</w:t>
      </w:r>
    </w:p>
    <w:p w14:paraId="04FDEEF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1CC50C2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ПРОНИКНЕННЯ</w:t>
      </w:r>
      <w:r w:rsidRPr="000977F7">
        <w:rPr>
          <w:color w:val="auto"/>
          <w:spacing w:val="-4"/>
          <w:sz w:val="20"/>
          <w:szCs w:val="20"/>
        </w:rPr>
        <w:t xml:space="preserve"> </w:t>
      </w:r>
      <w:r w:rsidRPr="000977F7">
        <w:rPr>
          <w:color w:val="auto"/>
          <w:sz w:val="20"/>
          <w:szCs w:val="20"/>
        </w:rPr>
        <w:t>НА</w:t>
      </w:r>
      <w:r w:rsidRPr="000977F7">
        <w:rPr>
          <w:color w:val="auto"/>
          <w:spacing w:val="-3"/>
          <w:sz w:val="20"/>
          <w:szCs w:val="20"/>
        </w:rPr>
        <w:t xml:space="preserve"> </w:t>
      </w:r>
      <w:r w:rsidRPr="000977F7">
        <w:rPr>
          <w:color w:val="auto"/>
          <w:sz w:val="20"/>
          <w:szCs w:val="20"/>
        </w:rPr>
        <w:t>РИНОК</w:t>
      </w:r>
      <w:r w:rsidRPr="000977F7">
        <w:rPr>
          <w:color w:val="auto"/>
          <w:spacing w:val="-1"/>
          <w:sz w:val="20"/>
          <w:szCs w:val="20"/>
        </w:rPr>
        <w:t xml:space="preserve"> </w:t>
      </w:r>
      <w:r w:rsidRPr="000977F7">
        <w:rPr>
          <w:color w:val="auto"/>
          <w:sz w:val="20"/>
          <w:szCs w:val="20"/>
        </w:rPr>
        <w:t>–</w:t>
      </w:r>
    </w:p>
    <w:p w14:paraId="4E7074F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 збільшення обсягу продажу продукції, яка вже</w:t>
      </w:r>
      <w:r w:rsidRPr="000977F7">
        <w:rPr>
          <w:rFonts w:asciiTheme="majorHAnsi" w:hAnsiTheme="majorHAnsi"/>
          <w:spacing w:val="-47"/>
          <w:sz w:val="20"/>
          <w:szCs w:val="20"/>
        </w:rPr>
        <w:t xml:space="preserve"> </w:t>
      </w:r>
      <w:r w:rsidRPr="000977F7">
        <w:rPr>
          <w:rFonts w:asciiTheme="majorHAnsi" w:hAnsiTheme="majorHAnsi"/>
          <w:sz w:val="20"/>
          <w:szCs w:val="20"/>
        </w:rPr>
        <w:t>є на існуючих ринках, за рахунок активнішої маркетингової</w:t>
      </w:r>
      <w:r w:rsidRPr="000977F7">
        <w:rPr>
          <w:rFonts w:asciiTheme="majorHAnsi" w:hAnsiTheme="majorHAnsi"/>
          <w:spacing w:val="-2"/>
          <w:sz w:val="20"/>
          <w:szCs w:val="20"/>
        </w:rPr>
        <w:t xml:space="preserve"> </w:t>
      </w:r>
      <w:r w:rsidRPr="000977F7">
        <w:rPr>
          <w:rFonts w:asciiTheme="majorHAnsi" w:hAnsiTheme="majorHAnsi"/>
          <w:sz w:val="20"/>
          <w:szCs w:val="20"/>
        </w:rPr>
        <w:t>діяльності</w:t>
      </w:r>
    </w:p>
    <w:p w14:paraId="4B43C2B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1915C3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ПРОПОЗИЦІЯ ПРО ЗМІНУ </w:t>
      </w:r>
    </w:p>
    <w:p w14:paraId="408B883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КОНСТРУКТОРСЬ</w:t>
      </w:r>
      <w:r w:rsidRPr="000977F7">
        <w:rPr>
          <w:color w:val="auto"/>
          <w:spacing w:val="-47"/>
          <w:sz w:val="20"/>
          <w:szCs w:val="20"/>
        </w:rPr>
        <w:t xml:space="preserve"> </w:t>
      </w:r>
      <w:r w:rsidRPr="000977F7">
        <w:rPr>
          <w:color w:val="auto"/>
          <w:sz w:val="20"/>
          <w:szCs w:val="20"/>
        </w:rPr>
        <w:t>КИХ</w:t>
      </w:r>
      <w:r w:rsidRPr="000977F7">
        <w:rPr>
          <w:color w:val="auto"/>
          <w:spacing w:val="-2"/>
          <w:sz w:val="20"/>
          <w:szCs w:val="20"/>
        </w:rPr>
        <w:t xml:space="preserve"> </w:t>
      </w:r>
      <w:r w:rsidRPr="000977F7">
        <w:rPr>
          <w:color w:val="auto"/>
          <w:sz w:val="20"/>
          <w:szCs w:val="20"/>
        </w:rPr>
        <w:t>(ТЕХНОЛОГІЧНИХ)</w:t>
      </w:r>
      <w:r w:rsidRPr="000977F7">
        <w:rPr>
          <w:color w:val="auto"/>
          <w:spacing w:val="-2"/>
          <w:sz w:val="20"/>
          <w:szCs w:val="20"/>
        </w:rPr>
        <w:t xml:space="preserve"> </w:t>
      </w:r>
      <w:r w:rsidRPr="000977F7">
        <w:rPr>
          <w:color w:val="auto"/>
          <w:sz w:val="20"/>
          <w:szCs w:val="20"/>
        </w:rPr>
        <w:t>ДОКУМЕНТІВ</w:t>
      </w:r>
      <w:r w:rsidRPr="000977F7">
        <w:rPr>
          <w:color w:val="auto"/>
          <w:spacing w:val="3"/>
          <w:sz w:val="20"/>
          <w:szCs w:val="20"/>
        </w:rPr>
        <w:t xml:space="preserve"> </w:t>
      </w:r>
      <w:r w:rsidRPr="000977F7">
        <w:rPr>
          <w:color w:val="auto"/>
          <w:sz w:val="20"/>
          <w:szCs w:val="20"/>
        </w:rPr>
        <w:t>–</w:t>
      </w:r>
    </w:p>
    <w:p w14:paraId="43F6795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який містить відомості, необхідні для внесення змін у конструкторські (технологічні) документи,</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заміни</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анулювання</w:t>
      </w:r>
    </w:p>
    <w:p w14:paraId="619989C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5A4726E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ПРОПОРЦІЙНІСТЬ</w:t>
      </w:r>
      <w:r w:rsidRPr="000977F7">
        <w:rPr>
          <w:color w:val="auto"/>
          <w:spacing w:val="-6"/>
          <w:sz w:val="20"/>
          <w:szCs w:val="20"/>
        </w:rPr>
        <w:t xml:space="preserve"> </w:t>
      </w:r>
      <w:r w:rsidRPr="000977F7">
        <w:rPr>
          <w:color w:val="auto"/>
          <w:sz w:val="20"/>
          <w:szCs w:val="20"/>
        </w:rPr>
        <w:t>ВИРОБНИЦТВA</w:t>
      </w:r>
      <w:r w:rsidRPr="000977F7">
        <w:rPr>
          <w:color w:val="auto"/>
          <w:spacing w:val="-2"/>
          <w:sz w:val="20"/>
          <w:szCs w:val="20"/>
        </w:rPr>
        <w:t xml:space="preserve"> </w:t>
      </w:r>
      <w:r w:rsidRPr="000977F7">
        <w:rPr>
          <w:color w:val="auto"/>
          <w:sz w:val="20"/>
          <w:szCs w:val="20"/>
        </w:rPr>
        <w:t>–</w:t>
      </w:r>
    </w:p>
    <w:p w14:paraId="76AB572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Принцип організації виробництва, згідно з яким усі стадії виробничого процесу збалансовані, співвідношення виробничих потужностей взаємопов’язаних елементів виробничої системи визначається з урахуванням створення доцільної величини міжопераційних заділів та розроблення раціональних графіків ремонту</w:t>
      </w:r>
      <w:r w:rsidRPr="000977F7">
        <w:rPr>
          <w:rFonts w:asciiTheme="majorHAnsi" w:hAnsiTheme="majorHAnsi"/>
          <w:spacing w:val="-5"/>
          <w:sz w:val="20"/>
          <w:szCs w:val="20"/>
        </w:rPr>
        <w:t xml:space="preserve"> </w:t>
      </w:r>
      <w:r w:rsidRPr="000977F7">
        <w:rPr>
          <w:rFonts w:asciiTheme="majorHAnsi" w:hAnsiTheme="majorHAnsi"/>
          <w:sz w:val="20"/>
          <w:szCs w:val="20"/>
        </w:rPr>
        <w:t>обладнання</w:t>
      </w:r>
    </w:p>
    <w:p w14:paraId="263C90E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 – 94</w:t>
      </w:r>
    </w:p>
    <w:p w14:paraId="7C908878" w14:textId="77777777" w:rsidR="0097612F" w:rsidRPr="000977F7" w:rsidRDefault="0097612F" w:rsidP="000977F7">
      <w:pPr>
        <w:pStyle w:val="7"/>
        <w:tabs>
          <w:tab w:val="left" w:pos="284"/>
        </w:tabs>
        <w:spacing w:before="0" w:line="240" w:lineRule="auto"/>
        <w:ind w:left="170"/>
        <w:mirrorIndents/>
        <w:jc w:val="both"/>
        <w:rPr>
          <w:color w:val="auto"/>
          <w:spacing w:val="30"/>
          <w:sz w:val="20"/>
          <w:szCs w:val="20"/>
        </w:rPr>
      </w:pPr>
      <w:r w:rsidRPr="000977F7">
        <w:rPr>
          <w:color w:val="auto"/>
          <w:sz w:val="20"/>
          <w:szCs w:val="20"/>
        </w:rPr>
        <w:t>ПРОПУСК</w:t>
      </w:r>
      <w:r w:rsidRPr="000977F7">
        <w:rPr>
          <w:color w:val="auto"/>
          <w:spacing w:val="29"/>
          <w:sz w:val="20"/>
          <w:szCs w:val="20"/>
        </w:rPr>
        <w:t xml:space="preserve"> </w:t>
      </w:r>
      <w:r w:rsidRPr="000977F7">
        <w:rPr>
          <w:color w:val="auto"/>
          <w:sz w:val="20"/>
          <w:szCs w:val="20"/>
        </w:rPr>
        <w:t>ТОВАРІВ</w:t>
      </w:r>
      <w:r w:rsidRPr="000977F7">
        <w:rPr>
          <w:color w:val="auto"/>
          <w:spacing w:val="31"/>
          <w:sz w:val="20"/>
          <w:szCs w:val="20"/>
        </w:rPr>
        <w:t xml:space="preserve"> </w:t>
      </w:r>
      <w:r w:rsidRPr="000977F7">
        <w:rPr>
          <w:color w:val="auto"/>
          <w:sz w:val="20"/>
          <w:szCs w:val="20"/>
        </w:rPr>
        <w:t>І</w:t>
      </w:r>
      <w:r w:rsidRPr="000977F7">
        <w:rPr>
          <w:color w:val="auto"/>
          <w:spacing w:val="32"/>
          <w:sz w:val="20"/>
          <w:szCs w:val="20"/>
        </w:rPr>
        <w:t xml:space="preserve"> </w:t>
      </w:r>
      <w:r w:rsidRPr="000977F7">
        <w:rPr>
          <w:color w:val="auto"/>
          <w:sz w:val="20"/>
          <w:szCs w:val="20"/>
        </w:rPr>
        <w:t>ТРАНСПОРТНИХ</w:t>
      </w:r>
      <w:r w:rsidRPr="000977F7">
        <w:rPr>
          <w:color w:val="auto"/>
          <w:spacing w:val="30"/>
          <w:sz w:val="20"/>
          <w:szCs w:val="20"/>
        </w:rPr>
        <w:t xml:space="preserve"> </w:t>
      </w:r>
    </w:p>
    <w:p w14:paraId="4FD0628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ЗАСО</w:t>
      </w:r>
      <w:r w:rsidRPr="000977F7">
        <w:rPr>
          <w:color w:val="auto"/>
          <w:spacing w:val="-47"/>
          <w:sz w:val="20"/>
          <w:szCs w:val="20"/>
        </w:rPr>
        <w:t xml:space="preserve"> </w:t>
      </w:r>
      <w:r w:rsidRPr="000977F7">
        <w:rPr>
          <w:color w:val="auto"/>
          <w:sz w:val="20"/>
          <w:szCs w:val="20"/>
        </w:rPr>
        <w:t>БІВ</w:t>
      </w:r>
      <w:r w:rsidRPr="000977F7">
        <w:rPr>
          <w:color w:val="auto"/>
          <w:spacing w:val="-1"/>
          <w:sz w:val="20"/>
          <w:szCs w:val="20"/>
        </w:rPr>
        <w:t xml:space="preserve"> </w:t>
      </w:r>
      <w:r w:rsidRPr="000977F7">
        <w:rPr>
          <w:color w:val="auto"/>
          <w:sz w:val="20"/>
          <w:szCs w:val="20"/>
        </w:rPr>
        <w:t>ЧЕРЕЗ</w:t>
      </w:r>
      <w:r w:rsidRPr="000977F7">
        <w:rPr>
          <w:color w:val="auto"/>
          <w:spacing w:val="-1"/>
          <w:sz w:val="20"/>
          <w:szCs w:val="20"/>
        </w:rPr>
        <w:t xml:space="preserve"> </w:t>
      </w:r>
      <w:r w:rsidRPr="000977F7">
        <w:rPr>
          <w:color w:val="auto"/>
          <w:sz w:val="20"/>
          <w:szCs w:val="20"/>
        </w:rPr>
        <w:t>МИТНИЙ КОРДОН УКРАЇНИ</w:t>
      </w:r>
      <w:r w:rsidRPr="000977F7">
        <w:rPr>
          <w:color w:val="auto"/>
          <w:spacing w:val="4"/>
          <w:sz w:val="20"/>
          <w:szCs w:val="20"/>
        </w:rPr>
        <w:t xml:space="preserve"> </w:t>
      </w:r>
      <w:r w:rsidRPr="000977F7">
        <w:rPr>
          <w:color w:val="auto"/>
          <w:sz w:val="20"/>
          <w:szCs w:val="20"/>
        </w:rPr>
        <w:t>–</w:t>
      </w:r>
    </w:p>
    <w:p w14:paraId="08607D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Дозвіл митного органу на переміщення товарів і транспортних засобів через митний кордон України з урахуванням</w:t>
      </w:r>
      <w:r w:rsidRPr="000977F7">
        <w:rPr>
          <w:rFonts w:asciiTheme="majorHAnsi" w:hAnsiTheme="majorHAnsi"/>
          <w:spacing w:val="1"/>
          <w:sz w:val="20"/>
          <w:szCs w:val="20"/>
        </w:rPr>
        <w:t xml:space="preserve"> </w:t>
      </w:r>
      <w:r w:rsidRPr="000977F7">
        <w:rPr>
          <w:rFonts w:asciiTheme="majorHAnsi" w:hAnsiTheme="majorHAnsi"/>
          <w:sz w:val="20"/>
          <w:szCs w:val="20"/>
        </w:rPr>
        <w:t>заявленої</w:t>
      </w:r>
      <w:r w:rsidRPr="000977F7">
        <w:rPr>
          <w:rFonts w:asciiTheme="majorHAnsi" w:hAnsiTheme="majorHAnsi"/>
          <w:spacing w:val="1"/>
          <w:sz w:val="20"/>
          <w:szCs w:val="20"/>
        </w:rPr>
        <w:t xml:space="preserve"> </w:t>
      </w:r>
      <w:r w:rsidRPr="000977F7">
        <w:rPr>
          <w:rFonts w:asciiTheme="majorHAnsi" w:hAnsiTheme="majorHAnsi"/>
          <w:sz w:val="20"/>
          <w:szCs w:val="20"/>
        </w:rPr>
        <w:t>мети</w:t>
      </w:r>
      <w:r w:rsidRPr="000977F7">
        <w:rPr>
          <w:rFonts w:asciiTheme="majorHAnsi" w:hAnsiTheme="majorHAnsi"/>
          <w:spacing w:val="1"/>
          <w:sz w:val="20"/>
          <w:szCs w:val="20"/>
        </w:rPr>
        <w:t xml:space="preserve"> </w:t>
      </w:r>
      <w:r w:rsidRPr="000977F7">
        <w:rPr>
          <w:rFonts w:asciiTheme="majorHAnsi" w:hAnsiTheme="majorHAnsi"/>
          <w:sz w:val="20"/>
          <w:szCs w:val="20"/>
        </w:rPr>
        <w:t>такого</w:t>
      </w:r>
      <w:r w:rsidRPr="000977F7">
        <w:rPr>
          <w:rFonts w:asciiTheme="majorHAnsi" w:hAnsiTheme="majorHAnsi"/>
          <w:spacing w:val="1"/>
          <w:sz w:val="20"/>
          <w:szCs w:val="20"/>
        </w:rPr>
        <w:t xml:space="preserve"> </w:t>
      </w:r>
      <w:r w:rsidRPr="000977F7">
        <w:rPr>
          <w:rFonts w:asciiTheme="majorHAnsi" w:hAnsiTheme="majorHAnsi"/>
          <w:sz w:val="20"/>
          <w:szCs w:val="20"/>
        </w:rPr>
        <w:t>переміщення</w:t>
      </w:r>
      <w:r w:rsidRPr="000977F7">
        <w:rPr>
          <w:rFonts w:asciiTheme="majorHAnsi" w:hAnsiTheme="majorHAnsi"/>
          <w:spacing w:val="1"/>
          <w:sz w:val="20"/>
          <w:szCs w:val="20"/>
        </w:rPr>
        <w:t xml:space="preserve"> </w:t>
      </w:r>
      <w:r w:rsidRPr="000977F7">
        <w:rPr>
          <w:rFonts w:asciiTheme="majorHAnsi" w:hAnsiTheme="majorHAnsi"/>
          <w:sz w:val="20"/>
          <w:szCs w:val="20"/>
        </w:rPr>
        <w:t>після</w:t>
      </w:r>
      <w:r w:rsidRPr="000977F7">
        <w:rPr>
          <w:rFonts w:asciiTheme="majorHAnsi" w:hAnsiTheme="majorHAnsi"/>
          <w:spacing w:val="-47"/>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2"/>
          <w:sz w:val="20"/>
          <w:szCs w:val="20"/>
        </w:rPr>
        <w:t xml:space="preserve"> </w:t>
      </w:r>
      <w:r w:rsidRPr="000977F7">
        <w:rPr>
          <w:rFonts w:asciiTheme="majorHAnsi" w:hAnsiTheme="majorHAnsi"/>
          <w:sz w:val="20"/>
          <w:szCs w:val="20"/>
        </w:rPr>
        <w:t>митних</w:t>
      </w:r>
      <w:r w:rsidRPr="000977F7">
        <w:rPr>
          <w:rFonts w:asciiTheme="majorHAnsi" w:hAnsiTheme="majorHAnsi"/>
          <w:spacing w:val="-1"/>
          <w:sz w:val="20"/>
          <w:szCs w:val="20"/>
        </w:rPr>
        <w:t xml:space="preserve"> </w:t>
      </w:r>
      <w:r w:rsidRPr="000977F7">
        <w:rPr>
          <w:rFonts w:asciiTheme="majorHAnsi" w:hAnsiTheme="majorHAnsi"/>
          <w:sz w:val="20"/>
          <w:szCs w:val="20"/>
        </w:rPr>
        <w:t>процедур</w:t>
      </w:r>
    </w:p>
    <w:p w14:paraId="78AD3BA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w:t>
      </w:r>
      <w:r w:rsidRPr="000977F7">
        <w:rPr>
          <w:rFonts w:asciiTheme="majorHAnsi" w:hAnsiTheme="majorHAnsi"/>
          <w:i/>
          <w:spacing w:val="-2"/>
          <w:sz w:val="20"/>
          <w:szCs w:val="20"/>
        </w:rPr>
        <w:t xml:space="preserve"> </w:t>
      </w:r>
      <w:r w:rsidRPr="000977F7">
        <w:rPr>
          <w:rFonts w:asciiTheme="majorHAnsi" w:hAnsiTheme="majorHAnsi"/>
          <w:i/>
          <w:sz w:val="20"/>
          <w:szCs w:val="20"/>
        </w:rPr>
        <w:t>кодекс</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України1</w:t>
      </w:r>
    </w:p>
    <w:p w14:paraId="28D60EE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ПРОПУСКНА</w:t>
      </w:r>
      <w:r w:rsidRPr="000977F7">
        <w:rPr>
          <w:color w:val="auto"/>
          <w:spacing w:val="-4"/>
          <w:sz w:val="20"/>
          <w:szCs w:val="20"/>
        </w:rPr>
        <w:t xml:space="preserve"> </w:t>
      </w:r>
      <w:r w:rsidRPr="000977F7">
        <w:rPr>
          <w:color w:val="auto"/>
          <w:sz w:val="20"/>
          <w:szCs w:val="20"/>
        </w:rPr>
        <w:t>ЗДАТНІСТЬ</w:t>
      </w:r>
      <w:r w:rsidRPr="000977F7">
        <w:rPr>
          <w:color w:val="auto"/>
          <w:spacing w:val="-3"/>
          <w:sz w:val="20"/>
          <w:szCs w:val="20"/>
        </w:rPr>
        <w:t xml:space="preserve"> </w:t>
      </w:r>
      <w:r w:rsidRPr="000977F7">
        <w:rPr>
          <w:color w:val="auto"/>
          <w:sz w:val="20"/>
          <w:szCs w:val="20"/>
        </w:rPr>
        <w:t>ВИРОБНИЦТВА</w:t>
      </w:r>
      <w:r w:rsidRPr="000977F7">
        <w:rPr>
          <w:color w:val="auto"/>
          <w:spacing w:val="1"/>
          <w:sz w:val="20"/>
          <w:szCs w:val="20"/>
        </w:rPr>
        <w:t xml:space="preserve"> </w:t>
      </w:r>
      <w:r w:rsidRPr="000977F7">
        <w:rPr>
          <w:color w:val="auto"/>
          <w:sz w:val="20"/>
          <w:szCs w:val="20"/>
        </w:rPr>
        <w:t>–</w:t>
      </w:r>
    </w:p>
    <w:p w14:paraId="37072F74" w14:textId="77777777" w:rsidR="0097612F" w:rsidRPr="004D2D14" w:rsidRDefault="0097612F" w:rsidP="000977F7">
      <w:pPr>
        <w:pStyle w:val="af6"/>
        <w:tabs>
          <w:tab w:val="left" w:pos="284"/>
        </w:tabs>
        <w:spacing w:after="0"/>
        <w:ind w:left="170"/>
        <w:mirrorIndents/>
        <w:jc w:val="both"/>
        <w:rPr>
          <w:rFonts w:asciiTheme="majorHAnsi" w:hAnsiTheme="majorHAnsi"/>
          <w:spacing w:val="1"/>
          <w:w w:val="95"/>
          <w:sz w:val="20"/>
          <w:szCs w:val="20"/>
          <w:lang w:val="uk-UA"/>
        </w:rPr>
      </w:pPr>
      <w:r w:rsidRPr="004D2D14">
        <w:rPr>
          <w:rFonts w:asciiTheme="majorHAnsi" w:hAnsiTheme="majorHAnsi"/>
          <w:spacing w:val="-2"/>
          <w:sz w:val="20"/>
          <w:szCs w:val="20"/>
          <w:lang w:val="uk-UA"/>
        </w:rPr>
        <w:t>Максимальна</w:t>
      </w:r>
      <w:r w:rsidRPr="004D2D14">
        <w:rPr>
          <w:rFonts w:asciiTheme="majorHAnsi" w:hAnsiTheme="majorHAnsi"/>
          <w:spacing w:val="-9"/>
          <w:sz w:val="20"/>
          <w:szCs w:val="20"/>
          <w:lang w:val="uk-UA"/>
        </w:rPr>
        <w:t xml:space="preserve"> </w:t>
      </w:r>
      <w:r w:rsidRPr="004D2D14">
        <w:rPr>
          <w:rFonts w:asciiTheme="majorHAnsi" w:hAnsiTheme="majorHAnsi"/>
          <w:spacing w:val="-2"/>
          <w:sz w:val="20"/>
          <w:szCs w:val="20"/>
          <w:lang w:val="uk-UA"/>
        </w:rPr>
        <w:t>можлива</w:t>
      </w:r>
      <w:r w:rsidRPr="004D2D14">
        <w:rPr>
          <w:rFonts w:asciiTheme="majorHAnsi" w:hAnsiTheme="majorHAnsi"/>
          <w:spacing w:val="-8"/>
          <w:sz w:val="20"/>
          <w:szCs w:val="20"/>
          <w:lang w:val="uk-UA"/>
        </w:rPr>
        <w:t xml:space="preserve"> </w:t>
      </w:r>
      <w:r w:rsidRPr="004D2D14">
        <w:rPr>
          <w:rFonts w:asciiTheme="majorHAnsi" w:hAnsiTheme="majorHAnsi"/>
          <w:spacing w:val="-2"/>
          <w:sz w:val="20"/>
          <w:szCs w:val="20"/>
          <w:lang w:val="uk-UA"/>
        </w:rPr>
        <w:t>кількість</w:t>
      </w:r>
      <w:r w:rsidRPr="004D2D14">
        <w:rPr>
          <w:rFonts w:asciiTheme="majorHAnsi" w:hAnsiTheme="majorHAnsi"/>
          <w:spacing w:val="-7"/>
          <w:sz w:val="20"/>
          <w:szCs w:val="20"/>
          <w:lang w:val="uk-UA"/>
        </w:rPr>
        <w:t xml:space="preserve"> </w:t>
      </w:r>
      <w:r w:rsidRPr="004D2D14">
        <w:rPr>
          <w:rFonts w:asciiTheme="majorHAnsi" w:hAnsiTheme="majorHAnsi"/>
          <w:spacing w:val="-1"/>
          <w:sz w:val="20"/>
          <w:szCs w:val="20"/>
          <w:lang w:val="uk-UA"/>
        </w:rPr>
        <w:t>продукції</w:t>
      </w:r>
      <w:r w:rsidRPr="004D2D14">
        <w:rPr>
          <w:rFonts w:asciiTheme="majorHAnsi" w:hAnsiTheme="majorHAnsi"/>
          <w:spacing w:val="-7"/>
          <w:sz w:val="20"/>
          <w:szCs w:val="20"/>
          <w:lang w:val="uk-UA"/>
        </w:rPr>
        <w:t xml:space="preserve"> </w:t>
      </w:r>
      <w:r w:rsidRPr="004D2D14">
        <w:rPr>
          <w:rFonts w:asciiTheme="majorHAnsi" w:hAnsiTheme="majorHAnsi"/>
          <w:spacing w:val="-1"/>
          <w:sz w:val="20"/>
          <w:szCs w:val="20"/>
          <w:lang w:val="uk-UA"/>
        </w:rPr>
        <w:t>або</w:t>
      </w:r>
      <w:r w:rsidRPr="004D2D14">
        <w:rPr>
          <w:rFonts w:asciiTheme="majorHAnsi" w:hAnsiTheme="majorHAnsi"/>
          <w:spacing w:val="-6"/>
          <w:sz w:val="20"/>
          <w:szCs w:val="20"/>
          <w:lang w:val="uk-UA"/>
        </w:rPr>
        <w:t xml:space="preserve"> </w:t>
      </w:r>
      <w:r w:rsidRPr="004D2D14">
        <w:rPr>
          <w:rFonts w:asciiTheme="majorHAnsi" w:hAnsiTheme="majorHAnsi"/>
          <w:spacing w:val="-1"/>
          <w:sz w:val="20"/>
          <w:szCs w:val="20"/>
          <w:lang w:val="uk-UA"/>
        </w:rPr>
        <w:t>напівфабрикатів,</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які</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можуть</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бути</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прийняті,</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видані</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виготов</w:t>
      </w:r>
      <w:r w:rsidRPr="004D2D14">
        <w:rPr>
          <w:rFonts w:asciiTheme="majorHAnsi" w:hAnsiTheme="majorHAnsi"/>
          <w:spacing w:val="-2"/>
          <w:sz w:val="20"/>
          <w:szCs w:val="20"/>
          <w:lang w:val="uk-UA"/>
        </w:rPr>
        <w:t>лені</w:t>
      </w:r>
      <w:r w:rsidRPr="004D2D14">
        <w:rPr>
          <w:rFonts w:asciiTheme="majorHAnsi" w:hAnsiTheme="majorHAnsi"/>
          <w:spacing w:val="-10"/>
          <w:sz w:val="20"/>
          <w:szCs w:val="20"/>
          <w:lang w:val="uk-UA"/>
        </w:rPr>
        <w:t xml:space="preserve"> </w:t>
      </w:r>
      <w:r w:rsidRPr="004D2D14">
        <w:rPr>
          <w:rFonts w:asciiTheme="majorHAnsi" w:hAnsiTheme="majorHAnsi"/>
          <w:spacing w:val="-2"/>
          <w:sz w:val="20"/>
          <w:szCs w:val="20"/>
          <w:lang w:val="uk-UA"/>
        </w:rPr>
        <w:t>виробничим</w:t>
      </w:r>
      <w:r w:rsidRPr="004D2D14">
        <w:rPr>
          <w:rFonts w:asciiTheme="majorHAnsi" w:hAnsiTheme="majorHAnsi"/>
          <w:spacing w:val="-8"/>
          <w:sz w:val="20"/>
          <w:szCs w:val="20"/>
          <w:lang w:val="uk-UA"/>
        </w:rPr>
        <w:t xml:space="preserve"> </w:t>
      </w:r>
      <w:r w:rsidRPr="004D2D14">
        <w:rPr>
          <w:rFonts w:asciiTheme="majorHAnsi" w:hAnsiTheme="majorHAnsi"/>
          <w:spacing w:val="-2"/>
          <w:sz w:val="20"/>
          <w:szCs w:val="20"/>
          <w:lang w:val="uk-UA"/>
        </w:rPr>
        <w:t>підрозділом</w:t>
      </w:r>
      <w:r w:rsidRPr="004D2D14">
        <w:rPr>
          <w:rFonts w:asciiTheme="majorHAnsi" w:hAnsiTheme="majorHAnsi"/>
          <w:spacing w:val="-6"/>
          <w:sz w:val="20"/>
          <w:szCs w:val="20"/>
          <w:lang w:val="uk-UA"/>
        </w:rPr>
        <w:t xml:space="preserve"> </w:t>
      </w:r>
      <w:r w:rsidRPr="004D2D14">
        <w:rPr>
          <w:rFonts w:asciiTheme="majorHAnsi" w:hAnsiTheme="majorHAnsi"/>
          <w:spacing w:val="-2"/>
          <w:sz w:val="20"/>
          <w:szCs w:val="20"/>
          <w:lang w:val="uk-UA"/>
        </w:rPr>
        <w:t>протягом</w:t>
      </w:r>
      <w:r w:rsidRPr="004D2D14">
        <w:rPr>
          <w:rFonts w:asciiTheme="majorHAnsi" w:hAnsiTheme="majorHAnsi"/>
          <w:spacing w:val="-8"/>
          <w:sz w:val="20"/>
          <w:szCs w:val="20"/>
          <w:lang w:val="uk-UA"/>
        </w:rPr>
        <w:t xml:space="preserve"> </w:t>
      </w:r>
      <w:r w:rsidRPr="004D2D14">
        <w:rPr>
          <w:rFonts w:asciiTheme="majorHAnsi" w:hAnsiTheme="majorHAnsi"/>
          <w:spacing w:val="-2"/>
          <w:sz w:val="20"/>
          <w:szCs w:val="20"/>
          <w:lang w:val="uk-UA"/>
        </w:rPr>
        <w:t>певного</w:t>
      </w:r>
      <w:r w:rsidRPr="004D2D14">
        <w:rPr>
          <w:rFonts w:asciiTheme="majorHAnsi" w:hAnsiTheme="majorHAnsi"/>
          <w:spacing w:val="-7"/>
          <w:sz w:val="20"/>
          <w:szCs w:val="20"/>
          <w:lang w:val="uk-UA"/>
        </w:rPr>
        <w:t xml:space="preserve"> </w:t>
      </w:r>
      <w:r w:rsidRPr="004D2D14">
        <w:rPr>
          <w:rFonts w:asciiTheme="majorHAnsi" w:hAnsiTheme="majorHAnsi"/>
          <w:spacing w:val="-2"/>
          <w:sz w:val="20"/>
          <w:szCs w:val="20"/>
          <w:lang w:val="uk-UA"/>
        </w:rPr>
        <w:t>періоду</w:t>
      </w:r>
      <w:r w:rsidRPr="004D2D14">
        <w:rPr>
          <w:rFonts w:asciiTheme="majorHAnsi" w:hAnsiTheme="majorHAnsi"/>
          <w:spacing w:val="-47"/>
          <w:sz w:val="20"/>
          <w:szCs w:val="20"/>
          <w:lang w:val="uk-UA"/>
        </w:rPr>
        <w:t xml:space="preserve"> </w:t>
      </w:r>
      <w:r w:rsidRPr="004D2D14">
        <w:rPr>
          <w:rFonts w:asciiTheme="majorHAnsi" w:hAnsiTheme="majorHAnsi"/>
          <w:spacing w:val="-3"/>
          <w:sz w:val="20"/>
          <w:szCs w:val="20"/>
          <w:lang w:val="uk-UA"/>
        </w:rPr>
        <w:t>за</w:t>
      </w:r>
      <w:r w:rsidRPr="004D2D14">
        <w:rPr>
          <w:rFonts w:asciiTheme="majorHAnsi" w:hAnsiTheme="majorHAnsi"/>
          <w:spacing w:val="-8"/>
          <w:sz w:val="20"/>
          <w:szCs w:val="20"/>
          <w:lang w:val="uk-UA"/>
        </w:rPr>
        <w:t xml:space="preserve"> </w:t>
      </w:r>
      <w:r w:rsidRPr="004D2D14">
        <w:rPr>
          <w:rFonts w:asciiTheme="majorHAnsi" w:hAnsiTheme="majorHAnsi"/>
          <w:spacing w:val="-3"/>
          <w:sz w:val="20"/>
          <w:szCs w:val="20"/>
          <w:lang w:val="uk-UA"/>
        </w:rPr>
        <w:t>існуючого</w:t>
      </w:r>
      <w:r w:rsidRPr="004D2D14">
        <w:rPr>
          <w:rFonts w:asciiTheme="majorHAnsi" w:hAnsiTheme="majorHAnsi"/>
          <w:spacing w:val="-7"/>
          <w:sz w:val="20"/>
          <w:szCs w:val="20"/>
          <w:lang w:val="uk-UA"/>
        </w:rPr>
        <w:t xml:space="preserve"> </w:t>
      </w:r>
      <w:r w:rsidRPr="004D2D14">
        <w:rPr>
          <w:rFonts w:asciiTheme="majorHAnsi" w:hAnsiTheme="majorHAnsi"/>
          <w:spacing w:val="-3"/>
          <w:sz w:val="20"/>
          <w:szCs w:val="20"/>
          <w:lang w:val="uk-UA"/>
        </w:rPr>
        <w:t>рівня</w:t>
      </w:r>
      <w:r w:rsidRPr="004D2D14">
        <w:rPr>
          <w:rFonts w:asciiTheme="majorHAnsi" w:hAnsiTheme="majorHAnsi"/>
          <w:spacing w:val="-8"/>
          <w:sz w:val="20"/>
          <w:szCs w:val="20"/>
          <w:lang w:val="uk-UA"/>
        </w:rPr>
        <w:t xml:space="preserve"> </w:t>
      </w:r>
      <w:r w:rsidRPr="004D2D14">
        <w:rPr>
          <w:rFonts w:asciiTheme="majorHAnsi" w:hAnsiTheme="majorHAnsi"/>
          <w:spacing w:val="-3"/>
          <w:sz w:val="20"/>
          <w:szCs w:val="20"/>
          <w:lang w:val="uk-UA"/>
        </w:rPr>
        <w:t>техніки,</w:t>
      </w:r>
      <w:r w:rsidRPr="004D2D14">
        <w:rPr>
          <w:rFonts w:asciiTheme="majorHAnsi" w:hAnsiTheme="majorHAnsi"/>
          <w:spacing w:val="-8"/>
          <w:sz w:val="20"/>
          <w:szCs w:val="20"/>
          <w:lang w:val="uk-UA"/>
        </w:rPr>
        <w:t xml:space="preserve"> </w:t>
      </w:r>
      <w:r w:rsidRPr="004D2D14">
        <w:rPr>
          <w:rFonts w:asciiTheme="majorHAnsi" w:hAnsiTheme="majorHAnsi"/>
          <w:spacing w:val="-3"/>
          <w:sz w:val="20"/>
          <w:szCs w:val="20"/>
          <w:lang w:val="uk-UA"/>
        </w:rPr>
        <w:t>технології</w:t>
      </w:r>
      <w:r w:rsidRPr="004D2D14">
        <w:rPr>
          <w:rFonts w:asciiTheme="majorHAnsi" w:hAnsiTheme="majorHAnsi"/>
          <w:spacing w:val="-7"/>
          <w:sz w:val="20"/>
          <w:szCs w:val="20"/>
          <w:lang w:val="uk-UA"/>
        </w:rPr>
        <w:t xml:space="preserve"> </w:t>
      </w:r>
      <w:r w:rsidRPr="004D2D14">
        <w:rPr>
          <w:rFonts w:asciiTheme="majorHAnsi" w:hAnsiTheme="majorHAnsi"/>
          <w:spacing w:val="-3"/>
          <w:sz w:val="20"/>
          <w:szCs w:val="20"/>
          <w:lang w:val="uk-UA"/>
        </w:rPr>
        <w:t>організації</w:t>
      </w:r>
      <w:r w:rsidRPr="004D2D14">
        <w:rPr>
          <w:rFonts w:asciiTheme="majorHAnsi" w:hAnsiTheme="majorHAnsi"/>
          <w:spacing w:val="-8"/>
          <w:sz w:val="20"/>
          <w:szCs w:val="20"/>
          <w:lang w:val="uk-UA"/>
        </w:rPr>
        <w:t xml:space="preserve"> </w:t>
      </w:r>
      <w:r w:rsidRPr="004D2D14">
        <w:rPr>
          <w:rFonts w:asciiTheme="majorHAnsi" w:hAnsiTheme="majorHAnsi"/>
          <w:spacing w:val="-2"/>
          <w:sz w:val="20"/>
          <w:szCs w:val="20"/>
          <w:lang w:val="uk-UA"/>
        </w:rPr>
        <w:t>вироб</w:t>
      </w:r>
      <w:r w:rsidRPr="004D2D14">
        <w:rPr>
          <w:rFonts w:asciiTheme="majorHAnsi" w:hAnsiTheme="majorHAnsi"/>
          <w:w w:val="95"/>
          <w:sz w:val="20"/>
          <w:szCs w:val="20"/>
          <w:lang w:val="uk-UA"/>
        </w:rPr>
        <w:t>ництва та прийнятого режиму роботи устаткування</w:t>
      </w:r>
    </w:p>
    <w:p w14:paraId="29B44611"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2960</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03F0B440"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uk-UA"/>
        </w:rPr>
      </w:pPr>
      <w:r w:rsidRPr="004D2D14">
        <w:rPr>
          <w:rFonts w:asciiTheme="majorHAnsi" w:hAnsiTheme="majorHAnsi"/>
          <w:b/>
          <w:sz w:val="20"/>
          <w:szCs w:val="20"/>
          <w:lang w:val="uk-UA"/>
        </w:rPr>
        <w:t>ПРОСТЕЖУВАНІСТЬ –</w:t>
      </w:r>
    </w:p>
    <w:p w14:paraId="443FA5F6"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4D2D14">
        <w:rPr>
          <w:rFonts w:asciiTheme="majorHAnsi" w:hAnsiTheme="majorHAnsi"/>
          <w:b/>
          <w:spacing w:val="-47"/>
          <w:sz w:val="20"/>
          <w:szCs w:val="20"/>
          <w:lang w:val="uk-UA"/>
        </w:rPr>
        <w:t xml:space="preserve"> </w:t>
      </w:r>
      <w:r w:rsidRPr="000977F7">
        <w:rPr>
          <w:rFonts w:asciiTheme="majorHAnsi" w:hAnsiTheme="majorHAnsi"/>
          <w:sz w:val="20"/>
          <w:szCs w:val="20"/>
        </w:rPr>
        <w:t>TRACEBILITY</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58CE965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Здатність простежити передісторію, застосування чи місце розташування об’єкта.</w:t>
      </w:r>
    </w:p>
    <w:p w14:paraId="086BA9B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Примітка 1. Коли йдеться про продукцію чи послугу простежуваність може стосуватися: походження матеріалів та частин; передісторії оброблення; розподілу та місця розташування продукції чи послуги після постачання.</w:t>
      </w:r>
    </w:p>
    <w:p w14:paraId="255A4D83"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4D2D14">
        <w:rPr>
          <w:rFonts w:asciiTheme="majorHAnsi" w:hAnsiTheme="majorHAnsi"/>
          <w:i/>
          <w:sz w:val="20"/>
          <w:szCs w:val="20"/>
          <w:lang w:val="uk-UA"/>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9000:2015</w:t>
      </w:r>
    </w:p>
    <w:p w14:paraId="145C5C6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ПРОСТОЇ</w:t>
      </w:r>
      <w:r w:rsidRPr="000977F7">
        <w:rPr>
          <w:color w:val="auto"/>
          <w:spacing w:val="-6"/>
          <w:sz w:val="20"/>
          <w:szCs w:val="20"/>
        </w:rPr>
        <w:t xml:space="preserve"> </w:t>
      </w:r>
      <w:r w:rsidRPr="000977F7">
        <w:rPr>
          <w:color w:val="auto"/>
          <w:sz w:val="20"/>
          <w:szCs w:val="20"/>
        </w:rPr>
        <w:t>УСТАТКУВАННЯ</w:t>
      </w:r>
      <w:r w:rsidRPr="000977F7">
        <w:rPr>
          <w:color w:val="auto"/>
          <w:spacing w:val="-2"/>
          <w:sz w:val="20"/>
          <w:szCs w:val="20"/>
        </w:rPr>
        <w:t xml:space="preserve"> </w:t>
      </w:r>
      <w:r w:rsidRPr="000977F7">
        <w:rPr>
          <w:color w:val="auto"/>
          <w:sz w:val="20"/>
          <w:szCs w:val="20"/>
        </w:rPr>
        <w:t>–</w:t>
      </w:r>
    </w:p>
    <w:p w14:paraId="3650BB26"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Тимчасова бездіяльність встановленого устаткування,</w:t>
      </w:r>
      <w:r w:rsidRPr="000977F7">
        <w:rPr>
          <w:rFonts w:asciiTheme="majorHAnsi" w:hAnsiTheme="majorHAnsi"/>
          <w:spacing w:val="-47"/>
          <w:sz w:val="20"/>
          <w:szCs w:val="20"/>
        </w:rPr>
        <w:t xml:space="preserve"> </w:t>
      </w:r>
      <w:r w:rsidRPr="000977F7">
        <w:rPr>
          <w:rFonts w:asciiTheme="majorHAnsi" w:hAnsiTheme="majorHAnsi"/>
          <w:sz w:val="20"/>
          <w:szCs w:val="20"/>
        </w:rPr>
        <w:t>призначеного до використання у процесі виробництва</w:t>
      </w:r>
      <w:r w:rsidRPr="000977F7">
        <w:rPr>
          <w:rFonts w:asciiTheme="majorHAnsi" w:hAnsiTheme="majorHAnsi"/>
          <w:spacing w:val="-47"/>
          <w:sz w:val="20"/>
          <w:szCs w:val="20"/>
        </w:rPr>
        <w:t xml:space="preserve"> </w:t>
      </w:r>
    </w:p>
    <w:p w14:paraId="5228665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2EAE0A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Простої</w:t>
      </w:r>
      <w:r w:rsidRPr="000977F7">
        <w:rPr>
          <w:rFonts w:asciiTheme="majorHAnsi" w:hAnsiTheme="majorHAnsi"/>
          <w:spacing w:val="-4"/>
          <w:sz w:val="20"/>
          <w:szCs w:val="20"/>
        </w:rPr>
        <w:t xml:space="preserve"> </w:t>
      </w:r>
      <w:r w:rsidRPr="000977F7">
        <w:rPr>
          <w:rFonts w:asciiTheme="majorHAnsi" w:hAnsiTheme="majorHAnsi"/>
          <w:sz w:val="20"/>
          <w:szCs w:val="20"/>
        </w:rPr>
        <w:t>можуть</w:t>
      </w:r>
      <w:r w:rsidRPr="000977F7">
        <w:rPr>
          <w:rFonts w:asciiTheme="majorHAnsi" w:hAnsiTheme="majorHAnsi"/>
          <w:spacing w:val="-3"/>
          <w:sz w:val="20"/>
          <w:szCs w:val="20"/>
        </w:rPr>
        <w:t xml:space="preserve"> </w:t>
      </w:r>
      <w:r w:rsidRPr="000977F7">
        <w:rPr>
          <w:rFonts w:asciiTheme="majorHAnsi" w:hAnsiTheme="majorHAnsi"/>
          <w:sz w:val="20"/>
          <w:szCs w:val="20"/>
        </w:rPr>
        <w:t>бути</w:t>
      </w:r>
      <w:r w:rsidRPr="000977F7">
        <w:rPr>
          <w:rFonts w:asciiTheme="majorHAnsi" w:hAnsiTheme="majorHAnsi"/>
          <w:spacing w:val="-4"/>
          <w:sz w:val="20"/>
          <w:szCs w:val="20"/>
        </w:rPr>
        <w:t xml:space="preserve"> </w:t>
      </w:r>
      <w:r w:rsidRPr="000977F7">
        <w:rPr>
          <w:rFonts w:asciiTheme="majorHAnsi" w:hAnsiTheme="majorHAnsi"/>
          <w:sz w:val="20"/>
          <w:szCs w:val="20"/>
        </w:rPr>
        <w:t>планові</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непланові</w:t>
      </w:r>
    </w:p>
    <w:p w14:paraId="37B9910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4FEA205" w14:textId="77777777" w:rsidR="0097612F" w:rsidRPr="000977F7" w:rsidRDefault="0097612F" w:rsidP="000977F7">
      <w:pPr>
        <w:pStyle w:val="7"/>
        <w:tabs>
          <w:tab w:val="left" w:pos="284"/>
          <w:tab w:val="left" w:pos="3662"/>
        </w:tabs>
        <w:spacing w:before="0" w:line="240" w:lineRule="auto"/>
        <w:ind w:left="170"/>
        <w:mirrorIndents/>
        <w:jc w:val="both"/>
        <w:rPr>
          <w:color w:val="auto"/>
          <w:sz w:val="20"/>
          <w:szCs w:val="20"/>
        </w:rPr>
      </w:pPr>
      <w:r w:rsidRPr="000977F7">
        <w:rPr>
          <w:color w:val="auto"/>
          <w:sz w:val="20"/>
          <w:szCs w:val="20"/>
        </w:rPr>
        <w:t xml:space="preserve">ПРОСТОРОВОПОДІЛЕНИЙ </w:t>
      </w:r>
      <w:r w:rsidRPr="000977F7">
        <w:rPr>
          <w:color w:val="auto"/>
          <w:spacing w:val="-1"/>
          <w:sz w:val="20"/>
          <w:szCs w:val="20"/>
        </w:rPr>
        <w:t>(СКЛАДЕНИЙ)</w:t>
      </w:r>
      <w:r w:rsidRPr="000977F7">
        <w:rPr>
          <w:color w:val="auto"/>
          <w:spacing w:val="-47"/>
          <w:sz w:val="20"/>
          <w:szCs w:val="20"/>
        </w:rPr>
        <w:t xml:space="preserve"> </w:t>
      </w:r>
      <w:r w:rsidRPr="000977F7">
        <w:rPr>
          <w:color w:val="auto"/>
          <w:sz w:val="20"/>
          <w:szCs w:val="20"/>
        </w:rPr>
        <w:t>СИГНАЛ –</w:t>
      </w:r>
    </w:p>
    <w:p w14:paraId="179A952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SIGNAL</w:t>
      </w:r>
      <w:r w:rsidRPr="000977F7">
        <w:rPr>
          <w:rFonts w:asciiTheme="majorHAnsi" w:hAnsiTheme="majorHAnsi"/>
          <w:spacing w:val="-4"/>
          <w:sz w:val="20"/>
          <w:szCs w:val="20"/>
        </w:rPr>
        <w:t xml:space="preserve"> </w:t>
      </w:r>
      <w:r w:rsidRPr="000977F7">
        <w:rPr>
          <w:rFonts w:asciiTheme="majorHAnsi" w:hAnsiTheme="majorHAnsi"/>
          <w:sz w:val="20"/>
          <w:szCs w:val="20"/>
        </w:rPr>
        <w:t>WITH</w:t>
      </w:r>
      <w:r w:rsidRPr="000977F7">
        <w:rPr>
          <w:rFonts w:asciiTheme="majorHAnsi" w:hAnsiTheme="majorHAnsi"/>
          <w:spacing w:val="-2"/>
          <w:sz w:val="20"/>
          <w:szCs w:val="20"/>
        </w:rPr>
        <w:t xml:space="preserve"> </w:t>
      </w:r>
      <w:r w:rsidRPr="000977F7">
        <w:rPr>
          <w:rFonts w:asciiTheme="majorHAnsi" w:hAnsiTheme="majorHAnsi"/>
          <w:sz w:val="20"/>
          <w:szCs w:val="20"/>
        </w:rPr>
        <w:t>SPACE</w:t>
      </w:r>
      <w:r w:rsidRPr="000977F7">
        <w:rPr>
          <w:rFonts w:asciiTheme="majorHAnsi" w:hAnsiTheme="majorHAnsi"/>
          <w:spacing w:val="-1"/>
          <w:sz w:val="20"/>
          <w:szCs w:val="20"/>
        </w:rPr>
        <w:t xml:space="preserve"> </w:t>
      </w:r>
      <w:r w:rsidRPr="000977F7">
        <w:rPr>
          <w:rFonts w:asciiTheme="majorHAnsi" w:hAnsiTheme="majorHAnsi"/>
          <w:sz w:val="20"/>
          <w:szCs w:val="20"/>
        </w:rPr>
        <w:t>SEPARATION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058ABE6"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Складений сигнал, різним складовим сигналам якого</w:t>
      </w:r>
      <w:r w:rsidRPr="000977F7">
        <w:rPr>
          <w:rFonts w:asciiTheme="majorHAnsi" w:hAnsiTheme="majorHAnsi"/>
          <w:spacing w:val="1"/>
          <w:sz w:val="20"/>
          <w:szCs w:val="20"/>
        </w:rPr>
        <w:t xml:space="preserve"> </w:t>
      </w:r>
      <w:r w:rsidRPr="000977F7">
        <w:rPr>
          <w:rFonts w:asciiTheme="majorHAnsi" w:hAnsiTheme="majorHAnsi"/>
          <w:sz w:val="20"/>
          <w:szCs w:val="20"/>
        </w:rPr>
        <w:t>відповідають свої діяння, що направлені з різних виходів джерела і прикладені до різних входів приймача</w:t>
      </w:r>
      <w:r w:rsidRPr="000977F7">
        <w:rPr>
          <w:rFonts w:asciiTheme="majorHAnsi" w:hAnsiTheme="majorHAnsi"/>
          <w:spacing w:val="-47"/>
          <w:sz w:val="20"/>
          <w:szCs w:val="20"/>
        </w:rPr>
        <w:t xml:space="preserve"> </w:t>
      </w:r>
    </w:p>
    <w:p w14:paraId="04C748E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2000</w:t>
      </w:r>
    </w:p>
    <w:p w14:paraId="6C44C88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ПРОСУВАННЯ</w:t>
      </w:r>
      <w:r w:rsidRPr="000977F7">
        <w:rPr>
          <w:color w:val="auto"/>
          <w:spacing w:val="-4"/>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25CD60CC"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Будь-яка</w:t>
      </w:r>
      <w:r w:rsidRPr="000977F7">
        <w:rPr>
          <w:rFonts w:asciiTheme="majorHAnsi" w:hAnsiTheme="majorHAnsi"/>
          <w:spacing w:val="8"/>
          <w:sz w:val="20"/>
          <w:szCs w:val="20"/>
        </w:rPr>
        <w:t xml:space="preserve"> </w:t>
      </w:r>
      <w:r w:rsidRPr="000977F7">
        <w:rPr>
          <w:rFonts w:asciiTheme="majorHAnsi" w:hAnsiTheme="majorHAnsi"/>
          <w:sz w:val="20"/>
          <w:szCs w:val="20"/>
        </w:rPr>
        <w:t>форма</w:t>
      </w:r>
      <w:r w:rsidRPr="000977F7">
        <w:rPr>
          <w:rFonts w:asciiTheme="majorHAnsi" w:hAnsiTheme="majorHAnsi"/>
          <w:spacing w:val="8"/>
          <w:sz w:val="20"/>
          <w:szCs w:val="20"/>
        </w:rPr>
        <w:t xml:space="preserve"> </w:t>
      </w:r>
      <w:r w:rsidRPr="000977F7">
        <w:rPr>
          <w:rFonts w:asciiTheme="majorHAnsi" w:hAnsiTheme="majorHAnsi"/>
          <w:sz w:val="20"/>
          <w:szCs w:val="20"/>
        </w:rPr>
        <w:t>повідомлень,</w:t>
      </w:r>
      <w:r w:rsidRPr="000977F7">
        <w:rPr>
          <w:rFonts w:asciiTheme="majorHAnsi" w:hAnsiTheme="majorHAnsi"/>
          <w:spacing w:val="8"/>
          <w:sz w:val="20"/>
          <w:szCs w:val="20"/>
        </w:rPr>
        <w:t xml:space="preserve"> </w:t>
      </w:r>
      <w:r w:rsidRPr="000977F7">
        <w:rPr>
          <w:rFonts w:asciiTheme="majorHAnsi" w:hAnsiTheme="majorHAnsi"/>
          <w:sz w:val="20"/>
          <w:szCs w:val="20"/>
        </w:rPr>
        <w:t>використовуваних</w:t>
      </w:r>
      <w:r w:rsidRPr="000977F7">
        <w:rPr>
          <w:rFonts w:asciiTheme="majorHAnsi" w:hAnsiTheme="majorHAnsi"/>
          <w:spacing w:val="6"/>
          <w:sz w:val="20"/>
          <w:szCs w:val="20"/>
        </w:rPr>
        <w:t xml:space="preserve"> </w:t>
      </w:r>
      <w:r w:rsidRPr="000977F7">
        <w:rPr>
          <w:rFonts w:asciiTheme="majorHAnsi" w:hAnsiTheme="majorHAnsi"/>
          <w:sz w:val="20"/>
          <w:szCs w:val="20"/>
        </w:rPr>
        <w:t>організацією</w:t>
      </w:r>
      <w:r w:rsidRPr="000977F7">
        <w:rPr>
          <w:rFonts w:asciiTheme="majorHAnsi" w:hAnsiTheme="majorHAnsi"/>
          <w:spacing w:val="24"/>
          <w:sz w:val="20"/>
          <w:szCs w:val="20"/>
        </w:rPr>
        <w:t xml:space="preserve"> </w:t>
      </w:r>
      <w:r w:rsidRPr="000977F7">
        <w:rPr>
          <w:rFonts w:asciiTheme="majorHAnsi" w:hAnsiTheme="majorHAnsi"/>
          <w:sz w:val="20"/>
          <w:szCs w:val="20"/>
        </w:rPr>
        <w:t>для</w:t>
      </w:r>
      <w:r w:rsidRPr="000977F7">
        <w:rPr>
          <w:rFonts w:asciiTheme="majorHAnsi" w:hAnsiTheme="majorHAnsi"/>
          <w:spacing w:val="23"/>
          <w:sz w:val="20"/>
          <w:szCs w:val="20"/>
        </w:rPr>
        <w:t xml:space="preserve"> </w:t>
      </w:r>
      <w:r w:rsidRPr="000977F7">
        <w:rPr>
          <w:rFonts w:asciiTheme="majorHAnsi" w:hAnsiTheme="majorHAnsi"/>
          <w:sz w:val="20"/>
          <w:szCs w:val="20"/>
        </w:rPr>
        <w:t>інформування,</w:t>
      </w:r>
      <w:r w:rsidRPr="000977F7">
        <w:rPr>
          <w:rFonts w:asciiTheme="majorHAnsi" w:hAnsiTheme="majorHAnsi"/>
          <w:spacing w:val="26"/>
          <w:sz w:val="20"/>
          <w:szCs w:val="20"/>
        </w:rPr>
        <w:t xml:space="preserve"> </w:t>
      </w:r>
      <w:r w:rsidRPr="000977F7">
        <w:rPr>
          <w:rFonts w:asciiTheme="majorHAnsi" w:hAnsiTheme="majorHAnsi"/>
          <w:sz w:val="20"/>
          <w:szCs w:val="20"/>
        </w:rPr>
        <w:t>переконання</w:t>
      </w:r>
      <w:r w:rsidRPr="000977F7">
        <w:rPr>
          <w:rFonts w:asciiTheme="majorHAnsi" w:hAnsiTheme="majorHAnsi"/>
          <w:spacing w:val="23"/>
          <w:sz w:val="20"/>
          <w:szCs w:val="20"/>
        </w:rPr>
        <w:t xml:space="preserve"> </w:t>
      </w:r>
      <w:r w:rsidRPr="000977F7">
        <w:rPr>
          <w:rFonts w:asciiTheme="majorHAnsi" w:hAnsiTheme="majorHAnsi"/>
          <w:sz w:val="20"/>
          <w:szCs w:val="20"/>
        </w:rPr>
        <w:t>або</w:t>
      </w:r>
      <w:r w:rsidRPr="000977F7">
        <w:rPr>
          <w:rFonts w:asciiTheme="majorHAnsi" w:hAnsiTheme="majorHAnsi"/>
          <w:spacing w:val="24"/>
          <w:sz w:val="20"/>
          <w:szCs w:val="20"/>
        </w:rPr>
        <w:t xml:space="preserve"> </w:t>
      </w:r>
      <w:r w:rsidRPr="000977F7">
        <w:rPr>
          <w:rFonts w:asciiTheme="majorHAnsi" w:hAnsiTheme="majorHAnsi"/>
          <w:sz w:val="20"/>
          <w:szCs w:val="20"/>
        </w:rPr>
        <w:t>нагадування покупцям про добротність продукції, послуг</w:t>
      </w:r>
    </w:p>
    <w:p w14:paraId="53073ADD"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3294</w:t>
      </w:r>
      <w:r w:rsidRPr="000977F7">
        <w:rPr>
          <w:rFonts w:asciiTheme="majorHAnsi" w:hAnsiTheme="majorHAnsi"/>
          <w:i/>
          <w:spacing w:val="2"/>
          <w:sz w:val="20"/>
          <w:szCs w:val="20"/>
        </w:rPr>
        <w:t xml:space="preserve"> - </w:t>
      </w:r>
      <w:r w:rsidRPr="000977F7">
        <w:rPr>
          <w:rFonts w:asciiTheme="majorHAnsi" w:hAnsiTheme="majorHAnsi"/>
          <w:i/>
          <w:sz w:val="20"/>
          <w:szCs w:val="20"/>
        </w:rPr>
        <w:t>95</w:t>
      </w:r>
    </w:p>
    <w:p w14:paraId="576A186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ПРОТЕКТОР</w:t>
      </w:r>
      <w:r w:rsidRPr="000977F7">
        <w:rPr>
          <w:color w:val="auto"/>
          <w:spacing w:val="-7"/>
          <w:sz w:val="20"/>
          <w:szCs w:val="20"/>
        </w:rPr>
        <w:t xml:space="preserve"> </w:t>
      </w:r>
      <w:r w:rsidRPr="000977F7">
        <w:rPr>
          <w:color w:val="auto"/>
          <w:sz w:val="20"/>
          <w:szCs w:val="20"/>
        </w:rPr>
        <w:t>(КОРОЗІЯ)</w:t>
      </w:r>
      <w:r w:rsidRPr="000977F7">
        <w:rPr>
          <w:color w:val="auto"/>
          <w:spacing w:val="-2"/>
          <w:sz w:val="20"/>
          <w:szCs w:val="20"/>
        </w:rPr>
        <w:t xml:space="preserve"> </w:t>
      </w:r>
      <w:r w:rsidRPr="000977F7">
        <w:rPr>
          <w:color w:val="auto"/>
          <w:sz w:val="20"/>
          <w:szCs w:val="20"/>
        </w:rPr>
        <w:t>—</w:t>
      </w:r>
    </w:p>
    <w:p w14:paraId="1C38469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Метал, застосовуваний для електрохімічного захисту,</w:t>
      </w:r>
      <w:r w:rsidRPr="000977F7">
        <w:rPr>
          <w:rFonts w:asciiTheme="majorHAnsi" w:hAnsiTheme="majorHAnsi"/>
          <w:spacing w:val="1"/>
          <w:sz w:val="20"/>
          <w:szCs w:val="20"/>
        </w:rPr>
        <w:t xml:space="preserve"> </w:t>
      </w:r>
      <w:r w:rsidRPr="000977F7">
        <w:rPr>
          <w:rFonts w:asciiTheme="majorHAnsi" w:hAnsiTheme="majorHAnsi"/>
          <w:sz w:val="20"/>
          <w:szCs w:val="20"/>
        </w:rPr>
        <w:t>що має нижчий або вищий потенціал корозії порівняно з металом, який</w:t>
      </w:r>
      <w:r w:rsidRPr="000977F7">
        <w:rPr>
          <w:rFonts w:asciiTheme="majorHAnsi" w:hAnsiTheme="majorHAnsi"/>
          <w:spacing w:val="-1"/>
          <w:sz w:val="20"/>
          <w:szCs w:val="20"/>
        </w:rPr>
        <w:t xml:space="preserve"> </w:t>
      </w:r>
      <w:r w:rsidRPr="000977F7">
        <w:rPr>
          <w:rFonts w:asciiTheme="majorHAnsi" w:hAnsiTheme="majorHAnsi"/>
          <w:sz w:val="20"/>
          <w:szCs w:val="20"/>
        </w:rPr>
        <w:t>захищають</w:t>
      </w:r>
    </w:p>
    <w:p w14:paraId="35F9211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317844F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ПРОТЕКЦІОНІЗМ</w:t>
      </w:r>
      <w:r w:rsidRPr="000977F7">
        <w:rPr>
          <w:color w:val="auto"/>
          <w:spacing w:val="-8"/>
          <w:sz w:val="20"/>
          <w:szCs w:val="20"/>
        </w:rPr>
        <w:t xml:space="preserve"> </w:t>
      </w:r>
      <w:r w:rsidRPr="000977F7">
        <w:rPr>
          <w:color w:val="auto"/>
          <w:sz w:val="20"/>
          <w:szCs w:val="20"/>
        </w:rPr>
        <w:t>–</w:t>
      </w:r>
    </w:p>
    <w:p w14:paraId="6DFA22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Державна</w:t>
      </w:r>
      <w:r w:rsidRPr="000977F7">
        <w:rPr>
          <w:rFonts w:asciiTheme="majorHAnsi" w:hAnsiTheme="majorHAnsi"/>
          <w:spacing w:val="1"/>
          <w:sz w:val="20"/>
          <w:szCs w:val="20"/>
        </w:rPr>
        <w:t xml:space="preserve"> </w:t>
      </w:r>
      <w:r w:rsidRPr="000977F7">
        <w:rPr>
          <w:rFonts w:asciiTheme="majorHAnsi" w:hAnsiTheme="majorHAnsi"/>
          <w:sz w:val="20"/>
          <w:szCs w:val="20"/>
        </w:rPr>
        <w:t>політика</w:t>
      </w:r>
      <w:r w:rsidRPr="000977F7">
        <w:rPr>
          <w:rFonts w:asciiTheme="majorHAnsi" w:hAnsiTheme="majorHAnsi"/>
          <w:spacing w:val="1"/>
          <w:sz w:val="20"/>
          <w:szCs w:val="20"/>
        </w:rPr>
        <w:t xml:space="preserve"> </w:t>
      </w:r>
      <w:r w:rsidRPr="000977F7">
        <w:rPr>
          <w:rFonts w:asciiTheme="majorHAnsi" w:hAnsiTheme="majorHAnsi"/>
          <w:sz w:val="20"/>
          <w:szCs w:val="20"/>
        </w:rPr>
        <w:t>захисту внутрішнього</w:t>
      </w:r>
      <w:r w:rsidRPr="000977F7">
        <w:rPr>
          <w:rFonts w:asciiTheme="majorHAnsi" w:hAnsiTheme="majorHAnsi"/>
          <w:spacing w:val="1"/>
          <w:sz w:val="20"/>
          <w:szCs w:val="20"/>
        </w:rPr>
        <w:t xml:space="preserve"> </w:t>
      </w:r>
      <w:r w:rsidRPr="000977F7">
        <w:rPr>
          <w:rFonts w:asciiTheme="majorHAnsi" w:hAnsiTheme="majorHAnsi"/>
          <w:sz w:val="20"/>
          <w:szCs w:val="20"/>
        </w:rPr>
        <w:t>ринку від</w:t>
      </w:r>
      <w:r w:rsidRPr="000977F7">
        <w:rPr>
          <w:rFonts w:asciiTheme="majorHAnsi" w:hAnsiTheme="majorHAnsi"/>
          <w:spacing w:val="1"/>
          <w:sz w:val="20"/>
          <w:szCs w:val="20"/>
        </w:rPr>
        <w:t xml:space="preserve"> </w:t>
      </w:r>
      <w:r w:rsidRPr="000977F7">
        <w:rPr>
          <w:rFonts w:asciiTheme="majorHAnsi" w:hAnsiTheme="majorHAnsi"/>
          <w:sz w:val="20"/>
          <w:szCs w:val="20"/>
        </w:rPr>
        <w:t>іноземної</w:t>
      </w:r>
      <w:r w:rsidRPr="000977F7">
        <w:rPr>
          <w:rFonts w:asciiTheme="majorHAnsi" w:hAnsiTheme="majorHAnsi"/>
          <w:spacing w:val="-2"/>
          <w:sz w:val="20"/>
          <w:szCs w:val="20"/>
        </w:rPr>
        <w:t xml:space="preserve"> </w:t>
      </w:r>
      <w:r w:rsidRPr="000977F7">
        <w:rPr>
          <w:rFonts w:asciiTheme="majorHAnsi" w:hAnsiTheme="majorHAnsi"/>
          <w:sz w:val="20"/>
          <w:szCs w:val="20"/>
        </w:rPr>
        <w:t>конкуренції</w:t>
      </w:r>
    </w:p>
    <w:p w14:paraId="3002BFC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48362F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ПРОТИДІЙНИЙ</w:t>
      </w:r>
      <w:r w:rsidRPr="000977F7">
        <w:rPr>
          <w:color w:val="auto"/>
          <w:spacing w:val="-4"/>
          <w:sz w:val="20"/>
          <w:szCs w:val="20"/>
        </w:rPr>
        <w:t xml:space="preserve"> </w:t>
      </w:r>
      <w:r w:rsidRPr="000977F7">
        <w:rPr>
          <w:color w:val="auto"/>
          <w:sz w:val="20"/>
          <w:szCs w:val="20"/>
        </w:rPr>
        <w:t>МАРКЕТИНГ</w:t>
      </w:r>
      <w:r w:rsidRPr="000977F7">
        <w:rPr>
          <w:color w:val="auto"/>
          <w:spacing w:val="-1"/>
          <w:sz w:val="20"/>
          <w:szCs w:val="20"/>
        </w:rPr>
        <w:t xml:space="preserve"> </w:t>
      </w:r>
      <w:r w:rsidRPr="000977F7">
        <w:rPr>
          <w:color w:val="auto"/>
          <w:sz w:val="20"/>
          <w:szCs w:val="20"/>
        </w:rPr>
        <w:t>-</w:t>
      </w:r>
    </w:p>
    <w:p w14:paraId="6F77C6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Тип маркетингу, пов’язаний із шкідливістю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погляду</w:t>
      </w:r>
      <w:r w:rsidRPr="000977F7">
        <w:rPr>
          <w:rFonts w:asciiTheme="majorHAnsi" w:hAnsiTheme="majorHAnsi"/>
          <w:spacing w:val="-5"/>
          <w:sz w:val="20"/>
          <w:szCs w:val="20"/>
        </w:rPr>
        <w:t xml:space="preserve"> </w:t>
      </w:r>
      <w:r w:rsidRPr="000977F7">
        <w:rPr>
          <w:rFonts w:asciiTheme="majorHAnsi" w:hAnsiTheme="majorHAnsi"/>
          <w:sz w:val="20"/>
          <w:szCs w:val="20"/>
        </w:rPr>
        <w:t>добробуту</w:t>
      </w:r>
      <w:r w:rsidRPr="000977F7">
        <w:rPr>
          <w:rFonts w:asciiTheme="majorHAnsi" w:hAnsiTheme="majorHAnsi"/>
          <w:spacing w:val="-2"/>
          <w:sz w:val="20"/>
          <w:szCs w:val="20"/>
        </w:rPr>
        <w:t xml:space="preserve"> </w:t>
      </w:r>
      <w:r w:rsidRPr="000977F7">
        <w:rPr>
          <w:rFonts w:asciiTheme="majorHAnsi" w:hAnsiTheme="majorHAnsi"/>
          <w:sz w:val="20"/>
          <w:szCs w:val="20"/>
        </w:rPr>
        <w:t>споживача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суспільства</w:t>
      </w:r>
    </w:p>
    <w:p w14:paraId="60FBFFD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E92256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ПРОТИКОРОЗІЙНИЙ</w:t>
      </w:r>
      <w:r w:rsidRPr="000977F7">
        <w:rPr>
          <w:color w:val="auto"/>
          <w:spacing w:val="-5"/>
          <w:sz w:val="20"/>
          <w:szCs w:val="20"/>
        </w:rPr>
        <w:t xml:space="preserve"> </w:t>
      </w:r>
      <w:r w:rsidRPr="000977F7">
        <w:rPr>
          <w:color w:val="auto"/>
          <w:sz w:val="20"/>
          <w:szCs w:val="20"/>
        </w:rPr>
        <w:t>ЗАХИСТ—</w:t>
      </w:r>
    </w:p>
    <w:p w14:paraId="07B0F16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CORROSION</w:t>
      </w:r>
      <w:r w:rsidRPr="000977F7">
        <w:rPr>
          <w:rFonts w:asciiTheme="majorHAnsi" w:hAnsiTheme="majorHAnsi"/>
          <w:spacing w:val="-2"/>
          <w:sz w:val="20"/>
          <w:szCs w:val="20"/>
        </w:rPr>
        <w:t xml:space="preserve"> </w:t>
      </w:r>
      <w:r w:rsidRPr="000977F7">
        <w:rPr>
          <w:rFonts w:asciiTheme="majorHAnsi" w:hAnsiTheme="majorHAnsi"/>
          <w:sz w:val="20"/>
          <w:szCs w:val="20"/>
        </w:rPr>
        <w:t>PROTECTION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A28C25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Процеси</w:t>
      </w:r>
      <w:r w:rsidRPr="000977F7">
        <w:rPr>
          <w:rFonts w:asciiTheme="majorHAnsi" w:hAnsiTheme="majorHAnsi"/>
          <w:spacing w:val="-6"/>
          <w:sz w:val="20"/>
          <w:szCs w:val="20"/>
        </w:rPr>
        <w:t xml:space="preserve"> </w:t>
      </w:r>
      <w:r w:rsidRPr="000977F7">
        <w:rPr>
          <w:rFonts w:asciiTheme="majorHAnsi" w:hAnsiTheme="majorHAnsi"/>
          <w:sz w:val="20"/>
          <w:szCs w:val="20"/>
        </w:rPr>
        <w:t>(засоби),</w:t>
      </w:r>
      <w:r w:rsidRPr="000977F7">
        <w:rPr>
          <w:rFonts w:asciiTheme="majorHAnsi" w:hAnsiTheme="majorHAnsi"/>
          <w:spacing w:val="-4"/>
          <w:sz w:val="20"/>
          <w:szCs w:val="20"/>
        </w:rPr>
        <w:t xml:space="preserve"> </w:t>
      </w:r>
      <w:r w:rsidRPr="000977F7">
        <w:rPr>
          <w:rFonts w:asciiTheme="majorHAnsi" w:hAnsiTheme="majorHAnsi"/>
          <w:sz w:val="20"/>
          <w:szCs w:val="20"/>
        </w:rPr>
        <w:t>які</w:t>
      </w:r>
      <w:r w:rsidRPr="000977F7">
        <w:rPr>
          <w:rFonts w:asciiTheme="majorHAnsi" w:hAnsiTheme="majorHAnsi"/>
          <w:spacing w:val="-5"/>
          <w:sz w:val="20"/>
          <w:szCs w:val="20"/>
        </w:rPr>
        <w:t xml:space="preserve"> </w:t>
      </w:r>
      <w:r w:rsidRPr="000977F7">
        <w:rPr>
          <w:rFonts w:asciiTheme="majorHAnsi" w:hAnsiTheme="majorHAnsi"/>
          <w:sz w:val="20"/>
          <w:szCs w:val="20"/>
        </w:rPr>
        <w:t>застосовують</w:t>
      </w:r>
      <w:r w:rsidRPr="000977F7">
        <w:rPr>
          <w:rFonts w:asciiTheme="majorHAnsi" w:hAnsiTheme="majorHAnsi"/>
          <w:spacing w:val="-3"/>
          <w:sz w:val="20"/>
          <w:szCs w:val="20"/>
        </w:rPr>
        <w:t xml:space="preserve"> </w:t>
      </w:r>
      <w:r w:rsidRPr="000977F7">
        <w:rPr>
          <w:rFonts w:asciiTheme="majorHAnsi" w:hAnsiTheme="majorHAnsi"/>
          <w:sz w:val="20"/>
          <w:szCs w:val="20"/>
        </w:rPr>
        <w:t>для</w:t>
      </w:r>
      <w:r w:rsidRPr="000977F7">
        <w:rPr>
          <w:rFonts w:asciiTheme="majorHAnsi" w:hAnsiTheme="majorHAnsi"/>
          <w:spacing w:val="-5"/>
          <w:sz w:val="20"/>
          <w:szCs w:val="20"/>
        </w:rPr>
        <w:t xml:space="preserve"> </w:t>
      </w:r>
      <w:r w:rsidRPr="000977F7">
        <w:rPr>
          <w:rFonts w:asciiTheme="majorHAnsi" w:hAnsiTheme="majorHAnsi"/>
          <w:sz w:val="20"/>
          <w:szCs w:val="20"/>
        </w:rPr>
        <w:t>зменшення</w:t>
      </w:r>
      <w:r w:rsidRPr="000977F7">
        <w:rPr>
          <w:rFonts w:asciiTheme="majorHAnsi" w:hAnsiTheme="majorHAnsi"/>
          <w:spacing w:val="-47"/>
          <w:sz w:val="20"/>
          <w:szCs w:val="20"/>
        </w:rPr>
        <w:t xml:space="preserve"> </w:t>
      </w:r>
      <w:r w:rsidRPr="000977F7">
        <w:rPr>
          <w:rFonts w:asciiTheme="majorHAnsi" w:hAnsiTheme="majorHAnsi"/>
          <w:sz w:val="20"/>
          <w:szCs w:val="20"/>
        </w:rPr>
        <w:t>або припинення</w:t>
      </w:r>
      <w:r w:rsidRPr="000977F7">
        <w:rPr>
          <w:rFonts w:asciiTheme="majorHAnsi" w:hAnsiTheme="majorHAnsi"/>
          <w:spacing w:val="-1"/>
          <w:sz w:val="20"/>
          <w:szCs w:val="20"/>
        </w:rPr>
        <w:t xml:space="preserve"> </w:t>
      </w:r>
      <w:r w:rsidRPr="000977F7">
        <w:rPr>
          <w:rFonts w:asciiTheme="majorHAnsi" w:hAnsiTheme="majorHAnsi"/>
          <w:sz w:val="20"/>
          <w:szCs w:val="20"/>
        </w:rPr>
        <w:t>корозії</w:t>
      </w:r>
    </w:p>
    <w:p w14:paraId="78B58FD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3830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98</w:t>
      </w:r>
    </w:p>
    <w:p w14:paraId="685B7F4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ПРОТИРАДІАЦІЙНІ ГІГІЄНІЧНІ ЗАХИСНІ </w:t>
      </w:r>
    </w:p>
    <w:p w14:paraId="192E706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ЗАХОДИ –</w:t>
      </w:r>
    </w:p>
    <w:p w14:paraId="259A0BD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 xml:space="preserve">Сукупність радіаційно гігієнічних заходів та проектно-конструкторських і технологічних рішень, які забезпечують радіаційну безпеку на радіаційно-ядерних </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об'єктах 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навколишньому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середовищі</w:t>
      </w:r>
    </w:p>
    <w:p w14:paraId="21C3E47C"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w:t>
      </w:r>
      <w:r w:rsidRPr="000977F7">
        <w:rPr>
          <w:rFonts w:asciiTheme="majorHAnsi" w:hAnsiTheme="majorHAnsi"/>
          <w:i/>
          <w:spacing w:val="2"/>
          <w:sz w:val="20"/>
          <w:szCs w:val="20"/>
        </w:rPr>
        <w:t xml:space="preserve"> </w:t>
      </w:r>
      <w:r w:rsidRPr="000977F7">
        <w:rPr>
          <w:rFonts w:asciiTheme="majorHAnsi" w:hAnsiTheme="majorHAnsi"/>
          <w:i/>
          <w:sz w:val="20"/>
          <w:szCs w:val="20"/>
        </w:rPr>
        <w:t>95</w:t>
      </w:r>
    </w:p>
    <w:p w14:paraId="73212C2E"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ПРОТОКОЛ: ЗАПИС –</w:t>
      </w:r>
      <w:r w:rsidRPr="000977F7">
        <w:rPr>
          <w:rFonts w:asciiTheme="majorHAnsi" w:hAnsiTheme="majorHAnsi"/>
          <w:b/>
          <w:spacing w:val="-47"/>
          <w:sz w:val="20"/>
          <w:szCs w:val="20"/>
        </w:rPr>
        <w:t xml:space="preserve"> </w:t>
      </w:r>
    </w:p>
    <w:p w14:paraId="5AA8D75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RECORD</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A59535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w:t>
      </w:r>
      <w:r w:rsidRPr="000977F7">
        <w:rPr>
          <w:rFonts w:asciiTheme="majorHAnsi" w:hAnsiTheme="majorHAnsi"/>
          <w:spacing w:val="28"/>
          <w:sz w:val="20"/>
          <w:szCs w:val="20"/>
        </w:rPr>
        <w:t xml:space="preserve"> </w:t>
      </w:r>
      <w:r w:rsidRPr="000977F7">
        <w:rPr>
          <w:rFonts w:asciiTheme="majorHAnsi" w:hAnsiTheme="majorHAnsi"/>
          <w:sz w:val="20"/>
          <w:szCs w:val="20"/>
        </w:rPr>
        <w:t>у</w:t>
      </w:r>
      <w:r w:rsidRPr="000977F7">
        <w:rPr>
          <w:rFonts w:asciiTheme="majorHAnsi" w:hAnsiTheme="majorHAnsi"/>
          <w:spacing w:val="27"/>
          <w:sz w:val="20"/>
          <w:szCs w:val="20"/>
        </w:rPr>
        <w:t xml:space="preserve"> </w:t>
      </w:r>
      <w:r w:rsidRPr="000977F7">
        <w:rPr>
          <w:rFonts w:asciiTheme="majorHAnsi" w:hAnsiTheme="majorHAnsi"/>
          <w:sz w:val="20"/>
          <w:szCs w:val="20"/>
        </w:rPr>
        <w:t>якому</w:t>
      </w:r>
      <w:r w:rsidRPr="000977F7">
        <w:rPr>
          <w:rFonts w:asciiTheme="majorHAnsi" w:hAnsiTheme="majorHAnsi"/>
          <w:spacing w:val="25"/>
          <w:sz w:val="20"/>
          <w:szCs w:val="20"/>
        </w:rPr>
        <w:t xml:space="preserve"> </w:t>
      </w:r>
      <w:r w:rsidRPr="000977F7">
        <w:rPr>
          <w:rFonts w:asciiTheme="majorHAnsi" w:hAnsiTheme="majorHAnsi"/>
          <w:sz w:val="20"/>
          <w:szCs w:val="20"/>
        </w:rPr>
        <w:t>наведено</w:t>
      </w:r>
      <w:r w:rsidRPr="000977F7">
        <w:rPr>
          <w:rFonts w:asciiTheme="majorHAnsi" w:hAnsiTheme="majorHAnsi"/>
          <w:spacing w:val="27"/>
          <w:sz w:val="20"/>
          <w:szCs w:val="20"/>
        </w:rPr>
        <w:t xml:space="preserve"> </w:t>
      </w:r>
      <w:r w:rsidRPr="000977F7">
        <w:rPr>
          <w:rFonts w:asciiTheme="majorHAnsi" w:hAnsiTheme="majorHAnsi"/>
          <w:sz w:val="20"/>
          <w:szCs w:val="20"/>
        </w:rPr>
        <w:t>одержані</w:t>
      </w:r>
      <w:r w:rsidRPr="000977F7">
        <w:rPr>
          <w:rFonts w:asciiTheme="majorHAnsi" w:hAnsiTheme="majorHAnsi"/>
          <w:spacing w:val="26"/>
          <w:sz w:val="20"/>
          <w:szCs w:val="20"/>
        </w:rPr>
        <w:t xml:space="preserve"> </w:t>
      </w:r>
      <w:r w:rsidRPr="000977F7">
        <w:rPr>
          <w:rFonts w:asciiTheme="majorHAnsi" w:hAnsiTheme="majorHAnsi"/>
          <w:sz w:val="20"/>
          <w:szCs w:val="20"/>
        </w:rPr>
        <w:t>результати</w:t>
      </w:r>
      <w:r w:rsidRPr="000977F7">
        <w:rPr>
          <w:rFonts w:asciiTheme="majorHAnsi" w:hAnsiTheme="majorHAnsi"/>
          <w:spacing w:val="25"/>
          <w:sz w:val="20"/>
          <w:szCs w:val="20"/>
        </w:rPr>
        <w:t xml:space="preserve"> </w:t>
      </w:r>
      <w:r w:rsidRPr="000977F7">
        <w:rPr>
          <w:rFonts w:asciiTheme="majorHAnsi" w:hAnsiTheme="majorHAnsi"/>
          <w:sz w:val="20"/>
          <w:szCs w:val="20"/>
        </w:rPr>
        <w:t>чи</w:t>
      </w:r>
      <w:r w:rsidRPr="000977F7">
        <w:rPr>
          <w:rFonts w:asciiTheme="majorHAnsi" w:hAnsiTheme="majorHAnsi"/>
          <w:spacing w:val="-47"/>
          <w:sz w:val="20"/>
          <w:szCs w:val="20"/>
        </w:rPr>
        <w:t xml:space="preserve"> </w:t>
      </w:r>
      <w:r w:rsidRPr="000977F7">
        <w:rPr>
          <w:rFonts w:asciiTheme="majorHAnsi" w:hAnsiTheme="majorHAnsi"/>
          <w:sz w:val="20"/>
          <w:szCs w:val="20"/>
        </w:rPr>
        <w:t>докази</w:t>
      </w:r>
      <w:r w:rsidRPr="000977F7">
        <w:rPr>
          <w:rFonts w:asciiTheme="majorHAnsi" w:hAnsiTheme="majorHAnsi"/>
          <w:spacing w:val="-2"/>
          <w:sz w:val="20"/>
          <w:szCs w:val="20"/>
        </w:rPr>
        <w:t xml:space="preserve"> </w:t>
      </w:r>
      <w:r w:rsidRPr="000977F7">
        <w:rPr>
          <w:rFonts w:asciiTheme="majorHAnsi" w:hAnsiTheme="majorHAnsi"/>
          <w:sz w:val="20"/>
          <w:szCs w:val="20"/>
        </w:rPr>
        <w:t>виконаних</w:t>
      </w:r>
      <w:r w:rsidRPr="000977F7">
        <w:rPr>
          <w:rFonts w:asciiTheme="majorHAnsi" w:hAnsiTheme="majorHAnsi"/>
          <w:spacing w:val="-1"/>
          <w:sz w:val="20"/>
          <w:szCs w:val="20"/>
        </w:rPr>
        <w:t xml:space="preserve"> </w:t>
      </w:r>
      <w:r w:rsidRPr="000977F7">
        <w:rPr>
          <w:rFonts w:asciiTheme="majorHAnsi" w:hAnsiTheme="majorHAnsi"/>
          <w:sz w:val="20"/>
          <w:szCs w:val="20"/>
        </w:rPr>
        <w:t>робіт.</w:t>
      </w:r>
    </w:p>
    <w:p w14:paraId="6FDDD4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Протоколи можна використовувати, наприклад, для документування простежуваності та наведення доказу щодо перевіряння, запобіжної дії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коригувальної дії.</w:t>
      </w:r>
    </w:p>
    <w:p w14:paraId="2C2CC0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1"/>
          <w:sz w:val="20"/>
          <w:szCs w:val="20"/>
        </w:rPr>
        <w:t xml:space="preserve"> </w:t>
      </w:r>
      <w:r w:rsidRPr="000977F7">
        <w:rPr>
          <w:rFonts w:asciiTheme="majorHAnsi" w:hAnsiTheme="majorHAnsi"/>
          <w:sz w:val="20"/>
          <w:szCs w:val="20"/>
        </w:rPr>
        <w:t>2.</w:t>
      </w:r>
      <w:r w:rsidRPr="000977F7">
        <w:rPr>
          <w:rFonts w:asciiTheme="majorHAnsi" w:hAnsiTheme="majorHAnsi"/>
          <w:spacing w:val="1"/>
          <w:sz w:val="20"/>
          <w:szCs w:val="20"/>
        </w:rPr>
        <w:t xml:space="preserve"> </w:t>
      </w:r>
      <w:r w:rsidRPr="000977F7">
        <w:rPr>
          <w:rFonts w:asciiTheme="majorHAnsi" w:hAnsiTheme="majorHAnsi"/>
          <w:sz w:val="20"/>
          <w:szCs w:val="20"/>
        </w:rPr>
        <w:t>Звичайно</w:t>
      </w:r>
      <w:r w:rsidRPr="000977F7">
        <w:rPr>
          <w:rFonts w:asciiTheme="majorHAnsi" w:hAnsiTheme="majorHAnsi"/>
          <w:spacing w:val="1"/>
          <w:sz w:val="20"/>
          <w:szCs w:val="20"/>
        </w:rPr>
        <w:t xml:space="preserve"> </w:t>
      </w:r>
      <w:r w:rsidRPr="000977F7">
        <w:rPr>
          <w:rFonts w:asciiTheme="majorHAnsi" w:hAnsiTheme="majorHAnsi"/>
          <w:sz w:val="20"/>
          <w:szCs w:val="20"/>
        </w:rPr>
        <w:t>немає</w:t>
      </w:r>
      <w:r w:rsidRPr="000977F7">
        <w:rPr>
          <w:rFonts w:asciiTheme="majorHAnsi" w:hAnsiTheme="majorHAnsi"/>
          <w:spacing w:val="1"/>
          <w:sz w:val="20"/>
          <w:szCs w:val="20"/>
        </w:rPr>
        <w:t xml:space="preserve"> </w:t>
      </w:r>
      <w:r w:rsidRPr="000977F7">
        <w:rPr>
          <w:rFonts w:asciiTheme="majorHAnsi" w:hAnsiTheme="majorHAnsi"/>
          <w:sz w:val="20"/>
          <w:szCs w:val="20"/>
        </w:rPr>
        <w:t>потреби</w:t>
      </w:r>
      <w:r w:rsidRPr="000977F7">
        <w:rPr>
          <w:rFonts w:asciiTheme="majorHAnsi" w:hAnsiTheme="majorHAnsi"/>
          <w:spacing w:val="1"/>
          <w:sz w:val="20"/>
          <w:szCs w:val="20"/>
        </w:rPr>
        <w:t xml:space="preserve"> </w:t>
      </w:r>
      <w:r w:rsidRPr="000977F7">
        <w:rPr>
          <w:rFonts w:asciiTheme="majorHAnsi" w:hAnsiTheme="majorHAnsi"/>
          <w:sz w:val="20"/>
          <w:szCs w:val="20"/>
        </w:rPr>
        <w:t>контролювати</w:t>
      </w:r>
      <w:r w:rsidRPr="000977F7">
        <w:rPr>
          <w:rFonts w:asciiTheme="majorHAnsi" w:hAnsiTheme="majorHAnsi"/>
          <w:spacing w:val="-47"/>
          <w:sz w:val="20"/>
          <w:szCs w:val="20"/>
        </w:rPr>
        <w:t xml:space="preserve"> </w:t>
      </w:r>
      <w:r w:rsidRPr="000977F7">
        <w:rPr>
          <w:rFonts w:asciiTheme="majorHAnsi" w:hAnsiTheme="majorHAnsi"/>
          <w:sz w:val="20"/>
          <w:szCs w:val="20"/>
        </w:rPr>
        <w:t>нові</w:t>
      </w:r>
      <w:r w:rsidRPr="000977F7">
        <w:rPr>
          <w:rFonts w:asciiTheme="majorHAnsi" w:hAnsiTheme="majorHAnsi"/>
          <w:spacing w:val="-1"/>
          <w:sz w:val="20"/>
          <w:szCs w:val="20"/>
        </w:rPr>
        <w:t xml:space="preserve"> </w:t>
      </w:r>
      <w:r w:rsidRPr="000977F7">
        <w:rPr>
          <w:rFonts w:asciiTheme="majorHAnsi" w:hAnsiTheme="majorHAnsi"/>
          <w:sz w:val="20"/>
          <w:szCs w:val="20"/>
        </w:rPr>
        <w:t>редакції протоколів.</w:t>
      </w:r>
    </w:p>
    <w:p w14:paraId="4BD2B4C8"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9000:2015</w:t>
      </w:r>
    </w:p>
    <w:p w14:paraId="6D6E48DA"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ПРОТОКОЛ ВИПРОБУВАНЬ –</w:t>
      </w:r>
      <w:r w:rsidRPr="000977F7">
        <w:rPr>
          <w:rFonts w:asciiTheme="majorHAnsi" w:hAnsiTheme="majorHAnsi"/>
          <w:b/>
          <w:spacing w:val="-47"/>
          <w:sz w:val="20"/>
          <w:szCs w:val="20"/>
        </w:rPr>
        <w:t xml:space="preserve"> </w:t>
      </w:r>
    </w:p>
    <w:p w14:paraId="3AEDB82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TEST</w:t>
      </w:r>
      <w:r w:rsidRPr="000977F7">
        <w:rPr>
          <w:rFonts w:asciiTheme="majorHAnsi" w:hAnsiTheme="majorHAnsi"/>
          <w:spacing w:val="2"/>
          <w:sz w:val="20"/>
          <w:szCs w:val="20"/>
        </w:rPr>
        <w:t xml:space="preserve"> </w:t>
      </w:r>
      <w:r w:rsidRPr="000977F7">
        <w:rPr>
          <w:rFonts w:asciiTheme="majorHAnsi" w:hAnsiTheme="majorHAnsi"/>
          <w:sz w:val="20"/>
          <w:szCs w:val="20"/>
        </w:rPr>
        <w:t>REPORT</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4CBD70E0" w14:textId="77777777" w:rsidR="0097612F" w:rsidRPr="000977F7" w:rsidRDefault="0097612F" w:rsidP="000977F7">
      <w:pPr>
        <w:pStyle w:val="af6"/>
        <w:tabs>
          <w:tab w:val="left" w:pos="284"/>
          <w:tab w:val="left" w:pos="2506"/>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Документ, що містить результати випробувань та іншу</w:t>
      </w:r>
      <w:r w:rsidRPr="000977F7">
        <w:rPr>
          <w:rFonts w:asciiTheme="majorHAnsi" w:hAnsiTheme="majorHAnsi"/>
          <w:spacing w:val="-5"/>
          <w:sz w:val="20"/>
          <w:szCs w:val="20"/>
        </w:rPr>
        <w:t xml:space="preserve"> </w:t>
      </w:r>
      <w:r w:rsidRPr="000977F7">
        <w:rPr>
          <w:rFonts w:asciiTheme="majorHAnsi" w:hAnsiTheme="majorHAnsi"/>
          <w:sz w:val="20"/>
          <w:szCs w:val="20"/>
        </w:rPr>
        <w:t>інформацію стосовно</w:t>
      </w:r>
      <w:r w:rsidRPr="000977F7">
        <w:rPr>
          <w:rFonts w:asciiTheme="majorHAnsi" w:hAnsiTheme="majorHAnsi"/>
          <w:spacing w:val="1"/>
          <w:sz w:val="20"/>
          <w:szCs w:val="20"/>
        </w:rPr>
        <w:t xml:space="preserve"> </w:t>
      </w:r>
      <w:r w:rsidRPr="000977F7">
        <w:rPr>
          <w:rFonts w:asciiTheme="majorHAnsi" w:hAnsiTheme="majorHAnsi"/>
          <w:sz w:val="20"/>
          <w:szCs w:val="20"/>
        </w:rPr>
        <w:t>них</w:t>
      </w:r>
    </w:p>
    <w:p w14:paraId="1AA025A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 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0CD06C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що містить необхідні відомості про об’єкт</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 застосовувані методи, засоби та умови</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 результати випробувань, а також висновок згідно з результатами випробувань, оформлений у</w:t>
      </w:r>
      <w:r w:rsidRPr="000977F7">
        <w:rPr>
          <w:rFonts w:asciiTheme="majorHAnsi" w:hAnsiTheme="majorHAnsi"/>
          <w:spacing w:val="-47"/>
          <w:sz w:val="20"/>
          <w:szCs w:val="20"/>
        </w:rPr>
        <w:t xml:space="preserve"> </w:t>
      </w:r>
      <w:r w:rsidRPr="000977F7">
        <w:rPr>
          <w:rFonts w:asciiTheme="majorHAnsi" w:hAnsiTheme="majorHAnsi"/>
          <w:sz w:val="20"/>
          <w:szCs w:val="20"/>
        </w:rPr>
        <w:t>встановленому</w:t>
      </w:r>
      <w:r w:rsidRPr="000977F7">
        <w:rPr>
          <w:rFonts w:asciiTheme="majorHAnsi" w:hAnsiTheme="majorHAnsi"/>
          <w:spacing w:val="-5"/>
          <w:sz w:val="20"/>
          <w:szCs w:val="20"/>
        </w:rPr>
        <w:t xml:space="preserve"> </w:t>
      </w:r>
      <w:r w:rsidRPr="000977F7">
        <w:rPr>
          <w:rFonts w:asciiTheme="majorHAnsi" w:hAnsiTheme="majorHAnsi"/>
          <w:sz w:val="20"/>
          <w:szCs w:val="20"/>
        </w:rPr>
        <w:t>порядку</w:t>
      </w:r>
    </w:p>
    <w:p w14:paraId="32E604D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D5547D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ПРОТОКОЛ ВИПРОБУВАНЬ АКРЕДИТОВАНОЇ</w:t>
      </w:r>
      <w:r w:rsidRPr="000977F7">
        <w:rPr>
          <w:color w:val="auto"/>
          <w:spacing w:val="-47"/>
          <w:sz w:val="20"/>
          <w:szCs w:val="20"/>
        </w:rPr>
        <w:t xml:space="preserve"> </w:t>
      </w:r>
      <w:r w:rsidRPr="000977F7">
        <w:rPr>
          <w:color w:val="auto"/>
          <w:sz w:val="20"/>
          <w:szCs w:val="20"/>
        </w:rPr>
        <w:t>ЛАБОРАТОРІЇ</w:t>
      </w:r>
      <w:r w:rsidRPr="000977F7">
        <w:rPr>
          <w:color w:val="auto"/>
          <w:spacing w:val="-1"/>
          <w:sz w:val="20"/>
          <w:szCs w:val="20"/>
        </w:rPr>
        <w:t xml:space="preserve"> </w:t>
      </w:r>
      <w:r w:rsidRPr="000977F7">
        <w:rPr>
          <w:color w:val="auto"/>
          <w:sz w:val="20"/>
          <w:szCs w:val="20"/>
        </w:rPr>
        <w:t>–</w:t>
      </w:r>
    </w:p>
    <w:p w14:paraId="0BB297E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ACCREDITED</w:t>
      </w:r>
      <w:r w:rsidRPr="004D2D14">
        <w:rPr>
          <w:rFonts w:asciiTheme="majorHAnsi" w:hAnsiTheme="majorHAnsi"/>
          <w:spacing w:val="-3"/>
          <w:sz w:val="20"/>
          <w:szCs w:val="20"/>
          <w:lang w:val="uk-UA"/>
        </w:rPr>
        <w:t xml:space="preserve"> </w:t>
      </w:r>
      <w:r w:rsidRPr="000977F7">
        <w:rPr>
          <w:rFonts w:asciiTheme="majorHAnsi" w:hAnsiTheme="majorHAnsi"/>
          <w:sz w:val="20"/>
          <w:szCs w:val="20"/>
        </w:rPr>
        <w:t>LABORATORY</w:t>
      </w:r>
      <w:r w:rsidRPr="004D2D14">
        <w:rPr>
          <w:rFonts w:asciiTheme="majorHAnsi" w:hAnsiTheme="majorHAnsi"/>
          <w:spacing w:val="-3"/>
          <w:sz w:val="20"/>
          <w:szCs w:val="20"/>
          <w:lang w:val="uk-UA"/>
        </w:rPr>
        <w:t xml:space="preserve"> </w:t>
      </w:r>
      <w:r w:rsidRPr="000977F7">
        <w:rPr>
          <w:rFonts w:asciiTheme="majorHAnsi" w:hAnsiTheme="majorHAnsi"/>
          <w:sz w:val="20"/>
          <w:szCs w:val="20"/>
        </w:rPr>
        <w:t>TEST</w:t>
      </w:r>
      <w:r w:rsidRPr="004D2D14">
        <w:rPr>
          <w:rFonts w:asciiTheme="majorHAnsi" w:hAnsiTheme="majorHAnsi"/>
          <w:spacing w:val="-1"/>
          <w:sz w:val="20"/>
          <w:szCs w:val="20"/>
          <w:lang w:val="uk-UA"/>
        </w:rPr>
        <w:t xml:space="preserve"> </w:t>
      </w:r>
      <w:r w:rsidRPr="000977F7">
        <w:rPr>
          <w:rFonts w:asciiTheme="majorHAnsi" w:hAnsiTheme="majorHAnsi"/>
          <w:sz w:val="20"/>
          <w:szCs w:val="20"/>
        </w:rPr>
        <w:t>REPORT</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5D79DEE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Протокол випробувань, який містить заяву випробувальної лабораторії про те, що вона є акредитованою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проведення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згаданого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випробування,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випробування було проведено відповідно до умов, установлених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органом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 акредитації</w:t>
      </w:r>
    </w:p>
    <w:p w14:paraId="2769B61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0"/>
          <w:sz w:val="20"/>
          <w:szCs w:val="20"/>
        </w:rPr>
        <w:t xml:space="preserve"> </w:t>
      </w:r>
      <w:r w:rsidRPr="000977F7">
        <w:rPr>
          <w:rFonts w:asciiTheme="majorHAnsi" w:hAnsiTheme="majorHAnsi"/>
          <w:i/>
          <w:sz w:val="20"/>
          <w:szCs w:val="20"/>
        </w:rPr>
        <w:t>3021</w:t>
      </w:r>
      <w:r w:rsidRPr="000977F7">
        <w:rPr>
          <w:rFonts w:asciiTheme="majorHAnsi" w:hAnsiTheme="majorHAnsi"/>
          <w:i/>
          <w:spacing w:val="-9"/>
          <w:sz w:val="20"/>
          <w:szCs w:val="20"/>
        </w:rPr>
        <w:t xml:space="preserve"> </w:t>
      </w:r>
      <w:r w:rsidRPr="000977F7">
        <w:rPr>
          <w:rFonts w:asciiTheme="majorHAnsi" w:hAnsiTheme="majorHAnsi"/>
          <w:i/>
          <w:sz w:val="20"/>
          <w:szCs w:val="20"/>
        </w:rPr>
        <w:t>–</w:t>
      </w:r>
      <w:r w:rsidRPr="000977F7">
        <w:rPr>
          <w:rFonts w:asciiTheme="majorHAnsi" w:hAnsiTheme="majorHAnsi"/>
          <w:i/>
          <w:spacing w:val="-9"/>
          <w:sz w:val="20"/>
          <w:szCs w:val="20"/>
        </w:rPr>
        <w:t xml:space="preserve"> </w:t>
      </w:r>
      <w:r w:rsidRPr="000977F7">
        <w:rPr>
          <w:rFonts w:asciiTheme="majorHAnsi" w:hAnsiTheme="majorHAnsi"/>
          <w:i/>
          <w:sz w:val="20"/>
          <w:szCs w:val="20"/>
        </w:rPr>
        <w:t>95</w:t>
      </w:r>
    </w:p>
    <w:p w14:paraId="1D7B463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ПРОФЕСІЙНА</w:t>
      </w:r>
      <w:r w:rsidRPr="000977F7">
        <w:rPr>
          <w:color w:val="auto"/>
          <w:spacing w:val="-5"/>
          <w:sz w:val="20"/>
          <w:szCs w:val="20"/>
        </w:rPr>
        <w:t xml:space="preserve"> </w:t>
      </w:r>
      <w:r w:rsidRPr="000977F7">
        <w:rPr>
          <w:color w:val="auto"/>
          <w:sz w:val="20"/>
          <w:szCs w:val="20"/>
        </w:rPr>
        <w:t>ЗАХВОРЮВАНІСТЬ</w:t>
      </w:r>
      <w:r w:rsidRPr="000977F7">
        <w:rPr>
          <w:color w:val="auto"/>
          <w:spacing w:val="-4"/>
          <w:sz w:val="20"/>
          <w:szCs w:val="20"/>
        </w:rPr>
        <w:t xml:space="preserve"> </w:t>
      </w:r>
      <w:r w:rsidRPr="000977F7">
        <w:rPr>
          <w:color w:val="auto"/>
          <w:sz w:val="20"/>
          <w:szCs w:val="20"/>
        </w:rPr>
        <w:t>—</w:t>
      </w:r>
    </w:p>
    <w:p w14:paraId="1D420F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Явище, яке характеризується сукупністю професійних</w:t>
      </w:r>
      <w:r w:rsidRPr="000977F7">
        <w:rPr>
          <w:rFonts w:asciiTheme="majorHAnsi" w:hAnsiTheme="majorHAnsi"/>
          <w:spacing w:val="-47"/>
          <w:sz w:val="20"/>
          <w:szCs w:val="20"/>
        </w:rPr>
        <w:t xml:space="preserve"> </w:t>
      </w:r>
      <w:r w:rsidRPr="000977F7">
        <w:rPr>
          <w:rFonts w:asciiTheme="majorHAnsi" w:hAnsiTheme="majorHAnsi"/>
          <w:sz w:val="20"/>
          <w:szCs w:val="20"/>
        </w:rPr>
        <w:t>захворювань</w:t>
      </w:r>
    </w:p>
    <w:p w14:paraId="0A694C9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2293:2014;</w:t>
      </w:r>
      <w:r w:rsidRPr="000977F7">
        <w:rPr>
          <w:rFonts w:asciiTheme="majorHAnsi" w:hAnsiTheme="majorHAnsi"/>
          <w:i/>
          <w:spacing w:val="-3"/>
          <w:sz w:val="20"/>
          <w:szCs w:val="20"/>
        </w:rPr>
        <w:t xml:space="preserve"> </w:t>
      </w: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3038 - 95</w:t>
      </w:r>
    </w:p>
    <w:p w14:paraId="04ACFD4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ПРОФЕСІЙНА</w:t>
      </w:r>
      <w:r w:rsidRPr="000977F7">
        <w:rPr>
          <w:color w:val="auto"/>
          <w:spacing w:val="-5"/>
          <w:sz w:val="20"/>
          <w:szCs w:val="20"/>
        </w:rPr>
        <w:t xml:space="preserve"> </w:t>
      </w:r>
      <w:r w:rsidRPr="000977F7">
        <w:rPr>
          <w:color w:val="auto"/>
          <w:sz w:val="20"/>
          <w:szCs w:val="20"/>
        </w:rPr>
        <w:t>ПРАЦЕЗДАТНІСТЬ</w:t>
      </w:r>
      <w:r w:rsidRPr="000977F7">
        <w:rPr>
          <w:color w:val="auto"/>
          <w:spacing w:val="-4"/>
          <w:sz w:val="20"/>
          <w:szCs w:val="20"/>
        </w:rPr>
        <w:t xml:space="preserve"> </w:t>
      </w:r>
      <w:r w:rsidRPr="000977F7">
        <w:rPr>
          <w:color w:val="auto"/>
          <w:sz w:val="20"/>
          <w:szCs w:val="20"/>
        </w:rPr>
        <w:t>—</w:t>
      </w:r>
    </w:p>
    <w:p w14:paraId="7B7C4E6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Потенційна здатність людини виконувати конкретну</w:t>
      </w:r>
      <w:r w:rsidRPr="000977F7">
        <w:rPr>
          <w:rFonts w:asciiTheme="majorHAnsi" w:hAnsiTheme="majorHAnsi"/>
          <w:spacing w:val="1"/>
          <w:sz w:val="20"/>
          <w:szCs w:val="20"/>
        </w:rPr>
        <w:t xml:space="preserve"> </w:t>
      </w:r>
      <w:r w:rsidRPr="000977F7">
        <w:rPr>
          <w:rFonts w:asciiTheme="majorHAnsi" w:hAnsiTheme="majorHAnsi"/>
          <w:sz w:val="20"/>
          <w:szCs w:val="20"/>
        </w:rPr>
        <w:t>роботу протягом її працездатного віку із забезпеченням</w:t>
      </w:r>
      <w:r w:rsidRPr="000977F7">
        <w:rPr>
          <w:rFonts w:asciiTheme="majorHAnsi" w:hAnsiTheme="majorHAnsi"/>
          <w:spacing w:val="-1"/>
          <w:sz w:val="20"/>
          <w:szCs w:val="20"/>
        </w:rPr>
        <w:t xml:space="preserve"> </w:t>
      </w:r>
      <w:r w:rsidRPr="000977F7">
        <w:rPr>
          <w:rFonts w:asciiTheme="majorHAnsi" w:hAnsiTheme="majorHAnsi"/>
          <w:sz w:val="20"/>
          <w:szCs w:val="20"/>
        </w:rPr>
        <w:t>оптимального робочого</w:t>
      </w:r>
      <w:r w:rsidRPr="000977F7">
        <w:rPr>
          <w:rFonts w:asciiTheme="majorHAnsi" w:hAnsiTheme="majorHAnsi"/>
          <w:spacing w:val="-3"/>
          <w:sz w:val="20"/>
          <w:szCs w:val="20"/>
        </w:rPr>
        <w:t xml:space="preserve"> </w:t>
      </w:r>
      <w:r w:rsidRPr="000977F7">
        <w:rPr>
          <w:rFonts w:asciiTheme="majorHAnsi" w:hAnsiTheme="majorHAnsi"/>
          <w:sz w:val="20"/>
          <w:szCs w:val="20"/>
        </w:rPr>
        <w:t>напруження</w:t>
      </w:r>
    </w:p>
    <w:p w14:paraId="6AD88A3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3038</w:t>
      </w:r>
      <w:r w:rsidRPr="000977F7">
        <w:rPr>
          <w:rFonts w:asciiTheme="majorHAnsi" w:hAnsiTheme="majorHAnsi"/>
          <w: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i/>
          <w:sz w:val="20"/>
          <w:szCs w:val="20"/>
        </w:rPr>
        <w:t>95</w:t>
      </w:r>
    </w:p>
    <w:p w14:paraId="103ABD2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ПРОФЕСІЙНЕ</w:t>
      </w:r>
      <w:r w:rsidRPr="000977F7">
        <w:rPr>
          <w:color w:val="auto"/>
          <w:spacing w:val="-6"/>
          <w:sz w:val="20"/>
          <w:szCs w:val="20"/>
        </w:rPr>
        <w:t xml:space="preserve"> </w:t>
      </w:r>
      <w:r w:rsidRPr="000977F7">
        <w:rPr>
          <w:color w:val="auto"/>
          <w:sz w:val="20"/>
          <w:szCs w:val="20"/>
        </w:rPr>
        <w:t>ЗАХВОРЮВАННЯ</w:t>
      </w:r>
      <w:r w:rsidRPr="000977F7">
        <w:rPr>
          <w:color w:val="auto"/>
          <w:spacing w:val="-3"/>
          <w:sz w:val="20"/>
          <w:szCs w:val="20"/>
        </w:rPr>
        <w:t xml:space="preserve"> </w:t>
      </w:r>
      <w:r w:rsidRPr="000977F7">
        <w:rPr>
          <w:color w:val="auto"/>
          <w:sz w:val="20"/>
          <w:szCs w:val="20"/>
        </w:rPr>
        <w:t>–</w:t>
      </w:r>
    </w:p>
    <w:p w14:paraId="3876D63C"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Патологічний стан людини, обумовлений роботою і</w:t>
      </w:r>
      <w:r w:rsidRPr="000977F7">
        <w:rPr>
          <w:rFonts w:asciiTheme="majorHAnsi" w:hAnsiTheme="majorHAnsi"/>
          <w:spacing w:val="1"/>
          <w:sz w:val="20"/>
          <w:szCs w:val="20"/>
        </w:rPr>
        <w:t xml:space="preserve"> </w:t>
      </w:r>
      <w:r w:rsidRPr="000977F7">
        <w:rPr>
          <w:rFonts w:asciiTheme="majorHAnsi" w:hAnsiTheme="majorHAnsi"/>
          <w:sz w:val="20"/>
          <w:szCs w:val="20"/>
        </w:rPr>
        <w:t>пов'язаний з надмірним напруженням організму або</w:t>
      </w:r>
      <w:r w:rsidRPr="000977F7">
        <w:rPr>
          <w:rFonts w:asciiTheme="majorHAnsi" w:hAnsiTheme="majorHAnsi"/>
          <w:spacing w:val="1"/>
          <w:sz w:val="20"/>
          <w:szCs w:val="20"/>
        </w:rPr>
        <w:t xml:space="preserve"> </w:t>
      </w:r>
      <w:r w:rsidRPr="000977F7">
        <w:rPr>
          <w:rFonts w:asciiTheme="majorHAnsi" w:hAnsiTheme="majorHAnsi"/>
          <w:sz w:val="20"/>
          <w:szCs w:val="20"/>
        </w:rPr>
        <w:t>несприятливою дією шкідливих виробничих чинників</w:t>
      </w:r>
      <w:r w:rsidRPr="000977F7">
        <w:rPr>
          <w:rFonts w:asciiTheme="majorHAnsi" w:hAnsiTheme="majorHAnsi"/>
          <w:spacing w:val="-47"/>
          <w:sz w:val="20"/>
          <w:szCs w:val="20"/>
        </w:rPr>
        <w:t xml:space="preserve"> </w:t>
      </w:r>
    </w:p>
    <w:p w14:paraId="42059290"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ДСТУ2293:2014; ДСТУ 3038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AD4853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ПРОФІЛАКТИЧНЕ ТЕХНІЧНЕ </w:t>
      </w:r>
    </w:p>
    <w:p w14:paraId="76066B5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ОБСЛУГОВУ</w:t>
      </w:r>
      <w:r w:rsidRPr="000977F7">
        <w:rPr>
          <w:color w:val="auto"/>
          <w:spacing w:val="-47"/>
          <w:sz w:val="20"/>
          <w:szCs w:val="20"/>
        </w:rPr>
        <w:t xml:space="preserve"> </w:t>
      </w:r>
      <w:r w:rsidRPr="000977F7">
        <w:rPr>
          <w:color w:val="auto"/>
          <w:sz w:val="20"/>
          <w:szCs w:val="20"/>
        </w:rPr>
        <w:t>ВАННЯ –</w:t>
      </w:r>
    </w:p>
    <w:p w14:paraId="6F50A77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PREVENTIVE</w:t>
      </w:r>
      <w:r w:rsidRPr="000977F7">
        <w:rPr>
          <w:rFonts w:asciiTheme="majorHAnsi" w:hAnsiTheme="majorHAnsi"/>
          <w:spacing w:val="-4"/>
          <w:sz w:val="20"/>
          <w:szCs w:val="20"/>
        </w:rPr>
        <w:t xml:space="preserve"> </w:t>
      </w:r>
      <w:r w:rsidRPr="000977F7">
        <w:rPr>
          <w:rFonts w:asciiTheme="majorHAnsi" w:hAnsiTheme="majorHAnsi"/>
          <w:sz w:val="20"/>
          <w:szCs w:val="20"/>
        </w:rPr>
        <w:t>MAINTENANCE –</w:t>
      </w:r>
    </w:p>
    <w:p w14:paraId="04358FB9"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sz w:val="20"/>
          <w:szCs w:val="20"/>
        </w:rPr>
        <w:t>Обслуговування,</w:t>
      </w:r>
      <w:r w:rsidRPr="000977F7">
        <w:rPr>
          <w:rFonts w:asciiTheme="majorHAnsi" w:hAnsiTheme="majorHAnsi"/>
          <w:spacing w:val="21"/>
          <w:sz w:val="20"/>
          <w:szCs w:val="20"/>
        </w:rPr>
        <w:t xml:space="preserve"> </w:t>
      </w:r>
      <w:r w:rsidRPr="000977F7">
        <w:rPr>
          <w:rFonts w:asciiTheme="majorHAnsi" w:hAnsiTheme="majorHAnsi"/>
          <w:sz w:val="20"/>
          <w:szCs w:val="20"/>
        </w:rPr>
        <w:t>яке</w:t>
      </w:r>
      <w:r w:rsidRPr="000977F7">
        <w:rPr>
          <w:rFonts w:asciiTheme="majorHAnsi" w:hAnsiTheme="majorHAnsi"/>
          <w:spacing w:val="22"/>
          <w:sz w:val="20"/>
          <w:szCs w:val="20"/>
        </w:rPr>
        <w:t xml:space="preserve"> </w:t>
      </w:r>
      <w:r w:rsidRPr="000977F7">
        <w:rPr>
          <w:rFonts w:asciiTheme="majorHAnsi" w:hAnsiTheme="majorHAnsi"/>
          <w:sz w:val="20"/>
          <w:szCs w:val="20"/>
        </w:rPr>
        <w:t>проводиться</w:t>
      </w:r>
      <w:r w:rsidRPr="000977F7">
        <w:rPr>
          <w:rFonts w:asciiTheme="majorHAnsi" w:hAnsiTheme="majorHAnsi"/>
          <w:spacing w:val="22"/>
          <w:sz w:val="20"/>
          <w:szCs w:val="20"/>
        </w:rPr>
        <w:t xml:space="preserve"> </w:t>
      </w:r>
      <w:r w:rsidRPr="000977F7">
        <w:rPr>
          <w:rFonts w:asciiTheme="majorHAnsi" w:hAnsiTheme="majorHAnsi"/>
          <w:sz w:val="20"/>
          <w:szCs w:val="20"/>
        </w:rPr>
        <w:t>спеціально</w:t>
      </w:r>
      <w:r w:rsidRPr="000977F7">
        <w:rPr>
          <w:rFonts w:asciiTheme="majorHAnsi" w:hAnsiTheme="majorHAnsi"/>
          <w:spacing w:val="22"/>
          <w:sz w:val="20"/>
          <w:szCs w:val="20"/>
        </w:rPr>
        <w:t xml:space="preserve"> </w:t>
      </w:r>
      <w:r w:rsidRPr="000977F7">
        <w:rPr>
          <w:rFonts w:asciiTheme="majorHAnsi" w:hAnsiTheme="majorHAnsi"/>
          <w:sz w:val="20"/>
          <w:szCs w:val="20"/>
        </w:rPr>
        <w:t>для</w:t>
      </w:r>
      <w:r w:rsidRPr="000977F7">
        <w:rPr>
          <w:rFonts w:asciiTheme="majorHAnsi" w:hAnsiTheme="majorHAnsi"/>
          <w:spacing w:val="22"/>
          <w:sz w:val="20"/>
          <w:szCs w:val="20"/>
        </w:rPr>
        <w:t xml:space="preserve"> </w:t>
      </w:r>
      <w:r w:rsidRPr="000977F7">
        <w:rPr>
          <w:rFonts w:asciiTheme="majorHAnsi" w:hAnsiTheme="majorHAnsi"/>
          <w:sz w:val="20"/>
          <w:szCs w:val="20"/>
        </w:rPr>
        <w:t>попередження відмов функційного модуля (системи)</w:t>
      </w:r>
      <w:r w:rsidRPr="000977F7">
        <w:rPr>
          <w:rFonts w:asciiTheme="majorHAnsi" w:hAnsiTheme="majorHAnsi"/>
          <w:spacing w:val="1"/>
          <w:sz w:val="20"/>
          <w:szCs w:val="20"/>
        </w:rPr>
        <w:t xml:space="preserve"> </w:t>
      </w:r>
    </w:p>
    <w:p w14:paraId="15D759B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ISO/IEC</w:t>
      </w:r>
      <w:r w:rsidRPr="000977F7">
        <w:rPr>
          <w:rFonts w:asciiTheme="majorHAnsi" w:hAnsiTheme="majorHAnsi"/>
          <w:i/>
          <w:spacing w:val="-1"/>
          <w:sz w:val="20"/>
          <w:szCs w:val="20"/>
        </w:rPr>
        <w:t xml:space="preserve"> </w:t>
      </w:r>
      <w:r w:rsidRPr="000977F7">
        <w:rPr>
          <w:rFonts w:asciiTheme="majorHAnsi" w:hAnsiTheme="majorHAnsi"/>
          <w:i/>
          <w:sz w:val="20"/>
          <w:szCs w:val="20"/>
        </w:rPr>
        <w:t>2382:2017</w:t>
      </w:r>
    </w:p>
    <w:p w14:paraId="0198989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Технічне</w:t>
      </w:r>
      <w:r w:rsidRPr="000977F7">
        <w:rPr>
          <w:rFonts w:asciiTheme="majorHAnsi" w:hAnsiTheme="majorHAnsi"/>
          <w:spacing w:val="4"/>
          <w:sz w:val="20"/>
          <w:szCs w:val="20"/>
        </w:rPr>
        <w:t xml:space="preserve"> </w:t>
      </w:r>
      <w:r w:rsidRPr="000977F7">
        <w:rPr>
          <w:rFonts w:asciiTheme="majorHAnsi" w:hAnsiTheme="majorHAnsi"/>
          <w:sz w:val="20"/>
          <w:szCs w:val="20"/>
        </w:rPr>
        <w:t>обслуговування,</w:t>
      </w:r>
      <w:r w:rsidRPr="000977F7">
        <w:rPr>
          <w:rFonts w:asciiTheme="majorHAnsi" w:hAnsiTheme="majorHAnsi"/>
          <w:spacing w:val="6"/>
          <w:sz w:val="20"/>
          <w:szCs w:val="20"/>
        </w:rPr>
        <w:t xml:space="preserve"> </w:t>
      </w:r>
      <w:r w:rsidRPr="000977F7">
        <w:rPr>
          <w:rFonts w:asciiTheme="majorHAnsi" w:hAnsiTheme="majorHAnsi"/>
          <w:sz w:val="20"/>
          <w:szCs w:val="20"/>
        </w:rPr>
        <w:t>виконане</w:t>
      </w:r>
      <w:r w:rsidRPr="000977F7">
        <w:rPr>
          <w:rFonts w:asciiTheme="majorHAnsi" w:hAnsiTheme="majorHAnsi"/>
          <w:spacing w:val="6"/>
          <w:sz w:val="20"/>
          <w:szCs w:val="20"/>
        </w:rPr>
        <w:t xml:space="preserve"> </w:t>
      </w:r>
      <w:r w:rsidRPr="000977F7">
        <w:rPr>
          <w:rFonts w:asciiTheme="majorHAnsi" w:hAnsiTheme="majorHAnsi"/>
          <w:sz w:val="20"/>
          <w:szCs w:val="20"/>
        </w:rPr>
        <w:t>через</w:t>
      </w:r>
      <w:r w:rsidRPr="000977F7">
        <w:rPr>
          <w:rFonts w:asciiTheme="majorHAnsi" w:hAnsiTheme="majorHAnsi"/>
          <w:spacing w:val="6"/>
          <w:sz w:val="20"/>
          <w:szCs w:val="20"/>
        </w:rPr>
        <w:t xml:space="preserve"> </w:t>
      </w:r>
      <w:r w:rsidRPr="000977F7">
        <w:rPr>
          <w:rFonts w:asciiTheme="majorHAnsi" w:hAnsiTheme="majorHAnsi"/>
          <w:sz w:val="20"/>
          <w:szCs w:val="20"/>
        </w:rPr>
        <w:t>встановлені</w:t>
      </w:r>
      <w:r w:rsidRPr="000977F7">
        <w:rPr>
          <w:rFonts w:asciiTheme="majorHAnsi" w:hAnsiTheme="majorHAnsi"/>
          <w:spacing w:val="-47"/>
          <w:sz w:val="20"/>
          <w:szCs w:val="20"/>
        </w:rPr>
        <w:t xml:space="preserve"> </w:t>
      </w:r>
      <w:r w:rsidRPr="000977F7">
        <w:rPr>
          <w:rFonts w:asciiTheme="majorHAnsi" w:hAnsiTheme="majorHAnsi"/>
          <w:sz w:val="20"/>
          <w:szCs w:val="20"/>
        </w:rPr>
        <w:t>інтервали</w:t>
      </w:r>
      <w:r w:rsidRPr="000977F7">
        <w:rPr>
          <w:rFonts w:asciiTheme="majorHAnsi" w:hAnsiTheme="majorHAnsi"/>
          <w:spacing w:val="5"/>
          <w:sz w:val="20"/>
          <w:szCs w:val="20"/>
        </w:rPr>
        <w:t xml:space="preserve"> </w:t>
      </w:r>
      <w:r w:rsidRPr="000977F7">
        <w:rPr>
          <w:rFonts w:asciiTheme="majorHAnsi" w:hAnsiTheme="majorHAnsi"/>
          <w:sz w:val="20"/>
          <w:szCs w:val="20"/>
        </w:rPr>
        <w:t>або</w:t>
      </w:r>
      <w:r w:rsidRPr="000977F7">
        <w:rPr>
          <w:rFonts w:asciiTheme="majorHAnsi" w:hAnsiTheme="majorHAnsi"/>
          <w:spacing w:val="9"/>
          <w:sz w:val="20"/>
          <w:szCs w:val="20"/>
        </w:rPr>
        <w:t xml:space="preserve"> </w:t>
      </w:r>
      <w:r w:rsidRPr="000977F7">
        <w:rPr>
          <w:rFonts w:asciiTheme="majorHAnsi" w:hAnsiTheme="majorHAnsi"/>
          <w:sz w:val="20"/>
          <w:szCs w:val="20"/>
        </w:rPr>
        <w:t>у</w:t>
      </w:r>
      <w:r w:rsidRPr="000977F7">
        <w:rPr>
          <w:rFonts w:asciiTheme="majorHAnsi" w:hAnsiTheme="majorHAnsi"/>
          <w:spacing w:val="3"/>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6"/>
          <w:sz w:val="20"/>
          <w:szCs w:val="20"/>
        </w:rPr>
        <w:t xml:space="preserve"> </w:t>
      </w:r>
      <w:r w:rsidRPr="000977F7">
        <w:rPr>
          <w:rFonts w:asciiTheme="majorHAnsi" w:hAnsiTheme="majorHAnsi"/>
          <w:sz w:val="20"/>
          <w:szCs w:val="20"/>
        </w:rPr>
        <w:t>із</w:t>
      </w:r>
      <w:r w:rsidRPr="000977F7">
        <w:rPr>
          <w:rFonts w:asciiTheme="majorHAnsi" w:hAnsiTheme="majorHAnsi"/>
          <w:spacing w:val="7"/>
          <w:sz w:val="20"/>
          <w:szCs w:val="20"/>
        </w:rPr>
        <w:t xml:space="preserve"> </w:t>
      </w:r>
      <w:r w:rsidRPr="000977F7">
        <w:rPr>
          <w:rFonts w:asciiTheme="majorHAnsi" w:hAnsiTheme="majorHAnsi"/>
          <w:sz w:val="20"/>
          <w:szCs w:val="20"/>
        </w:rPr>
        <w:t>заданими</w:t>
      </w:r>
      <w:r w:rsidRPr="000977F7">
        <w:rPr>
          <w:rFonts w:asciiTheme="majorHAnsi" w:hAnsiTheme="majorHAnsi"/>
          <w:spacing w:val="9"/>
          <w:sz w:val="20"/>
          <w:szCs w:val="20"/>
        </w:rPr>
        <w:t xml:space="preserve"> </w:t>
      </w:r>
      <w:r w:rsidRPr="000977F7">
        <w:rPr>
          <w:rFonts w:asciiTheme="majorHAnsi" w:hAnsiTheme="majorHAnsi"/>
          <w:sz w:val="20"/>
          <w:szCs w:val="20"/>
        </w:rPr>
        <w:t>критеріями,</w:t>
      </w:r>
      <w:r w:rsidRPr="000977F7">
        <w:rPr>
          <w:rFonts w:asciiTheme="majorHAnsi" w:hAnsiTheme="majorHAnsi"/>
          <w:spacing w:val="-47"/>
          <w:sz w:val="20"/>
          <w:szCs w:val="20"/>
        </w:rPr>
        <w:t xml:space="preserve"> </w:t>
      </w:r>
      <w:r w:rsidRPr="000977F7">
        <w:rPr>
          <w:rFonts w:asciiTheme="majorHAnsi" w:hAnsiTheme="majorHAnsi"/>
          <w:sz w:val="20"/>
          <w:szCs w:val="20"/>
        </w:rPr>
        <w:t>з</w:t>
      </w:r>
      <w:r w:rsidRPr="000977F7">
        <w:rPr>
          <w:rFonts w:asciiTheme="majorHAnsi" w:hAnsiTheme="majorHAnsi"/>
          <w:spacing w:val="4"/>
          <w:sz w:val="20"/>
          <w:szCs w:val="20"/>
        </w:rPr>
        <w:t xml:space="preserve"> </w:t>
      </w:r>
      <w:r w:rsidRPr="000977F7">
        <w:rPr>
          <w:rFonts w:asciiTheme="majorHAnsi" w:hAnsiTheme="majorHAnsi"/>
          <w:sz w:val="20"/>
          <w:szCs w:val="20"/>
        </w:rPr>
        <w:t>метою</w:t>
      </w:r>
      <w:r w:rsidRPr="000977F7">
        <w:rPr>
          <w:rFonts w:asciiTheme="majorHAnsi" w:hAnsiTheme="majorHAnsi"/>
          <w:spacing w:val="5"/>
          <w:sz w:val="20"/>
          <w:szCs w:val="20"/>
        </w:rPr>
        <w:t xml:space="preserve"> </w:t>
      </w:r>
      <w:r w:rsidRPr="000977F7">
        <w:rPr>
          <w:rFonts w:asciiTheme="majorHAnsi" w:hAnsiTheme="majorHAnsi"/>
          <w:sz w:val="20"/>
          <w:szCs w:val="20"/>
        </w:rPr>
        <w:t>знизити</w:t>
      </w:r>
      <w:r w:rsidRPr="000977F7">
        <w:rPr>
          <w:rFonts w:asciiTheme="majorHAnsi" w:hAnsiTheme="majorHAnsi"/>
          <w:spacing w:val="4"/>
          <w:sz w:val="20"/>
          <w:szCs w:val="20"/>
        </w:rPr>
        <w:t xml:space="preserve"> </w:t>
      </w:r>
      <w:r w:rsidRPr="000977F7">
        <w:rPr>
          <w:rFonts w:asciiTheme="majorHAnsi" w:hAnsiTheme="majorHAnsi"/>
          <w:sz w:val="20"/>
          <w:szCs w:val="20"/>
        </w:rPr>
        <w:t>імовірність</w:t>
      </w:r>
      <w:r w:rsidRPr="000977F7">
        <w:rPr>
          <w:rFonts w:asciiTheme="majorHAnsi" w:hAnsiTheme="majorHAnsi"/>
          <w:spacing w:val="7"/>
          <w:sz w:val="20"/>
          <w:szCs w:val="20"/>
        </w:rPr>
        <w:t xml:space="preserve"> </w:t>
      </w:r>
      <w:r w:rsidRPr="000977F7">
        <w:rPr>
          <w:rFonts w:asciiTheme="majorHAnsi" w:hAnsiTheme="majorHAnsi"/>
          <w:sz w:val="20"/>
          <w:szCs w:val="20"/>
        </w:rPr>
        <w:t>відмови</w:t>
      </w:r>
      <w:r w:rsidRPr="000977F7">
        <w:rPr>
          <w:rFonts w:asciiTheme="majorHAnsi" w:hAnsiTheme="majorHAnsi"/>
          <w:spacing w:val="7"/>
          <w:sz w:val="20"/>
          <w:szCs w:val="20"/>
        </w:rPr>
        <w:t xml:space="preserve"> </w:t>
      </w:r>
      <w:r w:rsidRPr="000977F7">
        <w:rPr>
          <w:rFonts w:asciiTheme="majorHAnsi" w:hAnsiTheme="majorHAnsi"/>
          <w:sz w:val="20"/>
          <w:szCs w:val="20"/>
        </w:rPr>
        <w:t>виробу</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6"/>
          <w:sz w:val="20"/>
          <w:szCs w:val="20"/>
        </w:rPr>
        <w:t xml:space="preserve"> </w:t>
      </w:r>
      <w:r w:rsidRPr="000977F7">
        <w:rPr>
          <w:rFonts w:asciiTheme="majorHAnsi" w:hAnsiTheme="majorHAnsi"/>
          <w:sz w:val="20"/>
          <w:szCs w:val="20"/>
        </w:rPr>
        <w:t>запобігти погіршенню його експлуатаційних якостей</w:t>
      </w:r>
    </w:p>
    <w:p w14:paraId="5622C9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
          <w:sz w:val="20"/>
          <w:szCs w:val="20"/>
        </w:rPr>
        <w:t>ПРОФІЛАКТИЧНИЙ</w:t>
      </w:r>
      <w:r w:rsidRPr="000977F7">
        <w:rPr>
          <w:rFonts w:asciiTheme="majorHAnsi" w:hAnsiTheme="majorHAnsi"/>
          <w:b/>
          <w:spacing w:val="-1"/>
          <w:sz w:val="20"/>
          <w:szCs w:val="20"/>
        </w:rPr>
        <w:t xml:space="preserve"> </w:t>
      </w:r>
      <w:r w:rsidRPr="000977F7">
        <w:rPr>
          <w:rFonts w:asciiTheme="majorHAnsi" w:hAnsiTheme="majorHAnsi"/>
          <w:b/>
          <w:sz w:val="20"/>
          <w:szCs w:val="20"/>
        </w:rPr>
        <w:t>ПОТОЧНИЙ</w:t>
      </w:r>
      <w:r w:rsidRPr="000977F7">
        <w:rPr>
          <w:rFonts w:asciiTheme="majorHAnsi" w:hAnsiTheme="majorHAnsi"/>
          <w:b/>
          <w:spacing w:val="-1"/>
          <w:sz w:val="20"/>
          <w:szCs w:val="20"/>
        </w:rPr>
        <w:t xml:space="preserve"> </w:t>
      </w:r>
      <w:r w:rsidRPr="000977F7">
        <w:rPr>
          <w:rFonts w:asciiTheme="majorHAnsi" w:hAnsiTheme="majorHAnsi"/>
          <w:b/>
          <w:sz w:val="20"/>
          <w:szCs w:val="20"/>
        </w:rPr>
        <w:t>РЕМОНТ</w:t>
      </w:r>
      <w:r w:rsidRPr="000977F7">
        <w:rPr>
          <w:rFonts w:asciiTheme="majorHAnsi" w:hAnsiTheme="majorHAnsi"/>
          <w:b/>
          <w:spacing w:val="2"/>
          <w:sz w:val="20"/>
          <w:szCs w:val="20"/>
        </w:rPr>
        <w:t xml:space="preserve"> </w:t>
      </w:r>
      <w:r w:rsidRPr="000977F7">
        <w:rPr>
          <w:rFonts w:asciiTheme="majorHAnsi" w:hAnsiTheme="majorHAnsi"/>
          <w:b/>
          <w:sz w:val="20"/>
          <w:szCs w:val="20"/>
        </w:rPr>
        <w:t>–</w:t>
      </w:r>
      <w:r w:rsidRPr="000977F7">
        <w:rPr>
          <w:rFonts w:asciiTheme="majorHAnsi" w:hAnsiTheme="majorHAnsi"/>
          <w:sz w:val="20"/>
          <w:szCs w:val="20"/>
        </w:rPr>
        <w:t>PREVENTIVE</w:t>
      </w:r>
      <w:r w:rsidRPr="000977F7">
        <w:rPr>
          <w:rFonts w:asciiTheme="majorHAnsi" w:hAnsiTheme="majorHAnsi"/>
          <w:spacing w:val="-1"/>
          <w:sz w:val="20"/>
          <w:szCs w:val="20"/>
        </w:rPr>
        <w:t xml:space="preserve"> </w:t>
      </w:r>
      <w:r w:rsidRPr="000977F7">
        <w:rPr>
          <w:rFonts w:asciiTheme="majorHAnsi" w:hAnsiTheme="majorHAnsi"/>
          <w:sz w:val="20"/>
          <w:szCs w:val="20"/>
        </w:rPr>
        <w:t>MAINTENANCE</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0F86C1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Вид технічного обслуговування, спрямованого на попередження</w:t>
      </w:r>
      <w:r w:rsidRPr="000977F7">
        <w:rPr>
          <w:rFonts w:asciiTheme="majorHAnsi" w:hAnsiTheme="majorHAnsi"/>
          <w:spacing w:val="-2"/>
          <w:sz w:val="20"/>
          <w:szCs w:val="20"/>
        </w:rPr>
        <w:t xml:space="preserve"> </w:t>
      </w:r>
      <w:r w:rsidRPr="000977F7">
        <w:rPr>
          <w:rFonts w:asciiTheme="majorHAnsi" w:hAnsiTheme="majorHAnsi"/>
          <w:sz w:val="20"/>
          <w:szCs w:val="20"/>
        </w:rPr>
        <w:t>виникнення</w:t>
      </w:r>
      <w:r w:rsidRPr="000977F7">
        <w:rPr>
          <w:rFonts w:asciiTheme="majorHAnsi" w:hAnsiTheme="majorHAnsi"/>
          <w:spacing w:val="2"/>
          <w:sz w:val="20"/>
          <w:szCs w:val="20"/>
        </w:rPr>
        <w:t xml:space="preserve"> </w:t>
      </w:r>
      <w:r w:rsidRPr="000977F7">
        <w:rPr>
          <w:rFonts w:asciiTheme="majorHAnsi" w:hAnsiTheme="majorHAnsi"/>
          <w:sz w:val="20"/>
          <w:szCs w:val="20"/>
        </w:rPr>
        <w:t>дефектів</w:t>
      </w:r>
    </w:p>
    <w:p w14:paraId="3FC5938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ПРОФІЛАКТИЧНІ</w:t>
      </w:r>
      <w:r w:rsidRPr="000977F7">
        <w:rPr>
          <w:color w:val="auto"/>
          <w:spacing w:val="-7"/>
          <w:sz w:val="20"/>
          <w:szCs w:val="20"/>
        </w:rPr>
        <w:t xml:space="preserve"> </w:t>
      </w:r>
      <w:r w:rsidRPr="000977F7">
        <w:rPr>
          <w:color w:val="auto"/>
          <w:sz w:val="20"/>
          <w:szCs w:val="20"/>
        </w:rPr>
        <w:t>ЗАХОДИ</w:t>
      </w:r>
      <w:r w:rsidRPr="000977F7">
        <w:rPr>
          <w:color w:val="auto"/>
          <w:spacing w:val="-2"/>
          <w:sz w:val="20"/>
          <w:szCs w:val="20"/>
        </w:rPr>
        <w:t xml:space="preserve"> </w:t>
      </w:r>
      <w:r w:rsidRPr="000977F7">
        <w:rPr>
          <w:color w:val="auto"/>
          <w:sz w:val="20"/>
          <w:szCs w:val="20"/>
        </w:rPr>
        <w:t>–</w:t>
      </w:r>
    </w:p>
    <w:p w14:paraId="19B8F1B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організаційно-технічних, гігієнічних та лікувально-профілактичних</w:t>
      </w:r>
      <w:r w:rsidRPr="000977F7">
        <w:rPr>
          <w:rFonts w:asciiTheme="majorHAnsi" w:hAnsiTheme="majorHAnsi"/>
          <w:spacing w:val="1"/>
          <w:sz w:val="20"/>
          <w:szCs w:val="20"/>
        </w:rPr>
        <w:t xml:space="preserve"> </w:t>
      </w:r>
      <w:r w:rsidRPr="000977F7">
        <w:rPr>
          <w:rFonts w:asciiTheme="majorHAnsi" w:hAnsiTheme="majorHAnsi"/>
          <w:sz w:val="20"/>
          <w:szCs w:val="20"/>
        </w:rPr>
        <w:t>заходів,</w:t>
      </w:r>
      <w:r w:rsidRPr="000977F7">
        <w:rPr>
          <w:rFonts w:asciiTheme="majorHAnsi" w:hAnsiTheme="majorHAnsi"/>
          <w:spacing w:val="1"/>
          <w:sz w:val="20"/>
          <w:szCs w:val="20"/>
        </w:rPr>
        <w:t xml:space="preserve"> </w:t>
      </w:r>
      <w:r w:rsidRPr="000977F7">
        <w:rPr>
          <w:rFonts w:asciiTheme="majorHAnsi" w:hAnsiTheme="majorHAnsi"/>
          <w:sz w:val="20"/>
          <w:szCs w:val="20"/>
        </w:rPr>
        <w:t>спрямованих</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створення сприятливих умов праці для здоров'я працівників</w:t>
      </w:r>
    </w:p>
    <w:p w14:paraId="671DCD4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3038</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7D57ECE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ПРОЦЕДУРА</w:t>
      </w:r>
      <w:r w:rsidRPr="000977F7">
        <w:rPr>
          <w:color w:val="auto"/>
          <w:spacing w:val="-4"/>
          <w:sz w:val="20"/>
          <w:szCs w:val="20"/>
        </w:rPr>
        <w:t xml:space="preserve"> </w:t>
      </w:r>
      <w:r w:rsidRPr="000977F7">
        <w:rPr>
          <w:color w:val="auto"/>
          <w:sz w:val="20"/>
          <w:szCs w:val="20"/>
        </w:rPr>
        <w:t>ВИМІРЮВАННЯ</w:t>
      </w:r>
      <w:r w:rsidRPr="000977F7">
        <w:rPr>
          <w:color w:val="auto"/>
          <w:spacing w:val="-1"/>
          <w:sz w:val="20"/>
          <w:szCs w:val="20"/>
        </w:rPr>
        <w:t xml:space="preserve"> </w:t>
      </w:r>
      <w:r w:rsidRPr="000977F7">
        <w:rPr>
          <w:color w:val="auto"/>
          <w:sz w:val="20"/>
          <w:szCs w:val="20"/>
        </w:rPr>
        <w:t>–</w:t>
      </w:r>
    </w:p>
    <w:p w14:paraId="3129811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MEASUREMENT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PROCEDURE –</w:t>
      </w:r>
    </w:p>
    <w:p w14:paraId="204B0BC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Послідовність</w:t>
      </w:r>
      <w:r w:rsidRPr="004D2D14">
        <w:rPr>
          <w:rFonts w:asciiTheme="majorHAnsi" w:hAnsiTheme="majorHAnsi"/>
          <w:sz w:val="20"/>
          <w:szCs w:val="20"/>
          <w:lang w:val="en-US"/>
        </w:rPr>
        <w:t xml:space="preserve"> </w:t>
      </w:r>
      <w:r w:rsidRPr="000977F7">
        <w:rPr>
          <w:rFonts w:asciiTheme="majorHAnsi" w:hAnsiTheme="majorHAnsi"/>
          <w:sz w:val="20"/>
          <w:szCs w:val="20"/>
        </w:rPr>
        <w:t>вимірювальних</w:t>
      </w:r>
      <w:r w:rsidRPr="004D2D14">
        <w:rPr>
          <w:rFonts w:asciiTheme="majorHAnsi" w:hAnsiTheme="majorHAnsi"/>
          <w:sz w:val="20"/>
          <w:szCs w:val="20"/>
          <w:lang w:val="en-US"/>
        </w:rPr>
        <w:t xml:space="preserve"> </w:t>
      </w:r>
      <w:r w:rsidRPr="000977F7">
        <w:rPr>
          <w:rFonts w:asciiTheme="majorHAnsi" w:hAnsiTheme="majorHAnsi"/>
          <w:sz w:val="20"/>
          <w:szCs w:val="20"/>
        </w:rPr>
        <w:t>операцій</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забезпечує</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вимірювання</w:t>
      </w:r>
      <w:r w:rsidRPr="004D2D14">
        <w:rPr>
          <w:rFonts w:asciiTheme="majorHAnsi" w:hAnsiTheme="majorHAnsi"/>
          <w:spacing w:val="-2"/>
          <w:sz w:val="20"/>
          <w:szCs w:val="20"/>
          <w:lang w:val="en-US"/>
        </w:rPr>
        <w:t xml:space="preserve"> </w:t>
      </w:r>
      <w:r w:rsidRPr="000977F7">
        <w:rPr>
          <w:rFonts w:asciiTheme="majorHAnsi" w:hAnsiTheme="majorHAnsi"/>
          <w:sz w:val="20"/>
          <w:szCs w:val="20"/>
        </w:rPr>
        <w:t>згідно</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pacing w:val="-1"/>
          <w:sz w:val="20"/>
          <w:szCs w:val="20"/>
          <w:lang w:val="en-US"/>
        </w:rPr>
        <w:t xml:space="preserve"> </w:t>
      </w:r>
      <w:r w:rsidRPr="000977F7">
        <w:rPr>
          <w:rFonts w:asciiTheme="majorHAnsi" w:hAnsiTheme="majorHAnsi"/>
          <w:sz w:val="20"/>
          <w:szCs w:val="20"/>
        </w:rPr>
        <w:t>обраним</w:t>
      </w:r>
      <w:r w:rsidRPr="004D2D14">
        <w:rPr>
          <w:rFonts w:asciiTheme="majorHAnsi" w:hAnsiTheme="majorHAnsi"/>
          <w:sz w:val="20"/>
          <w:szCs w:val="20"/>
          <w:lang w:val="en-US"/>
        </w:rPr>
        <w:t xml:space="preserve"> </w:t>
      </w:r>
      <w:r w:rsidRPr="000977F7">
        <w:rPr>
          <w:rFonts w:asciiTheme="majorHAnsi" w:hAnsiTheme="majorHAnsi"/>
          <w:sz w:val="20"/>
          <w:szCs w:val="20"/>
        </w:rPr>
        <w:t>методом</w:t>
      </w:r>
    </w:p>
    <w:p w14:paraId="7A0FADC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689A47F"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shd w:val="clear" w:color="auto" w:fill="FFFFFF"/>
        </w:rPr>
      </w:pPr>
      <w:r w:rsidRPr="000977F7">
        <w:rPr>
          <w:rFonts w:asciiTheme="majorHAnsi" w:hAnsiTheme="majorHAnsi"/>
          <w:b/>
          <w:bCs/>
          <w:sz w:val="20"/>
          <w:szCs w:val="20"/>
          <w:shd w:val="clear" w:color="auto" w:fill="FFFFFF"/>
        </w:rPr>
        <w:t>ПРОЦЕДУРА ОЦІНКИ ВІДПОВІДНОСТІ –</w:t>
      </w:r>
    </w:p>
    <w:p w14:paraId="29787E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Будь-яка процедура, яка безпосередньо чи опосередковано використовується для визначення того, що задані вимоги виконуються</w:t>
      </w:r>
    </w:p>
    <w:p w14:paraId="0EA5FA3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bookmarkStart w:id="233" w:name="_Hlk103186897"/>
      <w:r w:rsidRPr="000977F7">
        <w:rPr>
          <w:rFonts w:asciiTheme="majorHAnsi" w:hAnsiTheme="majorHAnsi"/>
          <w:i/>
          <w:sz w:val="20"/>
          <w:szCs w:val="20"/>
        </w:rPr>
        <w:t>Ст. 1 закону України "Про технічні регламенти та оцінку відповідності"</w:t>
      </w:r>
    </w:p>
    <w:bookmarkEnd w:id="233"/>
    <w:p w14:paraId="107D8F4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ПРОЦЕДУРИ</w:t>
      </w:r>
      <w:r w:rsidRPr="000977F7">
        <w:rPr>
          <w:color w:val="auto"/>
          <w:spacing w:val="-3"/>
          <w:sz w:val="20"/>
          <w:szCs w:val="20"/>
        </w:rPr>
        <w:t xml:space="preserve"> </w:t>
      </w:r>
      <w:r w:rsidRPr="000977F7">
        <w:rPr>
          <w:color w:val="auto"/>
          <w:sz w:val="20"/>
          <w:szCs w:val="20"/>
        </w:rPr>
        <w:t>СИСТЕМИ</w:t>
      </w:r>
      <w:r w:rsidRPr="000977F7">
        <w:rPr>
          <w:color w:val="auto"/>
          <w:spacing w:val="-1"/>
          <w:sz w:val="20"/>
          <w:szCs w:val="20"/>
        </w:rPr>
        <w:t xml:space="preserve"> </w:t>
      </w:r>
      <w:r w:rsidRPr="000977F7">
        <w:rPr>
          <w:color w:val="auto"/>
          <w:sz w:val="20"/>
          <w:szCs w:val="20"/>
        </w:rPr>
        <w:t>–</w:t>
      </w:r>
    </w:p>
    <w:p w14:paraId="3BEDD1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Сумісно з керівництвом з якості процедури системи</w:t>
      </w:r>
      <w:r w:rsidRPr="000977F7">
        <w:rPr>
          <w:rFonts w:asciiTheme="majorHAnsi" w:hAnsiTheme="majorHAnsi"/>
          <w:spacing w:val="1"/>
          <w:sz w:val="20"/>
          <w:szCs w:val="20"/>
        </w:rPr>
        <w:t xml:space="preserve"> </w:t>
      </w:r>
      <w:r w:rsidRPr="000977F7">
        <w:rPr>
          <w:rFonts w:asciiTheme="majorHAnsi" w:hAnsiTheme="majorHAnsi"/>
          <w:sz w:val="20"/>
          <w:szCs w:val="20"/>
        </w:rPr>
        <w:t>описують</w:t>
      </w:r>
      <w:r w:rsidRPr="000977F7">
        <w:rPr>
          <w:rFonts w:asciiTheme="majorHAnsi" w:hAnsiTheme="majorHAnsi"/>
          <w:spacing w:val="1"/>
          <w:sz w:val="20"/>
          <w:szCs w:val="20"/>
        </w:rPr>
        <w:t xml:space="preserve"> </w:t>
      </w:r>
      <w:r w:rsidRPr="000977F7">
        <w:rPr>
          <w:rFonts w:asciiTheme="majorHAnsi" w:hAnsiTheme="majorHAnsi"/>
          <w:sz w:val="20"/>
          <w:szCs w:val="20"/>
        </w:rPr>
        <w:t>повну</w:t>
      </w:r>
      <w:r w:rsidRPr="000977F7">
        <w:rPr>
          <w:rFonts w:asciiTheme="majorHAnsi" w:hAnsiTheme="majorHAnsi"/>
          <w:spacing w:val="-2"/>
          <w:sz w:val="20"/>
          <w:szCs w:val="20"/>
        </w:rPr>
        <w:t xml:space="preserve"> </w:t>
      </w:r>
      <w:r w:rsidRPr="000977F7">
        <w:rPr>
          <w:rFonts w:asciiTheme="majorHAnsi" w:hAnsiTheme="majorHAnsi"/>
          <w:sz w:val="20"/>
          <w:szCs w:val="20"/>
        </w:rPr>
        <w:t>систему</w:t>
      </w:r>
      <w:r w:rsidRPr="000977F7">
        <w:rPr>
          <w:rFonts w:asciiTheme="majorHAnsi" w:hAnsiTheme="majorHAnsi"/>
          <w:spacing w:val="-5"/>
          <w:sz w:val="20"/>
          <w:szCs w:val="20"/>
        </w:rPr>
        <w:t xml:space="preserve"> </w:t>
      </w:r>
      <w:r w:rsidRPr="000977F7">
        <w:rPr>
          <w:rFonts w:asciiTheme="majorHAnsi" w:hAnsiTheme="majorHAnsi"/>
          <w:sz w:val="20"/>
          <w:szCs w:val="20"/>
        </w:rPr>
        <w:t>менеджменту</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p>
    <w:p w14:paraId="2D877B5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Розмах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детальність</w:t>
      </w:r>
      <w:r w:rsidRPr="000977F7">
        <w:rPr>
          <w:rFonts w:asciiTheme="majorHAnsi" w:hAnsiTheme="majorHAnsi"/>
          <w:spacing w:val="1"/>
          <w:sz w:val="20"/>
          <w:szCs w:val="20"/>
        </w:rPr>
        <w:t xml:space="preserve"> </w:t>
      </w:r>
      <w:r w:rsidRPr="000977F7">
        <w:rPr>
          <w:rFonts w:asciiTheme="majorHAnsi" w:hAnsiTheme="majorHAnsi"/>
          <w:sz w:val="20"/>
          <w:szCs w:val="20"/>
        </w:rPr>
        <w:t>процедур</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повинні</w:t>
      </w:r>
      <w:r w:rsidRPr="000977F7">
        <w:rPr>
          <w:rFonts w:asciiTheme="majorHAnsi" w:hAnsiTheme="majorHAnsi"/>
          <w:spacing w:val="1"/>
          <w:sz w:val="20"/>
          <w:szCs w:val="20"/>
        </w:rPr>
        <w:t xml:space="preserve"> </w:t>
      </w:r>
      <w:r w:rsidRPr="000977F7">
        <w:rPr>
          <w:rFonts w:asciiTheme="majorHAnsi" w:hAnsiTheme="majorHAnsi"/>
          <w:sz w:val="20"/>
          <w:szCs w:val="20"/>
        </w:rPr>
        <w:t>залежати від складності роботи, застосованих методів,</w:t>
      </w:r>
      <w:r w:rsidRPr="000977F7">
        <w:rPr>
          <w:rFonts w:asciiTheme="majorHAnsi" w:hAnsiTheme="majorHAnsi"/>
          <w:spacing w:val="-47"/>
          <w:sz w:val="20"/>
          <w:szCs w:val="20"/>
        </w:rPr>
        <w:t xml:space="preserve"> </w:t>
      </w:r>
      <w:r w:rsidRPr="000977F7">
        <w:rPr>
          <w:rFonts w:asciiTheme="majorHAnsi" w:hAnsiTheme="majorHAnsi"/>
          <w:sz w:val="20"/>
          <w:szCs w:val="20"/>
        </w:rPr>
        <w:t>навичок</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навченості</w:t>
      </w:r>
      <w:r w:rsidRPr="000977F7">
        <w:rPr>
          <w:rFonts w:asciiTheme="majorHAnsi" w:hAnsiTheme="majorHAnsi"/>
          <w:spacing w:val="1"/>
          <w:sz w:val="20"/>
          <w:szCs w:val="20"/>
        </w:rPr>
        <w:t xml:space="preserve"> </w:t>
      </w:r>
      <w:r w:rsidRPr="000977F7">
        <w:rPr>
          <w:rFonts w:asciiTheme="majorHAnsi" w:hAnsiTheme="majorHAnsi"/>
          <w:sz w:val="20"/>
          <w:szCs w:val="20"/>
        </w:rPr>
        <w:t>персоналу,</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51"/>
          <w:sz w:val="20"/>
          <w:szCs w:val="20"/>
        </w:rPr>
        <w:t xml:space="preserve"> </w:t>
      </w:r>
      <w:r w:rsidRPr="000977F7">
        <w:rPr>
          <w:rFonts w:asciiTheme="majorHAnsi" w:hAnsiTheme="majorHAnsi"/>
          <w:sz w:val="20"/>
          <w:szCs w:val="20"/>
        </w:rPr>
        <w:t>приймає</w:t>
      </w:r>
      <w:r w:rsidRPr="000977F7">
        <w:rPr>
          <w:rFonts w:asciiTheme="majorHAnsi" w:hAnsiTheme="majorHAnsi"/>
          <w:spacing w:val="1"/>
          <w:sz w:val="20"/>
          <w:szCs w:val="20"/>
        </w:rPr>
        <w:t xml:space="preserve"> </w:t>
      </w:r>
      <w:r w:rsidRPr="000977F7">
        <w:rPr>
          <w:rFonts w:asciiTheme="majorHAnsi" w:hAnsiTheme="majorHAnsi"/>
          <w:sz w:val="20"/>
          <w:szCs w:val="20"/>
        </w:rPr>
        <w:t>участь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виконанні</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p>
    <w:p w14:paraId="41939C6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ПРОЦЕС</w:t>
      </w:r>
      <w:r w:rsidRPr="000977F7">
        <w:rPr>
          <w:color w:val="auto"/>
          <w:spacing w:val="-4"/>
          <w:sz w:val="20"/>
          <w:szCs w:val="20"/>
        </w:rPr>
        <w:t xml:space="preserve"> </w:t>
      </w:r>
      <w:r w:rsidRPr="000977F7">
        <w:rPr>
          <w:color w:val="auto"/>
          <w:sz w:val="20"/>
          <w:szCs w:val="20"/>
        </w:rPr>
        <w:t>–</w:t>
      </w:r>
    </w:p>
    <w:p w14:paraId="56E43FE2"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sz w:val="20"/>
          <w:szCs w:val="20"/>
        </w:rPr>
        <w:t>PROCESS</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0D73B5D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взаємопов’язаних або взаємодійних видів діяльності, що перетворюють входи на виходи.</w:t>
      </w:r>
    </w:p>
    <w:p w14:paraId="2B13D2CC"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ISO/IEC 17020:2019</w:t>
      </w:r>
    </w:p>
    <w:p w14:paraId="328A9FD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ПРИКЛАДИ Технічні процеси зварювання; процеси термічної обробки; виробничі процеси, що потребують  підтвердження здатності процесів (наприклад, оперативні або такі, що виробляють продукцію, в межах визначеного допустимого відхилення); процеси виробництва харчової продукції; процеси зростання рослин.</w:t>
      </w:r>
    </w:p>
    <w:p w14:paraId="0B23031B"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ISO/IEC 17065:2019</w:t>
      </w:r>
    </w:p>
    <w:p w14:paraId="593AC9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8"/>
          <w:sz w:val="20"/>
          <w:szCs w:val="20"/>
        </w:rPr>
        <w:t xml:space="preserve"> </w:t>
      </w:r>
      <w:r w:rsidRPr="000977F7">
        <w:rPr>
          <w:rFonts w:asciiTheme="majorHAnsi" w:hAnsiTheme="majorHAnsi"/>
          <w:sz w:val="20"/>
          <w:szCs w:val="20"/>
        </w:rPr>
        <w:t>взаємопов’язаних</w:t>
      </w:r>
      <w:r w:rsidRPr="000977F7">
        <w:rPr>
          <w:rFonts w:asciiTheme="majorHAnsi" w:hAnsiTheme="majorHAnsi"/>
          <w:spacing w:val="8"/>
          <w:sz w:val="20"/>
          <w:szCs w:val="20"/>
        </w:rPr>
        <w:t xml:space="preserve"> </w:t>
      </w:r>
      <w:r w:rsidRPr="000977F7">
        <w:rPr>
          <w:rFonts w:asciiTheme="majorHAnsi" w:hAnsiTheme="majorHAnsi"/>
          <w:sz w:val="20"/>
          <w:szCs w:val="20"/>
        </w:rPr>
        <w:t>або</w:t>
      </w:r>
      <w:r w:rsidRPr="000977F7">
        <w:rPr>
          <w:rFonts w:asciiTheme="majorHAnsi" w:hAnsiTheme="majorHAnsi"/>
          <w:spacing w:val="10"/>
          <w:sz w:val="20"/>
          <w:szCs w:val="20"/>
        </w:rPr>
        <w:t xml:space="preserve"> </w:t>
      </w:r>
      <w:r w:rsidRPr="000977F7">
        <w:rPr>
          <w:rFonts w:asciiTheme="majorHAnsi" w:hAnsiTheme="majorHAnsi"/>
          <w:sz w:val="20"/>
          <w:szCs w:val="20"/>
        </w:rPr>
        <w:t>взаємодійних</w:t>
      </w:r>
      <w:r w:rsidRPr="000977F7">
        <w:rPr>
          <w:rFonts w:asciiTheme="majorHAnsi" w:hAnsiTheme="majorHAnsi"/>
          <w:spacing w:val="8"/>
          <w:sz w:val="20"/>
          <w:szCs w:val="20"/>
        </w:rPr>
        <w:t xml:space="preserve"> </w:t>
      </w:r>
      <w:r w:rsidRPr="000977F7">
        <w:rPr>
          <w:rFonts w:asciiTheme="majorHAnsi" w:hAnsiTheme="majorHAnsi"/>
          <w:sz w:val="20"/>
          <w:szCs w:val="20"/>
        </w:rPr>
        <w:t>робіт,</w:t>
      </w:r>
      <w:r w:rsidRPr="000977F7">
        <w:rPr>
          <w:rFonts w:asciiTheme="majorHAnsi" w:hAnsiTheme="majorHAnsi"/>
          <w:spacing w:val="-47"/>
          <w:sz w:val="20"/>
          <w:szCs w:val="20"/>
        </w:rPr>
        <w:t xml:space="preserve"> </w:t>
      </w:r>
      <w:r w:rsidRPr="000977F7">
        <w:rPr>
          <w:rFonts w:asciiTheme="majorHAnsi" w:hAnsiTheme="majorHAnsi"/>
          <w:sz w:val="20"/>
          <w:szCs w:val="20"/>
        </w:rPr>
        <w:t>що використовують входи для створення</w:t>
      </w:r>
      <w:r w:rsidRPr="000977F7">
        <w:rPr>
          <w:rFonts w:asciiTheme="majorHAnsi" w:hAnsiTheme="majorHAnsi"/>
          <w:spacing w:val="1"/>
          <w:sz w:val="20"/>
          <w:szCs w:val="20"/>
        </w:rPr>
        <w:t xml:space="preserve"> </w:t>
      </w:r>
      <w:r w:rsidRPr="000977F7">
        <w:rPr>
          <w:rFonts w:asciiTheme="majorHAnsi" w:hAnsiTheme="majorHAnsi"/>
          <w:sz w:val="20"/>
          <w:szCs w:val="20"/>
        </w:rPr>
        <w:t>запланованого результату.</w:t>
      </w:r>
    </w:p>
    <w:p w14:paraId="3F6135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Залежно від контексту посилання «запланований результат» процесу називають виходом, продукцією</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послугою.</w:t>
      </w:r>
    </w:p>
    <w:p w14:paraId="0F4F713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2. Входами процесу зазвичай є виходи інших процесів, а виходи процесу — зазвичай входи до</w:t>
      </w:r>
      <w:r w:rsidRPr="000977F7">
        <w:rPr>
          <w:rFonts w:asciiTheme="majorHAnsi" w:hAnsiTheme="majorHAnsi"/>
          <w:spacing w:val="1"/>
          <w:sz w:val="20"/>
          <w:szCs w:val="20"/>
        </w:rPr>
        <w:t xml:space="preserve"> </w:t>
      </w:r>
      <w:r w:rsidRPr="000977F7">
        <w:rPr>
          <w:rFonts w:asciiTheme="majorHAnsi" w:hAnsiTheme="majorHAnsi"/>
          <w:sz w:val="20"/>
          <w:szCs w:val="20"/>
        </w:rPr>
        <w:t>інших процесів.</w:t>
      </w:r>
    </w:p>
    <w:p w14:paraId="75B7C19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3. Два чи більше взаємопов’язаних або взаємодійних процесів у серії також може бути віднесено</w:t>
      </w:r>
      <w:r w:rsidRPr="000977F7">
        <w:rPr>
          <w:rFonts w:asciiTheme="majorHAnsi" w:hAnsiTheme="majorHAnsi"/>
          <w:spacing w:val="-47"/>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p>
    <w:p w14:paraId="2589CF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12"/>
          <w:sz w:val="20"/>
          <w:szCs w:val="20"/>
        </w:rPr>
        <w:t xml:space="preserve"> </w:t>
      </w:r>
      <w:r w:rsidRPr="000977F7">
        <w:rPr>
          <w:rFonts w:asciiTheme="majorHAnsi" w:hAnsiTheme="majorHAnsi"/>
          <w:sz w:val="20"/>
          <w:szCs w:val="20"/>
        </w:rPr>
        <w:t>4.</w:t>
      </w:r>
      <w:r w:rsidRPr="000977F7">
        <w:rPr>
          <w:rFonts w:asciiTheme="majorHAnsi" w:hAnsiTheme="majorHAnsi"/>
          <w:spacing w:val="13"/>
          <w:sz w:val="20"/>
          <w:szCs w:val="20"/>
        </w:rPr>
        <w:t xml:space="preserve"> </w:t>
      </w:r>
      <w:r w:rsidRPr="000977F7">
        <w:rPr>
          <w:rFonts w:asciiTheme="majorHAnsi" w:hAnsiTheme="majorHAnsi"/>
          <w:sz w:val="20"/>
          <w:szCs w:val="20"/>
        </w:rPr>
        <w:t>Процеси</w:t>
      </w:r>
      <w:r w:rsidRPr="000977F7">
        <w:rPr>
          <w:rFonts w:asciiTheme="majorHAnsi" w:hAnsiTheme="majorHAnsi"/>
          <w:spacing w:val="11"/>
          <w:sz w:val="20"/>
          <w:szCs w:val="20"/>
        </w:rPr>
        <w:t xml:space="preserve"> </w:t>
      </w:r>
      <w:r w:rsidRPr="000977F7">
        <w:rPr>
          <w:rFonts w:asciiTheme="majorHAnsi" w:hAnsiTheme="majorHAnsi"/>
          <w:sz w:val="20"/>
          <w:szCs w:val="20"/>
        </w:rPr>
        <w:t>в</w:t>
      </w:r>
      <w:r w:rsidRPr="000977F7">
        <w:rPr>
          <w:rFonts w:asciiTheme="majorHAnsi" w:hAnsiTheme="majorHAnsi"/>
          <w:spacing w:val="12"/>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2"/>
          <w:sz w:val="20"/>
          <w:szCs w:val="20"/>
        </w:rPr>
        <w:t xml:space="preserve"> </w:t>
      </w:r>
      <w:r w:rsidRPr="000977F7">
        <w:rPr>
          <w:rFonts w:asciiTheme="majorHAnsi" w:hAnsiTheme="majorHAnsi"/>
          <w:sz w:val="20"/>
          <w:szCs w:val="20"/>
        </w:rPr>
        <w:t>зазвичай</w:t>
      </w:r>
      <w:r w:rsidRPr="000977F7">
        <w:rPr>
          <w:rFonts w:asciiTheme="majorHAnsi" w:hAnsiTheme="majorHAnsi"/>
          <w:spacing w:val="14"/>
          <w:sz w:val="20"/>
          <w:szCs w:val="20"/>
        </w:rPr>
        <w:t xml:space="preserve"> </w:t>
      </w:r>
      <w:r w:rsidRPr="000977F7">
        <w:rPr>
          <w:rFonts w:asciiTheme="majorHAnsi" w:hAnsiTheme="majorHAnsi"/>
          <w:sz w:val="20"/>
          <w:szCs w:val="20"/>
        </w:rPr>
        <w:t>планують</w:t>
      </w:r>
      <w:r w:rsidRPr="000977F7">
        <w:rPr>
          <w:rFonts w:asciiTheme="majorHAnsi" w:hAnsiTheme="majorHAnsi"/>
          <w:spacing w:val="-47"/>
          <w:sz w:val="20"/>
          <w:szCs w:val="20"/>
        </w:rPr>
        <w:t xml:space="preserve"> </w:t>
      </w:r>
      <w:r w:rsidRPr="000977F7">
        <w:rPr>
          <w:rFonts w:asciiTheme="majorHAnsi" w:hAnsiTheme="majorHAnsi"/>
          <w:sz w:val="20"/>
          <w:szCs w:val="20"/>
        </w:rPr>
        <w:t>і виконують за контрольованих умов, щоб додати цінності.</w:t>
      </w:r>
    </w:p>
    <w:p w14:paraId="32E6D32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5. Процес, для якого підтвердження 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одержуваного</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результаті</w:t>
      </w:r>
      <w:r w:rsidRPr="000977F7">
        <w:rPr>
          <w:rFonts w:asciiTheme="majorHAnsi" w:hAnsiTheme="majorHAnsi"/>
          <w:spacing w:val="1"/>
          <w:sz w:val="20"/>
          <w:szCs w:val="20"/>
        </w:rPr>
        <w:t xml:space="preserve"> </w:t>
      </w:r>
      <w:r w:rsidRPr="000977F7">
        <w:rPr>
          <w:rFonts w:asciiTheme="majorHAnsi" w:hAnsiTheme="majorHAnsi"/>
          <w:sz w:val="20"/>
          <w:szCs w:val="20"/>
        </w:rPr>
        <w:t>виходу</w:t>
      </w:r>
      <w:r w:rsidRPr="000977F7">
        <w:rPr>
          <w:rFonts w:asciiTheme="majorHAnsi" w:hAnsiTheme="majorHAnsi"/>
          <w:spacing w:val="1"/>
          <w:sz w:val="20"/>
          <w:szCs w:val="20"/>
        </w:rPr>
        <w:t xml:space="preserve"> </w:t>
      </w:r>
      <w:r w:rsidRPr="000977F7">
        <w:rPr>
          <w:rFonts w:asciiTheme="majorHAnsi" w:hAnsiTheme="majorHAnsi"/>
          <w:sz w:val="20"/>
          <w:szCs w:val="20"/>
        </w:rPr>
        <w:t>ускладнено</w:t>
      </w:r>
      <w:r w:rsidRPr="000977F7">
        <w:rPr>
          <w:rFonts w:asciiTheme="majorHAnsi" w:hAnsiTheme="majorHAnsi"/>
          <w:spacing w:val="-3"/>
          <w:sz w:val="20"/>
          <w:szCs w:val="20"/>
        </w:rPr>
        <w:t xml:space="preserve"> </w:t>
      </w:r>
      <w:r w:rsidRPr="000977F7">
        <w:rPr>
          <w:rFonts w:asciiTheme="majorHAnsi" w:hAnsiTheme="majorHAnsi"/>
          <w:sz w:val="20"/>
          <w:szCs w:val="20"/>
        </w:rPr>
        <w:t>чи</w:t>
      </w:r>
      <w:r w:rsidRPr="000977F7">
        <w:rPr>
          <w:rFonts w:asciiTheme="majorHAnsi" w:hAnsiTheme="majorHAnsi"/>
          <w:spacing w:val="-3"/>
          <w:sz w:val="20"/>
          <w:szCs w:val="20"/>
        </w:rPr>
        <w:t xml:space="preserve"> </w:t>
      </w:r>
      <w:r w:rsidRPr="000977F7">
        <w:rPr>
          <w:rFonts w:asciiTheme="majorHAnsi" w:hAnsiTheme="majorHAnsi"/>
          <w:sz w:val="20"/>
          <w:szCs w:val="20"/>
        </w:rPr>
        <w:t>економічно</w:t>
      </w:r>
      <w:r w:rsidRPr="000977F7">
        <w:rPr>
          <w:rFonts w:asciiTheme="majorHAnsi" w:hAnsiTheme="majorHAnsi"/>
          <w:spacing w:val="-2"/>
          <w:sz w:val="20"/>
          <w:szCs w:val="20"/>
        </w:rPr>
        <w:t xml:space="preserve"> </w:t>
      </w:r>
      <w:r w:rsidRPr="000977F7">
        <w:rPr>
          <w:rFonts w:asciiTheme="majorHAnsi" w:hAnsiTheme="majorHAnsi"/>
          <w:sz w:val="20"/>
          <w:szCs w:val="20"/>
        </w:rPr>
        <w:t>невигідно,</w:t>
      </w:r>
      <w:r w:rsidRPr="000977F7">
        <w:rPr>
          <w:rFonts w:asciiTheme="majorHAnsi" w:hAnsiTheme="majorHAnsi"/>
          <w:spacing w:val="-3"/>
          <w:sz w:val="20"/>
          <w:szCs w:val="20"/>
        </w:rPr>
        <w:t xml:space="preserve"> </w:t>
      </w:r>
      <w:r w:rsidRPr="000977F7">
        <w:rPr>
          <w:rFonts w:asciiTheme="majorHAnsi" w:hAnsiTheme="majorHAnsi"/>
          <w:sz w:val="20"/>
          <w:szCs w:val="20"/>
        </w:rPr>
        <w:t>часто</w:t>
      </w:r>
      <w:r w:rsidRPr="000977F7">
        <w:rPr>
          <w:rFonts w:asciiTheme="majorHAnsi" w:hAnsiTheme="majorHAnsi"/>
          <w:spacing w:val="-2"/>
          <w:sz w:val="20"/>
          <w:szCs w:val="20"/>
        </w:rPr>
        <w:t xml:space="preserve"> </w:t>
      </w:r>
      <w:r w:rsidRPr="000977F7">
        <w:rPr>
          <w:rFonts w:asciiTheme="majorHAnsi" w:hAnsiTheme="majorHAnsi"/>
          <w:sz w:val="20"/>
          <w:szCs w:val="20"/>
        </w:rPr>
        <w:t>називають</w:t>
      </w:r>
    </w:p>
    <w:p w14:paraId="5C402B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«спеціальний</w:t>
      </w:r>
      <w:r w:rsidRPr="000977F7">
        <w:rPr>
          <w:rFonts w:asciiTheme="majorHAnsi" w:hAnsiTheme="majorHAnsi"/>
          <w:spacing w:val="-3"/>
          <w:sz w:val="20"/>
          <w:szCs w:val="20"/>
        </w:rPr>
        <w:t xml:space="preserve"> </w:t>
      </w:r>
      <w:r w:rsidRPr="000977F7">
        <w:rPr>
          <w:rFonts w:asciiTheme="majorHAnsi" w:hAnsiTheme="majorHAnsi"/>
          <w:sz w:val="20"/>
          <w:szCs w:val="20"/>
        </w:rPr>
        <w:t>процес».</w:t>
      </w:r>
    </w:p>
    <w:p w14:paraId="24D6A7D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9001:2015</w:t>
      </w:r>
    </w:p>
    <w:p w14:paraId="59F2A4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Змінювання</w:t>
      </w:r>
      <w:r w:rsidRPr="000977F7">
        <w:rPr>
          <w:rFonts w:asciiTheme="majorHAnsi" w:hAnsiTheme="majorHAnsi"/>
          <w:spacing w:val="-1"/>
          <w:sz w:val="20"/>
          <w:szCs w:val="20"/>
        </w:rPr>
        <w:t xml:space="preserve"> </w:t>
      </w:r>
      <w:r w:rsidRPr="000977F7">
        <w:rPr>
          <w:rFonts w:asciiTheme="majorHAnsi" w:hAnsiTheme="majorHAnsi"/>
          <w:sz w:val="20"/>
          <w:szCs w:val="20"/>
        </w:rPr>
        <w:t>деяких</w:t>
      </w:r>
      <w:r w:rsidRPr="000977F7">
        <w:rPr>
          <w:rFonts w:asciiTheme="majorHAnsi" w:hAnsiTheme="majorHAnsi"/>
          <w:spacing w:val="-4"/>
          <w:sz w:val="20"/>
          <w:szCs w:val="20"/>
        </w:rPr>
        <w:t xml:space="preserve"> </w:t>
      </w:r>
      <w:r w:rsidRPr="000977F7">
        <w:rPr>
          <w:rFonts w:asciiTheme="majorHAnsi" w:hAnsiTheme="majorHAnsi"/>
          <w:sz w:val="20"/>
          <w:szCs w:val="20"/>
        </w:rPr>
        <w:t>властивостей</w:t>
      </w:r>
      <w:r w:rsidRPr="000977F7">
        <w:rPr>
          <w:rFonts w:asciiTheme="majorHAnsi" w:hAnsiTheme="majorHAnsi"/>
          <w:spacing w:val="-4"/>
          <w:sz w:val="20"/>
          <w:szCs w:val="20"/>
        </w:rPr>
        <w:t xml:space="preserve"> </w:t>
      </w:r>
      <w:r w:rsidRPr="000977F7">
        <w:rPr>
          <w:rFonts w:asciiTheme="majorHAnsi" w:hAnsiTheme="majorHAnsi"/>
          <w:sz w:val="20"/>
          <w:szCs w:val="20"/>
        </w:rPr>
        <w:t>об’єкта</w:t>
      </w:r>
      <w:r w:rsidRPr="000977F7">
        <w:rPr>
          <w:rFonts w:asciiTheme="majorHAnsi" w:hAnsiTheme="majorHAnsi"/>
          <w:spacing w:val="-3"/>
          <w:sz w:val="20"/>
          <w:szCs w:val="20"/>
        </w:rPr>
        <w:t xml:space="preserve"> </w:t>
      </w:r>
      <w:r w:rsidRPr="000977F7">
        <w:rPr>
          <w:rFonts w:asciiTheme="majorHAnsi" w:hAnsiTheme="majorHAnsi"/>
          <w:sz w:val="20"/>
          <w:szCs w:val="20"/>
        </w:rPr>
        <w:t>в</w:t>
      </w:r>
      <w:r w:rsidRPr="000977F7">
        <w:rPr>
          <w:rFonts w:asciiTheme="majorHAnsi" w:hAnsiTheme="majorHAnsi"/>
          <w:spacing w:val="-4"/>
          <w:sz w:val="20"/>
          <w:szCs w:val="20"/>
        </w:rPr>
        <w:t xml:space="preserve"> </w:t>
      </w:r>
      <w:r w:rsidRPr="000977F7">
        <w:rPr>
          <w:rFonts w:asciiTheme="majorHAnsi" w:hAnsiTheme="majorHAnsi"/>
          <w:sz w:val="20"/>
          <w:szCs w:val="20"/>
        </w:rPr>
        <w:t>часі</w:t>
      </w:r>
    </w:p>
    <w:p w14:paraId="4C8E329D"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3956</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2000</w:t>
      </w:r>
    </w:p>
    <w:p w14:paraId="0638A19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ПРОЦЕС</w:t>
      </w:r>
      <w:r w:rsidRPr="000977F7">
        <w:rPr>
          <w:color w:val="auto"/>
          <w:spacing w:val="-5"/>
          <w:sz w:val="20"/>
          <w:szCs w:val="20"/>
        </w:rPr>
        <w:t xml:space="preserve"> </w:t>
      </w:r>
      <w:r w:rsidRPr="000977F7">
        <w:rPr>
          <w:color w:val="auto"/>
          <w:sz w:val="20"/>
          <w:szCs w:val="20"/>
        </w:rPr>
        <w:t>КВАЛІФІКАЦІЇ</w:t>
      </w:r>
      <w:r w:rsidRPr="000977F7">
        <w:rPr>
          <w:color w:val="auto"/>
          <w:spacing w:val="-1"/>
          <w:sz w:val="20"/>
          <w:szCs w:val="20"/>
        </w:rPr>
        <w:t xml:space="preserve"> </w:t>
      </w:r>
      <w:r w:rsidRPr="000977F7">
        <w:rPr>
          <w:color w:val="auto"/>
          <w:sz w:val="20"/>
          <w:szCs w:val="20"/>
        </w:rPr>
        <w:t>–</w:t>
      </w:r>
    </w:p>
    <w:p w14:paraId="459B7DD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QUALIFICATION</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PROCESS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9384B9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w:t>
      </w:r>
      <w:r w:rsidRPr="000977F7">
        <w:rPr>
          <w:rFonts w:asciiTheme="majorHAnsi" w:hAnsiTheme="majorHAnsi"/>
          <w:spacing w:val="6"/>
          <w:sz w:val="20"/>
          <w:szCs w:val="20"/>
        </w:rPr>
        <w:t xml:space="preserve"> </w:t>
      </w:r>
      <w:r w:rsidRPr="000977F7">
        <w:rPr>
          <w:rFonts w:asciiTheme="majorHAnsi" w:hAnsiTheme="majorHAnsi"/>
          <w:sz w:val="20"/>
          <w:szCs w:val="20"/>
        </w:rPr>
        <w:t>демонстрування</w:t>
      </w:r>
      <w:r w:rsidRPr="000977F7">
        <w:rPr>
          <w:rFonts w:asciiTheme="majorHAnsi" w:hAnsiTheme="majorHAnsi"/>
          <w:spacing w:val="5"/>
          <w:sz w:val="20"/>
          <w:szCs w:val="20"/>
        </w:rPr>
        <w:t xml:space="preserve"> </w:t>
      </w:r>
      <w:r w:rsidRPr="000977F7">
        <w:rPr>
          <w:rFonts w:asciiTheme="majorHAnsi" w:hAnsiTheme="majorHAnsi"/>
          <w:sz w:val="20"/>
          <w:szCs w:val="20"/>
        </w:rPr>
        <w:t>можливостей</w:t>
      </w:r>
      <w:r w:rsidRPr="000977F7">
        <w:rPr>
          <w:rFonts w:asciiTheme="majorHAnsi" w:hAnsiTheme="majorHAnsi"/>
          <w:spacing w:val="4"/>
          <w:sz w:val="20"/>
          <w:szCs w:val="20"/>
        </w:rPr>
        <w:t xml:space="preserve"> </w:t>
      </w:r>
      <w:r w:rsidRPr="000977F7">
        <w:rPr>
          <w:rFonts w:asciiTheme="majorHAnsi" w:hAnsiTheme="majorHAnsi"/>
          <w:sz w:val="20"/>
          <w:szCs w:val="20"/>
        </w:rPr>
        <w:t>об’єкта</w:t>
      </w:r>
      <w:r w:rsidRPr="000977F7">
        <w:rPr>
          <w:rFonts w:asciiTheme="majorHAnsi" w:hAnsiTheme="majorHAnsi"/>
          <w:spacing w:val="6"/>
          <w:sz w:val="20"/>
          <w:szCs w:val="20"/>
        </w:rPr>
        <w:t xml:space="preserve"> </w:t>
      </w:r>
      <w:r w:rsidRPr="000977F7">
        <w:rPr>
          <w:rFonts w:asciiTheme="majorHAnsi" w:hAnsiTheme="majorHAnsi"/>
          <w:sz w:val="20"/>
          <w:szCs w:val="20"/>
        </w:rPr>
        <w:t>виконувати</w:t>
      </w:r>
      <w:r w:rsidRPr="000977F7">
        <w:rPr>
          <w:rFonts w:asciiTheme="majorHAnsi" w:hAnsiTheme="majorHAnsi"/>
          <w:spacing w:val="-2"/>
          <w:sz w:val="20"/>
          <w:szCs w:val="20"/>
        </w:rPr>
        <w:t xml:space="preserve"> </w:t>
      </w:r>
      <w:r w:rsidRPr="000977F7">
        <w:rPr>
          <w:rFonts w:asciiTheme="majorHAnsi" w:hAnsiTheme="majorHAnsi"/>
          <w:sz w:val="20"/>
          <w:szCs w:val="20"/>
        </w:rPr>
        <w:t>встановлені</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p>
    <w:p w14:paraId="7FB9DF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18BCB87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цього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 деколи</w:t>
      </w:r>
      <w:r w:rsidRPr="000977F7">
        <w:rPr>
          <w:rFonts w:asciiTheme="majorHAnsi" w:hAnsiTheme="majorHAnsi"/>
          <w:spacing w:val="1"/>
          <w:sz w:val="20"/>
          <w:szCs w:val="20"/>
        </w:rPr>
        <w:t xml:space="preserve"> </w:t>
      </w:r>
      <w:r w:rsidRPr="000977F7">
        <w:rPr>
          <w:rFonts w:asciiTheme="majorHAnsi" w:hAnsiTheme="majorHAnsi"/>
          <w:sz w:val="20"/>
          <w:szCs w:val="20"/>
        </w:rPr>
        <w:t>застосовують</w:t>
      </w:r>
      <w:r w:rsidRPr="000977F7">
        <w:rPr>
          <w:rFonts w:asciiTheme="majorHAnsi" w:hAnsiTheme="majorHAnsi"/>
          <w:spacing w:val="-47"/>
          <w:sz w:val="20"/>
          <w:szCs w:val="20"/>
        </w:rPr>
        <w:t xml:space="preserve"> </w:t>
      </w:r>
      <w:r w:rsidRPr="000977F7">
        <w:rPr>
          <w:rFonts w:asciiTheme="majorHAnsi" w:hAnsiTheme="majorHAnsi"/>
          <w:sz w:val="20"/>
          <w:szCs w:val="20"/>
        </w:rPr>
        <w:t>термін</w:t>
      </w:r>
      <w:r w:rsidRPr="000977F7">
        <w:rPr>
          <w:rFonts w:asciiTheme="majorHAnsi" w:hAnsiTheme="majorHAnsi"/>
          <w:spacing w:val="-3"/>
          <w:sz w:val="20"/>
          <w:szCs w:val="20"/>
        </w:rPr>
        <w:t xml:space="preserve"> </w:t>
      </w:r>
      <w:r w:rsidRPr="000977F7">
        <w:rPr>
          <w:rFonts w:asciiTheme="majorHAnsi" w:hAnsiTheme="majorHAnsi"/>
          <w:sz w:val="20"/>
          <w:szCs w:val="20"/>
        </w:rPr>
        <w:t>―кваліфікація‖</w:t>
      </w:r>
    </w:p>
    <w:p w14:paraId="1AFD16F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ПРОЦЕСИ</w:t>
      </w:r>
      <w:r w:rsidRPr="000977F7">
        <w:rPr>
          <w:color w:val="auto"/>
          <w:spacing w:val="-4"/>
          <w:sz w:val="20"/>
          <w:szCs w:val="20"/>
        </w:rPr>
        <w:t xml:space="preserve"> </w:t>
      </w:r>
      <w:r w:rsidRPr="000977F7">
        <w:rPr>
          <w:color w:val="auto"/>
          <w:sz w:val="20"/>
          <w:szCs w:val="20"/>
        </w:rPr>
        <w:t>УПРАВЛІННЯ</w:t>
      </w:r>
      <w:r w:rsidRPr="000977F7">
        <w:rPr>
          <w:color w:val="auto"/>
          <w:spacing w:val="-5"/>
          <w:sz w:val="20"/>
          <w:szCs w:val="20"/>
        </w:rPr>
        <w:t xml:space="preserve"> </w:t>
      </w:r>
      <w:r w:rsidRPr="000977F7">
        <w:rPr>
          <w:color w:val="auto"/>
          <w:sz w:val="20"/>
          <w:szCs w:val="20"/>
        </w:rPr>
        <w:t>ПРОЕКТАМИ –</w:t>
      </w:r>
    </w:p>
    <w:p w14:paraId="7A6750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Можуть бути впорядкованими по п’яти групах по одному</w:t>
      </w:r>
      <w:r w:rsidRPr="000977F7">
        <w:rPr>
          <w:rFonts w:asciiTheme="majorHAnsi" w:hAnsiTheme="majorHAnsi"/>
          <w:spacing w:val="-5"/>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більше процесу</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кожній:</w:t>
      </w:r>
    </w:p>
    <w:p w14:paraId="688F1793" w14:textId="77777777" w:rsidR="0097612F" w:rsidRPr="000977F7" w:rsidRDefault="0097612F" w:rsidP="00FD39A4">
      <w:pPr>
        <w:pStyle w:val="ac"/>
        <w:widowControl w:val="0"/>
        <w:numPr>
          <w:ilvl w:val="0"/>
          <w:numId w:val="91"/>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процеси ініціалізації – усвідомлення того, з чого</w:t>
      </w:r>
      <w:r w:rsidRPr="000977F7">
        <w:rPr>
          <w:rFonts w:asciiTheme="majorHAnsi" w:hAnsiTheme="majorHAnsi"/>
          <w:spacing w:val="1"/>
          <w:sz w:val="20"/>
          <w:szCs w:val="20"/>
        </w:rPr>
        <w:t xml:space="preserve"> </w:t>
      </w:r>
      <w:r w:rsidRPr="000977F7">
        <w:rPr>
          <w:rFonts w:asciiTheme="majorHAnsi" w:hAnsiTheme="majorHAnsi"/>
          <w:sz w:val="20"/>
          <w:szCs w:val="20"/>
        </w:rPr>
        <w:t>має починатися проект або фаза і як здійснити цей</w:t>
      </w:r>
      <w:r w:rsidRPr="000977F7">
        <w:rPr>
          <w:rFonts w:asciiTheme="majorHAnsi" w:hAnsiTheme="majorHAnsi"/>
          <w:spacing w:val="1"/>
          <w:sz w:val="20"/>
          <w:szCs w:val="20"/>
        </w:rPr>
        <w:t xml:space="preserve"> </w:t>
      </w:r>
      <w:r w:rsidRPr="000977F7">
        <w:rPr>
          <w:rFonts w:asciiTheme="majorHAnsi" w:hAnsiTheme="majorHAnsi"/>
          <w:sz w:val="20"/>
          <w:szCs w:val="20"/>
        </w:rPr>
        <w:t>початок;</w:t>
      </w:r>
    </w:p>
    <w:p w14:paraId="54883FB0" w14:textId="77777777" w:rsidR="0097612F" w:rsidRPr="000977F7" w:rsidRDefault="0097612F" w:rsidP="00FD39A4">
      <w:pPr>
        <w:pStyle w:val="ac"/>
        <w:widowControl w:val="0"/>
        <w:numPr>
          <w:ilvl w:val="0"/>
          <w:numId w:val="91"/>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lastRenderedPageBreak/>
        <w:t>процеси планування – створення і підтримка працездатною схеми виконання завдань по проекту, які</w:t>
      </w:r>
      <w:r w:rsidRPr="000977F7">
        <w:rPr>
          <w:rFonts w:asciiTheme="majorHAnsi" w:hAnsiTheme="majorHAnsi"/>
          <w:spacing w:val="1"/>
          <w:sz w:val="20"/>
          <w:szCs w:val="20"/>
        </w:rPr>
        <w:t xml:space="preserve"> </w:t>
      </w:r>
      <w:r w:rsidRPr="000977F7">
        <w:rPr>
          <w:rFonts w:asciiTheme="majorHAnsi" w:hAnsiTheme="majorHAnsi"/>
          <w:sz w:val="20"/>
          <w:szCs w:val="20"/>
        </w:rPr>
        <w:t>були</w:t>
      </w:r>
      <w:r w:rsidRPr="000977F7">
        <w:rPr>
          <w:rFonts w:asciiTheme="majorHAnsi" w:hAnsiTheme="majorHAnsi"/>
          <w:spacing w:val="-2"/>
          <w:sz w:val="20"/>
          <w:szCs w:val="20"/>
        </w:rPr>
        <w:t xml:space="preserve"> </w:t>
      </w:r>
      <w:r w:rsidRPr="000977F7">
        <w:rPr>
          <w:rFonts w:asciiTheme="majorHAnsi" w:hAnsiTheme="majorHAnsi"/>
          <w:sz w:val="20"/>
          <w:szCs w:val="20"/>
        </w:rPr>
        <w:t>зафіксовані</w:t>
      </w:r>
      <w:r w:rsidRPr="000977F7">
        <w:rPr>
          <w:rFonts w:asciiTheme="majorHAnsi" w:hAnsiTheme="majorHAnsi"/>
          <w:spacing w:val="-1"/>
          <w:sz w:val="20"/>
          <w:szCs w:val="20"/>
        </w:rPr>
        <w:t xml:space="preserve"> </w:t>
      </w:r>
      <w:r w:rsidRPr="000977F7">
        <w:rPr>
          <w:rFonts w:asciiTheme="majorHAnsi" w:hAnsiTheme="majorHAnsi"/>
          <w:sz w:val="20"/>
          <w:szCs w:val="20"/>
        </w:rPr>
        <w:t>раніше;</w:t>
      </w:r>
    </w:p>
    <w:p w14:paraId="0A002240" w14:textId="77777777" w:rsidR="0097612F" w:rsidRPr="000977F7" w:rsidRDefault="0097612F" w:rsidP="00FD39A4">
      <w:pPr>
        <w:pStyle w:val="ac"/>
        <w:widowControl w:val="0"/>
        <w:numPr>
          <w:ilvl w:val="0"/>
          <w:numId w:val="91"/>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процеси</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координування</w:t>
      </w:r>
      <w:r w:rsidRPr="000977F7">
        <w:rPr>
          <w:rFonts w:asciiTheme="majorHAnsi" w:hAnsiTheme="majorHAnsi"/>
          <w:spacing w:val="1"/>
          <w:sz w:val="20"/>
          <w:szCs w:val="20"/>
        </w:rPr>
        <w:t xml:space="preserve"> </w:t>
      </w:r>
      <w:r w:rsidRPr="000977F7">
        <w:rPr>
          <w:rFonts w:asciiTheme="majorHAnsi" w:hAnsiTheme="majorHAnsi"/>
          <w:sz w:val="20"/>
          <w:szCs w:val="20"/>
        </w:rPr>
        <w:t>штату</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2"/>
          <w:sz w:val="20"/>
          <w:szCs w:val="20"/>
        </w:rPr>
        <w:t xml:space="preserve"> </w:t>
      </w:r>
      <w:r w:rsidRPr="000977F7">
        <w:rPr>
          <w:rFonts w:asciiTheme="majorHAnsi" w:hAnsiTheme="majorHAnsi"/>
          <w:sz w:val="20"/>
          <w:szCs w:val="20"/>
        </w:rPr>
        <w:t>ресурсів</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здійснення</w:t>
      </w:r>
      <w:r w:rsidRPr="000977F7">
        <w:rPr>
          <w:rFonts w:asciiTheme="majorHAnsi" w:hAnsiTheme="majorHAnsi"/>
          <w:spacing w:val="-1"/>
          <w:sz w:val="20"/>
          <w:szCs w:val="20"/>
        </w:rPr>
        <w:t xml:space="preserve"> </w:t>
      </w:r>
      <w:r w:rsidRPr="000977F7">
        <w:rPr>
          <w:rFonts w:asciiTheme="majorHAnsi" w:hAnsiTheme="majorHAnsi"/>
          <w:sz w:val="20"/>
          <w:szCs w:val="20"/>
        </w:rPr>
        <w:t>плану;</w:t>
      </w:r>
    </w:p>
    <w:p w14:paraId="422EA686" w14:textId="77777777" w:rsidR="0097612F" w:rsidRPr="000977F7" w:rsidRDefault="0097612F" w:rsidP="00FD39A4">
      <w:pPr>
        <w:pStyle w:val="ac"/>
        <w:widowControl w:val="0"/>
        <w:numPr>
          <w:ilvl w:val="0"/>
          <w:numId w:val="91"/>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процеси здійснення контролю</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перевірка,</w:t>
      </w:r>
      <w:r w:rsidRPr="000977F7">
        <w:rPr>
          <w:rFonts w:asciiTheme="majorHAnsi" w:hAnsiTheme="majorHAnsi"/>
          <w:spacing w:val="50"/>
          <w:sz w:val="20"/>
          <w:szCs w:val="20"/>
        </w:rPr>
        <w:t xml:space="preserve"> </w:t>
      </w:r>
      <w:r w:rsidRPr="000977F7">
        <w:rPr>
          <w:rFonts w:asciiTheme="majorHAnsi" w:hAnsiTheme="majorHAnsi"/>
          <w:sz w:val="20"/>
          <w:szCs w:val="20"/>
        </w:rPr>
        <w:t>того</w:t>
      </w:r>
      <w:r w:rsidRPr="000977F7">
        <w:rPr>
          <w:rFonts w:asciiTheme="majorHAnsi" w:hAnsiTheme="majorHAnsi"/>
          <w:spacing w:val="1"/>
          <w:sz w:val="20"/>
          <w:szCs w:val="20"/>
        </w:rPr>
        <w:t xml:space="preserve"> </w:t>
      </w:r>
      <w:r w:rsidRPr="000977F7">
        <w:rPr>
          <w:rFonts w:asciiTheme="majorHAnsi" w:hAnsiTheme="majorHAnsi"/>
          <w:sz w:val="20"/>
          <w:szCs w:val="20"/>
        </w:rPr>
        <w:t>що задачі проекту розв’язуються на тлі контролю виконання і в разі необхідності здійснення дій щодо коригування</w:t>
      </w:r>
      <w:r w:rsidRPr="000977F7">
        <w:rPr>
          <w:rFonts w:asciiTheme="majorHAnsi" w:hAnsiTheme="majorHAnsi"/>
          <w:spacing w:val="-2"/>
          <w:sz w:val="20"/>
          <w:szCs w:val="20"/>
        </w:rPr>
        <w:t xml:space="preserve"> </w:t>
      </w:r>
      <w:r w:rsidRPr="000977F7">
        <w:rPr>
          <w:rFonts w:asciiTheme="majorHAnsi" w:hAnsiTheme="majorHAnsi"/>
          <w:sz w:val="20"/>
          <w:szCs w:val="20"/>
        </w:rPr>
        <w:t>проекту;</w:t>
      </w:r>
    </w:p>
    <w:p w14:paraId="12B74224" w14:textId="77777777" w:rsidR="0097612F" w:rsidRPr="000977F7" w:rsidRDefault="0097612F" w:rsidP="00FD39A4">
      <w:pPr>
        <w:pStyle w:val="ac"/>
        <w:widowControl w:val="0"/>
        <w:numPr>
          <w:ilvl w:val="0"/>
          <w:numId w:val="91"/>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процеси закриття – формалізація прийняття проекту (або фази) і доведення його (або її) до 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завершення</w:t>
      </w:r>
    </w:p>
    <w:p w14:paraId="1B71224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
          <w:w w:val="99"/>
          <w:sz w:val="20"/>
          <w:szCs w:val="20"/>
        </w:rPr>
        <w:t>Ке</w:t>
      </w:r>
      <w:r w:rsidRPr="000977F7">
        <w:rPr>
          <w:rFonts w:asciiTheme="majorHAnsi" w:hAnsiTheme="majorHAnsi"/>
          <w:i/>
          <w:w w:val="99"/>
          <w:sz w:val="20"/>
          <w:szCs w:val="20"/>
        </w:rPr>
        <w:t>р.</w:t>
      </w:r>
      <w:r w:rsidRPr="000977F7">
        <w:rPr>
          <w:rFonts w:asciiTheme="majorHAnsi" w:hAnsiTheme="majorHAnsi"/>
          <w:i/>
          <w:sz w:val="20"/>
          <w:szCs w:val="20"/>
        </w:rPr>
        <w:t xml:space="preserve"> </w:t>
      </w:r>
      <w:r w:rsidRPr="000977F7">
        <w:rPr>
          <w:rFonts w:asciiTheme="majorHAnsi" w:hAnsiTheme="majorHAnsi"/>
          <w:i/>
          <w:spacing w:val="1"/>
          <w:w w:val="99"/>
          <w:sz w:val="20"/>
          <w:szCs w:val="20"/>
        </w:rPr>
        <w:t>про</w:t>
      </w:r>
      <w:r w:rsidRPr="000977F7">
        <w:rPr>
          <w:rFonts w:asciiTheme="majorHAnsi" w:hAnsiTheme="majorHAnsi"/>
          <w:i/>
          <w:w w:val="99"/>
          <w:sz w:val="20"/>
          <w:szCs w:val="20"/>
        </w:rPr>
        <w:t>ек</w:t>
      </w:r>
      <w:r w:rsidRPr="000977F7">
        <w:rPr>
          <w:rFonts w:asciiTheme="majorHAnsi" w:hAnsiTheme="majorHAnsi"/>
          <w:i/>
          <w:spacing w:val="-1"/>
          <w:w w:val="99"/>
          <w:sz w:val="20"/>
          <w:szCs w:val="20"/>
        </w:rPr>
        <w:t>тн</w:t>
      </w:r>
      <w:r w:rsidRPr="000977F7">
        <w:rPr>
          <w:rFonts w:asciiTheme="majorHAnsi" w:hAnsiTheme="majorHAnsi"/>
          <w:i/>
          <w:w w:val="99"/>
          <w:sz w:val="20"/>
          <w:szCs w:val="20"/>
        </w:rPr>
        <w:t>.</w:t>
      </w:r>
      <w:r w:rsidRPr="000977F7">
        <w:rPr>
          <w:rFonts w:asciiTheme="majorHAnsi" w:hAnsiTheme="majorHAnsi"/>
          <w:i/>
          <w:sz w:val="20"/>
          <w:szCs w:val="20"/>
        </w:rPr>
        <w:t xml:space="preserve"> </w:t>
      </w:r>
      <w:r w:rsidRPr="000977F7">
        <w:rPr>
          <w:rFonts w:asciiTheme="majorHAnsi" w:hAnsiTheme="majorHAnsi"/>
          <w:i/>
          <w:spacing w:val="-1"/>
          <w:w w:val="99"/>
          <w:sz w:val="20"/>
          <w:szCs w:val="20"/>
        </w:rPr>
        <w:t>менеджм</w:t>
      </w:r>
      <w:r w:rsidRPr="000977F7">
        <w:rPr>
          <w:rFonts w:asciiTheme="majorHAnsi" w:hAnsiTheme="majorHAnsi"/>
          <w:i/>
          <w:spacing w:val="3"/>
          <w:w w:val="99"/>
          <w:sz w:val="20"/>
          <w:szCs w:val="20"/>
        </w:rPr>
        <w:t>.</w:t>
      </w:r>
      <w:r w:rsidRPr="000977F7">
        <w:rPr>
          <w:rFonts w:asciiTheme="majorHAnsi" w:hAnsiTheme="majorHAnsi"/>
          <w:i/>
          <w:w w:val="99"/>
          <w:sz w:val="20"/>
          <w:szCs w:val="20"/>
        </w:rPr>
        <w:t>-</w:t>
      </w:r>
      <w:r w:rsidRPr="000977F7">
        <w:rPr>
          <w:rFonts w:asciiTheme="majorHAnsi" w:hAnsiTheme="majorHAnsi"/>
          <w:i/>
          <w:spacing w:val="2"/>
          <w:w w:val="99"/>
          <w:sz w:val="20"/>
          <w:szCs w:val="20"/>
        </w:rPr>
        <w:t>т</w:t>
      </w:r>
      <w:r w:rsidRPr="000977F7">
        <w:rPr>
          <w:rFonts w:asciiTheme="majorHAnsi" w:hAnsiTheme="majorHAnsi"/>
          <w:i/>
          <w:w w:val="137"/>
          <w:sz w:val="20"/>
          <w:szCs w:val="20"/>
        </w:rPr>
        <w:t>у</w:t>
      </w:r>
    </w:p>
    <w:p w14:paraId="5E3D481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ПРОЦЕСНИЙ</w:t>
      </w:r>
      <w:r w:rsidRPr="000977F7">
        <w:rPr>
          <w:color w:val="auto"/>
          <w:spacing w:val="-3"/>
          <w:sz w:val="20"/>
          <w:szCs w:val="20"/>
        </w:rPr>
        <w:t xml:space="preserve"> </w:t>
      </w:r>
      <w:r w:rsidRPr="000977F7">
        <w:rPr>
          <w:color w:val="auto"/>
          <w:sz w:val="20"/>
          <w:szCs w:val="20"/>
        </w:rPr>
        <w:t>ПІДХІД</w:t>
      </w:r>
      <w:r w:rsidRPr="000977F7">
        <w:rPr>
          <w:color w:val="auto"/>
          <w:spacing w:val="-2"/>
          <w:sz w:val="20"/>
          <w:szCs w:val="20"/>
        </w:rPr>
        <w:t xml:space="preserve"> </w:t>
      </w:r>
      <w:r w:rsidRPr="000977F7">
        <w:rPr>
          <w:color w:val="auto"/>
          <w:sz w:val="20"/>
          <w:szCs w:val="20"/>
        </w:rPr>
        <w:t>–</w:t>
      </w:r>
    </w:p>
    <w:p w14:paraId="7003D16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pacing w:val="-4"/>
          <w:sz w:val="20"/>
          <w:szCs w:val="20"/>
          <w:lang w:val="uk-UA"/>
        </w:rPr>
        <w:t xml:space="preserve">Процесний підхід дає можливість організації визначити </w:t>
      </w:r>
      <w:r w:rsidRPr="004D2D14">
        <w:rPr>
          <w:rFonts w:asciiTheme="majorHAnsi" w:hAnsiTheme="majorHAnsi"/>
          <w:spacing w:val="-3"/>
          <w:sz w:val="20"/>
          <w:szCs w:val="20"/>
          <w:lang w:val="uk-UA"/>
        </w:rPr>
        <w:t>і</w:t>
      </w:r>
      <w:r w:rsidRPr="004D2D14">
        <w:rPr>
          <w:rFonts w:asciiTheme="majorHAnsi" w:hAnsiTheme="majorHAnsi"/>
          <w:spacing w:val="-47"/>
          <w:sz w:val="20"/>
          <w:szCs w:val="20"/>
          <w:lang w:val="uk-UA"/>
        </w:rPr>
        <w:t xml:space="preserve"> </w:t>
      </w:r>
      <w:r w:rsidRPr="004D2D14">
        <w:rPr>
          <w:rFonts w:asciiTheme="majorHAnsi" w:hAnsiTheme="majorHAnsi"/>
          <w:spacing w:val="-7"/>
          <w:sz w:val="20"/>
          <w:szCs w:val="20"/>
          <w:lang w:val="uk-UA"/>
        </w:rPr>
        <w:t>зрозуміти</w:t>
      </w:r>
      <w:r w:rsidRPr="004D2D14">
        <w:rPr>
          <w:rFonts w:asciiTheme="majorHAnsi" w:hAnsiTheme="majorHAnsi"/>
          <w:spacing w:val="-6"/>
          <w:sz w:val="20"/>
          <w:szCs w:val="20"/>
          <w:lang w:val="uk-UA"/>
        </w:rPr>
        <w:t xml:space="preserve"> </w:t>
      </w:r>
      <w:r w:rsidRPr="004D2D14">
        <w:rPr>
          <w:rFonts w:asciiTheme="majorHAnsi" w:hAnsiTheme="majorHAnsi"/>
          <w:spacing w:val="-7"/>
          <w:sz w:val="20"/>
          <w:szCs w:val="20"/>
          <w:lang w:val="uk-UA"/>
        </w:rPr>
        <w:t>її</w:t>
      </w:r>
      <w:r w:rsidRPr="004D2D14">
        <w:rPr>
          <w:rFonts w:asciiTheme="majorHAnsi" w:hAnsiTheme="majorHAnsi"/>
          <w:spacing w:val="-4"/>
          <w:sz w:val="20"/>
          <w:szCs w:val="20"/>
          <w:lang w:val="uk-UA"/>
        </w:rPr>
        <w:t xml:space="preserve"> </w:t>
      </w:r>
      <w:r w:rsidRPr="004D2D14">
        <w:rPr>
          <w:rFonts w:asciiTheme="majorHAnsi" w:hAnsiTheme="majorHAnsi"/>
          <w:spacing w:val="-7"/>
          <w:sz w:val="20"/>
          <w:szCs w:val="20"/>
          <w:lang w:val="uk-UA"/>
        </w:rPr>
        <w:t>власну</w:t>
      </w:r>
      <w:r w:rsidRPr="004D2D14">
        <w:rPr>
          <w:rFonts w:asciiTheme="majorHAnsi" w:hAnsiTheme="majorHAnsi"/>
          <w:spacing w:val="-9"/>
          <w:sz w:val="20"/>
          <w:szCs w:val="20"/>
          <w:lang w:val="uk-UA"/>
        </w:rPr>
        <w:t xml:space="preserve"> </w:t>
      </w:r>
      <w:r w:rsidRPr="004D2D14">
        <w:rPr>
          <w:rFonts w:asciiTheme="majorHAnsi" w:hAnsiTheme="majorHAnsi"/>
          <w:spacing w:val="-7"/>
          <w:sz w:val="20"/>
          <w:szCs w:val="20"/>
          <w:lang w:val="uk-UA"/>
        </w:rPr>
        <w:t>діяльність,</w:t>
      </w:r>
      <w:r w:rsidRPr="004D2D14">
        <w:rPr>
          <w:rFonts w:asciiTheme="majorHAnsi" w:hAnsiTheme="majorHAnsi"/>
          <w:spacing w:val="-6"/>
          <w:sz w:val="20"/>
          <w:szCs w:val="20"/>
          <w:lang w:val="uk-UA"/>
        </w:rPr>
        <w:t xml:space="preserve"> </w:t>
      </w:r>
      <w:r w:rsidRPr="004D2D14">
        <w:rPr>
          <w:rFonts w:asciiTheme="majorHAnsi" w:hAnsiTheme="majorHAnsi"/>
          <w:spacing w:val="-7"/>
          <w:sz w:val="20"/>
          <w:szCs w:val="20"/>
          <w:lang w:val="uk-UA"/>
        </w:rPr>
        <w:t>а</w:t>
      </w:r>
      <w:r w:rsidRPr="004D2D14">
        <w:rPr>
          <w:rFonts w:asciiTheme="majorHAnsi" w:hAnsiTheme="majorHAnsi"/>
          <w:spacing w:val="-5"/>
          <w:sz w:val="20"/>
          <w:szCs w:val="20"/>
          <w:lang w:val="uk-UA"/>
        </w:rPr>
        <w:t xml:space="preserve"> </w:t>
      </w:r>
      <w:r w:rsidRPr="004D2D14">
        <w:rPr>
          <w:rFonts w:asciiTheme="majorHAnsi" w:hAnsiTheme="majorHAnsi"/>
          <w:spacing w:val="-7"/>
          <w:sz w:val="20"/>
          <w:szCs w:val="20"/>
          <w:lang w:val="uk-UA"/>
        </w:rPr>
        <w:t>також</w:t>
      </w:r>
      <w:r w:rsidRPr="004D2D14">
        <w:rPr>
          <w:rFonts w:asciiTheme="majorHAnsi" w:hAnsiTheme="majorHAnsi"/>
          <w:spacing w:val="-5"/>
          <w:sz w:val="20"/>
          <w:szCs w:val="20"/>
          <w:lang w:val="uk-UA"/>
        </w:rPr>
        <w:t xml:space="preserve"> </w:t>
      </w:r>
      <w:r w:rsidRPr="004D2D14">
        <w:rPr>
          <w:rFonts w:asciiTheme="majorHAnsi" w:hAnsiTheme="majorHAnsi"/>
          <w:spacing w:val="-7"/>
          <w:sz w:val="20"/>
          <w:szCs w:val="20"/>
          <w:lang w:val="uk-UA"/>
        </w:rPr>
        <w:t>і зрозуміти</w:t>
      </w:r>
      <w:r w:rsidRPr="004D2D14">
        <w:rPr>
          <w:rFonts w:asciiTheme="majorHAnsi" w:hAnsiTheme="majorHAnsi"/>
          <w:spacing w:val="-6"/>
          <w:sz w:val="20"/>
          <w:szCs w:val="20"/>
          <w:lang w:val="uk-UA"/>
        </w:rPr>
        <w:t xml:space="preserve"> її</w:t>
      </w:r>
      <w:r w:rsidRPr="004D2D14">
        <w:rPr>
          <w:rFonts w:asciiTheme="majorHAnsi" w:hAnsiTheme="majorHAnsi"/>
          <w:spacing w:val="-4"/>
          <w:sz w:val="20"/>
          <w:szCs w:val="20"/>
          <w:lang w:val="uk-UA"/>
        </w:rPr>
        <w:t xml:space="preserve"> </w:t>
      </w:r>
      <w:r w:rsidRPr="004D2D14">
        <w:rPr>
          <w:rFonts w:asciiTheme="majorHAnsi" w:hAnsiTheme="majorHAnsi"/>
          <w:spacing w:val="-6"/>
          <w:sz w:val="20"/>
          <w:szCs w:val="20"/>
          <w:lang w:val="uk-UA"/>
        </w:rPr>
        <w:t xml:space="preserve">власну </w:t>
      </w:r>
      <w:r w:rsidRPr="004D2D14">
        <w:rPr>
          <w:rFonts w:asciiTheme="majorHAnsi" w:hAnsiTheme="majorHAnsi"/>
          <w:spacing w:val="-8"/>
          <w:sz w:val="20"/>
          <w:szCs w:val="20"/>
          <w:lang w:val="uk-UA"/>
        </w:rPr>
        <w:t xml:space="preserve">діяльність, </w:t>
      </w:r>
      <w:r w:rsidRPr="004D2D14">
        <w:rPr>
          <w:rFonts w:asciiTheme="majorHAnsi" w:hAnsiTheme="majorHAnsi"/>
          <w:spacing w:val="-7"/>
          <w:sz w:val="20"/>
          <w:szCs w:val="20"/>
          <w:lang w:val="uk-UA"/>
        </w:rPr>
        <w:t>а також її взаємозалежність. Він дає можливість</w:t>
      </w:r>
      <w:r w:rsidRPr="004D2D14">
        <w:rPr>
          <w:rFonts w:asciiTheme="majorHAnsi" w:hAnsiTheme="majorHAnsi"/>
          <w:spacing w:val="-47"/>
          <w:sz w:val="20"/>
          <w:szCs w:val="20"/>
          <w:lang w:val="uk-UA"/>
        </w:rPr>
        <w:t xml:space="preserve"> </w:t>
      </w:r>
      <w:r w:rsidRPr="004D2D14">
        <w:rPr>
          <w:rFonts w:asciiTheme="majorHAnsi" w:hAnsiTheme="majorHAnsi"/>
          <w:spacing w:val="-8"/>
          <w:sz w:val="20"/>
          <w:szCs w:val="20"/>
          <w:lang w:val="uk-UA"/>
        </w:rPr>
        <w:t>організації</w:t>
      </w:r>
      <w:r w:rsidRPr="004D2D14">
        <w:rPr>
          <w:rFonts w:asciiTheme="majorHAnsi" w:hAnsiTheme="majorHAnsi"/>
          <w:spacing w:val="-15"/>
          <w:sz w:val="20"/>
          <w:szCs w:val="20"/>
          <w:lang w:val="uk-UA"/>
        </w:rPr>
        <w:t xml:space="preserve"> </w:t>
      </w:r>
      <w:r w:rsidRPr="004D2D14">
        <w:rPr>
          <w:rFonts w:asciiTheme="majorHAnsi" w:hAnsiTheme="majorHAnsi"/>
          <w:spacing w:val="-8"/>
          <w:sz w:val="20"/>
          <w:szCs w:val="20"/>
          <w:lang w:val="uk-UA"/>
        </w:rPr>
        <w:t>визначити</w:t>
      </w:r>
      <w:r w:rsidRPr="004D2D14">
        <w:rPr>
          <w:rFonts w:asciiTheme="majorHAnsi" w:hAnsiTheme="majorHAnsi"/>
          <w:spacing w:val="-15"/>
          <w:sz w:val="20"/>
          <w:szCs w:val="20"/>
          <w:lang w:val="uk-UA"/>
        </w:rPr>
        <w:t xml:space="preserve"> </w:t>
      </w:r>
      <w:r w:rsidRPr="004D2D14">
        <w:rPr>
          <w:rFonts w:asciiTheme="majorHAnsi" w:hAnsiTheme="majorHAnsi"/>
          <w:spacing w:val="-7"/>
          <w:sz w:val="20"/>
          <w:szCs w:val="20"/>
          <w:lang w:val="uk-UA"/>
        </w:rPr>
        <w:t>і</w:t>
      </w:r>
      <w:r w:rsidRPr="004D2D14">
        <w:rPr>
          <w:rFonts w:asciiTheme="majorHAnsi" w:hAnsiTheme="majorHAnsi"/>
          <w:spacing w:val="-15"/>
          <w:sz w:val="20"/>
          <w:szCs w:val="20"/>
          <w:lang w:val="uk-UA"/>
        </w:rPr>
        <w:t xml:space="preserve"> </w:t>
      </w:r>
      <w:r w:rsidRPr="004D2D14">
        <w:rPr>
          <w:rFonts w:asciiTheme="majorHAnsi" w:hAnsiTheme="majorHAnsi"/>
          <w:spacing w:val="-7"/>
          <w:sz w:val="20"/>
          <w:szCs w:val="20"/>
          <w:lang w:val="uk-UA"/>
        </w:rPr>
        <w:t>контролювати</w:t>
      </w:r>
      <w:r w:rsidRPr="004D2D14">
        <w:rPr>
          <w:rFonts w:asciiTheme="majorHAnsi" w:hAnsiTheme="majorHAnsi"/>
          <w:spacing w:val="-15"/>
          <w:sz w:val="20"/>
          <w:szCs w:val="20"/>
          <w:lang w:val="uk-UA"/>
        </w:rPr>
        <w:t xml:space="preserve"> </w:t>
      </w:r>
      <w:r w:rsidRPr="004D2D14">
        <w:rPr>
          <w:rFonts w:asciiTheme="majorHAnsi" w:hAnsiTheme="majorHAnsi"/>
          <w:spacing w:val="-7"/>
          <w:sz w:val="20"/>
          <w:szCs w:val="20"/>
          <w:lang w:val="uk-UA"/>
        </w:rPr>
        <w:t>ці</w:t>
      </w:r>
      <w:r w:rsidRPr="004D2D14">
        <w:rPr>
          <w:rFonts w:asciiTheme="majorHAnsi" w:hAnsiTheme="majorHAnsi"/>
          <w:spacing w:val="-15"/>
          <w:sz w:val="20"/>
          <w:szCs w:val="20"/>
          <w:lang w:val="uk-UA"/>
        </w:rPr>
        <w:t xml:space="preserve"> </w:t>
      </w:r>
      <w:r w:rsidRPr="004D2D14">
        <w:rPr>
          <w:rFonts w:asciiTheme="majorHAnsi" w:hAnsiTheme="majorHAnsi"/>
          <w:spacing w:val="-7"/>
          <w:sz w:val="20"/>
          <w:szCs w:val="20"/>
          <w:lang w:val="uk-UA"/>
        </w:rPr>
        <w:t>види</w:t>
      </w:r>
      <w:r w:rsidRPr="004D2D14">
        <w:rPr>
          <w:rFonts w:asciiTheme="majorHAnsi" w:hAnsiTheme="majorHAnsi"/>
          <w:spacing w:val="-15"/>
          <w:sz w:val="20"/>
          <w:szCs w:val="20"/>
          <w:lang w:val="uk-UA"/>
        </w:rPr>
        <w:t xml:space="preserve"> </w:t>
      </w:r>
      <w:r w:rsidRPr="004D2D14">
        <w:rPr>
          <w:rFonts w:asciiTheme="majorHAnsi" w:hAnsiTheme="majorHAnsi"/>
          <w:spacing w:val="-7"/>
          <w:sz w:val="20"/>
          <w:szCs w:val="20"/>
          <w:lang w:val="uk-UA"/>
        </w:rPr>
        <w:t>діяльності.</w:t>
      </w:r>
    </w:p>
    <w:p w14:paraId="5D8552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 трансформує вхід у вихід, використовуючи</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технологію (ресурси), регульовані з допомогою контролю. Вхід, контроль (процедура) і або вихід можуть</w:t>
      </w:r>
      <w:r w:rsidRPr="000977F7">
        <w:rPr>
          <w:rFonts w:asciiTheme="majorHAnsi" w:hAnsiTheme="majorHAnsi"/>
          <w:spacing w:val="1"/>
          <w:sz w:val="20"/>
          <w:szCs w:val="20"/>
        </w:rPr>
        <w:t xml:space="preserve"> </w:t>
      </w:r>
      <w:r w:rsidRPr="000977F7">
        <w:rPr>
          <w:rFonts w:asciiTheme="majorHAnsi" w:hAnsiTheme="majorHAnsi"/>
          <w:sz w:val="20"/>
          <w:szCs w:val="20"/>
        </w:rPr>
        <w:t>бути матеріальними або не матеріальними. Система</w:t>
      </w:r>
      <w:r w:rsidRPr="000977F7">
        <w:rPr>
          <w:rFonts w:asciiTheme="majorHAnsi" w:hAnsiTheme="majorHAnsi"/>
          <w:spacing w:val="1"/>
          <w:sz w:val="20"/>
          <w:szCs w:val="20"/>
        </w:rPr>
        <w:t xml:space="preserve"> </w:t>
      </w:r>
      <w:r w:rsidRPr="000977F7">
        <w:rPr>
          <w:rFonts w:asciiTheme="majorHAnsi" w:hAnsiTheme="majorHAnsi"/>
          <w:sz w:val="20"/>
          <w:szCs w:val="20"/>
        </w:rPr>
        <w:t>оцінки може використовувати сумісно інформацію і</w:t>
      </w:r>
      <w:r w:rsidRPr="000977F7">
        <w:rPr>
          <w:rFonts w:asciiTheme="majorHAnsi" w:hAnsiTheme="majorHAnsi"/>
          <w:spacing w:val="1"/>
          <w:sz w:val="20"/>
          <w:szCs w:val="20"/>
        </w:rPr>
        <w:t xml:space="preserve"> </w:t>
      </w:r>
      <w:r w:rsidRPr="000977F7">
        <w:rPr>
          <w:rFonts w:asciiTheme="majorHAnsi" w:hAnsiTheme="majorHAnsi"/>
          <w:sz w:val="20"/>
          <w:szCs w:val="20"/>
        </w:rPr>
        <w:t>дані</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3"/>
          <w:sz w:val="20"/>
          <w:szCs w:val="20"/>
        </w:rPr>
        <w:t xml:space="preserve"> </w:t>
      </w:r>
      <w:r w:rsidRPr="000977F7">
        <w:rPr>
          <w:rFonts w:asciiTheme="majorHAnsi" w:hAnsiTheme="majorHAnsi"/>
          <w:sz w:val="20"/>
          <w:szCs w:val="20"/>
        </w:rPr>
        <w:t>аналізу характеристик</w:t>
      </w:r>
      <w:r w:rsidRPr="000977F7">
        <w:rPr>
          <w:rFonts w:asciiTheme="majorHAnsi" w:hAnsiTheme="majorHAnsi"/>
          <w:spacing w:val="-2"/>
          <w:sz w:val="20"/>
          <w:szCs w:val="20"/>
        </w:rPr>
        <w:t xml:space="preserve"> </w:t>
      </w:r>
      <w:r w:rsidRPr="000977F7">
        <w:rPr>
          <w:rFonts w:asciiTheme="majorHAnsi" w:hAnsiTheme="majorHAnsi"/>
          <w:sz w:val="20"/>
          <w:szCs w:val="20"/>
        </w:rPr>
        <w:t>входу</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виходу</w:t>
      </w:r>
    </w:p>
    <w:p w14:paraId="5ECC424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Cs/>
          <w:sz w:val="20"/>
          <w:szCs w:val="20"/>
        </w:rPr>
        <w:t>Процесний підхід</w:t>
      </w:r>
      <w:r w:rsidRPr="000977F7">
        <w:rPr>
          <w:rFonts w:asciiTheme="majorHAnsi" w:hAnsiTheme="majorHAnsi"/>
          <w:sz w:val="20"/>
          <w:szCs w:val="20"/>
        </w:rPr>
        <w:t xml:space="preserve"> передбачає систематичне визначання процесів і їх взаємодій та керування ними з тим, щоб досягати запланованих результатів відповідно до політики у сфері якості та стратегічного напрямку організації. Керування процесами та системою в цілому може бути досягнене використанням циклу PDCA за загальної зосередженості на ризик-орієнтованому мисленні  націленому на використання можливостей і запобігання небажаним результатам.</w:t>
      </w:r>
    </w:p>
    <w:p w14:paraId="5D170C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Застосування процесного підходу в межах системи управління якістю уможливлює:</w:t>
      </w:r>
    </w:p>
    <w:p w14:paraId="5849AC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 розуміння та постійне задоволення вимог;</w:t>
      </w:r>
    </w:p>
    <w:p w14:paraId="1D64FF5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 розглядання процесів з погляду створювання додаткових цінностей;</w:t>
      </w:r>
    </w:p>
    <w:p w14:paraId="46A3700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 досягнення результативного функціювання процесів;</w:t>
      </w:r>
    </w:p>
    <w:p w14:paraId="070CF5A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 поліпшування процесів на основі оцінювання даних та інформації.</w:t>
      </w:r>
    </w:p>
    <w:p w14:paraId="173934A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9001:2015</w:t>
      </w:r>
    </w:p>
    <w:p w14:paraId="08A6BA5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ПРУЖНА</w:t>
      </w:r>
      <w:r w:rsidRPr="000977F7">
        <w:rPr>
          <w:color w:val="auto"/>
          <w:spacing w:val="-3"/>
          <w:sz w:val="20"/>
          <w:szCs w:val="20"/>
        </w:rPr>
        <w:t xml:space="preserve"> </w:t>
      </w:r>
      <w:r w:rsidRPr="000977F7">
        <w:rPr>
          <w:color w:val="auto"/>
          <w:sz w:val="20"/>
          <w:szCs w:val="20"/>
        </w:rPr>
        <w:t>ДЕФОРМАЦІЯ –</w:t>
      </w:r>
    </w:p>
    <w:p w14:paraId="7F47B89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ELASTIC</w:t>
      </w:r>
      <w:r w:rsidRPr="000977F7">
        <w:rPr>
          <w:rFonts w:asciiTheme="majorHAnsi" w:hAnsiTheme="majorHAnsi"/>
          <w:spacing w:val="-4"/>
          <w:sz w:val="20"/>
          <w:szCs w:val="20"/>
        </w:rPr>
        <w:t xml:space="preserve"> </w:t>
      </w:r>
      <w:r w:rsidRPr="000977F7">
        <w:rPr>
          <w:rFonts w:asciiTheme="majorHAnsi" w:hAnsiTheme="majorHAnsi"/>
          <w:sz w:val="20"/>
          <w:szCs w:val="20"/>
        </w:rPr>
        <w:t>STRAIN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D80F4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Деформація, що зникає після усунення навантаження,</w:t>
      </w:r>
      <w:r w:rsidRPr="000977F7">
        <w:rPr>
          <w:rFonts w:asciiTheme="majorHAnsi" w:hAnsiTheme="majorHAnsi"/>
          <w:spacing w:val="1"/>
          <w:sz w:val="20"/>
          <w:szCs w:val="20"/>
        </w:rPr>
        <w:t xml:space="preserve"> </w:t>
      </w:r>
      <w:r w:rsidRPr="000977F7">
        <w:rPr>
          <w:rFonts w:asciiTheme="majorHAnsi" w:hAnsiTheme="majorHAnsi"/>
          <w:sz w:val="20"/>
          <w:szCs w:val="20"/>
        </w:rPr>
        <w:t>яке</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викликало</w:t>
      </w:r>
    </w:p>
    <w:p w14:paraId="57258B9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56680C5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ПРУЖНА</w:t>
      </w:r>
      <w:r w:rsidRPr="000977F7">
        <w:rPr>
          <w:color w:val="auto"/>
          <w:spacing w:val="-4"/>
          <w:sz w:val="20"/>
          <w:szCs w:val="20"/>
        </w:rPr>
        <w:t xml:space="preserve"> </w:t>
      </w:r>
      <w:r w:rsidRPr="000977F7">
        <w:rPr>
          <w:color w:val="auto"/>
          <w:sz w:val="20"/>
          <w:szCs w:val="20"/>
        </w:rPr>
        <w:t>ПІСЛЯДІЯ</w:t>
      </w:r>
      <w:r w:rsidRPr="000977F7">
        <w:rPr>
          <w:color w:val="auto"/>
          <w:spacing w:val="-1"/>
          <w:sz w:val="20"/>
          <w:szCs w:val="20"/>
        </w:rPr>
        <w:t xml:space="preserve"> </w:t>
      </w:r>
      <w:r w:rsidRPr="000977F7">
        <w:rPr>
          <w:color w:val="auto"/>
          <w:sz w:val="20"/>
          <w:szCs w:val="20"/>
        </w:rPr>
        <w:t>–</w:t>
      </w:r>
    </w:p>
    <w:p w14:paraId="70AD8D0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Затримання розвитку пружних деформацій у матеріалі</w:t>
      </w:r>
      <w:r w:rsidRPr="000977F7">
        <w:rPr>
          <w:rFonts w:asciiTheme="majorHAnsi" w:hAnsiTheme="majorHAnsi"/>
          <w:spacing w:val="-47"/>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разі</w:t>
      </w:r>
      <w:r w:rsidRPr="000977F7">
        <w:rPr>
          <w:rFonts w:asciiTheme="majorHAnsi" w:hAnsiTheme="majorHAnsi"/>
          <w:spacing w:val="-1"/>
          <w:sz w:val="20"/>
          <w:szCs w:val="20"/>
        </w:rPr>
        <w:t xml:space="preserve"> </w:t>
      </w:r>
      <w:r w:rsidRPr="000977F7">
        <w:rPr>
          <w:rFonts w:asciiTheme="majorHAnsi" w:hAnsiTheme="majorHAnsi"/>
          <w:sz w:val="20"/>
          <w:szCs w:val="20"/>
        </w:rPr>
        <w:t>зміни</w:t>
      </w:r>
      <w:r w:rsidRPr="000977F7">
        <w:rPr>
          <w:rFonts w:asciiTheme="majorHAnsi" w:hAnsiTheme="majorHAnsi"/>
          <w:spacing w:val="1"/>
          <w:sz w:val="20"/>
          <w:szCs w:val="20"/>
        </w:rPr>
        <w:t xml:space="preserve"> </w:t>
      </w:r>
      <w:r w:rsidRPr="000977F7">
        <w:rPr>
          <w:rFonts w:asciiTheme="majorHAnsi" w:hAnsiTheme="majorHAnsi"/>
          <w:sz w:val="20"/>
          <w:szCs w:val="20"/>
        </w:rPr>
        <w:t>навантаження</w:t>
      </w:r>
    </w:p>
    <w:p w14:paraId="4D089E03"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2825 – 94</w:t>
      </w:r>
    </w:p>
    <w:p w14:paraId="5EA2A9C9"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pacing w:val="-1"/>
          <w:sz w:val="20"/>
          <w:szCs w:val="20"/>
        </w:rPr>
        <w:t xml:space="preserve">ПРУЖНІСТЬ </w:t>
      </w:r>
      <w:r w:rsidRPr="000977F7">
        <w:rPr>
          <w:rFonts w:asciiTheme="majorHAnsi" w:hAnsiTheme="majorHAnsi"/>
          <w:b/>
          <w:sz w:val="20"/>
          <w:szCs w:val="20"/>
        </w:rPr>
        <w:t>–</w:t>
      </w:r>
    </w:p>
    <w:p w14:paraId="215875E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ELASTICITY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9B049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Здатність матеріалу повністю відновлювати недеформований</w:t>
      </w:r>
      <w:r w:rsidRPr="000977F7">
        <w:rPr>
          <w:rFonts w:asciiTheme="majorHAnsi" w:hAnsiTheme="majorHAnsi"/>
          <w:spacing w:val="-2"/>
          <w:sz w:val="20"/>
          <w:szCs w:val="20"/>
        </w:rPr>
        <w:t xml:space="preserve"> </w:t>
      </w:r>
      <w:r w:rsidRPr="000977F7">
        <w:rPr>
          <w:rFonts w:asciiTheme="majorHAnsi" w:hAnsiTheme="majorHAnsi"/>
          <w:sz w:val="20"/>
          <w:szCs w:val="20"/>
        </w:rPr>
        <w:t>стан після</w:t>
      </w:r>
      <w:r w:rsidRPr="000977F7">
        <w:rPr>
          <w:rFonts w:asciiTheme="majorHAnsi" w:hAnsiTheme="majorHAnsi"/>
          <w:spacing w:val="2"/>
          <w:sz w:val="20"/>
          <w:szCs w:val="20"/>
        </w:rPr>
        <w:t xml:space="preserve"> </w:t>
      </w:r>
      <w:r w:rsidRPr="000977F7">
        <w:rPr>
          <w:rFonts w:asciiTheme="majorHAnsi" w:hAnsiTheme="majorHAnsi"/>
          <w:sz w:val="20"/>
          <w:szCs w:val="20"/>
        </w:rPr>
        <w:t>усунення</w:t>
      </w:r>
      <w:r w:rsidRPr="000977F7">
        <w:rPr>
          <w:rFonts w:asciiTheme="majorHAnsi" w:hAnsiTheme="majorHAnsi"/>
          <w:spacing w:val="-2"/>
          <w:sz w:val="20"/>
          <w:szCs w:val="20"/>
        </w:rPr>
        <w:t xml:space="preserve"> </w:t>
      </w:r>
      <w:r w:rsidRPr="000977F7">
        <w:rPr>
          <w:rFonts w:asciiTheme="majorHAnsi" w:hAnsiTheme="majorHAnsi"/>
          <w:sz w:val="20"/>
          <w:szCs w:val="20"/>
        </w:rPr>
        <w:t>напружень</w:t>
      </w:r>
    </w:p>
    <w:p w14:paraId="5AF07182"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2825</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553F81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ПРЯМЕ</w:t>
      </w:r>
      <w:r w:rsidRPr="000977F7">
        <w:rPr>
          <w:color w:val="auto"/>
          <w:spacing w:val="-5"/>
          <w:sz w:val="20"/>
          <w:szCs w:val="20"/>
        </w:rPr>
        <w:t xml:space="preserve"> </w:t>
      </w:r>
      <w:r w:rsidRPr="000977F7">
        <w:rPr>
          <w:color w:val="auto"/>
          <w:sz w:val="20"/>
          <w:szCs w:val="20"/>
        </w:rPr>
        <w:t>ВИМІРЮВАННЯ –</w:t>
      </w:r>
    </w:p>
    <w:p w14:paraId="006A80C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DIRECT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MEASUREMENT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10DA4E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Вимірювання однієї величини, значення якої знаходять</w:t>
      </w:r>
      <w:r w:rsidRPr="000977F7">
        <w:rPr>
          <w:rFonts w:asciiTheme="majorHAnsi" w:hAnsiTheme="majorHAnsi"/>
          <w:spacing w:val="1"/>
          <w:sz w:val="20"/>
          <w:szCs w:val="20"/>
        </w:rPr>
        <w:t xml:space="preserve"> </w:t>
      </w:r>
      <w:r w:rsidRPr="000977F7">
        <w:rPr>
          <w:rFonts w:asciiTheme="majorHAnsi" w:hAnsiTheme="majorHAnsi"/>
          <w:sz w:val="20"/>
          <w:szCs w:val="20"/>
        </w:rPr>
        <w:t>безпосередньо</w:t>
      </w:r>
      <w:r w:rsidRPr="000977F7">
        <w:rPr>
          <w:rFonts w:asciiTheme="majorHAnsi" w:hAnsiTheme="majorHAnsi"/>
          <w:spacing w:val="1"/>
          <w:sz w:val="20"/>
          <w:szCs w:val="20"/>
        </w:rPr>
        <w:t xml:space="preserve"> </w:t>
      </w:r>
      <w:r w:rsidRPr="000977F7">
        <w:rPr>
          <w:rFonts w:asciiTheme="majorHAnsi" w:hAnsiTheme="majorHAnsi"/>
          <w:sz w:val="20"/>
          <w:szCs w:val="20"/>
        </w:rPr>
        <w:t>без</w:t>
      </w:r>
      <w:r w:rsidRPr="000977F7">
        <w:rPr>
          <w:rFonts w:asciiTheme="majorHAnsi" w:hAnsiTheme="majorHAnsi"/>
          <w:spacing w:val="1"/>
          <w:sz w:val="20"/>
          <w:szCs w:val="20"/>
        </w:rPr>
        <w:t xml:space="preserve"> </w:t>
      </w:r>
      <w:r w:rsidRPr="000977F7">
        <w:rPr>
          <w:rFonts w:asciiTheme="majorHAnsi" w:hAnsiTheme="majorHAnsi"/>
          <w:sz w:val="20"/>
          <w:szCs w:val="20"/>
        </w:rPr>
        <w:t>перетворювання</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роду</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2"/>
          <w:sz w:val="20"/>
          <w:szCs w:val="20"/>
        </w:rPr>
        <w:t xml:space="preserve"> </w:t>
      </w:r>
      <w:r w:rsidRPr="000977F7">
        <w:rPr>
          <w:rFonts w:asciiTheme="majorHAnsi" w:hAnsiTheme="majorHAnsi"/>
          <w:sz w:val="20"/>
          <w:szCs w:val="20"/>
        </w:rPr>
        <w:t>відомих</w:t>
      </w:r>
      <w:r w:rsidRPr="000977F7">
        <w:rPr>
          <w:rFonts w:asciiTheme="majorHAnsi" w:hAnsiTheme="majorHAnsi"/>
          <w:spacing w:val="-1"/>
          <w:sz w:val="20"/>
          <w:szCs w:val="20"/>
        </w:rPr>
        <w:t xml:space="preserve"> </w:t>
      </w:r>
      <w:r w:rsidRPr="000977F7">
        <w:rPr>
          <w:rFonts w:asciiTheme="majorHAnsi" w:hAnsiTheme="majorHAnsi"/>
          <w:sz w:val="20"/>
          <w:szCs w:val="20"/>
        </w:rPr>
        <w:t>залежностей</w:t>
      </w:r>
    </w:p>
    <w:p w14:paraId="2207E45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3CEA44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ПРЯМЕ ЗАСТОСУВАННЯ МІЖНАРОДНОГО</w:t>
      </w:r>
      <w:r w:rsidRPr="000977F7">
        <w:rPr>
          <w:color w:val="auto"/>
          <w:spacing w:val="-47"/>
          <w:sz w:val="20"/>
          <w:szCs w:val="20"/>
        </w:rPr>
        <w:t xml:space="preserve"> </w:t>
      </w:r>
      <w:r w:rsidRPr="000977F7">
        <w:rPr>
          <w:color w:val="auto"/>
          <w:sz w:val="20"/>
          <w:szCs w:val="20"/>
        </w:rPr>
        <w:t>СТАНДАРТУ</w:t>
      </w:r>
      <w:r w:rsidRPr="000977F7">
        <w:rPr>
          <w:color w:val="auto"/>
          <w:spacing w:val="-1"/>
          <w:sz w:val="20"/>
          <w:szCs w:val="20"/>
        </w:rPr>
        <w:t xml:space="preserve"> </w:t>
      </w:r>
      <w:r w:rsidRPr="000977F7">
        <w:rPr>
          <w:color w:val="auto"/>
          <w:sz w:val="20"/>
          <w:szCs w:val="20"/>
        </w:rPr>
        <w:t>–</w:t>
      </w:r>
    </w:p>
    <w:p w14:paraId="4980CD0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DIRECT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APPLICATION</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AN</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INTERNATIONAL</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STANDARD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6D46AB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Застосування міжнародного стандарту незалежно від</w:t>
      </w:r>
      <w:r w:rsidRPr="000977F7">
        <w:rPr>
          <w:rFonts w:asciiTheme="majorHAnsi" w:hAnsiTheme="majorHAnsi"/>
          <w:spacing w:val="1"/>
          <w:sz w:val="20"/>
          <w:szCs w:val="20"/>
        </w:rPr>
        <w:t xml:space="preserve"> </w:t>
      </w:r>
      <w:r w:rsidRPr="000977F7">
        <w:rPr>
          <w:rFonts w:asciiTheme="majorHAnsi" w:hAnsiTheme="majorHAnsi"/>
          <w:sz w:val="20"/>
          <w:szCs w:val="20"/>
        </w:rPr>
        <w:t>прийняття його через будь-який інший нормативний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p>
    <w:p w14:paraId="4B3E503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3097C23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ПРЯМОПОТОКОВІСТЬ</w:t>
      </w:r>
      <w:r w:rsidRPr="000977F7">
        <w:rPr>
          <w:color w:val="auto"/>
          <w:spacing w:val="-7"/>
          <w:sz w:val="20"/>
          <w:szCs w:val="20"/>
        </w:rPr>
        <w:t xml:space="preserve"> </w:t>
      </w:r>
      <w:r w:rsidRPr="000977F7">
        <w:rPr>
          <w:color w:val="auto"/>
          <w:sz w:val="20"/>
          <w:szCs w:val="20"/>
        </w:rPr>
        <w:t>ВИРОБНИЦТВА–</w:t>
      </w:r>
    </w:p>
    <w:p w14:paraId="4902A4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Принцип організації потокового виробництва, згідно з</w:t>
      </w:r>
      <w:r w:rsidRPr="000977F7">
        <w:rPr>
          <w:rFonts w:asciiTheme="majorHAnsi" w:hAnsiTheme="majorHAnsi"/>
          <w:spacing w:val="-47"/>
          <w:sz w:val="20"/>
          <w:szCs w:val="20"/>
        </w:rPr>
        <w:t xml:space="preserve"> </w:t>
      </w:r>
      <w:r w:rsidRPr="000977F7">
        <w:rPr>
          <w:rFonts w:asciiTheme="majorHAnsi" w:hAnsiTheme="majorHAnsi"/>
          <w:sz w:val="20"/>
          <w:szCs w:val="20"/>
        </w:rPr>
        <w:t>яким просторове розміщення устаткування забезпечує</w:t>
      </w:r>
      <w:r w:rsidRPr="000977F7">
        <w:rPr>
          <w:rFonts w:asciiTheme="majorHAnsi" w:hAnsiTheme="majorHAnsi"/>
          <w:spacing w:val="-47"/>
          <w:sz w:val="20"/>
          <w:szCs w:val="20"/>
        </w:rPr>
        <w:t xml:space="preserve"> </w:t>
      </w:r>
      <w:r w:rsidRPr="000977F7">
        <w:rPr>
          <w:rFonts w:asciiTheme="majorHAnsi" w:hAnsiTheme="majorHAnsi"/>
          <w:sz w:val="20"/>
          <w:szCs w:val="20"/>
        </w:rPr>
        <w:t>найкоротший шлях проходження предметів праці між</w:t>
      </w:r>
      <w:r w:rsidRPr="000977F7">
        <w:rPr>
          <w:rFonts w:asciiTheme="majorHAnsi" w:hAnsiTheme="majorHAnsi"/>
          <w:spacing w:val="1"/>
          <w:sz w:val="20"/>
          <w:szCs w:val="20"/>
        </w:rPr>
        <w:t xml:space="preserve"> </w:t>
      </w:r>
      <w:r w:rsidRPr="000977F7">
        <w:rPr>
          <w:rFonts w:asciiTheme="majorHAnsi" w:hAnsiTheme="majorHAnsi"/>
          <w:sz w:val="20"/>
          <w:szCs w:val="20"/>
        </w:rPr>
        <w:t>усіма стадіями виробничого процесу без зустрічних та</w:t>
      </w:r>
      <w:r w:rsidRPr="000977F7">
        <w:rPr>
          <w:rFonts w:asciiTheme="majorHAnsi" w:hAnsiTheme="majorHAnsi"/>
          <w:spacing w:val="-47"/>
          <w:sz w:val="20"/>
          <w:szCs w:val="20"/>
        </w:rPr>
        <w:t xml:space="preserve"> </w:t>
      </w:r>
      <w:r w:rsidRPr="000977F7">
        <w:rPr>
          <w:rFonts w:asciiTheme="majorHAnsi" w:hAnsiTheme="majorHAnsi"/>
          <w:sz w:val="20"/>
          <w:szCs w:val="20"/>
        </w:rPr>
        <w:t>зворотних</w:t>
      </w:r>
      <w:r w:rsidRPr="000977F7">
        <w:rPr>
          <w:rFonts w:asciiTheme="majorHAnsi" w:hAnsiTheme="majorHAnsi"/>
          <w:spacing w:val="-2"/>
          <w:sz w:val="20"/>
          <w:szCs w:val="20"/>
        </w:rPr>
        <w:t xml:space="preserve"> </w:t>
      </w:r>
      <w:r w:rsidRPr="000977F7">
        <w:rPr>
          <w:rFonts w:asciiTheme="majorHAnsi" w:hAnsiTheme="majorHAnsi"/>
          <w:sz w:val="20"/>
          <w:szCs w:val="20"/>
        </w:rPr>
        <w:t>рухів</w:t>
      </w:r>
      <w:r w:rsidRPr="000977F7">
        <w:rPr>
          <w:rFonts w:asciiTheme="majorHAnsi" w:hAnsiTheme="majorHAnsi"/>
          <w:spacing w:val="-1"/>
          <w:sz w:val="20"/>
          <w:szCs w:val="20"/>
        </w:rPr>
        <w:t xml:space="preserve"> </w:t>
      </w:r>
      <w:r w:rsidRPr="000977F7">
        <w:rPr>
          <w:rFonts w:asciiTheme="majorHAnsi" w:hAnsiTheme="majorHAnsi"/>
          <w:sz w:val="20"/>
          <w:szCs w:val="20"/>
        </w:rPr>
        <w:t>матеріальних потоків</w:t>
      </w:r>
    </w:p>
    <w:p w14:paraId="0566F70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A1F3FC0"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ПУЛЬСАЦІЯ</w:t>
      </w:r>
      <w:r w:rsidRPr="000977F7">
        <w:rPr>
          <w:color w:val="auto"/>
          <w:spacing w:val="-3"/>
          <w:sz w:val="20"/>
          <w:szCs w:val="20"/>
        </w:rPr>
        <w:t xml:space="preserve"> </w:t>
      </w:r>
      <w:r w:rsidRPr="000977F7">
        <w:rPr>
          <w:color w:val="auto"/>
          <w:sz w:val="20"/>
          <w:szCs w:val="20"/>
        </w:rPr>
        <w:t>НАПРУГИ</w:t>
      </w:r>
      <w:r w:rsidRPr="000977F7">
        <w:rPr>
          <w:color w:val="auto"/>
          <w:spacing w:val="-1"/>
          <w:sz w:val="20"/>
          <w:szCs w:val="20"/>
        </w:rPr>
        <w:t xml:space="preserve"> </w:t>
      </w:r>
      <w:r w:rsidRPr="000977F7">
        <w:rPr>
          <w:color w:val="auto"/>
          <w:sz w:val="20"/>
          <w:szCs w:val="20"/>
        </w:rPr>
        <w:t>(СТРУМУ)</w:t>
      </w:r>
      <w:r w:rsidRPr="000977F7">
        <w:rPr>
          <w:color w:val="auto"/>
          <w:spacing w:val="-2"/>
          <w:sz w:val="20"/>
          <w:szCs w:val="20"/>
        </w:rPr>
        <w:t xml:space="preserve"> </w:t>
      </w:r>
      <w:r w:rsidRPr="000977F7">
        <w:rPr>
          <w:b w:val="0"/>
          <w:color w:val="auto"/>
          <w:sz w:val="20"/>
          <w:szCs w:val="20"/>
        </w:rPr>
        <w:t>–</w:t>
      </w:r>
    </w:p>
    <w:p w14:paraId="7BDD86C8"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Процес</w:t>
      </w:r>
      <w:r w:rsidRPr="000977F7">
        <w:rPr>
          <w:rFonts w:asciiTheme="majorHAnsi" w:hAnsiTheme="majorHAnsi"/>
          <w:spacing w:val="15"/>
          <w:sz w:val="20"/>
          <w:szCs w:val="20"/>
        </w:rPr>
        <w:t xml:space="preserve"> </w:t>
      </w:r>
      <w:r w:rsidRPr="000977F7">
        <w:rPr>
          <w:rFonts w:asciiTheme="majorHAnsi" w:hAnsiTheme="majorHAnsi"/>
          <w:sz w:val="20"/>
          <w:szCs w:val="20"/>
        </w:rPr>
        <w:t>періодичної</w:t>
      </w:r>
      <w:r w:rsidRPr="000977F7">
        <w:rPr>
          <w:rFonts w:asciiTheme="majorHAnsi" w:hAnsiTheme="majorHAnsi"/>
          <w:spacing w:val="15"/>
          <w:sz w:val="20"/>
          <w:szCs w:val="20"/>
        </w:rPr>
        <w:t xml:space="preserve"> </w:t>
      </w:r>
      <w:r w:rsidRPr="000977F7">
        <w:rPr>
          <w:rFonts w:asciiTheme="majorHAnsi" w:hAnsiTheme="majorHAnsi"/>
          <w:sz w:val="20"/>
          <w:szCs w:val="20"/>
        </w:rPr>
        <w:t>чи</w:t>
      </w:r>
      <w:r w:rsidRPr="000977F7">
        <w:rPr>
          <w:rFonts w:asciiTheme="majorHAnsi" w:hAnsiTheme="majorHAnsi"/>
          <w:spacing w:val="16"/>
          <w:sz w:val="20"/>
          <w:szCs w:val="20"/>
        </w:rPr>
        <w:t xml:space="preserve"> </w:t>
      </w:r>
      <w:r w:rsidRPr="000977F7">
        <w:rPr>
          <w:rFonts w:asciiTheme="majorHAnsi" w:hAnsiTheme="majorHAnsi"/>
          <w:sz w:val="20"/>
          <w:szCs w:val="20"/>
        </w:rPr>
        <w:t>випадкової</w:t>
      </w:r>
      <w:r w:rsidRPr="000977F7">
        <w:rPr>
          <w:rFonts w:asciiTheme="majorHAnsi" w:hAnsiTheme="majorHAnsi"/>
          <w:spacing w:val="15"/>
          <w:sz w:val="20"/>
          <w:szCs w:val="20"/>
        </w:rPr>
        <w:t xml:space="preserve"> </w:t>
      </w:r>
      <w:r w:rsidRPr="000977F7">
        <w:rPr>
          <w:rFonts w:asciiTheme="majorHAnsi" w:hAnsiTheme="majorHAnsi"/>
          <w:sz w:val="20"/>
          <w:szCs w:val="20"/>
        </w:rPr>
        <w:t>зміни</w:t>
      </w:r>
      <w:r w:rsidRPr="000977F7">
        <w:rPr>
          <w:rFonts w:asciiTheme="majorHAnsi" w:hAnsiTheme="majorHAnsi"/>
          <w:spacing w:val="14"/>
          <w:sz w:val="20"/>
          <w:szCs w:val="20"/>
        </w:rPr>
        <w:t xml:space="preserve"> </w:t>
      </w:r>
      <w:r w:rsidRPr="000977F7">
        <w:rPr>
          <w:rFonts w:asciiTheme="majorHAnsi" w:hAnsiTheme="majorHAnsi"/>
          <w:sz w:val="20"/>
          <w:szCs w:val="20"/>
        </w:rPr>
        <w:t>постійної</w:t>
      </w:r>
      <w:r w:rsidRPr="000977F7">
        <w:rPr>
          <w:rFonts w:asciiTheme="majorHAnsi" w:hAnsiTheme="majorHAnsi"/>
          <w:spacing w:val="-47"/>
          <w:sz w:val="20"/>
          <w:szCs w:val="20"/>
        </w:rPr>
        <w:t xml:space="preserve"> </w:t>
      </w:r>
      <w:r w:rsidRPr="000977F7">
        <w:rPr>
          <w:rFonts w:asciiTheme="majorHAnsi" w:hAnsiTheme="majorHAnsi"/>
          <w:sz w:val="20"/>
          <w:szCs w:val="20"/>
        </w:rPr>
        <w:t>напруги</w:t>
      </w:r>
      <w:r w:rsidRPr="000977F7">
        <w:rPr>
          <w:rFonts w:asciiTheme="majorHAnsi" w:hAnsiTheme="majorHAnsi"/>
          <w:spacing w:val="40"/>
          <w:sz w:val="20"/>
          <w:szCs w:val="20"/>
        </w:rPr>
        <w:t xml:space="preserve"> </w:t>
      </w:r>
      <w:r w:rsidRPr="000977F7">
        <w:rPr>
          <w:rFonts w:asciiTheme="majorHAnsi" w:hAnsiTheme="majorHAnsi"/>
          <w:sz w:val="20"/>
          <w:szCs w:val="20"/>
        </w:rPr>
        <w:t>(струму)</w:t>
      </w:r>
      <w:r w:rsidRPr="000977F7">
        <w:rPr>
          <w:rFonts w:asciiTheme="majorHAnsi" w:hAnsiTheme="majorHAnsi"/>
          <w:spacing w:val="43"/>
          <w:sz w:val="20"/>
          <w:szCs w:val="20"/>
        </w:rPr>
        <w:t xml:space="preserve"> </w:t>
      </w:r>
      <w:r w:rsidRPr="000977F7">
        <w:rPr>
          <w:rFonts w:asciiTheme="majorHAnsi" w:hAnsiTheme="majorHAnsi"/>
          <w:sz w:val="20"/>
          <w:szCs w:val="20"/>
        </w:rPr>
        <w:t>відносно</w:t>
      </w:r>
      <w:r w:rsidRPr="000977F7">
        <w:rPr>
          <w:rFonts w:asciiTheme="majorHAnsi" w:hAnsiTheme="majorHAnsi"/>
          <w:spacing w:val="45"/>
          <w:sz w:val="20"/>
          <w:szCs w:val="20"/>
        </w:rPr>
        <w:t xml:space="preserve"> </w:t>
      </w:r>
      <w:r w:rsidRPr="000977F7">
        <w:rPr>
          <w:rFonts w:asciiTheme="majorHAnsi" w:hAnsiTheme="majorHAnsi"/>
          <w:sz w:val="20"/>
          <w:szCs w:val="20"/>
        </w:rPr>
        <w:t>її</w:t>
      </w:r>
      <w:r w:rsidRPr="000977F7">
        <w:rPr>
          <w:rFonts w:asciiTheme="majorHAnsi" w:hAnsiTheme="majorHAnsi"/>
          <w:spacing w:val="42"/>
          <w:sz w:val="20"/>
          <w:szCs w:val="20"/>
        </w:rPr>
        <w:t xml:space="preserve"> </w:t>
      </w:r>
      <w:r w:rsidRPr="000977F7">
        <w:rPr>
          <w:rFonts w:asciiTheme="majorHAnsi" w:hAnsiTheme="majorHAnsi"/>
          <w:sz w:val="20"/>
          <w:szCs w:val="20"/>
        </w:rPr>
        <w:t>середнього</w:t>
      </w:r>
      <w:r w:rsidRPr="000977F7">
        <w:rPr>
          <w:rFonts w:asciiTheme="majorHAnsi" w:hAnsiTheme="majorHAnsi"/>
          <w:spacing w:val="42"/>
          <w:sz w:val="20"/>
          <w:szCs w:val="20"/>
        </w:rPr>
        <w:t xml:space="preserve"> </w:t>
      </w:r>
      <w:r w:rsidRPr="000977F7">
        <w:rPr>
          <w:rFonts w:asciiTheme="majorHAnsi" w:hAnsiTheme="majorHAnsi"/>
          <w:sz w:val="20"/>
          <w:szCs w:val="20"/>
        </w:rPr>
        <w:t>значення</w:t>
      </w:r>
      <w:r w:rsidRPr="000977F7">
        <w:rPr>
          <w:rFonts w:asciiTheme="majorHAnsi" w:hAnsiTheme="majorHAnsi"/>
          <w:spacing w:val="42"/>
          <w:sz w:val="20"/>
          <w:szCs w:val="20"/>
        </w:rPr>
        <w:t xml:space="preserve"> </w:t>
      </w:r>
      <w:r w:rsidRPr="000977F7">
        <w:rPr>
          <w:rFonts w:asciiTheme="majorHAnsi" w:hAnsiTheme="majorHAnsi"/>
          <w:sz w:val="20"/>
          <w:szCs w:val="20"/>
        </w:rPr>
        <w:t>в</w:t>
      </w:r>
      <w:r w:rsidRPr="000977F7">
        <w:rPr>
          <w:rFonts w:asciiTheme="majorHAnsi" w:hAnsiTheme="majorHAnsi"/>
          <w:spacing w:val="-47"/>
          <w:sz w:val="20"/>
          <w:szCs w:val="20"/>
        </w:rPr>
        <w:t xml:space="preserve"> </w:t>
      </w:r>
      <w:r w:rsidRPr="000977F7">
        <w:rPr>
          <w:rFonts w:asciiTheme="majorHAnsi" w:hAnsiTheme="majorHAnsi"/>
          <w:sz w:val="20"/>
          <w:szCs w:val="20"/>
        </w:rPr>
        <w:t>усталеному</w:t>
      </w:r>
      <w:r w:rsidRPr="000977F7">
        <w:rPr>
          <w:rFonts w:asciiTheme="majorHAnsi" w:hAnsiTheme="majorHAnsi"/>
          <w:spacing w:val="2"/>
          <w:sz w:val="20"/>
          <w:szCs w:val="20"/>
        </w:rPr>
        <w:t xml:space="preserve"> </w:t>
      </w:r>
      <w:r w:rsidRPr="000977F7">
        <w:rPr>
          <w:rFonts w:asciiTheme="majorHAnsi" w:hAnsiTheme="majorHAnsi"/>
          <w:sz w:val="20"/>
          <w:szCs w:val="20"/>
        </w:rPr>
        <w:t>режимі</w:t>
      </w:r>
      <w:r w:rsidRPr="000977F7">
        <w:rPr>
          <w:rFonts w:asciiTheme="majorHAnsi" w:hAnsiTheme="majorHAnsi"/>
          <w:spacing w:val="3"/>
          <w:sz w:val="20"/>
          <w:szCs w:val="20"/>
        </w:rPr>
        <w:t xml:space="preserve"> </w:t>
      </w:r>
      <w:r w:rsidRPr="000977F7">
        <w:rPr>
          <w:rFonts w:asciiTheme="majorHAnsi" w:hAnsiTheme="majorHAnsi"/>
          <w:sz w:val="20"/>
          <w:szCs w:val="20"/>
        </w:rPr>
        <w:t>роботи</w:t>
      </w:r>
      <w:r w:rsidRPr="000977F7">
        <w:rPr>
          <w:rFonts w:asciiTheme="majorHAnsi" w:hAnsiTheme="majorHAnsi"/>
          <w:spacing w:val="4"/>
          <w:sz w:val="20"/>
          <w:szCs w:val="20"/>
        </w:rPr>
        <w:t xml:space="preserve"> </w:t>
      </w:r>
      <w:r w:rsidRPr="000977F7">
        <w:rPr>
          <w:rFonts w:asciiTheme="majorHAnsi" w:hAnsiTheme="majorHAnsi"/>
          <w:sz w:val="20"/>
          <w:szCs w:val="20"/>
        </w:rPr>
        <w:t>джерела,</w:t>
      </w:r>
      <w:r w:rsidRPr="000977F7">
        <w:rPr>
          <w:rFonts w:asciiTheme="majorHAnsi" w:hAnsiTheme="majorHAnsi"/>
          <w:spacing w:val="6"/>
          <w:sz w:val="20"/>
          <w:szCs w:val="20"/>
        </w:rPr>
        <w:t xml:space="preserve"> </w:t>
      </w:r>
      <w:r w:rsidRPr="000977F7">
        <w:rPr>
          <w:rFonts w:asciiTheme="majorHAnsi" w:hAnsiTheme="majorHAnsi"/>
          <w:sz w:val="20"/>
          <w:szCs w:val="20"/>
        </w:rPr>
        <w:t>перетворювача</w:t>
      </w:r>
      <w:r w:rsidRPr="000977F7">
        <w:rPr>
          <w:rFonts w:asciiTheme="majorHAnsi" w:hAnsiTheme="majorHAnsi"/>
          <w:spacing w:val="-47"/>
          <w:sz w:val="20"/>
          <w:szCs w:val="20"/>
        </w:rPr>
        <w:t xml:space="preserve"> </w:t>
      </w:r>
      <w:r w:rsidRPr="000977F7">
        <w:rPr>
          <w:rFonts w:asciiTheme="majorHAnsi" w:hAnsiTheme="majorHAnsi"/>
          <w:sz w:val="20"/>
          <w:szCs w:val="20"/>
        </w:rPr>
        <w:t>електричної енергії чи електропостачальної системи</w:t>
      </w:r>
    </w:p>
    <w:p w14:paraId="7C88A548"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2139BA7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ПУНКТ</w:t>
      </w:r>
      <w:r w:rsidRPr="000977F7">
        <w:rPr>
          <w:color w:val="auto"/>
          <w:spacing w:val="-4"/>
          <w:sz w:val="20"/>
          <w:szCs w:val="20"/>
        </w:rPr>
        <w:t xml:space="preserve"> </w:t>
      </w:r>
      <w:r w:rsidRPr="000977F7">
        <w:rPr>
          <w:color w:val="auto"/>
          <w:sz w:val="20"/>
          <w:szCs w:val="20"/>
        </w:rPr>
        <w:t>ЗАТРИМКИ</w:t>
      </w:r>
      <w:r w:rsidRPr="000977F7">
        <w:rPr>
          <w:color w:val="auto"/>
          <w:spacing w:val="-1"/>
          <w:sz w:val="20"/>
          <w:szCs w:val="20"/>
        </w:rPr>
        <w:t xml:space="preserve"> </w:t>
      </w:r>
      <w:r w:rsidRPr="000977F7">
        <w:rPr>
          <w:color w:val="auto"/>
          <w:sz w:val="20"/>
          <w:szCs w:val="20"/>
        </w:rPr>
        <w:t>–</w:t>
      </w:r>
    </w:p>
    <w:p w14:paraId="3EB30B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HOLD</w:t>
      </w:r>
      <w:r w:rsidRPr="000977F7">
        <w:rPr>
          <w:rFonts w:asciiTheme="majorHAnsi" w:hAnsiTheme="majorHAnsi"/>
          <w:spacing w:val="-2"/>
          <w:sz w:val="20"/>
          <w:szCs w:val="20"/>
        </w:rPr>
        <w:t xml:space="preserve"> </w:t>
      </w:r>
      <w:r w:rsidRPr="000977F7">
        <w:rPr>
          <w:rFonts w:asciiTheme="majorHAnsi" w:hAnsiTheme="majorHAnsi"/>
          <w:sz w:val="20"/>
          <w:szCs w:val="20"/>
        </w:rPr>
        <w:t>POINT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75D57D4A"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sz w:val="20"/>
          <w:szCs w:val="20"/>
        </w:rPr>
        <w:t>Пункт,</w:t>
      </w:r>
      <w:r w:rsidRPr="000977F7">
        <w:rPr>
          <w:rFonts w:asciiTheme="majorHAnsi" w:hAnsiTheme="majorHAnsi"/>
          <w:spacing w:val="36"/>
          <w:sz w:val="20"/>
          <w:szCs w:val="20"/>
        </w:rPr>
        <w:t xml:space="preserve"> </w:t>
      </w:r>
      <w:r w:rsidRPr="000977F7">
        <w:rPr>
          <w:rFonts w:asciiTheme="majorHAnsi" w:hAnsiTheme="majorHAnsi"/>
          <w:sz w:val="20"/>
          <w:szCs w:val="20"/>
        </w:rPr>
        <w:t>зазначений</w:t>
      </w:r>
      <w:r w:rsidRPr="000977F7">
        <w:rPr>
          <w:rFonts w:asciiTheme="majorHAnsi" w:hAnsiTheme="majorHAnsi"/>
          <w:spacing w:val="38"/>
          <w:sz w:val="20"/>
          <w:szCs w:val="20"/>
        </w:rPr>
        <w:t xml:space="preserve"> </w:t>
      </w:r>
      <w:r w:rsidRPr="000977F7">
        <w:rPr>
          <w:rFonts w:asciiTheme="majorHAnsi" w:hAnsiTheme="majorHAnsi"/>
          <w:sz w:val="20"/>
          <w:szCs w:val="20"/>
        </w:rPr>
        <w:t>у</w:t>
      </w:r>
      <w:r w:rsidRPr="000977F7">
        <w:rPr>
          <w:rFonts w:asciiTheme="majorHAnsi" w:hAnsiTheme="majorHAnsi"/>
          <w:spacing w:val="35"/>
          <w:sz w:val="20"/>
          <w:szCs w:val="20"/>
        </w:rPr>
        <w:t xml:space="preserve"> </w:t>
      </w:r>
      <w:r w:rsidRPr="000977F7">
        <w:rPr>
          <w:rFonts w:asciiTheme="majorHAnsi" w:hAnsiTheme="majorHAnsi"/>
          <w:sz w:val="20"/>
          <w:szCs w:val="20"/>
        </w:rPr>
        <w:t>відповідному</w:t>
      </w:r>
      <w:r w:rsidRPr="000977F7">
        <w:rPr>
          <w:rFonts w:asciiTheme="majorHAnsi" w:hAnsiTheme="majorHAnsi"/>
          <w:spacing w:val="34"/>
          <w:sz w:val="20"/>
          <w:szCs w:val="20"/>
        </w:rPr>
        <w:t xml:space="preserve"> </w:t>
      </w:r>
      <w:r w:rsidRPr="000977F7">
        <w:rPr>
          <w:rFonts w:asciiTheme="majorHAnsi" w:hAnsiTheme="majorHAnsi"/>
          <w:sz w:val="20"/>
          <w:szCs w:val="20"/>
        </w:rPr>
        <w:t>документі,</w:t>
      </w:r>
      <w:r w:rsidRPr="000977F7">
        <w:rPr>
          <w:rFonts w:asciiTheme="majorHAnsi" w:hAnsiTheme="majorHAnsi"/>
          <w:spacing w:val="36"/>
          <w:sz w:val="20"/>
          <w:szCs w:val="20"/>
        </w:rPr>
        <w:t xml:space="preserve"> </w:t>
      </w:r>
      <w:r w:rsidRPr="000977F7">
        <w:rPr>
          <w:rFonts w:asciiTheme="majorHAnsi" w:hAnsiTheme="majorHAnsi"/>
          <w:sz w:val="20"/>
          <w:szCs w:val="20"/>
        </w:rPr>
        <w:t>за</w:t>
      </w:r>
      <w:r w:rsidRPr="000977F7">
        <w:rPr>
          <w:rFonts w:asciiTheme="majorHAnsi" w:hAnsiTheme="majorHAnsi"/>
          <w:spacing w:val="37"/>
          <w:sz w:val="20"/>
          <w:szCs w:val="20"/>
        </w:rPr>
        <w:t xml:space="preserve"> </w:t>
      </w:r>
      <w:r w:rsidRPr="000977F7">
        <w:rPr>
          <w:rFonts w:asciiTheme="majorHAnsi" w:hAnsiTheme="majorHAnsi"/>
          <w:sz w:val="20"/>
          <w:szCs w:val="20"/>
        </w:rPr>
        <w:t>межами</w:t>
      </w:r>
      <w:r w:rsidRPr="000977F7">
        <w:rPr>
          <w:rFonts w:asciiTheme="majorHAnsi" w:hAnsiTheme="majorHAnsi"/>
          <w:spacing w:val="44"/>
          <w:sz w:val="20"/>
          <w:szCs w:val="20"/>
        </w:rPr>
        <w:t xml:space="preserve"> </w:t>
      </w:r>
      <w:r w:rsidRPr="000977F7">
        <w:rPr>
          <w:rFonts w:asciiTheme="majorHAnsi" w:hAnsiTheme="majorHAnsi"/>
          <w:sz w:val="20"/>
          <w:szCs w:val="20"/>
        </w:rPr>
        <w:t>якого</w:t>
      </w:r>
      <w:r w:rsidRPr="000977F7">
        <w:rPr>
          <w:rFonts w:asciiTheme="majorHAnsi" w:hAnsiTheme="majorHAnsi"/>
          <w:spacing w:val="46"/>
          <w:sz w:val="20"/>
          <w:szCs w:val="20"/>
        </w:rPr>
        <w:t xml:space="preserve"> </w:t>
      </w:r>
      <w:r w:rsidRPr="000977F7">
        <w:rPr>
          <w:rFonts w:asciiTheme="majorHAnsi" w:hAnsiTheme="majorHAnsi"/>
          <w:sz w:val="20"/>
          <w:szCs w:val="20"/>
        </w:rPr>
        <w:t>діяльність</w:t>
      </w:r>
      <w:r w:rsidRPr="000977F7">
        <w:rPr>
          <w:rFonts w:asciiTheme="majorHAnsi" w:hAnsiTheme="majorHAnsi"/>
          <w:spacing w:val="46"/>
          <w:sz w:val="20"/>
          <w:szCs w:val="20"/>
        </w:rPr>
        <w:t xml:space="preserve"> </w:t>
      </w:r>
      <w:r w:rsidRPr="000977F7">
        <w:rPr>
          <w:rFonts w:asciiTheme="majorHAnsi" w:hAnsiTheme="majorHAnsi"/>
          <w:sz w:val="20"/>
          <w:szCs w:val="20"/>
        </w:rPr>
        <w:t>не</w:t>
      </w:r>
      <w:r w:rsidRPr="000977F7">
        <w:rPr>
          <w:rFonts w:asciiTheme="majorHAnsi" w:hAnsiTheme="majorHAnsi"/>
          <w:spacing w:val="48"/>
          <w:sz w:val="20"/>
          <w:szCs w:val="20"/>
        </w:rPr>
        <w:t xml:space="preserve"> </w:t>
      </w:r>
      <w:r w:rsidRPr="000977F7">
        <w:rPr>
          <w:rFonts w:asciiTheme="majorHAnsi" w:hAnsiTheme="majorHAnsi"/>
          <w:sz w:val="20"/>
          <w:szCs w:val="20"/>
        </w:rPr>
        <w:t>може</w:t>
      </w:r>
      <w:r w:rsidRPr="000977F7">
        <w:rPr>
          <w:rFonts w:asciiTheme="majorHAnsi" w:hAnsiTheme="majorHAnsi"/>
          <w:spacing w:val="45"/>
          <w:sz w:val="20"/>
          <w:szCs w:val="20"/>
        </w:rPr>
        <w:t xml:space="preserve"> </w:t>
      </w:r>
      <w:r w:rsidRPr="000977F7">
        <w:rPr>
          <w:rFonts w:asciiTheme="majorHAnsi" w:hAnsiTheme="majorHAnsi"/>
          <w:sz w:val="20"/>
          <w:szCs w:val="20"/>
        </w:rPr>
        <w:t>тривати</w:t>
      </w:r>
      <w:r w:rsidRPr="000977F7">
        <w:rPr>
          <w:rFonts w:asciiTheme="majorHAnsi" w:hAnsiTheme="majorHAnsi"/>
          <w:spacing w:val="45"/>
          <w:sz w:val="20"/>
          <w:szCs w:val="20"/>
        </w:rPr>
        <w:t xml:space="preserve"> </w:t>
      </w:r>
      <w:r w:rsidRPr="000977F7">
        <w:rPr>
          <w:rFonts w:asciiTheme="majorHAnsi" w:hAnsiTheme="majorHAnsi"/>
          <w:sz w:val="20"/>
          <w:szCs w:val="20"/>
        </w:rPr>
        <w:t>без</w:t>
      </w:r>
      <w:r w:rsidRPr="000977F7">
        <w:rPr>
          <w:rFonts w:asciiTheme="majorHAnsi" w:hAnsiTheme="majorHAnsi"/>
          <w:spacing w:val="45"/>
          <w:sz w:val="20"/>
          <w:szCs w:val="20"/>
        </w:rPr>
        <w:t xml:space="preserve"> </w:t>
      </w:r>
      <w:r w:rsidRPr="000977F7">
        <w:rPr>
          <w:rFonts w:asciiTheme="majorHAnsi" w:hAnsiTheme="majorHAnsi"/>
          <w:sz w:val="20"/>
          <w:szCs w:val="20"/>
        </w:rPr>
        <w:t>санкції</w:t>
      </w:r>
      <w:r w:rsidRPr="000977F7">
        <w:rPr>
          <w:rFonts w:asciiTheme="majorHAnsi" w:hAnsiTheme="majorHAnsi"/>
          <w:spacing w:val="-47"/>
          <w:sz w:val="20"/>
          <w:szCs w:val="20"/>
        </w:rPr>
        <w:t xml:space="preserve"> </w:t>
      </w:r>
      <w:r w:rsidRPr="000977F7">
        <w:rPr>
          <w:rFonts w:asciiTheme="majorHAnsi" w:hAnsiTheme="majorHAnsi"/>
          <w:sz w:val="20"/>
          <w:szCs w:val="20"/>
        </w:rPr>
        <w:t>певної організації чи повноважного органу (особи)</w:t>
      </w:r>
      <w:r w:rsidRPr="000977F7">
        <w:rPr>
          <w:rFonts w:asciiTheme="majorHAnsi" w:hAnsiTheme="majorHAnsi"/>
          <w:spacing w:val="1"/>
          <w:sz w:val="20"/>
          <w:szCs w:val="20"/>
        </w:rPr>
        <w:t xml:space="preserve"> </w:t>
      </w:r>
    </w:p>
    <w:p w14:paraId="1A346BDB"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ПУНКТ КОНТРОЛЮ ЯКОСТІ ЕЛЕКТРИЧНОЇ</w:t>
      </w:r>
      <w:r w:rsidRPr="000977F7">
        <w:rPr>
          <w:rFonts w:asciiTheme="majorHAnsi" w:hAnsiTheme="majorHAnsi"/>
          <w:b/>
          <w:spacing w:val="1"/>
          <w:sz w:val="20"/>
          <w:szCs w:val="20"/>
        </w:rPr>
        <w:t xml:space="preserve"> </w:t>
      </w:r>
      <w:r w:rsidRPr="000977F7">
        <w:rPr>
          <w:rFonts w:asciiTheme="majorHAnsi" w:hAnsiTheme="majorHAnsi"/>
          <w:b/>
          <w:sz w:val="20"/>
          <w:szCs w:val="20"/>
        </w:rPr>
        <w:t>ЕНЕРГІЇ</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681A80A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Точка електропостачальної системи, до якої приєднано засоби вимірювання для контролю показників якості</w:t>
      </w:r>
      <w:r w:rsidRPr="000977F7">
        <w:rPr>
          <w:rFonts w:asciiTheme="majorHAnsi" w:hAnsiTheme="majorHAnsi"/>
          <w:spacing w:val="-2"/>
          <w:sz w:val="20"/>
          <w:szCs w:val="20"/>
        </w:rPr>
        <w:t xml:space="preserve"> </w:t>
      </w:r>
      <w:r w:rsidRPr="000977F7">
        <w:rPr>
          <w:rFonts w:asciiTheme="majorHAnsi" w:hAnsiTheme="majorHAnsi"/>
          <w:sz w:val="20"/>
          <w:szCs w:val="20"/>
        </w:rPr>
        <w:t>електричної</w:t>
      </w:r>
      <w:r w:rsidRPr="000977F7">
        <w:rPr>
          <w:rFonts w:asciiTheme="majorHAnsi" w:hAnsiTheme="majorHAnsi"/>
          <w:spacing w:val="-1"/>
          <w:sz w:val="20"/>
          <w:szCs w:val="20"/>
        </w:rPr>
        <w:t xml:space="preserve"> </w:t>
      </w:r>
      <w:r w:rsidRPr="000977F7">
        <w:rPr>
          <w:rFonts w:asciiTheme="majorHAnsi" w:hAnsiTheme="majorHAnsi"/>
          <w:sz w:val="20"/>
          <w:szCs w:val="20"/>
        </w:rPr>
        <w:t>енергії</w:t>
      </w:r>
    </w:p>
    <w:p w14:paraId="5BC68D8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6B30BF2C"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sz w:val="20"/>
          <w:szCs w:val="20"/>
        </w:rPr>
        <w:t>ПУHKT</w:t>
      </w:r>
      <w:r w:rsidRPr="000977F7">
        <w:rPr>
          <w:rFonts w:asciiTheme="majorHAnsi" w:hAnsiTheme="majorHAnsi"/>
          <w:b/>
          <w:bCs/>
          <w:spacing w:val="-4"/>
          <w:sz w:val="20"/>
          <w:szCs w:val="20"/>
        </w:rPr>
        <w:t xml:space="preserve"> </w:t>
      </w:r>
      <w:r w:rsidRPr="000977F7">
        <w:rPr>
          <w:rFonts w:asciiTheme="majorHAnsi" w:hAnsiTheme="majorHAnsi"/>
          <w:b/>
          <w:bCs/>
          <w:sz w:val="20"/>
          <w:szCs w:val="20"/>
        </w:rPr>
        <w:t>РЕГУЛЮВАННЯ</w:t>
      </w:r>
      <w:r w:rsidRPr="000977F7">
        <w:rPr>
          <w:rFonts w:asciiTheme="majorHAnsi" w:hAnsiTheme="majorHAnsi"/>
          <w:b/>
          <w:bCs/>
          <w:spacing w:val="-3"/>
          <w:sz w:val="20"/>
          <w:szCs w:val="20"/>
        </w:rPr>
        <w:t xml:space="preserve"> </w:t>
      </w:r>
      <w:r w:rsidRPr="000977F7">
        <w:rPr>
          <w:rFonts w:asciiTheme="majorHAnsi" w:hAnsiTheme="majorHAnsi"/>
          <w:b/>
          <w:bCs/>
          <w:sz w:val="20"/>
          <w:szCs w:val="20"/>
        </w:rPr>
        <w:t>НАПРУГИ</w:t>
      </w:r>
      <w:r w:rsidRPr="000977F7">
        <w:rPr>
          <w:rFonts w:asciiTheme="majorHAnsi" w:hAnsiTheme="majorHAnsi"/>
          <w:b/>
          <w:bCs/>
          <w:spacing w:val="-1"/>
          <w:sz w:val="20"/>
          <w:szCs w:val="20"/>
        </w:rPr>
        <w:t xml:space="preserve"> </w:t>
      </w:r>
      <w:r w:rsidRPr="000977F7">
        <w:rPr>
          <w:rFonts w:asciiTheme="majorHAnsi" w:hAnsiTheme="majorHAnsi"/>
          <w:b/>
          <w:bCs/>
          <w:sz w:val="20"/>
          <w:szCs w:val="20"/>
        </w:rPr>
        <w:t>—</w:t>
      </w:r>
    </w:p>
    <w:p w14:paraId="4822E53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Пункт електропостачальної системи, в якому</w:t>
      </w:r>
      <w:r w:rsidRPr="000977F7">
        <w:rPr>
          <w:rFonts w:asciiTheme="majorHAnsi" w:hAnsiTheme="majorHAnsi"/>
          <w:spacing w:val="25"/>
          <w:sz w:val="20"/>
          <w:szCs w:val="20"/>
        </w:rPr>
        <w:t xml:space="preserve"> </w:t>
      </w:r>
      <w:r w:rsidRPr="000977F7">
        <w:rPr>
          <w:rFonts w:asciiTheme="majorHAnsi" w:hAnsiTheme="majorHAnsi"/>
          <w:sz w:val="20"/>
          <w:szCs w:val="20"/>
        </w:rPr>
        <w:t>підімкнено пристрої для регулювання напруги</w:t>
      </w:r>
    </w:p>
    <w:p w14:paraId="7DC0F826" w14:textId="77777777" w:rsidR="0097612F" w:rsidRPr="000977F7" w:rsidRDefault="0097612F" w:rsidP="000977F7">
      <w:pPr>
        <w:tabs>
          <w:tab w:val="left" w:pos="284"/>
        </w:tabs>
        <w:spacing w:after="0" w:line="240" w:lineRule="auto"/>
        <w:ind w:left="170"/>
        <w:mirrorIndents/>
        <w:jc w:val="both"/>
        <w:rPr>
          <w:rFonts w:asciiTheme="majorHAnsi" w:hAnsiTheme="majorHAnsi"/>
          <w:w w:val="99"/>
          <w:sz w:val="20"/>
          <w:szCs w:val="20"/>
        </w:rPr>
        <w:sectPr w:rsidR="0097612F" w:rsidRPr="000977F7" w:rsidSect="000977F7">
          <w:type w:val="continuous"/>
          <w:pgSz w:w="11910" w:h="16840"/>
          <w:pgMar w:top="800" w:right="711" w:bottom="960" w:left="1000" w:header="0" w:footer="751" w:gutter="0"/>
          <w:cols w:num="2" w:space="454"/>
        </w:sect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3466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6EFCC356" w14:textId="77777777" w:rsidR="0097612F" w:rsidRPr="00C10197" w:rsidRDefault="0097612F" w:rsidP="00C10197">
      <w:pPr>
        <w:pStyle w:val="1"/>
        <w:rPr>
          <w:lang w:val="uk-UA"/>
        </w:rPr>
        <w:sectPr w:rsidR="0097612F" w:rsidRPr="00C10197" w:rsidSect="000977F7">
          <w:pgSz w:w="11910" w:h="16840"/>
          <w:pgMar w:top="800" w:right="711" w:bottom="960" w:left="1000" w:header="0" w:footer="751" w:gutter="0"/>
          <w:cols w:num="2" w:space="454"/>
        </w:sectPr>
      </w:pPr>
      <w:bookmarkStart w:id="234" w:name="_Toc132629644"/>
      <w:r w:rsidRPr="00C10197">
        <w:rPr>
          <w:lang w:val="uk-UA"/>
        </w:rPr>
        <w:lastRenderedPageBreak/>
        <w:t>Р</w:t>
      </w:r>
      <w:bookmarkEnd w:id="234"/>
    </w:p>
    <w:p w14:paraId="71DEAC0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РАДА</w:t>
      </w:r>
      <w:r w:rsidRPr="000977F7">
        <w:rPr>
          <w:color w:val="auto"/>
          <w:spacing w:val="-3"/>
          <w:sz w:val="20"/>
          <w:szCs w:val="20"/>
        </w:rPr>
        <w:t xml:space="preserve"> </w:t>
      </w:r>
      <w:r w:rsidRPr="000977F7">
        <w:rPr>
          <w:color w:val="auto"/>
          <w:sz w:val="20"/>
          <w:szCs w:val="20"/>
        </w:rPr>
        <w:t>З</w:t>
      </w:r>
      <w:r w:rsidRPr="000977F7">
        <w:rPr>
          <w:color w:val="auto"/>
          <w:spacing w:val="-3"/>
          <w:sz w:val="20"/>
          <w:szCs w:val="20"/>
        </w:rPr>
        <w:t xml:space="preserve"> </w:t>
      </w:r>
      <w:r w:rsidRPr="000977F7">
        <w:rPr>
          <w:color w:val="auto"/>
          <w:sz w:val="20"/>
          <w:szCs w:val="20"/>
        </w:rPr>
        <w:t>АКРЕДИТАЦІЇ</w:t>
      </w:r>
      <w:r w:rsidRPr="000977F7">
        <w:rPr>
          <w:color w:val="auto"/>
          <w:spacing w:val="-2"/>
          <w:sz w:val="20"/>
          <w:szCs w:val="20"/>
        </w:rPr>
        <w:t xml:space="preserve"> </w:t>
      </w:r>
      <w:r w:rsidRPr="000977F7">
        <w:rPr>
          <w:color w:val="auto"/>
          <w:sz w:val="20"/>
          <w:szCs w:val="20"/>
        </w:rPr>
        <w:t>–</w:t>
      </w:r>
    </w:p>
    <w:p w14:paraId="067B91F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Рада є дорадчо-наглядовим органом національного органу України з акредитації. Рада з акредитації формується на паритетних засадах з:</w:t>
      </w:r>
    </w:p>
    <w:p w14:paraId="4D9C8F5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представників центральних органів виконавчої влади;</w:t>
      </w:r>
    </w:p>
    <w:p w14:paraId="0A3312A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представників акредитованих органів з оцінки відповідності;</w:t>
      </w:r>
    </w:p>
    <w:p w14:paraId="645F970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представників наукових установ, союзів (спілок, асоціацій) суб'єктів господарювання, громадських організацій.</w:t>
      </w:r>
    </w:p>
    <w:p w14:paraId="423142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bookmarkStart w:id="235" w:name="n149"/>
      <w:bookmarkEnd w:id="235"/>
      <w:r w:rsidRPr="000977F7">
        <w:rPr>
          <w:rFonts w:asciiTheme="majorHAnsi" w:hAnsiTheme="majorHAnsi"/>
          <w:sz w:val="20"/>
          <w:szCs w:val="20"/>
        </w:rPr>
        <w:t>Основними функціями Ради з акредитації є:</w:t>
      </w:r>
    </w:p>
    <w:p w14:paraId="76C0D9F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розроблення рекомендацій щодо формування політики в сфері акредитації та нагляд за її проведенням;</w:t>
      </w:r>
    </w:p>
    <w:p w14:paraId="5F77F89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bookmarkStart w:id="236" w:name="n151"/>
      <w:bookmarkEnd w:id="236"/>
      <w:r w:rsidRPr="000977F7">
        <w:rPr>
          <w:rFonts w:asciiTheme="majorHAnsi" w:hAnsiTheme="majorHAnsi"/>
          <w:sz w:val="20"/>
          <w:szCs w:val="20"/>
        </w:rPr>
        <w:t>нагляд за здійсненням акредитації відповідно до принципів, норм та вимог, встановлених цим Законом, іншими нормативно-правовими актами, стандартами та іншими документами з питань акредитації;</w:t>
      </w:r>
    </w:p>
    <w:p w14:paraId="18884A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bookmarkStart w:id="237" w:name="n153"/>
      <w:bookmarkEnd w:id="237"/>
      <w:r w:rsidRPr="000977F7">
        <w:rPr>
          <w:rFonts w:asciiTheme="majorHAnsi" w:hAnsiTheme="majorHAnsi"/>
          <w:sz w:val="20"/>
          <w:szCs w:val="20"/>
        </w:rPr>
        <w:t>надання рекомендацій щодо порядку здійснення акредитації та проведення моніторингу, щодо розгляду апеляцій і визначення розмірів оплати робіт з акредитації та моніторингу;</w:t>
      </w:r>
    </w:p>
    <w:p w14:paraId="3F92058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погодження кваліфікаційних вимог, порядку та правил атестації персоналу з акредитації, складу атестаційної комісії персоналу з акредитації;</w:t>
      </w:r>
    </w:p>
    <w:p w14:paraId="5FEABE7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затвердження та увільнення членів комісії з апеляцій;</w:t>
      </w:r>
    </w:p>
    <w:p w14:paraId="4B99E4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погодження положення про комісію з апеляцій та змін до нього;</w:t>
      </w:r>
    </w:p>
    <w:p w14:paraId="69EB52D4"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bookmarkStart w:id="238" w:name="n159"/>
      <w:bookmarkEnd w:id="238"/>
      <w:r w:rsidRPr="000977F7">
        <w:rPr>
          <w:rFonts w:asciiTheme="majorHAnsi" w:hAnsiTheme="majorHAnsi"/>
          <w:sz w:val="20"/>
          <w:szCs w:val="20"/>
          <w:lang w:val="uk-UA"/>
        </w:rPr>
        <w:t>підготовка пропозицій стосовно нагляду за здійсненням акредитації та організаційно-фінансовою діяльністю національного органу України з акредитації;</w:t>
      </w:r>
    </w:p>
    <w:p w14:paraId="03D57E5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bookmarkStart w:id="239" w:name="n161"/>
      <w:bookmarkEnd w:id="239"/>
      <w:r w:rsidRPr="004D2D14">
        <w:rPr>
          <w:rFonts w:asciiTheme="majorHAnsi" w:hAnsiTheme="majorHAnsi"/>
          <w:sz w:val="20"/>
          <w:szCs w:val="20"/>
          <w:lang w:val="uk-UA"/>
        </w:rPr>
        <w:t>прийняття рекомендацій щодо укладення договорів про співробітництво та взаємне визнання акредитації органів з оцінки відповідності;</w:t>
      </w:r>
    </w:p>
    <w:p w14:paraId="305D661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розгляд щорічного звіту про діяльність національного органу України з акредитації та надання висновку щодо звіту.</w:t>
      </w:r>
    </w:p>
    <w:p w14:paraId="0A234672" w14:textId="77777777" w:rsidR="0097612F" w:rsidRPr="000977F7" w:rsidRDefault="0031280E" w:rsidP="000977F7">
      <w:pPr>
        <w:pStyle w:val="af6"/>
        <w:tabs>
          <w:tab w:val="left" w:pos="284"/>
        </w:tabs>
        <w:spacing w:after="0"/>
        <w:ind w:left="170"/>
        <w:mirrorIndents/>
        <w:jc w:val="both"/>
        <w:rPr>
          <w:rFonts w:asciiTheme="majorHAnsi" w:hAnsiTheme="majorHAnsi"/>
          <w:sz w:val="20"/>
          <w:szCs w:val="20"/>
        </w:rPr>
      </w:pPr>
      <w:hyperlink r:id="rId36" w:anchor="n13" w:tgtFrame="_blank" w:history="1">
        <w:r w:rsidR="0097612F" w:rsidRPr="000977F7">
          <w:rPr>
            <w:rFonts w:asciiTheme="majorHAnsi" w:hAnsiTheme="majorHAnsi"/>
            <w:sz w:val="20"/>
            <w:szCs w:val="20"/>
          </w:rPr>
          <w:t>Положення про Раду з акредитації</w:t>
        </w:r>
      </w:hyperlink>
      <w:r w:rsidR="0097612F" w:rsidRPr="000977F7">
        <w:rPr>
          <w:rFonts w:asciiTheme="majorHAnsi" w:hAnsiTheme="majorHAnsi"/>
          <w:sz w:val="20"/>
          <w:szCs w:val="20"/>
        </w:rPr>
        <w:t> та її склад затверджує центральний орган виконавчої влади, що забезпечує формування державної політики у сфері економічного розвитку.</w:t>
      </w:r>
    </w:p>
    <w:p w14:paraId="06524A13"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iCs/>
          <w:sz w:val="20"/>
          <w:szCs w:val="20"/>
        </w:rPr>
        <w:t>Ст. 7 закону України "Про акредитацію органів з</w:t>
      </w:r>
      <w:r w:rsidRPr="000977F7">
        <w:rPr>
          <w:rFonts w:asciiTheme="majorHAnsi" w:hAnsiTheme="majorHAnsi"/>
          <w:i/>
          <w:sz w:val="20"/>
          <w:szCs w:val="20"/>
        </w:rPr>
        <w:t xml:space="preserve"> оцінки</w:t>
      </w:r>
      <w:r w:rsidRPr="000977F7">
        <w:rPr>
          <w:rFonts w:asciiTheme="majorHAnsi" w:hAnsiTheme="majorHAnsi"/>
          <w:i/>
          <w:spacing w:val="1"/>
          <w:sz w:val="20"/>
          <w:szCs w:val="20"/>
        </w:rPr>
        <w:t xml:space="preserve"> </w:t>
      </w:r>
      <w:r w:rsidRPr="000977F7">
        <w:rPr>
          <w:rFonts w:asciiTheme="majorHAnsi" w:hAnsiTheme="majorHAnsi"/>
          <w:i/>
          <w:sz w:val="20"/>
          <w:szCs w:val="20"/>
        </w:rPr>
        <w:t>відповідності"</w:t>
      </w:r>
    </w:p>
    <w:p w14:paraId="1DF0796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РАДІАЛЬНИЙ</w:t>
      </w:r>
      <w:r w:rsidRPr="000977F7">
        <w:rPr>
          <w:color w:val="auto"/>
          <w:spacing w:val="-4"/>
          <w:sz w:val="20"/>
          <w:szCs w:val="20"/>
        </w:rPr>
        <w:t xml:space="preserve"> </w:t>
      </w:r>
      <w:r w:rsidRPr="000977F7">
        <w:rPr>
          <w:color w:val="auto"/>
          <w:sz w:val="20"/>
          <w:szCs w:val="20"/>
        </w:rPr>
        <w:t>ІНТЕРФЕЙС</w:t>
      </w:r>
      <w:r w:rsidRPr="000977F7">
        <w:rPr>
          <w:color w:val="auto"/>
          <w:spacing w:val="-2"/>
          <w:sz w:val="20"/>
          <w:szCs w:val="20"/>
        </w:rPr>
        <w:t xml:space="preserve"> </w:t>
      </w:r>
      <w:r w:rsidRPr="000977F7">
        <w:rPr>
          <w:color w:val="auto"/>
          <w:sz w:val="20"/>
          <w:szCs w:val="20"/>
        </w:rPr>
        <w:t>–</w:t>
      </w:r>
    </w:p>
    <w:p w14:paraId="2D6DDDE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RADIAL</w:t>
      </w:r>
      <w:r w:rsidRPr="000977F7">
        <w:rPr>
          <w:rFonts w:asciiTheme="majorHAnsi" w:hAnsiTheme="majorHAnsi"/>
          <w:spacing w:val="-5"/>
          <w:sz w:val="20"/>
          <w:szCs w:val="20"/>
        </w:rPr>
        <w:t xml:space="preserve"> </w:t>
      </w:r>
      <w:r w:rsidRPr="000977F7">
        <w:rPr>
          <w:rFonts w:asciiTheme="majorHAnsi" w:hAnsiTheme="majorHAnsi"/>
          <w:sz w:val="20"/>
          <w:szCs w:val="20"/>
        </w:rPr>
        <w:t>INTERFACE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AE6A1F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Інформаційний інтерфейс, орієнтований на обмін даними</w:t>
      </w:r>
      <w:r w:rsidRPr="000977F7">
        <w:rPr>
          <w:rFonts w:asciiTheme="majorHAnsi" w:hAnsiTheme="majorHAnsi"/>
          <w:spacing w:val="-2"/>
          <w:sz w:val="20"/>
          <w:szCs w:val="20"/>
        </w:rPr>
        <w:t xml:space="preserve"> </w:t>
      </w:r>
      <w:r w:rsidRPr="000977F7">
        <w:rPr>
          <w:rFonts w:asciiTheme="majorHAnsi" w:hAnsiTheme="majorHAnsi"/>
          <w:sz w:val="20"/>
          <w:szCs w:val="20"/>
        </w:rPr>
        <w:t>між</w:t>
      </w:r>
      <w:r w:rsidRPr="000977F7">
        <w:rPr>
          <w:rFonts w:asciiTheme="majorHAnsi" w:hAnsiTheme="majorHAnsi"/>
          <w:spacing w:val="-1"/>
          <w:sz w:val="20"/>
          <w:szCs w:val="20"/>
        </w:rPr>
        <w:t xml:space="preserve"> </w:t>
      </w:r>
      <w:r w:rsidRPr="000977F7">
        <w:rPr>
          <w:rFonts w:asciiTheme="majorHAnsi" w:hAnsiTheme="majorHAnsi"/>
          <w:sz w:val="20"/>
          <w:szCs w:val="20"/>
        </w:rPr>
        <w:t>двома об`єктами</w:t>
      </w:r>
    </w:p>
    <w:p w14:paraId="2CE0394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31031E35"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РАДІАЦІЙНА</w:t>
      </w:r>
      <w:r w:rsidRPr="000977F7">
        <w:rPr>
          <w:rFonts w:asciiTheme="majorHAnsi" w:hAnsiTheme="majorHAnsi"/>
          <w:b/>
          <w:spacing w:val="-6"/>
          <w:sz w:val="20"/>
          <w:szCs w:val="20"/>
        </w:rPr>
        <w:t xml:space="preserve"> </w:t>
      </w:r>
      <w:r w:rsidRPr="000977F7">
        <w:rPr>
          <w:rFonts w:asciiTheme="majorHAnsi" w:hAnsiTheme="majorHAnsi"/>
          <w:b/>
          <w:sz w:val="20"/>
          <w:szCs w:val="20"/>
        </w:rPr>
        <w:t>ГІГІЄНА</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5FAAABE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Галузь гігієни, яка вивчає закономірності формування</w:t>
      </w:r>
      <w:r w:rsidRPr="000977F7">
        <w:rPr>
          <w:rFonts w:asciiTheme="majorHAnsi" w:hAnsiTheme="majorHAnsi"/>
          <w:spacing w:val="1"/>
          <w:sz w:val="20"/>
          <w:szCs w:val="20"/>
        </w:rPr>
        <w:t xml:space="preserve"> </w:t>
      </w:r>
      <w:r w:rsidRPr="000977F7">
        <w:rPr>
          <w:rFonts w:asciiTheme="majorHAnsi" w:hAnsiTheme="majorHAnsi"/>
          <w:sz w:val="20"/>
          <w:szCs w:val="20"/>
        </w:rPr>
        <w:t>радіаційної обстановки та доз іонізуючого випромінювання, а також їх вплив на здоров’я людей, і розробляє санітарні правила та норми радіаційної безпеки</w:t>
      </w:r>
      <w:r w:rsidRPr="000977F7">
        <w:rPr>
          <w:rFonts w:asciiTheme="majorHAnsi" w:hAnsiTheme="majorHAnsi"/>
          <w:spacing w:val="1"/>
          <w:sz w:val="20"/>
          <w:szCs w:val="20"/>
        </w:rPr>
        <w:t xml:space="preserve"> </w:t>
      </w:r>
      <w:r w:rsidRPr="000977F7">
        <w:rPr>
          <w:rFonts w:asciiTheme="majorHAnsi" w:hAnsiTheme="majorHAnsi"/>
          <w:sz w:val="20"/>
          <w:szCs w:val="20"/>
        </w:rPr>
        <w:t>персоналу</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населення</w:t>
      </w:r>
    </w:p>
    <w:p w14:paraId="3192605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3038 - 95</w:t>
      </w:r>
    </w:p>
    <w:p w14:paraId="5785C64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РАДІАЦІЙНА</w:t>
      </w:r>
      <w:r w:rsidRPr="000977F7">
        <w:rPr>
          <w:color w:val="auto"/>
          <w:spacing w:val="-5"/>
          <w:sz w:val="20"/>
          <w:szCs w:val="20"/>
        </w:rPr>
        <w:t xml:space="preserve"> </w:t>
      </w:r>
      <w:r w:rsidRPr="000977F7">
        <w:rPr>
          <w:color w:val="auto"/>
          <w:sz w:val="20"/>
          <w:szCs w:val="20"/>
        </w:rPr>
        <w:t>ІНТРОСКОПІЯ</w:t>
      </w:r>
      <w:r w:rsidRPr="000977F7">
        <w:rPr>
          <w:color w:val="auto"/>
          <w:spacing w:val="-3"/>
          <w:sz w:val="20"/>
          <w:szCs w:val="20"/>
        </w:rPr>
        <w:t xml:space="preserve"> </w:t>
      </w:r>
      <w:r w:rsidRPr="000977F7">
        <w:rPr>
          <w:color w:val="auto"/>
          <w:sz w:val="20"/>
          <w:szCs w:val="20"/>
        </w:rPr>
        <w:t>–</w:t>
      </w:r>
    </w:p>
    <w:p w14:paraId="4213D314"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Метод</w:t>
      </w:r>
      <w:r w:rsidRPr="000977F7">
        <w:rPr>
          <w:rFonts w:asciiTheme="majorHAnsi" w:hAnsiTheme="majorHAnsi"/>
          <w:spacing w:val="20"/>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21"/>
          <w:sz w:val="20"/>
          <w:szCs w:val="20"/>
        </w:rPr>
        <w:t xml:space="preserve"> </w:t>
      </w:r>
      <w:r w:rsidRPr="000977F7">
        <w:rPr>
          <w:rFonts w:asciiTheme="majorHAnsi" w:hAnsiTheme="majorHAnsi"/>
          <w:sz w:val="20"/>
          <w:szCs w:val="20"/>
        </w:rPr>
        <w:t>контролю,</w:t>
      </w:r>
      <w:r w:rsidRPr="000977F7">
        <w:rPr>
          <w:rFonts w:asciiTheme="majorHAnsi" w:hAnsiTheme="majorHAnsi"/>
          <w:spacing w:val="21"/>
          <w:sz w:val="20"/>
          <w:szCs w:val="20"/>
        </w:rPr>
        <w:t xml:space="preserve"> </w:t>
      </w:r>
      <w:r w:rsidRPr="000977F7">
        <w:rPr>
          <w:rFonts w:asciiTheme="majorHAnsi" w:hAnsiTheme="majorHAnsi"/>
          <w:sz w:val="20"/>
          <w:szCs w:val="20"/>
        </w:rPr>
        <w:t>що</w:t>
      </w:r>
      <w:r w:rsidRPr="000977F7">
        <w:rPr>
          <w:rFonts w:asciiTheme="majorHAnsi" w:hAnsiTheme="majorHAnsi"/>
          <w:spacing w:val="21"/>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22"/>
          <w:sz w:val="20"/>
          <w:szCs w:val="20"/>
        </w:rPr>
        <w:t xml:space="preserve"> </w:t>
      </w:r>
      <w:r w:rsidRPr="000977F7">
        <w:rPr>
          <w:rFonts w:asciiTheme="majorHAnsi" w:hAnsiTheme="majorHAnsi"/>
          <w:sz w:val="20"/>
          <w:szCs w:val="20"/>
        </w:rPr>
        <w:t>на</w:t>
      </w:r>
      <w:r w:rsidRPr="000977F7">
        <w:rPr>
          <w:rFonts w:asciiTheme="majorHAnsi" w:hAnsiTheme="majorHAnsi"/>
          <w:spacing w:val="-47"/>
          <w:sz w:val="20"/>
          <w:szCs w:val="20"/>
        </w:rPr>
        <w:t xml:space="preserve"> </w:t>
      </w:r>
      <w:r w:rsidRPr="000977F7">
        <w:rPr>
          <w:rFonts w:asciiTheme="majorHAnsi" w:hAnsiTheme="majorHAnsi"/>
          <w:sz w:val="20"/>
          <w:szCs w:val="20"/>
        </w:rPr>
        <w:t>перетворенні</w:t>
      </w:r>
      <w:r w:rsidRPr="000977F7">
        <w:rPr>
          <w:rFonts w:asciiTheme="majorHAnsi" w:hAnsiTheme="majorHAnsi"/>
          <w:spacing w:val="3"/>
          <w:sz w:val="20"/>
          <w:szCs w:val="20"/>
        </w:rPr>
        <w:t xml:space="preserve"> </w:t>
      </w:r>
      <w:r w:rsidRPr="000977F7">
        <w:rPr>
          <w:rFonts w:asciiTheme="majorHAnsi" w:hAnsiTheme="majorHAnsi"/>
          <w:sz w:val="20"/>
          <w:szCs w:val="20"/>
        </w:rPr>
        <w:t>радіаційного</w:t>
      </w:r>
      <w:r w:rsidRPr="000977F7">
        <w:rPr>
          <w:rFonts w:asciiTheme="majorHAnsi" w:hAnsiTheme="majorHAnsi"/>
          <w:spacing w:val="7"/>
          <w:sz w:val="20"/>
          <w:szCs w:val="20"/>
        </w:rPr>
        <w:t xml:space="preserve"> </w:t>
      </w:r>
      <w:r w:rsidRPr="000977F7">
        <w:rPr>
          <w:rFonts w:asciiTheme="majorHAnsi" w:hAnsiTheme="majorHAnsi"/>
          <w:sz w:val="20"/>
          <w:szCs w:val="20"/>
        </w:rPr>
        <w:t>зображення</w:t>
      </w:r>
      <w:r w:rsidRPr="000977F7">
        <w:rPr>
          <w:rFonts w:asciiTheme="majorHAnsi" w:hAnsiTheme="majorHAnsi"/>
          <w:spacing w:val="5"/>
          <w:sz w:val="20"/>
          <w:szCs w:val="20"/>
        </w:rPr>
        <w:t xml:space="preserve"> </w:t>
      </w:r>
      <w:r w:rsidRPr="000977F7">
        <w:rPr>
          <w:rFonts w:asciiTheme="majorHAnsi" w:hAnsiTheme="majorHAnsi"/>
          <w:sz w:val="20"/>
          <w:szCs w:val="20"/>
        </w:rPr>
        <w:t>контрольованого</w:t>
      </w:r>
      <w:r w:rsidRPr="000977F7">
        <w:rPr>
          <w:rFonts w:asciiTheme="majorHAnsi" w:hAnsiTheme="majorHAnsi"/>
          <w:spacing w:val="20"/>
          <w:sz w:val="20"/>
          <w:szCs w:val="20"/>
        </w:rPr>
        <w:t xml:space="preserve"> </w:t>
      </w:r>
      <w:r w:rsidRPr="000977F7">
        <w:rPr>
          <w:rFonts w:asciiTheme="majorHAnsi" w:hAnsiTheme="majorHAnsi"/>
          <w:sz w:val="20"/>
          <w:szCs w:val="20"/>
        </w:rPr>
        <w:t>об’єкту</w:t>
      </w:r>
      <w:r w:rsidRPr="000977F7">
        <w:rPr>
          <w:rFonts w:asciiTheme="majorHAnsi" w:hAnsiTheme="majorHAnsi"/>
          <w:spacing w:val="19"/>
          <w:sz w:val="20"/>
          <w:szCs w:val="20"/>
        </w:rPr>
        <w:t xml:space="preserve"> </w:t>
      </w:r>
      <w:r w:rsidRPr="000977F7">
        <w:rPr>
          <w:rFonts w:asciiTheme="majorHAnsi" w:hAnsiTheme="majorHAnsi"/>
          <w:sz w:val="20"/>
          <w:szCs w:val="20"/>
        </w:rPr>
        <w:t>в</w:t>
      </w:r>
      <w:r w:rsidRPr="000977F7">
        <w:rPr>
          <w:rFonts w:asciiTheme="majorHAnsi" w:hAnsiTheme="majorHAnsi"/>
          <w:spacing w:val="20"/>
          <w:sz w:val="20"/>
          <w:szCs w:val="20"/>
        </w:rPr>
        <w:t xml:space="preserve"> </w:t>
      </w:r>
      <w:r w:rsidRPr="000977F7">
        <w:rPr>
          <w:rFonts w:asciiTheme="majorHAnsi" w:hAnsiTheme="majorHAnsi"/>
          <w:sz w:val="20"/>
          <w:szCs w:val="20"/>
        </w:rPr>
        <w:t>світлове</w:t>
      </w:r>
      <w:r w:rsidRPr="000977F7">
        <w:rPr>
          <w:rFonts w:asciiTheme="majorHAnsi" w:hAnsiTheme="majorHAnsi"/>
          <w:spacing w:val="20"/>
          <w:sz w:val="20"/>
          <w:szCs w:val="20"/>
        </w:rPr>
        <w:t xml:space="preserve"> </w:t>
      </w:r>
      <w:r w:rsidRPr="000977F7">
        <w:rPr>
          <w:rFonts w:asciiTheme="majorHAnsi" w:hAnsiTheme="majorHAnsi"/>
          <w:sz w:val="20"/>
          <w:szCs w:val="20"/>
        </w:rPr>
        <w:t>зображення</w:t>
      </w:r>
      <w:r w:rsidRPr="000977F7">
        <w:rPr>
          <w:rFonts w:asciiTheme="majorHAnsi" w:hAnsiTheme="majorHAnsi"/>
          <w:spacing w:val="20"/>
          <w:sz w:val="20"/>
          <w:szCs w:val="20"/>
        </w:rPr>
        <w:t xml:space="preserve"> </w:t>
      </w:r>
      <w:r w:rsidRPr="000977F7">
        <w:rPr>
          <w:rFonts w:asciiTheme="majorHAnsi" w:hAnsiTheme="majorHAnsi"/>
          <w:sz w:val="20"/>
          <w:szCs w:val="20"/>
        </w:rPr>
        <w:t>на</w:t>
      </w:r>
      <w:r w:rsidRPr="000977F7">
        <w:rPr>
          <w:rFonts w:asciiTheme="majorHAnsi" w:hAnsiTheme="majorHAnsi"/>
          <w:spacing w:val="23"/>
          <w:sz w:val="20"/>
          <w:szCs w:val="20"/>
        </w:rPr>
        <w:t xml:space="preserve"> </w:t>
      </w:r>
      <w:r w:rsidRPr="000977F7">
        <w:rPr>
          <w:rFonts w:asciiTheme="majorHAnsi" w:hAnsiTheme="majorHAnsi"/>
          <w:sz w:val="20"/>
          <w:szCs w:val="20"/>
        </w:rPr>
        <w:t>вихідному</w:t>
      </w:r>
      <w:r w:rsidRPr="000977F7">
        <w:rPr>
          <w:rFonts w:asciiTheme="majorHAnsi" w:hAnsiTheme="majorHAnsi"/>
          <w:spacing w:val="17"/>
          <w:sz w:val="20"/>
          <w:szCs w:val="20"/>
        </w:rPr>
        <w:t xml:space="preserve"> </w:t>
      </w:r>
      <w:r w:rsidRPr="000977F7">
        <w:rPr>
          <w:rFonts w:asciiTheme="majorHAnsi" w:hAnsiTheme="majorHAnsi"/>
          <w:sz w:val="20"/>
          <w:szCs w:val="20"/>
        </w:rPr>
        <w:t>екрані</w:t>
      </w:r>
      <w:r w:rsidRPr="000977F7">
        <w:rPr>
          <w:rFonts w:asciiTheme="majorHAnsi" w:hAnsiTheme="majorHAnsi"/>
          <w:spacing w:val="20"/>
          <w:sz w:val="20"/>
          <w:szCs w:val="20"/>
        </w:rPr>
        <w:t xml:space="preserve"> </w:t>
      </w:r>
      <w:r w:rsidRPr="000977F7">
        <w:rPr>
          <w:rFonts w:asciiTheme="majorHAnsi" w:hAnsiTheme="majorHAnsi"/>
          <w:sz w:val="20"/>
          <w:szCs w:val="20"/>
        </w:rPr>
        <w:t>радіаційно-оптичного</w:t>
      </w:r>
      <w:r w:rsidRPr="000977F7">
        <w:rPr>
          <w:rFonts w:asciiTheme="majorHAnsi" w:hAnsiTheme="majorHAnsi"/>
          <w:spacing w:val="22"/>
          <w:sz w:val="20"/>
          <w:szCs w:val="20"/>
        </w:rPr>
        <w:t xml:space="preserve"> </w:t>
      </w:r>
      <w:r w:rsidRPr="000977F7">
        <w:rPr>
          <w:rFonts w:asciiTheme="majorHAnsi" w:hAnsiTheme="majorHAnsi"/>
          <w:sz w:val="20"/>
          <w:szCs w:val="20"/>
        </w:rPr>
        <w:t>перетворювача,</w:t>
      </w:r>
      <w:r w:rsidRPr="000977F7">
        <w:rPr>
          <w:rFonts w:asciiTheme="majorHAnsi" w:hAnsiTheme="majorHAnsi"/>
          <w:spacing w:val="21"/>
          <w:sz w:val="20"/>
          <w:szCs w:val="20"/>
        </w:rPr>
        <w:t xml:space="preserve"> </w:t>
      </w:r>
      <w:r w:rsidRPr="000977F7">
        <w:rPr>
          <w:rFonts w:asciiTheme="majorHAnsi" w:hAnsiTheme="majorHAnsi"/>
          <w:sz w:val="20"/>
          <w:szCs w:val="20"/>
        </w:rPr>
        <w:t>причому</w:t>
      </w:r>
      <w:r w:rsidRPr="000977F7">
        <w:rPr>
          <w:rFonts w:asciiTheme="majorHAnsi" w:hAnsiTheme="majorHAnsi"/>
          <w:spacing w:val="-47"/>
          <w:sz w:val="20"/>
          <w:szCs w:val="20"/>
        </w:rPr>
        <w:t xml:space="preserve"> </w:t>
      </w:r>
      <w:r w:rsidRPr="000977F7">
        <w:rPr>
          <w:rFonts w:asciiTheme="majorHAnsi" w:hAnsiTheme="majorHAnsi"/>
          <w:sz w:val="20"/>
          <w:szCs w:val="20"/>
        </w:rPr>
        <w:t>аналіз зображення проводиться в процесі контролю</w:t>
      </w:r>
      <w:r w:rsidRPr="000977F7">
        <w:rPr>
          <w:rFonts w:asciiTheme="majorHAnsi" w:hAnsiTheme="majorHAnsi"/>
          <w:spacing w:val="1"/>
          <w:sz w:val="20"/>
          <w:szCs w:val="20"/>
        </w:rPr>
        <w:t xml:space="preserve"> </w:t>
      </w:r>
    </w:p>
    <w:p w14:paraId="0D957ED6"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2865</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B2F7FA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РАДІАЦІЙНИЙ</w:t>
      </w:r>
      <w:r w:rsidRPr="000977F7">
        <w:rPr>
          <w:color w:val="auto"/>
          <w:spacing w:val="-3"/>
          <w:sz w:val="20"/>
          <w:szCs w:val="20"/>
        </w:rPr>
        <w:t xml:space="preserve"> </w:t>
      </w:r>
      <w:r w:rsidRPr="000977F7">
        <w:rPr>
          <w:color w:val="auto"/>
          <w:sz w:val="20"/>
          <w:szCs w:val="20"/>
        </w:rPr>
        <w:t>ВОЛОГОМІР</w:t>
      </w:r>
      <w:r w:rsidRPr="000977F7">
        <w:rPr>
          <w:color w:val="auto"/>
          <w:spacing w:val="-1"/>
          <w:sz w:val="20"/>
          <w:szCs w:val="20"/>
        </w:rPr>
        <w:t xml:space="preserve"> </w:t>
      </w:r>
      <w:r w:rsidRPr="000977F7">
        <w:rPr>
          <w:color w:val="auto"/>
          <w:sz w:val="20"/>
          <w:szCs w:val="20"/>
        </w:rPr>
        <w:t>–</w:t>
      </w:r>
    </w:p>
    <w:p w14:paraId="284208E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Прилад призначений для вимірювання відносної вологості</w:t>
      </w:r>
      <w:r w:rsidRPr="000977F7">
        <w:rPr>
          <w:rFonts w:asciiTheme="majorHAnsi" w:hAnsiTheme="majorHAnsi"/>
          <w:spacing w:val="-2"/>
          <w:sz w:val="20"/>
          <w:szCs w:val="20"/>
        </w:rPr>
        <w:t xml:space="preserve"> </w:t>
      </w:r>
      <w:r w:rsidRPr="000977F7">
        <w:rPr>
          <w:rFonts w:asciiTheme="majorHAnsi" w:hAnsiTheme="majorHAnsi"/>
          <w:sz w:val="20"/>
          <w:szCs w:val="20"/>
        </w:rPr>
        <w:t>матеріалів</w:t>
      </w:r>
    </w:p>
    <w:p w14:paraId="085D80A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61E747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РАДІАЦІЙНИЙ</w:t>
      </w:r>
      <w:r w:rsidRPr="000977F7">
        <w:rPr>
          <w:color w:val="auto"/>
          <w:spacing w:val="-5"/>
          <w:sz w:val="20"/>
          <w:szCs w:val="20"/>
        </w:rPr>
        <w:t xml:space="preserve"> </w:t>
      </w:r>
      <w:r w:rsidRPr="000977F7">
        <w:rPr>
          <w:color w:val="auto"/>
          <w:sz w:val="20"/>
          <w:szCs w:val="20"/>
        </w:rPr>
        <w:t>ГУСТИНОМІР</w:t>
      </w:r>
      <w:r w:rsidRPr="000977F7">
        <w:rPr>
          <w:color w:val="auto"/>
          <w:spacing w:val="-1"/>
          <w:sz w:val="20"/>
          <w:szCs w:val="20"/>
        </w:rPr>
        <w:t xml:space="preserve"> </w:t>
      </w:r>
      <w:r w:rsidRPr="000977F7">
        <w:rPr>
          <w:color w:val="auto"/>
          <w:sz w:val="20"/>
          <w:szCs w:val="20"/>
        </w:rPr>
        <w:t>–</w:t>
      </w:r>
    </w:p>
    <w:p w14:paraId="5966F09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Радіаційний</w:t>
      </w:r>
      <w:r w:rsidRPr="000977F7">
        <w:rPr>
          <w:rFonts w:asciiTheme="majorHAnsi" w:hAnsiTheme="majorHAnsi"/>
          <w:spacing w:val="1"/>
          <w:sz w:val="20"/>
          <w:szCs w:val="20"/>
        </w:rPr>
        <w:t xml:space="preserve"> </w:t>
      </w:r>
      <w:r w:rsidRPr="000977F7">
        <w:rPr>
          <w:rFonts w:asciiTheme="majorHAnsi" w:hAnsiTheme="majorHAnsi"/>
          <w:sz w:val="20"/>
          <w:szCs w:val="20"/>
        </w:rPr>
        <w:t>прилад,</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призначений</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вимірювання</w:t>
      </w:r>
      <w:r w:rsidRPr="000977F7">
        <w:rPr>
          <w:rFonts w:asciiTheme="majorHAnsi" w:hAnsiTheme="majorHAnsi"/>
          <w:spacing w:val="1"/>
          <w:sz w:val="20"/>
          <w:szCs w:val="20"/>
        </w:rPr>
        <w:t xml:space="preserve"> </w:t>
      </w:r>
      <w:r w:rsidRPr="000977F7">
        <w:rPr>
          <w:rFonts w:asciiTheme="majorHAnsi" w:hAnsiTheme="majorHAnsi"/>
          <w:sz w:val="20"/>
          <w:szCs w:val="20"/>
        </w:rPr>
        <w:t>середнього значення густини твердих, рідких та газових</w:t>
      </w:r>
      <w:r w:rsidRPr="000977F7">
        <w:rPr>
          <w:rFonts w:asciiTheme="majorHAnsi" w:hAnsiTheme="majorHAnsi"/>
          <w:spacing w:val="-2"/>
          <w:sz w:val="20"/>
          <w:szCs w:val="20"/>
        </w:rPr>
        <w:t xml:space="preserve"> </w:t>
      </w:r>
      <w:r w:rsidRPr="000977F7">
        <w:rPr>
          <w:rFonts w:asciiTheme="majorHAnsi" w:hAnsiTheme="majorHAnsi"/>
          <w:sz w:val="20"/>
          <w:szCs w:val="20"/>
        </w:rPr>
        <w:t>середовищ</w:t>
      </w:r>
      <w:r w:rsidRPr="000977F7">
        <w:rPr>
          <w:rFonts w:asciiTheme="majorHAnsi" w:hAnsiTheme="majorHAnsi"/>
          <w:spacing w:val="2"/>
          <w:sz w:val="20"/>
          <w:szCs w:val="20"/>
        </w:rPr>
        <w:t xml:space="preserve"> </w:t>
      </w:r>
      <w:r w:rsidRPr="000977F7">
        <w:rPr>
          <w:rFonts w:asciiTheme="majorHAnsi" w:hAnsiTheme="majorHAnsi"/>
          <w:sz w:val="20"/>
          <w:szCs w:val="20"/>
        </w:rPr>
        <w:t>та їх</w:t>
      </w:r>
      <w:r w:rsidRPr="000977F7">
        <w:rPr>
          <w:rFonts w:asciiTheme="majorHAnsi" w:hAnsiTheme="majorHAnsi"/>
          <w:spacing w:val="-2"/>
          <w:sz w:val="20"/>
          <w:szCs w:val="20"/>
        </w:rPr>
        <w:t xml:space="preserve"> </w:t>
      </w:r>
      <w:r w:rsidRPr="000977F7">
        <w:rPr>
          <w:rFonts w:asciiTheme="majorHAnsi" w:hAnsiTheme="majorHAnsi"/>
          <w:sz w:val="20"/>
          <w:szCs w:val="20"/>
        </w:rPr>
        <w:t>сумішей</w:t>
      </w:r>
    </w:p>
    <w:p w14:paraId="5D28B84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E3188E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РАДІАЦІЙНИЙ</w:t>
      </w:r>
      <w:r w:rsidRPr="000977F7">
        <w:rPr>
          <w:color w:val="auto"/>
          <w:spacing w:val="-5"/>
          <w:sz w:val="20"/>
          <w:szCs w:val="20"/>
        </w:rPr>
        <w:t xml:space="preserve"> </w:t>
      </w:r>
      <w:r w:rsidRPr="000977F7">
        <w:rPr>
          <w:color w:val="auto"/>
          <w:sz w:val="20"/>
          <w:szCs w:val="20"/>
        </w:rPr>
        <w:t>ІНТРОСКОП</w:t>
      </w:r>
      <w:r w:rsidRPr="000977F7">
        <w:rPr>
          <w:color w:val="auto"/>
          <w:spacing w:val="-1"/>
          <w:sz w:val="20"/>
          <w:szCs w:val="20"/>
        </w:rPr>
        <w:t xml:space="preserve"> </w:t>
      </w:r>
      <w:r w:rsidRPr="000977F7">
        <w:rPr>
          <w:color w:val="auto"/>
          <w:sz w:val="20"/>
          <w:szCs w:val="20"/>
        </w:rPr>
        <w:t>–</w:t>
      </w:r>
    </w:p>
    <w:p w14:paraId="4D5EDAD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Пристрій для проведення радіоскопії, який включає в</w:t>
      </w:r>
      <w:r w:rsidRPr="000977F7">
        <w:rPr>
          <w:rFonts w:asciiTheme="majorHAnsi" w:hAnsiTheme="majorHAnsi"/>
          <w:spacing w:val="1"/>
          <w:sz w:val="20"/>
          <w:szCs w:val="20"/>
        </w:rPr>
        <w:t xml:space="preserve"> </w:t>
      </w:r>
      <w:r w:rsidRPr="000977F7">
        <w:rPr>
          <w:rFonts w:asciiTheme="majorHAnsi" w:hAnsiTheme="majorHAnsi"/>
          <w:sz w:val="20"/>
          <w:szCs w:val="20"/>
        </w:rPr>
        <w:t>себе джерело іонізуючого випромінення та систему</w:t>
      </w:r>
      <w:r w:rsidRPr="000977F7">
        <w:rPr>
          <w:rFonts w:asciiTheme="majorHAnsi" w:hAnsiTheme="majorHAnsi"/>
          <w:spacing w:val="-47"/>
          <w:sz w:val="20"/>
          <w:szCs w:val="20"/>
        </w:rPr>
        <w:t xml:space="preserve"> </w:t>
      </w:r>
      <w:r w:rsidRPr="000977F7">
        <w:rPr>
          <w:rFonts w:asciiTheme="majorHAnsi" w:hAnsiTheme="majorHAnsi"/>
          <w:sz w:val="20"/>
          <w:szCs w:val="20"/>
        </w:rPr>
        <w:t>радіаційно-оптичного</w:t>
      </w:r>
      <w:r w:rsidRPr="000977F7">
        <w:rPr>
          <w:rFonts w:asciiTheme="majorHAnsi" w:hAnsiTheme="majorHAnsi"/>
          <w:spacing w:val="1"/>
          <w:sz w:val="20"/>
          <w:szCs w:val="20"/>
        </w:rPr>
        <w:t xml:space="preserve"> </w:t>
      </w:r>
      <w:r w:rsidRPr="000977F7">
        <w:rPr>
          <w:rFonts w:asciiTheme="majorHAnsi" w:hAnsiTheme="majorHAnsi"/>
          <w:sz w:val="20"/>
          <w:szCs w:val="20"/>
        </w:rPr>
        <w:t>перетворення,</w:t>
      </w:r>
      <w:r w:rsidRPr="000977F7">
        <w:rPr>
          <w:rFonts w:asciiTheme="majorHAnsi" w:hAnsiTheme="majorHAnsi"/>
          <w:spacing w:val="51"/>
          <w:sz w:val="20"/>
          <w:szCs w:val="20"/>
        </w:rPr>
        <w:t xml:space="preserve"> </w:t>
      </w:r>
      <w:r w:rsidRPr="000977F7">
        <w:rPr>
          <w:rFonts w:asciiTheme="majorHAnsi" w:hAnsiTheme="majorHAnsi"/>
          <w:sz w:val="20"/>
          <w:szCs w:val="20"/>
        </w:rPr>
        <w:t>призначеного</w:t>
      </w:r>
      <w:r w:rsidRPr="000977F7">
        <w:rPr>
          <w:rFonts w:asciiTheme="majorHAnsi" w:hAnsiTheme="majorHAnsi"/>
          <w:spacing w:val="-47"/>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дослідження</w:t>
      </w:r>
      <w:r w:rsidRPr="000977F7">
        <w:rPr>
          <w:rFonts w:asciiTheme="majorHAnsi" w:hAnsiTheme="majorHAnsi"/>
          <w:spacing w:val="1"/>
          <w:sz w:val="20"/>
          <w:szCs w:val="20"/>
        </w:rPr>
        <w:t xml:space="preserve"> </w:t>
      </w:r>
      <w:r w:rsidRPr="000977F7">
        <w:rPr>
          <w:rFonts w:asciiTheme="majorHAnsi" w:hAnsiTheme="majorHAnsi"/>
          <w:sz w:val="20"/>
          <w:szCs w:val="20"/>
        </w:rPr>
        <w:t>внутрішньої</w:t>
      </w:r>
      <w:r w:rsidRPr="000977F7">
        <w:rPr>
          <w:rFonts w:asciiTheme="majorHAnsi" w:hAnsiTheme="majorHAnsi"/>
          <w:spacing w:val="1"/>
          <w:sz w:val="20"/>
          <w:szCs w:val="20"/>
        </w:rPr>
        <w:t xml:space="preserve"> </w:t>
      </w:r>
      <w:r w:rsidRPr="000977F7">
        <w:rPr>
          <w:rFonts w:asciiTheme="majorHAnsi" w:hAnsiTheme="majorHAnsi"/>
          <w:sz w:val="20"/>
          <w:szCs w:val="20"/>
        </w:rPr>
        <w:t>будови</w:t>
      </w:r>
      <w:r w:rsidRPr="000977F7">
        <w:rPr>
          <w:rFonts w:asciiTheme="majorHAnsi" w:hAnsiTheme="majorHAnsi"/>
          <w:spacing w:val="1"/>
          <w:sz w:val="20"/>
          <w:szCs w:val="20"/>
        </w:rPr>
        <w:t xml:space="preserve"> </w:t>
      </w:r>
      <w:r w:rsidRPr="000977F7">
        <w:rPr>
          <w:rFonts w:asciiTheme="majorHAnsi" w:hAnsiTheme="majorHAnsi"/>
          <w:sz w:val="20"/>
          <w:szCs w:val="20"/>
        </w:rPr>
        <w:t>матеріалів</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об’єктів</w:t>
      </w:r>
    </w:p>
    <w:p w14:paraId="4AFE55E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A334D8D"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sz w:val="20"/>
          <w:szCs w:val="20"/>
        </w:rPr>
        <w:t>РАДІАЦІЙНИЙ</w:t>
      </w:r>
      <w:r w:rsidRPr="000977F7">
        <w:rPr>
          <w:rFonts w:asciiTheme="majorHAnsi" w:hAnsiTheme="majorHAnsi"/>
          <w:b/>
          <w:bCs/>
          <w:spacing w:val="-5"/>
          <w:sz w:val="20"/>
          <w:szCs w:val="20"/>
        </w:rPr>
        <w:t xml:space="preserve"> </w:t>
      </w:r>
      <w:r w:rsidRPr="000977F7">
        <w:rPr>
          <w:rFonts w:asciiTheme="majorHAnsi" w:hAnsiTheme="majorHAnsi"/>
          <w:b/>
          <w:bCs/>
          <w:sz w:val="20"/>
          <w:szCs w:val="20"/>
        </w:rPr>
        <w:t>КОНЦЕНТРАТОМІР</w:t>
      </w:r>
      <w:r w:rsidRPr="000977F7">
        <w:rPr>
          <w:rFonts w:asciiTheme="majorHAnsi" w:hAnsiTheme="majorHAnsi"/>
          <w:b/>
          <w:bCs/>
          <w:spacing w:val="-2"/>
          <w:sz w:val="20"/>
          <w:szCs w:val="20"/>
        </w:rPr>
        <w:t xml:space="preserve"> </w:t>
      </w:r>
      <w:r w:rsidRPr="000977F7">
        <w:rPr>
          <w:rFonts w:asciiTheme="majorHAnsi" w:hAnsiTheme="majorHAnsi"/>
          <w:b/>
          <w:bCs/>
          <w:sz w:val="20"/>
          <w:szCs w:val="20"/>
        </w:rPr>
        <w:t>–</w:t>
      </w:r>
    </w:p>
    <w:p w14:paraId="3D32D5A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Радіаційний прилад, призначений для вимірювання та</w:t>
      </w:r>
      <w:r w:rsidRPr="000977F7">
        <w:rPr>
          <w:rFonts w:asciiTheme="majorHAnsi" w:hAnsiTheme="majorHAnsi"/>
          <w:spacing w:val="1"/>
          <w:sz w:val="20"/>
          <w:szCs w:val="20"/>
        </w:rPr>
        <w:t xml:space="preserve"> </w:t>
      </w:r>
      <w:r w:rsidRPr="000977F7">
        <w:rPr>
          <w:rFonts w:asciiTheme="majorHAnsi" w:hAnsiTheme="majorHAnsi"/>
          <w:sz w:val="20"/>
          <w:szCs w:val="20"/>
        </w:rPr>
        <w:t>(чи) контролю кількісного змісту заданих (заданого)</w:t>
      </w:r>
      <w:r w:rsidRPr="000977F7">
        <w:rPr>
          <w:rFonts w:asciiTheme="majorHAnsi" w:hAnsiTheme="majorHAnsi"/>
          <w:spacing w:val="1"/>
          <w:sz w:val="20"/>
          <w:szCs w:val="20"/>
        </w:rPr>
        <w:t xml:space="preserve"> </w:t>
      </w:r>
      <w:r w:rsidRPr="000977F7">
        <w:rPr>
          <w:rFonts w:asciiTheme="majorHAnsi" w:hAnsiTheme="majorHAnsi"/>
          <w:sz w:val="20"/>
          <w:szCs w:val="20"/>
        </w:rPr>
        <w:t>компонентів в рідких і твердих середовищах або газових</w:t>
      </w:r>
      <w:r w:rsidRPr="000977F7">
        <w:rPr>
          <w:rFonts w:asciiTheme="majorHAnsi" w:hAnsiTheme="majorHAnsi"/>
          <w:spacing w:val="-2"/>
          <w:sz w:val="20"/>
          <w:szCs w:val="20"/>
        </w:rPr>
        <w:t xml:space="preserve"> </w:t>
      </w:r>
      <w:r w:rsidRPr="000977F7">
        <w:rPr>
          <w:rFonts w:asciiTheme="majorHAnsi" w:hAnsiTheme="majorHAnsi"/>
          <w:sz w:val="20"/>
          <w:szCs w:val="20"/>
        </w:rPr>
        <w:t>сумішах</w:t>
      </w:r>
    </w:p>
    <w:p w14:paraId="623ACFFD"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2865 – 94</w:t>
      </w:r>
    </w:p>
    <w:p w14:paraId="054A0DD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РАДІАЦІНИЙ</w:t>
      </w:r>
      <w:r w:rsidRPr="000977F7">
        <w:rPr>
          <w:color w:val="auto"/>
          <w:spacing w:val="-5"/>
          <w:sz w:val="20"/>
          <w:szCs w:val="20"/>
        </w:rPr>
        <w:t xml:space="preserve"> </w:t>
      </w:r>
      <w:r w:rsidRPr="000977F7">
        <w:rPr>
          <w:color w:val="auto"/>
          <w:sz w:val="20"/>
          <w:szCs w:val="20"/>
        </w:rPr>
        <w:t>НЕРУЙНІВНИЙ</w:t>
      </w:r>
      <w:r w:rsidRPr="000977F7">
        <w:rPr>
          <w:color w:val="auto"/>
          <w:spacing w:val="-4"/>
          <w:sz w:val="20"/>
          <w:szCs w:val="20"/>
        </w:rPr>
        <w:t xml:space="preserve"> </w:t>
      </w:r>
      <w:r w:rsidRPr="000977F7">
        <w:rPr>
          <w:color w:val="auto"/>
          <w:sz w:val="20"/>
          <w:szCs w:val="20"/>
        </w:rPr>
        <w:t>КОНТРОЛЬ</w:t>
      </w:r>
      <w:r w:rsidRPr="000977F7">
        <w:rPr>
          <w:color w:val="auto"/>
          <w:spacing w:val="1"/>
          <w:sz w:val="20"/>
          <w:szCs w:val="20"/>
        </w:rPr>
        <w:t xml:space="preserve"> </w:t>
      </w:r>
      <w:r w:rsidRPr="000977F7">
        <w:rPr>
          <w:color w:val="auto"/>
          <w:sz w:val="20"/>
          <w:szCs w:val="20"/>
        </w:rPr>
        <w:t>–</w:t>
      </w:r>
    </w:p>
    <w:p w14:paraId="05014D9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RADIATION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NON-DESTRUCTIVE</w:t>
      </w:r>
      <w:r w:rsidRPr="004D2D14">
        <w:rPr>
          <w:rFonts w:asciiTheme="majorHAnsi" w:hAnsiTheme="majorHAnsi"/>
          <w:spacing w:val="46"/>
          <w:sz w:val="20"/>
          <w:szCs w:val="20"/>
          <w:lang w:val="en-US"/>
        </w:rPr>
        <w:t xml:space="preserve"> </w:t>
      </w:r>
      <w:r w:rsidRPr="004D2D14">
        <w:rPr>
          <w:rFonts w:asciiTheme="majorHAnsi" w:hAnsiTheme="majorHAnsi"/>
          <w:sz w:val="20"/>
          <w:szCs w:val="20"/>
          <w:lang w:val="en-US"/>
        </w:rPr>
        <w:t>TESTING–</w:t>
      </w:r>
    </w:p>
    <w:p w14:paraId="1E0A6FF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Неруйнівний</w:t>
      </w:r>
      <w:r w:rsidRPr="004D2D14">
        <w:rPr>
          <w:rFonts w:asciiTheme="majorHAnsi" w:hAnsiTheme="majorHAnsi"/>
          <w:sz w:val="20"/>
          <w:szCs w:val="20"/>
          <w:lang w:val="en-US"/>
        </w:rPr>
        <w:t xml:space="preserve"> </w:t>
      </w:r>
      <w:r w:rsidRPr="000977F7">
        <w:rPr>
          <w:rFonts w:asciiTheme="majorHAnsi" w:hAnsiTheme="majorHAnsi"/>
          <w:sz w:val="20"/>
          <w:szCs w:val="20"/>
        </w:rPr>
        <w:t>контроль</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ґрунтується</w:t>
      </w:r>
      <w:r w:rsidRPr="004D2D14">
        <w:rPr>
          <w:rFonts w:asciiTheme="majorHAnsi" w:hAnsiTheme="majorHAnsi"/>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реєстрації</w:t>
      </w:r>
      <w:r w:rsidRPr="004D2D14">
        <w:rPr>
          <w:rFonts w:asciiTheme="majorHAnsi" w:hAnsiTheme="majorHAnsi"/>
          <w:spacing w:val="1"/>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аналізі</w:t>
      </w:r>
      <w:r w:rsidRPr="004D2D14">
        <w:rPr>
          <w:rFonts w:asciiTheme="majorHAnsi" w:hAnsiTheme="majorHAnsi"/>
          <w:sz w:val="20"/>
          <w:szCs w:val="20"/>
          <w:lang w:val="en-US"/>
        </w:rPr>
        <w:t xml:space="preserve"> </w:t>
      </w:r>
      <w:r w:rsidRPr="000977F7">
        <w:rPr>
          <w:rFonts w:asciiTheme="majorHAnsi" w:hAnsiTheme="majorHAnsi"/>
          <w:sz w:val="20"/>
          <w:szCs w:val="20"/>
        </w:rPr>
        <w:t>іонізуючого</w:t>
      </w:r>
      <w:r w:rsidRPr="004D2D14">
        <w:rPr>
          <w:rFonts w:asciiTheme="majorHAnsi" w:hAnsiTheme="majorHAnsi"/>
          <w:sz w:val="20"/>
          <w:szCs w:val="20"/>
          <w:lang w:val="en-US"/>
        </w:rPr>
        <w:t xml:space="preserve"> </w:t>
      </w:r>
      <w:r w:rsidRPr="000977F7">
        <w:rPr>
          <w:rFonts w:asciiTheme="majorHAnsi" w:hAnsiTheme="majorHAnsi"/>
          <w:sz w:val="20"/>
          <w:szCs w:val="20"/>
        </w:rPr>
        <w:t>випромінювання</w:t>
      </w:r>
      <w:r w:rsidRPr="004D2D14">
        <w:rPr>
          <w:rFonts w:asciiTheme="majorHAnsi" w:hAnsiTheme="majorHAnsi"/>
          <w:sz w:val="20"/>
          <w:szCs w:val="20"/>
          <w:lang w:val="en-US"/>
        </w:rPr>
        <w:t xml:space="preserve"> </w:t>
      </w:r>
      <w:r w:rsidRPr="000977F7">
        <w:rPr>
          <w:rFonts w:asciiTheme="majorHAnsi" w:hAnsiTheme="majorHAnsi"/>
          <w:sz w:val="20"/>
          <w:szCs w:val="20"/>
        </w:rPr>
        <w:t>після</w:t>
      </w:r>
      <w:r w:rsidRPr="004D2D14">
        <w:rPr>
          <w:rFonts w:asciiTheme="majorHAnsi" w:hAnsiTheme="majorHAnsi"/>
          <w:sz w:val="20"/>
          <w:szCs w:val="20"/>
          <w:lang w:val="en-US"/>
        </w:rPr>
        <w:t xml:space="preserve"> </w:t>
      </w:r>
      <w:r w:rsidRPr="000977F7">
        <w:rPr>
          <w:rFonts w:asciiTheme="majorHAnsi" w:hAnsiTheme="majorHAnsi"/>
          <w:sz w:val="20"/>
          <w:szCs w:val="20"/>
        </w:rPr>
        <w:t>взаємодії</w:t>
      </w:r>
      <w:r w:rsidRPr="004D2D14">
        <w:rPr>
          <w:rFonts w:asciiTheme="majorHAnsi" w:hAnsiTheme="majorHAnsi"/>
          <w:spacing w:val="-2"/>
          <w:sz w:val="20"/>
          <w:szCs w:val="20"/>
          <w:lang w:val="en-US"/>
        </w:rPr>
        <w:t xml:space="preserve"> </w:t>
      </w:r>
      <w:r w:rsidRPr="000977F7">
        <w:rPr>
          <w:rFonts w:asciiTheme="majorHAnsi" w:hAnsiTheme="majorHAnsi"/>
          <w:sz w:val="20"/>
          <w:szCs w:val="20"/>
        </w:rPr>
        <w:t>з</w:t>
      </w:r>
      <w:r w:rsidRPr="004D2D14">
        <w:rPr>
          <w:rFonts w:asciiTheme="majorHAnsi" w:hAnsiTheme="majorHAnsi"/>
          <w:spacing w:val="1"/>
          <w:sz w:val="20"/>
          <w:szCs w:val="20"/>
          <w:lang w:val="en-US"/>
        </w:rPr>
        <w:t xml:space="preserve"> </w:t>
      </w:r>
      <w:r w:rsidRPr="000977F7">
        <w:rPr>
          <w:rFonts w:asciiTheme="majorHAnsi" w:hAnsiTheme="majorHAnsi"/>
          <w:sz w:val="20"/>
          <w:szCs w:val="20"/>
        </w:rPr>
        <w:t>контрольованим</w:t>
      </w:r>
      <w:r w:rsidRPr="004D2D14">
        <w:rPr>
          <w:rFonts w:asciiTheme="majorHAnsi" w:hAnsiTheme="majorHAnsi"/>
          <w:spacing w:val="1"/>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єктом</w:t>
      </w:r>
    </w:p>
    <w:p w14:paraId="11758BC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5811F1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РАДІАЦІЙНИЙ</w:t>
      </w:r>
      <w:r w:rsidRPr="000977F7">
        <w:rPr>
          <w:color w:val="auto"/>
          <w:spacing w:val="-4"/>
          <w:sz w:val="20"/>
          <w:szCs w:val="20"/>
        </w:rPr>
        <w:t xml:space="preserve"> </w:t>
      </w:r>
      <w:r w:rsidRPr="000977F7">
        <w:rPr>
          <w:color w:val="auto"/>
          <w:sz w:val="20"/>
          <w:szCs w:val="20"/>
        </w:rPr>
        <w:t>РІВНЕМІР</w:t>
      </w:r>
      <w:r w:rsidRPr="000977F7">
        <w:rPr>
          <w:color w:val="auto"/>
          <w:spacing w:val="-1"/>
          <w:sz w:val="20"/>
          <w:szCs w:val="20"/>
        </w:rPr>
        <w:t xml:space="preserve"> </w:t>
      </w:r>
      <w:r w:rsidRPr="000977F7">
        <w:rPr>
          <w:color w:val="auto"/>
          <w:sz w:val="20"/>
          <w:szCs w:val="20"/>
        </w:rPr>
        <w:t>–</w:t>
      </w:r>
    </w:p>
    <w:p w14:paraId="2592E3F1"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sz w:val="20"/>
          <w:szCs w:val="20"/>
        </w:rPr>
        <w:t>Радіометричний</w:t>
      </w:r>
      <w:r w:rsidRPr="000977F7">
        <w:rPr>
          <w:rFonts w:asciiTheme="majorHAnsi" w:hAnsiTheme="majorHAnsi"/>
          <w:spacing w:val="10"/>
          <w:sz w:val="20"/>
          <w:szCs w:val="20"/>
        </w:rPr>
        <w:t xml:space="preserve"> </w:t>
      </w:r>
      <w:r w:rsidRPr="000977F7">
        <w:rPr>
          <w:rFonts w:asciiTheme="majorHAnsi" w:hAnsiTheme="majorHAnsi"/>
          <w:sz w:val="20"/>
          <w:szCs w:val="20"/>
        </w:rPr>
        <w:t>прилад,</w:t>
      </w:r>
      <w:r w:rsidRPr="000977F7">
        <w:rPr>
          <w:rFonts w:asciiTheme="majorHAnsi" w:hAnsiTheme="majorHAnsi"/>
          <w:spacing w:val="12"/>
          <w:sz w:val="20"/>
          <w:szCs w:val="20"/>
        </w:rPr>
        <w:t xml:space="preserve"> </w:t>
      </w:r>
      <w:r w:rsidRPr="000977F7">
        <w:rPr>
          <w:rFonts w:asciiTheme="majorHAnsi" w:hAnsiTheme="majorHAnsi"/>
          <w:sz w:val="20"/>
          <w:szCs w:val="20"/>
        </w:rPr>
        <w:t>призначений</w:t>
      </w:r>
      <w:r w:rsidRPr="000977F7">
        <w:rPr>
          <w:rFonts w:asciiTheme="majorHAnsi" w:hAnsiTheme="majorHAnsi"/>
          <w:spacing w:val="10"/>
          <w:sz w:val="20"/>
          <w:szCs w:val="20"/>
        </w:rPr>
        <w:t xml:space="preserve"> </w:t>
      </w:r>
      <w:r w:rsidRPr="000977F7">
        <w:rPr>
          <w:rFonts w:asciiTheme="majorHAnsi" w:hAnsiTheme="majorHAnsi"/>
          <w:sz w:val="20"/>
          <w:szCs w:val="20"/>
        </w:rPr>
        <w:t>для</w:t>
      </w:r>
      <w:r w:rsidRPr="000977F7">
        <w:rPr>
          <w:rFonts w:asciiTheme="majorHAnsi" w:hAnsiTheme="majorHAnsi"/>
          <w:spacing w:val="8"/>
          <w:sz w:val="20"/>
          <w:szCs w:val="20"/>
        </w:rPr>
        <w:t xml:space="preserve"> </w:t>
      </w:r>
      <w:r w:rsidRPr="000977F7">
        <w:rPr>
          <w:rFonts w:asciiTheme="majorHAnsi" w:hAnsiTheme="majorHAnsi"/>
          <w:sz w:val="20"/>
          <w:szCs w:val="20"/>
        </w:rPr>
        <w:t>вимірювання та (чи) контролю положення межі двох середовищ</w:t>
      </w:r>
      <w:r w:rsidRPr="000977F7">
        <w:rPr>
          <w:rFonts w:asciiTheme="majorHAnsi" w:hAnsiTheme="majorHAnsi"/>
          <w:spacing w:val="1"/>
          <w:sz w:val="20"/>
          <w:szCs w:val="20"/>
        </w:rPr>
        <w:t xml:space="preserve"> </w:t>
      </w:r>
    </w:p>
    <w:p w14:paraId="0F3F509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2865</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B02B77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РАДІАЦІЙНИЙ</w:t>
      </w:r>
      <w:r w:rsidRPr="000977F7">
        <w:rPr>
          <w:color w:val="auto"/>
          <w:spacing w:val="-4"/>
          <w:sz w:val="20"/>
          <w:szCs w:val="20"/>
        </w:rPr>
        <w:t xml:space="preserve"> </w:t>
      </w:r>
      <w:r w:rsidRPr="000977F7">
        <w:rPr>
          <w:color w:val="auto"/>
          <w:sz w:val="20"/>
          <w:szCs w:val="20"/>
        </w:rPr>
        <w:t>ТОВЩИНОМІР</w:t>
      </w:r>
      <w:r w:rsidRPr="000977F7">
        <w:rPr>
          <w:color w:val="auto"/>
          <w:spacing w:val="-1"/>
          <w:sz w:val="20"/>
          <w:szCs w:val="20"/>
        </w:rPr>
        <w:t xml:space="preserve"> </w:t>
      </w:r>
      <w:r w:rsidRPr="000977F7">
        <w:rPr>
          <w:color w:val="auto"/>
          <w:sz w:val="20"/>
          <w:szCs w:val="20"/>
        </w:rPr>
        <w:t>–</w:t>
      </w:r>
    </w:p>
    <w:p w14:paraId="02456CE9"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Радіометричний</w:t>
      </w:r>
      <w:r w:rsidRPr="000977F7">
        <w:rPr>
          <w:rFonts w:asciiTheme="majorHAnsi" w:hAnsiTheme="majorHAnsi"/>
          <w:spacing w:val="10"/>
          <w:sz w:val="20"/>
          <w:szCs w:val="20"/>
        </w:rPr>
        <w:t xml:space="preserve"> </w:t>
      </w:r>
      <w:r w:rsidRPr="000977F7">
        <w:rPr>
          <w:rFonts w:asciiTheme="majorHAnsi" w:hAnsiTheme="majorHAnsi"/>
          <w:sz w:val="20"/>
          <w:szCs w:val="20"/>
        </w:rPr>
        <w:t>прилад,</w:t>
      </w:r>
      <w:r w:rsidRPr="000977F7">
        <w:rPr>
          <w:rFonts w:asciiTheme="majorHAnsi" w:hAnsiTheme="majorHAnsi"/>
          <w:spacing w:val="12"/>
          <w:sz w:val="20"/>
          <w:szCs w:val="20"/>
        </w:rPr>
        <w:t xml:space="preserve"> </w:t>
      </w:r>
      <w:r w:rsidRPr="000977F7">
        <w:rPr>
          <w:rFonts w:asciiTheme="majorHAnsi" w:hAnsiTheme="majorHAnsi"/>
          <w:sz w:val="20"/>
          <w:szCs w:val="20"/>
        </w:rPr>
        <w:t>призначений</w:t>
      </w:r>
      <w:r w:rsidRPr="000977F7">
        <w:rPr>
          <w:rFonts w:asciiTheme="majorHAnsi" w:hAnsiTheme="majorHAnsi"/>
          <w:spacing w:val="10"/>
          <w:sz w:val="20"/>
          <w:szCs w:val="20"/>
        </w:rPr>
        <w:t xml:space="preserve"> </w:t>
      </w:r>
      <w:r w:rsidRPr="000977F7">
        <w:rPr>
          <w:rFonts w:asciiTheme="majorHAnsi" w:hAnsiTheme="majorHAnsi"/>
          <w:sz w:val="20"/>
          <w:szCs w:val="20"/>
        </w:rPr>
        <w:t>для</w:t>
      </w:r>
      <w:r w:rsidRPr="000977F7">
        <w:rPr>
          <w:rFonts w:asciiTheme="majorHAnsi" w:hAnsiTheme="majorHAnsi"/>
          <w:spacing w:val="8"/>
          <w:sz w:val="20"/>
          <w:szCs w:val="20"/>
        </w:rPr>
        <w:t xml:space="preserve"> </w:t>
      </w:r>
      <w:r w:rsidRPr="000977F7">
        <w:rPr>
          <w:rFonts w:asciiTheme="majorHAnsi" w:hAnsiTheme="majorHAnsi"/>
          <w:sz w:val="20"/>
          <w:szCs w:val="20"/>
        </w:rPr>
        <w:t>вимірювання та (чи) контролю товщини або середнього значення</w:t>
      </w:r>
      <w:r w:rsidRPr="000977F7">
        <w:rPr>
          <w:rFonts w:asciiTheme="majorHAnsi" w:hAnsiTheme="majorHAnsi"/>
          <w:spacing w:val="-47"/>
          <w:sz w:val="20"/>
          <w:szCs w:val="20"/>
        </w:rPr>
        <w:t xml:space="preserve"> п</w:t>
      </w:r>
      <w:r w:rsidRPr="000977F7">
        <w:rPr>
          <w:rFonts w:asciiTheme="majorHAnsi" w:hAnsiTheme="majorHAnsi"/>
          <w:sz w:val="20"/>
          <w:szCs w:val="20"/>
        </w:rPr>
        <w:t>оверхневої</w:t>
      </w:r>
      <w:r w:rsidRPr="000977F7">
        <w:rPr>
          <w:rFonts w:asciiTheme="majorHAnsi" w:hAnsiTheme="majorHAnsi"/>
          <w:spacing w:val="8"/>
          <w:sz w:val="20"/>
          <w:szCs w:val="20"/>
        </w:rPr>
        <w:t xml:space="preserve"> </w:t>
      </w:r>
      <w:r w:rsidRPr="000977F7">
        <w:rPr>
          <w:rFonts w:asciiTheme="majorHAnsi" w:hAnsiTheme="majorHAnsi"/>
          <w:sz w:val="20"/>
          <w:szCs w:val="20"/>
        </w:rPr>
        <w:t>густини</w:t>
      </w:r>
      <w:r w:rsidRPr="000977F7">
        <w:rPr>
          <w:rFonts w:asciiTheme="majorHAnsi" w:hAnsiTheme="majorHAnsi"/>
          <w:spacing w:val="9"/>
          <w:sz w:val="20"/>
          <w:szCs w:val="20"/>
        </w:rPr>
        <w:t xml:space="preserve"> </w:t>
      </w:r>
      <w:r w:rsidRPr="000977F7">
        <w:rPr>
          <w:rFonts w:asciiTheme="majorHAnsi" w:hAnsiTheme="majorHAnsi"/>
          <w:sz w:val="20"/>
          <w:szCs w:val="20"/>
        </w:rPr>
        <w:t>контрольованого</w:t>
      </w:r>
      <w:r w:rsidRPr="000977F7">
        <w:rPr>
          <w:rFonts w:asciiTheme="majorHAnsi" w:hAnsiTheme="majorHAnsi"/>
          <w:spacing w:val="10"/>
          <w:sz w:val="20"/>
          <w:szCs w:val="20"/>
        </w:rPr>
        <w:t xml:space="preserve"> </w:t>
      </w:r>
      <w:r w:rsidRPr="000977F7">
        <w:rPr>
          <w:rFonts w:asciiTheme="majorHAnsi" w:hAnsiTheme="majorHAnsi"/>
          <w:sz w:val="20"/>
          <w:szCs w:val="20"/>
        </w:rPr>
        <w:t>матеріалу</w:t>
      </w:r>
      <w:r w:rsidRPr="000977F7">
        <w:rPr>
          <w:rFonts w:asciiTheme="majorHAnsi" w:hAnsiTheme="majorHAnsi"/>
          <w:spacing w:val="1"/>
          <w:sz w:val="20"/>
          <w:szCs w:val="20"/>
        </w:rPr>
        <w:t xml:space="preserve"> </w:t>
      </w:r>
    </w:p>
    <w:p w14:paraId="3C6FD2D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2865</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8F8D57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РАДІАЦІЙНІ</w:t>
      </w:r>
      <w:r w:rsidRPr="000977F7">
        <w:rPr>
          <w:color w:val="auto"/>
          <w:spacing w:val="39"/>
          <w:sz w:val="20"/>
          <w:szCs w:val="20"/>
        </w:rPr>
        <w:t xml:space="preserve"> </w:t>
      </w:r>
      <w:r w:rsidRPr="000977F7">
        <w:rPr>
          <w:color w:val="auto"/>
          <w:sz w:val="20"/>
          <w:szCs w:val="20"/>
        </w:rPr>
        <w:t>ВИПРОБУВАННЯ-</w:t>
      </w:r>
    </w:p>
    <w:p w14:paraId="6D22A9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RADIATION</w:t>
      </w:r>
      <w:r w:rsidRPr="000977F7">
        <w:rPr>
          <w:rFonts w:asciiTheme="majorHAnsi" w:hAnsiTheme="majorHAnsi"/>
          <w:spacing w:val="48"/>
          <w:sz w:val="20"/>
          <w:szCs w:val="20"/>
        </w:rPr>
        <w:t xml:space="preserve"> </w:t>
      </w:r>
      <w:r w:rsidRPr="000977F7">
        <w:rPr>
          <w:rFonts w:asciiTheme="majorHAnsi" w:hAnsiTheme="majorHAnsi"/>
          <w:sz w:val="20"/>
          <w:szCs w:val="20"/>
        </w:rPr>
        <w:t>TEST-</w:t>
      </w:r>
    </w:p>
    <w:p w14:paraId="65D9CAD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Випробування на дію радіаційних чинників</w:t>
      </w:r>
    </w:p>
    <w:p w14:paraId="6F473CC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2"/>
          <w:sz w:val="20"/>
          <w:szCs w:val="20"/>
        </w:rPr>
        <w:t xml:space="preserve"> </w:t>
      </w:r>
      <w:r w:rsidRPr="000977F7">
        <w:rPr>
          <w:rFonts w:asciiTheme="majorHAnsi" w:hAnsiTheme="majorHAnsi"/>
          <w:i/>
          <w:sz w:val="20"/>
          <w:szCs w:val="20"/>
        </w:rPr>
        <w:t>– 95</w:t>
      </w:r>
    </w:p>
    <w:p w14:paraId="1AF43BC6"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РАДІАЦІЙНО-ТЕЛЕВІЗІЙНА</w:t>
      </w:r>
      <w:r w:rsidRPr="000977F7">
        <w:rPr>
          <w:rFonts w:asciiTheme="majorHAnsi" w:hAnsiTheme="majorHAnsi"/>
          <w:b/>
          <w:spacing w:val="-7"/>
          <w:sz w:val="20"/>
          <w:szCs w:val="20"/>
        </w:rPr>
        <w:t xml:space="preserve"> </w:t>
      </w:r>
      <w:r w:rsidRPr="000977F7">
        <w:rPr>
          <w:rFonts w:asciiTheme="majorHAnsi" w:hAnsiTheme="majorHAnsi"/>
          <w:b/>
          <w:sz w:val="20"/>
          <w:szCs w:val="20"/>
        </w:rPr>
        <w:t>УСТАВА</w:t>
      </w:r>
      <w:r w:rsidRPr="000977F7">
        <w:rPr>
          <w:rFonts w:asciiTheme="majorHAnsi" w:hAnsiTheme="majorHAnsi"/>
          <w:b/>
          <w:spacing w:val="-5"/>
          <w:sz w:val="20"/>
          <w:szCs w:val="20"/>
        </w:rPr>
        <w:t xml:space="preserve"> </w:t>
      </w:r>
      <w:r w:rsidRPr="000977F7">
        <w:rPr>
          <w:rFonts w:asciiTheme="majorHAnsi" w:hAnsiTheme="majorHAnsi"/>
          <w:b/>
          <w:sz w:val="20"/>
          <w:szCs w:val="20"/>
        </w:rPr>
        <w:t>–</w:t>
      </w:r>
    </w:p>
    <w:p w14:paraId="26A5D08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Підсилювач радіаційного зображення, в якому підсилення яскравості зображення, сформованого іонізуючим випромінюванням на</w:t>
      </w:r>
      <w:r w:rsidRPr="000977F7">
        <w:rPr>
          <w:rFonts w:asciiTheme="majorHAnsi" w:hAnsiTheme="majorHAnsi"/>
          <w:spacing w:val="1"/>
          <w:sz w:val="20"/>
          <w:szCs w:val="20"/>
        </w:rPr>
        <w:t xml:space="preserve"> </w:t>
      </w:r>
      <w:r w:rsidRPr="000977F7">
        <w:rPr>
          <w:rFonts w:asciiTheme="majorHAnsi" w:hAnsiTheme="majorHAnsi"/>
          <w:sz w:val="20"/>
          <w:szCs w:val="20"/>
        </w:rPr>
        <w:t>флуоресцентному</w:t>
      </w:r>
      <w:r w:rsidRPr="000977F7">
        <w:rPr>
          <w:rFonts w:asciiTheme="majorHAnsi" w:hAnsiTheme="majorHAnsi"/>
          <w:spacing w:val="1"/>
          <w:sz w:val="20"/>
          <w:szCs w:val="20"/>
        </w:rPr>
        <w:t xml:space="preserve"> </w:t>
      </w:r>
      <w:r w:rsidRPr="000977F7">
        <w:rPr>
          <w:rFonts w:asciiTheme="majorHAnsi" w:hAnsiTheme="majorHAnsi"/>
          <w:sz w:val="20"/>
          <w:szCs w:val="20"/>
        </w:rPr>
        <w:t>екрані,</w:t>
      </w:r>
      <w:r w:rsidRPr="000977F7">
        <w:rPr>
          <w:rFonts w:asciiTheme="majorHAnsi" w:hAnsiTheme="majorHAnsi"/>
          <w:spacing w:val="1"/>
          <w:sz w:val="20"/>
          <w:szCs w:val="20"/>
        </w:rPr>
        <w:t xml:space="preserve"> </w:t>
      </w:r>
      <w:r w:rsidRPr="000977F7">
        <w:rPr>
          <w:rFonts w:asciiTheme="majorHAnsi" w:hAnsiTheme="majorHAnsi"/>
          <w:sz w:val="20"/>
          <w:szCs w:val="20"/>
        </w:rPr>
        <w:t>створюється на замкненій телевізійний системі (ЗТС),</w:t>
      </w:r>
      <w:r w:rsidRPr="000977F7">
        <w:rPr>
          <w:rFonts w:asciiTheme="majorHAnsi" w:hAnsiTheme="majorHAnsi"/>
          <w:spacing w:val="1"/>
          <w:sz w:val="20"/>
          <w:szCs w:val="20"/>
        </w:rPr>
        <w:t xml:space="preserve"> </w:t>
      </w:r>
      <w:r w:rsidRPr="000977F7">
        <w:rPr>
          <w:rFonts w:asciiTheme="majorHAnsi" w:hAnsiTheme="majorHAnsi"/>
          <w:sz w:val="20"/>
          <w:szCs w:val="20"/>
        </w:rPr>
        <w:t>яка має передавальну телевізійну трубку зі світлочутливим</w:t>
      </w:r>
      <w:r w:rsidRPr="000977F7">
        <w:rPr>
          <w:rFonts w:asciiTheme="majorHAnsi" w:hAnsiTheme="majorHAnsi"/>
          <w:spacing w:val="8"/>
          <w:sz w:val="20"/>
          <w:szCs w:val="20"/>
        </w:rPr>
        <w:t xml:space="preserve"> </w:t>
      </w:r>
      <w:r w:rsidRPr="000977F7">
        <w:rPr>
          <w:rFonts w:asciiTheme="majorHAnsi" w:hAnsiTheme="majorHAnsi"/>
          <w:sz w:val="20"/>
          <w:szCs w:val="20"/>
        </w:rPr>
        <w:t>екраном</w:t>
      </w:r>
      <w:r w:rsidRPr="000977F7">
        <w:rPr>
          <w:rFonts w:asciiTheme="majorHAnsi" w:hAnsiTheme="majorHAnsi"/>
          <w:spacing w:val="8"/>
          <w:sz w:val="20"/>
          <w:szCs w:val="20"/>
        </w:rPr>
        <w:t xml:space="preserve"> </w:t>
      </w:r>
      <w:r w:rsidRPr="000977F7">
        <w:rPr>
          <w:rFonts w:asciiTheme="majorHAnsi" w:hAnsiTheme="majorHAnsi"/>
          <w:sz w:val="20"/>
          <w:szCs w:val="20"/>
        </w:rPr>
        <w:t>на</w:t>
      </w:r>
      <w:r w:rsidRPr="000977F7">
        <w:rPr>
          <w:rFonts w:asciiTheme="majorHAnsi" w:hAnsiTheme="majorHAnsi"/>
          <w:spacing w:val="10"/>
          <w:sz w:val="20"/>
          <w:szCs w:val="20"/>
        </w:rPr>
        <w:t xml:space="preserve"> </w:t>
      </w:r>
      <w:r w:rsidRPr="000977F7">
        <w:rPr>
          <w:rFonts w:asciiTheme="majorHAnsi" w:hAnsiTheme="majorHAnsi"/>
          <w:sz w:val="20"/>
          <w:szCs w:val="20"/>
        </w:rPr>
        <w:t>вході</w:t>
      </w:r>
      <w:r w:rsidRPr="000977F7">
        <w:rPr>
          <w:rFonts w:asciiTheme="majorHAnsi" w:hAnsiTheme="majorHAnsi"/>
          <w:spacing w:val="7"/>
          <w:sz w:val="20"/>
          <w:szCs w:val="20"/>
        </w:rPr>
        <w:t xml:space="preserve"> </w:t>
      </w:r>
      <w:r w:rsidRPr="000977F7">
        <w:rPr>
          <w:rFonts w:asciiTheme="majorHAnsi" w:hAnsiTheme="majorHAnsi"/>
          <w:sz w:val="20"/>
          <w:szCs w:val="20"/>
        </w:rPr>
        <w:t>системи</w:t>
      </w:r>
      <w:r w:rsidRPr="000977F7">
        <w:rPr>
          <w:rFonts w:asciiTheme="majorHAnsi" w:hAnsiTheme="majorHAnsi"/>
          <w:spacing w:val="9"/>
          <w:sz w:val="20"/>
          <w:szCs w:val="20"/>
        </w:rPr>
        <w:t xml:space="preserve"> </w:t>
      </w:r>
      <w:r w:rsidRPr="000977F7">
        <w:rPr>
          <w:rFonts w:asciiTheme="majorHAnsi" w:hAnsiTheme="majorHAnsi"/>
          <w:sz w:val="20"/>
          <w:szCs w:val="20"/>
        </w:rPr>
        <w:t>та</w:t>
      </w:r>
      <w:r w:rsidRPr="000977F7">
        <w:rPr>
          <w:rFonts w:asciiTheme="majorHAnsi" w:hAnsiTheme="majorHAnsi"/>
          <w:spacing w:val="8"/>
          <w:sz w:val="20"/>
          <w:szCs w:val="20"/>
        </w:rPr>
        <w:t xml:space="preserve"> </w:t>
      </w:r>
      <w:r w:rsidRPr="000977F7">
        <w:rPr>
          <w:rFonts w:asciiTheme="majorHAnsi" w:hAnsiTheme="majorHAnsi"/>
          <w:sz w:val="20"/>
          <w:szCs w:val="20"/>
        </w:rPr>
        <w:t>катодолюмінесцентний екран відеоконтрольного пристрою на виході</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p>
    <w:p w14:paraId="423CB9D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EB1F97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 xml:space="preserve">РАДІАЦІЙНО-ТЕЛЕВІЗІЙНА УСТАВА З </w:t>
      </w:r>
    </w:p>
    <w:p w14:paraId="7CBC494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ЕЛЕКТРОННО-ОПТИЧНИМ</w:t>
      </w:r>
      <w:r w:rsidRPr="000977F7">
        <w:rPr>
          <w:color w:val="auto"/>
          <w:spacing w:val="-3"/>
          <w:sz w:val="20"/>
          <w:szCs w:val="20"/>
        </w:rPr>
        <w:t xml:space="preserve"> </w:t>
      </w:r>
      <w:r w:rsidRPr="000977F7">
        <w:rPr>
          <w:color w:val="auto"/>
          <w:sz w:val="20"/>
          <w:szCs w:val="20"/>
        </w:rPr>
        <w:t>ПЕРЕТВОРЮВАЧЕМ</w:t>
      </w:r>
      <w:r w:rsidRPr="000977F7">
        <w:rPr>
          <w:color w:val="auto"/>
          <w:spacing w:val="-1"/>
          <w:sz w:val="20"/>
          <w:szCs w:val="20"/>
        </w:rPr>
        <w:t xml:space="preserve"> </w:t>
      </w:r>
      <w:r w:rsidRPr="000977F7">
        <w:rPr>
          <w:color w:val="auto"/>
          <w:sz w:val="20"/>
          <w:szCs w:val="20"/>
        </w:rPr>
        <w:t>–</w:t>
      </w:r>
    </w:p>
    <w:p w14:paraId="5E5537E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Радіаційно-телевізійна устава з попереднім підсиленням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яскравості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підсилювачі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радіаційного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зображення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електронно-оптичним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перетворювачем</w:t>
      </w:r>
    </w:p>
    <w:p w14:paraId="064FBCBF"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2865 –</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3C089499" w14:textId="77777777" w:rsidR="0097612F" w:rsidRPr="004D2D14" w:rsidRDefault="0097612F" w:rsidP="000977F7">
      <w:pPr>
        <w:tabs>
          <w:tab w:val="left" w:pos="284"/>
        </w:tabs>
        <w:spacing w:after="0" w:line="240" w:lineRule="auto"/>
        <w:ind w:left="170"/>
        <w:mirrorIndents/>
        <w:jc w:val="both"/>
        <w:rPr>
          <w:rFonts w:asciiTheme="majorHAnsi" w:hAnsiTheme="majorHAnsi"/>
          <w:b/>
          <w:bCs/>
          <w:sz w:val="20"/>
          <w:szCs w:val="20"/>
          <w:lang w:val="uk-UA"/>
        </w:rPr>
      </w:pPr>
      <w:r w:rsidRPr="004D2D14">
        <w:rPr>
          <w:rFonts w:asciiTheme="majorHAnsi" w:hAnsiTheme="majorHAnsi"/>
          <w:b/>
          <w:bCs/>
          <w:sz w:val="20"/>
          <w:szCs w:val="20"/>
          <w:lang w:val="uk-UA"/>
        </w:rPr>
        <w:t>РАДІОАКТИВНИЙ</w:t>
      </w:r>
      <w:r w:rsidRPr="004D2D14">
        <w:rPr>
          <w:rFonts w:asciiTheme="majorHAnsi" w:hAnsiTheme="majorHAnsi"/>
          <w:b/>
          <w:bCs/>
          <w:spacing w:val="-6"/>
          <w:sz w:val="20"/>
          <w:szCs w:val="20"/>
          <w:lang w:val="uk-UA"/>
        </w:rPr>
        <w:t xml:space="preserve"> </w:t>
      </w:r>
      <w:r w:rsidRPr="004D2D14">
        <w:rPr>
          <w:rFonts w:asciiTheme="majorHAnsi" w:hAnsiTheme="majorHAnsi"/>
          <w:b/>
          <w:bCs/>
          <w:sz w:val="20"/>
          <w:szCs w:val="20"/>
          <w:lang w:val="uk-UA"/>
        </w:rPr>
        <w:t>МЕТОД</w:t>
      </w:r>
      <w:r w:rsidRPr="004D2D14">
        <w:rPr>
          <w:rFonts w:asciiTheme="majorHAnsi" w:hAnsiTheme="majorHAnsi"/>
          <w:b/>
          <w:bCs/>
          <w:spacing w:val="-2"/>
          <w:sz w:val="20"/>
          <w:szCs w:val="20"/>
          <w:lang w:val="uk-UA"/>
        </w:rPr>
        <w:t xml:space="preserve"> </w:t>
      </w:r>
      <w:r w:rsidRPr="004D2D14">
        <w:rPr>
          <w:rFonts w:asciiTheme="majorHAnsi" w:hAnsiTheme="majorHAnsi"/>
          <w:b/>
          <w:bCs/>
          <w:sz w:val="20"/>
          <w:szCs w:val="20"/>
          <w:lang w:val="uk-UA"/>
        </w:rPr>
        <w:t>–</w:t>
      </w:r>
    </w:p>
    <w:p w14:paraId="303987A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Метод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неруйнівного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контролю,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ґрунтується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реєстрації інтенсивності випромінення, обумовленого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проникненням радіоактивної речовини через наскрізні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дефекти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контрольованого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об’єкта</w:t>
      </w:r>
    </w:p>
    <w:p w14:paraId="2A16C66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6C5122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РАДІОГРАФІЧНИЙ</w:t>
      </w:r>
      <w:r w:rsidRPr="000977F7">
        <w:rPr>
          <w:color w:val="auto"/>
          <w:spacing w:val="-4"/>
          <w:sz w:val="20"/>
          <w:szCs w:val="20"/>
        </w:rPr>
        <w:t xml:space="preserve"> </w:t>
      </w:r>
      <w:r w:rsidRPr="000977F7">
        <w:rPr>
          <w:color w:val="auto"/>
          <w:sz w:val="20"/>
          <w:szCs w:val="20"/>
        </w:rPr>
        <w:t>МЕТОД</w:t>
      </w:r>
      <w:r w:rsidRPr="000977F7">
        <w:rPr>
          <w:color w:val="auto"/>
          <w:spacing w:val="-2"/>
          <w:sz w:val="20"/>
          <w:szCs w:val="20"/>
        </w:rPr>
        <w:t xml:space="preserve"> </w:t>
      </w:r>
      <w:r w:rsidRPr="000977F7">
        <w:rPr>
          <w:color w:val="auto"/>
          <w:sz w:val="20"/>
          <w:szCs w:val="20"/>
        </w:rPr>
        <w:t>–</w:t>
      </w:r>
    </w:p>
    <w:p w14:paraId="1155AA9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перетворені радіаційного зображення контрольованого об’єкта в радіографічний знімок або запису цього</w:t>
      </w:r>
      <w:r w:rsidRPr="000977F7">
        <w:rPr>
          <w:rFonts w:asciiTheme="majorHAnsi" w:hAnsiTheme="majorHAnsi"/>
          <w:spacing w:val="1"/>
          <w:sz w:val="20"/>
          <w:szCs w:val="20"/>
        </w:rPr>
        <w:t xml:space="preserve"> </w:t>
      </w:r>
      <w:r w:rsidRPr="000977F7">
        <w:rPr>
          <w:rFonts w:asciiTheme="majorHAnsi" w:hAnsiTheme="majorHAnsi"/>
          <w:sz w:val="20"/>
          <w:szCs w:val="20"/>
        </w:rPr>
        <w:t>зображення на запам’ятовувальному пристрої з подальшим</w:t>
      </w:r>
      <w:r w:rsidRPr="000977F7">
        <w:rPr>
          <w:rFonts w:asciiTheme="majorHAnsi" w:hAnsiTheme="majorHAnsi"/>
          <w:spacing w:val="2"/>
          <w:sz w:val="20"/>
          <w:szCs w:val="20"/>
        </w:rPr>
        <w:t xml:space="preserve"> </w:t>
      </w:r>
      <w:r w:rsidRPr="000977F7">
        <w:rPr>
          <w:rFonts w:asciiTheme="majorHAnsi" w:hAnsiTheme="majorHAnsi"/>
          <w:sz w:val="20"/>
          <w:szCs w:val="20"/>
        </w:rPr>
        <w:t>перетворенням</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світлове</w:t>
      </w:r>
      <w:r w:rsidRPr="000977F7">
        <w:rPr>
          <w:rFonts w:asciiTheme="majorHAnsi" w:hAnsiTheme="majorHAnsi"/>
          <w:spacing w:val="-2"/>
          <w:sz w:val="20"/>
          <w:szCs w:val="20"/>
        </w:rPr>
        <w:t xml:space="preserve"> </w:t>
      </w:r>
      <w:r w:rsidRPr="000977F7">
        <w:rPr>
          <w:rFonts w:asciiTheme="majorHAnsi" w:hAnsiTheme="majorHAnsi"/>
          <w:sz w:val="20"/>
          <w:szCs w:val="20"/>
        </w:rPr>
        <w:t>зображення</w:t>
      </w:r>
    </w:p>
    <w:p w14:paraId="1E7D856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07446A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РАДІОІНТРОСКОП</w:t>
      </w:r>
      <w:r w:rsidRPr="000977F7">
        <w:rPr>
          <w:color w:val="auto"/>
          <w:spacing w:val="-4"/>
          <w:sz w:val="20"/>
          <w:szCs w:val="20"/>
        </w:rPr>
        <w:t xml:space="preserve"> </w:t>
      </w:r>
      <w:r w:rsidRPr="000977F7">
        <w:rPr>
          <w:color w:val="auto"/>
          <w:sz w:val="20"/>
          <w:szCs w:val="20"/>
        </w:rPr>
        <w:t>–</w:t>
      </w:r>
    </w:p>
    <w:p w14:paraId="17C7DE1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Радіохвильовий дефектоскоп, в якому передбачено візуалізацію прихованого радіозображення об’єкта контролю або багатоелементне оброблення інформації на основі ЦОМ</w:t>
      </w:r>
    </w:p>
    <w:p w14:paraId="699F2B1C"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2865</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A45B17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РАДІОСИГНАЛ</w:t>
      </w:r>
      <w:r w:rsidRPr="000977F7">
        <w:rPr>
          <w:color w:val="auto"/>
          <w:spacing w:val="-4"/>
          <w:sz w:val="20"/>
          <w:szCs w:val="20"/>
        </w:rPr>
        <w:t xml:space="preserve"> </w:t>
      </w:r>
      <w:r w:rsidRPr="000977F7">
        <w:rPr>
          <w:color w:val="auto"/>
          <w:sz w:val="20"/>
          <w:szCs w:val="20"/>
        </w:rPr>
        <w:t>–</w:t>
      </w:r>
    </w:p>
    <w:p w14:paraId="7EB598A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RADIO</w:t>
      </w:r>
      <w:r w:rsidRPr="000977F7">
        <w:rPr>
          <w:rFonts w:asciiTheme="majorHAnsi" w:hAnsiTheme="majorHAnsi"/>
          <w:spacing w:val="-2"/>
          <w:sz w:val="20"/>
          <w:szCs w:val="20"/>
        </w:rPr>
        <w:t xml:space="preserve"> </w:t>
      </w:r>
      <w:r w:rsidRPr="000977F7">
        <w:rPr>
          <w:rFonts w:asciiTheme="majorHAnsi" w:hAnsiTheme="majorHAnsi"/>
          <w:sz w:val="20"/>
          <w:szCs w:val="20"/>
        </w:rPr>
        <w:t>SIGNAL</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17AD9BD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 у вигляді діяння електромагнітного випромінювання,</w:t>
      </w:r>
      <w:r w:rsidRPr="000977F7">
        <w:rPr>
          <w:rFonts w:asciiTheme="majorHAnsi" w:hAnsiTheme="majorHAnsi"/>
          <w:spacing w:val="1"/>
          <w:sz w:val="20"/>
          <w:szCs w:val="20"/>
        </w:rPr>
        <w:t xml:space="preserve"> </w:t>
      </w:r>
      <w:r w:rsidRPr="000977F7">
        <w:rPr>
          <w:rFonts w:asciiTheme="majorHAnsi" w:hAnsiTheme="majorHAnsi"/>
          <w:sz w:val="20"/>
          <w:szCs w:val="20"/>
        </w:rPr>
        <w:t>дієвою</w:t>
      </w:r>
      <w:r w:rsidRPr="000977F7">
        <w:rPr>
          <w:rFonts w:asciiTheme="majorHAnsi" w:hAnsiTheme="majorHAnsi"/>
          <w:spacing w:val="1"/>
          <w:sz w:val="20"/>
          <w:szCs w:val="20"/>
        </w:rPr>
        <w:t xml:space="preserve"> </w:t>
      </w:r>
      <w:r w:rsidRPr="000977F7">
        <w:rPr>
          <w:rFonts w:asciiTheme="majorHAnsi" w:hAnsiTheme="majorHAnsi"/>
          <w:sz w:val="20"/>
          <w:szCs w:val="20"/>
        </w:rPr>
        <w:t>величиною</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напруженість</w:t>
      </w:r>
      <w:r w:rsidRPr="000977F7">
        <w:rPr>
          <w:rFonts w:asciiTheme="majorHAnsi" w:hAnsiTheme="majorHAnsi"/>
          <w:spacing w:val="1"/>
          <w:sz w:val="20"/>
          <w:szCs w:val="20"/>
        </w:rPr>
        <w:t xml:space="preserve"> </w:t>
      </w:r>
      <w:r w:rsidRPr="000977F7">
        <w:rPr>
          <w:rFonts w:asciiTheme="majorHAnsi" w:hAnsiTheme="majorHAnsi"/>
          <w:sz w:val="20"/>
          <w:szCs w:val="20"/>
        </w:rPr>
        <w:t>електромагнітного поля</w:t>
      </w:r>
    </w:p>
    <w:p w14:paraId="7A3FDC2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7EEE5AB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РАДІОСКОПІЧНИЙ</w:t>
      </w:r>
      <w:r w:rsidRPr="000977F7">
        <w:rPr>
          <w:color w:val="auto"/>
          <w:spacing w:val="-3"/>
          <w:sz w:val="20"/>
          <w:szCs w:val="20"/>
        </w:rPr>
        <w:t xml:space="preserve"> </w:t>
      </w:r>
      <w:r w:rsidRPr="000977F7">
        <w:rPr>
          <w:color w:val="auto"/>
          <w:sz w:val="20"/>
          <w:szCs w:val="20"/>
        </w:rPr>
        <w:t>МЕТОД</w:t>
      </w:r>
      <w:r w:rsidRPr="000977F7">
        <w:rPr>
          <w:color w:val="auto"/>
          <w:spacing w:val="-1"/>
          <w:sz w:val="20"/>
          <w:szCs w:val="20"/>
        </w:rPr>
        <w:t xml:space="preserve"> </w:t>
      </w:r>
      <w:r w:rsidRPr="000977F7">
        <w:rPr>
          <w:color w:val="auto"/>
          <w:sz w:val="20"/>
          <w:szCs w:val="20"/>
        </w:rPr>
        <w:t>–</w:t>
      </w:r>
    </w:p>
    <w:p w14:paraId="191C5E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реєстрації</w:t>
      </w:r>
      <w:r w:rsidRPr="000977F7">
        <w:rPr>
          <w:rFonts w:asciiTheme="majorHAnsi" w:hAnsiTheme="majorHAnsi"/>
          <w:spacing w:val="1"/>
          <w:sz w:val="20"/>
          <w:szCs w:val="20"/>
        </w:rPr>
        <w:t xml:space="preserve"> </w:t>
      </w:r>
      <w:r w:rsidRPr="000977F7">
        <w:rPr>
          <w:rFonts w:asciiTheme="majorHAnsi" w:hAnsiTheme="majorHAnsi"/>
          <w:sz w:val="20"/>
          <w:szCs w:val="20"/>
        </w:rPr>
        <w:t>іонізуючих випромінювань на</w:t>
      </w:r>
      <w:r w:rsidRPr="000977F7">
        <w:rPr>
          <w:rFonts w:asciiTheme="majorHAnsi" w:hAnsiTheme="majorHAnsi"/>
          <w:spacing w:val="1"/>
          <w:sz w:val="20"/>
          <w:szCs w:val="20"/>
        </w:rPr>
        <w:t xml:space="preserve"> </w:t>
      </w:r>
      <w:r w:rsidRPr="000977F7">
        <w:rPr>
          <w:rFonts w:asciiTheme="majorHAnsi" w:hAnsiTheme="majorHAnsi"/>
          <w:sz w:val="20"/>
          <w:szCs w:val="20"/>
        </w:rPr>
        <w:t>флуоресційювальному екрані або за допомогою електроннооптичного перетворювача</w:t>
      </w:r>
    </w:p>
    <w:p w14:paraId="706CC8D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861C41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РАДІОХВИЛЬОВИЙ</w:t>
      </w:r>
      <w:r w:rsidRPr="000977F7">
        <w:rPr>
          <w:color w:val="auto"/>
          <w:spacing w:val="-5"/>
          <w:sz w:val="20"/>
          <w:szCs w:val="20"/>
        </w:rPr>
        <w:t xml:space="preserve"> </w:t>
      </w:r>
      <w:r w:rsidRPr="000977F7">
        <w:rPr>
          <w:color w:val="auto"/>
          <w:sz w:val="20"/>
          <w:szCs w:val="20"/>
        </w:rPr>
        <w:t>ВОЛОГОМІР</w:t>
      </w:r>
      <w:r w:rsidRPr="000977F7">
        <w:rPr>
          <w:color w:val="auto"/>
          <w:spacing w:val="-2"/>
          <w:sz w:val="20"/>
          <w:szCs w:val="20"/>
        </w:rPr>
        <w:t xml:space="preserve"> </w:t>
      </w:r>
      <w:r w:rsidRPr="000977F7">
        <w:rPr>
          <w:color w:val="auto"/>
          <w:sz w:val="20"/>
          <w:szCs w:val="20"/>
        </w:rPr>
        <w:t>–</w:t>
      </w:r>
    </w:p>
    <w:p w14:paraId="79AB594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Прилад</w:t>
      </w:r>
      <w:r w:rsidRPr="000977F7">
        <w:rPr>
          <w:rFonts w:asciiTheme="majorHAnsi" w:hAnsiTheme="majorHAnsi"/>
          <w:spacing w:val="1"/>
          <w:sz w:val="20"/>
          <w:szCs w:val="20"/>
        </w:rPr>
        <w:t xml:space="preserve"> </w:t>
      </w:r>
      <w:r w:rsidRPr="000977F7">
        <w:rPr>
          <w:rFonts w:asciiTheme="majorHAnsi" w:hAnsiTheme="majorHAnsi"/>
          <w:sz w:val="20"/>
          <w:szCs w:val="20"/>
        </w:rPr>
        <w:t>радіохвильового</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призначений для вимірювання вологості радіопрозорих</w:t>
      </w:r>
      <w:r w:rsidRPr="000977F7">
        <w:rPr>
          <w:rFonts w:asciiTheme="majorHAnsi" w:hAnsiTheme="majorHAnsi"/>
          <w:spacing w:val="-2"/>
          <w:sz w:val="20"/>
          <w:szCs w:val="20"/>
        </w:rPr>
        <w:t xml:space="preserve"> </w:t>
      </w:r>
      <w:r w:rsidRPr="000977F7">
        <w:rPr>
          <w:rFonts w:asciiTheme="majorHAnsi" w:hAnsiTheme="majorHAnsi"/>
          <w:sz w:val="20"/>
          <w:szCs w:val="20"/>
        </w:rPr>
        <w:t>речовин, матеріалів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виробів</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них</w:t>
      </w:r>
    </w:p>
    <w:p w14:paraId="3D8CCCD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D9C0CA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РАДІОХВИЛЬОВИЙ</w:t>
      </w:r>
      <w:r w:rsidRPr="000977F7">
        <w:rPr>
          <w:color w:val="auto"/>
          <w:spacing w:val="-5"/>
          <w:sz w:val="20"/>
          <w:szCs w:val="20"/>
        </w:rPr>
        <w:t xml:space="preserve"> </w:t>
      </w:r>
      <w:r w:rsidRPr="000977F7">
        <w:rPr>
          <w:color w:val="auto"/>
          <w:sz w:val="20"/>
          <w:szCs w:val="20"/>
        </w:rPr>
        <w:t>ГУСТИНОМІР</w:t>
      </w:r>
      <w:r w:rsidRPr="000977F7">
        <w:rPr>
          <w:color w:val="auto"/>
          <w:spacing w:val="-1"/>
          <w:sz w:val="20"/>
          <w:szCs w:val="20"/>
        </w:rPr>
        <w:t xml:space="preserve"> </w:t>
      </w:r>
      <w:r w:rsidRPr="000977F7">
        <w:rPr>
          <w:color w:val="auto"/>
          <w:sz w:val="20"/>
          <w:szCs w:val="20"/>
        </w:rPr>
        <w:t>–</w:t>
      </w:r>
    </w:p>
    <w:p w14:paraId="469D6E3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Прилад</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призначений</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вимірювання</w:t>
      </w:r>
      <w:r w:rsidRPr="000977F7">
        <w:rPr>
          <w:rFonts w:asciiTheme="majorHAnsi" w:hAnsiTheme="majorHAnsi"/>
          <w:spacing w:val="1"/>
          <w:sz w:val="20"/>
          <w:szCs w:val="20"/>
        </w:rPr>
        <w:t xml:space="preserve"> </w:t>
      </w:r>
      <w:r w:rsidRPr="000977F7">
        <w:rPr>
          <w:rFonts w:asciiTheme="majorHAnsi" w:hAnsiTheme="majorHAnsi"/>
          <w:sz w:val="20"/>
          <w:szCs w:val="20"/>
        </w:rPr>
        <w:t>густини</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пористості</w:t>
      </w:r>
      <w:r w:rsidRPr="000977F7">
        <w:rPr>
          <w:rFonts w:asciiTheme="majorHAnsi" w:hAnsiTheme="majorHAnsi"/>
          <w:spacing w:val="1"/>
          <w:sz w:val="20"/>
          <w:szCs w:val="20"/>
        </w:rPr>
        <w:t xml:space="preserve"> </w:t>
      </w:r>
      <w:r w:rsidRPr="000977F7">
        <w:rPr>
          <w:rFonts w:asciiTheme="majorHAnsi" w:hAnsiTheme="majorHAnsi"/>
          <w:sz w:val="20"/>
          <w:szCs w:val="20"/>
        </w:rPr>
        <w:t>радіопрозорих</w:t>
      </w:r>
      <w:r w:rsidRPr="000977F7">
        <w:rPr>
          <w:rFonts w:asciiTheme="majorHAnsi" w:hAnsiTheme="majorHAnsi"/>
          <w:spacing w:val="-47"/>
          <w:sz w:val="20"/>
          <w:szCs w:val="20"/>
        </w:rPr>
        <w:t xml:space="preserve"> </w:t>
      </w:r>
      <w:r w:rsidRPr="000977F7">
        <w:rPr>
          <w:rFonts w:asciiTheme="majorHAnsi" w:hAnsiTheme="majorHAnsi"/>
          <w:sz w:val="20"/>
          <w:szCs w:val="20"/>
        </w:rPr>
        <w:t>речовин,</w:t>
      </w:r>
      <w:r w:rsidRPr="000977F7">
        <w:rPr>
          <w:rFonts w:asciiTheme="majorHAnsi" w:hAnsiTheme="majorHAnsi"/>
          <w:spacing w:val="-1"/>
          <w:sz w:val="20"/>
          <w:szCs w:val="20"/>
        </w:rPr>
        <w:t xml:space="preserve"> </w:t>
      </w:r>
      <w:r w:rsidRPr="000977F7">
        <w:rPr>
          <w:rFonts w:asciiTheme="majorHAnsi" w:hAnsiTheme="majorHAnsi"/>
          <w:sz w:val="20"/>
          <w:szCs w:val="20"/>
        </w:rPr>
        <w:t>матеріалів</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виробів</w:t>
      </w:r>
      <w:r w:rsidRPr="000977F7">
        <w:rPr>
          <w:rFonts w:asciiTheme="majorHAnsi" w:hAnsiTheme="majorHAnsi"/>
          <w:spacing w:val="-2"/>
          <w:sz w:val="20"/>
          <w:szCs w:val="20"/>
        </w:rPr>
        <w:t xml:space="preserve"> </w:t>
      </w:r>
      <w:r w:rsidRPr="000977F7">
        <w:rPr>
          <w:rFonts w:asciiTheme="majorHAnsi" w:hAnsiTheme="majorHAnsi"/>
          <w:sz w:val="20"/>
          <w:szCs w:val="20"/>
        </w:rPr>
        <w:t>із них</w:t>
      </w:r>
    </w:p>
    <w:p w14:paraId="209A9CE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 – 94</w:t>
      </w:r>
    </w:p>
    <w:p w14:paraId="66834BF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РАДІОХВИЛЬОВИЙ</w:t>
      </w:r>
      <w:r w:rsidRPr="000977F7">
        <w:rPr>
          <w:color w:val="auto"/>
          <w:spacing w:val="-6"/>
          <w:sz w:val="20"/>
          <w:szCs w:val="20"/>
        </w:rPr>
        <w:t xml:space="preserve"> </w:t>
      </w:r>
      <w:r w:rsidRPr="000977F7">
        <w:rPr>
          <w:color w:val="auto"/>
          <w:sz w:val="20"/>
          <w:szCs w:val="20"/>
        </w:rPr>
        <w:t>ДЕФЕКТОСКОП</w:t>
      </w:r>
      <w:r w:rsidRPr="000977F7">
        <w:rPr>
          <w:color w:val="auto"/>
          <w:spacing w:val="-2"/>
          <w:sz w:val="20"/>
          <w:szCs w:val="20"/>
        </w:rPr>
        <w:t xml:space="preserve"> </w:t>
      </w:r>
      <w:r w:rsidRPr="000977F7">
        <w:rPr>
          <w:color w:val="auto"/>
          <w:sz w:val="20"/>
          <w:szCs w:val="20"/>
        </w:rPr>
        <w:t>–</w:t>
      </w:r>
    </w:p>
    <w:p w14:paraId="56057B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Прилад</w:t>
      </w:r>
      <w:r w:rsidRPr="000977F7">
        <w:rPr>
          <w:rFonts w:asciiTheme="majorHAnsi" w:hAnsiTheme="majorHAnsi"/>
          <w:spacing w:val="36"/>
          <w:sz w:val="20"/>
          <w:szCs w:val="20"/>
        </w:rPr>
        <w:t xml:space="preserve"> </w:t>
      </w:r>
      <w:r w:rsidRPr="000977F7">
        <w:rPr>
          <w:rFonts w:asciiTheme="majorHAnsi" w:hAnsiTheme="majorHAnsi"/>
          <w:sz w:val="20"/>
          <w:szCs w:val="20"/>
        </w:rPr>
        <w:t>радіохвильового</w:t>
      </w:r>
      <w:r w:rsidRPr="000977F7">
        <w:rPr>
          <w:rFonts w:asciiTheme="majorHAnsi" w:hAnsiTheme="majorHAnsi"/>
          <w:spacing w:val="37"/>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37"/>
          <w:sz w:val="20"/>
          <w:szCs w:val="20"/>
        </w:rPr>
        <w:t xml:space="preserve"> </w:t>
      </w:r>
      <w:r w:rsidRPr="000977F7">
        <w:rPr>
          <w:rFonts w:asciiTheme="majorHAnsi" w:hAnsiTheme="majorHAnsi"/>
          <w:sz w:val="20"/>
          <w:szCs w:val="20"/>
        </w:rPr>
        <w:t>контролю,</w:t>
      </w:r>
      <w:r w:rsidRPr="000977F7">
        <w:rPr>
          <w:rFonts w:asciiTheme="majorHAnsi" w:hAnsiTheme="majorHAnsi"/>
          <w:spacing w:val="-47"/>
          <w:sz w:val="20"/>
          <w:szCs w:val="20"/>
        </w:rPr>
        <w:t xml:space="preserve"> </w:t>
      </w:r>
      <w:r w:rsidRPr="000977F7">
        <w:rPr>
          <w:rFonts w:asciiTheme="majorHAnsi" w:hAnsiTheme="majorHAnsi"/>
          <w:sz w:val="20"/>
          <w:szCs w:val="20"/>
        </w:rPr>
        <w:t>призначений</w:t>
      </w:r>
      <w:r w:rsidRPr="000977F7">
        <w:rPr>
          <w:rFonts w:asciiTheme="majorHAnsi" w:hAnsiTheme="majorHAnsi"/>
          <w:spacing w:val="15"/>
          <w:sz w:val="20"/>
          <w:szCs w:val="20"/>
        </w:rPr>
        <w:t xml:space="preserve"> </w:t>
      </w:r>
      <w:r w:rsidRPr="000977F7">
        <w:rPr>
          <w:rFonts w:asciiTheme="majorHAnsi" w:hAnsiTheme="majorHAnsi"/>
          <w:sz w:val="20"/>
          <w:szCs w:val="20"/>
        </w:rPr>
        <w:t>для</w:t>
      </w:r>
      <w:r w:rsidRPr="000977F7">
        <w:rPr>
          <w:rFonts w:asciiTheme="majorHAnsi" w:hAnsiTheme="majorHAnsi"/>
          <w:spacing w:val="17"/>
          <w:sz w:val="20"/>
          <w:szCs w:val="20"/>
        </w:rPr>
        <w:t xml:space="preserve"> </w:t>
      </w:r>
      <w:r w:rsidRPr="000977F7">
        <w:rPr>
          <w:rFonts w:asciiTheme="majorHAnsi" w:hAnsiTheme="majorHAnsi"/>
          <w:sz w:val="20"/>
          <w:szCs w:val="20"/>
        </w:rPr>
        <w:t>виявлення,</w:t>
      </w:r>
      <w:r w:rsidRPr="000977F7">
        <w:rPr>
          <w:rFonts w:asciiTheme="majorHAnsi" w:hAnsiTheme="majorHAnsi"/>
          <w:spacing w:val="15"/>
          <w:sz w:val="20"/>
          <w:szCs w:val="20"/>
        </w:rPr>
        <w:t xml:space="preserve"> </w:t>
      </w:r>
      <w:r w:rsidRPr="000977F7">
        <w:rPr>
          <w:rFonts w:asciiTheme="majorHAnsi" w:hAnsiTheme="majorHAnsi"/>
          <w:sz w:val="20"/>
          <w:szCs w:val="20"/>
        </w:rPr>
        <w:t>реєстрації</w:t>
      </w:r>
      <w:r w:rsidRPr="000977F7">
        <w:rPr>
          <w:rFonts w:asciiTheme="majorHAnsi" w:hAnsiTheme="majorHAnsi"/>
          <w:spacing w:val="15"/>
          <w:sz w:val="20"/>
          <w:szCs w:val="20"/>
        </w:rPr>
        <w:t xml:space="preserve"> </w:t>
      </w:r>
      <w:r w:rsidRPr="000977F7">
        <w:rPr>
          <w:rFonts w:asciiTheme="majorHAnsi" w:hAnsiTheme="majorHAnsi"/>
          <w:sz w:val="20"/>
          <w:szCs w:val="20"/>
        </w:rPr>
        <w:t>та</w:t>
      </w:r>
      <w:r w:rsidRPr="000977F7">
        <w:rPr>
          <w:rFonts w:asciiTheme="majorHAnsi" w:hAnsiTheme="majorHAnsi"/>
          <w:spacing w:val="14"/>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47"/>
          <w:sz w:val="20"/>
          <w:szCs w:val="20"/>
        </w:rPr>
        <w:t xml:space="preserve"> </w:t>
      </w:r>
      <w:r w:rsidRPr="000977F7">
        <w:rPr>
          <w:rFonts w:asciiTheme="majorHAnsi" w:hAnsiTheme="majorHAnsi"/>
          <w:sz w:val="20"/>
          <w:szCs w:val="20"/>
        </w:rPr>
        <w:t>розмірів</w:t>
      </w:r>
      <w:r w:rsidRPr="000977F7">
        <w:rPr>
          <w:rFonts w:asciiTheme="majorHAnsi" w:hAnsiTheme="majorHAnsi"/>
          <w:spacing w:val="11"/>
          <w:sz w:val="20"/>
          <w:szCs w:val="20"/>
        </w:rPr>
        <w:t xml:space="preserve"> </w:t>
      </w:r>
      <w:r w:rsidRPr="000977F7">
        <w:rPr>
          <w:rFonts w:asciiTheme="majorHAnsi" w:hAnsiTheme="majorHAnsi"/>
          <w:sz w:val="20"/>
          <w:szCs w:val="20"/>
        </w:rPr>
        <w:t>і</w:t>
      </w:r>
      <w:r w:rsidRPr="000977F7">
        <w:rPr>
          <w:rFonts w:asciiTheme="majorHAnsi" w:hAnsiTheme="majorHAnsi"/>
          <w:spacing w:val="11"/>
          <w:sz w:val="20"/>
          <w:szCs w:val="20"/>
        </w:rPr>
        <w:t xml:space="preserve"> </w:t>
      </w:r>
      <w:r w:rsidRPr="000977F7">
        <w:rPr>
          <w:rFonts w:asciiTheme="majorHAnsi" w:hAnsiTheme="majorHAnsi"/>
          <w:sz w:val="20"/>
          <w:szCs w:val="20"/>
        </w:rPr>
        <w:t>(чи)</w:t>
      </w:r>
      <w:r w:rsidRPr="000977F7">
        <w:rPr>
          <w:rFonts w:asciiTheme="majorHAnsi" w:hAnsiTheme="majorHAnsi"/>
          <w:spacing w:val="12"/>
          <w:sz w:val="20"/>
          <w:szCs w:val="20"/>
        </w:rPr>
        <w:t xml:space="preserve"> </w:t>
      </w:r>
      <w:r w:rsidRPr="000977F7">
        <w:rPr>
          <w:rFonts w:asciiTheme="majorHAnsi" w:hAnsiTheme="majorHAnsi"/>
          <w:sz w:val="20"/>
          <w:szCs w:val="20"/>
        </w:rPr>
        <w:t>координат</w:t>
      </w:r>
      <w:r w:rsidRPr="000977F7">
        <w:rPr>
          <w:rFonts w:asciiTheme="majorHAnsi" w:hAnsiTheme="majorHAnsi"/>
          <w:spacing w:val="13"/>
          <w:sz w:val="20"/>
          <w:szCs w:val="20"/>
        </w:rPr>
        <w:t xml:space="preserve"> </w:t>
      </w:r>
      <w:r w:rsidRPr="000977F7">
        <w:rPr>
          <w:rFonts w:asciiTheme="majorHAnsi" w:hAnsiTheme="majorHAnsi"/>
          <w:sz w:val="20"/>
          <w:szCs w:val="20"/>
        </w:rPr>
        <w:t>дефектів</w:t>
      </w:r>
      <w:r w:rsidRPr="000977F7">
        <w:rPr>
          <w:rFonts w:asciiTheme="majorHAnsi" w:hAnsiTheme="majorHAnsi"/>
          <w:spacing w:val="11"/>
          <w:sz w:val="20"/>
          <w:szCs w:val="20"/>
        </w:rPr>
        <w:t xml:space="preserve"> </w:t>
      </w:r>
      <w:r w:rsidRPr="000977F7">
        <w:rPr>
          <w:rFonts w:asciiTheme="majorHAnsi" w:hAnsiTheme="majorHAnsi"/>
          <w:sz w:val="20"/>
          <w:szCs w:val="20"/>
        </w:rPr>
        <w:t>типу</w:t>
      </w:r>
      <w:r w:rsidRPr="000977F7">
        <w:rPr>
          <w:rFonts w:asciiTheme="majorHAnsi" w:hAnsiTheme="majorHAnsi"/>
          <w:spacing w:val="13"/>
          <w:sz w:val="20"/>
          <w:szCs w:val="20"/>
        </w:rPr>
        <w:t xml:space="preserve"> </w:t>
      </w:r>
      <w:r w:rsidRPr="000977F7">
        <w:rPr>
          <w:rFonts w:asciiTheme="majorHAnsi" w:hAnsiTheme="majorHAnsi"/>
          <w:sz w:val="20"/>
          <w:szCs w:val="20"/>
        </w:rPr>
        <w:t>порушень</w:t>
      </w:r>
      <w:r w:rsidRPr="000977F7">
        <w:rPr>
          <w:rFonts w:asciiTheme="majorHAnsi" w:hAnsiTheme="majorHAnsi"/>
          <w:spacing w:val="-47"/>
          <w:sz w:val="20"/>
          <w:szCs w:val="20"/>
        </w:rPr>
        <w:t xml:space="preserve"> </w:t>
      </w:r>
      <w:r w:rsidRPr="000977F7">
        <w:rPr>
          <w:rFonts w:asciiTheme="majorHAnsi" w:hAnsiTheme="majorHAnsi"/>
          <w:sz w:val="20"/>
          <w:szCs w:val="20"/>
        </w:rPr>
        <w:t>суцільності та неоднорідності в об’єкті контролю</w:t>
      </w:r>
    </w:p>
    <w:p w14:paraId="2B6FF3FD"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2865</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0EFEFE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РАДІОХВИЛЬОВИЙ</w:t>
      </w:r>
      <w:r w:rsidRPr="000977F7">
        <w:rPr>
          <w:color w:val="auto"/>
          <w:spacing w:val="43"/>
          <w:sz w:val="20"/>
          <w:szCs w:val="20"/>
        </w:rPr>
        <w:t xml:space="preserve"> </w:t>
      </w:r>
      <w:r w:rsidRPr="000977F7">
        <w:rPr>
          <w:color w:val="auto"/>
          <w:sz w:val="20"/>
          <w:szCs w:val="20"/>
        </w:rPr>
        <w:t>ДІЕЛЕКТРОМІР</w:t>
      </w:r>
      <w:r w:rsidRPr="000977F7">
        <w:rPr>
          <w:color w:val="auto"/>
          <w:spacing w:val="-1"/>
          <w:sz w:val="20"/>
          <w:szCs w:val="20"/>
        </w:rPr>
        <w:t xml:space="preserve"> </w:t>
      </w:r>
      <w:r w:rsidRPr="000977F7">
        <w:rPr>
          <w:color w:val="auto"/>
          <w:sz w:val="20"/>
          <w:szCs w:val="20"/>
        </w:rPr>
        <w:t>–</w:t>
      </w:r>
    </w:p>
    <w:p w14:paraId="0FD427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Прилад</w:t>
      </w:r>
      <w:r w:rsidRPr="000977F7">
        <w:rPr>
          <w:rFonts w:asciiTheme="majorHAnsi" w:hAnsiTheme="majorHAnsi"/>
          <w:spacing w:val="1"/>
          <w:sz w:val="20"/>
          <w:szCs w:val="20"/>
        </w:rPr>
        <w:t xml:space="preserve"> </w:t>
      </w:r>
      <w:r w:rsidRPr="000977F7">
        <w:rPr>
          <w:rFonts w:asciiTheme="majorHAnsi" w:hAnsiTheme="majorHAnsi"/>
          <w:sz w:val="20"/>
          <w:szCs w:val="20"/>
        </w:rPr>
        <w:t>радіохвильового</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призначений для вимірювання діелектричних характеристик</w:t>
      </w:r>
      <w:r w:rsidRPr="000977F7">
        <w:rPr>
          <w:rFonts w:asciiTheme="majorHAnsi" w:hAnsiTheme="majorHAnsi"/>
          <w:spacing w:val="-2"/>
          <w:sz w:val="20"/>
          <w:szCs w:val="20"/>
        </w:rPr>
        <w:t xml:space="preserve"> </w:t>
      </w:r>
      <w:r w:rsidRPr="000977F7">
        <w:rPr>
          <w:rFonts w:asciiTheme="majorHAnsi" w:hAnsiTheme="majorHAnsi"/>
          <w:sz w:val="20"/>
          <w:szCs w:val="20"/>
        </w:rPr>
        <w:t>речовин</w:t>
      </w:r>
      <w:r w:rsidRPr="000977F7">
        <w:rPr>
          <w:rFonts w:asciiTheme="majorHAnsi" w:hAnsiTheme="majorHAnsi"/>
          <w:spacing w:val="-2"/>
          <w:sz w:val="20"/>
          <w:szCs w:val="20"/>
        </w:rPr>
        <w:t xml:space="preserve"> </w:t>
      </w:r>
      <w:r w:rsidRPr="000977F7">
        <w:rPr>
          <w:rFonts w:asciiTheme="majorHAnsi" w:hAnsiTheme="majorHAnsi"/>
          <w:sz w:val="20"/>
          <w:szCs w:val="20"/>
        </w:rPr>
        <w:t>, матеріалів</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виробів</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них</w:t>
      </w:r>
    </w:p>
    <w:p w14:paraId="5904A8C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2865 – 94</w:t>
      </w:r>
    </w:p>
    <w:p w14:paraId="22CB5443"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РАДІОХВИЛЬОВИЙ</w:t>
      </w:r>
      <w:r w:rsidRPr="000977F7">
        <w:rPr>
          <w:rFonts w:asciiTheme="majorHAnsi" w:hAnsiTheme="majorHAnsi"/>
          <w:b/>
          <w:spacing w:val="-12"/>
          <w:sz w:val="20"/>
          <w:szCs w:val="20"/>
        </w:rPr>
        <w:t xml:space="preserve"> </w:t>
      </w:r>
      <w:r w:rsidRPr="000977F7">
        <w:rPr>
          <w:rFonts w:asciiTheme="majorHAnsi" w:hAnsiTheme="majorHAnsi"/>
          <w:b/>
          <w:sz w:val="20"/>
          <w:szCs w:val="20"/>
        </w:rPr>
        <w:t>НЕРУЙНІВНИЙ</w:t>
      </w:r>
      <w:r w:rsidRPr="000977F7">
        <w:rPr>
          <w:rFonts w:asciiTheme="majorHAnsi" w:hAnsiTheme="majorHAnsi"/>
          <w:b/>
          <w:spacing w:val="-47"/>
          <w:sz w:val="20"/>
          <w:szCs w:val="20"/>
        </w:rPr>
        <w:t xml:space="preserve"> </w:t>
      </w:r>
      <w:r w:rsidRPr="000977F7">
        <w:rPr>
          <w:rFonts w:asciiTheme="majorHAnsi" w:hAnsiTheme="majorHAnsi"/>
          <w:b/>
          <w:sz w:val="20"/>
          <w:szCs w:val="20"/>
        </w:rPr>
        <w:t>КОНТРОЛЬ –</w:t>
      </w:r>
    </w:p>
    <w:p w14:paraId="6D6C637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RADIOWAVE</w:t>
      </w:r>
      <w:r w:rsidRPr="000977F7">
        <w:rPr>
          <w:rFonts w:asciiTheme="majorHAnsi" w:hAnsiTheme="majorHAnsi"/>
          <w:spacing w:val="-2"/>
          <w:sz w:val="20"/>
          <w:szCs w:val="20"/>
        </w:rPr>
        <w:t xml:space="preserve"> </w:t>
      </w:r>
      <w:r w:rsidRPr="000977F7">
        <w:rPr>
          <w:rFonts w:asciiTheme="majorHAnsi" w:hAnsiTheme="majorHAnsi"/>
          <w:sz w:val="20"/>
          <w:szCs w:val="20"/>
        </w:rPr>
        <w:t>NON</w:t>
      </w:r>
      <w:r w:rsidRPr="000977F7">
        <w:rPr>
          <w:rFonts w:asciiTheme="majorHAnsi" w:hAnsiTheme="majorHAnsi"/>
          <w:spacing w:val="-2"/>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DESTRUCTIVE</w:t>
      </w:r>
      <w:r w:rsidRPr="000977F7">
        <w:rPr>
          <w:rFonts w:asciiTheme="majorHAnsi" w:hAnsiTheme="majorHAnsi"/>
          <w:spacing w:val="-2"/>
          <w:sz w:val="20"/>
          <w:szCs w:val="20"/>
        </w:rPr>
        <w:t xml:space="preserve"> </w:t>
      </w:r>
      <w:r w:rsidRPr="000977F7">
        <w:rPr>
          <w:rFonts w:asciiTheme="majorHAnsi" w:hAnsiTheme="majorHAnsi"/>
          <w:sz w:val="20"/>
          <w:szCs w:val="20"/>
        </w:rPr>
        <w:t>TESTING</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–Неруйнівний контроль. що ґрунтується на аналізі взаємодії електромагнітного випромінення радіохвильового діапазону</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об’єктом</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p>
    <w:p w14:paraId="7230668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5DA3FF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РАДІОХВИЛЬОВИЙ</w:t>
      </w:r>
      <w:r w:rsidRPr="000977F7">
        <w:rPr>
          <w:color w:val="auto"/>
          <w:spacing w:val="-6"/>
          <w:sz w:val="20"/>
          <w:szCs w:val="20"/>
        </w:rPr>
        <w:t xml:space="preserve"> </w:t>
      </w:r>
      <w:r w:rsidRPr="000977F7">
        <w:rPr>
          <w:color w:val="auto"/>
          <w:sz w:val="20"/>
          <w:szCs w:val="20"/>
        </w:rPr>
        <w:t>СТРУКТУРОСКОП</w:t>
      </w:r>
      <w:r w:rsidRPr="000977F7">
        <w:rPr>
          <w:color w:val="auto"/>
          <w:spacing w:val="-2"/>
          <w:sz w:val="20"/>
          <w:szCs w:val="20"/>
        </w:rPr>
        <w:t xml:space="preserve"> </w:t>
      </w:r>
      <w:r w:rsidRPr="000977F7">
        <w:rPr>
          <w:color w:val="auto"/>
          <w:sz w:val="20"/>
          <w:szCs w:val="20"/>
        </w:rPr>
        <w:t>–</w:t>
      </w:r>
    </w:p>
    <w:p w14:paraId="60D457A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Прилад</w:t>
      </w:r>
      <w:r w:rsidRPr="000977F7">
        <w:rPr>
          <w:rFonts w:asciiTheme="majorHAnsi" w:hAnsiTheme="majorHAnsi"/>
          <w:spacing w:val="1"/>
          <w:sz w:val="20"/>
          <w:szCs w:val="20"/>
        </w:rPr>
        <w:t xml:space="preserve"> </w:t>
      </w:r>
      <w:r w:rsidRPr="000977F7">
        <w:rPr>
          <w:rFonts w:asciiTheme="majorHAnsi" w:hAnsiTheme="majorHAnsi"/>
          <w:sz w:val="20"/>
          <w:szCs w:val="20"/>
        </w:rPr>
        <w:t>радіохвильового</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призначений для якісного визначення параметрів, які</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характеризують структуру</w:t>
      </w:r>
    </w:p>
    <w:p w14:paraId="4D3427C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4E6729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РАДІОХВИЛЬОВИЙ</w:t>
      </w:r>
      <w:r w:rsidRPr="000977F7">
        <w:rPr>
          <w:color w:val="auto"/>
          <w:spacing w:val="-5"/>
          <w:sz w:val="20"/>
          <w:szCs w:val="20"/>
        </w:rPr>
        <w:t xml:space="preserve"> </w:t>
      </w:r>
      <w:r w:rsidRPr="000977F7">
        <w:rPr>
          <w:color w:val="auto"/>
          <w:sz w:val="20"/>
          <w:szCs w:val="20"/>
        </w:rPr>
        <w:t>ТОВЩИНОМІР</w:t>
      </w:r>
      <w:r w:rsidRPr="000977F7">
        <w:rPr>
          <w:color w:val="auto"/>
          <w:spacing w:val="-4"/>
          <w:sz w:val="20"/>
          <w:szCs w:val="20"/>
        </w:rPr>
        <w:t xml:space="preserve"> </w:t>
      </w:r>
      <w:r w:rsidRPr="000977F7">
        <w:rPr>
          <w:color w:val="auto"/>
          <w:sz w:val="20"/>
          <w:szCs w:val="20"/>
        </w:rPr>
        <w:t>–</w:t>
      </w:r>
    </w:p>
    <w:p w14:paraId="77C6729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Прилад</w:t>
      </w:r>
      <w:r w:rsidRPr="000977F7">
        <w:rPr>
          <w:rFonts w:asciiTheme="majorHAnsi" w:hAnsiTheme="majorHAnsi"/>
          <w:spacing w:val="1"/>
          <w:sz w:val="20"/>
          <w:szCs w:val="20"/>
        </w:rPr>
        <w:t xml:space="preserve"> </w:t>
      </w:r>
      <w:r w:rsidRPr="000977F7">
        <w:rPr>
          <w:rFonts w:asciiTheme="majorHAnsi" w:hAnsiTheme="majorHAnsi"/>
          <w:sz w:val="20"/>
          <w:szCs w:val="20"/>
        </w:rPr>
        <w:t>радіохвильового</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призначений для вимірювання товщини об’єкта контролю</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елементів</w:t>
      </w:r>
    </w:p>
    <w:p w14:paraId="1326774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5BB8F3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РАМА</w:t>
      </w:r>
      <w:r w:rsidRPr="000977F7">
        <w:rPr>
          <w:color w:val="auto"/>
          <w:spacing w:val="-3"/>
          <w:sz w:val="20"/>
          <w:szCs w:val="20"/>
        </w:rPr>
        <w:t xml:space="preserve"> </w:t>
      </w:r>
      <w:r w:rsidRPr="000977F7">
        <w:rPr>
          <w:color w:val="auto"/>
          <w:sz w:val="20"/>
          <w:szCs w:val="20"/>
        </w:rPr>
        <w:t>–</w:t>
      </w:r>
    </w:p>
    <w:p w14:paraId="47727E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FRAME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0E5DC4E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Стержнева система, елементи якої зазнають здебільшого згину</w:t>
      </w:r>
      <w:r w:rsidRPr="000977F7">
        <w:rPr>
          <w:rFonts w:asciiTheme="majorHAnsi" w:hAnsiTheme="majorHAnsi"/>
          <w:spacing w:val="-4"/>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(чи) крутіння</w:t>
      </w:r>
    </w:p>
    <w:p w14:paraId="3E58AB7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2825 - 94</w:t>
      </w:r>
    </w:p>
    <w:p w14:paraId="6AB7A9C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РАНДОМІЗАЦІЯ</w:t>
      </w:r>
      <w:r w:rsidRPr="000977F7">
        <w:rPr>
          <w:color w:val="auto"/>
          <w:spacing w:val="44"/>
          <w:sz w:val="20"/>
          <w:szCs w:val="20"/>
        </w:rPr>
        <w:t xml:space="preserve"> </w:t>
      </w:r>
      <w:r w:rsidRPr="000977F7">
        <w:rPr>
          <w:color w:val="auto"/>
          <w:sz w:val="20"/>
          <w:szCs w:val="20"/>
        </w:rPr>
        <w:t>ПЛАНУ –</w:t>
      </w:r>
    </w:p>
    <w:p w14:paraId="22F85F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Один із способів планування експерименту, що має за</w:t>
      </w:r>
      <w:r w:rsidRPr="000977F7">
        <w:rPr>
          <w:rFonts w:asciiTheme="majorHAnsi" w:hAnsiTheme="majorHAnsi"/>
          <w:spacing w:val="1"/>
          <w:sz w:val="20"/>
          <w:szCs w:val="20"/>
        </w:rPr>
        <w:t xml:space="preserve"> </w:t>
      </w:r>
      <w:r w:rsidRPr="000977F7">
        <w:rPr>
          <w:rFonts w:asciiTheme="majorHAnsi" w:hAnsiTheme="majorHAnsi"/>
          <w:sz w:val="20"/>
          <w:szCs w:val="20"/>
        </w:rPr>
        <w:t>мету звести ефект деякого невипадкового фактору до</w:t>
      </w:r>
      <w:r w:rsidRPr="000977F7">
        <w:rPr>
          <w:rFonts w:asciiTheme="majorHAnsi" w:hAnsiTheme="majorHAnsi"/>
          <w:spacing w:val="1"/>
          <w:sz w:val="20"/>
          <w:szCs w:val="20"/>
        </w:rPr>
        <w:t xml:space="preserve"> </w:t>
      </w:r>
      <w:r w:rsidRPr="000977F7">
        <w:rPr>
          <w:rFonts w:asciiTheme="majorHAnsi" w:hAnsiTheme="majorHAnsi"/>
          <w:sz w:val="20"/>
          <w:szCs w:val="20"/>
        </w:rPr>
        <w:t>випадкової</w:t>
      </w:r>
      <w:r w:rsidRPr="000977F7">
        <w:rPr>
          <w:rFonts w:asciiTheme="majorHAnsi" w:hAnsiTheme="majorHAnsi"/>
          <w:spacing w:val="1"/>
          <w:sz w:val="20"/>
          <w:szCs w:val="20"/>
        </w:rPr>
        <w:t xml:space="preserve"> </w:t>
      </w:r>
      <w:r w:rsidRPr="000977F7">
        <w:rPr>
          <w:rFonts w:asciiTheme="majorHAnsi" w:hAnsiTheme="majorHAnsi"/>
          <w:sz w:val="20"/>
          <w:szCs w:val="20"/>
        </w:rPr>
        <w:t>похибки</w:t>
      </w:r>
    </w:p>
    <w:p w14:paraId="2D626A6F"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РАПТОВА</w:t>
      </w:r>
      <w:r w:rsidRPr="000977F7">
        <w:rPr>
          <w:rFonts w:asciiTheme="majorHAnsi" w:hAnsiTheme="majorHAnsi"/>
          <w:b/>
          <w:spacing w:val="1"/>
          <w:sz w:val="20"/>
          <w:szCs w:val="20"/>
        </w:rPr>
        <w:t xml:space="preserve"> </w:t>
      </w:r>
      <w:r w:rsidRPr="000977F7">
        <w:rPr>
          <w:rFonts w:asciiTheme="majorHAnsi" w:hAnsiTheme="majorHAnsi"/>
          <w:b/>
          <w:sz w:val="20"/>
          <w:szCs w:val="20"/>
        </w:rPr>
        <w:t>ВІДМОВА –</w:t>
      </w:r>
    </w:p>
    <w:p w14:paraId="3399E47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SUDDEN</w:t>
      </w:r>
      <w:r w:rsidRPr="000977F7">
        <w:rPr>
          <w:rFonts w:asciiTheme="majorHAnsi" w:hAnsiTheme="majorHAnsi"/>
          <w:spacing w:val="48"/>
          <w:sz w:val="20"/>
          <w:szCs w:val="20"/>
        </w:rPr>
        <w:t xml:space="preserve"> </w:t>
      </w:r>
      <w:r w:rsidRPr="000977F7">
        <w:rPr>
          <w:rFonts w:asciiTheme="majorHAnsi" w:hAnsiTheme="majorHAnsi"/>
          <w:sz w:val="20"/>
          <w:szCs w:val="20"/>
        </w:rPr>
        <w:t>FAILURE –</w:t>
      </w:r>
    </w:p>
    <w:p w14:paraId="31DE6F4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w:t>
      </w:r>
      <w:r w:rsidRPr="000977F7">
        <w:rPr>
          <w:rFonts w:asciiTheme="majorHAnsi" w:hAnsiTheme="majorHAnsi"/>
          <w:spacing w:val="1"/>
          <w:sz w:val="20"/>
          <w:szCs w:val="20"/>
        </w:rPr>
        <w:t xml:space="preserve"> </w:t>
      </w:r>
      <w:r w:rsidRPr="000977F7">
        <w:rPr>
          <w:rFonts w:asciiTheme="majorHAnsi" w:hAnsiTheme="majorHAnsi"/>
          <w:sz w:val="20"/>
          <w:szCs w:val="20"/>
        </w:rPr>
        <w:t>яку</w:t>
      </w:r>
      <w:r w:rsidRPr="000977F7">
        <w:rPr>
          <w:rFonts w:asciiTheme="majorHAnsi" w:hAnsiTheme="majorHAnsi"/>
          <w:spacing w:val="1"/>
          <w:sz w:val="20"/>
          <w:szCs w:val="20"/>
        </w:rPr>
        <w:t xml:space="preserve"> </w:t>
      </w:r>
      <w:r w:rsidRPr="000977F7">
        <w:rPr>
          <w:rFonts w:asciiTheme="majorHAnsi" w:hAnsiTheme="majorHAnsi"/>
          <w:sz w:val="20"/>
          <w:szCs w:val="20"/>
        </w:rPr>
        <w:t>неможливо</w:t>
      </w:r>
      <w:r w:rsidRPr="000977F7">
        <w:rPr>
          <w:rFonts w:asciiTheme="majorHAnsi" w:hAnsiTheme="majorHAnsi"/>
          <w:spacing w:val="1"/>
          <w:sz w:val="20"/>
          <w:szCs w:val="20"/>
        </w:rPr>
        <w:t xml:space="preserve"> </w:t>
      </w:r>
      <w:r w:rsidRPr="000977F7">
        <w:rPr>
          <w:rFonts w:asciiTheme="majorHAnsi" w:hAnsiTheme="majorHAnsi"/>
          <w:sz w:val="20"/>
          <w:szCs w:val="20"/>
        </w:rPr>
        <w:t>передбачити</w:t>
      </w:r>
      <w:r w:rsidRPr="000977F7">
        <w:rPr>
          <w:rFonts w:asciiTheme="majorHAnsi" w:hAnsiTheme="majorHAnsi"/>
          <w:spacing w:val="1"/>
          <w:sz w:val="20"/>
          <w:szCs w:val="20"/>
        </w:rPr>
        <w:t xml:space="preserve"> </w:t>
      </w:r>
      <w:r w:rsidRPr="000977F7">
        <w:rPr>
          <w:rFonts w:asciiTheme="majorHAnsi" w:hAnsiTheme="majorHAnsi"/>
          <w:sz w:val="20"/>
          <w:szCs w:val="20"/>
        </w:rPr>
        <w:t>попередніми</w:t>
      </w:r>
      <w:r w:rsidRPr="000977F7">
        <w:rPr>
          <w:rFonts w:asciiTheme="majorHAnsi" w:hAnsiTheme="majorHAnsi"/>
          <w:spacing w:val="1"/>
          <w:sz w:val="20"/>
          <w:szCs w:val="20"/>
        </w:rPr>
        <w:t xml:space="preserve"> </w:t>
      </w:r>
      <w:r w:rsidRPr="000977F7">
        <w:rPr>
          <w:rFonts w:asciiTheme="majorHAnsi" w:hAnsiTheme="majorHAnsi"/>
          <w:sz w:val="20"/>
          <w:szCs w:val="20"/>
        </w:rPr>
        <w:t>дослідженнями</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технічним оглядом</w:t>
      </w:r>
    </w:p>
    <w:p w14:paraId="3D603D5A"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 94</w:t>
      </w:r>
    </w:p>
    <w:p w14:paraId="301E8CDF"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РАПТОВИЙ КОНТРОЛЬ –</w:t>
      </w:r>
      <w:r w:rsidRPr="000977F7">
        <w:rPr>
          <w:rFonts w:asciiTheme="majorHAnsi" w:hAnsiTheme="majorHAnsi"/>
          <w:b/>
          <w:spacing w:val="-47"/>
          <w:sz w:val="20"/>
          <w:szCs w:val="20"/>
        </w:rPr>
        <w:t xml:space="preserve"> </w:t>
      </w:r>
    </w:p>
    <w:p w14:paraId="1F0F256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CASUAL</w:t>
      </w:r>
      <w:r w:rsidRPr="000977F7">
        <w:rPr>
          <w:rFonts w:asciiTheme="majorHAnsi" w:hAnsiTheme="majorHAnsi"/>
          <w:spacing w:val="-3"/>
          <w:sz w:val="20"/>
          <w:szCs w:val="20"/>
        </w:rPr>
        <w:t xml:space="preserve"> </w:t>
      </w:r>
      <w:r w:rsidRPr="000977F7">
        <w:rPr>
          <w:rFonts w:asciiTheme="majorHAnsi" w:hAnsiTheme="majorHAnsi"/>
          <w:sz w:val="20"/>
          <w:szCs w:val="20"/>
        </w:rPr>
        <w:t>INSPECTION</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231B74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 що проводиться зненацька у випадкові моменти</w:t>
      </w:r>
      <w:r w:rsidRPr="000977F7">
        <w:rPr>
          <w:rFonts w:asciiTheme="majorHAnsi" w:hAnsiTheme="majorHAnsi"/>
          <w:spacing w:val="-2"/>
          <w:sz w:val="20"/>
          <w:szCs w:val="20"/>
        </w:rPr>
        <w:t xml:space="preserve"> </w:t>
      </w:r>
      <w:r w:rsidRPr="000977F7">
        <w:rPr>
          <w:rFonts w:asciiTheme="majorHAnsi" w:hAnsiTheme="majorHAnsi"/>
          <w:sz w:val="20"/>
          <w:szCs w:val="20"/>
        </w:rPr>
        <w:t>часу</w:t>
      </w:r>
    </w:p>
    <w:p w14:paraId="6F63855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8004C3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РАТИФІКАЦІЯ</w:t>
      </w:r>
      <w:r w:rsidRPr="000977F7">
        <w:rPr>
          <w:color w:val="auto"/>
          <w:spacing w:val="-4"/>
          <w:sz w:val="20"/>
          <w:szCs w:val="20"/>
        </w:rPr>
        <w:t xml:space="preserve"> </w:t>
      </w:r>
      <w:r w:rsidRPr="000977F7">
        <w:rPr>
          <w:color w:val="auto"/>
          <w:sz w:val="20"/>
          <w:szCs w:val="20"/>
        </w:rPr>
        <w:t>–</w:t>
      </w:r>
    </w:p>
    <w:p w14:paraId="1E79284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Затвердження</w:t>
      </w:r>
      <w:r w:rsidRPr="000977F7">
        <w:rPr>
          <w:rFonts w:asciiTheme="majorHAnsi" w:hAnsiTheme="majorHAnsi"/>
          <w:spacing w:val="1"/>
          <w:sz w:val="20"/>
          <w:szCs w:val="20"/>
        </w:rPr>
        <w:t xml:space="preserve"> </w:t>
      </w:r>
      <w:r w:rsidRPr="000977F7">
        <w:rPr>
          <w:rFonts w:asciiTheme="majorHAnsi" w:hAnsiTheme="majorHAnsi"/>
          <w:sz w:val="20"/>
          <w:szCs w:val="20"/>
        </w:rPr>
        <w:t>міжнародного</w:t>
      </w:r>
      <w:r w:rsidRPr="000977F7">
        <w:rPr>
          <w:rFonts w:asciiTheme="majorHAnsi" w:hAnsiTheme="majorHAnsi"/>
          <w:spacing w:val="1"/>
          <w:sz w:val="20"/>
          <w:szCs w:val="20"/>
        </w:rPr>
        <w:t xml:space="preserve"> </w:t>
      </w:r>
      <w:r w:rsidRPr="000977F7">
        <w:rPr>
          <w:rFonts w:asciiTheme="majorHAnsi" w:hAnsiTheme="majorHAnsi"/>
          <w:sz w:val="20"/>
          <w:szCs w:val="20"/>
        </w:rPr>
        <w:t>договору</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компетентному</w:t>
      </w:r>
      <w:r w:rsidRPr="000977F7">
        <w:rPr>
          <w:rFonts w:asciiTheme="majorHAnsi" w:hAnsiTheme="majorHAnsi"/>
          <w:spacing w:val="-5"/>
          <w:sz w:val="20"/>
          <w:szCs w:val="20"/>
        </w:rPr>
        <w:t xml:space="preserve"> </w:t>
      </w:r>
      <w:r w:rsidRPr="000977F7">
        <w:rPr>
          <w:rFonts w:asciiTheme="majorHAnsi" w:hAnsiTheme="majorHAnsi"/>
          <w:sz w:val="20"/>
          <w:szCs w:val="20"/>
        </w:rPr>
        <w:t>верховному</w:t>
      </w:r>
      <w:r w:rsidRPr="000977F7">
        <w:rPr>
          <w:rFonts w:asciiTheme="majorHAnsi" w:hAnsiTheme="majorHAnsi"/>
          <w:spacing w:val="-4"/>
          <w:sz w:val="20"/>
          <w:szCs w:val="20"/>
        </w:rPr>
        <w:t xml:space="preserve"> </w:t>
      </w:r>
      <w:r w:rsidRPr="000977F7">
        <w:rPr>
          <w:rFonts w:asciiTheme="majorHAnsi" w:hAnsiTheme="majorHAnsi"/>
          <w:sz w:val="20"/>
          <w:szCs w:val="20"/>
        </w:rPr>
        <w:t>органі</w:t>
      </w:r>
    </w:p>
    <w:p w14:paraId="290A47F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A7890D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РЕАЛІЗАЦІЯ –</w:t>
      </w:r>
    </w:p>
    <w:p w14:paraId="4E59A9CD"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Діяльність суб'єктів господарювання з продажу товарів (робіт, послуг)</w:t>
      </w:r>
    </w:p>
    <w:p w14:paraId="60D3F690"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захист прав споживачів"</w:t>
      </w:r>
    </w:p>
    <w:p w14:paraId="3EA6CB0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РЕАЛІЗАЦІЯ ВИПАДКОВОГО </w:t>
      </w:r>
    </w:p>
    <w:p w14:paraId="1FC7A7C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НАВАНТАЖУ</w:t>
      </w:r>
      <w:r w:rsidRPr="000977F7">
        <w:rPr>
          <w:color w:val="auto"/>
          <w:spacing w:val="-47"/>
          <w:sz w:val="20"/>
          <w:szCs w:val="20"/>
        </w:rPr>
        <w:t xml:space="preserve"> </w:t>
      </w:r>
      <w:r w:rsidRPr="000977F7">
        <w:rPr>
          <w:color w:val="auto"/>
          <w:sz w:val="20"/>
          <w:szCs w:val="20"/>
        </w:rPr>
        <w:t>ВАННЯ –</w:t>
      </w:r>
    </w:p>
    <w:p w14:paraId="497C6E22"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uk-UA"/>
        </w:rPr>
      </w:pPr>
      <w:r w:rsidRPr="004D2D14">
        <w:rPr>
          <w:rFonts w:asciiTheme="majorHAnsi" w:hAnsiTheme="majorHAnsi"/>
          <w:sz w:val="20"/>
          <w:szCs w:val="20"/>
          <w:lang w:val="uk-UA"/>
        </w:rPr>
        <w:t>Сукупність послідовних значень змінних напружень,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 виникають у об’єкті за повний період експлуатації</w:t>
      </w:r>
      <w:r w:rsidRPr="004D2D14">
        <w:rPr>
          <w:rFonts w:asciiTheme="majorHAnsi" w:hAnsiTheme="majorHAnsi"/>
          <w:spacing w:val="-47"/>
          <w:sz w:val="20"/>
          <w:szCs w:val="20"/>
          <w:lang w:val="uk-UA"/>
        </w:rPr>
        <w:t xml:space="preserve"> </w:t>
      </w:r>
      <w:r w:rsidRPr="004D2D14">
        <w:rPr>
          <w:rFonts w:asciiTheme="majorHAnsi" w:hAnsiTheme="majorHAnsi"/>
          <w:i/>
          <w:sz w:val="20"/>
          <w:szCs w:val="20"/>
          <w:lang w:val="uk-UA"/>
        </w:rPr>
        <w:t>ДСТУ 2444-94</w:t>
      </w:r>
    </w:p>
    <w:p w14:paraId="4599FD5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РЕАЛІЗАЦІЯ</w:t>
      </w:r>
      <w:r w:rsidRPr="000977F7">
        <w:rPr>
          <w:color w:val="auto"/>
          <w:spacing w:val="-4"/>
          <w:sz w:val="20"/>
          <w:szCs w:val="20"/>
        </w:rPr>
        <w:t xml:space="preserve"> </w:t>
      </w:r>
      <w:r w:rsidRPr="000977F7">
        <w:rPr>
          <w:color w:val="auto"/>
          <w:sz w:val="20"/>
          <w:szCs w:val="20"/>
        </w:rPr>
        <w:t>ПРОДУКЦІЇ</w:t>
      </w:r>
      <w:r w:rsidRPr="000977F7">
        <w:rPr>
          <w:color w:val="auto"/>
          <w:spacing w:val="-3"/>
          <w:sz w:val="20"/>
          <w:szCs w:val="20"/>
        </w:rPr>
        <w:t xml:space="preserve"> </w:t>
      </w:r>
      <w:r w:rsidRPr="000977F7">
        <w:rPr>
          <w:color w:val="auto"/>
          <w:sz w:val="20"/>
          <w:szCs w:val="20"/>
        </w:rPr>
        <w:t>–</w:t>
      </w:r>
    </w:p>
    <w:p w14:paraId="3F980D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Постачання продукції, яка оплачена покупцем або на</w:t>
      </w:r>
      <w:r w:rsidRPr="000977F7">
        <w:rPr>
          <w:rFonts w:asciiTheme="majorHAnsi" w:hAnsiTheme="majorHAnsi"/>
          <w:spacing w:val="1"/>
          <w:sz w:val="20"/>
          <w:szCs w:val="20"/>
        </w:rPr>
        <w:t xml:space="preserve"> </w:t>
      </w:r>
      <w:r w:rsidRPr="000977F7">
        <w:rPr>
          <w:rFonts w:asciiTheme="majorHAnsi" w:hAnsiTheme="majorHAnsi"/>
          <w:sz w:val="20"/>
          <w:szCs w:val="20"/>
        </w:rPr>
        <w:t>яку є згода покупця щодо оплати в майбутньому поставленої</w:t>
      </w:r>
      <w:r w:rsidRPr="000977F7">
        <w:rPr>
          <w:rFonts w:asciiTheme="majorHAnsi" w:hAnsiTheme="majorHAnsi"/>
          <w:spacing w:val="-2"/>
          <w:sz w:val="20"/>
          <w:szCs w:val="20"/>
        </w:rPr>
        <w:t xml:space="preserve"> </w:t>
      </w:r>
      <w:r w:rsidRPr="000977F7">
        <w:rPr>
          <w:rFonts w:asciiTheme="majorHAnsi" w:hAnsiTheme="majorHAnsi"/>
          <w:sz w:val="20"/>
          <w:szCs w:val="20"/>
        </w:rPr>
        <w:t>йому</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4737AD8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E0865B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РЕАЛЬНА ЧУТЛИВІСТЬ НЕРУЙНІВНОГО </w:t>
      </w:r>
    </w:p>
    <w:p w14:paraId="6333D3C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w:t>
      </w:r>
      <w:r w:rsidRPr="000977F7">
        <w:rPr>
          <w:color w:val="auto"/>
          <w:spacing w:val="-47"/>
          <w:sz w:val="20"/>
          <w:szCs w:val="20"/>
        </w:rPr>
        <w:t xml:space="preserve"> </w:t>
      </w:r>
      <w:r w:rsidRPr="000977F7">
        <w:rPr>
          <w:color w:val="auto"/>
          <w:sz w:val="20"/>
          <w:szCs w:val="20"/>
        </w:rPr>
        <w:t>НТРОЛЮ</w:t>
      </w:r>
      <w:r w:rsidRPr="000977F7">
        <w:rPr>
          <w:color w:val="auto"/>
          <w:spacing w:val="-1"/>
          <w:sz w:val="20"/>
          <w:szCs w:val="20"/>
        </w:rPr>
        <w:t xml:space="preserve"> </w:t>
      </w:r>
      <w:r w:rsidRPr="000977F7">
        <w:rPr>
          <w:color w:val="auto"/>
          <w:sz w:val="20"/>
          <w:szCs w:val="20"/>
        </w:rPr>
        <w:t>–</w:t>
      </w:r>
    </w:p>
    <w:p w14:paraId="564F99FC" w14:textId="77777777" w:rsidR="0097612F" w:rsidRPr="000977F7" w:rsidRDefault="0097612F" w:rsidP="000977F7">
      <w:pPr>
        <w:pStyle w:val="af6"/>
        <w:tabs>
          <w:tab w:val="left" w:pos="284"/>
        </w:tabs>
        <w:spacing w:after="0"/>
        <w:ind w:left="170"/>
        <w:mirrorIndents/>
        <w:jc w:val="both"/>
        <w:rPr>
          <w:rFonts w:asciiTheme="majorHAnsi" w:hAnsiTheme="majorHAnsi"/>
          <w:w w:val="95"/>
          <w:sz w:val="20"/>
          <w:szCs w:val="20"/>
        </w:rPr>
      </w:pPr>
      <w:r w:rsidRPr="000977F7">
        <w:rPr>
          <w:rFonts w:asciiTheme="majorHAnsi" w:hAnsiTheme="majorHAnsi"/>
          <w:sz w:val="20"/>
          <w:szCs w:val="20"/>
        </w:rPr>
        <w:t>Найменший розмір реального дефекту конкретного типу, що виявляється у конкретному об’єкті на заданій глибині</w:t>
      </w:r>
    </w:p>
    <w:p w14:paraId="46D33096"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2865</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EFBD4B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РЕВАЛЬВАЦІЯ</w:t>
      </w:r>
      <w:r w:rsidRPr="000977F7">
        <w:rPr>
          <w:color w:val="auto"/>
          <w:spacing w:val="-4"/>
          <w:sz w:val="20"/>
          <w:szCs w:val="20"/>
        </w:rPr>
        <w:t xml:space="preserve"> </w:t>
      </w:r>
      <w:r w:rsidRPr="000977F7">
        <w:rPr>
          <w:color w:val="auto"/>
          <w:sz w:val="20"/>
          <w:szCs w:val="20"/>
        </w:rPr>
        <w:t>–</w:t>
      </w:r>
    </w:p>
    <w:p w14:paraId="0E1D463B"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Збільшення</w:t>
      </w:r>
      <w:r w:rsidRPr="000977F7">
        <w:rPr>
          <w:rFonts w:asciiTheme="majorHAnsi" w:hAnsiTheme="majorHAnsi"/>
          <w:spacing w:val="20"/>
          <w:sz w:val="20"/>
          <w:szCs w:val="20"/>
        </w:rPr>
        <w:t xml:space="preserve"> </w:t>
      </w:r>
      <w:r w:rsidRPr="000977F7">
        <w:rPr>
          <w:rFonts w:asciiTheme="majorHAnsi" w:hAnsiTheme="majorHAnsi"/>
          <w:sz w:val="20"/>
          <w:szCs w:val="20"/>
        </w:rPr>
        <w:t>золотого</w:t>
      </w:r>
      <w:r w:rsidRPr="000977F7">
        <w:rPr>
          <w:rFonts w:asciiTheme="majorHAnsi" w:hAnsiTheme="majorHAnsi"/>
          <w:spacing w:val="21"/>
          <w:sz w:val="20"/>
          <w:szCs w:val="20"/>
        </w:rPr>
        <w:t xml:space="preserve"> </w:t>
      </w:r>
      <w:r w:rsidRPr="000977F7">
        <w:rPr>
          <w:rFonts w:asciiTheme="majorHAnsi" w:hAnsiTheme="majorHAnsi"/>
          <w:sz w:val="20"/>
          <w:szCs w:val="20"/>
        </w:rPr>
        <w:t>вмісту</w:t>
      </w:r>
      <w:r w:rsidRPr="000977F7">
        <w:rPr>
          <w:rFonts w:asciiTheme="majorHAnsi" w:hAnsiTheme="majorHAnsi"/>
          <w:spacing w:val="17"/>
          <w:sz w:val="20"/>
          <w:szCs w:val="20"/>
        </w:rPr>
        <w:t xml:space="preserve"> </w:t>
      </w:r>
      <w:r w:rsidRPr="000977F7">
        <w:rPr>
          <w:rFonts w:asciiTheme="majorHAnsi" w:hAnsiTheme="majorHAnsi"/>
          <w:sz w:val="20"/>
          <w:szCs w:val="20"/>
        </w:rPr>
        <w:t>грошової</w:t>
      </w:r>
      <w:r w:rsidRPr="000977F7">
        <w:rPr>
          <w:rFonts w:asciiTheme="majorHAnsi" w:hAnsiTheme="majorHAnsi"/>
          <w:spacing w:val="20"/>
          <w:sz w:val="20"/>
          <w:szCs w:val="20"/>
        </w:rPr>
        <w:t xml:space="preserve"> </w:t>
      </w:r>
      <w:r w:rsidRPr="000977F7">
        <w:rPr>
          <w:rFonts w:asciiTheme="majorHAnsi" w:hAnsiTheme="majorHAnsi"/>
          <w:sz w:val="20"/>
          <w:szCs w:val="20"/>
        </w:rPr>
        <w:t>одиниці</w:t>
      </w:r>
      <w:r w:rsidRPr="000977F7">
        <w:rPr>
          <w:rFonts w:asciiTheme="majorHAnsi" w:hAnsiTheme="majorHAnsi"/>
          <w:spacing w:val="20"/>
          <w:sz w:val="20"/>
          <w:szCs w:val="20"/>
        </w:rPr>
        <w:t xml:space="preserve"> </w:t>
      </w:r>
      <w:r w:rsidRPr="000977F7">
        <w:rPr>
          <w:rFonts w:asciiTheme="majorHAnsi" w:hAnsiTheme="majorHAnsi"/>
          <w:sz w:val="20"/>
          <w:szCs w:val="20"/>
        </w:rPr>
        <w:t>або</w:t>
      </w:r>
      <w:r w:rsidRPr="000977F7">
        <w:rPr>
          <w:rFonts w:asciiTheme="majorHAnsi" w:hAnsiTheme="majorHAnsi"/>
          <w:spacing w:val="-47"/>
          <w:sz w:val="20"/>
          <w:szCs w:val="20"/>
        </w:rPr>
        <w:t xml:space="preserve"> </w:t>
      </w:r>
      <w:r w:rsidRPr="000977F7">
        <w:rPr>
          <w:rFonts w:asciiTheme="majorHAnsi" w:hAnsiTheme="majorHAnsi"/>
          <w:sz w:val="20"/>
          <w:szCs w:val="20"/>
        </w:rPr>
        <w:t>підвищення</w:t>
      </w:r>
      <w:r w:rsidRPr="000977F7">
        <w:rPr>
          <w:rFonts w:asciiTheme="majorHAnsi" w:hAnsiTheme="majorHAnsi"/>
          <w:spacing w:val="24"/>
          <w:sz w:val="20"/>
          <w:szCs w:val="20"/>
        </w:rPr>
        <w:t xml:space="preserve"> </w:t>
      </w:r>
      <w:r w:rsidRPr="000977F7">
        <w:rPr>
          <w:rFonts w:asciiTheme="majorHAnsi" w:hAnsiTheme="majorHAnsi"/>
          <w:sz w:val="20"/>
          <w:szCs w:val="20"/>
        </w:rPr>
        <w:t>її</w:t>
      </w:r>
      <w:r w:rsidRPr="000977F7">
        <w:rPr>
          <w:rFonts w:asciiTheme="majorHAnsi" w:hAnsiTheme="majorHAnsi"/>
          <w:spacing w:val="25"/>
          <w:sz w:val="20"/>
          <w:szCs w:val="20"/>
        </w:rPr>
        <w:t xml:space="preserve"> </w:t>
      </w:r>
      <w:r w:rsidRPr="000977F7">
        <w:rPr>
          <w:rFonts w:asciiTheme="majorHAnsi" w:hAnsiTheme="majorHAnsi"/>
          <w:sz w:val="20"/>
          <w:szCs w:val="20"/>
        </w:rPr>
        <w:t>курсу</w:t>
      </w:r>
      <w:r w:rsidRPr="000977F7">
        <w:rPr>
          <w:rFonts w:asciiTheme="majorHAnsi" w:hAnsiTheme="majorHAnsi"/>
          <w:spacing w:val="24"/>
          <w:sz w:val="20"/>
          <w:szCs w:val="20"/>
        </w:rPr>
        <w:t xml:space="preserve"> </w:t>
      </w:r>
      <w:r w:rsidRPr="000977F7">
        <w:rPr>
          <w:rFonts w:asciiTheme="majorHAnsi" w:hAnsiTheme="majorHAnsi"/>
          <w:sz w:val="20"/>
          <w:szCs w:val="20"/>
        </w:rPr>
        <w:t>по</w:t>
      </w:r>
      <w:r w:rsidRPr="000977F7">
        <w:rPr>
          <w:rFonts w:asciiTheme="majorHAnsi" w:hAnsiTheme="majorHAnsi"/>
          <w:spacing w:val="26"/>
          <w:sz w:val="20"/>
          <w:szCs w:val="20"/>
        </w:rPr>
        <w:t xml:space="preserve"> </w:t>
      </w:r>
      <w:r w:rsidRPr="000977F7">
        <w:rPr>
          <w:rFonts w:asciiTheme="majorHAnsi" w:hAnsiTheme="majorHAnsi"/>
          <w:sz w:val="20"/>
          <w:szCs w:val="20"/>
        </w:rPr>
        <w:t>відношенню</w:t>
      </w:r>
      <w:r w:rsidRPr="000977F7">
        <w:rPr>
          <w:rFonts w:asciiTheme="majorHAnsi" w:hAnsiTheme="majorHAnsi"/>
          <w:spacing w:val="26"/>
          <w:sz w:val="20"/>
          <w:szCs w:val="20"/>
        </w:rPr>
        <w:t xml:space="preserve"> </w:t>
      </w:r>
      <w:r w:rsidRPr="000977F7">
        <w:rPr>
          <w:rFonts w:asciiTheme="majorHAnsi" w:hAnsiTheme="majorHAnsi"/>
          <w:sz w:val="20"/>
          <w:szCs w:val="20"/>
        </w:rPr>
        <w:t>до</w:t>
      </w:r>
      <w:r w:rsidRPr="000977F7">
        <w:rPr>
          <w:rFonts w:asciiTheme="majorHAnsi" w:hAnsiTheme="majorHAnsi"/>
          <w:spacing w:val="25"/>
          <w:sz w:val="20"/>
          <w:szCs w:val="20"/>
        </w:rPr>
        <w:t xml:space="preserve"> </w:t>
      </w:r>
      <w:r w:rsidRPr="000977F7">
        <w:rPr>
          <w:rFonts w:asciiTheme="majorHAnsi" w:hAnsiTheme="majorHAnsi"/>
          <w:sz w:val="20"/>
          <w:szCs w:val="20"/>
        </w:rPr>
        <w:t>валют</w:t>
      </w:r>
      <w:r w:rsidRPr="000977F7">
        <w:rPr>
          <w:rFonts w:asciiTheme="majorHAnsi" w:hAnsiTheme="majorHAnsi"/>
          <w:spacing w:val="25"/>
          <w:sz w:val="20"/>
          <w:szCs w:val="20"/>
        </w:rPr>
        <w:t xml:space="preserve"> </w:t>
      </w:r>
      <w:r w:rsidRPr="000977F7">
        <w:rPr>
          <w:rFonts w:asciiTheme="majorHAnsi" w:hAnsiTheme="majorHAnsi"/>
          <w:sz w:val="20"/>
          <w:szCs w:val="20"/>
        </w:rPr>
        <w:t>інших</w:t>
      </w:r>
      <w:r w:rsidRPr="000977F7">
        <w:rPr>
          <w:rFonts w:asciiTheme="majorHAnsi" w:hAnsiTheme="majorHAnsi"/>
          <w:spacing w:val="-47"/>
          <w:sz w:val="20"/>
          <w:szCs w:val="20"/>
        </w:rPr>
        <w:t xml:space="preserve"> </w:t>
      </w:r>
      <w:r w:rsidRPr="000977F7">
        <w:rPr>
          <w:rFonts w:asciiTheme="majorHAnsi" w:hAnsiTheme="majorHAnsi"/>
          <w:sz w:val="20"/>
          <w:szCs w:val="20"/>
        </w:rPr>
        <w:t>країн, здійснюване державою в офіційному порядку</w:t>
      </w:r>
      <w:r w:rsidRPr="000977F7">
        <w:rPr>
          <w:rFonts w:asciiTheme="majorHAnsi" w:hAnsiTheme="majorHAnsi"/>
          <w:spacing w:val="1"/>
          <w:sz w:val="20"/>
          <w:szCs w:val="20"/>
        </w:rPr>
        <w:t xml:space="preserve"> </w:t>
      </w:r>
    </w:p>
    <w:p w14:paraId="141C0AAC"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lastRenderedPageBreak/>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2D215A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РЕВЕРБЕРАЦІНИЙ</w:t>
      </w:r>
      <w:r w:rsidRPr="000977F7">
        <w:rPr>
          <w:color w:val="auto"/>
          <w:spacing w:val="-4"/>
          <w:sz w:val="20"/>
          <w:szCs w:val="20"/>
        </w:rPr>
        <w:t xml:space="preserve"> </w:t>
      </w:r>
      <w:r w:rsidRPr="000977F7">
        <w:rPr>
          <w:color w:val="auto"/>
          <w:sz w:val="20"/>
          <w:szCs w:val="20"/>
        </w:rPr>
        <w:t>АКУСТИЧНИЙ</w:t>
      </w:r>
      <w:r w:rsidRPr="000977F7">
        <w:rPr>
          <w:color w:val="auto"/>
          <w:spacing w:val="-4"/>
          <w:sz w:val="20"/>
          <w:szCs w:val="20"/>
        </w:rPr>
        <w:t xml:space="preserve"> </w:t>
      </w:r>
      <w:r w:rsidRPr="000977F7">
        <w:rPr>
          <w:color w:val="auto"/>
          <w:sz w:val="20"/>
          <w:szCs w:val="20"/>
        </w:rPr>
        <w:t>МЕТОД</w:t>
      </w:r>
      <w:r w:rsidRPr="000977F7">
        <w:rPr>
          <w:color w:val="auto"/>
          <w:spacing w:val="-1"/>
          <w:sz w:val="20"/>
          <w:szCs w:val="20"/>
        </w:rPr>
        <w:t xml:space="preserve"> </w:t>
      </w:r>
      <w:r w:rsidRPr="000977F7">
        <w:rPr>
          <w:color w:val="auto"/>
          <w:sz w:val="20"/>
          <w:szCs w:val="20"/>
        </w:rPr>
        <w:t>–</w:t>
      </w:r>
    </w:p>
    <w:p w14:paraId="209608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Акустичний метод відбиття, що ґрунтується на аналізі</w:t>
      </w:r>
      <w:r w:rsidRPr="000977F7">
        <w:rPr>
          <w:rFonts w:asciiTheme="majorHAnsi" w:hAnsiTheme="majorHAnsi"/>
          <w:spacing w:val="-47"/>
          <w:sz w:val="20"/>
          <w:szCs w:val="20"/>
        </w:rPr>
        <w:t xml:space="preserve"> </w:t>
      </w:r>
      <w:r w:rsidRPr="000977F7">
        <w:rPr>
          <w:rFonts w:asciiTheme="majorHAnsi" w:hAnsiTheme="majorHAnsi"/>
          <w:sz w:val="20"/>
          <w:szCs w:val="20"/>
        </w:rPr>
        <w:t>часу</w:t>
      </w:r>
      <w:r w:rsidRPr="000977F7">
        <w:rPr>
          <w:rFonts w:asciiTheme="majorHAnsi" w:hAnsiTheme="majorHAnsi"/>
          <w:spacing w:val="-5"/>
          <w:sz w:val="20"/>
          <w:szCs w:val="20"/>
        </w:rPr>
        <w:t xml:space="preserve"> </w:t>
      </w:r>
      <w:r w:rsidRPr="000977F7">
        <w:rPr>
          <w:rFonts w:asciiTheme="majorHAnsi" w:hAnsiTheme="majorHAnsi"/>
          <w:sz w:val="20"/>
          <w:szCs w:val="20"/>
        </w:rPr>
        <w:t>об’ємної</w:t>
      </w:r>
      <w:r w:rsidRPr="000977F7">
        <w:rPr>
          <w:rFonts w:asciiTheme="majorHAnsi" w:hAnsiTheme="majorHAnsi"/>
          <w:spacing w:val="-2"/>
          <w:sz w:val="20"/>
          <w:szCs w:val="20"/>
        </w:rPr>
        <w:t xml:space="preserve"> </w:t>
      </w:r>
      <w:r w:rsidRPr="000977F7">
        <w:rPr>
          <w:rFonts w:asciiTheme="majorHAnsi" w:hAnsiTheme="majorHAnsi"/>
          <w:sz w:val="20"/>
          <w:szCs w:val="20"/>
        </w:rPr>
        <w:t>реверберації</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об’єкті</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p>
    <w:p w14:paraId="36E06035"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8D7A65F"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РЕГІОН РОЗМІЩЕННЯ (ПРОМИСЛОВОГО ПІДПРИЄМСТВА)</w:t>
      </w:r>
      <w:r w:rsidRPr="000977F7">
        <w:rPr>
          <w:color w:val="auto"/>
          <w:spacing w:val="1"/>
          <w:sz w:val="20"/>
          <w:szCs w:val="20"/>
        </w:rPr>
        <w:t xml:space="preserve"> </w:t>
      </w:r>
      <w:r w:rsidRPr="000977F7">
        <w:rPr>
          <w:b w:val="0"/>
          <w:color w:val="auto"/>
          <w:sz w:val="20"/>
          <w:szCs w:val="20"/>
        </w:rPr>
        <w:t>–</w:t>
      </w:r>
    </w:p>
    <w:p w14:paraId="6416718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Територія органів адміністративного поділу районного (міського) рівня, яка хоч би частково опинилася в</w:t>
      </w:r>
      <w:r w:rsidRPr="000977F7">
        <w:rPr>
          <w:rFonts w:asciiTheme="majorHAnsi" w:hAnsiTheme="majorHAnsi"/>
          <w:spacing w:val="1"/>
          <w:sz w:val="20"/>
          <w:szCs w:val="20"/>
        </w:rPr>
        <w:t xml:space="preserve"> </w:t>
      </w:r>
      <w:r w:rsidRPr="000977F7">
        <w:rPr>
          <w:rFonts w:asciiTheme="majorHAnsi" w:hAnsiTheme="majorHAnsi"/>
          <w:sz w:val="20"/>
          <w:szCs w:val="20"/>
        </w:rPr>
        <w:t>зоні</w:t>
      </w:r>
      <w:r w:rsidRPr="000977F7">
        <w:rPr>
          <w:rFonts w:asciiTheme="majorHAnsi" w:hAnsiTheme="majorHAnsi"/>
          <w:spacing w:val="-2"/>
          <w:sz w:val="20"/>
          <w:szCs w:val="20"/>
        </w:rPr>
        <w:t xml:space="preserve"> </w:t>
      </w:r>
      <w:r w:rsidRPr="000977F7">
        <w:rPr>
          <w:rFonts w:asciiTheme="majorHAnsi" w:hAnsiTheme="majorHAnsi"/>
          <w:sz w:val="20"/>
          <w:szCs w:val="20"/>
        </w:rPr>
        <w:t>спостереження</w:t>
      </w:r>
    </w:p>
    <w:p w14:paraId="4C0E8B9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2156 - 93</w:t>
      </w:r>
    </w:p>
    <w:p w14:paraId="650E964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РЕГІОНАЛЬНА ОРГАНІЗАЦІЯ З </w:t>
      </w:r>
    </w:p>
    <w:p w14:paraId="7BA8A50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СТАНДАРТИ</w:t>
      </w:r>
      <w:r w:rsidRPr="000977F7">
        <w:rPr>
          <w:color w:val="auto"/>
          <w:spacing w:val="-47"/>
          <w:sz w:val="20"/>
          <w:szCs w:val="20"/>
        </w:rPr>
        <w:t xml:space="preserve"> </w:t>
      </w:r>
      <w:r w:rsidRPr="000977F7">
        <w:rPr>
          <w:color w:val="auto"/>
          <w:sz w:val="20"/>
          <w:szCs w:val="20"/>
        </w:rPr>
        <w:t>ЗАЦІЇ</w:t>
      </w:r>
      <w:r w:rsidRPr="000977F7">
        <w:rPr>
          <w:color w:val="auto"/>
          <w:spacing w:val="-2"/>
          <w:sz w:val="20"/>
          <w:szCs w:val="20"/>
        </w:rPr>
        <w:t xml:space="preserve"> </w:t>
      </w:r>
      <w:r w:rsidRPr="000977F7">
        <w:rPr>
          <w:color w:val="auto"/>
          <w:sz w:val="20"/>
          <w:szCs w:val="20"/>
        </w:rPr>
        <w:t>–</w:t>
      </w:r>
    </w:p>
    <w:p w14:paraId="0FD0831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REGIONAL</w:t>
      </w:r>
      <w:r w:rsidRPr="004D2D14">
        <w:rPr>
          <w:rFonts w:asciiTheme="majorHAnsi" w:hAnsiTheme="majorHAnsi"/>
          <w:spacing w:val="43"/>
          <w:sz w:val="20"/>
          <w:szCs w:val="20"/>
          <w:lang w:val="uk-UA"/>
        </w:rPr>
        <w:t xml:space="preserve"> </w:t>
      </w:r>
      <w:r w:rsidRPr="000977F7">
        <w:rPr>
          <w:rFonts w:asciiTheme="majorHAnsi" w:hAnsiTheme="majorHAnsi"/>
          <w:sz w:val="20"/>
          <w:szCs w:val="20"/>
        </w:rPr>
        <w:t>STANDARDS</w:t>
      </w:r>
      <w:r w:rsidRPr="004D2D14">
        <w:rPr>
          <w:rFonts w:asciiTheme="majorHAnsi" w:hAnsiTheme="majorHAnsi"/>
          <w:sz w:val="20"/>
          <w:szCs w:val="20"/>
          <w:lang w:val="uk-UA"/>
        </w:rPr>
        <w:t xml:space="preserve"> </w:t>
      </w:r>
      <w:r w:rsidRPr="000977F7">
        <w:rPr>
          <w:rFonts w:asciiTheme="majorHAnsi" w:hAnsiTheme="majorHAnsi"/>
          <w:sz w:val="20"/>
          <w:szCs w:val="20"/>
        </w:rPr>
        <w:t>ORGANIZATION</w:t>
      </w:r>
      <w:r w:rsidRPr="004D2D14">
        <w:rPr>
          <w:rFonts w:asciiTheme="majorHAnsi" w:hAnsiTheme="majorHAnsi"/>
          <w:sz w:val="20"/>
          <w:szCs w:val="20"/>
          <w:lang w:val="uk-UA"/>
        </w:rPr>
        <w:t xml:space="preserve"> –</w:t>
      </w:r>
    </w:p>
    <w:p w14:paraId="4D42F3E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Орган</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стандартизації,</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визнаний</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регіональному</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рівні</w:t>
      </w:r>
      <w:r w:rsidRPr="004D2D14">
        <w:rPr>
          <w:rFonts w:asciiTheme="majorHAnsi" w:hAnsiTheme="majorHAnsi"/>
          <w:spacing w:val="30"/>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33"/>
          <w:sz w:val="20"/>
          <w:szCs w:val="20"/>
          <w:lang w:val="uk-UA"/>
        </w:rPr>
        <w:t xml:space="preserve"> </w:t>
      </w:r>
      <w:r w:rsidRPr="004D2D14">
        <w:rPr>
          <w:rFonts w:asciiTheme="majorHAnsi" w:hAnsiTheme="majorHAnsi"/>
          <w:sz w:val="20"/>
          <w:szCs w:val="20"/>
          <w:lang w:val="uk-UA"/>
        </w:rPr>
        <w:t>членство</w:t>
      </w:r>
      <w:r w:rsidRPr="004D2D14">
        <w:rPr>
          <w:rFonts w:asciiTheme="majorHAnsi" w:hAnsiTheme="majorHAnsi"/>
          <w:spacing w:val="3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32"/>
          <w:sz w:val="20"/>
          <w:szCs w:val="20"/>
          <w:lang w:val="uk-UA"/>
        </w:rPr>
        <w:t xml:space="preserve"> </w:t>
      </w:r>
      <w:r w:rsidRPr="004D2D14">
        <w:rPr>
          <w:rFonts w:asciiTheme="majorHAnsi" w:hAnsiTheme="majorHAnsi"/>
          <w:sz w:val="20"/>
          <w:szCs w:val="20"/>
          <w:lang w:val="uk-UA"/>
        </w:rPr>
        <w:t>якому</w:t>
      </w:r>
      <w:r w:rsidRPr="004D2D14">
        <w:rPr>
          <w:rFonts w:asciiTheme="majorHAnsi" w:hAnsiTheme="majorHAnsi"/>
          <w:spacing w:val="30"/>
          <w:sz w:val="20"/>
          <w:szCs w:val="20"/>
          <w:lang w:val="uk-UA"/>
        </w:rPr>
        <w:t xml:space="preserve"> </w:t>
      </w:r>
      <w:r w:rsidRPr="004D2D14">
        <w:rPr>
          <w:rFonts w:asciiTheme="majorHAnsi" w:hAnsiTheme="majorHAnsi"/>
          <w:sz w:val="20"/>
          <w:szCs w:val="20"/>
          <w:lang w:val="uk-UA"/>
        </w:rPr>
        <w:t>є</w:t>
      </w:r>
      <w:r w:rsidRPr="004D2D14">
        <w:rPr>
          <w:rFonts w:asciiTheme="majorHAnsi" w:hAnsiTheme="majorHAnsi"/>
          <w:spacing w:val="32"/>
          <w:sz w:val="20"/>
          <w:szCs w:val="20"/>
          <w:lang w:val="uk-UA"/>
        </w:rPr>
        <w:t xml:space="preserve"> </w:t>
      </w:r>
      <w:r w:rsidRPr="004D2D14">
        <w:rPr>
          <w:rFonts w:asciiTheme="majorHAnsi" w:hAnsiTheme="majorHAnsi"/>
          <w:sz w:val="20"/>
          <w:szCs w:val="20"/>
          <w:lang w:val="uk-UA"/>
        </w:rPr>
        <w:t>доступним</w:t>
      </w:r>
      <w:r w:rsidRPr="004D2D14">
        <w:rPr>
          <w:rFonts w:asciiTheme="majorHAnsi" w:hAnsiTheme="majorHAnsi"/>
          <w:spacing w:val="3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33"/>
          <w:sz w:val="20"/>
          <w:szCs w:val="20"/>
          <w:lang w:val="uk-UA"/>
        </w:rPr>
        <w:t xml:space="preserve"> </w:t>
      </w:r>
      <w:r w:rsidRPr="004D2D14">
        <w:rPr>
          <w:rFonts w:asciiTheme="majorHAnsi" w:hAnsiTheme="majorHAnsi"/>
          <w:sz w:val="20"/>
          <w:szCs w:val="20"/>
          <w:lang w:val="uk-UA"/>
        </w:rPr>
        <w:t>відповідного</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національного</w:t>
      </w:r>
      <w:r w:rsidRPr="004D2D14">
        <w:rPr>
          <w:rFonts w:asciiTheme="majorHAnsi" w:hAnsiTheme="majorHAnsi"/>
          <w:spacing w:val="27"/>
          <w:sz w:val="20"/>
          <w:szCs w:val="20"/>
          <w:lang w:val="uk-UA"/>
        </w:rPr>
        <w:t xml:space="preserve"> </w:t>
      </w:r>
      <w:r w:rsidRPr="004D2D14">
        <w:rPr>
          <w:rFonts w:asciiTheme="majorHAnsi" w:hAnsiTheme="majorHAnsi"/>
          <w:sz w:val="20"/>
          <w:szCs w:val="20"/>
          <w:lang w:val="uk-UA"/>
        </w:rPr>
        <w:t>органу</w:t>
      </w:r>
      <w:r w:rsidRPr="004D2D14">
        <w:rPr>
          <w:rFonts w:asciiTheme="majorHAnsi" w:hAnsiTheme="majorHAnsi"/>
          <w:spacing w:val="25"/>
          <w:sz w:val="20"/>
          <w:szCs w:val="20"/>
          <w:lang w:val="uk-UA"/>
        </w:rPr>
        <w:t xml:space="preserve"> </w:t>
      </w:r>
      <w:r w:rsidRPr="004D2D14">
        <w:rPr>
          <w:rFonts w:asciiTheme="majorHAnsi" w:hAnsiTheme="majorHAnsi"/>
          <w:sz w:val="20"/>
          <w:szCs w:val="20"/>
          <w:lang w:val="uk-UA"/>
        </w:rPr>
        <w:t>кожної</w:t>
      </w:r>
      <w:r w:rsidRPr="004D2D14">
        <w:rPr>
          <w:rFonts w:asciiTheme="majorHAnsi" w:hAnsiTheme="majorHAnsi"/>
          <w:spacing w:val="29"/>
          <w:sz w:val="20"/>
          <w:szCs w:val="20"/>
          <w:lang w:val="uk-UA"/>
        </w:rPr>
        <w:t xml:space="preserve"> </w:t>
      </w:r>
      <w:r w:rsidRPr="004D2D14">
        <w:rPr>
          <w:rFonts w:asciiTheme="majorHAnsi" w:hAnsiTheme="majorHAnsi"/>
          <w:sz w:val="20"/>
          <w:szCs w:val="20"/>
          <w:lang w:val="uk-UA"/>
        </w:rPr>
        <w:t>країни</w:t>
      </w:r>
      <w:r w:rsidRPr="004D2D14">
        <w:rPr>
          <w:rFonts w:asciiTheme="majorHAnsi" w:hAnsiTheme="majorHAnsi"/>
          <w:spacing w:val="28"/>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25"/>
          <w:sz w:val="20"/>
          <w:szCs w:val="20"/>
          <w:lang w:val="uk-UA"/>
        </w:rPr>
        <w:t xml:space="preserve"> </w:t>
      </w:r>
      <w:r w:rsidRPr="004D2D14">
        <w:rPr>
          <w:rFonts w:asciiTheme="majorHAnsi" w:hAnsiTheme="majorHAnsi"/>
          <w:sz w:val="20"/>
          <w:szCs w:val="20"/>
          <w:lang w:val="uk-UA"/>
        </w:rPr>
        <w:t>межах</w:t>
      </w:r>
      <w:r w:rsidRPr="004D2D14">
        <w:rPr>
          <w:rFonts w:asciiTheme="majorHAnsi" w:hAnsiTheme="majorHAnsi"/>
          <w:spacing w:val="27"/>
          <w:sz w:val="20"/>
          <w:szCs w:val="20"/>
          <w:lang w:val="uk-UA"/>
        </w:rPr>
        <w:t xml:space="preserve"> </w:t>
      </w:r>
      <w:r w:rsidRPr="004D2D14">
        <w:rPr>
          <w:rFonts w:asciiTheme="majorHAnsi" w:hAnsiTheme="majorHAnsi"/>
          <w:sz w:val="20"/>
          <w:szCs w:val="20"/>
          <w:lang w:val="uk-UA"/>
        </w:rPr>
        <w:t>одного</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географічного, політичного чи економічного регіону</w:t>
      </w:r>
    </w:p>
    <w:p w14:paraId="1C94F018"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ISO/IEC</w:t>
      </w:r>
      <w:r w:rsidRPr="000977F7">
        <w:rPr>
          <w:rFonts w:asciiTheme="majorHAnsi" w:hAnsiTheme="majorHAnsi"/>
          <w:i/>
          <w:spacing w:val="-32"/>
          <w:sz w:val="20"/>
          <w:szCs w:val="20"/>
        </w:rPr>
        <w:t xml:space="preserve"> </w:t>
      </w:r>
      <w:r w:rsidRPr="000977F7">
        <w:rPr>
          <w:rFonts w:asciiTheme="majorHAnsi" w:hAnsiTheme="majorHAnsi"/>
          <w:i/>
          <w:sz w:val="20"/>
          <w:szCs w:val="20"/>
        </w:rPr>
        <w:t>17000:2007</w:t>
      </w:r>
    </w:p>
    <w:p w14:paraId="18CB7B2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РЕГІОНАЛЬНА</w:t>
      </w:r>
      <w:r w:rsidRPr="000977F7">
        <w:rPr>
          <w:color w:val="auto"/>
          <w:spacing w:val="-6"/>
          <w:sz w:val="20"/>
          <w:szCs w:val="20"/>
        </w:rPr>
        <w:t xml:space="preserve"> </w:t>
      </w:r>
      <w:r w:rsidRPr="000977F7">
        <w:rPr>
          <w:color w:val="auto"/>
          <w:sz w:val="20"/>
          <w:szCs w:val="20"/>
        </w:rPr>
        <w:t>СТАНДАРТИЗАЦІЯ</w:t>
      </w:r>
      <w:r w:rsidRPr="000977F7">
        <w:rPr>
          <w:color w:val="auto"/>
          <w:spacing w:val="-3"/>
          <w:sz w:val="20"/>
          <w:szCs w:val="20"/>
        </w:rPr>
        <w:t xml:space="preserve"> </w:t>
      </w:r>
      <w:r w:rsidRPr="000977F7">
        <w:rPr>
          <w:color w:val="auto"/>
          <w:sz w:val="20"/>
          <w:szCs w:val="20"/>
        </w:rPr>
        <w:t>–</w:t>
      </w:r>
    </w:p>
    <w:p w14:paraId="51401DA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REGIONAL</w:t>
      </w:r>
      <w:r w:rsidRPr="004D2D14">
        <w:rPr>
          <w:rFonts w:asciiTheme="majorHAnsi" w:hAnsiTheme="majorHAnsi"/>
          <w:spacing w:val="-6"/>
          <w:sz w:val="20"/>
          <w:szCs w:val="20"/>
          <w:lang w:val="uk-UA"/>
        </w:rPr>
        <w:t xml:space="preserve"> </w:t>
      </w:r>
      <w:r w:rsidRPr="000977F7">
        <w:rPr>
          <w:rFonts w:asciiTheme="majorHAnsi" w:hAnsiTheme="majorHAnsi"/>
          <w:sz w:val="20"/>
          <w:szCs w:val="20"/>
        </w:rPr>
        <w:t>STANDARDIZATION</w:t>
      </w:r>
      <w:r w:rsidRPr="004D2D14">
        <w:rPr>
          <w:rFonts w:asciiTheme="majorHAnsi" w:hAnsiTheme="majorHAnsi"/>
          <w:sz w:val="20"/>
          <w:szCs w:val="20"/>
          <w:lang w:val="uk-UA"/>
        </w:rPr>
        <w:t xml:space="preserve"> –</w:t>
      </w:r>
    </w:p>
    <w:p w14:paraId="23BE2FA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Стандартизація, участь в якій відкрита для відповідних органів країн певного географічного, політичного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 економічного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простору</w:t>
      </w:r>
    </w:p>
    <w:p w14:paraId="523755B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 п. 17 закону України "Про стандартизацію"</w:t>
      </w:r>
    </w:p>
    <w:p w14:paraId="2FE10A5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Стандартизація,</w:t>
      </w:r>
      <w:r w:rsidRPr="000977F7">
        <w:rPr>
          <w:rFonts w:asciiTheme="majorHAnsi" w:hAnsiTheme="majorHAnsi"/>
          <w:spacing w:val="15"/>
          <w:sz w:val="20"/>
          <w:szCs w:val="20"/>
        </w:rPr>
        <w:t xml:space="preserve"> </w:t>
      </w:r>
      <w:r w:rsidRPr="000977F7">
        <w:rPr>
          <w:rFonts w:asciiTheme="majorHAnsi" w:hAnsiTheme="majorHAnsi"/>
          <w:sz w:val="20"/>
          <w:szCs w:val="20"/>
        </w:rPr>
        <w:t>участь</w:t>
      </w:r>
      <w:r w:rsidRPr="000977F7">
        <w:rPr>
          <w:rFonts w:asciiTheme="majorHAnsi" w:hAnsiTheme="majorHAnsi"/>
          <w:spacing w:val="12"/>
          <w:sz w:val="20"/>
          <w:szCs w:val="20"/>
        </w:rPr>
        <w:t xml:space="preserve"> </w:t>
      </w:r>
      <w:r w:rsidRPr="000977F7">
        <w:rPr>
          <w:rFonts w:asciiTheme="majorHAnsi" w:hAnsiTheme="majorHAnsi"/>
          <w:sz w:val="20"/>
          <w:szCs w:val="20"/>
        </w:rPr>
        <w:t>в</w:t>
      </w:r>
      <w:r w:rsidRPr="000977F7">
        <w:rPr>
          <w:rFonts w:asciiTheme="majorHAnsi" w:hAnsiTheme="majorHAnsi"/>
          <w:spacing w:val="15"/>
          <w:sz w:val="20"/>
          <w:szCs w:val="20"/>
        </w:rPr>
        <w:t xml:space="preserve"> </w:t>
      </w:r>
      <w:r w:rsidRPr="000977F7">
        <w:rPr>
          <w:rFonts w:asciiTheme="majorHAnsi" w:hAnsiTheme="majorHAnsi"/>
          <w:sz w:val="20"/>
          <w:szCs w:val="20"/>
        </w:rPr>
        <w:t>якій</w:t>
      </w:r>
      <w:r w:rsidRPr="000977F7">
        <w:rPr>
          <w:rFonts w:asciiTheme="majorHAnsi" w:hAnsiTheme="majorHAnsi"/>
          <w:spacing w:val="11"/>
          <w:sz w:val="20"/>
          <w:szCs w:val="20"/>
        </w:rPr>
        <w:t xml:space="preserve"> </w:t>
      </w:r>
      <w:r w:rsidRPr="000977F7">
        <w:rPr>
          <w:rFonts w:asciiTheme="majorHAnsi" w:hAnsiTheme="majorHAnsi"/>
          <w:sz w:val="20"/>
          <w:szCs w:val="20"/>
        </w:rPr>
        <w:t>є</w:t>
      </w:r>
      <w:r w:rsidRPr="000977F7">
        <w:rPr>
          <w:rFonts w:asciiTheme="majorHAnsi" w:hAnsiTheme="majorHAnsi"/>
          <w:spacing w:val="13"/>
          <w:sz w:val="20"/>
          <w:szCs w:val="20"/>
        </w:rPr>
        <w:t xml:space="preserve"> </w:t>
      </w:r>
      <w:r w:rsidRPr="000977F7">
        <w:rPr>
          <w:rFonts w:asciiTheme="majorHAnsi" w:hAnsiTheme="majorHAnsi"/>
          <w:sz w:val="20"/>
          <w:szCs w:val="20"/>
        </w:rPr>
        <w:t>доступною</w:t>
      </w:r>
      <w:r w:rsidRPr="000977F7">
        <w:rPr>
          <w:rFonts w:asciiTheme="majorHAnsi" w:hAnsiTheme="majorHAnsi"/>
          <w:spacing w:val="15"/>
          <w:sz w:val="20"/>
          <w:szCs w:val="20"/>
        </w:rPr>
        <w:t xml:space="preserve"> </w:t>
      </w:r>
      <w:r w:rsidRPr="000977F7">
        <w:rPr>
          <w:rFonts w:asciiTheme="majorHAnsi" w:hAnsiTheme="majorHAnsi"/>
          <w:sz w:val="20"/>
          <w:szCs w:val="20"/>
        </w:rPr>
        <w:t>для</w:t>
      </w:r>
      <w:r w:rsidRPr="000977F7">
        <w:rPr>
          <w:rFonts w:asciiTheme="majorHAnsi" w:hAnsiTheme="majorHAnsi"/>
          <w:spacing w:val="12"/>
          <w:sz w:val="20"/>
          <w:szCs w:val="20"/>
        </w:rPr>
        <w:t xml:space="preserve"> </w:t>
      </w:r>
      <w:r w:rsidRPr="000977F7">
        <w:rPr>
          <w:rFonts w:asciiTheme="majorHAnsi" w:hAnsiTheme="majorHAnsi"/>
          <w:sz w:val="20"/>
          <w:szCs w:val="20"/>
        </w:rPr>
        <w:t>відповідних</w:t>
      </w:r>
      <w:r w:rsidRPr="000977F7">
        <w:rPr>
          <w:rFonts w:asciiTheme="majorHAnsi" w:hAnsiTheme="majorHAnsi"/>
          <w:spacing w:val="36"/>
          <w:sz w:val="20"/>
          <w:szCs w:val="20"/>
        </w:rPr>
        <w:t xml:space="preserve"> </w:t>
      </w:r>
      <w:r w:rsidRPr="000977F7">
        <w:rPr>
          <w:rFonts w:asciiTheme="majorHAnsi" w:hAnsiTheme="majorHAnsi"/>
          <w:sz w:val="20"/>
          <w:szCs w:val="20"/>
        </w:rPr>
        <w:t>органів</w:t>
      </w:r>
      <w:r w:rsidRPr="000977F7">
        <w:rPr>
          <w:rFonts w:asciiTheme="majorHAnsi" w:hAnsiTheme="majorHAnsi"/>
          <w:spacing w:val="38"/>
          <w:sz w:val="20"/>
          <w:szCs w:val="20"/>
        </w:rPr>
        <w:t xml:space="preserve"> </w:t>
      </w:r>
      <w:r w:rsidRPr="000977F7">
        <w:rPr>
          <w:rFonts w:asciiTheme="majorHAnsi" w:hAnsiTheme="majorHAnsi"/>
          <w:sz w:val="20"/>
          <w:szCs w:val="20"/>
        </w:rPr>
        <w:t>лише</w:t>
      </w:r>
      <w:r w:rsidRPr="000977F7">
        <w:rPr>
          <w:rFonts w:asciiTheme="majorHAnsi" w:hAnsiTheme="majorHAnsi"/>
          <w:spacing w:val="38"/>
          <w:sz w:val="20"/>
          <w:szCs w:val="20"/>
        </w:rPr>
        <w:t xml:space="preserve"> </w:t>
      </w:r>
      <w:r w:rsidRPr="000977F7">
        <w:rPr>
          <w:rFonts w:asciiTheme="majorHAnsi" w:hAnsiTheme="majorHAnsi"/>
          <w:sz w:val="20"/>
          <w:szCs w:val="20"/>
        </w:rPr>
        <w:t>одного</w:t>
      </w:r>
      <w:r w:rsidRPr="000977F7">
        <w:rPr>
          <w:rFonts w:asciiTheme="majorHAnsi" w:hAnsiTheme="majorHAnsi"/>
          <w:spacing w:val="39"/>
          <w:sz w:val="20"/>
          <w:szCs w:val="20"/>
        </w:rPr>
        <w:t xml:space="preserve"> </w:t>
      </w:r>
      <w:r w:rsidRPr="000977F7">
        <w:rPr>
          <w:rFonts w:asciiTheme="majorHAnsi" w:hAnsiTheme="majorHAnsi"/>
          <w:sz w:val="20"/>
          <w:szCs w:val="20"/>
        </w:rPr>
        <w:t>географічного,</w:t>
      </w:r>
      <w:r w:rsidRPr="000977F7">
        <w:rPr>
          <w:rFonts w:asciiTheme="majorHAnsi" w:hAnsiTheme="majorHAnsi"/>
          <w:spacing w:val="38"/>
          <w:sz w:val="20"/>
          <w:szCs w:val="20"/>
        </w:rPr>
        <w:t xml:space="preserve"> </w:t>
      </w:r>
      <w:r w:rsidRPr="000977F7">
        <w:rPr>
          <w:rFonts w:asciiTheme="majorHAnsi" w:hAnsiTheme="majorHAnsi"/>
          <w:sz w:val="20"/>
          <w:szCs w:val="20"/>
        </w:rPr>
        <w:t>політичного чи</w:t>
      </w:r>
      <w:r w:rsidRPr="000977F7">
        <w:rPr>
          <w:rFonts w:asciiTheme="majorHAnsi" w:hAnsiTheme="majorHAnsi"/>
          <w:spacing w:val="-1"/>
          <w:sz w:val="20"/>
          <w:szCs w:val="20"/>
        </w:rPr>
        <w:t xml:space="preserve"> </w:t>
      </w:r>
      <w:r w:rsidRPr="000977F7">
        <w:rPr>
          <w:rFonts w:asciiTheme="majorHAnsi" w:hAnsiTheme="majorHAnsi"/>
          <w:sz w:val="20"/>
          <w:szCs w:val="20"/>
        </w:rPr>
        <w:t>економічного</w:t>
      </w:r>
      <w:r w:rsidRPr="000977F7">
        <w:rPr>
          <w:rFonts w:asciiTheme="majorHAnsi" w:hAnsiTheme="majorHAnsi"/>
          <w:spacing w:val="1"/>
          <w:sz w:val="20"/>
          <w:szCs w:val="20"/>
        </w:rPr>
        <w:t xml:space="preserve"> </w:t>
      </w:r>
      <w:r w:rsidRPr="000977F7">
        <w:rPr>
          <w:rFonts w:asciiTheme="majorHAnsi" w:hAnsiTheme="majorHAnsi"/>
          <w:sz w:val="20"/>
          <w:szCs w:val="20"/>
        </w:rPr>
        <w:t>регіону</w:t>
      </w:r>
    </w:p>
    <w:p w14:paraId="6756FE9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 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0F7246F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240" w:name="_Hlk104209480"/>
      <w:r w:rsidRPr="000977F7">
        <w:rPr>
          <w:color w:val="auto"/>
          <w:sz w:val="20"/>
          <w:szCs w:val="20"/>
        </w:rPr>
        <w:t>РЕГІОНАЛЬНИЙ</w:t>
      </w:r>
      <w:r w:rsidRPr="000977F7">
        <w:rPr>
          <w:color w:val="auto"/>
          <w:spacing w:val="-6"/>
          <w:sz w:val="20"/>
          <w:szCs w:val="20"/>
        </w:rPr>
        <w:t xml:space="preserve"> </w:t>
      </w:r>
      <w:r w:rsidRPr="000977F7">
        <w:rPr>
          <w:color w:val="auto"/>
          <w:sz w:val="20"/>
          <w:szCs w:val="20"/>
        </w:rPr>
        <w:t>ВИПРОБУВАЛЬНИЙ</w:t>
      </w:r>
      <w:r w:rsidRPr="000977F7">
        <w:rPr>
          <w:color w:val="auto"/>
          <w:spacing w:val="-6"/>
          <w:sz w:val="20"/>
          <w:szCs w:val="20"/>
        </w:rPr>
        <w:t xml:space="preserve"> </w:t>
      </w:r>
      <w:r w:rsidRPr="000977F7">
        <w:rPr>
          <w:color w:val="auto"/>
          <w:sz w:val="20"/>
          <w:szCs w:val="20"/>
        </w:rPr>
        <w:t>ЦЕНТР</w:t>
      </w:r>
      <w:r w:rsidRPr="000977F7">
        <w:rPr>
          <w:color w:val="auto"/>
          <w:spacing w:val="-2"/>
          <w:sz w:val="20"/>
          <w:szCs w:val="20"/>
        </w:rPr>
        <w:t xml:space="preserve"> </w:t>
      </w:r>
      <w:r w:rsidRPr="000977F7">
        <w:rPr>
          <w:color w:val="auto"/>
          <w:sz w:val="20"/>
          <w:szCs w:val="20"/>
        </w:rPr>
        <w:t>–</w:t>
      </w:r>
    </w:p>
    <w:p w14:paraId="2E19569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REGIONAL</w:t>
      </w:r>
      <w:r w:rsidRPr="004D2D14">
        <w:rPr>
          <w:rFonts w:asciiTheme="majorHAnsi" w:hAnsiTheme="majorHAnsi"/>
          <w:spacing w:val="-4"/>
          <w:sz w:val="20"/>
          <w:szCs w:val="20"/>
          <w:lang w:val="uk-UA"/>
        </w:rPr>
        <w:t xml:space="preserve"> </w:t>
      </w:r>
      <w:r w:rsidRPr="000977F7">
        <w:rPr>
          <w:rFonts w:asciiTheme="majorHAnsi" w:hAnsiTheme="majorHAnsi"/>
          <w:sz w:val="20"/>
          <w:szCs w:val="20"/>
        </w:rPr>
        <w:t>TESTING</w:t>
      </w:r>
      <w:r w:rsidRPr="004D2D14">
        <w:rPr>
          <w:rFonts w:asciiTheme="majorHAnsi" w:hAnsiTheme="majorHAnsi"/>
          <w:spacing w:val="-2"/>
          <w:sz w:val="20"/>
          <w:szCs w:val="20"/>
          <w:lang w:val="uk-UA"/>
        </w:rPr>
        <w:t xml:space="preserve"> </w:t>
      </w:r>
      <w:r w:rsidRPr="000977F7">
        <w:rPr>
          <w:rFonts w:asciiTheme="majorHAnsi" w:hAnsiTheme="majorHAnsi"/>
          <w:sz w:val="20"/>
          <w:szCs w:val="20"/>
        </w:rPr>
        <w:t>CENTER</w:t>
      </w:r>
      <w:r w:rsidRPr="004D2D14">
        <w:rPr>
          <w:rFonts w:asciiTheme="majorHAnsi" w:hAnsiTheme="majorHAnsi"/>
          <w:sz w:val="20"/>
          <w:szCs w:val="20"/>
          <w:lang w:val="uk-UA"/>
        </w:rPr>
        <w:t xml:space="preserve"> –</w:t>
      </w:r>
    </w:p>
    <w:bookmarkEnd w:id="240"/>
    <w:p w14:paraId="1D1B7EB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Організація, затверджена в прийнятому порядку 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проведення визначених категорій випробувань закріплених видів продукції, виробленої і (або) розробленої підприємствами і організаціями регіону незалежно</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від</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їх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відомчої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підпорядкованості</w:t>
      </w:r>
    </w:p>
    <w:p w14:paraId="42D87A6F"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8"/>
          <w:sz w:val="20"/>
          <w:szCs w:val="20"/>
          <w:lang w:val="uk-UA"/>
        </w:rPr>
      </w:pPr>
      <w:bookmarkStart w:id="241" w:name="_Hlk101780248"/>
      <w:r w:rsidRPr="004D2D14">
        <w:rPr>
          <w:rFonts w:asciiTheme="majorHAnsi" w:hAnsiTheme="majorHAnsi"/>
          <w:b/>
          <w:sz w:val="20"/>
          <w:szCs w:val="20"/>
          <w:lang w:val="uk-UA"/>
        </w:rPr>
        <w:t>РЕГІОНАЛЬНИЙ СТАНДАРТ –</w:t>
      </w:r>
      <w:r w:rsidRPr="004D2D14">
        <w:rPr>
          <w:rFonts w:asciiTheme="majorHAnsi" w:hAnsiTheme="majorHAnsi"/>
          <w:b/>
          <w:spacing w:val="-48"/>
          <w:sz w:val="20"/>
          <w:szCs w:val="20"/>
          <w:lang w:val="uk-UA"/>
        </w:rPr>
        <w:t xml:space="preserve"> </w:t>
      </w:r>
    </w:p>
    <w:p w14:paraId="05DDD343"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0977F7">
        <w:rPr>
          <w:rFonts w:asciiTheme="majorHAnsi" w:hAnsiTheme="majorHAnsi"/>
          <w:sz w:val="20"/>
          <w:szCs w:val="20"/>
        </w:rPr>
        <w:t>REGIONAL</w:t>
      </w:r>
      <w:r w:rsidRPr="004D2D14">
        <w:rPr>
          <w:rFonts w:asciiTheme="majorHAnsi" w:hAnsiTheme="majorHAnsi"/>
          <w:spacing w:val="-3"/>
          <w:sz w:val="20"/>
          <w:szCs w:val="20"/>
          <w:lang w:val="uk-UA"/>
        </w:rPr>
        <w:t xml:space="preserve"> </w:t>
      </w:r>
      <w:r w:rsidRPr="000977F7">
        <w:rPr>
          <w:rFonts w:asciiTheme="majorHAnsi" w:hAnsiTheme="majorHAnsi"/>
          <w:sz w:val="20"/>
          <w:szCs w:val="20"/>
        </w:rPr>
        <w:t>STANDARD</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bookmarkEnd w:id="241"/>
    <w:p w14:paraId="29FE6A2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Стандарт,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прийнятий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регіональною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організацією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стандартизації</w:t>
      </w:r>
    </w:p>
    <w:p w14:paraId="203A8E6B"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0"/>
          <w:sz w:val="20"/>
          <w:szCs w:val="20"/>
        </w:rPr>
      </w:pPr>
      <w:r w:rsidRPr="000977F7">
        <w:rPr>
          <w:rFonts w:asciiTheme="majorHAnsi" w:hAnsiTheme="majorHAnsi"/>
          <w:i/>
          <w:spacing w:val="-12"/>
          <w:sz w:val="20"/>
          <w:szCs w:val="20"/>
        </w:rPr>
        <w:t xml:space="preserve">ДСТУ ISO/IEC </w:t>
      </w:r>
      <w:r w:rsidRPr="000977F7">
        <w:rPr>
          <w:rFonts w:asciiTheme="majorHAnsi" w:hAnsiTheme="majorHAnsi"/>
          <w:i/>
          <w:spacing w:val="-11"/>
          <w:sz w:val="20"/>
          <w:szCs w:val="20"/>
        </w:rPr>
        <w:t>17000:2007</w:t>
      </w:r>
    </w:p>
    <w:p w14:paraId="01766036"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РЕГІОНАЛЬНО</w:t>
      </w:r>
      <w:r w:rsidRPr="000977F7">
        <w:rPr>
          <w:rFonts w:asciiTheme="majorHAnsi" w:hAnsiTheme="majorHAnsi"/>
          <w:b/>
          <w:spacing w:val="-13"/>
          <w:sz w:val="20"/>
          <w:szCs w:val="20"/>
        </w:rPr>
        <w:t xml:space="preserve"> </w:t>
      </w:r>
      <w:r w:rsidRPr="000977F7">
        <w:rPr>
          <w:rFonts w:asciiTheme="majorHAnsi" w:hAnsiTheme="majorHAnsi"/>
          <w:b/>
          <w:sz w:val="20"/>
          <w:szCs w:val="20"/>
        </w:rPr>
        <w:t>ГАРМОНІЗОВАНІ</w:t>
      </w:r>
      <w:r w:rsidRPr="000977F7">
        <w:rPr>
          <w:rFonts w:asciiTheme="majorHAnsi" w:hAnsiTheme="majorHAnsi"/>
          <w:b/>
          <w:spacing w:val="-47"/>
          <w:sz w:val="20"/>
          <w:szCs w:val="20"/>
        </w:rPr>
        <w:t xml:space="preserve"> </w:t>
      </w:r>
      <w:r w:rsidRPr="000977F7">
        <w:rPr>
          <w:rFonts w:asciiTheme="majorHAnsi" w:hAnsiTheme="majorHAnsi"/>
          <w:b/>
          <w:sz w:val="20"/>
          <w:szCs w:val="20"/>
        </w:rPr>
        <w:t>СТАНДАРТИ –</w:t>
      </w:r>
    </w:p>
    <w:p w14:paraId="3555BA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REGIONALLY</w:t>
      </w:r>
      <w:r w:rsidRPr="000977F7">
        <w:rPr>
          <w:rFonts w:asciiTheme="majorHAnsi" w:hAnsiTheme="majorHAnsi"/>
          <w:spacing w:val="-4"/>
          <w:sz w:val="20"/>
          <w:szCs w:val="20"/>
        </w:rPr>
        <w:t xml:space="preserve"> </w:t>
      </w:r>
      <w:r w:rsidRPr="000977F7">
        <w:rPr>
          <w:rFonts w:asciiTheme="majorHAnsi" w:hAnsiTheme="majorHAnsi"/>
          <w:sz w:val="20"/>
          <w:szCs w:val="20"/>
        </w:rPr>
        <w:t>HARMONIZED</w:t>
      </w:r>
      <w:r w:rsidRPr="000977F7">
        <w:rPr>
          <w:rFonts w:asciiTheme="majorHAnsi" w:hAnsiTheme="majorHAnsi"/>
          <w:spacing w:val="-3"/>
          <w:sz w:val="20"/>
          <w:szCs w:val="20"/>
        </w:rPr>
        <w:t xml:space="preserve"> </w:t>
      </w:r>
      <w:r w:rsidRPr="000977F7">
        <w:rPr>
          <w:rFonts w:asciiTheme="majorHAnsi" w:hAnsiTheme="majorHAnsi"/>
          <w:sz w:val="20"/>
          <w:szCs w:val="20"/>
        </w:rPr>
        <w:t>STANDARDS–</w:t>
      </w:r>
    </w:p>
    <w:p w14:paraId="34D06F8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Стандарти,</w:t>
      </w:r>
      <w:r w:rsidRPr="000977F7">
        <w:rPr>
          <w:rFonts w:asciiTheme="majorHAnsi" w:hAnsiTheme="majorHAnsi"/>
          <w:spacing w:val="-5"/>
          <w:sz w:val="20"/>
          <w:szCs w:val="20"/>
        </w:rPr>
        <w:t xml:space="preserve"> </w:t>
      </w:r>
      <w:r w:rsidRPr="000977F7">
        <w:rPr>
          <w:rFonts w:asciiTheme="majorHAnsi" w:hAnsiTheme="majorHAnsi"/>
          <w:sz w:val="20"/>
          <w:szCs w:val="20"/>
        </w:rPr>
        <w:t>гармонізовані</w:t>
      </w:r>
      <w:r w:rsidRPr="000977F7">
        <w:rPr>
          <w:rFonts w:asciiTheme="majorHAnsi" w:hAnsiTheme="majorHAnsi"/>
          <w:spacing w:val="-6"/>
          <w:sz w:val="20"/>
          <w:szCs w:val="20"/>
        </w:rPr>
        <w:t xml:space="preserve"> </w:t>
      </w:r>
      <w:r w:rsidRPr="000977F7">
        <w:rPr>
          <w:rFonts w:asciiTheme="majorHAnsi" w:hAnsiTheme="majorHAnsi"/>
          <w:sz w:val="20"/>
          <w:szCs w:val="20"/>
        </w:rPr>
        <w:t>з</w:t>
      </w:r>
      <w:r w:rsidRPr="000977F7">
        <w:rPr>
          <w:rFonts w:asciiTheme="majorHAnsi" w:hAnsiTheme="majorHAnsi"/>
          <w:spacing w:val="-2"/>
          <w:sz w:val="20"/>
          <w:szCs w:val="20"/>
        </w:rPr>
        <w:t xml:space="preserve"> </w:t>
      </w:r>
      <w:r w:rsidRPr="000977F7">
        <w:rPr>
          <w:rFonts w:asciiTheme="majorHAnsi" w:hAnsiTheme="majorHAnsi"/>
          <w:sz w:val="20"/>
          <w:szCs w:val="20"/>
        </w:rPr>
        <w:t>регіональним</w:t>
      </w:r>
      <w:r w:rsidRPr="000977F7">
        <w:rPr>
          <w:rFonts w:asciiTheme="majorHAnsi" w:hAnsiTheme="majorHAnsi"/>
          <w:spacing w:val="-4"/>
          <w:sz w:val="20"/>
          <w:szCs w:val="20"/>
        </w:rPr>
        <w:t xml:space="preserve"> </w:t>
      </w:r>
      <w:r w:rsidRPr="000977F7">
        <w:rPr>
          <w:rFonts w:asciiTheme="majorHAnsi" w:hAnsiTheme="majorHAnsi"/>
          <w:sz w:val="20"/>
          <w:szCs w:val="20"/>
        </w:rPr>
        <w:t>стандартом</w:t>
      </w:r>
    </w:p>
    <w:p w14:paraId="3B53605A"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pacing w:val="-12"/>
          <w:sz w:val="20"/>
          <w:szCs w:val="20"/>
        </w:rPr>
        <w:t>ДСТУISO/IEC</w:t>
      </w:r>
      <w:r w:rsidRPr="000977F7">
        <w:rPr>
          <w:rFonts w:asciiTheme="majorHAnsi" w:hAnsiTheme="majorHAnsi"/>
          <w:i/>
          <w:spacing w:val="-29"/>
          <w:sz w:val="20"/>
          <w:szCs w:val="20"/>
        </w:rPr>
        <w:t xml:space="preserve"> </w:t>
      </w:r>
      <w:r w:rsidRPr="000977F7">
        <w:rPr>
          <w:rFonts w:asciiTheme="majorHAnsi" w:hAnsiTheme="majorHAnsi"/>
          <w:i/>
          <w:spacing w:val="-11"/>
          <w:sz w:val="20"/>
          <w:szCs w:val="20"/>
        </w:rPr>
        <w:t>17000:2007</w:t>
      </w:r>
      <w:r w:rsidRPr="000977F7">
        <w:rPr>
          <w:rFonts w:asciiTheme="majorHAnsi" w:hAnsiTheme="majorHAnsi"/>
          <w:i/>
          <w:spacing w:val="-47"/>
          <w:sz w:val="20"/>
          <w:szCs w:val="20"/>
        </w:rPr>
        <w:t xml:space="preserve"> </w:t>
      </w:r>
    </w:p>
    <w:p w14:paraId="08A437C6"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РЕГЛАМЕНТ –</w:t>
      </w:r>
    </w:p>
    <w:p w14:paraId="1EFC654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REGULATION –</w:t>
      </w:r>
    </w:p>
    <w:p w14:paraId="53C5E6B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Прийнятий</w:t>
      </w:r>
      <w:r w:rsidRPr="000977F7">
        <w:rPr>
          <w:rFonts w:asciiTheme="majorHAnsi" w:hAnsiTheme="majorHAnsi"/>
          <w:spacing w:val="-1"/>
          <w:sz w:val="20"/>
          <w:szCs w:val="20"/>
        </w:rPr>
        <w:t xml:space="preserve"> </w:t>
      </w:r>
      <w:r w:rsidRPr="000977F7">
        <w:rPr>
          <w:rFonts w:asciiTheme="majorHAnsi" w:hAnsiTheme="majorHAnsi"/>
          <w:sz w:val="20"/>
          <w:szCs w:val="20"/>
        </w:rPr>
        <w:t>органом</w:t>
      </w:r>
      <w:r w:rsidRPr="000977F7">
        <w:rPr>
          <w:rFonts w:asciiTheme="majorHAnsi" w:hAnsiTheme="majorHAnsi"/>
          <w:spacing w:val="3"/>
          <w:sz w:val="20"/>
          <w:szCs w:val="20"/>
        </w:rPr>
        <w:t xml:space="preserve"> </w:t>
      </w:r>
      <w:r w:rsidRPr="000977F7">
        <w:rPr>
          <w:rFonts w:asciiTheme="majorHAnsi" w:hAnsiTheme="majorHAnsi"/>
          <w:sz w:val="20"/>
          <w:szCs w:val="20"/>
        </w:rPr>
        <w:t>влади</w:t>
      </w:r>
      <w:r w:rsidRPr="000977F7">
        <w:rPr>
          <w:rFonts w:asciiTheme="majorHAnsi" w:hAnsiTheme="majorHAnsi"/>
          <w:spacing w:val="3"/>
          <w:sz w:val="20"/>
          <w:szCs w:val="20"/>
        </w:rPr>
        <w:t xml:space="preserve"> </w:t>
      </w:r>
      <w:r w:rsidRPr="000977F7">
        <w:rPr>
          <w:rFonts w:asciiTheme="majorHAnsi" w:hAnsiTheme="majorHAnsi"/>
          <w:sz w:val="20"/>
          <w:szCs w:val="20"/>
        </w:rPr>
        <w:t>нормативний</w:t>
      </w:r>
      <w:r w:rsidRPr="000977F7">
        <w:rPr>
          <w:rFonts w:asciiTheme="majorHAnsi" w:hAnsiTheme="majorHAnsi"/>
          <w:spacing w:val="2"/>
          <w:sz w:val="20"/>
          <w:szCs w:val="20"/>
        </w:rPr>
        <w:t xml:space="preserve"> </w:t>
      </w:r>
      <w:r w:rsidRPr="000977F7">
        <w:rPr>
          <w:rFonts w:asciiTheme="majorHAnsi" w:hAnsiTheme="majorHAnsi"/>
          <w:sz w:val="20"/>
          <w:szCs w:val="20"/>
        </w:rPr>
        <w:t>документ,</w:t>
      </w:r>
      <w:r w:rsidRPr="000977F7">
        <w:rPr>
          <w:rFonts w:asciiTheme="majorHAnsi" w:hAnsiTheme="majorHAnsi"/>
          <w:spacing w:val="2"/>
          <w:sz w:val="20"/>
          <w:szCs w:val="20"/>
        </w:rPr>
        <w:t xml:space="preserve"> </w:t>
      </w:r>
      <w:r w:rsidRPr="000977F7">
        <w:rPr>
          <w:rFonts w:asciiTheme="majorHAnsi" w:hAnsiTheme="majorHAnsi"/>
          <w:sz w:val="20"/>
          <w:szCs w:val="20"/>
        </w:rPr>
        <w:t>що</w:t>
      </w:r>
      <w:r w:rsidRPr="000977F7">
        <w:rPr>
          <w:rFonts w:asciiTheme="majorHAnsi" w:hAnsiTheme="majorHAnsi"/>
          <w:spacing w:val="-47"/>
          <w:sz w:val="20"/>
          <w:szCs w:val="20"/>
        </w:rPr>
        <w:t xml:space="preserve"> </w:t>
      </w:r>
      <w:r w:rsidRPr="000977F7">
        <w:rPr>
          <w:rFonts w:asciiTheme="majorHAnsi" w:hAnsiTheme="majorHAnsi"/>
          <w:sz w:val="20"/>
          <w:szCs w:val="20"/>
        </w:rPr>
        <w:t>передбачає</w:t>
      </w:r>
      <w:r w:rsidRPr="000977F7">
        <w:rPr>
          <w:rFonts w:asciiTheme="majorHAnsi" w:hAnsiTheme="majorHAnsi"/>
          <w:spacing w:val="-1"/>
          <w:sz w:val="20"/>
          <w:szCs w:val="20"/>
        </w:rPr>
        <w:t xml:space="preserve"> </w:t>
      </w:r>
      <w:r w:rsidRPr="000977F7">
        <w:rPr>
          <w:rFonts w:asciiTheme="majorHAnsi" w:hAnsiTheme="majorHAnsi"/>
          <w:sz w:val="20"/>
          <w:szCs w:val="20"/>
        </w:rPr>
        <w:t>обов’язковість</w:t>
      </w:r>
      <w:r w:rsidRPr="000977F7">
        <w:rPr>
          <w:rFonts w:asciiTheme="majorHAnsi" w:hAnsiTheme="majorHAnsi"/>
          <w:spacing w:val="-1"/>
          <w:sz w:val="20"/>
          <w:szCs w:val="20"/>
        </w:rPr>
        <w:t xml:space="preserve"> </w:t>
      </w:r>
      <w:r w:rsidRPr="000977F7">
        <w:rPr>
          <w:rFonts w:asciiTheme="majorHAnsi" w:hAnsiTheme="majorHAnsi"/>
          <w:sz w:val="20"/>
          <w:szCs w:val="20"/>
        </w:rPr>
        <w:t>правових</w:t>
      </w:r>
      <w:r w:rsidRPr="000977F7">
        <w:rPr>
          <w:rFonts w:asciiTheme="majorHAnsi" w:hAnsiTheme="majorHAnsi"/>
          <w:spacing w:val="-1"/>
          <w:sz w:val="20"/>
          <w:szCs w:val="20"/>
        </w:rPr>
        <w:t xml:space="preserve"> </w:t>
      </w:r>
      <w:r w:rsidRPr="000977F7">
        <w:rPr>
          <w:rFonts w:asciiTheme="majorHAnsi" w:hAnsiTheme="majorHAnsi"/>
          <w:sz w:val="20"/>
          <w:szCs w:val="20"/>
        </w:rPr>
        <w:t>положень</w:t>
      </w:r>
    </w:p>
    <w:p w14:paraId="6A304AA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 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59ADAD0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РЕГЛАМЕНТОВАНЕ</w:t>
      </w:r>
      <w:r w:rsidRPr="000977F7">
        <w:rPr>
          <w:color w:val="auto"/>
          <w:spacing w:val="-12"/>
          <w:sz w:val="20"/>
          <w:szCs w:val="20"/>
        </w:rPr>
        <w:t xml:space="preserve"> </w:t>
      </w:r>
      <w:r w:rsidRPr="000977F7">
        <w:rPr>
          <w:color w:val="auto"/>
          <w:sz w:val="20"/>
          <w:szCs w:val="20"/>
        </w:rPr>
        <w:t>ЗНАЧЕННЯ</w:t>
      </w:r>
      <w:r w:rsidRPr="000977F7">
        <w:rPr>
          <w:color w:val="auto"/>
          <w:spacing w:val="-11"/>
          <w:sz w:val="20"/>
          <w:szCs w:val="20"/>
        </w:rPr>
        <w:t xml:space="preserve"> </w:t>
      </w:r>
      <w:r w:rsidRPr="000977F7">
        <w:rPr>
          <w:color w:val="auto"/>
          <w:sz w:val="20"/>
          <w:szCs w:val="20"/>
        </w:rPr>
        <w:t>ПОКАЗНИКА</w:t>
      </w:r>
      <w:r w:rsidRPr="000977F7">
        <w:rPr>
          <w:color w:val="auto"/>
          <w:spacing w:val="-47"/>
          <w:sz w:val="20"/>
          <w:szCs w:val="20"/>
        </w:rPr>
        <w:t xml:space="preserve"> </w:t>
      </w:r>
      <w:r w:rsidRPr="000977F7">
        <w:rPr>
          <w:color w:val="auto"/>
          <w:sz w:val="20"/>
          <w:szCs w:val="20"/>
        </w:rPr>
        <w:t>ЯКОСТІ</w:t>
      </w:r>
      <w:r w:rsidRPr="000977F7">
        <w:rPr>
          <w:color w:val="auto"/>
          <w:spacing w:val="-2"/>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76D3F21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Значення</w:t>
      </w:r>
      <w:r w:rsidRPr="000977F7">
        <w:rPr>
          <w:rFonts w:asciiTheme="majorHAnsi" w:hAnsiTheme="majorHAnsi"/>
          <w:spacing w:val="37"/>
          <w:sz w:val="20"/>
          <w:szCs w:val="20"/>
        </w:rPr>
        <w:t xml:space="preserve"> </w:t>
      </w:r>
      <w:r w:rsidRPr="000977F7">
        <w:rPr>
          <w:rFonts w:asciiTheme="majorHAnsi" w:hAnsiTheme="majorHAnsi"/>
          <w:sz w:val="20"/>
          <w:szCs w:val="20"/>
        </w:rPr>
        <w:t>показника</w:t>
      </w:r>
      <w:r w:rsidRPr="000977F7">
        <w:rPr>
          <w:rFonts w:asciiTheme="majorHAnsi" w:hAnsiTheme="majorHAnsi"/>
          <w:spacing w:val="42"/>
          <w:sz w:val="20"/>
          <w:szCs w:val="20"/>
        </w:rPr>
        <w:t xml:space="preserve"> </w:t>
      </w:r>
      <w:r w:rsidRPr="000977F7">
        <w:rPr>
          <w:rFonts w:asciiTheme="majorHAnsi" w:hAnsiTheme="majorHAnsi"/>
          <w:sz w:val="20"/>
          <w:szCs w:val="20"/>
        </w:rPr>
        <w:t>якості</w:t>
      </w:r>
      <w:r w:rsidRPr="000977F7">
        <w:rPr>
          <w:rFonts w:asciiTheme="majorHAnsi" w:hAnsiTheme="majorHAnsi"/>
          <w:spacing w:val="37"/>
          <w:sz w:val="20"/>
          <w:szCs w:val="20"/>
        </w:rPr>
        <w:t xml:space="preserve"> </w:t>
      </w:r>
      <w:r w:rsidRPr="000977F7">
        <w:rPr>
          <w:rFonts w:asciiTheme="majorHAnsi" w:hAnsiTheme="majorHAnsi"/>
          <w:sz w:val="20"/>
          <w:szCs w:val="20"/>
        </w:rPr>
        <w:t>продукції,</w:t>
      </w:r>
      <w:r w:rsidRPr="000977F7">
        <w:rPr>
          <w:rFonts w:asciiTheme="majorHAnsi" w:hAnsiTheme="majorHAnsi"/>
          <w:spacing w:val="38"/>
          <w:sz w:val="20"/>
          <w:szCs w:val="20"/>
        </w:rPr>
        <w:t xml:space="preserve"> </w:t>
      </w:r>
      <w:r w:rsidRPr="000977F7">
        <w:rPr>
          <w:rFonts w:asciiTheme="majorHAnsi" w:hAnsiTheme="majorHAnsi"/>
          <w:sz w:val="20"/>
          <w:szCs w:val="20"/>
        </w:rPr>
        <w:t>встановлене</w:t>
      </w:r>
      <w:r w:rsidRPr="000977F7">
        <w:rPr>
          <w:rFonts w:asciiTheme="majorHAnsi" w:hAnsiTheme="majorHAnsi"/>
          <w:spacing w:val="-47"/>
          <w:sz w:val="20"/>
          <w:szCs w:val="20"/>
        </w:rPr>
        <w:t xml:space="preserve"> </w:t>
      </w:r>
      <w:r w:rsidRPr="000977F7">
        <w:rPr>
          <w:rFonts w:asciiTheme="majorHAnsi" w:hAnsiTheme="majorHAnsi"/>
          <w:sz w:val="20"/>
          <w:szCs w:val="20"/>
        </w:rPr>
        <w:t>нормативною документацією</w:t>
      </w:r>
    </w:p>
    <w:p w14:paraId="3BFBECB8"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РЕГЛАМЕНТОВАНИЙ РИТМ</w:t>
      </w:r>
      <w:r w:rsidRPr="000977F7">
        <w:rPr>
          <w:rFonts w:asciiTheme="majorHAnsi" w:hAnsiTheme="majorHAnsi"/>
          <w:b/>
          <w:spacing w:val="7"/>
          <w:sz w:val="20"/>
          <w:szCs w:val="20"/>
        </w:rPr>
        <w:t xml:space="preserve"> </w:t>
      </w:r>
      <w:r w:rsidRPr="000977F7">
        <w:rPr>
          <w:rFonts w:asciiTheme="majorHAnsi" w:hAnsiTheme="majorHAnsi"/>
          <w:b/>
          <w:sz w:val="20"/>
          <w:szCs w:val="20"/>
        </w:rPr>
        <w:t>–</w:t>
      </w:r>
    </w:p>
    <w:p w14:paraId="4AB532DF"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Організаційно-технічний</w:t>
      </w:r>
      <w:r w:rsidRPr="000977F7">
        <w:rPr>
          <w:rFonts w:asciiTheme="majorHAnsi" w:hAnsiTheme="majorHAnsi"/>
          <w:spacing w:val="1"/>
          <w:sz w:val="20"/>
          <w:szCs w:val="20"/>
        </w:rPr>
        <w:t xml:space="preserve"> </w:t>
      </w:r>
      <w:r w:rsidRPr="000977F7">
        <w:rPr>
          <w:rFonts w:asciiTheme="majorHAnsi" w:hAnsiTheme="majorHAnsi"/>
          <w:sz w:val="20"/>
          <w:szCs w:val="20"/>
        </w:rPr>
        <w:t>розпорядок</w:t>
      </w:r>
      <w:r w:rsidRPr="000977F7">
        <w:rPr>
          <w:rFonts w:asciiTheme="majorHAnsi" w:hAnsiTheme="majorHAnsi"/>
          <w:spacing w:val="1"/>
          <w:sz w:val="20"/>
          <w:szCs w:val="20"/>
        </w:rPr>
        <w:t xml:space="preserve"> </w:t>
      </w:r>
      <w:r w:rsidRPr="000977F7">
        <w:rPr>
          <w:rFonts w:asciiTheme="majorHAnsi" w:hAnsiTheme="majorHAnsi"/>
          <w:sz w:val="20"/>
          <w:szCs w:val="20"/>
        </w:rPr>
        <w:t>функціювання</w:t>
      </w:r>
      <w:r w:rsidRPr="000977F7">
        <w:rPr>
          <w:rFonts w:asciiTheme="majorHAnsi" w:hAnsiTheme="majorHAnsi"/>
          <w:spacing w:val="-47"/>
          <w:sz w:val="20"/>
          <w:szCs w:val="20"/>
        </w:rPr>
        <w:t xml:space="preserve"> </w:t>
      </w:r>
      <w:r w:rsidRPr="000977F7">
        <w:rPr>
          <w:rFonts w:asciiTheme="majorHAnsi" w:hAnsiTheme="majorHAnsi"/>
          <w:sz w:val="20"/>
          <w:szCs w:val="20"/>
        </w:rPr>
        <w:t>потокової</w:t>
      </w:r>
      <w:r w:rsidRPr="000977F7">
        <w:rPr>
          <w:rFonts w:asciiTheme="majorHAnsi" w:hAnsiTheme="majorHAnsi"/>
          <w:spacing w:val="11"/>
          <w:sz w:val="20"/>
          <w:szCs w:val="20"/>
        </w:rPr>
        <w:t xml:space="preserve"> </w:t>
      </w:r>
      <w:r w:rsidRPr="000977F7">
        <w:rPr>
          <w:rFonts w:asciiTheme="majorHAnsi" w:hAnsiTheme="majorHAnsi"/>
          <w:sz w:val="20"/>
          <w:szCs w:val="20"/>
        </w:rPr>
        <w:t>лінії</w:t>
      </w:r>
      <w:r w:rsidRPr="000977F7">
        <w:rPr>
          <w:rFonts w:asciiTheme="majorHAnsi" w:hAnsiTheme="majorHAnsi"/>
          <w:spacing w:val="13"/>
          <w:sz w:val="20"/>
          <w:szCs w:val="20"/>
        </w:rPr>
        <w:t xml:space="preserve"> </w:t>
      </w:r>
      <w:r w:rsidRPr="000977F7">
        <w:rPr>
          <w:rFonts w:asciiTheme="majorHAnsi" w:hAnsiTheme="majorHAnsi"/>
          <w:sz w:val="20"/>
          <w:szCs w:val="20"/>
        </w:rPr>
        <w:t>з</w:t>
      </w:r>
      <w:r w:rsidRPr="000977F7">
        <w:rPr>
          <w:rFonts w:asciiTheme="majorHAnsi" w:hAnsiTheme="majorHAnsi"/>
          <w:spacing w:val="12"/>
          <w:sz w:val="20"/>
          <w:szCs w:val="20"/>
        </w:rPr>
        <w:t xml:space="preserve"> </w:t>
      </w:r>
      <w:r w:rsidRPr="000977F7">
        <w:rPr>
          <w:rFonts w:asciiTheme="majorHAnsi" w:hAnsiTheme="majorHAnsi"/>
          <w:sz w:val="20"/>
          <w:szCs w:val="20"/>
        </w:rPr>
        <w:t>дотриманням</w:t>
      </w:r>
      <w:r w:rsidRPr="000977F7">
        <w:rPr>
          <w:rFonts w:asciiTheme="majorHAnsi" w:hAnsiTheme="majorHAnsi"/>
          <w:spacing w:val="11"/>
          <w:sz w:val="20"/>
          <w:szCs w:val="20"/>
        </w:rPr>
        <w:t xml:space="preserve"> </w:t>
      </w:r>
      <w:r w:rsidRPr="000977F7">
        <w:rPr>
          <w:rFonts w:asciiTheme="majorHAnsi" w:hAnsiTheme="majorHAnsi"/>
          <w:sz w:val="20"/>
          <w:szCs w:val="20"/>
        </w:rPr>
        <w:t>єдиного</w:t>
      </w:r>
      <w:r w:rsidRPr="000977F7">
        <w:rPr>
          <w:rFonts w:asciiTheme="majorHAnsi" w:hAnsiTheme="majorHAnsi"/>
          <w:spacing w:val="12"/>
          <w:sz w:val="20"/>
          <w:szCs w:val="20"/>
        </w:rPr>
        <w:t xml:space="preserve"> </w:t>
      </w:r>
      <w:r w:rsidRPr="000977F7">
        <w:rPr>
          <w:rFonts w:asciiTheme="majorHAnsi" w:hAnsiTheme="majorHAnsi"/>
          <w:sz w:val="20"/>
          <w:szCs w:val="20"/>
        </w:rPr>
        <w:t>розрахункового такту на всіх операціях технологічного процесу</w:t>
      </w:r>
      <w:r w:rsidRPr="000977F7">
        <w:rPr>
          <w:rFonts w:asciiTheme="majorHAnsi" w:hAnsiTheme="majorHAnsi"/>
          <w:spacing w:val="1"/>
          <w:sz w:val="20"/>
          <w:szCs w:val="20"/>
        </w:rPr>
        <w:t xml:space="preserve"> </w:t>
      </w:r>
    </w:p>
    <w:p w14:paraId="246D81A9"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2960</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1813F269"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РЕГЛАМЕНТУВАЛЬНА</w:t>
      </w:r>
      <w:r w:rsidRPr="004D2D14">
        <w:rPr>
          <w:rFonts w:asciiTheme="majorHAnsi" w:hAnsiTheme="majorHAnsi"/>
          <w:b/>
          <w:sz w:val="20"/>
          <w:szCs w:val="20"/>
          <w:lang w:val="en-US"/>
        </w:rPr>
        <w:t xml:space="preserve"> </w:t>
      </w:r>
      <w:r w:rsidRPr="000977F7">
        <w:rPr>
          <w:rFonts w:asciiTheme="majorHAnsi" w:hAnsiTheme="majorHAnsi"/>
          <w:b/>
          <w:sz w:val="20"/>
          <w:szCs w:val="20"/>
        </w:rPr>
        <w:t>ВИМОГА</w:t>
      </w:r>
      <w:r w:rsidRPr="004D2D14">
        <w:rPr>
          <w:rFonts w:asciiTheme="majorHAnsi" w:hAnsiTheme="majorHAnsi"/>
          <w:b/>
          <w:sz w:val="20"/>
          <w:szCs w:val="20"/>
          <w:lang w:val="en-US"/>
        </w:rPr>
        <w:t xml:space="preserve"> -</w:t>
      </w:r>
      <w:r w:rsidRPr="004D2D14">
        <w:rPr>
          <w:rFonts w:asciiTheme="majorHAnsi" w:hAnsiTheme="majorHAnsi"/>
          <w:sz w:val="20"/>
          <w:szCs w:val="20"/>
          <w:lang w:val="en-US"/>
        </w:rPr>
        <w:t>REGULATORY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REQUIREMENT</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w:t>
      </w:r>
    </w:p>
    <w:p w14:paraId="50475A9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Обов’язкова</w:t>
      </w:r>
      <w:r w:rsidRPr="000977F7">
        <w:rPr>
          <w:rFonts w:asciiTheme="majorHAnsi" w:hAnsiTheme="majorHAnsi"/>
          <w:spacing w:val="-7"/>
          <w:sz w:val="20"/>
          <w:szCs w:val="20"/>
        </w:rPr>
        <w:t xml:space="preserve"> </w:t>
      </w:r>
      <w:r w:rsidRPr="000977F7">
        <w:rPr>
          <w:rFonts w:asciiTheme="majorHAnsi" w:hAnsiTheme="majorHAnsi"/>
          <w:sz w:val="20"/>
          <w:szCs w:val="20"/>
        </w:rPr>
        <w:t>вимога,</w:t>
      </w:r>
      <w:r w:rsidRPr="000977F7">
        <w:rPr>
          <w:rFonts w:asciiTheme="majorHAnsi" w:hAnsiTheme="majorHAnsi"/>
          <w:spacing w:val="-3"/>
          <w:sz w:val="20"/>
          <w:szCs w:val="20"/>
        </w:rPr>
        <w:t xml:space="preserve"> </w:t>
      </w:r>
      <w:r w:rsidRPr="000977F7">
        <w:rPr>
          <w:rFonts w:asciiTheme="majorHAnsi" w:hAnsiTheme="majorHAnsi"/>
          <w:sz w:val="20"/>
          <w:szCs w:val="20"/>
        </w:rPr>
        <w:t>установлена</w:t>
      </w:r>
      <w:r w:rsidRPr="000977F7">
        <w:rPr>
          <w:rFonts w:asciiTheme="majorHAnsi" w:hAnsiTheme="majorHAnsi"/>
          <w:spacing w:val="-6"/>
          <w:sz w:val="20"/>
          <w:szCs w:val="20"/>
        </w:rPr>
        <w:t xml:space="preserve"> </w:t>
      </w:r>
      <w:r w:rsidRPr="000977F7">
        <w:rPr>
          <w:rFonts w:asciiTheme="majorHAnsi" w:hAnsiTheme="majorHAnsi"/>
          <w:sz w:val="20"/>
          <w:szCs w:val="20"/>
        </w:rPr>
        <w:t>органом,</w:t>
      </w:r>
      <w:r w:rsidRPr="000977F7">
        <w:rPr>
          <w:rFonts w:asciiTheme="majorHAnsi" w:hAnsiTheme="majorHAnsi"/>
          <w:spacing w:val="-6"/>
          <w:sz w:val="20"/>
          <w:szCs w:val="20"/>
        </w:rPr>
        <w:t xml:space="preserve"> </w:t>
      </w:r>
      <w:r w:rsidRPr="000977F7">
        <w:rPr>
          <w:rFonts w:asciiTheme="majorHAnsi" w:hAnsiTheme="majorHAnsi"/>
          <w:sz w:val="20"/>
          <w:szCs w:val="20"/>
        </w:rPr>
        <w:t>що</w:t>
      </w:r>
      <w:r w:rsidRPr="000977F7">
        <w:rPr>
          <w:rFonts w:asciiTheme="majorHAnsi" w:hAnsiTheme="majorHAnsi"/>
          <w:spacing w:val="-5"/>
          <w:sz w:val="20"/>
          <w:szCs w:val="20"/>
        </w:rPr>
        <w:t xml:space="preserve"> </w:t>
      </w:r>
      <w:r w:rsidRPr="000977F7">
        <w:rPr>
          <w:rFonts w:asciiTheme="majorHAnsi" w:hAnsiTheme="majorHAnsi"/>
          <w:sz w:val="20"/>
          <w:szCs w:val="20"/>
        </w:rPr>
        <w:t>його</w:t>
      </w:r>
      <w:r w:rsidRPr="000977F7">
        <w:rPr>
          <w:rFonts w:asciiTheme="majorHAnsi" w:hAnsiTheme="majorHAnsi"/>
          <w:spacing w:val="-47"/>
          <w:sz w:val="20"/>
          <w:szCs w:val="20"/>
        </w:rPr>
        <w:t xml:space="preserve"> </w:t>
      </w:r>
      <w:r w:rsidRPr="000977F7">
        <w:rPr>
          <w:rFonts w:asciiTheme="majorHAnsi" w:hAnsiTheme="majorHAnsi"/>
          <w:sz w:val="20"/>
          <w:szCs w:val="20"/>
        </w:rPr>
        <w:t>уповноважив</w:t>
      </w:r>
      <w:r w:rsidRPr="000977F7">
        <w:rPr>
          <w:rFonts w:asciiTheme="majorHAnsi" w:hAnsiTheme="majorHAnsi"/>
          <w:spacing w:val="-2"/>
          <w:sz w:val="20"/>
          <w:szCs w:val="20"/>
        </w:rPr>
        <w:t xml:space="preserve"> </w:t>
      </w:r>
      <w:r w:rsidRPr="000977F7">
        <w:rPr>
          <w:rFonts w:asciiTheme="majorHAnsi" w:hAnsiTheme="majorHAnsi"/>
          <w:sz w:val="20"/>
          <w:szCs w:val="20"/>
        </w:rPr>
        <w:t>законодавчий орган</w:t>
      </w:r>
    </w:p>
    <w:p w14:paraId="5C6B58C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ISO</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9000:2015</w:t>
      </w:r>
    </w:p>
    <w:p w14:paraId="1D38AE4B"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iCs/>
          <w:sz w:val="20"/>
          <w:szCs w:val="20"/>
        </w:rPr>
        <w:t>РЕГЛАМЕНТУЮЧИЙ</w:t>
      </w:r>
      <w:r w:rsidRPr="004D2D14">
        <w:rPr>
          <w:rFonts w:asciiTheme="majorHAnsi" w:hAnsiTheme="majorHAnsi"/>
          <w:b/>
          <w:i/>
          <w:spacing w:val="-2"/>
          <w:sz w:val="20"/>
          <w:szCs w:val="20"/>
          <w:lang w:val="en-US"/>
        </w:rPr>
        <w:t xml:space="preserve"> </w:t>
      </w:r>
      <w:r w:rsidRPr="000977F7">
        <w:rPr>
          <w:rFonts w:asciiTheme="majorHAnsi" w:hAnsiTheme="majorHAnsi"/>
          <w:b/>
          <w:sz w:val="20"/>
          <w:szCs w:val="20"/>
        </w:rPr>
        <w:t>ОРГАН</w:t>
      </w:r>
      <w:r w:rsidRPr="004D2D14">
        <w:rPr>
          <w:rFonts w:asciiTheme="majorHAnsi" w:hAnsiTheme="majorHAnsi"/>
          <w:b/>
          <w:spacing w:val="-3"/>
          <w:sz w:val="20"/>
          <w:szCs w:val="20"/>
          <w:lang w:val="en-US"/>
        </w:rPr>
        <w:t xml:space="preserve"> </w:t>
      </w:r>
      <w:r w:rsidRPr="000977F7">
        <w:rPr>
          <w:rFonts w:asciiTheme="majorHAnsi" w:hAnsiTheme="majorHAnsi"/>
          <w:b/>
          <w:sz w:val="20"/>
          <w:szCs w:val="20"/>
        </w:rPr>
        <w:t>ВЛАДИ</w:t>
      </w:r>
      <w:r w:rsidRPr="004D2D14">
        <w:rPr>
          <w:rFonts w:asciiTheme="majorHAnsi" w:hAnsiTheme="majorHAnsi"/>
          <w:b/>
          <w:sz w:val="20"/>
          <w:szCs w:val="20"/>
          <w:lang w:val="en-US"/>
        </w:rPr>
        <w:t xml:space="preserve"> –</w:t>
      </w:r>
      <w:r w:rsidRPr="004D2D14">
        <w:rPr>
          <w:rFonts w:asciiTheme="majorHAnsi" w:hAnsiTheme="majorHAnsi"/>
          <w:sz w:val="20"/>
          <w:szCs w:val="20"/>
          <w:lang w:val="en-US"/>
        </w:rPr>
        <w:t>REGULATORY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AUTHORITY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2283465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 влади, відповідальний за розробку або прийняття</w:t>
      </w:r>
      <w:r w:rsidRPr="000977F7">
        <w:rPr>
          <w:rFonts w:asciiTheme="majorHAnsi" w:hAnsiTheme="majorHAnsi"/>
          <w:spacing w:val="-2"/>
          <w:sz w:val="20"/>
          <w:szCs w:val="20"/>
        </w:rPr>
        <w:t xml:space="preserve"> </w:t>
      </w:r>
      <w:r w:rsidRPr="000977F7">
        <w:rPr>
          <w:rFonts w:asciiTheme="majorHAnsi" w:hAnsiTheme="majorHAnsi"/>
          <w:sz w:val="20"/>
          <w:szCs w:val="20"/>
        </w:rPr>
        <w:t>регламентів</w:t>
      </w:r>
    </w:p>
    <w:p w14:paraId="212E624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РЕГРЕСІЙНИЙ</w:t>
      </w:r>
      <w:r w:rsidRPr="000977F7">
        <w:rPr>
          <w:color w:val="auto"/>
          <w:spacing w:val="-4"/>
          <w:sz w:val="20"/>
          <w:szCs w:val="20"/>
        </w:rPr>
        <w:t xml:space="preserve"> </w:t>
      </w:r>
      <w:r w:rsidRPr="000977F7">
        <w:rPr>
          <w:color w:val="auto"/>
          <w:sz w:val="20"/>
          <w:szCs w:val="20"/>
        </w:rPr>
        <w:t>АНАЛІЗ</w:t>
      </w:r>
      <w:r w:rsidRPr="000977F7">
        <w:rPr>
          <w:color w:val="auto"/>
          <w:spacing w:val="-2"/>
          <w:sz w:val="20"/>
          <w:szCs w:val="20"/>
        </w:rPr>
        <w:t xml:space="preserve"> </w:t>
      </w:r>
      <w:r w:rsidRPr="000977F7">
        <w:rPr>
          <w:color w:val="auto"/>
          <w:sz w:val="20"/>
          <w:szCs w:val="20"/>
        </w:rPr>
        <w:t>–</w:t>
      </w:r>
    </w:p>
    <w:p w14:paraId="0B7E16F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Статистичний метод аналізу і обробки експериментальних даних при впливі на відгук тільки кількісних</w:t>
      </w:r>
      <w:r w:rsidRPr="000977F7">
        <w:rPr>
          <w:rFonts w:asciiTheme="majorHAnsi" w:hAnsiTheme="majorHAnsi"/>
          <w:spacing w:val="1"/>
          <w:sz w:val="20"/>
          <w:szCs w:val="20"/>
        </w:rPr>
        <w:t xml:space="preserve"> </w:t>
      </w:r>
      <w:r w:rsidRPr="000977F7">
        <w:rPr>
          <w:rFonts w:asciiTheme="majorHAnsi" w:hAnsiTheme="majorHAnsi"/>
          <w:sz w:val="20"/>
          <w:szCs w:val="20"/>
        </w:rPr>
        <w:t>факторів,</w:t>
      </w:r>
      <w:r w:rsidRPr="000977F7">
        <w:rPr>
          <w:rFonts w:asciiTheme="majorHAnsi" w:hAnsiTheme="majorHAnsi"/>
          <w:spacing w:val="1"/>
          <w:sz w:val="20"/>
          <w:szCs w:val="20"/>
        </w:rPr>
        <w:t xml:space="preserve"> </w:t>
      </w:r>
      <w:r w:rsidRPr="000977F7">
        <w:rPr>
          <w:rFonts w:asciiTheme="majorHAnsi" w:hAnsiTheme="majorHAnsi"/>
          <w:sz w:val="20"/>
          <w:szCs w:val="20"/>
        </w:rPr>
        <w:t>заснований</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сполученні</w:t>
      </w:r>
      <w:r w:rsidRPr="000977F7">
        <w:rPr>
          <w:rFonts w:asciiTheme="majorHAnsi" w:hAnsiTheme="majorHAnsi"/>
          <w:spacing w:val="1"/>
          <w:sz w:val="20"/>
          <w:szCs w:val="20"/>
        </w:rPr>
        <w:t xml:space="preserve"> </w:t>
      </w:r>
      <w:r w:rsidRPr="000977F7">
        <w:rPr>
          <w:rFonts w:asciiTheme="majorHAnsi" w:hAnsiTheme="majorHAnsi"/>
          <w:sz w:val="20"/>
          <w:szCs w:val="20"/>
        </w:rPr>
        <w:t>апарата</w:t>
      </w:r>
      <w:r w:rsidRPr="000977F7">
        <w:rPr>
          <w:rFonts w:asciiTheme="majorHAnsi" w:hAnsiTheme="majorHAnsi"/>
          <w:spacing w:val="1"/>
          <w:sz w:val="20"/>
          <w:szCs w:val="20"/>
        </w:rPr>
        <w:t xml:space="preserve"> </w:t>
      </w:r>
      <w:r w:rsidRPr="000977F7">
        <w:rPr>
          <w:rFonts w:asciiTheme="majorHAnsi" w:hAnsiTheme="majorHAnsi"/>
          <w:sz w:val="20"/>
          <w:szCs w:val="20"/>
        </w:rPr>
        <w:t>методу</w:t>
      </w:r>
      <w:r w:rsidRPr="000977F7">
        <w:rPr>
          <w:rFonts w:asciiTheme="majorHAnsi" w:hAnsiTheme="majorHAnsi"/>
          <w:spacing w:val="-47"/>
          <w:sz w:val="20"/>
          <w:szCs w:val="20"/>
        </w:rPr>
        <w:t xml:space="preserve"> </w:t>
      </w:r>
      <w:r w:rsidRPr="000977F7">
        <w:rPr>
          <w:rFonts w:asciiTheme="majorHAnsi" w:hAnsiTheme="majorHAnsi"/>
          <w:sz w:val="20"/>
          <w:szCs w:val="20"/>
        </w:rPr>
        <w:t>найменших квадратів і техніки статистичної перевірки</w:t>
      </w:r>
      <w:r w:rsidRPr="000977F7">
        <w:rPr>
          <w:rFonts w:asciiTheme="majorHAnsi" w:hAnsiTheme="majorHAnsi"/>
          <w:spacing w:val="-2"/>
          <w:sz w:val="20"/>
          <w:szCs w:val="20"/>
        </w:rPr>
        <w:t xml:space="preserve"> </w:t>
      </w:r>
      <w:r w:rsidRPr="000977F7">
        <w:rPr>
          <w:rFonts w:asciiTheme="majorHAnsi" w:hAnsiTheme="majorHAnsi"/>
          <w:sz w:val="20"/>
          <w:szCs w:val="20"/>
        </w:rPr>
        <w:t>гіпотез</w:t>
      </w:r>
    </w:p>
    <w:p w14:paraId="7F44BAC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РЕГУЛЮВАННЯ</w:t>
      </w:r>
      <w:r w:rsidRPr="000977F7">
        <w:rPr>
          <w:color w:val="auto"/>
          <w:spacing w:val="-3"/>
          <w:sz w:val="20"/>
          <w:szCs w:val="20"/>
        </w:rPr>
        <w:t xml:space="preserve"> </w:t>
      </w:r>
      <w:r w:rsidRPr="000977F7">
        <w:rPr>
          <w:color w:val="auto"/>
          <w:sz w:val="20"/>
          <w:szCs w:val="20"/>
        </w:rPr>
        <w:t>–</w:t>
      </w:r>
    </w:p>
    <w:p w14:paraId="0ABE607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Загальна</w:t>
      </w:r>
      <w:r w:rsidRPr="000977F7">
        <w:rPr>
          <w:rFonts w:asciiTheme="majorHAnsi" w:hAnsiTheme="majorHAnsi"/>
          <w:spacing w:val="1"/>
          <w:sz w:val="20"/>
          <w:szCs w:val="20"/>
        </w:rPr>
        <w:t xml:space="preserve"> </w:t>
      </w:r>
      <w:r w:rsidRPr="000977F7">
        <w:rPr>
          <w:rFonts w:asciiTheme="majorHAnsi" w:hAnsiTheme="majorHAnsi"/>
          <w:sz w:val="20"/>
          <w:szCs w:val="20"/>
        </w:rPr>
        <w:t>функція</w:t>
      </w:r>
      <w:r w:rsidRPr="000977F7">
        <w:rPr>
          <w:rFonts w:asciiTheme="majorHAnsi" w:hAnsiTheme="majorHAnsi"/>
          <w:spacing w:val="1"/>
          <w:sz w:val="20"/>
          <w:szCs w:val="20"/>
        </w:rPr>
        <w:t xml:space="preserve"> </w:t>
      </w:r>
      <w:r w:rsidRPr="000977F7">
        <w:rPr>
          <w:rFonts w:asciiTheme="majorHAnsi" w:hAnsiTheme="majorHAnsi"/>
          <w:sz w:val="20"/>
          <w:szCs w:val="20"/>
        </w:rPr>
        <w:t>керування,</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полягає</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підтриманні необхідного співвідношення між різними елементами системи, ліквідації можливих відхилень від</w:t>
      </w:r>
      <w:r w:rsidRPr="000977F7">
        <w:rPr>
          <w:rFonts w:asciiTheme="majorHAnsi" w:hAnsiTheme="majorHAnsi"/>
          <w:spacing w:val="1"/>
          <w:sz w:val="20"/>
          <w:szCs w:val="20"/>
        </w:rPr>
        <w:t xml:space="preserve"> </w:t>
      </w:r>
      <w:r w:rsidRPr="000977F7">
        <w:rPr>
          <w:rFonts w:asciiTheme="majorHAnsi" w:hAnsiTheme="majorHAnsi"/>
          <w:sz w:val="20"/>
          <w:szCs w:val="20"/>
        </w:rPr>
        <w:t>планових завдань у процесі функціювання керованого</w:t>
      </w:r>
      <w:r w:rsidRPr="000977F7">
        <w:rPr>
          <w:rFonts w:asciiTheme="majorHAnsi" w:hAnsiTheme="majorHAnsi"/>
          <w:spacing w:val="5"/>
          <w:sz w:val="20"/>
          <w:szCs w:val="20"/>
        </w:rPr>
        <w:t xml:space="preserve"> </w:t>
      </w:r>
      <w:r w:rsidRPr="000977F7">
        <w:rPr>
          <w:rFonts w:asciiTheme="majorHAnsi" w:hAnsiTheme="majorHAnsi"/>
          <w:sz w:val="20"/>
          <w:szCs w:val="20"/>
        </w:rPr>
        <w:t>об’єкта</w:t>
      </w:r>
    </w:p>
    <w:p w14:paraId="4486F4D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86CC15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РЕГУЛЮВАННЯ ПАРАМЕТРА ЕЛЕКТРИЧНОЇ</w:t>
      </w:r>
      <w:r w:rsidRPr="000977F7">
        <w:rPr>
          <w:color w:val="auto"/>
          <w:spacing w:val="-47"/>
          <w:sz w:val="20"/>
          <w:szCs w:val="20"/>
        </w:rPr>
        <w:t xml:space="preserve"> </w:t>
      </w:r>
      <w:r w:rsidRPr="000977F7">
        <w:rPr>
          <w:color w:val="auto"/>
          <w:sz w:val="20"/>
          <w:szCs w:val="20"/>
        </w:rPr>
        <w:t>ЕНЕРГІЇ</w:t>
      </w:r>
      <w:r w:rsidRPr="000977F7">
        <w:rPr>
          <w:color w:val="auto"/>
          <w:spacing w:val="-1"/>
          <w:sz w:val="20"/>
          <w:szCs w:val="20"/>
        </w:rPr>
        <w:t xml:space="preserve"> </w:t>
      </w:r>
      <w:r w:rsidRPr="000977F7">
        <w:rPr>
          <w:color w:val="auto"/>
          <w:sz w:val="20"/>
          <w:szCs w:val="20"/>
        </w:rPr>
        <w:t>–</w:t>
      </w:r>
    </w:p>
    <w:p w14:paraId="4F42E90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Зміна параметра електричної енергії за заданим законом чи підтримування його значення в заданих межах</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заданою точністю</w:t>
      </w:r>
    </w:p>
    <w:p w14:paraId="54F255A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6FCCFCFF"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РЕГУЛЯРНЕ НАВАНТАЖУВАННЯ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2612C33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REGULAR</w:t>
      </w:r>
      <w:r w:rsidRPr="000977F7">
        <w:rPr>
          <w:rFonts w:asciiTheme="majorHAnsi" w:hAnsiTheme="majorHAnsi"/>
          <w:spacing w:val="-2"/>
          <w:sz w:val="20"/>
          <w:szCs w:val="20"/>
        </w:rPr>
        <w:t xml:space="preserve"> </w:t>
      </w:r>
      <w:r w:rsidRPr="000977F7">
        <w:rPr>
          <w:rFonts w:asciiTheme="majorHAnsi" w:hAnsiTheme="majorHAnsi"/>
          <w:sz w:val="20"/>
          <w:szCs w:val="20"/>
        </w:rPr>
        <w:t>LOADING</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8D7E3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Навантажування,</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характеризується</w:t>
      </w:r>
      <w:r w:rsidRPr="000977F7">
        <w:rPr>
          <w:rFonts w:asciiTheme="majorHAnsi" w:hAnsiTheme="majorHAnsi"/>
          <w:spacing w:val="1"/>
          <w:sz w:val="20"/>
          <w:szCs w:val="20"/>
        </w:rPr>
        <w:t xml:space="preserve"> </w:t>
      </w:r>
      <w:r w:rsidRPr="000977F7">
        <w:rPr>
          <w:rFonts w:asciiTheme="majorHAnsi" w:hAnsiTheme="majorHAnsi"/>
          <w:sz w:val="20"/>
          <w:szCs w:val="20"/>
        </w:rPr>
        <w:t>періодичним</w:t>
      </w:r>
      <w:r w:rsidRPr="000977F7">
        <w:rPr>
          <w:rFonts w:asciiTheme="majorHAnsi" w:hAnsiTheme="majorHAnsi"/>
          <w:spacing w:val="1"/>
          <w:sz w:val="20"/>
          <w:szCs w:val="20"/>
        </w:rPr>
        <w:t xml:space="preserve"> </w:t>
      </w:r>
      <w:r w:rsidRPr="000977F7">
        <w:rPr>
          <w:rFonts w:asciiTheme="majorHAnsi" w:hAnsiTheme="majorHAnsi"/>
          <w:sz w:val="20"/>
          <w:szCs w:val="20"/>
        </w:rPr>
        <w:t>законом навантажування з одним максимумом і одним мінімумом протягом одного періоду за сталості</w:t>
      </w:r>
      <w:r w:rsidRPr="000977F7">
        <w:rPr>
          <w:rFonts w:asciiTheme="majorHAnsi" w:hAnsiTheme="majorHAnsi"/>
          <w:spacing w:val="1"/>
          <w:sz w:val="20"/>
          <w:szCs w:val="20"/>
        </w:rPr>
        <w:t xml:space="preserve"> </w:t>
      </w:r>
      <w:r w:rsidRPr="000977F7">
        <w:rPr>
          <w:rFonts w:asciiTheme="majorHAnsi" w:hAnsiTheme="majorHAnsi"/>
          <w:sz w:val="20"/>
          <w:szCs w:val="20"/>
        </w:rPr>
        <w:t>параметрів</w:t>
      </w:r>
      <w:r w:rsidRPr="000977F7">
        <w:rPr>
          <w:rFonts w:asciiTheme="majorHAnsi" w:hAnsiTheme="majorHAnsi"/>
          <w:spacing w:val="1"/>
          <w:sz w:val="20"/>
          <w:szCs w:val="20"/>
        </w:rPr>
        <w:t xml:space="preserve"> </w:t>
      </w:r>
      <w:r w:rsidRPr="000977F7">
        <w:rPr>
          <w:rFonts w:asciiTheme="majorHAnsi" w:hAnsiTheme="majorHAnsi"/>
          <w:sz w:val="20"/>
          <w:szCs w:val="20"/>
        </w:rPr>
        <w:t>циклу</w:t>
      </w:r>
      <w:r w:rsidRPr="000977F7">
        <w:rPr>
          <w:rFonts w:asciiTheme="majorHAnsi" w:hAnsiTheme="majorHAnsi"/>
          <w:spacing w:val="1"/>
          <w:sz w:val="20"/>
          <w:szCs w:val="20"/>
        </w:rPr>
        <w:t xml:space="preserve"> </w:t>
      </w:r>
      <w:r w:rsidRPr="000977F7">
        <w:rPr>
          <w:rFonts w:asciiTheme="majorHAnsi" w:hAnsiTheme="majorHAnsi"/>
          <w:sz w:val="20"/>
          <w:szCs w:val="20"/>
        </w:rPr>
        <w:t>навантажування</w:t>
      </w:r>
      <w:r w:rsidRPr="000977F7">
        <w:rPr>
          <w:rFonts w:asciiTheme="majorHAnsi" w:hAnsiTheme="majorHAnsi"/>
          <w:spacing w:val="1"/>
          <w:sz w:val="20"/>
          <w:szCs w:val="20"/>
        </w:rPr>
        <w:t xml:space="preserve"> </w:t>
      </w:r>
      <w:r w:rsidRPr="000977F7">
        <w:rPr>
          <w:rFonts w:asciiTheme="majorHAnsi" w:hAnsiTheme="majorHAnsi"/>
          <w:sz w:val="20"/>
          <w:szCs w:val="20"/>
        </w:rPr>
        <w:t>впродовж</w:t>
      </w:r>
      <w:r w:rsidRPr="000977F7">
        <w:rPr>
          <w:rFonts w:asciiTheme="majorHAnsi" w:hAnsiTheme="majorHAnsi"/>
          <w:spacing w:val="1"/>
          <w:sz w:val="20"/>
          <w:szCs w:val="20"/>
        </w:rPr>
        <w:t xml:space="preserve"> </w:t>
      </w:r>
      <w:r w:rsidRPr="000977F7">
        <w:rPr>
          <w:rFonts w:asciiTheme="majorHAnsi" w:hAnsiTheme="majorHAnsi"/>
          <w:sz w:val="20"/>
          <w:szCs w:val="20"/>
        </w:rPr>
        <w:t>усього</w:t>
      </w:r>
      <w:r w:rsidRPr="000977F7">
        <w:rPr>
          <w:rFonts w:asciiTheme="majorHAnsi" w:hAnsiTheme="majorHAnsi"/>
          <w:spacing w:val="-47"/>
          <w:sz w:val="20"/>
          <w:szCs w:val="20"/>
        </w:rPr>
        <w:t xml:space="preserve"> </w:t>
      </w:r>
      <w:r w:rsidRPr="000977F7">
        <w:rPr>
          <w:rFonts w:asciiTheme="majorHAnsi" w:hAnsiTheme="majorHAnsi"/>
          <w:sz w:val="20"/>
          <w:szCs w:val="20"/>
        </w:rPr>
        <w:t>часу</w:t>
      </w:r>
      <w:r w:rsidRPr="000977F7">
        <w:rPr>
          <w:rFonts w:asciiTheme="majorHAnsi" w:hAnsiTheme="majorHAnsi"/>
          <w:spacing w:val="-5"/>
          <w:sz w:val="20"/>
          <w:szCs w:val="20"/>
        </w:rPr>
        <w:t xml:space="preserve"> </w:t>
      </w:r>
      <w:r w:rsidRPr="000977F7">
        <w:rPr>
          <w:rFonts w:asciiTheme="majorHAnsi" w:hAnsiTheme="majorHAnsi"/>
          <w:sz w:val="20"/>
          <w:szCs w:val="20"/>
        </w:rPr>
        <w:t>випробувань чи</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експлуатації</w:t>
      </w:r>
    </w:p>
    <w:p w14:paraId="4D31542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2444 - 94</w:t>
      </w:r>
    </w:p>
    <w:p w14:paraId="787592CF"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lang w:eastAsia="ru-RU"/>
        </w:rPr>
      </w:pPr>
      <w:r w:rsidRPr="000977F7">
        <w:rPr>
          <w:rFonts w:asciiTheme="majorHAnsi" w:hAnsiTheme="majorHAnsi"/>
          <w:b/>
          <w:bCs/>
          <w:sz w:val="20"/>
          <w:szCs w:val="20"/>
          <w:lang w:eastAsia="ru-RU"/>
        </w:rPr>
        <w:t>РЕГУЛЯТОР ШВИДКОСТІ –</w:t>
      </w:r>
    </w:p>
    <w:p w14:paraId="518E161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Силовий електронний перетворювач, який безперервно перетворює електроенергію, яка подається на електродвигун для того, щоб регулювати механічну потужність електродвигуна відповідно до характеристик навантаження, пов’язаних з обертальним моментом (приводиться в рух двигуном), адаптуючи роботу трифазового 50-герцового блоку електроживлення до змінної частоти та напруги, яка подається на двигун</w:t>
      </w:r>
    </w:p>
    <w:p w14:paraId="52F1889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Технічний регламент щодо вимог до екодизайну для електродвигунів</w:t>
      </w:r>
    </w:p>
    <w:p w14:paraId="17118004"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bookmarkStart w:id="242" w:name="_Hlk103671976"/>
      <w:r w:rsidRPr="000977F7">
        <w:rPr>
          <w:rFonts w:asciiTheme="majorHAnsi" w:hAnsiTheme="majorHAnsi"/>
          <w:b/>
          <w:bCs/>
          <w:sz w:val="20"/>
          <w:szCs w:val="20"/>
        </w:rPr>
        <w:t>РЕГУЛЬОВАНА ОГОРОЖА –</w:t>
      </w:r>
    </w:p>
    <w:p w14:paraId="1568E2A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ADJUSTABLE GUARD -</w:t>
      </w:r>
    </w:p>
    <w:bookmarkEnd w:id="242"/>
    <w:p w14:paraId="73CC32A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Нерухома чи рухома огорожа, яку можна регулювати цілком або яка має регульовані частини </w:t>
      </w:r>
    </w:p>
    <w:p w14:paraId="7BBF1E08"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6DF0072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РЕЄСТРАЦІЙНИЙ</w:t>
      </w:r>
      <w:r w:rsidRPr="000977F7">
        <w:rPr>
          <w:color w:val="auto"/>
          <w:spacing w:val="-4"/>
          <w:sz w:val="20"/>
          <w:szCs w:val="20"/>
        </w:rPr>
        <w:t xml:space="preserve"> </w:t>
      </w:r>
      <w:r w:rsidRPr="000977F7">
        <w:rPr>
          <w:color w:val="auto"/>
          <w:sz w:val="20"/>
          <w:szCs w:val="20"/>
        </w:rPr>
        <w:t>КОНТРОЛЬ</w:t>
      </w:r>
      <w:r w:rsidRPr="000977F7">
        <w:rPr>
          <w:color w:val="auto"/>
          <w:spacing w:val="-1"/>
          <w:sz w:val="20"/>
          <w:szCs w:val="20"/>
        </w:rPr>
        <w:t xml:space="preserve"> </w:t>
      </w:r>
      <w:r w:rsidRPr="000977F7">
        <w:rPr>
          <w:color w:val="auto"/>
          <w:sz w:val="20"/>
          <w:szCs w:val="20"/>
        </w:rPr>
        <w:t>–</w:t>
      </w:r>
    </w:p>
    <w:p w14:paraId="2C4E37F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REGISTRATION</w:t>
      </w:r>
      <w:r w:rsidRPr="000977F7">
        <w:rPr>
          <w:rFonts w:asciiTheme="majorHAnsi" w:hAnsiTheme="majorHAnsi"/>
          <w:spacing w:val="-3"/>
          <w:sz w:val="20"/>
          <w:szCs w:val="20"/>
        </w:rPr>
        <w:t xml:space="preserve"> </w:t>
      </w:r>
      <w:r w:rsidRPr="000977F7">
        <w:rPr>
          <w:rFonts w:asciiTheme="majorHAnsi" w:hAnsiTheme="majorHAnsi"/>
          <w:sz w:val="20"/>
          <w:szCs w:val="20"/>
        </w:rPr>
        <w:t>CONTROL</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FC58A0B"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sz w:val="20"/>
          <w:szCs w:val="20"/>
        </w:rPr>
        <w:t>Контроль, що проводиться реєстрацією значень контрольованих</w:t>
      </w:r>
      <w:r w:rsidRPr="000977F7">
        <w:rPr>
          <w:rFonts w:asciiTheme="majorHAnsi" w:hAnsiTheme="majorHAnsi"/>
          <w:spacing w:val="-3"/>
          <w:sz w:val="20"/>
          <w:szCs w:val="20"/>
        </w:rPr>
        <w:t xml:space="preserve"> </w:t>
      </w:r>
      <w:r w:rsidRPr="000977F7">
        <w:rPr>
          <w:rFonts w:asciiTheme="majorHAnsi" w:hAnsiTheme="majorHAnsi"/>
          <w:sz w:val="20"/>
          <w:szCs w:val="20"/>
        </w:rPr>
        <w:t>параметрів</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2"/>
          <w:sz w:val="20"/>
          <w:szCs w:val="20"/>
        </w:rPr>
        <w:t xml:space="preserve"> </w:t>
      </w:r>
      <w:r w:rsidRPr="000977F7">
        <w:rPr>
          <w:rFonts w:asciiTheme="majorHAnsi" w:hAnsiTheme="majorHAnsi"/>
          <w:sz w:val="20"/>
          <w:szCs w:val="20"/>
        </w:rPr>
        <w:t>чи процесів</w:t>
      </w:r>
    </w:p>
    <w:p w14:paraId="684DB23E"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1"/>
          <w:sz w:val="20"/>
          <w:szCs w:val="20"/>
        </w:rPr>
        <w:t xml:space="preserve"> </w:t>
      </w:r>
      <w:r w:rsidRPr="000977F7">
        <w:rPr>
          <w:rFonts w:asciiTheme="majorHAnsi" w:hAnsiTheme="majorHAnsi"/>
          <w:i/>
          <w:iCs/>
          <w:sz w:val="20"/>
          <w:szCs w:val="20"/>
        </w:rPr>
        <w:t>3021</w:t>
      </w:r>
      <w:r w:rsidRPr="000977F7">
        <w:rPr>
          <w:rFonts w:asciiTheme="majorHAnsi" w:hAnsiTheme="majorHAnsi"/>
          <w:i/>
          <w:iCs/>
          <w:spacing w:val="2"/>
          <w:sz w:val="20"/>
          <w:szCs w:val="20"/>
        </w:rPr>
        <w:t xml:space="preserve"> </w:t>
      </w:r>
      <w:r w:rsidRPr="000977F7">
        <w:rPr>
          <w:rFonts w:asciiTheme="majorHAnsi" w:hAnsiTheme="majorHAnsi"/>
          <w:i/>
          <w:iCs/>
          <w:sz w:val="20"/>
          <w:szCs w:val="20"/>
        </w:rPr>
        <w:t>– 95</w:t>
      </w:r>
    </w:p>
    <w:p w14:paraId="07BBE418"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РЕЄСТРАЦІЙНИЙ</w:t>
      </w:r>
      <w:r w:rsidRPr="000977F7">
        <w:rPr>
          <w:rFonts w:asciiTheme="majorHAnsi" w:hAnsiTheme="majorHAnsi"/>
          <w:b/>
          <w:spacing w:val="5"/>
          <w:sz w:val="20"/>
          <w:szCs w:val="20"/>
        </w:rPr>
        <w:t xml:space="preserve"> </w:t>
      </w:r>
      <w:r w:rsidRPr="000977F7">
        <w:rPr>
          <w:rFonts w:asciiTheme="majorHAnsi" w:hAnsiTheme="majorHAnsi"/>
          <w:b/>
          <w:sz w:val="20"/>
          <w:szCs w:val="20"/>
        </w:rPr>
        <w:t>МЕТОД</w:t>
      </w:r>
      <w:r w:rsidRPr="000977F7">
        <w:rPr>
          <w:rFonts w:asciiTheme="majorHAnsi" w:hAnsiTheme="majorHAnsi"/>
          <w:b/>
          <w:spacing w:val="7"/>
          <w:sz w:val="20"/>
          <w:szCs w:val="20"/>
        </w:rPr>
        <w:t xml:space="preserve"> </w:t>
      </w:r>
      <w:r w:rsidRPr="000977F7">
        <w:rPr>
          <w:rFonts w:asciiTheme="majorHAnsi" w:hAnsiTheme="majorHAnsi"/>
          <w:b/>
          <w:sz w:val="20"/>
          <w:szCs w:val="20"/>
        </w:rPr>
        <w:t>ВИЗНАЧЕННЯ</w:t>
      </w:r>
      <w:r w:rsidRPr="000977F7">
        <w:rPr>
          <w:rFonts w:asciiTheme="majorHAnsi" w:hAnsiTheme="majorHAnsi"/>
          <w:b/>
          <w:spacing w:val="5"/>
          <w:sz w:val="20"/>
          <w:szCs w:val="20"/>
        </w:rPr>
        <w:t xml:space="preserve"> </w:t>
      </w:r>
      <w:r w:rsidRPr="000977F7">
        <w:rPr>
          <w:rFonts w:asciiTheme="majorHAnsi" w:hAnsiTheme="majorHAnsi"/>
          <w:b/>
          <w:sz w:val="20"/>
          <w:szCs w:val="20"/>
        </w:rPr>
        <w:t>ПОКАЗНИКІВ</w:t>
      </w:r>
      <w:r w:rsidRPr="000977F7">
        <w:rPr>
          <w:rFonts w:asciiTheme="majorHAnsi" w:hAnsiTheme="majorHAnsi"/>
          <w:b/>
          <w:spacing w:val="-3"/>
          <w:sz w:val="20"/>
          <w:szCs w:val="20"/>
        </w:rPr>
        <w:t xml:space="preserve"> </w:t>
      </w:r>
      <w:r w:rsidRPr="000977F7">
        <w:rPr>
          <w:rFonts w:asciiTheme="majorHAnsi" w:hAnsiTheme="majorHAnsi"/>
          <w:b/>
          <w:sz w:val="20"/>
          <w:szCs w:val="20"/>
        </w:rPr>
        <w:t>ЯКОСТІ</w:t>
      </w:r>
      <w:r w:rsidRPr="000977F7">
        <w:rPr>
          <w:rFonts w:asciiTheme="majorHAnsi" w:hAnsiTheme="majorHAnsi"/>
          <w:b/>
          <w:spacing w:val="-5"/>
          <w:sz w:val="20"/>
          <w:szCs w:val="20"/>
        </w:rPr>
        <w:t xml:space="preserve"> </w:t>
      </w:r>
      <w:r w:rsidRPr="000977F7">
        <w:rPr>
          <w:rFonts w:asciiTheme="majorHAnsi" w:hAnsiTheme="majorHAnsi"/>
          <w:b/>
          <w:sz w:val="20"/>
          <w:szCs w:val="20"/>
        </w:rPr>
        <w:t>ПРОГРАМНОГО</w:t>
      </w:r>
      <w:r w:rsidRPr="000977F7">
        <w:rPr>
          <w:rFonts w:asciiTheme="majorHAnsi" w:hAnsiTheme="majorHAnsi"/>
          <w:b/>
          <w:spacing w:val="-2"/>
          <w:sz w:val="20"/>
          <w:szCs w:val="20"/>
        </w:rPr>
        <w:t xml:space="preserve"> </w:t>
      </w:r>
      <w:r w:rsidRPr="000977F7">
        <w:rPr>
          <w:rFonts w:asciiTheme="majorHAnsi" w:hAnsiTheme="majorHAnsi"/>
          <w:b/>
          <w:sz w:val="20"/>
          <w:szCs w:val="20"/>
        </w:rPr>
        <w:t>ЗАСОБУ</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4E2A31F4"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sz w:val="20"/>
          <w:szCs w:val="20"/>
        </w:rPr>
        <w:lastRenderedPageBreak/>
        <w:t>Метод визначення значень показників якості програмного засобу, який здійснюється на основі підрахунків певних подій під час випробування чи використання</w:t>
      </w:r>
      <w:r w:rsidRPr="000977F7">
        <w:rPr>
          <w:rFonts w:asciiTheme="majorHAnsi" w:hAnsiTheme="majorHAnsi"/>
          <w:spacing w:val="-2"/>
          <w:sz w:val="20"/>
          <w:szCs w:val="20"/>
        </w:rPr>
        <w:t xml:space="preserve"> </w:t>
      </w:r>
      <w:r w:rsidRPr="000977F7">
        <w:rPr>
          <w:rFonts w:asciiTheme="majorHAnsi" w:hAnsiTheme="majorHAnsi"/>
          <w:sz w:val="20"/>
          <w:szCs w:val="20"/>
        </w:rPr>
        <w:t>програмного засобу</w:t>
      </w:r>
      <w:r w:rsidRPr="000977F7">
        <w:rPr>
          <w:rFonts w:asciiTheme="majorHAnsi" w:hAnsiTheme="majorHAnsi"/>
          <w:spacing w:val="-5"/>
          <w:sz w:val="20"/>
          <w:szCs w:val="20"/>
        </w:rPr>
        <w:t xml:space="preserve"> </w:t>
      </w:r>
      <w:r w:rsidRPr="000977F7">
        <w:rPr>
          <w:rFonts w:asciiTheme="majorHAnsi" w:hAnsiTheme="majorHAnsi"/>
          <w:sz w:val="20"/>
          <w:szCs w:val="20"/>
        </w:rPr>
        <w:t>за</w:t>
      </w:r>
      <w:r w:rsidRPr="000977F7">
        <w:rPr>
          <w:rFonts w:asciiTheme="majorHAnsi" w:hAnsiTheme="majorHAnsi"/>
          <w:spacing w:val="3"/>
          <w:sz w:val="20"/>
          <w:szCs w:val="20"/>
        </w:rPr>
        <w:t xml:space="preserve"> </w:t>
      </w:r>
      <w:r w:rsidRPr="000977F7">
        <w:rPr>
          <w:rFonts w:asciiTheme="majorHAnsi" w:hAnsiTheme="majorHAnsi"/>
          <w:sz w:val="20"/>
          <w:szCs w:val="20"/>
        </w:rPr>
        <w:t>призначенням</w:t>
      </w:r>
    </w:p>
    <w:p w14:paraId="43CB3130"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1"/>
          <w:sz w:val="20"/>
          <w:szCs w:val="20"/>
        </w:rPr>
        <w:t xml:space="preserve"> </w:t>
      </w:r>
      <w:r w:rsidRPr="000977F7">
        <w:rPr>
          <w:rFonts w:asciiTheme="majorHAnsi" w:hAnsiTheme="majorHAnsi"/>
          <w:i/>
          <w:iCs/>
          <w:sz w:val="20"/>
          <w:szCs w:val="20"/>
        </w:rPr>
        <w:t>2844 - 94</w:t>
      </w:r>
    </w:p>
    <w:p w14:paraId="652AC63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РЕЄСТРАЦІЙНИЙ МЕТОД ВИЗНАЧЕННЯ </w:t>
      </w:r>
    </w:p>
    <w:p w14:paraId="35032CA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w:t>
      </w:r>
      <w:r w:rsidRPr="000977F7">
        <w:rPr>
          <w:color w:val="auto"/>
          <w:spacing w:val="-47"/>
          <w:sz w:val="20"/>
          <w:szCs w:val="20"/>
        </w:rPr>
        <w:t xml:space="preserve"> </w:t>
      </w:r>
      <w:r w:rsidRPr="000977F7">
        <w:rPr>
          <w:color w:val="auto"/>
          <w:sz w:val="20"/>
          <w:szCs w:val="20"/>
        </w:rPr>
        <w:t>КАЗНИКІВ ЯКОСТІ</w:t>
      </w:r>
      <w:r w:rsidRPr="000977F7">
        <w:rPr>
          <w:color w:val="auto"/>
          <w:spacing w:val="-2"/>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55D417F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визначення показників якості продукції, який</w:t>
      </w:r>
      <w:r w:rsidRPr="000977F7">
        <w:rPr>
          <w:rFonts w:asciiTheme="majorHAnsi" w:hAnsiTheme="majorHAnsi"/>
          <w:spacing w:val="1"/>
          <w:sz w:val="20"/>
          <w:szCs w:val="20"/>
        </w:rPr>
        <w:t xml:space="preserve"> </w:t>
      </w:r>
      <w:r w:rsidRPr="000977F7">
        <w:rPr>
          <w:rFonts w:asciiTheme="majorHAnsi" w:hAnsiTheme="majorHAnsi"/>
          <w:sz w:val="20"/>
          <w:szCs w:val="20"/>
        </w:rPr>
        <w:t>здійснюється на підставі спостереження і підрахунку</w:t>
      </w:r>
      <w:r w:rsidRPr="000977F7">
        <w:rPr>
          <w:rFonts w:asciiTheme="majorHAnsi" w:hAnsiTheme="majorHAnsi"/>
          <w:spacing w:val="1"/>
          <w:sz w:val="20"/>
          <w:szCs w:val="20"/>
        </w:rPr>
        <w:t xml:space="preserve"> </w:t>
      </w:r>
      <w:r w:rsidRPr="000977F7">
        <w:rPr>
          <w:rFonts w:asciiTheme="majorHAnsi" w:hAnsiTheme="majorHAnsi"/>
          <w:sz w:val="20"/>
          <w:szCs w:val="20"/>
        </w:rPr>
        <w:t>числа</w:t>
      </w:r>
      <w:r w:rsidRPr="000977F7">
        <w:rPr>
          <w:rFonts w:asciiTheme="majorHAnsi" w:hAnsiTheme="majorHAnsi"/>
          <w:spacing w:val="-2"/>
          <w:sz w:val="20"/>
          <w:szCs w:val="20"/>
        </w:rPr>
        <w:t xml:space="preserve"> </w:t>
      </w:r>
      <w:r w:rsidRPr="000977F7">
        <w:rPr>
          <w:rFonts w:asciiTheme="majorHAnsi" w:hAnsiTheme="majorHAnsi"/>
          <w:sz w:val="20"/>
          <w:szCs w:val="20"/>
        </w:rPr>
        <w:t>визначених подій,</w:t>
      </w:r>
      <w:r w:rsidRPr="000977F7">
        <w:rPr>
          <w:rFonts w:asciiTheme="majorHAnsi" w:hAnsiTheme="majorHAnsi"/>
          <w:spacing w:val="1"/>
          <w:sz w:val="20"/>
          <w:szCs w:val="20"/>
        </w:rPr>
        <w:t xml:space="preserve"> </w:t>
      </w:r>
      <w:r w:rsidRPr="000977F7">
        <w:rPr>
          <w:rFonts w:asciiTheme="majorHAnsi" w:hAnsiTheme="majorHAnsi"/>
          <w:sz w:val="20"/>
          <w:szCs w:val="20"/>
        </w:rPr>
        <w:t>предметів</w:t>
      </w:r>
      <w:r w:rsidRPr="000977F7">
        <w:rPr>
          <w:rFonts w:asciiTheme="majorHAnsi" w:hAnsiTheme="majorHAnsi"/>
          <w:spacing w:val="-2"/>
          <w:sz w:val="20"/>
          <w:szCs w:val="20"/>
        </w:rPr>
        <w:t xml:space="preserve"> </w:t>
      </w:r>
      <w:r w:rsidRPr="000977F7">
        <w:rPr>
          <w:rFonts w:asciiTheme="majorHAnsi" w:hAnsiTheme="majorHAnsi"/>
          <w:sz w:val="20"/>
          <w:szCs w:val="20"/>
        </w:rPr>
        <w:t>або витрат</w:t>
      </w:r>
    </w:p>
    <w:p w14:paraId="44A86C1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РЕЄСТРАЦІЯ</w:t>
      </w:r>
      <w:r w:rsidRPr="000977F7">
        <w:rPr>
          <w:color w:val="auto"/>
          <w:spacing w:val="-3"/>
          <w:sz w:val="20"/>
          <w:szCs w:val="20"/>
        </w:rPr>
        <w:t xml:space="preserve"> </w:t>
      </w:r>
      <w:r w:rsidRPr="000977F7">
        <w:rPr>
          <w:color w:val="auto"/>
          <w:sz w:val="20"/>
          <w:szCs w:val="20"/>
        </w:rPr>
        <w:t>–</w:t>
      </w:r>
    </w:p>
    <w:p w14:paraId="0C48B1BD"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z w:val="20"/>
          <w:szCs w:val="20"/>
        </w:rPr>
        <w:t>REGISTRATION</w:t>
      </w:r>
      <w:r w:rsidRPr="000977F7">
        <w:rPr>
          <w:rFonts w:asciiTheme="majorHAnsi" w:hAnsiTheme="majorHAnsi"/>
          <w:spacing w:val="-2"/>
          <w:sz w:val="20"/>
          <w:szCs w:val="20"/>
        </w:rPr>
        <w:t xml:space="preserve"> </w:t>
      </w:r>
      <w:r w:rsidRPr="000977F7">
        <w:rPr>
          <w:rFonts w:asciiTheme="majorHAnsi" w:hAnsiTheme="majorHAnsi"/>
          <w:b/>
          <w:sz w:val="20"/>
          <w:szCs w:val="20"/>
        </w:rPr>
        <w:t>–</w:t>
      </w:r>
    </w:p>
    <w:p w14:paraId="5BD7564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Процедура, зазначення органом відповідних характеристик виробу, процесу чи послуги, або даних органу</w:t>
      </w:r>
      <w:r w:rsidRPr="000977F7">
        <w:rPr>
          <w:rFonts w:asciiTheme="majorHAnsi" w:hAnsiTheme="majorHAnsi"/>
          <w:spacing w:val="1"/>
          <w:sz w:val="20"/>
          <w:szCs w:val="20"/>
        </w:rPr>
        <w:t xml:space="preserve"> </w:t>
      </w:r>
      <w:r w:rsidRPr="000977F7">
        <w:rPr>
          <w:rFonts w:asciiTheme="majorHAnsi" w:hAnsiTheme="majorHAnsi"/>
          <w:sz w:val="20"/>
          <w:szCs w:val="20"/>
        </w:rPr>
        <w:t>чи особи представника у відповідному загальнодоступному</w:t>
      </w:r>
      <w:r w:rsidRPr="000977F7">
        <w:rPr>
          <w:rFonts w:asciiTheme="majorHAnsi" w:hAnsiTheme="majorHAnsi"/>
          <w:spacing w:val="-5"/>
          <w:sz w:val="20"/>
          <w:szCs w:val="20"/>
        </w:rPr>
        <w:t xml:space="preserve"> </w:t>
      </w:r>
      <w:r w:rsidRPr="000977F7">
        <w:rPr>
          <w:rFonts w:asciiTheme="majorHAnsi" w:hAnsiTheme="majorHAnsi"/>
          <w:sz w:val="20"/>
          <w:szCs w:val="20"/>
        </w:rPr>
        <w:t>реєстрі</w:t>
      </w:r>
    </w:p>
    <w:p w14:paraId="6F15F1F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РЕЄСТРУВАЛЬНИЙ</w:t>
      </w:r>
      <w:r w:rsidRPr="000977F7">
        <w:rPr>
          <w:color w:val="auto"/>
          <w:spacing w:val="-4"/>
          <w:sz w:val="20"/>
          <w:szCs w:val="20"/>
        </w:rPr>
        <w:t xml:space="preserve"> </w:t>
      </w:r>
      <w:r w:rsidRPr="000977F7">
        <w:rPr>
          <w:color w:val="auto"/>
          <w:sz w:val="20"/>
          <w:szCs w:val="20"/>
        </w:rPr>
        <w:t>ЗАСІБ</w:t>
      </w:r>
      <w:r w:rsidRPr="000977F7">
        <w:rPr>
          <w:color w:val="auto"/>
          <w:spacing w:val="-6"/>
          <w:sz w:val="20"/>
          <w:szCs w:val="20"/>
        </w:rPr>
        <w:t xml:space="preserve"> </w:t>
      </w:r>
      <w:r w:rsidRPr="000977F7">
        <w:rPr>
          <w:color w:val="auto"/>
          <w:sz w:val="20"/>
          <w:szCs w:val="20"/>
        </w:rPr>
        <w:t>ВИМІРЮВАНЬ</w:t>
      </w:r>
      <w:r w:rsidRPr="000977F7">
        <w:rPr>
          <w:color w:val="auto"/>
          <w:spacing w:val="-2"/>
          <w:sz w:val="20"/>
          <w:szCs w:val="20"/>
        </w:rPr>
        <w:t xml:space="preserve"> </w:t>
      </w:r>
      <w:r w:rsidRPr="000977F7">
        <w:rPr>
          <w:color w:val="auto"/>
          <w:sz w:val="20"/>
          <w:szCs w:val="20"/>
        </w:rPr>
        <w:t>–</w:t>
      </w:r>
    </w:p>
    <w:p w14:paraId="37F009C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RECORDING</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(MEASURING)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INSTRUMENT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0EB35BE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Засіб</w:t>
      </w:r>
      <w:r w:rsidRPr="004D2D14">
        <w:rPr>
          <w:rFonts w:asciiTheme="majorHAnsi" w:hAnsiTheme="majorHAnsi"/>
          <w:sz w:val="20"/>
          <w:szCs w:val="20"/>
          <w:lang w:val="en-US"/>
        </w:rPr>
        <w:t xml:space="preserve"> </w:t>
      </w:r>
      <w:r w:rsidRPr="000977F7">
        <w:rPr>
          <w:rFonts w:asciiTheme="majorHAnsi" w:hAnsiTheme="majorHAnsi"/>
          <w:sz w:val="20"/>
          <w:szCs w:val="20"/>
        </w:rPr>
        <w:t>вимірювань</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якому</w:t>
      </w:r>
      <w:r w:rsidRPr="004D2D14">
        <w:rPr>
          <w:rFonts w:asciiTheme="majorHAnsi" w:hAnsiTheme="majorHAnsi"/>
          <w:sz w:val="20"/>
          <w:szCs w:val="20"/>
          <w:lang w:val="en-US"/>
        </w:rPr>
        <w:t xml:space="preserve"> </w:t>
      </w:r>
      <w:r w:rsidRPr="000977F7">
        <w:rPr>
          <w:rFonts w:asciiTheme="majorHAnsi" w:hAnsiTheme="majorHAnsi"/>
          <w:sz w:val="20"/>
          <w:szCs w:val="20"/>
        </w:rPr>
        <w:t>реєструється</w:t>
      </w:r>
      <w:r w:rsidRPr="004D2D14">
        <w:rPr>
          <w:rFonts w:asciiTheme="majorHAnsi" w:hAnsiTheme="majorHAnsi"/>
          <w:sz w:val="20"/>
          <w:szCs w:val="20"/>
          <w:lang w:val="en-US"/>
        </w:rPr>
        <w:t xml:space="preserve"> </w:t>
      </w:r>
      <w:r w:rsidRPr="000977F7">
        <w:rPr>
          <w:rFonts w:asciiTheme="majorHAnsi" w:hAnsiTheme="majorHAnsi"/>
          <w:sz w:val="20"/>
          <w:szCs w:val="20"/>
        </w:rPr>
        <w:t>сигнал</w:t>
      </w:r>
      <w:r w:rsidRPr="004D2D14">
        <w:rPr>
          <w:rFonts w:asciiTheme="majorHAnsi" w:hAnsiTheme="majorHAnsi"/>
          <w:sz w:val="20"/>
          <w:szCs w:val="20"/>
          <w:lang w:val="en-US"/>
        </w:rPr>
        <w:t xml:space="preserve"> </w:t>
      </w:r>
      <w:r w:rsidRPr="000977F7">
        <w:rPr>
          <w:rFonts w:asciiTheme="majorHAnsi" w:hAnsiTheme="majorHAnsi"/>
          <w:sz w:val="20"/>
          <w:szCs w:val="20"/>
        </w:rPr>
        <w:t>вимірювальної</w:t>
      </w:r>
      <w:r w:rsidRPr="004D2D14">
        <w:rPr>
          <w:rFonts w:asciiTheme="majorHAnsi" w:hAnsiTheme="majorHAnsi"/>
          <w:spacing w:val="-2"/>
          <w:sz w:val="20"/>
          <w:szCs w:val="20"/>
          <w:lang w:val="en-US"/>
        </w:rPr>
        <w:t xml:space="preserve"> </w:t>
      </w:r>
      <w:r w:rsidRPr="000977F7">
        <w:rPr>
          <w:rFonts w:asciiTheme="majorHAnsi" w:hAnsiTheme="majorHAnsi"/>
          <w:sz w:val="20"/>
          <w:szCs w:val="20"/>
        </w:rPr>
        <w:t>інформації</w:t>
      </w:r>
    </w:p>
    <w:p w14:paraId="11D878A5" w14:textId="77777777" w:rsidR="0097612F" w:rsidRPr="004D2D14" w:rsidRDefault="0097612F" w:rsidP="000977F7">
      <w:pPr>
        <w:tabs>
          <w:tab w:val="left" w:pos="284"/>
        </w:tabs>
        <w:spacing w:after="0" w:line="240" w:lineRule="auto"/>
        <w:ind w:left="170"/>
        <w:mirrorIndents/>
        <w:jc w:val="both"/>
        <w:rPr>
          <w:rFonts w:asciiTheme="majorHAnsi" w:hAnsiTheme="majorHAnsi"/>
          <w:i/>
          <w:iCs/>
          <w:sz w:val="20"/>
          <w:szCs w:val="20"/>
          <w:lang w:val="en-US"/>
        </w:rPr>
      </w:pPr>
      <w:r w:rsidRPr="000977F7">
        <w:rPr>
          <w:rFonts w:asciiTheme="majorHAnsi" w:hAnsiTheme="majorHAnsi"/>
          <w:i/>
          <w:iCs/>
          <w:sz w:val="20"/>
          <w:szCs w:val="20"/>
        </w:rPr>
        <w:t>ДСТУ</w:t>
      </w:r>
      <w:r w:rsidRPr="004D2D14">
        <w:rPr>
          <w:rFonts w:asciiTheme="majorHAnsi" w:hAnsiTheme="majorHAnsi"/>
          <w:i/>
          <w:iCs/>
          <w:spacing w:val="-2"/>
          <w:sz w:val="20"/>
          <w:szCs w:val="20"/>
          <w:lang w:val="en-US"/>
        </w:rPr>
        <w:t xml:space="preserve"> </w:t>
      </w:r>
      <w:r w:rsidRPr="004D2D14">
        <w:rPr>
          <w:rFonts w:asciiTheme="majorHAnsi" w:hAnsiTheme="majorHAnsi"/>
          <w:i/>
          <w:iCs/>
          <w:sz w:val="20"/>
          <w:szCs w:val="20"/>
          <w:lang w:val="en-US"/>
        </w:rPr>
        <w:t>2681</w:t>
      </w:r>
      <w:r w:rsidRPr="004D2D14">
        <w:rPr>
          <w:rFonts w:asciiTheme="majorHAnsi" w:hAnsiTheme="majorHAnsi"/>
          <w:i/>
          <w:iCs/>
          <w:spacing w:val="-1"/>
          <w:sz w:val="20"/>
          <w:szCs w:val="20"/>
          <w:lang w:val="en-US"/>
        </w:rPr>
        <w:t xml:space="preserve"> </w:t>
      </w:r>
      <w:r w:rsidRPr="004D2D14">
        <w:rPr>
          <w:rFonts w:asciiTheme="majorHAnsi" w:hAnsiTheme="majorHAnsi"/>
          <w:i/>
          <w:iCs/>
          <w:sz w:val="20"/>
          <w:szCs w:val="20"/>
          <w:lang w:val="en-US"/>
        </w:rPr>
        <w:t>–</w:t>
      </w:r>
      <w:r w:rsidRPr="004D2D14">
        <w:rPr>
          <w:rFonts w:asciiTheme="majorHAnsi" w:hAnsiTheme="majorHAnsi"/>
          <w:i/>
          <w:iCs/>
          <w:spacing w:val="-1"/>
          <w:sz w:val="20"/>
          <w:szCs w:val="20"/>
          <w:lang w:val="en-US"/>
        </w:rPr>
        <w:t xml:space="preserve"> </w:t>
      </w:r>
      <w:r w:rsidRPr="004D2D14">
        <w:rPr>
          <w:rFonts w:asciiTheme="majorHAnsi" w:hAnsiTheme="majorHAnsi"/>
          <w:i/>
          <w:iCs/>
          <w:sz w:val="20"/>
          <w:szCs w:val="20"/>
          <w:lang w:val="en-US"/>
        </w:rPr>
        <w:t>94</w:t>
      </w:r>
    </w:p>
    <w:p w14:paraId="3899045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РЕЄСТРУВАЛЬНИЙ</w:t>
      </w:r>
      <w:r w:rsidRPr="000977F7">
        <w:rPr>
          <w:color w:val="auto"/>
          <w:spacing w:val="-5"/>
          <w:sz w:val="20"/>
          <w:szCs w:val="20"/>
        </w:rPr>
        <w:t xml:space="preserve"> </w:t>
      </w:r>
      <w:r w:rsidRPr="000977F7">
        <w:rPr>
          <w:color w:val="auto"/>
          <w:sz w:val="20"/>
          <w:szCs w:val="20"/>
        </w:rPr>
        <w:t>ПРИСТРІЙ</w:t>
      </w:r>
      <w:r w:rsidRPr="000977F7">
        <w:rPr>
          <w:color w:val="auto"/>
          <w:spacing w:val="-1"/>
          <w:sz w:val="20"/>
          <w:szCs w:val="20"/>
        </w:rPr>
        <w:t xml:space="preserve"> </w:t>
      </w:r>
      <w:r w:rsidRPr="000977F7">
        <w:rPr>
          <w:color w:val="auto"/>
          <w:sz w:val="20"/>
          <w:szCs w:val="20"/>
        </w:rPr>
        <w:t>–</w:t>
      </w:r>
    </w:p>
    <w:p w14:paraId="61496D5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RECORDING</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DEVICE –</w:t>
      </w:r>
    </w:p>
    <w:p w14:paraId="58F5026A" w14:textId="77777777" w:rsidR="0097612F" w:rsidRPr="004D2D14" w:rsidRDefault="0097612F" w:rsidP="000977F7">
      <w:pPr>
        <w:pStyle w:val="af6"/>
        <w:tabs>
          <w:tab w:val="left" w:pos="284"/>
        </w:tabs>
        <w:spacing w:after="0"/>
        <w:ind w:left="170"/>
        <w:mirrorIndents/>
        <w:jc w:val="both"/>
        <w:rPr>
          <w:rFonts w:asciiTheme="majorHAnsi" w:hAnsiTheme="majorHAnsi"/>
          <w:i/>
          <w:iCs/>
          <w:sz w:val="20"/>
          <w:szCs w:val="20"/>
          <w:lang w:val="en-US"/>
        </w:rPr>
      </w:pPr>
      <w:r w:rsidRPr="000977F7">
        <w:rPr>
          <w:rFonts w:asciiTheme="majorHAnsi" w:hAnsiTheme="majorHAnsi"/>
          <w:sz w:val="20"/>
          <w:szCs w:val="20"/>
        </w:rPr>
        <w:t>Сукупність</w:t>
      </w:r>
      <w:r w:rsidRPr="004D2D14">
        <w:rPr>
          <w:rFonts w:asciiTheme="majorHAnsi" w:hAnsiTheme="majorHAnsi"/>
          <w:sz w:val="20"/>
          <w:szCs w:val="20"/>
          <w:lang w:val="en-US"/>
        </w:rPr>
        <w:t xml:space="preserve"> </w:t>
      </w:r>
      <w:r w:rsidRPr="000977F7">
        <w:rPr>
          <w:rFonts w:asciiTheme="majorHAnsi" w:hAnsiTheme="majorHAnsi"/>
          <w:sz w:val="20"/>
          <w:szCs w:val="20"/>
        </w:rPr>
        <w:t>елементів</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вузол</w:t>
      </w:r>
      <w:r w:rsidRPr="004D2D14">
        <w:rPr>
          <w:rFonts w:asciiTheme="majorHAnsi" w:hAnsiTheme="majorHAnsi"/>
          <w:sz w:val="20"/>
          <w:szCs w:val="20"/>
          <w:lang w:val="en-US"/>
        </w:rPr>
        <w:t xml:space="preserve"> </w:t>
      </w:r>
      <w:r w:rsidRPr="000977F7">
        <w:rPr>
          <w:rFonts w:asciiTheme="majorHAnsi" w:hAnsiTheme="majorHAnsi"/>
          <w:sz w:val="20"/>
          <w:szCs w:val="20"/>
        </w:rPr>
        <w:t>засобу</w:t>
      </w:r>
      <w:r w:rsidRPr="004D2D14">
        <w:rPr>
          <w:rFonts w:asciiTheme="majorHAnsi" w:hAnsiTheme="majorHAnsi"/>
          <w:sz w:val="20"/>
          <w:szCs w:val="20"/>
          <w:lang w:val="en-US"/>
        </w:rPr>
        <w:t xml:space="preserve"> </w:t>
      </w:r>
      <w:r w:rsidRPr="000977F7">
        <w:rPr>
          <w:rFonts w:asciiTheme="majorHAnsi" w:hAnsiTheme="majorHAnsi"/>
          <w:sz w:val="20"/>
          <w:szCs w:val="20"/>
        </w:rPr>
        <w:t>вимірювань</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реєструє</w:t>
      </w:r>
      <w:r w:rsidRPr="004D2D14">
        <w:rPr>
          <w:rFonts w:asciiTheme="majorHAnsi" w:hAnsiTheme="majorHAnsi"/>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носії</w:t>
      </w:r>
      <w:r w:rsidRPr="004D2D14">
        <w:rPr>
          <w:rFonts w:asciiTheme="majorHAnsi" w:hAnsiTheme="majorHAnsi"/>
          <w:sz w:val="20"/>
          <w:szCs w:val="20"/>
          <w:lang w:val="en-US"/>
        </w:rPr>
        <w:t xml:space="preserve">) </w:t>
      </w:r>
      <w:r w:rsidRPr="000977F7">
        <w:rPr>
          <w:rFonts w:asciiTheme="majorHAnsi" w:hAnsiTheme="majorHAnsi"/>
          <w:sz w:val="20"/>
          <w:szCs w:val="20"/>
        </w:rPr>
        <w:t>сигнал</w:t>
      </w:r>
      <w:r w:rsidRPr="004D2D14">
        <w:rPr>
          <w:rFonts w:asciiTheme="majorHAnsi" w:hAnsiTheme="majorHAnsi"/>
          <w:sz w:val="20"/>
          <w:szCs w:val="20"/>
          <w:lang w:val="en-US"/>
        </w:rPr>
        <w:t xml:space="preserve"> </w:t>
      </w:r>
      <w:r w:rsidRPr="000977F7">
        <w:rPr>
          <w:rFonts w:asciiTheme="majorHAnsi" w:hAnsiTheme="majorHAnsi"/>
          <w:sz w:val="20"/>
          <w:szCs w:val="20"/>
        </w:rPr>
        <w:t>вимірювальної</w:t>
      </w:r>
      <w:r w:rsidRPr="004D2D14">
        <w:rPr>
          <w:rFonts w:asciiTheme="majorHAnsi" w:hAnsiTheme="majorHAnsi"/>
          <w:i/>
          <w:iCs/>
          <w:sz w:val="20"/>
          <w:szCs w:val="20"/>
          <w:lang w:val="en-US"/>
        </w:rPr>
        <w:t xml:space="preserve"> </w:t>
      </w:r>
      <w:r w:rsidRPr="000977F7">
        <w:rPr>
          <w:rFonts w:asciiTheme="majorHAnsi" w:hAnsiTheme="majorHAnsi"/>
          <w:i/>
          <w:iCs/>
          <w:sz w:val="20"/>
          <w:szCs w:val="20"/>
        </w:rPr>
        <w:t>інформації</w:t>
      </w:r>
    </w:p>
    <w:p w14:paraId="4A6A8BDA"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2"/>
          <w:sz w:val="20"/>
          <w:szCs w:val="20"/>
        </w:rPr>
        <w:t xml:space="preserve"> </w:t>
      </w:r>
      <w:r w:rsidRPr="000977F7">
        <w:rPr>
          <w:rFonts w:asciiTheme="majorHAnsi" w:hAnsiTheme="majorHAnsi"/>
          <w:i/>
          <w:iCs/>
          <w:sz w:val="20"/>
          <w:szCs w:val="20"/>
        </w:rPr>
        <w:t>2681</w:t>
      </w:r>
      <w:r w:rsidRPr="000977F7">
        <w:rPr>
          <w:rFonts w:asciiTheme="majorHAnsi" w:hAnsiTheme="majorHAnsi"/>
          <w:i/>
          <w:iCs/>
          <w:spacing w:val="-1"/>
          <w:sz w:val="20"/>
          <w:szCs w:val="20"/>
        </w:rPr>
        <w:t xml:space="preserve"> </w:t>
      </w:r>
      <w:r w:rsidRPr="000977F7">
        <w:rPr>
          <w:rFonts w:asciiTheme="majorHAnsi" w:hAnsiTheme="majorHAnsi"/>
          <w:i/>
          <w:iCs/>
          <w:sz w:val="20"/>
          <w:szCs w:val="20"/>
        </w:rPr>
        <w:t>–</w:t>
      </w:r>
      <w:r w:rsidRPr="000977F7">
        <w:rPr>
          <w:rFonts w:asciiTheme="majorHAnsi" w:hAnsiTheme="majorHAnsi"/>
          <w:i/>
          <w:iCs/>
          <w:spacing w:val="-1"/>
          <w:sz w:val="20"/>
          <w:szCs w:val="20"/>
        </w:rPr>
        <w:t xml:space="preserve"> </w:t>
      </w:r>
      <w:r w:rsidRPr="000977F7">
        <w:rPr>
          <w:rFonts w:asciiTheme="majorHAnsi" w:hAnsiTheme="majorHAnsi"/>
          <w:i/>
          <w:iCs/>
          <w:sz w:val="20"/>
          <w:szCs w:val="20"/>
        </w:rPr>
        <w:t>94</w:t>
      </w:r>
    </w:p>
    <w:p w14:paraId="748400E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РЕЖИМ</w:t>
      </w:r>
      <w:r w:rsidRPr="000977F7">
        <w:rPr>
          <w:color w:val="auto"/>
          <w:spacing w:val="-2"/>
          <w:sz w:val="20"/>
          <w:szCs w:val="20"/>
        </w:rPr>
        <w:t xml:space="preserve"> </w:t>
      </w:r>
      <w:r w:rsidRPr="000977F7">
        <w:rPr>
          <w:color w:val="auto"/>
          <w:sz w:val="20"/>
          <w:szCs w:val="20"/>
        </w:rPr>
        <w:t>НАВАНТАЖУВАННЯ</w:t>
      </w:r>
      <w:r w:rsidRPr="000977F7">
        <w:rPr>
          <w:color w:val="auto"/>
          <w:spacing w:val="-2"/>
          <w:sz w:val="20"/>
          <w:szCs w:val="20"/>
        </w:rPr>
        <w:t xml:space="preserve"> </w:t>
      </w:r>
      <w:r w:rsidRPr="000977F7">
        <w:rPr>
          <w:color w:val="auto"/>
          <w:sz w:val="20"/>
          <w:szCs w:val="20"/>
        </w:rPr>
        <w:t>–</w:t>
      </w:r>
    </w:p>
    <w:p w14:paraId="0722E4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LOADING</w:t>
      </w:r>
      <w:r w:rsidRPr="000977F7">
        <w:rPr>
          <w:rFonts w:asciiTheme="majorHAnsi" w:hAnsiTheme="majorHAnsi"/>
          <w:spacing w:val="-3"/>
          <w:sz w:val="20"/>
          <w:szCs w:val="20"/>
        </w:rPr>
        <w:t xml:space="preserve"> </w:t>
      </w:r>
      <w:r w:rsidRPr="000977F7">
        <w:rPr>
          <w:rFonts w:asciiTheme="majorHAnsi" w:hAnsiTheme="majorHAnsi"/>
          <w:sz w:val="20"/>
          <w:szCs w:val="20"/>
        </w:rPr>
        <w:t>REGIME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09FFD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Закон зміни навантаження (напруження) або деформації (переміщень) об’єкта в часі чи залежно від іншого параметра</w:t>
      </w:r>
    </w:p>
    <w:p w14:paraId="74CE2F4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4F7E3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Режим навантажування регламентує швидкість (прискорення) навантажування або швидкість (прискорення) деформування. За відповідного режиму навантажування реалізуються статичне, динамічне, циклічне,</w:t>
      </w:r>
      <w:r w:rsidRPr="000977F7">
        <w:rPr>
          <w:rFonts w:asciiTheme="majorHAnsi" w:hAnsiTheme="majorHAnsi"/>
          <w:spacing w:val="1"/>
          <w:sz w:val="20"/>
          <w:szCs w:val="20"/>
        </w:rPr>
        <w:t xml:space="preserve"> </w:t>
      </w:r>
      <w:r w:rsidRPr="000977F7">
        <w:rPr>
          <w:rFonts w:asciiTheme="majorHAnsi" w:hAnsiTheme="majorHAnsi"/>
          <w:sz w:val="20"/>
          <w:szCs w:val="20"/>
        </w:rPr>
        <w:t>повторно – змінне навантажування та інші. Різновидами режимів навантажування є жорсткий та м’який</w:t>
      </w:r>
      <w:r w:rsidRPr="000977F7">
        <w:rPr>
          <w:rFonts w:asciiTheme="majorHAnsi" w:hAnsiTheme="majorHAnsi"/>
          <w:spacing w:val="1"/>
          <w:sz w:val="20"/>
          <w:szCs w:val="20"/>
        </w:rPr>
        <w:t xml:space="preserve"> </w:t>
      </w:r>
      <w:r w:rsidRPr="000977F7">
        <w:rPr>
          <w:rFonts w:asciiTheme="majorHAnsi" w:hAnsiTheme="majorHAnsi"/>
          <w:sz w:val="20"/>
          <w:szCs w:val="20"/>
        </w:rPr>
        <w:t>режими</w:t>
      </w:r>
    </w:p>
    <w:p w14:paraId="54E15357"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2"/>
          <w:sz w:val="20"/>
          <w:szCs w:val="20"/>
        </w:rPr>
        <w:t xml:space="preserve"> </w:t>
      </w:r>
      <w:r w:rsidRPr="000977F7">
        <w:rPr>
          <w:rFonts w:asciiTheme="majorHAnsi" w:hAnsiTheme="majorHAnsi"/>
          <w:i/>
          <w:iCs/>
          <w:sz w:val="20"/>
          <w:szCs w:val="20"/>
        </w:rPr>
        <w:t>2824 - 94</w:t>
      </w:r>
    </w:p>
    <w:p w14:paraId="6347168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РЕЖИМ</w:t>
      </w:r>
      <w:r w:rsidRPr="000977F7">
        <w:rPr>
          <w:color w:val="auto"/>
          <w:spacing w:val="-2"/>
          <w:sz w:val="20"/>
          <w:szCs w:val="20"/>
        </w:rPr>
        <w:t xml:space="preserve"> </w:t>
      </w:r>
      <w:r w:rsidRPr="000977F7">
        <w:rPr>
          <w:color w:val="auto"/>
          <w:sz w:val="20"/>
          <w:szCs w:val="20"/>
        </w:rPr>
        <w:t>ОДНАКОВОГО</w:t>
      </w:r>
      <w:r w:rsidRPr="000977F7">
        <w:rPr>
          <w:color w:val="auto"/>
          <w:spacing w:val="-5"/>
          <w:sz w:val="20"/>
          <w:szCs w:val="20"/>
        </w:rPr>
        <w:t xml:space="preserve"> </w:t>
      </w:r>
      <w:r w:rsidRPr="000977F7">
        <w:rPr>
          <w:color w:val="auto"/>
          <w:sz w:val="20"/>
          <w:szCs w:val="20"/>
        </w:rPr>
        <w:t>СПРИЯННЯ -</w:t>
      </w:r>
    </w:p>
    <w:p w14:paraId="3937544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EQUAL</w:t>
      </w:r>
      <w:r w:rsidRPr="004D2D14">
        <w:rPr>
          <w:rFonts w:asciiTheme="majorHAnsi" w:hAnsiTheme="majorHAnsi"/>
          <w:spacing w:val="-1"/>
          <w:sz w:val="20"/>
          <w:szCs w:val="20"/>
          <w:lang w:val="uk-UA"/>
        </w:rPr>
        <w:t xml:space="preserve"> </w:t>
      </w:r>
      <w:r w:rsidRPr="000977F7">
        <w:rPr>
          <w:rFonts w:asciiTheme="majorHAnsi" w:hAnsiTheme="majorHAnsi"/>
          <w:sz w:val="20"/>
          <w:szCs w:val="20"/>
        </w:rPr>
        <w:t>TREATMENT</w:t>
      </w:r>
      <w:r w:rsidRPr="004D2D14">
        <w:rPr>
          <w:rFonts w:asciiTheme="majorHAnsi" w:hAnsiTheme="majorHAnsi"/>
          <w:sz w:val="20"/>
          <w:szCs w:val="20"/>
          <w:lang w:val="uk-UA"/>
        </w:rPr>
        <w:t xml:space="preserve"> -</w:t>
      </w:r>
    </w:p>
    <w:p w14:paraId="1AA882C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Режим,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застосовується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відносно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процесу</w:t>
      </w:r>
      <w:r w:rsidRPr="004D2D14">
        <w:rPr>
          <w:rFonts w:asciiTheme="majorHAnsi" w:hAnsiTheme="majorHAnsi"/>
          <w:spacing w:val="25"/>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30"/>
          <w:sz w:val="20"/>
          <w:szCs w:val="20"/>
          <w:lang w:val="uk-UA"/>
        </w:rPr>
        <w:t xml:space="preserve"> </w:t>
      </w:r>
      <w:r w:rsidRPr="004D2D14">
        <w:rPr>
          <w:rFonts w:asciiTheme="majorHAnsi" w:hAnsiTheme="majorHAnsi"/>
          <w:sz w:val="20"/>
          <w:szCs w:val="20"/>
          <w:lang w:val="uk-UA"/>
        </w:rPr>
        <w:t>послуг,</w:t>
      </w:r>
      <w:r w:rsidRPr="004D2D14">
        <w:rPr>
          <w:rFonts w:asciiTheme="majorHAnsi" w:hAnsiTheme="majorHAnsi"/>
          <w:spacing w:val="29"/>
          <w:sz w:val="20"/>
          <w:szCs w:val="20"/>
          <w:lang w:val="uk-UA"/>
        </w:rPr>
        <w:t xml:space="preserve"> </w:t>
      </w:r>
      <w:r w:rsidRPr="004D2D14">
        <w:rPr>
          <w:rFonts w:asciiTheme="majorHAnsi" w:hAnsiTheme="majorHAnsi"/>
          <w:sz w:val="20"/>
          <w:szCs w:val="20"/>
          <w:lang w:val="uk-UA"/>
        </w:rPr>
        <w:t>вироблених</w:t>
      </w:r>
      <w:r w:rsidRPr="004D2D14">
        <w:rPr>
          <w:rFonts w:asciiTheme="majorHAnsi" w:hAnsiTheme="majorHAnsi"/>
          <w:spacing w:val="28"/>
          <w:sz w:val="20"/>
          <w:szCs w:val="20"/>
          <w:lang w:val="uk-UA"/>
        </w:rPr>
        <w:t xml:space="preserve"> </w:t>
      </w:r>
      <w:r w:rsidRPr="004D2D14">
        <w:rPr>
          <w:rFonts w:asciiTheme="majorHAnsi" w:hAnsiTheme="majorHAnsi"/>
          <w:sz w:val="20"/>
          <w:szCs w:val="20"/>
          <w:lang w:val="uk-UA"/>
        </w:rPr>
        <w:t>однією</w:t>
      </w:r>
      <w:r w:rsidRPr="004D2D14">
        <w:rPr>
          <w:rFonts w:asciiTheme="majorHAnsi" w:hAnsiTheme="majorHAnsi"/>
          <w:spacing w:val="29"/>
          <w:sz w:val="20"/>
          <w:szCs w:val="20"/>
          <w:lang w:val="uk-UA"/>
        </w:rPr>
        <w:t xml:space="preserve"> </w:t>
      </w:r>
      <w:r w:rsidRPr="004D2D14">
        <w:rPr>
          <w:rFonts w:asciiTheme="majorHAnsi" w:hAnsiTheme="majorHAnsi"/>
          <w:sz w:val="20"/>
          <w:szCs w:val="20"/>
          <w:lang w:val="uk-UA"/>
        </w:rPr>
        <w:t>стороною</w:t>
      </w:r>
      <w:r w:rsidRPr="004D2D14">
        <w:rPr>
          <w:rFonts w:asciiTheme="majorHAnsi" w:hAnsiTheme="majorHAnsi"/>
          <w:spacing w:val="30"/>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29"/>
          <w:sz w:val="20"/>
          <w:szCs w:val="20"/>
          <w:lang w:val="uk-UA"/>
        </w:rPr>
        <w:t xml:space="preserve"> </w:t>
      </w:r>
      <w:r w:rsidRPr="004D2D14">
        <w:rPr>
          <w:rFonts w:asciiTheme="majorHAnsi" w:hAnsiTheme="majorHAnsi"/>
          <w:sz w:val="20"/>
          <w:szCs w:val="20"/>
          <w:lang w:val="uk-UA"/>
        </w:rPr>
        <w:t>є</w:t>
      </w:r>
      <w:r w:rsidRPr="004D2D14">
        <w:rPr>
          <w:rFonts w:asciiTheme="majorHAnsi" w:hAnsiTheme="majorHAnsi"/>
          <w:spacing w:val="-48"/>
          <w:sz w:val="20"/>
          <w:szCs w:val="20"/>
          <w:lang w:val="uk-UA"/>
        </w:rPr>
        <w:t xml:space="preserve"> </w:t>
      </w:r>
      <w:r w:rsidRPr="004D2D14">
        <w:rPr>
          <w:rFonts w:asciiTheme="majorHAnsi" w:hAnsiTheme="majorHAnsi"/>
          <w:sz w:val="20"/>
          <w:szCs w:val="20"/>
          <w:lang w:val="uk-UA"/>
        </w:rPr>
        <w:t>не менш сприятливим, ніж режим, який застосовується щодо аналогічних продукцій, процесів чи послуг 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порівнянній</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ситуації</w:t>
      </w:r>
    </w:p>
    <w:p w14:paraId="4DADF07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РЕЖИМ</w:t>
      </w:r>
      <w:r w:rsidRPr="000977F7">
        <w:rPr>
          <w:color w:val="auto"/>
          <w:spacing w:val="-1"/>
          <w:sz w:val="20"/>
          <w:szCs w:val="20"/>
        </w:rPr>
        <w:t xml:space="preserve"> </w:t>
      </w:r>
      <w:r w:rsidRPr="000977F7">
        <w:rPr>
          <w:color w:val="auto"/>
          <w:sz w:val="20"/>
          <w:szCs w:val="20"/>
        </w:rPr>
        <w:t>РОБОТИ</w:t>
      </w:r>
      <w:r w:rsidRPr="000977F7">
        <w:rPr>
          <w:color w:val="auto"/>
          <w:spacing w:val="-3"/>
          <w:sz w:val="20"/>
          <w:szCs w:val="20"/>
        </w:rPr>
        <w:t xml:space="preserve"> </w:t>
      </w:r>
      <w:r w:rsidRPr="000977F7">
        <w:rPr>
          <w:color w:val="auto"/>
          <w:sz w:val="20"/>
          <w:szCs w:val="20"/>
        </w:rPr>
        <w:t>УСТАТКУВАННЯ</w:t>
      </w:r>
      <w:r w:rsidRPr="000977F7">
        <w:rPr>
          <w:color w:val="auto"/>
          <w:spacing w:val="-1"/>
          <w:sz w:val="20"/>
          <w:szCs w:val="20"/>
        </w:rPr>
        <w:t xml:space="preserve"> </w:t>
      </w:r>
      <w:r w:rsidRPr="000977F7">
        <w:rPr>
          <w:color w:val="auto"/>
          <w:sz w:val="20"/>
          <w:szCs w:val="20"/>
        </w:rPr>
        <w:t>–</w:t>
      </w:r>
    </w:p>
    <w:p w14:paraId="24EF262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Порядок</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тривалість</w:t>
      </w:r>
      <w:r w:rsidRPr="000977F7">
        <w:rPr>
          <w:rFonts w:asciiTheme="majorHAnsi" w:hAnsiTheme="majorHAnsi"/>
          <w:spacing w:val="-3"/>
          <w:sz w:val="20"/>
          <w:szCs w:val="20"/>
        </w:rPr>
        <w:t xml:space="preserve"> </w:t>
      </w:r>
      <w:r w:rsidRPr="000977F7">
        <w:rPr>
          <w:rFonts w:asciiTheme="majorHAnsi" w:hAnsiTheme="majorHAnsi"/>
          <w:sz w:val="20"/>
          <w:szCs w:val="20"/>
        </w:rPr>
        <w:t>роботи</w:t>
      </w:r>
      <w:r w:rsidRPr="000977F7">
        <w:rPr>
          <w:rFonts w:asciiTheme="majorHAnsi" w:hAnsiTheme="majorHAnsi"/>
          <w:spacing w:val="-2"/>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7"/>
          <w:sz w:val="20"/>
          <w:szCs w:val="20"/>
        </w:rPr>
        <w:t xml:space="preserve"> </w:t>
      </w:r>
      <w:r w:rsidRPr="000977F7">
        <w:rPr>
          <w:rFonts w:asciiTheme="majorHAnsi" w:hAnsiTheme="majorHAnsi"/>
          <w:sz w:val="20"/>
          <w:szCs w:val="20"/>
        </w:rPr>
        <w:t>часі</w:t>
      </w:r>
    </w:p>
    <w:p w14:paraId="05986C7C" w14:textId="77777777" w:rsidR="0097612F" w:rsidRPr="000977F7" w:rsidRDefault="0097612F" w:rsidP="000977F7">
      <w:pPr>
        <w:tabs>
          <w:tab w:val="left" w:pos="284"/>
        </w:tabs>
        <w:spacing w:after="0" w:line="240" w:lineRule="auto"/>
        <w:ind w:left="170"/>
        <w:mirrorIndents/>
        <w:jc w:val="both"/>
        <w:rPr>
          <w:rFonts w:asciiTheme="majorHAnsi" w:hAnsiTheme="majorHAnsi"/>
          <w:i/>
          <w:iCs/>
          <w:spacing w:val="-47"/>
          <w:sz w:val="20"/>
          <w:szCs w:val="20"/>
        </w:rPr>
      </w:pPr>
      <w:r w:rsidRPr="000977F7">
        <w:rPr>
          <w:rFonts w:asciiTheme="majorHAnsi" w:hAnsiTheme="majorHAnsi"/>
          <w:i/>
          <w:iCs/>
          <w:sz w:val="20"/>
          <w:szCs w:val="20"/>
        </w:rPr>
        <w:t>ДСТУ 2960 – 94</w:t>
      </w:r>
      <w:r w:rsidRPr="000977F7">
        <w:rPr>
          <w:rFonts w:asciiTheme="majorHAnsi" w:hAnsiTheme="majorHAnsi"/>
          <w:i/>
          <w:iCs/>
          <w:spacing w:val="-47"/>
          <w:sz w:val="20"/>
          <w:szCs w:val="20"/>
        </w:rPr>
        <w:t xml:space="preserve"> </w:t>
      </w:r>
    </w:p>
    <w:p w14:paraId="4386863F"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РЕЗЕРВ</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1AD8F76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RESERVE –</w:t>
      </w:r>
    </w:p>
    <w:p w14:paraId="10970B9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додаткових засобів і (або) можливостей,</w:t>
      </w:r>
      <w:r w:rsidRPr="000977F7">
        <w:rPr>
          <w:rFonts w:asciiTheme="majorHAnsi" w:hAnsiTheme="majorHAnsi"/>
          <w:spacing w:val="1"/>
          <w:sz w:val="20"/>
          <w:szCs w:val="20"/>
        </w:rPr>
        <w:t xml:space="preserve"> </w:t>
      </w:r>
      <w:r w:rsidRPr="000977F7">
        <w:rPr>
          <w:rFonts w:asciiTheme="majorHAnsi" w:hAnsiTheme="majorHAnsi"/>
          <w:sz w:val="20"/>
          <w:szCs w:val="20"/>
        </w:rPr>
        <w:t>що використовуються</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резервування</w:t>
      </w:r>
    </w:p>
    <w:p w14:paraId="0DA3B6E2"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2"/>
          <w:sz w:val="20"/>
          <w:szCs w:val="20"/>
        </w:rPr>
        <w:t xml:space="preserve"> </w:t>
      </w:r>
      <w:r w:rsidRPr="000977F7">
        <w:rPr>
          <w:rFonts w:asciiTheme="majorHAnsi" w:hAnsiTheme="majorHAnsi"/>
          <w:i/>
          <w:iCs/>
          <w:sz w:val="20"/>
          <w:szCs w:val="20"/>
        </w:rPr>
        <w:t>2860 – 94</w:t>
      </w:r>
    </w:p>
    <w:p w14:paraId="5CABC395" w14:textId="77777777" w:rsidR="0097612F" w:rsidRPr="000977F7" w:rsidRDefault="0097612F" w:rsidP="000977F7">
      <w:pPr>
        <w:pStyle w:val="7"/>
        <w:tabs>
          <w:tab w:val="left" w:pos="284"/>
        </w:tabs>
        <w:spacing w:before="0" w:line="240" w:lineRule="auto"/>
        <w:ind w:left="170"/>
        <w:mirrorIndents/>
        <w:jc w:val="both"/>
        <w:rPr>
          <w:i/>
          <w:iCs w:val="0"/>
          <w:color w:val="auto"/>
          <w:sz w:val="20"/>
          <w:szCs w:val="20"/>
        </w:rPr>
      </w:pPr>
      <w:r w:rsidRPr="000977F7">
        <w:rPr>
          <w:color w:val="auto"/>
          <w:sz w:val="20"/>
          <w:szCs w:val="20"/>
        </w:rPr>
        <w:t>РЕЗЕРВНА</w:t>
      </w:r>
      <w:r w:rsidRPr="000977F7">
        <w:rPr>
          <w:color w:val="auto"/>
          <w:spacing w:val="-3"/>
          <w:sz w:val="20"/>
          <w:szCs w:val="20"/>
        </w:rPr>
        <w:t xml:space="preserve"> </w:t>
      </w:r>
      <w:r w:rsidRPr="000977F7">
        <w:rPr>
          <w:color w:val="auto"/>
          <w:sz w:val="20"/>
          <w:szCs w:val="20"/>
        </w:rPr>
        <w:t>ВАЛЮТА</w:t>
      </w:r>
      <w:r w:rsidRPr="000977F7">
        <w:rPr>
          <w:i/>
          <w:iCs w:val="0"/>
          <w:color w:val="auto"/>
          <w:spacing w:val="-2"/>
          <w:sz w:val="20"/>
          <w:szCs w:val="20"/>
        </w:rPr>
        <w:t xml:space="preserve"> </w:t>
      </w:r>
      <w:r w:rsidRPr="000977F7">
        <w:rPr>
          <w:i/>
          <w:iCs w:val="0"/>
          <w:color w:val="auto"/>
          <w:sz w:val="20"/>
          <w:szCs w:val="20"/>
        </w:rPr>
        <w:t>–</w:t>
      </w:r>
    </w:p>
    <w:p w14:paraId="447B0F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Валюта, використовувана урядами та міжнародними</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організаціями</w:t>
      </w:r>
      <w:r w:rsidRPr="000977F7">
        <w:rPr>
          <w:rFonts w:asciiTheme="majorHAnsi" w:hAnsiTheme="majorHAnsi"/>
          <w:spacing w:val="-2"/>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резерв</w:t>
      </w:r>
      <w:r w:rsidRPr="000977F7">
        <w:rPr>
          <w:rFonts w:asciiTheme="majorHAnsi" w:hAnsiTheme="majorHAnsi"/>
          <w:spacing w:val="-1"/>
          <w:sz w:val="20"/>
          <w:szCs w:val="20"/>
        </w:rPr>
        <w:t xml:space="preserve"> </w:t>
      </w:r>
      <w:r w:rsidRPr="000977F7">
        <w:rPr>
          <w:rFonts w:asciiTheme="majorHAnsi" w:hAnsiTheme="majorHAnsi"/>
          <w:sz w:val="20"/>
          <w:szCs w:val="20"/>
        </w:rPr>
        <w:t>валюти</w:t>
      </w:r>
    </w:p>
    <w:p w14:paraId="401E1CE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E46EFA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РЕЗЕРВНИЙ</w:t>
      </w:r>
      <w:r w:rsidRPr="000977F7">
        <w:rPr>
          <w:color w:val="auto"/>
          <w:spacing w:val="-3"/>
          <w:sz w:val="20"/>
          <w:szCs w:val="20"/>
        </w:rPr>
        <w:t xml:space="preserve"> </w:t>
      </w:r>
      <w:r w:rsidRPr="000977F7">
        <w:rPr>
          <w:color w:val="auto"/>
          <w:sz w:val="20"/>
          <w:szCs w:val="20"/>
        </w:rPr>
        <w:t>ЕЛЕМЕНТ</w:t>
      </w:r>
      <w:r w:rsidRPr="000977F7">
        <w:rPr>
          <w:color w:val="auto"/>
          <w:spacing w:val="-2"/>
          <w:sz w:val="20"/>
          <w:szCs w:val="20"/>
        </w:rPr>
        <w:t xml:space="preserve"> </w:t>
      </w:r>
      <w:r w:rsidRPr="000977F7">
        <w:rPr>
          <w:color w:val="auto"/>
          <w:sz w:val="20"/>
          <w:szCs w:val="20"/>
        </w:rPr>
        <w:t>–</w:t>
      </w:r>
    </w:p>
    <w:p w14:paraId="6263D20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REDUNDANCY</w:t>
      </w:r>
      <w:r w:rsidRPr="000977F7">
        <w:rPr>
          <w:rFonts w:asciiTheme="majorHAnsi" w:hAnsiTheme="majorHAnsi"/>
          <w:spacing w:val="-4"/>
          <w:sz w:val="20"/>
          <w:szCs w:val="20"/>
        </w:rPr>
        <w:t xml:space="preserve"> </w:t>
      </w:r>
      <w:r w:rsidRPr="000977F7">
        <w:rPr>
          <w:rFonts w:asciiTheme="majorHAnsi" w:hAnsiTheme="majorHAnsi"/>
          <w:sz w:val="20"/>
          <w:szCs w:val="20"/>
        </w:rPr>
        <w:t>ELEMENT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2A7DF90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Елемент, призначений для виконання функцій основного елемента в</w:t>
      </w:r>
      <w:r w:rsidRPr="000977F7">
        <w:rPr>
          <w:rFonts w:asciiTheme="majorHAnsi" w:hAnsiTheme="majorHAnsi"/>
          <w:spacing w:val="-2"/>
          <w:sz w:val="20"/>
          <w:szCs w:val="20"/>
        </w:rPr>
        <w:t xml:space="preserve"> </w:t>
      </w:r>
      <w:r w:rsidRPr="000977F7">
        <w:rPr>
          <w:rFonts w:asciiTheme="majorHAnsi" w:hAnsiTheme="majorHAnsi"/>
          <w:sz w:val="20"/>
          <w:szCs w:val="20"/>
        </w:rPr>
        <w:t>разі</w:t>
      </w:r>
      <w:r w:rsidRPr="000977F7">
        <w:rPr>
          <w:rFonts w:asciiTheme="majorHAnsi" w:hAnsiTheme="majorHAnsi"/>
          <w:spacing w:val="-1"/>
          <w:sz w:val="20"/>
          <w:szCs w:val="20"/>
        </w:rPr>
        <w:t xml:space="preserve"> </w:t>
      </w:r>
      <w:r w:rsidRPr="000977F7">
        <w:rPr>
          <w:rFonts w:asciiTheme="majorHAnsi" w:hAnsiTheme="majorHAnsi"/>
          <w:sz w:val="20"/>
          <w:szCs w:val="20"/>
        </w:rPr>
        <w:t>його відмови</w:t>
      </w:r>
    </w:p>
    <w:p w14:paraId="3DC7D6F0"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2860 - 94</w:t>
      </w:r>
    </w:p>
    <w:p w14:paraId="368D9B0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РЕЗЕРВОВАНИЙ</w:t>
      </w:r>
      <w:r w:rsidRPr="000977F7">
        <w:rPr>
          <w:color w:val="auto"/>
          <w:spacing w:val="-3"/>
          <w:sz w:val="20"/>
          <w:szCs w:val="20"/>
        </w:rPr>
        <w:t xml:space="preserve"> </w:t>
      </w:r>
      <w:r w:rsidRPr="000977F7">
        <w:rPr>
          <w:color w:val="auto"/>
          <w:sz w:val="20"/>
          <w:szCs w:val="20"/>
        </w:rPr>
        <w:t>ЕЛЕМЕНТ</w:t>
      </w:r>
      <w:r w:rsidRPr="000977F7">
        <w:rPr>
          <w:color w:val="auto"/>
          <w:spacing w:val="-2"/>
          <w:sz w:val="20"/>
          <w:szCs w:val="20"/>
        </w:rPr>
        <w:t xml:space="preserve"> </w:t>
      </w:r>
      <w:r w:rsidRPr="000977F7">
        <w:rPr>
          <w:color w:val="auto"/>
          <w:sz w:val="20"/>
          <w:szCs w:val="20"/>
        </w:rPr>
        <w:t>–</w:t>
      </w:r>
    </w:p>
    <w:p w14:paraId="7180BC8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ELEMENT UNDER</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REDUNDANCY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2CD32E0"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Основний елемент, на випадок відмови якого в об’єкті</w:t>
      </w:r>
      <w:r w:rsidRPr="000977F7">
        <w:rPr>
          <w:rFonts w:asciiTheme="majorHAnsi" w:hAnsiTheme="majorHAnsi"/>
          <w:spacing w:val="-47"/>
          <w:sz w:val="20"/>
          <w:szCs w:val="20"/>
        </w:rPr>
        <w:t xml:space="preserve"> </w:t>
      </w:r>
      <w:r w:rsidRPr="000977F7">
        <w:rPr>
          <w:rFonts w:asciiTheme="majorHAnsi" w:hAnsiTheme="majorHAnsi"/>
          <w:sz w:val="20"/>
          <w:szCs w:val="20"/>
        </w:rPr>
        <w:t>передбачені один або декілька резервних елементів</w:t>
      </w:r>
      <w:r w:rsidRPr="000977F7">
        <w:rPr>
          <w:rFonts w:asciiTheme="majorHAnsi" w:hAnsiTheme="majorHAnsi"/>
          <w:spacing w:val="1"/>
          <w:sz w:val="20"/>
          <w:szCs w:val="20"/>
        </w:rPr>
        <w:t xml:space="preserve"> </w:t>
      </w:r>
    </w:p>
    <w:p w14:paraId="45259F41"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F5B5F6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РЕЗЕРВУВАННЯ</w:t>
      </w:r>
      <w:r w:rsidRPr="000977F7">
        <w:rPr>
          <w:color w:val="auto"/>
          <w:spacing w:val="-2"/>
          <w:sz w:val="20"/>
          <w:szCs w:val="20"/>
        </w:rPr>
        <w:t xml:space="preserve"> </w:t>
      </w:r>
      <w:r w:rsidRPr="000977F7">
        <w:rPr>
          <w:color w:val="auto"/>
          <w:sz w:val="20"/>
          <w:szCs w:val="20"/>
        </w:rPr>
        <w:t>–</w:t>
      </w:r>
    </w:p>
    <w:p w14:paraId="7F679D4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REDUNDANCY</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450982B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Наявність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виробництві</w:t>
      </w:r>
      <w:r w:rsidRPr="000977F7">
        <w:rPr>
          <w:rFonts w:asciiTheme="majorHAnsi" w:hAnsiTheme="majorHAnsi"/>
          <w:spacing w:val="1"/>
          <w:sz w:val="20"/>
          <w:szCs w:val="20"/>
        </w:rPr>
        <w:t xml:space="preserve"> </w:t>
      </w:r>
      <w:r w:rsidRPr="000977F7">
        <w:rPr>
          <w:rFonts w:asciiTheme="majorHAnsi" w:hAnsiTheme="majorHAnsi"/>
          <w:sz w:val="20"/>
          <w:szCs w:val="20"/>
        </w:rPr>
        <w:t>більше</w:t>
      </w:r>
      <w:r w:rsidRPr="000977F7">
        <w:rPr>
          <w:rFonts w:asciiTheme="majorHAnsi" w:hAnsiTheme="majorHAnsi"/>
          <w:spacing w:val="1"/>
          <w:sz w:val="20"/>
          <w:szCs w:val="20"/>
        </w:rPr>
        <w:t xml:space="preserve"> </w:t>
      </w:r>
      <w:r w:rsidRPr="000977F7">
        <w:rPr>
          <w:rFonts w:asciiTheme="majorHAnsi" w:hAnsiTheme="majorHAnsi"/>
          <w:sz w:val="20"/>
          <w:szCs w:val="20"/>
        </w:rPr>
        <w:t>ніж</w:t>
      </w:r>
      <w:r w:rsidRPr="000977F7">
        <w:rPr>
          <w:rFonts w:asciiTheme="majorHAnsi" w:hAnsiTheme="majorHAnsi"/>
          <w:spacing w:val="1"/>
          <w:sz w:val="20"/>
          <w:szCs w:val="20"/>
        </w:rPr>
        <w:t xml:space="preserve"> </w:t>
      </w:r>
      <w:r w:rsidRPr="000977F7">
        <w:rPr>
          <w:rFonts w:asciiTheme="majorHAnsi" w:hAnsiTheme="majorHAnsi"/>
          <w:sz w:val="20"/>
          <w:szCs w:val="20"/>
        </w:rPr>
        <w:t>одного</w:t>
      </w:r>
      <w:r w:rsidRPr="000977F7">
        <w:rPr>
          <w:rFonts w:asciiTheme="majorHAnsi" w:hAnsiTheme="majorHAnsi"/>
          <w:spacing w:val="50"/>
          <w:sz w:val="20"/>
          <w:szCs w:val="20"/>
        </w:rPr>
        <w:t xml:space="preserve"> </w:t>
      </w:r>
      <w:r w:rsidRPr="000977F7">
        <w:rPr>
          <w:rFonts w:asciiTheme="majorHAnsi" w:hAnsiTheme="majorHAnsi"/>
          <w:sz w:val="20"/>
          <w:szCs w:val="20"/>
        </w:rPr>
        <w:t>засобу</w:t>
      </w:r>
      <w:r w:rsidRPr="000977F7">
        <w:rPr>
          <w:rFonts w:asciiTheme="majorHAnsi" w:hAnsiTheme="majorHAnsi"/>
          <w:spacing w:val="-47"/>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2"/>
          <w:sz w:val="20"/>
          <w:szCs w:val="20"/>
        </w:rPr>
        <w:t xml:space="preserve"> </w:t>
      </w:r>
      <w:r w:rsidRPr="000977F7">
        <w:rPr>
          <w:rFonts w:asciiTheme="majorHAnsi" w:hAnsiTheme="majorHAnsi"/>
          <w:sz w:val="20"/>
          <w:szCs w:val="20"/>
        </w:rPr>
        <w:t>потрібної</w:t>
      </w:r>
      <w:r w:rsidRPr="000977F7">
        <w:rPr>
          <w:rFonts w:asciiTheme="majorHAnsi" w:hAnsiTheme="majorHAnsi"/>
          <w:spacing w:val="-2"/>
          <w:sz w:val="20"/>
          <w:szCs w:val="20"/>
        </w:rPr>
        <w:t xml:space="preserve"> </w:t>
      </w:r>
      <w:r w:rsidRPr="000977F7">
        <w:rPr>
          <w:rFonts w:asciiTheme="majorHAnsi" w:hAnsiTheme="majorHAnsi"/>
          <w:sz w:val="20"/>
          <w:szCs w:val="20"/>
        </w:rPr>
        <w:t>функції</w:t>
      </w:r>
    </w:p>
    <w:p w14:paraId="18E94D5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Спосіб</w:t>
      </w:r>
      <w:r w:rsidRPr="000977F7">
        <w:rPr>
          <w:rFonts w:asciiTheme="majorHAnsi" w:hAnsiTheme="majorHAnsi"/>
          <w:spacing w:val="1"/>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1"/>
          <w:sz w:val="20"/>
          <w:szCs w:val="20"/>
        </w:rPr>
        <w:t xml:space="preserve"> </w:t>
      </w:r>
      <w:r w:rsidRPr="000977F7">
        <w:rPr>
          <w:rFonts w:asciiTheme="majorHAnsi" w:hAnsiTheme="majorHAnsi"/>
          <w:sz w:val="20"/>
          <w:szCs w:val="20"/>
        </w:rPr>
        <w:t>надійності</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рахунок</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 додаткових засобів та (або) можливостей,</w:t>
      </w:r>
      <w:r w:rsidRPr="000977F7">
        <w:rPr>
          <w:rFonts w:asciiTheme="majorHAnsi" w:hAnsiTheme="majorHAnsi"/>
          <w:spacing w:val="1"/>
          <w:sz w:val="20"/>
          <w:szCs w:val="20"/>
        </w:rPr>
        <w:t xml:space="preserve"> </w:t>
      </w:r>
      <w:r w:rsidRPr="000977F7">
        <w:rPr>
          <w:rFonts w:asciiTheme="majorHAnsi" w:hAnsiTheme="majorHAnsi"/>
          <w:sz w:val="20"/>
          <w:szCs w:val="20"/>
        </w:rPr>
        <w:t>надлишкових</w:t>
      </w:r>
      <w:r w:rsidRPr="000977F7">
        <w:rPr>
          <w:rFonts w:asciiTheme="majorHAnsi" w:hAnsiTheme="majorHAnsi"/>
          <w:spacing w:val="1"/>
          <w:sz w:val="20"/>
          <w:szCs w:val="20"/>
        </w:rPr>
        <w:t xml:space="preserve"> </w:t>
      </w:r>
      <w:r w:rsidRPr="000977F7">
        <w:rPr>
          <w:rFonts w:asciiTheme="majorHAnsi" w:hAnsiTheme="majorHAnsi"/>
          <w:sz w:val="20"/>
          <w:szCs w:val="20"/>
        </w:rPr>
        <w:t>відносно</w:t>
      </w:r>
      <w:r w:rsidRPr="000977F7">
        <w:rPr>
          <w:rFonts w:asciiTheme="majorHAnsi" w:hAnsiTheme="majorHAnsi"/>
          <w:spacing w:val="1"/>
          <w:sz w:val="20"/>
          <w:szCs w:val="20"/>
        </w:rPr>
        <w:t xml:space="preserve"> </w:t>
      </w:r>
      <w:r w:rsidRPr="000977F7">
        <w:rPr>
          <w:rFonts w:asciiTheme="majorHAnsi" w:hAnsiTheme="majorHAnsi"/>
          <w:sz w:val="20"/>
          <w:szCs w:val="20"/>
        </w:rPr>
        <w:t>мінімально</w:t>
      </w:r>
      <w:r w:rsidRPr="000977F7">
        <w:rPr>
          <w:rFonts w:asciiTheme="majorHAnsi" w:hAnsiTheme="majorHAnsi"/>
          <w:spacing w:val="50"/>
          <w:sz w:val="20"/>
          <w:szCs w:val="20"/>
        </w:rPr>
        <w:t xml:space="preserve"> </w:t>
      </w:r>
      <w:r w:rsidRPr="000977F7">
        <w:rPr>
          <w:rFonts w:asciiTheme="majorHAnsi" w:hAnsiTheme="majorHAnsi"/>
          <w:sz w:val="20"/>
          <w:szCs w:val="20"/>
        </w:rPr>
        <w:t>необхідних</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2"/>
          <w:sz w:val="20"/>
          <w:szCs w:val="20"/>
        </w:rPr>
        <w:t xml:space="preserve"> </w:t>
      </w:r>
      <w:r w:rsidRPr="000977F7">
        <w:rPr>
          <w:rFonts w:asciiTheme="majorHAnsi" w:hAnsiTheme="majorHAnsi"/>
          <w:sz w:val="20"/>
          <w:szCs w:val="20"/>
        </w:rPr>
        <w:t>потрібних</w:t>
      </w:r>
      <w:r w:rsidRPr="000977F7">
        <w:rPr>
          <w:rFonts w:asciiTheme="majorHAnsi" w:hAnsiTheme="majorHAnsi"/>
          <w:spacing w:val="-2"/>
          <w:sz w:val="20"/>
          <w:szCs w:val="20"/>
        </w:rPr>
        <w:t xml:space="preserve"> </w:t>
      </w:r>
      <w:r w:rsidRPr="000977F7">
        <w:rPr>
          <w:rFonts w:asciiTheme="majorHAnsi" w:hAnsiTheme="majorHAnsi"/>
          <w:sz w:val="20"/>
          <w:szCs w:val="20"/>
        </w:rPr>
        <w:t>функцій</w:t>
      </w:r>
    </w:p>
    <w:p w14:paraId="494839A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2860 - 94</w:t>
      </w:r>
    </w:p>
    <w:p w14:paraId="72D78C1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РЕЗЕРВУВАННЯ</w:t>
      </w:r>
      <w:r w:rsidRPr="000977F7">
        <w:rPr>
          <w:color w:val="auto"/>
          <w:spacing w:val="-4"/>
          <w:sz w:val="20"/>
          <w:szCs w:val="20"/>
        </w:rPr>
        <w:t xml:space="preserve"> </w:t>
      </w:r>
      <w:r w:rsidRPr="000977F7">
        <w:rPr>
          <w:color w:val="auto"/>
          <w:sz w:val="20"/>
          <w:szCs w:val="20"/>
        </w:rPr>
        <w:t>БЕЗ</w:t>
      </w:r>
      <w:r w:rsidRPr="000977F7">
        <w:rPr>
          <w:color w:val="auto"/>
          <w:spacing w:val="-5"/>
          <w:sz w:val="20"/>
          <w:szCs w:val="20"/>
        </w:rPr>
        <w:t xml:space="preserve"> </w:t>
      </w:r>
      <w:r w:rsidRPr="000977F7">
        <w:rPr>
          <w:color w:val="auto"/>
          <w:sz w:val="20"/>
          <w:szCs w:val="20"/>
        </w:rPr>
        <w:t>ВІДНОВЛЕННЯ –</w:t>
      </w:r>
    </w:p>
    <w:p w14:paraId="5226F7F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REDUNDANCY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WITHOUT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RESTORATION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3C03D13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Резервування</w:t>
      </w:r>
      <w:r w:rsidRPr="004D2D14">
        <w:rPr>
          <w:rFonts w:asciiTheme="majorHAnsi" w:hAnsiTheme="majorHAnsi"/>
          <w:sz w:val="20"/>
          <w:szCs w:val="20"/>
          <w:lang w:val="en-US"/>
        </w:rPr>
        <w:t xml:space="preserve">, </w:t>
      </w:r>
      <w:r w:rsidRPr="000977F7">
        <w:rPr>
          <w:rFonts w:asciiTheme="majorHAnsi" w:hAnsiTheme="majorHAnsi"/>
          <w:sz w:val="20"/>
          <w:szCs w:val="20"/>
        </w:rPr>
        <w:t>при</w:t>
      </w:r>
      <w:r w:rsidRPr="004D2D14">
        <w:rPr>
          <w:rFonts w:asciiTheme="majorHAnsi" w:hAnsiTheme="majorHAnsi"/>
          <w:sz w:val="20"/>
          <w:szCs w:val="20"/>
          <w:lang w:val="en-US"/>
        </w:rPr>
        <w:t xml:space="preserve"> </w:t>
      </w:r>
      <w:r w:rsidRPr="000977F7">
        <w:rPr>
          <w:rFonts w:asciiTheme="majorHAnsi" w:hAnsiTheme="majorHAnsi"/>
          <w:sz w:val="20"/>
          <w:szCs w:val="20"/>
        </w:rPr>
        <w:t>якому</w:t>
      </w:r>
      <w:r w:rsidRPr="004D2D14">
        <w:rPr>
          <w:rFonts w:asciiTheme="majorHAnsi" w:hAnsiTheme="majorHAnsi"/>
          <w:sz w:val="20"/>
          <w:szCs w:val="20"/>
          <w:lang w:val="en-US"/>
        </w:rPr>
        <w:t xml:space="preserve"> </w:t>
      </w:r>
      <w:r w:rsidRPr="000977F7">
        <w:rPr>
          <w:rFonts w:asciiTheme="majorHAnsi" w:hAnsiTheme="majorHAnsi"/>
          <w:sz w:val="20"/>
          <w:szCs w:val="20"/>
        </w:rPr>
        <w:t>відновлення</w:t>
      </w:r>
      <w:r w:rsidRPr="004D2D14">
        <w:rPr>
          <w:rFonts w:asciiTheme="majorHAnsi" w:hAnsiTheme="majorHAnsi"/>
          <w:sz w:val="20"/>
          <w:szCs w:val="20"/>
          <w:lang w:val="en-US"/>
        </w:rPr>
        <w:t xml:space="preserve"> </w:t>
      </w:r>
      <w:r w:rsidRPr="000977F7">
        <w:rPr>
          <w:rFonts w:asciiTheme="majorHAnsi" w:hAnsiTheme="majorHAnsi"/>
          <w:sz w:val="20"/>
          <w:szCs w:val="20"/>
        </w:rPr>
        <w:t>основних</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резервних</w:t>
      </w:r>
      <w:r w:rsidRPr="004D2D14">
        <w:rPr>
          <w:rFonts w:asciiTheme="majorHAnsi" w:hAnsiTheme="majorHAnsi"/>
          <w:sz w:val="20"/>
          <w:szCs w:val="20"/>
          <w:lang w:val="en-US"/>
        </w:rPr>
        <w:t xml:space="preserve"> </w:t>
      </w:r>
      <w:r w:rsidRPr="000977F7">
        <w:rPr>
          <w:rFonts w:asciiTheme="majorHAnsi" w:hAnsiTheme="majorHAnsi"/>
          <w:sz w:val="20"/>
          <w:szCs w:val="20"/>
        </w:rPr>
        <w:t>елементів</w:t>
      </w:r>
      <w:r w:rsidRPr="004D2D14">
        <w:rPr>
          <w:rFonts w:asciiTheme="majorHAnsi" w:hAnsiTheme="majorHAnsi"/>
          <w:sz w:val="20"/>
          <w:szCs w:val="20"/>
          <w:lang w:val="en-US"/>
        </w:rPr>
        <w:t xml:space="preserve"> </w:t>
      </w:r>
      <w:r w:rsidRPr="000977F7">
        <w:rPr>
          <w:rFonts w:asciiTheme="majorHAnsi" w:hAnsiTheme="majorHAnsi"/>
          <w:sz w:val="20"/>
          <w:szCs w:val="20"/>
        </w:rPr>
        <w:t>у</w:t>
      </w:r>
      <w:r w:rsidRPr="004D2D14">
        <w:rPr>
          <w:rFonts w:asciiTheme="majorHAnsi" w:hAnsiTheme="majorHAnsi"/>
          <w:sz w:val="20"/>
          <w:szCs w:val="20"/>
          <w:lang w:val="en-US"/>
        </w:rPr>
        <w:t xml:space="preserve"> </w:t>
      </w:r>
      <w:r w:rsidRPr="000977F7">
        <w:rPr>
          <w:rFonts w:asciiTheme="majorHAnsi" w:hAnsiTheme="majorHAnsi"/>
          <w:sz w:val="20"/>
          <w:szCs w:val="20"/>
        </w:rPr>
        <w:t>випадках</w:t>
      </w:r>
      <w:r w:rsidRPr="004D2D14">
        <w:rPr>
          <w:rFonts w:asciiTheme="majorHAnsi" w:hAnsiTheme="majorHAnsi"/>
          <w:sz w:val="20"/>
          <w:szCs w:val="20"/>
          <w:lang w:val="en-US"/>
        </w:rPr>
        <w:t xml:space="preserve"> </w:t>
      </w:r>
      <w:r w:rsidRPr="000977F7">
        <w:rPr>
          <w:rFonts w:asciiTheme="majorHAnsi" w:hAnsiTheme="majorHAnsi"/>
          <w:sz w:val="20"/>
          <w:szCs w:val="20"/>
        </w:rPr>
        <w:t>їх</w:t>
      </w:r>
      <w:r w:rsidRPr="004D2D14">
        <w:rPr>
          <w:rFonts w:asciiTheme="majorHAnsi" w:hAnsiTheme="majorHAnsi"/>
          <w:sz w:val="20"/>
          <w:szCs w:val="20"/>
          <w:lang w:val="en-US"/>
        </w:rPr>
        <w:t xml:space="preserve"> </w:t>
      </w:r>
      <w:r w:rsidRPr="000977F7">
        <w:rPr>
          <w:rFonts w:asciiTheme="majorHAnsi" w:hAnsiTheme="majorHAnsi"/>
          <w:sz w:val="20"/>
          <w:szCs w:val="20"/>
        </w:rPr>
        <w:t>відмови</w:t>
      </w:r>
      <w:r w:rsidRPr="004D2D14">
        <w:rPr>
          <w:rFonts w:asciiTheme="majorHAnsi" w:hAnsiTheme="majorHAnsi"/>
          <w:sz w:val="20"/>
          <w:szCs w:val="20"/>
          <w:lang w:val="en-US"/>
        </w:rPr>
        <w:t xml:space="preserve"> </w:t>
      </w:r>
      <w:r w:rsidRPr="000977F7">
        <w:rPr>
          <w:rFonts w:asciiTheme="majorHAnsi" w:hAnsiTheme="majorHAnsi"/>
          <w:sz w:val="20"/>
          <w:szCs w:val="20"/>
        </w:rPr>
        <w:t>технічно</w:t>
      </w:r>
      <w:r w:rsidRPr="004D2D14">
        <w:rPr>
          <w:rFonts w:asciiTheme="majorHAnsi" w:hAnsiTheme="majorHAnsi"/>
          <w:spacing w:val="1"/>
          <w:sz w:val="20"/>
          <w:szCs w:val="20"/>
          <w:lang w:val="en-US"/>
        </w:rPr>
        <w:t xml:space="preserve"> </w:t>
      </w:r>
      <w:r w:rsidRPr="000977F7">
        <w:rPr>
          <w:rFonts w:asciiTheme="majorHAnsi" w:hAnsiTheme="majorHAnsi"/>
          <w:sz w:val="20"/>
          <w:szCs w:val="20"/>
        </w:rPr>
        <w:t>неможливе</w:t>
      </w:r>
      <w:r w:rsidRPr="004D2D14">
        <w:rPr>
          <w:rFonts w:asciiTheme="majorHAnsi" w:hAnsiTheme="majorHAnsi"/>
          <w:sz w:val="20"/>
          <w:szCs w:val="20"/>
          <w:lang w:val="en-US"/>
        </w:rPr>
        <w:t xml:space="preserve"> </w:t>
      </w:r>
      <w:r w:rsidRPr="000977F7">
        <w:rPr>
          <w:rFonts w:asciiTheme="majorHAnsi" w:hAnsiTheme="majorHAnsi"/>
          <w:sz w:val="20"/>
          <w:szCs w:val="20"/>
        </w:rPr>
        <w:t>без</w:t>
      </w:r>
      <w:r w:rsidRPr="004D2D14">
        <w:rPr>
          <w:rFonts w:asciiTheme="majorHAnsi" w:hAnsiTheme="majorHAnsi"/>
          <w:sz w:val="20"/>
          <w:szCs w:val="20"/>
          <w:lang w:val="en-US"/>
        </w:rPr>
        <w:t xml:space="preserve"> </w:t>
      </w:r>
      <w:r w:rsidRPr="000977F7">
        <w:rPr>
          <w:rFonts w:asciiTheme="majorHAnsi" w:hAnsiTheme="majorHAnsi"/>
          <w:sz w:val="20"/>
          <w:szCs w:val="20"/>
        </w:rPr>
        <w:t>порушення</w:t>
      </w:r>
      <w:r w:rsidRPr="004D2D14">
        <w:rPr>
          <w:rFonts w:asciiTheme="majorHAnsi" w:hAnsiTheme="majorHAnsi"/>
          <w:sz w:val="20"/>
          <w:szCs w:val="20"/>
          <w:lang w:val="en-US"/>
        </w:rPr>
        <w:t xml:space="preserve"> </w:t>
      </w:r>
      <w:r w:rsidRPr="000977F7">
        <w:rPr>
          <w:rFonts w:asciiTheme="majorHAnsi" w:hAnsiTheme="majorHAnsi"/>
          <w:sz w:val="20"/>
          <w:szCs w:val="20"/>
        </w:rPr>
        <w:t>працездатності</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pacing w:val="1"/>
          <w:sz w:val="20"/>
          <w:szCs w:val="20"/>
          <w:lang w:val="en-US"/>
        </w:rPr>
        <w:t xml:space="preserve"> </w:t>
      </w:r>
      <w:r w:rsidRPr="000977F7">
        <w:rPr>
          <w:rFonts w:asciiTheme="majorHAnsi" w:hAnsiTheme="majorHAnsi"/>
          <w:sz w:val="20"/>
          <w:szCs w:val="20"/>
        </w:rPr>
        <w:t>цілому</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не</w:t>
      </w:r>
      <w:r w:rsidRPr="004D2D14">
        <w:rPr>
          <w:rFonts w:asciiTheme="majorHAnsi" w:hAnsiTheme="majorHAnsi"/>
          <w:sz w:val="20"/>
          <w:szCs w:val="20"/>
          <w:lang w:val="en-US"/>
        </w:rPr>
        <w:t xml:space="preserve"> </w:t>
      </w:r>
      <w:r w:rsidRPr="000977F7">
        <w:rPr>
          <w:rFonts w:asciiTheme="majorHAnsi" w:hAnsiTheme="majorHAnsi"/>
          <w:sz w:val="20"/>
          <w:szCs w:val="20"/>
        </w:rPr>
        <w:t>передбачене</w:t>
      </w:r>
      <w:r w:rsidRPr="004D2D14">
        <w:rPr>
          <w:rFonts w:asciiTheme="majorHAnsi" w:hAnsiTheme="majorHAnsi"/>
          <w:sz w:val="20"/>
          <w:szCs w:val="20"/>
          <w:lang w:val="en-US"/>
        </w:rPr>
        <w:t xml:space="preserve"> </w:t>
      </w:r>
      <w:r w:rsidRPr="000977F7">
        <w:rPr>
          <w:rFonts w:asciiTheme="majorHAnsi" w:hAnsiTheme="majorHAnsi"/>
          <w:sz w:val="20"/>
          <w:szCs w:val="20"/>
        </w:rPr>
        <w:t>експлуатаційною</w:t>
      </w:r>
      <w:r w:rsidRPr="004D2D14">
        <w:rPr>
          <w:rFonts w:asciiTheme="majorHAnsi" w:hAnsiTheme="majorHAnsi"/>
          <w:sz w:val="20"/>
          <w:szCs w:val="20"/>
          <w:lang w:val="en-US"/>
        </w:rPr>
        <w:t xml:space="preserve"> </w:t>
      </w:r>
      <w:r w:rsidRPr="000977F7">
        <w:rPr>
          <w:rFonts w:asciiTheme="majorHAnsi" w:hAnsiTheme="majorHAnsi"/>
          <w:sz w:val="20"/>
          <w:szCs w:val="20"/>
        </w:rPr>
        <w:t>документацією</w:t>
      </w:r>
    </w:p>
    <w:p w14:paraId="797E08F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7329D6D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РЕЗЕРВУВАННЯ</w:t>
      </w:r>
      <w:r w:rsidRPr="000977F7">
        <w:rPr>
          <w:color w:val="auto"/>
          <w:spacing w:val="-4"/>
          <w:sz w:val="20"/>
          <w:szCs w:val="20"/>
        </w:rPr>
        <w:t xml:space="preserve"> </w:t>
      </w:r>
      <w:r w:rsidRPr="000977F7">
        <w:rPr>
          <w:color w:val="auto"/>
          <w:sz w:val="20"/>
          <w:szCs w:val="20"/>
        </w:rPr>
        <w:t>З</w:t>
      </w:r>
      <w:r w:rsidRPr="000977F7">
        <w:rPr>
          <w:color w:val="auto"/>
          <w:spacing w:val="-4"/>
          <w:sz w:val="20"/>
          <w:szCs w:val="20"/>
        </w:rPr>
        <w:t xml:space="preserve"> </w:t>
      </w:r>
      <w:r w:rsidRPr="000977F7">
        <w:rPr>
          <w:color w:val="auto"/>
          <w:sz w:val="20"/>
          <w:szCs w:val="20"/>
        </w:rPr>
        <w:t>ВІДНОВЛЕННЯМ</w:t>
      </w:r>
      <w:r w:rsidRPr="000977F7">
        <w:rPr>
          <w:color w:val="auto"/>
          <w:spacing w:val="1"/>
          <w:sz w:val="20"/>
          <w:szCs w:val="20"/>
        </w:rPr>
        <w:t xml:space="preserve"> </w:t>
      </w:r>
      <w:r w:rsidRPr="000977F7">
        <w:rPr>
          <w:color w:val="auto"/>
          <w:sz w:val="20"/>
          <w:szCs w:val="20"/>
        </w:rPr>
        <w:t>–</w:t>
      </w:r>
    </w:p>
    <w:p w14:paraId="27241FD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REDUNDANCY</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WITH</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RESTORATION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FE57EC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Резервування</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в</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якому</w:t>
      </w:r>
      <w:r w:rsidRPr="004D2D14">
        <w:rPr>
          <w:rFonts w:asciiTheme="majorHAnsi" w:hAnsiTheme="majorHAnsi"/>
          <w:sz w:val="20"/>
          <w:szCs w:val="20"/>
          <w:lang w:val="en-US"/>
        </w:rPr>
        <w:t xml:space="preserve"> </w:t>
      </w:r>
      <w:r w:rsidRPr="000977F7">
        <w:rPr>
          <w:rFonts w:asciiTheme="majorHAnsi" w:hAnsiTheme="majorHAnsi"/>
          <w:sz w:val="20"/>
          <w:szCs w:val="20"/>
        </w:rPr>
        <w:t>відновлення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основних</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r w:rsidRPr="000977F7">
        <w:rPr>
          <w:rFonts w:asciiTheme="majorHAnsi" w:hAnsiTheme="majorHAnsi"/>
          <w:sz w:val="20"/>
          <w:szCs w:val="20"/>
        </w:rPr>
        <w:t>чи</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резервних</w:t>
      </w:r>
      <w:r w:rsidRPr="004D2D14">
        <w:rPr>
          <w:rFonts w:asciiTheme="majorHAnsi" w:hAnsiTheme="majorHAnsi"/>
          <w:sz w:val="20"/>
          <w:szCs w:val="20"/>
          <w:lang w:val="en-US"/>
        </w:rPr>
        <w:t xml:space="preserve"> </w:t>
      </w:r>
      <w:r w:rsidRPr="000977F7">
        <w:rPr>
          <w:rFonts w:asciiTheme="majorHAnsi" w:hAnsiTheme="majorHAnsi"/>
          <w:sz w:val="20"/>
          <w:szCs w:val="20"/>
        </w:rPr>
        <w:t>елементів</w:t>
      </w:r>
      <w:r w:rsidRPr="004D2D14">
        <w:rPr>
          <w:rFonts w:asciiTheme="majorHAnsi" w:hAnsiTheme="majorHAnsi"/>
          <w:sz w:val="20"/>
          <w:szCs w:val="20"/>
          <w:lang w:val="en-US"/>
        </w:rPr>
        <w:t xml:space="preserve">, </w:t>
      </w:r>
      <w:r w:rsidRPr="000977F7">
        <w:rPr>
          <w:rFonts w:asciiTheme="majorHAnsi" w:hAnsiTheme="majorHAnsi"/>
          <w:sz w:val="20"/>
          <w:szCs w:val="20"/>
        </w:rPr>
        <w:t>у</w:t>
      </w:r>
      <w:r w:rsidRPr="004D2D14">
        <w:rPr>
          <w:rFonts w:asciiTheme="majorHAnsi" w:hAnsiTheme="majorHAnsi"/>
          <w:sz w:val="20"/>
          <w:szCs w:val="20"/>
          <w:lang w:val="en-US"/>
        </w:rPr>
        <w:t xml:space="preserve"> </w:t>
      </w:r>
      <w:r w:rsidRPr="000977F7">
        <w:rPr>
          <w:rFonts w:asciiTheme="majorHAnsi" w:hAnsiTheme="majorHAnsi"/>
          <w:sz w:val="20"/>
          <w:szCs w:val="20"/>
        </w:rPr>
        <w:t>випадку</w:t>
      </w:r>
      <w:r w:rsidRPr="004D2D14">
        <w:rPr>
          <w:rFonts w:asciiTheme="majorHAnsi" w:hAnsiTheme="majorHAnsi"/>
          <w:sz w:val="20"/>
          <w:szCs w:val="20"/>
          <w:lang w:val="en-US"/>
        </w:rPr>
        <w:t xml:space="preserve"> </w:t>
      </w:r>
      <w:r w:rsidRPr="000977F7">
        <w:rPr>
          <w:rFonts w:asciiTheme="majorHAnsi" w:hAnsiTheme="majorHAnsi"/>
          <w:sz w:val="20"/>
          <w:szCs w:val="20"/>
        </w:rPr>
        <w:t>їх</w:t>
      </w:r>
      <w:r w:rsidRPr="004D2D14">
        <w:rPr>
          <w:rFonts w:asciiTheme="majorHAnsi" w:hAnsiTheme="majorHAnsi"/>
          <w:sz w:val="20"/>
          <w:szCs w:val="20"/>
          <w:lang w:val="en-US"/>
        </w:rPr>
        <w:t xml:space="preserve"> </w:t>
      </w:r>
      <w:r w:rsidRPr="000977F7">
        <w:rPr>
          <w:rFonts w:asciiTheme="majorHAnsi" w:hAnsiTheme="majorHAnsi"/>
          <w:sz w:val="20"/>
          <w:szCs w:val="20"/>
        </w:rPr>
        <w:t>відмови</w:t>
      </w:r>
      <w:r w:rsidRPr="004D2D14">
        <w:rPr>
          <w:rFonts w:asciiTheme="majorHAnsi" w:hAnsiTheme="majorHAnsi"/>
          <w:sz w:val="20"/>
          <w:szCs w:val="20"/>
          <w:lang w:val="en-US"/>
        </w:rPr>
        <w:t xml:space="preserve">, </w:t>
      </w:r>
      <w:r w:rsidRPr="000977F7">
        <w:rPr>
          <w:rFonts w:asciiTheme="majorHAnsi" w:hAnsiTheme="majorHAnsi"/>
          <w:sz w:val="20"/>
          <w:szCs w:val="20"/>
        </w:rPr>
        <w:t>технічно</w:t>
      </w:r>
      <w:r w:rsidRPr="004D2D14">
        <w:rPr>
          <w:rFonts w:asciiTheme="majorHAnsi" w:hAnsiTheme="majorHAnsi"/>
          <w:spacing w:val="1"/>
          <w:sz w:val="20"/>
          <w:szCs w:val="20"/>
          <w:lang w:val="en-US"/>
        </w:rPr>
        <w:t xml:space="preserve"> </w:t>
      </w:r>
      <w:r w:rsidRPr="000977F7">
        <w:rPr>
          <w:rFonts w:asciiTheme="majorHAnsi" w:hAnsiTheme="majorHAnsi"/>
          <w:sz w:val="20"/>
          <w:szCs w:val="20"/>
        </w:rPr>
        <w:t>можливе</w:t>
      </w:r>
      <w:r w:rsidRPr="004D2D14">
        <w:rPr>
          <w:rFonts w:asciiTheme="majorHAnsi" w:hAnsiTheme="majorHAnsi"/>
          <w:spacing w:val="1"/>
          <w:sz w:val="20"/>
          <w:szCs w:val="20"/>
          <w:lang w:val="en-US"/>
        </w:rPr>
        <w:t xml:space="preserve"> </w:t>
      </w:r>
      <w:r w:rsidRPr="000977F7">
        <w:rPr>
          <w:rFonts w:asciiTheme="majorHAnsi" w:hAnsiTheme="majorHAnsi"/>
          <w:sz w:val="20"/>
          <w:szCs w:val="20"/>
        </w:rPr>
        <w:t>без</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порушення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працездатності</w:t>
      </w:r>
      <w:r w:rsidRPr="004D2D14">
        <w:rPr>
          <w:rFonts w:asciiTheme="majorHAnsi" w:hAnsiTheme="majorHAnsi"/>
          <w:spacing w:val="1"/>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r w:rsidRPr="004D2D14">
        <w:rPr>
          <w:rFonts w:asciiTheme="majorHAnsi" w:hAnsiTheme="majorHAnsi"/>
          <w:spacing w:val="1"/>
          <w:sz w:val="20"/>
          <w:szCs w:val="20"/>
          <w:lang w:val="en-US"/>
        </w:rPr>
        <w:t xml:space="preserve"> </w:t>
      </w:r>
      <w:r w:rsidRPr="000977F7">
        <w:rPr>
          <w:rFonts w:asciiTheme="majorHAnsi" w:hAnsiTheme="majorHAnsi"/>
          <w:sz w:val="20"/>
          <w:szCs w:val="20"/>
        </w:rPr>
        <w:t>в</w:t>
      </w:r>
      <w:r w:rsidRPr="004D2D14">
        <w:rPr>
          <w:rFonts w:asciiTheme="majorHAnsi" w:hAnsiTheme="majorHAnsi"/>
          <w:spacing w:val="1"/>
          <w:sz w:val="20"/>
          <w:szCs w:val="20"/>
          <w:lang w:val="en-US"/>
        </w:rPr>
        <w:t xml:space="preserve"> </w:t>
      </w:r>
      <w:r w:rsidRPr="000977F7">
        <w:rPr>
          <w:rFonts w:asciiTheme="majorHAnsi" w:hAnsiTheme="majorHAnsi"/>
          <w:sz w:val="20"/>
          <w:szCs w:val="20"/>
        </w:rPr>
        <w:t>цілому</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передбачено</w:t>
      </w:r>
      <w:r w:rsidRPr="004D2D14">
        <w:rPr>
          <w:rFonts w:asciiTheme="majorHAnsi" w:hAnsiTheme="majorHAnsi"/>
          <w:sz w:val="20"/>
          <w:szCs w:val="20"/>
          <w:lang w:val="en-US"/>
        </w:rPr>
        <w:t xml:space="preserve"> </w:t>
      </w:r>
      <w:r w:rsidRPr="000977F7">
        <w:rPr>
          <w:rFonts w:asciiTheme="majorHAnsi" w:hAnsiTheme="majorHAnsi"/>
          <w:sz w:val="20"/>
          <w:szCs w:val="20"/>
        </w:rPr>
        <w:t>експлуатаційною</w:t>
      </w:r>
      <w:r w:rsidRPr="004D2D14">
        <w:rPr>
          <w:rFonts w:asciiTheme="majorHAnsi" w:hAnsiTheme="majorHAnsi"/>
          <w:sz w:val="20"/>
          <w:szCs w:val="20"/>
          <w:lang w:val="en-US"/>
        </w:rPr>
        <w:t xml:space="preserve"> </w:t>
      </w:r>
      <w:r w:rsidRPr="000977F7">
        <w:rPr>
          <w:rFonts w:asciiTheme="majorHAnsi" w:hAnsiTheme="majorHAnsi"/>
          <w:sz w:val="20"/>
          <w:szCs w:val="20"/>
        </w:rPr>
        <w:t>документацією</w:t>
      </w:r>
    </w:p>
    <w:p w14:paraId="123E4B34"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2860 –</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7AD7BD5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РЕЗИДЕНТИ</w:t>
      </w:r>
      <w:r w:rsidRPr="000977F7">
        <w:rPr>
          <w:color w:val="auto"/>
          <w:spacing w:val="-4"/>
          <w:sz w:val="20"/>
          <w:szCs w:val="20"/>
        </w:rPr>
        <w:t xml:space="preserve"> </w:t>
      </w:r>
      <w:r w:rsidRPr="000977F7">
        <w:rPr>
          <w:color w:val="auto"/>
          <w:sz w:val="20"/>
          <w:szCs w:val="20"/>
        </w:rPr>
        <w:t>–</w:t>
      </w:r>
    </w:p>
    <w:p w14:paraId="418890D2" w14:textId="77777777" w:rsidR="0097612F" w:rsidRPr="004D2D14"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val="en-US" w:eastAsia="ru-RU"/>
        </w:rPr>
      </w:pPr>
      <w:bookmarkStart w:id="243" w:name="n388"/>
      <w:bookmarkStart w:id="244" w:name="_Hlk103080843"/>
      <w:bookmarkEnd w:id="243"/>
      <w:r w:rsidRPr="000977F7">
        <w:rPr>
          <w:rFonts w:asciiTheme="majorHAnsi" w:hAnsiTheme="majorHAnsi"/>
          <w:sz w:val="20"/>
          <w:szCs w:val="20"/>
          <w:lang w:eastAsia="ru-RU"/>
        </w:rPr>
        <w:t>а</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Юридичні</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особи</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які</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утворені</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та</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провадять</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свою</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діяльність</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відповідно</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до</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законодавства</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України</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з</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місцезнаходженням</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на</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її</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території</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а</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також</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їх</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відокремлені</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підрозділи</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за</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кордоном</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що</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не</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здійснюють</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господарської</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діяльності</w:t>
      </w:r>
      <w:r w:rsidRPr="004D2D14">
        <w:rPr>
          <w:rFonts w:asciiTheme="majorHAnsi" w:hAnsiTheme="majorHAnsi"/>
          <w:sz w:val="20"/>
          <w:szCs w:val="20"/>
          <w:lang w:val="en-US" w:eastAsia="ru-RU"/>
        </w:rPr>
        <w:t>;</w:t>
      </w:r>
    </w:p>
    <w:p w14:paraId="2F28A1D4" w14:textId="77777777" w:rsidR="0097612F" w:rsidRPr="004D2D14"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val="en-US" w:eastAsia="ru-RU"/>
        </w:rPr>
      </w:pPr>
      <w:bookmarkStart w:id="245" w:name="n389"/>
      <w:bookmarkEnd w:id="245"/>
      <w:r w:rsidRPr="000977F7">
        <w:rPr>
          <w:rFonts w:asciiTheme="majorHAnsi" w:hAnsiTheme="majorHAnsi"/>
          <w:sz w:val="20"/>
          <w:szCs w:val="20"/>
          <w:lang w:eastAsia="ru-RU"/>
        </w:rPr>
        <w:t>б</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дипломатичні</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представництва</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консульські</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установи</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та</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інші</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офіційні</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представництва</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України</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за</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кордоном</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які</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мають</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дипломатичні</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привілеї</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та</w:t>
      </w:r>
      <w:r w:rsidRPr="004D2D14">
        <w:rPr>
          <w:rFonts w:asciiTheme="majorHAnsi" w:hAnsiTheme="majorHAnsi"/>
          <w:sz w:val="20"/>
          <w:szCs w:val="20"/>
          <w:lang w:val="en-US" w:eastAsia="ru-RU"/>
        </w:rPr>
        <w:t xml:space="preserve"> </w:t>
      </w:r>
      <w:r w:rsidRPr="000977F7">
        <w:rPr>
          <w:rFonts w:asciiTheme="majorHAnsi" w:hAnsiTheme="majorHAnsi"/>
          <w:sz w:val="20"/>
          <w:szCs w:val="20"/>
          <w:lang w:eastAsia="ru-RU"/>
        </w:rPr>
        <w:t>імунітет</w:t>
      </w:r>
      <w:r w:rsidRPr="004D2D14">
        <w:rPr>
          <w:rFonts w:asciiTheme="majorHAnsi" w:hAnsiTheme="majorHAnsi"/>
          <w:sz w:val="20"/>
          <w:szCs w:val="20"/>
          <w:lang w:val="en-US" w:eastAsia="ru-RU"/>
        </w:rPr>
        <w:t>;</w:t>
      </w:r>
    </w:p>
    <w:p w14:paraId="44D51E2D"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bookmarkStart w:id="246" w:name="n390"/>
      <w:bookmarkEnd w:id="246"/>
      <w:r w:rsidRPr="000977F7">
        <w:rPr>
          <w:rFonts w:asciiTheme="majorHAnsi" w:hAnsiTheme="majorHAnsi"/>
          <w:sz w:val="20"/>
          <w:szCs w:val="20"/>
          <w:lang w:eastAsia="ru-RU"/>
        </w:rPr>
        <w:t>в) фізичні особи: громадяни України, іноземці та особи без громадянства, які мають постійне місце проживання в Україні, у тому числі ті, які тимчасово перебувають за кордоном;</w:t>
      </w:r>
    </w:p>
    <w:p w14:paraId="3EF38E39"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bookmarkStart w:id="247" w:name="n4618"/>
      <w:bookmarkEnd w:id="247"/>
      <w:r w:rsidRPr="000977F7">
        <w:rPr>
          <w:rFonts w:asciiTheme="majorHAnsi" w:hAnsiTheme="majorHAnsi"/>
          <w:sz w:val="20"/>
          <w:szCs w:val="20"/>
          <w:lang w:eastAsia="ru-RU"/>
        </w:rPr>
        <w:t>г) відокремлені підрозділи іноземних юридичних осіб з місцезнаходженням на території України, які здійснюють господарську діяльність відповідно до законодавства України</w:t>
      </w:r>
      <w:bookmarkEnd w:id="244"/>
    </w:p>
    <w:p w14:paraId="20A3ED70"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i/>
          <w:sz w:val="20"/>
          <w:szCs w:val="20"/>
        </w:rPr>
        <w:t>Митний кодекс України</w:t>
      </w:r>
    </w:p>
    <w:p w14:paraId="4BD8952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РЕЗОНАНСНА</w:t>
      </w:r>
      <w:r w:rsidRPr="000977F7">
        <w:rPr>
          <w:color w:val="auto"/>
          <w:spacing w:val="-3"/>
          <w:sz w:val="20"/>
          <w:szCs w:val="20"/>
        </w:rPr>
        <w:t xml:space="preserve"> </w:t>
      </w:r>
      <w:r w:rsidRPr="000977F7">
        <w:rPr>
          <w:color w:val="auto"/>
          <w:sz w:val="20"/>
          <w:szCs w:val="20"/>
        </w:rPr>
        <w:t>ЧАСТОТА –</w:t>
      </w:r>
    </w:p>
    <w:p w14:paraId="4EDF3DEE"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uk-UA"/>
        </w:rPr>
      </w:pPr>
      <w:r w:rsidRPr="000977F7">
        <w:rPr>
          <w:rFonts w:asciiTheme="majorHAnsi" w:hAnsiTheme="majorHAnsi"/>
          <w:sz w:val="20"/>
          <w:szCs w:val="20"/>
        </w:rPr>
        <w:t>RESONANCE</w:t>
      </w:r>
      <w:r w:rsidRPr="004D2D14">
        <w:rPr>
          <w:rFonts w:asciiTheme="majorHAnsi" w:hAnsiTheme="majorHAnsi"/>
          <w:spacing w:val="-2"/>
          <w:sz w:val="20"/>
          <w:szCs w:val="20"/>
          <w:lang w:val="uk-UA"/>
        </w:rPr>
        <w:t xml:space="preserve"> </w:t>
      </w:r>
      <w:r w:rsidRPr="000977F7">
        <w:rPr>
          <w:rFonts w:asciiTheme="majorHAnsi" w:hAnsiTheme="majorHAnsi"/>
          <w:sz w:val="20"/>
          <w:szCs w:val="20"/>
        </w:rPr>
        <w:t>FREQUECY</w:t>
      </w:r>
      <w:r w:rsidRPr="004D2D14">
        <w:rPr>
          <w:rFonts w:asciiTheme="majorHAnsi" w:hAnsiTheme="majorHAnsi"/>
          <w:spacing w:val="-1"/>
          <w:sz w:val="20"/>
          <w:szCs w:val="20"/>
          <w:lang w:val="uk-UA"/>
        </w:rPr>
        <w:t xml:space="preserve"> </w:t>
      </w:r>
      <w:r w:rsidRPr="004D2D14">
        <w:rPr>
          <w:rFonts w:asciiTheme="majorHAnsi" w:hAnsiTheme="majorHAnsi"/>
          <w:b/>
          <w:sz w:val="20"/>
          <w:szCs w:val="20"/>
          <w:lang w:val="uk-UA"/>
        </w:rPr>
        <w:t>–</w:t>
      </w:r>
    </w:p>
    <w:p w14:paraId="6557ACD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Частота, яка відповідає найбільшому значенню модуля частотної передавальної функції, коли воно перевищує значення цього самого модуля за частоти, 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дорівнює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нулю</w:t>
      </w:r>
    </w:p>
    <w:p w14:paraId="6F8EF56B"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3956 - 2000</w:t>
      </w:r>
    </w:p>
    <w:p w14:paraId="5A69FB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РЕЗОНАНСНИЙ</w:t>
      </w:r>
      <w:r w:rsidRPr="000977F7">
        <w:rPr>
          <w:color w:val="auto"/>
          <w:spacing w:val="-6"/>
          <w:sz w:val="20"/>
          <w:szCs w:val="20"/>
        </w:rPr>
        <w:t xml:space="preserve"> </w:t>
      </w:r>
      <w:r w:rsidRPr="000977F7">
        <w:rPr>
          <w:color w:val="auto"/>
          <w:sz w:val="20"/>
          <w:szCs w:val="20"/>
        </w:rPr>
        <w:t>МЕТОД</w:t>
      </w:r>
      <w:r w:rsidRPr="000977F7">
        <w:rPr>
          <w:color w:val="auto"/>
          <w:spacing w:val="-1"/>
          <w:sz w:val="20"/>
          <w:szCs w:val="20"/>
        </w:rPr>
        <w:t xml:space="preserve"> </w:t>
      </w:r>
      <w:r w:rsidRPr="000977F7">
        <w:rPr>
          <w:color w:val="auto"/>
          <w:sz w:val="20"/>
          <w:szCs w:val="20"/>
        </w:rPr>
        <w:t>–</w:t>
      </w:r>
    </w:p>
    <w:p w14:paraId="2EF4E4F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RESONANCE</w:t>
      </w:r>
      <w:r w:rsidRPr="004D2D14">
        <w:rPr>
          <w:rFonts w:asciiTheme="majorHAnsi" w:hAnsiTheme="majorHAnsi"/>
          <w:spacing w:val="-2"/>
          <w:sz w:val="20"/>
          <w:szCs w:val="20"/>
          <w:lang w:val="uk-UA"/>
        </w:rPr>
        <w:t xml:space="preserve"> </w:t>
      </w:r>
      <w:r w:rsidRPr="000977F7">
        <w:rPr>
          <w:rFonts w:asciiTheme="majorHAnsi" w:hAnsiTheme="majorHAnsi"/>
          <w:sz w:val="20"/>
          <w:szCs w:val="20"/>
        </w:rPr>
        <w:t>METHOD</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0400993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Метод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неруйнівного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контролю,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ґрунтується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реєстрації параметрів резонансних коливань, збуджених у системі, до якої належать перетворювач на контрольований</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об’єкт</w:t>
      </w:r>
    </w:p>
    <w:p w14:paraId="2602C9B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2865</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5402540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РЕЗУЛЬТАТ</w:t>
      </w:r>
      <w:r w:rsidRPr="000977F7">
        <w:rPr>
          <w:color w:val="auto"/>
          <w:spacing w:val="-5"/>
          <w:sz w:val="20"/>
          <w:szCs w:val="20"/>
        </w:rPr>
        <w:t xml:space="preserve"> </w:t>
      </w:r>
      <w:r w:rsidRPr="000977F7">
        <w:rPr>
          <w:color w:val="auto"/>
          <w:sz w:val="20"/>
          <w:szCs w:val="20"/>
        </w:rPr>
        <w:t>ВИМІРЮВАННЯ</w:t>
      </w:r>
      <w:r w:rsidRPr="000977F7">
        <w:rPr>
          <w:color w:val="auto"/>
          <w:spacing w:val="-1"/>
          <w:sz w:val="20"/>
          <w:szCs w:val="20"/>
        </w:rPr>
        <w:t xml:space="preserve"> </w:t>
      </w:r>
      <w:r w:rsidRPr="000977F7">
        <w:rPr>
          <w:color w:val="auto"/>
          <w:sz w:val="20"/>
          <w:szCs w:val="20"/>
        </w:rPr>
        <w:t>–</w:t>
      </w:r>
    </w:p>
    <w:p w14:paraId="785EF18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RESULT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MEASUREMENT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6D6599F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 фізичної величини, знайдене шляхом її вимірювання</w:t>
      </w:r>
    </w:p>
    <w:p w14:paraId="6DD0A0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77B2CD1E" w14:textId="77777777" w:rsidR="0097612F" w:rsidRPr="000977F7" w:rsidRDefault="0097612F" w:rsidP="00FD39A4">
      <w:pPr>
        <w:pStyle w:val="ac"/>
        <w:widowControl w:val="0"/>
        <w:numPr>
          <w:ilvl w:val="0"/>
          <w:numId w:val="9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Термін рівнозначно відноситься до показу, невиправленого чи виправленого результату та середнього з декількох</w:t>
      </w:r>
      <w:r w:rsidRPr="000977F7">
        <w:rPr>
          <w:rFonts w:asciiTheme="majorHAnsi" w:hAnsiTheme="majorHAnsi"/>
          <w:spacing w:val="-2"/>
          <w:sz w:val="20"/>
          <w:szCs w:val="20"/>
        </w:rPr>
        <w:t xml:space="preserve"> </w:t>
      </w:r>
      <w:r w:rsidRPr="000977F7">
        <w:rPr>
          <w:rFonts w:asciiTheme="majorHAnsi" w:hAnsiTheme="majorHAnsi"/>
          <w:sz w:val="20"/>
          <w:szCs w:val="20"/>
        </w:rPr>
        <w:t>вимірювань</w:t>
      </w:r>
    </w:p>
    <w:p w14:paraId="2173F81A" w14:textId="77777777" w:rsidR="0097612F" w:rsidRPr="000977F7" w:rsidRDefault="0097612F" w:rsidP="00FD39A4">
      <w:pPr>
        <w:pStyle w:val="ac"/>
        <w:widowControl w:val="0"/>
        <w:numPr>
          <w:ilvl w:val="0"/>
          <w:numId w:val="9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Результати</w:t>
      </w:r>
      <w:r w:rsidRPr="000977F7">
        <w:rPr>
          <w:rFonts w:asciiTheme="majorHAnsi" w:hAnsiTheme="majorHAnsi"/>
          <w:spacing w:val="1"/>
          <w:sz w:val="20"/>
          <w:szCs w:val="20"/>
        </w:rPr>
        <w:t xml:space="preserve"> </w:t>
      </w:r>
      <w:r w:rsidRPr="000977F7">
        <w:rPr>
          <w:rFonts w:asciiTheme="majorHAnsi" w:hAnsiTheme="majorHAnsi"/>
          <w:sz w:val="20"/>
          <w:szCs w:val="20"/>
        </w:rPr>
        <w:t>вимірювань</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використовуватись за умови, якщо відомі відповідні характеристики похибок</w:t>
      </w:r>
      <w:r w:rsidRPr="000977F7">
        <w:rPr>
          <w:rFonts w:asciiTheme="majorHAnsi" w:hAnsiTheme="majorHAnsi"/>
          <w:spacing w:val="-1"/>
          <w:sz w:val="20"/>
          <w:szCs w:val="20"/>
        </w:rPr>
        <w:t xml:space="preserve"> </w:t>
      </w:r>
      <w:r w:rsidRPr="000977F7">
        <w:rPr>
          <w:rFonts w:asciiTheme="majorHAnsi" w:hAnsiTheme="majorHAnsi"/>
          <w:sz w:val="20"/>
          <w:szCs w:val="20"/>
        </w:rPr>
        <w:t>вимірювань</w:t>
      </w:r>
    </w:p>
    <w:p w14:paraId="7901CF3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 – 94</w:t>
      </w:r>
    </w:p>
    <w:p w14:paraId="55766B2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РЕЗУЛЬТАТ</w:t>
      </w:r>
      <w:r w:rsidRPr="000977F7">
        <w:rPr>
          <w:color w:val="auto"/>
          <w:spacing w:val="-6"/>
          <w:sz w:val="20"/>
          <w:szCs w:val="20"/>
        </w:rPr>
        <w:t xml:space="preserve"> </w:t>
      </w:r>
      <w:r w:rsidRPr="000977F7">
        <w:rPr>
          <w:color w:val="auto"/>
          <w:sz w:val="20"/>
          <w:szCs w:val="20"/>
        </w:rPr>
        <w:t>ВИПРОБУВАНЬ-</w:t>
      </w:r>
    </w:p>
    <w:p w14:paraId="3AF9CE2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TEST RESULT;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DATA</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1C6661D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Оцінка характеристик властивостей об’єкта, установлення відповідності об’єкта заданим вимогам за даними випробувань, результати аналізу якості функціонування</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процесі</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p>
    <w:p w14:paraId="1EC5683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w:t>
      </w:r>
      <w:r w:rsidRPr="000977F7">
        <w:rPr>
          <w:rFonts w:asciiTheme="majorHAnsi" w:hAnsiTheme="majorHAnsi"/>
          <w:i/>
          <w:spacing w:val="-1"/>
          <w:sz w:val="20"/>
          <w:szCs w:val="20"/>
        </w:rPr>
        <w:t xml:space="preserve"> </w:t>
      </w:r>
      <w:r w:rsidRPr="000977F7">
        <w:rPr>
          <w:rFonts w:asciiTheme="majorHAnsi" w:hAnsiTheme="majorHAnsi"/>
          <w:i/>
          <w:sz w:val="20"/>
          <w:szCs w:val="20"/>
        </w:rPr>
        <w:t>95;</w:t>
      </w:r>
      <w:r w:rsidRPr="000977F7">
        <w:rPr>
          <w:rFonts w:asciiTheme="majorHAnsi" w:hAnsiTheme="majorHAnsi"/>
          <w:i/>
          <w:spacing w:val="-2"/>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63C4619"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РЕЗУЛЬТАТИВНІСТЬ</w:t>
      </w:r>
    </w:p>
    <w:p w14:paraId="2159FC6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EFFICIENCY</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1435EF8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Ступінь реалізації запланованих робіт і досягнення запланованого результату</w:t>
      </w:r>
    </w:p>
    <w:p w14:paraId="74324F7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491FE1D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РЕЄСТР –</w:t>
      </w:r>
    </w:p>
    <w:p w14:paraId="672721B5"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Державний реєстр України промислових зразків, ведення якого здійснюється в електронній формі</w:t>
      </w:r>
    </w:p>
    <w:p w14:paraId="63451696"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охорону прав на промислові зразки"</w:t>
      </w:r>
    </w:p>
    <w:p w14:paraId="6C805FA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РЕІМПОРТ</w:t>
      </w:r>
      <w:r w:rsidRPr="000977F7">
        <w:rPr>
          <w:color w:val="auto"/>
          <w:spacing w:val="-2"/>
          <w:sz w:val="20"/>
          <w:szCs w:val="20"/>
        </w:rPr>
        <w:t xml:space="preserve"> </w:t>
      </w:r>
      <w:r w:rsidRPr="000977F7">
        <w:rPr>
          <w:color w:val="auto"/>
          <w:sz w:val="20"/>
          <w:szCs w:val="20"/>
        </w:rPr>
        <w:t>–</w:t>
      </w:r>
    </w:p>
    <w:p w14:paraId="13E3018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Купівля та ввезення із – за кордону вітчизняних товарів,</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2"/>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піддавалися</w:t>
      </w:r>
      <w:r w:rsidRPr="000977F7">
        <w:rPr>
          <w:rFonts w:asciiTheme="majorHAnsi" w:hAnsiTheme="majorHAnsi"/>
          <w:spacing w:val="1"/>
          <w:sz w:val="20"/>
          <w:szCs w:val="20"/>
        </w:rPr>
        <w:t xml:space="preserve"> </w:t>
      </w:r>
      <w:r w:rsidRPr="000977F7">
        <w:rPr>
          <w:rFonts w:asciiTheme="majorHAnsi" w:hAnsiTheme="majorHAnsi"/>
          <w:sz w:val="20"/>
          <w:szCs w:val="20"/>
        </w:rPr>
        <w:t>там</w:t>
      </w:r>
      <w:r w:rsidRPr="000977F7">
        <w:rPr>
          <w:rFonts w:asciiTheme="majorHAnsi" w:hAnsiTheme="majorHAnsi"/>
          <w:spacing w:val="1"/>
          <w:sz w:val="20"/>
          <w:szCs w:val="20"/>
        </w:rPr>
        <w:t xml:space="preserve"> </w:t>
      </w:r>
      <w:r w:rsidRPr="000977F7">
        <w:rPr>
          <w:rFonts w:asciiTheme="majorHAnsi" w:hAnsiTheme="majorHAnsi"/>
          <w:sz w:val="20"/>
          <w:szCs w:val="20"/>
        </w:rPr>
        <w:t>переробленню</w:t>
      </w:r>
    </w:p>
    <w:p w14:paraId="06BE932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 – 95</w:t>
      </w:r>
    </w:p>
    <w:p w14:paraId="5820035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РЕКЛАМА</w:t>
      </w:r>
      <w:r w:rsidRPr="000977F7">
        <w:rPr>
          <w:color w:val="auto"/>
          <w:spacing w:val="-3"/>
          <w:sz w:val="20"/>
          <w:szCs w:val="20"/>
        </w:rPr>
        <w:t xml:space="preserve"> </w:t>
      </w:r>
      <w:r w:rsidRPr="000977F7">
        <w:rPr>
          <w:color w:val="auto"/>
          <w:sz w:val="20"/>
          <w:szCs w:val="20"/>
        </w:rPr>
        <w:t>–</w:t>
      </w:r>
    </w:p>
    <w:p w14:paraId="5F2D78C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Комерційна пропаганда споживчих властивостей продукції з метою стимулювання її продажі, яка містить</w:t>
      </w:r>
      <w:r w:rsidRPr="000977F7">
        <w:rPr>
          <w:rFonts w:asciiTheme="majorHAnsi" w:hAnsiTheme="majorHAnsi"/>
          <w:spacing w:val="1"/>
          <w:sz w:val="20"/>
          <w:szCs w:val="20"/>
        </w:rPr>
        <w:t xml:space="preserve"> </w:t>
      </w:r>
      <w:r w:rsidRPr="000977F7">
        <w:rPr>
          <w:rFonts w:asciiTheme="majorHAnsi" w:hAnsiTheme="majorHAnsi"/>
          <w:sz w:val="20"/>
          <w:szCs w:val="20"/>
        </w:rPr>
        <w:t>вибіркову інформацію щодо цієї продукції і формує</w:t>
      </w:r>
      <w:r w:rsidRPr="000977F7">
        <w:rPr>
          <w:rFonts w:asciiTheme="majorHAnsi" w:hAnsiTheme="majorHAnsi"/>
          <w:spacing w:val="1"/>
          <w:sz w:val="20"/>
          <w:szCs w:val="20"/>
        </w:rPr>
        <w:t xml:space="preserve"> </w:t>
      </w:r>
      <w:r w:rsidRPr="000977F7">
        <w:rPr>
          <w:rFonts w:asciiTheme="majorHAnsi" w:hAnsiTheme="majorHAnsi"/>
          <w:sz w:val="20"/>
          <w:szCs w:val="20"/>
        </w:rPr>
        <w:t>певне</w:t>
      </w:r>
      <w:r w:rsidRPr="000977F7">
        <w:rPr>
          <w:rFonts w:asciiTheme="majorHAnsi" w:hAnsiTheme="majorHAnsi"/>
          <w:spacing w:val="2"/>
          <w:sz w:val="20"/>
          <w:szCs w:val="20"/>
        </w:rPr>
        <w:t xml:space="preserve"> </w:t>
      </w:r>
      <w:r w:rsidRPr="000977F7">
        <w:rPr>
          <w:rFonts w:asciiTheme="majorHAnsi" w:hAnsiTheme="majorHAnsi"/>
          <w:sz w:val="20"/>
          <w:szCs w:val="20"/>
        </w:rPr>
        <w:t>уявлення</w:t>
      </w:r>
      <w:r w:rsidRPr="000977F7">
        <w:rPr>
          <w:rFonts w:asciiTheme="majorHAnsi" w:hAnsiTheme="majorHAnsi"/>
          <w:spacing w:val="-2"/>
          <w:sz w:val="20"/>
          <w:szCs w:val="20"/>
        </w:rPr>
        <w:t xml:space="preserve"> </w:t>
      </w:r>
      <w:r w:rsidRPr="000977F7">
        <w:rPr>
          <w:rFonts w:asciiTheme="majorHAnsi" w:hAnsiTheme="majorHAnsi"/>
          <w:sz w:val="20"/>
          <w:szCs w:val="20"/>
        </w:rPr>
        <w:t>споживача</w:t>
      </w:r>
      <w:r w:rsidRPr="000977F7">
        <w:rPr>
          <w:rFonts w:asciiTheme="majorHAnsi" w:hAnsiTheme="majorHAnsi"/>
          <w:spacing w:val="2"/>
          <w:sz w:val="20"/>
          <w:szCs w:val="20"/>
        </w:rPr>
        <w:t xml:space="preserve"> </w:t>
      </w:r>
      <w:r w:rsidRPr="000977F7">
        <w:rPr>
          <w:rFonts w:asciiTheme="majorHAnsi" w:hAnsiTheme="majorHAnsi"/>
          <w:sz w:val="20"/>
          <w:szCs w:val="20"/>
        </w:rPr>
        <w:t>про продукцію</w:t>
      </w:r>
    </w:p>
    <w:p w14:paraId="6E7F1F0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 – 95</w:t>
      </w:r>
    </w:p>
    <w:p w14:paraId="1DD6BE0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РЕКЛАМАЦІЯ</w:t>
      </w:r>
      <w:r w:rsidRPr="000977F7">
        <w:rPr>
          <w:color w:val="auto"/>
          <w:spacing w:val="-3"/>
          <w:sz w:val="20"/>
          <w:szCs w:val="20"/>
        </w:rPr>
        <w:t xml:space="preserve"> </w:t>
      </w:r>
      <w:r w:rsidRPr="000977F7">
        <w:rPr>
          <w:color w:val="auto"/>
          <w:sz w:val="20"/>
          <w:szCs w:val="20"/>
        </w:rPr>
        <w:t>–</w:t>
      </w:r>
    </w:p>
    <w:p w14:paraId="524565C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Претензія, здійснена споживачем продукції чи послуг</w:t>
      </w:r>
      <w:r w:rsidRPr="000977F7">
        <w:rPr>
          <w:rFonts w:asciiTheme="majorHAnsi" w:hAnsiTheme="majorHAnsi"/>
          <w:spacing w:val="1"/>
          <w:sz w:val="20"/>
          <w:szCs w:val="20"/>
        </w:rPr>
        <w:t xml:space="preserve"> </w:t>
      </w:r>
      <w:r w:rsidRPr="000977F7">
        <w:rPr>
          <w:rFonts w:asciiTheme="majorHAnsi" w:hAnsiTheme="majorHAnsi"/>
          <w:sz w:val="20"/>
          <w:szCs w:val="20"/>
        </w:rPr>
        <w:t>у письмовій формі у разі невиконання постачальником зобов’язань щодо якості та серійності постаченої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4B5DEBC4"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i/>
          <w:sz w:val="20"/>
          <w:szCs w:val="20"/>
        </w:rPr>
        <w:t>ДСТУ 2960 – 94; ДСТУ 3278 – 95</w:t>
      </w:r>
      <w:r w:rsidRPr="000977F7">
        <w:rPr>
          <w:rFonts w:asciiTheme="majorHAnsi" w:hAnsiTheme="majorHAnsi"/>
          <w:i/>
          <w:spacing w:val="-47"/>
          <w:sz w:val="20"/>
          <w:szCs w:val="20"/>
        </w:rPr>
        <w:t xml:space="preserve"> </w:t>
      </w:r>
      <w:r w:rsidRPr="000977F7">
        <w:rPr>
          <w:rFonts w:asciiTheme="majorHAnsi" w:hAnsiTheme="majorHAnsi"/>
          <w:b/>
          <w:sz w:val="20"/>
          <w:szCs w:val="20"/>
        </w:rPr>
        <w:t>РЕКОМЕНДАЦІЯ -</w:t>
      </w:r>
    </w:p>
    <w:p w14:paraId="6D2A96B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RECOMMENDATION-</w:t>
      </w:r>
    </w:p>
    <w:p w14:paraId="15E3F20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Положення,</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виражає</w:t>
      </w:r>
      <w:r w:rsidRPr="000977F7">
        <w:rPr>
          <w:rFonts w:asciiTheme="majorHAnsi" w:hAnsiTheme="majorHAnsi"/>
          <w:spacing w:val="-3"/>
          <w:sz w:val="20"/>
          <w:szCs w:val="20"/>
        </w:rPr>
        <w:t xml:space="preserve"> </w:t>
      </w:r>
      <w:r w:rsidRPr="000977F7">
        <w:rPr>
          <w:rFonts w:asciiTheme="majorHAnsi" w:hAnsiTheme="majorHAnsi"/>
          <w:sz w:val="20"/>
          <w:szCs w:val="20"/>
        </w:rPr>
        <w:t>пораду</w:t>
      </w:r>
      <w:r w:rsidRPr="000977F7">
        <w:rPr>
          <w:rFonts w:asciiTheme="majorHAnsi" w:hAnsiTheme="majorHAnsi"/>
          <w:spacing w:val="-6"/>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настанову</w:t>
      </w:r>
    </w:p>
    <w:p w14:paraId="64C79A7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587E282A"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z w:val="20"/>
          <w:szCs w:val="20"/>
        </w:rPr>
        <w:t>GUIDELINE</w:t>
      </w:r>
      <w:r w:rsidRPr="000977F7">
        <w:rPr>
          <w:rFonts w:asciiTheme="majorHAnsi" w:hAnsiTheme="majorHAnsi"/>
          <w:spacing w:val="-2"/>
          <w:sz w:val="20"/>
          <w:szCs w:val="20"/>
        </w:rPr>
        <w:t xml:space="preserve"> </w:t>
      </w:r>
      <w:r w:rsidRPr="000977F7">
        <w:rPr>
          <w:rFonts w:asciiTheme="majorHAnsi" w:hAnsiTheme="majorHAnsi"/>
          <w:b/>
          <w:sz w:val="20"/>
          <w:szCs w:val="20"/>
        </w:rPr>
        <w:t>–</w:t>
      </w:r>
    </w:p>
    <w:p w14:paraId="7AD7B8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w w:val="95"/>
          <w:sz w:val="20"/>
          <w:szCs w:val="20"/>
        </w:rPr>
        <w:t>Документ,</w:t>
      </w:r>
      <w:r w:rsidRPr="000977F7">
        <w:rPr>
          <w:rFonts w:asciiTheme="majorHAnsi" w:hAnsiTheme="majorHAnsi"/>
          <w:spacing w:val="1"/>
          <w:w w:val="95"/>
          <w:sz w:val="20"/>
          <w:szCs w:val="20"/>
        </w:rPr>
        <w:t xml:space="preserve"> </w:t>
      </w:r>
      <w:r w:rsidRPr="000977F7">
        <w:rPr>
          <w:rFonts w:asciiTheme="majorHAnsi" w:hAnsiTheme="majorHAnsi"/>
          <w:w w:val="95"/>
          <w:sz w:val="20"/>
          <w:szCs w:val="20"/>
        </w:rPr>
        <w:t>який</w:t>
      </w:r>
      <w:r w:rsidRPr="000977F7">
        <w:rPr>
          <w:rFonts w:asciiTheme="majorHAnsi" w:hAnsiTheme="majorHAnsi"/>
          <w:spacing w:val="1"/>
          <w:w w:val="95"/>
          <w:sz w:val="20"/>
          <w:szCs w:val="20"/>
        </w:rPr>
        <w:t xml:space="preserve"> </w:t>
      </w:r>
      <w:r w:rsidRPr="000977F7">
        <w:rPr>
          <w:rFonts w:asciiTheme="majorHAnsi" w:hAnsiTheme="majorHAnsi"/>
          <w:w w:val="95"/>
          <w:sz w:val="20"/>
          <w:szCs w:val="20"/>
        </w:rPr>
        <w:t>встановлює рекомендації</w:t>
      </w:r>
      <w:r w:rsidRPr="000977F7">
        <w:rPr>
          <w:rFonts w:asciiTheme="majorHAnsi" w:hAnsiTheme="majorHAnsi"/>
          <w:spacing w:val="2"/>
          <w:w w:val="95"/>
          <w:sz w:val="20"/>
          <w:szCs w:val="20"/>
        </w:rPr>
        <w:t xml:space="preserve"> </w:t>
      </w:r>
      <w:r w:rsidRPr="000977F7">
        <w:rPr>
          <w:rFonts w:asciiTheme="majorHAnsi" w:hAnsiTheme="majorHAnsi"/>
          <w:w w:val="95"/>
          <w:sz w:val="20"/>
          <w:szCs w:val="20"/>
        </w:rPr>
        <w:t>або</w:t>
      </w:r>
      <w:r w:rsidRPr="000977F7">
        <w:rPr>
          <w:rFonts w:asciiTheme="majorHAnsi" w:hAnsiTheme="majorHAnsi"/>
          <w:spacing w:val="3"/>
          <w:w w:val="95"/>
          <w:sz w:val="20"/>
          <w:szCs w:val="20"/>
        </w:rPr>
        <w:t xml:space="preserve"> </w:t>
      </w:r>
      <w:r w:rsidRPr="000977F7">
        <w:rPr>
          <w:rFonts w:asciiTheme="majorHAnsi" w:hAnsiTheme="majorHAnsi"/>
          <w:w w:val="95"/>
          <w:sz w:val="20"/>
          <w:szCs w:val="20"/>
        </w:rPr>
        <w:t>пропозиції</w:t>
      </w:r>
    </w:p>
    <w:p w14:paraId="40BC16D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РЕЛАКСАЦІЙНА</w:t>
      </w:r>
      <w:r w:rsidRPr="000977F7">
        <w:rPr>
          <w:color w:val="auto"/>
          <w:spacing w:val="-6"/>
          <w:sz w:val="20"/>
          <w:szCs w:val="20"/>
        </w:rPr>
        <w:t xml:space="preserve"> </w:t>
      </w:r>
      <w:r w:rsidRPr="000977F7">
        <w:rPr>
          <w:color w:val="auto"/>
          <w:sz w:val="20"/>
          <w:szCs w:val="20"/>
        </w:rPr>
        <w:t>ДІЕЛЕКТРОМЕТРІЯ</w:t>
      </w:r>
      <w:r w:rsidRPr="000977F7">
        <w:rPr>
          <w:color w:val="auto"/>
          <w:spacing w:val="-3"/>
          <w:sz w:val="20"/>
          <w:szCs w:val="20"/>
        </w:rPr>
        <w:t xml:space="preserve"> </w:t>
      </w:r>
      <w:r w:rsidRPr="000977F7">
        <w:rPr>
          <w:color w:val="auto"/>
          <w:sz w:val="20"/>
          <w:szCs w:val="20"/>
        </w:rPr>
        <w:t>–</w:t>
      </w:r>
    </w:p>
    <w:p w14:paraId="0AC64E8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електричного</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використовує релаксаційну спектрометрію комплексної</w:t>
      </w:r>
      <w:r w:rsidRPr="000977F7">
        <w:rPr>
          <w:rFonts w:asciiTheme="majorHAnsi" w:hAnsiTheme="majorHAnsi"/>
          <w:spacing w:val="-2"/>
          <w:sz w:val="20"/>
          <w:szCs w:val="20"/>
        </w:rPr>
        <w:t xml:space="preserve"> </w:t>
      </w:r>
      <w:r w:rsidRPr="000977F7">
        <w:rPr>
          <w:rFonts w:asciiTheme="majorHAnsi" w:hAnsiTheme="majorHAnsi"/>
          <w:sz w:val="20"/>
          <w:szCs w:val="20"/>
        </w:rPr>
        <w:t>діелектричної</w:t>
      </w:r>
      <w:r w:rsidRPr="000977F7">
        <w:rPr>
          <w:rFonts w:asciiTheme="majorHAnsi" w:hAnsiTheme="majorHAnsi"/>
          <w:spacing w:val="-1"/>
          <w:sz w:val="20"/>
          <w:szCs w:val="20"/>
        </w:rPr>
        <w:t xml:space="preserve"> </w:t>
      </w:r>
      <w:r w:rsidRPr="000977F7">
        <w:rPr>
          <w:rFonts w:asciiTheme="majorHAnsi" w:hAnsiTheme="majorHAnsi"/>
          <w:sz w:val="20"/>
          <w:szCs w:val="20"/>
        </w:rPr>
        <w:t>проникності</w:t>
      </w:r>
    </w:p>
    <w:p w14:paraId="74BFE2B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06882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РЕЛАКСАЦІЙНА</w:t>
      </w:r>
      <w:r w:rsidRPr="000977F7">
        <w:rPr>
          <w:color w:val="auto"/>
          <w:spacing w:val="-5"/>
          <w:sz w:val="20"/>
          <w:szCs w:val="20"/>
        </w:rPr>
        <w:t xml:space="preserve"> </w:t>
      </w:r>
      <w:r w:rsidRPr="000977F7">
        <w:rPr>
          <w:color w:val="auto"/>
          <w:sz w:val="20"/>
          <w:szCs w:val="20"/>
        </w:rPr>
        <w:t>ЕЛЕКТРОМЕТРІЯ</w:t>
      </w:r>
      <w:r w:rsidRPr="000977F7">
        <w:rPr>
          <w:color w:val="auto"/>
          <w:spacing w:val="-5"/>
          <w:sz w:val="20"/>
          <w:szCs w:val="20"/>
        </w:rPr>
        <w:t xml:space="preserve"> </w:t>
      </w:r>
      <w:r w:rsidRPr="000977F7">
        <w:rPr>
          <w:color w:val="auto"/>
          <w:sz w:val="20"/>
          <w:szCs w:val="20"/>
        </w:rPr>
        <w:t>–</w:t>
      </w:r>
    </w:p>
    <w:p w14:paraId="4475B99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електричного неруйнівного контролю, що ґрунтується на вимірюванні залежності електрофізичного</w:t>
      </w:r>
      <w:r w:rsidRPr="000977F7">
        <w:rPr>
          <w:rFonts w:asciiTheme="majorHAnsi" w:hAnsiTheme="majorHAnsi"/>
          <w:spacing w:val="-48"/>
          <w:sz w:val="20"/>
          <w:szCs w:val="20"/>
        </w:rPr>
        <w:t xml:space="preserve"> </w:t>
      </w:r>
      <w:r w:rsidRPr="000977F7">
        <w:rPr>
          <w:rFonts w:asciiTheme="majorHAnsi" w:hAnsiTheme="majorHAnsi"/>
          <w:sz w:val="20"/>
          <w:szCs w:val="20"/>
        </w:rPr>
        <w:t>параметра</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часу</w:t>
      </w:r>
      <w:r w:rsidRPr="000977F7">
        <w:rPr>
          <w:rFonts w:asciiTheme="majorHAnsi" w:hAnsiTheme="majorHAnsi"/>
          <w:spacing w:val="-5"/>
          <w:sz w:val="20"/>
          <w:szCs w:val="20"/>
        </w:rPr>
        <w:t xml:space="preserve"> </w:t>
      </w:r>
      <w:r w:rsidRPr="000977F7">
        <w:rPr>
          <w:rFonts w:asciiTheme="majorHAnsi" w:hAnsiTheme="majorHAnsi"/>
          <w:sz w:val="20"/>
          <w:szCs w:val="20"/>
        </w:rPr>
        <w:t>зміни</w:t>
      </w:r>
      <w:r w:rsidRPr="000977F7">
        <w:rPr>
          <w:rFonts w:asciiTheme="majorHAnsi" w:hAnsiTheme="majorHAnsi"/>
          <w:spacing w:val="-1"/>
          <w:sz w:val="20"/>
          <w:szCs w:val="20"/>
        </w:rPr>
        <w:t xml:space="preserve"> </w:t>
      </w:r>
      <w:r w:rsidRPr="000977F7">
        <w:rPr>
          <w:rFonts w:asciiTheme="majorHAnsi" w:hAnsiTheme="majorHAnsi"/>
          <w:sz w:val="20"/>
          <w:szCs w:val="20"/>
        </w:rPr>
        <w:t>зовнішніх</w:t>
      </w:r>
      <w:r w:rsidRPr="000977F7">
        <w:rPr>
          <w:rFonts w:asciiTheme="majorHAnsi" w:hAnsiTheme="majorHAnsi"/>
          <w:spacing w:val="1"/>
          <w:sz w:val="20"/>
          <w:szCs w:val="20"/>
        </w:rPr>
        <w:t xml:space="preserve"> </w:t>
      </w:r>
      <w:r w:rsidRPr="000977F7">
        <w:rPr>
          <w:rFonts w:asciiTheme="majorHAnsi" w:hAnsiTheme="majorHAnsi"/>
          <w:sz w:val="20"/>
          <w:szCs w:val="20"/>
        </w:rPr>
        <w:t>умов</w:t>
      </w:r>
    </w:p>
    <w:p w14:paraId="735CB61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6C32E8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РЕЛАКСАЦІЙНА</w:t>
      </w:r>
      <w:r w:rsidRPr="000977F7">
        <w:rPr>
          <w:color w:val="auto"/>
          <w:spacing w:val="-7"/>
          <w:sz w:val="20"/>
          <w:szCs w:val="20"/>
        </w:rPr>
        <w:t xml:space="preserve"> </w:t>
      </w:r>
      <w:r w:rsidRPr="000977F7">
        <w:rPr>
          <w:color w:val="auto"/>
          <w:sz w:val="20"/>
          <w:szCs w:val="20"/>
        </w:rPr>
        <w:t>СПЕКТРОМЕТРІЯ</w:t>
      </w:r>
      <w:r w:rsidRPr="000977F7">
        <w:rPr>
          <w:color w:val="auto"/>
          <w:spacing w:val="-3"/>
          <w:sz w:val="20"/>
          <w:szCs w:val="20"/>
        </w:rPr>
        <w:t xml:space="preserve"> </w:t>
      </w:r>
      <w:r w:rsidRPr="000977F7">
        <w:rPr>
          <w:color w:val="auto"/>
          <w:sz w:val="20"/>
          <w:szCs w:val="20"/>
        </w:rPr>
        <w:t>–</w:t>
      </w:r>
    </w:p>
    <w:p w14:paraId="48DBFF14"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Сукупність</w:t>
      </w:r>
      <w:r w:rsidRPr="000977F7">
        <w:rPr>
          <w:rFonts w:asciiTheme="majorHAnsi" w:hAnsiTheme="majorHAnsi"/>
          <w:spacing w:val="5"/>
          <w:sz w:val="20"/>
          <w:szCs w:val="20"/>
        </w:rPr>
        <w:t xml:space="preserve"> </w:t>
      </w:r>
      <w:r w:rsidRPr="000977F7">
        <w:rPr>
          <w:rFonts w:asciiTheme="majorHAnsi" w:hAnsiTheme="majorHAnsi"/>
          <w:sz w:val="20"/>
          <w:szCs w:val="20"/>
        </w:rPr>
        <w:t>методів</w:t>
      </w:r>
      <w:r w:rsidRPr="000977F7">
        <w:rPr>
          <w:rFonts w:asciiTheme="majorHAnsi" w:hAnsiTheme="majorHAnsi"/>
          <w:spacing w:val="5"/>
          <w:sz w:val="20"/>
          <w:szCs w:val="20"/>
        </w:rPr>
        <w:t xml:space="preserve"> </w:t>
      </w:r>
      <w:r w:rsidRPr="000977F7">
        <w:rPr>
          <w:rFonts w:asciiTheme="majorHAnsi" w:hAnsiTheme="majorHAnsi"/>
          <w:sz w:val="20"/>
          <w:szCs w:val="20"/>
        </w:rPr>
        <w:t>та</w:t>
      </w:r>
      <w:r w:rsidRPr="000977F7">
        <w:rPr>
          <w:rFonts w:asciiTheme="majorHAnsi" w:hAnsiTheme="majorHAnsi"/>
          <w:spacing w:val="6"/>
          <w:sz w:val="20"/>
          <w:szCs w:val="20"/>
        </w:rPr>
        <w:t xml:space="preserve"> </w:t>
      </w:r>
      <w:r w:rsidRPr="000977F7">
        <w:rPr>
          <w:rFonts w:asciiTheme="majorHAnsi" w:hAnsiTheme="majorHAnsi"/>
          <w:sz w:val="20"/>
          <w:szCs w:val="20"/>
        </w:rPr>
        <w:t>засобів</w:t>
      </w:r>
      <w:r w:rsidRPr="000977F7">
        <w:rPr>
          <w:rFonts w:asciiTheme="majorHAnsi" w:hAnsiTheme="majorHAnsi"/>
          <w:spacing w:val="5"/>
          <w:sz w:val="20"/>
          <w:szCs w:val="20"/>
        </w:rPr>
        <w:t xml:space="preserve"> </w:t>
      </w:r>
      <w:r w:rsidRPr="000977F7">
        <w:rPr>
          <w:rFonts w:asciiTheme="majorHAnsi" w:hAnsiTheme="majorHAnsi"/>
          <w:sz w:val="20"/>
          <w:szCs w:val="20"/>
        </w:rPr>
        <w:t>електричного</w:t>
      </w:r>
      <w:r w:rsidRPr="000977F7">
        <w:rPr>
          <w:rFonts w:asciiTheme="majorHAnsi" w:hAnsiTheme="majorHAnsi"/>
          <w:spacing w:val="6"/>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2"/>
          <w:sz w:val="20"/>
          <w:szCs w:val="20"/>
        </w:rPr>
        <w:t xml:space="preserve"> </w:t>
      </w:r>
      <w:r w:rsidRPr="000977F7">
        <w:rPr>
          <w:rFonts w:asciiTheme="majorHAnsi" w:hAnsiTheme="majorHAnsi"/>
          <w:sz w:val="20"/>
          <w:szCs w:val="20"/>
        </w:rPr>
        <w:t>контролю,</w:t>
      </w:r>
      <w:r w:rsidRPr="000977F7">
        <w:rPr>
          <w:rFonts w:asciiTheme="majorHAnsi" w:hAnsiTheme="majorHAnsi"/>
          <w:spacing w:val="3"/>
          <w:sz w:val="20"/>
          <w:szCs w:val="20"/>
        </w:rPr>
        <w:t xml:space="preserve"> </w:t>
      </w:r>
      <w:r w:rsidRPr="000977F7">
        <w:rPr>
          <w:rFonts w:asciiTheme="majorHAnsi" w:hAnsiTheme="majorHAnsi"/>
          <w:sz w:val="20"/>
          <w:szCs w:val="20"/>
        </w:rPr>
        <w:t>призначених</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вимірювання частот</w:t>
      </w:r>
      <w:r w:rsidRPr="000977F7">
        <w:rPr>
          <w:rFonts w:asciiTheme="majorHAnsi" w:hAnsiTheme="majorHAnsi"/>
          <w:spacing w:val="-1"/>
          <w:sz w:val="20"/>
          <w:szCs w:val="20"/>
        </w:rPr>
        <w:t>ної</w:t>
      </w:r>
      <w:r w:rsidRPr="000977F7">
        <w:rPr>
          <w:rFonts w:asciiTheme="majorHAnsi" w:hAnsiTheme="majorHAnsi"/>
          <w:spacing w:val="-8"/>
          <w:sz w:val="20"/>
          <w:szCs w:val="20"/>
        </w:rPr>
        <w:t xml:space="preserve"> </w:t>
      </w:r>
      <w:r w:rsidRPr="000977F7">
        <w:rPr>
          <w:rFonts w:asciiTheme="majorHAnsi" w:hAnsiTheme="majorHAnsi"/>
          <w:spacing w:val="-1"/>
          <w:sz w:val="20"/>
          <w:szCs w:val="20"/>
        </w:rPr>
        <w:t>залежності</w:t>
      </w:r>
      <w:r w:rsidRPr="000977F7">
        <w:rPr>
          <w:rFonts w:asciiTheme="majorHAnsi" w:hAnsiTheme="majorHAnsi"/>
          <w:spacing w:val="-6"/>
          <w:sz w:val="20"/>
          <w:szCs w:val="20"/>
        </w:rPr>
        <w:t xml:space="preserve"> </w:t>
      </w:r>
      <w:r w:rsidRPr="000977F7">
        <w:rPr>
          <w:rFonts w:asciiTheme="majorHAnsi" w:hAnsiTheme="majorHAnsi"/>
          <w:sz w:val="20"/>
          <w:szCs w:val="20"/>
        </w:rPr>
        <w:t>комплексної</w:t>
      </w:r>
      <w:r w:rsidRPr="000977F7">
        <w:rPr>
          <w:rFonts w:asciiTheme="majorHAnsi" w:hAnsiTheme="majorHAnsi"/>
          <w:spacing w:val="-7"/>
          <w:sz w:val="20"/>
          <w:szCs w:val="20"/>
        </w:rPr>
        <w:t xml:space="preserve"> </w:t>
      </w:r>
      <w:r w:rsidRPr="000977F7">
        <w:rPr>
          <w:rFonts w:asciiTheme="majorHAnsi" w:hAnsiTheme="majorHAnsi"/>
          <w:sz w:val="20"/>
          <w:szCs w:val="20"/>
        </w:rPr>
        <w:t>діелектричної</w:t>
      </w:r>
      <w:r w:rsidRPr="000977F7">
        <w:rPr>
          <w:rFonts w:asciiTheme="majorHAnsi" w:hAnsiTheme="majorHAnsi"/>
          <w:spacing w:val="-7"/>
          <w:sz w:val="20"/>
          <w:szCs w:val="20"/>
        </w:rPr>
        <w:t xml:space="preserve"> </w:t>
      </w:r>
      <w:r w:rsidRPr="000977F7">
        <w:rPr>
          <w:rFonts w:asciiTheme="majorHAnsi" w:hAnsiTheme="majorHAnsi"/>
          <w:sz w:val="20"/>
          <w:szCs w:val="20"/>
        </w:rPr>
        <w:t>проникності</w:t>
      </w:r>
      <w:r w:rsidRPr="000977F7">
        <w:rPr>
          <w:rFonts w:asciiTheme="majorHAnsi" w:hAnsiTheme="majorHAnsi"/>
          <w:spacing w:val="-47"/>
          <w:sz w:val="20"/>
          <w:szCs w:val="20"/>
        </w:rPr>
        <w:t xml:space="preserve"> </w:t>
      </w:r>
      <w:r w:rsidRPr="000977F7">
        <w:rPr>
          <w:rFonts w:asciiTheme="majorHAnsi" w:hAnsiTheme="majorHAnsi"/>
          <w:sz w:val="20"/>
          <w:szCs w:val="20"/>
        </w:rPr>
        <w:t>і</w:t>
      </w:r>
      <w:r w:rsidRPr="000977F7">
        <w:rPr>
          <w:rFonts w:asciiTheme="majorHAnsi" w:hAnsiTheme="majorHAnsi"/>
          <w:spacing w:val="9"/>
          <w:sz w:val="20"/>
          <w:szCs w:val="20"/>
        </w:rPr>
        <w:t xml:space="preserve"> </w:t>
      </w:r>
      <w:r w:rsidRPr="000977F7">
        <w:rPr>
          <w:rFonts w:asciiTheme="majorHAnsi" w:hAnsiTheme="majorHAnsi"/>
          <w:sz w:val="20"/>
          <w:szCs w:val="20"/>
        </w:rPr>
        <w:t>оцінювання</w:t>
      </w:r>
      <w:r w:rsidRPr="000977F7">
        <w:rPr>
          <w:rFonts w:asciiTheme="majorHAnsi" w:hAnsiTheme="majorHAnsi"/>
          <w:spacing w:val="8"/>
          <w:sz w:val="20"/>
          <w:szCs w:val="20"/>
        </w:rPr>
        <w:t xml:space="preserve"> </w:t>
      </w:r>
      <w:r w:rsidRPr="000977F7">
        <w:rPr>
          <w:rFonts w:asciiTheme="majorHAnsi" w:hAnsiTheme="majorHAnsi"/>
          <w:sz w:val="20"/>
          <w:szCs w:val="20"/>
        </w:rPr>
        <w:t>розподілу</w:t>
      </w:r>
      <w:r w:rsidRPr="000977F7">
        <w:rPr>
          <w:rFonts w:asciiTheme="majorHAnsi" w:hAnsiTheme="majorHAnsi"/>
          <w:spacing w:val="8"/>
          <w:sz w:val="20"/>
          <w:szCs w:val="20"/>
        </w:rPr>
        <w:t xml:space="preserve"> </w:t>
      </w:r>
      <w:r w:rsidRPr="000977F7">
        <w:rPr>
          <w:rFonts w:asciiTheme="majorHAnsi" w:hAnsiTheme="majorHAnsi"/>
          <w:sz w:val="20"/>
          <w:szCs w:val="20"/>
        </w:rPr>
        <w:t>функції</w:t>
      </w:r>
      <w:r w:rsidRPr="000977F7">
        <w:rPr>
          <w:rFonts w:asciiTheme="majorHAnsi" w:hAnsiTheme="majorHAnsi"/>
          <w:spacing w:val="10"/>
          <w:sz w:val="20"/>
          <w:szCs w:val="20"/>
        </w:rPr>
        <w:t xml:space="preserve"> </w:t>
      </w:r>
      <w:r w:rsidRPr="000977F7">
        <w:rPr>
          <w:rFonts w:asciiTheme="majorHAnsi" w:hAnsiTheme="majorHAnsi"/>
          <w:sz w:val="20"/>
          <w:szCs w:val="20"/>
        </w:rPr>
        <w:t>часів</w:t>
      </w:r>
      <w:r w:rsidRPr="000977F7">
        <w:rPr>
          <w:rFonts w:asciiTheme="majorHAnsi" w:hAnsiTheme="majorHAnsi"/>
          <w:spacing w:val="8"/>
          <w:sz w:val="20"/>
          <w:szCs w:val="20"/>
        </w:rPr>
        <w:t xml:space="preserve"> </w:t>
      </w:r>
      <w:r w:rsidRPr="000977F7">
        <w:rPr>
          <w:rFonts w:asciiTheme="majorHAnsi" w:hAnsiTheme="majorHAnsi"/>
          <w:sz w:val="20"/>
          <w:szCs w:val="20"/>
        </w:rPr>
        <w:t>релаксації</w:t>
      </w:r>
      <w:r w:rsidRPr="000977F7">
        <w:rPr>
          <w:rFonts w:asciiTheme="majorHAnsi" w:hAnsiTheme="majorHAnsi"/>
          <w:spacing w:val="9"/>
          <w:sz w:val="20"/>
          <w:szCs w:val="20"/>
        </w:rPr>
        <w:t xml:space="preserve"> </w:t>
      </w:r>
      <w:r w:rsidRPr="000977F7">
        <w:rPr>
          <w:rFonts w:asciiTheme="majorHAnsi" w:hAnsiTheme="majorHAnsi"/>
          <w:sz w:val="20"/>
          <w:szCs w:val="20"/>
        </w:rPr>
        <w:t>матеріалу шляхом подальшого її Фур’є – перетворення</w:t>
      </w:r>
      <w:r w:rsidRPr="000977F7">
        <w:rPr>
          <w:rFonts w:asciiTheme="majorHAnsi" w:hAnsiTheme="majorHAnsi"/>
          <w:spacing w:val="1"/>
          <w:sz w:val="20"/>
          <w:szCs w:val="20"/>
        </w:rPr>
        <w:t xml:space="preserve"> </w:t>
      </w:r>
    </w:p>
    <w:p w14:paraId="3AD5718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9719BB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РЕЛАКСАЦІЙНА</w:t>
      </w:r>
      <w:r w:rsidRPr="000977F7">
        <w:rPr>
          <w:color w:val="auto"/>
          <w:spacing w:val="-6"/>
          <w:sz w:val="20"/>
          <w:szCs w:val="20"/>
        </w:rPr>
        <w:t xml:space="preserve"> </w:t>
      </w:r>
      <w:r w:rsidRPr="000977F7">
        <w:rPr>
          <w:color w:val="auto"/>
          <w:sz w:val="20"/>
          <w:szCs w:val="20"/>
        </w:rPr>
        <w:t>ХРОНОМЕТРІЯ</w:t>
      </w:r>
      <w:r w:rsidRPr="000977F7">
        <w:rPr>
          <w:color w:val="auto"/>
          <w:spacing w:val="-3"/>
          <w:sz w:val="20"/>
          <w:szCs w:val="20"/>
        </w:rPr>
        <w:t xml:space="preserve"> </w:t>
      </w:r>
      <w:r w:rsidRPr="000977F7">
        <w:rPr>
          <w:color w:val="auto"/>
          <w:sz w:val="20"/>
          <w:szCs w:val="20"/>
        </w:rPr>
        <w:t>–</w:t>
      </w:r>
    </w:p>
    <w:p w14:paraId="066F9A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електричного неруйнівного контролю, що ґрунтується на вимірюванні значень часу, які відповідають моментам досягнення вимірюваним параметром</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відповідних</w:t>
      </w:r>
      <w:r w:rsidRPr="000977F7">
        <w:rPr>
          <w:rFonts w:asciiTheme="majorHAnsi" w:hAnsiTheme="majorHAnsi"/>
          <w:spacing w:val="-2"/>
          <w:sz w:val="20"/>
          <w:szCs w:val="20"/>
        </w:rPr>
        <w:t xml:space="preserve"> </w:t>
      </w:r>
      <w:r w:rsidRPr="000977F7">
        <w:rPr>
          <w:rFonts w:asciiTheme="majorHAnsi" w:hAnsiTheme="majorHAnsi"/>
          <w:sz w:val="20"/>
          <w:szCs w:val="20"/>
        </w:rPr>
        <w:t>значень</w:t>
      </w:r>
    </w:p>
    <w:p w14:paraId="0286938B"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2866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FD6DEB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РЕЛАКСАЦІЯ</w:t>
      </w:r>
      <w:r w:rsidRPr="000977F7">
        <w:rPr>
          <w:color w:val="auto"/>
          <w:spacing w:val="-5"/>
          <w:sz w:val="20"/>
          <w:szCs w:val="20"/>
        </w:rPr>
        <w:t xml:space="preserve"> </w:t>
      </w:r>
      <w:r w:rsidRPr="000977F7">
        <w:rPr>
          <w:color w:val="auto"/>
          <w:sz w:val="20"/>
          <w:szCs w:val="20"/>
        </w:rPr>
        <w:t>НАПРУЖЕНЬ</w:t>
      </w:r>
      <w:r w:rsidRPr="000977F7">
        <w:rPr>
          <w:color w:val="auto"/>
          <w:spacing w:val="-2"/>
          <w:sz w:val="20"/>
          <w:szCs w:val="20"/>
        </w:rPr>
        <w:t xml:space="preserve"> </w:t>
      </w:r>
      <w:r w:rsidRPr="000977F7">
        <w:rPr>
          <w:color w:val="auto"/>
          <w:sz w:val="20"/>
          <w:szCs w:val="20"/>
        </w:rPr>
        <w:t>–</w:t>
      </w:r>
    </w:p>
    <w:p w14:paraId="712AD43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STRESS</w:t>
      </w:r>
      <w:r w:rsidRPr="000977F7">
        <w:rPr>
          <w:rFonts w:asciiTheme="majorHAnsi" w:hAnsiTheme="majorHAnsi"/>
          <w:spacing w:val="-3"/>
          <w:sz w:val="20"/>
          <w:szCs w:val="20"/>
        </w:rPr>
        <w:t xml:space="preserve"> </w:t>
      </w:r>
      <w:r w:rsidRPr="000977F7">
        <w:rPr>
          <w:rFonts w:asciiTheme="majorHAnsi" w:hAnsiTheme="majorHAnsi"/>
          <w:sz w:val="20"/>
          <w:szCs w:val="20"/>
        </w:rPr>
        <w:t>RELAXATION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31B58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Довільне зменшення напружень у матеріалі, пов’язане</w:t>
      </w:r>
      <w:r w:rsidRPr="000977F7">
        <w:rPr>
          <w:rFonts w:asciiTheme="majorHAnsi" w:hAnsiTheme="majorHAnsi"/>
          <w:spacing w:val="-47"/>
          <w:sz w:val="20"/>
          <w:szCs w:val="20"/>
        </w:rPr>
        <w:t xml:space="preserve"> </w:t>
      </w:r>
      <w:r w:rsidRPr="000977F7">
        <w:rPr>
          <w:rFonts w:asciiTheme="majorHAnsi" w:hAnsiTheme="majorHAnsi"/>
          <w:sz w:val="20"/>
          <w:szCs w:val="20"/>
        </w:rPr>
        <w:t>з перерозподілом між пружною і пластичною деформаціями</w:t>
      </w:r>
    </w:p>
    <w:p w14:paraId="1B0FEAD6"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2825 - 94</w:t>
      </w:r>
      <w:r w:rsidRPr="000977F7">
        <w:rPr>
          <w:rFonts w:asciiTheme="majorHAnsi" w:hAnsiTheme="majorHAnsi"/>
          <w:i/>
          <w:spacing w:val="1"/>
          <w:sz w:val="20"/>
          <w:szCs w:val="20"/>
        </w:rPr>
        <w:t xml:space="preserve"> </w:t>
      </w:r>
    </w:p>
    <w:p w14:paraId="4CB0E437"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pacing w:val="1"/>
          <w:sz w:val="20"/>
          <w:szCs w:val="20"/>
        </w:rPr>
      </w:pPr>
      <w:r w:rsidRPr="000977F7">
        <w:rPr>
          <w:rFonts w:asciiTheme="majorHAnsi" w:hAnsiTheme="majorHAnsi"/>
          <w:b/>
          <w:bCs/>
          <w:sz w:val="20"/>
          <w:szCs w:val="20"/>
        </w:rPr>
        <w:t>РЕЛЕВАНТНА НЕБЕЗПЕКА</w:t>
      </w:r>
      <w:r w:rsidRPr="000977F7">
        <w:rPr>
          <w:rFonts w:asciiTheme="majorHAnsi" w:hAnsiTheme="majorHAnsi"/>
          <w:b/>
          <w:bCs/>
          <w:iCs/>
          <w:spacing w:val="1"/>
          <w:sz w:val="20"/>
          <w:szCs w:val="20"/>
        </w:rPr>
        <w:t xml:space="preserve"> -</w:t>
      </w:r>
    </w:p>
    <w:p w14:paraId="392FEEF8" w14:textId="77777777" w:rsidR="0097612F" w:rsidRPr="000977F7" w:rsidRDefault="0097612F" w:rsidP="000977F7">
      <w:pPr>
        <w:tabs>
          <w:tab w:val="left" w:pos="284"/>
        </w:tabs>
        <w:spacing w:after="0" w:line="240" w:lineRule="auto"/>
        <w:ind w:left="170"/>
        <w:mirrorIndents/>
        <w:jc w:val="both"/>
        <w:rPr>
          <w:rFonts w:asciiTheme="majorHAnsi" w:hAnsiTheme="majorHAnsi"/>
          <w:iCs/>
          <w:spacing w:val="1"/>
          <w:sz w:val="20"/>
          <w:szCs w:val="20"/>
        </w:rPr>
      </w:pPr>
      <w:r w:rsidRPr="000977F7">
        <w:rPr>
          <w:rFonts w:asciiTheme="majorHAnsi" w:hAnsiTheme="majorHAnsi"/>
          <w:iCs/>
          <w:spacing w:val="1"/>
          <w:sz w:val="20"/>
          <w:szCs w:val="20"/>
        </w:rPr>
        <w:t>RELEVANT HAZARD –</w:t>
      </w:r>
    </w:p>
    <w:p w14:paraId="7EEF638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Небезпека, властива машині чи пов’язана з нею. </w:t>
      </w:r>
    </w:p>
    <w:p w14:paraId="40CA1E2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Ідентифікація релевантної небезпеки є результатом одного з етапів процесу, описаного в розділі 5.</w:t>
      </w:r>
    </w:p>
    <w:p w14:paraId="24F40F4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2. Цей термін належить до базової термінології для стандартів типів В та С</w:t>
      </w:r>
    </w:p>
    <w:p w14:paraId="41FB8883" w14:textId="77777777" w:rsidR="0097612F" w:rsidRPr="004D2D14" w:rsidRDefault="0097612F" w:rsidP="000977F7">
      <w:pPr>
        <w:pStyle w:val="af6"/>
        <w:tabs>
          <w:tab w:val="left" w:pos="284"/>
        </w:tabs>
        <w:spacing w:after="0"/>
        <w:ind w:left="170"/>
        <w:mirrorIndents/>
        <w:jc w:val="both"/>
        <w:rPr>
          <w:rFonts w:asciiTheme="majorHAnsi" w:hAnsiTheme="majorHAnsi"/>
          <w:i/>
          <w:iCs/>
          <w:sz w:val="20"/>
          <w:szCs w:val="20"/>
          <w:lang w:val="en-US"/>
        </w:rPr>
      </w:pPr>
      <w:r w:rsidRPr="000977F7">
        <w:rPr>
          <w:rFonts w:asciiTheme="majorHAnsi" w:hAnsiTheme="majorHAnsi"/>
          <w:i/>
          <w:iCs/>
          <w:sz w:val="20"/>
          <w:szCs w:val="20"/>
        </w:rPr>
        <w:t>ДСТУ</w:t>
      </w:r>
      <w:r w:rsidRPr="004D2D14">
        <w:rPr>
          <w:rFonts w:asciiTheme="majorHAnsi" w:hAnsiTheme="majorHAnsi"/>
          <w:i/>
          <w:iCs/>
          <w:sz w:val="20"/>
          <w:szCs w:val="20"/>
          <w:lang w:val="en-US"/>
        </w:rPr>
        <w:t xml:space="preserve"> EN ISO 12100:2016</w:t>
      </w:r>
    </w:p>
    <w:p w14:paraId="69B0E261"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РЕЛЕЙНЕ</w:t>
      </w:r>
      <w:r w:rsidRPr="004D2D14">
        <w:rPr>
          <w:rFonts w:asciiTheme="majorHAnsi" w:hAnsiTheme="majorHAnsi"/>
          <w:b/>
          <w:sz w:val="20"/>
          <w:szCs w:val="20"/>
          <w:lang w:val="en-US"/>
        </w:rPr>
        <w:t xml:space="preserve"> </w:t>
      </w:r>
      <w:r w:rsidRPr="000977F7">
        <w:rPr>
          <w:rFonts w:asciiTheme="majorHAnsi" w:hAnsiTheme="majorHAnsi"/>
          <w:b/>
          <w:sz w:val="20"/>
          <w:szCs w:val="20"/>
        </w:rPr>
        <w:t>ДІЯННЯ</w:t>
      </w:r>
    </w:p>
    <w:p w14:paraId="41E98672"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RELAY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ACTION-</w:t>
      </w:r>
    </w:p>
    <w:p w14:paraId="36D789C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Ступінчасте</w:t>
      </w:r>
      <w:r w:rsidRPr="000977F7">
        <w:rPr>
          <w:rFonts w:asciiTheme="majorHAnsi" w:hAnsiTheme="majorHAnsi"/>
          <w:spacing w:val="-1"/>
          <w:sz w:val="20"/>
          <w:szCs w:val="20"/>
        </w:rPr>
        <w:t xml:space="preserve"> </w:t>
      </w:r>
      <w:r w:rsidRPr="000977F7">
        <w:rPr>
          <w:rFonts w:asciiTheme="majorHAnsi" w:hAnsiTheme="majorHAnsi"/>
          <w:sz w:val="20"/>
          <w:szCs w:val="20"/>
        </w:rPr>
        <w:t>діяння,</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3"/>
          <w:sz w:val="20"/>
          <w:szCs w:val="20"/>
        </w:rPr>
        <w:t xml:space="preserve"> </w:t>
      </w:r>
      <w:r w:rsidRPr="000977F7">
        <w:rPr>
          <w:rFonts w:asciiTheme="majorHAnsi" w:hAnsiTheme="majorHAnsi"/>
          <w:sz w:val="20"/>
          <w:szCs w:val="20"/>
        </w:rPr>
        <w:t>має</w:t>
      </w:r>
      <w:r w:rsidRPr="000977F7">
        <w:rPr>
          <w:rFonts w:asciiTheme="majorHAnsi" w:hAnsiTheme="majorHAnsi"/>
          <w:spacing w:val="-4"/>
          <w:sz w:val="20"/>
          <w:szCs w:val="20"/>
        </w:rPr>
        <w:t xml:space="preserve"> </w:t>
      </w:r>
      <w:r w:rsidRPr="000977F7">
        <w:rPr>
          <w:rFonts w:asciiTheme="majorHAnsi" w:hAnsiTheme="majorHAnsi"/>
          <w:sz w:val="20"/>
          <w:szCs w:val="20"/>
        </w:rPr>
        <w:t>два</w:t>
      </w:r>
      <w:r w:rsidRPr="000977F7">
        <w:rPr>
          <w:rFonts w:asciiTheme="majorHAnsi" w:hAnsiTheme="majorHAnsi"/>
          <w:spacing w:val="-3"/>
          <w:sz w:val="20"/>
          <w:szCs w:val="20"/>
        </w:rPr>
        <w:t xml:space="preserve"> </w:t>
      </w:r>
      <w:r w:rsidRPr="000977F7">
        <w:rPr>
          <w:rFonts w:asciiTheme="majorHAnsi" w:hAnsiTheme="majorHAnsi"/>
          <w:sz w:val="20"/>
          <w:szCs w:val="20"/>
        </w:rPr>
        <w:t>можливих</w:t>
      </w:r>
      <w:r w:rsidRPr="000977F7">
        <w:rPr>
          <w:rFonts w:asciiTheme="majorHAnsi" w:hAnsiTheme="majorHAnsi"/>
          <w:spacing w:val="-5"/>
          <w:sz w:val="20"/>
          <w:szCs w:val="20"/>
        </w:rPr>
        <w:t xml:space="preserve"> </w:t>
      </w:r>
      <w:r w:rsidRPr="000977F7">
        <w:rPr>
          <w:rFonts w:asciiTheme="majorHAnsi" w:hAnsiTheme="majorHAnsi"/>
          <w:sz w:val="20"/>
          <w:szCs w:val="20"/>
        </w:rPr>
        <w:t>значення</w:t>
      </w:r>
    </w:p>
    <w:p w14:paraId="05CD39EA"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3956 - 2000</w:t>
      </w:r>
      <w:r w:rsidRPr="000977F7">
        <w:rPr>
          <w:rFonts w:asciiTheme="majorHAnsi" w:hAnsiTheme="majorHAnsi"/>
          <w:i/>
          <w:spacing w:val="-47"/>
          <w:sz w:val="20"/>
          <w:szCs w:val="20"/>
        </w:rPr>
        <w:t xml:space="preserve"> </w:t>
      </w:r>
    </w:p>
    <w:p w14:paraId="2D337657"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РЕМОНТ –</w:t>
      </w:r>
    </w:p>
    <w:p w14:paraId="2A4FA12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REPAIR</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BE61BD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 операцій для відновлення справного стану</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працездатності</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відновлення</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r w:rsidRPr="000977F7">
        <w:rPr>
          <w:rFonts w:asciiTheme="majorHAnsi" w:hAnsiTheme="majorHAnsi"/>
          <w:spacing w:val="1"/>
          <w:sz w:val="20"/>
          <w:szCs w:val="20"/>
        </w:rPr>
        <w:t xml:space="preserve"> </w:t>
      </w:r>
      <w:r w:rsidRPr="000977F7">
        <w:rPr>
          <w:rFonts w:asciiTheme="majorHAnsi" w:hAnsiTheme="majorHAnsi"/>
          <w:sz w:val="20"/>
          <w:szCs w:val="20"/>
        </w:rPr>
        <w:t>об’єктів</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складових</w:t>
      </w:r>
      <w:r w:rsidRPr="000977F7">
        <w:rPr>
          <w:rFonts w:asciiTheme="majorHAnsi" w:hAnsiTheme="majorHAnsi"/>
          <w:spacing w:val="-1"/>
          <w:sz w:val="20"/>
          <w:szCs w:val="20"/>
        </w:rPr>
        <w:t xml:space="preserve"> </w:t>
      </w:r>
      <w:r w:rsidRPr="000977F7">
        <w:rPr>
          <w:rFonts w:asciiTheme="majorHAnsi" w:hAnsiTheme="majorHAnsi"/>
          <w:sz w:val="20"/>
          <w:szCs w:val="20"/>
        </w:rPr>
        <w:t>частин</w:t>
      </w:r>
    </w:p>
    <w:p w14:paraId="55C6528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4580B6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0BB82B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Залежно від ознак класифікації ремонту виробу створюються видові поняття, наприклад: поточний ре</w:t>
      </w:r>
      <w:r w:rsidRPr="000977F7">
        <w:rPr>
          <w:rFonts w:asciiTheme="majorHAnsi" w:hAnsiTheme="majorHAnsi"/>
          <w:spacing w:val="1"/>
          <w:w w:val="99"/>
          <w:sz w:val="20"/>
          <w:szCs w:val="20"/>
        </w:rPr>
        <w:t>мо</w:t>
      </w:r>
      <w:r w:rsidRPr="000977F7">
        <w:rPr>
          <w:rFonts w:asciiTheme="majorHAnsi" w:hAnsiTheme="majorHAnsi"/>
          <w:spacing w:val="-2"/>
          <w:w w:val="99"/>
          <w:sz w:val="20"/>
          <w:szCs w:val="20"/>
        </w:rPr>
        <w:t>н</w:t>
      </w:r>
      <w:r w:rsidRPr="000977F7">
        <w:rPr>
          <w:rFonts w:asciiTheme="majorHAnsi" w:hAnsiTheme="majorHAnsi"/>
          <w:w w:val="99"/>
          <w:sz w:val="20"/>
          <w:szCs w:val="20"/>
        </w:rPr>
        <w:t>т</w:t>
      </w:r>
      <w:r w:rsidRPr="000977F7">
        <w:rPr>
          <w:rFonts w:asciiTheme="majorHAnsi" w:hAnsiTheme="majorHAnsi"/>
          <w:w w:val="130"/>
          <w:sz w:val="20"/>
          <w:szCs w:val="20"/>
        </w:rPr>
        <w:t>,</w:t>
      </w:r>
      <w:r w:rsidRPr="000977F7">
        <w:rPr>
          <w:rFonts w:asciiTheme="majorHAnsi" w:hAnsiTheme="majorHAnsi"/>
          <w:spacing w:val="1"/>
          <w:sz w:val="20"/>
          <w:szCs w:val="20"/>
        </w:rPr>
        <w:t xml:space="preserve"> </w:t>
      </w:r>
      <w:r w:rsidRPr="000977F7">
        <w:rPr>
          <w:rFonts w:asciiTheme="majorHAnsi" w:hAnsiTheme="majorHAnsi"/>
          <w:w w:val="99"/>
          <w:sz w:val="20"/>
          <w:szCs w:val="20"/>
        </w:rPr>
        <w:t>се</w:t>
      </w:r>
      <w:r w:rsidRPr="000977F7">
        <w:rPr>
          <w:rFonts w:asciiTheme="majorHAnsi" w:hAnsiTheme="majorHAnsi"/>
          <w:spacing w:val="1"/>
          <w:w w:val="99"/>
          <w:sz w:val="20"/>
          <w:szCs w:val="20"/>
        </w:rPr>
        <w:t>р</w:t>
      </w:r>
      <w:r w:rsidRPr="000977F7">
        <w:rPr>
          <w:rFonts w:asciiTheme="majorHAnsi" w:hAnsiTheme="majorHAnsi"/>
          <w:w w:val="99"/>
          <w:sz w:val="20"/>
          <w:szCs w:val="20"/>
        </w:rPr>
        <w:t>е</w:t>
      </w:r>
      <w:r w:rsidRPr="000977F7">
        <w:rPr>
          <w:rFonts w:asciiTheme="majorHAnsi" w:hAnsiTheme="majorHAnsi"/>
          <w:spacing w:val="2"/>
          <w:w w:val="99"/>
          <w:sz w:val="20"/>
          <w:szCs w:val="20"/>
        </w:rPr>
        <w:t>д</w:t>
      </w:r>
      <w:r w:rsidRPr="000977F7">
        <w:rPr>
          <w:rFonts w:asciiTheme="majorHAnsi" w:hAnsiTheme="majorHAnsi"/>
          <w:spacing w:val="-2"/>
          <w:w w:val="99"/>
          <w:sz w:val="20"/>
          <w:szCs w:val="20"/>
        </w:rPr>
        <w:t>н</w:t>
      </w:r>
      <w:r w:rsidRPr="000977F7">
        <w:rPr>
          <w:rFonts w:asciiTheme="majorHAnsi" w:hAnsiTheme="majorHAnsi"/>
          <w:w w:val="99"/>
          <w:sz w:val="20"/>
          <w:szCs w:val="20"/>
        </w:rPr>
        <w:t>ій</w:t>
      </w:r>
      <w:r w:rsidRPr="000977F7">
        <w:rPr>
          <w:rFonts w:asciiTheme="majorHAnsi" w:hAnsiTheme="majorHAnsi"/>
          <w:spacing w:val="-1"/>
          <w:sz w:val="20"/>
          <w:szCs w:val="20"/>
        </w:rPr>
        <w:t xml:space="preserve"> </w:t>
      </w:r>
      <w:r w:rsidRPr="000977F7">
        <w:rPr>
          <w:rFonts w:asciiTheme="majorHAnsi" w:hAnsiTheme="majorHAnsi"/>
          <w:spacing w:val="1"/>
          <w:w w:val="99"/>
          <w:sz w:val="20"/>
          <w:szCs w:val="20"/>
        </w:rPr>
        <w:t>р</w:t>
      </w:r>
      <w:r w:rsidRPr="000977F7">
        <w:rPr>
          <w:rFonts w:asciiTheme="majorHAnsi" w:hAnsiTheme="majorHAnsi"/>
          <w:w w:val="99"/>
          <w:sz w:val="20"/>
          <w:szCs w:val="20"/>
        </w:rPr>
        <w:t>е</w:t>
      </w:r>
      <w:r w:rsidRPr="000977F7">
        <w:rPr>
          <w:rFonts w:asciiTheme="majorHAnsi" w:hAnsiTheme="majorHAnsi"/>
          <w:spacing w:val="1"/>
          <w:w w:val="99"/>
          <w:sz w:val="20"/>
          <w:szCs w:val="20"/>
        </w:rPr>
        <w:t>мо</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т</w:t>
      </w:r>
      <w:r w:rsidRPr="000977F7">
        <w:rPr>
          <w:rFonts w:asciiTheme="majorHAnsi" w:hAnsiTheme="majorHAnsi"/>
          <w:w w:val="130"/>
          <w:sz w:val="20"/>
          <w:szCs w:val="20"/>
        </w:rPr>
        <w:t>,</w:t>
      </w:r>
      <w:r w:rsidRPr="000977F7">
        <w:rPr>
          <w:rFonts w:asciiTheme="majorHAnsi" w:hAnsiTheme="majorHAnsi"/>
          <w:spacing w:val="3"/>
          <w:sz w:val="20"/>
          <w:szCs w:val="20"/>
        </w:rPr>
        <w:t xml:space="preserve"> </w:t>
      </w:r>
      <w:r w:rsidRPr="000977F7">
        <w:rPr>
          <w:rFonts w:asciiTheme="majorHAnsi" w:hAnsiTheme="majorHAnsi"/>
          <w:spacing w:val="-1"/>
          <w:w w:val="63"/>
          <w:sz w:val="20"/>
          <w:szCs w:val="20"/>
        </w:rPr>
        <w:t>п</w:t>
      </w:r>
      <w:r w:rsidRPr="000977F7">
        <w:rPr>
          <w:rFonts w:asciiTheme="majorHAnsi" w:hAnsiTheme="majorHAnsi"/>
          <w:spacing w:val="-1"/>
          <w:w w:val="99"/>
          <w:sz w:val="20"/>
          <w:szCs w:val="20"/>
        </w:rPr>
        <w:t>л</w:t>
      </w:r>
      <w:r w:rsidRPr="000977F7">
        <w:rPr>
          <w:rFonts w:asciiTheme="majorHAnsi" w:hAnsiTheme="majorHAnsi"/>
          <w:spacing w:val="2"/>
          <w:w w:val="99"/>
          <w:sz w:val="20"/>
          <w:szCs w:val="20"/>
        </w:rPr>
        <w:t>а</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о</w:t>
      </w:r>
      <w:r w:rsidRPr="000977F7">
        <w:rPr>
          <w:rFonts w:asciiTheme="majorHAnsi" w:hAnsiTheme="majorHAnsi"/>
          <w:spacing w:val="-1"/>
          <w:w w:val="99"/>
          <w:sz w:val="20"/>
          <w:szCs w:val="20"/>
        </w:rPr>
        <w:t>в</w:t>
      </w:r>
      <w:r w:rsidRPr="000977F7">
        <w:rPr>
          <w:rFonts w:asciiTheme="majorHAnsi" w:hAnsiTheme="majorHAnsi"/>
          <w:w w:val="99"/>
          <w:sz w:val="20"/>
          <w:szCs w:val="20"/>
        </w:rPr>
        <w:t>ий</w:t>
      </w:r>
      <w:r w:rsidRPr="000977F7">
        <w:rPr>
          <w:rFonts w:asciiTheme="majorHAnsi" w:hAnsiTheme="majorHAnsi"/>
          <w:spacing w:val="-1"/>
          <w:sz w:val="20"/>
          <w:szCs w:val="20"/>
        </w:rPr>
        <w:t xml:space="preserve"> </w:t>
      </w:r>
      <w:r w:rsidRPr="000977F7">
        <w:rPr>
          <w:rFonts w:asciiTheme="majorHAnsi" w:hAnsiTheme="majorHAnsi"/>
          <w:spacing w:val="1"/>
          <w:w w:val="99"/>
          <w:sz w:val="20"/>
          <w:szCs w:val="20"/>
        </w:rPr>
        <w:t>р</w:t>
      </w:r>
      <w:r w:rsidRPr="000977F7">
        <w:rPr>
          <w:rFonts w:asciiTheme="majorHAnsi" w:hAnsiTheme="majorHAnsi"/>
          <w:w w:val="99"/>
          <w:sz w:val="20"/>
          <w:szCs w:val="20"/>
        </w:rPr>
        <w:t>е</w:t>
      </w:r>
      <w:r w:rsidRPr="000977F7">
        <w:rPr>
          <w:rFonts w:asciiTheme="majorHAnsi" w:hAnsiTheme="majorHAnsi"/>
          <w:spacing w:val="1"/>
          <w:w w:val="99"/>
          <w:sz w:val="20"/>
          <w:szCs w:val="20"/>
        </w:rPr>
        <w:t>мо</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т</w:t>
      </w:r>
      <w:r w:rsidRPr="000977F7">
        <w:rPr>
          <w:rFonts w:asciiTheme="majorHAnsi" w:hAnsiTheme="majorHAnsi"/>
          <w:w w:val="157"/>
          <w:sz w:val="20"/>
          <w:szCs w:val="20"/>
        </w:rPr>
        <w:t>‖</w:t>
      </w:r>
    </w:p>
    <w:p w14:paraId="24931ED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 – 95</w:t>
      </w:r>
    </w:p>
    <w:p w14:paraId="3B1409C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Операції, що здійснюються для усунення недоліків товарів, приведення їх у робочий стан, відновлення ресурсу або характеристик та не призводять до зміни коду цих товарів згідно з Українською класифікацією товарів зовнішньоекономічної діяльності</w:t>
      </w:r>
    </w:p>
    <w:p w14:paraId="0AC917E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i/>
          <w:sz w:val="20"/>
          <w:szCs w:val="20"/>
        </w:rPr>
        <w:t>Митний кодекс України</w:t>
      </w:r>
    </w:p>
    <w:p w14:paraId="5FA6BA4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РЕМОНТ</w:t>
      </w:r>
      <w:r w:rsidRPr="000977F7">
        <w:rPr>
          <w:color w:val="auto"/>
          <w:spacing w:val="-4"/>
          <w:sz w:val="20"/>
          <w:szCs w:val="20"/>
        </w:rPr>
        <w:t xml:space="preserve"> </w:t>
      </w:r>
      <w:r w:rsidRPr="000977F7">
        <w:rPr>
          <w:color w:val="auto"/>
          <w:sz w:val="20"/>
          <w:szCs w:val="20"/>
        </w:rPr>
        <w:t>ЗА</w:t>
      </w:r>
      <w:r w:rsidRPr="000977F7">
        <w:rPr>
          <w:color w:val="auto"/>
          <w:spacing w:val="-3"/>
          <w:sz w:val="20"/>
          <w:szCs w:val="20"/>
        </w:rPr>
        <w:t xml:space="preserve"> </w:t>
      </w:r>
      <w:r w:rsidRPr="000977F7">
        <w:rPr>
          <w:color w:val="auto"/>
          <w:sz w:val="20"/>
          <w:szCs w:val="20"/>
        </w:rPr>
        <w:t>ТЕХНІЧНИМ</w:t>
      </w:r>
      <w:r w:rsidRPr="000977F7">
        <w:rPr>
          <w:color w:val="auto"/>
          <w:spacing w:val="-1"/>
          <w:sz w:val="20"/>
          <w:szCs w:val="20"/>
        </w:rPr>
        <w:t xml:space="preserve"> </w:t>
      </w:r>
      <w:r w:rsidRPr="000977F7">
        <w:rPr>
          <w:color w:val="auto"/>
          <w:sz w:val="20"/>
          <w:szCs w:val="20"/>
        </w:rPr>
        <w:t>СТАНОМ</w:t>
      </w:r>
      <w:r w:rsidRPr="000977F7">
        <w:rPr>
          <w:color w:val="auto"/>
          <w:spacing w:val="1"/>
          <w:sz w:val="20"/>
          <w:szCs w:val="20"/>
        </w:rPr>
        <w:t xml:space="preserve"> </w:t>
      </w:r>
      <w:r w:rsidRPr="000977F7">
        <w:rPr>
          <w:color w:val="auto"/>
          <w:sz w:val="20"/>
          <w:szCs w:val="20"/>
        </w:rPr>
        <w:t>–</w:t>
      </w:r>
    </w:p>
    <w:p w14:paraId="1A44387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Ремонт,</w:t>
      </w:r>
      <w:r w:rsidRPr="000977F7">
        <w:rPr>
          <w:rFonts w:asciiTheme="majorHAnsi" w:hAnsiTheme="majorHAnsi"/>
          <w:spacing w:val="1"/>
          <w:sz w:val="20"/>
          <w:szCs w:val="20"/>
        </w:rPr>
        <w:t xml:space="preserve"> </w:t>
      </w:r>
      <w:r w:rsidRPr="000977F7">
        <w:rPr>
          <w:rFonts w:asciiTheme="majorHAnsi" w:hAnsiTheme="majorHAnsi"/>
          <w:sz w:val="20"/>
          <w:szCs w:val="20"/>
        </w:rPr>
        <w:t>при якому</w:t>
      </w:r>
      <w:r w:rsidRPr="000977F7">
        <w:rPr>
          <w:rFonts w:asciiTheme="majorHAnsi" w:hAnsiTheme="majorHAnsi"/>
          <w:spacing w:val="1"/>
          <w:sz w:val="20"/>
          <w:szCs w:val="20"/>
        </w:rPr>
        <w:t xml:space="preserve"> </w:t>
      </w:r>
      <w:r w:rsidRPr="000977F7">
        <w:rPr>
          <w:rFonts w:asciiTheme="majorHAnsi" w:hAnsiTheme="majorHAnsi"/>
          <w:sz w:val="20"/>
          <w:szCs w:val="20"/>
        </w:rPr>
        <w:t>контроль</w:t>
      </w:r>
      <w:r w:rsidRPr="000977F7">
        <w:rPr>
          <w:rFonts w:asciiTheme="majorHAnsi" w:hAnsiTheme="majorHAnsi"/>
          <w:spacing w:val="3"/>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2"/>
          <w:sz w:val="20"/>
          <w:szCs w:val="20"/>
        </w:rPr>
        <w:t xml:space="preserve"> </w:t>
      </w:r>
      <w:r w:rsidRPr="000977F7">
        <w:rPr>
          <w:rFonts w:asciiTheme="majorHAnsi" w:hAnsiTheme="majorHAnsi"/>
          <w:sz w:val="20"/>
          <w:szCs w:val="20"/>
        </w:rPr>
        <w:t>стану виконують</w:t>
      </w:r>
      <w:r w:rsidRPr="000977F7">
        <w:rPr>
          <w:rFonts w:asciiTheme="majorHAnsi" w:hAnsiTheme="majorHAnsi"/>
          <w:spacing w:val="-9"/>
          <w:sz w:val="20"/>
          <w:szCs w:val="20"/>
        </w:rPr>
        <w:t xml:space="preserve"> </w:t>
      </w:r>
      <w:r w:rsidRPr="000977F7">
        <w:rPr>
          <w:rFonts w:asciiTheme="majorHAnsi" w:hAnsiTheme="majorHAnsi"/>
          <w:sz w:val="20"/>
          <w:szCs w:val="20"/>
        </w:rPr>
        <w:t>з</w:t>
      </w:r>
      <w:r w:rsidRPr="000977F7">
        <w:rPr>
          <w:rFonts w:asciiTheme="majorHAnsi" w:hAnsiTheme="majorHAnsi"/>
          <w:spacing w:val="-8"/>
          <w:sz w:val="20"/>
          <w:szCs w:val="20"/>
        </w:rPr>
        <w:t xml:space="preserve"> </w:t>
      </w:r>
      <w:r w:rsidRPr="000977F7">
        <w:rPr>
          <w:rFonts w:asciiTheme="majorHAnsi" w:hAnsiTheme="majorHAnsi"/>
          <w:sz w:val="20"/>
          <w:szCs w:val="20"/>
        </w:rPr>
        <w:t>періодичністю</w:t>
      </w:r>
      <w:r w:rsidRPr="000977F7">
        <w:rPr>
          <w:rFonts w:asciiTheme="majorHAnsi" w:hAnsiTheme="majorHAnsi"/>
          <w:spacing w:val="-8"/>
          <w:sz w:val="20"/>
          <w:szCs w:val="20"/>
        </w:rPr>
        <w:t xml:space="preserve"> </w:t>
      </w:r>
      <w:r w:rsidRPr="000977F7">
        <w:rPr>
          <w:rFonts w:asciiTheme="majorHAnsi" w:hAnsiTheme="majorHAnsi"/>
          <w:sz w:val="20"/>
          <w:szCs w:val="20"/>
        </w:rPr>
        <w:t>і</w:t>
      </w:r>
      <w:r w:rsidRPr="000977F7">
        <w:rPr>
          <w:rFonts w:asciiTheme="majorHAnsi" w:hAnsiTheme="majorHAnsi"/>
          <w:spacing w:val="-9"/>
          <w:sz w:val="20"/>
          <w:szCs w:val="20"/>
        </w:rPr>
        <w:t xml:space="preserve"> </w:t>
      </w:r>
      <w:r w:rsidRPr="000977F7">
        <w:rPr>
          <w:rFonts w:asciiTheme="majorHAnsi" w:hAnsiTheme="majorHAnsi"/>
          <w:sz w:val="20"/>
          <w:szCs w:val="20"/>
        </w:rPr>
        <w:t>в</w:t>
      </w:r>
      <w:r w:rsidRPr="000977F7">
        <w:rPr>
          <w:rFonts w:asciiTheme="majorHAnsi" w:hAnsiTheme="majorHAnsi"/>
          <w:spacing w:val="-9"/>
          <w:sz w:val="20"/>
          <w:szCs w:val="20"/>
        </w:rPr>
        <w:t xml:space="preserve"> </w:t>
      </w:r>
      <w:r w:rsidRPr="000977F7">
        <w:rPr>
          <w:rFonts w:asciiTheme="majorHAnsi" w:hAnsiTheme="majorHAnsi"/>
          <w:sz w:val="20"/>
          <w:szCs w:val="20"/>
        </w:rPr>
        <w:t>обсязі,</w:t>
      </w:r>
      <w:r w:rsidRPr="000977F7">
        <w:rPr>
          <w:rFonts w:asciiTheme="majorHAnsi" w:hAnsiTheme="majorHAnsi"/>
          <w:spacing w:val="-7"/>
          <w:sz w:val="20"/>
          <w:szCs w:val="20"/>
        </w:rPr>
        <w:t xml:space="preserve"> </w:t>
      </w:r>
      <w:r w:rsidRPr="000977F7">
        <w:rPr>
          <w:rFonts w:asciiTheme="majorHAnsi" w:hAnsiTheme="majorHAnsi"/>
          <w:sz w:val="20"/>
          <w:szCs w:val="20"/>
        </w:rPr>
        <w:t>встановленому</w:t>
      </w:r>
      <w:r w:rsidRPr="000977F7">
        <w:rPr>
          <w:rFonts w:asciiTheme="majorHAnsi" w:hAnsiTheme="majorHAnsi"/>
          <w:spacing w:val="-10"/>
          <w:sz w:val="20"/>
          <w:szCs w:val="20"/>
        </w:rPr>
        <w:t xml:space="preserve"> </w:t>
      </w:r>
      <w:r w:rsidRPr="000977F7">
        <w:rPr>
          <w:rFonts w:asciiTheme="majorHAnsi" w:hAnsiTheme="majorHAnsi"/>
          <w:sz w:val="20"/>
          <w:szCs w:val="20"/>
        </w:rPr>
        <w:t>в</w:t>
      </w:r>
      <w:r w:rsidRPr="000977F7">
        <w:rPr>
          <w:rFonts w:asciiTheme="majorHAnsi" w:hAnsiTheme="majorHAnsi"/>
          <w:spacing w:val="-8"/>
          <w:sz w:val="20"/>
          <w:szCs w:val="20"/>
        </w:rPr>
        <w:t xml:space="preserve"> </w:t>
      </w:r>
      <w:r w:rsidRPr="000977F7">
        <w:rPr>
          <w:rFonts w:asciiTheme="majorHAnsi" w:hAnsiTheme="majorHAnsi"/>
          <w:sz w:val="20"/>
          <w:szCs w:val="20"/>
        </w:rPr>
        <w:t>нормативно-технічній</w:t>
      </w:r>
      <w:r w:rsidRPr="000977F7">
        <w:rPr>
          <w:rFonts w:asciiTheme="majorHAnsi" w:hAnsiTheme="majorHAnsi"/>
          <w:spacing w:val="-12"/>
          <w:sz w:val="20"/>
          <w:szCs w:val="20"/>
        </w:rPr>
        <w:t xml:space="preserve"> </w:t>
      </w:r>
      <w:r w:rsidRPr="000977F7">
        <w:rPr>
          <w:rFonts w:asciiTheme="majorHAnsi" w:hAnsiTheme="majorHAnsi"/>
          <w:sz w:val="20"/>
          <w:szCs w:val="20"/>
        </w:rPr>
        <w:lastRenderedPageBreak/>
        <w:t>документації,</w:t>
      </w:r>
      <w:r w:rsidRPr="000977F7">
        <w:rPr>
          <w:rFonts w:asciiTheme="majorHAnsi" w:hAnsiTheme="majorHAnsi"/>
          <w:spacing w:val="-11"/>
          <w:sz w:val="20"/>
          <w:szCs w:val="20"/>
        </w:rPr>
        <w:t xml:space="preserve"> </w:t>
      </w:r>
      <w:r w:rsidRPr="000977F7">
        <w:rPr>
          <w:rFonts w:asciiTheme="majorHAnsi" w:hAnsiTheme="majorHAnsi"/>
          <w:sz w:val="20"/>
          <w:szCs w:val="20"/>
        </w:rPr>
        <w:t>а</w:t>
      </w:r>
      <w:r w:rsidRPr="000977F7">
        <w:rPr>
          <w:rFonts w:asciiTheme="majorHAnsi" w:hAnsiTheme="majorHAnsi"/>
          <w:spacing w:val="-12"/>
          <w:sz w:val="20"/>
          <w:szCs w:val="20"/>
        </w:rPr>
        <w:t xml:space="preserve"> </w:t>
      </w:r>
      <w:r w:rsidRPr="000977F7">
        <w:rPr>
          <w:rFonts w:asciiTheme="majorHAnsi" w:hAnsiTheme="majorHAnsi"/>
          <w:sz w:val="20"/>
          <w:szCs w:val="20"/>
        </w:rPr>
        <w:t>обсяги</w:t>
      </w:r>
      <w:r w:rsidRPr="000977F7">
        <w:rPr>
          <w:rFonts w:asciiTheme="majorHAnsi" w:hAnsiTheme="majorHAnsi"/>
          <w:spacing w:val="-11"/>
          <w:sz w:val="20"/>
          <w:szCs w:val="20"/>
        </w:rPr>
        <w:t xml:space="preserve"> </w:t>
      </w:r>
      <w:r w:rsidRPr="000977F7">
        <w:rPr>
          <w:rFonts w:asciiTheme="majorHAnsi" w:hAnsiTheme="majorHAnsi"/>
          <w:sz w:val="20"/>
          <w:szCs w:val="20"/>
        </w:rPr>
        <w:t>і</w:t>
      </w:r>
      <w:r w:rsidRPr="000977F7">
        <w:rPr>
          <w:rFonts w:asciiTheme="majorHAnsi" w:hAnsiTheme="majorHAnsi"/>
          <w:spacing w:val="-13"/>
          <w:sz w:val="20"/>
          <w:szCs w:val="20"/>
        </w:rPr>
        <w:t xml:space="preserve"> </w:t>
      </w:r>
      <w:r w:rsidRPr="000977F7">
        <w:rPr>
          <w:rFonts w:asciiTheme="majorHAnsi" w:hAnsiTheme="majorHAnsi"/>
          <w:sz w:val="20"/>
          <w:szCs w:val="20"/>
        </w:rPr>
        <w:t>момент</w:t>
      </w:r>
      <w:r w:rsidRPr="000977F7">
        <w:rPr>
          <w:rFonts w:asciiTheme="majorHAnsi" w:hAnsiTheme="majorHAnsi"/>
          <w:spacing w:val="-10"/>
          <w:sz w:val="20"/>
          <w:szCs w:val="20"/>
        </w:rPr>
        <w:t xml:space="preserve"> </w:t>
      </w:r>
      <w:r w:rsidRPr="000977F7">
        <w:rPr>
          <w:rFonts w:asciiTheme="majorHAnsi" w:hAnsiTheme="majorHAnsi"/>
          <w:sz w:val="20"/>
          <w:szCs w:val="20"/>
        </w:rPr>
        <w:t>почат</w:t>
      </w:r>
      <w:r w:rsidRPr="000977F7">
        <w:rPr>
          <w:rFonts w:asciiTheme="majorHAnsi" w:hAnsiTheme="majorHAnsi"/>
          <w:spacing w:val="-1"/>
          <w:sz w:val="20"/>
          <w:szCs w:val="20"/>
        </w:rPr>
        <w:t>ку ремонту визначають за технічним станом об’єкта</w:t>
      </w:r>
    </w:p>
    <w:p w14:paraId="4635FEF2"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 xml:space="preserve">РЕМОНТНА КОНСТРУКТОРСЬКА </w:t>
      </w:r>
    </w:p>
    <w:p w14:paraId="20827716"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ДОКУМЕНТАЦІЯ</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481F536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Робоча</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конструкторська</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документація,</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містить</w:t>
      </w:r>
      <w:r w:rsidRPr="000977F7">
        <w:rPr>
          <w:rFonts w:asciiTheme="majorHAnsi" w:hAnsiTheme="majorHAnsi"/>
          <w:spacing w:val="1"/>
          <w:sz w:val="20"/>
          <w:szCs w:val="20"/>
        </w:rPr>
        <w:t xml:space="preserve"> </w:t>
      </w:r>
      <w:r w:rsidRPr="000977F7">
        <w:rPr>
          <w:rFonts w:asciiTheme="majorHAnsi" w:hAnsiTheme="majorHAnsi"/>
          <w:sz w:val="20"/>
          <w:szCs w:val="20"/>
        </w:rPr>
        <w:t>дані</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1"/>
          <w:sz w:val="20"/>
          <w:szCs w:val="20"/>
        </w:rPr>
        <w:t xml:space="preserve"> </w:t>
      </w:r>
      <w:r w:rsidRPr="000977F7">
        <w:rPr>
          <w:rFonts w:asciiTheme="majorHAnsi" w:hAnsiTheme="majorHAnsi"/>
          <w:sz w:val="20"/>
          <w:szCs w:val="20"/>
        </w:rPr>
        <w:t>ремонтних</w:t>
      </w:r>
      <w:r w:rsidRPr="000977F7">
        <w:rPr>
          <w:rFonts w:asciiTheme="majorHAnsi" w:hAnsiTheme="majorHAnsi"/>
          <w:spacing w:val="1"/>
          <w:sz w:val="20"/>
          <w:szCs w:val="20"/>
        </w:rPr>
        <w:t xml:space="preserve"> </w:t>
      </w:r>
      <w:r w:rsidRPr="000977F7">
        <w:rPr>
          <w:rFonts w:asciiTheme="majorHAnsi" w:hAnsiTheme="majorHAnsi"/>
          <w:sz w:val="20"/>
          <w:szCs w:val="20"/>
        </w:rPr>
        <w:t>робіт</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виробів</w:t>
      </w:r>
      <w:r w:rsidRPr="000977F7">
        <w:rPr>
          <w:rFonts w:asciiTheme="majorHAnsi" w:hAnsiTheme="majorHAnsi"/>
          <w:spacing w:val="1"/>
          <w:sz w:val="20"/>
          <w:szCs w:val="20"/>
        </w:rPr>
        <w:t xml:space="preserve"> </w:t>
      </w:r>
      <w:r w:rsidRPr="000977F7">
        <w:rPr>
          <w:rFonts w:asciiTheme="majorHAnsi" w:hAnsiTheme="majorHAnsi"/>
          <w:sz w:val="20"/>
          <w:szCs w:val="20"/>
        </w:rPr>
        <w:t>після</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p>
    <w:p w14:paraId="74D0143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96</w:t>
      </w:r>
    </w:p>
    <w:p w14:paraId="6DA3CAA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РЕМОНТНА</w:t>
      </w:r>
      <w:r w:rsidRPr="000977F7">
        <w:rPr>
          <w:color w:val="auto"/>
          <w:spacing w:val="-3"/>
          <w:sz w:val="20"/>
          <w:szCs w:val="20"/>
        </w:rPr>
        <w:t xml:space="preserve"> </w:t>
      </w:r>
      <w:r w:rsidRPr="000977F7">
        <w:rPr>
          <w:color w:val="auto"/>
          <w:sz w:val="20"/>
          <w:szCs w:val="20"/>
        </w:rPr>
        <w:t>ОДИНИЦЯ</w:t>
      </w:r>
      <w:r w:rsidRPr="000977F7">
        <w:rPr>
          <w:color w:val="auto"/>
          <w:spacing w:val="-2"/>
          <w:sz w:val="20"/>
          <w:szCs w:val="20"/>
        </w:rPr>
        <w:t xml:space="preserve"> </w:t>
      </w:r>
      <w:r w:rsidRPr="000977F7">
        <w:rPr>
          <w:color w:val="auto"/>
          <w:sz w:val="20"/>
          <w:szCs w:val="20"/>
        </w:rPr>
        <w:t>–</w:t>
      </w:r>
    </w:p>
    <w:p w14:paraId="3FA3739E"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Трудомісткість</w:t>
      </w:r>
      <w:r w:rsidRPr="000977F7">
        <w:rPr>
          <w:rFonts w:asciiTheme="majorHAnsi" w:hAnsiTheme="majorHAnsi"/>
          <w:spacing w:val="3"/>
          <w:sz w:val="20"/>
          <w:szCs w:val="20"/>
        </w:rPr>
        <w:t xml:space="preserve"> </w:t>
      </w:r>
      <w:r w:rsidRPr="000977F7">
        <w:rPr>
          <w:rFonts w:asciiTheme="majorHAnsi" w:hAnsiTheme="majorHAnsi"/>
          <w:sz w:val="20"/>
          <w:szCs w:val="20"/>
        </w:rPr>
        <w:t>ремонту</w:t>
      </w:r>
      <w:r w:rsidRPr="000977F7">
        <w:rPr>
          <w:rFonts w:asciiTheme="majorHAnsi" w:hAnsiTheme="majorHAnsi"/>
          <w:spacing w:val="5"/>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6"/>
          <w:sz w:val="20"/>
          <w:szCs w:val="20"/>
        </w:rPr>
        <w:t xml:space="preserve"> </w:t>
      </w:r>
      <w:r w:rsidRPr="000977F7">
        <w:rPr>
          <w:rFonts w:asciiTheme="majorHAnsi" w:hAnsiTheme="majorHAnsi"/>
          <w:sz w:val="20"/>
          <w:szCs w:val="20"/>
        </w:rPr>
        <w:t>яке</w:t>
      </w:r>
      <w:r w:rsidRPr="000977F7">
        <w:rPr>
          <w:rFonts w:asciiTheme="majorHAnsi" w:hAnsiTheme="majorHAnsi"/>
          <w:spacing w:val="5"/>
          <w:sz w:val="20"/>
          <w:szCs w:val="20"/>
        </w:rPr>
        <w:t xml:space="preserve"> </w:t>
      </w:r>
      <w:r w:rsidRPr="000977F7">
        <w:rPr>
          <w:rFonts w:asciiTheme="majorHAnsi" w:hAnsiTheme="majorHAnsi"/>
          <w:sz w:val="20"/>
          <w:szCs w:val="20"/>
        </w:rPr>
        <w:t>приймається</w:t>
      </w:r>
      <w:r w:rsidRPr="000977F7">
        <w:rPr>
          <w:rFonts w:asciiTheme="majorHAnsi" w:hAnsiTheme="majorHAnsi"/>
          <w:spacing w:val="7"/>
          <w:sz w:val="20"/>
          <w:szCs w:val="20"/>
        </w:rPr>
        <w:t xml:space="preserve"> </w:t>
      </w:r>
      <w:r w:rsidRPr="000977F7">
        <w:rPr>
          <w:rFonts w:asciiTheme="majorHAnsi" w:hAnsiTheme="majorHAnsi"/>
          <w:sz w:val="20"/>
          <w:szCs w:val="20"/>
        </w:rPr>
        <w:t>як</w:t>
      </w:r>
      <w:r w:rsidRPr="000977F7">
        <w:rPr>
          <w:rFonts w:asciiTheme="majorHAnsi" w:hAnsiTheme="majorHAnsi"/>
          <w:spacing w:val="8"/>
          <w:sz w:val="20"/>
          <w:szCs w:val="20"/>
        </w:rPr>
        <w:t xml:space="preserve"> </w:t>
      </w:r>
      <w:r w:rsidRPr="000977F7">
        <w:rPr>
          <w:rFonts w:asciiTheme="majorHAnsi" w:hAnsiTheme="majorHAnsi"/>
          <w:sz w:val="20"/>
          <w:szCs w:val="20"/>
        </w:rPr>
        <w:t>еталон</w:t>
      </w:r>
      <w:r w:rsidRPr="000977F7">
        <w:rPr>
          <w:rFonts w:asciiTheme="majorHAnsi" w:hAnsiTheme="majorHAnsi"/>
          <w:spacing w:val="8"/>
          <w:sz w:val="20"/>
          <w:szCs w:val="20"/>
        </w:rPr>
        <w:t xml:space="preserve"> </w:t>
      </w:r>
      <w:r w:rsidRPr="000977F7">
        <w:rPr>
          <w:rFonts w:asciiTheme="majorHAnsi" w:hAnsiTheme="majorHAnsi"/>
          <w:sz w:val="20"/>
          <w:szCs w:val="20"/>
        </w:rPr>
        <w:t>для</w:t>
      </w:r>
      <w:r w:rsidRPr="000977F7">
        <w:rPr>
          <w:rFonts w:asciiTheme="majorHAnsi" w:hAnsiTheme="majorHAnsi"/>
          <w:spacing w:val="8"/>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11"/>
          <w:sz w:val="20"/>
          <w:szCs w:val="20"/>
        </w:rPr>
        <w:t xml:space="preserve"> </w:t>
      </w:r>
      <w:r w:rsidRPr="000977F7">
        <w:rPr>
          <w:rFonts w:asciiTheme="majorHAnsi" w:hAnsiTheme="majorHAnsi"/>
          <w:sz w:val="20"/>
          <w:szCs w:val="20"/>
        </w:rPr>
        <w:t>складності</w:t>
      </w:r>
      <w:r w:rsidRPr="000977F7">
        <w:rPr>
          <w:rFonts w:asciiTheme="majorHAnsi" w:hAnsiTheme="majorHAnsi"/>
          <w:spacing w:val="8"/>
          <w:sz w:val="20"/>
          <w:szCs w:val="20"/>
        </w:rPr>
        <w:t xml:space="preserve"> </w:t>
      </w:r>
      <w:r w:rsidRPr="000977F7">
        <w:rPr>
          <w:rFonts w:asciiTheme="majorHAnsi" w:hAnsiTheme="majorHAnsi"/>
          <w:sz w:val="20"/>
          <w:szCs w:val="20"/>
        </w:rPr>
        <w:t>ремонту</w:t>
      </w:r>
      <w:r w:rsidRPr="000977F7">
        <w:rPr>
          <w:rFonts w:asciiTheme="majorHAnsi" w:hAnsiTheme="majorHAnsi"/>
          <w:spacing w:val="1"/>
          <w:sz w:val="20"/>
          <w:szCs w:val="20"/>
        </w:rPr>
        <w:t xml:space="preserve"> </w:t>
      </w:r>
    </w:p>
    <w:p w14:paraId="7C97385B"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059F19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РЕМОНТНЕ</w:t>
      </w:r>
      <w:r w:rsidRPr="000977F7">
        <w:rPr>
          <w:color w:val="auto"/>
          <w:spacing w:val="-5"/>
          <w:sz w:val="20"/>
          <w:szCs w:val="20"/>
        </w:rPr>
        <w:t xml:space="preserve"> </w:t>
      </w:r>
      <w:r w:rsidRPr="000977F7">
        <w:rPr>
          <w:color w:val="auto"/>
          <w:sz w:val="20"/>
          <w:szCs w:val="20"/>
        </w:rPr>
        <w:t>ГОСПОДАРТСВО –</w:t>
      </w:r>
    </w:p>
    <w:p w14:paraId="25963BD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загальнозаводських та цехових підрозділів,</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здійснюють</w:t>
      </w:r>
      <w:r w:rsidRPr="000977F7">
        <w:rPr>
          <w:rFonts w:asciiTheme="majorHAnsi" w:hAnsiTheme="majorHAnsi"/>
          <w:spacing w:val="1"/>
          <w:sz w:val="20"/>
          <w:szCs w:val="20"/>
        </w:rPr>
        <w:t xml:space="preserve"> </w:t>
      </w:r>
      <w:r w:rsidRPr="000977F7">
        <w:rPr>
          <w:rFonts w:asciiTheme="majorHAnsi" w:hAnsiTheme="majorHAnsi"/>
          <w:sz w:val="20"/>
          <w:szCs w:val="20"/>
        </w:rPr>
        <w:t>комплекс</w:t>
      </w:r>
      <w:r w:rsidRPr="000977F7">
        <w:rPr>
          <w:rFonts w:asciiTheme="majorHAnsi" w:hAnsiTheme="majorHAnsi"/>
          <w:spacing w:val="1"/>
          <w:sz w:val="20"/>
          <w:szCs w:val="20"/>
        </w:rPr>
        <w:t xml:space="preserve"> </w:t>
      </w:r>
      <w:r w:rsidRPr="000977F7">
        <w:rPr>
          <w:rFonts w:asciiTheme="majorHAnsi" w:hAnsiTheme="majorHAnsi"/>
          <w:sz w:val="20"/>
          <w:szCs w:val="20"/>
        </w:rPr>
        <w:t>заходів</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догляду за устаткуванням, нагляду за його станом та з</w:t>
      </w:r>
      <w:r w:rsidRPr="000977F7">
        <w:rPr>
          <w:rFonts w:asciiTheme="majorHAnsi" w:hAnsiTheme="majorHAnsi"/>
          <w:spacing w:val="-47"/>
          <w:sz w:val="20"/>
          <w:szCs w:val="20"/>
        </w:rPr>
        <w:t xml:space="preserve"> </w:t>
      </w:r>
      <w:r w:rsidRPr="000977F7">
        <w:rPr>
          <w:rFonts w:asciiTheme="majorHAnsi" w:hAnsiTheme="majorHAnsi"/>
          <w:sz w:val="20"/>
          <w:szCs w:val="20"/>
        </w:rPr>
        <w:t>ремонту</w:t>
      </w:r>
    </w:p>
    <w:p w14:paraId="0F82AF5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38CE58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РЕМОНТНЕ</w:t>
      </w:r>
      <w:r w:rsidRPr="000977F7">
        <w:rPr>
          <w:color w:val="auto"/>
          <w:spacing w:val="-5"/>
          <w:sz w:val="20"/>
          <w:szCs w:val="20"/>
        </w:rPr>
        <w:t xml:space="preserve"> </w:t>
      </w:r>
      <w:r w:rsidRPr="000977F7">
        <w:rPr>
          <w:color w:val="auto"/>
          <w:sz w:val="20"/>
          <w:szCs w:val="20"/>
        </w:rPr>
        <w:t>КРЕСЛЕННЯ</w:t>
      </w:r>
      <w:r w:rsidRPr="000977F7">
        <w:rPr>
          <w:color w:val="auto"/>
          <w:spacing w:val="-2"/>
          <w:sz w:val="20"/>
          <w:szCs w:val="20"/>
        </w:rPr>
        <w:t xml:space="preserve"> </w:t>
      </w:r>
      <w:r w:rsidRPr="000977F7">
        <w:rPr>
          <w:color w:val="auto"/>
          <w:sz w:val="20"/>
          <w:szCs w:val="20"/>
        </w:rPr>
        <w:t>–</w:t>
      </w:r>
    </w:p>
    <w:p w14:paraId="6F4E7F33"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Креслення, яке містить дані, необхідні для проведення</w:t>
      </w:r>
      <w:r w:rsidRPr="000977F7">
        <w:rPr>
          <w:rFonts w:asciiTheme="majorHAnsi" w:hAnsiTheme="majorHAnsi"/>
          <w:spacing w:val="-47"/>
          <w:sz w:val="20"/>
          <w:szCs w:val="20"/>
        </w:rPr>
        <w:t xml:space="preserve"> </w:t>
      </w:r>
      <w:r w:rsidRPr="000977F7">
        <w:rPr>
          <w:rFonts w:asciiTheme="majorHAnsi" w:hAnsiTheme="majorHAnsi"/>
          <w:spacing w:val="-1"/>
          <w:sz w:val="20"/>
          <w:szCs w:val="20"/>
        </w:rPr>
        <w:t xml:space="preserve">ремонту і контролю виробу в процесі </w:t>
      </w:r>
      <w:r w:rsidRPr="000977F7">
        <w:rPr>
          <w:rFonts w:asciiTheme="majorHAnsi" w:hAnsiTheme="majorHAnsi"/>
          <w:sz w:val="20"/>
          <w:szCs w:val="20"/>
        </w:rPr>
        <w:t>та після ремонту</w:t>
      </w:r>
      <w:r w:rsidRPr="000977F7">
        <w:rPr>
          <w:rFonts w:asciiTheme="majorHAnsi" w:hAnsiTheme="majorHAnsi"/>
          <w:spacing w:val="-47"/>
          <w:sz w:val="20"/>
          <w:szCs w:val="20"/>
        </w:rPr>
        <w:t xml:space="preserve"> </w:t>
      </w:r>
    </w:p>
    <w:p w14:paraId="3172BDD7"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3321</w:t>
      </w:r>
      <w:r w:rsidRPr="000977F7">
        <w:rPr>
          <w:rFonts w:asciiTheme="majorHAnsi" w:hAnsiTheme="majorHAnsi"/>
          <w:i/>
          <w:spacing w:val="2"/>
          <w:sz w:val="20"/>
          <w:szCs w:val="20"/>
        </w:rPr>
        <w:t xml:space="preserve"> </w:t>
      </w:r>
      <w:r w:rsidRPr="000977F7">
        <w:rPr>
          <w:rFonts w:asciiTheme="majorHAnsi" w:hAnsiTheme="majorHAnsi"/>
          <w:i/>
          <w:sz w:val="20"/>
          <w:szCs w:val="20"/>
        </w:rPr>
        <w:t>– 2003</w:t>
      </w:r>
    </w:p>
    <w:p w14:paraId="19E9B3C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РЕМОНТ</w:t>
      </w:r>
      <w:r w:rsidRPr="000977F7">
        <w:rPr>
          <w:color w:val="auto"/>
          <w:spacing w:val="-4"/>
          <w:sz w:val="20"/>
          <w:szCs w:val="20"/>
        </w:rPr>
        <w:t xml:space="preserve"> </w:t>
      </w:r>
      <w:r w:rsidRPr="000977F7">
        <w:rPr>
          <w:color w:val="auto"/>
          <w:sz w:val="20"/>
          <w:szCs w:val="20"/>
        </w:rPr>
        <w:t>УСТАТКУВАННЯ</w:t>
      </w:r>
      <w:r w:rsidRPr="000977F7">
        <w:rPr>
          <w:color w:val="auto"/>
          <w:spacing w:val="-1"/>
          <w:sz w:val="20"/>
          <w:szCs w:val="20"/>
        </w:rPr>
        <w:t xml:space="preserve"> </w:t>
      </w:r>
      <w:r w:rsidRPr="000977F7">
        <w:rPr>
          <w:color w:val="auto"/>
          <w:sz w:val="20"/>
          <w:szCs w:val="20"/>
        </w:rPr>
        <w:t>–</w:t>
      </w:r>
    </w:p>
    <w:p w14:paraId="35A1B4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w:t>
      </w:r>
      <w:r w:rsidRPr="000977F7">
        <w:rPr>
          <w:rFonts w:asciiTheme="majorHAnsi" w:hAnsiTheme="majorHAnsi"/>
          <w:spacing w:val="5"/>
          <w:sz w:val="20"/>
          <w:szCs w:val="20"/>
        </w:rPr>
        <w:t xml:space="preserve"> </w:t>
      </w:r>
      <w:r w:rsidRPr="000977F7">
        <w:rPr>
          <w:rFonts w:asciiTheme="majorHAnsi" w:hAnsiTheme="majorHAnsi"/>
          <w:sz w:val="20"/>
          <w:szCs w:val="20"/>
        </w:rPr>
        <w:t>операцій</w:t>
      </w:r>
      <w:r w:rsidRPr="000977F7">
        <w:rPr>
          <w:rFonts w:asciiTheme="majorHAnsi" w:hAnsiTheme="majorHAnsi"/>
          <w:spacing w:val="3"/>
          <w:sz w:val="20"/>
          <w:szCs w:val="20"/>
        </w:rPr>
        <w:t xml:space="preserve"> </w:t>
      </w:r>
      <w:r w:rsidRPr="000977F7">
        <w:rPr>
          <w:rFonts w:asciiTheme="majorHAnsi" w:hAnsiTheme="majorHAnsi"/>
          <w:sz w:val="20"/>
          <w:szCs w:val="20"/>
        </w:rPr>
        <w:t>для</w:t>
      </w:r>
      <w:r w:rsidRPr="000977F7">
        <w:rPr>
          <w:rFonts w:asciiTheme="majorHAnsi" w:hAnsiTheme="majorHAnsi"/>
          <w:spacing w:val="4"/>
          <w:sz w:val="20"/>
          <w:szCs w:val="20"/>
        </w:rPr>
        <w:t xml:space="preserve"> </w:t>
      </w:r>
      <w:r w:rsidRPr="000977F7">
        <w:rPr>
          <w:rFonts w:asciiTheme="majorHAnsi" w:hAnsiTheme="majorHAnsi"/>
          <w:sz w:val="20"/>
          <w:szCs w:val="20"/>
        </w:rPr>
        <w:t>відновлення</w:t>
      </w:r>
      <w:r w:rsidRPr="000977F7">
        <w:rPr>
          <w:rFonts w:asciiTheme="majorHAnsi" w:hAnsiTheme="majorHAnsi"/>
          <w:spacing w:val="4"/>
          <w:sz w:val="20"/>
          <w:szCs w:val="20"/>
        </w:rPr>
        <w:t xml:space="preserve"> </w:t>
      </w:r>
      <w:r w:rsidRPr="000977F7">
        <w:rPr>
          <w:rFonts w:asciiTheme="majorHAnsi" w:hAnsiTheme="majorHAnsi"/>
          <w:sz w:val="20"/>
          <w:szCs w:val="20"/>
        </w:rPr>
        <w:t>справності</w:t>
      </w:r>
      <w:r w:rsidRPr="000977F7">
        <w:rPr>
          <w:rFonts w:asciiTheme="majorHAnsi" w:hAnsiTheme="majorHAnsi"/>
          <w:spacing w:val="4"/>
          <w:sz w:val="20"/>
          <w:szCs w:val="20"/>
        </w:rPr>
        <w:t xml:space="preserve"> </w:t>
      </w:r>
      <w:r w:rsidRPr="000977F7">
        <w:rPr>
          <w:rFonts w:asciiTheme="majorHAnsi" w:hAnsiTheme="majorHAnsi"/>
          <w:sz w:val="20"/>
          <w:szCs w:val="20"/>
        </w:rPr>
        <w:t>або</w:t>
      </w:r>
      <w:r w:rsidRPr="000977F7">
        <w:rPr>
          <w:rFonts w:asciiTheme="majorHAnsi" w:hAnsiTheme="majorHAnsi"/>
          <w:spacing w:val="-47"/>
          <w:sz w:val="20"/>
          <w:szCs w:val="20"/>
        </w:rPr>
        <w:t xml:space="preserve"> </w:t>
      </w:r>
      <w:r w:rsidRPr="000977F7">
        <w:rPr>
          <w:rFonts w:asciiTheme="majorHAnsi" w:hAnsiTheme="majorHAnsi"/>
          <w:sz w:val="20"/>
          <w:szCs w:val="20"/>
        </w:rPr>
        <w:t>працездатності</w:t>
      </w:r>
      <w:r w:rsidRPr="000977F7">
        <w:rPr>
          <w:rFonts w:asciiTheme="majorHAnsi" w:hAnsiTheme="majorHAnsi"/>
          <w:spacing w:val="6"/>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3"/>
          <w:sz w:val="20"/>
          <w:szCs w:val="20"/>
        </w:rPr>
        <w:t xml:space="preserve"> </w:t>
      </w:r>
      <w:r w:rsidRPr="000977F7">
        <w:rPr>
          <w:rFonts w:asciiTheme="majorHAnsi" w:hAnsiTheme="majorHAnsi"/>
          <w:sz w:val="20"/>
          <w:szCs w:val="20"/>
        </w:rPr>
        <w:t>шляхом</w:t>
      </w:r>
      <w:r w:rsidRPr="000977F7">
        <w:rPr>
          <w:rFonts w:asciiTheme="majorHAnsi" w:hAnsiTheme="majorHAnsi"/>
          <w:spacing w:val="5"/>
          <w:sz w:val="20"/>
          <w:szCs w:val="20"/>
        </w:rPr>
        <w:t xml:space="preserve"> </w:t>
      </w:r>
      <w:r w:rsidRPr="000977F7">
        <w:rPr>
          <w:rFonts w:asciiTheme="majorHAnsi" w:hAnsiTheme="majorHAnsi"/>
          <w:sz w:val="20"/>
          <w:szCs w:val="20"/>
        </w:rPr>
        <w:t>заміни</w:t>
      </w:r>
      <w:r w:rsidRPr="000977F7">
        <w:rPr>
          <w:rFonts w:asciiTheme="majorHAnsi" w:hAnsiTheme="majorHAnsi"/>
          <w:spacing w:val="4"/>
          <w:sz w:val="20"/>
          <w:szCs w:val="20"/>
        </w:rPr>
        <w:t xml:space="preserve"> </w:t>
      </w:r>
      <w:r w:rsidRPr="000977F7">
        <w:rPr>
          <w:rFonts w:asciiTheme="majorHAnsi" w:hAnsiTheme="majorHAnsi"/>
          <w:sz w:val="20"/>
          <w:szCs w:val="20"/>
        </w:rPr>
        <w:t>чи</w:t>
      </w:r>
      <w:r w:rsidRPr="000977F7">
        <w:rPr>
          <w:rFonts w:asciiTheme="majorHAnsi" w:hAnsiTheme="majorHAnsi"/>
          <w:spacing w:val="3"/>
          <w:sz w:val="20"/>
          <w:szCs w:val="20"/>
        </w:rPr>
        <w:t xml:space="preserve"> </w:t>
      </w:r>
      <w:r w:rsidRPr="000977F7">
        <w:rPr>
          <w:rFonts w:asciiTheme="majorHAnsi" w:hAnsiTheme="majorHAnsi"/>
          <w:sz w:val="20"/>
          <w:szCs w:val="20"/>
        </w:rPr>
        <w:t>відновлення зношених і пошкоджених деталей та вузлів</w:t>
      </w:r>
    </w:p>
    <w:p w14:paraId="17834961"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2A2DED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РЕМОНТНИЙ</w:t>
      </w:r>
      <w:r w:rsidRPr="000977F7">
        <w:rPr>
          <w:color w:val="auto"/>
          <w:spacing w:val="-4"/>
          <w:sz w:val="20"/>
          <w:szCs w:val="20"/>
        </w:rPr>
        <w:t xml:space="preserve"> </w:t>
      </w:r>
      <w:r w:rsidRPr="000977F7">
        <w:rPr>
          <w:color w:val="auto"/>
          <w:sz w:val="20"/>
          <w:szCs w:val="20"/>
        </w:rPr>
        <w:t>ПЕРСОНАЛ</w:t>
      </w:r>
      <w:r w:rsidRPr="000977F7">
        <w:rPr>
          <w:color w:val="auto"/>
          <w:spacing w:val="-1"/>
          <w:sz w:val="20"/>
          <w:szCs w:val="20"/>
        </w:rPr>
        <w:t xml:space="preserve"> </w:t>
      </w:r>
      <w:r w:rsidRPr="000977F7">
        <w:rPr>
          <w:color w:val="auto"/>
          <w:sz w:val="20"/>
          <w:szCs w:val="20"/>
        </w:rPr>
        <w:t>–</w:t>
      </w:r>
    </w:p>
    <w:p w14:paraId="5D4C88D8"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z w:val="20"/>
          <w:szCs w:val="20"/>
        </w:rPr>
        <w:t>REPAIR</w:t>
      </w:r>
      <w:r w:rsidRPr="000977F7">
        <w:rPr>
          <w:rFonts w:asciiTheme="majorHAnsi" w:hAnsiTheme="majorHAnsi"/>
          <w:spacing w:val="-2"/>
          <w:sz w:val="20"/>
          <w:szCs w:val="20"/>
        </w:rPr>
        <w:t xml:space="preserve"> </w:t>
      </w:r>
      <w:r w:rsidRPr="000977F7">
        <w:rPr>
          <w:rFonts w:asciiTheme="majorHAnsi" w:hAnsiTheme="majorHAnsi"/>
          <w:sz w:val="20"/>
          <w:szCs w:val="20"/>
        </w:rPr>
        <w:t>STAFF</w:t>
      </w:r>
      <w:r w:rsidRPr="000977F7">
        <w:rPr>
          <w:rFonts w:asciiTheme="majorHAnsi" w:hAnsiTheme="majorHAnsi"/>
          <w:spacing w:val="-3"/>
          <w:sz w:val="20"/>
          <w:szCs w:val="20"/>
        </w:rPr>
        <w:t xml:space="preserve"> </w:t>
      </w:r>
      <w:r w:rsidRPr="000977F7">
        <w:rPr>
          <w:rFonts w:asciiTheme="majorHAnsi" w:hAnsiTheme="majorHAnsi"/>
          <w:b/>
          <w:sz w:val="20"/>
          <w:szCs w:val="20"/>
        </w:rPr>
        <w:t>–</w:t>
      </w:r>
    </w:p>
    <w:p w14:paraId="5C2AA8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Особи,</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відновлюють</w:t>
      </w:r>
      <w:r w:rsidRPr="000977F7">
        <w:rPr>
          <w:rFonts w:asciiTheme="majorHAnsi" w:hAnsiTheme="majorHAnsi"/>
          <w:spacing w:val="1"/>
          <w:sz w:val="20"/>
          <w:szCs w:val="20"/>
        </w:rPr>
        <w:t xml:space="preserve"> </w:t>
      </w:r>
      <w:r w:rsidRPr="000977F7">
        <w:rPr>
          <w:rFonts w:asciiTheme="majorHAnsi" w:hAnsiTheme="majorHAnsi"/>
          <w:sz w:val="20"/>
          <w:szCs w:val="20"/>
        </w:rPr>
        <w:t>справність</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працездатність технічних засобів, що використовуються у технологічному</w:t>
      </w:r>
      <w:r w:rsidRPr="000977F7">
        <w:rPr>
          <w:rFonts w:asciiTheme="majorHAnsi" w:hAnsiTheme="majorHAnsi"/>
          <w:spacing w:val="-2"/>
          <w:sz w:val="20"/>
          <w:szCs w:val="20"/>
        </w:rPr>
        <w:t xml:space="preserve"> </w:t>
      </w:r>
      <w:r w:rsidRPr="000977F7">
        <w:rPr>
          <w:rFonts w:asciiTheme="majorHAnsi" w:hAnsiTheme="majorHAnsi"/>
          <w:sz w:val="20"/>
          <w:szCs w:val="20"/>
        </w:rPr>
        <w:t>процесі</w:t>
      </w:r>
    </w:p>
    <w:p w14:paraId="6B7CDB0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2FEC58A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РЕМОНТНИЙ</w:t>
      </w:r>
      <w:r w:rsidRPr="000977F7">
        <w:rPr>
          <w:color w:val="auto"/>
          <w:spacing w:val="-3"/>
          <w:sz w:val="20"/>
          <w:szCs w:val="20"/>
        </w:rPr>
        <w:t xml:space="preserve"> </w:t>
      </w:r>
      <w:r w:rsidRPr="000977F7">
        <w:rPr>
          <w:color w:val="auto"/>
          <w:sz w:val="20"/>
          <w:szCs w:val="20"/>
        </w:rPr>
        <w:t>ЦИКЛ</w:t>
      </w:r>
      <w:r w:rsidRPr="000977F7">
        <w:rPr>
          <w:color w:val="auto"/>
          <w:spacing w:val="-1"/>
          <w:sz w:val="20"/>
          <w:szCs w:val="20"/>
        </w:rPr>
        <w:t xml:space="preserve"> </w:t>
      </w:r>
      <w:r w:rsidRPr="000977F7">
        <w:rPr>
          <w:color w:val="auto"/>
          <w:sz w:val="20"/>
          <w:szCs w:val="20"/>
        </w:rPr>
        <w:t>–</w:t>
      </w:r>
    </w:p>
    <w:p w14:paraId="19115A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Найменші повторювані інтервали часу, протягом яких</w:t>
      </w:r>
      <w:r w:rsidRPr="000977F7">
        <w:rPr>
          <w:rFonts w:asciiTheme="majorHAnsi" w:hAnsiTheme="majorHAnsi"/>
          <w:spacing w:val="-47"/>
          <w:sz w:val="20"/>
          <w:szCs w:val="20"/>
        </w:rPr>
        <w:t xml:space="preserve"> </w:t>
      </w:r>
      <w:r w:rsidRPr="000977F7">
        <w:rPr>
          <w:rFonts w:asciiTheme="majorHAnsi" w:hAnsiTheme="majorHAnsi"/>
          <w:sz w:val="20"/>
          <w:szCs w:val="20"/>
        </w:rPr>
        <w:t>виконуються усі встановлені види ремонту в певній</w:t>
      </w:r>
      <w:r w:rsidRPr="000977F7">
        <w:rPr>
          <w:rFonts w:asciiTheme="majorHAnsi" w:hAnsiTheme="majorHAnsi"/>
          <w:spacing w:val="1"/>
          <w:sz w:val="20"/>
          <w:szCs w:val="20"/>
        </w:rPr>
        <w:t xml:space="preserve"> </w:t>
      </w:r>
      <w:r w:rsidRPr="000977F7">
        <w:rPr>
          <w:rFonts w:asciiTheme="majorHAnsi" w:hAnsiTheme="majorHAnsi"/>
          <w:sz w:val="20"/>
          <w:szCs w:val="20"/>
        </w:rPr>
        <w:t>послідовності та відповідно до вимог нормативних і</w:t>
      </w:r>
      <w:r w:rsidRPr="000977F7">
        <w:rPr>
          <w:rFonts w:asciiTheme="majorHAnsi" w:hAnsiTheme="majorHAnsi"/>
          <w:spacing w:val="1"/>
          <w:sz w:val="20"/>
          <w:szCs w:val="20"/>
        </w:rPr>
        <w:t xml:space="preserve"> </w:t>
      </w:r>
      <w:r w:rsidRPr="000977F7">
        <w:rPr>
          <w:rFonts w:asciiTheme="majorHAnsi" w:hAnsiTheme="majorHAnsi"/>
          <w:sz w:val="20"/>
          <w:szCs w:val="20"/>
        </w:rPr>
        <w:t>технічних</w:t>
      </w:r>
      <w:r w:rsidRPr="000977F7">
        <w:rPr>
          <w:rFonts w:asciiTheme="majorHAnsi" w:hAnsiTheme="majorHAnsi"/>
          <w:spacing w:val="-2"/>
          <w:sz w:val="20"/>
          <w:szCs w:val="20"/>
        </w:rPr>
        <w:t xml:space="preserve"> </w:t>
      </w:r>
      <w:r w:rsidRPr="000977F7">
        <w:rPr>
          <w:rFonts w:asciiTheme="majorHAnsi" w:hAnsiTheme="majorHAnsi"/>
          <w:sz w:val="20"/>
          <w:szCs w:val="20"/>
        </w:rPr>
        <w:t>документів</w:t>
      </w:r>
    </w:p>
    <w:p w14:paraId="49B79F3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4634D8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1"/>
          <w:sz w:val="20"/>
          <w:szCs w:val="20"/>
        </w:rPr>
        <w:t xml:space="preserve">РЕМОНТОВНИЙ </w:t>
      </w:r>
      <w:r w:rsidRPr="000977F7">
        <w:rPr>
          <w:color w:val="auto"/>
          <w:sz w:val="20"/>
          <w:szCs w:val="20"/>
        </w:rPr>
        <w:t>(РЕМОНТОПРИДАТНИЙ)</w:t>
      </w:r>
      <w:r w:rsidRPr="000977F7">
        <w:rPr>
          <w:color w:val="auto"/>
          <w:spacing w:val="-47"/>
          <w:sz w:val="20"/>
          <w:szCs w:val="20"/>
        </w:rPr>
        <w:t xml:space="preserve"> </w:t>
      </w:r>
      <w:r w:rsidRPr="000977F7">
        <w:rPr>
          <w:color w:val="auto"/>
          <w:sz w:val="20"/>
          <w:szCs w:val="20"/>
        </w:rPr>
        <w:t>ОБ’ЄКТ</w:t>
      </w:r>
      <w:r w:rsidRPr="000977F7">
        <w:rPr>
          <w:color w:val="auto"/>
          <w:spacing w:val="-2"/>
          <w:sz w:val="20"/>
          <w:szCs w:val="20"/>
        </w:rPr>
        <w:t xml:space="preserve"> </w:t>
      </w:r>
      <w:r w:rsidRPr="000977F7">
        <w:rPr>
          <w:color w:val="auto"/>
          <w:sz w:val="20"/>
          <w:szCs w:val="20"/>
        </w:rPr>
        <w:t>–</w:t>
      </w:r>
    </w:p>
    <w:p w14:paraId="10A12FD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REPAIRABLE</w:t>
      </w:r>
      <w:r w:rsidRPr="000977F7">
        <w:rPr>
          <w:rFonts w:asciiTheme="majorHAnsi" w:hAnsiTheme="majorHAnsi"/>
          <w:spacing w:val="-3"/>
          <w:sz w:val="20"/>
          <w:szCs w:val="20"/>
        </w:rPr>
        <w:t xml:space="preserve"> </w:t>
      </w:r>
      <w:r w:rsidRPr="000977F7">
        <w:rPr>
          <w:rFonts w:asciiTheme="majorHAnsi" w:hAnsiTheme="majorHAnsi"/>
          <w:sz w:val="20"/>
          <w:szCs w:val="20"/>
        </w:rPr>
        <w:t>ITEM –</w:t>
      </w:r>
    </w:p>
    <w:p w14:paraId="12B647F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 ремонт якого можливий та передбачений нормативною,</w:t>
      </w:r>
      <w:r w:rsidRPr="000977F7">
        <w:rPr>
          <w:rFonts w:asciiTheme="majorHAnsi" w:hAnsiTheme="majorHAnsi"/>
          <w:spacing w:val="1"/>
          <w:sz w:val="20"/>
          <w:szCs w:val="20"/>
        </w:rPr>
        <w:t xml:space="preserve"> </w:t>
      </w:r>
      <w:r w:rsidRPr="000977F7">
        <w:rPr>
          <w:rFonts w:asciiTheme="majorHAnsi" w:hAnsiTheme="majorHAnsi"/>
          <w:sz w:val="20"/>
          <w:szCs w:val="20"/>
        </w:rPr>
        <w:t>ремонтною</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конструкторською</w:t>
      </w:r>
      <w:r w:rsidRPr="000977F7">
        <w:rPr>
          <w:rFonts w:asciiTheme="majorHAnsi" w:hAnsiTheme="majorHAnsi"/>
          <w:spacing w:val="1"/>
          <w:sz w:val="20"/>
          <w:szCs w:val="20"/>
        </w:rPr>
        <w:t xml:space="preserve"> </w:t>
      </w:r>
      <w:r w:rsidRPr="000977F7">
        <w:rPr>
          <w:rFonts w:asciiTheme="majorHAnsi" w:hAnsiTheme="majorHAnsi"/>
          <w:sz w:val="20"/>
          <w:szCs w:val="20"/>
        </w:rPr>
        <w:t>(проектною)</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документацією</w:t>
      </w:r>
    </w:p>
    <w:p w14:paraId="75F3B348"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131C838"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РЕМОНТОПРИДАТНІСТЬ –</w:t>
      </w:r>
      <w:r w:rsidRPr="000977F7">
        <w:rPr>
          <w:rFonts w:asciiTheme="majorHAnsi" w:hAnsiTheme="majorHAnsi"/>
          <w:b/>
          <w:spacing w:val="-47"/>
          <w:sz w:val="20"/>
          <w:szCs w:val="20"/>
        </w:rPr>
        <w:t xml:space="preserve"> </w:t>
      </w:r>
    </w:p>
    <w:p w14:paraId="0DDAD7F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AINTAINABILIТY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F9B435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бути пристосованим</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підтримання та відновлення стану, в якому він здатний виконувати належні йому функції за допомогою технічного 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p>
    <w:p w14:paraId="2272638D" w14:textId="77777777" w:rsidR="0097612F" w:rsidRPr="004D2D14" w:rsidRDefault="0097612F" w:rsidP="000977F7">
      <w:pPr>
        <w:pStyle w:val="af6"/>
        <w:tabs>
          <w:tab w:val="left" w:pos="284"/>
        </w:tabs>
        <w:spacing w:after="0"/>
        <w:ind w:left="170"/>
        <w:mirrorIndents/>
        <w:jc w:val="both"/>
        <w:rPr>
          <w:rFonts w:asciiTheme="majorHAnsi" w:hAnsiTheme="majorHAnsi"/>
          <w:i/>
          <w:iCs/>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ISO/IEC</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 xml:space="preserve">2382:2017, </w:t>
      </w:r>
      <w:r w:rsidRPr="000977F7">
        <w:rPr>
          <w:rFonts w:asciiTheme="majorHAnsi" w:hAnsiTheme="majorHAnsi"/>
          <w:i/>
          <w:iCs/>
          <w:sz w:val="20"/>
          <w:szCs w:val="20"/>
        </w:rPr>
        <w:t>ДСТУ</w:t>
      </w:r>
      <w:r w:rsidRPr="004D2D14">
        <w:rPr>
          <w:rFonts w:asciiTheme="majorHAnsi" w:hAnsiTheme="majorHAnsi"/>
          <w:i/>
          <w:iCs/>
          <w:sz w:val="20"/>
          <w:szCs w:val="20"/>
          <w:lang w:val="en-US"/>
        </w:rPr>
        <w:t xml:space="preserve"> EN ISO 12100:2016</w:t>
      </w:r>
    </w:p>
    <w:p w14:paraId="1961EBFF"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en-US"/>
        </w:rPr>
      </w:pPr>
      <w:r w:rsidRPr="000977F7">
        <w:rPr>
          <w:rFonts w:asciiTheme="majorHAnsi" w:hAnsiTheme="majorHAnsi"/>
          <w:sz w:val="20"/>
          <w:szCs w:val="20"/>
        </w:rPr>
        <w:t>Технічне</w:t>
      </w:r>
      <w:r w:rsidRPr="004D2D14">
        <w:rPr>
          <w:rFonts w:asciiTheme="majorHAnsi" w:hAnsiTheme="majorHAnsi"/>
          <w:spacing w:val="4"/>
          <w:sz w:val="20"/>
          <w:szCs w:val="20"/>
          <w:lang w:val="en-US"/>
        </w:rPr>
        <w:t xml:space="preserve"> </w:t>
      </w:r>
      <w:r w:rsidRPr="000977F7">
        <w:rPr>
          <w:rFonts w:asciiTheme="majorHAnsi" w:hAnsiTheme="majorHAnsi"/>
          <w:sz w:val="20"/>
          <w:szCs w:val="20"/>
        </w:rPr>
        <w:t>обслуговування</w:t>
      </w:r>
      <w:r w:rsidRPr="004D2D14">
        <w:rPr>
          <w:rFonts w:asciiTheme="majorHAnsi" w:hAnsiTheme="majorHAnsi"/>
          <w:sz w:val="20"/>
          <w:szCs w:val="20"/>
          <w:lang w:val="en-US"/>
        </w:rPr>
        <w:t>,</w:t>
      </w:r>
      <w:r w:rsidRPr="004D2D14">
        <w:rPr>
          <w:rFonts w:asciiTheme="majorHAnsi" w:hAnsiTheme="majorHAnsi"/>
          <w:spacing w:val="6"/>
          <w:sz w:val="20"/>
          <w:szCs w:val="20"/>
          <w:lang w:val="en-US"/>
        </w:rPr>
        <w:t xml:space="preserve"> </w:t>
      </w:r>
      <w:r w:rsidRPr="000977F7">
        <w:rPr>
          <w:rFonts w:asciiTheme="majorHAnsi" w:hAnsiTheme="majorHAnsi"/>
          <w:sz w:val="20"/>
          <w:szCs w:val="20"/>
        </w:rPr>
        <w:t>виконане</w:t>
      </w:r>
      <w:r w:rsidRPr="004D2D14">
        <w:rPr>
          <w:rFonts w:asciiTheme="majorHAnsi" w:hAnsiTheme="majorHAnsi"/>
          <w:spacing w:val="5"/>
          <w:sz w:val="20"/>
          <w:szCs w:val="20"/>
          <w:lang w:val="en-US"/>
        </w:rPr>
        <w:t xml:space="preserve"> </w:t>
      </w:r>
      <w:r w:rsidRPr="000977F7">
        <w:rPr>
          <w:rFonts w:asciiTheme="majorHAnsi" w:hAnsiTheme="majorHAnsi"/>
          <w:sz w:val="20"/>
          <w:szCs w:val="20"/>
        </w:rPr>
        <w:t>через</w:t>
      </w:r>
      <w:r w:rsidRPr="004D2D14">
        <w:rPr>
          <w:rFonts w:asciiTheme="majorHAnsi" w:hAnsiTheme="majorHAnsi"/>
          <w:spacing w:val="7"/>
          <w:sz w:val="20"/>
          <w:szCs w:val="20"/>
          <w:lang w:val="en-US"/>
        </w:rPr>
        <w:t xml:space="preserve"> </w:t>
      </w:r>
      <w:r w:rsidRPr="000977F7">
        <w:rPr>
          <w:rFonts w:asciiTheme="majorHAnsi" w:hAnsiTheme="majorHAnsi"/>
          <w:sz w:val="20"/>
          <w:szCs w:val="20"/>
        </w:rPr>
        <w:t>встановлені</w:t>
      </w:r>
      <w:r w:rsidRPr="004D2D14">
        <w:rPr>
          <w:rFonts w:asciiTheme="majorHAnsi" w:hAnsiTheme="majorHAnsi"/>
          <w:spacing w:val="-47"/>
          <w:sz w:val="20"/>
          <w:szCs w:val="20"/>
          <w:lang w:val="en-US"/>
        </w:rPr>
        <w:t xml:space="preserve"> </w:t>
      </w:r>
      <w:r w:rsidRPr="000977F7">
        <w:rPr>
          <w:rFonts w:asciiTheme="majorHAnsi" w:hAnsiTheme="majorHAnsi"/>
          <w:sz w:val="20"/>
          <w:szCs w:val="20"/>
        </w:rPr>
        <w:t>інтервали</w:t>
      </w:r>
      <w:r w:rsidRPr="004D2D14">
        <w:rPr>
          <w:rFonts w:asciiTheme="majorHAnsi" w:hAnsiTheme="majorHAnsi"/>
          <w:spacing w:val="5"/>
          <w:sz w:val="20"/>
          <w:szCs w:val="20"/>
          <w:lang w:val="en-US"/>
        </w:rPr>
        <w:t xml:space="preserve"> </w:t>
      </w:r>
      <w:r w:rsidRPr="000977F7">
        <w:rPr>
          <w:rFonts w:asciiTheme="majorHAnsi" w:hAnsiTheme="majorHAnsi"/>
          <w:sz w:val="20"/>
          <w:szCs w:val="20"/>
        </w:rPr>
        <w:t>або</w:t>
      </w:r>
      <w:r w:rsidRPr="004D2D14">
        <w:rPr>
          <w:rFonts w:asciiTheme="majorHAnsi" w:hAnsiTheme="majorHAnsi"/>
          <w:spacing w:val="9"/>
          <w:sz w:val="20"/>
          <w:szCs w:val="20"/>
          <w:lang w:val="en-US"/>
        </w:rPr>
        <w:t xml:space="preserve"> </w:t>
      </w:r>
      <w:r w:rsidRPr="000977F7">
        <w:rPr>
          <w:rFonts w:asciiTheme="majorHAnsi" w:hAnsiTheme="majorHAnsi"/>
          <w:sz w:val="20"/>
          <w:szCs w:val="20"/>
        </w:rPr>
        <w:t>у</w:t>
      </w:r>
      <w:r w:rsidRPr="004D2D14">
        <w:rPr>
          <w:rFonts w:asciiTheme="majorHAnsi" w:hAnsiTheme="majorHAnsi"/>
          <w:spacing w:val="3"/>
          <w:sz w:val="20"/>
          <w:szCs w:val="20"/>
          <w:lang w:val="en-US"/>
        </w:rPr>
        <w:t xml:space="preserve"> </w:t>
      </w:r>
      <w:r w:rsidRPr="000977F7">
        <w:rPr>
          <w:rFonts w:asciiTheme="majorHAnsi" w:hAnsiTheme="majorHAnsi"/>
          <w:sz w:val="20"/>
          <w:szCs w:val="20"/>
        </w:rPr>
        <w:t>відповідності</w:t>
      </w:r>
      <w:r w:rsidRPr="004D2D14">
        <w:rPr>
          <w:rFonts w:asciiTheme="majorHAnsi" w:hAnsiTheme="majorHAnsi"/>
          <w:spacing w:val="6"/>
          <w:sz w:val="20"/>
          <w:szCs w:val="20"/>
          <w:lang w:val="en-US"/>
        </w:rPr>
        <w:t xml:space="preserve"> </w:t>
      </w:r>
      <w:r w:rsidRPr="000977F7">
        <w:rPr>
          <w:rFonts w:asciiTheme="majorHAnsi" w:hAnsiTheme="majorHAnsi"/>
          <w:sz w:val="20"/>
          <w:szCs w:val="20"/>
        </w:rPr>
        <w:t>із</w:t>
      </w:r>
      <w:r w:rsidRPr="004D2D14">
        <w:rPr>
          <w:rFonts w:asciiTheme="majorHAnsi" w:hAnsiTheme="majorHAnsi"/>
          <w:spacing w:val="7"/>
          <w:sz w:val="20"/>
          <w:szCs w:val="20"/>
          <w:lang w:val="en-US"/>
        </w:rPr>
        <w:t xml:space="preserve"> </w:t>
      </w:r>
      <w:r w:rsidRPr="000977F7">
        <w:rPr>
          <w:rFonts w:asciiTheme="majorHAnsi" w:hAnsiTheme="majorHAnsi"/>
          <w:sz w:val="20"/>
          <w:szCs w:val="20"/>
        </w:rPr>
        <w:t>заданими</w:t>
      </w:r>
      <w:r w:rsidRPr="004D2D14">
        <w:rPr>
          <w:rFonts w:asciiTheme="majorHAnsi" w:hAnsiTheme="majorHAnsi"/>
          <w:spacing w:val="8"/>
          <w:sz w:val="20"/>
          <w:szCs w:val="20"/>
          <w:lang w:val="en-US"/>
        </w:rPr>
        <w:t xml:space="preserve"> </w:t>
      </w:r>
      <w:r w:rsidRPr="000977F7">
        <w:rPr>
          <w:rFonts w:asciiTheme="majorHAnsi" w:hAnsiTheme="majorHAnsi"/>
          <w:sz w:val="20"/>
          <w:szCs w:val="20"/>
        </w:rPr>
        <w:t>критеріями</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r w:rsidRPr="000977F7">
        <w:rPr>
          <w:rFonts w:asciiTheme="majorHAnsi" w:hAnsiTheme="majorHAnsi"/>
          <w:sz w:val="20"/>
          <w:szCs w:val="20"/>
        </w:rPr>
        <w:t>з</w:t>
      </w:r>
      <w:r w:rsidRPr="004D2D14">
        <w:rPr>
          <w:rFonts w:asciiTheme="majorHAnsi" w:hAnsiTheme="majorHAnsi"/>
          <w:spacing w:val="5"/>
          <w:sz w:val="20"/>
          <w:szCs w:val="20"/>
          <w:lang w:val="en-US"/>
        </w:rPr>
        <w:t xml:space="preserve"> </w:t>
      </w:r>
      <w:r w:rsidRPr="000977F7">
        <w:rPr>
          <w:rFonts w:asciiTheme="majorHAnsi" w:hAnsiTheme="majorHAnsi"/>
          <w:sz w:val="20"/>
          <w:szCs w:val="20"/>
        </w:rPr>
        <w:t>метою</w:t>
      </w:r>
      <w:r w:rsidRPr="004D2D14">
        <w:rPr>
          <w:rFonts w:asciiTheme="majorHAnsi" w:hAnsiTheme="majorHAnsi"/>
          <w:spacing w:val="5"/>
          <w:sz w:val="20"/>
          <w:szCs w:val="20"/>
          <w:lang w:val="en-US"/>
        </w:rPr>
        <w:t xml:space="preserve"> </w:t>
      </w:r>
      <w:r w:rsidRPr="000977F7">
        <w:rPr>
          <w:rFonts w:asciiTheme="majorHAnsi" w:hAnsiTheme="majorHAnsi"/>
          <w:sz w:val="20"/>
          <w:szCs w:val="20"/>
        </w:rPr>
        <w:t>знизити</w:t>
      </w:r>
      <w:r w:rsidRPr="004D2D14">
        <w:rPr>
          <w:rFonts w:asciiTheme="majorHAnsi" w:hAnsiTheme="majorHAnsi"/>
          <w:spacing w:val="4"/>
          <w:sz w:val="20"/>
          <w:szCs w:val="20"/>
          <w:lang w:val="en-US"/>
        </w:rPr>
        <w:t xml:space="preserve"> </w:t>
      </w:r>
      <w:r w:rsidRPr="000977F7">
        <w:rPr>
          <w:rFonts w:asciiTheme="majorHAnsi" w:hAnsiTheme="majorHAnsi"/>
          <w:sz w:val="20"/>
          <w:szCs w:val="20"/>
        </w:rPr>
        <w:t>імовірність</w:t>
      </w:r>
      <w:r w:rsidRPr="004D2D14">
        <w:rPr>
          <w:rFonts w:asciiTheme="majorHAnsi" w:hAnsiTheme="majorHAnsi"/>
          <w:spacing w:val="7"/>
          <w:sz w:val="20"/>
          <w:szCs w:val="20"/>
          <w:lang w:val="en-US"/>
        </w:rPr>
        <w:t xml:space="preserve"> </w:t>
      </w:r>
      <w:r w:rsidRPr="000977F7">
        <w:rPr>
          <w:rFonts w:asciiTheme="majorHAnsi" w:hAnsiTheme="majorHAnsi"/>
          <w:sz w:val="20"/>
          <w:szCs w:val="20"/>
        </w:rPr>
        <w:t>відмови</w:t>
      </w:r>
      <w:r w:rsidRPr="004D2D14">
        <w:rPr>
          <w:rFonts w:asciiTheme="majorHAnsi" w:hAnsiTheme="majorHAnsi"/>
          <w:spacing w:val="4"/>
          <w:sz w:val="20"/>
          <w:szCs w:val="20"/>
          <w:lang w:val="en-US"/>
        </w:rPr>
        <w:t xml:space="preserve"> </w:t>
      </w:r>
      <w:r w:rsidRPr="000977F7">
        <w:rPr>
          <w:rFonts w:asciiTheme="majorHAnsi" w:hAnsiTheme="majorHAnsi"/>
          <w:sz w:val="20"/>
          <w:szCs w:val="20"/>
        </w:rPr>
        <w:t>виробу</w:t>
      </w:r>
      <w:r w:rsidRPr="004D2D14">
        <w:rPr>
          <w:rFonts w:asciiTheme="majorHAnsi" w:hAnsiTheme="majorHAnsi"/>
          <w:spacing w:val="1"/>
          <w:sz w:val="20"/>
          <w:szCs w:val="20"/>
          <w:lang w:val="en-US"/>
        </w:rPr>
        <w:t xml:space="preserve"> </w:t>
      </w:r>
      <w:r w:rsidRPr="000977F7">
        <w:rPr>
          <w:rFonts w:asciiTheme="majorHAnsi" w:hAnsiTheme="majorHAnsi"/>
          <w:sz w:val="20"/>
          <w:szCs w:val="20"/>
        </w:rPr>
        <w:t>або</w:t>
      </w:r>
      <w:r w:rsidRPr="004D2D14">
        <w:rPr>
          <w:rFonts w:asciiTheme="majorHAnsi" w:hAnsiTheme="majorHAnsi"/>
          <w:spacing w:val="6"/>
          <w:sz w:val="20"/>
          <w:szCs w:val="20"/>
          <w:lang w:val="en-US"/>
        </w:rPr>
        <w:t xml:space="preserve"> </w:t>
      </w:r>
      <w:r w:rsidRPr="000977F7">
        <w:rPr>
          <w:rFonts w:asciiTheme="majorHAnsi" w:hAnsiTheme="majorHAnsi"/>
          <w:sz w:val="20"/>
          <w:szCs w:val="20"/>
        </w:rPr>
        <w:t>запобігти</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погіршенню</w:t>
      </w:r>
      <w:r w:rsidRPr="004D2D14">
        <w:rPr>
          <w:rFonts w:asciiTheme="majorHAnsi" w:hAnsiTheme="majorHAnsi"/>
          <w:spacing w:val="5"/>
          <w:sz w:val="20"/>
          <w:szCs w:val="20"/>
          <w:lang w:val="en-US"/>
        </w:rPr>
        <w:t xml:space="preserve"> </w:t>
      </w:r>
      <w:r w:rsidRPr="000977F7">
        <w:rPr>
          <w:rFonts w:asciiTheme="majorHAnsi" w:hAnsiTheme="majorHAnsi"/>
          <w:sz w:val="20"/>
          <w:szCs w:val="20"/>
        </w:rPr>
        <w:t>його</w:t>
      </w:r>
      <w:r w:rsidRPr="004D2D14">
        <w:rPr>
          <w:rFonts w:asciiTheme="majorHAnsi" w:hAnsiTheme="majorHAnsi"/>
          <w:spacing w:val="3"/>
          <w:sz w:val="20"/>
          <w:szCs w:val="20"/>
          <w:lang w:val="en-US"/>
        </w:rPr>
        <w:t xml:space="preserve"> </w:t>
      </w:r>
      <w:r w:rsidRPr="000977F7">
        <w:rPr>
          <w:rFonts w:asciiTheme="majorHAnsi" w:hAnsiTheme="majorHAnsi"/>
          <w:sz w:val="20"/>
          <w:szCs w:val="20"/>
        </w:rPr>
        <w:t>експлуатаційних</w:t>
      </w:r>
      <w:r w:rsidRPr="004D2D14">
        <w:rPr>
          <w:rFonts w:asciiTheme="majorHAnsi" w:hAnsiTheme="majorHAnsi"/>
          <w:spacing w:val="2"/>
          <w:sz w:val="20"/>
          <w:szCs w:val="20"/>
          <w:lang w:val="en-US"/>
        </w:rPr>
        <w:t xml:space="preserve"> </w:t>
      </w:r>
      <w:r w:rsidRPr="000977F7">
        <w:rPr>
          <w:rFonts w:asciiTheme="majorHAnsi" w:hAnsiTheme="majorHAnsi"/>
          <w:sz w:val="20"/>
          <w:szCs w:val="20"/>
        </w:rPr>
        <w:t>якостей</w:t>
      </w:r>
      <w:r w:rsidRPr="004D2D14">
        <w:rPr>
          <w:rFonts w:asciiTheme="majorHAnsi" w:hAnsiTheme="majorHAnsi"/>
          <w:spacing w:val="1"/>
          <w:sz w:val="20"/>
          <w:szCs w:val="20"/>
          <w:lang w:val="en-US"/>
        </w:rPr>
        <w:t xml:space="preserve"> </w:t>
      </w:r>
    </w:p>
    <w:p w14:paraId="5CA74BF5"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2860</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1919EA4C"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РЕСУРСИ</w:t>
      </w:r>
      <w:r w:rsidRPr="000977F7">
        <w:rPr>
          <w:color w:val="auto"/>
          <w:spacing w:val="-2"/>
          <w:sz w:val="20"/>
          <w:szCs w:val="20"/>
        </w:rPr>
        <w:t xml:space="preserve"> </w:t>
      </w:r>
      <w:r w:rsidRPr="000977F7">
        <w:rPr>
          <w:b w:val="0"/>
          <w:color w:val="auto"/>
          <w:sz w:val="20"/>
          <w:szCs w:val="20"/>
        </w:rPr>
        <w:t>–</w:t>
      </w:r>
    </w:p>
    <w:p w14:paraId="123E157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Організація</w:t>
      </w:r>
      <w:r w:rsidRPr="004D2D14">
        <w:rPr>
          <w:rFonts w:asciiTheme="majorHAnsi" w:hAnsiTheme="majorHAnsi"/>
          <w:sz w:val="20"/>
          <w:szCs w:val="20"/>
          <w:lang w:val="en-US"/>
        </w:rPr>
        <w:t xml:space="preserve"> </w:t>
      </w:r>
      <w:r w:rsidRPr="000977F7">
        <w:rPr>
          <w:rFonts w:asciiTheme="majorHAnsi" w:hAnsiTheme="majorHAnsi"/>
          <w:sz w:val="20"/>
          <w:szCs w:val="20"/>
        </w:rPr>
        <w:t>повинна</w:t>
      </w:r>
      <w:r w:rsidRPr="004D2D14">
        <w:rPr>
          <w:rFonts w:asciiTheme="majorHAnsi" w:hAnsiTheme="majorHAnsi"/>
          <w:sz w:val="20"/>
          <w:szCs w:val="20"/>
          <w:lang w:val="en-US"/>
        </w:rPr>
        <w:t xml:space="preserve"> </w:t>
      </w:r>
      <w:r w:rsidRPr="000977F7">
        <w:rPr>
          <w:rFonts w:asciiTheme="majorHAnsi" w:hAnsiTheme="majorHAnsi"/>
          <w:sz w:val="20"/>
          <w:szCs w:val="20"/>
        </w:rPr>
        <w:t>визначити</w:t>
      </w:r>
      <w:r w:rsidRPr="004D2D14">
        <w:rPr>
          <w:rFonts w:asciiTheme="majorHAnsi" w:hAnsiTheme="majorHAnsi"/>
          <w:sz w:val="20"/>
          <w:szCs w:val="20"/>
          <w:lang w:val="en-US"/>
        </w:rPr>
        <w:t xml:space="preserve"> </w:t>
      </w:r>
      <w:r w:rsidRPr="000977F7">
        <w:rPr>
          <w:rFonts w:asciiTheme="majorHAnsi" w:hAnsiTheme="majorHAnsi"/>
          <w:sz w:val="20"/>
          <w:szCs w:val="20"/>
        </w:rPr>
        <w:t>ресурси</w:t>
      </w:r>
      <w:r w:rsidRPr="004D2D14">
        <w:rPr>
          <w:rFonts w:asciiTheme="majorHAnsi" w:hAnsiTheme="majorHAnsi"/>
          <w:sz w:val="20"/>
          <w:szCs w:val="20"/>
          <w:lang w:val="en-US"/>
        </w:rPr>
        <w:t xml:space="preserve">, </w:t>
      </w:r>
      <w:r w:rsidRPr="000977F7">
        <w:rPr>
          <w:rFonts w:asciiTheme="majorHAnsi" w:hAnsiTheme="majorHAnsi"/>
          <w:sz w:val="20"/>
          <w:szCs w:val="20"/>
        </w:rPr>
        <w:t>потрібні</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pacing w:val="1"/>
          <w:sz w:val="20"/>
          <w:szCs w:val="20"/>
          <w:lang w:val="en-US"/>
        </w:rPr>
        <w:t xml:space="preserve"> </w:t>
      </w:r>
      <w:r w:rsidRPr="000977F7">
        <w:rPr>
          <w:rFonts w:asciiTheme="majorHAnsi" w:hAnsiTheme="majorHAnsi"/>
          <w:sz w:val="20"/>
          <w:szCs w:val="20"/>
        </w:rPr>
        <w:t>розроблення</w:t>
      </w:r>
      <w:r w:rsidRPr="004D2D14">
        <w:rPr>
          <w:rFonts w:asciiTheme="majorHAnsi" w:hAnsiTheme="majorHAnsi"/>
          <w:sz w:val="20"/>
          <w:szCs w:val="20"/>
          <w:lang w:val="en-US"/>
        </w:rPr>
        <w:t xml:space="preserve">, </w:t>
      </w:r>
      <w:r w:rsidRPr="000977F7">
        <w:rPr>
          <w:rFonts w:asciiTheme="majorHAnsi" w:hAnsiTheme="majorHAnsi"/>
          <w:sz w:val="20"/>
          <w:szCs w:val="20"/>
        </w:rPr>
        <w:t>запроваджування</w:t>
      </w:r>
      <w:r w:rsidRPr="004D2D14">
        <w:rPr>
          <w:rFonts w:asciiTheme="majorHAnsi" w:hAnsiTheme="majorHAnsi"/>
          <w:sz w:val="20"/>
          <w:szCs w:val="20"/>
          <w:lang w:val="en-US"/>
        </w:rPr>
        <w:t xml:space="preserve">, </w:t>
      </w:r>
      <w:r w:rsidRPr="000977F7">
        <w:rPr>
          <w:rFonts w:asciiTheme="majorHAnsi" w:hAnsiTheme="majorHAnsi"/>
          <w:sz w:val="20"/>
          <w:szCs w:val="20"/>
        </w:rPr>
        <w:t>підтримування</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постійного</w:t>
      </w:r>
      <w:r w:rsidRPr="004D2D14">
        <w:rPr>
          <w:rFonts w:asciiTheme="majorHAnsi" w:hAnsiTheme="majorHAnsi"/>
          <w:sz w:val="20"/>
          <w:szCs w:val="20"/>
          <w:lang w:val="en-US"/>
        </w:rPr>
        <w:t xml:space="preserve"> </w:t>
      </w:r>
      <w:r w:rsidRPr="000977F7">
        <w:rPr>
          <w:rFonts w:asciiTheme="majorHAnsi" w:hAnsiTheme="majorHAnsi"/>
          <w:sz w:val="20"/>
          <w:szCs w:val="20"/>
        </w:rPr>
        <w:t>поліпшування</w:t>
      </w:r>
      <w:r w:rsidRPr="004D2D14">
        <w:rPr>
          <w:rFonts w:asciiTheme="majorHAnsi" w:hAnsiTheme="majorHAnsi"/>
          <w:sz w:val="20"/>
          <w:szCs w:val="20"/>
          <w:lang w:val="en-US"/>
        </w:rPr>
        <w:t xml:space="preserve"> </w:t>
      </w:r>
      <w:r w:rsidRPr="000977F7">
        <w:rPr>
          <w:rFonts w:asciiTheme="majorHAnsi" w:hAnsiTheme="majorHAnsi"/>
          <w:sz w:val="20"/>
          <w:szCs w:val="20"/>
        </w:rPr>
        <w:t>системи</w:t>
      </w:r>
      <w:r w:rsidRPr="004D2D14">
        <w:rPr>
          <w:rFonts w:asciiTheme="majorHAnsi" w:hAnsiTheme="majorHAnsi"/>
          <w:sz w:val="20"/>
          <w:szCs w:val="20"/>
          <w:lang w:val="en-US"/>
        </w:rPr>
        <w:t xml:space="preserve"> </w:t>
      </w:r>
      <w:r w:rsidRPr="000977F7">
        <w:rPr>
          <w:rFonts w:asciiTheme="majorHAnsi" w:hAnsiTheme="majorHAnsi"/>
          <w:sz w:val="20"/>
          <w:szCs w:val="20"/>
        </w:rPr>
        <w:t>управління</w:t>
      </w:r>
      <w:r w:rsidRPr="004D2D14">
        <w:rPr>
          <w:rFonts w:asciiTheme="majorHAnsi" w:hAnsiTheme="majorHAnsi"/>
          <w:sz w:val="20"/>
          <w:szCs w:val="20"/>
          <w:lang w:val="en-US"/>
        </w:rPr>
        <w:t xml:space="preserve"> </w:t>
      </w:r>
      <w:r w:rsidRPr="000977F7">
        <w:rPr>
          <w:rFonts w:asciiTheme="majorHAnsi" w:hAnsiTheme="majorHAnsi"/>
          <w:sz w:val="20"/>
          <w:szCs w:val="20"/>
        </w:rPr>
        <w:t>якістю</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забезпечити</w:t>
      </w:r>
      <w:r w:rsidRPr="004D2D14">
        <w:rPr>
          <w:rFonts w:asciiTheme="majorHAnsi" w:hAnsiTheme="majorHAnsi"/>
          <w:spacing w:val="-2"/>
          <w:sz w:val="20"/>
          <w:szCs w:val="20"/>
          <w:lang w:val="en-US"/>
        </w:rPr>
        <w:t xml:space="preserve"> </w:t>
      </w:r>
      <w:r w:rsidRPr="000977F7">
        <w:rPr>
          <w:rFonts w:asciiTheme="majorHAnsi" w:hAnsiTheme="majorHAnsi"/>
          <w:sz w:val="20"/>
          <w:szCs w:val="20"/>
        </w:rPr>
        <w:t>їх</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наявність</w:t>
      </w:r>
      <w:r w:rsidRPr="004D2D14">
        <w:rPr>
          <w:rFonts w:asciiTheme="majorHAnsi" w:hAnsiTheme="majorHAnsi"/>
          <w:sz w:val="20"/>
          <w:szCs w:val="20"/>
          <w:lang w:val="en-US"/>
        </w:rPr>
        <w:t>.</w:t>
      </w:r>
    </w:p>
    <w:p w14:paraId="72CB38D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4"/>
          <w:sz w:val="20"/>
          <w:szCs w:val="20"/>
        </w:rPr>
        <w:t xml:space="preserve"> </w:t>
      </w:r>
      <w:r w:rsidRPr="000977F7">
        <w:rPr>
          <w:rFonts w:asciiTheme="majorHAnsi" w:hAnsiTheme="majorHAnsi"/>
          <w:sz w:val="20"/>
          <w:szCs w:val="20"/>
        </w:rPr>
        <w:t>повинна</w:t>
      </w:r>
      <w:r w:rsidRPr="000977F7">
        <w:rPr>
          <w:rFonts w:asciiTheme="majorHAnsi" w:hAnsiTheme="majorHAnsi"/>
          <w:spacing w:val="-5"/>
          <w:sz w:val="20"/>
          <w:szCs w:val="20"/>
        </w:rPr>
        <w:t xml:space="preserve"> </w:t>
      </w:r>
      <w:r w:rsidRPr="000977F7">
        <w:rPr>
          <w:rFonts w:asciiTheme="majorHAnsi" w:hAnsiTheme="majorHAnsi"/>
          <w:sz w:val="20"/>
          <w:szCs w:val="20"/>
        </w:rPr>
        <w:t>розглянути</w:t>
      </w:r>
    </w:p>
    <w:p w14:paraId="7951A264" w14:textId="77777777" w:rsidR="0097612F" w:rsidRPr="000977F7" w:rsidRDefault="0097612F" w:rsidP="00FD39A4">
      <w:pPr>
        <w:pStyle w:val="ac"/>
        <w:widowControl w:val="0"/>
        <w:numPr>
          <w:ilvl w:val="0"/>
          <w:numId w:val="89"/>
        </w:numPr>
        <w:tabs>
          <w:tab w:val="left" w:pos="284"/>
          <w:tab w:val="left" w:pos="66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спроможності та обмеження щодо наявних внутрішніх</w:t>
      </w:r>
      <w:r w:rsidRPr="000977F7">
        <w:rPr>
          <w:rFonts w:asciiTheme="majorHAnsi" w:hAnsiTheme="majorHAnsi"/>
          <w:spacing w:val="-2"/>
          <w:sz w:val="20"/>
          <w:szCs w:val="20"/>
        </w:rPr>
        <w:t xml:space="preserve"> </w:t>
      </w:r>
      <w:r w:rsidRPr="000977F7">
        <w:rPr>
          <w:rFonts w:asciiTheme="majorHAnsi" w:hAnsiTheme="majorHAnsi"/>
          <w:sz w:val="20"/>
          <w:szCs w:val="20"/>
        </w:rPr>
        <w:t>ресурсів;</w:t>
      </w:r>
    </w:p>
    <w:p w14:paraId="4BCFDF5F" w14:textId="77777777" w:rsidR="0097612F" w:rsidRPr="000977F7" w:rsidRDefault="0097612F" w:rsidP="00FD39A4">
      <w:pPr>
        <w:pStyle w:val="ac"/>
        <w:widowControl w:val="0"/>
        <w:numPr>
          <w:ilvl w:val="0"/>
          <w:numId w:val="89"/>
        </w:numPr>
        <w:tabs>
          <w:tab w:val="left" w:pos="284"/>
          <w:tab w:val="left" w:pos="67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те, що потрібно отримати від зовнішніх постачальників.</w:t>
      </w:r>
    </w:p>
    <w:p w14:paraId="00B921E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5956149F" w14:textId="77777777" w:rsidR="0097612F" w:rsidRPr="000977F7" w:rsidRDefault="0097612F" w:rsidP="000977F7">
      <w:pPr>
        <w:pStyle w:val="7"/>
        <w:tabs>
          <w:tab w:val="left" w:pos="284"/>
        </w:tabs>
        <w:spacing w:before="0" w:line="240" w:lineRule="auto"/>
        <w:ind w:left="170"/>
        <w:mirrorIndents/>
        <w:jc w:val="both"/>
        <w:rPr>
          <w:color w:val="auto"/>
          <w:spacing w:val="11"/>
          <w:sz w:val="20"/>
          <w:szCs w:val="20"/>
        </w:rPr>
      </w:pPr>
      <w:r w:rsidRPr="000977F7">
        <w:rPr>
          <w:color w:val="auto"/>
          <w:sz w:val="20"/>
          <w:szCs w:val="20"/>
        </w:rPr>
        <w:t>РЕСУРСИ</w:t>
      </w:r>
      <w:r w:rsidRPr="000977F7">
        <w:rPr>
          <w:color w:val="auto"/>
          <w:spacing w:val="11"/>
          <w:sz w:val="20"/>
          <w:szCs w:val="20"/>
        </w:rPr>
        <w:t xml:space="preserve"> </w:t>
      </w:r>
      <w:r w:rsidRPr="000977F7">
        <w:rPr>
          <w:color w:val="auto"/>
          <w:sz w:val="20"/>
          <w:szCs w:val="20"/>
        </w:rPr>
        <w:t>ДЛЯ</w:t>
      </w:r>
      <w:r w:rsidRPr="000977F7">
        <w:rPr>
          <w:color w:val="auto"/>
          <w:spacing w:val="11"/>
          <w:sz w:val="20"/>
          <w:szCs w:val="20"/>
        </w:rPr>
        <w:t xml:space="preserve"> </w:t>
      </w:r>
      <w:r w:rsidRPr="000977F7">
        <w:rPr>
          <w:color w:val="auto"/>
          <w:sz w:val="20"/>
          <w:szCs w:val="20"/>
        </w:rPr>
        <w:t>МОНІТОРИНГУ</w:t>
      </w:r>
      <w:r w:rsidRPr="000977F7">
        <w:rPr>
          <w:color w:val="auto"/>
          <w:spacing w:val="11"/>
          <w:sz w:val="20"/>
          <w:szCs w:val="20"/>
        </w:rPr>
        <w:t xml:space="preserve"> </w:t>
      </w:r>
      <w:r w:rsidRPr="000977F7">
        <w:rPr>
          <w:color w:val="auto"/>
          <w:sz w:val="20"/>
          <w:szCs w:val="20"/>
        </w:rPr>
        <w:t>ТА</w:t>
      </w:r>
      <w:r w:rsidRPr="000977F7">
        <w:rPr>
          <w:color w:val="auto"/>
          <w:spacing w:val="11"/>
          <w:sz w:val="20"/>
          <w:szCs w:val="20"/>
        </w:rPr>
        <w:t xml:space="preserve"> </w:t>
      </w:r>
    </w:p>
    <w:p w14:paraId="56620E1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ВИМІРЮ</w:t>
      </w:r>
      <w:r w:rsidRPr="000977F7">
        <w:rPr>
          <w:color w:val="auto"/>
          <w:spacing w:val="-47"/>
          <w:sz w:val="20"/>
          <w:szCs w:val="20"/>
        </w:rPr>
        <w:t xml:space="preserve"> </w:t>
      </w:r>
      <w:r w:rsidRPr="000977F7">
        <w:rPr>
          <w:color w:val="auto"/>
          <w:sz w:val="20"/>
          <w:szCs w:val="20"/>
        </w:rPr>
        <w:t>ВАННЯ –</w:t>
      </w:r>
    </w:p>
    <w:p w14:paraId="0AC2CCF1"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uk-UA"/>
        </w:rPr>
      </w:pPr>
      <w:r w:rsidRPr="004D2D14">
        <w:rPr>
          <w:rFonts w:asciiTheme="majorHAnsi" w:hAnsiTheme="majorHAnsi"/>
          <w:b/>
          <w:sz w:val="20"/>
          <w:szCs w:val="20"/>
          <w:lang w:val="uk-UA"/>
        </w:rPr>
        <w:t>Загальні</w:t>
      </w:r>
      <w:r w:rsidRPr="004D2D14">
        <w:rPr>
          <w:rFonts w:asciiTheme="majorHAnsi" w:hAnsiTheme="majorHAnsi"/>
          <w:b/>
          <w:spacing w:val="-6"/>
          <w:sz w:val="20"/>
          <w:szCs w:val="20"/>
          <w:lang w:val="uk-UA"/>
        </w:rPr>
        <w:t xml:space="preserve"> </w:t>
      </w:r>
      <w:r w:rsidRPr="004D2D14">
        <w:rPr>
          <w:rFonts w:asciiTheme="majorHAnsi" w:hAnsiTheme="majorHAnsi"/>
          <w:b/>
          <w:sz w:val="20"/>
          <w:szCs w:val="20"/>
          <w:lang w:val="uk-UA"/>
        </w:rPr>
        <w:t>положення</w:t>
      </w:r>
    </w:p>
    <w:p w14:paraId="6E3CEB7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Організація повинна визначити ресурси, потрібні 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забезпечення вірогідних і надійних результатів, якщо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моніторинг</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вимірювання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використовують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перевірення відповідності продукції та послуг вимогам,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 забезпечити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їх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наявність.</w:t>
      </w:r>
    </w:p>
    <w:p w14:paraId="322199EF" w14:textId="77777777" w:rsidR="0097612F" w:rsidRPr="000977F7" w:rsidRDefault="0097612F" w:rsidP="000977F7">
      <w:pPr>
        <w:pStyle w:val="af6"/>
        <w:tabs>
          <w:tab w:val="left" w:pos="284"/>
        </w:tabs>
        <w:spacing w:after="0"/>
        <w:ind w:left="170" w:firstLine="100"/>
        <w:mirrorIndents/>
        <w:jc w:val="both"/>
        <w:rPr>
          <w:rFonts w:asciiTheme="majorHAnsi" w:hAnsiTheme="majorHAnsi"/>
          <w:sz w:val="20"/>
          <w:szCs w:val="20"/>
        </w:rPr>
      </w:pPr>
      <w:r w:rsidRPr="000977F7">
        <w:rPr>
          <w:rFonts w:asciiTheme="majorHAnsi" w:hAnsiTheme="majorHAnsi"/>
          <w:sz w:val="20"/>
          <w:szCs w:val="20"/>
        </w:rPr>
        <w:t>Організація повинна забезпечувати, щоб надані ресурси</w:t>
      </w:r>
    </w:p>
    <w:p w14:paraId="4E1B22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були придатними для конкретного виду здійснюваних</w:t>
      </w:r>
      <w:r w:rsidRPr="000977F7">
        <w:rPr>
          <w:rFonts w:asciiTheme="majorHAnsi" w:hAnsiTheme="majorHAnsi"/>
          <w:spacing w:val="-2"/>
          <w:sz w:val="20"/>
          <w:szCs w:val="20"/>
        </w:rPr>
        <w:t xml:space="preserve"> </w:t>
      </w:r>
      <w:r w:rsidRPr="000977F7">
        <w:rPr>
          <w:rFonts w:asciiTheme="majorHAnsi" w:hAnsiTheme="majorHAnsi"/>
          <w:sz w:val="20"/>
          <w:szCs w:val="20"/>
        </w:rPr>
        <w:t>робіт</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49"/>
          <w:sz w:val="20"/>
          <w:szCs w:val="20"/>
        </w:rPr>
        <w:t xml:space="preserve"> </w:t>
      </w:r>
      <w:r w:rsidRPr="000977F7">
        <w:rPr>
          <w:rFonts w:asciiTheme="majorHAnsi" w:hAnsiTheme="majorHAnsi"/>
          <w:sz w:val="20"/>
          <w:szCs w:val="20"/>
        </w:rPr>
        <w:t>моніторингу</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вимірювання;</w:t>
      </w:r>
    </w:p>
    <w:p w14:paraId="0210A0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w:t>
      </w:r>
      <w:r w:rsidRPr="000977F7">
        <w:rPr>
          <w:rFonts w:asciiTheme="majorHAnsi" w:hAnsiTheme="majorHAnsi"/>
          <w:spacing w:val="44"/>
          <w:sz w:val="20"/>
          <w:szCs w:val="20"/>
        </w:rPr>
        <w:t xml:space="preserve"> </w:t>
      </w:r>
      <w:r w:rsidRPr="000977F7">
        <w:rPr>
          <w:rFonts w:asciiTheme="majorHAnsi" w:hAnsiTheme="majorHAnsi"/>
          <w:sz w:val="20"/>
          <w:szCs w:val="20"/>
        </w:rPr>
        <w:t>були</w:t>
      </w:r>
      <w:r w:rsidRPr="000977F7">
        <w:rPr>
          <w:rFonts w:asciiTheme="majorHAnsi" w:hAnsiTheme="majorHAnsi"/>
          <w:spacing w:val="44"/>
          <w:sz w:val="20"/>
          <w:szCs w:val="20"/>
        </w:rPr>
        <w:t xml:space="preserve"> </w:t>
      </w:r>
      <w:r w:rsidRPr="000977F7">
        <w:rPr>
          <w:rFonts w:asciiTheme="majorHAnsi" w:hAnsiTheme="majorHAnsi"/>
          <w:sz w:val="20"/>
          <w:szCs w:val="20"/>
        </w:rPr>
        <w:t>в</w:t>
      </w:r>
      <w:r w:rsidRPr="000977F7">
        <w:rPr>
          <w:rFonts w:asciiTheme="majorHAnsi" w:hAnsiTheme="majorHAnsi"/>
          <w:spacing w:val="44"/>
          <w:sz w:val="20"/>
          <w:szCs w:val="20"/>
        </w:rPr>
        <w:t xml:space="preserve"> </w:t>
      </w:r>
      <w:r w:rsidRPr="000977F7">
        <w:rPr>
          <w:rFonts w:asciiTheme="majorHAnsi" w:hAnsiTheme="majorHAnsi"/>
          <w:sz w:val="20"/>
          <w:szCs w:val="20"/>
        </w:rPr>
        <w:t>належному</w:t>
      </w:r>
      <w:r w:rsidRPr="000977F7">
        <w:rPr>
          <w:rFonts w:asciiTheme="majorHAnsi" w:hAnsiTheme="majorHAnsi"/>
          <w:spacing w:val="42"/>
          <w:sz w:val="20"/>
          <w:szCs w:val="20"/>
        </w:rPr>
        <w:t xml:space="preserve"> </w:t>
      </w:r>
      <w:r w:rsidRPr="000977F7">
        <w:rPr>
          <w:rFonts w:asciiTheme="majorHAnsi" w:hAnsiTheme="majorHAnsi"/>
          <w:sz w:val="20"/>
          <w:szCs w:val="20"/>
        </w:rPr>
        <w:t>стані</w:t>
      </w:r>
      <w:r w:rsidRPr="000977F7">
        <w:rPr>
          <w:rFonts w:asciiTheme="majorHAnsi" w:hAnsiTheme="majorHAnsi"/>
          <w:spacing w:val="46"/>
          <w:sz w:val="20"/>
          <w:szCs w:val="20"/>
        </w:rPr>
        <w:t xml:space="preserve"> </w:t>
      </w:r>
      <w:r w:rsidRPr="000977F7">
        <w:rPr>
          <w:rFonts w:asciiTheme="majorHAnsi" w:hAnsiTheme="majorHAnsi"/>
          <w:sz w:val="20"/>
          <w:szCs w:val="20"/>
        </w:rPr>
        <w:t>для</w:t>
      </w:r>
      <w:r w:rsidRPr="000977F7">
        <w:rPr>
          <w:rFonts w:asciiTheme="majorHAnsi" w:hAnsiTheme="majorHAnsi"/>
          <w:spacing w:val="44"/>
          <w:sz w:val="20"/>
          <w:szCs w:val="20"/>
        </w:rPr>
        <w:t xml:space="preserve"> </w:t>
      </w:r>
      <w:r w:rsidRPr="000977F7">
        <w:rPr>
          <w:rFonts w:asciiTheme="majorHAnsi" w:hAnsiTheme="majorHAnsi"/>
          <w:sz w:val="20"/>
          <w:szCs w:val="20"/>
        </w:rPr>
        <w:t>гарантування</w:t>
      </w:r>
      <w:r w:rsidRPr="000977F7">
        <w:rPr>
          <w:rFonts w:asciiTheme="majorHAnsi" w:hAnsiTheme="majorHAnsi"/>
          <w:spacing w:val="44"/>
          <w:sz w:val="20"/>
          <w:szCs w:val="20"/>
        </w:rPr>
        <w:t xml:space="preserve"> </w:t>
      </w:r>
      <w:r w:rsidRPr="000977F7">
        <w:rPr>
          <w:rFonts w:asciiTheme="majorHAnsi" w:hAnsiTheme="majorHAnsi"/>
          <w:sz w:val="20"/>
          <w:szCs w:val="20"/>
        </w:rPr>
        <w:t>їхньої</w:t>
      </w:r>
      <w:r w:rsidRPr="000977F7">
        <w:rPr>
          <w:rFonts w:asciiTheme="majorHAnsi" w:hAnsiTheme="majorHAnsi"/>
          <w:spacing w:val="-47"/>
          <w:sz w:val="20"/>
          <w:szCs w:val="20"/>
        </w:rPr>
        <w:t xml:space="preserve"> </w:t>
      </w:r>
      <w:r w:rsidRPr="000977F7">
        <w:rPr>
          <w:rFonts w:asciiTheme="majorHAnsi" w:hAnsiTheme="majorHAnsi"/>
          <w:sz w:val="20"/>
          <w:szCs w:val="20"/>
        </w:rPr>
        <w:t>постійної придатності для їхньої призначеності.</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повинна</w:t>
      </w:r>
      <w:r w:rsidRPr="000977F7">
        <w:rPr>
          <w:rFonts w:asciiTheme="majorHAnsi" w:hAnsiTheme="majorHAnsi"/>
          <w:spacing w:val="1"/>
          <w:sz w:val="20"/>
          <w:szCs w:val="20"/>
        </w:rPr>
        <w:t xml:space="preserve"> </w:t>
      </w:r>
      <w:r w:rsidRPr="000977F7">
        <w:rPr>
          <w:rFonts w:asciiTheme="majorHAnsi" w:hAnsiTheme="majorHAnsi"/>
          <w:sz w:val="20"/>
          <w:szCs w:val="20"/>
        </w:rPr>
        <w:t>зберігати</w:t>
      </w:r>
      <w:r w:rsidRPr="000977F7">
        <w:rPr>
          <w:rFonts w:asciiTheme="majorHAnsi" w:hAnsiTheme="majorHAnsi"/>
          <w:spacing w:val="1"/>
          <w:sz w:val="20"/>
          <w:szCs w:val="20"/>
        </w:rPr>
        <w:t xml:space="preserve"> </w:t>
      </w:r>
      <w:r w:rsidRPr="000977F7">
        <w:rPr>
          <w:rFonts w:asciiTheme="majorHAnsi" w:hAnsiTheme="majorHAnsi"/>
          <w:sz w:val="20"/>
          <w:szCs w:val="20"/>
        </w:rPr>
        <w:t>відповідну задокументовану</w:t>
      </w:r>
      <w:r w:rsidRPr="000977F7">
        <w:rPr>
          <w:rFonts w:asciiTheme="majorHAnsi" w:hAnsiTheme="majorHAnsi"/>
          <w:spacing w:val="43"/>
          <w:sz w:val="20"/>
          <w:szCs w:val="20"/>
        </w:rPr>
        <w:t xml:space="preserve"> </w:t>
      </w:r>
      <w:r w:rsidRPr="000977F7">
        <w:rPr>
          <w:rFonts w:asciiTheme="majorHAnsi" w:hAnsiTheme="majorHAnsi"/>
          <w:sz w:val="20"/>
          <w:szCs w:val="20"/>
        </w:rPr>
        <w:t>інформацію,</w:t>
      </w:r>
      <w:r w:rsidRPr="000977F7">
        <w:rPr>
          <w:rFonts w:asciiTheme="majorHAnsi" w:hAnsiTheme="majorHAnsi"/>
          <w:spacing w:val="47"/>
          <w:sz w:val="20"/>
          <w:szCs w:val="20"/>
        </w:rPr>
        <w:t xml:space="preserve"> </w:t>
      </w:r>
      <w:r w:rsidRPr="000977F7">
        <w:rPr>
          <w:rFonts w:asciiTheme="majorHAnsi" w:hAnsiTheme="majorHAnsi"/>
          <w:sz w:val="20"/>
          <w:szCs w:val="20"/>
        </w:rPr>
        <w:t>яка</w:t>
      </w:r>
      <w:r w:rsidRPr="000977F7">
        <w:rPr>
          <w:rFonts w:asciiTheme="majorHAnsi" w:hAnsiTheme="majorHAnsi"/>
          <w:spacing w:val="48"/>
          <w:sz w:val="20"/>
          <w:szCs w:val="20"/>
        </w:rPr>
        <w:t xml:space="preserve"> </w:t>
      </w:r>
      <w:r w:rsidRPr="000977F7">
        <w:rPr>
          <w:rFonts w:asciiTheme="majorHAnsi" w:hAnsiTheme="majorHAnsi"/>
          <w:sz w:val="20"/>
          <w:szCs w:val="20"/>
        </w:rPr>
        <w:t>доводить,</w:t>
      </w:r>
      <w:r w:rsidRPr="000977F7">
        <w:rPr>
          <w:rFonts w:asciiTheme="majorHAnsi" w:hAnsiTheme="majorHAnsi"/>
          <w:spacing w:val="46"/>
          <w:sz w:val="20"/>
          <w:szCs w:val="20"/>
        </w:rPr>
        <w:t xml:space="preserve"> </w:t>
      </w:r>
      <w:r w:rsidRPr="000977F7">
        <w:rPr>
          <w:rFonts w:asciiTheme="majorHAnsi" w:hAnsiTheme="majorHAnsi"/>
          <w:sz w:val="20"/>
          <w:szCs w:val="20"/>
        </w:rPr>
        <w:t>що</w:t>
      </w:r>
      <w:r w:rsidRPr="000977F7">
        <w:rPr>
          <w:rFonts w:asciiTheme="majorHAnsi" w:hAnsiTheme="majorHAnsi"/>
          <w:spacing w:val="46"/>
          <w:sz w:val="20"/>
          <w:szCs w:val="20"/>
        </w:rPr>
        <w:t xml:space="preserve"> </w:t>
      </w:r>
      <w:r w:rsidRPr="000977F7">
        <w:rPr>
          <w:rFonts w:asciiTheme="majorHAnsi" w:hAnsiTheme="majorHAnsi"/>
          <w:sz w:val="20"/>
          <w:szCs w:val="20"/>
        </w:rPr>
        <w:t>ресурси</w:t>
      </w:r>
      <w:r w:rsidRPr="000977F7">
        <w:rPr>
          <w:rFonts w:asciiTheme="majorHAnsi" w:hAnsiTheme="majorHAnsi"/>
          <w:spacing w:val="44"/>
          <w:sz w:val="20"/>
          <w:szCs w:val="20"/>
        </w:rPr>
        <w:t xml:space="preserve"> </w:t>
      </w:r>
      <w:r w:rsidRPr="000977F7">
        <w:rPr>
          <w:rFonts w:asciiTheme="majorHAnsi" w:hAnsiTheme="majorHAnsi"/>
          <w:sz w:val="20"/>
          <w:szCs w:val="20"/>
        </w:rPr>
        <w:t>для</w:t>
      </w:r>
      <w:r w:rsidRPr="000977F7">
        <w:rPr>
          <w:rFonts w:asciiTheme="majorHAnsi" w:hAnsiTheme="majorHAnsi"/>
          <w:spacing w:val="-47"/>
          <w:sz w:val="20"/>
          <w:szCs w:val="20"/>
        </w:rPr>
        <w:t xml:space="preserve"> </w:t>
      </w:r>
      <w:r w:rsidRPr="000977F7">
        <w:rPr>
          <w:rFonts w:asciiTheme="majorHAnsi" w:hAnsiTheme="majorHAnsi"/>
          <w:sz w:val="20"/>
          <w:szCs w:val="20"/>
        </w:rPr>
        <w:t>моніторингу</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7"/>
          <w:sz w:val="20"/>
          <w:szCs w:val="20"/>
        </w:rPr>
        <w:t xml:space="preserve"> </w:t>
      </w:r>
      <w:r w:rsidRPr="000977F7">
        <w:rPr>
          <w:rFonts w:asciiTheme="majorHAnsi" w:hAnsiTheme="majorHAnsi"/>
          <w:sz w:val="20"/>
          <w:szCs w:val="20"/>
        </w:rPr>
        <w:t>вимірювання</w:t>
      </w:r>
      <w:r w:rsidRPr="000977F7">
        <w:rPr>
          <w:rFonts w:asciiTheme="majorHAnsi" w:hAnsiTheme="majorHAnsi"/>
          <w:spacing w:val="6"/>
          <w:sz w:val="20"/>
          <w:szCs w:val="20"/>
        </w:rPr>
        <w:t xml:space="preserve"> </w:t>
      </w:r>
      <w:r w:rsidRPr="000977F7">
        <w:rPr>
          <w:rFonts w:asciiTheme="majorHAnsi" w:hAnsiTheme="majorHAnsi"/>
          <w:sz w:val="20"/>
          <w:szCs w:val="20"/>
        </w:rPr>
        <w:t>відповідають</w:t>
      </w:r>
      <w:r w:rsidRPr="000977F7">
        <w:rPr>
          <w:rFonts w:asciiTheme="majorHAnsi" w:hAnsiTheme="majorHAnsi"/>
          <w:spacing w:val="7"/>
          <w:sz w:val="20"/>
          <w:szCs w:val="20"/>
        </w:rPr>
        <w:t xml:space="preserve"> </w:t>
      </w:r>
      <w:r w:rsidRPr="000977F7">
        <w:rPr>
          <w:rFonts w:asciiTheme="majorHAnsi" w:hAnsiTheme="majorHAnsi"/>
          <w:sz w:val="20"/>
          <w:szCs w:val="20"/>
        </w:rPr>
        <w:t>їхній</w:t>
      </w:r>
      <w:r w:rsidRPr="000977F7">
        <w:rPr>
          <w:rFonts w:asciiTheme="majorHAnsi" w:hAnsiTheme="majorHAnsi"/>
          <w:spacing w:val="4"/>
          <w:sz w:val="20"/>
          <w:szCs w:val="20"/>
        </w:rPr>
        <w:t xml:space="preserve"> </w:t>
      </w:r>
      <w:r w:rsidRPr="000977F7">
        <w:rPr>
          <w:rFonts w:asciiTheme="majorHAnsi" w:hAnsiTheme="majorHAnsi"/>
          <w:sz w:val="20"/>
          <w:szCs w:val="20"/>
        </w:rPr>
        <w:t>призначенності.</w:t>
      </w:r>
    </w:p>
    <w:p w14:paraId="52E4618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Простежуваність</w:t>
      </w:r>
      <w:r w:rsidRPr="000977F7">
        <w:rPr>
          <w:color w:val="auto"/>
          <w:spacing w:val="-5"/>
          <w:sz w:val="20"/>
          <w:szCs w:val="20"/>
        </w:rPr>
        <w:t xml:space="preserve"> </w:t>
      </w:r>
      <w:r w:rsidRPr="000977F7">
        <w:rPr>
          <w:color w:val="auto"/>
          <w:sz w:val="20"/>
          <w:szCs w:val="20"/>
        </w:rPr>
        <w:t>вимірювання</w:t>
      </w:r>
    </w:p>
    <w:p w14:paraId="1E7F5BA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Якщо</w:t>
      </w:r>
      <w:r w:rsidRPr="000977F7">
        <w:rPr>
          <w:rFonts w:asciiTheme="majorHAnsi" w:hAnsiTheme="majorHAnsi"/>
          <w:spacing w:val="1"/>
          <w:sz w:val="20"/>
          <w:szCs w:val="20"/>
        </w:rPr>
        <w:t xml:space="preserve"> </w:t>
      </w:r>
      <w:r w:rsidRPr="000977F7">
        <w:rPr>
          <w:rFonts w:asciiTheme="majorHAnsi" w:hAnsiTheme="majorHAnsi"/>
          <w:sz w:val="20"/>
          <w:szCs w:val="20"/>
        </w:rPr>
        <w:t>простежуваність</w:t>
      </w:r>
      <w:r w:rsidRPr="000977F7">
        <w:rPr>
          <w:rFonts w:asciiTheme="majorHAnsi" w:hAnsiTheme="majorHAnsi"/>
          <w:spacing w:val="1"/>
          <w:sz w:val="20"/>
          <w:szCs w:val="20"/>
        </w:rPr>
        <w:t xml:space="preserve"> </w:t>
      </w:r>
      <w:r w:rsidRPr="000977F7">
        <w:rPr>
          <w:rFonts w:asciiTheme="majorHAnsi" w:hAnsiTheme="majorHAnsi"/>
          <w:sz w:val="20"/>
          <w:szCs w:val="20"/>
        </w:rPr>
        <w:t>вимірювання</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вимогою</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якщо організація вважає її суттєвим елементом гарантування впевненості у вірогідності результатів вимірювання,</w:t>
      </w:r>
      <w:r w:rsidRPr="000977F7">
        <w:rPr>
          <w:rFonts w:asciiTheme="majorHAnsi" w:hAnsiTheme="majorHAnsi"/>
          <w:spacing w:val="-2"/>
          <w:sz w:val="20"/>
          <w:szCs w:val="20"/>
        </w:rPr>
        <w:t xml:space="preserve"> </w:t>
      </w:r>
      <w:r w:rsidRPr="000977F7">
        <w:rPr>
          <w:rFonts w:asciiTheme="majorHAnsi" w:hAnsiTheme="majorHAnsi"/>
          <w:sz w:val="20"/>
          <w:szCs w:val="20"/>
        </w:rPr>
        <w:t>вимірювальне</w:t>
      </w:r>
      <w:r w:rsidRPr="000977F7">
        <w:rPr>
          <w:rFonts w:asciiTheme="majorHAnsi" w:hAnsiTheme="majorHAnsi"/>
          <w:spacing w:val="1"/>
          <w:sz w:val="20"/>
          <w:szCs w:val="20"/>
        </w:rPr>
        <w:t xml:space="preserve"> </w:t>
      </w:r>
      <w:r w:rsidRPr="000977F7">
        <w:rPr>
          <w:rFonts w:asciiTheme="majorHAnsi" w:hAnsiTheme="majorHAnsi"/>
          <w:sz w:val="20"/>
          <w:szCs w:val="20"/>
        </w:rPr>
        <w:t>устаткування потрібно</w:t>
      </w:r>
    </w:p>
    <w:p w14:paraId="16EC090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калібрувати та/чи перевіряти з установленою періодичністю або перед використанням згідно з еталонами, простежуваними до міжнародних або національних еталонів, якщо немає цих еталонів, потрібно інформацію про базу, використовувану для калібрування чи перевіряння, зберігати як задокументовану інформацію;</w:t>
      </w:r>
    </w:p>
    <w:p w14:paraId="782453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 ідентифікувати з тим, щоб визначити його статус</w:t>
      </w:r>
      <w:r w:rsidRPr="000977F7">
        <w:rPr>
          <w:rFonts w:asciiTheme="majorHAnsi" w:hAnsiTheme="majorHAnsi"/>
          <w:spacing w:val="1"/>
          <w:sz w:val="20"/>
          <w:szCs w:val="20"/>
        </w:rPr>
        <w:t xml:space="preserve"> </w:t>
      </w:r>
      <w:r w:rsidRPr="000977F7">
        <w:rPr>
          <w:rFonts w:asciiTheme="majorHAnsi" w:hAnsiTheme="majorHAnsi"/>
          <w:sz w:val="20"/>
          <w:szCs w:val="20"/>
        </w:rPr>
        <w:t>калібрування;</w:t>
      </w:r>
    </w:p>
    <w:p w14:paraId="24AFA0A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 уберігати від регулювань, пошкодження чи погіршення стану, через які може бути спростовано вірогідність статусу калібрування та одержаних раніше результатів</w:t>
      </w:r>
      <w:r w:rsidRPr="000977F7">
        <w:rPr>
          <w:rFonts w:asciiTheme="majorHAnsi" w:hAnsiTheme="majorHAnsi"/>
          <w:spacing w:val="-2"/>
          <w:sz w:val="20"/>
          <w:szCs w:val="20"/>
        </w:rPr>
        <w:t xml:space="preserve"> </w:t>
      </w:r>
      <w:r w:rsidRPr="000977F7">
        <w:rPr>
          <w:rFonts w:asciiTheme="majorHAnsi" w:hAnsiTheme="majorHAnsi"/>
          <w:sz w:val="20"/>
          <w:szCs w:val="20"/>
        </w:rPr>
        <w:t>вимірювання.</w:t>
      </w:r>
    </w:p>
    <w:p w14:paraId="00B34E7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визначити, чи не вплинуло на</w:t>
      </w:r>
      <w:r w:rsidRPr="000977F7">
        <w:rPr>
          <w:rFonts w:asciiTheme="majorHAnsi" w:hAnsiTheme="majorHAnsi"/>
          <w:spacing w:val="1"/>
          <w:sz w:val="20"/>
          <w:szCs w:val="20"/>
        </w:rPr>
        <w:t xml:space="preserve"> </w:t>
      </w:r>
      <w:r w:rsidRPr="000977F7">
        <w:rPr>
          <w:rFonts w:asciiTheme="majorHAnsi" w:hAnsiTheme="majorHAnsi"/>
          <w:sz w:val="20"/>
          <w:szCs w:val="20"/>
        </w:rPr>
        <w:t>вірогідність</w:t>
      </w:r>
      <w:r w:rsidRPr="000977F7">
        <w:rPr>
          <w:rFonts w:asciiTheme="majorHAnsi" w:hAnsiTheme="majorHAnsi"/>
          <w:spacing w:val="1"/>
          <w:sz w:val="20"/>
          <w:szCs w:val="20"/>
        </w:rPr>
        <w:t xml:space="preserve"> </w:t>
      </w:r>
      <w:r w:rsidRPr="000977F7">
        <w:rPr>
          <w:rFonts w:asciiTheme="majorHAnsi" w:hAnsiTheme="majorHAnsi"/>
          <w:sz w:val="20"/>
          <w:szCs w:val="20"/>
        </w:rPr>
        <w:t>раніше</w:t>
      </w:r>
      <w:r w:rsidRPr="000977F7">
        <w:rPr>
          <w:rFonts w:asciiTheme="majorHAnsi" w:hAnsiTheme="majorHAnsi"/>
          <w:spacing w:val="1"/>
          <w:sz w:val="20"/>
          <w:szCs w:val="20"/>
        </w:rPr>
        <w:t xml:space="preserve"> </w:t>
      </w:r>
      <w:r w:rsidRPr="000977F7">
        <w:rPr>
          <w:rFonts w:asciiTheme="majorHAnsi" w:hAnsiTheme="majorHAnsi"/>
          <w:sz w:val="20"/>
          <w:szCs w:val="20"/>
        </w:rPr>
        <w:t>одержаних</w:t>
      </w:r>
      <w:r w:rsidRPr="000977F7">
        <w:rPr>
          <w:rFonts w:asciiTheme="majorHAnsi" w:hAnsiTheme="majorHAnsi"/>
          <w:spacing w:val="1"/>
          <w:sz w:val="20"/>
          <w:szCs w:val="20"/>
        </w:rPr>
        <w:t xml:space="preserve"> </w:t>
      </w:r>
      <w:r w:rsidRPr="000977F7">
        <w:rPr>
          <w:rFonts w:asciiTheme="majorHAnsi" w:hAnsiTheme="majorHAnsi"/>
          <w:sz w:val="20"/>
          <w:szCs w:val="20"/>
        </w:rPr>
        <w:t>результатів</w:t>
      </w:r>
      <w:r w:rsidRPr="000977F7">
        <w:rPr>
          <w:rFonts w:asciiTheme="majorHAnsi" w:hAnsiTheme="majorHAnsi"/>
          <w:spacing w:val="1"/>
          <w:sz w:val="20"/>
          <w:szCs w:val="20"/>
        </w:rPr>
        <w:t xml:space="preserve"> </w:t>
      </w:r>
      <w:r w:rsidRPr="000977F7">
        <w:rPr>
          <w:rFonts w:asciiTheme="majorHAnsi" w:hAnsiTheme="majorHAnsi"/>
          <w:sz w:val="20"/>
          <w:szCs w:val="20"/>
        </w:rPr>
        <w:t>вимірювання те, що вимірювальне устаткування не відповідає своєму передбаченому використанню, і, за потреби,</w:t>
      </w:r>
      <w:r w:rsidRPr="000977F7">
        <w:rPr>
          <w:rFonts w:asciiTheme="majorHAnsi" w:hAnsiTheme="majorHAnsi"/>
          <w:spacing w:val="-1"/>
          <w:sz w:val="20"/>
          <w:szCs w:val="20"/>
        </w:rPr>
        <w:t xml:space="preserve"> </w:t>
      </w:r>
      <w:r w:rsidRPr="000977F7">
        <w:rPr>
          <w:rFonts w:asciiTheme="majorHAnsi" w:hAnsiTheme="majorHAnsi"/>
          <w:sz w:val="20"/>
          <w:szCs w:val="20"/>
        </w:rPr>
        <w:t>виконати</w:t>
      </w:r>
      <w:r w:rsidRPr="000977F7">
        <w:rPr>
          <w:rFonts w:asciiTheme="majorHAnsi" w:hAnsiTheme="majorHAnsi"/>
          <w:spacing w:val="1"/>
          <w:sz w:val="20"/>
          <w:szCs w:val="20"/>
        </w:rPr>
        <w:t xml:space="preserve"> </w:t>
      </w:r>
      <w:r w:rsidRPr="000977F7">
        <w:rPr>
          <w:rFonts w:asciiTheme="majorHAnsi" w:hAnsiTheme="majorHAnsi"/>
          <w:sz w:val="20"/>
          <w:szCs w:val="20"/>
        </w:rPr>
        <w:t>належні</w:t>
      </w:r>
      <w:r w:rsidRPr="000977F7">
        <w:rPr>
          <w:rFonts w:asciiTheme="majorHAnsi" w:hAnsiTheme="majorHAnsi"/>
          <w:spacing w:val="-1"/>
          <w:sz w:val="20"/>
          <w:szCs w:val="20"/>
        </w:rPr>
        <w:t xml:space="preserve"> </w:t>
      </w:r>
      <w:r w:rsidRPr="000977F7">
        <w:rPr>
          <w:rFonts w:asciiTheme="majorHAnsi" w:hAnsiTheme="majorHAnsi"/>
          <w:sz w:val="20"/>
          <w:szCs w:val="20"/>
        </w:rPr>
        <w:t>дії.</w:t>
      </w:r>
    </w:p>
    <w:p w14:paraId="79D4C665" w14:textId="77777777" w:rsidR="0097612F" w:rsidRPr="004D2D14" w:rsidRDefault="0097612F" w:rsidP="000977F7">
      <w:pPr>
        <w:tabs>
          <w:tab w:val="left" w:pos="284"/>
          <w:tab w:val="left" w:pos="2268"/>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ISO 9001:2015</w:t>
      </w:r>
      <w:bookmarkStart w:id="248" w:name="_Hlk104211166"/>
    </w:p>
    <w:p w14:paraId="72CC1B3B" w14:textId="77777777" w:rsidR="0097612F" w:rsidRPr="004D2D14" w:rsidRDefault="0097612F" w:rsidP="000977F7">
      <w:pPr>
        <w:tabs>
          <w:tab w:val="left" w:pos="284"/>
          <w:tab w:val="left" w:pos="2268"/>
        </w:tabs>
        <w:spacing w:after="0" w:line="240" w:lineRule="auto"/>
        <w:ind w:left="170"/>
        <w:mirrorIndents/>
        <w:jc w:val="both"/>
        <w:rPr>
          <w:rFonts w:asciiTheme="majorHAnsi" w:hAnsiTheme="majorHAnsi"/>
          <w:b/>
          <w:spacing w:val="-47"/>
          <w:sz w:val="20"/>
          <w:szCs w:val="20"/>
          <w:lang w:val="en-US"/>
        </w:rPr>
      </w:pPr>
      <w:r w:rsidRPr="000977F7">
        <w:rPr>
          <w:rFonts w:asciiTheme="majorHAnsi" w:hAnsiTheme="majorHAnsi"/>
          <w:b/>
          <w:sz w:val="20"/>
          <w:szCs w:val="20"/>
        </w:rPr>
        <w:t>РЕСУРСНА</w:t>
      </w:r>
      <w:r w:rsidRPr="004D2D14">
        <w:rPr>
          <w:rFonts w:asciiTheme="majorHAnsi" w:hAnsiTheme="majorHAnsi"/>
          <w:b/>
          <w:sz w:val="20"/>
          <w:szCs w:val="20"/>
          <w:lang w:val="en-US"/>
        </w:rPr>
        <w:t xml:space="preserve"> </w:t>
      </w:r>
      <w:r w:rsidRPr="000977F7">
        <w:rPr>
          <w:rFonts w:asciiTheme="majorHAnsi" w:hAnsiTheme="majorHAnsi"/>
          <w:b/>
          <w:sz w:val="20"/>
          <w:szCs w:val="20"/>
        </w:rPr>
        <w:t>ВІДМОВА</w:t>
      </w:r>
      <w:r w:rsidRPr="004D2D14">
        <w:rPr>
          <w:rFonts w:asciiTheme="majorHAnsi" w:hAnsiTheme="majorHAnsi"/>
          <w:b/>
          <w:sz w:val="20"/>
          <w:szCs w:val="20"/>
          <w:lang w:val="en-US"/>
        </w:rPr>
        <w:t xml:space="preserve"> –</w:t>
      </w:r>
      <w:r w:rsidRPr="004D2D14">
        <w:rPr>
          <w:rFonts w:asciiTheme="majorHAnsi" w:hAnsiTheme="majorHAnsi"/>
          <w:b/>
          <w:spacing w:val="-47"/>
          <w:sz w:val="20"/>
          <w:szCs w:val="20"/>
          <w:lang w:val="en-US"/>
        </w:rPr>
        <w:t xml:space="preserve"> </w:t>
      </w:r>
    </w:p>
    <w:p w14:paraId="1B3DACA2" w14:textId="77777777" w:rsidR="0097612F" w:rsidRPr="004D2D14" w:rsidRDefault="0097612F" w:rsidP="000977F7">
      <w:pPr>
        <w:tabs>
          <w:tab w:val="left" w:pos="284"/>
          <w:tab w:val="left" w:pos="2268"/>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MARGINAL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1"/>
          <w:sz w:val="20"/>
          <w:szCs w:val="20"/>
          <w:lang w:val="en-US"/>
        </w:rPr>
        <w:t xml:space="preserve"> </w:t>
      </w:r>
      <w:bookmarkEnd w:id="248"/>
      <w:r w:rsidRPr="004D2D14">
        <w:rPr>
          <w:rFonts w:asciiTheme="majorHAnsi" w:hAnsiTheme="majorHAnsi"/>
          <w:sz w:val="20"/>
          <w:szCs w:val="20"/>
          <w:lang w:val="en-US"/>
        </w:rPr>
        <w:t>–</w:t>
      </w:r>
    </w:p>
    <w:p w14:paraId="2814829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w w:val="95"/>
          <w:sz w:val="20"/>
          <w:szCs w:val="20"/>
        </w:rPr>
        <w:t>Відмова, внаслідок якої</w:t>
      </w:r>
      <w:r w:rsidRPr="000977F7">
        <w:rPr>
          <w:rFonts w:asciiTheme="majorHAnsi" w:hAnsiTheme="majorHAnsi"/>
          <w:spacing w:val="-3"/>
          <w:w w:val="95"/>
          <w:sz w:val="20"/>
          <w:szCs w:val="20"/>
        </w:rPr>
        <w:t xml:space="preserve"> </w:t>
      </w:r>
      <w:r w:rsidRPr="000977F7">
        <w:rPr>
          <w:rFonts w:asciiTheme="majorHAnsi" w:hAnsiTheme="majorHAnsi"/>
          <w:w w:val="95"/>
          <w:sz w:val="20"/>
          <w:szCs w:val="20"/>
        </w:rPr>
        <w:t>об’єкт досягає</w:t>
      </w:r>
      <w:r w:rsidRPr="000977F7">
        <w:rPr>
          <w:rFonts w:asciiTheme="majorHAnsi" w:hAnsiTheme="majorHAnsi"/>
          <w:spacing w:val="-1"/>
          <w:w w:val="95"/>
          <w:sz w:val="20"/>
          <w:szCs w:val="20"/>
        </w:rPr>
        <w:t xml:space="preserve"> </w:t>
      </w:r>
      <w:r w:rsidRPr="000977F7">
        <w:rPr>
          <w:rFonts w:asciiTheme="majorHAnsi" w:hAnsiTheme="majorHAnsi"/>
          <w:w w:val="95"/>
          <w:sz w:val="20"/>
          <w:szCs w:val="20"/>
        </w:rPr>
        <w:t>граничного</w:t>
      </w:r>
      <w:r w:rsidRPr="000977F7">
        <w:rPr>
          <w:rFonts w:asciiTheme="majorHAnsi" w:hAnsiTheme="majorHAnsi"/>
          <w:spacing w:val="2"/>
          <w:w w:val="95"/>
          <w:sz w:val="20"/>
          <w:szCs w:val="20"/>
        </w:rPr>
        <w:t xml:space="preserve"> </w:t>
      </w:r>
      <w:r w:rsidRPr="000977F7">
        <w:rPr>
          <w:rFonts w:asciiTheme="majorHAnsi" w:hAnsiTheme="majorHAnsi"/>
          <w:w w:val="95"/>
          <w:sz w:val="20"/>
          <w:szCs w:val="20"/>
        </w:rPr>
        <w:t>стану</w:t>
      </w:r>
    </w:p>
    <w:p w14:paraId="35E3B0F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2680 – 94</w:t>
      </w:r>
    </w:p>
    <w:p w14:paraId="7B094EE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249" w:name="_Hlk104213907"/>
      <w:r w:rsidRPr="000977F7">
        <w:rPr>
          <w:color w:val="auto"/>
          <w:sz w:val="20"/>
          <w:szCs w:val="20"/>
        </w:rPr>
        <w:t>РЕСУРСНІ</w:t>
      </w:r>
      <w:r w:rsidRPr="000977F7">
        <w:rPr>
          <w:color w:val="auto"/>
          <w:spacing w:val="-7"/>
          <w:sz w:val="20"/>
          <w:szCs w:val="20"/>
        </w:rPr>
        <w:t xml:space="preserve"> </w:t>
      </w:r>
      <w:r w:rsidRPr="000977F7">
        <w:rPr>
          <w:color w:val="auto"/>
          <w:sz w:val="20"/>
          <w:szCs w:val="20"/>
        </w:rPr>
        <w:t>ВИПРОБУВАННЯ-</w:t>
      </w:r>
    </w:p>
    <w:p w14:paraId="2F248C7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LIFE</w:t>
      </w:r>
      <w:r w:rsidRPr="000977F7">
        <w:rPr>
          <w:rFonts w:asciiTheme="majorHAnsi" w:hAnsiTheme="majorHAnsi"/>
          <w:spacing w:val="-1"/>
          <w:sz w:val="20"/>
          <w:szCs w:val="20"/>
        </w:rPr>
        <w:t xml:space="preserve"> </w:t>
      </w:r>
      <w:r w:rsidRPr="000977F7">
        <w:rPr>
          <w:rFonts w:asciiTheme="majorHAnsi" w:hAnsiTheme="majorHAnsi"/>
          <w:sz w:val="20"/>
          <w:szCs w:val="20"/>
        </w:rPr>
        <w:t>ТЕST-</w:t>
      </w:r>
    </w:p>
    <w:bookmarkEnd w:id="249"/>
    <w:p w14:paraId="282EADCB"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lastRenderedPageBreak/>
        <w:t>Випробування</w:t>
      </w:r>
      <w:r w:rsidRPr="000977F7">
        <w:rPr>
          <w:rFonts w:asciiTheme="majorHAnsi" w:hAnsiTheme="majorHAnsi"/>
          <w:spacing w:val="7"/>
          <w:sz w:val="20"/>
          <w:szCs w:val="20"/>
        </w:rPr>
        <w:t xml:space="preserve"> </w:t>
      </w:r>
      <w:r w:rsidRPr="000977F7">
        <w:rPr>
          <w:rFonts w:asciiTheme="majorHAnsi" w:hAnsiTheme="majorHAnsi"/>
          <w:sz w:val="20"/>
          <w:szCs w:val="20"/>
        </w:rPr>
        <w:t>на</w:t>
      </w:r>
      <w:r w:rsidRPr="000977F7">
        <w:rPr>
          <w:rFonts w:asciiTheme="majorHAnsi" w:hAnsiTheme="majorHAnsi"/>
          <w:spacing w:val="9"/>
          <w:sz w:val="20"/>
          <w:szCs w:val="20"/>
        </w:rPr>
        <w:t xml:space="preserve"> </w:t>
      </w:r>
      <w:r w:rsidRPr="000977F7">
        <w:rPr>
          <w:rFonts w:asciiTheme="majorHAnsi" w:hAnsiTheme="majorHAnsi"/>
          <w:sz w:val="20"/>
          <w:szCs w:val="20"/>
        </w:rPr>
        <w:t>надійність,</w:t>
      </w:r>
      <w:r w:rsidRPr="000977F7">
        <w:rPr>
          <w:rFonts w:asciiTheme="majorHAnsi" w:hAnsiTheme="majorHAnsi"/>
          <w:spacing w:val="7"/>
          <w:sz w:val="20"/>
          <w:szCs w:val="20"/>
        </w:rPr>
        <w:t xml:space="preserve"> </w:t>
      </w:r>
      <w:r w:rsidRPr="000977F7">
        <w:rPr>
          <w:rFonts w:asciiTheme="majorHAnsi" w:hAnsiTheme="majorHAnsi"/>
          <w:sz w:val="20"/>
          <w:szCs w:val="20"/>
        </w:rPr>
        <w:t>що</w:t>
      </w:r>
      <w:r w:rsidRPr="000977F7">
        <w:rPr>
          <w:rFonts w:asciiTheme="majorHAnsi" w:hAnsiTheme="majorHAnsi"/>
          <w:spacing w:val="6"/>
          <w:sz w:val="20"/>
          <w:szCs w:val="20"/>
        </w:rPr>
        <w:t xml:space="preserve"> </w:t>
      </w:r>
      <w:r w:rsidRPr="000977F7">
        <w:rPr>
          <w:rFonts w:asciiTheme="majorHAnsi" w:hAnsiTheme="majorHAnsi"/>
          <w:sz w:val="20"/>
          <w:szCs w:val="20"/>
        </w:rPr>
        <w:t>проводяться</w:t>
      </w:r>
      <w:r w:rsidRPr="000977F7">
        <w:rPr>
          <w:rFonts w:asciiTheme="majorHAnsi" w:hAnsiTheme="majorHAnsi"/>
          <w:spacing w:val="6"/>
          <w:sz w:val="20"/>
          <w:szCs w:val="20"/>
        </w:rPr>
        <w:t xml:space="preserve"> </w:t>
      </w:r>
      <w:r w:rsidRPr="000977F7">
        <w:rPr>
          <w:rFonts w:asciiTheme="majorHAnsi" w:hAnsiTheme="majorHAnsi"/>
          <w:sz w:val="20"/>
          <w:szCs w:val="20"/>
        </w:rPr>
        <w:t>з</w:t>
      </w:r>
      <w:r w:rsidRPr="000977F7">
        <w:rPr>
          <w:rFonts w:asciiTheme="majorHAnsi" w:hAnsiTheme="majorHAnsi"/>
          <w:spacing w:val="9"/>
          <w:sz w:val="20"/>
          <w:szCs w:val="20"/>
        </w:rPr>
        <w:t xml:space="preserve"> </w:t>
      </w:r>
      <w:r w:rsidRPr="000977F7">
        <w:rPr>
          <w:rFonts w:asciiTheme="majorHAnsi" w:hAnsiTheme="majorHAnsi"/>
          <w:sz w:val="20"/>
          <w:szCs w:val="20"/>
        </w:rPr>
        <w:t>метою</w:t>
      </w:r>
      <w:r w:rsidRPr="000977F7">
        <w:rPr>
          <w:rFonts w:asciiTheme="majorHAnsi" w:hAnsiTheme="majorHAnsi"/>
          <w:spacing w:val="-47"/>
          <w:sz w:val="20"/>
          <w:szCs w:val="20"/>
        </w:rPr>
        <w:t xml:space="preserve"> </w:t>
      </w:r>
      <w:r w:rsidRPr="000977F7">
        <w:rPr>
          <w:rFonts w:asciiTheme="majorHAnsi" w:hAnsiTheme="majorHAnsi"/>
          <w:sz w:val="20"/>
          <w:szCs w:val="20"/>
        </w:rPr>
        <w:t>визначення чи контролю показників довговічності</w:t>
      </w:r>
      <w:r w:rsidRPr="000977F7">
        <w:rPr>
          <w:rFonts w:asciiTheme="majorHAnsi" w:hAnsiTheme="majorHAnsi"/>
          <w:spacing w:val="1"/>
          <w:sz w:val="20"/>
          <w:szCs w:val="20"/>
        </w:rPr>
        <w:t xml:space="preserve"> </w:t>
      </w:r>
    </w:p>
    <w:p w14:paraId="21CE0D6E"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8E5EFC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РЕСУРС;</w:t>
      </w:r>
      <w:r w:rsidRPr="000977F7">
        <w:rPr>
          <w:color w:val="auto"/>
          <w:spacing w:val="-4"/>
          <w:sz w:val="20"/>
          <w:szCs w:val="20"/>
        </w:rPr>
        <w:t xml:space="preserve"> </w:t>
      </w:r>
      <w:r w:rsidRPr="000977F7">
        <w:rPr>
          <w:color w:val="auto"/>
          <w:sz w:val="20"/>
          <w:szCs w:val="20"/>
        </w:rPr>
        <w:t>ТЕХНІЧНИЙ</w:t>
      </w:r>
      <w:r w:rsidRPr="000977F7">
        <w:rPr>
          <w:color w:val="auto"/>
          <w:spacing w:val="-3"/>
          <w:sz w:val="20"/>
          <w:szCs w:val="20"/>
        </w:rPr>
        <w:t xml:space="preserve"> </w:t>
      </w:r>
      <w:r w:rsidRPr="000977F7">
        <w:rPr>
          <w:color w:val="auto"/>
          <w:sz w:val="20"/>
          <w:szCs w:val="20"/>
        </w:rPr>
        <w:t>РЕСУРС</w:t>
      </w:r>
      <w:r w:rsidRPr="000977F7">
        <w:rPr>
          <w:color w:val="auto"/>
          <w:spacing w:val="-1"/>
          <w:sz w:val="20"/>
          <w:szCs w:val="20"/>
        </w:rPr>
        <w:t xml:space="preserve"> </w:t>
      </w:r>
      <w:r w:rsidRPr="000977F7">
        <w:rPr>
          <w:color w:val="auto"/>
          <w:sz w:val="20"/>
          <w:szCs w:val="20"/>
        </w:rPr>
        <w:t>–</w:t>
      </w:r>
    </w:p>
    <w:p w14:paraId="282C95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USEFUL</w:t>
      </w:r>
      <w:r w:rsidRPr="000977F7">
        <w:rPr>
          <w:rFonts w:asciiTheme="majorHAnsi" w:hAnsiTheme="majorHAnsi"/>
          <w:spacing w:val="-2"/>
          <w:sz w:val="20"/>
          <w:szCs w:val="20"/>
        </w:rPr>
        <w:t xml:space="preserve"> </w:t>
      </w:r>
      <w:r w:rsidRPr="000977F7">
        <w:rPr>
          <w:rFonts w:asciiTheme="majorHAnsi" w:hAnsiTheme="majorHAnsi"/>
          <w:sz w:val="20"/>
          <w:szCs w:val="20"/>
        </w:rPr>
        <w:t>LIFE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177461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Сумарний наробіток об’єкта від початку його експлуатації</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поновлення</w:t>
      </w:r>
      <w:r w:rsidRPr="000977F7">
        <w:rPr>
          <w:rFonts w:asciiTheme="majorHAnsi" w:hAnsiTheme="majorHAnsi"/>
          <w:spacing w:val="1"/>
          <w:sz w:val="20"/>
          <w:szCs w:val="20"/>
        </w:rPr>
        <w:t xml:space="preserve"> </w:t>
      </w:r>
      <w:r w:rsidRPr="000977F7">
        <w:rPr>
          <w:rFonts w:asciiTheme="majorHAnsi" w:hAnsiTheme="majorHAnsi"/>
          <w:sz w:val="20"/>
          <w:szCs w:val="20"/>
        </w:rPr>
        <w:t>після</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переходу</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граничний</w:t>
      </w:r>
      <w:r w:rsidRPr="000977F7">
        <w:rPr>
          <w:rFonts w:asciiTheme="majorHAnsi" w:hAnsiTheme="majorHAnsi"/>
          <w:spacing w:val="-2"/>
          <w:sz w:val="20"/>
          <w:szCs w:val="20"/>
        </w:rPr>
        <w:t xml:space="preserve"> </w:t>
      </w:r>
      <w:r w:rsidRPr="000977F7">
        <w:rPr>
          <w:rFonts w:asciiTheme="majorHAnsi" w:hAnsiTheme="majorHAnsi"/>
          <w:sz w:val="20"/>
          <w:szCs w:val="20"/>
        </w:rPr>
        <w:t>стан</w:t>
      </w:r>
    </w:p>
    <w:p w14:paraId="67C8F9A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241E944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РЕСУРСОЄМНІСТЬ (ПРОМИСЛОВОГО ПІДП</w:t>
      </w:r>
      <w:r w:rsidRPr="000977F7">
        <w:rPr>
          <w:color w:val="auto"/>
          <w:spacing w:val="-47"/>
          <w:sz w:val="20"/>
          <w:szCs w:val="20"/>
        </w:rPr>
        <w:t xml:space="preserve"> </w:t>
      </w:r>
      <w:r w:rsidRPr="000977F7">
        <w:rPr>
          <w:color w:val="auto"/>
          <w:sz w:val="20"/>
          <w:szCs w:val="20"/>
        </w:rPr>
        <w:t>РИЄМСТВА)</w:t>
      </w:r>
      <w:r w:rsidRPr="000977F7">
        <w:rPr>
          <w:color w:val="auto"/>
          <w:spacing w:val="1"/>
          <w:sz w:val="20"/>
          <w:szCs w:val="20"/>
        </w:rPr>
        <w:t xml:space="preserve"> </w:t>
      </w:r>
      <w:r w:rsidRPr="000977F7">
        <w:rPr>
          <w:color w:val="auto"/>
          <w:sz w:val="20"/>
          <w:szCs w:val="20"/>
        </w:rPr>
        <w:t>–</w:t>
      </w:r>
    </w:p>
    <w:p w14:paraId="442C018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Кількість ресурсів, що використовуються для виробництва</w:t>
      </w:r>
      <w:r w:rsidRPr="000977F7">
        <w:rPr>
          <w:rFonts w:asciiTheme="majorHAnsi" w:hAnsiTheme="majorHAnsi"/>
          <w:spacing w:val="-2"/>
          <w:sz w:val="20"/>
          <w:szCs w:val="20"/>
        </w:rPr>
        <w:t xml:space="preserve"> </w:t>
      </w:r>
      <w:r w:rsidRPr="000977F7">
        <w:rPr>
          <w:rFonts w:asciiTheme="majorHAnsi" w:hAnsiTheme="majorHAnsi"/>
          <w:sz w:val="20"/>
          <w:szCs w:val="20"/>
        </w:rPr>
        <w:t>одиниці</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67434A5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2156 - 93</w:t>
      </w:r>
    </w:p>
    <w:p w14:paraId="1B87010F"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РЕФЛЕКСОМЕТРИЧНИЙ</w:t>
      </w:r>
      <w:r w:rsidRPr="000977F7">
        <w:rPr>
          <w:color w:val="auto"/>
          <w:spacing w:val="-5"/>
          <w:sz w:val="20"/>
          <w:szCs w:val="20"/>
        </w:rPr>
        <w:t xml:space="preserve"> </w:t>
      </w:r>
      <w:r w:rsidRPr="000977F7">
        <w:rPr>
          <w:color w:val="auto"/>
          <w:sz w:val="20"/>
          <w:szCs w:val="20"/>
        </w:rPr>
        <w:t>МЕТОД</w:t>
      </w:r>
      <w:r w:rsidRPr="000977F7">
        <w:rPr>
          <w:color w:val="auto"/>
          <w:spacing w:val="-2"/>
          <w:sz w:val="20"/>
          <w:szCs w:val="20"/>
        </w:rPr>
        <w:t xml:space="preserve"> </w:t>
      </w:r>
      <w:r w:rsidRPr="000977F7">
        <w:rPr>
          <w:b w:val="0"/>
          <w:color w:val="auto"/>
          <w:sz w:val="20"/>
          <w:szCs w:val="20"/>
        </w:rPr>
        <w:t>–</w:t>
      </w:r>
    </w:p>
    <w:p w14:paraId="25406B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реєстрації інтенсивності світлового потоку, відбитого</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2"/>
          <w:sz w:val="20"/>
          <w:szCs w:val="20"/>
        </w:rPr>
        <w:t xml:space="preserve"> </w:t>
      </w:r>
      <w:r w:rsidRPr="000977F7">
        <w:rPr>
          <w:rFonts w:asciiTheme="majorHAnsi" w:hAnsiTheme="majorHAnsi"/>
          <w:sz w:val="20"/>
          <w:szCs w:val="20"/>
        </w:rPr>
        <w:t>виробу</w:t>
      </w:r>
    </w:p>
    <w:p w14:paraId="335799F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2865 - 94</w:t>
      </w:r>
    </w:p>
    <w:p w14:paraId="42BA0360"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РЕФРАКЦІЙНИЙ</w:t>
      </w:r>
      <w:r w:rsidRPr="000977F7">
        <w:rPr>
          <w:color w:val="auto"/>
          <w:spacing w:val="-3"/>
          <w:sz w:val="20"/>
          <w:szCs w:val="20"/>
        </w:rPr>
        <w:t xml:space="preserve"> </w:t>
      </w:r>
      <w:r w:rsidRPr="000977F7">
        <w:rPr>
          <w:color w:val="auto"/>
          <w:sz w:val="20"/>
          <w:szCs w:val="20"/>
        </w:rPr>
        <w:t xml:space="preserve">МЕТОД </w:t>
      </w:r>
      <w:r w:rsidRPr="000977F7">
        <w:rPr>
          <w:b w:val="0"/>
          <w:color w:val="auto"/>
          <w:sz w:val="20"/>
          <w:szCs w:val="20"/>
        </w:rPr>
        <w:t>–</w:t>
      </w:r>
    </w:p>
    <w:p w14:paraId="75205C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оптичного неруйнівного контролю, що ґрунтується на реєстрації параметрів заломлення оптичного</w:t>
      </w:r>
      <w:r w:rsidRPr="000977F7">
        <w:rPr>
          <w:rFonts w:asciiTheme="majorHAnsi" w:hAnsiTheme="majorHAnsi"/>
          <w:spacing w:val="1"/>
          <w:sz w:val="20"/>
          <w:szCs w:val="20"/>
        </w:rPr>
        <w:t xml:space="preserve"> </w:t>
      </w:r>
      <w:r w:rsidRPr="000977F7">
        <w:rPr>
          <w:rFonts w:asciiTheme="majorHAnsi" w:hAnsiTheme="majorHAnsi"/>
          <w:sz w:val="20"/>
          <w:szCs w:val="20"/>
        </w:rPr>
        <w:t>випромінення</w:t>
      </w:r>
      <w:r w:rsidRPr="000977F7">
        <w:rPr>
          <w:rFonts w:asciiTheme="majorHAnsi" w:hAnsiTheme="majorHAnsi"/>
          <w:spacing w:val="-2"/>
          <w:sz w:val="20"/>
          <w:szCs w:val="20"/>
        </w:rPr>
        <w:t xml:space="preserve"> </w:t>
      </w:r>
      <w:r w:rsidRPr="000977F7">
        <w:rPr>
          <w:rFonts w:asciiTheme="majorHAnsi" w:hAnsiTheme="majorHAnsi"/>
          <w:sz w:val="20"/>
          <w:szCs w:val="20"/>
        </w:rPr>
        <w:t>об’єктом</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p>
    <w:p w14:paraId="758E75C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2865 - 94</w:t>
      </w:r>
    </w:p>
    <w:p w14:paraId="75489B9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РЕФЛЕКТОМЕТР</w:t>
      </w:r>
      <w:r w:rsidRPr="000977F7">
        <w:rPr>
          <w:color w:val="auto"/>
          <w:spacing w:val="-3"/>
          <w:sz w:val="20"/>
          <w:szCs w:val="20"/>
        </w:rPr>
        <w:t xml:space="preserve"> </w:t>
      </w:r>
      <w:r w:rsidRPr="000977F7">
        <w:rPr>
          <w:color w:val="auto"/>
          <w:sz w:val="20"/>
          <w:szCs w:val="20"/>
        </w:rPr>
        <w:t>–</w:t>
      </w:r>
    </w:p>
    <w:p w14:paraId="7D86FE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Прилад радіохвильового неруйнівного контролю, при</w:t>
      </w:r>
      <w:r w:rsidRPr="000977F7">
        <w:rPr>
          <w:rFonts w:asciiTheme="majorHAnsi" w:hAnsiTheme="majorHAnsi"/>
          <w:spacing w:val="-1"/>
          <w:sz w:val="20"/>
          <w:szCs w:val="20"/>
        </w:rPr>
        <w:t>значений</w:t>
      </w:r>
      <w:r w:rsidRPr="000977F7">
        <w:rPr>
          <w:rFonts w:asciiTheme="majorHAnsi" w:hAnsiTheme="majorHAnsi"/>
          <w:spacing w:val="-11"/>
          <w:sz w:val="20"/>
          <w:szCs w:val="20"/>
        </w:rPr>
        <w:t xml:space="preserve"> </w:t>
      </w:r>
      <w:r w:rsidRPr="000977F7">
        <w:rPr>
          <w:rFonts w:asciiTheme="majorHAnsi" w:hAnsiTheme="majorHAnsi"/>
          <w:spacing w:val="-1"/>
          <w:sz w:val="20"/>
          <w:szCs w:val="20"/>
        </w:rPr>
        <w:t>для</w:t>
      </w:r>
      <w:r w:rsidRPr="000977F7">
        <w:rPr>
          <w:rFonts w:asciiTheme="majorHAnsi" w:hAnsiTheme="majorHAnsi"/>
          <w:spacing w:val="-9"/>
          <w:sz w:val="20"/>
          <w:szCs w:val="20"/>
        </w:rPr>
        <w:t xml:space="preserve"> </w:t>
      </w:r>
      <w:r w:rsidRPr="000977F7">
        <w:rPr>
          <w:rFonts w:asciiTheme="majorHAnsi" w:hAnsiTheme="majorHAnsi"/>
          <w:spacing w:val="-1"/>
          <w:sz w:val="20"/>
          <w:szCs w:val="20"/>
        </w:rPr>
        <w:t>вимірювання</w:t>
      </w:r>
      <w:r w:rsidRPr="000977F7">
        <w:rPr>
          <w:rFonts w:asciiTheme="majorHAnsi" w:hAnsiTheme="majorHAnsi"/>
          <w:spacing w:val="-9"/>
          <w:sz w:val="20"/>
          <w:szCs w:val="20"/>
        </w:rPr>
        <w:t xml:space="preserve"> </w:t>
      </w:r>
      <w:r w:rsidRPr="000977F7">
        <w:rPr>
          <w:rFonts w:asciiTheme="majorHAnsi" w:hAnsiTheme="majorHAnsi"/>
          <w:spacing w:val="-1"/>
          <w:sz w:val="20"/>
          <w:szCs w:val="20"/>
        </w:rPr>
        <w:t>параметрів</w:t>
      </w:r>
      <w:r w:rsidRPr="000977F7">
        <w:rPr>
          <w:rFonts w:asciiTheme="majorHAnsi" w:hAnsiTheme="majorHAnsi"/>
          <w:spacing w:val="-10"/>
          <w:sz w:val="20"/>
          <w:szCs w:val="20"/>
        </w:rPr>
        <w:t xml:space="preserve"> </w:t>
      </w:r>
      <w:r w:rsidRPr="000977F7">
        <w:rPr>
          <w:rFonts w:asciiTheme="majorHAnsi" w:hAnsiTheme="majorHAnsi"/>
          <w:spacing w:val="-1"/>
          <w:sz w:val="20"/>
          <w:szCs w:val="20"/>
        </w:rPr>
        <w:t>радіохвильового</w:t>
      </w:r>
      <w:r w:rsidRPr="000977F7">
        <w:rPr>
          <w:rFonts w:asciiTheme="majorHAnsi" w:hAnsiTheme="majorHAnsi"/>
          <w:spacing w:val="-47"/>
          <w:sz w:val="20"/>
          <w:szCs w:val="20"/>
        </w:rPr>
        <w:t xml:space="preserve"> </w:t>
      </w:r>
      <w:r w:rsidRPr="000977F7">
        <w:rPr>
          <w:rFonts w:asciiTheme="majorHAnsi" w:hAnsiTheme="majorHAnsi"/>
          <w:sz w:val="20"/>
          <w:szCs w:val="20"/>
        </w:rPr>
        <w:t>випромінення,</w:t>
      </w:r>
      <w:r w:rsidRPr="000977F7">
        <w:rPr>
          <w:rFonts w:asciiTheme="majorHAnsi" w:hAnsiTheme="majorHAnsi"/>
          <w:spacing w:val="-9"/>
          <w:sz w:val="20"/>
          <w:szCs w:val="20"/>
        </w:rPr>
        <w:t xml:space="preserve"> </w:t>
      </w:r>
      <w:r w:rsidRPr="000977F7">
        <w:rPr>
          <w:rFonts w:asciiTheme="majorHAnsi" w:hAnsiTheme="majorHAnsi"/>
          <w:sz w:val="20"/>
          <w:szCs w:val="20"/>
        </w:rPr>
        <w:t>відбитого</w:t>
      </w:r>
      <w:r w:rsidRPr="000977F7">
        <w:rPr>
          <w:rFonts w:asciiTheme="majorHAnsi" w:hAnsiTheme="majorHAnsi"/>
          <w:spacing w:val="-6"/>
          <w:sz w:val="20"/>
          <w:szCs w:val="20"/>
        </w:rPr>
        <w:t xml:space="preserve"> </w:t>
      </w:r>
      <w:r w:rsidRPr="000977F7">
        <w:rPr>
          <w:rFonts w:asciiTheme="majorHAnsi" w:hAnsiTheme="majorHAnsi"/>
          <w:sz w:val="20"/>
          <w:szCs w:val="20"/>
        </w:rPr>
        <w:t>від</w:t>
      </w:r>
      <w:r w:rsidRPr="000977F7">
        <w:rPr>
          <w:rFonts w:asciiTheme="majorHAnsi" w:hAnsiTheme="majorHAnsi"/>
          <w:spacing w:val="-7"/>
          <w:sz w:val="20"/>
          <w:szCs w:val="20"/>
        </w:rPr>
        <w:t xml:space="preserve"> </w:t>
      </w:r>
      <w:r w:rsidRPr="000977F7">
        <w:rPr>
          <w:rFonts w:asciiTheme="majorHAnsi" w:hAnsiTheme="majorHAnsi"/>
          <w:sz w:val="20"/>
          <w:szCs w:val="20"/>
        </w:rPr>
        <w:t>об’єкта</w:t>
      </w:r>
      <w:r w:rsidRPr="000977F7">
        <w:rPr>
          <w:rFonts w:asciiTheme="majorHAnsi" w:hAnsiTheme="majorHAnsi"/>
          <w:spacing w:val="-9"/>
          <w:sz w:val="20"/>
          <w:szCs w:val="20"/>
        </w:rPr>
        <w:t xml:space="preserve"> </w:t>
      </w:r>
      <w:r w:rsidRPr="000977F7">
        <w:rPr>
          <w:rFonts w:asciiTheme="majorHAnsi" w:hAnsiTheme="majorHAnsi"/>
          <w:sz w:val="20"/>
          <w:szCs w:val="20"/>
        </w:rPr>
        <w:t>контролю</w:t>
      </w:r>
    </w:p>
    <w:p w14:paraId="3ED4AED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2865 - 94</w:t>
      </w:r>
    </w:p>
    <w:p w14:paraId="00448D55" w14:textId="77777777" w:rsidR="0097612F" w:rsidRPr="000977F7" w:rsidRDefault="0097612F" w:rsidP="000977F7">
      <w:pPr>
        <w:pStyle w:val="7"/>
        <w:tabs>
          <w:tab w:val="left" w:pos="284"/>
        </w:tabs>
        <w:spacing w:before="0" w:line="240" w:lineRule="auto"/>
        <w:ind w:left="170"/>
        <w:mirrorIndents/>
        <w:jc w:val="both"/>
        <w:rPr>
          <w:i/>
          <w:color w:val="auto"/>
          <w:sz w:val="20"/>
          <w:szCs w:val="20"/>
        </w:rPr>
      </w:pPr>
      <w:r w:rsidRPr="000977F7">
        <w:rPr>
          <w:color w:val="auto"/>
          <w:sz w:val="20"/>
          <w:szCs w:val="20"/>
        </w:rPr>
        <w:t>РЕЦИПІЄНТ</w:t>
      </w:r>
      <w:r w:rsidRPr="000977F7">
        <w:rPr>
          <w:color w:val="auto"/>
          <w:spacing w:val="-4"/>
          <w:sz w:val="20"/>
          <w:szCs w:val="20"/>
        </w:rPr>
        <w:t xml:space="preserve"> </w:t>
      </w:r>
      <w:r w:rsidRPr="000977F7">
        <w:rPr>
          <w:i/>
          <w:color w:val="auto"/>
          <w:sz w:val="20"/>
          <w:szCs w:val="20"/>
        </w:rPr>
        <w:t>–</w:t>
      </w:r>
    </w:p>
    <w:p w14:paraId="60EEA8D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w:t>
      </w:r>
      <w:r w:rsidRPr="000977F7">
        <w:rPr>
          <w:rFonts w:asciiTheme="majorHAnsi" w:hAnsiTheme="majorHAnsi"/>
          <w:spacing w:val="1"/>
          <w:sz w:val="20"/>
          <w:szCs w:val="20"/>
        </w:rPr>
        <w:t xml:space="preserve"> </w:t>
      </w:r>
      <w:r w:rsidRPr="000977F7">
        <w:rPr>
          <w:rFonts w:asciiTheme="majorHAnsi" w:hAnsiTheme="majorHAnsi"/>
          <w:sz w:val="20"/>
          <w:szCs w:val="20"/>
        </w:rPr>
        <w:t>негативного</w:t>
      </w:r>
      <w:r w:rsidRPr="000977F7">
        <w:rPr>
          <w:rFonts w:asciiTheme="majorHAnsi" w:hAnsiTheme="majorHAnsi"/>
          <w:spacing w:val="1"/>
          <w:sz w:val="20"/>
          <w:szCs w:val="20"/>
        </w:rPr>
        <w:t xml:space="preserve"> </w:t>
      </w:r>
      <w:r w:rsidRPr="000977F7">
        <w:rPr>
          <w:rFonts w:asciiTheme="majorHAnsi" w:hAnsiTheme="majorHAnsi"/>
          <w:sz w:val="20"/>
          <w:szCs w:val="20"/>
        </w:rPr>
        <w:t>впливу</w:t>
      </w:r>
      <w:r w:rsidRPr="000977F7">
        <w:rPr>
          <w:rFonts w:asciiTheme="majorHAnsi" w:hAnsiTheme="majorHAnsi"/>
          <w:spacing w:val="1"/>
          <w:sz w:val="20"/>
          <w:szCs w:val="20"/>
        </w:rPr>
        <w:t xml:space="preserve"> </w:t>
      </w:r>
      <w:r w:rsidRPr="000977F7">
        <w:rPr>
          <w:rFonts w:asciiTheme="majorHAnsi" w:hAnsiTheme="majorHAnsi"/>
          <w:sz w:val="20"/>
          <w:szCs w:val="20"/>
        </w:rPr>
        <w:t>небезпеки,</w:t>
      </w:r>
      <w:r w:rsidRPr="000977F7">
        <w:rPr>
          <w:rFonts w:asciiTheme="majorHAnsi" w:hAnsiTheme="majorHAnsi"/>
          <w:spacing w:val="1"/>
          <w:sz w:val="20"/>
          <w:szCs w:val="20"/>
        </w:rPr>
        <w:t xml:space="preserve"> </w:t>
      </w:r>
      <w:r w:rsidRPr="000977F7">
        <w:rPr>
          <w:rFonts w:asciiTheme="majorHAnsi" w:hAnsiTheme="majorHAnsi"/>
          <w:sz w:val="20"/>
          <w:szCs w:val="20"/>
        </w:rPr>
        <w:t>ініційованої</w:t>
      </w:r>
      <w:r w:rsidRPr="000977F7">
        <w:rPr>
          <w:rFonts w:asciiTheme="majorHAnsi" w:hAnsiTheme="majorHAnsi"/>
          <w:spacing w:val="1"/>
          <w:sz w:val="20"/>
          <w:szCs w:val="20"/>
        </w:rPr>
        <w:t xml:space="preserve"> </w:t>
      </w:r>
      <w:r w:rsidRPr="000977F7">
        <w:rPr>
          <w:rFonts w:asciiTheme="majorHAnsi" w:hAnsiTheme="majorHAnsi"/>
          <w:sz w:val="20"/>
          <w:szCs w:val="20"/>
        </w:rPr>
        <w:t>промисловим</w:t>
      </w:r>
      <w:r w:rsidRPr="000977F7">
        <w:rPr>
          <w:rFonts w:asciiTheme="majorHAnsi" w:hAnsiTheme="majorHAnsi"/>
          <w:spacing w:val="2"/>
          <w:sz w:val="20"/>
          <w:szCs w:val="20"/>
        </w:rPr>
        <w:t xml:space="preserve"> </w:t>
      </w:r>
      <w:r w:rsidRPr="000977F7">
        <w:rPr>
          <w:rFonts w:asciiTheme="majorHAnsi" w:hAnsiTheme="majorHAnsi"/>
          <w:sz w:val="20"/>
          <w:szCs w:val="20"/>
        </w:rPr>
        <w:t>підприємством</w:t>
      </w:r>
    </w:p>
    <w:p w14:paraId="3ECFBAA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 :</w:t>
      </w:r>
    </w:p>
    <w:p w14:paraId="4237DD7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Реципієнтами можуть бути: люди, флора та фауна, урбанізовані та сільськогосподарські території, об’єкти</w:t>
      </w:r>
      <w:r w:rsidRPr="000977F7">
        <w:rPr>
          <w:rFonts w:asciiTheme="majorHAnsi" w:hAnsiTheme="majorHAnsi"/>
          <w:spacing w:val="1"/>
          <w:sz w:val="20"/>
          <w:szCs w:val="20"/>
        </w:rPr>
        <w:t xml:space="preserve"> </w:t>
      </w:r>
      <w:r w:rsidRPr="000977F7">
        <w:rPr>
          <w:rFonts w:asciiTheme="majorHAnsi" w:hAnsiTheme="majorHAnsi"/>
          <w:sz w:val="20"/>
          <w:szCs w:val="20"/>
        </w:rPr>
        <w:t>рекреації, території, що особливо охороняються, інші</w:t>
      </w:r>
      <w:r w:rsidRPr="000977F7">
        <w:rPr>
          <w:rFonts w:asciiTheme="majorHAnsi" w:hAnsiTheme="majorHAnsi"/>
          <w:spacing w:val="1"/>
          <w:sz w:val="20"/>
          <w:szCs w:val="20"/>
        </w:rPr>
        <w:t xml:space="preserve"> </w:t>
      </w:r>
      <w:r w:rsidRPr="000977F7">
        <w:rPr>
          <w:rFonts w:asciiTheme="majorHAnsi" w:hAnsiTheme="majorHAnsi"/>
          <w:sz w:val="20"/>
          <w:szCs w:val="20"/>
        </w:rPr>
        <w:t>матеріальні</w:t>
      </w:r>
      <w:r w:rsidRPr="000977F7">
        <w:rPr>
          <w:rFonts w:asciiTheme="majorHAnsi" w:hAnsiTheme="majorHAnsi"/>
          <w:spacing w:val="-9"/>
          <w:sz w:val="20"/>
          <w:szCs w:val="20"/>
        </w:rPr>
        <w:t xml:space="preserve"> </w:t>
      </w:r>
      <w:r w:rsidRPr="000977F7">
        <w:rPr>
          <w:rFonts w:asciiTheme="majorHAnsi" w:hAnsiTheme="majorHAnsi"/>
          <w:sz w:val="20"/>
          <w:szCs w:val="20"/>
        </w:rPr>
        <w:t>об’єкти</w:t>
      </w:r>
      <w:r w:rsidRPr="000977F7">
        <w:rPr>
          <w:rFonts w:asciiTheme="majorHAnsi" w:hAnsiTheme="majorHAnsi"/>
          <w:spacing w:val="-7"/>
          <w:sz w:val="20"/>
          <w:szCs w:val="20"/>
        </w:rPr>
        <w:t xml:space="preserve"> </w:t>
      </w:r>
      <w:r w:rsidRPr="000977F7">
        <w:rPr>
          <w:rFonts w:asciiTheme="majorHAnsi" w:hAnsiTheme="majorHAnsi"/>
          <w:sz w:val="20"/>
          <w:szCs w:val="20"/>
        </w:rPr>
        <w:t>будь</w:t>
      </w:r>
      <w:r w:rsidRPr="000977F7">
        <w:rPr>
          <w:rFonts w:asciiTheme="majorHAnsi" w:hAnsiTheme="majorHAnsi"/>
          <w:spacing w:val="-9"/>
          <w:sz w:val="20"/>
          <w:szCs w:val="20"/>
        </w:rPr>
        <w:t xml:space="preserve"> </w:t>
      </w:r>
      <w:r w:rsidRPr="000977F7">
        <w:rPr>
          <w:rFonts w:asciiTheme="majorHAnsi" w:hAnsiTheme="majorHAnsi"/>
          <w:sz w:val="20"/>
          <w:szCs w:val="20"/>
        </w:rPr>
        <w:t>якої</w:t>
      </w:r>
      <w:r w:rsidRPr="000977F7">
        <w:rPr>
          <w:rFonts w:asciiTheme="majorHAnsi" w:hAnsiTheme="majorHAnsi"/>
          <w:spacing w:val="-8"/>
          <w:sz w:val="20"/>
          <w:szCs w:val="20"/>
        </w:rPr>
        <w:t xml:space="preserve"> </w:t>
      </w:r>
      <w:r w:rsidRPr="000977F7">
        <w:rPr>
          <w:rFonts w:asciiTheme="majorHAnsi" w:hAnsiTheme="majorHAnsi"/>
          <w:sz w:val="20"/>
          <w:szCs w:val="20"/>
        </w:rPr>
        <w:t>форми</w:t>
      </w:r>
      <w:r w:rsidRPr="000977F7">
        <w:rPr>
          <w:rFonts w:asciiTheme="majorHAnsi" w:hAnsiTheme="majorHAnsi"/>
          <w:spacing w:val="-10"/>
          <w:sz w:val="20"/>
          <w:szCs w:val="20"/>
        </w:rPr>
        <w:t xml:space="preserve"> </w:t>
      </w:r>
      <w:r w:rsidRPr="000977F7">
        <w:rPr>
          <w:rFonts w:asciiTheme="majorHAnsi" w:hAnsiTheme="majorHAnsi"/>
          <w:sz w:val="20"/>
          <w:szCs w:val="20"/>
        </w:rPr>
        <w:t>власності</w:t>
      </w:r>
    </w:p>
    <w:p w14:paraId="74385820"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2156 - 93</w:t>
      </w:r>
      <w:r w:rsidRPr="000977F7">
        <w:rPr>
          <w:rFonts w:asciiTheme="majorHAnsi" w:hAnsiTheme="majorHAnsi"/>
          <w:i/>
          <w:spacing w:val="-47"/>
          <w:sz w:val="20"/>
          <w:szCs w:val="20"/>
        </w:rPr>
        <w:t xml:space="preserve"> </w:t>
      </w:r>
    </w:p>
    <w:p w14:paraId="3099B66B"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РИЗИК –</w:t>
      </w:r>
    </w:p>
    <w:p w14:paraId="13F7E4D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RISK</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812C7E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Можливість виникнення та вірогідні масштаби наслідків негативного впливу протягом певного періоду часу</w:t>
      </w:r>
    </w:p>
    <w:p w14:paraId="738B9A71"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bookmarkStart w:id="250" w:name="_Hlk103187219"/>
      <w:r w:rsidRPr="000977F7">
        <w:rPr>
          <w:rFonts w:asciiTheme="majorHAnsi" w:hAnsiTheme="majorHAnsi"/>
          <w:i/>
          <w:iCs/>
          <w:sz w:val="20"/>
          <w:szCs w:val="20"/>
        </w:rPr>
        <w:t>Ст. 1 закону України "Про технічні регламенти та оцінку відповідності"</w:t>
      </w:r>
    </w:p>
    <w:p w14:paraId="4DB0E3B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Комбінація імовірності і ступеня тяжкості травми або шкоди для здоров’я, яка може виникнути в небезпечній ситуації</w:t>
      </w:r>
    </w:p>
    <w:p w14:paraId="161D280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Технічний регламент безпеки машин</w:t>
      </w:r>
    </w:p>
    <w:p w14:paraId="77950C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Комбінація ймовірності спричинення шкоди та важкості шкоди </w:t>
      </w:r>
    </w:p>
    <w:p w14:paraId="2C05C090"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bookmarkEnd w:id="250"/>
    <w:p w14:paraId="73B91F0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Вплив</w:t>
      </w:r>
      <w:r w:rsidRPr="000977F7">
        <w:rPr>
          <w:rFonts w:asciiTheme="majorHAnsi" w:hAnsiTheme="majorHAnsi"/>
          <w:spacing w:val="-6"/>
          <w:sz w:val="20"/>
          <w:szCs w:val="20"/>
        </w:rPr>
        <w:t xml:space="preserve"> </w:t>
      </w:r>
      <w:r w:rsidRPr="000977F7">
        <w:rPr>
          <w:rFonts w:asciiTheme="majorHAnsi" w:hAnsiTheme="majorHAnsi"/>
          <w:sz w:val="20"/>
          <w:szCs w:val="20"/>
        </w:rPr>
        <w:t>невизначеності.</w:t>
      </w:r>
    </w:p>
    <w:p w14:paraId="1FE7B9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Вплив – це відхил, позитивний або негативний,</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очікуваного.</w:t>
      </w:r>
    </w:p>
    <w:p w14:paraId="17D6069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2. Невизначеність – це стан нестачі навіть</w:t>
      </w:r>
      <w:r w:rsidRPr="000977F7">
        <w:rPr>
          <w:rFonts w:asciiTheme="majorHAnsi" w:hAnsiTheme="majorHAnsi"/>
          <w:spacing w:val="1"/>
          <w:sz w:val="20"/>
          <w:szCs w:val="20"/>
        </w:rPr>
        <w:t xml:space="preserve"> </w:t>
      </w:r>
      <w:r w:rsidRPr="000977F7">
        <w:rPr>
          <w:rFonts w:asciiTheme="majorHAnsi" w:hAnsiTheme="majorHAnsi"/>
          <w:sz w:val="20"/>
          <w:szCs w:val="20"/>
        </w:rPr>
        <w:t>часткової</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1"/>
          <w:sz w:val="20"/>
          <w:szCs w:val="20"/>
        </w:rPr>
        <w:t xml:space="preserve"> </w:t>
      </w:r>
      <w:r w:rsidRPr="000977F7">
        <w:rPr>
          <w:rFonts w:asciiTheme="majorHAnsi" w:hAnsiTheme="majorHAnsi"/>
          <w:sz w:val="20"/>
          <w:szCs w:val="20"/>
        </w:rPr>
        <w:t>стосовно</w:t>
      </w:r>
      <w:r w:rsidRPr="000977F7">
        <w:rPr>
          <w:rFonts w:asciiTheme="majorHAnsi" w:hAnsiTheme="majorHAnsi"/>
          <w:spacing w:val="1"/>
          <w:sz w:val="20"/>
          <w:szCs w:val="20"/>
        </w:rPr>
        <w:t xml:space="preserve"> </w:t>
      </w:r>
      <w:r w:rsidRPr="000977F7">
        <w:rPr>
          <w:rFonts w:asciiTheme="majorHAnsi" w:hAnsiTheme="majorHAnsi"/>
          <w:sz w:val="20"/>
          <w:szCs w:val="20"/>
        </w:rPr>
        <w:t>розуміння</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знання</w:t>
      </w:r>
      <w:r w:rsidRPr="000977F7">
        <w:rPr>
          <w:rFonts w:asciiTheme="majorHAnsi" w:hAnsiTheme="majorHAnsi"/>
          <w:spacing w:val="-47"/>
          <w:sz w:val="20"/>
          <w:szCs w:val="20"/>
        </w:rPr>
        <w:t xml:space="preserve"> </w:t>
      </w:r>
      <w:r w:rsidRPr="000977F7">
        <w:rPr>
          <w:rFonts w:asciiTheme="majorHAnsi" w:hAnsiTheme="majorHAnsi"/>
          <w:sz w:val="20"/>
          <w:szCs w:val="20"/>
        </w:rPr>
        <w:t>події,</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наслідку</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ймовірності.</w:t>
      </w:r>
    </w:p>
    <w:p w14:paraId="08C7516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3. Ризик часто характеризують посиланням</w:t>
      </w:r>
      <w:r w:rsidRPr="000977F7">
        <w:rPr>
          <w:rFonts w:asciiTheme="majorHAnsi" w:hAnsiTheme="majorHAnsi"/>
          <w:spacing w:val="1"/>
          <w:sz w:val="20"/>
          <w:szCs w:val="20"/>
        </w:rPr>
        <w:t xml:space="preserve"> </w:t>
      </w:r>
      <w:r w:rsidRPr="000977F7">
        <w:rPr>
          <w:rFonts w:asciiTheme="majorHAnsi" w:hAnsiTheme="majorHAnsi"/>
          <w:sz w:val="20"/>
          <w:szCs w:val="20"/>
        </w:rPr>
        <w:t xml:space="preserve">на можливі події (як визначено в ISO </w:t>
      </w:r>
      <w:r w:rsidRPr="000977F7">
        <w:rPr>
          <w:rFonts w:asciiTheme="majorHAnsi" w:hAnsiTheme="majorHAnsi"/>
          <w:sz w:val="20"/>
          <w:szCs w:val="20"/>
        </w:rPr>
        <w:t>Guide 73:2009,</w:t>
      </w:r>
      <w:r w:rsidRPr="000977F7">
        <w:rPr>
          <w:rFonts w:asciiTheme="majorHAnsi" w:hAnsiTheme="majorHAnsi"/>
          <w:spacing w:val="1"/>
          <w:sz w:val="20"/>
          <w:szCs w:val="20"/>
        </w:rPr>
        <w:t xml:space="preserve"> </w:t>
      </w:r>
      <w:r w:rsidRPr="000977F7">
        <w:rPr>
          <w:rFonts w:asciiTheme="majorHAnsi" w:hAnsiTheme="majorHAnsi"/>
          <w:sz w:val="20"/>
          <w:szCs w:val="20"/>
        </w:rPr>
        <w:t>3.5.1.3)</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можливі</w:t>
      </w:r>
      <w:r w:rsidRPr="000977F7">
        <w:rPr>
          <w:rFonts w:asciiTheme="majorHAnsi" w:hAnsiTheme="majorHAnsi"/>
          <w:spacing w:val="1"/>
          <w:sz w:val="20"/>
          <w:szCs w:val="20"/>
        </w:rPr>
        <w:t xml:space="preserve"> </w:t>
      </w:r>
      <w:r w:rsidRPr="000977F7">
        <w:rPr>
          <w:rFonts w:asciiTheme="majorHAnsi" w:hAnsiTheme="majorHAnsi"/>
          <w:sz w:val="20"/>
          <w:szCs w:val="20"/>
        </w:rPr>
        <w:t>наслідки</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визначено</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50"/>
          <w:sz w:val="20"/>
          <w:szCs w:val="20"/>
        </w:rPr>
        <w:t xml:space="preserve"> </w:t>
      </w:r>
      <w:r w:rsidRPr="000977F7">
        <w:rPr>
          <w:rFonts w:asciiTheme="majorHAnsi" w:hAnsiTheme="majorHAnsi"/>
          <w:sz w:val="20"/>
          <w:szCs w:val="20"/>
        </w:rPr>
        <w:t>ISO</w:t>
      </w:r>
      <w:r w:rsidRPr="000977F7">
        <w:rPr>
          <w:rFonts w:asciiTheme="majorHAnsi" w:hAnsiTheme="majorHAnsi"/>
          <w:spacing w:val="1"/>
          <w:sz w:val="20"/>
          <w:szCs w:val="20"/>
        </w:rPr>
        <w:t xml:space="preserve"> </w:t>
      </w:r>
      <w:r w:rsidRPr="000977F7">
        <w:rPr>
          <w:rFonts w:asciiTheme="majorHAnsi" w:hAnsiTheme="majorHAnsi"/>
          <w:sz w:val="20"/>
          <w:szCs w:val="20"/>
        </w:rPr>
        <w:t>Guide</w:t>
      </w:r>
      <w:r w:rsidRPr="000977F7">
        <w:rPr>
          <w:rFonts w:asciiTheme="majorHAnsi" w:hAnsiTheme="majorHAnsi"/>
          <w:spacing w:val="-1"/>
          <w:sz w:val="20"/>
          <w:szCs w:val="20"/>
        </w:rPr>
        <w:t xml:space="preserve"> </w:t>
      </w:r>
      <w:r w:rsidRPr="000977F7">
        <w:rPr>
          <w:rFonts w:asciiTheme="majorHAnsi" w:hAnsiTheme="majorHAnsi"/>
          <w:sz w:val="20"/>
          <w:szCs w:val="20"/>
        </w:rPr>
        <w:t>73:2009,</w:t>
      </w:r>
      <w:r w:rsidRPr="000977F7">
        <w:rPr>
          <w:rFonts w:asciiTheme="majorHAnsi" w:hAnsiTheme="majorHAnsi"/>
          <w:spacing w:val="-2"/>
          <w:sz w:val="20"/>
          <w:szCs w:val="20"/>
        </w:rPr>
        <w:t xml:space="preserve"> </w:t>
      </w:r>
      <w:r w:rsidRPr="000977F7">
        <w:rPr>
          <w:rFonts w:asciiTheme="majorHAnsi" w:hAnsiTheme="majorHAnsi"/>
          <w:sz w:val="20"/>
          <w:szCs w:val="20"/>
        </w:rPr>
        <w:t>3.6.1.3)</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на їх</w:t>
      </w:r>
      <w:r w:rsidRPr="000977F7">
        <w:rPr>
          <w:rFonts w:asciiTheme="majorHAnsi" w:hAnsiTheme="majorHAnsi"/>
          <w:spacing w:val="-2"/>
          <w:sz w:val="20"/>
          <w:szCs w:val="20"/>
        </w:rPr>
        <w:t xml:space="preserve"> </w:t>
      </w:r>
      <w:r w:rsidRPr="000977F7">
        <w:rPr>
          <w:rFonts w:asciiTheme="majorHAnsi" w:hAnsiTheme="majorHAnsi"/>
          <w:sz w:val="20"/>
          <w:szCs w:val="20"/>
        </w:rPr>
        <w:t>поєднання.</w:t>
      </w:r>
    </w:p>
    <w:p w14:paraId="618ABD0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4. Ризик часто зазначають з погляду поєднання наслідків</w:t>
      </w:r>
      <w:r w:rsidRPr="000977F7">
        <w:rPr>
          <w:rFonts w:asciiTheme="majorHAnsi" w:hAnsiTheme="majorHAnsi"/>
          <w:spacing w:val="1"/>
          <w:sz w:val="20"/>
          <w:szCs w:val="20"/>
        </w:rPr>
        <w:t xml:space="preserve"> </w:t>
      </w:r>
      <w:r w:rsidRPr="000977F7">
        <w:rPr>
          <w:rFonts w:asciiTheme="majorHAnsi" w:hAnsiTheme="majorHAnsi"/>
          <w:sz w:val="20"/>
          <w:szCs w:val="20"/>
        </w:rPr>
        <w:t>події (охоплюючи зміни в обставинах) і ймовірністю її виникнення (як визначено в ISO</w:t>
      </w:r>
      <w:r w:rsidRPr="000977F7">
        <w:rPr>
          <w:rFonts w:asciiTheme="majorHAnsi" w:hAnsiTheme="majorHAnsi"/>
          <w:spacing w:val="1"/>
          <w:sz w:val="20"/>
          <w:szCs w:val="20"/>
        </w:rPr>
        <w:t xml:space="preserve"> </w:t>
      </w:r>
      <w:r w:rsidRPr="000977F7">
        <w:rPr>
          <w:rFonts w:asciiTheme="majorHAnsi" w:hAnsiTheme="majorHAnsi"/>
          <w:sz w:val="20"/>
          <w:szCs w:val="20"/>
        </w:rPr>
        <w:t>Guide</w:t>
      </w:r>
      <w:r w:rsidRPr="000977F7">
        <w:rPr>
          <w:rFonts w:asciiTheme="majorHAnsi" w:hAnsiTheme="majorHAnsi"/>
          <w:spacing w:val="-1"/>
          <w:sz w:val="20"/>
          <w:szCs w:val="20"/>
        </w:rPr>
        <w:t xml:space="preserve"> </w:t>
      </w:r>
      <w:r w:rsidRPr="000977F7">
        <w:rPr>
          <w:rFonts w:asciiTheme="majorHAnsi" w:hAnsiTheme="majorHAnsi"/>
          <w:sz w:val="20"/>
          <w:szCs w:val="20"/>
        </w:rPr>
        <w:t>73:2009,</w:t>
      </w:r>
      <w:r w:rsidRPr="000977F7">
        <w:rPr>
          <w:rFonts w:asciiTheme="majorHAnsi" w:hAnsiTheme="majorHAnsi"/>
          <w:spacing w:val="-1"/>
          <w:sz w:val="20"/>
          <w:szCs w:val="20"/>
        </w:rPr>
        <w:t xml:space="preserve"> </w:t>
      </w:r>
      <w:r w:rsidRPr="000977F7">
        <w:rPr>
          <w:rFonts w:asciiTheme="majorHAnsi" w:hAnsiTheme="majorHAnsi"/>
          <w:sz w:val="20"/>
          <w:szCs w:val="20"/>
        </w:rPr>
        <w:t>3.6.1.1).</w:t>
      </w:r>
    </w:p>
    <w:p w14:paraId="2281880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1"/>
          <w:sz w:val="20"/>
          <w:szCs w:val="20"/>
        </w:rPr>
        <w:t xml:space="preserve"> </w:t>
      </w:r>
      <w:r w:rsidRPr="000977F7">
        <w:rPr>
          <w:rFonts w:asciiTheme="majorHAnsi" w:hAnsiTheme="majorHAnsi"/>
          <w:sz w:val="20"/>
          <w:szCs w:val="20"/>
        </w:rPr>
        <w:t>5.</w:t>
      </w:r>
      <w:r w:rsidRPr="000977F7">
        <w:rPr>
          <w:rFonts w:asciiTheme="majorHAnsi" w:hAnsiTheme="majorHAnsi"/>
          <w:spacing w:val="1"/>
          <w:sz w:val="20"/>
          <w:szCs w:val="20"/>
        </w:rPr>
        <w:t xml:space="preserve"> </w:t>
      </w:r>
      <w:r w:rsidRPr="000977F7">
        <w:rPr>
          <w:rFonts w:asciiTheme="majorHAnsi" w:hAnsiTheme="majorHAnsi"/>
          <w:sz w:val="20"/>
          <w:szCs w:val="20"/>
        </w:rPr>
        <w:t>Слово</w:t>
      </w:r>
      <w:r w:rsidRPr="000977F7">
        <w:rPr>
          <w:rFonts w:asciiTheme="majorHAnsi" w:hAnsiTheme="majorHAnsi"/>
          <w:spacing w:val="1"/>
          <w:sz w:val="20"/>
          <w:szCs w:val="20"/>
        </w:rPr>
        <w:t xml:space="preserve"> </w:t>
      </w:r>
      <w:r w:rsidRPr="000977F7">
        <w:rPr>
          <w:rFonts w:asciiTheme="majorHAnsi" w:hAnsiTheme="majorHAnsi"/>
          <w:sz w:val="20"/>
          <w:szCs w:val="20"/>
        </w:rPr>
        <w:t>«ризик»</w:t>
      </w:r>
      <w:r w:rsidRPr="000977F7">
        <w:rPr>
          <w:rFonts w:asciiTheme="majorHAnsi" w:hAnsiTheme="majorHAnsi"/>
          <w:spacing w:val="1"/>
          <w:sz w:val="20"/>
          <w:szCs w:val="20"/>
        </w:rPr>
        <w:t xml:space="preserve"> </w:t>
      </w:r>
      <w:r w:rsidRPr="000977F7">
        <w:rPr>
          <w:rFonts w:asciiTheme="majorHAnsi" w:hAnsiTheme="majorHAnsi"/>
          <w:sz w:val="20"/>
          <w:szCs w:val="20"/>
        </w:rPr>
        <w:t>іноді</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використовують,</w:t>
      </w:r>
      <w:r w:rsidRPr="000977F7">
        <w:rPr>
          <w:rFonts w:asciiTheme="majorHAnsi" w:hAnsiTheme="majorHAnsi"/>
          <w:spacing w:val="1"/>
          <w:sz w:val="20"/>
          <w:szCs w:val="20"/>
        </w:rPr>
        <w:t xml:space="preserve"> </w:t>
      </w:r>
      <w:r w:rsidRPr="000977F7">
        <w:rPr>
          <w:rFonts w:asciiTheme="majorHAnsi" w:hAnsiTheme="majorHAnsi"/>
          <w:sz w:val="20"/>
          <w:szCs w:val="20"/>
        </w:rPr>
        <w:t>якщо йдеться про можливість тільки негативних наслідків.</w:t>
      </w:r>
    </w:p>
    <w:p w14:paraId="5E4B9AD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15808D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Можливість виникнення та вірогідні масштаби наслідків від негативного впливу об'єктів санітарних заходів протягом певного періоду часу</w:t>
      </w:r>
    </w:p>
    <w:p w14:paraId="7FB35FC9"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Ст. 1 закону України "Про забезпечення санітарного та епідемічного благополуччя населення"</w:t>
      </w:r>
    </w:p>
    <w:p w14:paraId="1F6EADB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РИЗИК</w:t>
      </w:r>
      <w:r w:rsidRPr="000977F7">
        <w:rPr>
          <w:color w:val="auto"/>
          <w:spacing w:val="-3"/>
          <w:sz w:val="20"/>
          <w:szCs w:val="20"/>
        </w:rPr>
        <w:t xml:space="preserve"> </w:t>
      </w:r>
      <w:r w:rsidRPr="000977F7">
        <w:rPr>
          <w:color w:val="auto"/>
          <w:sz w:val="20"/>
          <w:szCs w:val="20"/>
        </w:rPr>
        <w:t>ВИМУШЕНИЙ –</w:t>
      </w:r>
    </w:p>
    <w:p w14:paraId="740A029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Ризик</w:t>
      </w:r>
      <w:r w:rsidRPr="000977F7">
        <w:rPr>
          <w:rFonts w:asciiTheme="majorHAnsi" w:hAnsiTheme="majorHAnsi"/>
          <w:spacing w:val="-5"/>
          <w:sz w:val="20"/>
          <w:szCs w:val="20"/>
        </w:rPr>
        <w:t xml:space="preserve"> </w:t>
      </w:r>
      <w:r w:rsidRPr="000977F7">
        <w:rPr>
          <w:rFonts w:asciiTheme="majorHAnsi" w:hAnsiTheme="majorHAnsi"/>
          <w:sz w:val="20"/>
          <w:szCs w:val="20"/>
        </w:rPr>
        <w:t>для</w:t>
      </w:r>
      <w:r w:rsidRPr="000977F7">
        <w:rPr>
          <w:rFonts w:asciiTheme="majorHAnsi" w:hAnsiTheme="majorHAnsi"/>
          <w:spacing w:val="-3"/>
          <w:sz w:val="20"/>
          <w:szCs w:val="20"/>
        </w:rPr>
        <w:t xml:space="preserve"> </w:t>
      </w:r>
      <w:r w:rsidRPr="000977F7">
        <w:rPr>
          <w:rFonts w:asciiTheme="majorHAnsi" w:hAnsiTheme="majorHAnsi"/>
          <w:sz w:val="20"/>
          <w:szCs w:val="20"/>
        </w:rPr>
        <w:t>населення</w:t>
      </w:r>
      <w:r w:rsidRPr="000977F7">
        <w:rPr>
          <w:rFonts w:asciiTheme="majorHAnsi" w:hAnsiTheme="majorHAnsi"/>
          <w:spacing w:val="-5"/>
          <w:sz w:val="20"/>
          <w:szCs w:val="20"/>
        </w:rPr>
        <w:t xml:space="preserve"> </w:t>
      </w:r>
      <w:r w:rsidRPr="000977F7">
        <w:rPr>
          <w:rFonts w:asciiTheme="majorHAnsi" w:hAnsiTheme="majorHAnsi"/>
          <w:sz w:val="20"/>
          <w:szCs w:val="20"/>
        </w:rPr>
        <w:t>та</w:t>
      </w:r>
      <w:r w:rsidRPr="000977F7">
        <w:rPr>
          <w:rFonts w:asciiTheme="majorHAnsi" w:hAnsiTheme="majorHAnsi"/>
          <w:spacing w:val="-5"/>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3"/>
          <w:sz w:val="20"/>
          <w:szCs w:val="20"/>
        </w:rPr>
        <w:t xml:space="preserve"> </w:t>
      </w:r>
      <w:r w:rsidRPr="000977F7">
        <w:rPr>
          <w:rFonts w:asciiTheme="majorHAnsi" w:hAnsiTheme="majorHAnsi"/>
          <w:sz w:val="20"/>
          <w:szCs w:val="20"/>
        </w:rPr>
        <w:t>середовища</w:t>
      </w:r>
    </w:p>
    <w:p w14:paraId="3F1249E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2156 - 93</w:t>
      </w:r>
    </w:p>
    <w:p w14:paraId="3BA9DDE3"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РИЗИК</w:t>
      </w:r>
      <w:r w:rsidRPr="000977F7">
        <w:rPr>
          <w:color w:val="auto"/>
          <w:spacing w:val="-5"/>
          <w:sz w:val="20"/>
          <w:szCs w:val="20"/>
        </w:rPr>
        <w:t xml:space="preserve"> </w:t>
      </w:r>
      <w:r w:rsidRPr="000977F7">
        <w:rPr>
          <w:color w:val="auto"/>
          <w:sz w:val="20"/>
          <w:szCs w:val="20"/>
        </w:rPr>
        <w:t>ВІДДАЛЕНИХ</w:t>
      </w:r>
      <w:r w:rsidRPr="000977F7">
        <w:rPr>
          <w:color w:val="auto"/>
          <w:spacing w:val="-3"/>
          <w:sz w:val="20"/>
          <w:szCs w:val="20"/>
        </w:rPr>
        <w:t xml:space="preserve"> </w:t>
      </w:r>
      <w:r w:rsidRPr="000977F7">
        <w:rPr>
          <w:color w:val="auto"/>
          <w:sz w:val="20"/>
          <w:szCs w:val="20"/>
        </w:rPr>
        <w:t>НАСЛІДКІВ</w:t>
      </w:r>
      <w:r w:rsidRPr="000977F7">
        <w:rPr>
          <w:color w:val="auto"/>
          <w:spacing w:val="-1"/>
          <w:sz w:val="20"/>
          <w:szCs w:val="20"/>
        </w:rPr>
        <w:t xml:space="preserve"> </w:t>
      </w:r>
      <w:r w:rsidRPr="000977F7">
        <w:rPr>
          <w:b w:val="0"/>
          <w:color w:val="auto"/>
          <w:sz w:val="20"/>
          <w:szCs w:val="20"/>
        </w:rPr>
        <w:t>-</w:t>
      </w:r>
    </w:p>
    <w:p w14:paraId="7EB2256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Імовірність передчасної загибелі або генетичних пошкоджень організму під дією шкідливих або небезпечних факторів, що виникли в результаті функціонування</w:t>
      </w:r>
      <w:r w:rsidRPr="000977F7">
        <w:rPr>
          <w:rFonts w:asciiTheme="majorHAnsi" w:hAnsiTheme="majorHAnsi"/>
          <w:spacing w:val="-2"/>
          <w:sz w:val="20"/>
          <w:szCs w:val="20"/>
        </w:rPr>
        <w:t xml:space="preserve"> </w:t>
      </w:r>
      <w:r w:rsidRPr="000977F7">
        <w:rPr>
          <w:rFonts w:asciiTheme="majorHAnsi" w:hAnsiTheme="majorHAnsi"/>
          <w:sz w:val="20"/>
          <w:szCs w:val="20"/>
        </w:rPr>
        <w:t>небезпечного</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w:t>
      </w:r>
    </w:p>
    <w:p w14:paraId="1352D03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2156 - 93</w:t>
      </w:r>
    </w:p>
    <w:p w14:paraId="6B0BA7E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РИЗИК ВИРОБНИКА ПІД ЧАС </w:t>
      </w:r>
    </w:p>
    <w:p w14:paraId="3935FAE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ДІАГНОСТУ</w:t>
      </w:r>
      <w:r w:rsidRPr="000977F7">
        <w:rPr>
          <w:color w:val="auto"/>
          <w:spacing w:val="-47"/>
          <w:sz w:val="20"/>
          <w:szCs w:val="20"/>
        </w:rPr>
        <w:t xml:space="preserve"> </w:t>
      </w:r>
      <w:r w:rsidRPr="000977F7">
        <w:rPr>
          <w:color w:val="auto"/>
          <w:sz w:val="20"/>
          <w:szCs w:val="20"/>
        </w:rPr>
        <w:t>ВАННЯ</w:t>
      </w:r>
      <w:r w:rsidRPr="000977F7">
        <w:rPr>
          <w:color w:val="auto"/>
          <w:spacing w:val="-1"/>
          <w:sz w:val="20"/>
          <w:szCs w:val="20"/>
        </w:rPr>
        <w:t xml:space="preserve"> </w:t>
      </w:r>
      <w:r w:rsidRPr="000977F7">
        <w:rPr>
          <w:color w:val="auto"/>
          <w:sz w:val="20"/>
          <w:szCs w:val="20"/>
        </w:rPr>
        <w:t>(КОНТРОЛЮ)</w:t>
      </w:r>
      <w:r w:rsidRPr="000977F7">
        <w:rPr>
          <w:color w:val="auto"/>
          <w:spacing w:val="1"/>
          <w:sz w:val="20"/>
          <w:szCs w:val="20"/>
        </w:rPr>
        <w:t xml:space="preserve"> </w:t>
      </w:r>
      <w:r w:rsidRPr="000977F7">
        <w:rPr>
          <w:color w:val="auto"/>
          <w:sz w:val="20"/>
          <w:szCs w:val="20"/>
        </w:rPr>
        <w:t>–</w:t>
      </w:r>
    </w:p>
    <w:p w14:paraId="66E8290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Безумовна імовірність того, що справний (працездатний) об’єкт</w:t>
      </w:r>
      <w:r w:rsidRPr="000977F7">
        <w:rPr>
          <w:rFonts w:asciiTheme="majorHAnsi" w:hAnsiTheme="majorHAnsi"/>
          <w:spacing w:val="1"/>
          <w:sz w:val="20"/>
          <w:szCs w:val="20"/>
        </w:rPr>
        <w:t xml:space="preserve"> </w:t>
      </w:r>
      <w:r w:rsidRPr="000977F7">
        <w:rPr>
          <w:rFonts w:asciiTheme="majorHAnsi" w:hAnsiTheme="majorHAnsi"/>
          <w:sz w:val="20"/>
          <w:szCs w:val="20"/>
        </w:rPr>
        <w:t>у результаті діагностування (контролю)</w:t>
      </w:r>
      <w:r w:rsidRPr="000977F7">
        <w:rPr>
          <w:rFonts w:asciiTheme="majorHAnsi" w:hAnsiTheme="majorHAnsi"/>
          <w:spacing w:val="1"/>
          <w:sz w:val="20"/>
          <w:szCs w:val="20"/>
        </w:rPr>
        <w:t xml:space="preserve"> </w:t>
      </w:r>
      <w:r w:rsidRPr="000977F7">
        <w:rPr>
          <w:rFonts w:asciiTheme="majorHAnsi" w:hAnsiTheme="majorHAnsi"/>
          <w:sz w:val="20"/>
          <w:szCs w:val="20"/>
        </w:rPr>
        <w:t>визнається</w:t>
      </w:r>
      <w:r w:rsidRPr="000977F7">
        <w:rPr>
          <w:rFonts w:asciiTheme="majorHAnsi" w:hAnsiTheme="majorHAnsi"/>
          <w:spacing w:val="-2"/>
          <w:sz w:val="20"/>
          <w:szCs w:val="20"/>
        </w:rPr>
        <w:t xml:space="preserve"> </w:t>
      </w:r>
      <w:r w:rsidRPr="000977F7">
        <w:rPr>
          <w:rFonts w:asciiTheme="majorHAnsi" w:hAnsiTheme="majorHAnsi"/>
          <w:sz w:val="20"/>
          <w:szCs w:val="20"/>
        </w:rPr>
        <w:t>несправним (непрацездатним)</w:t>
      </w:r>
    </w:p>
    <w:p w14:paraId="737B67C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048525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РИЗИК</w:t>
      </w:r>
      <w:r w:rsidRPr="000977F7">
        <w:rPr>
          <w:color w:val="auto"/>
          <w:spacing w:val="-5"/>
          <w:sz w:val="20"/>
          <w:szCs w:val="20"/>
        </w:rPr>
        <w:t xml:space="preserve"> </w:t>
      </w:r>
      <w:r w:rsidRPr="000977F7">
        <w:rPr>
          <w:color w:val="auto"/>
          <w:sz w:val="20"/>
          <w:szCs w:val="20"/>
        </w:rPr>
        <w:t>ДОБРОВІЛЬНИЙ</w:t>
      </w:r>
      <w:r w:rsidRPr="000977F7">
        <w:rPr>
          <w:color w:val="auto"/>
          <w:spacing w:val="-2"/>
          <w:sz w:val="20"/>
          <w:szCs w:val="20"/>
        </w:rPr>
        <w:t xml:space="preserve"> </w:t>
      </w:r>
      <w:r w:rsidRPr="000977F7">
        <w:rPr>
          <w:color w:val="auto"/>
          <w:sz w:val="20"/>
          <w:szCs w:val="20"/>
        </w:rPr>
        <w:t>–</w:t>
      </w:r>
    </w:p>
    <w:p w14:paraId="518CD8B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VOLUNTARY</w:t>
      </w:r>
      <w:r w:rsidRPr="000977F7">
        <w:rPr>
          <w:rFonts w:asciiTheme="majorHAnsi" w:hAnsiTheme="majorHAnsi"/>
          <w:spacing w:val="-3"/>
          <w:sz w:val="20"/>
          <w:szCs w:val="20"/>
        </w:rPr>
        <w:t xml:space="preserve"> </w:t>
      </w:r>
      <w:r w:rsidRPr="000977F7">
        <w:rPr>
          <w:rFonts w:asciiTheme="majorHAnsi" w:hAnsiTheme="majorHAnsi"/>
          <w:sz w:val="20"/>
          <w:szCs w:val="20"/>
        </w:rPr>
        <w:t>RISK</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3627B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Ризик</w:t>
      </w:r>
      <w:r w:rsidRPr="000977F7">
        <w:rPr>
          <w:rFonts w:asciiTheme="majorHAnsi" w:hAnsiTheme="majorHAnsi"/>
          <w:spacing w:val="-5"/>
          <w:sz w:val="20"/>
          <w:szCs w:val="20"/>
        </w:rPr>
        <w:t xml:space="preserve"> </w:t>
      </w:r>
      <w:r w:rsidRPr="000977F7">
        <w:rPr>
          <w:rFonts w:asciiTheme="majorHAnsi" w:hAnsiTheme="majorHAnsi"/>
          <w:sz w:val="20"/>
          <w:szCs w:val="20"/>
        </w:rPr>
        <w:t>для</w:t>
      </w:r>
      <w:r w:rsidRPr="000977F7">
        <w:rPr>
          <w:rFonts w:asciiTheme="majorHAnsi" w:hAnsiTheme="majorHAnsi"/>
          <w:spacing w:val="-3"/>
          <w:sz w:val="20"/>
          <w:szCs w:val="20"/>
        </w:rPr>
        <w:t xml:space="preserve"> </w:t>
      </w:r>
      <w:r w:rsidRPr="000977F7">
        <w:rPr>
          <w:rFonts w:asciiTheme="majorHAnsi" w:hAnsiTheme="majorHAnsi"/>
          <w:sz w:val="20"/>
          <w:szCs w:val="20"/>
        </w:rPr>
        <w:t>працівників</w:t>
      </w:r>
      <w:r w:rsidRPr="000977F7">
        <w:rPr>
          <w:rFonts w:asciiTheme="majorHAnsi" w:hAnsiTheme="majorHAnsi"/>
          <w:spacing w:val="-5"/>
          <w:sz w:val="20"/>
          <w:szCs w:val="20"/>
        </w:rPr>
        <w:t xml:space="preserve"> </w:t>
      </w:r>
      <w:r w:rsidRPr="000977F7">
        <w:rPr>
          <w:rFonts w:asciiTheme="majorHAnsi" w:hAnsiTheme="majorHAnsi"/>
          <w:sz w:val="20"/>
          <w:szCs w:val="20"/>
        </w:rPr>
        <w:t>промислового</w:t>
      </w:r>
      <w:r w:rsidRPr="000977F7">
        <w:rPr>
          <w:rFonts w:asciiTheme="majorHAnsi" w:hAnsiTheme="majorHAnsi"/>
          <w:spacing w:val="-3"/>
          <w:sz w:val="20"/>
          <w:szCs w:val="20"/>
        </w:rPr>
        <w:t xml:space="preserve"> </w:t>
      </w:r>
      <w:r w:rsidRPr="000977F7">
        <w:rPr>
          <w:rFonts w:asciiTheme="majorHAnsi" w:hAnsiTheme="majorHAnsi"/>
          <w:sz w:val="20"/>
          <w:szCs w:val="20"/>
        </w:rPr>
        <w:t>підприємства</w:t>
      </w:r>
    </w:p>
    <w:p w14:paraId="142AF4B1"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2156 - 93</w:t>
      </w:r>
    </w:p>
    <w:p w14:paraId="4EF9F8A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РИЗИК</w:t>
      </w:r>
      <w:r w:rsidRPr="000977F7">
        <w:rPr>
          <w:color w:val="auto"/>
          <w:spacing w:val="-4"/>
          <w:sz w:val="20"/>
          <w:szCs w:val="20"/>
        </w:rPr>
        <w:t xml:space="preserve"> </w:t>
      </w:r>
      <w:r w:rsidRPr="000977F7">
        <w:rPr>
          <w:color w:val="auto"/>
          <w:sz w:val="20"/>
          <w:szCs w:val="20"/>
        </w:rPr>
        <w:t>ІНДИВІДУАЛЬНИЙ –</w:t>
      </w:r>
    </w:p>
    <w:p w14:paraId="66C5DE8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INDIVIDUAL</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RISK</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4FF717D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w:t>
      </w:r>
      <w:r w:rsidRPr="000977F7">
        <w:rPr>
          <w:rFonts w:asciiTheme="majorHAnsi" w:hAnsiTheme="majorHAnsi"/>
          <w:spacing w:val="-5"/>
          <w:sz w:val="20"/>
          <w:szCs w:val="20"/>
        </w:rPr>
        <w:t xml:space="preserve"> </w:t>
      </w:r>
      <w:r w:rsidRPr="000977F7">
        <w:rPr>
          <w:rFonts w:asciiTheme="majorHAnsi" w:hAnsiTheme="majorHAnsi"/>
          <w:sz w:val="20"/>
          <w:szCs w:val="20"/>
        </w:rPr>
        <w:t>ризику</w:t>
      </w:r>
      <w:r w:rsidRPr="000977F7">
        <w:rPr>
          <w:rFonts w:asciiTheme="majorHAnsi" w:hAnsiTheme="majorHAnsi"/>
          <w:spacing w:val="-5"/>
          <w:sz w:val="20"/>
          <w:szCs w:val="20"/>
        </w:rPr>
        <w:t xml:space="preserve"> </w:t>
      </w:r>
      <w:r w:rsidRPr="000977F7">
        <w:rPr>
          <w:rFonts w:asciiTheme="majorHAnsi" w:hAnsiTheme="majorHAnsi"/>
          <w:sz w:val="20"/>
          <w:szCs w:val="20"/>
        </w:rPr>
        <w:t>для</w:t>
      </w:r>
      <w:r w:rsidRPr="000977F7">
        <w:rPr>
          <w:rFonts w:asciiTheme="majorHAnsi" w:hAnsiTheme="majorHAnsi"/>
          <w:spacing w:val="-4"/>
          <w:sz w:val="20"/>
          <w:szCs w:val="20"/>
        </w:rPr>
        <w:t xml:space="preserve"> </w:t>
      </w:r>
      <w:r w:rsidRPr="000977F7">
        <w:rPr>
          <w:rFonts w:asciiTheme="majorHAnsi" w:hAnsiTheme="majorHAnsi"/>
          <w:sz w:val="20"/>
          <w:szCs w:val="20"/>
        </w:rPr>
        <w:t>конкретного</w:t>
      </w:r>
      <w:r w:rsidRPr="000977F7">
        <w:rPr>
          <w:rFonts w:asciiTheme="majorHAnsi" w:hAnsiTheme="majorHAnsi"/>
          <w:spacing w:val="-3"/>
          <w:sz w:val="20"/>
          <w:szCs w:val="20"/>
        </w:rPr>
        <w:t xml:space="preserve"> </w:t>
      </w:r>
      <w:r w:rsidRPr="000977F7">
        <w:rPr>
          <w:rFonts w:asciiTheme="majorHAnsi" w:hAnsiTheme="majorHAnsi"/>
          <w:sz w:val="20"/>
          <w:szCs w:val="20"/>
        </w:rPr>
        <w:t>індивідуума</w:t>
      </w:r>
    </w:p>
    <w:p w14:paraId="555B814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2156 - 93</w:t>
      </w:r>
    </w:p>
    <w:p w14:paraId="327B74A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РИЗИК</w:t>
      </w:r>
      <w:r w:rsidRPr="000977F7">
        <w:rPr>
          <w:color w:val="auto"/>
          <w:spacing w:val="-5"/>
          <w:sz w:val="20"/>
          <w:szCs w:val="20"/>
        </w:rPr>
        <w:t xml:space="preserve"> </w:t>
      </w:r>
      <w:r w:rsidRPr="000977F7">
        <w:rPr>
          <w:color w:val="auto"/>
          <w:sz w:val="20"/>
          <w:szCs w:val="20"/>
        </w:rPr>
        <w:t>КОЛЕКТИВНИЙ</w:t>
      </w:r>
      <w:r w:rsidRPr="000977F7">
        <w:rPr>
          <w:color w:val="auto"/>
          <w:spacing w:val="-2"/>
          <w:sz w:val="20"/>
          <w:szCs w:val="20"/>
        </w:rPr>
        <w:t xml:space="preserve"> </w:t>
      </w:r>
      <w:r w:rsidRPr="000977F7">
        <w:rPr>
          <w:color w:val="auto"/>
          <w:sz w:val="20"/>
          <w:szCs w:val="20"/>
        </w:rPr>
        <w:t>–</w:t>
      </w:r>
    </w:p>
    <w:p w14:paraId="45363D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COLLECTIVE</w:t>
      </w:r>
      <w:r w:rsidRPr="000977F7">
        <w:rPr>
          <w:rFonts w:asciiTheme="majorHAnsi" w:hAnsiTheme="majorHAnsi"/>
          <w:spacing w:val="-3"/>
          <w:sz w:val="20"/>
          <w:szCs w:val="20"/>
        </w:rPr>
        <w:t xml:space="preserve"> </w:t>
      </w:r>
      <w:r w:rsidRPr="000977F7">
        <w:rPr>
          <w:rFonts w:asciiTheme="majorHAnsi" w:hAnsiTheme="majorHAnsi"/>
          <w:sz w:val="20"/>
          <w:szCs w:val="20"/>
        </w:rPr>
        <w:t>RISK</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CE7D8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w:t>
      </w:r>
      <w:r w:rsidRPr="000977F7">
        <w:rPr>
          <w:rFonts w:asciiTheme="majorHAnsi" w:hAnsiTheme="majorHAnsi"/>
          <w:spacing w:val="-4"/>
          <w:sz w:val="20"/>
          <w:szCs w:val="20"/>
        </w:rPr>
        <w:t xml:space="preserve"> </w:t>
      </w:r>
      <w:r w:rsidRPr="000977F7">
        <w:rPr>
          <w:rFonts w:asciiTheme="majorHAnsi" w:hAnsiTheme="majorHAnsi"/>
          <w:sz w:val="20"/>
          <w:szCs w:val="20"/>
        </w:rPr>
        <w:t>ризику</w:t>
      </w:r>
      <w:r w:rsidRPr="000977F7">
        <w:rPr>
          <w:rFonts w:asciiTheme="majorHAnsi" w:hAnsiTheme="majorHAnsi"/>
          <w:spacing w:val="-4"/>
          <w:sz w:val="20"/>
          <w:szCs w:val="20"/>
        </w:rPr>
        <w:t xml:space="preserve"> </w:t>
      </w:r>
      <w:r w:rsidRPr="000977F7">
        <w:rPr>
          <w:rFonts w:asciiTheme="majorHAnsi" w:hAnsiTheme="majorHAnsi"/>
          <w:sz w:val="20"/>
          <w:szCs w:val="20"/>
        </w:rPr>
        <w:t>для</w:t>
      </w:r>
      <w:r w:rsidRPr="000977F7">
        <w:rPr>
          <w:rFonts w:asciiTheme="majorHAnsi" w:hAnsiTheme="majorHAnsi"/>
          <w:spacing w:val="-4"/>
          <w:sz w:val="20"/>
          <w:szCs w:val="20"/>
        </w:rPr>
        <w:t xml:space="preserve"> </w:t>
      </w:r>
      <w:r w:rsidRPr="000977F7">
        <w:rPr>
          <w:rFonts w:asciiTheme="majorHAnsi" w:hAnsiTheme="majorHAnsi"/>
          <w:sz w:val="20"/>
          <w:szCs w:val="20"/>
        </w:rPr>
        <w:t>двох</w:t>
      </w:r>
      <w:r w:rsidRPr="000977F7">
        <w:rPr>
          <w:rFonts w:asciiTheme="majorHAnsi" w:hAnsiTheme="majorHAnsi"/>
          <w:spacing w:val="-4"/>
          <w:sz w:val="20"/>
          <w:szCs w:val="20"/>
        </w:rPr>
        <w:t xml:space="preserve"> </w:t>
      </w:r>
      <w:r w:rsidRPr="000977F7">
        <w:rPr>
          <w:rFonts w:asciiTheme="majorHAnsi" w:hAnsiTheme="majorHAnsi"/>
          <w:sz w:val="20"/>
          <w:szCs w:val="20"/>
        </w:rPr>
        <w:t>і</w:t>
      </w:r>
      <w:r w:rsidRPr="000977F7">
        <w:rPr>
          <w:rFonts w:asciiTheme="majorHAnsi" w:hAnsiTheme="majorHAnsi"/>
          <w:spacing w:val="-4"/>
          <w:sz w:val="20"/>
          <w:szCs w:val="20"/>
        </w:rPr>
        <w:t xml:space="preserve"> </w:t>
      </w:r>
      <w:r w:rsidRPr="000977F7">
        <w:rPr>
          <w:rFonts w:asciiTheme="majorHAnsi" w:hAnsiTheme="majorHAnsi"/>
          <w:sz w:val="20"/>
          <w:szCs w:val="20"/>
        </w:rPr>
        <w:t>більше</w:t>
      </w:r>
      <w:r w:rsidRPr="000977F7">
        <w:rPr>
          <w:rFonts w:asciiTheme="majorHAnsi" w:hAnsiTheme="majorHAnsi"/>
          <w:spacing w:val="-3"/>
          <w:sz w:val="20"/>
          <w:szCs w:val="20"/>
        </w:rPr>
        <w:t xml:space="preserve"> </w:t>
      </w:r>
      <w:r w:rsidRPr="000977F7">
        <w:rPr>
          <w:rFonts w:asciiTheme="majorHAnsi" w:hAnsiTheme="majorHAnsi"/>
          <w:sz w:val="20"/>
          <w:szCs w:val="20"/>
        </w:rPr>
        <w:t>індивідуумів</w:t>
      </w:r>
    </w:p>
    <w:p w14:paraId="755B471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2156 - 93</w:t>
      </w:r>
    </w:p>
    <w:p w14:paraId="49C467F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РИЗИК</w:t>
      </w:r>
      <w:r w:rsidRPr="000977F7">
        <w:rPr>
          <w:color w:val="auto"/>
          <w:spacing w:val="-6"/>
          <w:sz w:val="20"/>
          <w:szCs w:val="20"/>
        </w:rPr>
        <w:t xml:space="preserve"> </w:t>
      </w:r>
      <w:r w:rsidRPr="000977F7">
        <w:rPr>
          <w:color w:val="auto"/>
          <w:sz w:val="20"/>
          <w:szCs w:val="20"/>
        </w:rPr>
        <w:t>НАДМІРНОГО</w:t>
      </w:r>
      <w:r w:rsidRPr="000977F7">
        <w:rPr>
          <w:color w:val="auto"/>
          <w:spacing w:val="-5"/>
          <w:sz w:val="20"/>
          <w:szCs w:val="20"/>
        </w:rPr>
        <w:t xml:space="preserve"> </w:t>
      </w:r>
      <w:r w:rsidRPr="000977F7">
        <w:rPr>
          <w:color w:val="auto"/>
          <w:sz w:val="20"/>
          <w:szCs w:val="20"/>
        </w:rPr>
        <w:t>НАЛАГОДЖЕННЯ–</w:t>
      </w:r>
    </w:p>
    <w:p w14:paraId="0ED685A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RISC</w:t>
      </w:r>
      <w:r w:rsidRPr="000977F7">
        <w:rPr>
          <w:rFonts w:asciiTheme="majorHAnsi" w:hAnsiTheme="majorHAnsi"/>
          <w:spacing w:val="-3"/>
          <w:sz w:val="20"/>
          <w:szCs w:val="20"/>
        </w:rPr>
        <w:t xml:space="preserve"> </w:t>
      </w:r>
      <w:r w:rsidRPr="000977F7">
        <w:rPr>
          <w:rFonts w:asciiTheme="majorHAnsi" w:hAnsiTheme="majorHAnsi"/>
          <w:sz w:val="20"/>
          <w:szCs w:val="20"/>
        </w:rPr>
        <w:t>OF</w:t>
      </w:r>
      <w:r w:rsidRPr="000977F7">
        <w:rPr>
          <w:rFonts w:asciiTheme="majorHAnsi" w:hAnsiTheme="majorHAnsi"/>
          <w:spacing w:val="-3"/>
          <w:sz w:val="20"/>
          <w:szCs w:val="20"/>
        </w:rPr>
        <w:t xml:space="preserve"> </w:t>
      </w:r>
      <w:r w:rsidRPr="000977F7">
        <w:rPr>
          <w:rFonts w:asciiTheme="majorHAnsi" w:hAnsiTheme="majorHAnsi"/>
          <w:sz w:val="20"/>
          <w:szCs w:val="20"/>
        </w:rPr>
        <w:t>SUPERFLUOUS</w:t>
      </w:r>
      <w:r w:rsidRPr="000977F7">
        <w:rPr>
          <w:rFonts w:asciiTheme="majorHAnsi" w:hAnsiTheme="majorHAnsi"/>
          <w:spacing w:val="1"/>
          <w:sz w:val="20"/>
          <w:szCs w:val="20"/>
        </w:rPr>
        <w:t xml:space="preserve"> </w:t>
      </w:r>
      <w:r w:rsidRPr="000977F7">
        <w:rPr>
          <w:rFonts w:asciiTheme="majorHAnsi" w:hAnsiTheme="majorHAnsi"/>
          <w:sz w:val="20"/>
          <w:szCs w:val="20"/>
        </w:rPr>
        <w:t>ADJUSTMENT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6D2B76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Імовірність того, що за статистичною оцінкою параметрів технологічного процесу буде прийняте рішення виконати чергове його налагодження, коли в цьому</w:t>
      </w:r>
      <w:r w:rsidRPr="000977F7">
        <w:rPr>
          <w:rFonts w:asciiTheme="majorHAnsi" w:hAnsiTheme="majorHAnsi"/>
          <w:spacing w:val="-47"/>
          <w:sz w:val="20"/>
          <w:szCs w:val="20"/>
        </w:rPr>
        <w:t xml:space="preserve"> </w:t>
      </w:r>
      <w:r w:rsidRPr="000977F7">
        <w:rPr>
          <w:rFonts w:asciiTheme="majorHAnsi" w:hAnsiTheme="majorHAnsi"/>
          <w:sz w:val="20"/>
          <w:szCs w:val="20"/>
        </w:rPr>
        <w:t>немає потреби</w:t>
      </w:r>
    </w:p>
    <w:p w14:paraId="6CD2D2CA"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3514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97</w:t>
      </w:r>
    </w:p>
    <w:p w14:paraId="6EED908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РИЗИК</w:t>
      </w:r>
      <w:r w:rsidRPr="000977F7">
        <w:rPr>
          <w:color w:val="auto"/>
          <w:spacing w:val="-5"/>
          <w:sz w:val="20"/>
          <w:szCs w:val="20"/>
        </w:rPr>
        <w:t xml:space="preserve"> </w:t>
      </w:r>
      <w:r w:rsidRPr="000977F7">
        <w:rPr>
          <w:color w:val="auto"/>
          <w:sz w:val="20"/>
          <w:szCs w:val="20"/>
        </w:rPr>
        <w:t>НЕПОМІЧЕНОГО</w:t>
      </w:r>
      <w:r w:rsidRPr="000977F7">
        <w:rPr>
          <w:color w:val="auto"/>
          <w:spacing w:val="-3"/>
          <w:sz w:val="20"/>
          <w:szCs w:val="20"/>
        </w:rPr>
        <w:t xml:space="preserve"> </w:t>
      </w:r>
      <w:r w:rsidRPr="000977F7">
        <w:rPr>
          <w:color w:val="auto"/>
          <w:sz w:val="20"/>
          <w:szCs w:val="20"/>
        </w:rPr>
        <w:t>РОЗЛАДУ</w:t>
      </w:r>
      <w:r w:rsidRPr="000977F7">
        <w:rPr>
          <w:color w:val="auto"/>
          <w:spacing w:val="-1"/>
          <w:sz w:val="20"/>
          <w:szCs w:val="20"/>
        </w:rPr>
        <w:t xml:space="preserve"> </w:t>
      </w:r>
      <w:r w:rsidRPr="000977F7">
        <w:rPr>
          <w:color w:val="auto"/>
          <w:sz w:val="20"/>
          <w:szCs w:val="20"/>
        </w:rPr>
        <w:t>–</w:t>
      </w:r>
    </w:p>
    <w:p w14:paraId="2ACF9D7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RISK</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UNNOTICED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DISADJUSTMENT</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79D968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Імовірність того, що за статистичною оцінкою параметрів технологічного процесу буде прийняте рішення не виконувати чергового його налагодження, коли</w:t>
      </w:r>
      <w:r w:rsidRPr="000977F7">
        <w:rPr>
          <w:rFonts w:asciiTheme="majorHAnsi" w:hAnsiTheme="majorHAnsi"/>
          <w:spacing w:val="1"/>
          <w:sz w:val="20"/>
          <w:szCs w:val="20"/>
        </w:rPr>
        <w:t xml:space="preserve"> </w:t>
      </w:r>
      <w:r w:rsidRPr="000977F7">
        <w:rPr>
          <w:rFonts w:asciiTheme="majorHAnsi" w:hAnsiTheme="majorHAnsi"/>
          <w:sz w:val="20"/>
          <w:szCs w:val="20"/>
        </w:rPr>
        <w:t>воно необхідне</w:t>
      </w:r>
    </w:p>
    <w:p w14:paraId="24832C0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573D3BFF" w14:textId="77777777" w:rsidR="0097612F" w:rsidRPr="000977F7" w:rsidRDefault="0097612F" w:rsidP="000977F7">
      <w:pPr>
        <w:pStyle w:val="7"/>
        <w:tabs>
          <w:tab w:val="left" w:pos="284"/>
        </w:tabs>
        <w:spacing w:before="0" w:line="240" w:lineRule="auto"/>
        <w:ind w:left="170"/>
        <w:mirrorIndents/>
        <w:jc w:val="both"/>
        <w:rPr>
          <w:caps/>
          <w:color w:val="auto"/>
          <w:sz w:val="20"/>
          <w:szCs w:val="20"/>
        </w:rPr>
      </w:pPr>
      <w:r w:rsidRPr="000977F7">
        <w:rPr>
          <w:caps/>
          <w:color w:val="auto"/>
          <w:sz w:val="20"/>
          <w:szCs w:val="20"/>
        </w:rPr>
        <w:t>Ризик-орієнтоване мислення -</w:t>
      </w:r>
    </w:p>
    <w:p w14:paraId="6333809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Ризик-орієнтоване мислення (див. A.4) суттєво важливе для досягання результативної системи управління якістю. Поняття «ризик-орієнтоване </w:t>
      </w:r>
      <w:r w:rsidRPr="000977F7">
        <w:rPr>
          <w:rFonts w:asciiTheme="majorHAnsi" w:hAnsiTheme="majorHAnsi"/>
          <w:sz w:val="20"/>
          <w:szCs w:val="20"/>
        </w:rPr>
        <w:lastRenderedPageBreak/>
        <w:t>мислення» було нечітко наявним у попередніх виданнях цього стандарту, охоплюючи, наприклад, виконання запобіжних дій для усунення потенційних невідповідностей, аналізування будь-яких невідповідностей, що виникають, і вжиття заходів для запобігання їх повторному виникненню, які є відповідними до наслідків невідповідності.</w:t>
      </w:r>
    </w:p>
    <w:p w14:paraId="49D95B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Щоб забезпечити відповідність вимогам цього стандарту, організація має планувати та виконувати дії щодо розглядання ризиків і можливостей. Розглядання як ризиків, так і можливостей становить основу для підвищення результативності системи управління якістю, досягання поліпшених результатів і запобігання негативним впливам.</w:t>
      </w:r>
    </w:p>
    <w:p w14:paraId="3286EA0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sz w:val="20"/>
          <w:szCs w:val="20"/>
        </w:rPr>
        <w:t>Можливості можуть утворюватися як наслідок ситуації, сприятливої для досягання запланованого результату, наприклад, сукупність обставин, які дають змогу організації приваблювати замовників, розробляти нову продукцію та послуги, зменшувати відходи чи поліпшувати продуктивність. Дії стосовно можливостей можуть також охоплювати розглядання пов’язаних ризиків. Ризик - це вплив невизначеності, а будь-яка невизначеність може мати позитивний чи негативний впливи. Позитивний відхил, зумовлений ризиком, може забезпечувати певну можливість, але не всі позитивні впливи ризику ведуть до можливостей</w:t>
      </w:r>
    </w:p>
    <w:p w14:paraId="7CCCBC0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555615D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РИЗИК</w:t>
      </w:r>
      <w:r w:rsidRPr="000977F7">
        <w:rPr>
          <w:color w:val="auto"/>
          <w:spacing w:val="-5"/>
          <w:sz w:val="20"/>
          <w:szCs w:val="20"/>
        </w:rPr>
        <w:t xml:space="preserve"> </w:t>
      </w:r>
      <w:r w:rsidRPr="000977F7">
        <w:rPr>
          <w:color w:val="auto"/>
          <w:sz w:val="20"/>
          <w:szCs w:val="20"/>
        </w:rPr>
        <w:t>ПОСТАЧАЛЬНИКА</w:t>
      </w:r>
      <w:r w:rsidRPr="000977F7">
        <w:rPr>
          <w:color w:val="auto"/>
          <w:spacing w:val="-2"/>
          <w:sz w:val="20"/>
          <w:szCs w:val="20"/>
        </w:rPr>
        <w:t xml:space="preserve"> </w:t>
      </w:r>
      <w:r w:rsidRPr="000977F7">
        <w:rPr>
          <w:color w:val="auto"/>
          <w:sz w:val="20"/>
          <w:szCs w:val="20"/>
        </w:rPr>
        <w:t>–</w:t>
      </w:r>
    </w:p>
    <w:p w14:paraId="62907C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PRODUCER’S</w:t>
      </w:r>
      <w:r w:rsidRPr="000977F7">
        <w:rPr>
          <w:rFonts w:asciiTheme="majorHAnsi" w:hAnsiTheme="majorHAnsi"/>
          <w:spacing w:val="-5"/>
          <w:sz w:val="20"/>
          <w:szCs w:val="20"/>
        </w:rPr>
        <w:t xml:space="preserve"> </w:t>
      </w:r>
      <w:r w:rsidRPr="000977F7">
        <w:rPr>
          <w:rFonts w:asciiTheme="majorHAnsi" w:hAnsiTheme="majorHAnsi"/>
          <w:sz w:val="20"/>
          <w:szCs w:val="20"/>
        </w:rPr>
        <w:t>RISK</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5C0C9D3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Імовірність</w:t>
      </w:r>
      <w:r w:rsidRPr="000977F7">
        <w:rPr>
          <w:rFonts w:asciiTheme="majorHAnsi" w:hAnsiTheme="majorHAnsi"/>
          <w:spacing w:val="1"/>
          <w:sz w:val="20"/>
          <w:szCs w:val="20"/>
        </w:rPr>
        <w:t xml:space="preserve"> </w:t>
      </w:r>
      <w:r w:rsidRPr="000977F7">
        <w:rPr>
          <w:rFonts w:asciiTheme="majorHAnsi" w:hAnsiTheme="majorHAnsi"/>
          <w:sz w:val="20"/>
          <w:szCs w:val="20"/>
        </w:rPr>
        <w:t>забракування</w:t>
      </w:r>
      <w:r w:rsidRPr="000977F7">
        <w:rPr>
          <w:rFonts w:asciiTheme="majorHAnsi" w:hAnsiTheme="majorHAnsi"/>
          <w:spacing w:val="1"/>
          <w:sz w:val="20"/>
          <w:szCs w:val="20"/>
        </w:rPr>
        <w:t xml:space="preserve"> </w:t>
      </w:r>
      <w:r w:rsidRPr="000977F7">
        <w:rPr>
          <w:rFonts w:asciiTheme="majorHAnsi" w:hAnsiTheme="majorHAnsi"/>
          <w:sz w:val="20"/>
          <w:szCs w:val="20"/>
        </w:rPr>
        <w:t>партії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має</w:t>
      </w:r>
      <w:r w:rsidRPr="000977F7">
        <w:rPr>
          <w:rFonts w:asciiTheme="majorHAnsi" w:hAnsiTheme="majorHAnsi"/>
          <w:spacing w:val="1"/>
          <w:sz w:val="20"/>
          <w:szCs w:val="20"/>
        </w:rPr>
        <w:t xml:space="preserve"> </w:t>
      </w:r>
      <w:r w:rsidRPr="000977F7">
        <w:rPr>
          <w:rFonts w:asciiTheme="majorHAnsi" w:hAnsiTheme="majorHAnsi"/>
          <w:sz w:val="20"/>
          <w:szCs w:val="20"/>
        </w:rPr>
        <w:t>приймальний</w:t>
      </w:r>
      <w:r w:rsidRPr="000977F7">
        <w:rPr>
          <w:rFonts w:asciiTheme="majorHAnsi" w:hAnsiTheme="majorHAnsi"/>
          <w:spacing w:val="-2"/>
          <w:sz w:val="20"/>
          <w:szCs w:val="20"/>
        </w:rPr>
        <w:t xml:space="preserve"> </w:t>
      </w:r>
      <w:r w:rsidRPr="000977F7">
        <w:rPr>
          <w:rFonts w:asciiTheme="majorHAnsi" w:hAnsiTheme="majorHAnsi"/>
          <w:sz w:val="20"/>
          <w:szCs w:val="20"/>
        </w:rPr>
        <w:t>рівень дефектності</w:t>
      </w:r>
    </w:p>
    <w:p w14:paraId="6AF83E0A"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3514 -</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97</w:t>
      </w:r>
    </w:p>
    <w:p w14:paraId="5070F78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РИЗИК</w:t>
      </w:r>
      <w:r w:rsidRPr="000977F7">
        <w:rPr>
          <w:color w:val="auto"/>
          <w:spacing w:val="-5"/>
          <w:sz w:val="20"/>
          <w:szCs w:val="20"/>
        </w:rPr>
        <w:t xml:space="preserve"> </w:t>
      </w:r>
      <w:r w:rsidRPr="000977F7">
        <w:rPr>
          <w:color w:val="auto"/>
          <w:sz w:val="20"/>
          <w:szCs w:val="20"/>
        </w:rPr>
        <w:t>ПРОМИСЛОВОГО</w:t>
      </w:r>
      <w:r w:rsidRPr="000977F7">
        <w:rPr>
          <w:color w:val="auto"/>
          <w:spacing w:val="-2"/>
          <w:sz w:val="20"/>
          <w:szCs w:val="20"/>
        </w:rPr>
        <w:t xml:space="preserve"> </w:t>
      </w:r>
      <w:r w:rsidRPr="000977F7">
        <w:rPr>
          <w:color w:val="auto"/>
          <w:sz w:val="20"/>
          <w:szCs w:val="20"/>
        </w:rPr>
        <w:t>ПІДПРИЄМСТВА</w:t>
      </w:r>
      <w:r w:rsidRPr="000977F7">
        <w:rPr>
          <w:color w:val="auto"/>
          <w:spacing w:val="-2"/>
          <w:sz w:val="20"/>
          <w:szCs w:val="20"/>
        </w:rPr>
        <w:t xml:space="preserve"> </w:t>
      </w:r>
      <w:r w:rsidRPr="000977F7">
        <w:rPr>
          <w:color w:val="auto"/>
          <w:sz w:val="20"/>
          <w:szCs w:val="20"/>
        </w:rPr>
        <w:t>–</w:t>
      </w:r>
    </w:p>
    <w:p w14:paraId="18D4AD1E"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4D2D14">
        <w:rPr>
          <w:rFonts w:asciiTheme="majorHAnsi" w:hAnsiTheme="majorHAnsi"/>
          <w:sz w:val="20"/>
          <w:szCs w:val="20"/>
          <w:lang w:val="en-US"/>
        </w:rPr>
        <w:t>INDUSTRIAL</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ENTERPRISE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RISK</w:t>
      </w:r>
      <w:r w:rsidRPr="004D2D14">
        <w:rPr>
          <w:rFonts w:asciiTheme="majorHAnsi" w:hAnsiTheme="majorHAnsi"/>
          <w:spacing w:val="-2"/>
          <w:sz w:val="20"/>
          <w:szCs w:val="20"/>
          <w:lang w:val="en-US"/>
        </w:rPr>
        <w:t xml:space="preserve"> </w:t>
      </w:r>
      <w:r w:rsidRPr="004D2D14">
        <w:rPr>
          <w:rFonts w:asciiTheme="majorHAnsi" w:hAnsiTheme="majorHAnsi"/>
          <w:b/>
          <w:sz w:val="20"/>
          <w:szCs w:val="20"/>
          <w:lang w:val="en-US"/>
        </w:rPr>
        <w:t>–</w:t>
      </w:r>
    </w:p>
    <w:p w14:paraId="32021EC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Імовірність</w:t>
      </w:r>
      <w:r w:rsidRPr="004D2D14">
        <w:rPr>
          <w:rFonts w:asciiTheme="majorHAnsi" w:hAnsiTheme="majorHAnsi"/>
          <w:sz w:val="20"/>
          <w:szCs w:val="20"/>
          <w:lang w:val="en-US"/>
        </w:rPr>
        <w:t xml:space="preserve"> </w:t>
      </w:r>
      <w:r w:rsidRPr="000977F7">
        <w:rPr>
          <w:rFonts w:asciiTheme="majorHAnsi" w:hAnsiTheme="majorHAnsi"/>
          <w:sz w:val="20"/>
          <w:szCs w:val="20"/>
        </w:rPr>
        <w:t>реалізації</w:t>
      </w:r>
      <w:r w:rsidRPr="004D2D14">
        <w:rPr>
          <w:rFonts w:asciiTheme="majorHAnsi" w:hAnsiTheme="majorHAnsi"/>
          <w:sz w:val="20"/>
          <w:szCs w:val="20"/>
          <w:lang w:val="en-US"/>
        </w:rPr>
        <w:t xml:space="preserve"> </w:t>
      </w:r>
      <w:r w:rsidRPr="000977F7">
        <w:rPr>
          <w:rFonts w:asciiTheme="majorHAnsi" w:hAnsiTheme="majorHAnsi"/>
          <w:sz w:val="20"/>
          <w:szCs w:val="20"/>
        </w:rPr>
        <w:t>потенційної</w:t>
      </w:r>
      <w:r w:rsidRPr="004D2D14">
        <w:rPr>
          <w:rFonts w:asciiTheme="majorHAnsi" w:hAnsiTheme="majorHAnsi"/>
          <w:sz w:val="20"/>
          <w:szCs w:val="20"/>
          <w:lang w:val="en-US"/>
        </w:rPr>
        <w:t xml:space="preserve"> </w:t>
      </w:r>
      <w:r w:rsidRPr="000977F7">
        <w:rPr>
          <w:rFonts w:asciiTheme="majorHAnsi" w:hAnsiTheme="majorHAnsi"/>
          <w:sz w:val="20"/>
          <w:szCs w:val="20"/>
        </w:rPr>
        <w:t>небезпеки</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ініціюється</w:t>
      </w:r>
      <w:r w:rsidRPr="004D2D14">
        <w:rPr>
          <w:rFonts w:asciiTheme="majorHAnsi" w:hAnsiTheme="majorHAnsi"/>
          <w:sz w:val="20"/>
          <w:szCs w:val="20"/>
          <w:lang w:val="en-US"/>
        </w:rPr>
        <w:t xml:space="preserve"> </w:t>
      </w:r>
      <w:r w:rsidRPr="000977F7">
        <w:rPr>
          <w:rFonts w:asciiTheme="majorHAnsi" w:hAnsiTheme="majorHAnsi"/>
          <w:sz w:val="20"/>
          <w:szCs w:val="20"/>
        </w:rPr>
        <w:t>промисловим</w:t>
      </w:r>
      <w:r w:rsidRPr="004D2D14">
        <w:rPr>
          <w:rFonts w:asciiTheme="majorHAnsi" w:hAnsiTheme="majorHAnsi"/>
          <w:sz w:val="20"/>
          <w:szCs w:val="20"/>
          <w:lang w:val="en-US"/>
        </w:rPr>
        <w:t xml:space="preserve"> </w:t>
      </w:r>
      <w:r w:rsidRPr="000977F7">
        <w:rPr>
          <w:rFonts w:asciiTheme="majorHAnsi" w:hAnsiTheme="majorHAnsi"/>
          <w:sz w:val="20"/>
          <w:szCs w:val="20"/>
        </w:rPr>
        <w:t>підприємством</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негативних</w:t>
      </w:r>
      <w:r w:rsidRPr="004D2D14">
        <w:rPr>
          <w:rFonts w:asciiTheme="majorHAnsi" w:hAnsiTheme="majorHAnsi"/>
          <w:sz w:val="20"/>
          <w:szCs w:val="20"/>
          <w:lang w:val="en-US"/>
        </w:rPr>
        <w:t xml:space="preserve"> </w:t>
      </w:r>
      <w:r w:rsidRPr="000977F7">
        <w:rPr>
          <w:rFonts w:asciiTheme="majorHAnsi" w:hAnsiTheme="majorHAnsi"/>
          <w:sz w:val="20"/>
          <w:szCs w:val="20"/>
        </w:rPr>
        <w:t>наслідків</w:t>
      </w:r>
      <w:r w:rsidRPr="004D2D14">
        <w:rPr>
          <w:rFonts w:asciiTheme="majorHAnsi" w:hAnsiTheme="majorHAnsi"/>
          <w:spacing w:val="-1"/>
          <w:sz w:val="20"/>
          <w:szCs w:val="20"/>
          <w:lang w:val="en-US"/>
        </w:rPr>
        <w:t xml:space="preserve"> </w:t>
      </w:r>
      <w:r w:rsidRPr="000977F7">
        <w:rPr>
          <w:rFonts w:asciiTheme="majorHAnsi" w:hAnsiTheme="majorHAnsi"/>
          <w:sz w:val="20"/>
          <w:szCs w:val="20"/>
        </w:rPr>
        <w:t>цієї</w:t>
      </w:r>
      <w:r w:rsidRPr="004D2D14">
        <w:rPr>
          <w:rFonts w:asciiTheme="majorHAnsi" w:hAnsiTheme="majorHAnsi"/>
          <w:spacing w:val="-2"/>
          <w:sz w:val="20"/>
          <w:szCs w:val="20"/>
          <w:lang w:val="en-US"/>
        </w:rPr>
        <w:t xml:space="preserve"> </w:t>
      </w:r>
      <w:r w:rsidRPr="000977F7">
        <w:rPr>
          <w:rFonts w:asciiTheme="majorHAnsi" w:hAnsiTheme="majorHAnsi"/>
          <w:sz w:val="20"/>
          <w:szCs w:val="20"/>
        </w:rPr>
        <w:t>реалізації</w:t>
      </w:r>
    </w:p>
    <w:p w14:paraId="1663B20E"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2156 - 93</w:t>
      </w:r>
    </w:p>
    <w:p w14:paraId="09B27CE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РИЗИК</w:t>
      </w:r>
      <w:r w:rsidRPr="000977F7">
        <w:rPr>
          <w:color w:val="auto"/>
          <w:spacing w:val="-5"/>
          <w:sz w:val="20"/>
          <w:szCs w:val="20"/>
        </w:rPr>
        <w:t xml:space="preserve"> </w:t>
      </w:r>
      <w:r w:rsidRPr="000977F7">
        <w:rPr>
          <w:color w:val="auto"/>
          <w:sz w:val="20"/>
          <w:szCs w:val="20"/>
        </w:rPr>
        <w:t>СПОЖИВАЧА</w:t>
      </w:r>
      <w:r w:rsidRPr="000977F7">
        <w:rPr>
          <w:color w:val="auto"/>
          <w:spacing w:val="-1"/>
          <w:sz w:val="20"/>
          <w:szCs w:val="20"/>
        </w:rPr>
        <w:t xml:space="preserve"> </w:t>
      </w:r>
      <w:r w:rsidRPr="000977F7">
        <w:rPr>
          <w:color w:val="auto"/>
          <w:sz w:val="20"/>
          <w:szCs w:val="20"/>
        </w:rPr>
        <w:t>–</w:t>
      </w:r>
    </w:p>
    <w:p w14:paraId="1F6F98F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CONSUMER’S</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RISK</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174D1CA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Імовірність</w:t>
      </w:r>
      <w:r w:rsidRPr="004D2D14">
        <w:rPr>
          <w:rFonts w:asciiTheme="majorHAnsi" w:hAnsiTheme="majorHAnsi"/>
          <w:sz w:val="20"/>
          <w:szCs w:val="20"/>
          <w:lang w:val="en-US"/>
        </w:rPr>
        <w:t xml:space="preserve"> </w:t>
      </w:r>
      <w:r w:rsidRPr="000977F7">
        <w:rPr>
          <w:rFonts w:asciiTheme="majorHAnsi" w:hAnsiTheme="majorHAnsi"/>
          <w:sz w:val="20"/>
          <w:szCs w:val="20"/>
        </w:rPr>
        <w:t>приймання</w:t>
      </w:r>
      <w:r w:rsidRPr="004D2D14">
        <w:rPr>
          <w:rFonts w:asciiTheme="majorHAnsi" w:hAnsiTheme="majorHAnsi"/>
          <w:sz w:val="20"/>
          <w:szCs w:val="20"/>
          <w:lang w:val="en-US"/>
        </w:rPr>
        <w:t xml:space="preserve"> </w:t>
      </w:r>
      <w:r w:rsidRPr="000977F7">
        <w:rPr>
          <w:rFonts w:asciiTheme="majorHAnsi" w:hAnsiTheme="majorHAnsi"/>
          <w:sz w:val="20"/>
          <w:szCs w:val="20"/>
        </w:rPr>
        <w:t>партії</w:t>
      </w:r>
      <w:r w:rsidRPr="004D2D14">
        <w:rPr>
          <w:rFonts w:asciiTheme="majorHAnsi" w:hAnsiTheme="majorHAnsi"/>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 xml:space="preserve">, </w:t>
      </w:r>
      <w:r w:rsidRPr="000977F7">
        <w:rPr>
          <w:rFonts w:asciiTheme="majorHAnsi" w:hAnsiTheme="majorHAnsi"/>
          <w:sz w:val="20"/>
          <w:szCs w:val="20"/>
        </w:rPr>
        <w:t>яка</w:t>
      </w:r>
      <w:r w:rsidRPr="004D2D14">
        <w:rPr>
          <w:rFonts w:asciiTheme="majorHAnsi" w:hAnsiTheme="majorHAnsi"/>
          <w:sz w:val="20"/>
          <w:szCs w:val="20"/>
          <w:lang w:val="en-US"/>
        </w:rPr>
        <w:t xml:space="preserve"> </w:t>
      </w:r>
      <w:r w:rsidRPr="000977F7">
        <w:rPr>
          <w:rFonts w:asciiTheme="majorHAnsi" w:hAnsiTheme="majorHAnsi"/>
          <w:sz w:val="20"/>
          <w:szCs w:val="20"/>
        </w:rPr>
        <w:t>має</w:t>
      </w:r>
      <w:r w:rsidRPr="004D2D14">
        <w:rPr>
          <w:rFonts w:asciiTheme="majorHAnsi" w:hAnsiTheme="majorHAnsi"/>
          <w:sz w:val="20"/>
          <w:szCs w:val="20"/>
          <w:lang w:val="en-US"/>
        </w:rPr>
        <w:t xml:space="preserve"> </w:t>
      </w:r>
      <w:r w:rsidRPr="000977F7">
        <w:rPr>
          <w:rFonts w:asciiTheme="majorHAnsi" w:hAnsiTheme="majorHAnsi"/>
          <w:sz w:val="20"/>
          <w:szCs w:val="20"/>
        </w:rPr>
        <w:t>бракувальний</w:t>
      </w:r>
      <w:r w:rsidRPr="004D2D14">
        <w:rPr>
          <w:rFonts w:asciiTheme="majorHAnsi" w:hAnsiTheme="majorHAnsi"/>
          <w:spacing w:val="-2"/>
          <w:sz w:val="20"/>
          <w:szCs w:val="20"/>
          <w:lang w:val="en-US"/>
        </w:rPr>
        <w:t xml:space="preserve"> </w:t>
      </w:r>
      <w:r w:rsidRPr="000977F7">
        <w:rPr>
          <w:rFonts w:asciiTheme="majorHAnsi" w:hAnsiTheme="majorHAnsi"/>
          <w:sz w:val="20"/>
          <w:szCs w:val="20"/>
        </w:rPr>
        <w:t>рівень</w:t>
      </w:r>
      <w:r w:rsidRPr="004D2D14">
        <w:rPr>
          <w:rFonts w:asciiTheme="majorHAnsi" w:hAnsiTheme="majorHAnsi"/>
          <w:sz w:val="20"/>
          <w:szCs w:val="20"/>
          <w:lang w:val="en-US"/>
        </w:rPr>
        <w:t xml:space="preserve"> </w:t>
      </w:r>
      <w:r w:rsidRPr="000977F7">
        <w:rPr>
          <w:rFonts w:asciiTheme="majorHAnsi" w:hAnsiTheme="majorHAnsi"/>
          <w:sz w:val="20"/>
          <w:szCs w:val="20"/>
        </w:rPr>
        <w:t>дефектності</w:t>
      </w:r>
    </w:p>
    <w:p w14:paraId="0450ADA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26228CA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РИНОК</w:t>
      </w:r>
      <w:r w:rsidRPr="000977F7">
        <w:rPr>
          <w:color w:val="auto"/>
          <w:spacing w:val="-2"/>
          <w:sz w:val="20"/>
          <w:szCs w:val="20"/>
        </w:rPr>
        <w:t xml:space="preserve"> </w:t>
      </w:r>
      <w:r w:rsidRPr="000977F7">
        <w:rPr>
          <w:color w:val="auto"/>
          <w:sz w:val="20"/>
          <w:szCs w:val="20"/>
        </w:rPr>
        <w:t>–</w:t>
      </w:r>
    </w:p>
    <w:p w14:paraId="1679AF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Сфера обміну, яка характеризується системою економічних</w:t>
      </w:r>
      <w:r w:rsidRPr="000977F7">
        <w:rPr>
          <w:rFonts w:asciiTheme="majorHAnsi" w:hAnsiTheme="majorHAnsi"/>
          <w:spacing w:val="1"/>
          <w:sz w:val="20"/>
          <w:szCs w:val="20"/>
        </w:rPr>
        <w:t xml:space="preserve"> </w:t>
      </w:r>
      <w:r w:rsidRPr="000977F7">
        <w:rPr>
          <w:rFonts w:asciiTheme="majorHAnsi" w:hAnsiTheme="majorHAnsi"/>
          <w:sz w:val="20"/>
          <w:szCs w:val="20"/>
        </w:rPr>
        <w:t>відносин</w:t>
      </w:r>
      <w:r w:rsidRPr="000977F7">
        <w:rPr>
          <w:rFonts w:asciiTheme="majorHAnsi" w:hAnsiTheme="majorHAnsi"/>
          <w:spacing w:val="1"/>
          <w:sz w:val="20"/>
          <w:szCs w:val="20"/>
        </w:rPr>
        <w:t xml:space="preserve"> </w:t>
      </w:r>
      <w:r w:rsidRPr="000977F7">
        <w:rPr>
          <w:rFonts w:asciiTheme="majorHAnsi" w:hAnsiTheme="majorHAnsi"/>
          <w:sz w:val="20"/>
          <w:szCs w:val="20"/>
        </w:rPr>
        <w:t>між</w:t>
      </w:r>
      <w:r w:rsidRPr="000977F7">
        <w:rPr>
          <w:rFonts w:asciiTheme="majorHAnsi" w:hAnsiTheme="majorHAnsi"/>
          <w:spacing w:val="1"/>
          <w:sz w:val="20"/>
          <w:szCs w:val="20"/>
        </w:rPr>
        <w:t xml:space="preserve"> </w:t>
      </w:r>
      <w:r w:rsidRPr="000977F7">
        <w:rPr>
          <w:rFonts w:asciiTheme="majorHAnsi" w:hAnsiTheme="majorHAnsi"/>
          <w:sz w:val="20"/>
          <w:szCs w:val="20"/>
        </w:rPr>
        <w:t>виробниками</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споживачами</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процесі</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2"/>
          <w:sz w:val="20"/>
          <w:szCs w:val="20"/>
        </w:rPr>
        <w:t xml:space="preserve"> </w:t>
      </w:r>
      <w:r w:rsidRPr="000977F7">
        <w:rPr>
          <w:rFonts w:asciiTheme="majorHAnsi" w:hAnsiTheme="majorHAnsi"/>
          <w:sz w:val="20"/>
          <w:szCs w:val="20"/>
        </w:rPr>
        <w:t>реалізації</w:t>
      </w:r>
    </w:p>
    <w:p w14:paraId="5549697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 – 95</w:t>
      </w:r>
    </w:p>
    <w:p w14:paraId="7C5EC1A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РИНОК</w:t>
      </w:r>
      <w:r w:rsidRPr="000977F7">
        <w:rPr>
          <w:color w:val="auto"/>
          <w:spacing w:val="-5"/>
          <w:sz w:val="20"/>
          <w:szCs w:val="20"/>
        </w:rPr>
        <w:t xml:space="preserve"> </w:t>
      </w:r>
      <w:r w:rsidRPr="000977F7">
        <w:rPr>
          <w:color w:val="auto"/>
          <w:sz w:val="20"/>
          <w:szCs w:val="20"/>
        </w:rPr>
        <w:t>ЄВРОВАЛЮТ</w:t>
      </w:r>
      <w:r w:rsidRPr="000977F7">
        <w:rPr>
          <w:color w:val="auto"/>
          <w:spacing w:val="-2"/>
          <w:sz w:val="20"/>
          <w:szCs w:val="20"/>
        </w:rPr>
        <w:t xml:space="preserve"> </w:t>
      </w:r>
      <w:r w:rsidRPr="000977F7">
        <w:rPr>
          <w:color w:val="auto"/>
          <w:sz w:val="20"/>
          <w:szCs w:val="20"/>
        </w:rPr>
        <w:t>–</w:t>
      </w:r>
    </w:p>
    <w:p w14:paraId="5A3921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Міжнародний</w:t>
      </w:r>
      <w:r w:rsidRPr="000977F7">
        <w:rPr>
          <w:rFonts w:asciiTheme="majorHAnsi" w:hAnsiTheme="majorHAnsi"/>
          <w:spacing w:val="1"/>
          <w:sz w:val="20"/>
          <w:szCs w:val="20"/>
        </w:rPr>
        <w:t xml:space="preserve"> </w:t>
      </w:r>
      <w:r w:rsidRPr="000977F7">
        <w:rPr>
          <w:rFonts w:asciiTheme="majorHAnsi" w:hAnsiTheme="majorHAnsi"/>
          <w:sz w:val="20"/>
          <w:szCs w:val="20"/>
        </w:rPr>
        <w:t>ринок</w:t>
      </w:r>
      <w:r w:rsidRPr="000977F7">
        <w:rPr>
          <w:rFonts w:asciiTheme="majorHAnsi" w:hAnsiTheme="majorHAnsi"/>
          <w:spacing w:val="1"/>
          <w:sz w:val="20"/>
          <w:szCs w:val="20"/>
        </w:rPr>
        <w:t xml:space="preserve"> </w:t>
      </w:r>
      <w:r w:rsidRPr="000977F7">
        <w:rPr>
          <w:rFonts w:asciiTheme="majorHAnsi" w:hAnsiTheme="majorHAnsi"/>
          <w:sz w:val="20"/>
          <w:szCs w:val="20"/>
        </w:rPr>
        <w:t>валют</w:t>
      </w:r>
      <w:r w:rsidRPr="000977F7">
        <w:rPr>
          <w:rFonts w:asciiTheme="majorHAnsi" w:hAnsiTheme="majorHAnsi"/>
          <w:spacing w:val="1"/>
          <w:sz w:val="20"/>
          <w:szCs w:val="20"/>
        </w:rPr>
        <w:t xml:space="preserve"> </w:t>
      </w:r>
      <w:r w:rsidRPr="000977F7">
        <w:rPr>
          <w:rFonts w:asciiTheme="majorHAnsi" w:hAnsiTheme="majorHAnsi"/>
          <w:sz w:val="20"/>
          <w:szCs w:val="20"/>
        </w:rPr>
        <w:t>європейських</w:t>
      </w:r>
      <w:r w:rsidRPr="000977F7">
        <w:rPr>
          <w:rFonts w:asciiTheme="majorHAnsi" w:hAnsiTheme="majorHAnsi"/>
          <w:spacing w:val="1"/>
          <w:sz w:val="20"/>
          <w:szCs w:val="20"/>
        </w:rPr>
        <w:t xml:space="preserve"> </w:t>
      </w:r>
      <w:r w:rsidRPr="000977F7">
        <w:rPr>
          <w:rFonts w:asciiTheme="majorHAnsi" w:hAnsiTheme="majorHAnsi"/>
          <w:sz w:val="20"/>
          <w:szCs w:val="20"/>
        </w:rPr>
        <w:t>країн,</w:t>
      </w:r>
      <w:r w:rsidRPr="000977F7">
        <w:rPr>
          <w:rFonts w:asciiTheme="majorHAnsi" w:hAnsiTheme="majorHAnsi"/>
          <w:spacing w:val="1"/>
          <w:sz w:val="20"/>
          <w:szCs w:val="20"/>
        </w:rPr>
        <w:t xml:space="preserve"> </w:t>
      </w:r>
      <w:r w:rsidRPr="000977F7">
        <w:rPr>
          <w:rFonts w:asciiTheme="majorHAnsi" w:hAnsiTheme="majorHAnsi"/>
          <w:sz w:val="20"/>
          <w:szCs w:val="20"/>
        </w:rPr>
        <w:t>де</w:t>
      </w:r>
      <w:r w:rsidRPr="000977F7">
        <w:rPr>
          <w:rFonts w:asciiTheme="majorHAnsi" w:hAnsiTheme="majorHAnsi"/>
          <w:spacing w:val="1"/>
          <w:sz w:val="20"/>
          <w:szCs w:val="20"/>
        </w:rPr>
        <w:t xml:space="preserve"> </w:t>
      </w:r>
      <w:r w:rsidRPr="000977F7">
        <w:rPr>
          <w:rFonts w:asciiTheme="majorHAnsi" w:hAnsiTheme="majorHAnsi"/>
          <w:sz w:val="20"/>
          <w:szCs w:val="20"/>
        </w:rPr>
        <w:t>операції</w:t>
      </w:r>
      <w:r w:rsidRPr="000977F7">
        <w:rPr>
          <w:rFonts w:asciiTheme="majorHAnsi" w:hAnsiTheme="majorHAnsi"/>
          <w:spacing w:val="-2"/>
          <w:sz w:val="20"/>
          <w:szCs w:val="20"/>
        </w:rPr>
        <w:t xml:space="preserve"> </w:t>
      </w:r>
      <w:r w:rsidRPr="000977F7">
        <w:rPr>
          <w:rFonts w:asciiTheme="majorHAnsi" w:hAnsiTheme="majorHAnsi"/>
          <w:sz w:val="20"/>
          <w:szCs w:val="20"/>
        </w:rPr>
        <w:t>здійснюються</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5"/>
          <w:sz w:val="20"/>
          <w:szCs w:val="20"/>
        </w:rPr>
        <w:t xml:space="preserve"> </w:t>
      </w:r>
      <w:r w:rsidRPr="000977F7">
        <w:rPr>
          <w:rFonts w:asciiTheme="majorHAnsi" w:hAnsiTheme="majorHAnsi"/>
          <w:sz w:val="20"/>
          <w:szCs w:val="20"/>
        </w:rPr>
        <w:t>валютах</w:t>
      </w:r>
      <w:r w:rsidRPr="000977F7">
        <w:rPr>
          <w:rFonts w:asciiTheme="majorHAnsi" w:hAnsiTheme="majorHAnsi"/>
          <w:spacing w:val="1"/>
          <w:sz w:val="20"/>
          <w:szCs w:val="20"/>
        </w:rPr>
        <w:t xml:space="preserve"> </w:t>
      </w:r>
      <w:r w:rsidRPr="000977F7">
        <w:rPr>
          <w:rFonts w:asciiTheme="majorHAnsi" w:hAnsiTheme="majorHAnsi"/>
          <w:sz w:val="20"/>
          <w:szCs w:val="20"/>
        </w:rPr>
        <w:t>усіх</w:t>
      </w:r>
      <w:r w:rsidRPr="000977F7">
        <w:rPr>
          <w:rFonts w:asciiTheme="majorHAnsi" w:hAnsiTheme="majorHAnsi"/>
          <w:spacing w:val="-2"/>
          <w:sz w:val="20"/>
          <w:szCs w:val="20"/>
        </w:rPr>
        <w:t xml:space="preserve"> </w:t>
      </w:r>
      <w:r w:rsidRPr="000977F7">
        <w:rPr>
          <w:rFonts w:asciiTheme="majorHAnsi" w:hAnsiTheme="majorHAnsi"/>
          <w:sz w:val="20"/>
          <w:szCs w:val="20"/>
        </w:rPr>
        <w:t>країн</w:t>
      </w:r>
    </w:p>
    <w:p w14:paraId="5CD29D6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6ED296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РИНОК</w:t>
      </w:r>
      <w:r w:rsidRPr="000977F7">
        <w:rPr>
          <w:color w:val="auto"/>
          <w:spacing w:val="-5"/>
          <w:sz w:val="20"/>
          <w:szCs w:val="20"/>
        </w:rPr>
        <w:t xml:space="preserve"> </w:t>
      </w:r>
      <w:r w:rsidRPr="000977F7">
        <w:rPr>
          <w:color w:val="auto"/>
          <w:sz w:val="20"/>
          <w:szCs w:val="20"/>
        </w:rPr>
        <w:t>ЄВРОДЕПОЗИТІВ</w:t>
      </w:r>
      <w:r w:rsidRPr="000977F7">
        <w:rPr>
          <w:color w:val="auto"/>
          <w:spacing w:val="1"/>
          <w:sz w:val="20"/>
          <w:szCs w:val="20"/>
        </w:rPr>
        <w:t xml:space="preserve"> </w:t>
      </w:r>
      <w:r w:rsidRPr="000977F7">
        <w:rPr>
          <w:color w:val="auto"/>
          <w:sz w:val="20"/>
          <w:szCs w:val="20"/>
        </w:rPr>
        <w:t>–</w:t>
      </w:r>
    </w:p>
    <w:p w14:paraId="235AE6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Сталі валютно-фінансові відносини за формуванням</w:t>
      </w:r>
      <w:r w:rsidRPr="000977F7">
        <w:rPr>
          <w:rFonts w:asciiTheme="majorHAnsi" w:hAnsiTheme="majorHAnsi"/>
          <w:spacing w:val="1"/>
          <w:sz w:val="20"/>
          <w:szCs w:val="20"/>
        </w:rPr>
        <w:t xml:space="preserve"> </w:t>
      </w:r>
      <w:r w:rsidRPr="000977F7">
        <w:rPr>
          <w:rFonts w:asciiTheme="majorHAnsi" w:hAnsiTheme="majorHAnsi"/>
          <w:sz w:val="20"/>
          <w:szCs w:val="20"/>
        </w:rPr>
        <w:t>вкладів у іноземній валюті в комерційних банках європейських країн за рахунок коштів, що обертаються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ринку</w:t>
      </w:r>
      <w:r w:rsidRPr="000977F7">
        <w:rPr>
          <w:rFonts w:asciiTheme="majorHAnsi" w:hAnsiTheme="majorHAnsi"/>
          <w:spacing w:val="-4"/>
          <w:sz w:val="20"/>
          <w:szCs w:val="20"/>
        </w:rPr>
        <w:t xml:space="preserve"> </w:t>
      </w:r>
      <w:r w:rsidRPr="000977F7">
        <w:rPr>
          <w:rFonts w:asciiTheme="majorHAnsi" w:hAnsiTheme="majorHAnsi"/>
          <w:sz w:val="20"/>
          <w:szCs w:val="20"/>
        </w:rPr>
        <w:t>євровалют</w:t>
      </w:r>
    </w:p>
    <w:p w14:paraId="713B6E4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002A86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РИНОК</w:t>
      </w:r>
      <w:r w:rsidRPr="000977F7">
        <w:rPr>
          <w:color w:val="auto"/>
          <w:spacing w:val="-5"/>
          <w:sz w:val="20"/>
          <w:szCs w:val="20"/>
        </w:rPr>
        <w:t xml:space="preserve"> </w:t>
      </w:r>
      <w:r w:rsidRPr="000977F7">
        <w:rPr>
          <w:color w:val="auto"/>
          <w:sz w:val="20"/>
          <w:szCs w:val="20"/>
        </w:rPr>
        <w:t>ЄВРОКРЕДИТІВ</w:t>
      </w:r>
      <w:r w:rsidRPr="000977F7">
        <w:rPr>
          <w:color w:val="auto"/>
          <w:spacing w:val="-1"/>
          <w:sz w:val="20"/>
          <w:szCs w:val="20"/>
        </w:rPr>
        <w:t xml:space="preserve"> </w:t>
      </w:r>
      <w:r w:rsidRPr="000977F7">
        <w:rPr>
          <w:color w:val="auto"/>
          <w:sz w:val="20"/>
          <w:szCs w:val="20"/>
        </w:rPr>
        <w:t>–</w:t>
      </w:r>
    </w:p>
    <w:p w14:paraId="510284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Сталі кредитні зв’язки з надання міжнародних позик у</w:t>
      </w:r>
      <w:r w:rsidRPr="000977F7">
        <w:rPr>
          <w:rFonts w:asciiTheme="majorHAnsi" w:hAnsiTheme="majorHAnsi"/>
          <w:spacing w:val="-47"/>
          <w:sz w:val="20"/>
          <w:szCs w:val="20"/>
        </w:rPr>
        <w:t xml:space="preserve"> </w:t>
      </w:r>
      <w:r w:rsidRPr="000977F7">
        <w:rPr>
          <w:rFonts w:asciiTheme="majorHAnsi" w:hAnsiTheme="majorHAnsi"/>
          <w:sz w:val="20"/>
          <w:szCs w:val="20"/>
        </w:rPr>
        <w:t>євровалюті</w:t>
      </w:r>
      <w:r w:rsidRPr="000977F7">
        <w:rPr>
          <w:rFonts w:asciiTheme="majorHAnsi" w:hAnsiTheme="majorHAnsi"/>
          <w:spacing w:val="1"/>
          <w:sz w:val="20"/>
          <w:szCs w:val="20"/>
        </w:rPr>
        <w:t xml:space="preserve"> </w:t>
      </w:r>
      <w:r w:rsidRPr="000977F7">
        <w:rPr>
          <w:rFonts w:asciiTheme="majorHAnsi" w:hAnsiTheme="majorHAnsi"/>
          <w:sz w:val="20"/>
          <w:szCs w:val="20"/>
        </w:rPr>
        <w:t>великими</w:t>
      </w:r>
      <w:r w:rsidRPr="000977F7">
        <w:rPr>
          <w:rFonts w:asciiTheme="majorHAnsi" w:hAnsiTheme="majorHAnsi"/>
          <w:spacing w:val="1"/>
          <w:sz w:val="20"/>
          <w:szCs w:val="20"/>
        </w:rPr>
        <w:t xml:space="preserve"> </w:t>
      </w:r>
      <w:r w:rsidRPr="000977F7">
        <w:rPr>
          <w:rFonts w:asciiTheme="majorHAnsi" w:hAnsiTheme="majorHAnsi"/>
          <w:sz w:val="20"/>
          <w:szCs w:val="20"/>
        </w:rPr>
        <w:t>комерційними</w:t>
      </w:r>
      <w:r w:rsidRPr="000977F7">
        <w:rPr>
          <w:rFonts w:asciiTheme="majorHAnsi" w:hAnsiTheme="majorHAnsi"/>
          <w:spacing w:val="1"/>
          <w:sz w:val="20"/>
          <w:szCs w:val="20"/>
        </w:rPr>
        <w:t xml:space="preserve"> </w:t>
      </w:r>
      <w:r w:rsidRPr="000977F7">
        <w:rPr>
          <w:rFonts w:asciiTheme="majorHAnsi" w:hAnsiTheme="majorHAnsi"/>
          <w:sz w:val="20"/>
          <w:szCs w:val="20"/>
        </w:rPr>
        <w:t>банками</w:t>
      </w:r>
      <w:r w:rsidRPr="000977F7">
        <w:rPr>
          <w:rFonts w:asciiTheme="majorHAnsi" w:hAnsiTheme="majorHAnsi"/>
          <w:spacing w:val="1"/>
          <w:sz w:val="20"/>
          <w:szCs w:val="20"/>
        </w:rPr>
        <w:t xml:space="preserve"> </w:t>
      </w:r>
      <w:r w:rsidRPr="000977F7">
        <w:rPr>
          <w:rFonts w:asciiTheme="majorHAnsi" w:hAnsiTheme="majorHAnsi"/>
          <w:sz w:val="20"/>
          <w:szCs w:val="20"/>
        </w:rPr>
        <w:t>європейських</w:t>
      </w:r>
      <w:r w:rsidRPr="000977F7">
        <w:rPr>
          <w:rFonts w:asciiTheme="majorHAnsi" w:hAnsiTheme="majorHAnsi"/>
          <w:spacing w:val="-2"/>
          <w:sz w:val="20"/>
          <w:szCs w:val="20"/>
        </w:rPr>
        <w:t xml:space="preserve"> </w:t>
      </w:r>
      <w:r w:rsidRPr="000977F7">
        <w:rPr>
          <w:rFonts w:asciiTheme="majorHAnsi" w:hAnsiTheme="majorHAnsi"/>
          <w:sz w:val="20"/>
          <w:szCs w:val="20"/>
        </w:rPr>
        <w:t>країн</w:t>
      </w:r>
    </w:p>
    <w:p w14:paraId="68A403F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739066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РИНОК</w:t>
      </w:r>
      <w:r w:rsidRPr="000977F7">
        <w:rPr>
          <w:color w:val="auto"/>
          <w:spacing w:val="-6"/>
          <w:sz w:val="20"/>
          <w:szCs w:val="20"/>
        </w:rPr>
        <w:t xml:space="preserve"> </w:t>
      </w:r>
      <w:r w:rsidRPr="000977F7">
        <w:rPr>
          <w:color w:val="auto"/>
          <w:sz w:val="20"/>
          <w:szCs w:val="20"/>
        </w:rPr>
        <w:t>ЄВРООБЛІГАЦІЙ</w:t>
      </w:r>
      <w:r w:rsidRPr="000977F7">
        <w:rPr>
          <w:color w:val="auto"/>
          <w:spacing w:val="-1"/>
          <w:sz w:val="20"/>
          <w:szCs w:val="20"/>
        </w:rPr>
        <w:t xml:space="preserve"> </w:t>
      </w:r>
      <w:r w:rsidRPr="000977F7">
        <w:rPr>
          <w:color w:val="auto"/>
          <w:sz w:val="20"/>
          <w:szCs w:val="20"/>
        </w:rPr>
        <w:t>–</w:t>
      </w:r>
    </w:p>
    <w:p w14:paraId="61B777E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Сталі відносини з боргових зобов’язань щодо довготермінових позик</w:t>
      </w:r>
      <w:r w:rsidRPr="000977F7">
        <w:rPr>
          <w:rFonts w:asciiTheme="majorHAnsi" w:hAnsiTheme="majorHAnsi"/>
          <w:spacing w:val="1"/>
          <w:sz w:val="20"/>
          <w:szCs w:val="20"/>
        </w:rPr>
        <w:t xml:space="preserve"> </w:t>
      </w:r>
      <w:r w:rsidRPr="000977F7">
        <w:rPr>
          <w:rFonts w:asciiTheme="majorHAnsi" w:hAnsiTheme="majorHAnsi"/>
          <w:sz w:val="20"/>
          <w:szCs w:val="20"/>
        </w:rPr>
        <w:t>у євровалюті,</w:t>
      </w:r>
      <w:r w:rsidRPr="000977F7">
        <w:rPr>
          <w:rFonts w:asciiTheme="majorHAnsi" w:hAnsiTheme="majorHAnsi"/>
          <w:spacing w:val="1"/>
          <w:sz w:val="20"/>
          <w:szCs w:val="20"/>
        </w:rPr>
        <w:t xml:space="preserve"> </w:t>
      </w:r>
      <w:r w:rsidRPr="000977F7">
        <w:rPr>
          <w:rFonts w:asciiTheme="majorHAnsi" w:hAnsiTheme="majorHAnsi"/>
          <w:sz w:val="20"/>
          <w:szCs w:val="20"/>
        </w:rPr>
        <w:t>оформлювані</w:t>
      </w:r>
      <w:r w:rsidRPr="000977F7">
        <w:rPr>
          <w:rFonts w:asciiTheme="majorHAnsi" w:hAnsiTheme="majorHAnsi"/>
          <w:spacing w:val="1"/>
          <w:sz w:val="20"/>
          <w:szCs w:val="20"/>
        </w:rPr>
        <w:t xml:space="preserve"> </w:t>
      </w:r>
      <w:r w:rsidRPr="000977F7">
        <w:rPr>
          <w:rFonts w:asciiTheme="majorHAnsi" w:hAnsiTheme="majorHAnsi"/>
          <w:sz w:val="20"/>
          <w:szCs w:val="20"/>
        </w:rPr>
        <w:t>у вигляді</w:t>
      </w:r>
      <w:r w:rsidRPr="000977F7">
        <w:rPr>
          <w:rFonts w:asciiTheme="majorHAnsi" w:hAnsiTheme="majorHAnsi"/>
          <w:spacing w:val="-2"/>
          <w:sz w:val="20"/>
          <w:szCs w:val="20"/>
        </w:rPr>
        <w:t xml:space="preserve"> </w:t>
      </w:r>
      <w:r w:rsidRPr="000977F7">
        <w:rPr>
          <w:rFonts w:asciiTheme="majorHAnsi" w:hAnsiTheme="majorHAnsi"/>
          <w:sz w:val="20"/>
          <w:szCs w:val="20"/>
        </w:rPr>
        <w:t>облігацій</w:t>
      </w:r>
      <w:r w:rsidRPr="000977F7">
        <w:rPr>
          <w:rFonts w:asciiTheme="majorHAnsi" w:hAnsiTheme="majorHAnsi"/>
          <w:spacing w:val="-1"/>
          <w:sz w:val="20"/>
          <w:szCs w:val="20"/>
        </w:rPr>
        <w:t xml:space="preserve"> </w:t>
      </w:r>
      <w:r w:rsidRPr="000977F7">
        <w:rPr>
          <w:rFonts w:asciiTheme="majorHAnsi" w:hAnsiTheme="majorHAnsi"/>
          <w:sz w:val="20"/>
          <w:szCs w:val="20"/>
        </w:rPr>
        <w:t>позиковців</w:t>
      </w:r>
    </w:p>
    <w:p w14:paraId="5680CF7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3293</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26A4A2B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251" w:name="_Hlk101901514"/>
      <w:r w:rsidRPr="000977F7">
        <w:rPr>
          <w:color w:val="auto"/>
          <w:sz w:val="20"/>
          <w:szCs w:val="20"/>
        </w:rPr>
        <w:t>РИТМ</w:t>
      </w:r>
      <w:r w:rsidRPr="000977F7">
        <w:rPr>
          <w:color w:val="auto"/>
          <w:spacing w:val="-2"/>
          <w:sz w:val="20"/>
          <w:szCs w:val="20"/>
        </w:rPr>
        <w:t xml:space="preserve"> </w:t>
      </w:r>
      <w:r w:rsidRPr="000977F7">
        <w:rPr>
          <w:color w:val="auto"/>
          <w:sz w:val="20"/>
          <w:szCs w:val="20"/>
        </w:rPr>
        <w:t>ВИПУСКУ</w:t>
      </w:r>
      <w:r w:rsidRPr="000977F7">
        <w:rPr>
          <w:color w:val="auto"/>
          <w:spacing w:val="-1"/>
          <w:sz w:val="20"/>
          <w:szCs w:val="20"/>
        </w:rPr>
        <w:t xml:space="preserve"> </w:t>
      </w:r>
      <w:r w:rsidRPr="000977F7">
        <w:rPr>
          <w:color w:val="auto"/>
          <w:sz w:val="20"/>
          <w:szCs w:val="20"/>
        </w:rPr>
        <w:t>–</w:t>
      </w:r>
    </w:p>
    <w:p w14:paraId="1502F1B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PRODACTION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RATE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bookmarkEnd w:id="251"/>
    <w:p w14:paraId="2CFFCBE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Кількість виробів чи заготовок певних найменувань,</w:t>
      </w:r>
      <w:r w:rsidRPr="000977F7">
        <w:rPr>
          <w:rFonts w:asciiTheme="majorHAnsi" w:hAnsiTheme="majorHAnsi"/>
          <w:spacing w:val="1"/>
          <w:sz w:val="20"/>
          <w:szCs w:val="20"/>
        </w:rPr>
        <w:t xml:space="preserve"> </w:t>
      </w:r>
      <w:r w:rsidRPr="000977F7">
        <w:rPr>
          <w:rFonts w:asciiTheme="majorHAnsi" w:hAnsiTheme="majorHAnsi"/>
          <w:sz w:val="20"/>
          <w:szCs w:val="20"/>
        </w:rPr>
        <w:t>типорозмірів та виконань, які випускають за одиницю</w:t>
      </w:r>
      <w:r w:rsidRPr="000977F7">
        <w:rPr>
          <w:rFonts w:asciiTheme="majorHAnsi" w:hAnsiTheme="majorHAnsi"/>
          <w:spacing w:val="-47"/>
          <w:sz w:val="20"/>
          <w:szCs w:val="20"/>
        </w:rPr>
        <w:t xml:space="preserve"> </w:t>
      </w:r>
      <w:r w:rsidRPr="000977F7">
        <w:rPr>
          <w:rFonts w:asciiTheme="majorHAnsi" w:hAnsiTheme="majorHAnsi"/>
          <w:sz w:val="20"/>
          <w:szCs w:val="20"/>
        </w:rPr>
        <w:t>часу</w:t>
      </w:r>
    </w:p>
    <w:p w14:paraId="6C3E2F4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–2010;</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2974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3"/>
          <w:sz w:val="20"/>
          <w:szCs w:val="20"/>
        </w:rPr>
        <w:t xml:space="preserve"> </w:t>
      </w:r>
      <w:r w:rsidRPr="000977F7">
        <w:rPr>
          <w:rFonts w:asciiTheme="majorHAnsi" w:hAnsiTheme="majorHAnsi"/>
          <w:i/>
          <w:sz w:val="20"/>
          <w:szCs w:val="20"/>
        </w:rPr>
        <w:t>95</w:t>
      </w:r>
    </w:p>
    <w:p w14:paraId="28A80F1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РИТМ</w:t>
      </w:r>
      <w:r w:rsidRPr="000977F7">
        <w:rPr>
          <w:color w:val="auto"/>
          <w:spacing w:val="-2"/>
          <w:sz w:val="20"/>
          <w:szCs w:val="20"/>
        </w:rPr>
        <w:t xml:space="preserve"> </w:t>
      </w:r>
      <w:r w:rsidRPr="000977F7">
        <w:rPr>
          <w:color w:val="auto"/>
          <w:sz w:val="20"/>
          <w:szCs w:val="20"/>
        </w:rPr>
        <w:t>ВИРОБНИЦТВА</w:t>
      </w:r>
      <w:r w:rsidRPr="000977F7">
        <w:rPr>
          <w:color w:val="auto"/>
          <w:spacing w:val="-3"/>
          <w:sz w:val="20"/>
          <w:szCs w:val="20"/>
        </w:rPr>
        <w:t xml:space="preserve"> </w:t>
      </w:r>
      <w:r w:rsidRPr="000977F7">
        <w:rPr>
          <w:color w:val="auto"/>
          <w:sz w:val="20"/>
          <w:szCs w:val="20"/>
        </w:rPr>
        <w:t>–</w:t>
      </w:r>
    </w:p>
    <w:p w14:paraId="525768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Додержання за обсягом і часом рівномірного і безперебійного виготовлення та випуску продукції в передбачених співвідношеннях на основі чіткої злагодженості</w:t>
      </w:r>
      <w:r w:rsidRPr="000977F7">
        <w:rPr>
          <w:rFonts w:asciiTheme="majorHAnsi" w:hAnsiTheme="majorHAnsi"/>
          <w:spacing w:val="-2"/>
          <w:sz w:val="20"/>
          <w:szCs w:val="20"/>
        </w:rPr>
        <w:t xml:space="preserve"> </w:t>
      </w:r>
      <w:r w:rsidRPr="000977F7">
        <w:rPr>
          <w:rFonts w:asciiTheme="majorHAnsi" w:hAnsiTheme="majorHAnsi"/>
          <w:sz w:val="20"/>
          <w:szCs w:val="20"/>
        </w:rPr>
        <w:t>робіт</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всіх</w:t>
      </w:r>
      <w:r w:rsidRPr="000977F7">
        <w:rPr>
          <w:rFonts w:asciiTheme="majorHAnsi" w:hAnsiTheme="majorHAnsi"/>
          <w:spacing w:val="1"/>
          <w:sz w:val="20"/>
          <w:szCs w:val="20"/>
        </w:rPr>
        <w:t xml:space="preserve"> </w:t>
      </w:r>
      <w:r w:rsidRPr="000977F7">
        <w:rPr>
          <w:rFonts w:asciiTheme="majorHAnsi" w:hAnsiTheme="majorHAnsi"/>
          <w:sz w:val="20"/>
          <w:szCs w:val="20"/>
        </w:rPr>
        <w:t>дільницях</w:t>
      </w:r>
      <w:r w:rsidRPr="000977F7">
        <w:rPr>
          <w:rFonts w:asciiTheme="majorHAnsi" w:hAnsiTheme="majorHAnsi"/>
          <w:spacing w:val="-2"/>
          <w:sz w:val="20"/>
          <w:szCs w:val="20"/>
        </w:rPr>
        <w:t xml:space="preserve"> </w:t>
      </w:r>
      <w:r w:rsidRPr="000977F7">
        <w:rPr>
          <w:rFonts w:asciiTheme="majorHAnsi" w:hAnsiTheme="majorHAnsi"/>
          <w:sz w:val="20"/>
          <w:szCs w:val="20"/>
        </w:rPr>
        <w:t>підприємства</w:t>
      </w:r>
    </w:p>
    <w:p w14:paraId="7E4848D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61FC3F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РИТМ</w:t>
      </w:r>
      <w:r w:rsidRPr="000977F7">
        <w:rPr>
          <w:color w:val="auto"/>
          <w:spacing w:val="-2"/>
          <w:sz w:val="20"/>
          <w:szCs w:val="20"/>
        </w:rPr>
        <w:t xml:space="preserve"> </w:t>
      </w:r>
      <w:r w:rsidRPr="000977F7">
        <w:rPr>
          <w:color w:val="auto"/>
          <w:sz w:val="20"/>
          <w:szCs w:val="20"/>
        </w:rPr>
        <w:t>ПОТОКОВОГО</w:t>
      </w:r>
      <w:r w:rsidRPr="000977F7">
        <w:rPr>
          <w:color w:val="auto"/>
          <w:spacing w:val="-3"/>
          <w:sz w:val="20"/>
          <w:szCs w:val="20"/>
        </w:rPr>
        <w:t xml:space="preserve"> </w:t>
      </w:r>
      <w:r w:rsidRPr="000977F7">
        <w:rPr>
          <w:color w:val="auto"/>
          <w:sz w:val="20"/>
          <w:szCs w:val="20"/>
        </w:rPr>
        <w:t>ВИРОБНИЦТВА</w:t>
      </w:r>
      <w:r w:rsidRPr="000977F7">
        <w:rPr>
          <w:color w:val="auto"/>
          <w:spacing w:val="-1"/>
          <w:sz w:val="20"/>
          <w:szCs w:val="20"/>
        </w:rPr>
        <w:t xml:space="preserve"> </w:t>
      </w:r>
      <w:r w:rsidRPr="000977F7">
        <w:rPr>
          <w:color w:val="auto"/>
          <w:sz w:val="20"/>
          <w:szCs w:val="20"/>
        </w:rPr>
        <w:t>–</w:t>
      </w:r>
    </w:p>
    <w:p w14:paraId="7BAD9C7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Режим</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дотриманням</w:t>
      </w:r>
      <w:r w:rsidRPr="000977F7">
        <w:rPr>
          <w:rFonts w:asciiTheme="majorHAnsi" w:hAnsiTheme="majorHAnsi"/>
          <w:spacing w:val="1"/>
          <w:sz w:val="20"/>
          <w:szCs w:val="20"/>
        </w:rPr>
        <w:t xml:space="preserve"> </w:t>
      </w:r>
      <w:r w:rsidRPr="000977F7">
        <w:rPr>
          <w:rFonts w:asciiTheme="majorHAnsi" w:hAnsiTheme="majorHAnsi"/>
          <w:sz w:val="20"/>
          <w:szCs w:val="20"/>
        </w:rPr>
        <w:t>пропорцій</w:t>
      </w:r>
      <w:r w:rsidRPr="000977F7">
        <w:rPr>
          <w:rFonts w:asciiTheme="majorHAnsi" w:hAnsiTheme="majorHAnsi"/>
          <w:spacing w:val="1"/>
          <w:sz w:val="20"/>
          <w:szCs w:val="20"/>
        </w:rPr>
        <w:t xml:space="preserve"> </w:t>
      </w:r>
      <w:r w:rsidRPr="000977F7">
        <w:rPr>
          <w:rFonts w:asciiTheme="majorHAnsi" w:hAnsiTheme="majorHAnsi"/>
          <w:sz w:val="20"/>
          <w:szCs w:val="20"/>
        </w:rPr>
        <w:t>між</w:t>
      </w:r>
      <w:r w:rsidRPr="000977F7">
        <w:rPr>
          <w:rFonts w:asciiTheme="majorHAnsi" w:hAnsiTheme="majorHAnsi"/>
          <w:spacing w:val="1"/>
          <w:sz w:val="20"/>
          <w:szCs w:val="20"/>
        </w:rPr>
        <w:t xml:space="preserve"> </w:t>
      </w:r>
      <w:r w:rsidRPr="000977F7">
        <w:rPr>
          <w:rFonts w:asciiTheme="majorHAnsi" w:hAnsiTheme="majorHAnsi"/>
          <w:sz w:val="20"/>
          <w:szCs w:val="20"/>
        </w:rPr>
        <w:t>окремими</w:t>
      </w:r>
      <w:r w:rsidRPr="000977F7">
        <w:rPr>
          <w:rFonts w:asciiTheme="majorHAnsi" w:hAnsiTheme="majorHAnsi"/>
          <w:spacing w:val="1"/>
          <w:sz w:val="20"/>
          <w:szCs w:val="20"/>
        </w:rPr>
        <w:t xml:space="preserve"> </w:t>
      </w:r>
      <w:r w:rsidRPr="000977F7">
        <w:rPr>
          <w:rFonts w:asciiTheme="majorHAnsi" w:hAnsiTheme="majorHAnsi"/>
          <w:sz w:val="20"/>
          <w:szCs w:val="20"/>
        </w:rPr>
        <w:t>підрозділами</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стосовно</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номенклатури</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обсягу</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календарних</w:t>
      </w:r>
      <w:r w:rsidRPr="000977F7">
        <w:rPr>
          <w:rFonts w:asciiTheme="majorHAnsi" w:hAnsiTheme="majorHAnsi"/>
          <w:spacing w:val="1"/>
          <w:sz w:val="20"/>
          <w:szCs w:val="20"/>
        </w:rPr>
        <w:t xml:space="preserve"> </w:t>
      </w:r>
      <w:r w:rsidRPr="000977F7">
        <w:rPr>
          <w:rFonts w:asciiTheme="majorHAnsi" w:hAnsiTheme="majorHAnsi"/>
          <w:sz w:val="20"/>
          <w:szCs w:val="20"/>
        </w:rPr>
        <w:t>строків</w:t>
      </w:r>
    </w:p>
    <w:p w14:paraId="4E57805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 94</w:t>
      </w:r>
    </w:p>
    <w:p w14:paraId="0DE3ECB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РИТМІЧНІСТЬ</w:t>
      </w:r>
      <w:r w:rsidRPr="000977F7">
        <w:rPr>
          <w:color w:val="auto"/>
          <w:spacing w:val="-4"/>
          <w:sz w:val="20"/>
          <w:szCs w:val="20"/>
        </w:rPr>
        <w:t xml:space="preserve"> </w:t>
      </w:r>
      <w:r w:rsidRPr="000977F7">
        <w:rPr>
          <w:color w:val="auto"/>
          <w:sz w:val="20"/>
          <w:szCs w:val="20"/>
        </w:rPr>
        <w:t>ВИРОБНИЦТВА</w:t>
      </w:r>
      <w:r w:rsidRPr="000977F7">
        <w:rPr>
          <w:color w:val="auto"/>
          <w:spacing w:val="-1"/>
          <w:sz w:val="20"/>
          <w:szCs w:val="20"/>
        </w:rPr>
        <w:t xml:space="preserve"> </w:t>
      </w:r>
      <w:r w:rsidRPr="000977F7">
        <w:rPr>
          <w:color w:val="auto"/>
          <w:sz w:val="20"/>
          <w:szCs w:val="20"/>
        </w:rPr>
        <w:t>–</w:t>
      </w:r>
    </w:p>
    <w:p w14:paraId="7BFCF12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Принцип</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згідно</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яким</w:t>
      </w:r>
      <w:r w:rsidRPr="000977F7">
        <w:rPr>
          <w:rFonts w:asciiTheme="majorHAnsi" w:hAnsiTheme="majorHAnsi"/>
          <w:spacing w:val="1"/>
          <w:sz w:val="20"/>
          <w:szCs w:val="20"/>
        </w:rPr>
        <w:t xml:space="preserve"> </w:t>
      </w:r>
      <w:r w:rsidRPr="000977F7">
        <w:rPr>
          <w:rFonts w:asciiTheme="majorHAnsi" w:hAnsiTheme="majorHAnsi"/>
          <w:sz w:val="20"/>
          <w:szCs w:val="20"/>
        </w:rPr>
        <w:t>окремі</w:t>
      </w:r>
      <w:r w:rsidRPr="000977F7">
        <w:rPr>
          <w:rFonts w:asciiTheme="majorHAnsi" w:hAnsiTheme="majorHAnsi"/>
          <w:spacing w:val="1"/>
          <w:sz w:val="20"/>
          <w:szCs w:val="20"/>
        </w:rPr>
        <w:t xml:space="preserve"> </w:t>
      </w:r>
      <w:r w:rsidRPr="000977F7">
        <w:rPr>
          <w:rFonts w:asciiTheme="majorHAnsi" w:hAnsiTheme="majorHAnsi"/>
          <w:sz w:val="20"/>
          <w:szCs w:val="20"/>
        </w:rPr>
        <w:t>процеси</w:t>
      </w:r>
      <w:r w:rsidRPr="000977F7">
        <w:rPr>
          <w:rFonts w:asciiTheme="majorHAnsi" w:hAnsiTheme="majorHAnsi"/>
          <w:spacing w:val="1"/>
          <w:sz w:val="20"/>
          <w:szCs w:val="20"/>
        </w:rPr>
        <w:t xml:space="preserve"> </w:t>
      </w:r>
      <w:r w:rsidRPr="000977F7">
        <w:rPr>
          <w:rFonts w:asciiTheme="majorHAnsi" w:hAnsiTheme="majorHAnsi"/>
          <w:sz w:val="20"/>
          <w:szCs w:val="20"/>
        </w:rPr>
        <w:t>закономірно</w:t>
      </w:r>
      <w:r w:rsidRPr="000977F7">
        <w:rPr>
          <w:rFonts w:asciiTheme="majorHAnsi" w:hAnsiTheme="majorHAnsi"/>
          <w:spacing w:val="1"/>
          <w:sz w:val="20"/>
          <w:szCs w:val="20"/>
        </w:rPr>
        <w:t xml:space="preserve"> </w:t>
      </w:r>
      <w:r w:rsidRPr="000977F7">
        <w:rPr>
          <w:rFonts w:asciiTheme="majorHAnsi" w:hAnsiTheme="majorHAnsi"/>
          <w:sz w:val="20"/>
          <w:szCs w:val="20"/>
        </w:rPr>
        <w:t>чергуються,</w:t>
      </w:r>
      <w:r w:rsidRPr="000977F7">
        <w:rPr>
          <w:rFonts w:asciiTheme="majorHAnsi" w:hAnsiTheme="majorHAnsi"/>
          <w:spacing w:val="1"/>
          <w:sz w:val="20"/>
          <w:szCs w:val="20"/>
        </w:rPr>
        <w:t xml:space="preserve"> </w:t>
      </w:r>
      <w:r w:rsidRPr="000977F7">
        <w:rPr>
          <w:rFonts w:asciiTheme="majorHAnsi" w:hAnsiTheme="majorHAnsi"/>
          <w:sz w:val="20"/>
          <w:szCs w:val="20"/>
        </w:rPr>
        <w:t>регулярно</w:t>
      </w:r>
      <w:r w:rsidRPr="000977F7">
        <w:rPr>
          <w:rFonts w:asciiTheme="majorHAnsi" w:hAnsiTheme="majorHAnsi"/>
          <w:spacing w:val="1"/>
          <w:sz w:val="20"/>
          <w:szCs w:val="20"/>
        </w:rPr>
        <w:t xml:space="preserve"> </w:t>
      </w:r>
      <w:r w:rsidRPr="000977F7">
        <w:rPr>
          <w:rFonts w:asciiTheme="majorHAnsi" w:hAnsiTheme="majorHAnsi"/>
          <w:sz w:val="20"/>
          <w:szCs w:val="20"/>
        </w:rPr>
        <w:t>повторюючись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всіх</w:t>
      </w:r>
      <w:r w:rsidRPr="000977F7">
        <w:rPr>
          <w:rFonts w:asciiTheme="majorHAnsi" w:hAnsiTheme="majorHAnsi"/>
          <w:spacing w:val="1"/>
          <w:sz w:val="20"/>
          <w:szCs w:val="20"/>
        </w:rPr>
        <w:t xml:space="preserve"> </w:t>
      </w:r>
      <w:r w:rsidRPr="000977F7">
        <w:rPr>
          <w:rFonts w:asciiTheme="majorHAnsi" w:hAnsiTheme="majorHAnsi"/>
          <w:sz w:val="20"/>
          <w:szCs w:val="20"/>
        </w:rPr>
        <w:t>своїх</w:t>
      </w:r>
      <w:r w:rsidRPr="000977F7">
        <w:rPr>
          <w:rFonts w:asciiTheme="majorHAnsi" w:hAnsiTheme="majorHAnsi"/>
          <w:spacing w:val="1"/>
          <w:sz w:val="20"/>
          <w:szCs w:val="20"/>
        </w:rPr>
        <w:t xml:space="preserve"> </w:t>
      </w:r>
      <w:r w:rsidRPr="000977F7">
        <w:rPr>
          <w:rFonts w:asciiTheme="majorHAnsi" w:hAnsiTheme="majorHAnsi"/>
          <w:sz w:val="20"/>
          <w:szCs w:val="20"/>
        </w:rPr>
        <w:t>частинах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елементах</w:t>
      </w:r>
      <w:r w:rsidRPr="000977F7">
        <w:rPr>
          <w:rFonts w:asciiTheme="majorHAnsi" w:hAnsiTheme="majorHAnsi"/>
          <w:spacing w:val="1"/>
          <w:sz w:val="20"/>
          <w:szCs w:val="20"/>
        </w:rPr>
        <w:t xml:space="preserve"> </w:t>
      </w:r>
      <w:r w:rsidRPr="000977F7">
        <w:rPr>
          <w:rFonts w:asciiTheme="majorHAnsi" w:hAnsiTheme="majorHAnsi"/>
          <w:sz w:val="20"/>
          <w:szCs w:val="20"/>
        </w:rPr>
        <w:t>через</w:t>
      </w:r>
      <w:r w:rsidRPr="000977F7">
        <w:rPr>
          <w:rFonts w:asciiTheme="majorHAnsi" w:hAnsiTheme="majorHAnsi"/>
          <w:spacing w:val="-1"/>
          <w:sz w:val="20"/>
          <w:szCs w:val="20"/>
        </w:rPr>
        <w:t xml:space="preserve"> </w:t>
      </w:r>
      <w:r w:rsidRPr="000977F7">
        <w:rPr>
          <w:rFonts w:asciiTheme="majorHAnsi" w:hAnsiTheme="majorHAnsi"/>
          <w:sz w:val="20"/>
          <w:szCs w:val="20"/>
        </w:rPr>
        <w:t>певні</w:t>
      </w:r>
      <w:r w:rsidRPr="000977F7">
        <w:rPr>
          <w:rFonts w:asciiTheme="majorHAnsi" w:hAnsiTheme="majorHAnsi"/>
          <w:spacing w:val="-1"/>
          <w:sz w:val="20"/>
          <w:szCs w:val="20"/>
        </w:rPr>
        <w:t xml:space="preserve"> </w:t>
      </w:r>
      <w:r w:rsidRPr="000977F7">
        <w:rPr>
          <w:rFonts w:asciiTheme="majorHAnsi" w:hAnsiTheme="majorHAnsi"/>
          <w:sz w:val="20"/>
          <w:szCs w:val="20"/>
        </w:rPr>
        <w:t>проміжки</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31BC9314"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2960 – 94</w:t>
      </w:r>
    </w:p>
    <w:p w14:paraId="2A63305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РІВЕНЬ</w:t>
      </w:r>
      <w:r w:rsidRPr="000977F7">
        <w:rPr>
          <w:color w:val="auto"/>
          <w:spacing w:val="-4"/>
          <w:sz w:val="20"/>
          <w:szCs w:val="20"/>
        </w:rPr>
        <w:t xml:space="preserve"> </w:t>
      </w:r>
      <w:r w:rsidRPr="000977F7">
        <w:rPr>
          <w:color w:val="auto"/>
          <w:sz w:val="20"/>
          <w:szCs w:val="20"/>
        </w:rPr>
        <w:t>ДЕФЕКТНОСТІ –</w:t>
      </w:r>
    </w:p>
    <w:p w14:paraId="3A4378A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DEFECTS</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PER</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HUNDRED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UNITS –</w:t>
      </w:r>
    </w:p>
    <w:p w14:paraId="4977F40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Частка дефектних одиниць продукції чи кількості дефектів</w:t>
      </w:r>
      <w:r w:rsidRPr="000977F7">
        <w:rPr>
          <w:rFonts w:asciiTheme="majorHAnsi" w:hAnsiTheme="majorHAnsi"/>
          <w:spacing w:val="1"/>
          <w:sz w:val="20"/>
          <w:szCs w:val="20"/>
        </w:rPr>
        <w:t xml:space="preserve"> </w:t>
      </w:r>
      <w:r w:rsidRPr="000977F7">
        <w:rPr>
          <w:rFonts w:asciiTheme="majorHAnsi" w:hAnsiTheme="majorHAnsi"/>
          <w:sz w:val="20"/>
          <w:szCs w:val="20"/>
        </w:rPr>
        <w:t>на сто одиниць продукції</w:t>
      </w:r>
    </w:p>
    <w:p w14:paraId="19D9C98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97</w:t>
      </w:r>
    </w:p>
    <w:p w14:paraId="5315D64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РІВЕНЬ</w:t>
      </w:r>
      <w:r w:rsidRPr="000977F7">
        <w:rPr>
          <w:color w:val="auto"/>
          <w:spacing w:val="-8"/>
          <w:sz w:val="20"/>
          <w:szCs w:val="20"/>
        </w:rPr>
        <w:t xml:space="preserve"> </w:t>
      </w:r>
      <w:r w:rsidRPr="000977F7">
        <w:rPr>
          <w:color w:val="auto"/>
          <w:sz w:val="20"/>
          <w:szCs w:val="20"/>
        </w:rPr>
        <w:t>КЕРУВАННЯ</w:t>
      </w:r>
      <w:r w:rsidRPr="000977F7">
        <w:rPr>
          <w:color w:val="auto"/>
          <w:spacing w:val="-7"/>
          <w:sz w:val="20"/>
          <w:szCs w:val="20"/>
        </w:rPr>
        <w:t xml:space="preserve"> </w:t>
      </w:r>
      <w:r w:rsidRPr="000977F7">
        <w:rPr>
          <w:color w:val="auto"/>
          <w:sz w:val="20"/>
          <w:szCs w:val="20"/>
        </w:rPr>
        <w:t>ЯКІСТЮ</w:t>
      </w:r>
      <w:r w:rsidRPr="000977F7">
        <w:rPr>
          <w:color w:val="auto"/>
          <w:spacing w:val="-47"/>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07C93F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Ієрархічне</w:t>
      </w:r>
      <w:r w:rsidRPr="000977F7">
        <w:rPr>
          <w:rFonts w:asciiTheme="majorHAnsi" w:hAnsiTheme="majorHAnsi"/>
          <w:spacing w:val="1"/>
          <w:sz w:val="20"/>
          <w:szCs w:val="20"/>
        </w:rPr>
        <w:t xml:space="preserve"> </w:t>
      </w:r>
      <w:r w:rsidRPr="000977F7">
        <w:rPr>
          <w:rFonts w:asciiTheme="majorHAnsi" w:hAnsiTheme="majorHAnsi"/>
          <w:sz w:val="20"/>
          <w:szCs w:val="20"/>
        </w:rPr>
        <w:t>положення</w:t>
      </w:r>
      <w:r w:rsidRPr="000977F7">
        <w:rPr>
          <w:rFonts w:asciiTheme="majorHAnsi" w:hAnsiTheme="majorHAnsi"/>
          <w:spacing w:val="1"/>
          <w:sz w:val="20"/>
          <w:szCs w:val="20"/>
        </w:rPr>
        <w:t xml:space="preserve"> </w:t>
      </w:r>
      <w:r w:rsidRPr="000977F7">
        <w:rPr>
          <w:rFonts w:asciiTheme="majorHAnsi" w:hAnsiTheme="majorHAnsi"/>
          <w:sz w:val="20"/>
          <w:szCs w:val="20"/>
        </w:rPr>
        <w:t>керуючого</w:t>
      </w:r>
      <w:r w:rsidRPr="000977F7">
        <w:rPr>
          <w:rFonts w:asciiTheme="majorHAnsi" w:hAnsiTheme="majorHAnsi"/>
          <w:spacing w:val="1"/>
          <w:sz w:val="20"/>
          <w:szCs w:val="20"/>
        </w:rPr>
        <w:t xml:space="preserve"> </w:t>
      </w:r>
      <w:r w:rsidRPr="000977F7">
        <w:rPr>
          <w:rFonts w:asciiTheme="majorHAnsi" w:hAnsiTheme="majorHAnsi"/>
          <w:sz w:val="20"/>
          <w:szCs w:val="20"/>
        </w:rPr>
        <w:t>органу в</w:t>
      </w:r>
      <w:r w:rsidRPr="000977F7">
        <w:rPr>
          <w:rFonts w:asciiTheme="majorHAnsi" w:hAnsiTheme="majorHAnsi"/>
          <w:spacing w:val="1"/>
          <w:sz w:val="20"/>
          <w:szCs w:val="20"/>
        </w:rPr>
        <w:t xml:space="preserve"> </w:t>
      </w:r>
      <w:r w:rsidRPr="000977F7">
        <w:rPr>
          <w:rFonts w:asciiTheme="majorHAnsi" w:hAnsiTheme="majorHAnsi"/>
          <w:sz w:val="20"/>
          <w:szCs w:val="20"/>
        </w:rPr>
        <w:t>системі</w:t>
      </w:r>
      <w:r w:rsidRPr="000977F7">
        <w:rPr>
          <w:rFonts w:asciiTheme="majorHAnsi" w:hAnsiTheme="majorHAnsi"/>
          <w:spacing w:val="1"/>
          <w:sz w:val="20"/>
          <w:szCs w:val="20"/>
        </w:rPr>
        <w:t xml:space="preserve"> </w:t>
      </w:r>
      <w:r w:rsidRPr="000977F7">
        <w:rPr>
          <w:rFonts w:asciiTheme="majorHAnsi" w:hAnsiTheme="majorHAnsi"/>
          <w:sz w:val="20"/>
          <w:szCs w:val="20"/>
        </w:rPr>
        <w:t>керування</w:t>
      </w:r>
      <w:r w:rsidRPr="000977F7">
        <w:rPr>
          <w:rFonts w:asciiTheme="majorHAnsi" w:hAnsiTheme="majorHAnsi"/>
          <w:spacing w:val="-2"/>
          <w:sz w:val="20"/>
          <w:szCs w:val="20"/>
        </w:rPr>
        <w:t xml:space="preserve"> </w:t>
      </w:r>
      <w:r w:rsidRPr="000977F7">
        <w:rPr>
          <w:rFonts w:asciiTheme="majorHAnsi" w:hAnsiTheme="majorHAnsi"/>
          <w:sz w:val="20"/>
          <w:szCs w:val="20"/>
        </w:rPr>
        <w:t>якістю</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4E9B9A7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РІВЕНЬ</w:t>
      </w:r>
      <w:r w:rsidRPr="000977F7">
        <w:rPr>
          <w:color w:val="auto"/>
          <w:spacing w:val="-3"/>
          <w:sz w:val="20"/>
          <w:szCs w:val="20"/>
        </w:rPr>
        <w:t xml:space="preserve"> </w:t>
      </w:r>
      <w:r w:rsidRPr="000977F7">
        <w:rPr>
          <w:color w:val="auto"/>
          <w:sz w:val="20"/>
          <w:szCs w:val="20"/>
        </w:rPr>
        <w:t>КОНТРОЛЮ</w:t>
      </w:r>
      <w:r w:rsidRPr="000977F7">
        <w:rPr>
          <w:color w:val="auto"/>
          <w:spacing w:val="-2"/>
          <w:sz w:val="20"/>
          <w:szCs w:val="20"/>
        </w:rPr>
        <w:t xml:space="preserve"> </w:t>
      </w:r>
      <w:r w:rsidRPr="000977F7">
        <w:rPr>
          <w:color w:val="auto"/>
          <w:sz w:val="20"/>
          <w:szCs w:val="20"/>
        </w:rPr>
        <w:t>–</w:t>
      </w:r>
    </w:p>
    <w:p w14:paraId="4280EAC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INSPECTIONAL</w:t>
      </w:r>
      <w:r w:rsidRPr="000977F7">
        <w:rPr>
          <w:rFonts w:asciiTheme="majorHAnsi" w:hAnsiTheme="majorHAnsi"/>
          <w:spacing w:val="-1"/>
          <w:sz w:val="20"/>
          <w:szCs w:val="20"/>
        </w:rPr>
        <w:t xml:space="preserve"> </w:t>
      </w:r>
      <w:r w:rsidRPr="000977F7">
        <w:rPr>
          <w:rFonts w:asciiTheme="majorHAnsi" w:hAnsiTheme="majorHAnsi"/>
          <w:sz w:val="20"/>
          <w:szCs w:val="20"/>
        </w:rPr>
        <w:t>LEVEL</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66BB5B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Характеристика плану контролю, яка пов’язує обсяг</w:t>
      </w:r>
      <w:r w:rsidRPr="000977F7">
        <w:rPr>
          <w:rFonts w:asciiTheme="majorHAnsi" w:hAnsiTheme="majorHAnsi"/>
          <w:spacing w:val="1"/>
          <w:sz w:val="20"/>
          <w:szCs w:val="20"/>
        </w:rPr>
        <w:t xml:space="preserve"> </w:t>
      </w:r>
      <w:r w:rsidRPr="000977F7">
        <w:rPr>
          <w:rFonts w:asciiTheme="majorHAnsi" w:hAnsiTheme="majorHAnsi"/>
          <w:sz w:val="20"/>
          <w:szCs w:val="20"/>
        </w:rPr>
        <w:t>вибірки</w:t>
      </w:r>
      <w:r w:rsidRPr="000977F7">
        <w:rPr>
          <w:rFonts w:asciiTheme="majorHAnsi" w:hAnsiTheme="majorHAnsi"/>
          <w:spacing w:val="-2"/>
          <w:sz w:val="20"/>
          <w:szCs w:val="20"/>
        </w:rPr>
        <w:t xml:space="preserve"> </w:t>
      </w:r>
      <w:r w:rsidRPr="000977F7">
        <w:rPr>
          <w:rFonts w:asciiTheme="majorHAnsi" w:hAnsiTheme="majorHAnsi"/>
          <w:sz w:val="20"/>
          <w:szCs w:val="20"/>
        </w:rPr>
        <w:t>з обсягом партії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3CBFEE0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3514</w:t>
      </w:r>
      <w:r w:rsidRPr="004D2D14">
        <w:rPr>
          <w:rFonts w:asciiTheme="majorHAnsi" w:hAnsiTheme="majorHAnsi"/>
          <w:i/>
          <w:spacing w:val="-1"/>
          <w:sz w:val="20"/>
          <w:szCs w:val="20"/>
          <w:lang w:val="en-US"/>
        </w:rPr>
        <w:t xml:space="preserve"> - </w:t>
      </w:r>
      <w:r w:rsidRPr="004D2D14">
        <w:rPr>
          <w:rFonts w:asciiTheme="majorHAnsi" w:hAnsiTheme="majorHAnsi"/>
          <w:i/>
          <w:sz w:val="20"/>
          <w:szCs w:val="20"/>
          <w:lang w:val="en-US"/>
        </w:rPr>
        <w:t>97</w:t>
      </w:r>
    </w:p>
    <w:p w14:paraId="2A1B339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РІВЕНЬ</w:t>
      </w:r>
      <w:r w:rsidRPr="000977F7">
        <w:rPr>
          <w:color w:val="auto"/>
          <w:spacing w:val="-4"/>
          <w:sz w:val="20"/>
          <w:szCs w:val="20"/>
        </w:rPr>
        <w:t xml:space="preserve"> </w:t>
      </w:r>
      <w:r w:rsidRPr="000977F7">
        <w:rPr>
          <w:color w:val="auto"/>
          <w:sz w:val="20"/>
          <w:szCs w:val="20"/>
        </w:rPr>
        <w:t>РОЗВИТКУ</w:t>
      </w:r>
      <w:r w:rsidRPr="000977F7">
        <w:rPr>
          <w:color w:val="auto"/>
          <w:spacing w:val="-4"/>
          <w:sz w:val="20"/>
          <w:szCs w:val="20"/>
        </w:rPr>
        <w:t xml:space="preserve"> </w:t>
      </w:r>
      <w:r w:rsidRPr="000977F7">
        <w:rPr>
          <w:color w:val="auto"/>
          <w:sz w:val="20"/>
          <w:szCs w:val="20"/>
        </w:rPr>
        <w:t>ТЕХНІКИ –</w:t>
      </w:r>
    </w:p>
    <w:p w14:paraId="709833A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STATE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THE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ART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1A016B4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Досягнутий на даний час рівень технічних можливостей стосовно продукції, процесів та послуг, який ґрунтується на поєднаних досягненнях науки, техніки та</w:t>
      </w:r>
      <w:r w:rsidRPr="000977F7">
        <w:rPr>
          <w:rFonts w:asciiTheme="majorHAnsi" w:hAnsiTheme="majorHAnsi"/>
          <w:spacing w:val="1"/>
          <w:sz w:val="20"/>
          <w:szCs w:val="20"/>
        </w:rPr>
        <w:t xml:space="preserve"> </w:t>
      </w:r>
      <w:r w:rsidRPr="000977F7">
        <w:rPr>
          <w:rFonts w:asciiTheme="majorHAnsi" w:hAnsiTheme="majorHAnsi"/>
          <w:sz w:val="20"/>
          <w:szCs w:val="20"/>
        </w:rPr>
        <w:t>практичного досвіду</w:t>
      </w:r>
    </w:p>
    <w:p w14:paraId="437E2B4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 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5A4F5FD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РІВЕНЬ</w:t>
      </w:r>
      <w:r w:rsidRPr="000977F7">
        <w:rPr>
          <w:color w:val="auto"/>
          <w:spacing w:val="-6"/>
          <w:sz w:val="20"/>
          <w:szCs w:val="20"/>
        </w:rPr>
        <w:t xml:space="preserve"> </w:t>
      </w:r>
      <w:r w:rsidRPr="000977F7">
        <w:rPr>
          <w:color w:val="auto"/>
          <w:sz w:val="20"/>
          <w:szCs w:val="20"/>
        </w:rPr>
        <w:t>СТАНДАРТИЗАЦІЇ-</w:t>
      </w:r>
    </w:p>
    <w:p w14:paraId="321CB08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LEVEL</w:t>
      </w:r>
      <w:r w:rsidRPr="004D2D14">
        <w:rPr>
          <w:rFonts w:asciiTheme="majorHAnsi" w:hAnsiTheme="majorHAnsi"/>
          <w:spacing w:val="-3"/>
          <w:sz w:val="20"/>
          <w:szCs w:val="20"/>
          <w:lang w:val="uk-UA"/>
        </w:rPr>
        <w:t xml:space="preserve"> </w:t>
      </w:r>
      <w:r w:rsidRPr="000977F7">
        <w:rPr>
          <w:rFonts w:asciiTheme="majorHAnsi" w:hAnsiTheme="majorHAnsi"/>
          <w:sz w:val="20"/>
          <w:szCs w:val="20"/>
        </w:rPr>
        <w:t>OF</w:t>
      </w:r>
      <w:r w:rsidRPr="004D2D14">
        <w:rPr>
          <w:rFonts w:asciiTheme="majorHAnsi" w:hAnsiTheme="majorHAnsi"/>
          <w:spacing w:val="-1"/>
          <w:sz w:val="20"/>
          <w:szCs w:val="20"/>
          <w:lang w:val="uk-UA"/>
        </w:rPr>
        <w:t xml:space="preserve"> </w:t>
      </w:r>
      <w:r w:rsidRPr="000977F7">
        <w:rPr>
          <w:rFonts w:asciiTheme="majorHAnsi" w:hAnsiTheme="majorHAnsi"/>
          <w:sz w:val="20"/>
          <w:szCs w:val="20"/>
        </w:rPr>
        <w:t>STANDARDIZATION</w:t>
      </w:r>
      <w:r w:rsidRPr="004D2D14">
        <w:rPr>
          <w:rFonts w:asciiTheme="majorHAnsi" w:hAnsiTheme="majorHAnsi"/>
          <w:sz w:val="20"/>
          <w:szCs w:val="20"/>
          <w:lang w:val="uk-UA"/>
        </w:rPr>
        <w:t>-</w:t>
      </w:r>
    </w:p>
    <w:p w14:paraId="11ACA9F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Географічно,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політично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економічно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означений</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ступінь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участі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стандартизації</w:t>
      </w:r>
    </w:p>
    <w:p w14:paraId="280260A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 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7E427E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Фіксоване</w:t>
      </w:r>
      <w:r w:rsidRPr="000977F7">
        <w:rPr>
          <w:rFonts w:asciiTheme="majorHAnsi" w:hAnsiTheme="majorHAnsi"/>
          <w:spacing w:val="-3"/>
          <w:sz w:val="20"/>
          <w:szCs w:val="20"/>
        </w:rPr>
        <w:t xml:space="preserve"> </w:t>
      </w:r>
      <w:r w:rsidRPr="000977F7">
        <w:rPr>
          <w:rFonts w:asciiTheme="majorHAnsi" w:hAnsiTheme="majorHAnsi"/>
          <w:sz w:val="20"/>
          <w:szCs w:val="20"/>
        </w:rPr>
        <w:t>значення</w:t>
      </w:r>
      <w:r w:rsidRPr="000977F7">
        <w:rPr>
          <w:rFonts w:asciiTheme="majorHAnsi" w:hAnsiTheme="majorHAnsi"/>
          <w:spacing w:val="-4"/>
          <w:sz w:val="20"/>
          <w:szCs w:val="20"/>
        </w:rPr>
        <w:t xml:space="preserve"> </w:t>
      </w:r>
      <w:r w:rsidRPr="000977F7">
        <w:rPr>
          <w:rFonts w:asciiTheme="majorHAnsi" w:hAnsiTheme="majorHAnsi"/>
          <w:sz w:val="20"/>
          <w:szCs w:val="20"/>
        </w:rPr>
        <w:t>фактору</w:t>
      </w:r>
      <w:r w:rsidRPr="000977F7">
        <w:rPr>
          <w:rFonts w:asciiTheme="majorHAnsi" w:hAnsiTheme="majorHAnsi"/>
          <w:spacing w:val="-3"/>
          <w:sz w:val="20"/>
          <w:szCs w:val="20"/>
        </w:rPr>
        <w:t xml:space="preserve"> </w:t>
      </w:r>
      <w:r w:rsidRPr="000977F7">
        <w:rPr>
          <w:rFonts w:asciiTheme="majorHAnsi" w:hAnsiTheme="majorHAnsi"/>
          <w:sz w:val="20"/>
          <w:szCs w:val="20"/>
        </w:rPr>
        <w:t>відносно</w:t>
      </w:r>
      <w:r w:rsidRPr="000977F7">
        <w:rPr>
          <w:rFonts w:asciiTheme="majorHAnsi" w:hAnsiTheme="majorHAnsi"/>
          <w:spacing w:val="-3"/>
          <w:sz w:val="20"/>
          <w:szCs w:val="20"/>
        </w:rPr>
        <w:t xml:space="preserve"> </w:t>
      </w:r>
      <w:r w:rsidRPr="000977F7">
        <w:rPr>
          <w:rFonts w:asciiTheme="majorHAnsi" w:hAnsiTheme="majorHAnsi"/>
          <w:sz w:val="20"/>
          <w:szCs w:val="20"/>
        </w:rPr>
        <w:t>початку</w:t>
      </w:r>
      <w:r w:rsidRPr="000977F7">
        <w:rPr>
          <w:rFonts w:asciiTheme="majorHAnsi" w:hAnsiTheme="majorHAnsi"/>
          <w:spacing w:val="-4"/>
          <w:sz w:val="20"/>
          <w:szCs w:val="20"/>
        </w:rPr>
        <w:t xml:space="preserve"> </w:t>
      </w:r>
      <w:r w:rsidRPr="000977F7">
        <w:rPr>
          <w:rFonts w:asciiTheme="majorHAnsi" w:hAnsiTheme="majorHAnsi"/>
          <w:sz w:val="20"/>
          <w:szCs w:val="20"/>
        </w:rPr>
        <w:t>відліку</w:t>
      </w:r>
    </w:p>
    <w:p w14:paraId="580CDE0F"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РІВЕНЬ</w:t>
      </w:r>
      <w:r w:rsidRPr="000977F7">
        <w:rPr>
          <w:rFonts w:asciiTheme="majorHAnsi" w:hAnsiTheme="majorHAnsi"/>
          <w:b/>
          <w:spacing w:val="-5"/>
          <w:sz w:val="20"/>
          <w:szCs w:val="20"/>
        </w:rPr>
        <w:t xml:space="preserve"> </w:t>
      </w:r>
      <w:r w:rsidRPr="000977F7">
        <w:rPr>
          <w:rFonts w:asciiTheme="majorHAnsi" w:hAnsiTheme="majorHAnsi"/>
          <w:b/>
          <w:sz w:val="20"/>
          <w:szCs w:val="20"/>
        </w:rPr>
        <w:t>ЯКОСТІ</w:t>
      </w:r>
      <w:r w:rsidRPr="000977F7">
        <w:rPr>
          <w:rFonts w:asciiTheme="majorHAnsi" w:hAnsiTheme="majorHAnsi"/>
          <w:b/>
          <w:spacing w:val="-4"/>
          <w:sz w:val="20"/>
          <w:szCs w:val="20"/>
        </w:rPr>
        <w:t xml:space="preserve"> </w:t>
      </w:r>
      <w:r w:rsidRPr="000977F7">
        <w:rPr>
          <w:rFonts w:asciiTheme="majorHAnsi" w:hAnsiTheme="majorHAnsi"/>
          <w:b/>
          <w:sz w:val="20"/>
          <w:szCs w:val="20"/>
        </w:rPr>
        <w:t>–</w:t>
      </w:r>
      <w:r w:rsidRPr="000977F7">
        <w:rPr>
          <w:rFonts w:asciiTheme="majorHAnsi" w:hAnsiTheme="majorHAnsi"/>
          <w:b/>
          <w:spacing w:val="-47"/>
          <w:sz w:val="20"/>
          <w:szCs w:val="20"/>
        </w:rPr>
        <w:t xml:space="preserve"> </w:t>
      </w:r>
    </w:p>
    <w:p w14:paraId="00AFBEB1"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sz w:val="20"/>
          <w:szCs w:val="20"/>
        </w:rPr>
        <w:lastRenderedPageBreak/>
        <w:t xml:space="preserve">GRADE </w:t>
      </w:r>
      <w:r w:rsidRPr="000977F7">
        <w:rPr>
          <w:rFonts w:asciiTheme="majorHAnsi" w:hAnsiTheme="majorHAnsi"/>
          <w:b/>
          <w:sz w:val="20"/>
          <w:szCs w:val="20"/>
        </w:rPr>
        <w:t>–</w:t>
      </w:r>
    </w:p>
    <w:p w14:paraId="71334C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Категорія</w:t>
      </w:r>
      <w:r w:rsidRPr="000977F7">
        <w:rPr>
          <w:rFonts w:asciiTheme="majorHAnsi" w:hAnsiTheme="majorHAnsi"/>
          <w:spacing w:val="17"/>
          <w:sz w:val="20"/>
          <w:szCs w:val="20"/>
        </w:rPr>
        <w:t xml:space="preserve"> </w:t>
      </w:r>
      <w:r w:rsidRPr="000977F7">
        <w:rPr>
          <w:rFonts w:asciiTheme="majorHAnsi" w:hAnsiTheme="majorHAnsi"/>
          <w:sz w:val="20"/>
          <w:szCs w:val="20"/>
        </w:rPr>
        <w:t>чи</w:t>
      </w:r>
      <w:r w:rsidRPr="000977F7">
        <w:rPr>
          <w:rFonts w:asciiTheme="majorHAnsi" w:hAnsiTheme="majorHAnsi"/>
          <w:spacing w:val="16"/>
          <w:sz w:val="20"/>
          <w:szCs w:val="20"/>
        </w:rPr>
        <w:t xml:space="preserve"> </w:t>
      </w:r>
      <w:r w:rsidRPr="000977F7">
        <w:rPr>
          <w:rFonts w:asciiTheme="majorHAnsi" w:hAnsiTheme="majorHAnsi"/>
          <w:sz w:val="20"/>
          <w:szCs w:val="20"/>
        </w:rPr>
        <w:t>розряд,</w:t>
      </w:r>
      <w:r w:rsidRPr="000977F7">
        <w:rPr>
          <w:rFonts w:asciiTheme="majorHAnsi" w:hAnsiTheme="majorHAnsi"/>
          <w:spacing w:val="18"/>
          <w:sz w:val="20"/>
          <w:szCs w:val="20"/>
        </w:rPr>
        <w:t xml:space="preserve"> </w:t>
      </w:r>
      <w:r w:rsidRPr="000977F7">
        <w:rPr>
          <w:rFonts w:asciiTheme="majorHAnsi" w:hAnsiTheme="majorHAnsi"/>
          <w:sz w:val="20"/>
          <w:szCs w:val="20"/>
        </w:rPr>
        <w:t>надані</w:t>
      </w:r>
      <w:r w:rsidRPr="000977F7">
        <w:rPr>
          <w:rFonts w:asciiTheme="majorHAnsi" w:hAnsiTheme="majorHAnsi"/>
          <w:spacing w:val="17"/>
          <w:sz w:val="20"/>
          <w:szCs w:val="20"/>
        </w:rPr>
        <w:t xml:space="preserve"> </w:t>
      </w:r>
      <w:r w:rsidRPr="000977F7">
        <w:rPr>
          <w:rFonts w:asciiTheme="majorHAnsi" w:hAnsiTheme="majorHAnsi"/>
          <w:sz w:val="20"/>
          <w:szCs w:val="20"/>
        </w:rPr>
        <w:t>різним</w:t>
      </w:r>
      <w:r w:rsidRPr="000977F7">
        <w:rPr>
          <w:rFonts w:asciiTheme="majorHAnsi" w:hAnsiTheme="majorHAnsi"/>
          <w:spacing w:val="18"/>
          <w:sz w:val="20"/>
          <w:szCs w:val="20"/>
        </w:rPr>
        <w:t xml:space="preserve"> </w:t>
      </w:r>
      <w:r w:rsidRPr="000977F7">
        <w:rPr>
          <w:rFonts w:asciiTheme="majorHAnsi" w:hAnsiTheme="majorHAnsi"/>
          <w:sz w:val="20"/>
          <w:szCs w:val="20"/>
        </w:rPr>
        <w:t>вимогам</w:t>
      </w:r>
      <w:r w:rsidRPr="000977F7">
        <w:rPr>
          <w:rFonts w:asciiTheme="majorHAnsi" w:hAnsiTheme="majorHAnsi"/>
          <w:spacing w:val="18"/>
          <w:sz w:val="20"/>
          <w:szCs w:val="20"/>
        </w:rPr>
        <w:t xml:space="preserve"> </w:t>
      </w:r>
      <w:r w:rsidRPr="000977F7">
        <w:rPr>
          <w:rFonts w:asciiTheme="majorHAnsi" w:hAnsiTheme="majorHAnsi"/>
          <w:sz w:val="20"/>
          <w:szCs w:val="20"/>
        </w:rPr>
        <w:t>щодо</w:t>
      </w:r>
      <w:r w:rsidRPr="000977F7">
        <w:rPr>
          <w:rFonts w:asciiTheme="majorHAnsi" w:hAnsiTheme="majorHAnsi"/>
          <w:spacing w:val="-47"/>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3"/>
          <w:sz w:val="20"/>
          <w:szCs w:val="20"/>
        </w:rPr>
        <w:t xml:space="preserve"> </w:t>
      </w:r>
      <w:r w:rsidRPr="000977F7">
        <w:rPr>
          <w:rFonts w:asciiTheme="majorHAnsi" w:hAnsiTheme="majorHAnsi"/>
          <w:sz w:val="20"/>
          <w:szCs w:val="20"/>
        </w:rPr>
        <w:t>мають те</w:t>
      </w:r>
      <w:r w:rsidRPr="000977F7">
        <w:rPr>
          <w:rFonts w:asciiTheme="majorHAnsi" w:hAnsiTheme="majorHAnsi"/>
          <w:spacing w:val="-2"/>
          <w:sz w:val="20"/>
          <w:szCs w:val="20"/>
        </w:rPr>
        <w:t xml:space="preserve"> </w:t>
      </w:r>
      <w:r w:rsidRPr="000977F7">
        <w:rPr>
          <w:rFonts w:asciiTheme="majorHAnsi" w:hAnsiTheme="majorHAnsi"/>
          <w:sz w:val="20"/>
          <w:szCs w:val="20"/>
        </w:rPr>
        <w:t>саме</w:t>
      </w:r>
      <w:r w:rsidRPr="000977F7">
        <w:rPr>
          <w:rFonts w:asciiTheme="majorHAnsi" w:hAnsiTheme="majorHAnsi"/>
          <w:spacing w:val="-2"/>
          <w:sz w:val="20"/>
          <w:szCs w:val="20"/>
        </w:rPr>
        <w:t xml:space="preserve"> </w:t>
      </w:r>
      <w:r w:rsidRPr="000977F7">
        <w:rPr>
          <w:rFonts w:asciiTheme="majorHAnsi" w:hAnsiTheme="majorHAnsi"/>
          <w:sz w:val="20"/>
          <w:szCs w:val="20"/>
        </w:rPr>
        <w:t>функційне</w:t>
      </w:r>
      <w:r w:rsidRPr="000977F7">
        <w:rPr>
          <w:rFonts w:asciiTheme="majorHAnsi" w:hAnsiTheme="majorHAnsi"/>
          <w:spacing w:val="-2"/>
          <w:sz w:val="20"/>
          <w:szCs w:val="20"/>
        </w:rPr>
        <w:t xml:space="preserve"> </w:t>
      </w:r>
      <w:r w:rsidRPr="000977F7">
        <w:rPr>
          <w:rFonts w:asciiTheme="majorHAnsi" w:hAnsiTheme="majorHAnsi"/>
          <w:sz w:val="20"/>
          <w:szCs w:val="20"/>
        </w:rPr>
        <w:t>застосування.</w:t>
      </w:r>
    </w:p>
    <w:p w14:paraId="580E10D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Приклади.</w:t>
      </w:r>
    </w:p>
    <w:p w14:paraId="2EA9520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Клас</w:t>
      </w:r>
      <w:r w:rsidRPr="000977F7">
        <w:rPr>
          <w:rFonts w:asciiTheme="majorHAnsi" w:hAnsiTheme="majorHAnsi"/>
          <w:spacing w:val="12"/>
          <w:sz w:val="20"/>
          <w:szCs w:val="20"/>
        </w:rPr>
        <w:t xml:space="preserve"> </w:t>
      </w:r>
      <w:r w:rsidRPr="000977F7">
        <w:rPr>
          <w:rFonts w:asciiTheme="majorHAnsi" w:hAnsiTheme="majorHAnsi"/>
          <w:sz w:val="20"/>
          <w:szCs w:val="20"/>
        </w:rPr>
        <w:t>авіаквитка</w:t>
      </w:r>
      <w:r w:rsidRPr="000977F7">
        <w:rPr>
          <w:rFonts w:asciiTheme="majorHAnsi" w:hAnsiTheme="majorHAnsi"/>
          <w:spacing w:val="13"/>
          <w:sz w:val="20"/>
          <w:szCs w:val="20"/>
        </w:rPr>
        <w:t xml:space="preserve"> </w:t>
      </w:r>
      <w:r w:rsidRPr="000977F7">
        <w:rPr>
          <w:rFonts w:asciiTheme="majorHAnsi" w:hAnsiTheme="majorHAnsi"/>
          <w:sz w:val="20"/>
          <w:szCs w:val="20"/>
        </w:rPr>
        <w:t>та</w:t>
      </w:r>
      <w:r w:rsidRPr="000977F7">
        <w:rPr>
          <w:rFonts w:asciiTheme="majorHAnsi" w:hAnsiTheme="majorHAnsi"/>
          <w:spacing w:val="13"/>
          <w:sz w:val="20"/>
          <w:szCs w:val="20"/>
        </w:rPr>
        <w:t xml:space="preserve"> </w:t>
      </w:r>
      <w:r w:rsidRPr="000977F7">
        <w:rPr>
          <w:rFonts w:asciiTheme="majorHAnsi" w:hAnsiTheme="majorHAnsi"/>
          <w:sz w:val="20"/>
          <w:szCs w:val="20"/>
        </w:rPr>
        <w:t>категорія</w:t>
      </w:r>
      <w:r w:rsidRPr="000977F7">
        <w:rPr>
          <w:rFonts w:asciiTheme="majorHAnsi" w:hAnsiTheme="majorHAnsi"/>
          <w:spacing w:val="11"/>
          <w:sz w:val="20"/>
          <w:szCs w:val="20"/>
        </w:rPr>
        <w:t xml:space="preserve"> </w:t>
      </w:r>
      <w:r w:rsidRPr="000977F7">
        <w:rPr>
          <w:rFonts w:asciiTheme="majorHAnsi" w:hAnsiTheme="majorHAnsi"/>
          <w:sz w:val="20"/>
          <w:szCs w:val="20"/>
        </w:rPr>
        <w:t>готелю</w:t>
      </w:r>
      <w:r w:rsidRPr="000977F7">
        <w:rPr>
          <w:rFonts w:asciiTheme="majorHAnsi" w:hAnsiTheme="majorHAnsi"/>
          <w:spacing w:val="12"/>
          <w:sz w:val="20"/>
          <w:szCs w:val="20"/>
        </w:rPr>
        <w:t xml:space="preserve"> </w:t>
      </w:r>
      <w:r w:rsidRPr="000977F7">
        <w:rPr>
          <w:rFonts w:asciiTheme="majorHAnsi" w:hAnsiTheme="majorHAnsi"/>
          <w:sz w:val="20"/>
          <w:szCs w:val="20"/>
        </w:rPr>
        <w:t>в</w:t>
      </w:r>
      <w:r w:rsidRPr="000977F7">
        <w:rPr>
          <w:rFonts w:asciiTheme="majorHAnsi" w:hAnsiTheme="majorHAnsi"/>
          <w:spacing w:val="11"/>
          <w:sz w:val="20"/>
          <w:szCs w:val="20"/>
        </w:rPr>
        <w:t xml:space="preserve"> </w:t>
      </w:r>
      <w:r w:rsidRPr="000977F7">
        <w:rPr>
          <w:rFonts w:asciiTheme="majorHAnsi" w:hAnsiTheme="majorHAnsi"/>
          <w:sz w:val="20"/>
          <w:szCs w:val="20"/>
        </w:rPr>
        <w:t>готельному</w:t>
      </w:r>
      <w:r w:rsidRPr="000977F7">
        <w:rPr>
          <w:rFonts w:asciiTheme="majorHAnsi" w:hAnsiTheme="majorHAnsi"/>
          <w:spacing w:val="11"/>
          <w:sz w:val="20"/>
          <w:szCs w:val="20"/>
        </w:rPr>
        <w:t xml:space="preserve"> </w:t>
      </w:r>
      <w:r w:rsidRPr="000977F7">
        <w:rPr>
          <w:rFonts w:asciiTheme="majorHAnsi" w:hAnsiTheme="majorHAnsi"/>
          <w:sz w:val="20"/>
          <w:szCs w:val="20"/>
        </w:rPr>
        <w:t>довіднику.</w:t>
      </w:r>
    </w:p>
    <w:p w14:paraId="30BD111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1"/>
          <w:sz w:val="20"/>
          <w:szCs w:val="20"/>
        </w:rPr>
        <w:t xml:space="preserve"> </w:t>
      </w:r>
      <w:r w:rsidRPr="000977F7">
        <w:rPr>
          <w:rFonts w:asciiTheme="majorHAnsi" w:hAnsiTheme="majorHAnsi"/>
          <w:sz w:val="20"/>
          <w:szCs w:val="20"/>
        </w:rPr>
        <w:t>Якщо</w:t>
      </w:r>
      <w:r w:rsidRPr="000977F7">
        <w:rPr>
          <w:rFonts w:asciiTheme="majorHAnsi" w:hAnsiTheme="majorHAnsi"/>
          <w:spacing w:val="1"/>
          <w:sz w:val="20"/>
          <w:szCs w:val="20"/>
        </w:rPr>
        <w:t xml:space="preserve"> </w:t>
      </w:r>
      <w:r w:rsidRPr="000977F7">
        <w:rPr>
          <w:rFonts w:asciiTheme="majorHAnsi" w:hAnsiTheme="majorHAnsi"/>
          <w:sz w:val="20"/>
          <w:szCs w:val="20"/>
        </w:rPr>
        <w:t>установлюють</w:t>
      </w:r>
      <w:r w:rsidRPr="000977F7">
        <w:rPr>
          <w:rFonts w:asciiTheme="majorHAnsi" w:hAnsiTheme="majorHAnsi"/>
          <w:spacing w:val="1"/>
          <w:sz w:val="20"/>
          <w:szCs w:val="20"/>
        </w:rPr>
        <w:t xml:space="preserve"> </w:t>
      </w:r>
      <w:r w:rsidRPr="000977F7">
        <w:rPr>
          <w:rFonts w:asciiTheme="majorHAnsi" w:hAnsiTheme="majorHAnsi"/>
          <w:sz w:val="20"/>
          <w:szCs w:val="20"/>
        </w:rPr>
        <w:t>вимогу щодо</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47"/>
          <w:sz w:val="20"/>
          <w:szCs w:val="20"/>
        </w:rPr>
        <w:t xml:space="preserve"> </w:t>
      </w:r>
      <w:r w:rsidRPr="000977F7">
        <w:rPr>
          <w:rFonts w:asciiTheme="majorHAnsi" w:hAnsiTheme="majorHAnsi"/>
          <w:sz w:val="20"/>
          <w:szCs w:val="20"/>
        </w:rPr>
        <w:t>зазвичай</w:t>
      </w:r>
      <w:r w:rsidRPr="000977F7">
        <w:rPr>
          <w:rFonts w:asciiTheme="majorHAnsi" w:hAnsiTheme="majorHAnsi"/>
          <w:spacing w:val="-2"/>
          <w:sz w:val="20"/>
          <w:szCs w:val="20"/>
        </w:rPr>
        <w:t xml:space="preserve"> </w:t>
      </w:r>
      <w:r w:rsidRPr="000977F7">
        <w:rPr>
          <w:rFonts w:asciiTheme="majorHAnsi" w:hAnsiTheme="majorHAnsi"/>
          <w:sz w:val="20"/>
          <w:szCs w:val="20"/>
        </w:rPr>
        <w:t>зазначають рівень</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p>
    <w:p w14:paraId="60466A5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086964A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РІВЕНЬ</w:t>
      </w:r>
      <w:r w:rsidRPr="000977F7">
        <w:rPr>
          <w:color w:val="auto"/>
          <w:spacing w:val="-4"/>
          <w:sz w:val="20"/>
          <w:szCs w:val="20"/>
        </w:rPr>
        <w:t xml:space="preserve"> </w:t>
      </w:r>
      <w:r w:rsidRPr="000977F7">
        <w:rPr>
          <w:color w:val="auto"/>
          <w:sz w:val="20"/>
          <w:szCs w:val="20"/>
        </w:rPr>
        <w:t>ЯКОСТІ</w:t>
      </w:r>
      <w:r w:rsidRPr="000977F7">
        <w:rPr>
          <w:color w:val="auto"/>
          <w:spacing w:val="-4"/>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4E47B34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Відносна характеристика якості продукції, заснована</w:t>
      </w:r>
      <w:r w:rsidRPr="000977F7">
        <w:rPr>
          <w:rFonts w:asciiTheme="majorHAnsi" w:hAnsiTheme="majorHAnsi"/>
          <w:spacing w:val="1"/>
          <w:sz w:val="20"/>
          <w:szCs w:val="20"/>
        </w:rPr>
        <w:t xml:space="preserve"> </w:t>
      </w:r>
      <w:r w:rsidRPr="000977F7">
        <w:rPr>
          <w:rFonts w:asciiTheme="majorHAnsi" w:hAnsiTheme="majorHAnsi"/>
          <w:sz w:val="20"/>
          <w:szCs w:val="20"/>
        </w:rPr>
        <w:t>на порівнянні значень показників якості оцінюваної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 з базовими значеннями відповідних показників</w:t>
      </w:r>
    </w:p>
    <w:p w14:paraId="2FB5D61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РІВНОМІРНА</w:t>
      </w:r>
      <w:r w:rsidRPr="000977F7">
        <w:rPr>
          <w:color w:val="auto"/>
          <w:spacing w:val="-4"/>
          <w:sz w:val="20"/>
          <w:szCs w:val="20"/>
        </w:rPr>
        <w:t xml:space="preserve"> </w:t>
      </w:r>
      <w:r w:rsidRPr="000977F7">
        <w:rPr>
          <w:color w:val="auto"/>
          <w:sz w:val="20"/>
          <w:szCs w:val="20"/>
        </w:rPr>
        <w:t>КОРОЗІЯ</w:t>
      </w:r>
      <w:r w:rsidRPr="000977F7">
        <w:rPr>
          <w:color w:val="auto"/>
          <w:spacing w:val="-1"/>
          <w:sz w:val="20"/>
          <w:szCs w:val="20"/>
        </w:rPr>
        <w:t xml:space="preserve"> </w:t>
      </w:r>
      <w:r w:rsidRPr="000977F7">
        <w:rPr>
          <w:color w:val="auto"/>
          <w:sz w:val="20"/>
          <w:szCs w:val="20"/>
        </w:rPr>
        <w:t>–</w:t>
      </w:r>
    </w:p>
    <w:p w14:paraId="6DE29FF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UNIFORM CORROSION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A1EE9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Суцільна</w:t>
      </w:r>
      <w:r w:rsidRPr="000977F7">
        <w:rPr>
          <w:rFonts w:asciiTheme="majorHAnsi" w:hAnsiTheme="majorHAnsi"/>
          <w:spacing w:val="10"/>
          <w:sz w:val="20"/>
          <w:szCs w:val="20"/>
        </w:rPr>
        <w:t xml:space="preserve"> </w:t>
      </w:r>
      <w:r w:rsidRPr="000977F7">
        <w:rPr>
          <w:rFonts w:asciiTheme="majorHAnsi" w:hAnsiTheme="majorHAnsi"/>
          <w:sz w:val="20"/>
          <w:szCs w:val="20"/>
        </w:rPr>
        <w:t>корозія,</w:t>
      </w:r>
      <w:r w:rsidRPr="000977F7">
        <w:rPr>
          <w:rFonts w:asciiTheme="majorHAnsi" w:hAnsiTheme="majorHAnsi"/>
          <w:spacing w:val="8"/>
          <w:sz w:val="20"/>
          <w:szCs w:val="20"/>
        </w:rPr>
        <w:t xml:space="preserve"> </w:t>
      </w:r>
      <w:r w:rsidRPr="000977F7">
        <w:rPr>
          <w:rFonts w:asciiTheme="majorHAnsi" w:hAnsiTheme="majorHAnsi"/>
          <w:sz w:val="20"/>
          <w:szCs w:val="20"/>
        </w:rPr>
        <w:t>що</w:t>
      </w:r>
      <w:r w:rsidRPr="000977F7">
        <w:rPr>
          <w:rFonts w:asciiTheme="majorHAnsi" w:hAnsiTheme="majorHAnsi"/>
          <w:spacing w:val="11"/>
          <w:sz w:val="20"/>
          <w:szCs w:val="20"/>
        </w:rPr>
        <w:t xml:space="preserve"> </w:t>
      </w:r>
      <w:r w:rsidRPr="000977F7">
        <w:rPr>
          <w:rFonts w:asciiTheme="majorHAnsi" w:hAnsiTheme="majorHAnsi"/>
          <w:sz w:val="20"/>
          <w:szCs w:val="20"/>
        </w:rPr>
        <w:t>поширюється</w:t>
      </w:r>
      <w:r w:rsidRPr="000977F7">
        <w:rPr>
          <w:rFonts w:asciiTheme="majorHAnsi" w:hAnsiTheme="majorHAnsi"/>
          <w:spacing w:val="7"/>
          <w:sz w:val="20"/>
          <w:szCs w:val="20"/>
        </w:rPr>
        <w:t xml:space="preserve"> </w:t>
      </w:r>
      <w:r w:rsidRPr="000977F7">
        <w:rPr>
          <w:rFonts w:asciiTheme="majorHAnsi" w:hAnsiTheme="majorHAnsi"/>
          <w:sz w:val="20"/>
          <w:szCs w:val="20"/>
        </w:rPr>
        <w:t>з</w:t>
      </w:r>
      <w:r w:rsidRPr="000977F7">
        <w:rPr>
          <w:rFonts w:asciiTheme="majorHAnsi" w:hAnsiTheme="majorHAnsi"/>
          <w:spacing w:val="9"/>
          <w:sz w:val="20"/>
          <w:szCs w:val="20"/>
        </w:rPr>
        <w:t xml:space="preserve"> </w:t>
      </w:r>
      <w:r w:rsidRPr="000977F7">
        <w:rPr>
          <w:rFonts w:asciiTheme="majorHAnsi" w:hAnsiTheme="majorHAnsi"/>
          <w:sz w:val="20"/>
          <w:szCs w:val="20"/>
        </w:rPr>
        <w:t>однаковою</w:t>
      </w:r>
      <w:r w:rsidRPr="000977F7">
        <w:rPr>
          <w:rFonts w:asciiTheme="majorHAnsi" w:hAnsiTheme="majorHAnsi"/>
          <w:spacing w:val="7"/>
          <w:sz w:val="20"/>
          <w:szCs w:val="20"/>
        </w:rPr>
        <w:t xml:space="preserve"> </w:t>
      </w:r>
      <w:r w:rsidRPr="000977F7">
        <w:rPr>
          <w:rFonts w:asciiTheme="majorHAnsi" w:hAnsiTheme="majorHAnsi"/>
          <w:sz w:val="20"/>
          <w:szCs w:val="20"/>
        </w:rPr>
        <w:t>швидкістю</w:t>
      </w:r>
      <w:r w:rsidRPr="000977F7">
        <w:rPr>
          <w:rFonts w:asciiTheme="majorHAnsi" w:hAnsiTheme="majorHAnsi"/>
          <w:spacing w:val="-1"/>
          <w:sz w:val="20"/>
          <w:szCs w:val="20"/>
        </w:rPr>
        <w:t xml:space="preserve"> </w:t>
      </w:r>
      <w:r w:rsidRPr="000977F7">
        <w:rPr>
          <w:rFonts w:asciiTheme="majorHAnsi" w:hAnsiTheme="majorHAnsi"/>
          <w:sz w:val="20"/>
          <w:szCs w:val="20"/>
        </w:rPr>
        <w:t>по</w:t>
      </w:r>
      <w:r w:rsidRPr="000977F7">
        <w:rPr>
          <w:rFonts w:asciiTheme="majorHAnsi" w:hAnsiTheme="majorHAnsi"/>
          <w:spacing w:val="1"/>
          <w:sz w:val="20"/>
          <w:szCs w:val="20"/>
        </w:rPr>
        <w:t xml:space="preserve"> </w:t>
      </w:r>
      <w:r w:rsidRPr="000977F7">
        <w:rPr>
          <w:rFonts w:asciiTheme="majorHAnsi" w:hAnsiTheme="majorHAnsi"/>
          <w:sz w:val="20"/>
          <w:szCs w:val="20"/>
        </w:rPr>
        <w:t>всій</w:t>
      </w:r>
      <w:r w:rsidRPr="000977F7">
        <w:rPr>
          <w:rFonts w:asciiTheme="majorHAnsi" w:hAnsiTheme="majorHAnsi"/>
          <w:spacing w:val="-1"/>
          <w:sz w:val="20"/>
          <w:szCs w:val="20"/>
        </w:rPr>
        <w:t xml:space="preserve"> </w:t>
      </w:r>
      <w:r w:rsidRPr="000977F7">
        <w:rPr>
          <w:rFonts w:asciiTheme="majorHAnsi" w:hAnsiTheme="majorHAnsi"/>
          <w:sz w:val="20"/>
          <w:szCs w:val="20"/>
        </w:rPr>
        <w:t>поверхні</w:t>
      </w:r>
      <w:r w:rsidRPr="000977F7">
        <w:rPr>
          <w:rFonts w:asciiTheme="majorHAnsi" w:hAnsiTheme="majorHAnsi"/>
          <w:spacing w:val="-2"/>
          <w:sz w:val="20"/>
          <w:szCs w:val="20"/>
        </w:rPr>
        <w:t xml:space="preserve"> </w:t>
      </w:r>
      <w:r w:rsidRPr="000977F7">
        <w:rPr>
          <w:rFonts w:asciiTheme="majorHAnsi" w:hAnsiTheme="majorHAnsi"/>
          <w:sz w:val="20"/>
          <w:szCs w:val="20"/>
        </w:rPr>
        <w:t>металу</w:t>
      </w:r>
    </w:p>
    <w:p w14:paraId="7EE5EF2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3830 - 98</w:t>
      </w:r>
    </w:p>
    <w:p w14:paraId="56153F0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РІВНОПРАВНЕ</w:t>
      </w:r>
      <w:r w:rsidRPr="000977F7">
        <w:rPr>
          <w:color w:val="auto"/>
          <w:spacing w:val="-7"/>
          <w:sz w:val="20"/>
          <w:szCs w:val="20"/>
        </w:rPr>
        <w:t xml:space="preserve"> </w:t>
      </w:r>
      <w:r w:rsidRPr="000977F7">
        <w:rPr>
          <w:color w:val="auto"/>
          <w:sz w:val="20"/>
          <w:szCs w:val="20"/>
        </w:rPr>
        <w:t>ОЦІНЮВАННЯ-</w:t>
      </w:r>
    </w:p>
    <w:p w14:paraId="0820CE7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PEER</w:t>
      </w:r>
      <w:r w:rsidRPr="000977F7">
        <w:rPr>
          <w:rFonts w:asciiTheme="majorHAnsi" w:hAnsiTheme="majorHAnsi"/>
          <w:spacing w:val="-3"/>
          <w:sz w:val="20"/>
          <w:szCs w:val="20"/>
        </w:rPr>
        <w:t xml:space="preserve"> </w:t>
      </w:r>
      <w:r w:rsidRPr="000977F7">
        <w:rPr>
          <w:rFonts w:asciiTheme="majorHAnsi" w:hAnsiTheme="majorHAnsi"/>
          <w:sz w:val="20"/>
          <w:szCs w:val="20"/>
        </w:rPr>
        <w:t>ASSESMENT-</w:t>
      </w:r>
    </w:p>
    <w:p w14:paraId="6D9C43B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Оцінювання органу на відповідність установленим</w:t>
      </w:r>
      <w:r w:rsidRPr="000977F7">
        <w:rPr>
          <w:rFonts w:asciiTheme="majorHAnsi" w:hAnsiTheme="majorHAnsi"/>
          <w:spacing w:val="1"/>
          <w:sz w:val="20"/>
          <w:szCs w:val="20"/>
        </w:rPr>
        <w:t xml:space="preserve"> </w:t>
      </w:r>
      <w:r w:rsidRPr="000977F7">
        <w:rPr>
          <w:rFonts w:asciiTheme="majorHAnsi" w:hAnsiTheme="majorHAnsi"/>
          <w:sz w:val="20"/>
          <w:szCs w:val="20"/>
        </w:rPr>
        <w:t>вимогам,</w:t>
      </w:r>
      <w:r w:rsidRPr="000977F7">
        <w:rPr>
          <w:rFonts w:asciiTheme="majorHAnsi" w:hAnsiTheme="majorHAnsi"/>
          <w:spacing w:val="-5"/>
          <w:sz w:val="20"/>
          <w:szCs w:val="20"/>
        </w:rPr>
        <w:t xml:space="preserve"> </w:t>
      </w:r>
      <w:r w:rsidRPr="000977F7">
        <w:rPr>
          <w:rFonts w:asciiTheme="majorHAnsi" w:hAnsiTheme="majorHAnsi"/>
          <w:sz w:val="20"/>
          <w:szCs w:val="20"/>
        </w:rPr>
        <w:t>яке</w:t>
      </w:r>
      <w:r w:rsidRPr="000977F7">
        <w:rPr>
          <w:rFonts w:asciiTheme="majorHAnsi" w:hAnsiTheme="majorHAnsi"/>
          <w:spacing w:val="-4"/>
          <w:sz w:val="20"/>
          <w:szCs w:val="20"/>
        </w:rPr>
        <w:t xml:space="preserve"> </w:t>
      </w:r>
      <w:r w:rsidRPr="000977F7">
        <w:rPr>
          <w:rFonts w:asciiTheme="majorHAnsi" w:hAnsiTheme="majorHAnsi"/>
          <w:sz w:val="20"/>
          <w:szCs w:val="20"/>
        </w:rPr>
        <w:t>провадять</w:t>
      </w:r>
      <w:r w:rsidRPr="000977F7">
        <w:rPr>
          <w:rFonts w:asciiTheme="majorHAnsi" w:hAnsiTheme="majorHAnsi"/>
          <w:spacing w:val="-4"/>
          <w:sz w:val="20"/>
          <w:szCs w:val="20"/>
        </w:rPr>
        <w:t xml:space="preserve"> </w:t>
      </w:r>
      <w:r w:rsidRPr="000977F7">
        <w:rPr>
          <w:rFonts w:asciiTheme="majorHAnsi" w:hAnsiTheme="majorHAnsi"/>
          <w:sz w:val="20"/>
          <w:szCs w:val="20"/>
        </w:rPr>
        <w:t>представники</w:t>
      </w:r>
      <w:r w:rsidRPr="000977F7">
        <w:rPr>
          <w:rFonts w:asciiTheme="majorHAnsi" w:hAnsiTheme="majorHAnsi"/>
          <w:spacing w:val="-5"/>
          <w:sz w:val="20"/>
          <w:szCs w:val="20"/>
        </w:rPr>
        <w:t xml:space="preserve"> </w:t>
      </w:r>
      <w:r w:rsidRPr="000977F7">
        <w:rPr>
          <w:rFonts w:asciiTheme="majorHAnsi" w:hAnsiTheme="majorHAnsi"/>
          <w:sz w:val="20"/>
          <w:szCs w:val="20"/>
        </w:rPr>
        <w:t>інших</w:t>
      </w:r>
      <w:r w:rsidRPr="000977F7">
        <w:rPr>
          <w:rFonts w:asciiTheme="majorHAnsi" w:hAnsiTheme="majorHAnsi"/>
          <w:spacing w:val="-5"/>
          <w:sz w:val="20"/>
          <w:szCs w:val="20"/>
        </w:rPr>
        <w:t xml:space="preserve"> </w:t>
      </w:r>
      <w:r w:rsidRPr="000977F7">
        <w:rPr>
          <w:rFonts w:asciiTheme="majorHAnsi" w:hAnsiTheme="majorHAnsi"/>
          <w:sz w:val="20"/>
          <w:szCs w:val="20"/>
        </w:rPr>
        <w:t>органів,</w:t>
      </w:r>
      <w:r w:rsidRPr="000977F7">
        <w:rPr>
          <w:rFonts w:asciiTheme="majorHAnsi" w:hAnsiTheme="majorHAnsi"/>
          <w:spacing w:val="-47"/>
          <w:sz w:val="20"/>
          <w:szCs w:val="20"/>
        </w:rPr>
        <w:t xml:space="preserve"> </w:t>
      </w:r>
      <w:r w:rsidRPr="000977F7">
        <w:rPr>
          <w:rFonts w:asciiTheme="majorHAnsi" w:hAnsiTheme="majorHAnsi"/>
          <w:sz w:val="20"/>
          <w:szCs w:val="20"/>
        </w:rPr>
        <w:t>що належать, або є кандидатами на належність до</w:t>
      </w:r>
      <w:r w:rsidRPr="000977F7">
        <w:rPr>
          <w:rFonts w:asciiTheme="majorHAnsi" w:hAnsiTheme="majorHAnsi"/>
          <w:spacing w:val="1"/>
          <w:sz w:val="20"/>
          <w:szCs w:val="20"/>
        </w:rPr>
        <w:t xml:space="preserve"> </w:t>
      </w:r>
      <w:r w:rsidRPr="000977F7">
        <w:rPr>
          <w:rFonts w:asciiTheme="majorHAnsi" w:hAnsiTheme="majorHAnsi"/>
          <w:sz w:val="20"/>
          <w:szCs w:val="20"/>
        </w:rPr>
        <w:t>суб’єктів</w:t>
      </w:r>
      <w:r w:rsidRPr="000977F7">
        <w:rPr>
          <w:rFonts w:asciiTheme="majorHAnsi" w:hAnsiTheme="majorHAnsi"/>
          <w:spacing w:val="1"/>
          <w:sz w:val="20"/>
          <w:szCs w:val="20"/>
        </w:rPr>
        <w:t xml:space="preserve"> </w:t>
      </w:r>
      <w:r w:rsidRPr="000977F7">
        <w:rPr>
          <w:rFonts w:asciiTheme="majorHAnsi" w:hAnsiTheme="majorHAnsi"/>
          <w:sz w:val="20"/>
          <w:szCs w:val="20"/>
        </w:rPr>
        <w:t>угоди</w:t>
      </w:r>
    </w:p>
    <w:p w14:paraId="1EDE1FE4" w14:textId="77777777" w:rsidR="0097612F" w:rsidRPr="004D2D14" w:rsidRDefault="0097612F" w:rsidP="000977F7">
      <w:pPr>
        <w:tabs>
          <w:tab w:val="left" w:pos="284"/>
        </w:tabs>
        <w:spacing w:after="0" w:line="240" w:lineRule="auto"/>
        <w:ind w:left="170"/>
        <w:mirrorIndents/>
        <w:jc w:val="both"/>
        <w:rPr>
          <w:rFonts w:asciiTheme="majorHAnsi" w:hAnsiTheme="majorHAnsi"/>
          <w:spacing w:val="-47"/>
          <w:sz w:val="20"/>
          <w:szCs w:val="20"/>
          <w:lang w:val="en-US"/>
        </w:rPr>
      </w:pPr>
      <w:r w:rsidRPr="000977F7">
        <w:rPr>
          <w:rFonts w:asciiTheme="majorHAnsi" w:hAnsiTheme="majorHAnsi"/>
          <w:i/>
          <w:iCs/>
          <w:sz w:val="20"/>
          <w:szCs w:val="20"/>
        </w:rPr>
        <w:t>ДСТУ</w:t>
      </w:r>
      <w:r w:rsidRPr="004D2D14">
        <w:rPr>
          <w:rFonts w:asciiTheme="majorHAnsi" w:hAnsiTheme="majorHAnsi"/>
          <w:i/>
          <w:iCs/>
          <w:sz w:val="20"/>
          <w:szCs w:val="20"/>
          <w:lang w:val="en-US"/>
        </w:rPr>
        <w:t xml:space="preserve"> ISO/IEC 17000:2007</w:t>
      </w:r>
      <w:r w:rsidRPr="004D2D14">
        <w:rPr>
          <w:rFonts w:asciiTheme="majorHAnsi" w:hAnsiTheme="majorHAnsi"/>
          <w:spacing w:val="-47"/>
          <w:sz w:val="20"/>
          <w:szCs w:val="20"/>
          <w:lang w:val="en-US"/>
        </w:rPr>
        <w:t xml:space="preserve"> </w:t>
      </w:r>
    </w:p>
    <w:p w14:paraId="4A7A3D07"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1"/>
          <w:sz w:val="20"/>
          <w:szCs w:val="20"/>
          <w:lang w:val="en-US"/>
        </w:rPr>
      </w:pPr>
      <w:r w:rsidRPr="000977F7">
        <w:rPr>
          <w:rFonts w:asciiTheme="majorHAnsi" w:hAnsiTheme="majorHAnsi"/>
          <w:b/>
          <w:sz w:val="20"/>
          <w:szCs w:val="20"/>
        </w:rPr>
        <w:t>РІВНОПРАВНИЙ</w:t>
      </w:r>
      <w:r w:rsidRPr="004D2D14">
        <w:rPr>
          <w:rFonts w:asciiTheme="majorHAnsi" w:hAnsiTheme="majorHAnsi"/>
          <w:b/>
          <w:sz w:val="20"/>
          <w:szCs w:val="20"/>
          <w:lang w:val="en-US"/>
        </w:rPr>
        <w:t xml:space="preserve"> –</w:t>
      </w:r>
    </w:p>
    <w:p w14:paraId="4E840F28"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EQUAL</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TREATMENT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3B4654A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Режим, наданий продукції чи процесам одного постачальника, який є</w:t>
      </w:r>
      <w:r w:rsidRPr="000977F7">
        <w:rPr>
          <w:rFonts w:asciiTheme="majorHAnsi" w:hAnsiTheme="majorHAnsi"/>
          <w:spacing w:val="1"/>
          <w:sz w:val="20"/>
          <w:szCs w:val="20"/>
        </w:rPr>
        <w:t xml:space="preserve"> </w:t>
      </w:r>
      <w:r w:rsidRPr="000977F7">
        <w:rPr>
          <w:rFonts w:asciiTheme="majorHAnsi" w:hAnsiTheme="majorHAnsi"/>
          <w:sz w:val="20"/>
          <w:szCs w:val="20"/>
        </w:rPr>
        <w:t>не менш сприятливим, ніж режим,</w:t>
      </w:r>
      <w:r w:rsidRPr="000977F7">
        <w:rPr>
          <w:rFonts w:asciiTheme="majorHAnsi" w:hAnsiTheme="majorHAnsi"/>
          <w:spacing w:val="1"/>
          <w:sz w:val="20"/>
          <w:szCs w:val="20"/>
        </w:rPr>
        <w:t xml:space="preserve"> </w:t>
      </w:r>
      <w:r w:rsidRPr="000977F7">
        <w:rPr>
          <w:rFonts w:asciiTheme="majorHAnsi" w:hAnsiTheme="majorHAnsi"/>
          <w:sz w:val="20"/>
          <w:szCs w:val="20"/>
        </w:rPr>
        <w:t>наданий подібній продукції чи процесам будь-якого</w:t>
      </w:r>
      <w:r w:rsidRPr="000977F7">
        <w:rPr>
          <w:rFonts w:asciiTheme="majorHAnsi" w:hAnsiTheme="majorHAnsi"/>
          <w:spacing w:val="1"/>
          <w:sz w:val="20"/>
          <w:szCs w:val="20"/>
        </w:rPr>
        <w:t xml:space="preserve"> </w:t>
      </w:r>
      <w:r w:rsidRPr="000977F7">
        <w:rPr>
          <w:rFonts w:asciiTheme="majorHAnsi" w:hAnsiTheme="majorHAnsi"/>
          <w:sz w:val="20"/>
          <w:szCs w:val="20"/>
        </w:rPr>
        <w:t>іншого постачальника</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однаковій</w:t>
      </w:r>
      <w:r w:rsidRPr="000977F7">
        <w:rPr>
          <w:rFonts w:asciiTheme="majorHAnsi" w:hAnsiTheme="majorHAnsi"/>
          <w:spacing w:val="-2"/>
          <w:sz w:val="20"/>
          <w:szCs w:val="20"/>
        </w:rPr>
        <w:t xml:space="preserve"> </w:t>
      </w:r>
      <w:r w:rsidRPr="000977F7">
        <w:rPr>
          <w:rFonts w:asciiTheme="majorHAnsi" w:hAnsiTheme="majorHAnsi"/>
          <w:sz w:val="20"/>
          <w:szCs w:val="20"/>
        </w:rPr>
        <w:t>ситуації</w:t>
      </w:r>
    </w:p>
    <w:p w14:paraId="142ABD26"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bCs/>
          <w:i/>
          <w:iCs/>
          <w:sz w:val="20"/>
          <w:szCs w:val="20"/>
        </w:rPr>
        <w:t>ДСТУ</w:t>
      </w:r>
      <w:r w:rsidRPr="000977F7">
        <w:rPr>
          <w:rFonts w:asciiTheme="majorHAnsi" w:hAnsiTheme="majorHAnsi"/>
          <w:b/>
          <w:i/>
          <w:iCs/>
          <w:sz w:val="20"/>
          <w:szCs w:val="20"/>
        </w:rPr>
        <w:t xml:space="preserve"> </w:t>
      </w:r>
      <w:r w:rsidRPr="000977F7">
        <w:rPr>
          <w:rFonts w:asciiTheme="majorHAnsi" w:hAnsiTheme="majorHAnsi"/>
          <w:i/>
          <w:iCs/>
          <w:sz w:val="20"/>
          <w:szCs w:val="20"/>
        </w:rPr>
        <w:t>ISO/IEC 17000:2007</w:t>
      </w:r>
    </w:p>
    <w:p w14:paraId="46A727E8"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РІВНОПРАВНІ СТОСУНКИ –</w:t>
      </w:r>
    </w:p>
    <w:p w14:paraId="15B2C59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RECIPROCITY –</w:t>
      </w:r>
    </w:p>
    <w:p w14:paraId="0653620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Двосторонні взаємовідносини, за яких обидві сторони мають однакові права та обов’язки відносно один</w:t>
      </w:r>
      <w:r w:rsidRPr="000977F7">
        <w:rPr>
          <w:rFonts w:asciiTheme="majorHAnsi" w:hAnsiTheme="majorHAnsi"/>
          <w:spacing w:val="1"/>
          <w:sz w:val="20"/>
          <w:szCs w:val="20"/>
        </w:rPr>
        <w:t xml:space="preserve"> </w:t>
      </w:r>
      <w:r w:rsidRPr="000977F7">
        <w:rPr>
          <w:rFonts w:asciiTheme="majorHAnsi" w:hAnsiTheme="majorHAnsi"/>
          <w:sz w:val="20"/>
          <w:szCs w:val="20"/>
        </w:rPr>
        <w:t>одного</w:t>
      </w:r>
    </w:p>
    <w:p w14:paraId="47E3E85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а:Рівноправні стосунки можуть мати місце також у рамках</w:t>
      </w:r>
      <w:r w:rsidRPr="000977F7">
        <w:rPr>
          <w:rFonts w:asciiTheme="majorHAnsi" w:hAnsiTheme="majorHAnsi"/>
          <w:spacing w:val="1"/>
          <w:sz w:val="20"/>
          <w:szCs w:val="20"/>
        </w:rPr>
        <w:t xml:space="preserve"> </w:t>
      </w:r>
      <w:r w:rsidRPr="000977F7">
        <w:rPr>
          <w:rFonts w:asciiTheme="majorHAnsi" w:hAnsiTheme="majorHAnsi"/>
          <w:sz w:val="20"/>
          <w:szCs w:val="20"/>
        </w:rPr>
        <w:t>багатосторонньої</w:t>
      </w:r>
      <w:r w:rsidRPr="000977F7">
        <w:rPr>
          <w:rFonts w:asciiTheme="majorHAnsi" w:hAnsiTheme="majorHAnsi"/>
          <w:spacing w:val="1"/>
          <w:sz w:val="20"/>
          <w:szCs w:val="20"/>
        </w:rPr>
        <w:t xml:space="preserve"> </w:t>
      </w:r>
      <w:r w:rsidRPr="000977F7">
        <w:rPr>
          <w:rFonts w:asciiTheme="majorHAnsi" w:hAnsiTheme="majorHAnsi"/>
          <w:sz w:val="20"/>
          <w:szCs w:val="20"/>
        </w:rPr>
        <w:t>угоди,</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охоплює</w:t>
      </w:r>
      <w:r w:rsidRPr="000977F7">
        <w:rPr>
          <w:rFonts w:asciiTheme="majorHAnsi" w:hAnsiTheme="majorHAnsi"/>
          <w:spacing w:val="1"/>
          <w:sz w:val="20"/>
          <w:szCs w:val="20"/>
        </w:rPr>
        <w:t xml:space="preserve"> </w:t>
      </w:r>
      <w:r w:rsidRPr="000977F7">
        <w:rPr>
          <w:rFonts w:asciiTheme="majorHAnsi" w:hAnsiTheme="majorHAnsi"/>
          <w:sz w:val="20"/>
          <w:szCs w:val="20"/>
        </w:rPr>
        <w:t>мережу</w:t>
      </w:r>
      <w:r w:rsidRPr="000977F7">
        <w:rPr>
          <w:rFonts w:asciiTheme="majorHAnsi" w:hAnsiTheme="majorHAnsi"/>
          <w:spacing w:val="1"/>
          <w:sz w:val="20"/>
          <w:szCs w:val="20"/>
        </w:rPr>
        <w:t xml:space="preserve"> </w:t>
      </w:r>
      <w:r w:rsidRPr="000977F7">
        <w:rPr>
          <w:rFonts w:asciiTheme="majorHAnsi" w:hAnsiTheme="majorHAnsi"/>
          <w:sz w:val="20"/>
          <w:szCs w:val="20"/>
        </w:rPr>
        <w:t>двосторонніх</w:t>
      </w:r>
      <w:r w:rsidRPr="000977F7">
        <w:rPr>
          <w:rFonts w:asciiTheme="majorHAnsi" w:hAnsiTheme="majorHAnsi"/>
          <w:spacing w:val="-2"/>
          <w:sz w:val="20"/>
          <w:szCs w:val="20"/>
        </w:rPr>
        <w:t xml:space="preserve"> </w:t>
      </w:r>
      <w:r w:rsidRPr="000977F7">
        <w:rPr>
          <w:rFonts w:asciiTheme="majorHAnsi" w:hAnsiTheme="majorHAnsi"/>
          <w:sz w:val="20"/>
          <w:szCs w:val="20"/>
        </w:rPr>
        <w:t>взаємовідносин</w:t>
      </w:r>
    </w:p>
    <w:p w14:paraId="0D55A7A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2A0E6FA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РІД</w:t>
      </w:r>
      <w:r w:rsidRPr="000977F7">
        <w:rPr>
          <w:color w:val="auto"/>
          <w:spacing w:val="-3"/>
          <w:sz w:val="20"/>
          <w:szCs w:val="20"/>
        </w:rPr>
        <w:t xml:space="preserve"> </w:t>
      </w:r>
      <w:r w:rsidRPr="000977F7">
        <w:rPr>
          <w:color w:val="auto"/>
          <w:sz w:val="20"/>
          <w:szCs w:val="20"/>
        </w:rPr>
        <w:t>ФІЗИЧНОЇ</w:t>
      </w:r>
      <w:r w:rsidRPr="000977F7">
        <w:rPr>
          <w:color w:val="auto"/>
          <w:spacing w:val="-3"/>
          <w:sz w:val="20"/>
          <w:szCs w:val="20"/>
        </w:rPr>
        <w:t xml:space="preserve"> </w:t>
      </w:r>
      <w:r w:rsidRPr="000977F7">
        <w:rPr>
          <w:color w:val="auto"/>
          <w:sz w:val="20"/>
          <w:szCs w:val="20"/>
        </w:rPr>
        <w:t>ВЕЛИЧИНИ</w:t>
      </w:r>
      <w:r w:rsidRPr="000977F7">
        <w:rPr>
          <w:color w:val="auto"/>
          <w:spacing w:val="1"/>
          <w:sz w:val="20"/>
          <w:szCs w:val="20"/>
        </w:rPr>
        <w:t xml:space="preserve"> </w:t>
      </w:r>
      <w:r w:rsidRPr="000977F7">
        <w:rPr>
          <w:color w:val="auto"/>
          <w:sz w:val="20"/>
          <w:szCs w:val="20"/>
        </w:rPr>
        <w:t>–</w:t>
      </w:r>
    </w:p>
    <w:p w14:paraId="06DEA2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Якісна</w:t>
      </w:r>
      <w:r w:rsidRPr="000977F7">
        <w:rPr>
          <w:rFonts w:asciiTheme="majorHAnsi" w:hAnsiTheme="majorHAnsi"/>
          <w:spacing w:val="-5"/>
          <w:sz w:val="20"/>
          <w:szCs w:val="20"/>
        </w:rPr>
        <w:t xml:space="preserve"> </w:t>
      </w:r>
      <w:r w:rsidRPr="000977F7">
        <w:rPr>
          <w:rFonts w:asciiTheme="majorHAnsi" w:hAnsiTheme="majorHAnsi"/>
          <w:sz w:val="20"/>
          <w:szCs w:val="20"/>
        </w:rPr>
        <w:t>означеність</w:t>
      </w:r>
      <w:r w:rsidRPr="000977F7">
        <w:rPr>
          <w:rFonts w:asciiTheme="majorHAnsi" w:hAnsiTheme="majorHAnsi"/>
          <w:spacing w:val="-4"/>
          <w:sz w:val="20"/>
          <w:szCs w:val="20"/>
        </w:rPr>
        <w:t xml:space="preserve"> </w:t>
      </w:r>
      <w:r w:rsidRPr="000977F7">
        <w:rPr>
          <w:rFonts w:asciiTheme="majorHAnsi" w:hAnsiTheme="majorHAnsi"/>
          <w:sz w:val="20"/>
          <w:szCs w:val="20"/>
        </w:rPr>
        <w:t>фізичної</w:t>
      </w:r>
      <w:r w:rsidRPr="000977F7">
        <w:rPr>
          <w:rFonts w:asciiTheme="majorHAnsi" w:hAnsiTheme="majorHAnsi"/>
          <w:spacing w:val="-3"/>
          <w:sz w:val="20"/>
          <w:szCs w:val="20"/>
        </w:rPr>
        <w:t xml:space="preserve"> </w:t>
      </w:r>
      <w:r w:rsidRPr="000977F7">
        <w:rPr>
          <w:rFonts w:asciiTheme="majorHAnsi" w:hAnsiTheme="majorHAnsi"/>
          <w:sz w:val="20"/>
          <w:szCs w:val="20"/>
        </w:rPr>
        <w:t>величини</w:t>
      </w:r>
    </w:p>
    <w:p w14:paraId="25FD950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C4A7E9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РІДИННИЙ</w:t>
      </w:r>
      <w:r w:rsidRPr="000977F7">
        <w:rPr>
          <w:color w:val="auto"/>
          <w:spacing w:val="-5"/>
          <w:sz w:val="20"/>
          <w:szCs w:val="20"/>
        </w:rPr>
        <w:t xml:space="preserve"> </w:t>
      </w:r>
      <w:r w:rsidRPr="000977F7">
        <w:rPr>
          <w:color w:val="auto"/>
          <w:sz w:val="20"/>
          <w:szCs w:val="20"/>
        </w:rPr>
        <w:t>МЕТОД –</w:t>
      </w:r>
    </w:p>
    <w:p w14:paraId="20E6386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неруйнівного контролю проникними рідкими</w:t>
      </w:r>
      <w:r w:rsidRPr="000977F7">
        <w:rPr>
          <w:rFonts w:asciiTheme="majorHAnsi" w:hAnsiTheme="majorHAnsi"/>
          <w:spacing w:val="1"/>
          <w:sz w:val="20"/>
          <w:szCs w:val="20"/>
        </w:rPr>
        <w:t xml:space="preserve"> </w:t>
      </w:r>
      <w:r w:rsidRPr="000977F7">
        <w:rPr>
          <w:rFonts w:asciiTheme="majorHAnsi" w:hAnsiTheme="majorHAnsi"/>
          <w:sz w:val="20"/>
          <w:szCs w:val="20"/>
        </w:rPr>
        <w:t>речовинами, розчинами, суспензіями, що ґрунтується</w:t>
      </w:r>
      <w:r w:rsidRPr="000977F7">
        <w:rPr>
          <w:rFonts w:asciiTheme="majorHAnsi" w:hAnsiTheme="majorHAnsi"/>
          <w:spacing w:val="1"/>
          <w:sz w:val="20"/>
          <w:szCs w:val="20"/>
        </w:rPr>
        <w:t xml:space="preserve"> </w:t>
      </w:r>
      <w:r w:rsidRPr="000977F7">
        <w:rPr>
          <w:rFonts w:asciiTheme="majorHAnsi" w:hAnsiTheme="majorHAnsi"/>
          <w:sz w:val="20"/>
          <w:szCs w:val="20"/>
        </w:rPr>
        <w:t>на реєстрації рідини, яка проникає в (або через) порушення</w:t>
      </w:r>
      <w:r w:rsidRPr="000977F7">
        <w:rPr>
          <w:rFonts w:asciiTheme="majorHAnsi" w:hAnsiTheme="majorHAnsi"/>
          <w:spacing w:val="-2"/>
          <w:sz w:val="20"/>
          <w:szCs w:val="20"/>
        </w:rPr>
        <w:t xml:space="preserve"> </w:t>
      </w:r>
      <w:r w:rsidRPr="000977F7">
        <w:rPr>
          <w:rFonts w:asciiTheme="majorHAnsi" w:hAnsiTheme="majorHAnsi"/>
          <w:sz w:val="20"/>
          <w:szCs w:val="20"/>
        </w:rPr>
        <w:t>суцільності</w:t>
      </w:r>
      <w:r w:rsidRPr="000977F7">
        <w:rPr>
          <w:rFonts w:asciiTheme="majorHAnsi" w:hAnsiTheme="majorHAnsi"/>
          <w:spacing w:val="-2"/>
          <w:sz w:val="20"/>
          <w:szCs w:val="20"/>
        </w:rPr>
        <w:t xml:space="preserve"> </w:t>
      </w:r>
      <w:r w:rsidRPr="000977F7">
        <w:rPr>
          <w:rFonts w:asciiTheme="majorHAnsi" w:hAnsiTheme="majorHAnsi"/>
          <w:sz w:val="20"/>
          <w:szCs w:val="20"/>
        </w:rPr>
        <w:t>об’єкта контролю</w:t>
      </w:r>
    </w:p>
    <w:p w14:paraId="3B0F667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8DADE4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РІЗНИЦЕВИЙ</w:t>
      </w:r>
      <w:r w:rsidRPr="000977F7">
        <w:rPr>
          <w:color w:val="auto"/>
          <w:spacing w:val="-3"/>
          <w:sz w:val="20"/>
          <w:szCs w:val="20"/>
        </w:rPr>
        <w:t xml:space="preserve"> </w:t>
      </w:r>
      <w:r w:rsidRPr="000977F7">
        <w:rPr>
          <w:color w:val="auto"/>
          <w:sz w:val="20"/>
          <w:szCs w:val="20"/>
        </w:rPr>
        <w:t>ЕФЕКТ</w:t>
      </w:r>
      <w:r w:rsidRPr="000977F7">
        <w:rPr>
          <w:color w:val="auto"/>
          <w:spacing w:val="-2"/>
          <w:sz w:val="20"/>
          <w:szCs w:val="20"/>
        </w:rPr>
        <w:t xml:space="preserve"> </w:t>
      </w:r>
      <w:r w:rsidRPr="000977F7">
        <w:rPr>
          <w:color w:val="auto"/>
          <w:sz w:val="20"/>
          <w:szCs w:val="20"/>
        </w:rPr>
        <w:t>–</w:t>
      </w:r>
    </w:p>
    <w:p w14:paraId="5F8D93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Зміна швидкості розчинення металу під впливом зовнішньої</w:t>
      </w:r>
      <w:r w:rsidRPr="000977F7">
        <w:rPr>
          <w:rFonts w:asciiTheme="majorHAnsi" w:hAnsiTheme="majorHAnsi"/>
          <w:spacing w:val="-2"/>
          <w:sz w:val="20"/>
          <w:szCs w:val="20"/>
        </w:rPr>
        <w:t xml:space="preserve"> </w:t>
      </w:r>
      <w:r w:rsidRPr="000977F7">
        <w:rPr>
          <w:rFonts w:asciiTheme="majorHAnsi" w:hAnsiTheme="majorHAnsi"/>
          <w:sz w:val="20"/>
          <w:szCs w:val="20"/>
        </w:rPr>
        <w:t>поляризації</w:t>
      </w:r>
    </w:p>
    <w:p w14:paraId="55708792"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3830 - 98</w:t>
      </w:r>
    </w:p>
    <w:p w14:paraId="590DC6C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РІЗНОВИД</w:t>
      </w:r>
      <w:r w:rsidRPr="000977F7">
        <w:rPr>
          <w:color w:val="auto"/>
          <w:spacing w:val="-3"/>
          <w:sz w:val="20"/>
          <w:szCs w:val="20"/>
        </w:rPr>
        <w:t xml:space="preserve"> </w:t>
      </w:r>
      <w:r w:rsidRPr="000977F7">
        <w:rPr>
          <w:color w:val="auto"/>
          <w:sz w:val="20"/>
          <w:szCs w:val="20"/>
        </w:rPr>
        <w:t>ДІЯННЯ</w:t>
      </w:r>
      <w:r w:rsidRPr="000977F7">
        <w:rPr>
          <w:color w:val="auto"/>
          <w:spacing w:val="-1"/>
          <w:sz w:val="20"/>
          <w:szCs w:val="20"/>
        </w:rPr>
        <w:t xml:space="preserve"> </w:t>
      </w:r>
      <w:r w:rsidRPr="000977F7">
        <w:rPr>
          <w:color w:val="auto"/>
          <w:sz w:val="20"/>
          <w:szCs w:val="20"/>
        </w:rPr>
        <w:t>–</w:t>
      </w:r>
    </w:p>
    <w:p w14:paraId="008F98D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VARIETY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ACTION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1FE7FE39" w14:textId="77777777" w:rsidR="0097612F" w:rsidRPr="000977F7" w:rsidRDefault="0097612F" w:rsidP="000977F7">
      <w:pPr>
        <w:pStyle w:val="af6"/>
        <w:tabs>
          <w:tab w:val="left" w:pos="284"/>
        </w:tabs>
        <w:spacing w:after="0"/>
        <w:ind w:left="170" w:hanging="51"/>
        <w:mirrorIndents/>
        <w:jc w:val="both"/>
        <w:rPr>
          <w:rFonts w:asciiTheme="majorHAnsi" w:hAnsiTheme="majorHAnsi"/>
          <w:spacing w:val="-47"/>
          <w:sz w:val="20"/>
          <w:szCs w:val="20"/>
        </w:rPr>
      </w:pPr>
      <w:r w:rsidRPr="000977F7">
        <w:rPr>
          <w:rFonts w:asciiTheme="majorHAnsi" w:hAnsiTheme="majorHAnsi"/>
          <w:sz w:val="20"/>
          <w:szCs w:val="20"/>
        </w:rPr>
        <w:t>Деталізація виду діяння</w:t>
      </w:r>
      <w:r w:rsidRPr="000977F7">
        <w:rPr>
          <w:rFonts w:asciiTheme="majorHAnsi" w:hAnsiTheme="majorHAnsi"/>
          <w:spacing w:val="-47"/>
          <w:sz w:val="20"/>
          <w:szCs w:val="20"/>
        </w:rPr>
        <w:t xml:space="preserve"> </w:t>
      </w:r>
    </w:p>
    <w:p w14:paraId="2210A36E" w14:textId="77777777" w:rsidR="0097612F" w:rsidRPr="000977F7" w:rsidRDefault="0097612F" w:rsidP="000977F7">
      <w:pPr>
        <w:pStyle w:val="af6"/>
        <w:tabs>
          <w:tab w:val="left" w:pos="284"/>
        </w:tabs>
        <w:spacing w:after="0"/>
        <w:ind w:left="170" w:hanging="51"/>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735A865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Різновидами</w:t>
      </w:r>
      <w:r w:rsidRPr="000977F7">
        <w:rPr>
          <w:rFonts w:asciiTheme="majorHAnsi" w:hAnsiTheme="majorHAnsi"/>
          <w:spacing w:val="15"/>
          <w:sz w:val="20"/>
          <w:szCs w:val="20"/>
        </w:rPr>
        <w:t xml:space="preserve"> </w:t>
      </w:r>
      <w:r w:rsidRPr="000977F7">
        <w:rPr>
          <w:rFonts w:asciiTheme="majorHAnsi" w:hAnsiTheme="majorHAnsi"/>
          <w:sz w:val="20"/>
          <w:szCs w:val="20"/>
        </w:rPr>
        <w:t>механічного</w:t>
      </w:r>
      <w:r w:rsidRPr="000977F7">
        <w:rPr>
          <w:rFonts w:asciiTheme="majorHAnsi" w:hAnsiTheme="majorHAnsi"/>
          <w:spacing w:val="17"/>
          <w:sz w:val="20"/>
          <w:szCs w:val="20"/>
        </w:rPr>
        <w:t xml:space="preserve"> </w:t>
      </w:r>
      <w:r w:rsidRPr="000977F7">
        <w:rPr>
          <w:rFonts w:asciiTheme="majorHAnsi" w:hAnsiTheme="majorHAnsi"/>
          <w:sz w:val="20"/>
          <w:szCs w:val="20"/>
        </w:rPr>
        <w:t>діяння</w:t>
      </w:r>
      <w:r w:rsidRPr="000977F7">
        <w:rPr>
          <w:rFonts w:asciiTheme="majorHAnsi" w:hAnsiTheme="majorHAnsi"/>
          <w:spacing w:val="14"/>
          <w:sz w:val="20"/>
          <w:szCs w:val="20"/>
        </w:rPr>
        <w:t xml:space="preserve"> </w:t>
      </w:r>
      <w:r w:rsidRPr="000977F7">
        <w:rPr>
          <w:rFonts w:asciiTheme="majorHAnsi" w:hAnsiTheme="majorHAnsi"/>
          <w:sz w:val="20"/>
          <w:szCs w:val="20"/>
        </w:rPr>
        <w:t>є,</w:t>
      </w:r>
      <w:r w:rsidRPr="000977F7">
        <w:rPr>
          <w:rFonts w:asciiTheme="majorHAnsi" w:hAnsiTheme="majorHAnsi"/>
          <w:spacing w:val="17"/>
          <w:sz w:val="20"/>
          <w:szCs w:val="20"/>
        </w:rPr>
        <w:t xml:space="preserve"> </w:t>
      </w:r>
      <w:r w:rsidRPr="000977F7">
        <w:rPr>
          <w:rFonts w:asciiTheme="majorHAnsi" w:hAnsiTheme="majorHAnsi"/>
          <w:sz w:val="20"/>
          <w:szCs w:val="20"/>
        </w:rPr>
        <w:t>наприклад,</w:t>
      </w:r>
      <w:r w:rsidRPr="000977F7">
        <w:rPr>
          <w:rFonts w:asciiTheme="majorHAnsi" w:hAnsiTheme="majorHAnsi"/>
          <w:spacing w:val="15"/>
          <w:sz w:val="20"/>
          <w:szCs w:val="20"/>
        </w:rPr>
        <w:t xml:space="preserve"> </w:t>
      </w:r>
      <w:r w:rsidRPr="000977F7">
        <w:rPr>
          <w:rFonts w:asciiTheme="majorHAnsi" w:hAnsiTheme="majorHAnsi"/>
          <w:sz w:val="20"/>
          <w:szCs w:val="20"/>
        </w:rPr>
        <w:t>діяння</w:t>
      </w:r>
      <w:r w:rsidRPr="000977F7">
        <w:rPr>
          <w:rFonts w:asciiTheme="majorHAnsi" w:hAnsiTheme="majorHAnsi"/>
          <w:spacing w:val="-47"/>
          <w:sz w:val="20"/>
          <w:szCs w:val="20"/>
        </w:rPr>
        <w:t xml:space="preserve"> </w:t>
      </w:r>
      <w:r w:rsidRPr="000977F7">
        <w:rPr>
          <w:rFonts w:asciiTheme="majorHAnsi" w:hAnsiTheme="majorHAnsi"/>
          <w:sz w:val="20"/>
          <w:szCs w:val="20"/>
        </w:rPr>
        <w:t>твердого тіла,</w:t>
      </w:r>
      <w:r w:rsidRPr="000977F7">
        <w:rPr>
          <w:rFonts w:asciiTheme="majorHAnsi" w:hAnsiTheme="majorHAnsi"/>
          <w:spacing w:val="1"/>
          <w:sz w:val="20"/>
          <w:szCs w:val="20"/>
        </w:rPr>
        <w:t xml:space="preserve"> </w:t>
      </w:r>
      <w:r w:rsidRPr="000977F7">
        <w:rPr>
          <w:rFonts w:asciiTheme="majorHAnsi" w:hAnsiTheme="majorHAnsi"/>
          <w:sz w:val="20"/>
          <w:szCs w:val="20"/>
        </w:rPr>
        <w:t>рідини,</w:t>
      </w:r>
      <w:r w:rsidRPr="000977F7">
        <w:rPr>
          <w:rFonts w:asciiTheme="majorHAnsi" w:hAnsiTheme="majorHAnsi"/>
          <w:spacing w:val="-1"/>
          <w:sz w:val="20"/>
          <w:szCs w:val="20"/>
        </w:rPr>
        <w:t xml:space="preserve"> </w:t>
      </w:r>
      <w:r w:rsidRPr="000977F7">
        <w:rPr>
          <w:rFonts w:asciiTheme="majorHAnsi" w:hAnsiTheme="majorHAnsi"/>
          <w:sz w:val="20"/>
          <w:szCs w:val="20"/>
        </w:rPr>
        <w:t>газу</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72DFC15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0D08AB5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РІШЕННЯ</w:t>
      </w:r>
      <w:r w:rsidRPr="000977F7">
        <w:rPr>
          <w:color w:val="auto"/>
          <w:spacing w:val="23"/>
          <w:sz w:val="20"/>
          <w:szCs w:val="20"/>
        </w:rPr>
        <w:t xml:space="preserve"> </w:t>
      </w:r>
      <w:r w:rsidRPr="000977F7">
        <w:rPr>
          <w:color w:val="auto"/>
          <w:sz w:val="20"/>
          <w:szCs w:val="20"/>
        </w:rPr>
        <w:t>ПРО</w:t>
      </w:r>
      <w:r w:rsidRPr="000977F7">
        <w:rPr>
          <w:color w:val="auto"/>
          <w:spacing w:val="22"/>
          <w:sz w:val="20"/>
          <w:szCs w:val="20"/>
        </w:rPr>
        <w:t xml:space="preserve"> </w:t>
      </w:r>
      <w:r w:rsidRPr="000977F7">
        <w:rPr>
          <w:color w:val="auto"/>
          <w:sz w:val="20"/>
          <w:szCs w:val="20"/>
        </w:rPr>
        <w:t>ЗНЯТТЯ</w:t>
      </w:r>
      <w:r w:rsidRPr="000977F7">
        <w:rPr>
          <w:color w:val="auto"/>
          <w:spacing w:val="24"/>
          <w:sz w:val="20"/>
          <w:szCs w:val="20"/>
        </w:rPr>
        <w:t xml:space="preserve"> </w:t>
      </w:r>
      <w:r w:rsidRPr="000977F7">
        <w:rPr>
          <w:color w:val="auto"/>
          <w:sz w:val="20"/>
          <w:szCs w:val="20"/>
        </w:rPr>
        <w:t>ПРОДУКЦІЇ</w:t>
      </w:r>
      <w:r w:rsidRPr="000977F7">
        <w:rPr>
          <w:color w:val="auto"/>
          <w:spacing w:val="21"/>
          <w:sz w:val="20"/>
          <w:szCs w:val="20"/>
        </w:rPr>
        <w:t xml:space="preserve"> </w:t>
      </w:r>
      <w:r w:rsidRPr="000977F7">
        <w:rPr>
          <w:color w:val="auto"/>
          <w:sz w:val="20"/>
          <w:szCs w:val="20"/>
        </w:rPr>
        <w:t>З</w:t>
      </w:r>
      <w:r w:rsidRPr="000977F7">
        <w:rPr>
          <w:color w:val="auto"/>
          <w:spacing w:val="22"/>
          <w:sz w:val="20"/>
          <w:szCs w:val="20"/>
        </w:rPr>
        <w:t xml:space="preserve"> </w:t>
      </w:r>
      <w:r w:rsidRPr="000977F7">
        <w:rPr>
          <w:color w:val="auto"/>
          <w:sz w:val="20"/>
          <w:szCs w:val="20"/>
        </w:rPr>
        <w:t>ВИРОБНИЦТВА –</w:t>
      </w:r>
    </w:p>
    <w:p w14:paraId="20A17A1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Документ,</w:t>
      </w:r>
      <w:r w:rsidRPr="004D2D14">
        <w:rPr>
          <w:rFonts w:asciiTheme="majorHAnsi" w:hAnsiTheme="majorHAnsi"/>
          <w:spacing w:val="32"/>
          <w:sz w:val="20"/>
          <w:szCs w:val="20"/>
          <w:lang w:val="uk-UA"/>
        </w:rPr>
        <w:t xml:space="preserve"> </w:t>
      </w:r>
      <w:r w:rsidRPr="004D2D14">
        <w:rPr>
          <w:rFonts w:asciiTheme="majorHAnsi" w:hAnsiTheme="majorHAnsi"/>
          <w:sz w:val="20"/>
          <w:szCs w:val="20"/>
          <w:lang w:val="uk-UA"/>
        </w:rPr>
        <w:t>який</w:t>
      </w:r>
      <w:r w:rsidRPr="004D2D14">
        <w:rPr>
          <w:rFonts w:asciiTheme="majorHAnsi" w:hAnsiTheme="majorHAnsi"/>
          <w:spacing w:val="30"/>
          <w:sz w:val="20"/>
          <w:szCs w:val="20"/>
          <w:lang w:val="uk-UA"/>
        </w:rPr>
        <w:t xml:space="preserve"> </w:t>
      </w:r>
      <w:r w:rsidRPr="004D2D14">
        <w:rPr>
          <w:rFonts w:asciiTheme="majorHAnsi" w:hAnsiTheme="majorHAnsi"/>
          <w:sz w:val="20"/>
          <w:szCs w:val="20"/>
          <w:lang w:val="uk-UA"/>
        </w:rPr>
        <w:t>визначає</w:t>
      </w:r>
      <w:r w:rsidRPr="004D2D14">
        <w:rPr>
          <w:rFonts w:asciiTheme="majorHAnsi" w:hAnsiTheme="majorHAnsi"/>
          <w:spacing w:val="32"/>
          <w:sz w:val="20"/>
          <w:szCs w:val="20"/>
          <w:lang w:val="uk-UA"/>
        </w:rPr>
        <w:t xml:space="preserve"> </w:t>
      </w:r>
      <w:r w:rsidRPr="004D2D14">
        <w:rPr>
          <w:rFonts w:asciiTheme="majorHAnsi" w:hAnsiTheme="majorHAnsi"/>
          <w:sz w:val="20"/>
          <w:szCs w:val="20"/>
          <w:lang w:val="uk-UA"/>
        </w:rPr>
        <w:t>склад</w:t>
      </w:r>
      <w:r w:rsidRPr="004D2D14">
        <w:rPr>
          <w:rFonts w:asciiTheme="majorHAnsi" w:hAnsiTheme="majorHAnsi"/>
          <w:spacing w:val="3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33"/>
          <w:sz w:val="20"/>
          <w:szCs w:val="20"/>
          <w:lang w:val="uk-UA"/>
        </w:rPr>
        <w:t xml:space="preserve"> </w:t>
      </w:r>
      <w:r w:rsidRPr="004D2D14">
        <w:rPr>
          <w:rFonts w:asciiTheme="majorHAnsi" w:hAnsiTheme="majorHAnsi"/>
          <w:sz w:val="20"/>
          <w:szCs w:val="20"/>
          <w:lang w:val="uk-UA"/>
        </w:rPr>
        <w:t>порядок</w:t>
      </w:r>
      <w:r w:rsidRPr="004D2D14">
        <w:rPr>
          <w:rFonts w:asciiTheme="majorHAnsi" w:hAnsiTheme="majorHAnsi"/>
          <w:spacing w:val="31"/>
          <w:sz w:val="20"/>
          <w:szCs w:val="20"/>
          <w:lang w:val="uk-UA"/>
        </w:rPr>
        <w:t xml:space="preserve"> </w:t>
      </w:r>
      <w:r w:rsidRPr="004D2D14">
        <w:rPr>
          <w:rFonts w:asciiTheme="majorHAnsi" w:hAnsiTheme="majorHAnsi"/>
          <w:sz w:val="20"/>
          <w:szCs w:val="20"/>
          <w:lang w:val="uk-UA"/>
        </w:rPr>
        <w:t>виконання необхідних робіт, пов’язаних з припиненням випуску продукції, і який є підставою для зняття її 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виробництва</w:t>
      </w:r>
    </w:p>
    <w:p w14:paraId="6DD50C7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РОБОТА –</w:t>
      </w:r>
    </w:p>
    <w:p w14:paraId="214BD160"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Діяльність виконавця, результатом якої є виготовлення товару або зміна його властивостей за індивідуальним замовленням споживача для задоволення його особистих потреб</w:t>
      </w:r>
    </w:p>
    <w:p w14:paraId="74AC26DD"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захист прав споживачів"</w:t>
      </w:r>
    </w:p>
    <w:p w14:paraId="0B5BE81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РОБОТА</w:t>
      </w:r>
      <w:r w:rsidRPr="000977F7">
        <w:rPr>
          <w:color w:val="auto"/>
          <w:spacing w:val="-3"/>
          <w:sz w:val="20"/>
          <w:szCs w:val="20"/>
        </w:rPr>
        <w:t xml:space="preserve"> </w:t>
      </w:r>
      <w:r w:rsidRPr="000977F7">
        <w:rPr>
          <w:color w:val="auto"/>
          <w:sz w:val="20"/>
          <w:szCs w:val="20"/>
        </w:rPr>
        <w:t>ЗА</w:t>
      </w:r>
      <w:r w:rsidRPr="000977F7">
        <w:rPr>
          <w:color w:val="auto"/>
          <w:spacing w:val="-3"/>
          <w:sz w:val="20"/>
          <w:szCs w:val="20"/>
        </w:rPr>
        <w:t xml:space="preserve"> </w:t>
      </w:r>
      <w:r w:rsidRPr="000977F7">
        <w:rPr>
          <w:color w:val="auto"/>
          <w:sz w:val="20"/>
          <w:szCs w:val="20"/>
        </w:rPr>
        <w:t>РЕКЛАМАЦІЯМИ</w:t>
      </w:r>
      <w:r w:rsidRPr="000977F7">
        <w:rPr>
          <w:color w:val="auto"/>
          <w:spacing w:val="-2"/>
          <w:sz w:val="20"/>
          <w:szCs w:val="20"/>
        </w:rPr>
        <w:t xml:space="preserve"> </w:t>
      </w:r>
      <w:r w:rsidRPr="000977F7">
        <w:rPr>
          <w:color w:val="auto"/>
          <w:sz w:val="20"/>
          <w:szCs w:val="20"/>
        </w:rPr>
        <w:t>–</w:t>
      </w:r>
    </w:p>
    <w:p w14:paraId="5FE2B0B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 заходів постачальника продукції щодо усунення невідповідностей її якості і (чи) комплектності</w:t>
      </w:r>
      <w:r w:rsidRPr="000977F7">
        <w:rPr>
          <w:rFonts w:asciiTheme="majorHAnsi" w:hAnsiTheme="majorHAnsi"/>
          <w:spacing w:val="1"/>
          <w:sz w:val="20"/>
          <w:szCs w:val="20"/>
        </w:rPr>
        <w:t xml:space="preserve"> </w:t>
      </w:r>
      <w:r w:rsidRPr="000977F7">
        <w:rPr>
          <w:rFonts w:asciiTheme="majorHAnsi" w:hAnsiTheme="majorHAnsi"/>
          <w:sz w:val="20"/>
          <w:szCs w:val="20"/>
        </w:rPr>
        <w:t>установленим вимогам, виявленим споживачем в період</w:t>
      </w:r>
      <w:r w:rsidRPr="000977F7">
        <w:rPr>
          <w:rFonts w:asciiTheme="majorHAnsi" w:hAnsiTheme="majorHAnsi"/>
          <w:spacing w:val="-2"/>
          <w:sz w:val="20"/>
          <w:szCs w:val="20"/>
        </w:rPr>
        <w:t xml:space="preserve"> </w:t>
      </w:r>
      <w:r w:rsidRPr="000977F7">
        <w:rPr>
          <w:rFonts w:asciiTheme="majorHAnsi" w:hAnsiTheme="majorHAnsi"/>
          <w:sz w:val="20"/>
          <w:szCs w:val="20"/>
        </w:rPr>
        <w:t>гарантійного</w:t>
      </w:r>
      <w:r w:rsidRPr="000977F7">
        <w:rPr>
          <w:rFonts w:asciiTheme="majorHAnsi" w:hAnsiTheme="majorHAnsi"/>
          <w:spacing w:val="1"/>
          <w:sz w:val="20"/>
          <w:szCs w:val="20"/>
        </w:rPr>
        <w:t xml:space="preserve"> </w:t>
      </w:r>
      <w:r w:rsidRPr="000977F7">
        <w:rPr>
          <w:rFonts w:asciiTheme="majorHAnsi" w:hAnsiTheme="majorHAnsi"/>
          <w:sz w:val="20"/>
          <w:szCs w:val="20"/>
        </w:rPr>
        <w:t>терміну</w:t>
      </w:r>
    </w:p>
    <w:p w14:paraId="16A21C7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РОБОТОДАВЕЦЬ –</w:t>
      </w:r>
    </w:p>
    <w:p w14:paraId="642B0614"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Особа, яка найняла працівника за трудовим договором (контрактом)</w:t>
      </w:r>
    </w:p>
    <w:p w14:paraId="619508FA"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охорону прав на промислові зразки"</w:t>
      </w:r>
    </w:p>
    <w:p w14:paraId="2D86454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РОБОЧА КОНСТРУКТОРСЬКА</w:t>
      </w:r>
      <w:r w:rsidRPr="000977F7">
        <w:rPr>
          <w:color w:val="auto"/>
          <w:spacing w:val="-48"/>
          <w:sz w:val="20"/>
          <w:szCs w:val="20"/>
        </w:rPr>
        <w:t xml:space="preserve"> </w:t>
      </w:r>
      <w:r w:rsidRPr="000977F7">
        <w:rPr>
          <w:color w:val="auto"/>
          <w:sz w:val="20"/>
          <w:szCs w:val="20"/>
        </w:rPr>
        <w:t>ДОКУМЕНТАЦІЯ –</w:t>
      </w:r>
    </w:p>
    <w:p w14:paraId="131B6758"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конструкторських</w:t>
      </w:r>
      <w:r w:rsidRPr="000977F7">
        <w:rPr>
          <w:rFonts w:asciiTheme="majorHAnsi" w:hAnsiTheme="majorHAnsi"/>
          <w:spacing w:val="1"/>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призначених</w:t>
      </w:r>
      <w:r w:rsidRPr="000977F7">
        <w:rPr>
          <w:rFonts w:asciiTheme="majorHAnsi" w:hAnsiTheme="majorHAnsi"/>
          <w:spacing w:val="17"/>
          <w:sz w:val="20"/>
          <w:szCs w:val="20"/>
        </w:rPr>
        <w:t xml:space="preserve"> </w:t>
      </w:r>
      <w:r w:rsidRPr="000977F7">
        <w:rPr>
          <w:rFonts w:asciiTheme="majorHAnsi" w:hAnsiTheme="majorHAnsi"/>
          <w:sz w:val="20"/>
          <w:szCs w:val="20"/>
        </w:rPr>
        <w:t>для</w:t>
      </w:r>
      <w:r w:rsidRPr="000977F7">
        <w:rPr>
          <w:rFonts w:asciiTheme="majorHAnsi" w:hAnsiTheme="majorHAnsi"/>
          <w:spacing w:val="18"/>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19"/>
          <w:sz w:val="20"/>
          <w:szCs w:val="20"/>
        </w:rPr>
        <w:t xml:space="preserve"> </w:t>
      </w:r>
      <w:r w:rsidRPr="000977F7">
        <w:rPr>
          <w:rFonts w:asciiTheme="majorHAnsi" w:hAnsiTheme="majorHAnsi"/>
          <w:sz w:val="20"/>
          <w:szCs w:val="20"/>
        </w:rPr>
        <w:t>виготовлення,</w:t>
      </w:r>
      <w:r w:rsidRPr="000977F7">
        <w:rPr>
          <w:rFonts w:asciiTheme="majorHAnsi" w:hAnsiTheme="majorHAnsi"/>
          <w:spacing w:val="18"/>
          <w:sz w:val="20"/>
          <w:szCs w:val="20"/>
        </w:rPr>
        <w:t xml:space="preserve"> </w:t>
      </w:r>
      <w:r w:rsidRPr="000977F7">
        <w:rPr>
          <w:rFonts w:asciiTheme="majorHAnsi" w:hAnsiTheme="majorHAnsi"/>
          <w:sz w:val="20"/>
          <w:szCs w:val="20"/>
        </w:rPr>
        <w:t>контролю,</w:t>
      </w:r>
      <w:r w:rsidRPr="000977F7">
        <w:rPr>
          <w:rFonts w:asciiTheme="majorHAnsi" w:hAnsiTheme="majorHAnsi"/>
          <w:spacing w:val="19"/>
          <w:sz w:val="20"/>
          <w:szCs w:val="20"/>
        </w:rPr>
        <w:t xml:space="preserve"> </w:t>
      </w:r>
      <w:r w:rsidRPr="000977F7">
        <w:rPr>
          <w:rFonts w:asciiTheme="majorHAnsi" w:hAnsiTheme="majorHAnsi"/>
          <w:sz w:val="20"/>
          <w:szCs w:val="20"/>
        </w:rPr>
        <w:t>приймання, постачання, експлуатації та ремонту виробу</w:t>
      </w:r>
      <w:r w:rsidRPr="000977F7">
        <w:rPr>
          <w:rFonts w:asciiTheme="majorHAnsi" w:hAnsiTheme="majorHAnsi"/>
          <w:spacing w:val="1"/>
          <w:sz w:val="20"/>
          <w:szCs w:val="20"/>
        </w:rPr>
        <w:t xml:space="preserve"> </w:t>
      </w:r>
    </w:p>
    <w:p w14:paraId="1D584C33"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3321 - 2003</w:t>
      </w:r>
    </w:p>
    <w:p w14:paraId="5F7000F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РОБОЧА</w:t>
      </w:r>
      <w:r w:rsidRPr="000977F7">
        <w:rPr>
          <w:color w:val="auto"/>
          <w:spacing w:val="-3"/>
          <w:sz w:val="20"/>
          <w:szCs w:val="20"/>
        </w:rPr>
        <w:t xml:space="preserve"> </w:t>
      </w:r>
      <w:r w:rsidRPr="000977F7">
        <w:rPr>
          <w:color w:val="auto"/>
          <w:sz w:val="20"/>
          <w:szCs w:val="20"/>
        </w:rPr>
        <w:t>КОПІЯ</w:t>
      </w:r>
      <w:r w:rsidRPr="000977F7">
        <w:rPr>
          <w:color w:val="auto"/>
          <w:spacing w:val="-2"/>
          <w:sz w:val="20"/>
          <w:szCs w:val="20"/>
        </w:rPr>
        <w:t xml:space="preserve"> </w:t>
      </w:r>
      <w:r w:rsidRPr="000977F7">
        <w:rPr>
          <w:color w:val="auto"/>
          <w:sz w:val="20"/>
          <w:szCs w:val="20"/>
        </w:rPr>
        <w:t>–</w:t>
      </w:r>
    </w:p>
    <w:p w14:paraId="66E1E5A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Копія конструкторського документа, призначена для</w:t>
      </w:r>
      <w:r w:rsidRPr="000977F7">
        <w:rPr>
          <w:rFonts w:asciiTheme="majorHAnsi" w:hAnsiTheme="majorHAnsi"/>
          <w:spacing w:val="1"/>
          <w:sz w:val="20"/>
          <w:szCs w:val="20"/>
        </w:rPr>
        <w:t xml:space="preserve"> </w:t>
      </w:r>
      <w:r w:rsidRPr="000977F7">
        <w:rPr>
          <w:rFonts w:asciiTheme="majorHAnsi" w:hAnsiTheme="majorHAnsi"/>
          <w:sz w:val="20"/>
          <w:szCs w:val="20"/>
        </w:rPr>
        <w:t>обслуговування виробництва, яка видається службою</w:t>
      </w:r>
      <w:r w:rsidRPr="000977F7">
        <w:rPr>
          <w:rFonts w:asciiTheme="majorHAnsi" w:hAnsiTheme="majorHAnsi"/>
          <w:spacing w:val="1"/>
          <w:sz w:val="20"/>
          <w:szCs w:val="20"/>
        </w:rPr>
        <w:t xml:space="preserve"> </w:t>
      </w:r>
      <w:r w:rsidRPr="000977F7">
        <w:rPr>
          <w:rFonts w:asciiTheme="majorHAnsi" w:hAnsiTheme="majorHAnsi"/>
          <w:sz w:val="20"/>
          <w:szCs w:val="20"/>
        </w:rPr>
        <w:t>технічної</w:t>
      </w:r>
      <w:r w:rsidRPr="000977F7">
        <w:rPr>
          <w:rFonts w:asciiTheme="majorHAnsi" w:hAnsiTheme="majorHAnsi"/>
          <w:spacing w:val="-2"/>
          <w:sz w:val="20"/>
          <w:szCs w:val="20"/>
        </w:rPr>
        <w:t xml:space="preserve"> </w:t>
      </w:r>
      <w:r w:rsidRPr="000977F7">
        <w:rPr>
          <w:rFonts w:asciiTheme="majorHAnsi" w:hAnsiTheme="majorHAnsi"/>
          <w:sz w:val="20"/>
          <w:szCs w:val="20"/>
        </w:rPr>
        <w:t>документації</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певний</w:t>
      </w:r>
      <w:r w:rsidRPr="000977F7">
        <w:rPr>
          <w:rFonts w:asciiTheme="majorHAnsi" w:hAnsiTheme="majorHAnsi"/>
          <w:spacing w:val="-1"/>
          <w:sz w:val="20"/>
          <w:szCs w:val="20"/>
        </w:rPr>
        <w:t xml:space="preserve"> </w:t>
      </w:r>
      <w:r w:rsidRPr="000977F7">
        <w:rPr>
          <w:rFonts w:asciiTheme="majorHAnsi" w:hAnsiTheme="majorHAnsi"/>
          <w:sz w:val="20"/>
          <w:szCs w:val="20"/>
        </w:rPr>
        <w:t>термін</w:t>
      </w:r>
    </w:p>
    <w:p w14:paraId="03346DB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3321 - 2003</w:t>
      </w:r>
    </w:p>
    <w:p w14:paraId="0D62FAB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РОБОЧА</w:t>
      </w:r>
      <w:r w:rsidRPr="000977F7">
        <w:rPr>
          <w:color w:val="auto"/>
          <w:spacing w:val="-5"/>
          <w:sz w:val="20"/>
          <w:szCs w:val="20"/>
        </w:rPr>
        <w:t xml:space="preserve"> </w:t>
      </w:r>
      <w:r w:rsidRPr="000977F7">
        <w:rPr>
          <w:color w:val="auto"/>
          <w:sz w:val="20"/>
          <w:szCs w:val="20"/>
        </w:rPr>
        <w:t>МЕТОДИКА</w:t>
      </w:r>
      <w:r w:rsidRPr="000977F7">
        <w:rPr>
          <w:color w:val="auto"/>
          <w:spacing w:val="-4"/>
          <w:sz w:val="20"/>
          <w:szCs w:val="20"/>
        </w:rPr>
        <w:t xml:space="preserve"> </w:t>
      </w:r>
      <w:r w:rsidRPr="000977F7">
        <w:rPr>
          <w:color w:val="auto"/>
          <w:sz w:val="20"/>
          <w:szCs w:val="20"/>
        </w:rPr>
        <w:t>ВИПРОБУВАНЬ</w:t>
      </w:r>
      <w:r w:rsidRPr="000977F7">
        <w:rPr>
          <w:color w:val="auto"/>
          <w:spacing w:val="1"/>
          <w:sz w:val="20"/>
          <w:szCs w:val="20"/>
        </w:rPr>
        <w:t xml:space="preserve"> </w:t>
      </w:r>
      <w:r w:rsidRPr="000977F7">
        <w:rPr>
          <w:color w:val="auto"/>
          <w:sz w:val="20"/>
          <w:szCs w:val="20"/>
        </w:rPr>
        <w:t>–</w:t>
      </w:r>
    </w:p>
    <w:p w14:paraId="293875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Методика випробувань, яка безпосередньо застосовується під час випробувань та встановлює конкретні</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3"/>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2"/>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75FAE3BF"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3021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34FFFF5D"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1"/>
          <w:sz w:val="20"/>
          <w:szCs w:val="20"/>
          <w:lang w:val="en-US"/>
        </w:rPr>
      </w:pPr>
      <w:r w:rsidRPr="000977F7">
        <w:rPr>
          <w:rFonts w:asciiTheme="majorHAnsi" w:hAnsiTheme="majorHAnsi"/>
          <w:b/>
          <w:sz w:val="20"/>
          <w:szCs w:val="20"/>
        </w:rPr>
        <w:t>РОБОЧЕ</w:t>
      </w:r>
      <w:r w:rsidRPr="004D2D14">
        <w:rPr>
          <w:rFonts w:asciiTheme="majorHAnsi" w:hAnsiTheme="majorHAnsi"/>
          <w:b/>
          <w:sz w:val="20"/>
          <w:szCs w:val="20"/>
          <w:lang w:val="en-US"/>
        </w:rPr>
        <w:t xml:space="preserve"> </w:t>
      </w:r>
      <w:r w:rsidRPr="000977F7">
        <w:rPr>
          <w:rFonts w:asciiTheme="majorHAnsi" w:hAnsiTheme="majorHAnsi"/>
          <w:b/>
          <w:sz w:val="20"/>
          <w:szCs w:val="20"/>
        </w:rPr>
        <w:t>ДІЯННЯ</w:t>
      </w:r>
      <w:r w:rsidRPr="004D2D14">
        <w:rPr>
          <w:rFonts w:asciiTheme="majorHAnsi" w:hAnsiTheme="majorHAnsi"/>
          <w:b/>
          <w:sz w:val="20"/>
          <w:szCs w:val="20"/>
          <w:lang w:val="en-US"/>
        </w:rPr>
        <w:t xml:space="preserve"> –</w:t>
      </w:r>
    </w:p>
    <w:p w14:paraId="5BF458B1"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WORKING</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ACTION</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w:t>
      </w:r>
    </w:p>
    <w:p w14:paraId="47FB6A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Ненавмисне діяння, яке використовується для технічного діагностування</w:t>
      </w:r>
    </w:p>
    <w:p w14:paraId="1325EF9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316504CA"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r w:rsidRPr="000977F7">
        <w:rPr>
          <w:rFonts w:asciiTheme="majorHAnsi" w:hAnsiTheme="majorHAnsi"/>
          <w:b/>
          <w:bCs/>
          <w:iCs/>
          <w:sz w:val="20"/>
          <w:szCs w:val="20"/>
        </w:rPr>
        <w:t>РОБОЧЕ ЗАВДАННЯ –</w:t>
      </w:r>
    </w:p>
    <w:p w14:paraId="0B7595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TASK -</w:t>
      </w:r>
    </w:p>
    <w:p w14:paraId="38E8800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Конкретні дії, що їх виконує одна особа чи кілька осіб на машині чи поблизу машини протягом її життєвого циклу </w:t>
      </w:r>
    </w:p>
    <w:p w14:paraId="4A83FAC9"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4438C8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РОБОЧЕ</w:t>
      </w:r>
      <w:r w:rsidRPr="000977F7">
        <w:rPr>
          <w:color w:val="auto"/>
          <w:spacing w:val="-4"/>
          <w:sz w:val="20"/>
          <w:szCs w:val="20"/>
        </w:rPr>
        <w:t xml:space="preserve"> </w:t>
      </w:r>
      <w:r w:rsidRPr="000977F7">
        <w:rPr>
          <w:color w:val="auto"/>
          <w:sz w:val="20"/>
          <w:szCs w:val="20"/>
        </w:rPr>
        <w:t>МІСЦЕ</w:t>
      </w:r>
      <w:r w:rsidRPr="000977F7">
        <w:rPr>
          <w:color w:val="auto"/>
          <w:spacing w:val="-4"/>
          <w:sz w:val="20"/>
          <w:szCs w:val="20"/>
        </w:rPr>
        <w:t xml:space="preserve"> </w:t>
      </w:r>
      <w:r w:rsidRPr="000977F7">
        <w:rPr>
          <w:color w:val="auto"/>
          <w:sz w:val="20"/>
          <w:szCs w:val="20"/>
        </w:rPr>
        <w:t>ПРАЦІВНИКА</w:t>
      </w:r>
      <w:r w:rsidRPr="000977F7">
        <w:rPr>
          <w:color w:val="auto"/>
          <w:spacing w:val="-1"/>
          <w:sz w:val="20"/>
          <w:szCs w:val="20"/>
        </w:rPr>
        <w:t xml:space="preserve"> </w:t>
      </w:r>
      <w:r w:rsidRPr="000977F7">
        <w:rPr>
          <w:color w:val="auto"/>
          <w:sz w:val="20"/>
          <w:szCs w:val="20"/>
        </w:rPr>
        <w:t>–</w:t>
      </w:r>
    </w:p>
    <w:p w14:paraId="51834ED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Елементарна одиниця виробничої структури, що містить</w:t>
      </w:r>
      <w:r w:rsidRPr="000977F7">
        <w:rPr>
          <w:rFonts w:asciiTheme="majorHAnsi" w:hAnsiTheme="majorHAnsi"/>
          <w:spacing w:val="1"/>
          <w:sz w:val="20"/>
          <w:szCs w:val="20"/>
        </w:rPr>
        <w:t xml:space="preserve"> </w:t>
      </w:r>
      <w:r w:rsidRPr="000977F7">
        <w:rPr>
          <w:rFonts w:asciiTheme="majorHAnsi" w:hAnsiTheme="majorHAnsi"/>
          <w:sz w:val="20"/>
          <w:szCs w:val="20"/>
        </w:rPr>
        <w:t>частину</w:t>
      </w:r>
      <w:r w:rsidRPr="000977F7">
        <w:rPr>
          <w:rFonts w:asciiTheme="majorHAnsi" w:hAnsiTheme="majorHAnsi"/>
          <w:spacing w:val="1"/>
          <w:sz w:val="20"/>
          <w:szCs w:val="20"/>
        </w:rPr>
        <w:t xml:space="preserve"> </w:t>
      </w:r>
      <w:r w:rsidRPr="000977F7">
        <w:rPr>
          <w:rFonts w:asciiTheme="majorHAnsi" w:hAnsiTheme="majorHAnsi"/>
          <w:sz w:val="20"/>
          <w:szCs w:val="20"/>
        </w:rPr>
        <w:t>простору виробничого</w:t>
      </w:r>
      <w:r w:rsidRPr="000977F7">
        <w:rPr>
          <w:rFonts w:asciiTheme="majorHAnsi" w:hAnsiTheme="majorHAnsi"/>
          <w:spacing w:val="1"/>
          <w:sz w:val="20"/>
          <w:szCs w:val="20"/>
        </w:rPr>
        <w:t xml:space="preserve"> </w:t>
      </w:r>
      <w:r w:rsidRPr="000977F7">
        <w:rPr>
          <w:rFonts w:asciiTheme="majorHAnsi" w:hAnsiTheme="majorHAnsi"/>
          <w:sz w:val="20"/>
          <w:szCs w:val="20"/>
        </w:rPr>
        <w:t>підрозділу,</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потрібна для здійснення трудової операції та оснащену матеріально – технічними засобами, використовуваними у</w:t>
      </w:r>
      <w:r w:rsidRPr="000977F7">
        <w:rPr>
          <w:rFonts w:asciiTheme="majorHAnsi" w:hAnsiTheme="majorHAnsi"/>
          <w:spacing w:val="-1"/>
          <w:sz w:val="20"/>
          <w:szCs w:val="20"/>
        </w:rPr>
        <w:t xml:space="preserve"> </w:t>
      </w:r>
      <w:r w:rsidRPr="000977F7">
        <w:rPr>
          <w:rFonts w:asciiTheme="majorHAnsi" w:hAnsiTheme="majorHAnsi"/>
          <w:sz w:val="20"/>
          <w:szCs w:val="20"/>
        </w:rPr>
        <w:t>процесі</w:t>
      </w:r>
      <w:r w:rsidRPr="000977F7">
        <w:rPr>
          <w:rFonts w:asciiTheme="majorHAnsi" w:hAnsiTheme="majorHAnsi"/>
          <w:spacing w:val="-1"/>
          <w:sz w:val="20"/>
          <w:szCs w:val="20"/>
        </w:rPr>
        <w:t xml:space="preserve"> </w:t>
      </w:r>
      <w:r w:rsidRPr="000977F7">
        <w:rPr>
          <w:rFonts w:asciiTheme="majorHAnsi" w:hAnsiTheme="majorHAnsi"/>
          <w:sz w:val="20"/>
          <w:szCs w:val="20"/>
        </w:rPr>
        <w:t>праці</w:t>
      </w:r>
    </w:p>
    <w:p w14:paraId="3573E85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AA53CD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Робоче місце може бути просте, комплексне, спеціалізоване, універсальне, стаціонарне, пересувне, одноагрегатне, багатоагрегатне, автоматизоване</w:t>
      </w:r>
    </w:p>
    <w:p w14:paraId="701B681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674CA0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РОБОЧЕ</w:t>
      </w:r>
      <w:r w:rsidRPr="000977F7">
        <w:rPr>
          <w:color w:val="auto"/>
          <w:spacing w:val="-7"/>
          <w:sz w:val="20"/>
          <w:szCs w:val="20"/>
        </w:rPr>
        <w:t xml:space="preserve"> </w:t>
      </w:r>
      <w:r w:rsidRPr="000977F7">
        <w:rPr>
          <w:color w:val="auto"/>
          <w:sz w:val="20"/>
          <w:szCs w:val="20"/>
        </w:rPr>
        <w:t>НАПРУЖЕННЯ</w:t>
      </w:r>
      <w:r w:rsidRPr="000977F7">
        <w:rPr>
          <w:color w:val="auto"/>
          <w:spacing w:val="-2"/>
          <w:sz w:val="20"/>
          <w:szCs w:val="20"/>
        </w:rPr>
        <w:t xml:space="preserve"> </w:t>
      </w:r>
      <w:r w:rsidRPr="000977F7">
        <w:rPr>
          <w:color w:val="auto"/>
          <w:sz w:val="20"/>
          <w:szCs w:val="20"/>
        </w:rPr>
        <w:t>–</w:t>
      </w:r>
    </w:p>
    <w:p w14:paraId="2976D3F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Рівень активності фізіологічних функцій, який забезпечує перебіг фізичних та психічних процесів згідно з</w:t>
      </w:r>
      <w:r w:rsidRPr="000977F7">
        <w:rPr>
          <w:rFonts w:asciiTheme="majorHAnsi" w:hAnsiTheme="majorHAnsi"/>
          <w:spacing w:val="-47"/>
          <w:sz w:val="20"/>
          <w:szCs w:val="20"/>
        </w:rPr>
        <w:t xml:space="preserve"> </w:t>
      </w:r>
      <w:r w:rsidRPr="000977F7">
        <w:rPr>
          <w:rFonts w:asciiTheme="majorHAnsi" w:hAnsiTheme="majorHAnsi"/>
          <w:sz w:val="20"/>
          <w:szCs w:val="20"/>
        </w:rPr>
        <w:t>вимогами</w:t>
      </w:r>
      <w:r w:rsidRPr="000977F7">
        <w:rPr>
          <w:rFonts w:asciiTheme="majorHAnsi" w:hAnsiTheme="majorHAnsi"/>
          <w:spacing w:val="-2"/>
          <w:sz w:val="20"/>
          <w:szCs w:val="20"/>
        </w:rPr>
        <w:t xml:space="preserve"> </w:t>
      </w:r>
      <w:r w:rsidRPr="000977F7">
        <w:rPr>
          <w:rFonts w:asciiTheme="majorHAnsi" w:hAnsiTheme="majorHAnsi"/>
          <w:sz w:val="20"/>
          <w:szCs w:val="20"/>
        </w:rPr>
        <w:t>виконуваної</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p>
    <w:p w14:paraId="4EADB23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3038 - 95</w:t>
      </w:r>
    </w:p>
    <w:p w14:paraId="789BF1B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252" w:name="_Hlk103605497"/>
      <w:r w:rsidRPr="000977F7">
        <w:rPr>
          <w:color w:val="auto"/>
          <w:sz w:val="20"/>
          <w:szCs w:val="20"/>
        </w:rPr>
        <w:t>РОБОЧЕ</w:t>
      </w:r>
      <w:r w:rsidRPr="000977F7">
        <w:rPr>
          <w:color w:val="auto"/>
          <w:spacing w:val="-4"/>
          <w:sz w:val="20"/>
          <w:szCs w:val="20"/>
        </w:rPr>
        <w:t xml:space="preserve"> </w:t>
      </w:r>
      <w:r w:rsidRPr="000977F7">
        <w:rPr>
          <w:color w:val="auto"/>
          <w:sz w:val="20"/>
          <w:szCs w:val="20"/>
        </w:rPr>
        <w:t>СЕРЕДОВИЩЕ –</w:t>
      </w:r>
    </w:p>
    <w:p w14:paraId="11955A6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WORK</w:t>
      </w:r>
      <w:r w:rsidRPr="000977F7">
        <w:rPr>
          <w:rFonts w:asciiTheme="majorHAnsi" w:hAnsiTheme="majorHAnsi"/>
          <w:spacing w:val="-2"/>
          <w:sz w:val="20"/>
          <w:szCs w:val="20"/>
        </w:rPr>
        <w:t xml:space="preserve"> </w:t>
      </w:r>
      <w:r w:rsidRPr="000977F7">
        <w:rPr>
          <w:rFonts w:asciiTheme="majorHAnsi" w:hAnsiTheme="majorHAnsi"/>
          <w:sz w:val="20"/>
          <w:szCs w:val="20"/>
        </w:rPr>
        <w:t>ENVIRONMENT</w:t>
      </w:r>
      <w:r w:rsidRPr="000977F7">
        <w:rPr>
          <w:rFonts w:asciiTheme="majorHAnsi" w:hAnsiTheme="majorHAnsi"/>
          <w:spacing w:val="3"/>
          <w:sz w:val="20"/>
          <w:szCs w:val="20"/>
        </w:rPr>
        <w:t xml:space="preserve"> </w:t>
      </w:r>
      <w:r w:rsidRPr="000977F7">
        <w:rPr>
          <w:rFonts w:asciiTheme="majorHAnsi" w:hAnsiTheme="majorHAnsi"/>
          <w:sz w:val="20"/>
          <w:szCs w:val="20"/>
        </w:rPr>
        <w:t>–</w:t>
      </w:r>
    </w:p>
    <w:bookmarkEnd w:id="252"/>
    <w:p w14:paraId="29BA797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Газ, рідина або пара у чистому вигляді або у вигляді їх суміші. Робоче середовище може містити суспензію твердих речовин</w:t>
      </w:r>
    </w:p>
    <w:p w14:paraId="71D18A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Технічний регламент обладнання, що працює під тиском</w:t>
      </w:r>
    </w:p>
    <w:p w14:paraId="0EC91D9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Сукупність умов, за яких виконують роботу. Примітка. Умови можуть охоплювати фізичні, соціальні, психологічні та екологічні чинники (такі як температура, освітлення, схеми визнання, професійний стрес, ергономіка та склад атмосферного повітря) </w:t>
      </w:r>
    </w:p>
    <w:p w14:paraId="5480496C"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ISO 9000 – 2015</w:t>
      </w:r>
    </w:p>
    <w:p w14:paraId="588D96D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РОБОЧЕ ТЕХНІЧНЕ</w:t>
      </w:r>
      <w:r w:rsidRPr="000977F7">
        <w:rPr>
          <w:color w:val="auto"/>
          <w:spacing w:val="1"/>
          <w:sz w:val="20"/>
          <w:szCs w:val="20"/>
        </w:rPr>
        <w:t xml:space="preserve"> </w:t>
      </w:r>
      <w:r w:rsidRPr="000977F7">
        <w:rPr>
          <w:color w:val="auto"/>
          <w:sz w:val="20"/>
          <w:szCs w:val="20"/>
        </w:rPr>
        <w:t>ДІАГНОСТУВАННЯ</w:t>
      </w:r>
      <w:r w:rsidRPr="000977F7">
        <w:rPr>
          <w:color w:val="auto"/>
          <w:spacing w:val="-8"/>
          <w:sz w:val="20"/>
          <w:szCs w:val="20"/>
        </w:rPr>
        <w:t xml:space="preserve"> </w:t>
      </w:r>
      <w:r w:rsidRPr="000977F7">
        <w:rPr>
          <w:color w:val="auto"/>
          <w:sz w:val="20"/>
          <w:szCs w:val="20"/>
        </w:rPr>
        <w:t>–</w:t>
      </w:r>
    </w:p>
    <w:p w14:paraId="4AE0917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Діагностування,</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об’єкт</w:t>
      </w:r>
      <w:r w:rsidRPr="000977F7">
        <w:rPr>
          <w:rFonts w:asciiTheme="majorHAnsi" w:hAnsiTheme="majorHAnsi"/>
          <w:spacing w:val="1"/>
          <w:sz w:val="20"/>
          <w:szCs w:val="20"/>
        </w:rPr>
        <w:t xml:space="preserve"> </w:t>
      </w:r>
      <w:r w:rsidRPr="000977F7">
        <w:rPr>
          <w:rFonts w:asciiTheme="majorHAnsi" w:hAnsiTheme="majorHAnsi"/>
          <w:sz w:val="20"/>
          <w:szCs w:val="20"/>
        </w:rPr>
        <w:t>подаються</w:t>
      </w:r>
      <w:r w:rsidRPr="000977F7">
        <w:rPr>
          <w:rFonts w:asciiTheme="majorHAnsi" w:hAnsiTheme="majorHAnsi"/>
          <w:spacing w:val="-47"/>
          <w:sz w:val="20"/>
          <w:szCs w:val="20"/>
        </w:rPr>
        <w:t xml:space="preserve"> </w:t>
      </w:r>
      <w:r w:rsidRPr="000977F7">
        <w:rPr>
          <w:rFonts w:asciiTheme="majorHAnsi" w:hAnsiTheme="majorHAnsi"/>
          <w:sz w:val="20"/>
          <w:szCs w:val="20"/>
        </w:rPr>
        <w:t>робочі</w:t>
      </w:r>
      <w:r w:rsidRPr="000977F7">
        <w:rPr>
          <w:rFonts w:asciiTheme="majorHAnsi" w:hAnsiTheme="majorHAnsi"/>
          <w:spacing w:val="-2"/>
          <w:sz w:val="20"/>
          <w:szCs w:val="20"/>
        </w:rPr>
        <w:t xml:space="preserve"> </w:t>
      </w:r>
      <w:r w:rsidRPr="000977F7">
        <w:rPr>
          <w:rFonts w:asciiTheme="majorHAnsi" w:hAnsiTheme="majorHAnsi"/>
          <w:sz w:val="20"/>
          <w:szCs w:val="20"/>
        </w:rPr>
        <w:t>впливи</w:t>
      </w:r>
    </w:p>
    <w:p w14:paraId="2438860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2389</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277981B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РОБОЧИЙ</w:t>
      </w:r>
      <w:r w:rsidRPr="000977F7">
        <w:rPr>
          <w:color w:val="auto"/>
          <w:spacing w:val="-2"/>
          <w:sz w:val="20"/>
          <w:szCs w:val="20"/>
        </w:rPr>
        <w:t xml:space="preserve"> </w:t>
      </w:r>
      <w:r w:rsidRPr="000977F7">
        <w:rPr>
          <w:color w:val="auto"/>
          <w:sz w:val="20"/>
          <w:szCs w:val="20"/>
        </w:rPr>
        <w:t>ЕТАЛОН</w:t>
      </w:r>
      <w:r w:rsidRPr="000977F7">
        <w:rPr>
          <w:color w:val="auto"/>
          <w:spacing w:val="-2"/>
          <w:sz w:val="20"/>
          <w:szCs w:val="20"/>
        </w:rPr>
        <w:t xml:space="preserve"> </w:t>
      </w:r>
      <w:r w:rsidRPr="000977F7">
        <w:rPr>
          <w:color w:val="auto"/>
          <w:sz w:val="20"/>
          <w:szCs w:val="20"/>
        </w:rPr>
        <w:t>–</w:t>
      </w:r>
    </w:p>
    <w:p w14:paraId="7B715F6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WORKING</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STANDART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476504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Еталон,</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призначений</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передачі розміру фізичної</w:t>
      </w:r>
      <w:r w:rsidRPr="000977F7">
        <w:rPr>
          <w:rFonts w:asciiTheme="majorHAnsi" w:hAnsiTheme="majorHAnsi"/>
          <w:spacing w:val="1"/>
          <w:sz w:val="20"/>
          <w:szCs w:val="20"/>
        </w:rPr>
        <w:t xml:space="preserve"> </w:t>
      </w:r>
      <w:r w:rsidRPr="000977F7">
        <w:rPr>
          <w:rFonts w:asciiTheme="majorHAnsi" w:hAnsiTheme="majorHAnsi"/>
          <w:sz w:val="20"/>
          <w:szCs w:val="20"/>
        </w:rPr>
        <w:t>величини зразковим засобам вимірювальної техніки, а</w:t>
      </w:r>
      <w:r w:rsidRPr="000977F7">
        <w:rPr>
          <w:rFonts w:asciiTheme="majorHAnsi" w:hAnsiTheme="majorHAnsi"/>
          <w:spacing w:val="-47"/>
          <w:sz w:val="20"/>
          <w:szCs w:val="20"/>
        </w:rPr>
        <w:t xml:space="preserve"> </w:t>
      </w:r>
      <w:r w:rsidRPr="000977F7">
        <w:rPr>
          <w:rFonts w:asciiTheme="majorHAnsi" w:hAnsiTheme="majorHAnsi"/>
          <w:sz w:val="20"/>
          <w:szCs w:val="20"/>
        </w:rPr>
        <w:t>в окремих випадках робочим засобам вимірювальної</w:t>
      </w:r>
      <w:r w:rsidRPr="000977F7">
        <w:rPr>
          <w:rFonts w:asciiTheme="majorHAnsi" w:hAnsiTheme="majorHAnsi"/>
          <w:spacing w:val="-47"/>
          <w:sz w:val="20"/>
          <w:szCs w:val="20"/>
        </w:rPr>
        <w:t xml:space="preserve"> </w:t>
      </w:r>
      <w:r w:rsidRPr="000977F7">
        <w:rPr>
          <w:rFonts w:asciiTheme="majorHAnsi" w:hAnsiTheme="majorHAnsi"/>
          <w:sz w:val="20"/>
          <w:szCs w:val="20"/>
        </w:rPr>
        <w:t>техніки</w:t>
      </w:r>
    </w:p>
    <w:p w14:paraId="09702A4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91</w:t>
      </w:r>
    </w:p>
    <w:p w14:paraId="2F1199D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РОБОЧИЙ</w:t>
      </w:r>
      <w:r w:rsidRPr="000977F7">
        <w:rPr>
          <w:color w:val="auto"/>
          <w:spacing w:val="-8"/>
          <w:sz w:val="20"/>
          <w:szCs w:val="20"/>
        </w:rPr>
        <w:t xml:space="preserve"> </w:t>
      </w:r>
      <w:r w:rsidRPr="000977F7">
        <w:rPr>
          <w:color w:val="auto"/>
          <w:sz w:val="20"/>
          <w:szCs w:val="20"/>
        </w:rPr>
        <w:t>ЗАСІБ</w:t>
      </w:r>
      <w:r w:rsidRPr="000977F7">
        <w:rPr>
          <w:color w:val="auto"/>
          <w:spacing w:val="-9"/>
          <w:sz w:val="20"/>
          <w:szCs w:val="20"/>
        </w:rPr>
        <w:t xml:space="preserve"> </w:t>
      </w:r>
      <w:r w:rsidRPr="000977F7">
        <w:rPr>
          <w:color w:val="auto"/>
          <w:sz w:val="20"/>
          <w:szCs w:val="20"/>
        </w:rPr>
        <w:t>ВИМІРЮВАЛЬНОЇ</w:t>
      </w:r>
      <w:r w:rsidRPr="000977F7">
        <w:rPr>
          <w:color w:val="auto"/>
          <w:spacing w:val="-47"/>
          <w:sz w:val="20"/>
          <w:szCs w:val="20"/>
        </w:rPr>
        <w:t xml:space="preserve"> </w:t>
      </w:r>
      <w:r w:rsidRPr="000977F7">
        <w:rPr>
          <w:color w:val="auto"/>
          <w:sz w:val="20"/>
          <w:szCs w:val="20"/>
        </w:rPr>
        <w:t>ТЕХНІКИ –</w:t>
      </w:r>
    </w:p>
    <w:p w14:paraId="5147969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WORKING</w:t>
      </w:r>
      <w:r w:rsidRPr="004D2D14">
        <w:rPr>
          <w:rFonts w:asciiTheme="majorHAnsi" w:hAnsiTheme="majorHAnsi"/>
          <w:spacing w:val="-3"/>
          <w:sz w:val="20"/>
          <w:szCs w:val="20"/>
          <w:lang w:val="uk-UA"/>
        </w:rPr>
        <w:t xml:space="preserve"> </w:t>
      </w:r>
      <w:r w:rsidRPr="000977F7">
        <w:rPr>
          <w:rFonts w:asciiTheme="majorHAnsi" w:hAnsiTheme="majorHAnsi"/>
          <w:sz w:val="20"/>
          <w:szCs w:val="20"/>
        </w:rPr>
        <w:t>MEASURING</w:t>
      </w:r>
      <w:r w:rsidRPr="004D2D14">
        <w:rPr>
          <w:rFonts w:asciiTheme="majorHAnsi" w:hAnsiTheme="majorHAnsi"/>
          <w:spacing w:val="-2"/>
          <w:sz w:val="20"/>
          <w:szCs w:val="20"/>
          <w:lang w:val="uk-UA"/>
        </w:rPr>
        <w:t xml:space="preserve"> </w:t>
      </w:r>
      <w:r w:rsidRPr="000977F7">
        <w:rPr>
          <w:rFonts w:asciiTheme="majorHAnsi" w:hAnsiTheme="majorHAnsi"/>
          <w:sz w:val="20"/>
          <w:szCs w:val="20"/>
        </w:rPr>
        <w:t>INSTRUMENT</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p>
    <w:p w14:paraId="4269BFC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Засіб вимірювальної техніки, що застосовується 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вимірювань,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пов’язаних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передаванням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розміру</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одиниці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фізичної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величини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іншим засобам</w:t>
      </w:r>
    </w:p>
    <w:p w14:paraId="6DEF1EB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2681 - 94</w:t>
      </w:r>
    </w:p>
    <w:p w14:paraId="097A422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РОБОЧИЙ</w:t>
      </w:r>
      <w:r w:rsidRPr="000977F7">
        <w:rPr>
          <w:color w:val="auto"/>
          <w:spacing w:val="-5"/>
          <w:sz w:val="20"/>
          <w:szCs w:val="20"/>
        </w:rPr>
        <w:t xml:space="preserve"> </w:t>
      </w:r>
      <w:r w:rsidRPr="000977F7">
        <w:rPr>
          <w:color w:val="auto"/>
          <w:sz w:val="20"/>
          <w:szCs w:val="20"/>
        </w:rPr>
        <w:t>МАКЕТ</w:t>
      </w:r>
      <w:r w:rsidRPr="000977F7">
        <w:rPr>
          <w:color w:val="auto"/>
          <w:spacing w:val="-2"/>
          <w:sz w:val="20"/>
          <w:szCs w:val="20"/>
        </w:rPr>
        <w:t xml:space="preserve"> </w:t>
      </w:r>
      <w:r w:rsidRPr="000977F7">
        <w:rPr>
          <w:color w:val="auto"/>
          <w:sz w:val="20"/>
          <w:szCs w:val="20"/>
        </w:rPr>
        <w:t>–</w:t>
      </w:r>
    </w:p>
    <w:p w14:paraId="324791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Макет</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1"/>
          <w:sz w:val="20"/>
          <w:szCs w:val="20"/>
        </w:rPr>
        <w:t xml:space="preserve"> </w:t>
      </w:r>
      <w:r w:rsidRPr="000977F7">
        <w:rPr>
          <w:rFonts w:asciiTheme="majorHAnsi" w:hAnsiTheme="majorHAnsi"/>
          <w:sz w:val="20"/>
          <w:szCs w:val="20"/>
        </w:rPr>
        <w:t>виготовлений</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стадії</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w:t>
      </w:r>
      <w:r w:rsidRPr="000977F7">
        <w:rPr>
          <w:rFonts w:asciiTheme="majorHAnsi" w:hAnsiTheme="majorHAnsi"/>
          <w:spacing w:val="1"/>
          <w:sz w:val="20"/>
          <w:szCs w:val="20"/>
        </w:rPr>
        <w:t xml:space="preserve"> </w:t>
      </w:r>
      <w:r w:rsidRPr="000977F7">
        <w:rPr>
          <w:rFonts w:asciiTheme="majorHAnsi" w:hAnsiTheme="majorHAnsi"/>
          <w:sz w:val="20"/>
          <w:szCs w:val="20"/>
        </w:rPr>
        <w:t>робочої</w:t>
      </w:r>
      <w:r w:rsidRPr="000977F7">
        <w:rPr>
          <w:rFonts w:asciiTheme="majorHAnsi" w:hAnsiTheme="majorHAnsi"/>
          <w:spacing w:val="-2"/>
          <w:sz w:val="20"/>
          <w:szCs w:val="20"/>
        </w:rPr>
        <w:t xml:space="preserve"> </w:t>
      </w:r>
      <w:r w:rsidRPr="000977F7">
        <w:rPr>
          <w:rFonts w:asciiTheme="majorHAnsi" w:hAnsiTheme="majorHAnsi"/>
          <w:sz w:val="20"/>
          <w:szCs w:val="20"/>
        </w:rPr>
        <w:t>документації</w:t>
      </w:r>
    </w:p>
    <w:p w14:paraId="7EB8012D"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3321 – 2003</w:t>
      </w:r>
    </w:p>
    <w:p w14:paraId="741227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РОБОЧІЙ</w:t>
      </w:r>
      <w:r w:rsidRPr="000977F7">
        <w:rPr>
          <w:color w:val="auto"/>
          <w:spacing w:val="-4"/>
          <w:sz w:val="20"/>
          <w:szCs w:val="20"/>
        </w:rPr>
        <w:t xml:space="preserve"> </w:t>
      </w:r>
      <w:r w:rsidRPr="000977F7">
        <w:rPr>
          <w:color w:val="auto"/>
          <w:sz w:val="20"/>
          <w:szCs w:val="20"/>
        </w:rPr>
        <w:t>ХІД</w:t>
      </w:r>
      <w:r w:rsidRPr="000977F7">
        <w:rPr>
          <w:color w:val="auto"/>
          <w:spacing w:val="-4"/>
          <w:sz w:val="20"/>
          <w:szCs w:val="20"/>
        </w:rPr>
        <w:t xml:space="preserve"> </w:t>
      </w:r>
      <w:r w:rsidRPr="000977F7">
        <w:rPr>
          <w:color w:val="auto"/>
          <w:sz w:val="20"/>
          <w:szCs w:val="20"/>
        </w:rPr>
        <w:t>–</w:t>
      </w:r>
    </w:p>
    <w:p w14:paraId="7794EC8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MANUFACTURING</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PASS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741D161"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Закінчена</w:t>
      </w:r>
      <w:r w:rsidRPr="000977F7">
        <w:rPr>
          <w:rFonts w:asciiTheme="majorHAnsi" w:hAnsiTheme="majorHAnsi"/>
          <w:spacing w:val="8"/>
          <w:sz w:val="20"/>
          <w:szCs w:val="20"/>
        </w:rPr>
        <w:t xml:space="preserve"> </w:t>
      </w:r>
      <w:r w:rsidRPr="000977F7">
        <w:rPr>
          <w:rFonts w:asciiTheme="majorHAnsi" w:hAnsiTheme="majorHAnsi"/>
          <w:sz w:val="20"/>
          <w:szCs w:val="20"/>
        </w:rPr>
        <w:t>частина</w:t>
      </w:r>
      <w:r w:rsidRPr="000977F7">
        <w:rPr>
          <w:rFonts w:asciiTheme="majorHAnsi" w:hAnsiTheme="majorHAnsi"/>
          <w:spacing w:val="9"/>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0"/>
          <w:sz w:val="20"/>
          <w:szCs w:val="20"/>
        </w:rPr>
        <w:t xml:space="preserve"> </w:t>
      </w:r>
      <w:r w:rsidRPr="000977F7">
        <w:rPr>
          <w:rFonts w:asciiTheme="majorHAnsi" w:hAnsiTheme="majorHAnsi"/>
          <w:sz w:val="20"/>
          <w:szCs w:val="20"/>
        </w:rPr>
        <w:t>переходу,</w:t>
      </w:r>
      <w:r w:rsidRPr="000977F7">
        <w:rPr>
          <w:rFonts w:asciiTheme="majorHAnsi" w:hAnsiTheme="majorHAnsi"/>
          <w:spacing w:val="8"/>
          <w:sz w:val="20"/>
          <w:szCs w:val="20"/>
        </w:rPr>
        <w:t xml:space="preserve"> </w:t>
      </w:r>
      <w:r w:rsidRPr="000977F7">
        <w:rPr>
          <w:rFonts w:asciiTheme="majorHAnsi" w:hAnsiTheme="majorHAnsi"/>
          <w:sz w:val="20"/>
          <w:szCs w:val="20"/>
        </w:rPr>
        <w:t>яка</w:t>
      </w:r>
      <w:r w:rsidRPr="000977F7">
        <w:rPr>
          <w:rFonts w:asciiTheme="majorHAnsi" w:hAnsiTheme="majorHAnsi"/>
          <w:spacing w:val="9"/>
          <w:sz w:val="20"/>
          <w:szCs w:val="20"/>
        </w:rPr>
        <w:t xml:space="preserve"> </w:t>
      </w:r>
      <w:r w:rsidRPr="000977F7">
        <w:rPr>
          <w:rFonts w:asciiTheme="majorHAnsi" w:hAnsiTheme="majorHAnsi"/>
          <w:sz w:val="20"/>
          <w:szCs w:val="20"/>
        </w:rPr>
        <w:t>складається</w:t>
      </w:r>
      <w:r w:rsidRPr="000977F7">
        <w:rPr>
          <w:rFonts w:asciiTheme="majorHAnsi" w:hAnsiTheme="majorHAnsi"/>
          <w:spacing w:val="11"/>
          <w:sz w:val="20"/>
          <w:szCs w:val="20"/>
        </w:rPr>
        <w:t xml:space="preserve"> </w:t>
      </w:r>
      <w:r w:rsidRPr="000977F7">
        <w:rPr>
          <w:rFonts w:asciiTheme="majorHAnsi" w:hAnsiTheme="majorHAnsi"/>
          <w:sz w:val="20"/>
          <w:szCs w:val="20"/>
        </w:rPr>
        <w:t>з</w:t>
      </w:r>
      <w:r w:rsidRPr="000977F7">
        <w:rPr>
          <w:rFonts w:asciiTheme="majorHAnsi" w:hAnsiTheme="majorHAnsi"/>
          <w:spacing w:val="15"/>
          <w:sz w:val="20"/>
          <w:szCs w:val="20"/>
        </w:rPr>
        <w:t xml:space="preserve"> </w:t>
      </w:r>
      <w:r w:rsidRPr="000977F7">
        <w:rPr>
          <w:rFonts w:asciiTheme="majorHAnsi" w:hAnsiTheme="majorHAnsi"/>
          <w:sz w:val="20"/>
          <w:szCs w:val="20"/>
        </w:rPr>
        <w:t>одноразового</w:t>
      </w:r>
      <w:r w:rsidRPr="000977F7">
        <w:rPr>
          <w:rFonts w:asciiTheme="majorHAnsi" w:hAnsiTheme="majorHAnsi"/>
          <w:spacing w:val="13"/>
          <w:sz w:val="20"/>
          <w:szCs w:val="20"/>
        </w:rPr>
        <w:t xml:space="preserve"> </w:t>
      </w:r>
      <w:r w:rsidRPr="000977F7">
        <w:rPr>
          <w:rFonts w:asciiTheme="majorHAnsi" w:hAnsiTheme="majorHAnsi"/>
          <w:sz w:val="20"/>
          <w:szCs w:val="20"/>
        </w:rPr>
        <w:t>переміщення</w:t>
      </w:r>
      <w:r w:rsidRPr="000977F7">
        <w:rPr>
          <w:rFonts w:asciiTheme="majorHAnsi" w:hAnsiTheme="majorHAnsi"/>
          <w:spacing w:val="12"/>
          <w:sz w:val="20"/>
          <w:szCs w:val="20"/>
        </w:rPr>
        <w:t xml:space="preserve"> </w:t>
      </w:r>
      <w:r w:rsidRPr="000977F7">
        <w:rPr>
          <w:rFonts w:asciiTheme="majorHAnsi" w:hAnsiTheme="majorHAnsi"/>
          <w:sz w:val="20"/>
          <w:szCs w:val="20"/>
        </w:rPr>
        <w:t>інструменту</w:t>
      </w:r>
      <w:r w:rsidRPr="000977F7">
        <w:rPr>
          <w:rFonts w:asciiTheme="majorHAnsi" w:hAnsiTheme="majorHAnsi"/>
          <w:spacing w:val="13"/>
          <w:sz w:val="20"/>
          <w:szCs w:val="20"/>
        </w:rPr>
        <w:t xml:space="preserve"> </w:t>
      </w:r>
      <w:r w:rsidRPr="000977F7">
        <w:rPr>
          <w:rFonts w:asciiTheme="majorHAnsi" w:hAnsiTheme="majorHAnsi"/>
          <w:sz w:val="20"/>
          <w:szCs w:val="20"/>
        </w:rPr>
        <w:t>відносно</w:t>
      </w:r>
      <w:r w:rsidRPr="000977F7">
        <w:rPr>
          <w:rFonts w:asciiTheme="majorHAnsi" w:hAnsiTheme="majorHAnsi"/>
          <w:spacing w:val="8"/>
          <w:sz w:val="20"/>
          <w:szCs w:val="20"/>
        </w:rPr>
        <w:t xml:space="preserve"> </w:t>
      </w:r>
      <w:r w:rsidRPr="000977F7">
        <w:rPr>
          <w:rFonts w:asciiTheme="majorHAnsi" w:hAnsiTheme="majorHAnsi"/>
          <w:sz w:val="20"/>
          <w:szCs w:val="20"/>
        </w:rPr>
        <w:t>заготовки,</w:t>
      </w:r>
      <w:r w:rsidRPr="000977F7">
        <w:rPr>
          <w:rFonts w:asciiTheme="majorHAnsi" w:hAnsiTheme="majorHAnsi"/>
          <w:spacing w:val="7"/>
          <w:sz w:val="20"/>
          <w:szCs w:val="20"/>
        </w:rPr>
        <w:t xml:space="preserve"> </w:t>
      </w:r>
      <w:r w:rsidRPr="000977F7">
        <w:rPr>
          <w:rFonts w:asciiTheme="majorHAnsi" w:hAnsiTheme="majorHAnsi"/>
          <w:sz w:val="20"/>
          <w:szCs w:val="20"/>
        </w:rPr>
        <w:t>яке</w:t>
      </w:r>
      <w:r w:rsidRPr="000977F7">
        <w:rPr>
          <w:rFonts w:asciiTheme="majorHAnsi" w:hAnsiTheme="majorHAnsi"/>
          <w:spacing w:val="7"/>
          <w:sz w:val="20"/>
          <w:szCs w:val="20"/>
        </w:rPr>
        <w:t xml:space="preserve"> </w:t>
      </w:r>
      <w:r w:rsidRPr="000977F7">
        <w:rPr>
          <w:rFonts w:asciiTheme="majorHAnsi" w:hAnsiTheme="majorHAnsi"/>
          <w:sz w:val="20"/>
          <w:szCs w:val="20"/>
        </w:rPr>
        <w:t>супроводжується</w:t>
      </w:r>
      <w:r w:rsidRPr="000977F7">
        <w:rPr>
          <w:rFonts w:asciiTheme="majorHAnsi" w:hAnsiTheme="majorHAnsi"/>
          <w:spacing w:val="6"/>
          <w:sz w:val="20"/>
          <w:szCs w:val="20"/>
        </w:rPr>
        <w:t xml:space="preserve"> </w:t>
      </w:r>
      <w:r w:rsidRPr="000977F7">
        <w:rPr>
          <w:rFonts w:asciiTheme="majorHAnsi" w:hAnsiTheme="majorHAnsi"/>
          <w:sz w:val="20"/>
          <w:szCs w:val="20"/>
        </w:rPr>
        <w:t>зміною</w:t>
      </w:r>
      <w:r w:rsidRPr="000977F7">
        <w:rPr>
          <w:rFonts w:asciiTheme="majorHAnsi" w:hAnsiTheme="majorHAnsi"/>
          <w:spacing w:val="7"/>
          <w:sz w:val="20"/>
          <w:szCs w:val="20"/>
        </w:rPr>
        <w:t xml:space="preserve"> </w:t>
      </w:r>
      <w:r w:rsidRPr="000977F7">
        <w:rPr>
          <w:rFonts w:asciiTheme="majorHAnsi" w:hAnsiTheme="majorHAnsi"/>
          <w:sz w:val="20"/>
          <w:szCs w:val="20"/>
        </w:rPr>
        <w:t>форми,</w:t>
      </w:r>
      <w:r w:rsidRPr="000977F7">
        <w:rPr>
          <w:rFonts w:asciiTheme="majorHAnsi" w:hAnsiTheme="majorHAnsi"/>
          <w:spacing w:val="-47"/>
          <w:sz w:val="20"/>
          <w:szCs w:val="20"/>
        </w:rPr>
        <w:t xml:space="preserve"> </w:t>
      </w:r>
      <w:r w:rsidRPr="000977F7">
        <w:rPr>
          <w:rFonts w:asciiTheme="majorHAnsi" w:hAnsiTheme="majorHAnsi"/>
          <w:sz w:val="20"/>
          <w:szCs w:val="20"/>
        </w:rPr>
        <w:t>розмірів, якості поверхні та властивостей заготовки</w:t>
      </w:r>
      <w:r w:rsidRPr="000977F7">
        <w:rPr>
          <w:rFonts w:asciiTheme="majorHAnsi" w:hAnsiTheme="majorHAnsi"/>
          <w:spacing w:val="1"/>
          <w:sz w:val="20"/>
          <w:szCs w:val="20"/>
        </w:rPr>
        <w:t xml:space="preserve"> </w:t>
      </w:r>
    </w:p>
    <w:p w14:paraId="230A38D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2391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2010</w:t>
      </w:r>
    </w:p>
    <w:p w14:paraId="5A33C90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РОБОЧІ</w:t>
      </w:r>
      <w:r w:rsidRPr="000977F7">
        <w:rPr>
          <w:color w:val="auto"/>
          <w:spacing w:val="12"/>
          <w:sz w:val="20"/>
          <w:szCs w:val="20"/>
        </w:rPr>
        <w:t xml:space="preserve"> </w:t>
      </w:r>
      <w:r w:rsidRPr="000977F7">
        <w:rPr>
          <w:color w:val="auto"/>
          <w:sz w:val="20"/>
          <w:szCs w:val="20"/>
        </w:rPr>
        <w:t>УМОВИ</w:t>
      </w:r>
      <w:r w:rsidRPr="000977F7">
        <w:rPr>
          <w:color w:val="auto"/>
          <w:spacing w:val="13"/>
          <w:sz w:val="20"/>
          <w:szCs w:val="20"/>
        </w:rPr>
        <w:t xml:space="preserve"> </w:t>
      </w:r>
      <w:r w:rsidRPr="000977F7">
        <w:rPr>
          <w:color w:val="auto"/>
          <w:sz w:val="20"/>
          <w:szCs w:val="20"/>
        </w:rPr>
        <w:t>ЗАСТОСУВАННЯ</w:t>
      </w:r>
      <w:r w:rsidRPr="000977F7">
        <w:rPr>
          <w:color w:val="auto"/>
          <w:spacing w:val="13"/>
          <w:sz w:val="20"/>
          <w:szCs w:val="20"/>
        </w:rPr>
        <w:t xml:space="preserve"> </w:t>
      </w:r>
      <w:r w:rsidRPr="000977F7">
        <w:rPr>
          <w:color w:val="auto"/>
          <w:sz w:val="20"/>
          <w:szCs w:val="20"/>
        </w:rPr>
        <w:t>ЗАСОБІВ</w:t>
      </w:r>
      <w:r w:rsidRPr="000977F7">
        <w:rPr>
          <w:color w:val="auto"/>
          <w:spacing w:val="-47"/>
          <w:sz w:val="20"/>
          <w:szCs w:val="20"/>
        </w:rPr>
        <w:t xml:space="preserve"> </w:t>
      </w:r>
      <w:r w:rsidRPr="000977F7">
        <w:rPr>
          <w:color w:val="auto"/>
          <w:sz w:val="20"/>
          <w:szCs w:val="20"/>
        </w:rPr>
        <w:t>ВИМІРЮВАЛЬНОЇ</w:t>
      </w:r>
      <w:r w:rsidRPr="000977F7">
        <w:rPr>
          <w:color w:val="auto"/>
          <w:spacing w:val="-2"/>
          <w:sz w:val="20"/>
          <w:szCs w:val="20"/>
        </w:rPr>
        <w:t xml:space="preserve"> </w:t>
      </w:r>
      <w:r w:rsidRPr="000977F7">
        <w:rPr>
          <w:color w:val="auto"/>
          <w:sz w:val="20"/>
          <w:szCs w:val="20"/>
        </w:rPr>
        <w:t>ТЕХНІКИ</w:t>
      </w:r>
      <w:r w:rsidRPr="000977F7">
        <w:rPr>
          <w:color w:val="auto"/>
          <w:spacing w:val="3"/>
          <w:sz w:val="20"/>
          <w:szCs w:val="20"/>
        </w:rPr>
        <w:t xml:space="preserve"> </w:t>
      </w:r>
      <w:r w:rsidRPr="000977F7">
        <w:rPr>
          <w:color w:val="auto"/>
          <w:sz w:val="20"/>
          <w:szCs w:val="20"/>
        </w:rPr>
        <w:t>–</w:t>
      </w:r>
    </w:p>
    <w:p w14:paraId="0FB3F67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RATED</w:t>
      </w:r>
      <w:r w:rsidRPr="004D2D14">
        <w:rPr>
          <w:rFonts w:asciiTheme="majorHAnsi" w:hAnsiTheme="majorHAnsi"/>
          <w:spacing w:val="-2"/>
          <w:sz w:val="20"/>
          <w:szCs w:val="20"/>
          <w:lang w:val="uk-UA"/>
        </w:rPr>
        <w:t xml:space="preserve"> </w:t>
      </w:r>
      <w:r w:rsidRPr="000977F7">
        <w:rPr>
          <w:rFonts w:asciiTheme="majorHAnsi" w:hAnsiTheme="majorHAnsi"/>
          <w:sz w:val="20"/>
          <w:szCs w:val="20"/>
        </w:rPr>
        <w:t>OPERATING</w:t>
      </w:r>
      <w:r w:rsidRPr="004D2D14">
        <w:rPr>
          <w:rFonts w:asciiTheme="majorHAnsi" w:hAnsiTheme="majorHAnsi"/>
          <w:spacing w:val="-2"/>
          <w:sz w:val="20"/>
          <w:szCs w:val="20"/>
          <w:lang w:val="uk-UA"/>
        </w:rPr>
        <w:t xml:space="preserve"> </w:t>
      </w:r>
      <w:r w:rsidRPr="000977F7">
        <w:rPr>
          <w:rFonts w:asciiTheme="majorHAnsi" w:hAnsiTheme="majorHAnsi"/>
          <w:sz w:val="20"/>
          <w:szCs w:val="20"/>
        </w:rPr>
        <w:t>CONDITIONS</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06034D2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Умови застосування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засобів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вимірювальної</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техніки,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значення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впливних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величин</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знаходяться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границях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робочої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зони</w:t>
      </w:r>
    </w:p>
    <w:p w14:paraId="47B2EEA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679C28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Робоча зона значень впливної величини це зона, що</w:t>
      </w:r>
      <w:r w:rsidRPr="000977F7">
        <w:rPr>
          <w:rFonts w:asciiTheme="majorHAnsi" w:hAnsiTheme="majorHAnsi"/>
          <w:spacing w:val="1"/>
          <w:sz w:val="20"/>
          <w:szCs w:val="20"/>
        </w:rPr>
        <w:t xml:space="preserve"> </w:t>
      </w:r>
      <w:r w:rsidRPr="000977F7">
        <w:rPr>
          <w:rFonts w:asciiTheme="majorHAnsi" w:hAnsiTheme="majorHAnsi"/>
          <w:sz w:val="20"/>
          <w:szCs w:val="20"/>
        </w:rPr>
        <w:t>встановлюється для засобів вимірювальної техніки, в</w:t>
      </w:r>
      <w:r w:rsidRPr="000977F7">
        <w:rPr>
          <w:rFonts w:asciiTheme="majorHAnsi" w:hAnsiTheme="majorHAnsi"/>
          <w:spacing w:val="1"/>
          <w:sz w:val="20"/>
          <w:szCs w:val="20"/>
        </w:rPr>
        <w:t xml:space="preserve"> </w:t>
      </w:r>
      <w:r w:rsidRPr="000977F7">
        <w:rPr>
          <w:rFonts w:asciiTheme="majorHAnsi" w:hAnsiTheme="majorHAnsi"/>
          <w:sz w:val="20"/>
          <w:szCs w:val="20"/>
        </w:rPr>
        <w:t>межах</w:t>
      </w:r>
      <w:r w:rsidRPr="000977F7">
        <w:rPr>
          <w:rFonts w:asciiTheme="majorHAnsi" w:hAnsiTheme="majorHAnsi"/>
          <w:spacing w:val="1"/>
          <w:sz w:val="20"/>
          <w:szCs w:val="20"/>
        </w:rPr>
        <w:t xml:space="preserve"> </w:t>
      </w:r>
      <w:r w:rsidRPr="000977F7">
        <w:rPr>
          <w:rFonts w:asciiTheme="majorHAnsi" w:hAnsiTheme="majorHAnsi"/>
          <w:sz w:val="20"/>
          <w:szCs w:val="20"/>
        </w:rPr>
        <w:t>якої</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необхідністю</w:t>
      </w:r>
      <w:r w:rsidRPr="000977F7">
        <w:rPr>
          <w:rFonts w:asciiTheme="majorHAnsi" w:hAnsiTheme="majorHAnsi"/>
          <w:spacing w:val="1"/>
          <w:sz w:val="20"/>
          <w:szCs w:val="20"/>
        </w:rPr>
        <w:t xml:space="preserve"> </w:t>
      </w:r>
      <w:r w:rsidRPr="000977F7">
        <w:rPr>
          <w:rFonts w:asciiTheme="majorHAnsi" w:hAnsiTheme="majorHAnsi"/>
          <w:sz w:val="20"/>
          <w:szCs w:val="20"/>
        </w:rPr>
        <w:t>нормуються</w:t>
      </w:r>
      <w:r w:rsidRPr="000977F7">
        <w:rPr>
          <w:rFonts w:asciiTheme="majorHAnsi" w:hAnsiTheme="majorHAnsi"/>
          <w:spacing w:val="1"/>
          <w:sz w:val="20"/>
          <w:szCs w:val="20"/>
        </w:rPr>
        <w:t xml:space="preserve"> </w:t>
      </w:r>
      <w:r w:rsidRPr="000977F7">
        <w:rPr>
          <w:rFonts w:asciiTheme="majorHAnsi" w:hAnsiTheme="majorHAnsi"/>
          <w:sz w:val="20"/>
          <w:szCs w:val="20"/>
        </w:rPr>
        <w:t>додаткові</w:t>
      </w:r>
      <w:r w:rsidRPr="000977F7">
        <w:rPr>
          <w:rFonts w:asciiTheme="majorHAnsi" w:hAnsiTheme="majorHAnsi"/>
          <w:spacing w:val="1"/>
          <w:sz w:val="20"/>
          <w:szCs w:val="20"/>
        </w:rPr>
        <w:t xml:space="preserve"> </w:t>
      </w:r>
      <w:r w:rsidRPr="000977F7">
        <w:rPr>
          <w:rFonts w:asciiTheme="majorHAnsi" w:hAnsiTheme="majorHAnsi"/>
          <w:sz w:val="20"/>
          <w:szCs w:val="20"/>
        </w:rPr>
        <w:t>похибки</w:t>
      </w:r>
      <w:r w:rsidRPr="000977F7">
        <w:rPr>
          <w:rFonts w:asciiTheme="majorHAnsi" w:hAnsiTheme="majorHAnsi"/>
          <w:spacing w:val="-2"/>
          <w:sz w:val="20"/>
          <w:szCs w:val="20"/>
        </w:rPr>
        <w:t xml:space="preserve"> </w:t>
      </w:r>
      <w:r w:rsidRPr="000977F7">
        <w:rPr>
          <w:rFonts w:asciiTheme="majorHAnsi" w:hAnsiTheme="majorHAnsi"/>
          <w:sz w:val="20"/>
          <w:szCs w:val="20"/>
        </w:rPr>
        <w:t>цих</w:t>
      </w:r>
      <w:r w:rsidRPr="000977F7">
        <w:rPr>
          <w:rFonts w:asciiTheme="majorHAnsi" w:hAnsiTheme="majorHAnsi"/>
          <w:spacing w:val="-1"/>
          <w:sz w:val="20"/>
          <w:szCs w:val="20"/>
        </w:rPr>
        <w:t xml:space="preserve"> </w:t>
      </w:r>
      <w:r w:rsidRPr="000977F7">
        <w:rPr>
          <w:rFonts w:asciiTheme="majorHAnsi" w:hAnsiTheme="majorHAnsi"/>
          <w:sz w:val="20"/>
          <w:szCs w:val="20"/>
        </w:rPr>
        <w:t>засобів</w:t>
      </w:r>
    </w:p>
    <w:p w14:paraId="78286A5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18384E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РОЗБРАКУВАННЯ</w:t>
      </w:r>
      <w:r w:rsidRPr="000977F7">
        <w:rPr>
          <w:color w:val="auto"/>
          <w:spacing w:val="-5"/>
          <w:sz w:val="20"/>
          <w:szCs w:val="20"/>
        </w:rPr>
        <w:t xml:space="preserve"> </w:t>
      </w:r>
      <w:r w:rsidRPr="000977F7">
        <w:rPr>
          <w:color w:val="auto"/>
          <w:sz w:val="20"/>
          <w:szCs w:val="20"/>
        </w:rPr>
        <w:t>ПАРТІЇ</w:t>
      </w:r>
      <w:r w:rsidRPr="000977F7">
        <w:rPr>
          <w:color w:val="auto"/>
          <w:spacing w:val="-5"/>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6D8DBBD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Розділення дефектних і придатних одиниць продукції в забракованій партії за допомогою контролю кожної одиниці</w:t>
      </w:r>
    </w:p>
    <w:p w14:paraId="716B72CE" w14:textId="77777777" w:rsidR="0097612F" w:rsidRPr="004D2D14" w:rsidRDefault="0097612F" w:rsidP="000977F7">
      <w:pPr>
        <w:pStyle w:val="af6"/>
        <w:tabs>
          <w:tab w:val="left" w:pos="284"/>
        </w:tabs>
        <w:spacing w:after="0"/>
        <w:ind w:left="170"/>
        <w:mirrorIndents/>
        <w:jc w:val="both"/>
        <w:rPr>
          <w:rFonts w:asciiTheme="majorHAnsi" w:hAnsiTheme="majorHAnsi"/>
          <w:b/>
          <w:bCs/>
          <w:sz w:val="20"/>
          <w:szCs w:val="20"/>
          <w:lang w:val="en-US"/>
        </w:rPr>
      </w:pPr>
      <w:r w:rsidRPr="000977F7">
        <w:rPr>
          <w:rFonts w:asciiTheme="majorHAnsi" w:hAnsiTheme="majorHAnsi"/>
          <w:b/>
          <w:bCs/>
          <w:sz w:val="20"/>
          <w:szCs w:val="20"/>
        </w:rPr>
        <w:t>РОЗВАНТАЖУВАЛЬНА</w:t>
      </w:r>
      <w:r w:rsidRPr="004D2D14">
        <w:rPr>
          <w:rFonts w:asciiTheme="majorHAnsi" w:hAnsiTheme="majorHAnsi"/>
          <w:b/>
          <w:bCs/>
          <w:spacing w:val="-10"/>
          <w:sz w:val="20"/>
          <w:szCs w:val="20"/>
          <w:lang w:val="en-US"/>
        </w:rPr>
        <w:t xml:space="preserve"> </w:t>
      </w:r>
      <w:r w:rsidRPr="000977F7">
        <w:rPr>
          <w:rFonts w:asciiTheme="majorHAnsi" w:hAnsiTheme="majorHAnsi"/>
          <w:b/>
          <w:bCs/>
          <w:sz w:val="20"/>
          <w:szCs w:val="20"/>
        </w:rPr>
        <w:t>ВИТОЧКА</w:t>
      </w:r>
      <w:r w:rsidRPr="004D2D14">
        <w:rPr>
          <w:rFonts w:asciiTheme="majorHAnsi" w:hAnsiTheme="majorHAnsi"/>
          <w:b/>
          <w:bCs/>
          <w:spacing w:val="-6"/>
          <w:sz w:val="20"/>
          <w:szCs w:val="20"/>
          <w:lang w:val="en-US"/>
        </w:rPr>
        <w:t xml:space="preserve"> </w:t>
      </w:r>
      <w:r w:rsidRPr="004D2D14">
        <w:rPr>
          <w:rFonts w:asciiTheme="majorHAnsi" w:hAnsiTheme="majorHAnsi"/>
          <w:b/>
          <w:bCs/>
          <w:sz w:val="20"/>
          <w:szCs w:val="20"/>
          <w:lang w:val="en-US"/>
        </w:rPr>
        <w:t>–</w:t>
      </w:r>
    </w:p>
    <w:p w14:paraId="42202B1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STRESS-RELIEVING</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GROOVE –</w:t>
      </w:r>
    </w:p>
    <w:p w14:paraId="67210A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Спеціальний надріз, який виконується на об’єкті для</w:t>
      </w:r>
      <w:r w:rsidRPr="000977F7">
        <w:rPr>
          <w:rFonts w:asciiTheme="majorHAnsi" w:hAnsiTheme="majorHAnsi"/>
          <w:spacing w:val="1"/>
          <w:sz w:val="20"/>
          <w:szCs w:val="20"/>
        </w:rPr>
        <w:t xml:space="preserve"> </w:t>
      </w:r>
      <w:r w:rsidRPr="000977F7">
        <w:rPr>
          <w:rFonts w:asciiTheme="majorHAnsi" w:hAnsiTheme="majorHAnsi"/>
          <w:sz w:val="20"/>
          <w:szCs w:val="20"/>
        </w:rPr>
        <w:t>зниження максимального напруження в зоні концентрації</w:t>
      </w:r>
      <w:r w:rsidRPr="000977F7">
        <w:rPr>
          <w:rFonts w:asciiTheme="majorHAnsi" w:hAnsiTheme="majorHAnsi"/>
          <w:spacing w:val="-2"/>
          <w:sz w:val="20"/>
          <w:szCs w:val="20"/>
        </w:rPr>
        <w:t xml:space="preserve"> </w:t>
      </w:r>
      <w:r w:rsidRPr="000977F7">
        <w:rPr>
          <w:rFonts w:asciiTheme="majorHAnsi" w:hAnsiTheme="majorHAnsi"/>
          <w:sz w:val="20"/>
          <w:szCs w:val="20"/>
        </w:rPr>
        <w:t>напруження</w:t>
      </w:r>
    </w:p>
    <w:p w14:paraId="798DB35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2444 - 94</w:t>
      </w:r>
    </w:p>
    <w:p w14:paraId="4C25919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РОЗГЛЯД СКАРГ НА РІШЕННЯ ОРГАНІВ ВИКОНАВЧОЇ ВЛАДИ, ЩО ЗДІЙСНЮЮТЬ ЗАХИСТ ПРАВ СПОЖИВАЧІВ, ЇХ СЛУЖБОВИХ</w:t>
      </w:r>
      <w:r w:rsidRPr="000977F7">
        <w:rPr>
          <w:color w:val="auto"/>
          <w:spacing w:val="1"/>
          <w:sz w:val="20"/>
          <w:szCs w:val="20"/>
        </w:rPr>
        <w:t xml:space="preserve"> </w:t>
      </w:r>
      <w:r w:rsidRPr="000977F7">
        <w:rPr>
          <w:color w:val="auto"/>
          <w:sz w:val="20"/>
          <w:szCs w:val="20"/>
        </w:rPr>
        <w:t>ОСІБ,</w:t>
      </w:r>
      <w:r w:rsidRPr="000977F7">
        <w:rPr>
          <w:color w:val="auto"/>
          <w:spacing w:val="-1"/>
          <w:sz w:val="20"/>
          <w:szCs w:val="20"/>
        </w:rPr>
        <w:t xml:space="preserve"> </w:t>
      </w:r>
      <w:r w:rsidRPr="000977F7">
        <w:rPr>
          <w:color w:val="auto"/>
          <w:sz w:val="20"/>
          <w:szCs w:val="20"/>
        </w:rPr>
        <w:t>А</w:t>
      </w:r>
      <w:r w:rsidRPr="000977F7">
        <w:rPr>
          <w:color w:val="auto"/>
          <w:spacing w:val="-1"/>
          <w:sz w:val="20"/>
          <w:szCs w:val="20"/>
        </w:rPr>
        <w:t xml:space="preserve"> </w:t>
      </w:r>
      <w:r w:rsidRPr="000977F7">
        <w:rPr>
          <w:color w:val="auto"/>
          <w:sz w:val="20"/>
          <w:szCs w:val="20"/>
        </w:rPr>
        <w:t>ТАКОЖ</w:t>
      </w:r>
      <w:r w:rsidRPr="000977F7">
        <w:rPr>
          <w:color w:val="auto"/>
          <w:spacing w:val="-4"/>
          <w:sz w:val="20"/>
          <w:szCs w:val="20"/>
        </w:rPr>
        <w:t xml:space="preserve"> </w:t>
      </w:r>
      <w:r w:rsidRPr="000977F7">
        <w:rPr>
          <w:color w:val="auto"/>
          <w:sz w:val="20"/>
          <w:szCs w:val="20"/>
        </w:rPr>
        <w:t>НА</w:t>
      </w:r>
      <w:r w:rsidRPr="000977F7">
        <w:rPr>
          <w:color w:val="auto"/>
          <w:spacing w:val="-1"/>
          <w:sz w:val="20"/>
          <w:szCs w:val="20"/>
        </w:rPr>
        <w:t xml:space="preserve"> </w:t>
      </w:r>
      <w:r w:rsidRPr="000977F7">
        <w:rPr>
          <w:color w:val="auto"/>
          <w:sz w:val="20"/>
          <w:szCs w:val="20"/>
        </w:rPr>
        <w:t>ДІЇ</w:t>
      </w:r>
      <w:r w:rsidRPr="000977F7">
        <w:rPr>
          <w:color w:val="auto"/>
          <w:spacing w:val="2"/>
          <w:sz w:val="20"/>
          <w:szCs w:val="20"/>
        </w:rPr>
        <w:t xml:space="preserve"> </w:t>
      </w:r>
      <w:r w:rsidRPr="000977F7">
        <w:rPr>
          <w:color w:val="auto"/>
          <w:sz w:val="20"/>
          <w:szCs w:val="20"/>
        </w:rPr>
        <w:t>ТАКИХ</w:t>
      </w:r>
      <w:r w:rsidRPr="000977F7">
        <w:rPr>
          <w:color w:val="auto"/>
          <w:spacing w:val="-1"/>
          <w:sz w:val="20"/>
          <w:szCs w:val="20"/>
        </w:rPr>
        <w:t xml:space="preserve"> </w:t>
      </w:r>
      <w:r w:rsidRPr="000977F7">
        <w:rPr>
          <w:color w:val="auto"/>
          <w:sz w:val="20"/>
          <w:szCs w:val="20"/>
        </w:rPr>
        <w:t>ОСІБ –</w:t>
      </w:r>
    </w:p>
    <w:p w14:paraId="584EC2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1. Скарги на рішення органів виконавчої влади, що здійснюють захист прав споживачів, їх службових осіб, а</w:t>
      </w:r>
      <w:r w:rsidRPr="000977F7">
        <w:rPr>
          <w:rFonts w:asciiTheme="majorHAnsi" w:hAnsiTheme="majorHAnsi"/>
          <w:spacing w:val="1"/>
          <w:sz w:val="20"/>
          <w:szCs w:val="20"/>
        </w:rPr>
        <w:t xml:space="preserve"> </w:t>
      </w:r>
      <w:r w:rsidRPr="000977F7">
        <w:rPr>
          <w:rFonts w:asciiTheme="majorHAnsi" w:hAnsiTheme="majorHAnsi"/>
          <w:sz w:val="20"/>
          <w:szCs w:val="20"/>
        </w:rPr>
        <w:t>також на дії таких осіб розглядаються в порядку, визначеному</w:t>
      </w:r>
      <w:r w:rsidRPr="000977F7">
        <w:rPr>
          <w:rFonts w:asciiTheme="majorHAnsi" w:hAnsiTheme="majorHAnsi"/>
          <w:spacing w:val="-5"/>
          <w:sz w:val="20"/>
          <w:szCs w:val="20"/>
        </w:rPr>
        <w:t xml:space="preserve"> </w:t>
      </w:r>
      <w:r w:rsidRPr="000977F7">
        <w:rPr>
          <w:rFonts w:asciiTheme="majorHAnsi" w:hAnsiTheme="majorHAnsi"/>
          <w:sz w:val="20"/>
          <w:szCs w:val="20"/>
        </w:rPr>
        <w:t>законодавством.</w:t>
      </w:r>
    </w:p>
    <w:p w14:paraId="608A17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2. Подання скарги не зупиняє виконання рішення органу виконавчої влади, що здійснює захист прав споживачів,</w:t>
      </w:r>
      <w:r w:rsidRPr="000977F7">
        <w:rPr>
          <w:rFonts w:asciiTheme="majorHAnsi" w:hAnsiTheme="majorHAnsi"/>
          <w:spacing w:val="-2"/>
          <w:sz w:val="20"/>
          <w:szCs w:val="20"/>
        </w:rPr>
        <w:t xml:space="preserve"> </w:t>
      </w:r>
      <w:r w:rsidRPr="000977F7">
        <w:rPr>
          <w:rFonts w:asciiTheme="majorHAnsi" w:hAnsiTheme="majorHAnsi"/>
          <w:sz w:val="20"/>
          <w:szCs w:val="20"/>
        </w:rPr>
        <w:t>його службових</w:t>
      </w:r>
      <w:r w:rsidRPr="000977F7">
        <w:rPr>
          <w:rFonts w:asciiTheme="majorHAnsi" w:hAnsiTheme="majorHAnsi"/>
          <w:spacing w:val="-2"/>
          <w:sz w:val="20"/>
          <w:szCs w:val="20"/>
        </w:rPr>
        <w:t xml:space="preserve"> </w:t>
      </w:r>
      <w:r w:rsidRPr="000977F7">
        <w:rPr>
          <w:rFonts w:asciiTheme="majorHAnsi" w:hAnsiTheme="majorHAnsi"/>
          <w:sz w:val="20"/>
          <w:szCs w:val="20"/>
        </w:rPr>
        <w:t>осіб,</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2"/>
          <w:sz w:val="20"/>
          <w:szCs w:val="20"/>
        </w:rPr>
        <w:t xml:space="preserve"> </w:t>
      </w:r>
      <w:r w:rsidRPr="000977F7">
        <w:rPr>
          <w:rFonts w:asciiTheme="majorHAnsi" w:hAnsiTheme="majorHAnsi"/>
          <w:sz w:val="20"/>
          <w:szCs w:val="20"/>
        </w:rPr>
        <w:t>дій</w:t>
      </w:r>
      <w:r w:rsidRPr="000977F7">
        <w:rPr>
          <w:rFonts w:asciiTheme="majorHAnsi" w:hAnsiTheme="majorHAnsi"/>
          <w:spacing w:val="-2"/>
          <w:sz w:val="20"/>
          <w:szCs w:val="20"/>
        </w:rPr>
        <w:t xml:space="preserve"> </w:t>
      </w:r>
      <w:r w:rsidRPr="000977F7">
        <w:rPr>
          <w:rFonts w:asciiTheme="majorHAnsi" w:hAnsiTheme="majorHAnsi"/>
          <w:sz w:val="20"/>
          <w:szCs w:val="20"/>
        </w:rPr>
        <w:t>таких</w:t>
      </w:r>
      <w:r w:rsidRPr="000977F7">
        <w:rPr>
          <w:rFonts w:asciiTheme="majorHAnsi" w:hAnsiTheme="majorHAnsi"/>
          <w:spacing w:val="-2"/>
          <w:sz w:val="20"/>
          <w:szCs w:val="20"/>
        </w:rPr>
        <w:t xml:space="preserve"> </w:t>
      </w:r>
      <w:r w:rsidRPr="000977F7">
        <w:rPr>
          <w:rFonts w:asciiTheme="majorHAnsi" w:hAnsiTheme="majorHAnsi"/>
          <w:sz w:val="20"/>
          <w:szCs w:val="20"/>
        </w:rPr>
        <w:t>осіб</w:t>
      </w:r>
    </w:p>
    <w:p w14:paraId="2CC4B93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30 закону</w:t>
      </w:r>
      <w:r w:rsidRPr="000977F7">
        <w:rPr>
          <w:rFonts w:asciiTheme="majorHAnsi" w:hAnsiTheme="majorHAnsi"/>
          <w:i/>
          <w:spacing w:val="-9"/>
          <w:sz w:val="20"/>
          <w:szCs w:val="20"/>
        </w:rPr>
        <w:t xml:space="preserve"> </w:t>
      </w:r>
      <w:r w:rsidRPr="000977F7">
        <w:rPr>
          <w:rFonts w:asciiTheme="majorHAnsi" w:hAnsiTheme="majorHAnsi"/>
          <w:i/>
          <w:sz w:val="20"/>
          <w:szCs w:val="20"/>
        </w:rPr>
        <w:t>України "Про</w:t>
      </w:r>
      <w:r w:rsidRPr="000977F7">
        <w:rPr>
          <w:rFonts w:asciiTheme="majorHAnsi" w:hAnsiTheme="majorHAnsi"/>
          <w:i/>
          <w:spacing w:val="-6"/>
          <w:sz w:val="20"/>
          <w:szCs w:val="20"/>
        </w:rPr>
        <w:t xml:space="preserve"> </w:t>
      </w:r>
      <w:r w:rsidRPr="000977F7">
        <w:rPr>
          <w:rFonts w:asciiTheme="majorHAnsi" w:hAnsiTheme="majorHAnsi"/>
          <w:i/>
          <w:sz w:val="20"/>
          <w:szCs w:val="20"/>
        </w:rPr>
        <w:t>захист</w:t>
      </w:r>
      <w:r w:rsidRPr="000977F7">
        <w:rPr>
          <w:rFonts w:asciiTheme="majorHAnsi" w:hAnsiTheme="majorHAnsi"/>
          <w:i/>
          <w:spacing w:val="-10"/>
          <w:sz w:val="20"/>
          <w:szCs w:val="20"/>
        </w:rPr>
        <w:t xml:space="preserve"> </w:t>
      </w:r>
      <w:r w:rsidRPr="000977F7">
        <w:rPr>
          <w:rFonts w:asciiTheme="majorHAnsi" w:hAnsiTheme="majorHAnsi"/>
          <w:i/>
          <w:sz w:val="20"/>
          <w:szCs w:val="20"/>
        </w:rPr>
        <w:t>прав</w:t>
      </w:r>
      <w:r w:rsidRPr="000977F7">
        <w:rPr>
          <w:rFonts w:asciiTheme="majorHAnsi" w:hAnsiTheme="majorHAnsi"/>
          <w:i/>
          <w:spacing w:val="-8"/>
          <w:sz w:val="20"/>
          <w:szCs w:val="20"/>
        </w:rPr>
        <w:t xml:space="preserve"> </w:t>
      </w:r>
      <w:r w:rsidRPr="000977F7">
        <w:rPr>
          <w:rFonts w:asciiTheme="majorHAnsi" w:hAnsiTheme="majorHAnsi"/>
          <w:i/>
          <w:sz w:val="20"/>
          <w:szCs w:val="20"/>
        </w:rPr>
        <w:t>споживачів"</w:t>
      </w:r>
    </w:p>
    <w:p w14:paraId="1203205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РОЗДІЛЬНА ЗДАТНІСТЬ НЕРУЙНІВНОГО КО</w:t>
      </w:r>
      <w:r w:rsidRPr="000977F7">
        <w:rPr>
          <w:color w:val="auto"/>
          <w:spacing w:val="-47"/>
          <w:sz w:val="20"/>
          <w:szCs w:val="20"/>
        </w:rPr>
        <w:t xml:space="preserve"> </w:t>
      </w:r>
      <w:r w:rsidRPr="000977F7">
        <w:rPr>
          <w:color w:val="auto"/>
          <w:sz w:val="20"/>
          <w:szCs w:val="20"/>
        </w:rPr>
        <w:t>НТРОЛЮ</w:t>
      </w:r>
      <w:r w:rsidRPr="000977F7">
        <w:rPr>
          <w:color w:val="auto"/>
          <w:spacing w:val="-1"/>
          <w:sz w:val="20"/>
          <w:szCs w:val="20"/>
        </w:rPr>
        <w:t xml:space="preserve"> </w:t>
      </w:r>
      <w:r w:rsidRPr="000977F7">
        <w:rPr>
          <w:color w:val="auto"/>
          <w:sz w:val="20"/>
          <w:szCs w:val="20"/>
        </w:rPr>
        <w:t>–</w:t>
      </w:r>
    </w:p>
    <w:p w14:paraId="1CFC98E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RESOLUTION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18199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Здатність засобів неруйнівного контролю зафіксувати</w:t>
      </w:r>
      <w:r w:rsidRPr="000977F7">
        <w:rPr>
          <w:rFonts w:asciiTheme="majorHAnsi" w:hAnsiTheme="majorHAnsi"/>
          <w:spacing w:val="1"/>
          <w:sz w:val="20"/>
          <w:szCs w:val="20"/>
        </w:rPr>
        <w:t xml:space="preserve"> </w:t>
      </w:r>
      <w:r w:rsidRPr="000977F7">
        <w:rPr>
          <w:rFonts w:asciiTheme="majorHAnsi" w:hAnsiTheme="majorHAnsi"/>
          <w:sz w:val="20"/>
          <w:szCs w:val="20"/>
        </w:rPr>
        <w:t>два</w:t>
      </w:r>
      <w:r w:rsidRPr="000977F7">
        <w:rPr>
          <w:rFonts w:asciiTheme="majorHAnsi" w:hAnsiTheme="majorHAnsi"/>
          <w:spacing w:val="-1"/>
          <w:sz w:val="20"/>
          <w:szCs w:val="20"/>
        </w:rPr>
        <w:t xml:space="preserve"> </w:t>
      </w:r>
      <w:r w:rsidRPr="000977F7">
        <w:rPr>
          <w:rFonts w:asciiTheme="majorHAnsi" w:hAnsiTheme="majorHAnsi"/>
          <w:sz w:val="20"/>
          <w:szCs w:val="20"/>
        </w:rPr>
        <w:t>сусідніх</w:t>
      </w:r>
      <w:r w:rsidRPr="000977F7">
        <w:rPr>
          <w:rFonts w:asciiTheme="majorHAnsi" w:hAnsiTheme="majorHAnsi"/>
          <w:spacing w:val="-2"/>
          <w:sz w:val="20"/>
          <w:szCs w:val="20"/>
        </w:rPr>
        <w:t xml:space="preserve"> </w:t>
      </w:r>
      <w:r w:rsidRPr="000977F7">
        <w:rPr>
          <w:rFonts w:asciiTheme="majorHAnsi" w:hAnsiTheme="majorHAnsi"/>
          <w:sz w:val="20"/>
          <w:szCs w:val="20"/>
        </w:rPr>
        <w:t>дефекти</w:t>
      </w:r>
    </w:p>
    <w:p w14:paraId="03DB381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2865 – 94</w:t>
      </w:r>
    </w:p>
    <w:p w14:paraId="0C0476D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РОЗДІЛЬНЕ</w:t>
      </w:r>
      <w:r w:rsidRPr="000977F7">
        <w:rPr>
          <w:color w:val="auto"/>
          <w:spacing w:val="-4"/>
          <w:sz w:val="20"/>
          <w:szCs w:val="20"/>
        </w:rPr>
        <w:t xml:space="preserve"> </w:t>
      </w:r>
      <w:r w:rsidRPr="000977F7">
        <w:rPr>
          <w:color w:val="auto"/>
          <w:sz w:val="20"/>
          <w:szCs w:val="20"/>
        </w:rPr>
        <w:t>РЕЗЕРВУВАННЯ –</w:t>
      </w:r>
    </w:p>
    <w:p w14:paraId="224F184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SEGREGATED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REDUNDANCY –</w:t>
      </w:r>
    </w:p>
    <w:p w14:paraId="4F641CC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Резервування, в якому резервуються окремі елементи</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групи</w:t>
      </w:r>
    </w:p>
    <w:p w14:paraId="4EB12A8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DBA53C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РОЗКОНСЕРВАЦІЯ</w:t>
      </w:r>
      <w:r w:rsidRPr="000977F7">
        <w:rPr>
          <w:color w:val="auto"/>
          <w:spacing w:val="-3"/>
          <w:sz w:val="20"/>
          <w:szCs w:val="20"/>
        </w:rPr>
        <w:t xml:space="preserve"> </w:t>
      </w:r>
      <w:r w:rsidRPr="000977F7">
        <w:rPr>
          <w:color w:val="auto"/>
          <w:sz w:val="20"/>
          <w:szCs w:val="20"/>
        </w:rPr>
        <w:t>–</w:t>
      </w:r>
    </w:p>
    <w:p w14:paraId="702C59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Заходи,</w:t>
      </w:r>
      <w:r w:rsidRPr="000977F7">
        <w:rPr>
          <w:rFonts w:asciiTheme="majorHAnsi" w:hAnsiTheme="majorHAnsi"/>
          <w:spacing w:val="1"/>
          <w:sz w:val="20"/>
          <w:szCs w:val="20"/>
        </w:rPr>
        <w:t xml:space="preserve"> </w:t>
      </w:r>
      <w:r w:rsidRPr="000977F7">
        <w:rPr>
          <w:rFonts w:asciiTheme="majorHAnsi" w:hAnsiTheme="majorHAnsi"/>
          <w:sz w:val="20"/>
          <w:szCs w:val="20"/>
        </w:rPr>
        <w:t>спрямовані</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усунення</w:t>
      </w:r>
      <w:r w:rsidRPr="000977F7">
        <w:rPr>
          <w:rFonts w:asciiTheme="majorHAnsi" w:hAnsiTheme="majorHAnsi"/>
          <w:spacing w:val="1"/>
          <w:sz w:val="20"/>
          <w:szCs w:val="20"/>
        </w:rPr>
        <w:t xml:space="preserve"> </w:t>
      </w:r>
      <w:r w:rsidRPr="000977F7">
        <w:rPr>
          <w:rFonts w:asciiTheme="majorHAnsi" w:hAnsiTheme="majorHAnsi"/>
          <w:sz w:val="20"/>
          <w:szCs w:val="20"/>
        </w:rPr>
        <w:t>консерваційних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пакувальних</w:t>
      </w:r>
      <w:r w:rsidRPr="000977F7">
        <w:rPr>
          <w:rFonts w:asciiTheme="majorHAnsi" w:hAnsiTheme="majorHAnsi"/>
          <w:spacing w:val="-2"/>
          <w:sz w:val="20"/>
          <w:szCs w:val="20"/>
        </w:rPr>
        <w:t xml:space="preserve"> </w:t>
      </w:r>
      <w:r w:rsidRPr="000977F7">
        <w:rPr>
          <w:rFonts w:asciiTheme="majorHAnsi" w:hAnsiTheme="majorHAnsi"/>
          <w:sz w:val="20"/>
          <w:szCs w:val="20"/>
        </w:rPr>
        <w:t>матеріалів</w:t>
      </w:r>
    </w:p>
    <w:p w14:paraId="706AA36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460ABA4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РОЗКРІЙ</w:t>
      </w:r>
      <w:r w:rsidRPr="000977F7">
        <w:rPr>
          <w:color w:val="auto"/>
          <w:spacing w:val="-3"/>
          <w:sz w:val="20"/>
          <w:szCs w:val="20"/>
        </w:rPr>
        <w:t xml:space="preserve"> </w:t>
      </w:r>
      <w:r w:rsidRPr="000977F7">
        <w:rPr>
          <w:color w:val="auto"/>
          <w:sz w:val="20"/>
          <w:szCs w:val="20"/>
        </w:rPr>
        <w:t>МАТЕРІАЛУ</w:t>
      </w:r>
      <w:r w:rsidRPr="000977F7">
        <w:rPr>
          <w:color w:val="auto"/>
          <w:spacing w:val="-1"/>
          <w:sz w:val="20"/>
          <w:szCs w:val="20"/>
        </w:rPr>
        <w:t xml:space="preserve"> </w:t>
      </w:r>
      <w:r w:rsidRPr="000977F7">
        <w:rPr>
          <w:color w:val="auto"/>
          <w:sz w:val="20"/>
          <w:szCs w:val="20"/>
        </w:rPr>
        <w:t>–</w:t>
      </w:r>
    </w:p>
    <w:p w14:paraId="2499CB6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Поділ</w:t>
      </w:r>
      <w:r w:rsidRPr="000977F7">
        <w:rPr>
          <w:rFonts w:asciiTheme="majorHAnsi" w:hAnsiTheme="majorHAnsi"/>
          <w:spacing w:val="-3"/>
          <w:sz w:val="20"/>
          <w:szCs w:val="20"/>
        </w:rPr>
        <w:t xml:space="preserve"> </w:t>
      </w:r>
      <w:r w:rsidRPr="000977F7">
        <w:rPr>
          <w:rFonts w:asciiTheme="majorHAnsi" w:hAnsiTheme="majorHAnsi"/>
          <w:sz w:val="20"/>
          <w:szCs w:val="20"/>
        </w:rPr>
        <w:t>матеріалу</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окремі</w:t>
      </w:r>
      <w:r w:rsidRPr="000977F7">
        <w:rPr>
          <w:rFonts w:asciiTheme="majorHAnsi" w:hAnsiTheme="majorHAnsi"/>
          <w:spacing w:val="-2"/>
          <w:sz w:val="20"/>
          <w:szCs w:val="20"/>
        </w:rPr>
        <w:t xml:space="preserve"> </w:t>
      </w:r>
      <w:r w:rsidRPr="000977F7">
        <w:rPr>
          <w:rFonts w:asciiTheme="majorHAnsi" w:hAnsiTheme="majorHAnsi"/>
          <w:sz w:val="20"/>
          <w:szCs w:val="20"/>
        </w:rPr>
        <w:t>заготовки</w:t>
      </w:r>
    </w:p>
    <w:p w14:paraId="3B1D076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63B2FF1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РОЗМАХ</w:t>
      </w:r>
      <w:r w:rsidRPr="000977F7">
        <w:rPr>
          <w:color w:val="auto"/>
          <w:spacing w:val="-5"/>
          <w:sz w:val="20"/>
          <w:szCs w:val="20"/>
        </w:rPr>
        <w:t xml:space="preserve"> </w:t>
      </w:r>
      <w:r w:rsidRPr="000977F7">
        <w:rPr>
          <w:color w:val="auto"/>
          <w:sz w:val="20"/>
          <w:szCs w:val="20"/>
        </w:rPr>
        <w:t>ВАРІЮВАННЯ</w:t>
      </w:r>
      <w:r w:rsidRPr="000977F7">
        <w:rPr>
          <w:color w:val="auto"/>
          <w:spacing w:val="-5"/>
          <w:sz w:val="20"/>
          <w:szCs w:val="20"/>
        </w:rPr>
        <w:t xml:space="preserve"> </w:t>
      </w:r>
      <w:r w:rsidRPr="000977F7">
        <w:rPr>
          <w:color w:val="auto"/>
          <w:sz w:val="20"/>
          <w:szCs w:val="20"/>
        </w:rPr>
        <w:t>ФАКТОРА-</w:t>
      </w:r>
    </w:p>
    <w:p w14:paraId="64F035E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Різниця між максимальним і мінімальним натуральними</w:t>
      </w:r>
      <w:r w:rsidRPr="000977F7">
        <w:rPr>
          <w:rFonts w:asciiTheme="majorHAnsi" w:hAnsiTheme="majorHAnsi"/>
          <w:spacing w:val="-2"/>
          <w:sz w:val="20"/>
          <w:szCs w:val="20"/>
        </w:rPr>
        <w:t xml:space="preserve"> </w:t>
      </w:r>
      <w:r w:rsidRPr="000977F7">
        <w:rPr>
          <w:rFonts w:asciiTheme="majorHAnsi" w:hAnsiTheme="majorHAnsi"/>
          <w:sz w:val="20"/>
          <w:szCs w:val="20"/>
        </w:rPr>
        <w:t>значеннями</w:t>
      </w:r>
      <w:r w:rsidRPr="000977F7">
        <w:rPr>
          <w:rFonts w:asciiTheme="majorHAnsi" w:hAnsiTheme="majorHAnsi"/>
          <w:spacing w:val="-2"/>
          <w:sz w:val="20"/>
          <w:szCs w:val="20"/>
        </w:rPr>
        <w:t xml:space="preserve"> </w:t>
      </w:r>
      <w:r w:rsidRPr="000977F7">
        <w:rPr>
          <w:rFonts w:asciiTheme="majorHAnsi" w:hAnsiTheme="majorHAnsi"/>
          <w:sz w:val="20"/>
          <w:szCs w:val="20"/>
        </w:rPr>
        <w:t>фактору в</w:t>
      </w:r>
      <w:r w:rsidRPr="000977F7">
        <w:rPr>
          <w:rFonts w:asciiTheme="majorHAnsi" w:hAnsiTheme="majorHAnsi"/>
          <w:spacing w:val="1"/>
          <w:sz w:val="20"/>
          <w:szCs w:val="20"/>
        </w:rPr>
        <w:t xml:space="preserve"> </w:t>
      </w:r>
      <w:r w:rsidRPr="000977F7">
        <w:rPr>
          <w:rFonts w:asciiTheme="majorHAnsi" w:hAnsiTheme="majorHAnsi"/>
          <w:sz w:val="20"/>
          <w:szCs w:val="20"/>
        </w:rPr>
        <w:t>даному</w:t>
      </w:r>
      <w:r w:rsidRPr="000977F7">
        <w:rPr>
          <w:rFonts w:asciiTheme="majorHAnsi" w:hAnsiTheme="majorHAnsi"/>
          <w:spacing w:val="-1"/>
          <w:sz w:val="20"/>
          <w:szCs w:val="20"/>
        </w:rPr>
        <w:t xml:space="preserve"> </w:t>
      </w:r>
      <w:r w:rsidRPr="000977F7">
        <w:rPr>
          <w:rFonts w:asciiTheme="majorHAnsi" w:hAnsiTheme="majorHAnsi"/>
          <w:sz w:val="20"/>
          <w:szCs w:val="20"/>
        </w:rPr>
        <w:t>плані</w:t>
      </w:r>
    </w:p>
    <w:p w14:paraId="6E5082A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РОЗМАХ</w:t>
      </w:r>
      <w:r w:rsidRPr="000977F7">
        <w:rPr>
          <w:color w:val="auto"/>
          <w:spacing w:val="-4"/>
          <w:sz w:val="20"/>
          <w:szCs w:val="20"/>
        </w:rPr>
        <w:t xml:space="preserve"> </w:t>
      </w:r>
      <w:r w:rsidRPr="000977F7">
        <w:rPr>
          <w:color w:val="auto"/>
          <w:sz w:val="20"/>
          <w:szCs w:val="20"/>
        </w:rPr>
        <w:t>ВИБІРКИ</w:t>
      </w:r>
      <w:r w:rsidRPr="000977F7">
        <w:rPr>
          <w:color w:val="auto"/>
          <w:spacing w:val="-1"/>
          <w:sz w:val="20"/>
          <w:szCs w:val="20"/>
        </w:rPr>
        <w:t xml:space="preserve"> </w:t>
      </w:r>
      <w:r w:rsidRPr="000977F7">
        <w:rPr>
          <w:color w:val="auto"/>
          <w:sz w:val="20"/>
          <w:szCs w:val="20"/>
        </w:rPr>
        <w:t>–</w:t>
      </w:r>
    </w:p>
    <w:p w14:paraId="21B1598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Різниця</w:t>
      </w:r>
      <w:r w:rsidRPr="000977F7">
        <w:rPr>
          <w:rFonts w:asciiTheme="majorHAnsi" w:hAnsiTheme="majorHAnsi"/>
          <w:spacing w:val="1"/>
          <w:sz w:val="20"/>
          <w:szCs w:val="20"/>
        </w:rPr>
        <w:t xml:space="preserve"> </w:t>
      </w:r>
      <w:r w:rsidRPr="000977F7">
        <w:rPr>
          <w:rFonts w:asciiTheme="majorHAnsi" w:hAnsiTheme="majorHAnsi"/>
          <w:sz w:val="20"/>
          <w:szCs w:val="20"/>
        </w:rPr>
        <w:t>між</w:t>
      </w:r>
      <w:r w:rsidRPr="000977F7">
        <w:rPr>
          <w:rFonts w:asciiTheme="majorHAnsi" w:hAnsiTheme="majorHAnsi"/>
          <w:spacing w:val="1"/>
          <w:sz w:val="20"/>
          <w:szCs w:val="20"/>
        </w:rPr>
        <w:t xml:space="preserve"> </w:t>
      </w:r>
      <w:r w:rsidRPr="000977F7">
        <w:rPr>
          <w:rFonts w:asciiTheme="majorHAnsi" w:hAnsiTheme="majorHAnsi"/>
          <w:sz w:val="20"/>
          <w:szCs w:val="20"/>
        </w:rPr>
        <w:t>найбільшим</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найменшим</w:t>
      </w:r>
      <w:r w:rsidRPr="000977F7">
        <w:rPr>
          <w:rFonts w:asciiTheme="majorHAnsi" w:hAnsiTheme="majorHAnsi"/>
          <w:spacing w:val="1"/>
          <w:sz w:val="20"/>
          <w:szCs w:val="20"/>
        </w:rPr>
        <w:t xml:space="preserve"> </w:t>
      </w:r>
      <w:r w:rsidRPr="000977F7">
        <w:rPr>
          <w:rFonts w:asciiTheme="majorHAnsi" w:hAnsiTheme="majorHAnsi"/>
          <w:sz w:val="20"/>
          <w:szCs w:val="20"/>
        </w:rPr>
        <w:t>значенням</w:t>
      </w:r>
      <w:r w:rsidRPr="000977F7">
        <w:rPr>
          <w:rFonts w:asciiTheme="majorHAnsi" w:hAnsiTheme="majorHAnsi"/>
          <w:spacing w:val="1"/>
          <w:sz w:val="20"/>
          <w:szCs w:val="20"/>
        </w:rPr>
        <w:t xml:space="preserve"> </w:t>
      </w:r>
      <w:r w:rsidRPr="000977F7">
        <w:rPr>
          <w:rFonts w:asciiTheme="majorHAnsi" w:hAnsiTheme="majorHAnsi"/>
          <w:sz w:val="20"/>
          <w:szCs w:val="20"/>
        </w:rPr>
        <w:t>контрольованого параметра у</w:t>
      </w:r>
      <w:r w:rsidRPr="000977F7">
        <w:rPr>
          <w:rFonts w:asciiTheme="majorHAnsi" w:hAnsiTheme="majorHAnsi"/>
          <w:spacing w:val="-2"/>
          <w:sz w:val="20"/>
          <w:szCs w:val="20"/>
        </w:rPr>
        <w:t xml:space="preserve"> </w:t>
      </w:r>
      <w:r w:rsidRPr="000977F7">
        <w:rPr>
          <w:rFonts w:asciiTheme="majorHAnsi" w:hAnsiTheme="majorHAnsi"/>
          <w:sz w:val="20"/>
          <w:szCs w:val="20"/>
        </w:rPr>
        <w:t>вибірці</w:t>
      </w:r>
    </w:p>
    <w:p w14:paraId="2BC4322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20C434F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РОЗМАХ</w:t>
      </w:r>
      <w:r w:rsidRPr="000977F7">
        <w:rPr>
          <w:color w:val="auto"/>
          <w:spacing w:val="-4"/>
          <w:sz w:val="20"/>
          <w:szCs w:val="20"/>
        </w:rPr>
        <w:t xml:space="preserve"> </w:t>
      </w:r>
      <w:r w:rsidRPr="000977F7">
        <w:rPr>
          <w:color w:val="auto"/>
          <w:sz w:val="20"/>
          <w:szCs w:val="20"/>
        </w:rPr>
        <w:t>ЗМІНИ</w:t>
      </w:r>
      <w:r w:rsidRPr="000977F7">
        <w:rPr>
          <w:color w:val="auto"/>
          <w:spacing w:val="-3"/>
          <w:sz w:val="20"/>
          <w:szCs w:val="20"/>
        </w:rPr>
        <w:t xml:space="preserve"> </w:t>
      </w:r>
      <w:r w:rsidRPr="000977F7">
        <w:rPr>
          <w:color w:val="auto"/>
          <w:sz w:val="20"/>
          <w:szCs w:val="20"/>
        </w:rPr>
        <w:t>НАПРУГИ</w:t>
      </w:r>
      <w:r w:rsidRPr="000977F7">
        <w:rPr>
          <w:color w:val="auto"/>
          <w:spacing w:val="2"/>
          <w:sz w:val="20"/>
          <w:szCs w:val="20"/>
        </w:rPr>
        <w:t xml:space="preserve"> </w:t>
      </w:r>
      <w:r w:rsidRPr="000977F7">
        <w:rPr>
          <w:color w:val="auto"/>
          <w:sz w:val="20"/>
          <w:szCs w:val="20"/>
        </w:rPr>
        <w:t>–</w:t>
      </w:r>
    </w:p>
    <w:p w14:paraId="2231CAA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Різниця між амплітудними чи дійовими значеннями</w:t>
      </w:r>
      <w:r w:rsidRPr="000977F7">
        <w:rPr>
          <w:rFonts w:asciiTheme="majorHAnsi" w:hAnsiTheme="majorHAnsi"/>
          <w:spacing w:val="1"/>
          <w:sz w:val="20"/>
          <w:szCs w:val="20"/>
        </w:rPr>
        <w:t xml:space="preserve"> </w:t>
      </w:r>
      <w:r w:rsidRPr="000977F7">
        <w:rPr>
          <w:rFonts w:asciiTheme="majorHAnsi" w:hAnsiTheme="majorHAnsi"/>
          <w:sz w:val="20"/>
          <w:szCs w:val="20"/>
        </w:rPr>
        <w:t>напруги до</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після</w:t>
      </w:r>
      <w:r w:rsidRPr="000977F7">
        <w:rPr>
          <w:rFonts w:asciiTheme="majorHAnsi" w:hAnsiTheme="majorHAnsi"/>
          <w:spacing w:val="-2"/>
          <w:sz w:val="20"/>
          <w:szCs w:val="20"/>
        </w:rPr>
        <w:t xml:space="preserve"> </w:t>
      </w:r>
      <w:r w:rsidRPr="000977F7">
        <w:rPr>
          <w:rFonts w:asciiTheme="majorHAnsi" w:hAnsiTheme="majorHAnsi"/>
          <w:sz w:val="20"/>
          <w:szCs w:val="20"/>
        </w:rPr>
        <w:t>одноразової</w:t>
      </w:r>
      <w:r w:rsidRPr="000977F7">
        <w:rPr>
          <w:rFonts w:asciiTheme="majorHAnsi" w:hAnsiTheme="majorHAnsi"/>
          <w:spacing w:val="-2"/>
          <w:sz w:val="20"/>
          <w:szCs w:val="20"/>
        </w:rPr>
        <w:t xml:space="preserve"> </w:t>
      </w:r>
      <w:r w:rsidRPr="000977F7">
        <w:rPr>
          <w:rFonts w:asciiTheme="majorHAnsi" w:hAnsiTheme="majorHAnsi"/>
          <w:sz w:val="20"/>
          <w:szCs w:val="20"/>
        </w:rPr>
        <w:t>зміни</w:t>
      </w:r>
      <w:r w:rsidRPr="000977F7">
        <w:rPr>
          <w:rFonts w:asciiTheme="majorHAnsi" w:hAnsiTheme="majorHAnsi"/>
          <w:spacing w:val="-2"/>
          <w:sz w:val="20"/>
          <w:szCs w:val="20"/>
        </w:rPr>
        <w:t xml:space="preserve"> </w:t>
      </w:r>
      <w:r w:rsidRPr="000977F7">
        <w:rPr>
          <w:rFonts w:asciiTheme="majorHAnsi" w:hAnsiTheme="majorHAnsi"/>
          <w:sz w:val="20"/>
          <w:szCs w:val="20"/>
        </w:rPr>
        <w:t>напруги</w:t>
      </w:r>
    </w:p>
    <w:p w14:paraId="6B38C62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7C16C3AB" w14:textId="77777777" w:rsidR="0097612F" w:rsidRPr="000977F7" w:rsidRDefault="0097612F" w:rsidP="000977F7">
      <w:pPr>
        <w:pStyle w:val="7"/>
        <w:tabs>
          <w:tab w:val="left" w:pos="284"/>
        </w:tabs>
        <w:spacing w:before="0" w:line="240" w:lineRule="auto"/>
        <w:ind w:left="170"/>
        <w:mirrorIndents/>
        <w:jc w:val="both"/>
        <w:rPr>
          <w:color w:val="auto"/>
          <w:spacing w:val="-8"/>
          <w:sz w:val="20"/>
          <w:szCs w:val="20"/>
        </w:rPr>
      </w:pPr>
      <w:r w:rsidRPr="000977F7">
        <w:rPr>
          <w:color w:val="auto"/>
          <w:spacing w:val="-8"/>
          <w:sz w:val="20"/>
          <w:szCs w:val="20"/>
        </w:rPr>
        <w:t>РОЗМАХ КОЛИВАНЬ НАПРУГИ (ЧАСТОТИ) –</w:t>
      </w:r>
    </w:p>
    <w:p w14:paraId="105D80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Різниця</w:t>
      </w:r>
      <w:r w:rsidRPr="000977F7">
        <w:rPr>
          <w:rFonts w:asciiTheme="majorHAnsi" w:hAnsiTheme="majorHAnsi"/>
          <w:spacing w:val="1"/>
          <w:sz w:val="20"/>
          <w:szCs w:val="20"/>
        </w:rPr>
        <w:t xml:space="preserve"> </w:t>
      </w:r>
      <w:r w:rsidRPr="000977F7">
        <w:rPr>
          <w:rFonts w:asciiTheme="majorHAnsi" w:hAnsiTheme="majorHAnsi"/>
          <w:sz w:val="20"/>
          <w:szCs w:val="20"/>
        </w:rPr>
        <w:t>між</w:t>
      </w:r>
      <w:r w:rsidRPr="000977F7">
        <w:rPr>
          <w:rFonts w:asciiTheme="majorHAnsi" w:hAnsiTheme="majorHAnsi"/>
          <w:spacing w:val="1"/>
          <w:sz w:val="20"/>
          <w:szCs w:val="20"/>
        </w:rPr>
        <w:t xml:space="preserve"> </w:t>
      </w:r>
      <w:r w:rsidRPr="000977F7">
        <w:rPr>
          <w:rFonts w:asciiTheme="majorHAnsi" w:hAnsiTheme="majorHAnsi"/>
          <w:sz w:val="20"/>
          <w:szCs w:val="20"/>
        </w:rPr>
        <w:t>найбільшим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найменшим</w:t>
      </w:r>
      <w:r w:rsidRPr="000977F7">
        <w:rPr>
          <w:rFonts w:asciiTheme="majorHAnsi" w:hAnsiTheme="majorHAnsi"/>
          <w:spacing w:val="1"/>
          <w:sz w:val="20"/>
          <w:szCs w:val="20"/>
        </w:rPr>
        <w:t xml:space="preserve"> </w:t>
      </w:r>
      <w:r w:rsidRPr="000977F7">
        <w:rPr>
          <w:rFonts w:asciiTheme="majorHAnsi" w:hAnsiTheme="majorHAnsi"/>
          <w:sz w:val="20"/>
          <w:szCs w:val="20"/>
        </w:rPr>
        <w:t>значеннями</w:t>
      </w:r>
      <w:r w:rsidRPr="000977F7">
        <w:rPr>
          <w:rFonts w:asciiTheme="majorHAnsi" w:hAnsiTheme="majorHAnsi"/>
          <w:spacing w:val="1"/>
          <w:sz w:val="20"/>
          <w:szCs w:val="20"/>
        </w:rPr>
        <w:t xml:space="preserve"> </w:t>
      </w:r>
      <w:r w:rsidRPr="000977F7">
        <w:rPr>
          <w:rFonts w:asciiTheme="majorHAnsi" w:hAnsiTheme="majorHAnsi"/>
          <w:sz w:val="20"/>
          <w:szCs w:val="20"/>
        </w:rPr>
        <w:t>напруги (частоти) за певний інтервал часу в усталеному режимі роботи джерела, перетворювача електричної</w:t>
      </w:r>
      <w:r w:rsidRPr="000977F7">
        <w:rPr>
          <w:rFonts w:asciiTheme="majorHAnsi" w:hAnsiTheme="majorHAnsi"/>
          <w:spacing w:val="-3"/>
          <w:sz w:val="20"/>
          <w:szCs w:val="20"/>
        </w:rPr>
        <w:t xml:space="preserve"> </w:t>
      </w:r>
      <w:r w:rsidRPr="000977F7">
        <w:rPr>
          <w:rFonts w:asciiTheme="majorHAnsi" w:hAnsiTheme="majorHAnsi"/>
          <w:sz w:val="20"/>
          <w:szCs w:val="20"/>
        </w:rPr>
        <w:t>енергії</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електропостачальної</w:t>
      </w:r>
      <w:r w:rsidRPr="000977F7">
        <w:rPr>
          <w:rFonts w:asciiTheme="majorHAnsi" w:hAnsiTheme="majorHAnsi"/>
          <w:spacing w:val="-2"/>
          <w:sz w:val="20"/>
          <w:szCs w:val="20"/>
        </w:rPr>
        <w:t xml:space="preserve"> </w:t>
      </w:r>
      <w:r w:rsidRPr="000977F7">
        <w:rPr>
          <w:rFonts w:asciiTheme="majorHAnsi" w:hAnsiTheme="majorHAnsi"/>
          <w:sz w:val="20"/>
          <w:szCs w:val="20"/>
        </w:rPr>
        <w:t>системи</w:t>
      </w:r>
    </w:p>
    <w:p w14:paraId="6E276C5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797455E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РОЗМАХ</w:t>
      </w:r>
      <w:r w:rsidRPr="000977F7">
        <w:rPr>
          <w:color w:val="auto"/>
          <w:spacing w:val="-4"/>
          <w:sz w:val="20"/>
          <w:szCs w:val="20"/>
        </w:rPr>
        <w:t xml:space="preserve"> </w:t>
      </w:r>
      <w:r w:rsidRPr="000977F7">
        <w:rPr>
          <w:color w:val="auto"/>
          <w:sz w:val="20"/>
          <w:szCs w:val="20"/>
        </w:rPr>
        <w:t>НЕБАЛАНСУ</w:t>
      </w:r>
      <w:r w:rsidRPr="000977F7">
        <w:rPr>
          <w:color w:val="auto"/>
          <w:spacing w:val="-3"/>
          <w:sz w:val="20"/>
          <w:szCs w:val="20"/>
        </w:rPr>
        <w:t xml:space="preserve"> </w:t>
      </w:r>
      <w:r w:rsidRPr="000977F7">
        <w:rPr>
          <w:color w:val="auto"/>
          <w:sz w:val="20"/>
          <w:szCs w:val="20"/>
        </w:rPr>
        <w:t>НАПРУГ</w:t>
      </w:r>
      <w:r w:rsidRPr="000977F7">
        <w:rPr>
          <w:color w:val="auto"/>
          <w:spacing w:val="-3"/>
          <w:sz w:val="20"/>
          <w:szCs w:val="20"/>
        </w:rPr>
        <w:t xml:space="preserve"> </w:t>
      </w:r>
      <w:r w:rsidRPr="000977F7">
        <w:rPr>
          <w:color w:val="auto"/>
          <w:sz w:val="20"/>
          <w:szCs w:val="20"/>
        </w:rPr>
        <w:t>(СТРУМІВ)</w:t>
      </w:r>
      <w:r w:rsidRPr="000977F7">
        <w:rPr>
          <w:color w:val="auto"/>
          <w:spacing w:val="-4"/>
          <w:sz w:val="20"/>
          <w:szCs w:val="20"/>
        </w:rPr>
        <w:t xml:space="preserve"> </w:t>
      </w:r>
      <w:r w:rsidRPr="000977F7">
        <w:rPr>
          <w:color w:val="auto"/>
          <w:sz w:val="20"/>
          <w:szCs w:val="20"/>
        </w:rPr>
        <w:t>–</w:t>
      </w:r>
    </w:p>
    <w:p w14:paraId="7F10EC3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Різниця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між</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найбільшим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найменшим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значеннями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лінійних чи фазних напруг (струмів) у багатофазній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електропостачальній</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системі</w:t>
      </w:r>
    </w:p>
    <w:p w14:paraId="4742DDB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6B405FF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РОЗМАХ</w:t>
      </w:r>
      <w:r w:rsidRPr="000977F7">
        <w:rPr>
          <w:color w:val="auto"/>
          <w:spacing w:val="-3"/>
          <w:sz w:val="20"/>
          <w:szCs w:val="20"/>
        </w:rPr>
        <w:t xml:space="preserve"> </w:t>
      </w:r>
      <w:r w:rsidRPr="000977F7">
        <w:rPr>
          <w:color w:val="auto"/>
          <w:sz w:val="20"/>
          <w:szCs w:val="20"/>
        </w:rPr>
        <w:t>ПУЛЬСАЦІЇ</w:t>
      </w:r>
      <w:r w:rsidRPr="000977F7">
        <w:rPr>
          <w:color w:val="auto"/>
          <w:spacing w:val="-3"/>
          <w:sz w:val="20"/>
          <w:szCs w:val="20"/>
        </w:rPr>
        <w:t xml:space="preserve"> </w:t>
      </w:r>
      <w:r w:rsidRPr="000977F7">
        <w:rPr>
          <w:color w:val="auto"/>
          <w:sz w:val="20"/>
          <w:szCs w:val="20"/>
        </w:rPr>
        <w:t>НАПРУГИ</w:t>
      </w:r>
      <w:r w:rsidRPr="000977F7">
        <w:rPr>
          <w:color w:val="auto"/>
          <w:spacing w:val="-1"/>
          <w:sz w:val="20"/>
          <w:szCs w:val="20"/>
        </w:rPr>
        <w:t xml:space="preserve"> </w:t>
      </w:r>
      <w:r w:rsidRPr="000977F7">
        <w:rPr>
          <w:color w:val="auto"/>
          <w:sz w:val="20"/>
          <w:szCs w:val="20"/>
        </w:rPr>
        <w:t>(СТРУМУ)</w:t>
      </w:r>
      <w:r w:rsidRPr="000977F7">
        <w:rPr>
          <w:color w:val="auto"/>
          <w:spacing w:val="-2"/>
          <w:sz w:val="20"/>
          <w:szCs w:val="20"/>
        </w:rPr>
        <w:t xml:space="preserve"> </w:t>
      </w:r>
      <w:r w:rsidRPr="000977F7">
        <w:rPr>
          <w:color w:val="auto"/>
          <w:sz w:val="20"/>
          <w:szCs w:val="20"/>
        </w:rPr>
        <w:t>–</w:t>
      </w:r>
    </w:p>
    <w:p w14:paraId="1FAE603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Різниця між найбільшим та найменшим значеннями</w:t>
      </w:r>
      <w:r w:rsidRPr="000977F7">
        <w:rPr>
          <w:rFonts w:asciiTheme="majorHAnsi" w:hAnsiTheme="majorHAnsi"/>
          <w:spacing w:val="1"/>
          <w:sz w:val="20"/>
          <w:szCs w:val="20"/>
        </w:rPr>
        <w:t xml:space="preserve"> </w:t>
      </w:r>
      <w:r w:rsidRPr="000977F7">
        <w:rPr>
          <w:rFonts w:asciiTheme="majorHAnsi" w:hAnsiTheme="majorHAnsi"/>
          <w:sz w:val="20"/>
          <w:szCs w:val="20"/>
        </w:rPr>
        <w:t>пульсуючої</w:t>
      </w:r>
      <w:r w:rsidRPr="000977F7">
        <w:rPr>
          <w:rFonts w:asciiTheme="majorHAnsi" w:hAnsiTheme="majorHAnsi"/>
          <w:spacing w:val="1"/>
          <w:sz w:val="20"/>
          <w:szCs w:val="20"/>
        </w:rPr>
        <w:t xml:space="preserve"> </w:t>
      </w:r>
      <w:r w:rsidRPr="000977F7">
        <w:rPr>
          <w:rFonts w:asciiTheme="majorHAnsi" w:hAnsiTheme="majorHAnsi"/>
          <w:sz w:val="20"/>
          <w:szCs w:val="20"/>
        </w:rPr>
        <w:t>напруги</w:t>
      </w:r>
      <w:r w:rsidRPr="000977F7">
        <w:rPr>
          <w:rFonts w:asciiTheme="majorHAnsi" w:hAnsiTheme="majorHAnsi"/>
          <w:spacing w:val="1"/>
          <w:sz w:val="20"/>
          <w:szCs w:val="20"/>
        </w:rPr>
        <w:t xml:space="preserve"> </w:t>
      </w:r>
      <w:r w:rsidRPr="000977F7">
        <w:rPr>
          <w:rFonts w:asciiTheme="majorHAnsi" w:hAnsiTheme="majorHAnsi"/>
          <w:sz w:val="20"/>
          <w:szCs w:val="20"/>
        </w:rPr>
        <w:t>(струму)</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певний</w:t>
      </w:r>
      <w:r w:rsidRPr="000977F7">
        <w:rPr>
          <w:rFonts w:asciiTheme="majorHAnsi" w:hAnsiTheme="majorHAnsi"/>
          <w:spacing w:val="50"/>
          <w:sz w:val="20"/>
          <w:szCs w:val="20"/>
        </w:rPr>
        <w:t xml:space="preserve"> </w:t>
      </w:r>
      <w:r w:rsidRPr="000977F7">
        <w:rPr>
          <w:rFonts w:asciiTheme="majorHAnsi" w:hAnsiTheme="majorHAnsi"/>
          <w:sz w:val="20"/>
          <w:szCs w:val="20"/>
        </w:rPr>
        <w:t>проміжок</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7FAD3381"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329DD7C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РОЗМІР</w:t>
      </w:r>
      <w:r w:rsidRPr="000977F7">
        <w:rPr>
          <w:color w:val="auto"/>
          <w:spacing w:val="-4"/>
          <w:sz w:val="20"/>
          <w:szCs w:val="20"/>
        </w:rPr>
        <w:t xml:space="preserve"> </w:t>
      </w:r>
      <w:r w:rsidRPr="000977F7">
        <w:rPr>
          <w:color w:val="auto"/>
          <w:sz w:val="20"/>
          <w:szCs w:val="20"/>
        </w:rPr>
        <w:t>БЛОКУ</w:t>
      </w:r>
      <w:r w:rsidRPr="000977F7">
        <w:rPr>
          <w:color w:val="auto"/>
          <w:spacing w:val="-5"/>
          <w:sz w:val="20"/>
          <w:szCs w:val="20"/>
        </w:rPr>
        <w:t xml:space="preserve"> </w:t>
      </w:r>
      <w:r w:rsidRPr="000977F7">
        <w:rPr>
          <w:color w:val="auto"/>
          <w:sz w:val="20"/>
          <w:szCs w:val="20"/>
        </w:rPr>
        <w:t>НАВАНТАЖУВАННЯ</w:t>
      </w:r>
      <w:r w:rsidRPr="000977F7">
        <w:rPr>
          <w:color w:val="auto"/>
          <w:spacing w:val="-2"/>
          <w:sz w:val="20"/>
          <w:szCs w:val="20"/>
        </w:rPr>
        <w:t xml:space="preserve"> </w:t>
      </w:r>
      <w:r w:rsidRPr="000977F7">
        <w:rPr>
          <w:color w:val="auto"/>
          <w:sz w:val="20"/>
          <w:szCs w:val="20"/>
        </w:rPr>
        <w:t>–</w:t>
      </w:r>
    </w:p>
    <w:p w14:paraId="6C6C71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BLOCK</w:t>
      </w:r>
      <w:r w:rsidRPr="000977F7">
        <w:rPr>
          <w:rFonts w:asciiTheme="majorHAnsi" w:hAnsiTheme="majorHAnsi"/>
          <w:spacing w:val="-1"/>
          <w:sz w:val="20"/>
          <w:szCs w:val="20"/>
        </w:rPr>
        <w:t xml:space="preserve"> </w:t>
      </w:r>
      <w:r w:rsidRPr="000977F7">
        <w:rPr>
          <w:rFonts w:asciiTheme="majorHAnsi" w:hAnsiTheme="majorHAnsi"/>
          <w:sz w:val="20"/>
          <w:szCs w:val="20"/>
        </w:rPr>
        <w:t>SIZE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17460F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Сумарна</w:t>
      </w:r>
      <w:r w:rsidRPr="000977F7">
        <w:rPr>
          <w:rFonts w:asciiTheme="majorHAnsi" w:hAnsiTheme="majorHAnsi"/>
          <w:spacing w:val="1"/>
          <w:sz w:val="20"/>
          <w:szCs w:val="20"/>
        </w:rPr>
        <w:t xml:space="preserve"> </w:t>
      </w:r>
      <w:r w:rsidRPr="000977F7">
        <w:rPr>
          <w:rFonts w:asciiTheme="majorHAnsi" w:hAnsiTheme="majorHAnsi"/>
          <w:sz w:val="20"/>
          <w:szCs w:val="20"/>
        </w:rPr>
        <w:t>кількість</w:t>
      </w:r>
      <w:r w:rsidRPr="000977F7">
        <w:rPr>
          <w:rFonts w:asciiTheme="majorHAnsi" w:hAnsiTheme="majorHAnsi"/>
          <w:spacing w:val="1"/>
          <w:sz w:val="20"/>
          <w:szCs w:val="20"/>
        </w:rPr>
        <w:t xml:space="preserve"> </w:t>
      </w:r>
      <w:r w:rsidRPr="000977F7">
        <w:rPr>
          <w:rFonts w:asciiTheme="majorHAnsi" w:hAnsiTheme="majorHAnsi"/>
          <w:sz w:val="20"/>
          <w:szCs w:val="20"/>
        </w:rPr>
        <w:t>циклів</w:t>
      </w:r>
      <w:r w:rsidRPr="000977F7">
        <w:rPr>
          <w:rFonts w:asciiTheme="majorHAnsi" w:hAnsiTheme="majorHAnsi"/>
          <w:spacing w:val="1"/>
          <w:sz w:val="20"/>
          <w:szCs w:val="20"/>
        </w:rPr>
        <w:t xml:space="preserve"> </w:t>
      </w:r>
      <w:r w:rsidRPr="000977F7">
        <w:rPr>
          <w:rFonts w:asciiTheme="majorHAnsi" w:hAnsiTheme="majorHAnsi"/>
          <w:sz w:val="20"/>
          <w:szCs w:val="20"/>
        </w:rPr>
        <w:t>навантажування</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межах</w:t>
      </w:r>
      <w:r w:rsidRPr="000977F7">
        <w:rPr>
          <w:rFonts w:asciiTheme="majorHAnsi" w:hAnsiTheme="majorHAnsi"/>
          <w:spacing w:val="1"/>
          <w:sz w:val="20"/>
          <w:szCs w:val="20"/>
        </w:rPr>
        <w:t xml:space="preserve"> </w:t>
      </w:r>
      <w:r w:rsidRPr="000977F7">
        <w:rPr>
          <w:rFonts w:asciiTheme="majorHAnsi" w:hAnsiTheme="majorHAnsi"/>
          <w:sz w:val="20"/>
          <w:szCs w:val="20"/>
        </w:rPr>
        <w:t>одного блоку</w:t>
      </w:r>
    </w:p>
    <w:p w14:paraId="75C1C84D"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2444 - 94</w:t>
      </w:r>
    </w:p>
    <w:p w14:paraId="262E3BB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РОЗМІР</w:t>
      </w:r>
      <w:r w:rsidRPr="000977F7">
        <w:rPr>
          <w:color w:val="auto"/>
          <w:spacing w:val="-3"/>
          <w:sz w:val="20"/>
          <w:szCs w:val="20"/>
        </w:rPr>
        <w:t xml:space="preserve"> </w:t>
      </w:r>
      <w:r w:rsidRPr="000977F7">
        <w:rPr>
          <w:color w:val="auto"/>
          <w:sz w:val="20"/>
          <w:szCs w:val="20"/>
        </w:rPr>
        <w:t>ФІЗИЧНОЇ</w:t>
      </w:r>
      <w:r w:rsidRPr="000977F7">
        <w:rPr>
          <w:color w:val="auto"/>
          <w:spacing w:val="-3"/>
          <w:sz w:val="20"/>
          <w:szCs w:val="20"/>
        </w:rPr>
        <w:t xml:space="preserve"> </w:t>
      </w:r>
      <w:r w:rsidRPr="000977F7">
        <w:rPr>
          <w:color w:val="auto"/>
          <w:sz w:val="20"/>
          <w:szCs w:val="20"/>
        </w:rPr>
        <w:t>ВЕЛИЧИНИ</w:t>
      </w:r>
      <w:r w:rsidRPr="000977F7">
        <w:rPr>
          <w:color w:val="auto"/>
          <w:spacing w:val="2"/>
          <w:sz w:val="20"/>
          <w:szCs w:val="20"/>
        </w:rPr>
        <w:t xml:space="preserve"> </w:t>
      </w:r>
      <w:r w:rsidRPr="000977F7">
        <w:rPr>
          <w:color w:val="auto"/>
          <w:sz w:val="20"/>
          <w:szCs w:val="20"/>
        </w:rPr>
        <w:t>–</w:t>
      </w:r>
    </w:p>
    <w:p w14:paraId="56B4C9B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MAGNITUDE 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PHYSICAL</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QUANTITY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70AC730F" w14:textId="77777777" w:rsidR="0097612F" w:rsidRPr="000977F7" w:rsidRDefault="0097612F" w:rsidP="000977F7">
      <w:pPr>
        <w:pStyle w:val="af6"/>
        <w:tabs>
          <w:tab w:val="left" w:pos="284"/>
        </w:tabs>
        <w:spacing w:after="0"/>
        <w:ind w:left="170"/>
        <w:mirrorIndents/>
        <w:jc w:val="both"/>
        <w:rPr>
          <w:rFonts w:asciiTheme="majorHAnsi" w:hAnsiTheme="majorHAnsi"/>
          <w:spacing w:val="-48"/>
          <w:sz w:val="20"/>
          <w:szCs w:val="20"/>
        </w:rPr>
      </w:pPr>
      <w:r w:rsidRPr="000977F7">
        <w:rPr>
          <w:rFonts w:asciiTheme="majorHAnsi" w:hAnsiTheme="majorHAnsi"/>
          <w:sz w:val="20"/>
          <w:szCs w:val="20"/>
        </w:rPr>
        <w:t>Кількісний</w:t>
      </w:r>
      <w:r w:rsidRPr="000977F7">
        <w:rPr>
          <w:rFonts w:asciiTheme="majorHAnsi" w:hAnsiTheme="majorHAnsi"/>
          <w:spacing w:val="-4"/>
          <w:sz w:val="20"/>
          <w:szCs w:val="20"/>
        </w:rPr>
        <w:t xml:space="preserve"> </w:t>
      </w:r>
      <w:r w:rsidRPr="000977F7">
        <w:rPr>
          <w:rFonts w:asciiTheme="majorHAnsi" w:hAnsiTheme="majorHAnsi"/>
          <w:sz w:val="20"/>
          <w:szCs w:val="20"/>
        </w:rPr>
        <w:t>вміст</w:t>
      </w:r>
      <w:r w:rsidRPr="000977F7">
        <w:rPr>
          <w:rFonts w:asciiTheme="majorHAnsi" w:hAnsiTheme="majorHAnsi"/>
          <w:spacing w:val="-4"/>
          <w:sz w:val="20"/>
          <w:szCs w:val="20"/>
        </w:rPr>
        <w:t xml:space="preserve"> </w:t>
      </w:r>
      <w:r w:rsidRPr="000977F7">
        <w:rPr>
          <w:rFonts w:asciiTheme="majorHAnsi" w:hAnsiTheme="majorHAnsi"/>
          <w:sz w:val="20"/>
          <w:szCs w:val="20"/>
        </w:rPr>
        <w:t>фізичної</w:t>
      </w:r>
      <w:r w:rsidRPr="000977F7">
        <w:rPr>
          <w:rFonts w:asciiTheme="majorHAnsi" w:hAnsiTheme="majorHAnsi"/>
          <w:spacing w:val="-4"/>
          <w:sz w:val="20"/>
          <w:szCs w:val="20"/>
        </w:rPr>
        <w:t xml:space="preserve"> </w:t>
      </w:r>
      <w:r w:rsidRPr="000977F7">
        <w:rPr>
          <w:rFonts w:asciiTheme="majorHAnsi" w:hAnsiTheme="majorHAnsi"/>
          <w:sz w:val="20"/>
          <w:szCs w:val="20"/>
        </w:rPr>
        <w:t>величини</w:t>
      </w:r>
      <w:r w:rsidRPr="000977F7">
        <w:rPr>
          <w:rFonts w:asciiTheme="majorHAnsi" w:hAnsiTheme="majorHAnsi"/>
          <w:spacing w:val="-4"/>
          <w:sz w:val="20"/>
          <w:szCs w:val="20"/>
        </w:rPr>
        <w:t xml:space="preserve"> </w:t>
      </w:r>
      <w:r w:rsidRPr="000977F7">
        <w:rPr>
          <w:rFonts w:asciiTheme="majorHAnsi" w:hAnsiTheme="majorHAnsi"/>
          <w:sz w:val="20"/>
          <w:szCs w:val="20"/>
        </w:rPr>
        <w:t>в</w:t>
      </w:r>
      <w:r w:rsidRPr="000977F7">
        <w:rPr>
          <w:rFonts w:asciiTheme="majorHAnsi" w:hAnsiTheme="majorHAnsi"/>
          <w:spacing w:val="-4"/>
          <w:sz w:val="20"/>
          <w:szCs w:val="20"/>
        </w:rPr>
        <w:t xml:space="preserve"> </w:t>
      </w:r>
      <w:r w:rsidRPr="000977F7">
        <w:rPr>
          <w:rFonts w:asciiTheme="majorHAnsi" w:hAnsiTheme="majorHAnsi"/>
          <w:sz w:val="20"/>
          <w:szCs w:val="20"/>
        </w:rPr>
        <w:t>даному</w:t>
      </w:r>
      <w:r w:rsidRPr="000977F7">
        <w:rPr>
          <w:rFonts w:asciiTheme="majorHAnsi" w:hAnsiTheme="majorHAnsi"/>
          <w:spacing w:val="-6"/>
          <w:sz w:val="20"/>
          <w:szCs w:val="20"/>
        </w:rPr>
        <w:t xml:space="preserve"> </w:t>
      </w:r>
      <w:r w:rsidRPr="000977F7">
        <w:rPr>
          <w:rFonts w:asciiTheme="majorHAnsi" w:hAnsiTheme="majorHAnsi"/>
          <w:sz w:val="20"/>
          <w:szCs w:val="20"/>
        </w:rPr>
        <w:t>об’єкті</w:t>
      </w:r>
      <w:r w:rsidRPr="000977F7">
        <w:rPr>
          <w:rFonts w:asciiTheme="majorHAnsi" w:hAnsiTheme="majorHAnsi"/>
          <w:spacing w:val="-48"/>
          <w:sz w:val="20"/>
          <w:szCs w:val="20"/>
        </w:rPr>
        <w:t xml:space="preserve"> </w:t>
      </w:r>
    </w:p>
    <w:p w14:paraId="22C6FC0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6BED8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 слід використовувати термін величина як кількісну характеристику даної властивості, наприклад, у термінах величина напруги, величина маси і таке інше. В таких випадках слід використовувати термін розмір напруги, розмір маси</w:t>
      </w:r>
    </w:p>
    <w:p w14:paraId="228F346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 – 94</w:t>
      </w:r>
    </w:p>
    <w:p w14:paraId="6AD9C1F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РОЗМІРНІСНА</w:t>
      </w:r>
      <w:r w:rsidRPr="000977F7">
        <w:rPr>
          <w:color w:val="auto"/>
          <w:spacing w:val="-4"/>
          <w:sz w:val="20"/>
          <w:szCs w:val="20"/>
        </w:rPr>
        <w:t xml:space="preserve"> </w:t>
      </w:r>
      <w:r w:rsidRPr="000977F7">
        <w:rPr>
          <w:color w:val="auto"/>
          <w:sz w:val="20"/>
          <w:szCs w:val="20"/>
        </w:rPr>
        <w:t>ФІЗИЧНА</w:t>
      </w:r>
      <w:r w:rsidRPr="000977F7">
        <w:rPr>
          <w:color w:val="auto"/>
          <w:spacing w:val="-3"/>
          <w:sz w:val="20"/>
          <w:szCs w:val="20"/>
        </w:rPr>
        <w:t xml:space="preserve"> </w:t>
      </w:r>
      <w:r w:rsidRPr="000977F7">
        <w:rPr>
          <w:color w:val="auto"/>
          <w:sz w:val="20"/>
          <w:szCs w:val="20"/>
        </w:rPr>
        <w:t>ВЕЛИЧИНА</w:t>
      </w:r>
      <w:r w:rsidRPr="000977F7">
        <w:rPr>
          <w:color w:val="auto"/>
          <w:spacing w:val="1"/>
          <w:sz w:val="20"/>
          <w:szCs w:val="20"/>
        </w:rPr>
        <w:t xml:space="preserve"> </w:t>
      </w:r>
      <w:r w:rsidRPr="000977F7">
        <w:rPr>
          <w:color w:val="auto"/>
          <w:sz w:val="20"/>
          <w:szCs w:val="20"/>
        </w:rPr>
        <w:t>–</w:t>
      </w:r>
    </w:p>
    <w:p w14:paraId="3EF2C7D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DIMENSIONAL</w:t>
      </w:r>
      <w:r w:rsidRPr="000977F7">
        <w:rPr>
          <w:rFonts w:asciiTheme="majorHAnsi" w:hAnsiTheme="majorHAnsi"/>
          <w:spacing w:val="-4"/>
          <w:sz w:val="20"/>
          <w:szCs w:val="20"/>
        </w:rPr>
        <w:t xml:space="preserve"> </w:t>
      </w:r>
      <w:r w:rsidRPr="000977F7">
        <w:rPr>
          <w:rFonts w:asciiTheme="majorHAnsi" w:hAnsiTheme="majorHAnsi"/>
          <w:sz w:val="20"/>
          <w:szCs w:val="20"/>
        </w:rPr>
        <w:t>QUANTITY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2E97C6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Величина, в розмірності якої розмірність хоча б однієї</w:t>
      </w:r>
      <w:r w:rsidRPr="000977F7">
        <w:rPr>
          <w:rFonts w:asciiTheme="majorHAnsi" w:hAnsiTheme="majorHAnsi"/>
          <w:spacing w:val="-47"/>
          <w:sz w:val="20"/>
          <w:szCs w:val="20"/>
        </w:rPr>
        <w:t xml:space="preserve"> </w:t>
      </w:r>
      <w:r w:rsidRPr="000977F7">
        <w:rPr>
          <w:rFonts w:asciiTheme="majorHAnsi" w:hAnsiTheme="majorHAnsi"/>
          <w:sz w:val="20"/>
          <w:szCs w:val="20"/>
        </w:rPr>
        <w:t>з основних величин піднесена до степеню, що не дорівнює</w:t>
      </w:r>
      <w:r w:rsidRPr="000977F7">
        <w:rPr>
          <w:rFonts w:asciiTheme="majorHAnsi" w:hAnsiTheme="majorHAnsi"/>
          <w:spacing w:val="-1"/>
          <w:sz w:val="20"/>
          <w:szCs w:val="20"/>
        </w:rPr>
        <w:t xml:space="preserve"> </w:t>
      </w:r>
      <w:r w:rsidRPr="000977F7">
        <w:rPr>
          <w:rFonts w:asciiTheme="majorHAnsi" w:hAnsiTheme="majorHAnsi"/>
          <w:sz w:val="20"/>
          <w:szCs w:val="20"/>
        </w:rPr>
        <w:t>нулю</w:t>
      </w:r>
    </w:p>
    <w:p w14:paraId="5256CB4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6C0EAF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РОЗМІРНІСТЬ</w:t>
      </w:r>
      <w:r w:rsidRPr="000977F7">
        <w:rPr>
          <w:color w:val="auto"/>
          <w:spacing w:val="-4"/>
          <w:sz w:val="20"/>
          <w:szCs w:val="20"/>
        </w:rPr>
        <w:t xml:space="preserve"> </w:t>
      </w:r>
      <w:r w:rsidRPr="000977F7">
        <w:rPr>
          <w:color w:val="auto"/>
          <w:sz w:val="20"/>
          <w:szCs w:val="20"/>
        </w:rPr>
        <w:t>ФІЗИЧНОЇ</w:t>
      </w:r>
      <w:r w:rsidRPr="000977F7">
        <w:rPr>
          <w:color w:val="auto"/>
          <w:spacing w:val="-4"/>
          <w:sz w:val="20"/>
          <w:szCs w:val="20"/>
        </w:rPr>
        <w:t xml:space="preserve"> </w:t>
      </w:r>
      <w:r w:rsidRPr="000977F7">
        <w:rPr>
          <w:color w:val="auto"/>
          <w:sz w:val="20"/>
          <w:szCs w:val="20"/>
        </w:rPr>
        <w:t>ВЕЛИЧИНИ –</w:t>
      </w:r>
    </w:p>
    <w:p w14:paraId="1202C87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DIMENSION</w:t>
      </w:r>
      <w:r w:rsidRPr="000977F7">
        <w:rPr>
          <w:rFonts w:asciiTheme="majorHAnsi" w:hAnsiTheme="majorHAnsi"/>
          <w:spacing w:val="-1"/>
          <w:sz w:val="20"/>
          <w:szCs w:val="20"/>
        </w:rPr>
        <w:t xml:space="preserve"> </w:t>
      </w:r>
      <w:r w:rsidRPr="000977F7">
        <w:rPr>
          <w:rFonts w:asciiTheme="majorHAnsi" w:hAnsiTheme="majorHAnsi"/>
          <w:sz w:val="20"/>
          <w:szCs w:val="20"/>
        </w:rPr>
        <w:t>OF</w:t>
      </w:r>
      <w:r w:rsidRPr="000977F7">
        <w:rPr>
          <w:rFonts w:asciiTheme="majorHAnsi" w:hAnsiTheme="majorHAnsi"/>
          <w:spacing w:val="1"/>
          <w:sz w:val="20"/>
          <w:szCs w:val="20"/>
        </w:rPr>
        <w:t xml:space="preserve"> </w:t>
      </w:r>
      <w:r w:rsidRPr="000977F7">
        <w:rPr>
          <w:rFonts w:asciiTheme="majorHAnsi" w:hAnsiTheme="majorHAnsi"/>
          <w:sz w:val="20"/>
          <w:szCs w:val="20"/>
        </w:rPr>
        <w:t>A</w:t>
      </w:r>
      <w:r w:rsidRPr="000977F7">
        <w:rPr>
          <w:rFonts w:asciiTheme="majorHAnsi" w:hAnsiTheme="majorHAnsi"/>
          <w:spacing w:val="-3"/>
          <w:sz w:val="20"/>
          <w:szCs w:val="20"/>
        </w:rPr>
        <w:t xml:space="preserve"> </w:t>
      </w:r>
      <w:r w:rsidRPr="000977F7">
        <w:rPr>
          <w:rFonts w:asciiTheme="majorHAnsi" w:hAnsiTheme="majorHAnsi"/>
          <w:sz w:val="20"/>
          <w:szCs w:val="20"/>
        </w:rPr>
        <w:t>QUANTITY</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0FD25D8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Вираз, що відображає її зв’язок з основними величинами</w:t>
      </w:r>
      <w:r w:rsidRPr="000977F7">
        <w:rPr>
          <w:rFonts w:asciiTheme="majorHAnsi" w:hAnsiTheme="majorHAnsi"/>
          <w:spacing w:val="-2"/>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величин</w:t>
      </w:r>
    </w:p>
    <w:p w14:paraId="145B7A2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146B2B01" w14:textId="77777777" w:rsidR="0097612F" w:rsidRPr="000977F7" w:rsidRDefault="0097612F" w:rsidP="00FD39A4">
      <w:pPr>
        <w:pStyle w:val="ac"/>
        <w:widowControl w:val="0"/>
        <w:numPr>
          <w:ilvl w:val="0"/>
          <w:numId w:val="88"/>
        </w:numPr>
        <w:tabs>
          <w:tab w:val="left" w:pos="284"/>
          <w:tab w:val="left" w:pos="801"/>
        </w:tabs>
        <w:autoSpaceDE w:val="0"/>
        <w:autoSpaceDN w:val="0"/>
        <w:spacing w:after="0" w:line="240" w:lineRule="auto"/>
        <w:ind w:left="170" w:hanging="14"/>
        <w:contextualSpacing w:val="0"/>
        <w:mirrorIndents/>
        <w:jc w:val="both"/>
        <w:rPr>
          <w:rFonts w:asciiTheme="majorHAnsi" w:hAnsiTheme="majorHAnsi"/>
          <w:sz w:val="20"/>
          <w:szCs w:val="20"/>
        </w:rPr>
      </w:pPr>
      <w:r w:rsidRPr="000977F7">
        <w:rPr>
          <w:rFonts w:asciiTheme="majorHAnsi" w:hAnsiTheme="majorHAnsi"/>
          <w:sz w:val="20"/>
          <w:szCs w:val="20"/>
        </w:rPr>
        <w:t>Розмірність основної фізичної величини умовний символ фізичної величини в даній системі величин</w:t>
      </w:r>
    </w:p>
    <w:p w14:paraId="6E5D753D" w14:textId="77777777" w:rsidR="0097612F" w:rsidRPr="000977F7" w:rsidRDefault="0097612F" w:rsidP="00FD39A4">
      <w:pPr>
        <w:pStyle w:val="ac"/>
        <w:widowControl w:val="0"/>
        <w:numPr>
          <w:ilvl w:val="0"/>
          <w:numId w:val="88"/>
        </w:numPr>
        <w:tabs>
          <w:tab w:val="left" w:pos="284"/>
          <w:tab w:val="left" w:pos="801"/>
        </w:tabs>
        <w:autoSpaceDE w:val="0"/>
        <w:autoSpaceDN w:val="0"/>
        <w:spacing w:after="0" w:line="240" w:lineRule="auto"/>
        <w:ind w:left="170" w:hanging="14"/>
        <w:contextualSpacing w:val="0"/>
        <w:mirrorIndents/>
        <w:jc w:val="both"/>
        <w:rPr>
          <w:rFonts w:asciiTheme="majorHAnsi" w:hAnsiTheme="majorHAnsi"/>
          <w:sz w:val="20"/>
          <w:szCs w:val="20"/>
        </w:rPr>
      </w:pPr>
      <w:r w:rsidRPr="000977F7">
        <w:rPr>
          <w:rFonts w:asciiTheme="majorHAnsi" w:hAnsiTheme="majorHAnsi"/>
          <w:sz w:val="20"/>
          <w:szCs w:val="20"/>
        </w:rPr>
        <w:t>Розмірність похідної фізичної величини добуток</w:t>
      </w:r>
      <w:r w:rsidRPr="000977F7">
        <w:rPr>
          <w:rFonts w:asciiTheme="majorHAnsi" w:hAnsiTheme="majorHAnsi"/>
          <w:spacing w:val="-47"/>
          <w:sz w:val="20"/>
          <w:szCs w:val="20"/>
        </w:rPr>
        <w:t xml:space="preserve"> </w:t>
      </w:r>
      <w:r w:rsidRPr="000977F7">
        <w:rPr>
          <w:rFonts w:asciiTheme="majorHAnsi" w:hAnsiTheme="majorHAnsi"/>
          <w:sz w:val="20"/>
          <w:szCs w:val="20"/>
        </w:rPr>
        <w:t>розмірностей</w:t>
      </w:r>
      <w:r w:rsidRPr="000977F7">
        <w:rPr>
          <w:rFonts w:asciiTheme="majorHAnsi" w:hAnsiTheme="majorHAnsi"/>
          <w:spacing w:val="1"/>
          <w:sz w:val="20"/>
          <w:szCs w:val="20"/>
        </w:rPr>
        <w:t xml:space="preserve"> </w:t>
      </w:r>
      <w:r w:rsidRPr="000977F7">
        <w:rPr>
          <w:rFonts w:asciiTheme="majorHAnsi" w:hAnsiTheme="majorHAnsi"/>
          <w:sz w:val="20"/>
          <w:szCs w:val="20"/>
        </w:rPr>
        <w:t>основних</w:t>
      </w:r>
      <w:r w:rsidRPr="000977F7">
        <w:rPr>
          <w:rFonts w:asciiTheme="majorHAnsi" w:hAnsiTheme="majorHAnsi"/>
          <w:spacing w:val="1"/>
          <w:sz w:val="20"/>
          <w:szCs w:val="20"/>
        </w:rPr>
        <w:t xml:space="preserve"> </w:t>
      </w:r>
      <w:r w:rsidRPr="000977F7">
        <w:rPr>
          <w:rFonts w:asciiTheme="majorHAnsi" w:hAnsiTheme="majorHAnsi"/>
          <w:sz w:val="20"/>
          <w:szCs w:val="20"/>
        </w:rPr>
        <w:t>величин,</w:t>
      </w:r>
      <w:r w:rsidRPr="000977F7">
        <w:rPr>
          <w:rFonts w:asciiTheme="majorHAnsi" w:hAnsiTheme="majorHAnsi"/>
          <w:spacing w:val="1"/>
          <w:sz w:val="20"/>
          <w:szCs w:val="20"/>
        </w:rPr>
        <w:t xml:space="preserve"> </w:t>
      </w:r>
      <w:r w:rsidRPr="000977F7">
        <w:rPr>
          <w:rFonts w:asciiTheme="majorHAnsi" w:hAnsiTheme="majorHAnsi"/>
          <w:sz w:val="20"/>
          <w:szCs w:val="20"/>
        </w:rPr>
        <w:t>піднесених</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відповідних</w:t>
      </w:r>
      <w:r w:rsidRPr="000977F7">
        <w:rPr>
          <w:rFonts w:asciiTheme="majorHAnsi" w:hAnsiTheme="majorHAnsi"/>
          <w:spacing w:val="1"/>
          <w:sz w:val="20"/>
          <w:szCs w:val="20"/>
        </w:rPr>
        <w:t xml:space="preserve"> </w:t>
      </w:r>
      <w:r w:rsidRPr="000977F7">
        <w:rPr>
          <w:rFonts w:asciiTheme="majorHAnsi" w:hAnsiTheme="majorHAnsi"/>
          <w:sz w:val="20"/>
          <w:szCs w:val="20"/>
        </w:rPr>
        <w:t>степенів,</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розмірність</w:t>
      </w:r>
      <w:r w:rsidRPr="000977F7">
        <w:rPr>
          <w:rFonts w:asciiTheme="majorHAnsi" w:hAnsiTheme="majorHAnsi"/>
          <w:spacing w:val="1"/>
          <w:sz w:val="20"/>
          <w:szCs w:val="20"/>
        </w:rPr>
        <w:t xml:space="preserve"> </w:t>
      </w:r>
      <w:r w:rsidRPr="000977F7">
        <w:rPr>
          <w:rFonts w:asciiTheme="majorHAnsi" w:hAnsiTheme="majorHAnsi"/>
          <w:sz w:val="20"/>
          <w:szCs w:val="20"/>
        </w:rPr>
        <w:t>швидкості V в системі величин L, M, T – dimV =</w:t>
      </w:r>
      <w:r w:rsidRPr="000977F7">
        <w:rPr>
          <w:rFonts w:asciiTheme="majorHAnsi" w:hAnsiTheme="majorHAnsi"/>
          <w:spacing w:val="1"/>
          <w:sz w:val="20"/>
          <w:szCs w:val="20"/>
        </w:rPr>
        <w:t xml:space="preserve"> </w:t>
      </w:r>
      <w:r w:rsidRPr="000977F7">
        <w:rPr>
          <w:rFonts w:asciiTheme="majorHAnsi" w:hAnsiTheme="majorHAnsi"/>
          <w:position w:val="-8"/>
          <w:sz w:val="20"/>
          <w:szCs w:val="20"/>
        </w:rPr>
        <w:t>LT</w:t>
      </w:r>
      <w:r w:rsidRPr="000977F7">
        <w:rPr>
          <w:rFonts w:asciiTheme="majorHAnsi" w:hAnsiTheme="majorHAnsi"/>
          <w:sz w:val="20"/>
          <w:szCs w:val="20"/>
        </w:rPr>
        <w:t>-1</w:t>
      </w:r>
    </w:p>
    <w:p w14:paraId="1267A7FD"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2DA44E1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РОЗОСЕРЕДЖЕНИЙ</w:t>
      </w:r>
      <w:r w:rsidRPr="000977F7">
        <w:rPr>
          <w:color w:val="auto"/>
          <w:spacing w:val="-4"/>
          <w:sz w:val="20"/>
          <w:szCs w:val="20"/>
        </w:rPr>
        <w:t xml:space="preserve"> </w:t>
      </w:r>
      <w:r w:rsidRPr="000977F7">
        <w:rPr>
          <w:color w:val="auto"/>
          <w:sz w:val="20"/>
          <w:szCs w:val="20"/>
        </w:rPr>
        <w:t>ОБ’ЄКТ</w:t>
      </w:r>
      <w:r w:rsidRPr="000977F7">
        <w:rPr>
          <w:color w:val="auto"/>
          <w:spacing w:val="-2"/>
          <w:sz w:val="20"/>
          <w:szCs w:val="20"/>
        </w:rPr>
        <w:t xml:space="preserve"> </w:t>
      </w:r>
      <w:r w:rsidRPr="000977F7">
        <w:rPr>
          <w:color w:val="auto"/>
          <w:sz w:val="20"/>
          <w:szCs w:val="20"/>
        </w:rPr>
        <w:t>–</w:t>
      </w:r>
    </w:p>
    <w:p w14:paraId="135445D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DISTRIBUTED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OBJECT –</w:t>
      </w:r>
    </w:p>
    <w:p w14:paraId="2306E94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відстані</w:t>
      </w:r>
      <w:r w:rsidRPr="004D2D14">
        <w:rPr>
          <w:rFonts w:asciiTheme="majorHAnsi" w:hAnsiTheme="majorHAnsi"/>
          <w:spacing w:val="1"/>
          <w:sz w:val="20"/>
          <w:szCs w:val="20"/>
          <w:lang w:val="en-US"/>
        </w:rPr>
        <w:t xml:space="preserve"> </w:t>
      </w:r>
      <w:r w:rsidRPr="000977F7">
        <w:rPr>
          <w:rFonts w:asciiTheme="majorHAnsi" w:hAnsiTheme="majorHAnsi"/>
          <w:sz w:val="20"/>
          <w:szCs w:val="20"/>
        </w:rPr>
        <w:t>між</w:t>
      </w:r>
      <w:r w:rsidRPr="004D2D14">
        <w:rPr>
          <w:rFonts w:asciiTheme="majorHAnsi" w:hAnsiTheme="majorHAnsi"/>
          <w:spacing w:val="1"/>
          <w:sz w:val="20"/>
          <w:szCs w:val="20"/>
          <w:lang w:val="en-US"/>
        </w:rPr>
        <w:t xml:space="preserve"> </w:t>
      </w:r>
      <w:r w:rsidRPr="000977F7">
        <w:rPr>
          <w:rFonts w:asciiTheme="majorHAnsi" w:hAnsiTheme="majorHAnsi"/>
          <w:sz w:val="20"/>
          <w:szCs w:val="20"/>
        </w:rPr>
        <w:t>компонентами</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істотно</w:t>
      </w:r>
      <w:r w:rsidRPr="004D2D14">
        <w:rPr>
          <w:rFonts w:asciiTheme="majorHAnsi" w:hAnsiTheme="majorHAnsi"/>
          <w:spacing w:val="1"/>
          <w:sz w:val="20"/>
          <w:szCs w:val="20"/>
          <w:lang w:val="en-US"/>
        </w:rPr>
        <w:t xml:space="preserve"> </w:t>
      </w:r>
      <w:r w:rsidRPr="000977F7">
        <w:rPr>
          <w:rFonts w:asciiTheme="majorHAnsi" w:hAnsiTheme="majorHAnsi"/>
          <w:sz w:val="20"/>
          <w:szCs w:val="20"/>
        </w:rPr>
        <w:t>впливають</w:t>
      </w:r>
      <w:r w:rsidRPr="004D2D14">
        <w:rPr>
          <w:rFonts w:asciiTheme="majorHAnsi" w:hAnsiTheme="majorHAnsi"/>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організацію</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функціювання</w:t>
      </w:r>
      <w:r w:rsidRPr="004D2D14">
        <w:rPr>
          <w:rFonts w:asciiTheme="majorHAnsi" w:hAnsiTheme="majorHAnsi"/>
          <w:sz w:val="20"/>
          <w:szCs w:val="20"/>
          <w:lang w:val="en-US"/>
        </w:rPr>
        <w:t xml:space="preserve"> </w:t>
      </w:r>
      <w:r w:rsidRPr="000977F7">
        <w:rPr>
          <w:rFonts w:asciiTheme="majorHAnsi" w:hAnsiTheme="majorHAnsi"/>
          <w:sz w:val="20"/>
          <w:szCs w:val="20"/>
        </w:rPr>
        <w:t>систем</w:t>
      </w:r>
      <w:r w:rsidRPr="004D2D14">
        <w:rPr>
          <w:rFonts w:asciiTheme="majorHAnsi" w:hAnsiTheme="majorHAnsi"/>
          <w:sz w:val="20"/>
          <w:szCs w:val="20"/>
          <w:lang w:val="en-US"/>
        </w:rPr>
        <w:t xml:space="preserve"> </w:t>
      </w:r>
      <w:r w:rsidRPr="000977F7">
        <w:rPr>
          <w:rFonts w:asciiTheme="majorHAnsi" w:hAnsiTheme="majorHAnsi"/>
          <w:sz w:val="20"/>
          <w:szCs w:val="20"/>
        </w:rPr>
        <w:t>керування</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діагностування</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контролювання</w:t>
      </w:r>
    </w:p>
    <w:p w14:paraId="5B30CCF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7A332C90"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sz w:val="20"/>
          <w:szCs w:val="20"/>
        </w:rPr>
        <w:t>Р</w:t>
      </w:r>
      <w:r w:rsidRPr="000977F7">
        <w:rPr>
          <w:rFonts w:asciiTheme="majorHAnsi" w:hAnsiTheme="majorHAnsi"/>
          <w:b/>
          <w:bCs/>
          <w:sz w:val="20"/>
          <w:szCs w:val="20"/>
        </w:rPr>
        <w:t>ОЗПОВСЮДЖЕННЯ –</w:t>
      </w:r>
    </w:p>
    <w:p w14:paraId="184189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Надання продукції на ринку після введення її в обіг</w:t>
      </w:r>
    </w:p>
    <w:p w14:paraId="254695CE"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bookmarkStart w:id="253" w:name="_Hlk103187576"/>
      <w:r w:rsidRPr="000977F7">
        <w:rPr>
          <w:rFonts w:asciiTheme="majorHAnsi" w:hAnsiTheme="majorHAnsi"/>
          <w:i/>
          <w:iCs/>
          <w:sz w:val="20"/>
          <w:szCs w:val="20"/>
        </w:rPr>
        <w:t>Ст. 1 закону України "Про технічні регламенти та оцінку відповідності"</w:t>
      </w:r>
    </w:p>
    <w:bookmarkEnd w:id="253"/>
    <w:p w14:paraId="1FEDC06D"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shd w:val="clear" w:color="auto" w:fill="FFFFFF"/>
        </w:rPr>
      </w:pPr>
      <w:r w:rsidRPr="000977F7">
        <w:rPr>
          <w:rFonts w:asciiTheme="majorHAnsi" w:hAnsiTheme="majorHAnsi"/>
          <w:b/>
          <w:bCs/>
          <w:sz w:val="20"/>
          <w:szCs w:val="20"/>
          <w:shd w:val="clear" w:color="auto" w:fill="FFFFFF"/>
        </w:rPr>
        <w:t>РОЗПОВСЮДЖУВАЧ –</w:t>
      </w:r>
    </w:p>
    <w:p w14:paraId="7EFBDF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Будь-яка інша, ніж виробник або імпортер, фізична чи юридична особа в ланцюгу постачання продукції, яка надає продукцію на ринку;</w:t>
      </w:r>
    </w:p>
    <w:p w14:paraId="1FAAC98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bookmarkStart w:id="254" w:name="_Hlk103188020"/>
      <w:r w:rsidRPr="000977F7">
        <w:rPr>
          <w:rFonts w:asciiTheme="majorHAnsi" w:hAnsiTheme="majorHAnsi"/>
          <w:i/>
          <w:sz w:val="20"/>
          <w:szCs w:val="20"/>
        </w:rPr>
        <w:t>Ст. 1 закону України "Про технічні регламенти та оцінку відповідності"</w:t>
      </w:r>
    </w:p>
    <w:p w14:paraId="76030FA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Будь-яка інша, ніж виробник або імпортер, фізична чи юридична особа в ланцюгу постачання компонента безпеки для ліфтів, яка надає такий компонент на ринку України</w:t>
      </w:r>
    </w:p>
    <w:p w14:paraId="6E7C1C95"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shd w:val="clear" w:color="auto" w:fill="FFFFFF"/>
        </w:rPr>
      </w:pPr>
      <w:r w:rsidRPr="000977F7">
        <w:rPr>
          <w:rFonts w:asciiTheme="majorHAnsi" w:hAnsiTheme="majorHAnsi"/>
          <w:i/>
          <w:iCs/>
          <w:sz w:val="20"/>
          <w:szCs w:val="20"/>
          <w:shd w:val="clear" w:color="auto" w:fill="FFFFFF"/>
        </w:rPr>
        <w:t>Технічний регламент ліфтів і компонентів безпеки для ліфтів</w:t>
      </w:r>
    </w:p>
    <w:p w14:paraId="2A6172D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Розповсюджувач будь-яка інша, ніж виробник або імпортер, фізична чи юридична особа в ланцюгу постачання продукції, яка надає апаратуру на ринку України</w:t>
      </w:r>
    </w:p>
    <w:p w14:paraId="777FA5E7"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shd w:val="clear" w:color="auto" w:fill="FFFFFF"/>
        </w:rPr>
      </w:pPr>
      <w:r w:rsidRPr="000977F7">
        <w:rPr>
          <w:rFonts w:asciiTheme="majorHAnsi" w:hAnsiTheme="majorHAnsi"/>
          <w:i/>
          <w:iCs/>
          <w:sz w:val="20"/>
          <w:szCs w:val="20"/>
          <w:shd w:val="clear" w:color="auto" w:fill="FFFFFF"/>
        </w:rPr>
        <w:t>Технічний регламент з електромагнітної сумісності обладнання</w:t>
      </w:r>
    </w:p>
    <w:p w14:paraId="770C7C2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Інша, ніж виробник або імпортер, фізична чи юридична особа в ланцюгу постачання обладнання, що працює під тиском, або агрегатів, яка надає таке обладнання на ринку України</w:t>
      </w:r>
    </w:p>
    <w:p w14:paraId="35042ACE"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shd w:val="clear" w:color="auto" w:fill="FFFFFF"/>
        </w:rPr>
      </w:pPr>
      <w:r w:rsidRPr="000977F7">
        <w:rPr>
          <w:rFonts w:asciiTheme="majorHAnsi" w:hAnsiTheme="majorHAnsi"/>
          <w:i/>
          <w:iCs/>
          <w:sz w:val="20"/>
          <w:szCs w:val="20"/>
          <w:shd w:val="clear" w:color="auto" w:fill="FFFFFF"/>
        </w:rPr>
        <w:t>Технічний регламент обладнання, що працює під тиском</w:t>
      </w:r>
    </w:p>
    <w:bookmarkEnd w:id="254"/>
    <w:p w14:paraId="7BEAE8B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РОЗПОДІЛ</w:t>
      </w:r>
      <w:r w:rsidRPr="000977F7">
        <w:rPr>
          <w:color w:val="auto"/>
          <w:spacing w:val="-10"/>
          <w:sz w:val="20"/>
          <w:szCs w:val="20"/>
        </w:rPr>
        <w:t xml:space="preserve"> </w:t>
      </w:r>
      <w:r w:rsidRPr="000977F7">
        <w:rPr>
          <w:color w:val="auto"/>
          <w:sz w:val="20"/>
          <w:szCs w:val="20"/>
        </w:rPr>
        <w:t>НАВАНТАЖЕННЯ</w:t>
      </w:r>
      <w:r w:rsidRPr="000977F7">
        <w:rPr>
          <w:color w:val="auto"/>
          <w:spacing w:val="-10"/>
          <w:sz w:val="20"/>
          <w:szCs w:val="20"/>
        </w:rPr>
        <w:t xml:space="preserve"> </w:t>
      </w:r>
      <w:r w:rsidRPr="000977F7">
        <w:rPr>
          <w:color w:val="auto"/>
          <w:sz w:val="20"/>
          <w:szCs w:val="20"/>
        </w:rPr>
        <w:t>(НАПРУЖЕННЯ,</w:t>
      </w:r>
      <w:r w:rsidRPr="000977F7">
        <w:rPr>
          <w:color w:val="auto"/>
          <w:spacing w:val="-47"/>
          <w:sz w:val="20"/>
          <w:szCs w:val="20"/>
        </w:rPr>
        <w:t xml:space="preserve"> </w:t>
      </w:r>
      <w:r w:rsidRPr="000977F7">
        <w:rPr>
          <w:color w:val="auto"/>
          <w:sz w:val="20"/>
          <w:szCs w:val="20"/>
        </w:rPr>
        <w:t>ДЕФОРМАЦІЇ)</w:t>
      </w:r>
      <w:r w:rsidRPr="000977F7">
        <w:rPr>
          <w:color w:val="auto"/>
          <w:spacing w:val="1"/>
          <w:sz w:val="20"/>
          <w:szCs w:val="20"/>
        </w:rPr>
        <w:t xml:space="preserve"> </w:t>
      </w:r>
      <w:r w:rsidRPr="000977F7">
        <w:rPr>
          <w:color w:val="auto"/>
          <w:sz w:val="20"/>
          <w:szCs w:val="20"/>
        </w:rPr>
        <w:t>–</w:t>
      </w:r>
    </w:p>
    <w:p w14:paraId="7DEDAF8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LOAD</w:t>
      </w:r>
      <w:r w:rsidRPr="000977F7">
        <w:rPr>
          <w:rFonts w:asciiTheme="majorHAnsi" w:hAnsiTheme="majorHAnsi"/>
          <w:spacing w:val="-2"/>
          <w:sz w:val="20"/>
          <w:szCs w:val="20"/>
        </w:rPr>
        <w:t xml:space="preserve"> </w:t>
      </w:r>
      <w:r w:rsidRPr="000977F7">
        <w:rPr>
          <w:rFonts w:asciiTheme="majorHAnsi" w:hAnsiTheme="majorHAnsi"/>
          <w:sz w:val="20"/>
          <w:szCs w:val="20"/>
        </w:rPr>
        <w:t>DISTRIBUTION</w:t>
      </w:r>
      <w:r w:rsidRPr="000977F7">
        <w:rPr>
          <w:rFonts w:asciiTheme="majorHAnsi" w:hAnsiTheme="majorHAnsi"/>
          <w:spacing w:val="-2"/>
          <w:sz w:val="20"/>
          <w:szCs w:val="20"/>
        </w:rPr>
        <w:t xml:space="preserve"> </w:t>
      </w:r>
      <w:r w:rsidRPr="000977F7">
        <w:rPr>
          <w:rFonts w:asciiTheme="majorHAnsi" w:hAnsiTheme="majorHAnsi"/>
          <w:sz w:val="20"/>
          <w:szCs w:val="20"/>
        </w:rPr>
        <w:t>FUNCTION –</w:t>
      </w:r>
    </w:p>
    <w:p w14:paraId="2274D2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значень</w:t>
      </w:r>
      <w:r w:rsidRPr="000977F7">
        <w:rPr>
          <w:rFonts w:asciiTheme="majorHAnsi" w:hAnsiTheme="majorHAnsi"/>
          <w:spacing w:val="1"/>
          <w:sz w:val="20"/>
          <w:szCs w:val="20"/>
        </w:rPr>
        <w:t xml:space="preserve"> </w:t>
      </w:r>
      <w:r w:rsidRPr="000977F7">
        <w:rPr>
          <w:rFonts w:asciiTheme="majorHAnsi" w:hAnsiTheme="majorHAnsi"/>
          <w:sz w:val="20"/>
          <w:szCs w:val="20"/>
        </w:rPr>
        <w:t>навантаження</w:t>
      </w:r>
      <w:r w:rsidRPr="000977F7">
        <w:rPr>
          <w:rFonts w:asciiTheme="majorHAnsi" w:hAnsiTheme="majorHAnsi"/>
          <w:spacing w:val="1"/>
          <w:sz w:val="20"/>
          <w:szCs w:val="20"/>
        </w:rPr>
        <w:t xml:space="preserve"> </w:t>
      </w:r>
      <w:r w:rsidRPr="000977F7">
        <w:rPr>
          <w:rFonts w:asciiTheme="majorHAnsi" w:hAnsiTheme="majorHAnsi"/>
          <w:sz w:val="20"/>
          <w:szCs w:val="20"/>
        </w:rPr>
        <w:t>(напруження,</w:t>
      </w:r>
      <w:r w:rsidRPr="000977F7">
        <w:rPr>
          <w:rFonts w:asciiTheme="majorHAnsi" w:hAnsiTheme="majorHAnsi"/>
          <w:spacing w:val="1"/>
          <w:sz w:val="20"/>
          <w:szCs w:val="20"/>
        </w:rPr>
        <w:t xml:space="preserve"> </w:t>
      </w:r>
      <w:r w:rsidRPr="000977F7">
        <w:rPr>
          <w:rFonts w:asciiTheme="majorHAnsi" w:hAnsiTheme="majorHAnsi"/>
          <w:sz w:val="20"/>
          <w:szCs w:val="20"/>
        </w:rPr>
        <w:t>деформації) чи їх частостей, яка визначає міру імовірності</w:t>
      </w:r>
      <w:r w:rsidRPr="000977F7">
        <w:rPr>
          <w:rFonts w:asciiTheme="majorHAnsi" w:hAnsiTheme="majorHAnsi"/>
          <w:spacing w:val="-2"/>
          <w:sz w:val="20"/>
          <w:szCs w:val="20"/>
        </w:rPr>
        <w:t xml:space="preserve"> </w:t>
      </w:r>
      <w:r w:rsidRPr="000977F7">
        <w:rPr>
          <w:rFonts w:asciiTheme="majorHAnsi" w:hAnsiTheme="majorHAnsi"/>
          <w:sz w:val="20"/>
          <w:szCs w:val="20"/>
        </w:rPr>
        <w:t>кожної</w:t>
      </w:r>
      <w:r w:rsidRPr="000977F7">
        <w:rPr>
          <w:rFonts w:asciiTheme="majorHAnsi" w:hAnsiTheme="majorHAnsi"/>
          <w:spacing w:val="-1"/>
          <w:sz w:val="20"/>
          <w:szCs w:val="20"/>
        </w:rPr>
        <w:t xml:space="preserve"> </w:t>
      </w:r>
      <w:r w:rsidRPr="000977F7">
        <w:rPr>
          <w:rFonts w:asciiTheme="majorHAnsi" w:hAnsiTheme="majorHAnsi"/>
          <w:sz w:val="20"/>
          <w:szCs w:val="20"/>
        </w:rPr>
        <w:t>величини</w:t>
      </w:r>
    </w:p>
    <w:p w14:paraId="76ACD82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2444 - 94</w:t>
      </w:r>
    </w:p>
    <w:p w14:paraId="5FEC5C0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РОЗПОДІЛЕНЕ</w:t>
      </w:r>
      <w:r w:rsidRPr="000977F7">
        <w:rPr>
          <w:color w:val="auto"/>
          <w:spacing w:val="-6"/>
          <w:sz w:val="20"/>
          <w:szCs w:val="20"/>
        </w:rPr>
        <w:t xml:space="preserve"> </w:t>
      </w:r>
      <w:r w:rsidRPr="000977F7">
        <w:rPr>
          <w:color w:val="auto"/>
          <w:sz w:val="20"/>
          <w:szCs w:val="20"/>
        </w:rPr>
        <w:t>НАВАНТАЖЕННЯ</w:t>
      </w:r>
      <w:r w:rsidRPr="000977F7">
        <w:rPr>
          <w:color w:val="auto"/>
          <w:spacing w:val="-4"/>
          <w:sz w:val="20"/>
          <w:szCs w:val="20"/>
        </w:rPr>
        <w:t xml:space="preserve"> </w:t>
      </w:r>
      <w:r w:rsidRPr="000977F7">
        <w:rPr>
          <w:color w:val="auto"/>
          <w:sz w:val="20"/>
          <w:szCs w:val="20"/>
        </w:rPr>
        <w:t>–</w:t>
      </w:r>
    </w:p>
    <w:p w14:paraId="099364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DISTRIBUTED</w:t>
      </w:r>
      <w:r w:rsidRPr="000977F7">
        <w:rPr>
          <w:rFonts w:asciiTheme="majorHAnsi" w:hAnsiTheme="majorHAnsi"/>
          <w:spacing w:val="-3"/>
          <w:sz w:val="20"/>
          <w:szCs w:val="20"/>
        </w:rPr>
        <w:t xml:space="preserve"> </w:t>
      </w:r>
      <w:r w:rsidRPr="000977F7">
        <w:rPr>
          <w:rFonts w:asciiTheme="majorHAnsi" w:hAnsiTheme="majorHAnsi"/>
          <w:sz w:val="20"/>
          <w:szCs w:val="20"/>
        </w:rPr>
        <w:t>LOAD</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7672ACC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Навантаження, яке діє на деякій ділянці довжини або</w:t>
      </w:r>
      <w:r w:rsidRPr="000977F7">
        <w:rPr>
          <w:rFonts w:asciiTheme="majorHAnsi" w:hAnsiTheme="majorHAnsi"/>
          <w:spacing w:val="1"/>
          <w:sz w:val="20"/>
          <w:szCs w:val="20"/>
        </w:rPr>
        <w:t xml:space="preserve"> </w:t>
      </w:r>
      <w:r w:rsidRPr="000977F7">
        <w:rPr>
          <w:rFonts w:asciiTheme="majorHAnsi" w:hAnsiTheme="majorHAnsi"/>
          <w:sz w:val="20"/>
          <w:szCs w:val="20"/>
        </w:rPr>
        <w:t>поверхні</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p>
    <w:p w14:paraId="285A340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2825 - 94</w:t>
      </w:r>
    </w:p>
    <w:p w14:paraId="278A577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РОЗРАХУНКОВА</w:t>
      </w:r>
      <w:r w:rsidRPr="000977F7">
        <w:rPr>
          <w:color w:val="auto"/>
          <w:spacing w:val="-4"/>
          <w:sz w:val="20"/>
          <w:szCs w:val="20"/>
        </w:rPr>
        <w:t xml:space="preserve"> </w:t>
      </w:r>
      <w:r w:rsidRPr="000977F7">
        <w:rPr>
          <w:color w:val="auto"/>
          <w:sz w:val="20"/>
          <w:szCs w:val="20"/>
        </w:rPr>
        <w:t>ЦІНА</w:t>
      </w:r>
      <w:r w:rsidRPr="000977F7">
        <w:rPr>
          <w:color w:val="auto"/>
          <w:spacing w:val="-1"/>
          <w:sz w:val="20"/>
          <w:szCs w:val="20"/>
        </w:rPr>
        <w:t xml:space="preserve"> </w:t>
      </w:r>
      <w:r w:rsidRPr="000977F7">
        <w:rPr>
          <w:color w:val="auto"/>
          <w:sz w:val="20"/>
          <w:szCs w:val="20"/>
        </w:rPr>
        <w:t>–</w:t>
      </w:r>
    </w:p>
    <w:p w14:paraId="014969AA"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Умовна</w:t>
      </w:r>
      <w:r w:rsidRPr="000977F7">
        <w:rPr>
          <w:rFonts w:asciiTheme="majorHAnsi" w:hAnsiTheme="majorHAnsi"/>
          <w:spacing w:val="-10"/>
          <w:sz w:val="20"/>
          <w:szCs w:val="20"/>
        </w:rPr>
        <w:t xml:space="preserve"> </w:t>
      </w:r>
      <w:r w:rsidRPr="000977F7">
        <w:rPr>
          <w:rFonts w:asciiTheme="majorHAnsi" w:hAnsiTheme="majorHAnsi"/>
          <w:sz w:val="20"/>
          <w:szCs w:val="20"/>
        </w:rPr>
        <w:t>ціна,</w:t>
      </w:r>
      <w:r w:rsidRPr="000977F7">
        <w:rPr>
          <w:rFonts w:asciiTheme="majorHAnsi" w:hAnsiTheme="majorHAnsi"/>
          <w:spacing w:val="-11"/>
          <w:sz w:val="20"/>
          <w:szCs w:val="20"/>
        </w:rPr>
        <w:t xml:space="preserve"> </w:t>
      </w:r>
      <w:r w:rsidRPr="000977F7">
        <w:rPr>
          <w:rFonts w:asciiTheme="majorHAnsi" w:hAnsiTheme="majorHAnsi"/>
          <w:sz w:val="20"/>
          <w:szCs w:val="20"/>
        </w:rPr>
        <w:t>розроблена</w:t>
      </w:r>
      <w:r w:rsidRPr="000977F7">
        <w:rPr>
          <w:rFonts w:asciiTheme="majorHAnsi" w:hAnsiTheme="majorHAnsi"/>
          <w:spacing w:val="-9"/>
          <w:sz w:val="20"/>
          <w:szCs w:val="20"/>
        </w:rPr>
        <w:t xml:space="preserve"> </w:t>
      </w:r>
      <w:r w:rsidRPr="000977F7">
        <w:rPr>
          <w:rFonts w:asciiTheme="majorHAnsi" w:hAnsiTheme="majorHAnsi"/>
          <w:sz w:val="20"/>
          <w:szCs w:val="20"/>
        </w:rPr>
        <w:t>для</w:t>
      </w:r>
      <w:r w:rsidRPr="000977F7">
        <w:rPr>
          <w:rFonts w:asciiTheme="majorHAnsi" w:hAnsiTheme="majorHAnsi"/>
          <w:spacing w:val="-10"/>
          <w:sz w:val="20"/>
          <w:szCs w:val="20"/>
        </w:rPr>
        <w:t xml:space="preserve"> </w:t>
      </w:r>
      <w:r w:rsidRPr="000977F7">
        <w:rPr>
          <w:rFonts w:asciiTheme="majorHAnsi" w:hAnsiTheme="majorHAnsi"/>
          <w:sz w:val="20"/>
          <w:szCs w:val="20"/>
        </w:rPr>
        <w:t>різноманітних</w:t>
      </w:r>
      <w:r w:rsidRPr="000977F7">
        <w:rPr>
          <w:rFonts w:asciiTheme="majorHAnsi" w:hAnsiTheme="majorHAnsi"/>
          <w:spacing w:val="-13"/>
          <w:sz w:val="20"/>
          <w:szCs w:val="20"/>
        </w:rPr>
        <w:t xml:space="preserve"> </w:t>
      </w:r>
      <w:r w:rsidRPr="000977F7">
        <w:rPr>
          <w:rFonts w:asciiTheme="majorHAnsi" w:hAnsiTheme="majorHAnsi"/>
          <w:sz w:val="20"/>
          <w:szCs w:val="20"/>
        </w:rPr>
        <w:t>видів</w:t>
      </w:r>
      <w:r w:rsidRPr="000977F7">
        <w:rPr>
          <w:rFonts w:asciiTheme="majorHAnsi" w:hAnsiTheme="majorHAnsi"/>
          <w:spacing w:val="-11"/>
          <w:sz w:val="20"/>
          <w:szCs w:val="20"/>
        </w:rPr>
        <w:t xml:space="preserve"> </w:t>
      </w:r>
      <w:r w:rsidRPr="000977F7">
        <w:rPr>
          <w:rFonts w:asciiTheme="majorHAnsi" w:hAnsiTheme="majorHAnsi"/>
          <w:sz w:val="20"/>
          <w:szCs w:val="20"/>
        </w:rPr>
        <w:t>порі</w:t>
      </w:r>
      <w:r w:rsidRPr="000977F7">
        <w:rPr>
          <w:rFonts w:asciiTheme="majorHAnsi" w:hAnsiTheme="majorHAnsi"/>
          <w:spacing w:val="-2"/>
          <w:sz w:val="20"/>
          <w:szCs w:val="20"/>
        </w:rPr>
        <w:t xml:space="preserve">внянь під час аналізу зовнішньоторговельної </w:t>
      </w:r>
      <w:r w:rsidRPr="000977F7">
        <w:rPr>
          <w:rFonts w:asciiTheme="majorHAnsi" w:hAnsiTheme="majorHAnsi"/>
          <w:spacing w:val="-1"/>
          <w:sz w:val="20"/>
          <w:szCs w:val="20"/>
        </w:rPr>
        <w:t>діяльності</w:t>
      </w:r>
      <w:r w:rsidRPr="000977F7">
        <w:rPr>
          <w:rFonts w:asciiTheme="majorHAnsi" w:hAnsiTheme="majorHAnsi"/>
          <w:spacing w:val="-47"/>
          <w:sz w:val="20"/>
          <w:szCs w:val="20"/>
        </w:rPr>
        <w:t xml:space="preserve"> </w:t>
      </w:r>
    </w:p>
    <w:p w14:paraId="7867498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D7D287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РОЗРАХУНКОВИЙ МЕТОД ВИЗНАЧЕННЯ </w:t>
      </w:r>
    </w:p>
    <w:p w14:paraId="35867A3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w:t>
      </w:r>
      <w:r w:rsidRPr="000977F7">
        <w:rPr>
          <w:color w:val="auto"/>
          <w:spacing w:val="-47"/>
          <w:sz w:val="20"/>
          <w:szCs w:val="20"/>
        </w:rPr>
        <w:t xml:space="preserve"> </w:t>
      </w:r>
      <w:r w:rsidRPr="000977F7">
        <w:rPr>
          <w:color w:val="auto"/>
          <w:sz w:val="20"/>
          <w:szCs w:val="20"/>
        </w:rPr>
        <w:t>ДІЙНОСТІ</w:t>
      </w:r>
      <w:r w:rsidRPr="000977F7">
        <w:rPr>
          <w:color w:val="auto"/>
          <w:spacing w:val="-1"/>
          <w:sz w:val="20"/>
          <w:szCs w:val="20"/>
        </w:rPr>
        <w:t xml:space="preserve"> </w:t>
      </w:r>
      <w:r w:rsidRPr="000977F7">
        <w:rPr>
          <w:color w:val="auto"/>
          <w:sz w:val="20"/>
          <w:szCs w:val="20"/>
        </w:rPr>
        <w:t>–</w:t>
      </w:r>
    </w:p>
    <w:p w14:paraId="030B0B5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ANALITICAL</w:t>
      </w:r>
      <w:r w:rsidRPr="004D2D14">
        <w:rPr>
          <w:rFonts w:asciiTheme="majorHAnsi" w:hAnsiTheme="majorHAnsi"/>
          <w:spacing w:val="-6"/>
          <w:sz w:val="20"/>
          <w:szCs w:val="20"/>
          <w:lang w:val="uk-UA"/>
        </w:rPr>
        <w:t xml:space="preserve"> </w:t>
      </w:r>
      <w:r w:rsidRPr="000977F7">
        <w:rPr>
          <w:rFonts w:asciiTheme="majorHAnsi" w:hAnsiTheme="majorHAnsi"/>
          <w:sz w:val="20"/>
          <w:szCs w:val="20"/>
        </w:rPr>
        <w:t>DEPENDABILITY</w:t>
      </w:r>
      <w:r w:rsidRPr="004D2D14">
        <w:rPr>
          <w:rFonts w:asciiTheme="majorHAnsi" w:hAnsiTheme="majorHAnsi"/>
          <w:spacing w:val="-3"/>
          <w:sz w:val="20"/>
          <w:szCs w:val="20"/>
          <w:lang w:val="uk-UA"/>
        </w:rPr>
        <w:t xml:space="preserve"> </w:t>
      </w:r>
      <w:r w:rsidRPr="000977F7">
        <w:rPr>
          <w:rFonts w:asciiTheme="majorHAnsi" w:hAnsiTheme="majorHAnsi"/>
          <w:sz w:val="20"/>
          <w:szCs w:val="20"/>
        </w:rPr>
        <w:t>ASSESSMENT</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w:t>
      </w:r>
    </w:p>
    <w:p w14:paraId="59BEB20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Метод,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ґрунтується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розрахунку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показників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надійності</w:t>
      </w:r>
      <w:r w:rsidRPr="004D2D14">
        <w:rPr>
          <w:rFonts w:asciiTheme="majorHAnsi" w:hAnsiTheme="majorHAnsi"/>
          <w:spacing w:val="28"/>
          <w:sz w:val="20"/>
          <w:szCs w:val="20"/>
          <w:lang w:val="uk-UA"/>
        </w:rPr>
        <w:t xml:space="preserve"> </w:t>
      </w:r>
      <w:r w:rsidRPr="004D2D14">
        <w:rPr>
          <w:rFonts w:asciiTheme="majorHAnsi" w:hAnsiTheme="majorHAnsi"/>
          <w:sz w:val="20"/>
          <w:szCs w:val="20"/>
          <w:lang w:val="uk-UA"/>
        </w:rPr>
        <w:t>за</w:t>
      </w:r>
      <w:r w:rsidRPr="004D2D14">
        <w:rPr>
          <w:rFonts w:asciiTheme="majorHAnsi" w:hAnsiTheme="majorHAnsi"/>
          <w:spacing w:val="30"/>
          <w:sz w:val="20"/>
          <w:szCs w:val="20"/>
          <w:lang w:val="uk-UA"/>
        </w:rPr>
        <w:t xml:space="preserve"> </w:t>
      </w:r>
      <w:r w:rsidRPr="004D2D14">
        <w:rPr>
          <w:rFonts w:asciiTheme="majorHAnsi" w:hAnsiTheme="majorHAnsi"/>
          <w:sz w:val="20"/>
          <w:szCs w:val="20"/>
          <w:lang w:val="uk-UA"/>
        </w:rPr>
        <w:t>даними</w:t>
      </w:r>
      <w:r w:rsidRPr="004D2D14">
        <w:rPr>
          <w:rFonts w:asciiTheme="majorHAnsi" w:hAnsiTheme="majorHAnsi"/>
          <w:spacing w:val="28"/>
          <w:sz w:val="20"/>
          <w:szCs w:val="20"/>
          <w:lang w:val="uk-UA"/>
        </w:rPr>
        <w:t xml:space="preserve"> </w:t>
      </w:r>
      <w:r w:rsidRPr="004D2D14">
        <w:rPr>
          <w:rFonts w:asciiTheme="majorHAnsi" w:hAnsiTheme="majorHAnsi"/>
          <w:sz w:val="20"/>
          <w:szCs w:val="20"/>
          <w:lang w:val="uk-UA"/>
        </w:rPr>
        <w:t>довідників</w:t>
      </w:r>
      <w:r w:rsidRPr="004D2D14">
        <w:rPr>
          <w:rFonts w:asciiTheme="majorHAnsi" w:hAnsiTheme="majorHAnsi"/>
          <w:spacing w:val="28"/>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28"/>
          <w:sz w:val="20"/>
          <w:szCs w:val="20"/>
          <w:lang w:val="uk-UA"/>
        </w:rPr>
        <w:t xml:space="preserve"> </w:t>
      </w:r>
      <w:r w:rsidRPr="004D2D14">
        <w:rPr>
          <w:rFonts w:asciiTheme="majorHAnsi" w:hAnsiTheme="majorHAnsi"/>
          <w:sz w:val="20"/>
          <w:szCs w:val="20"/>
          <w:lang w:val="uk-UA"/>
        </w:rPr>
        <w:t>надійності</w:t>
      </w:r>
      <w:r w:rsidRPr="004D2D14">
        <w:rPr>
          <w:rFonts w:asciiTheme="majorHAnsi" w:hAnsiTheme="majorHAnsi"/>
          <w:spacing w:val="28"/>
          <w:sz w:val="20"/>
          <w:szCs w:val="20"/>
          <w:lang w:val="uk-UA"/>
        </w:rPr>
        <w:t xml:space="preserve"> </w:t>
      </w:r>
      <w:r w:rsidRPr="004D2D14">
        <w:rPr>
          <w:rFonts w:asciiTheme="majorHAnsi" w:hAnsiTheme="majorHAnsi"/>
          <w:sz w:val="20"/>
          <w:szCs w:val="20"/>
          <w:lang w:val="uk-UA"/>
        </w:rPr>
        <w:t>компонентів і комплектувальних елементів об’єкта, за даними про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надійність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об’єктів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аналогів,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даними</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про властивості матеріалів та іншої інформації, наявної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проведення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розрахунку</w:t>
      </w:r>
    </w:p>
    <w:p w14:paraId="03C114A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2860 - 94</w:t>
      </w:r>
    </w:p>
    <w:p w14:paraId="2141640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РОЗРАХУНКОВИЙ МЕТОД ВИЗНАЧЕННЯ ПОКАЗНИКІВ ЯКОСТІ</w:t>
      </w:r>
      <w:r w:rsidRPr="000977F7">
        <w:rPr>
          <w:color w:val="auto"/>
          <w:spacing w:val="-1"/>
          <w:sz w:val="20"/>
          <w:szCs w:val="20"/>
        </w:rPr>
        <w:t xml:space="preserve"> </w:t>
      </w:r>
      <w:r w:rsidRPr="000977F7">
        <w:rPr>
          <w:color w:val="auto"/>
          <w:sz w:val="20"/>
          <w:szCs w:val="20"/>
        </w:rPr>
        <w:t>ПРОДУКЦІЇ -</w:t>
      </w:r>
    </w:p>
    <w:p w14:paraId="64A6CD2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Метод визначення значень показників якості продукції, здійснюваний на підставі використання теоретичних і (або) емпіричних залежностей показників якості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її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параметрів</w:t>
      </w:r>
    </w:p>
    <w:p w14:paraId="6E188FD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РОЗРАХУНКОВИЙ</w:t>
      </w:r>
      <w:r w:rsidRPr="000977F7">
        <w:rPr>
          <w:color w:val="auto"/>
          <w:spacing w:val="-5"/>
          <w:sz w:val="20"/>
          <w:szCs w:val="20"/>
        </w:rPr>
        <w:t xml:space="preserve"> </w:t>
      </w:r>
      <w:r w:rsidRPr="000977F7">
        <w:rPr>
          <w:color w:val="auto"/>
          <w:sz w:val="20"/>
          <w:szCs w:val="20"/>
        </w:rPr>
        <w:t>ПОКАЗНИК</w:t>
      </w:r>
      <w:r w:rsidRPr="000977F7">
        <w:rPr>
          <w:color w:val="auto"/>
          <w:spacing w:val="-2"/>
          <w:sz w:val="20"/>
          <w:szCs w:val="20"/>
        </w:rPr>
        <w:t xml:space="preserve"> </w:t>
      </w:r>
      <w:r w:rsidRPr="000977F7">
        <w:rPr>
          <w:color w:val="auto"/>
          <w:sz w:val="20"/>
          <w:szCs w:val="20"/>
        </w:rPr>
        <w:t>–</w:t>
      </w:r>
    </w:p>
    <w:p w14:paraId="3F52A93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ANALITICAL</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DEPENDABILITY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MEASURE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613327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Показник</w:t>
      </w:r>
      <w:r w:rsidRPr="000977F7">
        <w:rPr>
          <w:rFonts w:asciiTheme="majorHAnsi" w:hAnsiTheme="majorHAnsi"/>
          <w:spacing w:val="1"/>
          <w:sz w:val="20"/>
          <w:szCs w:val="20"/>
        </w:rPr>
        <w:t xml:space="preserve"> </w:t>
      </w:r>
      <w:r w:rsidRPr="000977F7">
        <w:rPr>
          <w:rFonts w:asciiTheme="majorHAnsi" w:hAnsiTheme="majorHAnsi"/>
          <w:sz w:val="20"/>
          <w:szCs w:val="20"/>
        </w:rPr>
        <w:t>надійності,</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визначають</w:t>
      </w:r>
      <w:r w:rsidRPr="000977F7">
        <w:rPr>
          <w:rFonts w:asciiTheme="majorHAnsi" w:hAnsiTheme="majorHAnsi"/>
          <w:spacing w:val="1"/>
          <w:sz w:val="20"/>
          <w:szCs w:val="20"/>
        </w:rPr>
        <w:t xml:space="preserve"> </w:t>
      </w:r>
      <w:r w:rsidRPr="000977F7">
        <w:rPr>
          <w:rFonts w:asciiTheme="majorHAnsi" w:hAnsiTheme="majorHAnsi"/>
          <w:sz w:val="20"/>
          <w:szCs w:val="20"/>
        </w:rPr>
        <w:t>шляхом розрахунку</w:t>
      </w:r>
    </w:p>
    <w:p w14:paraId="0290AE9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386560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РОЗРАХУНКОВО – ЕКСПЕРИМЕНТАЛЬНИЙ</w:t>
      </w:r>
      <w:r w:rsidRPr="000977F7">
        <w:rPr>
          <w:rFonts w:asciiTheme="majorHAnsi" w:hAnsiTheme="majorHAnsi"/>
          <w:b/>
          <w:spacing w:val="1"/>
          <w:sz w:val="20"/>
          <w:szCs w:val="20"/>
        </w:rPr>
        <w:t xml:space="preserve"> </w:t>
      </w:r>
      <w:r w:rsidRPr="000977F7">
        <w:rPr>
          <w:rFonts w:asciiTheme="majorHAnsi" w:hAnsiTheme="majorHAnsi"/>
          <w:b/>
          <w:sz w:val="20"/>
          <w:szCs w:val="20"/>
        </w:rPr>
        <w:t>МЕТОД ВИЗНАЧЕННЯ НАДІЙНОСТІ</w:t>
      </w:r>
      <w:r w:rsidRPr="000977F7">
        <w:rPr>
          <w:rFonts w:asciiTheme="majorHAnsi" w:hAnsiTheme="majorHAnsi"/>
          <w:b/>
          <w:spacing w:val="1"/>
          <w:sz w:val="20"/>
          <w:szCs w:val="20"/>
        </w:rPr>
        <w:t xml:space="preserve"> -</w:t>
      </w:r>
      <w:r w:rsidRPr="000977F7">
        <w:rPr>
          <w:rFonts w:asciiTheme="majorHAnsi" w:hAnsiTheme="majorHAnsi"/>
          <w:sz w:val="20"/>
          <w:szCs w:val="20"/>
        </w:rPr>
        <w:t>ANALITICAL – EXPERIMENTAL DEPENDABILITY</w:t>
      </w:r>
      <w:r w:rsidRPr="000977F7">
        <w:rPr>
          <w:rFonts w:asciiTheme="majorHAnsi" w:hAnsiTheme="majorHAnsi"/>
          <w:spacing w:val="-47"/>
          <w:sz w:val="20"/>
          <w:szCs w:val="20"/>
        </w:rPr>
        <w:t xml:space="preserve"> </w:t>
      </w:r>
      <w:r w:rsidRPr="000977F7">
        <w:rPr>
          <w:rFonts w:asciiTheme="majorHAnsi" w:hAnsiTheme="majorHAnsi"/>
          <w:sz w:val="20"/>
          <w:szCs w:val="20"/>
        </w:rPr>
        <w:t>ASSESSMENT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539F4A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5"/>
          <w:sz w:val="20"/>
          <w:szCs w:val="20"/>
        </w:rPr>
        <w:t xml:space="preserve">Метод, коли показники надійності </w:t>
      </w:r>
      <w:r w:rsidRPr="000977F7">
        <w:rPr>
          <w:rFonts w:asciiTheme="majorHAnsi" w:hAnsiTheme="majorHAnsi"/>
          <w:spacing w:val="-4"/>
          <w:sz w:val="20"/>
          <w:szCs w:val="20"/>
        </w:rPr>
        <w:t>всіх чи деяких складових частин об’єкта визначають за результатами випробувань</w:t>
      </w:r>
      <w:r w:rsidRPr="000977F7">
        <w:rPr>
          <w:rFonts w:asciiTheme="majorHAnsi" w:hAnsiTheme="majorHAnsi"/>
          <w:spacing w:val="-9"/>
          <w:sz w:val="20"/>
          <w:szCs w:val="20"/>
        </w:rPr>
        <w:t xml:space="preserve"> </w:t>
      </w:r>
      <w:r w:rsidRPr="000977F7">
        <w:rPr>
          <w:rFonts w:asciiTheme="majorHAnsi" w:hAnsiTheme="majorHAnsi"/>
          <w:spacing w:val="-3"/>
          <w:sz w:val="20"/>
          <w:szCs w:val="20"/>
        </w:rPr>
        <w:t>і</w:t>
      </w:r>
      <w:r w:rsidRPr="000977F7">
        <w:rPr>
          <w:rFonts w:asciiTheme="majorHAnsi" w:hAnsiTheme="majorHAnsi"/>
          <w:spacing w:val="-9"/>
          <w:sz w:val="20"/>
          <w:szCs w:val="20"/>
        </w:rPr>
        <w:t xml:space="preserve"> </w:t>
      </w:r>
      <w:r w:rsidRPr="000977F7">
        <w:rPr>
          <w:rFonts w:asciiTheme="majorHAnsi" w:hAnsiTheme="majorHAnsi"/>
          <w:spacing w:val="-3"/>
          <w:sz w:val="20"/>
          <w:szCs w:val="20"/>
        </w:rPr>
        <w:t>(чи)</w:t>
      </w:r>
      <w:r w:rsidRPr="000977F7">
        <w:rPr>
          <w:rFonts w:asciiTheme="majorHAnsi" w:hAnsiTheme="majorHAnsi"/>
          <w:spacing w:val="-9"/>
          <w:sz w:val="20"/>
          <w:szCs w:val="20"/>
        </w:rPr>
        <w:t xml:space="preserve"> </w:t>
      </w:r>
      <w:r w:rsidRPr="000977F7">
        <w:rPr>
          <w:rFonts w:asciiTheme="majorHAnsi" w:hAnsiTheme="majorHAnsi"/>
          <w:spacing w:val="-3"/>
          <w:sz w:val="20"/>
          <w:szCs w:val="20"/>
        </w:rPr>
        <w:t>експлуатації,</w:t>
      </w:r>
      <w:r w:rsidRPr="000977F7">
        <w:rPr>
          <w:rFonts w:asciiTheme="majorHAnsi" w:hAnsiTheme="majorHAnsi"/>
          <w:spacing w:val="-8"/>
          <w:sz w:val="20"/>
          <w:szCs w:val="20"/>
        </w:rPr>
        <w:t xml:space="preserve"> </w:t>
      </w:r>
      <w:r w:rsidRPr="000977F7">
        <w:rPr>
          <w:rFonts w:asciiTheme="majorHAnsi" w:hAnsiTheme="majorHAnsi"/>
          <w:spacing w:val="-3"/>
          <w:sz w:val="20"/>
          <w:szCs w:val="20"/>
        </w:rPr>
        <w:t>а</w:t>
      </w:r>
      <w:r w:rsidRPr="000977F7">
        <w:rPr>
          <w:rFonts w:asciiTheme="majorHAnsi" w:hAnsiTheme="majorHAnsi"/>
          <w:spacing w:val="-9"/>
          <w:sz w:val="20"/>
          <w:szCs w:val="20"/>
        </w:rPr>
        <w:t xml:space="preserve"> </w:t>
      </w:r>
      <w:r w:rsidRPr="000977F7">
        <w:rPr>
          <w:rFonts w:asciiTheme="majorHAnsi" w:hAnsiTheme="majorHAnsi"/>
          <w:spacing w:val="-3"/>
          <w:sz w:val="20"/>
          <w:szCs w:val="20"/>
        </w:rPr>
        <w:lastRenderedPageBreak/>
        <w:t>показники</w:t>
      </w:r>
      <w:r w:rsidRPr="000977F7">
        <w:rPr>
          <w:rFonts w:asciiTheme="majorHAnsi" w:hAnsiTheme="majorHAnsi"/>
          <w:spacing w:val="-7"/>
          <w:sz w:val="20"/>
          <w:szCs w:val="20"/>
        </w:rPr>
        <w:t xml:space="preserve"> </w:t>
      </w:r>
      <w:r w:rsidRPr="000977F7">
        <w:rPr>
          <w:rFonts w:asciiTheme="majorHAnsi" w:hAnsiTheme="majorHAnsi"/>
          <w:spacing w:val="-3"/>
          <w:sz w:val="20"/>
          <w:szCs w:val="20"/>
        </w:rPr>
        <w:t>надійності</w:t>
      </w:r>
      <w:r w:rsidRPr="000977F7">
        <w:rPr>
          <w:rFonts w:asciiTheme="majorHAnsi" w:hAnsiTheme="majorHAnsi"/>
          <w:spacing w:val="-10"/>
          <w:sz w:val="20"/>
          <w:szCs w:val="20"/>
        </w:rPr>
        <w:t xml:space="preserve"> </w:t>
      </w:r>
      <w:r w:rsidRPr="000977F7">
        <w:rPr>
          <w:rFonts w:asciiTheme="majorHAnsi" w:hAnsiTheme="majorHAnsi"/>
          <w:spacing w:val="-3"/>
          <w:sz w:val="20"/>
          <w:szCs w:val="20"/>
        </w:rPr>
        <w:t>об’єкта</w:t>
      </w:r>
      <w:r w:rsidRPr="000977F7">
        <w:rPr>
          <w:rFonts w:asciiTheme="majorHAnsi" w:hAnsiTheme="majorHAnsi"/>
          <w:spacing w:val="-8"/>
          <w:sz w:val="20"/>
          <w:szCs w:val="20"/>
        </w:rPr>
        <w:t xml:space="preserve"> </w:t>
      </w:r>
      <w:r w:rsidRPr="000977F7">
        <w:rPr>
          <w:rFonts w:asciiTheme="majorHAnsi" w:hAnsiTheme="majorHAnsi"/>
          <w:spacing w:val="-3"/>
          <w:sz w:val="20"/>
          <w:szCs w:val="20"/>
        </w:rPr>
        <w:t>в</w:t>
      </w:r>
      <w:r w:rsidRPr="000977F7">
        <w:rPr>
          <w:rFonts w:asciiTheme="majorHAnsi" w:hAnsiTheme="majorHAnsi"/>
          <w:spacing w:val="-48"/>
          <w:sz w:val="20"/>
          <w:szCs w:val="20"/>
        </w:rPr>
        <w:t xml:space="preserve"> </w:t>
      </w:r>
      <w:r w:rsidRPr="000977F7">
        <w:rPr>
          <w:rFonts w:asciiTheme="majorHAnsi" w:hAnsiTheme="majorHAnsi"/>
          <w:spacing w:val="-6"/>
          <w:sz w:val="20"/>
          <w:szCs w:val="20"/>
        </w:rPr>
        <w:t>цілому</w:t>
      </w:r>
      <w:r w:rsidRPr="000977F7">
        <w:rPr>
          <w:rFonts w:asciiTheme="majorHAnsi" w:hAnsiTheme="majorHAnsi"/>
          <w:spacing w:val="-13"/>
          <w:sz w:val="20"/>
          <w:szCs w:val="20"/>
        </w:rPr>
        <w:t xml:space="preserve"> </w:t>
      </w:r>
      <w:r w:rsidRPr="000977F7">
        <w:rPr>
          <w:rFonts w:asciiTheme="majorHAnsi" w:hAnsiTheme="majorHAnsi"/>
          <w:spacing w:val="-6"/>
          <w:sz w:val="20"/>
          <w:szCs w:val="20"/>
        </w:rPr>
        <w:t>розраховують</w:t>
      </w:r>
      <w:r w:rsidRPr="000977F7">
        <w:rPr>
          <w:rFonts w:asciiTheme="majorHAnsi" w:hAnsiTheme="majorHAnsi"/>
          <w:spacing w:val="-14"/>
          <w:sz w:val="20"/>
          <w:szCs w:val="20"/>
        </w:rPr>
        <w:t xml:space="preserve"> </w:t>
      </w:r>
      <w:r w:rsidRPr="000977F7">
        <w:rPr>
          <w:rFonts w:asciiTheme="majorHAnsi" w:hAnsiTheme="majorHAnsi"/>
          <w:spacing w:val="-6"/>
          <w:sz w:val="20"/>
          <w:szCs w:val="20"/>
        </w:rPr>
        <w:t>за</w:t>
      </w:r>
      <w:r w:rsidRPr="000977F7">
        <w:rPr>
          <w:rFonts w:asciiTheme="majorHAnsi" w:hAnsiTheme="majorHAnsi"/>
          <w:spacing w:val="-12"/>
          <w:sz w:val="20"/>
          <w:szCs w:val="20"/>
        </w:rPr>
        <w:t xml:space="preserve"> </w:t>
      </w:r>
      <w:r w:rsidRPr="000977F7">
        <w:rPr>
          <w:rFonts w:asciiTheme="majorHAnsi" w:hAnsiTheme="majorHAnsi"/>
          <w:spacing w:val="-6"/>
          <w:sz w:val="20"/>
          <w:szCs w:val="20"/>
        </w:rPr>
        <w:t>математичною</w:t>
      </w:r>
      <w:r w:rsidRPr="000977F7">
        <w:rPr>
          <w:rFonts w:asciiTheme="majorHAnsi" w:hAnsiTheme="majorHAnsi"/>
          <w:spacing w:val="-12"/>
          <w:sz w:val="20"/>
          <w:szCs w:val="20"/>
        </w:rPr>
        <w:t xml:space="preserve"> </w:t>
      </w:r>
      <w:r w:rsidRPr="000977F7">
        <w:rPr>
          <w:rFonts w:asciiTheme="majorHAnsi" w:hAnsiTheme="majorHAnsi"/>
          <w:spacing w:val="-5"/>
          <w:sz w:val="20"/>
          <w:szCs w:val="20"/>
        </w:rPr>
        <w:t>моделлю</w:t>
      </w:r>
    </w:p>
    <w:p w14:paraId="210649E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94EC60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РОЗРАХУНКОВА</w:t>
      </w:r>
      <w:r w:rsidRPr="000977F7">
        <w:rPr>
          <w:color w:val="auto"/>
          <w:spacing w:val="-6"/>
          <w:sz w:val="20"/>
          <w:szCs w:val="20"/>
        </w:rPr>
        <w:t xml:space="preserve"> </w:t>
      </w:r>
      <w:r w:rsidRPr="000977F7">
        <w:rPr>
          <w:color w:val="auto"/>
          <w:sz w:val="20"/>
          <w:szCs w:val="20"/>
        </w:rPr>
        <w:t>СХЕМА–</w:t>
      </w:r>
    </w:p>
    <w:p w14:paraId="2E0F54C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DESIGN</w:t>
      </w:r>
      <w:r w:rsidRPr="000977F7">
        <w:rPr>
          <w:rFonts w:asciiTheme="majorHAnsi" w:hAnsiTheme="majorHAnsi"/>
          <w:spacing w:val="-3"/>
          <w:sz w:val="20"/>
          <w:szCs w:val="20"/>
        </w:rPr>
        <w:t xml:space="preserve"> </w:t>
      </w:r>
      <w:r w:rsidRPr="000977F7">
        <w:rPr>
          <w:rFonts w:asciiTheme="majorHAnsi" w:hAnsiTheme="majorHAnsi"/>
          <w:sz w:val="20"/>
          <w:szCs w:val="20"/>
        </w:rPr>
        <w:t>SCHEME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D3441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 розрахунку, представлений у такому вигляді,</w:t>
      </w:r>
      <w:r w:rsidRPr="000977F7">
        <w:rPr>
          <w:rFonts w:asciiTheme="majorHAnsi" w:hAnsiTheme="majorHAnsi"/>
          <w:spacing w:val="1"/>
          <w:sz w:val="20"/>
          <w:szCs w:val="20"/>
        </w:rPr>
        <w:t xml:space="preserve"> </w:t>
      </w:r>
      <w:r w:rsidRPr="000977F7">
        <w:rPr>
          <w:rFonts w:asciiTheme="majorHAnsi" w:hAnsiTheme="majorHAnsi"/>
          <w:sz w:val="20"/>
          <w:szCs w:val="20"/>
        </w:rPr>
        <w:t>коли збережено всі істотні особливості об’єкта відносно мети</w:t>
      </w:r>
      <w:r w:rsidRPr="000977F7">
        <w:rPr>
          <w:rFonts w:asciiTheme="majorHAnsi" w:hAnsiTheme="majorHAnsi"/>
          <w:spacing w:val="-1"/>
          <w:sz w:val="20"/>
          <w:szCs w:val="20"/>
        </w:rPr>
        <w:t xml:space="preserve"> </w:t>
      </w:r>
      <w:r w:rsidRPr="000977F7">
        <w:rPr>
          <w:rFonts w:asciiTheme="majorHAnsi" w:hAnsiTheme="majorHAnsi"/>
          <w:sz w:val="20"/>
          <w:szCs w:val="20"/>
        </w:rPr>
        <w:t>розрахунку</w:t>
      </w:r>
    </w:p>
    <w:p w14:paraId="78C23C0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2825 - 94</w:t>
      </w:r>
    </w:p>
    <w:p w14:paraId="4E85683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РОЗРАХУНКОВА</w:t>
      </w:r>
      <w:r w:rsidRPr="000977F7">
        <w:rPr>
          <w:color w:val="auto"/>
          <w:spacing w:val="-6"/>
          <w:sz w:val="20"/>
          <w:szCs w:val="20"/>
        </w:rPr>
        <w:t xml:space="preserve"> </w:t>
      </w:r>
      <w:r w:rsidRPr="000977F7">
        <w:rPr>
          <w:color w:val="auto"/>
          <w:sz w:val="20"/>
          <w:szCs w:val="20"/>
        </w:rPr>
        <w:t>СХЕМАТИЗАЦІЯ</w:t>
      </w:r>
      <w:r w:rsidRPr="000977F7">
        <w:rPr>
          <w:color w:val="auto"/>
          <w:spacing w:val="-5"/>
          <w:sz w:val="20"/>
          <w:szCs w:val="20"/>
        </w:rPr>
        <w:t xml:space="preserve"> </w:t>
      </w:r>
      <w:r w:rsidRPr="000977F7">
        <w:rPr>
          <w:color w:val="auto"/>
          <w:sz w:val="20"/>
          <w:szCs w:val="20"/>
        </w:rPr>
        <w:t>–</w:t>
      </w:r>
    </w:p>
    <w:p w14:paraId="6EFB6B6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DESIGN</w:t>
      </w:r>
      <w:r w:rsidRPr="000977F7">
        <w:rPr>
          <w:rFonts w:asciiTheme="majorHAnsi" w:hAnsiTheme="majorHAnsi"/>
          <w:spacing w:val="-2"/>
          <w:sz w:val="20"/>
          <w:szCs w:val="20"/>
        </w:rPr>
        <w:t xml:space="preserve"> </w:t>
      </w:r>
      <w:r w:rsidRPr="000977F7">
        <w:rPr>
          <w:rFonts w:asciiTheme="majorHAnsi" w:hAnsiTheme="majorHAnsi"/>
          <w:sz w:val="20"/>
          <w:szCs w:val="20"/>
        </w:rPr>
        <w:t>SCHEMING –</w:t>
      </w:r>
    </w:p>
    <w:p w14:paraId="3E5355E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Побудова</w:t>
      </w:r>
      <w:r w:rsidRPr="000977F7">
        <w:rPr>
          <w:rFonts w:asciiTheme="majorHAnsi" w:hAnsiTheme="majorHAnsi"/>
          <w:spacing w:val="-5"/>
          <w:sz w:val="20"/>
          <w:szCs w:val="20"/>
        </w:rPr>
        <w:t xml:space="preserve"> </w:t>
      </w:r>
      <w:r w:rsidRPr="000977F7">
        <w:rPr>
          <w:rFonts w:asciiTheme="majorHAnsi" w:hAnsiTheme="majorHAnsi"/>
          <w:sz w:val="20"/>
          <w:szCs w:val="20"/>
        </w:rPr>
        <w:t>розрахункової</w:t>
      </w:r>
      <w:r w:rsidRPr="000977F7">
        <w:rPr>
          <w:rFonts w:asciiTheme="majorHAnsi" w:hAnsiTheme="majorHAnsi"/>
          <w:spacing w:val="-4"/>
          <w:sz w:val="20"/>
          <w:szCs w:val="20"/>
        </w:rPr>
        <w:t xml:space="preserve"> </w:t>
      </w:r>
      <w:r w:rsidRPr="000977F7">
        <w:rPr>
          <w:rFonts w:asciiTheme="majorHAnsi" w:hAnsiTheme="majorHAnsi"/>
          <w:sz w:val="20"/>
          <w:szCs w:val="20"/>
        </w:rPr>
        <w:t>схеми</w:t>
      </w:r>
    </w:p>
    <w:p w14:paraId="1E1488A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2825 - 94</w:t>
      </w:r>
    </w:p>
    <w:p w14:paraId="14CBCF9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РОЗРАХУНКОВИЙ МЕТОД ВИЗНАЧЕННЯ ПОКАЗНИКІВ ЯКОСТІ ПРОГРАМНОГО ЗАСОБУ</w:t>
      </w:r>
      <w:r w:rsidRPr="000977F7">
        <w:rPr>
          <w:color w:val="auto"/>
          <w:spacing w:val="1"/>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69E82B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визначення значень показників якості програмного засобу, який здійснюється на основі теоретичних і (або) емпіричних залежностей показників якості</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3"/>
          <w:sz w:val="20"/>
          <w:szCs w:val="20"/>
        </w:rPr>
        <w:t xml:space="preserve"> </w:t>
      </w:r>
      <w:r w:rsidRPr="000977F7">
        <w:rPr>
          <w:rFonts w:asciiTheme="majorHAnsi" w:hAnsiTheme="majorHAnsi"/>
          <w:sz w:val="20"/>
          <w:szCs w:val="20"/>
        </w:rPr>
        <w:t>параметрів</w:t>
      </w:r>
      <w:r w:rsidRPr="000977F7">
        <w:rPr>
          <w:rFonts w:asciiTheme="majorHAnsi" w:hAnsiTheme="majorHAnsi"/>
          <w:spacing w:val="1"/>
          <w:sz w:val="20"/>
          <w:szCs w:val="20"/>
        </w:rPr>
        <w:t xml:space="preserve"> </w:t>
      </w:r>
      <w:r w:rsidRPr="000977F7">
        <w:rPr>
          <w:rFonts w:asciiTheme="majorHAnsi" w:hAnsiTheme="majorHAnsi"/>
          <w:sz w:val="20"/>
          <w:szCs w:val="20"/>
        </w:rPr>
        <w:t>програмного засобу</w:t>
      </w:r>
      <w:r w:rsidRPr="000977F7">
        <w:rPr>
          <w:rFonts w:asciiTheme="majorHAnsi" w:hAnsiTheme="majorHAnsi"/>
          <w:spacing w:val="-5"/>
          <w:sz w:val="20"/>
          <w:szCs w:val="20"/>
        </w:rPr>
        <w:t xml:space="preserve"> </w:t>
      </w:r>
      <w:r w:rsidRPr="000977F7">
        <w:rPr>
          <w:rFonts w:asciiTheme="majorHAnsi" w:hAnsiTheme="majorHAnsi"/>
          <w:sz w:val="20"/>
          <w:szCs w:val="20"/>
        </w:rPr>
        <w:t>(продукції)</w:t>
      </w:r>
    </w:p>
    <w:p w14:paraId="0AE23DD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2844 - 94</w:t>
      </w:r>
    </w:p>
    <w:p w14:paraId="246A13B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РОЗРАХУНОК</w:t>
      </w:r>
      <w:r w:rsidRPr="000977F7">
        <w:rPr>
          <w:color w:val="auto"/>
          <w:spacing w:val="-3"/>
          <w:sz w:val="20"/>
          <w:szCs w:val="20"/>
        </w:rPr>
        <w:t xml:space="preserve"> </w:t>
      </w:r>
      <w:r w:rsidRPr="000977F7">
        <w:rPr>
          <w:color w:val="auto"/>
          <w:sz w:val="20"/>
          <w:szCs w:val="20"/>
        </w:rPr>
        <w:t>–</w:t>
      </w:r>
    </w:p>
    <w:p w14:paraId="1483A5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Текстовий конструкторський документ, який містить</w:t>
      </w:r>
      <w:r w:rsidRPr="000977F7">
        <w:rPr>
          <w:rFonts w:asciiTheme="majorHAnsi" w:hAnsiTheme="majorHAnsi"/>
          <w:spacing w:val="1"/>
          <w:sz w:val="20"/>
          <w:szCs w:val="20"/>
        </w:rPr>
        <w:t xml:space="preserve"> </w:t>
      </w:r>
      <w:r w:rsidRPr="000977F7">
        <w:rPr>
          <w:rFonts w:asciiTheme="majorHAnsi" w:hAnsiTheme="majorHAnsi"/>
          <w:sz w:val="20"/>
          <w:szCs w:val="20"/>
        </w:rPr>
        <w:t>розрахунки</w:t>
      </w:r>
      <w:r w:rsidRPr="000977F7">
        <w:rPr>
          <w:rFonts w:asciiTheme="majorHAnsi" w:hAnsiTheme="majorHAnsi"/>
          <w:spacing w:val="-2"/>
          <w:sz w:val="20"/>
          <w:szCs w:val="20"/>
        </w:rPr>
        <w:t xml:space="preserve"> </w:t>
      </w:r>
      <w:r w:rsidRPr="000977F7">
        <w:rPr>
          <w:rFonts w:asciiTheme="majorHAnsi" w:hAnsiTheme="majorHAnsi"/>
          <w:sz w:val="20"/>
          <w:szCs w:val="20"/>
        </w:rPr>
        <w:t>параметрів</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величин</w:t>
      </w:r>
    </w:p>
    <w:p w14:paraId="1962C5AC"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3321 – 2003</w:t>
      </w:r>
    </w:p>
    <w:p w14:paraId="7D46136C"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РОЗРОБКА –</w:t>
      </w:r>
    </w:p>
    <w:p w14:paraId="0464226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DEVELOPMENT</w:t>
      </w:r>
      <w:r w:rsidRPr="000977F7">
        <w:rPr>
          <w:rFonts w:asciiTheme="majorHAnsi" w:hAnsiTheme="majorHAnsi"/>
          <w:spacing w:val="-10"/>
          <w:sz w:val="20"/>
          <w:szCs w:val="20"/>
        </w:rPr>
        <w:t xml:space="preserve"> </w:t>
      </w:r>
      <w:r w:rsidRPr="000977F7">
        <w:rPr>
          <w:rFonts w:asciiTheme="majorHAnsi" w:hAnsiTheme="majorHAnsi"/>
          <w:sz w:val="20"/>
          <w:szCs w:val="20"/>
        </w:rPr>
        <w:t>–</w:t>
      </w:r>
    </w:p>
    <w:p w14:paraId="108983B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w:t>
      </w:r>
      <w:r w:rsidRPr="000977F7">
        <w:rPr>
          <w:rFonts w:asciiTheme="majorHAnsi" w:hAnsiTheme="majorHAnsi"/>
          <w:spacing w:val="41"/>
          <w:sz w:val="20"/>
          <w:szCs w:val="20"/>
        </w:rPr>
        <w:t xml:space="preserve"> </w:t>
      </w:r>
      <w:r w:rsidRPr="000977F7">
        <w:rPr>
          <w:rFonts w:asciiTheme="majorHAnsi" w:hAnsiTheme="majorHAnsi"/>
          <w:sz w:val="20"/>
          <w:szCs w:val="20"/>
        </w:rPr>
        <w:t>який</w:t>
      </w:r>
      <w:r w:rsidRPr="000977F7">
        <w:rPr>
          <w:rFonts w:asciiTheme="majorHAnsi" w:hAnsiTheme="majorHAnsi"/>
          <w:spacing w:val="43"/>
          <w:sz w:val="20"/>
          <w:szCs w:val="20"/>
        </w:rPr>
        <w:t xml:space="preserve"> </w:t>
      </w:r>
      <w:r w:rsidRPr="000977F7">
        <w:rPr>
          <w:rFonts w:asciiTheme="majorHAnsi" w:hAnsiTheme="majorHAnsi"/>
          <w:sz w:val="20"/>
          <w:szCs w:val="20"/>
        </w:rPr>
        <w:t>визначає</w:t>
      </w:r>
      <w:r w:rsidRPr="000977F7">
        <w:rPr>
          <w:rFonts w:asciiTheme="majorHAnsi" w:hAnsiTheme="majorHAnsi"/>
          <w:spacing w:val="43"/>
          <w:sz w:val="20"/>
          <w:szCs w:val="20"/>
        </w:rPr>
        <w:t xml:space="preserve"> </w:t>
      </w:r>
      <w:r w:rsidRPr="000977F7">
        <w:rPr>
          <w:rFonts w:asciiTheme="majorHAnsi" w:hAnsiTheme="majorHAnsi"/>
          <w:sz w:val="20"/>
          <w:szCs w:val="20"/>
        </w:rPr>
        <w:t>процес</w:t>
      </w:r>
      <w:r w:rsidRPr="000977F7">
        <w:rPr>
          <w:rFonts w:asciiTheme="majorHAnsi" w:hAnsiTheme="majorHAnsi"/>
          <w:spacing w:val="42"/>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45"/>
          <w:sz w:val="20"/>
          <w:szCs w:val="20"/>
        </w:rPr>
        <w:t xml:space="preserve"> </w:t>
      </w:r>
      <w:r w:rsidRPr="000977F7">
        <w:rPr>
          <w:rFonts w:asciiTheme="majorHAnsi" w:hAnsiTheme="majorHAnsi"/>
          <w:sz w:val="20"/>
          <w:szCs w:val="20"/>
        </w:rPr>
        <w:t>продукції</w:t>
      </w:r>
    </w:p>
    <w:p w14:paraId="068FE93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9F1B61F"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z w:val="20"/>
          <w:szCs w:val="20"/>
        </w:rPr>
        <w:t>Вхід</w:t>
      </w:r>
      <w:r w:rsidRPr="000977F7">
        <w:rPr>
          <w:rFonts w:asciiTheme="majorHAnsi" w:hAnsiTheme="majorHAnsi"/>
          <w:spacing w:val="6"/>
          <w:sz w:val="20"/>
          <w:szCs w:val="20"/>
        </w:rPr>
        <w:t xml:space="preserve"> </w:t>
      </w:r>
      <w:r w:rsidRPr="000977F7">
        <w:rPr>
          <w:rFonts w:asciiTheme="majorHAnsi" w:hAnsiTheme="majorHAnsi"/>
          <w:sz w:val="20"/>
          <w:szCs w:val="20"/>
        </w:rPr>
        <w:t>розробки</w:t>
      </w:r>
      <w:r w:rsidRPr="000977F7">
        <w:rPr>
          <w:rFonts w:asciiTheme="majorHAnsi" w:hAnsiTheme="majorHAnsi"/>
          <w:spacing w:val="6"/>
          <w:sz w:val="20"/>
          <w:szCs w:val="20"/>
        </w:rPr>
        <w:t xml:space="preserve"> </w:t>
      </w:r>
      <w:r w:rsidRPr="000977F7">
        <w:rPr>
          <w:rFonts w:asciiTheme="majorHAnsi" w:hAnsiTheme="majorHAnsi"/>
          <w:sz w:val="20"/>
          <w:szCs w:val="20"/>
        </w:rPr>
        <w:t>може</w:t>
      </w:r>
      <w:r w:rsidRPr="000977F7">
        <w:rPr>
          <w:rFonts w:asciiTheme="majorHAnsi" w:hAnsiTheme="majorHAnsi"/>
          <w:spacing w:val="7"/>
          <w:sz w:val="20"/>
          <w:szCs w:val="20"/>
        </w:rPr>
        <w:t xml:space="preserve"> </w:t>
      </w:r>
      <w:r w:rsidRPr="000977F7">
        <w:rPr>
          <w:rFonts w:asciiTheme="majorHAnsi" w:hAnsiTheme="majorHAnsi"/>
          <w:sz w:val="20"/>
          <w:szCs w:val="20"/>
        </w:rPr>
        <w:t>включати</w:t>
      </w:r>
      <w:r w:rsidRPr="000977F7">
        <w:rPr>
          <w:rFonts w:asciiTheme="majorHAnsi" w:hAnsiTheme="majorHAnsi"/>
          <w:spacing w:val="6"/>
          <w:sz w:val="20"/>
          <w:szCs w:val="20"/>
        </w:rPr>
        <w:t xml:space="preserve"> </w:t>
      </w:r>
      <w:r w:rsidRPr="000977F7">
        <w:rPr>
          <w:rFonts w:asciiTheme="majorHAnsi" w:hAnsiTheme="majorHAnsi"/>
          <w:sz w:val="20"/>
          <w:szCs w:val="20"/>
        </w:rPr>
        <w:t>вихід</w:t>
      </w:r>
      <w:r w:rsidRPr="000977F7">
        <w:rPr>
          <w:rFonts w:asciiTheme="majorHAnsi" w:hAnsiTheme="majorHAnsi"/>
          <w:spacing w:val="6"/>
          <w:sz w:val="20"/>
          <w:szCs w:val="20"/>
        </w:rPr>
        <w:t xml:space="preserve"> </w:t>
      </w:r>
      <w:r w:rsidRPr="000977F7">
        <w:rPr>
          <w:rFonts w:asciiTheme="majorHAnsi" w:hAnsiTheme="majorHAnsi"/>
          <w:sz w:val="20"/>
          <w:szCs w:val="20"/>
        </w:rPr>
        <w:t>проектування,</w:t>
      </w:r>
      <w:r w:rsidRPr="000977F7">
        <w:rPr>
          <w:rFonts w:asciiTheme="majorHAnsi" w:hAnsiTheme="majorHAnsi"/>
          <w:spacing w:val="-47"/>
          <w:sz w:val="20"/>
          <w:szCs w:val="20"/>
        </w:rPr>
        <w:t xml:space="preserve"> </w:t>
      </w:r>
      <w:r w:rsidRPr="000977F7">
        <w:rPr>
          <w:rFonts w:asciiTheme="majorHAnsi" w:hAnsiTheme="majorHAnsi"/>
          <w:sz w:val="20"/>
          <w:szCs w:val="20"/>
        </w:rPr>
        <w:t>умови виробництва, умови логістики та інші входи</w:t>
      </w:r>
      <w:r w:rsidRPr="000977F7">
        <w:rPr>
          <w:rFonts w:asciiTheme="majorHAnsi" w:hAnsiTheme="majorHAnsi"/>
          <w:spacing w:val="1"/>
          <w:sz w:val="20"/>
          <w:szCs w:val="20"/>
        </w:rPr>
        <w:t xml:space="preserve"> </w:t>
      </w:r>
      <w:r w:rsidRPr="000977F7">
        <w:rPr>
          <w:rFonts w:asciiTheme="majorHAnsi" w:hAnsiTheme="majorHAnsi"/>
          <w:b/>
          <w:sz w:val="20"/>
          <w:szCs w:val="20"/>
        </w:rPr>
        <w:t>РОЗРОБКА</w:t>
      </w:r>
      <w:r w:rsidRPr="000977F7">
        <w:rPr>
          <w:rFonts w:asciiTheme="majorHAnsi" w:hAnsiTheme="majorHAnsi"/>
          <w:b/>
          <w:spacing w:val="-1"/>
          <w:sz w:val="20"/>
          <w:szCs w:val="20"/>
        </w:rPr>
        <w:t xml:space="preserve"> </w:t>
      </w:r>
      <w:r w:rsidRPr="000977F7">
        <w:rPr>
          <w:rFonts w:asciiTheme="majorHAnsi" w:hAnsiTheme="majorHAnsi"/>
          <w:b/>
          <w:sz w:val="20"/>
          <w:szCs w:val="20"/>
        </w:rPr>
        <w:t>АВАНПРОЕКТУ</w:t>
      </w:r>
      <w:r w:rsidRPr="000977F7">
        <w:rPr>
          <w:rFonts w:asciiTheme="majorHAnsi" w:hAnsiTheme="majorHAnsi"/>
          <w:b/>
          <w:spacing w:val="3"/>
          <w:sz w:val="20"/>
          <w:szCs w:val="20"/>
        </w:rPr>
        <w:t xml:space="preserve"> </w:t>
      </w:r>
      <w:r w:rsidRPr="000977F7">
        <w:rPr>
          <w:rFonts w:asciiTheme="majorHAnsi" w:hAnsiTheme="majorHAnsi"/>
          <w:b/>
          <w:sz w:val="20"/>
          <w:szCs w:val="20"/>
        </w:rPr>
        <w:t>–</w:t>
      </w:r>
    </w:p>
    <w:p w14:paraId="28E49B6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Вид робіт, який передує розробці продукції, виконується майбутнім її розробником за завданням замовника</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основного</w:t>
      </w:r>
      <w:r w:rsidRPr="000977F7">
        <w:rPr>
          <w:rFonts w:asciiTheme="majorHAnsi" w:hAnsiTheme="majorHAnsi"/>
          <w:spacing w:val="1"/>
          <w:sz w:val="20"/>
          <w:szCs w:val="20"/>
        </w:rPr>
        <w:t xml:space="preserve"> </w:t>
      </w:r>
      <w:r w:rsidRPr="000977F7">
        <w:rPr>
          <w:rFonts w:asciiTheme="majorHAnsi" w:hAnsiTheme="majorHAnsi"/>
          <w:sz w:val="20"/>
          <w:szCs w:val="20"/>
        </w:rPr>
        <w:t>споживача</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метою</w:t>
      </w:r>
      <w:r w:rsidRPr="000977F7">
        <w:rPr>
          <w:rFonts w:asciiTheme="majorHAnsi" w:hAnsiTheme="majorHAnsi"/>
          <w:spacing w:val="1"/>
          <w:sz w:val="20"/>
          <w:szCs w:val="20"/>
        </w:rPr>
        <w:t xml:space="preserve"> </w:t>
      </w:r>
      <w:r w:rsidRPr="000977F7">
        <w:rPr>
          <w:rFonts w:asciiTheme="majorHAnsi" w:hAnsiTheme="majorHAnsi"/>
          <w:sz w:val="20"/>
          <w:szCs w:val="20"/>
        </w:rPr>
        <w:t>техніко-економічного</w:t>
      </w:r>
      <w:r w:rsidRPr="000977F7">
        <w:rPr>
          <w:rFonts w:asciiTheme="majorHAnsi" w:hAnsiTheme="majorHAnsi"/>
          <w:spacing w:val="1"/>
          <w:sz w:val="20"/>
          <w:szCs w:val="20"/>
        </w:rPr>
        <w:t xml:space="preserve"> </w:t>
      </w:r>
      <w:r w:rsidRPr="000977F7">
        <w:rPr>
          <w:rFonts w:asciiTheme="majorHAnsi" w:hAnsiTheme="majorHAnsi"/>
          <w:sz w:val="20"/>
          <w:szCs w:val="20"/>
        </w:rPr>
        <w:t>обґрунтування</w:t>
      </w:r>
      <w:r w:rsidRPr="000977F7">
        <w:rPr>
          <w:rFonts w:asciiTheme="majorHAnsi" w:hAnsiTheme="majorHAnsi"/>
          <w:spacing w:val="1"/>
          <w:sz w:val="20"/>
          <w:szCs w:val="20"/>
        </w:rPr>
        <w:t xml:space="preserve"> </w:t>
      </w:r>
      <w:r w:rsidRPr="000977F7">
        <w:rPr>
          <w:rFonts w:asciiTheme="majorHAnsi" w:hAnsiTheme="majorHAnsi"/>
          <w:sz w:val="20"/>
          <w:szCs w:val="20"/>
        </w:rPr>
        <w:t>доцільності</w:t>
      </w:r>
      <w:r w:rsidRPr="000977F7">
        <w:rPr>
          <w:rFonts w:asciiTheme="majorHAnsi" w:hAnsiTheme="majorHAnsi"/>
          <w:spacing w:val="1"/>
          <w:sz w:val="20"/>
          <w:szCs w:val="20"/>
        </w:rPr>
        <w:t xml:space="preserve"> </w:t>
      </w:r>
      <w:r w:rsidRPr="000977F7">
        <w:rPr>
          <w:rFonts w:asciiTheme="majorHAnsi" w:hAnsiTheme="majorHAnsi"/>
          <w:sz w:val="20"/>
          <w:szCs w:val="20"/>
        </w:rPr>
        <w:t>розробки</w:t>
      </w:r>
      <w:r w:rsidRPr="000977F7">
        <w:rPr>
          <w:rFonts w:asciiTheme="majorHAnsi" w:hAnsiTheme="majorHAnsi"/>
          <w:spacing w:val="-47"/>
          <w:sz w:val="20"/>
          <w:szCs w:val="20"/>
        </w:rPr>
        <w:t xml:space="preserve"> </w:t>
      </w:r>
      <w:r w:rsidRPr="000977F7">
        <w:rPr>
          <w:rFonts w:asciiTheme="majorHAnsi" w:hAnsiTheme="majorHAnsi"/>
          <w:sz w:val="20"/>
          <w:szCs w:val="20"/>
        </w:rPr>
        <w:t>продукції та шляхів створення, виробництва та експлуатації</w:t>
      </w:r>
    </w:p>
    <w:p w14:paraId="6529A31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РОЗРОБЛЕННЯ</w:t>
      </w:r>
      <w:r w:rsidRPr="000977F7">
        <w:rPr>
          <w:color w:val="auto"/>
          <w:spacing w:val="-4"/>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096294C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Стадія життєвого циклу продукції, яка полягає у зміні</w:t>
      </w:r>
      <w:r w:rsidRPr="000977F7">
        <w:rPr>
          <w:rFonts w:asciiTheme="majorHAnsi" w:hAnsiTheme="majorHAnsi"/>
          <w:spacing w:val="1"/>
          <w:sz w:val="20"/>
          <w:szCs w:val="20"/>
        </w:rPr>
        <w:t xml:space="preserve"> </w:t>
      </w:r>
      <w:r w:rsidRPr="000977F7">
        <w:rPr>
          <w:rFonts w:asciiTheme="majorHAnsi" w:hAnsiTheme="majorHAnsi"/>
          <w:sz w:val="20"/>
          <w:szCs w:val="20"/>
        </w:rPr>
        <w:t>стану продукції – від формування вимог 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завдання щодо виконання дослідно-конструкторської</w:t>
      </w:r>
      <w:r w:rsidRPr="000977F7">
        <w:rPr>
          <w:rFonts w:asciiTheme="majorHAnsi" w:hAnsiTheme="majorHAnsi"/>
          <w:spacing w:val="1"/>
          <w:sz w:val="20"/>
          <w:szCs w:val="20"/>
        </w:rPr>
        <w:t xml:space="preserve"> </w:t>
      </w:r>
      <w:r w:rsidRPr="000977F7">
        <w:rPr>
          <w:rFonts w:asciiTheme="majorHAnsi" w:hAnsiTheme="majorHAnsi"/>
          <w:sz w:val="20"/>
          <w:szCs w:val="20"/>
        </w:rPr>
        <w:t>роботи (науково-дослідної роботи) на створення (модернізацію) продукції до втілення їх у нових (модифікованих)</w:t>
      </w:r>
      <w:r w:rsidRPr="000977F7">
        <w:rPr>
          <w:rFonts w:asciiTheme="majorHAnsi" w:hAnsiTheme="majorHAnsi"/>
          <w:spacing w:val="-1"/>
          <w:sz w:val="20"/>
          <w:szCs w:val="20"/>
        </w:rPr>
        <w:t xml:space="preserve"> </w:t>
      </w:r>
      <w:r w:rsidRPr="000977F7">
        <w:rPr>
          <w:rFonts w:asciiTheme="majorHAnsi" w:hAnsiTheme="majorHAnsi"/>
          <w:sz w:val="20"/>
          <w:szCs w:val="20"/>
        </w:rPr>
        <w:t>матеріалах</w:t>
      </w:r>
    </w:p>
    <w:p w14:paraId="25F368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5FAAD7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процесі виробництва продукції за ліцензією стадія</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2"/>
          <w:sz w:val="20"/>
          <w:szCs w:val="20"/>
        </w:rPr>
        <w:t xml:space="preserve"> </w:t>
      </w:r>
      <w:r w:rsidRPr="000977F7">
        <w:rPr>
          <w:rFonts w:asciiTheme="majorHAnsi" w:hAnsiTheme="majorHAnsi"/>
          <w:sz w:val="20"/>
          <w:szCs w:val="20"/>
        </w:rPr>
        <w:t>відсутня</w:t>
      </w:r>
    </w:p>
    <w:p w14:paraId="7CDC7B3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3278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1703C3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РОЗРОБНИК</w:t>
      </w:r>
      <w:r w:rsidRPr="000977F7">
        <w:rPr>
          <w:color w:val="auto"/>
          <w:spacing w:val="-4"/>
          <w:sz w:val="20"/>
          <w:szCs w:val="20"/>
        </w:rPr>
        <w:t xml:space="preserve"> </w:t>
      </w:r>
      <w:r w:rsidRPr="000977F7">
        <w:rPr>
          <w:color w:val="auto"/>
          <w:sz w:val="20"/>
          <w:szCs w:val="20"/>
        </w:rPr>
        <w:t>ПРОДУКЦІЇ –</w:t>
      </w:r>
    </w:p>
    <w:p w14:paraId="39C38D7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Фізична</w:t>
      </w:r>
      <w:r w:rsidRPr="000977F7">
        <w:rPr>
          <w:rFonts w:asciiTheme="majorHAnsi" w:hAnsiTheme="majorHAnsi"/>
          <w:spacing w:val="-12"/>
          <w:sz w:val="20"/>
          <w:szCs w:val="20"/>
        </w:rPr>
        <w:t xml:space="preserve"> </w:t>
      </w:r>
      <w:r w:rsidRPr="000977F7">
        <w:rPr>
          <w:rFonts w:asciiTheme="majorHAnsi" w:hAnsiTheme="majorHAnsi"/>
          <w:spacing w:val="-1"/>
          <w:sz w:val="20"/>
          <w:szCs w:val="20"/>
        </w:rPr>
        <w:t>або</w:t>
      </w:r>
      <w:r w:rsidRPr="000977F7">
        <w:rPr>
          <w:rFonts w:asciiTheme="majorHAnsi" w:hAnsiTheme="majorHAnsi"/>
          <w:spacing w:val="-11"/>
          <w:sz w:val="20"/>
          <w:szCs w:val="20"/>
        </w:rPr>
        <w:t xml:space="preserve"> </w:t>
      </w:r>
      <w:r w:rsidRPr="000977F7">
        <w:rPr>
          <w:rFonts w:asciiTheme="majorHAnsi" w:hAnsiTheme="majorHAnsi"/>
          <w:spacing w:val="-1"/>
          <w:sz w:val="20"/>
          <w:szCs w:val="20"/>
        </w:rPr>
        <w:t>юридична</w:t>
      </w:r>
      <w:r w:rsidRPr="000977F7">
        <w:rPr>
          <w:rFonts w:asciiTheme="majorHAnsi" w:hAnsiTheme="majorHAnsi"/>
          <w:spacing w:val="-12"/>
          <w:sz w:val="20"/>
          <w:szCs w:val="20"/>
        </w:rPr>
        <w:t xml:space="preserve"> </w:t>
      </w:r>
      <w:r w:rsidRPr="000977F7">
        <w:rPr>
          <w:rFonts w:asciiTheme="majorHAnsi" w:hAnsiTheme="majorHAnsi"/>
          <w:spacing w:val="-1"/>
          <w:sz w:val="20"/>
          <w:szCs w:val="20"/>
        </w:rPr>
        <w:t>особа,</w:t>
      </w:r>
      <w:r w:rsidRPr="000977F7">
        <w:rPr>
          <w:rFonts w:asciiTheme="majorHAnsi" w:hAnsiTheme="majorHAnsi"/>
          <w:spacing w:val="-11"/>
          <w:sz w:val="20"/>
          <w:szCs w:val="20"/>
        </w:rPr>
        <w:t xml:space="preserve"> </w:t>
      </w:r>
      <w:r w:rsidRPr="000977F7">
        <w:rPr>
          <w:rFonts w:asciiTheme="majorHAnsi" w:hAnsiTheme="majorHAnsi"/>
          <w:spacing w:val="-1"/>
          <w:sz w:val="20"/>
          <w:szCs w:val="20"/>
        </w:rPr>
        <w:t>яка</w:t>
      </w:r>
      <w:r w:rsidRPr="000977F7">
        <w:rPr>
          <w:rFonts w:asciiTheme="majorHAnsi" w:hAnsiTheme="majorHAnsi"/>
          <w:spacing w:val="-12"/>
          <w:sz w:val="20"/>
          <w:szCs w:val="20"/>
        </w:rPr>
        <w:t xml:space="preserve"> </w:t>
      </w:r>
      <w:r w:rsidRPr="000977F7">
        <w:rPr>
          <w:rFonts w:asciiTheme="majorHAnsi" w:hAnsiTheme="majorHAnsi"/>
          <w:spacing w:val="-1"/>
          <w:sz w:val="20"/>
          <w:szCs w:val="20"/>
        </w:rPr>
        <w:t>розробляє</w:t>
      </w:r>
      <w:r w:rsidRPr="000977F7">
        <w:rPr>
          <w:rFonts w:asciiTheme="majorHAnsi" w:hAnsiTheme="majorHAnsi"/>
          <w:spacing w:val="-11"/>
          <w:sz w:val="20"/>
          <w:szCs w:val="20"/>
        </w:rPr>
        <w:t xml:space="preserve"> </w:t>
      </w:r>
      <w:r w:rsidRPr="000977F7">
        <w:rPr>
          <w:rFonts w:asciiTheme="majorHAnsi" w:hAnsiTheme="majorHAnsi"/>
          <w:sz w:val="20"/>
          <w:szCs w:val="20"/>
        </w:rPr>
        <w:t>продукцію</w:t>
      </w:r>
    </w:p>
    <w:p w14:paraId="1E169C2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 – 95</w:t>
      </w:r>
    </w:p>
    <w:p w14:paraId="6471EF3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РОЗРЯД</w:t>
      </w:r>
      <w:r w:rsidRPr="000977F7">
        <w:rPr>
          <w:color w:val="auto"/>
          <w:spacing w:val="-4"/>
          <w:sz w:val="20"/>
          <w:szCs w:val="20"/>
        </w:rPr>
        <w:t xml:space="preserve"> </w:t>
      </w:r>
      <w:r w:rsidRPr="000977F7">
        <w:rPr>
          <w:color w:val="auto"/>
          <w:sz w:val="20"/>
          <w:szCs w:val="20"/>
        </w:rPr>
        <w:t>РОБОТИ –</w:t>
      </w:r>
    </w:p>
    <w:p w14:paraId="01F309C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Показник,</w:t>
      </w:r>
      <w:r w:rsidRPr="000977F7">
        <w:rPr>
          <w:rFonts w:asciiTheme="majorHAnsi" w:hAnsiTheme="majorHAnsi"/>
          <w:spacing w:val="-4"/>
          <w:sz w:val="20"/>
          <w:szCs w:val="20"/>
        </w:rPr>
        <w:t xml:space="preserve"> </w:t>
      </w:r>
      <w:r w:rsidRPr="000977F7">
        <w:rPr>
          <w:rFonts w:asciiTheme="majorHAnsi" w:hAnsiTheme="majorHAnsi"/>
          <w:sz w:val="20"/>
          <w:szCs w:val="20"/>
        </w:rPr>
        <w:t>який</w:t>
      </w:r>
      <w:r w:rsidRPr="000977F7">
        <w:rPr>
          <w:rFonts w:asciiTheme="majorHAnsi" w:hAnsiTheme="majorHAnsi"/>
          <w:spacing w:val="-5"/>
          <w:sz w:val="20"/>
          <w:szCs w:val="20"/>
        </w:rPr>
        <w:t xml:space="preserve"> </w:t>
      </w:r>
      <w:r w:rsidRPr="000977F7">
        <w:rPr>
          <w:rFonts w:asciiTheme="majorHAnsi" w:hAnsiTheme="majorHAnsi"/>
          <w:sz w:val="20"/>
          <w:szCs w:val="20"/>
        </w:rPr>
        <w:t>характеризує</w:t>
      </w:r>
      <w:r w:rsidRPr="000977F7">
        <w:rPr>
          <w:rFonts w:asciiTheme="majorHAnsi" w:hAnsiTheme="majorHAnsi"/>
          <w:spacing w:val="-4"/>
          <w:sz w:val="20"/>
          <w:szCs w:val="20"/>
        </w:rPr>
        <w:t xml:space="preserve"> </w:t>
      </w:r>
      <w:r w:rsidRPr="000977F7">
        <w:rPr>
          <w:rFonts w:asciiTheme="majorHAnsi" w:hAnsiTheme="majorHAnsi"/>
          <w:sz w:val="20"/>
          <w:szCs w:val="20"/>
        </w:rPr>
        <w:t>кваліфікацію</w:t>
      </w:r>
      <w:r w:rsidRPr="000977F7">
        <w:rPr>
          <w:rFonts w:asciiTheme="majorHAnsi" w:hAnsiTheme="majorHAnsi"/>
          <w:spacing w:val="-4"/>
          <w:sz w:val="20"/>
          <w:szCs w:val="20"/>
        </w:rPr>
        <w:t xml:space="preserve"> </w:t>
      </w:r>
      <w:r w:rsidRPr="000977F7">
        <w:rPr>
          <w:rFonts w:asciiTheme="majorHAnsi" w:hAnsiTheme="majorHAnsi"/>
          <w:sz w:val="20"/>
          <w:szCs w:val="20"/>
        </w:rPr>
        <w:t>праці</w:t>
      </w:r>
    </w:p>
    <w:p w14:paraId="63CA768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6932CA9A" w14:textId="77777777" w:rsidR="0097612F" w:rsidRPr="000977F7" w:rsidRDefault="0097612F" w:rsidP="000977F7">
      <w:pPr>
        <w:pStyle w:val="7"/>
        <w:tabs>
          <w:tab w:val="left" w:pos="284"/>
        </w:tabs>
        <w:spacing w:before="0" w:line="240" w:lineRule="auto"/>
        <w:ind w:left="170"/>
        <w:mirrorIndents/>
        <w:jc w:val="both"/>
        <w:rPr>
          <w:b w:val="0"/>
          <w:i/>
          <w:color w:val="auto"/>
          <w:sz w:val="20"/>
          <w:szCs w:val="20"/>
        </w:rPr>
      </w:pPr>
      <w:r w:rsidRPr="000977F7">
        <w:rPr>
          <w:color w:val="auto"/>
          <w:sz w:val="20"/>
          <w:szCs w:val="20"/>
        </w:rPr>
        <w:t>РОЗРЯДНО-ОПТИЧНИЙ</w:t>
      </w:r>
      <w:r w:rsidRPr="000977F7">
        <w:rPr>
          <w:color w:val="auto"/>
          <w:spacing w:val="-8"/>
          <w:sz w:val="20"/>
          <w:szCs w:val="20"/>
        </w:rPr>
        <w:t xml:space="preserve"> </w:t>
      </w:r>
      <w:r w:rsidRPr="000977F7">
        <w:rPr>
          <w:color w:val="auto"/>
          <w:sz w:val="20"/>
          <w:szCs w:val="20"/>
        </w:rPr>
        <w:t>ПЕРЕТВОРЮВАЧ</w:t>
      </w:r>
      <w:r w:rsidRPr="000977F7">
        <w:rPr>
          <w:color w:val="auto"/>
          <w:spacing w:val="-2"/>
          <w:sz w:val="20"/>
          <w:szCs w:val="20"/>
        </w:rPr>
        <w:t xml:space="preserve"> </w:t>
      </w:r>
      <w:r w:rsidRPr="000977F7">
        <w:rPr>
          <w:b w:val="0"/>
          <w:i/>
          <w:color w:val="auto"/>
          <w:sz w:val="20"/>
          <w:szCs w:val="20"/>
        </w:rPr>
        <w:t>–</w:t>
      </w:r>
    </w:p>
    <w:p w14:paraId="5C935C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Пристрій, який здійснює візуалізацію електропотенційного рельєфу</w:t>
      </w:r>
      <w:r w:rsidRPr="000977F7">
        <w:rPr>
          <w:rFonts w:asciiTheme="majorHAnsi" w:hAnsiTheme="majorHAnsi"/>
          <w:spacing w:val="-5"/>
          <w:sz w:val="20"/>
          <w:szCs w:val="20"/>
        </w:rPr>
        <w:t xml:space="preserve"> </w:t>
      </w:r>
      <w:r w:rsidRPr="000977F7">
        <w:rPr>
          <w:rFonts w:asciiTheme="majorHAnsi" w:hAnsiTheme="majorHAnsi"/>
          <w:sz w:val="20"/>
          <w:szCs w:val="20"/>
        </w:rPr>
        <w:t>поверхні</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p>
    <w:p w14:paraId="1C4E6DD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2866 - 94</w:t>
      </w:r>
    </w:p>
    <w:p w14:paraId="07D87E3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РОЗУМІННЯ</w:t>
      </w:r>
      <w:r w:rsidRPr="000977F7">
        <w:rPr>
          <w:color w:val="auto"/>
          <w:spacing w:val="13"/>
          <w:sz w:val="20"/>
          <w:szCs w:val="20"/>
        </w:rPr>
        <w:t xml:space="preserve"> </w:t>
      </w:r>
      <w:r w:rsidRPr="000977F7">
        <w:rPr>
          <w:color w:val="auto"/>
          <w:sz w:val="20"/>
          <w:szCs w:val="20"/>
        </w:rPr>
        <w:t>ОРГАНІЗАЦІЇ</w:t>
      </w:r>
      <w:r w:rsidRPr="000977F7">
        <w:rPr>
          <w:color w:val="auto"/>
          <w:spacing w:val="14"/>
          <w:sz w:val="20"/>
          <w:szCs w:val="20"/>
        </w:rPr>
        <w:t xml:space="preserve"> </w:t>
      </w:r>
      <w:r w:rsidRPr="000977F7">
        <w:rPr>
          <w:color w:val="auto"/>
          <w:sz w:val="20"/>
          <w:szCs w:val="20"/>
        </w:rPr>
        <w:t>ТА</w:t>
      </w:r>
      <w:r w:rsidRPr="000977F7">
        <w:rPr>
          <w:color w:val="auto"/>
          <w:spacing w:val="15"/>
          <w:sz w:val="20"/>
          <w:szCs w:val="20"/>
        </w:rPr>
        <w:t xml:space="preserve"> </w:t>
      </w:r>
      <w:r w:rsidRPr="000977F7">
        <w:rPr>
          <w:color w:val="auto"/>
          <w:sz w:val="20"/>
          <w:szCs w:val="20"/>
        </w:rPr>
        <w:t>ЇЇ</w:t>
      </w:r>
      <w:r w:rsidRPr="000977F7">
        <w:rPr>
          <w:color w:val="auto"/>
          <w:spacing w:val="14"/>
          <w:sz w:val="20"/>
          <w:szCs w:val="20"/>
        </w:rPr>
        <w:t xml:space="preserve"> </w:t>
      </w:r>
      <w:r w:rsidRPr="000977F7">
        <w:rPr>
          <w:color w:val="auto"/>
          <w:sz w:val="20"/>
          <w:szCs w:val="20"/>
        </w:rPr>
        <w:t>СЕРЕДОВИЩА</w:t>
      </w:r>
      <w:r w:rsidRPr="000977F7">
        <w:rPr>
          <w:color w:val="auto"/>
          <w:spacing w:val="-1"/>
          <w:sz w:val="20"/>
          <w:szCs w:val="20"/>
        </w:rPr>
        <w:t xml:space="preserve"> </w:t>
      </w:r>
      <w:r w:rsidRPr="000977F7">
        <w:rPr>
          <w:color w:val="auto"/>
          <w:sz w:val="20"/>
          <w:szCs w:val="20"/>
        </w:rPr>
        <w:t>–</w:t>
      </w:r>
    </w:p>
    <w:p w14:paraId="176EC4C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Організація повинна визначити зовнішні та внутрішні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чинники, які є відповідними для її призначеності та її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стратегічного напрямку та які впливають на її здатність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досягати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результату(-ів),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запланованого(-их)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її</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системою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управління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якістю.</w:t>
      </w:r>
    </w:p>
    <w:p w14:paraId="0F807E2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Організація повинна здійснювати моніторинг і аналізування інформації про ці зовнішні та внутрішні чинники.</w:t>
      </w:r>
    </w:p>
    <w:p w14:paraId="4F74994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 р и м і т к а 1: Чинники можуть охоплювати пози-тивні та негативні фактори чи умови для розглядання. </w:t>
      </w:r>
    </w:p>
    <w:p w14:paraId="4728FC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 р и м і т к а</w:t>
      </w:r>
      <w:r w:rsidRPr="000977F7">
        <w:rPr>
          <w:rFonts w:asciiTheme="majorHAnsi" w:hAnsiTheme="majorHAnsi"/>
          <w:spacing w:val="1"/>
          <w:sz w:val="20"/>
          <w:szCs w:val="20"/>
        </w:rPr>
        <w:t xml:space="preserve"> </w:t>
      </w:r>
      <w:r w:rsidRPr="000977F7">
        <w:rPr>
          <w:rFonts w:asciiTheme="majorHAnsi" w:hAnsiTheme="majorHAnsi"/>
          <w:sz w:val="20"/>
          <w:szCs w:val="20"/>
        </w:rPr>
        <w:t>2: Розуміння зовнішнього 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може бути полегшено розгляданням чинників, що їх</w:t>
      </w:r>
      <w:r w:rsidRPr="000977F7">
        <w:rPr>
          <w:rFonts w:asciiTheme="majorHAnsi" w:hAnsiTheme="majorHAnsi"/>
          <w:spacing w:val="1"/>
          <w:sz w:val="20"/>
          <w:szCs w:val="20"/>
        </w:rPr>
        <w:t xml:space="preserve"> </w:t>
      </w:r>
      <w:r w:rsidRPr="000977F7">
        <w:rPr>
          <w:rFonts w:asciiTheme="majorHAnsi" w:hAnsiTheme="majorHAnsi"/>
          <w:sz w:val="20"/>
          <w:szCs w:val="20"/>
        </w:rPr>
        <w:t>зумовлюють правове, технологічне, конкурентне, ринкове, культурне, соціальне та економічне 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міжнародного,</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національного,</w:t>
      </w:r>
      <w:r w:rsidRPr="000977F7">
        <w:rPr>
          <w:rFonts w:asciiTheme="majorHAnsi" w:hAnsiTheme="majorHAnsi"/>
          <w:spacing w:val="1"/>
          <w:sz w:val="20"/>
          <w:szCs w:val="20"/>
        </w:rPr>
        <w:t xml:space="preserve"> </w:t>
      </w:r>
      <w:r w:rsidRPr="000977F7">
        <w:rPr>
          <w:rFonts w:asciiTheme="majorHAnsi" w:hAnsiTheme="majorHAnsi"/>
          <w:sz w:val="20"/>
          <w:szCs w:val="20"/>
        </w:rPr>
        <w:t>регіонального</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місцевого масштабу.</w:t>
      </w:r>
    </w:p>
    <w:p w14:paraId="0A7DE7E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 р и м і т к а</w:t>
      </w:r>
      <w:r w:rsidRPr="000977F7">
        <w:rPr>
          <w:rFonts w:asciiTheme="majorHAnsi" w:hAnsiTheme="majorHAnsi"/>
          <w:spacing w:val="1"/>
          <w:sz w:val="20"/>
          <w:szCs w:val="20"/>
        </w:rPr>
        <w:t xml:space="preserve"> </w:t>
      </w:r>
      <w:r w:rsidRPr="000977F7">
        <w:rPr>
          <w:rFonts w:asciiTheme="majorHAnsi" w:hAnsiTheme="majorHAnsi"/>
          <w:sz w:val="20"/>
          <w:szCs w:val="20"/>
        </w:rPr>
        <w:t>3:</w:t>
      </w:r>
    </w:p>
    <w:p w14:paraId="1B363DA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Розуміння внутрішнього 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полегшено</w:t>
      </w:r>
      <w:r w:rsidRPr="000977F7">
        <w:rPr>
          <w:rFonts w:asciiTheme="majorHAnsi" w:hAnsiTheme="majorHAnsi"/>
          <w:spacing w:val="1"/>
          <w:sz w:val="20"/>
          <w:szCs w:val="20"/>
        </w:rPr>
        <w:t xml:space="preserve"> </w:t>
      </w:r>
      <w:r w:rsidRPr="000977F7">
        <w:rPr>
          <w:rFonts w:asciiTheme="majorHAnsi" w:hAnsiTheme="majorHAnsi"/>
          <w:sz w:val="20"/>
          <w:szCs w:val="20"/>
        </w:rPr>
        <w:t>розгляданням</w:t>
      </w:r>
      <w:r w:rsidRPr="000977F7">
        <w:rPr>
          <w:rFonts w:asciiTheme="majorHAnsi" w:hAnsiTheme="majorHAnsi"/>
          <w:spacing w:val="1"/>
          <w:sz w:val="20"/>
          <w:szCs w:val="20"/>
        </w:rPr>
        <w:t xml:space="preserve"> </w:t>
      </w:r>
      <w:r w:rsidRPr="000977F7">
        <w:rPr>
          <w:rFonts w:asciiTheme="majorHAnsi" w:hAnsiTheme="majorHAnsi"/>
          <w:sz w:val="20"/>
          <w:szCs w:val="20"/>
        </w:rPr>
        <w:t>чинників,</w:t>
      </w:r>
      <w:r w:rsidRPr="000977F7">
        <w:rPr>
          <w:rFonts w:asciiTheme="majorHAnsi" w:hAnsiTheme="majorHAnsi"/>
          <w:spacing w:val="1"/>
          <w:sz w:val="20"/>
          <w:szCs w:val="20"/>
        </w:rPr>
        <w:t xml:space="preserve"> </w:t>
      </w:r>
      <w:r w:rsidRPr="000977F7">
        <w:rPr>
          <w:rFonts w:asciiTheme="majorHAnsi" w:hAnsiTheme="majorHAnsi"/>
          <w:sz w:val="20"/>
          <w:szCs w:val="20"/>
        </w:rPr>
        <w:t>пов’язаних з цінностями, культурою, знанням і дієвістю</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p>
    <w:p w14:paraId="0AE89E2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1908915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РОЗУМІННЯ ПОТРЕБ І ОЧІКУВАНЬ </w:t>
      </w:r>
    </w:p>
    <w:p w14:paraId="78BBA50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ЗАЦІКАВЛЕНИХ</w:t>
      </w:r>
      <w:r w:rsidRPr="000977F7">
        <w:rPr>
          <w:color w:val="auto"/>
          <w:spacing w:val="-1"/>
          <w:sz w:val="20"/>
          <w:szCs w:val="20"/>
        </w:rPr>
        <w:t xml:space="preserve"> </w:t>
      </w:r>
      <w:r w:rsidRPr="000977F7">
        <w:rPr>
          <w:color w:val="auto"/>
          <w:sz w:val="20"/>
          <w:szCs w:val="20"/>
        </w:rPr>
        <w:t>СТОРІН</w:t>
      </w:r>
      <w:r w:rsidRPr="000977F7">
        <w:rPr>
          <w:color w:val="auto"/>
          <w:spacing w:val="2"/>
          <w:sz w:val="20"/>
          <w:szCs w:val="20"/>
        </w:rPr>
        <w:t xml:space="preserve"> </w:t>
      </w:r>
      <w:r w:rsidRPr="000977F7">
        <w:rPr>
          <w:color w:val="auto"/>
          <w:sz w:val="20"/>
          <w:szCs w:val="20"/>
        </w:rPr>
        <w:t>–</w:t>
      </w:r>
    </w:p>
    <w:p w14:paraId="51B68D6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У зв’язку з тим, що на здатність організації постійно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постачати продукцію та надавати послуги, які задовольняють вимоги замовника та застосовні законодавчі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й регламентувальні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вимоги, впливають або можуть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впливати зацікавлені сторони, організація повинна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визначити</w:t>
      </w:r>
    </w:p>
    <w:p w14:paraId="635C7B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зацікавлені сторони, які доцільні до системи управління</w:t>
      </w:r>
      <w:r w:rsidRPr="000977F7">
        <w:rPr>
          <w:rFonts w:asciiTheme="majorHAnsi" w:hAnsiTheme="majorHAnsi"/>
          <w:spacing w:val="-2"/>
          <w:sz w:val="20"/>
          <w:szCs w:val="20"/>
        </w:rPr>
        <w:t xml:space="preserve"> </w:t>
      </w:r>
      <w:r w:rsidRPr="000977F7">
        <w:rPr>
          <w:rFonts w:asciiTheme="majorHAnsi" w:hAnsiTheme="majorHAnsi"/>
          <w:sz w:val="20"/>
          <w:szCs w:val="20"/>
        </w:rPr>
        <w:t>якістю;</w:t>
      </w:r>
    </w:p>
    <w:p w14:paraId="6E0AC0B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 вимоги цих зацікавлених сторін, які доречні до системи 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якістю.</w:t>
      </w:r>
    </w:p>
    <w:p w14:paraId="2D90C863" w14:textId="77777777" w:rsidR="0097612F" w:rsidRPr="000977F7" w:rsidRDefault="0097612F" w:rsidP="000977F7">
      <w:pPr>
        <w:pStyle w:val="af6"/>
        <w:tabs>
          <w:tab w:val="left" w:pos="284"/>
        </w:tabs>
        <w:spacing w:after="0"/>
        <w:ind w:left="170" w:firstLine="100"/>
        <w:mirrorIndents/>
        <w:jc w:val="both"/>
        <w:rPr>
          <w:rFonts w:asciiTheme="majorHAnsi" w:hAnsiTheme="majorHAnsi"/>
          <w:sz w:val="20"/>
          <w:szCs w:val="20"/>
        </w:rPr>
      </w:pPr>
      <w:r w:rsidRPr="000977F7">
        <w:rPr>
          <w:rFonts w:asciiTheme="majorHAnsi" w:hAnsiTheme="majorHAnsi"/>
          <w:sz w:val="20"/>
          <w:szCs w:val="20"/>
        </w:rPr>
        <w:t>Організація повинна здійснювати моніторинг і аналізування інформації про ці зацікавлені сторони та їхні</w:t>
      </w:r>
      <w:r w:rsidRPr="000977F7">
        <w:rPr>
          <w:rFonts w:asciiTheme="majorHAnsi" w:hAnsiTheme="majorHAnsi"/>
          <w:spacing w:val="1"/>
          <w:sz w:val="20"/>
          <w:szCs w:val="20"/>
        </w:rPr>
        <w:t xml:space="preserve"> </w:t>
      </w:r>
      <w:r w:rsidRPr="000977F7">
        <w:rPr>
          <w:rFonts w:asciiTheme="majorHAnsi" w:hAnsiTheme="majorHAnsi"/>
          <w:sz w:val="20"/>
          <w:szCs w:val="20"/>
        </w:rPr>
        <w:t>відповідні</w:t>
      </w:r>
      <w:r w:rsidRPr="000977F7">
        <w:rPr>
          <w:rFonts w:asciiTheme="majorHAnsi" w:hAnsiTheme="majorHAnsi"/>
          <w:spacing w:val="-2"/>
          <w:sz w:val="20"/>
          <w:szCs w:val="20"/>
        </w:rPr>
        <w:t xml:space="preserve"> </w:t>
      </w:r>
      <w:r w:rsidRPr="000977F7">
        <w:rPr>
          <w:rFonts w:asciiTheme="majorHAnsi" w:hAnsiTheme="majorHAnsi"/>
          <w:sz w:val="20"/>
          <w:szCs w:val="20"/>
        </w:rPr>
        <w:t>вимоги.</w:t>
      </w:r>
    </w:p>
    <w:p w14:paraId="26643A9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6E283DF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РОЗУМОВА</w:t>
      </w:r>
      <w:r w:rsidRPr="000977F7">
        <w:rPr>
          <w:color w:val="auto"/>
          <w:spacing w:val="-3"/>
          <w:sz w:val="20"/>
          <w:szCs w:val="20"/>
        </w:rPr>
        <w:t xml:space="preserve"> </w:t>
      </w:r>
      <w:r w:rsidRPr="000977F7">
        <w:rPr>
          <w:color w:val="auto"/>
          <w:sz w:val="20"/>
          <w:szCs w:val="20"/>
        </w:rPr>
        <w:t>ПРАЦЯ</w:t>
      </w:r>
      <w:r w:rsidRPr="000977F7">
        <w:rPr>
          <w:color w:val="auto"/>
          <w:spacing w:val="-2"/>
          <w:sz w:val="20"/>
          <w:szCs w:val="20"/>
        </w:rPr>
        <w:t xml:space="preserve"> </w:t>
      </w:r>
      <w:r w:rsidRPr="000977F7">
        <w:rPr>
          <w:color w:val="auto"/>
          <w:sz w:val="20"/>
          <w:szCs w:val="20"/>
        </w:rPr>
        <w:t>–</w:t>
      </w:r>
    </w:p>
    <w:p w14:paraId="18DD424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Вид</w:t>
      </w:r>
      <w:r w:rsidRPr="000977F7">
        <w:rPr>
          <w:rFonts w:asciiTheme="majorHAnsi" w:hAnsiTheme="majorHAnsi"/>
          <w:spacing w:val="23"/>
          <w:sz w:val="20"/>
          <w:szCs w:val="20"/>
        </w:rPr>
        <w:t xml:space="preserve"> </w:t>
      </w:r>
      <w:r w:rsidRPr="000977F7">
        <w:rPr>
          <w:rFonts w:asciiTheme="majorHAnsi" w:hAnsiTheme="majorHAnsi"/>
          <w:sz w:val="20"/>
          <w:szCs w:val="20"/>
        </w:rPr>
        <w:t>трудової</w:t>
      </w:r>
      <w:r w:rsidRPr="000977F7">
        <w:rPr>
          <w:rFonts w:asciiTheme="majorHAnsi" w:hAnsiTheme="majorHAnsi"/>
          <w:spacing w:val="27"/>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24"/>
          <w:sz w:val="20"/>
          <w:szCs w:val="20"/>
        </w:rPr>
        <w:t xml:space="preserve"> </w:t>
      </w:r>
      <w:r w:rsidRPr="000977F7">
        <w:rPr>
          <w:rFonts w:asciiTheme="majorHAnsi" w:hAnsiTheme="majorHAnsi"/>
          <w:sz w:val="20"/>
          <w:szCs w:val="20"/>
        </w:rPr>
        <w:t>який</w:t>
      </w:r>
      <w:r w:rsidRPr="000977F7">
        <w:rPr>
          <w:rFonts w:asciiTheme="majorHAnsi" w:hAnsiTheme="majorHAnsi"/>
          <w:spacing w:val="26"/>
          <w:sz w:val="20"/>
          <w:szCs w:val="20"/>
        </w:rPr>
        <w:t xml:space="preserve"> </w:t>
      </w:r>
      <w:r w:rsidRPr="000977F7">
        <w:rPr>
          <w:rFonts w:asciiTheme="majorHAnsi" w:hAnsiTheme="majorHAnsi"/>
          <w:sz w:val="20"/>
          <w:szCs w:val="20"/>
        </w:rPr>
        <w:t>потребує</w:t>
      </w:r>
      <w:r w:rsidRPr="000977F7">
        <w:rPr>
          <w:rFonts w:asciiTheme="majorHAnsi" w:hAnsiTheme="majorHAnsi"/>
          <w:spacing w:val="27"/>
          <w:sz w:val="20"/>
          <w:szCs w:val="20"/>
        </w:rPr>
        <w:t xml:space="preserve"> </w:t>
      </w:r>
      <w:r w:rsidRPr="000977F7">
        <w:rPr>
          <w:rFonts w:asciiTheme="majorHAnsi" w:hAnsiTheme="majorHAnsi"/>
          <w:sz w:val="20"/>
          <w:szCs w:val="20"/>
        </w:rPr>
        <w:t>переважного</w:t>
      </w:r>
      <w:r w:rsidRPr="000977F7">
        <w:rPr>
          <w:rFonts w:asciiTheme="majorHAnsi" w:hAnsiTheme="majorHAnsi"/>
          <w:spacing w:val="-47"/>
          <w:sz w:val="20"/>
          <w:szCs w:val="20"/>
        </w:rPr>
        <w:t xml:space="preserve"> </w:t>
      </w:r>
      <w:r w:rsidRPr="000977F7">
        <w:rPr>
          <w:rFonts w:asciiTheme="majorHAnsi" w:hAnsiTheme="majorHAnsi"/>
          <w:sz w:val="20"/>
          <w:szCs w:val="20"/>
        </w:rPr>
        <w:t>напруження</w:t>
      </w:r>
      <w:r w:rsidRPr="000977F7">
        <w:rPr>
          <w:rFonts w:asciiTheme="majorHAnsi" w:hAnsiTheme="majorHAnsi"/>
          <w:spacing w:val="10"/>
          <w:sz w:val="20"/>
          <w:szCs w:val="20"/>
        </w:rPr>
        <w:t xml:space="preserve"> </w:t>
      </w:r>
      <w:r w:rsidRPr="000977F7">
        <w:rPr>
          <w:rFonts w:asciiTheme="majorHAnsi" w:hAnsiTheme="majorHAnsi"/>
          <w:sz w:val="20"/>
          <w:szCs w:val="20"/>
        </w:rPr>
        <w:t>сенсорного</w:t>
      </w:r>
      <w:r w:rsidRPr="000977F7">
        <w:rPr>
          <w:rFonts w:asciiTheme="majorHAnsi" w:hAnsiTheme="majorHAnsi"/>
          <w:spacing w:val="11"/>
          <w:sz w:val="20"/>
          <w:szCs w:val="20"/>
        </w:rPr>
        <w:t xml:space="preserve"> </w:t>
      </w:r>
      <w:r w:rsidRPr="000977F7">
        <w:rPr>
          <w:rFonts w:asciiTheme="majorHAnsi" w:hAnsiTheme="majorHAnsi"/>
          <w:sz w:val="20"/>
          <w:szCs w:val="20"/>
        </w:rPr>
        <w:t>апарату,</w:t>
      </w:r>
      <w:r w:rsidRPr="000977F7">
        <w:rPr>
          <w:rFonts w:asciiTheme="majorHAnsi" w:hAnsiTheme="majorHAnsi"/>
          <w:spacing w:val="11"/>
          <w:sz w:val="20"/>
          <w:szCs w:val="20"/>
        </w:rPr>
        <w:t xml:space="preserve"> </w:t>
      </w:r>
      <w:r w:rsidRPr="000977F7">
        <w:rPr>
          <w:rFonts w:asciiTheme="majorHAnsi" w:hAnsiTheme="majorHAnsi"/>
          <w:sz w:val="20"/>
          <w:szCs w:val="20"/>
        </w:rPr>
        <w:t>емоційної</w:t>
      </w:r>
      <w:r w:rsidRPr="000977F7">
        <w:rPr>
          <w:rFonts w:asciiTheme="majorHAnsi" w:hAnsiTheme="majorHAnsi"/>
          <w:spacing w:val="10"/>
          <w:sz w:val="20"/>
          <w:szCs w:val="20"/>
        </w:rPr>
        <w:t xml:space="preserve"> </w:t>
      </w:r>
      <w:r w:rsidRPr="000977F7">
        <w:rPr>
          <w:rFonts w:asciiTheme="majorHAnsi" w:hAnsiTheme="majorHAnsi"/>
          <w:sz w:val="20"/>
          <w:szCs w:val="20"/>
        </w:rPr>
        <w:t>та</w:t>
      </w:r>
      <w:r w:rsidRPr="000977F7">
        <w:rPr>
          <w:rFonts w:asciiTheme="majorHAnsi" w:hAnsiTheme="majorHAnsi"/>
          <w:spacing w:val="11"/>
          <w:sz w:val="20"/>
          <w:szCs w:val="20"/>
        </w:rPr>
        <w:t xml:space="preserve"> </w:t>
      </w:r>
      <w:r w:rsidRPr="000977F7">
        <w:rPr>
          <w:rFonts w:asciiTheme="majorHAnsi" w:hAnsiTheme="majorHAnsi"/>
          <w:sz w:val="20"/>
          <w:szCs w:val="20"/>
        </w:rPr>
        <w:t>психічної</w:t>
      </w:r>
      <w:r w:rsidRPr="000977F7">
        <w:rPr>
          <w:rFonts w:asciiTheme="majorHAnsi" w:hAnsiTheme="majorHAnsi"/>
          <w:spacing w:val="1"/>
          <w:sz w:val="20"/>
          <w:szCs w:val="20"/>
        </w:rPr>
        <w:t xml:space="preserve"> </w:t>
      </w:r>
      <w:r w:rsidRPr="000977F7">
        <w:rPr>
          <w:rFonts w:asciiTheme="majorHAnsi" w:hAnsiTheme="majorHAnsi"/>
          <w:sz w:val="20"/>
          <w:szCs w:val="20"/>
        </w:rPr>
        <w:t>сфери</w:t>
      </w:r>
      <w:r w:rsidRPr="000977F7">
        <w:rPr>
          <w:rFonts w:asciiTheme="majorHAnsi" w:hAnsiTheme="majorHAnsi"/>
          <w:spacing w:val="1"/>
          <w:sz w:val="20"/>
          <w:szCs w:val="20"/>
        </w:rPr>
        <w:t xml:space="preserve"> </w:t>
      </w:r>
      <w:r w:rsidRPr="000977F7">
        <w:rPr>
          <w:rFonts w:asciiTheme="majorHAnsi" w:hAnsiTheme="majorHAnsi"/>
          <w:sz w:val="20"/>
          <w:szCs w:val="20"/>
        </w:rPr>
        <w:t>людини</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потребує</w:t>
      </w:r>
      <w:r w:rsidRPr="000977F7">
        <w:rPr>
          <w:rFonts w:asciiTheme="majorHAnsi" w:hAnsiTheme="majorHAnsi"/>
          <w:spacing w:val="1"/>
          <w:sz w:val="20"/>
          <w:szCs w:val="20"/>
        </w:rPr>
        <w:t xml:space="preserve"> </w:t>
      </w:r>
      <w:r w:rsidRPr="000977F7">
        <w:rPr>
          <w:rFonts w:asciiTheme="majorHAnsi" w:hAnsiTheme="majorHAnsi"/>
          <w:sz w:val="20"/>
          <w:szCs w:val="20"/>
        </w:rPr>
        <w:t>значних</w:t>
      </w:r>
      <w:r w:rsidRPr="000977F7">
        <w:rPr>
          <w:rFonts w:asciiTheme="majorHAnsi" w:hAnsiTheme="majorHAnsi"/>
          <w:spacing w:val="1"/>
          <w:sz w:val="20"/>
          <w:szCs w:val="20"/>
        </w:rPr>
        <w:t xml:space="preserve"> </w:t>
      </w:r>
      <w:r w:rsidRPr="000977F7">
        <w:rPr>
          <w:rFonts w:asciiTheme="majorHAnsi" w:hAnsiTheme="majorHAnsi"/>
          <w:sz w:val="20"/>
          <w:szCs w:val="20"/>
        </w:rPr>
        <w:t xml:space="preserve">фізичних </w:t>
      </w:r>
      <w:r w:rsidRPr="000977F7">
        <w:rPr>
          <w:rFonts w:asciiTheme="majorHAnsi" w:hAnsiTheme="majorHAnsi"/>
          <w:spacing w:val="-47"/>
          <w:sz w:val="20"/>
          <w:szCs w:val="20"/>
        </w:rPr>
        <w:t xml:space="preserve"> </w:t>
      </w:r>
      <w:r w:rsidRPr="000977F7">
        <w:rPr>
          <w:rFonts w:asciiTheme="majorHAnsi" w:hAnsiTheme="majorHAnsi"/>
          <w:sz w:val="20"/>
          <w:szCs w:val="20"/>
        </w:rPr>
        <w:t>зусиль</w:t>
      </w:r>
    </w:p>
    <w:p w14:paraId="7B43B39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3038 - 95</w:t>
      </w:r>
    </w:p>
    <w:p w14:paraId="6F4EA5D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РОЗЦЕХУВАННЯ</w:t>
      </w:r>
      <w:r w:rsidRPr="000977F7">
        <w:rPr>
          <w:color w:val="auto"/>
          <w:spacing w:val="-3"/>
          <w:sz w:val="20"/>
          <w:szCs w:val="20"/>
        </w:rPr>
        <w:t xml:space="preserve"> </w:t>
      </w:r>
      <w:r w:rsidRPr="000977F7">
        <w:rPr>
          <w:color w:val="auto"/>
          <w:sz w:val="20"/>
          <w:szCs w:val="20"/>
        </w:rPr>
        <w:t>–</w:t>
      </w:r>
    </w:p>
    <w:p w14:paraId="373D03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Розроблення</w:t>
      </w:r>
      <w:r w:rsidRPr="000977F7">
        <w:rPr>
          <w:rFonts w:asciiTheme="majorHAnsi" w:hAnsiTheme="majorHAnsi"/>
          <w:spacing w:val="1"/>
          <w:sz w:val="20"/>
          <w:szCs w:val="20"/>
        </w:rPr>
        <w:t xml:space="preserve"> </w:t>
      </w:r>
      <w:r w:rsidRPr="000977F7">
        <w:rPr>
          <w:rFonts w:asciiTheme="majorHAnsi" w:hAnsiTheme="majorHAnsi"/>
          <w:sz w:val="20"/>
          <w:szCs w:val="20"/>
        </w:rPr>
        <w:t>міжцехових</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технологічних</w:t>
      </w:r>
      <w:r w:rsidRPr="000977F7">
        <w:rPr>
          <w:rFonts w:asciiTheme="majorHAnsi" w:hAnsiTheme="majorHAnsi"/>
          <w:spacing w:val="1"/>
          <w:sz w:val="20"/>
          <w:szCs w:val="20"/>
        </w:rPr>
        <w:t xml:space="preserve"> </w:t>
      </w:r>
      <w:r w:rsidRPr="000977F7">
        <w:rPr>
          <w:rFonts w:asciiTheme="majorHAnsi" w:hAnsiTheme="majorHAnsi"/>
          <w:sz w:val="20"/>
          <w:szCs w:val="20"/>
        </w:rPr>
        <w:t>маршрутів</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всіх</w:t>
      </w:r>
      <w:r w:rsidRPr="000977F7">
        <w:rPr>
          <w:rFonts w:asciiTheme="majorHAnsi" w:hAnsiTheme="majorHAnsi"/>
          <w:spacing w:val="-2"/>
          <w:sz w:val="20"/>
          <w:szCs w:val="20"/>
        </w:rPr>
        <w:t xml:space="preserve"> </w:t>
      </w:r>
      <w:r w:rsidRPr="000977F7">
        <w:rPr>
          <w:rFonts w:asciiTheme="majorHAnsi" w:hAnsiTheme="majorHAnsi"/>
          <w:sz w:val="20"/>
          <w:szCs w:val="20"/>
        </w:rPr>
        <w:t>складових</w:t>
      </w:r>
      <w:r w:rsidRPr="000977F7">
        <w:rPr>
          <w:rFonts w:asciiTheme="majorHAnsi" w:hAnsiTheme="majorHAnsi"/>
          <w:spacing w:val="-2"/>
          <w:sz w:val="20"/>
          <w:szCs w:val="20"/>
        </w:rPr>
        <w:t xml:space="preserve"> </w:t>
      </w:r>
      <w:r w:rsidRPr="000977F7">
        <w:rPr>
          <w:rFonts w:asciiTheme="majorHAnsi" w:hAnsiTheme="majorHAnsi"/>
          <w:sz w:val="20"/>
          <w:szCs w:val="20"/>
        </w:rPr>
        <w:t>частин</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p>
    <w:p w14:paraId="3AB24F2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75</w:t>
      </w:r>
    </w:p>
    <w:p w14:paraId="65930E5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РОЗЦІНКА</w:t>
      </w:r>
      <w:r w:rsidRPr="000977F7">
        <w:rPr>
          <w:color w:val="auto"/>
          <w:spacing w:val="-2"/>
          <w:sz w:val="20"/>
          <w:szCs w:val="20"/>
        </w:rPr>
        <w:t xml:space="preserve"> </w:t>
      </w:r>
      <w:r w:rsidRPr="000977F7">
        <w:rPr>
          <w:color w:val="auto"/>
          <w:sz w:val="20"/>
          <w:szCs w:val="20"/>
        </w:rPr>
        <w:t>–</w:t>
      </w:r>
    </w:p>
    <w:p w14:paraId="559905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Розмір</w:t>
      </w:r>
      <w:r w:rsidRPr="000977F7">
        <w:rPr>
          <w:rFonts w:asciiTheme="majorHAnsi" w:hAnsiTheme="majorHAnsi"/>
          <w:spacing w:val="1"/>
          <w:sz w:val="20"/>
          <w:szCs w:val="20"/>
        </w:rPr>
        <w:t xml:space="preserve"> </w:t>
      </w:r>
      <w:r w:rsidRPr="000977F7">
        <w:rPr>
          <w:rFonts w:asciiTheme="majorHAnsi" w:hAnsiTheme="majorHAnsi"/>
          <w:sz w:val="20"/>
          <w:szCs w:val="20"/>
        </w:rPr>
        <w:t>винагороди працівникові за одиницю обсягу</w:t>
      </w:r>
      <w:r w:rsidRPr="000977F7">
        <w:rPr>
          <w:rFonts w:asciiTheme="majorHAnsi" w:hAnsiTheme="majorHAnsi"/>
          <w:spacing w:val="1"/>
          <w:sz w:val="20"/>
          <w:szCs w:val="20"/>
        </w:rPr>
        <w:t xml:space="preserve"> </w:t>
      </w:r>
      <w:r w:rsidRPr="000977F7">
        <w:rPr>
          <w:rFonts w:asciiTheme="majorHAnsi" w:hAnsiTheme="majorHAnsi"/>
          <w:sz w:val="20"/>
          <w:szCs w:val="20"/>
        </w:rPr>
        <w:t>виконуваної</w:t>
      </w:r>
      <w:r w:rsidRPr="000977F7">
        <w:rPr>
          <w:rFonts w:asciiTheme="majorHAnsi" w:hAnsiTheme="majorHAnsi"/>
          <w:spacing w:val="-2"/>
          <w:sz w:val="20"/>
          <w:szCs w:val="20"/>
        </w:rPr>
        <w:t xml:space="preserve"> </w:t>
      </w:r>
      <w:r w:rsidRPr="000977F7">
        <w:rPr>
          <w:rFonts w:asciiTheme="majorHAnsi" w:hAnsiTheme="majorHAnsi"/>
          <w:sz w:val="20"/>
          <w:szCs w:val="20"/>
        </w:rPr>
        <w:t>роботи</w:t>
      </w:r>
    </w:p>
    <w:p w14:paraId="6A62C1F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69B74A0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РОЗШАРОВАНИЙ</w:t>
      </w:r>
      <w:r w:rsidRPr="000977F7">
        <w:rPr>
          <w:color w:val="auto"/>
          <w:spacing w:val="-3"/>
          <w:sz w:val="20"/>
          <w:szCs w:val="20"/>
        </w:rPr>
        <w:t xml:space="preserve"> </w:t>
      </w:r>
      <w:r w:rsidRPr="000977F7">
        <w:rPr>
          <w:color w:val="auto"/>
          <w:sz w:val="20"/>
          <w:szCs w:val="20"/>
        </w:rPr>
        <w:t>ВІДБІР</w:t>
      </w:r>
      <w:r w:rsidRPr="000977F7">
        <w:rPr>
          <w:color w:val="auto"/>
          <w:spacing w:val="-3"/>
          <w:sz w:val="20"/>
          <w:szCs w:val="20"/>
        </w:rPr>
        <w:t xml:space="preserve"> </w:t>
      </w:r>
      <w:r w:rsidRPr="000977F7">
        <w:rPr>
          <w:color w:val="auto"/>
          <w:sz w:val="20"/>
          <w:szCs w:val="20"/>
        </w:rPr>
        <w:t>ВИБІРОК</w:t>
      </w:r>
      <w:r w:rsidRPr="000977F7">
        <w:rPr>
          <w:color w:val="auto"/>
          <w:spacing w:val="-5"/>
          <w:sz w:val="20"/>
          <w:szCs w:val="20"/>
        </w:rPr>
        <w:t xml:space="preserve"> </w:t>
      </w:r>
      <w:r w:rsidRPr="000977F7">
        <w:rPr>
          <w:color w:val="auto"/>
          <w:sz w:val="20"/>
          <w:szCs w:val="20"/>
        </w:rPr>
        <w:t>(ПРОБ)-</w:t>
      </w:r>
    </w:p>
    <w:p w14:paraId="37A0356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STRATIFIED</w:t>
      </w:r>
      <w:r w:rsidRPr="004D2D14">
        <w:rPr>
          <w:rFonts w:asciiTheme="majorHAnsi" w:hAnsiTheme="majorHAnsi"/>
          <w:spacing w:val="-3"/>
          <w:sz w:val="20"/>
          <w:szCs w:val="20"/>
          <w:lang w:val="uk-UA"/>
        </w:rPr>
        <w:t xml:space="preserve"> </w:t>
      </w:r>
      <w:r w:rsidRPr="000977F7">
        <w:rPr>
          <w:rFonts w:asciiTheme="majorHAnsi" w:hAnsiTheme="majorHAnsi"/>
          <w:sz w:val="20"/>
          <w:szCs w:val="20"/>
        </w:rPr>
        <w:t>SAMPLING</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182D8D1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Відбір, за якого одиниці продукції чи її частини відбирають окремо з різних шарів, що визначаються часом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простором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встановленою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кількістю</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одиниць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w:t>
      </w:r>
    </w:p>
    <w:p w14:paraId="268B12B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 – 97</w:t>
      </w:r>
    </w:p>
    <w:p w14:paraId="405A8C8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РОЛЬ ВИЩОГО КЕРІВНИЦТВА В РАМКАХ</w:t>
      </w:r>
      <w:r w:rsidRPr="000977F7">
        <w:rPr>
          <w:color w:val="auto"/>
          <w:spacing w:val="-47"/>
          <w:sz w:val="20"/>
          <w:szCs w:val="20"/>
        </w:rPr>
        <w:t xml:space="preserve"> </w:t>
      </w:r>
      <w:r w:rsidRPr="000977F7">
        <w:rPr>
          <w:color w:val="auto"/>
          <w:sz w:val="20"/>
          <w:szCs w:val="20"/>
        </w:rPr>
        <w:t>СИСТЕМИ</w:t>
      </w:r>
      <w:r w:rsidRPr="000977F7">
        <w:rPr>
          <w:color w:val="auto"/>
          <w:spacing w:val="-4"/>
          <w:sz w:val="20"/>
          <w:szCs w:val="20"/>
        </w:rPr>
        <w:t xml:space="preserve"> </w:t>
      </w:r>
      <w:r w:rsidRPr="000977F7">
        <w:rPr>
          <w:color w:val="auto"/>
          <w:sz w:val="20"/>
          <w:szCs w:val="20"/>
        </w:rPr>
        <w:t>МЕНЕДЖМЕНТУ</w:t>
      </w:r>
      <w:r w:rsidRPr="000977F7">
        <w:rPr>
          <w:color w:val="auto"/>
          <w:spacing w:val="-1"/>
          <w:sz w:val="20"/>
          <w:szCs w:val="20"/>
        </w:rPr>
        <w:t xml:space="preserve"> </w:t>
      </w:r>
      <w:r w:rsidRPr="000977F7">
        <w:rPr>
          <w:color w:val="auto"/>
          <w:sz w:val="20"/>
          <w:szCs w:val="20"/>
        </w:rPr>
        <w:t>ЯКОСТІ –</w:t>
      </w:r>
    </w:p>
    <w:p w14:paraId="6CCE669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Через лідерство і поведінку вище керівництво створює клімат, в якому люди повністю залучаються і в</w:t>
      </w:r>
      <w:r w:rsidRPr="000977F7">
        <w:rPr>
          <w:rFonts w:asciiTheme="majorHAnsi" w:hAnsiTheme="majorHAnsi"/>
          <w:spacing w:val="1"/>
          <w:sz w:val="20"/>
          <w:szCs w:val="20"/>
        </w:rPr>
        <w:t xml:space="preserve"> </w:t>
      </w:r>
      <w:r w:rsidRPr="000977F7">
        <w:rPr>
          <w:rFonts w:asciiTheme="majorHAnsi" w:hAnsiTheme="majorHAnsi"/>
          <w:sz w:val="20"/>
          <w:szCs w:val="20"/>
        </w:rPr>
        <w:t>якому система менеджменту якості може функціонувати</w:t>
      </w:r>
      <w:r w:rsidRPr="000977F7">
        <w:rPr>
          <w:rFonts w:asciiTheme="majorHAnsi" w:hAnsiTheme="majorHAnsi"/>
          <w:spacing w:val="-2"/>
          <w:sz w:val="20"/>
          <w:szCs w:val="20"/>
        </w:rPr>
        <w:t xml:space="preserve"> </w:t>
      </w:r>
      <w:r w:rsidRPr="000977F7">
        <w:rPr>
          <w:rFonts w:asciiTheme="majorHAnsi" w:hAnsiTheme="majorHAnsi"/>
          <w:sz w:val="20"/>
          <w:szCs w:val="20"/>
        </w:rPr>
        <w:t>ефективно.</w:t>
      </w:r>
    </w:p>
    <w:p w14:paraId="4542B4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Принципи менеджменту якості можуть застосовуватися вищим керівництвом як основа своєї ролі, до якої</w:t>
      </w:r>
      <w:r w:rsidRPr="000977F7">
        <w:rPr>
          <w:rFonts w:asciiTheme="majorHAnsi" w:hAnsiTheme="majorHAnsi"/>
          <w:spacing w:val="-47"/>
          <w:sz w:val="20"/>
          <w:szCs w:val="20"/>
        </w:rPr>
        <w:t xml:space="preserve"> </w:t>
      </w:r>
      <w:r w:rsidRPr="000977F7">
        <w:rPr>
          <w:rFonts w:asciiTheme="majorHAnsi" w:hAnsiTheme="majorHAnsi"/>
          <w:sz w:val="20"/>
          <w:szCs w:val="20"/>
        </w:rPr>
        <w:t>входять:</w:t>
      </w:r>
    </w:p>
    <w:p w14:paraId="2B175AA1" w14:textId="77777777" w:rsidR="0097612F" w:rsidRPr="000977F7" w:rsidRDefault="0097612F" w:rsidP="00FD39A4">
      <w:pPr>
        <w:pStyle w:val="ac"/>
        <w:widowControl w:val="0"/>
        <w:numPr>
          <w:ilvl w:val="1"/>
          <w:numId w:val="180"/>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встановлення політики в галузі якості та мети з</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p>
    <w:p w14:paraId="39FC8E6E" w14:textId="77777777" w:rsidR="0097612F" w:rsidRPr="000977F7" w:rsidRDefault="0097612F" w:rsidP="00FD39A4">
      <w:pPr>
        <w:pStyle w:val="ac"/>
        <w:widowControl w:val="0"/>
        <w:numPr>
          <w:ilvl w:val="1"/>
          <w:numId w:val="180"/>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створення</w:t>
      </w:r>
      <w:r w:rsidRPr="000977F7">
        <w:rPr>
          <w:rFonts w:asciiTheme="majorHAnsi" w:hAnsiTheme="majorHAnsi"/>
          <w:spacing w:val="1"/>
          <w:sz w:val="20"/>
          <w:szCs w:val="20"/>
        </w:rPr>
        <w:t xml:space="preserve"> </w:t>
      </w:r>
      <w:r w:rsidRPr="000977F7">
        <w:rPr>
          <w:rFonts w:asciiTheme="majorHAnsi" w:hAnsiTheme="majorHAnsi"/>
          <w:sz w:val="20"/>
          <w:szCs w:val="20"/>
        </w:rPr>
        <w:t>впевненості,</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відповідні</w:t>
      </w:r>
      <w:r w:rsidRPr="000977F7">
        <w:rPr>
          <w:rFonts w:asciiTheme="majorHAnsi" w:hAnsiTheme="majorHAnsi"/>
          <w:spacing w:val="1"/>
          <w:sz w:val="20"/>
          <w:szCs w:val="20"/>
        </w:rPr>
        <w:t xml:space="preserve"> </w:t>
      </w:r>
      <w:r w:rsidRPr="000977F7">
        <w:rPr>
          <w:rFonts w:asciiTheme="majorHAnsi" w:hAnsiTheme="majorHAnsi"/>
          <w:sz w:val="20"/>
          <w:szCs w:val="20"/>
        </w:rPr>
        <w:t>процеси</w:t>
      </w:r>
      <w:r w:rsidRPr="000977F7">
        <w:rPr>
          <w:rFonts w:asciiTheme="majorHAnsi" w:hAnsiTheme="majorHAnsi"/>
          <w:spacing w:val="1"/>
          <w:sz w:val="20"/>
          <w:szCs w:val="20"/>
        </w:rPr>
        <w:t xml:space="preserve"> </w:t>
      </w:r>
      <w:r w:rsidRPr="000977F7">
        <w:rPr>
          <w:rFonts w:asciiTheme="majorHAnsi" w:hAnsiTheme="majorHAnsi"/>
          <w:sz w:val="20"/>
          <w:szCs w:val="20"/>
        </w:rPr>
        <w:t>виконуються таким чином, що дають можливість</w:t>
      </w:r>
      <w:r w:rsidRPr="000977F7">
        <w:rPr>
          <w:rFonts w:asciiTheme="majorHAnsi" w:hAnsiTheme="majorHAnsi"/>
          <w:spacing w:val="1"/>
          <w:sz w:val="20"/>
          <w:szCs w:val="20"/>
        </w:rPr>
        <w:t xml:space="preserve"> </w:t>
      </w:r>
      <w:r w:rsidRPr="000977F7">
        <w:rPr>
          <w:rFonts w:asciiTheme="majorHAnsi" w:hAnsiTheme="majorHAnsi"/>
          <w:sz w:val="20"/>
          <w:szCs w:val="20"/>
        </w:rPr>
        <w:t>задовольнити</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споживачів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внутрішню</w:t>
      </w:r>
      <w:r w:rsidRPr="000977F7">
        <w:rPr>
          <w:rFonts w:asciiTheme="majorHAnsi" w:hAnsiTheme="majorHAnsi"/>
          <w:spacing w:val="-47"/>
          <w:sz w:val="20"/>
          <w:szCs w:val="20"/>
        </w:rPr>
        <w:t xml:space="preserve"> </w:t>
      </w:r>
      <w:r w:rsidRPr="000977F7">
        <w:rPr>
          <w:rFonts w:asciiTheme="majorHAnsi" w:hAnsiTheme="majorHAnsi"/>
          <w:sz w:val="20"/>
          <w:szCs w:val="20"/>
        </w:rPr>
        <w:t>мету;</w:t>
      </w:r>
    </w:p>
    <w:p w14:paraId="28F0F7CA" w14:textId="77777777" w:rsidR="0097612F" w:rsidRPr="000977F7" w:rsidRDefault="0097612F" w:rsidP="00FD39A4">
      <w:pPr>
        <w:pStyle w:val="ac"/>
        <w:widowControl w:val="0"/>
        <w:numPr>
          <w:ilvl w:val="1"/>
          <w:numId w:val="180"/>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створення</w:t>
      </w:r>
      <w:r w:rsidRPr="000977F7">
        <w:rPr>
          <w:rFonts w:asciiTheme="majorHAnsi" w:hAnsiTheme="majorHAnsi"/>
          <w:spacing w:val="1"/>
          <w:sz w:val="20"/>
          <w:szCs w:val="20"/>
        </w:rPr>
        <w:t xml:space="preserve"> </w:t>
      </w:r>
      <w:r w:rsidRPr="000977F7">
        <w:rPr>
          <w:rFonts w:asciiTheme="majorHAnsi" w:hAnsiTheme="majorHAnsi"/>
          <w:sz w:val="20"/>
          <w:szCs w:val="20"/>
        </w:rPr>
        <w:t>впевненості,</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ефективна</w:t>
      </w:r>
      <w:r w:rsidRPr="000977F7">
        <w:rPr>
          <w:rFonts w:asciiTheme="majorHAnsi" w:hAnsiTheme="majorHAnsi"/>
          <w:spacing w:val="1"/>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менеджменту</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розроблена,</w:t>
      </w:r>
      <w:r w:rsidRPr="000977F7">
        <w:rPr>
          <w:rFonts w:asciiTheme="majorHAnsi" w:hAnsiTheme="majorHAnsi"/>
          <w:spacing w:val="1"/>
          <w:sz w:val="20"/>
          <w:szCs w:val="20"/>
        </w:rPr>
        <w:t xml:space="preserve"> </w:t>
      </w:r>
      <w:r w:rsidRPr="000977F7">
        <w:rPr>
          <w:rFonts w:asciiTheme="majorHAnsi" w:hAnsiTheme="majorHAnsi"/>
          <w:sz w:val="20"/>
          <w:szCs w:val="20"/>
        </w:rPr>
        <w:t>впроваджена</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підтримується</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досягнення</w:t>
      </w:r>
      <w:r w:rsidRPr="000977F7">
        <w:rPr>
          <w:rFonts w:asciiTheme="majorHAnsi" w:hAnsiTheme="majorHAnsi"/>
          <w:spacing w:val="-2"/>
          <w:sz w:val="20"/>
          <w:szCs w:val="20"/>
        </w:rPr>
        <w:t xml:space="preserve"> </w:t>
      </w:r>
      <w:r w:rsidRPr="000977F7">
        <w:rPr>
          <w:rFonts w:asciiTheme="majorHAnsi" w:hAnsiTheme="majorHAnsi"/>
          <w:sz w:val="20"/>
          <w:szCs w:val="20"/>
        </w:rPr>
        <w:t>цієї</w:t>
      </w:r>
      <w:r w:rsidRPr="000977F7">
        <w:rPr>
          <w:rFonts w:asciiTheme="majorHAnsi" w:hAnsiTheme="majorHAnsi"/>
          <w:spacing w:val="-1"/>
          <w:sz w:val="20"/>
          <w:szCs w:val="20"/>
        </w:rPr>
        <w:t xml:space="preserve"> </w:t>
      </w:r>
      <w:r w:rsidRPr="000977F7">
        <w:rPr>
          <w:rFonts w:asciiTheme="majorHAnsi" w:hAnsiTheme="majorHAnsi"/>
          <w:sz w:val="20"/>
          <w:szCs w:val="20"/>
        </w:rPr>
        <w:t>мети;</w:t>
      </w:r>
    </w:p>
    <w:p w14:paraId="3F5ED474" w14:textId="77777777" w:rsidR="0097612F" w:rsidRPr="000977F7" w:rsidRDefault="0097612F" w:rsidP="00FD39A4">
      <w:pPr>
        <w:pStyle w:val="ac"/>
        <w:widowControl w:val="0"/>
        <w:numPr>
          <w:ilvl w:val="1"/>
          <w:numId w:val="180"/>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створення</w:t>
      </w:r>
      <w:r w:rsidRPr="000977F7">
        <w:rPr>
          <w:rFonts w:asciiTheme="majorHAnsi" w:hAnsiTheme="majorHAnsi"/>
          <w:spacing w:val="1"/>
          <w:sz w:val="20"/>
          <w:szCs w:val="20"/>
        </w:rPr>
        <w:t xml:space="preserve"> </w:t>
      </w:r>
      <w:r w:rsidRPr="000977F7">
        <w:rPr>
          <w:rFonts w:asciiTheme="majorHAnsi" w:hAnsiTheme="majorHAnsi"/>
          <w:sz w:val="20"/>
          <w:szCs w:val="20"/>
        </w:rPr>
        <w:t>впевненості</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наявності</w:t>
      </w:r>
      <w:r w:rsidRPr="000977F7">
        <w:rPr>
          <w:rFonts w:asciiTheme="majorHAnsi" w:hAnsiTheme="majorHAnsi"/>
          <w:spacing w:val="1"/>
          <w:sz w:val="20"/>
          <w:szCs w:val="20"/>
        </w:rPr>
        <w:t xml:space="preserve"> </w:t>
      </w:r>
      <w:r w:rsidRPr="000977F7">
        <w:rPr>
          <w:rFonts w:asciiTheme="majorHAnsi" w:hAnsiTheme="majorHAnsi"/>
          <w:sz w:val="20"/>
          <w:szCs w:val="20"/>
        </w:rPr>
        <w:t>необхідних</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p>
    <w:p w14:paraId="34093857" w14:textId="77777777" w:rsidR="0097612F" w:rsidRPr="000977F7" w:rsidRDefault="0097612F" w:rsidP="00FD39A4">
      <w:pPr>
        <w:pStyle w:val="ac"/>
        <w:widowControl w:val="0"/>
        <w:numPr>
          <w:ilvl w:val="1"/>
          <w:numId w:val="180"/>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порівняння</w:t>
      </w:r>
      <w:r w:rsidRPr="000977F7">
        <w:rPr>
          <w:rFonts w:asciiTheme="majorHAnsi" w:hAnsiTheme="majorHAnsi"/>
          <w:spacing w:val="1"/>
          <w:sz w:val="20"/>
          <w:szCs w:val="20"/>
        </w:rPr>
        <w:t xml:space="preserve"> </w:t>
      </w:r>
      <w:r w:rsidRPr="000977F7">
        <w:rPr>
          <w:rFonts w:asciiTheme="majorHAnsi" w:hAnsiTheme="majorHAnsi"/>
          <w:sz w:val="20"/>
          <w:szCs w:val="20"/>
        </w:rPr>
        <w:t>досягнутих</w:t>
      </w:r>
      <w:r w:rsidRPr="000977F7">
        <w:rPr>
          <w:rFonts w:asciiTheme="majorHAnsi" w:hAnsiTheme="majorHAnsi"/>
          <w:spacing w:val="1"/>
          <w:sz w:val="20"/>
          <w:szCs w:val="20"/>
        </w:rPr>
        <w:t xml:space="preserve"> </w:t>
      </w:r>
      <w:r w:rsidRPr="000977F7">
        <w:rPr>
          <w:rFonts w:asciiTheme="majorHAnsi" w:hAnsiTheme="majorHAnsi"/>
          <w:sz w:val="20"/>
          <w:szCs w:val="20"/>
        </w:rPr>
        <w:t>результатів</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встановленою</w:t>
      </w:r>
      <w:r w:rsidRPr="000977F7">
        <w:rPr>
          <w:rFonts w:asciiTheme="majorHAnsi" w:hAnsiTheme="majorHAnsi"/>
          <w:spacing w:val="-1"/>
          <w:sz w:val="20"/>
          <w:szCs w:val="20"/>
        </w:rPr>
        <w:t xml:space="preserve"> </w:t>
      </w:r>
      <w:r w:rsidRPr="000977F7">
        <w:rPr>
          <w:rFonts w:asciiTheme="majorHAnsi" w:hAnsiTheme="majorHAnsi"/>
          <w:sz w:val="20"/>
          <w:szCs w:val="20"/>
        </w:rPr>
        <w:t>метою ;</w:t>
      </w:r>
    </w:p>
    <w:p w14:paraId="60C31F0C" w14:textId="77777777" w:rsidR="0097612F" w:rsidRPr="000977F7" w:rsidRDefault="0097612F" w:rsidP="00FD39A4">
      <w:pPr>
        <w:pStyle w:val="ac"/>
        <w:widowControl w:val="0"/>
        <w:numPr>
          <w:ilvl w:val="1"/>
          <w:numId w:val="180"/>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вибір дій, відповідних політиці в галузі якості та</w:t>
      </w:r>
      <w:r w:rsidRPr="000977F7">
        <w:rPr>
          <w:rFonts w:asciiTheme="majorHAnsi" w:hAnsiTheme="majorHAnsi"/>
          <w:spacing w:val="1"/>
          <w:sz w:val="20"/>
          <w:szCs w:val="20"/>
        </w:rPr>
        <w:t xml:space="preserve"> </w:t>
      </w:r>
      <w:r w:rsidRPr="000977F7">
        <w:rPr>
          <w:rFonts w:asciiTheme="majorHAnsi" w:hAnsiTheme="majorHAnsi"/>
          <w:sz w:val="20"/>
          <w:szCs w:val="20"/>
        </w:rPr>
        <w:t>меті</w:t>
      </w:r>
      <w:r w:rsidRPr="000977F7">
        <w:rPr>
          <w:rFonts w:asciiTheme="majorHAnsi" w:hAnsiTheme="majorHAnsi"/>
          <w:spacing w:val="-2"/>
          <w:sz w:val="20"/>
          <w:szCs w:val="20"/>
        </w:rPr>
        <w:t xml:space="preserve"> </w:t>
      </w:r>
      <w:r w:rsidRPr="000977F7">
        <w:rPr>
          <w:rFonts w:asciiTheme="majorHAnsi" w:hAnsiTheme="majorHAnsi"/>
          <w:sz w:val="20"/>
          <w:szCs w:val="20"/>
        </w:rPr>
        <w:t>з якості;</w:t>
      </w:r>
    </w:p>
    <w:p w14:paraId="388AE71A" w14:textId="77777777" w:rsidR="0097612F" w:rsidRPr="000977F7" w:rsidRDefault="0097612F" w:rsidP="00FD39A4">
      <w:pPr>
        <w:pStyle w:val="ac"/>
        <w:widowControl w:val="0"/>
        <w:numPr>
          <w:ilvl w:val="1"/>
          <w:numId w:val="180"/>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вибір</w:t>
      </w:r>
      <w:r w:rsidRPr="000977F7">
        <w:rPr>
          <w:rFonts w:asciiTheme="majorHAnsi" w:hAnsiTheme="majorHAnsi"/>
          <w:spacing w:val="-2"/>
          <w:sz w:val="20"/>
          <w:szCs w:val="20"/>
        </w:rPr>
        <w:t xml:space="preserve"> </w:t>
      </w:r>
      <w:r w:rsidRPr="000977F7">
        <w:rPr>
          <w:rFonts w:asciiTheme="majorHAnsi" w:hAnsiTheme="majorHAnsi"/>
          <w:sz w:val="20"/>
          <w:szCs w:val="20"/>
        </w:rPr>
        <w:t>дій</w:t>
      </w:r>
      <w:r w:rsidRPr="000977F7">
        <w:rPr>
          <w:rFonts w:asciiTheme="majorHAnsi" w:hAnsiTheme="majorHAnsi"/>
          <w:spacing w:val="-3"/>
          <w:sz w:val="20"/>
          <w:szCs w:val="20"/>
        </w:rPr>
        <w:t xml:space="preserve"> </w:t>
      </w:r>
      <w:r w:rsidRPr="000977F7">
        <w:rPr>
          <w:rFonts w:asciiTheme="majorHAnsi" w:hAnsiTheme="majorHAnsi"/>
          <w:sz w:val="20"/>
          <w:szCs w:val="20"/>
        </w:rPr>
        <w:t>з</w:t>
      </w:r>
      <w:r w:rsidRPr="000977F7">
        <w:rPr>
          <w:rFonts w:asciiTheme="majorHAnsi" w:hAnsiTheme="majorHAnsi"/>
          <w:spacing w:val="-3"/>
          <w:sz w:val="20"/>
          <w:szCs w:val="20"/>
        </w:rPr>
        <w:t xml:space="preserve"> </w:t>
      </w:r>
      <w:r w:rsidRPr="000977F7">
        <w:rPr>
          <w:rFonts w:asciiTheme="majorHAnsi" w:hAnsiTheme="majorHAnsi"/>
          <w:sz w:val="20"/>
          <w:szCs w:val="20"/>
        </w:rPr>
        <w:t>поліпшення.</w:t>
      </w:r>
    </w:p>
    <w:p w14:paraId="43D09ED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РОЛЬ</w:t>
      </w:r>
      <w:r w:rsidRPr="000977F7">
        <w:rPr>
          <w:color w:val="auto"/>
          <w:spacing w:val="-4"/>
          <w:sz w:val="20"/>
          <w:szCs w:val="20"/>
        </w:rPr>
        <w:t xml:space="preserve"> </w:t>
      </w:r>
      <w:r w:rsidRPr="000977F7">
        <w:rPr>
          <w:color w:val="auto"/>
          <w:sz w:val="20"/>
          <w:szCs w:val="20"/>
        </w:rPr>
        <w:t>СТАТИСТИЧНИХ</w:t>
      </w:r>
      <w:r w:rsidRPr="000977F7">
        <w:rPr>
          <w:color w:val="auto"/>
          <w:spacing w:val="-2"/>
          <w:sz w:val="20"/>
          <w:szCs w:val="20"/>
        </w:rPr>
        <w:t xml:space="preserve"> </w:t>
      </w:r>
      <w:r w:rsidRPr="000977F7">
        <w:rPr>
          <w:color w:val="auto"/>
          <w:sz w:val="20"/>
          <w:szCs w:val="20"/>
        </w:rPr>
        <w:t>МЕТОДІВ –</w:t>
      </w:r>
    </w:p>
    <w:p w14:paraId="3569B7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Статистичні</w:t>
      </w:r>
      <w:r w:rsidRPr="000977F7">
        <w:rPr>
          <w:rFonts w:asciiTheme="majorHAnsi" w:hAnsiTheme="majorHAnsi"/>
          <w:spacing w:val="1"/>
          <w:sz w:val="20"/>
          <w:szCs w:val="20"/>
        </w:rPr>
        <w:t xml:space="preserve"> </w:t>
      </w:r>
      <w:r w:rsidRPr="000977F7">
        <w:rPr>
          <w:rFonts w:asciiTheme="majorHAnsi" w:hAnsiTheme="majorHAnsi"/>
          <w:sz w:val="20"/>
          <w:szCs w:val="20"/>
        </w:rPr>
        <w:t>методи застосовуються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варіабельності процесів та їх результатів. Застосування цих методів допомагає організації вирішувати технічні проблеми та підвищувати ефективність. Ці методи можуть також допомогти краще використовувати</w:t>
      </w:r>
      <w:r w:rsidRPr="000977F7">
        <w:rPr>
          <w:rFonts w:asciiTheme="majorHAnsi" w:hAnsiTheme="majorHAnsi"/>
          <w:spacing w:val="-2"/>
          <w:sz w:val="20"/>
          <w:szCs w:val="20"/>
        </w:rPr>
        <w:t xml:space="preserve"> </w:t>
      </w:r>
      <w:r w:rsidRPr="000977F7">
        <w:rPr>
          <w:rFonts w:asciiTheme="majorHAnsi" w:hAnsiTheme="majorHAnsi"/>
          <w:sz w:val="20"/>
          <w:szCs w:val="20"/>
        </w:rPr>
        <w:t>дані, щоб</w:t>
      </w:r>
      <w:r w:rsidRPr="000977F7">
        <w:rPr>
          <w:rFonts w:asciiTheme="majorHAnsi" w:hAnsiTheme="majorHAnsi"/>
          <w:spacing w:val="-2"/>
          <w:sz w:val="20"/>
          <w:szCs w:val="20"/>
        </w:rPr>
        <w:t xml:space="preserve"> </w:t>
      </w:r>
      <w:r w:rsidRPr="000977F7">
        <w:rPr>
          <w:rFonts w:asciiTheme="majorHAnsi" w:hAnsiTheme="majorHAnsi"/>
          <w:sz w:val="20"/>
          <w:szCs w:val="20"/>
        </w:rPr>
        <w:t>допомогти</w:t>
      </w:r>
      <w:r w:rsidRPr="000977F7">
        <w:rPr>
          <w:rFonts w:asciiTheme="majorHAnsi" w:hAnsiTheme="majorHAnsi"/>
          <w:spacing w:val="-1"/>
          <w:sz w:val="20"/>
          <w:szCs w:val="20"/>
        </w:rPr>
        <w:t xml:space="preserve"> </w:t>
      </w:r>
      <w:r w:rsidRPr="000977F7">
        <w:rPr>
          <w:rFonts w:asciiTheme="majorHAnsi" w:hAnsiTheme="majorHAnsi"/>
          <w:sz w:val="20"/>
          <w:szCs w:val="20"/>
        </w:rPr>
        <w:t>приймати</w:t>
      </w:r>
      <w:r w:rsidRPr="000977F7">
        <w:rPr>
          <w:rFonts w:asciiTheme="majorHAnsi" w:hAnsiTheme="majorHAnsi"/>
          <w:spacing w:val="-2"/>
          <w:sz w:val="20"/>
          <w:szCs w:val="20"/>
        </w:rPr>
        <w:t xml:space="preserve"> </w:t>
      </w:r>
      <w:r w:rsidRPr="000977F7">
        <w:rPr>
          <w:rFonts w:asciiTheme="majorHAnsi" w:hAnsiTheme="majorHAnsi"/>
          <w:sz w:val="20"/>
          <w:szCs w:val="20"/>
        </w:rPr>
        <w:t>рішення.</w:t>
      </w:r>
    </w:p>
    <w:p w14:paraId="33C3DBEB" w14:textId="77777777" w:rsidR="0097612F" w:rsidRPr="000977F7" w:rsidRDefault="0097612F" w:rsidP="000977F7">
      <w:pPr>
        <w:pStyle w:val="af6"/>
        <w:tabs>
          <w:tab w:val="left" w:pos="284"/>
        </w:tabs>
        <w:spacing w:after="0"/>
        <w:ind w:left="170" w:firstLine="50"/>
        <w:mirrorIndents/>
        <w:jc w:val="both"/>
        <w:rPr>
          <w:rFonts w:asciiTheme="majorHAnsi" w:hAnsiTheme="majorHAnsi"/>
          <w:sz w:val="20"/>
          <w:szCs w:val="20"/>
        </w:rPr>
      </w:pPr>
      <w:r w:rsidRPr="000977F7">
        <w:rPr>
          <w:rFonts w:asciiTheme="majorHAnsi" w:hAnsiTheme="majorHAnsi"/>
          <w:sz w:val="20"/>
          <w:szCs w:val="20"/>
        </w:rPr>
        <w:t>Варіабельність</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спостерігатися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поведінці</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проявленні практично будь – яких видів діяльності,</w:t>
      </w:r>
      <w:r w:rsidRPr="000977F7">
        <w:rPr>
          <w:rFonts w:asciiTheme="majorHAnsi" w:hAnsiTheme="majorHAnsi"/>
          <w:spacing w:val="1"/>
          <w:sz w:val="20"/>
          <w:szCs w:val="20"/>
        </w:rPr>
        <w:t xml:space="preserve"> </w:t>
      </w:r>
      <w:r w:rsidRPr="000977F7">
        <w:rPr>
          <w:rFonts w:asciiTheme="majorHAnsi" w:hAnsiTheme="majorHAnsi"/>
          <w:sz w:val="20"/>
          <w:szCs w:val="20"/>
        </w:rPr>
        <w:t>навіть в умовах позірної стабільності. Така варіабельність може спостерігатися у вимірюваних характеристиках продукції і процесів, а також проявлятися на</w:t>
      </w:r>
      <w:r w:rsidRPr="000977F7">
        <w:rPr>
          <w:rFonts w:asciiTheme="majorHAnsi" w:hAnsiTheme="majorHAnsi"/>
          <w:spacing w:val="1"/>
          <w:sz w:val="20"/>
          <w:szCs w:val="20"/>
        </w:rPr>
        <w:t xml:space="preserve"> </w:t>
      </w:r>
      <w:r w:rsidRPr="000977F7">
        <w:rPr>
          <w:rFonts w:asciiTheme="majorHAnsi" w:hAnsiTheme="majorHAnsi"/>
          <w:sz w:val="20"/>
          <w:szCs w:val="20"/>
        </w:rPr>
        <w:t>різних етапах на протязі життєвого циклу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маркетингового</w:t>
      </w:r>
      <w:r w:rsidRPr="000977F7">
        <w:rPr>
          <w:rFonts w:asciiTheme="majorHAnsi" w:hAnsiTheme="majorHAnsi"/>
          <w:spacing w:val="1"/>
          <w:sz w:val="20"/>
          <w:szCs w:val="20"/>
        </w:rPr>
        <w:t xml:space="preserve"> </w:t>
      </w:r>
      <w:r w:rsidRPr="000977F7">
        <w:rPr>
          <w:rFonts w:asciiTheme="majorHAnsi" w:hAnsiTheme="majorHAnsi"/>
          <w:sz w:val="20"/>
          <w:szCs w:val="20"/>
        </w:rPr>
        <w:t>дослідження</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обслуговування</w:t>
      </w:r>
      <w:r w:rsidRPr="000977F7">
        <w:rPr>
          <w:rFonts w:asciiTheme="majorHAnsi" w:hAnsiTheme="majorHAnsi"/>
          <w:spacing w:val="-47"/>
          <w:sz w:val="20"/>
          <w:szCs w:val="20"/>
        </w:rPr>
        <w:t xml:space="preserve"> </w:t>
      </w:r>
      <w:r w:rsidRPr="000977F7">
        <w:rPr>
          <w:rFonts w:asciiTheme="majorHAnsi" w:hAnsiTheme="majorHAnsi"/>
          <w:sz w:val="20"/>
          <w:szCs w:val="20"/>
        </w:rPr>
        <w:t>споживача і остаточного усунення. Використання статистичних методів може бути більш ефективним, чим</w:t>
      </w:r>
      <w:r w:rsidRPr="000977F7">
        <w:rPr>
          <w:rFonts w:asciiTheme="majorHAnsi" w:hAnsiTheme="majorHAnsi"/>
          <w:spacing w:val="1"/>
          <w:sz w:val="20"/>
          <w:szCs w:val="20"/>
        </w:rPr>
        <w:t xml:space="preserve"> </w:t>
      </w:r>
      <w:r w:rsidRPr="000977F7">
        <w:rPr>
          <w:rFonts w:asciiTheme="majorHAnsi" w:hAnsiTheme="majorHAnsi"/>
          <w:sz w:val="20"/>
          <w:szCs w:val="20"/>
        </w:rPr>
        <w:t>раніше</w:t>
      </w:r>
      <w:r w:rsidRPr="000977F7">
        <w:rPr>
          <w:rFonts w:asciiTheme="majorHAnsi" w:hAnsiTheme="majorHAnsi"/>
          <w:spacing w:val="-1"/>
          <w:sz w:val="20"/>
          <w:szCs w:val="20"/>
        </w:rPr>
        <w:t xml:space="preserve"> </w:t>
      </w:r>
      <w:r w:rsidRPr="000977F7">
        <w:rPr>
          <w:rFonts w:asciiTheme="majorHAnsi" w:hAnsiTheme="majorHAnsi"/>
          <w:sz w:val="20"/>
          <w:szCs w:val="20"/>
        </w:rPr>
        <w:t>вони</w:t>
      </w:r>
      <w:r w:rsidRPr="000977F7">
        <w:rPr>
          <w:rFonts w:asciiTheme="majorHAnsi" w:hAnsiTheme="majorHAnsi"/>
          <w:spacing w:val="-1"/>
          <w:sz w:val="20"/>
          <w:szCs w:val="20"/>
        </w:rPr>
        <w:t xml:space="preserve"> </w:t>
      </w:r>
      <w:r w:rsidRPr="000977F7">
        <w:rPr>
          <w:rFonts w:asciiTheme="majorHAnsi" w:hAnsiTheme="majorHAnsi"/>
          <w:sz w:val="20"/>
          <w:szCs w:val="20"/>
        </w:rPr>
        <w:t>застосовуються.</w:t>
      </w:r>
    </w:p>
    <w:p w14:paraId="7BD8A800" w14:textId="77777777" w:rsidR="0097612F" w:rsidRPr="000977F7" w:rsidRDefault="0097612F" w:rsidP="000977F7">
      <w:pPr>
        <w:pStyle w:val="af6"/>
        <w:tabs>
          <w:tab w:val="left" w:pos="284"/>
        </w:tabs>
        <w:spacing w:after="0"/>
        <w:ind w:left="170" w:firstLine="50"/>
        <w:mirrorIndents/>
        <w:jc w:val="both"/>
        <w:rPr>
          <w:rFonts w:asciiTheme="majorHAnsi" w:hAnsiTheme="majorHAnsi"/>
          <w:spacing w:val="1"/>
          <w:sz w:val="20"/>
          <w:szCs w:val="20"/>
        </w:rPr>
      </w:pPr>
      <w:r w:rsidRPr="000977F7">
        <w:rPr>
          <w:rFonts w:asciiTheme="majorHAnsi" w:hAnsiTheme="majorHAnsi"/>
          <w:sz w:val="20"/>
          <w:szCs w:val="20"/>
        </w:rPr>
        <w:t>Статистичні методи можуть допомогти оцінити, описати, проаналізувати, інтерпретувати та змоделювати</w:t>
      </w:r>
      <w:r w:rsidRPr="000977F7">
        <w:rPr>
          <w:rFonts w:asciiTheme="majorHAnsi" w:hAnsiTheme="majorHAnsi"/>
          <w:spacing w:val="1"/>
          <w:sz w:val="20"/>
          <w:szCs w:val="20"/>
        </w:rPr>
        <w:t xml:space="preserve"> </w:t>
      </w:r>
      <w:r w:rsidRPr="000977F7">
        <w:rPr>
          <w:rFonts w:asciiTheme="majorHAnsi" w:hAnsiTheme="majorHAnsi"/>
          <w:sz w:val="20"/>
          <w:szCs w:val="20"/>
        </w:rPr>
        <w:t>таку</w:t>
      </w:r>
      <w:r w:rsidRPr="000977F7">
        <w:rPr>
          <w:rFonts w:asciiTheme="majorHAnsi" w:hAnsiTheme="majorHAnsi"/>
          <w:spacing w:val="20"/>
          <w:sz w:val="20"/>
          <w:szCs w:val="20"/>
        </w:rPr>
        <w:t xml:space="preserve"> </w:t>
      </w:r>
      <w:r w:rsidRPr="000977F7">
        <w:rPr>
          <w:rFonts w:asciiTheme="majorHAnsi" w:hAnsiTheme="majorHAnsi"/>
          <w:sz w:val="20"/>
          <w:szCs w:val="20"/>
        </w:rPr>
        <w:t>варіабельність</w:t>
      </w:r>
      <w:r w:rsidRPr="000977F7">
        <w:rPr>
          <w:rFonts w:asciiTheme="majorHAnsi" w:hAnsiTheme="majorHAnsi"/>
          <w:spacing w:val="23"/>
          <w:sz w:val="20"/>
          <w:szCs w:val="20"/>
        </w:rPr>
        <w:t xml:space="preserve"> </w:t>
      </w:r>
      <w:r w:rsidRPr="000977F7">
        <w:rPr>
          <w:rFonts w:asciiTheme="majorHAnsi" w:hAnsiTheme="majorHAnsi"/>
          <w:sz w:val="20"/>
          <w:szCs w:val="20"/>
        </w:rPr>
        <w:t>навіть</w:t>
      </w:r>
      <w:r w:rsidRPr="000977F7">
        <w:rPr>
          <w:rFonts w:asciiTheme="majorHAnsi" w:hAnsiTheme="majorHAnsi"/>
          <w:spacing w:val="24"/>
          <w:sz w:val="20"/>
          <w:szCs w:val="20"/>
        </w:rPr>
        <w:t xml:space="preserve"> </w:t>
      </w:r>
      <w:r w:rsidRPr="000977F7">
        <w:rPr>
          <w:rFonts w:asciiTheme="majorHAnsi" w:hAnsiTheme="majorHAnsi"/>
          <w:sz w:val="20"/>
          <w:szCs w:val="20"/>
        </w:rPr>
        <w:t>при</w:t>
      </w:r>
      <w:r w:rsidRPr="000977F7">
        <w:rPr>
          <w:rFonts w:asciiTheme="majorHAnsi" w:hAnsiTheme="majorHAnsi"/>
          <w:spacing w:val="22"/>
          <w:sz w:val="20"/>
          <w:szCs w:val="20"/>
        </w:rPr>
        <w:t xml:space="preserve"> </w:t>
      </w:r>
      <w:r w:rsidRPr="000977F7">
        <w:rPr>
          <w:rFonts w:asciiTheme="majorHAnsi" w:hAnsiTheme="majorHAnsi"/>
          <w:sz w:val="20"/>
          <w:szCs w:val="20"/>
        </w:rPr>
        <w:t>відносно</w:t>
      </w:r>
      <w:r w:rsidRPr="000977F7">
        <w:rPr>
          <w:rFonts w:asciiTheme="majorHAnsi" w:hAnsiTheme="majorHAnsi"/>
          <w:spacing w:val="25"/>
          <w:sz w:val="20"/>
          <w:szCs w:val="20"/>
        </w:rPr>
        <w:t xml:space="preserve"> </w:t>
      </w:r>
      <w:r w:rsidRPr="000977F7">
        <w:rPr>
          <w:rFonts w:asciiTheme="majorHAnsi" w:hAnsiTheme="majorHAnsi"/>
          <w:sz w:val="20"/>
          <w:szCs w:val="20"/>
        </w:rPr>
        <w:t>невеликій кількості</w:t>
      </w:r>
      <w:r w:rsidRPr="000977F7">
        <w:rPr>
          <w:rFonts w:asciiTheme="majorHAnsi" w:hAnsiTheme="majorHAnsi"/>
          <w:spacing w:val="13"/>
          <w:sz w:val="20"/>
          <w:szCs w:val="20"/>
        </w:rPr>
        <w:t xml:space="preserve"> </w:t>
      </w:r>
      <w:r w:rsidRPr="000977F7">
        <w:rPr>
          <w:rFonts w:asciiTheme="majorHAnsi" w:hAnsiTheme="majorHAnsi"/>
          <w:sz w:val="20"/>
          <w:szCs w:val="20"/>
        </w:rPr>
        <w:t>даних.</w:t>
      </w:r>
      <w:r w:rsidRPr="000977F7">
        <w:rPr>
          <w:rFonts w:asciiTheme="majorHAnsi" w:hAnsiTheme="majorHAnsi"/>
          <w:spacing w:val="14"/>
          <w:sz w:val="20"/>
          <w:szCs w:val="20"/>
        </w:rPr>
        <w:t xml:space="preserve"> </w:t>
      </w:r>
      <w:r w:rsidRPr="000977F7">
        <w:rPr>
          <w:rFonts w:asciiTheme="majorHAnsi" w:hAnsiTheme="majorHAnsi"/>
          <w:sz w:val="20"/>
          <w:szCs w:val="20"/>
        </w:rPr>
        <w:t>Статистичні</w:t>
      </w:r>
      <w:r w:rsidRPr="000977F7">
        <w:rPr>
          <w:rFonts w:asciiTheme="majorHAnsi" w:hAnsiTheme="majorHAnsi"/>
          <w:spacing w:val="13"/>
          <w:sz w:val="20"/>
          <w:szCs w:val="20"/>
        </w:rPr>
        <w:t xml:space="preserve"> </w:t>
      </w:r>
      <w:r w:rsidRPr="000977F7">
        <w:rPr>
          <w:rFonts w:asciiTheme="majorHAnsi" w:hAnsiTheme="majorHAnsi"/>
          <w:sz w:val="20"/>
          <w:szCs w:val="20"/>
        </w:rPr>
        <w:t>аналізи</w:t>
      </w:r>
      <w:r w:rsidRPr="000977F7">
        <w:rPr>
          <w:rFonts w:asciiTheme="majorHAnsi" w:hAnsiTheme="majorHAnsi"/>
          <w:spacing w:val="13"/>
          <w:sz w:val="20"/>
          <w:szCs w:val="20"/>
        </w:rPr>
        <w:t xml:space="preserve"> </w:t>
      </w:r>
      <w:r w:rsidRPr="000977F7">
        <w:rPr>
          <w:rFonts w:asciiTheme="majorHAnsi" w:hAnsiTheme="majorHAnsi"/>
          <w:sz w:val="20"/>
          <w:szCs w:val="20"/>
        </w:rPr>
        <w:t>таких</w:t>
      </w:r>
      <w:r w:rsidRPr="000977F7">
        <w:rPr>
          <w:rFonts w:asciiTheme="majorHAnsi" w:hAnsiTheme="majorHAnsi"/>
          <w:spacing w:val="15"/>
          <w:sz w:val="20"/>
          <w:szCs w:val="20"/>
        </w:rPr>
        <w:t xml:space="preserve"> </w:t>
      </w:r>
      <w:r w:rsidRPr="000977F7">
        <w:rPr>
          <w:rFonts w:asciiTheme="majorHAnsi" w:hAnsiTheme="majorHAnsi"/>
          <w:sz w:val="20"/>
          <w:szCs w:val="20"/>
        </w:rPr>
        <w:t>даних</w:t>
      </w:r>
      <w:r w:rsidRPr="000977F7">
        <w:rPr>
          <w:rFonts w:asciiTheme="majorHAnsi" w:hAnsiTheme="majorHAnsi"/>
          <w:spacing w:val="12"/>
          <w:sz w:val="20"/>
          <w:szCs w:val="20"/>
        </w:rPr>
        <w:t xml:space="preserve"> </w:t>
      </w:r>
      <w:r w:rsidRPr="000977F7">
        <w:rPr>
          <w:rFonts w:asciiTheme="majorHAnsi" w:hAnsiTheme="majorHAnsi"/>
          <w:sz w:val="20"/>
          <w:szCs w:val="20"/>
        </w:rPr>
        <w:t>можуть</w:t>
      </w:r>
      <w:r w:rsidRPr="000977F7">
        <w:rPr>
          <w:rFonts w:asciiTheme="majorHAnsi" w:hAnsiTheme="majorHAnsi"/>
          <w:spacing w:val="13"/>
          <w:sz w:val="20"/>
          <w:szCs w:val="20"/>
        </w:rPr>
        <w:t xml:space="preserve"> </w:t>
      </w:r>
      <w:r w:rsidRPr="000977F7">
        <w:rPr>
          <w:rFonts w:asciiTheme="majorHAnsi" w:hAnsiTheme="majorHAnsi"/>
          <w:sz w:val="20"/>
          <w:szCs w:val="20"/>
        </w:rPr>
        <w:t>забезпечити</w:t>
      </w:r>
      <w:r w:rsidRPr="000977F7">
        <w:rPr>
          <w:rFonts w:asciiTheme="majorHAnsi" w:hAnsiTheme="majorHAnsi"/>
          <w:spacing w:val="11"/>
          <w:sz w:val="20"/>
          <w:szCs w:val="20"/>
        </w:rPr>
        <w:t xml:space="preserve"> </w:t>
      </w:r>
      <w:r w:rsidRPr="000977F7">
        <w:rPr>
          <w:rFonts w:asciiTheme="majorHAnsi" w:hAnsiTheme="majorHAnsi"/>
          <w:sz w:val="20"/>
          <w:szCs w:val="20"/>
        </w:rPr>
        <w:t>краще</w:t>
      </w:r>
      <w:r w:rsidRPr="000977F7">
        <w:rPr>
          <w:rFonts w:asciiTheme="majorHAnsi" w:hAnsiTheme="majorHAnsi"/>
          <w:spacing w:val="14"/>
          <w:sz w:val="20"/>
          <w:szCs w:val="20"/>
        </w:rPr>
        <w:t xml:space="preserve"> </w:t>
      </w:r>
      <w:r w:rsidRPr="000977F7">
        <w:rPr>
          <w:rFonts w:asciiTheme="majorHAnsi" w:hAnsiTheme="majorHAnsi"/>
          <w:sz w:val="20"/>
          <w:szCs w:val="20"/>
        </w:rPr>
        <w:t>розуміння</w:t>
      </w:r>
      <w:r w:rsidRPr="000977F7">
        <w:rPr>
          <w:rFonts w:asciiTheme="majorHAnsi" w:hAnsiTheme="majorHAnsi"/>
          <w:spacing w:val="12"/>
          <w:sz w:val="20"/>
          <w:szCs w:val="20"/>
        </w:rPr>
        <w:t xml:space="preserve"> </w:t>
      </w:r>
      <w:r w:rsidRPr="000977F7">
        <w:rPr>
          <w:rFonts w:asciiTheme="majorHAnsi" w:hAnsiTheme="majorHAnsi"/>
          <w:sz w:val="20"/>
          <w:szCs w:val="20"/>
        </w:rPr>
        <w:t>природи,</w:t>
      </w:r>
      <w:r w:rsidRPr="000977F7">
        <w:rPr>
          <w:rFonts w:asciiTheme="majorHAnsi" w:hAnsiTheme="majorHAnsi"/>
          <w:spacing w:val="13"/>
          <w:sz w:val="20"/>
          <w:szCs w:val="20"/>
        </w:rPr>
        <w:t xml:space="preserve"> </w:t>
      </w:r>
      <w:r w:rsidRPr="000977F7">
        <w:rPr>
          <w:rFonts w:asciiTheme="majorHAnsi" w:hAnsiTheme="majorHAnsi"/>
          <w:sz w:val="20"/>
          <w:szCs w:val="20"/>
        </w:rPr>
        <w:t>ступеню</w:t>
      </w:r>
      <w:r w:rsidRPr="000977F7">
        <w:rPr>
          <w:rFonts w:asciiTheme="majorHAnsi" w:hAnsiTheme="majorHAnsi"/>
          <w:spacing w:val="-47"/>
          <w:sz w:val="20"/>
          <w:szCs w:val="20"/>
        </w:rPr>
        <w:t xml:space="preserve"> </w:t>
      </w:r>
      <w:r w:rsidRPr="000977F7">
        <w:rPr>
          <w:rFonts w:asciiTheme="majorHAnsi" w:hAnsiTheme="majorHAnsi"/>
          <w:sz w:val="20"/>
          <w:szCs w:val="20"/>
        </w:rPr>
        <w:t>і</w:t>
      </w:r>
      <w:r w:rsidRPr="000977F7">
        <w:rPr>
          <w:rFonts w:asciiTheme="majorHAnsi" w:hAnsiTheme="majorHAnsi"/>
          <w:spacing w:val="16"/>
          <w:sz w:val="20"/>
          <w:szCs w:val="20"/>
        </w:rPr>
        <w:t xml:space="preserve"> </w:t>
      </w:r>
      <w:r w:rsidRPr="000977F7">
        <w:rPr>
          <w:rFonts w:asciiTheme="majorHAnsi" w:hAnsiTheme="majorHAnsi"/>
          <w:sz w:val="20"/>
          <w:szCs w:val="20"/>
        </w:rPr>
        <w:t>причин</w:t>
      </w:r>
      <w:r w:rsidRPr="000977F7">
        <w:rPr>
          <w:rFonts w:asciiTheme="majorHAnsi" w:hAnsiTheme="majorHAnsi"/>
          <w:spacing w:val="16"/>
          <w:sz w:val="20"/>
          <w:szCs w:val="20"/>
        </w:rPr>
        <w:t xml:space="preserve"> </w:t>
      </w:r>
      <w:r w:rsidRPr="000977F7">
        <w:rPr>
          <w:rFonts w:asciiTheme="majorHAnsi" w:hAnsiTheme="majorHAnsi"/>
          <w:sz w:val="20"/>
          <w:szCs w:val="20"/>
        </w:rPr>
        <w:t>варіабельності.</w:t>
      </w:r>
      <w:r w:rsidRPr="000977F7">
        <w:rPr>
          <w:rFonts w:asciiTheme="majorHAnsi" w:hAnsiTheme="majorHAnsi"/>
          <w:spacing w:val="16"/>
          <w:sz w:val="20"/>
          <w:szCs w:val="20"/>
        </w:rPr>
        <w:t xml:space="preserve"> </w:t>
      </w:r>
      <w:r w:rsidRPr="000977F7">
        <w:rPr>
          <w:rFonts w:asciiTheme="majorHAnsi" w:hAnsiTheme="majorHAnsi"/>
          <w:sz w:val="20"/>
          <w:szCs w:val="20"/>
        </w:rPr>
        <w:t>Це</w:t>
      </w:r>
      <w:r w:rsidRPr="000977F7">
        <w:rPr>
          <w:rFonts w:asciiTheme="majorHAnsi" w:hAnsiTheme="majorHAnsi"/>
          <w:spacing w:val="20"/>
          <w:sz w:val="20"/>
          <w:szCs w:val="20"/>
        </w:rPr>
        <w:t xml:space="preserve"> </w:t>
      </w:r>
      <w:r w:rsidRPr="000977F7">
        <w:rPr>
          <w:rFonts w:asciiTheme="majorHAnsi" w:hAnsiTheme="majorHAnsi"/>
          <w:sz w:val="20"/>
          <w:szCs w:val="20"/>
        </w:rPr>
        <w:t>може</w:t>
      </w:r>
      <w:r w:rsidRPr="000977F7">
        <w:rPr>
          <w:rFonts w:asciiTheme="majorHAnsi" w:hAnsiTheme="majorHAnsi"/>
          <w:spacing w:val="16"/>
          <w:sz w:val="20"/>
          <w:szCs w:val="20"/>
        </w:rPr>
        <w:t xml:space="preserve"> </w:t>
      </w:r>
      <w:r w:rsidRPr="000977F7">
        <w:rPr>
          <w:rFonts w:asciiTheme="majorHAnsi" w:hAnsiTheme="majorHAnsi"/>
          <w:sz w:val="20"/>
          <w:szCs w:val="20"/>
        </w:rPr>
        <w:t>допомогти</w:t>
      </w:r>
      <w:r w:rsidRPr="000977F7">
        <w:rPr>
          <w:rFonts w:asciiTheme="majorHAnsi" w:hAnsiTheme="majorHAnsi"/>
          <w:spacing w:val="16"/>
          <w:sz w:val="20"/>
          <w:szCs w:val="20"/>
        </w:rPr>
        <w:t xml:space="preserve"> </w:t>
      </w:r>
      <w:r w:rsidRPr="000977F7">
        <w:rPr>
          <w:rFonts w:asciiTheme="majorHAnsi" w:hAnsiTheme="majorHAnsi"/>
          <w:sz w:val="20"/>
          <w:szCs w:val="20"/>
        </w:rPr>
        <w:t>вирішити</w:t>
      </w:r>
      <w:r w:rsidRPr="000977F7">
        <w:rPr>
          <w:rFonts w:asciiTheme="majorHAnsi" w:hAnsiTheme="majorHAnsi"/>
          <w:spacing w:val="45"/>
          <w:sz w:val="20"/>
          <w:szCs w:val="20"/>
        </w:rPr>
        <w:t xml:space="preserve"> </w:t>
      </w:r>
      <w:r w:rsidRPr="000977F7">
        <w:rPr>
          <w:rFonts w:asciiTheme="majorHAnsi" w:hAnsiTheme="majorHAnsi"/>
          <w:sz w:val="20"/>
          <w:szCs w:val="20"/>
        </w:rPr>
        <w:t>і</w:t>
      </w:r>
      <w:r w:rsidRPr="000977F7">
        <w:rPr>
          <w:rFonts w:asciiTheme="majorHAnsi" w:hAnsiTheme="majorHAnsi"/>
          <w:spacing w:val="46"/>
          <w:sz w:val="20"/>
          <w:szCs w:val="20"/>
        </w:rPr>
        <w:t xml:space="preserve"> </w:t>
      </w:r>
      <w:r w:rsidRPr="000977F7">
        <w:rPr>
          <w:rFonts w:asciiTheme="majorHAnsi" w:hAnsiTheme="majorHAnsi"/>
          <w:sz w:val="20"/>
          <w:szCs w:val="20"/>
        </w:rPr>
        <w:t>навіть</w:t>
      </w:r>
      <w:r w:rsidRPr="000977F7">
        <w:rPr>
          <w:rFonts w:asciiTheme="majorHAnsi" w:hAnsiTheme="majorHAnsi"/>
          <w:spacing w:val="46"/>
          <w:sz w:val="20"/>
          <w:szCs w:val="20"/>
        </w:rPr>
        <w:t xml:space="preserve"> </w:t>
      </w:r>
      <w:r w:rsidRPr="000977F7">
        <w:rPr>
          <w:rFonts w:asciiTheme="majorHAnsi" w:hAnsiTheme="majorHAnsi"/>
          <w:sz w:val="20"/>
          <w:szCs w:val="20"/>
        </w:rPr>
        <w:t>запобігти</w:t>
      </w:r>
      <w:r w:rsidRPr="000977F7">
        <w:rPr>
          <w:rFonts w:asciiTheme="majorHAnsi" w:hAnsiTheme="majorHAnsi"/>
          <w:spacing w:val="45"/>
          <w:sz w:val="20"/>
          <w:szCs w:val="20"/>
        </w:rPr>
        <w:t xml:space="preserve"> </w:t>
      </w:r>
      <w:r w:rsidRPr="000977F7">
        <w:rPr>
          <w:rFonts w:asciiTheme="majorHAnsi" w:hAnsiTheme="majorHAnsi"/>
          <w:sz w:val="20"/>
          <w:szCs w:val="20"/>
        </w:rPr>
        <w:t>проблем,</w:t>
      </w:r>
      <w:r w:rsidRPr="000977F7">
        <w:rPr>
          <w:rFonts w:asciiTheme="majorHAnsi" w:hAnsiTheme="majorHAnsi"/>
          <w:spacing w:val="47"/>
          <w:sz w:val="20"/>
          <w:szCs w:val="20"/>
        </w:rPr>
        <w:t xml:space="preserve"> </w:t>
      </w:r>
      <w:r w:rsidRPr="000977F7">
        <w:rPr>
          <w:rFonts w:asciiTheme="majorHAnsi" w:hAnsiTheme="majorHAnsi"/>
          <w:sz w:val="20"/>
          <w:szCs w:val="20"/>
        </w:rPr>
        <w:t>які</w:t>
      </w:r>
      <w:r w:rsidRPr="000977F7">
        <w:rPr>
          <w:rFonts w:asciiTheme="majorHAnsi" w:hAnsiTheme="majorHAnsi"/>
          <w:spacing w:val="46"/>
          <w:sz w:val="20"/>
          <w:szCs w:val="20"/>
        </w:rPr>
        <w:t xml:space="preserve"> </w:t>
      </w:r>
      <w:r w:rsidRPr="000977F7">
        <w:rPr>
          <w:rFonts w:asciiTheme="majorHAnsi" w:hAnsiTheme="majorHAnsi"/>
          <w:sz w:val="20"/>
          <w:szCs w:val="20"/>
        </w:rPr>
        <w:t>можуть</w:t>
      </w:r>
      <w:r w:rsidRPr="000977F7">
        <w:rPr>
          <w:rFonts w:asciiTheme="majorHAnsi" w:hAnsiTheme="majorHAnsi"/>
          <w:spacing w:val="46"/>
          <w:sz w:val="20"/>
          <w:szCs w:val="20"/>
        </w:rPr>
        <w:t xml:space="preserve"> </w:t>
      </w:r>
      <w:r w:rsidRPr="000977F7">
        <w:rPr>
          <w:rFonts w:asciiTheme="majorHAnsi" w:hAnsiTheme="majorHAnsi"/>
          <w:sz w:val="20"/>
          <w:szCs w:val="20"/>
        </w:rPr>
        <w:t>бути</w:t>
      </w:r>
      <w:r w:rsidRPr="000977F7">
        <w:rPr>
          <w:rFonts w:asciiTheme="majorHAnsi" w:hAnsiTheme="majorHAnsi"/>
          <w:spacing w:val="45"/>
          <w:sz w:val="20"/>
          <w:szCs w:val="20"/>
        </w:rPr>
        <w:t xml:space="preserve"> </w:t>
      </w:r>
      <w:r w:rsidRPr="000977F7">
        <w:rPr>
          <w:rFonts w:asciiTheme="majorHAnsi" w:hAnsiTheme="majorHAnsi"/>
          <w:sz w:val="20"/>
          <w:szCs w:val="20"/>
        </w:rPr>
        <w:t>результатом</w:t>
      </w:r>
      <w:r w:rsidRPr="000977F7">
        <w:rPr>
          <w:rFonts w:asciiTheme="majorHAnsi" w:hAnsiTheme="majorHAnsi"/>
          <w:spacing w:val="12"/>
          <w:sz w:val="20"/>
          <w:szCs w:val="20"/>
        </w:rPr>
        <w:t xml:space="preserve"> </w:t>
      </w:r>
      <w:r w:rsidRPr="000977F7">
        <w:rPr>
          <w:rFonts w:asciiTheme="majorHAnsi" w:hAnsiTheme="majorHAnsi"/>
          <w:sz w:val="20"/>
          <w:szCs w:val="20"/>
        </w:rPr>
        <w:t>такої</w:t>
      </w:r>
      <w:r w:rsidRPr="000977F7">
        <w:rPr>
          <w:rFonts w:asciiTheme="majorHAnsi" w:hAnsiTheme="majorHAnsi"/>
          <w:spacing w:val="11"/>
          <w:sz w:val="20"/>
          <w:szCs w:val="20"/>
        </w:rPr>
        <w:t xml:space="preserve"> </w:t>
      </w:r>
      <w:r w:rsidRPr="000977F7">
        <w:rPr>
          <w:rFonts w:asciiTheme="majorHAnsi" w:hAnsiTheme="majorHAnsi"/>
          <w:sz w:val="20"/>
          <w:szCs w:val="20"/>
        </w:rPr>
        <w:t>варіабельності</w:t>
      </w:r>
    </w:p>
    <w:p w14:paraId="41B1FBD7" w14:textId="77777777" w:rsidR="0097612F" w:rsidRPr="000977F7" w:rsidRDefault="0097612F" w:rsidP="000977F7">
      <w:pPr>
        <w:pStyle w:val="af6"/>
        <w:tabs>
          <w:tab w:val="left" w:pos="284"/>
        </w:tabs>
        <w:spacing w:after="0"/>
        <w:ind w:left="170" w:firstLine="50"/>
        <w:mirrorIndents/>
        <w:jc w:val="both"/>
        <w:rPr>
          <w:rFonts w:asciiTheme="majorHAnsi" w:hAnsiTheme="majorHAnsi"/>
          <w:b/>
          <w:sz w:val="20"/>
          <w:szCs w:val="20"/>
        </w:rPr>
      </w:pPr>
      <w:r w:rsidRPr="000977F7">
        <w:rPr>
          <w:rFonts w:asciiTheme="majorHAnsi" w:hAnsiTheme="majorHAnsi"/>
          <w:b/>
          <w:sz w:val="20"/>
          <w:szCs w:val="20"/>
        </w:rPr>
        <w:t>РОТАТАБЕЛЬНІСТЬ</w:t>
      </w:r>
      <w:r w:rsidRPr="000977F7">
        <w:rPr>
          <w:rFonts w:asciiTheme="majorHAnsi" w:hAnsiTheme="majorHAnsi"/>
          <w:b/>
          <w:spacing w:val="-1"/>
          <w:sz w:val="20"/>
          <w:szCs w:val="20"/>
        </w:rPr>
        <w:t xml:space="preserve"> </w:t>
      </w:r>
      <w:r w:rsidRPr="000977F7">
        <w:rPr>
          <w:rFonts w:asciiTheme="majorHAnsi" w:hAnsiTheme="majorHAnsi"/>
          <w:b/>
          <w:sz w:val="20"/>
          <w:szCs w:val="20"/>
        </w:rPr>
        <w:t>ПЛАНУ</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64173A0D"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Властивість плану, при якому дисперсія оцінки функції</w:t>
      </w:r>
      <w:r w:rsidRPr="000977F7">
        <w:rPr>
          <w:rFonts w:asciiTheme="majorHAnsi" w:hAnsiTheme="majorHAnsi"/>
          <w:spacing w:val="1"/>
          <w:sz w:val="20"/>
          <w:szCs w:val="20"/>
        </w:rPr>
        <w:t xml:space="preserve"> </w:t>
      </w:r>
      <w:r w:rsidRPr="000977F7">
        <w:rPr>
          <w:rFonts w:asciiTheme="majorHAnsi" w:hAnsiTheme="majorHAnsi"/>
          <w:sz w:val="20"/>
          <w:szCs w:val="20"/>
        </w:rPr>
        <w:t>відгуку</w:t>
      </w:r>
      <w:r w:rsidRPr="000977F7">
        <w:rPr>
          <w:rFonts w:asciiTheme="majorHAnsi" w:hAnsiTheme="majorHAnsi"/>
          <w:spacing w:val="1"/>
          <w:sz w:val="20"/>
          <w:szCs w:val="20"/>
        </w:rPr>
        <w:t xml:space="preserve"> </w:t>
      </w:r>
      <w:r w:rsidRPr="000977F7">
        <w:rPr>
          <w:rFonts w:asciiTheme="majorHAnsi" w:hAnsiTheme="majorHAnsi"/>
          <w:sz w:val="20"/>
          <w:szCs w:val="20"/>
        </w:rPr>
        <w:t>залежить</w:t>
      </w:r>
      <w:r w:rsidRPr="000977F7">
        <w:rPr>
          <w:rFonts w:asciiTheme="majorHAnsi" w:hAnsiTheme="majorHAnsi"/>
          <w:spacing w:val="1"/>
          <w:sz w:val="20"/>
          <w:szCs w:val="20"/>
        </w:rPr>
        <w:t xml:space="preserve"> </w:t>
      </w:r>
      <w:r w:rsidRPr="000977F7">
        <w:rPr>
          <w:rFonts w:asciiTheme="majorHAnsi" w:hAnsiTheme="majorHAnsi"/>
          <w:sz w:val="20"/>
          <w:szCs w:val="20"/>
        </w:rPr>
        <w:t>тільки</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відстані</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центру</w:t>
      </w:r>
      <w:r w:rsidRPr="000977F7">
        <w:rPr>
          <w:rFonts w:asciiTheme="majorHAnsi" w:hAnsiTheme="majorHAnsi"/>
          <w:spacing w:val="-47"/>
          <w:sz w:val="20"/>
          <w:szCs w:val="20"/>
        </w:rPr>
        <w:t xml:space="preserve"> </w:t>
      </w:r>
    </w:p>
    <w:p w14:paraId="6A1AE17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РУЙНІВНІ</w:t>
      </w:r>
      <w:r w:rsidRPr="000977F7">
        <w:rPr>
          <w:color w:val="auto"/>
          <w:spacing w:val="-5"/>
          <w:sz w:val="20"/>
          <w:szCs w:val="20"/>
        </w:rPr>
        <w:t xml:space="preserve"> </w:t>
      </w:r>
      <w:r w:rsidRPr="000977F7">
        <w:rPr>
          <w:color w:val="auto"/>
          <w:sz w:val="20"/>
          <w:szCs w:val="20"/>
        </w:rPr>
        <w:t>ВИПРОБУВАННЯ</w:t>
      </w:r>
      <w:r w:rsidRPr="000977F7">
        <w:rPr>
          <w:color w:val="auto"/>
          <w:spacing w:val="-1"/>
          <w:sz w:val="20"/>
          <w:szCs w:val="20"/>
        </w:rPr>
        <w:t xml:space="preserve"> </w:t>
      </w:r>
      <w:r w:rsidRPr="000977F7">
        <w:rPr>
          <w:color w:val="auto"/>
          <w:sz w:val="20"/>
          <w:szCs w:val="20"/>
        </w:rPr>
        <w:t>–</w:t>
      </w:r>
    </w:p>
    <w:p w14:paraId="244926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DESTRUCTIVE</w:t>
      </w:r>
      <w:r w:rsidRPr="000977F7">
        <w:rPr>
          <w:rFonts w:asciiTheme="majorHAnsi" w:hAnsiTheme="majorHAnsi"/>
          <w:spacing w:val="-4"/>
          <w:sz w:val="20"/>
          <w:szCs w:val="20"/>
        </w:rPr>
        <w:t xml:space="preserve"> </w:t>
      </w:r>
      <w:r w:rsidRPr="000977F7">
        <w:rPr>
          <w:rFonts w:asciiTheme="majorHAnsi" w:hAnsiTheme="majorHAnsi"/>
          <w:sz w:val="20"/>
          <w:szCs w:val="20"/>
        </w:rPr>
        <w:t>TEST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2567BD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застосуванням</w:t>
      </w:r>
      <w:r w:rsidRPr="000977F7">
        <w:rPr>
          <w:rFonts w:asciiTheme="majorHAnsi" w:hAnsiTheme="majorHAnsi"/>
          <w:spacing w:val="1"/>
          <w:sz w:val="20"/>
          <w:szCs w:val="20"/>
        </w:rPr>
        <w:t xml:space="preserve"> </w:t>
      </w:r>
      <w:r w:rsidRPr="000977F7">
        <w:rPr>
          <w:rFonts w:asciiTheme="majorHAnsi" w:hAnsiTheme="majorHAnsi"/>
          <w:sz w:val="20"/>
          <w:szCs w:val="20"/>
        </w:rPr>
        <w:t>руйнівних</w:t>
      </w:r>
      <w:r w:rsidRPr="000977F7">
        <w:rPr>
          <w:rFonts w:asciiTheme="majorHAnsi" w:hAnsiTheme="majorHAnsi"/>
          <w:spacing w:val="1"/>
          <w:sz w:val="20"/>
          <w:szCs w:val="20"/>
        </w:rPr>
        <w:t xml:space="preserve"> </w:t>
      </w:r>
      <w:r w:rsidRPr="000977F7">
        <w:rPr>
          <w:rFonts w:asciiTheme="majorHAnsi" w:hAnsiTheme="majorHAnsi"/>
          <w:sz w:val="20"/>
          <w:szCs w:val="20"/>
        </w:rPr>
        <w:t>методів</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p>
    <w:p w14:paraId="17E44C53"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РУЙНУВАННЯ –</w:t>
      </w:r>
    </w:p>
    <w:p w14:paraId="2C50C1A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DESTRUCTION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121F1A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Розділення</w:t>
      </w:r>
      <w:r w:rsidRPr="000977F7">
        <w:rPr>
          <w:rFonts w:asciiTheme="majorHAnsi" w:hAnsiTheme="majorHAnsi"/>
          <w:spacing w:val="1"/>
          <w:sz w:val="20"/>
          <w:szCs w:val="20"/>
        </w:rPr>
        <w:t xml:space="preserve"> </w:t>
      </w:r>
      <w:r w:rsidRPr="000977F7">
        <w:rPr>
          <w:rFonts w:asciiTheme="majorHAnsi" w:hAnsiTheme="majorHAnsi"/>
          <w:sz w:val="20"/>
          <w:szCs w:val="20"/>
        </w:rPr>
        <w:t>матеріалу</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повною</w:t>
      </w:r>
      <w:r w:rsidRPr="000977F7">
        <w:rPr>
          <w:rFonts w:asciiTheme="majorHAnsi" w:hAnsiTheme="majorHAnsi"/>
          <w:spacing w:val="1"/>
          <w:sz w:val="20"/>
          <w:szCs w:val="20"/>
        </w:rPr>
        <w:t xml:space="preserve"> </w:t>
      </w:r>
      <w:r w:rsidRPr="000977F7">
        <w:rPr>
          <w:rFonts w:asciiTheme="majorHAnsi" w:hAnsiTheme="majorHAnsi"/>
          <w:sz w:val="20"/>
          <w:szCs w:val="20"/>
        </w:rPr>
        <w:t>втратою</w:t>
      </w:r>
      <w:r w:rsidRPr="000977F7">
        <w:rPr>
          <w:rFonts w:asciiTheme="majorHAnsi" w:hAnsiTheme="majorHAnsi"/>
          <w:spacing w:val="-1"/>
          <w:sz w:val="20"/>
          <w:szCs w:val="20"/>
        </w:rPr>
        <w:t xml:space="preserve"> </w:t>
      </w:r>
      <w:r w:rsidRPr="000977F7">
        <w:rPr>
          <w:rFonts w:asciiTheme="majorHAnsi" w:hAnsiTheme="majorHAnsi"/>
          <w:sz w:val="20"/>
          <w:szCs w:val="20"/>
        </w:rPr>
        <w:t>його міцності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працездатності</w:t>
      </w:r>
    </w:p>
    <w:p w14:paraId="7E410A54"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2860 – 94</w:t>
      </w:r>
    </w:p>
    <w:p w14:paraId="2036373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РУЙНІВНИЙ</w:t>
      </w:r>
      <w:r w:rsidRPr="000977F7">
        <w:rPr>
          <w:color w:val="auto"/>
          <w:spacing w:val="-3"/>
          <w:sz w:val="20"/>
          <w:szCs w:val="20"/>
        </w:rPr>
        <w:t xml:space="preserve"> </w:t>
      </w:r>
      <w:r w:rsidRPr="000977F7">
        <w:rPr>
          <w:color w:val="auto"/>
          <w:sz w:val="20"/>
          <w:szCs w:val="20"/>
        </w:rPr>
        <w:t>КОНТРОЛЬ –</w:t>
      </w:r>
    </w:p>
    <w:p w14:paraId="5AF13F2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b w:val="0"/>
          <w:bCs/>
          <w:color w:val="auto"/>
          <w:sz w:val="20"/>
          <w:szCs w:val="20"/>
        </w:rPr>
        <w:t>DESTRUCTIVE</w:t>
      </w:r>
      <w:r w:rsidRPr="000977F7">
        <w:rPr>
          <w:b w:val="0"/>
          <w:bCs/>
          <w:color w:val="auto"/>
          <w:spacing w:val="-6"/>
          <w:sz w:val="20"/>
          <w:szCs w:val="20"/>
        </w:rPr>
        <w:t xml:space="preserve"> </w:t>
      </w:r>
      <w:r w:rsidRPr="000977F7">
        <w:rPr>
          <w:b w:val="0"/>
          <w:bCs/>
          <w:color w:val="auto"/>
          <w:sz w:val="20"/>
          <w:szCs w:val="20"/>
        </w:rPr>
        <w:t>INSPECTION</w:t>
      </w:r>
      <w:r w:rsidRPr="000977F7">
        <w:rPr>
          <w:color w:val="auto"/>
          <w:spacing w:val="-2"/>
          <w:sz w:val="20"/>
          <w:szCs w:val="20"/>
        </w:rPr>
        <w:t xml:space="preserve"> </w:t>
      </w:r>
      <w:r w:rsidRPr="000977F7">
        <w:rPr>
          <w:color w:val="auto"/>
          <w:sz w:val="20"/>
          <w:szCs w:val="20"/>
        </w:rPr>
        <w:t>–</w:t>
      </w:r>
    </w:p>
    <w:p w14:paraId="7411876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3021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5F843D0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РУЙНІВНІ</w:t>
      </w:r>
      <w:r w:rsidRPr="000977F7">
        <w:rPr>
          <w:color w:val="auto"/>
          <w:spacing w:val="-5"/>
          <w:sz w:val="20"/>
          <w:szCs w:val="20"/>
        </w:rPr>
        <w:t xml:space="preserve"> </w:t>
      </w:r>
      <w:r w:rsidRPr="000977F7">
        <w:rPr>
          <w:color w:val="auto"/>
          <w:sz w:val="20"/>
          <w:szCs w:val="20"/>
        </w:rPr>
        <w:t>ВИПРОБУВАННЯ</w:t>
      </w:r>
      <w:r w:rsidRPr="000977F7">
        <w:rPr>
          <w:color w:val="auto"/>
          <w:spacing w:val="-1"/>
          <w:sz w:val="20"/>
          <w:szCs w:val="20"/>
        </w:rPr>
        <w:t xml:space="preserve"> </w:t>
      </w:r>
      <w:r w:rsidRPr="000977F7">
        <w:rPr>
          <w:color w:val="auto"/>
          <w:sz w:val="20"/>
          <w:szCs w:val="20"/>
        </w:rPr>
        <w:t>–</w:t>
      </w:r>
    </w:p>
    <w:p w14:paraId="6F2621D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DESTRUCTIVE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24EC147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40"/>
          <w:sz w:val="20"/>
          <w:szCs w:val="20"/>
        </w:rPr>
        <w:t xml:space="preserve"> </w:t>
      </w:r>
      <w:r w:rsidRPr="000977F7">
        <w:rPr>
          <w:rFonts w:asciiTheme="majorHAnsi" w:hAnsiTheme="majorHAnsi"/>
          <w:sz w:val="20"/>
          <w:szCs w:val="20"/>
        </w:rPr>
        <w:t>з</w:t>
      </w:r>
      <w:r w:rsidRPr="000977F7">
        <w:rPr>
          <w:rFonts w:asciiTheme="majorHAnsi" w:hAnsiTheme="majorHAnsi"/>
          <w:spacing w:val="41"/>
          <w:sz w:val="20"/>
          <w:szCs w:val="20"/>
        </w:rPr>
        <w:t xml:space="preserve"> </w:t>
      </w:r>
      <w:r w:rsidRPr="000977F7">
        <w:rPr>
          <w:rFonts w:asciiTheme="majorHAnsi" w:hAnsiTheme="majorHAnsi"/>
          <w:sz w:val="20"/>
          <w:szCs w:val="20"/>
        </w:rPr>
        <w:t>застосуванням</w:t>
      </w:r>
      <w:r w:rsidRPr="000977F7">
        <w:rPr>
          <w:rFonts w:asciiTheme="majorHAnsi" w:hAnsiTheme="majorHAnsi"/>
          <w:spacing w:val="41"/>
          <w:sz w:val="20"/>
          <w:szCs w:val="20"/>
        </w:rPr>
        <w:t xml:space="preserve"> </w:t>
      </w:r>
      <w:r w:rsidRPr="000977F7">
        <w:rPr>
          <w:rFonts w:asciiTheme="majorHAnsi" w:hAnsiTheme="majorHAnsi"/>
          <w:sz w:val="20"/>
          <w:szCs w:val="20"/>
        </w:rPr>
        <w:t>руйнівних</w:t>
      </w:r>
      <w:r w:rsidRPr="000977F7">
        <w:rPr>
          <w:rFonts w:asciiTheme="majorHAnsi" w:hAnsiTheme="majorHAnsi"/>
          <w:spacing w:val="40"/>
          <w:sz w:val="20"/>
          <w:szCs w:val="20"/>
        </w:rPr>
        <w:t xml:space="preserve"> </w:t>
      </w:r>
      <w:r w:rsidRPr="000977F7">
        <w:rPr>
          <w:rFonts w:asciiTheme="majorHAnsi" w:hAnsiTheme="majorHAnsi"/>
          <w:sz w:val="20"/>
          <w:szCs w:val="20"/>
        </w:rPr>
        <w:t>методів</w:t>
      </w:r>
      <w:r w:rsidRPr="000977F7">
        <w:rPr>
          <w:rFonts w:asciiTheme="majorHAnsi" w:hAnsiTheme="majorHAnsi"/>
          <w:spacing w:val="-47"/>
          <w:sz w:val="20"/>
          <w:szCs w:val="20"/>
        </w:rPr>
        <w:t xml:space="preserve"> </w:t>
      </w:r>
      <w:r w:rsidRPr="000977F7">
        <w:rPr>
          <w:rFonts w:asciiTheme="majorHAnsi" w:hAnsiTheme="majorHAnsi"/>
          <w:sz w:val="20"/>
          <w:szCs w:val="20"/>
        </w:rPr>
        <w:t>контролю</w:t>
      </w:r>
    </w:p>
    <w:p w14:paraId="0FD9BBE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 95</w:t>
      </w:r>
    </w:p>
    <w:p w14:paraId="2F0B2A65"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РУЙНУВАННЯ –</w:t>
      </w:r>
      <w:r w:rsidRPr="000977F7">
        <w:rPr>
          <w:rFonts w:asciiTheme="majorHAnsi" w:hAnsiTheme="majorHAnsi"/>
          <w:b/>
          <w:spacing w:val="-47"/>
          <w:sz w:val="20"/>
          <w:szCs w:val="20"/>
        </w:rPr>
        <w:t xml:space="preserve"> </w:t>
      </w:r>
    </w:p>
    <w:p w14:paraId="5A66407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FRACTURE –</w:t>
      </w:r>
    </w:p>
    <w:p w14:paraId="1FC475B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Зародження</w:t>
      </w:r>
      <w:r w:rsidRPr="000977F7">
        <w:rPr>
          <w:rFonts w:asciiTheme="majorHAnsi" w:hAnsiTheme="majorHAnsi"/>
          <w:spacing w:val="44"/>
          <w:sz w:val="20"/>
          <w:szCs w:val="20"/>
        </w:rPr>
        <w:t xml:space="preserve"> </w:t>
      </w:r>
      <w:r w:rsidRPr="000977F7">
        <w:rPr>
          <w:rFonts w:asciiTheme="majorHAnsi" w:hAnsiTheme="majorHAnsi"/>
          <w:sz w:val="20"/>
          <w:szCs w:val="20"/>
        </w:rPr>
        <w:t>та</w:t>
      </w:r>
      <w:r w:rsidRPr="000977F7">
        <w:rPr>
          <w:rFonts w:asciiTheme="majorHAnsi" w:hAnsiTheme="majorHAnsi"/>
          <w:spacing w:val="46"/>
          <w:sz w:val="20"/>
          <w:szCs w:val="20"/>
        </w:rPr>
        <w:t xml:space="preserve"> </w:t>
      </w:r>
      <w:r w:rsidRPr="000977F7">
        <w:rPr>
          <w:rFonts w:asciiTheme="majorHAnsi" w:hAnsiTheme="majorHAnsi"/>
          <w:sz w:val="20"/>
          <w:szCs w:val="20"/>
        </w:rPr>
        <w:t>розвиток</w:t>
      </w:r>
      <w:r w:rsidRPr="000977F7">
        <w:rPr>
          <w:rFonts w:asciiTheme="majorHAnsi" w:hAnsiTheme="majorHAnsi"/>
          <w:spacing w:val="46"/>
          <w:sz w:val="20"/>
          <w:szCs w:val="20"/>
        </w:rPr>
        <w:t xml:space="preserve"> </w:t>
      </w:r>
      <w:r w:rsidRPr="000977F7">
        <w:rPr>
          <w:rFonts w:asciiTheme="majorHAnsi" w:hAnsiTheme="majorHAnsi"/>
          <w:sz w:val="20"/>
          <w:szCs w:val="20"/>
        </w:rPr>
        <w:t>у</w:t>
      </w:r>
      <w:r w:rsidRPr="000977F7">
        <w:rPr>
          <w:rFonts w:asciiTheme="majorHAnsi" w:hAnsiTheme="majorHAnsi"/>
          <w:spacing w:val="45"/>
          <w:sz w:val="20"/>
          <w:szCs w:val="20"/>
        </w:rPr>
        <w:t xml:space="preserve"> </w:t>
      </w:r>
      <w:r w:rsidRPr="000977F7">
        <w:rPr>
          <w:rFonts w:asciiTheme="majorHAnsi" w:hAnsiTheme="majorHAnsi"/>
          <w:sz w:val="20"/>
          <w:szCs w:val="20"/>
        </w:rPr>
        <w:t>матеріалі</w:t>
      </w:r>
      <w:r w:rsidRPr="000977F7">
        <w:rPr>
          <w:rFonts w:asciiTheme="majorHAnsi" w:hAnsiTheme="majorHAnsi"/>
          <w:spacing w:val="46"/>
          <w:sz w:val="20"/>
          <w:szCs w:val="20"/>
        </w:rPr>
        <w:t xml:space="preserve"> </w:t>
      </w:r>
      <w:r w:rsidRPr="000977F7">
        <w:rPr>
          <w:rFonts w:asciiTheme="majorHAnsi" w:hAnsiTheme="majorHAnsi"/>
          <w:sz w:val="20"/>
          <w:szCs w:val="20"/>
        </w:rPr>
        <w:t>дефектів</w:t>
      </w:r>
      <w:r w:rsidRPr="000977F7">
        <w:rPr>
          <w:rFonts w:asciiTheme="majorHAnsi" w:hAnsiTheme="majorHAnsi"/>
          <w:spacing w:val="44"/>
          <w:sz w:val="20"/>
          <w:szCs w:val="20"/>
        </w:rPr>
        <w:t xml:space="preserve"> </w:t>
      </w:r>
      <w:r w:rsidRPr="000977F7">
        <w:rPr>
          <w:rFonts w:asciiTheme="majorHAnsi" w:hAnsiTheme="majorHAnsi"/>
          <w:sz w:val="20"/>
          <w:szCs w:val="20"/>
        </w:rPr>
        <w:t>і</w:t>
      </w:r>
      <w:r w:rsidRPr="000977F7">
        <w:rPr>
          <w:rFonts w:asciiTheme="majorHAnsi" w:hAnsiTheme="majorHAnsi"/>
          <w:spacing w:val="46"/>
          <w:sz w:val="20"/>
          <w:szCs w:val="20"/>
        </w:rPr>
        <w:t xml:space="preserve"> </w:t>
      </w:r>
      <w:r w:rsidRPr="000977F7">
        <w:rPr>
          <w:rFonts w:asciiTheme="majorHAnsi" w:hAnsiTheme="majorHAnsi"/>
          <w:sz w:val="20"/>
          <w:szCs w:val="20"/>
        </w:rPr>
        <w:t>(чи)</w:t>
      </w:r>
      <w:r w:rsidRPr="000977F7">
        <w:rPr>
          <w:rFonts w:asciiTheme="majorHAnsi" w:hAnsiTheme="majorHAnsi"/>
          <w:spacing w:val="-47"/>
          <w:sz w:val="20"/>
          <w:szCs w:val="20"/>
        </w:rPr>
        <w:t xml:space="preserve"> </w:t>
      </w:r>
      <w:r w:rsidRPr="000977F7">
        <w:rPr>
          <w:rFonts w:asciiTheme="majorHAnsi" w:hAnsiTheme="majorHAnsi"/>
          <w:sz w:val="20"/>
          <w:szCs w:val="20"/>
        </w:rPr>
        <w:t>розділення</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r w:rsidRPr="000977F7">
        <w:rPr>
          <w:rFonts w:asciiTheme="majorHAnsi" w:hAnsiTheme="majorHAnsi"/>
          <w:spacing w:val="3"/>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p>
    <w:p w14:paraId="4EE4CED0"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2825 - 94; ДСТУ 2444 - 94</w:t>
      </w:r>
      <w:r w:rsidRPr="000977F7">
        <w:rPr>
          <w:rFonts w:asciiTheme="majorHAnsi" w:hAnsiTheme="majorHAnsi"/>
          <w:i/>
          <w:spacing w:val="-47"/>
          <w:sz w:val="20"/>
          <w:szCs w:val="20"/>
        </w:rPr>
        <w:t xml:space="preserve"> </w:t>
      </w:r>
    </w:p>
    <w:p w14:paraId="3ADED987"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bookmarkStart w:id="255" w:name="_Hlk103671527"/>
      <w:r w:rsidRPr="000977F7">
        <w:rPr>
          <w:rFonts w:asciiTheme="majorHAnsi" w:hAnsiTheme="majorHAnsi"/>
          <w:b/>
          <w:bCs/>
          <w:sz w:val="20"/>
          <w:szCs w:val="20"/>
        </w:rPr>
        <w:t>РУХОМА ОГОРОЖА –</w:t>
      </w:r>
    </w:p>
    <w:p w14:paraId="124BF35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MOVABLE GUARD -</w:t>
      </w:r>
    </w:p>
    <w:bookmarkEnd w:id="255"/>
    <w:p w14:paraId="06C2847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Огорожа, яку можна відкрити без використання інструментів </w:t>
      </w:r>
    </w:p>
    <w:p w14:paraId="6F61278A"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7D36D68F"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bCs/>
          <w:i/>
          <w:spacing w:val="-47"/>
          <w:sz w:val="20"/>
          <w:szCs w:val="20"/>
        </w:rPr>
        <w:t>Р</w:t>
      </w:r>
      <w:r w:rsidRPr="000977F7">
        <w:rPr>
          <w:rFonts w:asciiTheme="majorHAnsi" w:hAnsiTheme="majorHAnsi"/>
          <w:b/>
          <w:bCs/>
          <w:sz w:val="20"/>
          <w:szCs w:val="20"/>
        </w:rPr>
        <w:t>У</w:t>
      </w:r>
      <w:r w:rsidRPr="000977F7">
        <w:rPr>
          <w:rFonts w:asciiTheme="majorHAnsi" w:hAnsiTheme="majorHAnsi"/>
          <w:b/>
          <w:sz w:val="20"/>
          <w:szCs w:val="20"/>
        </w:rPr>
        <w:t>ЧНИЙ</w:t>
      </w:r>
      <w:r w:rsidRPr="000977F7">
        <w:rPr>
          <w:rFonts w:asciiTheme="majorHAnsi" w:hAnsiTheme="majorHAnsi"/>
          <w:b/>
          <w:spacing w:val="-1"/>
          <w:sz w:val="20"/>
          <w:szCs w:val="20"/>
        </w:rPr>
        <w:t xml:space="preserve"> </w:t>
      </w:r>
      <w:r w:rsidRPr="000977F7">
        <w:rPr>
          <w:rFonts w:asciiTheme="majorHAnsi" w:hAnsiTheme="majorHAnsi"/>
          <w:b/>
          <w:sz w:val="20"/>
          <w:szCs w:val="20"/>
        </w:rPr>
        <w:t>КОНТРОЛЬ</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3BD22ED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MANUAL</w:t>
      </w:r>
      <w:r w:rsidRPr="000977F7">
        <w:rPr>
          <w:rFonts w:asciiTheme="majorHAnsi" w:hAnsiTheme="majorHAnsi"/>
          <w:spacing w:val="-2"/>
          <w:sz w:val="20"/>
          <w:szCs w:val="20"/>
        </w:rPr>
        <w:t xml:space="preserve"> </w:t>
      </w:r>
      <w:r w:rsidRPr="000977F7">
        <w:rPr>
          <w:rFonts w:asciiTheme="majorHAnsi" w:hAnsiTheme="majorHAnsi"/>
          <w:sz w:val="20"/>
          <w:szCs w:val="20"/>
        </w:rPr>
        <w:t>TESTING</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95C214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w:t>
      </w:r>
      <w:r w:rsidRPr="000977F7">
        <w:rPr>
          <w:rFonts w:asciiTheme="majorHAnsi" w:hAnsiTheme="majorHAnsi"/>
          <w:spacing w:val="7"/>
          <w:sz w:val="20"/>
          <w:szCs w:val="20"/>
        </w:rPr>
        <w:t xml:space="preserve"> </w:t>
      </w:r>
      <w:r w:rsidRPr="000977F7">
        <w:rPr>
          <w:rFonts w:asciiTheme="majorHAnsi" w:hAnsiTheme="majorHAnsi"/>
          <w:sz w:val="20"/>
          <w:szCs w:val="20"/>
        </w:rPr>
        <w:t>який</w:t>
      </w:r>
      <w:r w:rsidRPr="000977F7">
        <w:rPr>
          <w:rFonts w:asciiTheme="majorHAnsi" w:hAnsiTheme="majorHAnsi"/>
          <w:spacing w:val="5"/>
          <w:sz w:val="20"/>
          <w:szCs w:val="20"/>
        </w:rPr>
        <w:t xml:space="preserve"> </w:t>
      </w:r>
      <w:r w:rsidRPr="000977F7">
        <w:rPr>
          <w:rFonts w:asciiTheme="majorHAnsi" w:hAnsiTheme="majorHAnsi"/>
          <w:sz w:val="20"/>
          <w:szCs w:val="20"/>
        </w:rPr>
        <w:t>полягає</w:t>
      </w:r>
      <w:r w:rsidRPr="000977F7">
        <w:rPr>
          <w:rFonts w:asciiTheme="majorHAnsi" w:hAnsiTheme="majorHAnsi"/>
          <w:spacing w:val="8"/>
          <w:sz w:val="20"/>
          <w:szCs w:val="20"/>
        </w:rPr>
        <w:t xml:space="preserve"> </w:t>
      </w:r>
      <w:r w:rsidRPr="000977F7">
        <w:rPr>
          <w:rFonts w:asciiTheme="majorHAnsi" w:hAnsiTheme="majorHAnsi"/>
          <w:sz w:val="20"/>
          <w:szCs w:val="20"/>
        </w:rPr>
        <w:t>в</w:t>
      </w:r>
      <w:r w:rsidRPr="000977F7">
        <w:rPr>
          <w:rFonts w:asciiTheme="majorHAnsi" w:hAnsiTheme="majorHAnsi"/>
          <w:spacing w:val="8"/>
          <w:sz w:val="20"/>
          <w:szCs w:val="20"/>
        </w:rPr>
        <w:t xml:space="preserve"> </w:t>
      </w:r>
      <w:r w:rsidRPr="000977F7">
        <w:rPr>
          <w:rFonts w:asciiTheme="majorHAnsi" w:hAnsiTheme="majorHAnsi"/>
          <w:sz w:val="20"/>
          <w:szCs w:val="20"/>
        </w:rPr>
        <w:t>тому,</w:t>
      </w:r>
      <w:r w:rsidRPr="000977F7">
        <w:rPr>
          <w:rFonts w:asciiTheme="majorHAnsi" w:hAnsiTheme="majorHAnsi"/>
          <w:spacing w:val="7"/>
          <w:sz w:val="20"/>
          <w:szCs w:val="20"/>
        </w:rPr>
        <w:t xml:space="preserve"> </w:t>
      </w:r>
      <w:r w:rsidRPr="000977F7">
        <w:rPr>
          <w:rFonts w:asciiTheme="majorHAnsi" w:hAnsiTheme="majorHAnsi"/>
          <w:sz w:val="20"/>
          <w:szCs w:val="20"/>
        </w:rPr>
        <w:t>що</w:t>
      </w:r>
      <w:r w:rsidRPr="000977F7">
        <w:rPr>
          <w:rFonts w:asciiTheme="majorHAnsi" w:hAnsiTheme="majorHAnsi"/>
          <w:spacing w:val="8"/>
          <w:sz w:val="20"/>
          <w:szCs w:val="20"/>
        </w:rPr>
        <w:t xml:space="preserve"> </w:t>
      </w:r>
      <w:r w:rsidRPr="000977F7">
        <w:rPr>
          <w:rFonts w:asciiTheme="majorHAnsi" w:hAnsiTheme="majorHAnsi"/>
          <w:sz w:val="20"/>
          <w:szCs w:val="20"/>
        </w:rPr>
        <w:t>засіб</w:t>
      </w:r>
      <w:r w:rsidRPr="000977F7">
        <w:rPr>
          <w:rFonts w:asciiTheme="majorHAnsi" w:hAnsiTheme="majorHAnsi"/>
          <w:spacing w:val="8"/>
          <w:sz w:val="20"/>
          <w:szCs w:val="20"/>
        </w:rPr>
        <w:t xml:space="preserve"> </w:t>
      </w:r>
      <w:r w:rsidRPr="000977F7">
        <w:rPr>
          <w:rFonts w:asciiTheme="majorHAnsi" w:hAnsiTheme="majorHAnsi"/>
          <w:sz w:val="20"/>
          <w:szCs w:val="20"/>
        </w:rPr>
        <w:t>контролю</w:t>
      </w:r>
      <w:r w:rsidRPr="000977F7">
        <w:rPr>
          <w:rFonts w:asciiTheme="majorHAnsi" w:hAnsiTheme="majorHAnsi"/>
          <w:spacing w:val="7"/>
          <w:sz w:val="20"/>
          <w:szCs w:val="20"/>
        </w:rPr>
        <w:t xml:space="preserve"> </w:t>
      </w:r>
      <w:r w:rsidRPr="000977F7">
        <w:rPr>
          <w:rFonts w:asciiTheme="majorHAnsi" w:hAnsiTheme="majorHAnsi"/>
          <w:sz w:val="20"/>
          <w:szCs w:val="20"/>
        </w:rPr>
        <w:t>чи</w:t>
      </w:r>
      <w:r w:rsidRPr="000977F7">
        <w:rPr>
          <w:rFonts w:asciiTheme="majorHAnsi" w:hAnsiTheme="majorHAnsi"/>
          <w:spacing w:val="-47"/>
          <w:sz w:val="20"/>
          <w:szCs w:val="20"/>
        </w:rPr>
        <w:t xml:space="preserve"> </w:t>
      </w:r>
      <w:r w:rsidRPr="000977F7">
        <w:rPr>
          <w:rFonts w:asciiTheme="majorHAnsi" w:hAnsiTheme="majorHAnsi"/>
          <w:sz w:val="20"/>
          <w:szCs w:val="20"/>
        </w:rPr>
        <w:t>його перетворювач переміщується рукою, а показання</w:t>
      </w:r>
      <w:r w:rsidRPr="000977F7">
        <w:rPr>
          <w:rFonts w:asciiTheme="majorHAnsi" w:hAnsiTheme="majorHAnsi"/>
          <w:spacing w:val="-47"/>
          <w:sz w:val="20"/>
          <w:szCs w:val="20"/>
        </w:rPr>
        <w:t xml:space="preserve">                </w:t>
      </w:r>
      <w:r w:rsidRPr="000977F7">
        <w:rPr>
          <w:rFonts w:asciiTheme="majorHAnsi" w:hAnsiTheme="majorHAnsi"/>
          <w:sz w:val="20"/>
          <w:szCs w:val="20"/>
        </w:rPr>
        <w:t>апаратури сприймаються та оцінюються оператором</w:t>
      </w:r>
    </w:p>
    <w:p w14:paraId="2E74C66E"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sectPr w:rsidR="0097612F" w:rsidRPr="000977F7" w:rsidSect="000977F7">
          <w:type w:val="continuous"/>
          <w:pgSz w:w="11910" w:h="16840"/>
          <w:pgMar w:top="800" w:right="711" w:bottom="960" w:left="1000" w:header="0" w:footer="751" w:gutter="0"/>
          <w:cols w:num="2" w:space="454"/>
        </w:sect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2865</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0ED418D" w14:textId="77777777" w:rsidR="0097612F" w:rsidRPr="00C10197" w:rsidRDefault="0097612F" w:rsidP="00C10197">
      <w:pPr>
        <w:pStyle w:val="1"/>
        <w:rPr>
          <w:lang w:val="uk-UA"/>
        </w:rPr>
      </w:pPr>
      <w:bookmarkStart w:id="256" w:name="_Toc132629645"/>
      <w:r w:rsidRPr="00C10197">
        <w:rPr>
          <w:lang w:val="uk-UA"/>
        </w:rPr>
        <w:lastRenderedPageBreak/>
        <w:t>С</w:t>
      </w:r>
      <w:bookmarkEnd w:id="256"/>
    </w:p>
    <w:p w14:paraId="38F8A506" w14:textId="77777777" w:rsidR="0097612F" w:rsidRPr="00C10197" w:rsidRDefault="0097612F" w:rsidP="00C10197">
      <w:pPr>
        <w:pStyle w:val="1"/>
        <w:rPr>
          <w:lang w:val="uk-UA"/>
        </w:rPr>
        <w:sectPr w:rsidR="0097612F" w:rsidRPr="00C10197" w:rsidSect="000977F7">
          <w:pgSz w:w="11910" w:h="16840"/>
          <w:pgMar w:top="800" w:right="711" w:bottom="960" w:left="1000" w:header="0" w:footer="751" w:gutter="0"/>
          <w:cols w:num="2" w:space="454"/>
        </w:sectPr>
      </w:pPr>
    </w:p>
    <w:p w14:paraId="35DFB91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2"/>
          <w:sz w:val="20"/>
          <w:szCs w:val="20"/>
        </w:rPr>
        <w:t>САМОДІАГНОСТУВАННЯ</w:t>
      </w:r>
      <w:r w:rsidRPr="000977F7">
        <w:rPr>
          <w:color w:val="auto"/>
          <w:spacing w:val="-10"/>
          <w:sz w:val="20"/>
          <w:szCs w:val="20"/>
        </w:rPr>
        <w:t xml:space="preserve"> </w:t>
      </w:r>
      <w:r w:rsidRPr="000977F7">
        <w:rPr>
          <w:color w:val="auto"/>
          <w:spacing w:val="-2"/>
          <w:sz w:val="20"/>
          <w:szCs w:val="20"/>
        </w:rPr>
        <w:t>(САМОКОНТРОЛЬ)</w:t>
      </w:r>
      <w:r w:rsidRPr="000977F7">
        <w:rPr>
          <w:color w:val="auto"/>
          <w:spacing w:val="-7"/>
          <w:sz w:val="20"/>
          <w:szCs w:val="20"/>
        </w:rPr>
        <w:t xml:space="preserve"> </w:t>
      </w:r>
      <w:r w:rsidRPr="000977F7">
        <w:rPr>
          <w:color w:val="auto"/>
          <w:spacing w:val="-1"/>
          <w:sz w:val="20"/>
          <w:szCs w:val="20"/>
        </w:rPr>
        <w:t>–</w:t>
      </w:r>
    </w:p>
    <w:p w14:paraId="62CD50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SELF</w:t>
      </w:r>
      <w:r w:rsidRPr="000977F7">
        <w:rPr>
          <w:rFonts w:asciiTheme="majorHAnsi" w:hAnsiTheme="majorHAnsi"/>
          <w:spacing w:val="-2"/>
          <w:sz w:val="20"/>
          <w:szCs w:val="20"/>
        </w:rPr>
        <w:t xml:space="preserve"> </w:t>
      </w:r>
      <w:r w:rsidRPr="000977F7">
        <w:rPr>
          <w:rFonts w:asciiTheme="majorHAnsi" w:hAnsiTheme="majorHAnsi"/>
          <w:sz w:val="20"/>
          <w:szCs w:val="20"/>
        </w:rPr>
        <w:t>INSPECTION –</w:t>
      </w:r>
    </w:p>
    <w:p w14:paraId="7996E6F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Діагностування</w:t>
      </w:r>
      <w:r w:rsidRPr="000977F7">
        <w:rPr>
          <w:rFonts w:asciiTheme="majorHAnsi" w:hAnsiTheme="majorHAnsi"/>
          <w:spacing w:val="1"/>
          <w:sz w:val="20"/>
          <w:szCs w:val="20"/>
        </w:rPr>
        <w:t xml:space="preserve"> </w:t>
      </w:r>
      <w:r w:rsidRPr="000977F7">
        <w:rPr>
          <w:rFonts w:asciiTheme="majorHAnsi" w:hAnsiTheme="majorHAnsi"/>
          <w:sz w:val="20"/>
          <w:szCs w:val="20"/>
        </w:rPr>
        <w:t>(контроль)</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діагностування</w:t>
      </w:r>
      <w:r w:rsidRPr="000977F7">
        <w:rPr>
          <w:rFonts w:asciiTheme="majorHAnsi" w:hAnsiTheme="majorHAnsi"/>
          <w:spacing w:val="1"/>
          <w:sz w:val="20"/>
          <w:szCs w:val="20"/>
        </w:rPr>
        <w:t xml:space="preserve"> </w:t>
      </w:r>
      <w:r w:rsidRPr="000977F7">
        <w:rPr>
          <w:rFonts w:asciiTheme="majorHAnsi" w:hAnsiTheme="majorHAnsi"/>
          <w:sz w:val="20"/>
          <w:szCs w:val="20"/>
        </w:rPr>
        <w:t>(контролю) за допомогою вмонтованих засобів діагностування</w:t>
      </w:r>
      <w:r w:rsidRPr="000977F7">
        <w:rPr>
          <w:rFonts w:asciiTheme="majorHAnsi" w:hAnsiTheme="majorHAnsi"/>
          <w:spacing w:val="-3"/>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спеціальних</w:t>
      </w:r>
      <w:r w:rsidRPr="000977F7">
        <w:rPr>
          <w:rFonts w:asciiTheme="majorHAnsi" w:hAnsiTheme="majorHAnsi"/>
          <w:spacing w:val="-3"/>
          <w:sz w:val="20"/>
          <w:szCs w:val="20"/>
        </w:rPr>
        <w:t xml:space="preserve"> </w:t>
      </w:r>
      <w:r w:rsidRPr="000977F7">
        <w:rPr>
          <w:rFonts w:asciiTheme="majorHAnsi" w:hAnsiTheme="majorHAnsi"/>
          <w:sz w:val="20"/>
          <w:szCs w:val="20"/>
        </w:rPr>
        <w:t>програм</w:t>
      </w:r>
    </w:p>
    <w:p w14:paraId="2D286E9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327B2A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САНІТАРНА</w:t>
      </w:r>
      <w:r w:rsidRPr="000977F7">
        <w:rPr>
          <w:color w:val="auto"/>
          <w:spacing w:val="-5"/>
          <w:sz w:val="20"/>
          <w:szCs w:val="20"/>
        </w:rPr>
        <w:t xml:space="preserve"> </w:t>
      </w:r>
      <w:r w:rsidRPr="000977F7">
        <w:rPr>
          <w:color w:val="auto"/>
          <w:sz w:val="20"/>
          <w:szCs w:val="20"/>
        </w:rPr>
        <w:t>ТОКСИКОЛОГІЯ</w:t>
      </w:r>
      <w:r w:rsidRPr="000977F7">
        <w:rPr>
          <w:color w:val="auto"/>
          <w:spacing w:val="-4"/>
          <w:sz w:val="20"/>
          <w:szCs w:val="20"/>
        </w:rPr>
        <w:t xml:space="preserve"> </w:t>
      </w:r>
      <w:r w:rsidRPr="000977F7">
        <w:rPr>
          <w:color w:val="auto"/>
          <w:sz w:val="20"/>
          <w:szCs w:val="20"/>
        </w:rPr>
        <w:t>–</w:t>
      </w:r>
    </w:p>
    <w:p w14:paraId="24FCBC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Розділ токсикології, який розробляє заходи з профілактики шкідливого впливу на організм людини хімічних речовин, що зустрічаються у навколишньому середовищі,</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також у</w:t>
      </w:r>
      <w:r w:rsidRPr="000977F7">
        <w:rPr>
          <w:rFonts w:asciiTheme="majorHAnsi" w:hAnsiTheme="majorHAnsi"/>
          <w:spacing w:val="-1"/>
          <w:sz w:val="20"/>
          <w:szCs w:val="20"/>
        </w:rPr>
        <w:t xml:space="preserve"> </w:t>
      </w:r>
      <w:r w:rsidRPr="000977F7">
        <w:rPr>
          <w:rFonts w:asciiTheme="majorHAnsi" w:hAnsiTheme="majorHAnsi"/>
          <w:sz w:val="20"/>
          <w:szCs w:val="20"/>
        </w:rPr>
        <w:t>продуктах</w:t>
      </w:r>
      <w:r w:rsidRPr="000977F7">
        <w:rPr>
          <w:rFonts w:asciiTheme="majorHAnsi" w:hAnsiTheme="majorHAnsi"/>
          <w:spacing w:val="-2"/>
          <w:sz w:val="20"/>
          <w:szCs w:val="20"/>
        </w:rPr>
        <w:t xml:space="preserve"> </w:t>
      </w:r>
      <w:r w:rsidRPr="000977F7">
        <w:rPr>
          <w:rFonts w:asciiTheme="majorHAnsi" w:hAnsiTheme="majorHAnsi"/>
          <w:sz w:val="20"/>
          <w:szCs w:val="20"/>
        </w:rPr>
        <w:t>харчування</w:t>
      </w:r>
    </w:p>
    <w:p w14:paraId="0ED9726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3038 - 95</w:t>
      </w:r>
    </w:p>
    <w:p w14:paraId="4707488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САНІТАРНА ХАРАКТЕРИСТИКА УМОВ ПРАЦІ –</w:t>
      </w:r>
    </w:p>
    <w:p w14:paraId="7D75BB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Відповідність чинників виробничого середовища гігієнічним вимогам</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нормативам</w:t>
      </w:r>
    </w:p>
    <w:p w14:paraId="2894FBE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3038 - 95</w:t>
      </w:r>
    </w:p>
    <w:p w14:paraId="76905FD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САНІТАРНЕ ТА ЕПІДЕМІЧНЕ БЛАГОПОЛУЧЧЯ НАСЕЛЕННЯ –</w:t>
      </w:r>
    </w:p>
    <w:p w14:paraId="1BBAEC7E"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Стан здоров'я населення та середовища життєдіяльності людини, при якому показники захворюваності перебувають на усталеному рівні для даної території, умови проживання сприятливі для населення, а параметри факторів середовища життєдіяльності знаходяться в межах, визначених санітарними нормами</w:t>
      </w:r>
    </w:p>
    <w:p w14:paraId="6D0F68A0"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забезпечення санітарного та епідемічного благополуччя населення"</w:t>
      </w:r>
    </w:p>
    <w:p w14:paraId="032DAD9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САНІТАРНИЙ</w:t>
      </w:r>
      <w:r w:rsidRPr="000977F7">
        <w:rPr>
          <w:color w:val="auto"/>
          <w:spacing w:val="-3"/>
          <w:sz w:val="20"/>
          <w:szCs w:val="20"/>
        </w:rPr>
        <w:t xml:space="preserve"> </w:t>
      </w:r>
      <w:r w:rsidRPr="000977F7">
        <w:rPr>
          <w:color w:val="auto"/>
          <w:sz w:val="20"/>
          <w:szCs w:val="20"/>
        </w:rPr>
        <w:t>СТАН</w:t>
      </w:r>
      <w:r w:rsidRPr="000977F7">
        <w:rPr>
          <w:color w:val="auto"/>
          <w:spacing w:val="-3"/>
          <w:sz w:val="20"/>
          <w:szCs w:val="20"/>
        </w:rPr>
        <w:t xml:space="preserve"> </w:t>
      </w:r>
      <w:r w:rsidRPr="000977F7">
        <w:rPr>
          <w:color w:val="auto"/>
          <w:sz w:val="20"/>
          <w:szCs w:val="20"/>
        </w:rPr>
        <w:t>ГРУНТІВ</w:t>
      </w:r>
      <w:r w:rsidRPr="000977F7">
        <w:rPr>
          <w:color w:val="auto"/>
          <w:spacing w:val="-2"/>
          <w:sz w:val="20"/>
          <w:szCs w:val="20"/>
        </w:rPr>
        <w:t xml:space="preserve"> </w:t>
      </w:r>
      <w:r w:rsidRPr="000977F7">
        <w:rPr>
          <w:color w:val="auto"/>
          <w:sz w:val="20"/>
          <w:szCs w:val="20"/>
        </w:rPr>
        <w:t>–</w:t>
      </w:r>
    </w:p>
    <w:p w14:paraId="0A68A62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Сукупність фізико-хімічних та біологічних властивостей ґрунту, які визначають ступінь його безпеки 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здоров’я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людини</w:t>
      </w:r>
    </w:p>
    <w:p w14:paraId="6BBB50D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3038 - 95</w:t>
      </w:r>
    </w:p>
    <w:p w14:paraId="0C19C9D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САНІТАРНІ ТА ПРОТИЕПІДЕМІЧНІ ЗАХОДИ –</w:t>
      </w:r>
    </w:p>
    <w:p w14:paraId="546174E7"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Комплекс організаційних, адміністративних, інженерно-технічних, медичних, нормативних, екологічних, ветеринарних та інших заходів, спрямованих на усунення або зменшення шкідливого впливу на людину факторів середовища життєдіяльності, запобігання виникненню і поширенню інфекційних хвороб і масових неінфекційних захворювань (отруєнь) та їх ліквідацію</w:t>
      </w:r>
    </w:p>
    <w:p w14:paraId="39CEB169"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забезпечення санітарного та епідемічного благополуччя населення"</w:t>
      </w:r>
    </w:p>
    <w:p w14:paraId="4978EDC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САНІТАРНО - ГІГІЄНІЧНА</w:t>
      </w:r>
      <w:r w:rsidRPr="000977F7">
        <w:rPr>
          <w:color w:val="auto"/>
          <w:spacing w:val="-6"/>
          <w:sz w:val="20"/>
          <w:szCs w:val="20"/>
        </w:rPr>
        <w:t xml:space="preserve"> </w:t>
      </w:r>
      <w:r w:rsidRPr="000977F7">
        <w:rPr>
          <w:color w:val="auto"/>
          <w:sz w:val="20"/>
          <w:szCs w:val="20"/>
        </w:rPr>
        <w:t>ЕКСПЕРТИЗА</w:t>
      </w:r>
      <w:r w:rsidRPr="000977F7">
        <w:rPr>
          <w:color w:val="auto"/>
          <w:spacing w:val="-6"/>
          <w:sz w:val="20"/>
          <w:szCs w:val="20"/>
        </w:rPr>
        <w:t xml:space="preserve"> </w:t>
      </w:r>
      <w:r w:rsidRPr="000977F7">
        <w:rPr>
          <w:color w:val="auto"/>
          <w:sz w:val="20"/>
          <w:szCs w:val="20"/>
        </w:rPr>
        <w:t>–</w:t>
      </w:r>
    </w:p>
    <w:p w14:paraId="3F469C9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Експертиза, що з’ясовує відповідність об’єкта експертизи державним санітарним нормам і правилам, гігієнічним регламентам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нормативам</w:t>
      </w:r>
    </w:p>
    <w:p w14:paraId="12F260F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3038 - 95</w:t>
      </w:r>
    </w:p>
    <w:p w14:paraId="777FA7B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САНІТАРНО - ЕПІДЕМІЧНА СИТУАЦІЯ –</w:t>
      </w:r>
    </w:p>
    <w:p w14:paraId="77522791"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Стан середовища життєдіяльності та обумовлений ним стан здоров'я населення на певній території в конкретно визначений час</w:t>
      </w:r>
    </w:p>
    <w:p w14:paraId="25C4CAE8"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забезпечення санітарного та епідемічного благополуччя населення"</w:t>
      </w:r>
    </w:p>
    <w:p w14:paraId="09A8E90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257" w:name="_Hlk105945348"/>
      <w:r w:rsidRPr="000977F7">
        <w:rPr>
          <w:color w:val="auto"/>
          <w:sz w:val="20"/>
          <w:szCs w:val="20"/>
        </w:rPr>
        <w:t xml:space="preserve">САНІТАРНО – ЕПІДЕМІОЛОГІЧНИЙ </w:t>
      </w:r>
      <w:bookmarkEnd w:id="257"/>
      <w:r w:rsidRPr="000977F7">
        <w:rPr>
          <w:color w:val="auto"/>
          <w:sz w:val="20"/>
          <w:szCs w:val="20"/>
        </w:rPr>
        <w:t>НОРМАТИВ (гігієнічний норматив, епідеміологічний показник, протиепідемічний норматив) –</w:t>
      </w:r>
    </w:p>
    <w:p w14:paraId="30011EC4"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Встановлене дослідженнями припустиме максимальне або мінімальне кількісне та (або) якісне значення показника, що характеризує фактор середовища життєдіяльності за медичними критеріями (параметрами) його безпечності для здоров'я людини та здоров'я майбутніх поколінь, а також стан здоров'я населення за критеріями захворюваності, розповсюджуваності хвороб, фізичного розвитку, імунітету тощо</w:t>
      </w:r>
    </w:p>
    <w:p w14:paraId="360621E4"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забезпечення санітарного та епідемічного благополуччя населення"</w:t>
      </w:r>
    </w:p>
    <w:p w14:paraId="244EF5C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САНІТАРНО – ЕПІДЕМІОЛОГІЧНИЙ СЕРТИФІКАТ –</w:t>
      </w:r>
    </w:p>
    <w:p w14:paraId="0436C35C"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Разовий документ, виданий органами державної санітарно-епідеміологічної служби, що підтверджує безпеку для здоров'я та життя людини окремих видів товарів широкого вжитку (парфумерно-косметичних виробів, товарів дитячого асортименту, виробів побутового призначення тощо) на підставі результатів проведених санітарно-хімічних, токсикологічних, фізико-хімічних, радіологічних, мікробіологічних та інших досліджень</w:t>
      </w:r>
    </w:p>
    <w:p w14:paraId="43F15685"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забезпечення санітарного та епідемічного благополуччя населення"</w:t>
      </w:r>
    </w:p>
    <w:p w14:paraId="1C910BB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САНІТАРНО-ЗАХИСНА</w:t>
      </w:r>
      <w:r w:rsidRPr="000977F7">
        <w:rPr>
          <w:color w:val="auto"/>
          <w:spacing w:val="-5"/>
          <w:sz w:val="20"/>
          <w:szCs w:val="20"/>
        </w:rPr>
        <w:t xml:space="preserve"> </w:t>
      </w:r>
      <w:r w:rsidRPr="000977F7">
        <w:rPr>
          <w:color w:val="auto"/>
          <w:sz w:val="20"/>
          <w:szCs w:val="20"/>
        </w:rPr>
        <w:t>ЗОНА;</w:t>
      </w:r>
      <w:r w:rsidRPr="000977F7">
        <w:rPr>
          <w:color w:val="auto"/>
          <w:spacing w:val="-4"/>
          <w:sz w:val="20"/>
          <w:szCs w:val="20"/>
        </w:rPr>
        <w:t xml:space="preserve"> </w:t>
      </w:r>
      <w:r w:rsidRPr="000977F7">
        <w:rPr>
          <w:color w:val="auto"/>
          <w:sz w:val="20"/>
          <w:szCs w:val="20"/>
        </w:rPr>
        <w:t>СЗЗ</w:t>
      </w:r>
      <w:r w:rsidRPr="000977F7">
        <w:rPr>
          <w:color w:val="auto"/>
          <w:spacing w:val="-1"/>
          <w:sz w:val="20"/>
          <w:szCs w:val="20"/>
        </w:rPr>
        <w:t xml:space="preserve"> </w:t>
      </w:r>
      <w:r w:rsidRPr="000977F7">
        <w:rPr>
          <w:color w:val="auto"/>
          <w:sz w:val="20"/>
          <w:szCs w:val="20"/>
        </w:rPr>
        <w:t>–</w:t>
      </w:r>
    </w:p>
    <w:p w14:paraId="037AB4A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SANITARY</w:t>
      </w:r>
      <w:r w:rsidRPr="004D2D14">
        <w:rPr>
          <w:rFonts w:asciiTheme="majorHAnsi" w:hAnsiTheme="majorHAnsi"/>
          <w:spacing w:val="-3"/>
          <w:sz w:val="20"/>
          <w:szCs w:val="20"/>
          <w:lang w:val="uk-UA"/>
        </w:rPr>
        <w:t xml:space="preserve"> </w:t>
      </w:r>
      <w:r w:rsidRPr="000977F7">
        <w:rPr>
          <w:rFonts w:asciiTheme="majorHAnsi" w:hAnsiTheme="majorHAnsi"/>
          <w:sz w:val="20"/>
          <w:szCs w:val="20"/>
        </w:rPr>
        <w:t>HYGIENIC</w:t>
      </w:r>
      <w:r w:rsidRPr="004D2D14">
        <w:rPr>
          <w:rFonts w:asciiTheme="majorHAnsi" w:hAnsiTheme="majorHAnsi"/>
          <w:spacing w:val="-1"/>
          <w:sz w:val="20"/>
          <w:szCs w:val="20"/>
          <w:lang w:val="uk-UA"/>
        </w:rPr>
        <w:t xml:space="preserve"> </w:t>
      </w:r>
      <w:r w:rsidRPr="000977F7">
        <w:rPr>
          <w:rFonts w:asciiTheme="majorHAnsi" w:hAnsiTheme="majorHAnsi"/>
          <w:sz w:val="20"/>
          <w:szCs w:val="20"/>
        </w:rPr>
        <w:t>ZONE</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15708631" w14:textId="77777777" w:rsidR="0097612F" w:rsidRPr="004D2D14" w:rsidRDefault="0097612F" w:rsidP="000977F7">
      <w:pPr>
        <w:pStyle w:val="af6"/>
        <w:tabs>
          <w:tab w:val="left" w:pos="284"/>
        </w:tabs>
        <w:spacing w:after="0"/>
        <w:ind w:left="170"/>
        <w:mirrorIndents/>
        <w:jc w:val="both"/>
        <w:rPr>
          <w:rFonts w:asciiTheme="majorHAnsi" w:hAnsiTheme="majorHAnsi"/>
          <w:spacing w:val="-2"/>
          <w:sz w:val="20"/>
          <w:szCs w:val="20"/>
          <w:lang w:val="uk-UA"/>
        </w:rPr>
      </w:pPr>
      <w:r w:rsidRPr="004D2D14">
        <w:rPr>
          <w:rFonts w:asciiTheme="majorHAnsi" w:hAnsiTheme="majorHAnsi"/>
          <w:sz w:val="20"/>
          <w:szCs w:val="20"/>
          <w:lang w:val="uk-UA"/>
        </w:rPr>
        <w:t>Функціювальна</w:t>
      </w:r>
      <w:r w:rsidRPr="004D2D14">
        <w:rPr>
          <w:rFonts w:asciiTheme="majorHAnsi" w:hAnsiTheme="majorHAnsi"/>
          <w:spacing w:val="46"/>
          <w:sz w:val="20"/>
          <w:szCs w:val="20"/>
          <w:lang w:val="uk-UA"/>
        </w:rPr>
        <w:t xml:space="preserve"> </w:t>
      </w:r>
      <w:r w:rsidRPr="004D2D14">
        <w:rPr>
          <w:rFonts w:asciiTheme="majorHAnsi" w:hAnsiTheme="majorHAnsi"/>
          <w:sz w:val="20"/>
          <w:szCs w:val="20"/>
          <w:lang w:val="uk-UA"/>
        </w:rPr>
        <w:t>територія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між</w:t>
      </w:r>
      <w:r w:rsidRPr="004D2D14">
        <w:rPr>
          <w:rFonts w:asciiTheme="majorHAnsi" w:hAnsiTheme="majorHAnsi"/>
          <w:spacing w:val="45"/>
          <w:sz w:val="20"/>
          <w:szCs w:val="20"/>
          <w:lang w:val="uk-UA"/>
        </w:rPr>
        <w:t xml:space="preserve"> </w:t>
      </w:r>
      <w:r w:rsidRPr="004D2D14">
        <w:rPr>
          <w:rFonts w:asciiTheme="majorHAnsi" w:hAnsiTheme="majorHAnsi"/>
          <w:sz w:val="20"/>
          <w:szCs w:val="20"/>
          <w:lang w:val="uk-UA"/>
        </w:rPr>
        <w:t>межами</w:t>
      </w:r>
      <w:r w:rsidRPr="004D2D14">
        <w:rPr>
          <w:rFonts w:asciiTheme="majorHAnsi" w:hAnsiTheme="majorHAnsi"/>
          <w:spacing w:val="46"/>
          <w:sz w:val="20"/>
          <w:szCs w:val="20"/>
          <w:lang w:val="uk-UA"/>
        </w:rPr>
        <w:t xml:space="preserve"> </w:t>
      </w:r>
      <w:r w:rsidRPr="004D2D14">
        <w:rPr>
          <w:rFonts w:asciiTheme="majorHAnsi" w:hAnsiTheme="majorHAnsi"/>
          <w:sz w:val="20"/>
          <w:szCs w:val="20"/>
          <w:lang w:val="uk-UA"/>
        </w:rPr>
        <w:t>промислових</w:t>
      </w:r>
      <w:r w:rsidRPr="004D2D14">
        <w:rPr>
          <w:rFonts w:asciiTheme="majorHAnsi" w:hAnsiTheme="majorHAnsi"/>
          <w:spacing w:val="-47"/>
          <w:sz w:val="20"/>
          <w:szCs w:val="20"/>
          <w:lang w:val="uk-UA"/>
        </w:rPr>
        <w:t xml:space="preserve"> </w:t>
      </w:r>
      <w:r w:rsidRPr="004D2D14">
        <w:rPr>
          <w:rFonts w:asciiTheme="majorHAnsi" w:hAnsiTheme="majorHAnsi"/>
          <w:spacing w:val="-2"/>
          <w:sz w:val="20"/>
          <w:szCs w:val="20"/>
          <w:lang w:val="uk-UA"/>
        </w:rPr>
        <w:t>підприємств</w:t>
      </w:r>
      <w:r w:rsidRPr="004D2D14">
        <w:rPr>
          <w:rFonts w:asciiTheme="majorHAnsi" w:hAnsiTheme="majorHAnsi"/>
          <w:spacing w:val="-10"/>
          <w:sz w:val="20"/>
          <w:szCs w:val="20"/>
          <w:lang w:val="uk-UA"/>
        </w:rPr>
        <w:t xml:space="preserve"> </w:t>
      </w:r>
      <w:r w:rsidRPr="004D2D14">
        <w:rPr>
          <w:rFonts w:asciiTheme="majorHAnsi" w:hAnsiTheme="majorHAnsi"/>
          <w:spacing w:val="-2"/>
          <w:sz w:val="20"/>
          <w:szCs w:val="20"/>
          <w:lang w:val="uk-UA"/>
        </w:rPr>
        <w:t>та</w:t>
      </w:r>
      <w:r w:rsidRPr="004D2D14">
        <w:rPr>
          <w:rFonts w:asciiTheme="majorHAnsi" w:hAnsiTheme="majorHAnsi"/>
          <w:spacing w:val="-8"/>
          <w:sz w:val="20"/>
          <w:szCs w:val="20"/>
          <w:lang w:val="uk-UA"/>
        </w:rPr>
        <w:t xml:space="preserve"> </w:t>
      </w:r>
      <w:r w:rsidRPr="004D2D14">
        <w:rPr>
          <w:rFonts w:asciiTheme="majorHAnsi" w:hAnsiTheme="majorHAnsi"/>
          <w:spacing w:val="-1"/>
          <w:sz w:val="20"/>
          <w:szCs w:val="20"/>
          <w:lang w:val="uk-UA"/>
        </w:rPr>
        <w:t>інших</w:t>
      </w:r>
      <w:r w:rsidRPr="004D2D14">
        <w:rPr>
          <w:rFonts w:asciiTheme="majorHAnsi" w:hAnsiTheme="majorHAnsi"/>
          <w:spacing w:val="-10"/>
          <w:sz w:val="20"/>
          <w:szCs w:val="20"/>
          <w:lang w:val="uk-UA"/>
        </w:rPr>
        <w:t xml:space="preserve"> </w:t>
      </w:r>
      <w:r w:rsidRPr="004D2D14">
        <w:rPr>
          <w:rFonts w:asciiTheme="majorHAnsi" w:hAnsiTheme="majorHAnsi"/>
          <w:spacing w:val="-1"/>
          <w:sz w:val="20"/>
          <w:szCs w:val="20"/>
          <w:lang w:val="uk-UA"/>
        </w:rPr>
        <w:t>виробничих</w:t>
      </w:r>
      <w:r w:rsidRPr="004D2D14">
        <w:rPr>
          <w:rFonts w:asciiTheme="majorHAnsi" w:hAnsiTheme="majorHAnsi"/>
          <w:spacing w:val="-11"/>
          <w:sz w:val="20"/>
          <w:szCs w:val="20"/>
          <w:lang w:val="uk-UA"/>
        </w:rPr>
        <w:t xml:space="preserve"> </w:t>
      </w:r>
      <w:r w:rsidRPr="004D2D14">
        <w:rPr>
          <w:rFonts w:asciiTheme="majorHAnsi" w:hAnsiTheme="majorHAnsi"/>
          <w:spacing w:val="-1"/>
          <w:sz w:val="20"/>
          <w:szCs w:val="20"/>
          <w:lang w:val="uk-UA"/>
        </w:rPr>
        <w:t>об’єктів</w:t>
      </w:r>
      <w:r w:rsidRPr="004D2D14">
        <w:rPr>
          <w:rFonts w:asciiTheme="majorHAnsi" w:hAnsiTheme="majorHAnsi"/>
          <w:spacing w:val="-11"/>
          <w:sz w:val="20"/>
          <w:szCs w:val="20"/>
          <w:lang w:val="uk-UA"/>
        </w:rPr>
        <w:t xml:space="preserve"> </w:t>
      </w:r>
      <w:r w:rsidRPr="004D2D14">
        <w:rPr>
          <w:rFonts w:asciiTheme="majorHAnsi" w:hAnsiTheme="majorHAnsi"/>
          <w:spacing w:val="-1"/>
          <w:sz w:val="20"/>
          <w:szCs w:val="20"/>
          <w:lang w:val="uk-UA"/>
        </w:rPr>
        <w:t>і</w:t>
      </w:r>
      <w:r w:rsidRPr="004D2D14">
        <w:rPr>
          <w:rFonts w:asciiTheme="majorHAnsi" w:hAnsiTheme="majorHAnsi"/>
          <w:spacing w:val="-9"/>
          <w:sz w:val="20"/>
          <w:szCs w:val="20"/>
          <w:lang w:val="uk-UA"/>
        </w:rPr>
        <w:t xml:space="preserve"> </w:t>
      </w:r>
      <w:r w:rsidRPr="004D2D14">
        <w:rPr>
          <w:rFonts w:asciiTheme="majorHAnsi" w:hAnsiTheme="majorHAnsi"/>
          <w:spacing w:val="-1"/>
          <w:sz w:val="20"/>
          <w:szCs w:val="20"/>
          <w:lang w:val="uk-UA"/>
        </w:rPr>
        <w:t>територією</w:t>
      </w:r>
      <w:r w:rsidRPr="004D2D14">
        <w:rPr>
          <w:rFonts w:asciiTheme="majorHAnsi" w:hAnsiTheme="majorHAnsi"/>
          <w:spacing w:val="-47"/>
          <w:sz w:val="20"/>
          <w:szCs w:val="20"/>
          <w:lang w:val="uk-UA"/>
        </w:rPr>
        <w:t xml:space="preserve"> </w:t>
      </w:r>
      <w:r w:rsidRPr="004D2D14">
        <w:rPr>
          <w:rFonts w:asciiTheme="majorHAnsi" w:hAnsiTheme="majorHAnsi"/>
          <w:spacing w:val="-2"/>
          <w:sz w:val="20"/>
          <w:szCs w:val="20"/>
          <w:lang w:val="uk-UA"/>
        </w:rPr>
        <w:t>поселень,</w:t>
      </w:r>
      <w:r w:rsidRPr="004D2D14">
        <w:rPr>
          <w:rFonts w:asciiTheme="majorHAnsi" w:hAnsiTheme="majorHAnsi"/>
          <w:spacing w:val="-10"/>
          <w:sz w:val="20"/>
          <w:szCs w:val="20"/>
          <w:lang w:val="uk-UA"/>
        </w:rPr>
        <w:t xml:space="preserve"> </w:t>
      </w:r>
      <w:r w:rsidRPr="004D2D14">
        <w:rPr>
          <w:rFonts w:asciiTheme="majorHAnsi" w:hAnsiTheme="majorHAnsi"/>
          <w:spacing w:val="-2"/>
          <w:sz w:val="20"/>
          <w:szCs w:val="20"/>
          <w:lang w:val="uk-UA"/>
        </w:rPr>
        <w:t>яка</w:t>
      </w:r>
      <w:r w:rsidRPr="004D2D14">
        <w:rPr>
          <w:rFonts w:asciiTheme="majorHAnsi" w:hAnsiTheme="majorHAnsi"/>
          <w:spacing w:val="-10"/>
          <w:sz w:val="20"/>
          <w:szCs w:val="20"/>
          <w:lang w:val="uk-UA"/>
        </w:rPr>
        <w:t xml:space="preserve"> </w:t>
      </w:r>
      <w:r w:rsidRPr="004D2D14">
        <w:rPr>
          <w:rFonts w:asciiTheme="majorHAnsi" w:hAnsiTheme="majorHAnsi"/>
          <w:spacing w:val="-2"/>
          <w:sz w:val="20"/>
          <w:szCs w:val="20"/>
          <w:lang w:val="uk-UA"/>
        </w:rPr>
        <w:t>призначена</w:t>
      </w:r>
      <w:r w:rsidRPr="004D2D14">
        <w:rPr>
          <w:rFonts w:asciiTheme="majorHAnsi" w:hAnsiTheme="majorHAnsi"/>
          <w:spacing w:val="-10"/>
          <w:sz w:val="20"/>
          <w:szCs w:val="20"/>
          <w:lang w:val="uk-UA"/>
        </w:rPr>
        <w:t xml:space="preserve"> </w:t>
      </w:r>
      <w:r w:rsidRPr="004D2D14">
        <w:rPr>
          <w:rFonts w:asciiTheme="majorHAnsi" w:hAnsiTheme="majorHAnsi"/>
          <w:spacing w:val="-2"/>
          <w:sz w:val="20"/>
          <w:szCs w:val="20"/>
          <w:lang w:val="uk-UA"/>
        </w:rPr>
        <w:t>для</w:t>
      </w:r>
      <w:r w:rsidRPr="004D2D14">
        <w:rPr>
          <w:rFonts w:asciiTheme="majorHAnsi" w:hAnsiTheme="majorHAnsi"/>
          <w:spacing w:val="-9"/>
          <w:sz w:val="20"/>
          <w:szCs w:val="20"/>
          <w:lang w:val="uk-UA"/>
        </w:rPr>
        <w:t xml:space="preserve"> </w:t>
      </w:r>
      <w:r w:rsidRPr="004D2D14">
        <w:rPr>
          <w:rFonts w:asciiTheme="majorHAnsi" w:hAnsiTheme="majorHAnsi"/>
          <w:spacing w:val="-2"/>
          <w:sz w:val="20"/>
          <w:szCs w:val="20"/>
          <w:lang w:val="uk-UA"/>
        </w:rPr>
        <w:t>зменшення</w:t>
      </w:r>
      <w:r w:rsidRPr="004D2D14">
        <w:rPr>
          <w:rFonts w:asciiTheme="majorHAnsi" w:hAnsiTheme="majorHAnsi"/>
          <w:spacing w:val="-9"/>
          <w:sz w:val="20"/>
          <w:szCs w:val="20"/>
          <w:lang w:val="uk-UA"/>
        </w:rPr>
        <w:t xml:space="preserve"> </w:t>
      </w:r>
      <w:r w:rsidRPr="004D2D14">
        <w:rPr>
          <w:rFonts w:asciiTheme="majorHAnsi" w:hAnsiTheme="majorHAnsi"/>
          <w:spacing w:val="-2"/>
          <w:sz w:val="20"/>
          <w:szCs w:val="20"/>
          <w:lang w:val="uk-UA"/>
        </w:rPr>
        <w:t>несприятливо</w:t>
      </w:r>
      <w:r w:rsidRPr="004D2D14">
        <w:rPr>
          <w:rFonts w:asciiTheme="majorHAnsi" w:hAnsiTheme="majorHAnsi"/>
          <w:spacing w:val="-4"/>
          <w:sz w:val="20"/>
          <w:szCs w:val="20"/>
          <w:lang w:val="uk-UA"/>
        </w:rPr>
        <w:t xml:space="preserve">го впливу виробничих чинників на </w:t>
      </w:r>
      <w:r w:rsidRPr="004D2D14">
        <w:rPr>
          <w:rFonts w:asciiTheme="majorHAnsi" w:hAnsiTheme="majorHAnsi"/>
          <w:spacing w:val="-3"/>
          <w:sz w:val="20"/>
          <w:szCs w:val="20"/>
          <w:lang w:val="uk-UA"/>
        </w:rPr>
        <w:t>здоров’я населення</w:t>
      </w:r>
      <w:r w:rsidRPr="004D2D14">
        <w:rPr>
          <w:rFonts w:asciiTheme="majorHAnsi" w:hAnsiTheme="majorHAnsi"/>
          <w:spacing w:val="-2"/>
          <w:sz w:val="20"/>
          <w:szCs w:val="20"/>
          <w:lang w:val="uk-UA"/>
        </w:rPr>
        <w:t xml:space="preserve"> </w:t>
      </w:r>
    </w:p>
    <w:p w14:paraId="18D8C964"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3038 - 95</w:t>
      </w:r>
    </w:p>
    <w:p w14:paraId="4FB2AEA9"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pacing w:val="-1"/>
          <w:sz w:val="20"/>
          <w:szCs w:val="20"/>
        </w:rPr>
        <w:t>Територія</w:t>
      </w:r>
      <w:r w:rsidRPr="000977F7">
        <w:rPr>
          <w:rFonts w:asciiTheme="majorHAnsi" w:hAnsiTheme="majorHAnsi"/>
          <w:spacing w:val="-9"/>
          <w:sz w:val="20"/>
          <w:szCs w:val="20"/>
        </w:rPr>
        <w:t xml:space="preserve"> </w:t>
      </w:r>
      <w:r w:rsidRPr="000977F7">
        <w:rPr>
          <w:rFonts w:asciiTheme="majorHAnsi" w:hAnsiTheme="majorHAnsi"/>
          <w:sz w:val="20"/>
          <w:szCs w:val="20"/>
        </w:rPr>
        <w:t>навколо</w:t>
      </w:r>
      <w:r w:rsidRPr="000977F7">
        <w:rPr>
          <w:rFonts w:asciiTheme="majorHAnsi" w:hAnsiTheme="majorHAnsi"/>
          <w:spacing w:val="-9"/>
          <w:sz w:val="20"/>
          <w:szCs w:val="20"/>
        </w:rPr>
        <w:t xml:space="preserve"> </w:t>
      </w:r>
      <w:r w:rsidRPr="000977F7">
        <w:rPr>
          <w:rFonts w:asciiTheme="majorHAnsi" w:hAnsiTheme="majorHAnsi"/>
          <w:sz w:val="20"/>
          <w:szCs w:val="20"/>
        </w:rPr>
        <w:t>потенційно</w:t>
      </w:r>
      <w:r w:rsidRPr="000977F7">
        <w:rPr>
          <w:rFonts w:asciiTheme="majorHAnsi" w:hAnsiTheme="majorHAnsi"/>
          <w:spacing w:val="-9"/>
          <w:sz w:val="20"/>
          <w:szCs w:val="20"/>
        </w:rPr>
        <w:t xml:space="preserve"> </w:t>
      </w:r>
      <w:r w:rsidRPr="000977F7">
        <w:rPr>
          <w:rFonts w:asciiTheme="majorHAnsi" w:hAnsiTheme="majorHAnsi"/>
          <w:sz w:val="20"/>
          <w:szCs w:val="20"/>
        </w:rPr>
        <w:t>небезпечного</w:t>
      </w:r>
      <w:r w:rsidRPr="000977F7">
        <w:rPr>
          <w:rFonts w:asciiTheme="majorHAnsi" w:hAnsiTheme="majorHAnsi"/>
          <w:spacing w:val="-8"/>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16"/>
          <w:sz w:val="20"/>
          <w:szCs w:val="20"/>
        </w:rPr>
        <w:t xml:space="preserve"> </w:t>
      </w:r>
      <w:r w:rsidRPr="000977F7">
        <w:rPr>
          <w:rFonts w:asciiTheme="majorHAnsi" w:hAnsiTheme="majorHAnsi"/>
          <w:sz w:val="20"/>
          <w:szCs w:val="20"/>
        </w:rPr>
        <w:t>в</w:t>
      </w:r>
      <w:r w:rsidRPr="000977F7">
        <w:rPr>
          <w:rFonts w:asciiTheme="majorHAnsi" w:hAnsiTheme="majorHAnsi"/>
          <w:spacing w:val="16"/>
          <w:sz w:val="20"/>
          <w:szCs w:val="20"/>
        </w:rPr>
        <w:t xml:space="preserve"> </w:t>
      </w:r>
      <w:r w:rsidRPr="000977F7">
        <w:rPr>
          <w:rFonts w:asciiTheme="majorHAnsi" w:hAnsiTheme="majorHAnsi"/>
          <w:sz w:val="20"/>
          <w:szCs w:val="20"/>
        </w:rPr>
        <w:t>межах</w:t>
      </w:r>
      <w:r w:rsidRPr="000977F7">
        <w:rPr>
          <w:rFonts w:asciiTheme="majorHAnsi" w:hAnsiTheme="majorHAnsi"/>
          <w:spacing w:val="14"/>
          <w:sz w:val="20"/>
          <w:szCs w:val="20"/>
        </w:rPr>
        <w:t xml:space="preserve"> </w:t>
      </w:r>
      <w:r w:rsidRPr="000977F7">
        <w:rPr>
          <w:rFonts w:asciiTheme="majorHAnsi" w:hAnsiTheme="majorHAnsi"/>
          <w:sz w:val="20"/>
          <w:szCs w:val="20"/>
        </w:rPr>
        <w:t>якої</w:t>
      </w:r>
      <w:r w:rsidRPr="000977F7">
        <w:rPr>
          <w:rFonts w:asciiTheme="majorHAnsi" w:hAnsiTheme="majorHAnsi"/>
          <w:spacing w:val="16"/>
          <w:sz w:val="20"/>
          <w:szCs w:val="20"/>
        </w:rPr>
        <w:t xml:space="preserve"> </w:t>
      </w:r>
      <w:r w:rsidRPr="000977F7">
        <w:rPr>
          <w:rFonts w:asciiTheme="majorHAnsi" w:hAnsiTheme="majorHAnsi"/>
          <w:sz w:val="20"/>
          <w:szCs w:val="20"/>
        </w:rPr>
        <w:t>заборонено</w:t>
      </w:r>
      <w:r w:rsidRPr="000977F7">
        <w:rPr>
          <w:rFonts w:asciiTheme="majorHAnsi" w:hAnsiTheme="majorHAnsi"/>
          <w:spacing w:val="18"/>
          <w:sz w:val="20"/>
          <w:szCs w:val="20"/>
        </w:rPr>
        <w:t xml:space="preserve"> </w:t>
      </w:r>
      <w:r w:rsidRPr="000977F7">
        <w:rPr>
          <w:rFonts w:asciiTheme="majorHAnsi" w:hAnsiTheme="majorHAnsi"/>
          <w:sz w:val="20"/>
          <w:szCs w:val="20"/>
        </w:rPr>
        <w:t>проживання</w:t>
      </w:r>
      <w:r w:rsidRPr="000977F7">
        <w:rPr>
          <w:rFonts w:asciiTheme="majorHAnsi" w:hAnsiTheme="majorHAnsi"/>
          <w:spacing w:val="16"/>
          <w:sz w:val="20"/>
          <w:szCs w:val="20"/>
        </w:rPr>
        <w:t xml:space="preserve"> </w:t>
      </w:r>
      <w:r w:rsidRPr="000977F7">
        <w:rPr>
          <w:rFonts w:asciiTheme="majorHAnsi" w:hAnsiTheme="majorHAnsi"/>
          <w:sz w:val="20"/>
          <w:szCs w:val="20"/>
        </w:rPr>
        <w:t>населення</w:t>
      </w:r>
      <w:r w:rsidRPr="000977F7">
        <w:rPr>
          <w:rFonts w:asciiTheme="majorHAnsi" w:hAnsiTheme="majorHAnsi"/>
          <w:spacing w:val="-47"/>
          <w:sz w:val="20"/>
          <w:szCs w:val="20"/>
        </w:rPr>
        <w:t xml:space="preserve"> </w:t>
      </w:r>
      <w:r w:rsidRPr="000977F7">
        <w:rPr>
          <w:rFonts w:asciiTheme="majorHAnsi" w:hAnsiTheme="majorHAnsi"/>
          <w:sz w:val="20"/>
          <w:szCs w:val="20"/>
        </w:rPr>
        <w:t>та</w:t>
      </w:r>
      <w:r w:rsidRPr="000977F7">
        <w:rPr>
          <w:rFonts w:asciiTheme="majorHAnsi" w:hAnsiTheme="majorHAnsi"/>
          <w:spacing w:val="11"/>
          <w:sz w:val="20"/>
          <w:szCs w:val="20"/>
        </w:rPr>
        <w:t xml:space="preserve"> </w:t>
      </w:r>
      <w:r w:rsidRPr="000977F7">
        <w:rPr>
          <w:rFonts w:asciiTheme="majorHAnsi" w:hAnsiTheme="majorHAnsi"/>
          <w:sz w:val="20"/>
          <w:szCs w:val="20"/>
        </w:rPr>
        <w:t>ведення</w:t>
      </w:r>
      <w:r w:rsidRPr="000977F7">
        <w:rPr>
          <w:rFonts w:asciiTheme="majorHAnsi" w:hAnsiTheme="majorHAnsi"/>
          <w:spacing w:val="12"/>
          <w:sz w:val="20"/>
          <w:szCs w:val="20"/>
        </w:rPr>
        <w:t xml:space="preserve"> </w:t>
      </w:r>
      <w:r w:rsidRPr="000977F7">
        <w:rPr>
          <w:rFonts w:asciiTheme="majorHAnsi" w:hAnsiTheme="majorHAnsi"/>
          <w:sz w:val="20"/>
          <w:szCs w:val="20"/>
        </w:rPr>
        <w:t>господарської</w:t>
      </w:r>
      <w:r w:rsidRPr="000977F7">
        <w:rPr>
          <w:rFonts w:asciiTheme="majorHAnsi" w:hAnsiTheme="majorHAnsi"/>
          <w:spacing w:val="12"/>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10"/>
          <w:sz w:val="20"/>
          <w:szCs w:val="20"/>
        </w:rPr>
        <w:t xml:space="preserve"> </w:t>
      </w:r>
      <w:r w:rsidRPr="000977F7">
        <w:rPr>
          <w:rFonts w:asciiTheme="majorHAnsi" w:hAnsiTheme="majorHAnsi"/>
          <w:sz w:val="20"/>
          <w:szCs w:val="20"/>
        </w:rPr>
        <w:t>і</w:t>
      </w:r>
      <w:r w:rsidRPr="000977F7">
        <w:rPr>
          <w:rFonts w:asciiTheme="majorHAnsi" w:hAnsiTheme="majorHAnsi"/>
          <w:spacing w:val="10"/>
          <w:sz w:val="20"/>
          <w:szCs w:val="20"/>
        </w:rPr>
        <w:t xml:space="preserve"> </w:t>
      </w:r>
      <w:r w:rsidRPr="000977F7">
        <w:rPr>
          <w:rFonts w:asciiTheme="majorHAnsi" w:hAnsiTheme="majorHAnsi"/>
          <w:sz w:val="20"/>
          <w:szCs w:val="20"/>
        </w:rPr>
        <w:t>розміри</w:t>
      </w:r>
      <w:r w:rsidRPr="000977F7">
        <w:rPr>
          <w:rFonts w:asciiTheme="majorHAnsi" w:hAnsiTheme="majorHAnsi"/>
          <w:spacing w:val="9"/>
          <w:sz w:val="20"/>
          <w:szCs w:val="20"/>
        </w:rPr>
        <w:t xml:space="preserve"> </w:t>
      </w:r>
      <w:r w:rsidRPr="000977F7">
        <w:rPr>
          <w:rFonts w:asciiTheme="majorHAnsi" w:hAnsiTheme="majorHAnsi"/>
          <w:sz w:val="20"/>
          <w:szCs w:val="20"/>
        </w:rPr>
        <w:t>якої</w:t>
      </w:r>
      <w:r w:rsidRPr="000977F7">
        <w:rPr>
          <w:rFonts w:asciiTheme="majorHAnsi" w:hAnsiTheme="majorHAnsi"/>
          <w:spacing w:val="-47"/>
          <w:sz w:val="20"/>
          <w:szCs w:val="20"/>
        </w:rPr>
        <w:t xml:space="preserve"> </w:t>
      </w:r>
      <w:r w:rsidRPr="000977F7">
        <w:rPr>
          <w:rFonts w:asciiTheme="majorHAnsi" w:hAnsiTheme="majorHAnsi"/>
          <w:sz w:val="20"/>
          <w:szCs w:val="20"/>
        </w:rPr>
        <w:t>встановлюються</w:t>
      </w:r>
      <w:r w:rsidRPr="000977F7">
        <w:rPr>
          <w:rFonts w:asciiTheme="majorHAnsi" w:hAnsiTheme="majorHAnsi"/>
          <w:spacing w:val="1"/>
          <w:sz w:val="20"/>
          <w:szCs w:val="20"/>
        </w:rPr>
        <w:t xml:space="preserve"> </w:t>
      </w:r>
      <w:r w:rsidRPr="000977F7">
        <w:rPr>
          <w:rFonts w:asciiTheme="majorHAnsi" w:hAnsiTheme="majorHAnsi"/>
          <w:sz w:val="20"/>
          <w:szCs w:val="20"/>
        </w:rPr>
        <w:t>проектною</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документацією</w:t>
      </w:r>
      <w:r w:rsidRPr="000977F7">
        <w:rPr>
          <w:rFonts w:asciiTheme="majorHAnsi" w:hAnsiTheme="majorHAnsi"/>
          <w:spacing w:val="48"/>
          <w:sz w:val="20"/>
          <w:szCs w:val="20"/>
        </w:rPr>
        <w:t xml:space="preserve"> </w:t>
      </w:r>
      <w:r w:rsidRPr="000977F7">
        <w:rPr>
          <w:rFonts w:asciiTheme="majorHAnsi" w:hAnsiTheme="majorHAnsi"/>
          <w:sz w:val="20"/>
          <w:szCs w:val="20"/>
        </w:rPr>
        <w:t>за</w:t>
      </w:r>
      <w:r w:rsidRPr="000977F7">
        <w:rPr>
          <w:rFonts w:asciiTheme="majorHAnsi" w:hAnsiTheme="majorHAnsi"/>
          <w:spacing w:val="2"/>
          <w:sz w:val="20"/>
          <w:szCs w:val="20"/>
        </w:rPr>
        <w:t xml:space="preserve"> </w:t>
      </w:r>
      <w:r w:rsidRPr="000977F7">
        <w:rPr>
          <w:rFonts w:asciiTheme="majorHAnsi" w:hAnsiTheme="majorHAnsi"/>
          <w:sz w:val="20"/>
          <w:szCs w:val="20"/>
        </w:rPr>
        <w:t>погодженням з органами державного регулювання безпеки</w:t>
      </w:r>
      <w:r w:rsidRPr="000977F7">
        <w:rPr>
          <w:rFonts w:asciiTheme="majorHAnsi" w:hAnsiTheme="majorHAnsi"/>
          <w:spacing w:val="-47"/>
          <w:sz w:val="20"/>
          <w:szCs w:val="20"/>
        </w:rPr>
        <w:t xml:space="preserve"> </w:t>
      </w:r>
      <w:r w:rsidRPr="000977F7">
        <w:rPr>
          <w:rFonts w:asciiTheme="majorHAnsi" w:hAnsiTheme="majorHAnsi"/>
          <w:sz w:val="20"/>
          <w:szCs w:val="20"/>
        </w:rPr>
        <w:t>відповідно до державних нормативних документів</w:t>
      </w:r>
      <w:r w:rsidRPr="000977F7">
        <w:rPr>
          <w:rFonts w:asciiTheme="majorHAnsi" w:hAnsiTheme="majorHAnsi"/>
          <w:spacing w:val="1"/>
          <w:sz w:val="20"/>
          <w:szCs w:val="20"/>
        </w:rPr>
        <w:t xml:space="preserve"> </w:t>
      </w:r>
    </w:p>
    <w:p w14:paraId="14E35F1E"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2156 - 93</w:t>
      </w:r>
    </w:p>
    <w:p w14:paraId="71C4AD94"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СВІДОЦТВО –</w:t>
      </w:r>
    </w:p>
    <w:p w14:paraId="21440300"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Свідоцтво про державну реєстрацію промислового зразка</w:t>
      </w:r>
    </w:p>
    <w:p w14:paraId="4933D0C5" w14:textId="77777777" w:rsidR="0097612F" w:rsidRPr="000977F7" w:rsidRDefault="0097612F" w:rsidP="000977F7">
      <w:pPr>
        <w:tabs>
          <w:tab w:val="left" w:pos="284"/>
        </w:tabs>
        <w:spacing w:after="0" w:line="240" w:lineRule="auto"/>
        <w:ind w:left="170"/>
        <w:mirrorIndents/>
        <w:jc w:val="both"/>
        <w:rPr>
          <w:rFonts w:asciiTheme="majorHAnsi" w:hAnsiTheme="majorHAnsi"/>
          <w:bCs/>
          <w:i/>
          <w:iCs/>
          <w:sz w:val="20"/>
          <w:szCs w:val="20"/>
        </w:rPr>
      </w:pPr>
      <w:r w:rsidRPr="000977F7">
        <w:rPr>
          <w:rFonts w:asciiTheme="majorHAnsi" w:hAnsiTheme="majorHAnsi"/>
          <w:bCs/>
          <w:i/>
          <w:iCs/>
          <w:sz w:val="20"/>
          <w:szCs w:val="20"/>
        </w:rPr>
        <w:t>Ст. 1 закону України "Про охорону прав на промислові зразки"</w:t>
      </w:r>
    </w:p>
    <w:p w14:paraId="63DCF120"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СВІДОТЦТВО В ГАЛУЗІ</w:t>
      </w:r>
      <w:r w:rsidRPr="000977F7">
        <w:rPr>
          <w:rFonts w:asciiTheme="majorHAnsi" w:hAnsiTheme="majorHAnsi"/>
          <w:b/>
          <w:spacing w:val="1"/>
          <w:sz w:val="20"/>
          <w:szCs w:val="20"/>
        </w:rPr>
        <w:t xml:space="preserve"> </w:t>
      </w:r>
      <w:r w:rsidRPr="000977F7">
        <w:rPr>
          <w:rFonts w:asciiTheme="majorHAnsi" w:hAnsiTheme="majorHAnsi"/>
          <w:b/>
          <w:sz w:val="20"/>
          <w:szCs w:val="20"/>
        </w:rPr>
        <w:t>СЕРТИФІКАЦІЇ (ЛІЦЕНЗІЯ) –</w:t>
      </w:r>
    </w:p>
    <w:p w14:paraId="2E1B577B"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sz w:val="20"/>
          <w:szCs w:val="20"/>
        </w:rPr>
        <w:t>LICENCE</w:t>
      </w:r>
      <w:r w:rsidRPr="000977F7">
        <w:rPr>
          <w:rFonts w:asciiTheme="majorHAnsi" w:hAnsiTheme="majorHAnsi"/>
          <w:spacing w:val="-4"/>
          <w:sz w:val="20"/>
          <w:szCs w:val="20"/>
        </w:rPr>
        <w:t xml:space="preserve"> </w:t>
      </w:r>
      <w:r w:rsidRPr="000977F7">
        <w:rPr>
          <w:rFonts w:asciiTheme="majorHAnsi" w:hAnsiTheme="majorHAnsi"/>
          <w:sz w:val="20"/>
          <w:szCs w:val="20"/>
        </w:rPr>
        <w:t>FOR</w:t>
      </w:r>
      <w:r w:rsidRPr="000977F7">
        <w:rPr>
          <w:rFonts w:asciiTheme="majorHAnsi" w:hAnsiTheme="majorHAnsi"/>
          <w:spacing w:val="42"/>
          <w:sz w:val="20"/>
          <w:szCs w:val="20"/>
        </w:rPr>
        <w:t xml:space="preserve"> </w:t>
      </w:r>
      <w:r w:rsidRPr="000977F7">
        <w:rPr>
          <w:rFonts w:asciiTheme="majorHAnsi" w:hAnsiTheme="majorHAnsi"/>
          <w:sz w:val="20"/>
          <w:szCs w:val="20"/>
        </w:rPr>
        <w:t>CERTIFICATION</w:t>
      </w:r>
      <w:r w:rsidRPr="000977F7">
        <w:rPr>
          <w:rFonts w:asciiTheme="majorHAnsi" w:hAnsiTheme="majorHAnsi"/>
          <w:spacing w:val="-1"/>
          <w:sz w:val="20"/>
          <w:szCs w:val="20"/>
        </w:rPr>
        <w:t xml:space="preserve"> –</w:t>
      </w:r>
    </w:p>
    <w:p w14:paraId="69F7D10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Документ, виданий у відповідності з правилами системи сертифікації, яким орган із сертифікації наділяє</w:t>
      </w:r>
      <w:r w:rsidRPr="000977F7">
        <w:rPr>
          <w:rFonts w:asciiTheme="majorHAnsi" w:hAnsiTheme="majorHAnsi"/>
          <w:spacing w:val="1"/>
          <w:sz w:val="20"/>
          <w:szCs w:val="20"/>
        </w:rPr>
        <w:t xml:space="preserve"> </w:t>
      </w:r>
      <w:r w:rsidRPr="000977F7">
        <w:rPr>
          <w:rFonts w:asciiTheme="majorHAnsi" w:hAnsiTheme="majorHAnsi"/>
          <w:sz w:val="20"/>
          <w:szCs w:val="20"/>
        </w:rPr>
        <w:t>особу або орган правом використовувати сертифікати</w:t>
      </w:r>
      <w:r w:rsidRPr="000977F7">
        <w:rPr>
          <w:rFonts w:asciiTheme="majorHAnsi" w:hAnsiTheme="majorHAnsi"/>
          <w:spacing w:val="1"/>
          <w:sz w:val="20"/>
          <w:szCs w:val="20"/>
        </w:rPr>
        <w:t xml:space="preserve"> </w:t>
      </w:r>
      <w:r w:rsidRPr="000977F7">
        <w:rPr>
          <w:rFonts w:asciiTheme="majorHAnsi" w:hAnsiTheme="majorHAnsi"/>
          <w:sz w:val="20"/>
          <w:szCs w:val="20"/>
        </w:rPr>
        <w:t xml:space="preserve">або знаки відповідності для своєї </w:t>
      </w:r>
      <w:r w:rsidRPr="000977F7">
        <w:rPr>
          <w:rFonts w:asciiTheme="majorHAnsi" w:hAnsiTheme="majorHAnsi"/>
          <w:sz w:val="20"/>
          <w:szCs w:val="20"/>
        </w:rPr>
        <w:lastRenderedPageBreak/>
        <w:t>продукції, процесів</w:t>
      </w:r>
      <w:r w:rsidRPr="000977F7">
        <w:rPr>
          <w:rFonts w:asciiTheme="majorHAnsi" w:hAnsiTheme="majorHAnsi"/>
          <w:spacing w:val="1"/>
          <w:sz w:val="20"/>
          <w:szCs w:val="20"/>
        </w:rPr>
        <w:t xml:space="preserve"> </w:t>
      </w:r>
      <w:r w:rsidRPr="000977F7">
        <w:rPr>
          <w:rFonts w:asciiTheme="majorHAnsi" w:hAnsiTheme="majorHAnsi"/>
          <w:sz w:val="20"/>
          <w:szCs w:val="20"/>
        </w:rPr>
        <w:t>або послуг у відповідності з правилами відповідної</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2"/>
          <w:sz w:val="20"/>
          <w:szCs w:val="20"/>
        </w:rPr>
        <w:t xml:space="preserve"> </w:t>
      </w:r>
      <w:r w:rsidRPr="000977F7">
        <w:rPr>
          <w:rFonts w:asciiTheme="majorHAnsi" w:hAnsiTheme="majorHAnsi"/>
          <w:sz w:val="20"/>
          <w:szCs w:val="20"/>
        </w:rPr>
        <w:t>сертифікації</w:t>
      </w:r>
    </w:p>
    <w:p w14:paraId="631A5D4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СВІТОВІ</w:t>
      </w:r>
      <w:r w:rsidRPr="000977F7">
        <w:rPr>
          <w:color w:val="auto"/>
          <w:spacing w:val="-4"/>
          <w:sz w:val="20"/>
          <w:szCs w:val="20"/>
        </w:rPr>
        <w:t xml:space="preserve"> </w:t>
      </w:r>
      <w:r w:rsidRPr="000977F7">
        <w:rPr>
          <w:color w:val="auto"/>
          <w:sz w:val="20"/>
          <w:szCs w:val="20"/>
        </w:rPr>
        <w:t>ЦІНИ –</w:t>
      </w:r>
    </w:p>
    <w:p w14:paraId="0579F41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Ціни, за якими проводяться великі комерційні експортні та імпортні операції з платнею у вільно конвертованій</w:t>
      </w:r>
      <w:r w:rsidRPr="000977F7">
        <w:rPr>
          <w:rFonts w:asciiTheme="majorHAnsi" w:hAnsiTheme="majorHAnsi"/>
          <w:spacing w:val="-2"/>
          <w:sz w:val="20"/>
          <w:szCs w:val="20"/>
        </w:rPr>
        <w:t xml:space="preserve"> </w:t>
      </w:r>
      <w:r w:rsidRPr="000977F7">
        <w:rPr>
          <w:rFonts w:asciiTheme="majorHAnsi" w:hAnsiTheme="majorHAnsi"/>
          <w:sz w:val="20"/>
          <w:szCs w:val="20"/>
        </w:rPr>
        <w:t>валюті</w:t>
      </w:r>
    </w:p>
    <w:p w14:paraId="3295FB2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ED02CF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СЕГМЕНТ</w:t>
      </w:r>
      <w:r w:rsidRPr="000977F7">
        <w:rPr>
          <w:color w:val="auto"/>
          <w:spacing w:val="-4"/>
          <w:sz w:val="20"/>
          <w:szCs w:val="20"/>
        </w:rPr>
        <w:t xml:space="preserve"> </w:t>
      </w:r>
      <w:r w:rsidRPr="000977F7">
        <w:rPr>
          <w:color w:val="auto"/>
          <w:sz w:val="20"/>
          <w:szCs w:val="20"/>
        </w:rPr>
        <w:t>РИНКУ</w:t>
      </w:r>
      <w:r w:rsidRPr="000977F7">
        <w:rPr>
          <w:color w:val="auto"/>
          <w:spacing w:val="-2"/>
          <w:sz w:val="20"/>
          <w:szCs w:val="20"/>
        </w:rPr>
        <w:t xml:space="preserve"> </w:t>
      </w:r>
      <w:r w:rsidRPr="000977F7">
        <w:rPr>
          <w:color w:val="auto"/>
          <w:sz w:val="20"/>
          <w:szCs w:val="20"/>
        </w:rPr>
        <w:t>–</w:t>
      </w:r>
    </w:p>
    <w:p w14:paraId="5359722B"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Сукупність</w:t>
      </w:r>
      <w:r w:rsidRPr="000977F7">
        <w:rPr>
          <w:b w:val="0"/>
          <w:bCs/>
          <w:color w:val="auto"/>
          <w:spacing w:val="1"/>
          <w:sz w:val="20"/>
          <w:szCs w:val="20"/>
        </w:rPr>
        <w:t xml:space="preserve"> </w:t>
      </w:r>
      <w:r w:rsidRPr="000977F7">
        <w:rPr>
          <w:b w:val="0"/>
          <w:bCs/>
          <w:color w:val="auto"/>
          <w:sz w:val="20"/>
          <w:szCs w:val="20"/>
        </w:rPr>
        <w:t>споживачів,</w:t>
      </w:r>
      <w:r w:rsidRPr="000977F7">
        <w:rPr>
          <w:b w:val="0"/>
          <w:bCs/>
          <w:color w:val="auto"/>
          <w:spacing w:val="1"/>
          <w:sz w:val="20"/>
          <w:szCs w:val="20"/>
        </w:rPr>
        <w:t xml:space="preserve"> </w:t>
      </w:r>
      <w:r w:rsidRPr="000977F7">
        <w:rPr>
          <w:b w:val="0"/>
          <w:bCs/>
          <w:color w:val="auto"/>
          <w:sz w:val="20"/>
          <w:szCs w:val="20"/>
        </w:rPr>
        <w:t>які</w:t>
      </w:r>
      <w:r w:rsidRPr="000977F7">
        <w:rPr>
          <w:b w:val="0"/>
          <w:bCs/>
          <w:color w:val="auto"/>
          <w:spacing w:val="1"/>
          <w:sz w:val="20"/>
          <w:szCs w:val="20"/>
        </w:rPr>
        <w:t xml:space="preserve"> </w:t>
      </w:r>
      <w:r w:rsidRPr="000977F7">
        <w:rPr>
          <w:b w:val="0"/>
          <w:bCs/>
          <w:color w:val="auto"/>
          <w:sz w:val="20"/>
          <w:szCs w:val="20"/>
        </w:rPr>
        <w:t>однаково</w:t>
      </w:r>
      <w:r w:rsidRPr="000977F7">
        <w:rPr>
          <w:b w:val="0"/>
          <w:bCs/>
          <w:color w:val="auto"/>
          <w:spacing w:val="1"/>
          <w:sz w:val="20"/>
          <w:szCs w:val="20"/>
        </w:rPr>
        <w:t xml:space="preserve"> </w:t>
      </w:r>
      <w:r w:rsidRPr="000977F7">
        <w:rPr>
          <w:b w:val="0"/>
          <w:bCs/>
          <w:color w:val="auto"/>
          <w:sz w:val="20"/>
          <w:szCs w:val="20"/>
        </w:rPr>
        <w:t>реагують</w:t>
      </w:r>
      <w:r w:rsidRPr="000977F7">
        <w:rPr>
          <w:b w:val="0"/>
          <w:bCs/>
          <w:color w:val="auto"/>
          <w:spacing w:val="50"/>
          <w:sz w:val="20"/>
          <w:szCs w:val="20"/>
        </w:rPr>
        <w:t xml:space="preserve"> </w:t>
      </w:r>
      <w:r w:rsidRPr="000977F7">
        <w:rPr>
          <w:b w:val="0"/>
          <w:bCs/>
          <w:color w:val="auto"/>
          <w:sz w:val="20"/>
          <w:szCs w:val="20"/>
        </w:rPr>
        <w:t>на</w:t>
      </w:r>
      <w:r w:rsidRPr="000977F7">
        <w:rPr>
          <w:b w:val="0"/>
          <w:bCs/>
          <w:color w:val="auto"/>
          <w:spacing w:val="1"/>
          <w:sz w:val="20"/>
          <w:szCs w:val="20"/>
        </w:rPr>
        <w:t xml:space="preserve"> </w:t>
      </w:r>
      <w:r w:rsidRPr="000977F7">
        <w:rPr>
          <w:b w:val="0"/>
          <w:bCs/>
          <w:color w:val="auto"/>
          <w:sz w:val="20"/>
          <w:szCs w:val="20"/>
        </w:rPr>
        <w:t>один і той самий набір спонукальних стимулів маркетингу</w:t>
      </w:r>
    </w:p>
    <w:p w14:paraId="297DBA2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 – 95</w:t>
      </w:r>
    </w:p>
    <w:p w14:paraId="575C596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СЕГМЕНТАЦІЯ</w:t>
      </w:r>
      <w:r w:rsidRPr="000977F7">
        <w:rPr>
          <w:color w:val="auto"/>
          <w:spacing w:val="-4"/>
          <w:sz w:val="20"/>
          <w:szCs w:val="20"/>
        </w:rPr>
        <w:t xml:space="preserve"> </w:t>
      </w:r>
      <w:r w:rsidRPr="000977F7">
        <w:rPr>
          <w:color w:val="auto"/>
          <w:sz w:val="20"/>
          <w:szCs w:val="20"/>
        </w:rPr>
        <w:t>РИНКУ</w:t>
      </w:r>
      <w:r w:rsidRPr="000977F7">
        <w:rPr>
          <w:color w:val="auto"/>
          <w:spacing w:val="-1"/>
          <w:sz w:val="20"/>
          <w:szCs w:val="20"/>
        </w:rPr>
        <w:t xml:space="preserve"> </w:t>
      </w:r>
      <w:r w:rsidRPr="000977F7">
        <w:rPr>
          <w:color w:val="auto"/>
          <w:sz w:val="20"/>
          <w:szCs w:val="20"/>
        </w:rPr>
        <w:t>–</w:t>
      </w:r>
    </w:p>
    <w:p w14:paraId="0CDE33A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Виділення сегментів ринку, які відрізняються один від</w:t>
      </w:r>
      <w:r w:rsidRPr="000977F7">
        <w:rPr>
          <w:rFonts w:asciiTheme="majorHAnsi" w:hAnsiTheme="majorHAnsi"/>
          <w:spacing w:val="-47"/>
          <w:sz w:val="20"/>
          <w:szCs w:val="20"/>
        </w:rPr>
        <w:t xml:space="preserve"> </w:t>
      </w:r>
      <w:r w:rsidRPr="000977F7">
        <w:rPr>
          <w:rFonts w:asciiTheme="majorHAnsi" w:hAnsiTheme="majorHAnsi"/>
          <w:sz w:val="20"/>
          <w:szCs w:val="20"/>
        </w:rPr>
        <w:t>одного характеристиками попиту на продукцію і послуги</w:t>
      </w:r>
      <w:r w:rsidRPr="000977F7">
        <w:rPr>
          <w:rFonts w:asciiTheme="majorHAnsi" w:hAnsiTheme="majorHAnsi"/>
          <w:spacing w:val="-2"/>
          <w:sz w:val="20"/>
          <w:szCs w:val="20"/>
        </w:rPr>
        <w:t xml:space="preserve"> </w:t>
      </w:r>
      <w:r w:rsidRPr="000977F7">
        <w:rPr>
          <w:rFonts w:asciiTheme="majorHAnsi" w:hAnsiTheme="majorHAnsi"/>
          <w:sz w:val="20"/>
          <w:szCs w:val="20"/>
        </w:rPr>
        <w:t>та реакцією</w:t>
      </w:r>
      <w:r w:rsidRPr="000977F7">
        <w:rPr>
          <w:rFonts w:asciiTheme="majorHAnsi" w:hAnsiTheme="majorHAnsi"/>
          <w:spacing w:val="-1"/>
          <w:sz w:val="20"/>
          <w:szCs w:val="20"/>
        </w:rPr>
        <w:t xml:space="preserve"> </w:t>
      </w:r>
      <w:r w:rsidRPr="000977F7">
        <w:rPr>
          <w:rFonts w:asciiTheme="majorHAnsi" w:hAnsiTheme="majorHAnsi"/>
          <w:sz w:val="20"/>
          <w:szCs w:val="20"/>
        </w:rPr>
        <w:t>на маркетингові</w:t>
      </w:r>
      <w:r w:rsidRPr="000977F7">
        <w:rPr>
          <w:rFonts w:asciiTheme="majorHAnsi" w:hAnsiTheme="majorHAnsi"/>
          <w:spacing w:val="-2"/>
          <w:sz w:val="20"/>
          <w:szCs w:val="20"/>
        </w:rPr>
        <w:t xml:space="preserve"> </w:t>
      </w:r>
      <w:r w:rsidRPr="000977F7">
        <w:rPr>
          <w:rFonts w:asciiTheme="majorHAnsi" w:hAnsiTheme="majorHAnsi"/>
          <w:sz w:val="20"/>
          <w:szCs w:val="20"/>
        </w:rPr>
        <w:t>дії</w:t>
      </w:r>
    </w:p>
    <w:p w14:paraId="436FB3A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 – 95</w:t>
      </w:r>
    </w:p>
    <w:p w14:paraId="2F4CEE4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СЕМАНТИЧНИЙ</w:t>
      </w:r>
      <w:r w:rsidRPr="000977F7">
        <w:rPr>
          <w:color w:val="auto"/>
          <w:spacing w:val="-4"/>
          <w:sz w:val="20"/>
          <w:szCs w:val="20"/>
        </w:rPr>
        <w:t xml:space="preserve"> </w:t>
      </w:r>
      <w:r w:rsidRPr="000977F7">
        <w:rPr>
          <w:color w:val="auto"/>
          <w:sz w:val="20"/>
          <w:szCs w:val="20"/>
        </w:rPr>
        <w:t>ДИФЕРЕНЦІАЛ</w:t>
      </w:r>
      <w:r w:rsidRPr="000977F7">
        <w:rPr>
          <w:color w:val="auto"/>
          <w:spacing w:val="-2"/>
          <w:sz w:val="20"/>
          <w:szCs w:val="20"/>
        </w:rPr>
        <w:t xml:space="preserve"> </w:t>
      </w:r>
      <w:r w:rsidRPr="000977F7">
        <w:rPr>
          <w:color w:val="auto"/>
          <w:sz w:val="20"/>
          <w:szCs w:val="20"/>
        </w:rPr>
        <w:t>–</w:t>
      </w:r>
    </w:p>
    <w:p w14:paraId="355E12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опитування,</w:t>
      </w:r>
      <w:r w:rsidRPr="000977F7">
        <w:rPr>
          <w:rFonts w:asciiTheme="majorHAnsi" w:hAnsiTheme="majorHAnsi"/>
          <w:spacing w:val="1"/>
          <w:sz w:val="20"/>
          <w:szCs w:val="20"/>
        </w:rPr>
        <w:t xml:space="preserve"> </w:t>
      </w:r>
      <w:r w:rsidRPr="000977F7">
        <w:rPr>
          <w:rFonts w:asciiTheme="majorHAnsi" w:hAnsiTheme="majorHAnsi"/>
          <w:sz w:val="20"/>
          <w:szCs w:val="20"/>
        </w:rPr>
        <w:t>який являє</w:t>
      </w:r>
      <w:r w:rsidRPr="000977F7">
        <w:rPr>
          <w:rFonts w:asciiTheme="majorHAnsi" w:hAnsiTheme="majorHAnsi"/>
          <w:spacing w:val="1"/>
          <w:sz w:val="20"/>
          <w:szCs w:val="20"/>
        </w:rPr>
        <w:t xml:space="preserve"> </w:t>
      </w:r>
      <w:r w:rsidRPr="000977F7">
        <w:rPr>
          <w:rFonts w:asciiTheme="majorHAnsi" w:hAnsiTheme="majorHAnsi"/>
          <w:sz w:val="20"/>
          <w:szCs w:val="20"/>
        </w:rPr>
        <w:t>собою</w:t>
      </w:r>
      <w:r w:rsidRPr="000977F7">
        <w:rPr>
          <w:rFonts w:asciiTheme="majorHAnsi" w:hAnsiTheme="majorHAnsi"/>
          <w:spacing w:val="1"/>
          <w:sz w:val="20"/>
          <w:szCs w:val="20"/>
        </w:rPr>
        <w:t xml:space="preserve"> </w:t>
      </w:r>
      <w:r w:rsidRPr="000977F7">
        <w:rPr>
          <w:rFonts w:asciiTheme="majorHAnsi" w:hAnsiTheme="majorHAnsi"/>
          <w:sz w:val="20"/>
          <w:szCs w:val="20"/>
        </w:rPr>
        <w:t>перелік шкал</w:t>
      </w:r>
      <w:r w:rsidRPr="000977F7">
        <w:rPr>
          <w:rFonts w:asciiTheme="majorHAnsi" w:hAnsiTheme="majorHAnsi"/>
          <w:spacing w:val="1"/>
          <w:sz w:val="20"/>
          <w:szCs w:val="20"/>
        </w:rPr>
        <w:t xml:space="preserve"> </w:t>
      </w:r>
      <w:r w:rsidRPr="000977F7">
        <w:rPr>
          <w:rFonts w:asciiTheme="majorHAnsi" w:hAnsiTheme="majorHAnsi"/>
          <w:sz w:val="20"/>
          <w:szCs w:val="20"/>
        </w:rPr>
        <w:t>протилежних</w:t>
      </w:r>
      <w:r w:rsidRPr="000977F7">
        <w:rPr>
          <w:rFonts w:asciiTheme="majorHAnsi" w:hAnsiTheme="majorHAnsi"/>
          <w:spacing w:val="-2"/>
          <w:sz w:val="20"/>
          <w:szCs w:val="20"/>
        </w:rPr>
        <w:t xml:space="preserve"> </w:t>
      </w:r>
      <w:r w:rsidRPr="000977F7">
        <w:rPr>
          <w:rFonts w:asciiTheme="majorHAnsi" w:hAnsiTheme="majorHAnsi"/>
          <w:sz w:val="20"/>
          <w:szCs w:val="20"/>
        </w:rPr>
        <w:t>визначень</w:t>
      </w:r>
    </w:p>
    <w:p w14:paraId="74F2EA7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 – 95</w:t>
      </w:r>
    </w:p>
    <w:p w14:paraId="261B083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СЕРЕДНЕ КВАДРАТИЧНЕ</w:t>
      </w:r>
      <w:r w:rsidRPr="000977F7">
        <w:rPr>
          <w:color w:val="auto"/>
          <w:spacing w:val="-47"/>
          <w:sz w:val="20"/>
          <w:szCs w:val="20"/>
        </w:rPr>
        <w:t xml:space="preserve"> </w:t>
      </w:r>
      <w:r w:rsidRPr="000977F7">
        <w:rPr>
          <w:color w:val="auto"/>
          <w:sz w:val="20"/>
          <w:szCs w:val="20"/>
        </w:rPr>
        <w:t>ВІДХИЛЕННЯ –</w:t>
      </w:r>
    </w:p>
    <w:p w14:paraId="761800F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Невід’ємний</w:t>
      </w:r>
      <w:r w:rsidRPr="000977F7">
        <w:rPr>
          <w:rFonts w:asciiTheme="majorHAnsi" w:hAnsiTheme="majorHAnsi"/>
          <w:spacing w:val="-5"/>
          <w:sz w:val="20"/>
          <w:szCs w:val="20"/>
        </w:rPr>
        <w:t xml:space="preserve"> </w:t>
      </w:r>
      <w:r w:rsidRPr="000977F7">
        <w:rPr>
          <w:rFonts w:asciiTheme="majorHAnsi" w:hAnsiTheme="majorHAnsi"/>
          <w:sz w:val="20"/>
          <w:szCs w:val="20"/>
        </w:rPr>
        <w:t>квадратичний</w:t>
      </w:r>
      <w:r w:rsidRPr="000977F7">
        <w:rPr>
          <w:rFonts w:asciiTheme="majorHAnsi" w:hAnsiTheme="majorHAnsi"/>
          <w:spacing w:val="-5"/>
          <w:sz w:val="20"/>
          <w:szCs w:val="20"/>
        </w:rPr>
        <w:t xml:space="preserve"> </w:t>
      </w:r>
      <w:r w:rsidRPr="000977F7">
        <w:rPr>
          <w:rFonts w:asciiTheme="majorHAnsi" w:hAnsiTheme="majorHAnsi"/>
          <w:sz w:val="20"/>
          <w:szCs w:val="20"/>
        </w:rPr>
        <w:t>корінь</w:t>
      </w:r>
      <w:r w:rsidRPr="000977F7">
        <w:rPr>
          <w:rFonts w:asciiTheme="majorHAnsi" w:hAnsiTheme="majorHAnsi"/>
          <w:spacing w:val="-4"/>
          <w:sz w:val="20"/>
          <w:szCs w:val="20"/>
        </w:rPr>
        <w:t xml:space="preserve"> </w:t>
      </w:r>
      <w:r w:rsidRPr="000977F7">
        <w:rPr>
          <w:rFonts w:asciiTheme="majorHAnsi" w:hAnsiTheme="majorHAnsi"/>
          <w:sz w:val="20"/>
          <w:szCs w:val="20"/>
        </w:rPr>
        <w:t>з</w:t>
      </w:r>
      <w:r w:rsidRPr="000977F7">
        <w:rPr>
          <w:rFonts w:asciiTheme="majorHAnsi" w:hAnsiTheme="majorHAnsi"/>
          <w:spacing w:val="-4"/>
          <w:sz w:val="20"/>
          <w:szCs w:val="20"/>
        </w:rPr>
        <w:t xml:space="preserve"> </w:t>
      </w:r>
      <w:r w:rsidRPr="000977F7">
        <w:rPr>
          <w:rFonts w:asciiTheme="majorHAnsi" w:hAnsiTheme="majorHAnsi"/>
          <w:sz w:val="20"/>
          <w:szCs w:val="20"/>
        </w:rPr>
        <w:t>дисперсії</w:t>
      </w:r>
    </w:p>
    <w:p w14:paraId="11EA311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606B0BA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СЕРЕДНЄ НАПРАЦЮВАННЯ ДО АВАРІЇ</w:t>
      </w:r>
    </w:p>
    <w:p w14:paraId="05AB425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1-ГО </w:t>
      </w:r>
      <w:r w:rsidRPr="000977F7">
        <w:rPr>
          <w:color w:val="auto"/>
          <w:spacing w:val="-47"/>
          <w:sz w:val="20"/>
          <w:szCs w:val="20"/>
        </w:rPr>
        <w:t xml:space="preserve"> </w:t>
      </w:r>
      <w:r w:rsidRPr="000977F7">
        <w:rPr>
          <w:color w:val="auto"/>
          <w:sz w:val="20"/>
          <w:szCs w:val="20"/>
        </w:rPr>
        <w:t>ВИДУ</w:t>
      </w:r>
      <w:r w:rsidRPr="000977F7">
        <w:rPr>
          <w:color w:val="auto"/>
          <w:spacing w:val="-1"/>
          <w:sz w:val="20"/>
          <w:szCs w:val="20"/>
        </w:rPr>
        <w:t xml:space="preserve"> </w:t>
      </w:r>
      <w:r w:rsidRPr="000977F7">
        <w:rPr>
          <w:color w:val="auto"/>
          <w:sz w:val="20"/>
          <w:szCs w:val="20"/>
        </w:rPr>
        <w:t>–</w:t>
      </w:r>
    </w:p>
    <w:p w14:paraId="161CC55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Математичне</w:t>
      </w:r>
      <w:r w:rsidRPr="000977F7">
        <w:rPr>
          <w:rFonts w:asciiTheme="majorHAnsi" w:hAnsiTheme="majorHAnsi"/>
          <w:spacing w:val="1"/>
          <w:sz w:val="20"/>
          <w:szCs w:val="20"/>
        </w:rPr>
        <w:t xml:space="preserve"> </w:t>
      </w:r>
      <w:r w:rsidRPr="000977F7">
        <w:rPr>
          <w:rFonts w:asciiTheme="majorHAnsi" w:hAnsiTheme="majorHAnsi"/>
          <w:sz w:val="20"/>
          <w:szCs w:val="20"/>
        </w:rPr>
        <w:t>очікування</w:t>
      </w:r>
      <w:r w:rsidRPr="000977F7">
        <w:rPr>
          <w:rFonts w:asciiTheme="majorHAnsi" w:hAnsiTheme="majorHAnsi"/>
          <w:spacing w:val="1"/>
          <w:sz w:val="20"/>
          <w:szCs w:val="20"/>
        </w:rPr>
        <w:t xml:space="preserve"> </w:t>
      </w:r>
      <w:r w:rsidRPr="000977F7">
        <w:rPr>
          <w:rFonts w:asciiTheme="majorHAnsi" w:hAnsiTheme="majorHAnsi"/>
          <w:sz w:val="20"/>
          <w:szCs w:val="20"/>
        </w:rPr>
        <w:t>напрацювання</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першої</w:t>
      </w:r>
      <w:r w:rsidRPr="000977F7">
        <w:rPr>
          <w:rFonts w:asciiTheme="majorHAnsi" w:hAnsiTheme="majorHAnsi"/>
          <w:spacing w:val="-2"/>
          <w:sz w:val="20"/>
          <w:szCs w:val="20"/>
        </w:rPr>
        <w:t xml:space="preserve"> </w:t>
      </w:r>
      <w:r w:rsidRPr="000977F7">
        <w:rPr>
          <w:rFonts w:asciiTheme="majorHAnsi" w:hAnsiTheme="majorHAnsi"/>
          <w:sz w:val="20"/>
          <w:szCs w:val="20"/>
        </w:rPr>
        <w:t xml:space="preserve">аварії </w:t>
      </w:r>
      <w:r w:rsidRPr="000977F7">
        <w:rPr>
          <w:rFonts w:asciiTheme="majorHAnsi" w:hAnsiTheme="majorHAnsi"/>
          <w:i/>
          <w:sz w:val="20"/>
          <w:szCs w:val="20"/>
        </w:rPr>
        <w:t>і</w:t>
      </w:r>
      <w:r w:rsidRPr="000977F7">
        <w:rPr>
          <w:rFonts w:asciiTheme="majorHAnsi" w:hAnsiTheme="majorHAnsi"/>
          <w:sz w:val="20"/>
          <w:szCs w:val="20"/>
        </w:rPr>
        <w:t>-го</w:t>
      </w:r>
      <w:r w:rsidRPr="000977F7">
        <w:rPr>
          <w:rFonts w:asciiTheme="majorHAnsi" w:hAnsiTheme="majorHAnsi"/>
          <w:spacing w:val="1"/>
          <w:sz w:val="20"/>
          <w:szCs w:val="20"/>
        </w:rPr>
        <w:t xml:space="preserve"> </w:t>
      </w:r>
      <w:r w:rsidRPr="000977F7">
        <w:rPr>
          <w:rFonts w:asciiTheme="majorHAnsi" w:hAnsiTheme="majorHAnsi"/>
          <w:sz w:val="20"/>
          <w:szCs w:val="20"/>
        </w:rPr>
        <w:t>виду</w:t>
      </w:r>
    </w:p>
    <w:p w14:paraId="68CA99B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2156 - 93</w:t>
      </w:r>
    </w:p>
    <w:p w14:paraId="3F78649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СЕРЕДНЄ</w:t>
      </w:r>
      <w:r w:rsidRPr="000977F7">
        <w:rPr>
          <w:color w:val="auto"/>
          <w:spacing w:val="-5"/>
          <w:sz w:val="20"/>
          <w:szCs w:val="20"/>
        </w:rPr>
        <w:t xml:space="preserve"> </w:t>
      </w:r>
      <w:r w:rsidRPr="000977F7">
        <w:rPr>
          <w:color w:val="auto"/>
          <w:sz w:val="20"/>
          <w:szCs w:val="20"/>
        </w:rPr>
        <w:t>НАПРАЦЮВАННЯ</w:t>
      </w:r>
      <w:r w:rsidRPr="000977F7">
        <w:rPr>
          <w:color w:val="auto"/>
          <w:spacing w:val="-4"/>
          <w:sz w:val="20"/>
          <w:szCs w:val="20"/>
        </w:rPr>
        <w:t xml:space="preserve"> </w:t>
      </w:r>
      <w:r w:rsidRPr="000977F7">
        <w:rPr>
          <w:color w:val="auto"/>
          <w:sz w:val="20"/>
          <w:szCs w:val="20"/>
        </w:rPr>
        <w:t>НА</w:t>
      </w:r>
      <w:r w:rsidRPr="000977F7">
        <w:rPr>
          <w:color w:val="auto"/>
          <w:spacing w:val="-4"/>
          <w:sz w:val="20"/>
          <w:szCs w:val="20"/>
        </w:rPr>
        <w:t xml:space="preserve"> </w:t>
      </w:r>
      <w:r w:rsidRPr="000977F7">
        <w:rPr>
          <w:color w:val="auto"/>
          <w:sz w:val="20"/>
          <w:szCs w:val="20"/>
        </w:rPr>
        <w:t>АВАРІЮ</w:t>
      </w:r>
    </w:p>
    <w:p w14:paraId="08B7BD8A"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i/>
          <w:sz w:val="20"/>
          <w:szCs w:val="20"/>
        </w:rPr>
        <w:t>І</w:t>
      </w:r>
      <w:r w:rsidRPr="000977F7">
        <w:rPr>
          <w:rFonts w:asciiTheme="majorHAnsi" w:hAnsiTheme="majorHAnsi"/>
          <w:b/>
          <w:sz w:val="20"/>
          <w:szCs w:val="20"/>
        </w:rPr>
        <w:t>-ГО</w:t>
      </w:r>
      <w:r w:rsidRPr="000977F7">
        <w:rPr>
          <w:rFonts w:asciiTheme="majorHAnsi" w:hAnsiTheme="majorHAnsi"/>
          <w:b/>
          <w:spacing w:val="-2"/>
          <w:sz w:val="20"/>
          <w:szCs w:val="20"/>
        </w:rPr>
        <w:t xml:space="preserve"> </w:t>
      </w:r>
      <w:r w:rsidRPr="000977F7">
        <w:rPr>
          <w:rFonts w:asciiTheme="majorHAnsi" w:hAnsiTheme="majorHAnsi"/>
          <w:b/>
          <w:sz w:val="20"/>
          <w:szCs w:val="20"/>
        </w:rPr>
        <w:t>ВИДУ</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0BEF11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сумарного напрацювання відновлюваного</w:t>
      </w:r>
      <w:r w:rsidRPr="000977F7">
        <w:rPr>
          <w:rFonts w:asciiTheme="majorHAnsi" w:hAnsiTheme="majorHAnsi"/>
          <w:spacing w:val="1"/>
          <w:sz w:val="20"/>
          <w:szCs w:val="20"/>
        </w:rPr>
        <w:t xml:space="preserve"> </w:t>
      </w:r>
      <w:r w:rsidRPr="000977F7">
        <w:rPr>
          <w:rFonts w:asciiTheme="majorHAnsi" w:hAnsiTheme="majorHAnsi"/>
          <w:sz w:val="20"/>
          <w:szCs w:val="20"/>
        </w:rPr>
        <w:t>після</w:t>
      </w:r>
      <w:r w:rsidRPr="000977F7">
        <w:rPr>
          <w:rFonts w:asciiTheme="majorHAnsi" w:hAnsiTheme="majorHAnsi"/>
          <w:spacing w:val="1"/>
          <w:sz w:val="20"/>
          <w:szCs w:val="20"/>
        </w:rPr>
        <w:t xml:space="preserve"> </w:t>
      </w:r>
      <w:r w:rsidRPr="000977F7">
        <w:rPr>
          <w:rFonts w:asciiTheme="majorHAnsi" w:hAnsiTheme="majorHAnsi"/>
          <w:sz w:val="20"/>
          <w:szCs w:val="20"/>
        </w:rPr>
        <w:t>аварії</w:t>
      </w:r>
      <w:r w:rsidRPr="000977F7">
        <w:rPr>
          <w:rFonts w:asciiTheme="majorHAnsi" w:hAnsiTheme="majorHAnsi"/>
          <w:spacing w:val="1"/>
          <w:sz w:val="20"/>
          <w:szCs w:val="20"/>
        </w:rPr>
        <w:t xml:space="preserve"> </w:t>
      </w:r>
      <w:r w:rsidRPr="000977F7">
        <w:rPr>
          <w:rFonts w:asciiTheme="majorHAnsi" w:hAnsiTheme="majorHAnsi"/>
          <w:i/>
          <w:sz w:val="20"/>
          <w:szCs w:val="20"/>
        </w:rPr>
        <w:t>і</w:t>
      </w:r>
      <w:r w:rsidRPr="000977F7">
        <w:rPr>
          <w:rFonts w:asciiTheme="majorHAnsi" w:hAnsiTheme="majorHAnsi"/>
          <w:sz w:val="20"/>
          <w:szCs w:val="20"/>
        </w:rPr>
        <w:t>-го</w:t>
      </w:r>
      <w:r w:rsidRPr="000977F7">
        <w:rPr>
          <w:rFonts w:asciiTheme="majorHAnsi" w:hAnsiTheme="majorHAnsi"/>
          <w:spacing w:val="1"/>
          <w:sz w:val="20"/>
          <w:szCs w:val="20"/>
        </w:rPr>
        <w:t xml:space="preserve"> </w:t>
      </w:r>
      <w:r w:rsidRPr="000977F7">
        <w:rPr>
          <w:rFonts w:asciiTheme="majorHAnsi" w:hAnsiTheme="majorHAnsi"/>
          <w:sz w:val="20"/>
          <w:szCs w:val="20"/>
        </w:rPr>
        <w:t>виду</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математичного</w:t>
      </w:r>
      <w:r w:rsidRPr="000977F7">
        <w:rPr>
          <w:rFonts w:asciiTheme="majorHAnsi" w:hAnsiTheme="majorHAnsi"/>
          <w:spacing w:val="1"/>
          <w:sz w:val="20"/>
          <w:szCs w:val="20"/>
        </w:rPr>
        <w:t xml:space="preserve"> </w:t>
      </w:r>
      <w:r w:rsidRPr="000977F7">
        <w:rPr>
          <w:rFonts w:asciiTheme="majorHAnsi" w:hAnsiTheme="majorHAnsi"/>
          <w:sz w:val="20"/>
          <w:szCs w:val="20"/>
        </w:rPr>
        <w:t xml:space="preserve">очікування кількості аварій </w:t>
      </w:r>
      <w:r w:rsidRPr="000977F7">
        <w:rPr>
          <w:rFonts w:asciiTheme="majorHAnsi" w:hAnsiTheme="majorHAnsi"/>
          <w:i/>
          <w:sz w:val="20"/>
          <w:szCs w:val="20"/>
        </w:rPr>
        <w:t>і</w:t>
      </w:r>
      <w:r w:rsidRPr="000977F7">
        <w:rPr>
          <w:rFonts w:asciiTheme="majorHAnsi" w:hAnsiTheme="majorHAnsi"/>
          <w:sz w:val="20"/>
          <w:szCs w:val="20"/>
        </w:rPr>
        <w:t>-го виду протягом цього</w:t>
      </w:r>
      <w:r w:rsidRPr="000977F7">
        <w:rPr>
          <w:rFonts w:asciiTheme="majorHAnsi" w:hAnsiTheme="majorHAnsi"/>
          <w:spacing w:val="1"/>
          <w:sz w:val="20"/>
          <w:szCs w:val="20"/>
        </w:rPr>
        <w:t xml:space="preserve"> </w:t>
      </w:r>
      <w:r w:rsidRPr="000977F7">
        <w:rPr>
          <w:rFonts w:asciiTheme="majorHAnsi" w:hAnsiTheme="majorHAnsi"/>
          <w:sz w:val="20"/>
          <w:szCs w:val="20"/>
        </w:rPr>
        <w:t>напрацювання</w:t>
      </w:r>
    </w:p>
    <w:p w14:paraId="6D9087A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2156 - 93</w:t>
      </w:r>
    </w:p>
    <w:p w14:paraId="5CB196A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СЕРЕДНІЙ</w:t>
      </w:r>
      <w:r w:rsidRPr="000977F7">
        <w:rPr>
          <w:rFonts w:asciiTheme="majorHAnsi" w:hAnsiTheme="majorHAnsi"/>
          <w:b/>
          <w:spacing w:val="30"/>
          <w:sz w:val="20"/>
          <w:szCs w:val="20"/>
        </w:rPr>
        <w:t xml:space="preserve"> </w:t>
      </w:r>
      <w:r w:rsidRPr="000977F7">
        <w:rPr>
          <w:rFonts w:asciiTheme="majorHAnsi" w:hAnsiTheme="majorHAnsi"/>
          <w:b/>
          <w:sz w:val="20"/>
          <w:szCs w:val="20"/>
        </w:rPr>
        <w:t>НАРОБІТОК</w:t>
      </w:r>
      <w:r w:rsidRPr="000977F7">
        <w:rPr>
          <w:rFonts w:asciiTheme="majorHAnsi" w:hAnsiTheme="majorHAnsi"/>
          <w:b/>
          <w:spacing w:val="29"/>
          <w:sz w:val="20"/>
          <w:szCs w:val="20"/>
        </w:rPr>
        <w:t xml:space="preserve"> </w:t>
      </w:r>
      <w:r w:rsidRPr="000977F7">
        <w:rPr>
          <w:rFonts w:asciiTheme="majorHAnsi" w:hAnsiTheme="majorHAnsi"/>
          <w:b/>
          <w:sz w:val="20"/>
          <w:szCs w:val="20"/>
        </w:rPr>
        <w:t>МІЖ</w:t>
      </w:r>
      <w:r w:rsidRPr="000977F7">
        <w:rPr>
          <w:rFonts w:asciiTheme="majorHAnsi" w:hAnsiTheme="majorHAnsi"/>
          <w:b/>
          <w:spacing w:val="27"/>
          <w:sz w:val="20"/>
          <w:szCs w:val="20"/>
        </w:rPr>
        <w:t xml:space="preserve"> </w:t>
      </w:r>
      <w:r w:rsidRPr="000977F7">
        <w:rPr>
          <w:rFonts w:asciiTheme="majorHAnsi" w:hAnsiTheme="majorHAnsi"/>
          <w:b/>
          <w:sz w:val="20"/>
          <w:szCs w:val="20"/>
        </w:rPr>
        <w:t>ВІДМОВАМИ;</w:t>
      </w:r>
      <w:r w:rsidRPr="000977F7">
        <w:rPr>
          <w:rFonts w:asciiTheme="majorHAnsi" w:hAnsiTheme="majorHAnsi"/>
          <w:b/>
          <w:spacing w:val="-47"/>
          <w:sz w:val="20"/>
          <w:szCs w:val="20"/>
        </w:rPr>
        <w:t xml:space="preserve"> </w:t>
      </w:r>
      <w:r w:rsidRPr="000977F7">
        <w:rPr>
          <w:rFonts w:asciiTheme="majorHAnsi" w:hAnsiTheme="majorHAnsi"/>
          <w:b/>
          <w:sz w:val="20"/>
          <w:szCs w:val="20"/>
        </w:rPr>
        <w:t>СЕРЕДНІЙ НАРОБІТОК НА ВІДМОВУ; MTBF –</w:t>
      </w:r>
      <w:r w:rsidRPr="000977F7">
        <w:rPr>
          <w:rFonts w:asciiTheme="majorHAnsi" w:hAnsiTheme="majorHAnsi"/>
          <w:b/>
          <w:spacing w:val="1"/>
          <w:sz w:val="20"/>
          <w:szCs w:val="20"/>
        </w:rPr>
        <w:t xml:space="preserve"> </w:t>
      </w:r>
      <w:r w:rsidRPr="000977F7">
        <w:rPr>
          <w:rFonts w:asciiTheme="majorHAnsi" w:hAnsiTheme="majorHAnsi"/>
          <w:sz w:val="20"/>
          <w:szCs w:val="20"/>
        </w:rPr>
        <w:t>MEAN</w:t>
      </w:r>
      <w:r w:rsidRPr="000977F7">
        <w:rPr>
          <w:rFonts w:asciiTheme="majorHAnsi" w:hAnsiTheme="majorHAnsi"/>
          <w:spacing w:val="-1"/>
          <w:sz w:val="20"/>
          <w:szCs w:val="20"/>
        </w:rPr>
        <w:t xml:space="preserve"> </w:t>
      </w:r>
      <w:r w:rsidRPr="000977F7">
        <w:rPr>
          <w:rFonts w:asciiTheme="majorHAnsi" w:hAnsiTheme="majorHAnsi"/>
          <w:sz w:val="20"/>
          <w:szCs w:val="20"/>
        </w:rPr>
        <w:t>TIME</w:t>
      </w:r>
      <w:r w:rsidRPr="000977F7">
        <w:rPr>
          <w:rFonts w:asciiTheme="majorHAnsi" w:hAnsiTheme="majorHAnsi"/>
          <w:spacing w:val="1"/>
          <w:sz w:val="20"/>
          <w:szCs w:val="20"/>
        </w:rPr>
        <w:t xml:space="preserve"> </w:t>
      </w:r>
      <w:r w:rsidRPr="000977F7">
        <w:rPr>
          <w:rFonts w:asciiTheme="majorHAnsi" w:hAnsiTheme="majorHAnsi"/>
          <w:sz w:val="20"/>
          <w:szCs w:val="20"/>
        </w:rPr>
        <w:t>BETWEEN</w:t>
      </w:r>
      <w:r w:rsidRPr="000977F7">
        <w:rPr>
          <w:rFonts w:asciiTheme="majorHAnsi" w:hAnsiTheme="majorHAnsi"/>
          <w:spacing w:val="-1"/>
          <w:sz w:val="20"/>
          <w:szCs w:val="20"/>
        </w:rPr>
        <w:t xml:space="preserve"> </w:t>
      </w:r>
      <w:r w:rsidRPr="000977F7">
        <w:rPr>
          <w:rFonts w:asciiTheme="majorHAnsi" w:hAnsiTheme="majorHAnsi"/>
          <w:sz w:val="20"/>
          <w:szCs w:val="20"/>
        </w:rPr>
        <w:t>FAILURES</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23ED049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w:t>
      </w:r>
      <w:r w:rsidRPr="000977F7">
        <w:rPr>
          <w:rFonts w:asciiTheme="majorHAnsi" w:hAnsiTheme="majorHAnsi"/>
          <w:spacing w:val="1"/>
          <w:sz w:val="20"/>
          <w:szCs w:val="20"/>
        </w:rPr>
        <w:t xml:space="preserve"> </w:t>
      </w:r>
      <w:r w:rsidRPr="000977F7">
        <w:rPr>
          <w:rFonts w:asciiTheme="majorHAnsi" w:hAnsiTheme="majorHAnsi"/>
          <w:sz w:val="20"/>
          <w:szCs w:val="20"/>
        </w:rPr>
        <w:t>сумарного</w:t>
      </w:r>
      <w:r w:rsidRPr="000977F7">
        <w:rPr>
          <w:rFonts w:asciiTheme="majorHAnsi" w:hAnsiTheme="majorHAnsi"/>
          <w:spacing w:val="1"/>
          <w:sz w:val="20"/>
          <w:szCs w:val="20"/>
        </w:rPr>
        <w:t xml:space="preserve"> </w:t>
      </w:r>
      <w:r w:rsidRPr="000977F7">
        <w:rPr>
          <w:rFonts w:asciiTheme="majorHAnsi" w:hAnsiTheme="majorHAnsi"/>
          <w:sz w:val="20"/>
          <w:szCs w:val="20"/>
        </w:rPr>
        <w:t>наробітку</w:t>
      </w:r>
      <w:r w:rsidRPr="000977F7">
        <w:rPr>
          <w:rFonts w:asciiTheme="majorHAnsi" w:hAnsiTheme="majorHAnsi"/>
          <w:spacing w:val="1"/>
          <w:sz w:val="20"/>
          <w:szCs w:val="20"/>
        </w:rPr>
        <w:t xml:space="preserve"> </w:t>
      </w:r>
      <w:r w:rsidRPr="000977F7">
        <w:rPr>
          <w:rFonts w:asciiTheme="majorHAnsi" w:hAnsiTheme="majorHAnsi"/>
          <w:sz w:val="20"/>
          <w:szCs w:val="20"/>
        </w:rPr>
        <w:t>відновлюваного</w:t>
      </w:r>
      <w:r w:rsidRPr="000977F7">
        <w:rPr>
          <w:rFonts w:asciiTheme="majorHAnsi" w:hAnsiTheme="majorHAnsi"/>
          <w:spacing w:val="1"/>
          <w:sz w:val="20"/>
          <w:szCs w:val="20"/>
        </w:rPr>
        <w:t xml:space="preserve"> </w:t>
      </w:r>
      <w:r w:rsidRPr="000977F7">
        <w:rPr>
          <w:rFonts w:asciiTheme="majorHAnsi" w:hAnsiTheme="majorHAnsi"/>
          <w:sz w:val="20"/>
          <w:szCs w:val="20"/>
        </w:rPr>
        <w:t>об’єкта до математичного сподівання числа його відмов</w:t>
      </w:r>
      <w:r w:rsidRPr="000977F7">
        <w:rPr>
          <w:rFonts w:asciiTheme="majorHAnsi" w:hAnsiTheme="majorHAnsi"/>
          <w:spacing w:val="-2"/>
          <w:sz w:val="20"/>
          <w:szCs w:val="20"/>
        </w:rPr>
        <w:t xml:space="preserve"> </w:t>
      </w:r>
      <w:r w:rsidRPr="000977F7">
        <w:rPr>
          <w:rFonts w:asciiTheme="majorHAnsi" w:hAnsiTheme="majorHAnsi"/>
          <w:sz w:val="20"/>
          <w:szCs w:val="20"/>
        </w:rPr>
        <w:t>протягом</w:t>
      </w:r>
      <w:r w:rsidRPr="000977F7">
        <w:rPr>
          <w:rFonts w:asciiTheme="majorHAnsi" w:hAnsiTheme="majorHAnsi"/>
          <w:spacing w:val="1"/>
          <w:sz w:val="20"/>
          <w:szCs w:val="20"/>
        </w:rPr>
        <w:t xml:space="preserve"> </w:t>
      </w:r>
      <w:r w:rsidRPr="000977F7">
        <w:rPr>
          <w:rFonts w:asciiTheme="majorHAnsi" w:hAnsiTheme="majorHAnsi"/>
          <w:sz w:val="20"/>
          <w:szCs w:val="20"/>
        </w:rPr>
        <w:t>цього</w:t>
      </w:r>
      <w:r w:rsidRPr="000977F7">
        <w:rPr>
          <w:rFonts w:asciiTheme="majorHAnsi" w:hAnsiTheme="majorHAnsi"/>
          <w:spacing w:val="1"/>
          <w:sz w:val="20"/>
          <w:szCs w:val="20"/>
        </w:rPr>
        <w:t xml:space="preserve"> </w:t>
      </w:r>
      <w:r w:rsidRPr="000977F7">
        <w:rPr>
          <w:rFonts w:asciiTheme="majorHAnsi" w:hAnsiTheme="majorHAnsi"/>
          <w:sz w:val="20"/>
          <w:szCs w:val="20"/>
        </w:rPr>
        <w:t>наробітку</w:t>
      </w:r>
    </w:p>
    <w:p w14:paraId="56D60E1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2839 - 94</w:t>
      </w:r>
    </w:p>
    <w:p w14:paraId="6CE75E2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СВОП</w:t>
      </w:r>
      <w:r w:rsidRPr="000977F7">
        <w:rPr>
          <w:color w:val="auto"/>
          <w:spacing w:val="-1"/>
          <w:sz w:val="20"/>
          <w:szCs w:val="20"/>
        </w:rPr>
        <w:t xml:space="preserve"> </w:t>
      </w:r>
      <w:r w:rsidRPr="000977F7">
        <w:rPr>
          <w:color w:val="auto"/>
          <w:sz w:val="20"/>
          <w:szCs w:val="20"/>
        </w:rPr>
        <w:t>–</w:t>
      </w:r>
    </w:p>
    <w:p w14:paraId="0313B0D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Різниця у відсоткових ставках за двома валютами на</w:t>
      </w:r>
      <w:r w:rsidRPr="000977F7">
        <w:rPr>
          <w:rFonts w:asciiTheme="majorHAnsi" w:hAnsiTheme="majorHAnsi"/>
          <w:spacing w:val="1"/>
          <w:sz w:val="20"/>
          <w:szCs w:val="20"/>
        </w:rPr>
        <w:t xml:space="preserve"> </w:t>
      </w:r>
      <w:r w:rsidRPr="000977F7">
        <w:rPr>
          <w:rFonts w:asciiTheme="majorHAnsi" w:hAnsiTheme="majorHAnsi"/>
          <w:sz w:val="20"/>
          <w:szCs w:val="20"/>
        </w:rPr>
        <w:t>один термін</w:t>
      </w:r>
    </w:p>
    <w:p w14:paraId="25733A0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0864BA1"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РОЗРЯДНО-ОПТИЧНИЙ</w:t>
      </w:r>
      <w:r w:rsidRPr="000977F7">
        <w:rPr>
          <w:color w:val="auto"/>
          <w:spacing w:val="-8"/>
          <w:sz w:val="20"/>
          <w:szCs w:val="20"/>
        </w:rPr>
        <w:t xml:space="preserve"> </w:t>
      </w:r>
      <w:r w:rsidRPr="000977F7">
        <w:rPr>
          <w:color w:val="auto"/>
          <w:sz w:val="20"/>
          <w:szCs w:val="20"/>
        </w:rPr>
        <w:t>ПЕРЕТВОРЮВАЧ</w:t>
      </w:r>
      <w:r w:rsidRPr="000977F7">
        <w:rPr>
          <w:color w:val="auto"/>
          <w:spacing w:val="-2"/>
          <w:sz w:val="20"/>
          <w:szCs w:val="20"/>
        </w:rPr>
        <w:t xml:space="preserve"> </w:t>
      </w:r>
      <w:r w:rsidRPr="000977F7">
        <w:rPr>
          <w:b w:val="0"/>
          <w:color w:val="auto"/>
          <w:sz w:val="20"/>
          <w:szCs w:val="20"/>
        </w:rPr>
        <w:t>–</w:t>
      </w:r>
    </w:p>
    <w:p w14:paraId="4B10409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Пристрій, який здійснює візуалізацію електропотенційного рельєфу</w:t>
      </w:r>
      <w:r w:rsidRPr="000977F7">
        <w:rPr>
          <w:rFonts w:asciiTheme="majorHAnsi" w:hAnsiTheme="majorHAnsi"/>
          <w:spacing w:val="-5"/>
          <w:sz w:val="20"/>
          <w:szCs w:val="20"/>
        </w:rPr>
        <w:t xml:space="preserve"> </w:t>
      </w:r>
      <w:r w:rsidRPr="000977F7">
        <w:rPr>
          <w:rFonts w:asciiTheme="majorHAnsi" w:hAnsiTheme="majorHAnsi"/>
          <w:sz w:val="20"/>
          <w:szCs w:val="20"/>
        </w:rPr>
        <w:t>поверхні</w:t>
      </w:r>
      <w:r w:rsidRPr="000977F7">
        <w:rPr>
          <w:rFonts w:asciiTheme="majorHAnsi" w:hAnsiTheme="majorHAnsi"/>
          <w:spacing w:val="-2"/>
          <w:sz w:val="20"/>
          <w:szCs w:val="20"/>
        </w:rPr>
        <w:t xml:space="preserve"> </w:t>
      </w:r>
      <w:r w:rsidRPr="000977F7">
        <w:rPr>
          <w:rFonts w:asciiTheme="majorHAnsi" w:hAnsiTheme="majorHAnsi"/>
          <w:sz w:val="20"/>
          <w:szCs w:val="20"/>
        </w:rPr>
        <w:t>об’єкта контролю</w:t>
      </w:r>
    </w:p>
    <w:p w14:paraId="498AF0A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23EB33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СЕРЕДНЄ</w:t>
      </w:r>
      <w:r w:rsidRPr="000977F7">
        <w:rPr>
          <w:color w:val="auto"/>
          <w:spacing w:val="22"/>
          <w:sz w:val="20"/>
          <w:szCs w:val="20"/>
        </w:rPr>
        <w:t xml:space="preserve"> </w:t>
      </w:r>
      <w:r w:rsidRPr="000977F7">
        <w:rPr>
          <w:color w:val="auto"/>
          <w:sz w:val="20"/>
          <w:szCs w:val="20"/>
        </w:rPr>
        <w:t>ЗА</w:t>
      </w:r>
      <w:r w:rsidRPr="000977F7">
        <w:rPr>
          <w:color w:val="auto"/>
          <w:spacing w:val="25"/>
          <w:sz w:val="20"/>
          <w:szCs w:val="20"/>
        </w:rPr>
        <w:t xml:space="preserve"> </w:t>
      </w:r>
      <w:r w:rsidRPr="000977F7">
        <w:rPr>
          <w:color w:val="auto"/>
          <w:sz w:val="20"/>
          <w:szCs w:val="20"/>
        </w:rPr>
        <w:t>МОДУЛЕМ</w:t>
      </w:r>
      <w:r w:rsidRPr="000977F7">
        <w:rPr>
          <w:color w:val="auto"/>
          <w:spacing w:val="25"/>
          <w:sz w:val="20"/>
          <w:szCs w:val="20"/>
        </w:rPr>
        <w:t xml:space="preserve"> </w:t>
      </w:r>
      <w:r w:rsidRPr="000977F7">
        <w:rPr>
          <w:color w:val="auto"/>
          <w:sz w:val="20"/>
          <w:szCs w:val="20"/>
        </w:rPr>
        <w:t>ЗНАЧЕННЯ</w:t>
      </w:r>
      <w:r w:rsidRPr="000977F7">
        <w:rPr>
          <w:color w:val="auto"/>
          <w:spacing w:val="22"/>
          <w:sz w:val="20"/>
          <w:szCs w:val="20"/>
        </w:rPr>
        <w:t xml:space="preserve"> </w:t>
      </w:r>
      <w:r w:rsidRPr="000977F7">
        <w:rPr>
          <w:color w:val="auto"/>
          <w:sz w:val="20"/>
          <w:szCs w:val="20"/>
        </w:rPr>
        <w:t>ЗМІННОЇ</w:t>
      </w:r>
      <w:r w:rsidRPr="000977F7">
        <w:rPr>
          <w:color w:val="auto"/>
          <w:spacing w:val="-47"/>
          <w:sz w:val="20"/>
          <w:szCs w:val="20"/>
        </w:rPr>
        <w:t xml:space="preserve"> </w:t>
      </w:r>
      <w:r w:rsidRPr="000977F7">
        <w:rPr>
          <w:color w:val="auto"/>
          <w:sz w:val="20"/>
          <w:szCs w:val="20"/>
        </w:rPr>
        <w:t>НАПРУГИ (СТРУМУ)</w:t>
      </w:r>
      <w:r w:rsidRPr="000977F7">
        <w:rPr>
          <w:color w:val="auto"/>
          <w:spacing w:val="1"/>
          <w:sz w:val="20"/>
          <w:szCs w:val="20"/>
        </w:rPr>
        <w:t xml:space="preserve"> </w:t>
      </w:r>
      <w:r w:rsidRPr="000977F7">
        <w:rPr>
          <w:color w:val="auto"/>
          <w:sz w:val="20"/>
          <w:szCs w:val="20"/>
        </w:rPr>
        <w:t>-</w:t>
      </w:r>
    </w:p>
    <w:p w14:paraId="6A6E5D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Середнє за період значення модулів миттєвих значень</w:t>
      </w:r>
      <w:r w:rsidRPr="000977F7">
        <w:rPr>
          <w:rFonts w:asciiTheme="majorHAnsi" w:hAnsiTheme="majorHAnsi"/>
          <w:spacing w:val="1"/>
          <w:sz w:val="20"/>
          <w:szCs w:val="20"/>
        </w:rPr>
        <w:t xml:space="preserve"> </w:t>
      </w:r>
      <w:r w:rsidRPr="000977F7">
        <w:rPr>
          <w:rFonts w:asciiTheme="majorHAnsi" w:hAnsiTheme="majorHAnsi"/>
          <w:sz w:val="20"/>
          <w:szCs w:val="20"/>
        </w:rPr>
        <w:t>змінної</w:t>
      </w:r>
      <w:r w:rsidRPr="000977F7">
        <w:rPr>
          <w:rFonts w:asciiTheme="majorHAnsi" w:hAnsiTheme="majorHAnsi"/>
          <w:spacing w:val="-2"/>
          <w:sz w:val="20"/>
          <w:szCs w:val="20"/>
        </w:rPr>
        <w:t xml:space="preserve"> </w:t>
      </w:r>
      <w:r w:rsidRPr="000977F7">
        <w:rPr>
          <w:rFonts w:asciiTheme="majorHAnsi" w:hAnsiTheme="majorHAnsi"/>
          <w:sz w:val="20"/>
          <w:szCs w:val="20"/>
        </w:rPr>
        <w:t>напруги</w:t>
      </w:r>
      <w:r w:rsidRPr="000977F7">
        <w:rPr>
          <w:rFonts w:asciiTheme="majorHAnsi" w:hAnsiTheme="majorHAnsi"/>
          <w:spacing w:val="-1"/>
          <w:sz w:val="20"/>
          <w:szCs w:val="20"/>
        </w:rPr>
        <w:t xml:space="preserve"> </w:t>
      </w:r>
      <w:r w:rsidRPr="000977F7">
        <w:rPr>
          <w:rFonts w:asciiTheme="majorHAnsi" w:hAnsiTheme="majorHAnsi"/>
          <w:sz w:val="20"/>
          <w:szCs w:val="20"/>
        </w:rPr>
        <w:t>(струму)</w:t>
      </w:r>
    </w:p>
    <w:p w14:paraId="2715832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7F54F190" w14:textId="77777777" w:rsidR="0097612F" w:rsidRPr="000977F7" w:rsidRDefault="0097612F" w:rsidP="000977F7">
      <w:pPr>
        <w:pStyle w:val="7"/>
        <w:tabs>
          <w:tab w:val="left" w:pos="284"/>
        </w:tabs>
        <w:spacing w:before="0" w:line="240" w:lineRule="auto"/>
        <w:ind w:left="170"/>
        <w:mirrorIndents/>
        <w:jc w:val="both"/>
        <w:rPr>
          <w:color w:val="auto"/>
          <w:spacing w:val="-47"/>
          <w:sz w:val="20"/>
          <w:szCs w:val="20"/>
        </w:rPr>
      </w:pPr>
      <w:r w:rsidRPr="000977F7">
        <w:rPr>
          <w:color w:val="auto"/>
          <w:sz w:val="20"/>
          <w:szCs w:val="20"/>
        </w:rPr>
        <w:t>СЕРЕДНІЙ</w:t>
      </w:r>
      <w:r w:rsidRPr="000977F7">
        <w:rPr>
          <w:color w:val="auto"/>
          <w:spacing w:val="-7"/>
          <w:sz w:val="20"/>
          <w:szCs w:val="20"/>
        </w:rPr>
        <w:t xml:space="preserve"> </w:t>
      </w:r>
      <w:r w:rsidRPr="000977F7">
        <w:rPr>
          <w:color w:val="auto"/>
          <w:sz w:val="20"/>
          <w:szCs w:val="20"/>
        </w:rPr>
        <w:t>ВИХІДНИЙ</w:t>
      </w:r>
      <w:r w:rsidRPr="000977F7">
        <w:rPr>
          <w:color w:val="auto"/>
          <w:spacing w:val="-6"/>
          <w:sz w:val="20"/>
          <w:szCs w:val="20"/>
        </w:rPr>
        <w:t xml:space="preserve"> </w:t>
      </w:r>
      <w:r w:rsidRPr="000977F7">
        <w:rPr>
          <w:color w:val="auto"/>
          <w:sz w:val="20"/>
          <w:szCs w:val="20"/>
        </w:rPr>
        <w:t>РІВЕНЬ</w:t>
      </w:r>
      <w:r w:rsidRPr="000977F7">
        <w:rPr>
          <w:color w:val="auto"/>
          <w:spacing w:val="-47"/>
          <w:sz w:val="20"/>
          <w:szCs w:val="20"/>
        </w:rPr>
        <w:t xml:space="preserve"> </w:t>
      </w:r>
    </w:p>
    <w:p w14:paraId="78C41A5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ДЕФЕКТНОСТІ</w:t>
      </w:r>
      <w:r w:rsidRPr="000977F7">
        <w:rPr>
          <w:color w:val="auto"/>
          <w:spacing w:val="-1"/>
          <w:sz w:val="20"/>
          <w:szCs w:val="20"/>
        </w:rPr>
        <w:t xml:space="preserve"> </w:t>
      </w:r>
      <w:r w:rsidRPr="000977F7">
        <w:rPr>
          <w:color w:val="auto"/>
          <w:sz w:val="20"/>
          <w:szCs w:val="20"/>
        </w:rPr>
        <w:t>–</w:t>
      </w:r>
    </w:p>
    <w:p w14:paraId="1632A31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AVERAGE</w:t>
      </w:r>
      <w:r w:rsidRPr="004D2D14">
        <w:rPr>
          <w:rFonts w:asciiTheme="majorHAnsi" w:hAnsiTheme="majorHAnsi"/>
          <w:spacing w:val="-3"/>
          <w:sz w:val="20"/>
          <w:szCs w:val="20"/>
          <w:lang w:val="uk-UA"/>
        </w:rPr>
        <w:t xml:space="preserve"> </w:t>
      </w:r>
      <w:r w:rsidRPr="000977F7">
        <w:rPr>
          <w:rFonts w:asciiTheme="majorHAnsi" w:hAnsiTheme="majorHAnsi"/>
          <w:sz w:val="20"/>
          <w:szCs w:val="20"/>
        </w:rPr>
        <w:t>OUTGOING</w:t>
      </w:r>
      <w:r w:rsidRPr="004D2D14">
        <w:rPr>
          <w:rFonts w:asciiTheme="majorHAnsi" w:hAnsiTheme="majorHAnsi"/>
          <w:spacing w:val="-3"/>
          <w:sz w:val="20"/>
          <w:szCs w:val="20"/>
          <w:lang w:val="uk-UA"/>
        </w:rPr>
        <w:t xml:space="preserve"> </w:t>
      </w:r>
      <w:r w:rsidRPr="000977F7">
        <w:rPr>
          <w:rFonts w:asciiTheme="majorHAnsi" w:hAnsiTheme="majorHAnsi"/>
          <w:sz w:val="20"/>
          <w:szCs w:val="20"/>
        </w:rPr>
        <w:t>IMPERFECTION</w:t>
      </w:r>
      <w:r w:rsidRPr="004D2D14">
        <w:rPr>
          <w:rFonts w:asciiTheme="majorHAnsi" w:hAnsiTheme="majorHAnsi"/>
          <w:spacing w:val="-3"/>
          <w:sz w:val="20"/>
          <w:szCs w:val="20"/>
          <w:lang w:val="uk-UA"/>
        </w:rPr>
        <w:t xml:space="preserve"> </w:t>
      </w:r>
      <w:r w:rsidRPr="000977F7">
        <w:rPr>
          <w:rFonts w:asciiTheme="majorHAnsi" w:hAnsiTheme="majorHAnsi"/>
          <w:sz w:val="20"/>
          <w:szCs w:val="20"/>
        </w:rPr>
        <w:t>LEVEL</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2FA87BF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Математичне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сподівання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значення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вихідного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рівня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дефектності у прийнятих партіях чи потоці продукції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 xml:space="preserve">та забракованих партіях чи потоці </w:t>
      </w:r>
      <w:r w:rsidRPr="004D2D14">
        <w:rPr>
          <w:rFonts w:asciiTheme="majorHAnsi" w:hAnsiTheme="majorHAnsi"/>
          <w:sz w:val="20"/>
          <w:szCs w:val="20"/>
          <w:lang w:val="uk-UA"/>
        </w:rPr>
        <w:t>продукції протягом</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певного проміжку часу, в яких після суцільного контролю всі виявлені дефектні одиниці замінені придатними</w:t>
      </w:r>
    </w:p>
    <w:p w14:paraId="6DA8397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69B1BE2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СЕРЕДНІЙ</w:t>
      </w:r>
      <w:r w:rsidRPr="000977F7">
        <w:rPr>
          <w:color w:val="auto"/>
          <w:spacing w:val="-4"/>
          <w:sz w:val="20"/>
          <w:szCs w:val="20"/>
        </w:rPr>
        <w:t xml:space="preserve"> </w:t>
      </w:r>
      <w:r w:rsidRPr="000977F7">
        <w:rPr>
          <w:color w:val="auto"/>
          <w:sz w:val="20"/>
          <w:szCs w:val="20"/>
        </w:rPr>
        <w:t>ВХІДНИЙ</w:t>
      </w:r>
      <w:r w:rsidRPr="000977F7">
        <w:rPr>
          <w:color w:val="auto"/>
          <w:spacing w:val="-3"/>
          <w:sz w:val="20"/>
          <w:szCs w:val="20"/>
        </w:rPr>
        <w:t xml:space="preserve"> </w:t>
      </w:r>
      <w:r w:rsidRPr="000977F7">
        <w:rPr>
          <w:color w:val="auto"/>
          <w:sz w:val="20"/>
          <w:szCs w:val="20"/>
        </w:rPr>
        <w:t>РІВЕНЬ</w:t>
      </w:r>
      <w:r w:rsidRPr="000977F7">
        <w:rPr>
          <w:color w:val="auto"/>
          <w:spacing w:val="-5"/>
          <w:sz w:val="20"/>
          <w:szCs w:val="20"/>
        </w:rPr>
        <w:t xml:space="preserve"> </w:t>
      </w:r>
      <w:r w:rsidRPr="000977F7">
        <w:rPr>
          <w:color w:val="auto"/>
          <w:sz w:val="20"/>
          <w:szCs w:val="20"/>
        </w:rPr>
        <w:t>ДЕФЕКТНОСТІ –</w:t>
      </w:r>
    </w:p>
    <w:p w14:paraId="62D7FCD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AVERAGE</w:t>
      </w:r>
      <w:r w:rsidRPr="004D2D14">
        <w:rPr>
          <w:rFonts w:asciiTheme="majorHAnsi" w:hAnsiTheme="majorHAnsi"/>
          <w:spacing w:val="-4"/>
          <w:sz w:val="20"/>
          <w:szCs w:val="20"/>
          <w:lang w:val="uk-UA"/>
        </w:rPr>
        <w:t xml:space="preserve"> </w:t>
      </w:r>
      <w:r w:rsidRPr="000977F7">
        <w:rPr>
          <w:rFonts w:asciiTheme="majorHAnsi" w:hAnsiTheme="majorHAnsi"/>
          <w:sz w:val="20"/>
          <w:szCs w:val="20"/>
        </w:rPr>
        <w:t>INCOMING</w:t>
      </w:r>
      <w:r w:rsidRPr="004D2D14">
        <w:rPr>
          <w:rFonts w:asciiTheme="majorHAnsi" w:hAnsiTheme="majorHAnsi"/>
          <w:spacing w:val="-3"/>
          <w:sz w:val="20"/>
          <w:szCs w:val="20"/>
          <w:lang w:val="uk-UA"/>
        </w:rPr>
        <w:t xml:space="preserve"> </w:t>
      </w:r>
      <w:r w:rsidRPr="000977F7">
        <w:rPr>
          <w:rFonts w:asciiTheme="majorHAnsi" w:hAnsiTheme="majorHAnsi"/>
          <w:sz w:val="20"/>
          <w:szCs w:val="20"/>
        </w:rPr>
        <w:t>IMPERFECTION</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130B7975"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Математичне</w:t>
      </w:r>
      <w:r w:rsidRPr="004D2D14">
        <w:rPr>
          <w:rFonts w:asciiTheme="majorHAnsi" w:hAnsiTheme="majorHAnsi"/>
          <w:spacing w:val="14"/>
          <w:sz w:val="20"/>
          <w:szCs w:val="20"/>
          <w:lang w:val="uk-UA"/>
        </w:rPr>
        <w:t xml:space="preserve"> </w:t>
      </w:r>
      <w:r w:rsidRPr="004D2D14">
        <w:rPr>
          <w:rFonts w:asciiTheme="majorHAnsi" w:hAnsiTheme="majorHAnsi"/>
          <w:sz w:val="20"/>
          <w:szCs w:val="20"/>
          <w:lang w:val="uk-UA"/>
        </w:rPr>
        <w:t>сподівання</w:t>
      </w:r>
      <w:r w:rsidRPr="004D2D14">
        <w:rPr>
          <w:rFonts w:asciiTheme="majorHAnsi" w:hAnsiTheme="majorHAnsi"/>
          <w:spacing w:val="13"/>
          <w:sz w:val="20"/>
          <w:szCs w:val="20"/>
          <w:lang w:val="uk-UA"/>
        </w:rPr>
        <w:t xml:space="preserve"> </w:t>
      </w:r>
      <w:r w:rsidRPr="004D2D14">
        <w:rPr>
          <w:rFonts w:asciiTheme="majorHAnsi" w:hAnsiTheme="majorHAnsi"/>
          <w:sz w:val="20"/>
          <w:szCs w:val="20"/>
          <w:lang w:val="uk-UA"/>
        </w:rPr>
        <w:t>значення</w:t>
      </w:r>
      <w:r w:rsidRPr="004D2D14">
        <w:rPr>
          <w:rFonts w:asciiTheme="majorHAnsi" w:hAnsiTheme="majorHAnsi"/>
          <w:spacing w:val="30"/>
          <w:sz w:val="20"/>
          <w:szCs w:val="20"/>
          <w:lang w:val="uk-UA"/>
        </w:rPr>
        <w:t xml:space="preserve"> </w:t>
      </w:r>
      <w:r w:rsidRPr="004D2D14">
        <w:rPr>
          <w:rFonts w:asciiTheme="majorHAnsi" w:hAnsiTheme="majorHAnsi"/>
          <w:sz w:val="20"/>
          <w:szCs w:val="20"/>
          <w:lang w:val="uk-UA"/>
        </w:rPr>
        <w:t>рівня</w:t>
      </w:r>
      <w:r w:rsidRPr="004D2D14">
        <w:rPr>
          <w:rFonts w:asciiTheme="majorHAnsi" w:hAnsiTheme="majorHAnsi"/>
          <w:spacing w:val="13"/>
          <w:sz w:val="20"/>
          <w:szCs w:val="20"/>
          <w:lang w:val="uk-UA"/>
        </w:rPr>
        <w:t xml:space="preserve"> </w:t>
      </w:r>
      <w:r w:rsidRPr="004D2D14">
        <w:rPr>
          <w:rFonts w:asciiTheme="majorHAnsi" w:hAnsiTheme="majorHAnsi"/>
          <w:sz w:val="20"/>
          <w:szCs w:val="20"/>
          <w:lang w:val="uk-UA"/>
        </w:rPr>
        <w:t>дефектності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39"/>
          <w:sz w:val="20"/>
          <w:szCs w:val="20"/>
          <w:lang w:val="uk-UA"/>
        </w:rPr>
        <w:t xml:space="preserve"> </w:t>
      </w:r>
      <w:r w:rsidRPr="004D2D14">
        <w:rPr>
          <w:rFonts w:asciiTheme="majorHAnsi" w:hAnsiTheme="majorHAnsi"/>
          <w:sz w:val="20"/>
          <w:szCs w:val="20"/>
          <w:lang w:val="uk-UA"/>
        </w:rPr>
        <w:t>декількох</w:t>
      </w:r>
      <w:r w:rsidRPr="004D2D14">
        <w:rPr>
          <w:rFonts w:asciiTheme="majorHAnsi" w:hAnsiTheme="majorHAnsi"/>
          <w:spacing w:val="39"/>
          <w:sz w:val="20"/>
          <w:szCs w:val="20"/>
          <w:lang w:val="uk-UA"/>
        </w:rPr>
        <w:t xml:space="preserve"> </w:t>
      </w:r>
      <w:r w:rsidRPr="004D2D14">
        <w:rPr>
          <w:rFonts w:asciiTheme="majorHAnsi" w:hAnsiTheme="majorHAnsi"/>
          <w:sz w:val="20"/>
          <w:szCs w:val="20"/>
          <w:lang w:val="uk-UA"/>
        </w:rPr>
        <w:t>партіях,</w:t>
      </w:r>
      <w:r w:rsidRPr="004D2D14">
        <w:rPr>
          <w:rFonts w:asciiTheme="majorHAnsi" w:hAnsiTheme="majorHAnsi"/>
          <w:spacing w:val="41"/>
          <w:sz w:val="20"/>
          <w:szCs w:val="20"/>
          <w:lang w:val="uk-UA"/>
        </w:rPr>
        <w:t xml:space="preserve"> </w:t>
      </w:r>
      <w:r w:rsidRPr="004D2D14">
        <w:rPr>
          <w:rFonts w:asciiTheme="majorHAnsi" w:hAnsiTheme="majorHAnsi"/>
          <w:sz w:val="20"/>
          <w:szCs w:val="20"/>
          <w:lang w:val="uk-UA"/>
        </w:rPr>
        <w:t>які</w:t>
      </w:r>
      <w:r w:rsidRPr="004D2D14">
        <w:rPr>
          <w:rFonts w:asciiTheme="majorHAnsi" w:hAnsiTheme="majorHAnsi"/>
          <w:spacing w:val="42"/>
          <w:sz w:val="20"/>
          <w:szCs w:val="20"/>
          <w:lang w:val="uk-UA"/>
        </w:rPr>
        <w:t xml:space="preserve"> </w:t>
      </w:r>
      <w:r w:rsidRPr="004D2D14">
        <w:rPr>
          <w:rFonts w:asciiTheme="majorHAnsi" w:hAnsiTheme="majorHAnsi"/>
          <w:sz w:val="20"/>
          <w:szCs w:val="20"/>
          <w:lang w:val="uk-UA"/>
        </w:rPr>
        <w:t>надходять</w:t>
      </w:r>
      <w:r w:rsidRPr="004D2D14">
        <w:rPr>
          <w:rFonts w:asciiTheme="majorHAnsi" w:hAnsiTheme="majorHAnsi"/>
          <w:spacing w:val="40"/>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41"/>
          <w:sz w:val="20"/>
          <w:szCs w:val="20"/>
          <w:lang w:val="uk-UA"/>
        </w:rPr>
        <w:t xml:space="preserve"> </w:t>
      </w:r>
      <w:r w:rsidRPr="004D2D14">
        <w:rPr>
          <w:rFonts w:asciiTheme="majorHAnsi" w:hAnsiTheme="majorHAnsi"/>
          <w:sz w:val="20"/>
          <w:szCs w:val="20"/>
          <w:lang w:val="uk-UA"/>
        </w:rPr>
        <w:t>контролю,</w:t>
      </w:r>
      <w:r w:rsidRPr="004D2D14">
        <w:rPr>
          <w:rFonts w:asciiTheme="majorHAnsi" w:hAnsiTheme="majorHAnsi"/>
          <w:spacing w:val="40"/>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потоці продукції протягом певного проміжку часу</w:t>
      </w:r>
      <w:r w:rsidRPr="004D2D14">
        <w:rPr>
          <w:rFonts w:asciiTheme="majorHAnsi" w:hAnsiTheme="majorHAnsi"/>
          <w:spacing w:val="1"/>
          <w:sz w:val="20"/>
          <w:szCs w:val="20"/>
          <w:lang w:val="uk-UA"/>
        </w:rPr>
        <w:t xml:space="preserve"> </w:t>
      </w:r>
    </w:p>
    <w:p w14:paraId="3A3F3D91"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3514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2729C92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СЕРЕДНІЙ</w:t>
      </w:r>
      <w:r w:rsidRPr="000977F7">
        <w:rPr>
          <w:color w:val="auto"/>
          <w:spacing w:val="-7"/>
          <w:sz w:val="20"/>
          <w:szCs w:val="20"/>
        </w:rPr>
        <w:t xml:space="preserve"> </w:t>
      </w:r>
      <w:r w:rsidRPr="000977F7">
        <w:rPr>
          <w:color w:val="auto"/>
          <w:sz w:val="20"/>
          <w:szCs w:val="20"/>
        </w:rPr>
        <w:t>КОЕФІЦІЄНТ</w:t>
      </w:r>
      <w:r w:rsidRPr="000977F7">
        <w:rPr>
          <w:color w:val="auto"/>
          <w:spacing w:val="-7"/>
          <w:sz w:val="20"/>
          <w:szCs w:val="20"/>
        </w:rPr>
        <w:t xml:space="preserve"> </w:t>
      </w:r>
      <w:r w:rsidRPr="000977F7">
        <w:rPr>
          <w:color w:val="auto"/>
          <w:sz w:val="20"/>
          <w:szCs w:val="20"/>
        </w:rPr>
        <w:t>ГОТОВНОСТІ;</w:t>
      </w:r>
      <w:r w:rsidRPr="000977F7">
        <w:rPr>
          <w:color w:val="auto"/>
          <w:spacing w:val="-47"/>
          <w:sz w:val="20"/>
          <w:szCs w:val="20"/>
        </w:rPr>
        <w:t xml:space="preserve"> </w:t>
      </w:r>
      <w:r w:rsidRPr="000977F7">
        <w:rPr>
          <w:color w:val="auto"/>
          <w:w w:val="95"/>
          <w:sz w:val="20"/>
          <w:szCs w:val="20"/>
        </w:rPr>
        <w:t>(A)</w:t>
      </w:r>
      <w:r w:rsidRPr="000977F7">
        <w:rPr>
          <w:color w:val="auto"/>
          <w:spacing w:val="4"/>
          <w:w w:val="95"/>
          <w:sz w:val="20"/>
          <w:szCs w:val="20"/>
        </w:rPr>
        <w:t xml:space="preserve"> </w:t>
      </w:r>
      <w:r w:rsidRPr="000977F7">
        <w:rPr>
          <w:color w:val="auto"/>
          <w:w w:val="95"/>
          <w:sz w:val="20"/>
          <w:szCs w:val="20"/>
        </w:rPr>
        <w:t>(</w:t>
      </w:r>
      <w:r w:rsidRPr="000977F7">
        <w:rPr>
          <w:color w:val="auto"/>
          <w:spacing w:val="3"/>
          <w:w w:val="95"/>
          <w:sz w:val="20"/>
          <w:szCs w:val="20"/>
        </w:rPr>
        <w:t xml:space="preserve"> </w:t>
      </w:r>
      <w:r w:rsidRPr="000977F7">
        <w:rPr>
          <w:color w:val="auto"/>
          <w:w w:val="95"/>
          <w:sz w:val="20"/>
          <w:szCs w:val="20"/>
        </w:rPr>
        <w:t>t</w:t>
      </w:r>
      <w:r w:rsidRPr="000977F7">
        <w:rPr>
          <w:color w:val="auto"/>
          <w:w w:val="95"/>
          <w:sz w:val="20"/>
          <w:szCs w:val="20"/>
          <w:vertAlign w:val="subscript"/>
        </w:rPr>
        <w:t>1</w:t>
      </w:r>
      <w:r w:rsidRPr="000977F7">
        <w:rPr>
          <w:color w:val="auto"/>
          <w:w w:val="95"/>
          <w:sz w:val="20"/>
          <w:szCs w:val="20"/>
        </w:rPr>
        <w:t>,</w:t>
      </w:r>
      <w:r w:rsidRPr="000977F7">
        <w:rPr>
          <w:color w:val="auto"/>
          <w:spacing w:val="1"/>
          <w:w w:val="95"/>
          <w:sz w:val="20"/>
          <w:szCs w:val="20"/>
        </w:rPr>
        <w:t xml:space="preserve"> </w:t>
      </w:r>
      <w:r w:rsidRPr="000977F7">
        <w:rPr>
          <w:color w:val="auto"/>
          <w:w w:val="95"/>
          <w:sz w:val="20"/>
          <w:szCs w:val="20"/>
        </w:rPr>
        <w:t>t</w:t>
      </w:r>
      <w:r w:rsidRPr="000977F7">
        <w:rPr>
          <w:color w:val="auto"/>
          <w:w w:val="95"/>
          <w:sz w:val="20"/>
          <w:szCs w:val="20"/>
          <w:vertAlign w:val="subscript"/>
        </w:rPr>
        <w:t>2</w:t>
      </w:r>
      <w:r w:rsidRPr="000977F7">
        <w:rPr>
          <w:color w:val="auto"/>
          <w:spacing w:val="-14"/>
          <w:w w:val="95"/>
          <w:sz w:val="20"/>
          <w:szCs w:val="20"/>
        </w:rPr>
        <w:t xml:space="preserve"> </w:t>
      </w:r>
      <w:r w:rsidRPr="000977F7">
        <w:rPr>
          <w:color w:val="auto"/>
          <w:w w:val="95"/>
          <w:sz w:val="20"/>
          <w:szCs w:val="20"/>
        </w:rPr>
        <w:t>)</w:t>
      </w:r>
      <w:r w:rsidRPr="000977F7">
        <w:rPr>
          <w:color w:val="auto"/>
          <w:spacing w:val="1"/>
          <w:w w:val="95"/>
          <w:sz w:val="20"/>
          <w:szCs w:val="20"/>
        </w:rPr>
        <w:t xml:space="preserve"> </w:t>
      </w:r>
      <w:r w:rsidRPr="000977F7">
        <w:rPr>
          <w:color w:val="auto"/>
          <w:w w:val="95"/>
          <w:sz w:val="20"/>
          <w:szCs w:val="20"/>
        </w:rPr>
        <w:t>–</w:t>
      </w:r>
    </w:p>
    <w:p w14:paraId="0915CE9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MEAN</w:t>
      </w:r>
      <w:r w:rsidRPr="004D2D14">
        <w:rPr>
          <w:rFonts w:asciiTheme="majorHAnsi" w:hAnsiTheme="majorHAnsi"/>
          <w:spacing w:val="-2"/>
          <w:sz w:val="20"/>
          <w:szCs w:val="20"/>
          <w:lang w:val="uk-UA"/>
        </w:rPr>
        <w:t xml:space="preserve"> </w:t>
      </w:r>
      <w:r w:rsidRPr="000977F7">
        <w:rPr>
          <w:rFonts w:asciiTheme="majorHAnsi" w:hAnsiTheme="majorHAnsi"/>
          <w:sz w:val="20"/>
          <w:szCs w:val="20"/>
        </w:rPr>
        <w:t>AVAILABILITY</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24A2EA9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Середнє</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значення</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нестаціонарного</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коефіцієнта</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готовності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заданому</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інтервалі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часу</w:t>
      </w:r>
    </w:p>
    <w:p w14:paraId="190D9E9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A8A89A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СЕРЕДНІЙ</w:t>
      </w:r>
      <w:r w:rsidRPr="000977F7">
        <w:rPr>
          <w:color w:val="auto"/>
          <w:spacing w:val="-2"/>
          <w:sz w:val="20"/>
          <w:szCs w:val="20"/>
        </w:rPr>
        <w:t xml:space="preserve"> </w:t>
      </w:r>
      <w:r w:rsidRPr="000977F7">
        <w:rPr>
          <w:color w:val="auto"/>
          <w:sz w:val="20"/>
          <w:szCs w:val="20"/>
        </w:rPr>
        <w:t>НАРОБІТОК</w:t>
      </w:r>
      <w:r w:rsidRPr="000977F7">
        <w:rPr>
          <w:color w:val="auto"/>
          <w:spacing w:val="-4"/>
          <w:sz w:val="20"/>
          <w:szCs w:val="20"/>
        </w:rPr>
        <w:t xml:space="preserve"> </w:t>
      </w:r>
      <w:r w:rsidRPr="000977F7">
        <w:rPr>
          <w:color w:val="auto"/>
          <w:sz w:val="20"/>
          <w:szCs w:val="20"/>
        </w:rPr>
        <w:t>ДО</w:t>
      </w:r>
      <w:r w:rsidRPr="000977F7">
        <w:rPr>
          <w:color w:val="auto"/>
          <w:spacing w:val="-2"/>
          <w:sz w:val="20"/>
          <w:szCs w:val="20"/>
        </w:rPr>
        <w:t xml:space="preserve"> </w:t>
      </w:r>
      <w:r w:rsidRPr="000977F7">
        <w:rPr>
          <w:color w:val="auto"/>
          <w:sz w:val="20"/>
          <w:szCs w:val="20"/>
        </w:rPr>
        <w:t>ВІДМОВИ;</w:t>
      </w:r>
      <w:r w:rsidRPr="000977F7">
        <w:rPr>
          <w:color w:val="auto"/>
          <w:spacing w:val="-5"/>
          <w:sz w:val="20"/>
          <w:szCs w:val="20"/>
        </w:rPr>
        <w:t xml:space="preserve"> </w:t>
      </w:r>
      <w:r w:rsidRPr="000977F7">
        <w:rPr>
          <w:color w:val="auto"/>
          <w:sz w:val="20"/>
          <w:szCs w:val="20"/>
        </w:rPr>
        <w:t>MTTF</w:t>
      </w:r>
      <w:r w:rsidRPr="000977F7">
        <w:rPr>
          <w:color w:val="auto"/>
          <w:spacing w:val="1"/>
          <w:sz w:val="20"/>
          <w:szCs w:val="20"/>
        </w:rPr>
        <w:t xml:space="preserve"> </w:t>
      </w:r>
      <w:r w:rsidRPr="000977F7">
        <w:rPr>
          <w:color w:val="auto"/>
          <w:sz w:val="20"/>
          <w:szCs w:val="20"/>
        </w:rPr>
        <w:t>–</w:t>
      </w:r>
    </w:p>
    <w:p w14:paraId="6FCFDAB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MEAN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OPERATING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FIRST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140622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Математичне</w:t>
      </w:r>
      <w:r w:rsidRPr="000977F7">
        <w:rPr>
          <w:rFonts w:asciiTheme="majorHAnsi" w:hAnsiTheme="majorHAnsi"/>
          <w:spacing w:val="12"/>
          <w:sz w:val="20"/>
          <w:szCs w:val="20"/>
        </w:rPr>
        <w:t xml:space="preserve"> </w:t>
      </w:r>
      <w:r w:rsidRPr="000977F7">
        <w:rPr>
          <w:rFonts w:asciiTheme="majorHAnsi" w:hAnsiTheme="majorHAnsi"/>
          <w:sz w:val="20"/>
          <w:szCs w:val="20"/>
        </w:rPr>
        <w:t>сподівання</w:t>
      </w:r>
      <w:r w:rsidRPr="000977F7">
        <w:rPr>
          <w:rFonts w:asciiTheme="majorHAnsi" w:hAnsiTheme="majorHAnsi"/>
          <w:spacing w:val="15"/>
          <w:sz w:val="20"/>
          <w:szCs w:val="20"/>
        </w:rPr>
        <w:t xml:space="preserve"> </w:t>
      </w:r>
      <w:r w:rsidRPr="000977F7">
        <w:rPr>
          <w:rFonts w:asciiTheme="majorHAnsi" w:hAnsiTheme="majorHAnsi"/>
          <w:sz w:val="20"/>
          <w:szCs w:val="20"/>
        </w:rPr>
        <w:t>наробітку</w:t>
      </w:r>
      <w:r w:rsidRPr="000977F7">
        <w:rPr>
          <w:rFonts w:asciiTheme="majorHAnsi" w:hAnsiTheme="majorHAnsi"/>
          <w:spacing w:val="12"/>
          <w:sz w:val="20"/>
          <w:szCs w:val="20"/>
        </w:rPr>
        <w:t xml:space="preserve"> </w:t>
      </w:r>
      <w:r w:rsidRPr="000977F7">
        <w:rPr>
          <w:rFonts w:asciiTheme="majorHAnsi" w:hAnsiTheme="majorHAnsi"/>
          <w:sz w:val="20"/>
          <w:szCs w:val="20"/>
        </w:rPr>
        <w:t>виробів</w:t>
      </w:r>
      <w:r w:rsidRPr="000977F7">
        <w:rPr>
          <w:rFonts w:asciiTheme="majorHAnsi" w:hAnsiTheme="majorHAnsi"/>
          <w:spacing w:val="12"/>
          <w:sz w:val="20"/>
          <w:szCs w:val="20"/>
        </w:rPr>
        <w:t xml:space="preserve"> </w:t>
      </w:r>
      <w:r w:rsidRPr="000977F7">
        <w:rPr>
          <w:rFonts w:asciiTheme="majorHAnsi" w:hAnsiTheme="majorHAnsi"/>
          <w:sz w:val="20"/>
          <w:szCs w:val="20"/>
        </w:rPr>
        <w:t>(об’єктів)</w:t>
      </w:r>
      <w:r w:rsidRPr="000977F7">
        <w:rPr>
          <w:rFonts w:asciiTheme="majorHAnsi" w:hAnsiTheme="majorHAnsi"/>
          <w:spacing w:val="-47"/>
          <w:sz w:val="20"/>
          <w:szCs w:val="20"/>
        </w:rPr>
        <w:t xml:space="preserve"> </w:t>
      </w:r>
      <w:r w:rsidRPr="000977F7">
        <w:rPr>
          <w:rFonts w:asciiTheme="majorHAnsi" w:hAnsiTheme="majorHAnsi"/>
          <w:sz w:val="20"/>
          <w:szCs w:val="20"/>
        </w:rPr>
        <w:t>партії</w:t>
      </w:r>
      <w:r w:rsidRPr="000977F7">
        <w:rPr>
          <w:rFonts w:asciiTheme="majorHAnsi" w:hAnsiTheme="majorHAnsi"/>
          <w:spacing w:val="-2"/>
          <w:sz w:val="20"/>
          <w:szCs w:val="20"/>
        </w:rPr>
        <w:t xml:space="preserve"> </w:t>
      </w:r>
      <w:r w:rsidRPr="000977F7">
        <w:rPr>
          <w:rFonts w:asciiTheme="majorHAnsi" w:hAnsiTheme="majorHAnsi"/>
          <w:sz w:val="20"/>
          <w:szCs w:val="20"/>
        </w:rPr>
        <w:t>до першої</w:t>
      </w:r>
      <w:r w:rsidRPr="000977F7">
        <w:rPr>
          <w:rFonts w:asciiTheme="majorHAnsi" w:hAnsiTheme="majorHAnsi"/>
          <w:spacing w:val="-1"/>
          <w:sz w:val="20"/>
          <w:szCs w:val="20"/>
        </w:rPr>
        <w:t xml:space="preserve"> </w:t>
      </w:r>
      <w:r w:rsidRPr="000977F7">
        <w:rPr>
          <w:rFonts w:asciiTheme="majorHAnsi" w:hAnsiTheme="majorHAnsi"/>
          <w:sz w:val="20"/>
          <w:szCs w:val="20"/>
        </w:rPr>
        <w:t>відмови</w:t>
      </w:r>
    </w:p>
    <w:p w14:paraId="4A56285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2634 – 94; ДСТУ 2860 – 94</w:t>
      </w:r>
    </w:p>
    <w:p w14:paraId="6655771A"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СЕРЕДНІЙ ОБСЯГ ВИБІРКИ –</w:t>
      </w:r>
      <w:r w:rsidRPr="000977F7">
        <w:rPr>
          <w:rFonts w:asciiTheme="majorHAnsi" w:hAnsiTheme="majorHAnsi"/>
          <w:b/>
          <w:spacing w:val="-47"/>
          <w:sz w:val="20"/>
          <w:szCs w:val="20"/>
        </w:rPr>
        <w:t xml:space="preserve"> </w:t>
      </w:r>
    </w:p>
    <w:p w14:paraId="77C70BD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AVERAGE</w:t>
      </w:r>
      <w:r w:rsidRPr="000977F7">
        <w:rPr>
          <w:rFonts w:asciiTheme="majorHAnsi" w:hAnsiTheme="majorHAnsi"/>
          <w:spacing w:val="-1"/>
          <w:sz w:val="20"/>
          <w:szCs w:val="20"/>
        </w:rPr>
        <w:t xml:space="preserve"> </w:t>
      </w:r>
      <w:r w:rsidRPr="000977F7">
        <w:rPr>
          <w:rFonts w:asciiTheme="majorHAnsi" w:hAnsiTheme="majorHAnsi"/>
          <w:sz w:val="20"/>
          <w:szCs w:val="20"/>
        </w:rPr>
        <w:t>SAMPLE</w:t>
      </w:r>
      <w:r w:rsidRPr="000977F7">
        <w:rPr>
          <w:rFonts w:asciiTheme="majorHAnsi" w:hAnsiTheme="majorHAnsi"/>
          <w:spacing w:val="-1"/>
          <w:sz w:val="20"/>
          <w:szCs w:val="20"/>
        </w:rPr>
        <w:t xml:space="preserve"> </w:t>
      </w:r>
      <w:r w:rsidRPr="000977F7">
        <w:rPr>
          <w:rFonts w:asciiTheme="majorHAnsi" w:hAnsiTheme="majorHAnsi"/>
          <w:sz w:val="20"/>
          <w:szCs w:val="20"/>
        </w:rPr>
        <w:t>SIZE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A1D35E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Кількість одиниць продукції (спостережувальних значень), які припадають у середньому на одну контрольовану партію за певного двоступінчастого, багатоступінчастого чи послідовного плану вибіркового контролю</w:t>
      </w:r>
    </w:p>
    <w:p w14:paraId="3DAABF9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5A85767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СЕРЕДНІЙ</w:t>
      </w:r>
      <w:r w:rsidRPr="000977F7">
        <w:rPr>
          <w:color w:val="auto"/>
          <w:spacing w:val="-3"/>
          <w:sz w:val="20"/>
          <w:szCs w:val="20"/>
        </w:rPr>
        <w:t xml:space="preserve"> </w:t>
      </w:r>
      <w:r w:rsidRPr="000977F7">
        <w:rPr>
          <w:color w:val="auto"/>
          <w:sz w:val="20"/>
          <w:szCs w:val="20"/>
        </w:rPr>
        <w:t>ОБСЯГ</w:t>
      </w:r>
      <w:r w:rsidRPr="000977F7">
        <w:rPr>
          <w:color w:val="auto"/>
          <w:spacing w:val="-3"/>
          <w:sz w:val="20"/>
          <w:szCs w:val="20"/>
        </w:rPr>
        <w:t xml:space="preserve"> </w:t>
      </w:r>
      <w:r w:rsidRPr="000977F7">
        <w:rPr>
          <w:color w:val="auto"/>
          <w:sz w:val="20"/>
          <w:szCs w:val="20"/>
        </w:rPr>
        <w:t>ПРОБИ –</w:t>
      </w:r>
    </w:p>
    <w:p w14:paraId="4D1EDFA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Кількість перевірених одиниць непоштучної продукції, яка припадає на одну контрольовану сукупність за</w:t>
      </w:r>
      <w:r w:rsidRPr="000977F7">
        <w:rPr>
          <w:rFonts w:asciiTheme="majorHAnsi" w:hAnsiTheme="majorHAnsi"/>
          <w:spacing w:val="-47"/>
          <w:sz w:val="20"/>
          <w:szCs w:val="20"/>
        </w:rPr>
        <w:t xml:space="preserve"> </w:t>
      </w:r>
      <w:r w:rsidRPr="000977F7">
        <w:rPr>
          <w:rFonts w:asciiTheme="majorHAnsi" w:hAnsiTheme="majorHAnsi"/>
          <w:sz w:val="20"/>
          <w:szCs w:val="20"/>
        </w:rPr>
        <w:t>певного плану двоступінчастого, багатоступінчастого</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послідовного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p>
    <w:p w14:paraId="34766EB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3E816D8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СЕРЕДНІЙ ПАРАМЕТР ПОТОКУ ВІДМОВ;</w:t>
      </w:r>
      <w:r w:rsidRPr="000977F7">
        <w:rPr>
          <w:color w:val="auto"/>
          <w:spacing w:val="-47"/>
          <w:sz w:val="20"/>
          <w:szCs w:val="20"/>
        </w:rPr>
        <w:t xml:space="preserve"> </w:t>
      </w:r>
      <w:r w:rsidRPr="000977F7">
        <w:rPr>
          <w:color w:val="auto"/>
          <w:sz w:val="20"/>
          <w:szCs w:val="20"/>
        </w:rPr>
        <w:t>Z(</w:t>
      </w:r>
      <w:r w:rsidRPr="000977F7">
        <w:rPr>
          <w:color w:val="auto"/>
          <w:spacing w:val="-1"/>
          <w:sz w:val="20"/>
          <w:szCs w:val="20"/>
        </w:rPr>
        <w:t xml:space="preserve"> </w:t>
      </w:r>
      <w:r w:rsidRPr="000977F7">
        <w:rPr>
          <w:color w:val="auto"/>
          <w:sz w:val="20"/>
          <w:szCs w:val="20"/>
        </w:rPr>
        <w:t>t</w:t>
      </w:r>
      <w:r w:rsidRPr="000977F7">
        <w:rPr>
          <w:color w:val="auto"/>
          <w:sz w:val="20"/>
          <w:szCs w:val="20"/>
          <w:vertAlign w:val="subscript"/>
        </w:rPr>
        <w:t>1</w:t>
      </w:r>
      <w:r w:rsidRPr="000977F7">
        <w:rPr>
          <w:color w:val="auto"/>
          <w:sz w:val="20"/>
          <w:szCs w:val="20"/>
        </w:rPr>
        <w:t>,</w:t>
      </w:r>
      <w:r w:rsidRPr="000977F7">
        <w:rPr>
          <w:color w:val="auto"/>
          <w:spacing w:val="1"/>
          <w:sz w:val="20"/>
          <w:szCs w:val="20"/>
        </w:rPr>
        <w:t xml:space="preserve"> </w:t>
      </w:r>
      <w:r w:rsidRPr="000977F7">
        <w:rPr>
          <w:color w:val="auto"/>
          <w:sz w:val="20"/>
          <w:szCs w:val="20"/>
        </w:rPr>
        <w:t>t</w:t>
      </w:r>
      <w:r w:rsidRPr="000977F7">
        <w:rPr>
          <w:color w:val="auto"/>
          <w:sz w:val="20"/>
          <w:szCs w:val="20"/>
          <w:vertAlign w:val="subscript"/>
        </w:rPr>
        <w:t>2</w:t>
      </w:r>
      <w:r w:rsidRPr="000977F7">
        <w:rPr>
          <w:color w:val="auto"/>
          <w:spacing w:val="-17"/>
          <w:sz w:val="20"/>
          <w:szCs w:val="20"/>
        </w:rPr>
        <w:t xml:space="preserve"> </w:t>
      </w:r>
      <w:r w:rsidRPr="000977F7">
        <w:rPr>
          <w:color w:val="auto"/>
          <w:sz w:val="20"/>
          <w:szCs w:val="20"/>
        </w:rPr>
        <w:t>)</w:t>
      </w:r>
      <w:r w:rsidRPr="000977F7">
        <w:rPr>
          <w:color w:val="auto"/>
          <w:spacing w:val="1"/>
          <w:sz w:val="20"/>
          <w:szCs w:val="20"/>
        </w:rPr>
        <w:t xml:space="preserve"> </w:t>
      </w:r>
      <w:r w:rsidRPr="000977F7">
        <w:rPr>
          <w:color w:val="auto"/>
          <w:sz w:val="20"/>
          <w:szCs w:val="20"/>
        </w:rPr>
        <w:t>–</w:t>
      </w:r>
    </w:p>
    <w:p w14:paraId="06534C6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MEAN</w:t>
      </w:r>
      <w:r w:rsidRPr="000977F7">
        <w:rPr>
          <w:rFonts w:asciiTheme="majorHAnsi" w:hAnsiTheme="majorHAnsi"/>
          <w:spacing w:val="-1"/>
          <w:sz w:val="20"/>
          <w:szCs w:val="20"/>
        </w:rPr>
        <w:t xml:space="preserve"> </w:t>
      </w:r>
      <w:r w:rsidRPr="000977F7">
        <w:rPr>
          <w:rFonts w:asciiTheme="majorHAnsi" w:hAnsiTheme="majorHAnsi"/>
          <w:sz w:val="20"/>
          <w:szCs w:val="20"/>
        </w:rPr>
        <w:t>FAILURE</w:t>
      </w:r>
      <w:r w:rsidRPr="000977F7">
        <w:rPr>
          <w:rFonts w:asciiTheme="majorHAnsi" w:hAnsiTheme="majorHAnsi"/>
          <w:spacing w:val="-3"/>
          <w:sz w:val="20"/>
          <w:szCs w:val="20"/>
        </w:rPr>
        <w:t xml:space="preserve"> </w:t>
      </w:r>
      <w:r w:rsidRPr="000977F7">
        <w:rPr>
          <w:rFonts w:asciiTheme="majorHAnsi" w:hAnsiTheme="majorHAnsi"/>
          <w:sz w:val="20"/>
          <w:szCs w:val="20"/>
        </w:rPr>
        <w:t>INTENSITY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4A6D1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Середнє значення параметра потоку відмов у заданому</w:t>
      </w:r>
      <w:r w:rsidRPr="000977F7">
        <w:rPr>
          <w:rFonts w:asciiTheme="majorHAnsi" w:hAnsiTheme="majorHAnsi"/>
          <w:spacing w:val="-5"/>
          <w:sz w:val="20"/>
          <w:szCs w:val="20"/>
        </w:rPr>
        <w:t xml:space="preserve"> </w:t>
      </w:r>
      <w:r w:rsidRPr="000977F7">
        <w:rPr>
          <w:rFonts w:asciiTheme="majorHAnsi" w:hAnsiTheme="majorHAnsi"/>
          <w:sz w:val="20"/>
          <w:szCs w:val="20"/>
        </w:rPr>
        <w:t>інтервалі</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4EADC991"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7C1A9936"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СЕРЕДНІЙ</w:t>
      </w:r>
      <w:r w:rsidRPr="004D2D14">
        <w:rPr>
          <w:rFonts w:asciiTheme="majorHAnsi" w:hAnsiTheme="majorHAnsi"/>
          <w:b/>
          <w:spacing w:val="-7"/>
          <w:sz w:val="20"/>
          <w:szCs w:val="20"/>
          <w:lang w:val="en-US"/>
        </w:rPr>
        <w:t xml:space="preserve"> </w:t>
      </w:r>
      <w:r w:rsidRPr="000977F7">
        <w:rPr>
          <w:rFonts w:asciiTheme="majorHAnsi" w:hAnsiTheme="majorHAnsi"/>
          <w:b/>
          <w:sz w:val="20"/>
          <w:szCs w:val="20"/>
        </w:rPr>
        <w:t>ПОКАЗНИК</w:t>
      </w:r>
      <w:r w:rsidRPr="004D2D14">
        <w:rPr>
          <w:rFonts w:asciiTheme="majorHAnsi" w:hAnsiTheme="majorHAnsi"/>
          <w:b/>
          <w:spacing w:val="-5"/>
          <w:sz w:val="20"/>
          <w:szCs w:val="20"/>
          <w:lang w:val="en-US"/>
        </w:rPr>
        <w:t xml:space="preserve"> </w:t>
      </w:r>
      <w:r w:rsidRPr="000977F7">
        <w:rPr>
          <w:rFonts w:asciiTheme="majorHAnsi" w:hAnsiTheme="majorHAnsi"/>
          <w:b/>
          <w:sz w:val="20"/>
          <w:szCs w:val="20"/>
        </w:rPr>
        <w:t>НАДІЙНОСТІ</w:t>
      </w:r>
      <w:r w:rsidRPr="004D2D14">
        <w:rPr>
          <w:rFonts w:asciiTheme="majorHAnsi" w:hAnsiTheme="majorHAnsi"/>
          <w:b/>
          <w:spacing w:val="-4"/>
          <w:sz w:val="20"/>
          <w:szCs w:val="20"/>
          <w:lang w:val="en-US"/>
        </w:rPr>
        <w:t xml:space="preserve"> </w:t>
      </w:r>
      <w:r w:rsidRPr="004D2D14">
        <w:rPr>
          <w:rFonts w:asciiTheme="majorHAnsi" w:hAnsiTheme="majorHAnsi"/>
          <w:b/>
          <w:sz w:val="20"/>
          <w:szCs w:val="20"/>
          <w:lang w:val="en-US"/>
        </w:rPr>
        <w:t>–</w:t>
      </w:r>
      <w:r w:rsidRPr="004D2D14">
        <w:rPr>
          <w:rFonts w:asciiTheme="majorHAnsi" w:hAnsiTheme="majorHAnsi"/>
          <w:b/>
          <w:spacing w:val="-47"/>
          <w:sz w:val="20"/>
          <w:szCs w:val="20"/>
          <w:lang w:val="en-US"/>
        </w:rPr>
        <w:t xml:space="preserve"> </w:t>
      </w:r>
      <w:r w:rsidRPr="004D2D14">
        <w:rPr>
          <w:rFonts w:asciiTheme="majorHAnsi" w:hAnsiTheme="majorHAnsi"/>
          <w:sz w:val="20"/>
          <w:szCs w:val="20"/>
          <w:lang w:val="en-US"/>
        </w:rPr>
        <w:t>AVERAGE (DEPRECATED) MEAN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DEPENDABILITY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MEASURE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2374AF2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 отримане</w:t>
      </w:r>
      <w:r w:rsidRPr="000977F7">
        <w:rPr>
          <w:rFonts w:asciiTheme="majorHAnsi" w:hAnsiTheme="majorHAnsi"/>
          <w:spacing w:val="1"/>
          <w:sz w:val="20"/>
          <w:szCs w:val="20"/>
        </w:rPr>
        <w:t xml:space="preserve"> </w:t>
      </w:r>
      <w:r w:rsidRPr="000977F7">
        <w:rPr>
          <w:rFonts w:asciiTheme="majorHAnsi" w:hAnsiTheme="majorHAnsi"/>
          <w:sz w:val="20"/>
          <w:szCs w:val="20"/>
        </w:rPr>
        <w:t>у вигляді математичного сподівання випадкової змінної величини (наробітку до відмови чи до граничного стану, терміну збережуваності,</w:t>
      </w:r>
      <w:r w:rsidRPr="000977F7">
        <w:rPr>
          <w:rFonts w:asciiTheme="majorHAnsi" w:hAnsiTheme="majorHAnsi"/>
          <w:spacing w:val="-47"/>
          <w:sz w:val="20"/>
          <w:szCs w:val="20"/>
        </w:rPr>
        <w:t xml:space="preserve"> </w:t>
      </w:r>
      <w:r w:rsidRPr="000977F7">
        <w:rPr>
          <w:rFonts w:asciiTheme="majorHAnsi" w:hAnsiTheme="majorHAnsi"/>
          <w:sz w:val="20"/>
          <w:szCs w:val="20"/>
        </w:rPr>
        <w:t>тривалості відновлювання) чи середнє значення наробітку до відмови (до граничного стану) усіх об’єктів у</w:t>
      </w:r>
      <w:r w:rsidRPr="000977F7">
        <w:rPr>
          <w:rFonts w:asciiTheme="majorHAnsi" w:hAnsiTheme="majorHAnsi"/>
          <w:spacing w:val="-47"/>
          <w:sz w:val="20"/>
          <w:szCs w:val="20"/>
        </w:rPr>
        <w:t xml:space="preserve"> </w:t>
      </w:r>
      <w:r w:rsidRPr="000977F7">
        <w:rPr>
          <w:rFonts w:asciiTheme="majorHAnsi" w:hAnsiTheme="majorHAnsi"/>
          <w:sz w:val="20"/>
          <w:szCs w:val="20"/>
        </w:rPr>
        <w:t>виборці</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заданих</w:t>
      </w:r>
      <w:r w:rsidRPr="000977F7">
        <w:rPr>
          <w:rFonts w:asciiTheme="majorHAnsi" w:hAnsiTheme="majorHAnsi"/>
          <w:spacing w:val="1"/>
          <w:sz w:val="20"/>
          <w:szCs w:val="20"/>
        </w:rPr>
        <w:t xml:space="preserve"> </w:t>
      </w:r>
      <w:r w:rsidRPr="000977F7">
        <w:rPr>
          <w:rFonts w:asciiTheme="majorHAnsi" w:hAnsiTheme="majorHAnsi"/>
          <w:sz w:val="20"/>
          <w:szCs w:val="20"/>
        </w:rPr>
        <w:t>умовах</w:t>
      </w:r>
    </w:p>
    <w:p w14:paraId="4E6FE21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541DA1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СЕРЕДНІЙ</w:t>
      </w:r>
      <w:r w:rsidRPr="000977F7">
        <w:rPr>
          <w:color w:val="auto"/>
          <w:spacing w:val="-2"/>
          <w:sz w:val="20"/>
          <w:szCs w:val="20"/>
        </w:rPr>
        <w:t xml:space="preserve"> </w:t>
      </w:r>
      <w:r w:rsidRPr="000977F7">
        <w:rPr>
          <w:color w:val="auto"/>
          <w:sz w:val="20"/>
          <w:szCs w:val="20"/>
        </w:rPr>
        <w:t>РЕМОНТ</w:t>
      </w:r>
      <w:r w:rsidRPr="000977F7">
        <w:rPr>
          <w:color w:val="auto"/>
          <w:spacing w:val="-1"/>
          <w:sz w:val="20"/>
          <w:szCs w:val="20"/>
        </w:rPr>
        <w:t xml:space="preserve"> </w:t>
      </w:r>
      <w:r w:rsidRPr="000977F7">
        <w:rPr>
          <w:color w:val="auto"/>
          <w:sz w:val="20"/>
          <w:szCs w:val="20"/>
        </w:rPr>
        <w:t>–</w:t>
      </w:r>
    </w:p>
    <w:p w14:paraId="3A5935C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Ремонт, який виконується для відновлення справності</w:t>
      </w:r>
      <w:r w:rsidRPr="000977F7">
        <w:rPr>
          <w:rFonts w:asciiTheme="majorHAnsi" w:hAnsiTheme="majorHAnsi"/>
          <w:spacing w:val="-47"/>
          <w:sz w:val="20"/>
          <w:szCs w:val="20"/>
        </w:rPr>
        <w:t xml:space="preserve"> </w:t>
      </w:r>
      <w:r w:rsidRPr="000977F7">
        <w:rPr>
          <w:rFonts w:asciiTheme="majorHAnsi" w:hAnsiTheme="majorHAnsi"/>
          <w:sz w:val="20"/>
          <w:szCs w:val="20"/>
        </w:rPr>
        <w:t>і часткового відновлення ресурсу об’єкта із заміною</w:t>
      </w:r>
      <w:r w:rsidRPr="000977F7">
        <w:rPr>
          <w:rFonts w:asciiTheme="majorHAnsi" w:hAnsiTheme="majorHAnsi"/>
          <w:spacing w:val="1"/>
          <w:sz w:val="20"/>
          <w:szCs w:val="20"/>
        </w:rPr>
        <w:t xml:space="preserve"> </w:t>
      </w:r>
      <w:r w:rsidRPr="000977F7">
        <w:rPr>
          <w:rFonts w:asciiTheme="majorHAnsi" w:hAnsiTheme="majorHAnsi"/>
          <w:sz w:val="20"/>
          <w:szCs w:val="20"/>
        </w:rPr>
        <w:t>або відновленням складових частин обмеженої номенклатури</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контролем</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стану</w:t>
      </w:r>
      <w:r w:rsidRPr="000977F7">
        <w:rPr>
          <w:rFonts w:asciiTheme="majorHAnsi" w:hAnsiTheme="majorHAnsi"/>
          <w:spacing w:val="1"/>
          <w:sz w:val="20"/>
          <w:szCs w:val="20"/>
        </w:rPr>
        <w:t xml:space="preserve"> </w:t>
      </w:r>
      <w:r w:rsidRPr="000977F7">
        <w:rPr>
          <w:rFonts w:asciiTheme="majorHAnsi" w:hAnsiTheme="majorHAnsi"/>
          <w:sz w:val="20"/>
          <w:szCs w:val="20"/>
        </w:rPr>
        <w:t>складових</w:t>
      </w:r>
      <w:r w:rsidRPr="000977F7">
        <w:rPr>
          <w:rFonts w:asciiTheme="majorHAnsi" w:hAnsiTheme="majorHAnsi"/>
          <w:spacing w:val="1"/>
          <w:sz w:val="20"/>
          <w:szCs w:val="20"/>
        </w:rPr>
        <w:t xml:space="preserve"> </w:t>
      </w:r>
      <w:r w:rsidRPr="000977F7">
        <w:rPr>
          <w:rFonts w:asciiTheme="majorHAnsi" w:hAnsiTheme="majorHAnsi"/>
          <w:sz w:val="20"/>
          <w:szCs w:val="20"/>
        </w:rPr>
        <w:t>частин,</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виконуються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обсязі,</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встановленому</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47"/>
          <w:sz w:val="20"/>
          <w:szCs w:val="20"/>
        </w:rPr>
        <w:t xml:space="preserve"> </w:t>
      </w:r>
      <w:r w:rsidRPr="000977F7">
        <w:rPr>
          <w:rFonts w:asciiTheme="majorHAnsi" w:hAnsiTheme="majorHAnsi"/>
          <w:sz w:val="20"/>
          <w:szCs w:val="20"/>
        </w:rPr>
        <w:t>нормативно-технічній</w:t>
      </w:r>
      <w:r w:rsidRPr="000977F7">
        <w:rPr>
          <w:rFonts w:asciiTheme="majorHAnsi" w:hAnsiTheme="majorHAnsi"/>
          <w:spacing w:val="-2"/>
          <w:sz w:val="20"/>
          <w:szCs w:val="20"/>
        </w:rPr>
        <w:t xml:space="preserve"> </w:t>
      </w:r>
      <w:r w:rsidRPr="000977F7">
        <w:rPr>
          <w:rFonts w:asciiTheme="majorHAnsi" w:hAnsiTheme="majorHAnsi"/>
          <w:sz w:val="20"/>
          <w:szCs w:val="20"/>
        </w:rPr>
        <w:t>документації</w:t>
      </w:r>
    </w:p>
    <w:p w14:paraId="0B7098F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9A9F44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ресурсу</w:t>
      </w:r>
      <w:r w:rsidRPr="000977F7">
        <w:rPr>
          <w:rFonts w:asciiTheme="majorHAnsi" w:hAnsiTheme="majorHAnsi"/>
          <w:spacing w:val="1"/>
          <w:sz w:val="20"/>
          <w:szCs w:val="20"/>
        </w:rPr>
        <w:t xml:space="preserve"> </w:t>
      </w:r>
      <w:r w:rsidRPr="000977F7">
        <w:rPr>
          <w:rFonts w:asciiTheme="majorHAnsi" w:hAnsiTheme="majorHAnsi"/>
          <w:sz w:val="20"/>
          <w:szCs w:val="20"/>
        </w:rPr>
        <w:t>встановлюють</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нормативно-технічній</w:t>
      </w:r>
      <w:r w:rsidRPr="000977F7">
        <w:rPr>
          <w:rFonts w:asciiTheme="majorHAnsi" w:hAnsiTheme="majorHAnsi"/>
          <w:spacing w:val="-2"/>
          <w:sz w:val="20"/>
          <w:szCs w:val="20"/>
        </w:rPr>
        <w:t xml:space="preserve"> </w:t>
      </w:r>
      <w:r w:rsidRPr="000977F7">
        <w:rPr>
          <w:rFonts w:asciiTheme="majorHAnsi" w:hAnsiTheme="majorHAnsi"/>
          <w:sz w:val="20"/>
          <w:szCs w:val="20"/>
        </w:rPr>
        <w:t>документації</w:t>
      </w:r>
    </w:p>
    <w:p w14:paraId="080C535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СЕРЕДНІЙ</w:t>
      </w:r>
      <w:r w:rsidRPr="000977F7">
        <w:rPr>
          <w:color w:val="auto"/>
          <w:spacing w:val="-3"/>
          <w:sz w:val="20"/>
          <w:szCs w:val="20"/>
        </w:rPr>
        <w:t xml:space="preserve"> </w:t>
      </w:r>
      <w:r w:rsidRPr="000977F7">
        <w:rPr>
          <w:color w:val="auto"/>
          <w:sz w:val="20"/>
          <w:szCs w:val="20"/>
        </w:rPr>
        <w:t>РЕСУРС</w:t>
      </w:r>
      <w:r w:rsidRPr="000977F7">
        <w:rPr>
          <w:color w:val="auto"/>
          <w:spacing w:val="-3"/>
          <w:sz w:val="20"/>
          <w:szCs w:val="20"/>
        </w:rPr>
        <w:t xml:space="preserve"> </w:t>
      </w:r>
      <w:r w:rsidRPr="000977F7">
        <w:rPr>
          <w:color w:val="auto"/>
          <w:sz w:val="20"/>
          <w:szCs w:val="20"/>
        </w:rPr>
        <w:t>–</w:t>
      </w:r>
    </w:p>
    <w:p w14:paraId="5BE699B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MEAN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LIFE;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MEAN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USEFUL</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LIFE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38A391D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Математичне</w:t>
      </w:r>
      <w:r w:rsidRPr="000977F7">
        <w:rPr>
          <w:rFonts w:asciiTheme="majorHAnsi" w:hAnsiTheme="majorHAnsi"/>
          <w:spacing w:val="-4"/>
          <w:sz w:val="20"/>
          <w:szCs w:val="20"/>
        </w:rPr>
        <w:t xml:space="preserve"> </w:t>
      </w:r>
      <w:r w:rsidRPr="000977F7">
        <w:rPr>
          <w:rFonts w:asciiTheme="majorHAnsi" w:hAnsiTheme="majorHAnsi"/>
          <w:sz w:val="20"/>
          <w:szCs w:val="20"/>
        </w:rPr>
        <w:t>сподівання</w:t>
      </w:r>
      <w:r w:rsidRPr="000977F7">
        <w:rPr>
          <w:rFonts w:asciiTheme="majorHAnsi" w:hAnsiTheme="majorHAnsi"/>
          <w:spacing w:val="-5"/>
          <w:sz w:val="20"/>
          <w:szCs w:val="20"/>
        </w:rPr>
        <w:t xml:space="preserve"> </w:t>
      </w:r>
      <w:r w:rsidRPr="000977F7">
        <w:rPr>
          <w:rFonts w:asciiTheme="majorHAnsi" w:hAnsiTheme="majorHAnsi"/>
          <w:sz w:val="20"/>
          <w:szCs w:val="20"/>
        </w:rPr>
        <w:t>ресурсу</w:t>
      </w:r>
    </w:p>
    <w:p w14:paraId="761DC95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FC18383" w14:textId="77777777" w:rsidR="0097612F" w:rsidRPr="000977F7" w:rsidRDefault="0097612F" w:rsidP="000977F7">
      <w:pPr>
        <w:pStyle w:val="7"/>
        <w:tabs>
          <w:tab w:val="left" w:pos="284"/>
        </w:tabs>
        <w:spacing w:before="0" w:line="240" w:lineRule="auto"/>
        <w:ind w:left="170"/>
        <w:mirrorIndents/>
        <w:jc w:val="both"/>
        <w:rPr>
          <w:color w:val="auto"/>
          <w:spacing w:val="25"/>
          <w:sz w:val="20"/>
          <w:szCs w:val="20"/>
        </w:rPr>
      </w:pPr>
      <w:r w:rsidRPr="000977F7">
        <w:rPr>
          <w:color w:val="auto"/>
          <w:sz w:val="20"/>
          <w:szCs w:val="20"/>
        </w:rPr>
        <w:t>СЕРЕДНІЙ</w:t>
      </w:r>
      <w:r w:rsidRPr="000977F7">
        <w:rPr>
          <w:color w:val="auto"/>
          <w:spacing w:val="25"/>
          <w:sz w:val="20"/>
          <w:szCs w:val="20"/>
        </w:rPr>
        <w:t xml:space="preserve"> </w:t>
      </w:r>
      <w:r w:rsidRPr="000977F7">
        <w:rPr>
          <w:color w:val="auto"/>
          <w:sz w:val="20"/>
          <w:szCs w:val="20"/>
        </w:rPr>
        <w:t>РЕСУРС</w:t>
      </w:r>
      <w:r w:rsidRPr="000977F7">
        <w:rPr>
          <w:color w:val="auto"/>
          <w:spacing w:val="24"/>
          <w:sz w:val="20"/>
          <w:szCs w:val="20"/>
        </w:rPr>
        <w:t xml:space="preserve"> </w:t>
      </w:r>
      <w:r w:rsidRPr="000977F7">
        <w:rPr>
          <w:color w:val="auto"/>
          <w:sz w:val="20"/>
          <w:szCs w:val="20"/>
        </w:rPr>
        <w:t>ДО</w:t>
      </w:r>
      <w:r w:rsidRPr="000977F7">
        <w:rPr>
          <w:color w:val="auto"/>
          <w:spacing w:val="27"/>
          <w:sz w:val="20"/>
          <w:szCs w:val="20"/>
        </w:rPr>
        <w:t xml:space="preserve"> </w:t>
      </w:r>
      <w:r w:rsidRPr="000977F7">
        <w:rPr>
          <w:color w:val="auto"/>
          <w:sz w:val="20"/>
          <w:szCs w:val="20"/>
        </w:rPr>
        <w:t>КАПІТАЛЬНОГО</w:t>
      </w:r>
      <w:r w:rsidRPr="000977F7">
        <w:rPr>
          <w:color w:val="auto"/>
          <w:spacing w:val="25"/>
          <w:sz w:val="20"/>
          <w:szCs w:val="20"/>
        </w:rPr>
        <w:t xml:space="preserve"> </w:t>
      </w:r>
    </w:p>
    <w:p w14:paraId="6DDF3D4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w:t>
      </w:r>
      <w:r w:rsidRPr="000977F7">
        <w:rPr>
          <w:color w:val="auto"/>
          <w:spacing w:val="-47"/>
          <w:sz w:val="20"/>
          <w:szCs w:val="20"/>
        </w:rPr>
        <w:t xml:space="preserve"> </w:t>
      </w:r>
      <w:r w:rsidRPr="000977F7">
        <w:rPr>
          <w:color w:val="auto"/>
          <w:sz w:val="20"/>
          <w:szCs w:val="20"/>
        </w:rPr>
        <w:t>МОНТУ –</w:t>
      </w:r>
    </w:p>
    <w:p w14:paraId="283F0DB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MEAN LIFE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GENERAL</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OVERHAUL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15FEB4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Середній ресурс від початку експлуатації об’єкта до</w:t>
      </w:r>
      <w:r w:rsidRPr="000977F7">
        <w:rPr>
          <w:rFonts w:asciiTheme="majorHAnsi" w:hAnsiTheme="majorHAnsi"/>
          <w:spacing w:val="1"/>
          <w:sz w:val="20"/>
          <w:szCs w:val="20"/>
        </w:rPr>
        <w:t xml:space="preserve"> </w:t>
      </w:r>
      <w:r w:rsidRPr="000977F7">
        <w:rPr>
          <w:rFonts w:asciiTheme="majorHAnsi" w:hAnsiTheme="majorHAnsi"/>
          <w:sz w:val="20"/>
          <w:szCs w:val="20"/>
        </w:rPr>
        <w:t>першого капітального</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p>
    <w:p w14:paraId="6765057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СЕРЕДНІЙ</w:t>
      </w:r>
      <w:r w:rsidRPr="000977F7">
        <w:rPr>
          <w:color w:val="auto"/>
          <w:spacing w:val="-4"/>
          <w:sz w:val="20"/>
          <w:szCs w:val="20"/>
        </w:rPr>
        <w:t xml:space="preserve"> </w:t>
      </w:r>
      <w:r w:rsidRPr="000977F7">
        <w:rPr>
          <w:color w:val="auto"/>
          <w:sz w:val="20"/>
          <w:szCs w:val="20"/>
        </w:rPr>
        <w:t>РОЗМАХ</w:t>
      </w:r>
      <w:r w:rsidRPr="000977F7">
        <w:rPr>
          <w:color w:val="auto"/>
          <w:spacing w:val="-5"/>
          <w:sz w:val="20"/>
          <w:szCs w:val="20"/>
        </w:rPr>
        <w:t xml:space="preserve"> </w:t>
      </w:r>
      <w:r w:rsidRPr="000977F7">
        <w:rPr>
          <w:color w:val="auto"/>
          <w:sz w:val="20"/>
          <w:szCs w:val="20"/>
        </w:rPr>
        <w:t>ВИБІРКИ</w:t>
      </w:r>
      <w:r w:rsidRPr="000977F7">
        <w:rPr>
          <w:color w:val="auto"/>
          <w:spacing w:val="-2"/>
          <w:sz w:val="20"/>
          <w:szCs w:val="20"/>
        </w:rPr>
        <w:t xml:space="preserve"> </w:t>
      </w:r>
      <w:r w:rsidRPr="000977F7">
        <w:rPr>
          <w:color w:val="auto"/>
          <w:sz w:val="20"/>
          <w:szCs w:val="20"/>
        </w:rPr>
        <w:t>–</w:t>
      </w:r>
    </w:p>
    <w:p w14:paraId="29908DA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Середнє арифметичне розмахів, одержаних у певній</w:t>
      </w:r>
      <w:r w:rsidRPr="000977F7">
        <w:rPr>
          <w:rFonts w:asciiTheme="majorHAnsi" w:hAnsiTheme="majorHAnsi"/>
          <w:spacing w:val="1"/>
          <w:sz w:val="20"/>
          <w:szCs w:val="20"/>
        </w:rPr>
        <w:t xml:space="preserve"> </w:t>
      </w:r>
      <w:r w:rsidRPr="000977F7">
        <w:rPr>
          <w:rFonts w:asciiTheme="majorHAnsi" w:hAnsiTheme="majorHAnsi"/>
          <w:sz w:val="20"/>
          <w:szCs w:val="20"/>
        </w:rPr>
        <w:t>кількості</w:t>
      </w:r>
      <w:r w:rsidRPr="000977F7">
        <w:rPr>
          <w:rFonts w:asciiTheme="majorHAnsi" w:hAnsiTheme="majorHAnsi"/>
          <w:spacing w:val="-2"/>
          <w:sz w:val="20"/>
          <w:szCs w:val="20"/>
        </w:rPr>
        <w:t xml:space="preserve"> </w:t>
      </w:r>
      <w:r w:rsidRPr="000977F7">
        <w:rPr>
          <w:rFonts w:asciiTheme="majorHAnsi" w:hAnsiTheme="majorHAnsi"/>
          <w:sz w:val="20"/>
          <w:szCs w:val="20"/>
        </w:rPr>
        <w:t>вибірок</w:t>
      </w:r>
      <w:r w:rsidRPr="000977F7">
        <w:rPr>
          <w:rFonts w:asciiTheme="majorHAnsi" w:hAnsiTheme="majorHAnsi"/>
          <w:spacing w:val="-1"/>
          <w:sz w:val="20"/>
          <w:szCs w:val="20"/>
        </w:rPr>
        <w:t xml:space="preserve"> </w:t>
      </w:r>
      <w:r w:rsidRPr="000977F7">
        <w:rPr>
          <w:rFonts w:asciiTheme="majorHAnsi" w:hAnsiTheme="majorHAnsi"/>
          <w:sz w:val="20"/>
          <w:szCs w:val="20"/>
        </w:rPr>
        <w:t>однакового</w:t>
      </w:r>
      <w:r w:rsidRPr="000977F7">
        <w:rPr>
          <w:rFonts w:asciiTheme="majorHAnsi" w:hAnsiTheme="majorHAnsi"/>
          <w:spacing w:val="1"/>
          <w:sz w:val="20"/>
          <w:szCs w:val="20"/>
        </w:rPr>
        <w:t xml:space="preserve"> </w:t>
      </w:r>
      <w:r w:rsidRPr="000977F7">
        <w:rPr>
          <w:rFonts w:asciiTheme="majorHAnsi" w:hAnsiTheme="majorHAnsi"/>
          <w:sz w:val="20"/>
          <w:szCs w:val="20"/>
        </w:rPr>
        <w:t>обсягу</w:t>
      </w:r>
    </w:p>
    <w:p w14:paraId="299772E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 – 97</w:t>
      </w:r>
    </w:p>
    <w:p w14:paraId="321FA79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СЕРЕДНІЙ</w:t>
      </w:r>
      <w:r w:rsidRPr="000977F7">
        <w:rPr>
          <w:color w:val="auto"/>
          <w:spacing w:val="-4"/>
          <w:sz w:val="20"/>
          <w:szCs w:val="20"/>
        </w:rPr>
        <w:t xml:space="preserve"> </w:t>
      </w:r>
      <w:r w:rsidRPr="000977F7">
        <w:rPr>
          <w:color w:val="auto"/>
          <w:sz w:val="20"/>
          <w:szCs w:val="20"/>
        </w:rPr>
        <w:t>ТЕРМІН</w:t>
      </w:r>
      <w:r w:rsidRPr="000977F7">
        <w:rPr>
          <w:color w:val="auto"/>
          <w:spacing w:val="-3"/>
          <w:sz w:val="20"/>
          <w:szCs w:val="20"/>
        </w:rPr>
        <w:t xml:space="preserve"> </w:t>
      </w:r>
      <w:r w:rsidRPr="000977F7">
        <w:rPr>
          <w:color w:val="auto"/>
          <w:sz w:val="20"/>
          <w:szCs w:val="20"/>
        </w:rPr>
        <w:t>ЗБЕРЕЖУВАНОСТІ</w:t>
      </w:r>
      <w:r w:rsidRPr="000977F7">
        <w:rPr>
          <w:color w:val="auto"/>
          <w:spacing w:val="-1"/>
          <w:sz w:val="20"/>
          <w:szCs w:val="20"/>
        </w:rPr>
        <w:t xml:space="preserve"> </w:t>
      </w:r>
      <w:r w:rsidRPr="000977F7">
        <w:rPr>
          <w:color w:val="auto"/>
          <w:sz w:val="20"/>
          <w:szCs w:val="20"/>
        </w:rPr>
        <w:t>–</w:t>
      </w:r>
    </w:p>
    <w:p w14:paraId="036E058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MEAN STORAGE</w:t>
      </w:r>
      <w:r w:rsidRPr="000977F7">
        <w:rPr>
          <w:rFonts w:asciiTheme="majorHAnsi" w:hAnsiTheme="majorHAnsi"/>
          <w:spacing w:val="-1"/>
          <w:sz w:val="20"/>
          <w:szCs w:val="20"/>
        </w:rPr>
        <w:t xml:space="preserve"> </w:t>
      </w:r>
      <w:r w:rsidRPr="000977F7">
        <w:rPr>
          <w:rFonts w:asciiTheme="majorHAnsi" w:hAnsiTheme="majorHAnsi"/>
          <w:sz w:val="20"/>
          <w:szCs w:val="20"/>
        </w:rPr>
        <w:t>TIME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ED60D0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Математичне</w:t>
      </w:r>
      <w:r w:rsidRPr="000977F7">
        <w:rPr>
          <w:rFonts w:asciiTheme="majorHAnsi" w:hAnsiTheme="majorHAnsi"/>
          <w:spacing w:val="-5"/>
          <w:sz w:val="20"/>
          <w:szCs w:val="20"/>
        </w:rPr>
        <w:t xml:space="preserve"> </w:t>
      </w:r>
      <w:r w:rsidRPr="000977F7">
        <w:rPr>
          <w:rFonts w:asciiTheme="majorHAnsi" w:hAnsiTheme="majorHAnsi"/>
          <w:sz w:val="20"/>
          <w:szCs w:val="20"/>
        </w:rPr>
        <w:t>сподівання</w:t>
      </w:r>
      <w:r w:rsidRPr="000977F7">
        <w:rPr>
          <w:rFonts w:asciiTheme="majorHAnsi" w:hAnsiTheme="majorHAnsi"/>
          <w:spacing w:val="-5"/>
          <w:sz w:val="20"/>
          <w:szCs w:val="20"/>
        </w:rPr>
        <w:t xml:space="preserve"> </w:t>
      </w:r>
      <w:r w:rsidRPr="000977F7">
        <w:rPr>
          <w:rFonts w:asciiTheme="majorHAnsi" w:hAnsiTheme="majorHAnsi"/>
          <w:sz w:val="20"/>
          <w:szCs w:val="20"/>
        </w:rPr>
        <w:t>строку</w:t>
      </w:r>
      <w:r w:rsidRPr="000977F7">
        <w:rPr>
          <w:rFonts w:asciiTheme="majorHAnsi" w:hAnsiTheme="majorHAnsi"/>
          <w:spacing w:val="-8"/>
          <w:sz w:val="20"/>
          <w:szCs w:val="20"/>
        </w:rPr>
        <w:t xml:space="preserve"> </w:t>
      </w:r>
      <w:r w:rsidRPr="000977F7">
        <w:rPr>
          <w:rFonts w:asciiTheme="majorHAnsi" w:hAnsiTheme="majorHAnsi"/>
          <w:sz w:val="20"/>
          <w:szCs w:val="20"/>
        </w:rPr>
        <w:t>збережуваності</w:t>
      </w:r>
    </w:p>
    <w:p w14:paraId="64BF170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1E3D5B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СЕРЕДНІЙ</w:t>
      </w:r>
      <w:r w:rsidRPr="000977F7">
        <w:rPr>
          <w:color w:val="auto"/>
          <w:spacing w:val="-3"/>
          <w:sz w:val="20"/>
          <w:szCs w:val="20"/>
        </w:rPr>
        <w:t xml:space="preserve"> </w:t>
      </w:r>
      <w:r w:rsidRPr="000977F7">
        <w:rPr>
          <w:color w:val="auto"/>
          <w:sz w:val="20"/>
          <w:szCs w:val="20"/>
        </w:rPr>
        <w:t>ТЕРМІН</w:t>
      </w:r>
      <w:r w:rsidRPr="000977F7">
        <w:rPr>
          <w:color w:val="auto"/>
          <w:spacing w:val="-2"/>
          <w:sz w:val="20"/>
          <w:szCs w:val="20"/>
        </w:rPr>
        <w:t xml:space="preserve"> </w:t>
      </w:r>
      <w:r w:rsidRPr="000977F7">
        <w:rPr>
          <w:color w:val="auto"/>
          <w:sz w:val="20"/>
          <w:szCs w:val="20"/>
        </w:rPr>
        <w:t>СЛУЖБИ</w:t>
      </w:r>
      <w:r w:rsidRPr="000977F7">
        <w:rPr>
          <w:color w:val="auto"/>
          <w:spacing w:val="1"/>
          <w:sz w:val="20"/>
          <w:szCs w:val="20"/>
        </w:rPr>
        <w:t xml:space="preserve"> </w:t>
      </w:r>
      <w:r w:rsidRPr="000977F7">
        <w:rPr>
          <w:color w:val="auto"/>
          <w:sz w:val="20"/>
          <w:szCs w:val="20"/>
        </w:rPr>
        <w:t>–</w:t>
      </w:r>
    </w:p>
    <w:p w14:paraId="6C8B9E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MEAN</w:t>
      </w:r>
      <w:r w:rsidRPr="000977F7">
        <w:rPr>
          <w:rFonts w:asciiTheme="majorHAnsi" w:hAnsiTheme="majorHAnsi"/>
          <w:spacing w:val="-1"/>
          <w:sz w:val="20"/>
          <w:szCs w:val="20"/>
        </w:rPr>
        <w:t xml:space="preserve"> </w:t>
      </w:r>
      <w:r w:rsidRPr="000977F7">
        <w:rPr>
          <w:rFonts w:asciiTheme="majorHAnsi" w:hAnsiTheme="majorHAnsi"/>
          <w:sz w:val="20"/>
          <w:szCs w:val="20"/>
        </w:rPr>
        <w:t>LIFE</w:t>
      </w:r>
      <w:r w:rsidRPr="000977F7">
        <w:rPr>
          <w:rFonts w:asciiTheme="majorHAnsi" w:hAnsiTheme="majorHAnsi"/>
          <w:spacing w:val="-3"/>
          <w:sz w:val="20"/>
          <w:szCs w:val="20"/>
        </w:rPr>
        <w:t xml:space="preserve"> </w:t>
      </w:r>
      <w:r w:rsidRPr="000977F7">
        <w:rPr>
          <w:rFonts w:asciiTheme="majorHAnsi" w:hAnsiTheme="majorHAnsi"/>
          <w:sz w:val="20"/>
          <w:szCs w:val="20"/>
        </w:rPr>
        <w:t>ТІМЕ</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3413C5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Математичне</w:t>
      </w:r>
      <w:r w:rsidRPr="000977F7">
        <w:rPr>
          <w:rFonts w:asciiTheme="majorHAnsi" w:hAnsiTheme="majorHAnsi"/>
          <w:spacing w:val="-4"/>
          <w:sz w:val="20"/>
          <w:szCs w:val="20"/>
        </w:rPr>
        <w:t xml:space="preserve"> </w:t>
      </w:r>
      <w:r w:rsidRPr="000977F7">
        <w:rPr>
          <w:rFonts w:asciiTheme="majorHAnsi" w:hAnsiTheme="majorHAnsi"/>
          <w:sz w:val="20"/>
          <w:szCs w:val="20"/>
        </w:rPr>
        <w:t>сподівання</w:t>
      </w:r>
      <w:r w:rsidRPr="000977F7">
        <w:rPr>
          <w:rFonts w:asciiTheme="majorHAnsi" w:hAnsiTheme="majorHAnsi"/>
          <w:spacing w:val="-1"/>
          <w:sz w:val="20"/>
          <w:szCs w:val="20"/>
        </w:rPr>
        <w:t xml:space="preserve"> </w:t>
      </w:r>
      <w:r w:rsidRPr="000977F7">
        <w:rPr>
          <w:rFonts w:asciiTheme="majorHAnsi" w:hAnsiTheme="majorHAnsi"/>
          <w:sz w:val="20"/>
          <w:szCs w:val="20"/>
        </w:rPr>
        <w:t>терміну</w:t>
      </w:r>
      <w:r w:rsidRPr="000977F7">
        <w:rPr>
          <w:rFonts w:asciiTheme="majorHAnsi" w:hAnsiTheme="majorHAnsi"/>
          <w:spacing w:val="-8"/>
          <w:sz w:val="20"/>
          <w:szCs w:val="20"/>
        </w:rPr>
        <w:t xml:space="preserve"> </w:t>
      </w:r>
      <w:r w:rsidRPr="000977F7">
        <w:rPr>
          <w:rFonts w:asciiTheme="majorHAnsi" w:hAnsiTheme="majorHAnsi"/>
          <w:sz w:val="20"/>
          <w:szCs w:val="20"/>
        </w:rPr>
        <w:t>служби</w:t>
      </w:r>
    </w:p>
    <w:p w14:paraId="38B4641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B6FBC2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СЕРЕДНІЙ</w:t>
      </w:r>
      <w:r w:rsidRPr="000977F7">
        <w:rPr>
          <w:color w:val="auto"/>
          <w:spacing w:val="-3"/>
          <w:sz w:val="20"/>
          <w:szCs w:val="20"/>
        </w:rPr>
        <w:t xml:space="preserve"> </w:t>
      </w:r>
      <w:r w:rsidRPr="000977F7">
        <w:rPr>
          <w:color w:val="auto"/>
          <w:sz w:val="20"/>
          <w:szCs w:val="20"/>
        </w:rPr>
        <w:t>ТЕРМІН</w:t>
      </w:r>
      <w:r w:rsidRPr="000977F7">
        <w:rPr>
          <w:color w:val="auto"/>
          <w:spacing w:val="-2"/>
          <w:sz w:val="20"/>
          <w:szCs w:val="20"/>
        </w:rPr>
        <w:t xml:space="preserve"> </w:t>
      </w:r>
      <w:r w:rsidRPr="000977F7">
        <w:rPr>
          <w:color w:val="auto"/>
          <w:sz w:val="20"/>
          <w:szCs w:val="20"/>
        </w:rPr>
        <w:t>СЛУЖБИ</w:t>
      </w:r>
      <w:r w:rsidRPr="000977F7">
        <w:rPr>
          <w:color w:val="auto"/>
          <w:spacing w:val="-3"/>
          <w:sz w:val="20"/>
          <w:szCs w:val="20"/>
        </w:rPr>
        <w:t xml:space="preserve"> </w:t>
      </w:r>
      <w:r w:rsidRPr="000977F7">
        <w:rPr>
          <w:color w:val="auto"/>
          <w:sz w:val="20"/>
          <w:szCs w:val="20"/>
        </w:rPr>
        <w:t>ДО</w:t>
      </w:r>
      <w:r w:rsidRPr="000977F7">
        <w:rPr>
          <w:color w:val="auto"/>
          <w:spacing w:val="-3"/>
          <w:sz w:val="20"/>
          <w:szCs w:val="20"/>
        </w:rPr>
        <w:t xml:space="preserve"> </w:t>
      </w:r>
      <w:r w:rsidRPr="000977F7">
        <w:rPr>
          <w:color w:val="auto"/>
          <w:sz w:val="20"/>
          <w:szCs w:val="20"/>
        </w:rPr>
        <w:t>СПИСАННЯ</w:t>
      </w:r>
      <w:r w:rsidRPr="000977F7">
        <w:rPr>
          <w:color w:val="auto"/>
          <w:spacing w:val="1"/>
          <w:sz w:val="20"/>
          <w:szCs w:val="20"/>
        </w:rPr>
        <w:t xml:space="preserve"> </w:t>
      </w:r>
      <w:r w:rsidRPr="000977F7">
        <w:rPr>
          <w:color w:val="auto"/>
          <w:sz w:val="20"/>
          <w:szCs w:val="20"/>
        </w:rPr>
        <w:t>–</w:t>
      </w:r>
    </w:p>
    <w:p w14:paraId="0893596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MEAN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USEFUL</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LIFE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SCRAPPING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17D88CEC" w14:textId="77777777" w:rsidR="0097612F" w:rsidRPr="000977F7" w:rsidRDefault="0097612F" w:rsidP="000977F7">
      <w:pPr>
        <w:pStyle w:val="af6"/>
        <w:tabs>
          <w:tab w:val="left" w:pos="284"/>
        </w:tabs>
        <w:spacing w:after="0"/>
        <w:ind w:left="170"/>
        <w:mirrorIndents/>
        <w:jc w:val="both"/>
        <w:rPr>
          <w:rFonts w:asciiTheme="majorHAnsi" w:hAnsiTheme="majorHAnsi"/>
          <w:spacing w:val="-4"/>
          <w:sz w:val="20"/>
          <w:szCs w:val="20"/>
        </w:rPr>
      </w:pPr>
      <w:r w:rsidRPr="000977F7">
        <w:rPr>
          <w:rFonts w:asciiTheme="majorHAnsi" w:hAnsiTheme="majorHAnsi"/>
          <w:spacing w:val="-4"/>
          <w:sz w:val="20"/>
          <w:szCs w:val="20"/>
        </w:rPr>
        <w:t>Середній термін служби від початку експлуатації об’єкта</w:t>
      </w:r>
      <w:r w:rsidRPr="000977F7">
        <w:rPr>
          <w:rFonts w:asciiTheme="majorHAnsi" w:hAnsiTheme="majorHAnsi"/>
          <w:spacing w:val="-47"/>
          <w:sz w:val="20"/>
          <w:szCs w:val="20"/>
        </w:rPr>
        <w:t xml:space="preserve"> </w:t>
      </w:r>
      <w:r w:rsidRPr="000977F7">
        <w:rPr>
          <w:rFonts w:asciiTheme="majorHAnsi" w:hAnsiTheme="majorHAnsi"/>
          <w:spacing w:val="-6"/>
          <w:sz w:val="20"/>
          <w:szCs w:val="20"/>
        </w:rPr>
        <w:t xml:space="preserve">до його списання, обумовленого </w:t>
      </w:r>
      <w:r w:rsidRPr="000977F7">
        <w:rPr>
          <w:rFonts w:asciiTheme="majorHAnsi" w:hAnsiTheme="majorHAnsi"/>
          <w:spacing w:val="-5"/>
          <w:sz w:val="20"/>
          <w:szCs w:val="20"/>
        </w:rPr>
        <w:t>граничним станом</w:t>
      </w:r>
      <w:r w:rsidRPr="000977F7">
        <w:rPr>
          <w:rFonts w:asciiTheme="majorHAnsi" w:hAnsiTheme="majorHAnsi"/>
          <w:spacing w:val="-4"/>
          <w:sz w:val="20"/>
          <w:szCs w:val="20"/>
        </w:rPr>
        <w:t xml:space="preserve"> </w:t>
      </w:r>
    </w:p>
    <w:p w14:paraId="69A2F36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
          <w:sz w:val="20"/>
          <w:szCs w:val="20"/>
        </w:rPr>
        <w:t>СЕРЕДНІЙ</w:t>
      </w:r>
      <w:r w:rsidRPr="000977F7">
        <w:rPr>
          <w:rFonts w:asciiTheme="majorHAnsi" w:hAnsiTheme="majorHAnsi"/>
          <w:b/>
          <w:spacing w:val="5"/>
          <w:sz w:val="20"/>
          <w:szCs w:val="20"/>
        </w:rPr>
        <w:t xml:space="preserve"> </w:t>
      </w:r>
      <w:r w:rsidRPr="000977F7">
        <w:rPr>
          <w:rFonts w:asciiTheme="majorHAnsi" w:hAnsiTheme="majorHAnsi"/>
          <w:b/>
          <w:sz w:val="20"/>
          <w:szCs w:val="20"/>
        </w:rPr>
        <w:t>ЧАС</w:t>
      </w:r>
      <w:r w:rsidRPr="000977F7">
        <w:rPr>
          <w:rFonts w:asciiTheme="majorHAnsi" w:hAnsiTheme="majorHAnsi"/>
          <w:b/>
          <w:spacing w:val="5"/>
          <w:sz w:val="20"/>
          <w:szCs w:val="20"/>
        </w:rPr>
        <w:t xml:space="preserve"> </w:t>
      </w:r>
      <w:r w:rsidRPr="000977F7">
        <w:rPr>
          <w:rFonts w:asciiTheme="majorHAnsi" w:hAnsiTheme="majorHAnsi"/>
          <w:b/>
          <w:sz w:val="20"/>
          <w:szCs w:val="20"/>
        </w:rPr>
        <w:t>АКТИВНОГО</w:t>
      </w:r>
      <w:r w:rsidRPr="000977F7">
        <w:rPr>
          <w:rFonts w:asciiTheme="majorHAnsi" w:hAnsiTheme="majorHAnsi"/>
          <w:b/>
          <w:spacing w:val="6"/>
          <w:sz w:val="20"/>
          <w:szCs w:val="20"/>
        </w:rPr>
        <w:t xml:space="preserve"> </w:t>
      </w:r>
      <w:r w:rsidRPr="000977F7">
        <w:rPr>
          <w:rFonts w:asciiTheme="majorHAnsi" w:hAnsiTheme="majorHAnsi"/>
          <w:b/>
          <w:sz w:val="20"/>
          <w:szCs w:val="20"/>
        </w:rPr>
        <w:t>РЕМОНТУ–</w:t>
      </w:r>
      <w:r w:rsidRPr="000977F7">
        <w:rPr>
          <w:rFonts w:asciiTheme="majorHAnsi" w:hAnsiTheme="majorHAnsi"/>
          <w:b/>
          <w:spacing w:val="1"/>
          <w:sz w:val="20"/>
          <w:szCs w:val="20"/>
        </w:rPr>
        <w:t xml:space="preserve"> </w:t>
      </w:r>
      <w:r w:rsidRPr="000977F7">
        <w:rPr>
          <w:rFonts w:asciiTheme="majorHAnsi" w:hAnsiTheme="majorHAnsi"/>
          <w:sz w:val="20"/>
          <w:szCs w:val="20"/>
        </w:rPr>
        <w:t>MEAN</w:t>
      </w:r>
      <w:r w:rsidRPr="000977F7">
        <w:rPr>
          <w:rFonts w:asciiTheme="majorHAnsi" w:hAnsiTheme="majorHAnsi"/>
          <w:spacing w:val="-1"/>
          <w:sz w:val="20"/>
          <w:szCs w:val="20"/>
        </w:rPr>
        <w:t xml:space="preserve"> </w:t>
      </w:r>
      <w:r w:rsidRPr="000977F7">
        <w:rPr>
          <w:rFonts w:asciiTheme="majorHAnsi" w:hAnsiTheme="majorHAnsi"/>
          <w:sz w:val="20"/>
          <w:szCs w:val="20"/>
        </w:rPr>
        <w:t>MAINТЕNANCE</w:t>
      </w:r>
      <w:r w:rsidRPr="000977F7">
        <w:rPr>
          <w:rFonts w:asciiTheme="majorHAnsi" w:hAnsiTheme="majorHAnsi"/>
          <w:spacing w:val="-1"/>
          <w:sz w:val="20"/>
          <w:szCs w:val="20"/>
        </w:rPr>
        <w:t xml:space="preserve"> </w:t>
      </w:r>
      <w:r w:rsidRPr="000977F7">
        <w:rPr>
          <w:rFonts w:asciiTheme="majorHAnsi" w:hAnsiTheme="majorHAnsi"/>
          <w:sz w:val="20"/>
          <w:szCs w:val="20"/>
        </w:rPr>
        <w:t>MAN</w:t>
      </w:r>
      <w:r w:rsidRPr="000977F7">
        <w:rPr>
          <w:rFonts w:asciiTheme="majorHAnsi" w:hAnsiTheme="majorHAnsi"/>
          <w:spacing w:val="2"/>
          <w:sz w:val="20"/>
          <w:szCs w:val="20"/>
        </w:rPr>
        <w:t xml:space="preserve"> </w:t>
      </w:r>
      <w:r w:rsidRPr="000977F7">
        <w:rPr>
          <w:rFonts w:asciiTheme="majorHAnsi" w:hAnsiTheme="majorHAnsi"/>
          <w:sz w:val="20"/>
          <w:szCs w:val="20"/>
        </w:rPr>
        <w:t>– HOURS</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B61978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2"/>
          <w:sz w:val="20"/>
          <w:szCs w:val="20"/>
        </w:rPr>
        <w:t>Математичне</w:t>
      </w:r>
      <w:r w:rsidRPr="000977F7">
        <w:rPr>
          <w:rFonts w:asciiTheme="majorHAnsi" w:hAnsiTheme="majorHAnsi"/>
          <w:spacing w:val="-11"/>
          <w:sz w:val="20"/>
          <w:szCs w:val="20"/>
        </w:rPr>
        <w:t xml:space="preserve"> </w:t>
      </w:r>
      <w:r w:rsidRPr="000977F7">
        <w:rPr>
          <w:rFonts w:asciiTheme="majorHAnsi" w:hAnsiTheme="majorHAnsi"/>
          <w:spacing w:val="-2"/>
          <w:sz w:val="20"/>
          <w:szCs w:val="20"/>
        </w:rPr>
        <w:t>сподівання</w:t>
      </w:r>
      <w:r w:rsidRPr="000977F7">
        <w:rPr>
          <w:rFonts w:asciiTheme="majorHAnsi" w:hAnsiTheme="majorHAnsi"/>
          <w:spacing w:val="-9"/>
          <w:sz w:val="20"/>
          <w:szCs w:val="20"/>
        </w:rPr>
        <w:t xml:space="preserve"> </w:t>
      </w:r>
      <w:r w:rsidRPr="000977F7">
        <w:rPr>
          <w:rFonts w:asciiTheme="majorHAnsi" w:hAnsiTheme="majorHAnsi"/>
          <w:spacing w:val="-1"/>
          <w:sz w:val="20"/>
          <w:szCs w:val="20"/>
        </w:rPr>
        <w:t>тривалості</w:t>
      </w:r>
      <w:r w:rsidRPr="000977F7">
        <w:rPr>
          <w:rFonts w:asciiTheme="majorHAnsi" w:hAnsiTheme="majorHAnsi"/>
          <w:spacing w:val="-11"/>
          <w:sz w:val="20"/>
          <w:szCs w:val="20"/>
        </w:rPr>
        <w:t xml:space="preserve"> </w:t>
      </w:r>
      <w:r w:rsidRPr="000977F7">
        <w:rPr>
          <w:rFonts w:asciiTheme="majorHAnsi" w:hAnsiTheme="majorHAnsi"/>
          <w:spacing w:val="-1"/>
          <w:sz w:val="20"/>
          <w:szCs w:val="20"/>
        </w:rPr>
        <w:t>активного</w:t>
      </w:r>
      <w:r w:rsidRPr="000977F7">
        <w:rPr>
          <w:rFonts w:asciiTheme="majorHAnsi" w:hAnsiTheme="majorHAnsi"/>
          <w:spacing w:val="-10"/>
          <w:sz w:val="20"/>
          <w:szCs w:val="20"/>
        </w:rPr>
        <w:t xml:space="preserve"> </w:t>
      </w:r>
      <w:r w:rsidRPr="000977F7">
        <w:rPr>
          <w:rFonts w:asciiTheme="majorHAnsi" w:hAnsiTheme="majorHAnsi"/>
          <w:spacing w:val="-1"/>
          <w:sz w:val="20"/>
          <w:szCs w:val="20"/>
        </w:rPr>
        <w:t>ремонту</w:t>
      </w:r>
    </w:p>
    <w:p w14:paraId="59FFFF3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 94</w:t>
      </w:r>
    </w:p>
    <w:p w14:paraId="4CEE0E7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СЕРЕДНІЙ</w:t>
      </w:r>
      <w:r w:rsidRPr="000977F7">
        <w:rPr>
          <w:color w:val="auto"/>
          <w:spacing w:val="-3"/>
          <w:sz w:val="20"/>
          <w:szCs w:val="20"/>
        </w:rPr>
        <w:t xml:space="preserve"> </w:t>
      </w:r>
      <w:r w:rsidRPr="000977F7">
        <w:rPr>
          <w:color w:val="auto"/>
          <w:sz w:val="20"/>
          <w:szCs w:val="20"/>
        </w:rPr>
        <w:t>ЧАС</w:t>
      </w:r>
      <w:r w:rsidRPr="000977F7">
        <w:rPr>
          <w:color w:val="auto"/>
          <w:spacing w:val="-4"/>
          <w:sz w:val="20"/>
          <w:szCs w:val="20"/>
        </w:rPr>
        <w:t xml:space="preserve"> </w:t>
      </w:r>
      <w:r w:rsidRPr="000977F7">
        <w:rPr>
          <w:color w:val="auto"/>
          <w:sz w:val="20"/>
          <w:szCs w:val="20"/>
        </w:rPr>
        <w:t>ВІДНОВЛЕННЯ</w:t>
      </w:r>
      <w:r w:rsidRPr="000977F7">
        <w:rPr>
          <w:color w:val="auto"/>
          <w:spacing w:val="-1"/>
          <w:sz w:val="20"/>
          <w:szCs w:val="20"/>
        </w:rPr>
        <w:t xml:space="preserve"> </w:t>
      </w:r>
      <w:r w:rsidRPr="000977F7">
        <w:rPr>
          <w:color w:val="auto"/>
          <w:sz w:val="20"/>
          <w:szCs w:val="20"/>
        </w:rPr>
        <w:t>–</w:t>
      </w:r>
    </w:p>
    <w:p w14:paraId="63AE856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MEAN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REPAIRE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3940E93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Для відомого інтервалу часу використання функційного модуля (системи) – середній час, потрібний для</w:t>
      </w:r>
      <w:r w:rsidRPr="000977F7">
        <w:rPr>
          <w:rFonts w:asciiTheme="majorHAnsi" w:hAnsiTheme="majorHAnsi"/>
          <w:spacing w:val="1"/>
          <w:sz w:val="20"/>
          <w:szCs w:val="20"/>
        </w:rPr>
        <w:t xml:space="preserve"> </w:t>
      </w:r>
      <w:r w:rsidRPr="000977F7">
        <w:rPr>
          <w:rFonts w:asciiTheme="majorHAnsi" w:hAnsiTheme="majorHAnsi"/>
          <w:sz w:val="20"/>
          <w:szCs w:val="20"/>
        </w:rPr>
        <w:t>відновлення</w:t>
      </w:r>
      <w:r w:rsidRPr="000977F7">
        <w:rPr>
          <w:rFonts w:asciiTheme="majorHAnsi" w:hAnsiTheme="majorHAnsi"/>
          <w:spacing w:val="-2"/>
          <w:sz w:val="20"/>
          <w:szCs w:val="20"/>
        </w:rPr>
        <w:t xml:space="preserve"> </w:t>
      </w:r>
      <w:r w:rsidRPr="000977F7">
        <w:rPr>
          <w:rFonts w:asciiTheme="majorHAnsi" w:hAnsiTheme="majorHAnsi"/>
          <w:sz w:val="20"/>
          <w:szCs w:val="20"/>
        </w:rPr>
        <w:t>працездатності</w:t>
      </w:r>
    </w:p>
    <w:p w14:paraId="0A405F5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ISO/IEC</w:t>
      </w:r>
      <w:r w:rsidRPr="000977F7">
        <w:rPr>
          <w:rFonts w:asciiTheme="majorHAnsi" w:hAnsiTheme="majorHAnsi"/>
          <w:i/>
          <w:spacing w:val="-3"/>
          <w:sz w:val="20"/>
          <w:szCs w:val="20"/>
        </w:rPr>
        <w:t xml:space="preserve"> </w:t>
      </w:r>
      <w:r w:rsidRPr="000977F7">
        <w:rPr>
          <w:rFonts w:asciiTheme="majorHAnsi" w:hAnsiTheme="majorHAnsi"/>
          <w:i/>
          <w:sz w:val="20"/>
          <w:szCs w:val="20"/>
        </w:rPr>
        <w:t>2382:2017</w:t>
      </w:r>
    </w:p>
    <w:p w14:paraId="62965D7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СЕРЕДНІЙ ЧАС ВІДНОВЛЕННЯ </w:t>
      </w:r>
    </w:p>
    <w:p w14:paraId="3D8C049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ПРАЦЕЗДАТ</w:t>
      </w:r>
      <w:r w:rsidRPr="000977F7">
        <w:rPr>
          <w:color w:val="auto"/>
          <w:spacing w:val="-48"/>
          <w:sz w:val="20"/>
          <w:szCs w:val="20"/>
        </w:rPr>
        <w:t xml:space="preserve"> </w:t>
      </w:r>
      <w:r w:rsidRPr="000977F7">
        <w:rPr>
          <w:color w:val="auto"/>
          <w:sz w:val="20"/>
          <w:szCs w:val="20"/>
        </w:rPr>
        <w:t>НОСТІ -</w:t>
      </w:r>
    </w:p>
    <w:p w14:paraId="3F99838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8"/>
          <w:sz w:val="20"/>
          <w:szCs w:val="20"/>
        </w:rPr>
        <w:t>Математичне</w:t>
      </w:r>
      <w:r w:rsidRPr="000977F7">
        <w:rPr>
          <w:rFonts w:asciiTheme="majorHAnsi" w:hAnsiTheme="majorHAnsi"/>
          <w:spacing w:val="-16"/>
          <w:sz w:val="20"/>
          <w:szCs w:val="20"/>
        </w:rPr>
        <w:t xml:space="preserve"> </w:t>
      </w:r>
      <w:r w:rsidRPr="000977F7">
        <w:rPr>
          <w:rFonts w:asciiTheme="majorHAnsi" w:hAnsiTheme="majorHAnsi"/>
          <w:spacing w:val="-8"/>
          <w:sz w:val="20"/>
          <w:szCs w:val="20"/>
        </w:rPr>
        <w:t>сподівання</w:t>
      </w:r>
      <w:r w:rsidRPr="000977F7">
        <w:rPr>
          <w:rFonts w:asciiTheme="majorHAnsi" w:hAnsiTheme="majorHAnsi"/>
          <w:spacing w:val="-14"/>
          <w:sz w:val="20"/>
          <w:szCs w:val="20"/>
        </w:rPr>
        <w:t xml:space="preserve"> </w:t>
      </w:r>
      <w:r w:rsidRPr="000977F7">
        <w:rPr>
          <w:rFonts w:asciiTheme="majorHAnsi" w:hAnsiTheme="majorHAnsi"/>
          <w:spacing w:val="-8"/>
          <w:sz w:val="20"/>
          <w:szCs w:val="20"/>
        </w:rPr>
        <w:t>часу</w:t>
      </w:r>
      <w:r w:rsidRPr="000977F7">
        <w:rPr>
          <w:rFonts w:asciiTheme="majorHAnsi" w:hAnsiTheme="majorHAnsi"/>
          <w:spacing w:val="-17"/>
          <w:sz w:val="20"/>
          <w:szCs w:val="20"/>
        </w:rPr>
        <w:t xml:space="preserve"> </w:t>
      </w:r>
      <w:r w:rsidRPr="000977F7">
        <w:rPr>
          <w:rFonts w:asciiTheme="majorHAnsi" w:hAnsiTheme="majorHAnsi"/>
          <w:spacing w:val="-8"/>
          <w:sz w:val="20"/>
          <w:szCs w:val="20"/>
        </w:rPr>
        <w:t>відновлення</w:t>
      </w:r>
      <w:r w:rsidRPr="000977F7">
        <w:rPr>
          <w:rFonts w:asciiTheme="majorHAnsi" w:hAnsiTheme="majorHAnsi"/>
          <w:spacing w:val="-14"/>
          <w:sz w:val="20"/>
          <w:szCs w:val="20"/>
        </w:rPr>
        <w:t xml:space="preserve"> </w:t>
      </w:r>
      <w:r w:rsidRPr="000977F7">
        <w:rPr>
          <w:rFonts w:asciiTheme="majorHAnsi" w:hAnsiTheme="majorHAnsi"/>
          <w:spacing w:val="-7"/>
          <w:sz w:val="20"/>
          <w:szCs w:val="20"/>
        </w:rPr>
        <w:t>працездатності</w:t>
      </w:r>
    </w:p>
    <w:p w14:paraId="7F56B37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СЕРЕДНІЙ</w:t>
      </w:r>
      <w:r w:rsidRPr="000977F7">
        <w:rPr>
          <w:color w:val="auto"/>
          <w:spacing w:val="-1"/>
          <w:sz w:val="20"/>
          <w:szCs w:val="20"/>
        </w:rPr>
        <w:t xml:space="preserve"> </w:t>
      </w:r>
      <w:r w:rsidRPr="000977F7">
        <w:rPr>
          <w:color w:val="auto"/>
          <w:sz w:val="20"/>
          <w:szCs w:val="20"/>
        </w:rPr>
        <w:t>ЧАС</w:t>
      </w:r>
      <w:r w:rsidRPr="000977F7">
        <w:rPr>
          <w:color w:val="auto"/>
          <w:spacing w:val="-2"/>
          <w:sz w:val="20"/>
          <w:szCs w:val="20"/>
        </w:rPr>
        <w:t xml:space="preserve"> </w:t>
      </w:r>
      <w:r w:rsidRPr="000977F7">
        <w:rPr>
          <w:color w:val="auto"/>
          <w:sz w:val="20"/>
          <w:szCs w:val="20"/>
        </w:rPr>
        <w:t>МІЖ</w:t>
      </w:r>
      <w:r w:rsidRPr="000977F7">
        <w:rPr>
          <w:color w:val="auto"/>
          <w:spacing w:val="-5"/>
          <w:sz w:val="20"/>
          <w:szCs w:val="20"/>
        </w:rPr>
        <w:t xml:space="preserve"> </w:t>
      </w:r>
      <w:r w:rsidRPr="000977F7">
        <w:rPr>
          <w:color w:val="auto"/>
          <w:sz w:val="20"/>
          <w:szCs w:val="20"/>
        </w:rPr>
        <w:t>ВІДМОВАМИ</w:t>
      </w:r>
      <w:r w:rsidRPr="000977F7">
        <w:rPr>
          <w:color w:val="auto"/>
          <w:spacing w:val="1"/>
          <w:sz w:val="20"/>
          <w:szCs w:val="20"/>
        </w:rPr>
        <w:t xml:space="preserve"> </w:t>
      </w:r>
      <w:r w:rsidRPr="000977F7">
        <w:rPr>
          <w:color w:val="auto"/>
          <w:sz w:val="20"/>
          <w:szCs w:val="20"/>
        </w:rPr>
        <w:t>–</w:t>
      </w:r>
    </w:p>
    <w:p w14:paraId="3C30DB7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MEAN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BETWEEN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FAILURES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396127D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Середнє значення проміжку часу між двома послідовними відмовами при визначених умовах для визначеного періоду існування того або іншого функціонального блоку</w:t>
      </w:r>
    </w:p>
    <w:p w14:paraId="5F4276B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СЕРЕДНІЙ</w:t>
      </w:r>
      <w:r w:rsidRPr="000977F7">
        <w:rPr>
          <w:color w:val="auto"/>
          <w:spacing w:val="-3"/>
          <w:sz w:val="20"/>
          <w:szCs w:val="20"/>
        </w:rPr>
        <w:t xml:space="preserve"> </w:t>
      </w:r>
      <w:r w:rsidRPr="000977F7">
        <w:rPr>
          <w:color w:val="auto"/>
          <w:sz w:val="20"/>
          <w:szCs w:val="20"/>
        </w:rPr>
        <w:t>ЧАС</w:t>
      </w:r>
      <w:r w:rsidRPr="000977F7">
        <w:rPr>
          <w:color w:val="auto"/>
          <w:spacing w:val="-3"/>
          <w:sz w:val="20"/>
          <w:szCs w:val="20"/>
        </w:rPr>
        <w:t xml:space="preserve"> </w:t>
      </w:r>
      <w:r w:rsidRPr="000977F7">
        <w:rPr>
          <w:color w:val="auto"/>
          <w:sz w:val="20"/>
          <w:szCs w:val="20"/>
        </w:rPr>
        <w:t>ОЧІКУВАННЯ</w:t>
      </w:r>
      <w:r w:rsidRPr="000977F7">
        <w:rPr>
          <w:color w:val="auto"/>
          <w:spacing w:val="-4"/>
          <w:sz w:val="20"/>
          <w:szCs w:val="20"/>
        </w:rPr>
        <w:t xml:space="preserve"> </w:t>
      </w:r>
      <w:r w:rsidRPr="000977F7">
        <w:rPr>
          <w:color w:val="auto"/>
          <w:sz w:val="20"/>
          <w:szCs w:val="20"/>
        </w:rPr>
        <w:t>РЕМОНТУ</w:t>
      </w:r>
      <w:r w:rsidRPr="000977F7">
        <w:rPr>
          <w:color w:val="auto"/>
          <w:spacing w:val="1"/>
          <w:sz w:val="20"/>
          <w:szCs w:val="20"/>
        </w:rPr>
        <w:t xml:space="preserve"> </w:t>
      </w:r>
      <w:r w:rsidRPr="000977F7">
        <w:rPr>
          <w:color w:val="auto"/>
          <w:sz w:val="20"/>
          <w:szCs w:val="20"/>
        </w:rPr>
        <w:t>–</w:t>
      </w:r>
    </w:p>
    <w:p w14:paraId="13D11DE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MEAN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WAITING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REPAIR</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5873FA9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Математичне сподівання інтервалу часу від моменту</w:t>
      </w:r>
      <w:r w:rsidRPr="000977F7">
        <w:rPr>
          <w:rFonts w:asciiTheme="majorHAnsi" w:hAnsiTheme="majorHAnsi"/>
          <w:spacing w:val="1"/>
          <w:sz w:val="20"/>
          <w:szCs w:val="20"/>
        </w:rPr>
        <w:t xml:space="preserve"> </w:t>
      </w:r>
      <w:r w:rsidRPr="000977F7">
        <w:rPr>
          <w:rFonts w:asciiTheme="majorHAnsi" w:hAnsiTheme="majorHAnsi"/>
          <w:sz w:val="20"/>
          <w:szCs w:val="20"/>
        </w:rPr>
        <w:t>виникнення</w:t>
      </w:r>
      <w:r w:rsidRPr="000977F7">
        <w:rPr>
          <w:rFonts w:asciiTheme="majorHAnsi" w:hAnsiTheme="majorHAnsi"/>
          <w:spacing w:val="-2"/>
          <w:sz w:val="20"/>
          <w:szCs w:val="20"/>
        </w:rPr>
        <w:t xml:space="preserve"> </w:t>
      </w:r>
      <w:r w:rsidRPr="000977F7">
        <w:rPr>
          <w:rFonts w:asciiTheme="majorHAnsi" w:hAnsiTheme="majorHAnsi"/>
          <w:sz w:val="20"/>
          <w:szCs w:val="20"/>
        </w:rPr>
        <w:t>відмови</w:t>
      </w:r>
      <w:r w:rsidRPr="000977F7">
        <w:rPr>
          <w:rFonts w:asciiTheme="majorHAnsi" w:hAnsiTheme="majorHAnsi"/>
          <w:spacing w:val="-2"/>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початку</w:t>
      </w:r>
      <w:r w:rsidRPr="000977F7">
        <w:rPr>
          <w:rFonts w:asciiTheme="majorHAnsi" w:hAnsiTheme="majorHAnsi"/>
          <w:spacing w:val="-4"/>
          <w:sz w:val="20"/>
          <w:szCs w:val="20"/>
        </w:rPr>
        <w:t xml:space="preserve"> </w:t>
      </w:r>
      <w:r w:rsidRPr="000977F7">
        <w:rPr>
          <w:rFonts w:asciiTheme="majorHAnsi" w:hAnsiTheme="majorHAnsi"/>
          <w:sz w:val="20"/>
          <w:szCs w:val="20"/>
        </w:rPr>
        <w:t>ремонту</w:t>
      </w:r>
    </w:p>
    <w:p w14:paraId="746108A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СЕРЕДНІЙ</w:t>
      </w:r>
      <w:r w:rsidRPr="000977F7">
        <w:rPr>
          <w:color w:val="auto"/>
          <w:spacing w:val="-2"/>
          <w:sz w:val="20"/>
          <w:szCs w:val="20"/>
        </w:rPr>
        <w:t xml:space="preserve"> </w:t>
      </w:r>
      <w:r w:rsidRPr="000977F7">
        <w:rPr>
          <w:color w:val="auto"/>
          <w:sz w:val="20"/>
          <w:szCs w:val="20"/>
        </w:rPr>
        <w:t>ЧАС</w:t>
      </w:r>
      <w:r w:rsidRPr="000977F7">
        <w:rPr>
          <w:color w:val="auto"/>
          <w:spacing w:val="-2"/>
          <w:sz w:val="20"/>
          <w:szCs w:val="20"/>
        </w:rPr>
        <w:t xml:space="preserve"> </w:t>
      </w:r>
      <w:r w:rsidRPr="000977F7">
        <w:rPr>
          <w:color w:val="auto"/>
          <w:sz w:val="20"/>
          <w:szCs w:val="20"/>
        </w:rPr>
        <w:t>ПОШУКУ</w:t>
      </w:r>
      <w:r w:rsidRPr="000977F7">
        <w:rPr>
          <w:color w:val="auto"/>
          <w:spacing w:val="-2"/>
          <w:sz w:val="20"/>
          <w:szCs w:val="20"/>
        </w:rPr>
        <w:t xml:space="preserve"> </w:t>
      </w:r>
      <w:r w:rsidRPr="000977F7">
        <w:rPr>
          <w:color w:val="auto"/>
          <w:sz w:val="20"/>
          <w:szCs w:val="20"/>
        </w:rPr>
        <w:t>ВІДМОВИ -</w:t>
      </w:r>
    </w:p>
    <w:p w14:paraId="49960FC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MEAN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TIME TO</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IDENTIFY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FAILURE -</w:t>
      </w:r>
    </w:p>
    <w:p w14:paraId="1CE79A1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Математичне сподівання тривалості пошуку відмови</w:t>
      </w:r>
    </w:p>
    <w:p w14:paraId="7C0E12B4"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СЕРЕДНІЙ</w:t>
      </w:r>
      <w:r w:rsidRPr="000977F7">
        <w:rPr>
          <w:rFonts w:asciiTheme="majorHAnsi" w:hAnsiTheme="majorHAnsi"/>
          <w:b/>
          <w:spacing w:val="34"/>
          <w:sz w:val="20"/>
          <w:szCs w:val="20"/>
        </w:rPr>
        <w:t xml:space="preserve"> </w:t>
      </w:r>
      <w:r w:rsidRPr="000977F7">
        <w:rPr>
          <w:rFonts w:asciiTheme="majorHAnsi" w:hAnsiTheme="majorHAnsi"/>
          <w:b/>
          <w:sz w:val="20"/>
          <w:szCs w:val="20"/>
        </w:rPr>
        <w:t>ЧАС</w:t>
      </w:r>
      <w:r w:rsidRPr="000977F7">
        <w:rPr>
          <w:rFonts w:asciiTheme="majorHAnsi" w:hAnsiTheme="majorHAnsi"/>
          <w:b/>
          <w:spacing w:val="34"/>
          <w:sz w:val="20"/>
          <w:szCs w:val="20"/>
        </w:rPr>
        <w:t xml:space="preserve"> </w:t>
      </w:r>
      <w:r w:rsidRPr="000977F7">
        <w:rPr>
          <w:rFonts w:asciiTheme="majorHAnsi" w:hAnsiTheme="majorHAnsi"/>
          <w:b/>
          <w:sz w:val="20"/>
          <w:szCs w:val="20"/>
        </w:rPr>
        <w:t>ПРОСТОЮ,</w:t>
      </w:r>
      <w:r w:rsidRPr="000977F7">
        <w:rPr>
          <w:rFonts w:asciiTheme="majorHAnsi" w:hAnsiTheme="majorHAnsi"/>
          <w:b/>
          <w:spacing w:val="34"/>
          <w:sz w:val="20"/>
          <w:szCs w:val="20"/>
        </w:rPr>
        <w:t xml:space="preserve"> </w:t>
      </w:r>
      <w:r w:rsidRPr="000977F7">
        <w:rPr>
          <w:rFonts w:asciiTheme="majorHAnsi" w:hAnsiTheme="majorHAnsi"/>
          <w:b/>
          <w:sz w:val="20"/>
          <w:szCs w:val="20"/>
        </w:rPr>
        <w:t>ВИКЛИКАНОГО</w:t>
      </w:r>
      <w:r w:rsidRPr="000977F7">
        <w:rPr>
          <w:rFonts w:asciiTheme="majorHAnsi" w:hAnsiTheme="majorHAnsi"/>
          <w:b/>
          <w:spacing w:val="-47"/>
          <w:sz w:val="20"/>
          <w:szCs w:val="20"/>
        </w:rPr>
        <w:t xml:space="preserve"> </w:t>
      </w:r>
      <w:r w:rsidRPr="000977F7">
        <w:rPr>
          <w:rFonts w:asciiTheme="majorHAnsi" w:hAnsiTheme="majorHAnsi"/>
          <w:b/>
          <w:sz w:val="20"/>
          <w:szCs w:val="20"/>
        </w:rPr>
        <w:t>ВІДМОВОЮ</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42F07AC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MEAN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DOWN-TIME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DUE TO</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FAILURE -</w:t>
      </w:r>
    </w:p>
    <w:p w14:paraId="1EA1FF3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Математичне сподівання тривалості непрацездатного</w:t>
      </w:r>
      <w:r w:rsidRPr="000977F7">
        <w:rPr>
          <w:rFonts w:asciiTheme="majorHAnsi" w:hAnsiTheme="majorHAnsi"/>
          <w:spacing w:val="1"/>
          <w:sz w:val="20"/>
          <w:szCs w:val="20"/>
        </w:rPr>
        <w:t xml:space="preserve"> </w:t>
      </w:r>
      <w:r w:rsidRPr="000977F7">
        <w:rPr>
          <w:rFonts w:asciiTheme="majorHAnsi" w:hAnsiTheme="majorHAnsi"/>
          <w:sz w:val="20"/>
          <w:szCs w:val="20"/>
        </w:rPr>
        <w:t>стану</w:t>
      </w:r>
      <w:r w:rsidRPr="000977F7">
        <w:rPr>
          <w:rFonts w:asciiTheme="majorHAnsi" w:hAnsiTheme="majorHAnsi"/>
          <w:spacing w:val="-2"/>
          <w:sz w:val="20"/>
          <w:szCs w:val="20"/>
        </w:rPr>
        <w:t xml:space="preserve"> </w:t>
      </w:r>
      <w:r w:rsidRPr="000977F7">
        <w:rPr>
          <w:rFonts w:asciiTheme="majorHAnsi" w:hAnsiTheme="majorHAnsi"/>
          <w:sz w:val="20"/>
          <w:szCs w:val="20"/>
        </w:rPr>
        <w:t>об’єкта, обумовленого</w:t>
      </w:r>
      <w:r w:rsidRPr="000977F7">
        <w:rPr>
          <w:rFonts w:asciiTheme="majorHAnsi" w:hAnsiTheme="majorHAnsi"/>
          <w:spacing w:val="3"/>
          <w:sz w:val="20"/>
          <w:szCs w:val="20"/>
        </w:rPr>
        <w:t xml:space="preserve"> </w:t>
      </w:r>
      <w:r w:rsidRPr="000977F7">
        <w:rPr>
          <w:rFonts w:asciiTheme="majorHAnsi" w:hAnsiTheme="majorHAnsi"/>
          <w:sz w:val="20"/>
          <w:szCs w:val="20"/>
        </w:rPr>
        <w:t>відмовою</w:t>
      </w:r>
    </w:p>
    <w:p w14:paraId="47C927F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СЕРЕДНІЙ</w:t>
      </w:r>
      <w:r w:rsidRPr="000977F7">
        <w:rPr>
          <w:color w:val="auto"/>
          <w:spacing w:val="-2"/>
          <w:sz w:val="20"/>
          <w:szCs w:val="20"/>
        </w:rPr>
        <w:t xml:space="preserve"> </w:t>
      </w:r>
      <w:r w:rsidRPr="000977F7">
        <w:rPr>
          <w:color w:val="auto"/>
          <w:sz w:val="20"/>
          <w:szCs w:val="20"/>
        </w:rPr>
        <w:t>ЧАС</w:t>
      </w:r>
      <w:r w:rsidRPr="000977F7">
        <w:rPr>
          <w:color w:val="auto"/>
          <w:spacing w:val="-3"/>
          <w:sz w:val="20"/>
          <w:szCs w:val="20"/>
        </w:rPr>
        <w:t xml:space="preserve"> </w:t>
      </w:r>
      <w:r w:rsidRPr="000977F7">
        <w:rPr>
          <w:color w:val="auto"/>
          <w:sz w:val="20"/>
          <w:szCs w:val="20"/>
        </w:rPr>
        <w:t>РЕМОНТУ</w:t>
      </w:r>
      <w:r w:rsidRPr="000977F7">
        <w:rPr>
          <w:color w:val="auto"/>
          <w:spacing w:val="-1"/>
          <w:sz w:val="20"/>
          <w:szCs w:val="20"/>
        </w:rPr>
        <w:t xml:space="preserve"> </w:t>
      </w:r>
      <w:r w:rsidRPr="000977F7">
        <w:rPr>
          <w:color w:val="auto"/>
          <w:sz w:val="20"/>
          <w:szCs w:val="20"/>
        </w:rPr>
        <w:t>–</w:t>
      </w:r>
    </w:p>
    <w:p w14:paraId="0B0FFF8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MEAN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REPAIR –</w:t>
      </w:r>
    </w:p>
    <w:p w14:paraId="7FCAF07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Математичне сподівання інтервалу часу від початку</w:t>
      </w:r>
      <w:r w:rsidRPr="000977F7">
        <w:rPr>
          <w:rFonts w:asciiTheme="majorHAnsi" w:hAnsiTheme="majorHAnsi"/>
          <w:spacing w:val="1"/>
          <w:sz w:val="20"/>
          <w:szCs w:val="20"/>
        </w:rPr>
        <w:t xml:space="preserve"> </w:t>
      </w:r>
      <w:r w:rsidRPr="000977F7">
        <w:rPr>
          <w:rFonts w:asciiTheme="majorHAnsi" w:hAnsiTheme="majorHAnsi"/>
          <w:sz w:val="20"/>
          <w:szCs w:val="20"/>
        </w:rPr>
        <w:t>ремонту до моменту закінчення відновлення справності</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працездатності</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2777692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СЕРЕДНІЙ ЧАС, ЩО ВИТРАЧАЄТЬСЯ НА </w:t>
      </w:r>
    </w:p>
    <w:p w14:paraId="2B0912D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w:t>
      </w:r>
      <w:r w:rsidRPr="000977F7">
        <w:rPr>
          <w:color w:val="auto"/>
          <w:spacing w:val="-48"/>
          <w:sz w:val="20"/>
          <w:szCs w:val="20"/>
        </w:rPr>
        <w:t xml:space="preserve"> </w:t>
      </w:r>
      <w:r w:rsidRPr="000977F7">
        <w:rPr>
          <w:color w:val="auto"/>
          <w:sz w:val="20"/>
          <w:szCs w:val="20"/>
        </w:rPr>
        <w:t>МОНТ</w:t>
      </w:r>
      <w:r w:rsidRPr="000977F7">
        <w:rPr>
          <w:color w:val="auto"/>
          <w:spacing w:val="-1"/>
          <w:sz w:val="20"/>
          <w:szCs w:val="20"/>
        </w:rPr>
        <w:t xml:space="preserve"> </w:t>
      </w:r>
      <w:r w:rsidRPr="000977F7">
        <w:rPr>
          <w:color w:val="auto"/>
          <w:sz w:val="20"/>
          <w:szCs w:val="20"/>
        </w:rPr>
        <w:t>–</w:t>
      </w:r>
    </w:p>
    <w:p w14:paraId="1624CB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MEAN</w:t>
      </w:r>
      <w:r w:rsidRPr="000977F7">
        <w:rPr>
          <w:rFonts w:asciiTheme="majorHAnsi" w:hAnsiTheme="majorHAnsi"/>
          <w:spacing w:val="-2"/>
          <w:sz w:val="20"/>
          <w:szCs w:val="20"/>
        </w:rPr>
        <w:t xml:space="preserve"> </w:t>
      </w:r>
      <w:r w:rsidRPr="000977F7">
        <w:rPr>
          <w:rFonts w:asciiTheme="majorHAnsi" w:hAnsiTheme="majorHAnsi"/>
          <w:sz w:val="20"/>
          <w:szCs w:val="20"/>
        </w:rPr>
        <w:t>TIME</w:t>
      </w:r>
      <w:r w:rsidRPr="000977F7">
        <w:rPr>
          <w:rFonts w:asciiTheme="majorHAnsi" w:hAnsiTheme="majorHAnsi"/>
          <w:spacing w:val="-1"/>
          <w:sz w:val="20"/>
          <w:szCs w:val="20"/>
        </w:rPr>
        <w:t xml:space="preserve"> </w:t>
      </w:r>
      <w:r w:rsidRPr="000977F7">
        <w:rPr>
          <w:rFonts w:asciiTheme="majorHAnsi" w:hAnsiTheme="majorHAnsi"/>
          <w:sz w:val="20"/>
          <w:szCs w:val="20"/>
        </w:rPr>
        <w:t>TO</w:t>
      </w:r>
      <w:r w:rsidRPr="000977F7">
        <w:rPr>
          <w:rFonts w:asciiTheme="majorHAnsi" w:hAnsiTheme="majorHAnsi"/>
          <w:spacing w:val="-2"/>
          <w:sz w:val="20"/>
          <w:szCs w:val="20"/>
        </w:rPr>
        <w:t xml:space="preserve"> </w:t>
      </w:r>
      <w:r w:rsidRPr="000977F7">
        <w:rPr>
          <w:rFonts w:asciiTheme="majorHAnsi" w:hAnsiTheme="majorHAnsi"/>
          <w:sz w:val="20"/>
          <w:szCs w:val="20"/>
        </w:rPr>
        <w:t>REPAIR –</w:t>
      </w:r>
    </w:p>
    <w:p w14:paraId="1CB1F1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Середній час, що витрачається на позаплановий поточний ремонт для визначеного періоду в існуванні функціонального блоку</w:t>
      </w:r>
    </w:p>
    <w:p w14:paraId="7191CBC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СЕРЕДНЯ</w:t>
      </w:r>
      <w:r w:rsidRPr="000977F7">
        <w:rPr>
          <w:color w:val="auto"/>
          <w:spacing w:val="-3"/>
          <w:sz w:val="20"/>
          <w:szCs w:val="20"/>
        </w:rPr>
        <w:t xml:space="preserve"> </w:t>
      </w:r>
      <w:r w:rsidRPr="000977F7">
        <w:rPr>
          <w:color w:val="auto"/>
          <w:sz w:val="20"/>
          <w:szCs w:val="20"/>
        </w:rPr>
        <w:t>ДОВЖИНА</w:t>
      </w:r>
      <w:r w:rsidRPr="000977F7">
        <w:rPr>
          <w:color w:val="auto"/>
          <w:spacing w:val="-3"/>
          <w:sz w:val="20"/>
          <w:szCs w:val="20"/>
        </w:rPr>
        <w:t xml:space="preserve"> </w:t>
      </w:r>
      <w:r w:rsidRPr="000977F7">
        <w:rPr>
          <w:color w:val="auto"/>
          <w:sz w:val="20"/>
          <w:szCs w:val="20"/>
        </w:rPr>
        <w:t>СЕРІЇ</w:t>
      </w:r>
      <w:r w:rsidRPr="000977F7">
        <w:rPr>
          <w:color w:val="auto"/>
          <w:spacing w:val="-4"/>
          <w:sz w:val="20"/>
          <w:szCs w:val="20"/>
        </w:rPr>
        <w:t xml:space="preserve"> </w:t>
      </w:r>
      <w:r w:rsidRPr="000977F7">
        <w:rPr>
          <w:color w:val="auto"/>
          <w:sz w:val="20"/>
          <w:szCs w:val="20"/>
        </w:rPr>
        <w:t>ВИБІРОК</w:t>
      </w:r>
      <w:r w:rsidRPr="000977F7">
        <w:rPr>
          <w:color w:val="auto"/>
          <w:spacing w:val="-2"/>
          <w:sz w:val="20"/>
          <w:szCs w:val="20"/>
        </w:rPr>
        <w:t xml:space="preserve"> </w:t>
      </w:r>
      <w:r w:rsidRPr="000977F7">
        <w:rPr>
          <w:color w:val="auto"/>
          <w:sz w:val="20"/>
          <w:szCs w:val="20"/>
        </w:rPr>
        <w:t>–</w:t>
      </w:r>
    </w:p>
    <w:p w14:paraId="0144294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AVERAGE</w:t>
      </w:r>
      <w:r w:rsidRPr="000977F7">
        <w:rPr>
          <w:rFonts w:asciiTheme="majorHAnsi" w:hAnsiTheme="majorHAnsi"/>
          <w:spacing w:val="-1"/>
          <w:sz w:val="20"/>
          <w:szCs w:val="20"/>
        </w:rPr>
        <w:t xml:space="preserve"> </w:t>
      </w:r>
      <w:r w:rsidRPr="000977F7">
        <w:rPr>
          <w:rFonts w:asciiTheme="majorHAnsi" w:hAnsiTheme="majorHAnsi"/>
          <w:sz w:val="20"/>
          <w:szCs w:val="20"/>
        </w:rPr>
        <w:t>RUN</w:t>
      </w:r>
      <w:r w:rsidRPr="000977F7">
        <w:rPr>
          <w:rFonts w:asciiTheme="majorHAnsi" w:hAnsiTheme="majorHAnsi"/>
          <w:spacing w:val="-1"/>
          <w:sz w:val="20"/>
          <w:szCs w:val="20"/>
        </w:rPr>
        <w:t xml:space="preserve"> </w:t>
      </w:r>
      <w:r w:rsidRPr="000977F7">
        <w:rPr>
          <w:rFonts w:asciiTheme="majorHAnsi" w:hAnsiTheme="majorHAnsi"/>
          <w:sz w:val="20"/>
          <w:szCs w:val="20"/>
        </w:rPr>
        <w:t>LENGHTH</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EF140D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Математичне</w:t>
      </w:r>
      <w:r w:rsidRPr="000977F7">
        <w:rPr>
          <w:rFonts w:asciiTheme="majorHAnsi" w:hAnsiTheme="majorHAnsi"/>
          <w:spacing w:val="-4"/>
          <w:sz w:val="20"/>
          <w:szCs w:val="20"/>
        </w:rPr>
        <w:t xml:space="preserve"> </w:t>
      </w:r>
      <w:r w:rsidRPr="000977F7">
        <w:rPr>
          <w:rFonts w:asciiTheme="majorHAnsi" w:hAnsiTheme="majorHAnsi"/>
          <w:sz w:val="20"/>
          <w:szCs w:val="20"/>
        </w:rPr>
        <w:t>сподівання</w:t>
      </w:r>
      <w:r w:rsidRPr="000977F7">
        <w:rPr>
          <w:rFonts w:asciiTheme="majorHAnsi" w:hAnsiTheme="majorHAnsi"/>
          <w:spacing w:val="44"/>
          <w:sz w:val="20"/>
          <w:szCs w:val="20"/>
        </w:rPr>
        <w:t xml:space="preserve"> </w:t>
      </w:r>
      <w:r w:rsidRPr="000977F7">
        <w:rPr>
          <w:rFonts w:asciiTheme="majorHAnsi" w:hAnsiTheme="majorHAnsi"/>
          <w:sz w:val="20"/>
          <w:szCs w:val="20"/>
        </w:rPr>
        <w:t>довжини</w:t>
      </w:r>
      <w:r w:rsidRPr="000977F7">
        <w:rPr>
          <w:rFonts w:asciiTheme="majorHAnsi" w:hAnsiTheme="majorHAnsi"/>
          <w:spacing w:val="-4"/>
          <w:sz w:val="20"/>
          <w:szCs w:val="20"/>
        </w:rPr>
        <w:t xml:space="preserve"> </w:t>
      </w:r>
      <w:r w:rsidRPr="000977F7">
        <w:rPr>
          <w:rFonts w:asciiTheme="majorHAnsi" w:hAnsiTheme="majorHAnsi"/>
          <w:sz w:val="20"/>
          <w:szCs w:val="20"/>
        </w:rPr>
        <w:t>серії</w:t>
      </w:r>
      <w:r w:rsidRPr="000977F7">
        <w:rPr>
          <w:rFonts w:asciiTheme="majorHAnsi" w:hAnsiTheme="majorHAnsi"/>
          <w:spacing w:val="-4"/>
          <w:sz w:val="20"/>
          <w:szCs w:val="20"/>
        </w:rPr>
        <w:t xml:space="preserve"> </w:t>
      </w:r>
      <w:r w:rsidRPr="000977F7">
        <w:rPr>
          <w:rFonts w:asciiTheme="majorHAnsi" w:hAnsiTheme="majorHAnsi"/>
          <w:sz w:val="20"/>
          <w:szCs w:val="20"/>
        </w:rPr>
        <w:t>вибірок</w:t>
      </w:r>
    </w:p>
    <w:p w14:paraId="785272F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0E107B4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noProof/>
          <w:color w:val="auto"/>
          <w:sz w:val="20"/>
          <w:szCs w:val="20"/>
          <w:lang w:val="ru-RU" w:eastAsia="ru-RU"/>
        </w:rPr>
        <w:drawing>
          <wp:anchor distT="0" distB="0" distL="0" distR="0" simplePos="0" relativeHeight="251675648" behindDoc="1" locked="0" layoutInCell="1" allowOverlap="1" wp14:anchorId="20256FA1" wp14:editId="57383D84">
            <wp:simplePos x="0" y="0"/>
            <wp:positionH relativeFrom="page">
              <wp:posOffset>914704</wp:posOffset>
            </wp:positionH>
            <wp:positionV relativeFrom="paragraph">
              <wp:posOffset>133552</wp:posOffset>
            </wp:positionV>
            <wp:extent cx="143256" cy="172212"/>
            <wp:effectExtent l="0" t="0" r="0" b="0"/>
            <wp:wrapNone/>
            <wp:docPr id="5166" name="image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80.png"/>
                    <pic:cNvPicPr/>
                  </pic:nvPicPr>
                  <pic:blipFill>
                    <a:blip r:embed="rId37" cstate="print"/>
                    <a:stretch>
                      <a:fillRect/>
                    </a:stretch>
                  </pic:blipFill>
                  <pic:spPr>
                    <a:xfrm>
                      <a:off x="0" y="0"/>
                      <a:ext cx="143256" cy="172212"/>
                    </a:xfrm>
                    <a:prstGeom prst="rect">
                      <a:avLst/>
                    </a:prstGeom>
                  </pic:spPr>
                </pic:pic>
              </a:graphicData>
            </a:graphic>
          </wp:anchor>
        </w:drawing>
      </w:r>
      <w:r w:rsidRPr="000977F7">
        <w:rPr>
          <w:color w:val="auto"/>
          <w:sz w:val="20"/>
          <w:szCs w:val="20"/>
        </w:rPr>
        <w:t>СЕРЕДНЯ ІНТЕНСИВНІСТЬ ВІДМОВ;</w:t>
      </w:r>
      <w:r w:rsidRPr="000977F7">
        <w:rPr>
          <w:color w:val="auto"/>
          <w:spacing w:val="-47"/>
          <w:sz w:val="20"/>
          <w:szCs w:val="20"/>
        </w:rPr>
        <w:t xml:space="preserve"> </w:t>
      </w:r>
      <w:r w:rsidRPr="000977F7">
        <w:rPr>
          <w:color w:val="auto"/>
          <w:sz w:val="20"/>
          <w:szCs w:val="20"/>
        </w:rPr>
        <w:t>(t</w:t>
      </w:r>
      <w:r w:rsidRPr="000977F7">
        <w:rPr>
          <w:color w:val="auto"/>
          <w:sz w:val="20"/>
          <w:szCs w:val="20"/>
          <w:vertAlign w:val="subscript"/>
        </w:rPr>
        <w:t>1</w:t>
      </w:r>
      <w:r w:rsidRPr="000977F7">
        <w:rPr>
          <w:color w:val="auto"/>
          <w:sz w:val="20"/>
          <w:szCs w:val="20"/>
        </w:rPr>
        <w:t>;</w:t>
      </w:r>
      <w:r w:rsidRPr="000977F7">
        <w:rPr>
          <w:color w:val="auto"/>
          <w:spacing w:val="-1"/>
          <w:sz w:val="20"/>
          <w:szCs w:val="20"/>
        </w:rPr>
        <w:t xml:space="preserve"> </w:t>
      </w:r>
      <w:r w:rsidRPr="000977F7">
        <w:rPr>
          <w:color w:val="auto"/>
          <w:sz w:val="20"/>
          <w:szCs w:val="20"/>
        </w:rPr>
        <w:t>t</w:t>
      </w:r>
      <w:r w:rsidRPr="000977F7">
        <w:rPr>
          <w:color w:val="auto"/>
          <w:sz w:val="20"/>
          <w:szCs w:val="20"/>
          <w:vertAlign w:val="subscript"/>
        </w:rPr>
        <w:t>2</w:t>
      </w:r>
      <w:r w:rsidRPr="000977F7">
        <w:rPr>
          <w:color w:val="auto"/>
          <w:sz w:val="20"/>
          <w:szCs w:val="20"/>
        </w:rPr>
        <w:t>)</w:t>
      </w:r>
      <w:r w:rsidRPr="000977F7">
        <w:rPr>
          <w:color w:val="auto"/>
          <w:spacing w:val="1"/>
          <w:sz w:val="20"/>
          <w:szCs w:val="20"/>
        </w:rPr>
        <w:t xml:space="preserve"> </w:t>
      </w:r>
      <w:r w:rsidRPr="000977F7">
        <w:rPr>
          <w:color w:val="auto"/>
          <w:sz w:val="20"/>
          <w:szCs w:val="20"/>
        </w:rPr>
        <w:t>–</w:t>
      </w:r>
    </w:p>
    <w:p w14:paraId="29562E6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MEAN</w:t>
      </w:r>
      <w:r w:rsidRPr="004D2D14">
        <w:rPr>
          <w:rFonts w:asciiTheme="majorHAnsi" w:hAnsiTheme="majorHAnsi"/>
          <w:spacing w:val="-1"/>
          <w:sz w:val="20"/>
          <w:szCs w:val="20"/>
          <w:lang w:val="uk-UA"/>
        </w:rPr>
        <w:t xml:space="preserve"> </w:t>
      </w:r>
      <w:r w:rsidRPr="000977F7">
        <w:rPr>
          <w:rFonts w:asciiTheme="majorHAnsi" w:hAnsiTheme="majorHAnsi"/>
          <w:sz w:val="20"/>
          <w:szCs w:val="20"/>
        </w:rPr>
        <w:t>FAILURE</w:t>
      </w:r>
      <w:r w:rsidRPr="004D2D14">
        <w:rPr>
          <w:rFonts w:asciiTheme="majorHAnsi" w:hAnsiTheme="majorHAnsi"/>
          <w:sz w:val="20"/>
          <w:szCs w:val="20"/>
          <w:lang w:val="uk-UA"/>
        </w:rPr>
        <w:t xml:space="preserve"> </w:t>
      </w:r>
      <w:r w:rsidRPr="000977F7">
        <w:rPr>
          <w:rFonts w:asciiTheme="majorHAnsi" w:hAnsiTheme="majorHAnsi"/>
          <w:sz w:val="20"/>
          <w:szCs w:val="20"/>
        </w:rPr>
        <w:t>RATE</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6A40116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Середнє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значення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інтенсивності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відмов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заданому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інтервалі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часу</w:t>
      </w:r>
    </w:p>
    <w:p w14:paraId="36E91F7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8682FA2" w14:textId="77777777" w:rsidR="0097612F" w:rsidRPr="000977F7" w:rsidRDefault="0097612F" w:rsidP="000977F7">
      <w:pPr>
        <w:tabs>
          <w:tab w:val="left" w:pos="284"/>
          <w:tab w:val="left" w:pos="2419"/>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СЕРЕДНЯ</w:t>
      </w:r>
      <w:r w:rsidRPr="000977F7">
        <w:rPr>
          <w:rFonts w:asciiTheme="majorHAnsi" w:hAnsiTheme="majorHAnsi"/>
          <w:b/>
          <w:spacing w:val="40"/>
          <w:sz w:val="20"/>
          <w:szCs w:val="20"/>
        </w:rPr>
        <w:t xml:space="preserve"> </w:t>
      </w:r>
      <w:r w:rsidRPr="000977F7">
        <w:rPr>
          <w:rFonts w:asciiTheme="majorHAnsi" w:hAnsiTheme="majorHAnsi"/>
          <w:b/>
          <w:sz w:val="20"/>
          <w:szCs w:val="20"/>
        </w:rPr>
        <w:t>ІНТЕНСИВНІСТЬ</w:t>
      </w:r>
      <w:r w:rsidRPr="000977F7">
        <w:rPr>
          <w:rFonts w:asciiTheme="majorHAnsi" w:hAnsiTheme="majorHAnsi"/>
          <w:b/>
          <w:spacing w:val="-47"/>
          <w:sz w:val="20"/>
          <w:szCs w:val="20"/>
        </w:rPr>
        <w:t xml:space="preserve">   </w:t>
      </w:r>
      <w:r w:rsidRPr="000977F7">
        <w:rPr>
          <w:rFonts w:asciiTheme="majorHAnsi" w:hAnsiTheme="majorHAnsi"/>
          <w:b/>
          <w:sz w:val="20"/>
          <w:szCs w:val="20"/>
        </w:rPr>
        <w:t>ВІДНОВЛЕННЯ;</w:t>
      </w:r>
    </w:p>
    <w:p w14:paraId="3FF81DD0" w14:textId="77777777" w:rsidR="0097612F" w:rsidRPr="000977F7" w:rsidRDefault="0097612F" w:rsidP="000977F7">
      <w:pPr>
        <w:tabs>
          <w:tab w:val="left" w:pos="284"/>
          <w:tab w:val="left" w:pos="2419"/>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t</w:t>
      </w:r>
      <w:r w:rsidRPr="000977F7">
        <w:rPr>
          <w:rFonts w:asciiTheme="majorHAnsi" w:hAnsiTheme="majorHAnsi"/>
          <w:b/>
          <w:sz w:val="20"/>
          <w:szCs w:val="20"/>
          <w:vertAlign w:val="subscript"/>
        </w:rPr>
        <w:t>1</w:t>
      </w:r>
      <w:r w:rsidRPr="000977F7">
        <w:rPr>
          <w:rFonts w:asciiTheme="majorHAnsi" w:hAnsiTheme="majorHAnsi"/>
          <w:b/>
          <w:sz w:val="20"/>
          <w:szCs w:val="20"/>
        </w:rPr>
        <w:t>; t</w:t>
      </w:r>
      <w:r w:rsidRPr="000977F7">
        <w:rPr>
          <w:rFonts w:asciiTheme="majorHAnsi" w:hAnsiTheme="majorHAnsi"/>
          <w:b/>
          <w:sz w:val="20"/>
          <w:szCs w:val="20"/>
          <w:vertAlign w:val="subscript"/>
        </w:rPr>
        <w:t>2</w:t>
      </w:r>
      <w:r w:rsidRPr="000977F7">
        <w:rPr>
          <w:rFonts w:asciiTheme="majorHAnsi" w:hAnsiTheme="majorHAnsi"/>
          <w:b/>
          <w:sz w:val="20"/>
          <w:szCs w:val="20"/>
        </w:rPr>
        <w:t>) –</w:t>
      </w:r>
    </w:p>
    <w:p w14:paraId="2C9C84BD" w14:textId="77777777" w:rsidR="0097612F" w:rsidRPr="000977F7" w:rsidRDefault="0097612F" w:rsidP="000977F7">
      <w:pPr>
        <w:tabs>
          <w:tab w:val="left" w:pos="284"/>
          <w:tab w:val="left" w:pos="2419"/>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MEAN</w:t>
      </w:r>
      <w:r w:rsidRPr="000977F7">
        <w:rPr>
          <w:rFonts w:asciiTheme="majorHAnsi" w:hAnsiTheme="majorHAnsi"/>
          <w:spacing w:val="1"/>
          <w:sz w:val="20"/>
          <w:szCs w:val="20"/>
        </w:rPr>
        <w:t xml:space="preserve"> </w:t>
      </w:r>
      <w:r w:rsidRPr="000977F7">
        <w:rPr>
          <w:rFonts w:asciiTheme="majorHAnsi" w:hAnsiTheme="majorHAnsi"/>
          <w:sz w:val="20"/>
          <w:szCs w:val="20"/>
        </w:rPr>
        <w:t>REPAIR</w:t>
      </w:r>
      <w:r w:rsidRPr="000977F7">
        <w:rPr>
          <w:rFonts w:asciiTheme="majorHAnsi" w:hAnsiTheme="majorHAnsi"/>
          <w:spacing w:val="-2"/>
          <w:sz w:val="20"/>
          <w:szCs w:val="20"/>
        </w:rPr>
        <w:t xml:space="preserve"> </w:t>
      </w:r>
      <w:r w:rsidRPr="000977F7">
        <w:rPr>
          <w:rFonts w:asciiTheme="majorHAnsi" w:hAnsiTheme="majorHAnsi"/>
          <w:sz w:val="20"/>
          <w:szCs w:val="20"/>
        </w:rPr>
        <w:t>RATE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0B9D07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Середнє значення інтенсивності відновлення в заданому</w:t>
      </w:r>
      <w:r w:rsidRPr="000977F7">
        <w:rPr>
          <w:rFonts w:asciiTheme="majorHAnsi" w:hAnsiTheme="majorHAnsi"/>
          <w:spacing w:val="-5"/>
          <w:sz w:val="20"/>
          <w:szCs w:val="20"/>
        </w:rPr>
        <w:t xml:space="preserve"> </w:t>
      </w:r>
      <w:r w:rsidRPr="000977F7">
        <w:rPr>
          <w:rFonts w:asciiTheme="majorHAnsi" w:hAnsiTheme="majorHAnsi"/>
          <w:sz w:val="20"/>
          <w:szCs w:val="20"/>
        </w:rPr>
        <w:t>інтервалі</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22400AD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DED117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СЕРЕДНЯ ОПЕРАТИВНА ВАРТІСТЬ </w:t>
      </w:r>
    </w:p>
    <w:p w14:paraId="5AC37B3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ПЛАНОВОГО (ПОЗАПЛАНОВОГО) КАПІТАЛЬНОГО</w:t>
      </w:r>
      <w:r w:rsidRPr="000977F7">
        <w:rPr>
          <w:color w:val="auto"/>
          <w:spacing w:val="-47"/>
          <w:sz w:val="20"/>
          <w:szCs w:val="20"/>
        </w:rPr>
        <w:t xml:space="preserve"> </w:t>
      </w:r>
      <w:r w:rsidRPr="000977F7">
        <w:rPr>
          <w:color w:val="auto"/>
          <w:sz w:val="20"/>
          <w:szCs w:val="20"/>
        </w:rPr>
        <w:t>РЕМОНТУ</w:t>
      </w:r>
      <w:r w:rsidRPr="000977F7">
        <w:rPr>
          <w:color w:val="auto"/>
          <w:spacing w:val="-1"/>
          <w:sz w:val="20"/>
          <w:szCs w:val="20"/>
        </w:rPr>
        <w:t xml:space="preserve"> </w:t>
      </w:r>
      <w:r w:rsidRPr="000977F7">
        <w:rPr>
          <w:color w:val="auto"/>
          <w:sz w:val="20"/>
          <w:szCs w:val="20"/>
        </w:rPr>
        <w:t>ДАНОГО</w:t>
      </w:r>
      <w:r w:rsidRPr="000977F7">
        <w:rPr>
          <w:color w:val="auto"/>
          <w:spacing w:val="1"/>
          <w:sz w:val="20"/>
          <w:szCs w:val="20"/>
        </w:rPr>
        <w:t xml:space="preserve"> </w:t>
      </w:r>
      <w:r w:rsidRPr="000977F7">
        <w:rPr>
          <w:color w:val="auto"/>
          <w:sz w:val="20"/>
          <w:szCs w:val="20"/>
        </w:rPr>
        <w:t>ВИДУ</w:t>
      </w:r>
      <w:r w:rsidRPr="000977F7">
        <w:rPr>
          <w:color w:val="auto"/>
          <w:spacing w:val="2"/>
          <w:sz w:val="20"/>
          <w:szCs w:val="20"/>
        </w:rPr>
        <w:t xml:space="preserve"> </w:t>
      </w:r>
      <w:r w:rsidRPr="000977F7">
        <w:rPr>
          <w:color w:val="auto"/>
          <w:sz w:val="20"/>
          <w:szCs w:val="20"/>
        </w:rPr>
        <w:t>–</w:t>
      </w:r>
    </w:p>
    <w:p w14:paraId="1859B76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Математичне сподівання оперативної вартості планового (позапланового) капітального ремонту даного виду</w:t>
      </w:r>
    </w:p>
    <w:p w14:paraId="44DECC61" w14:textId="77777777" w:rsidR="0097612F" w:rsidRPr="000977F7" w:rsidRDefault="0097612F" w:rsidP="000977F7">
      <w:pPr>
        <w:pStyle w:val="7"/>
        <w:tabs>
          <w:tab w:val="left" w:pos="284"/>
        </w:tabs>
        <w:spacing w:before="0" w:line="240" w:lineRule="auto"/>
        <w:ind w:left="170"/>
        <w:mirrorIndents/>
        <w:jc w:val="both"/>
        <w:rPr>
          <w:color w:val="auto"/>
          <w:spacing w:val="42"/>
          <w:sz w:val="20"/>
          <w:szCs w:val="20"/>
        </w:rPr>
      </w:pPr>
      <w:r w:rsidRPr="000977F7">
        <w:rPr>
          <w:color w:val="auto"/>
          <w:sz w:val="20"/>
          <w:szCs w:val="20"/>
        </w:rPr>
        <w:t>СЕРЕДНЯ</w:t>
      </w:r>
      <w:r w:rsidRPr="000977F7">
        <w:rPr>
          <w:color w:val="auto"/>
          <w:spacing w:val="42"/>
          <w:sz w:val="20"/>
          <w:szCs w:val="20"/>
        </w:rPr>
        <w:t xml:space="preserve"> </w:t>
      </w:r>
      <w:r w:rsidRPr="000977F7">
        <w:rPr>
          <w:color w:val="auto"/>
          <w:sz w:val="20"/>
          <w:szCs w:val="20"/>
        </w:rPr>
        <w:t>ОПЕРАТИВНА</w:t>
      </w:r>
      <w:r w:rsidRPr="000977F7">
        <w:rPr>
          <w:color w:val="auto"/>
          <w:spacing w:val="42"/>
          <w:sz w:val="20"/>
          <w:szCs w:val="20"/>
        </w:rPr>
        <w:t xml:space="preserve"> </w:t>
      </w:r>
      <w:r w:rsidRPr="000977F7">
        <w:rPr>
          <w:color w:val="auto"/>
          <w:sz w:val="20"/>
          <w:szCs w:val="20"/>
        </w:rPr>
        <w:t>ТРИВАЛІСТЬ</w:t>
      </w:r>
      <w:r w:rsidRPr="000977F7">
        <w:rPr>
          <w:color w:val="auto"/>
          <w:spacing w:val="42"/>
          <w:sz w:val="20"/>
          <w:szCs w:val="20"/>
        </w:rPr>
        <w:t xml:space="preserve"> </w:t>
      </w:r>
    </w:p>
    <w:p w14:paraId="325381C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w:t>
      </w:r>
      <w:r w:rsidRPr="000977F7">
        <w:rPr>
          <w:color w:val="auto"/>
          <w:spacing w:val="-47"/>
          <w:sz w:val="20"/>
          <w:szCs w:val="20"/>
        </w:rPr>
        <w:t xml:space="preserve"> </w:t>
      </w:r>
      <w:r w:rsidRPr="000977F7">
        <w:rPr>
          <w:color w:val="auto"/>
          <w:sz w:val="20"/>
          <w:szCs w:val="20"/>
        </w:rPr>
        <w:t>ПЛАНОВОГО РЕМОНТУ –</w:t>
      </w:r>
    </w:p>
    <w:p w14:paraId="48A66F4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MEAN</w:t>
      </w:r>
      <w:r w:rsidRPr="004D2D14">
        <w:rPr>
          <w:rFonts w:asciiTheme="majorHAnsi" w:hAnsiTheme="majorHAnsi"/>
          <w:spacing w:val="-2"/>
          <w:sz w:val="20"/>
          <w:szCs w:val="20"/>
          <w:lang w:val="uk-UA"/>
        </w:rPr>
        <w:t xml:space="preserve"> </w:t>
      </w:r>
      <w:r w:rsidRPr="000977F7">
        <w:rPr>
          <w:rFonts w:asciiTheme="majorHAnsi" w:hAnsiTheme="majorHAnsi"/>
          <w:sz w:val="20"/>
          <w:szCs w:val="20"/>
        </w:rPr>
        <w:t>ACTIVE</w:t>
      </w:r>
      <w:r w:rsidRPr="004D2D14">
        <w:rPr>
          <w:rFonts w:asciiTheme="majorHAnsi" w:hAnsiTheme="majorHAnsi"/>
          <w:spacing w:val="-2"/>
          <w:sz w:val="20"/>
          <w:szCs w:val="20"/>
          <w:lang w:val="uk-UA"/>
        </w:rPr>
        <w:t xml:space="preserve"> </w:t>
      </w:r>
      <w:r w:rsidRPr="000977F7">
        <w:rPr>
          <w:rFonts w:asciiTheme="majorHAnsi" w:hAnsiTheme="majorHAnsi"/>
          <w:sz w:val="20"/>
          <w:szCs w:val="20"/>
        </w:rPr>
        <w:t>CORRECTIVE</w:t>
      </w:r>
      <w:r w:rsidRPr="004D2D14">
        <w:rPr>
          <w:rFonts w:asciiTheme="majorHAnsi" w:hAnsiTheme="majorHAnsi"/>
          <w:spacing w:val="-3"/>
          <w:sz w:val="20"/>
          <w:szCs w:val="20"/>
          <w:lang w:val="uk-UA"/>
        </w:rPr>
        <w:t xml:space="preserve"> </w:t>
      </w:r>
      <w:r w:rsidRPr="000977F7">
        <w:rPr>
          <w:rFonts w:asciiTheme="majorHAnsi" w:hAnsiTheme="majorHAnsi"/>
          <w:sz w:val="20"/>
          <w:szCs w:val="20"/>
        </w:rPr>
        <w:t>MAINTENANCE</w:t>
      </w:r>
      <w:r w:rsidRPr="004D2D14">
        <w:rPr>
          <w:rFonts w:asciiTheme="majorHAnsi" w:hAnsiTheme="majorHAnsi"/>
          <w:sz w:val="20"/>
          <w:szCs w:val="20"/>
          <w:lang w:val="uk-UA"/>
        </w:rPr>
        <w:t xml:space="preserve"> –</w:t>
      </w:r>
    </w:p>
    <w:p w14:paraId="3407FBA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Математичне сподівання оперативної тривалості непланованого ремонту</w:t>
      </w:r>
    </w:p>
    <w:p w14:paraId="314D9E4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9BE635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СЕРЕДНЯ ОПЕРАТИВНА ВАРТІСТЬ ПЛАНОВОГО (ПОЗАПЛАНОВОГО) ПОТОЧНОГО РЕ</w:t>
      </w:r>
      <w:r w:rsidRPr="000977F7">
        <w:rPr>
          <w:color w:val="auto"/>
          <w:spacing w:val="-47"/>
          <w:sz w:val="20"/>
          <w:szCs w:val="20"/>
        </w:rPr>
        <w:t xml:space="preserve"> </w:t>
      </w:r>
      <w:r w:rsidRPr="000977F7">
        <w:rPr>
          <w:color w:val="auto"/>
          <w:sz w:val="20"/>
          <w:szCs w:val="20"/>
        </w:rPr>
        <w:t>МОНТУ)</w:t>
      </w:r>
      <w:r w:rsidRPr="000977F7">
        <w:rPr>
          <w:color w:val="auto"/>
          <w:spacing w:val="-1"/>
          <w:sz w:val="20"/>
          <w:szCs w:val="20"/>
        </w:rPr>
        <w:t xml:space="preserve"> </w:t>
      </w:r>
      <w:r w:rsidRPr="000977F7">
        <w:rPr>
          <w:color w:val="auto"/>
          <w:sz w:val="20"/>
          <w:szCs w:val="20"/>
        </w:rPr>
        <w:t>ДАНОГО</w:t>
      </w:r>
      <w:r w:rsidRPr="000977F7">
        <w:rPr>
          <w:color w:val="auto"/>
          <w:spacing w:val="1"/>
          <w:sz w:val="20"/>
          <w:szCs w:val="20"/>
        </w:rPr>
        <w:t xml:space="preserve"> </w:t>
      </w:r>
      <w:r w:rsidRPr="000977F7">
        <w:rPr>
          <w:color w:val="auto"/>
          <w:sz w:val="20"/>
          <w:szCs w:val="20"/>
        </w:rPr>
        <w:t>ВИДУ –</w:t>
      </w:r>
    </w:p>
    <w:p w14:paraId="67F4B3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Математичне сподівання оперативної вартості планового (позапланового) поточного ремонту даного виду за визначений період експлуатації або напрацювання </w:t>
      </w:r>
    </w:p>
    <w:p w14:paraId="3189B6C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СЕРЕДНЯ ОПЕРАТИВНА ВАРТІСТЬ </w:t>
      </w:r>
    </w:p>
    <w:p w14:paraId="0B35174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w:t>
      </w:r>
      <w:r w:rsidRPr="000977F7">
        <w:rPr>
          <w:color w:val="auto"/>
          <w:spacing w:val="-48"/>
          <w:sz w:val="20"/>
          <w:szCs w:val="20"/>
        </w:rPr>
        <w:t xml:space="preserve"> </w:t>
      </w:r>
      <w:r w:rsidRPr="000977F7">
        <w:rPr>
          <w:color w:val="auto"/>
          <w:sz w:val="20"/>
          <w:szCs w:val="20"/>
        </w:rPr>
        <w:t>НОГО</w:t>
      </w:r>
      <w:r w:rsidRPr="000977F7">
        <w:rPr>
          <w:color w:val="auto"/>
          <w:spacing w:val="-3"/>
          <w:sz w:val="20"/>
          <w:szCs w:val="20"/>
        </w:rPr>
        <w:t xml:space="preserve"> </w:t>
      </w:r>
      <w:r w:rsidRPr="000977F7">
        <w:rPr>
          <w:color w:val="auto"/>
          <w:sz w:val="20"/>
          <w:szCs w:val="20"/>
        </w:rPr>
        <w:t>ОБСЛУГОВУВАННЯ</w:t>
      </w:r>
      <w:r w:rsidRPr="000977F7">
        <w:rPr>
          <w:color w:val="auto"/>
          <w:spacing w:val="-4"/>
          <w:sz w:val="20"/>
          <w:szCs w:val="20"/>
        </w:rPr>
        <w:t xml:space="preserve"> </w:t>
      </w:r>
      <w:r w:rsidRPr="000977F7">
        <w:rPr>
          <w:color w:val="auto"/>
          <w:sz w:val="20"/>
          <w:szCs w:val="20"/>
        </w:rPr>
        <w:t>ДАНОГО</w:t>
      </w:r>
      <w:r w:rsidRPr="000977F7">
        <w:rPr>
          <w:color w:val="auto"/>
          <w:spacing w:val="-2"/>
          <w:sz w:val="20"/>
          <w:szCs w:val="20"/>
        </w:rPr>
        <w:t xml:space="preserve"> </w:t>
      </w:r>
      <w:r w:rsidRPr="000977F7">
        <w:rPr>
          <w:color w:val="auto"/>
          <w:sz w:val="20"/>
          <w:szCs w:val="20"/>
        </w:rPr>
        <w:t>ВИДУ –</w:t>
      </w:r>
    </w:p>
    <w:p w14:paraId="0ECAE0B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Математичне сподівання оперативної вартості технічного обслуговування даного виду за визначений період експлуатації або напрацювання</w:t>
      </w:r>
    </w:p>
    <w:p w14:paraId="181C028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СЕРЕДНЯ ОПЕРАТИВНА ТРИВАЛІСТЬ </w:t>
      </w:r>
      <w:r w:rsidRPr="000977F7">
        <w:rPr>
          <w:color w:val="auto"/>
          <w:sz w:val="20"/>
          <w:szCs w:val="20"/>
        </w:rPr>
        <w:br/>
        <w:t>ПЛАНОВОГО (ПОЗАПЛАНОВОГО) КАПІТАЛЬНО</w:t>
      </w:r>
      <w:r w:rsidRPr="000977F7">
        <w:rPr>
          <w:color w:val="auto"/>
          <w:spacing w:val="-47"/>
          <w:sz w:val="20"/>
          <w:szCs w:val="20"/>
        </w:rPr>
        <w:t xml:space="preserve"> </w:t>
      </w:r>
      <w:r w:rsidRPr="000977F7">
        <w:rPr>
          <w:color w:val="auto"/>
          <w:sz w:val="20"/>
          <w:szCs w:val="20"/>
        </w:rPr>
        <w:t xml:space="preserve">ГО РЕМОНТУ ДАНОГО </w:t>
      </w:r>
    </w:p>
    <w:p w14:paraId="059AEA4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ВИДУ</w:t>
      </w:r>
      <w:r w:rsidRPr="000977F7">
        <w:rPr>
          <w:color w:val="auto"/>
          <w:spacing w:val="3"/>
          <w:sz w:val="20"/>
          <w:szCs w:val="20"/>
        </w:rPr>
        <w:t xml:space="preserve"> </w:t>
      </w:r>
      <w:r w:rsidRPr="000977F7">
        <w:rPr>
          <w:color w:val="auto"/>
          <w:sz w:val="20"/>
          <w:szCs w:val="20"/>
        </w:rPr>
        <w:t>–</w:t>
      </w:r>
    </w:p>
    <w:p w14:paraId="2319DCA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Математичне сподівання оперативної тривалості планового (позапланового) капітального ремонту даного виду</w:t>
      </w:r>
    </w:p>
    <w:p w14:paraId="323334C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СЕРЕДНЯ ОПЕРАТИВНА ТРИВАЛІСТЬ </w:t>
      </w:r>
    </w:p>
    <w:p w14:paraId="717DB4E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ПЛАНОВОГО (ПОЗАПЛАНОВОГО) ПОТОЧНОГО</w:t>
      </w:r>
      <w:r w:rsidRPr="000977F7">
        <w:rPr>
          <w:color w:val="auto"/>
          <w:spacing w:val="-47"/>
          <w:sz w:val="20"/>
          <w:szCs w:val="20"/>
        </w:rPr>
        <w:t xml:space="preserve"> </w:t>
      </w:r>
      <w:r w:rsidRPr="000977F7">
        <w:rPr>
          <w:color w:val="auto"/>
          <w:sz w:val="20"/>
          <w:szCs w:val="20"/>
        </w:rPr>
        <w:t>РЕМОНТУ</w:t>
      </w:r>
      <w:r w:rsidRPr="000977F7">
        <w:rPr>
          <w:color w:val="auto"/>
          <w:spacing w:val="-1"/>
          <w:sz w:val="20"/>
          <w:szCs w:val="20"/>
        </w:rPr>
        <w:t xml:space="preserve"> </w:t>
      </w:r>
      <w:r w:rsidRPr="000977F7">
        <w:rPr>
          <w:color w:val="auto"/>
          <w:sz w:val="20"/>
          <w:szCs w:val="20"/>
        </w:rPr>
        <w:t>ДАНОГО</w:t>
      </w:r>
      <w:r w:rsidRPr="000977F7">
        <w:rPr>
          <w:color w:val="auto"/>
          <w:spacing w:val="1"/>
          <w:sz w:val="20"/>
          <w:szCs w:val="20"/>
        </w:rPr>
        <w:t xml:space="preserve"> </w:t>
      </w:r>
      <w:r w:rsidRPr="000977F7">
        <w:rPr>
          <w:color w:val="auto"/>
          <w:sz w:val="20"/>
          <w:szCs w:val="20"/>
        </w:rPr>
        <w:t>ВИДУ –</w:t>
      </w:r>
    </w:p>
    <w:p w14:paraId="7E90E0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Математичне сподівання оперативної тривалості планового (позапланового) поточного ремонту даного виду за визначений період експлуатації або напрацювання</w:t>
      </w:r>
    </w:p>
    <w:p w14:paraId="170AE47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 xml:space="preserve">СЕРЕДНЯ ОПЕРАТИВНА ТРИВАЛІСТЬ </w:t>
      </w:r>
    </w:p>
    <w:p w14:paraId="17EB846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w:t>
      </w:r>
      <w:r w:rsidRPr="000977F7">
        <w:rPr>
          <w:color w:val="auto"/>
          <w:spacing w:val="-48"/>
          <w:sz w:val="20"/>
          <w:szCs w:val="20"/>
        </w:rPr>
        <w:t xml:space="preserve"> </w:t>
      </w:r>
      <w:r w:rsidRPr="000977F7">
        <w:rPr>
          <w:color w:val="auto"/>
          <w:sz w:val="20"/>
          <w:szCs w:val="20"/>
        </w:rPr>
        <w:t>ЧНОГО</w:t>
      </w:r>
      <w:r w:rsidRPr="000977F7">
        <w:rPr>
          <w:color w:val="auto"/>
          <w:spacing w:val="-3"/>
          <w:sz w:val="20"/>
          <w:szCs w:val="20"/>
        </w:rPr>
        <w:t xml:space="preserve"> </w:t>
      </w:r>
      <w:r w:rsidRPr="000977F7">
        <w:rPr>
          <w:color w:val="auto"/>
          <w:sz w:val="20"/>
          <w:szCs w:val="20"/>
        </w:rPr>
        <w:t>ОБСЛУГОВУВАННЯ</w:t>
      </w:r>
      <w:r w:rsidRPr="000977F7">
        <w:rPr>
          <w:color w:val="auto"/>
          <w:spacing w:val="-3"/>
          <w:sz w:val="20"/>
          <w:szCs w:val="20"/>
        </w:rPr>
        <w:t xml:space="preserve"> </w:t>
      </w:r>
      <w:r w:rsidRPr="000977F7">
        <w:rPr>
          <w:color w:val="auto"/>
          <w:sz w:val="20"/>
          <w:szCs w:val="20"/>
        </w:rPr>
        <w:t>ДАНОГО</w:t>
      </w:r>
      <w:r w:rsidRPr="000977F7">
        <w:rPr>
          <w:color w:val="auto"/>
          <w:spacing w:val="-3"/>
          <w:sz w:val="20"/>
          <w:szCs w:val="20"/>
        </w:rPr>
        <w:t xml:space="preserve"> </w:t>
      </w:r>
      <w:r w:rsidRPr="000977F7">
        <w:rPr>
          <w:color w:val="auto"/>
          <w:sz w:val="20"/>
          <w:szCs w:val="20"/>
        </w:rPr>
        <w:t>ВИДУ</w:t>
      </w:r>
      <w:r w:rsidRPr="000977F7">
        <w:rPr>
          <w:color w:val="auto"/>
          <w:spacing w:val="1"/>
          <w:sz w:val="20"/>
          <w:szCs w:val="20"/>
        </w:rPr>
        <w:t xml:space="preserve"> </w:t>
      </w:r>
      <w:r w:rsidRPr="000977F7">
        <w:rPr>
          <w:color w:val="auto"/>
          <w:sz w:val="20"/>
          <w:szCs w:val="20"/>
        </w:rPr>
        <w:t>–</w:t>
      </w:r>
    </w:p>
    <w:p w14:paraId="4143D8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Математичне сподівання оперативної тривалості технічного обслуговування даного виду за визначений період експлуатації або напрацювання</w:t>
      </w:r>
    </w:p>
    <w:p w14:paraId="62E4320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СЕРЕДНЯ</w:t>
      </w:r>
      <w:r w:rsidRPr="000977F7">
        <w:rPr>
          <w:color w:val="auto"/>
          <w:spacing w:val="-10"/>
          <w:sz w:val="20"/>
          <w:szCs w:val="20"/>
        </w:rPr>
        <w:t xml:space="preserve"> </w:t>
      </w:r>
      <w:r w:rsidRPr="000977F7">
        <w:rPr>
          <w:color w:val="auto"/>
          <w:sz w:val="20"/>
          <w:szCs w:val="20"/>
        </w:rPr>
        <w:t>ОПЕРАТИВНА</w:t>
      </w:r>
      <w:r w:rsidRPr="000977F7">
        <w:rPr>
          <w:color w:val="auto"/>
          <w:spacing w:val="-9"/>
          <w:sz w:val="20"/>
          <w:szCs w:val="20"/>
        </w:rPr>
        <w:t xml:space="preserve"> </w:t>
      </w:r>
      <w:r w:rsidRPr="000977F7">
        <w:rPr>
          <w:color w:val="auto"/>
          <w:sz w:val="20"/>
          <w:szCs w:val="20"/>
        </w:rPr>
        <w:t>ТРУДОМІСТКІСТЬ</w:t>
      </w:r>
      <w:r w:rsidRPr="000977F7">
        <w:rPr>
          <w:color w:val="auto"/>
          <w:spacing w:val="-47"/>
          <w:sz w:val="20"/>
          <w:szCs w:val="20"/>
        </w:rPr>
        <w:t xml:space="preserve"> </w:t>
      </w:r>
      <w:r w:rsidRPr="000977F7">
        <w:rPr>
          <w:color w:val="auto"/>
          <w:sz w:val="20"/>
          <w:szCs w:val="20"/>
        </w:rPr>
        <w:t xml:space="preserve">ПЛАНОВОГО (ПОЗАПЛАНОВОГО) </w:t>
      </w:r>
    </w:p>
    <w:p w14:paraId="67607E99"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color w:val="auto"/>
          <w:sz w:val="20"/>
          <w:szCs w:val="20"/>
        </w:rPr>
        <w:t>КАПІТАЛЬНОГО РЕМОНТУ</w:t>
      </w:r>
      <w:r w:rsidRPr="000977F7">
        <w:rPr>
          <w:color w:val="auto"/>
          <w:spacing w:val="-1"/>
          <w:sz w:val="20"/>
          <w:szCs w:val="20"/>
        </w:rPr>
        <w:t xml:space="preserve"> </w:t>
      </w:r>
      <w:r w:rsidRPr="000977F7">
        <w:rPr>
          <w:color w:val="auto"/>
          <w:sz w:val="20"/>
          <w:szCs w:val="20"/>
        </w:rPr>
        <w:t>ДАНОГО ВИДУ</w:t>
      </w:r>
      <w:r w:rsidRPr="000977F7">
        <w:rPr>
          <w:color w:val="auto"/>
          <w:spacing w:val="2"/>
          <w:sz w:val="20"/>
          <w:szCs w:val="20"/>
        </w:rPr>
        <w:t xml:space="preserve"> </w:t>
      </w:r>
      <w:r w:rsidRPr="000977F7">
        <w:rPr>
          <w:color w:val="auto"/>
          <w:sz w:val="20"/>
          <w:szCs w:val="20"/>
        </w:rPr>
        <w:t>–</w:t>
      </w:r>
      <w:r w:rsidRPr="000977F7">
        <w:rPr>
          <w:b w:val="0"/>
          <w:bCs/>
          <w:color w:val="auto"/>
          <w:sz w:val="20"/>
          <w:szCs w:val="20"/>
        </w:rPr>
        <w:t>Математичне сподівання оперативної трудомісткості планового (позапланового) капітального ремонту даного виду</w:t>
      </w:r>
    </w:p>
    <w:p w14:paraId="7BE5B30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СЕРЕДНЯ ОПЕРАТИВНА ТРУДОМІСТКІСТЬ</w:t>
      </w:r>
      <w:r w:rsidRPr="000977F7">
        <w:rPr>
          <w:color w:val="auto"/>
          <w:spacing w:val="1"/>
          <w:sz w:val="20"/>
          <w:szCs w:val="20"/>
        </w:rPr>
        <w:t xml:space="preserve"> </w:t>
      </w:r>
      <w:r w:rsidRPr="000977F7">
        <w:rPr>
          <w:color w:val="auto"/>
          <w:sz w:val="20"/>
          <w:szCs w:val="20"/>
        </w:rPr>
        <w:t xml:space="preserve">ПЛАНОВОГО (ПОЗАПЛАНОВОГО) </w:t>
      </w:r>
    </w:p>
    <w:p w14:paraId="361238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ПОТОЧНО</w:t>
      </w:r>
      <w:r w:rsidRPr="000977F7">
        <w:rPr>
          <w:color w:val="auto"/>
          <w:spacing w:val="-47"/>
          <w:sz w:val="20"/>
          <w:szCs w:val="20"/>
        </w:rPr>
        <w:t xml:space="preserve"> </w:t>
      </w:r>
      <w:r w:rsidRPr="000977F7">
        <w:rPr>
          <w:color w:val="auto"/>
          <w:sz w:val="20"/>
          <w:szCs w:val="20"/>
        </w:rPr>
        <w:t>ГО РЕМОНТУ ДАНОГО ВИДУ</w:t>
      </w:r>
      <w:r w:rsidRPr="000977F7">
        <w:rPr>
          <w:color w:val="auto"/>
          <w:spacing w:val="3"/>
          <w:sz w:val="20"/>
          <w:szCs w:val="20"/>
        </w:rPr>
        <w:t xml:space="preserve"> </w:t>
      </w:r>
      <w:r w:rsidRPr="000977F7">
        <w:rPr>
          <w:color w:val="auto"/>
          <w:sz w:val="20"/>
          <w:szCs w:val="20"/>
        </w:rPr>
        <w:t>–</w:t>
      </w:r>
    </w:p>
    <w:p w14:paraId="7420F7C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Математичне сподівання оперативної трудомісткості</w:t>
      </w:r>
      <w:r w:rsidRPr="000977F7">
        <w:rPr>
          <w:rFonts w:asciiTheme="majorHAnsi" w:hAnsiTheme="majorHAnsi"/>
          <w:spacing w:val="1"/>
          <w:sz w:val="20"/>
          <w:szCs w:val="20"/>
        </w:rPr>
        <w:t xml:space="preserve"> </w:t>
      </w:r>
      <w:r w:rsidRPr="000977F7">
        <w:rPr>
          <w:rFonts w:asciiTheme="majorHAnsi" w:hAnsiTheme="majorHAnsi"/>
          <w:sz w:val="20"/>
          <w:szCs w:val="20"/>
        </w:rPr>
        <w:t>планового (позапланового) поточного ремонту даного</w:t>
      </w:r>
      <w:r w:rsidRPr="000977F7">
        <w:rPr>
          <w:rFonts w:asciiTheme="majorHAnsi" w:hAnsiTheme="majorHAnsi"/>
          <w:spacing w:val="1"/>
          <w:sz w:val="20"/>
          <w:szCs w:val="20"/>
        </w:rPr>
        <w:t xml:space="preserve"> </w:t>
      </w:r>
      <w:r w:rsidRPr="000977F7">
        <w:rPr>
          <w:rFonts w:asciiTheme="majorHAnsi" w:hAnsiTheme="majorHAnsi"/>
          <w:sz w:val="20"/>
          <w:szCs w:val="20"/>
        </w:rPr>
        <w:t>виду за визначений період експлуатації або напрацювання</w:t>
      </w:r>
    </w:p>
    <w:p w14:paraId="2FCEA48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СЕРЕДНЯ ОПЕРАТИВНА ТРУДОМІСТКІСТЬ</w:t>
      </w:r>
      <w:r w:rsidRPr="000977F7">
        <w:rPr>
          <w:color w:val="auto"/>
          <w:spacing w:val="1"/>
          <w:sz w:val="20"/>
          <w:szCs w:val="20"/>
        </w:rPr>
        <w:t xml:space="preserve"> </w:t>
      </w:r>
      <w:r w:rsidRPr="000977F7">
        <w:rPr>
          <w:color w:val="auto"/>
          <w:sz w:val="20"/>
          <w:szCs w:val="20"/>
        </w:rPr>
        <w:t>ТЕХНІЧНОГО ОБСЛУГОВУВАННЯ</w:t>
      </w:r>
      <w:r w:rsidRPr="000977F7">
        <w:rPr>
          <w:color w:val="auto"/>
          <w:spacing w:val="1"/>
          <w:sz w:val="20"/>
          <w:szCs w:val="20"/>
        </w:rPr>
        <w:t xml:space="preserve"> </w:t>
      </w:r>
      <w:r w:rsidRPr="000977F7">
        <w:rPr>
          <w:color w:val="auto"/>
          <w:sz w:val="20"/>
          <w:szCs w:val="20"/>
        </w:rPr>
        <w:t>ДАНОГО</w:t>
      </w:r>
      <w:r w:rsidRPr="000977F7">
        <w:rPr>
          <w:color w:val="auto"/>
          <w:spacing w:val="-47"/>
          <w:sz w:val="20"/>
          <w:szCs w:val="20"/>
        </w:rPr>
        <w:t xml:space="preserve"> </w:t>
      </w:r>
      <w:r w:rsidRPr="000977F7">
        <w:rPr>
          <w:color w:val="auto"/>
          <w:sz w:val="20"/>
          <w:szCs w:val="20"/>
        </w:rPr>
        <w:t>ВИДУ</w:t>
      </w:r>
      <w:r w:rsidRPr="000977F7">
        <w:rPr>
          <w:color w:val="auto"/>
          <w:spacing w:val="-1"/>
          <w:sz w:val="20"/>
          <w:szCs w:val="20"/>
        </w:rPr>
        <w:t xml:space="preserve"> </w:t>
      </w:r>
      <w:r w:rsidRPr="000977F7">
        <w:rPr>
          <w:color w:val="auto"/>
          <w:sz w:val="20"/>
          <w:szCs w:val="20"/>
        </w:rPr>
        <w:t>–</w:t>
      </w:r>
    </w:p>
    <w:p w14:paraId="25898B4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Математичне сподівання оперативної трудомісткості</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 обслуговування даного виду за визначений</w:t>
      </w:r>
      <w:r w:rsidRPr="000977F7">
        <w:rPr>
          <w:rFonts w:asciiTheme="majorHAnsi" w:hAnsiTheme="majorHAnsi"/>
          <w:spacing w:val="-47"/>
          <w:sz w:val="20"/>
          <w:szCs w:val="20"/>
        </w:rPr>
        <w:t xml:space="preserve"> </w:t>
      </w:r>
      <w:r w:rsidRPr="000977F7">
        <w:rPr>
          <w:rFonts w:asciiTheme="majorHAnsi" w:hAnsiTheme="majorHAnsi"/>
          <w:sz w:val="20"/>
          <w:szCs w:val="20"/>
        </w:rPr>
        <w:t>період</w:t>
      </w:r>
      <w:r w:rsidRPr="000977F7">
        <w:rPr>
          <w:rFonts w:asciiTheme="majorHAnsi" w:hAnsiTheme="majorHAnsi"/>
          <w:spacing w:val="-2"/>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2"/>
          <w:sz w:val="20"/>
          <w:szCs w:val="20"/>
        </w:rPr>
        <w:t xml:space="preserve"> </w:t>
      </w:r>
      <w:r w:rsidRPr="000977F7">
        <w:rPr>
          <w:rFonts w:asciiTheme="majorHAnsi" w:hAnsiTheme="majorHAnsi"/>
          <w:sz w:val="20"/>
          <w:szCs w:val="20"/>
        </w:rPr>
        <w:t>або напрацювання</w:t>
      </w:r>
    </w:p>
    <w:p w14:paraId="28B024C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СЕРЕДНЯ ПЕРІОДИЧНІСТЬ КОРИГУВАННЯ</w:t>
      </w:r>
      <w:r w:rsidRPr="000977F7">
        <w:rPr>
          <w:color w:val="auto"/>
          <w:spacing w:val="-48"/>
          <w:sz w:val="20"/>
          <w:szCs w:val="20"/>
        </w:rPr>
        <w:t xml:space="preserve"> </w:t>
      </w:r>
      <w:r w:rsidRPr="000977F7">
        <w:rPr>
          <w:color w:val="auto"/>
          <w:sz w:val="20"/>
          <w:szCs w:val="20"/>
        </w:rPr>
        <w:t>ТЕХНОЛОГІЧНОГО ПРОЦЕСУ</w:t>
      </w:r>
      <w:r w:rsidRPr="000977F7">
        <w:rPr>
          <w:color w:val="auto"/>
          <w:spacing w:val="2"/>
          <w:sz w:val="20"/>
          <w:szCs w:val="20"/>
        </w:rPr>
        <w:t xml:space="preserve"> </w:t>
      </w:r>
      <w:r w:rsidRPr="000977F7">
        <w:rPr>
          <w:color w:val="auto"/>
          <w:sz w:val="20"/>
          <w:szCs w:val="20"/>
        </w:rPr>
        <w:t>–</w:t>
      </w:r>
    </w:p>
    <w:p w14:paraId="087F391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Математичне</w:t>
      </w:r>
      <w:r w:rsidRPr="000977F7">
        <w:rPr>
          <w:rFonts w:asciiTheme="majorHAnsi" w:hAnsiTheme="majorHAnsi"/>
          <w:spacing w:val="1"/>
          <w:sz w:val="20"/>
          <w:szCs w:val="20"/>
        </w:rPr>
        <w:t xml:space="preserve"> </w:t>
      </w:r>
      <w:r w:rsidRPr="000977F7">
        <w:rPr>
          <w:rFonts w:asciiTheme="majorHAnsi" w:hAnsiTheme="majorHAnsi"/>
          <w:sz w:val="20"/>
          <w:szCs w:val="20"/>
        </w:rPr>
        <w:t>сподівання</w:t>
      </w:r>
      <w:r w:rsidRPr="000977F7">
        <w:rPr>
          <w:rFonts w:asciiTheme="majorHAnsi" w:hAnsiTheme="majorHAnsi"/>
          <w:spacing w:val="1"/>
          <w:sz w:val="20"/>
          <w:szCs w:val="20"/>
        </w:rPr>
        <w:t xml:space="preserve"> </w:t>
      </w:r>
      <w:r w:rsidRPr="000977F7">
        <w:rPr>
          <w:rFonts w:asciiTheme="majorHAnsi" w:hAnsiTheme="majorHAnsi"/>
          <w:sz w:val="20"/>
          <w:szCs w:val="20"/>
        </w:rPr>
        <w:t>числа</w:t>
      </w:r>
      <w:r w:rsidRPr="000977F7">
        <w:rPr>
          <w:rFonts w:asciiTheme="majorHAnsi" w:hAnsiTheme="majorHAnsi"/>
          <w:spacing w:val="1"/>
          <w:sz w:val="20"/>
          <w:szCs w:val="20"/>
        </w:rPr>
        <w:t xml:space="preserve"> </w:t>
      </w:r>
      <w:r w:rsidRPr="000977F7">
        <w:rPr>
          <w:rFonts w:asciiTheme="majorHAnsi" w:hAnsiTheme="majorHAnsi"/>
          <w:sz w:val="20"/>
          <w:szCs w:val="20"/>
        </w:rPr>
        <w:t>одиниць</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виробленої</w:t>
      </w:r>
      <w:r w:rsidRPr="000977F7">
        <w:rPr>
          <w:rFonts w:asciiTheme="majorHAnsi" w:hAnsiTheme="majorHAnsi"/>
          <w:spacing w:val="1"/>
          <w:sz w:val="20"/>
          <w:szCs w:val="20"/>
        </w:rPr>
        <w:t xml:space="preserve"> </w:t>
      </w:r>
      <w:r w:rsidRPr="000977F7">
        <w:rPr>
          <w:rFonts w:asciiTheme="majorHAnsi" w:hAnsiTheme="majorHAnsi"/>
          <w:sz w:val="20"/>
          <w:szCs w:val="20"/>
        </w:rPr>
        <w:t>між</w:t>
      </w:r>
      <w:r w:rsidRPr="000977F7">
        <w:rPr>
          <w:rFonts w:asciiTheme="majorHAnsi" w:hAnsiTheme="majorHAnsi"/>
          <w:spacing w:val="1"/>
          <w:sz w:val="20"/>
          <w:szCs w:val="20"/>
        </w:rPr>
        <w:t xml:space="preserve"> </w:t>
      </w:r>
      <w:r w:rsidRPr="000977F7">
        <w:rPr>
          <w:rFonts w:asciiTheme="majorHAnsi" w:hAnsiTheme="majorHAnsi"/>
          <w:sz w:val="20"/>
          <w:szCs w:val="20"/>
        </w:rPr>
        <w:t>налагоджуваннями</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47"/>
          <w:sz w:val="20"/>
          <w:szCs w:val="20"/>
        </w:rPr>
        <w:t xml:space="preserve"> </w:t>
      </w:r>
      <w:r w:rsidRPr="000977F7">
        <w:rPr>
          <w:rFonts w:asciiTheme="majorHAnsi" w:hAnsiTheme="majorHAnsi"/>
          <w:sz w:val="20"/>
          <w:szCs w:val="20"/>
        </w:rPr>
        <w:t>процесу</w:t>
      </w:r>
    </w:p>
    <w:p w14:paraId="13BED31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СЕРЕДНЯ ПЕРІОДИЧНІСТЬ НАЛАГОДЖЕННЯ</w:t>
      </w:r>
      <w:r w:rsidRPr="000977F7">
        <w:rPr>
          <w:color w:val="auto"/>
          <w:spacing w:val="-48"/>
          <w:sz w:val="20"/>
          <w:szCs w:val="20"/>
        </w:rPr>
        <w:t xml:space="preserve"> </w:t>
      </w:r>
      <w:r w:rsidRPr="000977F7">
        <w:rPr>
          <w:color w:val="auto"/>
          <w:sz w:val="20"/>
          <w:szCs w:val="20"/>
        </w:rPr>
        <w:t>ТЕХНОЛОГІЧНОГО ПРОЦЕСУ</w:t>
      </w:r>
      <w:r w:rsidRPr="000977F7">
        <w:rPr>
          <w:color w:val="auto"/>
          <w:spacing w:val="2"/>
          <w:sz w:val="20"/>
          <w:szCs w:val="20"/>
        </w:rPr>
        <w:t xml:space="preserve"> </w:t>
      </w:r>
      <w:r w:rsidRPr="000977F7">
        <w:rPr>
          <w:color w:val="auto"/>
          <w:sz w:val="20"/>
          <w:szCs w:val="20"/>
        </w:rPr>
        <w:t>–</w:t>
      </w:r>
    </w:p>
    <w:p w14:paraId="1AB4229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AVERAGE FREQUENCY OF PROCESS</w:t>
      </w:r>
      <w:r w:rsidRPr="004D2D14">
        <w:rPr>
          <w:rFonts w:asciiTheme="majorHAnsi" w:hAnsiTheme="majorHAnsi"/>
          <w:spacing w:val="-48"/>
          <w:sz w:val="20"/>
          <w:szCs w:val="20"/>
          <w:lang w:val="en-US"/>
        </w:rPr>
        <w:t xml:space="preserve"> </w:t>
      </w:r>
      <w:r w:rsidRPr="004D2D14">
        <w:rPr>
          <w:rFonts w:asciiTheme="majorHAnsi" w:hAnsiTheme="majorHAnsi"/>
          <w:sz w:val="20"/>
          <w:szCs w:val="20"/>
          <w:lang w:val="en-US"/>
        </w:rPr>
        <w:t>ADJUSTMENT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0B9FFE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Математичне сподівання кількості одиниць продукції,</w:t>
      </w:r>
      <w:r w:rsidRPr="000977F7">
        <w:rPr>
          <w:rFonts w:asciiTheme="majorHAnsi" w:hAnsiTheme="majorHAnsi"/>
          <w:spacing w:val="-47"/>
          <w:sz w:val="20"/>
          <w:szCs w:val="20"/>
        </w:rPr>
        <w:t xml:space="preserve"> </w:t>
      </w:r>
      <w:r w:rsidRPr="000977F7">
        <w:rPr>
          <w:rFonts w:asciiTheme="majorHAnsi" w:hAnsiTheme="majorHAnsi"/>
          <w:sz w:val="20"/>
          <w:szCs w:val="20"/>
        </w:rPr>
        <w:t>яка виготовлена між черговими налагодженнями технологічного процесу</w:t>
      </w:r>
    </w:p>
    <w:p w14:paraId="1401D98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2602D71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СЕРЕДНЯ СУМАРНА ОПЕРАТИВНА</w:t>
      </w:r>
      <w:r w:rsidRPr="000977F7">
        <w:rPr>
          <w:color w:val="auto"/>
          <w:spacing w:val="1"/>
          <w:sz w:val="20"/>
          <w:szCs w:val="20"/>
        </w:rPr>
        <w:t xml:space="preserve"> </w:t>
      </w:r>
      <w:r w:rsidRPr="000977F7">
        <w:rPr>
          <w:color w:val="auto"/>
          <w:sz w:val="20"/>
          <w:szCs w:val="20"/>
        </w:rPr>
        <w:t>ВАРТІСТЬ</w:t>
      </w:r>
      <w:r w:rsidRPr="000977F7">
        <w:rPr>
          <w:color w:val="auto"/>
          <w:spacing w:val="-6"/>
          <w:sz w:val="20"/>
          <w:szCs w:val="20"/>
        </w:rPr>
        <w:t xml:space="preserve"> </w:t>
      </w:r>
      <w:r w:rsidRPr="000977F7">
        <w:rPr>
          <w:color w:val="auto"/>
          <w:sz w:val="20"/>
          <w:szCs w:val="20"/>
        </w:rPr>
        <w:t>КАПІТАЛЬНИХ</w:t>
      </w:r>
      <w:r w:rsidRPr="000977F7">
        <w:rPr>
          <w:color w:val="auto"/>
          <w:spacing w:val="-5"/>
          <w:sz w:val="20"/>
          <w:szCs w:val="20"/>
        </w:rPr>
        <w:t xml:space="preserve"> </w:t>
      </w:r>
      <w:r w:rsidRPr="000977F7">
        <w:rPr>
          <w:color w:val="auto"/>
          <w:sz w:val="20"/>
          <w:szCs w:val="20"/>
        </w:rPr>
        <w:t>РЕМОНТІВ</w:t>
      </w:r>
      <w:r w:rsidRPr="000977F7">
        <w:rPr>
          <w:color w:val="auto"/>
          <w:spacing w:val="-1"/>
          <w:sz w:val="20"/>
          <w:szCs w:val="20"/>
        </w:rPr>
        <w:t xml:space="preserve"> </w:t>
      </w:r>
      <w:r w:rsidRPr="000977F7">
        <w:rPr>
          <w:color w:val="auto"/>
          <w:sz w:val="20"/>
          <w:szCs w:val="20"/>
        </w:rPr>
        <w:t>–</w:t>
      </w:r>
    </w:p>
    <w:p w14:paraId="5601D53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середньої сумарної вартості планових і позапланових капітальних ремонтів, визначена конструкцією</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технічним</w:t>
      </w:r>
      <w:r w:rsidRPr="000977F7">
        <w:rPr>
          <w:rFonts w:asciiTheme="majorHAnsi" w:hAnsiTheme="majorHAnsi"/>
          <w:spacing w:val="1"/>
          <w:sz w:val="20"/>
          <w:szCs w:val="20"/>
        </w:rPr>
        <w:t xml:space="preserve"> </w:t>
      </w:r>
      <w:r w:rsidRPr="000977F7">
        <w:rPr>
          <w:rFonts w:asciiTheme="majorHAnsi" w:hAnsiTheme="majorHAnsi"/>
          <w:sz w:val="20"/>
          <w:szCs w:val="20"/>
        </w:rPr>
        <w:t>станом об’єкта</w:t>
      </w:r>
    </w:p>
    <w:p w14:paraId="1F5E36C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СЕРЕДНЯ СУМАРНА ОПЕРАТИВНА</w:t>
      </w:r>
      <w:r w:rsidRPr="000977F7">
        <w:rPr>
          <w:color w:val="auto"/>
          <w:spacing w:val="1"/>
          <w:sz w:val="20"/>
          <w:szCs w:val="20"/>
        </w:rPr>
        <w:t xml:space="preserve"> </w:t>
      </w:r>
      <w:r w:rsidRPr="000977F7">
        <w:rPr>
          <w:color w:val="auto"/>
          <w:sz w:val="20"/>
          <w:szCs w:val="20"/>
        </w:rPr>
        <w:t>ВАРТІСТЬ</w:t>
      </w:r>
      <w:r w:rsidRPr="000977F7">
        <w:rPr>
          <w:color w:val="auto"/>
          <w:spacing w:val="-6"/>
          <w:sz w:val="20"/>
          <w:szCs w:val="20"/>
        </w:rPr>
        <w:t xml:space="preserve"> </w:t>
      </w:r>
      <w:r w:rsidRPr="000977F7">
        <w:rPr>
          <w:color w:val="auto"/>
          <w:sz w:val="20"/>
          <w:szCs w:val="20"/>
        </w:rPr>
        <w:t>ПОТОЧНИХ</w:t>
      </w:r>
      <w:r w:rsidRPr="000977F7">
        <w:rPr>
          <w:color w:val="auto"/>
          <w:spacing w:val="-3"/>
          <w:sz w:val="20"/>
          <w:szCs w:val="20"/>
        </w:rPr>
        <w:t xml:space="preserve"> </w:t>
      </w:r>
      <w:r w:rsidRPr="000977F7">
        <w:rPr>
          <w:color w:val="auto"/>
          <w:sz w:val="20"/>
          <w:szCs w:val="20"/>
        </w:rPr>
        <w:t>РЕМОНТІВ</w:t>
      </w:r>
      <w:r w:rsidRPr="000977F7">
        <w:rPr>
          <w:color w:val="auto"/>
          <w:spacing w:val="-1"/>
          <w:sz w:val="20"/>
          <w:szCs w:val="20"/>
        </w:rPr>
        <w:t xml:space="preserve"> </w:t>
      </w:r>
      <w:r w:rsidRPr="000977F7">
        <w:rPr>
          <w:color w:val="auto"/>
          <w:sz w:val="20"/>
          <w:szCs w:val="20"/>
        </w:rPr>
        <w:t>–</w:t>
      </w:r>
    </w:p>
    <w:p w14:paraId="7C67BA1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середньої сумарної вартості планових і позапланових поточних ремонтів, визначена конструкцією</w:t>
      </w:r>
      <w:r w:rsidRPr="000977F7">
        <w:rPr>
          <w:rFonts w:asciiTheme="majorHAnsi" w:hAnsiTheme="majorHAnsi"/>
          <w:spacing w:val="-47"/>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технічним</w:t>
      </w:r>
      <w:r w:rsidRPr="000977F7">
        <w:rPr>
          <w:rFonts w:asciiTheme="majorHAnsi" w:hAnsiTheme="majorHAnsi"/>
          <w:spacing w:val="1"/>
          <w:sz w:val="20"/>
          <w:szCs w:val="20"/>
        </w:rPr>
        <w:t xml:space="preserve"> </w:t>
      </w:r>
      <w:r w:rsidRPr="000977F7">
        <w:rPr>
          <w:rFonts w:asciiTheme="majorHAnsi" w:hAnsiTheme="majorHAnsi"/>
          <w:sz w:val="20"/>
          <w:szCs w:val="20"/>
        </w:rPr>
        <w:t>станом</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325C049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СЕРЕДНЯ</w:t>
      </w:r>
      <w:r w:rsidRPr="000977F7">
        <w:rPr>
          <w:color w:val="auto"/>
          <w:spacing w:val="12"/>
          <w:sz w:val="20"/>
          <w:szCs w:val="20"/>
        </w:rPr>
        <w:t xml:space="preserve"> </w:t>
      </w:r>
      <w:r w:rsidRPr="000977F7">
        <w:rPr>
          <w:color w:val="auto"/>
          <w:sz w:val="20"/>
          <w:szCs w:val="20"/>
        </w:rPr>
        <w:t>СУМАРНА</w:t>
      </w:r>
      <w:r w:rsidRPr="000977F7">
        <w:rPr>
          <w:color w:val="auto"/>
          <w:spacing w:val="12"/>
          <w:sz w:val="20"/>
          <w:szCs w:val="20"/>
        </w:rPr>
        <w:t xml:space="preserve"> </w:t>
      </w:r>
      <w:r w:rsidRPr="000977F7">
        <w:rPr>
          <w:color w:val="auto"/>
          <w:sz w:val="20"/>
          <w:szCs w:val="20"/>
        </w:rPr>
        <w:t>ОПЕРАТИВНА</w:t>
      </w:r>
      <w:r w:rsidRPr="000977F7">
        <w:rPr>
          <w:color w:val="auto"/>
          <w:spacing w:val="12"/>
          <w:sz w:val="20"/>
          <w:szCs w:val="20"/>
        </w:rPr>
        <w:t xml:space="preserve"> </w:t>
      </w:r>
      <w:r w:rsidRPr="000977F7">
        <w:rPr>
          <w:color w:val="auto"/>
          <w:sz w:val="20"/>
          <w:szCs w:val="20"/>
        </w:rPr>
        <w:t>ВАРТІСТЬ</w:t>
      </w:r>
      <w:r w:rsidRPr="000977F7">
        <w:rPr>
          <w:color w:val="auto"/>
          <w:spacing w:val="-47"/>
          <w:sz w:val="20"/>
          <w:szCs w:val="20"/>
        </w:rPr>
        <w:t xml:space="preserve"> </w:t>
      </w:r>
      <w:r w:rsidRPr="000977F7">
        <w:rPr>
          <w:color w:val="auto"/>
          <w:sz w:val="20"/>
          <w:szCs w:val="20"/>
        </w:rPr>
        <w:t>ТЕХНІЧНИХ</w:t>
      </w:r>
      <w:r w:rsidRPr="000977F7">
        <w:rPr>
          <w:color w:val="auto"/>
          <w:spacing w:val="-1"/>
          <w:sz w:val="20"/>
          <w:szCs w:val="20"/>
        </w:rPr>
        <w:t xml:space="preserve"> </w:t>
      </w:r>
      <w:r w:rsidRPr="000977F7">
        <w:rPr>
          <w:color w:val="auto"/>
          <w:sz w:val="20"/>
          <w:szCs w:val="20"/>
        </w:rPr>
        <w:t>ОБСЛУГОВУВАНЬ -</w:t>
      </w:r>
    </w:p>
    <w:p w14:paraId="0F28D9B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середньої сумарної вартості</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 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визначена</w:t>
      </w:r>
      <w:r w:rsidRPr="000977F7">
        <w:rPr>
          <w:rFonts w:asciiTheme="majorHAnsi" w:hAnsiTheme="majorHAnsi"/>
          <w:spacing w:val="1"/>
          <w:sz w:val="20"/>
          <w:szCs w:val="20"/>
        </w:rPr>
        <w:t xml:space="preserve"> </w:t>
      </w:r>
      <w:r w:rsidRPr="000977F7">
        <w:rPr>
          <w:rFonts w:asciiTheme="majorHAnsi" w:hAnsiTheme="majorHAnsi"/>
          <w:sz w:val="20"/>
          <w:szCs w:val="20"/>
        </w:rPr>
        <w:t>конструкцією</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технічним</w:t>
      </w:r>
      <w:r w:rsidRPr="000977F7">
        <w:rPr>
          <w:rFonts w:asciiTheme="majorHAnsi" w:hAnsiTheme="majorHAnsi"/>
          <w:spacing w:val="1"/>
          <w:sz w:val="20"/>
          <w:szCs w:val="20"/>
        </w:rPr>
        <w:t xml:space="preserve"> </w:t>
      </w:r>
      <w:r w:rsidRPr="000977F7">
        <w:rPr>
          <w:rFonts w:asciiTheme="majorHAnsi" w:hAnsiTheme="majorHAnsi"/>
          <w:sz w:val="20"/>
          <w:szCs w:val="20"/>
        </w:rPr>
        <w:t>станом об’єкта</w:t>
      </w:r>
    </w:p>
    <w:p w14:paraId="2D35188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СЕРЕДНЯ СУМАРНА ОПЕРАТИВНА </w:t>
      </w:r>
    </w:p>
    <w:p w14:paraId="68FB8F3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ТРИВАЛІСТЬ</w:t>
      </w:r>
      <w:r w:rsidRPr="000977F7">
        <w:rPr>
          <w:color w:val="auto"/>
          <w:spacing w:val="1"/>
          <w:sz w:val="20"/>
          <w:szCs w:val="20"/>
        </w:rPr>
        <w:t xml:space="preserve"> </w:t>
      </w:r>
      <w:r w:rsidRPr="000977F7">
        <w:rPr>
          <w:color w:val="auto"/>
          <w:sz w:val="20"/>
          <w:szCs w:val="20"/>
        </w:rPr>
        <w:t>КАПІТАЛЬНИХ</w:t>
      </w:r>
      <w:r w:rsidRPr="000977F7">
        <w:rPr>
          <w:color w:val="auto"/>
          <w:spacing w:val="-1"/>
          <w:sz w:val="20"/>
          <w:szCs w:val="20"/>
        </w:rPr>
        <w:t xml:space="preserve"> </w:t>
      </w:r>
      <w:r w:rsidRPr="000977F7">
        <w:rPr>
          <w:color w:val="auto"/>
          <w:sz w:val="20"/>
          <w:szCs w:val="20"/>
        </w:rPr>
        <w:t>РЕМОНТІВ</w:t>
      </w:r>
      <w:r w:rsidRPr="000977F7">
        <w:rPr>
          <w:color w:val="auto"/>
          <w:spacing w:val="2"/>
          <w:sz w:val="20"/>
          <w:szCs w:val="20"/>
        </w:rPr>
        <w:t xml:space="preserve"> -</w:t>
      </w:r>
    </w:p>
    <w:p w14:paraId="15B33C4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1"/>
          <w:sz w:val="20"/>
          <w:szCs w:val="20"/>
        </w:rPr>
        <w:t xml:space="preserve"> </w:t>
      </w:r>
      <w:r w:rsidRPr="000977F7">
        <w:rPr>
          <w:rFonts w:asciiTheme="majorHAnsi" w:hAnsiTheme="majorHAnsi"/>
          <w:sz w:val="20"/>
          <w:szCs w:val="20"/>
        </w:rPr>
        <w:t>середньої</w:t>
      </w:r>
      <w:r w:rsidRPr="000977F7">
        <w:rPr>
          <w:rFonts w:asciiTheme="majorHAnsi" w:hAnsiTheme="majorHAnsi"/>
          <w:spacing w:val="1"/>
          <w:sz w:val="20"/>
          <w:szCs w:val="20"/>
        </w:rPr>
        <w:t xml:space="preserve"> </w:t>
      </w:r>
      <w:r w:rsidRPr="000977F7">
        <w:rPr>
          <w:rFonts w:asciiTheme="majorHAnsi" w:hAnsiTheme="majorHAnsi"/>
          <w:sz w:val="20"/>
          <w:szCs w:val="20"/>
        </w:rPr>
        <w:t>сумарної</w:t>
      </w:r>
      <w:r w:rsidRPr="000977F7">
        <w:rPr>
          <w:rFonts w:asciiTheme="majorHAnsi" w:hAnsiTheme="majorHAnsi"/>
          <w:spacing w:val="1"/>
          <w:sz w:val="20"/>
          <w:szCs w:val="20"/>
        </w:rPr>
        <w:t xml:space="preserve"> </w:t>
      </w:r>
      <w:r w:rsidRPr="000977F7">
        <w:rPr>
          <w:rFonts w:asciiTheme="majorHAnsi" w:hAnsiTheme="majorHAnsi"/>
          <w:sz w:val="20"/>
          <w:szCs w:val="20"/>
        </w:rPr>
        <w:t>тривалості</w:t>
      </w:r>
      <w:r w:rsidRPr="000977F7">
        <w:rPr>
          <w:rFonts w:asciiTheme="majorHAnsi" w:hAnsiTheme="majorHAnsi"/>
          <w:spacing w:val="1"/>
          <w:sz w:val="20"/>
          <w:szCs w:val="20"/>
        </w:rPr>
        <w:t xml:space="preserve"> </w:t>
      </w:r>
      <w:r w:rsidRPr="000977F7">
        <w:rPr>
          <w:rFonts w:asciiTheme="majorHAnsi" w:hAnsiTheme="majorHAnsi"/>
          <w:sz w:val="20"/>
          <w:szCs w:val="20"/>
        </w:rPr>
        <w:t>планового</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позапланового капітальних ремонтів, визначена конструкцією</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технічним станом</w:t>
      </w:r>
      <w:r w:rsidRPr="000977F7">
        <w:rPr>
          <w:rFonts w:asciiTheme="majorHAnsi" w:hAnsiTheme="majorHAnsi"/>
          <w:spacing w:val="1"/>
          <w:sz w:val="20"/>
          <w:szCs w:val="20"/>
        </w:rPr>
        <w:t xml:space="preserve"> </w:t>
      </w:r>
      <w:r w:rsidRPr="000977F7">
        <w:rPr>
          <w:rFonts w:asciiTheme="majorHAnsi" w:hAnsiTheme="majorHAnsi"/>
          <w:sz w:val="20"/>
          <w:szCs w:val="20"/>
        </w:rPr>
        <w:t>об’єктів</w:t>
      </w:r>
    </w:p>
    <w:p w14:paraId="181D3CB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СЕРЕДНЯ СУМАРНА ОПЕРАТИВНА </w:t>
      </w:r>
    </w:p>
    <w:p w14:paraId="34AE79F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ТРИВА</w:t>
      </w:r>
      <w:r w:rsidRPr="000977F7">
        <w:rPr>
          <w:color w:val="auto"/>
          <w:spacing w:val="-47"/>
          <w:sz w:val="20"/>
          <w:szCs w:val="20"/>
        </w:rPr>
        <w:t xml:space="preserve"> </w:t>
      </w:r>
      <w:r w:rsidRPr="000977F7">
        <w:rPr>
          <w:color w:val="auto"/>
          <w:sz w:val="20"/>
          <w:szCs w:val="20"/>
        </w:rPr>
        <w:t>ЛІСТЬ</w:t>
      </w:r>
      <w:r w:rsidRPr="000977F7">
        <w:rPr>
          <w:color w:val="auto"/>
          <w:spacing w:val="-1"/>
          <w:sz w:val="20"/>
          <w:szCs w:val="20"/>
        </w:rPr>
        <w:t xml:space="preserve"> </w:t>
      </w:r>
      <w:r w:rsidRPr="000977F7">
        <w:rPr>
          <w:color w:val="auto"/>
          <w:sz w:val="20"/>
          <w:szCs w:val="20"/>
        </w:rPr>
        <w:t>ПОТОЧНИХ</w:t>
      </w:r>
      <w:r w:rsidRPr="000977F7">
        <w:rPr>
          <w:color w:val="auto"/>
          <w:spacing w:val="-1"/>
          <w:sz w:val="20"/>
          <w:szCs w:val="20"/>
        </w:rPr>
        <w:t xml:space="preserve"> </w:t>
      </w:r>
      <w:r w:rsidRPr="000977F7">
        <w:rPr>
          <w:color w:val="auto"/>
          <w:sz w:val="20"/>
          <w:szCs w:val="20"/>
        </w:rPr>
        <w:t>РЕМОНТІВ</w:t>
      </w:r>
      <w:r w:rsidRPr="000977F7">
        <w:rPr>
          <w:color w:val="auto"/>
          <w:spacing w:val="4"/>
          <w:sz w:val="20"/>
          <w:szCs w:val="20"/>
        </w:rPr>
        <w:t xml:space="preserve"> </w:t>
      </w:r>
      <w:r w:rsidRPr="000977F7">
        <w:rPr>
          <w:color w:val="auto"/>
          <w:sz w:val="20"/>
          <w:szCs w:val="20"/>
        </w:rPr>
        <w:t>–</w:t>
      </w:r>
    </w:p>
    <w:p w14:paraId="248ACC6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1"/>
          <w:sz w:val="20"/>
          <w:szCs w:val="20"/>
        </w:rPr>
        <w:t xml:space="preserve"> </w:t>
      </w:r>
      <w:r w:rsidRPr="000977F7">
        <w:rPr>
          <w:rFonts w:asciiTheme="majorHAnsi" w:hAnsiTheme="majorHAnsi"/>
          <w:sz w:val="20"/>
          <w:szCs w:val="20"/>
        </w:rPr>
        <w:t>середньої</w:t>
      </w:r>
      <w:r w:rsidRPr="000977F7">
        <w:rPr>
          <w:rFonts w:asciiTheme="majorHAnsi" w:hAnsiTheme="majorHAnsi"/>
          <w:spacing w:val="1"/>
          <w:sz w:val="20"/>
          <w:szCs w:val="20"/>
        </w:rPr>
        <w:t xml:space="preserve"> </w:t>
      </w:r>
      <w:r w:rsidRPr="000977F7">
        <w:rPr>
          <w:rFonts w:asciiTheme="majorHAnsi" w:hAnsiTheme="majorHAnsi"/>
          <w:sz w:val="20"/>
          <w:szCs w:val="20"/>
        </w:rPr>
        <w:t>сумарної</w:t>
      </w:r>
      <w:r w:rsidRPr="000977F7">
        <w:rPr>
          <w:rFonts w:asciiTheme="majorHAnsi" w:hAnsiTheme="majorHAnsi"/>
          <w:spacing w:val="1"/>
          <w:sz w:val="20"/>
          <w:szCs w:val="20"/>
        </w:rPr>
        <w:t xml:space="preserve"> </w:t>
      </w:r>
      <w:r w:rsidRPr="000977F7">
        <w:rPr>
          <w:rFonts w:asciiTheme="majorHAnsi" w:hAnsiTheme="majorHAnsi"/>
          <w:sz w:val="20"/>
          <w:szCs w:val="20"/>
        </w:rPr>
        <w:t>тривалості</w:t>
      </w:r>
      <w:r w:rsidRPr="000977F7">
        <w:rPr>
          <w:rFonts w:asciiTheme="majorHAnsi" w:hAnsiTheme="majorHAnsi"/>
          <w:spacing w:val="1"/>
          <w:sz w:val="20"/>
          <w:szCs w:val="20"/>
        </w:rPr>
        <w:t xml:space="preserve"> </w:t>
      </w:r>
      <w:r w:rsidRPr="000977F7">
        <w:rPr>
          <w:rFonts w:asciiTheme="majorHAnsi" w:hAnsiTheme="majorHAnsi"/>
          <w:sz w:val="20"/>
          <w:szCs w:val="20"/>
        </w:rPr>
        <w:t>планових</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позапланових поточних ремонтів, визначена конструкцією</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технічним станом</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7BCF8D8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СЕРЕДНЯ СУМАРНА ОПЕРАТИВНА </w:t>
      </w:r>
    </w:p>
    <w:p w14:paraId="6475BAFA" w14:textId="77777777" w:rsidR="0097612F" w:rsidRPr="000977F7" w:rsidRDefault="0097612F" w:rsidP="000977F7">
      <w:pPr>
        <w:pStyle w:val="7"/>
        <w:tabs>
          <w:tab w:val="left" w:pos="284"/>
        </w:tabs>
        <w:spacing w:before="0" w:line="240" w:lineRule="auto"/>
        <w:ind w:left="170"/>
        <w:mirrorIndents/>
        <w:jc w:val="both"/>
        <w:rPr>
          <w:color w:val="auto"/>
          <w:spacing w:val="-2"/>
          <w:sz w:val="20"/>
          <w:szCs w:val="20"/>
        </w:rPr>
      </w:pPr>
      <w:r w:rsidRPr="000977F7">
        <w:rPr>
          <w:color w:val="auto"/>
          <w:sz w:val="20"/>
          <w:szCs w:val="20"/>
        </w:rPr>
        <w:t>ТРИВАЛІСТЬ</w:t>
      </w:r>
      <w:r w:rsidRPr="000977F7">
        <w:rPr>
          <w:color w:val="auto"/>
          <w:spacing w:val="-1"/>
          <w:sz w:val="20"/>
          <w:szCs w:val="20"/>
        </w:rPr>
        <w:t xml:space="preserve"> </w:t>
      </w:r>
      <w:r w:rsidRPr="000977F7">
        <w:rPr>
          <w:color w:val="auto"/>
          <w:sz w:val="20"/>
          <w:szCs w:val="20"/>
        </w:rPr>
        <w:t>ТЕХНІЧНИХ</w:t>
      </w:r>
      <w:r w:rsidRPr="000977F7">
        <w:rPr>
          <w:color w:val="auto"/>
          <w:spacing w:val="-2"/>
          <w:sz w:val="20"/>
          <w:szCs w:val="20"/>
        </w:rPr>
        <w:t xml:space="preserve"> </w:t>
      </w:r>
    </w:p>
    <w:p w14:paraId="1392EC8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ОБСЛУГОВУВАНЬ</w:t>
      </w:r>
      <w:r w:rsidRPr="000977F7">
        <w:rPr>
          <w:color w:val="auto"/>
          <w:spacing w:val="1"/>
          <w:sz w:val="20"/>
          <w:szCs w:val="20"/>
        </w:rPr>
        <w:t xml:space="preserve"> </w:t>
      </w:r>
      <w:r w:rsidRPr="000977F7">
        <w:rPr>
          <w:color w:val="auto"/>
          <w:sz w:val="20"/>
          <w:szCs w:val="20"/>
        </w:rPr>
        <w:t>–</w:t>
      </w:r>
    </w:p>
    <w:p w14:paraId="0689AE0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1"/>
          <w:sz w:val="20"/>
          <w:szCs w:val="20"/>
        </w:rPr>
        <w:t xml:space="preserve"> </w:t>
      </w:r>
      <w:r w:rsidRPr="000977F7">
        <w:rPr>
          <w:rFonts w:asciiTheme="majorHAnsi" w:hAnsiTheme="majorHAnsi"/>
          <w:sz w:val="20"/>
          <w:szCs w:val="20"/>
        </w:rPr>
        <w:t>середньої</w:t>
      </w:r>
      <w:r w:rsidRPr="000977F7">
        <w:rPr>
          <w:rFonts w:asciiTheme="majorHAnsi" w:hAnsiTheme="majorHAnsi"/>
          <w:spacing w:val="1"/>
          <w:sz w:val="20"/>
          <w:szCs w:val="20"/>
        </w:rPr>
        <w:t xml:space="preserve"> </w:t>
      </w:r>
      <w:r w:rsidRPr="000977F7">
        <w:rPr>
          <w:rFonts w:asciiTheme="majorHAnsi" w:hAnsiTheme="majorHAnsi"/>
          <w:sz w:val="20"/>
          <w:szCs w:val="20"/>
        </w:rPr>
        <w:t>сумарної</w:t>
      </w:r>
      <w:r w:rsidRPr="000977F7">
        <w:rPr>
          <w:rFonts w:asciiTheme="majorHAnsi" w:hAnsiTheme="majorHAnsi"/>
          <w:spacing w:val="1"/>
          <w:sz w:val="20"/>
          <w:szCs w:val="20"/>
        </w:rPr>
        <w:t xml:space="preserve"> </w:t>
      </w:r>
      <w:r w:rsidRPr="000977F7">
        <w:rPr>
          <w:rFonts w:asciiTheme="majorHAnsi" w:hAnsiTheme="majorHAnsi"/>
          <w:sz w:val="20"/>
          <w:szCs w:val="20"/>
        </w:rPr>
        <w:t>тривалості</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обслуговування, визначена конструкцією і технічним</w:t>
      </w:r>
      <w:r w:rsidRPr="000977F7">
        <w:rPr>
          <w:rFonts w:asciiTheme="majorHAnsi" w:hAnsiTheme="majorHAnsi"/>
          <w:spacing w:val="1"/>
          <w:sz w:val="20"/>
          <w:szCs w:val="20"/>
        </w:rPr>
        <w:t xml:space="preserve"> </w:t>
      </w:r>
      <w:r w:rsidRPr="000977F7">
        <w:rPr>
          <w:rFonts w:asciiTheme="majorHAnsi" w:hAnsiTheme="majorHAnsi"/>
          <w:sz w:val="20"/>
          <w:szCs w:val="20"/>
        </w:rPr>
        <w:t>станом об’єкта</w:t>
      </w:r>
    </w:p>
    <w:p w14:paraId="6AE4E22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СЕРЕДНЯ СУМАРНА ОПЕРАТИВНА </w:t>
      </w:r>
    </w:p>
    <w:p w14:paraId="69C40BAA" w14:textId="77777777" w:rsidR="0097612F" w:rsidRPr="000977F7" w:rsidRDefault="0097612F" w:rsidP="000977F7">
      <w:pPr>
        <w:pStyle w:val="7"/>
        <w:tabs>
          <w:tab w:val="left" w:pos="284"/>
        </w:tabs>
        <w:spacing w:before="0" w:line="240" w:lineRule="auto"/>
        <w:ind w:left="170"/>
        <w:mirrorIndents/>
        <w:jc w:val="both"/>
        <w:rPr>
          <w:color w:val="auto"/>
          <w:spacing w:val="-2"/>
          <w:sz w:val="20"/>
          <w:szCs w:val="20"/>
        </w:rPr>
      </w:pPr>
      <w:r w:rsidRPr="000977F7">
        <w:rPr>
          <w:color w:val="auto"/>
          <w:sz w:val="20"/>
          <w:szCs w:val="20"/>
        </w:rPr>
        <w:t>ТРУДО</w:t>
      </w:r>
      <w:r w:rsidRPr="000977F7">
        <w:rPr>
          <w:color w:val="auto"/>
          <w:spacing w:val="-47"/>
          <w:sz w:val="20"/>
          <w:szCs w:val="20"/>
        </w:rPr>
        <w:t xml:space="preserve"> </w:t>
      </w:r>
      <w:r w:rsidRPr="000977F7">
        <w:rPr>
          <w:color w:val="auto"/>
          <w:sz w:val="20"/>
          <w:szCs w:val="20"/>
        </w:rPr>
        <w:t>МІСТКІСТЬ</w:t>
      </w:r>
      <w:r w:rsidRPr="000977F7">
        <w:rPr>
          <w:color w:val="auto"/>
          <w:spacing w:val="-2"/>
          <w:sz w:val="20"/>
          <w:szCs w:val="20"/>
        </w:rPr>
        <w:t xml:space="preserve"> </w:t>
      </w:r>
      <w:r w:rsidRPr="000977F7">
        <w:rPr>
          <w:color w:val="auto"/>
          <w:sz w:val="20"/>
          <w:szCs w:val="20"/>
        </w:rPr>
        <w:t>КАПІТАЛЬНИХ</w:t>
      </w:r>
      <w:r w:rsidRPr="000977F7">
        <w:rPr>
          <w:color w:val="auto"/>
          <w:spacing w:val="-2"/>
          <w:sz w:val="20"/>
          <w:szCs w:val="20"/>
        </w:rPr>
        <w:t xml:space="preserve"> </w:t>
      </w:r>
    </w:p>
    <w:p w14:paraId="2100666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РЕМОНТІВ -</w:t>
      </w:r>
    </w:p>
    <w:p w14:paraId="2764671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середньої сумарної   трудомісткості планових</w:t>
      </w:r>
      <w:r w:rsidRPr="000977F7">
        <w:rPr>
          <w:rFonts w:asciiTheme="majorHAnsi" w:hAnsiTheme="majorHAnsi"/>
          <w:spacing w:val="-47"/>
          <w:sz w:val="20"/>
          <w:szCs w:val="20"/>
        </w:rPr>
        <w:t xml:space="preserve"> </w:t>
      </w:r>
      <w:r w:rsidRPr="000977F7">
        <w:rPr>
          <w:rFonts w:asciiTheme="majorHAnsi" w:hAnsiTheme="majorHAnsi"/>
          <w:sz w:val="20"/>
          <w:szCs w:val="20"/>
        </w:rPr>
        <w:t>і позапланових капітальних ремонтів, визначена конструкцією</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технічним станом</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51D48F2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СЕРЕДНЯ СУМАРНА ОПЕРАТИВНА </w:t>
      </w:r>
    </w:p>
    <w:p w14:paraId="6284161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ТРУДО</w:t>
      </w:r>
      <w:r w:rsidRPr="000977F7">
        <w:rPr>
          <w:color w:val="auto"/>
          <w:spacing w:val="-47"/>
          <w:sz w:val="20"/>
          <w:szCs w:val="20"/>
        </w:rPr>
        <w:t xml:space="preserve"> </w:t>
      </w:r>
      <w:r w:rsidRPr="000977F7">
        <w:rPr>
          <w:color w:val="auto"/>
          <w:sz w:val="20"/>
          <w:szCs w:val="20"/>
        </w:rPr>
        <w:t>МІСТКІСТЬ</w:t>
      </w:r>
      <w:r w:rsidRPr="000977F7">
        <w:rPr>
          <w:color w:val="auto"/>
          <w:spacing w:val="-1"/>
          <w:sz w:val="20"/>
          <w:szCs w:val="20"/>
        </w:rPr>
        <w:t xml:space="preserve"> </w:t>
      </w:r>
      <w:r w:rsidRPr="000977F7">
        <w:rPr>
          <w:color w:val="auto"/>
          <w:sz w:val="20"/>
          <w:szCs w:val="20"/>
        </w:rPr>
        <w:t>ПОТОЧНИХ</w:t>
      </w:r>
      <w:r w:rsidRPr="000977F7">
        <w:rPr>
          <w:color w:val="auto"/>
          <w:spacing w:val="-1"/>
          <w:sz w:val="20"/>
          <w:szCs w:val="20"/>
        </w:rPr>
        <w:t xml:space="preserve"> </w:t>
      </w:r>
      <w:r w:rsidRPr="000977F7">
        <w:rPr>
          <w:color w:val="auto"/>
          <w:sz w:val="20"/>
          <w:szCs w:val="20"/>
        </w:rPr>
        <w:t>РЕМОНТІВ -</w:t>
      </w:r>
    </w:p>
    <w:p w14:paraId="005166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середньої сумарної трудомісткості планових і</w:t>
      </w:r>
      <w:r w:rsidRPr="000977F7">
        <w:rPr>
          <w:rFonts w:asciiTheme="majorHAnsi" w:hAnsiTheme="majorHAnsi"/>
          <w:spacing w:val="-47"/>
          <w:sz w:val="20"/>
          <w:szCs w:val="20"/>
        </w:rPr>
        <w:t xml:space="preserve"> </w:t>
      </w:r>
      <w:r w:rsidRPr="000977F7">
        <w:rPr>
          <w:rFonts w:asciiTheme="majorHAnsi" w:hAnsiTheme="majorHAnsi"/>
          <w:sz w:val="20"/>
          <w:szCs w:val="20"/>
        </w:rPr>
        <w:t>позапланових поточних ремонтів, визначена конструкцією</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технічним станом</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4DC3C7F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СЕРЕДНЯ СУМАРНА ОПЕРАТИВНА </w:t>
      </w:r>
    </w:p>
    <w:p w14:paraId="6ADA91F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ТРУДОМІСТКІСТЬ</w:t>
      </w:r>
      <w:r w:rsidRPr="000977F7">
        <w:rPr>
          <w:color w:val="auto"/>
          <w:spacing w:val="-6"/>
          <w:sz w:val="20"/>
          <w:szCs w:val="20"/>
        </w:rPr>
        <w:t xml:space="preserve"> </w:t>
      </w:r>
      <w:r w:rsidRPr="000977F7">
        <w:rPr>
          <w:color w:val="auto"/>
          <w:sz w:val="20"/>
          <w:szCs w:val="20"/>
        </w:rPr>
        <w:t>ТЕХНІЧНИХ</w:t>
      </w:r>
      <w:r w:rsidRPr="000977F7">
        <w:rPr>
          <w:color w:val="auto"/>
          <w:spacing w:val="-6"/>
          <w:sz w:val="20"/>
          <w:szCs w:val="20"/>
        </w:rPr>
        <w:t xml:space="preserve"> </w:t>
      </w:r>
      <w:r w:rsidRPr="000977F7">
        <w:rPr>
          <w:color w:val="auto"/>
          <w:sz w:val="20"/>
          <w:szCs w:val="20"/>
        </w:rPr>
        <w:t>ОБСЛУГОВУВАНЬ</w:t>
      </w:r>
      <w:r w:rsidRPr="000977F7">
        <w:rPr>
          <w:color w:val="auto"/>
          <w:spacing w:val="-3"/>
          <w:sz w:val="20"/>
          <w:szCs w:val="20"/>
        </w:rPr>
        <w:t xml:space="preserve"> </w:t>
      </w:r>
      <w:r w:rsidRPr="000977F7">
        <w:rPr>
          <w:color w:val="auto"/>
          <w:sz w:val="20"/>
          <w:szCs w:val="20"/>
        </w:rPr>
        <w:t>–</w:t>
      </w:r>
    </w:p>
    <w:p w14:paraId="5E1E8D0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середньої сумарної трудомісткості технічного обслуговування, визначена конструкцією і технічним станом</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5515B07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СЕРЕДНЯ СУМАРНА ТРИВАЛІСТЬ </w:t>
      </w:r>
    </w:p>
    <w:p w14:paraId="3C1EC9E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w:t>
      </w:r>
      <w:r w:rsidRPr="000977F7">
        <w:rPr>
          <w:color w:val="auto"/>
          <w:spacing w:val="-47"/>
          <w:sz w:val="20"/>
          <w:szCs w:val="20"/>
        </w:rPr>
        <w:t xml:space="preserve"> </w:t>
      </w:r>
      <w:r w:rsidRPr="000977F7">
        <w:rPr>
          <w:color w:val="auto"/>
          <w:sz w:val="20"/>
          <w:szCs w:val="20"/>
        </w:rPr>
        <w:t>НОГО ОБСЛУГОВУВАННЯ</w:t>
      </w:r>
    </w:p>
    <w:p w14:paraId="04345726"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(РЕМОНТІВ)</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66FFF11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Математичне сподівання сумарної тривалості технічного обслуговування (ремонтів) об’єкта за визначений</w:t>
      </w:r>
      <w:r w:rsidRPr="000977F7">
        <w:rPr>
          <w:rFonts w:asciiTheme="majorHAnsi" w:hAnsiTheme="majorHAnsi"/>
          <w:spacing w:val="-47"/>
          <w:sz w:val="20"/>
          <w:szCs w:val="20"/>
        </w:rPr>
        <w:t xml:space="preserve"> </w:t>
      </w:r>
      <w:r w:rsidRPr="000977F7">
        <w:rPr>
          <w:rFonts w:asciiTheme="majorHAnsi" w:hAnsiTheme="majorHAnsi"/>
          <w:sz w:val="20"/>
          <w:szCs w:val="20"/>
        </w:rPr>
        <w:t>період</w:t>
      </w:r>
      <w:r w:rsidRPr="000977F7">
        <w:rPr>
          <w:rFonts w:asciiTheme="majorHAnsi" w:hAnsiTheme="majorHAnsi"/>
          <w:spacing w:val="-2"/>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2"/>
          <w:sz w:val="20"/>
          <w:szCs w:val="20"/>
        </w:rPr>
        <w:t xml:space="preserve"> </w:t>
      </w:r>
      <w:r w:rsidRPr="000977F7">
        <w:rPr>
          <w:rFonts w:asciiTheme="majorHAnsi" w:hAnsiTheme="majorHAnsi"/>
          <w:sz w:val="20"/>
          <w:szCs w:val="20"/>
        </w:rPr>
        <w:t>або напрацювання</w:t>
      </w:r>
    </w:p>
    <w:p w14:paraId="03D01616" w14:textId="77777777" w:rsidR="0097612F" w:rsidRPr="000977F7" w:rsidRDefault="0097612F" w:rsidP="000977F7">
      <w:pPr>
        <w:pStyle w:val="7"/>
        <w:tabs>
          <w:tab w:val="left" w:pos="284"/>
        </w:tabs>
        <w:spacing w:before="0" w:line="240" w:lineRule="auto"/>
        <w:ind w:left="170"/>
        <w:mirrorIndents/>
        <w:jc w:val="both"/>
        <w:rPr>
          <w:color w:val="auto"/>
          <w:spacing w:val="-6"/>
          <w:sz w:val="20"/>
          <w:szCs w:val="20"/>
        </w:rPr>
      </w:pPr>
      <w:r w:rsidRPr="000977F7">
        <w:rPr>
          <w:color w:val="auto"/>
          <w:spacing w:val="-6"/>
          <w:sz w:val="20"/>
          <w:szCs w:val="20"/>
        </w:rPr>
        <w:t>СЕРЕДНЯ ТРИВАЛІСТЬ ВІДНОВЛЕННЯ; MTTR -</w:t>
      </w:r>
    </w:p>
    <w:p w14:paraId="60EBF59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MEAN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RESTORATION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5739E3D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Математичне</w:t>
      </w:r>
      <w:r w:rsidRPr="000977F7">
        <w:rPr>
          <w:rFonts w:asciiTheme="majorHAnsi" w:hAnsiTheme="majorHAnsi"/>
          <w:spacing w:val="8"/>
          <w:sz w:val="20"/>
          <w:szCs w:val="20"/>
        </w:rPr>
        <w:t xml:space="preserve"> </w:t>
      </w:r>
      <w:r w:rsidRPr="000977F7">
        <w:rPr>
          <w:rFonts w:asciiTheme="majorHAnsi" w:hAnsiTheme="majorHAnsi"/>
          <w:sz w:val="20"/>
          <w:szCs w:val="20"/>
        </w:rPr>
        <w:t>сподівання</w:t>
      </w:r>
      <w:r w:rsidRPr="000977F7">
        <w:rPr>
          <w:rFonts w:asciiTheme="majorHAnsi" w:hAnsiTheme="majorHAnsi"/>
          <w:spacing w:val="7"/>
          <w:sz w:val="20"/>
          <w:szCs w:val="20"/>
        </w:rPr>
        <w:t xml:space="preserve"> </w:t>
      </w:r>
      <w:r w:rsidRPr="000977F7">
        <w:rPr>
          <w:rFonts w:asciiTheme="majorHAnsi" w:hAnsiTheme="majorHAnsi"/>
          <w:sz w:val="20"/>
          <w:szCs w:val="20"/>
        </w:rPr>
        <w:t>часу</w:t>
      </w:r>
      <w:r w:rsidRPr="000977F7">
        <w:rPr>
          <w:rFonts w:asciiTheme="majorHAnsi" w:hAnsiTheme="majorHAnsi"/>
          <w:spacing w:val="4"/>
          <w:sz w:val="20"/>
          <w:szCs w:val="20"/>
        </w:rPr>
        <w:t xml:space="preserve"> </w:t>
      </w:r>
      <w:r w:rsidRPr="000977F7">
        <w:rPr>
          <w:rFonts w:asciiTheme="majorHAnsi" w:hAnsiTheme="majorHAnsi"/>
          <w:sz w:val="20"/>
          <w:szCs w:val="20"/>
        </w:rPr>
        <w:t>відновлення</w:t>
      </w:r>
      <w:r w:rsidRPr="000977F7">
        <w:rPr>
          <w:rFonts w:asciiTheme="majorHAnsi" w:hAnsiTheme="majorHAnsi"/>
          <w:spacing w:val="7"/>
          <w:sz w:val="20"/>
          <w:szCs w:val="20"/>
        </w:rPr>
        <w:t xml:space="preserve"> </w:t>
      </w:r>
      <w:r w:rsidRPr="000977F7">
        <w:rPr>
          <w:rFonts w:asciiTheme="majorHAnsi" w:hAnsiTheme="majorHAnsi"/>
          <w:sz w:val="20"/>
          <w:szCs w:val="20"/>
        </w:rPr>
        <w:t>працездатного стану</w:t>
      </w:r>
      <w:r w:rsidRPr="000977F7">
        <w:rPr>
          <w:rFonts w:asciiTheme="majorHAnsi" w:hAnsiTheme="majorHAnsi"/>
          <w:spacing w:val="-4"/>
          <w:sz w:val="20"/>
          <w:szCs w:val="20"/>
        </w:rPr>
        <w:t xml:space="preserve"> </w:t>
      </w:r>
      <w:r w:rsidRPr="000977F7">
        <w:rPr>
          <w:rFonts w:asciiTheme="majorHAnsi" w:hAnsiTheme="majorHAnsi"/>
          <w:sz w:val="20"/>
          <w:szCs w:val="20"/>
        </w:rPr>
        <w:t>об’єкта після</w:t>
      </w:r>
      <w:r w:rsidRPr="000977F7">
        <w:rPr>
          <w:rFonts w:asciiTheme="majorHAnsi" w:hAnsiTheme="majorHAnsi"/>
          <w:spacing w:val="1"/>
          <w:sz w:val="20"/>
          <w:szCs w:val="20"/>
        </w:rPr>
        <w:t xml:space="preserve"> </w:t>
      </w:r>
      <w:r w:rsidRPr="000977F7">
        <w:rPr>
          <w:rFonts w:asciiTheme="majorHAnsi" w:hAnsiTheme="majorHAnsi"/>
          <w:sz w:val="20"/>
          <w:szCs w:val="20"/>
        </w:rPr>
        <w:t>відмови</w:t>
      </w:r>
    </w:p>
    <w:p w14:paraId="62E6B99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86A09A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СЕРЕДНЯ ТРИВАЛІСТЬ ЗАТРИМКИ З </w:t>
      </w:r>
    </w:p>
    <w:p w14:paraId="27012FE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ОРГАНІ</w:t>
      </w:r>
      <w:r w:rsidRPr="000977F7">
        <w:rPr>
          <w:color w:val="auto"/>
          <w:spacing w:val="-47"/>
          <w:sz w:val="20"/>
          <w:szCs w:val="20"/>
        </w:rPr>
        <w:t xml:space="preserve"> </w:t>
      </w:r>
      <w:r w:rsidRPr="000977F7">
        <w:rPr>
          <w:color w:val="auto"/>
          <w:sz w:val="20"/>
          <w:szCs w:val="20"/>
        </w:rPr>
        <w:t>ЗАЦІЙНИХ</w:t>
      </w:r>
      <w:r w:rsidRPr="000977F7">
        <w:rPr>
          <w:color w:val="auto"/>
          <w:spacing w:val="-1"/>
          <w:sz w:val="20"/>
          <w:szCs w:val="20"/>
        </w:rPr>
        <w:t xml:space="preserve"> </w:t>
      </w:r>
      <w:r w:rsidRPr="000977F7">
        <w:rPr>
          <w:color w:val="auto"/>
          <w:sz w:val="20"/>
          <w:szCs w:val="20"/>
        </w:rPr>
        <w:t>ПРИЧИН</w:t>
      </w:r>
      <w:r w:rsidRPr="000977F7">
        <w:rPr>
          <w:color w:val="auto"/>
          <w:spacing w:val="3"/>
          <w:sz w:val="20"/>
          <w:szCs w:val="20"/>
        </w:rPr>
        <w:t xml:space="preserve"> </w:t>
      </w:r>
      <w:r w:rsidRPr="000977F7">
        <w:rPr>
          <w:color w:val="auto"/>
          <w:sz w:val="20"/>
          <w:szCs w:val="20"/>
        </w:rPr>
        <w:t>–</w:t>
      </w:r>
    </w:p>
    <w:p w14:paraId="73984BE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MEAN</w:t>
      </w:r>
      <w:r w:rsidRPr="004D2D14">
        <w:rPr>
          <w:rFonts w:asciiTheme="majorHAnsi" w:hAnsiTheme="majorHAnsi"/>
          <w:spacing w:val="-2"/>
          <w:sz w:val="20"/>
          <w:szCs w:val="20"/>
          <w:lang w:val="uk-UA"/>
        </w:rPr>
        <w:t xml:space="preserve"> </w:t>
      </w:r>
      <w:r w:rsidRPr="000977F7">
        <w:rPr>
          <w:rFonts w:asciiTheme="majorHAnsi" w:hAnsiTheme="majorHAnsi"/>
          <w:sz w:val="20"/>
          <w:szCs w:val="20"/>
        </w:rPr>
        <w:t>ADMINISTRATIVE</w:t>
      </w:r>
      <w:r w:rsidRPr="004D2D14">
        <w:rPr>
          <w:rFonts w:asciiTheme="majorHAnsi" w:hAnsiTheme="majorHAnsi"/>
          <w:spacing w:val="-4"/>
          <w:sz w:val="20"/>
          <w:szCs w:val="20"/>
          <w:lang w:val="uk-UA"/>
        </w:rPr>
        <w:t xml:space="preserve"> </w:t>
      </w:r>
      <w:r w:rsidRPr="000977F7">
        <w:rPr>
          <w:rFonts w:asciiTheme="majorHAnsi" w:hAnsiTheme="majorHAnsi"/>
          <w:sz w:val="20"/>
          <w:szCs w:val="20"/>
        </w:rPr>
        <w:t>DELAY</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34A578B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Математичне</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сподівання</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часу</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затримки</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організаційних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причин</w:t>
      </w:r>
    </w:p>
    <w:p w14:paraId="4B16135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ДСТУ</w:t>
      </w:r>
      <w:r w:rsidRPr="000977F7">
        <w:rPr>
          <w:rFonts w:asciiTheme="majorHAnsi" w:hAnsiTheme="majorHAnsi"/>
          <w:spacing w:val="-1"/>
          <w:sz w:val="20"/>
          <w:szCs w:val="20"/>
        </w:rPr>
        <w:t xml:space="preserve"> </w:t>
      </w:r>
      <w:r w:rsidRPr="000977F7">
        <w:rPr>
          <w:rFonts w:asciiTheme="majorHAnsi" w:hAnsiTheme="majorHAnsi"/>
          <w:sz w:val="20"/>
          <w:szCs w:val="20"/>
        </w:rPr>
        <w:t>2860</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94</w:t>
      </w:r>
    </w:p>
    <w:p w14:paraId="28F02C1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СЕРЕДНЯ ТРИВАЛІСТЬ ЗАТРИМКИ ЧЕРЕЗ</w:t>
      </w:r>
      <w:r w:rsidRPr="000977F7">
        <w:rPr>
          <w:color w:val="auto"/>
          <w:spacing w:val="1"/>
          <w:sz w:val="20"/>
          <w:szCs w:val="20"/>
        </w:rPr>
        <w:t xml:space="preserve"> </w:t>
      </w:r>
      <w:r w:rsidRPr="000977F7">
        <w:rPr>
          <w:color w:val="auto"/>
          <w:sz w:val="20"/>
          <w:szCs w:val="20"/>
        </w:rPr>
        <w:t>НЕЗАБЕЗПЕЧЕНІСТЬ</w:t>
      </w:r>
      <w:r w:rsidRPr="000977F7">
        <w:rPr>
          <w:color w:val="auto"/>
          <w:spacing w:val="1"/>
          <w:sz w:val="20"/>
          <w:szCs w:val="20"/>
        </w:rPr>
        <w:t xml:space="preserve"> </w:t>
      </w:r>
      <w:r w:rsidRPr="000977F7">
        <w:rPr>
          <w:color w:val="auto"/>
          <w:sz w:val="20"/>
          <w:szCs w:val="20"/>
        </w:rPr>
        <w:t xml:space="preserve">МАТЕРІАЛЬНИМИ </w:t>
      </w:r>
    </w:p>
    <w:p w14:paraId="20D97A5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w:t>
      </w:r>
      <w:r w:rsidRPr="000977F7">
        <w:rPr>
          <w:color w:val="auto"/>
          <w:spacing w:val="-47"/>
          <w:sz w:val="20"/>
          <w:szCs w:val="20"/>
        </w:rPr>
        <w:t xml:space="preserve"> </w:t>
      </w:r>
      <w:r w:rsidRPr="000977F7">
        <w:rPr>
          <w:color w:val="auto"/>
          <w:sz w:val="20"/>
          <w:szCs w:val="20"/>
        </w:rPr>
        <w:t>СУРСАМИ –</w:t>
      </w:r>
    </w:p>
    <w:p w14:paraId="5237A76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MEAN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LOGISTIC</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DELAY –</w:t>
      </w:r>
    </w:p>
    <w:p w14:paraId="3C1E436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Математичне</w:t>
      </w:r>
      <w:r w:rsidRPr="000977F7">
        <w:rPr>
          <w:rFonts w:asciiTheme="majorHAnsi" w:hAnsiTheme="majorHAnsi"/>
          <w:spacing w:val="3"/>
          <w:sz w:val="20"/>
          <w:szCs w:val="20"/>
        </w:rPr>
        <w:t xml:space="preserve"> </w:t>
      </w:r>
      <w:r w:rsidRPr="000977F7">
        <w:rPr>
          <w:rFonts w:asciiTheme="majorHAnsi" w:hAnsiTheme="majorHAnsi"/>
          <w:sz w:val="20"/>
          <w:szCs w:val="20"/>
        </w:rPr>
        <w:t>сподівання</w:t>
      </w:r>
      <w:r w:rsidRPr="000977F7">
        <w:rPr>
          <w:rFonts w:asciiTheme="majorHAnsi" w:hAnsiTheme="majorHAnsi"/>
          <w:spacing w:val="2"/>
          <w:sz w:val="20"/>
          <w:szCs w:val="20"/>
        </w:rPr>
        <w:t xml:space="preserve"> </w:t>
      </w:r>
      <w:r w:rsidRPr="000977F7">
        <w:rPr>
          <w:rFonts w:asciiTheme="majorHAnsi" w:hAnsiTheme="majorHAnsi"/>
          <w:sz w:val="20"/>
          <w:szCs w:val="20"/>
        </w:rPr>
        <w:t>тривалості</w:t>
      </w:r>
      <w:r w:rsidRPr="000977F7">
        <w:rPr>
          <w:rFonts w:asciiTheme="majorHAnsi" w:hAnsiTheme="majorHAnsi"/>
          <w:spacing w:val="2"/>
          <w:sz w:val="20"/>
          <w:szCs w:val="20"/>
        </w:rPr>
        <w:t xml:space="preserve"> </w:t>
      </w:r>
      <w:r w:rsidRPr="000977F7">
        <w:rPr>
          <w:rFonts w:asciiTheme="majorHAnsi" w:hAnsiTheme="majorHAnsi"/>
          <w:sz w:val="20"/>
          <w:szCs w:val="20"/>
        </w:rPr>
        <w:t>затримки</w:t>
      </w:r>
      <w:r w:rsidRPr="000977F7">
        <w:rPr>
          <w:rFonts w:asciiTheme="majorHAnsi" w:hAnsiTheme="majorHAnsi"/>
          <w:spacing w:val="1"/>
          <w:sz w:val="20"/>
          <w:szCs w:val="20"/>
        </w:rPr>
        <w:t xml:space="preserve"> </w:t>
      </w:r>
      <w:r w:rsidRPr="000977F7">
        <w:rPr>
          <w:rFonts w:asciiTheme="majorHAnsi" w:hAnsiTheme="majorHAnsi"/>
          <w:sz w:val="20"/>
          <w:szCs w:val="20"/>
        </w:rPr>
        <w:t>через</w:t>
      </w:r>
      <w:r w:rsidRPr="000977F7">
        <w:rPr>
          <w:rFonts w:asciiTheme="majorHAnsi" w:hAnsiTheme="majorHAnsi"/>
          <w:spacing w:val="-47"/>
          <w:sz w:val="20"/>
          <w:szCs w:val="20"/>
        </w:rPr>
        <w:t xml:space="preserve"> </w:t>
      </w:r>
      <w:r w:rsidRPr="000977F7">
        <w:rPr>
          <w:rFonts w:asciiTheme="majorHAnsi" w:hAnsiTheme="majorHAnsi"/>
          <w:sz w:val="20"/>
          <w:szCs w:val="20"/>
        </w:rPr>
        <w:t>незабезпеченість</w:t>
      </w:r>
      <w:r w:rsidRPr="000977F7">
        <w:rPr>
          <w:rFonts w:asciiTheme="majorHAnsi" w:hAnsiTheme="majorHAnsi"/>
          <w:spacing w:val="-2"/>
          <w:sz w:val="20"/>
          <w:szCs w:val="20"/>
        </w:rPr>
        <w:t xml:space="preserve"> </w:t>
      </w:r>
      <w:r w:rsidRPr="000977F7">
        <w:rPr>
          <w:rFonts w:asciiTheme="majorHAnsi" w:hAnsiTheme="majorHAnsi"/>
          <w:sz w:val="20"/>
          <w:szCs w:val="20"/>
        </w:rPr>
        <w:t>матеріальними</w:t>
      </w:r>
      <w:r w:rsidRPr="000977F7">
        <w:rPr>
          <w:rFonts w:asciiTheme="majorHAnsi" w:hAnsiTheme="majorHAnsi"/>
          <w:spacing w:val="-1"/>
          <w:sz w:val="20"/>
          <w:szCs w:val="20"/>
        </w:rPr>
        <w:t xml:space="preserve"> </w:t>
      </w:r>
      <w:r w:rsidRPr="000977F7">
        <w:rPr>
          <w:rFonts w:asciiTheme="majorHAnsi" w:hAnsiTheme="majorHAnsi"/>
          <w:sz w:val="20"/>
          <w:szCs w:val="20"/>
        </w:rPr>
        <w:t>ресурсами</w:t>
      </w:r>
    </w:p>
    <w:p w14:paraId="700BD11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060DB3D"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СЕРЕДНЯ</w:t>
      </w:r>
      <w:r w:rsidRPr="000977F7">
        <w:rPr>
          <w:color w:val="auto"/>
          <w:spacing w:val="-9"/>
          <w:sz w:val="20"/>
          <w:szCs w:val="20"/>
        </w:rPr>
        <w:t xml:space="preserve"> </w:t>
      </w:r>
      <w:r w:rsidRPr="000977F7">
        <w:rPr>
          <w:color w:val="auto"/>
          <w:sz w:val="20"/>
          <w:szCs w:val="20"/>
        </w:rPr>
        <w:t>ТРУДОМІСТКІСТЬ</w:t>
      </w:r>
      <w:r w:rsidRPr="000977F7">
        <w:rPr>
          <w:color w:val="auto"/>
          <w:spacing w:val="-7"/>
          <w:sz w:val="20"/>
          <w:szCs w:val="20"/>
        </w:rPr>
        <w:t xml:space="preserve"> </w:t>
      </w:r>
      <w:r w:rsidRPr="000977F7">
        <w:rPr>
          <w:color w:val="auto"/>
          <w:sz w:val="20"/>
          <w:szCs w:val="20"/>
        </w:rPr>
        <w:t>ТЕХНІЧНОГО</w:t>
      </w:r>
      <w:r w:rsidRPr="000977F7">
        <w:rPr>
          <w:color w:val="auto"/>
          <w:spacing w:val="-47"/>
          <w:sz w:val="20"/>
          <w:szCs w:val="20"/>
        </w:rPr>
        <w:t xml:space="preserve"> </w:t>
      </w:r>
      <w:r w:rsidRPr="000977F7">
        <w:rPr>
          <w:color w:val="auto"/>
          <w:sz w:val="20"/>
          <w:szCs w:val="20"/>
        </w:rPr>
        <w:t>ОБСЛУГОВУВАННЯ</w:t>
      </w:r>
      <w:r w:rsidRPr="000977F7">
        <w:rPr>
          <w:color w:val="auto"/>
          <w:spacing w:val="-1"/>
          <w:sz w:val="20"/>
          <w:szCs w:val="20"/>
        </w:rPr>
        <w:t xml:space="preserve"> </w:t>
      </w:r>
      <w:r w:rsidRPr="000977F7">
        <w:rPr>
          <w:color w:val="auto"/>
          <w:sz w:val="20"/>
          <w:szCs w:val="20"/>
        </w:rPr>
        <w:t>(РЕМОНТУ)</w:t>
      </w:r>
      <w:r w:rsidRPr="000977F7">
        <w:rPr>
          <w:color w:val="auto"/>
          <w:spacing w:val="3"/>
          <w:sz w:val="20"/>
          <w:szCs w:val="20"/>
        </w:rPr>
        <w:t xml:space="preserve"> </w:t>
      </w:r>
      <w:r w:rsidRPr="000977F7">
        <w:rPr>
          <w:b w:val="0"/>
          <w:color w:val="auto"/>
          <w:sz w:val="20"/>
          <w:szCs w:val="20"/>
        </w:rPr>
        <w:t>–</w:t>
      </w:r>
    </w:p>
    <w:p w14:paraId="6EC7671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MEAN</w:t>
      </w:r>
      <w:r w:rsidRPr="000977F7">
        <w:rPr>
          <w:rFonts w:asciiTheme="majorHAnsi" w:hAnsiTheme="majorHAnsi"/>
          <w:spacing w:val="-1"/>
          <w:sz w:val="20"/>
          <w:szCs w:val="20"/>
        </w:rPr>
        <w:t xml:space="preserve"> </w:t>
      </w:r>
      <w:r w:rsidRPr="000977F7">
        <w:rPr>
          <w:rFonts w:asciiTheme="majorHAnsi" w:hAnsiTheme="majorHAnsi"/>
          <w:sz w:val="20"/>
          <w:szCs w:val="20"/>
        </w:rPr>
        <w:t>REPAIRE</w:t>
      </w:r>
      <w:r w:rsidRPr="000977F7">
        <w:rPr>
          <w:rFonts w:asciiTheme="majorHAnsi" w:hAnsiTheme="majorHAnsi"/>
          <w:spacing w:val="-2"/>
          <w:sz w:val="20"/>
          <w:szCs w:val="20"/>
        </w:rPr>
        <w:t xml:space="preserve"> </w:t>
      </w:r>
      <w:r w:rsidRPr="000977F7">
        <w:rPr>
          <w:rFonts w:asciiTheme="majorHAnsi" w:hAnsiTheme="majorHAnsi"/>
          <w:sz w:val="20"/>
          <w:szCs w:val="20"/>
        </w:rPr>
        <w:t>TIME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2CA8C1C" w14:textId="77777777" w:rsidR="0097612F" w:rsidRPr="000977F7" w:rsidRDefault="0097612F" w:rsidP="000977F7">
      <w:pPr>
        <w:pStyle w:val="af6"/>
        <w:tabs>
          <w:tab w:val="left" w:pos="284"/>
        </w:tabs>
        <w:spacing w:after="0"/>
        <w:ind w:left="170"/>
        <w:mirrorIndents/>
        <w:jc w:val="both"/>
        <w:rPr>
          <w:rFonts w:asciiTheme="majorHAnsi" w:hAnsiTheme="majorHAnsi"/>
          <w:spacing w:val="-6"/>
          <w:sz w:val="20"/>
          <w:szCs w:val="20"/>
        </w:rPr>
      </w:pPr>
      <w:r w:rsidRPr="000977F7">
        <w:rPr>
          <w:rFonts w:asciiTheme="majorHAnsi" w:hAnsiTheme="majorHAnsi"/>
          <w:spacing w:val="-8"/>
          <w:sz w:val="20"/>
          <w:szCs w:val="20"/>
        </w:rPr>
        <w:t>Математичне сподівання трудомісткості</w:t>
      </w:r>
      <w:r w:rsidRPr="000977F7">
        <w:rPr>
          <w:rFonts w:asciiTheme="majorHAnsi" w:hAnsiTheme="majorHAnsi"/>
          <w:spacing w:val="-7"/>
          <w:sz w:val="20"/>
          <w:szCs w:val="20"/>
        </w:rPr>
        <w:t xml:space="preserve"> </w:t>
      </w:r>
      <w:r w:rsidRPr="000977F7">
        <w:rPr>
          <w:rFonts w:asciiTheme="majorHAnsi" w:hAnsiTheme="majorHAnsi"/>
          <w:spacing w:val="-8"/>
          <w:sz w:val="20"/>
          <w:szCs w:val="20"/>
        </w:rPr>
        <w:t xml:space="preserve">технічного обслуговування </w:t>
      </w:r>
      <w:r w:rsidRPr="000977F7">
        <w:rPr>
          <w:rFonts w:asciiTheme="majorHAnsi" w:hAnsiTheme="majorHAnsi"/>
          <w:spacing w:val="-7"/>
          <w:sz w:val="20"/>
          <w:szCs w:val="20"/>
        </w:rPr>
        <w:t>та (чи) ремонту, виражене в людино – годинах</w:t>
      </w:r>
      <w:r w:rsidRPr="000977F7">
        <w:rPr>
          <w:rFonts w:asciiTheme="majorHAnsi" w:hAnsiTheme="majorHAnsi"/>
          <w:spacing w:val="-6"/>
          <w:sz w:val="20"/>
          <w:szCs w:val="20"/>
        </w:rPr>
        <w:t xml:space="preserve"> </w:t>
      </w:r>
    </w:p>
    <w:p w14:paraId="5F6DF532"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8647614" w14:textId="77777777" w:rsidR="0097612F" w:rsidRPr="000977F7" w:rsidRDefault="0097612F" w:rsidP="000977F7">
      <w:pPr>
        <w:pStyle w:val="7"/>
        <w:tabs>
          <w:tab w:val="left" w:pos="284"/>
          <w:tab w:val="left" w:pos="3868"/>
        </w:tabs>
        <w:spacing w:before="0" w:line="240" w:lineRule="auto"/>
        <w:ind w:left="170"/>
        <w:mirrorIndents/>
        <w:jc w:val="both"/>
        <w:rPr>
          <w:color w:val="auto"/>
          <w:sz w:val="20"/>
          <w:szCs w:val="20"/>
        </w:rPr>
      </w:pPr>
      <w:r w:rsidRPr="000977F7">
        <w:rPr>
          <w:color w:val="auto"/>
          <w:sz w:val="20"/>
          <w:szCs w:val="20"/>
        </w:rPr>
        <w:t xml:space="preserve">СЕРЕДНЬОКВАДРАТИЧНИЙ ВІДХИЛ </w:t>
      </w:r>
    </w:p>
    <w:p w14:paraId="61129ADB" w14:textId="77777777" w:rsidR="0097612F" w:rsidRPr="000977F7" w:rsidRDefault="0097612F" w:rsidP="000977F7">
      <w:pPr>
        <w:pStyle w:val="7"/>
        <w:tabs>
          <w:tab w:val="left" w:pos="284"/>
          <w:tab w:val="left" w:pos="3868"/>
        </w:tabs>
        <w:spacing w:before="0" w:line="240" w:lineRule="auto"/>
        <w:ind w:left="170"/>
        <w:mirrorIndents/>
        <w:jc w:val="both"/>
        <w:rPr>
          <w:b w:val="0"/>
          <w:color w:val="auto"/>
          <w:sz w:val="20"/>
          <w:szCs w:val="20"/>
        </w:rPr>
      </w:pPr>
      <w:r w:rsidRPr="000977F7">
        <w:rPr>
          <w:color w:val="auto"/>
          <w:sz w:val="20"/>
          <w:szCs w:val="20"/>
        </w:rPr>
        <w:t>ВИПАД</w:t>
      </w:r>
      <w:r w:rsidRPr="000977F7">
        <w:rPr>
          <w:color w:val="auto"/>
          <w:spacing w:val="-47"/>
          <w:sz w:val="20"/>
          <w:szCs w:val="20"/>
        </w:rPr>
        <w:t xml:space="preserve"> </w:t>
      </w:r>
      <w:r w:rsidRPr="000977F7">
        <w:rPr>
          <w:color w:val="auto"/>
          <w:sz w:val="20"/>
          <w:szCs w:val="20"/>
        </w:rPr>
        <w:t>КОВОГО</w:t>
      </w:r>
      <w:r w:rsidRPr="000977F7">
        <w:rPr>
          <w:color w:val="auto"/>
          <w:spacing w:val="-4"/>
          <w:sz w:val="20"/>
          <w:szCs w:val="20"/>
        </w:rPr>
        <w:t xml:space="preserve"> </w:t>
      </w:r>
      <w:r w:rsidRPr="000977F7">
        <w:rPr>
          <w:color w:val="auto"/>
          <w:sz w:val="20"/>
          <w:szCs w:val="20"/>
        </w:rPr>
        <w:t>НАВАНТАЖУВАННЯ,</w:t>
      </w:r>
      <w:r w:rsidRPr="000977F7">
        <w:rPr>
          <w:color w:val="auto"/>
          <w:sz w:val="20"/>
          <w:szCs w:val="20"/>
        </w:rPr>
        <w:tab/>
        <w:t>( t )</w:t>
      </w:r>
      <w:r w:rsidRPr="000977F7">
        <w:rPr>
          <w:color w:val="auto"/>
          <w:spacing w:val="-1"/>
          <w:sz w:val="20"/>
          <w:szCs w:val="20"/>
        </w:rPr>
        <w:t xml:space="preserve"> </w:t>
      </w:r>
      <w:r w:rsidRPr="000977F7">
        <w:rPr>
          <w:b w:val="0"/>
          <w:color w:val="auto"/>
          <w:sz w:val="20"/>
          <w:szCs w:val="20"/>
        </w:rPr>
        <w:t>–</w:t>
      </w:r>
    </w:p>
    <w:p w14:paraId="21CBA93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STANDARD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DEVIATION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RANDOM</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LOADING</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PROCESS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1D284F4C"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Функція часу, що дорівнює для кожного значення ар</w:t>
      </w:r>
      <w:r w:rsidRPr="000977F7">
        <w:rPr>
          <w:rFonts w:asciiTheme="majorHAnsi" w:hAnsiTheme="majorHAnsi"/>
          <w:spacing w:val="-2"/>
          <w:sz w:val="20"/>
          <w:szCs w:val="20"/>
        </w:rPr>
        <w:t>гументу середньоквадратичному відхилу навантаження</w:t>
      </w:r>
      <w:r w:rsidRPr="000977F7">
        <w:rPr>
          <w:rFonts w:asciiTheme="majorHAnsi" w:hAnsiTheme="majorHAnsi"/>
          <w:spacing w:val="-47"/>
          <w:sz w:val="20"/>
          <w:szCs w:val="20"/>
        </w:rPr>
        <w:t xml:space="preserve"> </w:t>
      </w:r>
    </w:p>
    <w:p w14:paraId="2E76CAB0"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2444 - 94</w:t>
      </w:r>
    </w:p>
    <w:p w14:paraId="1E4A7EA2" w14:textId="77777777" w:rsidR="0097612F" w:rsidRPr="000977F7" w:rsidRDefault="0097612F" w:rsidP="000977F7">
      <w:pPr>
        <w:pStyle w:val="af6"/>
        <w:tabs>
          <w:tab w:val="left" w:pos="284"/>
        </w:tabs>
        <w:spacing w:after="0"/>
        <w:ind w:left="170"/>
        <w:mirrorIndents/>
        <w:jc w:val="both"/>
        <w:rPr>
          <w:rFonts w:asciiTheme="majorHAnsi" w:hAnsiTheme="majorHAnsi"/>
          <w:b/>
          <w:bCs/>
          <w:spacing w:val="2"/>
          <w:sz w:val="20"/>
          <w:szCs w:val="20"/>
        </w:rPr>
      </w:pPr>
      <w:r w:rsidRPr="000977F7">
        <w:rPr>
          <w:rFonts w:asciiTheme="majorHAnsi" w:hAnsiTheme="majorHAnsi"/>
          <w:b/>
          <w:bCs/>
          <w:sz w:val="20"/>
          <w:szCs w:val="20"/>
        </w:rPr>
        <w:t>СЕРЕДОВИЩЕ</w:t>
      </w:r>
      <w:r w:rsidRPr="000977F7">
        <w:rPr>
          <w:rFonts w:asciiTheme="majorHAnsi" w:hAnsiTheme="majorHAnsi"/>
          <w:b/>
          <w:bCs/>
          <w:spacing w:val="1"/>
          <w:sz w:val="20"/>
          <w:szCs w:val="20"/>
        </w:rPr>
        <w:t xml:space="preserve"> </w:t>
      </w:r>
      <w:r w:rsidRPr="000977F7">
        <w:rPr>
          <w:rFonts w:asciiTheme="majorHAnsi" w:hAnsiTheme="majorHAnsi"/>
          <w:b/>
          <w:bCs/>
          <w:sz w:val="20"/>
          <w:szCs w:val="20"/>
        </w:rPr>
        <w:t>ДЛЯ</w:t>
      </w:r>
      <w:r w:rsidRPr="000977F7">
        <w:rPr>
          <w:rFonts w:asciiTheme="majorHAnsi" w:hAnsiTheme="majorHAnsi"/>
          <w:b/>
          <w:bCs/>
          <w:spacing w:val="5"/>
          <w:sz w:val="20"/>
          <w:szCs w:val="20"/>
        </w:rPr>
        <w:t xml:space="preserve"> </w:t>
      </w:r>
      <w:r w:rsidRPr="000977F7">
        <w:rPr>
          <w:rFonts w:asciiTheme="majorHAnsi" w:hAnsiTheme="majorHAnsi"/>
          <w:b/>
          <w:bCs/>
          <w:sz w:val="20"/>
          <w:szCs w:val="20"/>
        </w:rPr>
        <w:t>ФУНКЦІЮВАННЯ</w:t>
      </w:r>
      <w:r w:rsidRPr="000977F7">
        <w:rPr>
          <w:rFonts w:asciiTheme="majorHAnsi" w:hAnsiTheme="majorHAnsi"/>
          <w:b/>
          <w:bCs/>
          <w:spacing w:val="2"/>
          <w:sz w:val="20"/>
          <w:szCs w:val="20"/>
        </w:rPr>
        <w:t xml:space="preserve"> </w:t>
      </w:r>
    </w:p>
    <w:p w14:paraId="2AE8C54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ПРО</w:t>
      </w:r>
      <w:r w:rsidRPr="000977F7">
        <w:rPr>
          <w:color w:val="auto"/>
          <w:spacing w:val="-47"/>
          <w:sz w:val="20"/>
          <w:szCs w:val="20"/>
        </w:rPr>
        <w:t xml:space="preserve"> </w:t>
      </w:r>
      <w:r w:rsidRPr="000977F7">
        <w:rPr>
          <w:color w:val="auto"/>
          <w:sz w:val="20"/>
          <w:szCs w:val="20"/>
        </w:rPr>
        <w:t>ЦЕСІВ –</w:t>
      </w:r>
    </w:p>
    <w:p w14:paraId="3EE4DFA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Організація повинна визначити, забезпечити та підтримувати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середовище,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необхідне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функціювання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своїх процесів і для досягнення відповідності продукції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послуг.</w:t>
      </w:r>
    </w:p>
    <w:p w14:paraId="6D64DF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 р и м і т к а: Придатним середовищем може бути</w:t>
      </w:r>
      <w:r w:rsidRPr="000977F7">
        <w:rPr>
          <w:rFonts w:asciiTheme="majorHAnsi" w:hAnsiTheme="majorHAnsi"/>
          <w:spacing w:val="1"/>
          <w:sz w:val="20"/>
          <w:szCs w:val="20"/>
        </w:rPr>
        <w:t xml:space="preserve"> </w:t>
      </w:r>
      <w:r w:rsidRPr="000977F7">
        <w:rPr>
          <w:rFonts w:asciiTheme="majorHAnsi" w:hAnsiTheme="majorHAnsi"/>
          <w:sz w:val="20"/>
          <w:szCs w:val="20"/>
        </w:rPr>
        <w:t>поєднання</w:t>
      </w:r>
      <w:r w:rsidRPr="000977F7">
        <w:rPr>
          <w:rFonts w:asciiTheme="majorHAnsi" w:hAnsiTheme="majorHAnsi"/>
          <w:spacing w:val="-2"/>
          <w:sz w:val="20"/>
          <w:szCs w:val="20"/>
        </w:rPr>
        <w:t xml:space="preserve"> </w:t>
      </w:r>
      <w:r w:rsidRPr="000977F7">
        <w:rPr>
          <w:rFonts w:asciiTheme="majorHAnsi" w:hAnsiTheme="majorHAnsi"/>
          <w:sz w:val="20"/>
          <w:szCs w:val="20"/>
        </w:rPr>
        <w:t>людських</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фізичних</w:t>
      </w:r>
      <w:r w:rsidRPr="000977F7">
        <w:rPr>
          <w:rFonts w:asciiTheme="majorHAnsi" w:hAnsiTheme="majorHAnsi"/>
          <w:spacing w:val="-2"/>
          <w:sz w:val="20"/>
          <w:szCs w:val="20"/>
        </w:rPr>
        <w:t xml:space="preserve"> </w:t>
      </w:r>
      <w:r w:rsidRPr="000977F7">
        <w:rPr>
          <w:rFonts w:asciiTheme="majorHAnsi" w:hAnsiTheme="majorHAnsi"/>
          <w:sz w:val="20"/>
          <w:szCs w:val="20"/>
        </w:rPr>
        <w:t>чинників, як</w:t>
      </w:r>
      <w:r w:rsidRPr="000977F7">
        <w:rPr>
          <w:rFonts w:asciiTheme="majorHAnsi" w:hAnsiTheme="majorHAnsi"/>
          <w:spacing w:val="-2"/>
          <w:sz w:val="20"/>
          <w:szCs w:val="20"/>
        </w:rPr>
        <w:t xml:space="preserve"> </w:t>
      </w:r>
      <w:r w:rsidRPr="000977F7">
        <w:rPr>
          <w:rFonts w:asciiTheme="majorHAnsi" w:hAnsiTheme="majorHAnsi"/>
          <w:sz w:val="20"/>
          <w:szCs w:val="20"/>
        </w:rPr>
        <w:t>от:</w:t>
      </w:r>
    </w:p>
    <w:p w14:paraId="51E34A9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соціальних (наприклад, відсутність дискримінації,</w:t>
      </w:r>
      <w:r w:rsidRPr="000977F7">
        <w:rPr>
          <w:rFonts w:asciiTheme="majorHAnsi" w:hAnsiTheme="majorHAnsi"/>
          <w:spacing w:val="1"/>
          <w:sz w:val="20"/>
          <w:szCs w:val="20"/>
        </w:rPr>
        <w:t xml:space="preserve"> </w:t>
      </w:r>
      <w:r w:rsidRPr="000977F7">
        <w:rPr>
          <w:rFonts w:asciiTheme="majorHAnsi" w:hAnsiTheme="majorHAnsi"/>
          <w:sz w:val="20"/>
          <w:szCs w:val="20"/>
        </w:rPr>
        <w:t>спокій,</w:t>
      </w:r>
      <w:r w:rsidRPr="000977F7">
        <w:rPr>
          <w:rFonts w:asciiTheme="majorHAnsi" w:hAnsiTheme="majorHAnsi"/>
          <w:spacing w:val="-1"/>
          <w:sz w:val="20"/>
          <w:szCs w:val="20"/>
        </w:rPr>
        <w:t xml:space="preserve"> </w:t>
      </w:r>
      <w:r w:rsidRPr="000977F7">
        <w:rPr>
          <w:rFonts w:asciiTheme="majorHAnsi" w:hAnsiTheme="majorHAnsi"/>
          <w:sz w:val="20"/>
          <w:szCs w:val="20"/>
        </w:rPr>
        <w:t>неконфліктність);</w:t>
      </w:r>
    </w:p>
    <w:p w14:paraId="17B2A5C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w:t>
      </w:r>
      <w:r w:rsidRPr="000977F7">
        <w:rPr>
          <w:rFonts w:asciiTheme="majorHAnsi" w:hAnsiTheme="majorHAnsi"/>
          <w:spacing w:val="1"/>
          <w:sz w:val="20"/>
          <w:szCs w:val="20"/>
        </w:rPr>
        <w:t xml:space="preserve"> </w:t>
      </w:r>
      <w:r w:rsidRPr="000977F7">
        <w:rPr>
          <w:rFonts w:asciiTheme="majorHAnsi" w:hAnsiTheme="majorHAnsi"/>
          <w:sz w:val="20"/>
          <w:szCs w:val="20"/>
        </w:rPr>
        <w:t>психологічних</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зменшення</w:t>
      </w:r>
      <w:r w:rsidRPr="000977F7">
        <w:rPr>
          <w:rFonts w:asciiTheme="majorHAnsi" w:hAnsiTheme="majorHAnsi"/>
          <w:spacing w:val="1"/>
          <w:sz w:val="20"/>
          <w:szCs w:val="20"/>
        </w:rPr>
        <w:t xml:space="preserve"> </w:t>
      </w:r>
      <w:r w:rsidRPr="000977F7">
        <w:rPr>
          <w:rFonts w:asciiTheme="majorHAnsi" w:hAnsiTheme="majorHAnsi"/>
          <w:sz w:val="20"/>
          <w:szCs w:val="20"/>
        </w:rPr>
        <w:t>стресових</w:t>
      </w:r>
      <w:r w:rsidRPr="000977F7">
        <w:rPr>
          <w:rFonts w:asciiTheme="majorHAnsi" w:hAnsiTheme="majorHAnsi"/>
          <w:spacing w:val="-47"/>
          <w:sz w:val="20"/>
          <w:szCs w:val="20"/>
        </w:rPr>
        <w:t xml:space="preserve"> </w:t>
      </w:r>
      <w:r w:rsidRPr="000977F7">
        <w:rPr>
          <w:rFonts w:asciiTheme="majorHAnsi" w:hAnsiTheme="majorHAnsi"/>
          <w:sz w:val="20"/>
          <w:szCs w:val="20"/>
        </w:rPr>
        <w:t>станів, запобігання емоційному виснаженню, емоційний</w:t>
      </w:r>
      <w:r w:rsidRPr="000977F7">
        <w:rPr>
          <w:rFonts w:asciiTheme="majorHAnsi" w:hAnsiTheme="majorHAnsi"/>
          <w:spacing w:val="-2"/>
          <w:sz w:val="20"/>
          <w:szCs w:val="20"/>
        </w:rPr>
        <w:t xml:space="preserve"> </w:t>
      </w:r>
      <w:r w:rsidRPr="000977F7">
        <w:rPr>
          <w:rFonts w:asciiTheme="majorHAnsi" w:hAnsiTheme="majorHAnsi"/>
          <w:sz w:val="20"/>
          <w:szCs w:val="20"/>
        </w:rPr>
        <w:t>комфорт);</w:t>
      </w:r>
    </w:p>
    <w:p w14:paraId="3B8EB25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w:t>
      </w:r>
      <w:r w:rsidRPr="000977F7">
        <w:rPr>
          <w:rFonts w:asciiTheme="majorHAnsi" w:hAnsiTheme="majorHAnsi"/>
          <w:spacing w:val="23"/>
          <w:sz w:val="20"/>
          <w:szCs w:val="20"/>
        </w:rPr>
        <w:t xml:space="preserve"> </w:t>
      </w:r>
      <w:r w:rsidRPr="000977F7">
        <w:rPr>
          <w:rFonts w:asciiTheme="majorHAnsi" w:hAnsiTheme="majorHAnsi"/>
          <w:sz w:val="20"/>
          <w:szCs w:val="20"/>
        </w:rPr>
        <w:t>фізичних</w:t>
      </w:r>
      <w:r w:rsidRPr="000977F7">
        <w:rPr>
          <w:rFonts w:asciiTheme="majorHAnsi" w:hAnsiTheme="majorHAnsi"/>
          <w:spacing w:val="20"/>
          <w:sz w:val="20"/>
          <w:szCs w:val="20"/>
        </w:rPr>
        <w:t xml:space="preserve"> </w:t>
      </w:r>
      <w:r w:rsidRPr="000977F7">
        <w:rPr>
          <w:rFonts w:asciiTheme="majorHAnsi" w:hAnsiTheme="majorHAnsi"/>
          <w:sz w:val="20"/>
          <w:szCs w:val="20"/>
        </w:rPr>
        <w:t>(наприклад,</w:t>
      </w:r>
      <w:r w:rsidRPr="000977F7">
        <w:rPr>
          <w:rFonts w:asciiTheme="majorHAnsi" w:hAnsiTheme="majorHAnsi"/>
          <w:spacing w:val="24"/>
          <w:sz w:val="20"/>
          <w:szCs w:val="20"/>
        </w:rPr>
        <w:t xml:space="preserve"> </w:t>
      </w:r>
      <w:r w:rsidRPr="000977F7">
        <w:rPr>
          <w:rFonts w:asciiTheme="majorHAnsi" w:hAnsiTheme="majorHAnsi"/>
          <w:sz w:val="20"/>
          <w:szCs w:val="20"/>
        </w:rPr>
        <w:t>температура,</w:t>
      </w:r>
      <w:r w:rsidRPr="000977F7">
        <w:rPr>
          <w:rFonts w:asciiTheme="majorHAnsi" w:hAnsiTheme="majorHAnsi"/>
          <w:spacing w:val="22"/>
          <w:sz w:val="20"/>
          <w:szCs w:val="20"/>
        </w:rPr>
        <w:t xml:space="preserve"> </w:t>
      </w:r>
      <w:r w:rsidRPr="000977F7">
        <w:rPr>
          <w:rFonts w:asciiTheme="majorHAnsi" w:hAnsiTheme="majorHAnsi"/>
          <w:sz w:val="20"/>
          <w:szCs w:val="20"/>
        </w:rPr>
        <w:t>тепло,</w:t>
      </w:r>
      <w:r w:rsidRPr="000977F7">
        <w:rPr>
          <w:rFonts w:asciiTheme="majorHAnsi" w:hAnsiTheme="majorHAnsi"/>
          <w:spacing w:val="22"/>
          <w:sz w:val="20"/>
          <w:szCs w:val="20"/>
        </w:rPr>
        <w:t xml:space="preserve"> </w:t>
      </w:r>
      <w:r w:rsidRPr="000977F7">
        <w:rPr>
          <w:rFonts w:asciiTheme="majorHAnsi" w:hAnsiTheme="majorHAnsi"/>
          <w:sz w:val="20"/>
          <w:szCs w:val="20"/>
        </w:rPr>
        <w:t>вологість, освітленість, циркуляція повітря, гігієна, шум).</w:t>
      </w:r>
      <w:r w:rsidRPr="000977F7">
        <w:rPr>
          <w:rFonts w:asciiTheme="majorHAnsi" w:hAnsiTheme="majorHAnsi"/>
          <w:spacing w:val="1"/>
          <w:sz w:val="20"/>
          <w:szCs w:val="20"/>
        </w:rPr>
        <w:t xml:space="preserve"> </w:t>
      </w:r>
      <w:r w:rsidRPr="000977F7">
        <w:rPr>
          <w:rFonts w:asciiTheme="majorHAnsi" w:hAnsiTheme="majorHAnsi"/>
          <w:sz w:val="20"/>
          <w:szCs w:val="20"/>
        </w:rPr>
        <w:t>Ці</w:t>
      </w:r>
      <w:r w:rsidRPr="000977F7">
        <w:rPr>
          <w:rFonts w:asciiTheme="majorHAnsi" w:hAnsiTheme="majorHAnsi"/>
          <w:spacing w:val="20"/>
          <w:sz w:val="20"/>
          <w:szCs w:val="20"/>
        </w:rPr>
        <w:t xml:space="preserve"> </w:t>
      </w:r>
      <w:r w:rsidRPr="000977F7">
        <w:rPr>
          <w:rFonts w:asciiTheme="majorHAnsi" w:hAnsiTheme="majorHAnsi"/>
          <w:sz w:val="20"/>
          <w:szCs w:val="20"/>
        </w:rPr>
        <w:t>чинники</w:t>
      </w:r>
      <w:r w:rsidRPr="000977F7">
        <w:rPr>
          <w:rFonts w:asciiTheme="majorHAnsi" w:hAnsiTheme="majorHAnsi"/>
          <w:spacing w:val="19"/>
          <w:sz w:val="20"/>
          <w:szCs w:val="20"/>
        </w:rPr>
        <w:t xml:space="preserve"> </w:t>
      </w:r>
      <w:r w:rsidRPr="000977F7">
        <w:rPr>
          <w:rFonts w:asciiTheme="majorHAnsi" w:hAnsiTheme="majorHAnsi"/>
          <w:sz w:val="20"/>
          <w:szCs w:val="20"/>
        </w:rPr>
        <w:t>можуть</w:t>
      </w:r>
      <w:r w:rsidRPr="000977F7">
        <w:rPr>
          <w:rFonts w:asciiTheme="majorHAnsi" w:hAnsiTheme="majorHAnsi"/>
          <w:spacing w:val="21"/>
          <w:sz w:val="20"/>
          <w:szCs w:val="20"/>
        </w:rPr>
        <w:t xml:space="preserve"> </w:t>
      </w:r>
      <w:r w:rsidRPr="000977F7">
        <w:rPr>
          <w:rFonts w:asciiTheme="majorHAnsi" w:hAnsiTheme="majorHAnsi"/>
          <w:sz w:val="20"/>
          <w:szCs w:val="20"/>
        </w:rPr>
        <w:t>різнитися</w:t>
      </w:r>
      <w:r w:rsidRPr="000977F7">
        <w:rPr>
          <w:rFonts w:asciiTheme="majorHAnsi" w:hAnsiTheme="majorHAnsi"/>
          <w:spacing w:val="20"/>
          <w:sz w:val="20"/>
          <w:szCs w:val="20"/>
        </w:rPr>
        <w:t xml:space="preserve"> </w:t>
      </w:r>
      <w:r w:rsidRPr="000977F7">
        <w:rPr>
          <w:rFonts w:asciiTheme="majorHAnsi" w:hAnsiTheme="majorHAnsi"/>
          <w:sz w:val="20"/>
          <w:szCs w:val="20"/>
        </w:rPr>
        <w:t>залежно</w:t>
      </w:r>
      <w:r w:rsidRPr="000977F7">
        <w:rPr>
          <w:rFonts w:asciiTheme="majorHAnsi" w:hAnsiTheme="majorHAnsi"/>
          <w:spacing w:val="22"/>
          <w:sz w:val="20"/>
          <w:szCs w:val="20"/>
        </w:rPr>
        <w:t xml:space="preserve"> </w:t>
      </w:r>
      <w:r w:rsidRPr="000977F7">
        <w:rPr>
          <w:rFonts w:asciiTheme="majorHAnsi" w:hAnsiTheme="majorHAnsi"/>
          <w:sz w:val="20"/>
          <w:szCs w:val="20"/>
        </w:rPr>
        <w:t>від</w:t>
      </w:r>
      <w:r w:rsidRPr="000977F7">
        <w:rPr>
          <w:rFonts w:asciiTheme="majorHAnsi" w:hAnsiTheme="majorHAnsi"/>
          <w:spacing w:val="19"/>
          <w:sz w:val="20"/>
          <w:szCs w:val="20"/>
        </w:rPr>
        <w:t xml:space="preserve"> </w:t>
      </w:r>
      <w:r w:rsidRPr="000977F7">
        <w:rPr>
          <w:rFonts w:asciiTheme="majorHAnsi" w:hAnsiTheme="majorHAnsi"/>
          <w:sz w:val="20"/>
          <w:szCs w:val="20"/>
        </w:rPr>
        <w:t>надаваних</w:t>
      </w:r>
      <w:r w:rsidRPr="000977F7">
        <w:rPr>
          <w:rFonts w:asciiTheme="majorHAnsi" w:hAnsiTheme="majorHAnsi"/>
          <w:spacing w:val="-47"/>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 послуг.</w:t>
      </w:r>
    </w:p>
    <w:p w14:paraId="6C5C6E6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310515A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СЕРЕДОВИЩЕ ЖИТТЄДІЯЛЬНОСТІ ЛЮДИНИ –</w:t>
      </w:r>
    </w:p>
    <w:p w14:paraId="2B1B86A6"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Сукупність об'єктів, явищ і факторів навколишнього середовища (природного і штучно створеного), що безпосередньо оточують людину і визначають умови її проживання, харчування, праці, відпочинку, навчання, виховання тощо</w:t>
      </w:r>
    </w:p>
    <w:p w14:paraId="5A095AE1"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забезпечення санітарного та епідемічного благополуччя населення"</w:t>
      </w:r>
    </w:p>
    <w:p w14:paraId="33F05C0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СЕРЕДОВИЩЕ ОРГАНІЗАЦІЇ -</w:t>
      </w:r>
    </w:p>
    <w:p w14:paraId="27066C47"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b w:val="0"/>
          <w:color w:val="auto"/>
          <w:sz w:val="20"/>
          <w:szCs w:val="20"/>
        </w:rPr>
        <w:t>CONTEXT OF THE ORGANIZATION -</w:t>
      </w:r>
    </w:p>
    <w:p w14:paraId="3C74B86F"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b w:val="0"/>
          <w:color w:val="auto"/>
          <w:sz w:val="20"/>
          <w:szCs w:val="20"/>
        </w:rPr>
        <w:t>Сукупність зовнішніх і внутрішніх чинників, які можуть мати вплив на підхід організації до розроблення та досягнення своїх цілей</w:t>
      </w:r>
    </w:p>
    <w:p w14:paraId="64D44F9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0977F7">
        <w:rPr>
          <w:rFonts w:asciiTheme="majorHAnsi" w:hAnsiTheme="majorHAnsi"/>
          <w:i/>
          <w:sz w:val="20"/>
          <w:szCs w:val="20"/>
        </w:rPr>
        <w:t>ISO</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9000:2015</w:t>
      </w:r>
    </w:p>
    <w:p w14:paraId="3FFE48D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СЕРІЙНЕ</w:t>
      </w:r>
      <w:r w:rsidRPr="000977F7">
        <w:rPr>
          <w:color w:val="auto"/>
          <w:spacing w:val="-5"/>
          <w:sz w:val="20"/>
          <w:szCs w:val="20"/>
        </w:rPr>
        <w:t xml:space="preserve"> </w:t>
      </w:r>
      <w:r w:rsidRPr="000977F7">
        <w:rPr>
          <w:color w:val="auto"/>
          <w:sz w:val="20"/>
          <w:szCs w:val="20"/>
        </w:rPr>
        <w:t>ВИРОБНИЦТВО –</w:t>
      </w:r>
    </w:p>
    <w:p w14:paraId="193C688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Тип виробництва, що характеризується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виготовленням на підприємстві обмеженої номенклатури однорідної продукції, випуск якої періодично повторюється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протягом тривалого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періоду</w:t>
      </w:r>
    </w:p>
    <w:p w14:paraId="3D82940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576997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СЕРІЯ</w:t>
      </w:r>
      <w:r w:rsidRPr="000977F7">
        <w:rPr>
          <w:color w:val="auto"/>
          <w:spacing w:val="-3"/>
          <w:sz w:val="20"/>
          <w:szCs w:val="20"/>
        </w:rPr>
        <w:t xml:space="preserve"> </w:t>
      </w:r>
      <w:r w:rsidRPr="000977F7">
        <w:rPr>
          <w:color w:val="auto"/>
          <w:sz w:val="20"/>
          <w:szCs w:val="20"/>
        </w:rPr>
        <w:t>ВИРОБУ</w:t>
      </w:r>
      <w:r w:rsidRPr="000977F7">
        <w:rPr>
          <w:color w:val="auto"/>
          <w:spacing w:val="-1"/>
          <w:sz w:val="20"/>
          <w:szCs w:val="20"/>
        </w:rPr>
        <w:t xml:space="preserve"> </w:t>
      </w:r>
      <w:r w:rsidRPr="000977F7">
        <w:rPr>
          <w:color w:val="auto"/>
          <w:sz w:val="20"/>
          <w:szCs w:val="20"/>
        </w:rPr>
        <w:t>–</w:t>
      </w:r>
    </w:p>
    <w:p w14:paraId="41EAC698"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Усі</w:t>
      </w:r>
      <w:r w:rsidRPr="000977F7">
        <w:rPr>
          <w:rFonts w:asciiTheme="majorHAnsi" w:hAnsiTheme="majorHAnsi"/>
          <w:spacing w:val="17"/>
          <w:sz w:val="20"/>
          <w:szCs w:val="20"/>
        </w:rPr>
        <w:t xml:space="preserve"> </w:t>
      </w:r>
      <w:r w:rsidRPr="000977F7">
        <w:rPr>
          <w:rFonts w:asciiTheme="majorHAnsi" w:hAnsiTheme="majorHAnsi"/>
          <w:sz w:val="20"/>
          <w:szCs w:val="20"/>
        </w:rPr>
        <w:t>вироби,</w:t>
      </w:r>
      <w:r w:rsidRPr="000977F7">
        <w:rPr>
          <w:rFonts w:asciiTheme="majorHAnsi" w:hAnsiTheme="majorHAnsi"/>
          <w:spacing w:val="21"/>
          <w:sz w:val="20"/>
          <w:szCs w:val="20"/>
        </w:rPr>
        <w:t xml:space="preserve"> </w:t>
      </w:r>
      <w:r w:rsidRPr="000977F7">
        <w:rPr>
          <w:rFonts w:asciiTheme="majorHAnsi" w:hAnsiTheme="majorHAnsi"/>
          <w:sz w:val="20"/>
          <w:szCs w:val="20"/>
        </w:rPr>
        <w:t>виготовлені</w:t>
      </w:r>
      <w:r w:rsidRPr="000977F7">
        <w:rPr>
          <w:rFonts w:asciiTheme="majorHAnsi" w:hAnsiTheme="majorHAnsi"/>
          <w:spacing w:val="17"/>
          <w:sz w:val="20"/>
          <w:szCs w:val="20"/>
        </w:rPr>
        <w:t xml:space="preserve"> </w:t>
      </w:r>
      <w:r w:rsidRPr="000977F7">
        <w:rPr>
          <w:rFonts w:asciiTheme="majorHAnsi" w:hAnsiTheme="majorHAnsi"/>
          <w:sz w:val="20"/>
          <w:szCs w:val="20"/>
        </w:rPr>
        <w:t>за</w:t>
      </w:r>
      <w:r w:rsidRPr="000977F7">
        <w:rPr>
          <w:rFonts w:asciiTheme="majorHAnsi" w:hAnsiTheme="majorHAnsi"/>
          <w:spacing w:val="24"/>
          <w:sz w:val="20"/>
          <w:szCs w:val="20"/>
        </w:rPr>
        <w:t xml:space="preserve"> </w:t>
      </w:r>
      <w:r w:rsidRPr="000977F7">
        <w:rPr>
          <w:rFonts w:asciiTheme="majorHAnsi" w:hAnsiTheme="majorHAnsi"/>
          <w:sz w:val="20"/>
          <w:szCs w:val="20"/>
        </w:rPr>
        <w:t>конструкторською</w:t>
      </w:r>
      <w:r w:rsidRPr="000977F7">
        <w:rPr>
          <w:rFonts w:asciiTheme="majorHAnsi" w:hAnsiTheme="majorHAnsi"/>
          <w:spacing w:val="19"/>
          <w:sz w:val="20"/>
          <w:szCs w:val="20"/>
        </w:rPr>
        <w:t xml:space="preserve"> </w:t>
      </w:r>
      <w:r w:rsidRPr="000977F7">
        <w:rPr>
          <w:rFonts w:asciiTheme="majorHAnsi" w:hAnsiTheme="majorHAnsi"/>
          <w:sz w:val="20"/>
          <w:szCs w:val="20"/>
        </w:rPr>
        <w:t>та</w:t>
      </w:r>
      <w:r w:rsidRPr="000977F7">
        <w:rPr>
          <w:rFonts w:asciiTheme="majorHAnsi" w:hAnsiTheme="majorHAnsi"/>
          <w:spacing w:val="21"/>
          <w:sz w:val="20"/>
          <w:szCs w:val="20"/>
        </w:rPr>
        <w:t xml:space="preserve"> </w:t>
      </w:r>
      <w:r w:rsidRPr="000977F7">
        <w:rPr>
          <w:rFonts w:asciiTheme="majorHAnsi" w:hAnsiTheme="majorHAnsi"/>
          <w:sz w:val="20"/>
          <w:szCs w:val="20"/>
        </w:rPr>
        <w:t>технологічною документацією без зміни її позначення</w:t>
      </w:r>
      <w:r w:rsidRPr="000977F7">
        <w:rPr>
          <w:rFonts w:asciiTheme="majorHAnsi" w:hAnsiTheme="majorHAnsi"/>
          <w:spacing w:val="1"/>
          <w:sz w:val="20"/>
          <w:szCs w:val="20"/>
        </w:rPr>
        <w:t xml:space="preserve"> </w:t>
      </w:r>
    </w:p>
    <w:p w14:paraId="66D196EC"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2974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197D68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СЕРЙОЗНИЙ РИЗИК –</w:t>
      </w:r>
    </w:p>
    <w:p w14:paraId="090E612D"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Будь-яка загроза суспільним інтересам, що потребує оперативного втручання державних органів, у тому числі така, наслідки якої не виявляються негайно</w:t>
      </w:r>
    </w:p>
    <w:p w14:paraId="07B2A430"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загальну безпечність нехарчової продукції"</w:t>
      </w:r>
    </w:p>
    <w:p w14:paraId="6B5178B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СЕРТИФІКАТ</w:t>
      </w:r>
      <w:r w:rsidRPr="000977F7">
        <w:rPr>
          <w:color w:val="auto"/>
          <w:spacing w:val="-5"/>
          <w:sz w:val="20"/>
          <w:szCs w:val="20"/>
        </w:rPr>
        <w:t xml:space="preserve"> </w:t>
      </w:r>
      <w:r w:rsidRPr="000977F7">
        <w:rPr>
          <w:color w:val="auto"/>
          <w:sz w:val="20"/>
          <w:szCs w:val="20"/>
        </w:rPr>
        <w:t>–</w:t>
      </w:r>
    </w:p>
    <w:p w14:paraId="2F8FDB12" w14:textId="77777777" w:rsidR="0097612F" w:rsidRPr="000977F7" w:rsidRDefault="0097612F" w:rsidP="000977F7">
      <w:pPr>
        <w:pStyle w:val="af6"/>
        <w:tabs>
          <w:tab w:val="left" w:pos="284"/>
        </w:tabs>
        <w:spacing w:after="0"/>
        <w:ind w:left="170"/>
        <w:mirrorIndents/>
        <w:jc w:val="both"/>
        <w:rPr>
          <w:rFonts w:asciiTheme="majorHAnsi" w:hAnsiTheme="majorHAnsi"/>
          <w:spacing w:val="-48"/>
          <w:sz w:val="20"/>
          <w:szCs w:val="20"/>
        </w:rPr>
      </w:pPr>
      <w:r w:rsidRPr="000977F7">
        <w:rPr>
          <w:rFonts w:asciiTheme="majorHAnsi" w:hAnsiTheme="majorHAnsi"/>
          <w:sz w:val="20"/>
          <w:szCs w:val="20"/>
        </w:rPr>
        <w:t>Документ,</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2"/>
          <w:sz w:val="20"/>
          <w:szCs w:val="20"/>
        </w:rPr>
        <w:t xml:space="preserve"> </w:t>
      </w:r>
      <w:r w:rsidRPr="000977F7">
        <w:rPr>
          <w:rFonts w:asciiTheme="majorHAnsi" w:hAnsiTheme="majorHAnsi"/>
          <w:sz w:val="20"/>
          <w:szCs w:val="20"/>
        </w:rPr>
        <w:t>засвідчує</w:t>
      </w:r>
      <w:r w:rsidRPr="000977F7">
        <w:rPr>
          <w:rFonts w:asciiTheme="majorHAnsi" w:hAnsiTheme="majorHAnsi"/>
          <w:spacing w:val="-2"/>
          <w:sz w:val="20"/>
          <w:szCs w:val="20"/>
        </w:rPr>
        <w:t xml:space="preserve"> </w:t>
      </w:r>
      <w:r w:rsidRPr="000977F7">
        <w:rPr>
          <w:rFonts w:asciiTheme="majorHAnsi" w:hAnsiTheme="majorHAnsi"/>
          <w:sz w:val="20"/>
          <w:szCs w:val="20"/>
        </w:rPr>
        <w:t>той</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4"/>
          <w:sz w:val="20"/>
          <w:szCs w:val="20"/>
        </w:rPr>
        <w:t xml:space="preserve"> </w:t>
      </w:r>
      <w:r w:rsidRPr="000977F7">
        <w:rPr>
          <w:rFonts w:asciiTheme="majorHAnsi" w:hAnsiTheme="majorHAnsi"/>
          <w:sz w:val="20"/>
          <w:szCs w:val="20"/>
        </w:rPr>
        <w:t>інший</w:t>
      </w:r>
      <w:r w:rsidRPr="000977F7">
        <w:rPr>
          <w:rFonts w:asciiTheme="majorHAnsi" w:hAnsiTheme="majorHAnsi"/>
          <w:spacing w:val="-3"/>
          <w:sz w:val="20"/>
          <w:szCs w:val="20"/>
        </w:rPr>
        <w:t xml:space="preserve"> </w:t>
      </w:r>
      <w:r w:rsidRPr="000977F7">
        <w:rPr>
          <w:rFonts w:asciiTheme="majorHAnsi" w:hAnsiTheme="majorHAnsi"/>
          <w:sz w:val="20"/>
          <w:szCs w:val="20"/>
        </w:rPr>
        <w:t>факт</w:t>
      </w:r>
      <w:r w:rsidRPr="000977F7">
        <w:rPr>
          <w:rFonts w:asciiTheme="majorHAnsi" w:hAnsiTheme="majorHAnsi"/>
          <w:spacing w:val="-48"/>
          <w:sz w:val="20"/>
          <w:szCs w:val="20"/>
        </w:rPr>
        <w:t xml:space="preserve"> </w:t>
      </w:r>
    </w:p>
    <w:p w14:paraId="3CD401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C37576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зовнішній торгівлі використовують два види цього</w:t>
      </w:r>
      <w:r w:rsidRPr="000977F7">
        <w:rPr>
          <w:rFonts w:asciiTheme="majorHAnsi" w:hAnsiTheme="majorHAnsi"/>
          <w:spacing w:val="1"/>
          <w:sz w:val="20"/>
          <w:szCs w:val="20"/>
        </w:rPr>
        <w:t xml:space="preserve"> </w:t>
      </w:r>
      <w:r w:rsidRPr="000977F7">
        <w:rPr>
          <w:rFonts w:asciiTheme="majorHAnsi" w:hAnsiTheme="majorHAnsi"/>
          <w:sz w:val="20"/>
          <w:szCs w:val="20"/>
        </w:rPr>
        <w:t>документа:</w:t>
      </w:r>
      <w:r w:rsidRPr="000977F7">
        <w:rPr>
          <w:rFonts w:asciiTheme="majorHAnsi" w:hAnsiTheme="majorHAnsi"/>
          <w:spacing w:val="1"/>
          <w:sz w:val="20"/>
          <w:szCs w:val="20"/>
        </w:rPr>
        <w:t xml:space="preserve"> </w:t>
      </w:r>
      <w:r w:rsidRPr="000977F7">
        <w:rPr>
          <w:rFonts w:asciiTheme="majorHAnsi" w:hAnsiTheme="majorHAnsi"/>
          <w:sz w:val="20"/>
          <w:szCs w:val="20"/>
        </w:rPr>
        <w:t>сертифікат</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сертифікат</w:t>
      </w:r>
      <w:r w:rsidRPr="000977F7">
        <w:rPr>
          <w:rFonts w:asciiTheme="majorHAnsi" w:hAnsiTheme="majorHAnsi"/>
          <w:spacing w:val="1"/>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походження</w:t>
      </w:r>
    </w:p>
    <w:p w14:paraId="62220F8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3293</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4FBA451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СЕРТИФІКАТ</w:t>
      </w:r>
      <w:r w:rsidRPr="000977F7">
        <w:rPr>
          <w:color w:val="auto"/>
          <w:spacing w:val="-6"/>
          <w:sz w:val="20"/>
          <w:szCs w:val="20"/>
        </w:rPr>
        <w:t xml:space="preserve"> </w:t>
      </w:r>
      <w:r w:rsidRPr="000977F7">
        <w:rPr>
          <w:color w:val="auto"/>
          <w:sz w:val="20"/>
          <w:szCs w:val="20"/>
        </w:rPr>
        <w:t>ВІДПОВІДНОСТІ</w:t>
      </w:r>
      <w:r w:rsidRPr="000977F7">
        <w:rPr>
          <w:color w:val="auto"/>
          <w:spacing w:val="-2"/>
          <w:sz w:val="20"/>
          <w:szCs w:val="20"/>
        </w:rPr>
        <w:t xml:space="preserve"> </w:t>
      </w:r>
      <w:r w:rsidRPr="000977F7">
        <w:rPr>
          <w:color w:val="auto"/>
          <w:sz w:val="20"/>
          <w:szCs w:val="20"/>
        </w:rPr>
        <w:t>–</w:t>
      </w:r>
    </w:p>
    <w:p w14:paraId="37FA8E0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CERTIFICATE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CONFORMITY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2268A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w:t>
      </w:r>
      <w:r w:rsidRPr="000977F7">
        <w:rPr>
          <w:rFonts w:asciiTheme="majorHAnsi" w:hAnsiTheme="majorHAnsi"/>
          <w:spacing w:val="2"/>
          <w:sz w:val="20"/>
          <w:szCs w:val="20"/>
        </w:rPr>
        <w:t xml:space="preserve"> </w:t>
      </w:r>
      <w:r w:rsidRPr="000977F7">
        <w:rPr>
          <w:rFonts w:asciiTheme="majorHAnsi" w:hAnsiTheme="majorHAnsi"/>
          <w:sz w:val="20"/>
          <w:szCs w:val="20"/>
        </w:rPr>
        <w:t>виданий</w:t>
      </w:r>
      <w:r w:rsidRPr="000977F7">
        <w:rPr>
          <w:rFonts w:asciiTheme="majorHAnsi" w:hAnsiTheme="majorHAnsi"/>
          <w:spacing w:val="1"/>
          <w:sz w:val="20"/>
          <w:szCs w:val="20"/>
        </w:rPr>
        <w:t xml:space="preserve"> </w:t>
      </w:r>
      <w:r w:rsidRPr="000977F7">
        <w:rPr>
          <w:rFonts w:asciiTheme="majorHAnsi" w:hAnsiTheme="majorHAnsi"/>
          <w:sz w:val="20"/>
          <w:szCs w:val="20"/>
        </w:rPr>
        <w:t>згідно</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2"/>
          <w:sz w:val="20"/>
          <w:szCs w:val="20"/>
        </w:rPr>
        <w:t xml:space="preserve"> </w:t>
      </w:r>
      <w:r w:rsidRPr="000977F7">
        <w:rPr>
          <w:rFonts w:asciiTheme="majorHAnsi" w:hAnsiTheme="majorHAnsi"/>
          <w:sz w:val="20"/>
          <w:szCs w:val="20"/>
        </w:rPr>
        <w:t>правилами</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сертифікації, який вказує, що забезпечується необхідна впевненість</w:t>
      </w:r>
      <w:r w:rsidRPr="000977F7">
        <w:rPr>
          <w:rFonts w:asciiTheme="majorHAnsi" w:hAnsiTheme="majorHAnsi"/>
          <w:spacing w:val="21"/>
          <w:sz w:val="20"/>
          <w:szCs w:val="20"/>
        </w:rPr>
        <w:t xml:space="preserve"> </w:t>
      </w:r>
      <w:r w:rsidRPr="000977F7">
        <w:rPr>
          <w:rFonts w:asciiTheme="majorHAnsi" w:hAnsiTheme="majorHAnsi"/>
          <w:sz w:val="20"/>
          <w:szCs w:val="20"/>
        </w:rPr>
        <w:t>у</w:t>
      </w:r>
      <w:r w:rsidRPr="000977F7">
        <w:rPr>
          <w:rFonts w:asciiTheme="majorHAnsi" w:hAnsiTheme="majorHAnsi"/>
          <w:spacing w:val="17"/>
          <w:sz w:val="20"/>
          <w:szCs w:val="20"/>
        </w:rPr>
        <w:t xml:space="preserve"> </w:t>
      </w:r>
      <w:r w:rsidRPr="000977F7">
        <w:rPr>
          <w:rFonts w:asciiTheme="majorHAnsi" w:hAnsiTheme="majorHAnsi"/>
          <w:sz w:val="20"/>
          <w:szCs w:val="20"/>
        </w:rPr>
        <w:t>тому,</w:t>
      </w:r>
      <w:r w:rsidRPr="000977F7">
        <w:rPr>
          <w:rFonts w:asciiTheme="majorHAnsi" w:hAnsiTheme="majorHAnsi"/>
          <w:spacing w:val="20"/>
          <w:sz w:val="20"/>
          <w:szCs w:val="20"/>
        </w:rPr>
        <w:t xml:space="preserve"> </w:t>
      </w:r>
      <w:r w:rsidRPr="000977F7">
        <w:rPr>
          <w:rFonts w:asciiTheme="majorHAnsi" w:hAnsiTheme="majorHAnsi"/>
          <w:sz w:val="20"/>
          <w:szCs w:val="20"/>
        </w:rPr>
        <w:t>що</w:t>
      </w:r>
      <w:r w:rsidRPr="000977F7">
        <w:rPr>
          <w:rFonts w:asciiTheme="majorHAnsi" w:hAnsiTheme="majorHAnsi"/>
          <w:spacing w:val="20"/>
          <w:sz w:val="20"/>
          <w:szCs w:val="20"/>
        </w:rPr>
        <w:t xml:space="preserve"> </w:t>
      </w:r>
      <w:r w:rsidRPr="000977F7">
        <w:rPr>
          <w:rFonts w:asciiTheme="majorHAnsi" w:hAnsiTheme="majorHAnsi"/>
          <w:sz w:val="20"/>
          <w:szCs w:val="20"/>
        </w:rPr>
        <w:t>належним</w:t>
      </w:r>
      <w:r w:rsidRPr="000977F7">
        <w:rPr>
          <w:rFonts w:asciiTheme="majorHAnsi" w:hAnsiTheme="majorHAnsi"/>
          <w:spacing w:val="20"/>
          <w:sz w:val="20"/>
          <w:szCs w:val="20"/>
        </w:rPr>
        <w:t xml:space="preserve"> </w:t>
      </w:r>
      <w:r w:rsidRPr="000977F7">
        <w:rPr>
          <w:rFonts w:asciiTheme="majorHAnsi" w:hAnsiTheme="majorHAnsi"/>
          <w:sz w:val="20"/>
          <w:szCs w:val="20"/>
        </w:rPr>
        <w:t>чином</w:t>
      </w:r>
      <w:r w:rsidRPr="000977F7">
        <w:rPr>
          <w:rFonts w:asciiTheme="majorHAnsi" w:hAnsiTheme="majorHAnsi"/>
          <w:spacing w:val="20"/>
          <w:sz w:val="20"/>
          <w:szCs w:val="20"/>
        </w:rPr>
        <w:t xml:space="preserve"> </w:t>
      </w:r>
      <w:r w:rsidRPr="000977F7">
        <w:rPr>
          <w:rFonts w:asciiTheme="majorHAnsi" w:hAnsiTheme="majorHAnsi"/>
          <w:sz w:val="20"/>
          <w:szCs w:val="20"/>
        </w:rPr>
        <w:t>ідентифікована</w:t>
      </w:r>
      <w:r w:rsidRPr="000977F7">
        <w:rPr>
          <w:rFonts w:asciiTheme="majorHAnsi" w:hAnsiTheme="majorHAnsi"/>
          <w:spacing w:val="-47"/>
          <w:sz w:val="20"/>
          <w:szCs w:val="20"/>
        </w:rPr>
        <w:t xml:space="preserve"> </w:t>
      </w:r>
      <w:r w:rsidRPr="000977F7">
        <w:rPr>
          <w:rFonts w:asciiTheme="majorHAnsi" w:hAnsiTheme="majorHAnsi"/>
          <w:sz w:val="20"/>
          <w:szCs w:val="20"/>
        </w:rPr>
        <w:t>продукція,</w:t>
      </w:r>
      <w:r w:rsidRPr="000977F7">
        <w:rPr>
          <w:rFonts w:asciiTheme="majorHAnsi" w:hAnsiTheme="majorHAnsi"/>
          <w:spacing w:val="18"/>
          <w:sz w:val="20"/>
          <w:szCs w:val="20"/>
        </w:rPr>
        <w:t xml:space="preserve"> </w:t>
      </w:r>
      <w:r w:rsidRPr="000977F7">
        <w:rPr>
          <w:rFonts w:asciiTheme="majorHAnsi" w:hAnsiTheme="majorHAnsi"/>
          <w:sz w:val="20"/>
          <w:szCs w:val="20"/>
        </w:rPr>
        <w:t>процес</w:t>
      </w:r>
      <w:r w:rsidRPr="000977F7">
        <w:rPr>
          <w:rFonts w:asciiTheme="majorHAnsi" w:hAnsiTheme="majorHAnsi"/>
          <w:spacing w:val="16"/>
          <w:sz w:val="20"/>
          <w:szCs w:val="20"/>
        </w:rPr>
        <w:t xml:space="preserve"> </w:t>
      </w:r>
      <w:r w:rsidRPr="000977F7">
        <w:rPr>
          <w:rFonts w:asciiTheme="majorHAnsi" w:hAnsiTheme="majorHAnsi"/>
          <w:sz w:val="20"/>
          <w:szCs w:val="20"/>
        </w:rPr>
        <w:t>або</w:t>
      </w:r>
      <w:r w:rsidRPr="000977F7">
        <w:rPr>
          <w:rFonts w:asciiTheme="majorHAnsi" w:hAnsiTheme="majorHAnsi"/>
          <w:spacing w:val="17"/>
          <w:sz w:val="20"/>
          <w:szCs w:val="20"/>
        </w:rPr>
        <w:t xml:space="preserve"> </w:t>
      </w:r>
      <w:r w:rsidRPr="000977F7">
        <w:rPr>
          <w:rFonts w:asciiTheme="majorHAnsi" w:hAnsiTheme="majorHAnsi"/>
          <w:sz w:val="20"/>
          <w:szCs w:val="20"/>
        </w:rPr>
        <w:t>послуга</w:t>
      </w:r>
      <w:r w:rsidRPr="000977F7">
        <w:rPr>
          <w:rFonts w:asciiTheme="majorHAnsi" w:hAnsiTheme="majorHAnsi"/>
          <w:spacing w:val="18"/>
          <w:sz w:val="20"/>
          <w:szCs w:val="20"/>
        </w:rPr>
        <w:t xml:space="preserve"> </w:t>
      </w:r>
      <w:r w:rsidRPr="000977F7">
        <w:rPr>
          <w:rFonts w:asciiTheme="majorHAnsi" w:hAnsiTheme="majorHAnsi"/>
          <w:sz w:val="20"/>
          <w:szCs w:val="20"/>
        </w:rPr>
        <w:t>відповідають</w:t>
      </w:r>
      <w:r w:rsidRPr="000977F7">
        <w:rPr>
          <w:rFonts w:asciiTheme="majorHAnsi" w:hAnsiTheme="majorHAnsi"/>
          <w:spacing w:val="17"/>
          <w:sz w:val="20"/>
          <w:szCs w:val="20"/>
        </w:rPr>
        <w:t xml:space="preserve"> </w:t>
      </w:r>
      <w:r w:rsidRPr="000977F7">
        <w:rPr>
          <w:rFonts w:asciiTheme="majorHAnsi" w:hAnsiTheme="majorHAnsi"/>
          <w:sz w:val="20"/>
          <w:szCs w:val="20"/>
        </w:rPr>
        <w:t>конкрет</w:t>
      </w:r>
      <w:r w:rsidRPr="000977F7">
        <w:rPr>
          <w:rFonts w:asciiTheme="majorHAnsi" w:hAnsiTheme="majorHAnsi"/>
          <w:spacing w:val="-2"/>
          <w:sz w:val="20"/>
          <w:szCs w:val="20"/>
        </w:rPr>
        <w:t xml:space="preserve">ному стандартові чи іншому </w:t>
      </w:r>
      <w:r w:rsidRPr="000977F7">
        <w:rPr>
          <w:rFonts w:asciiTheme="majorHAnsi" w:hAnsiTheme="majorHAnsi"/>
          <w:spacing w:val="-1"/>
          <w:sz w:val="20"/>
          <w:szCs w:val="20"/>
        </w:rPr>
        <w:t>нормативному документу</w:t>
      </w:r>
      <w:r w:rsidRPr="000977F7">
        <w:rPr>
          <w:rFonts w:asciiTheme="majorHAnsi" w:hAnsiTheme="majorHAnsi"/>
          <w:sz w:val="20"/>
          <w:szCs w:val="20"/>
        </w:rPr>
        <w:t xml:space="preserve"> </w:t>
      </w:r>
    </w:p>
    <w:p w14:paraId="3BA54E5A"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3278</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FBB966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СЕРТИФІКАТ</w:t>
      </w:r>
      <w:r w:rsidRPr="000977F7">
        <w:rPr>
          <w:color w:val="auto"/>
          <w:spacing w:val="-6"/>
          <w:sz w:val="20"/>
          <w:szCs w:val="20"/>
        </w:rPr>
        <w:t xml:space="preserve"> </w:t>
      </w:r>
      <w:r w:rsidRPr="000977F7">
        <w:rPr>
          <w:color w:val="auto"/>
          <w:sz w:val="20"/>
          <w:szCs w:val="20"/>
        </w:rPr>
        <w:t>ЕКСПЕРТА-АУДИТОРА</w:t>
      </w:r>
      <w:r w:rsidRPr="000977F7">
        <w:rPr>
          <w:color w:val="auto"/>
          <w:spacing w:val="-5"/>
          <w:sz w:val="20"/>
          <w:szCs w:val="20"/>
        </w:rPr>
        <w:t xml:space="preserve"> </w:t>
      </w:r>
      <w:r w:rsidRPr="000977F7">
        <w:rPr>
          <w:color w:val="auto"/>
          <w:sz w:val="20"/>
          <w:szCs w:val="20"/>
        </w:rPr>
        <w:t>–</w:t>
      </w:r>
    </w:p>
    <w:p w14:paraId="6A86DB9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виданий згідно з правилами системи сертифікації, який посвідчує, що вказана особа має необхідну кваліфікацію і є експертом-аудитором у певному</w:t>
      </w:r>
      <w:r w:rsidRPr="000977F7">
        <w:rPr>
          <w:rFonts w:asciiTheme="majorHAnsi" w:hAnsiTheme="majorHAnsi"/>
          <w:spacing w:val="-2"/>
          <w:sz w:val="20"/>
          <w:szCs w:val="20"/>
        </w:rPr>
        <w:t xml:space="preserve"> </w:t>
      </w:r>
      <w:r w:rsidRPr="000977F7">
        <w:rPr>
          <w:rFonts w:asciiTheme="majorHAnsi" w:hAnsiTheme="majorHAnsi"/>
          <w:sz w:val="20"/>
          <w:szCs w:val="20"/>
        </w:rPr>
        <w:t>напрямку</w:t>
      </w:r>
      <w:r w:rsidRPr="000977F7">
        <w:rPr>
          <w:rFonts w:asciiTheme="majorHAnsi" w:hAnsiTheme="majorHAnsi"/>
          <w:spacing w:val="-1"/>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2"/>
          <w:sz w:val="20"/>
          <w:szCs w:val="20"/>
        </w:rPr>
        <w:t xml:space="preserve"> </w:t>
      </w:r>
      <w:r w:rsidRPr="000977F7">
        <w:rPr>
          <w:rFonts w:asciiTheme="majorHAnsi" w:hAnsiTheme="majorHAnsi"/>
          <w:sz w:val="20"/>
          <w:szCs w:val="20"/>
        </w:rPr>
        <w:t>з сертифікації</w:t>
      </w:r>
    </w:p>
    <w:p w14:paraId="52A323B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СЕРТИФІКАТ</w:t>
      </w:r>
      <w:r w:rsidRPr="000977F7">
        <w:rPr>
          <w:color w:val="auto"/>
          <w:spacing w:val="-5"/>
          <w:sz w:val="20"/>
          <w:szCs w:val="20"/>
        </w:rPr>
        <w:t xml:space="preserve"> </w:t>
      </w:r>
      <w:r w:rsidRPr="000977F7">
        <w:rPr>
          <w:color w:val="auto"/>
          <w:sz w:val="20"/>
          <w:szCs w:val="20"/>
        </w:rPr>
        <w:t>З</w:t>
      </w:r>
      <w:r w:rsidRPr="000977F7">
        <w:rPr>
          <w:color w:val="auto"/>
          <w:spacing w:val="-2"/>
          <w:sz w:val="20"/>
          <w:szCs w:val="20"/>
        </w:rPr>
        <w:t xml:space="preserve"> </w:t>
      </w:r>
      <w:r w:rsidRPr="000977F7">
        <w:rPr>
          <w:color w:val="auto"/>
          <w:sz w:val="20"/>
          <w:szCs w:val="20"/>
        </w:rPr>
        <w:t>ЯКОСТІ</w:t>
      </w:r>
      <w:r w:rsidRPr="000977F7">
        <w:rPr>
          <w:color w:val="auto"/>
          <w:spacing w:val="-2"/>
          <w:sz w:val="20"/>
          <w:szCs w:val="20"/>
        </w:rPr>
        <w:t xml:space="preserve"> </w:t>
      </w:r>
      <w:r w:rsidRPr="000977F7">
        <w:rPr>
          <w:color w:val="auto"/>
          <w:sz w:val="20"/>
          <w:szCs w:val="20"/>
        </w:rPr>
        <w:t>–</w:t>
      </w:r>
    </w:p>
    <w:p w14:paraId="579D367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CERTIFICATE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QUALITY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453F1B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Товаросупроводжуючий</w:t>
      </w:r>
      <w:r w:rsidRPr="000977F7">
        <w:rPr>
          <w:rFonts w:asciiTheme="majorHAnsi" w:hAnsiTheme="majorHAnsi"/>
          <w:spacing w:val="-8"/>
          <w:sz w:val="20"/>
          <w:szCs w:val="20"/>
        </w:rPr>
        <w:t xml:space="preserve"> </w:t>
      </w:r>
      <w:r w:rsidRPr="000977F7">
        <w:rPr>
          <w:rFonts w:asciiTheme="majorHAnsi" w:hAnsiTheme="majorHAnsi"/>
          <w:sz w:val="20"/>
          <w:szCs w:val="20"/>
        </w:rPr>
        <w:t>документ,</w:t>
      </w:r>
      <w:r w:rsidRPr="000977F7">
        <w:rPr>
          <w:rFonts w:asciiTheme="majorHAnsi" w:hAnsiTheme="majorHAnsi"/>
          <w:spacing w:val="-6"/>
          <w:sz w:val="20"/>
          <w:szCs w:val="20"/>
        </w:rPr>
        <w:t xml:space="preserve"> </w:t>
      </w:r>
      <w:r w:rsidRPr="000977F7">
        <w:rPr>
          <w:rFonts w:asciiTheme="majorHAnsi" w:hAnsiTheme="majorHAnsi"/>
          <w:sz w:val="20"/>
          <w:szCs w:val="20"/>
        </w:rPr>
        <w:t>що</w:t>
      </w:r>
      <w:r w:rsidRPr="000977F7">
        <w:rPr>
          <w:rFonts w:asciiTheme="majorHAnsi" w:hAnsiTheme="majorHAnsi"/>
          <w:spacing w:val="-6"/>
          <w:sz w:val="20"/>
          <w:szCs w:val="20"/>
        </w:rPr>
        <w:t xml:space="preserve"> </w:t>
      </w:r>
      <w:r w:rsidRPr="000977F7">
        <w:rPr>
          <w:rFonts w:asciiTheme="majorHAnsi" w:hAnsiTheme="majorHAnsi"/>
          <w:sz w:val="20"/>
          <w:szCs w:val="20"/>
        </w:rPr>
        <w:t>засвідчує</w:t>
      </w:r>
      <w:r w:rsidRPr="000977F7">
        <w:rPr>
          <w:rFonts w:asciiTheme="majorHAnsi" w:hAnsiTheme="majorHAnsi"/>
          <w:spacing w:val="-48"/>
          <w:sz w:val="20"/>
          <w:szCs w:val="20"/>
        </w:rPr>
        <w:t xml:space="preserve"> </w:t>
      </w:r>
      <w:r w:rsidRPr="000977F7">
        <w:rPr>
          <w:rFonts w:asciiTheme="majorHAnsi" w:hAnsiTheme="majorHAnsi"/>
          <w:sz w:val="20"/>
          <w:szCs w:val="20"/>
        </w:rPr>
        <w:t>якість</w:t>
      </w:r>
      <w:r w:rsidRPr="000977F7">
        <w:rPr>
          <w:rFonts w:asciiTheme="majorHAnsi" w:hAnsiTheme="majorHAnsi"/>
          <w:spacing w:val="1"/>
          <w:sz w:val="20"/>
          <w:szCs w:val="20"/>
        </w:rPr>
        <w:t xml:space="preserve"> </w:t>
      </w:r>
      <w:r w:rsidRPr="000977F7">
        <w:rPr>
          <w:rFonts w:asciiTheme="majorHAnsi" w:hAnsiTheme="majorHAnsi"/>
          <w:sz w:val="20"/>
          <w:szCs w:val="20"/>
        </w:rPr>
        <w:t>поставленого</w:t>
      </w:r>
      <w:r w:rsidRPr="000977F7">
        <w:rPr>
          <w:rFonts w:asciiTheme="majorHAnsi" w:hAnsiTheme="majorHAnsi"/>
          <w:spacing w:val="1"/>
          <w:sz w:val="20"/>
          <w:szCs w:val="20"/>
        </w:rPr>
        <w:t xml:space="preserve"> </w:t>
      </w:r>
      <w:r w:rsidRPr="000977F7">
        <w:rPr>
          <w:rFonts w:asciiTheme="majorHAnsi" w:hAnsiTheme="majorHAnsi"/>
          <w:sz w:val="20"/>
          <w:szCs w:val="20"/>
        </w:rPr>
        <w:t>товару</w:t>
      </w:r>
    </w:p>
    <w:p w14:paraId="2116327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СЕРТИФІКАТ НА СИСТЕМУ ЯКОСТІ ПІДПРИЄМСТВА</w:t>
      </w:r>
      <w:r w:rsidRPr="000977F7">
        <w:rPr>
          <w:color w:val="auto"/>
          <w:spacing w:val="-1"/>
          <w:sz w:val="20"/>
          <w:szCs w:val="20"/>
        </w:rPr>
        <w:t xml:space="preserve"> </w:t>
      </w:r>
      <w:r w:rsidRPr="000977F7">
        <w:rPr>
          <w:color w:val="auto"/>
          <w:sz w:val="20"/>
          <w:szCs w:val="20"/>
        </w:rPr>
        <w:t>–</w:t>
      </w:r>
    </w:p>
    <w:p w14:paraId="6B99C40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виданий згідно з правилами системи сертифікації, який посвідчує, що система якості перевірюваного</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відповідає</w:t>
      </w:r>
      <w:r w:rsidRPr="000977F7">
        <w:rPr>
          <w:rFonts w:asciiTheme="majorHAnsi" w:hAnsiTheme="majorHAnsi"/>
          <w:spacing w:val="1"/>
          <w:sz w:val="20"/>
          <w:szCs w:val="20"/>
        </w:rPr>
        <w:t xml:space="preserve"> </w:t>
      </w:r>
      <w:r w:rsidRPr="000977F7">
        <w:rPr>
          <w:rFonts w:asciiTheme="majorHAnsi" w:hAnsiTheme="majorHAnsi"/>
          <w:sz w:val="20"/>
          <w:szCs w:val="20"/>
        </w:rPr>
        <w:t>вимогам</w:t>
      </w:r>
      <w:r w:rsidRPr="000977F7">
        <w:rPr>
          <w:rFonts w:asciiTheme="majorHAnsi" w:hAnsiTheme="majorHAnsi"/>
          <w:spacing w:val="1"/>
          <w:sz w:val="20"/>
          <w:szCs w:val="20"/>
        </w:rPr>
        <w:t xml:space="preserve"> </w:t>
      </w:r>
      <w:r w:rsidRPr="000977F7">
        <w:rPr>
          <w:rFonts w:asciiTheme="majorHAnsi" w:hAnsiTheme="majorHAnsi"/>
          <w:sz w:val="20"/>
          <w:szCs w:val="20"/>
        </w:rPr>
        <w:t>державного</w:t>
      </w:r>
      <w:r w:rsidRPr="000977F7">
        <w:rPr>
          <w:rFonts w:asciiTheme="majorHAnsi" w:hAnsiTheme="majorHAnsi"/>
          <w:spacing w:val="-1"/>
          <w:sz w:val="20"/>
          <w:szCs w:val="20"/>
        </w:rPr>
        <w:t xml:space="preserve"> </w:t>
      </w:r>
      <w:r w:rsidRPr="000977F7">
        <w:rPr>
          <w:rFonts w:asciiTheme="majorHAnsi" w:hAnsiTheme="majorHAnsi"/>
          <w:sz w:val="20"/>
          <w:szCs w:val="20"/>
        </w:rPr>
        <w:t>або міжнародного стандарту</w:t>
      </w:r>
      <w:r w:rsidRPr="000977F7">
        <w:rPr>
          <w:rFonts w:asciiTheme="majorHAnsi" w:hAnsiTheme="majorHAnsi"/>
          <w:spacing w:val="-5"/>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2"/>
          <w:sz w:val="20"/>
          <w:szCs w:val="20"/>
        </w:rPr>
        <w:t xml:space="preserve"> </w:t>
      </w:r>
      <w:r w:rsidRPr="000977F7">
        <w:rPr>
          <w:rFonts w:asciiTheme="majorHAnsi" w:hAnsiTheme="majorHAnsi"/>
          <w:sz w:val="20"/>
          <w:szCs w:val="20"/>
        </w:rPr>
        <w:t>якості</w:t>
      </w:r>
    </w:p>
    <w:p w14:paraId="0503575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6C3A104C" w14:textId="77777777" w:rsidR="0097612F" w:rsidRPr="000977F7" w:rsidRDefault="0097612F" w:rsidP="00FD39A4">
      <w:pPr>
        <w:pStyle w:val="ac"/>
        <w:widowControl w:val="0"/>
        <w:numPr>
          <w:ilvl w:val="0"/>
          <w:numId w:val="87"/>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w:t>
      </w:r>
      <w:r w:rsidRPr="000977F7">
        <w:rPr>
          <w:rFonts w:asciiTheme="majorHAnsi" w:hAnsiTheme="majorHAnsi"/>
          <w:spacing w:val="19"/>
          <w:sz w:val="20"/>
          <w:szCs w:val="20"/>
        </w:rPr>
        <w:t xml:space="preserve"> </w:t>
      </w:r>
      <w:r w:rsidRPr="000977F7">
        <w:rPr>
          <w:rFonts w:asciiTheme="majorHAnsi" w:hAnsiTheme="majorHAnsi"/>
          <w:sz w:val="20"/>
          <w:szCs w:val="20"/>
        </w:rPr>
        <w:t>певних</w:t>
      </w:r>
      <w:r w:rsidRPr="000977F7">
        <w:rPr>
          <w:rFonts w:asciiTheme="majorHAnsi" w:hAnsiTheme="majorHAnsi"/>
          <w:spacing w:val="19"/>
          <w:sz w:val="20"/>
          <w:szCs w:val="20"/>
        </w:rPr>
        <w:t xml:space="preserve"> </w:t>
      </w:r>
      <w:r w:rsidRPr="000977F7">
        <w:rPr>
          <w:rFonts w:asciiTheme="majorHAnsi" w:hAnsiTheme="majorHAnsi"/>
          <w:sz w:val="20"/>
          <w:szCs w:val="20"/>
        </w:rPr>
        <w:t>випадках</w:t>
      </w:r>
      <w:r w:rsidRPr="000977F7">
        <w:rPr>
          <w:rFonts w:asciiTheme="majorHAnsi" w:hAnsiTheme="majorHAnsi"/>
          <w:spacing w:val="17"/>
          <w:sz w:val="20"/>
          <w:szCs w:val="20"/>
        </w:rPr>
        <w:t xml:space="preserve"> </w:t>
      </w:r>
      <w:r w:rsidRPr="000977F7">
        <w:rPr>
          <w:rFonts w:asciiTheme="majorHAnsi" w:hAnsiTheme="majorHAnsi"/>
          <w:sz w:val="20"/>
          <w:szCs w:val="20"/>
        </w:rPr>
        <w:t>згідно</w:t>
      </w:r>
      <w:r w:rsidRPr="000977F7">
        <w:rPr>
          <w:rFonts w:asciiTheme="majorHAnsi" w:hAnsiTheme="majorHAnsi"/>
          <w:spacing w:val="20"/>
          <w:sz w:val="20"/>
          <w:szCs w:val="20"/>
        </w:rPr>
        <w:t xml:space="preserve"> </w:t>
      </w:r>
      <w:r w:rsidRPr="000977F7">
        <w:rPr>
          <w:rFonts w:asciiTheme="majorHAnsi" w:hAnsiTheme="majorHAnsi"/>
          <w:sz w:val="20"/>
          <w:szCs w:val="20"/>
        </w:rPr>
        <w:t>з</w:t>
      </w:r>
      <w:r w:rsidRPr="000977F7">
        <w:rPr>
          <w:rFonts w:asciiTheme="majorHAnsi" w:hAnsiTheme="majorHAnsi"/>
          <w:spacing w:val="21"/>
          <w:sz w:val="20"/>
          <w:szCs w:val="20"/>
        </w:rPr>
        <w:t xml:space="preserve"> </w:t>
      </w:r>
      <w:r w:rsidRPr="000977F7">
        <w:rPr>
          <w:rFonts w:asciiTheme="majorHAnsi" w:hAnsiTheme="majorHAnsi"/>
          <w:sz w:val="20"/>
          <w:szCs w:val="20"/>
        </w:rPr>
        <w:t>вимогами</w:t>
      </w:r>
      <w:r w:rsidRPr="000977F7">
        <w:rPr>
          <w:rFonts w:asciiTheme="majorHAnsi" w:hAnsiTheme="majorHAnsi"/>
          <w:spacing w:val="19"/>
          <w:sz w:val="20"/>
          <w:szCs w:val="20"/>
        </w:rPr>
        <w:t xml:space="preserve"> </w:t>
      </w:r>
      <w:r w:rsidRPr="000977F7">
        <w:rPr>
          <w:rFonts w:asciiTheme="majorHAnsi" w:hAnsiTheme="majorHAnsi"/>
          <w:sz w:val="20"/>
          <w:szCs w:val="20"/>
        </w:rPr>
        <w:t>контрактів</w:t>
      </w:r>
      <w:r w:rsidRPr="000977F7">
        <w:rPr>
          <w:rFonts w:asciiTheme="majorHAnsi" w:hAnsiTheme="majorHAnsi"/>
          <w:spacing w:val="-47"/>
          <w:sz w:val="20"/>
          <w:szCs w:val="20"/>
        </w:rPr>
        <w:t xml:space="preserve">                      </w:t>
      </w:r>
      <w:r w:rsidRPr="000977F7">
        <w:rPr>
          <w:rFonts w:asciiTheme="majorHAnsi" w:hAnsiTheme="majorHAnsi"/>
          <w:sz w:val="20"/>
          <w:szCs w:val="20"/>
        </w:rPr>
        <w:t>із</w:t>
      </w:r>
      <w:r w:rsidRPr="000977F7">
        <w:rPr>
          <w:rFonts w:asciiTheme="majorHAnsi" w:hAnsiTheme="majorHAnsi"/>
          <w:spacing w:val="9"/>
          <w:sz w:val="20"/>
          <w:szCs w:val="20"/>
        </w:rPr>
        <w:t xml:space="preserve"> </w:t>
      </w:r>
      <w:r w:rsidRPr="000977F7">
        <w:rPr>
          <w:rFonts w:asciiTheme="majorHAnsi" w:hAnsiTheme="majorHAnsi"/>
          <w:sz w:val="20"/>
          <w:szCs w:val="20"/>
        </w:rPr>
        <w:t>зарубіжними</w:t>
      </w:r>
      <w:r w:rsidRPr="000977F7">
        <w:rPr>
          <w:rFonts w:asciiTheme="majorHAnsi" w:hAnsiTheme="majorHAnsi"/>
          <w:spacing w:val="7"/>
          <w:sz w:val="20"/>
          <w:szCs w:val="20"/>
        </w:rPr>
        <w:t xml:space="preserve"> </w:t>
      </w:r>
      <w:r w:rsidRPr="000977F7">
        <w:rPr>
          <w:rFonts w:asciiTheme="majorHAnsi" w:hAnsiTheme="majorHAnsi"/>
          <w:sz w:val="20"/>
          <w:szCs w:val="20"/>
        </w:rPr>
        <w:t>фірмами</w:t>
      </w:r>
      <w:r w:rsidRPr="000977F7">
        <w:rPr>
          <w:rFonts w:asciiTheme="majorHAnsi" w:hAnsiTheme="majorHAnsi"/>
          <w:spacing w:val="7"/>
          <w:sz w:val="20"/>
          <w:szCs w:val="20"/>
        </w:rPr>
        <w:t xml:space="preserve"> </w:t>
      </w:r>
      <w:r w:rsidRPr="000977F7">
        <w:rPr>
          <w:rFonts w:asciiTheme="majorHAnsi" w:hAnsiTheme="majorHAnsi"/>
          <w:sz w:val="20"/>
          <w:szCs w:val="20"/>
        </w:rPr>
        <w:t>сертифікація</w:t>
      </w:r>
      <w:r w:rsidRPr="000977F7">
        <w:rPr>
          <w:rFonts w:asciiTheme="majorHAnsi" w:hAnsiTheme="majorHAnsi"/>
          <w:spacing w:val="8"/>
          <w:sz w:val="20"/>
          <w:szCs w:val="20"/>
        </w:rPr>
        <w:t xml:space="preserve"> </w:t>
      </w:r>
      <w:r w:rsidRPr="000977F7">
        <w:rPr>
          <w:rFonts w:asciiTheme="majorHAnsi" w:hAnsiTheme="majorHAnsi"/>
          <w:sz w:val="20"/>
          <w:szCs w:val="20"/>
        </w:rPr>
        <w:t>систем</w:t>
      </w:r>
      <w:r w:rsidRPr="000977F7">
        <w:rPr>
          <w:rFonts w:asciiTheme="majorHAnsi" w:hAnsiTheme="majorHAnsi"/>
          <w:spacing w:val="9"/>
          <w:sz w:val="20"/>
          <w:szCs w:val="20"/>
        </w:rPr>
        <w:t xml:space="preserve"> </w:t>
      </w:r>
      <w:r w:rsidRPr="000977F7">
        <w:rPr>
          <w:rFonts w:asciiTheme="majorHAnsi" w:hAnsiTheme="majorHAnsi"/>
          <w:sz w:val="20"/>
          <w:szCs w:val="20"/>
        </w:rPr>
        <w:t>якості</w:t>
      </w:r>
      <w:r w:rsidRPr="000977F7">
        <w:rPr>
          <w:rFonts w:asciiTheme="majorHAnsi" w:hAnsiTheme="majorHAnsi"/>
          <w:spacing w:val="26"/>
          <w:sz w:val="20"/>
          <w:szCs w:val="20"/>
        </w:rPr>
        <w:t xml:space="preserve"> </w:t>
      </w:r>
      <w:r w:rsidRPr="000977F7">
        <w:rPr>
          <w:rFonts w:asciiTheme="majorHAnsi" w:hAnsiTheme="majorHAnsi"/>
          <w:sz w:val="20"/>
          <w:szCs w:val="20"/>
        </w:rPr>
        <w:t>може</w:t>
      </w:r>
      <w:r w:rsidRPr="000977F7">
        <w:rPr>
          <w:rFonts w:asciiTheme="majorHAnsi" w:hAnsiTheme="majorHAnsi"/>
          <w:spacing w:val="30"/>
          <w:sz w:val="20"/>
          <w:szCs w:val="20"/>
        </w:rPr>
        <w:t xml:space="preserve"> </w:t>
      </w:r>
      <w:r w:rsidRPr="000977F7">
        <w:rPr>
          <w:rFonts w:asciiTheme="majorHAnsi" w:hAnsiTheme="majorHAnsi"/>
          <w:sz w:val="20"/>
          <w:szCs w:val="20"/>
        </w:rPr>
        <w:t>виконуватися</w:t>
      </w:r>
      <w:r w:rsidRPr="000977F7">
        <w:rPr>
          <w:rFonts w:asciiTheme="majorHAnsi" w:hAnsiTheme="majorHAnsi"/>
          <w:spacing w:val="29"/>
          <w:sz w:val="20"/>
          <w:szCs w:val="20"/>
        </w:rPr>
        <w:t xml:space="preserve"> </w:t>
      </w:r>
      <w:r w:rsidRPr="000977F7">
        <w:rPr>
          <w:rFonts w:asciiTheme="majorHAnsi" w:hAnsiTheme="majorHAnsi"/>
          <w:sz w:val="20"/>
          <w:szCs w:val="20"/>
        </w:rPr>
        <w:t>на</w:t>
      </w:r>
      <w:r w:rsidRPr="000977F7">
        <w:rPr>
          <w:rFonts w:asciiTheme="majorHAnsi" w:hAnsiTheme="majorHAnsi"/>
          <w:spacing w:val="31"/>
          <w:sz w:val="20"/>
          <w:szCs w:val="20"/>
        </w:rPr>
        <w:t xml:space="preserve"> </w:t>
      </w:r>
      <w:r w:rsidRPr="000977F7">
        <w:rPr>
          <w:rFonts w:asciiTheme="majorHAnsi" w:hAnsiTheme="majorHAnsi"/>
          <w:sz w:val="20"/>
          <w:szCs w:val="20"/>
        </w:rPr>
        <w:t>відповідність</w:t>
      </w:r>
      <w:r w:rsidRPr="000977F7">
        <w:rPr>
          <w:rFonts w:asciiTheme="majorHAnsi" w:hAnsiTheme="majorHAnsi"/>
          <w:spacing w:val="29"/>
          <w:sz w:val="20"/>
          <w:szCs w:val="20"/>
        </w:rPr>
        <w:t xml:space="preserve"> </w:t>
      </w:r>
      <w:r w:rsidRPr="000977F7">
        <w:rPr>
          <w:rFonts w:asciiTheme="majorHAnsi" w:hAnsiTheme="majorHAnsi"/>
          <w:sz w:val="20"/>
          <w:szCs w:val="20"/>
        </w:rPr>
        <w:t>національним стандартам</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країн</w:t>
      </w:r>
    </w:p>
    <w:p w14:paraId="0A902B33" w14:textId="77777777" w:rsidR="0097612F" w:rsidRPr="000977F7" w:rsidRDefault="0097612F" w:rsidP="00FD39A4">
      <w:pPr>
        <w:pStyle w:val="ac"/>
        <w:widowControl w:val="0"/>
        <w:numPr>
          <w:ilvl w:val="0"/>
          <w:numId w:val="87"/>
        </w:numPr>
        <w:tabs>
          <w:tab w:val="left" w:pos="284"/>
          <w:tab w:val="left" w:pos="800"/>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Сертифікат</w:t>
      </w:r>
      <w:r w:rsidRPr="000977F7">
        <w:rPr>
          <w:rFonts w:asciiTheme="majorHAnsi" w:hAnsiTheme="majorHAnsi"/>
          <w:spacing w:val="41"/>
          <w:sz w:val="20"/>
          <w:szCs w:val="20"/>
        </w:rPr>
        <w:t xml:space="preserve"> </w:t>
      </w:r>
      <w:r w:rsidRPr="000977F7">
        <w:rPr>
          <w:rFonts w:asciiTheme="majorHAnsi" w:hAnsiTheme="majorHAnsi"/>
          <w:sz w:val="20"/>
          <w:szCs w:val="20"/>
        </w:rPr>
        <w:t>на</w:t>
      </w:r>
      <w:r w:rsidRPr="000977F7">
        <w:rPr>
          <w:rFonts w:asciiTheme="majorHAnsi" w:hAnsiTheme="majorHAnsi"/>
          <w:spacing w:val="39"/>
          <w:sz w:val="20"/>
          <w:szCs w:val="20"/>
        </w:rPr>
        <w:t xml:space="preserve"> </w:t>
      </w:r>
      <w:r w:rsidRPr="000977F7">
        <w:rPr>
          <w:rFonts w:asciiTheme="majorHAnsi" w:hAnsiTheme="majorHAnsi"/>
          <w:sz w:val="20"/>
          <w:szCs w:val="20"/>
        </w:rPr>
        <w:t>систему</w:t>
      </w:r>
      <w:r w:rsidRPr="000977F7">
        <w:rPr>
          <w:rFonts w:asciiTheme="majorHAnsi" w:hAnsiTheme="majorHAnsi"/>
          <w:spacing w:val="37"/>
          <w:sz w:val="20"/>
          <w:szCs w:val="20"/>
        </w:rPr>
        <w:t xml:space="preserve"> </w:t>
      </w:r>
      <w:r w:rsidRPr="000977F7">
        <w:rPr>
          <w:rFonts w:asciiTheme="majorHAnsi" w:hAnsiTheme="majorHAnsi"/>
          <w:sz w:val="20"/>
          <w:szCs w:val="20"/>
        </w:rPr>
        <w:t>якості</w:t>
      </w:r>
      <w:r w:rsidRPr="000977F7">
        <w:rPr>
          <w:rFonts w:asciiTheme="majorHAnsi" w:hAnsiTheme="majorHAnsi"/>
          <w:spacing w:val="38"/>
          <w:sz w:val="20"/>
          <w:szCs w:val="20"/>
        </w:rPr>
        <w:t xml:space="preserve"> </w:t>
      </w:r>
      <w:r w:rsidRPr="000977F7">
        <w:rPr>
          <w:rFonts w:asciiTheme="majorHAnsi" w:hAnsiTheme="majorHAnsi"/>
          <w:sz w:val="20"/>
          <w:szCs w:val="20"/>
        </w:rPr>
        <w:t>видається</w:t>
      </w:r>
      <w:r w:rsidRPr="000977F7">
        <w:rPr>
          <w:rFonts w:asciiTheme="majorHAnsi" w:hAnsiTheme="majorHAnsi"/>
          <w:spacing w:val="42"/>
          <w:sz w:val="20"/>
          <w:szCs w:val="20"/>
        </w:rPr>
        <w:t xml:space="preserve"> </w:t>
      </w:r>
      <w:r w:rsidRPr="000977F7">
        <w:rPr>
          <w:rFonts w:asciiTheme="majorHAnsi" w:hAnsiTheme="majorHAnsi"/>
          <w:sz w:val="20"/>
          <w:szCs w:val="20"/>
        </w:rPr>
        <w:t>на</w:t>
      </w:r>
      <w:r w:rsidRPr="000977F7">
        <w:rPr>
          <w:rFonts w:asciiTheme="majorHAnsi" w:hAnsiTheme="majorHAnsi"/>
          <w:spacing w:val="39"/>
          <w:sz w:val="20"/>
          <w:szCs w:val="20"/>
        </w:rPr>
        <w:t xml:space="preserve"> </w:t>
      </w:r>
      <w:r w:rsidRPr="000977F7">
        <w:rPr>
          <w:rFonts w:asciiTheme="majorHAnsi" w:hAnsiTheme="majorHAnsi"/>
          <w:sz w:val="20"/>
          <w:szCs w:val="20"/>
        </w:rPr>
        <w:t>певний</w:t>
      </w:r>
      <w:r w:rsidRPr="000977F7">
        <w:rPr>
          <w:rFonts w:asciiTheme="majorHAnsi" w:hAnsiTheme="majorHAnsi"/>
          <w:spacing w:val="-2"/>
          <w:sz w:val="20"/>
          <w:szCs w:val="20"/>
        </w:rPr>
        <w:t xml:space="preserve"> </w:t>
      </w:r>
      <w:r w:rsidRPr="000977F7">
        <w:rPr>
          <w:rFonts w:asciiTheme="majorHAnsi" w:hAnsiTheme="majorHAnsi"/>
          <w:sz w:val="20"/>
          <w:szCs w:val="20"/>
        </w:rPr>
        <w:t>вид</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групу</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57D5F31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СЕРТИФІКАТ</w:t>
      </w:r>
      <w:r w:rsidRPr="000977F7">
        <w:rPr>
          <w:color w:val="auto"/>
          <w:spacing w:val="-7"/>
          <w:sz w:val="20"/>
          <w:szCs w:val="20"/>
        </w:rPr>
        <w:t xml:space="preserve"> </w:t>
      </w:r>
      <w:r w:rsidRPr="000977F7">
        <w:rPr>
          <w:color w:val="auto"/>
          <w:sz w:val="20"/>
          <w:szCs w:val="20"/>
        </w:rPr>
        <w:t>ПРО</w:t>
      </w:r>
      <w:r w:rsidRPr="000977F7">
        <w:rPr>
          <w:color w:val="auto"/>
          <w:spacing w:val="-3"/>
          <w:sz w:val="20"/>
          <w:szCs w:val="20"/>
        </w:rPr>
        <w:t xml:space="preserve"> </w:t>
      </w:r>
      <w:r w:rsidRPr="000977F7">
        <w:rPr>
          <w:color w:val="auto"/>
          <w:sz w:val="20"/>
          <w:szCs w:val="20"/>
        </w:rPr>
        <w:t>ПОХОДЖЕННЯ</w:t>
      </w:r>
      <w:r w:rsidRPr="000977F7">
        <w:rPr>
          <w:color w:val="auto"/>
          <w:spacing w:val="-4"/>
          <w:sz w:val="20"/>
          <w:szCs w:val="20"/>
        </w:rPr>
        <w:t xml:space="preserve"> </w:t>
      </w:r>
      <w:r w:rsidRPr="000977F7">
        <w:rPr>
          <w:color w:val="auto"/>
          <w:sz w:val="20"/>
          <w:szCs w:val="20"/>
        </w:rPr>
        <w:t>ТОВАРУ –</w:t>
      </w:r>
    </w:p>
    <w:p w14:paraId="45DC39C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Сертифікат про походження товару повинен однозначно свідчити про те, що зазначений товар походить з</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відповідної</w:t>
      </w:r>
      <w:r w:rsidRPr="000977F7">
        <w:rPr>
          <w:rFonts w:asciiTheme="majorHAnsi" w:hAnsiTheme="majorHAnsi"/>
          <w:spacing w:val="-2"/>
          <w:sz w:val="20"/>
          <w:szCs w:val="20"/>
        </w:rPr>
        <w:t xml:space="preserve"> </w:t>
      </w:r>
      <w:r w:rsidRPr="000977F7">
        <w:rPr>
          <w:rFonts w:asciiTheme="majorHAnsi" w:hAnsiTheme="majorHAnsi"/>
          <w:sz w:val="20"/>
          <w:szCs w:val="20"/>
        </w:rPr>
        <w:t>країни, і</w:t>
      </w:r>
      <w:r w:rsidRPr="000977F7">
        <w:rPr>
          <w:rFonts w:asciiTheme="majorHAnsi" w:hAnsiTheme="majorHAnsi"/>
          <w:spacing w:val="-2"/>
          <w:sz w:val="20"/>
          <w:szCs w:val="20"/>
        </w:rPr>
        <w:t xml:space="preserve"> </w:t>
      </w:r>
      <w:r w:rsidRPr="000977F7">
        <w:rPr>
          <w:rFonts w:asciiTheme="majorHAnsi" w:hAnsiTheme="majorHAnsi"/>
          <w:sz w:val="20"/>
          <w:szCs w:val="20"/>
        </w:rPr>
        <w:t>має</w:t>
      </w:r>
      <w:r w:rsidRPr="000977F7">
        <w:rPr>
          <w:rFonts w:asciiTheme="majorHAnsi" w:hAnsiTheme="majorHAnsi"/>
          <w:spacing w:val="1"/>
          <w:sz w:val="20"/>
          <w:szCs w:val="20"/>
        </w:rPr>
        <w:t xml:space="preserve"> </w:t>
      </w:r>
      <w:r w:rsidRPr="000977F7">
        <w:rPr>
          <w:rFonts w:asciiTheme="majorHAnsi" w:hAnsiTheme="majorHAnsi"/>
          <w:sz w:val="20"/>
          <w:szCs w:val="20"/>
        </w:rPr>
        <w:t>містити:</w:t>
      </w:r>
    </w:p>
    <w:p w14:paraId="2CA0B759" w14:textId="77777777" w:rsidR="0097612F" w:rsidRPr="000977F7" w:rsidRDefault="0097612F" w:rsidP="00FD39A4">
      <w:pPr>
        <w:pStyle w:val="ac"/>
        <w:widowControl w:val="0"/>
        <w:numPr>
          <w:ilvl w:val="0"/>
          <w:numId w:val="86"/>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письмову заяву експортера про країну походження</w:t>
      </w:r>
      <w:r w:rsidRPr="000977F7">
        <w:rPr>
          <w:rFonts w:asciiTheme="majorHAnsi" w:hAnsiTheme="majorHAnsi"/>
          <w:spacing w:val="-2"/>
          <w:sz w:val="20"/>
          <w:szCs w:val="20"/>
        </w:rPr>
        <w:t xml:space="preserve"> </w:t>
      </w:r>
      <w:r w:rsidRPr="000977F7">
        <w:rPr>
          <w:rFonts w:asciiTheme="majorHAnsi" w:hAnsiTheme="majorHAnsi"/>
          <w:sz w:val="20"/>
          <w:szCs w:val="20"/>
        </w:rPr>
        <w:t>товару;</w:t>
      </w:r>
    </w:p>
    <w:p w14:paraId="2CA68C14" w14:textId="77777777" w:rsidR="0097612F" w:rsidRPr="000977F7" w:rsidRDefault="0097612F" w:rsidP="00FD39A4">
      <w:pPr>
        <w:pStyle w:val="ac"/>
        <w:widowControl w:val="0"/>
        <w:numPr>
          <w:ilvl w:val="0"/>
          <w:numId w:val="86"/>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письмове</w:t>
      </w:r>
      <w:r w:rsidRPr="000977F7">
        <w:rPr>
          <w:rFonts w:asciiTheme="majorHAnsi" w:hAnsiTheme="majorHAnsi"/>
          <w:spacing w:val="12"/>
          <w:sz w:val="20"/>
          <w:szCs w:val="20"/>
        </w:rPr>
        <w:t xml:space="preserve"> </w:t>
      </w:r>
      <w:r w:rsidRPr="000977F7">
        <w:rPr>
          <w:rFonts w:asciiTheme="majorHAnsi" w:hAnsiTheme="majorHAnsi"/>
          <w:sz w:val="20"/>
          <w:szCs w:val="20"/>
        </w:rPr>
        <w:t>посвідчення</w:t>
      </w:r>
      <w:r w:rsidRPr="000977F7">
        <w:rPr>
          <w:rFonts w:asciiTheme="majorHAnsi" w:hAnsiTheme="majorHAnsi"/>
          <w:spacing w:val="13"/>
          <w:sz w:val="20"/>
          <w:szCs w:val="20"/>
        </w:rPr>
        <w:t xml:space="preserve"> </w:t>
      </w:r>
      <w:r w:rsidRPr="000977F7">
        <w:rPr>
          <w:rFonts w:asciiTheme="majorHAnsi" w:hAnsiTheme="majorHAnsi"/>
          <w:sz w:val="20"/>
          <w:szCs w:val="20"/>
        </w:rPr>
        <w:t>компетентного</w:t>
      </w:r>
      <w:r w:rsidRPr="000977F7">
        <w:rPr>
          <w:rFonts w:asciiTheme="majorHAnsi" w:hAnsiTheme="majorHAnsi"/>
          <w:spacing w:val="12"/>
          <w:sz w:val="20"/>
          <w:szCs w:val="20"/>
        </w:rPr>
        <w:t xml:space="preserve"> </w:t>
      </w:r>
      <w:r w:rsidRPr="000977F7">
        <w:rPr>
          <w:rFonts w:asciiTheme="majorHAnsi" w:hAnsiTheme="majorHAnsi"/>
          <w:sz w:val="20"/>
          <w:szCs w:val="20"/>
        </w:rPr>
        <w:t>органу</w:t>
      </w:r>
      <w:r w:rsidRPr="000977F7">
        <w:rPr>
          <w:rFonts w:asciiTheme="majorHAnsi" w:hAnsiTheme="majorHAnsi"/>
          <w:spacing w:val="11"/>
          <w:sz w:val="20"/>
          <w:szCs w:val="20"/>
        </w:rPr>
        <w:t xml:space="preserve"> </w:t>
      </w:r>
      <w:r w:rsidRPr="000977F7">
        <w:rPr>
          <w:rFonts w:asciiTheme="majorHAnsi" w:hAnsiTheme="majorHAnsi"/>
          <w:sz w:val="20"/>
          <w:szCs w:val="20"/>
        </w:rPr>
        <w:t>країни</w:t>
      </w:r>
      <w:r w:rsidRPr="000977F7">
        <w:rPr>
          <w:rFonts w:asciiTheme="majorHAnsi" w:hAnsiTheme="majorHAnsi"/>
          <w:spacing w:val="20"/>
          <w:sz w:val="20"/>
          <w:szCs w:val="20"/>
        </w:rPr>
        <w:t xml:space="preserve"> </w:t>
      </w:r>
      <w:r w:rsidRPr="000977F7">
        <w:rPr>
          <w:rFonts w:asciiTheme="majorHAnsi" w:hAnsiTheme="majorHAnsi"/>
          <w:sz w:val="20"/>
          <w:szCs w:val="20"/>
        </w:rPr>
        <w:t>вивезення,</w:t>
      </w:r>
      <w:r w:rsidRPr="000977F7">
        <w:rPr>
          <w:rFonts w:asciiTheme="majorHAnsi" w:hAnsiTheme="majorHAnsi"/>
          <w:spacing w:val="22"/>
          <w:sz w:val="20"/>
          <w:szCs w:val="20"/>
        </w:rPr>
        <w:t xml:space="preserve"> </w:t>
      </w:r>
      <w:r w:rsidRPr="000977F7">
        <w:rPr>
          <w:rFonts w:asciiTheme="majorHAnsi" w:hAnsiTheme="majorHAnsi"/>
          <w:sz w:val="20"/>
          <w:szCs w:val="20"/>
        </w:rPr>
        <w:t>який</w:t>
      </w:r>
      <w:r w:rsidRPr="000977F7">
        <w:rPr>
          <w:rFonts w:asciiTheme="majorHAnsi" w:hAnsiTheme="majorHAnsi"/>
          <w:spacing w:val="19"/>
          <w:sz w:val="20"/>
          <w:szCs w:val="20"/>
        </w:rPr>
        <w:t xml:space="preserve"> </w:t>
      </w:r>
      <w:r w:rsidRPr="000977F7">
        <w:rPr>
          <w:rFonts w:asciiTheme="majorHAnsi" w:hAnsiTheme="majorHAnsi"/>
          <w:sz w:val="20"/>
          <w:szCs w:val="20"/>
        </w:rPr>
        <w:t>видав</w:t>
      </w:r>
      <w:r w:rsidRPr="000977F7">
        <w:rPr>
          <w:rFonts w:asciiTheme="majorHAnsi" w:hAnsiTheme="majorHAnsi"/>
          <w:spacing w:val="20"/>
          <w:sz w:val="20"/>
          <w:szCs w:val="20"/>
        </w:rPr>
        <w:t xml:space="preserve"> </w:t>
      </w:r>
      <w:r w:rsidRPr="000977F7">
        <w:rPr>
          <w:rFonts w:asciiTheme="majorHAnsi" w:hAnsiTheme="majorHAnsi"/>
          <w:sz w:val="20"/>
          <w:szCs w:val="20"/>
        </w:rPr>
        <w:t>сертифікат,</w:t>
      </w:r>
      <w:r w:rsidRPr="000977F7">
        <w:rPr>
          <w:rFonts w:asciiTheme="majorHAnsi" w:hAnsiTheme="majorHAnsi"/>
          <w:spacing w:val="20"/>
          <w:sz w:val="20"/>
          <w:szCs w:val="20"/>
        </w:rPr>
        <w:t xml:space="preserve"> </w:t>
      </w:r>
      <w:r w:rsidRPr="000977F7">
        <w:rPr>
          <w:rFonts w:asciiTheme="majorHAnsi" w:hAnsiTheme="majorHAnsi"/>
          <w:sz w:val="20"/>
          <w:szCs w:val="20"/>
        </w:rPr>
        <w:t>про</w:t>
      </w:r>
      <w:r w:rsidRPr="000977F7">
        <w:rPr>
          <w:rFonts w:asciiTheme="majorHAnsi" w:hAnsiTheme="majorHAnsi"/>
          <w:spacing w:val="24"/>
          <w:sz w:val="20"/>
          <w:szCs w:val="20"/>
        </w:rPr>
        <w:t xml:space="preserve"> </w:t>
      </w:r>
      <w:r w:rsidRPr="000977F7">
        <w:rPr>
          <w:rFonts w:asciiTheme="majorHAnsi" w:hAnsiTheme="majorHAnsi"/>
          <w:sz w:val="20"/>
          <w:szCs w:val="20"/>
        </w:rPr>
        <w:t>те,</w:t>
      </w:r>
      <w:r w:rsidRPr="000977F7">
        <w:rPr>
          <w:rFonts w:asciiTheme="majorHAnsi" w:hAnsiTheme="majorHAnsi"/>
          <w:spacing w:val="20"/>
          <w:sz w:val="20"/>
          <w:szCs w:val="20"/>
        </w:rPr>
        <w:t xml:space="preserve"> </w:t>
      </w:r>
      <w:r w:rsidRPr="000977F7">
        <w:rPr>
          <w:rFonts w:asciiTheme="majorHAnsi" w:hAnsiTheme="majorHAnsi"/>
          <w:sz w:val="20"/>
          <w:szCs w:val="20"/>
        </w:rPr>
        <w:t>що</w:t>
      </w:r>
      <w:r w:rsidRPr="000977F7">
        <w:rPr>
          <w:rFonts w:asciiTheme="majorHAnsi" w:hAnsiTheme="majorHAnsi"/>
          <w:spacing w:val="21"/>
          <w:sz w:val="20"/>
          <w:szCs w:val="20"/>
        </w:rPr>
        <w:t xml:space="preserve"> </w:t>
      </w:r>
      <w:r w:rsidRPr="000977F7">
        <w:rPr>
          <w:rFonts w:asciiTheme="majorHAnsi" w:hAnsiTheme="majorHAnsi"/>
          <w:sz w:val="20"/>
          <w:szCs w:val="20"/>
        </w:rPr>
        <w:t>наведені у сертифікаті відомості відповідають дійсності.</w:t>
      </w:r>
      <w:r w:rsidRPr="000977F7">
        <w:rPr>
          <w:rFonts w:asciiTheme="majorHAnsi" w:hAnsiTheme="majorHAnsi"/>
          <w:spacing w:val="-47"/>
          <w:sz w:val="20"/>
          <w:szCs w:val="20"/>
        </w:rPr>
        <w:t xml:space="preserve"> </w:t>
      </w:r>
      <w:r w:rsidRPr="000977F7">
        <w:rPr>
          <w:rFonts w:asciiTheme="majorHAnsi" w:hAnsiTheme="majorHAnsi"/>
          <w:sz w:val="20"/>
          <w:szCs w:val="20"/>
        </w:rPr>
        <w:t>Сертифікат про</w:t>
      </w:r>
      <w:r w:rsidRPr="000977F7">
        <w:rPr>
          <w:rFonts w:asciiTheme="majorHAnsi" w:hAnsiTheme="majorHAnsi"/>
          <w:spacing w:val="14"/>
          <w:sz w:val="20"/>
          <w:szCs w:val="20"/>
        </w:rPr>
        <w:t xml:space="preserve"> </w:t>
      </w:r>
      <w:r w:rsidRPr="000977F7">
        <w:rPr>
          <w:rFonts w:asciiTheme="majorHAnsi" w:hAnsiTheme="majorHAnsi"/>
          <w:sz w:val="20"/>
          <w:szCs w:val="20"/>
        </w:rPr>
        <w:t>походження</w:t>
      </w:r>
      <w:r w:rsidRPr="000977F7">
        <w:rPr>
          <w:rFonts w:asciiTheme="majorHAnsi" w:hAnsiTheme="majorHAnsi"/>
          <w:spacing w:val="14"/>
          <w:sz w:val="20"/>
          <w:szCs w:val="20"/>
        </w:rPr>
        <w:t xml:space="preserve"> </w:t>
      </w:r>
      <w:r w:rsidRPr="000977F7">
        <w:rPr>
          <w:rFonts w:asciiTheme="majorHAnsi" w:hAnsiTheme="majorHAnsi"/>
          <w:sz w:val="20"/>
          <w:szCs w:val="20"/>
        </w:rPr>
        <w:t>товару</w:t>
      </w:r>
      <w:r w:rsidRPr="000977F7">
        <w:rPr>
          <w:rFonts w:asciiTheme="majorHAnsi" w:hAnsiTheme="majorHAnsi"/>
          <w:spacing w:val="12"/>
          <w:sz w:val="20"/>
          <w:szCs w:val="20"/>
        </w:rPr>
        <w:t xml:space="preserve"> </w:t>
      </w:r>
      <w:r w:rsidRPr="000977F7">
        <w:rPr>
          <w:rFonts w:asciiTheme="majorHAnsi" w:hAnsiTheme="majorHAnsi"/>
          <w:sz w:val="20"/>
          <w:szCs w:val="20"/>
        </w:rPr>
        <w:t>подається</w:t>
      </w:r>
      <w:r w:rsidRPr="000977F7">
        <w:rPr>
          <w:rFonts w:asciiTheme="majorHAnsi" w:hAnsiTheme="majorHAnsi"/>
          <w:spacing w:val="13"/>
          <w:sz w:val="20"/>
          <w:szCs w:val="20"/>
        </w:rPr>
        <w:t xml:space="preserve"> </w:t>
      </w:r>
      <w:r w:rsidRPr="000977F7">
        <w:rPr>
          <w:rFonts w:asciiTheme="majorHAnsi" w:hAnsiTheme="majorHAnsi"/>
          <w:sz w:val="20"/>
          <w:szCs w:val="20"/>
        </w:rPr>
        <w:t>разом з митною декларацією, декларацією митної вартості та іншими документами, що подаються для митного оформлення.</w:t>
      </w:r>
    </w:p>
    <w:p w14:paraId="0C589E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разі втрати сертифіката приймається його офіційно завірений</w:t>
      </w:r>
      <w:r w:rsidRPr="000977F7">
        <w:rPr>
          <w:rFonts w:asciiTheme="majorHAnsi" w:hAnsiTheme="majorHAnsi"/>
          <w:spacing w:val="1"/>
          <w:sz w:val="20"/>
          <w:szCs w:val="20"/>
        </w:rPr>
        <w:t xml:space="preserve"> </w:t>
      </w:r>
      <w:r w:rsidRPr="000977F7">
        <w:rPr>
          <w:rFonts w:asciiTheme="majorHAnsi" w:hAnsiTheme="majorHAnsi"/>
          <w:sz w:val="20"/>
          <w:szCs w:val="20"/>
        </w:rPr>
        <w:t>дублікат.</w:t>
      </w:r>
    </w:p>
    <w:p w14:paraId="3EBEC5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разі втрати сертифіката приймається його офіційно завірений</w:t>
      </w:r>
      <w:r w:rsidRPr="000977F7">
        <w:rPr>
          <w:rFonts w:asciiTheme="majorHAnsi" w:hAnsiTheme="majorHAnsi"/>
          <w:spacing w:val="1"/>
          <w:sz w:val="20"/>
          <w:szCs w:val="20"/>
        </w:rPr>
        <w:t xml:space="preserve"> </w:t>
      </w:r>
      <w:r w:rsidRPr="000977F7">
        <w:rPr>
          <w:rFonts w:asciiTheme="majorHAnsi" w:hAnsiTheme="majorHAnsi"/>
          <w:sz w:val="20"/>
          <w:szCs w:val="20"/>
        </w:rPr>
        <w:t>дублікат.</w:t>
      </w:r>
    </w:p>
    <w:p w14:paraId="37B6EF5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разі виникнення сумнівів з приводу достовірності сертифіката чи відомостей, що в ньому містяться,</w:t>
      </w:r>
      <w:r w:rsidRPr="000977F7">
        <w:rPr>
          <w:rFonts w:asciiTheme="majorHAnsi" w:hAnsiTheme="majorHAnsi"/>
          <w:spacing w:val="1"/>
          <w:sz w:val="20"/>
          <w:szCs w:val="20"/>
        </w:rPr>
        <w:t xml:space="preserve"> </w:t>
      </w:r>
      <w:r w:rsidRPr="000977F7">
        <w:rPr>
          <w:rFonts w:asciiTheme="majorHAnsi" w:hAnsiTheme="majorHAnsi"/>
          <w:sz w:val="20"/>
          <w:szCs w:val="20"/>
        </w:rPr>
        <w:t>включаючи відомості про країну походження товару,</w:t>
      </w:r>
      <w:r w:rsidRPr="000977F7">
        <w:rPr>
          <w:rFonts w:asciiTheme="majorHAnsi" w:hAnsiTheme="majorHAnsi"/>
          <w:spacing w:val="1"/>
          <w:sz w:val="20"/>
          <w:szCs w:val="20"/>
        </w:rPr>
        <w:t xml:space="preserve"> </w:t>
      </w:r>
      <w:r w:rsidRPr="000977F7">
        <w:rPr>
          <w:rFonts w:asciiTheme="majorHAnsi" w:hAnsiTheme="majorHAnsi"/>
          <w:sz w:val="20"/>
          <w:szCs w:val="20"/>
        </w:rPr>
        <w:t>митний орган може звернутися до органу, що видав</w:t>
      </w:r>
      <w:r w:rsidRPr="000977F7">
        <w:rPr>
          <w:rFonts w:asciiTheme="majorHAnsi" w:hAnsiTheme="majorHAnsi"/>
          <w:spacing w:val="1"/>
          <w:sz w:val="20"/>
          <w:szCs w:val="20"/>
        </w:rPr>
        <w:t xml:space="preserve"> </w:t>
      </w:r>
      <w:r w:rsidRPr="000977F7">
        <w:rPr>
          <w:rFonts w:asciiTheme="majorHAnsi" w:hAnsiTheme="majorHAnsi"/>
          <w:sz w:val="20"/>
          <w:szCs w:val="20"/>
        </w:rPr>
        <w:t>сертифікат, або до компетентних організацій країни,</w:t>
      </w:r>
      <w:r w:rsidRPr="000977F7">
        <w:rPr>
          <w:rFonts w:asciiTheme="majorHAnsi" w:hAnsiTheme="majorHAnsi"/>
          <w:spacing w:val="1"/>
          <w:sz w:val="20"/>
          <w:szCs w:val="20"/>
        </w:rPr>
        <w:t xml:space="preserve"> </w:t>
      </w:r>
      <w:r w:rsidRPr="000977F7">
        <w:rPr>
          <w:rFonts w:asciiTheme="majorHAnsi" w:hAnsiTheme="majorHAnsi"/>
          <w:sz w:val="20"/>
          <w:szCs w:val="20"/>
        </w:rPr>
        <w:t>зазначеної як країна походження товару, з проханням</w:t>
      </w:r>
      <w:r w:rsidRPr="000977F7">
        <w:rPr>
          <w:rFonts w:asciiTheme="majorHAnsi" w:hAnsiTheme="majorHAnsi"/>
          <w:spacing w:val="1"/>
          <w:sz w:val="20"/>
          <w:szCs w:val="20"/>
        </w:rPr>
        <w:t xml:space="preserve"> </w:t>
      </w:r>
      <w:r w:rsidRPr="000977F7">
        <w:rPr>
          <w:rFonts w:asciiTheme="majorHAnsi" w:hAnsiTheme="majorHAnsi"/>
          <w:sz w:val="20"/>
          <w:szCs w:val="20"/>
        </w:rPr>
        <w:t>про надання</w:t>
      </w:r>
      <w:r w:rsidRPr="000977F7">
        <w:rPr>
          <w:rFonts w:asciiTheme="majorHAnsi" w:hAnsiTheme="majorHAnsi"/>
          <w:spacing w:val="2"/>
          <w:sz w:val="20"/>
          <w:szCs w:val="20"/>
        </w:rPr>
        <w:t xml:space="preserve"> </w:t>
      </w:r>
      <w:r w:rsidRPr="000977F7">
        <w:rPr>
          <w:rFonts w:asciiTheme="majorHAnsi" w:hAnsiTheme="majorHAnsi"/>
          <w:sz w:val="20"/>
          <w:szCs w:val="20"/>
        </w:rPr>
        <w:t>додаткових</w:t>
      </w:r>
      <w:r w:rsidRPr="000977F7">
        <w:rPr>
          <w:rFonts w:asciiTheme="majorHAnsi" w:hAnsiTheme="majorHAnsi"/>
          <w:spacing w:val="-1"/>
          <w:sz w:val="20"/>
          <w:szCs w:val="20"/>
        </w:rPr>
        <w:t xml:space="preserve"> </w:t>
      </w:r>
      <w:r w:rsidRPr="000977F7">
        <w:rPr>
          <w:rFonts w:asciiTheme="majorHAnsi" w:hAnsiTheme="majorHAnsi"/>
          <w:sz w:val="20"/>
          <w:szCs w:val="20"/>
        </w:rPr>
        <w:t>відомостей.</w:t>
      </w:r>
    </w:p>
    <w:p w14:paraId="00079F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Товар не вважається таким, що походить з відповідної</w:t>
      </w:r>
      <w:r w:rsidRPr="000977F7">
        <w:rPr>
          <w:rFonts w:asciiTheme="majorHAnsi" w:hAnsiTheme="majorHAnsi"/>
          <w:spacing w:val="1"/>
          <w:sz w:val="20"/>
          <w:szCs w:val="20"/>
        </w:rPr>
        <w:t xml:space="preserve"> </w:t>
      </w:r>
      <w:r w:rsidRPr="000977F7">
        <w:rPr>
          <w:rFonts w:asciiTheme="majorHAnsi" w:hAnsiTheme="majorHAnsi"/>
          <w:sz w:val="20"/>
          <w:szCs w:val="20"/>
        </w:rPr>
        <w:t>країни,</w:t>
      </w:r>
      <w:r w:rsidRPr="000977F7">
        <w:rPr>
          <w:rFonts w:asciiTheme="majorHAnsi" w:hAnsiTheme="majorHAnsi"/>
          <w:spacing w:val="1"/>
          <w:sz w:val="20"/>
          <w:szCs w:val="20"/>
        </w:rPr>
        <w:t xml:space="preserve"> </w:t>
      </w:r>
      <w:r w:rsidRPr="000977F7">
        <w:rPr>
          <w:rFonts w:asciiTheme="majorHAnsi" w:hAnsiTheme="majorHAnsi"/>
          <w:sz w:val="20"/>
          <w:szCs w:val="20"/>
        </w:rPr>
        <w:t>доти,</w:t>
      </w:r>
      <w:r w:rsidRPr="000977F7">
        <w:rPr>
          <w:rFonts w:asciiTheme="majorHAnsi" w:hAnsiTheme="majorHAnsi"/>
          <w:spacing w:val="1"/>
          <w:sz w:val="20"/>
          <w:szCs w:val="20"/>
        </w:rPr>
        <w:t xml:space="preserve"> </w:t>
      </w:r>
      <w:r w:rsidRPr="000977F7">
        <w:rPr>
          <w:rFonts w:asciiTheme="majorHAnsi" w:hAnsiTheme="majorHAnsi"/>
          <w:sz w:val="20"/>
          <w:szCs w:val="20"/>
        </w:rPr>
        <w:t>доки</w:t>
      </w:r>
      <w:r w:rsidRPr="000977F7">
        <w:rPr>
          <w:rFonts w:asciiTheme="majorHAnsi" w:hAnsiTheme="majorHAnsi"/>
          <w:spacing w:val="1"/>
          <w:sz w:val="20"/>
          <w:szCs w:val="20"/>
        </w:rPr>
        <w:t xml:space="preserve"> </w:t>
      </w:r>
      <w:r w:rsidRPr="000977F7">
        <w:rPr>
          <w:rFonts w:asciiTheme="majorHAnsi" w:hAnsiTheme="majorHAnsi"/>
          <w:sz w:val="20"/>
          <w:szCs w:val="20"/>
        </w:rPr>
        <w:t>митні</w:t>
      </w:r>
      <w:r w:rsidRPr="000977F7">
        <w:rPr>
          <w:rFonts w:asciiTheme="majorHAnsi" w:hAnsiTheme="majorHAnsi"/>
          <w:spacing w:val="1"/>
          <w:sz w:val="20"/>
          <w:szCs w:val="20"/>
        </w:rPr>
        <w:t xml:space="preserve"> </w:t>
      </w:r>
      <w:r w:rsidRPr="000977F7">
        <w:rPr>
          <w:rFonts w:asciiTheme="majorHAnsi" w:hAnsiTheme="majorHAnsi"/>
          <w:sz w:val="20"/>
          <w:szCs w:val="20"/>
        </w:rPr>
        <w:t>органи</w:t>
      </w:r>
      <w:r w:rsidRPr="000977F7">
        <w:rPr>
          <w:rFonts w:asciiTheme="majorHAnsi" w:hAnsiTheme="majorHAnsi"/>
          <w:spacing w:val="1"/>
          <w:sz w:val="20"/>
          <w:szCs w:val="20"/>
        </w:rPr>
        <w:t xml:space="preserve"> </w:t>
      </w:r>
      <w:r w:rsidRPr="000977F7">
        <w:rPr>
          <w:rFonts w:asciiTheme="majorHAnsi" w:hAnsiTheme="majorHAnsi"/>
          <w:sz w:val="20"/>
          <w:szCs w:val="20"/>
        </w:rPr>
        <w:t>у випадках,</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встановлених цим Кодексом, не одержать належним</w:t>
      </w:r>
      <w:r w:rsidRPr="000977F7">
        <w:rPr>
          <w:rFonts w:asciiTheme="majorHAnsi" w:hAnsiTheme="majorHAnsi"/>
          <w:spacing w:val="1"/>
          <w:sz w:val="20"/>
          <w:szCs w:val="20"/>
        </w:rPr>
        <w:t xml:space="preserve"> </w:t>
      </w:r>
      <w:r w:rsidRPr="000977F7">
        <w:rPr>
          <w:rFonts w:asciiTheme="majorHAnsi" w:hAnsiTheme="majorHAnsi"/>
          <w:sz w:val="20"/>
          <w:szCs w:val="20"/>
        </w:rPr>
        <w:t>чином оформлений сертифікат про походження товару</w:t>
      </w:r>
      <w:r w:rsidRPr="000977F7">
        <w:rPr>
          <w:rFonts w:asciiTheme="majorHAnsi" w:hAnsiTheme="majorHAnsi"/>
          <w:spacing w:val="-5"/>
          <w:sz w:val="20"/>
          <w:szCs w:val="20"/>
        </w:rPr>
        <w:t xml:space="preserve"> </w:t>
      </w:r>
      <w:r w:rsidRPr="000977F7">
        <w:rPr>
          <w:rFonts w:asciiTheme="majorHAnsi" w:hAnsiTheme="majorHAnsi"/>
          <w:sz w:val="20"/>
          <w:szCs w:val="20"/>
        </w:rPr>
        <w:t>або затребувані</w:t>
      </w:r>
      <w:r w:rsidRPr="000977F7">
        <w:rPr>
          <w:rFonts w:asciiTheme="majorHAnsi" w:hAnsiTheme="majorHAnsi"/>
          <w:spacing w:val="1"/>
          <w:sz w:val="20"/>
          <w:szCs w:val="20"/>
        </w:rPr>
        <w:t xml:space="preserve"> </w:t>
      </w:r>
      <w:r w:rsidRPr="000977F7">
        <w:rPr>
          <w:rFonts w:asciiTheme="majorHAnsi" w:hAnsiTheme="majorHAnsi"/>
          <w:sz w:val="20"/>
          <w:szCs w:val="20"/>
        </w:rPr>
        <w:t>ними</w:t>
      </w:r>
      <w:r w:rsidRPr="000977F7">
        <w:rPr>
          <w:rFonts w:asciiTheme="majorHAnsi" w:hAnsiTheme="majorHAnsi"/>
          <w:spacing w:val="-1"/>
          <w:sz w:val="20"/>
          <w:szCs w:val="20"/>
        </w:rPr>
        <w:t xml:space="preserve"> </w:t>
      </w:r>
      <w:r w:rsidRPr="000977F7">
        <w:rPr>
          <w:rFonts w:asciiTheme="majorHAnsi" w:hAnsiTheme="majorHAnsi"/>
          <w:sz w:val="20"/>
          <w:szCs w:val="20"/>
        </w:rPr>
        <w:t>додаткові</w:t>
      </w:r>
      <w:r w:rsidRPr="000977F7">
        <w:rPr>
          <w:rFonts w:asciiTheme="majorHAnsi" w:hAnsiTheme="majorHAnsi"/>
          <w:spacing w:val="-2"/>
          <w:sz w:val="20"/>
          <w:szCs w:val="20"/>
        </w:rPr>
        <w:t xml:space="preserve"> </w:t>
      </w:r>
      <w:r w:rsidRPr="000977F7">
        <w:rPr>
          <w:rFonts w:asciiTheme="majorHAnsi" w:hAnsiTheme="majorHAnsi"/>
          <w:sz w:val="20"/>
          <w:szCs w:val="20"/>
        </w:rPr>
        <w:t>відомості</w:t>
      </w:r>
    </w:p>
    <w:p w14:paraId="3F7E4691"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bookmarkStart w:id="258" w:name="_Hlk103148667"/>
      <w:r w:rsidRPr="000977F7">
        <w:rPr>
          <w:rFonts w:asciiTheme="majorHAnsi" w:hAnsiTheme="majorHAnsi"/>
          <w:i/>
          <w:sz w:val="20"/>
          <w:szCs w:val="20"/>
        </w:rPr>
        <w:t>Митний кодекс України</w:t>
      </w:r>
      <w:bookmarkEnd w:id="258"/>
      <w:r w:rsidRPr="000977F7">
        <w:rPr>
          <w:rFonts w:asciiTheme="majorHAnsi" w:hAnsiTheme="majorHAnsi"/>
          <w:i/>
          <w:sz w:val="20"/>
          <w:szCs w:val="20"/>
        </w:rPr>
        <w:t>.</w:t>
      </w:r>
    </w:p>
    <w:p w14:paraId="6A65FF71"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pacing w:val="1"/>
          <w:sz w:val="20"/>
          <w:szCs w:val="20"/>
        </w:rPr>
      </w:pPr>
      <w:r w:rsidRPr="000977F7">
        <w:rPr>
          <w:rFonts w:asciiTheme="majorHAnsi" w:hAnsiTheme="majorHAnsi"/>
          <w:b/>
          <w:bCs/>
          <w:iCs/>
          <w:spacing w:val="1"/>
          <w:sz w:val="20"/>
          <w:szCs w:val="20"/>
        </w:rPr>
        <w:t>СЕРТИФІКАЦІЙНИЙАУДИТ -</w:t>
      </w:r>
    </w:p>
    <w:p w14:paraId="66058690" w14:textId="77777777" w:rsidR="0097612F" w:rsidRPr="000977F7" w:rsidRDefault="0097612F" w:rsidP="000977F7">
      <w:pPr>
        <w:pStyle w:val="53"/>
        <w:shd w:val="clear" w:color="auto" w:fill="auto"/>
        <w:tabs>
          <w:tab w:val="left" w:pos="284"/>
        </w:tabs>
        <w:spacing w:before="0" w:after="0" w:line="240" w:lineRule="auto"/>
        <w:ind w:left="170" w:firstLine="0"/>
        <w:mirrorIndents/>
        <w:rPr>
          <w:rStyle w:val="52"/>
          <w:rFonts w:asciiTheme="majorHAnsi" w:hAnsiTheme="majorHAnsi"/>
          <w:sz w:val="20"/>
          <w:szCs w:val="20"/>
        </w:rPr>
      </w:pPr>
      <w:r w:rsidRPr="000977F7">
        <w:rPr>
          <w:rStyle w:val="14"/>
          <w:rFonts w:asciiTheme="majorHAnsi" w:hAnsiTheme="majorHAnsi"/>
          <w:b w:val="0"/>
          <w:bCs w:val="0"/>
          <w:sz w:val="20"/>
          <w:szCs w:val="20"/>
          <w:lang w:eastAsia="uk-UA"/>
        </w:rPr>
        <w:t>Аудит, проведений аудиторською організацією, незалежною від клієнта та сторін, що покладаються</w:t>
      </w:r>
      <w:r w:rsidRPr="000977F7">
        <w:rPr>
          <w:rStyle w:val="14"/>
          <w:rFonts w:asciiTheme="majorHAnsi" w:hAnsiTheme="majorHAnsi"/>
          <w:b w:val="0"/>
          <w:sz w:val="20"/>
          <w:szCs w:val="20"/>
          <w:lang w:eastAsia="uk-UA"/>
        </w:rPr>
        <w:t xml:space="preserve"> </w:t>
      </w:r>
      <w:r w:rsidRPr="000977F7">
        <w:rPr>
          <w:rStyle w:val="52"/>
          <w:rFonts w:asciiTheme="majorHAnsi" w:hAnsiTheme="majorHAnsi"/>
          <w:sz w:val="20"/>
          <w:szCs w:val="20"/>
        </w:rPr>
        <w:t xml:space="preserve">на сертифікацію, з метою </w:t>
      </w:r>
      <w:r w:rsidRPr="000977F7">
        <w:rPr>
          <w:rStyle w:val="52"/>
          <w:rFonts w:asciiTheme="majorHAnsi" w:hAnsiTheme="majorHAnsi"/>
          <w:sz w:val="20"/>
          <w:szCs w:val="20"/>
        </w:rPr>
        <w:lastRenderedPageBreak/>
        <w:t>сертифікації системи менеджменту клієнта</w:t>
      </w:r>
      <w:bookmarkStart w:id="259" w:name="_Hlk103417220"/>
    </w:p>
    <w:p w14:paraId="7D082D75" w14:textId="77777777" w:rsidR="0097612F" w:rsidRPr="000977F7" w:rsidRDefault="0097612F" w:rsidP="000977F7">
      <w:pPr>
        <w:pStyle w:val="53"/>
        <w:shd w:val="clear" w:color="auto" w:fill="auto"/>
        <w:tabs>
          <w:tab w:val="left" w:pos="284"/>
        </w:tabs>
        <w:spacing w:before="0" w:after="0" w:line="240" w:lineRule="auto"/>
        <w:ind w:left="170" w:firstLine="0"/>
        <w:mirrorIndents/>
        <w:rPr>
          <w:rFonts w:asciiTheme="majorHAnsi" w:hAnsiTheme="majorHAnsi"/>
          <w:b w:val="0"/>
          <w:sz w:val="20"/>
          <w:szCs w:val="20"/>
        </w:rPr>
      </w:pPr>
      <w:r w:rsidRPr="000977F7">
        <w:rPr>
          <w:rStyle w:val="52"/>
          <w:rFonts w:asciiTheme="majorHAnsi" w:hAnsiTheme="majorHAnsi"/>
          <w:sz w:val="20"/>
          <w:szCs w:val="20"/>
          <w:lang w:eastAsia="uk-UA"/>
        </w:rPr>
        <w:t xml:space="preserve">Примітка </w:t>
      </w:r>
      <w:bookmarkEnd w:id="259"/>
      <w:r w:rsidRPr="000977F7">
        <w:rPr>
          <w:rStyle w:val="52"/>
          <w:rFonts w:asciiTheme="majorHAnsi" w:hAnsiTheme="majorHAnsi"/>
          <w:sz w:val="20"/>
          <w:szCs w:val="20"/>
          <w:lang w:eastAsia="uk-UA"/>
        </w:rPr>
        <w:t>1 У визначеннях, які подані нижче, термін «аудит» використано для спрощення посилання на сертифікаційний аудит третьою стороною.</w:t>
      </w:r>
    </w:p>
    <w:p w14:paraId="3DC4D7F7" w14:textId="77777777" w:rsidR="0097612F" w:rsidRPr="000977F7" w:rsidRDefault="0097612F" w:rsidP="000977F7">
      <w:pPr>
        <w:pStyle w:val="53"/>
        <w:shd w:val="clear" w:color="auto" w:fill="auto"/>
        <w:tabs>
          <w:tab w:val="left" w:pos="284"/>
        </w:tabs>
        <w:spacing w:before="0" w:after="0" w:line="240" w:lineRule="auto"/>
        <w:ind w:left="170" w:firstLine="0"/>
        <w:mirrorIndents/>
        <w:rPr>
          <w:rFonts w:asciiTheme="majorHAnsi" w:hAnsiTheme="majorHAnsi"/>
          <w:b w:val="0"/>
          <w:sz w:val="20"/>
          <w:szCs w:val="20"/>
        </w:rPr>
      </w:pPr>
      <w:r w:rsidRPr="000977F7">
        <w:rPr>
          <w:rStyle w:val="52"/>
          <w:rFonts w:asciiTheme="majorHAnsi" w:hAnsiTheme="majorHAnsi"/>
          <w:sz w:val="20"/>
          <w:szCs w:val="20"/>
          <w:lang w:eastAsia="uk-UA"/>
        </w:rPr>
        <w:t>Примітка 2 Сертифікаційні аудити охоплюють первинний аудит, наглядовий аудит, повторний сертифікаційний аудит, а також може охоплювати спеціальні аудити.</w:t>
      </w:r>
    </w:p>
    <w:p w14:paraId="439DFF50" w14:textId="77777777" w:rsidR="0097612F" w:rsidRPr="000977F7" w:rsidRDefault="0097612F" w:rsidP="000977F7">
      <w:pPr>
        <w:pStyle w:val="53"/>
        <w:shd w:val="clear" w:color="auto" w:fill="auto"/>
        <w:tabs>
          <w:tab w:val="left" w:pos="284"/>
        </w:tabs>
        <w:spacing w:before="0" w:after="0" w:line="240" w:lineRule="auto"/>
        <w:ind w:left="170" w:firstLine="0"/>
        <w:mirrorIndents/>
        <w:rPr>
          <w:rFonts w:asciiTheme="majorHAnsi" w:hAnsiTheme="majorHAnsi"/>
          <w:b w:val="0"/>
          <w:sz w:val="20"/>
          <w:szCs w:val="20"/>
        </w:rPr>
      </w:pPr>
      <w:r w:rsidRPr="000977F7">
        <w:rPr>
          <w:rStyle w:val="52"/>
          <w:rFonts w:asciiTheme="majorHAnsi" w:hAnsiTheme="majorHAnsi"/>
          <w:sz w:val="20"/>
          <w:szCs w:val="20"/>
          <w:lang w:eastAsia="uk-UA"/>
        </w:rPr>
        <w:t>Примітка 3 Сертифікаційні аудити, зазвичай, проводяться групою з аудиту тих органів, що здійснюють сертифікацію відповідності вимогам стандартів на системи менеджменту.</w:t>
      </w:r>
    </w:p>
    <w:p w14:paraId="1F587F13" w14:textId="77777777" w:rsidR="0097612F" w:rsidRPr="000977F7" w:rsidRDefault="0097612F" w:rsidP="000977F7">
      <w:pPr>
        <w:pStyle w:val="53"/>
        <w:shd w:val="clear" w:color="auto" w:fill="auto"/>
        <w:tabs>
          <w:tab w:val="left" w:pos="284"/>
        </w:tabs>
        <w:spacing w:before="0" w:after="0" w:line="240" w:lineRule="auto"/>
        <w:ind w:left="170" w:firstLine="0"/>
        <w:mirrorIndents/>
        <w:rPr>
          <w:rFonts w:asciiTheme="majorHAnsi" w:hAnsiTheme="majorHAnsi"/>
          <w:b w:val="0"/>
          <w:sz w:val="20"/>
          <w:szCs w:val="20"/>
        </w:rPr>
      </w:pPr>
      <w:r w:rsidRPr="000977F7">
        <w:rPr>
          <w:rStyle w:val="52"/>
          <w:rFonts w:asciiTheme="majorHAnsi" w:hAnsiTheme="majorHAnsi"/>
          <w:sz w:val="20"/>
          <w:szCs w:val="20"/>
          <w:lang w:eastAsia="uk-UA"/>
        </w:rPr>
        <w:t>Примітка 4 Спільний аудит це аудит, при якому дві або більше аудиторських організації співпрацюють з метою проведення аудиту одного клієнта.</w:t>
      </w:r>
    </w:p>
    <w:p w14:paraId="210FBBAB" w14:textId="77777777" w:rsidR="0097612F" w:rsidRPr="000977F7" w:rsidRDefault="0097612F" w:rsidP="000977F7">
      <w:pPr>
        <w:pStyle w:val="53"/>
        <w:shd w:val="clear" w:color="auto" w:fill="auto"/>
        <w:tabs>
          <w:tab w:val="left" w:pos="284"/>
        </w:tabs>
        <w:spacing w:before="0" w:after="0" w:line="240" w:lineRule="auto"/>
        <w:ind w:left="170" w:firstLine="0"/>
        <w:mirrorIndents/>
        <w:rPr>
          <w:rFonts w:asciiTheme="majorHAnsi" w:hAnsiTheme="majorHAnsi"/>
          <w:b w:val="0"/>
          <w:sz w:val="20"/>
          <w:szCs w:val="20"/>
        </w:rPr>
      </w:pPr>
      <w:r w:rsidRPr="000977F7">
        <w:rPr>
          <w:rStyle w:val="52"/>
          <w:rFonts w:asciiTheme="majorHAnsi" w:hAnsiTheme="majorHAnsi"/>
          <w:sz w:val="20"/>
          <w:szCs w:val="20"/>
          <w:lang w:eastAsia="uk-UA"/>
        </w:rPr>
        <w:t>Примітка 5 Комплексний аудит це аудит, при якому проходить аудит клієнта на відповідність вимогам двох або більше стандартів щодо систем менеджменту одночасно.</w:t>
      </w:r>
    </w:p>
    <w:p w14:paraId="739F58B3" w14:textId="77777777" w:rsidR="0097612F" w:rsidRPr="000977F7" w:rsidRDefault="0097612F" w:rsidP="000977F7">
      <w:pPr>
        <w:pStyle w:val="53"/>
        <w:shd w:val="clear" w:color="auto" w:fill="auto"/>
        <w:tabs>
          <w:tab w:val="left" w:pos="284"/>
        </w:tabs>
        <w:spacing w:before="0" w:after="0" w:line="240" w:lineRule="auto"/>
        <w:ind w:left="170" w:firstLine="0"/>
        <w:mirrorIndents/>
        <w:rPr>
          <w:rStyle w:val="52"/>
          <w:rFonts w:asciiTheme="majorHAnsi" w:hAnsiTheme="majorHAnsi"/>
          <w:sz w:val="20"/>
          <w:szCs w:val="20"/>
          <w:lang w:eastAsia="uk-UA"/>
        </w:rPr>
      </w:pPr>
      <w:r w:rsidRPr="000977F7">
        <w:rPr>
          <w:rStyle w:val="52"/>
          <w:rFonts w:asciiTheme="majorHAnsi" w:hAnsiTheme="majorHAnsi"/>
          <w:sz w:val="20"/>
          <w:szCs w:val="20"/>
          <w:lang w:eastAsia="uk-UA"/>
        </w:rPr>
        <w:t xml:space="preserve">Примітка 6 Інтегрований аудит це аудит, при якому клієнт об’єднав застосування вимог двох або більше стандартів на системи менеджменту в єдину систему </w:t>
      </w:r>
      <w:r w:rsidRPr="000977F7">
        <w:rPr>
          <w:rStyle w:val="52"/>
          <w:rFonts w:asciiTheme="majorHAnsi" w:hAnsiTheme="majorHAnsi"/>
          <w:sz w:val="20"/>
          <w:szCs w:val="20"/>
        </w:rPr>
        <w:t xml:space="preserve">менеджменту, </w:t>
      </w:r>
      <w:r w:rsidRPr="000977F7">
        <w:rPr>
          <w:rStyle w:val="52"/>
          <w:rFonts w:asciiTheme="majorHAnsi" w:hAnsiTheme="majorHAnsi"/>
          <w:sz w:val="20"/>
          <w:szCs w:val="20"/>
          <w:lang w:eastAsia="uk-UA"/>
        </w:rPr>
        <w:t>і аудит якої здійснюють на відповідність більш ніж одного стандарту</w:t>
      </w:r>
    </w:p>
    <w:p w14:paraId="431AB31A" w14:textId="77777777" w:rsidR="0097612F" w:rsidRPr="000977F7" w:rsidRDefault="0097612F" w:rsidP="000977F7">
      <w:pPr>
        <w:pStyle w:val="53"/>
        <w:shd w:val="clear" w:color="auto" w:fill="auto"/>
        <w:tabs>
          <w:tab w:val="left" w:pos="284"/>
        </w:tabs>
        <w:spacing w:before="0" w:after="0" w:line="240" w:lineRule="auto"/>
        <w:ind w:left="170" w:firstLine="0"/>
        <w:mirrorIndents/>
        <w:rPr>
          <w:rFonts w:asciiTheme="majorHAnsi" w:hAnsiTheme="majorHAnsi"/>
          <w:b w:val="0"/>
          <w:bCs w:val="0"/>
          <w:i/>
          <w:iCs/>
          <w:sz w:val="20"/>
          <w:szCs w:val="20"/>
        </w:rPr>
      </w:pPr>
      <w:r w:rsidRPr="000977F7">
        <w:rPr>
          <w:rFonts w:asciiTheme="majorHAnsi" w:hAnsiTheme="majorHAnsi"/>
          <w:b w:val="0"/>
          <w:bCs w:val="0"/>
          <w:i/>
          <w:iCs/>
          <w:sz w:val="20"/>
          <w:szCs w:val="20"/>
        </w:rPr>
        <w:t>ДСТУ EN ISO/IEC 17021-1:2015</w:t>
      </w:r>
    </w:p>
    <w:p w14:paraId="7255D1D2"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4D2D14">
        <w:rPr>
          <w:rFonts w:asciiTheme="majorHAnsi" w:hAnsiTheme="majorHAnsi"/>
          <w:b/>
          <w:sz w:val="20"/>
          <w:szCs w:val="20"/>
          <w:lang w:val="uk-UA"/>
        </w:rPr>
        <w:t>СЕРТИФІКАЦІЙНІ ВИПРОБУВАННЯ –</w:t>
      </w:r>
      <w:r w:rsidRPr="004D2D14">
        <w:rPr>
          <w:rFonts w:asciiTheme="majorHAnsi" w:hAnsiTheme="majorHAnsi"/>
          <w:b/>
          <w:spacing w:val="-47"/>
          <w:sz w:val="20"/>
          <w:szCs w:val="20"/>
          <w:lang w:val="uk-UA"/>
        </w:rPr>
        <w:t xml:space="preserve"> </w:t>
      </w:r>
      <w:bookmarkStart w:id="260" w:name="_Hlk104210716"/>
      <w:r w:rsidRPr="000977F7">
        <w:rPr>
          <w:rFonts w:asciiTheme="majorHAnsi" w:hAnsiTheme="majorHAnsi"/>
          <w:sz w:val="20"/>
          <w:szCs w:val="20"/>
        </w:rPr>
        <w:t>CERTIFICATION</w:t>
      </w:r>
      <w:r w:rsidRPr="004D2D14">
        <w:rPr>
          <w:rFonts w:asciiTheme="majorHAnsi" w:hAnsiTheme="majorHAnsi"/>
          <w:spacing w:val="-3"/>
          <w:sz w:val="20"/>
          <w:szCs w:val="20"/>
          <w:lang w:val="uk-UA"/>
        </w:rPr>
        <w:t xml:space="preserve"> </w:t>
      </w:r>
      <w:r w:rsidRPr="000977F7">
        <w:rPr>
          <w:rFonts w:asciiTheme="majorHAnsi" w:hAnsiTheme="majorHAnsi"/>
          <w:sz w:val="20"/>
          <w:szCs w:val="20"/>
        </w:rPr>
        <w:t>TEST</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bookmarkEnd w:id="260"/>
    <w:p w14:paraId="615F5C4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Контрольні</w:t>
      </w:r>
      <w:r w:rsidRPr="000977F7">
        <w:rPr>
          <w:rFonts w:asciiTheme="majorHAnsi" w:hAnsiTheme="majorHAnsi"/>
          <w:spacing w:val="22"/>
          <w:sz w:val="20"/>
          <w:szCs w:val="20"/>
        </w:rPr>
        <w:t xml:space="preserve"> </w:t>
      </w:r>
      <w:r w:rsidRPr="000977F7">
        <w:rPr>
          <w:rFonts w:asciiTheme="majorHAnsi" w:hAnsiTheme="majorHAnsi"/>
          <w:sz w:val="20"/>
          <w:szCs w:val="20"/>
        </w:rPr>
        <w:t>випробування</w:t>
      </w:r>
      <w:r w:rsidRPr="000977F7">
        <w:rPr>
          <w:rFonts w:asciiTheme="majorHAnsi" w:hAnsiTheme="majorHAnsi"/>
          <w:spacing w:val="23"/>
          <w:sz w:val="20"/>
          <w:szCs w:val="20"/>
        </w:rPr>
        <w:t xml:space="preserve"> </w:t>
      </w:r>
      <w:r w:rsidRPr="000977F7">
        <w:rPr>
          <w:rFonts w:asciiTheme="majorHAnsi" w:hAnsiTheme="majorHAnsi"/>
          <w:sz w:val="20"/>
          <w:szCs w:val="20"/>
        </w:rPr>
        <w:t>продукції,</w:t>
      </w:r>
      <w:r w:rsidRPr="000977F7">
        <w:rPr>
          <w:rFonts w:asciiTheme="majorHAnsi" w:hAnsiTheme="majorHAnsi"/>
          <w:spacing w:val="23"/>
          <w:sz w:val="20"/>
          <w:szCs w:val="20"/>
        </w:rPr>
        <w:t xml:space="preserve"> </w:t>
      </w:r>
      <w:r w:rsidRPr="000977F7">
        <w:rPr>
          <w:rFonts w:asciiTheme="majorHAnsi" w:hAnsiTheme="majorHAnsi"/>
          <w:sz w:val="20"/>
          <w:szCs w:val="20"/>
        </w:rPr>
        <w:t>що</w:t>
      </w:r>
      <w:r w:rsidRPr="000977F7">
        <w:rPr>
          <w:rFonts w:asciiTheme="majorHAnsi" w:hAnsiTheme="majorHAnsi"/>
          <w:spacing w:val="25"/>
          <w:sz w:val="20"/>
          <w:szCs w:val="20"/>
        </w:rPr>
        <w:t xml:space="preserve"> </w:t>
      </w:r>
      <w:r w:rsidRPr="000977F7">
        <w:rPr>
          <w:rFonts w:asciiTheme="majorHAnsi" w:hAnsiTheme="majorHAnsi"/>
          <w:sz w:val="20"/>
          <w:szCs w:val="20"/>
        </w:rPr>
        <w:t>проводяться</w:t>
      </w:r>
      <w:r w:rsidRPr="000977F7">
        <w:rPr>
          <w:rFonts w:asciiTheme="majorHAnsi" w:hAnsiTheme="majorHAnsi"/>
          <w:spacing w:val="-48"/>
          <w:sz w:val="20"/>
          <w:szCs w:val="20"/>
        </w:rPr>
        <w:t xml:space="preserve"> </w:t>
      </w:r>
      <w:r w:rsidRPr="000977F7">
        <w:rPr>
          <w:rFonts w:asciiTheme="majorHAnsi" w:hAnsiTheme="majorHAnsi"/>
          <w:sz w:val="20"/>
          <w:szCs w:val="20"/>
        </w:rPr>
        <w:t>з метою встановлення відповідності характеристик її</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властивостей національним і (чи) міжнародним нормативним документам</w:t>
      </w:r>
    </w:p>
    <w:p w14:paraId="2263D45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3021 - 95</w:t>
      </w:r>
    </w:p>
    <w:p w14:paraId="6AD66240"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СЕРТИФІКАЦІЯ –</w:t>
      </w:r>
    </w:p>
    <w:p w14:paraId="3D841E1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CERTIFICATION –</w:t>
      </w:r>
    </w:p>
    <w:p w14:paraId="1084624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Підтвердження відповідності третьою стороною, яке стосується продукції, процесів, послуг, систем або персоналу</w:t>
      </w:r>
    </w:p>
    <w:p w14:paraId="41BA2D0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bookmarkStart w:id="261" w:name="_Hlk103188459"/>
      <w:r w:rsidRPr="000977F7">
        <w:rPr>
          <w:rFonts w:asciiTheme="majorHAnsi" w:hAnsiTheme="majorHAnsi"/>
          <w:i/>
          <w:sz w:val="20"/>
          <w:szCs w:val="20"/>
        </w:rPr>
        <w:t>Ст. 1 закону України "Про технічні регламенти та оцінку відповідності"</w:t>
      </w:r>
    </w:p>
    <w:bookmarkEnd w:id="261"/>
    <w:p w14:paraId="1E5E6872"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Підтвердження</w:t>
      </w:r>
      <w:r w:rsidRPr="000977F7">
        <w:rPr>
          <w:rFonts w:asciiTheme="majorHAnsi" w:hAnsiTheme="majorHAnsi"/>
          <w:spacing w:val="32"/>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33"/>
          <w:sz w:val="20"/>
          <w:szCs w:val="20"/>
        </w:rPr>
        <w:t xml:space="preserve"> </w:t>
      </w:r>
      <w:r w:rsidRPr="000977F7">
        <w:rPr>
          <w:rFonts w:asciiTheme="majorHAnsi" w:hAnsiTheme="majorHAnsi"/>
          <w:sz w:val="20"/>
          <w:szCs w:val="20"/>
        </w:rPr>
        <w:t>третьою</w:t>
      </w:r>
      <w:r w:rsidRPr="000977F7">
        <w:rPr>
          <w:rFonts w:asciiTheme="majorHAnsi" w:hAnsiTheme="majorHAnsi"/>
          <w:spacing w:val="34"/>
          <w:sz w:val="20"/>
          <w:szCs w:val="20"/>
        </w:rPr>
        <w:t xml:space="preserve"> </w:t>
      </w:r>
      <w:r w:rsidRPr="000977F7">
        <w:rPr>
          <w:rFonts w:asciiTheme="majorHAnsi" w:hAnsiTheme="majorHAnsi"/>
          <w:sz w:val="20"/>
          <w:szCs w:val="20"/>
        </w:rPr>
        <w:t>стороною,</w:t>
      </w:r>
      <w:r w:rsidRPr="000977F7">
        <w:rPr>
          <w:rFonts w:asciiTheme="majorHAnsi" w:hAnsiTheme="majorHAnsi"/>
          <w:spacing w:val="34"/>
          <w:sz w:val="20"/>
          <w:szCs w:val="20"/>
        </w:rPr>
        <w:t xml:space="preserve"> </w:t>
      </w:r>
      <w:r w:rsidRPr="000977F7">
        <w:rPr>
          <w:rFonts w:asciiTheme="majorHAnsi" w:hAnsiTheme="majorHAnsi"/>
          <w:sz w:val="20"/>
          <w:szCs w:val="20"/>
        </w:rPr>
        <w:t>яке</w:t>
      </w:r>
      <w:r w:rsidRPr="000977F7">
        <w:rPr>
          <w:rFonts w:asciiTheme="majorHAnsi" w:hAnsiTheme="majorHAnsi"/>
          <w:spacing w:val="-47"/>
          <w:sz w:val="20"/>
          <w:szCs w:val="20"/>
        </w:rPr>
        <w:t xml:space="preserve"> </w:t>
      </w:r>
      <w:r w:rsidRPr="000977F7">
        <w:rPr>
          <w:rFonts w:asciiTheme="majorHAnsi" w:hAnsiTheme="majorHAnsi"/>
          <w:sz w:val="20"/>
          <w:szCs w:val="20"/>
        </w:rPr>
        <w:t>стосується продукції, процесів, систем чи персоналу.</w:t>
      </w:r>
    </w:p>
    <w:p w14:paraId="26D99D6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 1.</w:t>
      </w:r>
    </w:p>
    <w:p w14:paraId="057856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Сертифікацію</w:t>
      </w:r>
      <w:r w:rsidRPr="000977F7">
        <w:rPr>
          <w:rFonts w:asciiTheme="majorHAnsi" w:hAnsiTheme="majorHAnsi"/>
          <w:spacing w:val="25"/>
          <w:sz w:val="20"/>
          <w:szCs w:val="20"/>
        </w:rPr>
        <w:t xml:space="preserve"> </w:t>
      </w:r>
      <w:r w:rsidRPr="000977F7">
        <w:rPr>
          <w:rFonts w:asciiTheme="majorHAnsi" w:hAnsiTheme="majorHAnsi"/>
          <w:sz w:val="20"/>
          <w:szCs w:val="20"/>
        </w:rPr>
        <w:t>системи</w:t>
      </w:r>
      <w:r w:rsidRPr="000977F7">
        <w:rPr>
          <w:rFonts w:asciiTheme="majorHAnsi" w:hAnsiTheme="majorHAnsi"/>
          <w:spacing w:val="26"/>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29"/>
          <w:sz w:val="20"/>
          <w:szCs w:val="20"/>
        </w:rPr>
        <w:t xml:space="preserve"> </w:t>
      </w:r>
      <w:r w:rsidRPr="000977F7">
        <w:rPr>
          <w:rFonts w:asciiTheme="majorHAnsi" w:hAnsiTheme="majorHAnsi"/>
          <w:sz w:val="20"/>
          <w:szCs w:val="20"/>
        </w:rPr>
        <w:t>іноді</w:t>
      </w:r>
      <w:r w:rsidRPr="000977F7">
        <w:rPr>
          <w:rFonts w:asciiTheme="majorHAnsi" w:hAnsiTheme="majorHAnsi"/>
          <w:spacing w:val="25"/>
          <w:sz w:val="20"/>
          <w:szCs w:val="20"/>
        </w:rPr>
        <w:t xml:space="preserve"> </w:t>
      </w:r>
      <w:r w:rsidRPr="000977F7">
        <w:rPr>
          <w:rFonts w:asciiTheme="majorHAnsi" w:hAnsiTheme="majorHAnsi"/>
          <w:sz w:val="20"/>
          <w:szCs w:val="20"/>
        </w:rPr>
        <w:t>називають</w:t>
      </w:r>
      <w:r w:rsidRPr="000977F7">
        <w:rPr>
          <w:rFonts w:asciiTheme="majorHAnsi" w:hAnsiTheme="majorHAnsi"/>
          <w:spacing w:val="-47"/>
          <w:sz w:val="20"/>
          <w:szCs w:val="20"/>
        </w:rPr>
        <w:t xml:space="preserve"> </w:t>
      </w:r>
      <w:r w:rsidRPr="000977F7">
        <w:rPr>
          <w:rFonts w:asciiTheme="majorHAnsi" w:hAnsiTheme="majorHAnsi"/>
          <w:sz w:val="20"/>
          <w:szCs w:val="20"/>
        </w:rPr>
        <w:t>реєстрацією</w:t>
      </w:r>
    </w:p>
    <w:p w14:paraId="74AAB7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 2.</w:t>
      </w:r>
    </w:p>
    <w:p w14:paraId="545381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Сертифікація</w:t>
      </w:r>
      <w:r w:rsidRPr="000977F7">
        <w:rPr>
          <w:rFonts w:asciiTheme="majorHAnsi" w:hAnsiTheme="majorHAnsi"/>
          <w:spacing w:val="1"/>
          <w:sz w:val="20"/>
          <w:szCs w:val="20"/>
        </w:rPr>
        <w:t xml:space="preserve"> </w:t>
      </w:r>
      <w:r w:rsidRPr="000977F7">
        <w:rPr>
          <w:rFonts w:asciiTheme="majorHAnsi" w:hAnsiTheme="majorHAnsi"/>
          <w:sz w:val="20"/>
          <w:szCs w:val="20"/>
        </w:rPr>
        <w:t>стосується</w:t>
      </w:r>
      <w:r w:rsidRPr="000977F7">
        <w:rPr>
          <w:rFonts w:asciiTheme="majorHAnsi" w:hAnsiTheme="majorHAnsi"/>
          <w:spacing w:val="1"/>
          <w:sz w:val="20"/>
          <w:szCs w:val="20"/>
        </w:rPr>
        <w:t xml:space="preserve"> </w:t>
      </w:r>
      <w:r w:rsidRPr="000977F7">
        <w:rPr>
          <w:rFonts w:asciiTheme="majorHAnsi" w:hAnsiTheme="majorHAnsi"/>
          <w:sz w:val="20"/>
          <w:szCs w:val="20"/>
        </w:rPr>
        <w:t>всіх</w:t>
      </w:r>
      <w:r w:rsidRPr="000977F7">
        <w:rPr>
          <w:rFonts w:asciiTheme="majorHAnsi" w:hAnsiTheme="majorHAnsi"/>
          <w:spacing w:val="1"/>
          <w:sz w:val="20"/>
          <w:szCs w:val="20"/>
        </w:rPr>
        <w:t xml:space="preserve"> </w:t>
      </w:r>
      <w:r w:rsidRPr="000977F7">
        <w:rPr>
          <w:rFonts w:asciiTheme="majorHAnsi" w:hAnsiTheme="majorHAnsi"/>
          <w:sz w:val="20"/>
          <w:szCs w:val="20"/>
        </w:rPr>
        <w:t>об’єктів</w:t>
      </w:r>
      <w:r w:rsidRPr="000977F7">
        <w:rPr>
          <w:rFonts w:asciiTheme="majorHAnsi" w:hAnsiTheme="majorHAnsi"/>
          <w:spacing w:val="1"/>
          <w:sz w:val="20"/>
          <w:szCs w:val="20"/>
        </w:rPr>
        <w:t xml:space="preserve"> </w:t>
      </w:r>
      <w:r w:rsidRPr="000977F7">
        <w:rPr>
          <w:rFonts w:asciiTheme="majorHAnsi" w:hAnsiTheme="majorHAnsi"/>
          <w:sz w:val="20"/>
          <w:szCs w:val="20"/>
        </w:rPr>
        <w:t>оцінювання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 за винятком самих органів оцінювання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 до яких використовують термін "акредитація".</w:t>
      </w:r>
    </w:p>
    <w:p w14:paraId="22ABD38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ISO/IEC</w:t>
      </w:r>
      <w:r w:rsidRPr="000977F7">
        <w:rPr>
          <w:rFonts w:asciiTheme="majorHAnsi" w:hAnsiTheme="majorHAnsi"/>
          <w:i/>
          <w:spacing w:val="-3"/>
          <w:sz w:val="20"/>
          <w:szCs w:val="20"/>
        </w:rPr>
        <w:t xml:space="preserve"> </w:t>
      </w:r>
      <w:r w:rsidRPr="000977F7">
        <w:rPr>
          <w:rFonts w:asciiTheme="majorHAnsi" w:hAnsiTheme="majorHAnsi"/>
          <w:i/>
          <w:sz w:val="20"/>
          <w:szCs w:val="20"/>
        </w:rPr>
        <w:t>17000:2007</w:t>
      </w:r>
    </w:p>
    <w:p w14:paraId="34DF0D5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Процедура письмового засвідчення третьою стороною</w:t>
      </w:r>
      <w:r w:rsidRPr="000977F7">
        <w:rPr>
          <w:rFonts w:asciiTheme="majorHAnsi" w:hAnsiTheme="majorHAnsi"/>
          <w:spacing w:val="-47"/>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23"/>
          <w:sz w:val="20"/>
          <w:szCs w:val="20"/>
        </w:rPr>
        <w:t xml:space="preserve"> </w:t>
      </w:r>
      <w:r w:rsidRPr="000977F7">
        <w:rPr>
          <w:rFonts w:asciiTheme="majorHAnsi" w:hAnsiTheme="majorHAnsi"/>
          <w:sz w:val="20"/>
          <w:szCs w:val="20"/>
        </w:rPr>
        <w:t>виробу,</w:t>
      </w:r>
      <w:r w:rsidRPr="000977F7">
        <w:rPr>
          <w:rFonts w:asciiTheme="majorHAnsi" w:hAnsiTheme="majorHAnsi"/>
          <w:spacing w:val="25"/>
          <w:sz w:val="20"/>
          <w:szCs w:val="20"/>
        </w:rPr>
        <w:t xml:space="preserve"> </w:t>
      </w:r>
      <w:r w:rsidRPr="000977F7">
        <w:rPr>
          <w:rFonts w:asciiTheme="majorHAnsi" w:hAnsiTheme="majorHAnsi"/>
          <w:sz w:val="20"/>
          <w:szCs w:val="20"/>
        </w:rPr>
        <w:t>процесу</w:t>
      </w:r>
      <w:r w:rsidRPr="000977F7">
        <w:rPr>
          <w:rFonts w:asciiTheme="majorHAnsi" w:hAnsiTheme="majorHAnsi"/>
          <w:spacing w:val="18"/>
          <w:sz w:val="20"/>
          <w:szCs w:val="20"/>
        </w:rPr>
        <w:t xml:space="preserve"> </w:t>
      </w:r>
      <w:r w:rsidRPr="000977F7">
        <w:rPr>
          <w:rFonts w:asciiTheme="majorHAnsi" w:hAnsiTheme="majorHAnsi"/>
          <w:sz w:val="20"/>
          <w:szCs w:val="20"/>
        </w:rPr>
        <w:t>чи</w:t>
      </w:r>
      <w:r w:rsidRPr="000977F7">
        <w:rPr>
          <w:rFonts w:asciiTheme="majorHAnsi" w:hAnsiTheme="majorHAnsi"/>
          <w:spacing w:val="23"/>
          <w:sz w:val="20"/>
          <w:szCs w:val="20"/>
        </w:rPr>
        <w:t xml:space="preserve"> </w:t>
      </w:r>
      <w:r w:rsidRPr="000977F7">
        <w:rPr>
          <w:rFonts w:asciiTheme="majorHAnsi" w:hAnsiTheme="majorHAnsi"/>
          <w:sz w:val="20"/>
          <w:szCs w:val="20"/>
        </w:rPr>
        <w:t>послуги</w:t>
      </w:r>
      <w:r w:rsidRPr="000977F7">
        <w:rPr>
          <w:rFonts w:asciiTheme="majorHAnsi" w:hAnsiTheme="majorHAnsi"/>
          <w:spacing w:val="23"/>
          <w:sz w:val="20"/>
          <w:szCs w:val="20"/>
        </w:rPr>
        <w:t xml:space="preserve"> </w:t>
      </w:r>
      <w:r w:rsidRPr="000977F7">
        <w:rPr>
          <w:rFonts w:asciiTheme="majorHAnsi" w:hAnsiTheme="majorHAnsi"/>
          <w:sz w:val="20"/>
          <w:szCs w:val="20"/>
        </w:rPr>
        <w:t>встановленим вимогам</w:t>
      </w:r>
    </w:p>
    <w:p w14:paraId="6C0F3232"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ISO/IEC 17000:2007</w:t>
      </w:r>
    </w:p>
    <w:p w14:paraId="1E058A79"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СЕРТИФІКАЦІЯ</w:t>
      </w:r>
      <w:r w:rsidRPr="004D2D14">
        <w:rPr>
          <w:rFonts w:asciiTheme="majorHAnsi" w:hAnsiTheme="majorHAnsi"/>
          <w:b/>
          <w:sz w:val="20"/>
          <w:szCs w:val="20"/>
          <w:lang w:val="en-US"/>
        </w:rPr>
        <w:t xml:space="preserve"> </w:t>
      </w:r>
      <w:r w:rsidRPr="000977F7">
        <w:rPr>
          <w:rFonts w:asciiTheme="majorHAnsi" w:hAnsiTheme="majorHAnsi"/>
          <w:b/>
          <w:sz w:val="20"/>
          <w:szCs w:val="20"/>
        </w:rPr>
        <w:t>ВІДПОВІДНОСТІ</w:t>
      </w:r>
      <w:r w:rsidRPr="004D2D14">
        <w:rPr>
          <w:rFonts w:asciiTheme="majorHAnsi" w:hAnsiTheme="majorHAnsi"/>
          <w:b/>
          <w:sz w:val="20"/>
          <w:szCs w:val="20"/>
          <w:lang w:val="en-US"/>
        </w:rPr>
        <w:t xml:space="preserve"> –</w:t>
      </w:r>
      <w:r w:rsidRPr="004D2D14">
        <w:rPr>
          <w:rFonts w:asciiTheme="majorHAnsi" w:hAnsiTheme="majorHAnsi"/>
          <w:b/>
          <w:spacing w:val="-47"/>
          <w:sz w:val="20"/>
          <w:szCs w:val="20"/>
          <w:lang w:val="en-US"/>
        </w:rPr>
        <w:t xml:space="preserve"> </w:t>
      </w:r>
      <w:r w:rsidRPr="004D2D14">
        <w:rPr>
          <w:rFonts w:asciiTheme="majorHAnsi" w:hAnsiTheme="majorHAnsi"/>
          <w:sz w:val="20"/>
          <w:szCs w:val="20"/>
          <w:lang w:val="en-US"/>
        </w:rPr>
        <w:t>CERTIFICATION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CONFORMITY–</w:t>
      </w:r>
    </w:p>
    <w:p w14:paraId="559E036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 третьої сторони, яка доводить, що забезпечується</w:t>
      </w:r>
      <w:r w:rsidRPr="000977F7">
        <w:rPr>
          <w:rFonts w:asciiTheme="majorHAnsi" w:hAnsiTheme="majorHAnsi"/>
          <w:spacing w:val="1"/>
          <w:sz w:val="20"/>
          <w:szCs w:val="20"/>
        </w:rPr>
        <w:t xml:space="preserve"> </w:t>
      </w:r>
      <w:r w:rsidRPr="000977F7">
        <w:rPr>
          <w:rFonts w:asciiTheme="majorHAnsi" w:hAnsiTheme="majorHAnsi"/>
          <w:sz w:val="20"/>
          <w:szCs w:val="20"/>
        </w:rPr>
        <w:t>необхідна</w:t>
      </w:r>
      <w:r w:rsidRPr="000977F7">
        <w:rPr>
          <w:rFonts w:asciiTheme="majorHAnsi" w:hAnsiTheme="majorHAnsi"/>
          <w:spacing w:val="1"/>
          <w:sz w:val="20"/>
          <w:szCs w:val="20"/>
        </w:rPr>
        <w:t xml:space="preserve"> </w:t>
      </w:r>
      <w:r w:rsidRPr="000977F7">
        <w:rPr>
          <w:rFonts w:asciiTheme="majorHAnsi" w:hAnsiTheme="majorHAnsi"/>
          <w:sz w:val="20"/>
          <w:szCs w:val="20"/>
        </w:rPr>
        <w:t>впевненість</w:t>
      </w:r>
      <w:r w:rsidRPr="000977F7">
        <w:rPr>
          <w:rFonts w:asciiTheme="majorHAnsi" w:hAnsiTheme="majorHAnsi"/>
          <w:spacing w:val="1"/>
          <w:sz w:val="20"/>
          <w:szCs w:val="20"/>
        </w:rPr>
        <w:t xml:space="preserve"> </w:t>
      </w:r>
      <w:r w:rsidRPr="000977F7">
        <w:rPr>
          <w:rFonts w:asciiTheme="majorHAnsi" w:hAnsiTheme="majorHAnsi"/>
          <w:sz w:val="20"/>
          <w:szCs w:val="20"/>
        </w:rPr>
        <w:t>в тому, що належним чином</w:t>
      </w:r>
      <w:r w:rsidRPr="000977F7">
        <w:rPr>
          <w:rFonts w:asciiTheme="majorHAnsi" w:hAnsiTheme="majorHAnsi"/>
          <w:spacing w:val="1"/>
          <w:sz w:val="20"/>
          <w:szCs w:val="20"/>
        </w:rPr>
        <w:t xml:space="preserve"> </w:t>
      </w:r>
      <w:r w:rsidRPr="000977F7">
        <w:rPr>
          <w:rFonts w:asciiTheme="majorHAnsi" w:hAnsiTheme="majorHAnsi"/>
          <w:sz w:val="20"/>
          <w:szCs w:val="20"/>
        </w:rPr>
        <w:t>ідентифікована продукція, процес або послуга відповідають конкретному стандарту або іншому нормативному</w:t>
      </w:r>
      <w:r w:rsidRPr="000977F7">
        <w:rPr>
          <w:rFonts w:asciiTheme="majorHAnsi" w:hAnsiTheme="majorHAnsi"/>
          <w:spacing w:val="-5"/>
          <w:sz w:val="20"/>
          <w:szCs w:val="20"/>
        </w:rPr>
        <w:t xml:space="preserve"> </w:t>
      </w:r>
      <w:r w:rsidRPr="000977F7">
        <w:rPr>
          <w:rFonts w:asciiTheme="majorHAnsi" w:hAnsiTheme="majorHAnsi"/>
          <w:sz w:val="20"/>
          <w:szCs w:val="20"/>
        </w:rPr>
        <w:t>документу</w:t>
      </w:r>
    </w:p>
    <w:p w14:paraId="29F61A4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СЕРТИФІКАЦІЯ ВІДПОВІДНОСТІ ПРОГРАМ</w:t>
      </w:r>
      <w:r w:rsidRPr="000977F7">
        <w:rPr>
          <w:color w:val="auto"/>
          <w:spacing w:val="-47"/>
          <w:sz w:val="20"/>
          <w:szCs w:val="20"/>
        </w:rPr>
        <w:t xml:space="preserve"> </w:t>
      </w:r>
      <w:r w:rsidRPr="000977F7">
        <w:rPr>
          <w:color w:val="auto"/>
          <w:sz w:val="20"/>
          <w:szCs w:val="20"/>
        </w:rPr>
        <w:t>НОГО ЗАСОБУ</w:t>
      </w:r>
      <w:r w:rsidRPr="000977F7">
        <w:rPr>
          <w:color w:val="auto"/>
          <w:spacing w:val="2"/>
          <w:sz w:val="20"/>
          <w:szCs w:val="20"/>
        </w:rPr>
        <w:t xml:space="preserve"> </w:t>
      </w:r>
      <w:r w:rsidRPr="000977F7">
        <w:rPr>
          <w:color w:val="auto"/>
          <w:sz w:val="20"/>
          <w:szCs w:val="20"/>
        </w:rPr>
        <w:t>–</w:t>
      </w:r>
    </w:p>
    <w:p w14:paraId="615BF488" w14:textId="77777777" w:rsidR="0097612F" w:rsidRPr="004D2D14" w:rsidRDefault="0097612F" w:rsidP="000977F7">
      <w:pPr>
        <w:pStyle w:val="af6"/>
        <w:tabs>
          <w:tab w:val="left" w:pos="284"/>
        </w:tabs>
        <w:spacing w:after="0"/>
        <w:ind w:left="170"/>
        <w:mirrorIndents/>
        <w:jc w:val="both"/>
        <w:rPr>
          <w:rFonts w:asciiTheme="majorHAnsi" w:hAnsiTheme="majorHAnsi"/>
          <w:spacing w:val="-6"/>
          <w:sz w:val="20"/>
          <w:szCs w:val="20"/>
          <w:lang w:val="uk-UA"/>
        </w:rPr>
      </w:pPr>
      <w:r w:rsidRPr="000977F7">
        <w:rPr>
          <w:rFonts w:asciiTheme="majorHAnsi" w:hAnsiTheme="majorHAnsi"/>
          <w:spacing w:val="-6"/>
          <w:sz w:val="20"/>
          <w:szCs w:val="20"/>
        </w:rPr>
        <w:t>CERTIFICATION</w:t>
      </w:r>
      <w:r w:rsidRPr="004D2D14">
        <w:rPr>
          <w:rFonts w:asciiTheme="majorHAnsi" w:hAnsiTheme="majorHAnsi"/>
          <w:spacing w:val="-6"/>
          <w:sz w:val="20"/>
          <w:szCs w:val="20"/>
          <w:lang w:val="uk-UA"/>
        </w:rPr>
        <w:t xml:space="preserve"> </w:t>
      </w:r>
      <w:r w:rsidRPr="000977F7">
        <w:rPr>
          <w:rFonts w:asciiTheme="majorHAnsi" w:hAnsiTheme="majorHAnsi"/>
          <w:spacing w:val="-6"/>
          <w:sz w:val="20"/>
          <w:szCs w:val="20"/>
        </w:rPr>
        <w:t>OF</w:t>
      </w:r>
      <w:r w:rsidRPr="004D2D14">
        <w:rPr>
          <w:rFonts w:asciiTheme="majorHAnsi" w:hAnsiTheme="majorHAnsi"/>
          <w:spacing w:val="-6"/>
          <w:sz w:val="20"/>
          <w:szCs w:val="20"/>
          <w:lang w:val="uk-UA"/>
        </w:rPr>
        <w:t xml:space="preserve"> </w:t>
      </w:r>
      <w:r w:rsidRPr="000977F7">
        <w:rPr>
          <w:rFonts w:asciiTheme="majorHAnsi" w:hAnsiTheme="majorHAnsi"/>
          <w:spacing w:val="-6"/>
          <w:sz w:val="20"/>
          <w:szCs w:val="20"/>
        </w:rPr>
        <w:t>SOFTWARE</w:t>
      </w:r>
      <w:r w:rsidRPr="004D2D14">
        <w:rPr>
          <w:rFonts w:asciiTheme="majorHAnsi" w:hAnsiTheme="majorHAnsi"/>
          <w:spacing w:val="-6"/>
          <w:sz w:val="20"/>
          <w:szCs w:val="20"/>
          <w:lang w:val="uk-UA"/>
        </w:rPr>
        <w:t xml:space="preserve"> </w:t>
      </w:r>
      <w:r w:rsidRPr="000977F7">
        <w:rPr>
          <w:rFonts w:asciiTheme="majorHAnsi" w:hAnsiTheme="majorHAnsi"/>
          <w:spacing w:val="-6"/>
          <w:sz w:val="20"/>
          <w:szCs w:val="20"/>
        </w:rPr>
        <w:t>CONFORMITY</w:t>
      </w:r>
      <w:r w:rsidRPr="004D2D14">
        <w:rPr>
          <w:rFonts w:asciiTheme="majorHAnsi" w:hAnsiTheme="majorHAnsi"/>
          <w:spacing w:val="-6"/>
          <w:sz w:val="20"/>
          <w:szCs w:val="20"/>
          <w:lang w:val="uk-UA"/>
        </w:rPr>
        <w:t xml:space="preserve"> -</w:t>
      </w:r>
    </w:p>
    <w:p w14:paraId="1FC0E93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Дія третьої сторони (органу з сертифікації, випробувальної лабораторії), спрямовані на підтвердження того,</w:t>
      </w:r>
      <w:r w:rsidRPr="004D2D14">
        <w:rPr>
          <w:rFonts w:asciiTheme="majorHAnsi" w:hAnsiTheme="majorHAnsi"/>
          <w:spacing w:val="-47"/>
          <w:sz w:val="20"/>
          <w:szCs w:val="20"/>
          <w:lang w:val="uk-UA"/>
        </w:rPr>
        <w:t xml:space="preserve"> </w:t>
      </w:r>
      <w:r w:rsidRPr="004D2D14">
        <w:rPr>
          <w:rFonts w:asciiTheme="majorHAnsi" w:hAnsiTheme="majorHAnsi"/>
          <w:spacing w:val="-1"/>
          <w:sz w:val="20"/>
          <w:szCs w:val="20"/>
          <w:lang w:val="uk-UA"/>
        </w:rPr>
        <w:t>що</w:t>
      </w:r>
      <w:r w:rsidRPr="004D2D14">
        <w:rPr>
          <w:rFonts w:asciiTheme="majorHAnsi" w:hAnsiTheme="majorHAnsi"/>
          <w:spacing w:val="-8"/>
          <w:sz w:val="20"/>
          <w:szCs w:val="20"/>
          <w:lang w:val="uk-UA"/>
        </w:rPr>
        <w:t xml:space="preserve"> </w:t>
      </w:r>
      <w:r w:rsidRPr="004D2D14">
        <w:rPr>
          <w:rFonts w:asciiTheme="majorHAnsi" w:hAnsiTheme="majorHAnsi"/>
          <w:spacing w:val="-1"/>
          <w:sz w:val="20"/>
          <w:szCs w:val="20"/>
          <w:lang w:val="uk-UA"/>
        </w:rPr>
        <w:t>програмний</w:t>
      </w:r>
      <w:r w:rsidRPr="004D2D14">
        <w:rPr>
          <w:rFonts w:asciiTheme="majorHAnsi" w:hAnsiTheme="majorHAnsi"/>
          <w:spacing w:val="-8"/>
          <w:sz w:val="20"/>
          <w:szCs w:val="20"/>
          <w:lang w:val="uk-UA"/>
        </w:rPr>
        <w:t xml:space="preserve"> </w:t>
      </w:r>
      <w:r w:rsidRPr="004D2D14">
        <w:rPr>
          <w:rFonts w:asciiTheme="majorHAnsi" w:hAnsiTheme="majorHAnsi"/>
          <w:spacing w:val="-1"/>
          <w:sz w:val="20"/>
          <w:szCs w:val="20"/>
          <w:lang w:val="uk-UA"/>
        </w:rPr>
        <w:t>засіб</w:t>
      </w:r>
      <w:r w:rsidRPr="004D2D14">
        <w:rPr>
          <w:rFonts w:asciiTheme="majorHAnsi" w:hAnsiTheme="majorHAnsi"/>
          <w:spacing w:val="-10"/>
          <w:sz w:val="20"/>
          <w:szCs w:val="20"/>
          <w:lang w:val="uk-UA"/>
        </w:rPr>
        <w:t xml:space="preserve"> </w:t>
      </w:r>
      <w:r w:rsidRPr="004D2D14">
        <w:rPr>
          <w:rFonts w:asciiTheme="majorHAnsi" w:hAnsiTheme="majorHAnsi"/>
          <w:spacing w:val="-1"/>
          <w:sz w:val="20"/>
          <w:szCs w:val="20"/>
          <w:lang w:val="uk-UA"/>
        </w:rPr>
        <w:t>відповідає</w:t>
      </w:r>
      <w:r w:rsidRPr="004D2D14">
        <w:rPr>
          <w:rFonts w:asciiTheme="majorHAnsi" w:hAnsiTheme="majorHAnsi"/>
          <w:spacing w:val="-8"/>
          <w:sz w:val="20"/>
          <w:szCs w:val="20"/>
          <w:lang w:val="uk-UA"/>
        </w:rPr>
        <w:t xml:space="preserve"> </w:t>
      </w:r>
      <w:r w:rsidRPr="004D2D14">
        <w:rPr>
          <w:rFonts w:asciiTheme="majorHAnsi" w:hAnsiTheme="majorHAnsi"/>
          <w:spacing w:val="-1"/>
          <w:sz w:val="20"/>
          <w:szCs w:val="20"/>
          <w:lang w:val="uk-UA"/>
        </w:rPr>
        <w:t>встановленим</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вимогам</w:t>
      </w:r>
      <w:r w:rsidRPr="004D2D14">
        <w:rPr>
          <w:rFonts w:asciiTheme="majorHAnsi" w:hAnsiTheme="majorHAnsi"/>
          <w:spacing w:val="-48"/>
          <w:sz w:val="20"/>
          <w:szCs w:val="20"/>
          <w:lang w:val="uk-UA"/>
        </w:rPr>
        <w:t xml:space="preserve"> </w:t>
      </w:r>
      <w:r w:rsidRPr="004D2D14">
        <w:rPr>
          <w:rFonts w:asciiTheme="majorHAnsi" w:hAnsiTheme="majorHAnsi"/>
          <w:sz w:val="20"/>
          <w:szCs w:val="20"/>
          <w:lang w:val="uk-UA"/>
        </w:rPr>
        <w:t>стандартів</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інших</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нормативних</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документів</w:t>
      </w:r>
    </w:p>
    <w:p w14:paraId="46BF945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2844 - 94</w:t>
      </w:r>
    </w:p>
    <w:p w14:paraId="3EAB5BC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СЕРТИФІКАЦІЯ</w:t>
      </w:r>
      <w:r w:rsidRPr="000977F7">
        <w:rPr>
          <w:color w:val="auto"/>
          <w:spacing w:val="-5"/>
          <w:sz w:val="20"/>
          <w:szCs w:val="20"/>
        </w:rPr>
        <w:t xml:space="preserve"> </w:t>
      </w:r>
      <w:r w:rsidRPr="000977F7">
        <w:rPr>
          <w:color w:val="auto"/>
          <w:sz w:val="20"/>
          <w:szCs w:val="20"/>
        </w:rPr>
        <w:t>СИСТЕМИ</w:t>
      </w:r>
      <w:r w:rsidRPr="000977F7">
        <w:rPr>
          <w:color w:val="auto"/>
          <w:spacing w:val="-3"/>
          <w:sz w:val="20"/>
          <w:szCs w:val="20"/>
        </w:rPr>
        <w:t xml:space="preserve"> </w:t>
      </w:r>
      <w:r w:rsidRPr="000977F7">
        <w:rPr>
          <w:color w:val="auto"/>
          <w:sz w:val="20"/>
          <w:szCs w:val="20"/>
        </w:rPr>
        <w:t>ЯКОСТІ</w:t>
      </w:r>
      <w:r w:rsidRPr="000977F7">
        <w:rPr>
          <w:color w:val="auto"/>
          <w:spacing w:val="-3"/>
          <w:sz w:val="20"/>
          <w:szCs w:val="20"/>
        </w:rPr>
        <w:t xml:space="preserve"> </w:t>
      </w:r>
      <w:r w:rsidRPr="000977F7">
        <w:rPr>
          <w:color w:val="auto"/>
          <w:sz w:val="20"/>
          <w:szCs w:val="20"/>
        </w:rPr>
        <w:t>–</w:t>
      </w:r>
    </w:p>
    <w:p w14:paraId="4EED7AC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Перевірка, оцінка та посвідчення акредитованим органом з сертифікації систем якості того, що система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підприємства,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перевіряється,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відповідає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вимогам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державного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міжнародного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стандарту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системи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якості</w:t>
      </w:r>
    </w:p>
    <w:p w14:paraId="078CCE36"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СЕРТИФІКОВАНИЙ КЛІЄНТ –</w:t>
      </w:r>
    </w:p>
    <w:p w14:paraId="3FCFA8E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систему менеджменту якої було сертифіковано</w:t>
      </w:r>
    </w:p>
    <w:p w14:paraId="1C8ED9F1"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shd w:val="clear" w:color="auto" w:fill="FFFFFF"/>
        </w:rPr>
      </w:pPr>
      <w:r w:rsidRPr="000977F7">
        <w:rPr>
          <w:rFonts w:asciiTheme="majorHAnsi" w:hAnsiTheme="majorHAnsi"/>
          <w:i/>
          <w:iCs/>
          <w:sz w:val="20"/>
          <w:szCs w:val="20"/>
          <w:shd w:val="clear" w:color="auto" w:fill="FFFFFF"/>
        </w:rPr>
        <w:t>ДСТУ EN ISO/IEC 17021-1:2015</w:t>
      </w:r>
    </w:p>
    <w:p w14:paraId="2F4BC559"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СИГНАЛ –</w:t>
      </w:r>
    </w:p>
    <w:p w14:paraId="08DEB62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SIGNAL –</w:t>
      </w:r>
    </w:p>
    <w:p w14:paraId="62FEF9A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Фізичний процес, властивості якого визначаються взаємодією між матеріальним об’єктом та засобом його дослідження</w:t>
      </w:r>
    </w:p>
    <w:p w14:paraId="6ABCE67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BE353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Діяння,</w:t>
      </w:r>
      <w:r w:rsidRPr="000977F7">
        <w:rPr>
          <w:rFonts w:asciiTheme="majorHAnsi" w:hAnsiTheme="majorHAnsi"/>
          <w:spacing w:val="-5"/>
          <w:sz w:val="20"/>
          <w:szCs w:val="20"/>
        </w:rPr>
        <w:t xml:space="preserve"> </w:t>
      </w:r>
      <w:r w:rsidRPr="000977F7">
        <w:rPr>
          <w:rFonts w:asciiTheme="majorHAnsi" w:hAnsiTheme="majorHAnsi"/>
          <w:sz w:val="20"/>
          <w:szCs w:val="20"/>
        </w:rPr>
        <w:t>організоване</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3"/>
          <w:sz w:val="20"/>
          <w:szCs w:val="20"/>
        </w:rPr>
        <w:t xml:space="preserve"> </w:t>
      </w:r>
      <w:r w:rsidRPr="000977F7">
        <w:rPr>
          <w:rFonts w:asciiTheme="majorHAnsi" w:hAnsiTheme="majorHAnsi"/>
          <w:sz w:val="20"/>
          <w:szCs w:val="20"/>
        </w:rPr>
        <w:t>пересилання</w:t>
      </w:r>
      <w:r w:rsidRPr="000977F7">
        <w:rPr>
          <w:rFonts w:asciiTheme="majorHAnsi" w:hAnsiTheme="majorHAnsi"/>
          <w:spacing w:val="-3"/>
          <w:sz w:val="20"/>
          <w:szCs w:val="20"/>
        </w:rPr>
        <w:t xml:space="preserve"> </w:t>
      </w:r>
      <w:r w:rsidRPr="000977F7">
        <w:rPr>
          <w:rFonts w:asciiTheme="majorHAnsi" w:hAnsiTheme="majorHAnsi"/>
          <w:sz w:val="20"/>
          <w:szCs w:val="20"/>
        </w:rPr>
        <w:t>даних</w:t>
      </w:r>
    </w:p>
    <w:p w14:paraId="0B0D0C62"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3956 - 2000</w:t>
      </w:r>
    </w:p>
    <w:p w14:paraId="0EA0AF7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СИГНАЛ</w:t>
      </w:r>
      <w:r w:rsidRPr="000977F7">
        <w:rPr>
          <w:color w:val="auto"/>
          <w:spacing w:val="-5"/>
          <w:sz w:val="20"/>
          <w:szCs w:val="20"/>
        </w:rPr>
        <w:t xml:space="preserve"> </w:t>
      </w:r>
      <w:r w:rsidRPr="000977F7">
        <w:rPr>
          <w:color w:val="auto"/>
          <w:sz w:val="20"/>
          <w:szCs w:val="20"/>
        </w:rPr>
        <w:t>ВИМІРЮВАЛЬНОЇ</w:t>
      </w:r>
      <w:r w:rsidRPr="000977F7">
        <w:rPr>
          <w:color w:val="auto"/>
          <w:spacing w:val="-6"/>
          <w:sz w:val="20"/>
          <w:szCs w:val="20"/>
        </w:rPr>
        <w:t xml:space="preserve"> </w:t>
      </w:r>
      <w:r w:rsidRPr="000977F7">
        <w:rPr>
          <w:color w:val="auto"/>
          <w:sz w:val="20"/>
          <w:szCs w:val="20"/>
        </w:rPr>
        <w:t>ІНФОРМАЦІЇ</w:t>
      </w:r>
      <w:r w:rsidRPr="000977F7">
        <w:rPr>
          <w:color w:val="auto"/>
          <w:spacing w:val="-3"/>
          <w:sz w:val="20"/>
          <w:szCs w:val="20"/>
        </w:rPr>
        <w:t xml:space="preserve"> </w:t>
      </w:r>
      <w:r w:rsidRPr="000977F7">
        <w:rPr>
          <w:color w:val="auto"/>
          <w:sz w:val="20"/>
          <w:szCs w:val="20"/>
        </w:rPr>
        <w:t>–</w:t>
      </w:r>
    </w:p>
    <w:p w14:paraId="45794ED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MEASUREMENT INFORMATION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SIGNAL</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59D24E5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 який представляє вимірювальну інформацію</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виході</w:t>
      </w:r>
      <w:r w:rsidRPr="000977F7">
        <w:rPr>
          <w:rFonts w:asciiTheme="majorHAnsi" w:hAnsiTheme="majorHAnsi"/>
          <w:spacing w:val="-1"/>
          <w:sz w:val="20"/>
          <w:szCs w:val="20"/>
        </w:rPr>
        <w:t xml:space="preserve"> </w:t>
      </w:r>
      <w:r w:rsidRPr="000977F7">
        <w:rPr>
          <w:rFonts w:asciiTheme="majorHAnsi" w:hAnsiTheme="majorHAnsi"/>
          <w:sz w:val="20"/>
          <w:szCs w:val="20"/>
        </w:rPr>
        <w:t>засобу</w:t>
      </w:r>
      <w:r w:rsidRPr="000977F7">
        <w:rPr>
          <w:rFonts w:asciiTheme="majorHAnsi" w:hAnsiTheme="majorHAnsi"/>
          <w:spacing w:val="-1"/>
          <w:sz w:val="20"/>
          <w:szCs w:val="20"/>
        </w:rPr>
        <w:t xml:space="preserve"> </w:t>
      </w:r>
      <w:r w:rsidRPr="000977F7">
        <w:rPr>
          <w:rFonts w:asciiTheme="majorHAnsi" w:hAnsiTheme="majorHAnsi"/>
          <w:sz w:val="20"/>
          <w:szCs w:val="20"/>
        </w:rPr>
        <w:t>вимірювань</w:t>
      </w:r>
    </w:p>
    <w:p w14:paraId="74136CD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4D2D14">
        <w:rPr>
          <w:rFonts w:asciiTheme="majorHAnsi" w:hAnsiTheme="majorHAnsi"/>
          <w:i/>
          <w:sz w:val="20"/>
          <w:szCs w:val="20"/>
          <w:lang w:val="en-US"/>
        </w:rPr>
        <w:t>94</w:t>
      </w:r>
    </w:p>
    <w:p w14:paraId="28425D47" w14:textId="77777777" w:rsidR="0097612F" w:rsidRPr="004D2D14" w:rsidRDefault="0097612F" w:rsidP="000977F7">
      <w:pPr>
        <w:tabs>
          <w:tab w:val="left" w:pos="284"/>
        </w:tabs>
        <w:spacing w:after="0" w:line="240" w:lineRule="auto"/>
        <w:ind w:left="170"/>
        <w:mirrorIndents/>
        <w:jc w:val="both"/>
        <w:rPr>
          <w:rFonts w:asciiTheme="majorHAnsi" w:hAnsiTheme="majorHAnsi"/>
          <w:b/>
          <w:bCs/>
          <w:sz w:val="20"/>
          <w:szCs w:val="20"/>
          <w:lang w:val="en-US"/>
        </w:rPr>
      </w:pPr>
      <w:r w:rsidRPr="000977F7">
        <w:rPr>
          <w:rFonts w:asciiTheme="majorHAnsi" w:hAnsiTheme="majorHAnsi"/>
          <w:b/>
          <w:bCs/>
          <w:sz w:val="20"/>
          <w:szCs w:val="20"/>
        </w:rPr>
        <w:t>СИГНАЛ</w:t>
      </w:r>
      <w:r w:rsidRPr="004D2D14">
        <w:rPr>
          <w:rFonts w:asciiTheme="majorHAnsi" w:hAnsiTheme="majorHAnsi"/>
          <w:b/>
          <w:bCs/>
          <w:spacing w:val="-6"/>
          <w:sz w:val="20"/>
          <w:szCs w:val="20"/>
          <w:lang w:val="en-US"/>
        </w:rPr>
        <w:t xml:space="preserve"> </w:t>
      </w:r>
      <w:r w:rsidRPr="000977F7">
        <w:rPr>
          <w:rFonts w:asciiTheme="majorHAnsi" w:hAnsiTheme="majorHAnsi"/>
          <w:b/>
          <w:bCs/>
          <w:sz w:val="20"/>
          <w:szCs w:val="20"/>
        </w:rPr>
        <w:t>ВІДХИЛУ</w:t>
      </w:r>
      <w:r w:rsidRPr="004D2D14">
        <w:rPr>
          <w:rFonts w:asciiTheme="majorHAnsi" w:hAnsiTheme="majorHAnsi"/>
          <w:b/>
          <w:bCs/>
          <w:spacing w:val="-4"/>
          <w:sz w:val="20"/>
          <w:szCs w:val="20"/>
          <w:lang w:val="en-US"/>
        </w:rPr>
        <w:t xml:space="preserve"> </w:t>
      </w:r>
      <w:r w:rsidRPr="004D2D14">
        <w:rPr>
          <w:rFonts w:asciiTheme="majorHAnsi" w:hAnsiTheme="majorHAnsi"/>
          <w:b/>
          <w:bCs/>
          <w:sz w:val="20"/>
          <w:szCs w:val="20"/>
          <w:lang w:val="en-US"/>
        </w:rPr>
        <w:t>–</w:t>
      </w:r>
    </w:p>
    <w:p w14:paraId="15012E0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DEVIATION</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SIGNAL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6950B0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 який пересилає дані про невідповідність значення</w:t>
      </w:r>
      <w:r w:rsidRPr="000977F7">
        <w:rPr>
          <w:rFonts w:asciiTheme="majorHAnsi" w:hAnsiTheme="majorHAnsi"/>
          <w:spacing w:val="1"/>
          <w:sz w:val="20"/>
          <w:szCs w:val="20"/>
        </w:rPr>
        <w:t xml:space="preserve"> </w:t>
      </w:r>
      <w:r w:rsidRPr="000977F7">
        <w:rPr>
          <w:rFonts w:asciiTheme="majorHAnsi" w:hAnsiTheme="majorHAnsi"/>
          <w:sz w:val="20"/>
          <w:szCs w:val="20"/>
        </w:rPr>
        <w:t>керованого</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заданому</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нього значенню</w:t>
      </w:r>
    </w:p>
    <w:p w14:paraId="57A0EFE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50"/>
          <w:sz w:val="20"/>
          <w:szCs w:val="20"/>
          <w:lang w:val="en-US"/>
        </w:rPr>
        <w:t xml:space="preserve"> </w:t>
      </w:r>
      <w:r w:rsidRPr="004D2D14">
        <w:rPr>
          <w:rFonts w:asciiTheme="majorHAnsi" w:hAnsiTheme="majorHAnsi"/>
          <w:i/>
          <w:sz w:val="20"/>
          <w:szCs w:val="20"/>
          <w:lang w:val="en-US"/>
        </w:rPr>
        <w:t>3956 - 2000</w:t>
      </w:r>
    </w:p>
    <w:p w14:paraId="54216A42"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1"/>
          <w:sz w:val="20"/>
          <w:szCs w:val="20"/>
          <w:lang w:val="en-US"/>
        </w:rPr>
      </w:pPr>
      <w:r w:rsidRPr="000977F7">
        <w:rPr>
          <w:rFonts w:asciiTheme="majorHAnsi" w:hAnsiTheme="majorHAnsi"/>
          <w:b/>
          <w:sz w:val="20"/>
          <w:szCs w:val="20"/>
        </w:rPr>
        <w:t>СИГНАЛ</w:t>
      </w:r>
      <w:r w:rsidRPr="004D2D14">
        <w:rPr>
          <w:rFonts w:asciiTheme="majorHAnsi" w:hAnsiTheme="majorHAnsi"/>
          <w:b/>
          <w:sz w:val="20"/>
          <w:szCs w:val="20"/>
          <w:lang w:val="en-US"/>
        </w:rPr>
        <w:t xml:space="preserve"> </w:t>
      </w:r>
      <w:r w:rsidRPr="000977F7">
        <w:rPr>
          <w:rFonts w:asciiTheme="majorHAnsi" w:hAnsiTheme="majorHAnsi"/>
          <w:b/>
          <w:sz w:val="20"/>
          <w:szCs w:val="20"/>
        </w:rPr>
        <w:t>ЗБУРЕННЯ</w:t>
      </w:r>
      <w:r w:rsidRPr="004D2D14">
        <w:rPr>
          <w:rFonts w:asciiTheme="majorHAnsi" w:hAnsiTheme="majorHAnsi"/>
          <w:b/>
          <w:sz w:val="20"/>
          <w:szCs w:val="20"/>
          <w:lang w:val="en-US"/>
        </w:rPr>
        <w:t xml:space="preserve"> –</w:t>
      </w:r>
      <w:r w:rsidRPr="004D2D14">
        <w:rPr>
          <w:rFonts w:asciiTheme="majorHAnsi" w:hAnsiTheme="majorHAnsi"/>
          <w:b/>
          <w:spacing w:val="1"/>
          <w:sz w:val="20"/>
          <w:szCs w:val="20"/>
          <w:lang w:val="en-US"/>
        </w:rPr>
        <w:t xml:space="preserve"> </w:t>
      </w:r>
    </w:p>
    <w:p w14:paraId="20F635ED"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DISTURBANCE</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SIGNAL</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w:t>
      </w:r>
    </w:p>
    <w:p w14:paraId="207F97A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 який пересилає дані про збурення, що діє на</w:t>
      </w:r>
      <w:r w:rsidRPr="000977F7">
        <w:rPr>
          <w:rFonts w:asciiTheme="majorHAnsi" w:hAnsiTheme="majorHAnsi"/>
          <w:spacing w:val="1"/>
          <w:sz w:val="20"/>
          <w:szCs w:val="20"/>
        </w:rPr>
        <w:t xml:space="preserve"> </w:t>
      </w:r>
      <w:r w:rsidRPr="000977F7">
        <w:rPr>
          <w:rFonts w:asciiTheme="majorHAnsi" w:hAnsiTheme="majorHAnsi"/>
          <w:sz w:val="20"/>
          <w:szCs w:val="20"/>
        </w:rPr>
        <w:t>керований</w:t>
      </w:r>
      <w:r w:rsidRPr="000977F7">
        <w:rPr>
          <w:rFonts w:asciiTheme="majorHAnsi" w:hAnsiTheme="majorHAnsi"/>
          <w:spacing w:val="-2"/>
          <w:sz w:val="20"/>
          <w:szCs w:val="20"/>
        </w:rPr>
        <w:t xml:space="preserve"> </w:t>
      </w:r>
      <w:r w:rsidRPr="000977F7">
        <w:rPr>
          <w:rFonts w:asciiTheme="majorHAnsi" w:hAnsiTheme="majorHAnsi"/>
          <w:sz w:val="20"/>
          <w:szCs w:val="20"/>
        </w:rPr>
        <w:t>об’єкт</w:t>
      </w:r>
    </w:p>
    <w:p w14:paraId="59EA5B6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0EC167E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СИГНАЛ</w:t>
      </w:r>
      <w:r w:rsidRPr="000977F7">
        <w:rPr>
          <w:color w:val="auto"/>
          <w:spacing w:val="-5"/>
          <w:sz w:val="20"/>
          <w:szCs w:val="20"/>
        </w:rPr>
        <w:t xml:space="preserve"> </w:t>
      </w:r>
      <w:r w:rsidRPr="000977F7">
        <w:rPr>
          <w:color w:val="auto"/>
          <w:sz w:val="20"/>
          <w:szCs w:val="20"/>
        </w:rPr>
        <w:t>ЗВОРОТНЬОГО</w:t>
      </w:r>
      <w:r w:rsidRPr="000977F7">
        <w:rPr>
          <w:color w:val="auto"/>
          <w:spacing w:val="-3"/>
          <w:sz w:val="20"/>
          <w:szCs w:val="20"/>
        </w:rPr>
        <w:t xml:space="preserve"> </w:t>
      </w:r>
      <w:r w:rsidRPr="000977F7">
        <w:rPr>
          <w:color w:val="auto"/>
          <w:sz w:val="20"/>
          <w:szCs w:val="20"/>
        </w:rPr>
        <w:t>ЗВ’ЯЗКУ</w:t>
      </w:r>
      <w:r w:rsidRPr="000977F7">
        <w:rPr>
          <w:color w:val="auto"/>
          <w:spacing w:val="-1"/>
          <w:sz w:val="20"/>
          <w:szCs w:val="20"/>
        </w:rPr>
        <w:t xml:space="preserve"> </w:t>
      </w:r>
      <w:r w:rsidRPr="000977F7">
        <w:rPr>
          <w:color w:val="auto"/>
          <w:sz w:val="20"/>
          <w:szCs w:val="20"/>
        </w:rPr>
        <w:t>–</w:t>
      </w:r>
    </w:p>
    <w:p w14:paraId="2CBC729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FEED</w:t>
      </w:r>
      <w:r w:rsidRPr="000977F7">
        <w:rPr>
          <w:rFonts w:asciiTheme="majorHAnsi" w:hAnsiTheme="majorHAnsi"/>
          <w:spacing w:val="-2"/>
          <w:sz w:val="20"/>
          <w:szCs w:val="20"/>
        </w:rPr>
        <w:t xml:space="preserve"> </w:t>
      </w:r>
      <w:r w:rsidRPr="000977F7">
        <w:rPr>
          <w:rFonts w:asciiTheme="majorHAnsi" w:hAnsiTheme="majorHAnsi"/>
          <w:sz w:val="20"/>
          <w:szCs w:val="20"/>
        </w:rPr>
        <w:t>BACK</w:t>
      </w:r>
      <w:r w:rsidRPr="000977F7">
        <w:rPr>
          <w:rFonts w:asciiTheme="majorHAnsi" w:hAnsiTheme="majorHAnsi"/>
          <w:spacing w:val="-1"/>
          <w:sz w:val="20"/>
          <w:szCs w:val="20"/>
        </w:rPr>
        <w:t xml:space="preserve"> </w:t>
      </w:r>
      <w:r w:rsidRPr="000977F7">
        <w:rPr>
          <w:rFonts w:asciiTheme="majorHAnsi" w:hAnsiTheme="majorHAnsi"/>
          <w:sz w:val="20"/>
          <w:szCs w:val="20"/>
        </w:rPr>
        <w:t>SIGNAL</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48605D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 який пересилає дані про керований параметр</w:t>
      </w:r>
      <w:r w:rsidRPr="000977F7">
        <w:rPr>
          <w:rFonts w:asciiTheme="majorHAnsi" w:hAnsiTheme="majorHAnsi"/>
          <w:spacing w:val="1"/>
          <w:sz w:val="20"/>
          <w:szCs w:val="20"/>
        </w:rPr>
        <w:t xml:space="preserve"> </w:t>
      </w:r>
      <w:r w:rsidRPr="000977F7">
        <w:rPr>
          <w:rFonts w:asciiTheme="majorHAnsi" w:hAnsiTheme="majorHAnsi"/>
          <w:sz w:val="20"/>
          <w:szCs w:val="20"/>
        </w:rPr>
        <w:t>об’єкта, які враховуються під час вироблення керівного діяння</w:t>
      </w:r>
    </w:p>
    <w:p w14:paraId="349AFF4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3956 - 2000</w:t>
      </w:r>
    </w:p>
    <w:p w14:paraId="393FBEB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СИМЕТРУВАННЯ</w:t>
      </w:r>
      <w:r w:rsidRPr="000977F7">
        <w:rPr>
          <w:color w:val="auto"/>
          <w:spacing w:val="-4"/>
          <w:sz w:val="20"/>
          <w:szCs w:val="20"/>
        </w:rPr>
        <w:t xml:space="preserve"> </w:t>
      </w:r>
      <w:r w:rsidRPr="000977F7">
        <w:rPr>
          <w:color w:val="auto"/>
          <w:sz w:val="20"/>
          <w:szCs w:val="20"/>
        </w:rPr>
        <w:t>(РОЗПОДІЛЬЧОЇ</w:t>
      </w:r>
      <w:r w:rsidRPr="000977F7">
        <w:rPr>
          <w:color w:val="auto"/>
          <w:spacing w:val="42"/>
          <w:sz w:val="20"/>
          <w:szCs w:val="20"/>
        </w:rPr>
        <w:t xml:space="preserve"> </w:t>
      </w:r>
      <w:r w:rsidRPr="000977F7">
        <w:rPr>
          <w:color w:val="auto"/>
          <w:sz w:val="20"/>
          <w:szCs w:val="20"/>
        </w:rPr>
        <w:t>МЕРЕЖІ)</w:t>
      </w:r>
      <w:r w:rsidRPr="000977F7">
        <w:rPr>
          <w:color w:val="auto"/>
          <w:spacing w:val="-2"/>
          <w:sz w:val="20"/>
          <w:szCs w:val="20"/>
        </w:rPr>
        <w:t xml:space="preserve"> </w:t>
      </w:r>
      <w:r w:rsidRPr="000977F7">
        <w:rPr>
          <w:color w:val="auto"/>
          <w:sz w:val="20"/>
          <w:szCs w:val="20"/>
        </w:rPr>
        <w:t>–</w:t>
      </w:r>
    </w:p>
    <w:p w14:paraId="5D83C18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BALANCING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 A</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DISTRIBUTION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NETWORK –</w:t>
      </w:r>
    </w:p>
    <w:p w14:paraId="22A526F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Заходи</w:t>
      </w:r>
      <w:r w:rsidRPr="004D2D14">
        <w:rPr>
          <w:rFonts w:asciiTheme="majorHAnsi" w:hAnsiTheme="majorHAnsi"/>
          <w:sz w:val="20"/>
          <w:szCs w:val="20"/>
          <w:lang w:val="en-US"/>
        </w:rPr>
        <w:t xml:space="preserve"> </w:t>
      </w:r>
      <w:r w:rsidRPr="000977F7">
        <w:rPr>
          <w:rFonts w:asciiTheme="majorHAnsi" w:hAnsiTheme="majorHAnsi"/>
          <w:sz w:val="20"/>
          <w:szCs w:val="20"/>
        </w:rPr>
        <w:t>щодо</w:t>
      </w:r>
      <w:r w:rsidRPr="004D2D14">
        <w:rPr>
          <w:rFonts w:asciiTheme="majorHAnsi" w:hAnsiTheme="majorHAnsi"/>
          <w:sz w:val="20"/>
          <w:szCs w:val="20"/>
          <w:lang w:val="en-US"/>
        </w:rPr>
        <w:t xml:space="preserve"> </w:t>
      </w:r>
      <w:r w:rsidRPr="000977F7">
        <w:rPr>
          <w:rFonts w:asciiTheme="majorHAnsi" w:hAnsiTheme="majorHAnsi"/>
          <w:sz w:val="20"/>
          <w:szCs w:val="20"/>
        </w:rPr>
        <w:t>розподілу</w:t>
      </w:r>
      <w:r w:rsidRPr="004D2D14">
        <w:rPr>
          <w:rFonts w:asciiTheme="majorHAnsi" w:hAnsiTheme="majorHAnsi"/>
          <w:sz w:val="20"/>
          <w:szCs w:val="20"/>
          <w:lang w:val="en-US"/>
        </w:rPr>
        <w:t xml:space="preserve"> </w:t>
      </w:r>
      <w:r w:rsidRPr="000977F7">
        <w:rPr>
          <w:rFonts w:asciiTheme="majorHAnsi" w:hAnsiTheme="majorHAnsi"/>
          <w:sz w:val="20"/>
          <w:szCs w:val="20"/>
        </w:rPr>
        <w:t>навантаження</w:t>
      </w:r>
      <w:r w:rsidRPr="004D2D14">
        <w:rPr>
          <w:rFonts w:asciiTheme="majorHAnsi" w:hAnsiTheme="majorHAnsi"/>
          <w:sz w:val="20"/>
          <w:szCs w:val="20"/>
          <w:lang w:val="en-US"/>
        </w:rPr>
        <w:t xml:space="preserve"> </w:t>
      </w:r>
      <w:r w:rsidRPr="000977F7">
        <w:rPr>
          <w:rFonts w:asciiTheme="majorHAnsi" w:hAnsiTheme="majorHAnsi"/>
          <w:sz w:val="20"/>
          <w:szCs w:val="20"/>
        </w:rPr>
        <w:t>різних</w:t>
      </w:r>
      <w:r w:rsidRPr="004D2D14">
        <w:rPr>
          <w:rFonts w:asciiTheme="majorHAnsi" w:hAnsiTheme="majorHAnsi"/>
          <w:sz w:val="20"/>
          <w:szCs w:val="20"/>
          <w:lang w:val="en-US"/>
        </w:rPr>
        <w:t xml:space="preserve"> </w:t>
      </w:r>
      <w:r w:rsidRPr="000977F7">
        <w:rPr>
          <w:rFonts w:asciiTheme="majorHAnsi" w:hAnsiTheme="majorHAnsi"/>
          <w:sz w:val="20"/>
          <w:szCs w:val="20"/>
        </w:rPr>
        <w:t>фаз</w:t>
      </w:r>
      <w:r w:rsidRPr="004D2D14">
        <w:rPr>
          <w:rFonts w:asciiTheme="majorHAnsi" w:hAnsiTheme="majorHAnsi"/>
          <w:sz w:val="20"/>
          <w:szCs w:val="20"/>
          <w:lang w:val="en-US"/>
        </w:rPr>
        <w:t xml:space="preserve"> </w:t>
      </w:r>
      <w:r w:rsidRPr="000977F7">
        <w:rPr>
          <w:rFonts w:asciiTheme="majorHAnsi" w:hAnsiTheme="majorHAnsi"/>
          <w:sz w:val="20"/>
          <w:szCs w:val="20"/>
        </w:rPr>
        <w:t>розподільчої</w:t>
      </w:r>
      <w:r w:rsidRPr="004D2D14">
        <w:rPr>
          <w:rFonts w:asciiTheme="majorHAnsi" w:hAnsiTheme="majorHAnsi"/>
          <w:sz w:val="20"/>
          <w:szCs w:val="20"/>
          <w:lang w:val="en-US"/>
        </w:rPr>
        <w:t xml:space="preserve"> </w:t>
      </w:r>
      <w:r w:rsidRPr="000977F7">
        <w:rPr>
          <w:rFonts w:asciiTheme="majorHAnsi" w:hAnsiTheme="majorHAnsi"/>
          <w:sz w:val="20"/>
          <w:szCs w:val="20"/>
        </w:rPr>
        <w:t>електричної</w:t>
      </w:r>
      <w:r w:rsidRPr="004D2D14">
        <w:rPr>
          <w:rFonts w:asciiTheme="majorHAnsi" w:hAnsiTheme="majorHAnsi"/>
          <w:sz w:val="20"/>
          <w:szCs w:val="20"/>
          <w:lang w:val="en-US"/>
        </w:rPr>
        <w:t xml:space="preserve"> </w:t>
      </w:r>
      <w:r w:rsidRPr="000977F7">
        <w:rPr>
          <w:rFonts w:asciiTheme="majorHAnsi" w:hAnsiTheme="majorHAnsi"/>
          <w:sz w:val="20"/>
          <w:szCs w:val="20"/>
        </w:rPr>
        <w:t>мережі</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метою</w:t>
      </w:r>
      <w:r w:rsidRPr="004D2D14">
        <w:rPr>
          <w:rFonts w:asciiTheme="majorHAnsi" w:hAnsiTheme="majorHAnsi"/>
          <w:sz w:val="20"/>
          <w:szCs w:val="20"/>
          <w:lang w:val="en-US"/>
        </w:rPr>
        <w:t xml:space="preserve"> </w:t>
      </w:r>
      <w:r w:rsidRPr="000977F7">
        <w:rPr>
          <w:rFonts w:asciiTheme="majorHAnsi" w:hAnsiTheme="majorHAnsi"/>
          <w:sz w:val="20"/>
          <w:szCs w:val="20"/>
        </w:rPr>
        <w:t>забезпечення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найменшої</w:t>
      </w:r>
      <w:r w:rsidRPr="004D2D14">
        <w:rPr>
          <w:rFonts w:asciiTheme="majorHAnsi" w:hAnsiTheme="majorHAnsi"/>
          <w:spacing w:val="-2"/>
          <w:sz w:val="20"/>
          <w:szCs w:val="20"/>
          <w:lang w:val="en-US"/>
        </w:rPr>
        <w:t xml:space="preserve"> </w:t>
      </w:r>
      <w:r w:rsidRPr="000977F7">
        <w:rPr>
          <w:rFonts w:asciiTheme="majorHAnsi" w:hAnsiTheme="majorHAnsi"/>
          <w:sz w:val="20"/>
          <w:szCs w:val="20"/>
        </w:rPr>
        <w:t>не</w:t>
      </w:r>
      <w:r w:rsidRPr="004D2D14">
        <w:rPr>
          <w:rFonts w:asciiTheme="majorHAnsi" w:hAnsiTheme="majorHAnsi"/>
          <w:sz w:val="20"/>
          <w:szCs w:val="20"/>
          <w:lang w:val="en-US"/>
        </w:rPr>
        <w:t xml:space="preserve"> </w:t>
      </w:r>
      <w:r w:rsidRPr="000977F7">
        <w:rPr>
          <w:rFonts w:asciiTheme="majorHAnsi" w:hAnsiTheme="majorHAnsi"/>
          <w:sz w:val="20"/>
          <w:szCs w:val="20"/>
        </w:rPr>
        <w:t>симетрії</w:t>
      </w:r>
      <w:r w:rsidRPr="004D2D14">
        <w:rPr>
          <w:rFonts w:asciiTheme="majorHAnsi" w:hAnsiTheme="majorHAnsi"/>
          <w:sz w:val="20"/>
          <w:szCs w:val="20"/>
          <w:lang w:val="en-US"/>
        </w:rPr>
        <w:t xml:space="preserve"> </w:t>
      </w:r>
      <w:r w:rsidRPr="000977F7">
        <w:rPr>
          <w:rFonts w:asciiTheme="majorHAnsi" w:hAnsiTheme="majorHAnsi"/>
          <w:sz w:val="20"/>
          <w:szCs w:val="20"/>
        </w:rPr>
        <w:t>напруг</w:t>
      </w:r>
    </w:p>
    <w:p w14:paraId="34D4F5C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68E491A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СИМПЛЕКС-ПЛАН</w:t>
      </w:r>
      <w:r w:rsidRPr="000977F7">
        <w:rPr>
          <w:color w:val="auto"/>
          <w:spacing w:val="-4"/>
          <w:sz w:val="20"/>
          <w:szCs w:val="20"/>
        </w:rPr>
        <w:t xml:space="preserve"> </w:t>
      </w:r>
      <w:r w:rsidRPr="000977F7">
        <w:rPr>
          <w:color w:val="auto"/>
          <w:sz w:val="20"/>
          <w:szCs w:val="20"/>
        </w:rPr>
        <w:t>–</w:t>
      </w:r>
    </w:p>
    <w:p w14:paraId="23B58C4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План</w:t>
      </w:r>
      <w:r w:rsidRPr="000977F7">
        <w:rPr>
          <w:rFonts w:asciiTheme="majorHAnsi" w:hAnsiTheme="majorHAnsi"/>
          <w:spacing w:val="1"/>
          <w:sz w:val="20"/>
          <w:szCs w:val="20"/>
        </w:rPr>
        <w:t xml:space="preserve"> </w:t>
      </w:r>
      <w:r w:rsidRPr="000977F7">
        <w:rPr>
          <w:rFonts w:asciiTheme="majorHAnsi" w:hAnsiTheme="majorHAnsi"/>
          <w:sz w:val="20"/>
          <w:szCs w:val="20"/>
        </w:rPr>
        <w:t>експерименту</w:t>
      </w:r>
      <w:r w:rsidRPr="000977F7">
        <w:rPr>
          <w:rFonts w:asciiTheme="majorHAnsi" w:hAnsiTheme="majorHAnsi"/>
          <w:spacing w:val="1"/>
          <w:sz w:val="20"/>
          <w:szCs w:val="20"/>
        </w:rPr>
        <w:t xml:space="preserve"> </w:t>
      </w:r>
      <w:r w:rsidRPr="000977F7">
        <w:rPr>
          <w:rFonts w:asciiTheme="majorHAnsi" w:hAnsiTheme="majorHAnsi"/>
          <w:sz w:val="20"/>
          <w:szCs w:val="20"/>
        </w:rPr>
        <w:t>першого</w:t>
      </w:r>
      <w:r w:rsidRPr="000977F7">
        <w:rPr>
          <w:rFonts w:asciiTheme="majorHAnsi" w:hAnsiTheme="majorHAnsi"/>
          <w:spacing w:val="1"/>
          <w:sz w:val="20"/>
          <w:szCs w:val="20"/>
        </w:rPr>
        <w:t xml:space="preserve"> </w:t>
      </w:r>
      <w:r w:rsidRPr="000977F7">
        <w:rPr>
          <w:rFonts w:asciiTheme="majorHAnsi" w:hAnsiTheme="majorHAnsi"/>
          <w:sz w:val="20"/>
          <w:szCs w:val="20"/>
        </w:rPr>
        <w:t>порядку,</w:t>
      </w:r>
      <w:r w:rsidRPr="000977F7">
        <w:rPr>
          <w:rFonts w:asciiTheme="majorHAnsi" w:hAnsiTheme="majorHAnsi"/>
          <w:spacing w:val="1"/>
          <w:sz w:val="20"/>
          <w:szCs w:val="20"/>
        </w:rPr>
        <w:t xml:space="preserve"> </w:t>
      </w:r>
      <w:r w:rsidRPr="000977F7">
        <w:rPr>
          <w:rFonts w:asciiTheme="majorHAnsi" w:hAnsiTheme="majorHAnsi"/>
          <w:sz w:val="20"/>
          <w:szCs w:val="20"/>
        </w:rPr>
        <w:t>точки</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47"/>
          <w:sz w:val="20"/>
          <w:szCs w:val="20"/>
        </w:rPr>
        <w:t xml:space="preserve"> </w:t>
      </w:r>
      <w:r w:rsidRPr="000977F7">
        <w:rPr>
          <w:rFonts w:asciiTheme="majorHAnsi" w:hAnsiTheme="majorHAnsi"/>
          <w:sz w:val="20"/>
          <w:szCs w:val="20"/>
        </w:rPr>
        <w:t>розміщуються</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вершинах</w:t>
      </w:r>
      <w:r w:rsidRPr="000977F7">
        <w:rPr>
          <w:rFonts w:asciiTheme="majorHAnsi" w:hAnsiTheme="majorHAnsi"/>
          <w:spacing w:val="-2"/>
          <w:sz w:val="20"/>
          <w:szCs w:val="20"/>
        </w:rPr>
        <w:t xml:space="preserve"> </w:t>
      </w:r>
      <w:r w:rsidRPr="000977F7">
        <w:rPr>
          <w:rFonts w:asciiTheme="majorHAnsi" w:hAnsiTheme="majorHAnsi"/>
          <w:sz w:val="20"/>
          <w:szCs w:val="20"/>
        </w:rPr>
        <w:t>симплексу</w:t>
      </w:r>
    </w:p>
    <w:p w14:paraId="06D2CE3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4748:2007</w:t>
      </w:r>
    </w:p>
    <w:p w14:paraId="603CFE3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СИНЕРГЕТИЧНИЙ</w:t>
      </w:r>
      <w:r w:rsidRPr="000977F7">
        <w:rPr>
          <w:color w:val="auto"/>
          <w:spacing w:val="44"/>
          <w:sz w:val="20"/>
          <w:szCs w:val="20"/>
        </w:rPr>
        <w:t xml:space="preserve"> </w:t>
      </w:r>
      <w:r w:rsidRPr="000977F7">
        <w:rPr>
          <w:color w:val="auto"/>
          <w:sz w:val="20"/>
          <w:szCs w:val="20"/>
        </w:rPr>
        <w:t>ВПЛИВ</w:t>
      </w:r>
      <w:r w:rsidRPr="000977F7">
        <w:rPr>
          <w:color w:val="auto"/>
          <w:spacing w:val="1"/>
          <w:sz w:val="20"/>
          <w:szCs w:val="20"/>
        </w:rPr>
        <w:t xml:space="preserve"> </w:t>
      </w:r>
      <w:r w:rsidRPr="000977F7">
        <w:rPr>
          <w:color w:val="auto"/>
          <w:sz w:val="20"/>
          <w:szCs w:val="20"/>
        </w:rPr>
        <w:t>–</w:t>
      </w:r>
    </w:p>
    <w:p w14:paraId="1EF0C08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Комплексний (позитивний, негативний) вплив кількох</w:t>
      </w:r>
      <w:r w:rsidRPr="000977F7">
        <w:rPr>
          <w:rFonts w:asciiTheme="majorHAnsi" w:hAnsiTheme="majorHAnsi"/>
          <w:spacing w:val="-47"/>
          <w:sz w:val="20"/>
          <w:szCs w:val="20"/>
        </w:rPr>
        <w:t xml:space="preserve"> </w:t>
      </w:r>
      <w:r w:rsidRPr="000977F7">
        <w:rPr>
          <w:rFonts w:asciiTheme="majorHAnsi" w:hAnsiTheme="majorHAnsi"/>
          <w:sz w:val="20"/>
          <w:szCs w:val="20"/>
        </w:rPr>
        <w:t xml:space="preserve">чинників, при якому загальний ефект </w:t>
      </w:r>
      <w:r w:rsidRPr="000977F7">
        <w:rPr>
          <w:rFonts w:asciiTheme="majorHAnsi" w:hAnsiTheme="majorHAnsi"/>
          <w:sz w:val="20"/>
          <w:szCs w:val="20"/>
        </w:rPr>
        <w:lastRenderedPageBreak/>
        <w:t>виявляється іншим,</w:t>
      </w:r>
      <w:r w:rsidRPr="000977F7">
        <w:rPr>
          <w:rFonts w:asciiTheme="majorHAnsi" w:hAnsiTheme="majorHAnsi"/>
          <w:spacing w:val="-1"/>
          <w:sz w:val="20"/>
          <w:szCs w:val="20"/>
        </w:rPr>
        <w:t xml:space="preserve"> </w:t>
      </w:r>
      <w:r w:rsidRPr="000977F7">
        <w:rPr>
          <w:rFonts w:asciiTheme="majorHAnsi" w:hAnsiTheme="majorHAnsi"/>
          <w:sz w:val="20"/>
          <w:szCs w:val="20"/>
        </w:rPr>
        <w:t>ніж</w:t>
      </w:r>
      <w:r w:rsidRPr="000977F7">
        <w:rPr>
          <w:rFonts w:asciiTheme="majorHAnsi" w:hAnsiTheme="majorHAnsi"/>
          <w:spacing w:val="-2"/>
          <w:sz w:val="20"/>
          <w:szCs w:val="20"/>
        </w:rPr>
        <w:t xml:space="preserve"> </w:t>
      </w:r>
      <w:r w:rsidRPr="000977F7">
        <w:rPr>
          <w:rFonts w:asciiTheme="majorHAnsi" w:hAnsiTheme="majorHAnsi"/>
          <w:sz w:val="20"/>
          <w:szCs w:val="20"/>
        </w:rPr>
        <w:t>при</w:t>
      </w:r>
      <w:r w:rsidRPr="000977F7">
        <w:rPr>
          <w:rFonts w:asciiTheme="majorHAnsi" w:hAnsiTheme="majorHAnsi"/>
          <w:spacing w:val="-2"/>
          <w:sz w:val="20"/>
          <w:szCs w:val="20"/>
        </w:rPr>
        <w:t xml:space="preserve"> </w:t>
      </w:r>
      <w:r w:rsidRPr="000977F7">
        <w:rPr>
          <w:rFonts w:asciiTheme="majorHAnsi" w:hAnsiTheme="majorHAnsi"/>
          <w:sz w:val="20"/>
          <w:szCs w:val="20"/>
        </w:rPr>
        <w:t>впливі</w:t>
      </w:r>
      <w:r w:rsidRPr="000977F7">
        <w:rPr>
          <w:rFonts w:asciiTheme="majorHAnsi" w:hAnsiTheme="majorHAnsi"/>
          <w:spacing w:val="-2"/>
          <w:sz w:val="20"/>
          <w:szCs w:val="20"/>
        </w:rPr>
        <w:t xml:space="preserve"> </w:t>
      </w:r>
      <w:r w:rsidRPr="000977F7">
        <w:rPr>
          <w:rFonts w:asciiTheme="majorHAnsi" w:hAnsiTheme="majorHAnsi"/>
          <w:sz w:val="20"/>
          <w:szCs w:val="20"/>
        </w:rPr>
        <w:t>кожного</w:t>
      </w:r>
      <w:r w:rsidRPr="000977F7">
        <w:rPr>
          <w:rFonts w:asciiTheme="majorHAnsi" w:hAnsiTheme="majorHAnsi"/>
          <w:spacing w:val="1"/>
          <w:sz w:val="20"/>
          <w:szCs w:val="20"/>
        </w:rPr>
        <w:t xml:space="preserve"> </w:t>
      </w:r>
      <w:r w:rsidRPr="000977F7">
        <w:rPr>
          <w:rFonts w:asciiTheme="majorHAnsi" w:hAnsiTheme="majorHAnsi"/>
          <w:sz w:val="20"/>
          <w:szCs w:val="20"/>
        </w:rPr>
        <w:t>чинника</w:t>
      </w:r>
      <w:r w:rsidRPr="000977F7">
        <w:rPr>
          <w:rFonts w:asciiTheme="majorHAnsi" w:hAnsiTheme="majorHAnsi"/>
          <w:spacing w:val="-1"/>
          <w:sz w:val="20"/>
          <w:szCs w:val="20"/>
        </w:rPr>
        <w:t xml:space="preserve"> </w:t>
      </w:r>
      <w:r w:rsidRPr="000977F7">
        <w:rPr>
          <w:rFonts w:asciiTheme="majorHAnsi" w:hAnsiTheme="majorHAnsi"/>
          <w:sz w:val="20"/>
          <w:szCs w:val="20"/>
        </w:rPr>
        <w:t>окремо</w:t>
      </w:r>
    </w:p>
    <w:p w14:paraId="1517826B"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2156 - 93</w:t>
      </w:r>
    </w:p>
    <w:p w14:paraId="41F3084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b/>
          <w:sz w:val="20"/>
          <w:szCs w:val="20"/>
        </w:rPr>
        <w:t>СИСТЕМА –</w:t>
      </w:r>
    </w:p>
    <w:p w14:paraId="2390871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pacing w:val="-47"/>
          <w:sz w:val="20"/>
          <w:szCs w:val="20"/>
        </w:rPr>
        <w:t xml:space="preserve"> </w:t>
      </w:r>
      <w:r w:rsidRPr="000977F7">
        <w:rPr>
          <w:rFonts w:asciiTheme="majorHAnsi" w:hAnsiTheme="majorHAnsi"/>
          <w:sz w:val="20"/>
          <w:szCs w:val="20"/>
        </w:rPr>
        <w:t>SYSTEM –</w:t>
      </w:r>
    </w:p>
    <w:p w14:paraId="7A9B899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 у вигляді сукупності взаємодієвих компонентів, який має певну цілісність у відношенні до зовнішнього середовища.</w:t>
      </w:r>
    </w:p>
    <w:p w14:paraId="3BFB73C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38964DA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СИСТЕМА АКТИВНОГО НЕРУЙНІВНОГО </w:t>
      </w:r>
    </w:p>
    <w:p w14:paraId="792CB7E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w:t>
      </w:r>
      <w:r w:rsidRPr="000977F7">
        <w:rPr>
          <w:color w:val="auto"/>
          <w:spacing w:val="-47"/>
          <w:sz w:val="20"/>
          <w:szCs w:val="20"/>
        </w:rPr>
        <w:t xml:space="preserve"> </w:t>
      </w:r>
      <w:r w:rsidRPr="000977F7">
        <w:rPr>
          <w:color w:val="auto"/>
          <w:sz w:val="20"/>
          <w:szCs w:val="20"/>
        </w:rPr>
        <w:t>НТРОЛЮ</w:t>
      </w:r>
      <w:r w:rsidRPr="000977F7">
        <w:rPr>
          <w:color w:val="auto"/>
          <w:spacing w:val="-1"/>
          <w:sz w:val="20"/>
          <w:szCs w:val="20"/>
        </w:rPr>
        <w:t xml:space="preserve"> </w:t>
      </w:r>
      <w:r w:rsidRPr="000977F7">
        <w:rPr>
          <w:color w:val="auto"/>
          <w:sz w:val="20"/>
          <w:szCs w:val="20"/>
        </w:rPr>
        <w:t>–</w:t>
      </w:r>
    </w:p>
    <w:p w14:paraId="439835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 що</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забезпечує</w:t>
      </w:r>
      <w:r w:rsidRPr="000977F7">
        <w:rPr>
          <w:rFonts w:asciiTheme="majorHAnsi" w:hAnsiTheme="majorHAnsi"/>
          <w:spacing w:val="1"/>
          <w:sz w:val="20"/>
          <w:szCs w:val="20"/>
        </w:rPr>
        <w:t xml:space="preserve"> </w:t>
      </w:r>
      <w:r w:rsidRPr="000977F7">
        <w:rPr>
          <w:rFonts w:asciiTheme="majorHAnsi" w:hAnsiTheme="majorHAnsi"/>
          <w:sz w:val="20"/>
          <w:szCs w:val="20"/>
        </w:rPr>
        <w:t>автоматичне керування технологічним процесом на основі</w:t>
      </w:r>
      <w:r w:rsidRPr="000977F7">
        <w:rPr>
          <w:rFonts w:asciiTheme="majorHAnsi" w:hAnsiTheme="majorHAnsi"/>
          <w:spacing w:val="-2"/>
          <w:sz w:val="20"/>
          <w:szCs w:val="20"/>
        </w:rPr>
        <w:t xml:space="preserve"> </w:t>
      </w:r>
      <w:r w:rsidRPr="000977F7">
        <w:rPr>
          <w:rFonts w:asciiTheme="majorHAnsi" w:hAnsiTheme="majorHAnsi"/>
          <w:sz w:val="20"/>
          <w:szCs w:val="20"/>
        </w:rPr>
        <w:t>результатів</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p>
    <w:p w14:paraId="41529A9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 – 94</w:t>
      </w:r>
    </w:p>
    <w:p w14:paraId="19020B5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СИСТЕМА</w:t>
      </w:r>
      <w:r w:rsidRPr="000977F7">
        <w:rPr>
          <w:color w:val="auto"/>
          <w:spacing w:val="-5"/>
          <w:sz w:val="20"/>
          <w:szCs w:val="20"/>
        </w:rPr>
        <w:t xml:space="preserve"> </w:t>
      </w:r>
      <w:r w:rsidRPr="000977F7">
        <w:rPr>
          <w:color w:val="auto"/>
          <w:sz w:val="20"/>
          <w:szCs w:val="20"/>
        </w:rPr>
        <w:t>АКРЕДИТАЦІЇ</w:t>
      </w:r>
      <w:r w:rsidRPr="000977F7">
        <w:rPr>
          <w:color w:val="auto"/>
          <w:spacing w:val="-3"/>
          <w:sz w:val="20"/>
          <w:szCs w:val="20"/>
        </w:rPr>
        <w:t xml:space="preserve"> </w:t>
      </w:r>
      <w:r w:rsidRPr="000977F7">
        <w:rPr>
          <w:color w:val="auto"/>
          <w:sz w:val="20"/>
          <w:szCs w:val="20"/>
        </w:rPr>
        <w:t>–</w:t>
      </w:r>
    </w:p>
    <w:p w14:paraId="7E7908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ACCREDITATION</w:t>
      </w:r>
      <w:r w:rsidRPr="000977F7">
        <w:rPr>
          <w:rFonts w:asciiTheme="majorHAnsi" w:hAnsiTheme="majorHAnsi"/>
          <w:spacing w:val="-3"/>
          <w:sz w:val="20"/>
          <w:szCs w:val="20"/>
        </w:rPr>
        <w:t xml:space="preserve"> </w:t>
      </w:r>
      <w:r w:rsidRPr="000977F7">
        <w:rPr>
          <w:rFonts w:asciiTheme="majorHAnsi" w:hAnsiTheme="majorHAnsi"/>
          <w:sz w:val="20"/>
          <w:szCs w:val="20"/>
        </w:rPr>
        <w:t>SYSTEM</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449F9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що має свої правила процедури і керування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здійснення</w:t>
      </w:r>
      <w:r w:rsidRPr="000977F7">
        <w:rPr>
          <w:rFonts w:asciiTheme="majorHAnsi" w:hAnsiTheme="majorHAnsi"/>
          <w:spacing w:val="-1"/>
          <w:sz w:val="20"/>
          <w:szCs w:val="20"/>
        </w:rPr>
        <w:t xml:space="preserve"> </w:t>
      </w:r>
      <w:r w:rsidRPr="000977F7">
        <w:rPr>
          <w:rFonts w:asciiTheme="majorHAnsi" w:hAnsiTheme="majorHAnsi"/>
          <w:sz w:val="20"/>
          <w:szCs w:val="20"/>
        </w:rPr>
        <w:t>акредитації</w:t>
      </w:r>
    </w:p>
    <w:p w14:paraId="24E8A8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C9469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Акредитація органів встановлення відповідності є, як</w:t>
      </w:r>
      <w:r w:rsidRPr="000977F7">
        <w:rPr>
          <w:rFonts w:asciiTheme="majorHAnsi" w:hAnsiTheme="majorHAnsi"/>
          <w:spacing w:val="1"/>
          <w:sz w:val="20"/>
          <w:szCs w:val="20"/>
        </w:rPr>
        <w:t xml:space="preserve"> </w:t>
      </w:r>
      <w:r w:rsidRPr="000977F7">
        <w:rPr>
          <w:rFonts w:asciiTheme="majorHAnsi" w:hAnsiTheme="majorHAnsi"/>
          <w:sz w:val="20"/>
          <w:szCs w:val="20"/>
        </w:rPr>
        <w:t>звичайно, успішною оцінкою і наслідком відповідного нагляду</w:t>
      </w:r>
    </w:p>
    <w:p w14:paraId="34B06A83"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pacing w:val="-12"/>
          <w:sz w:val="20"/>
          <w:szCs w:val="20"/>
        </w:rPr>
        <w:t>ДСТУ ISO/IEC</w:t>
      </w:r>
      <w:r w:rsidRPr="000977F7">
        <w:rPr>
          <w:rFonts w:asciiTheme="majorHAnsi" w:hAnsiTheme="majorHAnsi"/>
          <w:i/>
          <w:spacing w:val="-29"/>
          <w:sz w:val="20"/>
          <w:szCs w:val="20"/>
        </w:rPr>
        <w:t xml:space="preserve"> </w:t>
      </w:r>
      <w:r w:rsidRPr="000977F7">
        <w:rPr>
          <w:rFonts w:asciiTheme="majorHAnsi" w:hAnsiTheme="majorHAnsi"/>
          <w:i/>
          <w:spacing w:val="-11"/>
          <w:sz w:val="20"/>
          <w:szCs w:val="20"/>
        </w:rPr>
        <w:t>17000:2007</w:t>
      </w:r>
      <w:r w:rsidRPr="000977F7">
        <w:rPr>
          <w:rFonts w:asciiTheme="majorHAnsi" w:hAnsiTheme="majorHAnsi"/>
          <w:i/>
          <w:spacing w:val="-47"/>
          <w:sz w:val="20"/>
          <w:szCs w:val="20"/>
        </w:rPr>
        <w:t xml:space="preserve"> </w:t>
      </w:r>
    </w:p>
    <w:p w14:paraId="6EF2ED04" w14:textId="77777777" w:rsidR="0097612F" w:rsidRPr="000977F7" w:rsidRDefault="0097612F" w:rsidP="000977F7">
      <w:pPr>
        <w:tabs>
          <w:tab w:val="left" w:pos="284"/>
        </w:tabs>
        <w:spacing w:after="0" w:line="240" w:lineRule="auto"/>
        <w:ind w:left="170"/>
        <w:mirrorIndents/>
        <w:jc w:val="both"/>
        <w:rPr>
          <w:rFonts w:asciiTheme="majorHAnsi" w:hAnsiTheme="majorHAnsi"/>
          <w:b/>
          <w:i/>
          <w:spacing w:val="1"/>
          <w:sz w:val="20"/>
          <w:szCs w:val="20"/>
        </w:rPr>
      </w:pPr>
      <w:r w:rsidRPr="000977F7">
        <w:rPr>
          <w:rFonts w:asciiTheme="majorHAnsi" w:hAnsiTheme="majorHAnsi"/>
          <w:b/>
          <w:iCs/>
          <w:sz w:val="20"/>
          <w:szCs w:val="20"/>
        </w:rPr>
        <w:t>СИСТЕМА</w:t>
      </w:r>
      <w:r w:rsidRPr="000977F7">
        <w:rPr>
          <w:rFonts w:asciiTheme="majorHAnsi" w:hAnsiTheme="majorHAnsi"/>
          <w:b/>
          <w:i/>
          <w:spacing w:val="50"/>
          <w:sz w:val="20"/>
          <w:szCs w:val="20"/>
        </w:rPr>
        <w:t xml:space="preserve"> </w:t>
      </w:r>
      <w:r w:rsidRPr="000977F7">
        <w:rPr>
          <w:rFonts w:asciiTheme="majorHAnsi" w:hAnsiTheme="majorHAnsi"/>
          <w:b/>
          <w:i/>
          <w:sz w:val="20"/>
          <w:szCs w:val="20"/>
        </w:rPr>
        <w:t>–</w:t>
      </w:r>
      <w:r w:rsidRPr="000977F7">
        <w:rPr>
          <w:rFonts w:asciiTheme="majorHAnsi" w:hAnsiTheme="majorHAnsi"/>
          <w:b/>
          <w:i/>
          <w:spacing w:val="1"/>
          <w:sz w:val="20"/>
          <w:szCs w:val="20"/>
        </w:rPr>
        <w:t xml:space="preserve"> </w:t>
      </w:r>
    </w:p>
    <w:p w14:paraId="787BB2F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SYSTEM –</w:t>
      </w:r>
    </w:p>
    <w:p w14:paraId="3C8D284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взаємопов’язаних</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взаємодійних</w:t>
      </w:r>
      <w:r w:rsidRPr="000977F7">
        <w:rPr>
          <w:rFonts w:asciiTheme="majorHAnsi" w:hAnsiTheme="majorHAnsi"/>
          <w:spacing w:val="1"/>
          <w:sz w:val="20"/>
          <w:szCs w:val="20"/>
        </w:rPr>
        <w:t xml:space="preserve"> </w:t>
      </w:r>
      <w:r w:rsidRPr="000977F7">
        <w:rPr>
          <w:rFonts w:asciiTheme="majorHAnsi" w:hAnsiTheme="majorHAnsi"/>
          <w:sz w:val="20"/>
          <w:szCs w:val="20"/>
        </w:rPr>
        <w:t>елементів</w:t>
      </w:r>
    </w:p>
    <w:p w14:paraId="0E4E624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701D8374"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СИСТЕМА</w:t>
      </w:r>
      <w:r w:rsidRPr="000977F7">
        <w:rPr>
          <w:color w:val="auto"/>
          <w:spacing w:val="-4"/>
          <w:sz w:val="20"/>
          <w:szCs w:val="20"/>
        </w:rPr>
        <w:t xml:space="preserve"> </w:t>
      </w:r>
      <w:r w:rsidRPr="000977F7">
        <w:rPr>
          <w:color w:val="auto"/>
          <w:sz w:val="20"/>
          <w:szCs w:val="20"/>
        </w:rPr>
        <w:t>ВИПРОБУВАНЬ</w:t>
      </w:r>
      <w:r w:rsidRPr="000977F7">
        <w:rPr>
          <w:color w:val="auto"/>
          <w:spacing w:val="-1"/>
          <w:sz w:val="20"/>
          <w:szCs w:val="20"/>
        </w:rPr>
        <w:t xml:space="preserve"> </w:t>
      </w:r>
      <w:r w:rsidRPr="000977F7">
        <w:rPr>
          <w:b w:val="0"/>
          <w:color w:val="auto"/>
          <w:sz w:val="20"/>
          <w:szCs w:val="20"/>
        </w:rPr>
        <w:t>–</w:t>
      </w:r>
      <w:bookmarkStart w:id="262" w:name="_Hlk104211603"/>
    </w:p>
    <w:p w14:paraId="3748D96D"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TEST</w:t>
      </w:r>
      <w:r w:rsidRPr="000977F7">
        <w:rPr>
          <w:b w:val="0"/>
          <w:bCs/>
          <w:color w:val="auto"/>
          <w:spacing w:val="1"/>
          <w:sz w:val="20"/>
          <w:szCs w:val="20"/>
        </w:rPr>
        <w:t xml:space="preserve"> </w:t>
      </w:r>
      <w:r w:rsidRPr="000977F7">
        <w:rPr>
          <w:b w:val="0"/>
          <w:bCs/>
          <w:color w:val="auto"/>
          <w:sz w:val="20"/>
          <w:szCs w:val="20"/>
        </w:rPr>
        <w:t>SYSTEM</w:t>
      </w:r>
      <w:r w:rsidRPr="000977F7">
        <w:rPr>
          <w:b w:val="0"/>
          <w:bCs/>
          <w:color w:val="auto"/>
          <w:spacing w:val="-3"/>
          <w:sz w:val="20"/>
          <w:szCs w:val="20"/>
        </w:rPr>
        <w:t xml:space="preserve"> </w:t>
      </w:r>
      <w:r w:rsidRPr="000977F7">
        <w:rPr>
          <w:b w:val="0"/>
          <w:bCs/>
          <w:color w:val="auto"/>
          <w:sz w:val="20"/>
          <w:szCs w:val="20"/>
        </w:rPr>
        <w:t>–</w:t>
      </w:r>
    </w:p>
    <w:bookmarkEnd w:id="262"/>
    <w:p w14:paraId="00C9EDD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засобів випробувань, виконавців та визначених</w:t>
      </w:r>
      <w:r w:rsidRPr="000977F7">
        <w:rPr>
          <w:rFonts w:asciiTheme="majorHAnsi" w:hAnsiTheme="majorHAnsi"/>
          <w:spacing w:val="1"/>
          <w:sz w:val="20"/>
          <w:szCs w:val="20"/>
        </w:rPr>
        <w:t xml:space="preserve"> </w:t>
      </w:r>
      <w:r w:rsidRPr="000977F7">
        <w:rPr>
          <w:rFonts w:asciiTheme="majorHAnsi" w:hAnsiTheme="majorHAnsi"/>
          <w:sz w:val="20"/>
          <w:szCs w:val="20"/>
        </w:rPr>
        <w:t>об’єктів</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1"/>
          <w:sz w:val="20"/>
          <w:szCs w:val="20"/>
        </w:rPr>
        <w:t xml:space="preserve"> </w:t>
      </w:r>
      <w:r w:rsidRPr="000977F7">
        <w:rPr>
          <w:rFonts w:asciiTheme="majorHAnsi" w:hAnsiTheme="majorHAnsi"/>
          <w:sz w:val="20"/>
          <w:szCs w:val="20"/>
        </w:rPr>
        <w:t>взаємодіючих</w:t>
      </w:r>
      <w:r w:rsidRPr="000977F7">
        <w:rPr>
          <w:rFonts w:asciiTheme="majorHAnsi" w:hAnsiTheme="majorHAnsi"/>
          <w:spacing w:val="1"/>
          <w:sz w:val="20"/>
          <w:szCs w:val="20"/>
        </w:rPr>
        <w:t xml:space="preserve"> </w:t>
      </w:r>
      <w:r w:rsidRPr="000977F7">
        <w:rPr>
          <w:rFonts w:asciiTheme="majorHAnsi" w:hAnsiTheme="majorHAnsi"/>
          <w:sz w:val="20"/>
          <w:szCs w:val="20"/>
        </w:rPr>
        <w:t>згідно</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правилами,</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встановленими</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відповідними</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нормативними</w:t>
      </w:r>
      <w:r w:rsidRPr="000977F7">
        <w:rPr>
          <w:rFonts w:asciiTheme="majorHAnsi" w:hAnsiTheme="majorHAnsi"/>
          <w:spacing w:val="-2"/>
          <w:sz w:val="20"/>
          <w:szCs w:val="20"/>
        </w:rPr>
        <w:t xml:space="preserve"> </w:t>
      </w:r>
      <w:r w:rsidRPr="000977F7">
        <w:rPr>
          <w:rFonts w:asciiTheme="majorHAnsi" w:hAnsiTheme="majorHAnsi"/>
          <w:sz w:val="20"/>
          <w:szCs w:val="20"/>
        </w:rPr>
        <w:t>документами</w:t>
      </w:r>
    </w:p>
    <w:p w14:paraId="5DB4F56A"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3021 –</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0237CDD6"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СИСТЕМА</w:t>
      </w:r>
      <w:r w:rsidRPr="004D2D14">
        <w:rPr>
          <w:rFonts w:asciiTheme="majorHAnsi" w:hAnsiTheme="majorHAnsi"/>
          <w:b/>
          <w:sz w:val="20"/>
          <w:szCs w:val="20"/>
          <w:lang w:val="en-US"/>
        </w:rPr>
        <w:t xml:space="preserve"> </w:t>
      </w:r>
      <w:r w:rsidRPr="000977F7">
        <w:rPr>
          <w:rFonts w:asciiTheme="majorHAnsi" w:hAnsiTheme="majorHAnsi"/>
          <w:b/>
          <w:sz w:val="20"/>
          <w:szCs w:val="20"/>
        </w:rPr>
        <w:t>ВІДОМЧОГО</w:t>
      </w:r>
      <w:r w:rsidRPr="004D2D14">
        <w:rPr>
          <w:rFonts w:asciiTheme="majorHAnsi" w:hAnsiTheme="majorHAnsi"/>
          <w:b/>
          <w:sz w:val="20"/>
          <w:szCs w:val="20"/>
          <w:lang w:val="en-US"/>
        </w:rPr>
        <w:t xml:space="preserve"> </w:t>
      </w:r>
      <w:r w:rsidRPr="000977F7">
        <w:rPr>
          <w:rFonts w:asciiTheme="majorHAnsi" w:hAnsiTheme="majorHAnsi"/>
          <w:b/>
          <w:sz w:val="20"/>
          <w:szCs w:val="20"/>
        </w:rPr>
        <w:t>КОНТРОЛЮ</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DEPARTMENTAL</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MANAGEMENT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SYSTEM</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31E0400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контролю, що здійснюється органами міністерства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відомства</w:t>
      </w:r>
    </w:p>
    <w:p w14:paraId="0304B8E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3021 – 95</w:t>
      </w:r>
    </w:p>
    <w:p w14:paraId="6736C338"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СИСТЕМА ВСТАНОВЛЕННЯ</w:t>
      </w:r>
      <w:r w:rsidRPr="000977F7">
        <w:rPr>
          <w:rFonts w:asciiTheme="majorHAnsi" w:hAnsiTheme="majorHAnsi"/>
          <w:b/>
          <w:spacing w:val="1"/>
          <w:sz w:val="20"/>
          <w:szCs w:val="20"/>
        </w:rPr>
        <w:t xml:space="preserve"> </w:t>
      </w:r>
      <w:r w:rsidRPr="000977F7">
        <w:rPr>
          <w:rFonts w:asciiTheme="majorHAnsi" w:hAnsiTheme="majorHAnsi"/>
          <w:b/>
          <w:sz w:val="20"/>
          <w:szCs w:val="20"/>
        </w:rPr>
        <w:t>ВІДПОВІДНОСТІ</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3AEC2F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CONFORMITY</w:t>
      </w:r>
      <w:r w:rsidRPr="000977F7">
        <w:rPr>
          <w:rFonts w:asciiTheme="majorHAnsi" w:hAnsiTheme="majorHAnsi"/>
          <w:spacing w:val="-2"/>
          <w:sz w:val="20"/>
          <w:szCs w:val="20"/>
        </w:rPr>
        <w:t xml:space="preserve"> </w:t>
      </w:r>
      <w:r w:rsidRPr="000977F7">
        <w:rPr>
          <w:rFonts w:asciiTheme="majorHAnsi" w:hAnsiTheme="majorHAnsi"/>
          <w:sz w:val="20"/>
          <w:szCs w:val="20"/>
        </w:rPr>
        <w:t>ASSESSMENT</w:t>
      </w:r>
      <w:r w:rsidRPr="000977F7">
        <w:rPr>
          <w:rFonts w:asciiTheme="majorHAnsi" w:hAnsiTheme="majorHAnsi"/>
          <w:spacing w:val="1"/>
          <w:sz w:val="20"/>
          <w:szCs w:val="20"/>
        </w:rPr>
        <w:t xml:space="preserve"> </w:t>
      </w:r>
      <w:r w:rsidRPr="000977F7">
        <w:rPr>
          <w:rFonts w:asciiTheme="majorHAnsi" w:hAnsiTheme="majorHAnsi"/>
          <w:sz w:val="20"/>
          <w:szCs w:val="20"/>
        </w:rPr>
        <w:t>SYSTEM</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1F4E6B6"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Система,</w:t>
      </w:r>
      <w:r w:rsidRPr="000977F7">
        <w:rPr>
          <w:rFonts w:asciiTheme="majorHAnsi" w:hAnsiTheme="majorHAnsi"/>
          <w:spacing w:val="17"/>
          <w:sz w:val="20"/>
          <w:szCs w:val="20"/>
        </w:rPr>
        <w:t xml:space="preserve"> </w:t>
      </w:r>
      <w:r w:rsidRPr="000977F7">
        <w:rPr>
          <w:rFonts w:asciiTheme="majorHAnsi" w:hAnsiTheme="majorHAnsi"/>
          <w:sz w:val="20"/>
          <w:szCs w:val="20"/>
        </w:rPr>
        <w:t>що</w:t>
      </w:r>
      <w:r w:rsidRPr="000977F7">
        <w:rPr>
          <w:rFonts w:asciiTheme="majorHAnsi" w:hAnsiTheme="majorHAnsi"/>
          <w:spacing w:val="18"/>
          <w:sz w:val="20"/>
          <w:szCs w:val="20"/>
        </w:rPr>
        <w:t xml:space="preserve"> </w:t>
      </w:r>
      <w:r w:rsidRPr="000977F7">
        <w:rPr>
          <w:rFonts w:asciiTheme="majorHAnsi" w:hAnsiTheme="majorHAnsi"/>
          <w:sz w:val="20"/>
          <w:szCs w:val="20"/>
        </w:rPr>
        <w:t>має</w:t>
      </w:r>
      <w:r w:rsidRPr="000977F7">
        <w:rPr>
          <w:rFonts w:asciiTheme="majorHAnsi" w:hAnsiTheme="majorHAnsi"/>
          <w:spacing w:val="18"/>
          <w:sz w:val="20"/>
          <w:szCs w:val="20"/>
        </w:rPr>
        <w:t xml:space="preserve"> </w:t>
      </w:r>
      <w:r w:rsidRPr="000977F7">
        <w:rPr>
          <w:rFonts w:asciiTheme="majorHAnsi" w:hAnsiTheme="majorHAnsi"/>
          <w:sz w:val="20"/>
          <w:szCs w:val="20"/>
        </w:rPr>
        <w:t>свої</w:t>
      </w:r>
      <w:r w:rsidRPr="000977F7">
        <w:rPr>
          <w:rFonts w:asciiTheme="majorHAnsi" w:hAnsiTheme="majorHAnsi"/>
          <w:spacing w:val="17"/>
          <w:sz w:val="20"/>
          <w:szCs w:val="20"/>
        </w:rPr>
        <w:t xml:space="preserve"> </w:t>
      </w:r>
      <w:r w:rsidRPr="000977F7">
        <w:rPr>
          <w:rFonts w:asciiTheme="majorHAnsi" w:hAnsiTheme="majorHAnsi"/>
          <w:sz w:val="20"/>
          <w:szCs w:val="20"/>
        </w:rPr>
        <w:t>правила</w:t>
      </w:r>
      <w:r w:rsidRPr="000977F7">
        <w:rPr>
          <w:rFonts w:asciiTheme="majorHAnsi" w:hAnsiTheme="majorHAnsi"/>
          <w:spacing w:val="17"/>
          <w:sz w:val="20"/>
          <w:szCs w:val="20"/>
        </w:rPr>
        <w:t xml:space="preserve"> </w:t>
      </w:r>
      <w:r w:rsidRPr="000977F7">
        <w:rPr>
          <w:rFonts w:asciiTheme="majorHAnsi" w:hAnsiTheme="majorHAnsi"/>
          <w:sz w:val="20"/>
          <w:szCs w:val="20"/>
        </w:rPr>
        <w:t>процедури</w:t>
      </w:r>
      <w:r w:rsidRPr="000977F7">
        <w:rPr>
          <w:rFonts w:asciiTheme="majorHAnsi" w:hAnsiTheme="majorHAnsi"/>
          <w:spacing w:val="18"/>
          <w:sz w:val="20"/>
          <w:szCs w:val="20"/>
        </w:rPr>
        <w:t xml:space="preserve"> </w:t>
      </w:r>
      <w:r w:rsidRPr="000977F7">
        <w:rPr>
          <w:rFonts w:asciiTheme="majorHAnsi" w:hAnsiTheme="majorHAnsi"/>
          <w:sz w:val="20"/>
          <w:szCs w:val="20"/>
        </w:rPr>
        <w:t>і</w:t>
      </w:r>
      <w:r w:rsidRPr="000977F7">
        <w:rPr>
          <w:rFonts w:asciiTheme="majorHAnsi" w:hAnsiTheme="majorHAnsi"/>
          <w:spacing w:val="16"/>
          <w:sz w:val="20"/>
          <w:szCs w:val="20"/>
        </w:rPr>
        <w:t xml:space="preserve"> </w:t>
      </w:r>
      <w:r w:rsidRPr="000977F7">
        <w:rPr>
          <w:rFonts w:asciiTheme="majorHAnsi" w:hAnsiTheme="majorHAnsi"/>
          <w:sz w:val="20"/>
          <w:szCs w:val="20"/>
        </w:rPr>
        <w:t xml:space="preserve">керування </w:t>
      </w:r>
      <w:r w:rsidRPr="000977F7">
        <w:rPr>
          <w:rFonts w:asciiTheme="majorHAnsi" w:hAnsiTheme="majorHAnsi"/>
          <w:spacing w:val="-47"/>
          <w:sz w:val="20"/>
          <w:szCs w:val="20"/>
        </w:rPr>
        <w:t xml:space="preserve"> </w:t>
      </w:r>
      <w:r w:rsidRPr="000977F7">
        <w:rPr>
          <w:rFonts w:asciiTheme="majorHAnsi" w:hAnsiTheme="majorHAnsi"/>
          <w:sz w:val="20"/>
          <w:szCs w:val="20"/>
        </w:rPr>
        <w:t>для</w:t>
      </w:r>
      <w:r w:rsidRPr="000977F7">
        <w:rPr>
          <w:rFonts w:asciiTheme="majorHAnsi" w:hAnsiTheme="majorHAnsi"/>
          <w:spacing w:val="7"/>
          <w:sz w:val="20"/>
          <w:szCs w:val="20"/>
        </w:rPr>
        <w:t xml:space="preserve"> </w:t>
      </w:r>
      <w:r w:rsidRPr="000977F7">
        <w:rPr>
          <w:rFonts w:asciiTheme="majorHAnsi" w:hAnsiTheme="majorHAnsi"/>
          <w:sz w:val="20"/>
          <w:szCs w:val="20"/>
        </w:rPr>
        <w:t>здійснення</w:t>
      </w:r>
      <w:r w:rsidRPr="000977F7">
        <w:rPr>
          <w:rFonts w:asciiTheme="majorHAnsi" w:hAnsiTheme="majorHAnsi"/>
          <w:spacing w:val="9"/>
          <w:sz w:val="20"/>
          <w:szCs w:val="20"/>
        </w:rPr>
        <w:t xml:space="preserve"> </w:t>
      </w:r>
      <w:r w:rsidRPr="000977F7">
        <w:rPr>
          <w:rFonts w:asciiTheme="majorHAnsi" w:hAnsiTheme="majorHAnsi"/>
          <w:sz w:val="20"/>
          <w:szCs w:val="20"/>
        </w:rPr>
        <w:t>дій</w:t>
      </w:r>
      <w:r w:rsidRPr="000977F7">
        <w:rPr>
          <w:rFonts w:asciiTheme="majorHAnsi" w:hAnsiTheme="majorHAnsi"/>
          <w:spacing w:val="8"/>
          <w:sz w:val="20"/>
          <w:szCs w:val="20"/>
        </w:rPr>
        <w:t xml:space="preserve"> </w:t>
      </w:r>
      <w:r w:rsidRPr="000977F7">
        <w:rPr>
          <w:rFonts w:asciiTheme="majorHAnsi" w:hAnsiTheme="majorHAnsi"/>
          <w:sz w:val="20"/>
          <w:szCs w:val="20"/>
        </w:rPr>
        <w:t>щодо</w:t>
      </w:r>
      <w:r w:rsidRPr="000977F7">
        <w:rPr>
          <w:rFonts w:asciiTheme="majorHAnsi" w:hAnsiTheme="majorHAnsi"/>
          <w:spacing w:val="8"/>
          <w:sz w:val="20"/>
          <w:szCs w:val="20"/>
        </w:rPr>
        <w:t xml:space="preserve"> </w:t>
      </w:r>
      <w:r w:rsidRPr="000977F7">
        <w:rPr>
          <w:rFonts w:asciiTheme="majorHAnsi" w:hAnsiTheme="majorHAnsi"/>
          <w:sz w:val="20"/>
          <w:szCs w:val="20"/>
        </w:rPr>
        <w:t>встановлення</w:t>
      </w:r>
      <w:r w:rsidRPr="000977F7">
        <w:rPr>
          <w:rFonts w:asciiTheme="majorHAnsi" w:hAnsiTheme="majorHAnsi"/>
          <w:spacing w:val="7"/>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1"/>
          <w:sz w:val="20"/>
          <w:szCs w:val="20"/>
        </w:rPr>
        <w:t xml:space="preserve"> </w:t>
      </w:r>
    </w:p>
    <w:p w14:paraId="7B439B2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6BA3E222" w14:textId="77777777" w:rsidR="0097612F" w:rsidRPr="000977F7" w:rsidRDefault="0097612F" w:rsidP="00FD39A4">
      <w:pPr>
        <w:pStyle w:val="ac"/>
        <w:widowControl w:val="0"/>
        <w:numPr>
          <w:ilvl w:val="1"/>
          <w:numId w:val="86"/>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можуть діяти, наприклад, на національному,</w:t>
      </w:r>
      <w:r w:rsidRPr="000977F7">
        <w:rPr>
          <w:rFonts w:asciiTheme="majorHAnsi" w:hAnsiTheme="majorHAnsi"/>
          <w:spacing w:val="1"/>
          <w:sz w:val="20"/>
          <w:szCs w:val="20"/>
        </w:rPr>
        <w:t xml:space="preserve"> </w:t>
      </w:r>
      <w:r w:rsidRPr="000977F7">
        <w:rPr>
          <w:rFonts w:asciiTheme="majorHAnsi" w:hAnsiTheme="majorHAnsi"/>
          <w:sz w:val="20"/>
          <w:szCs w:val="20"/>
        </w:rPr>
        <w:t>регіональному</w:t>
      </w:r>
      <w:r w:rsidRPr="000977F7">
        <w:rPr>
          <w:rFonts w:asciiTheme="majorHAnsi" w:hAnsiTheme="majorHAnsi"/>
          <w:spacing w:val="-5"/>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міжнародному</w:t>
      </w:r>
      <w:r w:rsidRPr="000977F7">
        <w:rPr>
          <w:rFonts w:asciiTheme="majorHAnsi" w:hAnsiTheme="majorHAnsi"/>
          <w:spacing w:val="-5"/>
          <w:sz w:val="20"/>
          <w:szCs w:val="20"/>
        </w:rPr>
        <w:t xml:space="preserve"> </w:t>
      </w:r>
      <w:r w:rsidRPr="000977F7">
        <w:rPr>
          <w:rFonts w:asciiTheme="majorHAnsi" w:hAnsiTheme="majorHAnsi"/>
          <w:sz w:val="20"/>
          <w:szCs w:val="20"/>
        </w:rPr>
        <w:t>рівні</w:t>
      </w:r>
    </w:p>
    <w:p w14:paraId="092730C2" w14:textId="77777777" w:rsidR="0097612F" w:rsidRPr="000977F7" w:rsidRDefault="0097612F" w:rsidP="00FD39A4">
      <w:pPr>
        <w:pStyle w:val="ac"/>
        <w:widowControl w:val="0"/>
        <w:numPr>
          <w:ilvl w:val="1"/>
          <w:numId w:val="86"/>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Типовими прикладами систем встановлення відповідності є системи 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інспектування,</w:t>
      </w:r>
      <w:r w:rsidRPr="000977F7">
        <w:rPr>
          <w:rFonts w:asciiTheme="majorHAnsi" w:hAnsiTheme="majorHAnsi"/>
          <w:spacing w:val="-1"/>
          <w:sz w:val="20"/>
          <w:szCs w:val="20"/>
        </w:rPr>
        <w:t xml:space="preserve"> </w:t>
      </w:r>
      <w:r w:rsidRPr="000977F7">
        <w:rPr>
          <w:rFonts w:asciiTheme="majorHAnsi" w:hAnsiTheme="majorHAnsi"/>
          <w:sz w:val="20"/>
          <w:szCs w:val="20"/>
        </w:rPr>
        <w:t>сертифікації</w:t>
      </w:r>
    </w:p>
    <w:p w14:paraId="3F864670" w14:textId="77777777" w:rsidR="0097612F" w:rsidRPr="000977F7" w:rsidRDefault="0097612F" w:rsidP="000977F7">
      <w:pPr>
        <w:pStyle w:val="af6"/>
        <w:tabs>
          <w:tab w:val="left" w:pos="284"/>
          <w:tab w:val="left" w:pos="1245"/>
        </w:tabs>
        <w:spacing w:after="0"/>
        <w:ind w:left="170"/>
        <w:mirrorIndents/>
        <w:jc w:val="both"/>
        <w:rPr>
          <w:rFonts w:asciiTheme="majorHAnsi" w:hAnsiTheme="majorHAnsi"/>
          <w:i/>
          <w:iCs/>
          <w:sz w:val="20"/>
          <w:szCs w:val="20"/>
        </w:rPr>
      </w:pPr>
      <w:r w:rsidRPr="000977F7">
        <w:rPr>
          <w:rFonts w:asciiTheme="majorHAnsi" w:hAnsiTheme="majorHAnsi"/>
          <w:i/>
          <w:iCs/>
          <w:spacing w:val="-7"/>
          <w:w w:val="95"/>
          <w:sz w:val="20"/>
          <w:szCs w:val="20"/>
        </w:rPr>
        <w:t>ДСТУ ISO/IEC</w:t>
      </w:r>
      <w:r w:rsidRPr="000977F7">
        <w:rPr>
          <w:rFonts w:asciiTheme="majorHAnsi" w:hAnsiTheme="majorHAnsi"/>
          <w:i/>
          <w:iCs/>
          <w:spacing w:val="-26"/>
          <w:w w:val="95"/>
          <w:sz w:val="20"/>
          <w:szCs w:val="20"/>
        </w:rPr>
        <w:t xml:space="preserve"> </w:t>
      </w:r>
      <w:r w:rsidRPr="000977F7">
        <w:rPr>
          <w:rFonts w:asciiTheme="majorHAnsi" w:hAnsiTheme="majorHAnsi"/>
          <w:i/>
          <w:iCs/>
          <w:spacing w:val="-6"/>
          <w:w w:val="95"/>
          <w:sz w:val="20"/>
          <w:szCs w:val="20"/>
        </w:rPr>
        <w:t>17000:2007</w:t>
      </w:r>
    </w:p>
    <w:p w14:paraId="1D4906D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263" w:name="_Hlk103261351"/>
      <w:r w:rsidRPr="000977F7">
        <w:rPr>
          <w:color w:val="auto"/>
          <w:sz w:val="20"/>
          <w:szCs w:val="20"/>
        </w:rPr>
        <w:t>СИСТЕМА</w:t>
      </w:r>
      <w:bookmarkEnd w:id="263"/>
      <w:r w:rsidRPr="000977F7">
        <w:rPr>
          <w:color w:val="auto"/>
          <w:spacing w:val="-3"/>
          <w:sz w:val="20"/>
          <w:szCs w:val="20"/>
        </w:rPr>
        <w:t xml:space="preserve"> </w:t>
      </w:r>
      <w:r w:rsidRPr="000977F7">
        <w:rPr>
          <w:color w:val="auto"/>
          <w:sz w:val="20"/>
          <w:szCs w:val="20"/>
        </w:rPr>
        <w:t>З</w:t>
      </w:r>
      <w:r w:rsidRPr="000977F7">
        <w:rPr>
          <w:color w:val="auto"/>
          <w:spacing w:val="-3"/>
          <w:sz w:val="20"/>
          <w:szCs w:val="20"/>
        </w:rPr>
        <w:t xml:space="preserve"> </w:t>
      </w:r>
      <w:r w:rsidRPr="000977F7">
        <w:rPr>
          <w:color w:val="auto"/>
          <w:sz w:val="20"/>
          <w:szCs w:val="20"/>
        </w:rPr>
        <w:t>АМОРТИЗАЦІЄЮ</w:t>
      </w:r>
      <w:r w:rsidRPr="000977F7">
        <w:rPr>
          <w:color w:val="auto"/>
          <w:spacing w:val="-3"/>
          <w:sz w:val="20"/>
          <w:szCs w:val="20"/>
        </w:rPr>
        <w:t xml:space="preserve"> </w:t>
      </w:r>
      <w:r w:rsidRPr="000977F7">
        <w:rPr>
          <w:color w:val="auto"/>
          <w:sz w:val="20"/>
          <w:szCs w:val="20"/>
        </w:rPr>
        <w:t>ВІДМОВ</w:t>
      </w:r>
      <w:r w:rsidRPr="000977F7">
        <w:rPr>
          <w:color w:val="auto"/>
          <w:spacing w:val="-1"/>
          <w:sz w:val="20"/>
          <w:szCs w:val="20"/>
        </w:rPr>
        <w:t xml:space="preserve"> </w:t>
      </w:r>
      <w:r w:rsidRPr="000977F7">
        <w:rPr>
          <w:color w:val="auto"/>
          <w:sz w:val="20"/>
          <w:szCs w:val="20"/>
        </w:rPr>
        <w:t>–</w:t>
      </w:r>
    </w:p>
    <w:p w14:paraId="15990D6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FILE</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 xml:space="preserve">– </w:t>
      </w:r>
      <w:r w:rsidRPr="000977F7">
        <w:rPr>
          <w:rFonts w:asciiTheme="majorHAnsi" w:hAnsiTheme="majorHAnsi"/>
          <w:sz w:val="20"/>
          <w:szCs w:val="20"/>
        </w:rPr>
        <w:t>SOFT</w:t>
      </w:r>
      <w:r w:rsidRPr="004D2D14">
        <w:rPr>
          <w:rFonts w:asciiTheme="majorHAnsi" w:hAnsiTheme="majorHAnsi"/>
          <w:sz w:val="20"/>
          <w:szCs w:val="20"/>
          <w:lang w:val="uk-UA"/>
        </w:rPr>
        <w:t xml:space="preserve"> </w:t>
      </w:r>
      <w:r w:rsidRPr="000977F7">
        <w:rPr>
          <w:rFonts w:asciiTheme="majorHAnsi" w:hAnsiTheme="majorHAnsi"/>
          <w:sz w:val="20"/>
          <w:szCs w:val="20"/>
        </w:rPr>
        <w:t>SYSTEM</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2BA3D5F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Система,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зберігає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повну працездатність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 збої</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помилці</w:t>
      </w:r>
    </w:p>
    <w:p w14:paraId="47549C14"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 ISO/IEC 2382:2017</w:t>
      </w:r>
      <w:r w:rsidRPr="000977F7">
        <w:rPr>
          <w:rFonts w:asciiTheme="majorHAnsi" w:hAnsiTheme="majorHAnsi"/>
          <w:i/>
          <w:spacing w:val="1"/>
          <w:sz w:val="20"/>
          <w:szCs w:val="20"/>
        </w:rPr>
        <w:t xml:space="preserve"> </w:t>
      </w:r>
    </w:p>
    <w:p w14:paraId="13F49751"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b/>
          <w:bCs/>
          <w:sz w:val="20"/>
          <w:szCs w:val="20"/>
        </w:rPr>
        <w:t>СИСТЕМА ІНСПЕКТУВАННЯ -</w:t>
      </w:r>
    </w:p>
    <w:p w14:paraId="295DAF0E"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sz w:val="20"/>
          <w:szCs w:val="20"/>
        </w:rPr>
        <w:t>INSPECTION SYSTEM -</w:t>
      </w:r>
    </w:p>
    <w:p w14:paraId="0A11818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Правила, процедури і управління для провадження інспектування</w:t>
      </w:r>
    </w:p>
    <w:p w14:paraId="5CA20E66"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ДСТУ EN ISO/IEC 17020:2019</w:t>
      </w:r>
    </w:p>
    <w:p w14:paraId="500F4568" w14:textId="77777777" w:rsidR="0097612F" w:rsidRPr="000977F7" w:rsidRDefault="0097612F" w:rsidP="000977F7">
      <w:pPr>
        <w:tabs>
          <w:tab w:val="left" w:pos="284"/>
        </w:tabs>
        <w:spacing w:after="0" w:line="240" w:lineRule="auto"/>
        <w:ind w:left="170"/>
        <w:mirrorIndents/>
        <w:jc w:val="both"/>
        <w:rPr>
          <w:rFonts w:asciiTheme="majorHAnsi" w:hAnsiTheme="majorHAnsi"/>
          <w:b/>
          <w:i/>
          <w:spacing w:val="-47"/>
          <w:sz w:val="20"/>
          <w:szCs w:val="20"/>
        </w:rPr>
      </w:pPr>
      <w:r w:rsidRPr="000977F7">
        <w:rPr>
          <w:rFonts w:asciiTheme="majorHAnsi" w:hAnsiTheme="majorHAnsi"/>
          <w:b/>
          <w:sz w:val="20"/>
          <w:szCs w:val="20"/>
        </w:rPr>
        <w:t xml:space="preserve">СИСТЕМА КЕРУВАННЯ </w:t>
      </w:r>
      <w:r w:rsidRPr="000977F7">
        <w:rPr>
          <w:rFonts w:asciiTheme="majorHAnsi" w:hAnsiTheme="majorHAnsi"/>
          <w:b/>
          <w:i/>
          <w:sz w:val="20"/>
          <w:szCs w:val="20"/>
        </w:rPr>
        <w:t>–</w:t>
      </w:r>
      <w:r w:rsidRPr="000977F7">
        <w:rPr>
          <w:rFonts w:asciiTheme="majorHAnsi" w:hAnsiTheme="majorHAnsi"/>
          <w:b/>
          <w:i/>
          <w:spacing w:val="-47"/>
          <w:sz w:val="20"/>
          <w:szCs w:val="20"/>
        </w:rPr>
        <w:t xml:space="preserve"> </w:t>
      </w:r>
    </w:p>
    <w:p w14:paraId="74E6854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CONTROL</w:t>
      </w:r>
      <w:r w:rsidRPr="000977F7">
        <w:rPr>
          <w:rFonts w:asciiTheme="majorHAnsi" w:hAnsiTheme="majorHAnsi"/>
          <w:spacing w:val="-3"/>
          <w:sz w:val="20"/>
          <w:szCs w:val="20"/>
        </w:rPr>
        <w:t xml:space="preserve"> </w:t>
      </w:r>
      <w:r w:rsidRPr="000977F7">
        <w:rPr>
          <w:rFonts w:asciiTheme="majorHAnsi" w:hAnsiTheme="majorHAnsi"/>
          <w:sz w:val="20"/>
          <w:szCs w:val="20"/>
        </w:rPr>
        <w:t>SYSTEM</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A935D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взаємозв’язаних пристроїв керування, механічних, електричних і інших компонентів, які без втручання оператора забезпечують виконання машиною послідовності функцій, що попередньо визначені оператором, після подачі оператором команди на пуск машини</w:t>
      </w:r>
    </w:p>
    <w:p w14:paraId="127391F0"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безпеки машин</w:t>
      </w:r>
    </w:p>
    <w:p w14:paraId="76B2634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Керівний</w:t>
      </w:r>
      <w:r w:rsidRPr="000977F7">
        <w:rPr>
          <w:rFonts w:asciiTheme="majorHAnsi" w:hAnsiTheme="majorHAnsi"/>
          <w:spacing w:val="-3"/>
          <w:sz w:val="20"/>
          <w:szCs w:val="20"/>
        </w:rPr>
        <w:t xml:space="preserve"> </w:t>
      </w:r>
      <w:r w:rsidRPr="000977F7">
        <w:rPr>
          <w:rFonts w:asciiTheme="majorHAnsi" w:hAnsiTheme="majorHAnsi"/>
          <w:sz w:val="20"/>
          <w:szCs w:val="20"/>
        </w:rPr>
        <w:t>об’єкт,</w:t>
      </w:r>
      <w:r w:rsidRPr="000977F7">
        <w:rPr>
          <w:rFonts w:asciiTheme="majorHAnsi" w:hAnsiTheme="majorHAnsi"/>
          <w:spacing w:val="-2"/>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розглядають</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3"/>
          <w:sz w:val="20"/>
          <w:szCs w:val="20"/>
        </w:rPr>
        <w:t xml:space="preserve"> </w:t>
      </w:r>
      <w:r w:rsidRPr="000977F7">
        <w:rPr>
          <w:rFonts w:asciiTheme="majorHAnsi" w:hAnsiTheme="majorHAnsi"/>
          <w:sz w:val="20"/>
          <w:szCs w:val="20"/>
        </w:rPr>
        <w:t>систему</w:t>
      </w:r>
    </w:p>
    <w:p w14:paraId="34977263"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3956 - 2000</w:t>
      </w:r>
    </w:p>
    <w:p w14:paraId="310C007B" w14:textId="77777777" w:rsidR="0097612F" w:rsidRPr="000977F7" w:rsidRDefault="0097612F" w:rsidP="000977F7">
      <w:pPr>
        <w:pStyle w:val="7"/>
        <w:tabs>
          <w:tab w:val="left" w:pos="284"/>
        </w:tabs>
        <w:spacing w:before="0" w:line="240" w:lineRule="auto"/>
        <w:ind w:left="170"/>
        <w:mirrorIndents/>
        <w:jc w:val="both"/>
        <w:rPr>
          <w:color w:val="auto"/>
          <w:spacing w:val="85"/>
          <w:sz w:val="20"/>
          <w:szCs w:val="20"/>
        </w:rPr>
      </w:pPr>
      <w:r w:rsidRPr="000977F7">
        <w:rPr>
          <w:color w:val="auto"/>
          <w:sz w:val="20"/>
          <w:szCs w:val="20"/>
        </w:rPr>
        <w:t>СИСТЕМА</w:t>
      </w:r>
      <w:r w:rsidRPr="000977F7">
        <w:rPr>
          <w:color w:val="auto"/>
          <w:spacing w:val="37"/>
          <w:sz w:val="20"/>
          <w:szCs w:val="20"/>
        </w:rPr>
        <w:t xml:space="preserve"> </w:t>
      </w:r>
      <w:r w:rsidRPr="000977F7">
        <w:rPr>
          <w:color w:val="auto"/>
          <w:sz w:val="20"/>
          <w:szCs w:val="20"/>
        </w:rPr>
        <w:t>КЕРУВАННЯ</w:t>
      </w:r>
      <w:r w:rsidRPr="000977F7">
        <w:rPr>
          <w:color w:val="auto"/>
          <w:spacing w:val="85"/>
          <w:sz w:val="20"/>
          <w:szCs w:val="20"/>
        </w:rPr>
        <w:t xml:space="preserve"> </w:t>
      </w:r>
    </w:p>
    <w:p w14:paraId="347B313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ВИМІРЮВАННЯМ</w:t>
      </w:r>
      <w:r w:rsidRPr="000977F7">
        <w:rPr>
          <w:color w:val="auto"/>
          <w:spacing w:val="94"/>
          <w:sz w:val="20"/>
          <w:szCs w:val="20"/>
        </w:rPr>
        <w:t xml:space="preserve"> </w:t>
      </w:r>
      <w:r w:rsidRPr="000977F7">
        <w:rPr>
          <w:color w:val="auto"/>
          <w:sz w:val="20"/>
          <w:szCs w:val="20"/>
        </w:rPr>
        <w:t>–</w:t>
      </w:r>
    </w:p>
    <w:p w14:paraId="751C1692"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MEASUREMENT MANAGEMENT SYSTEM –</w:t>
      </w:r>
    </w:p>
    <w:p w14:paraId="519AC81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Сукупність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взаємопов’язаних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взаємодіючих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елементів,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потрібних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забезпечування метрологічного</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підтвердження</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контролю</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 xml:space="preserve">процесів </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вимірювання</w:t>
      </w:r>
    </w:p>
    <w:p w14:paraId="39FAE74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9000:2015</w:t>
      </w:r>
    </w:p>
    <w:p w14:paraId="69888A1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СИСТЕМА</w:t>
      </w:r>
      <w:r w:rsidRPr="000977F7">
        <w:rPr>
          <w:color w:val="auto"/>
          <w:spacing w:val="15"/>
          <w:sz w:val="20"/>
          <w:szCs w:val="20"/>
        </w:rPr>
        <w:t xml:space="preserve"> </w:t>
      </w:r>
      <w:r w:rsidRPr="000977F7">
        <w:rPr>
          <w:color w:val="auto"/>
          <w:sz w:val="20"/>
          <w:szCs w:val="20"/>
        </w:rPr>
        <w:t>КОМПЛЕКСНОГО</w:t>
      </w:r>
      <w:r w:rsidRPr="000977F7">
        <w:rPr>
          <w:color w:val="auto"/>
          <w:spacing w:val="16"/>
          <w:sz w:val="20"/>
          <w:szCs w:val="20"/>
        </w:rPr>
        <w:t xml:space="preserve"> </w:t>
      </w:r>
      <w:r w:rsidRPr="000977F7">
        <w:rPr>
          <w:color w:val="auto"/>
          <w:sz w:val="20"/>
          <w:szCs w:val="20"/>
        </w:rPr>
        <w:t>НЕРУЙНІВНОГО</w:t>
      </w:r>
      <w:r w:rsidRPr="000977F7">
        <w:rPr>
          <w:color w:val="auto"/>
          <w:spacing w:val="-47"/>
          <w:sz w:val="20"/>
          <w:szCs w:val="20"/>
        </w:rPr>
        <w:t xml:space="preserve"> </w:t>
      </w:r>
      <w:r w:rsidRPr="000977F7">
        <w:rPr>
          <w:color w:val="auto"/>
          <w:sz w:val="20"/>
          <w:szCs w:val="20"/>
        </w:rPr>
        <w:t>КОНТРОЛЮ -</w:t>
      </w:r>
    </w:p>
    <w:p w14:paraId="36260CF0" w14:textId="77777777" w:rsidR="0097612F" w:rsidRPr="004D2D14" w:rsidRDefault="0097612F" w:rsidP="000977F7">
      <w:pPr>
        <w:tabs>
          <w:tab w:val="left" w:pos="284"/>
        </w:tabs>
        <w:spacing w:after="0" w:line="240" w:lineRule="auto"/>
        <w:ind w:left="170"/>
        <w:mirrorIndents/>
        <w:jc w:val="both"/>
        <w:rPr>
          <w:rFonts w:asciiTheme="majorHAnsi" w:hAnsiTheme="majorHAnsi"/>
          <w:iCs/>
          <w:sz w:val="20"/>
          <w:szCs w:val="20"/>
          <w:lang w:val="uk-UA"/>
        </w:rPr>
      </w:pPr>
      <w:r w:rsidRPr="004D2D14">
        <w:rPr>
          <w:rFonts w:asciiTheme="majorHAnsi" w:hAnsiTheme="majorHAnsi"/>
          <w:iCs/>
          <w:sz w:val="20"/>
          <w:szCs w:val="20"/>
          <w:lang w:val="uk-UA"/>
        </w:rPr>
        <w:t>Система</w:t>
      </w:r>
      <w:r w:rsidRPr="004D2D14">
        <w:rPr>
          <w:rFonts w:asciiTheme="majorHAnsi" w:hAnsiTheme="majorHAnsi"/>
          <w:iCs/>
          <w:spacing w:val="1"/>
          <w:sz w:val="20"/>
          <w:szCs w:val="20"/>
          <w:lang w:val="uk-UA"/>
        </w:rPr>
        <w:t xml:space="preserve"> </w:t>
      </w:r>
      <w:r w:rsidRPr="004D2D14">
        <w:rPr>
          <w:rFonts w:asciiTheme="majorHAnsi" w:hAnsiTheme="majorHAnsi"/>
          <w:iCs/>
          <w:sz w:val="20"/>
          <w:szCs w:val="20"/>
          <w:lang w:val="uk-UA"/>
        </w:rPr>
        <w:t>неруйнівного</w:t>
      </w:r>
      <w:r w:rsidRPr="004D2D14">
        <w:rPr>
          <w:rFonts w:asciiTheme="majorHAnsi" w:hAnsiTheme="majorHAnsi"/>
          <w:iCs/>
          <w:spacing w:val="1"/>
          <w:sz w:val="20"/>
          <w:szCs w:val="20"/>
          <w:lang w:val="uk-UA"/>
        </w:rPr>
        <w:t xml:space="preserve"> </w:t>
      </w:r>
      <w:r w:rsidRPr="004D2D14">
        <w:rPr>
          <w:rFonts w:asciiTheme="majorHAnsi" w:hAnsiTheme="majorHAnsi"/>
          <w:b/>
          <w:iCs/>
          <w:sz w:val="20"/>
          <w:szCs w:val="20"/>
          <w:lang w:val="uk-UA"/>
        </w:rPr>
        <w:t>–</w:t>
      </w:r>
      <w:r w:rsidRPr="004D2D14">
        <w:rPr>
          <w:rFonts w:asciiTheme="majorHAnsi" w:hAnsiTheme="majorHAnsi"/>
          <w:iCs/>
          <w:sz w:val="20"/>
          <w:szCs w:val="20"/>
          <w:lang w:val="uk-UA"/>
        </w:rPr>
        <w:t>контролю,</w:t>
      </w:r>
      <w:r w:rsidRPr="004D2D14">
        <w:rPr>
          <w:rFonts w:asciiTheme="majorHAnsi" w:hAnsiTheme="majorHAnsi"/>
          <w:iCs/>
          <w:spacing w:val="1"/>
          <w:sz w:val="20"/>
          <w:szCs w:val="20"/>
          <w:lang w:val="uk-UA"/>
        </w:rPr>
        <w:t xml:space="preserve"> </w:t>
      </w:r>
      <w:r w:rsidRPr="004D2D14">
        <w:rPr>
          <w:rFonts w:asciiTheme="majorHAnsi" w:hAnsiTheme="majorHAnsi"/>
          <w:iCs/>
          <w:sz w:val="20"/>
          <w:szCs w:val="20"/>
          <w:lang w:val="uk-UA"/>
        </w:rPr>
        <w:t>що</w:t>
      </w:r>
      <w:r w:rsidRPr="004D2D14">
        <w:rPr>
          <w:rFonts w:asciiTheme="majorHAnsi" w:hAnsiTheme="majorHAnsi"/>
          <w:iCs/>
          <w:spacing w:val="1"/>
          <w:sz w:val="20"/>
          <w:szCs w:val="20"/>
          <w:lang w:val="uk-UA"/>
        </w:rPr>
        <w:t xml:space="preserve"> </w:t>
      </w:r>
      <w:r w:rsidRPr="004D2D14">
        <w:rPr>
          <w:rFonts w:asciiTheme="majorHAnsi" w:hAnsiTheme="majorHAnsi"/>
          <w:iCs/>
          <w:sz w:val="20"/>
          <w:szCs w:val="20"/>
          <w:lang w:val="uk-UA"/>
        </w:rPr>
        <w:t>має</w:t>
      </w:r>
      <w:r w:rsidRPr="004D2D14">
        <w:rPr>
          <w:rFonts w:asciiTheme="majorHAnsi" w:hAnsiTheme="majorHAnsi"/>
          <w:iCs/>
          <w:spacing w:val="1"/>
          <w:sz w:val="20"/>
          <w:szCs w:val="20"/>
          <w:lang w:val="uk-UA"/>
        </w:rPr>
        <w:t xml:space="preserve"> </w:t>
      </w:r>
      <w:r w:rsidRPr="004D2D14">
        <w:rPr>
          <w:rFonts w:asciiTheme="majorHAnsi" w:hAnsiTheme="majorHAnsi"/>
          <w:iCs/>
          <w:sz w:val="20"/>
          <w:szCs w:val="20"/>
          <w:lang w:val="uk-UA"/>
        </w:rPr>
        <w:t>декілька</w:t>
      </w:r>
      <w:r w:rsidRPr="004D2D14">
        <w:rPr>
          <w:rFonts w:asciiTheme="majorHAnsi" w:hAnsiTheme="majorHAnsi"/>
          <w:iCs/>
          <w:spacing w:val="-47"/>
          <w:sz w:val="20"/>
          <w:szCs w:val="20"/>
          <w:lang w:val="uk-UA"/>
        </w:rPr>
        <w:t xml:space="preserve"> </w:t>
      </w:r>
      <w:r w:rsidRPr="004D2D14">
        <w:rPr>
          <w:rFonts w:asciiTheme="majorHAnsi" w:hAnsiTheme="majorHAnsi"/>
          <w:iCs/>
          <w:sz w:val="20"/>
          <w:szCs w:val="20"/>
          <w:lang w:val="uk-UA"/>
        </w:rPr>
        <w:t>каналів, які розрізнюються за характером фізичних</w:t>
      </w:r>
      <w:r w:rsidRPr="004D2D14">
        <w:rPr>
          <w:rFonts w:asciiTheme="majorHAnsi" w:hAnsiTheme="majorHAnsi"/>
          <w:iCs/>
          <w:spacing w:val="1"/>
          <w:sz w:val="20"/>
          <w:szCs w:val="20"/>
          <w:lang w:val="uk-UA"/>
        </w:rPr>
        <w:t xml:space="preserve"> </w:t>
      </w:r>
      <w:r w:rsidRPr="004D2D14">
        <w:rPr>
          <w:rFonts w:asciiTheme="majorHAnsi" w:hAnsiTheme="majorHAnsi"/>
          <w:iCs/>
          <w:sz w:val="20"/>
          <w:szCs w:val="20"/>
          <w:lang w:val="uk-UA"/>
        </w:rPr>
        <w:t>полів, що взаємодіють з контрольованим об’єктом і</w:t>
      </w:r>
      <w:r w:rsidRPr="004D2D14">
        <w:rPr>
          <w:rFonts w:asciiTheme="majorHAnsi" w:hAnsiTheme="majorHAnsi"/>
          <w:iCs/>
          <w:spacing w:val="1"/>
          <w:sz w:val="20"/>
          <w:szCs w:val="20"/>
          <w:lang w:val="uk-UA"/>
        </w:rPr>
        <w:t xml:space="preserve"> </w:t>
      </w:r>
      <w:r w:rsidRPr="004D2D14">
        <w:rPr>
          <w:rFonts w:asciiTheme="majorHAnsi" w:hAnsiTheme="majorHAnsi"/>
          <w:iCs/>
          <w:sz w:val="20"/>
          <w:szCs w:val="20"/>
          <w:lang w:val="uk-UA"/>
        </w:rPr>
        <w:t>оброблюють</w:t>
      </w:r>
      <w:r w:rsidRPr="004D2D14">
        <w:rPr>
          <w:rFonts w:asciiTheme="majorHAnsi" w:hAnsiTheme="majorHAnsi"/>
          <w:iCs/>
          <w:spacing w:val="1"/>
          <w:sz w:val="20"/>
          <w:szCs w:val="20"/>
          <w:lang w:val="uk-UA"/>
        </w:rPr>
        <w:t xml:space="preserve"> </w:t>
      </w:r>
      <w:r w:rsidRPr="004D2D14">
        <w:rPr>
          <w:rFonts w:asciiTheme="majorHAnsi" w:hAnsiTheme="majorHAnsi"/>
          <w:iCs/>
          <w:sz w:val="20"/>
          <w:szCs w:val="20"/>
          <w:lang w:val="uk-UA"/>
        </w:rPr>
        <w:t>різні</w:t>
      </w:r>
      <w:r w:rsidRPr="004D2D14">
        <w:rPr>
          <w:rFonts w:asciiTheme="majorHAnsi" w:hAnsiTheme="majorHAnsi"/>
          <w:iCs/>
          <w:spacing w:val="1"/>
          <w:sz w:val="20"/>
          <w:szCs w:val="20"/>
          <w:lang w:val="uk-UA"/>
        </w:rPr>
        <w:t xml:space="preserve"> </w:t>
      </w:r>
      <w:r w:rsidRPr="004D2D14">
        <w:rPr>
          <w:rFonts w:asciiTheme="majorHAnsi" w:hAnsiTheme="majorHAnsi"/>
          <w:iCs/>
          <w:sz w:val="20"/>
          <w:szCs w:val="20"/>
          <w:lang w:val="uk-UA"/>
        </w:rPr>
        <w:t>інформаційні</w:t>
      </w:r>
      <w:r w:rsidRPr="004D2D14">
        <w:rPr>
          <w:rFonts w:asciiTheme="majorHAnsi" w:hAnsiTheme="majorHAnsi"/>
          <w:iCs/>
          <w:spacing w:val="1"/>
          <w:sz w:val="20"/>
          <w:szCs w:val="20"/>
          <w:lang w:val="uk-UA"/>
        </w:rPr>
        <w:t xml:space="preserve"> </w:t>
      </w:r>
      <w:r w:rsidRPr="004D2D14">
        <w:rPr>
          <w:rFonts w:asciiTheme="majorHAnsi" w:hAnsiTheme="majorHAnsi"/>
          <w:iCs/>
          <w:sz w:val="20"/>
          <w:szCs w:val="20"/>
          <w:lang w:val="uk-UA"/>
        </w:rPr>
        <w:t>параметри</w:t>
      </w:r>
      <w:r w:rsidRPr="004D2D14">
        <w:rPr>
          <w:rFonts w:asciiTheme="majorHAnsi" w:hAnsiTheme="majorHAnsi"/>
          <w:iCs/>
          <w:spacing w:val="1"/>
          <w:sz w:val="20"/>
          <w:szCs w:val="20"/>
          <w:lang w:val="uk-UA"/>
        </w:rPr>
        <w:t xml:space="preserve"> </w:t>
      </w:r>
      <w:r w:rsidRPr="004D2D14">
        <w:rPr>
          <w:rFonts w:asciiTheme="majorHAnsi" w:hAnsiTheme="majorHAnsi"/>
          <w:iCs/>
          <w:sz w:val="20"/>
          <w:szCs w:val="20"/>
          <w:lang w:val="uk-UA"/>
        </w:rPr>
        <w:t>об’єкту</w:t>
      </w:r>
      <w:r w:rsidRPr="004D2D14">
        <w:rPr>
          <w:rFonts w:asciiTheme="majorHAnsi" w:hAnsiTheme="majorHAnsi"/>
          <w:iCs/>
          <w:spacing w:val="-47"/>
          <w:sz w:val="20"/>
          <w:szCs w:val="20"/>
          <w:lang w:val="uk-UA"/>
        </w:rPr>
        <w:t xml:space="preserve"> </w:t>
      </w:r>
      <w:r w:rsidRPr="004D2D14">
        <w:rPr>
          <w:rFonts w:asciiTheme="majorHAnsi" w:hAnsiTheme="majorHAnsi"/>
          <w:iCs/>
          <w:sz w:val="20"/>
          <w:szCs w:val="20"/>
          <w:lang w:val="uk-UA"/>
        </w:rPr>
        <w:t>контролю</w:t>
      </w:r>
    </w:p>
    <w:p w14:paraId="6CCB2DB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 – 94</w:t>
      </w:r>
    </w:p>
    <w:p w14:paraId="49A5160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СИСТЕМА КОНСТРУКТОРСЬКОГО </w:t>
      </w:r>
    </w:p>
    <w:p w14:paraId="5D4BCB7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ПІДГОТО</w:t>
      </w:r>
      <w:r w:rsidRPr="000977F7">
        <w:rPr>
          <w:color w:val="auto"/>
          <w:spacing w:val="-47"/>
          <w:sz w:val="20"/>
          <w:szCs w:val="20"/>
        </w:rPr>
        <w:t xml:space="preserve"> </w:t>
      </w:r>
      <w:r w:rsidRPr="000977F7">
        <w:rPr>
          <w:color w:val="auto"/>
          <w:sz w:val="20"/>
          <w:szCs w:val="20"/>
        </w:rPr>
        <w:t>ВЛЕННЯ</w:t>
      </w:r>
      <w:r w:rsidRPr="000977F7">
        <w:rPr>
          <w:color w:val="auto"/>
          <w:spacing w:val="-1"/>
          <w:sz w:val="20"/>
          <w:szCs w:val="20"/>
        </w:rPr>
        <w:t xml:space="preserve"> </w:t>
      </w:r>
      <w:r w:rsidRPr="000977F7">
        <w:rPr>
          <w:color w:val="auto"/>
          <w:sz w:val="20"/>
          <w:szCs w:val="20"/>
        </w:rPr>
        <w:t>ВИРОБНИЦТВА</w:t>
      </w:r>
      <w:r w:rsidRPr="000977F7">
        <w:rPr>
          <w:color w:val="auto"/>
          <w:spacing w:val="3"/>
          <w:sz w:val="20"/>
          <w:szCs w:val="20"/>
        </w:rPr>
        <w:t xml:space="preserve"> </w:t>
      </w:r>
      <w:r w:rsidRPr="000977F7">
        <w:rPr>
          <w:color w:val="auto"/>
          <w:sz w:val="20"/>
          <w:szCs w:val="20"/>
        </w:rPr>
        <w:t>–</w:t>
      </w:r>
    </w:p>
    <w:p w14:paraId="3FC9466F"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Уніфікована</w:t>
      </w:r>
      <w:r w:rsidRPr="000977F7">
        <w:rPr>
          <w:rFonts w:asciiTheme="majorHAnsi" w:hAnsiTheme="majorHAnsi"/>
          <w:spacing w:val="19"/>
          <w:sz w:val="20"/>
          <w:szCs w:val="20"/>
        </w:rPr>
        <w:t xml:space="preserve"> </w:t>
      </w:r>
      <w:r w:rsidRPr="000977F7">
        <w:rPr>
          <w:rFonts w:asciiTheme="majorHAnsi" w:hAnsiTheme="majorHAnsi"/>
          <w:sz w:val="20"/>
          <w:szCs w:val="20"/>
        </w:rPr>
        <w:t>система</w:t>
      </w:r>
      <w:r w:rsidRPr="000977F7">
        <w:rPr>
          <w:rFonts w:asciiTheme="majorHAnsi" w:hAnsiTheme="majorHAnsi"/>
          <w:spacing w:val="19"/>
          <w:sz w:val="20"/>
          <w:szCs w:val="20"/>
        </w:rPr>
        <w:t xml:space="preserve"> </w:t>
      </w:r>
      <w:r w:rsidRPr="000977F7">
        <w:rPr>
          <w:rFonts w:asciiTheme="majorHAnsi" w:hAnsiTheme="majorHAnsi"/>
          <w:sz w:val="20"/>
          <w:szCs w:val="20"/>
        </w:rPr>
        <w:t>конструкторських</w:t>
      </w:r>
      <w:r w:rsidRPr="000977F7">
        <w:rPr>
          <w:rFonts w:asciiTheme="majorHAnsi" w:hAnsiTheme="majorHAnsi"/>
          <w:spacing w:val="18"/>
          <w:sz w:val="20"/>
          <w:szCs w:val="20"/>
        </w:rPr>
        <w:t xml:space="preserve"> </w:t>
      </w:r>
      <w:r w:rsidRPr="000977F7">
        <w:rPr>
          <w:rFonts w:asciiTheme="majorHAnsi" w:hAnsiTheme="majorHAnsi"/>
          <w:sz w:val="20"/>
          <w:szCs w:val="20"/>
        </w:rPr>
        <w:t>розроблень,</w:t>
      </w:r>
      <w:r w:rsidRPr="000977F7">
        <w:rPr>
          <w:rFonts w:asciiTheme="majorHAnsi" w:hAnsiTheme="majorHAnsi"/>
          <w:spacing w:val="-47"/>
          <w:sz w:val="20"/>
          <w:szCs w:val="20"/>
        </w:rPr>
        <w:t xml:space="preserve"> </w:t>
      </w:r>
      <w:r w:rsidRPr="000977F7">
        <w:rPr>
          <w:rFonts w:asciiTheme="majorHAnsi" w:hAnsiTheme="majorHAnsi"/>
          <w:sz w:val="20"/>
          <w:szCs w:val="20"/>
        </w:rPr>
        <w:t>регламентованих комплексом державних стандартів</w:t>
      </w:r>
    </w:p>
    <w:p w14:paraId="279FDEA0"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2"/>
          <w:sz w:val="20"/>
          <w:szCs w:val="20"/>
        </w:rPr>
        <w:t xml:space="preserve"> </w:t>
      </w:r>
      <w:r w:rsidRPr="000977F7">
        <w:rPr>
          <w:rFonts w:asciiTheme="majorHAnsi" w:hAnsiTheme="majorHAnsi"/>
          <w:i/>
          <w:sz w:val="20"/>
          <w:szCs w:val="20"/>
        </w:rPr>
        <w:t>– 94</w:t>
      </w:r>
    </w:p>
    <w:p w14:paraId="3B2C72D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СИСТЕМА КОНСТРУКТОРСЬКОЇ ДОКУМЕНТАЦІЇ</w:t>
      </w:r>
      <w:r w:rsidRPr="000977F7">
        <w:rPr>
          <w:color w:val="auto"/>
          <w:spacing w:val="-2"/>
          <w:sz w:val="20"/>
          <w:szCs w:val="20"/>
        </w:rPr>
        <w:t xml:space="preserve"> </w:t>
      </w:r>
      <w:r w:rsidRPr="000977F7">
        <w:rPr>
          <w:color w:val="auto"/>
          <w:sz w:val="20"/>
          <w:szCs w:val="20"/>
        </w:rPr>
        <w:t>–</w:t>
      </w:r>
    </w:p>
    <w:p w14:paraId="333EB6B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w:t>
      </w:r>
      <w:r w:rsidRPr="000977F7">
        <w:rPr>
          <w:rFonts w:asciiTheme="majorHAnsi" w:hAnsiTheme="majorHAnsi"/>
          <w:spacing w:val="1"/>
          <w:sz w:val="20"/>
          <w:szCs w:val="20"/>
        </w:rPr>
        <w:t xml:space="preserve"> </w:t>
      </w:r>
      <w:r w:rsidRPr="000977F7">
        <w:rPr>
          <w:rFonts w:asciiTheme="majorHAnsi" w:hAnsiTheme="majorHAnsi"/>
          <w:sz w:val="20"/>
          <w:szCs w:val="20"/>
        </w:rPr>
        <w:t>державних</w:t>
      </w:r>
      <w:r w:rsidRPr="000977F7">
        <w:rPr>
          <w:rFonts w:asciiTheme="majorHAnsi" w:hAnsiTheme="majorHAnsi"/>
          <w:spacing w:val="1"/>
          <w:sz w:val="20"/>
          <w:szCs w:val="20"/>
        </w:rPr>
        <w:t xml:space="preserve"> </w:t>
      </w:r>
      <w:r w:rsidRPr="000977F7">
        <w:rPr>
          <w:rFonts w:asciiTheme="majorHAnsi" w:hAnsiTheme="majorHAnsi"/>
          <w:sz w:val="20"/>
          <w:szCs w:val="20"/>
        </w:rPr>
        <w:t>стандартів,</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встановлює</w:t>
      </w:r>
      <w:r w:rsidRPr="000977F7">
        <w:rPr>
          <w:rFonts w:asciiTheme="majorHAnsi" w:hAnsiTheme="majorHAnsi"/>
          <w:spacing w:val="1"/>
          <w:sz w:val="20"/>
          <w:szCs w:val="20"/>
        </w:rPr>
        <w:t xml:space="preserve"> </w:t>
      </w:r>
      <w:r w:rsidRPr="000977F7">
        <w:rPr>
          <w:rFonts w:asciiTheme="majorHAnsi" w:hAnsiTheme="majorHAnsi"/>
          <w:sz w:val="20"/>
          <w:szCs w:val="20"/>
        </w:rPr>
        <w:t>взаємопов’язані правила та положення щодо порядку</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w:t>
      </w:r>
      <w:r w:rsidRPr="000977F7">
        <w:rPr>
          <w:rFonts w:asciiTheme="majorHAnsi" w:hAnsiTheme="majorHAnsi"/>
          <w:spacing w:val="1"/>
          <w:sz w:val="20"/>
          <w:szCs w:val="20"/>
        </w:rPr>
        <w:t xml:space="preserve"> </w:t>
      </w:r>
      <w:r w:rsidRPr="000977F7">
        <w:rPr>
          <w:rFonts w:asciiTheme="majorHAnsi" w:hAnsiTheme="majorHAnsi"/>
          <w:sz w:val="20"/>
          <w:szCs w:val="20"/>
        </w:rPr>
        <w:t>оформлення</w:t>
      </w:r>
      <w:r w:rsidRPr="000977F7">
        <w:rPr>
          <w:rFonts w:asciiTheme="majorHAnsi" w:hAnsiTheme="majorHAnsi"/>
          <w:spacing w:val="1"/>
          <w:sz w:val="20"/>
          <w:szCs w:val="20"/>
        </w:rPr>
        <w:t xml:space="preserve"> </w:t>
      </w:r>
      <w:r w:rsidRPr="000977F7">
        <w:rPr>
          <w:rFonts w:asciiTheme="majorHAnsi" w:hAnsiTheme="majorHAnsi"/>
          <w:sz w:val="20"/>
          <w:szCs w:val="20"/>
        </w:rPr>
        <w:t>й</w:t>
      </w:r>
      <w:r w:rsidRPr="000977F7">
        <w:rPr>
          <w:rFonts w:asciiTheme="majorHAnsi" w:hAnsiTheme="majorHAnsi"/>
          <w:spacing w:val="1"/>
          <w:sz w:val="20"/>
          <w:szCs w:val="20"/>
        </w:rPr>
        <w:t xml:space="preserve"> </w:t>
      </w:r>
      <w:r w:rsidRPr="000977F7">
        <w:rPr>
          <w:rFonts w:asciiTheme="majorHAnsi" w:hAnsiTheme="majorHAnsi"/>
          <w:sz w:val="20"/>
          <w:szCs w:val="20"/>
        </w:rPr>
        <w:t>обігу</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конструкторської</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документації</w:t>
      </w:r>
    </w:p>
    <w:p w14:paraId="07F35F33"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3321</w:t>
      </w:r>
      <w:r w:rsidRPr="000977F7">
        <w:rPr>
          <w:rFonts w:asciiTheme="majorHAnsi" w:hAnsiTheme="majorHAnsi"/>
          <w:i/>
          <w:spacing w:val="2"/>
          <w:sz w:val="20"/>
          <w:szCs w:val="20"/>
        </w:rPr>
        <w:t xml:space="preserve"> </w:t>
      </w:r>
      <w:r w:rsidRPr="000977F7">
        <w:rPr>
          <w:rFonts w:asciiTheme="majorHAnsi" w:hAnsiTheme="majorHAnsi"/>
          <w:i/>
          <w:sz w:val="20"/>
          <w:szCs w:val="20"/>
        </w:rPr>
        <w:t>– 2003</w:t>
      </w:r>
    </w:p>
    <w:p w14:paraId="1E97D22A"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СИСТЕМА КОНТРОЛЮ –</w:t>
      </w:r>
      <w:r w:rsidRPr="000977F7">
        <w:rPr>
          <w:rFonts w:asciiTheme="majorHAnsi" w:hAnsiTheme="majorHAnsi"/>
          <w:b/>
          <w:spacing w:val="-47"/>
          <w:sz w:val="20"/>
          <w:szCs w:val="20"/>
        </w:rPr>
        <w:t xml:space="preserve"> </w:t>
      </w:r>
    </w:p>
    <w:p w14:paraId="4166564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INSPECTION</w:t>
      </w:r>
      <w:r w:rsidRPr="000977F7">
        <w:rPr>
          <w:rFonts w:asciiTheme="majorHAnsi" w:hAnsiTheme="majorHAnsi"/>
          <w:spacing w:val="-1"/>
          <w:sz w:val="20"/>
          <w:szCs w:val="20"/>
        </w:rPr>
        <w:t xml:space="preserve"> </w:t>
      </w:r>
      <w:r w:rsidRPr="000977F7">
        <w:rPr>
          <w:rFonts w:asciiTheme="majorHAnsi" w:hAnsiTheme="majorHAnsi"/>
          <w:sz w:val="20"/>
          <w:szCs w:val="20"/>
        </w:rPr>
        <w:t>SYSTEM –</w:t>
      </w:r>
    </w:p>
    <w:p w14:paraId="0E096E9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засобів контролю, виконавців і визначених об’єктів контролю, що взаємодіють згідно з правилами, які встановлені відповідними нормативними</w:t>
      </w:r>
      <w:r w:rsidRPr="000977F7">
        <w:rPr>
          <w:rFonts w:asciiTheme="majorHAnsi" w:hAnsiTheme="majorHAnsi"/>
          <w:spacing w:val="1"/>
          <w:sz w:val="20"/>
          <w:szCs w:val="20"/>
        </w:rPr>
        <w:t xml:space="preserve"> </w:t>
      </w:r>
      <w:r w:rsidRPr="000977F7">
        <w:rPr>
          <w:rFonts w:asciiTheme="majorHAnsi" w:hAnsiTheme="majorHAnsi"/>
          <w:sz w:val="20"/>
          <w:szCs w:val="20"/>
        </w:rPr>
        <w:t>документами</w:t>
      </w:r>
    </w:p>
    <w:p w14:paraId="1AE352B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DE83B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Перевіряльний</w:t>
      </w:r>
      <w:r w:rsidRPr="000977F7">
        <w:rPr>
          <w:rFonts w:asciiTheme="majorHAnsi" w:hAnsiTheme="majorHAnsi"/>
          <w:spacing w:val="-4"/>
          <w:sz w:val="20"/>
          <w:szCs w:val="20"/>
        </w:rPr>
        <w:t xml:space="preserve"> </w:t>
      </w:r>
      <w:r w:rsidRPr="000977F7">
        <w:rPr>
          <w:rFonts w:asciiTheme="majorHAnsi" w:hAnsiTheme="majorHAnsi"/>
          <w:sz w:val="20"/>
          <w:szCs w:val="20"/>
        </w:rPr>
        <w:t>об’єкт,</w:t>
      </w:r>
      <w:r w:rsidRPr="000977F7">
        <w:rPr>
          <w:rFonts w:asciiTheme="majorHAnsi" w:hAnsiTheme="majorHAnsi"/>
          <w:spacing w:val="-3"/>
          <w:sz w:val="20"/>
          <w:szCs w:val="20"/>
        </w:rPr>
        <w:t xml:space="preserve"> </w:t>
      </w:r>
      <w:r w:rsidRPr="000977F7">
        <w:rPr>
          <w:rFonts w:asciiTheme="majorHAnsi" w:hAnsiTheme="majorHAnsi"/>
          <w:sz w:val="20"/>
          <w:szCs w:val="20"/>
        </w:rPr>
        <w:t>який</w:t>
      </w:r>
      <w:r w:rsidRPr="000977F7">
        <w:rPr>
          <w:rFonts w:asciiTheme="majorHAnsi" w:hAnsiTheme="majorHAnsi"/>
          <w:spacing w:val="-2"/>
          <w:sz w:val="20"/>
          <w:szCs w:val="20"/>
        </w:rPr>
        <w:t xml:space="preserve"> </w:t>
      </w:r>
      <w:r w:rsidRPr="000977F7">
        <w:rPr>
          <w:rFonts w:asciiTheme="majorHAnsi" w:hAnsiTheme="majorHAnsi"/>
          <w:sz w:val="20"/>
          <w:szCs w:val="20"/>
        </w:rPr>
        <w:t>розглядається</w:t>
      </w:r>
      <w:r w:rsidRPr="000977F7">
        <w:rPr>
          <w:rFonts w:asciiTheme="majorHAnsi" w:hAnsiTheme="majorHAnsi"/>
          <w:spacing w:val="-3"/>
          <w:sz w:val="20"/>
          <w:szCs w:val="20"/>
        </w:rPr>
        <w:t xml:space="preserve"> </w:t>
      </w:r>
      <w:r w:rsidRPr="000977F7">
        <w:rPr>
          <w:rFonts w:asciiTheme="majorHAnsi" w:hAnsiTheme="majorHAnsi"/>
          <w:sz w:val="20"/>
          <w:szCs w:val="20"/>
        </w:rPr>
        <w:t>як</w:t>
      </w:r>
      <w:r w:rsidRPr="000977F7">
        <w:rPr>
          <w:rFonts w:asciiTheme="majorHAnsi" w:hAnsiTheme="majorHAnsi"/>
          <w:spacing w:val="-4"/>
          <w:sz w:val="20"/>
          <w:szCs w:val="20"/>
        </w:rPr>
        <w:t xml:space="preserve"> </w:t>
      </w:r>
      <w:r w:rsidRPr="000977F7">
        <w:rPr>
          <w:rFonts w:asciiTheme="majorHAnsi" w:hAnsiTheme="majorHAnsi"/>
          <w:sz w:val="20"/>
          <w:szCs w:val="20"/>
        </w:rPr>
        <w:t>система</w:t>
      </w:r>
    </w:p>
    <w:p w14:paraId="715199F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628CA91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СИСТЕМА</w:t>
      </w:r>
      <w:r w:rsidRPr="000977F7">
        <w:rPr>
          <w:color w:val="auto"/>
          <w:spacing w:val="-4"/>
          <w:sz w:val="20"/>
          <w:szCs w:val="20"/>
        </w:rPr>
        <w:t xml:space="preserve"> </w:t>
      </w:r>
      <w:r w:rsidRPr="000977F7">
        <w:rPr>
          <w:color w:val="auto"/>
          <w:sz w:val="20"/>
          <w:szCs w:val="20"/>
        </w:rPr>
        <w:t>МЕНЕДЖМЕНТА</w:t>
      </w:r>
      <w:r w:rsidRPr="000977F7">
        <w:rPr>
          <w:color w:val="auto"/>
          <w:spacing w:val="-1"/>
          <w:sz w:val="20"/>
          <w:szCs w:val="20"/>
        </w:rPr>
        <w:t xml:space="preserve"> </w:t>
      </w:r>
      <w:r w:rsidRPr="000977F7">
        <w:rPr>
          <w:color w:val="auto"/>
          <w:sz w:val="20"/>
          <w:szCs w:val="20"/>
        </w:rPr>
        <w:t>–</w:t>
      </w:r>
    </w:p>
    <w:p w14:paraId="4940BEA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MANAGEMENT SYSTEM</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3DE4B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w:t>
      </w:r>
      <w:r w:rsidRPr="000977F7">
        <w:rPr>
          <w:rFonts w:asciiTheme="majorHAnsi" w:hAnsiTheme="majorHAnsi"/>
          <w:spacing w:val="28"/>
          <w:sz w:val="20"/>
          <w:szCs w:val="20"/>
        </w:rPr>
        <w:t xml:space="preserve"> </w:t>
      </w:r>
      <w:r w:rsidRPr="000977F7">
        <w:rPr>
          <w:rFonts w:asciiTheme="majorHAnsi" w:hAnsiTheme="majorHAnsi"/>
          <w:sz w:val="20"/>
          <w:szCs w:val="20"/>
        </w:rPr>
        <w:t>,</w:t>
      </w:r>
      <w:r w:rsidRPr="000977F7">
        <w:rPr>
          <w:rFonts w:asciiTheme="majorHAnsi" w:hAnsiTheme="majorHAnsi"/>
          <w:spacing w:val="28"/>
          <w:sz w:val="20"/>
          <w:szCs w:val="20"/>
        </w:rPr>
        <w:t xml:space="preserve"> </w:t>
      </w:r>
      <w:r w:rsidRPr="000977F7">
        <w:rPr>
          <w:rFonts w:asciiTheme="majorHAnsi" w:hAnsiTheme="majorHAnsi"/>
          <w:sz w:val="20"/>
          <w:szCs w:val="20"/>
        </w:rPr>
        <w:t>яка</w:t>
      </w:r>
      <w:r w:rsidRPr="000977F7">
        <w:rPr>
          <w:rFonts w:asciiTheme="majorHAnsi" w:hAnsiTheme="majorHAnsi"/>
          <w:spacing w:val="29"/>
          <w:sz w:val="20"/>
          <w:szCs w:val="20"/>
        </w:rPr>
        <w:t xml:space="preserve"> </w:t>
      </w:r>
      <w:r w:rsidRPr="000977F7">
        <w:rPr>
          <w:rFonts w:asciiTheme="majorHAnsi" w:hAnsiTheme="majorHAnsi"/>
          <w:sz w:val="20"/>
          <w:szCs w:val="20"/>
        </w:rPr>
        <w:t>встановлює</w:t>
      </w:r>
      <w:r w:rsidRPr="000977F7">
        <w:rPr>
          <w:rFonts w:asciiTheme="majorHAnsi" w:hAnsiTheme="majorHAnsi"/>
          <w:spacing w:val="31"/>
          <w:sz w:val="20"/>
          <w:szCs w:val="20"/>
        </w:rPr>
        <w:t xml:space="preserve"> </w:t>
      </w:r>
      <w:r w:rsidRPr="000977F7">
        <w:rPr>
          <w:rFonts w:asciiTheme="majorHAnsi" w:hAnsiTheme="majorHAnsi"/>
          <w:sz w:val="20"/>
          <w:szCs w:val="20"/>
        </w:rPr>
        <w:t>політику</w:t>
      </w:r>
      <w:r w:rsidRPr="000977F7">
        <w:rPr>
          <w:rFonts w:asciiTheme="majorHAnsi" w:hAnsiTheme="majorHAnsi"/>
          <w:spacing w:val="27"/>
          <w:sz w:val="20"/>
          <w:szCs w:val="20"/>
        </w:rPr>
        <w:t xml:space="preserve"> </w:t>
      </w:r>
      <w:r w:rsidRPr="000977F7">
        <w:rPr>
          <w:rFonts w:asciiTheme="majorHAnsi" w:hAnsiTheme="majorHAnsi"/>
          <w:sz w:val="20"/>
          <w:szCs w:val="20"/>
        </w:rPr>
        <w:t>та</w:t>
      </w:r>
      <w:r w:rsidRPr="000977F7">
        <w:rPr>
          <w:rFonts w:asciiTheme="majorHAnsi" w:hAnsiTheme="majorHAnsi"/>
          <w:spacing w:val="28"/>
          <w:sz w:val="20"/>
          <w:szCs w:val="20"/>
        </w:rPr>
        <w:t xml:space="preserve"> </w:t>
      </w:r>
      <w:r w:rsidRPr="000977F7">
        <w:rPr>
          <w:rFonts w:asciiTheme="majorHAnsi" w:hAnsiTheme="majorHAnsi"/>
          <w:sz w:val="20"/>
          <w:szCs w:val="20"/>
        </w:rPr>
        <w:t>мету,</w:t>
      </w:r>
      <w:r w:rsidRPr="000977F7">
        <w:rPr>
          <w:rFonts w:asciiTheme="majorHAnsi" w:hAnsiTheme="majorHAnsi"/>
          <w:spacing w:val="29"/>
          <w:sz w:val="20"/>
          <w:szCs w:val="20"/>
        </w:rPr>
        <w:t xml:space="preserve"> </w:t>
      </w:r>
      <w:r w:rsidRPr="000977F7">
        <w:rPr>
          <w:rFonts w:asciiTheme="majorHAnsi" w:hAnsiTheme="majorHAnsi"/>
          <w:sz w:val="20"/>
          <w:szCs w:val="20"/>
        </w:rPr>
        <w:t>а</w:t>
      </w:r>
      <w:r w:rsidRPr="000977F7">
        <w:rPr>
          <w:rFonts w:asciiTheme="majorHAnsi" w:hAnsiTheme="majorHAnsi"/>
          <w:spacing w:val="31"/>
          <w:sz w:val="20"/>
          <w:szCs w:val="20"/>
        </w:rPr>
        <w:t xml:space="preserve"> </w:t>
      </w:r>
      <w:r w:rsidRPr="000977F7">
        <w:rPr>
          <w:rFonts w:asciiTheme="majorHAnsi" w:hAnsiTheme="majorHAnsi"/>
          <w:sz w:val="20"/>
          <w:szCs w:val="20"/>
        </w:rPr>
        <w:t>також</w:t>
      </w:r>
      <w:r w:rsidRPr="000977F7">
        <w:rPr>
          <w:rFonts w:asciiTheme="majorHAnsi" w:hAnsiTheme="majorHAnsi"/>
          <w:spacing w:val="-47"/>
          <w:sz w:val="20"/>
          <w:szCs w:val="20"/>
        </w:rPr>
        <w:t xml:space="preserve"> </w:t>
      </w:r>
      <w:r w:rsidRPr="000977F7">
        <w:rPr>
          <w:rFonts w:asciiTheme="majorHAnsi" w:hAnsiTheme="majorHAnsi"/>
          <w:sz w:val="20"/>
          <w:szCs w:val="20"/>
        </w:rPr>
        <w:t>досягає цієї</w:t>
      </w:r>
      <w:r w:rsidRPr="000977F7">
        <w:rPr>
          <w:rFonts w:asciiTheme="majorHAnsi" w:hAnsiTheme="majorHAnsi"/>
          <w:spacing w:val="-1"/>
          <w:sz w:val="20"/>
          <w:szCs w:val="20"/>
        </w:rPr>
        <w:t xml:space="preserve"> </w:t>
      </w:r>
      <w:r w:rsidRPr="000977F7">
        <w:rPr>
          <w:rFonts w:asciiTheme="majorHAnsi" w:hAnsiTheme="majorHAnsi"/>
          <w:sz w:val="20"/>
          <w:szCs w:val="20"/>
        </w:rPr>
        <w:t>мети</w:t>
      </w:r>
    </w:p>
    <w:p w14:paraId="120E05F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F075ABA"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Система</w:t>
      </w:r>
      <w:r w:rsidRPr="000977F7">
        <w:rPr>
          <w:rFonts w:asciiTheme="majorHAnsi" w:hAnsiTheme="majorHAnsi"/>
          <w:spacing w:val="17"/>
          <w:sz w:val="20"/>
          <w:szCs w:val="20"/>
        </w:rPr>
        <w:t xml:space="preserve"> </w:t>
      </w:r>
      <w:r w:rsidRPr="000977F7">
        <w:rPr>
          <w:rFonts w:asciiTheme="majorHAnsi" w:hAnsiTheme="majorHAnsi"/>
          <w:sz w:val="20"/>
          <w:szCs w:val="20"/>
        </w:rPr>
        <w:t>менеджменту</w:t>
      </w:r>
      <w:r w:rsidRPr="000977F7">
        <w:rPr>
          <w:rFonts w:asciiTheme="majorHAnsi" w:hAnsiTheme="majorHAnsi"/>
          <w:spacing w:val="17"/>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7"/>
          <w:sz w:val="20"/>
          <w:szCs w:val="20"/>
        </w:rPr>
        <w:t xml:space="preserve"> </w:t>
      </w:r>
      <w:r w:rsidRPr="000977F7">
        <w:rPr>
          <w:rFonts w:asciiTheme="majorHAnsi" w:hAnsiTheme="majorHAnsi"/>
          <w:sz w:val="20"/>
          <w:szCs w:val="20"/>
        </w:rPr>
        <w:t>може</w:t>
      </w:r>
      <w:r w:rsidRPr="000977F7">
        <w:rPr>
          <w:rFonts w:asciiTheme="majorHAnsi" w:hAnsiTheme="majorHAnsi"/>
          <w:spacing w:val="17"/>
          <w:sz w:val="20"/>
          <w:szCs w:val="20"/>
        </w:rPr>
        <w:t xml:space="preserve"> </w:t>
      </w:r>
      <w:r w:rsidRPr="000977F7">
        <w:rPr>
          <w:rFonts w:asciiTheme="majorHAnsi" w:hAnsiTheme="majorHAnsi"/>
          <w:sz w:val="20"/>
          <w:szCs w:val="20"/>
        </w:rPr>
        <w:t>включати</w:t>
      </w:r>
      <w:r w:rsidRPr="000977F7">
        <w:rPr>
          <w:rFonts w:asciiTheme="majorHAnsi" w:hAnsiTheme="majorHAnsi"/>
          <w:spacing w:val="18"/>
          <w:sz w:val="20"/>
          <w:szCs w:val="20"/>
        </w:rPr>
        <w:t xml:space="preserve"> </w:t>
      </w:r>
      <w:r w:rsidRPr="000977F7">
        <w:rPr>
          <w:rFonts w:asciiTheme="majorHAnsi" w:hAnsiTheme="majorHAnsi"/>
          <w:sz w:val="20"/>
          <w:szCs w:val="20"/>
        </w:rPr>
        <w:t>систему</w:t>
      </w:r>
      <w:r w:rsidRPr="000977F7">
        <w:rPr>
          <w:rFonts w:asciiTheme="majorHAnsi" w:hAnsiTheme="majorHAnsi"/>
          <w:spacing w:val="33"/>
          <w:sz w:val="20"/>
          <w:szCs w:val="20"/>
        </w:rPr>
        <w:t xml:space="preserve"> </w:t>
      </w:r>
      <w:r w:rsidRPr="000977F7">
        <w:rPr>
          <w:rFonts w:asciiTheme="majorHAnsi" w:hAnsiTheme="majorHAnsi"/>
          <w:sz w:val="20"/>
          <w:szCs w:val="20"/>
        </w:rPr>
        <w:t>менеджменту</w:t>
      </w:r>
      <w:r w:rsidRPr="000977F7">
        <w:rPr>
          <w:rFonts w:asciiTheme="majorHAnsi" w:hAnsiTheme="majorHAnsi"/>
          <w:spacing w:val="37"/>
          <w:sz w:val="20"/>
          <w:szCs w:val="20"/>
        </w:rPr>
        <w:t xml:space="preserve"> </w:t>
      </w:r>
      <w:r w:rsidRPr="000977F7">
        <w:rPr>
          <w:rFonts w:asciiTheme="majorHAnsi" w:hAnsiTheme="majorHAnsi"/>
          <w:sz w:val="20"/>
          <w:szCs w:val="20"/>
        </w:rPr>
        <w:t>якості,</w:t>
      </w:r>
      <w:r w:rsidRPr="000977F7">
        <w:rPr>
          <w:rFonts w:asciiTheme="majorHAnsi" w:hAnsiTheme="majorHAnsi"/>
          <w:spacing w:val="39"/>
          <w:sz w:val="20"/>
          <w:szCs w:val="20"/>
        </w:rPr>
        <w:t xml:space="preserve"> </w:t>
      </w:r>
      <w:r w:rsidRPr="000977F7">
        <w:rPr>
          <w:rFonts w:asciiTheme="majorHAnsi" w:hAnsiTheme="majorHAnsi"/>
          <w:sz w:val="20"/>
          <w:szCs w:val="20"/>
        </w:rPr>
        <w:t>систему</w:t>
      </w:r>
      <w:r w:rsidRPr="000977F7">
        <w:rPr>
          <w:rFonts w:asciiTheme="majorHAnsi" w:hAnsiTheme="majorHAnsi"/>
          <w:spacing w:val="36"/>
          <w:sz w:val="20"/>
          <w:szCs w:val="20"/>
        </w:rPr>
        <w:t xml:space="preserve"> </w:t>
      </w:r>
      <w:r w:rsidRPr="000977F7">
        <w:rPr>
          <w:rFonts w:asciiTheme="majorHAnsi" w:hAnsiTheme="majorHAnsi"/>
          <w:sz w:val="20"/>
          <w:szCs w:val="20"/>
        </w:rPr>
        <w:t>фінансового</w:t>
      </w:r>
      <w:r w:rsidRPr="000977F7">
        <w:rPr>
          <w:rFonts w:asciiTheme="majorHAnsi" w:hAnsiTheme="majorHAnsi"/>
          <w:spacing w:val="37"/>
          <w:sz w:val="20"/>
          <w:szCs w:val="20"/>
        </w:rPr>
        <w:t xml:space="preserve"> </w:t>
      </w:r>
      <w:r w:rsidRPr="000977F7">
        <w:rPr>
          <w:rFonts w:asciiTheme="majorHAnsi" w:hAnsiTheme="majorHAnsi"/>
          <w:sz w:val="20"/>
          <w:szCs w:val="20"/>
        </w:rPr>
        <w:t>менеджменту і систему екологічного менеджменту</w:t>
      </w:r>
      <w:r w:rsidRPr="000977F7">
        <w:rPr>
          <w:rFonts w:asciiTheme="majorHAnsi" w:hAnsiTheme="majorHAnsi"/>
          <w:spacing w:val="1"/>
          <w:sz w:val="20"/>
          <w:szCs w:val="20"/>
        </w:rPr>
        <w:t xml:space="preserve"> </w:t>
      </w:r>
    </w:p>
    <w:p w14:paraId="1830596E" w14:textId="77777777" w:rsidR="0097612F" w:rsidRPr="004D2D14" w:rsidRDefault="0097612F" w:rsidP="000977F7">
      <w:pPr>
        <w:pStyle w:val="af6"/>
        <w:tabs>
          <w:tab w:val="left" w:pos="284"/>
        </w:tabs>
        <w:spacing w:after="0"/>
        <w:ind w:left="170"/>
        <w:mirrorIndents/>
        <w:jc w:val="both"/>
        <w:rPr>
          <w:rFonts w:asciiTheme="majorHAnsi" w:hAnsiTheme="majorHAnsi"/>
          <w:b/>
          <w:spacing w:val="1"/>
          <w:sz w:val="20"/>
          <w:szCs w:val="20"/>
          <w:lang w:val="en-US"/>
        </w:rPr>
      </w:pPr>
      <w:r w:rsidRPr="000977F7">
        <w:rPr>
          <w:rFonts w:asciiTheme="majorHAnsi" w:hAnsiTheme="majorHAnsi"/>
          <w:b/>
          <w:sz w:val="20"/>
          <w:szCs w:val="20"/>
        </w:rPr>
        <w:t>СИСТЕМА</w:t>
      </w:r>
      <w:r w:rsidRPr="004D2D14">
        <w:rPr>
          <w:rFonts w:asciiTheme="majorHAnsi" w:hAnsiTheme="majorHAnsi"/>
          <w:b/>
          <w:sz w:val="20"/>
          <w:szCs w:val="20"/>
          <w:lang w:val="en-US"/>
        </w:rPr>
        <w:t xml:space="preserve"> </w:t>
      </w:r>
      <w:r w:rsidRPr="000977F7">
        <w:rPr>
          <w:rFonts w:asciiTheme="majorHAnsi" w:hAnsiTheme="majorHAnsi"/>
          <w:b/>
          <w:sz w:val="20"/>
          <w:szCs w:val="20"/>
        </w:rPr>
        <w:t>МЕНЕДЖМЕНТА</w:t>
      </w:r>
      <w:r w:rsidRPr="004D2D14">
        <w:rPr>
          <w:rFonts w:asciiTheme="majorHAnsi" w:hAnsiTheme="majorHAnsi"/>
          <w:b/>
          <w:sz w:val="20"/>
          <w:szCs w:val="20"/>
          <w:lang w:val="en-US"/>
        </w:rPr>
        <w:t xml:space="preserve"> </w:t>
      </w:r>
      <w:r w:rsidRPr="000977F7">
        <w:rPr>
          <w:rFonts w:asciiTheme="majorHAnsi" w:hAnsiTheme="majorHAnsi"/>
          <w:b/>
          <w:sz w:val="20"/>
          <w:szCs w:val="20"/>
        </w:rPr>
        <w:t>ЯКОСТІ</w:t>
      </w:r>
      <w:r w:rsidRPr="004D2D14">
        <w:rPr>
          <w:rFonts w:asciiTheme="majorHAnsi" w:hAnsiTheme="majorHAnsi"/>
          <w:b/>
          <w:sz w:val="20"/>
          <w:szCs w:val="20"/>
          <w:lang w:val="en-US"/>
        </w:rPr>
        <w:t xml:space="preserve"> –</w:t>
      </w:r>
      <w:r w:rsidRPr="004D2D14">
        <w:rPr>
          <w:rFonts w:asciiTheme="majorHAnsi" w:hAnsiTheme="majorHAnsi"/>
          <w:b/>
          <w:spacing w:val="1"/>
          <w:sz w:val="20"/>
          <w:szCs w:val="20"/>
          <w:lang w:val="en-US"/>
        </w:rPr>
        <w:t xml:space="preserve"> </w:t>
      </w:r>
    </w:p>
    <w:p w14:paraId="11E38BD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QUALITY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MANAGEMENT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SYSTEM</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6179218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яка встановлює політику в галузі якості, мету</w:t>
      </w:r>
      <w:r w:rsidRPr="000977F7">
        <w:rPr>
          <w:rFonts w:asciiTheme="majorHAnsi" w:hAnsiTheme="majorHAnsi"/>
          <w:spacing w:val="-5"/>
          <w:sz w:val="20"/>
          <w:szCs w:val="20"/>
        </w:rPr>
        <w:t xml:space="preserve"> </w:t>
      </w:r>
      <w:r w:rsidRPr="000977F7">
        <w:rPr>
          <w:rFonts w:asciiTheme="majorHAnsi" w:hAnsiTheme="majorHAnsi"/>
          <w:sz w:val="20"/>
          <w:szCs w:val="20"/>
        </w:rPr>
        <w:t>з якості, а</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1"/>
          <w:sz w:val="20"/>
          <w:szCs w:val="20"/>
        </w:rPr>
        <w:t xml:space="preserve"> </w:t>
      </w:r>
      <w:r w:rsidRPr="000977F7">
        <w:rPr>
          <w:rFonts w:asciiTheme="majorHAnsi" w:hAnsiTheme="majorHAnsi"/>
          <w:sz w:val="20"/>
          <w:szCs w:val="20"/>
        </w:rPr>
        <w:t>досягає</w:t>
      </w:r>
      <w:r w:rsidRPr="000977F7">
        <w:rPr>
          <w:rFonts w:asciiTheme="majorHAnsi" w:hAnsiTheme="majorHAnsi"/>
          <w:spacing w:val="1"/>
          <w:sz w:val="20"/>
          <w:szCs w:val="20"/>
        </w:rPr>
        <w:t xml:space="preserve"> </w:t>
      </w:r>
      <w:r w:rsidRPr="000977F7">
        <w:rPr>
          <w:rFonts w:asciiTheme="majorHAnsi" w:hAnsiTheme="majorHAnsi"/>
          <w:sz w:val="20"/>
          <w:szCs w:val="20"/>
        </w:rPr>
        <w:t>цієї</w:t>
      </w:r>
      <w:r w:rsidRPr="000977F7">
        <w:rPr>
          <w:rFonts w:asciiTheme="majorHAnsi" w:hAnsiTheme="majorHAnsi"/>
          <w:spacing w:val="-2"/>
          <w:sz w:val="20"/>
          <w:szCs w:val="20"/>
        </w:rPr>
        <w:t xml:space="preserve"> </w:t>
      </w:r>
      <w:r w:rsidRPr="000977F7">
        <w:rPr>
          <w:rFonts w:asciiTheme="majorHAnsi" w:hAnsiTheme="majorHAnsi"/>
          <w:sz w:val="20"/>
          <w:szCs w:val="20"/>
        </w:rPr>
        <w:t>мети</w:t>
      </w:r>
    </w:p>
    <w:p w14:paraId="7F092B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Організація повинна встановлювати систему менеджменту</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засіб</w:t>
      </w:r>
      <w:r w:rsidRPr="000977F7">
        <w:rPr>
          <w:rFonts w:asciiTheme="majorHAnsi" w:hAnsiTheme="majorHAnsi"/>
          <w:spacing w:val="1"/>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1"/>
          <w:sz w:val="20"/>
          <w:szCs w:val="20"/>
        </w:rPr>
        <w:t xml:space="preserve"> </w:t>
      </w:r>
      <w:r w:rsidRPr="000977F7">
        <w:rPr>
          <w:rFonts w:asciiTheme="majorHAnsi" w:hAnsiTheme="majorHAnsi"/>
          <w:sz w:val="20"/>
          <w:szCs w:val="20"/>
        </w:rPr>
        <w:t>того,</w:t>
      </w:r>
      <w:r w:rsidRPr="000977F7">
        <w:rPr>
          <w:rFonts w:asciiTheme="majorHAnsi" w:hAnsiTheme="majorHAnsi"/>
          <w:spacing w:val="1"/>
          <w:sz w:val="20"/>
          <w:szCs w:val="20"/>
        </w:rPr>
        <w:t xml:space="preserve"> </w:t>
      </w:r>
      <w:r w:rsidRPr="000977F7">
        <w:rPr>
          <w:rFonts w:asciiTheme="majorHAnsi" w:hAnsiTheme="majorHAnsi"/>
          <w:sz w:val="20"/>
          <w:szCs w:val="20"/>
        </w:rPr>
        <w:t>щоб</w:t>
      </w:r>
      <w:r w:rsidRPr="000977F7">
        <w:rPr>
          <w:rFonts w:asciiTheme="majorHAnsi" w:hAnsiTheme="majorHAnsi"/>
          <w:spacing w:val="1"/>
          <w:sz w:val="20"/>
          <w:szCs w:val="20"/>
        </w:rPr>
        <w:t xml:space="preserve"> </w:t>
      </w:r>
      <w:r w:rsidRPr="000977F7">
        <w:rPr>
          <w:rFonts w:asciiTheme="majorHAnsi" w:hAnsiTheme="majorHAnsi"/>
          <w:sz w:val="20"/>
          <w:szCs w:val="20"/>
        </w:rPr>
        <w:t>продукція і (або) послуга відповідала визначеним вимогам.</w:t>
      </w:r>
    </w:p>
    <w:p w14:paraId="1DE955D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повинна бути структурована та пристосована до видів діяльності та розміру конкретної організації</w:t>
      </w:r>
    </w:p>
    <w:p w14:paraId="1B8FC7B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СИСТЕМА</w:t>
      </w:r>
      <w:r w:rsidRPr="000977F7">
        <w:rPr>
          <w:color w:val="auto"/>
          <w:spacing w:val="-5"/>
          <w:sz w:val="20"/>
          <w:szCs w:val="20"/>
        </w:rPr>
        <w:t xml:space="preserve"> </w:t>
      </w:r>
      <w:r w:rsidRPr="000977F7">
        <w:rPr>
          <w:color w:val="auto"/>
          <w:sz w:val="20"/>
          <w:szCs w:val="20"/>
        </w:rPr>
        <w:t>НЕРУЙНІВНОГО</w:t>
      </w:r>
      <w:r w:rsidRPr="000977F7">
        <w:rPr>
          <w:color w:val="auto"/>
          <w:spacing w:val="-4"/>
          <w:sz w:val="20"/>
          <w:szCs w:val="20"/>
        </w:rPr>
        <w:t xml:space="preserve"> </w:t>
      </w:r>
      <w:r w:rsidRPr="000977F7">
        <w:rPr>
          <w:color w:val="auto"/>
          <w:sz w:val="20"/>
          <w:szCs w:val="20"/>
        </w:rPr>
        <w:t>КОНТРОЛЮ</w:t>
      </w:r>
      <w:r w:rsidRPr="000977F7">
        <w:rPr>
          <w:color w:val="auto"/>
          <w:spacing w:val="-2"/>
          <w:sz w:val="20"/>
          <w:szCs w:val="20"/>
        </w:rPr>
        <w:t xml:space="preserve"> </w:t>
      </w:r>
      <w:r w:rsidRPr="000977F7">
        <w:rPr>
          <w:color w:val="auto"/>
          <w:sz w:val="20"/>
          <w:szCs w:val="20"/>
        </w:rPr>
        <w:t>–</w:t>
      </w:r>
    </w:p>
    <w:p w14:paraId="75EE904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TEST NON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DESTRUCTIVE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SYSTEM</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5C22B05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Сукупність</w:t>
      </w:r>
      <w:r w:rsidRPr="004D2D14">
        <w:rPr>
          <w:rFonts w:asciiTheme="majorHAnsi" w:hAnsiTheme="majorHAnsi"/>
          <w:sz w:val="20"/>
          <w:szCs w:val="20"/>
          <w:lang w:val="en-US"/>
        </w:rPr>
        <w:t xml:space="preserve"> </w:t>
      </w:r>
      <w:r w:rsidRPr="000977F7">
        <w:rPr>
          <w:rFonts w:asciiTheme="majorHAnsi" w:hAnsiTheme="majorHAnsi"/>
          <w:sz w:val="20"/>
          <w:szCs w:val="20"/>
        </w:rPr>
        <w:t>виконавців</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єктів</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засобів</w:t>
      </w:r>
      <w:r w:rsidRPr="004D2D14">
        <w:rPr>
          <w:rFonts w:asciiTheme="majorHAnsi" w:hAnsiTheme="majorHAnsi"/>
          <w:sz w:val="20"/>
          <w:szCs w:val="20"/>
          <w:lang w:val="en-US"/>
        </w:rPr>
        <w:t xml:space="preserve"> </w:t>
      </w:r>
      <w:r w:rsidRPr="000977F7">
        <w:rPr>
          <w:rFonts w:asciiTheme="majorHAnsi" w:hAnsiTheme="majorHAnsi"/>
          <w:sz w:val="20"/>
          <w:szCs w:val="20"/>
        </w:rPr>
        <w:t>неруйнівного</w:t>
      </w:r>
      <w:r w:rsidRPr="004D2D14">
        <w:rPr>
          <w:rFonts w:asciiTheme="majorHAnsi" w:hAnsiTheme="majorHAnsi"/>
          <w:sz w:val="20"/>
          <w:szCs w:val="20"/>
          <w:lang w:val="en-US"/>
        </w:rPr>
        <w:t xml:space="preserve"> </w:t>
      </w:r>
      <w:r w:rsidRPr="000977F7">
        <w:rPr>
          <w:rFonts w:asciiTheme="majorHAnsi" w:hAnsiTheme="majorHAnsi"/>
          <w:sz w:val="20"/>
          <w:szCs w:val="20"/>
        </w:rPr>
        <w:t>контролю</w:t>
      </w:r>
      <w:r w:rsidRPr="004D2D14">
        <w:rPr>
          <w:rFonts w:asciiTheme="majorHAnsi" w:hAnsiTheme="majorHAnsi"/>
          <w:sz w:val="20"/>
          <w:szCs w:val="20"/>
          <w:lang w:val="en-US"/>
        </w:rPr>
        <w:t xml:space="preserve">, </w:t>
      </w:r>
      <w:r w:rsidRPr="000977F7">
        <w:rPr>
          <w:rFonts w:asciiTheme="majorHAnsi" w:hAnsiTheme="majorHAnsi"/>
          <w:sz w:val="20"/>
          <w:szCs w:val="20"/>
        </w:rPr>
        <w:t>призначених</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одержання</w:t>
      </w:r>
      <w:r w:rsidRPr="004D2D14">
        <w:rPr>
          <w:rFonts w:asciiTheme="majorHAnsi" w:hAnsiTheme="majorHAnsi"/>
          <w:sz w:val="20"/>
          <w:szCs w:val="20"/>
          <w:lang w:val="en-US"/>
        </w:rPr>
        <w:t xml:space="preserve">, </w:t>
      </w:r>
      <w:r w:rsidRPr="000977F7">
        <w:rPr>
          <w:rFonts w:asciiTheme="majorHAnsi" w:hAnsiTheme="majorHAnsi"/>
          <w:sz w:val="20"/>
          <w:szCs w:val="20"/>
        </w:rPr>
        <w:t>обробки</w:t>
      </w:r>
      <w:r w:rsidRPr="004D2D14">
        <w:rPr>
          <w:rFonts w:asciiTheme="majorHAnsi" w:hAnsiTheme="majorHAnsi"/>
          <w:spacing w:val="1"/>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реєстрації</w:t>
      </w:r>
      <w:r w:rsidRPr="004D2D14">
        <w:rPr>
          <w:rFonts w:asciiTheme="majorHAnsi" w:hAnsiTheme="majorHAnsi"/>
          <w:sz w:val="20"/>
          <w:szCs w:val="20"/>
          <w:lang w:val="en-US"/>
        </w:rPr>
        <w:t xml:space="preserve"> </w:t>
      </w:r>
      <w:r w:rsidRPr="000977F7">
        <w:rPr>
          <w:rFonts w:asciiTheme="majorHAnsi" w:hAnsiTheme="majorHAnsi"/>
          <w:sz w:val="20"/>
          <w:szCs w:val="20"/>
        </w:rPr>
        <w:t>інформації</w:t>
      </w:r>
      <w:r w:rsidRPr="004D2D14">
        <w:rPr>
          <w:rFonts w:asciiTheme="majorHAnsi" w:hAnsiTheme="majorHAnsi"/>
          <w:sz w:val="20"/>
          <w:szCs w:val="20"/>
          <w:lang w:val="en-US"/>
        </w:rPr>
        <w:t xml:space="preserve">, </w:t>
      </w:r>
      <w:r w:rsidRPr="000977F7">
        <w:rPr>
          <w:rFonts w:asciiTheme="majorHAnsi" w:hAnsiTheme="majorHAnsi"/>
          <w:sz w:val="20"/>
          <w:szCs w:val="20"/>
        </w:rPr>
        <w:t>яка</w:t>
      </w:r>
      <w:r w:rsidRPr="004D2D14">
        <w:rPr>
          <w:rFonts w:asciiTheme="majorHAnsi" w:hAnsiTheme="majorHAnsi"/>
          <w:sz w:val="20"/>
          <w:szCs w:val="20"/>
          <w:lang w:val="en-US"/>
        </w:rPr>
        <w:t xml:space="preserve"> </w:t>
      </w:r>
      <w:r w:rsidRPr="000977F7">
        <w:rPr>
          <w:rFonts w:asciiTheme="majorHAnsi" w:hAnsiTheme="majorHAnsi"/>
          <w:sz w:val="20"/>
          <w:szCs w:val="20"/>
        </w:rPr>
        <w:t>характеризує</w:t>
      </w:r>
      <w:r w:rsidRPr="004D2D14">
        <w:rPr>
          <w:rFonts w:asciiTheme="majorHAnsi" w:hAnsiTheme="majorHAnsi"/>
          <w:sz w:val="20"/>
          <w:szCs w:val="20"/>
          <w:lang w:val="en-US"/>
        </w:rPr>
        <w:t xml:space="preserve"> </w:t>
      </w:r>
      <w:r w:rsidRPr="000977F7">
        <w:rPr>
          <w:rFonts w:asciiTheme="majorHAnsi" w:hAnsiTheme="majorHAnsi"/>
          <w:sz w:val="20"/>
          <w:szCs w:val="20"/>
        </w:rPr>
        <w:t>якість</w:t>
      </w:r>
      <w:r w:rsidRPr="004D2D14">
        <w:rPr>
          <w:rFonts w:asciiTheme="majorHAnsi" w:hAnsiTheme="majorHAnsi"/>
          <w:sz w:val="20"/>
          <w:szCs w:val="20"/>
          <w:lang w:val="en-US"/>
        </w:rPr>
        <w:t xml:space="preserve"> </w:t>
      </w:r>
      <w:r w:rsidRPr="000977F7">
        <w:rPr>
          <w:rFonts w:asciiTheme="majorHAnsi" w:hAnsiTheme="majorHAnsi"/>
          <w:sz w:val="20"/>
          <w:szCs w:val="20"/>
        </w:rPr>
        <w:t>контрольованого</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взаємочинних</w:t>
      </w:r>
      <w:r w:rsidRPr="004D2D14">
        <w:rPr>
          <w:rFonts w:asciiTheme="majorHAnsi" w:hAnsiTheme="majorHAnsi"/>
          <w:sz w:val="20"/>
          <w:szCs w:val="20"/>
          <w:lang w:val="en-US"/>
        </w:rPr>
        <w:t xml:space="preserve"> </w:t>
      </w:r>
      <w:r w:rsidRPr="000977F7">
        <w:rPr>
          <w:rFonts w:asciiTheme="majorHAnsi" w:hAnsiTheme="majorHAnsi"/>
          <w:sz w:val="20"/>
          <w:szCs w:val="20"/>
        </w:rPr>
        <w:t>за</w:t>
      </w:r>
      <w:r w:rsidRPr="004D2D14">
        <w:rPr>
          <w:rFonts w:asciiTheme="majorHAnsi" w:hAnsiTheme="majorHAnsi"/>
          <w:sz w:val="20"/>
          <w:szCs w:val="20"/>
          <w:lang w:val="en-US"/>
        </w:rPr>
        <w:t xml:space="preserve"> </w:t>
      </w:r>
      <w:r w:rsidRPr="000977F7">
        <w:rPr>
          <w:rFonts w:asciiTheme="majorHAnsi" w:hAnsiTheme="majorHAnsi"/>
          <w:sz w:val="20"/>
          <w:szCs w:val="20"/>
        </w:rPr>
        <w:t>правилами</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встановлені</w:t>
      </w:r>
      <w:r w:rsidRPr="004D2D14">
        <w:rPr>
          <w:rFonts w:asciiTheme="majorHAnsi" w:hAnsiTheme="majorHAnsi"/>
          <w:sz w:val="20"/>
          <w:szCs w:val="20"/>
          <w:lang w:val="en-US"/>
        </w:rPr>
        <w:t xml:space="preserve"> </w:t>
      </w:r>
      <w:r w:rsidRPr="000977F7">
        <w:rPr>
          <w:rFonts w:asciiTheme="majorHAnsi" w:hAnsiTheme="majorHAnsi"/>
          <w:sz w:val="20"/>
          <w:szCs w:val="20"/>
        </w:rPr>
        <w:t>відповідною</w:t>
      </w:r>
      <w:r w:rsidRPr="004D2D14">
        <w:rPr>
          <w:rFonts w:asciiTheme="majorHAnsi" w:hAnsiTheme="majorHAnsi"/>
          <w:sz w:val="20"/>
          <w:szCs w:val="20"/>
          <w:lang w:val="en-US"/>
        </w:rPr>
        <w:t xml:space="preserve"> </w:t>
      </w:r>
      <w:r w:rsidRPr="000977F7">
        <w:rPr>
          <w:rFonts w:asciiTheme="majorHAnsi" w:hAnsiTheme="majorHAnsi"/>
          <w:sz w:val="20"/>
          <w:szCs w:val="20"/>
        </w:rPr>
        <w:t>нормативною</w:t>
      </w:r>
      <w:r w:rsidRPr="004D2D14">
        <w:rPr>
          <w:rFonts w:asciiTheme="majorHAnsi" w:hAnsiTheme="majorHAnsi"/>
          <w:sz w:val="20"/>
          <w:szCs w:val="20"/>
          <w:lang w:val="en-US"/>
        </w:rPr>
        <w:t xml:space="preserve"> </w:t>
      </w:r>
      <w:r w:rsidRPr="000977F7">
        <w:rPr>
          <w:rFonts w:asciiTheme="majorHAnsi" w:hAnsiTheme="majorHAnsi"/>
          <w:sz w:val="20"/>
          <w:szCs w:val="20"/>
        </w:rPr>
        <w:t>документацією</w:t>
      </w:r>
    </w:p>
    <w:p w14:paraId="39D4CA4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w:t>
      </w:r>
      <w:r w:rsidRPr="000977F7">
        <w:rPr>
          <w:rFonts w:asciiTheme="majorHAnsi" w:hAnsiTheme="majorHAnsi"/>
          <w:i/>
          <w:spacing w:val="-1"/>
          <w:sz w:val="20"/>
          <w:szCs w:val="20"/>
        </w:rPr>
        <w:t xml:space="preserve"> - </w:t>
      </w:r>
      <w:r w:rsidRPr="000977F7">
        <w:rPr>
          <w:rFonts w:asciiTheme="majorHAnsi" w:hAnsiTheme="majorHAnsi"/>
          <w:i/>
          <w:sz w:val="20"/>
          <w:szCs w:val="20"/>
        </w:rPr>
        <w:t>94</w:t>
      </w:r>
    </w:p>
    <w:p w14:paraId="3360241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СИСТЕМА</w:t>
      </w:r>
      <w:r w:rsidRPr="000977F7">
        <w:rPr>
          <w:color w:val="auto"/>
          <w:spacing w:val="-7"/>
          <w:sz w:val="20"/>
          <w:szCs w:val="20"/>
        </w:rPr>
        <w:t xml:space="preserve"> </w:t>
      </w:r>
      <w:r w:rsidRPr="000977F7">
        <w:rPr>
          <w:color w:val="auto"/>
          <w:sz w:val="20"/>
          <w:szCs w:val="20"/>
        </w:rPr>
        <w:t>ОДИНИЦЬ</w:t>
      </w:r>
      <w:r w:rsidRPr="000977F7">
        <w:rPr>
          <w:color w:val="auto"/>
          <w:spacing w:val="-6"/>
          <w:sz w:val="20"/>
          <w:szCs w:val="20"/>
        </w:rPr>
        <w:t xml:space="preserve"> </w:t>
      </w:r>
      <w:r w:rsidRPr="000977F7">
        <w:rPr>
          <w:color w:val="auto"/>
          <w:sz w:val="20"/>
          <w:szCs w:val="20"/>
        </w:rPr>
        <w:t>ФІЗИЧНИХ</w:t>
      </w:r>
    </w:p>
    <w:p w14:paraId="0A553F3B" w14:textId="77777777" w:rsidR="0097612F" w:rsidRPr="000977F7" w:rsidRDefault="0097612F" w:rsidP="000977F7">
      <w:pPr>
        <w:pStyle w:val="7"/>
        <w:tabs>
          <w:tab w:val="left" w:pos="284"/>
        </w:tabs>
        <w:spacing w:before="0" w:line="240" w:lineRule="auto"/>
        <w:ind w:left="170"/>
        <w:mirrorIndents/>
        <w:jc w:val="both"/>
        <w:rPr>
          <w:b w:val="0"/>
          <w:i/>
          <w:color w:val="auto"/>
          <w:sz w:val="20"/>
          <w:szCs w:val="20"/>
        </w:rPr>
      </w:pPr>
      <w:r w:rsidRPr="000977F7">
        <w:rPr>
          <w:color w:val="auto"/>
          <w:spacing w:val="-47"/>
          <w:sz w:val="20"/>
          <w:szCs w:val="20"/>
        </w:rPr>
        <w:t xml:space="preserve"> </w:t>
      </w:r>
      <w:r w:rsidRPr="000977F7">
        <w:rPr>
          <w:color w:val="auto"/>
          <w:sz w:val="20"/>
          <w:szCs w:val="20"/>
        </w:rPr>
        <w:t xml:space="preserve">ВЕЛИЧИН </w:t>
      </w:r>
      <w:r w:rsidRPr="000977F7">
        <w:rPr>
          <w:b w:val="0"/>
          <w:i/>
          <w:color w:val="auto"/>
          <w:sz w:val="20"/>
          <w:szCs w:val="20"/>
        </w:rPr>
        <w:t>–</w:t>
      </w:r>
    </w:p>
    <w:p w14:paraId="036768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SYSTEM</w:t>
      </w:r>
      <w:r w:rsidRPr="000977F7">
        <w:rPr>
          <w:rFonts w:asciiTheme="majorHAnsi" w:hAnsiTheme="majorHAnsi"/>
          <w:spacing w:val="-1"/>
          <w:sz w:val="20"/>
          <w:szCs w:val="20"/>
        </w:rPr>
        <w:t xml:space="preserve"> </w:t>
      </w:r>
      <w:r w:rsidRPr="000977F7">
        <w:rPr>
          <w:rFonts w:asciiTheme="majorHAnsi" w:hAnsiTheme="majorHAnsi"/>
          <w:sz w:val="20"/>
          <w:szCs w:val="20"/>
        </w:rPr>
        <w:t>OF</w:t>
      </w:r>
      <w:r w:rsidRPr="000977F7">
        <w:rPr>
          <w:rFonts w:asciiTheme="majorHAnsi" w:hAnsiTheme="majorHAnsi"/>
          <w:spacing w:val="-2"/>
          <w:sz w:val="20"/>
          <w:szCs w:val="20"/>
        </w:rPr>
        <w:t xml:space="preserve"> </w:t>
      </w:r>
      <w:r w:rsidRPr="000977F7">
        <w:rPr>
          <w:rFonts w:asciiTheme="majorHAnsi" w:hAnsiTheme="majorHAnsi"/>
          <w:sz w:val="20"/>
          <w:szCs w:val="20"/>
        </w:rPr>
        <w:t>UNITS</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129FE3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5"/>
          <w:sz w:val="20"/>
          <w:szCs w:val="20"/>
        </w:rPr>
        <w:t xml:space="preserve"> </w:t>
      </w:r>
      <w:r w:rsidRPr="000977F7">
        <w:rPr>
          <w:rFonts w:asciiTheme="majorHAnsi" w:hAnsiTheme="majorHAnsi"/>
          <w:sz w:val="20"/>
          <w:szCs w:val="20"/>
        </w:rPr>
        <w:t>одиниць</w:t>
      </w:r>
      <w:r w:rsidRPr="000977F7">
        <w:rPr>
          <w:rFonts w:asciiTheme="majorHAnsi" w:hAnsiTheme="majorHAnsi"/>
          <w:spacing w:val="-4"/>
          <w:sz w:val="20"/>
          <w:szCs w:val="20"/>
        </w:rPr>
        <w:t xml:space="preserve"> </w:t>
      </w:r>
      <w:r w:rsidRPr="000977F7">
        <w:rPr>
          <w:rFonts w:asciiTheme="majorHAnsi" w:hAnsiTheme="majorHAnsi"/>
          <w:sz w:val="20"/>
          <w:szCs w:val="20"/>
        </w:rPr>
        <w:t>певної</w:t>
      </w:r>
      <w:r w:rsidRPr="000977F7">
        <w:rPr>
          <w:rFonts w:asciiTheme="majorHAnsi" w:hAnsiTheme="majorHAnsi"/>
          <w:spacing w:val="-3"/>
          <w:sz w:val="20"/>
          <w:szCs w:val="20"/>
        </w:rPr>
        <w:t xml:space="preserve"> </w:t>
      </w:r>
      <w:r w:rsidRPr="000977F7">
        <w:rPr>
          <w:rFonts w:asciiTheme="majorHAnsi" w:hAnsiTheme="majorHAnsi"/>
          <w:sz w:val="20"/>
          <w:szCs w:val="20"/>
        </w:rPr>
        <w:t>системи</w:t>
      </w:r>
      <w:r w:rsidRPr="000977F7">
        <w:rPr>
          <w:rFonts w:asciiTheme="majorHAnsi" w:hAnsiTheme="majorHAnsi"/>
          <w:spacing w:val="-5"/>
          <w:sz w:val="20"/>
          <w:szCs w:val="20"/>
        </w:rPr>
        <w:t xml:space="preserve"> </w:t>
      </w:r>
      <w:r w:rsidRPr="000977F7">
        <w:rPr>
          <w:rFonts w:asciiTheme="majorHAnsi" w:hAnsiTheme="majorHAnsi"/>
          <w:sz w:val="20"/>
          <w:szCs w:val="20"/>
        </w:rPr>
        <w:t>фізичних</w:t>
      </w:r>
      <w:r w:rsidRPr="000977F7">
        <w:rPr>
          <w:rFonts w:asciiTheme="majorHAnsi" w:hAnsiTheme="majorHAnsi"/>
          <w:spacing w:val="-4"/>
          <w:sz w:val="20"/>
          <w:szCs w:val="20"/>
        </w:rPr>
        <w:t xml:space="preserve"> </w:t>
      </w:r>
      <w:r w:rsidRPr="000977F7">
        <w:rPr>
          <w:rFonts w:asciiTheme="majorHAnsi" w:hAnsiTheme="majorHAnsi"/>
          <w:sz w:val="20"/>
          <w:szCs w:val="20"/>
        </w:rPr>
        <w:t>величин</w:t>
      </w:r>
      <w:r w:rsidRPr="000977F7">
        <w:rPr>
          <w:rFonts w:asciiTheme="majorHAnsi" w:hAnsiTheme="majorHAnsi"/>
          <w:spacing w:val="-47"/>
          <w:sz w:val="20"/>
          <w:szCs w:val="20"/>
        </w:rPr>
        <w:t xml:space="preserve"> </w:t>
      </w: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л</w:t>
      </w:r>
      <w:r w:rsidRPr="000977F7">
        <w:rPr>
          <w:rFonts w:asciiTheme="majorHAnsi" w:hAnsiTheme="majorHAnsi"/>
          <w:spacing w:val="-1"/>
          <w:sz w:val="20"/>
          <w:szCs w:val="20"/>
        </w:rPr>
        <w:t xml:space="preserve"> </w:t>
      </w:r>
      <w:r w:rsidRPr="000977F7">
        <w:rPr>
          <w:rFonts w:asciiTheme="majorHAnsi" w:hAnsiTheme="majorHAnsi"/>
          <w:sz w:val="20"/>
          <w:szCs w:val="20"/>
        </w:rPr>
        <w:t>а д</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330B535C" w14:textId="77777777" w:rsidR="0097612F" w:rsidRPr="000977F7" w:rsidRDefault="0097612F" w:rsidP="00FD39A4">
      <w:pPr>
        <w:pStyle w:val="ac"/>
        <w:widowControl w:val="0"/>
        <w:numPr>
          <w:ilvl w:val="0"/>
          <w:numId w:val="85"/>
        </w:numPr>
        <w:tabs>
          <w:tab w:val="left" w:pos="284"/>
          <w:tab w:val="left" w:pos="800"/>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Міжнародна</w:t>
      </w:r>
      <w:r w:rsidRPr="000977F7">
        <w:rPr>
          <w:rFonts w:asciiTheme="majorHAnsi" w:hAnsiTheme="majorHAnsi"/>
          <w:spacing w:val="-5"/>
          <w:sz w:val="20"/>
          <w:szCs w:val="20"/>
        </w:rPr>
        <w:t xml:space="preserve"> </w:t>
      </w:r>
      <w:r w:rsidRPr="000977F7">
        <w:rPr>
          <w:rFonts w:asciiTheme="majorHAnsi" w:hAnsiTheme="majorHAnsi"/>
          <w:sz w:val="20"/>
          <w:szCs w:val="20"/>
        </w:rPr>
        <w:t>система</w:t>
      </w:r>
      <w:r w:rsidRPr="000977F7">
        <w:rPr>
          <w:rFonts w:asciiTheme="majorHAnsi" w:hAnsiTheme="majorHAnsi"/>
          <w:spacing w:val="-4"/>
          <w:sz w:val="20"/>
          <w:szCs w:val="20"/>
        </w:rPr>
        <w:t xml:space="preserve"> </w:t>
      </w:r>
      <w:r w:rsidRPr="000977F7">
        <w:rPr>
          <w:rFonts w:asciiTheme="majorHAnsi" w:hAnsiTheme="majorHAnsi"/>
          <w:sz w:val="20"/>
          <w:szCs w:val="20"/>
        </w:rPr>
        <w:t>одиниць</w:t>
      </w:r>
    </w:p>
    <w:p w14:paraId="5489CB29" w14:textId="77777777" w:rsidR="0097612F" w:rsidRPr="000977F7" w:rsidRDefault="0097612F" w:rsidP="00FD39A4">
      <w:pPr>
        <w:pStyle w:val="ac"/>
        <w:widowControl w:val="0"/>
        <w:numPr>
          <w:ilvl w:val="0"/>
          <w:numId w:val="85"/>
        </w:numPr>
        <w:tabs>
          <w:tab w:val="left" w:pos="284"/>
          <w:tab w:val="left" w:pos="800"/>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Система</w:t>
      </w:r>
      <w:r w:rsidRPr="000977F7">
        <w:rPr>
          <w:rFonts w:asciiTheme="majorHAnsi" w:hAnsiTheme="majorHAnsi"/>
          <w:spacing w:val="-4"/>
          <w:sz w:val="20"/>
          <w:szCs w:val="20"/>
        </w:rPr>
        <w:t xml:space="preserve"> </w:t>
      </w:r>
      <w:r w:rsidRPr="000977F7">
        <w:rPr>
          <w:rFonts w:asciiTheme="majorHAnsi" w:hAnsiTheme="majorHAnsi"/>
          <w:sz w:val="20"/>
          <w:szCs w:val="20"/>
        </w:rPr>
        <w:t>CGS</w:t>
      </w:r>
    </w:p>
    <w:p w14:paraId="4543BC7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2A1C92B" w14:textId="77777777" w:rsidR="0097612F" w:rsidRPr="000977F7" w:rsidRDefault="0097612F" w:rsidP="000977F7">
      <w:pPr>
        <w:pStyle w:val="7"/>
        <w:tabs>
          <w:tab w:val="left" w:pos="284"/>
        </w:tabs>
        <w:spacing w:before="0" w:line="240" w:lineRule="auto"/>
        <w:ind w:left="170"/>
        <w:mirrorIndents/>
        <w:jc w:val="both"/>
        <w:rPr>
          <w:color w:val="auto"/>
          <w:spacing w:val="-5"/>
          <w:sz w:val="20"/>
          <w:szCs w:val="20"/>
        </w:rPr>
      </w:pPr>
      <w:r w:rsidRPr="000977F7">
        <w:rPr>
          <w:color w:val="auto"/>
          <w:sz w:val="20"/>
          <w:szCs w:val="20"/>
        </w:rPr>
        <w:t>СИСТЕМА</w:t>
      </w:r>
      <w:r w:rsidRPr="000977F7">
        <w:rPr>
          <w:color w:val="auto"/>
          <w:spacing w:val="-7"/>
          <w:sz w:val="20"/>
          <w:szCs w:val="20"/>
        </w:rPr>
        <w:t xml:space="preserve"> </w:t>
      </w:r>
      <w:r w:rsidRPr="000977F7">
        <w:rPr>
          <w:color w:val="auto"/>
          <w:sz w:val="20"/>
          <w:szCs w:val="20"/>
        </w:rPr>
        <w:t>ОЦІНЮВАННЯ</w:t>
      </w:r>
      <w:r w:rsidRPr="000977F7">
        <w:rPr>
          <w:color w:val="auto"/>
          <w:spacing w:val="-5"/>
          <w:sz w:val="20"/>
          <w:szCs w:val="20"/>
        </w:rPr>
        <w:t xml:space="preserve"> </w:t>
      </w:r>
    </w:p>
    <w:p w14:paraId="23AF4958" w14:textId="77777777" w:rsidR="0097612F" w:rsidRPr="000977F7" w:rsidRDefault="0097612F" w:rsidP="000977F7">
      <w:pPr>
        <w:pStyle w:val="7"/>
        <w:tabs>
          <w:tab w:val="left" w:pos="284"/>
        </w:tabs>
        <w:spacing w:before="0" w:line="240" w:lineRule="auto"/>
        <w:ind w:left="170"/>
        <w:mirrorIndents/>
        <w:jc w:val="both"/>
        <w:rPr>
          <w:color w:val="auto"/>
          <w:spacing w:val="-47"/>
          <w:sz w:val="20"/>
          <w:szCs w:val="20"/>
        </w:rPr>
      </w:pPr>
      <w:r w:rsidRPr="000977F7">
        <w:rPr>
          <w:color w:val="auto"/>
          <w:sz w:val="20"/>
          <w:szCs w:val="20"/>
        </w:rPr>
        <w:t>ВІДПОВІДНОСТІ</w:t>
      </w:r>
      <w:r w:rsidRPr="000977F7">
        <w:rPr>
          <w:color w:val="auto"/>
          <w:spacing w:val="-7"/>
          <w:sz w:val="20"/>
          <w:szCs w:val="20"/>
        </w:rPr>
        <w:t xml:space="preserve"> </w:t>
      </w:r>
      <w:r w:rsidRPr="000977F7">
        <w:rPr>
          <w:color w:val="auto"/>
          <w:sz w:val="20"/>
          <w:szCs w:val="20"/>
        </w:rPr>
        <w:t>–</w:t>
      </w:r>
      <w:r w:rsidRPr="000977F7">
        <w:rPr>
          <w:color w:val="auto"/>
          <w:spacing w:val="-47"/>
          <w:sz w:val="20"/>
          <w:szCs w:val="20"/>
        </w:rPr>
        <w:t xml:space="preserve"> </w:t>
      </w:r>
    </w:p>
    <w:p w14:paraId="169D7CD4"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CONFORMITY ASSESWMENT</w:t>
      </w:r>
      <w:r w:rsidRPr="000977F7">
        <w:rPr>
          <w:b w:val="0"/>
          <w:bCs/>
          <w:color w:val="auto"/>
          <w:spacing w:val="-1"/>
          <w:sz w:val="20"/>
          <w:szCs w:val="20"/>
        </w:rPr>
        <w:t xml:space="preserve"> </w:t>
      </w:r>
      <w:r w:rsidRPr="000977F7">
        <w:rPr>
          <w:b w:val="0"/>
          <w:bCs/>
          <w:color w:val="auto"/>
          <w:sz w:val="20"/>
          <w:szCs w:val="20"/>
        </w:rPr>
        <w:t>SYSTEM –</w:t>
      </w:r>
    </w:p>
    <w:p w14:paraId="32CA8BE9"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Правила, процедури та управління для проведення оцінки відповідності</w:t>
      </w:r>
    </w:p>
    <w:p w14:paraId="1F663AA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bookmarkStart w:id="264" w:name="_Hlk103189703"/>
      <w:r w:rsidRPr="000977F7">
        <w:rPr>
          <w:rFonts w:asciiTheme="majorHAnsi" w:hAnsiTheme="majorHAnsi"/>
          <w:i/>
          <w:sz w:val="20"/>
          <w:szCs w:val="20"/>
        </w:rPr>
        <w:t>Ст. 1 закону України "Про технічні регламенти та оцінку відповідності"</w:t>
      </w:r>
    </w:p>
    <w:bookmarkEnd w:id="264"/>
    <w:p w14:paraId="2FE48C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Правила,</w:t>
      </w:r>
      <w:r w:rsidRPr="000977F7">
        <w:rPr>
          <w:rFonts w:asciiTheme="majorHAnsi" w:hAnsiTheme="majorHAnsi"/>
          <w:spacing w:val="1"/>
          <w:sz w:val="20"/>
          <w:szCs w:val="20"/>
        </w:rPr>
        <w:t xml:space="preserve"> </w:t>
      </w:r>
      <w:r w:rsidRPr="000977F7">
        <w:rPr>
          <w:rFonts w:asciiTheme="majorHAnsi" w:hAnsiTheme="majorHAnsi"/>
          <w:sz w:val="20"/>
          <w:szCs w:val="20"/>
        </w:rPr>
        <w:t>процедури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настанови</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1"/>
          <w:sz w:val="20"/>
          <w:szCs w:val="20"/>
        </w:rPr>
        <w:t xml:space="preserve"> </w:t>
      </w:r>
      <w:r w:rsidRPr="000977F7">
        <w:rPr>
          <w:rFonts w:asciiTheme="majorHAnsi" w:hAnsiTheme="majorHAnsi"/>
          <w:sz w:val="20"/>
          <w:szCs w:val="20"/>
        </w:rPr>
        <w:t>оцінювання</w:t>
      </w:r>
      <w:r w:rsidRPr="000977F7">
        <w:rPr>
          <w:rFonts w:asciiTheme="majorHAnsi" w:hAnsiTheme="majorHAnsi"/>
          <w:spacing w:val="-2"/>
          <w:sz w:val="20"/>
          <w:szCs w:val="20"/>
        </w:rPr>
        <w:t xml:space="preserve"> </w:t>
      </w:r>
      <w:r w:rsidRPr="000977F7">
        <w:rPr>
          <w:rFonts w:asciiTheme="majorHAnsi" w:hAnsiTheme="majorHAnsi"/>
          <w:sz w:val="20"/>
          <w:szCs w:val="20"/>
        </w:rPr>
        <w:t>відповідності</w:t>
      </w:r>
    </w:p>
    <w:p w14:paraId="6E0146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1EC75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Системи оцінювання відповідності можуть діяти на</w:t>
      </w:r>
      <w:r w:rsidRPr="000977F7">
        <w:rPr>
          <w:rFonts w:asciiTheme="majorHAnsi" w:hAnsiTheme="majorHAnsi"/>
          <w:spacing w:val="1"/>
          <w:sz w:val="20"/>
          <w:szCs w:val="20"/>
        </w:rPr>
        <w:t xml:space="preserve"> </w:t>
      </w:r>
      <w:r w:rsidRPr="000977F7">
        <w:rPr>
          <w:rFonts w:asciiTheme="majorHAnsi" w:hAnsiTheme="majorHAnsi"/>
          <w:sz w:val="20"/>
          <w:szCs w:val="20"/>
        </w:rPr>
        <w:t>міжнародному, регіональному, національному чи внутрішньо національному</w:t>
      </w:r>
      <w:r w:rsidRPr="000977F7">
        <w:rPr>
          <w:rFonts w:asciiTheme="majorHAnsi" w:hAnsiTheme="majorHAnsi"/>
          <w:spacing w:val="-5"/>
          <w:sz w:val="20"/>
          <w:szCs w:val="20"/>
        </w:rPr>
        <w:t xml:space="preserve"> </w:t>
      </w:r>
      <w:r w:rsidRPr="000977F7">
        <w:rPr>
          <w:rFonts w:asciiTheme="majorHAnsi" w:hAnsiTheme="majorHAnsi"/>
          <w:sz w:val="20"/>
          <w:szCs w:val="20"/>
        </w:rPr>
        <w:t>рівні</w:t>
      </w:r>
    </w:p>
    <w:p w14:paraId="2755058B"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pacing w:val="-7"/>
          <w:w w:val="95"/>
          <w:sz w:val="20"/>
          <w:szCs w:val="20"/>
        </w:rPr>
        <w:t>ДСТУ ISO/IEC</w:t>
      </w:r>
      <w:r w:rsidRPr="000977F7">
        <w:rPr>
          <w:b w:val="0"/>
          <w:bCs/>
          <w:i/>
          <w:iCs w:val="0"/>
          <w:color w:val="auto"/>
          <w:spacing w:val="-25"/>
          <w:w w:val="95"/>
          <w:sz w:val="20"/>
          <w:szCs w:val="20"/>
        </w:rPr>
        <w:t xml:space="preserve"> </w:t>
      </w:r>
      <w:r w:rsidRPr="000977F7">
        <w:rPr>
          <w:b w:val="0"/>
          <w:bCs/>
          <w:i/>
          <w:iCs w:val="0"/>
          <w:color w:val="auto"/>
          <w:spacing w:val="-6"/>
          <w:w w:val="95"/>
          <w:sz w:val="20"/>
          <w:szCs w:val="20"/>
        </w:rPr>
        <w:t>17000:2007</w:t>
      </w:r>
    </w:p>
    <w:p w14:paraId="03C26796"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СИСТЕМА</w:t>
      </w:r>
      <w:r w:rsidRPr="000977F7">
        <w:rPr>
          <w:rFonts w:asciiTheme="majorHAnsi" w:hAnsiTheme="majorHAnsi"/>
          <w:b/>
          <w:spacing w:val="-8"/>
          <w:sz w:val="20"/>
          <w:szCs w:val="20"/>
        </w:rPr>
        <w:t xml:space="preserve"> </w:t>
      </w:r>
      <w:r w:rsidRPr="000977F7">
        <w:rPr>
          <w:rFonts w:asciiTheme="majorHAnsi" w:hAnsiTheme="majorHAnsi"/>
          <w:b/>
          <w:sz w:val="20"/>
          <w:szCs w:val="20"/>
        </w:rPr>
        <w:t>(ПРИСТРІЙ,</w:t>
      </w:r>
      <w:r w:rsidRPr="000977F7">
        <w:rPr>
          <w:rFonts w:asciiTheme="majorHAnsi" w:hAnsiTheme="majorHAnsi"/>
          <w:b/>
          <w:spacing w:val="-7"/>
          <w:sz w:val="20"/>
          <w:szCs w:val="20"/>
        </w:rPr>
        <w:t xml:space="preserve"> </w:t>
      </w:r>
      <w:r w:rsidRPr="000977F7">
        <w:rPr>
          <w:rFonts w:asciiTheme="majorHAnsi" w:hAnsiTheme="majorHAnsi"/>
          <w:b/>
          <w:sz w:val="20"/>
          <w:szCs w:val="20"/>
        </w:rPr>
        <w:t xml:space="preserve">ЕЛЕМЕНТ) </w:t>
      </w:r>
      <w:r w:rsidRPr="000977F7">
        <w:rPr>
          <w:rFonts w:asciiTheme="majorHAnsi" w:hAnsiTheme="majorHAnsi"/>
          <w:b/>
          <w:spacing w:val="-47"/>
          <w:sz w:val="20"/>
          <w:szCs w:val="20"/>
        </w:rPr>
        <w:t xml:space="preserve"> </w:t>
      </w:r>
    </w:p>
    <w:p w14:paraId="540CA0E9"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БЕЗПЕКИ –</w:t>
      </w:r>
    </w:p>
    <w:p w14:paraId="0385E61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(пристрій, елемент) призначені для виконання функцій безпеки, які за характером виконуваних ними функцій поділяються на захисні, локалізуючи, забезпечуючи та керуючи</w:t>
      </w:r>
    </w:p>
    <w:p w14:paraId="42D7980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2156 - 93</w:t>
      </w:r>
    </w:p>
    <w:p w14:paraId="63EF2DE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СИСТЕМА</w:t>
      </w:r>
      <w:r w:rsidRPr="000977F7">
        <w:rPr>
          <w:color w:val="auto"/>
          <w:spacing w:val="1"/>
          <w:sz w:val="20"/>
          <w:szCs w:val="20"/>
        </w:rPr>
        <w:t xml:space="preserve"> </w:t>
      </w:r>
      <w:r w:rsidRPr="000977F7">
        <w:rPr>
          <w:color w:val="auto"/>
          <w:sz w:val="20"/>
          <w:szCs w:val="20"/>
        </w:rPr>
        <w:t>(ПРИСТРІЙ,</w:t>
      </w:r>
      <w:r w:rsidRPr="000977F7">
        <w:rPr>
          <w:color w:val="auto"/>
          <w:spacing w:val="1"/>
          <w:sz w:val="20"/>
          <w:szCs w:val="20"/>
        </w:rPr>
        <w:t xml:space="preserve"> </w:t>
      </w:r>
      <w:r w:rsidRPr="000977F7">
        <w:rPr>
          <w:color w:val="auto"/>
          <w:sz w:val="20"/>
          <w:szCs w:val="20"/>
        </w:rPr>
        <w:t>ЕЛЕМЕНТ)</w:t>
      </w:r>
      <w:r w:rsidRPr="000977F7">
        <w:rPr>
          <w:color w:val="auto"/>
          <w:spacing w:val="1"/>
          <w:sz w:val="20"/>
          <w:szCs w:val="20"/>
        </w:rPr>
        <w:t xml:space="preserve"> </w:t>
      </w:r>
      <w:r w:rsidRPr="000977F7">
        <w:rPr>
          <w:color w:val="auto"/>
          <w:sz w:val="20"/>
          <w:szCs w:val="20"/>
        </w:rPr>
        <w:t>ВАЖЛИВА</w:t>
      </w:r>
      <w:r w:rsidRPr="000977F7">
        <w:rPr>
          <w:color w:val="auto"/>
          <w:spacing w:val="-48"/>
          <w:sz w:val="20"/>
          <w:szCs w:val="20"/>
        </w:rPr>
        <w:t xml:space="preserve"> </w:t>
      </w:r>
      <w:r w:rsidRPr="000977F7">
        <w:rPr>
          <w:color w:val="auto"/>
          <w:sz w:val="20"/>
          <w:szCs w:val="20"/>
        </w:rPr>
        <w:t>ДЛЯ</w:t>
      </w:r>
      <w:r w:rsidRPr="000977F7">
        <w:rPr>
          <w:color w:val="auto"/>
          <w:spacing w:val="-1"/>
          <w:sz w:val="20"/>
          <w:szCs w:val="20"/>
        </w:rPr>
        <w:t xml:space="preserve"> </w:t>
      </w:r>
      <w:r w:rsidRPr="000977F7">
        <w:rPr>
          <w:color w:val="auto"/>
          <w:sz w:val="20"/>
          <w:szCs w:val="20"/>
        </w:rPr>
        <w:t>БЕЗПЕКИ</w:t>
      </w:r>
      <w:r w:rsidRPr="000977F7">
        <w:rPr>
          <w:color w:val="auto"/>
          <w:spacing w:val="1"/>
          <w:sz w:val="20"/>
          <w:szCs w:val="20"/>
        </w:rPr>
        <w:t xml:space="preserve"> </w:t>
      </w:r>
      <w:r w:rsidRPr="000977F7">
        <w:rPr>
          <w:color w:val="auto"/>
          <w:sz w:val="20"/>
          <w:szCs w:val="20"/>
        </w:rPr>
        <w:t>–</w:t>
      </w:r>
    </w:p>
    <w:p w14:paraId="69C226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(пристрій, елемент) безпеки, а також система</w:t>
      </w:r>
      <w:r w:rsidRPr="000977F7">
        <w:rPr>
          <w:rFonts w:asciiTheme="majorHAnsi" w:hAnsiTheme="majorHAnsi"/>
          <w:spacing w:val="-47"/>
          <w:sz w:val="20"/>
          <w:szCs w:val="20"/>
        </w:rPr>
        <w:t xml:space="preserve"> </w:t>
      </w:r>
      <w:r w:rsidRPr="000977F7">
        <w:rPr>
          <w:rFonts w:asciiTheme="majorHAnsi" w:hAnsiTheme="majorHAnsi"/>
          <w:sz w:val="20"/>
          <w:szCs w:val="20"/>
        </w:rPr>
        <w:t>(пристрій,</w:t>
      </w:r>
      <w:r w:rsidRPr="000977F7">
        <w:rPr>
          <w:rFonts w:asciiTheme="majorHAnsi" w:hAnsiTheme="majorHAnsi"/>
          <w:spacing w:val="16"/>
          <w:sz w:val="20"/>
          <w:szCs w:val="20"/>
        </w:rPr>
        <w:t xml:space="preserve"> </w:t>
      </w:r>
      <w:r w:rsidRPr="000977F7">
        <w:rPr>
          <w:rFonts w:asciiTheme="majorHAnsi" w:hAnsiTheme="majorHAnsi"/>
          <w:sz w:val="20"/>
          <w:szCs w:val="20"/>
        </w:rPr>
        <w:t>елемент)</w:t>
      </w:r>
      <w:r w:rsidRPr="000977F7">
        <w:rPr>
          <w:rFonts w:asciiTheme="majorHAnsi" w:hAnsiTheme="majorHAnsi"/>
          <w:spacing w:val="19"/>
          <w:sz w:val="20"/>
          <w:szCs w:val="20"/>
        </w:rPr>
        <w:t xml:space="preserve"> </w:t>
      </w:r>
      <w:r w:rsidRPr="000977F7">
        <w:rPr>
          <w:rFonts w:asciiTheme="majorHAnsi" w:hAnsiTheme="majorHAnsi"/>
          <w:sz w:val="20"/>
          <w:szCs w:val="20"/>
        </w:rPr>
        <w:t>нормальної</w:t>
      </w:r>
      <w:r w:rsidRPr="000977F7">
        <w:rPr>
          <w:rFonts w:asciiTheme="majorHAnsi" w:hAnsiTheme="majorHAnsi"/>
          <w:spacing w:val="16"/>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16"/>
          <w:sz w:val="20"/>
          <w:szCs w:val="20"/>
        </w:rPr>
        <w:t xml:space="preserve"> </w:t>
      </w:r>
      <w:r w:rsidRPr="000977F7">
        <w:rPr>
          <w:rFonts w:asciiTheme="majorHAnsi" w:hAnsiTheme="majorHAnsi"/>
          <w:sz w:val="20"/>
          <w:szCs w:val="20"/>
        </w:rPr>
        <w:t>відмови яких порушують нормальну експлуатацію потенційно</w:t>
      </w:r>
      <w:r w:rsidRPr="000977F7">
        <w:rPr>
          <w:rFonts w:asciiTheme="majorHAnsi" w:hAnsiTheme="majorHAnsi"/>
          <w:spacing w:val="1"/>
          <w:sz w:val="20"/>
          <w:szCs w:val="20"/>
        </w:rPr>
        <w:t xml:space="preserve"> </w:t>
      </w:r>
      <w:r w:rsidRPr="000977F7">
        <w:rPr>
          <w:rFonts w:asciiTheme="majorHAnsi" w:hAnsiTheme="majorHAnsi"/>
          <w:sz w:val="20"/>
          <w:szCs w:val="20"/>
        </w:rPr>
        <w:t>небезпечного об’єкта і можуть призвести до проектних</w:t>
      </w:r>
      <w:r w:rsidRPr="000977F7">
        <w:rPr>
          <w:rFonts w:asciiTheme="majorHAnsi" w:hAnsiTheme="majorHAnsi"/>
          <w:spacing w:val="-2"/>
          <w:sz w:val="20"/>
          <w:szCs w:val="20"/>
        </w:rPr>
        <w:t xml:space="preserve"> </w:t>
      </w:r>
      <w:r w:rsidRPr="000977F7">
        <w:rPr>
          <w:rFonts w:asciiTheme="majorHAnsi" w:hAnsiTheme="majorHAnsi"/>
          <w:sz w:val="20"/>
          <w:szCs w:val="20"/>
        </w:rPr>
        <w:t>та запроектних</w:t>
      </w:r>
      <w:r w:rsidRPr="000977F7">
        <w:rPr>
          <w:rFonts w:asciiTheme="majorHAnsi" w:hAnsiTheme="majorHAnsi"/>
          <w:spacing w:val="-1"/>
          <w:sz w:val="20"/>
          <w:szCs w:val="20"/>
        </w:rPr>
        <w:t xml:space="preserve"> </w:t>
      </w:r>
      <w:r w:rsidRPr="000977F7">
        <w:rPr>
          <w:rFonts w:asciiTheme="majorHAnsi" w:hAnsiTheme="majorHAnsi"/>
          <w:sz w:val="20"/>
          <w:szCs w:val="20"/>
        </w:rPr>
        <w:t>аварій</w:t>
      </w:r>
    </w:p>
    <w:p w14:paraId="584366A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2156 - 93</w:t>
      </w:r>
    </w:p>
    <w:p w14:paraId="2CC708D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СИСТЕМА</w:t>
      </w:r>
      <w:r w:rsidRPr="000977F7">
        <w:rPr>
          <w:color w:val="auto"/>
          <w:spacing w:val="-4"/>
          <w:sz w:val="20"/>
          <w:szCs w:val="20"/>
        </w:rPr>
        <w:t xml:space="preserve"> </w:t>
      </w:r>
      <w:r w:rsidRPr="000977F7">
        <w:rPr>
          <w:color w:val="auto"/>
          <w:sz w:val="20"/>
          <w:szCs w:val="20"/>
        </w:rPr>
        <w:t>СЕРТИФІКАЦІЇ</w:t>
      </w:r>
      <w:r w:rsidRPr="000977F7">
        <w:rPr>
          <w:color w:val="auto"/>
          <w:spacing w:val="-3"/>
          <w:sz w:val="20"/>
          <w:szCs w:val="20"/>
        </w:rPr>
        <w:t xml:space="preserve"> </w:t>
      </w:r>
      <w:r w:rsidRPr="000977F7">
        <w:rPr>
          <w:color w:val="auto"/>
          <w:sz w:val="20"/>
          <w:szCs w:val="20"/>
        </w:rPr>
        <w:t>–</w:t>
      </w:r>
    </w:p>
    <w:p w14:paraId="6AAADB9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SERTIFICATION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SYSTEM</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37B75E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яка має в своєму розпорядженні власні правила процедур і управління для проведення сертифікації</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p>
    <w:p w14:paraId="10C2F0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39"/>
          <w:sz w:val="20"/>
          <w:szCs w:val="20"/>
        </w:rPr>
        <w:t xml:space="preserve"> </w:t>
      </w:r>
      <w:r w:rsidRPr="000977F7">
        <w:rPr>
          <w:rFonts w:asciiTheme="majorHAnsi" w:hAnsiTheme="majorHAnsi"/>
          <w:sz w:val="20"/>
          <w:szCs w:val="20"/>
        </w:rPr>
        <w:t>р</w:t>
      </w:r>
      <w:r w:rsidRPr="000977F7">
        <w:rPr>
          <w:rFonts w:asciiTheme="majorHAnsi" w:hAnsiTheme="majorHAnsi"/>
          <w:spacing w:val="43"/>
          <w:sz w:val="20"/>
          <w:szCs w:val="20"/>
        </w:rPr>
        <w:t xml:space="preserve"> </w:t>
      </w:r>
      <w:r w:rsidRPr="000977F7">
        <w:rPr>
          <w:rFonts w:asciiTheme="majorHAnsi" w:hAnsiTheme="majorHAnsi"/>
          <w:sz w:val="20"/>
          <w:szCs w:val="20"/>
        </w:rPr>
        <w:t>и</w:t>
      </w:r>
      <w:r w:rsidRPr="000977F7">
        <w:rPr>
          <w:rFonts w:asciiTheme="majorHAnsi" w:hAnsiTheme="majorHAnsi"/>
          <w:spacing w:val="39"/>
          <w:sz w:val="20"/>
          <w:szCs w:val="20"/>
        </w:rPr>
        <w:t xml:space="preserve"> </w:t>
      </w:r>
      <w:r w:rsidRPr="000977F7">
        <w:rPr>
          <w:rFonts w:asciiTheme="majorHAnsi" w:hAnsiTheme="majorHAnsi"/>
          <w:sz w:val="20"/>
          <w:szCs w:val="20"/>
        </w:rPr>
        <w:t>м</w:t>
      </w:r>
      <w:r w:rsidRPr="000977F7">
        <w:rPr>
          <w:rFonts w:asciiTheme="majorHAnsi" w:hAnsiTheme="majorHAnsi"/>
          <w:spacing w:val="43"/>
          <w:sz w:val="20"/>
          <w:szCs w:val="20"/>
        </w:rPr>
        <w:t xml:space="preserve"> </w:t>
      </w:r>
      <w:r w:rsidRPr="000977F7">
        <w:rPr>
          <w:rFonts w:asciiTheme="majorHAnsi" w:hAnsiTheme="majorHAnsi"/>
          <w:sz w:val="20"/>
          <w:szCs w:val="20"/>
        </w:rPr>
        <w:t>і</w:t>
      </w:r>
      <w:r w:rsidRPr="000977F7">
        <w:rPr>
          <w:rFonts w:asciiTheme="majorHAnsi" w:hAnsiTheme="majorHAnsi"/>
          <w:spacing w:val="42"/>
          <w:sz w:val="20"/>
          <w:szCs w:val="20"/>
        </w:rPr>
        <w:t xml:space="preserve"> </w:t>
      </w:r>
      <w:r w:rsidRPr="000977F7">
        <w:rPr>
          <w:rFonts w:asciiTheme="majorHAnsi" w:hAnsiTheme="majorHAnsi"/>
          <w:sz w:val="20"/>
          <w:szCs w:val="20"/>
        </w:rPr>
        <w:t>т</w:t>
      </w:r>
      <w:r w:rsidRPr="000977F7">
        <w:rPr>
          <w:rFonts w:asciiTheme="majorHAnsi" w:hAnsiTheme="majorHAnsi"/>
          <w:spacing w:val="42"/>
          <w:sz w:val="20"/>
          <w:szCs w:val="20"/>
        </w:rPr>
        <w:t xml:space="preserve"> </w:t>
      </w:r>
      <w:r w:rsidRPr="000977F7">
        <w:rPr>
          <w:rFonts w:asciiTheme="majorHAnsi" w:hAnsiTheme="majorHAnsi"/>
          <w:sz w:val="20"/>
          <w:szCs w:val="20"/>
        </w:rPr>
        <w:t>к</w:t>
      </w:r>
      <w:r w:rsidRPr="000977F7">
        <w:rPr>
          <w:rFonts w:asciiTheme="majorHAnsi" w:hAnsiTheme="majorHAnsi"/>
          <w:spacing w:val="41"/>
          <w:sz w:val="20"/>
          <w:szCs w:val="20"/>
        </w:rPr>
        <w:t xml:space="preserve"> </w:t>
      </w:r>
      <w:r w:rsidRPr="000977F7">
        <w:rPr>
          <w:rFonts w:asciiTheme="majorHAnsi" w:hAnsiTheme="majorHAnsi"/>
          <w:sz w:val="20"/>
          <w:szCs w:val="20"/>
        </w:rPr>
        <w:t>и:</w:t>
      </w:r>
    </w:p>
    <w:p w14:paraId="21844B35" w14:textId="77777777" w:rsidR="0097612F" w:rsidRPr="000977F7" w:rsidRDefault="0097612F" w:rsidP="00FD39A4">
      <w:pPr>
        <w:pStyle w:val="ac"/>
        <w:widowControl w:val="0"/>
        <w:numPr>
          <w:ilvl w:val="0"/>
          <w:numId w:val="84"/>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сертифікації</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діяти,</w:t>
      </w:r>
      <w:r w:rsidRPr="000977F7">
        <w:rPr>
          <w:rFonts w:asciiTheme="majorHAnsi" w:hAnsiTheme="majorHAnsi"/>
          <w:spacing w:val="50"/>
          <w:sz w:val="20"/>
          <w:szCs w:val="20"/>
        </w:rPr>
        <w:t xml:space="preserve"> </w:t>
      </w:r>
      <w:r w:rsidRPr="000977F7">
        <w:rPr>
          <w:rFonts w:asciiTheme="majorHAnsi" w:hAnsiTheme="majorHAnsi"/>
          <w:sz w:val="20"/>
          <w:szCs w:val="20"/>
        </w:rPr>
        <w:t>наприклад,</w:t>
      </w:r>
      <w:r w:rsidRPr="000977F7">
        <w:rPr>
          <w:rFonts w:asciiTheme="majorHAnsi" w:hAnsiTheme="majorHAnsi"/>
          <w:spacing w:val="-47"/>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національному,</w:t>
      </w:r>
      <w:r w:rsidRPr="000977F7">
        <w:rPr>
          <w:rFonts w:asciiTheme="majorHAnsi" w:hAnsiTheme="majorHAnsi"/>
          <w:spacing w:val="1"/>
          <w:sz w:val="20"/>
          <w:szCs w:val="20"/>
        </w:rPr>
        <w:t xml:space="preserve"> </w:t>
      </w:r>
      <w:r w:rsidRPr="000977F7">
        <w:rPr>
          <w:rFonts w:asciiTheme="majorHAnsi" w:hAnsiTheme="majorHAnsi"/>
          <w:sz w:val="20"/>
          <w:szCs w:val="20"/>
        </w:rPr>
        <w:t>регіональному</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міжнародному</w:t>
      </w:r>
      <w:r w:rsidRPr="000977F7">
        <w:rPr>
          <w:rFonts w:asciiTheme="majorHAnsi" w:hAnsiTheme="majorHAnsi"/>
          <w:spacing w:val="-5"/>
          <w:sz w:val="20"/>
          <w:szCs w:val="20"/>
        </w:rPr>
        <w:t xml:space="preserve"> </w:t>
      </w:r>
      <w:r w:rsidRPr="000977F7">
        <w:rPr>
          <w:rFonts w:asciiTheme="majorHAnsi" w:hAnsiTheme="majorHAnsi"/>
          <w:sz w:val="20"/>
          <w:szCs w:val="20"/>
        </w:rPr>
        <w:t>рівнях</w:t>
      </w:r>
    </w:p>
    <w:p w14:paraId="6B4602D3" w14:textId="77777777" w:rsidR="0097612F" w:rsidRPr="000977F7" w:rsidRDefault="0097612F" w:rsidP="00FD39A4">
      <w:pPr>
        <w:pStyle w:val="ac"/>
        <w:widowControl w:val="0"/>
        <w:numPr>
          <w:ilvl w:val="0"/>
          <w:numId w:val="84"/>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Центральний орган, який керує системою сертифікації та здійснює нагляд за цією системою, може передавати свої повноваження щодо діяльності із сертифікації та право на сертифікацію відповідності</w:t>
      </w:r>
    </w:p>
    <w:p w14:paraId="77E738E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СИСТЕМА СЕРТИФІКАЦІЇ ОДНОРІДНОЇ ПРОДУКЦІЇ</w:t>
      </w:r>
      <w:r w:rsidRPr="000977F7">
        <w:rPr>
          <w:rFonts w:asciiTheme="majorHAnsi" w:hAnsiTheme="majorHAnsi"/>
          <w:b/>
          <w:spacing w:val="-2"/>
          <w:sz w:val="20"/>
          <w:szCs w:val="20"/>
        </w:rPr>
        <w:t xml:space="preserve"> </w:t>
      </w:r>
      <w:r w:rsidRPr="000977F7">
        <w:rPr>
          <w:rFonts w:asciiTheme="majorHAnsi" w:hAnsiTheme="majorHAnsi"/>
          <w:b/>
          <w:sz w:val="20"/>
          <w:szCs w:val="20"/>
        </w:rPr>
        <w:t>(ПРОЦЕСІВ, ПОСЛУГ)</w:t>
      </w:r>
      <w:r w:rsidRPr="000977F7">
        <w:rPr>
          <w:rFonts w:asciiTheme="majorHAnsi" w:hAnsiTheme="majorHAnsi"/>
          <w:b/>
          <w:spacing w:val="4"/>
          <w:sz w:val="20"/>
          <w:szCs w:val="20"/>
        </w:rPr>
        <w:t xml:space="preserve"> </w:t>
      </w:r>
      <w:r w:rsidRPr="000977F7">
        <w:rPr>
          <w:rFonts w:asciiTheme="majorHAnsi" w:hAnsiTheme="majorHAnsi"/>
          <w:b/>
          <w:sz w:val="20"/>
          <w:szCs w:val="20"/>
        </w:rPr>
        <w:t>–</w:t>
      </w:r>
      <w:r w:rsidRPr="000977F7">
        <w:rPr>
          <w:rFonts w:asciiTheme="majorHAnsi" w:hAnsiTheme="majorHAnsi"/>
          <w:sz w:val="20"/>
          <w:szCs w:val="20"/>
        </w:rPr>
        <w:t>SERTIFICATION</w:t>
      </w:r>
      <w:r w:rsidRPr="000977F7">
        <w:rPr>
          <w:rFonts w:asciiTheme="majorHAnsi" w:hAnsiTheme="majorHAnsi"/>
          <w:spacing w:val="-1"/>
          <w:sz w:val="20"/>
          <w:szCs w:val="20"/>
        </w:rPr>
        <w:t xml:space="preserve"> </w:t>
      </w:r>
      <w:r w:rsidRPr="000977F7">
        <w:rPr>
          <w:rFonts w:asciiTheme="majorHAnsi" w:hAnsiTheme="majorHAnsi"/>
          <w:sz w:val="20"/>
          <w:szCs w:val="20"/>
        </w:rPr>
        <w:t>SCHEME</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7C80126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сертифікації, що стосується певної продукції,</w:t>
      </w:r>
      <w:r w:rsidRPr="000977F7">
        <w:rPr>
          <w:rFonts w:asciiTheme="majorHAnsi" w:hAnsiTheme="majorHAnsi"/>
          <w:spacing w:val="-47"/>
          <w:sz w:val="20"/>
          <w:szCs w:val="20"/>
        </w:rPr>
        <w:t xml:space="preserve"> </w:t>
      </w:r>
      <w:r w:rsidRPr="000977F7">
        <w:rPr>
          <w:rFonts w:asciiTheme="majorHAnsi" w:hAnsiTheme="majorHAnsi"/>
          <w:sz w:val="20"/>
          <w:szCs w:val="20"/>
        </w:rPr>
        <w:t>процесів</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яких</w:t>
      </w:r>
      <w:r w:rsidRPr="000977F7">
        <w:rPr>
          <w:rFonts w:asciiTheme="majorHAnsi" w:hAnsiTheme="majorHAnsi"/>
          <w:spacing w:val="1"/>
          <w:sz w:val="20"/>
          <w:szCs w:val="20"/>
        </w:rPr>
        <w:t xml:space="preserve"> </w:t>
      </w:r>
      <w:r w:rsidRPr="000977F7">
        <w:rPr>
          <w:rFonts w:asciiTheme="majorHAnsi" w:hAnsiTheme="majorHAnsi"/>
          <w:sz w:val="20"/>
          <w:szCs w:val="20"/>
        </w:rPr>
        <w:t>застосовуються</w:t>
      </w:r>
      <w:r w:rsidRPr="000977F7">
        <w:rPr>
          <w:rFonts w:asciiTheme="majorHAnsi" w:hAnsiTheme="majorHAnsi"/>
          <w:spacing w:val="50"/>
          <w:sz w:val="20"/>
          <w:szCs w:val="20"/>
        </w:rPr>
        <w:t xml:space="preserve"> </w:t>
      </w:r>
      <w:r w:rsidRPr="000977F7">
        <w:rPr>
          <w:rFonts w:asciiTheme="majorHAnsi" w:hAnsiTheme="majorHAnsi"/>
          <w:sz w:val="20"/>
          <w:szCs w:val="20"/>
        </w:rPr>
        <w:t>такі</w:t>
      </w:r>
      <w:r w:rsidRPr="000977F7">
        <w:rPr>
          <w:rFonts w:asciiTheme="majorHAnsi" w:hAnsiTheme="majorHAnsi"/>
          <w:spacing w:val="1"/>
          <w:sz w:val="20"/>
          <w:szCs w:val="20"/>
        </w:rPr>
        <w:t xml:space="preserve"> </w:t>
      </w:r>
      <w:r w:rsidRPr="000977F7">
        <w:rPr>
          <w:rFonts w:asciiTheme="majorHAnsi" w:hAnsiTheme="majorHAnsi"/>
          <w:sz w:val="20"/>
          <w:szCs w:val="20"/>
        </w:rPr>
        <w:t>самі конкретні стандарти та правила й така сама процедура</w:t>
      </w:r>
    </w:p>
    <w:p w14:paraId="584EAA5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СИСТЕМА</w:t>
      </w:r>
      <w:r w:rsidRPr="000977F7">
        <w:rPr>
          <w:color w:val="auto"/>
          <w:spacing w:val="-5"/>
          <w:sz w:val="20"/>
          <w:szCs w:val="20"/>
        </w:rPr>
        <w:t xml:space="preserve"> </w:t>
      </w:r>
      <w:r w:rsidRPr="000977F7">
        <w:rPr>
          <w:color w:val="auto"/>
          <w:sz w:val="20"/>
          <w:szCs w:val="20"/>
        </w:rPr>
        <w:t>ТЕХНІЧНОГО</w:t>
      </w:r>
      <w:r w:rsidRPr="000977F7">
        <w:rPr>
          <w:color w:val="auto"/>
          <w:spacing w:val="-4"/>
          <w:sz w:val="20"/>
          <w:szCs w:val="20"/>
        </w:rPr>
        <w:t xml:space="preserve"> </w:t>
      </w:r>
      <w:r w:rsidRPr="000977F7">
        <w:rPr>
          <w:color w:val="auto"/>
          <w:sz w:val="20"/>
          <w:szCs w:val="20"/>
        </w:rPr>
        <w:t>ДІАГНОСТУВАННЯ</w:t>
      </w:r>
      <w:r w:rsidRPr="000977F7">
        <w:rPr>
          <w:color w:val="auto"/>
          <w:spacing w:val="-1"/>
          <w:sz w:val="20"/>
          <w:szCs w:val="20"/>
        </w:rPr>
        <w:t xml:space="preserve"> </w:t>
      </w:r>
      <w:r w:rsidRPr="000977F7">
        <w:rPr>
          <w:color w:val="auto"/>
          <w:sz w:val="20"/>
          <w:szCs w:val="20"/>
        </w:rPr>
        <w:t>–</w:t>
      </w:r>
    </w:p>
    <w:p w14:paraId="5CE9E35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TEST</w:t>
      </w:r>
      <w:r w:rsidRPr="000977F7">
        <w:rPr>
          <w:rFonts w:asciiTheme="majorHAnsi" w:hAnsiTheme="majorHAnsi"/>
          <w:spacing w:val="1"/>
          <w:sz w:val="20"/>
          <w:szCs w:val="20"/>
        </w:rPr>
        <w:t xml:space="preserve"> </w:t>
      </w:r>
      <w:r w:rsidRPr="000977F7">
        <w:rPr>
          <w:rFonts w:asciiTheme="majorHAnsi" w:hAnsiTheme="majorHAnsi"/>
          <w:sz w:val="20"/>
          <w:szCs w:val="20"/>
        </w:rPr>
        <w:t>SYSTEM</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13C32D4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засобів, об’єкта та виконавців, необхідна</w:t>
      </w:r>
      <w:r w:rsidRPr="000977F7">
        <w:rPr>
          <w:rFonts w:asciiTheme="majorHAnsi" w:hAnsiTheme="majorHAnsi"/>
          <w:spacing w:val="1"/>
          <w:sz w:val="20"/>
          <w:szCs w:val="20"/>
        </w:rPr>
        <w:t xml:space="preserve"> </w:t>
      </w:r>
      <w:r w:rsidRPr="000977F7">
        <w:rPr>
          <w:rFonts w:asciiTheme="majorHAnsi" w:hAnsiTheme="majorHAnsi"/>
          <w:sz w:val="20"/>
          <w:szCs w:val="20"/>
        </w:rPr>
        <w:t>для проведення діагностування за правилами, встановленими технічною документацією</w:t>
      </w:r>
    </w:p>
    <w:p w14:paraId="41AC471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92F4E5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СИСТЕМА</w:t>
      </w:r>
      <w:r w:rsidRPr="000977F7">
        <w:rPr>
          <w:color w:val="auto"/>
          <w:spacing w:val="5"/>
          <w:sz w:val="20"/>
          <w:szCs w:val="20"/>
        </w:rPr>
        <w:t xml:space="preserve"> </w:t>
      </w:r>
      <w:r w:rsidRPr="000977F7">
        <w:rPr>
          <w:color w:val="auto"/>
          <w:sz w:val="20"/>
          <w:szCs w:val="20"/>
        </w:rPr>
        <w:t>ТЕХНІЧНОГО</w:t>
      </w:r>
      <w:r w:rsidRPr="000977F7">
        <w:rPr>
          <w:color w:val="auto"/>
          <w:spacing w:val="54"/>
          <w:sz w:val="20"/>
          <w:szCs w:val="20"/>
        </w:rPr>
        <w:t xml:space="preserve"> </w:t>
      </w:r>
      <w:r w:rsidRPr="000977F7">
        <w:rPr>
          <w:color w:val="auto"/>
          <w:sz w:val="20"/>
          <w:szCs w:val="20"/>
        </w:rPr>
        <w:t>ОБСЛУГОВУВАННЯ</w:t>
      </w:r>
      <w:r w:rsidRPr="000977F7">
        <w:rPr>
          <w:color w:val="auto"/>
          <w:spacing w:val="-47"/>
          <w:sz w:val="20"/>
          <w:szCs w:val="20"/>
        </w:rPr>
        <w:t xml:space="preserve"> </w:t>
      </w:r>
      <w:r w:rsidRPr="000977F7">
        <w:rPr>
          <w:color w:val="auto"/>
          <w:sz w:val="20"/>
          <w:szCs w:val="20"/>
        </w:rPr>
        <w:t>І</w:t>
      </w:r>
      <w:r w:rsidRPr="000977F7">
        <w:rPr>
          <w:color w:val="auto"/>
          <w:spacing w:val="-2"/>
          <w:sz w:val="20"/>
          <w:szCs w:val="20"/>
        </w:rPr>
        <w:t xml:space="preserve"> </w:t>
      </w:r>
      <w:r w:rsidRPr="000977F7">
        <w:rPr>
          <w:color w:val="auto"/>
          <w:sz w:val="20"/>
          <w:szCs w:val="20"/>
        </w:rPr>
        <w:t>РЕМОНТУ;</w:t>
      </w:r>
      <w:r w:rsidRPr="000977F7">
        <w:rPr>
          <w:color w:val="auto"/>
          <w:spacing w:val="1"/>
          <w:sz w:val="20"/>
          <w:szCs w:val="20"/>
        </w:rPr>
        <w:t xml:space="preserve"> </w:t>
      </w:r>
      <w:r w:rsidRPr="000977F7">
        <w:rPr>
          <w:color w:val="auto"/>
          <w:sz w:val="20"/>
          <w:szCs w:val="20"/>
        </w:rPr>
        <w:t>СИСТЕМА</w:t>
      </w:r>
      <w:r w:rsidRPr="000977F7">
        <w:rPr>
          <w:color w:val="auto"/>
          <w:spacing w:val="-3"/>
          <w:sz w:val="20"/>
          <w:szCs w:val="20"/>
        </w:rPr>
        <w:t xml:space="preserve"> </w:t>
      </w:r>
      <w:r w:rsidRPr="000977F7">
        <w:rPr>
          <w:color w:val="auto"/>
          <w:sz w:val="20"/>
          <w:szCs w:val="20"/>
        </w:rPr>
        <w:t>ТОІР</w:t>
      </w:r>
      <w:r w:rsidRPr="000977F7">
        <w:rPr>
          <w:color w:val="auto"/>
          <w:spacing w:val="3"/>
          <w:sz w:val="20"/>
          <w:szCs w:val="20"/>
        </w:rPr>
        <w:t xml:space="preserve"> </w:t>
      </w:r>
      <w:r w:rsidRPr="000977F7">
        <w:rPr>
          <w:color w:val="auto"/>
          <w:sz w:val="20"/>
          <w:szCs w:val="20"/>
        </w:rPr>
        <w:t>–</w:t>
      </w:r>
    </w:p>
    <w:p w14:paraId="76DC258E"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Сукупність</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виконавців,</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технічних</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засобів,</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відповідної</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документації</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технічного</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обслуговування</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 xml:space="preserve">ремонту </w:t>
      </w:r>
      <w:r w:rsidRPr="004D2D14">
        <w:rPr>
          <w:rFonts w:asciiTheme="majorHAnsi" w:hAnsiTheme="majorHAnsi"/>
          <w:spacing w:val="-47"/>
          <w:sz w:val="20"/>
          <w:szCs w:val="20"/>
          <w:lang w:val="uk-UA"/>
        </w:rPr>
        <w:t xml:space="preserve"> </w:t>
      </w:r>
      <w:r w:rsidRPr="004D2D14">
        <w:rPr>
          <w:rFonts w:asciiTheme="majorHAnsi" w:hAnsiTheme="majorHAnsi"/>
          <w:spacing w:val="-1"/>
          <w:sz w:val="20"/>
          <w:szCs w:val="20"/>
          <w:lang w:val="uk-UA"/>
        </w:rPr>
        <w:t>устаткування,</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потрібна</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збереження</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працездатності</w:t>
      </w:r>
      <w:r w:rsidRPr="004D2D14">
        <w:rPr>
          <w:rFonts w:asciiTheme="majorHAnsi" w:hAnsiTheme="majorHAnsi"/>
          <w:spacing w:val="-47"/>
          <w:sz w:val="20"/>
          <w:szCs w:val="20"/>
          <w:lang w:val="uk-UA"/>
        </w:rPr>
        <w:t xml:space="preserve">    </w:t>
      </w:r>
      <w:r w:rsidRPr="004D2D14">
        <w:rPr>
          <w:rFonts w:asciiTheme="majorHAnsi" w:hAnsiTheme="majorHAnsi"/>
          <w:spacing w:val="-1"/>
          <w:sz w:val="20"/>
          <w:szCs w:val="20"/>
          <w:lang w:val="uk-UA"/>
        </w:rPr>
        <w:t xml:space="preserve">устаткування протягом </w:t>
      </w:r>
      <w:r w:rsidRPr="004D2D14">
        <w:rPr>
          <w:rFonts w:asciiTheme="majorHAnsi" w:hAnsiTheme="majorHAnsi"/>
          <w:sz w:val="20"/>
          <w:szCs w:val="20"/>
          <w:lang w:val="uk-UA"/>
        </w:rPr>
        <w:t>усього терміну експлуатації</w:t>
      </w:r>
      <w:r w:rsidRPr="004D2D14">
        <w:rPr>
          <w:rFonts w:asciiTheme="majorHAnsi" w:hAnsiTheme="majorHAnsi"/>
          <w:spacing w:val="1"/>
          <w:sz w:val="20"/>
          <w:szCs w:val="20"/>
          <w:lang w:val="uk-UA"/>
        </w:rPr>
        <w:t xml:space="preserve"> </w:t>
      </w:r>
    </w:p>
    <w:p w14:paraId="7699B843"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23ECFF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СИСТЕМА ТЕХНОЛОГІЧНОГО ПІДГОТОВЛЕННЯ</w:t>
      </w:r>
      <w:r w:rsidRPr="000977F7">
        <w:rPr>
          <w:color w:val="auto"/>
          <w:spacing w:val="-1"/>
          <w:sz w:val="20"/>
          <w:szCs w:val="20"/>
        </w:rPr>
        <w:t xml:space="preserve"> </w:t>
      </w:r>
      <w:r w:rsidRPr="000977F7">
        <w:rPr>
          <w:color w:val="auto"/>
          <w:sz w:val="20"/>
          <w:szCs w:val="20"/>
        </w:rPr>
        <w:t>ВИРОБНИЦТВ (СТПВ)</w:t>
      </w:r>
      <w:r w:rsidRPr="000977F7">
        <w:rPr>
          <w:color w:val="auto"/>
          <w:spacing w:val="4"/>
          <w:sz w:val="20"/>
          <w:szCs w:val="20"/>
        </w:rPr>
        <w:t xml:space="preserve"> </w:t>
      </w:r>
      <w:r w:rsidRPr="000977F7">
        <w:rPr>
          <w:color w:val="auto"/>
          <w:sz w:val="20"/>
          <w:szCs w:val="20"/>
        </w:rPr>
        <w:t>–</w:t>
      </w:r>
    </w:p>
    <w:p w14:paraId="3EBCE05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організації та керування технологічним підготовленням</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регламентована</w:t>
      </w:r>
      <w:r w:rsidRPr="000977F7">
        <w:rPr>
          <w:rFonts w:asciiTheme="majorHAnsi" w:hAnsiTheme="majorHAnsi"/>
          <w:spacing w:val="1"/>
          <w:sz w:val="20"/>
          <w:szCs w:val="20"/>
        </w:rPr>
        <w:t xml:space="preserve"> </w:t>
      </w:r>
      <w:r w:rsidRPr="000977F7">
        <w:rPr>
          <w:rFonts w:asciiTheme="majorHAnsi" w:hAnsiTheme="majorHAnsi"/>
          <w:sz w:val="20"/>
          <w:szCs w:val="20"/>
        </w:rPr>
        <w:t>державними</w:t>
      </w:r>
      <w:r w:rsidRPr="000977F7">
        <w:rPr>
          <w:rFonts w:asciiTheme="majorHAnsi" w:hAnsiTheme="majorHAnsi"/>
          <w:spacing w:val="-2"/>
          <w:sz w:val="20"/>
          <w:szCs w:val="20"/>
        </w:rPr>
        <w:t xml:space="preserve"> </w:t>
      </w:r>
      <w:r w:rsidRPr="000977F7">
        <w:rPr>
          <w:rFonts w:asciiTheme="majorHAnsi" w:hAnsiTheme="majorHAnsi"/>
          <w:sz w:val="20"/>
          <w:szCs w:val="20"/>
        </w:rPr>
        <w:t>стандартами</w:t>
      </w:r>
    </w:p>
    <w:p w14:paraId="6EF655F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 – 95</w:t>
      </w:r>
    </w:p>
    <w:p w14:paraId="7B4E0EE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СИСТЕМА ТЕХНОЛОГІЧНОГО ПІДГОТОВЛЕННЯ</w:t>
      </w:r>
      <w:r w:rsidRPr="000977F7">
        <w:rPr>
          <w:color w:val="auto"/>
          <w:spacing w:val="-5"/>
          <w:sz w:val="20"/>
          <w:szCs w:val="20"/>
        </w:rPr>
        <w:t xml:space="preserve"> </w:t>
      </w:r>
      <w:r w:rsidRPr="000977F7">
        <w:rPr>
          <w:color w:val="auto"/>
          <w:sz w:val="20"/>
          <w:szCs w:val="20"/>
        </w:rPr>
        <w:t>ВИРОБНИЦТВА</w:t>
      </w:r>
      <w:r w:rsidRPr="000977F7">
        <w:rPr>
          <w:color w:val="auto"/>
          <w:spacing w:val="-7"/>
          <w:sz w:val="20"/>
          <w:szCs w:val="20"/>
        </w:rPr>
        <w:t xml:space="preserve"> </w:t>
      </w:r>
      <w:r w:rsidRPr="000977F7">
        <w:rPr>
          <w:color w:val="auto"/>
          <w:sz w:val="20"/>
          <w:szCs w:val="20"/>
        </w:rPr>
        <w:t>ПІДПРИЄМСТВА</w:t>
      </w:r>
      <w:r w:rsidRPr="000977F7">
        <w:rPr>
          <w:color w:val="auto"/>
          <w:spacing w:val="-1"/>
          <w:sz w:val="20"/>
          <w:szCs w:val="20"/>
        </w:rPr>
        <w:t xml:space="preserve"> </w:t>
      </w:r>
      <w:r w:rsidRPr="000977F7">
        <w:rPr>
          <w:color w:val="auto"/>
          <w:sz w:val="20"/>
          <w:szCs w:val="20"/>
        </w:rPr>
        <w:t>–</w:t>
      </w:r>
    </w:p>
    <w:p w14:paraId="7C9F542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організації та керування технологічним підготовленням</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встановлена</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нормативно-технічною документацією підприємства відповідно до</w:t>
      </w:r>
      <w:r w:rsidRPr="000977F7">
        <w:rPr>
          <w:rFonts w:asciiTheme="majorHAnsi" w:hAnsiTheme="majorHAnsi"/>
          <w:spacing w:val="-47"/>
          <w:sz w:val="20"/>
          <w:szCs w:val="20"/>
        </w:rPr>
        <w:t xml:space="preserve"> </w:t>
      </w:r>
      <w:r w:rsidRPr="000977F7">
        <w:rPr>
          <w:rFonts w:asciiTheme="majorHAnsi" w:hAnsiTheme="majorHAnsi"/>
          <w:sz w:val="20"/>
          <w:szCs w:val="20"/>
        </w:rPr>
        <w:t>державних</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галузевих</w:t>
      </w:r>
      <w:r w:rsidRPr="000977F7">
        <w:rPr>
          <w:rFonts w:asciiTheme="majorHAnsi" w:hAnsiTheme="majorHAnsi"/>
          <w:spacing w:val="-1"/>
          <w:sz w:val="20"/>
          <w:szCs w:val="20"/>
        </w:rPr>
        <w:t xml:space="preserve"> </w:t>
      </w:r>
      <w:r w:rsidRPr="000977F7">
        <w:rPr>
          <w:rFonts w:asciiTheme="majorHAnsi" w:hAnsiTheme="majorHAnsi"/>
          <w:sz w:val="20"/>
          <w:szCs w:val="20"/>
        </w:rPr>
        <w:t>стандартів</w:t>
      </w:r>
      <w:r w:rsidRPr="000977F7">
        <w:rPr>
          <w:rFonts w:asciiTheme="majorHAnsi" w:hAnsiTheme="majorHAnsi"/>
          <w:spacing w:val="-2"/>
          <w:sz w:val="20"/>
          <w:szCs w:val="20"/>
        </w:rPr>
        <w:t xml:space="preserve"> </w:t>
      </w:r>
      <w:r w:rsidRPr="000977F7">
        <w:rPr>
          <w:rFonts w:asciiTheme="majorHAnsi" w:hAnsiTheme="majorHAnsi"/>
          <w:sz w:val="20"/>
          <w:szCs w:val="20"/>
        </w:rPr>
        <w:t>СТПВ</w:t>
      </w:r>
    </w:p>
    <w:p w14:paraId="076CC6C6"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2974 – 95; ДСТУ 2960 – 94</w:t>
      </w:r>
      <w:r w:rsidRPr="000977F7">
        <w:rPr>
          <w:rFonts w:asciiTheme="majorHAnsi" w:hAnsiTheme="majorHAnsi"/>
          <w:i/>
          <w:spacing w:val="-47"/>
          <w:sz w:val="20"/>
          <w:szCs w:val="20"/>
        </w:rPr>
        <w:t xml:space="preserve"> </w:t>
      </w:r>
    </w:p>
    <w:p w14:paraId="7312429D"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СИСТЕМА УПРАВЛІННЯ –</w:t>
      </w:r>
    </w:p>
    <w:p w14:paraId="1E92731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MANAGEMENT</w:t>
      </w:r>
      <w:r w:rsidRPr="000977F7">
        <w:rPr>
          <w:rFonts w:asciiTheme="majorHAnsi" w:hAnsiTheme="majorHAnsi"/>
          <w:spacing w:val="2"/>
          <w:sz w:val="20"/>
          <w:szCs w:val="20"/>
        </w:rPr>
        <w:t xml:space="preserve"> </w:t>
      </w:r>
      <w:r w:rsidRPr="000977F7">
        <w:rPr>
          <w:rFonts w:asciiTheme="majorHAnsi" w:hAnsiTheme="majorHAnsi"/>
          <w:sz w:val="20"/>
          <w:szCs w:val="20"/>
        </w:rPr>
        <w:t>SYSTEM</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73558B6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взаємопов’язаних</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взаємодійних</w:t>
      </w:r>
      <w:r w:rsidRPr="000977F7">
        <w:rPr>
          <w:rFonts w:asciiTheme="majorHAnsi" w:hAnsiTheme="majorHAnsi"/>
          <w:spacing w:val="1"/>
          <w:sz w:val="20"/>
          <w:szCs w:val="20"/>
        </w:rPr>
        <w:t xml:space="preserve"> </w:t>
      </w:r>
      <w:r w:rsidRPr="000977F7">
        <w:rPr>
          <w:rFonts w:asciiTheme="majorHAnsi" w:hAnsiTheme="majorHAnsi"/>
          <w:sz w:val="20"/>
          <w:szCs w:val="20"/>
        </w:rPr>
        <w:t>елементів організації для формування політик, установлення</w:t>
      </w:r>
      <w:r w:rsidRPr="000977F7">
        <w:rPr>
          <w:rFonts w:asciiTheme="majorHAnsi" w:hAnsiTheme="majorHAnsi"/>
          <w:spacing w:val="1"/>
          <w:sz w:val="20"/>
          <w:szCs w:val="20"/>
        </w:rPr>
        <w:t xml:space="preserve"> </w:t>
      </w:r>
      <w:r w:rsidRPr="000977F7">
        <w:rPr>
          <w:rFonts w:asciiTheme="majorHAnsi" w:hAnsiTheme="majorHAnsi"/>
          <w:sz w:val="20"/>
          <w:szCs w:val="20"/>
        </w:rPr>
        <w:t>цілей</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процесів,</w:t>
      </w:r>
      <w:r w:rsidRPr="000977F7">
        <w:rPr>
          <w:rFonts w:asciiTheme="majorHAnsi" w:hAnsiTheme="majorHAnsi"/>
          <w:spacing w:val="-1"/>
          <w:sz w:val="20"/>
          <w:szCs w:val="20"/>
        </w:rPr>
        <w:t xml:space="preserve"> </w:t>
      </w:r>
      <w:r w:rsidRPr="000977F7">
        <w:rPr>
          <w:rFonts w:asciiTheme="majorHAnsi" w:hAnsiTheme="majorHAnsi"/>
          <w:sz w:val="20"/>
          <w:szCs w:val="20"/>
        </w:rPr>
        <w:t>щоб</w:t>
      </w:r>
      <w:r w:rsidRPr="000977F7">
        <w:rPr>
          <w:rFonts w:asciiTheme="majorHAnsi" w:hAnsiTheme="majorHAnsi"/>
          <w:spacing w:val="-1"/>
          <w:sz w:val="20"/>
          <w:szCs w:val="20"/>
        </w:rPr>
        <w:t xml:space="preserve"> </w:t>
      </w:r>
      <w:r w:rsidRPr="000977F7">
        <w:rPr>
          <w:rFonts w:asciiTheme="majorHAnsi" w:hAnsiTheme="majorHAnsi"/>
          <w:sz w:val="20"/>
          <w:szCs w:val="20"/>
        </w:rPr>
        <w:t>досягати</w:t>
      </w:r>
      <w:r w:rsidRPr="000977F7">
        <w:rPr>
          <w:rFonts w:asciiTheme="majorHAnsi" w:hAnsiTheme="majorHAnsi"/>
          <w:spacing w:val="-2"/>
          <w:sz w:val="20"/>
          <w:szCs w:val="20"/>
        </w:rPr>
        <w:t xml:space="preserve"> </w:t>
      </w:r>
      <w:r w:rsidRPr="000977F7">
        <w:rPr>
          <w:rFonts w:asciiTheme="majorHAnsi" w:hAnsiTheme="majorHAnsi"/>
          <w:sz w:val="20"/>
          <w:szCs w:val="20"/>
        </w:rPr>
        <w:t>ці</w:t>
      </w:r>
      <w:r w:rsidRPr="000977F7">
        <w:rPr>
          <w:rFonts w:asciiTheme="majorHAnsi" w:hAnsiTheme="majorHAnsi"/>
          <w:spacing w:val="1"/>
          <w:sz w:val="20"/>
          <w:szCs w:val="20"/>
        </w:rPr>
        <w:t xml:space="preserve"> </w:t>
      </w:r>
      <w:r w:rsidRPr="000977F7">
        <w:rPr>
          <w:rFonts w:asciiTheme="majorHAnsi" w:hAnsiTheme="majorHAnsi"/>
          <w:sz w:val="20"/>
          <w:szCs w:val="20"/>
        </w:rPr>
        <w:t>цілі.</w:t>
      </w:r>
    </w:p>
    <w:p w14:paraId="33D2A12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1"/>
          <w:sz w:val="20"/>
          <w:szCs w:val="20"/>
        </w:rPr>
        <w:t xml:space="preserve"> </w:t>
      </w:r>
      <w:r w:rsidRPr="000977F7">
        <w:rPr>
          <w:rFonts w:asciiTheme="majorHAnsi" w:hAnsiTheme="majorHAnsi"/>
          <w:sz w:val="20"/>
          <w:szCs w:val="20"/>
        </w:rPr>
        <w:t>1.</w:t>
      </w:r>
      <w:r w:rsidRPr="000977F7">
        <w:rPr>
          <w:rFonts w:asciiTheme="majorHAnsi" w:hAnsiTheme="majorHAnsi"/>
          <w:spacing w:val="1"/>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стосуватись</w:t>
      </w:r>
      <w:r w:rsidRPr="000977F7">
        <w:rPr>
          <w:rFonts w:asciiTheme="majorHAnsi" w:hAnsiTheme="majorHAnsi"/>
          <w:spacing w:val="1"/>
          <w:sz w:val="20"/>
          <w:szCs w:val="20"/>
        </w:rPr>
        <w:t xml:space="preserve"> </w:t>
      </w:r>
      <w:r w:rsidRPr="000977F7">
        <w:rPr>
          <w:rFonts w:asciiTheme="majorHAnsi" w:hAnsiTheme="majorHAnsi"/>
          <w:sz w:val="20"/>
          <w:szCs w:val="20"/>
        </w:rPr>
        <w:t>однієї чи кількох сфер, наприклад, управління якістю,</w:t>
      </w:r>
      <w:r w:rsidRPr="000977F7">
        <w:rPr>
          <w:rFonts w:asciiTheme="majorHAnsi" w:hAnsiTheme="majorHAnsi"/>
          <w:spacing w:val="1"/>
          <w:sz w:val="20"/>
          <w:szCs w:val="20"/>
        </w:rPr>
        <w:t xml:space="preserve"> </w:t>
      </w:r>
      <w:r w:rsidRPr="000977F7">
        <w:rPr>
          <w:rFonts w:asciiTheme="majorHAnsi" w:hAnsiTheme="majorHAnsi"/>
          <w:sz w:val="20"/>
          <w:szCs w:val="20"/>
        </w:rPr>
        <w:t>керування</w:t>
      </w:r>
      <w:r w:rsidRPr="000977F7">
        <w:rPr>
          <w:rFonts w:asciiTheme="majorHAnsi" w:hAnsiTheme="majorHAnsi"/>
          <w:spacing w:val="-3"/>
          <w:sz w:val="20"/>
          <w:szCs w:val="20"/>
        </w:rPr>
        <w:t xml:space="preserve"> </w:t>
      </w:r>
      <w:r w:rsidRPr="000977F7">
        <w:rPr>
          <w:rFonts w:asciiTheme="majorHAnsi" w:hAnsiTheme="majorHAnsi"/>
          <w:sz w:val="20"/>
          <w:szCs w:val="20"/>
        </w:rPr>
        <w:t>фінансами</w:t>
      </w:r>
      <w:r w:rsidRPr="000977F7">
        <w:rPr>
          <w:rFonts w:asciiTheme="majorHAnsi" w:hAnsiTheme="majorHAnsi"/>
          <w:spacing w:val="-3"/>
          <w:sz w:val="20"/>
          <w:szCs w:val="20"/>
        </w:rPr>
        <w:t xml:space="preserve"> </w:t>
      </w:r>
      <w:r w:rsidRPr="000977F7">
        <w:rPr>
          <w:rFonts w:asciiTheme="majorHAnsi" w:hAnsiTheme="majorHAnsi"/>
          <w:sz w:val="20"/>
          <w:szCs w:val="20"/>
        </w:rPr>
        <w:t>чи</w:t>
      </w:r>
      <w:r w:rsidRPr="000977F7">
        <w:rPr>
          <w:rFonts w:asciiTheme="majorHAnsi" w:hAnsiTheme="majorHAnsi"/>
          <w:spacing w:val="-3"/>
          <w:sz w:val="20"/>
          <w:szCs w:val="20"/>
        </w:rPr>
        <w:t xml:space="preserve"> </w:t>
      </w:r>
      <w:r w:rsidRPr="000977F7">
        <w:rPr>
          <w:rFonts w:asciiTheme="majorHAnsi" w:hAnsiTheme="majorHAnsi"/>
          <w:sz w:val="20"/>
          <w:szCs w:val="20"/>
        </w:rPr>
        <w:t>екологічного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p>
    <w:p w14:paraId="327E076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2. Елементи системи управління визначають</w:t>
      </w:r>
      <w:r w:rsidRPr="000977F7">
        <w:rPr>
          <w:rFonts w:asciiTheme="majorHAnsi" w:hAnsiTheme="majorHAnsi"/>
          <w:spacing w:val="-47"/>
          <w:sz w:val="20"/>
          <w:szCs w:val="20"/>
        </w:rPr>
        <w:t xml:space="preserve"> </w:t>
      </w:r>
      <w:r w:rsidRPr="000977F7">
        <w:rPr>
          <w:rFonts w:asciiTheme="majorHAnsi" w:hAnsiTheme="majorHAnsi"/>
          <w:sz w:val="20"/>
          <w:szCs w:val="20"/>
        </w:rPr>
        <w:t>структуру</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функції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обов’язки,</w:t>
      </w:r>
      <w:r w:rsidRPr="000977F7">
        <w:rPr>
          <w:rFonts w:asciiTheme="majorHAnsi" w:hAnsiTheme="majorHAnsi"/>
          <w:spacing w:val="1"/>
          <w:sz w:val="20"/>
          <w:szCs w:val="20"/>
        </w:rPr>
        <w:t xml:space="preserve"> </w:t>
      </w:r>
      <w:r w:rsidRPr="000977F7">
        <w:rPr>
          <w:rFonts w:asciiTheme="majorHAnsi" w:hAnsiTheme="majorHAnsi"/>
          <w:sz w:val="20"/>
          <w:szCs w:val="20"/>
        </w:rPr>
        <w:t>планування,</w:t>
      </w:r>
      <w:r w:rsidRPr="000977F7">
        <w:rPr>
          <w:rFonts w:asciiTheme="majorHAnsi" w:hAnsiTheme="majorHAnsi"/>
          <w:spacing w:val="1"/>
          <w:sz w:val="20"/>
          <w:szCs w:val="20"/>
        </w:rPr>
        <w:t xml:space="preserve"> </w:t>
      </w:r>
      <w:r w:rsidRPr="000977F7">
        <w:rPr>
          <w:rFonts w:asciiTheme="majorHAnsi" w:hAnsiTheme="majorHAnsi"/>
          <w:sz w:val="20"/>
          <w:szCs w:val="20"/>
        </w:rPr>
        <w:t>функціювання,</w:t>
      </w:r>
      <w:r w:rsidRPr="000977F7">
        <w:rPr>
          <w:rFonts w:asciiTheme="majorHAnsi" w:hAnsiTheme="majorHAnsi"/>
          <w:spacing w:val="1"/>
          <w:sz w:val="20"/>
          <w:szCs w:val="20"/>
        </w:rPr>
        <w:t xml:space="preserve"> </w:t>
      </w:r>
      <w:r w:rsidRPr="000977F7">
        <w:rPr>
          <w:rFonts w:asciiTheme="majorHAnsi" w:hAnsiTheme="majorHAnsi"/>
          <w:sz w:val="20"/>
          <w:szCs w:val="20"/>
        </w:rPr>
        <w:t>політики,</w:t>
      </w:r>
      <w:r w:rsidRPr="000977F7">
        <w:rPr>
          <w:rFonts w:asciiTheme="majorHAnsi" w:hAnsiTheme="majorHAnsi"/>
          <w:spacing w:val="1"/>
          <w:sz w:val="20"/>
          <w:szCs w:val="20"/>
        </w:rPr>
        <w:t xml:space="preserve"> </w:t>
      </w:r>
      <w:r w:rsidRPr="000977F7">
        <w:rPr>
          <w:rFonts w:asciiTheme="majorHAnsi" w:hAnsiTheme="majorHAnsi"/>
          <w:sz w:val="20"/>
          <w:szCs w:val="20"/>
        </w:rPr>
        <w:t>практики,</w:t>
      </w:r>
      <w:r w:rsidRPr="000977F7">
        <w:rPr>
          <w:rFonts w:asciiTheme="majorHAnsi" w:hAnsiTheme="majorHAnsi"/>
          <w:spacing w:val="1"/>
          <w:sz w:val="20"/>
          <w:szCs w:val="20"/>
        </w:rPr>
        <w:t xml:space="preserve"> </w:t>
      </w:r>
      <w:r w:rsidRPr="000977F7">
        <w:rPr>
          <w:rFonts w:asciiTheme="majorHAnsi" w:hAnsiTheme="majorHAnsi"/>
          <w:sz w:val="20"/>
          <w:szCs w:val="20"/>
        </w:rPr>
        <w:t>правила,</w:t>
      </w:r>
      <w:r w:rsidRPr="000977F7">
        <w:rPr>
          <w:rFonts w:asciiTheme="majorHAnsi" w:hAnsiTheme="majorHAnsi"/>
          <w:spacing w:val="1"/>
          <w:sz w:val="20"/>
          <w:szCs w:val="20"/>
        </w:rPr>
        <w:t xml:space="preserve"> </w:t>
      </w:r>
      <w:r w:rsidRPr="000977F7">
        <w:rPr>
          <w:rFonts w:asciiTheme="majorHAnsi" w:hAnsiTheme="majorHAnsi"/>
          <w:sz w:val="20"/>
          <w:szCs w:val="20"/>
        </w:rPr>
        <w:t>переконання,</w:t>
      </w:r>
      <w:r w:rsidRPr="000977F7">
        <w:rPr>
          <w:rFonts w:asciiTheme="majorHAnsi" w:hAnsiTheme="majorHAnsi"/>
          <w:spacing w:val="-3"/>
          <w:sz w:val="20"/>
          <w:szCs w:val="20"/>
        </w:rPr>
        <w:t xml:space="preserve"> </w:t>
      </w:r>
      <w:r w:rsidRPr="000977F7">
        <w:rPr>
          <w:rFonts w:asciiTheme="majorHAnsi" w:hAnsiTheme="majorHAnsi"/>
          <w:sz w:val="20"/>
          <w:szCs w:val="20"/>
        </w:rPr>
        <w:t>цілі</w:t>
      </w:r>
      <w:r w:rsidRPr="000977F7">
        <w:rPr>
          <w:rFonts w:asciiTheme="majorHAnsi" w:hAnsiTheme="majorHAnsi"/>
          <w:spacing w:val="-3"/>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процеси,</w:t>
      </w:r>
      <w:r w:rsidRPr="000977F7">
        <w:rPr>
          <w:rFonts w:asciiTheme="majorHAnsi" w:hAnsiTheme="majorHAnsi"/>
          <w:spacing w:val="-2"/>
          <w:sz w:val="20"/>
          <w:szCs w:val="20"/>
        </w:rPr>
        <w:t xml:space="preserve"> </w:t>
      </w:r>
      <w:r w:rsidRPr="000977F7">
        <w:rPr>
          <w:rFonts w:asciiTheme="majorHAnsi" w:hAnsiTheme="majorHAnsi"/>
          <w:sz w:val="20"/>
          <w:szCs w:val="20"/>
        </w:rPr>
        <w:t>щоб</w:t>
      </w:r>
      <w:r w:rsidRPr="000977F7">
        <w:rPr>
          <w:rFonts w:asciiTheme="majorHAnsi" w:hAnsiTheme="majorHAnsi"/>
          <w:spacing w:val="-3"/>
          <w:sz w:val="20"/>
          <w:szCs w:val="20"/>
        </w:rPr>
        <w:t xml:space="preserve"> </w:t>
      </w:r>
      <w:r w:rsidRPr="000977F7">
        <w:rPr>
          <w:rFonts w:asciiTheme="majorHAnsi" w:hAnsiTheme="majorHAnsi"/>
          <w:sz w:val="20"/>
          <w:szCs w:val="20"/>
        </w:rPr>
        <w:t>досягати</w:t>
      </w:r>
      <w:r w:rsidRPr="000977F7">
        <w:rPr>
          <w:rFonts w:asciiTheme="majorHAnsi" w:hAnsiTheme="majorHAnsi"/>
          <w:spacing w:val="-4"/>
          <w:sz w:val="20"/>
          <w:szCs w:val="20"/>
        </w:rPr>
        <w:t xml:space="preserve"> </w:t>
      </w:r>
      <w:r w:rsidRPr="000977F7">
        <w:rPr>
          <w:rFonts w:asciiTheme="majorHAnsi" w:hAnsiTheme="majorHAnsi"/>
          <w:sz w:val="20"/>
          <w:szCs w:val="20"/>
        </w:rPr>
        <w:t>цих</w:t>
      </w:r>
      <w:r w:rsidRPr="000977F7">
        <w:rPr>
          <w:rFonts w:asciiTheme="majorHAnsi" w:hAnsiTheme="majorHAnsi"/>
          <w:spacing w:val="-3"/>
          <w:sz w:val="20"/>
          <w:szCs w:val="20"/>
        </w:rPr>
        <w:t xml:space="preserve"> </w:t>
      </w:r>
      <w:r w:rsidRPr="000977F7">
        <w:rPr>
          <w:rFonts w:asciiTheme="majorHAnsi" w:hAnsiTheme="majorHAnsi"/>
          <w:sz w:val="20"/>
          <w:szCs w:val="20"/>
        </w:rPr>
        <w:t>цілей.</w:t>
      </w:r>
    </w:p>
    <w:p w14:paraId="27EEBB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3. Сфера застосування системи 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може охоплювати всю організацію, конкретні та ідентифіковані функційні підрозділи організації, конкретні та ідентифіковані ділянки організації, чи один або</w:t>
      </w:r>
      <w:r w:rsidRPr="000977F7">
        <w:rPr>
          <w:rFonts w:asciiTheme="majorHAnsi" w:hAnsiTheme="majorHAnsi"/>
          <w:spacing w:val="1"/>
          <w:sz w:val="20"/>
          <w:szCs w:val="20"/>
        </w:rPr>
        <w:t xml:space="preserve"> </w:t>
      </w:r>
      <w:r w:rsidRPr="000977F7">
        <w:rPr>
          <w:rFonts w:asciiTheme="majorHAnsi" w:hAnsiTheme="majorHAnsi"/>
          <w:sz w:val="20"/>
          <w:szCs w:val="20"/>
        </w:rPr>
        <w:t>кілька функційних підрозділів у межах групи організацій.</w:t>
      </w:r>
    </w:p>
    <w:p w14:paraId="0CAB83A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3"/>
          <w:sz w:val="20"/>
          <w:szCs w:val="20"/>
        </w:rPr>
        <w:t xml:space="preserve"> </w:t>
      </w:r>
      <w:r w:rsidRPr="000977F7">
        <w:rPr>
          <w:rFonts w:asciiTheme="majorHAnsi" w:hAnsiTheme="majorHAnsi"/>
          <w:i/>
          <w:sz w:val="20"/>
          <w:szCs w:val="20"/>
        </w:rPr>
        <w:t>2015</w:t>
      </w:r>
    </w:p>
    <w:p w14:paraId="2AE7803B"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СИСТЕМА</w:t>
      </w:r>
      <w:r w:rsidRPr="000977F7">
        <w:rPr>
          <w:rFonts w:asciiTheme="majorHAnsi" w:hAnsiTheme="majorHAnsi"/>
          <w:b/>
          <w:spacing w:val="6"/>
          <w:sz w:val="20"/>
          <w:szCs w:val="20"/>
        </w:rPr>
        <w:t xml:space="preserve"> </w:t>
      </w:r>
      <w:r w:rsidRPr="000977F7">
        <w:rPr>
          <w:rFonts w:asciiTheme="majorHAnsi" w:hAnsiTheme="majorHAnsi"/>
          <w:b/>
          <w:sz w:val="20"/>
          <w:szCs w:val="20"/>
        </w:rPr>
        <w:t>УПРАВЛІННЯ</w:t>
      </w:r>
      <w:r w:rsidRPr="000977F7">
        <w:rPr>
          <w:rFonts w:asciiTheme="majorHAnsi" w:hAnsiTheme="majorHAnsi"/>
          <w:b/>
          <w:spacing w:val="7"/>
          <w:sz w:val="20"/>
          <w:szCs w:val="20"/>
        </w:rPr>
        <w:t xml:space="preserve"> </w:t>
      </w:r>
      <w:r w:rsidRPr="000977F7">
        <w:rPr>
          <w:rFonts w:asciiTheme="majorHAnsi" w:hAnsiTheme="majorHAnsi"/>
          <w:b/>
          <w:sz w:val="20"/>
          <w:szCs w:val="20"/>
        </w:rPr>
        <w:t>ЯКІСТЮ</w:t>
      </w:r>
      <w:r w:rsidRPr="000977F7">
        <w:rPr>
          <w:rFonts w:asciiTheme="majorHAnsi" w:hAnsiTheme="majorHAnsi"/>
          <w:b/>
          <w:spacing w:val="8"/>
          <w:sz w:val="20"/>
          <w:szCs w:val="20"/>
        </w:rPr>
        <w:t xml:space="preserve"> </w:t>
      </w:r>
      <w:r w:rsidRPr="000977F7">
        <w:rPr>
          <w:rFonts w:asciiTheme="majorHAnsi" w:hAnsiTheme="majorHAnsi"/>
          <w:b/>
          <w:sz w:val="20"/>
          <w:szCs w:val="20"/>
        </w:rPr>
        <w:t>–</w:t>
      </w:r>
      <w:r w:rsidRPr="000977F7">
        <w:rPr>
          <w:rFonts w:asciiTheme="majorHAnsi" w:hAnsiTheme="majorHAnsi"/>
          <w:b/>
          <w:spacing w:val="1"/>
          <w:sz w:val="20"/>
          <w:szCs w:val="20"/>
        </w:rPr>
        <w:t xml:space="preserve"> </w:t>
      </w:r>
    </w:p>
    <w:p w14:paraId="0E2F1EF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QUALITY</w:t>
      </w:r>
      <w:r w:rsidRPr="000977F7">
        <w:rPr>
          <w:rFonts w:asciiTheme="majorHAnsi" w:hAnsiTheme="majorHAnsi"/>
          <w:spacing w:val="-1"/>
          <w:sz w:val="20"/>
          <w:szCs w:val="20"/>
        </w:rPr>
        <w:t xml:space="preserve"> </w:t>
      </w:r>
      <w:r w:rsidRPr="000977F7">
        <w:rPr>
          <w:rFonts w:asciiTheme="majorHAnsi" w:hAnsiTheme="majorHAnsi"/>
          <w:sz w:val="20"/>
          <w:szCs w:val="20"/>
        </w:rPr>
        <w:t>MANAGEMENT</w:t>
      </w:r>
      <w:r w:rsidRPr="000977F7">
        <w:rPr>
          <w:rFonts w:asciiTheme="majorHAnsi" w:hAnsiTheme="majorHAnsi"/>
          <w:spacing w:val="3"/>
          <w:sz w:val="20"/>
          <w:szCs w:val="20"/>
        </w:rPr>
        <w:t xml:space="preserve"> </w:t>
      </w:r>
      <w:r w:rsidRPr="000977F7">
        <w:rPr>
          <w:rFonts w:asciiTheme="majorHAnsi" w:hAnsiTheme="majorHAnsi"/>
          <w:sz w:val="20"/>
          <w:szCs w:val="20"/>
        </w:rPr>
        <w:t>SYSTEM</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40C4BBA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lastRenderedPageBreak/>
        <w:t>Частина системи управління щодо якості</w:t>
      </w:r>
    </w:p>
    <w:p w14:paraId="565FFD8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w:t>
      </w:r>
      <w:r w:rsidRPr="000977F7">
        <w:rPr>
          <w:rFonts w:asciiTheme="majorHAnsi" w:hAnsiTheme="majorHAnsi"/>
          <w:i/>
          <w:spacing w:val="2"/>
          <w:sz w:val="20"/>
          <w:szCs w:val="20"/>
        </w:rPr>
        <w:t>:</w:t>
      </w:r>
      <w:r w:rsidRPr="000977F7">
        <w:rPr>
          <w:rFonts w:asciiTheme="majorHAnsi" w:hAnsiTheme="majorHAnsi"/>
          <w:i/>
          <w:sz w:val="20"/>
          <w:szCs w:val="20"/>
        </w:rPr>
        <w:t>2015</w:t>
      </w:r>
    </w:p>
    <w:p w14:paraId="3B8D707E"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СИСТЕМА</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ФІЗИЧНІХ</w:t>
      </w:r>
      <w:r w:rsidRPr="004D2D14">
        <w:rPr>
          <w:rFonts w:asciiTheme="majorHAnsi" w:hAnsiTheme="majorHAnsi"/>
          <w:b/>
          <w:sz w:val="20"/>
          <w:szCs w:val="20"/>
          <w:lang w:val="en-US"/>
        </w:rPr>
        <w:t xml:space="preserve"> </w:t>
      </w:r>
      <w:r w:rsidRPr="000977F7">
        <w:rPr>
          <w:rFonts w:asciiTheme="majorHAnsi" w:hAnsiTheme="majorHAnsi"/>
          <w:b/>
          <w:sz w:val="20"/>
          <w:szCs w:val="20"/>
        </w:rPr>
        <w:t>ВЕЛИЧИН</w:t>
      </w:r>
      <w:r w:rsidRPr="004D2D14">
        <w:rPr>
          <w:rFonts w:asciiTheme="majorHAnsi" w:hAnsiTheme="majorHAnsi"/>
          <w:b/>
          <w:spacing w:val="2"/>
          <w:sz w:val="20"/>
          <w:szCs w:val="20"/>
          <w:lang w:val="en-US"/>
        </w:rPr>
        <w:t xml:space="preserve"> </w:t>
      </w:r>
      <w:r w:rsidRPr="004D2D14">
        <w:rPr>
          <w:rFonts w:asciiTheme="majorHAnsi" w:hAnsiTheme="majorHAnsi"/>
          <w:b/>
          <w:sz w:val="20"/>
          <w:szCs w:val="20"/>
          <w:lang w:val="en-US"/>
        </w:rPr>
        <w:t>–</w:t>
      </w:r>
    </w:p>
    <w:p w14:paraId="3C216CD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SYSTEM</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QUANTITIES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695835A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взаємопов’язаних</w:t>
      </w:r>
      <w:r w:rsidRPr="000977F7">
        <w:rPr>
          <w:rFonts w:asciiTheme="majorHAnsi" w:hAnsiTheme="majorHAnsi"/>
          <w:spacing w:val="1"/>
          <w:sz w:val="20"/>
          <w:szCs w:val="20"/>
        </w:rPr>
        <w:t xml:space="preserve"> </w:t>
      </w:r>
      <w:r w:rsidRPr="000977F7">
        <w:rPr>
          <w:rFonts w:asciiTheme="majorHAnsi" w:hAnsiTheme="majorHAnsi"/>
          <w:sz w:val="20"/>
          <w:szCs w:val="20"/>
        </w:rPr>
        <w:t>фізичних</w:t>
      </w:r>
      <w:r w:rsidRPr="000977F7">
        <w:rPr>
          <w:rFonts w:asciiTheme="majorHAnsi" w:hAnsiTheme="majorHAnsi"/>
          <w:spacing w:val="1"/>
          <w:sz w:val="20"/>
          <w:szCs w:val="20"/>
        </w:rPr>
        <w:t xml:space="preserve"> </w:t>
      </w:r>
      <w:r w:rsidRPr="000977F7">
        <w:rPr>
          <w:rFonts w:asciiTheme="majorHAnsi" w:hAnsiTheme="majorHAnsi"/>
          <w:sz w:val="20"/>
          <w:szCs w:val="20"/>
        </w:rPr>
        <w:t>величин,</w:t>
      </w:r>
      <w:r w:rsidRPr="000977F7">
        <w:rPr>
          <w:rFonts w:asciiTheme="majorHAnsi" w:hAnsiTheme="majorHAnsi"/>
          <w:spacing w:val="50"/>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якій декілька величин приймають за незалежні, а інші</w:t>
      </w:r>
      <w:r w:rsidRPr="000977F7">
        <w:rPr>
          <w:rFonts w:asciiTheme="majorHAnsi" w:hAnsiTheme="majorHAnsi"/>
          <w:spacing w:val="1"/>
          <w:sz w:val="20"/>
          <w:szCs w:val="20"/>
        </w:rPr>
        <w:t xml:space="preserve"> </w:t>
      </w:r>
      <w:r w:rsidRPr="000977F7">
        <w:rPr>
          <w:rFonts w:asciiTheme="majorHAnsi" w:hAnsiTheme="majorHAnsi"/>
          <w:sz w:val="20"/>
          <w:szCs w:val="20"/>
        </w:rPr>
        <w:t>визначають</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залежні</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2"/>
          <w:sz w:val="20"/>
          <w:szCs w:val="20"/>
        </w:rPr>
        <w:t xml:space="preserve"> </w:t>
      </w:r>
      <w:r w:rsidRPr="000977F7">
        <w:rPr>
          <w:rFonts w:asciiTheme="majorHAnsi" w:hAnsiTheme="majorHAnsi"/>
          <w:sz w:val="20"/>
          <w:szCs w:val="20"/>
        </w:rPr>
        <w:t>них</w:t>
      </w:r>
    </w:p>
    <w:p w14:paraId="780E926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2681 - 94</w:t>
      </w:r>
    </w:p>
    <w:p w14:paraId="621300E9"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37"/>
          <w:sz w:val="20"/>
          <w:szCs w:val="20"/>
        </w:rPr>
      </w:pPr>
      <w:r w:rsidRPr="000977F7">
        <w:rPr>
          <w:rFonts w:asciiTheme="majorHAnsi" w:hAnsiTheme="majorHAnsi"/>
          <w:b/>
          <w:sz w:val="20"/>
          <w:szCs w:val="20"/>
        </w:rPr>
        <w:t>СИСТЕМА</w:t>
      </w:r>
      <w:r w:rsidRPr="000977F7">
        <w:rPr>
          <w:rFonts w:asciiTheme="majorHAnsi" w:hAnsiTheme="majorHAnsi"/>
          <w:b/>
          <w:spacing w:val="35"/>
          <w:sz w:val="20"/>
          <w:szCs w:val="20"/>
        </w:rPr>
        <w:t xml:space="preserve"> </w:t>
      </w:r>
      <w:r w:rsidRPr="000977F7">
        <w:rPr>
          <w:rFonts w:asciiTheme="majorHAnsi" w:hAnsiTheme="majorHAnsi"/>
          <w:b/>
          <w:sz w:val="20"/>
          <w:szCs w:val="20"/>
        </w:rPr>
        <w:t>УПРАВЛІННЯ</w:t>
      </w:r>
      <w:r w:rsidRPr="000977F7">
        <w:rPr>
          <w:rFonts w:asciiTheme="majorHAnsi" w:hAnsiTheme="majorHAnsi"/>
          <w:b/>
          <w:spacing w:val="35"/>
          <w:sz w:val="20"/>
          <w:szCs w:val="20"/>
        </w:rPr>
        <w:t xml:space="preserve"> </w:t>
      </w:r>
      <w:r w:rsidRPr="000977F7">
        <w:rPr>
          <w:rFonts w:asciiTheme="majorHAnsi" w:hAnsiTheme="majorHAnsi"/>
          <w:b/>
          <w:sz w:val="20"/>
          <w:szCs w:val="20"/>
        </w:rPr>
        <w:t>ЯКІСТЮ</w:t>
      </w:r>
      <w:r w:rsidRPr="000977F7">
        <w:rPr>
          <w:rFonts w:asciiTheme="majorHAnsi" w:hAnsiTheme="majorHAnsi"/>
          <w:b/>
          <w:spacing w:val="35"/>
          <w:sz w:val="20"/>
          <w:szCs w:val="20"/>
        </w:rPr>
        <w:t xml:space="preserve"> </w:t>
      </w:r>
      <w:r w:rsidRPr="000977F7">
        <w:rPr>
          <w:rFonts w:asciiTheme="majorHAnsi" w:hAnsiTheme="majorHAnsi"/>
          <w:b/>
          <w:sz w:val="20"/>
          <w:szCs w:val="20"/>
        </w:rPr>
        <w:t>ТА</w:t>
      </w:r>
      <w:r w:rsidRPr="000977F7">
        <w:rPr>
          <w:rFonts w:asciiTheme="majorHAnsi" w:hAnsiTheme="majorHAnsi"/>
          <w:b/>
          <w:spacing w:val="38"/>
          <w:sz w:val="20"/>
          <w:szCs w:val="20"/>
        </w:rPr>
        <w:t xml:space="preserve"> </w:t>
      </w:r>
      <w:r w:rsidRPr="000977F7">
        <w:rPr>
          <w:rFonts w:asciiTheme="majorHAnsi" w:hAnsiTheme="majorHAnsi"/>
          <w:b/>
          <w:sz w:val="20"/>
          <w:szCs w:val="20"/>
        </w:rPr>
        <w:t>ЇЇ</w:t>
      </w:r>
      <w:r w:rsidRPr="000977F7">
        <w:rPr>
          <w:rFonts w:asciiTheme="majorHAnsi" w:hAnsiTheme="majorHAnsi"/>
          <w:b/>
          <w:spacing w:val="37"/>
          <w:sz w:val="20"/>
          <w:szCs w:val="20"/>
        </w:rPr>
        <w:t xml:space="preserve"> </w:t>
      </w:r>
    </w:p>
    <w:p w14:paraId="0E16CAC8"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ПРО</w:t>
      </w:r>
      <w:r w:rsidRPr="000977F7">
        <w:rPr>
          <w:rFonts w:asciiTheme="majorHAnsi" w:hAnsiTheme="majorHAnsi"/>
          <w:b/>
          <w:spacing w:val="-47"/>
          <w:sz w:val="20"/>
          <w:szCs w:val="20"/>
        </w:rPr>
        <w:t xml:space="preserve"> </w:t>
      </w:r>
      <w:r w:rsidRPr="000977F7">
        <w:rPr>
          <w:rFonts w:asciiTheme="majorHAnsi" w:hAnsiTheme="majorHAnsi"/>
          <w:b/>
          <w:sz w:val="20"/>
          <w:szCs w:val="20"/>
        </w:rPr>
        <w:t>ЦЕСИ –</w:t>
      </w:r>
    </w:p>
    <w:p w14:paraId="1B6E0F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повинна розробити, запровадити, підтримувати та постійно поліпшувати систему 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якістю, охоплюючи потрібні процеси та їхні взаємодії,</w:t>
      </w:r>
      <w:r w:rsidRPr="000977F7">
        <w:rPr>
          <w:rFonts w:asciiTheme="majorHAnsi" w:hAnsiTheme="majorHAnsi"/>
          <w:spacing w:val="-47"/>
          <w:sz w:val="20"/>
          <w:szCs w:val="20"/>
        </w:rPr>
        <w:t xml:space="preserve"> </w:t>
      </w:r>
      <w:r w:rsidRPr="000977F7">
        <w:rPr>
          <w:rFonts w:asciiTheme="majorHAnsi" w:hAnsiTheme="majorHAnsi"/>
          <w:sz w:val="20"/>
          <w:szCs w:val="20"/>
        </w:rPr>
        <w:t>відповідно до вимог цього</w:t>
      </w:r>
      <w:r w:rsidRPr="000977F7">
        <w:rPr>
          <w:rFonts w:asciiTheme="majorHAnsi" w:hAnsiTheme="majorHAnsi"/>
          <w:sz w:val="20"/>
          <w:szCs w:val="20"/>
        </w:rPr>
        <w:br/>
        <w:t>(</w:t>
      </w:r>
      <w:r w:rsidRPr="000977F7">
        <w:rPr>
          <w:rFonts w:asciiTheme="majorHAnsi" w:hAnsiTheme="majorHAnsi"/>
          <w:i/>
          <w:sz w:val="20"/>
          <w:szCs w:val="20"/>
        </w:rPr>
        <w:t>ДСТУ ISO 9001-2015</w:t>
      </w:r>
      <w:r w:rsidRPr="000977F7">
        <w:rPr>
          <w:rFonts w:asciiTheme="majorHAnsi" w:hAnsiTheme="majorHAnsi"/>
          <w:sz w:val="20"/>
          <w:szCs w:val="20"/>
        </w:rPr>
        <w:t>) стандарту.</w:t>
      </w:r>
    </w:p>
    <w:p w14:paraId="68631D0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повинна</w:t>
      </w:r>
      <w:r w:rsidRPr="000977F7">
        <w:rPr>
          <w:rFonts w:asciiTheme="majorHAnsi" w:hAnsiTheme="majorHAnsi"/>
          <w:spacing w:val="1"/>
          <w:sz w:val="20"/>
          <w:szCs w:val="20"/>
        </w:rPr>
        <w:t xml:space="preserve"> </w:t>
      </w:r>
      <w:r w:rsidRPr="000977F7">
        <w:rPr>
          <w:rFonts w:asciiTheme="majorHAnsi" w:hAnsiTheme="majorHAnsi"/>
          <w:sz w:val="20"/>
          <w:szCs w:val="20"/>
        </w:rPr>
        <w:t>визначити</w:t>
      </w:r>
      <w:r w:rsidRPr="000977F7">
        <w:rPr>
          <w:rFonts w:asciiTheme="majorHAnsi" w:hAnsiTheme="majorHAnsi"/>
          <w:spacing w:val="1"/>
          <w:sz w:val="20"/>
          <w:szCs w:val="20"/>
        </w:rPr>
        <w:t xml:space="preserve"> </w:t>
      </w:r>
      <w:r w:rsidRPr="000977F7">
        <w:rPr>
          <w:rFonts w:asciiTheme="majorHAnsi" w:hAnsiTheme="majorHAnsi"/>
          <w:sz w:val="20"/>
          <w:szCs w:val="20"/>
        </w:rPr>
        <w:t>процеси,</w:t>
      </w:r>
      <w:r w:rsidRPr="000977F7">
        <w:rPr>
          <w:rFonts w:asciiTheme="majorHAnsi" w:hAnsiTheme="majorHAnsi"/>
          <w:spacing w:val="50"/>
          <w:sz w:val="20"/>
          <w:szCs w:val="20"/>
        </w:rPr>
        <w:t xml:space="preserve"> </w:t>
      </w:r>
      <w:r w:rsidRPr="000977F7">
        <w:rPr>
          <w:rFonts w:asciiTheme="majorHAnsi" w:hAnsiTheme="majorHAnsi"/>
          <w:sz w:val="20"/>
          <w:szCs w:val="20"/>
        </w:rPr>
        <w:t>потрібні</w:t>
      </w:r>
      <w:r w:rsidRPr="000977F7">
        <w:rPr>
          <w:rFonts w:asciiTheme="majorHAnsi" w:hAnsiTheme="majorHAnsi"/>
          <w:spacing w:val="1"/>
          <w:sz w:val="20"/>
          <w:szCs w:val="20"/>
        </w:rPr>
        <w:t xml:space="preserve"> </w:t>
      </w:r>
      <w:r w:rsidRPr="000977F7">
        <w:rPr>
          <w:rFonts w:asciiTheme="majorHAnsi" w:hAnsiTheme="majorHAnsi"/>
          <w:sz w:val="20"/>
          <w:szCs w:val="20"/>
        </w:rPr>
        <w:t>для системи управління якістю, та їх застосування в</w:t>
      </w:r>
      <w:r w:rsidRPr="000977F7">
        <w:rPr>
          <w:rFonts w:asciiTheme="majorHAnsi" w:hAnsiTheme="majorHAnsi"/>
          <w:spacing w:val="1"/>
          <w:sz w:val="20"/>
          <w:szCs w:val="20"/>
        </w:rPr>
        <w:t xml:space="preserve"> </w:t>
      </w:r>
      <w:r w:rsidRPr="000977F7">
        <w:rPr>
          <w:rFonts w:asciiTheme="majorHAnsi" w:hAnsiTheme="majorHAnsi"/>
          <w:sz w:val="20"/>
          <w:szCs w:val="20"/>
        </w:rPr>
        <w:t>межах</w:t>
      </w:r>
      <w:r w:rsidRPr="000977F7">
        <w:rPr>
          <w:rFonts w:asciiTheme="majorHAnsi" w:hAnsiTheme="majorHAnsi"/>
          <w:spacing w:val="-3"/>
          <w:sz w:val="20"/>
          <w:szCs w:val="20"/>
        </w:rPr>
        <w:t xml:space="preserve"> </w:t>
      </w:r>
      <w:r w:rsidRPr="000977F7">
        <w:rPr>
          <w:rFonts w:asciiTheme="majorHAnsi" w:hAnsiTheme="majorHAnsi"/>
          <w:sz w:val="20"/>
          <w:szCs w:val="20"/>
        </w:rPr>
        <w:t>організації, а також</w:t>
      </w:r>
      <w:r w:rsidRPr="000977F7">
        <w:rPr>
          <w:rFonts w:asciiTheme="majorHAnsi" w:hAnsiTheme="majorHAnsi"/>
          <w:spacing w:val="-2"/>
          <w:sz w:val="20"/>
          <w:szCs w:val="20"/>
        </w:rPr>
        <w:t xml:space="preserve"> </w:t>
      </w:r>
      <w:r w:rsidRPr="000977F7">
        <w:rPr>
          <w:rFonts w:asciiTheme="majorHAnsi" w:hAnsiTheme="majorHAnsi"/>
          <w:sz w:val="20"/>
          <w:szCs w:val="20"/>
        </w:rPr>
        <w:t>повинна</w:t>
      </w:r>
    </w:p>
    <w:p w14:paraId="3D5E430E" w14:textId="77777777" w:rsidR="0097612F" w:rsidRPr="000977F7" w:rsidRDefault="0097612F" w:rsidP="00FD39A4">
      <w:pPr>
        <w:pStyle w:val="ac"/>
        <w:widowControl w:val="0"/>
        <w:numPr>
          <w:ilvl w:val="1"/>
          <w:numId w:val="84"/>
        </w:numPr>
        <w:tabs>
          <w:tab w:val="left" w:pos="284"/>
          <w:tab w:val="left" w:pos="65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визначити</w:t>
      </w:r>
      <w:r w:rsidRPr="000977F7">
        <w:rPr>
          <w:rFonts w:asciiTheme="majorHAnsi" w:hAnsiTheme="majorHAnsi"/>
          <w:spacing w:val="6"/>
          <w:sz w:val="20"/>
          <w:szCs w:val="20"/>
        </w:rPr>
        <w:t xml:space="preserve"> </w:t>
      </w:r>
      <w:r w:rsidRPr="000977F7">
        <w:rPr>
          <w:rFonts w:asciiTheme="majorHAnsi" w:hAnsiTheme="majorHAnsi"/>
          <w:sz w:val="20"/>
          <w:szCs w:val="20"/>
        </w:rPr>
        <w:t>необхідні</w:t>
      </w:r>
      <w:r w:rsidRPr="000977F7">
        <w:rPr>
          <w:rFonts w:asciiTheme="majorHAnsi" w:hAnsiTheme="majorHAnsi"/>
          <w:spacing w:val="5"/>
          <w:sz w:val="20"/>
          <w:szCs w:val="20"/>
        </w:rPr>
        <w:t xml:space="preserve"> </w:t>
      </w:r>
      <w:r w:rsidRPr="000977F7">
        <w:rPr>
          <w:rFonts w:asciiTheme="majorHAnsi" w:hAnsiTheme="majorHAnsi"/>
          <w:sz w:val="20"/>
          <w:szCs w:val="20"/>
        </w:rPr>
        <w:t>входи</w:t>
      </w:r>
      <w:r w:rsidRPr="000977F7">
        <w:rPr>
          <w:rFonts w:asciiTheme="majorHAnsi" w:hAnsiTheme="majorHAnsi"/>
          <w:spacing w:val="5"/>
          <w:sz w:val="20"/>
          <w:szCs w:val="20"/>
        </w:rPr>
        <w:t xml:space="preserve"> </w:t>
      </w:r>
      <w:r w:rsidRPr="000977F7">
        <w:rPr>
          <w:rFonts w:asciiTheme="majorHAnsi" w:hAnsiTheme="majorHAnsi"/>
          <w:sz w:val="20"/>
          <w:szCs w:val="20"/>
        </w:rPr>
        <w:t>цих</w:t>
      </w:r>
      <w:r w:rsidRPr="000977F7">
        <w:rPr>
          <w:rFonts w:asciiTheme="majorHAnsi" w:hAnsiTheme="majorHAnsi"/>
          <w:spacing w:val="6"/>
          <w:sz w:val="20"/>
          <w:szCs w:val="20"/>
        </w:rPr>
        <w:t xml:space="preserve"> </w:t>
      </w:r>
      <w:r w:rsidRPr="000977F7">
        <w:rPr>
          <w:rFonts w:asciiTheme="majorHAnsi" w:hAnsiTheme="majorHAnsi"/>
          <w:sz w:val="20"/>
          <w:szCs w:val="20"/>
        </w:rPr>
        <w:t>процесів</w:t>
      </w:r>
      <w:r w:rsidRPr="000977F7">
        <w:rPr>
          <w:rFonts w:asciiTheme="majorHAnsi" w:hAnsiTheme="majorHAnsi"/>
          <w:spacing w:val="5"/>
          <w:sz w:val="20"/>
          <w:szCs w:val="20"/>
        </w:rPr>
        <w:t xml:space="preserve"> </w:t>
      </w:r>
      <w:r w:rsidRPr="000977F7">
        <w:rPr>
          <w:rFonts w:asciiTheme="majorHAnsi" w:hAnsiTheme="majorHAnsi"/>
          <w:sz w:val="20"/>
          <w:szCs w:val="20"/>
        </w:rPr>
        <w:t>і</w:t>
      </w:r>
      <w:r w:rsidRPr="000977F7">
        <w:rPr>
          <w:rFonts w:asciiTheme="majorHAnsi" w:hAnsiTheme="majorHAnsi"/>
          <w:spacing w:val="5"/>
          <w:sz w:val="20"/>
          <w:szCs w:val="20"/>
        </w:rPr>
        <w:t xml:space="preserve"> </w:t>
      </w:r>
      <w:r w:rsidRPr="000977F7">
        <w:rPr>
          <w:rFonts w:asciiTheme="majorHAnsi" w:hAnsiTheme="majorHAnsi"/>
          <w:sz w:val="20"/>
          <w:szCs w:val="20"/>
        </w:rPr>
        <w:t>очікувані</w:t>
      </w:r>
      <w:r w:rsidRPr="000977F7">
        <w:rPr>
          <w:rFonts w:asciiTheme="majorHAnsi" w:hAnsiTheme="majorHAnsi"/>
          <w:spacing w:val="-47"/>
          <w:sz w:val="20"/>
          <w:szCs w:val="20"/>
        </w:rPr>
        <w:t xml:space="preserve"> </w:t>
      </w:r>
      <w:r w:rsidRPr="000977F7">
        <w:rPr>
          <w:rFonts w:asciiTheme="majorHAnsi" w:hAnsiTheme="majorHAnsi"/>
          <w:sz w:val="20"/>
          <w:szCs w:val="20"/>
        </w:rPr>
        <w:t>від</w:t>
      </w:r>
      <w:r w:rsidRPr="000977F7">
        <w:rPr>
          <w:rFonts w:asciiTheme="majorHAnsi" w:hAnsiTheme="majorHAnsi"/>
          <w:spacing w:val="-2"/>
          <w:sz w:val="20"/>
          <w:szCs w:val="20"/>
        </w:rPr>
        <w:t xml:space="preserve"> </w:t>
      </w:r>
      <w:r w:rsidRPr="000977F7">
        <w:rPr>
          <w:rFonts w:asciiTheme="majorHAnsi" w:hAnsiTheme="majorHAnsi"/>
          <w:sz w:val="20"/>
          <w:szCs w:val="20"/>
        </w:rPr>
        <w:t>них</w:t>
      </w:r>
      <w:r w:rsidRPr="000977F7">
        <w:rPr>
          <w:rFonts w:asciiTheme="majorHAnsi" w:hAnsiTheme="majorHAnsi"/>
          <w:spacing w:val="-1"/>
          <w:sz w:val="20"/>
          <w:szCs w:val="20"/>
        </w:rPr>
        <w:t xml:space="preserve"> </w:t>
      </w:r>
      <w:r w:rsidRPr="000977F7">
        <w:rPr>
          <w:rFonts w:asciiTheme="majorHAnsi" w:hAnsiTheme="majorHAnsi"/>
          <w:sz w:val="20"/>
          <w:szCs w:val="20"/>
        </w:rPr>
        <w:t>виходи;</w:t>
      </w:r>
    </w:p>
    <w:p w14:paraId="643F46ED" w14:textId="77777777" w:rsidR="0097612F" w:rsidRPr="000977F7" w:rsidRDefault="0097612F" w:rsidP="00FD39A4">
      <w:pPr>
        <w:pStyle w:val="ac"/>
        <w:widowControl w:val="0"/>
        <w:numPr>
          <w:ilvl w:val="1"/>
          <w:numId w:val="84"/>
        </w:numPr>
        <w:tabs>
          <w:tab w:val="left" w:pos="284"/>
          <w:tab w:val="left" w:pos="65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визначити послідовність і взаємодію цих процесів;</w:t>
      </w:r>
      <w:r w:rsidRPr="000977F7">
        <w:rPr>
          <w:rFonts w:asciiTheme="majorHAnsi" w:hAnsiTheme="majorHAnsi"/>
          <w:spacing w:val="1"/>
          <w:sz w:val="20"/>
          <w:szCs w:val="20"/>
        </w:rPr>
        <w:t xml:space="preserve"> </w:t>
      </w:r>
      <w:r w:rsidRPr="000977F7">
        <w:rPr>
          <w:rFonts w:asciiTheme="majorHAnsi" w:hAnsiTheme="majorHAnsi"/>
          <w:sz w:val="20"/>
          <w:szCs w:val="20"/>
        </w:rPr>
        <w:t>с) визначити та застосувати критерії і методи (зокрема</w:t>
      </w:r>
      <w:r w:rsidRPr="000977F7">
        <w:rPr>
          <w:rFonts w:asciiTheme="majorHAnsi" w:hAnsiTheme="majorHAnsi"/>
          <w:spacing w:val="-47"/>
          <w:sz w:val="20"/>
          <w:szCs w:val="20"/>
        </w:rPr>
        <w:t xml:space="preserve"> </w:t>
      </w:r>
      <w:r w:rsidRPr="000977F7">
        <w:rPr>
          <w:rFonts w:asciiTheme="majorHAnsi" w:hAnsiTheme="majorHAnsi"/>
          <w:sz w:val="20"/>
          <w:szCs w:val="20"/>
        </w:rPr>
        <w:t>моніторинг,</w:t>
      </w:r>
      <w:r w:rsidRPr="000977F7">
        <w:rPr>
          <w:rFonts w:asciiTheme="majorHAnsi" w:hAnsiTheme="majorHAnsi"/>
          <w:spacing w:val="45"/>
          <w:sz w:val="20"/>
          <w:szCs w:val="20"/>
        </w:rPr>
        <w:t xml:space="preserve"> </w:t>
      </w:r>
      <w:r w:rsidRPr="000977F7">
        <w:rPr>
          <w:rFonts w:asciiTheme="majorHAnsi" w:hAnsiTheme="majorHAnsi"/>
          <w:sz w:val="20"/>
          <w:szCs w:val="20"/>
        </w:rPr>
        <w:t>вимірювання</w:t>
      </w:r>
      <w:r w:rsidRPr="000977F7">
        <w:rPr>
          <w:rFonts w:asciiTheme="majorHAnsi" w:hAnsiTheme="majorHAnsi"/>
          <w:spacing w:val="44"/>
          <w:sz w:val="20"/>
          <w:szCs w:val="20"/>
        </w:rPr>
        <w:t xml:space="preserve"> </w:t>
      </w:r>
      <w:r w:rsidRPr="000977F7">
        <w:rPr>
          <w:rFonts w:asciiTheme="majorHAnsi" w:hAnsiTheme="majorHAnsi"/>
          <w:sz w:val="20"/>
          <w:szCs w:val="20"/>
        </w:rPr>
        <w:t>та</w:t>
      </w:r>
      <w:r w:rsidRPr="000977F7">
        <w:rPr>
          <w:rFonts w:asciiTheme="majorHAnsi" w:hAnsiTheme="majorHAnsi"/>
          <w:spacing w:val="43"/>
          <w:sz w:val="20"/>
          <w:szCs w:val="20"/>
        </w:rPr>
        <w:t xml:space="preserve"> </w:t>
      </w:r>
      <w:r w:rsidRPr="000977F7">
        <w:rPr>
          <w:rFonts w:asciiTheme="majorHAnsi" w:hAnsiTheme="majorHAnsi"/>
          <w:sz w:val="20"/>
          <w:szCs w:val="20"/>
        </w:rPr>
        <w:t>відповідні</w:t>
      </w:r>
      <w:r w:rsidRPr="000977F7">
        <w:rPr>
          <w:rFonts w:asciiTheme="majorHAnsi" w:hAnsiTheme="majorHAnsi"/>
          <w:spacing w:val="44"/>
          <w:sz w:val="20"/>
          <w:szCs w:val="20"/>
        </w:rPr>
        <w:t xml:space="preserve"> </w:t>
      </w:r>
      <w:r w:rsidRPr="000977F7">
        <w:rPr>
          <w:rFonts w:asciiTheme="majorHAnsi" w:hAnsiTheme="majorHAnsi"/>
          <w:sz w:val="20"/>
          <w:szCs w:val="20"/>
        </w:rPr>
        <w:t>показники</w:t>
      </w:r>
      <w:r w:rsidRPr="000977F7">
        <w:rPr>
          <w:rFonts w:asciiTheme="majorHAnsi" w:hAnsiTheme="majorHAnsi"/>
          <w:spacing w:val="-47"/>
          <w:sz w:val="20"/>
          <w:szCs w:val="20"/>
        </w:rPr>
        <w:t xml:space="preserve"> </w:t>
      </w:r>
      <w:r w:rsidRPr="000977F7">
        <w:rPr>
          <w:rFonts w:asciiTheme="majorHAnsi" w:hAnsiTheme="majorHAnsi"/>
          <w:sz w:val="20"/>
          <w:szCs w:val="20"/>
        </w:rPr>
        <w:t>дієвості),</w:t>
      </w:r>
      <w:r w:rsidRPr="000977F7">
        <w:rPr>
          <w:rFonts w:asciiTheme="majorHAnsi" w:hAnsiTheme="majorHAnsi"/>
          <w:spacing w:val="18"/>
          <w:sz w:val="20"/>
          <w:szCs w:val="20"/>
        </w:rPr>
        <w:t xml:space="preserve"> </w:t>
      </w:r>
      <w:r w:rsidRPr="000977F7">
        <w:rPr>
          <w:rFonts w:asciiTheme="majorHAnsi" w:hAnsiTheme="majorHAnsi"/>
          <w:sz w:val="20"/>
          <w:szCs w:val="20"/>
        </w:rPr>
        <w:t>потрібні</w:t>
      </w:r>
      <w:r w:rsidRPr="000977F7">
        <w:rPr>
          <w:rFonts w:asciiTheme="majorHAnsi" w:hAnsiTheme="majorHAnsi"/>
          <w:spacing w:val="18"/>
          <w:sz w:val="20"/>
          <w:szCs w:val="20"/>
        </w:rPr>
        <w:t xml:space="preserve"> </w:t>
      </w:r>
      <w:r w:rsidRPr="000977F7">
        <w:rPr>
          <w:rFonts w:asciiTheme="majorHAnsi" w:hAnsiTheme="majorHAnsi"/>
          <w:sz w:val="20"/>
          <w:szCs w:val="20"/>
        </w:rPr>
        <w:t>для</w:t>
      </w:r>
      <w:r w:rsidRPr="000977F7">
        <w:rPr>
          <w:rFonts w:asciiTheme="majorHAnsi" w:hAnsiTheme="majorHAnsi"/>
          <w:spacing w:val="17"/>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17"/>
          <w:sz w:val="20"/>
          <w:szCs w:val="20"/>
        </w:rPr>
        <w:t xml:space="preserve"> </w:t>
      </w:r>
      <w:r w:rsidRPr="000977F7">
        <w:rPr>
          <w:rFonts w:asciiTheme="majorHAnsi" w:hAnsiTheme="majorHAnsi"/>
          <w:sz w:val="20"/>
          <w:szCs w:val="20"/>
        </w:rPr>
        <w:t>результативності</w:t>
      </w:r>
      <w:r w:rsidRPr="000977F7">
        <w:rPr>
          <w:rFonts w:asciiTheme="majorHAnsi" w:hAnsiTheme="majorHAnsi"/>
          <w:spacing w:val="-47"/>
          <w:sz w:val="20"/>
          <w:szCs w:val="20"/>
        </w:rPr>
        <w:t xml:space="preserve"> </w:t>
      </w:r>
      <w:r w:rsidRPr="000977F7">
        <w:rPr>
          <w:rFonts w:asciiTheme="majorHAnsi" w:hAnsiTheme="majorHAnsi"/>
          <w:sz w:val="20"/>
          <w:szCs w:val="20"/>
        </w:rPr>
        <w:t>функціювання</w:t>
      </w:r>
      <w:r w:rsidRPr="000977F7">
        <w:rPr>
          <w:rFonts w:asciiTheme="majorHAnsi" w:hAnsiTheme="majorHAnsi"/>
          <w:spacing w:val="-3"/>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контролювання</w:t>
      </w:r>
      <w:r w:rsidRPr="000977F7">
        <w:rPr>
          <w:rFonts w:asciiTheme="majorHAnsi" w:hAnsiTheme="majorHAnsi"/>
          <w:spacing w:val="-2"/>
          <w:sz w:val="20"/>
          <w:szCs w:val="20"/>
        </w:rPr>
        <w:t xml:space="preserve"> </w:t>
      </w:r>
      <w:r w:rsidRPr="000977F7">
        <w:rPr>
          <w:rFonts w:asciiTheme="majorHAnsi" w:hAnsiTheme="majorHAnsi"/>
          <w:sz w:val="20"/>
          <w:szCs w:val="20"/>
        </w:rPr>
        <w:t>цих процесів;</w:t>
      </w:r>
    </w:p>
    <w:p w14:paraId="6A90DFF1" w14:textId="77777777" w:rsidR="0097612F" w:rsidRPr="000977F7" w:rsidRDefault="0097612F" w:rsidP="00FD39A4">
      <w:pPr>
        <w:pStyle w:val="ac"/>
        <w:widowControl w:val="0"/>
        <w:numPr>
          <w:ilvl w:val="0"/>
          <w:numId w:val="83"/>
        </w:numPr>
        <w:tabs>
          <w:tab w:val="left" w:pos="284"/>
          <w:tab w:val="left" w:pos="71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визначити</w:t>
      </w:r>
      <w:r w:rsidRPr="000977F7">
        <w:rPr>
          <w:rFonts w:asciiTheme="majorHAnsi" w:hAnsiTheme="majorHAnsi"/>
          <w:spacing w:val="2"/>
          <w:sz w:val="20"/>
          <w:szCs w:val="20"/>
        </w:rPr>
        <w:t xml:space="preserve"> </w:t>
      </w:r>
      <w:r w:rsidRPr="000977F7">
        <w:rPr>
          <w:rFonts w:asciiTheme="majorHAnsi" w:hAnsiTheme="majorHAnsi"/>
          <w:sz w:val="20"/>
          <w:szCs w:val="20"/>
        </w:rPr>
        <w:t>ресурси,</w:t>
      </w:r>
      <w:r w:rsidRPr="000977F7">
        <w:rPr>
          <w:rFonts w:asciiTheme="majorHAnsi" w:hAnsiTheme="majorHAnsi"/>
          <w:spacing w:val="6"/>
          <w:sz w:val="20"/>
          <w:szCs w:val="20"/>
        </w:rPr>
        <w:t xml:space="preserve"> </w:t>
      </w:r>
      <w:r w:rsidRPr="000977F7">
        <w:rPr>
          <w:rFonts w:asciiTheme="majorHAnsi" w:hAnsiTheme="majorHAnsi"/>
          <w:sz w:val="20"/>
          <w:szCs w:val="20"/>
        </w:rPr>
        <w:t>потрібні</w:t>
      </w:r>
      <w:r w:rsidRPr="000977F7">
        <w:rPr>
          <w:rFonts w:asciiTheme="majorHAnsi" w:hAnsiTheme="majorHAnsi"/>
          <w:spacing w:val="5"/>
          <w:sz w:val="20"/>
          <w:szCs w:val="20"/>
        </w:rPr>
        <w:t xml:space="preserve"> </w:t>
      </w:r>
      <w:r w:rsidRPr="000977F7">
        <w:rPr>
          <w:rFonts w:asciiTheme="majorHAnsi" w:hAnsiTheme="majorHAnsi"/>
          <w:sz w:val="20"/>
          <w:szCs w:val="20"/>
        </w:rPr>
        <w:t>для</w:t>
      </w:r>
      <w:r w:rsidRPr="000977F7">
        <w:rPr>
          <w:rFonts w:asciiTheme="majorHAnsi" w:hAnsiTheme="majorHAnsi"/>
          <w:spacing w:val="3"/>
          <w:sz w:val="20"/>
          <w:szCs w:val="20"/>
        </w:rPr>
        <w:t xml:space="preserve"> </w:t>
      </w:r>
      <w:r w:rsidRPr="000977F7">
        <w:rPr>
          <w:rFonts w:asciiTheme="majorHAnsi" w:hAnsiTheme="majorHAnsi"/>
          <w:sz w:val="20"/>
          <w:szCs w:val="20"/>
        </w:rPr>
        <w:t>цих</w:t>
      </w:r>
      <w:r w:rsidRPr="000977F7">
        <w:rPr>
          <w:rFonts w:asciiTheme="majorHAnsi" w:hAnsiTheme="majorHAnsi"/>
          <w:spacing w:val="2"/>
          <w:sz w:val="20"/>
          <w:szCs w:val="20"/>
        </w:rPr>
        <w:t xml:space="preserve"> </w:t>
      </w:r>
      <w:r w:rsidRPr="000977F7">
        <w:rPr>
          <w:rFonts w:asciiTheme="majorHAnsi" w:hAnsiTheme="majorHAnsi"/>
          <w:sz w:val="20"/>
          <w:szCs w:val="20"/>
        </w:rPr>
        <w:t>процесів,</w:t>
      </w:r>
      <w:r w:rsidRPr="000977F7">
        <w:rPr>
          <w:rFonts w:asciiTheme="majorHAnsi" w:hAnsiTheme="majorHAnsi"/>
          <w:spacing w:val="3"/>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забезпечувати</w:t>
      </w:r>
      <w:r w:rsidRPr="000977F7">
        <w:rPr>
          <w:rFonts w:asciiTheme="majorHAnsi" w:hAnsiTheme="majorHAnsi"/>
          <w:spacing w:val="-2"/>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наявність;</w:t>
      </w:r>
    </w:p>
    <w:p w14:paraId="52EC0554" w14:textId="77777777" w:rsidR="0097612F" w:rsidRPr="000977F7" w:rsidRDefault="0097612F" w:rsidP="00FD39A4">
      <w:pPr>
        <w:pStyle w:val="ac"/>
        <w:widowControl w:val="0"/>
        <w:numPr>
          <w:ilvl w:val="0"/>
          <w:numId w:val="83"/>
        </w:numPr>
        <w:tabs>
          <w:tab w:val="left" w:pos="284"/>
          <w:tab w:val="left" w:pos="65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призначити</w:t>
      </w:r>
      <w:r w:rsidRPr="000977F7">
        <w:rPr>
          <w:rFonts w:asciiTheme="majorHAnsi" w:hAnsiTheme="majorHAnsi"/>
          <w:spacing w:val="4"/>
          <w:sz w:val="20"/>
          <w:szCs w:val="20"/>
        </w:rPr>
        <w:t xml:space="preserve"> </w:t>
      </w:r>
      <w:r w:rsidRPr="000977F7">
        <w:rPr>
          <w:rFonts w:asciiTheme="majorHAnsi" w:hAnsiTheme="majorHAnsi"/>
          <w:sz w:val="20"/>
          <w:szCs w:val="20"/>
        </w:rPr>
        <w:t>осіб</w:t>
      </w:r>
      <w:r w:rsidRPr="000977F7">
        <w:rPr>
          <w:rFonts w:asciiTheme="majorHAnsi" w:hAnsiTheme="majorHAnsi"/>
          <w:spacing w:val="5"/>
          <w:sz w:val="20"/>
          <w:szCs w:val="20"/>
        </w:rPr>
        <w:t xml:space="preserve"> </w:t>
      </w:r>
      <w:r w:rsidRPr="000977F7">
        <w:rPr>
          <w:rFonts w:asciiTheme="majorHAnsi" w:hAnsiTheme="majorHAnsi"/>
          <w:sz w:val="20"/>
          <w:szCs w:val="20"/>
        </w:rPr>
        <w:t>з</w:t>
      </w:r>
      <w:r w:rsidRPr="000977F7">
        <w:rPr>
          <w:rFonts w:asciiTheme="majorHAnsi" w:hAnsiTheme="majorHAnsi"/>
          <w:spacing w:val="9"/>
          <w:sz w:val="20"/>
          <w:szCs w:val="20"/>
        </w:rPr>
        <w:t xml:space="preserve"> </w:t>
      </w:r>
      <w:r w:rsidRPr="000977F7">
        <w:rPr>
          <w:rFonts w:asciiTheme="majorHAnsi" w:hAnsiTheme="majorHAnsi"/>
          <w:sz w:val="20"/>
          <w:szCs w:val="20"/>
        </w:rPr>
        <w:t>відповідальністю</w:t>
      </w:r>
      <w:r w:rsidRPr="000977F7">
        <w:rPr>
          <w:rFonts w:asciiTheme="majorHAnsi" w:hAnsiTheme="majorHAnsi"/>
          <w:spacing w:val="7"/>
          <w:sz w:val="20"/>
          <w:szCs w:val="20"/>
        </w:rPr>
        <w:t xml:space="preserve"> </w:t>
      </w:r>
      <w:r w:rsidRPr="000977F7">
        <w:rPr>
          <w:rFonts w:asciiTheme="majorHAnsi" w:hAnsiTheme="majorHAnsi"/>
          <w:sz w:val="20"/>
          <w:szCs w:val="20"/>
        </w:rPr>
        <w:t>та</w:t>
      </w:r>
      <w:r w:rsidRPr="000977F7">
        <w:rPr>
          <w:rFonts w:asciiTheme="majorHAnsi" w:hAnsiTheme="majorHAnsi"/>
          <w:spacing w:val="8"/>
          <w:sz w:val="20"/>
          <w:szCs w:val="20"/>
        </w:rPr>
        <w:t xml:space="preserve"> </w:t>
      </w:r>
      <w:r w:rsidRPr="000977F7">
        <w:rPr>
          <w:rFonts w:asciiTheme="majorHAnsi" w:hAnsiTheme="majorHAnsi"/>
          <w:sz w:val="20"/>
          <w:szCs w:val="20"/>
        </w:rPr>
        <w:t>повноваженнями</w:t>
      </w:r>
      <w:r w:rsidRPr="000977F7">
        <w:rPr>
          <w:rFonts w:asciiTheme="majorHAnsi" w:hAnsiTheme="majorHAnsi"/>
          <w:spacing w:val="-2"/>
          <w:sz w:val="20"/>
          <w:szCs w:val="20"/>
        </w:rPr>
        <w:t xml:space="preserve"> </w:t>
      </w:r>
      <w:r w:rsidRPr="000977F7">
        <w:rPr>
          <w:rFonts w:asciiTheme="majorHAnsi" w:hAnsiTheme="majorHAnsi"/>
          <w:sz w:val="20"/>
          <w:szCs w:val="20"/>
        </w:rPr>
        <w:t>щодо цих</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p>
    <w:p w14:paraId="43954D1E" w14:textId="77777777" w:rsidR="0097612F" w:rsidRPr="000977F7" w:rsidRDefault="0097612F" w:rsidP="00FD39A4">
      <w:pPr>
        <w:pStyle w:val="ac"/>
        <w:widowControl w:val="0"/>
        <w:numPr>
          <w:ilvl w:val="0"/>
          <w:numId w:val="83"/>
        </w:numPr>
        <w:tabs>
          <w:tab w:val="left" w:pos="284"/>
          <w:tab w:val="left" w:pos="62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розглянути ризики та можливості, що їх визначають</w:t>
      </w:r>
      <w:r w:rsidRPr="000977F7">
        <w:rPr>
          <w:rFonts w:asciiTheme="majorHAnsi" w:hAnsiTheme="majorHAnsi"/>
          <w:spacing w:val="-47"/>
          <w:sz w:val="20"/>
          <w:szCs w:val="20"/>
        </w:rPr>
        <w:t xml:space="preserve"> </w:t>
      </w:r>
      <w:r w:rsidRPr="000977F7">
        <w:rPr>
          <w:rFonts w:asciiTheme="majorHAnsi" w:hAnsiTheme="majorHAnsi"/>
          <w:sz w:val="20"/>
          <w:szCs w:val="20"/>
        </w:rPr>
        <w:t>відповідно до вимог дій стосовно ризиків і можливостей;</w:t>
      </w:r>
    </w:p>
    <w:p w14:paraId="51BC5D6D" w14:textId="77777777" w:rsidR="0097612F" w:rsidRPr="000977F7" w:rsidRDefault="0097612F" w:rsidP="00FD39A4">
      <w:pPr>
        <w:pStyle w:val="ac"/>
        <w:widowControl w:val="0"/>
        <w:numPr>
          <w:ilvl w:val="0"/>
          <w:numId w:val="83"/>
        </w:numPr>
        <w:tabs>
          <w:tab w:val="left" w:pos="284"/>
          <w:tab w:val="left" w:pos="62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оцінювати ці процеси та запроваджувати будь-які</w:t>
      </w:r>
      <w:r w:rsidRPr="000977F7">
        <w:rPr>
          <w:rFonts w:asciiTheme="majorHAnsi" w:hAnsiTheme="majorHAnsi"/>
          <w:spacing w:val="1"/>
          <w:sz w:val="20"/>
          <w:szCs w:val="20"/>
        </w:rPr>
        <w:t xml:space="preserve"> </w:t>
      </w:r>
      <w:r w:rsidRPr="000977F7">
        <w:rPr>
          <w:rFonts w:asciiTheme="majorHAnsi" w:hAnsiTheme="majorHAnsi"/>
          <w:sz w:val="20"/>
          <w:szCs w:val="20"/>
        </w:rPr>
        <w:t>зміни, потрібні для забезпечування того, щоб ці процеси</w:t>
      </w:r>
      <w:r w:rsidRPr="000977F7">
        <w:rPr>
          <w:rFonts w:asciiTheme="majorHAnsi" w:hAnsiTheme="majorHAnsi"/>
          <w:spacing w:val="-2"/>
          <w:sz w:val="20"/>
          <w:szCs w:val="20"/>
        </w:rPr>
        <w:t xml:space="preserve"> </w:t>
      </w:r>
      <w:r w:rsidRPr="000977F7">
        <w:rPr>
          <w:rFonts w:asciiTheme="majorHAnsi" w:hAnsiTheme="majorHAnsi"/>
          <w:sz w:val="20"/>
          <w:szCs w:val="20"/>
        </w:rPr>
        <w:t>досягали</w:t>
      </w:r>
      <w:r w:rsidRPr="000977F7">
        <w:rPr>
          <w:rFonts w:asciiTheme="majorHAnsi" w:hAnsiTheme="majorHAnsi"/>
          <w:spacing w:val="-2"/>
          <w:sz w:val="20"/>
          <w:szCs w:val="20"/>
        </w:rPr>
        <w:t xml:space="preserve"> </w:t>
      </w:r>
      <w:r w:rsidRPr="000977F7">
        <w:rPr>
          <w:rFonts w:asciiTheme="majorHAnsi" w:hAnsiTheme="majorHAnsi"/>
          <w:sz w:val="20"/>
          <w:szCs w:val="20"/>
        </w:rPr>
        <w:t>своїх передбачених</w:t>
      </w:r>
      <w:r w:rsidRPr="000977F7">
        <w:rPr>
          <w:rFonts w:asciiTheme="majorHAnsi" w:hAnsiTheme="majorHAnsi"/>
          <w:spacing w:val="-2"/>
          <w:sz w:val="20"/>
          <w:szCs w:val="20"/>
        </w:rPr>
        <w:t xml:space="preserve"> </w:t>
      </w:r>
      <w:r w:rsidRPr="000977F7">
        <w:rPr>
          <w:rFonts w:asciiTheme="majorHAnsi" w:hAnsiTheme="majorHAnsi"/>
          <w:sz w:val="20"/>
          <w:szCs w:val="20"/>
        </w:rPr>
        <w:t>результатів;</w:t>
      </w:r>
    </w:p>
    <w:p w14:paraId="4258FD28" w14:textId="77777777" w:rsidR="0097612F" w:rsidRPr="000977F7" w:rsidRDefault="0097612F" w:rsidP="00FD39A4">
      <w:pPr>
        <w:pStyle w:val="ac"/>
        <w:widowControl w:val="0"/>
        <w:numPr>
          <w:ilvl w:val="0"/>
          <w:numId w:val="83"/>
        </w:numPr>
        <w:tabs>
          <w:tab w:val="left" w:pos="284"/>
          <w:tab w:val="left" w:pos="56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поліпшувати процеси та систему управління якістю.</w:t>
      </w:r>
    </w:p>
    <w:p w14:paraId="6AF4CA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4"/>
          <w:sz w:val="20"/>
          <w:szCs w:val="20"/>
        </w:rPr>
        <w:t xml:space="preserve"> </w:t>
      </w:r>
      <w:r w:rsidRPr="000977F7">
        <w:rPr>
          <w:rFonts w:asciiTheme="majorHAnsi" w:hAnsiTheme="majorHAnsi"/>
          <w:sz w:val="20"/>
          <w:szCs w:val="20"/>
        </w:rPr>
        <w:t>повинна,</w:t>
      </w:r>
      <w:r w:rsidRPr="000977F7">
        <w:rPr>
          <w:rFonts w:asciiTheme="majorHAnsi" w:hAnsiTheme="majorHAnsi"/>
          <w:spacing w:val="-4"/>
          <w:sz w:val="20"/>
          <w:szCs w:val="20"/>
        </w:rPr>
        <w:t xml:space="preserve"> </w:t>
      </w:r>
      <w:r w:rsidRPr="000977F7">
        <w:rPr>
          <w:rFonts w:asciiTheme="majorHAnsi" w:hAnsiTheme="majorHAnsi"/>
          <w:sz w:val="20"/>
          <w:szCs w:val="20"/>
        </w:rPr>
        <w:t>наскільки</w:t>
      </w:r>
      <w:r w:rsidRPr="000977F7">
        <w:rPr>
          <w:rFonts w:asciiTheme="majorHAnsi" w:hAnsiTheme="majorHAnsi"/>
          <w:spacing w:val="-5"/>
          <w:sz w:val="20"/>
          <w:szCs w:val="20"/>
        </w:rPr>
        <w:t xml:space="preserve"> </w:t>
      </w:r>
      <w:r w:rsidRPr="000977F7">
        <w:rPr>
          <w:rFonts w:asciiTheme="majorHAnsi" w:hAnsiTheme="majorHAnsi"/>
          <w:sz w:val="20"/>
          <w:szCs w:val="20"/>
        </w:rPr>
        <w:t>це</w:t>
      </w:r>
      <w:r w:rsidRPr="000977F7">
        <w:rPr>
          <w:rFonts w:asciiTheme="majorHAnsi" w:hAnsiTheme="majorHAnsi"/>
          <w:spacing w:val="-3"/>
          <w:sz w:val="20"/>
          <w:szCs w:val="20"/>
        </w:rPr>
        <w:t xml:space="preserve"> </w:t>
      </w:r>
      <w:r w:rsidRPr="000977F7">
        <w:rPr>
          <w:rFonts w:asciiTheme="majorHAnsi" w:hAnsiTheme="majorHAnsi"/>
          <w:sz w:val="20"/>
          <w:szCs w:val="20"/>
        </w:rPr>
        <w:t>необхідно,</w:t>
      </w:r>
    </w:p>
    <w:p w14:paraId="4BFE5B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підтримувати в актуальному стані задокументовану</w:t>
      </w:r>
      <w:r w:rsidRPr="000977F7">
        <w:rPr>
          <w:rFonts w:asciiTheme="majorHAnsi" w:hAnsiTheme="majorHAnsi"/>
          <w:spacing w:val="-47"/>
          <w:sz w:val="20"/>
          <w:szCs w:val="20"/>
        </w:rPr>
        <w:t xml:space="preserve"> </w:t>
      </w:r>
      <w:r w:rsidRPr="000977F7">
        <w:rPr>
          <w:rFonts w:asciiTheme="majorHAnsi" w:hAnsiTheme="majorHAnsi"/>
          <w:sz w:val="20"/>
          <w:szCs w:val="20"/>
        </w:rPr>
        <w:t>інформацію,</w:t>
      </w:r>
      <w:r w:rsidRPr="000977F7">
        <w:rPr>
          <w:rFonts w:asciiTheme="majorHAnsi" w:hAnsiTheme="majorHAnsi"/>
          <w:spacing w:val="-3"/>
          <w:sz w:val="20"/>
          <w:szCs w:val="20"/>
        </w:rPr>
        <w:t xml:space="preserve"> </w:t>
      </w:r>
      <w:r w:rsidRPr="000977F7">
        <w:rPr>
          <w:rFonts w:asciiTheme="majorHAnsi" w:hAnsiTheme="majorHAnsi"/>
          <w:sz w:val="20"/>
          <w:szCs w:val="20"/>
        </w:rPr>
        <w:t>необхідну</w:t>
      </w:r>
      <w:r w:rsidRPr="000977F7">
        <w:rPr>
          <w:rFonts w:asciiTheme="majorHAnsi" w:hAnsiTheme="majorHAnsi"/>
          <w:spacing w:val="-3"/>
          <w:sz w:val="20"/>
          <w:szCs w:val="20"/>
        </w:rPr>
        <w:t xml:space="preserve"> </w:t>
      </w:r>
      <w:r w:rsidRPr="000977F7">
        <w:rPr>
          <w:rFonts w:asciiTheme="majorHAnsi" w:hAnsiTheme="majorHAnsi"/>
          <w:sz w:val="20"/>
          <w:szCs w:val="20"/>
        </w:rPr>
        <w:t>для функціювання</w:t>
      </w:r>
      <w:r w:rsidRPr="000977F7">
        <w:rPr>
          <w:rFonts w:asciiTheme="majorHAnsi" w:hAnsiTheme="majorHAnsi"/>
          <w:spacing w:val="-3"/>
          <w:sz w:val="20"/>
          <w:szCs w:val="20"/>
        </w:rPr>
        <w:t xml:space="preserve"> </w:t>
      </w:r>
      <w:r w:rsidRPr="000977F7">
        <w:rPr>
          <w:rFonts w:asciiTheme="majorHAnsi" w:hAnsiTheme="majorHAnsi"/>
          <w:sz w:val="20"/>
          <w:szCs w:val="20"/>
        </w:rPr>
        <w:t>процесів;</w:t>
      </w:r>
    </w:p>
    <w:p w14:paraId="781952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 зберігати задокументовану інформацію, щоб мати</w:t>
      </w:r>
      <w:r w:rsidRPr="000977F7">
        <w:rPr>
          <w:rFonts w:asciiTheme="majorHAnsi" w:hAnsiTheme="majorHAnsi"/>
          <w:spacing w:val="1"/>
          <w:sz w:val="20"/>
          <w:szCs w:val="20"/>
        </w:rPr>
        <w:t xml:space="preserve"> </w:t>
      </w:r>
      <w:r w:rsidRPr="000977F7">
        <w:rPr>
          <w:rFonts w:asciiTheme="majorHAnsi" w:hAnsiTheme="majorHAnsi"/>
          <w:sz w:val="20"/>
          <w:szCs w:val="20"/>
        </w:rPr>
        <w:t>впевненість</w:t>
      </w:r>
      <w:r w:rsidRPr="000977F7">
        <w:rPr>
          <w:rFonts w:asciiTheme="majorHAnsi" w:hAnsiTheme="majorHAnsi"/>
          <w:spacing w:val="1"/>
          <w:sz w:val="20"/>
          <w:szCs w:val="20"/>
        </w:rPr>
        <w:t xml:space="preserve"> </w:t>
      </w:r>
      <w:r w:rsidRPr="000977F7">
        <w:rPr>
          <w:rFonts w:asciiTheme="majorHAnsi" w:hAnsiTheme="majorHAnsi"/>
          <w:sz w:val="20"/>
          <w:szCs w:val="20"/>
        </w:rPr>
        <w:t>у тому,</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процеси виконують</w:t>
      </w:r>
      <w:r w:rsidRPr="000977F7">
        <w:rPr>
          <w:rFonts w:asciiTheme="majorHAnsi" w:hAnsiTheme="majorHAnsi"/>
          <w:spacing w:val="1"/>
          <w:sz w:val="20"/>
          <w:szCs w:val="20"/>
        </w:rPr>
        <w:t xml:space="preserve"> </w:t>
      </w:r>
      <w:r w:rsidRPr="000977F7">
        <w:rPr>
          <w:rFonts w:asciiTheme="majorHAnsi" w:hAnsiTheme="majorHAnsi"/>
          <w:sz w:val="20"/>
          <w:szCs w:val="20"/>
        </w:rPr>
        <w:t>так,</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заплановано.</w:t>
      </w:r>
    </w:p>
    <w:p w14:paraId="7E81326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3D76ABF3" w14:textId="77777777" w:rsidR="0097612F" w:rsidRPr="000977F7" w:rsidRDefault="0097612F" w:rsidP="000977F7">
      <w:pPr>
        <w:pStyle w:val="7"/>
        <w:tabs>
          <w:tab w:val="left" w:pos="284"/>
        </w:tabs>
        <w:spacing w:before="0" w:line="240" w:lineRule="auto"/>
        <w:ind w:left="170"/>
        <w:mirrorIndents/>
        <w:jc w:val="both"/>
        <w:rPr>
          <w:color w:val="auto"/>
          <w:spacing w:val="-4"/>
          <w:sz w:val="20"/>
          <w:szCs w:val="20"/>
        </w:rPr>
      </w:pPr>
      <w:r w:rsidRPr="000977F7">
        <w:rPr>
          <w:color w:val="auto"/>
          <w:sz w:val="20"/>
          <w:szCs w:val="20"/>
        </w:rPr>
        <w:t>СИСТЕМА</w:t>
      </w:r>
      <w:r w:rsidRPr="000977F7">
        <w:rPr>
          <w:color w:val="auto"/>
          <w:spacing w:val="-4"/>
          <w:sz w:val="20"/>
          <w:szCs w:val="20"/>
        </w:rPr>
        <w:t xml:space="preserve"> </w:t>
      </w:r>
      <w:r w:rsidRPr="000977F7">
        <w:rPr>
          <w:color w:val="auto"/>
          <w:sz w:val="20"/>
          <w:szCs w:val="20"/>
        </w:rPr>
        <w:t>ЯКОСТІ</w:t>
      </w:r>
      <w:r w:rsidRPr="000977F7">
        <w:rPr>
          <w:color w:val="auto"/>
          <w:spacing w:val="-5"/>
          <w:sz w:val="20"/>
          <w:szCs w:val="20"/>
        </w:rPr>
        <w:t xml:space="preserve"> </w:t>
      </w:r>
      <w:r w:rsidRPr="000977F7">
        <w:rPr>
          <w:color w:val="auto"/>
          <w:sz w:val="20"/>
          <w:szCs w:val="20"/>
        </w:rPr>
        <w:t>ПРОГРАМНОГО</w:t>
      </w:r>
      <w:r w:rsidRPr="000977F7">
        <w:rPr>
          <w:color w:val="auto"/>
          <w:spacing w:val="-4"/>
          <w:sz w:val="20"/>
          <w:szCs w:val="20"/>
        </w:rPr>
        <w:t xml:space="preserve"> </w:t>
      </w:r>
    </w:p>
    <w:p w14:paraId="0CAF54B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ЗАСОБУ</w:t>
      </w:r>
      <w:r w:rsidRPr="000977F7">
        <w:rPr>
          <w:color w:val="auto"/>
          <w:spacing w:val="-2"/>
          <w:sz w:val="20"/>
          <w:szCs w:val="20"/>
        </w:rPr>
        <w:t xml:space="preserve"> </w:t>
      </w:r>
      <w:r w:rsidRPr="000977F7">
        <w:rPr>
          <w:color w:val="auto"/>
          <w:sz w:val="20"/>
          <w:szCs w:val="20"/>
        </w:rPr>
        <w:t>–</w:t>
      </w:r>
    </w:p>
    <w:p w14:paraId="3D52606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SOFTWARE</w:t>
      </w:r>
      <w:r w:rsidRPr="004D2D14">
        <w:rPr>
          <w:rFonts w:asciiTheme="majorHAnsi" w:hAnsiTheme="majorHAnsi"/>
          <w:spacing w:val="-1"/>
          <w:sz w:val="20"/>
          <w:szCs w:val="20"/>
          <w:lang w:val="uk-UA"/>
        </w:rPr>
        <w:t xml:space="preserve"> </w:t>
      </w:r>
      <w:r w:rsidRPr="000977F7">
        <w:rPr>
          <w:rFonts w:asciiTheme="majorHAnsi" w:hAnsiTheme="majorHAnsi"/>
          <w:sz w:val="20"/>
          <w:szCs w:val="20"/>
        </w:rPr>
        <w:t>QUALITY</w:t>
      </w:r>
      <w:r w:rsidRPr="004D2D14">
        <w:rPr>
          <w:rFonts w:asciiTheme="majorHAnsi" w:hAnsiTheme="majorHAnsi"/>
          <w:spacing w:val="-1"/>
          <w:sz w:val="20"/>
          <w:szCs w:val="20"/>
          <w:lang w:val="uk-UA"/>
        </w:rPr>
        <w:t xml:space="preserve"> </w:t>
      </w:r>
      <w:r w:rsidRPr="000977F7">
        <w:rPr>
          <w:rFonts w:asciiTheme="majorHAnsi" w:hAnsiTheme="majorHAnsi"/>
          <w:sz w:val="20"/>
          <w:szCs w:val="20"/>
        </w:rPr>
        <w:t>SYSTEM</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1C491A6C"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Сукупність</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організаційної</w:t>
      </w:r>
      <w:r w:rsidRPr="004D2D14">
        <w:rPr>
          <w:rFonts w:asciiTheme="majorHAnsi" w:hAnsiTheme="majorHAnsi"/>
          <w:spacing w:val="13"/>
          <w:sz w:val="20"/>
          <w:szCs w:val="20"/>
          <w:lang w:val="uk-UA"/>
        </w:rPr>
        <w:t xml:space="preserve"> </w:t>
      </w:r>
      <w:r w:rsidRPr="004D2D14">
        <w:rPr>
          <w:rFonts w:asciiTheme="majorHAnsi" w:hAnsiTheme="majorHAnsi"/>
          <w:sz w:val="20"/>
          <w:szCs w:val="20"/>
          <w:lang w:val="uk-UA"/>
        </w:rPr>
        <w:t>структури,</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відповідальності,</w:t>
      </w:r>
      <w:r w:rsidRPr="004D2D14">
        <w:rPr>
          <w:rFonts w:asciiTheme="majorHAnsi" w:hAnsiTheme="majorHAnsi"/>
          <w:spacing w:val="21"/>
          <w:sz w:val="20"/>
          <w:szCs w:val="20"/>
          <w:lang w:val="uk-UA"/>
        </w:rPr>
        <w:t xml:space="preserve"> </w:t>
      </w:r>
      <w:r w:rsidRPr="004D2D14">
        <w:rPr>
          <w:rFonts w:asciiTheme="majorHAnsi" w:hAnsiTheme="majorHAnsi"/>
          <w:sz w:val="20"/>
          <w:szCs w:val="20"/>
          <w:lang w:val="uk-UA"/>
        </w:rPr>
        <w:t>процедур,</w:t>
      </w:r>
      <w:r w:rsidRPr="004D2D14">
        <w:rPr>
          <w:rFonts w:asciiTheme="majorHAnsi" w:hAnsiTheme="majorHAnsi"/>
          <w:spacing w:val="22"/>
          <w:sz w:val="20"/>
          <w:szCs w:val="20"/>
          <w:lang w:val="uk-UA"/>
        </w:rPr>
        <w:t xml:space="preserve"> </w:t>
      </w:r>
      <w:r w:rsidRPr="004D2D14">
        <w:rPr>
          <w:rFonts w:asciiTheme="majorHAnsi" w:hAnsiTheme="majorHAnsi"/>
          <w:sz w:val="20"/>
          <w:szCs w:val="20"/>
          <w:lang w:val="uk-UA"/>
        </w:rPr>
        <w:t>процесів</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ресурсів,</w:t>
      </w:r>
      <w:r w:rsidRPr="004D2D14">
        <w:rPr>
          <w:rFonts w:asciiTheme="majorHAnsi" w:hAnsiTheme="majorHAnsi"/>
          <w:spacing w:val="19"/>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9"/>
          <w:sz w:val="20"/>
          <w:szCs w:val="20"/>
          <w:lang w:val="uk-UA"/>
        </w:rPr>
        <w:t xml:space="preserve"> </w:t>
      </w:r>
      <w:r w:rsidRPr="004D2D14">
        <w:rPr>
          <w:rFonts w:asciiTheme="majorHAnsi" w:hAnsiTheme="majorHAnsi"/>
          <w:sz w:val="20"/>
          <w:szCs w:val="20"/>
          <w:lang w:val="uk-UA"/>
        </w:rPr>
        <w:t>спрямовані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на реалізацію керування якістю програмного засобу</w:t>
      </w:r>
      <w:r w:rsidRPr="004D2D14">
        <w:rPr>
          <w:rFonts w:asciiTheme="majorHAnsi" w:hAnsiTheme="majorHAnsi"/>
          <w:spacing w:val="1"/>
          <w:sz w:val="20"/>
          <w:szCs w:val="20"/>
          <w:lang w:val="uk-UA"/>
        </w:rPr>
        <w:t xml:space="preserve"> </w:t>
      </w:r>
    </w:p>
    <w:p w14:paraId="3B877441"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 2844 - 94</w:t>
      </w:r>
    </w:p>
    <w:p w14:paraId="5683C55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СИСТЕМАТИЧНА</w:t>
      </w:r>
      <w:r w:rsidRPr="000977F7">
        <w:rPr>
          <w:color w:val="auto"/>
          <w:spacing w:val="-5"/>
          <w:sz w:val="20"/>
          <w:szCs w:val="20"/>
        </w:rPr>
        <w:t xml:space="preserve"> </w:t>
      </w:r>
      <w:r w:rsidRPr="000977F7">
        <w:rPr>
          <w:color w:val="auto"/>
          <w:sz w:val="20"/>
          <w:szCs w:val="20"/>
        </w:rPr>
        <w:t>ВИБІРКА</w:t>
      </w:r>
      <w:r w:rsidRPr="000977F7">
        <w:rPr>
          <w:color w:val="auto"/>
          <w:spacing w:val="-3"/>
          <w:sz w:val="20"/>
          <w:szCs w:val="20"/>
        </w:rPr>
        <w:t xml:space="preserve"> </w:t>
      </w:r>
      <w:r w:rsidRPr="000977F7">
        <w:rPr>
          <w:color w:val="auto"/>
          <w:sz w:val="20"/>
          <w:szCs w:val="20"/>
        </w:rPr>
        <w:t>–</w:t>
      </w:r>
    </w:p>
    <w:p w14:paraId="183691B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SYSTEMATIC</w:t>
      </w:r>
      <w:r w:rsidRPr="004D2D14">
        <w:rPr>
          <w:rFonts w:asciiTheme="majorHAnsi" w:hAnsiTheme="majorHAnsi"/>
          <w:spacing w:val="-4"/>
          <w:sz w:val="20"/>
          <w:szCs w:val="20"/>
          <w:lang w:val="uk-UA"/>
        </w:rPr>
        <w:t xml:space="preserve"> </w:t>
      </w:r>
      <w:r w:rsidRPr="000977F7">
        <w:rPr>
          <w:rFonts w:asciiTheme="majorHAnsi" w:hAnsiTheme="majorHAnsi"/>
          <w:sz w:val="20"/>
          <w:szCs w:val="20"/>
        </w:rPr>
        <w:t>SAMPLE</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0081F88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Вибірка, потрапляння в яку одиниць продукції (спостережуваних</w:t>
      </w:r>
      <w:r w:rsidRPr="000977F7">
        <w:rPr>
          <w:rFonts w:asciiTheme="majorHAnsi" w:hAnsiTheme="majorHAnsi"/>
          <w:spacing w:val="1"/>
          <w:sz w:val="20"/>
          <w:szCs w:val="20"/>
        </w:rPr>
        <w:t xml:space="preserve"> </w:t>
      </w:r>
      <w:r w:rsidRPr="000977F7">
        <w:rPr>
          <w:rFonts w:asciiTheme="majorHAnsi" w:hAnsiTheme="majorHAnsi"/>
          <w:sz w:val="20"/>
          <w:szCs w:val="20"/>
        </w:rPr>
        <w:t>значень)</w:t>
      </w:r>
      <w:r w:rsidRPr="000977F7">
        <w:rPr>
          <w:rFonts w:asciiTheme="majorHAnsi" w:hAnsiTheme="majorHAnsi"/>
          <w:spacing w:val="1"/>
          <w:sz w:val="20"/>
          <w:szCs w:val="20"/>
        </w:rPr>
        <w:t xml:space="preserve"> </w:t>
      </w:r>
      <w:r w:rsidRPr="000977F7">
        <w:rPr>
          <w:rFonts w:asciiTheme="majorHAnsi" w:hAnsiTheme="majorHAnsi"/>
          <w:sz w:val="20"/>
          <w:szCs w:val="20"/>
        </w:rPr>
        <w:t>зумовлюється</w:t>
      </w:r>
      <w:r w:rsidRPr="000977F7">
        <w:rPr>
          <w:rFonts w:asciiTheme="majorHAnsi" w:hAnsiTheme="majorHAnsi"/>
          <w:spacing w:val="1"/>
          <w:sz w:val="20"/>
          <w:szCs w:val="20"/>
        </w:rPr>
        <w:t xml:space="preserve"> </w:t>
      </w:r>
      <w:r w:rsidRPr="000977F7">
        <w:rPr>
          <w:rFonts w:asciiTheme="majorHAnsi" w:hAnsiTheme="majorHAnsi"/>
          <w:sz w:val="20"/>
          <w:szCs w:val="20"/>
        </w:rPr>
        <w:t>однаковими</w:t>
      </w:r>
      <w:r w:rsidRPr="000977F7">
        <w:rPr>
          <w:rFonts w:asciiTheme="majorHAnsi" w:hAnsiTheme="majorHAnsi"/>
          <w:spacing w:val="1"/>
          <w:sz w:val="20"/>
          <w:szCs w:val="20"/>
        </w:rPr>
        <w:t xml:space="preserve"> </w:t>
      </w:r>
      <w:r w:rsidRPr="000977F7">
        <w:rPr>
          <w:rFonts w:asciiTheme="majorHAnsi" w:hAnsiTheme="majorHAnsi"/>
          <w:sz w:val="20"/>
          <w:szCs w:val="20"/>
        </w:rPr>
        <w:t>проміжками</w:t>
      </w:r>
      <w:r w:rsidRPr="000977F7">
        <w:rPr>
          <w:rFonts w:asciiTheme="majorHAnsi" w:hAnsiTheme="majorHAnsi"/>
          <w:spacing w:val="-2"/>
          <w:sz w:val="20"/>
          <w:szCs w:val="20"/>
        </w:rPr>
        <w:t xml:space="preserve"> </w:t>
      </w:r>
      <w:r w:rsidRPr="000977F7">
        <w:rPr>
          <w:rFonts w:asciiTheme="majorHAnsi" w:hAnsiTheme="majorHAnsi"/>
          <w:sz w:val="20"/>
          <w:szCs w:val="20"/>
        </w:rPr>
        <w:t>часу</w:t>
      </w:r>
      <w:r w:rsidRPr="000977F7">
        <w:rPr>
          <w:rFonts w:asciiTheme="majorHAnsi" w:hAnsiTheme="majorHAnsi"/>
          <w:spacing w:val="-1"/>
          <w:sz w:val="20"/>
          <w:szCs w:val="20"/>
        </w:rPr>
        <w:t xml:space="preserve"> </w:t>
      </w:r>
      <w:r w:rsidRPr="000977F7">
        <w:rPr>
          <w:rFonts w:asciiTheme="majorHAnsi" w:hAnsiTheme="majorHAnsi"/>
          <w:sz w:val="20"/>
          <w:szCs w:val="20"/>
        </w:rPr>
        <w:t>та (чи) простору</w:t>
      </w:r>
    </w:p>
    <w:p w14:paraId="1527DFA2"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3514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97</w:t>
      </w:r>
    </w:p>
    <w:p w14:paraId="35BB111C"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1"/>
          <w:sz w:val="20"/>
          <w:szCs w:val="20"/>
          <w:lang w:val="en-US"/>
        </w:rPr>
      </w:pPr>
      <w:r w:rsidRPr="000977F7">
        <w:rPr>
          <w:rFonts w:asciiTheme="majorHAnsi" w:hAnsiTheme="majorHAnsi"/>
          <w:b/>
          <w:sz w:val="20"/>
          <w:szCs w:val="20"/>
        </w:rPr>
        <w:t>СИСТЕМАТИЧНА</w:t>
      </w:r>
      <w:r w:rsidRPr="004D2D14">
        <w:rPr>
          <w:rFonts w:asciiTheme="majorHAnsi" w:hAnsiTheme="majorHAnsi"/>
          <w:b/>
          <w:spacing w:val="-1"/>
          <w:sz w:val="20"/>
          <w:szCs w:val="20"/>
          <w:lang w:val="en-US"/>
        </w:rPr>
        <w:t xml:space="preserve"> </w:t>
      </w:r>
      <w:r w:rsidRPr="000977F7">
        <w:rPr>
          <w:rFonts w:asciiTheme="majorHAnsi" w:hAnsiTheme="majorHAnsi"/>
          <w:b/>
          <w:sz w:val="20"/>
          <w:szCs w:val="20"/>
        </w:rPr>
        <w:t>ВІДМОВА</w:t>
      </w:r>
      <w:r w:rsidRPr="004D2D14">
        <w:rPr>
          <w:rFonts w:asciiTheme="majorHAnsi" w:hAnsiTheme="majorHAnsi"/>
          <w:b/>
          <w:spacing w:val="1"/>
          <w:sz w:val="20"/>
          <w:szCs w:val="20"/>
          <w:lang w:val="en-US"/>
        </w:rPr>
        <w:t xml:space="preserve"> </w:t>
      </w:r>
      <w:r w:rsidRPr="004D2D14">
        <w:rPr>
          <w:rFonts w:asciiTheme="majorHAnsi" w:hAnsiTheme="majorHAnsi"/>
          <w:b/>
          <w:sz w:val="20"/>
          <w:szCs w:val="20"/>
          <w:lang w:val="en-US"/>
        </w:rPr>
        <w:t>–</w:t>
      </w:r>
    </w:p>
    <w:p w14:paraId="648C3A8C" w14:textId="77777777" w:rsidR="0097612F" w:rsidRPr="004D2D14" w:rsidRDefault="0097612F" w:rsidP="000977F7">
      <w:pPr>
        <w:tabs>
          <w:tab w:val="left" w:pos="284"/>
        </w:tabs>
        <w:spacing w:after="0" w:line="240" w:lineRule="auto"/>
        <w:ind w:left="170"/>
        <w:mirrorIndents/>
        <w:jc w:val="both"/>
        <w:rPr>
          <w:rFonts w:asciiTheme="majorHAnsi" w:hAnsiTheme="majorHAnsi"/>
          <w:spacing w:val="-47"/>
          <w:sz w:val="20"/>
          <w:szCs w:val="20"/>
          <w:lang w:val="en-US"/>
        </w:rPr>
      </w:pPr>
      <w:r w:rsidRPr="004D2D14">
        <w:rPr>
          <w:rFonts w:asciiTheme="majorHAnsi" w:hAnsiTheme="majorHAnsi"/>
          <w:sz w:val="20"/>
          <w:szCs w:val="20"/>
          <w:lang w:val="en-US"/>
        </w:rPr>
        <w:t>SYSTEMATIC</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REPRODUCIBLE</w:t>
      </w:r>
      <w:r w:rsidRPr="004D2D14">
        <w:rPr>
          <w:rFonts w:asciiTheme="majorHAnsi" w:hAnsiTheme="majorHAnsi"/>
          <w:spacing w:val="-47"/>
          <w:sz w:val="20"/>
          <w:szCs w:val="20"/>
          <w:lang w:val="en-US"/>
        </w:rPr>
        <w:t xml:space="preserve">  </w:t>
      </w:r>
    </w:p>
    <w:p w14:paraId="72AEE712"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FAILURE –</w:t>
      </w:r>
    </w:p>
    <w:p w14:paraId="3AE3920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Відмова</w:t>
      </w:r>
      <w:r w:rsidRPr="004D2D14">
        <w:rPr>
          <w:rFonts w:asciiTheme="majorHAnsi" w:hAnsiTheme="majorHAnsi"/>
          <w:sz w:val="20"/>
          <w:szCs w:val="20"/>
          <w:lang w:val="en-US"/>
        </w:rPr>
        <w:t xml:space="preserve">, </w:t>
      </w:r>
      <w:r w:rsidRPr="000977F7">
        <w:rPr>
          <w:rFonts w:asciiTheme="majorHAnsi" w:hAnsiTheme="majorHAnsi"/>
          <w:sz w:val="20"/>
          <w:szCs w:val="20"/>
        </w:rPr>
        <w:t>однозначно</w:t>
      </w:r>
      <w:r w:rsidRPr="004D2D14">
        <w:rPr>
          <w:rFonts w:asciiTheme="majorHAnsi" w:hAnsiTheme="majorHAnsi"/>
          <w:sz w:val="20"/>
          <w:szCs w:val="20"/>
          <w:lang w:val="en-US"/>
        </w:rPr>
        <w:t xml:space="preserve"> </w:t>
      </w:r>
      <w:r w:rsidRPr="000977F7">
        <w:rPr>
          <w:rFonts w:asciiTheme="majorHAnsi" w:hAnsiTheme="majorHAnsi"/>
          <w:sz w:val="20"/>
          <w:szCs w:val="20"/>
        </w:rPr>
        <w:t>пов</w:t>
      </w:r>
      <w:r w:rsidRPr="004D2D14">
        <w:rPr>
          <w:rFonts w:asciiTheme="majorHAnsi" w:hAnsiTheme="majorHAnsi"/>
          <w:sz w:val="20"/>
          <w:szCs w:val="20"/>
          <w:lang w:val="en-US"/>
        </w:rPr>
        <w:t>’</w:t>
      </w:r>
      <w:r w:rsidRPr="000977F7">
        <w:rPr>
          <w:rFonts w:asciiTheme="majorHAnsi" w:hAnsiTheme="majorHAnsi"/>
          <w:sz w:val="20"/>
          <w:szCs w:val="20"/>
        </w:rPr>
        <w:t>язана</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певною</w:t>
      </w:r>
      <w:r w:rsidRPr="004D2D14">
        <w:rPr>
          <w:rFonts w:asciiTheme="majorHAnsi" w:hAnsiTheme="majorHAnsi"/>
          <w:sz w:val="20"/>
          <w:szCs w:val="20"/>
          <w:lang w:val="en-US"/>
        </w:rPr>
        <w:t xml:space="preserve"> </w:t>
      </w:r>
      <w:r w:rsidRPr="000977F7">
        <w:rPr>
          <w:rFonts w:asciiTheme="majorHAnsi" w:hAnsiTheme="majorHAnsi"/>
          <w:sz w:val="20"/>
          <w:szCs w:val="20"/>
        </w:rPr>
        <w:t>причиною</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яку</w:t>
      </w:r>
      <w:r w:rsidRPr="004D2D14">
        <w:rPr>
          <w:rFonts w:asciiTheme="majorHAnsi" w:hAnsiTheme="majorHAnsi"/>
          <w:spacing w:val="1"/>
          <w:sz w:val="20"/>
          <w:szCs w:val="20"/>
          <w:lang w:val="en-US"/>
        </w:rPr>
        <w:t xml:space="preserve"> </w:t>
      </w:r>
      <w:r w:rsidRPr="000977F7">
        <w:rPr>
          <w:rFonts w:asciiTheme="majorHAnsi" w:hAnsiTheme="majorHAnsi"/>
          <w:sz w:val="20"/>
          <w:szCs w:val="20"/>
        </w:rPr>
        <w:t>можна</w:t>
      </w:r>
      <w:r w:rsidRPr="004D2D14">
        <w:rPr>
          <w:rFonts w:asciiTheme="majorHAnsi" w:hAnsiTheme="majorHAnsi"/>
          <w:spacing w:val="1"/>
          <w:sz w:val="20"/>
          <w:szCs w:val="20"/>
          <w:lang w:val="en-US"/>
        </w:rPr>
        <w:t xml:space="preserve"> </w:t>
      </w:r>
      <w:r w:rsidRPr="000977F7">
        <w:rPr>
          <w:rFonts w:asciiTheme="majorHAnsi" w:hAnsiTheme="majorHAnsi"/>
          <w:sz w:val="20"/>
          <w:szCs w:val="20"/>
        </w:rPr>
        <w:t>усунути</w:t>
      </w:r>
      <w:r w:rsidRPr="004D2D14">
        <w:rPr>
          <w:rFonts w:asciiTheme="majorHAnsi" w:hAnsiTheme="majorHAnsi"/>
          <w:spacing w:val="1"/>
          <w:sz w:val="20"/>
          <w:szCs w:val="20"/>
          <w:lang w:val="en-US"/>
        </w:rPr>
        <w:t xml:space="preserve"> </w:t>
      </w:r>
      <w:r w:rsidRPr="000977F7">
        <w:rPr>
          <w:rFonts w:asciiTheme="majorHAnsi" w:hAnsiTheme="majorHAnsi"/>
          <w:sz w:val="20"/>
          <w:szCs w:val="20"/>
        </w:rPr>
        <w:t>лише</w:t>
      </w:r>
      <w:r w:rsidRPr="004D2D14">
        <w:rPr>
          <w:rFonts w:asciiTheme="majorHAnsi" w:hAnsiTheme="majorHAnsi"/>
          <w:spacing w:val="1"/>
          <w:sz w:val="20"/>
          <w:szCs w:val="20"/>
          <w:lang w:val="en-US"/>
        </w:rPr>
        <w:t xml:space="preserve"> </w:t>
      </w:r>
      <w:r w:rsidRPr="000977F7">
        <w:rPr>
          <w:rFonts w:asciiTheme="majorHAnsi" w:hAnsiTheme="majorHAnsi"/>
          <w:sz w:val="20"/>
          <w:szCs w:val="20"/>
        </w:rPr>
        <w:t>тільки</w:t>
      </w:r>
      <w:r w:rsidRPr="004D2D14">
        <w:rPr>
          <w:rFonts w:asciiTheme="majorHAnsi" w:hAnsiTheme="majorHAnsi"/>
          <w:spacing w:val="1"/>
          <w:sz w:val="20"/>
          <w:szCs w:val="20"/>
          <w:lang w:val="en-US"/>
        </w:rPr>
        <w:t xml:space="preserve"> </w:t>
      </w:r>
      <w:r w:rsidRPr="000977F7">
        <w:rPr>
          <w:rFonts w:asciiTheme="majorHAnsi" w:hAnsiTheme="majorHAnsi"/>
          <w:sz w:val="20"/>
          <w:szCs w:val="20"/>
        </w:rPr>
        <w:t>після</w:t>
      </w:r>
      <w:r w:rsidRPr="004D2D14">
        <w:rPr>
          <w:rFonts w:asciiTheme="majorHAnsi" w:hAnsiTheme="majorHAnsi"/>
          <w:spacing w:val="1"/>
          <w:sz w:val="20"/>
          <w:szCs w:val="20"/>
          <w:lang w:val="en-US"/>
        </w:rPr>
        <w:t xml:space="preserve"> </w:t>
      </w:r>
      <w:r w:rsidRPr="000977F7">
        <w:rPr>
          <w:rFonts w:asciiTheme="majorHAnsi" w:hAnsiTheme="majorHAnsi"/>
          <w:sz w:val="20"/>
          <w:szCs w:val="20"/>
        </w:rPr>
        <w:t>модифікації</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проекту</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виробничого</w:t>
      </w:r>
      <w:r w:rsidRPr="004D2D14">
        <w:rPr>
          <w:rFonts w:asciiTheme="majorHAnsi" w:hAnsiTheme="majorHAnsi"/>
          <w:sz w:val="20"/>
          <w:szCs w:val="20"/>
          <w:lang w:val="en-US"/>
        </w:rPr>
        <w:t xml:space="preserve"> </w:t>
      </w:r>
      <w:r w:rsidRPr="000977F7">
        <w:rPr>
          <w:rFonts w:asciiTheme="majorHAnsi" w:hAnsiTheme="majorHAnsi"/>
          <w:sz w:val="20"/>
          <w:szCs w:val="20"/>
        </w:rPr>
        <w:t>процесу</w:t>
      </w:r>
      <w:r w:rsidRPr="004D2D14">
        <w:rPr>
          <w:rFonts w:asciiTheme="majorHAnsi" w:hAnsiTheme="majorHAnsi"/>
          <w:sz w:val="20"/>
          <w:szCs w:val="20"/>
          <w:lang w:val="en-US"/>
        </w:rPr>
        <w:t xml:space="preserve">, </w:t>
      </w:r>
      <w:r w:rsidRPr="000977F7">
        <w:rPr>
          <w:rFonts w:asciiTheme="majorHAnsi" w:hAnsiTheme="majorHAnsi"/>
          <w:sz w:val="20"/>
          <w:szCs w:val="20"/>
        </w:rPr>
        <w:t>правил</w:t>
      </w:r>
      <w:r w:rsidRPr="004D2D14">
        <w:rPr>
          <w:rFonts w:asciiTheme="majorHAnsi" w:hAnsiTheme="majorHAnsi"/>
          <w:sz w:val="20"/>
          <w:szCs w:val="20"/>
          <w:lang w:val="en-US"/>
        </w:rPr>
        <w:t xml:space="preserve"> </w:t>
      </w:r>
      <w:r w:rsidRPr="000977F7">
        <w:rPr>
          <w:rFonts w:asciiTheme="majorHAnsi" w:hAnsiTheme="majorHAnsi"/>
          <w:sz w:val="20"/>
          <w:szCs w:val="20"/>
        </w:rPr>
        <w:t>експлуатації</w:t>
      </w:r>
      <w:r w:rsidRPr="004D2D14">
        <w:rPr>
          <w:rFonts w:asciiTheme="majorHAnsi" w:hAnsiTheme="majorHAnsi"/>
          <w:sz w:val="20"/>
          <w:szCs w:val="20"/>
          <w:lang w:val="en-US"/>
        </w:rPr>
        <w:t xml:space="preserve">, </w:t>
      </w:r>
      <w:r w:rsidRPr="000977F7">
        <w:rPr>
          <w:rFonts w:asciiTheme="majorHAnsi" w:hAnsiTheme="majorHAnsi"/>
          <w:sz w:val="20"/>
          <w:szCs w:val="20"/>
        </w:rPr>
        <w:t>документації</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інших</w:t>
      </w:r>
      <w:r w:rsidRPr="004D2D14">
        <w:rPr>
          <w:rFonts w:asciiTheme="majorHAnsi" w:hAnsiTheme="majorHAnsi"/>
          <w:sz w:val="20"/>
          <w:szCs w:val="20"/>
          <w:lang w:val="en-US"/>
        </w:rPr>
        <w:t xml:space="preserve"> </w:t>
      </w:r>
      <w:r w:rsidRPr="000977F7">
        <w:rPr>
          <w:rFonts w:asciiTheme="majorHAnsi" w:hAnsiTheme="majorHAnsi"/>
          <w:sz w:val="20"/>
          <w:szCs w:val="20"/>
        </w:rPr>
        <w:t>чинників</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враховуються</w:t>
      </w:r>
    </w:p>
    <w:p w14:paraId="4766E7F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 94</w:t>
      </w:r>
    </w:p>
    <w:p w14:paraId="51DD05F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СИСТЕМАТИЧНА</w:t>
      </w:r>
      <w:r w:rsidRPr="000977F7">
        <w:rPr>
          <w:color w:val="auto"/>
          <w:spacing w:val="-6"/>
          <w:sz w:val="20"/>
          <w:szCs w:val="20"/>
        </w:rPr>
        <w:t xml:space="preserve"> </w:t>
      </w:r>
      <w:r w:rsidRPr="000977F7">
        <w:rPr>
          <w:color w:val="auto"/>
          <w:sz w:val="20"/>
          <w:szCs w:val="20"/>
        </w:rPr>
        <w:t>НЕСПРАВНІСТЬ</w:t>
      </w:r>
      <w:r w:rsidRPr="000977F7">
        <w:rPr>
          <w:color w:val="auto"/>
          <w:spacing w:val="-2"/>
          <w:sz w:val="20"/>
          <w:szCs w:val="20"/>
        </w:rPr>
        <w:t xml:space="preserve"> </w:t>
      </w:r>
      <w:r w:rsidRPr="000977F7">
        <w:rPr>
          <w:color w:val="auto"/>
          <w:sz w:val="20"/>
          <w:szCs w:val="20"/>
        </w:rPr>
        <w:t>–</w:t>
      </w:r>
    </w:p>
    <w:p w14:paraId="273B4A9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SYSTEMATIC</w:t>
      </w:r>
      <w:r w:rsidRPr="000977F7">
        <w:rPr>
          <w:rFonts w:asciiTheme="majorHAnsi" w:hAnsiTheme="majorHAnsi"/>
          <w:spacing w:val="-4"/>
          <w:sz w:val="20"/>
          <w:szCs w:val="20"/>
        </w:rPr>
        <w:t xml:space="preserve"> </w:t>
      </w:r>
      <w:r w:rsidRPr="000977F7">
        <w:rPr>
          <w:rFonts w:asciiTheme="majorHAnsi" w:hAnsiTheme="majorHAnsi"/>
          <w:sz w:val="20"/>
          <w:szCs w:val="20"/>
        </w:rPr>
        <w:t>FAULT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28A89B7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Несправність об’єкта, що спричинена певною причиною, яка може бути усунена тільки шляхом модифікації</w:t>
      </w:r>
      <w:r w:rsidRPr="000977F7">
        <w:rPr>
          <w:rFonts w:asciiTheme="majorHAnsi" w:hAnsiTheme="majorHAnsi"/>
          <w:spacing w:val="1"/>
          <w:sz w:val="20"/>
          <w:szCs w:val="20"/>
        </w:rPr>
        <w:t xml:space="preserve"> </w:t>
      </w:r>
      <w:r w:rsidRPr="000977F7">
        <w:rPr>
          <w:rFonts w:asciiTheme="majorHAnsi" w:hAnsiTheme="majorHAnsi"/>
          <w:sz w:val="20"/>
          <w:szCs w:val="20"/>
        </w:rPr>
        <w:t>проекту</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виробничого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правил</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експлуатації, документації або інших чинників, що враховуються</w:t>
      </w:r>
    </w:p>
    <w:p w14:paraId="676097D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 94</w:t>
      </w:r>
    </w:p>
    <w:p w14:paraId="7FAEFA9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СИСТЕМАТИЧНА</w:t>
      </w:r>
      <w:r w:rsidRPr="000977F7">
        <w:rPr>
          <w:rFonts w:asciiTheme="majorHAnsi" w:hAnsiTheme="majorHAnsi"/>
          <w:b/>
          <w:spacing w:val="8"/>
          <w:sz w:val="20"/>
          <w:szCs w:val="20"/>
        </w:rPr>
        <w:t xml:space="preserve"> </w:t>
      </w:r>
      <w:r w:rsidRPr="000977F7">
        <w:rPr>
          <w:rFonts w:asciiTheme="majorHAnsi" w:hAnsiTheme="majorHAnsi"/>
          <w:b/>
          <w:sz w:val="20"/>
          <w:szCs w:val="20"/>
        </w:rPr>
        <w:t>ПОХИБКА</w:t>
      </w:r>
      <w:r w:rsidRPr="000977F7">
        <w:rPr>
          <w:rFonts w:asciiTheme="majorHAnsi" w:hAnsiTheme="majorHAnsi"/>
          <w:b/>
          <w:spacing w:val="2"/>
          <w:sz w:val="20"/>
          <w:szCs w:val="20"/>
        </w:rPr>
        <w:t xml:space="preserve"> </w:t>
      </w:r>
      <w:r w:rsidRPr="000977F7">
        <w:rPr>
          <w:rFonts w:asciiTheme="majorHAnsi" w:hAnsiTheme="majorHAnsi"/>
          <w:b/>
          <w:sz w:val="20"/>
          <w:szCs w:val="20"/>
        </w:rPr>
        <w:t>ВИМІРЮВАННЯ,</w:t>
      </w:r>
      <w:r w:rsidRPr="000977F7">
        <w:rPr>
          <w:rFonts w:asciiTheme="majorHAnsi" w:hAnsiTheme="majorHAnsi"/>
          <w:b/>
          <w:spacing w:val="-47"/>
          <w:sz w:val="20"/>
          <w:szCs w:val="20"/>
        </w:rPr>
        <w:t xml:space="preserve"> </w:t>
      </w:r>
      <w:r w:rsidRPr="000977F7">
        <w:rPr>
          <w:rFonts w:asciiTheme="majorHAnsi" w:hAnsiTheme="majorHAnsi"/>
          <w:b/>
          <w:sz w:val="20"/>
          <w:szCs w:val="20"/>
        </w:rPr>
        <w:t xml:space="preserve">ЗАСОБУ ВИМІРЮВАЛЬНОЇ ТЕХНІКИ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SYSTEMATIC</w:t>
      </w:r>
      <w:r w:rsidRPr="000977F7">
        <w:rPr>
          <w:rFonts w:asciiTheme="majorHAnsi" w:hAnsiTheme="majorHAnsi"/>
          <w:spacing w:val="-2"/>
          <w:sz w:val="20"/>
          <w:szCs w:val="20"/>
        </w:rPr>
        <w:t xml:space="preserve"> </w:t>
      </w:r>
      <w:r w:rsidRPr="000977F7">
        <w:rPr>
          <w:rFonts w:asciiTheme="majorHAnsi" w:hAnsiTheme="majorHAnsi"/>
          <w:sz w:val="20"/>
          <w:szCs w:val="20"/>
        </w:rPr>
        <w:t>ERROR</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6D120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Складова похибки, що залишається сталою або прогнозовано змінюється у ряді вимірювань тієї ж величини</w:t>
      </w:r>
    </w:p>
    <w:p w14:paraId="4FCAED7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3704560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СИСТЕМАТИЧНА</w:t>
      </w:r>
      <w:r w:rsidRPr="000977F7">
        <w:rPr>
          <w:color w:val="auto"/>
          <w:spacing w:val="-9"/>
          <w:sz w:val="20"/>
          <w:szCs w:val="20"/>
        </w:rPr>
        <w:t xml:space="preserve"> </w:t>
      </w:r>
      <w:r w:rsidRPr="000977F7">
        <w:rPr>
          <w:color w:val="auto"/>
          <w:sz w:val="20"/>
          <w:szCs w:val="20"/>
        </w:rPr>
        <w:t>ПОХИБКА</w:t>
      </w:r>
      <w:r w:rsidRPr="000977F7">
        <w:rPr>
          <w:color w:val="auto"/>
          <w:spacing w:val="-9"/>
          <w:sz w:val="20"/>
          <w:szCs w:val="20"/>
        </w:rPr>
        <w:t xml:space="preserve"> </w:t>
      </w:r>
      <w:r w:rsidRPr="000977F7">
        <w:rPr>
          <w:color w:val="auto"/>
          <w:sz w:val="20"/>
          <w:szCs w:val="20"/>
        </w:rPr>
        <w:t>ВИРОБЛЕННЯ</w:t>
      </w:r>
      <w:r w:rsidRPr="000977F7">
        <w:rPr>
          <w:color w:val="auto"/>
          <w:spacing w:val="-47"/>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3C65310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SYSTEMATIC ERROR OF PRODUCTS</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FABRICATION –</w:t>
      </w:r>
    </w:p>
    <w:p w14:paraId="11175F6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Складова похибки вироблення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 яка за незмінних умов зберігає чи приймає закономірно змінювані</w:t>
      </w:r>
      <w:r w:rsidRPr="000977F7">
        <w:rPr>
          <w:rFonts w:asciiTheme="majorHAnsi" w:hAnsiTheme="majorHAnsi"/>
          <w:spacing w:val="-2"/>
          <w:sz w:val="20"/>
          <w:szCs w:val="20"/>
        </w:rPr>
        <w:t xml:space="preserve"> </w:t>
      </w:r>
      <w:r w:rsidRPr="000977F7">
        <w:rPr>
          <w:rFonts w:asciiTheme="majorHAnsi" w:hAnsiTheme="majorHAnsi"/>
          <w:sz w:val="20"/>
          <w:szCs w:val="20"/>
        </w:rPr>
        <w:t>модулі</w:t>
      </w:r>
      <w:r w:rsidRPr="000977F7">
        <w:rPr>
          <w:rFonts w:asciiTheme="majorHAnsi" w:hAnsiTheme="majorHAnsi"/>
          <w:spacing w:val="-1"/>
          <w:sz w:val="20"/>
          <w:szCs w:val="20"/>
        </w:rPr>
        <w:t xml:space="preserve"> </w:t>
      </w:r>
      <w:r w:rsidRPr="000977F7">
        <w:rPr>
          <w:rFonts w:asciiTheme="majorHAnsi" w:hAnsiTheme="majorHAnsi"/>
          <w:sz w:val="20"/>
          <w:szCs w:val="20"/>
        </w:rPr>
        <w:t>та (чи) знак</w:t>
      </w:r>
    </w:p>
    <w:p w14:paraId="48B45F5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4ABA73C8" w14:textId="77777777" w:rsidR="0097612F" w:rsidRPr="000977F7" w:rsidRDefault="0097612F" w:rsidP="000977F7">
      <w:pPr>
        <w:pStyle w:val="7"/>
        <w:tabs>
          <w:tab w:val="left" w:pos="284"/>
        </w:tabs>
        <w:spacing w:before="0" w:line="240" w:lineRule="auto"/>
        <w:ind w:left="170"/>
        <w:mirrorIndents/>
        <w:jc w:val="both"/>
        <w:rPr>
          <w:color w:val="auto"/>
          <w:spacing w:val="-4"/>
          <w:sz w:val="20"/>
          <w:szCs w:val="20"/>
        </w:rPr>
      </w:pPr>
      <w:r w:rsidRPr="000977F7">
        <w:rPr>
          <w:color w:val="auto"/>
          <w:sz w:val="20"/>
          <w:szCs w:val="20"/>
        </w:rPr>
        <w:t>СИСТЕМАТИЧНИЙ</w:t>
      </w:r>
      <w:r w:rsidRPr="000977F7">
        <w:rPr>
          <w:color w:val="auto"/>
          <w:spacing w:val="-4"/>
          <w:sz w:val="20"/>
          <w:szCs w:val="20"/>
        </w:rPr>
        <w:t xml:space="preserve"> </w:t>
      </w:r>
      <w:r w:rsidRPr="000977F7">
        <w:rPr>
          <w:color w:val="auto"/>
          <w:sz w:val="20"/>
          <w:szCs w:val="20"/>
        </w:rPr>
        <w:t>ВІДБІР</w:t>
      </w:r>
      <w:r w:rsidRPr="000977F7">
        <w:rPr>
          <w:color w:val="auto"/>
          <w:spacing w:val="-4"/>
          <w:sz w:val="20"/>
          <w:szCs w:val="20"/>
        </w:rPr>
        <w:t xml:space="preserve"> </w:t>
      </w:r>
    </w:p>
    <w:p w14:paraId="6DF89E1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ВИБІРОК</w:t>
      </w:r>
      <w:r w:rsidRPr="000977F7">
        <w:rPr>
          <w:color w:val="auto"/>
          <w:spacing w:val="-4"/>
          <w:sz w:val="20"/>
          <w:szCs w:val="20"/>
        </w:rPr>
        <w:t xml:space="preserve"> </w:t>
      </w:r>
      <w:r w:rsidRPr="000977F7">
        <w:rPr>
          <w:color w:val="auto"/>
          <w:sz w:val="20"/>
          <w:szCs w:val="20"/>
        </w:rPr>
        <w:t>(ПРОБ) -</w:t>
      </w:r>
    </w:p>
    <w:p w14:paraId="75D4C6E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SYSTEM</w:t>
      </w:r>
      <w:r w:rsidRPr="004D2D14">
        <w:rPr>
          <w:rFonts w:asciiTheme="majorHAnsi" w:hAnsiTheme="majorHAnsi"/>
          <w:sz w:val="20"/>
          <w:szCs w:val="20"/>
          <w:lang w:val="uk-UA"/>
        </w:rPr>
        <w:t>А</w:t>
      </w:r>
      <w:r w:rsidRPr="000977F7">
        <w:rPr>
          <w:rFonts w:asciiTheme="majorHAnsi" w:hAnsiTheme="majorHAnsi"/>
          <w:sz w:val="20"/>
          <w:szCs w:val="20"/>
        </w:rPr>
        <w:t>TIC</w:t>
      </w:r>
      <w:r w:rsidRPr="004D2D14">
        <w:rPr>
          <w:rFonts w:asciiTheme="majorHAnsi" w:hAnsiTheme="majorHAnsi"/>
          <w:spacing w:val="-6"/>
          <w:sz w:val="20"/>
          <w:szCs w:val="20"/>
          <w:lang w:val="uk-UA"/>
        </w:rPr>
        <w:t xml:space="preserve"> </w:t>
      </w:r>
      <w:r w:rsidRPr="000977F7">
        <w:rPr>
          <w:rFonts w:asciiTheme="majorHAnsi" w:hAnsiTheme="majorHAnsi"/>
          <w:sz w:val="20"/>
          <w:szCs w:val="20"/>
        </w:rPr>
        <w:t>SAMPLING</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7EE00FF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Відбір, при якому одиниці продукції або її частини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відбирають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через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визначені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проміжки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простору, або встановлену кількість одиниць продукції</w:t>
      </w:r>
    </w:p>
    <w:p w14:paraId="74D26F64" w14:textId="77777777" w:rsidR="0097612F" w:rsidRPr="000977F7" w:rsidRDefault="0097612F" w:rsidP="000977F7">
      <w:pPr>
        <w:pStyle w:val="7"/>
        <w:tabs>
          <w:tab w:val="left" w:pos="284"/>
        </w:tabs>
        <w:spacing w:before="0" w:line="240" w:lineRule="auto"/>
        <w:ind w:left="170"/>
        <w:mirrorIndents/>
        <w:jc w:val="both"/>
        <w:rPr>
          <w:color w:val="auto"/>
          <w:spacing w:val="42"/>
          <w:sz w:val="20"/>
          <w:szCs w:val="20"/>
        </w:rPr>
      </w:pPr>
      <w:r w:rsidRPr="000977F7">
        <w:rPr>
          <w:color w:val="auto"/>
          <w:sz w:val="20"/>
          <w:szCs w:val="20"/>
        </w:rPr>
        <w:t>СИСТЕМАТИЧНИЙ</w:t>
      </w:r>
      <w:r w:rsidRPr="000977F7">
        <w:rPr>
          <w:color w:val="auto"/>
          <w:spacing w:val="44"/>
          <w:sz w:val="20"/>
          <w:szCs w:val="20"/>
        </w:rPr>
        <w:t xml:space="preserve"> </w:t>
      </w:r>
      <w:r w:rsidRPr="000977F7">
        <w:rPr>
          <w:color w:val="auto"/>
          <w:sz w:val="20"/>
          <w:szCs w:val="20"/>
        </w:rPr>
        <w:t>КОНТРОЛЬ</w:t>
      </w:r>
      <w:r w:rsidRPr="000977F7">
        <w:rPr>
          <w:color w:val="auto"/>
          <w:spacing w:val="44"/>
          <w:sz w:val="20"/>
          <w:szCs w:val="20"/>
        </w:rPr>
        <w:t xml:space="preserve"> </w:t>
      </w:r>
      <w:r w:rsidRPr="000977F7">
        <w:rPr>
          <w:color w:val="auto"/>
          <w:sz w:val="20"/>
          <w:szCs w:val="20"/>
        </w:rPr>
        <w:t>ЯКОСТІ</w:t>
      </w:r>
      <w:r w:rsidRPr="000977F7">
        <w:rPr>
          <w:color w:val="auto"/>
          <w:spacing w:val="42"/>
          <w:sz w:val="20"/>
          <w:szCs w:val="20"/>
        </w:rPr>
        <w:t xml:space="preserve"> </w:t>
      </w:r>
    </w:p>
    <w:p w14:paraId="480853B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ЕЛЕ</w:t>
      </w:r>
      <w:r w:rsidRPr="000977F7">
        <w:rPr>
          <w:color w:val="auto"/>
          <w:spacing w:val="-47"/>
          <w:sz w:val="20"/>
          <w:szCs w:val="20"/>
        </w:rPr>
        <w:t xml:space="preserve"> </w:t>
      </w:r>
      <w:r w:rsidRPr="000977F7">
        <w:rPr>
          <w:color w:val="auto"/>
          <w:sz w:val="20"/>
          <w:szCs w:val="20"/>
        </w:rPr>
        <w:t>КТРИЧНОЇ</w:t>
      </w:r>
      <w:r w:rsidRPr="000977F7">
        <w:rPr>
          <w:color w:val="auto"/>
          <w:spacing w:val="-2"/>
          <w:sz w:val="20"/>
          <w:szCs w:val="20"/>
        </w:rPr>
        <w:t xml:space="preserve"> </w:t>
      </w:r>
      <w:r w:rsidRPr="000977F7">
        <w:rPr>
          <w:color w:val="auto"/>
          <w:sz w:val="20"/>
          <w:szCs w:val="20"/>
        </w:rPr>
        <w:t>ЕНЕРГІЇ</w:t>
      </w:r>
      <w:r w:rsidRPr="000977F7">
        <w:rPr>
          <w:color w:val="auto"/>
          <w:spacing w:val="1"/>
          <w:sz w:val="20"/>
          <w:szCs w:val="20"/>
        </w:rPr>
        <w:t xml:space="preserve"> </w:t>
      </w:r>
      <w:r w:rsidRPr="000977F7">
        <w:rPr>
          <w:color w:val="auto"/>
          <w:sz w:val="20"/>
          <w:szCs w:val="20"/>
        </w:rPr>
        <w:t>–</w:t>
      </w:r>
    </w:p>
    <w:p w14:paraId="0280DEE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Контроль якості електричної енергії, за якого надходження інформації про контрольовані показники та їх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оцінка відбуваються в заздалегідь установлені проміжки часу чи періодично з проміжками часу, які визначаються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організацією контролю</w:t>
      </w:r>
    </w:p>
    <w:p w14:paraId="24F4706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5088FE8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СИСТЕМНИЙ</w:t>
      </w:r>
      <w:r w:rsidRPr="000977F7">
        <w:rPr>
          <w:color w:val="auto"/>
          <w:spacing w:val="-3"/>
          <w:sz w:val="20"/>
          <w:szCs w:val="20"/>
        </w:rPr>
        <w:t xml:space="preserve"> </w:t>
      </w:r>
      <w:r w:rsidRPr="000977F7">
        <w:rPr>
          <w:color w:val="auto"/>
          <w:sz w:val="20"/>
          <w:szCs w:val="20"/>
        </w:rPr>
        <w:t>КОРИСНИЙ</w:t>
      </w:r>
      <w:r w:rsidRPr="000977F7">
        <w:rPr>
          <w:color w:val="auto"/>
          <w:spacing w:val="-3"/>
          <w:sz w:val="20"/>
          <w:szCs w:val="20"/>
        </w:rPr>
        <w:t xml:space="preserve"> </w:t>
      </w:r>
      <w:r w:rsidRPr="000977F7">
        <w:rPr>
          <w:color w:val="auto"/>
          <w:sz w:val="20"/>
          <w:szCs w:val="20"/>
        </w:rPr>
        <w:t>ЧАС</w:t>
      </w:r>
      <w:r w:rsidRPr="000977F7">
        <w:rPr>
          <w:color w:val="auto"/>
          <w:spacing w:val="-1"/>
          <w:sz w:val="20"/>
          <w:szCs w:val="20"/>
        </w:rPr>
        <w:t xml:space="preserve"> </w:t>
      </w:r>
      <w:r w:rsidRPr="000977F7">
        <w:rPr>
          <w:color w:val="auto"/>
          <w:sz w:val="20"/>
          <w:szCs w:val="20"/>
        </w:rPr>
        <w:t>–</w:t>
      </w:r>
    </w:p>
    <w:p w14:paraId="329878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SYSTEM</w:t>
      </w:r>
      <w:r w:rsidRPr="000977F7">
        <w:rPr>
          <w:rFonts w:asciiTheme="majorHAnsi" w:hAnsiTheme="majorHAnsi"/>
          <w:spacing w:val="-2"/>
          <w:sz w:val="20"/>
          <w:szCs w:val="20"/>
        </w:rPr>
        <w:t xml:space="preserve"> </w:t>
      </w:r>
      <w:r w:rsidRPr="000977F7">
        <w:rPr>
          <w:rFonts w:asciiTheme="majorHAnsi" w:hAnsiTheme="majorHAnsi"/>
          <w:sz w:val="20"/>
          <w:szCs w:val="20"/>
        </w:rPr>
        <w:t>PRODUCTION</w:t>
      </w:r>
      <w:r w:rsidRPr="000977F7">
        <w:rPr>
          <w:rFonts w:asciiTheme="majorHAnsi" w:hAnsiTheme="majorHAnsi"/>
          <w:spacing w:val="-3"/>
          <w:sz w:val="20"/>
          <w:szCs w:val="20"/>
        </w:rPr>
        <w:t xml:space="preserve"> </w:t>
      </w:r>
      <w:r w:rsidRPr="000977F7">
        <w:rPr>
          <w:rFonts w:asciiTheme="majorHAnsi" w:hAnsiTheme="majorHAnsi"/>
          <w:sz w:val="20"/>
          <w:szCs w:val="20"/>
        </w:rPr>
        <w:t>TIME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E5768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1"/>
          <w:sz w:val="20"/>
          <w:szCs w:val="20"/>
        </w:rPr>
        <w:t xml:space="preserve"> </w:t>
      </w:r>
      <w:r w:rsidRPr="000977F7">
        <w:rPr>
          <w:rFonts w:asciiTheme="majorHAnsi" w:hAnsiTheme="majorHAnsi"/>
          <w:sz w:val="20"/>
          <w:szCs w:val="20"/>
        </w:rPr>
        <w:t>тривалості</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працездатності,</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використана</w:t>
      </w:r>
      <w:r w:rsidRPr="000977F7">
        <w:rPr>
          <w:rFonts w:asciiTheme="majorHAnsi" w:hAnsiTheme="majorHAnsi"/>
          <w:spacing w:val="1"/>
          <w:sz w:val="20"/>
          <w:szCs w:val="20"/>
        </w:rPr>
        <w:t xml:space="preserve"> </w:t>
      </w:r>
      <w:r w:rsidRPr="000977F7">
        <w:rPr>
          <w:rFonts w:asciiTheme="majorHAnsi" w:hAnsiTheme="majorHAnsi"/>
          <w:sz w:val="20"/>
          <w:szCs w:val="20"/>
        </w:rPr>
        <w:t>користувачем</w:t>
      </w:r>
    </w:p>
    <w:p w14:paraId="1A4A948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ISO/IEC</w:t>
      </w:r>
      <w:r w:rsidRPr="000977F7">
        <w:rPr>
          <w:rFonts w:asciiTheme="majorHAnsi" w:hAnsiTheme="majorHAnsi"/>
          <w:i/>
          <w:spacing w:val="-3"/>
          <w:sz w:val="20"/>
          <w:szCs w:val="20"/>
        </w:rPr>
        <w:t xml:space="preserve"> </w:t>
      </w:r>
      <w:r w:rsidRPr="000977F7">
        <w:rPr>
          <w:rFonts w:asciiTheme="majorHAnsi" w:hAnsiTheme="majorHAnsi"/>
          <w:i/>
          <w:sz w:val="20"/>
          <w:szCs w:val="20"/>
        </w:rPr>
        <w:t>2382:2017</w:t>
      </w:r>
    </w:p>
    <w:p w14:paraId="3A306DA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СИТУАЦІЙНЕ</w:t>
      </w:r>
      <w:r w:rsidRPr="000977F7">
        <w:rPr>
          <w:color w:val="auto"/>
          <w:spacing w:val="-5"/>
          <w:sz w:val="20"/>
          <w:szCs w:val="20"/>
        </w:rPr>
        <w:t xml:space="preserve"> </w:t>
      </w:r>
      <w:r w:rsidRPr="000977F7">
        <w:rPr>
          <w:color w:val="auto"/>
          <w:sz w:val="20"/>
          <w:szCs w:val="20"/>
        </w:rPr>
        <w:t>УПРАВЛІННЯ</w:t>
      </w:r>
      <w:r w:rsidRPr="000977F7">
        <w:rPr>
          <w:color w:val="auto"/>
          <w:spacing w:val="-1"/>
          <w:sz w:val="20"/>
          <w:szCs w:val="20"/>
        </w:rPr>
        <w:t xml:space="preserve"> </w:t>
      </w:r>
      <w:r w:rsidRPr="000977F7">
        <w:rPr>
          <w:color w:val="auto"/>
          <w:sz w:val="20"/>
          <w:szCs w:val="20"/>
        </w:rPr>
        <w:t>–</w:t>
      </w:r>
    </w:p>
    <w:p w14:paraId="6EEBC0D6" w14:textId="77777777" w:rsidR="0097612F" w:rsidRPr="000977F7" w:rsidRDefault="0097612F" w:rsidP="000977F7">
      <w:pPr>
        <w:pStyle w:val="af6"/>
        <w:tabs>
          <w:tab w:val="left" w:pos="284"/>
        </w:tabs>
        <w:spacing w:after="0"/>
        <w:ind w:left="170"/>
        <w:mirrorIndents/>
        <w:jc w:val="both"/>
        <w:rPr>
          <w:rFonts w:asciiTheme="majorHAnsi" w:hAnsiTheme="majorHAnsi"/>
          <w:w w:val="95"/>
          <w:sz w:val="20"/>
          <w:szCs w:val="20"/>
        </w:rPr>
      </w:pPr>
      <w:r w:rsidRPr="000977F7">
        <w:rPr>
          <w:rFonts w:asciiTheme="majorHAnsi" w:hAnsiTheme="majorHAnsi"/>
          <w:spacing w:val="-4"/>
          <w:sz w:val="20"/>
          <w:szCs w:val="20"/>
        </w:rPr>
        <w:t>Прийняття</w:t>
      </w:r>
      <w:r w:rsidRPr="000977F7">
        <w:rPr>
          <w:rFonts w:asciiTheme="majorHAnsi" w:hAnsiTheme="majorHAnsi"/>
          <w:spacing w:val="-8"/>
          <w:sz w:val="20"/>
          <w:szCs w:val="20"/>
        </w:rPr>
        <w:t xml:space="preserve"> </w:t>
      </w:r>
      <w:r w:rsidRPr="000977F7">
        <w:rPr>
          <w:rFonts w:asciiTheme="majorHAnsi" w:hAnsiTheme="majorHAnsi"/>
          <w:spacing w:val="-4"/>
          <w:sz w:val="20"/>
          <w:szCs w:val="20"/>
        </w:rPr>
        <w:t>стратегічних</w:t>
      </w:r>
      <w:r w:rsidRPr="000977F7">
        <w:rPr>
          <w:rFonts w:asciiTheme="majorHAnsi" w:hAnsiTheme="majorHAnsi"/>
          <w:spacing w:val="-8"/>
          <w:sz w:val="20"/>
          <w:szCs w:val="20"/>
        </w:rPr>
        <w:t xml:space="preserve"> </w:t>
      </w:r>
      <w:r w:rsidRPr="000977F7">
        <w:rPr>
          <w:rFonts w:asciiTheme="majorHAnsi" w:hAnsiTheme="majorHAnsi"/>
          <w:spacing w:val="-4"/>
          <w:sz w:val="20"/>
          <w:szCs w:val="20"/>
        </w:rPr>
        <w:t xml:space="preserve">рішень </w:t>
      </w:r>
      <w:r w:rsidRPr="000977F7">
        <w:rPr>
          <w:rFonts w:asciiTheme="majorHAnsi" w:hAnsiTheme="majorHAnsi"/>
          <w:spacing w:val="-3"/>
          <w:sz w:val="20"/>
          <w:szCs w:val="20"/>
        </w:rPr>
        <w:t>не</w:t>
      </w:r>
      <w:r w:rsidRPr="000977F7">
        <w:rPr>
          <w:rFonts w:asciiTheme="majorHAnsi" w:hAnsiTheme="majorHAnsi"/>
          <w:spacing w:val="-4"/>
          <w:sz w:val="20"/>
          <w:szCs w:val="20"/>
        </w:rPr>
        <w:t xml:space="preserve"> </w:t>
      </w:r>
      <w:r w:rsidRPr="000977F7">
        <w:rPr>
          <w:rFonts w:asciiTheme="majorHAnsi" w:hAnsiTheme="majorHAnsi"/>
          <w:spacing w:val="-3"/>
          <w:sz w:val="20"/>
          <w:szCs w:val="20"/>
        </w:rPr>
        <w:t>в</w:t>
      </w:r>
      <w:r w:rsidRPr="000977F7">
        <w:rPr>
          <w:rFonts w:asciiTheme="majorHAnsi" w:hAnsiTheme="majorHAnsi"/>
          <w:spacing w:val="-6"/>
          <w:sz w:val="20"/>
          <w:szCs w:val="20"/>
        </w:rPr>
        <w:t xml:space="preserve"> </w:t>
      </w:r>
      <w:r w:rsidRPr="000977F7">
        <w:rPr>
          <w:rFonts w:asciiTheme="majorHAnsi" w:hAnsiTheme="majorHAnsi"/>
          <w:spacing w:val="-3"/>
          <w:sz w:val="20"/>
          <w:szCs w:val="20"/>
        </w:rPr>
        <w:t>установлені</w:t>
      </w:r>
      <w:r w:rsidRPr="000977F7">
        <w:rPr>
          <w:rFonts w:asciiTheme="majorHAnsi" w:hAnsiTheme="majorHAnsi"/>
          <w:spacing w:val="-7"/>
          <w:sz w:val="20"/>
          <w:szCs w:val="20"/>
        </w:rPr>
        <w:t xml:space="preserve"> </w:t>
      </w:r>
      <w:r w:rsidRPr="000977F7">
        <w:rPr>
          <w:rFonts w:asciiTheme="majorHAnsi" w:hAnsiTheme="majorHAnsi"/>
          <w:spacing w:val="-3"/>
          <w:sz w:val="20"/>
          <w:szCs w:val="20"/>
        </w:rPr>
        <w:t>планові</w:t>
      </w:r>
      <w:r w:rsidRPr="000977F7">
        <w:rPr>
          <w:rFonts w:asciiTheme="majorHAnsi" w:hAnsiTheme="majorHAnsi"/>
          <w:spacing w:val="-47"/>
          <w:sz w:val="20"/>
          <w:szCs w:val="20"/>
        </w:rPr>
        <w:t xml:space="preserve"> </w:t>
      </w:r>
      <w:r w:rsidRPr="000977F7">
        <w:rPr>
          <w:rFonts w:asciiTheme="majorHAnsi" w:hAnsiTheme="majorHAnsi"/>
          <w:w w:val="95"/>
          <w:sz w:val="20"/>
          <w:szCs w:val="20"/>
        </w:rPr>
        <w:t>періоди, а в міру виявлення потенційних проблем збуту</w:t>
      </w:r>
    </w:p>
    <w:p w14:paraId="6551C6C7"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D43B60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СІДЛОПОДІБНІСТЬ</w:t>
      </w:r>
      <w:r w:rsidRPr="000977F7">
        <w:rPr>
          <w:color w:val="auto"/>
          <w:spacing w:val="-4"/>
          <w:sz w:val="20"/>
          <w:szCs w:val="20"/>
        </w:rPr>
        <w:t xml:space="preserve"> </w:t>
      </w:r>
      <w:r w:rsidRPr="000977F7">
        <w:rPr>
          <w:color w:val="auto"/>
          <w:sz w:val="20"/>
          <w:szCs w:val="20"/>
        </w:rPr>
        <w:t>–</w:t>
      </w:r>
    </w:p>
    <w:p w14:paraId="79AA2BE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Вид відхилення профіля повздовжнього перерізу циліндричної поверхні, при якому діаметри торців циліндра</w:t>
      </w:r>
      <w:r w:rsidRPr="000977F7">
        <w:rPr>
          <w:rFonts w:asciiTheme="majorHAnsi" w:hAnsiTheme="majorHAnsi"/>
          <w:spacing w:val="-1"/>
          <w:sz w:val="20"/>
          <w:szCs w:val="20"/>
        </w:rPr>
        <w:t xml:space="preserve"> </w:t>
      </w:r>
      <w:r w:rsidRPr="000977F7">
        <w:rPr>
          <w:rFonts w:asciiTheme="majorHAnsi" w:hAnsiTheme="majorHAnsi"/>
          <w:sz w:val="20"/>
          <w:szCs w:val="20"/>
        </w:rPr>
        <w:t>більші за середній</w:t>
      </w:r>
      <w:r w:rsidRPr="000977F7">
        <w:rPr>
          <w:rFonts w:asciiTheme="majorHAnsi" w:hAnsiTheme="majorHAnsi"/>
          <w:spacing w:val="-1"/>
          <w:sz w:val="20"/>
          <w:szCs w:val="20"/>
        </w:rPr>
        <w:t xml:space="preserve"> </w:t>
      </w:r>
      <w:r w:rsidRPr="000977F7">
        <w:rPr>
          <w:rFonts w:asciiTheme="majorHAnsi" w:hAnsiTheme="majorHAnsi"/>
          <w:sz w:val="20"/>
          <w:szCs w:val="20"/>
        </w:rPr>
        <w:t>діаметр</w:t>
      </w:r>
    </w:p>
    <w:p w14:paraId="10638AE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СКАНУВАННЯ</w:t>
      </w:r>
      <w:r w:rsidRPr="000977F7">
        <w:rPr>
          <w:color w:val="auto"/>
          <w:spacing w:val="-6"/>
          <w:sz w:val="20"/>
          <w:szCs w:val="20"/>
        </w:rPr>
        <w:t xml:space="preserve"> </w:t>
      </w:r>
      <w:r w:rsidRPr="000977F7">
        <w:rPr>
          <w:color w:val="auto"/>
          <w:sz w:val="20"/>
          <w:szCs w:val="20"/>
        </w:rPr>
        <w:t>ОБ’ЄКТА</w:t>
      </w:r>
      <w:r w:rsidRPr="000977F7">
        <w:rPr>
          <w:color w:val="auto"/>
          <w:spacing w:val="-3"/>
          <w:sz w:val="20"/>
          <w:szCs w:val="20"/>
        </w:rPr>
        <w:t xml:space="preserve"> </w:t>
      </w:r>
      <w:r w:rsidRPr="000977F7">
        <w:rPr>
          <w:color w:val="auto"/>
          <w:sz w:val="20"/>
          <w:szCs w:val="20"/>
        </w:rPr>
        <w:t>КОНТРОЛЮ</w:t>
      </w:r>
      <w:r w:rsidRPr="000977F7">
        <w:rPr>
          <w:color w:val="auto"/>
          <w:spacing w:val="-3"/>
          <w:sz w:val="20"/>
          <w:szCs w:val="20"/>
        </w:rPr>
        <w:t xml:space="preserve"> </w:t>
      </w:r>
      <w:r w:rsidRPr="000977F7">
        <w:rPr>
          <w:color w:val="auto"/>
          <w:sz w:val="20"/>
          <w:szCs w:val="20"/>
        </w:rPr>
        <w:t>–</w:t>
      </w:r>
    </w:p>
    <w:p w14:paraId="55D459C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SCANNING</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E84A79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Систематичне</w:t>
      </w:r>
      <w:r w:rsidRPr="000977F7">
        <w:rPr>
          <w:rFonts w:asciiTheme="majorHAnsi" w:hAnsiTheme="majorHAnsi"/>
          <w:spacing w:val="1"/>
          <w:sz w:val="20"/>
          <w:szCs w:val="20"/>
        </w:rPr>
        <w:t xml:space="preserve"> </w:t>
      </w:r>
      <w:r w:rsidRPr="000977F7">
        <w:rPr>
          <w:rFonts w:asciiTheme="majorHAnsi" w:hAnsiTheme="majorHAnsi"/>
          <w:sz w:val="20"/>
          <w:szCs w:val="20"/>
        </w:rPr>
        <w:t>відносне</w:t>
      </w:r>
      <w:r w:rsidRPr="000977F7">
        <w:rPr>
          <w:rFonts w:asciiTheme="majorHAnsi" w:hAnsiTheme="majorHAnsi"/>
          <w:spacing w:val="1"/>
          <w:sz w:val="20"/>
          <w:szCs w:val="20"/>
        </w:rPr>
        <w:t xml:space="preserve"> </w:t>
      </w:r>
      <w:r w:rsidRPr="000977F7">
        <w:rPr>
          <w:rFonts w:asciiTheme="majorHAnsi" w:hAnsiTheme="majorHAnsi"/>
          <w:sz w:val="20"/>
          <w:szCs w:val="20"/>
        </w:rPr>
        <w:t>зміщення</w:t>
      </w:r>
      <w:r w:rsidRPr="000977F7">
        <w:rPr>
          <w:rFonts w:asciiTheme="majorHAnsi" w:hAnsiTheme="majorHAnsi"/>
          <w:spacing w:val="1"/>
          <w:sz w:val="20"/>
          <w:szCs w:val="20"/>
        </w:rPr>
        <w:t xml:space="preserve"> </w:t>
      </w:r>
      <w:r w:rsidRPr="000977F7">
        <w:rPr>
          <w:rFonts w:asciiTheme="majorHAnsi" w:hAnsiTheme="majorHAnsi"/>
          <w:sz w:val="20"/>
          <w:szCs w:val="20"/>
        </w:rPr>
        <w:t>перетворювача</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контролю 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p>
    <w:p w14:paraId="521E419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2865 – 94</w:t>
      </w:r>
    </w:p>
    <w:p w14:paraId="6DC63F39"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i/>
          <w:spacing w:val="-48"/>
          <w:sz w:val="20"/>
          <w:szCs w:val="20"/>
        </w:rPr>
        <w:lastRenderedPageBreak/>
        <w:t xml:space="preserve"> </w:t>
      </w:r>
      <w:bookmarkStart w:id="265" w:name="_Hlk101785983"/>
      <w:r w:rsidRPr="000977F7">
        <w:rPr>
          <w:rFonts w:asciiTheme="majorHAnsi" w:hAnsiTheme="majorHAnsi"/>
          <w:b/>
          <w:sz w:val="20"/>
          <w:szCs w:val="20"/>
        </w:rPr>
        <w:t>СКАРГА -</w:t>
      </w:r>
    </w:p>
    <w:p w14:paraId="69746EF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COMPLAINT -</w:t>
      </w:r>
      <w:bookmarkEnd w:id="265"/>
    </w:p>
    <w:p w14:paraId="32D1939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На відміну від апеляції – вираження незадоволеності будь-якою особою чи організацією діяльністю органу з інспектування з очікуванням відповіді. </w:t>
      </w:r>
    </w:p>
    <w:p w14:paraId="2D178828"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ДСТУ EN ISO/IEC 17020:2019</w:t>
      </w:r>
    </w:p>
    <w:p w14:paraId="7ACF35E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Заява будь-якої особи чи організації про незадоволеність лабораторією, що стосується діяльності або результатів цієї лабораторії та на яку очікують відповідь.</w:t>
      </w:r>
    </w:p>
    <w:p w14:paraId="7A52E049"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rPr>
        <w:t>ДСТУ EN ISO/IEC 17025:2019</w:t>
      </w:r>
    </w:p>
    <w:p w14:paraId="587351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 відміну від апеляції-заява про незадоволеність діями органу оцінки відповідності чи органу акредитації з боку будь-якої організації чи особи щодо очікування</w:t>
      </w:r>
      <w:r w:rsidRPr="000977F7">
        <w:rPr>
          <w:rFonts w:asciiTheme="majorHAnsi" w:hAnsiTheme="majorHAnsi"/>
          <w:spacing w:val="-2"/>
          <w:sz w:val="20"/>
          <w:szCs w:val="20"/>
        </w:rPr>
        <w:t xml:space="preserve"> </w:t>
      </w:r>
      <w:r w:rsidRPr="000977F7">
        <w:rPr>
          <w:rFonts w:asciiTheme="majorHAnsi" w:hAnsiTheme="majorHAnsi"/>
          <w:sz w:val="20"/>
          <w:szCs w:val="20"/>
        </w:rPr>
        <w:t>відповіді</w:t>
      </w:r>
    </w:p>
    <w:p w14:paraId="5B1A98E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ISO/IEC 17000:2007</w:t>
      </w:r>
    </w:p>
    <w:p w14:paraId="2668014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Висловлення організації незадоволеності щодо її продукції чи послуги, чи самого процесу розглядання</w:t>
      </w:r>
      <w:r w:rsidRPr="000977F7">
        <w:rPr>
          <w:rFonts w:asciiTheme="majorHAnsi" w:hAnsiTheme="majorHAnsi"/>
          <w:spacing w:val="1"/>
          <w:sz w:val="20"/>
          <w:szCs w:val="20"/>
        </w:rPr>
        <w:t xml:space="preserve"> </w:t>
      </w:r>
      <w:r w:rsidRPr="000977F7">
        <w:rPr>
          <w:rFonts w:asciiTheme="majorHAnsi" w:hAnsiTheme="majorHAnsi"/>
          <w:sz w:val="20"/>
          <w:szCs w:val="20"/>
        </w:rPr>
        <w:t>скарг там, де явно чи неявно очікують відповіді або</w:t>
      </w:r>
      <w:r w:rsidRPr="000977F7">
        <w:rPr>
          <w:rFonts w:asciiTheme="majorHAnsi" w:hAnsiTheme="majorHAnsi"/>
          <w:spacing w:val="1"/>
          <w:sz w:val="20"/>
          <w:szCs w:val="20"/>
        </w:rPr>
        <w:t xml:space="preserve"> </w:t>
      </w:r>
      <w:r w:rsidRPr="000977F7">
        <w:rPr>
          <w:rFonts w:asciiTheme="majorHAnsi" w:hAnsiTheme="majorHAnsi"/>
          <w:sz w:val="20"/>
          <w:szCs w:val="20"/>
        </w:rPr>
        <w:t>рішення.</w:t>
      </w:r>
    </w:p>
    <w:p w14:paraId="7F04C45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ISO</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9000:2015</w:t>
      </w:r>
    </w:p>
    <w:p w14:paraId="74ED6AD6"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СКАСУВАННЯ</w:t>
      </w:r>
      <w:r w:rsidRPr="004D2D14">
        <w:rPr>
          <w:rFonts w:asciiTheme="majorHAnsi" w:hAnsiTheme="majorHAnsi"/>
          <w:b/>
          <w:sz w:val="20"/>
          <w:szCs w:val="20"/>
          <w:lang w:val="en-US"/>
        </w:rPr>
        <w:t xml:space="preserve"> –</w:t>
      </w:r>
    </w:p>
    <w:p w14:paraId="53289225" w14:textId="77777777" w:rsidR="0097612F" w:rsidRPr="004D2D14" w:rsidRDefault="0097612F" w:rsidP="000977F7">
      <w:pPr>
        <w:tabs>
          <w:tab w:val="left" w:pos="284"/>
        </w:tabs>
        <w:spacing w:after="0" w:line="240" w:lineRule="auto"/>
        <w:ind w:left="170"/>
        <w:mirrorIndents/>
        <w:jc w:val="both"/>
        <w:rPr>
          <w:rFonts w:asciiTheme="majorHAnsi" w:hAnsiTheme="majorHAnsi"/>
          <w:iCs/>
          <w:sz w:val="20"/>
          <w:szCs w:val="20"/>
          <w:lang w:val="en-US"/>
        </w:rPr>
      </w:pPr>
      <w:r w:rsidRPr="004D2D14">
        <w:rPr>
          <w:rFonts w:asciiTheme="majorHAnsi" w:hAnsiTheme="majorHAnsi"/>
          <w:iCs/>
          <w:sz w:val="20"/>
          <w:szCs w:val="20"/>
          <w:lang w:val="en-US"/>
        </w:rPr>
        <w:t>WITHDRAWAL</w:t>
      </w:r>
      <w:r w:rsidRPr="004D2D14">
        <w:rPr>
          <w:rFonts w:asciiTheme="majorHAnsi" w:hAnsiTheme="majorHAnsi"/>
          <w:iCs/>
          <w:spacing w:val="-7"/>
          <w:sz w:val="20"/>
          <w:szCs w:val="20"/>
          <w:lang w:val="en-US"/>
        </w:rPr>
        <w:t xml:space="preserve"> </w:t>
      </w:r>
      <w:r w:rsidRPr="004D2D14">
        <w:rPr>
          <w:rFonts w:asciiTheme="majorHAnsi" w:hAnsiTheme="majorHAnsi"/>
          <w:iCs/>
          <w:sz w:val="20"/>
          <w:szCs w:val="20"/>
          <w:lang w:val="en-US"/>
        </w:rPr>
        <w:t>REVOCATION –</w:t>
      </w:r>
    </w:p>
    <w:p w14:paraId="567B7FC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Припинення чинності заяви про відповідність.</w:t>
      </w:r>
    </w:p>
    <w:p w14:paraId="5AE1526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ISO/IEC</w:t>
      </w:r>
      <w:r w:rsidRPr="000977F7">
        <w:rPr>
          <w:rFonts w:asciiTheme="majorHAnsi" w:hAnsiTheme="majorHAnsi"/>
          <w:i/>
          <w:spacing w:val="-2"/>
          <w:sz w:val="20"/>
          <w:szCs w:val="20"/>
        </w:rPr>
        <w:t xml:space="preserve"> </w:t>
      </w:r>
      <w:r w:rsidRPr="000977F7">
        <w:rPr>
          <w:rFonts w:asciiTheme="majorHAnsi" w:hAnsiTheme="majorHAnsi"/>
          <w:i/>
          <w:sz w:val="20"/>
          <w:szCs w:val="20"/>
        </w:rPr>
        <w:t>17000:2007</w:t>
      </w:r>
    </w:p>
    <w:p w14:paraId="1122145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СКЛАД</w:t>
      </w:r>
      <w:r w:rsidRPr="000977F7">
        <w:rPr>
          <w:color w:val="auto"/>
          <w:spacing w:val="-4"/>
          <w:sz w:val="20"/>
          <w:szCs w:val="20"/>
        </w:rPr>
        <w:t xml:space="preserve"> </w:t>
      </w:r>
      <w:r w:rsidRPr="000977F7">
        <w:rPr>
          <w:color w:val="auto"/>
          <w:sz w:val="20"/>
          <w:szCs w:val="20"/>
        </w:rPr>
        <w:t>–</w:t>
      </w:r>
    </w:p>
    <w:p w14:paraId="637394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Виробничий комплекс для вантажно розвантажувальних робіт, зберігання продукції та підготовлення її</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видачі споживачеві</w:t>
      </w:r>
    </w:p>
    <w:p w14:paraId="641935A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62C5A1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СКЛАД-ГОТЕЛЬ</w:t>
      </w:r>
      <w:r w:rsidRPr="000977F7">
        <w:rPr>
          <w:color w:val="auto"/>
          <w:spacing w:val="-5"/>
          <w:sz w:val="20"/>
          <w:szCs w:val="20"/>
        </w:rPr>
        <w:t xml:space="preserve"> </w:t>
      </w:r>
      <w:r w:rsidRPr="000977F7">
        <w:rPr>
          <w:color w:val="auto"/>
          <w:sz w:val="20"/>
          <w:szCs w:val="20"/>
        </w:rPr>
        <w:t>–</w:t>
      </w:r>
    </w:p>
    <w:p w14:paraId="5E88884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Складські потужності, які надаються на комерційній</w:t>
      </w:r>
      <w:r w:rsidRPr="000977F7">
        <w:rPr>
          <w:rFonts w:asciiTheme="majorHAnsi" w:hAnsiTheme="majorHAnsi"/>
          <w:spacing w:val="1"/>
          <w:sz w:val="20"/>
          <w:szCs w:val="20"/>
        </w:rPr>
        <w:t xml:space="preserve"> </w:t>
      </w:r>
      <w:r w:rsidRPr="000977F7">
        <w:rPr>
          <w:rFonts w:asciiTheme="majorHAnsi" w:hAnsiTheme="majorHAnsi"/>
          <w:sz w:val="20"/>
          <w:szCs w:val="20"/>
        </w:rPr>
        <w:t>основі іншим підприємствам та організаціям для зберігання</w:t>
      </w:r>
      <w:r w:rsidRPr="000977F7">
        <w:rPr>
          <w:rFonts w:asciiTheme="majorHAnsi" w:hAnsiTheme="majorHAnsi"/>
          <w:spacing w:val="-2"/>
          <w:sz w:val="20"/>
          <w:szCs w:val="20"/>
        </w:rPr>
        <w:t xml:space="preserve"> </w:t>
      </w:r>
      <w:r w:rsidRPr="000977F7">
        <w:rPr>
          <w:rFonts w:asciiTheme="majorHAnsi" w:hAnsiTheme="majorHAnsi"/>
          <w:sz w:val="20"/>
          <w:szCs w:val="20"/>
        </w:rPr>
        <w:t>виробничих</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товарних</w:t>
      </w:r>
      <w:r w:rsidRPr="000977F7">
        <w:rPr>
          <w:rFonts w:asciiTheme="majorHAnsi" w:hAnsiTheme="majorHAnsi"/>
          <w:spacing w:val="-2"/>
          <w:sz w:val="20"/>
          <w:szCs w:val="20"/>
        </w:rPr>
        <w:t xml:space="preserve"> </w:t>
      </w:r>
      <w:r w:rsidRPr="000977F7">
        <w:rPr>
          <w:rFonts w:asciiTheme="majorHAnsi" w:hAnsiTheme="majorHAnsi"/>
          <w:sz w:val="20"/>
          <w:szCs w:val="20"/>
        </w:rPr>
        <w:t>запасів</w:t>
      </w:r>
    </w:p>
    <w:p w14:paraId="36E0216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F6DFC3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СКЛАД-МАГАЗИН</w:t>
      </w:r>
      <w:r w:rsidRPr="000977F7">
        <w:rPr>
          <w:color w:val="auto"/>
          <w:spacing w:val="-3"/>
          <w:sz w:val="20"/>
          <w:szCs w:val="20"/>
        </w:rPr>
        <w:t xml:space="preserve"> </w:t>
      </w:r>
      <w:r w:rsidRPr="000977F7">
        <w:rPr>
          <w:color w:val="auto"/>
          <w:sz w:val="20"/>
          <w:szCs w:val="20"/>
        </w:rPr>
        <w:t>–</w:t>
      </w:r>
    </w:p>
    <w:p w14:paraId="4972236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 який реалізує товари дрібними партіями, потрібними для задоволення</w:t>
      </w:r>
      <w:r w:rsidRPr="000977F7">
        <w:rPr>
          <w:rFonts w:asciiTheme="majorHAnsi" w:hAnsiTheme="majorHAnsi"/>
          <w:spacing w:val="1"/>
          <w:sz w:val="20"/>
          <w:szCs w:val="20"/>
        </w:rPr>
        <w:t xml:space="preserve"> </w:t>
      </w:r>
      <w:r w:rsidRPr="000977F7">
        <w:rPr>
          <w:rFonts w:asciiTheme="majorHAnsi" w:hAnsiTheme="majorHAnsi"/>
          <w:sz w:val="20"/>
          <w:szCs w:val="20"/>
        </w:rPr>
        <w:t>ремонтно-експлуатаційних</w:t>
      </w:r>
      <w:r w:rsidRPr="000977F7">
        <w:rPr>
          <w:rFonts w:asciiTheme="majorHAnsi" w:hAnsiTheme="majorHAnsi"/>
          <w:spacing w:val="1"/>
          <w:sz w:val="20"/>
          <w:szCs w:val="20"/>
        </w:rPr>
        <w:t xml:space="preserve"> </w:t>
      </w:r>
      <w:r w:rsidRPr="000977F7">
        <w:rPr>
          <w:rFonts w:asciiTheme="majorHAnsi" w:hAnsiTheme="majorHAnsi"/>
          <w:sz w:val="20"/>
          <w:szCs w:val="20"/>
        </w:rPr>
        <w:t>потреб</w:t>
      </w:r>
    </w:p>
    <w:p w14:paraId="3AC5C4B8"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5018A28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СКЛАДАЛЬНА</w:t>
      </w:r>
      <w:r w:rsidRPr="000977F7">
        <w:rPr>
          <w:color w:val="auto"/>
          <w:spacing w:val="-5"/>
          <w:sz w:val="20"/>
          <w:szCs w:val="20"/>
        </w:rPr>
        <w:t xml:space="preserve"> </w:t>
      </w:r>
      <w:r w:rsidRPr="000977F7">
        <w:rPr>
          <w:color w:val="auto"/>
          <w:sz w:val="20"/>
          <w:szCs w:val="20"/>
        </w:rPr>
        <w:t>ОДИНИЦЯ</w:t>
      </w:r>
      <w:r w:rsidRPr="000977F7">
        <w:rPr>
          <w:color w:val="auto"/>
          <w:spacing w:val="-1"/>
          <w:sz w:val="20"/>
          <w:szCs w:val="20"/>
        </w:rPr>
        <w:t xml:space="preserve"> </w:t>
      </w:r>
      <w:r w:rsidRPr="000977F7">
        <w:rPr>
          <w:color w:val="auto"/>
          <w:sz w:val="20"/>
          <w:szCs w:val="20"/>
        </w:rPr>
        <w:t>–</w:t>
      </w:r>
    </w:p>
    <w:p w14:paraId="5C21080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 складові частини якого підлягають з’єднанню</w:t>
      </w:r>
      <w:r w:rsidRPr="000977F7">
        <w:rPr>
          <w:rFonts w:asciiTheme="majorHAnsi" w:hAnsiTheme="majorHAnsi"/>
          <w:spacing w:val="1"/>
          <w:sz w:val="20"/>
          <w:szCs w:val="20"/>
        </w:rPr>
        <w:t xml:space="preserve"> </w:t>
      </w:r>
      <w:r w:rsidRPr="000977F7">
        <w:rPr>
          <w:rFonts w:asciiTheme="majorHAnsi" w:hAnsiTheme="majorHAnsi"/>
          <w:sz w:val="20"/>
          <w:szCs w:val="20"/>
        </w:rPr>
        <w:t>між</w:t>
      </w:r>
      <w:r w:rsidRPr="000977F7">
        <w:rPr>
          <w:rFonts w:asciiTheme="majorHAnsi" w:hAnsiTheme="majorHAnsi"/>
          <w:spacing w:val="11"/>
          <w:sz w:val="20"/>
          <w:szCs w:val="20"/>
        </w:rPr>
        <w:t xml:space="preserve"> </w:t>
      </w:r>
      <w:r w:rsidRPr="000977F7">
        <w:rPr>
          <w:rFonts w:asciiTheme="majorHAnsi" w:hAnsiTheme="majorHAnsi"/>
          <w:sz w:val="20"/>
          <w:szCs w:val="20"/>
        </w:rPr>
        <w:t>собою</w:t>
      </w:r>
      <w:r w:rsidRPr="000977F7">
        <w:rPr>
          <w:rFonts w:asciiTheme="majorHAnsi" w:hAnsiTheme="majorHAnsi"/>
          <w:spacing w:val="12"/>
          <w:sz w:val="20"/>
          <w:szCs w:val="20"/>
        </w:rPr>
        <w:t xml:space="preserve"> </w:t>
      </w:r>
      <w:r w:rsidRPr="000977F7">
        <w:rPr>
          <w:rFonts w:asciiTheme="majorHAnsi" w:hAnsiTheme="majorHAnsi"/>
          <w:sz w:val="20"/>
          <w:szCs w:val="20"/>
        </w:rPr>
        <w:t>складальними</w:t>
      </w:r>
      <w:r w:rsidRPr="000977F7">
        <w:rPr>
          <w:rFonts w:asciiTheme="majorHAnsi" w:hAnsiTheme="majorHAnsi"/>
          <w:spacing w:val="11"/>
          <w:sz w:val="20"/>
          <w:szCs w:val="20"/>
        </w:rPr>
        <w:t xml:space="preserve"> </w:t>
      </w:r>
      <w:r w:rsidRPr="000977F7">
        <w:rPr>
          <w:rFonts w:asciiTheme="majorHAnsi" w:hAnsiTheme="majorHAnsi"/>
          <w:sz w:val="20"/>
          <w:szCs w:val="20"/>
        </w:rPr>
        <w:t>операціями</w:t>
      </w:r>
      <w:r w:rsidRPr="000977F7">
        <w:rPr>
          <w:rFonts w:asciiTheme="majorHAnsi" w:hAnsiTheme="majorHAnsi"/>
          <w:spacing w:val="11"/>
          <w:sz w:val="20"/>
          <w:szCs w:val="20"/>
        </w:rPr>
        <w:t xml:space="preserve"> </w:t>
      </w:r>
      <w:r w:rsidRPr="000977F7">
        <w:rPr>
          <w:rFonts w:asciiTheme="majorHAnsi" w:hAnsiTheme="majorHAnsi"/>
          <w:sz w:val="20"/>
          <w:szCs w:val="20"/>
        </w:rPr>
        <w:t>на</w:t>
      </w:r>
      <w:r w:rsidRPr="000977F7">
        <w:rPr>
          <w:rFonts w:asciiTheme="majorHAnsi" w:hAnsiTheme="majorHAnsi"/>
          <w:spacing w:val="14"/>
          <w:sz w:val="20"/>
          <w:szCs w:val="20"/>
        </w:rPr>
        <w:t xml:space="preserve"> </w:t>
      </w:r>
      <w:r w:rsidRPr="000977F7">
        <w:rPr>
          <w:rFonts w:asciiTheme="majorHAnsi" w:hAnsiTheme="majorHAnsi"/>
          <w:sz w:val="20"/>
          <w:szCs w:val="20"/>
        </w:rPr>
        <w:t>підприємстві –</w:t>
      </w:r>
      <w:r w:rsidRPr="000977F7">
        <w:rPr>
          <w:rFonts w:asciiTheme="majorHAnsi" w:hAnsiTheme="majorHAnsi"/>
          <w:spacing w:val="-2"/>
          <w:sz w:val="20"/>
          <w:szCs w:val="20"/>
        </w:rPr>
        <w:t xml:space="preserve"> </w:t>
      </w:r>
      <w:r w:rsidRPr="000977F7">
        <w:rPr>
          <w:rFonts w:asciiTheme="majorHAnsi" w:hAnsiTheme="majorHAnsi"/>
          <w:sz w:val="20"/>
          <w:szCs w:val="20"/>
        </w:rPr>
        <w:t>виробнику</w:t>
      </w:r>
    </w:p>
    <w:p w14:paraId="7A3D408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1AE1EC1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СКЛАДАЛЬНЕ</w:t>
      </w:r>
      <w:r w:rsidRPr="000977F7">
        <w:rPr>
          <w:color w:val="auto"/>
          <w:spacing w:val="-5"/>
          <w:sz w:val="20"/>
          <w:szCs w:val="20"/>
        </w:rPr>
        <w:t xml:space="preserve"> </w:t>
      </w:r>
      <w:r w:rsidRPr="000977F7">
        <w:rPr>
          <w:color w:val="auto"/>
          <w:sz w:val="20"/>
          <w:szCs w:val="20"/>
        </w:rPr>
        <w:t>КРЕСЛЕННЯ</w:t>
      </w:r>
      <w:r w:rsidRPr="000977F7">
        <w:rPr>
          <w:color w:val="auto"/>
          <w:spacing w:val="-2"/>
          <w:sz w:val="20"/>
          <w:szCs w:val="20"/>
        </w:rPr>
        <w:t xml:space="preserve"> </w:t>
      </w:r>
      <w:r w:rsidRPr="000977F7">
        <w:rPr>
          <w:color w:val="auto"/>
          <w:sz w:val="20"/>
          <w:szCs w:val="20"/>
        </w:rPr>
        <w:t>–</w:t>
      </w:r>
    </w:p>
    <w:p w14:paraId="682AEED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Креслення, яке являє собою зображення складальної</w:t>
      </w:r>
      <w:r w:rsidRPr="000977F7">
        <w:rPr>
          <w:rFonts w:asciiTheme="majorHAnsi" w:hAnsiTheme="majorHAnsi"/>
          <w:spacing w:val="1"/>
          <w:sz w:val="20"/>
          <w:szCs w:val="20"/>
        </w:rPr>
        <w:t xml:space="preserve"> </w:t>
      </w:r>
      <w:r w:rsidRPr="000977F7">
        <w:rPr>
          <w:rFonts w:asciiTheme="majorHAnsi" w:hAnsiTheme="majorHAnsi"/>
          <w:sz w:val="20"/>
          <w:szCs w:val="20"/>
        </w:rPr>
        <w:t>одиниці та інші дані, необхідні для її складання (виготовлення)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p>
    <w:p w14:paraId="521AA38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63011716"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СКЛАДАЛЬНИЙ КОМПЛЕКТ –</w:t>
      </w:r>
      <w:r w:rsidRPr="000977F7">
        <w:rPr>
          <w:rFonts w:asciiTheme="majorHAnsi" w:hAnsiTheme="majorHAnsi"/>
          <w:b/>
          <w:spacing w:val="-47"/>
          <w:sz w:val="20"/>
          <w:szCs w:val="20"/>
        </w:rPr>
        <w:t xml:space="preserve"> </w:t>
      </w:r>
    </w:p>
    <w:p w14:paraId="3BDF900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ASSAMBLY</w:t>
      </w:r>
      <w:r w:rsidRPr="000977F7">
        <w:rPr>
          <w:rFonts w:asciiTheme="majorHAnsi" w:hAnsiTheme="majorHAnsi"/>
          <w:spacing w:val="-1"/>
          <w:sz w:val="20"/>
          <w:szCs w:val="20"/>
        </w:rPr>
        <w:t xml:space="preserve"> </w:t>
      </w:r>
      <w:r w:rsidRPr="000977F7">
        <w:rPr>
          <w:rFonts w:asciiTheme="majorHAnsi" w:hAnsiTheme="majorHAnsi"/>
          <w:sz w:val="20"/>
          <w:szCs w:val="20"/>
        </w:rPr>
        <w:t>SET</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0AA5C2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Група складових частин виробу, які необхідно подати на робоче місце для складання виробу чи його складової частини</w:t>
      </w:r>
    </w:p>
    <w:p w14:paraId="142EECEB" w14:textId="77777777" w:rsidR="0097612F" w:rsidRPr="000977F7" w:rsidRDefault="0097612F" w:rsidP="000977F7">
      <w:pPr>
        <w:pStyle w:val="af6"/>
        <w:tabs>
          <w:tab w:val="left" w:pos="284"/>
        </w:tabs>
        <w:spacing w:after="0"/>
        <w:ind w:left="170"/>
        <w:mirrorIndents/>
        <w:jc w:val="both"/>
        <w:rPr>
          <w:rFonts w:asciiTheme="majorHAnsi" w:hAnsiTheme="majorHAnsi"/>
          <w:i/>
          <w:iCs/>
          <w:spacing w:val="-47"/>
          <w:sz w:val="20"/>
          <w:szCs w:val="20"/>
        </w:rPr>
      </w:pPr>
      <w:r w:rsidRPr="000977F7">
        <w:rPr>
          <w:rFonts w:asciiTheme="majorHAnsi" w:hAnsiTheme="majorHAnsi"/>
          <w:i/>
          <w:iCs/>
          <w:sz w:val="20"/>
          <w:szCs w:val="20"/>
        </w:rPr>
        <w:t>ДСТУ 2391 – 2010</w:t>
      </w:r>
      <w:r w:rsidRPr="000977F7">
        <w:rPr>
          <w:rFonts w:asciiTheme="majorHAnsi" w:hAnsiTheme="majorHAnsi"/>
          <w:i/>
          <w:iCs/>
          <w:spacing w:val="-47"/>
          <w:sz w:val="20"/>
          <w:szCs w:val="20"/>
        </w:rPr>
        <w:t xml:space="preserve"> </w:t>
      </w:r>
    </w:p>
    <w:p w14:paraId="6743C0EB"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СКЛАДАННЯ –</w:t>
      </w:r>
    </w:p>
    <w:p w14:paraId="2D4CF78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ASSAMBLY -</w:t>
      </w:r>
    </w:p>
    <w:p w14:paraId="7CBFB4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Утворення</w:t>
      </w:r>
      <w:r w:rsidRPr="000977F7">
        <w:rPr>
          <w:rFonts w:asciiTheme="majorHAnsi" w:hAnsiTheme="majorHAnsi"/>
          <w:spacing w:val="-5"/>
          <w:sz w:val="20"/>
          <w:szCs w:val="20"/>
        </w:rPr>
        <w:t xml:space="preserve"> </w:t>
      </w:r>
      <w:r w:rsidRPr="000977F7">
        <w:rPr>
          <w:rFonts w:asciiTheme="majorHAnsi" w:hAnsiTheme="majorHAnsi"/>
          <w:sz w:val="20"/>
          <w:szCs w:val="20"/>
        </w:rPr>
        <w:t>з’єднань</w:t>
      </w:r>
      <w:r w:rsidRPr="000977F7">
        <w:rPr>
          <w:rFonts w:asciiTheme="majorHAnsi" w:hAnsiTheme="majorHAnsi"/>
          <w:spacing w:val="-3"/>
          <w:sz w:val="20"/>
          <w:szCs w:val="20"/>
        </w:rPr>
        <w:t xml:space="preserve"> </w:t>
      </w:r>
      <w:r w:rsidRPr="000977F7">
        <w:rPr>
          <w:rFonts w:asciiTheme="majorHAnsi" w:hAnsiTheme="majorHAnsi"/>
          <w:sz w:val="20"/>
          <w:szCs w:val="20"/>
        </w:rPr>
        <w:t>складових</w:t>
      </w:r>
      <w:r w:rsidRPr="000977F7">
        <w:rPr>
          <w:rFonts w:asciiTheme="majorHAnsi" w:hAnsiTheme="majorHAnsi"/>
          <w:spacing w:val="-4"/>
          <w:sz w:val="20"/>
          <w:szCs w:val="20"/>
        </w:rPr>
        <w:t xml:space="preserve"> </w:t>
      </w:r>
      <w:r w:rsidRPr="000977F7">
        <w:rPr>
          <w:rFonts w:asciiTheme="majorHAnsi" w:hAnsiTheme="majorHAnsi"/>
          <w:sz w:val="20"/>
          <w:szCs w:val="20"/>
        </w:rPr>
        <w:t>виробу</w:t>
      </w:r>
    </w:p>
    <w:p w14:paraId="61710C6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48F5994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Автоматизоване – функції управління складальними</w:t>
      </w:r>
      <w:r w:rsidRPr="000977F7">
        <w:rPr>
          <w:rFonts w:asciiTheme="majorHAnsi" w:hAnsiTheme="majorHAnsi"/>
          <w:spacing w:val="1"/>
          <w:sz w:val="20"/>
          <w:szCs w:val="20"/>
        </w:rPr>
        <w:t xml:space="preserve"> </w:t>
      </w:r>
      <w:r w:rsidRPr="000977F7">
        <w:rPr>
          <w:rFonts w:asciiTheme="majorHAnsi" w:hAnsiTheme="majorHAnsi"/>
          <w:sz w:val="20"/>
          <w:szCs w:val="20"/>
        </w:rPr>
        <w:t>процесами частково надані складальним машинам та</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3"/>
          <w:sz w:val="20"/>
          <w:szCs w:val="20"/>
        </w:rPr>
        <w:t xml:space="preserve"> </w:t>
      </w:r>
      <w:r w:rsidRPr="000977F7">
        <w:rPr>
          <w:rFonts w:asciiTheme="majorHAnsi" w:hAnsiTheme="majorHAnsi"/>
          <w:sz w:val="20"/>
          <w:szCs w:val="20"/>
        </w:rPr>
        <w:t>комплексам</w:t>
      </w:r>
    </w:p>
    <w:p w14:paraId="1105BB5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Автоматичне функції управління складальними процесами повністю надані складальним машинам та їх</w:t>
      </w:r>
      <w:r w:rsidRPr="000977F7">
        <w:rPr>
          <w:rFonts w:asciiTheme="majorHAnsi" w:hAnsiTheme="majorHAnsi"/>
          <w:spacing w:val="1"/>
          <w:sz w:val="20"/>
          <w:szCs w:val="20"/>
        </w:rPr>
        <w:t xml:space="preserve"> </w:t>
      </w:r>
      <w:r w:rsidRPr="000977F7">
        <w:rPr>
          <w:rFonts w:asciiTheme="majorHAnsi" w:hAnsiTheme="majorHAnsi"/>
          <w:sz w:val="20"/>
          <w:szCs w:val="20"/>
        </w:rPr>
        <w:t>комплексам</w:t>
      </w:r>
    </w:p>
    <w:p w14:paraId="23F0D93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Групове –</w:t>
      </w:r>
      <w:r w:rsidRPr="000977F7">
        <w:rPr>
          <w:rFonts w:asciiTheme="majorHAnsi" w:hAnsiTheme="majorHAnsi"/>
          <w:spacing w:val="2"/>
          <w:sz w:val="20"/>
          <w:szCs w:val="20"/>
        </w:rPr>
        <w:t xml:space="preserve"> </w:t>
      </w:r>
      <w:r w:rsidRPr="000977F7">
        <w:rPr>
          <w:rFonts w:asciiTheme="majorHAnsi" w:hAnsiTheme="majorHAnsi"/>
          <w:sz w:val="20"/>
          <w:szCs w:val="20"/>
        </w:rPr>
        <w:t>технологічний</w:t>
      </w:r>
      <w:r w:rsidRPr="000977F7">
        <w:rPr>
          <w:rFonts w:asciiTheme="majorHAnsi" w:hAnsiTheme="majorHAnsi"/>
          <w:spacing w:val="2"/>
          <w:sz w:val="20"/>
          <w:szCs w:val="20"/>
        </w:rPr>
        <w:t xml:space="preserve"> </w:t>
      </w:r>
      <w:r w:rsidRPr="000977F7">
        <w:rPr>
          <w:rFonts w:asciiTheme="majorHAnsi" w:hAnsiTheme="majorHAnsi"/>
          <w:sz w:val="20"/>
          <w:szCs w:val="20"/>
        </w:rPr>
        <w:t>процес</w:t>
      </w:r>
      <w:r w:rsidRPr="000977F7">
        <w:rPr>
          <w:rFonts w:asciiTheme="majorHAnsi" w:hAnsiTheme="majorHAnsi"/>
          <w:spacing w:val="1"/>
          <w:sz w:val="20"/>
          <w:szCs w:val="20"/>
        </w:rPr>
        <w:t xml:space="preserve"> </w:t>
      </w:r>
      <w:r w:rsidRPr="000977F7">
        <w:rPr>
          <w:rFonts w:asciiTheme="majorHAnsi" w:hAnsiTheme="majorHAnsi"/>
          <w:sz w:val="20"/>
          <w:szCs w:val="20"/>
        </w:rPr>
        <w:t>складання</w:t>
      </w:r>
      <w:r w:rsidRPr="000977F7">
        <w:rPr>
          <w:rFonts w:asciiTheme="majorHAnsi" w:hAnsiTheme="majorHAnsi"/>
          <w:spacing w:val="-1"/>
          <w:sz w:val="20"/>
          <w:szCs w:val="20"/>
        </w:rPr>
        <w:t xml:space="preserve"> </w:t>
      </w:r>
      <w:r w:rsidRPr="000977F7">
        <w:rPr>
          <w:rFonts w:asciiTheme="majorHAnsi" w:hAnsiTheme="majorHAnsi"/>
          <w:sz w:val="20"/>
          <w:szCs w:val="20"/>
        </w:rPr>
        <w:t>застосовується</w:t>
      </w:r>
      <w:r w:rsidRPr="000977F7">
        <w:rPr>
          <w:rFonts w:asciiTheme="majorHAnsi" w:hAnsiTheme="majorHAnsi"/>
          <w:spacing w:val="16"/>
          <w:sz w:val="20"/>
          <w:szCs w:val="20"/>
        </w:rPr>
        <w:t xml:space="preserve"> </w:t>
      </w:r>
      <w:r w:rsidRPr="000977F7">
        <w:rPr>
          <w:rFonts w:asciiTheme="majorHAnsi" w:hAnsiTheme="majorHAnsi"/>
          <w:sz w:val="20"/>
          <w:szCs w:val="20"/>
        </w:rPr>
        <w:t>для</w:t>
      </w:r>
      <w:r w:rsidRPr="000977F7">
        <w:rPr>
          <w:rFonts w:asciiTheme="majorHAnsi" w:hAnsiTheme="majorHAnsi"/>
          <w:spacing w:val="16"/>
          <w:sz w:val="20"/>
          <w:szCs w:val="20"/>
        </w:rPr>
        <w:t xml:space="preserve"> </w:t>
      </w:r>
      <w:r w:rsidRPr="000977F7">
        <w:rPr>
          <w:rFonts w:asciiTheme="majorHAnsi" w:hAnsiTheme="majorHAnsi"/>
          <w:sz w:val="20"/>
          <w:szCs w:val="20"/>
        </w:rPr>
        <w:t>декількох</w:t>
      </w:r>
      <w:r w:rsidRPr="000977F7">
        <w:rPr>
          <w:rFonts w:asciiTheme="majorHAnsi" w:hAnsiTheme="majorHAnsi"/>
          <w:spacing w:val="18"/>
          <w:sz w:val="20"/>
          <w:szCs w:val="20"/>
        </w:rPr>
        <w:t xml:space="preserve"> </w:t>
      </w:r>
      <w:r w:rsidRPr="000977F7">
        <w:rPr>
          <w:rFonts w:asciiTheme="majorHAnsi" w:hAnsiTheme="majorHAnsi"/>
          <w:sz w:val="20"/>
          <w:szCs w:val="20"/>
        </w:rPr>
        <w:t>виробів</w:t>
      </w:r>
      <w:r w:rsidRPr="000977F7">
        <w:rPr>
          <w:rFonts w:asciiTheme="majorHAnsi" w:hAnsiTheme="majorHAnsi"/>
          <w:spacing w:val="19"/>
          <w:sz w:val="20"/>
          <w:szCs w:val="20"/>
        </w:rPr>
        <w:t xml:space="preserve"> </w:t>
      </w:r>
      <w:r w:rsidRPr="000977F7">
        <w:rPr>
          <w:rFonts w:asciiTheme="majorHAnsi" w:hAnsiTheme="majorHAnsi"/>
          <w:sz w:val="20"/>
          <w:szCs w:val="20"/>
        </w:rPr>
        <w:t>(вузлів),</w:t>
      </w:r>
      <w:r w:rsidRPr="000977F7">
        <w:rPr>
          <w:rFonts w:asciiTheme="majorHAnsi" w:hAnsiTheme="majorHAnsi"/>
          <w:spacing w:val="18"/>
          <w:sz w:val="20"/>
          <w:szCs w:val="20"/>
        </w:rPr>
        <w:t xml:space="preserve"> </w:t>
      </w:r>
      <w:r w:rsidRPr="000977F7">
        <w:rPr>
          <w:rFonts w:asciiTheme="majorHAnsi" w:hAnsiTheme="majorHAnsi"/>
          <w:sz w:val="20"/>
          <w:szCs w:val="20"/>
        </w:rPr>
        <w:t>які</w:t>
      </w:r>
      <w:r w:rsidRPr="000977F7">
        <w:rPr>
          <w:rFonts w:asciiTheme="majorHAnsi" w:hAnsiTheme="majorHAnsi"/>
          <w:spacing w:val="17"/>
          <w:sz w:val="20"/>
          <w:szCs w:val="20"/>
        </w:rPr>
        <w:t xml:space="preserve"> </w:t>
      </w:r>
      <w:r w:rsidRPr="000977F7">
        <w:rPr>
          <w:rFonts w:asciiTheme="majorHAnsi" w:hAnsiTheme="majorHAnsi"/>
          <w:sz w:val="20"/>
          <w:szCs w:val="20"/>
        </w:rPr>
        <w:t>мають</w:t>
      </w:r>
      <w:r w:rsidRPr="000977F7">
        <w:rPr>
          <w:rFonts w:asciiTheme="majorHAnsi" w:hAnsiTheme="majorHAnsi"/>
          <w:spacing w:val="17"/>
          <w:sz w:val="20"/>
          <w:szCs w:val="20"/>
        </w:rPr>
        <w:t xml:space="preserve"> </w:t>
      </w:r>
      <w:r w:rsidRPr="000977F7">
        <w:rPr>
          <w:rFonts w:asciiTheme="majorHAnsi" w:hAnsiTheme="majorHAnsi"/>
          <w:sz w:val="20"/>
          <w:szCs w:val="20"/>
        </w:rPr>
        <w:t>однорідні конструктивно – технологічні ознаки</w:t>
      </w:r>
      <w:r w:rsidRPr="000977F7">
        <w:rPr>
          <w:rFonts w:asciiTheme="majorHAnsi" w:hAnsiTheme="majorHAnsi"/>
          <w:spacing w:val="1"/>
          <w:sz w:val="20"/>
          <w:szCs w:val="20"/>
        </w:rPr>
        <w:t xml:space="preserve"> </w:t>
      </w:r>
      <w:r w:rsidRPr="000977F7">
        <w:rPr>
          <w:rFonts w:asciiTheme="majorHAnsi" w:hAnsiTheme="majorHAnsi"/>
          <w:sz w:val="20"/>
          <w:szCs w:val="20"/>
        </w:rPr>
        <w:t>Індивідуальне</w:t>
      </w:r>
      <w:r w:rsidRPr="000977F7">
        <w:rPr>
          <w:rFonts w:asciiTheme="majorHAnsi" w:hAnsiTheme="majorHAnsi"/>
          <w:spacing w:val="12"/>
          <w:sz w:val="20"/>
          <w:szCs w:val="20"/>
        </w:rPr>
        <w:t xml:space="preserve"> </w:t>
      </w:r>
      <w:r w:rsidRPr="000977F7">
        <w:rPr>
          <w:rFonts w:asciiTheme="majorHAnsi" w:hAnsiTheme="majorHAnsi"/>
          <w:sz w:val="20"/>
          <w:szCs w:val="20"/>
        </w:rPr>
        <w:t>–</w:t>
      </w:r>
      <w:r w:rsidRPr="000977F7">
        <w:rPr>
          <w:rFonts w:asciiTheme="majorHAnsi" w:hAnsiTheme="majorHAnsi"/>
          <w:spacing w:val="12"/>
          <w:sz w:val="20"/>
          <w:szCs w:val="20"/>
        </w:rPr>
        <w:t xml:space="preserve"> </w:t>
      </w:r>
      <w:r w:rsidRPr="000977F7">
        <w:rPr>
          <w:rFonts w:asciiTheme="majorHAnsi" w:hAnsiTheme="majorHAnsi"/>
          <w:sz w:val="20"/>
          <w:szCs w:val="20"/>
        </w:rPr>
        <w:t>технологічний</w:t>
      </w:r>
      <w:r w:rsidRPr="000977F7">
        <w:rPr>
          <w:rFonts w:asciiTheme="majorHAnsi" w:hAnsiTheme="majorHAnsi"/>
          <w:spacing w:val="9"/>
          <w:sz w:val="20"/>
          <w:szCs w:val="20"/>
        </w:rPr>
        <w:t xml:space="preserve"> </w:t>
      </w:r>
      <w:r w:rsidRPr="000977F7">
        <w:rPr>
          <w:rFonts w:asciiTheme="majorHAnsi" w:hAnsiTheme="majorHAnsi"/>
          <w:sz w:val="20"/>
          <w:szCs w:val="20"/>
        </w:rPr>
        <w:t>процес</w:t>
      </w:r>
      <w:r w:rsidRPr="000977F7">
        <w:rPr>
          <w:rFonts w:asciiTheme="majorHAnsi" w:hAnsiTheme="majorHAnsi"/>
          <w:spacing w:val="11"/>
          <w:sz w:val="20"/>
          <w:szCs w:val="20"/>
        </w:rPr>
        <w:t xml:space="preserve"> </w:t>
      </w:r>
      <w:r w:rsidRPr="000977F7">
        <w:rPr>
          <w:rFonts w:asciiTheme="majorHAnsi" w:hAnsiTheme="majorHAnsi"/>
          <w:sz w:val="20"/>
          <w:szCs w:val="20"/>
        </w:rPr>
        <w:t>складання</w:t>
      </w:r>
      <w:r w:rsidRPr="000977F7">
        <w:rPr>
          <w:rFonts w:asciiTheme="majorHAnsi" w:hAnsiTheme="majorHAnsi"/>
          <w:spacing w:val="11"/>
          <w:sz w:val="20"/>
          <w:szCs w:val="20"/>
        </w:rPr>
        <w:t xml:space="preserve"> </w:t>
      </w:r>
      <w:r w:rsidRPr="000977F7">
        <w:rPr>
          <w:rFonts w:asciiTheme="majorHAnsi" w:hAnsiTheme="majorHAnsi"/>
          <w:sz w:val="20"/>
          <w:szCs w:val="20"/>
        </w:rPr>
        <w:t>розробляється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одного</w:t>
      </w:r>
      <w:r w:rsidRPr="000977F7">
        <w:rPr>
          <w:rFonts w:asciiTheme="majorHAnsi" w:hAnsiTheme="majorHAnsi"/>
          <w:spacing w:val="1"/>
          <w:sz w:val="20"/>
          <w:szCs w:val="20"/>
        </w:rPr>
        <w:t xml:space="preserve"> </w:t>
      </w:r>
      <w:r w:rsidRPr="000977F7">
        <w:rPr>
          <w:rFonts w:asciiTheme="majorHAnsi" w:hAnsiTheme="majorHAnsi"/>
          <w:sz w:val="20"/>
          <w:szCs w:val="20"/>
        </w:rPr>
        <w:t>конкретного виробу</w:t>
      </w:r>
    </w:p>
    <w:p w14:paraId="69C8E5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Конвеєрне</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деталі,</w:t>
      </w:r>
      <w:r w:rsidRPr="000977F7">
        <w:rPr>
          <w:rFonts w:asciiTheme="majorHAnsi" w:hAnsiTheme="majorHAnsi"/>
          <w:spacing w:val="1"/>
          <w:sz w:val="20"/>
          <w:szCs w:val="20"/>
        </w:rPr>
        <w:t xml:space="preserve"> </w:t>
      </w:r>
      <w:r w:rsidRPr="000977F7">
        <w:rPr>
          <w:rFonts w:asciiTheme="majorHAnsi" w:hAnsiTheme="majorHAnsi"/>
          <w:sz w:val="20"/>
          <w:szCs w:val="20"/>
        </w:rPr>
        <w:t>складальні одиниці та</w:t>
      </w:r>
      <w:r w:rsidRPr="000977F7">
        <w:rPr>
          <w:rFonts w:asciiTheme="majorHAnsi" w:hAnsiTheme="majorHAnsi"/>
          <w:spacing w:val="1"/>
          <w:sz w:val="20"/>
          <w:szCs w:val="20"/>
        </w:rPr>
        <w:t xml:space="preserve"> </w:t>
      </w:r>
      <w:r w:rsidRPr="000977F7">
        <w:rPr>
          <w:rFonts w:asciiTheme="majorHAnsi" w:hAnsiTheme="majorHAnsi"/>
          <w:sz w:val="20"/>
          <w:szCs w:val="20"/>
        </w:rPr>
        <w:t>агрегати</w:t>
      </w:r>
      <w:r w:rsidRPr="000977F7">
        <w:rPr>
          <w:rFonts w:asciiTheme="majorHAnsi" w:hAnsiTheme="majorHAnsi"/>
          <w:spacing w:val="1"/>
          <w:sz w:val="20"/>
          <w:szCs w:val="20"/>
        </w:rPr>
        <w:t xml:space="preserve"> </w:t>
      </w:r>
      <w:r w:rsidRPr="000977F7">
        <w:rPr>
          <w:rFonts w:asciiTheme="majorHAnsi" w:hAnsiTheme="majorHAnsi"/>
          <w:sz w:val="20"/>
          <w:szCs w:val="20"/>
        </w:rPr>
        <w:t>переміщуються по конвеєру в потрібній послідовності</w:t>
      </w:r>
      <w:r w:rsidRPr="000977F7">
        <w:rPr>
          <w:rFonts w:asciiTheme="majorHAnsi" w:hAnsiTheme="majorHAnsi"/>
          <w:spacing w:val="-47"/>
          <w:sz w:val="20"/>
          <w:szCs w:val="20"/>
        </w:rPr>
        <w:t xml:space="preserve"> </w:t>
      </w:r>
      <w:r w:rsidRPr="000977F7">
        <w:rPr>
          <w:rFonts w:asciiTheme="majorHAnsi" w:hAnsiTheme="majorHAnsi"/>
          <w:sz w:val="20"/>
          <w:szCs w:val="20"/>
        </w:rPr>
        <w:t>від</w:t>
      </w:r>
      <w:r w:rsidRPr="000977F7">
        <w:rPr>
          <w:rFonts w:asciiTheme="majorHAnsi" w:hAnsiTheme="majorHAnsi"/>
          <w:spacing w:val="-2"/>
          <w:sz w:val="20"/>
          <w:szCs w:val="20"/>
        </w:rPr>
        <w:t xml:space="preserve"> </w:t>
      </w:r>
      <w:r w:rsidRPr="000977F7">
        <w:rPr>
          <w:rFonts w:asciiTheme="majorHAnsi" w:hAnsiTheme="majorHAnsi"/>
          <w:sz w:val="20"/>
          <w:szCs w:val="20"/>
        </w:rPr>
        <w:t>одного</w:t>
      </w:r>
      <w:r w:rsidRPr="000977F7">
        <w:rPr>
          <w:rFonts w:asciiTheme="majorHAnsi" w:hAnsiTheme="majorHAnsi"/>
          <w:spacing w:val="1"/>
          <w:sz w:val="20"/>
          <w:szCs w:val="20"/>
        </w:rPr>
        <w:t xml:space="preserve"> </w:t>
      </w:r>
      <w:r w:rsidRPr="000977F7">
        <w:rPr>
          <w:rFonts w:asciiTheme="majorHAnsi" w:hAnsiTheme="majorHAnsi"/>
          <w:sz w:val="20"/>
          <w:szCs w:val="20"/>
        </w:rPr>
        <w:t>складальника</w:t>
      </w:r>
      <w:r w:rsidRPr="000977F7">
        <w:rPr>
          <w:rFonts w:asciiTheme="majorHAnsi" w:hAnsiTheme="majorHAnsi"/>
          <w:spacing w:val="-1"/>
          <w:sz w:val="20"/>
          <w:szCs w:val="20"/>
        </w:rPr>
        <w:t xml:space="preserve"> </w:t>
      </w:r>
      <w:r w:rsidRPr="000977F7">
        <w:rPr>
          <w:rFonts w:asciiTheme="majorHAnsi" w:hAnsiTheme="majorHAnsi"/>
          <w:sz w:val="20"/>
          <w:szCs w:val="20"/>
        </w:rPr>
        <w:t>до іншого</w:t>
      </w:r>
    </w:p>
    <w:p w14:paraId="5B172C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Механізоване – ручна праця оператора на робочому</w:t>
      </w:r>
      <w:r w:rsidRPr="000977F7">
        <w:rPr>
          <w:rFonts w:asciiTheme="majorHAnsi" w:hAnsiTheme="majorHAnsi"/>
          <w:spacing w:val="1"/>
          <w:sz w:val="20"/>
          <w:szCs w:val="20"/>
        </w:rPr>
        <w:t xml:space="preserve"> </w:t>
      </w:r>
      <w:r w:rsidRPr="000977F7">
        <w:rPr>
          <w:rFonts w:asciiTheme="majorHAnsi" w:hAnsiTheme="majorHAnsi"/>
          <w:sz w:val="20"/>
          <w:szCs w:val="20"/>
        </w:rPr>
        <w:t>місці</w:t>
      </w:r>
      <w:r w:rsidRPr="000977F7">
        <w:rPr>
          <w:rFonts w:asciiTheme="majorHAnsi" w:hAnsiTheme="majorHAnsi"/>
          <w:spacing w:val="1"/>
          <w:sz w:val="20"/>
          <w:szCs w:val="20"/>
        </w:rPr>
        <w:t xml:space="preserve"> </w:t>
      </w:r>
      <w:r w:rsidRPr="000977F7">
        <w:rPr>
          <w:rFonts w:asciiTheme="majorHAnsi" w:hAnsiTheme="majorHAnsi"/>
          <w:sz w:val="20"/>
          <w:szCs w:val="20"/>
        </w:rPr>
        <w:t>частково</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повністю</w:t>
      </w:r>
      <w:r w:rsidRPr="000977F7">
        <w:rPr>
          <w:rFonts w:asciiTheme="majorHAnsi" w:hAnsiTheme="majorHAnsi"/>
          <w:spacing w:val="1"/>
          <w:sz w:val="20"/>
          <w:szCs w:val="20"/>
        </w:rPr>
        <w:t xml:space="preserve"> </w:t>
      </w:r>
      <w:r w:rsidRPr="000977F7">
        <w:rPr>
          <w:rFonts w:asciiTheme="majorHAnsi" w:hAnsiTheme="majorHAnsi"/>
          <w:sz w:val="20"/>
          <w:szCs w:val="20"/>
        </w:rPr>
        <w:t>замінена</w:t>
      </w:r>
      <w:r w:rsidRPr="000977F7">
        <w:rPr>
          <w:rFonts w:asciiTheme="majorHAnsi" w:hAnsiTheme="majorHAnsi"/>
          <w:spacing w:val="1"/>
          <w:sz w:val="20"/>
          <w:szCs w:val="20"/>
        </w:rPr>
        <w:t xml:space="preserve"> </w:t>
      </w:r>
      <w:r w:rsidRPr="000977F7">
        <w:rPr>
          <w:rFonts w:asciiTheme="majorHAnsi" w:hAnsiTheme="majorHAnsi"/>
          <w:sz w:val="20"/>
          <w:szCs w:val="20"/>
        </w:rPr>
        <w:t>електричним,</w:t>
      </w:r>
      <w:r w:rsidRPr="000977F7">
        <w:rPr>
          <w:rFonts w:asciiTheme="majorHAnsi" w:hAnsiTheme="majorHAnsi"/>
          <w:spacing w:val="-47"/>
          <w:sz w:val="20"/>
          <w:szCs w:val="20"/>
        </w:rPr>
        <w:t xml:space="preserve"> </w:t>
      </w:r>
      <w:r w:rsidRPr="000977F7">
        <w:rPr>
          <w:rFonts w:asciiTheme="majorHAnsi" w:hAnsiTheme="majorHAnsi"/>
          <w:sz w:val="20"/>
          <w:szCs w:val="20"/>
        </w:rPr>
        <w:t>пневматичним або гідравлічним інструментом та пристосуваннями</w:t>
      </w:r>
    </w:p>
    <w:p w14:paraId="23149A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Нерухоме</w:t>
      </w:r>
      <w:r w:rsidRPr="000977F7">
        <w:rPr>
          <w:rFonts w:asciiTheme="majorHAnsi" w:hAnsiTheme="majorHAnsi"/>
          <w:spacing w:val="1"/>
          <w:sz w:val="20"/>
          <w:szCs w:val="20"/>
        </w:rPr>
        <w:t xml:space="preserve"> </w:t>
      </w:r>
      <w:r w:rsidRPr="000977F7">
        <w:rPr>
          <w:rFonts w:asciiTheme="majorHAnsi" w:hAnsiTheme="majorHAnsi"/>
          <w:sz w:val="20"/>
          <w:szCs w:val="20"/>
        </w:rPr>
        <w:t>поточне</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деталі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складальні</w:t>
      </w:r>
      <w:r w:rsidRPr="000977F7">
        <w:rPr>
          <w:rFonts w:asciiTheme="majorHAnsi" w:hAnsiTheme="majorHAnsi"/>
          <w:spacing w:val="1"/>
          <w:sz w:val="20"/>
          <w:szCs w:val="20"/>
        </w:rPr>
        <w:t xml:space="preserve"> </w:t>
      </w:r>
      <w:r w:rsidRPr="000977F7">
        <w:rPr>
          <w:rFonts w:asciiTheme="majorHAnsi" w:hAnsiTheme="majorHAnsi"/>
          <w:sz w:val="20"/>
          <w:szCs w:val="20"/>
        </w:rPr>
        <w:t>одиниці</w:t>
      </w:r>
      <w:r w:rsidRPr="000977F7">
        <w:rPr>
          <w:rFonts w:asciiTheme="majorHAnsi" w:hAnsiTheme="majorHAnsi"/>
          <w:spacing w:val="1"/>
          <w:sz w:val="20"/>
          <w:szCs w:val="20"/>
        </w:rPr>
        <w:t xml:space="preserve"> </w:t>
      </w:r>
      <w:r w:rsidRPr="000977F7">
        <w:rPr>
          <w:rFonts w:asciiTheme="majorHAnsi" w:hAnsiTheme="majorHAnsi"/>
          <w:sz w:val="20"/>
          <w:szCs w:val="20"/>
        </w:rPr>
        <w:t>з’єднуються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територіально</w:t>
      </w:r>
      <w:r w:rsidRPr="000977F7">
        <w:rPr>
          <w:rFonts w:asciiTheme="majorHAnsi" w:hAnsiTheme="majorHAnsi"/>
          <w:spacing w:val="1"/>
          <w:sz w:val="20"/>
          <w:szCs w:val="20"/>
        </w:rPr>
        <w:t xml:space="preserve"> </w:t>
      </w:r>
      <w:r w:rsidRPr="000977F7">
        <w:rPr>
          <w:rFonts w:asciiTheme="majorHAnsi" w:hAnsiTheme="majorHAnsi"/>
          <w:sz w:val="20"/>
          <w:szCs w:val="20"/>
        </w:rPr>
        <w:t>постійному</w:t>
      </w:r>
      <w:r w:rsidRPr="000977F7">
        <w:rPr>
          <w:rFonts w:asciiTheme="majorHAnsi" w:hAnsiTheme="majorHAnsi"/>
          <w:spacing w:val="1"/>
          <w:sz w:val="20"/>
          <w:szCs w:val="20"/>
        </w:rPr>
        <w:t xml:space="preserve"> </w:t>
      </w:r>
      <w:r w:rsidRPr="000977F7">
        <w:rPr>
          <w:rFonts w:asciiTheme="majorHAnsi" w:hAnsiTheme="majorHAnsi"/>
          <w:sz w:val="20"/>
          <w:szCs w:val="20"/>
        </w:rPr>
        <w:t>робочому</w:t>
      </w:r>
      <w:r w:rsidRPr="000977F7">
        <w:rPr>
          <w:rFonts w:asciiTheme="majorHAnsi" w:hAnsiTheme="majorHAnsi"/>
          <w:spacing w:val="-47"/>
          <w:sz w:val="20"/>
          <w:szCs w:val="20"/>
        </w:rPr>
        <w:t xml:space="preserve"> </w:t>
      </w:r>
      <w:r w:rsidRPr="000977F7">
        <w:rPr>
          <w:rFonts w:asciiTheme="majorHAnsi" w:hAnsiTheme="majorHAnsi"/>
          <w:sz w:val="20"/>
          <w:szCs w:val="20"/>
        </w:rPr>
        <w:t>місці</w:t>
      </w:r>
      <w:r w:rsidRPr="000977F7">
        <w:rPr>
          <w:rFonts w:asciiTheme="majorHAnsi" w:hAnsiTheme="majorHAnsi"/>
          <w:spacing w:val="-2"/>
          <w:sz w:val="20"/>
          <w:szCs w:val="20"/>
        </w:rPr>
        <w:t xml:space="preserve"> </w:t>
      </w:r>
      <w:r w:rsidRPr="000977F7">
        <w:rPr>
          <w:rFonts w:asciiTheme="majorHAnsi" w:hAnsiTheme="majorHAnsi"/>
          <w:sz w:val="20"/>
          <w:szCs w:val="20"/>
        </w:rPr>
        <w:t>за необхідним</w:t>
      </w:r>
      <w:r w:rsidRPr="000977F7">
        <w:rPr>
          <w:rFonts w:asciiTheme="majorHAnsi" w:hAnsiTheme="majorHAnsi"/>
          <w:spacing w:val="1"/>
          <w:sz w:val="20"/>
          <w:szCs w:val="20"/>
        </w:rPr>
        <w:t xml:space="preserve"> </w:t>
      </w:r>
      <w:r w:rsidRPr="000977F7">
        <w:rPr>
          <w:rFonts w:asciiTheme="majorHAnsi" w:hAnsiTheme="majorHAnsi"/>
          <w:sz w:val="20"/>
          <w:szCs w:val="20"/>
        </w:rPr>
        <w:t>тактом</w:t>
      </w:r>
    </w:p>
    <w:p w14:paraId="6867B2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Остаточне – здійснюється за всіма операціями технологічного процеса, після яких виріб (вузол) надаються</w:t>
      </w:r>
      <w:r w:rsidRPr="000977F7">
        <w:rPr>
          <w:rFonts w:asciiTheme="majorHAnsi" w:hAnsiTheme="majorHAnsi"/>
          <w:spacing w:val="-47"/>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остаточного (приймального)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контроля</w:t>
      </w:r>
    </w:p>
    <w:p w14:paraId="6D4A061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Рухоме – вироби або їх складові частини переміщуються</w:t>
      </w:r>
      <w:r w:rsidRPr="000977F7">
        <w:rPr>
          <w:rFonts w:asciiTheme="majorHAnsi" w:hAnsiTheme="majorHAnsi"/>
          <w:spacing w:val="-2"/>
          <w:sz w:val="20"/>
          <w:szCs w:val="20"/>
        </w:rPr>
        <w:t xml:space="preserve"> </w:t>
      </w:r>
      <w:r w:rsidRPr="000977F7">
        <w:rPr>
          <w:rFonts w:asciiTheme="majorHAnsi" w:hAnsiTheme="majorHAnsi"/>
          <w:sz w:val="20"/>
          <w:szCs w:val="20"/>
        </w:rPr>
        <w:t>по</w:t>
      </w:r>
      <w:r w:rsidRPr="000977F7">
        <w:rPr>
          <w:rFonts w:asciiTheme="majorHAnsi" w:hAnsiTheme="majorHAnsi"/>
          <w:spacing w:val="3"/>
          <w:sz w:val="20"/>
          <w:szCs w:val="20"/>
        </w:rPr>
        <w:t xml:space="preserve"> </w:t>
      </w:r>
      <w:r w:rsidRPr="000977F7">
        <w:rPr>
          <w:rFonts w:asciiTheme="majorHAnsi" w:hAnsiTheme="majorHAnsi"/>
          <w:sz w:val="20"/>
          <w:szCs w:val="20"/>
        </w:rPr>
        <w:t>позиціям</w:t>
      </w:r>
    </w:p>
    <w:p w14:paraId="4BD9C3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Поточне – здійснюється в умовах поточної організації</w:t>
      </w:r>
      <w:r w:rsidRPr="000977F7">
        <w:rPr>
          <w:rFonts w:asciiTheme="majorHAnsi" w:hAnsiTheme="majorHAnsi"/>
          <w:spacing w:val="-47"/>
          <w:sz w:val="20"/>
          <w:szCs w:val="20"/>
        </w:rPr>
        <w:t xml:space="preserve"> </w:t>
      </w:r>
      <w:r w:rsidRPr="000977F7">
        <w:rPr>
          <w:rFonts w:asciiTheme="majorHAnsi" w:hAnsiTheme="majorHAnsi"/>
          <w:sz w:val="20"/>
          <w:szCs w:val="20"/>
        </w:rPr>
        <w:t>виробництва</w:t>
      </w:r>
    </w:p>
    <w:p w14:paraId="7C2569E9" w14:textId="77777777" w:rsidR="0097612F" w:rsidRPr="000977F7" w:rsidRDefault="0097612F" w:rsidP="000977F7">
      <w:pPr>
        <w:pStyle w:val="af6"/>
        <w:tabs>
          <w:tab w:val="left" w:pos="284"/>
        </w:tabs>
        <w:spacing w:after="0"/>
        <w:ind w:left="170"/>
        <w:mirrorIndents/>
        <w:jc w:val="both"/>
        <w:rPr>
          <w:rFonts w:asciiTheme="majorHAnsi" w:hAnsiTheme="majorHAnsi"/>
          <w:spacing w:val="-4"/>
          <w:sz w:val="20"/>
          <w:szCs w:val="20"/>
        </w:rPr>
      </w:pPr>
      <w:r w:rsidRPr="000977F7">
        <w:rPr>
          <w:rFonts w:asciiTheme="majorHAnsi" w:hAnsiTheme="majorHAnsi"/>
          <w:spacing w:val="-4"/>
          <w:sz w:val="20"/>
          <w:szCs w:val="20"/>
        </w:rPr>
        <w:t xml:space="preserve">Попереднє – здійснюється за основними </w:t>
      </w:r>
      <w:r w:rsidRPr="000977F7">
        <w:rPr>
          <w:rFonts w:asciiTheme="majorHAnsi" w:hAnsiTheme="majorHAnsi"/>
          <w:spacing w:val="-3"/>
          <w:sz w:val="20"/>
          <w:szCs w:val="20"/>
        </w:rPr>
        <w:t>операціями тех</w:t>
      </w:r>
      <w:r w:rsidRPr="000977F7">
        <w:rPr>
          <w:rFonts w:asciiTheme="majorHAnsi" w:hAnsiTheme="majorHAnsi"/>
          <w:spacing w:val="-6"/>
          <w:sz w:val="20"/>
          <w:szCs w:val="20"/>
        </w:rPr>
        <w:t>нологічного</w:t>
      </w:r>
      <w:r w:rsidRPr="000977F7">
        <w:rPr>
          <w:rFonts w:asciiTheme="majorHAnsi" w:hAnsiTheme="majorHAnsi"/>
          <w:spacing w:val="-3"/>
          <w:sz w:val="20"/>
          <w:szCs w:val="20"/>
        </w:rPr>
        <w:t xml:space="preserve"> </w:t>
      </w:r>
      <w:r w:rsidRPr="000977F7">
        <w:rPr>
          <w:rFonts w:asciiTheme="majorHAnsi" w:hAnsiTheme="majorHAnsi"/>
          <w:spacing w:val="-5"/>
          <w:sz w:val="20"/>
          <w:szCs w:val="20"/>
        </w:rPr>
        <w:t>процеса,</w:t>
      </w:r>
      <w:r w:rsidRPr="000977F7">
        <w:rPr>
          <w:rFonts w:asciiTheme="majorHAnsi" w:hAnsiTheme="majorHAnsi"/>
          <w:spacing w:val="-6"/>
          <w:sz w:val="20"/>
          <w:szCs w:val="20"/>
        </w:rPr>
        <w:t xml:space="preserve"> </w:t>
      </w:r>
      <w:r w:rsidRPr="000977F7">
        <w:rPr>
          <w:rFonts w:asciiTheme="majorHAnsi" w:hAnsiTheme="majorHAnsi"/>
          <w:spacing w:val="-5"/>
          <w:sz w:val="20"/>
          <w:szCs w:val="20"/>
        </w:rPr>
        <w:t>які</w:t>
      </w:r>
      <w:r w:rsidRPr="000977F7">
        <w:rPr>
          <w:rFonts w:asciiTheme="majorHAnsi" w:hAnsiTheme="majorHAnsi"/>
          <w:spacing w:val="-7"/>
          <w:sz w:val="20"/>
          <w:szCs w:val="20"/>
        </w:rPr>
        <w:t xml:space="preserve"> </w:t>
      </w:r>
      <w:r w:rsidRPr="000977F7">
        <w:rPr>
          <w:rFonts w:asciiTheme="majorHAnsi" w:hAnsiTheme="majorHAnsi"/>
          <w:spacing w:val="-5"/>
          <w:sz w:val="20"/>
          <w:szCs w:val="20"/>
        </w:rPr>
        <w:t>забезпечують</w:t>
      </w:r>
      <w:r w:rsidRPr="000977F7">
        <w:rPr>
          <w:rFonts w:asciiTheme="majorHAnsi" w:hAnsiTheme="majorHAnsi"/>
          <w:spacing w:val="-3"/>
          <w:sz w:val="20"/>
          <w:szCs w:val="20"/>
        </w:rPr>
        <w:t xml:space="preserve"> </w:t>
      </w:r>
      <w:r w:rsidRPr="000977F7">
        <w:rPr>
          <w:rFonts w:asciiTheme="majorHAnsi" w:hAnsiTheme="majorHAnsi"/>
          <w:spacing w:val="-5"/>
          <w:sz w:val="20"/>
          <w:szCs w:val="20"/>
        </w:rPr>
        <w:t>з’єднання</w:t>
      </w:r>
      <w:r w:rsidRPr="000977F7">
        <w:rPr>
          <w:rFonts w:asciiTheme="majorHAnsi" w:hAnsiTheme="majorHAnsi"/>
          <w:spacing w:val="-7"/>
          <w:sz w:val="20"/>
          <w:szCs w:val="20"/>
        </w:rPr>
        <w:t xml:space="preserve"> </w:t>
      </w:r>
      <w:r w:rsidRPr="000977F7">
        <w:rPr>
          <w:rFonts w:asciiTheme="majorHAnsi" w:hAnsiTheme="majorHAnsi"/>
          <w:spacing w:val="-5"/>
          <w:sz w:val="20"/>
          <w:szCs w:val="20"/>
        </w:rPr>
        <w:t>та</w:t>
      </w:r>
      <w:r w:rsidRPr="000977F7">
        <w:rPr>
          <w:rFonts w:asciiTheme="majorHAnsi" w:hAnsiTheme="majorHAnsi"/>
          <w:spacing w:val="-4"/>
          <w:sz w:val="20"/>
          <w:szCs w:val="20"/>
        </w:rPr>
        <w:t xml:space="preserve"> </w:t>
      </w:r>
      <w:r w:rsidRPr="000977F7">
        <w:rPr>
          <w:rFonts w:asciiTheme="majorHAnsi" w:hAnsiTheme="majorHAnsi"/>
          <w:spacing w:val="-5"/>
          <w:sz w:val="20"/>
          <w:szCs w:val="20"/>
        </w:rPr>
        <w:t>попе</w:t>
      </w:r>
      <w:r w:rsidRPr="000977F7">
        <w:rPr>
          <w:rFonts w:asciiTheme="majorHAnsi" w:hAnsiTheme="majorHAnsi"/>
          <w:spacing w:val="-6"/>
          <w:sz w:val="20"/>
          <w:szCs w:val="20"/>
        </w:rPr>
        <w:t xml:space="preserve">реднє скріплення складових елементів </w:t>
      </w:r>
      <w:r w:rsidRPr="000977F7">
        <w:rPr>
          <w:rFonts w:asciiTheme="majorHAnsi" w:hAnsiTheme="majorHAnsi"/>
          <w:spacing w:val="-5"/>
          <w:sz w:val="20"/>
          <w:szCs w:val="20"/>
        </w:rPr>
        <w:t>виробу (вузла)</w:t>
      </w:r>
      <w:r w:rsidRPr="000977F7">
        <w:rPr>
          <w:rFonts w:asciiTheme="majorHAnsi" w:hAnsiTheme="majorHAnsi"/>
          <w:spacing w:val="-4"/>
          <w:sz w:val="20"/>
          <w:szCs w:val="20"/>
        </w:rPr>
        <w:t xml:space="preserve"> </w:t>
      </w:r>
    </w:p>
    <w:p w14:paraId="425CF7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Прецизійне</w:t>
      </w:r>
      <w:r w:rsidRPr="000977F7">
        <w:rPr>
          <w:rFonts w:asciiTheme="majorHAnsi" w:hAnsiTheme="majorHAnsi"/>
          <w:spacing w:val="35"/>
          <w:sz w:val="20"/>
          <w:szCs w:val="20"/>
        </w:rPr>
        <w:t xml:space="preserve"> </w:t>
      </w:r>
      <w:r w:rsidRPr="000977F7">
        <w:rPr>
          <w:rFonts w:asciiTheme="majorHAnsi" w:hAnsiTheme="majorHAnsi"/>
          <w:sz w:val="20"/>
          <w:szCs w:val="20"/>
        </w:rPr>
        <w:t>–</w:t>
      </w:r>
      <w:r w:rsidRPr="000977F7">
        <w:rPr>
          <w:rFonts w:asciiTheme="majorHAnsi" w:hAnsiTheme="majorHAnsi"/>
          <w:spacing w:val="34"/>
          <w:sz w:val="20"/>
          <w:szCs w:val="20"/>
        </w:rPr>
        <w:t xml:space="preserve"> </w:t>
      </w:r>
      <w:r w:rsidRPr="000977F7">
        <w:rPr>
          <w:rFonts w:asciiTheme="majorHAnsi" w:hAnsiTheme="majorHAnsi"/>
          <w:sz w:val="20"/>
          <w:szCs w:val="20"/>
        </w:rPr>
        <w:t>забезпечує</w:t>
      </w:r>
      <w:r w:rsidRPr="000977F7">
        <w:rPr>
          <w:rFonts w:asciiTheme="majorHAnsi" w:hAnsiTheme="majorHAnsi"/>
          <w:spacing w:val="34"/>
          <w:sz w:val="20"/>
          <w:szCs w:val="20"/>
        </w:rPr>
        <w:t xml:space="preserve"> </w:t>
      </w:r>
      <w:r w:rsidRPr="000977F7">
        <w:rPr>
          <w:rFonts w:asciiTheme="majorHAnsi" w:hAnsiTheme="majorHAnsi"/>
          <w:sz w:val="20"/>
          <w:szCs w:val="20"/>
        </w:rPr>
        <w:t>особливо</w:t>
      </w:r>
      <w:r w:rsidRPr="000977F7">
        <w:rPr>
          <w:rFonts w:asciiTheme="majorHAnsi" w:hAnsiTheme="majorHAnsi"/>
          <w:spacing w:val="32"/>
          <w:sz w:val="20"/>
          <w:szCs w:val="20"/>
        </w:rPr>
        <w:t xml:space="preserve"> </w:t>
      </w:r>
      <w:r w:rsidRPr="000977F7">
        <w:rPr>
          <w:rFonts w:asciiTheme="majorHAnsi" w:hAnsiTheme="majorHAnsi"/>
          <w:sz w:val="20"/>
          <w:szCs w:val="20"/>
        </w:rPr>
        <w:t>високі</w:t>
      </w:r>
      <w:r w:rsidRPr="000977F7">
        <w:rPr>
          <w:rFonts w:asciiTheme="majorHAnsi" w:hAnsiTheme="majorHAnsi"/>
          <w:spacing w:val="33"/>
          <w:sz w:val="20"/>
          <w:szCs w:val="20"/>
        </w:rPr>
        <w:t xml:space="preserve"> </w:t>
      </w:r>
      <w:r w:rsidRPr="000977F7">
        <w:rPr>
          <w:rFonts w:asciiTheme="majorHAnsi" w:hAnsiTheme="majorHAnsi"/>
          <w:sz w:val="20"/>
          <w:szCs w:val="20"/>
        </w:rPr>
        <w:t>вимоги</w:t>
      </w:r>
      <w:r w:rsidRPr="000977F7">
        <w:rPr>
          <w:rFonts w:asciiTheme="majorHAnsi" w:hAnsiTheme="majorHAnsi"/>
          <w:spacing w:val="34"/>
          <w:sz w:val="20"/>
          <w:szCs w:val="20"/>
        </w:rPr>
        <w:t xml:space="preserve"> </w:t>
      </w:r>
      <w:r w:rsidRPr="000977F7">
        <w:rPr>
          <w:rFonts w:asciiTheme="majorHAnsi" w:hAnsiTheme="majorHAnsi"/>
          <w:sz w:val="20"/>
          <w:szCs w:val="20"/>
        </w:rPr>
        <w:t>до</w:t>
      </w:r>
      <w:r w:rsidRPr="000977F7">
        <w:rPr>
          <w:rFonts w:asciiTheme="majorHAnsi" w:hAnsiTheme="majorHAnsi"/>
          <w:spacing w:val="-47"/>
          <w:sz w:val="20"/>
          <w:szCs w:val="20"/>
        </w:rPr>
        <w:t xml:space="preserve"> </w:t>
      </w:r>
      <w:r w:rsidRPr="000977F7">
        <w:rPr>
          <w:rFonts w:asciiTheme="majorHAnsi" w:hAnsiTheme="majorHAnsi"/>
          <w:sz w:val="20"/>
          <w:szCs w:val="20"/>
        </w:rPr>
        <w:t>точності</w:t>
      </w:r>
      <w:r w:rsidRPr="000977F7">
        <w:rPr>
          <w:rFonts w:asciiTheme="majorHAnsi" w:hAnsiTheme="majorHAnsi"/>
          <w:spacing w:val="3"/>
          <w:sz w:val="20"/>
          <w:szCs w:val="20"/>
        </w:rPr>
        <w:t xml:space="preserve"> </w:t>
      </w:r>
      <w:r w:rsidRPr="000977F7">
        <w:rPr>
          <w:rFonts w:asciiTheme="majorHAnsi" w:hAnsiTheme="majorHAnsi"/>
          <w:sz w:val="20"/>
          <w:szCs w:val="20"/>
        </w:rPr>
        <w:t>складуваного</w:t>
      </w:r>
      <w:r w:rsidRPr="000977F7">
        <w:rPr>
          <w:rFonts w:asciiTheme="majorHAnsi" w:hAnsiTheme="majorHAnsi"/>
          <w:spacing w:val="4"/>
          <w:sz w:val="20"/>
          <w:szCs w:val="20"/>
        </w:rPr>
        <w:t xml:space="preserve"> </w:t>
      </w:r>
      <w:r w:rsidRPr="000977F7">
        <w:rPr>
          <w:rFonts w:asciiTheme="majorHAnsi" w:hAnsiTheme="majorHAnsi"/>
          <w:sz w:val="20"/>
          <w:szCs w:val="20"/>
        </w:rPr>
        <w:t>виробу</w:t>
      </w:r>
      <w:r w:rsidRPr="000977F7">
        <w:rPr>
          <w:rFonts w:asciiTheme="majorHAnsi" w:hAnsiTheme="majorHAnsi"/>
          <w:spacing w:val="-1"/>
          <w:sz w:val="20"/>
          <w:szCs w:val="20"/>
        </w:rPr>
        <w:t xml:space="preserve"> </w:t>
      </w:r>
      <w:r w:rsidRPr="000977F7">
        <w:rPr>
          <w:rFonts w:asciiTheme="majorHAnsi" w:hAnsiTheme="majorHAnsi"/>
          <w:sz w:val="20"/>
          <w:szCs w:val="20"/>
        </w:rPr>
        <w:t>(вузла)</w:t>
      </w:r>
      <w:r w:rsidRPr="000977F7">
        <w:rPr>
          <w:rFonts w:asciiTheme="majorHAnsi" w:hAnsiTheme="majorHAnsi"/>
          <w:spacing w:val="3"/>
          <w:sz w:val="20"/>
          <w:szCs w:val="20"/>
        </w:rPr>
        <w:t xml:space="preserve"> </w:t>
      </w:r>
      <w:r w:rsidRPr="000977F7">
        <w:rPr>
          <w:rFonts w:asciiTheme="majorHAnsi" w:hAnsiTheme="majorHAnsi"/>
          <w:sz w:val="20"/>
          <w:szCs w:val="20"/>
        </w:rPr>
        <w:t>щодо</w:t>
      </w:r>
      <w:r w:rsidRPr="000977F7">
        <w:rPr>
          <w:rFonts w:asciiTheme="majorHAnsi" w:hAnsiTheme="majorHAnsi"/>
          <w:spacing w:val="3"/>
          <w:sz w:val="20"/>
          <w:szCs w:val="20"/>
        </w:rPr>
        <w:t xml:space="preserve"> </w:t>
      </w:r>
      <w:r w:rsidRPr="000977F7">
        <w:rPr>
          <w:rFonts w:asciiTheme="majorHAnsi" w:hAnsiTheme="majorHAnsi"/>
          <w:sz w:val="20"/>
          <w:szCs w:val="20"/>
        </w:rPr>
        <w:t>взаємного</w:t>
      </w:r>
      <w:r w:rsidRPr="000977F7">
        <w:rPr>
          <w:rFonts w:asciiTheme="majorHAnsi" w:hAnsiTheme="majorHAnsi"/>
          <w:spacing w:val="-47"/>
          <w:sz w:val="20"/>
          <w:szCs w:val="20"/>
        </w:rPr>
        <w:t xml:space="preserve"> </w:t>
      </w:r>
      <w:r w:rsidRPr="000977F7">
        <w:rPr>
          <w:rFonts w:asciiTheme="majorHAnsi" w:hAnsiTheme="majorHAnsi"/>
          <w:sz w:val="20"/>
          <w:szCs w:val="20"/>
        </w:rPr>
        <w:t>положення</w:t>
      </w:r>
      <w:r w:rsidRPr="000977F7">
        <w:rPr>
          <w:rFonts w:asciiTheme="majorHAnsi" w:hAnsiTheme="majorHAnsi"/>
          <w:spacing w:val="18"/>
          <w:sz w:val="20"/>
          <w:szCs w:val="20"/>
        </w:rPr>
        <w:t xml:space="preserve"> </w:t>
      </w:r>
      <w:r w:rsidRPr="000977F7">
        <w:rPr>
          <w:rFonts w:asciiTheme="majorHAnsi" w:hAnsiTheme="majorHAnsi"/>
          <w:sz w:val="20"/>
          <w:szCs w:val="20"/>
        </w:rPr>
        <w:t>елементів,</w:t>
      </w:r>
      <w:r w:rsidRPr="000977F7">
        <w:rPr>
          <w:rFonts w:asciiTheme="majorHAnsi" w:hAnsiTheme="majorHAnsi"/>
          <w:spacing w:val="19"/>
          <w:sz w:val="20"/>
          <w:szCs w:val="20"/>
        </w:rPr>
        <w:t xml:space="preserve"> </w:t>
      </w:r>
      <w:r w:rsidRPr="000977F7">
        <w:rPr>
          <w:rFonts w:asciiTheme="majorHAnsi" w:hAnsiTheme="majorHAnsi"/>
          <w:sz w:val="20"/>
          <w:szCs w:val="20"/>
        </w:rPr>
        <w:t>якості</w:t>
      </w:r>
      <w:r w:rsidRPr="000977F7">
        <w:rPr>
          <w:rFonts w:asciiTheme="majorHAnsi" w:hAnsiTheme="majorHAnsi"/>
          <w:spacing w:val="19"/>
          <w:sz w:val="20"/>
          <w:szCs w:val="20"/>
        </w:rPr>
        <w:t xml:space="preserve"> </w:t>
      </w:r>
      <w:r w:rsidRPr="000977F7">
        <w:rPr>
          <w:rFonts w:asciiTheme="majorHAnsi" w:hAnsiTheme="majorHAnsi"/>
          <w:sz w:val="20"/>
          <w:szCs w:val="20"/>
        </w:rPr>
        <w:t>виконаних</w:t>
      </w:r>
      <w:r w:rsidRPr="000977F7">
        <w:rPr>
          <w:rFonts w:asciiTheme="majorHAnsi" w:hAnsiTheme="majorHAnsi"/>
          <w:spacing w:val="18"/>
          <w:sz w:val="20"/>
          <w:szCs w:val="20"/>
        </w:rPr>
        <w:t xml:space="preserve"> </w:t>
      </w:r>
      <w:r w:rsidRPr="000977F7">
        <w:rPr>
          <w:rFonts w:asciiTheme="majorHAnsi" w:hAnsiTheme="majorHAnsi"/>
          <w:sz w:val="20"/>
          <w:szCs w:val="20"/>
        </w:rPr>
        <w:t>з’єднань,</w:t>
      </w:r>
      <w:r w:rsidRPr="000977F7">
        <w:rPr>
          <w:rFonts w:asciiTheme="majorHAnsi" w:hAnsiTheme="majorHAnsi"/>
          <w:spacing w:val="19"/>
          <w:sz w:val="20"/>
          <w:szCs w:val="20"/>
        </w:rPr>
        <w:t xml:space="preserve"> </w:t>
      </w:r>
      <w:r w:rsidRPr="000977F7">
        <w:rPr>
          <w:rFonts w:asciiTheme="majorHAnsi" w:hAnsiTheme="majorHAnsi"/>
          <w:sz w:val="20"/>
          <w:szCs w:val="20"/>
        </w:rPr>
        <w:t>маси,</w:t>
      </w:r>
      <w:r w:rsidRPr="000977F7">
        <w:rPr>
          <w:rFonts w:asciiTheme="majorHAnsi" w:hAnsiTheme="majorHAnsi"/>
          <w:spacing w:val="-2"/>
          <w:sz w:val="20"/>
          <w:szCs w:val="20"/>
        </w:rPr>
        <w:t xml:space="preserve"> </w:t>
      </w:r>
      <w:r w:rsidRPr="000977F7">
        <w:rPr>
          <w:rFonts w:asciiTheme="majorHAnsi" w:hAnsiTheme="majorHAnsi"/>
          <w:sz w:val="20"/>
          <w:szCs w:val="20"/>
        </w:rPr>
        <w:t>врівноваженості</w:t>
      </w:r>
      <w:r w:rsidRPr="000977F7">
        <w:rPr>
          <w:rFonts w:asciiTheme="majorHAnsi" w:hAnsiTheme="majorHAnsi"/>
          <w:spacing w:val="-3"/>
          <w:sz w:val="20"/>
          <w:szCs w:val="20"/>
        </w:rPr>
        <w:t xml:space="preserve"> </w:t>
      </w:r>
      <w:r w:rsidRPr="000977F7">
        <w:rPr>
          <w:rFonts w:asciiTheme="majorHAnsi" w:hAnsiTheme="majorHAnsi"/>
          <w:sz w:val="20"/>
          <w:szCs w:val="20"/>
        </w:rPr>
        <w:t>частин,</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обертаються</w:t>
      </w:r>
      <w:r w:rsidRPr="000977F7">
        <w:rPr>
          <w:rFonts w:asciiTheme="majorHAnsi" w:hAnsiTheme="majorHAnsi"/>
          <w:spacing w:val="-3"/>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ін.</w:t>
      </w:r>
    </w:p>
    <w:p w14:paraId="039B13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Селективне</w:t>
      </w:r>
      <w:r w:rsidRPr="000977F7">
        <w:rPr>
          <w:rFonts w:asciiTheme="majorHAnsi" w:hAnsiTheme="majorHAnsi"/>
          <w:spacing w:val="44"/>
          <w:sz w:val="20"/>
          <w:szCs w:val="20"/>
        </w:rPr>
        <w:t xml:space="preserve"> </w:t>
      </w:r>
      <w:r w:rsidRPr="000977F7">
        <w:rPr>
          <w:rFonts w:asciiTheme="majorHAnsi" w:hAnsiTheme="majorHAnsi"/>
          <w:sz w:val="20"/>
          <w:szCs w:val="20"/>
        </w:rPr>
        <w:t>–</w:t>
      </w:r>
      <w:r w:rsidRPr="000977F7">
        <w:rPr>
          <w:rFonts w:asciiTheme="majorHAnsi" w:hAnsiTheme="majorHAnsi"/>
          <w:spacing w:val="45"/>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43"/>
          <w:sz w:val="20"/>
          <w:szCs w:val="20"/>
        </w:rPr>
        <w:t xml:space="preserve"> </w:t>
      </w:r>
      <w:r w:rsidRPr="000977F7">
        <w:rPr>
          <w:rFonts w:asciiTheme="majorHAnsi" w:hAnsiTheme="majorHAnsi"/>
          <w:sz w:val="20"/>
          <w:szCs w:val="20"/>
        </w:rPr>
        <w:t>відповідний</w:t>
      </w:r>
      <w:r w:rsidRPr="000977F7">
        <w:rPr>
          <w:rFonts w:asciiTheme="majorHAnsi" w:hAnsiTheme="majorHAnsi"/>
          <w:spacing w:val="42"/>
          <w:sz w:val="20"/>
          <w:szCs w:val="20"/>
        </w:rPr>
        <w:t xml:space="preserve"> </w:t>
      </w:r>
      <w:r w:rsidRPr="000977F7">
        <w:rPr>
          <w:rFonts w:asciiTheme="majorHAnsi" w:hAnsiTheme="majorHAnsi"/>
          <w:sz w:val="20"/>
          <w:szCs w:val="20"/>
        </w:rPr>
        <w:t>попарний</w:t>
      </w:r>
      <w:r w:rsidRPr="000977F7">
        <w:rPr>
          <w:rFonts w:asciiTheme="majorHAnsi" w:hAnsiTheme="majorHAnsi"/>
          <w:spacing w:val="-47"/>
          <w:sz w:val="20"/>
          <w:szCs w:val="20"/>
        </w:rPr>
        <w:t xml:space="preserve"> </w:t>
      </w:r>
      <w:r w:rsidRPr="000977F7">
        <w:rPr>
          <w:rFonts w:asciiTheme="majorHAnsi" w:hAnsiTheme="majorHAnsi"/>
          <w:sz w:val="20"/>
          <w:szCs w:val="20"/>
        </w:rPr>
        <w:t>підбір деталей</w:t>
      </w:r>
    </w:p>
    <w:p w14:paraId="6F3B2C1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Стаціонарне</w:t>
      </w:r>
      <w:r w:rsidRPr="000977F7">
        <w:rPr>
          <w:rFonts w:asciiTheme="majorHAnsi" w:hAnsiTheme="majorHAnsi"/>
          <w:spacing w:val="40"/>
          <w:sz w:val="20"/>
          <w:szCs w:val="20"/>
        </w:rPr>
        <w:t xml:space="preserve"> </w:t>
      </w:r>
      <w:r w:rsidRPr="000977F7">
        <w:rPr>
          <w:rFonts w:asciiTheme="majorHAnsi" w:hAnsiTheme="majorHAnsi"/>
          <w:sz w:val="20"/>
          <w:szCs w:val="20"/>
        </w:rPr>
        <w:t>–</w:t>
      </w:r>
      <w:r w:rsidRPr="000977F7">
        <w:rPr>
          <w:rFonts w:asciiTheme="majorHAnsi" w:hAnsiTheme="majorHAnsi"/>
          <w:spacing w:val="39"/>
          <w:sz w:val="20"/>
          <w:szCs w:val="20"/>
        </w:rPr>
        <w:t xml:space="preserve"> </w:t>
      </w:r>
      <w:r w:rsidRPr="000977F7">
        <w:rPr>
          <w:rFonts w:asciiTheme="majorHAnsi" w:hAnsiTheme="majorHAnsi"/>
          <w:sz w:val="20"/>
          <w:szCs w:val="20"/>
        </w:rPr>
        <w:t>виріб</w:t>
      </w:r>
      <w:r w:rsidRPr="000977F7">
        <w:rPr>
          <w:rFonts w:asciiTheme="majorHAnsi" w:hAnsiTheme="majorHAnsi"/>
          <w:spacing w:val="37"/>
          <w:sz w:val="20"/>
          <w:szCs w:val="20"/>
        </w:rPr>
        <w:t xml:space="preserve"> </w:t>
      </w:r>
      <w:r w:rsidRPr="000977F7">
        <w:rPr>
          <w:rFonts w:asciiTheme="majorHAnsi" w:hAnsiTheme="majorHAnsi"/>
          <w:sz w:val="20"/>
          <w:szCs w:val="20"/>
        </w:rPr>
        <w:t>та</w:t>
      </w:r>
      <w:r w:rsidRPr="000977F7">
        <w:rPr>
          <w:rFonts w:asciiTheme="majorHAnsi" w:hAnsiTheme="majorHAnsi"/>
          <w:spacing w:val="40"/>
          <w:sz w:val="20"/>
          <w:szCs w:val="20"/>
        </w:rPr>
        <w:t xml:space="preserve"> </w:t>
      </w:r>
      <w:r w:rsidRPr="000977F7">
        <w:rPr>
          <w:rFonts w:asciiTheme="majorHAnsi" w:hAnsiTheme="majorHAnsi"/>
          <w:sz w:val="20"/>
          <w:szCs w:val="20"/>
        </w:rPr>
        <w:t>його</w:t>
      </w:r>
      <w:r w:rsidRPr="000977F7">
        <w:rPr>
          <w:rFonts w:asciiTheme="majorHAnsi" w:hAnsiTheme="majorHAnsi"/>
          <w:spacing w:val="39"/>
          <w:sz w:val="20"/>
          <w:szCs w:val="20"/>
        </w:rPr>
        <w:t xml:space="preserve"> </w:t>
      </w:r>
      <w:r w:rsidRPr="000977F7">
        <w:rPr>
          <w:rFonts w:asciiTheme="majorHAnsi" w:hAnsiTheme="majorHAnsi"/>
          <w:sz w:val="20"/>
          <w:szCs w:val="20"/>
        </w:rPr>
        <w:t>складові</w:t>
      </w:r>
      <w:r w:rsidRPr="000977F7">
        <w:rPr>
          <w:rFonts w:asciiTheme="majorHAnsi" w:hAnsiTheme="majorHAnsi"/>
          <w:spacing w:val="37"/>
          <w:sz w:val="20"/>
          <w:szCs w:val="20"/>
        </w:rPr>
        <w:t xml:space="preserve"> </w:t>
      </w:r>
      <w:r w:rsidRPr="000977F7">
        <w:rPr>
          <w:rFonts w:asciiTheme="majorHAnsi" w:hAnsiTheme="majorHAnsi"/>
          <w:sz w:val="20"/>
          <w:szCs w:val="20"/>
        </w:rPr>
        <w:t>знаходяться</w:t>
      </w:r>
      <w:r w:rsidRPr="000977F7">
        <w:rPr>
          <w:rFonts w:asciiTheme="majorHAnsi" w:hAnsiTheme="majorHAnsi"/>
          <w:spacing w:val="39"/>
          <w:sz w:val="20"/>
          <w:szCs w:val="20"/>
        </w:rPr>
        <w:t xml:space="preserve"> </w:t>
      </w:r>
      <w:r w:rsidRPr="000977F7">
        <w:rPr>
          <w:rFonts w:asciiTheme="majorHAnsi" w:hAnsiTheme="majorHAnsi"/>
          <w:sz w:val="20"/>
          <w:szCs w:val="20"/>
        </w:rPr>
        <w:t>в</w:t>
      </w:r>
      <w:r w:rsidRPr="000977F7">
        <w:rPr>
          <w:rFonts w:asciiTheme="majorHAnsi" w:hAnsiTheme="majorHAnsi"/>
          <w:spacing w:val="-47"/>
          <w:sz w:val="20"/>
          <w:szCs w:val="20"/>
        </w:rPr>
        <w:t xml:space="preserve"> </w:t>
      </w:r>
      <w:r w:rsidRPr="000977F7">
        <w:rPr>
          <w:rFonts w:asciiTheme="majorHAnsi" w:hAnsiTheme="majorHAnsi"/>
          <w:sz w:val="20"/>
          <w:szCs w:val="20"/>
        </w:rPr>
        <w:t>одній позиції</w:t>
      </w:r>
    </w:p>
    <w:p w14:paraId="4C1755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Узлове – складальні одиниці (вузли) складаються у</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відповідних виробничих цехах та на ділянках, а потім</w:t>
      </w:r>
      <w:r w:rsidRPr="000977F7">
        <w:rPr>
          <w:rFonts w:asciiTheme="majorHAnsi" w:hAnsiTheme="majorHAnsi"/>
          <w:spacing w:val="1"/>
          <w:sz w:val="20"/>
          <w:szCs w:val="20"/>
        </w:rPr>
        <w:t xml:space="preserve"> </w:t>
      </w:r>
      <w:r w:rsidRPr="000977F7">
        <w:rPr>
          <w:rFonts w:asciiTheme="majorHAnsi" w:hAnsiTheme="majorHAnsi"/>
          <w:sz w:val="20"/>
          <w:szCs w:val="20"/>
        </w:rPr>
        <w:t>подаються</w:t>
      </w:r>
      <w:r w:rsidRPr="000977F7">
        <w:rPr>
          <w:rFonts w:asciiTheme="majorHAnsi" w:hAnsiTheme="majorHAnsi"/>
          <w:spacing w:val="-2"/>
          <w:sz w:val="20"/>
          <w:szCs w:val="20"/>
        </w:rPr>
        <w:t xml:space="preserve"> </w:t>
      </w:r>
      <w:r w:rsidRPr="000977F7">
        <w:rPr>
          <w:rFonts w:asciiTheme="majorHAnsi" w:hAnsiTheme="majorHAnsi"/>
          <w:sz w:val="20"/>
          <w:szCs w:val="20"/>
        </w:rPr>
        <w:t>на загальне складання</w:t>
      </w:r>
    </w:p>
    <w:p w14:paraId="363920E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СКЛАДНИК -</w:t>
      </w:r>
    </w:p>
    <w:p w14:paraId="48AFA6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COMPONENT –</w:t>
      </w:r>
    </w:p>
    <w:p w14:paraId="1594E29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Будь – який об’єкт або процес, який розглядається як</w:t>
      </w:r>
      <w:r w:rsidRPr="000977F7">
        <w:rPr>
          <w:rFonts w:asciiTheme="majorHAnsi" w:hAnsiTheme="majorHAnsi"/>
          <w:spacing w:val="1"/>
          <w:sz w:val="20"/>
          <w:szCs w:val="20"/>
        </w:rPr>
        <w:t xml:space="preserve"> </w:t>
      </w:r>
      <w:r w:rsidRPr="000977F7">
        <w:rPr>
          <w:rFonts w:asciiTheme="majorHAnsi" w:hAnsiTheme="majorHAnsi"/>
          <w:sz w:val="20"/>
          <w:szCs w:val="20"/>
        </w:rPr>
        <w:t>складова</w:t>
      </w:r>
      <w:r w:rsidRPr="000977F7">
        <w:rPr>
          <w:rFonts w:asciiTheme="majorHAnsi" w:hAnsiTheme="majorHAnsi"/>
          <w:spacing w:val="-2"/>
          <w:sz w:val="20"/>
          <w:szCs w:val="20"/>
        </w:rPr>
        <w:t xml:space="preserve"> </w:t>
      </w:r>
      <w:r w:rsidRPr="000977F7">
        <w:rPr>
          <w:rFonts w:asciiTheme="majorHAnsi" w:hAnsiTheme="majorHAnsi"/>
          <w:sz w:val="20"/>
          <w:szCs w:val="20"/>
        </w:rPr>
        <w:t>частина</w:t>
      </w:r>
      <w:r w:rsidRPr="000977F7">
        <w:rPr>
          <w:rFonts w:asciiTheme="majorHAnsi" w:hAnsiTheme="majorHAnsi"/>
          <w:spacing w:val="-1"/>
          <w:sz w:val="20"/>
          <w:szCs w:val="20"/>
        </w:rPr>
        <w:t xml:space="preserve"> </w:t>
      </w:r>
      <w:r w:rsidRPr="000977F7">
        <w:rPr>
          <w:rFonts w:asciiTheme="majorHAnsi" w:hAnsiTheme="majorHAnsi"/>
          <w:sz w:val="20"/>
          <w:szCs w:val="20"/>
        </w:rPr>
        <w:t>іншого</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або процесу</w:t>
      </w:r>
    </w:p>
    <w:p w14:paraId="0BC46D68"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2000</w:t>
      </w:r>
      <w:r w:rsidRPr="000977F7">
        <w:rPr>
          <w:rFonts w:asciiTheme="majorHAnsi" w:hAnsiTheme="majorHAnsi"/>
          <w:i/>
          <w:spacing w:val="1"/>
          <w:sz w:val="20"/>
          <w:szCs w:val="20"/>
        </w:rPr>
        <w:t xml:space="preserve"> </w:t>
      </w:r>
    </w:p>
    <w:p w14:paraId="09A5E003"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СКЛАДЕНИЙ ВИРІБ –</w:t>
      </w:r>
    </w:p>
    <w:p w14:paraId="3B8F9387"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Виріб, що складається з кількох елементів, які можуть бути замінені таким чином, що робить можливим розбирання та наступне збирання виробу</w:t>
      </w:r>
    </w:p>
    <w:p w14:paraId="0E1B83FA" w14:textId="77777777" w:rsidR="0097612F" w:rsidRPr="000977F7" w:rsidRDefault="0097612F" w:rsidP="000977F7">
      <w:pPr>
        <w:tabs>
          <w:tab w:val="left" w:pos="284"/>
        </w:tabs>
        <w:spacing w:after="0" w:line="240" w:lineRule="auto"/>
        <w:ind w:left="170"/>
        <w:mirrorIndents/>
        <w:jc w:val="both"/>
        <w:rPr>
          <w:rFonts w:asciiTheme="majorHAnsi" w:hAnsiTheme="majorHAnsi"/>
          <w:bCs/>
          <w:i/>
          <w:iCs/>
          <w:sz w:val="20"/>
          <w:szCs w:val="20"/>
        </w:rPr>
      </w:pPr>
      <w:r w:rsidRPr="000977F7">
        <w:rPr>
          <w:rFonts w:asciiTheme="majorHAnsi" w:hAnsiTheme="majorHAnsi"/>
          <w:bCs/>
          <w:i/>
          <w:iCs/>
          <w:sz w:val="20"/>
          <w:szCs w:val="20"/>
        </w:rPr>
        <w:t>Ст. 1 закону України "Про охорону прав на промислові зразки"</w:t>
      </w:r>
    </w:p>
    <w:p w14:paraId="50A2D0CE"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СКЛАДЕНИЙ СИГНАЛ</w:t>
      </w:r>
    </w:p>
    <w:p w14:paraId="1131578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COMPOSED</w:t>
      </w:r>
      <w:r w:rsidRPr="000977F7">
        <w:rPr>
          <w:rFonts w:asciiTheme="majorHAnsi" w:hAnsiTheme="majorHAnsi"/>
          <w:spacing w:val="-1"/>
          <w:sz w:val="20"/>
          <w:szCs w:val="20"/>
        </w:rPr>
        <w:t xml:space="preserve"> </w:t>
      </w:r>
      <w:r w:rsidRPr="000977F7">
        <w:rPr>
          <w:rFonts w:asciiTheme="majorHAnsi" w:hAnsiTheme="majorHAnsi"/>
          <w:sz w:val="20"/>
          <w:szCs w:val="20"/>
        </w:rPr>
        <w:t>SIGNAL</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CF70C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сукупністю</w:t>
      </w:r>
      <w:r w:rsidRPr="000977F7">
        <w:rPr>
          <w:rFonts w:asciiTheme="majorHAnsi" w:hAnsiTheme="majorHAnsi"/>
          <w:spacing w:val="1"/>
          <w:sz w:val="20"/>
          <w:szCs w:val="20"/>
        </w:rPr>
        <w:t xml:space="preserve"> </w:t>
      </w:r>
      <w:r w:rsidRPr="000977F7">
        <w:rPr>
          <w:rFonts w:asciiTheme="majorHAnsi" w:hAnsiTheme="majorHAnsi"/>
          <w:sz w:val="20"/>
          <w:szCs w:val="20"/>
        </w:rPr>
        <w:t>різних</w:t>
      </w:r>
      <w:r w:rsidRPr="000977F7">
        <w:rPr>
          <w:rFonts w:asciiTheme="majorHAnsi" w:hAnsiTheme="majorHAnsi"/>
          <w:spacing w:val="1"/>
          <w:sz w:val="20"/>
          <w:szCs w:val="20"/>
        </w:rPr>
        <w:t xml:space="preserve"> </w:t>
      </w:r>
      <w:r w:rsidRPr="000977F7">
        <w:rPr>
          <w:rFonts w:asciiTheme="majorHAnsi" w:hAnsiTheme="majorHAnsi"/>
          <w:sz w:val="20"/>
          <w:szCs w:val="20"/>
        </w:rPr>
        <w:t>сигналів,</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47"/>
          <w:sz w:val="20"/>
          <w:szCs w:val="20"/>
        </w:rPr>
        <w:t xml:space="preserve"> </w:t>
      </w:r>
      <w:r w:rsidRPr="000977F7">
        <w:rPr>
          <w:rFonts w:asciiTheme="majorHAnsi" w:hAnsiTheme="majorHAnsi"/>
          <w:sz w:val="20"/>
          <w:szCs w:val="20"/>
        </w:rPr>
        <w:t>утворюють</w:t>
      </w:r>
    </w:p>
    <w:p w14:paraId="1CB73C0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3C87D72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СКЛАДОВА</w:t>
      </w:r>
      <w:r w:rsidRPr="000977F7">
        <w:rPr>
          <w:color w:val="auto"/>
          <w:spacing w:val="-4"/>
          <w:sz w:val="20"/>
          <w:szCs w:val="20"/>
        </w:rPr>
        <w:t xml:space="preserve"> </w:t>
      </w:r>
      <w:r w:rsidRPr="000977F7">
        <w:rPr>
          <w:color w:val="auto"/>
          <w:sz w:val="20"/>
          <w:szCs w:val="20"/>
        </w:rPr>
        <w:t>ЧАСТИНА</w:t>
      </w:r>
      <w:r w:rsidRPr="000977F7">
        <w:rPr>
          <w:color w:val="auto"/>
          <w:spacing w:val="-3"/>
          <w:sz w:val="20"/>
          <w:szCs w:val="20"/>
        </w:rPr>
        <w:t xml:space="preserve"> </w:t>
      </w:r>
      <w:r w:rsidRPr="000977F7">
        <w:rPr>
          <w:color w:val="auto"/>
          <w:sz w:val="20"/>
          <w:szCs w:val="20"/>
        </w:rPr>
        <w:t>ВИРОБУ</w:t>
      </w:r>
      <w:r w:rsidRPr="000977F7">
        <w:rPr>
          <w:color w:val="auto"/>
          <w:spacing w:val="-2"/>
          <w:sz w:val="20"/>
          <w:szCs w:val="20"/>
        </w:rPr>
        <w:t xml:space="preserve"> </w:t>
      </w:r>
      <w:r w:rsidRPr="000977F7">
        <w:rPr>
          <w:color w:val="auto"/>
          <w:sz w:val="20"/>
          <w:szCs w:val="20"/>
        </w:rPr>
        <w:t>–</w:t>
      </w:r>
    </w:p>
    <w:p w14:paraId="4254D1F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 призначений для виконання певних технічних</w:t>
      </w:r>
      <w:r w:rsidRPr="000977F7">
        <w:rPr>
          <w:rFonts w:asciiTheme="majorHAnsi" w:hAnsiTheme="majorHAnsi"/>
          <w:spacing w:val="1"/>
          <w:sz w:val="20"/>
          <w:szCs w:val="20"/>
        </w:rPr>
        <w:t xml:space="preserve"> </w:t>
      </w:r>
      <w:r w:rsidRPr="000977F7">
        <w:rPr>
          <w:rFonts w:asciiTheme="majorHAnsi" w:hAnsiTheme="majorHAnsi"/>
          <w:sz w:val="20"/>
          <w:szCs w:val="20"/>
        </w:rPr>
        <w:t>функцій у</w:t>
      </w:r>
      <w:r w:rsidRPr="000977F7">
        <w:rPr>
          <w:rFonts w:asciiTheme="majorHAnsi" w:hAnsiTheme="majorHAnsi"/>
          <w:spacing w:val="-4"/>
          <w:sz w:val="20"/>
          <w:szCs w:val="20"/>
        </w:rPr>
        <w:t xml:space="preserve"> </w:t>
      </w:r>
      <w:r w:rsidRPr="000977F7">
        <w:rPr>
          <w:rFonts w:asciiTheme="majorHAnsi" w:hAnsiTheme="majorHAnsi"/>
          <w:sz w:val="20"/>
          <w:szCs w:val="20"/>
        </w:rPr>
        <w:t>складі</w:t>
      </w:r>
      <w:r w:rsidRPr="000977F7">
        <w:rPr>
          <w:rFonts w:asciiTheme="majorHAnsi" w:hAnsiTheme="majorHAnsi"/>
          <w:spacing w:val="-1"/>
          <w:sz w:val="20"/>
          <w:szCs w:val="20"/>
        </w:rPr>
        <w:t xml:space="preserve"> </w:t>
      </w:r>
      <w:r w:rsidRPr="000977F7">
        <w:rPr>
          <w:rFonts w:asciiTheme="majorHAnsi" w:hAnsiTheme="majorHAnsi"/>
          <w:sz w:val="20"/>
          <w:szCs w:val="20"/>
        </w:rPr>
        <w:t>складнішого</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p>
    <w:p w14:paraId="4B0908A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49D4FB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СКЛАДСЬКА</w:t>
      </w:r>
      <w:r w:rsidRPr="000977F7">
        <w:rPr>
          <w:color w:val="auto"/>
          <w:spacing w:val="-4"/>
          <w:sz w:val="20"/>
          <w:szCs w:val="20"/>
        </w:rPr>
        <w:t xml:space="preserve"> </w:t>
      </w:r>
      <w:r w:rsidRPr="000977F7">
        <w:rPr>
          <w:color w:val="auto"/>
          <w:sz w:val="20"/>
          <w:szCs w:val="20"/>
        </w:rPr>
        <w:t>ФОРМА</w:t>
      </w:r>
      <w:r w:rsidRPr="000977F7">
        <w:rPr>
          <w:color w:val="auto"/>
          <w:spacing w:val="-5"/>
          <w:sz w:val="20"/>
          <w:szCs w:val="20"/>
        </w:rPr>
        <w:t xml:space="preserve"> </w:t>
      </w:r>
      <w:r w:rsidRPr="000977F7">
        <w:rPr>
          <w:color w:val="auto"/>
          <w:sz w:val="20"/>
          <w:szCs w:val="20"/>
        </w:rPr>
        <w:t>ПОСТАЧАННЯ</w:t>
      </w:r>
      <w:r w:rsidRPr="000977F7">
        <w:rPr>
          <w:color w:val="auto"/>
          <w:spacing w:val="-3"/>
          <w:sz w:val="20"/>
          <w:szCs w:val="20"/>
        </w:rPr>
        <w:t xml:space="preserve"> </w:t>
      </w:r>
      <w:r w:rsidRPr="000977F7">
        <w:rPr>
          <w:color w:val="auto"/>
          <w:sz w:val="20"/>
          <w:szCs w:val="20"/>
        </w:rPr>
        <w:t>–</w:t>
      </w:r>
    </w:p>
    <w:p w14:paraId="120845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Спосіб</w:t>
      </w:r>
      <w:r w:rsidRPr="000977F7">
        <w:rPr>
          <w:rFonts w:asciiTheme="majorHAnsi" w:hAnsiTheme="majorHAnsi"/>
          <w:spacing w:val="1"/>
          <w:sz w:val="20"/>
          <w:szCs w:val="20"/>
        </w:rPr>
        <w:t xml:space="preserve"> </w:t>
      </w:r>
      <w:r w:rsidRPr="000977F7">
        <w:rPr>
          <w:rFonts w:asciiTheme="majorHAnsi" w:hAnsiTheme="majorHAnsi"/>
          <w:sz w:val="20"/>
          <w:szCs w:val="20"/>
        </w:rPr>
        <w:t>постачання,</w:t>
      </w:r>
      <w:r w:rsidRPr="000977F7">
        <w:rPr>
          <w:rFonts w:asciiTheme="majorHAnsi" w:hAnsiTheme="majorHAnsi"/>
          <w:spacing w:val="1"/>
          <w:sz w:val="20"/>
          <w:szCs w:val="20"/>
        </w:rPr>
        <w:t xml:space="preserve"> </w:t>
      </w:r>
      <w:r w:rsidRPr="000977F7">
        <w:rPr>
          <w:rFonts w:asciiTheme="majorHAnsi" w:hAnsiTheme="majorHAnsi"/>
          <w:sz w:val="20"/>
          <w:szCs w:val="20"/>
        </w:rPr>
        <w:t>згідно</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яким</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підприємство постачальник</w:t>
      </w:r>
      <w:r w:rsidRPr="000977F7">
        <w:rPr>
          <w:rFonts w:asciiTheme="majorHAnsi" w:hAnsiTheme="majorHAnsi"/>
          <w:spacing w:val="1"/>
          <w:sz w:val="20"/>
          <w:szCs w:val="20"/>
        </w:rPr>
        <w:t xml:space="preserve"> </w:t>
      </w:r>
      <w:r w:rsidRPr="000977F7">
        <w:rPr>
          <w:rFonts w:asciiTheme="majorHAnsi" w:hAnsiTheme="majorHAnsi"/>
          <w:sz w:val="20"/>
          <w:szCs w:val="20"/>
        </w:rPr>
        <w:t>відправляє</w:t>
      </w:r>
      <w:r w:rsidRPr="000977F7">
        <w:rPr>
          <w:rFonts w:asciiTheme="majorHAnsi" w:hAnsiTheme="majorHAnsi"/>
          <w:spacing w:val="1"/>
          <w:sz w:val="20"/>
          <w:szCs w:val="20"/>
        </w:rPr>
        <w:t xml:space="preserve"> </w:t>
      </w:r>
      <w:r w:rsidRPr="000977F7">
        <w:rPr>
          <w:rFonts w:asciiTheme="majorHAnsi" w:hAnsiTheme="majorHAnsi"/>
          <w:sz w:val="20"/>
          <w:szCs w:val="20"/>
        </w:rPr>
        <w:t>свою</w:t>
      </w:r>
      <w:r w:rsidRPr="000977F7">
        <w:rPr>
          <w:rFonts w:asciiTheme="majorHAnsi" w:hAnsiTheme="majorHAnsi"/>
          <w:spacing w:val="1"/>
          <w:sz w:val="20"/>
          <w:szCs w:val="20"/>
        </w:rPr>
        <w:t xml:space="preserve"> </w:t>
      </w:r>
      <w:r w:rsidRPr="000977F7">
        <w:rPr>
          <w:rFonts w:asciiTheme="majorHAnsi" w:hAnsiTheme="majorHAnsi"/>
          <w:sz w:val="20"/>
          <w:szCs w:val="20"/>
        </w:rPr>
        <w:t>продукцію</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склад</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 що обслуговує групу підприємств, а склад</w:t>
      </w:r>
      <w:r w:rsidRPr="000977F7">
        <w:rPr>
          <w:rFonts w:asciiTheme="majorHAnsi" w:hAnsiTheme="majorHAnsi"/>
          <w:spacing w:val="-47"/>
          <w:sz w:val="20"/>
          <w:szCs w:val="20"/>
        </w:rPr>
        <w:t xml:space="preserve"> </w:t>
      </w:r>
      <w:r w:rsidRPr="000977F7">
        <w:rPr>
          <w:rFonts w:asciiTheme="majorHAnsi" w:hAnsiTheme="majorHAnsi"/>
          <w:sz w:val="20"/>
          <w:szCs w:val="20"/>
        </w:rPr>
        <w:t>забезпечує постачання цієї продукції підприємствам споживачам у потрібній кількості та в обумовлений</w:t>
      </w:r>
      <w:r w:rsidRPr="000977F7">
        <w:rPr>
          <w:rFonts w:asciiTheme="majorHAnsi" w:hAnsiTheme="majorHAnsi"/>
          <w:spacing w:val="1"/>
          <w:sz w:val="20"/>
          <w:szCs w:val="20"/>
        </w:rPr>
        <w:t xml:space="preserve"> </w:t>
      </w:r>
      <w:r w:rsidRPr="000977F7">
        <w:rPr>
          <w:rFonts w:asciiTheme="majorHAnsi" w:hAnsiTheme="majorHAnsi"/>
          <w:sz w:val="20"/>
          <w:szCs w:val="20"/>
        </w:rPr>
        <w:t>термін</w:t>
      </w:r>
    </w:p>
    <w:p w14:paraId="625A2D3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 94</w:t>
      </w:r>
    </w:p>
    <w:p w14:paraId="3884AF48"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bookmarkStart w:id="266" w:name="_Hlk102111288"/>
      <w:r w:rsidRPr="000977F7">
        <w:rPr>
          <w:rFonts w:asciiTheme="majorHAnsi" w:hAnsiTheme="majorHAnsi"/>
          <w:b/>
          <w:sz w:val="20"/>
          <w:szCs w:val="20"/>
        </w:rPr>
        <w:t>СКЛЕЮВАННЯ</w:t>
      </w:r>
      <w:r w:rsidRPr="000977F7">
        <w:rPr>
          <w:rFonts w:asciiTheme="majorHAnsi" w:hAnsiTheme="majorHAnsi"/>
          <w:b/>
          <w:spacing w:val="-8"/>
          <w:sz w:val="20"/>
          <w:szCs w:val="20"/>
        </w:rPr>
        <w:t xml:space="preserve"> </w:t>
      </w:r>
      <w:r w:rsidRPr="000977F7">
        <w:rPr>
          <w:rFonts w:asciiTheme="majorHAnsi" w:hAnsiTheme="majorHAnsi"/>
          <w:b/>
          <w:sz w:val="20"/>
          <w:szCs w:val="20"/>
        </w:rPr>
        <w:t>–</w:t>
      </w:r>
      <w:r w:rsidRPr="000977F7">
        <w:rPr>
          <w:rFonts w:asciiTheme="majorHAnsi" w:hAnsiTheme="majorHAnsi"/>
          <w:b/>
          <w:spacing w:val="-47"/>
          <w:sz w:val="20"/>
          <w:szCs w:val="20"/>
        </w:rPr>
        <w:t xml:space="preserve"> </w:t>
      </w:r>
    </w:p>
    <w:p w14:paraId="5545280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QLUING –</w:t>
      </w:r>
    </w:p>
    <w:bookmarkEnd w:id="266"/>
    <w:p w14:paraId="591CC0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Утворення</w:t>
      </w:r>
      <w:r w:rsidRPr="000977F7">
        <w:rPr>
          <w:rFonts w:asciiTheme="majorHAnsi" w:hAnsiTheme="majorHAnsi"/>
          <w:spacing w:val="-4"/>
          <w:sz w:val="20"/>
          <w:szCs w:val="20"/>
        </w:rPr>
        <w:t xml:space="preserve"> </w:t>
      </w:r>
      <w:r w:rsidRPr="000977F7">
        <w:rPr>
          <w:rFonts w:asciiTheme="majorHAnsi" w:hAnsiTheme="majorHAnsi"/>
          <w:sz w:val="20"/>
          <w:szCs w:val="20"/>
        </w:rPr>
        <w:t>нерознімних</w:t>
      </w:r>
      <w:r w:rsidRPr="000977F7">
        <w:rPr>
          <w:rFonts w:asciiTheme="majorHAnsi" w:hAnsiTheme="majorHAnsi"/>
          <w:spacing w:val="-4"/>
          <w:sz w:val="20"/>
          <w:szCs w:val="20"/>
        </w:rPr>
        <w:t xml:space="preserve"> </w:t>
      </w:r>
      <w:r w:rsidRPr="000977F7">
        <w:rPr>
          <w:rFonts w:asciiTheme="majorHAnsi" w:hAnsiTheme="majorHAnsi"/>
          <w:sz w:val="20"/>
          <w:szCs w:val="20"/>
        </w:rPr>
        <w:t>з’єднань</w:t>
      </w:r>
      <w:r w:rsidRPr="000977F7">
        <w:rPr>
          <w:rFonts w:asciiTheme="majorHAnsi" w:hAnsiTheme="majorHAnsi"/>
          <w:spacing w:val="-2"/>
          <w:sz w:val="20"/>
          <w:szCs w:val="20"/>
        </w:rPr>
        <w:t xml:space="preserve"> </w:t>
      </w:r>
      <w:r w:rsidRPr="000977F7">
        <w:rPr>
          <w:rFonts w:asciiTheme="majorHAnsi" w:hAnsiTheme="majorHAnsi"/>
          <w:sz w:val="20"/>
          <w:szCs w:val="20"/>
        </w:rPr>
        <w:t>за</w:t>
      </w:r>
      <w:r w:rsidRPr="000977F7">
        <w:rPr>
          <w:rFonts w:asciiTheme="majorHAnsi" w:hAnsiTheme="majorHAnsi"/>
          <w:spacing w:val="-3"/>
          <w:sz w:val="20"/>
          <w:szCs w:val="20"/>
        </w:rPr>
        <w:t xml:space="preserve"> </w:t>
      </w:r>
      <w:r w:rsidRPr="000977F7">
        <w:rPr>
          <w:rFonts w:asciiTheme="majorHAnsi" w:hAnsiTheme="majorHAnsi"/>
          <w:sz w:val="20"/>
          <w:szCs w:val="20"/>
        </w:rPr>
        <w:t>допомогою</w:t>
      </w:r>
      <w:r w:rsidRPr="000977F7">
        <w:rPr>
          <w:rFonts w:asciiTheme="majorHAnsi" w:hAnsiTheme="majorHAnsi"/>
          <w:spacing w:val="-2"/>
          <w:sz w:val="20"/>
          <w:szCs w:val="20"/>
        </w:rPr>
        <w:t xml:space="preserve"> </w:t>
      </w:r>
      <w:r w:rsidRPr="000977F7">
        <w:rPr>
          <w:rFonts w:asciiTheme="majorHAnsi" w:hAnsiTheme="majorHAnsi"/>
          <w:sz w:val="20"/>
          <w:szCs w:val="20"/>
        </w:rPr>
        <w:t>клею</w:t>
      </w:r>
    </w:p>
    <w:p w14:paraId="3F0543F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2391</w:t>
      </w:r>
      <w:r w:rsidRPr="000977F7">
        <w:rPr>
          <w:rFonts w:asciiTheme="majorHAnsi" w:hAnsiTheme="majorHAnsi"/>
          <w:i/>
          <w:spacing w:val="2"/>
          <w:sz w:val="20"/>
          <w:szCs w:val="20"/>
        </w:rPr>
        <w:t xml:space="preserve"> </w:t>
      </w:r>
      <w:r w:rsidRPr="000977F7">
        <w:rPr>
          <w:rFonts w:asciiTheme="majorHAnsi" w:hAnsiTheme="majorHAnsi"/>
          <w:i/>
          <w:sz w:val="20"/>
          <w:szCs w:val="20"/>
        </w:rPr>
        <w:t>– 2010</w:t>
      </w:r>
    </w:p>
    <w:p w14:paraId="480CDE07"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СКОМБІНОВАНИЙ АУДИТ –</w:t>
      </w:r>
      <w:r w:rsidRPr="000977F7">
        <w:rPr>
          <w:rFonts w:asciiTheme="majorHAnsi" w:hAnsiTheme="majorHAnsi"/>
          <w:b/>
          <w:spacing w:val="-47"/>
          <w:sz w:val="20"/>
          <w:szCs w:val="20"/>
        </w:rPr>
        <w:t xml:space="preserve"> </w:t>
      </w:r>
    </w:p>
    <w:p w14:paraId="30AE8C1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COMBINED</w:t>
      </w:r>
      <w:r w:rsidRPr="000977F7">
        <w:rPr>
          <w:rFonts w:asciiTheme="majorHAnsi" w:hAnsiTheme="majorHAnsi"/>
          <w:spacing w:val="1"/>
          <w:sz w:val="20"/>
          <w:szCs w:val="20"/>
        </w:rPr>
        <w:t xml:space="preserve"> </w:t>
      </w:r>
      <w:r w:rsidRPr="000977F7">
        <w:rPr>
          <w:rFonts w:asciiTheme="majorHAnsi" w:hAnsiTheme="majorHAnsi"/>
          <w:sz w:val="20"/>
          <w:szCs w:val="20"/>
        </w:rPr>
        <w:t>AUDIT</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3340DDC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Аудит, який провадять одночасно на одному</w:t>
      </w:r>
      <w:r w:rsidRPr="000977F7">
        <w:rPr>
          <w:rFonts w:asciiTheme="majorHAnsi" w:hAnsiTheme="majorHAnsi"/>
          <w:spacing w:val="-57"/>
          <w:sz w:val="20"/>
          <w:szCs w:val="20"/>
        </w:rPr>
        <w:t xml:space="preserve"> </w:t>
      </w:r>
      <w:r w:rsidRPr="000977F7">
        <w:rPr>
          <w:rFonts w:asciiTheme="majorHAnsi" w:hAnsiTheme="majorHAnsi"/>
          <w:sz w:val="20"/>
          <w:szCs w:val="20"/>
        </w:rPr>
        <w:t>об’єкті</w:t>
      </w:r>
      <w:r w:rsidRPr="000977F7">
        <w:rPr>
          <w:rFonts w:asciiTheme="majorHAnsi" w:hAnsiTheme="majorHAnsi"/>
          <w:spacing w:val="-1"/>
          <w:sz w:val="20"/>
          <w:szCs w:val="20"/>
        </w:rPr>
        <w:t xml:space="preserve"> </w:t>
      </w:r>
      <w:r w:rsidRPr="000977F7">
        <w:rPr>
          <w:rFonts w:asciiTheme="majorHAnsi" w:hAnsiTheme="majorHAnsi"/>
          <w:sz w:val="20"/>
          <w:szCs w:val="20"/>
        </w:rPr>
        <w:t>аудиту</w:t>
      </w:r>
      <w:r w:rsidRPr="000977F7">
        <w:rPr>
          <w:rFonts w:asciiTheme="majorHAnsi" w:hAnsiTheme="majorHAnsi"/>
          <w:spacing w:val="-5"/>
          <w:sz w:val="20"/>
          <w:szCs w:val="20"/>
        </w:rPr>
        <w:t xml:space="preserve"> </w:t>
      </w:r>
      <w:r w:rsidRPr="000977F7">
        <w:rPr>
          <w:rFonts w:asciiTheme="majorHAnsi" w:hAnsiTheme="majorHAnsi"/>
          <w:sz w:val="20"/>
          <w:szCs w:val="20"/>
        </w:rPr>
        <w:t>стосовно</w:t>
      </w:r>
      <w:r w:rsidRPr="000977F7">
        <w:rPr>
          <w:rFonts w:asciiTheme="majorHAnsi" w:hAnsiTheme="majorHAnsi"/>
          <w:spacing w:val="2"/>
          <w:sz w:val="20"/>
          <w:szCs w:val="20"/>
        </w:rPr>
        <w:t xml:space="preserve"> </w:t>
      </w:r>
      <w:r w:rsidRPr="000977F7">
        <w:rPr>
          <w:rFonts w:asciiTheme="majorHAnsi" w:hAnsiTheme="majorHAnsi"/>
          <w:sz w:val="20"/>
          <w:szCs w:val="20"/>
        </w:rPr>
        <w:t>двох або</w:t>
      </w:r>
      <w:r w:rsidRPr="000977F7">
        <w:rPr>
          <w:rFonts w:asciiTheme="majorHAnsi" w:hAnsiTheme="majorHAnsi"/>
          <w:spacing w:val="-3"/>
          <w:sz w:val="20"/>
          <w:szCs w:val="20"/>
        </w:rPr>
        <w:t xml:space="preserve"> </w:t>
      </w:r>
      <w:r w:rsidRPr="000977F7">
        <w:rPr>
          <w:rFonts w:asciiTheme="majorHAnsi" w:hAnsiTheme="majorHAnsi"/>
          <w:sz w:val="20"/>
          <w:szCs w:val="20"/>
        </w:rPr>
        <w:t>більше</w:t>
      </w:r>
      <w:r w:rsidRPr="000977F7">
        <w:rPr>
          <w:rFonts w:asciiTheme="majorHAnsi" w:hAnsiTheme="majorHAnsi"/>
          <w:spacing w:val="-4"/>
          <w:sz w:val="20"/>
          <w:szCs w:val="20"/>
        </w:rPr>
        <w:t xml:space="preserve"> </w:t>
      </w:r>
      <w:r w:rsidRPr="000977F7">
        <w:rPr>
          <w:rFonts w:asciiTheme="majorHAnsi" w:hAnsiTheme="majorHAnsi"/>
          <w:sz w:val="20"/>
          <w:szCs w:val="20"/>
        </w:rPr>
        <w:t>систем</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p>
    <w:p w14:paraId="5A897841" w14:textId="77777777" w:rsidR="0097612F" w:rsidRPr="000977F7" w:rsidRDefault="0097612F" w:rsidP="000977F7">
      <w:pPr>
        <w:pStyle w:val="4"/>
        <w:tabs>
          <w:tab w:val="left" w:pos="284"/>
        </w:tabs>
        <w:spacing w:line="240" w:lineRule="auto"/>
        <w:ind w:left="170"/>
        <w:mirrorIndents/>
        <w:jc w:val="both"/>
        <w:rPr>
          <w:color w:val="auto"/>
          <w:sz w:val="20"/>
          <w:szCs w:val="20"/>
        </w:rPr>
      </w:pPr>
      <w:bookmarkStart w:id="267" w:name="_Toc132629646"/>
      <w:r w:rsidRPr="000977F7">
        <w:rPr>
          <w:color w:val="auto"/>
          <w:sz w:val="20"/>
          <w:szCs w:val="20"/>
        </w:rPr>
        <w:t>Примітка. Частини системи управління, які</w:t>
      </w:r>
      <w:r w:rsidRPr="000977F7">
        <w:rPr>
          <w:color w:val="auto"/>
          <w:spacing w:val="1"/>
          <w:sz w:val="20"/>
          <w:szCs w:val="20"/>
        </w:rPr>
        <w:t xml:space="preserve"> </w:t>
      </w:r>
      <w:r w:rsidRPr="000977F7">
        <w:rPr>
          <w:color w:val="auto"/>
          <w:sz w:val="20"/>
          <w:szCs w:val="20"/>
        </w:rPr>
        <w:t>можуть бути залучені до скомбінованого аудиту, можуть бути визначені відповідними</w:t>
      </w:r>
      <w:r w:rsidRPr="000977F7">
        <w:rPr>
          <w:color w:val="auto"/>
          <w:spacing w:val="1"/>
          <w:sz w:val="20"/>
          <w:szCs w:val="20"/>
        </w:rPr>
        <w:t xml:space="preserve"> </w:t>
      </w:r>
      <w:r w:rsidRPr="000977F7">
        <w:rPr>
          <w:color w:val="auto"/>
          <w:sz w:val="20"/>
          <w:szCs w:val="20"/>
        </w:rPr>
        <w:t>стандартами на системи управління, стандартами</w:t>
      </w:r>
      <w:r w:rsidRPr="000977F7">
        <w:rPr>
          <w:color w:val="auto"/>
          <w:spacing w:val="-4"/>
          <w:sz w:val="20"/>
          <w:szCs w:val="20"/>
        </w:rPr>
        <w:t xml:space="preserve"> </w:t>
      </w:r>
      <w:r w:rsidRPr="000977F7">
        <w:rPr>
          <w:color w:val="auto"/>
          <w:sz w:val="20"/>
          <w:szCs w:val="20"/>
        </w:rPr>
        <w:t>на</w:t>
      </w:r>
      <w:r w:rsidRPr="000977F7">
        <w:rPr>
          <w:color w:val="auto"/>
          <w:spacing w:val="-4"/>
          <w:sz w:val="20"/>
          <w:szCs w:val="20"/>
        </w:rPr>
        <w:t xml:space="preserve"> </w:t>
      </w:r>
      <w:r w:rsidRPr="000977F7">
        <w:rPr>
          <w:color w:val="auto"/>
          <w:sz w:val="20"/>
          <w:szCs w:val="20"/>
        </w:rPr>
        <w:t>продукцію,</w:t>
      </w:r>
      <w:r w:rsidRPr="000977F7">
        <w:rPr>
          <w:color w:val="auto"/>
          <w:spacing w:val="-3"/>
          <w:sz w:val="20"/>
          <w:szCs w:val="20"/>
        </w:rPr>
        <w:t xml:space="preserve"> </w:t>
      </w:r>
      <w:r w:rsidRPr="000977F7">
        <w:rPr>
          <w:color w:val="auto"/>
          <w:sz w:val="20"/>
          <w:szCs w:val="20"/>
        </w:rPr>
        <w:t>стандартами</w:t>
      </w:r>
      <w:r w:rsidRPr="000977F7">
        <w:rPr>
          <w:color w:val="auto"/>
          <w:spacing w:val="-3"/>
          <w:sz w:val="20"/>
          <w:szCs w:val="20"/>
        </w:rPr>
        <w:t xml:space="preserve"> </w:t>
      </w:r>
      <w:r w:rsidRPr="000977F7">
        <w:rPr>
          <w:color w:val="auto"/>
          <w:sz w:val="20"/>
          <w:szCs w:val="20"/>
        </w:rPr>
        <w:t>на</w:t>
      </w:r>
      <w:r w:rsidRPr="000977F7">
        <w:rPr>
          <w:color w:val="auto"/>
          <w:spacing w:val="-4"/>
          <w:sz w:val="20"/>
          <w:szCs w:val="20"/>
        </w:rPr>
        <w:t xml:space="preserve"> </w:t>
      </w:r>
      <w:r w:rsidRPr="000977F7">
        <w:rPr>
          <w:color w:val="auto"/>
          <w:sz w:val="20"/>
          <w:szCs w:val="20"/>
        </w:rPr>
        <w:t>послуги</w:t>
      </w:r>
      <w:r w:rsidRPr="000977F7">
        <w:rPr>
          <w:color w:val="auto"/>
          <w:spacing w:val="-57"/>
          <w:sz w:val="20"/>
          <w:szCs w:val="20"/>
        </w:rPr>
        <w:t xml:space="preserve"> </w:t>
      </w:r>
      <w:r w:rsidRPr="000977F7">
        <w:rPr>
          <w:color w:val="auto"/>
          <w:sz w:val="20"/>
          <w:szCs w:val="20"/>
        </w:rPr>
        <w:t>чи</w:t>
      </w:r>
      <w:r w:rsidRPr="000977F7">
        <w:rPr>
          <w:color w:val="auto"/>
          <w:spacing w:val="-2"/>
          <w:sz w:val="20"/>
          <w:szCs w:val="20"/>
        </w:rPr>
        <w:t xml:space="preserve"> </w:t>
      </w:r>
      <w:r w:rsidRPr="000977F7">
        <w:rPr>
          <w:color w:val="auto"/>
          <w:sz w:val="20"/>
          <w:szCs w:val="20"/>
        </w:rPr>
        <w:t>стандартами</w:t>
      </w:r>
      <w:r w:rsidRPr="000977F7">
        <w:rPr>
          <w:color w:val="auto"/>
          <w:spacing w:val="-2"/>
          <w:sz w:val="20"/>
          <w:szCs w:val="20"/>
        </w:rPr>
        <w:t xml:space="preserve"> </w:t>
      </w:r>
      <w:r w:rsidRPr="000977F7">
        <w:rPr>
          <w:color w:val="auto"/>
          <w:sz w:val="20"/>
          <w:szCs w:val="20"/>
        </w:rPr>
        <w:t>на</w:t>
      </w:r>
      <w:r w:rsidRPr="000977F7">
        <w:rPr>
          <w:color w:val="auto"/>
          <w:spacing w:val="-3"/>
          <w:sz w:val="20"/>
          <w:szCs w:val="20"/>
        </w:rPr>
        <w:t xml:space="preserve"> </w:t>
      </w:r>
      <w:r w:rsidRPr="000977F7">
        <w:rPr>
          <w:color w:val="auto"/>
          <w:sz w:val="20"/>
          <w:szCs w:val="20"/>
        </w:rPr>
        <w:t>процеси,</w:t>
      </w:r>
      <w:r w:rsidRPr="000977F7">
        <w:rPr>
          <w:color w:val="auto"/>
          <w:spacing w:val="-2"/>
          <w:sz w:val="20"/>
          <w:szCs w:val="20"/>
        </w:rPr>
        <w:t xml:space="preserve"> </w:t>
      </w:r>
      <w:r w:rsidRPr="000977F7">
        <w:rPr>
          <w:color w:val="auto"/>
          <w:sz w:val="20"/>
          <w:szCs w:val="20"/>
        </w:rPr>
        <w:t>що</w:t>
      </w:r>
      <w:r w:rsidRPr="000977F7">
        <w:rPr>
          <w:color w:val="auto"/>
          <w:spacing w:val="-2"/>
          <w:sz w:val="20"/>
          <w:szCs w:val="20"/>
        </w:rPr>
        <w:t xml:space="preserve"> </w:t>
      </w:r>
      <w:r w:rsidRPr="000977F7">
        <w:rPr>
          <w:color w:val="auto"/>
          <w:sz w:val="20"/>
          <w:szCs w:val="20"/>
        </w:rPr>
        <w:t>їх</w:t>
      </w:r>
      <w:r w:rsidRPr="000977F7">
        <w:rPr>
          <w:color w:val="auto"/>
          <w:spacing w:val="18"/>
          <w:sz w:val="20"/>
          <w:szCs w:val="20"/>
        </w:rPr>
        <w:t xml:space="preserve"> </w:t>
      </w:r>
      <w:r w:rsidRPr="000977F7">
        <w:rPr>
          <w:color w:val="auto"/>
          <w:sz w:val="20"/>
          <w:szCs w:val="20"/>
        </w:rPr>
        <w:t>застосовує</w:t>
      </w:r>
      <w:r w:rsidRPr="000977F7">
        <w:rPr>
          <w:color w:val="auto"/>
          <w:spacing w:val="-57"/>
          <w:sz w:val="20"/>
          <w:szCs w:val="20"/>
        </w:rPr>
        <w:t xml:space="preserve">      </w:t>
      </w:r>
      <w:r w:rsidRPr="000977F7">
        <w:rPr>
          <w:color w:val="auto"/>
          <w:sz w:val="20"/>
          <w:szCs w:val="20"/>
        </w:rPr>
        <w:t>організація</w:t>
      </w:r>
      <w:bookmarkEnd w:id="267"/>
    </w:p>
    <w:p w14:paraId="66D748B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6C0CFB3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СКОРОЧЕНІ</w:t>
      </w:r>
      <w:r w:rsidRPr="000977F7">
        <w:rPr>
          <w:color w:val="auto"/>
          <w:spacing w:val="-6"/>
          <w:sz w:val="20"/>
          <w:szCs w:val="20"/>
        </w:rPr>
        <w:t xml:space="preserve"> </w:t>
      </w:r>
      <w:r w:rsidRPr="000977F7">
        <w:rPr>
          <w:color w:val="auto"/>
          <w:sz w:val="20"/>
          <w:szCs w:val="20"/>
        </w:rPr>
        <w:t>ВИПРОБУВАННЯ</w:t>
      </w:r>
      <w:r w:rsidRPr="000977F7">
        <w:rPr>
          <w:color w:val="auto"/>
          <w:spacing w:val="-1"/>
          <w:sz w:val="20"/>
          <w:szCs w:val="20"/>
        </w:rPr>
        <w:t xml:space="preserve"> </w:t>
      </w:r>
      <w:r w:rsidRPr="000977F7">
        <w:rPr>
          <w:color w:val="auto"/>
          <w:sz w:val="20"/>
          <w:szCs w:val="20"/>
        </w:rPr>
        <w:t>–</w:t>
      </w:r>
    </w:p>
    <w:p w14:paraId="490ED8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REDUCED</w:t>
      </w:r>
      <w:r w:rsidRPr="000977F7">
        <w:rPr>
          <w:rFonts w:asciiTheme="majorHAnsi" w:hAnsiTheme="majorHAnsi"/>
          <w:spacing w:val="-1"/>
          <w:sz w:val="20"/>
          <w:szCs w:val="20"/>
        </w:rPr>
        <w:t xml:space="preserve"> </w:t>
      </w:r>
      <w:r w:rsidRPr="000977F7">
        <w:rPr>
          <w:rFonts w:asciiTheme="majorHAnsi" w:hAnsiTheme="majorHAnsi"/>
          <w:sz w:val="20"/>
          <w:szCs w:val="20"/>
        </w:rPr>
        <w:t>TEST -</w:t>
      </w:r>
    </w:p>
    <w:p w14:paraId="59855D5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3"/>
          <w:w w:val="95"/>
          <w:sz w:val="20"/>
          <w:szCs w:val="20"/>
        </w:rPr>
        <w:t>Випробування,</w:t>
      </w:r>
      <w:r w:rsidRPr="000977F7">
        <w:rPr>
          <w:rFonts w:asciiTheme="majorHAnsi" w:hAnsiTheme="majorHAnsi"/>
          <w:spacing w:val="-12"/>
          <w:w w:val="95"/>
          <w:sz w:val="20"/>
          <w:szCs w:val="20"/>
        </w:rPr>
        <w:t xml:space="preserve"> </w:t>
      </w:r>
      <w:r w:rsidRPr="000977F7">
        <w:rPr>
          <w:rFonts w:asciiTheme="majorHAnsi" w:hAnsiTheme="majorHAnsi"/>
          <w:spacing w:val="-3"/>
          <w:w w:val="95"/>
          <w:sz w:val="20"/>
          <w:szCs w:val="20"/>
        </w:rPr>
        <w:t>що</w:t>
      </w:r>
      <w:r w:rsidRPr="000977F7">
        <w:rPr>
          <w:rFonts w:asciiTheme="majorHAnsi" w:hAnsiTheme="majorHAnsi"/>
          <w:spacing w:val="-10"/>
          <w:w w:val="95"/>
          <w:sz w:val="20"/>
          <w:szCs w:val="20"/>
        </w:rPr>
        <w:t xml:space="preserve"> </w:t>
      </w:r>
      <w:r w:rsidRPr="000977F7">
        <w:rPr>
          <w:rFonts w:asciiTheme="majorHAnsi" w:hAnsiTheme="majorHAnsi"/>
          <w:spacing w:val="-2"/>
          <w:w w:val="95"/>
          <w:sz w:val="20"/>
          <w:szCs w:val="20"/>
        </w:rPr>
        <w:t>проводяться</w:t>
      </w:r>
      <w:r w:rsidRPr="000977F7">
        <w:rPr>
          <w:rFonts w:asciiTheme="majorHAnsi" w:hAnsiTheme="majorHAnsi"/>
          <w:spacing w:val="-12"/>
          <w:w w:val="95"/>
          <w:sz w:val="20"/>
          <w:szCs w:val="20"/>
        </w:rPr>
        <w:t xml:space="preserve"> </w:t>
      </w:r>
      <w:r w:rsidRPr="000977F7">
        <w:rPr>
          <w:rFonts w:asciiTheme="majorHAnsi" w:hAnsiTheme="majorHAnsi"/>
          <w:spacing w:val="-2"/>
          <w:w w:val="95"/>
          <w:sz w:val="20"/>
          <w:szCs w:val="20"/>
        </w:rPr>
        <w:t>за</w:t>
      </w:r>
      <w:r w:rsidRPr="000977F7">
        <w:rPr>
          <w:rFonts w:asciiTheme="majorHAnsi" w:hAnsiTheme="majorHAnsi"/>
          <w:spacing w:val="-14"/>
          <w:w w:val="95"/>
          <w:sz w:val="20"/>
          <w:szCs w:val="20"/>
        </w:rPr>
        <w:t xml:space="preserve"> </w:t>
      </w:r>
      <w:r w:rsidRPr="000977F7">
        <w:rPr>
          <w:rFonts w:asciiTheme="majorHAnsi" w:hAnsiTheme="majorHAnsi"/>
          <w:spacing w:val="-2"/>
          <w:w w:val="95"/>
          <w:sz w:val="20"/>
          <w:szCs w:val="20"/>
        </w:rPr>
        <w:t>скороченою</w:t>
      </w:r>
      <w:r w:rsidRPr="000977F7">
        <w:rPr>
          <w:rFonts w:asciiTheme="majorHAnsi" w:hAnsiTheme="majorHAnsi"/>
          <w:spacing w:val="-14"/>
          <w:w w:val="95"/>
          <w:sz w:val="20"/>
          <w:szCs w:val="20"/>
        </w:rPr>
        <w:t xml:space="preserve"> </w:t>
      </w:r>
      <w:r w:rsidRPr="000977F7">
        <w:rPr>
          <w:rFonts w:asciiTheme="majorHAnsi" w:hAnsiTheme="majorHAnsi"/>
          <w:spacing w:val="-2"/>
          <w:w w:val="95"/>
          <w:sz w:val="20"/>
          <w:szCs w:val="20"/>
        </w:rPr>
        <w:t>програмою</w:t>
      </w:r>
    </w:p>
    <w:p w14:paraId="6C5AFB7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96EFAA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СЛУЖБА</w:t>
      </w:r>
      <w:r w:rsidRPr="000977F7">
        <w:rPr>
          <w:color w:val="auto"/>
          <w:spacing w:val="-3"/>
          <w:sz w:val="20"/>
          <w:szCs w:val="20"/>
        </w:rPr>
        <w:t xml:space="preserve"> </w:t>
      </w:r>
      <w:r w:rsidRPr="000977F7">
        <w:rPr>
          <w:color w:val="auto"/>
          <w:sz w:val="20"/>
          <w:szCs w:val="20"/>
        </w:rPr>
        <w:t>–</w:t>
      </w:r>
    </w:p>
    <w:p w14:paraId="31927F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3"/>
          <w:sz w:val="20"/>
          <w:szCs w:val="20"/>
        </w:rPr>
        <w:t xml:space="preserve"> </w:t>
      </w:r>
      <w:r w:rsidRPr="000977F7">
        <w:rPr>
          <w:rFonts w:asciiTheme="majorHAnsi" w:hAnsiTheme="majorHAnsi"/>
          <w:sz w:val="20"/>
          <w:szCs w:val="20"/>
        </w:rPr>
        <w:t>ланок</w:t>
      </w:r>
      <w:r w:rsidRPr="000977F7">
        <w:rPr>
          <w:rFonts w:asciiTheme="majorHAnsi" w:hAnsiTheme="majorHAnsi"/>
          <w:spacing w:val="11"/>
          <w:sz w:val="20"/>
          <w:szCs w:val="20"/>
        </w:rPr>
        <w:t xml:space="preserve"> </w:t>
      </w:r>
      <w:r w:rsidRPr="000977F7">
        <w:rPr>
          <w:rFonts w:asciiTheme="majorHAnsi" w:hAnsiTheme="majorHAnsi"/>
          <w:sz w:val="20"/>
          <w:szCs w:val="20"/>
        </w:rPr>
        <w:t>керування</w:t>
      </w:r>
      <w:r w:rsidRPr="000977F7">
        <w:rPr>
          <w:rFonts w:asciiTheme="majorHAnsi" w:hAnsiTheme="majorHAnsi"/>
          <w:spacing w:val="11"/>
          <w:sz w:val="20"/>
          <w:szCs w:val="20"/>
        </w:rPr>
        <w:t xml:space="preserve"> </w:t>
      </w:r>
      <w:r w:rsidRPr="000977F7">
        <w:rPr>
          <w:rFonts w:asciiTheme="majorHAnsi" w:hAnsiTheme="majorHAnsi"/>
          <w:sz w:val="20"/>
          <w:szCs w:val="20"/>
        </w:rPr>
        <w:t>структурних</w:t>
      </w:r>
      <w:r w:rsidRPr="000977F7">
        <w:rPr>
          <w:rFonts w:asciiTheme="majorHAnsi" w:hAnsiTheme="majorHAnsi"/>
          <w:spacing w:val="13"/>
          <w:sz w:val="20"/>
          <w:szCs w:val="20"/>
        </w:rPr>
        <w:t xml:space="preserve"> </w:t>
      </w:r>
      <w:r w:rsidRPr="000977F7">
        <w:rPr>
          <w:rFonts w:asciiTheme="majorHAnsi" w:hAnsiTheme="majorHAnsi"/>
          <w:sz w:val="20"/>
          <w:szCs w:val="20"/>
        </w:rPr>
        <w:t>підрозділів,</w:t>
      </w:r>
      <w:r w:rsidRPr="000977F7">
        <w:rPr>
          <w:rFonts w:asciiTheme="majorHAnsi" w:hAnsiTheme="majorHAnsi"/>
          <w:spacing w:val="-47"/>
          <w:sz w:val="20"/>
          <w:szCs w:val="20"/>
        </w:rPr>
        <w:t xml:space="preserve"> </w:t>
      </w:r>
      <w:r w:rsidRPr="000977F7">
        <w:rPr>
          <w:rFonts w:asciiTheme="majorHAnsi" w:hAnsiTheme="majorHAnsi"/>
          <w:sz w:val="20"/>
          <w:szCs w:val="20"/>
        </w:rPr>
        <w:t>об’єднаних</w:t>
      </w:r>
      <w:r w:rsidRPr="000977F7">
        <w:rPr>
          <w:rFonts w:asciiTheme="majorHAnsi" w:hAnsiTheme="majorHAnsi"/>
          <w:spacing w:val="15"/>
          <w:sz w:val="20"/>
          <w:szCs w:val="20"/>
        </w:rPr>
        <w:t xml:space="preserve"> </w:t>
      </w:r>
      <w:r w:rsidRPr="000977F7">
        <w:rPr>
          <w:rFonts w:asciiTheme="majorHAnsi" w:hAnsiTheme="majorHAnsi"/>
          <w:sz w:val="20"/>
          <w:szCs w:val="20"/>
        </w:rPr>
        <w:t>за</w:t>
      </w:r>
      <w:r w:rsidRPr="000977F7">
        <w:rPr>
          <w:rFonts w:asciiTheme="majorHAnsi" w:hAnsiTheme="majorHAnsi"/>
          <w:spacing w:val="19"/>
          <w:sz w:val="20"/>
          <w:szCs w:val="20"/>
        </w:rPr>
        <w:t xml:space="preserve"> </w:t>
      </w:r>
      <w:r w:rsidRPr="000977F7">
        <w:rPr>
          <w:rFonts w:asciiTheme="majorHAnsi" w:hAnsiTheme="majorHAnsi"/>
          <w:sz w:val="20"/>
          <w:szCs w:val="20"/>
        </w:rPr>
        <w:t>діловим</w:t>
      </w:r>
      <w:r w:rsidRPr="000977F7">
        <w:rPr>
          <w:rFonts w:asciiTheme="majorHAnsi" w:hAnsiTheme="majorHAnsi"/>
          <w:spacing w:val="17"/>
          <w:sz w:val="20"/>
          <w:szCs w:val="20"/>
        </w:rPr>
        <w:t xml:space="preserve"> </w:t>
      </w:r>
      <w:r w:rsidRPr="000977F7">
        <w:rPr>
          <w:rFonts w:asciiTheme="majorHAnsi" w:hAnsiTheme="majorHAnsi"/>
          <w:sz w:val="20"/>
          <w:szCs w:val="20"/>
        </w:rPr>
        <w:t>призначенням</w:t>
      </w:r>
      <w:r w:rsidRPr="000977F7">
        <w:rPr>
          <w:rFonts w:asciiTheme="majorHAnsi" w:hAnsiTheme="majorHAnsi"/>
          <w:spacing w:val="19"/>
          <w:sz w:val="20"/>
          <w:szCs w:val="20"/>
        </w:rPr>
        <w:t xml:space="preserve"> </w:t>
      </w:r>
      <w:r w:rsidRPr="000977F7">
        <w:rPr>
          <w:rFonts w:asciiTheme="majorHAnsi" w:hAnsiTheme="majorHAnsi"/>
          <w:sz w:val="20"/>
          <w:szCs w:val="20"/>
        </w:rPr>
        <w:t>у</w:t>
      </w:r>
      <w:r w:rsidRPr="000977F7">
        <w:rPr>
          <w:rFonts w:asciiTheme="majorHAnsi" w:hAnsiTheme="majorHAnsi"/>
          <w:spacing w:val="13"/>
          <w:sz w:val="20"/>
          <w:szCs w:val="20"/>
        </w:rPr>
        <w:t xml:space="preserve"> </w:t>
      </w:r>
      <w:r w:rsidRPr="000977F7">
        <w:rPr>
          <w:rFonts w:asciiTheme="majorHAnsi" w:hAnsiTheme="majorHAnsi"/>
          <w:sz w:val="20"/>
          <w:szCs w:val="20"/>
        </w:rPr>
        <w:t>підсистему</w:t>
      </w:r>
      <w:r w:rsidRPr="000977F7">
        <w:rPr>
          <w:rFonts w:asciiTheme="majorHAnsi" w:hAnsiTheme="majorHAnsi"/>
          <w:spacing w:val="-47"/>
          <w:sz w:val="20"/>
          <w:szCs w:val="20"/>
        </w:rPr>
        <w:t xml:space="preserve"> </w:t>
      </w:r>
      <w:r w:rsidRPr="000977F7">
        <w:rPr>
          <w:rFonts w:asciiTheme="majorHAnsi" w:hAnsiTheme="majorHAnsi"/>
          <w:sz w:val="20"/>
          <w:szCs w:val="20"/>
        </w:rPr>
        <w:t>керування</w:t>
      </w:r>
      <w:r w:rsidRPr="000977F7">
        <w:rPr>
          <w:rFonts w:asciiTheme="majorHAnsi" w:hAnsiTheme="majorHAnsi"/>
          <w:spacing w:val="18"/>
          <w:sz w:val="20"/>
          <w:szCs w:val="20"/>
        </w:rPr>
        <w:t xml:space="preserve"> </w:t>
      </w:r>
      <w:r w:rsidRPr="000977F7">
        <w:rPr>
          <w:rFonts w:asciiTheme="majorHAnsi" w:hAnsiTheme="majorHAnsi"/>
          <w:sz w:val="20"/>
          <w:szCs w:val="20"/>
        </w:rPr>
        <w:t>за</w:t>
      </w:r>
      <w:r w:rsidRPr="000977F7">
        <w:rPr>
          <w:rFonts w:asciiTheme="majorHAnsi" w:hAnsiTheme="majorHAnsi"/>
          <w:spacing w:val="19"/>
          <w:sz w:val="20"/>
          <w:szCs w:val="20"/>
        </w:rPr>
        <w:t xml:space="preserve"> </w:t>
      </w:r>
      <w:r w:rsidRPr="000977F7">
        <w:rPr>
          <w:rFonts w:asciiTheme="majorHAnsi" w:hAnsiTheme="majorHAnsi"/>
          <w:sz w:val="20"/>
          <w:szCs w:val="20"/>
        </w:rPr>
        <w:t>ознакою</w:t>
      </w:r>
      <w:r w:rsidRPr="000977F7">
        <w:rPr>
          <w:rFonts w:asciiTheme="majorHAnsi" w:hAnsiTheme="majorHAnsi"/>
          <w:spacing w:val="18"/>
          <w:sz w:val="20"/>
          <w:szCs w:val="20"/>
        </w:rPr>
        <w:t xml:space="preserve"> </w:t>
      </w:r>
      <w:r w:rsidRPr="000977F7">
        <w:rPr>
          <w:rFonts w:asciiTheme="majorHAnsi" w:hAnsiTheme="majorHAnsi"/>
          <w:sz w:val="20"/>
          <w:szCs w:val="20"/>
        </w:rPr>
        <w:t>подібності</w:t>
      </w:r>
      <w:r w:rsidRPr="000977F7">
        <w:rPr>
          <w:rFonts w:asciiTheme="majorHAnsi" w:hAnsiTheme="majorHAnsi"/>
          <w:spacing w:val="18"/>
          <w:sz w:val="20"/>
          <w:szCs w:val="20"/>
        </w:rPr>
        <w:t xml:space="preserve"> </w:t>
      </w:r>
      <w:r w:rsidRPr="000977F7">
        <w:rPr>
          <w:rFonts w:asciiTheme="majorHAnsi" w:hAnsiTheme="majorHAnsi"/>
          <w:sz w:val="20"/>
          <w:szCs w:val="20"/>
        </w:rPr>
        <w:t>здійснюваних</w:t>
      </w:r>
      <w:r w:rsidRPr="000977F7">
        <w:rPr>
          <w:rFonts w:asciiTheme="majorHAnsi" w:hAnsiTheme="majorHAnsi"/>
          <w:spacing w:val="17"/>
          <w:sz w:val="20"/>
          <w:szCs w:val="20"/>
        </w:rPr>
        <w:t xml:space="preserve"> </w:t>
      </w:r>
      <w:r w:rsidRPr="000977F7">
        <w:rPr>
          <w:rFonts w:asciiTheme="majorHAnsi" w:hAnsiTheme="majorHAnsi"/>
          <w:sz w:val="20"/>
          <w:szCs w:val="20"/>
        </w:rPr>
        <w:t>конкретних функцій та очолюваних лінійним керівником</w:t>
      </w:r>
    </w:p>
    <w:p w14:paraId="5C230FB1"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2"/>
          <w:sz w:val="20"/>
          <w:szCs w:val="20"/>
        </w:rPr>
        <w:t xml:space="preserve"> - </w:t>
      </w:r>
      <w:r w:rsidRPr="000977F7">
        <w:rPr>
          <w:rFonts w:asciiTheme="majorHAnsi" w:hAnsiTheme="majorHAnsi"/>
          <w:i/>
          <w:sz w:val="20"/>
          <w:szCs w:val="20"/>
        </w:rPr>
        <w:t>94</w:t>
      </w:r>
    </w:p>
    <w:p w14:paraId="481DCDD2" w14:textId="77777777" w:rsidR="0097612F" w:rsidRPr="000977F7" w:rsidRDefault="0097612F" w:rsidP="000977F7">
      <w:pPr>
        <w:pStyle w:val="7"/>
        <w:tabs>
          <w:tab w:val="left" w:pos="284"/>
        </w:tabs>
        <w:spacing w:before="0" w:line="240" w:lineRule="auto"/>
        <w:ind w:left="170"/>
        <w:mirrorIndents/>
        <w:jc w:val="both"/>
        <w:rPr>
          <w:color w:val="auto"/>
          <w:spacing w:val="17"/>
          <w:sz w:val="20"/>
          <w:szCs w:val="20"/>
        </w:rPr>
      </w:pPr>
      <w:r w:rsidRPr="000977F7">
        <w:rPr>
          <w:color w:val="auto"/>
          <w:sz w:val="20"/>
          <w:szCs w:val="20"/>
        </w:rPr>
        <w:t>СЛУЖБА</w:t>
      </w:r>
      <w:r w:rsidRPr="000977F7">
        <w:rPr>
          <w:color w:val="auto"/>
          <w:spacing w:val="20"/>
          <w:sz w:val="20"/>
          <w:szCs w:val="20"/>
        </w:rPr>
        <w:t xml:space="preserve"> </w:t>
      </w:r>
      <w:r w:rsidRPr="000977F7">
        <w:rPr>
          <w:color w:val="auto"/>
          <w:sz w:val="20"/>
          <w:szCs w:val="20"/>
        </w:rPr>
        <w:t>ОХОРОНИ</w:t>
      </w:r>
      <w:r w:rsidRPr="000977F7">
        <w:rPr>
          <w:color w:val="auto"/>
          <w:spacing w:val="18"/>
          <w:sz w:val="20"/>
          <w:szCs w:val="20"/>
        </w:rPr>
        <w:t xml:space="preserve"> </w:t>
      </w:r>
      <w:r w:rsidRPr="000977F7">
        <w:rPr>
          <w:color w:val="auto"/>
          <w:sz w:val="20"/>
          <w:szCs w:val="20"/>
        </w:rPr>
        <w:t>ПРАЦІ</w:t>
      </w:r>
      <w:r w:rsidRPr="000977F7">
        <w:rPr>
          <w:color w:val="auto"/>
          <w:spacing w:val="17"/>
          <w:sz w:val="20"/>
          <w:szCs w:val="20"/>
        </w:rPr>
        <w:t xml:space="preserve"> </w:t>
      </w:r>
      <w:r w:rsidRPr="000977F7">
        <w:rPr>
          <w:color w:val="auto"/>
          <w:sz w:val="20"/>
          <w:szCs w:val="20"/>
        </w:rPr>
        <w:t>НА</w:t>
      </w:r>
      <w:r w:rsidRPr="000977F7">
        <w:rPr>
          <w:color w:val="auto"/>
          <w:spacing w:val="17"/>
          <w:sz w:val="20"/>
          <w:szCs w:val="20"/>
        </w:rPr>
        <w:t xml:space="preserve"> </w:t>
      </w:r>
    </w:p>
    <w:p w14:paraId="3A6DC6E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ПІДПРИЄМСТ</w:t>
      </w:r>
      <w:r w:rsidRPr="000977F7">
        <w:rPr>
          <w:color w:val="auto"/>
          <w:spacing w:val="-47"/>
          <w:sz w:val="20"/>
          <w:szCs w:val="20"/>
        </w:rPr>
        <w:t xml:space="preserve"> </w:t>
      </w:r>
      <w:r w:rsidRPr="000977F7">
        <w:rPr>
          <w:color w:val="auto"/>
          <w:sz w:val="20"/>
          <w:szCs w:val="20"/>
        </w:rPr>
        <w:t>ВІ</w:t>
      </w:r>
      <w:r w:rsidRPr="000977F7">
        <w:rPr>
          <w:color w:val="auto"/>
          <w:spacing w:val="-1"/>
          <w:sz w:val="20"/>
          <w:szCs w:val="20"/>
        </w:rPr>
        <w:t xml:space="preserve"> </w:t>
      </w:r>
      <w:r w:rsidRPr="000977F7">
        <w:rPr>
          <w:color w:val="auto"/>
          <w:sz w:val="20"/>
          <w:szCs w:val="20"/>
        </w:rPr>
        <w:t>-</w:t>
      </w:r>
    </w:p>
    <w:p w14:paraId="207589E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На підприємстві з кількістю працюючих 50 і більше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осіб роботодавець створює службу охорони праці відповідно до типового положення, що затверджується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центральним органом виконавчої влади, що забезпечує формування державної політики у сфері охорони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праці.</w:t>
      </w:r>
    </w:p>
    <w:p w14:paraId="58383CE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підприємстві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кількістю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працюючих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менше</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50</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осіб функції служби охорони праці можуть виконувати в порядку сумісництва особи, які мають відповідну</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підготовку. 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підприємстві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кількістю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працюючих менше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20</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осіб</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виконання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функцій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служби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охорони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праці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можуть залучатися сторонні спеціалісти на договірних</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засадах,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мають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відповідну</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підготовку.</w:t>
      </w:r>
    </w:p>
    <w:p w14:paraId="00856FE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Служба охорони праці підпорядковується безпосередньо роботодавцю.</w:t>
      </w:r>
    </w:p>
    <w:p w14:paraId="1A224E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Керівники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спеціалісти</w:t>
      </w:r>
      <w:r w:rsidRPr="000977F7">
        <w:rPr>
          <w:rFonts w:asciiTheme="majorHAnsi" w:hAnsiTheme="majorHAnsi"/>
          <w:spacing w:val="1"/>
          <w:sz w:val="20"/>
          <w:szCs w:val="20"/>
        </w:rPr>
        <w:t xml:space="preserve"> </w:t>
      </w:r>
      <w:r w:rsidRPr="000977F7">
        <w:rPr>
          <w:rFonts w:asciiTheme="majorHAnsi" w:hAnsiTheme="majorHAnsi"/>
          <w:sz w:val="20"/>
          <w:szCs w:val="20"/>
        </w:rPr>
        <w:t>служби</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1"/>
          <w:sz w:val="20"/>
          <w:szCs w:val="20"/>
        </w:rPr>
        <w:t xml:space="preserve"> </w:t>
      </w:r>
      <w:r w:rsidRPr="000977F7">
        <w:rPr>
          <w:rFonts w:asciiTheme="majorHAnsi" w:hAnsiTheme="majorHAnsi"/>
          <w:sz w:val="20"/>
          <w:szCs w:val="20"/>
        </w:rPr>
        <w:t>праці</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47"/>
          <w:sz w:val="20"/>
          <w:szCs w:val="20"/>
        </w:rPr>
        <w:t xml:space="preserve"> </w:t>
      </w:r>
      <w:r w:rsidRPr="000977F7">
        <w:rPr>
          <w:rFonts w:asciiTheme="majorHAnsi" w:hAnsiTheme="majorHAnsi"/>
          <w:sz w:val="20"/>
          <w:szCs w:val="20"/>
        </w:rPr>
        <w:t xml:space="preserve">своєю посадою і заробітною платою </w:t>
      </w:r>
      <w:r w:rsidRPr="000977F7">
        <w:rPr>
          <w:rFonts w:asciiTheme="majorHAnsi" w:hAnsiTheme="majorHAnsi"/>
          <w:sz w:val="20"/>
          <w:szCs w:val="20"/>
        </w:rPr>
        <w:t>прирівнюються</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керівників</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спеціалістів</w:t>
      </w:r>
      <w:r w:rsidRPr="000977F7">
        <w:rPr>
          <w:rFonts w:asciiTheme="majorHAnsi" w:hAnsiTheme="majorHAnsi"/>
          <w:spacing w:val="1"/>
          <w:sz w:val="20"/>
          <w:szCs w:val="20"/>
        </w:rPr>
        <w:t xml:space="preserve"> </w:t>
      </w:r>
      <w:r w:rsidRPr="000977F7">
        <w:rPr>
          <w:rFonts w:asciiTheme="majorHAnsi" w:hAnsiTheme="majorHAnsi"/>
          <w:sz w:val="20"/>
          <w:szCs w:val="20"/>
        </w:rPr>
        <w:t>основних</w:t>
      </w:r>
      <w:r w:rsidRPr="000977F7">
        <w:rPr>
          <w:rFonts w:asciiTheme="majorHAnsi" w:hAnsiTheme="majorHAnsi"/>
          <w:spacing w:val="1"/>
          <w:sz w:val="20"/>
          <w:szCs w:val="20"/>
        </w:rPr>
        <w:t xml:space="preserve"> </w:t>
      </w:r>
      <w:r w:rsidRPr="000977F7">
        <w:rPr>
          <w:rFonts w:asciiTheme="majorHAnsi" w:hAnsiTheme="majorHAnsi"/>
          <w:sz w:val="20"/>
          <w:szCs w:val="20"/>
        </w:rPr>
        <w:t>виробничо-технічних</w:t>
      </w:r>
      <w:r w:rsidRPr="000977F7">
        <w:rPr>
          <w:rFonts w:asciiTheme="majorHAnsi" w:hAnsiTheme="majorHAnsi"/>
          <w:spacing w:val="-2"/>
          <w:sz w:val="20"/>
          <w:szCs w:val="20"/>
        </w:rPr>
        <w:t xml:space="preserve"> </w:t>
      </w:r>
      <w:r w:rsidRPr="000977F7">
        <w:rPr>
          <w:rFonts w:asciiTheme="majorHAnsi" w:hAnsiTheme="majorHAnsi"/>
          <w:sz w:val="20"/>
          <w:szCs w:val="20"/>
        </w:rPr>
        <w:t>служб.</w:t>
      </w:r>
    </w:p>
    <w:p w14:paraId="313C9B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Спеціалісти служби охорони праці у разі виявлення</w:t>
      </w:r>
      <w:r w:rsidRPr="000977F7">
        <w:rPr>
          <w:rFonts w:asciiTheme="majorHAnsi" w:hAnsiTheme="majorHAnsi"/>
          <w:spacing w:val="1"/>
          <w:sz w:val="20"/>
          <w:szCs w:val="20"/>
        </w:rPr>
        <w:t xml:space="preserve"> </w:t>
      </w:r>
      <w:r w:rsidRPr="000977F7">
        <w:rPr>
          <w:rFonts w:asciiTheme="majorHAnsi" w:hAnsiTheme="majorHAnsi"/>
          <w:sz w:val="20"/>
          <w:szCs w:val="20"/>
        </w:rPr>
        <w:t>порушень</w:t>
      </w:r>
      <w:r w:rsidRPr="000977F7">
        <w:rPr>
          <w:rFonts w:asciiTheme="majorHAnsi" w:hAnsiTheme="majorHAnsi"/>
          <w:spacing w:val="-2"/>
          <w:sz w:val="20"/>
          <w:szCs w:val="20"/>
        </w:rPr>
        <w:t xml:space="preserve"> </w:t>
      </w:r>
      <w:r w:rsidRPr="000977F7">
        <w:rPr>
          <w:rFonts w:asciiTheme="majorHAnsi" w:hAnsiTheme="majorHAnsi"/>
          <w:sz w:val="20"/>
          <w:szCs w:val="20"/>
        </w:rPr>
        <w:t>охорони</w:t>
      </w:r>
      <w:r w:rsidRPr="000977F7">
        <w:rPr>
          <w:rFonts w:asciiTheme="majorHAnsi" w:hAnsiTheme="majorHAnsi"/>
          <w:spacing w:val="-1"/>
          <w:sz w:val="20"/>
          <w:szCs w:val="20"/>
        </w:rPr>
        <w:t xml:space="preserve"> </w:t>
      </w:r>
      <w:r w:rsidRPr="000977F7">
        <w:rPr>
          <w:rFonts w:asciiTheme="majorHAnsi" w:hAnsiTheme="majorHAnsi"/>
          <w:sz w:val="20"/>
          <w:szCs w:val="20"/>
        </w:rPr>
        <w:t>праці</w:t>
      </w:r>
      <w:r w:rsidRPr="000977F7">
        <w:rPr>
          <w:rFonts w:asciiTheme="majorHAnsi" w:hAnsiTheme="majorHAnsi"/>
          <w:spacing w:val="-2"/>
          <w:sz w:val="20"/>
          <w:szCs w:val="20"/>
        </w:rPr>
        <w:t xml:space="preserve"> </w:t>
      </w:r>
      <w:r w:rsidRPr="000977F7">
        <w:rPr>
          <w:rFonts w:asciiTheme="majorHAnsi" w:hAnsiTheme="majorHAnsi"/>
          <w:sz w:val="20"/>
          <w:szCs w:val="20"/>
        </w:rPr>
        <w:t>мають право:</w:t>
      </w:r>
    </w:p>
    <w:p w14:paraId="7D31B15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видавати керівникам структурних підрозділів підприємства обов'язкові для виконання приписи щодо усунення</w:t>
      </w:r>
      <w:r w:rsidRPr="000977F7">
        <w:rPr>
          <w:rFonts w:asciiTheme="majorHAnsi" w:hAnsiTheme="majorHAnsi"/>
          <w:spacing w:val="1"/>
          <w:sz w:val="20"/>
          <w:szCs w:val="20"/>
        </w:rPr>
        <w:t xml:space="preserve"> </w:t>
      </w:r>
      <w:r w:rsidRPr="000977F7">
        <w:rPr>
          <w:rFonts w:asciiTheme="majorHAnsi" w:hAnsiTheme="majorHAnsi"/>
          <w:sz w:val="20"/>
          <w:szCs w:val="20"/>
        </w:rPr>
        <w:t>наявних недоліків,</w:t>
      </w:r>
      <w:r w:rsidRPr="000977F7">
        <w:rPr>
          <w:rFonts w:asciiTheme="majorHAnsi" w:hAnsiTheme="majorHAnsi"/>
          <w:spacing w:val="1"/>
          <w:sz w:val="20"/>
          <w:szCs w:val="20"/>
        </w:rPr>
        <w:t xml:space="preserve"> </w:t>
      </w:r>
      <w:r w:rsidRPr="000977F7">
        <w:rPr>
          <w:rFonts w:asciiTheme="majorHAnsi" w:hAnsiTheme="majorHAnsi"/>
          <w:sz w:val="20"/>
          <w:szCs w:val="20"/>
        </w:rPr>
        <w:t>одержувати від них необхідні відомості, документацію і пояснення з питань</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2"/>
          <w:sz w:val="20"/>
          <w:szCs w:val="20"/>
        </w:rPr>
        <w:t xml:space="preserve"> </w:t>
      </w:r>
      <w:r w:rsidRPr="000977F7">
        <w:rPr>
          <w:rFonts w:asciiTheme="majorHAnsi" w:hAnsiTheme="majorHAnsi"/>
          <w:sz w:val="20"/>
          <w:szCs w:val="20"/>
        </w:rPr>
        <w:t>праці;</w:t>
      </w:r>
    </w:p>
    <w:p w14:paraId="766C6E9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вимагати відсторонення від роботи осіб, які не пройшли передбачених законодавством медичного огляду,</w:t>
      </w:r>
      <w:r w:rsidRPr="000977F7">
        <w:rPr>
          <w:rFonts w:asciiTheme="majorHAnsi" w:hAnsiTheme="majorHAnsi"/>
          <w:spacing w:val="1"/>
          <w:sz w:val="20"/>
          <w:szCs w:val="20"/>
        </w:rPr>
        <w:t xml:space="preserve"> </w:t>
      </w:r>
      <w:r w:rsidRPr="000977F7">
        <w:rPr>
          <w:rFonts w:asciiTheme="majorHAnsi" w:hAnsiTheme="majorHAnsi"/>
          <w:sz w:val="20"/>
          <w:szCs w:val="20"/>
        </w:rPr>
        <w:t>навчання,</w:t>
      </w:r>
      <w:r w:rsidRPr="000977F7">
        <w:rPr>
          <w:rFonts w:asciiTheme="majorHAnsi" w:hAnsiTheme="majorHAnsi"/>
          <w:spacing w:val="1"/>
          <w:sz w:val="20"/>
          <w:szCs w:val="20"/>
        </w:rPr>
        <w:t xml:space="preserve"> </w:t>
      </w:r>
      <w:r w:rsidRPr="000977F7">
        <w:rPr>
          <w:rFonts w:asciiTheme="majorHAnsi" w:hAnsiTheme="majorHAnsi"/>
          <w:sz w:val="20"/>
          <w:szCs w:val="20"/>
        </w:rPr>
        <w:t>інструктажу,</w:t>
      </w:r>
      <w:r w:rsidRPr="000977F7">
        <w:rPr>
          <w:rFonts w:asciiTheme="majorHAnsi" w:hAnsiTheme="majorHAnsi"/>
          <w:spacing w:val="1"/>
          <w:sz w:val="20"/>
          <w:szCs w:val="20"/>
        </w:rPr>
        <w:t xml:space="preserve"> </w:t>
      </w:r>
      <w:r w:rsidRPr="000977F7">
        <w:rPr>
          <w:rFonts w:asciiTheme="majorHAnsi" w:hAnsiTheme="majorHAnsi"/>
          <w:sz w:val="20"/>
          <w:szCs w:val="20"/>
        </w:rPr>
        <w:t>перевірки</w:t>
      </w:r>
      <w:r w:rsidRPr="000977F7">
        <w:rPr>
          <w:rFonts w:asciiTheme="majorHAnsi" w:hAnsiTheme="majorHAnsi"/>
          <w:spacing w:val="1"/>
          <w:sz w:val="20"/>
          <w:szCs w:val="20"/>
        </w:rPr>
        <w:t xml:space="preserve"> </w:t>
      </w:r>
      <w:r w:rsidRPr="000977F7">
        <w:rPr>
          <w:rFonts w:asciiTheme="majorHAnsi" w:hAnsiTheme="majorHAnsi"/>
          <w:sz w:val="20"/>
          <w:szCs w:val="20"/>
        </w:rPr>
        <w:t>знань</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мають</w:t>
      </w:r>
      <w:r w:rsidRPr="000977F7">
        <w:rPr>
          <w:rFonts w:asciiTheme="majorHAnsi" w:hAnsiTheme="majorHAnsi"/>
          <w:spacing w:val="-47"/>
          <w:sz w:val="20"/>
          <w:szCs w:val="20"/>
        </w:rPr>
        <w:t xml:space="preserve"> </w:t>
      </w:r>
      <w:r w:rsidRPr="000977F7">
        <w:rPr>
          <w:rFonts w:asciiTheme="majorHAnsi" w:hAnsiTheme="majorHAnsi"/>
          <w:sz w:val="20"/>
          <w:szCs w:val="20"/>
        </w:rPr>
        <w:t>допуску до відповідних робіт або не виконують вимог</w:t>
      </w:r>
      <w:r w:rsidRPr="000977F7">
        <w:rPr>
          <w:rFonts w:asciiTheme="majorHAnsi" w:hAnsiTheme="majorHAnsi"/>
          <w:spacing w:val="-47"/>
          <w:sz w:val="20"/>
          <w:szCs w:val="20"/>
        </w:rPr>
        <w:t xml:space="preserve"> </w:t>
      </w:r>
      <w:r w:rsidRPr="000977F7">
        <w:rPr>
          <w:rFonts w:asciiTheme="majorHAnsi" w:hAnsiTheme="majorHAnsi"/>
          <w:sz w:val="20"/>
          <w:szCs w:val="20"/>
        </w:rPr>
        <w:t>нормативно-правових</w:t>
      </w:r>
      <w:r w:rsidRPr="000977F7">
        <w:rPr>
          <w:rFonts w:asciiTheme="majorHAnsi" w:hAnsiTheme="majorHAnsi"/>
          <w:spacing w:val="-2"/>
          <w:sz w:val="20"/>
          <w:szCs w:val="20"/>
        </w:rPr>
        <w:t xml:space="preserve"> </w:t>
      </w:r>
      <w:r w:rsidRPr="000977F7">
        <w:rPr>
          <w:rFonts w:asciiTheme="majorHAnsi" w:hAnsiTheme="majorHAnsi"/>
          <w:sz w:val="20"/>
          <w:szCs w:val="20"/>
        </w:rPr>
        <w:t>актів</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2"/>
          <w:sz w:val="20"/>
          <w:szCs w:val="20"/>
        </w:rPr>
        <w:t xml:space="preserve"> </w:t>
      </w:r>
      <w:r w:rsidRPr="000977F7">
        <w:rPr>
          <w:rFonts w:asciiTheme="majorHAnsi" w:hAnsiTheme="majorHAnsi"/>
          <w:sz w:val="20"/>
          <w:szCs w:val="20"/>
        </w:rPr>
        <w:t>праці;</w:t>
      </w:r>
    </w:p>
    <w:p w14:paraId="38DA95C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зупиняти роботу виробництва, дільниці, машин, механізмів,</w:t>
      </w:r>
      <w:r w:rsidRPr="000977F7">
        <w:rPr>
          <w:rFonts w:asciiTheme="majorHAnsi" w:hAnsiTheme="majorHAnsi"/>
          <w:spacing w:val="50"/>
          <w:sz w:val="20"/>
          <w:szCs w:val="20"/>
        </w:rPr>
        <w:t xml:space="preserve"> </w:t>
      </w:r>
      <w:r w:rsidRPr="000977F7">
        <w:rPr>
          <w:rFonts w:asciiTheme="majorHAnsi" w:hAnsiTheme="majorHAnsi"/>
          <w:sz w:val="20"/>
          <w:szCs w:val="20"/>
        </w:rPr>
        <w:t>устаткування та інших засобів 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у разі порушень, які створюють загрозу життю або</w:t>
      </w:r>
      <w:r w:rsidRPr="000977F7">
        <w:rPr>
          <w:rFonts w:asciiTheme="majorHAnsi" w:hAnsiTheme="majorHAnsi"/>
          <w:spacing w:val="1"/>
          <w:sz w:val="20"/>
          <w:szCs w:val="20"/>
        </w:rPr>
        <w:t xml:space="preserve"> </w:t>
      </w:r>
      <w:r w:rsidRPr="000977F7">
        <w:rPr>
          <w:rFonts w:asciiTheme="majorHAnsi" w:hAnsiTheme="majorHAnsi"/>
          <w:sz w:val="20"/>
          <w:szCs w:val="20"/>
        </w:rPr>
        <w:t>здоров'ю</w:t>
      </w:r>
      <w:r w:rsidRPr="000977F7">
        <w:rPr>
          <w:rFonts w:asciiTheme="majorHAnsi" w:hAnsiTheme="majorHAnsi"/>
          <w:spacing w:val="-1"/>
          <w:sz w:val="20"/>
          <w:szCs w:val="20"/>
        </w:rPr>
        <w:t xml:space="preserve"> </w:t>
      </w:r>
      <w:r w:rsidRPr="000977F7">
        <w:rPr>
          <w:rFonts w:asciiTheme="majorHAnsi" w:hAnsiTheme="majorHAnsi"/>
          <w:sz w:val="20"/>
          <w:szCs w:val="20"/>
        </w:rPr>
        <w:t>працюючих;</w:t>
      </w:r>
    </w:p>
    <w:p w14:paraId="34AFE84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надсилати роботодавцю подання про притягнення до</w:t>
      </w:r>
      <w:r w:rsidRPr="000977F7">
        <w:rPr>
          <w:rFonts w:asciiTheme="majorHAnsi" w:hAnsiTheme="majorHAnsi"/>
          <w:spacing w:val="1"/>
          <w:sz w:val="20"/>
          <w:szCs w:val="20"/>
        </w:rPr>
        <w:t xml:space="preserve"> </w:t>
      </w:r>
      <w:r w:rsidRPr="000977F7">
        <w:rPr>
          <w:rFonts w:asciiTheme="majorHAnsi" w:hAnsiTheme="majorHAnsi"/>
          <w:sz w:val="20"/>
          <w:szCs w:val="20"/>
        </w:rPr>
        <w:t>відповідальності працівників, які порушують вимоги</w:t>
      </w:r>
      <w:r w:rsidRPr="000977F7">
        <w:rPr>
          <w:rFonts w:asciiTheme="majorHAnsi" w:hAnsiTheme="majorHAnsi"/>
          <w:spacing w:val="1"/>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1"/>
          <w:sz w:val="20"/>
          <w:szCs w:val="20"/>
        </w:rPr>
        <w:t xml:space="preserve"> </w:t>
      </w:r>
      <w:r w:rsidRPr="000977F7">
        <w:rPr>
          <w:rFonts w:asciiTheme="majorHAnsi" w:hAnsiTheme="majorHAnsi"/>
          <w:sz w:val="20"/>
          <w:szCs w:val="20"/>
        </w:rPr>
        <w:t>праці.</w:t>
      </w:r>
    </w:p>
    <w:p w14:paraId="5B6FAD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Припис спеціаліста з охорони праці може скасувати</w:t>
      </w:r>
      <w:r w:rsidRPr="000977F7">
        <w:rPr>
          <w:rFonts w:asciiTheme="majorHAnsi" w:hAnsiTheme="majorHAnsi"/>
          <w:spacing w:val="1"/>
          <w:sz w:val="20"/>
          <w:szCs w:val="20"/>
        </w:rPr>
        <w:t xml:space="preserve"> </w:t>
      </w:r>
      <w:r w:rsidRPr="000977F7">
        <w:rPr>
          <w:rFonts w:asciiTheme="majorHAnsi" w:hAnsiTheme="majorHAnsi"/>
          <w:sz w:val="20"/>
          <w:szCs w:val="20"/>
        </w:rPr>
        <w:t>лише</w:t>
      </w:r>
      <w:r w:rsidRPr="000977F7">
        <w:rPr>
          <w:rFonts w:asciiTheme="majorHAnsi" w:hAnsiTheme="majorHAnsi"/>
          <w:spacing w:val="-1"/>
          <w:sz w:val="20"/>
          <w:szCs w:val="20"/>
        </w:rPr>
        <w:t xml:space="preserve"> </w:t>
      </w:r>
      <w:r w:rsidRPr="000977F7">
        <w:rPr>
          <w:rFonts w:asciiTheme="majorHAnsi" w:hAnsiTheme="majorHAnsi"/>
          <w:sz w:val="20"/>
          <w:szCs w:val="20"/>
        </w:rPr>
        <w:t>роботодавець.</w:t>
      </w:r>
    </w:p>
    <w:p w14:paraId="6672787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Ліквідація служби охорони праці допускається тільки</w:t>
      </w:r>
      <w:r w:rsidRPr="000977F7">
        <w:rPr>
          <w:rFonts w:asciiTheme="majorHAnsi" w:hAnsiTheme="majorHAnsi"/>
          <w:spacing w:val="-47"/>
          <w:sz w:val="20"/>
          <w:szCs w:val="20"/>
        </w:rPr>
        <w:t xml:space="preserve"> </w:t>
      </w:r>
      <w:r w:rsidRPr="000977F7">
        <w:rPr>
          <w:rFonts w:asciiTheme="majorHAnsi" w:hAnsiTheme="majorHAnsi"/>
          <w:sz w:val="20"/>
          <w:szCs w:val="20"/>
        </w:rPr>
        <w:t>у разі ліквідації підприємства чи припинення використання</w:t>
      </w:r>
      <w:r w:rsidRPr="000977F7">
        <w:rPr>
          <w:rFonts w:asciiTheme="majorHAnsi" w:hAnsiTheme="majorHAnsi"/>
          <w:spacing w:val="-2"/>
          <w:sz w:val="20"/>
          <w:szCs w:val="20"/>
        </w:rPr>
        <w:t xml:space="preserve"> </w:t>
      </w:r>
      <w:r w:rsidRPr="000977F7">
        <w:rPr>
          <w:rFonts w:asciiTheme="majorHAnsi" w:hAnsiTheme="majorHAnsi"/>
          <w:sz w:val="20"/>
          <w:szCs w:val="20"/>
        </w:rPr>
        <w:t>найманої</w:t>
      </w:r>
      <w:r w:rsidRPr="000977F7">
        <w:rPr>
          <w:rFonts w:asciiTheme="majorHAnsi" w:hAnsiTheme="majorHAnsi"/>
          <w:spacing w:val="1"/>
          <w:sz w:val="20"/>
          <w:szCs w:val="20"/>
        </w:rPr>
        <w:t xml:space="preserve"> </w:t>
      </w:r>
      <w:r w:rsidRPr="000977F7">
        <w:rPr>
          <w:rFonts w:asciiTheme="majorHAnsi" w:hAnsiTheme="majorHAnsi"/>
          <w:sz w:val="20"/>
          <w:szCs w:val="20"/>
        </w:rPr>
        <w:t>праці</w:t>
      </w:r>
      <w:r w:rsidRPr="000977F7">
        <w:rPr>
          <w:rFonts w:asciiTheme="majorHAnsi" w:hAnsiTheme="majorHAnsi"/>
          <w:spacing w:val="-1"/>
          <w:sz w:val="20"/>
          <w:szCs w:val="20"/>
        </w:rPr>
        <w:t xml:space="preserve"> </w:t>
      </w:r>
      <w:r w:rsidRPr="000977F7">
        <w:rPr>
          <w:rFonts w:asciiTheme="majorHAnsi" w:hAnsiTheme="majorHAnsi"/>
          <w:sz w:val="20"/>
          <w:szCs w:val="20"/>
        </w:rPr>
        <w:t>фізичною</w:t>
      </w:r>
      <w:r w:rsidRPr="000977F7">
        <w:rPr>
          <w:rFonts w:asciiTheme="majorHAnsi" w:hAnsiTheme="majorHAnsi"/>
          <w:spacing w:val="-1"/>
          <w:sz w:val="20"/>
          <w:szCs w:val="20"/>
        </w:rPr>
        <w:t xml:space="preserve"> </w:t>
      </w:r>
      <w:r w:rsidRPr="000977F7">
        <w:rPr>
          <w:rFonts w:asciiTheme="majorHAnsi" w:hAnsiTheme="majorHAnsi"/>
          <w:sz w:val="20"/>
          <w:szCs w:val="20"/>
        </w:rPr>
        <w:t>особою.</w:t>
      </w:r>
    </w:p>
    <w:p w14:paraId="5085020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2"/>
          <w:sz w:val="20"/>
          <w:szCs w:val="20"/>
        </w:rPr>
        <w:t xml:space="preserve"> </w:t>
      </w:r>
      <w:r w:rsidRPr="000977F7">
        <w:rPr>
          <w:rFonts w:asciiTheme="majorHAnsi" w:hAnsiTheme="majorHAnsi"/>
          <w:i/>
          <w:sz w:val="20"/>
          <w:szCs w:val="20"/>
        </w:rPr>
        <w:t>15закону</w:t>
      </w:r>
      <w:r w:rsidRPr="000977F7">
        <w:rPr>
          <w:rFonts w:asciiTheme="majorHAnsi" w:hAnsiTheme="majorHAnsi"/>
          <w:i/>
          <w:spacing w:val="-3"/>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2"/>
          <w:sz w:val="20"/>
          <w:szCs w:val="20"/>
        </w:rPr>
        <w:t xml:space="preserve"> </w:t>
      </w:r>
      <w:r w:rsidRPr="000977F7">
        <w:rPr>
          <w:rFonts w:asciiTheme="majorHAnsi" w:hAnsiTheme="majorHAnsi"/>
          <w:i/>
          <w:sz w:val="20"/>
          <w:szCs w:val="20"/>
        </w:rPr>
        <w:t>«Про</w:t>
      </w:r>
      <w:r w:rsidRPr="000977F7">
        <w:rPr>
          <w:rFonts w:asciiTheme="majorHAnsi" w:hAnsiTheme="majorHAnsi"/>
          <w:i/>
          <w:spacing w:val="-3"/>
          <w:sz w:val="20"/>
          <w:szCs w:val="20"/>
        </w:rPr>
        <w:t xml:space="preserve"> </w:t>
      </w:r>
      <w:r w:rsidRPr="000977F7">
        <w:rPr>
          <w:rFonts w:asciiTheme="majorHAnsi" w:hAnsiTheme="majorHAnsi"/>
          <w:i/>
          <w:sz w:val="20"/>
          <w:szCs w:val="20"/>
        </w:rPr>
        <w:t>охорону</w:t>
      </w:r>
      <w:r w:rsidRPr="000977F7">
        <w:rPr>
          <w:rFonts w:asciiTheme="majorHAnsi" w:hAnsiTheme="majorHAnsi"/>
          <w:i/>
          <w:spacing w:val="-3"/>
          <w:sz w:val="20"/>
          <w:szCs w:val="20"/>
        </w:rPr>
        <w:t xml:space="preserve"> </w:t>
      </w:r>
      <w:r w:rsidRPr="000977F7">
        <w:rPr>
          <w:rFonts w:asciiTheme="majorHAnsi" w:hAnsiTheme="majorHAnsi"/>
          <w:i/>
          <w:sz w:val="20"/>
          <w:szCs w:val="20"/>
        </w:rPr>
        <w:t>праці»</w:t>
      </w:r>
    </w:p>
    <w:p w14:paraId="19AB2C8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СЛЮСАРНЕ</w:t>
      </w:r>
      <w:r w:rsidRPr="000977F7">
        <w:rPr>
          <w:color w:val="auto"/>
          <w:spacing w:val="-6"/>
          <w:sz w:val="20"/>
          <w:szCs w:val="20"/>
        </w:rPr>
        <w:t xml:space="preserve"> </w:t>
      </w:r>
      <w:r w:rsidRPr="000977F7">
        <w:rPr>
          <w:color w:val="auto"/>
          <w:sz w:val="20"/>
          <w:szCs w:val="20"/>
        </w:rPr>
        <w:t>ОБРОБЛЕННЯ</w:t>
      </w:r>
      <w:r w:rsidRPr="000977F7">
        <w:rPr>
          <w:color w:val="auto"/>
          <w:spacing w:val="-2"/>
          <w:sz w:val="20"/>
          <w:szCs w:val="20"/>
        </w:rPr>
        <w:t xml:space="preserve"> </w:t>
      </w:r>
      <w:r w:rsidRPr="000977F7">
        <w:rPr>
          <w:color w:val="auto"/>
          <w:sz w:val="20"/>
          <w:szCs w:val="20"/>
        </w:rPr>
        <w:t>–</w:t>
      </w:r>
    </w:p>
    <w:p w14:paraId="56D8A9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Оброблення, яке виконують ручним інструментом чи</w:t>
      </w:r>
      <w:r w:rsidRPr="000977F7">
        <w:rPr>
          <w:rFonts w:asciiTheme="majorHAnsi" w:hAnsiTheme="majorHAnsi"/>
          <w:spacing w:val="1"/>
          <w:sz w:val="20"/>
          <w:szCs w:val="20"/>
        </w:rPr>
        <w:t xml:space="preserve"> </w:t>
      </w:r>
      <w:r w:rsidRPr="000977F7">
        <w:rPr>
          <w:rFonts w:asciiTheme="majorHAnsi" w:hAnsiTheme="majorHAnsi"/>
          <w:sz w:val="20"/>
          <w:szCs w:val="20"/>
        </w:rPr>
        <w:t>машиною</w:t>
      </w:r>
      <w:r w:rsidRPr="000977F7">
        <w:rPr>
          <w:rFonts w:asciiTheme="majorHAnsi" w:hAnsiTheme="majorHAnsi"/>
          <w:spacing w:val="-1"/>
          <w:sz w:val="20"/>
          <w:szCs w:val="20"/>
        </w:rPr>
        <w:t xml:space="preserve"> </w:t>
      </w:r>
      <w:r w:rsidRPr="000977F7">
        <w:rPr>
          <w:rFonts w:asciiTheme="majorHAnsi" w:hAnsiTheme="majorHAnsi"/>
          <w:sz w:val="20"/>
          <w:szCs w:val="20"/>
        </w:rPr>
        <w:t>ручної</w:t>
      </w:r>
      <w:r w:rsidRPr="000977F7">
        <w:rPr>
          <w:rFonts w:asciiTheme="majorHAnsi" w:hAnsiTheme="majorHAnsi"/>
          <w:spacing w:val="1"/>
          <w:sz w:val="20"/>
          <w:szCs w:val="20"/>
        </w:rPr>
        <w:t xml:space="preserve"> </w:t>
      </w:r>
      <w:r w:rsidRPr="000977F7">
        <w:rPr>
          <w:rFonts w:asciiTheme="majorHAnsi" w:hAnsiTheme="majorHAnsi"/>
          <w:sz w:val="20"/>
          <w:szCs w:val="20"/>
        </w:rPr>
        <w:t>дії</w:t>
      </w:r>
    </w:p>
    <w:p w14:paraId="50E058D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49BD940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СМУГА</w:t>
      </w:r>
      <w:r w:rsidRPr="000977F7">
        <w:rPr>
          <w:color w:val="auto"/>
          <w:spacing w:val="-3"/>
          <w:sz w:val="20"/>
          <w:szCs w:val="20"/>
        </w:rPr>
        <w:t xml:space="preserve"> </w:t>
      </w:r>
      <w:r w:rsidRPr="000977F7">
        <w:rPr>
          <w:color w:val="auto"/>
          <w:sz w:val="20"/>
          <w:szCs w:val="20"/>
        </w:rPr>
        <w:t>ПРОПУСКАННЯ</w:t>
      </w:r>
      <w:r w:rsidRPr="000977F7">
        <w:rPr>
          <w:color w:val="auto"/>
          <w:spacing w:val="-1"/>
          <w:sz w:val="20"/>
          <w:szCs w:val="20"/>
        </w:rPr>
        <w:t xml:space="preserve"> </w:t>
      </w:r>
      <w:r w:rsidRPr="000977F7">
        <w:rPr>
          <w:color w:val="auto"/>
          <w:sz w:val="20"/>
          <w:szCs w:val="20"/>
        </w:rPr>
        <w:t>–</w:t>
      </w:r>
    </w:p>
    <w:p w14:paraId="08E50C3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PASS</w:t>
      </w:r>
      <w:r w:rsidRPr="000977F7">
        <w:rPr>
          <w:rFonts w:asciiTheme="majorHAnsi" w:hAnsiTheme="majorHAnsi"/>
          <w:spacing w:val="-3"/>
          <w:sz w:val="20"/>
          <w:szCs w:val="20"/>
        </w:rPr>
        <w:t xml:space="preserve"> </w:t>
      </w:r>
      <w:r w:rsidRPr="000977F7">
        <w:rPr>
          <w:rFonts w:asciiTheme="majorHAnsi" w:hAnsiTheme="majorHAnsi"/>
          <w:sz w:val="20"/>
          <w:szCs w:val="20"/>
        </w:rPr>
        <w:t>BAND</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6135A5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Діапазон частот від нуля до частоти, за якої модуль</w:t>
      </w:r>
      <w:r w:rsidRPr="000977F7">
        <w:rPr>
          <w:rFonts w:asciiTheme="majorHAnsi" w:hAnsiTheme="majorHAnsi"/>
          <w:spacing w:val="1"/>
          <w:sz w:val="20"/>
          <w:szCs w:val="20"/>
        </w:rPr>
        <w:t xml:space="preserve"> </w:t>
      </w:r>
      <w:r w:rsidRPr="000977F7">
        <w:rPr>
          <w:rFonts w:asciiTheme="majorHAnsi" w:hAnsiTheme="majorHAnsi"/>
          <w:sz w:val="20"/>
          <w:szCs w:val="20"/>
        </w:rPr>
        <w:t>частотної передавальної функції набуває значення, що</w:t>
      </w:r>
      <w:r w:rsidRPr="000977F7">
        <w:rPr>
          <w:rFonts w:asciiTheme="majorHAnsi" w:hAnsiTheme="majorHAnsi"/>
          <w:spacing w:val="-47"/>
          <w:sz w:val="20"/>
          <w:szCs w:val="20"/>
        </w:rPr>
        <w:t xml:space="preserve"> </w:t>
      </w:r>
      <w:r w:rsidRPr="000977F7">
        <w:rPr>
          <w:rFonts w:asciiTheme="majorHAnsi" w:hAnsiTheme="majorHAnsi"/>
          <w:sz w:val="20"/>
          <w:szCs w:val="20"/>
        </w:rPr>
        <w:t>становить 70,7% від значення цього самого модуля за</w:t>
      </w:r>
      <w:r w:rsidRPr="000977F7">
        <w:rPr>
          <w:rFonts w:asciiTheme="majorHAnsi" w:hAnsiTheme="majorHAnsi"/>
          <w:spacing w:val="1"/>
          <w:sz w:val="20"/>
          <w:szCs w:val="20"/>
        </w:rPr>
        <w:t xml:space="preserve"> </w:t>
      </w:r>
      <w:r w:rsidRPr="000977F7">
        <w:rPr>
          <w:rFonts w:asciiTheme="majorHAnsi" w:hAnsiTheme="majorHAnsi"/>
          <w:sz w:val="20"/>
          <w:szCs w:val="20"/>
        </w:rPr>
        <w:t>частоти,</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3"/>
          <w:sz w:val="20"/>
          <w:szCs w:val="20"/>
        </w:rPr>
        <w:t xml:space="preserve"> </w:t>
      </w:r>
      <w:r w:rsidRPr="000977F7">
        <w:rPr>
          <w:rFonts w:asciiTheme="majorHAnsi" w:hAnsiTheme="majorHAnsi"/>
          <w:sz w:val="20"/>
          <w:szCs w:val="20"/>
        </w:rPr>
        <w:t>дорівнює</w:t>
      </w:r>
      <w:r w:rsidRPr="000977F7">
        <w:rPr>
          <w:rFonts w:asciiTheme="majorHAnsi" w:hAnsiTheme="majorHAnsi"/>
          <w:spacing w:val="2"/>
          <w:sz w:val="20"/>
          <w:szCs w:val="20"/>
        </w:rPr>
        <w:t xml:space="preserve"> </w:t>
      </w:r>
      <w:r w:rsidRPr="000977F7">
        <w:rPr>
          <w:rFonts w:asciiTheme="majorHAnsi" w:hAnsiTheme="majorHAnsi"/>
          <w:sz w:val="20"/>
          <w:szCs w:val="20"/>
        </w:rPr>
        <w:t>нулю</w:t>
      </w:r>
    </w:p>
    <w:p w14:paraId="3F7EE30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01D8485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СОРТ</w:t>
      </w:r>
      <w:r w:rsidRPr="000977F7">
        <w:rPr>
          <w:color w:val="auto"/>
          <w:spacing w:val="-2"/>
          <w:sz w:val="20"/>
          <w:szCs w:val="20"/>
        </w:rPr>
        <w:t xml:space="preserve"> </w:t>
      </w:r>
      <w:r w:rsidRPr="000977F7">
        <w:rPr>
          <w:color w:val="auto"/>
          <w:sz w:val="20"/>
          <w:szCs w:val="20"/>
        </w:rPr>
        <w:t>–</w:t>
      </w:r>
    </w:p>
    <w:p w14:paraId="615B8E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Категорія, або ранг, що призначається об’єктам, які</w:t>
      </w:r>
      <w:r w:rsidRPr="000977F7">
        <w:rPr>
          <w:rFonts w:asciiTheme="majorHAnsi" w:hAnsiTheme="majorHAnsi"/>
          <w:spacing w:val="1"/>
          <w:sz w:val="20"/>
          <w:szCs w:val="20"/>
        </w:rPr>
        <w:t xml:space="preserve"> </w:t>
      </w:r>
      <w:r w:rsidRPr="000977F7">
        <w:rPr>
          <w:rFonts w:asciiTheme="majorHAnsi" w:hAnsiTheme="majorHAnsi"/>
          <w:sz w:val="20"/>
          <w:szCs w:val="20"/>
        </w:rPr>
        <w:t>мають одне й те саме функціональне 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але</w:t>
      </w:r>
      <w:r w:rsidRPr="000977F7">
        <w:rPr>
          <w:rFonts w:asciiTheme="majorHAnsi" w:hAnsiTheme="majorHAnsi"/>
          <w:spacing w:val="-1"/>
          <w:sz w:val="20"/>
          <w:szCs w:val="20"/>
        </w:rPr>
        <w:t xml:space="preserve"> </w:t>
      </w:r>
      <w:r w:rsidRPr="000977F7">
        <w:rPr>
          <w:rFonts w:asciiTheme="majorHAnsi" w:hAnsiTheme="majorHAnsi"/>
          <w:sz w:val="20"/>
          <w:szCs w:val="20"/>
        </w:rPr>
        <w:t>різні</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до якості</w:t>
      </w:r>
    </w:p>
    <w:p w14:paraId="107AFD8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
          <w:w w:val="99"/>
          <w:sz w:val="20"/>
          <w:szCs w:val="20"/>
        </w:rPr>
        <w:t>Ке</w:t>
      </w:r>
      <w:r w:rsidRPr="000977F7">
        <w:rPr>
          <w:rFonts w:asciiTheme="majorHAnsi" w:hAnsiTheme="majorHAnsi"/>
          <w:i/>
          <w:w w:val="99"/>
          <w:sz w:val="20"/>
          <w:szCs w:val="20"/>
        </w:rPr>
        <w:t>р.</w:t>
      </w:r>
      <w:r w:rsidRPr="000977F7">
        <w:rPr>
          <w:rFonts w:asciiTheme="majorHAnsi" w:hAnsiTheme="majorHAnsi"/>
          <w:i/>
          <w:sz w:val="20"/>
          <w:szCs w:val="20"/>
        </w:rPr>
        <w:t xml:space="preserve"> </w:t>
      </w:r>
      <w:r w:rsidRPr="000977F7">
        <w:rPr>
          <w:rFonts w:asciiTheme="majorHAnsi" w:hAnsiTheme="majorHAnsi"/>
          <w:i/>
          <w:spacing w:val="1"/>
          <w:w w:val="99"/>
          <w:sz w:val="20"/>
          <w:szCs w:val="20"/>
        </w:rPr>
        <w:t>про</w:t>
      </w:r>
      <w:r w:rsidRPr="000977F7">
        <w:rPr>
          <w:rFonts w:asciiTheme="majorHAnsi" w:hAnsiTheme="majorHAnsi"/>
          <w:i/>
          <w:w w:val="99"/>
          <w:sz w:val="20"/>
          <w:szCs w:val="20"/>
        </w:rPr>
        <w:t>ек</w:t>
      </w:r>
      <w:r w:rsidRPr="000977F7">
        <w:rPr>
          <w:rFonts w:asciiTheme="majorHAnsi" w:hAnsiTheme="majorHAnsi"/>
          <w:i/>
          <w:spacing w:val="-1"/>
          <w:w w:val="99"/>
          <w:sz w:val="20"/>
          <w:szCs w:val="20"/>
        </w:rPr>
        <w:t>тн</w:t>
      </w:r>
      <w:r w:rsidRPr="000977F7">
        <w:rPr>
          <w:rFonts w:asciiTheme="majorHAnsi" w:hAnsiTheme="majorHAnsi"/>
          <w:i/>
          <w:w w:val="99"/>
          <w:sz w:val="20"/>
          <w:szCs w:val="20"/>
        </w:rPr>
        <w:t>.</w:t>
      </w:r>
      <w:r w:rsidRPr="000977F7">
        <w:rPr>
          <w:rFonts w:asciiTheme="majorHAnsi" w:hAnsiTheme="majorHAnsi"/>
          <w:i/>
          <w:sz w:val="20"/>
          <w:szCs w:val="20"/>
        </w:rPr>
        <w:t xml:space="preserve"> </w:t>
      </w:r>
      <w:r w:rsidRPr="000977F7">
        <w:rPr>
          <w:rFonts w:asciiTheme="majorHAnsi" w:hAnsiTheme="majorHAnsi"/>
          <w:i/>
          <w:spacing w:val="-1"/>
          <w:w w:val="99"/>
          <w:sz w:val="20"/>
          <w:szCs w:val="20"/>
        </w:rPr>
        <w:t>менеджм</w:t>
      </w:r>
      <w:r w:rsidRPr="000977F7">
        <w:rPr>
          <w:rFonts w:asciiTheme="majorHAnsi" w:hAnsiTheme="majorHAnsi"/>
          <w:i/>
          <w:spacing w:val="3"/>
          <w:w w:val="99"/>
          <w:sz w:val="20"/>
          <w:szCs w:val="20"/>
        </w:rPr>
        <w:t>.</w:t>
      </w:r>
      <w:r w:rsidRPr="000977F7">
        <w:rPr>
          <w:rFonts w:asciiTheme="majorHAnsi" w:hAnsiTheme="majorHAnsi"/>
          <w:i/>
          <w:w w:val="99"/>
          <w:sz w:val="20"/>
          <w:szCs w:val="20"/>
        </w:rPr>
        <w:t>-</w:t>
      </w:r>
      <w:r w:rsidRPr="000977F7">
        <w:rPr>
          <w:rFonts w:asciiTheme="majorHAnsi" w:hAnsiTheme="majorHAnsi"/>
          <w:i/>
          <w:spacing w:val="2"/>
          <w:w w:val="99"/>
          <w:sz w:val="20"/>
          <w:szCs w:val="20"/>
        </w:rPr>
        <w:t>т</w:t>
      </w:r>
      <w:r w:rsidRPr="000977F7">
        <w:rPr>
          <w:rFonts w:asciiTheme="majorHAnsi" w:hAnsiTheme="majorHAnsi"/>
          <w:i/>
          <w:w w:val="137"/>
          <w:sz w:val="20"/>
          <w:szCs w:val="20"/>
        </w:rPr>
        <w:t>у‖</w:t>
      </w:r>
    </w:p>
    <w:p w14:paraId="595DAC8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СОРТ</w:t>
      </w:r>
      <w:r w:rsidRPr="000977F7">
        <w:rPr>
          <w:color w:val="auto"/>
          <w:spacing w:val="-4"/>
          <w:sz w:val="20"/>
          <w:szCs w:val="20"/>
        </w:rPr>
        <w:t xml:space="preserve"> </w:t>
      </w:r>
      <w:r w:rsidRPr="000977F7">
        <w:rPr>
          <w:color w:val="auto"/>
          <w:sz w:val="20"/>
          <w:szCs w:val="20"/>
        </w:rPr>
        <w:t>ПРОДУКЦІЇ-</w:t>
      </w:r>
    </w:p>
    <w:p w14:paraId="79B10B5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Градація продукції певного виду за одним чи декількома показниками якості, які визначено у нормативному</w:t>
      </w:r>
      <w:r w:rsidRPr="000977F7">
        <w:rPr>
          <w:rFonts w:asciiTheme="majorHAnsi" w:hAnsiTheme="majorHAnsi"/>
          <w:spacing w:val="-5"/>
          <w:sz w:val="20"/>
          <w:szCs w:val="20"/>
        </w:rPr>
        <w:t xml:space="preserve"> </w:t>
      </w:r>
      <w:r w:rsidRPr="000977F7">
        <w:rPr>
          <w:rFonts w:asciiTheme="majorHAnsi" w:hAnsiTheme="majorHAnsi"/>
          <w:sz w:val="20"/>
          <w:szCs w:val="20"/>
        </w:rPr>
        <w:t>документі</w:t>
      </w:r>
    </w:p>
    <w:p w14:paraId="180BEC7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95</w:t>
      </w:r>
    </w:p>
    <w:p w14:paraId="1C7B09A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СОЦІАЛЬНО – ПСИХОЛОГІЧНІ МЕТОДИ </w:t>
      </w:r>
    </w:p>
    <w:p w14:paraId="372E8B5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КЕ</w:t>
      </w:r>
      <w:r w:rsidRPr="000977F7">
        <w:rPr>
          <w:color w:val="auto"/>
          <w:spacing w:val="-47"/>
          <w:sz w:val="20"/>
          <w:szCs w:val="20"/>
        </w:rPr>
        <w:t xml:space="preserve"> </w:t>
      </w:r>
      <w:r w:rsidRPr="000977F7">
        <w:rPr>
          <w:color w:val="auto"/>
          <w:sz w:val="20"/>
          <w:szCs w:val="20"/>
        </w:rPr>
        <w:t>РУВАННЯ –</w:t>
      </w:r>
    </w:p>
    <w:p w14:paraId="0FA42E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Способи та заходи непрямого впливу на процес формування та розвитку колективу, соціально психологічні процеси, що відбуваються в ньому</w:t>
      </w:r>
    </w:p>
    <w:p w14:paraId="288B1B5B"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2960 – 94</w:t>
      </w:r>
    </w:p>
    <w:p w14:paraId="7BA54AB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СОЦІОЛОГІЧНИЙ</w:t>
      </w:r>
      <w:r w:rsidRPr="000977F7">
        <w:rPr>
          <w:color w:val="auto"/>
          <w:spacing w:val="1"/>
          <w:sz w:val="20"/>
          <w:szCs w:val="20"/>
        </w:rPr>
        <w:t xml:space="preserve"> </w:t>
      </w:r>
      <w:r w:rsidRPr="000977F7">
        <w:rPr>
          <w:color w:val="auto"/>
          <w:sz w:val="20"/>
          <w:szCs w:val="20"/>
        </w:rPr>
        <w:t>МЕТОД</w:t>
      </w:r>
      <w:r w:rsidRPr="000977F7">
        <w:rPr>
          <w:color w:val="auto"/>
          <w:spacing w:val="1"/>
          <w:sz w:val="20"/>
          <w:szCs w:val="20"/>
        </w:rPr>
        <w:t xml:space="preserve"> </w:t>
      </w:r>
      <w:r w:rsidRPr="000977F7">
        <w:rPr>
          <w:color w:val="auto"/>
          <w:sz w:val="20"/>
          <w:szCs w:val="20"/>
        </w:rPr>
        <w:t>ВИЗНАЧЕННЯ</w:t>
      </w:r>
      <w:r w:rsidRPr="000977F7">
        <w:rPr>
          <w:color w:val="auto"/>
          <w:spacing w:val="1"/>
          <w:sz w:val="20"/>
          <w:szCs w:val="20"/>
        </w:rPr>
        <w:t xml:space="preserve"> </w:t>
      </w:r>
      <w:r w:rsidRPr="000977F7">
        <w:rPr>
          <w:color w:val="auto"/>
          <w:sz w:val="20"/>
          <w:szCs w:val="20"/>
        </w:rPr>
        <w:t>ПОКАЗНИКІВ</w:t>
      </w:r>
      <w:r w:rsidRPr="000977F7">
        <w:rPr>
          <w:color w:val="auto"/>
          <w:spacing w:val="1"/>
          <w:sz w:val="20"/>
          <w:szCs w:val="20"/>
        </w:rPr>
        <w:t xml:space="preserve"> </w:t>
      </w:r>
      <w:r w:rsidRPr="000977F7">
        <w:rPr>
          <w:color w:val="auto"/>
          <w:sz w:val="20"/>
          <w:szCs w:val="20"/>
        </w:rPr>
        <w:t>ЯКОСТІ</w:t>
      </w:r>
      <w:r w:rsidRPr="000977F7">
        <w:rPr>
          <w:color w:val="auto"/>
          <w:spacing w:val="1"/>
          <w:sz w:val="20"/>
          <w:szCs w:val="20"/>
        </w:rPr>
        <w:t xml:space="preserve"> </w:t>
      </w:r>
      <w:r w:rsidRPr="000977F7">
        <w:rPr>
          <w:color w:val="auto"/>
          <w:sz w:val="20"/>
          <w:szCs w:val="20"/>
        </w:rPr>
        <w:t xml:space="preserve">ПРОГРАМНОГО </w:t>
      </w:r>
    </w:p>
    <w:p w14:paraId="0F2F8A4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w:t>
      </w:r>
      <w:r w:rsidRPr="000977F7">
        <w:rPr>
          <w:color w:val="auto"/>
          <w:spacing w:val="-47"/>
          <w:sz w:val="20"/>
          <w:szCs w:val="20"/>
        </w:rPr>
        <w:t xml:space="preserve"> </w:t>
      </w:r>
      <w:r w:rsidRPr="000977F7">
        <w:rPr>
          <w:color w:val="auto"/>
          <w:sz w:val="20"/>
          <w:szCs w:val="20"/>
        </w:rPr>
        <w:t>СОБУ</w:t>
      </w:r>
      <w:r w:rsidRPr="000977F7">
        <w:rPr>
          <w:color w:val="auto"/>
          <w:spacing w:val="-1"/>
          <w:sz w:val="20"/>
          <w:szCs w:val="20"/>
        </w:rPr>
        <w:t xml:space="preserve"> </w:t>
      </w:r>
      <w:r w:rsidRPr="000977F7">
        <w:rPr>
          <w:color w:val="auto"/>
          <w:sz w:val="20"/>
          <w:szCs w:val="20"/>
        </w:rPr>
        <w:t>(ПРОДУКЦІЇ)</w:t>
      </w:r>
      <w:r w:rsidRPr="000977F7">
        <w:rPr>
          <w:color w:val="auto"/>
          <w:spacing w:val="3"/>
          <w:sz w:val="20"/>
          <w:szCs w:val="20"/>
        </w:rPr>
        <w:t xml:space="preserve"> </w:t>
      </w:r>
      <w:r w:rsidRPr="000977F7">
        <w:rPr>
          <w:color w:val="auto"/>
          <w:sz w:val="20"/>
          <w:szCs w:val="20"/>
        </w:rPr>
        <w:t>–</w:t>
      </w:r>
    </w:p>
    <w:p w14:paraId="2DD9545C" w14:textId="77777777" w:rsidR="0097612F" w:rsidRPr="000977F7" w:rsidRDefault="0097612F" w:rsidP="000977F7">
      <w:pPr>
        <w:pStyle w:val="af6"/>
        <w:tabs>
          <w:tab w:val="left" w:pos="284"/>
        </w:tabs>
        <w:spacing w:after="0"/>
        <w:ind w:left="170"/>
        <w:mirrorIndents/>
        <w:jc w:val="both"/>
        <w:rPr>
          <w:rFonts w:asciiTheme="majorHAnsi" w:hAnsiTheme="majorHAnsi"/>
          <w:spacing w:val="-3"/>
          <w:sz w:val="20"/>
          <w:szCs w:val="20"/>
        </w:rPr>
      </w:pPr>
      <w:r w:rsidRPr="000977F7">
        <w:rPr>
          <w:rFonts w:asciiTheme="majorHAnsi" w:hAnsiTheme="majorHAnsi"/>
          <w:spacing w:val="-1"/>
          <w:sz w:val="20"/>
          <w:szCs w:val="20"/>
        </w:rPr>
        <w:t>Метод</w:t>
      </w:r>
      <w:r w:rsidRPr="000977F7">
        <w:rPr>
          <w:rFonts w:asciiTheme="majorHAnsi" w:hAnsiTheme="majorHAnsi"/>
          <w:spacing w:val="1"/>
          <w:sz w:val="20"/>
          <w:szCs w:val="20"/>
        </w:rPr>
        <w:t xml:space="preserve"> </w:t>
      </w:r>
      <w:r w:rsidRPr="000977F7">
        <w:rPr>
          <w:rFonts w:asciiTheme="majorHAnsi" w:hAnsiTheme="majorHAnsi"/>
          <w:spacing w:val="-1"/>
          <w:sz w:val="20"/>
          <w:szCs w:val="20"/>
        </w:rPr>
        <w:t>визначення</w:t>
      </w:r>
      <w:r w:rsidRPr="000977F7">
        <w:rPr>
          <w:rFonts w:asciiTheme="majorHAnsi" w:hAnsiTheme="majorHAnsi"/>
          <w:spacing w:val="2"/>
          <w:sz w:val="20"/>
          <w:szCs w:val="20"/>
        </w:rPr>
        <w:t xml:space="preserve"> </w:t>
      </w:r>
      <w:r w:rsidRPr="000977F7">
        <w:rPr>
          <w:rFonts w:asciiTheme="majorHAnsi" w:hAnsiTheme="majorHAnsi"/>
          <w:spacing w:val="-1"/>
          <w:sz w:val="20"/>
          <w:szCs w:val="20"/>
        </w:rPr>
        <w:t>значень</w:t>
      </w:r>
      <w:r w:rsidRPr="000977F7">
        <w:rPr>
          <w:rFonts w:asciiTheme="majorHAnsi" w:hAnsiTheme="majorHAnsi"/>
          <w:spacing w:val="3"/>
          <w:sz w:val="20"/>
          <w:szCs w:val="20"/>
        </w:rPr>
        <w:t xml:space="preserve"> </w:t>
      </w:r>
      <w:r w:rsidRPr="000977F7">
        <w:rPr>
          <w:rFonts w:asciiTheme="majorHAnsi" w:hAnsiTheme="majorHAnsi"/>
          <w:spacing w:val="-1"/>
          <w:sz w:val="20"/>
          <w:szCs w:val="20"/>
        </w:rPr>
        <w:t>показників</w:t>
      </w:r>
      <w:r w:rsidRPr="000977F7">
        <w:rPr>
          <w:rFonts w:asciiTheme="majorHAnsi" w:hAnsiTheme="majorHAnsi"/>
          <w:spacing w:val="4"/>
          <w:sz w:val="20"/>
          <w:szCs w:val="20"/>
        </w:rPr>
        <w:t xml:space="preserve"> </w:t>
      </w:r>
      <w:r w:rsidRPr="000977F7">
        <w:rPr>
          <w:rFonts w:asciiTheme="majorHAnsi" w:hAnsiTheme="majorHAnsi"/>
          <w:spacing w:val="-1"/>
          <w:sz w:val="20"/>
          <w:szCs w:val="20"/>
        </w:rPr>
        <w:t>програмного</w:t>
      </w:r>
      <w:r w:rsidRPr="000977F7">
        <w:rPr>
          <w:rFonts w:asciiTheme="majorHAnsi" w:hAnsiTheme="majorHAnsi"/>
          <w:spacing w:val="3"/>
          <w:sz w:val="20"/>
          <w:szCs w:val="20"/>
        </w:rPr>
        <w:t xml:space="preserve"> </w:t>
      </w:r>
      <w:r w:rsidRPr="000977F7">
        <w:rPr>
          <w:rFonts w:asciiTheme="majorHAnsi" w:hAnsiTheme="majorHAnsi"/>
          <w:sz w:val="20"/>
          <w:szCs w:val="20"/>
        </w:rPr>
        <w:t>засобу (продукції), який здійснюється на основі збору та</w:t>
      </w:r>
      <w:r w:rsidRPr="000977F7">
        <w:rPr>
          <w:rFonts w:asciiTheme="majorHAnsi" w:hAnsiTheme="majorHAnsi"/>
          <w:spacing w:val="-48"/>
          <w:sz w:val="20"/>
          <w:szCs w:val="20"/>
        </w:rPr>
        <w:t xml:space="preserve"> </w:t>
      </w:r>
      <w:r w:rsidRPr="000977F7">
        <w:rPr>
          <w:rFonts w:asciiTheme="majorHAnsi" w:hAnsiTheme="majorHAnsi"/>
          <w:spacing w:val="-4"/>
          <w:sz w:val="20"/>
          <w:szCs w:val="20"/>
        </w:rPr>
        <w:t xml:space="preserve">аналізу думок її фактичних або можливих </w:t>
      </w:r>
      <w:r w:rsidRPr="000977F7">
        <w:rPr>
          <w:rFonts w:asciiTheme="majorHAnsi" w:hAnsiTheme="majorHAnsi"/>
          <w:spacing w:val="-3"/>
          <w:sz w:val="20"/>
          <w:szCs w:val="20"/>
        </w:rPr>
        <w:t>користувачів</w:t>
      </w:r>
    </w:p>
    <w:p w14:paraId="05862398"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2844 - 94</w:t>
      </w:r>
    </w:p>
    <w:p w14:paraId="06102D5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СПЕКТР</w:t>
      </w:r>
      <w:r w:rsidRPr="000977F7">
        <w:rPr>
          <w:color w:val="auto"/>
          <w:spacing w:val="-3"/>
          <w:sz w:val="20"/>
          <w:szCs w:val="20"/>
        </w:rPr>
        <w:t xml:space="preserve"> </w:t>
      </w:r>
      <w:r w:rsidRPr="000977F7">
        <w:rPr>
          <w:color w:val="auto"/>
          <w:sz w:val="20"/>
          <w:szCs w:val="20"/>
        </w:rPr>
        <w:t>ПЛАНУ</w:t>
      </w:r>
      <w:r w:rsidRPr="000977F7">
        <w:rPr>
          <w:color w:val="auto"/>
          <w:spacing w:val="-1"/>
          <w:sz w:val="20"/>
          <w:szCs w:val="20"/>
        </w:rPr>
        <w:t xml:space="preserve"> </w:t>
      </w:r>
      <w:r w:rsidRPr="000977F7">
        <w:rPr>
          <w:color w:val="auto"/>
          <w:sz w:val="20"/>
          <w:szCs w:val="20"/>
        </w:rPr>
        <w:t>–</w:t>
      </w:r>
    </w:p>
    <w:p w14:paraId="35A892D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всіх точок плану, що відрізняються рівнями</w:t>
      </w:r>
      <w:r w:rsidRPr="000977F7">
        <w:rPr>
          <w:rFonts w:asciiTheme="majorHAnsi" w:hAnsiTheme="majorHAnsi"/>
          <w:spacing w:val="-2"/>
          <w:sz w:val="20"/>
          <w:szCs w:val="20"/>
        </w:rPr>
        <w:t xml:space="preserve"> </w:t>
      </w:r>
      <w:r w:rsidRPr="000977F7">
        <w:rPr>
          <w:rFonts w:asciiTheme="majorHAnsi" w:hAnsiTheme="majorHAnsi"/>
          <w:sz w:val="20"/>
          <w:szCs w:val="20"/>
        </w:rPr>
        <w:t>хоча б</w:t>
      </w:r>
      <w:r w:rsidRPr="000977F7">
        <w:rPr>
          <w:rFonts w:asciiTheme="majorHAnsi" w:hAnsiTheme="majorHAnsi"/>
          <w:spacing w:val="-1"/>
          <w:sz w:val="20"/>
          <w:szCs w:val="20"/>
        </w:rPr>
        <w:t xml:space="preserve"> </w:t>
      </w:r>
      <w:r w:rsidRPr="000977F7">
        <w:rPr>
          <w:rFonts w:asciiTheme="majorHAnsi" w:hAnsiTheme="majorHAnsi"/>
          <w:sz w:val="20"/>
          <w:szCs w:val="20"/>
        </w:rPr>
        <w:t>одного</w:t>
      </w:r>
      <w:r w:rsidRPr="000977F7">
        <w:rPr>
          <w:rFonts w:asciiTheme="majorHAnsi" w:hAnsiTheme="majorHAnsi"/>
          <w:spacing w:val="1"/>
          <w:sz w:val="20"/>
          <w:szCs w:val="20"/>
        </w:rPr>
        <w:t xml:space="preserve"> </w:t>
      </w:r>
      <w:r w:rsidRPr="000977F7">
        <w:rPr>
          <w:rFonts w:asciiTheme="majorHAnsi" w:hAnsiTheme="majorHAnsi"/>
          <w:sz w:val="20"/>
          <w:szCs w:val="20"/>
        </w:rPr>
        <w:t>фактору</w:t>
      </w:r>
    </w:p>
    <w:p w14:paraId="1F15FDFA"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b/>
          <w:spacing w:val="-2"/>
          <w:sz w:val="20"/>
          <w:szCs w:val="20"/>
        </w:rPr>
        <w:t>СПЕКТРАЛЬНА ЩІЛЬНІСТЬ СТАЦІОНАРНОГО</w:t>
      </w:r>
      <w:r w:rsidRPr="000977F7">
        <w:rPr>
          <w:rFonts w:asciiTheme="majorHAnsi" w:hAnsiTheme="majorHAnsi"/>
          <w:b/>
          <w:spacing w:val="-47"/>
          <w:sz w:val="20"/>
          <w:szCs w:val="20"/>
        </w:rPr>
        <w:t xml:space="preserve"> </w:t>
      </w:r>
      <w:r w:rsidRPr="000977F7">
        <w:rPr>
          <w:rFonts w:asciiTheme="majorHAnsi" w:hAnsiTheme="majorHAnsi"/>
          <w:b/>
          <w:spacing w:val="-2"/>
          <w:sz w:val="20"/>
          <w:szCs w:val="20"/>
        </w:rPr>
        <w:t xml:space="preserve">ВИПАДКОВОГО НАВАНТАЖУВАННЯ, </w:t>
      </w:r>
      <w:r w:rsidRPr="000977F7">
        <w:rPr>
          <w:rFonts w:asciiTheme="majorHAnsi" w:hAnsiTheme="majorHAnsi"/>
          <w:b/>
          <w:i/>
          <w:spacing w:val="-1"/>
          <w:sz w:val="20"/>
          <w:szCs w:val="20"/>
        </w:rPr>
        <w:t>S</w:t>
      </w:r>
      <w:r w:rsidRPr="000977F7">
        <w:rPr>
          <w:rFonts w:asciiTheme="majorHAnsi" w:hAnsiTheme="majorHAnsi"/>
          <w:b/>
          <w:i/>
          <w:spacing w:val="-1"/>
          <w:sz w:val="20"/>
          <w:szCs w:val="20"/>
          <w:vertAlign w:val="subscript"/>
        </w:rPr>
        <w:t>x</w:t>
      </w:r>
      <w:r w:rsidRPr="000977F7">
        <w:rPr>
          <w:rFonts w:asciiTheme="majorHAnsi" w:hAnsiTheme="majorHAnsi"/>
          <w:b/>
          <w:i/>
          <w:spacing w:val="-1"/>
          <w:sz w:val="20"/>
          <w:szCs w:val="20"/>
        </w:rPr>
        <w:t xml:space="preserve">( </w:t>
      </w:r>
      <w:r w:rsidRPr="000977F7">
        <w:rPr>
          <w:rFonts w:asciiTheme="majorHAnsi" w:hAnsiTheme="majorHAnsi"/>
          <w:b/>
          <w:i/>
          <w:noProof/>
          <w:spacing w:val="-32"/>
          <w:position w:val="-4"/>
          <w:sz w:val="20"/>
          <w:szCs w:val="20"/>
          <w:lang w:eastAsia="ru-RU"/>
        </w:rPr>
        <w:drawing>
          <wp:inline distT="0" distB="0" distL="0" distR="0" wp14:anchorId="239CDC7A" wp14:editId="53C300E5">
            <wp:extent cx="141308" cy="131869"/>
            <wp:effectExtent l="0" t="0" r="0" b="0"/>
            <wp:docPr id="5167" name="image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84.png"/>
                    <pic:cNvPicPr/>
                  </pic:nvPicPr>
                  <pic:blipFill>
                    <a:blip r:embed="rId38" cstate="print"/>
                    <a:stretch>
                      <a:fillRect/>
                    </a:stretch>
                  </pic:blipFill>
                  <pic:spPr>
                    <a:xfrm>
                      <a:off x="0" y="0"/>
                      <a:ext cx="141308" cy="131869"/>
                    </a:xfrm>
                    <a:prstGeom prst="rect">
                      <a:avLst/>
                    </a:prstGeom>
                  </pic:spPr>
                </pic:pic>
              </a:graphicData>
            </a:graphic>
          </wp:inline>
        </w:drawing>
      </w:r>
      <w:r w:rsidRPr="000977F7">
        <w:rPr>
          <w:rFonts w:asciiTheme="majorHAnsi" w:hAnsiTheme="majorHAnsi"/>
          <w:b/>
          <w:i/>
          <w:sz w:val="20"/>
          <w:szCs w:val="20"/>
        </w:rPr>
        <w:t xml:space="preserve">) </w:t>
      </w:r>
      <w:r w:rsidRPr="000977F7">
        <w:rPr>
          <w:rFonts w:asciiTheme="majorHAnsi" w:hAnsiTheme="majorHAnsi"/>
          <w:sz w:val="20"/>
          <w:szCs w:val="20"/>
        </w:rPr>
        <w:t>–</w:t>
      </w:r>
    </w:p>
    <w:p w14:paraId="29BD1851"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POWER</w:t>
      </w:r>
      <w:r w:rsidRPr="004D2D14">
        <w:rPr>
          <w:rFonts w:asciiTheme="majorHAnsi" w:hAnsiTheme="majorHAnsi"/>
          <w:spacing w:val="40"/>
          <w:sz w:val="20"/>
          <w:szCs w:val="20"/>
          <w:lang w:val="en-US"/>
        </w:rPr>
        <w:t xml:space="preserve"> </w:t>
      </w:r>
      <w:r w:rsidRPr="004D2D14">
        <w:rPr>
          <w:rFonts w:asciiTheme="majorHAnsi" w:hAnsiTheme="majorHAnsi"/>
          <w:sz w:val="20"/>
          <w:szCs w:val="20"/>
          <w:lang w:val="en-US"/>
        </w:rPr>
        <w:t>SPECTRAL</w:t>
      </w:r>
      <w:r w:rsidRPr="004D2D14">
        <w:rPr>
          <w:rFonts w:asciiTheme="majorHAnsi" w:hAnsiTheme="majorHAnsi"/>
          <w:spacing w:val="42"/>
          <w:sz w:val="20"/>
          <w:szCs w:val="20"/>
          <w:lang w:val="en-US"/>
        </w:rPr>
        <w:t xml:space="preserve"> </w:t>
      </w:r>
      <w:r w:rsidRPr="004D2D14">
        <w:rPr>
          <w:rFonts w:asciiTheme="majorHAnsi" w:hAnsiTheme="majorHAnsi"/>
          <w:sz w:val="20"/>
          <w:szCs w:val="20"/>
          <w:lang w:val="en-US"/>
        </w:rPr>
        <w:t>DENSITY</w:t>
      </w:r>
      <w:r w:rsidRPr="004D2D14">
        <w:rPr>
          <w:rFonts w:asciiTheme="majorHAnsi" w:hAnsiTheme="majorHAnsi"/>
          <w:spacing w:val="41"/>
          <w:sz w:val="20"/>
          <w:szCs w:val="20"/>
          <w:lang w:val="en-US"/>
        </w:rPr>
        <w:t xml:space="preserve"> </w:t>
      </w:r>
      <w:r w:rsidRPr="004D2D14">
        <w:rPr>
          <w:rFonts w:asciiTheme="majorHAnsi" w:hAnsiTheme="majorHAnsi"/>
          <w:sz w:val="20"/>
          <w:szCs w:val="20"/>
          <w:lang w:val="en-US"/>
        </w:rPr>
        <w:t>FUNCTION</w:t>
      </w:r>
      <w:r w:rsidRPr="004D2D14">
        <w:rPr>
          <w:rFonts w:asciiTheme="majorHAnsi" w:hAnsiTheme="majorHAnsi"/>
          <w:spacing w:val="4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43"/>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STATIONARY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RANDOM LOADING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565AB39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Функція</w:t>
      </w:r>
      <w:r w:rsidRPr="004D2D14">
        <w:rPr>
          <w:rFonts w:asciiTheme="majorHAnsi" w:hAnsiTheme="majorHAnsi"/>
          <w:sz w:val="20"/>
          <w:szCs w:val="20"/>
          <w:lang w:val="en-US"/>
        </w:rPr>
        <w:t xml:space="preserve"> </w:t>
      </w:r>
      <w:r w:rsidRPr="000977F7">
        <w:rPr>
          <w:rFonts w:asciiTheme="majorHAnsi" w:hAnsiTheme="majorHAnsi"/>
          <w:sz w:val="20"/>
          <w:szCs w:val="20"/>
        </w:rPr>
        <w:t>частоти</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дорівнює</w:t>
      </w:r>
      <w:r w:rsidRPr="004D2D14">
        <w:rPr>
          <w:rFonts w:asciiTheme="majorHAnsi" w:hAnsiTheme="majorHAnsi"/>
          <w:sz w:val="20"/>
          <w:szCs w:val="20"/>
          <w:lang w:val="en-US"/>
        </w:rPr>
        <w:t xml:space="preserve"> </w:t>
      </w:r>
      <w:r w:rsidRPr="000977F7">
        <w:rPr>
          <w:rFonts w:asciiTheme="majorHAnsi" w:hAnsiTheme="majorHAnsi"/>
          <w:sz w:val="20"/>
          <w:szCs w:val="20"/>
        </w:rPr>
        <w:t>перетворенню</w:t>
      </w:r>
      <w:r w:rsidRPr="004D2D14">
        <w:rPr>
          <w:rFonts w:asciiTheme="majorHAnsi" w:hAnsiTheme="majorHAnsi"/>
          <w:sz w:val="20"/>
          <w:szCs w:val="20"/>
          <w:lang w:val="en-US"/>
        </w:rPr>
        <w:t xml:space="preserve"> </w:t>
      </w:r>
      <w:r w:rsidRPr="000977F7">
        <w:rPr>
          <w:rFonts w:asciiTheme="majorHAnsi" w:hAnsiTheme="majorHAnsi"/>
          <w:sz w:val="20"/>
          <w:szCs w:val="20"/>
        </w:rPr>
        <w:t>Фур</w:t>
      </w:r>
      <w:r w:rsidRPr="004D2D14">
        <w:rPr>
          <w:rFonts w:asciiTheme="majorHAnsi" w:hAnsiTheme="majorHAnsi"/>
          <w:sz w:val="20"/>
          <w:szCs w:val="20"/>
          <w:lang w:val="en-US"/>
        </w:rPr>
        <w:t>’</w:t>
      </w:r>
      <w:r w:rsidRPr="000977F7">
        <w:rPr>
          <w:rFonts w:asciiTheme="majorHAnsi" w:hAnsiTheme="majorHAnsi"/>
          <w:sz w:val="20"/>
          <w:szCs w:val="20"/>
        </w:rPr>
        <w:t>є</w:t>
      </w:r>
      <w:r w:rsidRPr="004D2D14">
        <w:rPr>
          <w:rFonts w:asciiTheme="majorHAnsi" w:hAnsiTheme="majorHAnsi"/>
          <w:spacing w:val="1"/>
          <w:sz w:val="20"/>
          <w:szCs w:val="20"/>
          <w:lang w:val="en-US"/>
        </w:rPr>
        <w:t xml:space="preserve"> </w:t>
      </w:r>
      <w:r w:rsidRPr="000977F7">
        <w:rPr>
          <w:rFonts w:asciiTheme="majorHAnsi" w:hAnsiTheme="majorHAnsi"/>
          <w:sz w:val="20"/>
          <w:szCs w:val="20"/>
        </w:rPr>
        <w:t>коваріаційної</w:t>
      </w:r>
      <w:r w:rsidRPr="004D2D14">
        <w:rPr>
          <w:rFonts w:asciiTheme="majorHAnsi" w:hAnsiTheme="majorHAnsi"/>
          <w:sz w:val="20"/>
          <w:szCs w:val="20"/>
          <w:lang w:val="en-US"/>
        </w:rPr>
        <w:t xml:space="preserve"> </w:t>
      </w:r>
      <w:r w:rsidRPr="000977F7">
        <w:rPr>
          <w:rFonts w:asciiTheme="majorHAnsi" w:hAnsiTheme="majorHAnsi"/>
          <w:sz w:val="20"/>
          <w:szCs w:val="20"/>
        </w:rPr>
        <w:t>функції</w:t>
      </w:r>
      <w:r w:rsidRPr="004D2D14">
        <w:rPr>
          <w:rFonts w:asciiTheme="majorHAnsi" w:hAnsiTheme="majorHAnsi"/>
          <w:sz w:val="20"/>
          <w:szCs w:val="20"/>
          <w:lang w:val="en-US"/>
        </w:rPr>
        <w:t xml:space="preserve"> </w:t>
      </w:r>
      <w:r w:rsidRPr="000977F7">
        <w:rPr>
          <w:rFonts w:asciiTheme="majorHAnsi" w:hAnsiTheme="majorHAnsi"/>
          <w:sz w:val="20"/>
          <w:szCs w:val="20"/>
        </w:rPr>
        <w:t>стаціонарного</w:t>
      </w:r>
      <w:r w:rsidRPr="004D2D14">
        <w:rPr>
          <w:rFonts w:asciiTheme="majorHAnsi" w:hAnsiTheme="majorHAnsi"/>
          <w:sz w:val="20"/>
          <w:szCs w:val="20"/>
          <w:lang w:val="en-US"/>
        </w:rPr>
        <w:t xml:space="preserve"> </w:t>
      </w:r>
      <w:r w:rsidRPr="000977F7">
        <w:rPr>
          <w:rFonts w:asciiTheme="majorHAnsi" w:hAnsiTheme="majorHAnsi"/>
          <w:sz w:val="20"/>
          <w:szCs w:val="20"/>
        </w:rPr>
        <w:t>випадкового</w:t>
      </w:r>
      <w:r w:rsidRPr="004D2D14">
        <w:rPr>
          <w:rFonts w:asciiTheme="majorHAnsi" w:hAnsiTheme="majorHAnsi"/>
          <w:sz w:val="20"/>
          <w:szCs w:val="20"/>
          <w:lang w:val="en-US"/>
        </w:rPr>
        <w:t xml:space="preserve"> </w:t>
      </w:r>
      <w:r w:rsidRPr="000977F7">
        <w:rPr>
          <w:rFonts w:asciiTheme="majorHAnsi" w:hAnsiTheme="majorHAnsi"/>
          <w:sz w:val="20"/>
          <w:szCs w:val="20"/>
        </w:rPr>
        <w:t>навантажування</w:t>
      </w:r>
    </w:p>
    <w:p w14:paraId="70A9863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2444-94</w:t>
      </w:r>
    </w:p>
    <w:p w14:paraId="328EF9AC"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СПЕКТРАЛЬНИЙ МЕТОД –</w:t>
      </w:r>
      <w:r w:rsidRPr="000977F7">
        <w:rPr>
          <w:rFonts w:asciiTheme="majorHAnsi" w:hAnsiTheme="majorHAnsi"/>
          <w:b/>
          <w:spacing w:val="-47"/>
          <w:sz w:val="20"/>
          <w:szCs w:val="20"/>
        </w:rPr>
        <w:t xml:space="preserve"> </w:t>
      </w:r>
    </w:p>
    <w:p w14:paraId="320D018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SPECTRAL</w:t>
      </w:r>
      <w:r w:rsidRPr="000977F7">
        <w:rPr>
          <w:rFonts w:asciiTheme="majorHAnsi" w:hAnsiTheme="majorHAnsi"/>
          <w:spacing w:val="-3"/>
          <w:sz w:val="20"/>
          <w:szCs w:val="20"/>
        </w:rPr>
        <w:t xml:space="preserve"> </w:t>
      </w:r>
      <w:r w:rsidRPr="000977F7">
        <w:rPr>
          <w:rFonts w:asciiTheme="majorHAnsi" w:hAnsiTheme="majorHAnsi"/>
          <w:sz w:val="20"/>
          <w:szCs w:val="20"/>
        </w:rPr>
        <w:t>METHOD</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80104F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9"/>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20"/>
          <w:sz w:val="20"/>
          <w:szCs w:val="20"/>
        </w:rPr>
        <w:t xml:space="preserve"> </w:t>
      </w:r>
      <w:r w:rsidRPr="000977F7">
        <w:rPr>
          <w:rFonts w:asciiTheme="majorHAnsi" w:hAnsiTheme="majorHAnsi"/>
          <w:sz w:val="20"/>
          <w:szCs w:val="20"/>
        </w:rPr>
        <w:t>контролю,</w:t>
      </w:r>
      <w:r w:rsidRPr="000977F7">
        <w:rPr>
          <w:rFonts w:asciiTheme="majorHAnsi" w:hAnsiTheme="majorHAnsi"/>
          <w:spacing w:val="20"/>
          <w:sz w:val="20"/>
          <w:szCs w:val="20"/>
        </w:rPr>
        <w:t xml:space="preserve"> </w:t>
      </w:r>
      <w:r w:rsidRPr="000977F7">
        <w:rPr>
          <w:rFonts w:asciiTheme="majorHAnsi" w:hAnsiTheme="majorHAnsi"/>
          <w:sz w:val="20"/>
          <w:szCs w:val="20"/>
        </w:rPr>
        <w:t>що</w:t>
      </w:r>
      <w:r w:rsidRPr="000977F7">
        <w:rPr>
          <w:rFonts w:asciiTheme="majorHAnsi" w:hAnsiTheme="majorHAnsi"/>
          <w:spacing w:val="20"/>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21"/>
          <w:sz w:val="20"/>
          <w:szCs w:val="20"/>
        </w:rPr>
        <w:t xml:space="preserve"> </w:t>
      </w:r>
      <w:r w:rsidRPr="000977F7">
        <w:rPr>
          <w:rFonts w:asciiTheme="majorHAnsi" w:hAnsiTheme="majorHAnsi"/>
          <w:sz w:val="20"/>
          <w:szCs w:val="20"/>
        </w:rPr>
        <w:t>на</w:t>
      </w:r>
      <w:r w:rsidRPr="000977F7">
        <w:rPr>
          <w:rFonts w:asciiTheme="majorHAnsi" w:hAnsiTheme="majorHAnsi"/>
          <w:spacing w:val="-47"/>
          <w:sz w:val="20"/>
          <w:szCs w:val="20"/>
        </w:rPr>
        <w:t xml:space="preserve"> </w:t>
      </w:r>
      <w:r w:rsidRPr="000977F7">
        <w:rPr>
          <w:rFonts w:asciiTheme="majorHAnsi" w:hAnsiTheme="majorHAnsi"/>
          <w:sz w:val="20"/>
          <w:szCs w:val="20"/>
        </w:rPr>
        <w:t>реєстрації</w:t>
      </w:r>
      <w:r w:rsidRPr="000977F7">
        <w:rPr>
          <w:rFonts w:asciiTheme="majorHAnsi" w:hAnsiTheme="majorHAnsi"/>
          <w:spacing w:val="11"/>
          <w:sz w:val="20"/>
          <w:szCs w:val="20"/>
        </w:rPr>
        <w:t xml:space="preserve"> </w:t>
      </w:r>
      <w:r w:rsidRPr="000977F7">
        <w:rPr>
          <w:rFonts w:asciiTheme="majorHAnsi" w:hAnsiTheme="majorHAnsi"/>
          <w:sz w:val="20"/>
          <w:szCs w:val="20"/>
        </w:rPr>
        <w:t>та</w:t>
      </w:r>
      <w:r w:rsidRPr="000977F7">
        <w:rPr>
          <w:rFonts w:asciiTheme="majorHAnsi" w:hAnsiTheme="majorHAnsi"/>
          <w:spacing w:val="13"/>
          <w:sz w:val="20"/>
          <w:szCs w:val="20"/>
        </w:rPr>
        <w:t xml:space="preserve"> </w:t>
      </w:r>
      <w:r w:rsidRPr="000977F7">
        <w:rPr>
          <w:rFonts w:asciiTheme="majorHAnsi" w:hAnsiTheme="majorHAnsi"/>
          <w:sz w:val="20"/>
          <w:szCs w:val="20"/>
        </w:rPr>
        <w:t>аналізі</w:t>
      </w:r>
      <w:r w:rsidRPr="000977F7">
        <w:rPr>
          <w:rFonts w:asciiTheme="majorHAnsi" w:hAnsiTheme="majorHAnsi"/>
          <w:spacing w:val="12"/>
          <w:sz w:val="20"/>
          <w:szCs w:val="20"/>
        </w:rPr>
        <w:t xml:space="preserve"> </w:t>
      </w:r>
      <w:r w:rsidRPr="000977F7">
        <w:rPr>
          <w:rFonts w:asciiTheme="majorHAnsi" w:hAnsiTheme="majorHAnsi"/>
          <w:sz w:val="20"/>
          <w:szCs w:val="20"/>
        </w:rPr>
        <w:t>спектру</w:t>
      </w:r>
      <w:r w:rsidRPr="000977F7">
        <w:rPr>
          <w:rFonts w:asciiTheme="majorHAnsi" w:hAnsiTheme="majorHAnsi"/>
          <w:spacing w:val="8"/>
          <w:sz w:val="20"/>
          <w:szCs w:val="20"/>
        </w:rPr>
        <w:t xml:space="preserve"> </w:t>
      </w:r>
      <w:r w:rsidRPr="000977F7">
        <w:rPr>
          <w:rFonts w:asciiTheme="majorHAnsi" w:hAnsiTheme="majorHAnsi"/>
          <w:sz w:val="20"/>
          <w:szCs w:val="20"/>
        </w:rPr>
        <w:t>фізичного</w:t>
      </w:r>
      <w:r w:rsidRPr="000977F7">
        <w:rPr>
          <w:rFonts w:asciiTheme="majorHAnsi" w:hAnsiTheme="majorHAnsi"/>
          <w:spacing w:val="12"/>
          <w:sz w:val="20"/>
          <w:szCs w:val="20"/>
        </w:rPr>
        <w:t xml:space="preserve"> </w:t>
      </w:r>
      <w:r w:rsidRPr="000977F7">
        <w:rPr>
          <w:rFonts w:asciiTheme="majorHAnsi" w:hAnsiTheme="majorHAnsi"/>
          <w:sz w:val="20"/>
          <w:szCs w:val="20"/>
        </w:rPr>
        <w:t>поля</w:t>
      </w:r>
      <w:r w:rsidRPr="000977F7">
        <w:rPr>
          <w:rFonts w:asciiTheme="majorHAnsi" w:hAnsiTheme="majorHAnsi"/>
          <w:spacing w:val="12"/>
          <w:sz w:val="20"/>
          <w:szCs w:val="20"/>
        </w:rPr>
        <w:t xml:space="preserve"> </w:t>
      </w:r>
      <w:r w:rsidRPr="000977F7">
        <w:rPr>
          <w:rFonts w:asciiTheme="majorHAnsi" w:hAnsiTheme="majorHAnsi"/>
          <w:sz w:val="20"/>
          <w:szCs w:val="20"/>
        </w:rPr>
        <w:t>випромінення,</w:t>
      </w:r>
      <w:r w:rsidRPr="000977F7">
        <w:rPr>
          <w:rFonts w:asciiTheme="majorHAnsi" w:hAnsiTheme="majorHAnsi"/>
          <w:spacing w:val="5"/>
          <w:sz w:val="20"/>
          <w:szCs w:val="20"/>
        </w:rPr>
        <w:t xml:space="preserve"> </w:t>
      </w:r>
      <w:r w:rsidRPr="000977F7">
        <w:rPr>
          <w:rFonts w:asciiTheme="majorHAnsi" w:hAnsiTheme="majorHAnsi"/>
          <w:sz w:val="20"/>
          <w:szCs w:val="20"/>
        </w:rPr>
        <w:t>яке</w:t>
      </w:r>
      <w:r w:rsidRPr="000977F7">
        <w:rPr>
          <w:rFonts w:asciiTheme="majorHAnsi" w:hAnsiTheme="majorHAnsi"/>
          <w:spacing w:val="5"/>
          <w:sz w:val="20"/>
          <w:szCs w:val="20"/>
        </w:rPr>
        <w:t xml:space="preserve"> </w:t>
      </w:r>
      <w:r w:rsidRPr="000977F7">
        <w:rPr>
          <w:rFonts w:asciiTheme="majorHAnsi" w:hAnsiTheme="majorHAnsi"/>
          <w:sz w:val="20"/>
          <w:szCs w:val="20"/>
        </w:rPr>
        <w:t>взаємодіє</w:t>
      </w:r>
      <w:r w:rsidRPr="000977F7">
        <w:rPr>
          <w:rFonts w:asciiTheme="majorHAnsi" w:hAnsiTheme="majorHAnsi"/>
          <w:spacing w:val="6"/>
          <w:sz w:val="20"/>
          <w:szCs w:val="20"/>
        </w:rPr>
        <w:t xml:space="preserve"> </w:t>
      </w:r>
      <w:r w:rsidRPr="000977F7">
        <w:rPr>
          <w:rFonts w:asciiTheme="majorHAnsi" w:hAnsiTheme="majorHAnsi"/>
          <w:sz w:val="20"/>
          <w:szCs w:val="20"/>
        </w:rPr>
        <w:t>з</w:t>
      </w:r>
      <w:r w:rsidRPr="000977F7">
        <w:rPr>
          <w:rFonts w:asciiTheme="majorHAnsi" w:hAnsiTheme="majorHAnsi"/>
          <w:spacing w:val="5"/>
          <w:sz w:val="20"/>
          <w:szCs w:val="20"/>
        </w:rPr>
        <w:t xml:space="preserve"> </w:t>
      </w:r>
      <w:r w:rsidRPr="000977F7">
        <w:rPr>
          <w:rFonts w:asciiTheme="majorHAnsi" w:hAnsiTheme="majorHAnsi"/>
          <w:sz w:val="20"/>
          <w:szCs w:val="20"/>
        </w:rPr>
        <w:t>контрольованим</w:t>
      </w:r>
      <w:r w:rsidRPr="000977F7">
        <w:rPr>
          <w:rFonts w:asciiTheme="majorHAnsi" w:hAnsiTheme="majorHAnsi"/>
          <w:spacing w:val="7"/>
          <w:sz w:val="20"/>
          <w:szCs w:val="20"/>
        </w:rPr>
        <w:t xml:space="preserve"> </w:t>
      </w:r>
      <w:r w:rsidRPr="000977F7">
        <w:rPr>
          <w:rFonts w:asciiTheme="majorHAnsi" w:hAnsiTheme="majorHAnsi"/>
          <w:sz w:val="20"/>
          <w:szCs w:val="20"/>
        </w:rPr>
        <w:t>об’єктом</w:t>
      </w:r>
    </w:p>
    <w:p w14:paraId="1A285EE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2865</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9CDC8B2"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СПЕЦИФІЧНЕ ДІЯННЯ; ВИБІРКОВЕ</w:t>
      </w:r>
      <w:r w:rsidRPr="000977F7">
        <w:rPr>
          <w:rFonts w:asciiTheme="majorHAnsi" w:hAnsiTheme="majorHAnsi"/>
          <w:b/>
          <w:spacing w:val="1"/>
          <w:sz w:val="20"/>
          <w:szCs w:val="20"/>
        </w:rPr>
        <w:t xml:space="preserve"> </w:t>
      </w:r>
      <w:r w:rsidRPr="000977F7">
        <w:rPr>
          <w:rFonts w:asciiTheme="majorHAnsi" w:hAnsiTheme="majorHAnsi"/>
          <w:b/>
          <w:sz w:val="20"/>
          <w:szCs w:val="20"/>
        </w:rPr>
        <w:t xml:space="preserve">ДІЯННЯ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0699030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SPECIFIC</w:t>
      </w:r>
      <w:r w:rsidRPr="000977F7">
        <w:rPr>
          <w:rFonts w:asciiTheme="majorHAnsi" w:hAnsiTheme="majorHAnsi"/>
          <w:spacing w:val="-2"/>
          <w:sz w:val="20"/>
          <w:szCs w:val="20"/>
        </w:rPr>
        <w:t xml:space="preserve"> </w:t>
      </w:r>
      <w:r w:rsidRPr="000977F7">
        <w:rPr>
          <w:rFonts w:asciiTheme="majorHAnsi" w:hAnsiTheme="majorHAnsi"/>
          <w:sz w:val="20"/>
          <w:szCs w:val="20"/>
        </w:rPr>
        <w:t>EFFECT;</w:t>
      </w:r>
      <w:r w:rsidRPr="000977F7">
        <w:rPr>
          <w:rFonts w:asciiTheme="majorHAnsi" w:hAnsiTheme="majorHAnsi"/>
          <w:spacing w:val="-1"/>
          <w:sz w:val="20"/>
          <w:szCs w:val="20"/>
        </w:rPr>
        <w:t xml:space="preserve"> </w:t>
      </w:r>
      <w:r w:rsidRPr="000977F7">
        <w:rPr>
          <w:rFonts w:asciiTheme="majorHAnsi" w:hAnsiTheme="majorHAnsi"/>
          <w:sz w:val="20"/>
          <w:szCs w:val="20"/>
        </w:rPr>
        <w:t>SELECTIVE</w:t>
      </w:r>
      <w:r w:rsidRPr="000977F7">
        <w:rPr>
          <w:rFonts w:asciiTheme="majorHAnsi" w:hAnsiTheme="majorHAnsi"/>
          <w:spacing w:val="-3"/>
          <w:sz w:val="20"/>
          <w:szCs w:val="20"/>
        </w:rPr>
        <w:t xml:space="preserve"> </w:t>
      </w:r>
      <w:r w:rsidRPr="000977F7">
        <w:rPr>
          <w:rFonts w:asciiTheme="majorHAnsi" w:hAnsiTheme="majorHAnsi"/>
          <w:sz w:val="20"/>
          <w:szCs w:val="20"/>
        </w:rPr>
        <w:t>EFFECT</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3716A78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Здатність речовини здійснювати вибірковий чи переважний вплив на певні біосистеми, органи чи систему</w:t>
      </w:r>
      <w:r w:rsidRPr="000977F7">
        <w:rPr>
          <w:rFonts w:asciiTheme="majorHAnsi" w:hAnsiTheme="majorHAnsi"/>
          <w:spacing w:val="1"/>
          <w:sz w:val="20"/>
          <w:szCs w:val="20"/>
        </w:rPr>
        <w:t xml:space="preserve"> </w:t>
      </w:r>
      <w:r w:rsidRPr="000977F7">
        <w:rPr>
          <w:rFonts w:asciiTheme="majorHAnsi" w:hAnsiTheme="majorHAnsi"/>
          <w:sz w:val="20"/>
          <w:szCs w:val="20"/>
        </w:rPr>
        <w:t>органів</w:t>
      </w:r>
      <w:r w:rsidRPr="000977F7">
        <w:rPr>
          <w:rFonts w:asciiTheme="majorHAnsi" w:hAnsiTheme="majorHAnsi"/>
          <w:spacing w:val="-2"/>
          <w:sz w:val="20"/>
          <w:szCs w:val="20"/>
        </w:rPr>
        <w:t xml:space="preserve"> </w:t>
      </w:r>
      <w:r w:rsidRPr="000977F7">
        <w:rPr>
          <w:rFonts w:asciiTheme="majorHAnsi" w:hAnsiTheme="majorHAnsi"/>
          <w:sz w:val="20"/>
          <w:szCs w:val="20"/>
        </w:rPr>
        <w:t>живого</w:t>
      </w:r>
      <w:r w:rsidRPr="000977F7">
        <w:rPr>
          <w:rFonts w:asciiTheme="majorHAnsi" w:hAnsiTheme="majorHAnsi"/>
          <w:spacing w:val="1"/>
          <w:sz w:val="20"/>
          <w:szCs w:val="20"/>
        </w:rPr>
        <w:t xml:space="preserve"> </w:t>
      </w:r>
      <w:r w:rsidRPr="000977F7">
        <w:rPr>
          <w:rFonts w:asciiTheme="majorHAnsi" w:hAnsiTheme="majorHAnsi"/>
          <w:sz w:val="20"/>
          <w:szCs w:val="20"/>
        </w:rPr>
        <w:t>організму</w:t>
      </w:r>
    </w:p>
    <w:p w14:paraId="7B26649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3038 - 95</w:t>
      </w:r>
    </w:p>
    <w:p w14:paraId="0AED368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СПЕЦІАЛІЗАЦІЯ</w:t>
      </w:r>
      <w:r w:rsidRPr="000977F7">
        <w:rPr>
          <w:color w:val="auto"/>
          <w:spacing w:val="-6"/>
          <w:sz w:val="20"/>
          <w:szCs w:val="20"/>
        </w:rPr>
        <w:t xml:space="preserve"> </w:t>
      </w:r>
      <w:r w:rsidRPr="000977F7">
        <w:rPr>
          <w:color w:val="auto"/>
          <w:sz w:val="20"/>
          <w:szCs w:val="20"/>
        </w:rPr>
        <w:t>ВИРОБНИЦТВА</w:t>
      </w:r>
      <w:r w:rsidRPr="000977F7">
        <w:rPr>
          <w:color w:val="auto"/>
          <w:spacing w:val="-6"/>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49513AF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Форма розподілу праці серед виробників, які виготовляють</w:t>
      </w:r>
      <w:r w:rsidRPr="000977F7">
        <w:rPr>
          <w:rFonts w:asciiTheme="majorHAnsi" w:hAnsiTheme="majorHAnsi"/>
          <w:spacing w:val="-1"/>
          <w:sz w:val="20"/>
          <w:szCs w:val="20"/>
        </w:rPr>
        <w:t xml:space="preserve"> </w:t>
      </w:r>
      <w:r w:rsidRPr="000977F7">
        <w:rPr>
          <w:rFonts w:asciiTheme="majorHAnsi" w:hAnsiTheme="majorHAnsi"/>
          <w:sz w:val="20"/>
          <w:szCs w:val="20"/>
        </w:rPr>
        <w:t>споріднену</w:t>
      </w:r>
      <w:r w:rsidRPr="000977F7">
        <w:rPr>
          <w:rFonts w:asciiTheme="majorHAnsi" w:hAnsiTheme="majorHAnsi"/>
          <w:spacing w:val="-1"/>
          <w:sz w:val="20"/>
          <w:szCs w:val="20"/>
        </w:rPr>
        <w:t xml:space="preserve"> </w:t>
      </w:r>
      <w:r w:rsidRPr="000977F7">
        <w:rPr>
          <w:rFonts w:asciiTheme="majorHAnsi" w:hAnsiTheme="majorHAnsi"/>
          <w:sz w:val="20"/>
          <w:szCs w:val="20"/>
        </w:rPr>
        <w:t>продукцію</w:t>
      </w:r>
    </w:p>
    <w:p w14:paraId="4C5128B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0930942" w14:textId="77777777" w:rsidR="0097612F" w:rsidRPr="000977F7" w:rsidRDefault="0097612F" w:rsidP="000977F7">
      <w:pPr>
        <w:pStyle w:val="7"/>
        <w:tabs>
          <w:tab w:val="left" w:pos="284"/>
        </w:tabs>
        <w:spacing w:before="0" w:line="240" w:lineRule="auto"/>
        <w:ind w:left="170"/>
        <w:mirrorIndents/>
        <w:jc w:val="both"/>
        <w:rPr>
          <w:color w:val="auto"/>
          <w:spacing w:val="18"/>
          <w:sz w:val="20"/>
          <w:szCs w:val="20"/>
        </w:rPr>
      </w:pPr>
      <w:r w:rsidRPr="000977F7">
        <w:rPr>
          <w:color w:val="auto"/>
          <w:sz w:val="20"/>
          <w:szCs w:val="20"/>
        </w:rPr>
        <w:t>СПЕЦІАЛІЗОВАНИЙ</w:t>
      </w:r>
      <w:r w:rsidRPr="000977F7">
        <w:rPr>
          <w:color w:val="auto"/>
          <w:spacing w:val="16"/>
          <w:sz w:val="20"/>
          <w:szCs w:val="20"/>
        </w:rPr>
        <w:t xml:space="preserve"> </w:t>
      </w:r>
      <w:r w:rsidRPr="000977F7">
        <w:rPr>
          <w:color w:val="auto"/>
          <w:sz w:val="20"/>
          <w:szCs w:val="20"/>
        </w:rPr>
        <w:t>ЗАСІБ</w:t>
      </w:r>
      <w:r w:rsidRPr="000977F7">
        <w:rPr>
          <w:color w:val="auto"/>
          <w:spacing w:val="17"/>
          <w:sz w:val="20"/>
          <w:szCs w:val="20"/>
        </w:rPr>
        <w:t xml:space="preserve"> </w:t>
      </w:r>
      <w:r w:rsidRPr="000977F7">
        <w:rPr>
          <w:color w:val="auto"/>
          <w:sz w:val="20"/>
          <w:szCs w:val="20"/>
        </w:rPr>
        <w:t>ТЕХНІЧНОГО</w:t>
      </w:r>
      <w:r w:rsidRPr="000977F7">
        <w:rPr>
          <w:color w:val="auto"/>
          <w:spacing w:val="18"/>
          <w:sz w:val="20"/>
          <w:szCs w:val="20"/>
        </w:rPr>
        <w:t xml:space="preserve"> </w:t>
      </w:r>
    </w:p>
    <w:p w14:paraId="03D7059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ДІА</w:t>
      </w:r>
      <w:r w:rsidRPr="000977F7">
        <w:rPr>
          <w:color w:val="auto"/>
          <w:spacing w:val="-47"/>
          <w:sz w:val="20"/>
          <w:szCs w:val="20"/>
        </w:rPr>
        <w:t xml:space="preserve"> </w:t>
      </w:r>
      <w:r w:rsidRPr="000977F7">
        <w:rPr>
          <w:color w:val="auto"/>
          <w:sz w:val="20"/>
          <w:szCs w:val="20"/>
        </w:rPr>
        <w:t>ГНОСТУВАННЯ –</w:t>
      </w:r>
    </w:p>
    <w:p w14:paraId="6AFE38C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SPECIAL</w:t>
      </w:r>
      <w:r w:rsidRPr="004D2D14">
        <w:rPr>
          <w:rFonts w:asciiTheme="majorHAnsi" w:hAnsiTheme="majorHAnsi"/>
          <w:spacing w:val="-4"/>
          <w:sz w:val="20"/>
          <w:szCs w:val="20"/>
          <w:lang w:val="uk-UA"/>
        </w:rPr>
        <w:t xml:space="preserve"> </w:t>
      </w:r>
      <w:r w:rsidRPr="000977F7">
        <w:rPr>
          <w:rFonts w:asciiTheme="majorHAnsi" w:hAnsiTheme="majorHAnsi"/>
          <w:sz w:val="20"/>
          <w:szCs w:val="20"/>
        </w:rPr>
        <w:t>PURPOSE</w:t>
      </w:r>
      <w:r w:rsidRPr="004D2D14">
        <w:rPr>
          <w:rFonts w:asciiTheme="majorHAnsi" w:hAnsiTheme="majorHAnsi"/>
          <w:spacing w:val="-1"/>
          <w:sz w:val="20"/>
          <w:szCs w:val="20"/>
          <w:lang w:val="uk-UA"/>
        </w:rPr>
        <w:t xml:space="preserve"> </w:t>
      </w:r>
      <w:r w:rsidRPr="000977F7">
        <w:rPr>
          <w:rFonts w:asciiTheme="majorHAnsi" w:hAnsiTheme="majorHAnsi"/>
          <w:sz w:val="20"/>
          <w:szCs w:val="20"/>
        </w:rPr>
        <w:t>TESTER</w:t>
      </w:r>
      <w:r w:rsidRPr="004D2D14">
        <w:rPr>
          <w:rFonts w:asciiTheme="majorHAnsi" w:hAnsiTheme="majorHAnsi"/>
          <w:spacing w:val="-3"/>
          <w:sz w:val="20"/>
          <w:szCs w:val="20"/>
          <w:lang w:val="uk-UA"/>
        </w:rPr>
        <w:t xml:space="preserve"> </w:t>
      </w:r>
      <w:r w:rsidRPr="000977F7">
        <w:rPr>
          <w:rFonts w:asciiTheme="majorHAnsi" w:hAnsiTheme="majorHAnsi"/>
          <w:sz w:val="20"/>
          <w:szCs w:val="20"/>
        </w:rPr>
        <w:t>EQUIPMENT</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p>
    <w:p w14:paraId="35D65DE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Засіб, призначений для діагностування одного об’єкта</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групи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однотипних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об’єктів</w:t>
      </w:r>
    </w:p>
    <w:p w14:paraId="7BDE295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2389</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14E492B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СПЕЦІАЛЬНИЙ</w:t>
      </w:r>
      <w:r w:rsidRPr="000977F7">
        <w:rPr>
          <w:color w:val="auto"/>
          <w:spacing w:val="-4"/>
          <w:sz w:val="20"/>
          <w:szCs w:val="20"/>
        </w:rPr>
        <w:t xml:space="preserve"> </w:t>
      </w:r>
      <w:r w:rsidRPr="000977F7">
        <w:rPr>
          <w:color w:val="auto"/>
          <w:sz w:val="20"/>
          <w:szCs w:val="20"/>
        </w:rPr>
        <w:t>ЕТАЛОН</w:t>
      </w:r>
      <w:r w:rsidRPr="000977F7">
        <w:rPr>
          <w:color w:val="auto"/>
          <w:spacing w:val="-1"/>
          <w:sz w:val="20"/>
          <w:szCs w:val="20"/>
        </w:rPr>
        <w:t xml:space="preserve"> </w:t>
      </w:r>
      <w:r w:rsidRPr="000977F7">
        <w:rPr>
          <w:color w:val="auto"/>
          <w:sz w:val="20"/>
          <w:szCs w:val="20"/>
        </w:rPr>
        <w:t>–</w:t>
      </w:r>
    </w:p>
    <w:p w14:paraId="1FDD8BF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Еталон, що забезпечує відтворення та (або) зберігання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одиниці в особливих умовах і замінює в цих умовах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первинний</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еталон</w:t>
      </w:r>
    </w:p>
    <w:p w14:paraId="114F4485"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2681</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 94</w:t>
      </w:r>
    </w:p>
    <w:p w14:paraId="2904683A"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uk-UA"/>
        </w:rPr>
      </w:pPr>
      <w:r w:rsidRPr="004D2D14">
        <w:rPr>
          <w:rFonts w:asciiTheme="majorHAnsi" w:hAnsiTheme="majorHAnsi"/>
          <w:b/>
          <w:sz w:val="20"/>
          <w:szCs w:val="20"/>
          <w:lang w:val="uk-UA"/>
        </w:rPr>
        <w:t>СПЕЦИФІКАЦІЯ</w:t>
      </w:r>
      <w:r w:rsidRPr="004D2D14">
        <w:rPr>
          <w:rFonts w:asciiTheme="majorHAnsi" w:hAnsiTheme="majorHAnsi"/>
          <w:b/>
          <w:spacing w:val="-9"/>
          <w:sz w:val="20"/>
          <w:szCs w:val="20"/>
          <w:lang w:val="uk-UA"/>
        </w:rPr>
        <w:t xml:space="preserve"> </w:t>
      </w:r>
      <w:r w:rsidRPr="004D2D14">
        <w:rPr>
          <w:rFonts w:asciiTheme="majorHAnsi" w:hAnsiTheme="majorHAnsi"/>
          <w:b/>
          <w:sz w:val="20"/>
          <w:szCs w:val="20"/>
          <w:lang w:val="uk-UA"/>
        </w:rPr>
        <w:t>–</w:t>
      </w:r>
      <w:r w:rsidRPr="004D2D14">
        <w:rPr>
          <w:rFonts w:asciiTheme="majorHAnsi" w:hAnsiTheme="majorHAnsi"/>
          <w:b/>
          <w:spacing w:val="-47"/>
          <w:sz w:val="20"/>
          <w:szCs w:val="20"/>
          <w:lang w:val="uk-UA"/>
        </w:rPr>
        <w:t xml:space="preserve"> </w:t>
      </w:r>
    </w:p>
    <w:p w14:paraId="291F3E9B"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0977F7">
        <w:rPr>
          <w:rFonts w:asciiTheme="majorHAnsi" w:hAnsiTheme="majorHAnsi"/>
          <w:sz w:val="20"/>
          <w:szCs w:val="20"/>
        </w:rPr>
        <w:t>SPECIFICATION</w:t>
      </w:r>
      <w:r w:rsidRPr="004D2D14">
        <w:rPr>
          <w:rFonts w:asciiTheme="majorHAnsi" w:hAnsiTheme="majorHAnsi"/>
          <w:sz w:val="20"/>
          <w:szCs w:val="20"/>
          <w:lang w:val="uk-UA"/>
        </w:rPr>
        <w:t xml:space="preserve"> –</w:t>
      </w:r>
    </w:p>
    <w:p w14:paraId="2EB1895D" w14:textId="77777777" w:rsidR="0097612F" w:rsidRPr="004D2D14" w:rsidRDefault="0097612F" w:rsidP="000977F7">
      <w:pPr>
        <w:pStyle w:val="af6"/>
        <w:tabs>
          <w:tab w:val="left" w:pos="284"/>
        </w:tabs>
        <w:spacing w:after="0"/>
        <w:ind w:left="170"/>
        <w:mirrorIndents/>
        <w:jc w:val="both"/>
        <w:rPr>
          <w:rFonts w:asciiTheme="majorHAnsi" w:hAnsiTheme="majorHAnsi"/>
          <w:spacing w:val="-48"/>
          <w:sz w:val="20"/>
          <w:szCs w:val="20"/>
          <w:lang w:val="uk-UA"/>
        </w:rPr>
      </w:pPr>
      <w:r w:rsidRPr="004D2D14">
        <w:rPr>
          <w:rFonts w:asciiTheme="majorHAnsi" w:hAnsiTheme="majorHAnsi"/>
          <w:sz w:val="20"/>
          <w:szCs w:val="20"/>
          <w:lang w:val="uk-UA"/>
        </w:rPr>
        <w:t>Документ, що встановлює вимоги</w:t>
      </w:r>
      <w:r w:rsidRPr="004D2D14">
        <w:rPr>
          <w:rFonts w:asciiTheme="majorHAnsi" w:hAnsiTheme="majorHAnsi"/>
          <w:spacing w:val="-48"/>
          <w:sz w:val="20"/>
          <w:szCs w:val="20"/>
          <w:lang w:val="uk-UA"/>
        </w:rPr>
        <w:t xml:space="preserve"> </w:t>
      </w:r>
    </w:p>
    <w:p w14:paraId="6BEF927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0D1FB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Може вимагатися визначник для цього</w:t>
      </w:r>
      <w:r w:rsidRPr="000977F7">
        <w:rPr>
          <w:rFonts w:asciiTheme="majorHAnsi" w:hAnsiTheme="majorHAnsi"/>
          <w:spacing w:val="1"/>
          <w:sz w:val="20"/>
          <w:szCs w:val="20"/>
        </w:rPr>
        <w:t xml:space="preserve"> </w:t>
      </w:r>
      <w:r w:rsidRPr="000977F7">
        <w:rPr>
          <w:rFonts w:asciiTheme="majorHAnsi" w:hAnsiTheme="majorHAnsi"/>
          <w:sz w:val="20"/>
          <w:szCs w:val="20"/>
        </w:rPr>
        <w:t>терміну. Прикладами є</w:t>
      </w:r>
      <w:r w:rsidRPr="000977F7">
        <w:rPr>
          <w:rFonts w:asciiTheme="majorHAnsi" w:hAnsiTheme="majorHAnsi"/>
          <w:spacing w:val="1"/>
          <w:sz w:val="20"/>
          <w:szCs w:val="20"/>
        </w:rPr>
        <w:t xml:space="preserve"> </w:t>
      </w:r>
      <w:r w:rsidRPr="000977F7">
        <w:rPr>
          <w:rFonts w:asciiTheme="majorHAnsi" w:hAnsiTheme="majorHAnsi"/>
          <w:sz w:val="20"/>
          <w:szCs w:val="20"/>
        </w:rPr>
        <w:t>специфікація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продукцію,</w:t>
      </w:r>
      <w:r w:rsidRPr="000977F7">
        <w:rPr>
          <w:rFonts w:asciiTheme="majorHAnsi" w:hAnsiTheme="majorHAnsi"/>
          <w:spacing w:val="50"/>
          <w:sz w:val="20"/>
          <w:szCs w:val="20"/>
        </w:rPr>
        <w:t xml:space="preserve"> </w:t>
      </w:r>
      <w:r w:rsidRPr="000977F7">
        <w:rPr>
          <w:rFonts w:asciiTheme="majorHAnsi" w:hAnsiTheme="majorHAnsi"/>
          <w:sz w:val="20"/>
          <w:szCs w:val="20"/>
        </w:rPr>
        <w:t>специфікація</w:t>
      </w:r>
      <w:r w:rsidRPr="000977F7">
        <w:rPr>
          <w:rFonts w:asciiTheme="majorHAnsi" w:hAnsiTheme="majorHAnsi"/>
          <w:spacing w:val="-47"/>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специфікація показників.</w:t>
      </w:r>
    </w:p>
    <w:p w14:paraId="729EC0F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Текстовий конструкторський документ, який визначає склад специфікованого виробу та розробленої на</w:t>
      </w:r>
      <w:r w:rsidRPr="000977F7">
        <w:rPr>
          <w:rFonts w:asciiTheme="majorHAnsi" w:hAnsiTheme="majorHAnsi"/>
          <w:spacing w:val="1"/>
          <w:sz w:val="20"/>
          <w:szCs w:val="20"/>
        </w:rPr>
        <w:t xml:space="preserve"> </w:t>
      </w:r>
      <w:r w:rsidRPr="000977F7">
        <w:rPr>
          <w:rFonts w:asciiTheme="majorHAnsi" w:hAnsiTheme="majorHAnsi"/>
          <w:sz w:val="20"/>
          <w:szCs w:val="20"/>
        </w:rPr>
        <w:t>нього конструкторської</w:t>
      </w:r>
      <w:r w:rsidRPr="000977F7">
        <w:rPr>
          <w:rFonts w:asciiTheme="majorHAnsi" w:hAnsiTheme="majorHAnsi"/>
          <w:spacing w:val="-2"/>
          <w:sz w:val="20"/>
          <w:szCs w:val="20"/>
        </w:rPr>
        <w:t xml:space="preserve"> </w:t>
      </w:r>
      <w:r w:rsidRPr="000977F7">
        <w:rPr>
          <w:rFonts w:asciiTheme="majorHAnsi" w:hAnsiTheme="majorHAnsi"/>
          <w:sz w:val="20"/>
          <w:szCs w:val="20"/>
        </w:rPr>
        <w:t>документації</w:t>
      </w:r>
    </w:p>
    <w:p w14:paraId="4F5EDEF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059B710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СПЕЦИФІКОВАНИЙ</w:t>
      </w:r>
      <w:r w:rsidRPr="000977F7">
        <w:rPr>
          <w:color w:val="auto"/>
          <w:spacing w:val="-4"/>
          <w:sz w:val="20"/>
          <w:szCs w:val="20"/>
        </w:rPr>
        <w:t xml:space="preserve"> </w:t>
      </w:r>
      <w:r w:rsidRPr="000977F7">
        <w:rPr>
          <w:color w:val="auto"/>
          <w:sz w:val="20"/>
          <w:szCs w:val="20"/>
        </w:rPr>
        <w:t>ВИРІБ</w:t>
      </w:r>
      <w:r w:rsidRPr="000977F7">
        <w:rPr>
          <w:color w:val="auto"/>
          <w:spacing w:val="-2"/>
          <w:sz w:val="20"/>
          <w:szCs w:val="20"/>
        </w:rPr>
        <w:t xml:space="preserve"> </w:t>
      </w:r>
      <w:r w:rsidRPr="000977F7">
        <w:rPr>
          <w:color w:val="auto"/>
          <w:sz w:val="20"/>
          <w:szCs w:val="20"/>
        </w:rPr>
        <w:t>–</w:t>
      </w:r>
    </w:p>
    <w:p w14:paraId="374C239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w:t>
      </w:r>
      <w:r w:rsidRPr="000977F7">
        <w:rPr>
          <w:rFonts w:asciiTheme="majorHAnsi" w:hAnsiTheme="majorHAnsi"/>
          <w:spacing w:val="-4"/>
          <w:sz w:val="20"/>
          <w:szCs w:val="20"/>
        </w:rPr>
        <w:t xml:space="preserve"> </w:t>
      </w:r>
      <w:r w:rsidRPr="000977F7">
        <w:rPr>
          <w:rFonts w:asciiTheme="majorHAnsi" w:hAnsiTheme="majorHAnsi"/>
          <w:sz w:val="20"/>
          <w:szCs w:val="20"/>
        </w:rPr>
        <w:t>що</w:t>
      </w:r>
      <w:r w:rsidRPr="000977F7">
        <w:rPr>
          <w:rFonts w:asciiTheme="majorHAnsi" w:hAnsiTheme="majorHAnsi"/>
          <w:spacing w:val="-2"/>
          <w:sz w:val="20"/>
          <w:szCs w:val="20"/>
        </w:rPr>
        <w:t xml:space="preserve"> </w:t>
      </w:r>
      <w:r w:rsidRPr="000977F7">
        <w:rPr>
          <w:rFonts w:asciiTheme="majorHAnsi" w:hAnsiTheme="majorHAnsi"/>
          <w:sz w:val="20"/>
          <w:szCs w:val="20"/>
        </w:rPr>
        <w:t>складається</w:t>
      </w:r>
      <w:r w:rsidRPr="000977F7">
        <w:rPr>
          <w:rFonts w:asciiTheme="majorHAnsi" w:hAnsiTheme="majorHAnsi"/>
          <w:spacing w:val="-5"/>
          <w:sz w:val="20"/>
          <w:szCs w:val="20"/>
        </w:rPr>
        <w:t xml:space="preserve"> </w:t>
      </w:r>
      <w:r w:rsidRPr="000977F7">
        <w:rPr>
          <w:rFonts w:asciiTheme="majorHAnsi" w:hAnsiTheme="majorHAnsi"/>
          <w:sz w:val="20"/>
          <w:szCs w:val="20"/>
        </w:rPr>
        <w:t>з</w:t>
      </w:r>
      <w:r w:rsidRPr="000977F7">
        <w:rPr>
          <w:rFonts w:asciiTheme="majorHAnsi" w:hAnsiTheme="majorHAnsi"/>
          <w:spacing w:val="-3"/>
          <w:sz w:val="20"/>
          <w:szCs w:val="20"/>
        </w:rPr>
        <w:t xml:space="preserve"> </w:t>
      </w:r>
      <w:r w:rsidRPr="000977F7">
        <w:rPr>
          <w:rFonts w:asciiTheme="majorHAnsi" w:hAnsiTheme="majorHAnsi"/>
          <w:sz w:val="20"/>
          <w:szCs w:val="20"/>
        </w:rPr>
        <w:t>декількох</w:t>
      </w:r>
      <w:r w:rsidRPr="000977F7">
        <w:rPr>
          <w:rFonts w:asciiTheme="majorHAnsi" w:hAnsiTheme="majorHAnsi"/>
          <w:spacing w:val="-4"/>
          <w:sz w:val="20"/>
          <w:szCs w:val="20"/>
        </w:rPr>
        <w:t xml:space="preserve"> </w:t>
      </w:r>
      <w:r w:rsidRPr="000977F7">
        <w:rPr>
          <w:rFonts w:asciiTheme="majorHAnsi" w:hAnsiTheme="majorHAnsi"/>
          <w:sz w:val="20"/>
          <w:szCs w:val="20"/>
        </w:rPr>
        <w:t>складових</w:t>
      </w:r>
      <w:r w:rsidRPr="000977F7">
        <w:rPr>
          <w:rFonts w:asciiTheme="majorHAnsi" w:hAnsiTheme="majorHAnsi"/>
          <w:spacing w:val="-5"/>
          <w:sz w:val="20"/>
          <w:szCs w:val="20"/>
        </w:rPr>
        <w:t xml:space="preserve"> </w:t>
      </w:r>
      <w:r w:rsidRPr="000977F7">
        <w:rPr>
          <w:rFonts w:asciiTheme="majorHAnsi" w:hAnsiTheme="majorHAnsi"/>
          <w:sz w:val="20"/>
          <w:szCs w:val="20"/>
        </w:rPr>
        <w:t>частин</w:t>
      </w:r>
    </w:p>
    <w:p w14:paraId="7EFD151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47"/>
          <w:sz w:val="20"/>
          <w:szCs w:val="20"/>
        </w:rPr>
        <w:t xml:space="preserve"> </w:t>
      </w: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E1FF68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Складовою</w:t>
      </w:r>
      <w:r w:rsidRPr="000977F7">
        <w:rPr>
          <w:rFonts w:asciiTheme="majorHAnsi" w:hAnsiTheme="majorHAnsi"/>
          <w:spacing w:val="42"/>
          <w:sz w:val="20"/>
          <w:szCs w:val="20"/>
        </w:rPr>
        <w:t xml:space="preserve"> </w:t>
      </w:r>
      <w:r w:rsidRPr="000977F7">
        <w:rPr>
          <w:rFonts w:asciiTheme="majorHAnsi" w:hAnsiTheme="majorHAnsi"/>
          <w:sz w:val="20"/>
          <w:szCs w:val="20"/>
        </w:rPr>
        <w:t>частиною</w:t>
      </w:r>
      <w:r w:rsidRPr="000977F7">
        <w:rPr>
          <w:rFonts w:asciiTheme="majorHAnsi" w:hAnsiTheme="majorHAnsi"/>
          <w:spacing w:val="43"/>
          <w:sz w:val="20"/>
          <w:szCs w:val="20"/>
        </w:rPr>
        <w:t xml:space="preserve"> </w:t>
      </w:r>
      <w:r w:rsidRPr="000977F7">
        <w:rPr>
          <w:rFonts w:asciiTheme="majorHAnsi" w:hAnsiTheme="majorHAnsi"/>
          <w:sz w:val="20"/>
          <w:szCs w:val="20"/>
        </w:rPr>
        <w:t>може</w:t>
      </w:r>
      <w:r w:rsidRPr="000977F7">
        <w:rPr>
          <w:rFonts w:asciiTheme="majorHAnsi" w:hAnsiTheme="majorHAnsi"/>
          <w:spacing w:val="46"/>
          <w:sz w:val="20"/>
          <w:szCs w:val="20"/>
        </w:rPr>
        <w:t xml:space="preserve"> </w:t>
      </w:r>
      <w:r w:rsidRPr="000977F7">
        <w:rPr>
          <w:rFonts w:asciiTheme="majorHAnsi" w:hAnsiTheme="majorHAnsi"/>
          <w:sz w:val="20"/>
          <w:szCs w:val="20"/>
        </w:rPr>
        <w:t>бути</w:t>
      </w:r>
      <w:r w:rsidRPr="000977F7">
        <w:rPr>
          <w:rFonts w:asciiTheme="majorHAnsi" w:hAnsiTheme="majorHAnsi"/>
          <w:spacing w:val="42"/>
          <w:sz w:val="20"/>
          <w:szCs w:val="20"/>
        </w:rPr>
        <w:t xml:space="preserve"> </w:t>
      </w:r>
      <w:r w:rsidRPr="000977F7">
        <w:rPr>
          <w:rFonts w:asciiTheme="majorHAnsi" w:hAnsiTheme="majorHAnsi"/>
          <w:sz w:val="20"/>
          <w:szCs w:val="20"/>
        </w:rPr>
        <w:t>будь</w:t>
      </w:r>
      <w:r w:rsidRPr="000977F7">
        <w:rPr>
          <w:rFonts w:asciiTheme="majorHAnsi" w:hAnsiTheme="majorHAnsi"/>
          <w:spacing w:val="48"/>
          <w:sz w:val="20"/>
          <w:szCs w:val="20"/>
        </w:rPr>
        <w:t xml:space="preserve"> </w:t>
      </w:r>
      <w:r w:rsidRPr="000977F7">
        <w:rPr>
          <w:rFonts w:asciiTheme="majorHAnsi" w:hAnsiTheme="majorHAnsi"/>
          <w:sz w:val="20"/>
          <w:szCs w:val="20"/>
        </w:rPr>
        <w:t>–</w:t>
      </w:r>
      <w:r w:rsidRPr="000977F7">
        <w:rPr>
          <w:rFonts w:asciiTheme="majorHAnsi" w:hAnsiTheme="majorHAnsi"/>
          <w:spacing w:val="45"/>
          <w:sz w:val="20"/>
          <w:szCs w:val="20"/>
        </w:rPr>
        <w:t xml:space="preserve"> </w:t>
      </w:r>
      <w:r w:rsidRPr="000977F7">
        <w:rPr>
          <w:rFonts w:asciiTheme="majorHAnsi" w:hAnsiTheme="majorHAnsi"/>
          <w:sz w:val="20"/>
          <w:szCs w:val="20"/>
        </w:rPr>
        <w:t>який</w:t>
      </w:r>
      <w:r w:rsidRPr="000977F7">
        <w:rPr>
          <w:rFonts w:asciiTheme="majorHAnsi" w:hAnsiTheme="majorHAnsi"/>
          <w:spacing w:val="44"/>
          <w:sz w:val="20"/>
          <w:szCs w:val="20"/>
        </w:rPr>
        <w:t xml:space="preserve"> </w:t>
      </w:r>
      <w:r w:rsidRPr="000977F7">
        <w:rPr>
          <w:rFonts w:asciiTheme="majorHAnsi" w:hAnsiTheme="majorHAnsi"/>
          <w:sz w:val="20"/>
          <w:szCs w:val="20"/>
        </w:rPr>
        <w:t>виріб</w:t>
      </w:r>
      <w:r w:rsidRPr="000977F7">
        <w:rPr>
          <w:rFonts w:asciiTheme="majorHAnsi" w:hAnsiTheme="majorHAnsi"/>
          <w:spacing w:val="-47"/>
          <w:sz w:val="20"/>
          <w:szCs w:val="20"/>
        </w:rPr>
        <w:t xml:space="preserve"> </w:t>
      </w:r>
      <w:r w:rsidRPr="000977F7">
        <w:rPr>
          <w:rFonts w:asciiTheme="majorHAnsi" w:hAnsiTheme="majorHAnsi"/>
          <w:sz w:val="20"/>
          <w:szCs w:val="20"/>
        </w:rPr>
        <w:t>(деталь,</w:t>
      </w:r>
      <w:r w:rsidRPr="000977F7">
        <w:rPr>
          <w:rFonts w:asciiTheme="majorHAnsi" w:hAnsiTheme="majorHAnsi"/>
          <w:spacing w:val="-3"/>
          <w:sz w:val="20"/>
          <w:szCs w:val="20"/>
        </w:rPr>
        <w:t xml:space="preserve"> </w:t>
      </w:r>
      <w:r w:rsidRPr="000977F7">
        <w:rPr>
          <w:rFonts w:asciiTheme="majorHAnsi" w:hAnsiTheme="majorHAnsi"/>
          <w:sz w:val="20"/>
          <w:szCs w:val="20"/>
        </w:rPr>
        <w:t>складальна</w:t>
      </w:r>
      <w:r w:rsidRPr="000977F7">
        <w:rPr>
          <w:rFonts w:asciiTheme="majorHAnsi" w:hAnsiTheme="majorHAnsi"/>
          <w:spacing w:val="-2"/>
          <w:sz w:val="20"/>
          <w:szCs w:val="20"/>
        </w:rPr>
        <w:t xml:space="preserve"> </w:t>
      </w:r>
      <w:r w:rsidRPr="000977F7">
        <w:rPr>
          <w:rFonts w:asciiTheme="majorHAnsi" w:hAnsiTheme="majorHAnsi"/>
          <w:sz w:val="20"/>
          <w:szCs w:val="20"/>
        </w:rPr>
        <w:t>одиниця,</w:t>
      </w:r>
      <w:r w:rsidRPr="000977F7">
        <w:rPr>
          <w:rFonts w:asciiTheme="majorHAnsi" w:hAnsiTheme="majorHAnsi"/>
          <w:spacing w:val="-2"/>
          <w:sz w:val="20"/>
          <w:szCs w:val="20"/>
        </w:rPr>
        <w:t xml:space="preserve"> </w:t>
      </w:r>
      <w:r w:rsidRPr="000977F7">
        <w:rPr>
          <w:rFonts w:asciiTheme="majorHAnsi" w:hAnsiTheme="majorHAnsi"/>
          <w:sz w:val="20"/>
          <w:szCs w:val="20"/>
        </w:rPr>
        <w:t>комплекс</w:t>
      </w:r>
      <w:r w:rsidRPr="000977F7">
        <w:rPr>
          <w:rFonts w:asciiTheme="majorHAnsi" w:hAnsiTheme="majorHAnsi"/>
          <w:spacing w:val="-3"/>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комплект)</w:t>
      </w:r>
    </w:p>
    <w:p w14:paraId="3B40FEE5"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3321 – 2003</w:t>
      </w:r>
    </w:p>
    <w:p w14:paraId="477F61F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СПЕЦІАЛІЗАЦІЯ</w:t>
      </w:r>
      <w:r w:rsidRPr="000977F7">
        <w:rPr>
          <w:color w:val="auto"/>
          <w:spacing w:val="-5"/>
          <w:sz w:val="20"/>
          <w:szCs w:val="20"/>
        </w:rPr>
        <w:t xml:space="preserve"> </w:t>
      </w:r>
      <w:r w:rsidRPr="000977F7">
        <w:rPr>
          <w:color w:val="auto"/>
          <w:sz w:val="20"/>
          <w:szCs w:val="20"/>
        </w:rPr>
        <w:t>ВИРОБНИЦТВА</w:t>
      </w:r>
      <w:r w:rsidRPr="000977F7">
        <w:rPr>
          <w:color w:val="auto"/>
          <w:spacing w:val="-2"/>
          <w:sz w:val="20"/>
          <w:szCs w:val="20"/>
        </w:rPr>
        <w:t xml:space="preserve"> </w:t>
      </w:r>
      <w:r w:rsidRPr="000977F7">
        <w:rPr>
          <w:color w:val="auto"/>
          <w:sz w:val="20"/>
          <w:szCs w:val="20"/>
        </w:rPr>
        <w:t>–</w:t>
      </w:r>
    </w:p>
    <w:p w14:paraId="7CDE4B9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Форма організації виробництва, що полягає у виготовленні продукції обмеженої та стабільної номенклатури</w:t>
      </w:r>
      <w:r w:rsidRPr="000977F7">
        <w:rPr>
          <w:rFonts w:asciiTheme="majorHAnsi" w:hAnsiTheme="majorHAnsi"/>
          <w:spacing w:val="-2"/>
          <w:sz w:val="20"/>
          <w:szCs w:val="20"/>
        </w:rPr>
        <w:t xml:space="preserve"> </w:t>
      </w:r>
      <w:r w:rsidRPr="000977F7">
        <w:rPr>
          <w:rFonts w:asciiTheme="majorHAnsi" w:hAnsiTheme="majorHAnsi"/>
          <w:sz w:val="20"/>
          <w:szCs w:val="20"/>
        </w:rPr>
        <w:t>або в</w:t>
      </w:r>
      <w:r w:rsidRPr="000977F7">
        <w:rPr>
          <w:rFonts w:asciiTheme="majorHAnsi" w:hAnsiTheme="majorHAnsi"/>
          <w:spacing w:val="-2"/>
          <w:sz w:val="20"/>
          <w:szCs w:val="20"/>
        </w:rPr>
        <w:t xml:space="preserve"> </w:t>
      </w:r>
      <w:r w:rsidRPr="000977F7">
        <w:rPr>
          <w:rFonts w:asciiTheme="majorHAnsi" w:hAnsiTheme="majorHAnsi"/>
          <w:sz w:val="20"/>
          <w:szCs w:val="20"/>
        </w:rPr>
        <w:t>однотипності</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технології</w:t>
      </w:r>
    </w:p>
    <w:p w14:paraId="770610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EA5B80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Розрізняють</w:t>
      </w:r>
      <w:r w:rsidRPr="000977F7">
        <w:rPr>
          <w:rFonts w:asciiTheme="majorHAnsi" w:hAnsiTheme="majorHAnsi"/>
          <w:spacing w:val="1"/>
          <w:sz w:val="20"/>
          <w:szCs w:val="20"/>
        </w:rPr>
        <w:t xml:space="preserve"> </w:t>
      </w:r>
      <w:r w:rsidRPr="000977F7">
        <w:rPr>
          <w:rFonts w:asciiTheme="majorHAnsi" w:hAnsiTheme="majorHAnsi"/>
          <w:sz w:val="20"/>
          <w:szCs w:val="20"/>
        </w:rPr>
        <w:t>спеціалізацію</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предметну,</w:t>
      </w:r>
      <w:r w:rsidRPr="000977F7">
        <w:rPr>
          <w:rFonts w:asciiTheme="majorHAnsi" w:hAnsiTheme="majorHAnsi"/>
          <w:spacing w:val="1"/>
          <w:sz w:val="20"/>
          <w:szCs w:val="20"/>
        </w:rPr>
        <w:t xml:space="preserve"> </w:t>
      </w:r>
      <w:r w:rsidRPr="000977F7">
        <w:rPr>
          <w:rFonts w:asciiTheme="majorHAnsi" w:hAnsiTheme="majorHAnsi"/>
          <w:sz w:val="20"/>
          <w:szCs w:val="20"/>
        </w:rPr>
        <w:t>подетальну,</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технологічну</w:t>
      </w:r>
    </w:p>
    <w:p w14:paraId="7690B52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2960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881D11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1"/>
          <w:sz w:val="20"/>
          <w:szCs w:val="20"/>
        </w:rPr>
        <w:t xml:space="preserve">СПІВВИКОНАВЕЦЬ </w:t>
      </w:r>
      <w:r w:rsidRPr="000977F7">
        <w:rPr>
          <w:color w:val="auto"/>
          <w:sz w:val="20"/>
          <w:szCs w:val="20"/>
        </w:rPr>
        <w:t xml:space="preserve">РОЗРОБЛЕННЯ </w:t>
      </w:r>
      <w:r w:rsidRPr="000977F7">
        <w:rPr>
          <w:color w:val="auto"/>
          <w:spacing w:val="-47"/>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173F1D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Фізична або юридична особа, яка виконує на підставі відповідного документа певну частину роботи над розробленням продукції</w:t>
      </w:r>
    </w:p>
    <w:p w14:paraId="6B493576"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3278 – 95</w:t>
      </w:r>
    </w:p>
    <w:p w14:paraId="7294D83D" w14:textId="77777777" w:rsidR="0097612F" w:rsidRPr="000977F7" w:rsidRDefault="0097612F" w:rsidP="000977F7">
      <w:pPr>
        <w:pStyle w:val="af6"/>
        <w:tabs>
          <w:tab w:val="left" w:pos="284"/>
        </w:tabs>
        <w:spacing w:after="0"/>
        <w:ind w:left="170"/>
        <w:mirrorIndents/>
        <w:jc w:val="both"/>
        <w:rPr>
          <w:rFonts w:asciiTheme="majorHAnsi" w:hAnsiTheme="majorHAnsi"/>
          <w:b/>
          <w:spacing w:val="1"/>
          <w:sz w:val="20"/>
          <w:szCs w:val="20"/>
        </w:rPr>
      </w:pPr>
      <w:r w:rsidRPr="000977F7">
        <w:rPr>
          <w:rFonts w:asciiTheme="majorHAnsi" w:hAnsiTheme="majorHAnsi"/>
          <w:i/>
          <w:spacing w:val="-47"/>
          <w:sz w:val="20"/>
          <w:szCs w:val="20"/>
        </w:rPr>
        <w:t xml:space="preserve"> </w:t>
      </w:r>
      <w:r w:rsidRPr="000977F7">
        <w:rPr>
          <w:rFonts w:asciiTheme="majorHAnsi" w:hAnsiTheme="majorHAnsi"/>
          <w:b/>
          <w:sz w:val="20"/>
          <w:szCs w:val="20"/>
        </w:rPr>
        <w:t>СПІКАННЯ –</w:t>
      </w:r>
      <w:r w:rsidRPr="000977F7">
        <w:rPr>
          <w:rFonts w:asciiTheme="majorHAnsi" w:hAnsiTheme="majorHAnsi"/>
          <w:b/>
          <w:spacing w:val="1"/>
          <w:sz w:val="20"/>
          <w:szCs w:val="20"/>
        </w:rPr>
        <w:t xml:space="preserve"> </w:t>
      </w:r>
    </w:p>
    <w:p w14:paraId="53389D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SINTERING –</w:t>
      </w:r>
    </w:p>
    <w:p w14:paraId="3DFBAB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Нагрівання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витримування</w:t>
      </w:r>
      <w:r w:rsidRPr="000977F7">
        <w:rPr>
          <w:rFonts w:asciiTheme="majorHAnsi" w:hAnsiTheme="majorHAnsi"/>
          <w:spacing w:val="1"/>
          <w:sz w:val="20"/>
          <w:szCs w:val="20"/>
        </w:rPr>
        <w:t xml:space="preserve"> </w:t>
      </w:r>
      <w:r w:rsidRPr="000977F7">
        <w:rPr>
          <w:rFonts w:asciiTheme="majorHAnsi" w:hAnsiTheme="majorHAnsi"/>
          <w:sz w:val="20"/>
          <w:szCs w:val="20"/>
        </w:rPr>
        <w:t>порошкової</w:t>
      </w:r>
      <w:r w:rsidRPr="000977F7">
        <w:rPr>
          <w:rFonts w:asciiTheme="majorHAnsi" w:hAnsiTheme="majorHAnsi"/>
          <w:spacing w:val="1"/>
          <w:sz w:val="20"/>
          <w:szCs w:val="20"/>
        </w:rPr>
        <w:t xml:space="preserve"> </w:t>
      </w:r>
      <w:r w:rsidRPr="000977F7">
        <w:rPr>
          <w:rFonts w:asciiTheme="majorHAnsi" w:hAnsiTheme="majorHAnsi"/>
          <w:sz w:val="20"/>
          <w:szCs w:val="20"/>
        </w:rPr>
        <w:t>формовки</w:t>
      </w:r>
      <w:r w:rsidRPr="000977F7">
        <w:rPr>
          <w:rFonts w:asciiTheme="majorHAnsi" w:hAnsiTheme="majorHAnsi"/>
          <w:spacing w:val="1"/>
          <w:sz w:val="20"/>
          <w:szCs w:val="20"/>
        </w:rPr>
        <w:t xml:space="preserve"> </w:t>
      </w:r>
      <w:r w:rsidRPr="000977F7">
        <w:rPr>
          <w:rFonts w:asciiTheme="majorHAnsi" w:hAnsiTheme="majorHAnsi"/>
          <w:sz w:val="20"/>
          <w:szCs w:val="20"/>
        </w:rPr>
        <w:t>при температурі, нижчій від точки плавлення основного компонента з метою забезпечення заданих механічних</w:t>
      </w:r>
      <w:r w:rsidRPr="000977F7">
        <w:rPr>
          <w:rFonts w:asciiTheme="majorHAnsi" w:hAnsiTheme="majorHAnsi"/>
          <w:spacing w:val="-2"/>
          <w:sz w:val="20"/>
          <w:szCs w:val="20"/>
        </w:rPr>
        <w:t xml:space="preserve"> </w:t>
      </w:r>
      <w:r w:rsidRPr="000977F7">
        <w:rPr>
          <w:rFonts w:asciiTheme="majorHAnsi" w:hAnsiTheme="majorHAnsi"/>
          <w:sz w:val="20"/>
          <w:szCs w:val="20"/>
        </w:rPr>
        <w:t>та фізико-хімічних</w:t>
      </w:r>
      <w:r w:rsidRPr="000977F7">
        <w:rPr>
          <w:rFonts w:asciiTheme="majorHAnsi" w:hAnsiTheme="majorHAnsi"/>
          <w:spacing w:val="-2"/>
          <w:sz w:val="20"/>
          <w:szCs w:val="20"/>
        </w:rPr>
        <w:t xml:space="preserve"> </w:t>
      </w:r>
      <w:r w:rsidRPr="000977F7">
        <w:rPr>
          <w:rFonts w:asciiTheme="majorHAnsi" w:hAnsiTheme="majorHAnsi"/>
          <w:sz w:val="20"/>
          <w:szCs w:val="20"/>
        </w:rPr>
        <w:t>властивостей</w:t>
      </w:r>
    </w:p>
    <w:p w14:paraId="7AF7A53B"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2391</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2010</w:t>
      </w:r>
    </w:p>
    <w:p w14:paraId="098ABE26"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en-US"/>
        </w:rPr>
      </w:pPr>
      <w:r w:rsidRPr="000977F7">
        <w:rPr>
          <w:rFonts w:asciiTheme="majorHAnsi" w:hAnsiTheme="majorHAnsi"/>
          <w:b/>
          <w:sz w:val="20"/>
          <w:szCs w:val="20"/>
        </w:rPr>
        <w:t>СПІЛЬНИЙ</w:t>
      </w:r>
      <w:r w:rsidRPr="004D2D14">
        <w:rPr>
          <w:rFonts w:asciiTheme="majorHAnsi" w:hAnsiTheme="majorHAnsi"/>
          <w:b/>
          <w:sz w:val="20"/>
          <w:szCs w:val="20"/>
          <w:lang w:val="en-US"/>
        </w:rPr>
        <w:t xml:space="preserve"> </w:t>
      </w:r>
      <w:r w:rsidRPr="000977F7">
        <w:rPr>
          <w:rFonts w:asciiTheme="majorHAnsi" w:hAnsiTheme="majorHAnsi"/>
          <w:b/>
          <w:sz w:val="20"/>
          <w:szCs w:val="20"/>
        </w:rPr>
        <w:t>АУДИТ</w:t>
      </w:r>
      <w:r w:rsidRPr="004D2D14">
        <w:rPr>
          <w:rFonts w:asciiTheme="majorHAnsi" w:hAnsiTheme="majorHAnsi"/>
          <w:b/>
          <w:sz w:val="20"/>
          <w:szCs w:val="20"/>
          <w:lang w:val="en-US"/>
        </w:rPr>
        <w:t xml:space="preserve"> –</w:t>
      </w:r>
      <w:r w:rsidRPr="004D2D14">
        <w:rPr>
          <w:rFonts w:asciiTheme="majorHAnsi" w:hAnsiTheme="majorHAnsi"/>
          <w:b/>
          <w:spacing w:val="-47"/>
          <w:sz w:val="20"/>
          <w:szCs w:val="20"/>
          <w:lang w:val="en-US"/>
        </w:rPr>
        <w:t xml:space="preserve"> </w:t>
      </w:r>
    </w:p>
    <w:p w14:paraId="2AAD7912"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JOINT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AUDIT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5C0A6308" w14:textId="77777777" w:rsidR="0097612F" w:rsidRPr="000977F7" w:rsidRDefault="0097612F" w:rsidP="000977F7">
      <w:pPr>
        <w:pStyle w:val="4"/>
        <w:tabs>
          <w:tab w:val="left" w:pos="284"/>
        </w:tabs>
        <w:spacing w:line="240" w:lineRule="auto"/>
        <w:ind w:left="170"/>
        <w:mirrorIndents/>
        <w:jc w:val="both"/>
        <w:rPr>
          <w:color w:val="auto"/>
          <w:sz w:val="20"/>
          <w:szCs w:val="20"/>
        </w:rPr>
      </w:pPr>
      <w:bookmarkStart w:id="268" w:name="_Toc132629647"/>
      <w:r w:rsidRPr="000977F7">
        <w:rPr>
          <w:color w:val="auto"/>
          <w:sz w:val="20"/>
          <w:szCs w:val="20"/>
        </w:rPr>
        <w:t>Аудит, який провадять на одному об’єкті аудиту дві чи більше аудиторських організацій</w:t>
      </w:r>
      <w:bookmarkEnd w:id="268"/>
    </w:p>
    <w:p w14:paraId="15860C4A" w14:textId="77777777" w:rsidR="0097612F" w:rsidRPr="000977F7" w:rsidRDefault="0097612F" w:rsidP="000977F7">
      <w:pPr>
        <w:pStyle w:val="4"/>
        <w:tabs>
          <w:tab w:val="left" w:pos="284"/>
        </w:tabs>
        <w:spacing w:line="240" w:lineRule="auto"/>
        <w:ind w:left="170"/>
        <w:mirrorIndents/>
        <w:jc w:val="both"/>
        <w:rPr>
          <w:i/>
          <w:color w:val="auto"/>
          <w:sz w:val="20"/>
          <w:szCs w:val="20"/>
        </w:rPr>
      </w:pPr>
      <w:r w:rsidRPr="000977F7">
        <w:rPr>
          <w:color w:val="auto"/>
          <w:spacing w:val="-57"/>
          <w:sz w:val="20"/>
          <w:szCs w:val="20"/>
        </w:rPr>
        <w:t xml:space="preserve"> </w:t>
      </w:r>
      <w:bookmarkStart w:id="269" w:name="_Toc132629648"/>
      <w:r w:rsidRPr="000977F7">
        <w:rPr>
          <w:i/>
          <w:color w:val="auto"/>
          <w:sz w:val="20"/>
          <w:szCs w:val="20"/>
        </w:rPr>
        <w:t>ДСТУ</w:t>
      </w:r>
      <w:r w:rsidRPr="000977F7">
        <w:rPr>
          <w:i/>
          <w:color w:val="auto"/>
          <w:spacing w:val="-1"/>
          <w:sz w:val="20"/>
          <w:szCs w:val="20"/>
        </w:rPr>
        <w:t xml:space="preserve"> </w:t>
      </w:r>
      <w:r w:rsidRPr="000977F7">
        <w:rPr>
          <w:i/>
          <w:color w:val="auto"/>
          <w:sz w:val="20"/>
          <w:szCs w:val="20"/>
        </w:rPr>
        <w:t>ISO 9000:2015</w:t>
      </w:r>
      <w:bookmarkEnd w:id="269"/>
    </w:p>
    <w:p w14:paraId="5292395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СПІР</w:t>
      </w:r>
      <w:r w:rsidRPr="000977F7">
        <w:rPr>
          <w:color w:val="auto"/>
          <w:spacing w:val="-1"/>
          <w:sz w:val="20"/>
          <w:szCs w:val="20"/>
        </w:rPr>
        <w:t xml:space="preserve"> </w:t>
      </w:r>
      <w:r w:rsidRPr="000977F7">
        <w:rPr>
          <w:color w:val="auto"/>
          <w:sz w:val="20"/>
          <w:szCs w:val="20"/>
        </w:rPr>
        <w:t>–</w:t>
      </w:r>
    </w:p>
    <w:p w14:paraId="4EADA8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DISPUTE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77213D7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Незгода, що виникає у зв’язку зі скаргою, подана провайдеру</w:t>
      </w:r>
      <w:r w:rsidRPr="000977F7">
        <w:rPr>
          <w:rFonts w:asciiTheme="majorHAnsi" w:hAnsiTheme="majorHAnsi"/>
          <w:spacing w:val="-2"/>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розв’язання</w:t>
      </w:r>
      <w:r w:rsidRPr="000977F7">
        <w:rPr>
          <w:rFonts w:asciiTheme="majorHAnsi" w:hAnsiTheme="majorHAnsi"/>
          <w:spacing w:val="1"/>
          <w:sz w:val="20"/>
          <w:szCs w:val="20"/>
        </w:rPr>
        <w:t xml:space="preserve"> </w:t>
      </w:r>
      <w:r w:rsidRPr="000977F7">
        <w:rPr>
          <w:rFonts w:asciiTheme="majorHAnsi" w:hAnsiTheme="majorHAnsi"/>
          <w:sz w:val="20"/>
          <w:szCs w:val="20"/>
        </w:rPr>
        <w:t>спорів.</w:t>
      </w:r>
    </w:p>
    <w:p w14:paraId="513F1E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Деякі організації дають змогу своїм замовникам висловлювати їхню незадоволеність провайдеру процесу розв’язання спорів у першій інстанції. У</w:t>
      </w:r>
      <w:r w:rsidRPr="000977F7">
        <w:rPr>
          <w:rFonts w:asciiTheme="majorHAnsi" w:hAnsiTheme="majorHAnsi"/>
          <w:spacing w:val="1"/>
          <w:sz w:val="20"/>
          <w:szCs w:val="20"/>
        </w:rPr>
        <w:t xml:space="preserve"> </w:t>
      </w:r>
      <w:r w:rsidRPr="000977F7">
        <w:rPr>
          <w:rFonts w:asciiTheme="majorHAnsi" w:hAnsiTheme="majorHAnsi"/>
          <w:sz w:val="20"/>
          <w:szCs w:val="20"/>
        </w:rPr>
        <w:t>цій ситуації висловлення незадоволеності стає скаргою, якщо її надіслано організації для реагування,</w:t>
      </w:r>
      <w:r w:rsidRPr="000977F7">
        <w:rPr>
          <w:rFonts w:asciiTheme="majorHAnsi" w:hAnsiTheme="majorHAnsi"/>
          <w:spacing w:val="1"/>
          <w:sz w:val="20"/>
          <w:szCs w:val="20"/>
        </w:rPr>
        <w:t xml:space="preserve"> </w:t>
      </w:r>
      <w:r w:rsidRPr="000977F7">
        <w:rPr>
          <w:rFonts w:asciiTheme="majorHAnsi" w:hAnsiTheme="majorHAnsi"/>
          <w:sz w:val="20"/>
          <w:szCs w:val="20"/>
        </w:rPr>
        <w:t>стає спором, якщо організація не розв’яже цю незадоволеність</w:t>
      </w:r>
      <w:r w:rsidRPr="000977F7">
        <w:rPr>
          <w:rFonts w:asciiTheme="majorHAnsi" w:hAnsiTheme="majorHAnsi"/>
          <w:spacing w:val="-1"/>
          <w:sz w:val="20"/>
          <w:szCs w:val="20"/>
        </w:rPr>
        <w:t xml:space="preserve"> </w:t>
      </w:r>
      <w:r w:rsidRPr="000977F7">
        <w:rPr>
          <w:rFonts w:asciiTheme="majorHAnsi" w:hAnsiTheme="majorHAnsi"/>
          <w:sz w:val="20"/>
          <w:szCs w:val="20"/>
        </w:rPr>
        <w:t>без</w:t>
      </w:r>
      <w:r w:rsidRPr="000977F7">
        <w:rPr>
          <w:rFonts w:asciiTheme="majorHAnsi" w:hAnsiTheme="majorHAnsi"/>
          <w:spacing w:val="-1"/>
          <w:sz w:val="20"/>
          <w:szCs w:val="20"/>
        </w:rPr>
        <w:t xml:space="preserve"> </w:t>
      </w:r>
      <w:r w:rsidRPr="000977F7">
        <w:rPr>
          <w:rFonts w:asciiTheme="majorHAnsi" w:hAnsiTheme="majorHAnsi"/>
          <w:sz w:val="20"/>
          <w:szCs w:val="20"/>
        </w:rPr>
        <w:t>втручання</w:t>
      </w:r>
      <w:r w:rsidRPr="000977F7">
        <w:rPr>
          <w:rFonts w:asciiTheme="majorHAnsi" w:hAnsiTheme="majorHAnsi"/>
          <w:spacing w:val="2"/>
          <w:sz w:val="20"/>
          <w:szCs w:val="20"/>
        </w:rPr>
        <w:t xml:space="preserve"> </w:t>
      </w:r>
      <w:r w:rsidRPr="000977F7">
        <w:rPr>
          <w:rFonts w:asciiTheme="majorHAnsi" w:hAnsiTheme="majorHAnsi"/>
          <w:sz w:val="20"/>
          <w:szCs w:val="20"/>
        </w:rPr>
        <w:t>провайдера процесу</w:t>
      </w:r>
      <w:r w:rsidRPr="000977F7">
        <w:rPr>
          <w:rFonts w:asciiTheme="majorHAnsi" w:hAnsiTheme="majorHAnsi"/>
          <w:spacing w:val="1"/>
          <w:sz w:val="20"/>
          <w:szCs w:val="20"/>
        </w:rPr>
        <w:t xml:space="preserve"> </w:t>
      </w:r>
      <w:r w:rsidRPr="000977F7">
        <w:rPr>
          <w:rFonts w:asciiTheme="majorHAnsi" w:hAnsiTheme="majorHAnsi"/>
          <w:sz w:val="20"/>
          <w:szCs w:val="20"/>
        </w:rPr>
        <w:t>розв’язання спорів. Багато організацій віддають перевагу тому, щоб їхні замовники висловлювали будь-яку незадоволеність спершу самій організації, перш</w:t>
      </w:r>
      <w:r w:rsidRPr="000977F7">
        <w:rPr>
          <w:rFonts w:asciiTheme="majorHAnsi" w:hAnsiTheme="majorHAnsi"/>
          <w:spacing w:val="1"/>
          <w:sz w:val="20"/>
          <w:szCs w:val="20"/>
        </w:rPr>
        <w:t xml:space="preserve"> </w:t>
      </w:r>
      <w:r w:rsidRPr="000977F7">
        <w:rPr>
          <w:rFonts w:asciiTheme="majorHAnsi" w:hAnsiTheme="majorHAnsi"/>
          <w:sz w:val="20"/>
          <w:szCs w:val="20"/>
        </w:rPr>
        <w:t>ніж удаватися до розв’язання спорів поза межами організації.</w:t>
      </w:r>
    </w:p>
    <w:p w14:paraId="7D897C3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ISO 9000:2015</w:t>
      </w:r>
    </w:p>
    <w:p w14:paraId="1E700761"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8"/>
          <w:sz w:val="20"/>
          <w:szCs w:val="20"/>
          <w:lang w:val="en-US"/>
        </w:rPr>
      </w:pPr>
      <w:r w:rsidRPr="000977F7">
        <w:rPr>
          <w:rFonts w:asciiTheme="majorHAnsi" w:hAnsiTheme="majorHAnsi"/>
          <w:b/>
          <w:sz w:val="20"/>
          <w:szCs w:val="20"/>
        </w:rPr>
        <w:t>СПІРАЛЬ</w:t>
      </w:r>
      <w:r w:rsidRPr="004D2D14">
        <w:rPr>
          <w:rFonts w:asciiTheme="majorHAnsi" w:hAnsiTheme="majorHAnsi"/>
          <w:b/>
          <w:sz w:val="20"/>
          <w:szCs w:val="20"/>
          <w:lang w:val="en-US"/>
        </w:rPr>
        <w:t xml:space="preserve"> </w:t>
      </w:r>
      <w:r w:rsidRPr="000977F7">
        <w:rPr>
          <w:rFonts w:asciiTheme="majorHAnsi" w:hAnsiTheme="majorHAnsi"/>
          <w:b/>
          <w:sz w:val="20"/>
          <w:szCs w:val="20"/>
        </w:rPr>
        <w:t>ЯКОСТІ</w:t>
      </w:r>
      <w:r w:rsidRPr="004D2D14">
        <w:rPr>
          <w:rFonts w:asciiTheme="majorHAnsi" w:hAnsiTheme="majorHAnsi"/>
          <w:b/>
          <w:sz w:val="20"/>
          <w:szCs w:val="20"/>
          <w:lang w:val="en-US"/>
        </w:rPr>
        <w:t xml:space="preserve"> –</w:t>
      </w:r>
      <w:r w:rsidRPr="004D2D14">
        <w:rPr>
          <w:rFonts w:asciiTheme="majorHAnsi" w:hAnsiTheme="majorHAnsi"/>
          <w:b/>
          <w:spacing w:val="-48"/>
          <w:sz w:val="20"/>
          <w:szCs w:val="20"/>
          <w:lang w:val="en-US"/>
        </w:rPr>
        <w:t xml:space="preserve"> </w:t>
      </w:r>
    </w:p>
    <w:p w14:paraId="4AD7D833"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QUALITY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LOOP</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558DECB3"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Концептуальна</w:t>
      </w:r>
      <w:r w:rsidRPr="000977F7">
        <w:rPr>
          <w:rFonts w:asciiTheme="majorHAnsi" w:hAnsiTheme="majorHAnsi"/>
          <w:spacing w:val="2"/>
          <w:sz w:val="20"/>
          <w:szCs w:val="20"/>
        </w:rPr>
        <w:t xml:space="preserve"> </w:t>
      </w:r>
      <w:r w:rsidRPr="000977F7">
        <w:rPr>
          <w:rFonts w:asciiTheme="majorHAnsi" w:hAnsiTheme="majorHAnsi"/>
          <w:sz w:val="20"/>
          <w:szCs w:val="20"/>
        </w:rPr>
        <w:t>модель</w:t>
      </w:r>
      <w:r w:rsidRPr="000977F7">
        <w:rPr>
          <w:rFonts w:asciiTheme="majorHAnsi" w:hAnsiTheme="majorHAnsi"/>
          <w:spacing w:val="2"/>
          <w:sz w:val="20"/>
          <w:szCs w:val="20"/>
        </w:rPr>
        <w:t xml:space="preserve"> </w:t>
      </w:r>
      <w:r w:rsidRPr="000977F7">
        <w:rPr>
          <w:rFonts w:asciiTheme="majorHAnsi" w:hAnsiTheme="majorHAnsi"/>
          <w:sz w:val="20"/>
          <w:szCs w:val="20"/>
        </w:rPr>
        <w:t>взаємозалежних</w:t>
      </w:r>
      <w:r w:rsidRPr="000977F7">
        <w:rPr>
          <w:rFonts w:asciiTheme="majorHAnsi" w:hAnsiTheme="majorHAnsi"/>
          <w:spacing w:val="1"/>
          <w:sz w:val="20"/>
          <w:szCs w:val="20"/>
        </w:rPr>
        <w:t xml:space="preserve"> </w:t>
      </w:r>
      <w:r w:rsidRPr="000977F7">
        <w:rPr>
          <w:rFonts w:asciiTheme="majorHAnsi" w:hAnsiTheme="majorHAnsi"/>
          <w:sz w:val="20"/>
          <w:szCs w:val="20"/>
        </w:rPr>
        <w:t>видів</w:t>
      </w:r>
      <w:r w:rsidRPr="000977F7">
        <w:rPr>
          <w:rFonts w:asciiTheme="majorHAnsi" w:hAnsiTheme="majorHAnsi"/>
          <w:spacing w:val="1"/>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35"/>
          <w:sz w:val="20"/>
          <w:szCs w:val="20"/>
        </w:rPr>
        <w:t xml:space="preserve"> </w:t>
      </w:r>
      <w:r w:rsidRPr="000977F7">
        <w:rPr>
          <w:rFonts w:asciiTheme="majorHAnsi" w:hAnsiTheme="majorHAnsi"/>
          <w:sz w:val="20"/>
          <w:szCs w:val="20"/>
        </w:rPr>
        <w:t>які</w:t>
      </w:r>
      <w:r w:rsidRPr="000977F7">
        <w:rPr>
          <w:rFonts w:asciiTheme="majorHAnsi" w:hAnsiTheme="majorHAnsi"/>
          <w:spacing w:val="36"/>
          <w:sz w:val="20"/>
          <w:szCs w:val="20"/>
        </w:rPr>
        <w:t xml:space="preserve"> </w:t>
      </w:r>
      <w:r w:rsidRPr="000977F7">
        <w:rPr>
          <w:rFonts w:asciiTheme="majorHAnsi" w:hAnsiTheme="majorHAnsi"/>
          <w:sz w:val="20"/>
          <w:szCs w:val="20"/>
        </w:rPr>
        <w:t>впливають</w:t>
      </w:r>
      <w:r w:rsidRPr="000977F7">
        <w:rPr>
          <w:rFonts w:asciiTheme="majorHAnsi" w:hAnsiTheme="majorHAnsi"/>
          <w:spacing w:val="36"/>
          <w:sz w:val="20"/>
          <w:szCs w:val="20"/>
        </w:rPr>
        <w:t xml:space="preserve"> </w:t>
      </w:r>
      <w:r w:rsidRPr="000977F7">
        <w:rPr>
          <w:rFonts w:asciiTheme="majorHAnsi" w:hAnsiTheme="majorHAnsi"/>
          <w:sz w:val="20"/>
          <w:szCs w:val="20"/>
        </w:rPr>
        <w:t>на</w:t>
      </w:r>
      <w:r w:rsidRPr="000977F7">
        <w:rPr>
          <w:rFonts w:asciiTheme="majorHAnsi" w:hAnsiTheme="majorHAnsi"/>
          <w:spacing w:val="36"/>
          <w:sz w:val="20"/>
          <w:szCs w:val="20"/>
        </w:rPr>
        <w:t xml:space="preserve"> </w:t>
      </w:r>
      <w:r w:rsidRPr="000977F7">
        <w:rPr>
          <w:rFonts w:asciiTheme="majorHAnsi" w:hAnsiTheme="majorHAnsi"/>
          <w:sz w:val="20"/>
          <w:szCs w:val="20"/>
        </w:rPr>
        <w:t>якість</w:t>
      </w:r>
      <w:r w:rsidRPr="000977F7">
        <w:rPr>
          <w:rFonts w:asciiTheme="majorHAnsi" w:hAnsiTheme="majorHAnsi"/>
          <w:spacing w:val="36"/>
          <w:sz w:val="20"/>
          <w:szCs w:val="20"/>
        </w:rPr>
        <w:t xml:space="preserve"> </w:t>
      </w:r>
      <w:r w:rsidRPr="000977F7">
        <w:rPr>
          <w:rFonts w:asciiTheme="majorHAnsi" w:hAnsiTheme="majorHAnsi"/>
          <w:sz w:val="20"/>
          <w:szCs w:val="20"/>
        </w:rPr>
        <w:t>на</w:t>
      </w:r>
      <w:r w:rsidRPr="000977F7">
        <w:rPr>
          <w:rFonts w:asciiTheme="majorHAnsi" w:hAnsiTheme="majorHAnsi"/>
          <w:spacing w:val="36"/>
          <w:sz w:val="20"/>
          <w:szCs w:val="20"/>
        </w:rPr>
        <w:t xml:space="preserve"> </w:t>
      </w:r>
      <w:r w:rsidRPr="000977F7">
        <w:rPr>
          <w:rFonts w:asciiTheme="majorHAnsi" w:hAnsiTheme="majorHAnsi"/>
          <w:sz w:val="20"/>
          <w:szCs w:val="20"/>
        </w:rPr>
        <w:t>різних</w:t>
      </w:r>
      <w:r w:rsidRPr="000977F7">
        <w:rPr>
          <w:rFonts w:asciiTheme="majorHAnsi" w:hAnsiTheme="majorHAnsi"/>
          <w:spacing w:val="35"/>
          <w:sz w:val="20"/>
          <w:szCs w:val="20"/>
        </w:rPr>
        <w:t xml:space="preserve"> </w:t>
      </w:r>
      <w:r w:rsidRPr="000977F7">
        <w:rPr>
          <w:rFonts w:asciiTheme="majorHAnsi" w:hAnsiTheme="majorHAnsi"/>
          <w:sz w:val="20"/>
          <w:szCs w:val="20"/>
        </w:rPr>
        <w:t>стадіях</w:t>
      </w:r>
      <w:r w:rsidRPr="000977F7">
        <w:rPr>
          <w:rFonts w:asciiTheme="majorHAnsi" w:hAnsiTheme="majorHAnsi"/>
          <w:spacing w:val="36"/>
          <w:sz w:val="20"/>
          <w:szCs w:val="20"/>
        </w:rPr>
        <w:t xml:space="preserve"> </w:t>
      </w:r>
      <w:r w:rsidRPr="000977F7">
        <w:rPr>
          <w:rFonts w:asciiTheme="majorHAnsi" w:hAnsiTheme="majorHAnsi"/>
          <w:sz w:val="20"/>
          <w:szCs w:val="20"/>
        </w:rPr>
        <w:t>від</w:t>
      </w:r>
      <w:r w:rsidRPr="000977F7">
        <w:rPr>
          <w:rFonts w:asciiTheme="majorHAnsi" w:hAnsiTheme="majorHAnsi"/>
          <w:spacing w:val="-47"/>
          <w:sz w:val="20"/>
          <w:szCs w:val="20"/>
        </w:rPr>
        <w:t xml:space="preserve"> </w:t>
      </w:r>
      <w:r w:rsidRPr="000977F7">
        <w:rPr>
          <w:rFonts w:asciiTheme="majorHAnsi" w:hAnsiTheme="majorHAnsi"/>
          <w:sz w:val="20"/>
          <w:szCs w:val="20"/>
        </w:rPr>
        <w:t>визначення потреб до оцінки їх задовільнення</w:t>
      </w:r>
    </w:p>
    <w:p w14:paraId="40BE7681"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b/>
          <w:sz w:val="20"/>
          <w:szCs w:val="20"/>
        </w:rPr>
        <w:t>СПОЖИВАЧ</w:t>
      </w:r>
      <w:r w:rsidRPr="000977F7">
        <w:rPr>
          <w:rFonts w:asciiTheme="majorHAnsi" w:hAnsiTheme="majorHAnsi"/>
          <w:b/>
          <w:spacing w:val="5"/>
          <w:sz w:val="20"/>
          <w:szCs w:val="20"/>
        </w:rPr>
        <w:t xml:space="preserve"> </w:t>
      </w:r>
      <w:r w:rsidRPr="000977F7">
        <w:rPr>
          <w:rFonts w:asciiTheme="majorHAnsi" w:hAnsiTheme="majorHAnsi"/>
          <w:i/>
          <w:sz w:val="20"/>
          <w:szCs w:val="20"/>
        </w:rPr>
        <w:t>–</w:t>
      </w:r>
    </w:p>
    <w:p w14:paraId="65D506C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CUSTOMER</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872114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Фізична особа, яка придбаває, замовляє, використовує або має намір придбати чи замовити продукцію для особистих потреб, безпосередньо не пов'язаних з підприємницькою діяльністю або виконанням обов'язків найманого працівника</w:t>
      </w:r>
    </w:p>
    <w:p w14:paraId="0B0DBCD8"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Ст. 1 закону України "Про захист прав споживачів"</w:t>
      </w:r>
    </w:p>
    <w:p w14:paraId="29125B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Підприємство</w:t>
      </w:r>
      <w:r w:rsidRPr="000977F7">
        <w:rPr>
          <w:rFonts w:asciiTheme="majorHAnsi" w:hAnsiTheme="majorHAnsi"/>
          <w:spacing w:val="10"/>
          <w:sz w:val="20"/>
          <w:szCs w:val="20"/>
        </w:rPr>
        <w:t xml:space="preserve"> </w:t>
      </w:r>
      <w:r w:rsidRPr="000977F7">
        <w:rPr>
          <w:rFonts w:asciiTheme="majorHAnsi" w:hAnsiTheme="majorHAnsi"/>
          <w:sz w:val="20"/>
          <w:szCs w:val="20"/>
        </w:rPr>
        <w:t>чи</w:t>
      </w:r>
      <w:r w:rsidRPr="000977F7">
        <w:rPr>
          <w:rFonts w:asciiTheme="majorHAnsi" w:hAnsiTheme="majorHAnsi"/>
          <w:spacing w:val="9"/>
          <w:sz w:val="20"/>
          <w:szCs w:val="20"/>
        </w:rPr>
        <w:t xml:space="preserve"> </w:t>
      </w:r>
      <w:r w:rsidRPr="000977F7">
        <w:rPr>
          <w:rFonts w:asciiTheme="majorHAnsi" w:hAnsiTheme="majorHAnsi"/>
          <w:sz w:val="20"/>
          <w:szCs w:val="20"/>
        </w:rPr>
        <w:t>організація,</w:t>
      </w:r>
      <w:r w:rsidRPr="000977F7">
        <w:rPr>
          <w:rFonts w:asciiTheme="majorHAnsi" w:hAnsiTheme="majorHAnsi"/>
          <w:spacing w:val="10"/>
          <w:sz w:val="20"/>
          <w:szCs w:val="20"/>
        </w:rPr>
        <w:t xml:space="preserve"> </w:t>
      </w:r>
      <w:r w:rsidRPr="000977F7">
        <w:rPr>
          <w:rFonts w:asciiTheme="majorHAnsi" w:hAnsiTheme="majorHAnsi"/>
          <w:sz w:val="20"/>
          <w:szCs w:val="20"/>
        </w:rPr>
        <w:t>які</w:t>
      </w:r>
      <w:r w:rsidRPr="000977F7">
        <w:rPr>
          <w:rFonts w:asciiTheme="majorHAnsi" w:hAnsiTheme="majorHAnsi"/>
          <w:spacing w:val="10"/>
          <w:sz w:val="20"/>
          <w:szCs w:val="20"/>
        </w:rPr>
        <w:t xml:space="preserve"> </w:t>
      </w:r>
      <w:r w:rsidRPr="000977F7">
        <w:rPr>
          <w:rFonts w:asciiTheme="majorHAnsi" w:hAnsiTheme="majorHAnsi"/>
          <w:sz w:val="20"/>
          <w:szCs w:val="20"/>
        </w:rPr>
        <w:t>використовують</w:t>
      </w:r>
      <w:r w:rsidRPr="000977F7">
        <w:rPr>
          <w:rFonts w:asciiTheme="majorHAnsi" w:hAnsiTheme="majorHAnsi"/>
          <w:spacing w:val="-47"/>
          <w:sz w:val="20"/>
          <w:szCs w:val="20"/>
        </w:rPr>
        <w:t xml:space="preserve"> </w:t>
      </w:r>
      <w:r w:rsidRPr="000977F7">
        <w:rPr>
          <w:rFonts w:asciiTheme="majorHAnsi" w:hAnsiTheme="majorHAnsi"/>
          <w:sz w:val="20"/>
          <w:szCs w:val="20"/>
        </w:rPr>
        <w:t>дану</w:t>
      </w:r>
      <w:r w:rsidRPr="000977F7">
        <w:rPr>
          <w:rFonts w:asciiTheme="majorHAnsi" w:hAnsiTheme="majorHAnsi"/>
          <w:spacing w:val="-2"/>
          <w:sz w:val="20"/>
          <w:szCs w:val="20"/>
        </w:rPr>
        <w:t xml:space="preserve"> </w:t>
      </w:r>
      <w:r w:rsidRPr="000977F7">
        <w:rPr>
          <w:rFonts w:asciiTheme="majorHAnsi" w:hAnsiTheme="majorHAnsi"/>
          <w:sz w:val="20"/>
          <w:szCs w:val="20"/>
        </w:rPr>
        <w:t>продукцію</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призначенням</w:t>
      </w:r>
    </w:p>
    <w:p w14:paraId="403DA38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2960 - 94;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3278 - 95</w:t>
      </w:r>
    </w:p>
    <w:p w14:paraId="17B6420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СПОЖИВЧА</w:t>
      </w:r>
      <w:r w:rsidRPr="000977F7">
        <w:rPr>
          <w:color w:val="auto"/>
          <w:spacing w:val="-5"/>
          <w:sz w:val="20"/>
          <w:szCs w:val="20"/>
        </w:rPr>
        <w:t xml:space="preserve"> </w:t>
      </w:r>
      <w:r w:rsidRPr="000977F7">
        <w:rPr>
          <w:color w:val="auto"/>
          <w:sz w:val="20"/>
          <w:szCs w:val="20"/>
        </w:rPr>
        <w:t>ПАНЕЛЬ</w:t>
      </w:r>
      <w:r w:rsidRPr="000977F7">
        <w:rPr>
          <w:color w:val="auto"/>
          <w:spacing w:val="-1"/>
          <w:sz w:val="20"/>
          <w:szCs w:val="20"/>
        </w:rPr>
        <w:t xml:space="preserve"> </w:t>
      </w:r>
      <w:r w:rsidRPr="000977F7">
        <w:rPr>
          <w:color w:val="auto"/>
          <w:sz w:val="20"/>
          <w:szCs w:val="20"/>
        </w:rPr>
        <w:t>–</w:t>
      </w:r>
    </w:p>
    <w:p w14:paraId="4610399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Еталонна група споживачів, оцінювання яких використовуються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характеристики</w:t>
      </w:r>
      <w:r w:rsidRPr="000977F7">
        <w:rPr>
          <w:rFonts w:asciiTheme="majorHAnsi" w:hAnsiTheme="majorHAnsi"/>
          <w:spacing w:val="1"/>
          <w:sz w:val="20"/>
          <w:szCs w:val="20"/>
        </w:rPr>
        <w:t xml:space="preserve"> </w:t>
      </w:r>
      <w:r w:rsidRPr="000977F7">
        <w:rPr>
          <w:rFonts w:asciiTheme="majorHAnsi" w:hAnsiTheme="majorHAnsi"/>
          <w:sz w:val="20"/>
          <w:szCs w:val="20"/>
        </w:rPr>
        <w:t>погляду</w:t>
      </w:r>
      <w:r w:rsidRPr="000977F7">
        <w:rPr>
          <w:rFonts w:asciiTheme="majorHAnsi" w:hAnsiTheme="majorHAnsi"/>
          <w:spacing w:val="1"/>
          <w:sz w:val="20"/>
          <w:szCs w:val="20"/>
        </w:rPr>
        <w:t xml:space="preserve"> </w:t>
      </w:r>
      <w:r w:rsidRPr="000977F7">
        <w:rPr>
          <w:rFonts w:asciiTheme="majorHAnsi" w:hAnsiTheme="majorHAnsi"/>
          <w:sz w:val="20"/>
          <w:szCs w:val="20"/>
        </w:rPr>
        <w:t>загальної</w:t>
      </w:r>
      <w:r w:rsidRPr="000977F7">
        <w:rPr>
          <w:rFonts w:asciiTheme="majorHAnsi" w:hAnsiTheme="majorHAnsi"/>
          <w:spacing w:val="1"/>
          <w:sz w:val="20"/>
          <w:szCs w:val="20"/>
        </w:rPr>
        <w:t xml:space="preserve"> </w:t>
      </w:r>
      <w:r w:rsidRPr="000977F7">
        <w:rPr>
          <w:rFonts w:asciiTheme="majorHAnsi" w:hAnsiTheme="majorHAnsi"/>
          <w:sz w:val="20"/>
          <w:szCs w:val="20"/>
        </w:rPr>
        <w:t>сукупності</w:t>
      </w:r>
      <w:r w:rsidRPr="000977F7">
        <w:rPr>
          <w:rFonts w:asciiTheme="majorHAnsi" w:hAnsiTheme="majorHAnsi"/>
          <w:spacing w:val="-2"/>
          <w:sz w:val="20"/>
          <w:szCs w:val="20"/>
        </w:rPr>
        <w:t xml:space="preserve"> </w:t>
      </w:r>
      <w:r w:rsidRPr="000977F7">
        <w:rPr>
          <w:rFonts w:asciiTheme="majorHAnsi" w:hAnsiTheme="majorHAnsi"/>
          <w:sz w:val="20"/>
          <w:szCs w:val="20"/>
        </w:rPr>
        <w:t>споживачів</w:t>
      </w:r>
    </w:p>
    <w:p w14:paraId="777F673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 – 95</w:t>
      </w:r>
    </w:p>
    <w:p w14:paraId="6DA8B79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СПОРАДИЧНИЙ</w:t>
      </w:r>
      <w:r w:rsidRPr="000977F7">
        <w:rPr>
          <w:color w:val="auto"/>
          <w:spacing w:val="-4"/>
          <w:sz w:val="20"/>
          <w:szCs w:val="20"/>
        </w:rPr>
        <w:t xml:space="preserve"> </w:t>
      </w:r>
      <w:r w:rsidRPr="000977F7">
        <w:rPr>
          <w:color w:val="auto"/>
          <w:sz w:val="20"/>
          <w:szCs w:val="20"/>
        </w:rPr>
        <w:t>СИГНАЛ –</w:t>
      </w:r>
    </w:p>
    <w:p w14:paraId="7C984F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SPORADIC</w:t>
      </w:r>
      <w:r w:rsidRPr="000977F7">
        <w:rPr>
          <w:rFonts w:asciiTheme="majorHAnsi" w:hAnsiTheme="majorHAnsi"/>
          <w:spacing w:val="-3"/>
          <w:sz w:val="20"/>
          <w:szCs w:val="20"/>
        </w:rPr>
        <w:t xml:space="preserve"> </w:t>
      </w:r>
      <w:r w:rsidRPr="000977F7">
        <w:rPr>
          <w:rFonts w:asciiTheme="majorHAnsi" w:hAnsiTheme="majorHAnsi"/>
          <w:sz w:val="20"/>
          <w:szCs w:val="20"/>
        </w:rPr>
        <w:t>SIGNAL</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7A1BE54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Уривчастий</w:t>
      </w:r>
      <w:r w:rsidRPr="000977F7">
        <w:rPr>
          <w:rFonts w:asciiTheme="majorHAnsi" w:hAnsiTheme="majorHAnsi"/>
          <w:spacing w:val="-7"/>
          <w:sz w:val="20"/>
          <w:szCs w:val="20"/>
        </w:rPr>
        <w:t xml:space="preserve"> </w:t>
      </w:r>
      <w:r w:rsidRPr="000977F7">
        <w:rPr>
          <w:rFonts w:asciiTheme="majorHAnsi" w:hAnsiTheme="majorHAnsi"/>
          <w:sz w:val="20"/>
          <w:szCs w:val="20"/>
        </w:rPr>
        <w:t>сигнал,</w:t>
      </w:r>
      <w:r w:rsidRPr="000977F7">
        <w:rPr>
          <w:rFonts w:asciiTheme="majorHAnsi" w:hAnsiTheme="majorHAnsi"/>
          <w:spacing w:val="-5"/>
          <w:sz w:val="20"/>
          <w:szCs w:val="20"/>
        </w:rPr>
        <w:t xml:space="preserve"> </w:t>
      </w:r>
      <w:r w:rsidRPr="000977F7">
        <w:rPr>
          <w:rFonts w:asciiTheme="majorHAnsi" w:hAnsiTheme="majorHAnsi"/>
          <w:sz w:val="20"/>
          <w:szCs w:val="20"/>
        </w:rPr>
        <w:t>що</w:t>
      </w:r>
      <w:r w:rsidRPr="000977F7">
        <w:rPr>
          <w:rFonts w:asciiTheme="majorHAnsi" w:hAnsiTheme="majorHAnsi"/>
          <w:spacing w:val="-4"/>
          <w:sz w:val="20"/>
          <w:szCs w:val="20"/>
        </w:rPr>
        <w:t xml:space="preserve"> </w:t>
      </w:r>
      <w:r w:rsidRPr="000977F7">
        <w:rPr>
          <w:rFonts w:asciiTheme="majorHAnsi" w:hAnsiTheme="majorHAnsi"/>
          <w:sz w:val="20"/>
          <w:szCs w:val="20"/>
        </w:rPr>
        <w:t>ініціюється</w:t>
      </w:r>
      <w:r w:rsidRPr="000977F7">
        <w:rPr>
          <w:rFonts w:asciiTheme="majorHAnsi" w:hAnsiTheme="majorHAnsi"/>
          <w:spacing w:val="-6"/>
          <w:sz w:val="20"/>
          <w:szCs w:val="20"/>
        </w:rPr>
        <w:t xml:space="preserve"> </w:t>
      </w:r>
      <w:r w:rsidRPr="000977F7">
        <w:rPr>
          <w:rFonts w:asciiTheme="majorHAnsi" w:hAnsiTheme="majorHAnsi"/>
          <w:sz w:val="20"/>
          <w:szCs w:val="20"/>
        </w:rPr>
        <w:t>повідомленням</w:t>
      </w:r>
    </w:p>
    <w:p w14:paraId="1B36CD4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06CD3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Спорадичний</w:t>
      </w:r>
      <w:r w:rsidRPr="000977F7">
        <w:rPr>
          <w:rFonts w:asciiTheme="majorHAnsi" w:hAnsiTheme="majorHAnsi"/>
          <w:spacing w:val="-1"/>
          <w:sz w:val="20"/>
          <w:szCs w:val="20"/>
        </w:rPr>
        <w:t xml:space="preserve"> </w:t>
      </w:r>
      <w:r w:rsidRPr="000977F7">
        <w:rPr>
          <w:rFonts w:asciiTheme="majorHAnsi" w:hAnsiTheme="majorHAnsi"/>
          <w:sz w:val="20"/>
          <w:szCs w:val="20"/>
        </w:rPr>
        <w:t>сигнал передає</w:t>
      </w:r>
      <w:r w:rsidRPr="000977F7">
        <w:rPr>
          <w:rFonts w:asciiTheme="majorHAnsi" w:hAnsiTheme="majorHAnsi"/>
          <w:spacing w:val="1"/>
          <w:sz w:val="20"/>
          <w:szCs w:val="20"/>
        </w:rPr>
        <w:t xml:space="preserve"> </w:t>
      </w:r>
      <w:r w:rsidRPr="000977F7">
        <w:rPr>
          <w:rFonts w:asciiTheme="majorHAnsi" w:hAnsiTheme="majorHAnsi"/>
          <w:sz w:val="20"/>
          <w:szCs w:val="20"/>
        </w:rPr>
        <w:t>кожне</w:t>
      </w:r>
      <w:r w:rsidRPr="000977F7">
        <w:rPr>
          <w:rFonts w:asciiTheme="majorHAnsi" w:hAnsiTheme="majorHAnsi"/>
          <w:spacing w:val="2"/>
          <w:sz w:val="20"/>
          <w:szCs w:val="20"/>
        </w:rPr>
        <w:t xml:space="preserve"> </w:t>
      </w:r>
      <w:r w:rsidRPr="000977F7">
        <w:rPr>
          <w:rFonts w:asciiTheme="majorHAnsi" w:hAnsiTheme="majorHAnsi"/>
          <w:sz w:val="20"/>
          <w:szCs w:val="20"/>
        </w:rPr>
        <w:t>нове і</w:t>
      </w:r>
      <w:r w:rsidRPr="000977F7">
        <w:rPr>
          <w:rFonts w:asciiTheme="majorHAnsi" w:hAnsiTheme="majorHAnsi"/>
          <w:spacing w:val="1"/>
          <w:sz w:val="20"/>
          <w:szCs w:val="20"/>
        </w:rPr>
        <w:t xml:space="preserve"> </w:t>
      </w:r>
      <w:r w:rsidRPr="000977F7">
        <w:rPr>
          <w:rFonts w:asciiTheme="majorHAnsi" w:hAnsiTheme="majorHAnsi"/>
          <w:sz w:val="20"/>
          <w:szCs w:val="20"/>
        </w:rPr>
        <w:t>тільки нове</w:t>
      </w:r>
      <w:r w:rsidRPr="000977F7">
        <w:rPr>
          <w:rFonts w:asciiTheme="majorHAnsi" w:hAnsiTheme="majorHAnsi"/>
          <w:spacing w:val="-47"/>
          <w:sz w:val="20"/>
          <w:szCs w:val="20"/>
        </w:rPr>
        <w:t xml:space="preserve"> </w:t>
      </w:r>
      <w:r w:rsidRPr="000977F7">
        <w:rPr>
          <w:rFonts w:asciiTheme="majorHAnsi" w:hAnsiTheme="majorHAnsi"/>
          <w:sz w:val="20"/>
          <w:szCs w:val="20"/>
        </w:rPr>
        <w:t>повідомлення</w:t>
      </w:r>
      <w:r w:rsidRPr="000977F7">
        <w:rPr>
          <w:rFonts w:asciiTheme="majorHAnsi" w:hAnsiTheme="majorHAnsi"/>
          <w:spacing w:val="5"/>
          <w:sz w:val="20"/>
          <w:szCs w:val="20"/>
        </w:rPr>
        <w:t xml:space="preserve"> </w:t>
      </w:r>
      <w:r w:rsidRPr="000977F7">
        <w:rPr>
          <w:rFonts w:asciiTheme="majorHAnsi" w:hAnsiTheme="majorHAnsi"/>
          <w:sz w:val="20"/>
          <w:szCs w:val="20"/>
        </w:rPr>
        <w:t>(для</w:t>
      </w:r>
      <w:r w:rsidRPr="000977F7">
        <w:rPr>
          <w:rFonts w:asciiTheme="majorHAnsi" w:hAnsiTheme="majorHAnsi"/>
          <w:spacing w:val="6"/>
          <w:sz w:val="20"/>
          <w:szCs w:val="20"/>
        </w:rPr>
        <w:t xml:space="preserve"> </w:t>
      </w:r>
      <w:r w:rsidRPr="000977F7">
        <w:rPr>
          <w:rFonts w:asciiTheme="majorHAnsi" w:hAnsiTheme="majorHAnsi"/>
          <w:sz w:val="20"/>
          <w:szCs w:val="20"/>
        </w:rPr>
        <w:t>аналогових</w:t>
      </w:r>
      <w:r w:rsidRPr="000977F7">
        <w:rPr>
          <w:rFonts w:asciiTheme="majorHAnsi" w:hAnsiTheme="majorHAnsi"/>
          <w:spacing w:val="4"/>
          <w:sz w:val="20"/>
          <w:szCs w:val="20"/>
        </w:rPr>
        <w:t xml:space="preserve"> </w:t>
      </w:r>
      <w:r w:rsidRPr="000977F7">
        <w:rPr>
          <w:rFonts w:asciiTheme="majorHAnsi" w:hAnsiTheme="majorHAnsi"/>
          <w:sz w:val="20"/>
          <w:szCs w:val="20"/>
        </w:rPr>
        <w:t>даних</w:t>
      </w:r>
      <w:r w:rsidRPr="000977F7">
        <w:rPr>
          <w:rFonts w:asciiTheme="majorHAnsi" w:hAnsiTheme="majorHAnsi"/>
          <w:spacing w:val="7"/>
          <w:sz w:val="20"/>
          <w:szCs w:val="20"/>
        </w:rPr>
        <w:t xml:space="preserve"> </w:t>
      </w:r>
      <w:r w:rsidRPr="000977F7">
        <w:rPr>
          <w:rFonts w:asciiTheme="majorHAnsi" w:hAnsiTheme="majorHAnsi"/>
          <w:sz w:val="20"/>
          <w:szCs w:val="20"/>
        </w:rPr>
        <w:t>новим</w:t>
      </w:r>
      <w:r w:rsidRPr="000977F7">
        <w:rPr>
          <w:rFonts w:asciiTheme="majorHAnsi" w:hAnsiTheme="majorHAnsi"/>
          <w:spacing w:val="6"/>
          <w:sz w:val="20"/>
          <w:szCs w:val="20"/>
        </w:rPr>
        <w:t xml:space="preserve"> </w:t>
      </w:r>
      <w:r w:rsidRPr="000977F7">
        <w:rPr>
          <w:rFonts w:asciiTheme="majorHAnsi" w:hAnsiTheme="majorHAnsi"/>
          <w:sz w:val="20"/>
          <w:szCs w:val="20"/>
        </w:rPr>
        <w:t>вважається</w:t>
      </w:r>
      <w:r w:rsidRPr="000977F7">
        <w:rPr>
          <w:rFonts w:asciiTheme="majorHAnsi" w:hAnsiTheme="majorHAnsi"/>
          <w:spacing w:val="30"/>
          <w:sz w:val="20"/>
          <w:szCs w:val="20"/>
        </w:rPr>
        <w:t xml:space="preserve"> </w:t>
      </w:r>
      <w:r w:rsidRPr="000977F7">
        <w:rPr>
          <w:rFonts w:asciiTheme="majorHAnsi" w:hAnsiTheme="majorHAnsi"/>
          <w:sz w:val="20"/>
          <w:szCs w:val="20"/>
        </w:rPr>
        <w:t>повідомлення,</w:t>
      </w:r>
      <w:r w:rsidRPr="000977F7">
        <w:rPr>
          <w:rFonts w:asciiTheme="majorHAnsi" w:hAnsiTheme="majorHAnsi"/>
          <w:spacing w:val="33"/>
          <w:sz w:val="20"/>
          <w:szCs w:val="20"/>
        </w:rPr>
        <w:t xml:space="preserve"> </w:t>
      </w:r>
      <w:r w:rsidRPr="000977F7">
        <w:rPr>
          <w:rFonts w:asciiTheme="majorHAnsi" w:hAnsiTheme="majorHAnsi"/>
          <w:sz w:val="20"/>
          <w:szCs w:val="20"/>
        </w:rPr>
        <w:t>яке</w:t>
      </w:r>
      <w:r w:rsidRPr="000977F7">
        <w:rPr>
          <w:rFonts w:asciiTheme="majorHAnsi" w:hAnsiTheme="majorHAnsi"/>
          <w:spacing w:val="32"/>
          <w:sz w:val="20"/>
          <w:szCs w:val="20"/>
        </w:rPr>
        <w:t xml:space="preserve"> </w:t>
      </w:r>
      <w:r w:rsidRPr="000977F7">
        <w:rPr>
          <w:rFonts w:asciiTheme="majorHAnsi" w:hAnsiTheme="majorHAnsi"/>
          <w:sz w:val="20"/>
          <w:szCs w:val="20"/>
        </w:rPr>
        <w:t>відрізняється</w:t>
      </w:r>
      <w:r w:rsidRPr="000977F7">
        <w:rPr>
          <w:rFonts w:asciiTheme="majorHAnsi" w:hAnsiTheme="majorHAnsi"/>
          <w:spacing w:val="33"/>
          <w:sz w:val="20"/>
          <w:szCs w:val="20"/>
        </w:rPr>
        <w:t xml:space="preserve"> </w:t>
      </w:r>
      <w:r w:rsidRPr="000977F7">
        <w:rPr>
          <w:rFonts w:asciiTheme="majorHAnsi" w:hAnsiTheme="majorHAnsi"/>
          <w:sz w:val="20"/>
          <w:szCs w:val="20"/>
        </w:rPr>
        <w:t>від</w:t>
      </w:r>
      <w:r w:rsidRPr="000977F7">
        <w:rPr>
          <w:rFonts w:asciiTheme="majorHAnsi" w:hAnsiTheme="majorHAnsi"/>
          <w:spacing w:val="33"/>
          <w:sz w:val="20"/>
          <w:szCs w:val="20"/>
        </w:rPr>
        <w:t xml:space="preserve"> </w:t>
      </w:r>
      <w:r w:rsidRPr="000977F7">
        <w:rPr>
          <w:rFonts w:asciiTheme="majorHAnsi" w:hAnsiTheme="majorHAnsi"/>
          <w:sz w:val="20"/>
          <w:szCs w:val="20"/>
        </w:rPr>
        <w:t>попереднього</w:t>
      </w:r>
      <w:r w:rsidRPr="000977F7">
        <w:rPr>
          <w:rFonts w:asciiTheme="majorHAnsi" w:hAnsiTheme="majorHAnsi"/>
          <w:spacing w:val="-47"/>
          <w:sz w:val="20"/>
          <w:szCs w:val="20"/>
        </w:rPr>
        <w:t xml:space="preserve"> </w:t>
      </w:r>
      <w:r w:rsidRPr="000977F7">
        <w:rPr>
          <w:rFonts w:asciiTheme="majorHAnsi" w:hAnsiTheme="majorHAnsi"/>
          <w:sz w:val="20"/>
          <w:szCs w:val="20"/>
        </w:rPr>
        <w:t>на величину, що перевищує деяке порогове значення)</w:t>
      </w:r>
    </w:p>
    <w:p w14:paraId="09FEECD4"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2000</w:t>
      </w:r>
    </w:p>
    <w:p w14:paraId="13D03CB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СПОСІБ</w:t>
      </w:r>
      <w:r w:rsidRPr="000977F7">
        <w:rPr>
          <w:color w:val="auto"/>
          <w:spacing w:val="-3"/>
          <w:sz w:val="20"/>
          <w:szCs w:val="20"/>
        </w:rPr>
        <w:t xml:space="preserve"> </w:t>
      </w:r>
      <w:r w:rsidRPr="000977F7">
        <w:rPr>
          <w:color w:val="auto"/>
          <w:sz w:val="20"/>
          <w:szCs w:val="20"/>
        </w:rPr>
        <w:t>–</w:t>
      </w:r>
    </w:p>
    <w:p w14:paraId="36B6C9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Закінчена сукупність дій, які застосовує людина 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переходу</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об’єднана</w:t>
      </w:r>
      <w:r w:rsidRPr="000977F7">
        <w:rPr>
          <w:rFonts w:asciiTheme="majorHAnsi" w:hAnsiTheme="majorHAnsi"/>
          <w:spacing w:val="-1"/>
          <w:sz w:val="20"/>
          <w:szCs w:val="20"/>
        </w:rPr>
        <w:t xml:space="preserve"> </w:t>
      </w:r>
      <w:r w:rsidRPr="000977F7">
        <w:rPr>
          <w:rFonts w:asciiTheme="majorHAnsi" w:hAnsiTheme="majorHAnsi"/>
          <w:sz w:val="20"/>
          <w:szCs w:val="20"/>
        </w:rPr>
        <w:t>одним цільовим призначенням</w:t>
      </w:r>
    </w:p>
    <w:p w14:paraId="1D5249C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78E5285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СПОСІБ</w:t>
      </w:r>
      <w:r w:rsidRPr="000977F7">
        <w:rPr>
          <w:color w:val="auto"/>
          <w:spacing w:val="-6"/>
          <w:sz w:val="20"/>
          <w:szCs w:val="20"/>
        </w:rPr>
        <w:t xml:space="preserve"> </w:t>
      </w:r>
      <w:r w:rsidRPr="000977F7">
        <w:rPr>
          <w:color w:val="auto"/>
          <w:sz w:val="20"/>
          <w:szCs w:val="20"/>
        </w:rPr>
        <w:t>НАВАНТАЖУВАННЯ</w:t>
      </w:r>
      <w:r w:rsidRPr="000977F7">
        <w:rPr>
          <w:color w:val="auto"/>
          <w:spacing w:val="-1"/>
          <w:sz w:val="20"/>
          <w:szCs w:val="20"/>
        </w:rPr>
        <w:t xml:space="preserve"> </w:t>
      </w:r>
      <w:r w:rsidRPr="000977F7">
        <w:rPr>
          <w:color w:val="auto"/>
          <w:sz w:val="20"/>
          <w:szCs w:val="20"/>
        </w:rPr>
        <w:t>–</w:t>
      </w:r>
    </w:p>
    <w:p w14:paraId="0A4A662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LOADING</w:t>
      </w:r>
      <w:r w:rsidRPr="000977F7">
        <w:rPr>
          <w:rFonts w:asciiTheme="majorHAnsi" w:hAnsiTheme="majorHAnsi"/>
          <w:spacing w:val="46"/>
          <w:sz w:val="20"/>
          <w:szCs w:val="20"/>
        </w:rPr>
        <w:t xml:space="preserve"> </w:t>
      </w:r>
      <w:r w:rsidRPr="000977F7">
        <w:rPr>
          <w:rFonts w:asciiTheme="majorHAnsi" w:hAnsiTheme="majorHAnsi"/>
          <w:sz w:val="20"/>
          <w:szCs w:val="20"/>
        </w:rPr>
        <w:t>TECHNIQUE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633DD56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Спосіб використання певного виду енергії для перетворення її в роботу деформування та (чи) руйнування</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5631F9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63A15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Способи навантажування, що базуються на використанні</w:t>
      </w:r>
      <w:r w:rsidRPr="000977F7">
        <w:rPr>
          <w:rFonts w:asciiTheme="majorHAnsi" w:hAnsiTheme="majorHAnsi"/>
          <w:spacing w:val="1"/>
          <w:sz w:val="20"/>
          <w:szCs w:val="20"/>
        </w:rPr>
        <w:t xml:space="preserve"> </w:t>
      </w:r>
      <w:r w:rsidRPr="000977F7">
        <w:rPr>
          <w:rFonts w:asciiTheme="majorHAnsi" w:hAnsiTheme="majorHAnsi"/>
          <w:sz w:val="20"/>
          <w:szCs w:val="20"/>
        </w:rPr>
        <w:t>електричної, теплової, пружної енергії, а також</w:t>
      </w:r>
      <w:r w:rsidRPr="000977F7">
        <w:rPr>
          <w:rFonts w:asciiTheme="majorHAnsi" w:hAnsiTheme="majorHAnsi"/>
          <w:spacing w:val="1"/>
          <w:sz w:val="20"/>
          <w:szCs w:val="20"/>
        </w:rPr>
        <w:t xml:space="preserve"> </w:t>
      </w:r>
      <w:r w:rsidRPr="000977F7">
        <w:rPr>
          <w:rFonts w:asciiTheme="majorHAnsi" w:hAnsiTheme="majorHAnsi"/>
          <w:sz w:val="20"/>
          <w:szCs w:val="20"/>
        </w:rPr>
        <w:t>потенціальної чи кінетичної енергії вантажу, чи кінетичної</w:t>
      </w:r>
      <w:r w:rsidRPr="000977F7">
        <w:rPr>
          <w:rFonts w:asciiTheme="majorHAnsi" w:hAnsiTheme="majorHAnsi"/>
          <w:spacing w:val="-2"/>
          <w:sz w:val="20"/>
          <w:szCs w:val="20"/>
        </w:rPr>
        <w:t xml:space="preserve"> </w:t>
      </w:r>
      <w:r w:rsidRPr="000977F7">
        <w:rPr>
          <w:rFonts w:asciiTheme="majorHAnsi" w:hAnsiTheme="majorHAnsi"/>
          <w:sz w:val="20"/>
          <w:szCs w:val="20"/>
        </w:rPr>
        <w:t>енергії</w:t>
      </w:r>
      <w:r w:rsidRPr="000977F7">
        <w:rPr>
          <w:rFonts w:asciiTheme="majorHAnsi" w:hAnsiTheme="majorHAnsi"/>
          <w:spacing w:val="-1"/>
          <w:sz w:val="20"/>
          <w:szCs w:val="20"/>
        </w:rPr>
        <w:t xml:space="preserve"> </w:t>
      </w:r>
      <w:r w:rsidRPr="000977F7">
        <w:rPr>
          <w:rFonts w:asciiTheme="majorHAnsi" w:hAnsiTheme="majorHAnsi"/>
          <w:sz w:val="20"/>
          <w:szCs w:val="20"/>
        </w:rPr>
        <w:t>маховика</w:t>
      </w:r>
    </w:p>
    <w:p w14:paraId="0D4B25A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6EF79D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1"/>
          <w:sz w:val="20"/>
          <w:szCs w:val="20"/>
        </w:rPr>
        <w:t xml:space="preserve">СПОСТЕРЕЖЕНА </w:t>
      </w:r>
      <w:r w:rsidRPr="000977F7">
        <w:rPr>
          <w:color w:val="auto"/>
          <w:sz w:val="20"/>
          <w:szCs w:val="20"/>
        </w:rPr>
        <w:t>ІНТЕНСИВНІСТЬ</w:t>
      </w:r>
    </w:p>
    <w:p w14:paraId="7C22EE1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47"/>
          <w:sz w:val="20"/>
          <w:szCs w:val="20"/>
        </w:rPr>
        <w:t xml:space="preserve"> </w:t>
      </w:r>
      <w:r w:rsidRPr="000977F7">
        <w:rPr>
          <w:color w:val="auto"/>
          <w:sz w:val="20"/>
          <w:szCs w:val="20"/>
        </w:rPr>
        <w:t>ВІДМОВ</w:t>
      </w:r>
      <w:r w:rsidRPr="000977F7">
        <w:rPr>
          <w:color w:val="auto"/>
          <w:spacing w:val="1"/>
          <w:sz w:val="20"/>
          <w:szCs w:val="20"/>
        </w:rPr>
        <w:t xml:space="preserve"> </w:t>
      </w:r>
      <w:r w:rsidRPr="000977F7">
        <w:rPr>
          <w:color w:val="auto"/>
          <w:sz w:val="20"/>
          <w:szCs w:val="20"/>
        </w:rPr>
        <w:t>–</w:t>
      </w:r>
    </w:p>
    <w:p w14:paraId="631514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OBSERVED</w:t>
      </w:r>
      <w:r w:rsidRPr="000977F7">
        <w:rPr>
          <w:rFonts w:asciiTheme="majorHAnsi" w:hAnsiTheme="majorHAnsi"/>
          <w:spacing w:val="-3"/>
          <w:sz w:val="20"/>
          <w:szCs w:val="20"/>
        </w:rPr>
        <w:t xml:space="preserve"> </w:t>
      </w:r>
      <w:r w:rsidRPr="000977F7">
        <w:rPr>
          <w:rFonts w:asciiTheme="majorHAnsi" w:hAnsiTheme="majorHAnsi"/>
          <w:sz w:val="20"/>
          <w:szCs w:val="20"/>
        </w:rPr>
        <w:t>FAILURE</w:t>
      </w:r>
      <w:r w:rsidRPr="000977F7">
        <w:rPr>
          <w:rFonts w:asciiTheme="majorHAnsi" w:hAnsiTheme="majorHAnsi"/>
          <w:spacing w:val="-2"/>
          <w:sz w:val="20"/>
          <w:szCs w:val="20"/>
        </w:rPr>
        <w:t xml:space="preserve"> </w:t>
      </w:r>
      <w:r w:rsidRPr="000977F7">
        <w:rPr>
          <w:rFonts w:asciiTheme="majorHAnsi" w:hAnsiTheme="majorHAnsi"/>
          <w:sz w:val="20"/>
          <w:szCs w:val="20"/>
        </w:rPr>
        <w:t>RATE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AC4BB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 загальної кількості відмов у виборці до</w:t>
      </w:r>
      <w:r w:rsidRPr="000977F7">
        <w:rPr>
          <w:rFonts w:asciiTheme="majorHAnsi" w:hAnsiTheme="majorHAnsi"/>
          <w:spacing w:val="1"/>
          <w:sz w:val="20"/>
          <w:szCs w:val="20"/>
        </w:rPr>
        <w:t xml:space="preserve"> </w:t>
      </w:r>
      <w:r w:rsidRPr="000977F7">
        <w:rPr>
          <w:rFonts w:asciiTheme="majorHAnsi" w:hAnsiTheme="majorHAnsi"/>
          <w:sz w:val="20"/>
          <w:szCs w:val="20"/>
        </w:rPr>
        <w:t>накопиченого</w:t>
      </w:r>
      <w:r w:rsidRPr="000977F7">
        <w:rPr>
          <w:rFonts w:asciiTheme="majorHAnsi" w:hAnsiTheme="majorHAnsi"/>
          <w:spacing w:val="1"/>
          <w:sz w:val="20"/>
          <w:szCs w:val="20"/>
        </w:rPr>
        <w:t xml:space="preserve"> </w:t>
      </w:r>
      <w:r w:rsidRPr="000977F7">
        <w:rPr>
          <w:rFonts w:asciiTheme="majorHAnsi" w:hAnsiTheme="majorHAnsi"/>
          <w:sz w:val="20"/>
          <w:szCs w:val="20"/>
        </w:rPr>
        <w:t>часу спостереження за</w:t>
      </w:r>
      <w:r w:rsidRPr="000977F7">
        <w:rPr>
          <w:rFonts w:asciiTheme="majorHAnsi" w:hAnsiTheme="majorHAnsi"/>
          <w:spacing w:val="50"/>
          <w:sz w:val="20"/>
          <w:szCs w:val="20"/>
        </w:rPr>
        <w:t xml:space="preserve"> </w:t>
      </w:r>
      <w:r w:rsidRPr="000977F7">
        <w:rPr>
          <w:rFonts w:asciiTheme="majorHAnsi" w:hAnsiTheme="majorHAnsi"/>
          <w:sz w:val="20"/>
          <w:szCs w:val="20"/>
        </w:rPr>
        <w:t>цією вибіркою</w:t>
      </w:r>
      <w:r w:rsidRPr="000977F7">
        <w:rPr>
          <w:rFonts w:asciiTheme="majorHAnsi" w:hAnsiTheme="majorHAnsi"/>
          <w:spacing w:val="1"/>
          <w:sz w:val="20"/>
          <w:szCs w:val="20"/>
        </w:rPr>
        <w:t xml:space="preserve"> </w:t>
      </w:r>
      <w:r w:rsidRPr="000977F7">
        <w:rPr>
          <w:rFonts w:asciiTheme="majorHAnsi" w:hAnsiTheme="majorHAnsi"/>
          <w:sz w:val="20"/>
          <w:szCs w:val="20"/>
        </w:rPr>
        <w:t>на протязі заданого терміну служби виробу; спостережена інтенсивність відмов повинна бути пов’язана з</w:t>
      </w:r>
      <w:r w:rsidRPr="000977F7">
        <w:rPr>
          <w:rFonts w:asciiTheme="majorHAnsi" w:hAnsiTheme="majorHAnsi"/>
          <w:spacing w:val="-47"/>
          <w:sz w:val="20"/>
          <w:szCs w:val="20"/>
        </w:rPr>
        <w:t xml:space="preserve"> </w:t>
      </w:r>
      <w:r w:rsidRPr="000977F7">
        <w:rPr>
          <w:rFonts w:asciiTheme="majorHAnsi" w:hAnsiTheme="majorHAnsi"/>
          <w:sz w:val="20"/>
          <w:szCs w:val="20"/>
        </w:rPr>
        <w:t>конкретними заданими інтервалами (або з підсумовуванням інтервалів) терміну служби виробів і із заданими умовами</w:t>
      </w:r>
    </w:p>
    <w:p w14:paraId="285FCFB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7EB11F8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Критерії</w:t>
      </w:r>
      <w:r w:rsidRPr="000977F7">
        <w:rPr>
          <w:rFonts w:asciiTheme="majorHAnsi" w:hAnsiTheme="majorHAnsi"/>
          <w:spacing w:val="1"/>
          <w:sz w:val="20"/>
          <w:szCs w:val="20"/>
        </w:rPr>
        <w:t xml:space="preserve"> </w:t>
      </w:r>
      <w:r w:rsidRPr="000977F7">
        <w:rPr>
          <w:rFonts w:asciiTheme="majorHAnsi" w:hAnsiTheme="majorHAnsi"/>
          <w:sz w:val="20"/>
          <w:szCs w:val="20"/>
        </w:rPr>
        <w:t>відмови</w:t>
      </w:r>
      <w:r w:rsidRPr="000977F7">
        <w:rPr>
          <w:rFonts w:asciiTheme="majorHAnsi" w:hAnsiTheme="majorHAnsi"/>
          <w:spacing w:val="1"/>
          <w:sz w:val="20"/>
          <w:szCs w:val="20"/>
        </w:rPr>
        <w:t xml:space="preserve"> </w:t>
      </w:r>
      <w:r w:rsidRPr="000977F7">
        <w:rPr>
          <w:rFonts w:asciiTheme="majorHAnsi" w:hAnsiTheme="majorHAnsi"/>
          <w:sz w:val="20"/>
          <w:szCs w:val="20"/>
        </w:rPr>
        <w:t>повинні</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визначені;</w:t>
      </w:r>
      <w:r w:rsidRPr="000977F7">
        <w:rPr>
          <w:rFonts w:asciiTheme="majorHAnsi" w:hAnsiTheme="majorHAnsi"/>
          <w:spacing w:val="1"/>
          <w:sz w:val="20"/>
          <w:szCs w:val="20"/>
        </w:rPr>
        <w:t xml:space="preserve"> </w:t>
      </w:r>
      <w:r w:rsidRPr="000977F7">
        <w:rPr>
          <w:rFonts w:asciiTheme="majorHAnsi" w:hAnsiTheme="majorHAnsi"/>
          <w:sz w:val="20"/>
          <w:szCs w:val="20"/>
        </w:rPr>
        <w:t>сумарне</w:t>
      </w:r>
      <w:r w:rsidRPr="000977F7">
        <w:rPr>
          <w:rFonts w:asciiTheme="majorHAnsi" w:hAnsiTheme="majorHAnsi"/>
          <w:spacing w:val="1"/>
          <w:sz w:val="20"/>
          <w:szCs w:val="20"/>
        </w:rPr>
        <w:t xml:space="preserve"> </w:t>
      </w:r>
      <w:r w:rsidRPr="000977F7">
        <w:rPr>
          <w:rFonts w:asciiTheme="majorHAnsi" w:hAnsiTheme="majorHAnsi"/>
          <w:sz w:val="20"/>
          <w:szCs w:val="20"/>
        </w:rPr>
        <w:t>напрацювання є сума інтервалів часу, на протязі яких</w:t>
      </w:r>
      <w:r w:rsidRPr="000977F7">
        <w:rPr>
          <w:rFonts w:asciiTheme="majorHAnsi" w:hAnsiTheme="majorHAnsi"/>
          <w:spacing w:val="1"/>
          <w:sz w:val="20"/>
          <w:szCs w:val="20"/>
        </w:rPr>
        <w:t xml:space="preserve"> </w:t>
      </w:r>
      <w:r w:rsidRPr="000977F7">
        <w:rPr>
          <w:rFonts w:asciiTheme="majorHAnsi" w:hAnsiTheme="majorHAnsi"/>
          <w:sz w:val="20"/>
          <w:szCs w:val="20"/>
        </w:rPr>
        <w:t>кожний окремий виріб виконував потрібну функцію в</w:t>
      </w:r>
      <w:r w:rsidRPr="000977F7">
        <w:rPr>
          <w:rFonts w:asciiTheme="majorHAnsi" w:hAnsiTheme="majorHAnsi"/>
          <w:spacing w:val="1"/>
          <w:sz w:val="20"/>
          <w:szCs w:val="20"/>
        </w:rPr>
        <w:t xml:space="preserve"> </w:t>
      </w:r>
      <w:r w:rsidRPr="000977F7">
        <w:rPr>
          <w:rFonts w:asciiTheme="majorHAnsi" w:hAnsiTheme="majorHAnsi"/>
          <w:sz w:val="20"/>
          <w:szCs w:val="20"/>
        </w:rPr>
        <w:t>заданих умовах</w:t>
      </w:r>
    </w:p>
    <w:p w14:paraId="6C12B19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СПОСТЕРЕЖЕНА</w:t>
      </w:r>
      <w:r w:rsidRPr="000977F7">
        <w:rPr>
          <w:color w:val="auto"/>
          <w:spacing w:val="-6"/>
          <w:sz w:val="20"/>
          <w:szCs w:val="20"/>
        </w:rPr>
        <w:t xml:space="preserve"> </w:t>
      </w:r>
      <w:r w:rsidRPr="000977F7">
        <w:rPr>
          <w:color w:val="auto"/>
          <w:sz w:val="20"/>
          <w:szCs w:val="20"/>
        </w:rPr>
        <w:t>НАДІЙНІСТЬ</w:t>
      </w:r>
      <w:r w:rsidRPr="000977F7">
        <w:rPr>
          <w:color w:val="auto"/>
          <w:spacing w:val="-3"/>
          <w:sz w:val="20"/>
          <w:szCs w:val="20"/>
        </w:rPr>
        <w:t xml:space="preserve"> </w:t>
      </w:r>
      <w:r w:rsidRPr="000977F7">
        <w:rPr>
          <w:color w:val="auto"/>
          <w:sz w:val="20"/>
          <w:szCs w:val="20"/>
        </w:rPr>
        <w:t>–</w:t>
      </w:r>
    </w:p>
    <w:p w14:paraId="2434C9C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OBSERVED</w:t>
      </w:r>
      <w:r w:rsidRPr="000977F7">
        <w:rPr>
          <w:rFonts w:asciiTheme="majorHAnsi" w:hAnsiTheme="majorHAnsi"/>
          <w:spacing w:val="-3"/>
          <w:sz w:val="20"/>
          <w:szCs w:val="20"/>
        </w:rPr>
        <w:t xml:space="preserve"> </w:t>
      </w:r>
      <w:r w:rsidRPr="000977F7">
        <w:rPr>
          <w:rFonts w:asciiTheme="majorHAnsi" w:hAnsiTheme="majorHAnsi"/>
          <w:sz w:val="20"/>
          <w:szCs w:val="20"/>
        </w:rPr>
        <w:t>RELIABILITY –</w:t>
      </w:r>
    </w:p>
    <w:p w14:paraId="182C8C04" w14:textId="77777777" w:rsidR="0097612F" w:rsidRPr="000977F7" w:rsidRDefault="0097612F" w:rsidP="00FD39A4">
      <w:pPr>
        <w:pStyle w:val="ac"/>
        <w:widowControl w:val="0"/>
        <w:numPr>
          <w:ilvl w:val="0"/>
          <w:numId w:val="82"/>
        </w:numPr>
        <w:tabs>
          <w:tab w:val="left" w:pos="284"/>
          <w:tab w:val="left" w:pos="58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неремонтованих виробів, для заданого періоду часу</w:t>
      </w:r>
      <w:r w:rsidRPr="000977F7">
        <w:rPr>
          <w:rFonts w:asciiTheme="majorHAnsi" w:hAnsiTheme="majorHAnsi"/>
          <w:spacing w:val="1"/>
          <w:sz w:val="20"/>
          <w:szCs w:val="20"/>
        </w:rPr>
        <w:t xml:space="preserve"> </w:t>
      </w:r>
      <w:r w:rsidRPr="000977F7">
        <w:rPr>
          <w:rFonts w:asciiTheme="majorHAnsi" w:hAnsiTheme="majorHAnsi"/>
          <w:sz w:val="20"/>
          <w:szCs w:val="20"/>
        </w:rPr>
        <w:t>відношення кількості виробів, які задовільно виконували свої функції в кінці періоду, до загальної кількості виробів</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3"/>
          <w:sz w:val="20"/>
          <w:szCs w:val="20"/>
        </w:rPr>
        <w:t xml:space="preserve"> </w:t>
      </w:r>
      <w:r w:rsidRPr="000977F7">
        <w:rPr>
          <w:rFonts w:asciiTheme="majorHAnsi" w:hAnsiTheme="majorHAnsi"/>
          <w:sz w:val="20"/>
          <w:szCs w:val="20"/>
        </w:rPr>
        <w:t>виборці</w:t>
      </w:r>
      <w:r w:rsidRPr="000977F7">
        <w:rPr>
          <w:rFonts w:asciiTheme="majorHAnsi" w:hAnsiTheme="majorHAnsi"/>
          <w:spacing w:val="1"/>
          <w:sz w:val="20"/>
          <w:szCs w:val="20"/>
        </w:rPr>
        <w:t xml:space="preserve"> </w:t>
      </w:r>
      <w:r w:rsidRPr="000977F7">
        <w:rPr>
          <w:rFonts w:asciiTheme="majorHAnsi" w:hAnsiTheme="majorHAnsi"/>
          <w:sz w:val="20"/>
          <w:szCs w:val="20"/>
        </w:rPr>
        <w:t>на початку</w:t>
      </w:r>
      <w:r w:rsidRPr="000977F7">
        <w:rPr>
          <w:rFonts w:asciiTheme="majorHAnsi" w:hAnsiTheme="majorHAnsi"/>
          <w:spacing w:val="-2"/>
          <w:sz w:val="20"/>
          <w:szCs w:val="20"/>
        </w:rPr>
        <w:t xml:space="preserve"> </w:t>
      </w:r>
      <w:r w:rsidRPr="000977F7">
        <w:rPr>
          <w:rFonts w:asciiTheme="majorHAnsi" w:hAnsiTheme="majorHAnsi"/>
          <w:sz w:val="20"/>
          <w:szCs w:val="20"/>
        </w:rPr>
        <w:t>періоду;</w:t>
      </w:r>
    </w:p>
    <w:p w14:paraId="000430F3" w14:textId="77777777" w:rsidR="0097612F" w:rsidRPr="000977F7" w:rsidRDefault="0097612F" w:rsidP="00FD39A4">
      <w:pPr>
        <w:pStyle w:val="ac"/>
        <w:widowControl w:val="0"/>
        <w:numPr>
          <w:ilvl w:val="0"/>
          <w:numId w:val="82"/>
        </w:numPr>
        <w:tabs>
          <w:tab w:val="left" w:pos="284"/>
          <w:tab w:val="left" w:pos="59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ремонтованого виробу або виробів, відношення кількості</w:t>
      </w:r>
      <w:r w:rsidRPr="000977F7">
        <w:rPr>
          <w:rFonts w:asciiTheme="majorHAnsi" w:hAnsiTheme="majorHAnsi"/>
          <w:spacing w:val="1"/>
          <w:sz w:val="20"/>
          <w:szCs w:val="20"/>
        </w:rPr>
        <w:t xml:space="preserve"> </w:t>
      </w:r>
      <w:r w:rsidRPr="000977F7">
        <w:rPr>
          <w:rFonts w:asciiTheme="majorHAnsi" w:hAnsiTheme="majorHAnsi"/>
          <w:sz w:val="20"/>
          <w:szCs w:val="20"/>
        </w:rPr>
        <w:t>випадків</w:t>
      </w:r>
      <w:r w:rsidRPr="000977F7">
        <w:rPr>
          <w:rFonts w:asciiTheme="majorHAnsi" w:hAnsiTheme="majorHAnsi"/>
          <w:spacing w:val="1"/>
          <w:sz w:val="20"/>
          <w:szCs w:val="20"/>
        </w:rPr>
        <w:t xml:space="preserve"> </w:t>
      </w:r>
      <w:r w:rsidRPr="000977F7">
        <w:rPr>
          <w:rFonts w:asciiTheme="majorHAnsi" w:hAnsiTheme="majorHAnsi"/>
          <w:sz w:val="20"/>
          <w:szCs w:val="20"/>
        </w:rPr>
        <w:t>задовільного</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заданих</w:t>
      </w:r>
      <w:r w:rsidRPr="000977F7">
        <w:rPr>
          <w:rFonts w:asciiTheme="majorHAnsi" w:hAnsiTheme="majorHAnsi"/>
          <w:spacing w:val="1"/>
          <w:sz w:val="20"/>
          <w:szCs w:val="20"/>
        </w:rPr>
        <w:t xml:space="preserve"> </w:t>
      </w:r>
      <w:r w:rsidRPr="000977F7">
        <w:rPr>
          <w:rFonts w:asciiTheme="majorHAnsi" w:hAnsiTheme="majorHAnsi"/>
          <w:sz w:val="20"/>
          <w:szCs w:val="20"/>
        </w:rPr>
        <w:t>функцій</w:t>
      </w:r>
      <w:r w:rsidRPr="000977F7">
        <w:rPr>
          <w:rFonts w:asciiTheme="majorHAnsi" w:hAnsiTheme="majorHAnsi"/>
          <w:spacing w:val="1"/>
          <w:sz w:val="20"/>
          <w:szCs w:val="20"/>
        </w:rPr>
        <w:t xml:space="preserve"> </w:t>
      </w:r>
      <w:r w:rsidRPr="000977F7">
        <w:rPr>
          <w:rFonts w:asciiTheme="majorHAnsi" w:hAnsiTheme="majorHAnsi"/>
          <w:sz w:val="20"/>
          <w:szCs w:val="20"/>
        </w:rPr>
        <w:t>виробом</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виробами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заданий</w:t>
      </w:r>
      <w:r w:rsidRPr="000977F7">
        <w:rPr>
          <w:rFonts w:asciiTheme="majorHAnsi" w:hAnsiTheme="majorHAnsi"/>
          <w:spacing w:val="1"/>
          <w:sz w:val="20"/>
          <w:szCs w:val="20"/>
        </w:rPr>
        <w:t xml:space="preserve"> </w:t>
      </w:r>
      <w:r w:rsidRPr="000977F7">
        <w:rPr>
          <w:rFonts w:asciiTheme="majorHAnsi" w:hAnsiTheme="majorHAnsi"/>
          <w:sz w:val="20"/>
          <w:szCs w:val="20"/>
        </w:rPr>
        <w:t>період</w:t>
      </w:r>
      <w:r w:rsidRPr="000977F7">
        <w:rPr>
          <w:rFonts w:asciiTheme="majorHAnsi" w:hAnsiTheme="majorHAnsi"/>
          <w:spacing w:val="-47"/>
          <w:sz w:val="20"/>
          <w:szCs w:val="20"/>
        </w:rPr>
        <w:t xml:space="preserve"> </w:t>
      </w:r>
      <w:r w:rsidRPr="000977F7">
        <w:rPr>
          <w:rFonts w:asciiTheme="majorHAnsi" w:hAnsiTheme="majorHAnsi"/>
          <w:sz w:val="20"/>
          <w:szCs w:val="20"/>
        </w:rPr>
        <w:t>часу до загальної кількості випадків, коли від виробу або виробів вимагалося виконання функцій в той</w:t>
      </w:r>
      <w:r w:rsidRPr="000977F7">
        <w:rPr>
          <w:rFonts w:asciiTheme="majorHAnsi" w:hAnsiTheme="majorHAnsi"/>
          <w:spacing w:val="-47"/>
          <w:sz w:val="20"/>
          <w:szCs w:val="20"/>
        </w:rPr>
        <w:t xml:space="preserve"> </w:t>
      </w:r>
      <w:r w:rsidRPr="000977F7">
        <w:rPr>
          <w:rFonts w:asciiTheme="majorHAnsi" w:hAnsiTheme="majorHAnsi"/>
          <w:sz w:val="20"/>
          <w:szCs w:val="20"/>
        </w:rPr>
        <w:t>же</w:t>
      </w:r>
      <w:r w:rsidRPr="000977F7">
        <w:rPr>
          <w:rFonts w:asciiTheme="majorHAnsi" w:hAnsiTheme="majorHAnsi"/>
          <w:spacing w:val="-1"/>
          <w:sz w:val="20"/>
          <w:szCs w:val="20"/>
        </w:rPr>
        <w:t xml:space="preserve"> </w:t>
      </w:r>
      <w:r w:rsidRPr="000977F7">
        <w:rPr>
          <w:rFonts w:asciiTheme="majorHAnsi" w:hAnsiTheme="majorHAnsi"/>
          <w:sz w:val="20"/>
          <w:szCs w:val="20"/>
        </w:rPr>
        <w:t>період</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3BD696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3250A80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Критерії</w:t>
      </w:r>
      <w:r w:rsidRPr="000977F7">
        <w:rPr>
          <w:rFonts w:asciiTheme="majorHAnsi" w:hAnsiTheme="majorHAnsi"/>
          <w:spacing w:val="1"/>
          <w:sz w:val="20"/>
          <w:szCs w:val="20"/>
        </w:rPr>
        <w:t xml:space="preserve"> </w:t>
      </w:r>
      <w:r w:rsidRPr="000977F7">
        <w:rPr>
          <w:rFonts w:asciiTheme="majorHAnsi" w:hAnsiTheme="majorHAnsi"/>
          <w:sz w:val="20"/>
          <w:szCs w:val="20"/>
        </w:rPr>
        <w:t>задовільного</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функцій</w:t>
      </w:r>
      <w:r w:rsidRPr="000977F7">
        <w:rPr>
          <w:rFonts w:asciiTheme="majorHAnsi" w:hAnsiTheme="majorHAnsi"/>
          <w:spacing w:val="1"/>
          <w:sz w:val="20"/>
          <w:szCs w:val="20"/>
        </w:rPr>
        <w:t xml:space="preserve"> </w:t>
      </w:r>
      <w:r w:rsidRPr="000977F7">
        <w:rPr>
          <w:rFonts w:asciiTheme="majorHAnsi" w:hAnsiTheme="majorHAnsi"/>
          <w:sz w:val="20"/>
          <w:szCs w:val="20"/>
        </w:rPr>
        <w:t>повинні</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2"/>
          <w:sz w:val="20"/>
          <w:szCs w:val="20"/>
        </w:rPr>
        <w:t xml:space="preserve"> </w:t>
      </w:r>
      <w:r w:rsidRPr="000977F7">
        <w:rPr>
          <w:rFonts w:asciiTheme="majorHAnsi" w:hAnsiTheme="majorHAnsi"/>
          <w:sz w:val="20"/>
          <w:szCs w:val="20"/>
        </w:rPr>
        <w:t>визначені</w:t>
      </w:r>
    </w:p>
    <w:p w14:paraId="5B4B8BC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СПОСТЕРЕЖЕНЕ</w:t>
      </w:r>
      <w:r w:rsidRPr="000977F7">
        <w:rPr>
          <w:color w:val="auto"/>
          <w:spacing w:val="-10"/>
          <w:sz w:val="20"/>
          <w:szCs w:val="20"/>
        </w:rPr>
        <w:t xml:space="preserve"> </w:t>
      </w:r>
      <w:r w:rsidRPr="000977F7">
        <w:rPr>
          <w:color w:val="auto"/>
          <w:sz w:val="20"/>
          <w:szCs w:val="20"/>
        </w:rPr>
        <w:t>СЕРЕДНЄ</w:t>
      </w:r>
      <w:r w:rsidRPr="000977F7">
        <w:rPr>
          <w:color w:val="auto"/>
          <w:spacing w:val="-10"/>
          <w:sz w:val="20"/>
          <w:szCs w:val="20"/>
        </w:rPr>
        <w:t xml:space="preserve"> </w:t>
      </w:r>
      <w:r w:rsidRPr="000977F7">
        <w:rPr>
          <w:color w:val="auto"/>
          <w:sz w:val="20"/>
          <w:szCs w:val="20"/>
        </w:rPr>
        <w:t>НАПРАЦЮВАННЯ</w:t>
      </w:r>
      <w:r w:rsidRPr="000977F7">
        <w:rPr>
          <w:color w:val="auto"/>
          <w:spacing w:val="-47"/>
          <w:sz w:val="20"/>
          <w:szCs w:val="20"/>
        </w:rPr>
        <w:t xml:space="preserve"> </w:t>
      </w:r>
      <w:r w:rsidRPr="000977F7">
        <w:rPr>
          <w:color w:val="auto"/>
          <w:sz w:val="20"/>
          <w:szCs w:val="20"/>
        </w:rPr>
        <w:t>ДО</w:t>
      </w:r>
      <w:r w:rsidRPr="000977F7">
        <w:rPr>
          <w:color w:val="auto"/>
          <w:spacing w:val="-1"/>
          <w:sz w:val="20"/>
          <w:szCs w:val="20"/>
        </w:rPr>
        <w:t xml:space="preserve"> </w:t>
      </w:r>
      <w:r w:rsidRPr="000977F7">
        <w:rPr>
          <w:color w:val="auto"/>
          <w:sz w:val="20"/>
          <w:szCs w:val="20"/>
        </w:rPr>
        <w:t>ВІДМОВИ</w:t>
      </w:r>
      <w:r w:rsidRPr="000977F7">
        <w:rPr>
          <w:color w:val="auto"/>
          <w:spacing w:val="2"/>
          <w:sz w:val="20"/>
          <w:szCs w:val="20"/>
        </w:rPr>
        <w:t xml:space="preserve"> </w:t>
      </w:r>
      <w:r w:rsidRPr="000977F7">
        <w:rPr>
          <w:color w:val="auto"/>
          <w:sz w:val="20"/>
          <w:szCs w:val="20"/>
        </w:rPr>
        <w:t>–</w:t>
      </w:r>
    </w:p>
    <w:p w14:paraId="7C3F478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OBSERVED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MEAN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FAILURE –</w:t>
      </w:r>
    </w:p>
    <w:p w14:paraId="22A91E1B"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Відношення</w:t>
      </w:r>
      <w:r w:rsidRPr="000977F7">
        <w:rPr>
          <w:rFonts w:asciiTheme="majorHAnsi" w:hAnsiTheme="majorHAnsi"/>
          <w:spacing w:val="1"/>
          <w:sz w:val="20"/>
          <w:szCs w:val="20"/>
        </w:rPr>
        <w:t xml:space="preserve"> </w:t>
      </w:r>
      <w:r w:rsidRPr="000977F7">
        <w:rPr>
          <w:rFonts w:asciiTheme="majorHAnsi" w:hAnsiTheme="majorHAnsi"/>
          <w:sz w:val="20"/>
          <w:szCs w:val="20"/>
        </w:rPr>
        <w:t>сумарного</w:t>
      </w:r>
      <w:r w:rsidRPr="000977F7">
        <w:rPr>
          <w:rFonts w:asciiTheme="majorHAnsi" w:hAnsiTheme="majorHAnsi"/>
          <w:spacing w:val="1"/>
          <w:sz w:val="20"/>
          <w:szCs w:val="20"/>
        </w:rPr>
        <w:t xml:space="preserve"> </w:t>
      </w:r>
      <w:r w:rsidRPr="000977F7">
        <w:rPr>
          <w:rFonts w:asciiTheme="majorHAnsi" w:hAnsiTheme="majorHAnsi"/>
          <w:sz w:val="20"/>
          <w:szCs w:val="20"/>
        </w:rPr>
        <w:t>напрацювання</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 xml:space="preserve">виборці до загальної кількості відмов у виборці на </w:t>
      </w:r>
      <w:r w:rsidRPr="000977F7">
        <w:rPr>
          <w:rFonts w:asciiTheme="majorHAnsi" w:hAnsiTheme="majorHAnsi"/>
          <w:sz w:val="20"/>
          <w:szCs w:val="20"/>
        </w:rPr>
        <w:t>протязі заданого періоду роботи виробу в заданих умовах</w:t>
      </w:r>
      <w:r w:rsidRPr="000977F7">
        <w:rPr>
          <w:rFonts w:asciiTheme="majorHAnsi" w:hAnsiTheme="majorHAnsi"/>
          <w:spacing w:val="-47"/>
          <w:sz w:val="20"/>
          <w:szCs w:val="20"/>
        </w:rPr>
        <w:t xml:space="preserve"> </w:t>
      </w:r>
    </w:p>
    <w:p w14:paraId="4CF4AD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1B7A4B5"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Слід визначити критерії відмови; сумарне напрацювання є сума інтервалів часу, на протязі яких кожний</w:t>
      </w:r>
      <w:r w:rsidRPr="000977F7">
        <w:rPr>
          <w:rFonts w:asciiTheme="majorHAnsi" w:hAnsiTheme="majorHAnsi"/>
          <w:spacing w:val="1"/>
          <w:sz w:val="20"/>
          <w:szCs w:val="20"/>
        </w:rPr>
        <w:t xml:space="preserve"> </w:t>
      </w:r>
      <w:r w:rsidRPr="000977F7">
        <w:rPr>
          <w:rFonts w:asciiTheme="majorHAnsi" w:hAnsiTheme="majorHAnsi"/>
          <w:sz w:val="20"/>
          <w:szCs w:val="20"/>
        </w:rPr>
        <w:t>окремий</w:t>
      </w:r>
      <w:r w:rsidRPr="000977F7">
        <w:rPr>
          <w:rFonts w:asciiTheme="majorHAnsi" w:hAnsiTheme="majorHAnsi"/>
          <w:spacing w:val="2"/>
          <w:sz w:val="20"/>
          <w:szCs w:val="20"/>
        </w:rPr>
        <w:t xml:space="preserve"> </w:t>
      </w:r>
      <w:r w:rsidRPr="000977F7">
        <w:rPr>
          <w:rFonts w:asciiTheme="majorHAnsi" w:hAnsiTheme="majorHAnsi"/>
          <w:sz w:val="20"/>
          <w:szCs w:val="20"/>
        </w:rPr>
        <w:t>виріб</w:t>
      </w:r>
      <w:r w:rsidRPr="000977F7">
        <w:rPr>
          <w:rFonts w:asciiTheme="majorHAnsi" w:hAnsiTheme="majorHAnsi"/>
          <w:spacing w:val="3"/>
          <w:sz w:val="20"/>
          <w:szCs w:val="20"/>
        </w:rPr>
        <w:t xml:space="preserve"> </w:t>
      </w:r>
      <w:r w:rsidRPr="000977F7">
        <w:rPr>
          <w:rFonts w:asciiTheme="majorHAnsi" w:hAnsiTheme="majorHAnsi"/>
          <w:sz w:val="20"/>
          <w:szCs w:val="20"/>
        </w:rPr>
        <w:t>виконував</w:t>
      </w:r>
      <w:r w:rsidRPr="000977F7">
        <w:rPr>
          <w:rFonts w:asciiTheme="majorHAnsi" w:hAnsiTheme="majorHAnsi"/>
          <w:spacing w:val="2"/>
          <w:sz w:val="20"/>
          <w:szCs w:val="20"/>
        </w:rPr>
        <w:t xml:space="preserve"> </w:t>
      </w:r>
      <w:r w:rsidRPr="000977F7">
        <w:rPr>
          <w:rFonts w:asciiTheme="majorHAnsi" w:hAnsiTheme="majorHAnsi"/>
          <w:sz w:val="20"/>
          <w:szCs w:val="20"/>
        </w:rPr>
        <w:t>потрібну</w:t>
      </w:r>
      <w:r w:rsidRPr="000977F7">
        <w:rPr>
          <w:rFonts w:asciiTheme="majorHAnsi" w:hAnsiTheme="majorHAnsi"/>
          <w:spacing w:val="3"/>
          <w:sz w:val="20"/>
          <w:szCs w:val="20"/>
        </w:rPr>
        <w:t xml:space="preserve"> </w:t>
      </w:r>
      <w:r w:rsidRPr="000977F7">
        <w:rPr>
          <w:rFonts w:asciiTheme="majorHAnsi" w:hAnsiTheme="majorHAnsi"/>
          <w:sz w:val="20"/>
          <w:szCs w:val="20"/>
        </w:rPr>
        <w:t>функцію</w:t>
      </w:r>
      <w:r w:rsidRPr="000977F7">
        <w:rPr>
          <w:rFonts w:asciiTheme="majorHAnsi" w:hAnsiTheme="majorHAnsi"/>
          <w:spacing w:val="3"/>
          <w:sz w:val="20"/>
          <w:szCs w:val="20"/>
        </w:rPr>
        <w:t xml:space="preserve"> </w:t>
      </w:r>
      <w:r w:rsidRPr="000977F7">
        <w:rPr>
          <w:rFonts w:asciiTheme="majorHAnsi" w:hAnsiTheme="majorHAnsi"/>
          <w:sz w:val="20"/>
          <w:szCs w:val="20"/>
        </w:rPr>
        <w:t>в</w:t>
      </w:r>
      <w:r w:rsidRPr="000977F7">
        <w:rPr>
          <w:rFonts w:asciiTheme="majorHAnsi" w:hAnsiTheme="majorHAnsi"/>
          <w:spacing w:val="3"/>
          <w:sz w:val="20"/>
          <w:szCs w:val="20"/>
        </w:rPr>
        <w:t xml:space="preserve"> </w:t>
      </w:r>
      <w:r w:rsidRPr="000977F7">
        <w:rPr>
          <w:rFonts w:asciiTheme="majorHAnsi" w:hAnsiTheme="majorHAnsi"/>
          <w:sz w:val="20"/>
          <w:szCs w:val="20"/>
        </w:rPr>
        <w:t>заданих умовах;</w:t>
      </w:r>
      <w:r w:rsidRPr="000977F7">
        <w:rPr>
          <w:rFonts w:asciiTheme="majorHAnsi" w:hAnsiTheme="majorHAnsi"/>
          <w:spacing w:val="22"/>
          <w:sz w:val="20"/>
          <w:szCs w:val="20"/>
        </w:rPr>
        <w:t xml:space="preserve"> </w:t>
      </w:r>
      <w:r w:rsidRPr="000977F7">
        <w:rPr>
          <w:rFonts w:asciiTheme="majorHAnsi" w:hAnsiTheme="majorHAnsi"/>
          <w:sz w:val="20"/>
          <w:szCs w:val="20"/>
        </w:rPr>
        <w:t>ця</w:t>
      </w:r>
      <w:r w:rsidRPr="000977F7">
        <w:rPr>
          <w:rFonts w:asciiTheme="majorHAnsi" w:hAnsiTheme="majorHAnsi"/>
          <w:spacing w:val="19"/>
          <w:sz w:val="20"/>
          <w:szCs w:val="20"/>
        </w:rPr>
        <w:t xml:space="preserve"> </w:t>
      </w:r>
      <w:r w:rsidRPr="000977F7">
        <w:rPr>
          <w:rFonts w:asciiTheme="majorHAnsi" w:hAnsiTheme="majorHAnsi"/>
          <w:sz w:val="20"/>
          <w:szCs w:val="20"/>
        </w:rPr>
        <w:t>величина</w:t>
      </w:r>
      <w:r w:rsidRPr="000977F7">
        <w:rPr>
          <w:rFonts w:asciiTheme="majorHAnsi" w:hAnsiTheme="majorHAnsi"/>
          <w:spacing w:val="20"/>
          <w:sz w:val="20"/>
          <w:szCs w:val="20"/>
        </w:rPr>
        <w:t xml:space="preserve"> </w:t>
      </w:r>
      <w:r w:rsidRPr="000977F7">
        <w:rPr>
          <w:rFonts w:asciiTheme="majorHAnsi" w:hAnsiTheme="majorHAnsi"/>
          <w:sz w:val="20"/>
          <w:szCs w:val="20"/>
        </w:rPr>
        <w:t>є</w:t>
      </w:r>
      <w:r w:rsidRPr="000977F7">
        <w:rPr>
          <w:rFonts w:asciiTheme="majorHAnsi" w:hAnsiTheme="majorHAnsi"/>
          <w:spacing w:val="20"/>
          <w:sz w:val="20"/>
          <w:szCs w:val="20"/>
        </w:rPr>
        <w:t xml:space="preserve"> </w:t>
      </w:r>
      <w:r w:rsidRPr="000977F7">
        <w:rPr>
          <w:rFonts w:asciiTheme="majorHAnsi" w:hAnsiTheme="majorHAnsi"/>
          <w:sz w:val="20"/>
          <w:szCs w:val="20"/>
        </w:rPr>
        <w:t>оберненою</w:t>
      </w:r>
      <w:r w:rsidRPr="000977F7">
        <w:rPr>
          <w:rFonts w:asciiTheme="majorHAnsi" w:hAnsiTheme="majorHAnsi"/>
          <w:spacing w:val="22"/>
          <w:sz w:val="20"/>
          <w:szCs w:val="20"/>
        </w:rPr>
        <w:t xml:space="preserve"> </w:t>
      </w:r>
      <w:r w:rsidRPr="000977F7">
        <w:rPr>
          <w:rFonts w:asciiTheme="majorHAnsi" w:hAnsiTheme="majorHAnsi"/>
          <w:sz w:val="20"/>
          <w:szCs w:val="20"/>
        </w:rPr>
        <w:t>по</w:t>
      </w:r>
      <w:r w:rsidRPr="000977F7">
        <w:rPr>
          <w:rFonts w:asciiTheme="majorHAnsi" w:hAnsiTheme="majorHAnsi"/>
          <w:spacing w:val="21"/>
          <w:sz w:val="20"/>
          <w:szCs w:val="20"/>
        </w:rPr>
        <w:t xml:space="preserve"> </w:t>
      </w:r>
      <w:r w:rsidRPr="000977F7">
        <w:rPr>
          <w:rFonts w:asciiTheme="majorHAnsi" w:hAnsiTheme="majorHAnsi"/>
          <w:sz w:val="20"/>
          <w:szCs w:val="20"/>
        </w:rPr>
        <w:t>відношенню</w:t>
      </w:r>
      <w:r w:rsidRPr="000977F7">
        <w:rPr>
          <w:rFonts w:asciiTheme="majorHAnsi" w:hAnsiTheme="majorHAnsi"/>
          <w:spacing w:val="20"/>
          <w:sz w:val="20"/>
          <w:szCs w:val="20"/>
        </w:rPr>
        <w:t xml:space="preserve"> </w:t>
      </w:r>
      <w:r w:rsidRPr="000977F7">
        <w:rPr>
          <w:rFonts w:asciiTheme="majorHAnsi" w:hAnsiTheme="majorHAnsi"/>
          <w:sz w:val="20"/>
          <w:szCs w:val="20"/>
        </w:rPr>
        <w:t>до</w:t>
      </w:r>
      <w:r w:rsidRPr="000977F7">
        <w:rPr>
          <w:rFonts w:asciiTheme="majorHAnsi" w:hAnsiTheme="majorHAnsi"/>
          <w:spacing w:val="-47"/>
          <w:sz w:val="20"/>
          <w:szCs w:val="20"/>
        </w:rPr>
        <w:t xml:space="preserve"> </w:t>
      </w:r>
      <w:r w:rsidRPr="000977F7">
        <w:rPr>
          <w:rFonts w:asciiTheme="majorHAnsi" w:hAnsiTheme="majorHAnsi"/>
          <w:sz w:val="20"/>
          <w:szCs w:val="20"/>
        </w:rPr>
        <w:t>спостереженої інтенсивності відмов за даний період</w:t>
      </w:r>
    </w:p>
    <w:p w14:paraId="5D368BF1"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СПОСТЕРЕЖЕНЕ СЕРЕДНЄ</w:t>
      </w:r>
    </w:p>
    <w:p w14:paraId="10A394BD"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НАПРАЦЮВАННЯ</w:t>
      </w:r>
      <w:r w:rsidRPr="000977F7">
        <w:rPr>
          <w:rFonts w:asciiTheme="majorHAnsi" w:hAnsiTheme="majorHAnsi"/>
          <w:b/>
          <w:spacing w:val="-47"/>
          <w:sz w:val="20"/>
          <w:szCs w:val="20"/>
        </w:rPr>
        <w:t xml:space="preserve">             </w:t>
      </w:r>
      <w:r w:rsidRPr="000977F7">
        <w:rPr>
          <w:rFonts w:asciiTheme="majorHAnsi" w:hAnsiTheme="majorHAnsi"/>
          <w:b/>
          <w:sz w:val="20"/>
          <w:szCs w:val="20"/>
        </w:rPr>
        <w:t>НА</w:t>
      </w:r>
      <w:r w:rsidRPr="000977F7">
        <w:rPr>
          <w:rFonts w:asciiTheme="majorHAnsi" w:hAnsiTheme="majorHAnsi"/>
          <w:b/>
          <w:spacing w:val="-1"/>
          <w:sz w:val="20"/>
          <w:szCs w:val="20"/>
        </w:rPr>
        <w:t xml:space="preserve"> </w:t>
      </w:r>
      <w:r w:rsidRPr="000977F7">
        <w:rPr>
          <w:rFonts w:asciiTheme="majorHAnsi" w:hAnsiTheme="majorHAnsi"/>
          <w:b/>
          <w:sz w:val="20"/>
          <w:szCs w:val="20"/>
        </w:rPr>
        <w:t>ВІДМОВУ</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6E8DD79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OBSERVED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MEAN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TIME BETWEEN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FAILURES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5295DB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Середнє</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напрацювання</w:t>
      </w:r>
      <w:r w:rsidRPr="000977F7">
        <w:rPr>
          <w:rFonts w:asciiTheme="majorHAnsi" w:hAnsiTheme="majorHAnsi"/>
          <w:spacing w:val="1"/>
          <w:sz w:val="20"/>
          <w:szCs w:val="20"/>
        </w:rPr>
        <w:t xml:space="preserve"> </w:t>
      </w:r>
      <w:r w:rsidRPr="000977F7">
        <w:rPr>
          <w:rFonts w:asciiTheme="majorHAnsi" w:hAnsiTheme="majorHAnsi"/>
          <w:sz w:val="20"/>
          <w:szCs w:val="20"/>
        </w:rPr>
        <w:t>між</w:t>
      </w:r>
      <w:r w:rsidRPr="000977F7">
        <w:rPr>
          <w:rFonts w:asciiTheme="majorHAnsi" w:hAnsiTheme="majorHAnsi"/>
          <w:spacing w:val="1"/>
          <w:sz w:val="20"/>
          <w:szCs w:val="20"/>
        </w:rPr>
        <w:t xml:space="preserve"> </w:t>
      </w:r>
      <w:r w:rsidRPr="000977F7">
        <w:rPr>
          <w:rFonts w:asciiTheme="majorHAnsi" w:hAnsiTheme="majorHAnsi"/>
          <w:sz w:val="20"/>
          <w:szCs w:val="20"/>
        </w:rPr>
        <w:t>послідовними</w:t>
      </w:r>
      <w:r w:rsidRPr="000977F7">
        <w:rPr>
          <w:rFonts w:asciiTheme="majorHAnsi" w:hAnsiTheme="majorHAnsi"/>
          <w:spacing w:val="1"/>
          <w:sz w:val="20"/>
          <w:szCs w:val="20"/>
        </w:rPr>
        <w:t xml:space="preserve"> </w:t>
      </w:r>
      <w:r w:rsidRPr="000977F7">
        <w:rPr>
          <w:rFonts w:asciiTheme="majorHAnsi" w:hAnsiTheme="majorHAnsi"/>
          <w:sz w:val="20"/>
          <w:szCs w:val="20"/>
        </w:rPr>
        <w:t>відмовами для заданого періоду роботи виробу, яке</w:t>
      </w:r>
      <w:r w:rsidRPr="000977F7">
        <w:rPr>
          <w:rFonts w:asciiTheme="majorHAnsi" w:hAnsiTheme="majorHAnsi"/>
          <w:spacing w:val="1"/>
          <w:sz w:val="20"/>
          <w:szCs w:val="20"/>
        </w:rPr>
        <w:t xml:space="preserve"> </w:t>
      </w:r>
      <w:r w:rsidRPr="000977F7">
        <w:rPr>
          <w:rFonts w:asciiTheme="majorHAnsi" w:hAnsiTheme="majorHAnsi"/>
          <w:sz w:val="20"/>
          <w:szCs w:val="20"/>
        </w:rPr>
        <w:t>визначається</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вигляді</w:t>
      </w:r>
      <w:r w:rsidRPr="000977F7">
        <w:rPr>
          <w:rFonts w:asciiTheme="majorHAnsi" w:hAnsiTheme="majorHAnsi"/>
          <w:spacing w:val="1"/>
          <w:sz w:val="20"/>
          <w:szCs w:val="20"/>
        </w:rPr>
        <w:t xml:space="preserve"> </w:t>
      </w:r>
      <w:r w:rsidRPr="000977F7">
        <w:rPr>
          <w:rFonts w:asciiTheme="majorHAnsi" w:hAnsiTheme="majorHAnsi"/>
          <w:sz w:val="20"/>
          <w:szCs w:val="20"/>
        </w:rPr>
        <w:t>відношення</w:t>
      </w:r>
      <w:r w:rsidRPr="000977F7">
        <w:rPr>
          <w:rFonts w:asciiTheme="majorHAnsi" w:hAnsiTheme="majorHAnsi"/>
          <w:spacing w:val="1"/>
          <w:sz w:val="20"/>
          <w:szCs w:val="20"/>
        </w:rPr>
        <w:t xml:space="preserve"> </w:t>
      </w:r>
      <w:r w:rsidRPr="000977F7">
        <w:rPr>
          <w:rFonts w:asciiTheme="majorHAnsi" w:hAnsiTheme="majorHAnsi"/>
          <w:sz w:val="20"/>
          <w:szCs w:val="20"/>
        </w:rPr>
        <w:t>спостереженого</w:t>
      </w:r>
      <w:r w:rsidRPr="000977F7">
        <w:rPr>
          <w:rFonts w:asciiTheme="majorHAnsi" w:hAnsiTheme="majorHAnsi"/>
          <w:spacing w:val="1"/>
          <w:sz w:val="20"/>
          <w:szCs w:val="20"/>
        </w:rPr>
        <w:t xml:space="preserve"> </w:t>
      </w:r>
      <w:r w:rsidRPr="000977F7">
        <w:rPr>
          <w:rFonts w:asciiTheme="majorHAnsi" w:hAnsiTheme="majorHAnsi"/>
          <w:sz w:val="20"/>
          <w:szCs w:val="20"/>
        </w:rPr>
        <w:t>часу</w:t>
      </w:r>
      <w:r w:rsidRPr="000977F7">
        <w:rPr>
          <w:rFonts w:asciiTheme="majorHAnsi" w:hAnsiTheme="majorHAnsi"/>
          <w:spacing w:val="-5"/>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кількості</w:t>
      </w:r>
      <w:r w:rsidRPr="000977F7">
        <w:rPr>
          <w:rFonts w:asciiTheme="majorHAnsi" w:hAnsiTheme="majorHAnsi"/>
          <w:spacing w:val="-1"/>
          <w:sz w:val="20"/>
          <w:szCs w:val="20"/>
        </w:rPr>
        <w:t xml:space="preserve"> </w:t>
      </w:r>
      <w:r w:rsidRPr="000977F7">
        <w:rPr>
          <w:rFonts w:asciiTheme="majorHAnsi" w:hAnsiTheme="majorHAnsi"/>
          <w:sz w:val="20"/>
          <w:szCs w:val="20"/>
        </w:rPr>
        <w:t>відмов</w:t>
      </w:r>
      <w:r w:rsidRPr="000977F7">
        <w:rPr>
          <w:rFonts w:asciiTheme="majorHAnsi" w:hAnsiTheme="majorHAnsi"/>
          <w:spacing w:val="-2"/>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заданих умовах</w:t>
      </w:r>
    </w:p>
    <w:p w14:paraId="5A038D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564AA86"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Слід</w:t>
      </w:r>
      <w:r w:rsidRPr="000977F7">
        <w:rPr>
          <w:rFonts w:asciiTheme="majorHAnsi" w:hAnsiTheme="majorHAnsi"/>
          <w:spacing w:val="30"/>
          <w:sz w:val="20"/>
          <w:szCs w:val="20"/>
        </w:rPr>
        <w:t xml:space="preserve"> </w:t>
      </w:r>
      <w:r w:rsidRPr="000977F7">
        <w:rPr>
          <w:rFonts w:asciiTheme="majorHAnsi" w:hAnsiTheme="majorHAnsi"/>
          <w:sz w:val="20"/>
          <w:szCs w:val="20"/>
        </w:rPr>
        <w:t>визначити</w:t>
      </w:r>
      <w:r w:rsidRPr="000977F7">
        <w:rPr>
          <w:rFonts w:asciiTheme="majorHAnsi" w:hAnsiTheme="majorHAnsi"/>
          <w:spacing w:val="29"/>
          <w:sz w:val="20"/>
          <w:szCs w:val="20"/>
        </w:rPr>
        <w:t xml:space="preserve"> </w:t>
      </w:r>
      <w:r w:rsidRPr="000977F7">
        <w:rPr>
          <w:rFonts w:asciiTheme="majorHAnsi" w:hAnsiTheme="majorHAnsi"/>
          <w:sz w:val="20"/>
          <w:szCs w:val="20"/>
        </w:rPr>
        <w:t>критерій</w:t>
      </w:r>
      <w:r w:rsidRPr="000977F7">
        <w:rPr>
          <w:rFonts w:asciiTheme="majorHAnsi" w:hAnsiTheme="majorHAnsi"/>
          <w:spacing w:val="29"/>
          <w:sz w:val="20"/>
          <w:szCs w:val="20"/>
        </w:rPr>
        <w:t xml:space="preserve"> </w:t>
      </w:r>
      <w:r w:rsidRPr="000977F7">
        <w:rPr>
          <w:rFonts w:asciiTheme="majorHAnsi" w:hAnsiTheme="majorHAnsi"/>
          <w:sz w:val="20"/>
          <w:szCs w:val="20"/>
        </w:rPr>
        <w:t>відмови;</w:t>
      </w:r>
      <w:r w:rsidRPr="000977F7">
        <w:rPr>
          <w:rFonts w:asciiTheme="majorHAnsi" w:hAnsiTheme="majorHAnsi"/>
          <w:spacing w:val="30"/>
          <w:sz w:val="20"/>
          <w:szCs w:val="20"/>
        </w:rPr>
        <w:t xml:space="preserve"> </w:t>
      </w:r>
      <w:r w:rsidRPr="000977F7">
        <w:rPr>
          <w:rFonts w:asciiTheme="majorHAnsi" w:hAnsiTheme="majorHAnsi"/>
          <w:sz w:val="20"/>
          <w:szCs w:val="20"/>
        </w:rPr>
        <w:t>сумарне</w:t>
      </w:r>
      <w:r w:rsidRPr="000977F7">
        <w:rPr>
          <w:rFonts w:asciiTheme="majorHAnsi" w:hAnsiTheme="majorHAnsi"/>
          <w:spacing w:val="33"/>
          <w:sz w:val="20"/>
          <w:szCs w:val="20"/>
        </w:rPr>
        <w:t xml:space="preserve"> </w:t>
      </w:r>
      <w:r w:rsidRPr="000977F7">
        <w:rPr>
          <w:rFonts w:asciiTheme="majorHAnsi" w:hAnsiTheme="majorHAnsi"/>
          <w:sz w:val="20"/>
          <w:szCs w:val="20"/>
        </w:rPr>
        <w:t>напрацювання</w:t>
      </w:r>
      <w:r w:rsidRPr="000977F7">
        <w:rPr>
          <w:rFonts w:asciiTheme="majorHAnsi" w:hAnsiTheme="majorHAnsi"/>
          <w:spacing w:val="13"/>
          <w:sz w:val="20"/>
          <w:szCs w:val="20"/>
        </w:rPr>
        <w:t xml:space="preserve"> </w:t>
      </w:r>
      <w:r w:rsidRPr="000977F7">
        <w:rPr>
          <w:rFonts w:asciiTheme="majorHAnsi" w:hAnsiTheme="majorHAnsi"/>
          <w:sz w:val="20"/>
          <w:szCs w:val="20"/>
        </w:rPr>
        <w:t>є</w:t>
      </w:r>
      <w:r w:rsidRPr="000977F7">
        <w:rPr>
          <w:rFonts w:asciiTheme="majorHAnsi" w:hAnsiTheme="majorHAnsi"/>
          <w:spacing w:val="14"/>
          <w:sz w:val="20"/>
          <w:szCs w:val="20"/>
        </w:rPr>
        <w:t xml:space="preserve"> </w:t>
      </w:r>
      <w:r w:rsidRPr="000977F7">
        <w:rPr>
          <w:rFonts w:asciiTheme="majorHAnsi" w:hAnsiTheme="majorHAnsi"/>
          <w:sz w:val="20"/>
          <w:szCs w:val="20"/>
        </w:rPr>
        <w:t>сума</w:t>
      </w:r>
      <w:r w:rsidRPr="000977F7">
        <w:rPr>
          <w:rFonts w:asciiTheme="majorHAnsi" w:hAnsiTheme="majorHAnsi"/>
          <w:spacing w:val="14"/>
          <w:sz w:val="20"/>
          <w:szCs w:val="20"/>
        </w:rPr>
        <w:t xml:space="preserve"> </w:t>
      </w:r>
      <w:r w:rsidRPr="000977F7">
        <w:rPr>
          <w:rFonts w:asciiTheme="majorHAnsi" w:hAnsiTheme="majorHAnsi"/>
          <w:sz w:val="20"/>
          <w:szCs w:val="20"/>
        </w:rPr>
        <w:t>інтервалів</w:t>
      </w:r>
      <w:r w:rsidRPr="000977F7">
        <w:rPr>
          <w:rFonts w:asciiTheme="majorHAnsi" w:hAnsiTheme="majorHAnsi"/>
          <w:spacing w:val="13"/>
          <w:sz w:val="20"/>
          <w:szCs w:val="20"/>
        </w:rPr>
        <w:t xml:space="preserve"> </w:t>
      </w:r>
      <w:r w:rsidRPr="000977F7">
        <w:rPr>
          <w:rFonts w:asciiTheme="majorHAnsi" w:hAnsiTheme="majorHAnsi"/>
          <w:sz w:val="20"/>
          <w:szCs w:val="20"/>
        </w:rPr>
        <w:t>часу,</w:t>
      </w:r>
      <w:r w:rsidRPr="000977F7">
        <w:rPr>
          <w:rFonts w:asciiTheme="majorHAnsi" w:hAnsiTheme="majorHAnsi"/>
          <w:spacing w:val="15"/>
          <w:sz w:val="20"/>
          <w:szCs w:val="20"/>
        </w:rPr>
        <w:t xml:space="preserve"> </w:t>
      </w:r>
      <w:r w:rsidRPr="000977F7">
        <w:rPr>
          <w:rFonts w:asciiTheme="majorHAnsi" w:hAnsiTheme="majorHAnsi"/>
          <w:sz w:val="20"/>
          <w:szCs w:val="20"/>
        </w:rPr>
        <w:t>на</w:t>
      </w:r>
      <w:r w:rsidRPr="000977F7">
        <w:rPr>
          <w:rFonts w:asciiTheme="majorHAnsi" w:hAnsiTheme="majorHAnsi"/>
          <w:spacing w:val="14"/>
          <w:sz w:val="20"/>
          <w:szCs w:val="20"/>
        </w:rPr>
        <w:t xml:space="preserve"> </w:t>
      </w:r>
      <w:r w:rsidRPr="000977F7">
        <w:rPr>
          <w:rFonts w:asciiTheme="majorHAnsi" w:hAnsiTheme="majorHAnsi"/>
          <w:sz w:val="20"/>
          <w:szCs w:val="20"/>
        </w:rPr>
        <w:t>протязі</w:t>
      </w:r>
      <w:r w:rsidRPr="000977F7">
        <w:rPr>
          <w:rFonts w:asciiTheme="majorHAnsi" w:hAnsiTheme="majorHAnsi"/>
          <w:spacing w:val="13"/>
          <w:sz w:val="20"/>
          <w:szCs w:val="20"/>
        </w:rPr>
        <w:t xml:space="preserve"> </w:t>
      </w:r>
      <w:r w:rsidRPr="000977F7">
        <w:rPr>
          <w:rFonts w:asciiTheme="majorHAnsi" w:hAnsiTheme="majorHAnsi"/>
          <w:sz w:val="20"/>
          <w:szCs w:val="20"/>
        </w:rPr>
        <w:t>яких</w:t>
      </w:r>
      <w:r w:rsidRPr="000977F7">
        <w:rPr>
          <w:rFonts w:asciiTheme="majorHAnsi" w:hAnsiTheme="majorHAnsi"/>
          <w:spacing w:val="12"/>
          <w:sz w:val="20"/>
          <w:szCs w:val="20"/>
        </w:rPr>
        <w:t xml:space="preserve"> </w:t>
      </w:r>
      <w:r w:rsidRPr="000977F7">
        <w:rPr>
          <w:rFonts w:asciiTheme="majorHAnsi" w:hAnsiTheme="majorHAnsi"/>
          <w:sz w:val="20"/>
          <w:szCs w:val="20"/>
        </w:rPr>
        <w:t>кожний</w:t>
      </w:r>
      <w:r w:rsidRPr="000977F7">
        <w:rPr>
          <w:rFonts w:asciiTheme="majorHAnsi" w:hAnsiTheme="majorHAnsi"/>
          <w:spacing w:val="-47"/>
          <w:sz w:val="20"/>
          <w:szCs w:val="20"/>
        </w:rPr>
        <w:t xml:space="preserve"> </w:t>
      </w:r>
      <w:r w:rsidRPr="000977F7">
        <w:rPr>
          <w:rFonts w:asciiTheme="majorHAnsi" w:hAnsiTheme="majorHAnsi"/>
          <w:sz w:val="20"/>
          <w:szCs w:val="20"/>
        </w:rPr>
        <w:t>окремий</w:t>
      </w:r>
      <w:r w:rsidRPr="000977F7">
        <w:rPr>
          <w:rFonts w:asciiTheme="majorHAnsi" w:hAnsiTheme="majorHAnsi"/>
          <w:spacing w:val="25"/>
          <w:sz w:val="20"/>
          <w:szCs w:val="20"/>
        </w:rPr>
        <w:t xml:space="preserve"> </w:t>
      </w:r>
      <w:r w:rsidRPr="000977F7">
        <w:rPr>
          <w:rFonts w:asciiTheme="majorHAnsi" w:hAnsiTheme="majorHAnsi"/>
          <w:sz w:val="20"/>
          <w:szCs w:val="20"/>
        </w:rPr>
        <w:t>виріб</w:t>
      </w:r>
      <w:r w:rsidRPr="000977F7">
        <w:rPr>
          <w:rFonts w:asciiTheme="majorHAnsi" w:hAnsiTheme="majorHAnsi"/>
          <w:spacing w:val="27"/>
          <w:sz w:val="20"/>
          <w:szCs w:val="20"/>
        </w:rPr>
        <w:t xml:space="preserve"> </w:t>
      </w:r>
      <w:r w:rsidRPr="000977F7">
        <w:rPr>
          <w:rFonts w:asciiTheme="majorHAnsi" w:hAnsiTheme="majorHAnsi"/>
          <w:sz w:val="20"/>
          <w:szCs w:val="20"/>
        </w:rPr>
        <w:t>виконував</w:t>
      </w:r>
      <w:r w:rsidRPr="000977F7">
        <w:rPr>
          <w:rFonts w:asciiTheme="majorHAnsi" w:hAnsiTheme="majorHAnsi"/>
          <w:spacing w:val="27"/>
          <w:sz w:val="20"/>
          <w:szCs w:val="20"/>
        </w:rPr>
        <w:t xml:space="preserve"> </w:t>
      </w:r>
      <w:r w:rsidRPr="000977F7">
        <w:rPr>
          <w:rFonts w:asciiTheme="majorHAnsi" w:hAnsiTheme="majorHAnsi"/>
          <w:sz w:val="20"/>
          <w:szCs w:val="20"/>
        </w:rPr>
        <w:t>потрібні</w:t>
      </w:r>
      <w:r w:rsidRPr="000977F7">
        <w:rPr>
          <w:rFonts w:asciiTheme="majorHAnsi" w:hAnsiTheme="majorHAnsi"/>
          <w:spacing w:val="25"/>
          <w:sz w:val="20"/>
          <w:szCs w:val="20"/>
        </w:rPr>
        <w:t xml:space="preserve"> </w:t>
      </w:r>
      <w:r w:rsidRPr="000977F7">
        <w:rPr>
          <w:rFonts w:asciiTheme="majorHAnsi" w:hAnsiTheme="majorHAnsi"/>
          <w:sz w:val="20"/>
          <w:szCs w:val="20"/>
        </w:rPr>
        <w:t>функції</w:t>
      </w:r>
      <w:r w:rsidRPr="000977F7">
        <w:rPr>
          <w:rFonts w:asciiTheme="majorHAnsi" w:hAnsiTheme="majorHAnsi"/>
          <w:spacing w:val="28"/>
          <w:sz w:val="20"/>
          <w:szCs w:val="20"/>
        </w:rPr>
        <w:t xml:space="preserve"> </w:t>
      </w:r>
      <w:r w:rsidRPr="000977F7">
        <w:rPr>
          <w:rFonts w:asciiTheme="majorHAnsi" w:hAnsiTheme="majorHAnsi"/>
          <w:sz w:val="20"/>
          <w:szCs w:val="20"/>
        </w:rPr>
        <w:t>в</w:t>
      </w:r>
      <w:r w:rsidRPr="000977F7">
        <w:rPr>
          <w:rFonts w:asciiTheme="majorHAnsi" w:hAnsiTheme="majorHAnsi"/>
          <w:spacing w:val="26"/>
          <w:sz w:val="20"/>
          <w:szCs w:val="20"/>
        </w:rPr>
        <w:t xml:space="preserve"> </w:t>
      </w:r>
      <w:r w:rsidRPr="000977F7">
        <w:rPr>
          <w:rFonts w:asciiTheme="majorHAnsi" w:hAnsiTheme="majorHAnsi"/>
          <w:sz w:val="20"/>
          <w:szCs w:val="20"/>
        </w:rPr>
        <w:t>заданих</w:t>
      </w:r>
      <w:r w:rsidRPr="000977F7">
        <w:rPr>
          <w:rFonts w:asciiTheme="majorHAnsi" w:hAnsiTheme="majorHAnsi"/>
          <w:spacing w:val="-47"/>
          <w:sz w:val="20"/>
          <w:szCs w:val="20"/>
        </w:rPr>
        <w:t xml:space="preserve"> </w:t>
      </w:r>
      <w:r w:rsidRPr="000977F7">
        <w:rPr>
          <w:rFonts w:asciiTheme="majorHAnsi" w:hAnsiTheme="majorHAnsi"/>
          <w:sz w:val="20"/>
          <w:szCs w:val="20"/>
        </w:rPr>
        <w:t>умовах;</w:t>
      </w:r>
      <w:r w:rsidRPr="000977F7">
        <w:rPr>
          <w:rFonts w:asciiTheme="majorHAnsi" w:hAnsiTheme="majorHAnsi"/>
          <w:spacing w:val="22"/>
          <w:sz w:val="20"/>
          <w:szCs w:val="20"/>
        </w:rPr>
        <w:t xml:space="preserve"> </w:t>
      </w:r>
      <w:r w:rsidRPr="000977F7">
        <w:rPr>
          <w:rFonts w:asciiTheme="majorHAnsi" w:hAnsiTheme="majorHAnsi"/>
          <w:sz w:val="20"/>
          <w:szCs w:val="20"/>
        </w:rPr>
        <w:t>ця</w:t>
      </w:r>
      <w:r w:rsidRPr="000977F7">
        <w:rPr>
          <w:rFonts w:asciiTheme="majorHAnsi" w:hAnsiTheme="majorHAnsi"/>
          <w:spacing w:val="20"/>
          <w:sz w:val="20"/>
          <w:szCs w:val="20"/>
        </w:rPr>
        <w:t xml:space="preserve"> </w:t>
      </w:r>
      <w:r w:rsidRPr="000977F7">
        <w:rPr>
          <w:rFonts w:asciiTheme="majorHAnsi" w:hAnsiTheme="majorHAnsi"/>
          <w:sz w:val="20"/>
          <w:szCs w:val="20"/>
        </w:rPr>
        <w:t>величина</w:t>
      </w:r>
      <w:r w:rsidRPr="000977F7">
        <w:rPr>
          <w:rFonts w:asciiTheme="majorHAnsi" w:hAnsiTheme="majorHAnsi"/>
          <w:spacing w:val="20"/>
          <w:sz w:val="20"/>
          <w:szCs w:val="20"/>
        </w:rPr>
        <w:t xml:space="preserve"> </w:t>
      </w:r>
      <w:r w:rsidRPr="000977F7">
        <w:rPr>
          <w:rFonts w:asciiTheme="majorHAnsi" w:hAnsiTheme="majorHAnsi"/>
          <w:sz w:val="20"/>
          <w:szCs w:val="20"/>
        </w:rPr>
        <w:t>є</w:t>
      </w:r>
      <w:r w:rsidRPr="000977F7">
        <w:rPr>
          <w:rFonts w:asciiTheme="majorHAnsi" w:hAnsiTheme="majorHAnsi"/>
          <w:spacing w:val="21"/>
          <w:sz w:val="20"/>
          <w:szCs w:val="20"/>
        </w:rPr>
        <w:t xml:space="preserve"> </w:t>
      </w:r>
      <w:r w:rsidRPr="000977F7">
        <w:rPr>
          <w:rFonts w:asciiTheme="majorHAnsi" w:hAnsiTheme="majorHAnsi"/>
          <w:sz w:val="20"/>
          <w:szCs w:val="20"/>
        </w:rPr>
        <w:t>оберненою</w:t>
      </w:r>
      <w:r w:rsidRPr="000977F7">
        <w:rPr>
          <w:rFonts w:asciiTheme="majorHAnsi" w:hAnsiTheme="majorHAnsi"/>
          <w:spacing w:val="22"/>
          <w:sz w:val="20"/>
          <w:szCs w:val="20"/>
        </w:rPr>
        <w:t xml:space="preserve"> </w:t>
      </w:r>
      <w:r w:rsidRPr="000977F7">
        <w:rPr>
          <w:rFonts w:asciiTheme="majorHAnsi" w:hAnsiTheme="majorHAnsi"/>
          <w:sz w:val="20"/>
          <w:szCs w:val="20"/>
        </w:rPr>
        <w:t>по</w:t>
      </w:r>
      <w:r w:rsidRPr="000977F7">
        <w:rPr>
          <w:rFonts w:asciiTheme="majorHAnsi" w:hAnsiTheme="majorHAnsi"/>
          <w:spacing w:val="22"/>
          <w:sz w:val="20"/>
          <w:szCs w:val="20"/>
        </w:rPr>
        <w:t xml:space="preserve"> </w:t>
      </w:r>
      <w:r w:rsidRPr="000977F7">
        <w:rPr>
          <w:rFonts w:asciiTheme="majorHAnsi" w:hAnsiTheme="majorHAnsi"/>
          <w:sz w:val="20"/>
          <w:szCs w:val="20"/>
        </w:rPr>
        <w:t>відношенню</w:t>
      </w:r>
      <w:r w:rsidRPr="000977F7">
        <w:rPr>
          <w:rFonts w:asciiTheme="majorHAnsi" w:hAnsiTheme="majorHAnsi"/>
          <w:spacing w:val="20"/>
          <w:sz w:val="20"/>
          <w:szCs w:val="20"/>
        </w:rPr>
        <w:t xml:space="preserve"> </w:t>
      </w:r>
      <w:r w:rsidRPr="000977F7">
        <w:rPr>
          <w:rFonts w:asciiTheme="majorHAnsi" w:hAnsiTheme="majorHAnsi"/>
          <w:sz w:val="20"/>
          <w:szCs w:val="20"/>
        </w:rPr>
        <w:t>до</w:t>
      </w:r>
      <w:r w:rsidRPr="000977F7">
        <w:rPr>
          <w:rFonts w:asciiTheme="majorHAnsi" w:hAnsiTheme="majorHAnsi"/>
          <w:spacing w:val="-47"/>
          <w:sz w:val="20"/>
          <w:szCs w:val="20"/>
        </w:rPr>
        <w:t xml:space="preserve"> </w:t>
      </w:r>
      <w:r w:rsidRPr="000977F7">
        <w:rPr>
          <w:rFonts w:asciiTheme="majorHAnsi" w:hAnsiTheme="majorHAnsi"/>
          <w:sz w:val="20"/>
          <w:szCs w:val="20"/>
        </w:rPr>
        <w:t>спостереженої інтенсивності відмов за даний період</w:t>
      </w:r>
      <w:r w:rsidRPr="000977F7">
        <w:rPr>
          <w:rFonts w:asciiTheme="majorHAnsi" w:hAnsiTheme="majorHAnsi"/>
          <w:spacing w:val="1"/>
          <w:sz w:val="20"/>
          <w:szCs w:val="20"/>
        </w:rPr>
        <w:t xml:space="preserve"> </w:t>
      </w:r>
    </w:p>
    <w:p w14:paraId="11EEAC7A"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 xml:space="preserve">СПОСТЕРЕЖЕНИЙ СЕРЕДНІЙ ТЕРМІН </w:t>
      </w:r>
    </w:p>
    <w:p w14:paraId="0C5B76FA"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СЛУЖБИ –</w:t>
      </w:r>
    </w:p>
    <w:p w14:paraId="2BF000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OBSERVED</w:t>
      </w:r>
      <w:r w:rsidRPr="000977F7">
        <w:rPr>
          <w:rFonts w:asciiTheme="majorHAnsi" w:hAnsiTheme="majorHAnsi"/>
          <w:spacing w:val="-2"/>
          <w:sz w:val="20"/>
          <w:szCs w:val="20"/>
        </w:rPr>
        <w:t xml:space="preserve"> </w:t>
      </w:r>
      <w:r w:rsidRPr="000977F7">
        <w:rPr>
          <w:rFonts w:asciiTheme="majorHAnsi" w:hAnsiTheme="majorHAnsi"/>
          <w:sz w:val="20"/>
          <w:szCs w:val="20"/>
        </w:rPr>
        <w:t>MEAN LIFE –</w:t>
      </w:r>
    </w:p>
    <w:p w14:paraId="3144AB4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Середнє</w:t>
      </w:r>
      <w:r w:rsidRPr="000977F7">
        <w:rPr>
          <w:rFonts w:asciiTheme="majorHAnsi" w:hAnsiTheme="majorHAnsi"/>
          <w:spacing w:val="46"/>
          <w:sz w:val="20"/>
          <w:szCs w:val="20"/>
        </w:rPr>
        <w:t xml:space="preserve"> </w:t>
      </w:r>
      <w:r w:rsidRPr="000977F7">
        <w:rPr>
          <w:rFonts w:asciiTheme="majorHAnsi" w:hAnsiTheme="majorHAnsi"/>
          <w:sz w:val="20"/>
          <w:szCs w:val="20"/>
        </w:rPr>
        <w:t>значення</w:t>
      </w:r>
      <w:r w:rsidRPr="000977F7">
        <w:rPr>
          <w:rFonts w:asciiTheme="majorHAnsi" w:hAnsiTheme="majorHAnsi"/>
          <w:spacing w:val="45"/>
          <w:sz w:val="20"/>
          <w:szCs w:val="20"/>
        </w:rPr>
        <w:t xml:space="preserve"> </w:t>
      </w:r>
      <w:r w:rsidRPr="000977F7">
        <w:rPr>
          <w:rFonts w:asciiTheme="majorHAnsi" w:hAnsiTheme="majorHAnsi"/>
          <w:sz w:val="20"/>
          <w:szCs w:val="20"/>
        </w:rPr>
        <w:t>спостереженого</w:t>
      </w:r>
      <w:r w:rsidRPr="000977F7">
        <w:rPr>
          <w:rFonts w:asciiTheme="majorHAnsi" w:hAnsiTheme="majorHAnsi"/>
          <w:spacing w:val="46"/>
          <w:sz w:val="20"/>
          <w:szCs w:val="20"/>
        </w:rPr>
        <w:t xml:space="preserve"> </w:t>
      </w:r>
      <w:r w:rsidRPr="000977F7">
        <w:rPr>
          <w:rFonts w:asciiTheme="majorHAnsi" w:hAnsiTheme="majorHAnsi"/>
          <w:sz w:val="20"/>
          <w:szCs w:val="20"/>
        </w:rPr>
        <w:t>напрацювання</w:t>
      </w:r>
      <w:r w:rsidRPr="000977F7">
        <w:rPr>
          <w:rFonts w:asciiTheme="majorHAnsi" w:hAnsiTheme="majorHAnsi"/>
          <w:spacing w:val="45"/>
          <w:sz w:val="20"/>
          <w:szCs w:val="20"/>
        </w:rPr>
        <w:t xml:space="preserve"> </w:t>
      </w:r>
      <w:r w:rsidRPr="000977F7">
        <w:rPr>
          <w:rFonts w:asciiTheme="majorHAnsi" w:hAnsiTheme="majorHAnsi"/>
          <w:sz w:val="20"/>
          <w:szCs w:val="20"/>
        </w:rPr>
        <w:t>до</w:t>
      </w:r>
      <w:r w:rsidRPr="000977F7">
        <w:rPr>
          <w:rFonts w:asciiTheme="majorHAnsi" w:hAnsiTheme="majorHAnsi"/>
          <w:spacing w:val="-47"/>
          <w:sz w:val="20"/>
          <w:szCs w:val="20"/>
        </w:rPr>
        <w:t xml:space="preserve"> </w:t>
      </w:r>
      <w:r w:rsidRPr="000977F7">
        <w:rPr>
          <w:rFonts w:asciiTheme="majorHAnsi" w:hAnsiTheme="majorHAnsi"/>
          <w:sz w:val="20"/>
          <w:szCs w:val="20"/>
        </w:rPr>
        <w:t>відмови</w:t>
      </w:r>
      <w:r w:rsidRPr="000977F7">
        <w:rPr>
          <w:rFonts w:asciiTheme="majorHAnsi" w:hAnsiTheme="majorHAnsi"/>
          <w:spacing w:val="-1"/>
          <w:sz w:val="20"/>
          <w:szCs w:val="20"/>
        </w:rPr>
        <w:t xml:space="preserve"> </w:t>
      </w:r>
      <w:r w:rsidRPr="000977F7">
        <w:rPr>
          <w:rFonts w:asciiTheme="majorHAnsi" w:hAnsiTheme="majorHAnsi"/>
          <w:sz w:val="20"/>
          <w:szCs w:val="20"/>
        </w:rPr>
        <w:t>усіх</w:t>
      </w:r>
      <w:r w:rsidRPr="000977F7">
        <w:rPr>
          <w:rFonts w:asciiTheme="majorHAnsi" w:hAnsiTheme="majorHAnsi"/>
          <w:spacing w:val="-2"/>
          <w:sz w:val="20"/>
          <w:szCs w:val="20"/>
        </w:rPr>
        <w:t xml:space="preserve"> </w:t>
      </w:r>
      <w:r w:rsidRPr="000977F7">
        <w:rPr>
          <w:rFonts w:asciiTheme="majorHAnsi" w:hAnsiTheme="majorHAnsi"/>
          <w:sz w:val="20"/>
          <w:szCs w:val="20"/>
        </w:rPr>
        <w:t>виробів у</w:t>
      </w:r>
      <w:r w:rsidRPr="000977F7">
        <w:rPr>
          <w:rFonts w:asciiTheme="majorHAnsi" w:hAnsiTheme="majorHAnsi"/>
          <w:spacing w:val="-5"/>
          <w:sz w:val="20"/>
          <w:szCs w:val="20"/>
        </w:rPr>
        <w:t xml:space="preserve"> </w:t>
      </w:r>
      <w:r w:rsidRPr="000977F7">
        <w:rPr>
          <w:rFonts w:asciiTheme="majorHAnsi" w:hAnsiTheme="majorHAnsi"/>
          <w:sz w:val="20"/>
          <w:szCs w:val="20"/>
        </w:rPr>
        <w:t>виборці</w:t>
      </w:r>
      <w:r w:rsidRPr="000977F7">
        <w:rPr>
          <w:rFonts w:asciiTheme="majorHAnsi" w:hAnsiTheme="majorHAnsi"/>
          <w:spacing w:val="-3"/>
          <w:sz w:val="20"/>
          <w:szCs w:val="20"/>
        </w:rPr>
        <w:t xml:space="preserve"> </w:t>
      </w:r>
      <w:r w:rsidRPr="000977F7">
        <w:rPr>
          <w:rFonts w:asciiTheme="majorHAnsi" w:hAnsiTheme="majorHAnsi"/>
          <w:sz w:val="20"/>
          <w:szCs w:val="20"/>
        </w:rPr>
        <w:t>при</w:t>
      </w:r>
      <w:r w:rsidRPr="000977F7">
        <w:rPr>
          <w:rFonts w:asciiTheme="majorHAnsi" w:hAnsiTheme="majorHAnsi"/>
          <w:spacing w:val="-2"/>
          <w:sz w:val="20"/>
          <w:szCs w:val="20"/>
        </w:rPr>
        <w:t xml:space="preserve"> </w:t>
      </w:r>
      <w:r w:rsidRPr="000977F7">
        <w:rPr>
          <w:rFonts w:asciiTheme="majorHAnsi" w:hAnsiTheme="majorHAnsi"/>
          <w:sz w:val="20"/>
          <w:szCs w:val="20"/>
        </w:rPr>
        <w:t>заданих</w:t>
      </w:r>
      <w:r w:rsidRPr="000977F7">
        <w:rPr>
          <w:rFonts w:asciiTheme="majorHAnsi" w:hAnsiTheme="majorHAnsi"/>
          <w:spacing w:val="-1"/>
          <w:sz w:val="20"/>
          <w:szCs w:val="20"/>
        </w:rPr>
        <w:t xml:space="preserve"> </w:t>
      </w:r>
      <w:r w:rsidRPr="000977F7">
        <w:rPr>
          <w:rFonts w:asciiTheme="majorHAnsi" w:hAnsiTheme="majorHAnsi"/>
          <w:sz w:val="20"/>
          <w:szCs w:val="20"/>
        </w:rPr>
        <w:t>умовах</w:t>
      </w:r>
    </w:p>
    <w:p w14:paraId="326A80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ACAEF30"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sz w:val="20"/>
          <w:szCs w:val="20"/>
        </w:rPr>
        <w:t>Критерії відмови повинні бути визначені</w:t>
      </w:r>
      <w:r w:rsidRPr="000977F7">
        <w:rPr>
          <w:rFonts w:asciiTheme="majorHAnsi" w:hAnsiTheme="majorHAnsi"/>
          <w:spacing w:val="1"/>
          <w:sz w:val="20"/>
          <w:szCs w:val="20"/>
        </w:rPr>
        <w:t xml:space="preserve"> </w:t>
      </w:r>
      <w:r w:rsidRPr="000977F7">
        <w:rPr>
          <w:rFonts w:asciiTheme="majorHAnsi" w:hAnsiTheme="majorHAnsi"/>
          <w:b/>
          <w:sz w:val="20"/>
          <w:szCs w:val="20"/>
        </w:rPr>
        <w:t>СПОСТЕРЕЖЕНИЙ Q-ВІДСОТКОВИЙ ТЕРМІН</w:t>
      </w:r>
      <w:r w:rsidRPr="000977F7">
        <w:rPr>
          <w:rFonts w:asciiTheme="majorHAnsi" w:hAnsiTheme="majorHAnsi"/>
          <w:b/>
          <w:spacing w:val="-47"/>
          <w:sz w:val="20"/>
          <w:szCs w:val="20"/>
        </w:rPr>
        <w:t xml:space="preserve"> </w:t>
      </w:r>
      <w:r w:rsidRPr="000977F7">
        <w:rPr>
          <w:rFonts w:asciiTheme="majorHAnsi" w:hAnsiTheme="majorHAnsi"/>
          <w:b/>
          <w:sz w:val="20"/>
          <w:szCs w:val="20"/>
        </w:rPr>
        <w:t>СЛУЖБИ --</w:t>
      </w:r>
    </w:p>
    <w:p w14:paraId="1646CCE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OBSERVED</w:t>
      </w:r>
      <w:r w:rsidRPr="000977F7">
        <w:rPr>
          <w:rFonts w:asciiTheme="majorHAnsi" w:hAnsiTheme="majorHAnsi"/>
          <w:spacing w:val="-2"/>
          <w:sz w:val="20"/>
          <w:szCs w:val="20"/>
        </w:rPr>
        <w:t xml:space="preserve"> </w:t>
      </w:r>
      <w:r w:rsidRPr="000977F7">
        <w:rPr>
          <w:rFonts w:asciiTheme="majorHAnsi" w:hAnsiTheme="majorHAnsi"/>
          <w:sz w:val="20"/>
          <w:szCs w:val="20"/>
        </w:rPr>
        <w:t>QPERCENTILE</w:t>
      </w:r>
      <w:r w:rsidRPr="000977F7">
        <w:rPr>
          <w:rFonts w:asciiTheme="majorHAnsi" w:hAnsiTheme="majorHAnsi"/>
          <w:spacing w:val="-1"/>
          <w:sz w:val="20"/>
          <w:szCs w:val="20"/>
        </w:rPr>
        <w:t xml:space="preserve"> </w:t>
      </w:r>
      <w:r w:rsidRPr="000977F7">
        <w:rPr>
          <w:rFonts w:asciiTheme="majorHAnsi" w:hAnsiTheme="majorHAnsi"/>
          <w:sz w:val="20"/>
          <w:szCs w:val="20"/>
        </w:rPr>
        <w:t>LIFE -</w:t>
      </w:r>
    </w:p>
    <w:p w14:paraId="352F397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Тривалість</w:t>
      </w:r>
      <w:r w:rsidRPr="000977F7">
        <w:rPr>
          <w:rFonts w:asciiTheme="majorHAnsi" w:hAnsiTheme="majorHAnsi"/>
          <w:spacing w:val="16"/>
          <w:sz w:val="20"/>
          <w:szCs w:val="20"/>
        </w:rPr>
        <w:t xml:space="preserve"> </w:t>
      </w:r>
      <w:r w:rsidRPr="000977F7">
        <w:rPr>
          <w:rFonts w:asciiTheme="majorHAnsi" w:hAnsiTheme="majorHAnsi"/>
          <w:sz w:val="20"/>
          <w:szCs w:val="20"/>
        </w:rPr>
        <w:t>часу</w:t>
      </w:r>
      <w:r w:rsidRPr="000977F7">
        <w:rPr>
          <w:rFonts w:asciiTheme="majorHAnsi" w:hAnsiTheme="majorHAnsi"/>
          <w:spacing w:val="14"/>
          <w:sz w:val="20"/>
          <w:szCs w:val="20"/>
        </w:rPr>
        <w:t xml:space="preserve"> </w:t>
      </w:r>
      <w:r w:rsidRPr="000977F7">
        <w:rPr>
          <w:rFonts w:asciiTheme="majorHAnsi" w:hAnsiTheme="majorHAnsi"/>
          <w:sz w:val="20"/>
          <w:szCs w:val="20"/>
        </w:rPr>
        <w:t>спостереження,</w:t>
      </w:r>
      <w:r w:rsidRPr="000977F7">
        <w:rPr>
          <w:rFonts w:asciiTheme="majorHAnsi" w:hAnsiTheme="majorHAnsi"/>
          <w:spacing w:val="16"/>
          <w:sz w:val="20"/>
          <w:szCs w:val="20"/>
        </w:rPr>
        <w:t xml:space="preserve"> </w:t>
      </w:r>
      <w:r w:rsidRPr="000977F7">
        <w:rPr>
          <w:rFonts w:asciiTheme="majorHAnsi" w:hAnsiTheme="majorHAnsi"/>
          <w:sz w:val="20"/>
          <w:szCs w:val="20"/>
        </w:rPr>
        <w:t>за</w:t>
      </w:r>
      <w:r w:rsidRPr="000977F7">
        <w:rPr>
          <w:rFonts w:asciiTheme="majorHAnsi" w:hAnsiTheme="majorHAnsi"/>
          <w:spacing w:val="17"/>
          <w:sz w:val="20"/>
          <w:szCs w:val="20"/>
        </w:rPr>
        <w:t xml:space="preserve"> </w:t>
      </w:r>
      <w:r w:rsidRPr="000977F7">
        <w:rPr>
          <w:rFonts w:asciiTheme="majorHAnsi" w:hAnsiTheme="majorHAnsi"/>
          <w:sz w:val="20"/>
          <w:szCs w:val="20"/>
        </w:rPr>
        <w:t>який</w:t>
      </w:r>
      <w:r w:rsidRPr="000977F7">
        <w:rPr>
          <w:rFonts w:asciiTheme="majorHAnsi" w:hAnsiTheme="majorHAnsi"/>
          <w:spacing w:val="15"/>
          <w:sz w:val="20"/>
          <w:szCs w:val="20"/>
        </w:rPr>
        <w:t xml:space="preserve"> </w:t>
      </w:r>
      <w:r w:rsidRPr="000977F7">
        <w:rPr>
          <w:rFonts w:asciiTheme="majorHAnsi" w:hAnsiTheme="majorHAnsi"/>
          <w:sz w:val="20"/>
          <w:szCs w:val="20"/>
        </w:rPr>
        <w:t>відмовила</w:t>
      </w:r>
      <w:r w:rsidRPr="000977F7">
        <w:rPr>
          <w:rFonts w:asciiTheme="majorHAnsi" w:hAnsiTheme="majorHAnsi"/>
          <w:spacing w:val="-47"/>
          <w:sz w:val="20"/>
          <w:szCs w:val="20"/>
        </w:rPr>
        <w:t xml:space="preserve"> </w:t>
      </w:r>
      <w:r w:rsidRPr="000977F7">
        <w:rPr>
          <w:rFonts w:asciiTheme="majorHAnsi" w:hAnsiTheme="majorHAnsi"/>
          <w:sz w:val="20"/>
          <w:szCs w:val="20"/>
        </w:rPr>
        <w:t>визначена</w:t>
      </w:r>
      <w:r w:rsidRPr="000977F7">
        <w:rPr>
          <w:rFonts w:asciiTheme="majorHAnsi" w:hAnsiTheme="majorHAnsi"/>
          <w:spacing w:val="-1"/>
          <w:sz w:val="20"/>
          <w:szCs w:val="20"/>
        </w:rPr>
        <w:t xml:space="preserve"> </w:t>
      </w:r>
      <w:r w:rsidRPr="000977F7">
        <w:rPr>
          <w:rFonts w:asciiTheme="majorHAnsi" w:hAnsiTheme="majorHAnsi"/>
          <w:sz w:val="20"/>
          <w:szCs w:val="20"/>
        </w:rPr>
        <w:t>частка</w:t>
      </w:r>
      <w:r w:rsidRPr="000977F7">
        <w:rPr>
          <w:rFonts w:asciiTheme="majorHAnsi" w:hAnsiTheme="majorHAnsi"/>
          <w:spacing w:val="-1"/>
          <w:sz w:val="20"/>
          <w:szCs w:val="20"/>
        </w:rPr>
        <w:t xml:space="preserve"> </w:t>
      </w:r>
      <w:r w:rsidRPr="000977F7">
        <w:rPr>
          <w:rFonts w:asciiTheme="majorHAnsi" w:hAnsiTheme="majorHAnsi"/>
          <w:sz w:val="20"/>
          <w:szCs w:val="20"/>
        </w:rPr>
        <w:t>(Q-%) виробів</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5"/>
          <w:sz w:val="20"/>
          <w:szCs w:val="20"/>
        </w:rPr>
        <w:t xml:space="preserve"> </w:t>
      </w:r>
      <w:r w:rsidRPr="000977F7">
        <w:rPr>
          <w:rFonts w:asciiTheme="majorHAnsi" w:hAnsiTheme="majorHAnsi"/>
          <w:sz w:val="20"/>
          <w:szCs w:val="20"/>
        </w:rPr>
        <w:t>виборці</w:t>
      </w:r>
    </w:p>
    <w:p w14:paraId="6FBC86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E935BF2" w14:textId="77777777" w:rsidR="0097612F" w:rsidRPr="000977F7" w:rsidRDefault="0097612F" w:rsidP="00FD39A4">
      <w:pPr>
        <w:pStyle w:val="ac"/>
        <w:widowControl w:val="0"/>
        <w:numPr>
          <w:ilvl w:val="0"/>
          <w:numId w:val="81"/>
        </w:numPr>
        <w:tabs>
          <w:tab w:val="left" w:pos="284"/>
          <w:tab w:val="left" w:pos="46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Повинні</w:t>
      </w:r>
      <w:r w:rsidRPr="000977F7">
        <w:rPr>
          <w:rFonts w:asciiTheme="majorHAnsi" w:hAnsiTheme="majorHAnsi"/>
          <w:spacing w:val="-5"/>
          <w:sz w:val="20"/>
          <w:szCs w:val="20"/>
        </w:rPr>
        <w:t xml:space="preserve"> </w:t>
      </w:r>
      <w:r w:rsidRPr="000977F7">
        <w:rPr>
          <w:rFonts w:asciiTheme="majorHAnsi" w:hAnsiTheme="majorHAnsi"/>
          <w:sz w:val="20"/>
          <w:szCs w:val="20"/>
        </w:rPr>
        <w:t>бути</w:t>
      </w:r>
      <w:r w:rsidRPr="000977F7">
        <w:rPr>
          <w:rFonts w:asciiTheme="majorHAnsi" w:hAnsiTheme="majorHAnsi"/>
          <w:spacing w:val="-4"/>
          <w:sz w:val="20"/>
          <w:szCs w:val="20"/>
        </w:rPr>
        <w:t xml:space="preserve"> </w:t>
      </w:r>
      <w:r w:rsidRPr="000977F7">
        <w:rPr>
          <w:rFonts w:asciiTheme="majorHAnsi" w:hAnsiTheme="majorHAnsi"/>
          <w:sz w:val="20"/>
          <w:szCs w:val="20"/>
        </w:rPr>
        <w:t>визначені</w:t>
      </w:r>
      <w:r w:rsidRPr="000977F7">
        <w:rPr>
          <w:rFonts w:asciiTheme="majorHAnsi" w:hAnsiTheme="majorHAnsi"/>
          <w:spacing w:val="-5"/>
          <w:sz w:val="20"/>
          <w:szCs w:val="20"/>
        </w:rPr>
        <w:t xml:space="preserve"> </w:t>
      </w:r>
      <w:r w:rsidRPr="000977F7">
        <w:rPr>
          <w:rFonts w:asciiTheme="majorHAnsi" w:hAnsiTheme="majorHAnsi"/>
          <w:sz w:val="20"/>
          <w:szCs w:val="20"/>
        </w:rPr>
        <w:t>критерії</w:t>
      </w:r>
      <w:r w:rsidRPr="000977F7">
        <w:rPr>
          <w:rFonts w:asciiTheme="majorHAnsi" w:hAnsiTheme="majorHAnsi"/>
          <w:spacing w:val="-4"/>
          <w:sz w:val="20"/>
          <w:szCs w:val="20"/>
        </w:rPr>
        <w:t xml:space="preserve"> </w:t>
      </w:r>
      <w:r w:rsidRPr="000977F7">
        <w:rPr>
          <w:rFonts w:asciiTheme="majorHAnsi" w:hAnsiTheme="majorHAnsi"/>
          <w:sz w:val="20"/>
          <w:szCs w:val="20"/>
        </w:rPr>
        <w:t>відмови</w:t>
      </w:r>
    </w:p>
    <w:p w14:paraId="663B2A0E" w14:textId="77777777" w:rsidR="0097612F" w:rsidRPr="000977F7" w:rsidRDefault="0097612F" w:rsidP="00FD39A4">
      <w:pPr>
        <w:pStyle w:val="af6"/>
        <w:widowControl w:val="0"/>
        <w:numPr>
          <w:ilvl w:val="0"/>
          <w:numId w:val="81"/>
        </w:numPr>
        <w:tabs>
          <w:tab w:val="left" w:pos="284"/>
        </w:tabs>
        <w:autoSpaceDE w:val="0"/>
        <w:autoSpaceDN w:val="0"/>
        <w:spacing w:after="0"/>
        <w:ind w:left="170" w:hanging="41"/>
        <w:mirrorIndents/>
        <w:jc w:val="both"/>
        <w:rPr>
          <w:rFonts w:asciiTheme="majorHAnsi" w:hAnsiTheme="majorHAnsi"/>
          <w:sz w:val="20"/>
          <w:szCs w:val="20"/>
        </w:rPr>
      </w:pPr>
      <w:r w:rsidRPr="000977F7">
        <w:rPr>
          <w:rFonts w:asciiTheme="majorHAnsi" w:hAnsiTheme="majorHAnsi"/>
          <w:sz w:val="20"/>
          <w:szCs w:val="20"/>
        </w:rPr>
        <w:t>Q-відсотковий термін служби можна визначити так</w:t>
      </w:r>
      <w:r w:rsidRPr="000977F7">
        <w:rPr>
          <w:rFonts w:asciiTheme="majorHAnsi" w:hAnsiTheme="majorHAnsi"/>
          <w:spacing w:val="1"/>
          <w:sz w:val="20"/>
          <w:szCs w:val="20"/>
        </w:rPr>
        <w:t xml:space="preserve"> </w:t>
      </w:r>
      <w:r w:rsidRPr="000977F7">
        <w:rPr>
          <w:rFonts w:asciiTheme="majorHAnsi" w:hAnsiTheme="majorHAnsi"/>
          <w:sz w:val="20"/>
          <w:szCs w:val="20"/>
        </w:rPr>
        <w:t>само, як і термін служби, при якому спостерігається</w:t>
      </w:r>
      <w:r w:rsidRPr="000977F7">
        <w:rPr>
          <w:rFonts w:asciiTheme="majorHAnsi" w:hAnsiTheme="majorHAnsi"/>
          <w:spacing w:val="1"/>
          <w:sz w:val="20"/>
          <w:szCs w:val="20"/>
        </w:rPr>
        <w:t xml:space="preserve"> </w:t>
      </w:r>
      <w:r w:rsidRPr="000977F7">
        <w:rPr>
          <w:rFonts w:asciiTheme="majorHAnsi" w:hAnsiTheme="majorHAnsi"/>
          <w:sz w:val="20"/>
          <w:szCs w:val="20"/>
        </w:rPr>
        <w:t>(100-Q)%</w:t>
      </w:r>
      <w:r w:rsidRPr="000977F7">
        <w:rPr>
          <w:rFonts w:asciiTheme="majorHAnsi" w:hAnsiTheme="majorHAnsi"/>
          <w:spacing w:val="-2"/>
          <w:sz w:val="20"/>
          <w:szCs w:val="20"/>
        </w:rPr>
        <w:t xml:space="preserve"> </w:t>
      </w:r>
      <w:r w:rsidRPr="000977F7">
        <w:rPr>
          <w:rFonts w:asciiTheme="majorHAnsi" w:hAnsiTheme="majorHAnsi"/>
          <w:sz w:val="20"/>
          <w:szCs w:val="20"/>
        </w:rPr>
        <w:t>виробів</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виборці,</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2"/>
          <w:sz w:val="20"/>
          <w:szCs w:val="20"/>
        </w:rPr>
        <w:t xml:space="preserve"> </w:t>
      </w:r>
      <w:r w:rsidRPr="000977F7">
        <w:rPr>
          <w:rFonts w:asciiTheme="majorHAnsi" w:hAnsiTheme="majorHAnsi"/>
          <w:sz w:val="20"/>
          <w:szCs w:val="20"/>
        </w:rPr>
        <w:t>не</w:t>
      </w:r>
      <w:r w:rsidRPr="000977F7">
        <w:rPr>
          <w:rFonts w:asciiTheme="majorHAnsi" w:hAnsiTheme="majorHAnsi"/>
          <w:spacing w:val="-2"/>
          <w:sz w:val="20"/>
          <w:szCs w:val="20"/>
        </w:rPr>
        <w:t xml:space="preserve"> </w:t>
      </w:r>
      <w:r w:rsidRPr="000977F7">
        <w:rPr>
          <w:rFonts w:asciiTheme="majorHAnsi" w:hAnsiTheme="majorHAnsi"/>
          <w:sz w:val="20"/>
          <w:szCs w:val="20"/>
        </w:rPr>
        <w:t>відмовили</w:t>
      </w:r>
    </w:p>
    <w:p w14:paraId="06C93E7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СПОСТЕРЕЖЕННЯ ПІД ЧАС ПЕРЕВІРКИ</w:t>
      </w:r>
      <w:r w:rsidRPr="000977F7">
        <w:rPr>
          <w:color w:val="auto"/>
          <w:spacing w:val="-48"/>
          <w:sz w:val="20"/>
          <w:szCs w:val="20"/>
        </w:rPr>
        <w:t xml:space="preserve"> </w:t>
      </w:r>
      <w:r w:rsidRPr="000977F7">
        <w:rPr>
          <w:color w:val="auto"/>
          <w:sz w:val="20"/>
          <w:szCs w:val="20"/>
        </w:rPr>
        <w:t>ЯКОСТІ</w:t>
      </w:r>
      <w:r w:rsidRPr="000977F7">
        <w:rPr>
          <w:color w:val="auto"/>
          <w:spacing w:val="-1"/>
          <w:sz w:val="20"/>
          <w:szCs w:val="20"/>
        </w:rPr>
        <w:t xml:space="preserve"> </w:t>
      </w:r>
      <w:r w:rsidRPr="000977F7">
        <w:rPr>
          <w:color w:val="auto"/>
          <w:sz w:val="20"/>
          <w:szCs w:val="20"/>
        </w:rPr>
        <w:t>–</w:t>
      </w:r>
    </w:p>
    <w:p w14:paraId="716D495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QUALITY</w:t>
      </w:r>
      <w:r w:rsidRPr="004D2D14">
        <w:rPr>
          <w:rFonts w:asciiTheme="majorHAnsi" w:hAnsiTheme="majorHAnsi"/>
          <w:spacing w:val="-3"/>
          <w:sz w:val="20"/>
          <w:szCs w:val="20"/>
          <w:lang w:val="uk-UA"/>
        </w:rPr>
        <w:t xml:space="preserve"> </w:t>
      </w:r>
      <w:r w:rsidRPr="000977F7">
        <w:rPr>
          <w:rFonts w:asciiTheme="majorHAnsi" w:hAnsiTheme="majorHAnsi"/>
          <w:sz w:val="20"/>
          <w:szCs w:val="20"/>
        </w:rPr>
        <w:t>AUDIT</w:t>
      </w:r>
      <w:r w:rsidRPr="004D2D14">
        <w:rPr>
          <w:rFonts w:asciiTheme="majorHAnsi" w:hAnsiTheme="majorHAnsi"/>
          <w:spacing w:val="1"/>
          <w:sz w:val="20"/>
          <w:szCs w:val="20"/>
          <w:lang w:val="uk-UA"/>
        </w:rPr>
        <w:t xml:space="preserve"> </w:t>
      </w:r>
      <w:r w:rsidRPr="000977F7">
        <w:rPr>
          <w:rFonts w:asciiTheme="majorHAnsi" w:hAnsiTheme="majorHAnsi"/>
          <w:sz w:val="20"/>
          <w:szCs w:val="20"/>
        </w:rPr>
        <w:t>OBSERVATION</w:t>
      </w:r>
      <w:r w:rsidRPr="004D2D14">
        <w:rPr>
          <w:rFonts w:asciiTheme="majorHAnsi" w:hAnsiTheme="majorHAnsi"/>
          <w:sz w:val="20"/>
          <w:szCs w:val="20"/>
          <w:lang w:val="uk-UA"/>
        </w:rPr>
        <w:t xml:space="preserve"> –</w:t>
      </w:r>
    </w:p>
    <w:p w14:paraId="08A39C13"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Виклад</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факту,</w:t>
      </w:r>
      <w:r w:rsidRPr="004D2D14">
        <w:rPr>
          <w:rFonts w:asciiTheme="majorHAnsi" w:hAnsiTheme="majorHAnsi"/>
          <w:spacing w:val="28"/>
          <w:sz w:val="20"/>
          <w:szCs w:val="20"/>
          <w:lang w:val="uk-UA"/>
        </w:rPr>
        <w:t xml:space="preserve"> </w:t>
      </w:r>
      <w:r w:rsidRPr="004D2D14">
        <w:rPr>
          <w:rFonts w:asciiTheme="majorHAnsi" w:hAnsiTheme="majorHAnsi"/>
          <w:sz w:val="20"/>
          <w:szCs w:val="20"/>
          <w:lang w:val="uk-UA"/>
        </w:rPr>
        <w:t>зроблений</w:t>
      </w:r>
      <w:r w:rsidRPr="004D2D14">
        <w:rPr>
          <w:rFonts w:asciiTheme="majorHAnsi" w:hAnsiTheme="majorHAnsi"/>
          <w:spacing w:val="29"/>
          <w:sz w:val="20"/>
          <w:szCs w:val="20"/>
          <w:lang w:val="uk-UA"/>
        </w:rPr>
        <w:t xml:space="preserve"> </w:t>
      </w:r>
      <w:r w:rsidRPr="004D2D14">
        <w:rPr>
          <w:rFonts w:asciiTheme="majorHAnsi" w:hAnsiTheme="majorHAnsi"/>
          <w:sz w:val="20"/>
          <w:szCs w:val="20"/>
          <w:lang w:val="uk-UA"/>
        </w:rPr>
        <w:t>під</w:t>
      </w:r>
      <w:r w:rsidRPr="004D2D14">
        <w:rPr>
          <w:rFonts w:asciiTheme="majorHAnsi" w:hAnsiTheme="majorHAnsi"/>
          <w:spacing w:val="28"/>
          <w:sz w:val="20"/>
          <w:szCs w:val="20"/>
          <w:lang w:val="uk-UA"/>
        </w:rPr>
        <w:t xml:space="preserve"> </w:t>
      </w:r>
      <w:r w:rsidRPr="004D2D14">
        <w:rPr>
          <w:rFonts w:asciiTheme="majorHAnsi" w:hAnsiTheme="majorHAnsi"/>
          <w:sz w:val="20"/>
          <w:szCs w:val="20"/>
          <w:lang w:val="uk-UA"/>
        </w:rPr>
        <w:t>час</w:t>
      </w:r>
      <w:r w:rsidRPr="004D2D14">
        <w:rPr>
          <w:rFonts w:asciiTheme="majorHAnsi" w:hAnsiTheme="majorHAnsi"/>
          <w:spacing w:val="29"/>
          <w:sz w:val="20"/>
          <w:szCs w:val="20"/>
          <w:lang w:val="uk-UA"/>
        </w:rPr>
        <w:t xml:space="preserve"> </w:t>
      </w:r>
      <w:r w:rsidRPr="004D2D14">
        <w:rPr>
          <w:rFonts w:asciiTheme="majorHAnsi" w:hAnsiTheme="majorHAnsi"/>
          <w:sz w:val="20"/>
          <w:szCs w:val="20"/>
          <w:lang w:val="uk-UA"/>
        </w:rPr>
        <w:t>перевірки</w:t>
      </w:r>
      <w:r w:rsidRPr="004D2D14">
        <w:rPr>
          <w:rFonts w:asciiTheme="majorHAnsi" w:hAnsiTheme="majorHAnsi"/>
          <w:spacing w:val="30"/>
          <w:sz w:val="20"/>
          <w:szCs w:val="20"/>
          <w:lang w:val="uk-UA"/>
        </w:rPr>
        <w:t xml:space="preserve"> </w:t>
      </w:r>
      <w:r w:rsidRPr="004D2D14">
        <w:rPr>
          <w:rFonts w:asciiTheme="majorHAnsi" w:hAnsiTheme="majorHAnsi"/>
          <w:sz w:val="20"/>
          <w:szCs w:val="20"/>
          <w:lang w:val="uk-UA"/>
        </w:rPr>
        <w:t>якості</w:t>
      </w:r>
      <w:r w:rsidRPr="004D2D14">
        <w:rPr>
          <w:rFonts w:asciiTheme="majorHAnsi" w:hAnsiTheme="majorHAnsi"/>
          <w:spacing w:val="27"/>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підтверджений</w:t>
      </w:r>
      <w:r w:rsidRPr="004D2D14">
        <w:rPr>
          <w:rFonts w:asciiTheme="majorHAnsi" w:hAnsiTheme="majorHAnsi"/>
          <w:spacing w:val="51"/>
          <w:sz w:val="20"/>
          <w:szCs w:val="20"/>
          <w:lang w:val="uk-UA"/>
        </w:rPr>
        <w:t xml:space="preserve"> </w:t>
      </w:r>
      <w:r w:rsidRPr="004D2D14">
        <w:rPr>
          <w:rFonts w:asciiTheme="majorHAnsi" w:hAnsiTheme="majorHAnsi"/>
          <w:sz w:val="20"/>
          <w:szCs w:val="20"/>
          <w:lang w:val="uk-UA"/>
        </w:rPr>
        <w:t>об’єктивним доказом</w:t>
      </w:r>
      <w:r w:rsidRPr="004D2D14">
        <w:rPr>
          <w:rFonts w:asciiTheme="majorHAnsi" w:hAnsiTheme="majorHAnsi"/>
          <w:spacing w:val="1"/>
          <w:sz w:val="20"/>
          <w:szCs w:val="20"/>
          <w:lang w:val="uk-UA"/>
        </w:rPr>
        <w:t xml:space="preserve"> </w:t>
      </w:r>
    </w:p>
    <w:p w14:paraId="07A735FC"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СПОСТЕРІГАЧ –</w:t>
      </w:r>
    </w:p>
    <w:p w14:paraId="34CEB7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OBSERVER –</w:t>
      </w:r>
    </w:p>
    <w:p w14:paraId="795131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Особа, яка супроводжує групу з аудиту, але не здійснює аудит</w:t>
      </w:r>
    </w:p>
    <w:p w14:paraId="3AE61702"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ISO/IEC 17021-1:2015</w:t>
      </w:r>
    </w:p>
    <w:p w14:paraId="280D711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Особа, яка супроводжує групу аудиту, але не здійснює</w:t>
      </w:r>
      <w:r w:rsidRPr="000977F7">
        <w:rPr>
          <w:rFonts w:asciiTheme="majorHAnsi" w:hAnsiTheme="majorHAnsi"/>
          <w:spacing w:val="-1"/>
          <w:sz w:val="20"/>
          <w:szCs w:val="20"/>
        </w:rPr>
        <w:t xml:space="preserve"> </w:t>
      </w:r>
      <w:r w:rsidRPr="000977F7">
        <w:rPr>
          <w:rFonts w:asciiTheme="majorHAnsi" w:hAnsiTheme="majorHAnsi"/>
          <w:sz w:val="20"/>
          <w:szCs w:val="20"/>
        </w:rPr>
        <w:t>дії</w:t>
      </w:r>
      <w:r w:rsidRPr="000977F7">
        <w:rPr>
          <w:rFonts w:asciiTheme="majorHAnsi" w:hAnsiTheme="majorHAnsi"/>
          <w:spacing w:val="-1"/>
          <w:sz w:val="20"/>
          <w:szCs w:val="20"/>
        </w:rPr>
        <w:t xml:space="preserve"> </w:t>
      </w:r>
      <w:r w:rsidRPr="000977F7">
        <w:rPr>
          <w:rFonts w:asciiTheme="majorHAnsi" w:hAnsiTheme="majorHAnsi"/>
          <w:sz w:val="20"/>
          <w:szCs w:val="20"/>
        </w:rPr>
        <w:t>аудитора.</w:t>
      </w:r>
    </w:p>
    <w:p w14:paraId="26B805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Спостерігач може бути членом об’єкта аудиту або регуляторного органу чи іншої зацікавленої</w:t>
      </w:r>
      <w:r w:rsidRPr="000977F7">
        <w:rPr>
          <w:rFonts w:asciiTheme="majorHAnsi" w:hAnsiTheme="majorHAnsi"/>
          <w:spacing w:val="1"/>
          <w:sz w:val="20"/>
          <w:szCs w:val="20"/>
        </w:rPr>
        <w:t xml:space="preserve"> </w:t>
      </w:r>
      <w:r w:rsidRPr="000977F7">
        <w:rPr>
          <w:rFonts w:asciiTheme="majorHAnsi" w:hAnsiTheme="majorHAnsi"/>
          <w:sz w:val="20"/>
          <w:szCs w:val="20"/>
        </w:rPr>
        <w:t>сторони,</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свідком</w:t>
      </w:r>
      <w:r w:rsidRPr="000977F7">
        <w:rPr>
          <w:rFonts w:asciiTheme="majorHAnsi" w:hAnsiTheme="majorHAnsi"/>
          <w:spacing w:val="1"/>
          <w:sz w:val="20"/>
          <w:szCs w:val="20"/>
        </w:rPr>
        <w:t xml:space="preserve"> </w:t>
      </w:r>
      <w:r w:rsidRPr="000977F7">
        <w:rPr>
          <w:rFonts w:asciiTheme="majorHAnsi" w:hAnsiTheme="majorHAnsi"/>
          <w:sz w:val="20"/>
          <w:szCs w:val="20"/>
        </w:rPr>
        <w:t>аудиту.</w:t>
      </w:r>
    </w:p>
    <w:p w14:paraId="7CC354C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9000:2015</w:t>
      </w:r>
    </w:p>
    <w:p w14:paraId="6C981ED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СПОТВОРЕННЯ</w:t>
      </w:r>
      <w:r w:rsidRPr="000977F7">
        <w:rPr>
          <w:color w:val="auto"/>
          <w:spacing w:val="11"/>
          <w:sz w:val="20"/>
          <w:szCs w:val="20"/>
        </w:rPr>
        <w:t xml:space="preserve"> </w:t>
      </w:r>
      <w:r w:rsidRPr="000977F7">
        <w:rPr>
          <w:color w:val="auto"/>
          <w:sz w:val="20"/>
          <w:szCs w:val="20"/>
        </w:rPr>
        <w:t>ФОРМИ</w:t>
      </w:r>
      <w:r w:rsidRPr="000977F7">
        <w:rPr>
          <w:color w:val="auto"/>
          <w:spacing w:val="12"/>
          <w:sz w:val="20"/>
          <w:szCs w:val="20"/>
        </w:rPr>
        <w:t xml:space="preserve"> </w:t>
      </w:r>
      <w:r w:rsidRPr="000977F7">
        <w:rPr>
          <w:color w:val="auto"/>
          <w:sz w:val="20"/>
          <w:szCs w:val="20"/>
        </w:rPr>
        <w:t>КРИВОЇ</w:t>
      </w:r>
      <w:r w:rsidRPr="000977F7">
        <w:rPr>
          <w:color w:val="auto"/>
          <w:spacing w:val="10"/>
          <w:sz w:val="20"/>
          <w:szCs w:val="20"/>
        </w:rPr>
        <w:t xml:space="preserve"> </w:t>
      </w:r>
      <w:r w:rsidRPr="000977F7">
        <w:rPr>
          <w:color w:val="auto"/>
          <w:sz w:val="20"/>
          <w:szCs w:val="20"/>
        </w:rPr>
        <w:t>НАПРУГИ</w:t>
      </w:r>
      <w:r w:rsidRPr="000977F7">
        <w:rPr>
          <w:color w:val="auto"/>
          <w:spacing w:val="-47"/>
          <w:sz w:val="20"/>
          <w:szCs w:val="20"/>
        </w:rPr>
        <w:t xml:space="preserve"> </w:t>
      </w:r>
      <w:r w:rsidRPr="000977F7">
        <w:rPr>
          <w:color w:val="auto"/>
          <w:sz w:val="20"/>
          <w:szCs w:val="20"/>
        </w:rPr>
        <w:t>(СТРУМУ)</w:t>
      </w:r>
      <w:r w:rsidRPr="000977F7">
        <w:rPr>
          <w:color w:val="auto"/>
          <w:spacing w:val="1"/>
          <w:sz w:val="20"/>
          <w:szCs w:val="20"/>
        </w:rPr>
        <w:t xml:space="preserve"> </w:t>
      </w:r>
      <w:r w:rsidRPr="000977F7">
        <w:rPr>
          <w:color w:val="auto"/>
          <w:sz w:val="20"/>
          <w:szCs w:val="20"/>
        </w:rPr>
        <w:t>–</w:t>
      </w:r>
    </w:p>
    <w:p w14:paraId="22E357E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Відмінність форми кривої напруги (струму) в електропостачальній</w:t>
      </w:r>
      <w:r w:rsidRPr="000977F7">
        <w:rPr>
          <w:rFonts w:asciiTheme="majorHAnsi" w:hAnsiTheme="majorHAnsi"/>
          <w:spacing w:val="-2"/>
          <w:sz w:val="20"/>
          <w:szCs w:val="20"/>
        </w:rPr>
        <w:t xml:space="preserve"> </w:t>
      </w:r>
      <w:r w:rsidRPr="000977F7">
        <w:rPr>
          <w:rFonts w:asciiTheme="majorHAnsi" w:hAnsiTheme="majorHAnsi"/>
          <w:sz w:val="20"/>
          <w:szCs w:val="20"/>
        </w:rPr>
        <w:t>системі</w:t>
      </w:r>
      <w:r w:rsidRPr="000977F7">
        <w:rPr>
          <w:rFonts w:asciiTheme="majorHAnsi" w:hAnsiTheme="majorHAnsi"/>
          <w:spacing w:val="-1"/>
          <w:sz w:val="20"/>
          <w:szCs w:val="20"/>
        </w:rPr>
        <w:t xml:space="preserve"> </w:t>
      </w:r>
      <w:r w:rsidRPr="000977F7">
        <w:rPr>
          <w:rFonts w:asciiTheme="majorHAnsi" w:hAnsiTheme="majorHAnsi"/>
          <w:sz w:val="20"/>
          <w:szCs w:val="20"/>
        </w:rPr>
        <w:t>від потрібної</w:t>
      </w:r>
    </w:p>
    <w:p w14:paraId="06AFE4E8" w14:textId="77777777" w:rsidR="0097612F" w:rsidRPr="000977F7" w:rsidRDefault="0097612F" w:rsidP="000977F7">
      <w:pPr>
        <w:pStyle w:val="7"/>
        <w:tabs>
          <w:tab w:val="left" w:pos="284"/>
        </w:tabs>
        <w:spacing w:before="0" w:line="240" w:lineRule="auto"/>
        <w:ind w:left="170"/>
        <w:mirrorIndents/>
        <w:jc w:val="both"/>
        <w:rPr>
          <w:b w:val="0"/>
          <w:bCs/>
          <w:i/>
          <w:color w:val="auto"/>
          <w:spacing w:val="1"/>
          <w:sz w:val="20"/>
          <w:szCs w:val="20"/>
        </w:rPr>
      </w:pPr>
      <w:r w:rsidRPr="000977F7">
        <w:rPr>
          <w:b w:val="0"/>
          <w:bCs/>
          <w:i/>
          <w:color w:val="auto"/>
          <w:sz w:val="20"/>
          <w:szCs w:val="20"/>
        </w:rPr>
        <w:lastRenderedPageBreak/>
        <w:t>ДСТУ 3466 - 96</w:t>
      </w:r>
      <w:r w:rsidRPr="000977F7">
        <w:rPr>
          <w:b w:val="0"/>
          <w:bCs/>
          <w:i/>
          <w:color w:val="auto"/>
          <w:spacing w:val="1"/>
          <w:sz w:val="20"/>
          <w:szCs w:val="20"/>
        </w:rPr>
        <w:t xml:space="preserve"> </w:t>
      </w:r>
    </w:p>
    <w:p w14:paraId="24ED3D4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СПРАВНІСТЬ – </w:t>
      </w:r>
    </w:p>
    <w:p w14:paraId="3C555C1C"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GOOD STAТE –</w:t>
      </w:r>
    </w:p>
    <w:p w14:paraId="31BB6D4C"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Стан об’єкта, за яким він здатний виконувати усі задані функції об’єкта</w:t>
      </w:r>
    </w:p>
    <w:p w14:paraId="7E5CCF4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987D7D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СПРИЯТЛИВІ УМОВИ ЖИТТЄДІЯЛЬНОСТІ ЛЮДИНИ –</w:t>
      </w:r>
    </w:p>
    <w:p w14:paraId="7B711ECF"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Стан середовища життєдіяльності, при якому відсутній будь-який шкідливий вплив його факторів на здоров'я людини і є можливості для забезпечення нормальних і відновлення порушених функцій організму</w:t>
      </w:r>
    </w:p>
    <w:p w14:paraId="3DB7F01F"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забезпечення санітарного та епідемічного благополуччя населення"</w:t>
      </w:r>
    </w:p>
    <w:p w14:paraId="5483B817"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uk-UA"/>
        </w:rPr>
      </w:pPr>
      <w:r w:rsidRPr="004D2D14">
        <w:rPr>
          <w:rFonts w:asciiTheme="majorHAnsi" w:hAnsiTheme="majorHAnsi"/>
          <w:b/>
          <w:caps/>
          <w:sz w:val="20"/>
          <w:szCs w:val="20"/>
          <w:lang w:val="uk-UA"/>
        </w:rPr>
        <w:t>СПроможність</w:t>
      </w:r>
      <w:r w:rsidRPr="004D2D14">
        <w:rPr>
          <w:rFonts w:asciiTheme="majorHAnsi" w:hAnsiTheme="majorHAnsi"/>
          <w:b/>
          <w:sz w:val="20"/>
          <w:szCs w:val="20"/>
          <w:lang w:val="uk-UA"/>
        </w:rPr>
        <w:t xml:space="preserve"> –</w:t>
      </w:r>
    </w:p>
    <w:p w14:paraId="5C3A3A9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CAPABILITY</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40E6DD2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Здатність об’єкта отримувати вихід, який відповідатиме вимогам до цього входу</w:t>
      </w:r>
    </w:p>
    <w:p w14:paraId="73BF8F7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9000:2015</w:t>
      </w:r>
    </w:p>
    <w:p w14:paraId="16EEAD3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СТАБІЛІЗАЦІЯ</w:t>
      </w:r>
      <w:r w:rsidRPr="000977F7">
        <w:rPr>
          <w:color w:val="auto"/>
          <w:spacing w:val="5"/>
          <w:sz w:val="20"/>
          <w:szCs w:val="20"/>
        </w:rPr>
        <w:t xml:space="preserve"> </w:t>
      </w:r>
      <w:r w:rsidRPr="000977F7">
        <w:rPr>
          <w:color w:val="auto"/>
          <w:sz w:val="20"/>
          <w:szCs w:val="20"/>
        </w:rPr>
        <w:t>(ПАРАМЕТРА</w:t>
      </w:r>
      <w:r w:rsidRPr="000977F7">
        <w:rPr>
          <w:color w:val="auto"/>
          <w:spacing w:val="5"/>
          <w:sz w:val="20"/>
          <w:szCs w:val="20"/>
        </w:rPr>
        <w:t xml:space="preserve"> </w:t>
      </w:r>
      <w:r w:rsidRPr="000977F7">
        <w:rPr>
          <w:color w:val="auto"/>
          <w:sz w:val="20"/>
          <w:szCs w:val="20"/>
        </w:rPr>
        <w:t>ЕЛЕКТРИЧНОЇ</w:t>
      </w:r>
      <w:r w:rsidRPr="000977F7">
        <w:rPr>
          <w:color w:val="auto"/>
          <w:spacing w:val="-47"/>
          <w:sz w:val="20"/>
          <w:szCs w:val="20"/>
        </w:rPr>
        <w:t xml:space="preserve"> </w:t>
      </w:r>
      <w:r w:rsidRPr="000977F7">
        <w:rPr>
          <w:color w:val="auto"/>
          <w:sz w:val="20"/>
          <w:szCs w:val="20"/>
        </w:rPr>
        <w:t>ЕНЕРГІЇ)</w:t>
      </w:r>
      <w:r w:rsidRPr="000977F7">
        <w:rPr>
          <w:color w:val="auto"/>
          <w:spacing w:val="2"/>
          <w:sz w:val="20"/>
          <w:szCs w:val="20"/>
        </w:rPr>
        <w:t xml:space="preserve"> </w:t>
      </w:r>
      <w:r w:rsidRPr="000977F7">
        <w:rPr>
          <w:color w:val="auto"/>
          <w:sz w:val="20"/>
          <w:szCs w:val="20"/>
        </w:rPr>
        <w:t>–</w:t>
      </w:r>
    </w:p>
    <w:p w14:paraId="5D7784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Підтримання</w:t>
      </w:r>
      <w:r w:rsidRPr="000977F7">
        <w:rPr>
          <w:rFonts w:asciiTheme="majorHAnsi" w:hAnsiTheme="majorHAnsi"/>
          <w:spacing w:val="21"/>
          <w:sz w:val="20"/>
          <w:szCs w:val="20"/>
        </w:rPr>
        <w:t xml:space="preserve"> </w:t>
      </w:r>
      <w:r w:rsidRPr="000977F7">
        <w:rPr>
          <w:rFonts w:asciiTheme="majorHAnsi" w:hAnsiTheme="majorHAnsi"/>
          <w:sz w:val="20"/>
          <w:szCs w:val="20"/>
        </w:rPr>
        <w:t>значення</w:t>
      </w:r>
      <w:r w:rsidRPr="000977F7">
        <w:rPr>
          <w:rFonts w:asciiTheme="majorHAnsi" w:hAnsiTheme="majorHAnsi"/>
          <w:spacing w:val="21"/>
          <w:sz w:val="20"/>
          <w:szCs w:val="20"/>
        </w:rPr>
        <w:t xml:space="preserve"> </w:t>
      </w:r>
      <w:r w:rsidRPr="000977F7">
        <w:rPr>
          <w:rFonts w:asciiTheme="majorHAnsi" w:hAnsiTheme="majorHAnsi"/>
          <w:sz w:val="20"/>
          <w:szCs w:val="20"/>
        </w:rPr>
        <w:t>параметра</w:t>
      </w:r>
      <w:r w:rsidRPr="000977F7">
        <w:rPr>
          <w:rFonts w:asciiTheme="majorHAnsi" w:hAnsiTheme="majorHAnsi"/>
          <w:spacing w:val="21"/>
          <w:sz w:val="20"/>
          <w:szCs w:val="20"/>
        </w:rPr>
        <w:t xml:space="preserve"> </w:t>
      </w:r>
      <w:r w:rsidRPr="000977F7">
        <w:rPr>
          <w:rFonts w:asciiTheme="majorHAnsi" w:hAnsiTheme="majorHAnsi"/>
          <w:sz w:val="20"/>
          <w:szCs w:val="20"/>
        </w:rPr>
        <w:t>електричної</w:t>
      </w:r>
      <w:r w:rsidRPr="000977F7">
        <w:rPr>
          <w:rFonts w:asciiTheme="majorHAnsi" w:hAnsiTheme="majorHAnsi"/>
          <w:spacing w:val="21"/>
          <w:sz w:val="20"/>
          <w:szCs w:val="20"/>
        </w:rPr>
        <w:t xml:space="preserve"> </w:t>
      </w:r>
      <w:r w:rsidRPr="000977F7">
        <w:rPr>
          <w:rFonts w:asciiTheme="majorHAnsi" w:hAnsiTheme="majorHAnsi"/>
          <w:sz w:val="20"/>
          <w:szCs w:val="20"/>
        </w:rPr>
        <w:t>енергії</w:t>
      </w:r>
      <w:r w:rsidRPr="000977F7">
        <w:rPr>
          <w:rFonts w:asciiTheme="majorHAnsi" w:hAnsiTheme="majorHAnsi"/>
          <w:spacing w:val="-47"/>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заданих</w:t>
      </w:r>
      <w:r w:rsidRPr="000977F7">
        <w:rPr>
          <w:rFonts w:asciiTheme="majorHAnsi" w:hAnsiTheme="majorHAnsi"/>
          <w:spacing w:val="-1"/>
          <w:sz w:val="20"/>
          <w:szCs w:val="20"/>
        </w:rPr>
        <w:t xml:space="preserve"> </w:t>
      </w:r>
      <w:r w:rsidRPr="000977F7">
        <w:rPr>
          <w:rFonts w:asciiTheme="majorHAnsi" w:hAnsiTheme="majorHAnsi"/>
          <w:sz w:val="20"/>
          <w:szCs w:val="20"/>
        </w:rPr>
        <w:t>межах</w:t>
      </w:r>
    </w:p>
    <w:p w14:paraId="4D333431"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3466 - 96</w:t>
      </w:r>
    </w:p>
    <w:p w14:paraId="4066093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СТАБІЛЬНА</w:t>
      </w:r>
      <w:r w:rsidRPr="000977F7">
        <w:rPr>
          <w:color w:val="auto"/>
          <w:spacing w:val="-7"/>
          <w:sz w:val="20"/>
          <w:szCs w:val="20"/>
        </w:rPr>
        <w:t xml:space="preserve"> </w:t>
      </w:r>
      <w:r w:rsidRPr="000977F7">
        <w:rPr>
          <w:color w:val="auto"/>
          <w:sz w:val="20"/>
          <w:szCs w:val="20"/>
        </w:rPr>
        <w:t>НЕСПРАВНІСТЬ</w:t>
      </w:r>
      <w:r w:rsidRPr="000977F7">
        <w:rPr>
          <w:color w:val="auto"/>
          <w:spacing w:val="-3"/>
          <w:sz w:val="20"/>
          <w:szCs w:val="20"/>
        </w:rPr>
        <w:t xml:space="preserve"> </w:t>
      </w:r>
      <w:r w:rsidRPr="000977F7">
        <w:rPr>
          <w:color w:val="auto"/>
          <w:sz w:val="20"/>
          <w:szCs w:val="20"/>
        </w:rPr>
        <w:t>–</w:t>
      </w:r>
    </w:p>
    <w:p w14:paraId="257BDBB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PERMANENT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FAULT;</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PERSISTENT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FAULT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1BA8F4C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Несправність об’єкта, що може бути усунена тільки за</w:t>
      </w:r>
      <w:r w:rsidRPr="000977F7">
        <w:rPr>
          <w:rFonts w:asciiTheme="majorHAnsi" w:hAnsiTheme="majorHAnsi"/>
          <w:spacing w:val="-47"/>
          <w:sz w:val="20"/>
          <w:szCs w:val="20"/>
        </w:rPr>
        <w:t xml:space="preserve"> </w:t>
      </w:r>
      <w:r w:rsidRPr="000977F7">
        <w:rPr>
          <w:rFonts w:asciiTheme="majorHAnsi" w:hAnsiTheme="majorHAnsi"/>
          <w:sz w:val="20"/>
          <w:szCs w:val="20"/>
        </w:rPr>
        <w:t>допомогою</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p>
    <w:p w14:paraId="3BC3C62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0954E5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СТАБІЛЬНІСТЬ</w:t>
      </w:r>
      <w:r w:rsidRPr="000977F7">
        <w:rPr>
          <w:color w:val="auto"/>
          <w:spacing w:val="-10"/>
          <w:sz w:val="20"/>
          <w:szCs w:val="20"/>
        </w:rPr>
        <w:t xml:space="preserve"> </w:t>
      </w:r>
      <w:r w:rsidRPr="000977F7">
        <w:rPr>
          <w:color w:val="auto"/>
          <w:sz w:val="20"/>
          <w:szCs w:val="20"/>
        </w:rPr>
        <w:t>ЗАСОБУ</w:t>
      </w:r>
      <w:r w:rsidRPr="000977F7">
        <w:rPr>
          <w:color w:val="auto"/>
          <w:spacing w:val="-9"/>
          <w:sz w:val="20"/>
          <w:szCs w:val="20"/>
        </w:rPr>
        <w:t xml:space="preserve"> </w:t>
      </w:r>
      <w:r w:rsidRPr="000977F7">
        <w:rPr>
          <w:color w:val="auto"/>
          <w:sz w:val="20"/>
          <w:szCs w:val="20"/>
        </w:rPr>
        <w:t>ВИМІРЮВАЛЬНОЇ</w:t>
      </w:r>
      <w:r w:rsidRPr="000977F7">
        <w:rPr>
          <w:color w:val="auto"/>
          <w:spacing w:val="-47"/>
          <w:sz w:val="20"/>
          <w:szCs w:val="20"/>
        </w:rPr>
        <w:t xml:space="preserve"> </w:t>
      </w:r>
      <w:r w:rsidRPr="000977F7">
        <w:rPr>
          <w:color w:val="auto"/>
          <w:sz w:val="20"/>
          <w:szCs w:val="20"/>
        </w:rPr>
        <w:t>ТЕХНІКИ –</w:t>
      </w:r>
    </w:p>
    <w:p w14:paraId="5AEB0B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STABILITY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61FCBA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Здатність засобу вимірювальної техніки зберігати свої</w:t>
      </w:r>
      <w:r w:rsidRPr="000977F7">
        <w:rPr>
          <w:rFonts w:asciiTheme="majorHAnsi" w:hAnsiTheme="majorHAnsi"/>
          <w:spacing w:val="-47"/>
          <w:sz w:val="20"/>
          <w:szCs w:val="20"/>
        </w:rPr>
        <w:t xml:space="preserve"> </w:t>
      </w:r>
      <w:r w:rsidRPr="000977F7">
        <w:rPr>
          <w:rFonts w:asciiTheme="majorHAnsi" w:hAnsiTheme="majorHAnsi"/>
          <w:sz w:val="20"/>
          <w:szCs w:val="20"/>
        </w:rPr>
        <w:t>метрологічні характеристики в заданих границях протягом заданого</w:t>
      </w:r>
      <w:r w:rsidRPr="000977F7">
        <w:rPr>
          <w:rFonts w:asciiTheme="majorHAnsi" w:hAnsiTheme="majorHAnsi"/>
          <w:spacing w:val="1"/>
          <w:sz w:val="20"/>
          <w:szCs w:val="20"/>
        </w:rPr>
        <w:t xml:space="preserve"> </w:t>
      </w:r>
      <w:r w:rsidRPr="000977F7">
        <w:rPr>
          <w:rFonts w:asciiTheme="majorHAnsi" w:hAnsiTheme="majorHAnsi"/>
          <w:sz w:val="20"/>
          <w:szCs w:val="20"/>
        </w:rPr>
        <w:t>інтервалу</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0CD36EA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2681 - 94</w:t>
      </w:r>
    </w:p>
    <w:p w14:paraId="2647BE2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СТАБІЛЬНІСТЬ</w:t>
      </w:r>
      <w:r w:rsidRPr="000977F7">
        <w:rPr>
          <w:color w:val="auto"/>
          <w:spacing w:val="-5"/>
          <w:sz w:val="20"/>
          <w:szCs w:val="20"/>
        </w:rPr>
        <w:t xml:space="preserve"> </w:t>
      </w:r>
      <w:r w:rsidRPr="000977F7">
        <w:rPr>
          <w:color w:val="auto"/>
          <w:sz w:val="20"/>
          <w:szCs w:val="20"/>
        </w:rPr>
        <w:t>НАПРУГИ</w:t>
      </w:r>
      <w:r w:rsidRPr="000977F7">
        <w:rPr>
          <w:color w:val="auto"/>
          <w:spacing w:val="-1"/>
          <w:sz w:val="20"/>
          <w:szCs w:val="20"/>
        </w:rPr>
        <w:t xml:space="preserve"> </w:t>
      </w:r>
      <w:r w:rsidRPr="000977F7">
        <w:rPr>
          <w:color w:val="auto"/>
          <w:sz w:val="20"/>
          <w:szCs w:val="20"/>
        </w:rPr>
        <w:t>(ЧАСТОТИ)</w:t>
      </w:r>
      <w:r w:rsidRPr="000977F7">
        <w:rPr>
          <w:color w:val="auto"/>
          <w:spacing w:val="-4"/>
          <w:sz w:val="20"/>
          <w:szCs w:val="20"/>
        </w:rPr>
        <w:t xml:space="preserve"> </w:t>
      </w:r>
      <w:r w:rsidRPr="000977F7">
        <w:rPr>
          <w:color w:val="auto"/>
          <w:sz w:val="20"/>
          <w:szCs w:val="20"/>
        </w:rPr>
        <w:t>–</w:t>
      </w:r>
    </w:p>
    <w:p w14:paraId="2955AED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VOLTAGE</w:t>
      </w:r>
      <w:r w:rsidRPr="000977F7">
        <w:rPr>
          <w:rFonts w:asciiTheme="majorHAnsi" w:hAnsiTheme="majorHAnsi"/>
          <w:spacing w:val="-2"/>
          <w:sz w:val="20"/>
          <w:szCs w:val="20"/>
        </w:rPr>
        <w:t xml:space="preserve"> </w:t>
      </w:r>
      <w:r w:rsidRPr="000977F7">
        <w:rPr>
          <w:rFonts w:asciiTheme="majorHAnsi" w:hAnsiTheme="majorHAnsi"/>
          <w:sz w:val="20"/>
          <w:szCs w:val="20"/>
        </w:rPr>
        <w:t>(FREQUENCY)</w:t>
      </w:r>
      <w:r w:rsidRPr="000977F7">
        <w:rPr>
          <w:rFonts w:asciiTheme="majorHAnsi" w:hAnsiTheme="majorHAnsi"/>
          <w:spacing w:val="1"/>
          <w:sz w:val="20"/>
          <w:szCs w:val="20"/>
        </w:rPr>
        <w:t xml:space="preserve"> </w:t>
      </w:r>
      <w:r w:rsidRPr="000977F7">
        <w:rPr>
          <w:rFonts w:asciiTheme="majorHAnsi" w:hAnsiTheme="majorHAnsi"/>
          <w:sz w:val="20"/>
          <w:szCs w:val="20"/>
        </w:rPr>
        <w:t>STABILITY</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7212015"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Показник якості електричної енергії, який оцінюється</w:t>
      </w:r>
      <w:r w:rsidRPr="000977F7">
        <w:rPr>
          <w:rFonts w:asciiTheme="majorHAnsi" w:hAnsiTheme="majorHAnsi"/>
          <w:spacing w:val="1"/>
          <w:sz w:val="20"/>
          <w:szCs w:val="20"/>
        </w:rPr>
        <w:t xml:space="preserve"> </w:t>
      </w:r>
      <w:r w:rsidRPr="000977F7">
        <w:rPr>
          <w:rFonts w:asciiTheme="majorHAnsi" w:hAnsiTheme="majorHAnsi"/>
          <w:sz w:val="20"/>
          <w:szCs w:val="20"/>
        </w:rPr>
        <w:t>за виміряним відхиленням напруги (частоти) від номі</w:t>
      </w:r>
      <w:r w:rsidRPr="000977F7">
        <w:rPr>
          <w:rFonts w:asciiTheme="majorHAnsi" w:hAnsiTheme="majorHAnsi"/>
          <w:spacing w:val="-1"/>
          <w:sz w:val="20"/>
          <w:szCs w:val="20"/>
        </w:rPr>
        <w:t>нального</w:t>
      </w:r>
      <w:r w:rsidRPr="000977F7">
        <w:rPr>
          <w:rFonts w:asciiTheme="majorHAnsi" w:hAnsiTheme="majorHAnsi"/>
          <w:spacing w:val="-11"/>
          <w:sz w:val="20"/>
          <w:szCs w:val="20"/>
        </w:rPr>
        <w:t xml:space="preserve"> </w:t>
      </w:r>
      <w:r w:rsidRPr="000977F7">
        <w:rPr>
          <w:rFonts w:asciiTheme="majorHAnsi" w:hAnsiTheme="majorHAnsi"/>
          <w:spacing w:val="-1"/>
          <w:sz w:val="20"/>
          <w:szCs w:val="20"/>
        </w:rPr>
        <w:t>чи</w:t>
      </w:r>
      <w:r w:rsidRPr="000977F7">
        <w:rPr>
          <w:rFonts w:asciiTheme="majorHAnsi" w:hAnsiTheme="majorHAnsi"/>
          <w:spacing w:val="-10"/>
          <w:sz w:val="20"/>
          <w:szCs w:val="20"/>
        </w:rPr>
        <w:t xml:space="preserve"> </w:t>
      </w:r>
      <w:r w:rsidRPr="000977F7">
        <w:rPr>
          <w:rFonts w:asciiTheme="majorHAnsi" w:hAnsiTheme="majorHAnsi"/>
          <w:spacing w:val="-1"/>
          <w:sz w:val="20"/>
          <w:szCs w:val="20"/>
        </w:rPr>
        <w:t>базового</w:t>
      </w:r>
      <w:r w:rsidRPr="000977F7">
        <w:rPr>
          <w:rFonts w:asciiTheme="majorHAnsi" w:hAnsiTheme="majorHAnsi"/>
          <w:spacing w:val="-11"/>
          <w:sz w:val="20"/>
          <w:szCs w:val="20"/>
        </w:rPr>
        <w:t xml:space="preserve"> </w:t>
      </w:r>
      <w:r w:rsidRPr="000977F7">
        <w:rPr>
          <w:rFonts w:asciiTheme="majorHAnsi" w:hAnsiTheme="majorHAnsi"/>
          <w:spacing w:val="-1"/>
          <w:sz w:val="20"/>
          <w:szCs w:val="20"/>
        </w:rPr>
        <w:t>значення</w:t>
      </w:r>
      <w:r w:rsidRPr="000977F7">
        <w:rPr>
          <w:rFonts w:asciiTheme="majorHAnsi" w:hAnsiTheme="majorHAnsi"/>
          <w:spacing w:val="-11"/>
          <w:sz w:val="20"/>
          <w:szCs w:val="20"/>
        </w:rPr>
        <w:t xml:space="preserve"> </w:t>
      </w:r>
      <w:r w:rsidRPr="000977F7">
        <w:rPr>
          <w:rFonts w:asciiTheme="majorHAnsi" w:hAnsiTheme="majorHAnsi"/>
          <w:spacing w:val="-1"/>
          <w:sz w:val="20"/>
          <w:szCs w:val="20"/>
        </w:rPr>
        <w:t>за</w:t>
      </w:r>
      <w:r w:rsidRPr="000977F7">
        <w:rPr>
          <w:rFonts w:asciiTheme="majorHAnsi" w:hAnsiTheme="majorHAnsi"/>
          <w:spacing w:val="-11"/>
          <w:sz w:val="20"/>
          <w:szCs w:val="20"/>
        </w:rPr>
        <w:t xml:space="preserve"> </w:t>
      </w:r>
      <w:r w:rsidRPr="000977F7">
        <w:rPr>
          <w:rFonts w:asciiTheme="majorHAnsi" w:hAnsiTheme="majorHAnsi"/>
          <w:spacing w:val="-1"/>
          <w:sz w:val="20"/>
          <w:szCs w:val="20"/>
        </w:rPr>
        <w:t>певний</w:t>
      </w:r>
      <w:r w:rsidRPr="000977F7">
        <w:rPr>
          <w:rFonts w:asciiTheme="majorHAnsi" w:hAnsiTheme="majorHAnsi"/>
          <w:spacing w:val="-10"/>
          <w:sz w:val="20"/>
          <w:szCs w:val="20"/>
        </w:rPr>
        <w:t xml:space="preserve"> </w:t>
      </w:r>
      <w:r w:rsidRPr="000977F7">
        <w:rPr>
          <w:rFonts w:asciiTheme="majorHAnsi" w:hAnsiTheme="majorHAnsi"/>
          <w:sz w:val="20"/>
          <w:szCs w:val="20"/>
        </w:rPr>
        <w:t>інтервал</w:t>
      </w:r>
      <w:r w:rsidRPr="000977F7">
        <w:rPr>
          <w:rFonts w:asciiTheme="majorHAnsi" w:hAnsiTheme="majorHAnsi"/>
          <w:spacing w:val="-13"/>
          <w:sz w:val="20"/>
          <w:szCs w:val="20"/>
        </w:rPr>
        <w:t xml:space="preserve"> </w:t>
      </w:r>
      <w:r w:rsidRPr="000977F7">
        <w:rPr>
          <w:rFonts w:asciiTheme="majorHAnsi" w:hAnsiTheme="majorHAnsi"/>
          <w:sz w:val="20"/>
          <w:szCs w:val="20"/>
        </w:rPr>
        <w:t>часу</w:t>
      </w:r>
      <w:r w:rsidRPr="000977F7">
        <w:rPr>
          <w:rFonts w:asciiTheme="majorHAnsi" w:hAnsiTheme="majorHAnsi"/>
          <w:spacing w:val="1"/>
          <w:sz w:val="20"/>
          <w:szCs w:val="20"/>
        </w:rPr>
        <w:t xml:space="preserve"> </w:t>
      </w:r>
    </w:p>
    <w:p w14:paraId="2CD8A564"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3466 - 96</w:t>
      </w:r>
    </w:p>
    <w:p w14:paraId="0E4DA60D"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СТАБІЛЬНІСТЬ</w:t>
      </w:r>
      <w:r w:rsidRPr="000977F7">
        <w:rPr>
          <w:color w:val="auto"/>
          <w:spacing w:val="1"/>
          <w:sz w:val="20"/>
          <w:szCs w:val="20"/>
        </w:rPr>
        <w:t xml:space="preserve"> </w:t>
      </w:r>
      <w:r w:rsidRPr="000977F7">
        <w:rPr>
          <w:color w:val="auto"/>
          <w:sz w:val="20"/>
          <w:szCs w:val="20"/>
        </w:rPr>
        <w:t>ТЕХНОЛОГІЧНОГО</w:t>
      </w:r>
      <w:r w:rsidRPr="000977F7">
        <w:rPr>
          <w:color w:val="auto"/>
          <w:spacing w:val="1"/>
          <w:sz w:val="20"/>
          <w:szCs w:val="20"/>
        </w:rPr>
        <w:t xml:space="preserve"> </w:t>
      </w:r>
    </w:p>
    <w:p w14:paraId="53E8077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ПРОЦЕСУ -</w:t>
      </w:r>
    </w:p>
    <w:p w14:paraId="0772D8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PROCESS</w:t>
      </w:r>
      <w:r w:rsidRPr="000977F7">
        <w:rPr>
          <w:rFonts w:asciiTheme="majorHAnsi" w:hAnsiTheme="majorHAnsi"/>
          <w:spacing w:val="-3"/>
          <w:sz w:val="20"/>
          <w:szCs w:val="20"/>
        </w:rPr>
        <w:t xml:space="preserve"> </w:t>
      </w:r>
      <w:r w:rsidRPr="000977F7">
        <w:rPr>
          <w:rFonts w:asciiTheme="majorHAnsi" w:hAnsiTheme="majorHAnsi"/>
          <w:sz w:val="20"/>
          <w:szCs w:val="20"/>
        </w:rPr>
        <w:t>STABILITY -</w:t>
      </w:r>
    </w:p>
    <w:p w14:paraId="5BFA3DD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 технологічного процесу, яка обумовлює</w:t>
      </w:r>
      <w:r w:rsidRPr="000977F7">
        <w:rPr>
          <w:rFonts w:asciiTheme="majorHAnsi" w:hAnsiTheme="majorHAnsi"/>
          <w:spacing w:val="1"/>
          <w:sz w:val="20"/>
          <w:szCs w:val="20"/>
        </w:rPr>
        <w:t xml:space="preserve"> </w:t>
      </w:r>
      <w:r w:rsidRPr="000977F7">
        <w:rPr>
          <w:rFonts w:asciiTheme="majorHAnsi" w:hAnsiTheme="majorHAnsi"/>
          <w:sz w:val="20"/>
          <w:szCs w:val="20"/>
        </w:rPr>
        <w:t>сталість розподілу ймовірностей його контрольованих</w:t>
      </w:r>
      <w:r w:rsidRPr="000977F7">
        <w:rPr>
          <w:rFonts w:asciiTheme="majorHAnsi" w:hAnsiTheme="majorHAnsi"/>
          <w:spacing w:val="-47"/>
          <w:sz w:val="20"/>
          <w:szCs w:val="20"/>
        </w:rPr>
        <w:t xml:space="preserve"> </w:t>
      </w:r>
      <w:r w:rsidRPr="000977F7">
        <w:rPr>
          <w:rFonts w:asciiTheme="majorHAnsi" w:hAnsiTheme="majorHAnsi"/>
          <w:sz w:val="20"/>
          <w:szCs w:val="20"/>
        </w:rPr>
        <w:t>параметрів протягом певного проміжку часу без втручання</w:t>
      </w:r>
      <w:r w:rsidRPr="000977F7">
        <w:rPr>
          <w:rFonts w:asciiTheme="majorHAnsi" w:hAnsiTheme="majorHAnsi"/>
          <w:spacing w:val="-2"/>
          <w:sz w:val="20"/>
          <w:szCs w:val="20"/>
        </w:rPr>
        <w:t xml:space="preserve"> </w:t>
      </w:r>
      <w:r w:rsidRPr="000977F7">
        <w:rPr>
          <w:rFonts w:asciiTheme="majorHAnsi" w:hAnsiTheme="majorHAnsi"/>
          <w:sz w:val="20"/>
          <w:szCs w:val="20"/>
        </w:rPr>
        <w:t>ззовні</w:t>
      </w:r>
    </w:p>
    <w:p w14:paraId="2A225CB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СТАВЛЕННЯ</w:t>
      </w:r>
      <w:r w:rsidRPr="000977F7">
        <w:rPr>
          <w:color w:val="auto"/>
          <w:spacing w:val="-4"/>
          <w:sz w:val="20"/>
          <w:szCs w:val="20"/>
        </w:rPr>
        <w:t xml:space="preserve"> </w:t>
      </w:r>
      <w:r w:rsidRPr="000977F7">
        <w:rPr>
          <w:color w:val="auto"/>
          <w:sz w:val="20"/>
          <w:szCs w:val="20"/>
        </w:rPr>
        <w:t>ПРОДУКЦІЇ</w:t>
      </w:r>
      <w:r w:rsidRPr="000977F7">
        <w:rPr>
          <w:color w:val="auto"/>
          <w:spacing w:val="-5"/>
          <w:sz w:val="20"/>
          <w:szCs w:val="20"/>
        </w:rPr>
        <w:t xml:space="preserve"> </w:t>
      </w:r>
      <w:r w:rsidRPr="000977F7">
        <w:rPr>
          <w:color w:val="auto"/>
          <w:sz w:val="20"/>
          <w:szCs w:val="20"/>
        </w:rPr>
        <w:t>НА</w:t>
      </w:r>
      <w:r w:rsidRPr="000977F7">
        <w:rPr>
          <w:color w:val="auto"/>
          <w:spacing w:val="-3"/>
          <w:sz w:val="20"/>
          <w:szCs w:val="20"/>
        </w:rPr>
        <w:t xml:space="preserve"> </w:t>
      </w:r>
      <w:r w:rsidRPr="000977F7">
        <w:rPr>
          <w:color w:val="auto"/>
          <w:sz w:val="20"/>
          <w:szCs w:val="20"/>
        </w:rPr>
        <w:t>ВИРОБНИЦТВО</w:t>
      </w:r>
      <w:r w:rsidRPr="000977F7">
        <w:rPr>
          <w:color w:val="auto"/>
          <w:spacing w:val="-1"/>
          <w:sz w:val="20"/>
          <w:szCs w:val="20"/>
        </w:rPr>
        <w:t xml:space="preserve"> </w:t>
      </w:r>
      <w:r w:rsidRPr="000977F7">
        <w:rPr>
          <w:color w:val="auto"/>
          <w:sz w:val="20"/>
          <w:szCs w:val="20"/>
        </w:rPr>
        <w:t>–</w:t>
      </w:r>
    </w:p>
    <w:p w14:paraId="034B672C"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Сукупність</w:t>
      </w:r>
      <w:r w:rsidRPr="000977F7">
        <w:rPr>
          <w:rFonts w:asciiTheme="majorHAnsi" w:hAnsiTheme="majorHAnsi"/>
          <w:spacing w:val="2"/>
          <w:sz w:val="20"/>
          <w:szCs w:val="20"/>
        </w:rPr>
        <w:t xml:space="preserve"> </w:t>
      </w:r>
      <w:r w:rsidRPr="000977F7">
        <w:rPr>
          <w:rFonts w:asciiTheme="majorHAnsi" w:hAnsiTheme="majorHAnsi"/>
          <w:sz w:val="20"/>
          <w:szCs w:val="20"/>
        </w:rPr>
        <w:t>заходів</w:t>
      </w:r>
      <w:r w:rsidRPr="000977F7">
        <w:rPr>
          <w:rFonts w:asciiTheme="majorHAnsi" w:hAnsiTheme="majorHAnsi"/>
          <w:spacing w:val="3"/>
          <w:sz w:val="20"/>
          <w:szCs w:val="20"/>
        </w:rPr>
        <w:t xml:space="preserve"> </w:t>
      </w:r>
      <w:r w:rsidRPr="000977F7">
        <w:rPr>
          <w:rFonts w:asciiTheme="majorHAnsi" w:hAnsiTheme="majorHAnsi"/>
          <w:sz w:val="20"/>
          <w:szCs w:val="20"/>
        </w:rPr>
        <w:t>з</w:t>
      </w:r>
      <w:r w:rsidRPr="000977F7">
        <w:rPr>
          <w:rFonts w:asciiTheme="majorHAnsi" w:hAnsiTheme="majorHAnsi"/>
          <w:spacing w:val="3"/>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3"/>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організаційного</w:t>
      </w:r>
      <w:r w:rsidRPr="000977F7">
        <w:rPr>
          <w:rFonts w:asciiTheme="majorHAnsi" w:hAnsiTheme="majorHAnsi"/>
          <w:spacing w:val="16"/>
          <w:sz w:val="20"/>
          <w:szCs w:val="20"/>
        </w:rPr>
        <w:t xml:space="preserve"> </w:t>
      </w:r>
      <w:r w:rsidRPr="000977F7">
        <w:rPr>
          <w:rFonts w:asciiTheme="majorHAnsi" w:hAnsiTheme="majorHAnsi"/>
          <w:sz w:val="20"/>
          <w:szCs w:val="20"/>
        </w:rPr>
        <w:t>підготовлення</w:t>
      </w:r>
      <w:r w:rsidRPr="000977F7">
        <w:rPr>
          <w:rFonts w:asciiTheme="majorHAnsi" w:hAnsiTheme="majorHAnsi"/>
          <w:spacing w:val="14"/>
          <w:sz w:val="20"/>
          <w:szCs w:val="20"/>
        </w:rPr>
        <w:t xml:space="preserve"> </w:t>
      </w:r>
      <w:r w:rsidRPr="000977F7">
        <w:rPr>
          <w:rFonts w:asciiTheme="majorHAnsi" w:hAnsiTheme="majorHAnsi"/>
          <w:sz w:val="20"/>
          <w:szCs w:val="20"/>
        </w:rPr>
        <w:t>та</w:t>
      </w:r>
      <w:r w:rsidRPr="000977F7">
        <w:rPr>
          <w:rFonts w:asciiTheme="majorHAnsi" w:hAnsiTheme="majorHAnsi"/>
          <w:spacing w:val="15"/>
          <w:sz w:val="20"/>
          <w:szCs w:val="20"/>
        </w:rPr>
        <w:t xml:space="preserve"> </w:t>
      </w:r>
      <w:r w:rsidRPr="000977F7">
        <w:rPr>
          <w:rFonts w:asciiTheme="majorHAnsi" w:hAnsiTheme="majorHAnsi"/>
          <w:sz w:val="20"/>
          <w:szCs w:val="20"/>
        </w:rPr>
        <w:t>запуску</w:t>
      </w:r>
      <w:r w:rsidRPr="000977F7">
        <w:rPr>
          <w:rFonts w:asciiTheme="majorHAnsi" w:hAnsiTheme="majorHAnsi"/>
          <w:spacing w:val="16"/>
          <w:sz w:val="20"/>
          <w:szCs w:val="20"/>
        </w:rPr>
        <w:t xml:space="preserve"> </w:t>
      </w:r>
      <w:r w:rsidRPr="000977F7">
        <w:rPr>
          <w:rFonts w:asciiTheme="majorHAnsi" w:hAnsiTheme="majorHAnsi"/>
          <w:sz w:val="20"/>
          <w:szCs w:val="20"/>
        </w:rPr>
        <w:t>у</w:t>
      </w:r>
      <w:r w:rsidRPr="000977F7">
        <w:rPr>
          <w:rFonts w:asciiTheme="majorHAnsi" w:hAnsiTheme="majorHAnsi"/>
          <w:spacing w:val="12"/>
          <w:sz w:val="20"/>
          <w:szCs w:val="20"/>
        </w:rPr>
        <w:t xml:space="preserve"> </w:t>
      </w:r>
      <w:r w:rsidRPr="000977F7">
        <w:rPr>
          <w:rFonts w:asciiTheme="majorHAnsi" w:hAnsiTheme="majorHAnsi"/>
          <w:sz w:val="20"/>
          <w:szCs w:val="20"/>
        </w:rPr>
        <w:t>виробництво</w:t>
      </w:r>
      <w:r w:rsidRPr="000977F7">
        <w:rPr>
          <w:rFonts w:asciiTheme="majorHAnsi" w:hAnsiTheme="majorHAnsi"/>
          <w:spacing w:val="15"/>
          <w:sz w:val="20"/>
          <w:szCs w:val="20"/>
        </w:rPr>
        <w:t xml:space="preserve"> </w:t>
      </w:r>
      <w:r w:rsidRPr="000977F7">
        <w:rPr>
          <w:rFonts w:asciiTheme="majorHAnsi" w:hAnsiTheme="majorHAnsi"/>
          <w:sz w:val="20"/>
          <w:szCs w:val="20"/>
        </w:rPr>
        <w:t>нової</w:t>
      </w:r>
      <w:r w:rsidRPr="000977F7">
        <w:rPr>
          <w:rFonts w:asciiTheme="majorHAnsi" w:hAnsiTheme="majorHAnsi"/>
          <w:spacing w:val="15"/>
          <w:sz w:val="20"/>
          <w:szCs w:val="20"/>
        </w:rPr>
        <w:t xml:space="preserve"> </w:t>
      </w:r>
      <w:r w:rsidRPr="000977F7">
        <w:rPr>
          <w:rFonts w:asciiTheme="majorHAnsi" w:hAnsiTheme="majorHAnsi"/>
          <w:sz w:val="20"/>
          <w:szCs w:val="20"/>
        </w:rPr>
        <w:t>для</w:t>
      </w:r>
      <w:r w:rsidRPr="000977F7">
        <w:rPr>
          <w:rFonts w:asciiTheme="majorHAnsi" w:hAnsiTheme="majorHAnsi"/>
          <w:spacing w:val="-47"/>
          <w:sz w:val="20"/>
          <w:szCs w:val="20"/>
        </w:rPr>
        <w:t xml:space="preserve"> </w:t>
      </w:r>
      <w:r w:rsidRPr="000977F7">
        <w:rPr>
          <w:rFonts w:asciiTheme="majorHAnsi" w:hAnsiTheme="majorHAnsi"/>
          <w:sz w:val="20"/>
          <w:szCs w:val="20"/>
        </w:rPr>
        <w:t>даного підприємства або модернізованої продукції</w:t>
      </w:r>
      <w:r w:rsidRPr="000977F7">
        <w:rPr>
          <w:rFonts w:asciiTheme="majorHAnsi" w:hAnsiTheme="majorHAnsi"/>
          <w:spacing w:val="1"/>
          <w:sz w:val="20"/>
          <w:szCs w:val="20"/>
        </w:rPr>
        <w:t xml:space="preserve"> </w:t>
      </w:r>
    </w:p>
    <w:p w14:paraId="7EC1A72C"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63738E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СТАДІЯ</w:t>
      </w:r>
      <w:r w:rsidRPr="000977F7">
        <w:rPr>
          <w:color w:val="auto"/>
          <w:spacing w:val="-2"/>
          <w:sz w:val="20"/>
          <w:szCs w:val="20"/>
        </w:rPr>
        <w:t xml:space="preserve"> </w:t>
      </w:r>
      <w:r w:rsidRPr="000977F7">
        <w:rPr>
          <w:color w:val="auto"/>
          <w:sz w:val="20"/>
          <w:szCs w:val="20"/>
        </w:rPr>
        <w:t>ВТОМИ –</w:t>
      </w:r>
    </w:p>
    <w:p w14:paraId="6F8FA2E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FATIGUE</w:t>
      </w:r>
      <w:r w:rsidRPr="000977F7">
        <w:rPr>
          <w:rFonts w:asciiTheme="majorHAnsi" w:hAnsiTheme="majorHAnsi"/>
          <w:spacing w:val="-1"/>
          <w:sz w:val="20"/>
          <w:szCs w:val="20"/>
        </w:rPr>
        <w:t xml:space="preserve"> </w:t>
      </w:r>
      <w:r w:rsidRPr="000977F7">
        <w:rPr>
          <w:rFonts w:asciiTheme="majorHAnsi" w:hAnsiTheme="majorHAnsi"/>
          <w:sz w:val="20"/>
          <w:szCs w:val="20"/>
        </w:rPr>
        <w:t>STAGE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4696AB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Проміжок часу, що охоплює частину процесу втоми і</w:t>
      </w:r>
      <w:r w:rsidRPr="000977F7">
        <w:rPr>
          <w:rFonts w:asciiTheme="majorHAnsi" w:hAnsiTheme="majorHAnsi"/>
          <w:spacing w:val="1"/>
          <w:sz w:val="20"/>
          <w:szCs w:val="20"/>
        </w:rPr>
        <w:t xml:space="preserve"> </w:t>
      </w:r>
      <w:r w:rsidRPr="000977F7">
        <w:rPr>
          <w:rFonts w:asciiTheme="majorHAnsi" w:hAnsiTheme="majorHAnsi"/>
          <w:sz w:val="20"/>
          <w:szCs w:val="20"/>
        </w:rPr>
        <w:t>закінчується</w:t>
      </w:r>
      <w:r w:rsidRPr="000977F7">
        <w:rPr>
          <w:rFonts w:asciiTheme="majorHAnsi" w:hAnsiTheme="majorHAnsi"/>
          <w:spacing w:val="1"/>
          <w:sz w:val="20"/>
          <w:szCs w:val="20"/>
        </w:rPr>
        <w:t xml:space="preserve"> </w:t>
      </w:r>
      <w:r w:rsidRPr="000977F7">
        <w:rPr>
          <w:rFonts w:asciiTheme="majorHAnsi" w:hAnsiTheme="majorHAnsi"/>
          <w:sz w:val="20"/>
          <w:szCs w:val="20"/>
        </w:rPr>
        <w:t>певною ознакою</w:t>
      </w:r>
    </w:p>
    <w:p w14:paraId="0B2F861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937B5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Такою ознакою може бути мікроскопічна плинність;</w:t>
      </w:r>
      <w:r w:rsidRPr="000977F7">
        <w:rPr>
          <w:rFonts w:asciiTheme="majorHAnsi" w:hAnsiTheme="majorHAnsi"/>
          <w:spacing w:val="1"/>
          <w:sz w:val="20"/>
          <w:szCs w:val="20"/>
        </w:rPr>
        <w:t xml:space="preserve"> </w:t>
      </w:r>
      <w:r w:rsidRPr="000977F7">
        <w:rPr>
          <w:rFonts w:asciiTheme="majorHAnsi" w:hAnsiTheme="majorHAnsi"/>
          <w:sz w:val="20"/>
          <w:szCs w:val="20"/>
        </w:rPr>
        <w:t>поява</w:t>
      </w:r>
      <w:r w:rsidRPr="000977F7">
        <w:rPr>
          <w:rFonts w:asciiTheme="majorHAnsi" w:hAnsiTheme="majorHAnsi"/>
          <w:spacing w:val="1"/>
          <w:sz w:val="20"/>
          <w:szCs w:val="20"/>
        </w:rPr>
        <w:t xml:space="preserve"> </w:t>
      </w:r>
      <w:r w:rsidRPr="000977F7">
        <w:rPr>
          <w:rFonts w:asciiTheme="majorHAnsi" w:hAnsiTheme="majorHAnsi"/>
          <w:sz w:val="20"/>
          <w:szCs w:val="20"/>
        </w:rPr>
        <w:t>тріщин</w:t>
      </w:r>
      <w:r w:rsidRPr="000977F7">
        <w:rPr>
          <w:rFonts w:asciiTheme="majorHAnsi" w:hAnsiTheme="majorHAnsi"/>
          <w:spacing w:val="1"/>
          <w:sz w:val="20"/>
          <w:szCs w:val="20"/>
        </w:rPr>
        <w:t xml:space="preserve"> </w:t>
      </w:r>
      <w:r w:rsidRPr="000977F7">
        <w:rPr>
          <w:rFonts w:asciiTheme="majorHAnsi" w:hAnsiTheme="majorHAnsi"/>
          <w:sz w:val="20"/>
          <w:szCs w:val="20"/>
        </w:rPr>
        <w:t>субмікроскопічних,</w:t>
      </w:r>
      <w:r w:rsidRPr="000977F7">
        <w:rPr>
          <w:rFonts w:asciiTheme="majorHAnsi" w:hAnsiTheme="majorHAnsi"/>
          <w:spacing w:val="1"/>
          <w:sz w:val="20"/>
          <w:szCs w:val="20"/>
        </w:rPr>
        <w:t xml:space="preserve"> </w:t>
      </w:r>
      <w:r w:rsidRPr="000977F7">
        <w:rPr>
          <w:rFonts w:asciiTheme="majorHAnsi" w:hAnsiTheme="majorHAnsi"/>
          <w:sz w:val="20"/>
          <w:szCs w:val="20"/>
        </w:rPr>
        <w:t>мікроскопічних,</w:t>
      </w:r>
      <w:r w:rsidRPr="000977F7">
        <w:rPr>
          <w:rFonts w:asciiTheme="majorHAnsi" w:hAnsiTheme="majorHAnsi"/>
          <w:spacing w:val="1"/>
          <w:sz w:val="20"/>
          <w:szCs w:val="20"/>
        </w:rPr>
        <w:t xml:space="preserve"> </w:t>
      </w:r>
      <w:r w:rsidRPr="000977F7">
        <w:rPr>
          <w:rFonts w:asciiTheme="majorHAnsi" w:hAnsiTheme="majorHAnsi"/>
          <w:sz w:val="20"/>
          <w:szCs w:val="20"/>
        </w:rPr>
        <w:t>макроскопічних;</w:t>
      </w:r>
      <w:r w:rsidRPr="000977F7">
        <w:rPr>
          <w:rFonts w:asciiTheme="majorHAnsi" w:hAnsiTheme="majorHAnsi"/>
          <w:spacing w:val="1"/>
          <w:sz w:val="20"/>
          <w:szCs w:val="20"/>
        </w:rPr>
        <w:t xml:space="preserve"> </w:t>
      </w:r>
      <w:r w:rsidRPr="000977F7">
        <w:rPr>
          <w:rFonts w:asciiTheme="majorHAnsi" w:hAnsiTheme="majorHAnsi"/>
          <w:sz w:val="20"/>
          <w:szCs w:val="20"/>
        </w:rPr>
        <w:t>долом</w:t>
      </w:r>
    </w:p>
    <w:p w14:paraId="294897C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2444 - 94</w:t>
      </w:r>
    </w:p>
    <w:p w14:paraId="60F3ABD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СТАДІЯ</w:t>
      </w:r>
      <w:r w:rsidRPr="000977F7">
        <w:rPr>
          <w:color w:val="auto"/>
          <w:spacing w:val="-2"/>
          <w:sz w:val="20"/>
          <w:szCs w:val="20"/>
        </w:rPr>
        <w:t xml:space="preserve"> </w:t>
      </w:r>
      <w:r w:rsidRPr="000977F7">
        <w:rPr>
          <w:color w:val="auto"/>
          <w:sz w:val="20"/>
          <w:szCs w:val="20"/>
        </w:rPr>
        <w:t>ЖИТТЄВОГО</w:t>
      </w:r>
      <w:r w:rsidRPr="000977F7">
        <w:rPr>
          <w:color w:val="auto"/>
          <w:spacing w:val="-3"/>
          <w:sz w:val="20"/>
          <w:szCs w:val="20"/>
        </w:rPr>
        <w:t xml:space="preserve"> </w:t>
      </w:r>
      <w:r w:rsidRPr="000977F7">
        <w:rPr>
          <w:color w:val="auto"/>
          <w:sz w:val="20"/>
          <w:szCs w:val="20"/>
        </w:rPr>
        <w:t>ЦИКЛУ</w:t>
      </w:r>
      <w:r w:rsidRPr="000977F7">
        <w:rPr>
          <w:color w:val="auto"/>
          <w:spacing w:val="-3"/>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7F1475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1"/>
          <w:sz w:val="20"/>
          <w:szCs w:val="20"/>
        </w:rPr>
        <w:t xml:space="preserve"> </w:t>
      </w:r>
      <w:r w:rsidRPr="000977F7">
        <w:rPr>
          <w:rFonts w:asciiTheme="majorHAnsi" w:hAnsiTheme="majorHAnsi"/>
          <w:sz w:val="20"/>
          <w:szCs w:val="20"/>
        </w:rPr>
        <w:t>життєвого</w:t>
      </w:r>
      <w:r w:rsidRPr="000977F7">
        <w:rPr>
          <w:rFonts w:asciiTheme="majorHAnsi" w:hAnsiTheme="majorHAnsi"/>
          <w:spacing w:val="1"/>
          <w:sz w:val="20"/>
          <w:szCs w:val="20"/>
        </w:rPr>
        <w:t xml:space="preserve"> </w:t>
      </w:r>
      <w:r w:rsidRPr="000977F7">
        <w:rPr>
          <w:rFonts w:asciiTheme="majorHAnsi" w:hAnsiTheme="majorHAnsi"/>
          <w:sz w:val="20"/>
          <w:szCs w:val="20"/>
        </w:rPr>
        <w:t>циклу</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характеризується певним станом конкретної продукції, сукупності видів передбачених</w:t>
      </w:r>
      <w:r w:rsidRPr="000977F7">
        <w:rPr>
          <w:rFonts w:asciiTheme="majorHAnsi" w:hAnsiTheme="majorHAnsi"/>
          <w:spacing w:val="1"/>
          <w:sz w:val="20"/>
          <w:szCs w:val="20"/>
        </w:rPr>
        <w:t xml:space="preserve"> </w:t>
      </w:r>
      <w:r w:rsidRPr="000977F7">
        <w:rPr>
          <w:rFonts w:asciiTheme="majorHAnsi" w:hAnsiTheme="majorHAnsi"/>
          <w:sz w:val="20"/>
          <w:szCs w:val="20"/>
        </w:rPr>
        <w:t>робіт та їх кінцевими результатами</w:t>
      </w:r>
    </w:p>
    <w:p w14:paraId="4EF26EF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4598F2B2" w14:textId="77777777" w:rsidR="0097612F" w:rsidRPr="000977F7" w:rsidRDefault="0097612F" w:rsidP="00FD39A4">
      <w:pPr>
        <w:pStyle w:val="ac"/>
        <w:widowControl w:val="0"/>
        <w:numPr>
          <w:ilvl w:val="1"/>
          <w:numId w:val="81"/>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 життєвому циклі поштучної продукції виділяють такі стадії: дослідження та обґрунтування розроблення,</w:t>
      </w:r>
      <w:r w:rsidRPr="000977F7">
        <w:rPr>
          <w:rFonts w:asciiTheme="majorHAnsi" w:hAnsiTheme="majorHAnsi"/>
          <w:spacing w:val="1"/>
          <w:sz w:val="20"/>
          <w:szCs w:val="20"/>
        </w:rPr>
        <w:t xml:space="preserve"> </w:t>
      </w:r>
      <w:r w:rsidRPr="000977F7">
        <w:rPr>
          <w:rFonts w:asciiTheme="majorHAnsi" w:hAnsiTheme="majorHAnsi"/>
          <w:sz w:val="20"/>
          <w:szCs w:val="20"/>
        </w:rPr>
        <w:t>процес</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виробництво,</w:t>
      </w:r>
      <w:r w:rsidRPr="000977F7">
        <w:rPr>
          <w:rFonts w:asciiTheme="majorHAnsi" w:hAnsiTheme="majorHAnsi"/>
          <w:spacing w:val="1"/>
          <w:sz w:val="20"/>
          <w:szCs w:val="20"/>
        </w:rPr>
        <w:t xml:space="preserve"> </w:t>
      </w:r>
      <w:r w:rsidRPr="000977F7">
        <w:rPr>
          <w:rFonts w:asciiTheme="majorHAnsi" w:hAnsiTheme="majorHAnsi"/>
          <w:sz w:val="20"/>
          <w:szCs w:val="20"/>
        </w:rPr>
        <w:t>експлуатацію та капітальний ремонт (тільки для</w:t>
      </w:r>
      <w:r w:rsidRPr="000977F7">
        <w:rPr>
          <w:rFonts w:asciiTheme="majorHAnsi" w:hAnsiTheme="majorHAnsi"/>
          <w:spacing w:val="1"/>
          <w:sz w:val="20"/>
          <w:szCs w:val="20"/>
        </w:rPr>
        <w:t xml:space="preserve"> </w:t>
      </w:r>
      <w:r w:rsidRPr="000977F7">
        <w:rPr>
          <w:rFonts w:asciiTheme="majorHAnsi" w:hAnsiTheme="majorHAnsi"/>
          <w:sz w:val="20"/>
          <w:szCs w:val="20"/>
        </w:rPr>
        <w:t>виробів,</w:t>
      </w:r>
      <w:r w:rsidRPr="000977F7">
        <w:rPr>
          <w:rFonts w:asciiTheme="majorHAnsi" w:hAnsiTheme="majorHAnsi"/>
          <w:spacing w:val="-2"/>
          <w:sz w:val="20"/>
          <w:szCs w:val="20"/>
        </w:rPr>
        <w:t xml:space="preserve"> </w:t>
      </w:r>
      <w:r w:rsidRPr="000977F7">
        <w:rPr>
          <w:rFonts w:asciiTheme="majorHAnsi" w:hAnsiTheme="majorHAnsi"/>
          <w:sz w:val="20"/>
          <w:szCs w:val="20"/>
        </w:rPr>
        <w:t>які</w:t>
      </w:r>
      <w:r w:rsidRPr="000977F7">
        <w:rPr>
          <w:rFonts w:asciiTheme="majorHAnsi" w:hAnsiTheme="majorHAnsi"/>
          <w:spacing w:val="-3"/>
          <w:sz w:val="20"/>
          <w:szCs w:val="20"/>
        </w:rPr>
        <w:t xml:space="preserve"> </w:t>
      </w:r>
      <w:r w:rsidRPr="000977F7">
        <w:rPr>
          <w:rFonts w:asciiTheme="majorHAnsi" w:hAnsiTheme="majorHAnsi"/>
          <w:sz w:val="20"/>
          <w:szCs w:val="20"/>
        </w:rPr>
        <w:t>підлягають</w:t>
      </w:r>
      <w:r w:rsidRPr="000977F7">
        <w:rPr>
          <w:rFonts w:asciiTheme="majorHAnsi" w:hAnsiTheme="majorHAnsi"/>
          <w:spacing w:val="-1"/>
          <w:sz w:val="20"/>
          <w:szCs w:val="20"/>
        </w:rPr>
        <w:t xml:space="preserve"> </w:t>
      </w:r>
      <w:r w:rsidRPr="000977F7">
        <w:rPr>
          <w:rFonts w:asciiTheme="majorHAnsi" w:hAnsiTheme="majorHAnsi"/>
          <w:sz w:val="20"/>
          <w:szCs w:val="20"/>
        </w:rPr>
        <w:t>капітальному</w:t>
      </w:r>
      <w:r w:rsidRPr="000977F7">
        <w:rPr>
          <w:rFonts w:asciiTheme="majorHAnsi" w:hAnsiTheme="majorHAnsi"/>
          <w:spacing w:val="-6"/>
          <w:sz w:val="20"/>
          <w:szCs w:val="20"/>
        </w:rPr>
        <w:t xml:space="preserve"> </w:t>
      </w:r>
      <w:r w:rsidRPr="000977F7">
        <w:rPr>
          <w:rFonts w:asciiTheme="majorHAnsi" w:hAnsiTheme="majorHAnsi"/>
          <w:sz w:val="20"/>
          <w:szCs w:val="20"/>
        </w:rPr>
        <w:t>ремонту)</w:t>
      </w:r>
    </w:p>
    <w:p w14:paraId="17A36A23" w14:textId="77777777" w:rsidR="0097612F" w:rsidRPr="000977F7" w:rsidRDefault="0097612F" w:rsidP="00FD39A4">
      <w:pPr>
        <w:pStyle w:val="ac"/>
        <w:widowControl w:val="0"/>
        <w:numPr>
          <w:ilvl w:val="1"/>
          <w:numId w:val="81"/>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 життєвому циклі непоштучної продукції виділяють такі стадії: дослідження та обґрунтування,</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w:t>
      </w:r>
      <w:r w:rsidRPr="000977F7">
        <w:rPr>
          <w:rFonts w:asciiTheme="majorHAnsi" w:hAnsiTheme="majorHAnsi"/>
          <w:spacing w:val="1"/>
          <w:sz w:val="20"/>
          <w:szCs w:val="20"/>
        </w:rPr>
        <w:t xml:space="preserve"> </w:t>
      </w:r>
      <w:r w:rsidRPr="000977F7">
        <w:rPr>
          <w:rFonts w:asciiTheme="majorHAnsi" w:hAnsiTheme="majorHAnsi"/>
          <w:sz w:val="20"/>
          <w:szCs w:val="20"/>
        </w:rPr>
        <w:t>процес</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w:t>
      </w:r>
      <w:r w:rsidRPr="000977F7">
        <w:rPr>
          <w:rFonts w:asciiTheme="majorHAnsi" w:hAnsiTheme="majorHAnsi"/>
          <w:spacing w:val="50"/>
          <w:sz w:val="20"/>
          <w:szCs w:val="20"/>
        </w:rPr>
        <w:t xml:space="preserve"> </w:t>
      </w:r>
      <w:r w:rsidRPr="000977F7">
        <w:rPr>
          <w:rFonts w:asciiTheme="majorHAnsi" w:hAnsiTheme="majorHAnsi"/>
          <w:sz w:val="20"/>
          <w:szCs w:val="20"/>
        </w:rPr>
        <w:t>виробництво</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(зберігання)</w:t>
      </w:r>
    </w:p>
    <w:p w14:paraId="732B818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714F67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СТАДІЯ</w:t>
      </w:r>
      <w:r w:rsidRPr="000977F7">
        <w:rPr>
          <w:color w:val="auto"/>
          <w:spacing w:val="-10"/>
          <w:sz w:val="20"/>
          <w:szCs w:val="20"/>
        </w:rPr>
        <w:t xml:space="preserve"> </w:t>
      </w:r>
      <w:r w:rsidRPr="000977F7">
        <w:rPr>
          <w:color w:val="auto"/>
          <w:sz w:val="20"/>
          <w:szCs w:val="20"/>
        </w:rPr>
        <w:t>РОЗРОБЛЕННЯ</w:t>
      </w:r>
      <w:r w:rsidRPr="000977F7">
        <w:rPr>
          <w:color w:val="auto"/>
          <w:spacing w:val="-8"/>
          <w:sz w:val="20"/>
          <w:szCs w:val="20"/>
        </w:rPr>
        <w:t xml:space="preserve"> </w:t>
      </w:r>
      <w:r w:rsidRPr="000977F7">
        <w:rPr>
          <w:color w:val="auto"/>
          <w:sz w:val="20"/>
          <w:szCs w:val="20"/>
        </w:rPr>
        <w:t>КОНСТРУКТОРСЬКОЇ</w:t>
      </w:r>
      <w:r w:rsidRPr="000977F7">
        <w:rPr>
          <w:color w:val="auto"/>
          <w:spacing w:val="-47"/>
          <w:sz w:val="20"/>
          <w:szCs w:val="20"/>
        </w:rPr>
        <w:t xml:space="preserve"> </w:t>
      </w:r>
      <w:r w:rsidRPr="000977F7">
        <w:rPr>
          <w:color w:val="auto"/>
          <w:sz w:val="20"/>
          <w:szCs w:val="20"/>
        </w:rPr>
        <w:t>ДОКУМЕНТАЦІЇ</w:t>
      </w:r>
      <w:r w:rsidRPr="000977F7">
        <w:rPr>
          <w:color w:val="auto"/>
          <w:spacing w:val="-1"/>
          <w:sz w:val="20"/>
          <w:szCs w:val="20"/>
        </w:rPr>
        <w:t xml:space="preserve"> </w:t>
      </w:r>
      <w:r w:rsidRPr="000977F7">
        <w:rPr>
          <w:color w:val="auto"/>
          <w:sz w:val="20"/>
          <w:szCs w:val="20"/>
        </w:rPr>
        <w:t>–</w:t>
      </w:r>
    </w:p>
    <w:p w14:paraId="2A3F94E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Закінчена частина процесу розроблення конструкторської документації, яка стосується розроблення технічної пропозиції, ескізного проекту, технічного проекту</w:t>
      </w:r>
      <w:r w:rsidRPr="000977F7">
        <w:rPr>
          <w:rFonts w:asciiTheme="majorHAnsi" w:hAnsiTheme="majorHAnsi"/>
          <w:spacing w:val="-5"/>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робочої</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конструкторської</w:t>
      </w:r>
      <w:r w:rsidRPr="000977F7">
        <w:rPr>
          <w:rFonts w:asciiTheme="majorHAnsi" w:hAnsiTheme="majorHAnsi"/>
          <w:spacing w:val="-2"/>
          <w:sz w:val="20"/>
          <w:szCs w:val="20"/>
        </w:rPr>
        <w:t xml:space="preserve"> </w:t>
      </w:r>
      <w:r w:rsidRPr="000977F7">
        <w:rPr>
          <w:rFonts w:asciiTheme="majorHAnsi" w:hAnsiTheme="majorHAnsi"/>
          <w:sz w:val="20"/>
          <w:szCs w:val="20"/>
        </w:rPr>
        <w:t>документації</w:t>
      </w:r>
    </w:p>
    <w:p w14:paraId="643F8CA6"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 –</w:t>
      </w:r>
      <w:r w:rsidRPr="000977F7">
        <w:rPr>
          <w:rFonts w:asciiTheme="majorHAnsi" w:hAnsiTheme="majorHAnsi"/>
          <w:i/>
          <w:spacing w:val="-1"/>
          <w:sz w:val="20"/>
          <w:szCs w:val="20"/>
        </w:rPr>
        <w:t xml:space="preserve"> </w:t>
      </w:r>
      <w:r w:rsidRPr="000977F7">
        <w:rPr>
          <w:rFonts w:asciiTheme="majorHAnsi" w:hAnsiTheme="majorHAnsi"/>
          <w:i/>
          <w:sz w:val="20"/>
          <w:szCs w:val="20"/>
        </w:rPr>
        <w:t>2003</w:t>
      </w:r>
    </w:p>
    <w:p w14:paraId="7503A16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СТАЛА СИСТЕМАТИЧНА ПОХИБКА </w:t>
      </w:r>
    </w:p>
    <w:p w14:paraId="275307B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ВИРОБЛЕННЯ</w:t>
      </w:r>
      <w:r w:rsidRPr="000977F7">
        <w:rPr>
          <w:color w:val="auto"/>
          <w:spacing w:val="-1"/>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375BCC8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CONSTANT SYSTEMATIC ERROR OF PRODUCTS</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FABRICATION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57C210B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Систематична</w:t>
      </w:r>
      <w:r w:rsidRPr="000977F7">
        <w:rPr>
          <w:rFonts w:asciiTheme="majorHAnsi" w:hAnsiTheme="majorHAnsi"/>
          <w:spacing w:val="1"/>
          <w:sz w:val="20"/>
          <w:szCs w:val="20"/>
        </w:rPr>
        <w:t xml:space="preserve"> </w:t>
      </w:r>
      <w:r w:rsidRPr="000977F7">
        <w:rPr>
          <w:rFonts w:asciiTheme="majorHAnsi" w:hAnsiTheme="majorHAnsi"/>
          <w:sz w:val="20"/>
          <w:szCs w:val="20"/>
        </w:rPr>
        <w:t>похибка</w:t>
      </w:r>
      <w:r w:rsidRPr="000977F7">
        <w:rPr>
          <w:rFonts w:asciiTheme="majorHAnsi" w:hAnsiTheme="majorHAnsi"/>
          <w:spacing w:val="1"/>
          <w:sz w:val="20"/>
          <w:szCs w:val="20"/>
        </w:rPr>
        <w:t xml:space="preserve"> </w:t>
      </w:r>
      <w:r w:rsidRPr="000977F7">
        <w:rPr>
          <w:rFonts w:asciiTheme="majorHAnsi" w:hAnsiTheme="majorHAnsi"/>
          <w:sz w:val="20"/>
          <w:szCs w:val="20"/>
        </w:rPr>
        <w:t>вироблення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47"/>
          <w:sz w:val="20"/>
          <w:szCs w:val="20"/>
        </w:rPr>
        <w:t xml:space="preserve"> </w:t>
      </w:r>
      <w:r w:rsidRPr="000977F7">
        <w:rPr>
          <w:rFonts w:asciiTheme="majorHAnsi" w:hAnsiTheme="majorHAnsi"/>
          <w:sz w:val="20"/>
          <w:szCs w:val="20"/>
        </w:rPr>
        <w:t>зберігає модуль та знак</w:t>
      </w:r>
    </w:p>
    <w:p w14:paraId="4B08F74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3202553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СТАЛЕ РЕЗЕРВУВАННЯ; ПАРАЛЕЛЬНЕ </w:t>
      </w:r>
    </w:p>
    <w:p w14:paraId="1E8C590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РЕЗЕ</w:t>
      </w:r>
      <w:r w:rsidRPr="000977F7">
        <w:rPr>
          <w:color w:val="auto"/>
          <w:spacing w:val="-47"/>
          <w:sz w:val="20"/>
          <w:szCs w:val="20"/>
        </w:rPr>
        <w:t xml:space="preserve"> </w:t>
      </w:r>
      <w:r w:rsidRPr="000977F7">
        <w:rPr>
          <w:color w:val="auto"/>
          <w:sz w:val="20"/>
          <w:szCs w:val="20"/>
        </w:rPr>
        <w:t>РВУВАННЯ –</w:t>
      </w:r>
    </w:p>
    <w:p w14:paraId="09403BE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CONTINUOUS</w:t>
      </w:r>
      <w:r w:rsidRPr="004D2D14">
        <w:rPr>
          <w:rFonts w:asciiTheme="majorHAnsi" w:hAnsiTheme="majorHAnsi"/>
          <w:spacing w:val="-3"/>
          <w:sz w:val="20"/>
          <w:szCs w:val="20"/>
          <w:lang w:val="uk-UA"/>
        </w:rPr>
        <w:t xml:space="preserve"> </w:t>
      </w:r>
      <w:r w:rsidRPr="000977F7">
        <w:rPr>
          <w:rFonts w:asciiTheme="majorHAnsi" w:hAnsiTheme="majorHAnsi"/>
          <w:sz w:val="20"/>
          <w:szCs w:val="20"/>
        </w:rPr>
        <w:t>REDUNDANCY</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00470F5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Резервування, в якому використовують навантажений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резерв і в якому, якщо відмовляє будь – який елемент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 резервованій групі, виконання об’єктом потрібних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функцій забезпечується без перемикань рештою елементів</w:t>
      </w:r>
    </w:p>
    <w:p w14:paraId="41256C0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3AF25E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СТАЛЕ</w:t>
      </w:r>
      <w:r w:rsidRPr="000977F7">
        <w:rPr>
          <w:color w:val="auto"/>
          <w:spacing w:val="-4"/>
          <w:sz w:val="20"/>
          <w:szCs w:val="20"/>
        </w:rPr>
        <w:t xml:space="preserve"> </w:t>
      </w:r>
      <w:r w:rsidRPr="000977F7">
        <w:rPr>
          <w:color w:val="auto"/>
          <w:sz w:val="20"/>
          <w:szCs w:val="20"/>
        </w:rPr>
        <w:t>ТЕРТЯ</w:t>
      </w:r>
      <w:r w:rsidRPr="000977F7">
        <w:rPr>
          <w:color w:val="auto"/>
          <w:spacing w:val="-1"/>
          <w:sz w:val="20"/>
          <w:szCs w:val="20"/>
        </w:rPr>
        <w:t xml:space="preserve"> </w:t>
      </w:r>
      <w:r w:rsidRPr="000977F7">
        <w:rPr>
          <w:color w:val="auto"/>
          <w:sz w:val="20"/>
          <w:szCs w:val="20"/>
        </w:rPr>
        <w:t>І</w:t>
      </w:r>
      <w:r w:rsidRPr="000977F7">
        <w:rPr>
          <w:color w:val="auto"/>
          <w:spacing w:val="-3"/>
          <w:sz w:val="20"/>
          <w:szCs w:val="20"/>
        </w:rPr>
        <w:t xml:space="preserve"> </w:t>
      </w:r>
      <w:r w:rsidRPr="000977F7">
        <w:rPr>
          <w:color w:val="auto"/>
          <w:sz w:val="20"/>
          <w:szCs w:val="20"/>
        </w:rPr>
        <w:t>(ЧИ)</w:t>
      </w:r>
      <w:r w:rsidRPr="000977F7">
        <w:rPr>
          <w:color w:val="auto"/>
          <w:spacing w:val="-2"/>
          <w:sz w:val="20"/>
          <w:szCs w:val="20"/>
        </w:rPr>
        <w:t xml:space="preserve"> </w:t>
      </w:r>
      <w:r w:rsidRPr="000977F7">
        <w:rPr>
          <w:color w:val="auto"/>
          <w:sz w:val="20"/>
          <w:szCs w:val="20"/>
        </w:rPr>
        <w:t>ЗНОШУВАННЯ</w:t>
      </w:r>
      <w:r w:rsidRPr="000977F7">
        <w:rPr>
          <w:color w:val="auto"/>
          <w:spacing w:val="1"/>
          <w:sz w:val="20"/>
          <w:szCs w:val="20"/>
        </w:rPr>
        <w:t xml:space="preserve"> </w:t>
      </w:r>
      <w:r w:rsidRPr="000977F7">
        <w:rPr>
          <w:color w:val="auto"/>
          <w:sz w:val="20"/>
          <w:szCs w:val="20"/>
        </w:rPr>
        <w:t>–</w:t>
      </w:r>
    </w:p>
    <w:p w14:paraId="014F29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Стаціонарний</w:t>
      </w:r>
      <w:r w:rsidRPr="000977F7">
        <w:rPr>
          <w:rFonts w:asciiTheme="majorHAnsi" w:hAnsiTheme="majorHAnsi"/>
          <w:spacing w:val="1"/>
          <w:sz w:val="20"/>
          <w:szCs w:val="20"/>
        </w:rPr>
        <w:t xml:space="preserve"> </w:t>
      </w:r>
      <w:r w:rsidRPr="000977F7">
        <w:rPr>
          <w:rFonts w:asciiTheme="majorHAnsi" w:hAnsiTheme="majorHAnsi"/>
          <w:sz w:val="20"/>
          <w:szCs w:val="20"/>
        </w:rPr>
        <w:t>стан</w:t>
      </w:r>
      <w:r w:rsidRPr="000977F7">
        <w:rPr>
          <w:rFonts w:asciiTheme="majorHAnsi" w:hAnsiTheme="majorHAnsi"/>
          <w:spacing w:val="1"/>
          <w:sz w:val="20"/>
          <w:szCs w:val="20"/>
        </w:rPr>
        <w:t xml:space="preserve"> </w:t>
      </w:r>
      <w:r w:rsidRPr="000977F7">
        <w:rPr>
          <w:rFonts w:asciiTheme="majorHAnsi" w:hAnsiTheme="majorHAnsi"/>
          <w:sz w:val="20"/>
          <w:szCs w:val="20"/>
        </w:rPr>
        <w:t>трібосистеми,</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характеризується динамічною рівновагою та</w:t>
      </w:r>
      <w:r w:rsidRPr="000977F7">
        <w:rPr>
          <w:rFonts w:asciiTheme="majorHAnsi" w:hAnsiTheme="majorHAnsi"/>
          <w:spacing w:val="1"/>
          <w:sz w:val="20"/>
          <w:szCs w:val="20"/>
        </w:rPr>
        <w:t xml:space="preserve"> </w:t>
      </w:r>
      <w:r w:rsidRPr="000977F7">
        <w:rPr>
          <w:rFonts w:asciiTheme="majorHAnsi" w:hAnsiTheme="majorHAnsi"/>
          <w:sz w:val="20"/>
          <w:szCs w:val="20"/>
        </w:rPr>
        <w:t>саморегулюванням</w:t>
      </w:r>
      <w:r w:rsidRPr="000977F7">
        <w:rPr>
          <w:rFonts w:asciiTheme="majorHAnsi" w:hAnsiTheme="majorHAnsi"/>
          <w:spacing w:val="1"/>
          <w:sz w:val="20"/>
          <w:szCs w:val="20"/>
        </w:rPr>
        <w:t xml:space="preserve"> </w:t>
      </w:r>
      <w:r w:rsidRPr="000977F7">
        <w:rPr>
          <w:rFonts w:asciiTheme="majorHAnsi" w:hAnsiTheme="majorHAnsi"/>
          <w:sz w:val="20"/>
          <w:szCs w:val="20"/>
        </w:rPr>
        <w:t>процесів у трібосистемі і в якому характеристики тертя</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зношування</w:t>
      </w:r>
      <w:r w:rsidRPr="000977F7">
        <w:rPr>
          <w:rFonts w:asciiTheme="majorHAnsi" w:hAnsiTheme="majorHAnsi"/>
          <w:spacing w:val="-2"/>
          <w:sz w:val="20"/>
          <w:szCs w:val="20"/>
        </w:rPr>
        <w:t xml:space="preserve"> </w:t>
      </w:r>
      <w:r w:rsidRPr="000977F7">
        <w:rPr>
          <w:rFonts w:asciiTheme="majorHAnsi" w:hAnsiTheme="majorHAnsi"/>
          <w:sz w:val="20"/>
          <w:szCs w:val="20"/>
        </w:rPr>
        <w:t>залишаються</w:t>
      </w:r>
      <w:r w:rsidRPr="000977F7">
        <w:rPr>
          <w:rFonts w:asciiTheme="majorHAnsi" w:hAnsiTheme="majorHAnsi"/>
          <w:spacing w:val="-1"/>
          <w:sz w:val="20"/>
          <w:szCs w:val="20"/>
        </w:rPr>
        <w:t xml:space="preserve"> </w:t>
      </w:r>
      <w:r w:rsidRPr="000977F7">
        <w:rPr>
          <w:rFonts w:asciiTheme="majorHAnsi" w:hAnsiTheme="majorHAnsi"/>
          <w:sz w:val="20"/>
          <w:szCs w:val="20"/>
        </w:rPr>
        <w:t>сталими</w:t>
      </w:r>
    </w:p>
    <w:p w14:paraId="54FEA23F"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2823</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94</w:t>
      </w:r>
    </w:p>
    <w:p w14:paraId="47A320E8"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СТАЛИЙ</w:t>
      </w:r>
      <w:r w:rsidRPr="004D2D14">
        <w:rPr>
          <w:rFonts w:asciiTheme="majorHAnsi" w:hAnsiTheme="majorHAnsi"/>
          <w:b/>
          <w:sz w:val="20"/>
          <w:szCs w:val="20"/>
          <w:lang w:val="en-US"/>
        </w:rPr>
        <w:t xml:space="preserve"> </w:t>
      </w:r>
      <w:r w:rsidRPr="000977F7">
        <w:rPr>
          <w:rFonts w:asciiTheme="majorHAnsi" w:hAnsiTheme="majorHAnsi"/>
          <w:b/>
          <w:sz w:val="20"/>
          <w:szCs w:val="20"/>
        </w:rPr>
        <w:t>УСПІХ</w:t>
      </w:r>
    </w:p>
    <w:p w14:paraId="5832374D"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SUSTAINED</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SUCCESS</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w:t>
      </w:r>
    </w:p>
    <w:p w14:paraId="198068B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Успіх</w:t>
      </w:r>
      <w:r w:rsidRPr="000977F7">
        <w:rPr>
          <w:rFonts w:asciiTheme="majorHAnsi" w:hAnsiTheme="majorHAnsi"/>
          <w:spacing w:val="-2"/>
          <w:sz w:val="20"/>
          <w:szCs w:val="20"/>
        </w:rPr>
        <w:t xml:space="preserve"> </w:t>
      </w:r>
      <w:r w:rsidRPr="000977F7">
        <w:rPr>
          <w:rFonts w:asciiTheme="majorHAnsi" w:hAnsiTheme="majorHAnsi"/>
          <w:sz w:val="20"/>
          <w:szCs w:val="20"/>
        </w:rPr>
        <w:t>протягом</w:t>
      </w:r>
      <w:r w:rsidRPr="000977F7">
        <w:rPr>
          <w:rFonts w:asciiTheme="majorHAnsi" w:hAnsiTheme="majorHAnsi"/>
          <w:spacing w:val="-1"/>
          <w:sz w:val="20"/>
          <w:szCs w:val="20"/>
        </w:rPr>
        <w:t xml:space="preserve"> </w:t>
      </w:r>
      <w:r w:rsidRPr="000977F7">
        <w:rPr>
          <w:rFonts w:asciiTheme="majorHAnsi" w:hAnsiTheme="majorHAnsi"/>
          <w:sz w:val="20"/>
          <w:szCs w:val="20"/>
        </w:rPr>
        <w:t>певного  періоду</w:t>
      </w:r>
      <w:r w:rsidRPr="000977F7">
        <w:rPr>
          <w:rFonts w:asciiTheme="majorHAnsi" w:hAnsiTheme="majorHAnsi"/>
          <w:spacing w:val="43"/>
          <w:sz w:val="20"/>
          <w:szCs w:val="20"/>
        </w:rPr>
        <w:t xml:space="preserve"> </w:t>
      </w:r>
      <w:r w:rsidRPr="000977F7">
        <w:rPr>
          <w:rFonts w:asciiTheme="majorHAnsi" w:hAnsiTheme="majorHAnsi"/>
          <w:sz w:val="20"/>
          <w:szCs w:val="20"/>
        </w:rPr>
        <w:t>часу.</w:t>
      </w:r>
    </w:p>
    <w:p w14:paraId="6E3D922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Сталий успіх підкреслює потребу віднайти</w:t>
      </w:r>
      <w:r w:rsidRPr="000977F7">
        <w:rPr>
          <w:rFonts w:asciiTheme="majorHAnsi" w:hAnsiTheme="majorHAnsi"/>
          <w:spacing w:val="1"/>
          <w:sz w:val="20"/>
          <w:szCs w:val="20"/>
        </w:rPr>
        <w:t xml:space="preserve"> </w:t>
      </w:r>
      <w:r w:rsidRPr="000977F7">
        <w:rPr>
          <w:rFonts w:asciiTheme="majorHAnsi" w:hAnsiTheme="majorHAnsi"/>
          <w:sz w:val="20"/>
          <w:szCs w:val="20"/>
        </w:rPr>
        <w:t>баланс</w:t>
      </w:r>
      <w:r w:rsidRPr="000977F7">
        <w:rPr>
          <w:rFonts w:asciiTheme="majorHAnsi" w:hAnsiTheme="majorHAnsi"/>
          <w:spacing w:val="1"/>
          <w:sz w:val="20"/>
          <w:szCs w:val="20"/>
        </w:rPr>
        <w:t xml:space="preserve"> </w:t>
      </w:r>
      <w:r w:rsidRPr="000977F7">
        <w:rPr>
          <w:rFonts w:asciiTheme="majorHAnsi" w:hAnsiTheme="majorHAnsi"/>
          <w:sz w:val="20"/>
          <w:szCs w:val="20"/>
        </w:rPr>
        <w:t>між</w:t>
      </w:r>
      <w:r w:rsidRPr="000977F7">
        <w:rPr>
          <w:rFonts w:asciiTheme="majorHAnsi" w:hAnsiTheme="majorHAnsi"/>
          <w:spacing w:val="1"/>
          <w:sz w:val="20"/>
          <w:szCs w:val="20"/>
        </w:rPr>
        <w:t xml:space="preserve"> </w:t>
      </w:r>
      <w:r w:rsidRPr="000977F7">
        <w:rPr>
          <w:rFonts w:asciiTheme="majorHAnsi" w:hAnsiTheme="majorHAnsi"/>
          <w:sz w:val="20"/>
          <w:szCs w:val="20"/>
        </w:rPr>
        <w:t>економічно-фінансовими</w:t>
      </w:r>
      <w:r w:rsidRPr="000977F7">
        <w:rPr>
          <w:rFonts w:asciiTheme="majorHAnsi" w:hAnsiTheme="majorHAnsi"/>
          <w:spacing w:val="1"/>
          <w:sz w:val="20"/>
          <w:szCs w:val="20"/>
        </w:rPr>
        <w:t xml:space="preserve"> </w:t>
      </w:r>
      <w:r w:rsidRPr="000977F7">
        <w:rPr>
          <w:rFonts w:asciiTheme="majorHAnsi" w:hAnsiTheme="majorHAnsi"/>
          <w:sz w:val="20"/>
          <w:szCs w:val="20"/>
        </w:rPr>
        <w:t>інтересами</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 та інтересами соціального та екологічного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p>
    <w:p w14:paraId="4B1D27C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1"/>
          <w:sz w:val="20"/>
          <w:szCs w:val="20"/>
        </w:rPr>
        <w:t xml:space="preserve"> </w:t>
      </w:r>
      <w:r w:rsidRPr="000977F7">
        <w:rPr>
          <w:rFonts w:asciiTheme="majorHAnsi" w:hAnsiTheme="majorHAnsi"/>
          <w:sz w:val="20"/>
          <w:szCs w:val="20"/>
        </w:rPr>
        <w:t>2.</w:t>
      </w:r>
      <w:r w:rsidRPr="000977F7">
        <w:rPr>
          <w:rFonts w:asciiTheme="majorHAnsi" w:hAnsiTheme="majorHAnsi"/>
          <w:spacing w:val="1"/>
          <w:sz w:val="20"/>
          <w:szCs w:val="20"/>
        </w:rPr>
        <w:t xml:space="preserve"> </w:t>
      </w:r>
      <w:r w:rsidRPr="000977F7">
        <w:rPr>
          <w:rFonts w:asciiTheme="majorHAnsi" w:hAnsiTheme="majorHAnsi"/>
          <w:sz w:val="20"/>
          <w:szCs w:val="20"/>
        </w:rPr>
        <w:t>Сталий</w:t>
      </w:r>
      <w:r w:rsidRPr="000977F7">
        <w:rPr>
          <w:rFonts w:asciiTheme="majorHAnsi" w:hAnsiTheme="majorHAnsi"/>
          <w:spacing w:val="1"/>
          <w:sz w:val="20"/>
          <w:szCs w:val="20"/>
        </w:rPr>
        <w:t xml:space="preserve"> </w:t>
      </w:r>
      <w:r w:rsidRPr="000977F7">
        <w:rPr>
          <w:rFonts w:asciiTheme="majorHAnsi" w:hAnsiTheme="majorHAnsi"/>
          <w:sz w:val="20"/>
          <w:szCs w:val="20"/>
        </w:rPr>
        <w:t>успіх</w:t>
      </w:r>
      <w:r w:rsidRPr="000977F7">
        <w:rPr>
          <w:rFonts w:asciiTheme="majorHAnsi" w:hAnsiTheme="majorHAnsi"/>
          <w:spacing w:val="1"/>
          <w:sz w:val="20"/>
          <w:szCs w:val="20"/>
        </w:rPr>
        <w:t xml:space="preserve"> </w:t>
      </w:r>
      <w:r w:rsidRPr="000977F7">
        <w:rPr>
          <w:rFonts w:asciiTheme="majorHAnsi" w:hAnsiTheme="majorHAnsi"/>
          <w:sz w:val="20"/>
          <w:szCs w:val="20"/>
        </w:rPr>
        <w:t>стосується</w:t>
      </w:r>
      <w:r w:rsidRPr="000977F7">
        <w:rPr>
          <w:rFonts w:asciiTheme="majorHAnsi" w:hAnsiTheme="majorHAnsi"/>
          <w:spacing w:val="1"/>
          <w:sz w:val="20"/>
          <w:szCs w:val="20"/>
        </w:rPr>
        <w:t xml:space="preserve"> </w:t>
      </w:r>
      <w:r w:rsidRPr="000977F7">
        <w:rPr>
          <w:rFonts w:asciiTheme="majorHAnsi" w:hAnsiTheme="majorHAnsi"/>
          <w:sz w:val="20"/>
          <w:szCs w:val="20"/>
        </w:rPr>
        <w:t>зацікавлених</w:t>
      </w:r>
      <w:r w:rsidRPr="000977F7">
        <w:rPr>
          <w:rFonts w:asciiTheme="majorHAnsi" w:hAnsiTheme="majorHAnsi"/>
          <w:spacing w:val="1"/>
          <w:sz w:val="20"/>
          <w:szCs w:val="20"/>
        </w:rPr>
        <w:t xml:space="preserve"> </w:t>
      </w:r>
      <w:r w:rsidRPr="000977F7">
        <w:rPr>
          <w:rFonts w:asciiTheme="majorHAnsi" w:hAnsiTheme="majorHAnsi"/>
          <w:sz w:val="20"/>
          <w:szCs w:val="20"/>
        </w:rPr>
        <w:t>сторін організації, наприклад, замовників, власників,</w:t>
      </w:r>
      <w:r w:rsidRPr="000977F7">
        <w:rPr>
          <w:rFonts w:asciiTheme="majorHAnsi" w:hAnsiTheme="majorHAnsi"/>
          <w:spacing w:val="1"/>
          <w:sz w:val="20"/>
          <w:szCs w:val="20"/>
        </w:rPr>
        <w:t xml:space="preserve"> </w:t>
      </w:r>
      <w:r w:rsidRPr="000977F7">
        <w:rPr>
          <w:rFonts w:asciiTheme="majorHAnsi" w:hAnsiTheme="majorHAnsi"/>
          <w:sz w:val="20"/>
          <w:szCs w:val="20"/>
        </w:rPr>
        <w:t>персоналу в організації, постачальників,</w:t>
      </w:r>
      <w:r w:rsidRPr="000977F7">
        <w:rPr>
          <w:rFonts w:asciiTheme="majorHAnsi" w:hAnsiTheme="majorHAnsi"/>
          <w:spacing w:val="1"/>
          <w:sz w:val="20"/>
          <w:szCs w:val="20"/>
        </w:rPr>
        <w:t xml:space="preserve"> </w:t>
      </w:r>
      <w:r w:rsidRPr="000977F7">
        <w:rPr>
          <w:rFonts w:asciiTheme="majorHAnsi" w:hAnsiTheme="majorHAnsi"/>
          <w:sz w:val="20"/>
          <w:szCs w:val="20"/>
        </w:rPr>
        <w:lastRenderedPageBreak/>
        <w:t>фінансових</w:t>
      </w:r>
      <w:r w:rsidRPr="000977F7">
        <w:rPr>
          <w:rFonts w:asciiTheme="majorHAnsi" w:hAnsiTheme="majorHAnsi"/>
          <w:spacing w:val="1"/>
          <w:sz w:val="20"/>
          <w:szCs w:val="20"/>
        </w:rPr>
        <w:t xml:space="preserve"> </w:t>
      </w:r>
      <w:r w:rsidRPr="000977F7">
        <w:rPr>
          <w:rFonts w:asciiTheme="majorHAnsi" w:hAnsiTheme="majorHAnsi"/>
          <w:sz w:val="20"/>
          <w:szCs w:val="20"/>
        </w:rPr>
        <w:t>установ,</w:t>
      </w:r>
      <w:r w:rsidRPr="000977F7">
        <w:rPr>
          <w:rFonts w:asciiTheme="majorHAnsi" w:hAnsiTheme="majorHAnsi"/>
          <w:spacing w:val="-1"/>
          <w:sz w:val="20"/>
          <w:szCs w:val="20"/>
        </w:rPr>
        <w:t xml:space="preserve"> </w:t>
      </w:r>
      <w:r w:rsidRPr="000977F7">
        <w:rPr>
          <w:rFonts w:asciiTheme="majorHAnsi" w:hAnsiTheme="majorHAnsi"/>
          <w:sz w:val="20"/>
          <w:szCs w:val="20"/>
        </w:rPr>
        <w:t>спілок,</w:t>
      </w:r>
      <w:r w:rsidRPr="000977F7">
        <w:rPr>
          <w:rFonts w:asciiTheme="majorHAnsi" w:hAnsiTheme="majorHAnsi"/>
          <w:spacing w:val="-1"/>
          <w:sz w:val="20"/>
          <w:szCs w:val="20"/>
        </w:rPr>
        <w:t xml:space="preserve"> </w:t>
      </w:r>
      <w:r w:rsidRPr="000977F7">
        <w:rPr>
          <w:rFonts w:asciiTheme="majorHAnsi" w:hAnsiTheme="majorHAnsi"/>
          <w:sz w:val="20"/>
          <w:szCs w:val="20"/>
        </w:rPr>
        <w:t>партнерів</w:t>
      </w:r>
      <w:r w:rsidRPr="000977F7">
        <w:rPr>
          <w:rFonts w:asciiTheme="majorHAnsi" w:hAnsiTheme="majorHAnsi"/>
          <w:spacing w:val="-2"/>
          <w:sz w:val="20"/>
          <w:szCs w:val="20"/>
        </w:rPr>
        <w:t xml:space="preserve"> </w:t>
      </w:r>
      <w:r w:rsidRPr="000977F7">
        <w:rPr>
          <w:rFonts w:asciiTheme="majorHAnsi" w:hAnsiTheme="majorHAnsi"/>
          <w:sz w:val="20"/>
          <w:szCs w:val="20"/>
        </w:rPr>
        <w:t>або суспільства</w:t>
      </w:r>
    </w:p>
    <w:p w14:paraId="388AF08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9000:2015</w:t>
      </w:r>
    </w:p>
    <w:p w14:paraId="4539531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СТАЛІ</w:t>
      </w:r>
      <w:r w:rsidRPr="000977F7">
        <w:rPr>
          <w:color w:val="auto"/>
          <w:spacing w:val="-2"/>
          <w:sz w:val="20"/>
          <w:szCs w:val="20"/>
        </w:rPr>
        <w:t xml:space="preserve"> </w:t>
      </w:r>
      <w:r w:rsidRPr="000977F7">
        <w:rPr>
          <w:color w:val="auto"/>
          <w:sz w:val="20"/>
          <w:szCs w:val="20"/>
        </w:rPr>
        <w:t>ДАНІ</w:t>
      </w:r>
      <w:r w:rsidRPr="000977F7">
        <w:rPr>
          <w:color w:val="auto"/>
          <w:spacing w:val="-5"/>
          <w:sz w:val="20"/>
          <w:szCs w:val="20"/>
        </w:rPr>
        <w:t xml:space="preserve"> </w:t>
      </w:r>
      <w:r w:rsidRPr="000977F7">
        <w:rPr>
          <w:color w:val="auto"/>
          <w:sz w:val="20"/>
          <w:szCs w:val="20"/>
        </w:rPr>
        <w:t>ВИКОНАННЯ –</w:t>
      </w:r>
    </w:p>
    <w:p w14:paraId="433565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Інформація</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виробів,</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50"/>
          <w:sz w:val="20"/>
          <w:szCs w:val="20"/>
        </w:rPr>
        <w:t xml:space="preserve"> </w:t>
      </w:r>
      <w:r w:rsidRPr="000977F7">
        <w:rPr>
          <w:rFonts w:asciiTheme="majorHAnsi" w:hAnsiTheme="majorHAnsi"/>
          <w:sz w:val="20"/>
          <w:szCs w:val="20"/>
        </w:rPr>
        <w:t>спільною</w:t>
      </w:r>
      <w:r w:rsidRPr="000977F7">
        <w:rPr>
          <w:rFonts w:asciiTheme="majorHAnsi" w:hAnsiTheme="majorHAnsi"/>
          <w:spacing w:val="-47"/>
          <w:sz w:val="20"/>
          <w:szCs w:val="20"/>
        </w:rPr>
        <w:t xml:space="preserve"> </w:t>
      </w:r>
      <w:r w:rsidRPr="000977F7">
        <w:rPr>
          <w:rFonts w:asciiTheme="majorHAnsi" w:hAnsiTheme="majorHAnsi"/>
          <w:sz w:val="20"/>
          <w:szCs w:val="20"/>
        </w:rPr>
        <w:t>для групи виробів і міститься в одному конструкторському</w:t>
      </w:r>
      <w:r w:rsidRPr="000977F7">
        <w:rPr>
          <w:rFonts w:asciiTheme="majorHAnsi" w:hAnsiTheme="majorHAnsi"/>
          <w:spacing w:val="-5"/>
          <w:sz w:val="20"/>
          <w:szCs w:val="20"/>
        </w:rPr>
        <w:t xml:space="preserve"> </w:t>
      </w:r>
      <w:r w:rsidRPr="000977F7">
        <w:rPr>
          <w:rFonts w:asciiTheme="majorHAnsi" w:hAnsiTheme="majorHAnsi"/>
          <w:sz w:val="20"/>
          <w:szCs w:val="20"/>
        </w:rPr>
        <w:t>документі</w:t>
      </w:r>
    </w:p>
    <w:p w14:paraId="7274AF2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3321 – 2003</w:t>
      </w:r>
    </w:p>
    <w:p w14:paraId="017025B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w:t>
      </w:r>
      <w:r w:rsidRPr="000977F7">
        <w:rPr>
          <w:color w:val="auto"/>
          <w:spacing w:val="-4"/>
          <w:sz w:val="20"/>
          <w:szCs w:val="20"/>
        </w:rPr>
        <w:t xml:space="preserve"> </w:t>
      </w:r>
      <w:r w:rsidRPr="000977F7">
        <w:rPr>
          <w:color w:val="auto"/>
          <w:sz w:val="20"/>
          <w:szCs w:val="20"/>
        </w:rPr>
        <w:t>ВИХОДІВ</w:t>
      </w:r>
      <w:r w:rsidRPr="000977F7">
        <w:rPr>
          <w:color w:val="auto"/>
          <w:spacing w:val="-3"/>
          <w:sz w:val="20"/>
          <w:szCs w:val="20"/>
        </w:rPr>
        <w:t xml:space="preserve"> </w:t>
      </w:r>
      <w:r w:rsidRPr="000977F7">
        <w:rPr>
          <w:color w:val="auto"/>
          <w:sz w:val="20"/>
          <w:szCs w:val="20"/>
        </w:rPr>
        <w:t>(ОБ’ЄКТА)</w:t>
      </w:r>
      <w:r w:rsidRPr="000977F7">
        <w:rPr>
          <w:color w:val="auto"/>
          <w:spacing w:val="-1"/>
          <w:sz w:val="20"/>
          <w:szCs w:val="20"/>
        </w:rPr>
        <w:t xml:space="preserve"> </w:t>
      </w:r>
      <w:r w:rsidRPr="000977F7">
        <w:rPr>
          <w:color w:val="auto"/>
          <w:sz w:val="20"/>
          <w:szCs w:val="20"/>
        </w:rPr>
        <w:t>–</w:t>
      </w:r>
    </w:p>
    <w:p w14:paraId="4662A5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OUTPUT</w:t>
      </w:r>
      <w:r w:rsidRPr="000977F7">
        <w:rPr>
          <w:rFonts w:asciiTheme="majorHAnsi" w:hAnsiTheme="majorHAnsi"/>
          <w:spacing w:val="49"/>
          <w:sz w:val="20"/>
          <w:szCs w:val="20"/>
        </w:rPr>
        <w:t xml:space="preserve"> </w:t>
      </w:r>
      <w:r w:rsidRPr="000977F7">
        <w:rPr>
          <w:rFonts w:asciiTheme="majorHAnsi" w:hAnsiTheme="majorHAnsi"/>
          <w:sz w:val="20"/>
          <w:szCs w:val="20"/>
        </w:rPr>
        <w:t>STATE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1752F0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значень</w:t>
      </w:r>
      <w:r w:rsidRPr="000977F7">
        <w:rPr>
          <w:rFonts w:asciiTheme="majorHAnsi" w:hAnsiTheme="majorHAnsi"/>
          <w:spacing w:val="1"/>
          <w:sz w:val="20"/>
          <w:szCs w:val="20"/>
        </w:rPr>
        <w:t xml:space="preserve"> </w:t>
      </w:r>
      <w:r w:rsidRPr="000977F7">
        <w:rPr>
          <w:rFonts w:asciiTheme="majorHAnsi" w:hAnsiTheme="majorHAnsi"/>
          <w:sz w:val="20"/>
          <w:szCs w:val="20"/>
        </w:rPr>
        <w:t>параметрів,</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характеризують</w:t>
      </w:r>
      <w:r w:rsidRPr="000977F7">
        <w:rPr>
          <w:rFonts w:asciiTheme="majorHAnsi" w:hAnsiTheme="majorHAnsi"/>
          <w:spacing w:val="1"/>
          <w:sz w:val="20"/>
          <w:szCs w:val="20"/>
        </w:rPr>
        <w:t xml:space="preserve"> </w:t>
      </w:r>
      <w:r w:rsidRPr="000977F7">
        <w:rPr>
          <w:rFonts w:asciiTheme="majorHAnsi" w:hAnsiTheme="majorHAnsi"/>
          <w:sz w:val="20"/>
          <w:szCs w:val="20"/>
        </w:rPr>
        <w:t>вихідні діяння та (або) вихідні сигнали об’єкта, віднесена</w:t>
      </w:r>
      <w:r w:rsidRPr="000977F7">
        <w:rPr>
          <w:rFonts w:asciiTheme="majorHAnsi" w:hAnsiTheme="majorHAnsi"/>
          <w:spacing w:val="-1"/>
          <w:sz w:val="20"/>
          <w:szCs w:val="20"/>
        </w:rPr>
        <w:t xml:space="preserve"> </w:t>
      </w:r>
      <w:r w:rsidRPr="000977F7">
        <w:rPr>
          <w:rFonts w:asciiTheme="majorHAnsi" w:hAnsiTheme="majorHAnsi"/>
          <w:sz w:val="20"/>
          <w:szCs w:val="20"/>
        </w:rPr>
        <w:t>до певного</w:t>
      </w:r>
      <w:r w:rsidRPr="000977F7">
        <w:rPr>
          <w:rFonts w:asciiTheme="majorHAnsi" w:hAnsiTheme="majorHAnsi"/>
          <w:spacing w:val="1"/>
          <w:sz w:val="20"/>
          <w:szCs w:val="20"/>
        </w:rPr>
        <w:t xml:space="preserve"> </w:t>
      </w:r>
      <w:r w:rsidRPr="000977F7">
        <w:rPr>
          <w:rFonts w:asciiTheme="majorHAnsi" w:hAnsiTheme="majorHAnsi"/>
          <w:sz w:val="20"/>
          <w:szCs w:val="20"/>
        </w:rPr>
        <w:t>моменту</w:t>
      </w:r>
      <w:r w:rsidRPr="000977F7">
        <w:rPr>
          <w:rFonts w:asciiTheme="majorHAnsi" w:hAnsiTheme="majorHAnsi"/>
          <w:spacing w:val="-4"/>
          <w:sz w:val="20"/>
          <w:szCs w:val="20"/>
        </w:rPr>
        <w:t xml:space="preserve"> </w:t>
      </w:r>
      <w:r w:rsidRPr="000977F7">
        <w:rPr>
          <w:rFonts w:asciiTheme="majorHAnsi" w:hAnsiTheme="majorHAnsi"/>
          <w:sz w:val="20"/>
          <w:szCs w:val="20"/>
        </w:rPr>
        <w:t>часу</w:t>
      </w:r>
    </w:p>
    <w:p w14:paraId="1799A53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7C64E78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w:t>
      </w:r>
      <w:r w:rsidRPr="000977F7">
        <w:rPr>
          <w:color w:val="auto"/>
          <w:spacing w:val="-3"/>
          <w:sz w:val="20"/>
          <w:szCs w:val="20"/>
        </w:rPr>
        <w:t xml:space="preserve"> </w:t>
      </w:r>
      <w:r w:rsidRPr="000977F7">
        <w:rPr>
          <w:color w:val="auto"/>
          <w:sz w:val="20"/>
          <w:szCs w:val="20"/>
        </w:rPr>
        <w:t>ВХОДІВ</w:t>
      </w:r>
      <w:r w:rsidRPr="000977F7">
        <w:rPr>
          <w:color w:val="auto"/>
          <w:spacing w:val="-2"/>
          <w:sz w:val="20"/>
          <w:szCs w:val="20"/>
        </w:rPr>
        <w:t xml:space="preserve"> </w:t>
      </w:r>
      <w:r w:rsidRPr="000977F7">
        <w:rPr>
          <w:color w:val="auto"/>
          <w:sz w:val="20"/>
          <w:szCs w:val="20"/>
        </w:rPr>
        <w:t>(ОБ’ЄКТА) –</w:t>
      </w:r>
    </w:p>
    <w:p w14:paraId="4612319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INPUT</w:t>
      </w:r>
      <w:r w:rsidRPr="000977F7">
        <w:rPr>
          <w:rFonts w:asciiTheme="majorHAnsi" w:hAnsiTheme="majorHAnsi"/>
          <w:spacing w:val="1"/>
          <w:sz w:val="20"/>
          <w:szCs w:val="20"/>
        </w:rPr>
        <w:t xml:space="preserve"> </w:t>
      </w:r>
      <w:r w:rsidRPr="000977F7">
        <w:rPr>
          <w:rFonts w:asciiTheme="majorHAnsi" w:hAnsiTheme="majorHAnsi"/>
          <w:sz w:val="20"/>
          <w:szCs w:val="20"/>
        </w:rPr>
        <w:t>STATE –</w:t>
      </w:r>
    </w:p>
    <w:p w14:paraId="4305D6F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значень</w:t>
      </w:r>
      <w:r w:rsidRPr="000977F7">
        <w:rPr>
          <w:rFonts w:asciiTheme="majorHAnsi" w:hAnsiTheme="majorHAnsi"/>
          <w:spacing w:val="1"/>
          <w:sz w:val="20"/>
          <w:szCs w:val="20"/>
        </w:rPr>
        <w:t xml:space="preserve"> </w:t>
      </w:r>
      <w:r w:rsidRPr="000977F7">
        <w:rPr>
          <w:rFonts w:asciiTheme="majorHAnsi" w:hAnsiTheme="majorHAnsi"/>
          <w:sz w:val="20"/>
          <w:szCs w:val="20"/>
        </w:rPr>
        <w:t>параметрів</w:t>
      </w:r>
      <w:r w:rsidRPr="000977F7">
        <w:rPr>
          <w:rFonts w:asciiTheme="majorHAnsi" w:hAnsiTheme="majorHAnsi"/>
          <w:spacing w:val="51"/>
          <w:sz w:val="20"/>
          <w:szCs w:val="20"/>
        </w:rPr>
        <w:t xml:space="preserve"> </w:t>
      </w:r>
      <w:r w:rsidRPr="000977F7">
        <w:rPr>
          <w:rFonts w:asciiTheme="majorHAnsi" w:hAnsiTheme="majorHAnsi"/>
          <w:sz w:val="20"/>
          <w:szCs w:val="20"/>
        </w:rPr>
        <w:t>вхідних</w:t>
      </w:r>
      <w:r w:rsidRPr="000977F7">
        <w:rPr>
          <w:rFonts w:asciiTheme="majorHAnsi" w:hAnsiTheme="majorHAnsi"/>
          <w:spacing w:val="51"/>
          <w:sz w:val="20"/>
          <w:szCs w:val="20"/>
        </w:rPr>
        <w:t xml:space="preserve"> </w:t>
      </w:r>
      <w:r w:rsidRPr="000977F7">
        <w:rPr>
          <w:rFonts w:asciiTheme="majorHAnsi" w:hAnsiTheme="majorHAnsi"/>
          <w:sz w:val="20"/>
          <w:szCs w:val="20"/>
        </w:rPr>
        <w:t>діянь</w:t>
      </w:r>
      <w:r w:rsidRPr="000977F7">
        <w:rPr>
          <w:rFonts w:asciiTheme="majorHAnsi" w:hAnsiTheme="majorHAnsi"/>
          <w:spacing w:val="5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(або) вхідних сигналів об’єкта, віднесена до певного</w:t>
      </w:r>
      <w:r w:rsidRPr="000977F7">
        <w:rPr>
          <w:rFonts w:asciiTheme="majorHAnsi" w:hAnsiTheme="majorHAnsi"/>
          <w:spacing w:val="1"/>
          <w:sz w:val="20"/>
          <w:szCs w:val="20"/>
        </w:rPr>
        <w:t xml:space="preserve"> </w:t>
      </w:r>
      <w:r w:rsidRPr="000977F7">
        <w:rPr>
          <w:rFonts w:asciiTheme="majorHAnsi" w:hAnsiTheme="majorHAnsi"/>
          <w:sz w:val="20"/>
          <w:szCs w:val="20"/>
        </w:rPr>
        <w:t>моменту</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5214521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709D209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w:t>
      </w:r>
      <w:r w:rsidRPr="000977F7">
        <w:rPr>
          <w:color w:val="auto"/>
          <w:spacing w:val="-2"/>
          <w:sz w:val="20"/>
          <w:szCs w:val="20"/>
        </w:rPr>
        <w:t xml:space="preserve"> </w:t>
      </w:r>
      <w:r w:rsidRPr="000977F7">
        <w:rPr>
          <w:color w:val="auto"/>
          <w:sz w:val="20"/>
          <w:szCs w:val="20"/>
        </w:rPr>
        <w:t>МЕХАНІЧНОЇ</w:t>
      </w:r>
      <w:r w:rsidRPr="000977F7">
        <w:rPr>
          <w:color w:val="auto"/>
          <w:spacing w:val="-4"/>
          <w:sz w:val="20"/>
          <w:szCs w:val="20"/>
        </w:rPr>
        <w:t xml:space="preserve"> </w:t>
      </w:r>
      <w:r w:rsidRPr="000977F7">
        <w:rPr>
          <w:color w:val="auto"/>
          <w:sz w:val="20"/>
          <w:szCs w:val="20"/>
        </w:rPr>
        <w:t>СИСТЕМИ –</w:t>
      </w:r>
    </w:p>
    <w:p w14:paraId="56F7B5C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узагальнених</w:t>
      </w:r>
      <w:r w:rsidRPr="000977F7">
        <w:rPr>
          <w:rFonts w:asciiTheme="majorHAnsi" w:hAnsiTheme="majorHAnsi"/>
          <w:spacing w:val="1"/>
          <w:sz w:val="20"/>
          <w:szCs w:val="20"/>
        </w:rPr>
        <w:t xml:space="preserve"> </w:t>
      </w:r>
      <w:r w:rsidRPr="000977F7">
        <w:rPr>
          <w:rFonts w:asciiTheme="majorHAnsi" w:hAnsiTheme="majorHAnsi"/>
          <w:sz w:val="20"/>
          <w:szCs w:val="20"/>
        </w:rPr>
        <w:t>координат</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узагальнених</w:t>
      </w:r>
      <w:r w:rsidRPr="000977F7">
        <w:rPr>
          <w:rFonts w:asciiTheme="majorHAnsi" w:hAnsiTheme="majorHAnsi"/>
          <w:spacing w:val="1"/>
          <w:sz w:val="20"/>
          <w:szCs w:val="20"/>
        </w:rPr>
        <w:t xml:space="preserve"> </w:t>
      </w:r>
      <w:r w:rsidRPr="000977F7">
        <w:rPr>
          <w:rFonts w:asciiTheme="majorHAnsi" w:hAnsiTheme="majorHAnsi"/>
          <w:sz w:val="20"/>
          <w:szCs w:val="20"/>
        </w:rPr>
        <w:t>швидкостей</w:t>
      </w:r>
      <w:r w:rsidRPr="000977F7">
        <w:rPr>
          <w:rFonts w:asciiTheme="majorHAnsi" w:hAnsiTheme="majorHAnsi"/>
          <w:spacing w:val="-2"/>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певний</w:t>
      </w:r>
      <w:r w:rsidRPr="000977F7">
        <w:rPr>
          <w:rFonts w:asciiTheme="majorHAnsi" w:hAnsiTheme="majorHAnsi"/>
          <w:spacing w:val="-2"/>
          <w:sz w:val="20"/>
          <w:szCs w:val="20"/>
        </w:rPr>
        <w:t xml:space="preserve"> </w:t>
      </w:r>
      <w:r w:rsidRPr="000977F7">
        <w:rPr>
          <w:rFonts w:asciiTheme="majorHAnsi" w:hAnsiTheme="majorHAnsi"/>
          <w:sz w:val="20"/>
          <w:szCs w:val="20"/>
        </w:rPr>
        <w:t>момент</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7804FE8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2474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2A5C1E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w:t>
      </w:r>
      <w:r w:rsidRPr="000977F7">
        <w:rPr>
          <w:color w:val="auto"/>
          <w:spacing w:val="-4"/>
          <w:sz w:val="20"/>
          <w:szCs w:val="20"/>
        </w:rPr>
        <w:t xml:space="preserve"> </w:t>
      </w:r>
      <w:r w:rsidRPr="000977F7">
        <w:rPr>
          <w:color w:val="auto"/>
          <w:sz w:val="20"/>
          <w:szCs w:val="20"/>
        </w:rPr>
        <w:t>НЕГОТОВНОСТІ</w:t>
      </w:r>
      <w:r w:rsidRPr="000977F7">
        <w:rPr>
          <w:color w:val="auto"/>
          <w:spacing w:val="-3"/>
          <w:sz w:val="20"/>
          <w:szCs w:val="20"/>
        </w:rPr>
        <w:t xml:space="preserve"> </w:t>
      </w:r>
      <w:r w:rsidRPr="000977F7">
        <w:rPr>
          <w:color w:val="auto"/>
          <w:sz w:val="20"/>
          <w:szCs w:val="20"/>
        </w:rPr>
        <w:t>–</w:t>
      </w:r>
    </w:p>
    <w:p w14:paraId="5C0CD0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DISABLED</w:t>
      </w:r>
      <w:r w:rsidRPr="000977F7">
        <w:rPr>
          <w:rFonts w:asciiTheme="majorHAnsi" w:hAnsiTheme="majorHAnsi"/>
          <w:spacing w:val="-3"/>
          <w:sz w:val="20"/>
          <w:szCs w:val="20"/>
        </w:rPr>
        <w:t xml:space="preserve"> </w:t>
      </w:r>
      <w:r w:rsidRPr="000977F7">
        <w:rPr>
          <w:rFonts w:asciiTheme="majorHAnsi" w:hAnsiTheme="majorHAnsi"/>
          <w:sz w:val="20"/>
          <w:szCs w:val="20"/>
        </w:rPr>
        <w:t>STATE –</w:t>
      </w:r>
    </w:p>
    <w:p w14:paraId="729841C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 об’єкта, в якому він нездатний виконувати потрібну</w:t>
      </w:r>
      <w:r w:rsidRPr="000977F7">
        <w:rPr>
          <w:rFonts w:asciiTheme="majorHAnsi" w:hAnsiTheme="majorHAnsi"/>
          <w:spacing w:val="-5"/>
          <w:sz w:val="20"/>
          <w:szCs w:val="20"/>
        </w:rPr>
        <w:t xml:space="preserve"> </w:t>
      </w:r>
      <w:r w:rsidRPr="000977F7">
        <w:rPr>
          <w:rFonts w:asciiTheme="majorHAnsi" w:hAnsiTheme="majorHAnsi"/>
          <w:sz w:val="20"/>
          <w:szCs w:val="20"/>
        </w:rPr>
        <w:t>функцію</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будь-якої</w:t>
      </w:r>
      <w:r w:rsidRPr="000977F7">
        <w:rPr>
          <w:rFonts w:asciiTheme="majorHAnsi" w:hAnsiTheme="majorHAnsi"/>
          <w:spacing w:val="-2"/>
          <w:sz w:val="20"/>
          <w:szCs w:val="20"/>
        </w:rPr>
        <w:t xml:space="preserve"> </w:t>
      </w:r>
      <w:r w:rsidRPr="000977F7">
        <w:rPr>
          <w:rFonts w:asciiTheme="majorHAnsi" w:hAnsiTheme="majorHAnsi"/>
          <w:sz w:val="20"/>
          <w:szCs w:val="20"/>
        </w:rPr>
        <w:t>причини</w:t>
      </w:r>
    </w:p>
    <w:p w14:paraId="56210C7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CE83E05"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i/>
          <w:sz w:val="20"/>
          <w:szCs w:val="20"/>
        </w:rPr>
        <w:t>С</w:t>
      </w:r>
      <w:r w:rsidRPr="000977F7">
        <w:rPr>
          <w:rFonts w:asciiTheme="majorHAnsi" w:hAnsiTheme="majorHAnsi"/>
          <w:b/>
          <w:bCs/>
          <w:sz w:val="20"/>
          <w:szCs w:val="20"/>
        </w:rPr>
        <w:t>ТАН</w:t>
      </w:r>
      <w:r w:rsidRPr="000977F7">
        <w:rPr>
          <w:rFonts w:asciiTheme="majorHAnsi" w:hAnsiTheme="majorHAnsi"/>
          <w:b/>
          <w:bCs/>
          <w:spacing w:val="-5"/>
          <w:sz w:val="20"/>
          <w:szCs w:val="20"/>
        </w:rPr>
        <w:t xml:space="preserve"> </w:t>
      </w:r>
      <w:r w:rsidRPr="000977F7">
        <w:rPr>
          <w:rFonts w:asciiTheme="majorHAnsi" w:hAnsiTheme="majorHAnsi"/>
          <w:b/>
          <w:bCs/>
          <w:sz w:val="20"/>
          <w:szCs w:val="20"/>
        </w:rPr>
        <w:t>НЕГОТОВНОСТІ</w:t>
      </w:r>
      <w:r w:rsidRPr="000977F7">
        <w:rPr>
          <w:rFonts w:asciiTheme="majorHAnsi" w:hAnsiTheme="majorHAnsi"/>
          <w:b/>
          <w:bCs/>
          <w:spacing w:val="-5"/>
          <w:sz w:val="20"/>
          <w:szCs w:val="20"/>
        </w:rPr>
        <w:t xml:space="preserve"> </w:t>
      </w:r>
      <w:r w:rsidRPr="000977F7">
        <w:rPr>
          <w:rFonts w:asciiTheme="majorHAnsi" w:hAnsiTheme="majorHAnsi"/>
          <w:b/>
          <w:bCs/>
          <w:sz w:val="20"/>
          <w:szCs w:val="20"/>
        </w:rPr>
        <w:t>ЧЕРЕЗ</w:t>
      </w:r>
      <w:r w:rsidRPr="000977F7">
        <w:rPr>
          <w:rFonts w:asciiTheme="majorHAnsi" w:hAnsiTheme="majorHAnsi"/>
          <w:b/>
          <w:bCs/>
          <w:spacing w:val="-6"/>
          <w:sz w:val="20"/>
          <w:szCs w:val="20"/>
        </w:rPr>
        <w:t xml:space="preserve"> </w:t>
      </w:r>
      <w:r w:rsidRPr="000977F7">
        <w:rPr>
          <w:rFonts w:asciiTheme="majorHAnsi" w:hAnsiTheme="majorHAnsi"/>
          <w:b/>
          <w:bCs/>
          <w:sz w:val="20"/>
          <w:szCs w:val="20"/>
        </w:rPr>
        <w:t>ЗОВНІШНІ</w:t>
      </w:r>
      <w:r w:rsidRPr="000977F7">
        <w:rPr>
          <w:rFonts w:asciiTheme="majorHAnsi" w:hAnsiTheme="majorHAnsi"/>
          <w:b/>
          <w:bCs/>
          <w:spacing w:val="-47"/>
          <w:sz w:val="20"/>
          <w:szCs w:val="20"/>
        </w:rPr>
        <w:t xml:space="preserve"> </w:t>
      </w:r>
      <w:r w:rsidRPr="000977F7">
        <w:rPr>
          <w:rFonts w:asciiTheme="majorHAnsi" w:hAnsiTheme="majorHAnsi"/>
          <w:b/>
          <w:bCs/>
          <w:sz w:val="20"/>
          <w:szCs w:val="20"/>
        </w:rPr>
        <w:t>ПРИЧИНИ</w:t>
      </w:r>
      <w:r w:rsidRPr="000977F7">
        <w:rPr>
          <w:rFonts w:asciiTheme="majorHAnsi" w:hAnsiTheme="majorHAnsi"/>
          <w:b/>
          <w:bCs/>
          <w:spacing w:val="1"/>
          <w:sz w:val="20"/>
          <w:szCs w:val="20"/>
        </w:rPr>
        <w:t xml:space="preserve"> </w:t>
      </w:r>
      <w:r w:rsidRPr="000977F7">
        <w:rPr>
          <w:rFonts w:asciiTheme="majorHAnsi" w:hAnsiTheme="majorHAnsi"/>
          <w:b/>
          <w:bCs/>
          <w:sz w:val="20"/>
          <w:szCs w:val="20"/>
        </w:rPr>
        <w:t>–</w:t>
      </w:r>
    </w:p>
    <w:p w14:paraId="04A02B4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EXTERNAL</w:t>
      </w:r>
      <w:r w:rsidRPr="000977F7">
        <w:rPr>
          <w:rFonts w:asciiTheme="majorHAnsi" w:hAnsiTheme="majorHAnsi"/>
          <w:spacing w:val="-5"/>
          <w:sz w:val="20"/>
          <w:szCs w:val="20"/>
        </w:rPr>
        <w:t xml:space="preserve"> </w:t>
      </w:r>
      <w:r w:rsidRPr="000977F7">
        <w:rPr>
          <w:rFonts w:asciiTheme="majorHAnsi" w:hAnsiTheme="majorHAnsi"/>
          <w:sz w:val="20"/>
          <w:szCs w:val="20"/>
        </w:rPr>
        <w:t>DISABLED</w:t>
      </w:r>
      <w:r w:rsidRPr="000977F7">
        <w:rPr>
          <w:rFonts w:asciiTheme="majorHAnsi" w:hAnsiTheme="majorHAnsi"/>
          <w:spacing w:val="-2"/>
          <w:sz w:val="20"/>
          <w:szCs w:val="20"/>
        </w:rPr>
        <w:t xml:space="preserve"> </w:t>
      </w:r>
      <w:r w:rsidRPr="000977F7">
        <w:rPr>
          <w:rFonts w:asciiTheme="majorHAnsi" w:hAnsiTheme="majorHAnsi"/>
          <w:sz w:val="20"/>
          <w:szCs w:val="20"/>
        </w:rPr>
        <w:t>STATE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0FA8CDA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Різновид стану неготовності об’єкта, коли він перебуває у працездатному стані, але відсутні необхідні зовнішні ресурси чи він непрацездатний внаслідок планованих заходів, окрім технічного обслуговування та</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p>
    <w:p w14:paraId="59E68CD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2860 – 94</w:t>
      </w:r>
    </w:p>
    <w:p w14:paraId="7CB5A94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w:t>
      </w:r>
      <w:r w:rsidRPr="000977F7">
        <w:rPr>
          <w:color w:val="auto"/>
          <w:spacing w:val="-3"/>
          <w:sz w:val="20"/>
          <w:szCs w:val="20"/>
        </w:rPr>
        <w:t xml:space="preserve"> </w:t>
      </w:r>
      <w:r w:rsidRPr="000977F7">
        <w:rPr>
          <w:color w:val="auto"/>
          <w:sz w:val="20"/>
          <w:szCs w:val="20"/>
        </w:rPr>
        <w:t>ОБ’ЄКТА</w:t>
      </w:r>
      <w:r w:rsidRPr="000977F7">
        <w:rPr>
          <w:color w:val="auto"/>
          <w:spacing w:val="-4"/>
          <w:sz w:val="20"/>
          <w:szCs w:val="20"/>
        </w:rPr>
        <w:t xml:space="preserve"> </w:t>
      </w:r>
      <w:r w:rsidRPr="000977F7">
        <w:rPr>
          <w:color w:val="auto"/>
          <w:sz w:val="20"/>
          <w:szCs w:val="20"/>
        </w:rPr>
        <w:t>(ПРОЦЕСУ) –</w:t>
      </w:r>
    </w:p>
    <w:p w14:paraId="602D250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OBJECT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STATE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(PROCESS</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STATE)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3EF3262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властивостей</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співвіднесена</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2"/>
          <w:sz w:val="20"/>
          <w:szCs w:val="20"/>
        </w:rPr>
        <w:t xml:space="preserve"> </w:t>
      </w:r>
      <w:r w:rsidRPr="000977F7">
        <w:rPr>
          <w:rFonts w:asciiTheme="majorHAnsi" w:hAnsiTheme="majorHAnsi"/>
          <w:sz w:val="20"/>
          <w:szCs w:val="20"/>
        </w:rPr>
        <w:t>певного</w:t>
      </w:r>
      <w:r w:rsidRPr="000977F7">
        <w:rPr>
          <w:rFonts w:asciiTheme="majorHAnsi" w:hAnsiTheme="majorHAnsi"/>
          <w:spacing w:val="1"/>
          <w:sz w:val="20"/>
          <w:szCs w:val="20"/>
        </w:rPr>
        <w:t xml:space="preserve"> </w:t>
      </w:r>
      <w:r w:rsidRPr="000977F7">
        <w:rPr>
          <w:rFonts w:asciiTheme="majorHAnsi" w:hAnsiTheme="majorHAnsi"/>
          <w:sz w:val="20"/>
          <w:szCs w:val="20"/>
        </w:rPr>
        <w:t>моменту</w:t>
      </w:r>
      <w:r w:rsidRPr="000977F7">
        <w:rPr>
          <w:rFonts w:asciiTheme="majorHAnsi" w:hAnsiTheme="majorHAnsi"/>
          <w:spacing w:val="-2"/>
          <w:sz w:val="20"/>
          <w:szCs w:val="20"/>
        </w:rPr>
        <w:t xml:space="preserve"> </w:t>
      </w:r>
      <w:r w:rsidRPr="000977F7">
        <w:rPr>
          <w:rFonts w:asciiTheme="majorHAnsi" w:hAnsiTheme="majorHAnsi"/>
          <w:sz w:val="20"/>
          <w:szCs w:val="20"/>
        </w:rPr>
        <w:t>або інтервалу</w:t>
      </w:r>
      <w:r w:rsidRPr="000977F7">
        <w:rPr>
          <w:rFonts w:asciiTheme="majorHAnsi" w:hAnsiTheme="majorHAnsi"/>
          <w:spacing w:val="-4"/>
          <w:sz w:val="20"/>
          <w:szCs w:val="20"/>
        </w:rPr>
        <w:t xml:space="preserve"> </w:t>
      </w:r>
      <w:r w:rsidRPr="000977F7">
        <w:rPr>
          <w:rFonts w:asciiTheme="majorHAnsi" w:hAnsiTheme="majorHAnsi"/>
          <w:sz w:val="20"/>
          <w:szCs w:val="20"/>
        </w:rPr>
        <w:t>часу</w:t>
      </w:r>
    </w:p>
    <w:p w14:paraId="110CB75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2FE2250D" w14:textId="77777777" w:rsidR="0097612F" w:rsidRPr="000977F7" w:rsidRDefault="0097612F" w:rsidP="000977F7">
      <w:pPr>
        <w:pStyle w:val="7"/>
        <w:tabs>
          <w:tab w:val="left" w:pos="284"/>
        </w:tabs>
        <w:spacing w:before="0" w:line="240" w:lineRule="auto"/>
        <w:ind w:left="170"/>
        <w:mirrorIndents/>
        <w:jc w:val="both"/>
        <w:rPr>
          <w:color w:val="auto"/>
          <w:spacing w:val="-5"/>
          <w:sz w:val="20"/>
          <w:szCs w:val="20"/>
        </w:rPr>
      </w:pPr>
      <w:r w:rsidRPr="000977F7">
        <w:rPr>
          <w:color w:val="auto"/>
          <w:sz w:val="20"/>
          <w:szCs w:val="20"/>
        </w:rPr>
        <w:t>СТАН</w:t>
      </w:r>
      <w:r w:rsidRPr="000977F7">
        <w:rPr>
          <w:color w:val="auto"/>
          <w:spacing w:val="-5"/>
          <w:sz w:val="20"/>
          <w:szCs w:val="20"/>
        </w:rPr>
        <w:t xml:space="preserve"> </w:t>
      </w:r>
      <w:r w:rsidRPr="000977F7">
        <w:rPr>
          <w:color w:val="auto"/>
          <w:sz w:val="20"/>
          <w:szCs w:val="20"/>
        </w:rPr>
        <w:t>ПРАВИЛЬНОГО</w:t>
      </w:r>
      <w:r w:rsidRPr="000977F7">
        <w:rPr>
          <w:color w:val="auto"/>
          <w:spacing w:val="-5"/>
          <w:sz w:val="20"/>
          <w:szCs w:val="20"/>
        </w:rPr>
        <w:t xml:space="preserve"> </w:t>
      </w:r>
    </w:p>
    <w:p w14:paraId="11B4302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ФУНКЦІОНУВАННЯ</w:t>
      </w:r>
      <w:r w:rsidRPr="000977F7">
        <w:rPr>
          <w:color w:val="auto"/>
          <w:spacing w:val="-1"/>
          <w:sz w:val="20"/>
          <w:szCs w:val="20"/>
        </w:rPr>
        <w:t xml:space="preserve"> </w:t>
      </w:r>
      <w:r w:rsidRPr="000977F7">
        <w:rPr>
          <w:color w:val="auto"/>
          <w:sz w:val="20"/>
          <w:szCs w:val="20"/>
        </w:rPr>
        <w:t>–</w:t>
      </w:r>
    </w:p>
    <w:p w14:paraId="48A806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Вид технічного стану, при якому застосований за призначенням виріб в цілому або його складова частина</w:t>
      </w:r>
      <w:r w:rsidRPr="000977F7">
        <w:rPr>
          <w:rFonts w:asciiTheme="majorHAnsi" w:hAnsiTheme="majorHAnsi"/>
          <w:spacing w:val="1"/>
          <w:sz w:val="20"/>
          <w:szCs w:val="20"/>
        </w:rPr>
        <w:t xml:space="preserve"> </w:t>
      </w:r>
      <w:r w:rsidRPr="000977F7">
        <w:rPr>
          <w:rFonts w:asciiTheme="majorHAnsi" w:hAnsiTheme="majorHAnsi"/>
          <w:sz w:val="20"/>
          <w:szCs w:val="20"/>
        </w:rPr>
        <w:t>виконують</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поточний</w:t>
      </w:r>
      <w:r w:rsidRPr="000977F7">
        <w:rPr>
          <w:rFonts w:asciiTheme="majorHAnsi" w:hAnsiTheme="majorHAnsi"/>
          <w:spacing w:val="1"/>
          <w:sz w:val="20"/>
          <w:szCs w:val="20"/>
        </w:rPr>
        <w:t xml:space="preserve"> </w:t>
      </w:r>
      <w:r w:rsidRPr="000977F7">
        <w:rPr>
          <w:rFonts w:asciiTheme="majorHAnsi" w:hAnsiTheme="majorHAnsi"/>
          <w:sz w:val="20"/>
          <w:szCs w:val="20"/>
        </w:rPr>
        <w:t>момент</w:t>
      </w:r>
      <w:r w:rsidRPr="000977F7">
        <w:rPr>
          <w:rFonts w:asciiTheme="majorHAnsi" w:hAnsiTheme="majorHAnsi"/>
          <w:spacing w:val="1"/>
          <w:sz w:val="20"/>
          <w:szCs w:val="20"/>
        </w:rPr>
        <w:t xml:space="preserve"> </w:t>
      </w:r>
      <w:r w:rsidRPr="000977F7">
        <w:rPr>
          <w:rFonts w:asciiTheme="majorHAnsi" w:hAnsiTheme="majorHAnsi"/>
          <w:sz w:val="20"/>
          <w:szCs w:val="20"/>
        </w:rPr>
        <w:t>часу передписані</w:t>
      </w:r>
      <w:r w:rsidRPr="000977F7">
        <w:rPr>
          <w:rFonts w:asciiTheme="majorHAnsi" w:hAnsiTheme="majorHAnsi"/>
          <w:spacing w:val="1"/>
          <w:sz w:val="20"/>
          <w:szCs w:val="20"/>
        </w:rPr>
        <w:t xml:space="preserve"> </w:t>
      </w:r>
      <w:r w:rsidRPr="000977F7">
        <w:rPr>
          <w:rFonts w:asciiTheme="majorHAnsi" w:hAnsiTheme="majorHAnsi"/>
          <w:sz w:val="20"/>
          <w:szCs w:val="20"/>
        </w:rPr>
        <w:t>їм</w:t>
      </w:r>
      <w:r w:rsidRPr="000977F7">
        <w:rPr>
          <w:rFonts w:asciiTheme="majorHAnsi" w:hAnsiTheme="majorHAnsi"/>
          <w:spacing w:val="1"/>
          <w:sz w:val="20"/>
          <w:szCs w:val="20"/>
        </w:rPr>
        <w:t xml:space="preserve"> </w:t>
      </w:r>
      <w:r w:rsidRPr="000977F7">
        <w:rPr>
          <w:rFonts w:asciiTheme="majorHAnsi" w:hAnsiTheme="majorHAnsi"/>
          <w:sz w:val="20"/>
          <w:szCs w:val="20"/>
        </w:rPr>
        <w:t>алгоритми функціонування із значеннями параметрів,</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відповідними</w:t>
      </w:r>
      <w:r w:rsidRPr="000977F7">
        <w:rPr>
          <w:rFonts w:asciiTheme="majorHAnsi" w:hAnsiTheme="majorHAnsi"/>
          <w:spacing w:val="-2"/>
          <w:sz w:val="20"/>
          <w:szCs w:val="20"/>
        </w:rPr>
        <w:t xml:space="preserve"> </w:t>
      </w:r>
      <w:r w:rsidRPr="000977F7">
        <w:rPr>
          <w:rFonts w:asciiTheme="majorHAnsi" w:hAnsiTheme="majorHAnsi"/>
          <w:sz w:val="20"/>
          <w:szCs w:val="20"/>
        </w:rPr>
        <w:t>встановленим вимогам</w:t>
      </w:r>
    </w:p>
    <w:p w14:paraId="7100288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w:t>
      </w:r>
      <w:r w:rsidRPr="000977F7">
        <w:rPr>
          <w:color w:val="auto"/>
          <w:spacing w:val="-6"/>
          <w:sz w:val="20"/>
          <w:szCs w:val="20"/>
        </w:rPr>
        <w:t xml:space="preserve"> </w:t>
      </w:r>
      <w:r w:rsidRPr="000977F7">
        <w:rPr>
          <w:color w:val="auto"/>
          <w:sz w:val="20"/>
          <w:szCs w:val="20"/>
        </w:rPr>
        <w:t>ЧЕРГУВАННЯ;</w:t>
      </w:r>
      <w:r w:rsidRPr="000977F7">
        <w:rPr>
          <w:color w:val="auto"/>
          <w:spacing w:val="-7"/>
          <w:sz w:val="20"/>
          <w:szCs w:val="20"/>
        </w:rPr>
        <w:t xml:space="preserve"> </w:t>
      </w:r>
      <w:r w:rsidRPr="000977F7">
        <w:rPr>
          <w:color w:val="auto"/>
          <w:sz w:val="20"/>
          <w:szCs w:val="20"/>
        </w:rPr>
        <w:t>ПЕРЕБУВАННЯ</w:t>
      </w:r>
      <w:r w:rsidRPr="000977F7">
        <w:rPr>
          <w:color w:val="auto"/>
          <w:spacing w:val="-7"/>
          <w:sz w:val="20"/>
          <w:szCs w:val="20"/>
        </w:rPr>
        <w:t xml:space="preserve"> </w:t>
      </w:r>
      <w:r w:rsidRPr="000977F7">
        <w:rPr>
          <w:color w:val="auto"/>
          <w:sz w:val="20"/>
          <w:szCs w:val="20"/>
        </w:rPr>
        <w:t>В</w:t>
      </w:r>
      <w:r w:rsidRPr="000977F7">
        <w:rPr>
          <w:color w:val="auto"/>
          <w:spacing w:val="-47"/>
          <w:sz w:val="20"/>
          <w:szCs w:val="20"/>
        </w:rPr>
        <w:t xml:space="preserve"> </w:t>
      </w:r>
      <w:r w:rsidRPr="000977F7">
        <w:rPr>
          <w:color w:val="auto"/>
          <w:sz w:val="20"/>
          <w:szCs w:val="20"/>
        </w:rPr>
        <w:t>РЕЗЕРВІ</w:t>
      </w:r>
      <w:r w:rsidRPr="000977F7">
        <w:rPr>
          <w:color w:val="auto"/>
          <w:spacing w:val="-2"/>
          <w:sz w:val="20"/>
          <w:szCs w:val="20"/>
        </w:rPr>
        <w:t xml:space="preserve"> </w:t>
      </w:r>
      <w:r w:rsidRPr="000977F7">
        <w:rPr>
          <w:color w:val="auto"/>
          <w:sz w:val="20"/>
          <w:szCs w:val="20"/>
        </w:rPr>
        <w:t>–</w:t>
      </w:r>
    </w:p>
    <w:p w14:paraId="2E1EDB1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STANDBY</w:t>
      </w:r>
      <w:r w:rsidRPr="000977F7">
        <w:rPr>
          <w:rFonts w:asciiTheme="majorHAnsi" w:hAnsiTheme="majorHAnsi"/>
          <w:spacing w:val="-2"/>
          <w:sz w:val="20"/>
          <w:szCs w:val="20"/>
        </w:rPr>
        <w:t xml:space="preserve"> </w:t>
      </w:r>
      <w:r w:rsidRPr="000977F7">
        <w:rPr>
          <w:rFonts w:asciiTheme="majorHAnsi" w:hAnsiTheme="majorHAnsi"/>
          <w:sz w:val="20"/>
          <w:szCs w:val="20"/>
        </w:rPr>
        <w:t>STATE –</w:t>
      </w:r>
    </w:p>
    <w:p w14:paraId="70C8EA4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Простій у працездатному стані протягом заданої тривалості</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працездатності</w:t>
      </w:r>
    </w:p>
    <w:p w14:paraId="66D0CAEF"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2860 – 94</w:t>
      </w:r>
      <w:r w:rsidRPr="000977F7">
        <w:rPr>
          <w:rFonts w:asciiTheme="majorHAnsi" w:hAnsiTheme="majorHAnsi"/>
          <w:i/>
          <w:spacing w:val="-47"/>
          <w:sz w:val="20"/>
          <w:szCs w:val="20"/>
        </w:rPr>
        <w:t xml:space="preserve"> </w:t>
      </w:r>
    </w:p>
    <w:p w14:paraId="7306198C"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СТАНДАРТ</w:t>
      </w:r>
    </w:p>
    <w:p w14:paraId="4C0F112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STANDARD-</w:t>
      </w:r>
    </w:p>
    <w:p w14:paraId="791325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Нормативний документ, заснований на консенсусі,</w:t>
      </w:r>
      <w:r w:rsidRPr="000977F7">
        <w:rPr>
          <w:rFonts w:asciiTheme="majorHAnsi" w:hAnsiTheme="majorHAnsi"/>
          <w:spacing w:val="1"/>
          <w:sz w:val="20"/>
          <w:szCs w:val="20"/>
        </w:rPr>
        <w:t xml:space="preserve"> </w:t>
      </w:r>
      <w:r w:rsidRPr="000977F7">
        <w:rPr>
          <w:rFonts w:asciiTheme="majorHAnsi" w:hAnsiTheme="majorHAnsi"/>
          <w:sz w:val="20"/>
          <w:szCs w:val="20"/>
        </w:rPr>
        <w:t>прийнятий визнаним органом, що встановлює для</w:t>
      </w:r>
      <w:r w:rsidRPr="000977F7">
        <w:rPr>
          <w:rFonts w:asciiTheme="majorHAnsi" w:hAnsiTheme="majorHAnsi"/>
          <w:spacing w:val="1"/>
          <w:sz w:val="20"/>
          <w:szCs w:val="20"/>
        </w:rPr>
        <w:t xml:space="preserve"> </w:t>
      </w:r>
      <w:r w:rsidRPr="000977F7">
        <w:rPr>
          <w:rFonts w:asciiTheme="majorHAnsi" w:hAnsiTheme="majorHAnsi"/>
          <w:sz w:val="20"/>
          <w:szCs w:val="20"/>
        </w:rPr>
        <w:t>загального і неодноразового використання правила,</w:t>
      </w:r>
      <w:r w:rsidRPr="000977F7">
        <w:rPr>
          <w:rFonts w:asciiTheme="majorHAnsi" w:hAnsiTheme="majorHAnsi"/>
          <w:spacing w:val="1"/>
          <w:sz w:val="20"/>
          <w:szCs w:val="20"/>
        </w:rPr>
        <w:t xml:space="preserve"> </w:t>
      </w:r>
      <w:r w:rsidRPr="000977F7">
        <w:rPr>
          <w:rFonts w:asciiTheme="majorHAnsi" w:hAnsiTheme="majorHAnsi"/>
          <w:sz w:val="20"/>
          <w:szCs w:val="20"/>
        </w:rPr>
        <w:t xml:space="preserve">настанови або характеристики щодо </w:t>
      </w:r>
      <w:r w:rsidRPr="000977F7">
        <w:rPr>
          <w:rFonts w:asciiTheme="majorHAnsi" w:hAnsiTheme="majorHAnsi"/>
          <w:sz w:val="20"/>
          <w:szCs w:val="20"/>
        </w:rPr>
        <w:t>діяльності чи її</w:t>
      </w:r>
      <w:r w:rsidRPr="000977F7">
        <w:rPr>
          <w:rFonts w:asciiTheme="majorHAnsi" w:hAnsiTheme="majorHAnsi"/>
          <w:spacing w:val="1"/>
          <w:sz w:val="20"/>
          <w:szCs w:val="20"/>
        </w:rPr>
        <w:t xml:space="preserve"> </w:t>
      </w:r>
      <w:r w:rsidRPr="000977F7">
        <w:rPr>
          <w:rFonts w:asciiTheme="majorHAnsi" w:hAnsiTheme="majorHAnsi"/>
          <w:sz w:val="20"/>
          <w:szCs w:val="20"/>
        </w:rPr>
        <w:t>результатів, та спрямований на досягнення оптимального ступеня</w:t>
      </w:r>
      <w:r w:rsidRPr="000977F7">
        <w:rPr>
          <w:rFonts w:asciiTheme="majorHAnsi" w:hAnsiTheme="majorHAnsi"/>
          <w:spacing w:val="-2"/>
          <w:sz w:val="20"/>
          <w:szCs w:val="20"/>
        </w:rPr>
        <w:t xml:space="preserve"> </w:t>
      </w:r>
      <w:r w:rsidRPr="000977F7">
        <w:rPr>
          <w:rFonts w:asciiTheme="majorHAnsi" w:hAnsiTheme="majorHAnsi"/>
          <w:sz w:val="20"/>
          <w:szCs w:val="20"/>
        </w:rPr>
        <w:t>впорядкованості</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певній</w:t>
      </w:r>
      <w:r w:rsidRPr="000977F7">
        <w:rPr>
          <w:rFonts w:asciiTheme="majorHAnsi" w:hAnsiTheme="majorHAnsi"/>
          <w:spacing w:val="-2"/>
          <w:sz w:val="20"/>
          <w:szCs w:val="20"/>
        </w:rPr>
        <w:t xml:space="preserve"> </w:t>
      </w:r>
      <w:r w:rsidRPr="000977F7">
        <w:rPr>
          <w:rFonts w:asciiTheme="majorHAnsi" w:hAnsiTheme="majorHAnsi"/>
          <w:sz w:val="20"/>
          <w:szCs w:val="20"/>
        </w:rPr>
        <w:t>сфері.</w:t>
      </w:r>
    </w:p>
    <w:p w14:paraId="6E99ED8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П.</w:t>
      </w:r>
      <w:r w:rsidRPr="000977F7">
        <w:rPr>
          <w:rFonts w:asciiTheme="majorHAnsi" w:hAnsiTheme="majorHAnsi"/>
          <w:i/>
          <w:spacing w:val="27"/>
          <w:sz w:val="20"/>
          <w:szCs w:val="20"/>
        </w:rPr>
        <w:t xml:space="preserve"> </w:t>
      </w:r>
      <w:r w:rsidRPr="000977F7">
        <w:rPr>
          <w:rFonts w:asciiTheme="majorHAnsi" w:hAnsiTheme="majorHAnsi"/>
          <w:i/>
          <w:sz w:val="20"/>
          <w:szCs w:val="20"/>
        </w:rPr>
        <w:t>20</w:t>
      </w:r>
      <w:r w:rsidRPr="000977F7">
        <w:rPr>
          <w:rFonts w:asciiTheme="majorHAnsi" w:hAnsiTheme="majorHAnsi"/>
          <w:i/>
          <w:spacing w:val="25"/>
          <w:sz w:val="20"/>
          <w:szCs w:val="20"/>
        </w:rPr>
        <w:t xml:space="preserve"> </w:t>
      </w:r>
      <w:r w:rsidRPr="000977F7">
        <w:rPr>
          <w:rFonts w:asciiTheme="majorHAnsi" w:hAnsiTheme="majorHAnsi"/>
          <w:i/>
          <w:sz w:val="20"/>
          <w:szCs w:val="20"/>
        </w:rPr>
        <w:t>ч.</w:t>
      </w:r>
      <w:r w:rsidRPr="000977F7">
        <w:rPr>
          <w:rFonts w:asciiTheme="majorHAnsi" w:hAnsiTheme="majorHAnsi"/>
          <w:i/>
          <w:spacing w:val="25"/>
          <w:sz w:val="20"/>
          <w:szCs w:val="20"/>
        </w:rPr>
        <w:t xml:space="preserve"> </w:t>
      </w:r>
      <w:r w:rsidRPr="000977F7">
        <w:rPr>
          <w:rFonts w:asciiTheme="majorHAnsi" w:hAnsiTheme="majorHAnsi"/>
          <w:i/>
          <w:sz w:val="20"/>
          <w:szCs w:val="20"/>
        </w:rPr>
        <w:t>1</w:t>
      </w:r>
      <w:r w:rsidRPr="000977F7">
        <w:rPr>
          <w:rFonts w:asciiTheme="majorHAnsi" w:hAnsiTheme="majorHAnsi"/>
          <w:i/>
          <w:spacing w:val="28"/>
          <w:sz w:val="20"/>
          <w:szCs w:val="20"/>
        </w:rPr>
        <w:t xml:space="preserve"> </w:t>
      </w:r>
      <w:r w:rsidRPr="000977F7">
        <w:rPr>
          <w:rFonts w:asciiTheme="majorHAnsi" w:hAnsiTheme="majorHAnsi"/>
          <w:i/>
          <w:sz w:val="20"/>
          <w:szCs w:val="20"/>
        </w:rPr>
        <w:t>Ст.</w:t>
      </w:r>
      <w:r w:rsidRPr="000977F7">
        <w:rPr>
          <w:rFonts w:asciiTheme="majorHAnsi" w:hAnsiTheme="majorHAnsi"/>
          <w:i/>
          <w:spacing w:val="27"/>
          <w:sz w:val="20"/>
          <w:szCs w:val="20"/>
        </w:rPr>
        <w:t xml:space="preserve"> </w:t>
      </w:r>
      <w:r w:rsidRPr="000977F7">
        <w:rPr>
          <w:rFonts w:asciiTheme="majorHAnsi" w:hAnsiTheme="majorHAnsi"/>
          <w:i/>
          <w:sz w:val="20"/>
          <w:szCs w:val="20"/>
        </w:rPr>
        <w:t>1</w:t>
      </w:r>
      <w:r w:rsidRPr="000977F7">
        <w:rPr>
          <w:rFonts w:asciiTheme="majorHAnsi" w:hAnsiTheme="majorHAnsi"/>
          <w:i/>
          <w:spacing w:val="26"/>
          <w:sz w:val="20"/>
          <w:szCs w:val="20"/>
        </w:rPr>
        <w:t xml:space="preserve"> </w:t>
      </w:r>
      <w:r w:rsidRPr="000977F7">
        <w:rPr>
          <w:rFonts w:asciiTheme="majorHAnsi" w:hAnsiTheme="majorHAnsi"/>
          <w:i/>
          <w:sz w:val="20"/>
          <w:szCs w:val="20"/>
        </w:rPr>
        <w:t>закону</w:t>
      </w:r>
      <w:r w:rsidRPr="000977F7">
        <w:rPr>
          <w:rFonts w:asciiTheme="majorHAnsi" w:hAnsiTheme="majorHAnsi"/>
          <w:i/>
          <w:spacing w:val="26"/>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27"/>
          <w:sz w:val="20"/>
          <w:szCs w:val="20"/>
        </w:rPr>
        <w:t xml:space="preserve"> </w:t>
      </w:r>
      <w:r w:rsidRPr="000977F7">
        <w:rPr>
          <w:rFonts w:asciiTheme="majorHAnsi" w:hAnsiTheme="majorHAnsi"/>
          <w:i/>
          <w:sz w:val="20"/>
          <w:szCs w:val="20"/>
        </w:rPr>
        <w:t>«Про</w:t>
      </w:r>
      <w:r w:rsidRPr="000977F7">
        <w:rPr>
          <w:rFonts w:asciiTheme="majorHAnsi" w:hAnsiTheme="majorHAnsi"/>
          <w:i/>
          <w:spacing w:val="28"/>
          <w:sz w:val="20"/>
          <w:szCs w:val="20"/>
        </w:rPr>
        <w:t xml:space="preserve"> </w:t>
      </w:r>
      <w:r w:rsidRPr="000977F7">
        <w:rPr>
          <w:rFonts w:asciiTheme="majorHAnsi" w:hAnsiTheme="majorHAnsi"/>
          <w:i/>
          <w:sz w:val="20"/>
          <w:szCs w:val="20"/>
        </w:rPr>
        <w:t>стандартизацію»</w:t>
      </w:r>
    </w:p>
    <w:p w14:paraId="223A92E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2"/>
          <w:sz w:val="20"/>
          <w:szCs w:val="20"/>
        </w:rPr>
        <w:t>Створений</w:t>
      </w:r>
      <w:r w:rsidRPr="000977F7">
        <w:rPr>
          <w:rFonts w:asciiTheme="majorHAnsi" w:hAnsiTheme="majorHAnsi"/>
          <w:spacing w:val="-11"/>
          <w:sz w:val="20"/>
          <w:szCs w:val="20"/>
        </w:rPr>
        <w:t xml:space="preserve"> </w:t>
      </w:r>
      <w:r w:rsidRPr="000977F7">
        <w:rPr>
          <w:rFonts w:asciiTheme="majorHAnsi" w:hAnsiTheme="majorHAnsi"/>
          <w:spacing w:val="-2"/>
          <w:sz w:val="20"/>
          <w:szCs w:val="20"/>
        </w:rPr>
        <w:t>на</w:t>
      </w:r>
      <w:r w:rsidRPr="000977F7">
        <w:rPr>
          <w:rFonts w:asciiTheme="majorHAnsi" w:hAnsiTheme="majorHAnsi"/>
          <w:spacing w:val="-10"/>
          <w:sz w:val="20"/>
          <w:szCs w:val="20"/>
        </w:rPr>
        <w:t xml:space="preserve"> </w:t>
      </w:r>
      <w:r w:rsidRPr="000977F7">
        <w:rPr>
          <w:rFonts w:asciiTheme="majorHAnsi" w:hAnsiTheme="majorHAnsi"/>
          <w:spacing w:val="-2"/>
          <w:sz w:val="20"/>
          <w:szCs w:val="20"/>
        </w:rPr>
        <w:t>основі</w:t>
      </w:r>
      <w:r w:rsidRPr="000977F7">
        <w:rPr>
          <w:rFonts w:asciiTheme="majorHAnsi" w:hAnsiTheme="majorHAnsi"/>
          <w:spacing w:val="-9"/>
          <w:sz w:val="20"/>
          <w:szCs w:val="20"/>
        </w:rPr>
        <w:t xml:space="preserve"> </w:t>
      </w:r>
      <w:r w:rsidRPr="000977F7">
        <w:rPr>
          <w:rFonts w:asciiTheme="majorHAnsi" w:hAnsiTheme="majorHAnsi"/>
          <w:spacing w:val="-2"/>
          <w:sz w:val="20"/>
          <w:szCs w:val="20"/>
        </w:rPr>
        <w:t>консенсусу</w:t>
      </w:r>
      <w:r w:rsidRPr="000977F7">
        <w:rPr>
          <w:rFonts w:asciiTheme="majorHAnsi" w:hAnsiTheme="majorHAnsi"/>
          <w:spacing w:val="-10"/>
          <w:sz w:val="20"/>
          <w:szCs w:val="20"/>
        </w:rPr>
        <w:t xml:space="preserve"> </w:t>
      </w:r>
      <w:r w:rsidRPr="000977F7">
        <w:rPr>
          <w:rFonts w:asciiTheme="majorHAnsi" w:hAnsiTheme="majorHAnsi"/>
          <w:spacing w:val="-2"/>
          <w:sz w:val="20"/>
          <w:szCs w:val="20"/>
        </w:rPr>
        <w:t>та</w:t>
      </w:r>
      <w:r w:rsidRPr="000977F7">
        <w:rPr>
          <w:rFonts w:asciiTheme="majorHAnsi" w:hAnsiTheme="majorHAnsi"/>
          <w:spacing w:val="-9"/>
          <w:sz w:val="20"/>
          <w:szCs w:val="20"/>
        </w:rPr>
        <w:t xml:space="preserve"> </w:t>
      </w:r>
      <w:r w:rsidRPr="000977F7">
        <w:rPr>
          <w:rFonts w:asciiTheme="majorHAnsi" w:hAnsiTheme="majorHAnsi"/>
          <w:spacing w:val="-2"/>
          <w:sz w:val="20"/>
          <w:szCs w:val="20"/>
        </w:rPr>
        <w:t>ухвалений</w:t>
      </w:r>
      <w:r w:rsidRPr="000977F7">
        <w:rPr>
          <w:rFonts w:asciiTheme="majorHAnsi" w:hAnsiTheme="majorHAnsi"/>
          <w:spacing w:val="-10"/>
          <w:sz w:val="20"/>
          <w:szCs w:val="20"/>
        </w:rPr>
        <w:t xml:space="preserve"> </w:t>
      </w:r>
      <w:r w:rsidRPr="000977F7">
        <w:rPr>
          <w:rFonts w:asciiTheme="majorHAnsi" w:hAnsiTheme="majorHAnsi"/>
          <w:spacing w:val="-2"/>
          <w:sz w:val="20"/>
          <w:szCs w:val="20"/>
        </w:rPr>
        <w:t>визнаним</w:t>
      </w:r>
      <w:r w:rsidRPr="000977F7">
        <w:rPr>
          <w:rFonts w:asciiTheme="majorHAnsi" w:hAnsiTheme="majorHAnsi"/>
          <w:spacing w:val="-47"/>
          <w:sz w:val="20"/>
          <w:szCs w:val="20"/>
        </w:rPr>
        <w:t xml:space="preserve"> </w:t>
      </w:r>
      <w:r w:rsidRPr="000977F7">
        <w:rPr>
          <w:rFonts w:asciiTheme="majorHAnsi" w:hAnsiTheme="majorHAnsi"/>
          <w:sz w:val="20"/>
          <w:szCs w:val="20"/>
        </w:rPr>
        <w:t>органом нормативний документ, що встановлює для</w:t>
      </w:r>
      <w:r w:rsidRPr="000977F7">
        <w:rPr>
          <w:rFonts w:asciiTheme="majorHAnsi" w:hAnsiTheme="majorHAnsi"/>
          <w:spacing w:val="1"/>
          <w:sz w:val="20"/>
          <w:szCs w:val="20"/>
        </w:rPr>
        <w:t xml:space="preserve"> </w:t>
      </w:r>
      <w:r w:rsidRPr="000977F7">
        <w:rPr>
          <w:rFonts w:asciiTheme="majorHAnsi" w:hAnsiTheme="majorHAnsi"/>
          <w:spacing w:val="-1"/>
          <w:sz w:val="20"/>
          <w:szCs w:val="20"/>
        </w:rPr>
        <w:t xml:space="preserve">загального і багаторазового користування </w:t>
      </w:r>
      <w:r w:rsidRPr="000977F7">
        <w:rPr>
          <w:rFonts w:asciiTheme="majorHAnsi" w:hAnsiTheme="majorHAnsi"/>
          <w:sz w:val="20"/>
          <w:szCs w:val="20"/>
        </w:rPr>
        <w:t>правила, настанови чи вказівки або характеристики різного виду</w:t>
      </w:r>
      <w:r w:rsidRPr="000977F7">
        <w:rPr>
          <w:rFonts w:asciiTheme="majorHAnsi" w:hAnsiTheme="majorHAnsi"/>
          <w:spacing w:val="1"/>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11"/>
          <w:sz w:val="20"/>
          <w:szCs w:val="20"/>
        </w:rPr>
        <w:t xml:space="preserve"> </w:t>
      </w:r>
      <w:r w:rsidRPr="000977F7">
        <w:rPr>
          <w:rFonts w:asciiTheme="majorHAnsi" w:hAnsiTheme="majorHAnsi"/>
          <w:sz w:val="20"/>
          <w:szCs w:val="20"/>
        </w:rPr>
        <w:t>чи</w:t>
      </w:r>
      <w:r w:rsidRPr="000977F7">
        <w:rPr>
          <w:rFonts w:asciiTheme="majorHAnsi" w:hAnsiTheme="majorHAnsi"/>
          <w:spacing w:val="-12"/>
          <w:sz w:val="20"/>
          <w:szCs w:val="20"/>
        </w:rPr>
        <w:t xml:space="preserve"> </w:t>
      </w:r>
      <w:r w:rsidRPr="000977F7">
        <w:rPr>
          <w:rFonts w:asciiTheme="majorHAnsi" w:hAnsiTheme="majorHAnsi"/>
          <w:sz w:val="20"/>
          <w:szCs w:val="20"/>
        </w:rPr>
        <w:t>її</w:t>
      </w:r>
      <w:r w:rsidRPr="000977F7">
        <w:rPr>
          <w:rFonts w:asciiTheme="majorHAnsi" w:hAnsiTheme="majorHAnsi"/>
          <w:spacing w:val="-11"/>
          <w:sz w:val="20"/>
          <w:szCs w:val="20"/>
        </w:rPr>
        <w:t xml:space="preserve"> </w:t>
      </w:r>
      <w:r w:rsidRPr="000977F7">
        <w:rPr>
          <w:rFonts w:asciiTheme="majorHAnsi" w:hAnsiTheme="majorHAnsi"/>
          <w:sz w:val="20"/>
          <w:szCs w:val="20"/>
        </w:rPr>
        <w:t>результатів</w:t>
      </w:r>
      <w:r w:rsidRPr="000977F7">
        <w:rPr>
          <w:rFonts w:asciiTheme="majorHAnsi" w:hAnsiTheme="majorHAnsi"/>
          <w:spacing w:val="-12"/>
          <w:sz w:val="20"/>
          <w:szCs w:val="20"/>
        </w:rPr>
        <w:t xml:space="preserve"> </w:t>
      </w:r>
      <w:r w:rsidRPr="000977F7">
        <w:rPr>
          <w:rFonts w:asciiTheme="majorHAnsi" w:hAnsiTheme="majorHAnsi"/>
          <w:sz w:val="20"/>
          <w:szCs w:val="20"/>
        </w:rPr>
        <w:t>і</w:t>
      </w:r>
      <w:r w:rsidRPr="000977F7">
        <w:rPr>
          <w:rFonts w:asciiTheme="majorHAnsi" w:hAnsiTheme="majorHAnsi"/>
          <w:spacing w:val="-10"/>
          <w:sz w:val="20"/>
          <w:szCs w:val="20"/>
        </w:rPr>
        <w:t xml:space="preserve"> </w:t>
      </w:r>
      <w:r w:rsidRPr="000977F7">
        <w:rPr>
          <w:rFonts w:asciiTheme="majorHAnsi" w:hAnsiTheme="majorHAnsi"/>
          <w:sz w:val="20"/>
          <w:szCs w:val="20"/>
        </w:rPr>
        <w:t>який</w:t>
      </w:r>
      <w:r w:rsidRPr="000977F7">
        <w:rPr>
          <w:rFonts w:asciiTheme="majorHAnsi" w:hAnsiTheme="majorHAnsi"/>
          <w:spacing w:val="-11"/>
          <w:sz w:val="20"/>
          <w:szCs w:val="20"/>
        </w:rPr>
        <w:t xml:space="preserve"> </w:t>
      </w:r>
      <w:r w:rsidRPr="000977F7">
        <w:rPr>
          <w:rFonts w:asciiTheme="majorHAnsi" w:hAnsiTheme="majorHAnsi"/>
          <w:sz w:val="20"/>
          <w:szCs w:val="20"/>
        </w:rPr>
        <w:t>є</w:t>
      </w:r>
      <w:r w:rsidRPr="000977F7">
        <w:rPr>
          <w:rFonts w:asciiTheme="majorHAnsi" w:hAnsiTheme="majorHAnsi"/>
          <w:spacing w:val="-11"/>
          <w:sz w:val="20"/>
          <w:szCs w:val="20"/>
        </w:rPr>
        <w:t xml:space="preserve"> </w:t>
      </w:r>
      <w:r w:rsidRPr="000977F7">
        <w:rPr>
          <w:rFonts w:asciiTheme="majorHAnsi" w:hAnsiTheme="majorHAnsi"/>
          <w:sz w:val="20"/>
          <w:szCs w:val="20"/>
        </w:rPr>
        <w:t>спрямованим</w:t>
      </w:r>
      <w:r w:rsidRPr="000977F7">
        <w:rPr>
          <w:rFonts w:asciiTheme="majorHAnsi" w:hAnsiTheme="majorHAnsi"/>
          <w:spacing w:val="-8"/>
          <w:sz w:val="20"/>
          <w:szCs w:val="20"/>
        </w:rPr>
        <w:t xml:space="preserve"> </w:t>
      </w:r>
      <w:r w:rsidRPr="000977F7">
        <w:rPr>
          <w:rFonts w:asciiTheme="majorHAnsi" w:hAnsiTheme="majorHAnsi"/>
          <w:sz w:val="20"/>
          <w:szCs w:val="20"/>
        </w:rPr>
        <w:t>на</w:t>
      </w:r>
      <w:r w:rsidRPr="000977F7">
        <w:rPr>
          <w:rFonts w:asciiTheme="majorHAnsi" w:hAnsiTheme="majorHAnsi"/>
          <w:spacing w:val="-11"/>
          <w:sz w:val="20"/>
          <w:szCs w:val="20"/>
        </w:rPr>
        <w:t xml:space="preserve"> </w:t>
      </w:r>
      <w:r w:rsidRPr="000977F7">
        <w:rPr>
          <w:rFonts w:asciiTheme="majorHAnsi" w:hAnsiTheme="majorHAnsi"/>
          <w:sz w:val="20"/>
          <w:szCs w:val="20"/>
        </w:rPr>
        <w:t>до</w:t>
      </w:r>
      <w:r w:rsidRPr="000977F7">
        <w:rPr>
          <w:rFonts w:asciiTheme="majorHAnsi" w:hAnsiTheme="majorHAnsi"/>
          <w:spacing w:val="-2"/>
          <w:sz w:val="20"/>
          <w:szCs w:val="20"/>
        </w:rPr>
        <w:t>сягнення</w:t>
      </w:r>
      <w:r w:rsidRPr="000977F7">
        <w:rPr>
          <w:rFonts w:asciiTheme="majorHAnsi" w:hAnsiTheme="majorHAnsi"/>
          <w:spacing w:val="-6"/>
          <w:sz w:val="20"/>
          <w:szCs w:val="20"/>
        </w:rPr>
        <w:t xml:space="preserve"> </w:t>
      </w:r>
      <w:r w:rsidRPr="000977F7">
        <w:rPr>
          <w:rFonts w:asciiTheme="majorHAnsi" w:hAnsiTheme="majorHAnsi"/>
          <w:spacing w:val="-1"/>
          <w:sz w:val="20"/>
          <w:szCs w:val="20"/>
        </w:rPr>
        <w:t>оптимального</w:t>
      </w:r>
      <w:r w:rsidRPr="000977F7">
        <w:rPr>
          <w:rFonts w:asciiTheme="majorHAnsi" w:hAnsiTheme="majorHAnsi"/>
          <w:spacing w:val="-5"/>
          <w:sz w:val="20"/>
          <w:szCs w:val="20"/>
        </w:rPr>
        <w:t xml:space="preserve"> </w:t>
      </w:r>
      <w:r w:rsidRPr="000977F7">
        <w:rPr>
          <w:rFonts w:asciiTheme="majorHAnsi" w:hAnsiTheme="majorHAnsi"/>
          <w:spacing w:val="-1"/>
          <w:sz w:val="20"/>
          <w:szCs w:val="20"/>
        </w:rPr>
        <w:t>ступеня</w:t>
      </w:r>
      <w:r w:rsidRPr="000977F7">
        <w:rPr>
          <w:rFonts w:asciiTheme="majorHAnsi" w:hAnsiTheme="majorHAnsi"/>
          <w:spacing w:val="-5"/>
          <w:sz w:val="20"/>
          <w:szCs w:val="20"/>
        </w:rPr>
        <w:t xml:space="preserve"> </w:t>
      </w:r>
      <w:r w:rsidRPr="000977F7">
        <w:rPr>
          <w:rFonts w:asciiTheme="majorHAnsi" w:hAnsiTheme="majorHAnsi"/>
          <w:spacing w:val="-1"/>
          <w:sz w:val="20"/>
          <w:szCs w:val="20"/>
        </w:rPr>
        <w:t>впорядкованості</w:t>
      </w:r>
      <w:r w:rsidRPr="000977F7">
        <w:rPr>
          <w:rFonts w:asciiTheme="majorHAnsi" w:hAnsiTheme="majorHAnsi"/>
          <w:spacing w:val="-5"/>
          <w:sz w:val="20"/>
          <w:szCs w:val="20"/>
        </w:rPr>
        <w:t xml:space="preserve"> </w:t>
      </w:r>
      <w:r w:rsidRPr="000977F7">
        <w:rPr>
          <w:rFonts w:asciiTheme="majorHAnsi" w:hAnsiTheme="majorHAnsi"/>
          <w:spacing w:val="-1"/>
          <w:sz w:val="20"/>
          <w:szCs w:val="20"/>
        </w:rPr>
        <w:t>у</w:t>
      </w:r>
      <w:r w:rsidRPr="000977F7">
        <w:rPr>
          <w:rFonts w:asciiTheme="majorHAnsi" w:hAnsiTheme="majorHAnsi"/>
          <w:spacing w:val="-6"/>
          <w:sz w:val="20"/>
          <w:szCs w:val="20"/>
        </w:rPr>
        <w:t xml:space="preserve"> </w:t>
      </w:r>
      <w:r w:rsidRPr="000977F7">
        <w:rPr>
          <w:rFonts w:asciiTheme="majorHAnsi" w:hAnsiTheme="majorHAnsi"/>
          <w:spacing w:val="-1"/>
          <w:sz w:val="20"/>
          <w:szCs w:val="20"/>
        </w:rPr>
        <w:t>пев</w:t>
      </w:r>
      <w:r w:rsidRPr="000977F7">
        <w:rPr>
          <w:rFonts w:asciiTheme="majorHAnsi" w:hAnsiTheme="majorHAnsi"/>
          <w:spacing w:val="-4"/>
          <w:sz w:val="20"/>
          <w:szCs w:val="20"/>
        </w:rPr>
        <w:t>ній</w:t>
      </w:r>
      <w:r w:rsidRPr="000977F7">
        <w:rPr>
          <w:rFonts w:asciiTheme="majorHAnsi" w:hAnsiTheme="majorHAnsi"/>
          <w:spacing w:val="-9"/>
          <w:sz w:val="20"/>
          <w:szCs w:val="20"/>
        </w:rPr>
        <w:t xml:space="preserve"> </w:t>
      </w:r>
      <w:r w:rsidRPr="000977F7">
        <w:rPr>
          <w:rFonts w:asciiTheme="majorHAnsi" w:hAnsiTheme="majorHAnsi"/>
          <w:spacing w:val="-4"/>
          <w:sz w:val="20"/>
          <w:szCs w:val="20"/>
        </w:rPr>
        <w:t>сфері</w:t>
      </w:r>
      <w:r w:rsidRPr="000977F7">
        <w:rPr>
          <w:rFonts w:asciiTheme="majorHAnsi" w:hAnsiTheme="majorHAnsi"/>
          <w:spacing w:val="-7"/>
          <w:sz w:val="20"/>
          <w:szCs w:val="20"/>
        </w:rPr>
        <w:t xml:space="preserve"> </w:t>
      </w:r>
      <w:r w:rsidRPr="000977F7">
        <w:rPr>
          <w:rFonts w:asciiTheme="majorHAnsi" w:hAnsiTheme="majorHAnsi"/>
          <w:spacing w:val="-4"/>
          <w:sz w:val="20"/>
          <w:szCs w:val="20"/>
        </w:rPr>
        <w:t>та</w:t>
      </w:r>
      <w:r w:rsidRPr="000977F7">
        <w:rPr>
          <w:rFonts w:asciiTheme="majorHAnsi" w:hAnsiTheme="majorHAnsi"/>
          <w:spacing w:val="-8"/>
          <w:sz w:val="20"/>
          <w:szCs w:val="20"/>
        </w:rPr>
        <w:t xml:space="preserve"> </w:t>
      </w:r>
      <w:r w:rsidRPr="000977F7">
        <w:rPr>
          <w:rFonts w:asciiTheme="majorHAnsi" w:hAnsiTheme="majorHAnsi"/>
          <w:spacing w:val="-4"/>
          <w:sz w:val="20"/>
          <w:szCs w:val="20"/>
        </w:rPr>
        <w:t>доступним</w:t>
      </w:r>
      <w:r w:rsidRPr="000977F7">
        <w:rPr>
          <w:rFonts w:asciiTheme="majorHAnsi" w:hAnsiTheme="majorHAnsi"/>
          <w:spacing w:val="-6"/>
          <w:sz w:val="20"/>
          <w:szCs w:val="20"/>
        </w:rPr>
        <w:t xml:space="preserve"> </w:t>
      </w:r>
      <w:r w:rsidRPr="000977F7">
        <w:rPr>
          <w:rFonts w:asciiTheme="majorHAnsi" w:hAnsiTheme="majorHAnsi"/>
          <w:spacing w:val="-4"/>
          <w:sz w:val="20"/>
          <w:szCs w:val="20"/>
        </w:rPr>
        <w:t>широкому</w:t>
      </w:r>
      <w:r w:rsidRPr="000977F7">
        <w:rPr>
          <w:rFonts w:asciiTheme="majorHAnsi" w:hAnsiTheme="majorHAnsi"/>
          <w:spacing w:val="-8"/>
          <w:sz w:val="20"/>
          <w:szCs w:val="20"/>
        </w:rPr>
        <w:t xml:space="preserve"> </w:t>
      </w:r>
      <w:r w:rsidRPr="000977F7">
        <w:rPr>
          <w:rFonts w:asciiTheme="majorHAnsi" w:hAnsiTheme="majorHAnsi"/>
          <w:spacing w:val="-4"/>
          <w:sz w:val="20"/>
          <w:szCs w:val="20"/>
        </w:rPr>
        <w:t>колу</w:t>
      </w:r>
      <w:r w:rsidRPr="000977F7">
        <w:rPr>
          <w:rFonts w:asciiTheme="majorHAnsi" w:hAnsiTheme="majorHAnsi"/>
          <w:spacing w:val="-9"/>
          <w:sz w:val="20"/>
          <w:szCs w:val="20"/>
        </w:rPr>
        <w:t xml:space="preserve"> </w:t>
      </w:r>
      <w:r w:rsidRPr="000977F7">
        <w:rPr>
          <w:rFonts w:asciiTheme="majorHAnsi" w:hAnsiTheme="majorHAnsi"/>
          <w:spacing w:val="-3"/>
          <w:sz w:val="20"/>
          <w:szCs w:val="20"/>
        </w:rPr>
        <w:t>користувачів</w:t>
      </w:r>
    </w:p>
    <w:p w14:paraId="3C21DA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9C8E1CD"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Стандарти</w:t>
      </w:r>
      <w:r w:rsidRPr="000977F7">
        <w:rPr>
          <w:rFonts w:asciiTheme="majorHAnsi" w:hAnsiTheme="majorHAnsi"/>
          <w:spacing w:val="18"/>
          <w:sz w:val="20"/>
          <w:szCs w:val="20"/>
        </w:rPr>
        <w:t xml:space="preserve"> </w:t>
      </w:r>
      <w:r w:rsidRPr="000977F7">
        <w:rPr>
          <w:rFonts w:asciiTheme="majorHAnsi" w:hAnsiTheme="majorHAnsi"/>
          <w:sz w:val="20"/>
          <w:szCs w:val="20"/>
        </w:rPr>
        <w:t>повинні</w:t>
      </w:r>
      <w:r w:rsidRPr="000977F7">
        <w:rPr>
          <w:rFonts w:asciiTheme="majorHAnsi" w:hAnsiTheme="majorHAnsi"/>
          <w:spacing w:val="21"/>
          <w:sz w:val="20"/>
          <w:szCs w:val="20"/>
        </w:rPr>
        <w:t xml:space="preserve"> </w:t>
      </w:r>
      <w:r w:rsidRPr="000977F7">
        <w:rPr>
          <w:rFonts w:asciiTheme="majorHAnsi" w:hAnsiTheme="majorHAnsi"/>
          <w:sz w:val="20"/>
          <w:szCs w:val="20"/>
        </w:rPr>
        <w:t>ґрунтуватися</w:t>
      </w:r>
      <w:r w:rsidRPr="000977F7">
        <w:rPr>
          <w:rFonts w:asciiTheme="majorHAnsi" w:hAnsiTheme="majorHAnsi"/>
          <w:spacing w:val="21"/>
          <w:sz w:val="20"/>
          <w:szCs w:val="20"/>
        </w:rPr>
        <w:t xml:space="preserve"> </w:t>
      </w:r>
      <w:r w:rsidRPr="000977F7">
        <w:rPr>
          <w:rFonts w:asciiTheme="majorHAnsi" w:hAnsiTheme="majorHAnsi"/>
          <w:sz w:val="20"/>
          <w:szCs w:val="20"/>
        </w:rPr>
        <w:t>на</w:t>
      </w:r>
      <w:r w:rsidRPr="000977F7">
        <w:rPr>
          <w:rFonts w:asciiTheme="majorHAnsi" w:hAnsiTheme="majorHAnsi"/>
          <w:spacing w:val="21"/>
          <w:sz w:val="20"/>
          <w:szCs w:val="20"/>
        </w:rPr>
        <w:t xml:space="preserve"> </w:t>
      </w:r>
      <w:r w:rsidRPr="000977F7">
        <w:rPr>
          <w:rFonts w:asciiTheme="majorHAnsi" w:hAnsiTheme="majorHAnsi"/>
          <w:sz w:val="20"/>
          <w:szCs w:val="20"/>
        </w:rPr>
        <w:t>узагальнених</w:t>
      </w:r>
      <w:r w:rsidRPr="000977F7">
        <w:rPr>
          <w:rFonts w:asciiTheme="majorHAnsi" w:hAnsiTheme="majorHAnsi"/>
          <w:spacing w:val="20"/>
          <w:sz w:val="20"/>
          <w:szCs w:val="20"/>
        </w:rPr>
        <w:t xml:space="preserve"> </w:t>
      </w:r>
      <w:r w:rsidRPr="000977F7">
        <w:rPr>
          <w:rFonts w:asciiTheme="majorHAnsi" w:hAnsiTheme="majorHAnsi"/>
          <w:sz w:val="20"/>
          <w:szCs w:val="20"/>
        </w:rPr>
        <w:t>досягненнях</w:t>
      </w:r>
      <w:r w:rsidRPr="000977F7">
        <w:rPr>
          <w:rFonts w:asciiTheme="majorHAnsi" w:hAnsiTheme="majorHAnsi"/>
          <w:spacing w:val="10"/>
          <w:sz w:val="20"/>
          <w:szCs w:val="20"/>
        </w:rPr>
        <w:t xml:space="preserve"> </w:t>
      </w:r>
      <w:r w:rsidRPr="000977F7">
        <w:rPr>
          <w:rFonts w:asciiTheme="majorHAnsi" w:hAnsiTheme="majorHAnsi"/>
          <w:sz w:val="20"/>
          <w:szCs w:val="20"/>
        </w:rPr>
        <w:t>науки,</w:t>
      </w:r>
      <w:r w:rsidRPr="000977F7">
        <w:rPr>
          <w:rFonts w:asciiTheme="majorHAnsi" w:hAnsiTheme="majorHAnsi"/>
          <w:spacing w:val="9"/>
          <w:sz w:val="20"/>
          <w:szCs w:val="20"/>
        </w:rPr>
        <w:t xml:space="preserve"> </w:t>
      </w:r>
      <w:r w:rsidRPr="000977F7">
        <w:rPr>
          <w:rFonts w:asciiTheme="majorHAnsi" w:hAnsiTheme="majorHAnsi"/>
          <w:sz w:val="20"/>
          <w:szCs w:val="20"/>
        </w:rPr>
        <w:t>техніки</w:t>
      </w:r>
      <w:r w:rsidRPr="000977F7">
        <w:rPr>
          <w:rFonts w:asciiTheme="majorHAnsi" w:hAnsiTheme="majorHAnsi"/>
          <w:spacing w:val="8"/>
          <w:sz w:val="20"/>
          <w:szCs w:val="20"/>
        </w:rPr>
        <w:t xml:space="preserve"> </w:t>
      </w:r>
      <w:r w:rsidRPr="000977F7">
        <w:rPr>
          <w:rFonts w:asciiTheme="majorHAnsi" w:hAnsiTheme="majorHAnsi"/>
          <w:sz w:val="20"/>
          <w:szCs w:val="20"/>
        </w:rPr>
        <w:t>та</w:t>
      </w:r>
      <w:r w:rsidRPr="000977F7">
        <w:rPr>
          <w:rFonts w:asciiTheme="majorHAnsi" w:hAnsiTheme="majorHAnsi"/>
          <w:spacing w:val="10"/>
          <w:sz w:val="20"/>
          <w:szCs w:val="20"/>
        </w:rPr>
        <w:t xml:space="preserve"> </w:t>
      </w:r>
      <w:r w:rsidRPr="000977F7">
        <w:rPr>
          <w:rFonts w:asciiTheme="majorHAnsi" w:hAnsiTheme="majorHAnsi"/>
          <w:sz w:val="20"/>
          <w:szCs w:val="20"/>
        </w:rPr>
        <w:t>практичного</w:t>
      </w:r>
      <w:r w:rsidRPr="000977F7">
        <w:rPr>
          <w:rFonts w:asciiTheme="majorHAnsi" w:hAnsiTheme="majorHAnsi"/>
          <w:spacing w:val="10"/>
          <w:sz w:val="20"/>
          <w:szCs w:val="20"/>
        </w:rPr>
        <w:t xml:space="preserve"> </w:t>
      </w:r>
      <w:r w:rsidRPr="000977F7">
        <w:rPr>
          <w:rFonts w:asciiTheme="majorHAnsi" w:hAnsiTheme="majorHAnsi"/>
          <w:sz w:val="20"/>
          <w:szCs w:val="20"/>
        </w:rPr>
        <w:t>досвіду</w:t>
      </w:r>
      <w:r w:rsidRPr="000977F7">
        <w:rPr>
          <w:rFonts w:asciiTheme="majorHAnsi" w:hAnsiTheme="majorHAnsi"/>
          <w:spacing w:val="8"/>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бути спрямованими на збільшення суспільної вигоди</w:t>
      </w:r>
      <w:r w:rsidRPr="000977F7">
        <w:rPr>
          <w:rFonts w:asciiTheme="majorHAnsi" w:hAnsiTheme="majorHAnsi"/>
          <w:spacing w:val="1"/>
          <w:sz w:val="20"/>
          <w:szCs w:val="20"/>
        </w:rPr>
        <w:t xml:space="preserve"> </w:t>
      </w:r>
    </w:p>
    <w:p w14:paraId="2A8B6C3C"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ДСТУISO/IEC</w:t>
      </w:r>
      <w:r w:rsidRPr="000977F7">
        <w:rPr>
          <w:rFonts w:asciiTheme="majorHAnsi" w:hAnsiTheme="majorHAnsi"/>
          <w:i/>
          <w:spacing w:val="-32"/>
          <w:sz w:val="20"/>
          <w:szCs w:val="20"/>
        </w:rPr>
        <w:t xml:space="preserve"> </w:t>
      </w:r>
      <w:r w:rsidRPr="000977F7">
        <w:rPr>
          <w:rFonts w:asciiTheme="majorHAnsi" w:hAnsiTheme="majorHAnsi"/>
          <w:i/>
          <w:sz w:val="20"/>
          <w:szCs w:val="20"/>
        </w:rPr>
        <w:t>17000:2007</w:t>
      </w:r>
    </w:p>
    <w:p w14:paraId="41C40FE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загального</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багаторазового</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затверджений</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відповідною</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організацією,</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якому</w:t>
      </w:r>
      <w:r w:rsidRPr="000977F7">
        <w:rPr>
          <w:rFonts w:asciiTheme="majorHAnsi" w:hAnsiTheme="majorHAnsi"/>
          <w:spacing w:val="1"/>
          <w:sz w:val="20"/>
          <w:szCs w:val="20"/>
        </w:rPr>
        <w:t xml:space="preserve"> </w:t>
      </w:r>
      <w:r w:rsidRPr="000977F7">
        <w:rPr>
          <w:rFonts w:asciiTheme="majorHAnsi" w:hAnsiTheme="majorHAnsi"/>
          <w:sz w:val="20"/>
          <w:szCs w:val="20"/>
        </w:rPr>
        <w:t>зведені</w:t>
      </w:r>
      <w:r w:rsidRPr="000977F7">
        <w:rPr>
          <w:rFonts w:asciiTheme="majorHAnsi" w:hAnsiTheme="majorHAnsi"/>
          <w:spacing w:val="1"/>
          <w:sz w:val="20"/>
          <w:szCs w:val="20"/>
        </w:rPr>
        <w:t xml:space="preserve"> </w:t>
      </w:r>
      <w:r w:rsidRPr="000977F7">
        <w:rPr>
          <w:rFonts w:asciiTheme="majorHAnsi" w:hAnsiTheme="majorHAnsi"/>
          <w:sz w:val="20"/>
          <w:szCs w:val="20"/>
        </w:rPr>
        <w:t>правила,</w:t>
      </w:r>
      <w:r w:rsidRPr="000977F7">
        <w:rPr>
          <w:rFonts w:asciiTheme="majorHAnsi" w:hAnsiTheme="majorHAnsi"/>
          <w:spacing w:val="1"/>
          <w:sz w:val="20"/>
          <w:szCs w:val="20"/>
        </w:rPr>
        <w:t xml:space="preserve"> </w:t>
      </w:r>
      <w:r w:rsidRPr="000977F7">
        <w:rPr>
          <w:rFonts w:asciiTheme="majorHAnsi" w:hAnsiTheme="majorHAnsi"/>
          <w:sz w:val="20"/>
          <w:szCs w:val="20"/>
        </w:rPr>
        <w:t>керівництва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характеристики для продуктів, процесів або послуг і який не є</w:t>
      </w:r>
      <w:r w:rsidRPr="000977F7">
        <w:rPr>
          <w:rFonts w:asciiTheme="majorHAnsi" w:hAnsiTheme="majorHAnsi"/>
          <w:spacing w:val="1"/>
          <w:sz w:val="20"/>
          <w:szCs w:val="20"/>
        </w:rPr>
        <w:t xml:space="preserve"> </w:t>
      </w:r>
      <w:r w:rsidRPr="000977F7">
        <w:rPr>
          <w:rFonts w:asciiTheme="majorHAnsi" w:hAnsiTheme="majorHAnsi"/>
          <w:sz w:val="20"/>
          <w:szCs w:val="20"/>
        </w:rPr>
        <w:t>обов’язковим</w:t>
      </w:r>
      <w:r w:rsidRPr="000977F7">
        <w:rPr>
          <w:rFonts w:asciiTheme="majorHAnsi" w:hAnsiTheme="majorHAnsi"/>
          <w:spacing w:val="6"/>
          <w:sz w:val="20"/>
          <w:szCs w:val="20"/>
        </w:rPr>
        <w:t xml:space="preserve"> </w:t>
      </w:r>
      <w:r w:rsidRPr="000977F7">
        <w:rPr>
          <w:rFonts w:asciiTheme="majorHAnsi" w:hAnsiTheme="majorHAnsi"/>
          <w:sz w:val="20"/>
          <w:szCs w:val="20"/>
        </w:rPr>
        <w:t>для</w:t>
      </w:r>
      <w:r w:rsidRPr="000977F7">
        <w:rPr>
          <w:rFonts w:asciiTheme="majorHAnsi" w:hAnsiTheme="majorHAnsi"/>
          <w:spacing w:val="5"/>
          <w:sz w:val="20"/>
          <w:szCs w:val="20"/>
        </w:rPr>
        <w:t xml:space="preserve"> </w:t>
      </w:r>
      <w:r w:rsidRPr="000977F7">
        <w:rPr>
          <w:rFonts w:asciiTheme="majorHAnsi" w:hAnsiTheme="majorHAnsi"/>
          <w:sz w:val="20"/>
          <w:szCs w:val="20"/>
        </w:rPr>
        <w:t>дотримання.</w:t>
      </w:r>
    </w:p>
    <w:p w14:paraId="19A26C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Стандарти часто починають діяти як керівництво, де</w:t>
      </w:r>
      <w:r w:rsidRPr="000977F7">
        <w:rPr>
          <w:rFonts w:asciiTheme="majorHAnsi" w:hAnsiTheme="majorHAnsi"/>
          <w:spacing w:val="1"/>
          <w:sz w:val="20"/>
          <w:szCs w:val="20"/>
        </w:rPr>
        <w:t xml:space="preserve"> </w:t>
      </w:r>
      <w:r w:rsidRPr="000977F7">
        <w:rPr>
          <w:rFonts w:asciiTheme="majorHAnsi" w:hAnsiTheme="majorHAnsi"/>
          <w:sz w:val="20"/>
          <w:szCs w:val="20"/>
        </w:rPr>
        <w:t>описаний найкращий підхід, а пізніше, після їх прийняття, вони практично стають нормами. Узгодження</w:t>
      </w:r>
      <w:r w:rsidRPr="000977F7">
        <w:rPr>
          <w:rFonts w:asciiTheme="majorHAnsi" w:hAnsiTheme="majorHAnsi"/>
          <w:spacing w:val="1"/>
          <w:sz w:val="20"/>
          <w:szCs w:val="20"/>
        </w:rPr>
        <w:t xml:space="preserve"> </w:t>
      </w:r>
      <w:r w:rsidRPr="000977F7">
        <w:rPr>
          <w:rFonts w:asciiTheme="majorHAnsi" w:hAnsiTheme="majorHAnsi"/>
          <w:sz w:val="20"/>
          <w:szCs w:val="20"/>
        </w:rPr>
        <w:t>може бути обов’язковим на різних рівнях (наприклад,</w:t>
      </w:r>
      <w:r w:rsidRPr="000977F7">
        <w:rPr>
          <w:rFonts w:asciiTheme="majorHAnsi" w:hAnsiTheme="majorHAnsi"/>
          <w:spacing w:val="1"/>
          <w:sz w:val="20"/>
          <w:szCs w:val="20"/>
        </w:rPr>
        <w:t xml:space="preserve"> </w:t>
      </w:r>
      <w:r w:rsidRPr="000977F7">
        <w:rPr>
          <w:rFonts w:asciiTheme="majorHAnsi" w:hAnsiTheme="majorHAnsi"/>
          <w:sz w:val="20"/>
          <w:szCs w:val="20"/>
        </w:rPr>
        <w:t>на рівні державної організації, на рівні служб менеджменту організації, що виконує проект, або на рівні</w:t>
      </w:r>
      <w:r w:rsidRPr="000977F7">
        <w:rPr>
          <w:rFonts w:asciiTheme="majorHAnsi" w:hAnsiTheme="majorHAnsi"/>
          <w:spacing w:val="1"/>
          <w:sz w:val="20"/>
          <w:szCs w:val="20"/>
        </w:rPr>
        <w:t xml:space="preserve"> </w:t>
      </w:r>
      <w:r w:rsidRPr="000977F7">
        <w:rPr>
          <w:rFonts w:asciiTheme="majorHAnsi" w:hAnsiTheme="majorHAnsi"/>
          <w:sz w:val="20"/>
          <w:szCs w:val="20"/>
        </w:rPr>
        <w:t>команди</w:t>
      </w:r>
      <w:r w:rsidRPr="000977F7">
        <w:rPr>
          <w:rFonts w:asciiTheme="majorHAnsi" w:hAnsiTheme="majorHAnsi"/>
          <w:spacing w:val="-3"/>
          <w:sz w:val="20"/>
          <w:szCs w:val="20"/>
        </w:rPr>
        <w:t xml:space="preserve"> </w:t>
      </w:r>
      <w:r w:rsidRPr="000977F7">
        <w:rPr>
          <w:rFonts w:asciiTheme="majorHAnsi" w:hAnsiTheme="majorHAnsi"/>
          <w:sz w:val="20"/>
          <w:szCs w:val="20"/>
        </w:rPr>
        <w:t>менеджерів</w:t>
      </w:r>
      <w:r w:rsidRPr="000977F7">
        <w:rPr>
          <w:rFonts w:asciiTheme="majorHAnsi" w:hAnsiTheme="majorHAnsi"/>
          <w:spacing w:val="-1"/>
          <w:sz w:val="20"/>
          <w:szCs w:val="20"/>
        </w:rPr>
        <w:t xml:space="preserve"> </w:t>
      </w:r>
      <w:r w:rsidRPr="000977F7">
        <w:rPr>
          <w:rFonts w:asciiTheme="majorHAnsi" w:hAnsiTheme="majorHAnsi"/>
          <w:sz w:val="20"/>
          <w:szCs w:val="20"/>
        </w:rPr>
        <w:t>проекту)</w:t>
      </w:r>
    </w:p>
    <w:p w14:paraId="0723A053" w14:textId="77777777" w:rsidR="0097612F" w:rsidRPr="000977F7" w:rsidRDefault="0097612F" w:rsidP="000977F7">
      <w:pPr>
        <w:tabs>
          <w:tab w:val="left" w:pos="284"/>
        </w:tabs>
        <w:spacing w:after="0" w:line="240" w:lineRule="auto"/>
        <w:ind w:left="170"/>
        <w:mirrorIndents/>
        <w:jc w:val="both"/>
        <w:rPr>
          <w:rFonts w:asciiTheme="majorHAnsi" w:hAnsiTheme="majorHAnsi"/>
          <w:i/>
          <w:w w:val="137"/>
          <w:sz w:val="20"/>
          <w:szCs w:val="20"/>
        </w:rPr>
      </w:pPr>
      <w:r w:rsidRPr="000977F7">
        <w:rPr>
          <w:rFonts w:asciiTheme="majorHAnsi" w:hAnsiTheme="majorHAnsi"/>
          <w:i/>
          <w:spacing w:val="-1"/>
          <w:w w:val="99"/>
          <w:sz w:val="20"/>
          <w:szCs w:val="20"/>
        </w:rPr>
        <w:t>Ке</w:t>
      </w:r>
      <w:r w:rsidRPr="000977F7">
        <w:rPr>
          <w:rFonts w:asciiTheme="majorHAnsi" w:hAnsiTheme="majorHAnsi"/>
          <w:i/>
          <w:w w:val="99"/>
          <w:sz w:val="20"/>
          <w:szCs w:val="20"/>
        </w:rPr>
        <w:t>р.</w:t>
      </w:r>
      <w:r w:rsidRPr="000977F7">
        <w:rPr>
          <w:rFonts w:asciiTheme="majorHAnsi" w:hAnsiTheme="majorHAnsi"/>
          <w:i/>
          <w:sz w:val="20"/>
          <w:szCs w:val="20"/>
        </w:rPr>
        <w:t xml:space="preserve"> </w:t>
      </w:r>
      <w:r w:rsidRPr="000977F7">
        <w:rPr>
          <w:rFonts w:asciiTheme="majorHAnsi" w:hAnsiTheme="majorHAnsi"/>
          <w:i/>
          <w:spacing w:val="1"/>
          <w:w w:val="99"/>
          <w:sz w:val="20"/>
          <w:szCs w:val="20"/>
        </w:rPr>
        <w:t>про</w:t>
      </w:r>
      <w:r w:rsidRPr="000977F7">
        <w:rPr>
          <w:rFonts w:asciiTheme="majorHAnsi" w:hAnsiTheme="majorHAnsi"/>
          <w:i/>
          <w:w w:val="99"/>
          <w:sz w:val="20"/>
          <w:szCs w:val="20"/>
        </w:rPr>
        <w:t>ек</w:t>
      </w:r>
      <w:r w:rsidRPr="000977F7">
        <w:rPr>
          <w:rFonts w:asciiTheme="majorHAnsi" w:hAnsiTheme="majorHAnsi"/>
          <w:i/>
          <w:spacing w:val="-1"/>
          <w:w w:val="99"/>
          <w:sz w:val="20"/>
          <w:szCs w:val="20"/>
        </w:rPr>
        <w:t>тн</w:t>
      </w:r>
      <w:r w:rsidRPr="000977F7">
        <w:rPr>
          <w:rFonts w:asciiTheme="majorHAnsi" w:hAnsiTheme="majorHAnsi"/>
          <w:i/>
          <w:w w:val="99"/>
          <w:sz w:val="20"/>
          <w:szCs w:val="20"/>
        </w:rPr>
        <w:t>.</w:t>
      </w:r>
      <w:r w:rsidRPr="000977F7">
        <w:rPr>
          <w:rFonts w:asciiTheme="majorHAnsi" w:hAnsiTheme="majorHAnsi"/>
          <w:i/>
          <w:sz w:val="20"/>
          <w:szCs w:val="20"/>
        </w:rPr>
        <w:t xml:space="preserve"> </w:t>
      </w:r>
      <w:r w:rsidRPr="000977F7">
        <w:rPr>
          <w:rFonts w:asciiTheme="majorHAnsi" w:hAnsiTheme="majorHAnsi"/>
          <w:i/>
          <w:spacing w:val="-1"/>
          <w:w w:val="99"/>
          <w:sz w:val="20"/>
          <w:szCs w:val="20"/>
        </w:rPr>
        <w:t>менеджм</w:t>
      </w:r>
      <w:r w:rsidRPr="000977F7">
        <w:rPr>
          <w:rFonts w:asciiTheme="majorHAnsi" w:hAnsiTheme="majorHAnsi"/>
          <w:i/>
          <w:spacing w:val="3"/>
          <w:w w:val="99"/>
          <w:sz w:val="20"/>
          <w:szCs w:val="20"/>
        </w:rPr>
        <w:t>.</w:t>
      </w:r>
      <w:r w:rsidRPr="000977F7">
        <w:rPr>
          <w:rFonts w:asciiTheme="majorHAnsi" w:hAnsiTheme="majorHAnsi"/>
          <w:i/>
          <w:w w:val="99"/>
          <w:sz w:val="20"/>
          <w:szCs w:val="20"/>
        </w:rPr>
        <w:t>-</w:t>
      </w:r>
      <w:r w:rsidRPr="000977F7">
        <w:rPr>
          <w:rFonts w:asciiTheme="majorHAnsi" w:hAnsiTheme="majorHAnsi"/>
          <w:i/>
          <w:spacing w:val="2"/>
          <w:w w:val="99"/>
          <w:sz w:val="20"/>
          <w:szCs w:val="20"/>
        </w:rPr>
        <w:t>т</w:t>
      </w:r>
      <w:r w:rsidRPr="000977F7">
        <w:rPr>
          <w:rFonts w:asciiTheme="majorHAnsi" w:hAnsiTheme="majorHAnsi"/>
          <w:i/>
          <w:w w:val="137"/>
          <w:sz w:val="20"/>
          <w:szCs w:val="20"/>
        </w:rPr>
        <w:t>у‖</w:t>
      </w:r>
    </w:p>
    <w:p w14:paraId="7CCA4BA4" w14:textId="77777777" w:rsidR="0097612F" w:rsidRPr="000977F7" w:rsidRDefault="0097612F" w:rsidP="000977F7">
      <w:pPr>
        <w:tabs>
          <w:tab w:val="left" w:pos="284"/>
        </w:tabs>
        <w:spacing w:after="0" w:line="240" w:lineRule="auto"/>
        <w:ind w:left="170"/>
        <w:mirrorIndents/>
        <w:jc w:val="both"/>
        <w:rPr>
          <w:rFonts w:asciiTheme="majorHAnsi" w:hAnsiTheme="majorHAnsi"/>
          <w:b/>
          <w:bCs/>
          <w:spacing w:val="-3"/>
          <w:sz w:val="20"/>
          <w:szCs w:val="20"/>
        </w:rPr>
      </w:pPr>
      <w:r w:rsidRPr="000977F7">
        <w:rPr>
          <w:rFonts w:asciiTheme="majorHAnsi" w:hAnsiTheme="majorHAnsi"/>
          <w:b/>
          <w:bCs/>
          <w:sz w:val="20"/>
          <w:szCs w:val="20"/>
        </w:rPr>
        <w:t>CТАНДАРТ</w:t>
      </w:r>
      <w:r w:rsidRPr="000977F7">
        <w:rPr>
          <w:rFonts w:asciiTheme="majorHAnsi" w:hAnsiTheme="majorHAnsi"/>
          <w:b/>
          <w:bCs/>
          <w:spacing w:val="-6"/>
          <w:sz w:val="20"/>
          <w:szCs w:val="20"/>
        </w:rPr>
        <w:t xml:space="preserve"> </w:t>
      </w:r>
      <w:r w:rsidRPr="000977F7">
        <w:rPr>
          <w:rFonts w:asciiTheme="majorHAnsi" w:hAnsiTheme="majorHAnsi"/>
          <w:b/>
          <w:bCs/>
          <w:sz w:val="20"/>
          <w:szCs w:val="20"/>
        </w:rPr>
        <w:t>З</w:t>
      </w:r>
      <w:r w:rsidRPr="000977F7">
        <w:rPr>
          <w:rFonts w:asciiTheme="majorHAnsi" w:hAnsiTheme="majorHAnsi"/>
          <w:b/>
          <w:bCs/>
          <w:spacing w:val="-5"/>
          <w:sz w:val="20"/>
          <w:szCs w:val="20"/>
        </w:rPr>
        <w:t xml:space="preserve"> </w:t>
      </w:r>
      <w:r w:rsidRPr="000977F7">
        <w:rPr>
          <w:rFonts w:asciiTheme="majorHAnsi" w:hAnsiTheme="majorHAnsi"/>
          <w:b/>
          <w:bCs/>
          <w:sz w:val="20"/>
          <w:szCs w:val="20"/>
        </w:rPr>
        <w:t>ДИФЕРЕНЦІЙОВАНИМИ</w:t>
      </w:r>
      <w:r w:rsidRPr="000977F7">
        <w:rPr>
          <w:rFonts w:asciiTheme="majorHAnsi" w:hAnsiTheme="majorHAnsi"/>
          <w:b/>
          <w:bCs/>
          <w:spacing w:val="-3"/>
          <w:sz w:val="20"/>
          <w:szCs w:val="20"/>
        </w:rPr>
        <w:t xml:space="preserve"> </w:t>
      </w:r>
    </w:p>
    <w:p w14:paraId="77C4DB5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ЗНАЧЕННЯМИ ПОКАЗНИКА ЯКОСТІ ПРОДУКЦІЇ –</w:t>
      </w:r>
    </w:p>
    <w:p w14:paraId="561EC5A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b w:val="0"/>
          <w:color w:val="auto"/>
          <w:spacing w:val="-48"/>
          <w:sz w:val="20"/>
          <w:szCs w:val="20"/>
        </w:rPr>
        <w:t xml:space="preserve"> </w:t>
      </w:r>
      <w:r w:rsidRPr="000977F7">
        <w:rPr>
          <w:b w:val="0"/>
          <w:bCs/>
          <w:color w:val="auto"/>
          <w:sz w:val="20"/>
          <w:szCs w:val="20"/>
        </w:rPr>
        <w:t>STANDARD WITH DIFFERENTIATED VALUES OF</w:t>
      </w:r>
      <w:r w:rsidRPr="000977F7">
        <w:rPr>
          <w:b w:val="0"/>
          <w:bCs/>
          <w:color w:val="auto"/>
          <w:spacing w:val="1"/>
          <w:sz w:val="20"/>
          <w:szCs w:val="20"/>
        </w:rPr>
        <w:t xml:space="preserve"> </w:t>
      </w:r>
      <w:r w:rsidRPr="000977F7">
        <w:rPr>
          <w:b w:val="0"/>
          <w:bCs/>
          <w:color w:val="auto"/>
          <w:sz w:val="20"/>
          <w:szCs w:val="20"/>
        </w:rPr>
        <w:t>QUALITY</w:t>
      </w:r>
      <w:r w:rsidRPr="000977F7">
        <w:rPr>
          <w:b w:val="0"/>
          <w:bCs/>
          <w:color w:val="auto"/>
          <w:spacing w:val="-1"/>
          <w:sz w:val="20"/>
          <w:szCs w:val="20"/>
        </w:rPr>
        <w:t xml:space="preserve"> </w:t>
      </w:r>
      <w:r w:rsidRPr="000977F7">
        <w:rPr>
          <w:b w:val="0"/>
          <w:bCs/>
          <w:color w:val="auto"/>
          <w:sz w:val="20"/>
          <w:szCs w:val="20"/>
        </w:rPr>
        <w:t>INDICES</w:t>
      </w:r>
      <w:r w:rsidRPr="000977F7">
        <w:rPr>
          <w:b w:val="0"/>
          <w:bCs/>
          <w:color w:val="auto"/>
          <w:spacing w:val="1"/>
          <w:sz w:val="20"/>
          <w:szCs w:val="20"/>
        </w:rPr>
        <w:t xml:space="preserve"> </w:t>
      </w:r>
      <w:r w:rsidRPr="000977F7">
        <w:rPr>
          <w:b w:val="0"/>
          <w:bCs/>
          <w:color w:val="auto"/>
          <w:sz w:val="20"/>
          <w:szCs w:val="20"/>
        </w:rPr>
        <w:t>–</w:t>
      </w:r>
    </w:p>
    <w:p w14:paraId="7591BB6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що містить два або декілька числових значень показника, що відносяться до конкретної норми</w:t>
      </w:r>
      <w:r w:rsidRPr="000977F7">
        <w:rPr>
          <w:rFonts w:asciiTheme="majorHAnsi" w:hAnsiTheme="majorHAnsi"/>
          <w:spacing w:val="1"/>
          <w:sz w:val="20"/>
          <w:szCs w:val="20"/>
        </w:rPr>
        <w:t xml:space="preserve"> </w:t>
      </w:r>
      <w:r w:rsidRPr="000977F7">
        <w:rPr>
          <w:rFonts w:asciiTheme="majorHAnsi" w:hAnsiTheme="majorHAnsi"/>
          <w:sz w:val="20"/>
          <w:szCs w:val="20"/>
        </w:rPr>
        <w:t>або вимоги, встановленим на продукцію одного призначення</w:t>
      </w:r>
      <w:r w:rsidRPr="000977F7">
        <w:rPr>
          <w:rFonts w:asciiTheme="majorHAnsi" w:hAnsiTheme="majorHAnsi"/>
          <w:spacing w:val="-2"/>
          <w:sz w:val="20"/>
          <w:szCs w:val="20"/>
        </w:rPr>
        <w:t xml:space="preserve"> </w:t>
      </w:r>
      <w:r w:rsidRPr="000977F7">
        <w:rPr>
          <w:rFonts w:asciiTheme="majorHAnsi" w:hAnsiTheme="majorHAnsi"/>
          <w:sz w:val="20"/>
          <w:szCs w:val="20"/>
        </w:rPr>
        <w:t>(застосування)</w:t>
      </w:r>
    </w:p>
    <w:p w14:paraId="72CE9A6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2"/>
          <w:sz w:val="20"/>
          <w:szCs w:val="20"/>
        </w:rPr>
        <w:t>СТАНДАРТ</w:t>
      </w:r>
      <w:r w:rsidRPr="000977F7">
        <w:rPr>
          <w:color w:val="auto"/>
          <w:spacing w:val="-10"/>
          <w:sz w:val="20"/>
          <w:szCs w:val="20"/>
        </w:rPr>
        <w:t xml:space="preserve"> </w:t>
      </w:r>
      <w:r w:rsidRPr="000977F7">
        <w:rPr>
          <w:color w:val="auto"/>
          <w:spacing w:val="-2"/>
          <w:sz w:val="20"/>
          <w:szCs w:val="20"/>
        </w:rPr>
        <w:t>ЗАГАЛЬНИХ</w:t>
      </w:r>
      <w:r w:rsidRPr="000977F7">
        <w:rPr>
          <w:color w:val="auto"/>
          <w:spacing w:val="-7"/>
          <w:sz w:val="20"/>
          <w:szCs w:val="20"/>
        </w:rPr>
        <w:t xml:space="preserve"> </w:t>
      </w:r>
      <w:r w:rsidRPr="000977F7">
        <w:rPr>
          <w:color w:val="auto"/>
          <w:spacing w:val="-1"/>
          <w:sz w:val="20"/>
          <w:szCs w:val="20"/>
        </w:rPr>
        <w:t>ТЕХНІЧНИХ</w:t>
      </w:r>
      <w:r w:rsidRPr="000977F7">
        <w:rPr>
          <w:color w:val="auto"/>
          <w:spacing w:val="-9"/>
          <w:sz w:val="20"/>
          <w:szCs w:val="20"/>
        </w:rPr>
        <w:t xml:space="preserve"> </w:t>
      </w:r>
      <w:r w:rsidRPr="000977F7">
        <w:rPr>
          <w:color w:val="auto"/>
          <w:spacing w:val="-1"/>
          <w:sz w:val="20"/>
          <w:szCs w:val="20"/>
        </w:rPr>
        <w:t>ВИМОГ</w:t>
      </w:r>
      <w:r w:rsidRPr="000977F7">
        <w:rPr>
          <w:color w:val="auto"/>
          <w:spacing w:val="-7"/>
          <w:sz w:val="20"/>
          <w:szCs w:val="20"/>
        </w:rPr>
        <w:t xml:space="preserve"> </w:t>
      </w:r>
      <w:r w:rsidRPr="000977F7">
        <w:rPr>
          <w:color w:val="auto"/>
          <w:spacing w:val="-1"/>
          <w:sz w:val="20"/>
          <w:szCs w:val="20"/>
        </w:rPr>
        <w:t>–</w:t>
      </w:r>
    </w:p>
    <w:p w14:paraId="7B057E2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pacing w:val="-1"/>
          <w:sz w:val="20"/>
          <w:szCs w:val="20"/>
          <w:lang w:val="en-US"/>
        </w:rPr>
        <w:t>STANDARD</w:t>
      </w:r>
      <w:r w:rsidRPr="004D2D14">
        <w:rPr>
          <w:rFonts w:asciiTheme="majorHAnsi" w:hAnsiTheme="majorHAnsi"/>
          <w:spacing w:val="-11"/>
          <w:sz w:val="20"/>
          <w:szCs w:val="20"/>
          <w:lang w:val="en-US"/>
        </w:rPr>
        <w:t xml:space="preserve"> </w:t>
      </w:r>
      <w:r w:rsidRPr="004D2D14">
        <w:rPr>
          <w:rFonts w:asciiTheme="majorHAnsi" w:hAnsiTheme="majorHAnsi"/>
          <w:sz w:val="20"/>
          <w:szCs w:val="20"/>
          <w:lang w:val="en-US"/>
        </w:rPr>
        <w:t>ON</w:t>
      </w:r>
      <w:r w:rsidRPr="004D2D14">
        <w:rPr>
          <w:rFonts w:asciiTheme="majorHAnsi" w:hAnsiTheme="majorHAnsi"/>
          <w:spacing w:val="-9"/>
          <w:sz w:val="20"/>
          <w:szCs w:val="20"/>
          <w:lang w:val="en-US"/>
        </w:rPr>
        <w:t xml:space="preserve"> </w:t>
      </w:r>
      <w:r w:rsidRPr="004D2D14">
        <w:rPr>
          <w:rFonts w:asciiTheme="majorHAnsi" w:hAnsiTheme="majorHAnsi"/>
          <w:sz w:val="20"/>
          <w:szCs w:val="20"/>
          <w:lang w:val="en-US"/>
        </w:rPr>
        <w:t>DATA</w:t>
      </w:r>
      <w:r w:rsidRPr="004D2D14">
        <w:rPr>
          <w:rFonts w:asciiTheme="majorHAnsi" w:hAnsiTheme="majorHAnsi"/>
          <w:spacing w:val="-13"/>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10"/>
          <w:sz w:val="20"/>
          <w:szCs w:val="20"/>
          <w:lang w:val="en-US"/>
        </w:rPr>
        <w:t xml:space="preserve"> </w:t>
      </w:r>
      <w:r w:rsidRPr="004D2D14">
        <w:rPr>
          <w:rFonts w:asciiTheme="majorHAnsi" w:hAnsiTheme="majorHAnsi"/>
          <w:sz w:val="20"/>
          <w:szCs w:val="20"/>
          <w:lang w:val="en-US"/>
        </w:rPr>
        <w:t>BE</w:t>
      </w:r>
      <w:r w:rsidRPr="004D2D14">
        <w:rPr>
          <w:rFonts w:asciiTheme="majorHAnsi" w:hAnsiTheme="majorHAnsi"/>
          <w:spacing w:val="-10"/>
          <w:sz w:val="20"/>
          <w:szCs w:val="20"/>
          <w:lang w:val="en-US"/>
        </w:rPr>
        <w:t xml:space="preserve"> </w:t>
      </w:r>
      <w:r w:rsidRPr="004D2D14">
        <w:rPr>
          <w:rFonts w:asciiTheme="majorHAnsi" w:hAnsiTheme="majorHAnsi"/>
          <w:sz w:val="20"/>
          <w:szCs w:val="20"/>
          <w:lang w:val="en-US"/>
        </w:rPr>
        <w:t>PROVIDED</w:t>
      </w:r>
      <w:r w:rsidRPr="004D2D14">
        <w:rPr>
          <w:rFonts w:asciiTheme="majorHAnsi" w:hAnsiTheme="majorHAnsi"/>
          <w:spacing w:val="-9"/>
          <w:sz w:val="20"/>
          <w:szCs w:val="20"/>
          <w:lang w:val="en-US"/>
        </w:rPr>
        <w:t xml:space="preserve"> </w:t>
      </w:r>
      <w:r w:rsidRPr="004D2D14">
        <w:rPr>
          <w:rFonts w:asciiTheme="majorHAnsi" w:hAnsiTheme="majorHAnsi"/>
          <w:sz w:val="20"/>
          <w:szCs w:val="20"/>
          <w:lang w:val="en-US"/>
        </w:rPr>
        <w:t>–</w:t>
      </w:r>
    </w:p>
    <w:p w14:paraId="1CC4EB2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що містить перелік характеристик, для яких</w:t>
      </w:r>
      <w:r w:rsidRPr="000977F7">
        <w:rPr>
          <w:rFonts w:asciiTheme="majorHAnsi" w:hAnsiTheme="majorHAnsi"/>
          <w:spacing w:val="-47"/>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інші</w:t>
      </w:r>
      <w:r w:rsidRPr="000977F7">
        <w:rPr>
          <w:rFonts w:asciiTheme="majorHAnsi" w:hAnsiTheme="majorHAnsi"/>
          <w:spacing w:val="1"/>
          <w:sz w:val="20"/>
          <w:szCs w:val="20"/>
        </w:rPr>
        <w:t xml:space="preserve"> </w:t>
      </w:r>
      <w:r w:rsidRPr="000977F7">
        <w:rPr>
          <w:rFonts w:asciiTheme="majorHAnsi" w:hAnsiTheme="majorHAnsi"/>
          <w:sz w:val="20"/>
          <w:szCs w:val="20"/>
        </w:rPr>
        <w:t>дані</w:t>
      </w:r>
      <w:r w:rsidRPr="000977F7">
        <w:rPr>
          <w:rFonts w:asciiTheme="majorHAnsi" w:hAnsiTheme="majorHAnsi"/>
          <w:spacing w:val="1"/>
          <w:sz w:val="20"/>
          <w:szCs w:val="20"/>
        </w:rPr>
        <w:t xml:space="preserve"> </w:t>
      </w:r>
      <w:r w:rsidRPr="000977F7">
        <w:rPr>
          <w:rFonts w:asciiTheme="majorHAnsi" w:hAnsiTheme="majorHAnsi"/>
          <w:sz w:val="20"/>
          <w:szCs w:val="20"/>
        </w:rPr>
        <w:t>встановлюються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47"/>
          <w:sz w:val="20"/>
          <w:szCs w:val="20"/>
        </w:rPr>
        <w:t xml:space="preserve"> </w:t>
      </w:r>
      <w:r w:rsidRPr="000977F7">
        <w:rPr>
          <w:rFonts w:asciiTheme="majorHAnsi" w:hAnsiTheme="majorHAnsi"/>
          <w:sz w:val="20"/>
          <w:szCs w:val="20"/>
        </w:rPr>
        <w:t>процесу</w:t>
      </w:r>
      <w:r w:rsidRPr="000977F7">
        <w:rPr>
          <w:rFonts w:asciiTheme="majorHAnsi" w:hAnsiTheme="majorHAnsi"/>
          <w:spacing w:val="-11"/>
          <w:sz w:val="20"/>
          <w:szCs w:val="20"/>
        </w:rPr>
        <w:t xml:space="preserve"> </w:t>
      </w:r>
      <w:r w:rsidRPr="000977F7">
        <w:rPr>
          <w:rFonts w:asciiTheme="majorHAnsi" w:hAnsiTheme="majorHAnsi"/>
          <w:sz w:val="20"/>
          <w:szCs w:val="20"/>
        </w:rPr>
        <w:t>чи</w:t>
      </w:r>
      <w:r w:rsidRPr="000977F7">
        <w:rPr>
          <w:rFonts w:asciiTheme="majorHAnsi" w:hAnsiTheme="majorHAnsi"/>
          <w:spacing w:val="-8"/>
          <w:sz w:val="20"/>
          <w:szCs w:val="20"/>
        </w:rPr>
        <w:t xml:space="preserve"> </w:t>
      </w:r>
      <w:r w:rsidRPr="000977F7">
        <w:rPr>
          <w:rFonts w:asciiTheme="majorHAnsi" w:hAnsiTheme="majorHAnsi"/>
          <w:sz w:val="20"/>
          <w:szCs w:val="20"/>
        </w:rPr>
        <w:t>послуги</w:t>
      </w:r>
      <w:r w:rsidRPr="000977F7">
        <w:rPr>
          <w:rFonts w:asciiTheme="majorHAnsi" w:hAnsiTheme="majorHAnsi"/>
          <w:spacing w:val="-9"/>
          <w:sz w:val="20"/>
          <w:szCs w:val="20"/>
        </w:rPr>
        <w:t xml:space="preserve"> </w:t>
      </w:r>
      <w:r w:rsidRPr="000977F7">
        <w:rPr>
          <w:rFonts w:asciiTheme="majorHAnsi" w:hAnsiTheme="majorHAnsi"/>
          <w:sz w:val="20"/>
          <w:szCs w:val="20"/>
        </w:rPr>
        <w:t>в</w:t>
      </w:r>
      <w:r w:rsidRPr="000977F7">
        <w:rPr>
          <w:rFonts w:asciiTheme="majorHAnsi" w:hAnsiTheme="majorHAnsi"/>
          <w:spacing w:val="-6"/>
          <w:sz w:val="20"/>
          <w:szCs w:val="20"/>
        </w:rPr>
        <w:t xml:space="preserve"> </w:t>
      </w:r>
      <w:r w:rsidRPr="000977F7">
        <w:rPr>
          <w:rFonts w:asciiTheme="majorHAnsi" w:hAnsiTheme="majorHAnsi"/>
          <w:sz w:val="20"/>
          <w:szCs w:val="20"/>
        </w:rPr>
        <w:t>кожному</w:t>
      </w:r>
      <w:r w:rsidRPr="000977F7">
        <w:rPr>
          <w:rFonts w:asciiTheme="majorHAnsi" w:hAnsiTheme="majorHAnsi"/>
          <w:spacing w:val="-11"/>
          <w:sz w:val="20"/>
          <w:szCs w:val="20"/>
        </w:rPr>
        <w:t xml:space="preserve"> </w:t>
      </w:r>
      <w:r w:rsidRPr="000977F7">
        <w:rPr>
          <w:rFonts w:asciiTheme="majorHAnsi" w:hAnsiTheme="majorHAnsi"/>
          <w:sz w:val="20"/>
          <w:szCs w:val="20"/>
        </w:rPr>
        <w:t>випадку</w:t>
      </w:r>
      <w:r w:rsidRPr="000977F7">
        <w:rPr>
          <w:rFonts w:asciiTheme="majorHAnsi" w:hAnsiTheme="majorHAnsi"/>
          <w:spacing w:val="-9"/>
          <w:sz w:val="20"/>
          <w:szCs w:val="20"/>
        </w:rPr>
        <w:t xml:space="preserve"> </w:t>
      </w:r>
      <w:r w:rsidRPr="000977F7">
        <w:rPr>
          <w:rFonts w:asciiTheme="majorHAnsi" w:hAnsiTheme="majorHAnsi"/>
          <w:sz w:val="20"/>
          <w:szCs w:val="20"/>
        </w:rPr>
        <w:t>окремо</w:t>
      </w:r>
    </w:p>
    <w:p w14:paraId="497DA99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6"/>
          <w:sz w:val="20"/>
          <w:szCs w:val="20"/>
        </w:rPr>
        <w:t xml:space="preserve"> </w:t>
      </w:r>
      <w:r w:rsidRPr="000977F7">
        <w:rPr>
          <w:rFonts w:asciiTheme="majorHAnsi" w:hAnsiTheme="majorHAnsi"/>
          <w:sz w:val="20"/>
          <w:szCs w:val="20"/>
        </w:rPr>
        <w:t>р</w:t>
      </w:r>
      <w:r w:rsidRPr="000977F7">
        <w:rPr>
          <w:rFonts w:asciiTheme="majorHAnsi" w:hAnsiTheme="majorHAnsi"/>
          <w:spacing w:val="-5"/>
          <w:sz w:val="20"/>
          <w:szCs w:val="20"/>
        </w:rPr>
        <w:t xml:space="preserve"> </w:t>
      </w:r>
      <w:r w:rsidRPr="000977F7">
        <w:rPr>
          <w:rFonts w:asciiTheme="majorHAnsi" w:hAnsiTheme="majorHAnsi"/>
          <w:sz w:val="20"/>
          <w:szCs w:val="20"/>
        </w:rPr>
        <w:t>и</w:t>
      </w:r>
      <w:r w:rsidRPr="000977F7">
        <w:rPr>
          <w:rFonts w:asciiTheme="majorHAnsi" w:hAnsiTheme="majorHAnsi"/>
          <w:spacing w:val="-6"/>
          <w:sz w:val="20"/>
          <w:szCs w:val="20"/>
        </w:rPr>
        <w:t xml:space="preserve"> </w:t>
      </w:r>
      <w:r w:rsidRPr="000977F7">
        <w:rPr>
          <w:rFonts w:asciiTheme="majorHAnsi" w:hAnsiTheme="majorHAnsi"/>
          <w:sz w:val="20"/>
          <w:szCs w:val="20"/>
        </w:rPr>
        <w:t>м</w:t>
      </w:r>
      <w:r w:rsidRPr="000977F7">
        <w:rPr>
          <w:rFonts w:asciiTheme="majorHAnsi" w:hAnsiTheme="majorHAnsi"/>
          <w:spacing w:val="-5"/>
          <w:sz w:val="20"/>
          <w:szCs w:val="20"/>
        </w:rPr>
        <w:t xml:space="preserve"> </w:t>
      </w:r>
      <w:r w:rsidRPr="000977F7">
        <w:rPr>
          <w:rFonts w:asciiTheme="majorHAnsi" w:hAnsiTheme="majorHAnsi"/>
          <w:sz w:val="20"/>
          <w:szCs w:val="20"/>
        </w:rPr>
        <w:t>і</w:t>
      </w:r>
      <w:r w:rsidRPr="000977F7">
        <w:rPr>
          <w:rFonts w:asciiTheme="majorHAnsi" w:hAnsiTheme="majorHAnsi"/>
          <w:spacing w:val="-4"/>
          <w:sz w:val="20"/>
          <w:szCs w:val="20"/>
        </w:rPr>
        <w:t xml:space="preserve"> </w:t>
      </w:r>
      <w:r w:rsidRPr="000977F7">
        <w:rPr>
          <w:rFonts w:asciiTheme="majorHAnsi" w:hAnsiTheme="majorHAnsi"/>
          <w:sz w:val="20"/>
          <w:szCs w:val="20"/>
        </w:rPr>
        <w:t>т</w:t>
      </w:r>
      <w:r w:rsidRPr="000977F7">
        <w:rPr>
          <w:rFonts w:asciiTheme="majorHAnsi" w:hAnsiTheme="majorHAnsi"/>
          <w:spacing w:val="-5"/>
          <w:sz w:val="20"/>
          <w:szCs w:val="20"/>
        </w:rPr>
        <w:t xml:space="preserve"> </w:t>
      </w:r>
      <w:r w:rsidRPr="000977F7">
        <w:rPr>
          <w:rFonts w:asciiTheme="majorHAnsi" w:hAnsiTheme="majorHAnsi"/>
          <w:sz w:val="20"/>
          <w:szCs w:val="20"/>
        </w:rPr>
        <w:t>к</w:t>
      </w:r>
      <w:r w:rsidRPr="000977F7">
        <w:rPr>
          <w:rFonts w:asciiTheme="majorHAnsi" w:hAnsiTheme="majorHAnsi"/>
          <w:spacing w:val="-4"/>
          <w:sz w:val="20"/>
          <w:szCs w:val="20"/>
        </w:rPr>
        <w:t xml:space="preserve"> </w:t>
      </w:r>
      <w:r w:rsidRPr="000977F7">
        <w:rPr>
          <w:rFonts w:asciiTheme="majorHAnsi" w:hAnsiTheme="majorHAnsi"/>
          <w:sz w:val="20"/>
          <w:szCs w:val="20"/>
        </w:rPr>
        <w:t>а:</w:t>
      </w:r>
    </w:p>
    <w:p w14:paraId="74E07DDD"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деяких</w:t>
      </w:r>
      <w:r w:rsidRPr="000977F7">
        <w:rPr>
          <w:rFonts w:asciiTheme="majorHAnsi" w:hAnsiTheme="majorHAnsi"/>
          <w:spacing w:val="-1"/>
          <w:sz w:val="20"/>
          <w:szCs w:val="20"/>
        </w:rPr>
        <w:t xml:space="preserve"> </w:t>
      </w:r>
      <w:r w:rsidRPr="000977F7">
        <w:rPr>
          <w:rFonts w:asciiTheme="majorHAnsi" w:hAnsiTheme="majorHAnsi"/>
          <w:sz w:val="20"/>
          <w:szCs w:val="20"/>
        </w:rPr>
        <w:t>стандартах,</w:t>
      </w:r>
      <w:r w:rsidRPr="000977F7">
        <w:rPr>
          <w:rFonts w:asciiTheme="majorHAnsi" w:hAnsiTheme="majorHAnsi"/>
          <w:spacing w:val="3"/>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звичайно,</w:t>
      </w:r>
      <w:r w:rsidRPr="000977F7">
        <w:rPr>
          <w:rFonts w:asciiTheme="majorHAnsi" w:hAnsiTheme="majorHAnsi"/>
          <w:spacing w:val="3"/>
          <w:sz w:val="20"/>
          <w:szCs w:val="20"/>
        </w:rPr>
        <w:t xml:space="preserve"> </w:t>
      </w:r>
      <w:r w:rsidRPr="000977F7">
        <w:rPr>
          <w:rFonts w:asciiTheme="majorHAnsi" w:hAnsiTheme="majorHAnsi"/>
          <w:sz w:val="20"/>
          <w:szCs w:val="20"/>
        </w:rPr>
        <w:t>передбачаються</w:t>
      </w:r>
      <w:r w:rsidRPr="000977F7">
        <w:rPr>
          <w:rFonts w:asciiTheme="majorHAnsi" w:hAnsiTheme="majorHAnsi"/>
          <w:spacing w:val="1"/>
          <w:sz w:val="20"/>
          <w:szCs w:val="20"/>
        </w:rPr>
        <w:t xml:space="preserve"> </w:t>
      </w:r>
      <w:r w:rsidRPr="000977F7">
        <w:rPr>
          <w:rFonts w:asciiTheme="majorHAnsi" w:hAnsiTheme="majorHAnsi"/>
          <w:sz w:val="20"/>
          <w:szCs w:val="20"/>
        </w:rPr>
        <w:t>да</w:t>
      </w:r>
      <w:r w:rsidRPr="000977F7">
        <w:rPr>
          <w:rFonts w:asciiTheme="majorHAnsi" w:hAnsiTheme="majorHAnsi"/>
          <w:spacing w:val="-1"/>
          <w:sz w:val="20"/>
          <w:szCs w:val="20"/>
        </w:rPr>
        <w:t>ні, зазначувані постачальником, в інших – споживачем</w:t>
      </w:r>
      <w:r w:rsidRPr="000977F7">
        <w:rPr>
          <w:rFonts w:asciiTheme="majorHAnsi" w:hAnsiTheme="majorHAnsi"/>
          <w:spacing w:val="-47"/>
          <w:sz w:val="20"/>
          <w:szCs w:val="20"/>
        </w:rPr>
        <w:t xml:space="preserve"> </w:t>
      </w:r>
    </w:p>
    <w:p w14:paraId="63499054"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ISO/IEC</w:t>
      </w:r>
      <w:r w:rsidRPr="000977F7">
        <w:rPr>
          <w:rFonts w:asciiTheme="majorHAnsi" w:hAnsiTheme="majorHAnsi"/>
          <w:i/>
          <w:spacing w:val="-32"/>
          <w:sz w:val="20"/>
          <w:szCs w:val="20"/>
        </w:rPr>
        <w:t xml:space="preserve"> </w:t>
      </w:r>
      <w:r w:rsidRPr="000977F7">
        <w:rPr>
          <w:rFonts w:asciiTheme="majorHAnsi" w:hAnsiTheme="majorHAnsi"/>
          <w:i/>
          <w:sz w:val="20"/>
          <w:szCs w:val="20"/>
        </w:rPr>
        <w:t>17000:2007</w:t>
      </w:r>
    </w:p>
    <w:p w14:paraId="1832C8E6" w14:textId="77777777" w:rsidR="0097612F" w:rsidRPr="000977F7" w:rsidRDefault="0097612F" w:rsidP="000977F7">
      <w:pPr>
        <w:pStyle w:val="7"/>
        <w:tabs>
          <w:tab w:val="left" w:pos="284"/>
        </w:tabs>
        <w:spacing w:before="0" w:line="240" w:lineRule="auto"/>
        <w:ind w:left="170"/>
        <w:mirrorIndents/>
        <w:jc w:val="both"/>
        <w:rPr>
          <w:color w:val="auto"/>
          <w:spacing w:val="-6"/>
          <w:sz w:val="20"/>
          <w:szCs w:val="20"/>
        </w:rPr>
      </w:pPr>
      <w:r w:rsidRPr="000977F7">
        <w:rPr>
          <w:color w:val="auto"/>
          <w:spacing w:val="-6"/>
          <w:sz w:val="20"/>
          <w:szCs w:val="20"/>
        </w:rPr>
        <w:t>СТАНДАРТ ЗАГАЛЬНИХ ТЕХНІЧНИХ УМОВ –</w:t>
      </w:r>
    </w:p>
    <w:p w14:paraId="6F51E5F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pacing w:val="-2"/>
          <w:sz w:val="20"/>
          <w:szCs w:val="20"/>
        </w:rPr>
        <w:t>GENERAL</w:t>
      </w:r>
      <w:r w:rsidRPr="004D2D14">
        <w:rPr>
          <w:rFonts w:asciiTheme="majorHAnsi" w:hAnsiTheme="majorHAnsi"/>
          <w:spacing w:val="-9"/>
          <w:sz w:val="20"/>
          <w:szCs w:val="20"/>
          <w:lang w:val="uk-UA"/>
        </w:rPr>
        <w:t xml:space="preserve"> </w:t>
      </w:r>
      <w:r w:rsidRPr="000977F7">
        <w:rPr>
          <w:rFonts w:asciiTheme="majorHAnsi" w:hAnsiTheme="majorHAnsi"/>
          <w:spacing w:val="-2"/>
          <w:sz w:val="20"/>
          <w:szCs w:val="20"/>
        </w:rPr>
        <w:t>TECHNICAL</w:t>
      </w:r>
      <w:r w:rsidRPr="004D2D14">
        <w:rPr>
          <w:rFonts w:asciiTheme="majorHAnsi" w:hAnsiTheme="majorHAnsi"/>
          <w:spacing w:val="-5"/>
          <w:sz w:val="20"/>
          <w:szCs w:val="20"/>
          <w:lang w:val="uk-UA"/>
        </w:rPr>
        <w:t xml:space="preserve"> </w:t>
      </w:r>
      <w:r w:rsidRPr="000977F7">
        <w:rPr>
          <w:rFonts w:asciiTheme="majorHAnsi" w:hAnsiTheme="majorHAnsi"/>
          <w:spacing w:val="-2"/>
          <w:sz w:val="20"/>
          <w:szCs w:val="20"/>
        </w:rPr>
        <w:t>SPECIFICATION</w:t>
      </w:r>
      <w:r w:rsidRPr="004D2D14">
        <w:rPr>
          <w:rFonts w:asciiTheme="majorHAnsi" w:hAnsiTheme="majorHAnsi"/>
          <w:spacing w:val="-4"/>
          <w:sz w:val="20"/>
          <w:szCs w:val="20"/>
          <w:lang w:val="uk-UA"/>
        </w:rPr>
        <w:t xml:space="preserve"> </w:t>
      </w:r>
      <w:r w:rsidRPr="004D2D14">
        <w:rPr>
          <w:rFonts w:asciiTheme="majorHAnsi" w:hAnsiTheme="majorHAnsi"/>
          <w:spacing w:val="-1"/>
          <w:sz w:val="20"/>
          <w:szCs w:val="20"/>
          <w:lang w:val="uk-UA"/>
        </w:rPr>
        <w:t>–</w:t>
      </w:r>
    </w:p>
    <w:p w14:paraId="33F0EADC"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4D2D14">
        <w:rPr>
          <w:rFonts w:asciiTheme="majorHAnsi" w:hAnsiTheme="majorHAnsi"/>
          <w:sz w:val="20"/>
          <w:szCs w:val="20"/>
          <w:lang w:val="uk-UA"/>
        </w:rPr>
        <w:t>Стандарт,</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встановлює</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всебічні</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технічні</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вимоги</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групи</w:t>
      </w:r>
      <w:r w:rsidRPr="004D2D14">
        <w:rPr>
          <w:rFonts w:asciiTheme="majorHAnsi" w:hAnsiTheme="majorHAnsi"/>
          <w:spacing w:val="14"/>
          <w:sz w:val="20"/>
          <w:szCs w:val="20"/>
          <w:lang w:val="uk-UA"/>
        </w:rPr>
        <w:t xml:space="preserve"> </w:t>
      </w:r>
      <w:r w:rsidRPr="004D2D14">
        <w:rPr>
          <w:rFonts w:asciiTheme="majorHAnsi" w:hAnsiTheme="majorHAnsi"/>
          <w:sz w:val="20"/>
          <w:szCs w:val="20"/>
          <w:lang w:val="uk-UA"/>
        </w:rPr>
        <w:t>однорідної</w:t>
      </w:r>
      <w:r w:rsidRPr="004D2D14">
        <w:rPr>
          <w:rFonts w:asciiTheme="majorHAnsi" w:hAnsiTheme="majorHAnsi"/>
          <w:spacing w:val="15"/>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15"/>
          <w:sz w:val="20"/>
          <w:szCs w:val="20"/>
          <w:lang w:val="uk-UA"/>
        </w:rPr>
        <w:t xml:space="preserve"> </w:t>
      </w:r>
      <w:r w:rsidRPr="004D2D14">
        <w:rPr>
          <w:rFonts w:asciiTheme="majorHAnsi" w:hAnsiTheme="majorHAnsi"/>
          <w:sz w:val="20"/>
          <w:szCs w:val="20"/>
          <w:lang w:val="uk-UA"/>
        </w:rPr>
        <w:t>при</w:t>
      </w:r>
      <w:r w:rsidRPr="004D2D14">
        <w:rPr>
          <w:rFonts w:asciiTheme="majorHAnsi" w:hAnsiTheme="majorHAnsi"/>
          <w:spacing w:val="17"/>
          <w:sz w:val="20"/>
          <w:szCs w:val="20"/>
          <w:lang w:val="uk-UA"/>
        </w:rPr>
        <w:t xml:space="preserve"> </w:t>
      </w:r>
      <w:r w:rsidRPr="004D2D14">
        <w:rPr>
          <w:rFonts w:asciiTheme="majorHAnsi" w:hAnsiTheme="majorHAnsi"/>
          <w:sz w:val="20"/>
          <w:szCs w:val="20"/>
          <w:lang w:val="uk-UA"/>
        </w:rPr>
        <w:t>умові,</w:t>
      </w:r>
      <w:r w:rsidRPr="004D2D14">
        <w:rPr>
          <w:rFonts w:asciiTheme="majorHAnsi" w:hAnsiTheme="majorHAnsi"/>
          <w:spacing w:val="15"/>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7"/>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7"/>
          <w:sz w:val="20"/>
          <w:szCs w:val="20"/>
          <w:lang w:val="uk-UA"/>
        </w:rPr>
        <w:t xml:space="preserve"> </w:t>
      </w:r>
      <w:r w:rsidRPr="004D2D14">
        <w:rPr>
          <w:rFonts w:asciiTheme="majorHAnsi" w:hAnsiTheme="majorHAnsi"/>
          <w:sz w:val="20"/>
          <w:szCs w:val="20"/>
          <w:lang w:val="uk-UA"/>
        </w:rPr>
        <w:t>повної</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характеристики</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частин</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цієї</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будуть</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розроблятися стандарти, що доповнюють ці вимоги</w:t>
      </w:r>
    </w:p>
    <w:p w14:paraId="3C6ECC91"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2"/>
          <w:sz w:val="20"/>
          <w:szCs w:val="20"/>
        </w:rPr>
      </w:pPr>
      <w:r w:rsidRPr="000977F7">
        <w:rPr>
          <w:rFonts w:asciiTheme="majorHAnsi" w:hAnsiTheme="majorHAnsi"/>
          <w:b/>
          <w:spacing w:val="-2"/>
          <w:sz w:val="20"/>
          <w:szCs w:val="20"/>
        </w:rPr>
        <w:t xml:space="preserve">СТАНДАРТ АДМІНІСТРАТИВНО – </w:t>
      </w:r>
    </w:p>
    <w:p w14:paraId="01AABDEE"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pacing w:val="-2"/>
          <w:sz w:val="20"/>
          <w:szCs w:val="20"/>
        </w:rPr>
        <w:t>ТЕРИТОРІА</w:t>
      </w:r>
      <w:r w:rsidRPr="000977F7">
        <w:rPr>
          <w:rFonts w:asciiTheme="majorHAnsi" w:hAnsiTheme="majorHAnsi"/>
          <w:b/>
          <w:sz w:val="20"/>
          <w:szCs w:val="20"/>
        </w:rPr>
        <w:t>ЛЬНОЇ</w:t>
      </w:r>
      <w:r w:rsidRPr="000977F7">
        <w:rPr>
          <w:rFonts w:asciiTheme="majorHAnsi" w:hAnsiTheme="majorHAnsi"/>
          <w:b/>
          <w:spacing w:val="-7"/>
          <w:sz w:val="20"/>
          <w:szCs w:val="20"/>
        </w:rPr>
        <w:t xml:space="preserve"> </w:t>
      </w:r>
      <w:r w:rsidRPr="000977F7">
        <w:rPr>
          <w:rFonts w:asciiTheme="majorHAnsi" w:hAnsiTheme="majorHAnsi"/>
          <w:b/>
          <w:sz w:val="20"/>
          <w:szCs w:val="20"/>
        </w:rPr>
        <w:t>ОДИНИЦІ</w:t>
      </w:r>
      <w:r w:rsidRPr="000977F7">
        <w:rPr>
          <w:rFonts w:asciiTheme="majorHAnsi" w:hAnsiTheme="majorHAnsi"/>
          <w:b/>
          <w:spacing w:val="-5"/>
          <w:sz w:val="20"/>
          <w:szCs w:val="20"/>
        </w:rPr>
        <w:t xml:space="preserve"> </w:t>
      </w:r>
      <w:r w:rsidRPr="000977F7">
        <w:rPr>
          <w:rFonts w:asciiTheme="majorHAnsi" w:hAnsiTheme="majorHAnsi"/>
          <w:b/>
          <w:sz w:val="20"/>
          <w:szCs w:val="20"/>
        </w:rPr>
        <w:t>–</w:t>
      </w:r>
    </w:p>
    <w:p w14:paraId="0E45127B" w14:textId="77777777" w:rsidR="0097612F" w:rsidRPr="000977F7" w:rsidRDefault="0097612F" w:rsidP="000977F7">
      <w:pPr>
        <w:pStyle w:val="af6"/>
        <w:tabs>
          <w:tab w:val="left" w:pos="284"/>
        </w:tabs>
        <w:spacing w:after="0"/>
        <w:ind w:left="170"/>
        <w:mirrorIndents/>
        <w:jc w:val="both"/>
        <w:rPr>
          <w:rFonts w:asciiTheme="majorHAnsi" w:hAnsiTheme="majorHAnsi"/>
          <w:spacing w:val="-4"/>
          <w:w w:val="95"/>
          <w:sz w:val="20"/>
          <w:szCs w:val="20"/>
        </w:rPr>
      </w:pPr>
      <w:r w:rsidRPr="000977F7">
        <w:rPr>
          <w:rFonts w:asciiTheme="majorHAnsi" w:hAnsiTheme="majorHAnsi"/>
          <w:spacing w:val="-13"/>
          <w:sz w:val="20"/>
          <w:szCs w:val="20"/>
        </w:rPr>
        <w:t>Стандарт,</w:t>
      </w:r>
      <w:r w:rsidRPr="000977F7">
        <w:rPr>
          <w:rFonts w:asciiTheme="majorHAnsi" w:hAnsiTheme="majorHAnsi"/>
          <w:spacing w:val="-14"/>
          <w:sz w:val="20"/>
          <w:szCs w:val="20"/>
        </w:rPr>
        <w:t xml:space="preserve"> </w:t>
      </w:r>
      <w:r w:rsidRPr="000977F7">
        <w:rPr>
          <w:rFonts w:asciiTheme="majorHAnsi" w:hAnsiTheme="majorHAnsi"/>
          <w:spacing w:val="-13"/>
          <w:sz w:val="20"/>
          <w:szCs w:val="20"/>
        </w:rPr>
        <w:t>прийнятий</w:t>
      </w:r>
      <w:r w:rsidRPr="000977F7">
        <w:rPr>
          <w:rFonts w:asciiTheme="majorHAnsi" w:hAnsiTheme="majorHAnsi"/>
          <w:spacing w:val="-16"/>
          <w:sz w:val="20"/>
          <w:szCs w:val="20"/>
        </w:rPr>
        <w:t xml:space="preserve"> </w:t>
      </w:r>
      <w:r w:rsidRPr="000977F7">
        <w:rPr>
          <w:rFonts w:asciiTheme="majorHAnsi" w:hAnsiTheme="majorHAnsi"/>
          <w:spacing w:val="-8"/>
          <w:sz w:val="20"/>
          <w:szCs w:val="20"/>
        </w:rPr>
        <w:t>на</w:t>
      </w:r>
      <w:r w:rsidRPr="000977F7">
        <w:rPr>
          <w:rFonts w:asciiTheme="majorHAnsi" w:hAnsiTheme="majorHAnsi"/>
          <w:spacing w:val="-16"/>
          <w:sz w:val="20"/>
          <w:szCs w:val="20"/>
        </w:rPr>
        <w:t xml:space="preserve"> </w:t>
      </w:r>
      <w:r w:rsidRPr="000977F7">
        <w:rPr>
          <w:rFonts w:asciiTheme="majorHAnsi" w:hAnsiTheme="majorHAnsi"/>
          <w:spacing w:val="-12"/>
          <w:sz w:val="20"/>
          <w:szCs w:val="20"/>
        </w:rPr>
        <w:t>рівні</w:t>
      </w:r>
      <w:r w:rsidRPr="000977F7">
        <w:rPr>
          <w:rFonts w:asciiTheme="majorHAnsi" w:hAnsiTheme="majorHAnsi"/>
          <w:spacing w:val="-17"/>
          <w:sz w:val="20"/>
          <w:szCs w:val="20"/>
        </w:rPr>
        <w:t xml:space="preserve"> </w:t>
      </w:r>
      <w:r w:rsidRPr="000977F7">
        <w:rPr>
          <w:rFonts w:asciiTheme="majorHAnsi" w:hAnsiTheme="majorHAnsi"/>
          <w:spacing w:val="-12"/>
          <w:sz w:val="20"/>
          <w:szCs w:val="20"/>
        </w:rPr>
        <w:t>однієї</w:t>
      </w:r>
      <w:r w:rsidRPr="000977F7">
        <w:rPr>
          <w:rFonts w:asciiTheme="majorHAnsi" w:hAnsiTheme="majorHAnsi"/>
          <w:spacing w:val="-16"/>
          <w:sz w:val="20"/>
          <w:szCs w:val="20"/>
        </w:rPr>
        <w:t xml:space="preserve"> </w:t>
      </w:r>
      <w:r w:rsidRPr="000977F7">
        <w:rPr>
          <w:rFonts w:asciiTheme="majorHAnsi" w:hAnsiTheme="majorHAnsi"/>
          <w:spacing w:val="-14"/>
          <w:sz w:val="20"/>
          <w:szCs w:val="20"/>
        </w:rPr>
        <w:t>адміністративно</w:t>
      </w:r>
      <w:r w:rsidRPr="000977F7">
        <w:rPr>
          <w:rFonts w:asciiTheme="majorHAnsi" w:hAnsiTheme="majorHAnsi"/>
          <w:spacing w:val="-13"/>
          <w:sz w:val="20"/>
          <w:szCs w:val="20"/>
        </w:rPr>
        <w:t xml:space="preserve"> </w:t>
      </w:r>
      <w:r w:rsidRPr="000977F7">
        <w:rPr>
          <w:rFonts w:asciiTheme="majorHAnsi" w:hAnsiTheme="majorHAnsi"/>
          <w:spacing w:val="-15"/>
          <w:sz w:val="20"/>
          <w:szCs w:val="20"/>
        </w:rPr>
        <w:t>територі</w:t>
      </w:r>
      <w:r w:rsidRPr="000977F7">
        <w:rPr>
          <w:rFonts w:asciiTheme="majorHAnsi" w:hAnsiTheme="majorHAnsi"/>
          <w:spacing w:val="-6"/>
          <w:w w:val="95"/>
          <w:sz w:val="20"/>
          <w:szCs w:val="20"/>
        </w:rPr>
        <w:t>альної</w:t>
      </w:r>
      <w:r w:rsidRPr="000977F7">
        <w:rPr>
          <w:rFonts w:asciiTheme="majorHAnsi" w:hAnsiTheme="majorHAnsi"/>
          <w:spacing w:val="-21"/>
          <w:w w:val="95"/>
          <w:sz w:val="20"/>
          <w:szCs w:val="20"/>
        </w:rPr>
        <w:t xml:space="preserve"> </w:t>
      </w:r>
      <w:r w:rsidRPr="000977F7">
        <w:rPr>
          <w:rFonts w:asciiTheme="majorHAnsi" w:hAnsiTheme="majorHAnsi"/>
          <w:spacing w:val="-6"/>
          <w:w w:val="95"/>
          <w:sz w:val="20"/>
          <w:szCs w:val="20"/>
        </w:rPr>
        <w:t>одиниці</w:t>
      </w:r>
      <w:r w:rsidRPr="000977F7">
        <w:rPr>
          <w:rFonts w:asciiTheme="majorHAnsi" w:hAnsiTheme="majorHAnsi"/>
          <w:spacing w:val="-19"/>
          <w:w w:val="95"/>
          <w:sz w:val="20"/>
          <w:szCs w:val="20"/>
        </w:rPr>
        <w:t xml:space="preserve"> </w:t>
      </w:r>
      <w:r w:rsidRPr="000977F7">
        <w:rPr>
          <w:rFonts w:asciiTheme="majorHAnsi" w:hAnsiTheme="majorHAnsi"/>
          <w:spacing w:val="-6"/>
          <w:w w:val="95"/>
          <w:sz w:val="20"/>
          <w:szCs w:val="20"/>
        </w:rPr>
        <w:t>країни</w:t>
      </w:r>
      <w:r w:rsidRPr="000977F7">
        <w:rPr>
          <w:rFonts w:asciiTheme="majorHAnsi" w:hAnsiTheme="majorHAnsi"/>
          <w:spacing w:val="-22"/>
          <w:w w:val="95"/>
          <w:sz w:val="20"/>
          <w:szCs w:val="20"/>
        </w:rPr>
        <w:t xml:space="preserve"> </w:t>
      </w:r>
      <w:r w:rsidRPr="000977F7">
        <w:rPr>
          <w:rFonts w:asciiTheme="majorHAnsi" w:hAnsiTheme="majorHAnsi"/>
          <w:spacing w:val="-6"/>
          <w:w w:val="95"/>
          <w:sz w:val="20"/>
          <w:szCs w:val="20"/>
        </w:rPr>
        <w:t>і</w:t>
      </w:r>
      <w:r w:rsidRPr="000977F7">
        <w:rPr>
          <w:rFonts w:asciiTheme="majorHAnsi" w:hAnsiTheme="majorHAnsi"/>
          <w:spacing w:val="-21"/>
          <w:w w:val="95"/>
          <w:sz w:val="20"/>
          <w:szCs w:val="20"/>
        </w:rPr>
        <w:t xml:space="preserve"> </w:t>
      </w:r>
      <w:r w:rsidRPr="000977F7">
        <w:rPr>
          <w:rFonts w:asciiTheme="majorHAnsi" w:hAnsiTheme="majorHAnsi"/>
          <w:spacing w:val="-6"/>
          <w:w w:val="95"/>
          <w:sz w:val="20"/>
          <w:szCs w:val="20"/>
        </w:rPr>
        <w:t>доступний</w:t>
      </w:r>
      <w:r w:rsidRPr="000977F7">
        <w:rPr>
          <w:rFonts w:asciiTheme="majorHAnsi" w:hAnsiTheme="majorHAnsi"/>
          <w:spacing w:val="-22"/>
          <w:w w:val="95"/>
          <w:sz w:val="20"/>
          <w:szCs w:val="20"/>
        </w:rPr>
        <w:t xml:space="preserve"> </w:t>
      </w:r>
      <w:r w:rsidRPr="000977F7">
        <w:rPr>
          <w:rFonts w:asciiTheme="majorHAnsi" w:hAnsiTheme="majorHAnsi"/>
          <w:spacing w:val="-5"/>
          <w:w w:val="95"/>
          <w:sz w:val="20"/>
          <w:szCs w:val="20"/>
        </w:rPr>
        <w:t>широкому</w:t>
      </w:r>
      <w:r w:rsidRPr="000977F7">
        <w:rPr>
          <w:rFonts w:asciiTheme="majorHAnsi" w:hAnsiTheme="majorHAnsi"/>
          <w:spacing w:val="-25"/>
          <w:w w:val="95"/>
          <w:sz w:val="20"/>
          <w:szCs w:val="20"/>
        </w:rPr>
        <w:t xml:space="preserve"> </w:t>
      </w:r>
      <w:r w:rsidRPr="000977F7">
        <w:rPr>
          <w:rFonts w:asciiTheme="majorHAnsi" w:hAnsiTheme="majorHAnsi"/>
          <w:spacing w:val="-5"/>
          <w:w w:val="95"/>
          <w:sz w:val="20"/>
          <w:szCs w:val="20"/>
        </w:rPr>
        <w:t>колу</w:t>
      </w:r>
      <w:r w:rsidRPr="000977F7">
        <w:rPr>
          <w:rFonts w:asciiTheme="majorHAnsi" w:hAnsiTheme="majorHAnsi"/>
          <w:spacing w:val="-25"/>
          <w:w w:val="95"/>
          <w:sz w:val="20"/>
          <w:szCs w:val="20"/>
        </w:rPr>
        <w:t xml:space="preserve"> </w:t>
      </w:r>
      <w:r w:rsidRPr="000977F7">
        <w:rPr>
          <w:rFonts w:asciiTheme="majorHAnsi" w:hAnsiTheme="majorHAnsi"/>
          <w:spacing w:val="-5"/>
          <w:w w:val="95"/>
          <w:sz w:val="20"/>
          <w:szCs w:val="20"/>
        </w:rPr>
        <w:t>споживачів</w:t>
      </w:r>
      <w:r w:rsidRPr="000977F7">
        <w:rPr>
          <w:rFonts w:asciiTheme="majorHAnsi" w:hAnsiTheme="majorHAnsi"/>
          <w:spacing w:val="-4"/>
          <w:w w:val="95"/>
          <w:sz w:val="20"/>
          <w:szCs w:val="20"/>
        </w:rPr>
        <w:t xml:space="preserve"> </w:t>
      </w:r>
    </w:p>
    <w:p w14:paraId="0AE2A2F3"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0977F7">
        <w:rPr>
          <w:rFonts w:asciiTheme="majorHAnsi" w:hAnsiTheme="majorHAnsi"/>
          <w:b/>
          <w:sz w:val="20"/>
          <w:szCs w:val="20"/>
        </w:rPr>
        <w:lastRenderedPageBreak/>
        <w:t>СТАНДАРТ</w:t>
      </w:r>
      <w:r w:rsidRPr="004D2D14">
        <w:rPr>
          <w:rFonts w:asciiTheme="majorHAnsi" w:hAnsiTheme="majorHAnsi"/>
          <w:b/>
          <w:spacing w:val="-7"/>
          <w:sz w:val="20"/>
          <w:szCs w:val="20"/>
          <w:lang w:val="en-US"/>
        </w:rPr>
        <w:t xml:space="preserve"> </w:t>
      </w:r>
      <w:r w:rsidRPr="000977F7">
        <w:rPr>
          <w:rFonts w:asciiTheme="majorHAnsi" w:hAnsiTheme="majorHAnsi"/>
          <w:b/>
          <w:sz w:val="20"/>
          <w:szCs w:val="20"/>
        </w:rPr>
        <w:t>ЗБЕРІГАННЯ</w:t>
      </w:r>
      <w:r w:rsidRPr="004D2D14">
        <w:rPr>
          <w:rFonts w:asciiTheme="majorHAnsi" w:hAnsiTheme="majorHAnsi"/>
          <w:b/>
          <w:spacing w:val="-2"/>
          <w:sz w:val="20"/>
          <w:szCs w:val="20"/>
          <w:lang w:val="en-US"/>
        </w:rPr>
        <w:t xml:space="preserve"> </w:t>
      </w:r>
      <w:r w:rsidRPr="004D2D14">
        <w:rPr>
          <w:rFonts w:asciiTheme="majorHAnsi" w:hAnsiTheme="majorHAnsi"/>
          <w:b/>
          <w:sz w:val="20"/>
          <w:szCs w:val="20"/>
          <w:lang w:val="en-US"/>
        </w:rPr>
        <w:t>–</w:t>
      </w:r>
    </w:p>
    <w:p w14:paraId="3391F97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pacing w:val="-1"/>
          <w:sz w:val="20"/>
          <w:szCs w:val="20"/>
          <w:lang w:val="en-US"/>
        </w:rPr>
        <w:t>STANDARD</w:t>
      </w:r>
      <w:r w:rsidRPr="004D2D14">
        <w:rPr>
          <w:rFonts w:asciiTheme="majorHAnsi" w:hAnsiTheme="majorHAnsi"/>
          <w:spacing w:val="-12"/>
          <w:sz w:val="20"/>
          <w:szCs w:val="20"/>
          <w:lang w:val="en-US"/>
        </w:rPr>
        <w:t xml:space="preserve"> </w:t>
      </w:r>
      <w:r w:rsidRPr="004D2D14">
        <w:rPr>
          <w:rFonts w:asciiTheme="majorHAnsi" w:hAnsiTheme="majorHAnsi"/>
          <w:sz w:val="20"/>
          <w:szCs w:val="20"/>
          <w:lang w:val="en-US"/>
        </w:rPr>
        <w:t>ON</w:t>
      </w:r>
      <w:r w:rsidRPr="004D2D14">
        <w:rPr>
          <w:rFonts w:asciiTheme="majorHAnsi" w:hAnsiTheme="majorHAnsi"/>
          <w:spacing w:val="-10"/>
          <w:sz w:val="20"/>
          <w:szCs w:val="20"/>
          <w:lang w:val="en-US"/>
        </w:rPr>
        <w:t xml:space="preserve"> </w:t>
      </w:r>
      <w:r w:rsidRPr="004D2D14">
        <w:rPr>
          <w:rFonts w:asciiTheme="majorHAnsi" w:hAnsiTheme="majorHAnsi"/>
          <w:sz w:val="20"/>
          <w:szCs w:val="20"/>
          <w:lang w:val="en-US"/>
        </w:rPr>
        <w:t>STORAGE</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w:t>
      </w:r>
    </w:p>
    <w:p w14:paraId="021C95D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Стандарт</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встановлює</w:t>
      </w:r>
      <w:r w:rsidRPr="004D2D14">
        <w:rPr>
          <w:rFonts w:asciiTheme="majorHAnsi" w:hAnsiTheme="majorHAnsi"/>
          <w:sz w:val="20"/>
          <w:szCs w:val="20"/>
          <w:lang w:val="en-US"/>
        </w:rPr>
        <w:t xml:space="preserve"> </w:t>
      </w:r>
      <w:r w:rsidRPr="000977F7">
        <w:rPr>
          <w:rFonts w:asciiTheme="majorHAnsi" w:hAnsiTheme="majorHAnsi"/>
          <w:sz w:val="20"/>
          <w:szCs w:val="20"/>
        </w:rPr>
        <w:t>умови</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допустимі</w:t>
      </w:r>
      <w:r w:rsidRPr="004D2D14">
        <w:rPr>
          <w:rFonts w:asciiTheme="majorHAnsi" w:hAnsiTheme="majorHAnsi"/>
          <w:sz w:val="20"/>
          <w:szCs w:val="20"/>
          <w:lang w:val="en-US"/>
        </w:rPr>
        <w:t xml:space="preserve"> </w:t>
      </w:r>
      <w:r w:rsidRPr="000977F7">
        <w:rPr>
          <w:rFonts w:asciiTheme="majorHAnsi" w:hAnsiTheme="majorHAnsi"/>
          <w:sz w:val="20"/>
          <w:szCs w:val="20"/>
        </w:rPr>
        <w:t>терміни</w:t>
      </w:r>
      <w:r w:rsidRPr="004D2D14">
        <w:rPr>
          <w:rFonts w:asciiTheme="majorHAnsi" w:hAnsiTheme="majorHAnsi"/>
          <w:spacing w:val="1"/>
          <w:sz w:val="20"/>
          <w:szCs w:val="20"/>
          <w:lang w:val="en-US"/>
        </w:rPr>
        <w:t xml:space="preserve"> </w:t>
      </w:r>
      <w:r w:rsidRPr="000977F7">
        <w:rPr>
          <w:rFonts w:asciiTheme="majorHAnsi" w:hAnsiTheme="majorHAnsi"/>
          <w:spacing w:val="-2"/>
          <w:sz w:val="20"/>
          <w:szCs w:val="20"/>
        </w:rPr>
        <w:t>зберігання</w:t>
      </w:r>
      <w:r w:rsidRPr="004D2D14">
        <w:rPr>
          <w:rFonts w:asciiTheme="majorHAnsi" w:hAnsiTheme="majorHAnsi"/>
          <w:spacing w:val="-9"/>
          <w:sz w:val="20"/>
          <w:szCs w:val="20"/>
          <w:lang w:val="en-US"/>
        </w:rPr>
        <w:t xml:space="preserve"> </w:t>
      </w:r>
      <w:r w:rsidRPr="000977F7">
        <w:rPr>
          <w:rFonts w:asciiTheme="majorHAnsi" w:hAnsiTheme="majorHAnsi"/>
          <w:spacing w:val="-2"/>
          <w:sz w:val="20"/>
          <w:szCs w:val="20"/>
        </w:rPr>
        <w:t>продукції</w:t>
      </w:r>
      <w:r w:rsidRPr="004D2D14">
        <w:rPr>
          <w:rFonts w:asciiTheme="majorHAnsi" w:hAnsiTheme="majorHAnsi"/>
          <w:spacing w:val="-2"/>
          <w:sz w:val="20"/>
          <w:szCs w:val="20"/>
          <w:lang w:val="en-US"/>
        </w:rPr>
        <w:t>,</w:t>
      </w:r>
      <w:r w:rsidRPr="004D2D14">
        <w:rPr>
          <w:rFonts w:asciiTheme="majorHAnsi" w:hAnsiTheme="majorHAnsi"/>
          <w:spacing w:val="-8"/>
          <w:sz w:val="20"/>
          <w:szCs w:val="20"/>
          <w:lang w:val="en-US"/>
        </w:rPr>
        <w:t xml:space="preserve"> </w:t>
      </w:r>
      <w:r w:rsidRPr="000977F7">
        <w:rPr>
          <w:rFonts w:asciiTheme="majorHAnsi" w:hAnsiTheme="majorHAnsi"/>
          <w:spacing w:val="-1"/>
          <w:sz w:val="20"/>
          <w:szCs w:val="20"/>
        </w:rPr>
        <w:t>температурний</w:t>
      </w:r>
      <w:r w:rsidRPr="004D2D14">
        <w:rPr>
          <w:rFonts w:asciiTheme="majorHAnsi" w:hAnsiTheme="majorHAnsi"/>
          <w:spacing w:val="-11"/>
          <w:sz w:val="20"/>
          <w:szCs w:val="20"/>
          <w:lang w:val="en-US"/>
        </w:rPr>
        <w:t xml:space="preserve"> </w:t>
      </w:r>
      <w:r w:rsidRPr="000977F7">
        <w:rPr>
          <w:rFonts w:asciiTheme="majorHAnsi" w:hAnsiTheme="majorHAnsi"/>
          <w:spacing w:val="-1"/>
          <w:sz w:val="20"/>
          <w:szCs w:val="20"/>
        </w:rPr>
        <w:t>режим</w:t>
      </w:r>
      <w:r w:rsidRPr="004D2D14">
        <w:rPr>
          <w:rFonts w:asciiTheme="majorHAnsi" w:hAnsiTheme="majorHAnsi"/>
          <w:spacing w:val="-1"/>
          <w:sz w:val="20"/>
          <w:szCs w:val="20"/>
          <w:lang w:val="en-US"/>
        </w:rPr>
        <w:t>,</w:t>
      </w:r>
      <w:r w:rsidRPr="004D2D14">
        <w:rPr>
          <w:rFonts w:asciiTheme="majorHAnsi" w:hAnsiTheme="majorHAnsi"/>
          <w:spacing w:val="-10"/>
          <w:sz w:val="20"/>
          <w:szCs w:val="20"/>
          <w:lang w:val="en-US"/>
        </w:rPr>
        <w:t xml:space="preserve"> </w:t>
      </w:r>
      <w:r w:rsidRPr="000977F7">
        <w:rPr>
          <w:rFonts w:asciiTheme="majorHAnsi" w:hAnsiTheme="majorHAnsi"/>
          <w:spacing w:val="-1"/>
          <w:sz w:val="20"/>
          <w:szCs w:val="20"/>
        </w:rPr>
        <w:t>спеціальні</w:t>
      </w:r>
      <w:r w:rsidRPr="004D2D14">
        <w:rPr>
          <w:rFonts w:asciiTheme="majorHAnsi" w:hAnsiTheme="majorHAnsi"/>
          <w:spacing w:val="-47"/>
          <w:sz w:val="20"/>
          <w:szCs w:val="20"/>
          <w:lang w:val="en-US"/>
        </w:rPr>
        <w:t xml:space="preserve"> </w:t>
      </w:r>
      <w:r w:rsidRPr="000977F7">
        <w:rPr>
          <w:rFonts w:asciiTheme="majorHAnsi" w:hAnsiTheme="majorHAnsi"/>
          <w:sz w:val="20"/>
          <w:szCs w:val="20"/>
        </w:rPr>
        <w:t>вимоги</w:t>
      </w:r>
      <w:r w:rsidRPr="004D2D14">
        <w:rPr>
          <w:rFonts w:asciiTheme="majorHAnsi" w:hAnsiTheme="majorHAnsi"/>
          <w:sz w:val="20"/>
          <w:szCs w:val="20"/>
          <w:lang w:val="en-US"/>
        </w:rPr>
        <w:t xml:space="preserve"> </w:t>
      </w:r>
      <w:r w:rsidRPr="000977F7">
        <w:rPr>
          <w:rFonts w:asciiTheme="majorHAnsi" w:hAnsiTheme="majorHAnsi"/>
          <w:sz w:val="20"/>
          <w:szCs w:val="20"/>
        </w:rPr>
        <w:t>до</w:t>
      </w:r>
      <w:r w:rsidRPr="004D2D14">
        <w:rPr>
          <w:rFonts w:asciiTheme="majorHAnsi" w:hAnsiTheme="majorHAnsi"/>
          <w:sz w:val="20"/>
          <w:szCs w:val="20"/>
          <w:lang w:val="en-US"/>
        </w:rPr>
        <w:t xml:space="preserve"> </w:t>
      </w:r>
      <w:r w:rsidRPr="000977F7">
        <w:rPr>
          <w:rFonts w:asciiTheme="majorHAnsi" w:hAnsiTheme="majorHAnsi"/>
          <w:sz w:val="20"/>
          <w:szCs w:val="20"/>
        </w:rPr>
        <w:t>зберігання</w:t>
      </w:r>
      <w:r w:rsidRPr="004D2D14">
        <w:rPr>
          <w:rFonts w:asciiTheme="majorHAnsi" w:hAnsiTheme="majorHAnsi"/>
          <w:sz w:val="20"/>
          <w:szCs w:val="20"/>
          <w:lang w:val="en-US"/>
        </w:rPr>
        <w:t xml:space="preserve">; </w:t>
      </w:r>
      <w:r w:rsidRPr="000977F7">
        <w:rPr>
          <w:rFonts w:asciiTheme="majorHAnsi" w:hAnsiTheme="majorHAnsi"/>
          <w:sz w:val="20"/>
          <w:szCs w:val="20"/>
        </w:rPr>
        <w:t>вимоги</w:t>
      </w:r>
      <w:r w:rsidRPr="004D2D14">
        <w:rPr>
          <w:rFonts w:asciiTheme="majorHAnsi" w:hAnsiTheme="majorHAnsi"/>
          <w:sz w:val="20"/>
          <w:szCs w:val="20"/>
          <w:lang w:val="en-US"/>
        </w:rPr>
        <w:t xml:space="preserve"> </w:t>
      </w:r>
      <w:r w:rsidRPr="000977F7">
        <w:rPr>
          <w:rFonts w:asciiTheme="majorHAnsi" w:hAnsiTheme="majorHAnsi"/>
          <w:sz w:val="20"/>
          <w:szCs w:val="20"/>
        </w:rPr>
        <w:t>до</w:t>
      </w:r>
      <w:r w:rsidRPr="004D2D14">
        <w:rPr>
          <w:rFonts w:asciiTheme="majorHAnsi" w:hAnsiTheme="majorHAnsi"/>
          <w:sz w:val="20"/>
          <w:szCs w:val="20"/>
          <w:lang w:val="en-US"/>
        </w:rPr>
        <w:t xml:space="preserve"> </w:t>
      </w:r>
      <w:r w:rsidRPr="000977F7">
        <w:rPr>
          <w:rFonts w:asciiTheme="majorHAnsi" w:hAnsiTheme="majorHAnsi"/>
          <w:sz w:val="20"/>
          <w:szCs w:val="20"/>
        </w:rPr>
        <w:t>місця</w:t>
      </w:r>
      <w:r w:rsidRPr="004D2D14">
        <w:rPr>
          <w:rFonts w:asciiTheme="majorHAnsi" w:hAnsiTheme="majorHAnsi"/>
          <w:sz w:val="20"/>
          <w:szCs w:val="20"/>
          <w:lang w:val="en-US"/>
        </w:rPr>
        <w:t xml:space="preserve"> </w:t>
      </w:r>
      <w:r w:rsidRPr="000977F7">
        <w:rPr>
          <w:rFonts w:asciiTheme="majorHAnsi" w:hAnsiTheme="majorHAnsi"/>
          <w:sz w:val="20"/>
          <w:szCs w:val="20"/>
        </w:rPr>
        <w:t>зберігання</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захисту</w:t>
      </w:r>
      <w:r w:rsidRPr="004D2D14">
        <w:rPr>
          <w:rFonts w:asciiTheme="majorHAnsi" w:hAnsiTheme="majorHAnsi"/>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 xml:space="preserve"> </w:t>
      </w:r>
      <w:r w:rsidRPr="000977F7">
        <w:rPr>
          <w:rFonts w:asciiTheme="majorHAnsi" w:hAnsiTheme="majorHAnsi"/>
          <w:sz w:val="20"/>
          <w:szCs w:val="20"/>
        </w:rPr>
        <w:t>від</w:t>
      </w:r>
      <w:r w:rsidRPr="004D2D14">
        <w:rPr>
          <w:rFonts w:asciiTheme="majorHAnsi" w:hAnsiTheme="majorHAnsi"/>
          <w:sz w:val="20"/>
          <w:szCs w:val="20"/>
          <w:lang w:val="en-US"/>
        </w:rPr>
        <w:t xml:space="preserve"> </w:t>
      </w:r>
      <w:r w:rsidRPr="000977F7">
        <w:rPr>
          <w:rFonts w:asciiTheme="majorHAnsi" w:hAnsiTheme="majorHAnsi"/>
          <w:sz w:val="20"/>
          <w:szCs w:val="20"/>
        </w:rPr>
        <w:t>впливу</w:t>
      </w:r>
      <w:r w:rsidRPr="004D2D14">
        <w:rPr>
          <w:rFonts w:asciiTheme="majorHAnsi" w:hAnsiTheme="majorHAnsi"/>
          <w:sz w:val="20"/>
          <w:szCs w:val="20"/>
          <w:lang w:val="en-US"/>
        </w:rPr>
        <w:t xml:space="preserve"> </w:t>
      </w:r>
      <w:r w:rsidRPr="000977F7">
        <w:rPr>
          <w:rFonts w:asciiTheme="majorHAnsi" w:hAnsiTheme="majorHAnsi"/>
          <w:sz w:val="20"/>
          <w:szCs w:val="20"/>
        </w:rPr>
        <w:t>зовнішнього</w:t>
      </w:r>
      <w:r w:rsidRPr="004D2D14">
        <w:rPr>
          <w:rFonts w:asciiTheme="majorHAnsi" w:hAnsiTheme="majorHAnsi"/>
          <w:sz w:val="20"/>
          <w:szCs w:val="20"/>
          <w:lang w:val="en-US"/>
        </w:rPr>
        <w:t xml:space="preserve"> </w:t>
      </w:r>
      <w:r w:rsidRPr="000977F7">
        <w:rPr>
          <w:rFonts w:asciiTheme="majorHAnsi" w:hAnsiTheme="majorHAnsi"/>
          <w:sz w:val="20"/>
          <w:szCs w:val="20"/>
        </w:rPr>
        <w:t>середовища</w:t>
      </w:r>
      <w:r w:rsidRPr="004D2D14">
        <w:rPr>
          <w:rFonts w:asciiTheme="majorHAnsi" w:hAnsiTheme="majorHAnsi"/>
          <w:sz w:val="20"/>
          <w:szCs w:val="20"/>
          <w:lang w:val="en-US"/>
        </w:rPr>
        <w:t xml:space="preserve">, </w:t>
      </w:r>
      <w:r w:rsidRPr="000977F7">
        <w:rPr>
          <w:rFonts w:asciiTheme="majorHAnsi" w:hAnsiTheme="majorHAnsi"/>
          <w:sz w:val="20"/>
          <w:szCs w:val="20"/>
        </w:rPr>
        <w:t>а</w:t>
      </w:r>
      <w:r w:rsidRPr="004D2D14">
        <w:rPr>
          <w:rFonts w:asciiTheme="majorHAnsi" w:hAnsiTheme="majorHAnsi"/>
          <w:spacing w:val="-47"/>
          <w:sz w:val="20"/>
          <w:szCs w:val="20"/>
          <w:lang w:val="en-US"/>
        </w:rPr>
        <w:t xml:space="preserve"> </w:t>
      </w:r>
      <w:r w:rsidRPr="000977F7">
        <w:rPr>
          <w:rFonts w:asciiTheme="majorHAnsi" w:hAnsiTheme="majorHAnsi"/>
          <w:sz w:val="20"/>
          <w:szCs w:val="20"/>
        </w:rPr>
        <w:t>також</w:t>
      </w:r>
      <w:r w:rsidRPr="004D2D14">
        <w:rPr>
          <w:rFonts w:asciiTheme="majorHAnsi" w:hAnsiTheme="majorHAnsi"/>
          <w:spacing w:val="-6"/>
          <w:sz w:val="20"/>
          <w:szCs w:val="20"/>
          <w:lang w:val="en-US"/>
        </w:rPr>
        <w:t xml:space="preserve"> </w:t>
      </w:r>
      <w:r w:rsidRPr="000977F7">
        <w:rPr>
          <w:rFonts w:asciiTheme="majorHAnsi" w:hAnsiTheme="majorHAnsi"/>
          <w:sz w:val="20"/>
          <w:szCs w:val="20"/>
        </w:rPr>
        <w:t>при</w:t>
      </w:r>
      <w:r w:rsidRPr="004D2D14">
        <w:rPr>
          <w:rFonts w:asciiTheme="majorHAnsi" w:hAnsiTheme="majorHAnsi"/>
          <w:spacing w:val="-6"/>
          <w:sz w:val="20"/>
          <w:szCs w:val="20"/>
          <w:lang w:val="en-US"/>
        </w:rPr>
        <w:t xml:space="preserve"> </w:t>
      </w:r>
      <w:r w:rsidRPr="000977F7">
        <w:rPr>
          <w:rFonts w:asciiTheme="majorHAnsi" w:hAnsiTheme="majorHAnsi"/>
          <w:sz w:val="20"/>
          <w:szCs w:val="20"/>
        </w:rPr>
        <w:t>необхідності</w:t>
      </w:r>
      <w:r w:rsidRPr="004D2D14">
        <w:rPr>
          <w:rFonts w:asciiTheme="majorHAnsi" w:hAnsiTheme="majorHAnsi"/>
          <w:spacing w:val="-5"/>
          <w:sz w:val="20"/>
          <w:szCs w:val="20"/>
          <w:lang w:val="en-US"/>
        </w:rPr>
        <w:t xml:space="preserve"> </w:t>
      </w:r>
      <w:r w:rsidRPr="000977F7">
        <w:rPr>
          <w:rFonts w:asciiTheme="majorHAnsi" w:hAnsiTheme="majorHAnsi"/>
          <w:sz w:val="20"/>
          <w:szCs w:val="20"/>
        </w:rPr>
        <w:t>вимоги</w:t>
      </w:r>
      <w:r w:rsidRPr="004D2D14">
        <w:rPr>
          <w:rFonts w:asciiTheme="majorHAnsi" w:hAnsiTheme="majorHAnsi"/>
          <w:spacing w:val="-6"/>
          <w:sz w:val="20"/>
          <w:szCs w:val="20"/>
          <w:lang w:val="en-US"/>
        </w:rPr>
        <w:t xml:space="preserve"> </w:t>
      </w:r>
      <w:r w:rsidRPr="000977F7">
        <w:rPr>
          <w:rFonts w:asciiTheme="majorHAnsi" w:hAnsiTheme="majorHAnsi"/>
          <w:sz w:val="20"/>
          <w:szCs w:val="20"/>
        </w:rPr>
        <w:t>безпеки</w:t>
      </w:r>
    </w:p>
    <w:p w14:paraId="1DAC13E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2"/>
          <w:sz w:val="20"/>
          <w:szCs w:val="20"/>
        </w:rPr>
        <w:t>СТАНДАРТ</w:t>
      </w:r>
      <w:r w:rsidRPr="000977F7">
        <w:rPr>
          <w:color w:val="auto"/>
          <w:spacing w:val="-9"/>
          <w:sz w:val="20"/>
          <w:szCs w:val="20"/>
        </w:rPr>
        <w:t xml:space="preserve"> </w:t>
      </w:r>
      <w:r w:rsidRPr="000977F7">
        <w:rPr>
          <w:color w:val="auto"/>
          <w:spacing w:val="-2"/>
          <w:sz w:val="20"/>
          <w:szCs w:val="20"/>
        </w:rPr>
        <w:t>КЛАСИФІКАЦІЇ</w:t>
      </w:r>
      <w:r w:rsidRPr="000977F7">
        <w:rPr>
          <w:color w:val="auto"/>
          <w:spacing w:val="-10"/>
          <w:sz w:val="20"/>
          <w:szCs w:val="20"/>
        </w:rPr>
        <w:t xml:space="preserve"> </w:t>
      </w:r>
      <w:r w:rsidRPr="000977F7">
        <w:rPr>
          <w:color w:val="auto"/>
          <w:spacing w:val="-1"/>
          <w:sz w:val="20"/>
          <w:szCs w:val="20"/>
        </w:rPr>
        <w:t>–</w:t>
      </w:r>
    </w:p>
    <w:p w14:paraId="6D840F0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pacing w:val="-2"/>
          <w:sz w:val="20"/>
          <w:szCs w:val="20"/>
          <w:lang w:val="en-US"/>
        </w:rPr>
        <w:t>CLASSIFICATION</w:t>
      </w:r>
      <w:r w:rsidRPr="004D2D14">
        <w:rPr>
          <w:rFonts w:asciiTheme="majorHAnsi" w:hAnsiTheme="majorHAnsi"/>
          <w:spacing w:val="-7"/>
          <w:sz w:val="20"/>
          <w:szCs w:val="20"/>
          <w:lang w:val="en-US"/>
        </w:rPr>
        <w:t xml:space="preserve"> </w:t>
      </w:r>
      <w:r w:rsidRPr="004D2D14">
        <w:rPr>
          <w:rFonts w:asciiTheme="majorHAnsi" w:hAnsiTheme="majorHAnsi"/>
          <w:spacing w:val="-2"/>
          <w:sz w:val="20"/>
          <w:szCs w:val="20"/>
          <w:lang w:val="en-US"/>
        </w:rPr>
        <w:t>STANDARD</w:t>
      </w:r>
      <w:r w:rsidRPr="004D2D14">
        <w:rPr>
          <w:rFonts w:asciiTheme="majorHAnsi" w:hAnsiTheme="majorHAnsi"/>
          <w:spacing w:val="-8"/>
          <w:sz w:val="20"/>
          <w:szCs w:val="20"/>
          <w:lang w:val="en-US"/>
        </w:rPr>
        <w:t xml:space="preserve"> </w:t>
      </w:r>
      <w:r w:rsidRPr="004D2D14">
        <w:rPr>
          <w:rFonts w:asciiTheme="majorHAnsi" w:hAnsiTheme="majorHAnsi"/>
          <w:spacing w:val="-1"/>
          <w:sz w:val="20"/>
          <w:szCs w:val="20"/>
          <w:lang w:val="en-US"/>
        </w:rPr>
        <w:t>–</w:t>
      </w:r>
    </w:p>
    <w:p w14:paraId="7E41AAC0"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en-US"/>
        </w:rPr>
      </w:pPr>
      <w:r w:rsidRPr="000977F7">
        <w:rPr>
          <w:rFonts w:asciiTheme="majorHAnsi" w:hAnsiTheme="majorHAnsi"/>
          <w:sz w:val="20"/>
          <w:szCs w:val="20"/>
        </w:rPr>
        <w:t>Стандарт</w:t>
      </w:r>
      <w:r w:rsidRPr="004D2D14">
        <w:rPr>
          <w:rFonts w:asciiTheme="majorHAnsi" w:hAnsiTheme="majorHAnsi"/>
          <w:sz w:val="20"/>
          <w:szCs w:val="20"/>
          <w:lang w:val="en-US"/>
        </w:rPr>
        <w:t>,</w:t>
      </w:r>
      <w:r w:rsidRPr="004D2D14">
        <w:rPr>
          <w:rFonts w:asciiTheme="majorHAnsi" w:hAnsiTheme="majorHAnsi"/>
          <w:spacing w:val="3"/>
          <w:sz w:val="20"/>
          <w:szCs w:val="20"/>
          <w:lang w:val="en-US"/>
        </w:rPr>
        <w:t xml:space="preserve"> </w:t>
      </w:r>
      <w:r w:rsidRPr="000977F7">
        <w:rPr>
          <w:rFonts w:asciiTheme="majorHAnsi" w:hAnsiTheme="majorHAnsi"/>
          <w:sz w:val="20"/>
          <w:szCs w:val="20"/>
        </w:rPr>
        <w:t>що</w:t>
      </w:r>
      <w:r w:rsidRPr="004D2D14">
        <w:rPr>
          <w:rFonts w:asciiTheme="majorHAnsi" w:hAnsiTheme="majorHAnsi"/>
          <w:spacing w:val="2"/>
          <w:sz w:val="20"/>
          <w:szCs w:val="20"/>
          <w:lang w:val="en-US"/>
        </w:rPr>
        <w:t xml:space="preserve"> </w:t>
      </w:r>
      <w:r w:rsidRPr="000977F7">
        <w:rPr>
          <w:rFonts w:asciiTheme="majorHAnsi" w:hAnsiTheme="majorHAnsi"/>
          <w:sz w:val="20"/>
          <w:szCs w:val="20"/>
        </w:rPr>
        <w:t>встановлює</w:t>
      </w:r>
      <w:r w:rsidRPr="004D2D14">
        <w:rPr>
          <w:rFonts w:asciiTheme="majorHAnsi" w:hAnsiTheme="majorHAnsi"/>
          <w:spacing w:val="1"/>
          <w:sz w:val="20"/>
          <w:szCs w:val="20"/>
          <w:lang w:val="en-US"/>
        </w:rPr>
        <w:t xml:space="preserve"> </w:t>
      </w:r>
      <w:r w:rsidRPr="000977F7">
        <w:rPr>
          <w:rFonts w:asciiTheme="majorHAnsi" w:hAnsiTheme="majorHAnsi"/>
          <w:sz w:val="20"/>
          <w:szCs w:val="20"/>
        </w:rPr>
        <w:t>розподіл</w:t>
      </w:r>
      <w:r w:rsidRPr="004D2D14">
        <w:rPr>
          <w:rFonts w:asciiTheme="majorHAnsi" w:hAnsiTheme="majorHAnsi"/>
          <w:spacing w:val="3"/>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pacing w:val="3"/>
          <w:sz w:val="20"/>
          <w:szCs w:val="20"/>
          <w:lang w:val="en-US"/>
        </w:rPr>
        <w:t xml:space="preserve"> </w:t>
      </w:r>
      <w:r w:rsidRPr="000977F7">
        <w:rPr>
          <w:rFonts w:asciiTheme="majorHAnsi" w:hAnsiTheme="majorHAnsi"/>
          <w:sz w:val="20"/>
          <w:szCs w:val="20"/>
        </w:rPr>
        <w:t>на</w:t>
      </w:r>
      <w:r w:rsidRPr="004D2D14">
        <w:rPr>
          <w:rFonts w:asciiTheme="majorHAnsi" w:hAnsiTheme="majorHAnsi"/>
          <w:spacing w:val="1"/>
          <w:sz w:val="20"/>
          <w:szCs w:val="20"/>
          <w:lang w:val="en-US"/>
        </w:rPr>
        <w:t xml:space="preserve"> </w:t>
      </w:r>
      <w:r w:rsidRPr="000977F7">
        <w:rPr>
          <w:rFonts w:asciiTheme="majorHAnsi" w:hAnsiTheme="majorHAnsi"/>
          <w:sz w:val="20"/>
          <w:szCs w:val="20"/>
        </w:rPr>
        <w:t>групи</w:t>
      </w:r>
      <w:r w:rsidRPr="004D2D14">
        <w:rPr>
          <w:rFonts w:asciiTheme="majorHAnsi" w:hAnsiTheme="majorHAnsi"/>
          <w:spacing w:val="-47"/>
          <w:sz w:val="20"/>
          <w:szCs w:val="20"/>
          <w:lang w:val="en-US"/>
        </w:rPr>
        <w:t xml:space="preserve"> </w:t>
      </w:r>
      <w:r w:rsidRPr="000977F7">
        <w:rPr>
          <w:rFonts w:asciiTheme="majorHAnsi" w:hAnsiTheme="majorHAnsi"/>
          <w:sz w:val="20"/>
          <w:szCs w:val="20"/>
        </w:rPr>
        <w:t>за</w:t>
      </w:r>
      <w:r w:rsidRPr="004D2D14">
        <w:rPr>
          <w:rFonts w:asciiTheme="majorHAnsi" w:hAnsiTheme="majorHAnsi"/>
          <w:spacing w:val="32"/>
          <w:sz w:val="20"/>
          <w:szCs w:val="20"/>
          <w:lang w:val="en-US"/>
        </w:rPr>
        <w:t xml:space="preserve"> </w:t>
      </w:r>
      <w:r w:rsidRPr="000977F7">
        <w:rPr>
          <w:rFonts w:asciiTheme="majorHAnsi" w:hAnsiTheme="majorHAnsi"/>
          <w:sz w:val="20"/>
          <w:szCs w:val="20"/>
        </w:rPr>
        <w:t>параметричними</w:t>
      </w:r>
      <w:r w:rsidRPr="004D2D14">
        <w:rPr>
          <w:rFonts w:asciiTheme="majorHAnsi" w:hAnsiTheme="majorHAnsi"/>
          <w:sz w:val="20"/>
          <w:szCs w:val="20"/>
          <w:lang w:val="en-US"/>
        </w:rPr>
        <w:t>,</w:t>
      </w:r>
      <w:r w:rsidRPr="004D2D14">
        <w:rPr>
          <w:rFonts w:asciiTheme="majorHAnsi" w:hAnsiTheme="majorHAnsi"/>
          <w:spacing w:val="32"/>
          <w:sz w:val="20"/>
          <w:szCs w:val="20"/>
          <w:lang w:val="en-US"/>
        </w:rPr>
        <w:t xml:space="preserve"> </w:t>
      </w:r>
      <w:r w:rsidRPr="000977F7">
        <w:rPr>
          <w:rFonts w:asciiTheme="majorHAnsi" w:hAnsiTheme="majorHAnsi"/>
          <w:sz w:val="20"/>
          <w:szCs w:val="20"/>
        </w:rPr>
        <w:t>функціональними</w:t>
      </w:r>
      <w:r w:rsidRPr="004D2D14">
        <w:rPr>
          <w:rFonts w:asciiTheme="majorHAnsi" w:hAnsiTheme="majorHAnsi"/>
          <w:spacing w:val="31"/>
          <w:sz w:val="20"/>
          <w:szCs w:val="20"/>
          <w:lang w:val="en-US"/>
        </w:rPr>
        <w:t xml:space="preserve"> </w:t>
      </w:r>
      <w:r w:rsidRPr="000977F7">
        <w:rPr>
          <w:rFonts w:asciiTheme="majorHAnsi" w:hAnsiTheme="majorHAnsi"/>
          <w:sz w:val="20"/>
          <w:szCs w:val="20"/>
        </w:rPr>
        <w:t>або</w:t>
      </w:r>
      <w:r w:rsidRPr="004D2D14">
        <w:rPr>
          <w:rFonts w:asciiTheme="majorHAnsi" w:hAnsiTheme="majorHAnsi"/>
          <w:spacing w:val="33"/>
          <w:sz w:val="20"/>
          <w:szCs w:val="20"/>
          <w:lang w:val="en-US"/>
        </w:rPr>
        <w:t xml:space="preserve"> </w:t>
      </w:r>
      <w:r w:rsidRPr="000977F7">
        <w:rPr>
          <w:rFonts w:asciiTheme="majorHAnsi" w:hAnsiTheme="majorHAnsi"/>
          <w:sz w:val="20"/>
          <w:szCs w:val="20"/>
        </w:rPr>
        <w:t>іншими</w:t>
      </w:r>
      <w:r w:rsidRPr="004D2D14">
        <w:rPr>
          <w:rFonts w:asciiTheme="majorHAnsi" w:hAnsiTheme="majorHAnsi"/>
          <w:spacing w:val="-47"/>
          <w:sz w:val="20"/>
          <w:szCs w:val="20"/>
          <w:lang w:val="en-US"/>
        </w:rPr>
        <w:t xml:space="preserve"> </w:t>
      </w:r>
      <w:r w:rsidRPr="000977F7">
        <w:rPr>
          <w:rFonts w:asciiTheme="majorHAnsi" w:hAnsiTheme="majorHAnsi"/>
          <w:sz w:val="20"/>
          <w:szCs w:val="20"/>
        </w:rPr>
        <w:t>ознаками</w:t>
      </w:r>
      <w:r w:rsidRPr="004D2D14">
        <w:rPr>
          <w:rFonts w:asciiTheme="majorHAnsi" w:hAnsiTheme="majorHAnsi"/>
          <w:spacing w:val="1"/>
          <w:sz w:val="20"/>
          <w:szCs w:val="20"/>
          <w:lang w:val="en-US"/>
        </w:rPr>
        <w:t xml:space="preserve"> </w:t>
      </w:r>
      <w:r w:rsidRPr="000977F7">
        <w:rPr>
          <w:rFonts w:asciiTheme="majorHAnsi" w:hAnsiTheme="majorHAnsi"/>
          <w:sz w:val="20"/>
          <w:szCs w:val="20"/>
        </w:rPr>
        <w:t>з</w:t>
      </w:r>
      <w:r w:rsidRPr="004D2D14">
        <w:rPr>
          <w:rFonts w:asciiTheme="majorHAnsi" w:hAnsiTheme="majorHAnsi"/>
          <w:spacing w:val="1"/>
          <w:sz w:val="20"/>
          <w:szCs w:val="20"/>
          <w:lang w:val="en-US"/>
        </w:rPr>
        <w:t xml:space="preserve"> </w:t>
      </w:r>
      <w:r w:rsidRPr="000977F7">
        <w:rPr>
          <w:rFonts w:asciiTheme="majorHAnsi" w:hAnsiTheme="majorHAnsi"/>
          <w:sz w:val="20"/>
          <w:szCs w:val="20"/>
        </w:rPr>
        <w:t>урахуванням</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загального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класифікатора</w:t>
      </w:r>
      <w:r w:rsidRPr="004D2D14">
        <w:rPr>
          <w:rFonts w:asciiTheme="majorHAnsi" w:hAnsiTheme="majorHAnsi"/>
          <w:spacing w:val="-47"/>
          <w:sz w:val="20"/>
          <w:szCs w:val="20"/>
          <w:lang w:val="en-US"/>
        </w:rPr>
        <w:t xml:space="preserve"> </w:t>
      </w:r>
      <w:r w:rsidRPr="000977F7">
        <w:rPr>
          <w:rFonts w:asciiTheme="majorHAnsi" w:hAnsiTheme="majorHAnsi"/>
          <w:sz w:val="20"/>
          <w:szCs w:val="20"/>
        </w:rPr>
        <w:t>промислової</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сільськогосподарської</w:t>
      </w:r>
      <w:r w:rsidRPr="004D2D14">
        <w:rPr>
          <w:rFonts w:asciiTheme="majorHAnsi" w:hAnsiTheme="majorHAnsi"/>
          <w:sz w:val="20"/>
          <w:szCs w:val="20"/>
          <w:lang w:val="en-US"/>
        </w:rPr>
        <w:t xml:space="preserve"> </w:t>
      </w:r>
      <w:r w:rsidRPr="000977F7">
        <w:rPr>
          <w:rFonts w:asciiTheme="majorHAnsi" w:hAnsiTheme="majorHAnsi"/>
          <w:sz w:val="20"/>
          <w:szCs w:val="20"/>
        </w:rPr>
        <w:t>продукції</w:t>
      </w:r>
    </w:p>
    <w:p w14:paraId="384089E7"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0977F7">
        <w:rPr>
          <w:rFonts w:asciiTheme="majorHAnsi" w:hAnsiTheme="majorHAnsi"/>
          <w:b/>
          <w:sz w:val="20"/>
          <w:szCs w:val="20"/>
        </w:rPr>
        <w:t>СТАНДАРТ</w:t>
      </w:r>
      <w:r w:rsidRPr="004D2D14">
        <w:rPr>
          <w:rFonts w:asciiTheme="majorHAnsi" w:hAnsiTheme="majorHAnsi"/>
          <w:b/>
          <w:spacing w:val="-7"/>
          <w:sz w:val="20"/>
          <w:szCs w:val="20"/>
          <w:lang w:val="en-US"/>
        </w:rPr>
        <w:t xml:space="preserve"> </w:t>
      </w:r>
      <w:r w:rsidRPr="000977F7">
        <w:rPr>
          <w:rFonts w:asciiTheme="majorHAnsi" w:hAnsiTheme="majorHAnsi"/>
          <w:b/>
          <w:sz w:val="20"/>
          <w:szCs w:val="20"/>
        </w:rPr>
        <w:t>МАРКУВАННЯ</w:t>
      </w:r>
      <w:r w:rsidRPr="004D2D14">
        <w:rPr>
          <w:rFonts w:asciiTheme="majorHAnsi" w:hAnsiTheme="majorHAnsi"/>
          <w:b/>
          <w:spacing w:val="-5"/>
          <w:sz w:val="20"/>
          <w:szCs w:val="20"/>
          <w:lang w:val="en-US"/>
        </w:rPr>
        <w:t xml:space="preserve"> </w:t>
      </w:r>
      <w:r w:rsidRPr="004D2D14">
        <w:rPr>
          <w:rFonts w:asciiTheme="majorHAnsi" w:hAnsiTheme="majorHAnsi"/>
          <w:b/>
          <w:sz w:val="20"/>
          <w:szCs w:val="20"/>
          <w:lang w:val="en-US"/>
        </w:rPr>
        <w:t>–</w:t>
      </w:r>
    </w:p>
    <w:p w14:paraId="1EF72A0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pacing w:val="-1"/>
          <w:sz w:val="20"/>
          <w:szCs w:val="20"/>
          <w:lang w:val="en-US"/>
        </w:rPr>
        <w:t>STANDARD</w:t>
      </w:r>
      <w:r w:rsidRPr="004D2D14">
        <w:rPr>
          <w:rFonts w:asciiTheme="majorHAnsi" w:hAnsiTheme="majorHAnsi"/>
          <w:spacing w:val="-11"/>
          <w:sz w:val="20"/>
          <w:szCs w:val="20"/>
          <w:lang w:val="en-US"/>
        </w:rPr>
        <w:t xml:space="preserve"> </w:t>
      </w:r>
      <w:r w:rsidRPr="004D2D14">
        <w:rPr>
          <w:rFonts w:asciiTheme="majorHAnsi" w:hAnsiTheme="majorHAnsi"/>
          <w:sz w:val="20"/>
          <w:szCs w:val="20"/>
          <w:lang w:val="en-US"/>
        </w:rPr>
        <w:t>ON</w:t>
      </w:r>
      <w:r w:rsidRPr="004D2D14">
        <w:rPr>
          <w:rFonts w:asciiTheme="majorHAnsi" w:hAnsiTheme="majorHAnsi"/>
          <w:spacing w:val="-11"/>
          <w:sz w:val="20"/>
          <w:szCs w:val="20"/>
          <w:lang w:val="en-US"/>
        </w:rPr>
        <w:t xml:space="preserve"> </w:t>
      </w:r>
      <w:r w:rsidRPr="004D2D14">
        <w:rPr>
          <w:rFonts w:asciiTheme="majorHAnsi" w:hAnsiTheme="majorHAnsi"/>
          <w:sz w:val="20"/>
          <w:szCs w:val="20"/>
          <w:lang w:val="en-US"/>
        </w:rPr>
        <w:t>MARKING</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w:t>
      </w:r>
    </w:p>
    <w:p w14:paraId="0B14107C"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en-US"/>
        </w:rPr>
      </w:pPr>
      <w:r w:rsidRPr="000977F7">
        <w:rPr>
          <w:rFonts w:asciiTheme="majorHAnsi" w:hAnsiTheme="majorHAnsi"/>
          <w:sz w:val="20"/>
          <w:szCs w:val="20"/>
        </w:rPr>
        <w:t>Стандарт</w:t>
      </w:r>
      <w:r w:rsidRPr="004D2D14">
        <w:rPr>
          <w:rFonts w:asciiTheme="majorHAnsi" w:hAnsiTheme="majorHAnsi"/>
          <w:sz w:val="20"/>
          <w:szCs w:val="20"/>
          <w:lang w:val="en-US"/>
        </w:rPr>
        <w:t>,</w:t>
      </w:r>
      <w:r w:rsidRPr="004D2D14">
        <w:rPr>
          <w:rFonts w:asciiTheme="majorHAnsi" w:hAnsiTheme="majorHAnsi"/>
          <w:spacing w:val="-3"/>
          <w:sz w:val="20"/>
          <w:szCs w:val="20"/>
          <w:lang w:val="en-US"/>
        </w:rPr>
        <w:t xml:space="preserve"> </w:t>
      </w:r>
      <w:r w:rsidRPr="000977F7">
        <w:rPr>
          <w:rFonts w:asciiTheme="majorHAnsi" w:hAnsiTheme="majorHAnsi"/>
          <w:sz w:val="20"/>
          <w:szCs w:val="20"/>
        </w:rPr>
        <w:t>що</w:t>
      </w:r>
      <w:r w:rsidRPr="004D2D14">
        <w:rPr>
          <w:rFonts w:asciiTheme="majorHAnsi" w:hAnsiTheme="majorHAnsi"/>
          <w:spacing w:val="-4"/>
          <w:sz w:val="20"/>
          <w:szCs w:val="20"/>
          <w:lang w:val="en-US"/>
        </w:rPr>
        <w:t xml:space="preserve"> </w:t>
      </w:r>
      <w:r w:rsidRPr="000977F7">
        <w:rPr>
          <w:rFonts w:asciiTheme="majorHAnsi" w:hAnsiTheme="majorHAnsi"/>
          <w:sz w:val="20"/>
          <w:szCs w:val="20"/>
        </w:rPr>
        <w:t>встановлює</w:t>
      </w:r>
      <w:r w:rsidRPr="004D2D14">
        <w:rPr>
          <w:rFonts w:asciiTheme="majorHAnsi" w:hAnsiTheme="majorHAnsi"/>
          <w:spacing w:val="-4"/>
          <w:sz w:val="20"/>
          <w:szCs w:val="20"/>
          <w:lang w:val="en-US"/>
        </w:rPr>
        <w:t xml:space="preserve"> </w:t>
      </w:r>
      <w:r w:rsidRPr="000977F7">
        <w:rPr>
          <w:rFonts w:asciiTheme="majorHAnsi" w:hAnsiTheme="majorHAnsi"/>
          <w:sz w:val="20"/>
          <w:szCs w:val="20"/>
        </w:rPr>
        <w:t>місце</w:t>
      </w:r>
      <w:r w:rsidRPr="004D2D14">
        <w:rPr>
          <w:rFonts w:asciiTheme="majorHAnsi" w:hAnsiTheme="majorHAnsi"/>
          <w:spacing w:val="-5"/>
          <w:sz w:val="20"/>
          <w:szCs w:val="20"/>
          <w:lang w:val="en-US"/>
        </w:rPr>
        <w:t xml:space="preserve"> </w:t>
      </w:r>
      <w:r w:rsidRPr="000977F7">
        <w:rPr>
          <w:rFonts w:asciiTheme="majorHAnsi" w:hAnsiTheme="majorHAnsi"/>
          <w:sz w:val="20"/>
          <w:szCs w:val="20"/>
        </w:rPr>
        <w:t>маркування</w:t>
      </w:r>
      <w:r w:rsidRPr="004D2D14">
        <w:rPr>
          <w:rFonts w:asciiTheme="majorHAnsi" w:hAnsiTheme="majorHAnsi"/>
          <w:spacing w:val="-4"/>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r w:rsidRPr="000977F7">
        <w:rPr>
          <w:rFonts w:asciiTheme="majorHAnsi" w:hAnsiTheme="majorHAnsi"/>
          <w:sz w:val="20"/>
          <w:szCs w:val="20"/>
        </w:rPr>
        <w:t>зміст</w:t>
      </w:r>
      <w:r w:rsidRPr="004D2D14">
        <w:rPr>
          <w:rFonts w:asciiTheme="majorHAnsi" w:hAnsiTheme="majorHAnsi"/>
          <w:sz w:val="20"/>
          <w:szCs w:val="20"/>
          <w:lang w:val="en-US"/>
        </w:rPr>
        <w:t xml:space="preserve">, </w:t>
      </w:r>
      <w:r w:rsidRPr="000977F7">
        <w:rPr>
          <w:rFonts w:asciiTheme="majorHAnsi" w:hAnsiTheme="majorHAnsi"/>
          <w:sz w:val="20"/>
          <w:szCs w:val="20"/>
        </w:rPr>
        <w:t>якість</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спосіб</w:t>
      </w:r>
      <w:r w:rsidRPr="004D2D14">
        <w:rPr>
          <w:rFonts w:asciiTheme="majorHAnsi" w:hAnsiTheme="majorHAnsi"/>
          <w:sz w:val="20"/>
          <w:szCs w:val="20"/>
          <w:lang w:val="en-US"/>
        </w:rPr>
        <w:t xml:space="preserve"> </w:t>
      </w:r>
      <w:r w:rsidRPr="000977F7">
        <w:rPr>
          <w:rFonts w:asciiTheme="majorHAnsi" w:hAnsiTheme="majorHAnsi"/>
          <w:sz w:val="20"/>
          <w:szCs w:val="20"/>
        </w:rPr>
        <w:t>виконання</w:t>
      </w:r>
      <w:r w:rsidRPr="004D2D14">
        <w:rPr>
          <w:rFonts w:asciiTheme="majorHAnsi" w:hAnsiTheme="majorHAnsi"/>
          <w:sz w:val="20"/>
          <w:szCs w:val="20"/>
          <w:lang w:val="en-US"/>
        </w:rPr>
        <w:t xml:space="preserve"> </w:t>
      </w:r>
      <w:r w:rsidRPr="000977F7">
        <w:rPr>
          <w:rFonts w:asciiTheme="majorHAnsi" w:hAnsiTheme="majorHAnsi"/>
          <w:sz w:val="20"/>
          <w:szCs w:val="20"/>
        </w:rPr>
        <w:t>маркування</w:t>
      </w:r>
      <w:r w:rsidRPr="004D2D14">
        <w:rPr>
          <w:rFonts w:asciiTheme="majorHAnsi" w:hAnsiTheme="majorHAnsi"/>
          <w:spacing w:val="1"/>
          <w:sz w:val="20"/>
          <w:szCs w:val="20"/>
          <w:lang w:val="en-US"/>
        </w:rPr>
        <w:t xml:space="preserve"> </w:t>
      </w:r>
    </w:p>
    <w:p w14:paraId="1BC91288"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0977F7">
        <w:rPr>
          <w:rFonts w:asciiTheme="majorHAnsi" w:hAnsiTheme="majorHAnsi"/>
          <w:b/>
          <w:sz w:val="20"/>
          <w:szCs w:val="20"/>
        </w:rPr>
        <w:t>СТАНДАРТ</w:t>
      </w:r>
      <w:r w:rsidRPr="004D2D14">
        <w:rPr>
          <w:rFonts w:asciiTheme="majorHAnsi" w:hAnsiTheme="majorHAnsi"/>
          <w:b/>
          <w:spacing w:val="-7"/>
          <w:sz w:val="20"/>
          <w:szCs w:val="20"/>
          <w:lang w:val="en-US"/>
        </w:rPr>
        <w:t xml:space="preserve"> </w:t>
      </w:r>
      <w:r w:rsidRPr="000977F7">
        <w:rPr>
          <w:rFonts w:asciiTheme="majorHAnsi" w:hAnsiTheme="majorHAnsi"/>
          <w:b/>
          <w:sz w:val="20"/>
          <w:szCs w:val="20"/>
        </w:rPr>
        <w:t>МАРОК</w:t>
      </w:r>
      <w:r w:rsidRPr="004D2D14">
        <w:rPr>
          <w:rFonts w:asciiTheme="majorHAnsi" w:hAnsiTheme="majorHAnsi"/>
          <w:b/>
          <w:spacing w:val="-5"/>
          <w:sz w:val="20"/>
          <w:szCs w:val="20"/>
          <w:lang w:val="en-US"/>
        </w:rPr>
        <w:t xml:space="preserve"> </w:t>
      </w:r>
      <w:r w:rsidRPr="004D2D14">
        <w:rPr>
          <w:rFonts w:asciiTheme="majorHAnsi" w:hAnsiTheme="majorHAnsi"/>
          <w:b/>
          <w:sz w:val="20"/>
          <w:szCs w:val="20"/>
          <w:lang w:val="en-US"/>
        </w:rPr>
        <w:t>–</w:t>
      </w:r>
    </w:p>
    <w:p w14:paraId="0BD8A8B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STANDARD</w:t>
      </w:r>
      <w:r w:rsidRPr="004D2D14">
        <w:rPr>
          <w:rFonts w:asciiTheme="majorHAnsi" w:hAnsiTheme="majorHAnsi"/>
          <w:spacing w:val="-13"/>
          <w:sz w:val="20"/>
          <w:szCs w:val="20"/>
          <w:lang w:val="en-US"/>
        </w:rPr>
        <w:t xml:space="preserve"> </w:t>
      </w:r>
      <w:r w:rsidRPr="004D2D14">
        <w:rPr>
          <w:rFonts w:asciiTheme="majorHAnsi" w:hAnsiTheme="majorHAnsi"/>
          <w:sz w:val="20"/>
          <w:szCs w:val="20"/>
          <w:lang w:val="en-US"/>
        </w:rPr>
        <w:t>ON</w:t>
      </w:r>
      <w:r w:rsidRPr="004D2D14">
        <w:rPr>
          <w:rFonts w:asciiTheme="majorHAnsi" w:hAnsiTheme="majorHAnsi"/>
          <w:spacing w:val="-11"/>
          <w:sz w:val="20"/>
          <w:szCs w:val="20"/>
          <w:lang w:val="en-US"/>
        </w:rPr>
        <w:t xml:space="preserve"> </w:t>
      </w:r>
      <w:r w:rsidRPr="004D2D14">
        <w:rPr>
          <w:rFonts w:asciiTheme="majorHAnsi" w:hAnsiTheme="majorHAnsi"/>
          <w:sz w:val="20"/>
          <w:szCs w:val="20"/>
          <w:lang w:val="en-US"/>
        </w:rPr>
        <w:t>GRADES</w:t>
      </w:r>
      <w:r w:rsidRPr="004D2D14">
        <w:rPr>
          <w:rFonts w:asciiTheme="majorHAnsi" w:hAnsiTheme="majorHAnsi"/>
          <w:spacing w:val="-12"/>
          <w:sz w:val="20"/>
          <w:szCs w:val="20"/>
          <w:lang w:val="en-US"/>
        </w:rPr>
        <w:t xml:space="preserve"> </w:t>
      </w:r>
      <w:r w:rsidRPr="004D2D14">
        <w:rPr>
          <w:rFonts w:asciiTheme="majorHAnsi" w:hAnsiTheme="majorHAnsi"/>
          <w:sz w:val="20"/>
          <w:szCs w:val="20"/>
          <w:lang w:val="en-US"/>
        </w:rPr>
        <w:t>–</w:t>
      </w:r>
    </w:p>
    <w:p w14:paraId="11CCA4D6"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en-US"/>
        </w:rPr>
      </w:pPr>
      <w:r w:rsidRPr="000977F7">
        <w:rPr>
          <w:rFonts w:asciiTheme="majorHAnsi" w:hAnsiTheme="majorHAnsi"/>
          <w:sz w:val="20"/>
          <w:szCs w:val="20"/>
        </w:rPr>
        <w:t>Стандарт</w:t>
      </w:r>
      <w:r w:rsidRPr="004D2D14">
        <w:rPr>
          <w:rFonts w:asciiTheme="majorHAnsi" w:hAnsiTheme="majorHAnsi"/>
          <w:sz w:val="20"/>
          <w:szCs w:val="20"/>
          <w:lang w:val="en-US"/>
        </w:rPr>
        <w:t>,</w:t>
      </w:r>
      <w:r w:rsidRPr="004D2D14">
        <w:rPr>
          <w:rFonts w:asciiTheme="majorHAnsi" w:hAnsiTheme="majorHAnsi"/>
          <w:spacing w:val="8"/>
          <w:sz w:val="20"/>
          <w:szCs w:val="20"/>
          <w:lang w:val="en-US"/>
        </w:rPr>
        <w:t xml:space="preserve"> </w:t>
      </w:r>
      <w:r w:rsidRPr="000977F7">
        <w:rPr>
          <w:rFonts w:asciiTheme="majorHAnsi" w:hAnsiTheme="majorHAnsi"/>
          <w:sz w:val="20"/>
          <w:szCs w:val="20"/>
        </w:rPr>
        <w:t>що</w:t>
      </w:r>
      <w:r w:rsidRPr="004D2D14">
        <w:rPr>
          <w:rFonts w:asciiTheme="majorHAnsi" w:hAnsiTheme="majorHAnsi"/>
          <w:spacing w:val="9"/>
          <w:sz w:val="20"/>
          <w:szCs w:val="20"/>
          <w:lang w:val="en-US"/>
        </w:rPr>
        <w:t xml:space="preserve"> </w:t>
      </w:r>
      <w:r w:rsidRPr="000977F7">
        <w:rPr>
          <w:rFonts w:asciiTheme="majorHAnsi" w:hAnsiTheme="majorHAnsi"/>
          <w:sz w:val="20"/>
          <w:szCs w:val="20"/>
        </w:rPr>
        <w:t>встановлює</w:t>
      </w:r>
      <w:r w:rsidRPr="004D2D14">
        <w:rPr>
          <w:rFonts w:asciiTheme="majorHAnsi" w:hAnsiTheme="majorHAnsi"/>
          <w:spacing w:val="11"/>
          <w:sz w:val="20"/>
          <w:szCs w:val="20"/>
          <w:lang w:val="en-US"/>
        </w:rPr>
        <w:t xml:space="preserve"> </w:t>
      </w:r>
      <w:r w:rsidRPr="000977F7">
        <w:rPr>
          <w:rFonts w:asciiTheme="majorHAnsi" w:hAnsiTheme="majorHAnsi"/>
          <w:sz w:val="20"/>
          <w:szCs w:val="20"/>
        </w:rPr>
        <w:t>номенклатуру</w:t>
      </w:r>
      <w:r w:rsidRPr="004D2D14">
        <w:rPr>
          <w:rFonts w:asciiTheme="majorHAnsi" w:hAnsiTheme="majorHAnsi"/>
          <w:spacing w:val="5"/>
          <w:sz w:val="20"/>
          <w:szCs w:val="20"/>
          <w:lang w:val="en-US"/>
        </w:rPr>
        <w:t xml:space="preserve"> </w:t>
      </w:r>
      <w:r w:rsidRPr="000977F7">
        <w:rPr>
          <w:rFonts w:asciiTheme="majorHAnsi" w:hAnsiTheme="majorHAnsi"/>
          <w:sz w:val="20"/>
          <w:szCs w:val="20"/>
        </w:rPr>
        <w:t>марок</w:t>
      </w:r>
      <w:r w:rsidRPr="004D2D14">
        <w:rPr>
          <w:rFonts w:asciiTheme="majorHAnsi" w:hAnsiTheme="majorHAnsi"/>
          <w:spacing w:val="8"/>
          <w:sz w:val="20"/>
          <w:szCs w:val="20"/>
          <w:lang w:val="en-US"/>
        </w:rPr>
        <w:t xml:space="preserve"> </w:t>
      </w:r>
      <w:r w:rsidRPr="000977F7">
        <w:rPr>
          <w:rFonts w:asciiTheme="majorHAnsi" w:hAnsiTheme="majorHAnsi"/>
          <w:sz w:val="20"/>
          <w:szCs w:val="20"/>
        </w:rPr>
        <w:t>і</w:t>
      </w:r>
      <w:r w:rsidRPr="004D2D14">
        <w:rPr>
          <w:rFonts w:asciiTheme="majorHAnsi" w:hAnsiTheme="majorHAnsi"/>
          <w:spacing w:val="8"/>
          <w:sz w:val="20"/>
          <w:szCs w:val="20"/>
          <w:lang w:val="en-US"/>
        </w:rPr>
        <w:t xml:space="preserve"> </w:t>
      </w:r>
      <w:r w:rsidRPr="000977F7">
        <w:rPr>
          <w:rFonts w:asciiTheme="majorHAnsi" w:hAnsiTheme="majorHAnsi"/>
          <w:sz w:val="20"/>
          <w:szCs w:val="20"/>
        </w:rPr>
        <w:t>їх</w:t>
      </w:r>
      <w:r w:rsidRPr="004D2D14">
        <w:rPr>
          <w:rFonts w:asciiTheme="majorHAnsi" w:hAnsiTheme="majorHAnsi"/>
          <w:spacing w:val="-47"/>
          <w:sz w:val="20"/>
          <w:szCs w:val="20"/>
          <w:lang w:val="en-US"/>
        </w:rPr>
        <w:t xml:space="preserve"> </w:t>
      </w:r>
      <w:r w:rsidRPr="000977F7">
        <w:rPr>
          <w:rFonts w:asciiTheme="majorHAnsi" w:hAnsiTheme="majorHAnsi"/>
          <w:sz w:val="20"/>
          <w:szCs w:val="20"/>
        </w:rPr>
        <w:t>умови</w:t>
      </w:r>
      <w:r w:rsidRPr="004D2D14">
        <w:rPr>
          <w:rFonts w:asciiTheme="majorHAnsi" w:hAnsiTheme="majorHAnsi"/>
          <w:spacing w:val="10"/>
          <w:sz w:val="20"/>
          <w:szCs w:val="20"/>
          <w:lang w:val="en-US"/>
        </w:rPr>
        <w:t xml:space="preserve"> </w:t>
      </w:r>
      <w:r w:rsidRPr="000977F7">
        <w:rPr>
          <w:rFonts w:asciiTheme="majorHAnsi" w:hAnsiTheme="majorHAnsi"/>
          <w:sz w:val="20"/>
          <w:szCs w:val="20"/>
        </w:rPr>
        <w:t>позначення</w:t>
      </w:r>
      <w:r w:rsidRPr="004D2D14">
        <w:rPr>
          <w:rFonts w:asciiTheme="majorHAnsi" w:hAnsiTheme="majorHAnsi"/>
          <w:sz w:val="20"/>
          <w:szCs w:val="20"/>
          <w:lang w:val="en-US"/>
        </w:rPr>
        <w:t>,</w:t>
      </w:r>
      <w:r w:rsidRPr="004D2D14">
        <w:rPr>
          <w:rFonts w:asciiTheme="majorHAnsi" w:hAnsiTheme="majorHAnsi"/>
          <w:spacing w:val="14"/>
          <w:sz w:val="20"/>
          <w:szCs w:val="20"/>
          <w:lang w:val="en-US"/>
        </w:rPr>
        <w:t xml:space="preserve"> </w:t>
      </w:r>
      <w:r w:rsidRPr="000977F7">
        <w:rPr>
          <w:rFonts w:asciiTheme="majorHAnsi" w:hAnsiTheme="majorHAnsi"/>
          <w:sz w:val="20"/>
          <w:szCs w:val="20"/>
        </w:rPr>
        <w:t>хімічний</w:t>
      </w:r>
      <w:r w:rsidRPr="004D2D14">
        <w:rPr>
          <w:rFonts w:asciiTheme="majorHAnsi" w:hAnsiTheme="majorHAnsi"/>
          <w:spacing w:val="12"/>
          <w:sz w:val="20"/>
          <w:szCs w:val="20"/>
          <w:lang w:val="en-US"/>
        </w:rPr>
        <w:t xml:space="preserve"> </w:t>
      </w:r>
      <w:r w:rsidRPr="000977F7">
        <w:rPr>
          <w:rFonts w:asciiTheme="majorHAnsi" w:hAnsiTheme="majorHAnsi"/>
          <w:sz w:val="20"/>
          <w:szCs w:val="20"/>
        </w:rPr>
        <w:t>склад</w:t>
      </w:r>
      <w:r w:rsidRPr="004D2D14">
        <w:rPr>
          <w:rFonts w:asciiTheme="majorHAnsi" w:hAnsiTheme="majorHAnsi"/>
          <w:spacing w:val="12"/>
          <w:sz w:val="20"/>
          <w:szCs w:val="20"/>
          <w:lang w:val="en-US"/>
        </w:rPr>
        <w:t xml:space="preserve"> </w:t>
      </w:r>
      <w:r w:rsidRPr="000977F7">
        <w:rPr>
          <w:rFonts w:asciiTheme="majorHAnsi" w:hAnsiTheme="majorHAnsi"/>
          <w:sz w:val="20"/>
          <w:szCs w:val="20"/>
        </w:rPr>
        <w:t>матеріалу</w:t>
      </w:r>
      <w:r w:rsidRPr="004D2D14">
        <w:rPr>
          <w:rFonts w:asciiTheme="majorHAnsi" w:hAnsiTheme="majorHAnsi"/>
          <w:spacing w:val="10"/>
          <w:sz w:val="20"/>
          <w:szCs w:val="20"/>
          <w:lang w:val="en-US"/>
        </w:rPr>
        <w:t xml:space="preserve"> </w:t>
      </w:r>
      <w:r w:rsidRPr="004D2D14">
        <w:rPr>
          <w:rFonts w:asciiTheme="majorHAnsi" w:hAnsiTheme="majorHAnsi"/>
          <w:sz w:val="20"/>
          <w:szCs w:val="20"/>
          <w:lang w:val="en-US"/>
        </w:rPr>
        <w:t>(</w:t>
      </w:r>
      <w:r w:rsidRPr="000977F7">
        <w:rPr>
          <w:rFonts w:asciiTheme="majorHAnsi" w:hAnsiTheme="majorHAnsi"/>
          <w:sz w:val="20"/>
          <w:szCs w:val="20"/>
        </w:rPr>
        <w:t>сировини</w:t>
      </w:r>
      <w:r w:rsidRPr="004D2D14">
        <w:rPr>
          <w:rFonts w:asciiTheme="majorHAnsi" w:hAnsiTheme="majorHAnsi"/>
          <w:sz w:val="20"/>
          <w:szCs w:val="20"/>
          <w:lang w:val="en-US"/>
        </w:rPr>
        <w:t xml:space="preserve">), </w:t>
      </w:r>
      <w:r w:rsidRPr="000977F7">
        <w:rPr>
          <w:rFonts w:asciiTheme="majorHAnsi" w:hAnsiTheme="majorHAnsi"/>
          <w:sz w:val="20"/>
          <w:szCs w:val="20"/>
        </w:rPr>
        <w:t>а</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окремих</w:t>
      </w:r>
      <w:r w:rsidRPr="004D2D14">
        <w:rPr>
          <w:rFonts w:asciiTheme="majorHAnsi" w:hAnsiTheme="majorHAnsi"/>
          <w:sz w:val="20"/>
          <w:szCs w:val="20"/>
          <w:lang w:val="en-US"/>
        </w:rPr>
        <w:t xml:space="preserve"> </w:t>
      </w:r>
      <w:r w:rsidRPr="000977F7">
        <w:rPr>
          <w:rFonts w:asciiTheme="majorHAnsi" w:hAnsiTheme="majorHAnsi"/>
          <w:sz w:val="20"/>
          <w:szCs w:val="20"/>
        </w:rPr>
        <w:t>випадках</w:t>
      </w:r>
      <w:r w:rsidRPr="004D2D14">
        <w:rPr>
          <w:rFonts w:asciiTheme="majorHAnsi" w:hAnsiTheme="majorHAnsi"/>
          <w:sz w:val="20"/>
          <w:szCs w:val="20"/>
          <w:lang w:val="en-US"/>
        </w:rPr>
        <w:t xml:space="preserve"> – </w:t>
      </w:r>
      <w:r w:rsidRPr="000977F7">
        <w:rPr>
          <w:rFonts w:asciiTheme="majorHAnsi" w:hAnsiTheme="majorHAnsi"/>
          <w:sz w:val="20"/>
          <w:szCs w:val="20"/>
        </w:rPr>
        <w:t>основні</w:t>
      </w:r>
      <w:r w:rsidRPr="004D2D14">
        <w:rPr>
          <w:rFonts w:asciiTheme="majorHAnsi" w:hAnsiTheme="majorHAnsi"/>
          <w:sz w:val="20"/>
          <w:szCs w:val="20"/>
          <w:lang w:val="en-US"/>
        </w:rPr>
        <w:t xml:space="preserve"> </w:t>
      </w:r>
      <w:r w:rsidRPr="000977F7">
        <w:rPr>
          <w:rFonts w:asciiTheme="majorHAnsi" w:hAnsiTheme="majorHAnsi"/>
          <w:sz w:val="20"/>
          <w:szCs w:val="20"/>
        </w:rPr>
        <w:t>споживчі</w:t>
      </w:r>
      <w:r w:rsidRPr="004D2D14">
        <w:rPr>
          <w:rFonts w:asciiTheme="majorHAnsi" w:hAnsiTheme="majorHAnsi"/>
          <w:sz w:val="20"/>
          <w:szCs w:val="20"/>
          <w:lang w:val="en-US"/>
        </w:rPr>
        <w:t xml:space="preserve"> </w:t>
      </w:r>
      <w:r w:rsidRPr="000977F7">
        <w:rPr>
          <w:rFonts w:asciiTheme="majorHAnsi" w:hAnsiTheme="majorHAnsi"/>
          <w:sz w:val="20"/>
          <w:szCs w:val="20"/>
        </w:rPr>
        <w:t>характеристики</w:t>
      </w:r>
      <w:r w:rsidRPr="004D2D14">
        <w:rPr>
          <w:rFonts w:asciiTheme="majorHAnsi" w:hAnsiTheme="majorHAnsi"/>
          <w:sz w:val="20"/>
          <w:szCs w:val="20"/>
          <w:lang w:val="en-US"/>
        </w:rPr>
        <w:t xml:space="preserve"> (</w:t>
      </w:r>
      <w:r w:rsidRPr="000977F7">
        <w:rPr>
          <w:rFonts w:asciiTheme="majorHAnsi" w:hAnsiTheme="majorHAnsi"/>
          <w:sz w:val="20"/>
          <w:szCs w:val="20"/>
        </w:rPr>
        <w:t>фізичні</w:t>
      </w:r>
      <w:r w:rsidRPr="004D2D14">
        <w:rPr>
          <w:rFonts w:asciiTheme="majorHAnsi" w:hAnsiTheme="majorHAnsi"/>
          <w:sz w:val="20"/>
          <w:szCs w:val="20"/>
          <w:lang w:val="en-US"/>
        </w:rPr>
        <w:t xml:space="preserve">, </w:t>
      </w:r>
      <w:r w:rsidRPr="000977F7">
        <w:rPr>
          <w:rFonts w:asciiTheme="majorHAnsi" w:hAnsiTheme="majorHAnsi"/>
          <w:sz w:val="20"/>
          <w:szCs w:val="20"/>
        </w:rPr>
        <w:t>механічні</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інші</w:t>
      </w:r>
      <w:r w:rsidRPr="004D2D14">
        <w:rPr>
          <w:rFonts w:asciiTheme="majorHAnsi" w:hAnsiTheme="majorHAnsi"/>
          <w:sz w:val="20"/>
          <w:szCs w:val="20"/>
          <w:lang w:val="en-US"/>
        </w:rPr>
        <w:t xml:space="preserve"> </w:t>
      </w:r>
      <w:r w:rsidRPr="000977F7">
        <w:rPr>
          <w:rFonts w:asciiTheme="majorHAnsi" w:hAnsiTheme="majorHAnsi"/>
          <w:sz w:val="20"/>
          <w:szCs w:val="20"/>
        </w:rPr>
        <w:t>властивості</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p>
    <w:p w14:paraId="72DC55F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b/>
          <w:sz w:val="20"/>
          <w:szCs w:val="20"/>
        </w:rPr>
        <w:t>СТАНДАРТ</w:t>
      </w:r>
      <w:r w:rsidRPr="004D2D14">
        <w:rPr>
          <w:rFonts w:asciiTheme="majorHAnsi" w:hAnsiTheme="majorHAnsi"/>
          <w:b/>
          <w:sz w:val="20"/>
          <w:szCs w:val="20"/>
          <w:lang w:val="en-US"/>
        </w:rPr>
        <w:t xml:space="preserve"> </w:t>
      </w:r>
      <w:r w:rsidRPr="000977F7">
        <w:rPr>
          <w:rFonts w:asciiTheme="majorHAnsi" w:hAnsiTheme="majorHAnsi"/>
          <w:b/>
          <w:sz w:val="20"/>
          <w:szCs w:val="20"/>
        </w:rPr>
        <w:t>МЕТОДІВ</w:t>
      </w:r>
      <w:r w:rsidRPr="004D2D14">
        <w:rPr>
          <w:rFonts w:asciiTheme="majorHAnsi" w:hAnsiTheme="majorHAnsi"/>
          <w:b/>
          <w:sz w:val="20"/>
          <w:szCs w:val="20"/>
          <w:lang w:val="en-US"/>
        </w:rPr>
        <w:t xml:space="preserve"> </w:t>
      </w:r>
      <w:r w:rsidRPr="000977F7">
        <w:rPr>
          <w:rFonts w:asciiTheme="majorHAnsi" w:hAnsiTheme="majorHAnsi"/>
          <w:b/>
          <w:sz w:val="20"/>
          <w:szCs w:val="20"/>
        </w:rPr>
        <w:t>ВИПРОБУВАНЬ</w:t>
      </w:r>
      <w:r w:rsidRPr="004D2D14">
        <w:rPr>
          <w:rFonts w:asciiTheme="majorHAnsi" w:hAnsiTheme="majorHAnsi"/>
          <w:b/>
          <w:sz w:val="20"/>
          <w:szCs w:val="20"/>
          <w:lang w:val="en-US"/>
        </w:rPr>
        <w:t xml:space="preserve"> –</w:t>
      </w:r>
      <w:r w:rsidRPr="004D2D14">
        <w:rPr>
          <w:rFonts w:asciiTheme="majorHAnsi" w:hAnsiTheme="majorHAnsi"/>
          <w:b/>
          <w:spacing w:val="1"/>
          <w:sz w:val="20"/>
          <w:szCs w:val="20"/>
          <w:lang w:val="en-US"/>
        </w:rPr>
        <w:t xml:space="preserve"> </w:t>
      </w:r>
      <w:r w:rsidRPr="004D2D14">
        <w:rPr>
          <w:rFonts w:asciiTheme="majorHAnsi" w:hAnsiTheme="majorHAnsi"/>
          <w:sz w:val="20"/>
          <w:szCs w:val="20"/>
          <w:lang w:val="en-US"/>
        </w:rPr>
        <w:t>TESTING</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STANDARD</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09DBF095" w14:textId="77777777" w:rsidR="0097612F" w:rsidRPr="004D2D14" w:rsidRDefault="0097612F" w:rsidP="000977F7">
      <w:pPr>
        <w:pStyle w:val="af6"/>
        <w:tabs>
          <w:tab w:val="left" w:pos="284"/>
        </w:tabs>
        <w:spacing w:after="0"/>
        <w:ind w:left="170"/>
        <w:mirrorIndents/>
        <w:jc w:val="both"/>
        <w:rPr>
          <w:rFonts w:asciiTheme="majorHAnsi" w:hAnsiTheme="majorHAnsi"/>
          <w:spacing w:val="-47"/>
          <w:sz w:val="20"/>
          <w:szCs w:val="20"/>
          <w:lang w:val="en-US"/>
        </w:rPr>
      </w:pPr>
      <w:r w:rsidRPr="000977F7">
        <w:rPr>
          <w:rFonts w:asciiTheme="majorHAnsi" w:hAnsiTheme="majorHAnsi"/>
          <w:sz w:val="20"/>
          <w:szCs w:val="20"/>
        </w:rPr>
        <w:t>Стандарт</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встановлює</w:t>
      </w:r>
      <w:r w:rsidRPr="004D2D14">
        <w:rPr>
          <w:rFonts w:asciiTheme="majorHAnsi" w:hAnsiTheme="majorHAnsi"/>
          <w:sz w:val="20"/>
          <w:szCs w:val="20"/>
          <w:lang w:val="en-US"/>
        </w:rPr>
        <w:t xml:space="preserve"> </w:t>
      </w:r>
      <w:r w:rsidRPr="000977F7">
        <w:rPr>
          <w:rFonts w:asciiTheme="majorHAnsi" w:hAnsiTheme="majorHAnsi"/>
          <w:sz w:val="20"/>
          <w:szCs w:val="20"/>
        </w:rPr>
        <w:t>методи</w:t>
      </w:r>
      <w:r w:rsidRPr="004D2D14">
        <w:rPr>
          <w:rFonts w:asciiTheme="majorHAnsi" w:hAnsiTheme="majorHAnsi"/>
          <w:sz w:val="20"/>
          <w:szCs w:val="20"/>
          <w:lang w:val="en-US"/>
        </w:rPr>
        <w:t xml:space="preserve"> </w:t>
      </w:r>
      <w:r w:rsidRPr="000977F7">
        <w:rPr>
          <w:rFonts w:asciiTheme="majorHAnsi" w:hAnsiTheme="majorHAnsi"/>
          <w:sz w:val="20"/>
          <w:szCs w:val="20"/>
        </w:rPr>
        <w:t>випробувань</w:t>
      </w:r>
      <w:r w:rsidRPr="004D2D14">
        <w:rPr>
          <w:rFonts w:asciiTheme="majorHAnsi" w:hAnsiTheme="majorHAnsi"/>
          <w:sz w:val="20"/>
          <w:szCs w:val="20"/>
          <w:lang w:val="en-US"/>
        </w:rPr>
        <w:t xml:space="preserve">, </w:t>
      </w:r>
      <w:r w:rsidRPr="000977F7">
        <w:rPr>
          <w:rFonts w:asciiTheme="majorHAnsi" w:hAnsiTheme="majorHAnsi"/>
          <w:sz w:val="20"/>
          <w:szCs w:val="20"/>
        </w:rPr>
        <w:t>іноді</w:t>
      </w:r>
      <w:r w:rsidRPr="004D2D14">
        <w:rPr>
          <w:rFonts w:asciiTheme="majorHAnsi" w:hAnsiTheme="majorHAnsi"/>
          <w:spacing w:val="1"/>
          <w:sz w:val="20"/>
          <w:szCs w:val="20"/>
          <w:lang w:val="en-US"/>
        </w:rPr>
        <w:t xml:space="preserve"> </w:t>
      </w:r>
      <w:r w:rsidRPr="000977F7">
        <w:rPr>
          <w:rFonts w:asciiTheme="majorHAnsi" w:hAnsiTheme="majorHAnsi"/>
          <w:sz w:val="20"/>
          <w:szCs w:val="20"/>
        </w:rPr>
        <w:t>доповнені</w:t>
      </w:r>
      <w:r w:rsidRPr="004D2D14">
        <w:rPr>
          <w:rFonts w:asciiTheme="majorHAnsi" w:hAnsiTheme="majorHAnsi"/>
          <w:sz w:val="20"/>
          <w:szCs w:val="20"/>
          <w:lang w:val="en-US"/>
        </w:rPr>
        <w:t xml:space="preserve"> </w:t>
      </w:r>
      <w:r w:rsidRPr="000977F7">
        <w:rPr>
          <w:rFonts w:asciiTheme="majorHAnsi" w:hAnsiTheme="majorHAnsi"/>
          <w:sz w:val="20"/>
          <w:szCs w:val="20"/>
        </w:rPr>
        <w:t>іншими</w:t>
      </w:r>
      <w:r w:rsidRPr="004D2D14">
        <w:rPr>
          <w:rFonts w:asciiTheme="majorHAnsi" w:hAnsiTheme="majorHAnsi"/>
          <w:sz w:val="20"/>
          <w:szCs w:val="20"/>
          <w:lang w:val="en-US"/>
        </w:rPr>
        <w:t xml:space="preserve"> </w:t>
      </w:r>
      <w:r w:rsidRPr="000977F7">
        <w:rPr>
          <w:rFonts w:asciiTheme="majorHAnsi" w:hAnsiTheme="majorHAnsi"/>
          <w:sz w:val="20"/>
          <w:szCs w:val="20"/>
        </w:rPr>
        <w:t>положеннями</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стосуються</w:t>
      </w:r>
      <w:r w:rsidRPr="004D2D14">
        <w:rPr>
          <w:rFonts w:asciiTheme="majorHAnsi" w:hAnsiTheme="majorHAnsi"/>
          <w:sz w:val="20"/>
          <w:szCs w:val="20"/>
          <w:lang w:val="en-US"/>
        </w:rPr>
        <w:t xml:space="preserve"> </w:t>
      </w:r>
      <w:r w:rsidRPr="000977F7">
        <w:rPr>
          <w:rFonts w:asciiTheme="majorHAnsi" w:hAnsiTheme="majorHAnsi"/>
          <w:sz w:val="20"/>
          <w:szCs w:val="20"/>
        </w:rPr>
        <w:t>випробувань</w:t>
      </w:r>
      <w:r w:rsidRPr="004D2D14">
        <w:rPr>
          <w:rFonts w:asciiTheme="majorHAnsi" w:hAnsiTheme="majorHAnsi"/>
          <w:sz w:val="20"/>
          <w:szCs w:val="20"/>
          <w:lang w:val="en-US"/>
        </w:rPr>
        <w:t xml:space="preserve">, </w:t>
      </w:r>
      <w:r w:rsidRPr="000977F7">
        <w:rPr>
          <w:rFonts w:asciiTheme="majorHAnsi" w:hAnsiTheme="majorHAnsi"/>
          <w:sz w:val="20"/>
          <w:szCs w:val="20"/>
        </w:rPr>
        <w:t>наприклад</w:t>
      </w:r>
      <w:r w:rsidRPr="004D2D14">
        <w:rPr>
          <w:rFonts w:asciiTheme="majorHAnsi" w:hAnsiTheme="majorHAnsi"/>
          <w:sz w:val="20"/>
          <w:szCs w:val="20"/>
          <w:lang w:val="en-US"/>
        </w:rPr>
        <w:t xml:space="preserve">: </w:t>
      </w:r>
      <w:r w:rsidRPr="000977F7">
        <w:rPr>
          <w:rFonts w:asciiTheme="majorHAnsi" w:hAnsiTheme="majorHAnsi"/>
          <w:sz w:val="20"/>
          <w:szCs w:val="20"/>
        </w:rPr>
        <w:t>відбір</w:t>
      </w:r>
      <w:r w:rsidRPr="004D2D14">
        <w:rPr>
          <w:rFonts w:asciiTheme="majorHAnsi" w:hAnsiTheme="majorHAnsi"/>
          <w:sz w:val="20"/>
          <w:szCs w:val="20"/>
          <w:lang w:val="en-US"/>
        </w:rPr>
        <w:t xml:space="preserve"> </w:t>
      </w:r>
      <w:r w:rsidRPr="000977F7">
        <w:rPr>
          <w:rFonts w:asciiTheme="majorHAnsi" w:hAnsiTheme="majorHAnsi"/>
          <w:sz w:val="20"/>
          <w:szCs w:val="20"/>
        </w:rPr>
        <w:t>проб</w:t>
      </w:r>
      <w:r w:rsidRPr="004D2D14">
        <w:rPr>
          <w:rFonts w:asciiTheme="majorHAnsi" w:hAnsiTheme="majorHAnsi"/>
          <w:sz w:val="20"/>
          <w:szCs w:val="20"/>
          <w:lang w:val="en-US"/>
        </w:rPr>
        <w:t xml:space="preserve">, </w:t>
      </w:r>
      <w:r w:rsidRPr="000977F7">
        <w:rPr>
          <w:rFonts w:asciiTheme="majorHAnsi" w:hAnsiTheme="majorHAnsi"/>
          <w:sz w:val="20"/>
          <w:szCs w:val="20"/>
        </w:rPr>
        <w:t>використання</w:t>
      </w:r>
      <w:r w:rsidRPr="004D2D14">
        <w:rPr>
          <w:rFonts w:asciiTheme="majorHAnsi" w:hAnsiTheme="majorHAnsi"/>
          <w:sz w:val="20"/>
          <w:szCs w:val="20"/>
          <w:lang w:val="en-US"/>
        </w:rPr>
        <w:t xml:space="preserve"> </w:t>
      </w:r>
      <w:r w:rsidRPr="000977F7">
        <w:rPr>
          <w:rFonts w:asciiTheme="majorHAnsi" w:hAnsiTheme="majorHAnsi"/>
          <w:sz w:val="20"/>
          <w:szCs w:val="20"/>
        </w:rPr>
        <w:t>ста</w:t>
      </w:r>
      <w:r w:rsidRPr="000977F7">
        <w:rPr>
          <w:rFonts w:asciiTheme="majorHAnsi" w:hAnsiTheme="majorHAnsi"/>
          <w:spacing w:val="-2"/>
          <w:sz w:val="20"/>
          <w:szCs w:val="20"/>
        </w:rPr>
        <w:t>тистичних</w:t>
      </w:r>
      <w:r w:rsidRPr="004D2D14">
        <w:rPr>
          <w:rFonts w:asciiTheme="majorHAnsi" w:hAnsiTheme="majorHAnsi"/>
          <w:spacing w:val="-2"/>
          <w:sz w:val="20"/>
          <w:szCs w:val="20"/>
          <w:lang w:val="en-US"/>
        </w:rPr>
        <w:t xml:space="preserve"> </w:t>
      </w:r>
      <w:r w:rsidRPr="000977F7">
        <w:rPr>
          <w:rFonts w:asciiTheme="majorHAnsi" w:hAnsiTheme="majorHAnsi"/>
          <w:spacing w:val="-2"/>
          <w:sz w:val="20"/>
          <w:szCs w:val="20"/>
        </w:rPr>
        <w:t>методів</w:t>
      </w:r>
      <w:r w:rsidRPr="004D2D14">
        <w:rPr>
          <w:rFonts w:asciiTheme="majorHAnsi" w:hAnsiTheme="majorHAnsi"/>
          <w:spacing w:val="-2"/>
          <w:sz w:val="20"/>
          <w:szCs w:val="20"/>
          <w:lang w:val="en-US"/>
        </w:rPr>
        <w:t xml:space="preserve"> </w:t>
      </w:r>
      <w:r w:rsidRPr="000977F7">
        <w:rPr>
          <w:rFonts w:asciiTheme="majorHAnsi" w:hAnsiTheme="majorHAnsi"/>
          <w:spacing w:val="-2"/>
          <w:sz w:val="20"/>
          <w:szCs w:val="20"/>
        </w:rPr>
        <w:t>та</w:t>
      </w:r>
      <w:r w:rsidRPr="004D2D14">
        <w:rPr>
          <w:rFonts w:asciiTheme="majorHAnsi" w:hAnsiTheme="majorHAnsi"/>
          <w:spacing w:val="-2"/>
          <w:sz w:val="20"/>
          <w:szCs w:val="20"/>
          <w:lang w:val="en-US"/>
        </w:rPr>
        <w:t xml:space="preserve"> </w:t>
      </w:r>
      <w:r w:rsidRPr="000977F7">
        <w:rPr>
          <w:rFonts w:asciiTheme="majorHAnsi" w:hAnsiTheme="majorHAnsi"/>
          <w:spacing w:val="-2"/>
          <w:sz w:val="20"/>
          <w:szCs w:val="20"/>
        </w:rPr>
        <w:t>порядок</w:t>
      </w:r>
      <w:r w:rsidRPr="004D2D14">
        <w:rPr>
          <w:rFonts w:asciiTheme="majorHAnsi" w:hAnsiTheme="majorHAnsi"/>
          <w:spacing w:val="-2"/>
          <w:sz w:val="20"/>
          <w:szCs w:val="20"/>
          <w:lang w:val="en-US"/>
        </w:rPr>
        <w:t xml:space="preserve"> </w:t>
      </w:r>
      <w:r w:rsidRPr="000977F7">
        <w:rPr>
          <w:rFonts w:asciiTheme="majorHAnsi" w:hAnsiTheme="majorHAnsi"/>
          <w:spacing w:val="-1"/>
          <w:sz w:val="20"/>
          <w:szCs w:val="20"/>
        </w:rPr>
        <w:t>проведення</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випробувань</w:t>
      </w:r>
      <w:r w:rsidRPr="004D2D14">
        <w:rPr>
          <w:rFonts w:asciiTheme="majorHAnsi" w:hAnsiTheme="majorHAnsi"/>
          <w:spacing w:val="-47"/>
          <w:sz w:val="20"/>
          <w:szCs w:val="20"/>
          <w:lang w:val="en-US"/>
        </w:rPr>
        <w:t xml:space="preserve"> </w:t>
      </w:r>
    </w:p>
    <w:p w14:paraId="55A9289E"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6"/>
          <w:sz w:val="20"/>
          <w:szCs w:val="20"/>
        </w:rPr>
        <w:t xml:space="preserve"> </w:t>
      </w:r>
      <w:r w:rsidRPr="000977F7">
        <w:rPr>
          <w:rFonts w:asciiTheme="majorHAnsi" w:hAnsiTheme="majorHAnsi"/>
          <w:i/>
          <w:sz w:val="20"/>
          <w:szCs w:val="20"/>
        </w:rPr>
        <w:t>3021</w:t>
      </w:r>
      <w:r w:rsidRPr="000977F7">
        <w:rPr>
          <w:rFonts w:asciiTheme="majorHAnsi" w:hAnsiTheme="majorHAnsi"/>
          <w:i/>
          <w:spacing w:val="-4"/>
          <w:sz w:val="20"/>
          <w:szCs w:val="20"/>
        </w:rPr>
        <w:t xml:space="preserve"> </w:t>
      </w:r>
      <w:r w:rsidRPr="000977F7">
        <w:rPr>
          <w:rFonts w:asciiTheme="majorHAnsi" w:hAnsiTheme="majorHAnsi"/>
          <w:i/>
          <w:sz w:val="20"/>
          <w:szCs w:val="20"/>
        </w:rPr>
        <w:t>–</w:t>
      </w:r>
      <w:r w:rsidRPr="000977F7">
        <w:rPr>
          <w:rFonts w:asciiTheme="majorHAnsi" w:hAnsiTheme="majorHAnsi"/>
          <w:i/>
          <w:spacing w:val="-4"/>
          <w:sz w:val="20"/>
          <w:szCs w:val="20"/>
        </w:rPr>
        <w:t xml:space="preserve"> </w:t>
      </w:r>
      <w:r w:rsidRPr="000977F7">
        <w:rPr>
          <w:rFonts w:asciiTheme="majorHAnsi" w:hAnsiTheme="majorHAnsi"/>
          <w:i/>
          <w:sz w:val="20"/>
          <w:szCs w:val="20"/>
        </w:rPr>
        <w:t>95;</w:t>
      </w:r>
    </w:p>
    <w:p w14:paraId="558820D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w:t>
      </w:r>
      <w:r w:rsidRPr="000977F7">
        <w:rPr>
          <w:color w:val="auto"/>
          <w:spacing w:val="-5"/>
          <w:sz w:val="20"/>
          <w:szCs w:val="20"/>
        </w:rPr>
        <w:t xml:space="preserve"> </w:t>
      </w:r>
      <w:r w:rsidRPr="000977F7">
        <w:rPr>
          <w:color w:val="auto"/>
          <w:sz w:val="20"/>
          <w:szCs w:val="20"/>
        </w:rPr>
        <w:t>МЕТОДІВ</w:t>
      </w:r>
      <w:r w:rsidRPr="000977F7">
        <w:rPr>
          <w:color w:val="auto"/>
          <w:spacing w:val="-4"/>
          <w:sz w:val="20"/>
          <w:szCs w:val="20"/>
        </w:rPr>
        <w:t xml:space="preserve"> </w:t>
      </w:r>
      <w:r w:rsidRPr="000977F7">
        <w:rPr>
          <w:color w:val="auto"/>
          <w:sz w:val="20"/>
          <w:szCs w:val="20"/>
        </w:rPr>
        <w:t>ВІДБОРУ</w:t>
      </w:r>
      <w:r w:rsidRPr="000977F7">
        <w:rPr>
          <w:color w:val="auto"/>
          <w:spacing w:val="-4"/>
          <w:sz w:val="20"/>
          <w:szCs w:val="20"/>
        </w:rPr>
        <w:t xml:space="preserve"> </w:t>
      </w:r>
      <w:r w:rsidRPr="000977F7">
        <w:rPr>
          <w:color w:val="auto"/>
          <w:sz w:val="20"/>
          <w:szCs w:val="20"/>
        </w:rPr>
        <w:t>І</w:t>
      </w:r>
      <w:r w:rsidRPr="000977F7">
        <w:rPr>
          <w:color w:val="auto"/>
          <w:spacing w:val="-5"/>
          <w:sz w:val="20"/>
          <w:szCs w:val="20"/>
        </w:rPr>
        <w:t xml:space="preserve"> </w:t>
      </w:r>
      <w:r w:rsidRPr="000977F7">
        <w:rPr>
          <w:color w:val="auto"/>
          <w:sz w:val="20"/>
          <w:szCs w:val="20"/>
        </w:rPr>
        <w:t>ПІДГОТОВКИ</w:t>
      </w:r>
      <w:r w:rsidRPr="000977F7">
        <w:rPr>
          <w:color w:val="auto"/>
          <w:spacing w:val="-47"/>
          <w:sz w:val="20"/>
          <w:szCs w:val="20"/>
        </w:rPr>
        <w:t xml:space="preserve"> </w:t>
      </w:r>
      <w:r w:rsidRPr="000977F7">
        <w:rPr>
          <w:color w:val="auto"/>
          <w:sz w:val="20"/>
          <w:szCs w:val="20"/>
        </w:rPr>
        <w:t>ПРОБ –</w:t>
      </w:r>
    </w:p>
    <w:p w14:paraId="6260EA7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STANDARD</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ON</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SAMPLING</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AND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SAMPLE</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PRERARATION –</w:t>
      </w:r>
    </w:p>
    <w:p w14:paraId="3B0EC11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що встановлює обладнання і інструменти,</w:t>
      </w:r>
      <w:r w:rsidRPr="000977F7">
        <w:rPr>
          <w:rFonts w:asciiTheme="majorHAnsi" w:hAnsiTheme="majorHAnsi"/>
          <w:spacing w:val="1"/>
          <w:sz w:val="20"/>
          <w:szCs w:val="20"/>
        </w:rPr>
        <w:t xml:space="preserve"> </w:t>
      </w:r>
      <w:r w:rsidRPr="000977F7">
        <w:rPr>
          <w:rFonts w:asciiTheme="majorHAnsi" w:hAnsiTheme="majorHAnsi"/>
          <w:sz w:val="20"/>
          <w:szCs w:val="20"/>
        </w:rPr>
        <w:t>параметри і спосіб відбору проб, правила підготовки,</w:t>
      </w:r>
      <w:r w:rsidRPr="000977F7">
        <w:rPr>
          <w:rFonts w:asciiTheme="majorHAnsi" w:hAnsiTheme="majorHAnsi"/>
          <w:spacing w:val="1"/>
          <w:sz w:val="20"/>
          <w:szCs w:val="20"/>
        </w:rPr>
        <w:t xml:space="preserve"> </w:t>
      </w:r>
      <w:r w:rsidRPr="000977F7">
        <w:rPr>
          <w:rFonts w:asciiTheme="majorHAnsi" w:hAnsiTheme="majorHAnsi"/>
          <w:sz w:val="20"/>
          <w:szCs w:val="20"/>
        </w:rPr>
        <w:t>пакування,</w:t>
      </w:r>
      <w:r w:rsidRPr="000977F7">
        <w:rPr>
          <w:rFonts w:asciiTheme="majorHAnsi" w:hAnsiTheme="majorHAnsi"/>
          <w:spacing w:val="-7"/>
          <w:sz w:val="20"/>
          <w:szCs w:val="20"/>
        </w:rPr>
        <w:t xml:space="preserve"> </w:t>
      </w:r>
      <w:r w:rsidRPr="000977F7">
        <w:rPr>
          <w:rFonts w:asciiTheme="majorHAnsi" w:hAnsiTheme="majorHAnsi"/>
          <w:sz w:val="20"/>
          <w:szCs w:val="20"/>
        </w:rPr>
        <w:t>маркування</w:t>
      </w:r>
      <w:r w:rsidRPr="000977F7">
        <w:rPr>
          <w:rFonts w:asciiTheme="majorHAnsi" w:hAnsiTheme="majorHAnsi"/>
          <w:spacing w:val="-5"/>
          <w:sz w:val="20"/>
          <w:szCs w:val="20"/>
        </w:rPr>
        <w:t xml:space="preserve"> </w:t>
      </w:r>
      <w:r w:rsidRPr="000977F7">
        <w:rPr>
          <w:rFonts w:asciiTheme="majorHAnsi" w:hAnsiTheme="majorHAnsi"/>
          <w:sz w:val="20"/>
          <w:szCs w:val="20"/>
        </w:rPr>
        <w:t>і</w:t>
      </w:r>
      <w:r w:rsidRPr="000977F7">
        <w:rPr>
          <w:rFonts w:asciiTheme="majorHAnsi" w:hAnsiTheme="majorHAnsi"/>
          <w:spacing w:val="-7"/>
          <w:sz w:val="20"/>
          <w:szCs w:val="20"/>
        </w:rPr>
        <w:t xml:space="preserve"> </w:t>
      </w:r>
      <w:r w:rsidRPr="000977F7">
        <w:rPr>
          <w:rFonts w:asciiTheme="majorHAnsi" w:hAnsiTheme="majorHAnsi"/>
          <w:sz w:val="20"/>
          <w:szCs w:val="20"/>
        </w:rPr>
        <w:t>зберігання</w:t>
      </w:r>
      <w:r w:rsidRPr="000977F7">
        <w:rPr>
          <w:rFonts w:asciiTheme="majorHAnsi" w:hAnsiTheme="majorHAnsi"/>
          <w:spacing w:val="-6"/>
          <w:sz w:val="20"/>
          <w:szCs w:val="20"/>
        </w:rPr>
        <w:t xml:space="preserve"> </w:t>
      </w:r>
      <w:r w:rsidRPr="000977F7">
        <w:rPr>
          <w:rFonts w:asciiTheme="majorHAnsi" w:hAnsiTheme="majorHAnsi"/>
          <w:sz w:val="20"/>
          <w:szCs w:val="20"/>
        </w:rPr>
        <w:t>проб</w:t>
      </w:r>
    </w:p>
    <w:p w14:paraId="4011CF71"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СТАНДАРТ МЕТОДІВ І ЗАСОБІВ ПЕРЕВІРКИ –</w:t>
      </w:r>
    </w:p>
    <w:p w14:paraId="064FFE37"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STANDARD</w:t>
      </w:r>
      <w:r w:rsidRPr="004D2D14">
        <w:rPr>
          <w:rFonts w:asciiTheme="majorHAnsi" w:hAnsiTheme="majorHAnsi"/>
          <w:spacing w:val="21"/>
          <w:sz w:val="20"/>
          <w:szCs w:val="20"/>
          <w:lang w:val="en-US"/>
        </w:rPr>
        <w:t xml:space="preserve"> </w:t>
      </w:r>
      <w:r w:rsidRPr="004D2D14">
        <w:rPr>
          <w:rFonts w:asciiTheme="majorHAnsi" w:hAnsiTheme="majorHAnsi"/>
          <w:sz w:val="20"/>
          <w:szCs w:val="20"/>
          <w:lang w:val="en-US"/>
        </w:rPr>
        <w:t>ON</w:t>
      </w:r>
      <w:r w:rsidRPr="004D2D14">
        <w:rPr>
          <w:rFonts w:asciiTheme="majorHAnsi" w:hAnsiTheme="majorHAnsi"/>
          <w:spacing w:val="24"/>
          <w:sz w:val="20"/>
          <w:szCs w:val="20"/>
          <w:lang w:val="en-US"/>
        </w:rPr>
        <w:t xml:space="preserve"> </w:t>
      </w:r>
      <w:r w:rsidRPr="004D2D14">
        <w:rPr>
          <w:rFonts w:asciiTheme="majorHAnsi" w:hAnsiTheme="majorHAnsi"/>
          <w:sz w:val="20"/>
          <w:szCs w:val="20"/>
          <w:lang w:val="en-US"/>
        </w:rPr>
        <w:t>VERIFICATION</w:t>
      </w:r>
      <w:r w:rsidRPr="004D2D14">
        <w:rPr>
          <w:rFonts w:asciiTheme="majorHAnsi" w:hAnsiTheme="majorHAnsi"/>
          <w:spacing w:val="21"/>
          <w:sz w:val="20"/>
          <w:szCs w:val="20"/>
          <w:lang w:val="en-US"/>
        </w:rPr>
        <w:t xml:space="preserve"> </w:t>
      </w:r>
      <w:r w:rsidRPr="004D2D14">
        <w:rPr>
          <w:rFonts w:asciiTheme="majorHAnsi" w:hAnsiTheme="majorHAnsi"/>
          <w:sz w:val="20"/>
          <w:szCs w:val="20"/>
          <w:lang w:val="en-US"/>
        </w:rPr>
        <w:t>METHODS</w:t>
      </w:r>
      <w:r w:rsidRPr="004D2D14">
        <w:rPr>
          <w:rFonts w:asciiTheme="majorHAnsi" w:hAnsiTheme="majorHAnsi"/>
          <w:spacing w:val="24"/>
          <w:sz w:val="20"/>
          <w:szCs w:val="20"/>
          <w:lang w:val="en-US"/>
        </w:rPr>
        <w:t xml:space="preserve"> </w:t>
      </w:r>
      <w:r w:rsidRPr="004D2D14">
        <w:rPr>
          <w:rFonts w:asciiTheme="majorHAnsi" w:hAnsiTheme="majorHAnsi"/>
          <w:sz w:val="20"/>
          <w:szCs w:val="20"/>
          <w:lang w:val="en-US"/>
        </w:rPr>
        <w:t>AND</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FACILITIES –</w:t>
      </w:r>
    </w:p>
    <w:p w14:paraId="45D8477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Стандарт</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встановлює</w:t>
      </w:r>
      <w:r w:rsidRPr="004D2D14">
        <w:rPr>
          <w:rFonts w:asciiTheme="majorHAnsi" w:hAnsiTheme="majorHAnsi"/>
          <w:sz w:val="20"/>
          <w:szCs w:val="20"/>
          <w:lang w:val="en-US"/>
        </w:rPr>
        <w:t xml:space="preserve"> </w:t>
      </w:r>
      <w:r w:rsidRPr="000977F7">
        <w:rPr>
          <w:rFonts w:asciiTheme="majorHAnsi" w:hAnsiTheme="majorHAnsi"/>
          <w:sz w:val="20"/>
          <w:szCs w:val="20"/>
        </w:rPr>
        <w:t>методи</w:t>
      </w:r>
      <w:r w:rsidRPr="004D2D14">
        <w:rPr>
          <w:rFonts w:asciiTheme="majorHAnsi" w:hAnsiTheme="majorHAnsi"/>
          <w:sz w:val="20"/>
          <w:szCs w:val="20"/>
          <w:lang w:val="en-US"/>
        </w:rPr>
        <w:t xml:space="preserve"> </w:t>
      </w:r>
      <w:r w:rsidRPr="000977F7">
        <w:rPr>
          <w:rFonts w:asciiTheme="majorHAnsi" w:hAnsiTheme="majorHAnsi"/>
          <w:sz w:val="20"/>
          <w:szCs w:val="20"/>
        </w:rPr>
        <w:t>проведення</w:t>
      </w:r>
      <w:r w:rsidRPr="004D2D14">
        <w:rPr>
          <w:rFonts w:asciiTheme="majorHAnsi" w:hAnsiTheme="majorHAnsi"/>
          <w:sz w:val="20"/>
          <w:szCs w:val="20"/>
          <w:lang w:val="en-US"/>
        </w:rPr>
        <w:t xml:space="preserve"> </w:t>
      </w:r>
      <w:r w:rsidRPr="000977F7">
        <w:rPr>
          <w:rFonts w:asciiTheme="majorHAnsi" w:hAnsiTheme="majorHAnsi"/>
          <w:sz w:val="20"/>
          <w:szCs w:val="20"/>
        </w:rPr>
        <w:t>перевірок</w:t>
      </w:r>
      <w:r w:rsidRPr="004D2D14">
        <w:rPr>
          <w:rFonts w:asciiTheme="majorHAnsi" w:hAnsiTheme="majorHAnsi"/>
          <w:sz w:val="20"/>
          <w:szCs w:val="20"/>
          <w:lang w:val="en-US"/>
        </w:rPr>
        <w:t xml:space="preserve"> </w:t>
      </w:r>
      <w:r w:rsidRPr="000977F7">
        <w:rPr>
          <w:rFonts w:asciiTheme="majorHAnsi" w:hAnsiTheme="majorHAnsi"/>
          <w:sz w:val="20"/>
          <w:szCs w:val="20"/>
        </w:rPr>
        <w:t>зразкових</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робочих</w:t>
      </w:r>
      <w:r w:rsidRPr="004D2D14">
        <w:rPr>
          <w:rFonts w:asciiTheme="majorHAnsi" w:hAnsiTheme="majorHAnsi"/>
          <w:sz w:val="20"/>
          <w:szCs w:val="20"/>
          <w:lang w:val="en-US"/>
        </w:rPr>
        <w:t xml:space="preserve"> </w:t>
      </w:r>
      <w:r w:rsidRPr="000977F7">
        <w:rPr>
          <w:rFonts w:asciiTheme="majorHAnsi" w:hAnsiTheme="majorHAnsi"/>
          <w:sz w:val="20"/>
          <w:szCs w:val="20"/>
        </w:rPr>
        <w:t>засобів</w:t>
      </w:r>
      <w:r w:rsidRPr="004D2D14">
        <w:rPr>
          <w:rFonts w:asciiTheme="majorHAnsi" w:hAnsiTheme="majorHAnsi"/>
          <w:sz w:val="20"/>
          <w:szCs w:val="20"/>
          <w:lang w:val="en-US"/>
        </w:rPr>
        <w:t xml:space="preserve"> </w:t>
      </w:r>
      <w:r w:rsidRPr="000977F7">
        <w:rPr>
          <w:rFonts w:asciiTheme="majorHAnsi" w:hAnsiTheme="majorHAnsi"/>
          <w:sz w:val="20"/>
          <w:szCs w:val="20"/>
        </w:rPr>
        <w:t>вимірювань</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z w:val="20"/>
          <w:szCs w:val="20"/>
          <w:lang w:val="en-US"/>
        </w:rPr>
        <w:t xml:space="preserve"> </w:t>
      </w:r>
      <w:r w:rsidRPr="000977F7">
        <w:rPr>
          <w:rFonts w:asciiTheme="majorHAnsi" w:hAnsiTheme="majorHAnsi"/>
          <w:sz w:val="20"/>
          <w:szCs w:val="20"/>
        </w:rPr>
        <w:t>зазначенням</w:t>
      </w:r>
      <w:r w:rsidRPr="004D2D14">
        <w:rPr>
          <w:rFonts w:asciiTheme="majorHAnsi" w:hAnsiTheme="majorHAnsi"/>
          <w:spacing w:val="2"/>
          <w:sz w:val="20"/>
          <w:szCs w:val="20"/>
          <w:lang w:val="en-US"/>
        </w:rPr>
        <w:t xml:space="preserve"> </w:t>
      </w:r>
      <w:r w:rsidRPr="000977F7">
        <w:rPr>
          <w:rFonts w:asciiTheme="majorHAnsi" w:hAnsiTheme="majorHAnsi"/>
          <w:sz w:val="20"/>
          <w:szCs w:val="20"/>
        </w:rPr>
        <w:t>умов</w:t>
      </w:r>
      <w:r w:rsidRPr="004D2D14">
        <w:rPr>
          <w:rFonts w:asciiTheme="majorHAnsi" w:hAnsiTheme="majorHAnsi"/>
          <w:spacing w:val="-1"/>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засобів</w:t>
      </w:r>
      <w:r w:rsidRPr="004D2D14">
        <w:rPr>
          <w:rFonts w:asciiTheme="majorHAnsi" w:hAnsiTheme="majorHAnsi"/>
          <w:spacing w:val="-2"/>
          <w:sz w:val="20"/>
          <w:szCs w:val="20"/>
          <w:lang w:val="en-US"/>
        </w:rPr>
        <w:t xml:space="preserve"> </w:t>
      </w:r>
      <w:r w:rsidRPr="000977F7">
        <w:rPr>
          <w:rFonts w:asciiTheme="majorHAnsi" w:hAnsiTheme="majorHAnsi"/>
          <w:sz w:val="20"/>
          <w:szCs w:val="20"/>
        </w:rPr>
        <w:t>перевірки</w:t>
      </w:r>
    </w:p>
    <w:p w14:paraId="153B798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СТАНДАРТ МЕТОДІВ КОНТРОЛЮ (ВИПРОБУВАНЬ, АНАЛІЗУ ВИМІРЮВАНЬ, </w:t>
      </w:r>
    </w:p>
    <w:p w14:paraId="25B0FD5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ВИЗНАЧЕННЯ) –</w:t>
      </w:r>
    </w:p>
    <w:p w14:paraId="11F3C44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STANDARD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CONTROL</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METHODS</w:t>
      </w:r>
    </w:p>
    <w:p w14:paraId="4FBDB12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(ON</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TESTING,</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ANALYSIS,</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MEASUREMENT,</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DETERMITATION)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3B43264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встановлює</w:t>
      </w:r>
      <w:r w:rsidRPr="000977F7">
        <w:rPr>
          <w:rFonts w:asciiTheme="majorHAnsi" w:hAnsiTheme="majorHAnsi"/>
          <w:spacing w:val="1"/>
          <w:sz w:val="20"/>
          <w:szCs w:val="20"/>
        </w:rPr>
        <w:t xml:space="preserve"> </w:t>
      </w:r>
      <w:r w:rsidRPr="000977F7">
        <w:rPr>
          <w:rFonts w:asciiTheme="majorHAnsi" w:hAnsiTheme="majorHAnsi"/>
          <w:sz w:val="20"/>
          <w:szCs w:val="20"/>
        </w:rPr>
        <w:t>послідовність</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47"/>
          <w:sz w:val="20"/>
          <w:szCs w:val="20"/>
        </w:rPr>
        <w:t xml:space="preserve"> </w:t>
      </w:r>
      <w:r w:rsidRPr="000977F7">
        <w:rPr>
          <w:rFonts w:asciiTheme="majorHAnsi" w:hAnsiTheme="majorHAnsi"/>
          <w:sz w:val="20"/>
          <w:szCs w:val="20"/>
        </w:rPr>
        <w:t>операцій</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1"/>
          <w:sz w:val="20"/>
          <w:szCs w:val="20"/>
        </w:rPr>
        <w:t xml:space="preserve"> </w:t>
      </w:r>
      <w:r w:rsidRPr="000977F7">
        <w:rPr>
          <w:rFonts w:asciiTheme="majorHAnsi" w:hAnsiTheme="majorHAnsi"/>
          <w:sz w:val="20"/>
          <w:szCs w:val="20"/>
        </w:rPr>
        <w:t>аналізу,</w:t>
      </w:r>
      <w:r w:rsidRPr="000977F7">
        <w:rPr>
          <w:rFonts w:asciiTheme="majorHAnsi" w:hAnsiTheme="majorHAnsi"/>
          <w:spacing w:val="1"/>
          <w:sz w:val="20"/>
          <w:szCs w:val="20"/>
        </w:rPr>
        <w:t xml:space="preserve"> </w:t>
      </w:r>
      <w:r w:rsidRPr="000977F7">
        <w:rPr>
          <w:rFonts w:asciiTheme="majorHAnsi" w:hAnsiTheme="majorHAnsi"/>
          <w:sz w:val="20"/>
          <w:szCs w:val="20"/>
        </w:rPr>
        <w:t>вимірювань, визначення) з їх описом і порядок ведення записів,</w:t>
      </w:r>
      <w:r w:rsidRPr="000977F7">
        <w:rPr>
          <w:rFonts w:asciiTheme="majorHAnsi" w:hAnsiTheme="majorHAnsi"/>
          <w:spacing w:val="-1"/>
          <w:sz w:val="20"/>
          <w:szCs w:val="20"/>
        </w:rPr>
        <w:t xml:space="preserve"> </w:t>
      </w:r>
      <w:r w:rsidRPr="000977F7">
        <w:rPr>
          <w:rFonts w:asciiTheme="majorHAnsi" w:hAnsiTheme="majorHAnsi"/>
          <w:sz w:val="20"/>
          <w:szCs w:val="20"/>
        </w:rPr>
        <w:t>а також при</w:t>
      </w:r>
      <w:r w:rsidRPr="000977F7">
        <w:rPr>
          <w:rFonts w:asciiTheme="majorHAnsi" w:hAnsiTheme="majorHAnsi"/>
          <w:spacing w:val="-1"/>
          <w:sz w:val="20"/>
          <w:szCs w:val="20"/>
        </w:rPr>
        <w:t xml:space="preserve"> </w:t>
      </w:r>
      <w:r w:rsidRPr="000977F7">
        <w:rPr>
          <w:rFonts w:asciiTheme="majorHAnsi" w:hAnsiTheme="majorHAnsi"/>
          <w:sz w:val="20"/>
          <w:szCs w:val="20"/>
        </w:rPr>
        <w:t>необхідності</w:t>
      </w:r>
      <w:r w:rsidRPr="000977F7">
        <w:rPr>
          <w:rFonts w:asciiTheme="majorHAnsi" w:hAnsiTheme="majorHAnsi"/>
          <w:spacing w:val="-2"/>
          <w:sz w:val="20"/>
          <w:szCs w:val="20"/>
        </w:rPr>
        <w:t xml:space="preserve"> </w:t>
      </w:r>
      <w:r w:rsidRPr="000977F7">
        <w:rPr>
          <w:rFonts w:asciiTheme="majorHAnsi" w:hAnsiTheme="majorHAnsi"/>
          <w:sz w:val="20"/>
          <w:szCs w:val="20"/>
        </w:rPr>
        <w:t>інші дані</w:t>
      </w:r>
    </w:p>
    <w:p w14:paraId="1A2123B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w:t>
      </w:r>
      <w:r w:rsidRPr="000977F7">
        <w:rPr>
          <w:color w:val="auto"/>
          <w:spacing w:val="-4"/>
          <w:sz w:val="20"/>
          <w:szCs w:val="20"/>
        </w:rPr>
        <w:t xml:space="preserve"> </w:t>
      </w:r>
      <w:r w:rsidRPr="000977F7">
        <w:rPr>
          <w:color w:val="auto"/>
          <w:sz w:val="20"/>
          <w:szCs w:val="20"/>
        </w:rPr>
        <w:t>НА</w:t>
      </w:r>
      <w:r w:rsidRPr="000977F7">
        <w:rPr>
          <w:color w:val="auto"/>
          <w:spacing w:val="-3"/>
          <w:sz w:val="20"/>
          <w:szCs w:val="20"/>
        </w:rPr>
        <w:t xml:space="preserve"> </w:t>
      </w:r>
      <w:r w:rsidRPr="000977F7">
        <w:rPr>
          <w:color w:val="auto"/>
          <w:sz w:val="20"/>
          <w:szCs w:val="20"/>
        </w:rPr>
        <w:t>БЕЗПЕКУ -</w:t>
      </w:r>
    </w:p>
    <w:p w14:paraId="046462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призначений для забезпечення безпеки людей</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промислових</w:t>
      </w:r>
      <w:r w:rsidRPr="000977F7">
        <w:rPr>
          <w:rFonts w:asciiTheme="majorHAnsi" w:hAnsiTheme="majorHAnsi"/>
          <w:spacing w:val="-1"/>
          <w:sz w:val="20"/>
          <w:szCs w:val="20"/>
        </w:rPr>
        <w:t xml:space="preserve"> </w:t>
      </w:r>
      <w:r w:rsidRPr="000977F7">
        <w:rPr>
          <w:rFonts w:asciiTheme="majorHAnsi" w:hAnsiTheme="majorHAnsi"/>
          <w:sz w:val="20"/>
          <w:szCs w:val="20"/>
        </w:rPr>
        <w:t>товарів</w:t>
      </w:r>
    </w:p>
    <w:p w14:paraId="1A2575B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A22CE8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на безпеку, як правило, містить вимоги, основані</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оптимальній</w:t>
      </w:r>
      <w:r w:rsidRPr="000977F7">
        <w:rPr>
          <w:rFonts w:asciiTheme="majorHAnsi" w:hAnsiTheme="majorHAnsi"/>
          <w:spacing w:val="1"/>
          <w:sz w:val="20"/>
          <w:szCs w:val="20"/>
        </w:rPr>
        <w:t xml:space="preserve"> </w:t>
      </w:r>
      <w:r w:rsidRPr="000977F7">
        <w:rPr>
          <w:rFonts w:asciiTheme="majorHAnsi" w:hAnsiTheme="majorHAnsi"/>
          <w:sz w:val="20"/>
          <w:szCs w:val="20"/>
        </w:rPr>
        <w:t>оцінці</w:t>
      </w:r>
      <w:r w:rsidRPr="000977F7">
        <w:rPr>
          <w:rFonts w:asciiTheme="majorHAnsi" w:hAnsiTheme="majorHAnsi"/>
          <w:spacing w:val="1"/>
          <w:sz w:val="20"/>
          <w:szCs w:val="20"/>
        </w:rPr>
        <w:t xml:space="preserve"> </w:t>
      </w:r>
      <w:r w:rsidRPr="000977F7">
        <w:rPr>
          <w:rFonts w:asciiTheme="majorHAnsi" w:hAnsiTheme="majorHAnsi"/>
          <w:sz w:val="20"/>
          <w:szCs w:val="20"/>
        </w:rPr>
        <w:t>факторів,</w:t>
      </w:r>
      <w:r w:rsidRPr="000977F7">
        <w:rPr>
          <w:rFonts w:asciiTheme="majorHAnsi" w:hAnsiTheme="majorHAnsi"/>
          <w:spacing w:val="1"/>
          <w:sz w:val="20"/>
          <w:szCs w:val="20"/>
        </w:rPr>
        <w:t xml:space="preserve"> </w:t>
      </w:r>
      <w:r w:rsidRPr="000977F7">
        <w:rPr>
          <w:rFonts w:asciiTheme="majorHAnsi" w:hAnsiTheme="majorHAnsi"/>
          <w:sz w:val="20"/>
          <w:szCs w:val="20"/>
        </w:rPr>
        <w:t>включаючи</w:t>
      </w:r>
      <w:r w:rsidRPr="000977F7">
        <w:rPr>
          <w:rFonts w:asciiTheme="majorHAnsi" w:hAnsiTheme="majorHAnsi"/>
          <w:spacing w:val="-47"/>
          <w:sz w:val="20"/>
          <w:szCs w:val="20"/>
        </w:rPr>
        <w:t xml:space="preserve"> </w:t>
      </w:r>
      <w:r w:rsidRPr="000977F7">
        <w:rPr>
          <w:rFonts w:asciiTheme="majorHAnsi" w:hAnsiTheme="majorHAnsi"/>
          <w:sz w:val="20"/>
          <w:szCs w:val="20"/>
        </w:rPr>
        <w:t>нетехнічні</w:t>
      </w:r>
      <w:r w:rsidRPr="000977F7">
        <w:rPr>
          <w:rFonts w:asciiTheme="majorHAnsi" w:hAnsiTheme="majorHAnsi"/>
          <w:spacing w:val="1"/>
          <w:sz w:val="20"/>
          <w:szCs w:val="20"/>
        </w:rPr>
        <w:t xml:space="preserve"> </w:t>
      </w:r>
      <w:r w:rsidRPr="000977F7">
        <w:rPr>
          <w:rFonts w:asciiTheme="majorHAnsi" w:hAnsiTheme="majorHAnsi"/>
          <w:sz w:val="20"/>
          <w:szCs w:val="20"/>
        </w:rPr>
        <w:t>фактори,</w:t>
      </w:r>
      <w:r w:rsidRPr="000977F7">
        <w:rPr>
          <w:rFonts w:asciiTheme="majorHAnsi" w:hAnsiTheme="majorHAnsi"/>
          <w:spacing w:val="1"/>
          <w:sz w:val="20"/>
          <w:szCs w:val="20"/>
        </w:rPr>
        <w:t xml:space="preserve"> </w:t>
      </w:r>
      <w:r w:rsidRPr="000977F7">
        <w:rPr>
          <w:rFonts w:asciiTheme="majorHAnsi" w:hAnsiTheme="majorHAnsi"/>
          <w:sz w:val="20"/>
          <w:szCs w:val="20"/>
        </w:rPr>
        <w:t>такі</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поведінка</w:t>
      </w:r>
      <w:r w:rsidRPr="000977F7">
        <w:rPr>
          <w:rFonts w:asciiTheme="majorHAnsi" w:hAnsiTheme="majorHAnsi"/>
          <w:spacing w:val="1"/>
          <w:sz w:val="20"/>
          <w:szCs w:val="20"/>
        </w:rPr>
        <w:t xml:space="preserve"> </w:t>
      </w:r>
      <w:r w:rsidRPr="000977F7">
        <w:rPr>
          <w:rFonts w:asciiTheme="majorHAnsi" w:hAnsiTheme="majorHAnsi"/>
          <w:sz w:val="20"/>
          <w:szCs w:val="20"/>
        </w:rPr>
        <w:t>людини,</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спрямовані</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досягнення</w:t>
      </w:r>
      <w:r w:rsidRPr="000977F7">
        <w:rPr>
          <w:rFonts w:asciiTheme="majorHAnsi" w:hAnsiTheme="majorHAnsi"/>
          <w:spacing w:val="1"/>
          <w:sz w:val="20"/>
          <w:szCs w:val="20"/>
        </w:rPr>
        <w:t xml:space="preserve"> </w:t>
      </w:r>
      <w:r w:rsidRPr="000977F7">
        <w:rPr>
          <w:rFonts w:asciiTheme="majorHAnsi" w:hAnsiTheme="majorHAnsi"/>
          <w:sz w:val="20"/>
          <w:szCs w:val="20"/>
        </w:rPr>
        <w:t>максимально</w:t>
      </w:r>
      <w:r w:rsidRPr="000977F7">
        <w:rPr>
          <w:rFonts w:asciiTheme="majorHAnsi" w:hAnsiTheme="majorHAnsi"/>
          <w:spacing w:val="1"/>
          <w:sz w:val="20"/>
          <w:szCs w:val="20"/>
        </w:rPr>
        <w:t xml:space="preserve"> </w:t>
      </w:r>
      <w:r w:rsidRPr="000977F7">
        <w:rPr>
          <w:rFonts w:asciiTheme="majorHAnsi" w:hAnsiTheme="majorHAnsi"/>
          <w:sz w:val="20"/>
          <w:szCs w:val="20"/>
        </w:rPr>
        <w:t>розумного</w:t>
      </w:r>
      <w:r w:rsidRPr="000977F7">
        <w:rPr>
          <w:rFonts w:asciiTheme="majorHAnsi" w:hAnsiTheme="majorHAnsi"/>
          <w:spacing w:val="1"/>
          <w:sz w:val="20"/>
          <w:szCs w:val="20"/>
        </w:rPr>
        <w:t xml:space="preserve"> </w:t>
      </w:r>
      <w:r w:rsidRPr="000977F7">
        <w:rPr>
          <w:rFonts w:asciiTheme="majorHAnsi" w:hAnsiTheme="majorHAnsi"/>
          <w:sz w:val="20"/>
          <w:szCs w:val="20"/>
        </w:rPr>
        <w:t>ступеню</w:t>
      </w:r>
      <w:r w:rsidRPr="000977F7">
        <w:rPr>
          <w:rFonts w:asciiTheme="majorHAnsi" w:hAnsiTheme="majorHAnsi"/>
          <w:spacing w:val="-1"/>
          <w:sz w:val="20"/>
          <w:szCs w:val="20"/>
        </w:rPr>
        <w:t xml:space="preserve"> </w:t>
      </w:r>
      <w:r w:rsidRPr="000977F7">
        <w:rPr>
          <w:rFonts w:asciiTheme="majorHAnsi" w:hAnsiTheme="majorHAnsi"/>
          <w:sz w:val="20"/>
          <w:szCs w:val="20"/>
        </w:rPr>
        <w:t>безпеки</w:t>
      </w:r>
    </w:p>
    <w:p w14:paraId="145A802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w:t>
      </w:r>
      <w:r w:rsidRPr="000977F7">
        <w:rPr>
          <w:color w:val="auto"/>
          <w:spacing w:val="-5"/>
          <w:sz w:val="20"/>
          <w:szCs w:val="20"/>
        </w:rPr>
        <w:t xml:space="preserve"> </w:t>
      </w:r>
      <w:r w:rsidRPr="000977F7">
        <w:rPr>
          <w:color w:val="auto"/>
          <w:sz w:val="20"/>
          <w:szCs w:val="20"/>
        </w:rPr>
        <w:t>НА</w:t>
      </w:r>
      <w:r w:rsidRPr="000977F7">
        <w:rPr>
          <w:color w:val="auto"/>
          <w:spacing w:val="-4"/>
          <w:sz w:val="20"/>
          <w:szCs w:val="20"/>
        </w:rPr>
        <w:t xml:space="preserve"> </w:t>
      </w:r>
      <w:r w:rsidRPr="000977F7">
        <w:rPr>
          <w:color w:val="auto"/>
          <w:sz w:val="20"/>
          <w:szCs w:val="20"/>
        </w:rPr>
        <w:t>МЕТОДИ</w:t>
      </w:r>
      <w:r w:rsidRPr="000977F7">
        <w:rPr>
          <w:color w:val="auto"/>
          <w:spacing w:val="-4"/>
          <w:sz w:val="20"/>
          <w:szCs w:val="20"/>
        </w:rPr>
        <w:t xml:space="preserve"> </w:t>
      </w:r>
      <w:r w:rsidRPr="000977F7">
        <w:rPr>
          <w:color w:val="auto"/>
          <w:sz w:val="20"/>
          <w:szCs w:val="20"/>
        </w:rPr>
        <w:t>ВИПРОБУВАННЯ</w:t>
      </w:r>
      <w:r w:rsidRPr="000977F7">
        <w:rPr>
          <w:color w:val="auto"/>
          <w:spacing w:val="-1"/>
          <w:sz w:val="20"/>
          <w:szCs w:val="20"/>
        </w:rPr>
        <w:t xml:space="preserve"> </w:t>
      </w:r>
      <w:r w:rsidRPr="000977F7">
        <w:rPr>
          <w:color w:val="auto"/>
          <w:sz w:val="20"/>
          <w:szCs w:val="20"/>
        </w:rPr>
        <w:t>–</w:t>
      </w:r>
    </w:p>
    <w:p w14:paraId="6EF2B02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що встановлює методи випробування, як,</w:t>
      </w:r>
      <w:r w:rsidRPr="000977F7">
        <w:rPr>
          <w:rFonts w:asciiTheme="majorHAnsi" w:hAnsiTheme="majorHAnsi"/>
          <w:spacing w:val="1"/>
          <w:sz w:val="20"/>
          <w:szCs w:val="20"/>
        </w:rPr>
        <w:t xml:space="preserve"> </w:t>
      </w:r>
      <w:r w:rsidRPr="000977F7">
        <w:rPr>
          <w:rFonts w:asciiTheme="majorHAnsi" w:hAnsiTheme="majorHAnsi"/>
          <w:sz w:val="20"/>
          <w:szCs w:val="20"/>
        </w:rPr>
        <w:t>наприклад, використання статистичних методів і порядок</w:t>
      </w:r>
      <w:r w:rsidRPr="000977F7">
        <w:rPr>
          <w:rFonts w:asciiTheme="majorHAnsi" w:hAnsiTheme="majorHAnsi"/>
          <w:spacing w:val="-2"/>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p>
    <w:p w14:paraId="6F5CC884" w14:textId="77777777" w:rsidR="0097612F" w:rsidRPr="000977F7" w:rsidRDefault="0097612F" w:rsidP="000977F7">
      <w:pPr>
        <w:pStyle w:val="7"/>
        <w:tabs>
          <w:tab w:val="left" w:pos="284"/>
        </w:tabs>
        <w:spacing w:before="0" w:line="240" w:lineRule="auto"/>
        <w:ind w:left="170"/>
        <w:mirrorIndents/>
        <w:jc w:val="both"/>
        <w:rPr>
          <w:color w:val="auto"/>
          <w:spacing w:val="-7"/>
          <w:sz w:val="20"/>
          <w:szCs w:val="20"/>
        </w:rPr>
      </w:pPr>
      <w:r w:rsidRPr="000977F7">
        <w:rPr>
          <w:color w:val="auto"/>
          <w:sz w:val="20"/>
          <w:szCs w:val="20"/>
        </w:rPr>
        <w:t>СТАНДАРТ</w:t>
      </w:r>
      <w:r w:rsidRPr="000977F7">
        <w:rPr>
          <w:color w:val="auto"/>
          <w:spacing w:val="-8"/>
          <w:sz w:val="20"/>
          <w:szCs w:val="20"/>
        </w:rPr>
        <w:t xml:space="preserve"> </w:t>
      </w:r>
      <w:r w:rsidRPr="000977F7">
        <w:rPr>
          <w:color w:val="auto"/>
          <w:sz w:val="20"/>
          <w:szCs w:val="20"/>
        </w:rPr>
        <w:t>НА</w:t>
      </w:r>
      <w:r w:rsidRPr="000977F7">
        <w:rPr>
          <w:color w:val="auto"/>
          <w:spacing w:val="-6"/>
          <w:sz w:val="20"/>
          <w:szCs w:val="20"/>
        </w:rPr>
        <w:t xml:space="preserve"> </w:t>
      </w:r>
      <w:r w:rsidRPr="000977F7">
        <w:rPr>
          <w:color w:val="auto"/>
          <w:sz w:val="20"/>
          <w:szCs w:val="20"/>
        </w:rPr>
        <w:t>ЕКСПЛУАТАЦІЙНІ</w:t>
      </w:r>
      <w:r w:rsidRPr="000977F7">
        <w:rPr>
          <w:color w:val="auto"/>
          <w:spacing w:val="-7"/>
          <w:sz w:val="20"/>
          <w:szCs w:val="20"/>
        </w:rPr>
        <w:t xml:space="preserve"> </w:t>
      </w:r>
    </w:p>
    <w:p w14:paraId="5585760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ХАРАКТЕ</w:t>
      </w:r>
      <w:r w:rsidRPr="000977F7">
        <w:rPr>
          <w:color w:val="auto"/>
          <w:spacing w:val="-47"/>
          <w:sz w:val="20"/>
          <w:szCs w:val="20"/>
        </w:rPr>
        <w:t xml:space="preserve"> </w:t>
      </w:r>
      <w:r w:rsidRPr="000977F7">
        <w:rPr>
          <w:color w:val="auto"/>
          <w:sz w:val="20"/>
          <w:szCs w:val="20"/>
        </w:rPr>
        <w:t>РИСТИКИ –</w:t>
      </w:r>
    </w:p>
    <w:p w14:paraId="7C0CB63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продукцію,</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встановлює</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однієї або декількох експлуатаційних характеристик</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0EB647A0" w14:textId="77777777" w:rsidR="0097612F" w:rsidRPr="000977F7" w:rsidRDefault="0097612F" w:rsidP="000977F7">
      <w:pPr>
        <w:pStyle w:val="7"/>
        <w:tabs>
          <w:tab w:val="left" w:pos="284"/>
        </w:tabs>
        <w:spacing w:before="0" w:line="240" w:lineRule="auto"/>
        <w:ind w:left="170"/>
        <w:mirrorIndents/>
        <w:jc w:val="both"/>
        <w:rPr>
          <w:color w:val="auto"/>
          <w:spacing w:val="-6"/>
          <w:sz w:val="20"/>
          <w:szCs w:val="20"/>
        </w:rPr>
      </w:pPr>
      <w:r w:rsidRPr="000977F7">
        <w:rPr>
          <w:color w:val="auto"/>
          <w:sz w:val="20"/>
          <w:szCs w:val="20"/>
        </w:rPr>
        <w:t>СТАНДАРТ</w:t>
      </w:r>
      <w:r w:rsidRPr="000977F7">
        <w:rPr>
          <w:color w:val="auto"/>
          <w:spacing w:val="-7"/>
          <w:sz w:val="20"/>
          <w:szCs w:val="20"/>
        </w:rPr>
        <w:t xml:space="preserve"> </w:t>
      </w:r>
      <w:r w:rsidRPr="000977F7">
        <w:rPr>
          <w:color w:val="auto"/>
          <w:sz w:val="20"/>
          <w:szCs w:val="20"/>
        </w:rPr>
        <w:t>НА</w:t>
      </w:r>
      <w:r w:rsidRPr="000977F7">
        <w:rPr>
          <w:color w:val="auto"/>
          <w:spacing w:val="-5"/>
          <w:sz w:val="20"/>
          <w:szCs w:val="20"/>
        </w:rPr>
        <w:t xml:space="preserve"> </w:t>
      </w:r>
      <w:r w:rsidRPr="000977F7">
        <w:rPr>
          <w:color w:val="auto"/>
          <w:sz w:val="20"/>
          <w:szCs w:val="20"/>
        </w:rPr>
        <w:t>КЕРУВАННЯ</w:t>
      </w:r>
      <w:r w:rsidRPr="000977F7">
        <w:rPr>
          <w:color w:val="auto"/>
          <w:spacing w:val="-6"/>
          <w:sz w:val="20"/>
          <w:szCs w:val="20"/>
        </w:rPr>
        <w:t xml:space="preserve"> </w:t>
      </w:r>
    </w:p>
    <w:p w14:paraId="01E6861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РІЗНОМАНІТНІСТЮ</w:t>
      </w:r>
      <w:r w:rsidRPr="000977F7">
        <w:rPr>
          <w:color w:val="auto"/>
          <w:spacing w:val="-2"/>
          <w:sz w:val="20"/>
          <w:szCs w:val="20"/>
        </w:rPr>
        <w:t xml:space="preserve"> </w:t>
      </w:r>
      <w:r w:rsidRPr="000977F7">
        <w:rPr>
          <w:color w:val="auto"/>
          <w:sz w:val="20"/>
          <w:szCs w:val="20"/>
        </w:rPr>
        <w:t>–</w:t>
      </w:r>
    </w:p>
    <w:p w14:paraId="03B2E65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призначений для керування різноманітністю,</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звичайно</w:t>
      </w:r>
      <w:r w:rsidRPr="000977F7">
        <w:rPr>
          <w:rFonts w:asciiTheme="majorHAnsi" w:hAnsiTheme="majorHAnsi"/>
          <w:spacing w:val="1"/>
          <w:sz w:val="20"/>
          <w:szCs w:val="20"/>
        </w:rPr>
        <w:t xml:space="preserve"> </w:t>
      </w:r>
      <w:r w:rsidRPr="000977F7">
        <w:rPr>
          <w:rFonts w:asciiTheme="majorHAnsi" w:hAnsiTheme="majorHAnsi"/>
          <w:sz w:val="20"/>
          <w:szCs w:val="20"/>
        </w:rPr>
        <w:t>містить</w:t>
      </w:r>
      <w:r w:rsidRPr="000977F7">
        <w:rPr>
          <w:rFonts w:asciiTheme="majorHAnsi" w:hAnsiTheme="majorHAnsi"/>
          <w:spacing w:val="1"/>
          <w:sz w:val="20"/>
          <w:szCs w:val="20"/>
        </w:rPr>
        <w:t xml:space="preserve"> </w:t>
      </w:r>
      <w:r w:rsidRPr="000977F7">
        <w:rPr>
          <w:rFonts w:asciiTheme="majorHAnsi" w:hAnsiTheme="majorHAnsi"/>
          <w:sz w:val="20"/>
          <w:szCs w:val="20"/>
        </w:rPr>
        <w:t>ряд</w:t>
      </w:r>
      <w:r w:rsidRPr="000977F7">
        <w:rPr>
          <w:rFonts w:asciiTheme="majorHAnsi" w:hAnsiTheme="majorHAnsi"/>
          <w:spacing w:val="1"/>
          <w:sz w:val="20"/>
          <w:szCs w:val="20"/>
        </w:rPr>
        <w:t xml:space="preserve"> </w:t>
      </w:r>
      <w:r w:rsidRPr="000977F7">
        <w:rPr>
          <w:rFonts w:asciiTheme="majorHAnsi" w:hAnsiTheme="majorHAnsi"/>
          <w:sz w:val="20"/>
          <w:szCs w:val="20"/>
        </w:rPr>
        <w:t>обраних</w:t>
      </w:r>
      <w:r w:rsidRPr="000977F7">
        <w:rPr>
          <w:rFonts w:asciiTheme="majorHAnsi" w:hAnsiTheme="majorHAnsi"/>
          <w:spacing w:val="1"/>
          <w:sz w:val="20"/>
          <w:szCs w:val="20"/>
        </w:rPr>
        <w:t xml:space="preserve"> </w:t>
      </w:r>
      <w:r w:rsidRPr="000977F7">
        <w:rPr>
          <w:rFonts w:asciiTheme="majorHAnsi" w:hAnsiTheme="majorHAnsi"/>
          <w:sz w:val="20"/>
          <w:szCs w:val="20"/>
        </w:rPr>
        <w:t>величин</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47"/>
          <w:sz w:val="20"/>
          <w:szCs w:val="20"/>
        </w:rPr>
        <w:t xml:space="preserve"> </w:t>
      </w:r>
      <w:r w:rsidRPr="000977F7">
        <w:rPr>
          <w:rFonts w:asciiTheme="majorHAnsi" w:hAnsiTheme="majorHAnsi"/>
          <w:sz w:val="20"/>
          <w:szCs w:val="20"/>
        </w:rPr>
        <w:t>ознак</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013B641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w:t>
      </w:r>
      <w:r w:rsidRPr="000977F7">
        <w:rPr>
          <w:color w:val="auto"/>
          <w:spacing w:val="-6"/>
          <w:sz w:val="20"/>
          <w:szCs w:val="20"/>
        </w:rPr>
        <w:t xml:space="preserve"> </w:t>
      </w:r>
      <w:r w:rsidRPr="000977F7">
        <w:rPr>
          <w:color w:val="auto"/>
          <w:sz w:val="20"/>
          <w:szCs w:val="20"/>
        </w:rPr>
        <w:t>НА</w:t>
      </w:r>
      <w:r w:rsidRPr="000977F7">
        <w:rPr>
          <w:color w:val="auto"/>
          <w:spacing w:val="-5"/>
          <w:sz w:val="20"/>
          <w:szCs w:val="20"/>
        </w:rPr>
        <w:t xml:space="preserve"> </w:t>
      </w:r>
      <w:r w:rsidRPr="000977F7">
        <w:rPr>
          <w:color w:val="auto"/>
          <w:sz w:val="20"/>
          <w:szCs w:val="20"/>
        </w:rPr>
        <w:t>ОПИСОВІ</w:t>
      </w:r>
      <w:r w:rsidRPr="000977F7">
        <w:rPr>
          <w:color w:val="auto"/>
          <w:spacing w:val="-6"/>
          <w:sz w:val="20"/>
          <w:szCs w:val="20"/>
        </w:rPr>
        <w:t xml:space="preserve"> </w:t>
      </w:r>
      <w:r w:rsidRPr="000977F7">
        <w:rPr>
          <w:color w:val="auto"/>
          <w:sz w:val="20"/>
          <w:szCs w:val="20"/>
        </w:rPr>
        <w:t>ХАРАКТЕРИСТИКИ</w:t>
      </w:r>
      <w:r w:rsidRPr="000977F7">
        <w:rPr>
          <w:color w:val="auto"/>
          <w:spacing w:val="-1"/>
          <w:sz w:val="20"/>
          <w:szCs w:val="20"/>
        </w:rPr>
        <w:t xml:space="preserve"> </w:t>
      </w:r>
      <w:r w:rsidRPr="000977F7">
        <w:rPr>
          <w:color w:val="auto"/>
          <w:sz w:val="20"/>
          <w:szCs w:val="20"/>
        </w:rPr>
        <w:t>–</w:t>
      </w:r>
    </w:p>
    <w:p w14:paraId="5E7C62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на продукцію, який визначає вимоги до однієї</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декількох</w:t>
      </w:r>
      <w:r w:rsidRPr="000977F7">
        <w:rPr>
          <w:rFonts w:asciiTheme="majorHAnsi" w:hAnsiTheme="majorHAnsi"/>
          <w:spacing w:val="-2"/>
          <w:sz w:val="20"/>
          <w:szCs w:val="20"/>
        </w:rPr>
        <w:t xml:space="preserve"> </w:t>
      </w:r>
      <w:r w:rsidRPr="000977F7">
        <w:rPr>
          <w:rFonts w:asciiTheme="majorHAnsi" w:hAnsiTheme="majorHAnsi"/>
          <w:sz w:val="20"/>
          <w:szCs w:val="20"/>
        </w:rPr>
        <w:t>описових</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w:t>
      </w:r>
    </w:p>
    <w:p w14:paraId="64CC452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w:t>
      </w:r>
      <w:r w:rsidRPr="000977F7">
        <w:rPr>
          <w:color w:val="auto"/>
          <w:spacing w:val="-4"/>
          <w:sz w:val="20"/>
          <w:szCs w:val="20"/>
        </w:rPr>
        <w:t xml:space="preserve"> </w:t>
      </w:r>
      <w:r w:rsidRPr="000977F7">
        <w:rPr>
          <w:color w:val="auto"/>
          <w:sz w:val="20"/>
          <w:szCs w:val="20"/>
        </w:rPr>
        <w:t>НА</w:t>
      </w:r>
      <w:r w:rsidRPr="000977F7">
        <w:rPr>
          <w:color w:val="auto"/>
          <w:spacing w:val="-3"/>
          <w:sz w:val="20"/>
          <w:szCs w:val="20"/>
        </w:rPr>
        <w:t xml:space="preserve"> </w:t>
      </w:r>
      <w:r w:rsidRPr="000977F7">
        <w:rPr>
          <w:color w:val="auto"/>
          <w:sz w:val="20"/>
          <w:szCs w:val="20"/>
        </w:rPr>
        <w:t>ПОСЛУГУ –</w:t>
      </w:r>
    </w:p>
    <w:p w14:paraId="0B85F9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SERVICE</w:t>
      </w:r>
      <w:r w:rsidRPr="000977F7">
        <w:rPr>
          <w:rFonts w:asciiTheme="majorHAnsi" w:hAnsiTheme="majorHAnsi"/>
          <w:spacing w:val="-2"/>
          <w:sz w:val="20"/>
          <w:szCs w:val="20"/>
        </w:rPr>
        <w:t xml:space="preserve"> </w:t>
      </w:r>
      <w:r w:rsidRPr="000977F7">
        <w:rPr>
          <w:rFonts w:asciiTheme="majorHAnsi" w:hAnsiTheme="majorHAnsi"/>
          <w:sz w:val="20"/>
          <w:szCs w:val="20"/>
        </w:rPr>
        <w:t>STANDARD</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DBDD78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що встановлює вимоги, які повинна задовольняти послуга, щоб забезпечити свою</w:t>
      </w:r>
      <w:r w:rsidRPr="000977F7">
        <w:rPr>
          <w:rFonts w:asciiTheme="majorHAnsi" w:hAnsiTheme="majorHAnsi"/>
          <w:spacing w:val="1"/>
          <w:sz w:val="20"/>
          <w:szCs w:val="20"/>
        </w:rPr>
        <w:t xml:space="preserve"> </w:t>
      </w:r>
      <w:r w:rsidRPr="000977F7">
        <w:rPr>
          <w:rFonts w:asciiTheme="majorHAnsi" w:hAnsiTheme="majorHAnsi"/>
          <w:sz w:val="20"/>
          <w:szCs w:val="20"/>
        </w:rPr>
        <w:t>відповідність</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призначенню</w:t>
      </w:r>
    </w:p>
    <w:p w14:paraId="6701701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3D350DD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Стандарти на послугу можуть бути розроблені в таких</w:t>
      </w:r>
      <w:r w:rsidRPr="000977F7">
        <w:rPr>
          <w:rFonts w:asciiTheme="majorHAnsi" w:hAnsiTheme="majorHAnsi"/>
          <w:spacing w:val="-47"/>
          <w:sz w:val="20"/>
          <w:szCs w:val="20"/>
        </w:rPr>
        <w:t xml:space="preserve"> </w:t>
      </w:r>
      <w:r w:rsidRPr="000977F7">
        <w:rPr>
          <w:rFonts w:asciiTheme="majorHAnsi" w:hAnsiTheme="majorHAnsi"/>
          <w:sz w:val="20"/>
          <w:szCs w:val="20"/>
        </w:rPr>
        <w:t>галузях, як, наприклад, прання білизни, готельне господарство, транспорт, автосервіс, телезв’язок, страхування,</w:t>
      </w:r>
      <w:r w:rsidRPr="000977F7">
        <w:rPr>
          <w:rFonts w:asciiTheme="majorHAnsi" w:hAnsiTheme="majorHAnsi"/>
          <w:spacing w:val="-1"/>
          <w:sz w:val="20"/>
          <w:szCs w:val="20"/>
        </w:rPr>
        <w:t xml:space="preserve"> </w:t>
      </w:r>
      <w:r w:rsidRPr="000977F7">
        <w:rPr>
          <w:rFonts w:asciiTheme="majorHAnsi" w:hAnsiTheme="majorHAnsi"/>
          <w:sz w:val="20"/>
          <w:szCs w:val="20"/>
        </w:rPr>
        <w:t>банківська</w:t>
      </w:r>
      <w:r w:rsidRPr="000977F7">
        <w:rPr>
          <w:rFonts w:asciiTheme="majorHAnsi" w:hAnsiTheme="majorHAnsi"/>
          <w:spacing w:val="-2"/>
          <w:sz w:val="20"/>
          <w:szCs w:val="20"/>
        </w:rPr>
        <w:t xml:space="preserve"> </w:t>
      </w:r>
      <w:r w:rsidRPr="000977F7">
        <w:rPr>
          <w:rFonts w:asciiTheme="majorHAnsi" w:hAnsiTheme="majorHAnsi"/>
          <w:sz w:val="20"/>
          <w:szCs w:val="20"/>
        </w:rPr>
        <w:t>справа,</w:t>
      </w:r>
      <w:r w:rsidRPr="000977F7">
        <w:rPr>
          <w:rFonts w:asciiTheme="majorHAnsi" w:hAnsiTheme="majorHAnsi"/>
          <w:spacing w:val="3"/>
          <w:sz w:val="20"/>
          <w:szCs w:val="20"/>
        </w:rPr>
        <w:t xml:space="preserve"> </w:t>
      </w:r>
      <w:r w:rsidRPr="000977F7">
        <w:rPr>
          <w:rFonts w:asciiTheme="majorHAnsi" w:hAnsiTheme="majorHAnsi"/>
          <w:sz w:val="20"/>
          <w:szCs w:val="20"/>
        </w:rPr>
        <w:t>торгівля</w:t>
      </w:r>
    </w:p>
    <w:p w14:paraId="3761173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 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22C4B3E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w:t>
      </w:r>
      <w:r w:rsidRPr="000977F7">
        <w:rPr>
          <w:color w:val="auto"/>
          <w:spacing w:val="-4"/>
          <w:sz w:val="20"/>
          <w:szCs w:val="20"/>
        </w:rPr>
        <w:t xml:space="preserve"> </w:t>
      </w:r>
      <w:r w:rsidRPr="000977F7">
        <w:rPr>
          <w:color w:val="auto"/>
          <w:sz w:val="20"/>
          <w:szCs w:val="20"/>
        </w:rPr>
        <w:t>НА</w:t>
      </w:r>
      <w:r w:rsidRPr="000977F7">
        <w:rPr>
          <w:color w:val="auto"/>
          <w:spacing w:val="-3"/>
          <w:sz w:val="20"/>
          <w:szCs w:val="20"/>
        </w:rPr>
        <w:t xml:space="preserve"> </w:t>
      </w:r>
      <w:r w:rsidRPr="000977F7">
        <w:rPr>
          <w:color w:val="auto"/>
          <w:sz w:val="20"/>
          <w:szCs w:val="20"/>
        </w:rPr>
        <w:t>ПРОДУКЦІЮ</w:t>
      </w:r>
      <w:r w:rsidRPr="000977F7">
        <w:rPr>
          <w:color w:val="auto"/>
          <w:spacing w:val="-2"/>
          <w:sz w:val="20"/>
          <w:szCs w:val="20"/>
        </w:rPr>
        <w:t xml:space="preserve"> </w:t>
      </w:r>
      <w:r w:rsidRPr="000977F7">
        <w:rPr>
          <w:color w:val="auto"/>
          <w:sz w:val="20"/>
          <w:szCs w:val="20"/>
        </w:rPr>
        <w:t>–</w:t>
      </w:r>
    </w:p>
    <w:p w14:paraId="6F37A39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PRODUCT</w:t>
      </w:r>
      <w:r w:rsidRPr="004D2D14">
        <w:rPr>
          <w:rFonts w:asciiTheme="majorHAnsi" w:hAnsiTheme="majorHAnsi"/>
          <w:spacing w:val="-1"/>
          <w:sz w:val="20"/>
          <w:szCs w:val="20"/>
          <w:lang w:val="uk-UA"/>
        </w:rPr>
        <w:t xml:space="preserve"> </w:t>
      </w:r>
      <w:r w:rsidRPr="000977F7">
        <w:rPr>
          <w:rFonts w:asciiTheme="majorHAnsi" w:hAnsiTheme="majorHAnsi"/>
          <w:sz w:val="20"/>
          <w:szCs w:val="20"/>
        </w:rPr>
        <w:t>STANDARD</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448B30B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Стандарт, що встановлює вимоги, які повинен</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задовольняти виріб (група виробів), щоб забезпечити свою</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відповідність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призначенню</w:t>
      </w:r>
    </w:p>
    <w:p w14:paraId="2AD9CA0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 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а:</w:t>
      </w:r>
    </w:p>
    <w:p w14:paraId="00295D8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Стандарт на продукцію, крім вимог відповідності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призначенню,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може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містити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безпосередньо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через посилання, такі елементи , як терміни та визначення, відбір проб, випробування, пакування 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етикеткування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іноді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технологічні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вимоги</w:t>
      </w:r>
    </w:p>
    <w:p w14:paraId="4DF66AE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на продукцію може бути повним або неповним залежно від того, встановлює він усі чи тільки частину потрібних вимог. У цьому відношенні він може вирізнятися серед таких стандартів, як наприклад, на розміри, на матеріали та на технічне забезпечення</w:t>
      </w:r>
    </w:p>
    <w:p w14:paraId="016FC563"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 xml:space="preserve">ДСТУ ISO/IEC 17000:2007 </w:t>
      </w:r>
    </w:p>
    <w:p w14:paraId="37F421E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 xml:space="preserve">СТАНДАРТ НА ПРОЦЕС – </w:t>
      </w:r>
    </w:p>
    <w:p w14:paraId="2BC6A5CB"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PROCESS STANDARD –</w:t>
      </w:r>
    </w:p>
    <w:p w14:paraId="7ED32520"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Стандарт, що встановлює вимоги, які повинен задовольняти процес, щоб забезпечити свою відповідність призначенню</w:t>
      </w:r>
    </w:p>
    <w:p w14:paraId="0544284D" w14:textId="77777777" w:rsidR="0097612F" w:rsidRPr="000977F7" w:rsidRDefault="0097612F" w:rsidP="000977F7">
      <w:pPr>
        <w:pStyle w:val="7"/>
        <w:tabs>
          <w:tab w:val="left" w:pos="284"/>
        </w:tabs>
        <w:spacing w:before="0" w:line="240" w:lineRule="auto"/>
        <w:ind w:left="170"/>
        <w:mirrorIndents/>
        <w:jc w:val="both"/>
        <w:rPr>
          <w:b w:val="0"/>
          <w:bCs/>
          <w:i/>
          <w:color w:val="auto"/>
          <w:spacing w:val="-11"/>
          <w:sz w:val="20"/>
          <w:szCs w:val="20"/>
        </w:rPr>
      </w:pPr>
      <w:r w:rsidRPr="000977F7">
        <w:rPr>
          <w:b w:val="0"/>
          <w:bCs/>
          <w:i/>
          <w:color w:val="auto"/>
          <w:spacing w:val="-12"/>
          <w:sz w:val="20"/>
          <w:szCs w:val="20"/>
        </w:rPr>
        <w:t xml:space="preserve">ДСТУ ISO/IEC </w:t>
      </w:r>
      <w:r w:rsidRPr="000977F7">
        <w:rPr>
          <w:b w:val="0"/>
          <w:bCs/>
          <w:i/>
          <w:color w:val="auto"/>
          <w:spacing w:val="-11"/>
          <w:sz w:val="20"/>
          <w:szCs w:val="20"/>
        </w:rPr>
        <w:t>17000:2007</w:t>
      </w:r>
    </w:p>
    <w:p w14:paraId="22CAC63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 НА СУМІСНІСТЬ –</w:t>
      </w:r>
    </w:p>
    <w:p w14:paraId="58225D28"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INTERFACE STANDARD --</w:t>
      </w:r>
    </w:p>
    <w:p w14:paraId="395C9E13"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Стандарт, що встановлює вимоги, стосовно сумісності</w:t>
      </w:r>
      <w:r w:rsidRPr="000977F7">
        <w:rPr>
          <w:b w:val="0"/>
          <w:bCs/>
          <w:color w:val="auto"/>
          <w:spacing w:val="-47"/>
          <w:sz w:val="20"/>
          <w:szCs w:val="20"/>
        </w:rPr>
        <w:t xml:space="preserve"> </w:t>
      </w:r>
      <w:r w:rsidRPr="000977F7">
        <w:rPr>
          <w:b w:val="0"/>
          <w:bCs/>
          <w:color w:val="auto"/>
          <w:sz w:val="20"/>
          <w:szCs w:val="20"/>
        </w:rPr>
        <w:t>виробів</w:t>
      </w:r>
      <w:r w:rsidRPr="000977F7">
        <w:rPr>
          <w:b w:val="0"/>
          <w:bCs/>
          <w:color w:val="auto"/>
          <w:spacing w:val="-2"/>
          <w:sz w:val="20"/>
          <w:szCs w:val="20"/>
        </w:rPr>
        <w:t xml:space="preserve"> </w:t>
      </w:r>
      <w:r w:rsidRPr="000977F7">
        <w:rPr>
          <w:b w:val="0"/>
          <w:bCs/>
          <w:color w:val="auto"/>
          <w:sz w:val="20"/>
          <w:szCs w:val="20"/>
        </w:rPr>
        <w:t>чи</w:t>
      </w:r>
      <w:r w:rsidRPr="000977F7">
        <w:rPr>
          <w:b w:val="0"/>
          <w:bCs/>
          <w:color w:val="auto"/>
          <w:spacing w:val="-1"/>
          <w:sz w:val="20"/>
          <w:szCs w:val="20"/>
        </w:rPr>
        <w:t xml:space="preserve"> </w:t>
      </w:r>
      <w:r w:rsidRPr="000977F7">
        <w:rPr>
          <w:b w:val="0"/>
          <w:bCs/>
          <w:color w:val="auto"/>
          <w:sz w:val="20"/>
          <w:szCs w:val="20"/>
        </w:rPr>
        <w:t>систем</w:t>
      </w:r>
      <w:r w:rsidRPr="000977F7">
        <w:rPr>
          <w:b w:val="0"/>
          <w:bCs/>
          <w:color w:val="auto"/>
          <w:spacing w:val="2"/>
          <w:sz w:val="20"/>
          <w:szCs w:val="20"/>
        </w:rPr>
        <w:t xml:space="preserve"> </w:t>
      </w:r>
      <w:r w:rsidRPr="000977F7">
        <w:rPr>
          <w:b w:val="0"/>
          <w:bCs/>
          <w:color w:val="auto"/>
          <w:sz w:val="20"/>
          <w:szCs w:val="20"/>
        </w:rPr>
        <w:t>у</w:t>
      </w:r>
      <w:r w:rsidRPr="000977F7">
        <w:rPr>
          <w:b w:val="0"/>
          <w:bCs/>
          <w:color w:val="auto"/>
          <w:spacing w:val="-4"/>
          <w:sz w:val="20"/>
          <w:szCs w:val="20"/>
        </w:rPr>
        <w:t xml:space="preserve"> </w:t>
      </w:r>
      <w:r w:rsidRPr="000977F7">
        <w:rPr>
          <w:b w:val="0"/>
          <w:bCs/>
          <w:color w:val="auto"/>
          <w:sz w:val="20"/>
          <w:szCs w:val="20"/>
        </w:rPr>
        <w:t>місцях</w:t>
      </w:r>
      <w:r w:rsidRPr="000977F7">
        <w:rPr>
          <w:b w:val="0"/>
          <w:bCs/>
          <w:color w:val="auto"/>
          <w:spacing w:val="-1"/>
          <w:sz w:val="20"/>
          <w:szCs w:val="20"/>
        </w:rPr>
        <w:t xml:space="preserve"> </w:t>
      </w:r>
      <w:r w:rsidRPr="000977F7">
        <w:rPr>
          <w:b w:val="0"/>
          <w:bCs/>
          <w:color w:val="auto"/>
          <w:sz w:val="20"/>
          <w:szCs w:val="20"/>
        </w:rPr>
        <w:t>їх</w:t>
      </w:r>
      <w:r w:rsidRPr="000977F7">
        <w:rPr>
          <w:b w:val="0"/>
          <w:bCs/>
          <w:color w:val="auto"/>
          <w:spacing w:val="-2"/>
          <w:sz w:val="20"/>
          <w:szCs w:val="20"/>
        </w:rPr>
        <w:t xml:space="preserve"> </w:t>
      </w:r>
      <w:r w:rsidRPr="000977F7">
        <w:rPr>
          <w:b w:val="0"/>
          <w:bCs/>
          <w:color w:val="auto"/>
          <w:sz w:val="20"/>
          <w:szCs w:val="20"/>
        </w:rPr>
        <w:t>поєднання</w:t>
      </w:r>
    </w:p>
    <w:p w14:paraId="312910E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w:t>
      </w:r>
      <w:r w:rsidRPr="000977F7">
        <w:rPr>
          <w:color w:val="auto"/>
          <w:spacing w:val="-4"/>
          <w:sz w:val="20"/>
          <w:szCs w:val="20"/>
        </w:rPr>
        <w:t xml:space="preserve"> </w:t>
      </w:r>
      <w:r w:rsidRPr="000977F7">
        <w:rPr>
          <w:color w:val="auto"/>
          <w:sz w:val="20"/>
          <w:szCs w:val="20"/>
        </w:rPr>
        <w:t>НА</w:t>
      </w:r>
      <w:r w:rsidRPr="000977F7">
        <w:rPr>
          <w:color w:val="auto"/>
          <w:spacing w:val="-3"/>
          <w:sz w:val="20"/>
          <w:szCs w:val="20"/>
        </w:rPr>
        <w:t xml:space="preserve"> </w:t>
      </w:r>
      <w:r w:rsidRPr="000977F7">
        <w:rPr>
          <w:color w:val="auto"/>
          <w:sz w:val="20"/>
          <w:szCs w:val="20"/>
        </w:rPr>
        <w:t>ТЕРМІНИ</w:t>
      </w:r>
      <w:r w:rsidRPr="000977F7">
        <w:rPr>
          <w:color w:val="auto"/>
          <w:spacing w:val="-2"/>
          <w:sz w:val="20"/>
          <w:szCs w:val="20"/>
        </w:rPr>
        <w:t xml:space="preserve"> </w:t>
      </w:r>
      <w:r w:rsidRPr="000977F7">
        <w:rPr>
          <w:color w:val="auto"/>
          <w:sz w:val="20"/>
          <w:szCs w:val="20"/>
        </w:rPr>
        <w:t>І</w:t>
      </w:r>
      <w:r w:rsidRPr="000977F7">
        <w:rPr>
          <w:color w:val="auto"/>
          <w:spacing w:val="-4"/>
          <w:sz w:val="20"/>
          <w:szCs w:val="20"/>
        </w:rPr>
        <w:t xml:space="preserve"> </w:t>
      </w:r>
      <w:r w:rsidRPr="000977F7">
        <w:rPr>
          <w:color w:val="auto"/>
          <w:sz w:val="20"/>
          <w:szCs w:val="20"/>
        </w:rPr>
        <w:t>ВИЗНАЧЕННЯ</w:t>
      </w:r>
      <w:r w:rsidRPr="000977F7">
        <w:rPr>
          <w:color w:val="auto"/>
          <w:spacing w:val="1"/>
          <w:sz w:val="20"/>
          <w:szCs w:val="20"/>
        </w:rPr>
        <w:t xml:space="preserve"> </w:t>
      </w:r>
      <w:r w:rsidRPr="000977F7">
        <w:rPr>
          <w:color w:val="auto"/>
          <w:sz w:val="20"/>
          <w:szCs w:val="20"/>
        </w:rPr>
        <w:t>–</w:t>
      </w:r>
    </w:p>
    <w:p w14:paraId="0F79304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Стандарт, що розповсюджується виключно на терміни, що звичайно супроводжуються їх визначенням 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інколи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містять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пояснювальні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примітки,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ілюстрації,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приклади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w:t>
      </w:r>
    </w:p>
    <w:p w14:paraId="373DD18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w:t>
      </w:r>
      <w:r w:rsidRPr="000977F7">
        <w:rPr>
          <w:color w:val="auto"/>
          <w:spacing w:val="2"/>
          <w:sz w:val="20"/>
          <w:szCs w:val="20"/>
        </w:rPr>
        <w:t xml:space="preserve"> </w:t>
      </w:r>
      <w:r w:rsidRPr="000977F7">
        <w:rPr>
          <w:color w:val="auto"/>
          <w:sz w:val="20"/>
          <w:szCs w:val="20"/>
        </w:rPr>
        <w:t>НА</w:t>
      </w:r>
      <w:r w:rsidRPr="000977F7">
        <w:rPr>
          <w:color w:val="auto"/>
          <w:spacing w:val="3"/>
          <w:sz w:val="20"/>
          <w:szCs w:val="20"/>
        </w:rPr>
        <w:t xml:space="preserve"> </w:t>
      </w:r>
      <w:r w:rsidRPr="000977F7">
        <w:rPr>
          <w:color w:val="auto"/>
          <w:sz w:val="20"/>
          <w:szCs w:val="20"/>
        </w:rPr>
        <w:t>ХАРАКТЕРИСТИКИ,</w:t>
      </w:r>
      <w:r w:rsidRPr="000977F7">
        <w:rPr>
          <w:color w:val="auto"/>
          <w:spacing w:val="3"/>
          <w:sz w:val="20"/>
          <w:szCs w:val="20"/>
        </w:rPr>
        <w:t xml:space="preserve"> </w:t>
      </w:r>
      <w:r w:rsidRPr="000977F7">
        <w:rPr>
          <w:color w:val="auto"/>
          <w:sz w:val="20"/>
          <w:szCs w:val="20"/>
        </w:rPr>
        <w:t>ВКАЗАНІ</w:t>
      </w:r>
      <w:r w:rsidRPr="000977F7">
        <w:rPr>
          <w:color w:val="auto"/>
          <w:spacing w:val="-47"/>
          <w:sz w:val="20"/>
          <w:szCs w:val="20"/>
        </w:rPr>
        <w:t xml:space="preserve">            </w:t>
      </w:r>
      <w:r w:rsidRPr="000977F7">
        <w:rPr>
          <w:color w:val="auto"/>
          <w:sz w:val="20"/>
          <w:szCs w:val="20"/>
        </w:rPr>
        <w:t>ПОСТАЧАЛЬНИКОМ</w:t>
      </w:r>
      <w:r w:rsidRPr="000977F7">
        <w:rPr>
          <w:color w:val="auto"/>
          <w:spacing w:val="5"/>
          <w:sz w:val="20"/>
          <w:szCs w:val="20"/>
        </w:rPr>
        <w:t xml:space="preserve"> </w:t>
      </w:r>
      <w:r w:rsidRPr="000977F7">
        <w:rPr>
          <w:color w:val="auto"/>
          <w:sz w:val="20"/>
          <w:szCs w:val="20"/>
        </w:rPr>
        <w:t>–</w:t>
      </w:r>
    </w:p>
    <w:p w14:paraId="599C420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що містить перелік характеристик, для яких</w:t>
      </w:r>
      <w:r w:rsidRPr="000977F7">
        <w:rPr>
          <w:rFonts w:asciiTheme="majorHAnsi" w:hAnsiTheme="majorHAnsi"/>
          <w:spacing w:val="-47"/>
          <w:sz w:val="20"/>
          <w:szCs w:val="20"/>
        </w:rPr>
        <w:t xml:space="preserve"> </w:t>
      </w:r>
      <w:r w:rsidRPr="000977F7">
        <w:rPr>
          <w:rFonts w:asciiTheme="majorHAnsi" w:hAnsiTheme="majorHAnsi"/>
          <w:sz w:val="20"/>
          <w:szCs w:val="20"/>
        </w:rPr>
        <w:t>значення або інші дані повинні бути вказані постачальником</w:t>
      </w:r>
    </w:p>
    <w:p w14:paraId="5A9D9E1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w:t>
      </w:r>
      <w:r w:rsidRPr="000977F7">
        <w:rPr>
          <w:color w:val="auto"/>
          <w:spacing w:val="-5"/>
          <w:sz w:val="20"/>
          <w:szCs w:val="20"/>
        </w:rPr>
        <w:t xml:space="preserve"> </w:t>
      </w:r>
      <w:r w:rsidRPr="000977F7">
        <w:rPr>
          <w:color w:val="auto"/>
          <w:sz w:val="20"/>
          <w:szCs w:val="20"/>
        </w:rPr>
        <w:t>ПАКУВАННЯ</w:t>
      </w:r>
      <w:r w:rsidRPr="000977F7">
        <w:rPr>
          <w:color w:val="auto"/>
          <w:spacing w:val="-1"/>
          <w:sz w:val="20"/>
          <w:szCs w:val="20"/>
        </w:rPr>
        <w:t xml:space="preserve"> </w:t>
      </w:r>
      <w:r w:rsidRPr="000977F7">
        <w:rPr>
          <w:color w:val="auto"/>
          <w:sz w:val="20"/>
          <w:szCs w:val="20"/>
        </w:rPr>
        <w:t>–</w:t>
      </w:r>
    </w:p>
    <w:p w14:paraId="6BC5F3B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STANDARD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PACKING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2424029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Стандарт</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встановлює</w:t>
      </w:r>
      <w:r w:rsidRPr="004D2D14">
        <w:rPr>
          <w:rFonts w:asciiTheme="majorHAnsi" w:hAnsiTheme="majorHAnsi"/>
          <w:sz w:val="20"/>
          <w:szCs w:val="20"/>
          <w:lang w:val="en-US"/>
        </w:rPr>
        <w:t xml:space="preserve"> </w:t>
      </w:r>
      <w:r w:rsidRPr="000977F7">
        <w:rPr>
          <w:rFonts w:asciiTheme="majorHAnsi" w:hAnsiTheme="majorHAnsi"/>
          <w:sz w:val="20"/>
          <w:szCs w:val="20"/>
        </w:rPr>
        <w:t>правила</w:t>
      </w:r>
      <w:r w:rsidRPr="004D2D14">
        <w:rPr>
          <w:rFonts w:asciiTheme="majorHAnsi" w:hAnsiTheme="majorHAnsi"/>
          <w:sz w:val="20"/>
          <w:szCs w:val="20"/>
          <w:lang w:val="en-US"/>
        </w:rPr>
        <w:t xml:space="preserve"> </w:t>
      </w:r>
      <w:r w:rsidRPr="000977F7">
        <w:rPr>
          <w:rFonts w:asciiTheme="majorHAnsi" w:hAnsiTheme="majorHAnsi"/>
          <w:sz w:val="20"/>
          <w:szCs w:val="20"/>
        </w:rPr>
        <w:t>підготовки</w:t>
      </w:r>
      <w:r w:rsidRPr="004D2D14">
        <w:rPr>
          <w:rFonts w:asciiTheme="majorHAnsi" w:hAnsiTheme="majorHAnsi"/>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pacing w:val="1"/>
          <w:sz w:val="20"/>
          <w:szCs w:val="20"/>
          <w:lang w:val="en-US"/>
        </w:rPr>
        <w:t xml:space="preserve"> </w:t>
      </w:r>
      <w:r w:rsidRPr="000977F7">
        <w:rPr>
          <w:rFonts w:asciiTheme="majorHAnsi" w:hAnsiTheme="majorHAnsi"/>
          <w:sz w:val="20"/>
          <w:szCs w:val="20"/>
        </w:rPr>
        <w:t>до</w:t>
      </w:r>
      <w:r w:rsidRPr="004D2D14">
        <w:rPr>
          <w:rFonts w:asciiTheme="majorHAnsi" w:hAnsiTheme="majorHAnsi"/>
          <w:spacing w:val="1"/>
          <w:sz w:val="20"/>
          <w:szCs w:val="20"/>
          <w:lang w:val="en-US"/>
        </w:rPr>
        <w:t xml:space="preserve"> </w:t>
      </w:r>
      <w:r w:rsidRPr="000977F7">
        <w:rPr>
          <w:rFonts w:asciiTheme="majorHAnsi" w:hAnsiTheme="majorHAnsi"/>
          <w:sz w:val="20"/>
          <w:szCs w:val="20"/>
        </w:rPr>
        <w:t>пакування</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включно</w:t>
      </w:r>
      <w:r w:rsidRPr="004D2D14">
        <w:rPr>
          <w:rFonts w:asciiTheme="majorHAnsi" w:hAnsiTheme="majorHAnsi"/>
          <w:spacing w:val="1"/>
          <w:sz w:val="20"/>
          <w:szCs w:val="20"/>
          <w:lang w:val="en-US"/>
        </w:rPr>
        <w:t xml:space="preserve"> </w:t>
      </w:r>
      <w:r w:rsidRPr="000977F7">
        <w:rPr>
          <w:rFonts w:asciiTheme="majorHAnsi" w:hAnsiTheme="majorHAnsi"/>
          <w:sz w:val="20"/>
          <w:szCs w:val="20"/>
        </w:rPr>
        <w:t>консервацію</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вимоги</w:t>
      </w:r>
      <w:r w:rsidRPr="004D2D14">
        <w:rPr>
          <w:rFonts w:asciiTheme="majorHAnsi" w:hAnsiTheme="majorHAnsi"/>
          <w:spacing w:val="1"/>
          <w:sz w:val="20"/>
          <w:szCs w:val="20"/>
          <w:lang w:val="en-US"/>
        </w:rPr>
        <w:t xml:space="preserve"> </w:t>
      </w:r>
      <w:r w:rsidRPr="000977F7">
        <w:rPr>
          <w:rFonts w:asciiTheme="majorHAnsi" w:hAnsiTheme="majorHAnsi"/>
          <w:sz w:val="20"/>
          <w:szCs w:val="20"/>
        </w:rPr>
        <w:t>до</w:t>
      </w:r>
      <w:r w:rsidRPr="004D2D14">
        <w:rPr>
          <w:rFonts w:asciiTheme="majorHAnsi" w:hAnsiTheme="majorHAnsi"/>
          <w:spacing w:val="-47"/>
          <w:sz w:val="20"/>
          <w:szCs w:val="20"/>
          <w:lang w:val="en-US"/>
        </w:rPr>
        <w:t xml:space="preserve"> </w:t>
      </w:r>
      <w:r w:rsidRPr="000977F7">
        <w:rPr>
          <w:rFonts w:asciiTheme="majorHAnsi" w:hAnsiTheme="majorHAnsi"/>
          <w:sz w:val="20"/>
          <w:szCs w:val="20"/>
        </w:rPr>
        <w:t>споживчої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і</w:t>
      </w:r>
      <w:r w:rsidRPr="004D2D14">
        <w:rPr>
          <w:rFonts w:asciiTheme="majorHAnsi" w:hAnsiTheme="majorHAnsi"/>
          <w:spacing w:val="1"/>
          <w:sz w:val="20"/>
          <w:szCs w:val="20"/>
          <w:lang w:val="en-US"/>
        </w:rPr>
        <w:t xml:space="preserve"> </w:t>
      </w:r>
      <w:r w:rsidRPr="000977F7">
        <w:rPr>
          <w:rFonts w:asciiTheme="majorHAnsi" w:hAnsiTheme="majorHAnsi"/>
          <w:sz w:val="20"/>
          <w:szCs w:val="20"/>
        </w:rPr>
        <w:t>транспортувальної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тари</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вказівки</w:t>
      </w:r>
      <w:r w:rsidRPr="004D2D14">
        <w:rPr>
          <w:rFonts w:asciiTheme="majorHAnsi" w:hAnsiTheme="majorHAnsi"/>
          <w:spacing w:val="1"/>
          <w:sz w:val="20"/>
          <w:szCs w:val="20"/>
          <w:lang w:val="en-US"/>
        </w:rPr>
        <w:t xml:space="preserve"> </w:t>
      </w:r>
      <w:r w:rsidRPr="000977F7">
        <w:rPr>
          <w:rFonts w:asciiTheme="majorHAnsi" w:hAnsiTheme="majorHAnsi"/>
          <w:sz w:val="20"/>
          <w:szCs w:val="20"/>
        </w:rPr>
        <w:t>щодо</w:t>
      </w:r>
      <w:r w:rsidRPr="004D2D14">
        <w:rPr>
          <w:rFonts w:asciiTheme="majorHAnsi" w:hAnsiTheme="majorHAnsi"/>
          <w:spacing w:val="-47"/>
          <w:sz w:val="20"/>
          <w:szCs w:val="20"/>
          <w:lang w:val="en-US"/>
        </w:rPr>
        <w:t xml:space="preserve"> </w:t>
      </w:r>
      <w:r w:rsidRPr="000977F7">
        <w:rPr>
          <w:rFonts w:asciiTheme="majorHAnsi" w:hAnsiTheme="majorHAnsi"/>
          <w:sz w:val="20"/>
          <w:szCs w:val="20"/>
        </w:rPr>
        <w:t>способів</w:t>
      </w:r>
      <w:r w:rsidRPr="004D2D14">
        <w:rPr>
          <w:rFonts w:asciiTheme="majorHAnsi" w:hAnsiTheme="majorHAnsi"/>
          <w:sz w:val="20"/>
          <w:szCs w:val="20"/>
          <w:lang w:val="en-US"/>
        </w:rPr>
        <w:t xml:space="preserve"> </w:t>
      </w:r>
      <w:r w:rsidRPr="000977F7">
        <w:rPr>
          <w:rFonts w:asciiTheme="majorHAnsi" w:hAnsiTheme="majorHAnsi"/>
          <w:sz w:val="20"/>
          <w:szCs w:val="20"/>
        </w:rPr>
        <w:t>пакування</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укладання</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кріплення</w:t>
      </w:r>
      <w:r w:rsidRPr="004D2D14">
        <w:rPr>
          <w:rFonts w:asciiTheme="majorHAnsi" w:hAnsiTheme="majorHAnsi"/>
          <w:spacing w:val="50"/>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r w:rsidRPr="000977F7">
        <w:rPr>
          <w:rFonts w:asciiTheme="majorHAnsi" w:hAnsiTheme="majorHAnsi"/>
          <w:sz w:val="20"/>
          <w:szCs w:val="20"/>
        </w:rPr>
        <w:t>а</w:t>
      </w:r>
      <w:r w:rsidRPr="004D2D14">
        <w:rPr>
          <w:rFonts w:asciiTheme="majorHAnsi" w:hAnsiTheme="majorHAnsi"/>
          <w:spacing w:val="-1"/>
          <w:sz w:val="20"/>
          <w:szCs w:val="20"/>
          <w:lang w:val="en-US"/>
        </w:rPr>
        <w:t xml:space="preserve"> </w:t>
      </w:r>
      <w:r w:rsidRPr="000977F7">
        <w:rPr>
          <w:rFonts w:asciiTheme="majorHAnsi" w:hAnsiTheme="majorHAnsi"/>
          <w:sz w:val="20"/>
          <w:szCs w:val="20"/>
        </w:rPr>
        <w:t>також</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при</w:t>
      </w:r>
      <w:r w:rsidRPr="004D2D14">
        <w:rPr>
          <w:rFonts w:asciiTheme="majorHAnsi" w:hAnsiTheme="majorHAnsi"/>
          <w:spacing w:val="-2"/>
          <w:sz w:val="20"/>
          <w:szCs w:val="20"/>
          <w:lang w:val="en-US"/>
        </w:rPr>
        <w:t xml:space="preserve"> </w:t>
      </w:r>
      <w:r w:rsidRPr="000977F7">
        <w:rPr>
          <w:rFonts w:asciiTheme="majorHAnsi" w:hAnsiTheme="majorHAnsi"/>
          <w:sz w:val="20"/>
          <w:szCs w:val="20"/>
        </w:rPr>
        <w:t>необхідності</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вимоги</w:t>
      </w:r>
      <w:r w:rsidRPr="004D2D14">
        <w:rPr>
          <w:rFonts w:asciiTheme="majorHAnsi" w:hAnsiTheme="majorHAnsi"/>
          <w:spacing w:val="-2"/>
          <w:sz w:val="20"/>
          <w:szCs w:val="20"/>
          <w:lang w:val="en-US"/>
        </w:rPr>
        <w:t xml:space="preserve"> </w:t>
      </w:r>
      <w:r w:rsidRPr="000977F7">
        <w:rPr>
          <w:rFonts w:asciiTheme="majorHAnsi" w:hAnsiTheme="majorHAnsi"/>
          <w:sz w:val="20"/>
          <w:szCs w:val="20"/>
        </w:rPr>
        <w:t>безпеки</w:t>
      </w:r>
    </w:p>
    <w:p w14:paraId="1483EA1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w:t>
      </w:r>
      <w:r w:rsidRPr="000977F7">
        <w:rPr>
          <w:color w:val="auto"/>
          <w:spacing w:val="-5"/>
          <w:sz w:val="20"/>
          <w:szCs w:val="20"/>
        </w:rPr>
        <w:t xml:space="preserve"> </w:t>
      </w:r>
      <w:r w:rsidRPr="000977F7">
        <w:rPr>
          <w:color w:val="auto"/>
          <w:sz w:val="20"/>
          <w:szCs w:val="20"/>
        </w:rPr>
        <w:t>ПАРАМЕТРІВ</w:t>
      </w:r>
      <w:r w:rsidRPr="000977F7">
        <w:rPr>
          <w:color w:val="auto"/>
          <w:spacing w:val="1"/>
          <w:sz w:val="20"/>
          <w:szCs w:val="20"/>
        </w:rPr>
        <w:t xml:space="preserve"> </w:t>
      </w:r>
      <w:r w:rsidRPr="000977F7">
        <w:rPr>
          <w:color w:val="auto"/>
          <w:sz w:val="20"/>
          <w:szCs w:val="20"/>
        </w:rPr>
        <w:t>–</w:t>
      </w:r>
    </w:p>
    <w:p w14:paraId="23B7632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STANDARD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PARAMETERS –</w:t>
      </w:r>
    </w:p>
    <w:p w14:paraId="4D635B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що встановлює значення основних параметрів, які характеризують конкретні типи продукції і</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параметричні</w:t>
      </w:r>
      <w:r w:rsidRPr="000977F7">
        <w:rPr>
          <w:rFonts w:asciiTheme="majorHAnsi" w:hAnsiTheme="majorHAnsi"/>
          <w:spacing w:val="-1"/>
          <w:sz w:val="20"/>
          <w:szCs w:val="20"/>
        </w:rPr>
        <w:t xml:space="preserve"> </w:t>
      </w:r>
      <w:r w:rsidRPr="000977F7">
        <w:rPr>
          <w:rFonts w:asciiTheme="majorHAnsi" w:hAnsiTheme="majorHAnsi"/>
          <w:sz w:val="20"/>
          <w:szCs w:val="20"/>
        </w:rPr>
        <w:t>ряди</w:t>
      </w:r>
    </w:p>
    <w:p w14:paraId="77BB491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СТАНДАРТ ПОВНОЇ ТЕХНІЧНОЇ </w:t>
      </w:r>
    </w:p>
    <w:p w14:paraId="66F1067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ХАРАКТЕРИ</w:t>
      </w:r>
      <w:r w:rsidRPr="000977F7">
        <w:rPr>
          <w:color w:val="auto"/>
          <w:spacing w:val="-47"/>
          <w:sz w:val="20"/>
          <w:szCs w:val="20"/>
        </w:rPr>
        <w:t xml:space="preserve"> </w:t>
      </w:r>
      <w:r w:rsidRPr="000977F7">
        <w:rPr>
          <w:color w:val="auto"/>
          <w:sz w:val="20"/>
          <w:szCs w:val="20"/>
        </w:rPr>
        <w:t>СТИКИ</w:t>
      </w:r>
      <w:r w:rsidRPr="000977F7">
        <w:rPr>
          <w:color w:val="auto"/>
          <w:spacing w:val="-1"/>
          <w:sz w:val="20"/>
          <w:szCs w:val="20"/>
        </w:rPr>
        <w:t xml:space="preserve"> </w:t>
      </w:r>
      <w:r w:rsidRPr="000977F7">
        <w:rPr>
          <w:color w:val="auto"/>
          <w:sz w:val="20"/>
          <w:szCs w:val="20"/>
        </w:rPr>
        <w:t>(ТЕХНІЧНИХ УМОВ)</w:t>
      </w:r>
      <w:r w:rsidRPr="000977F7">
        <w:rPr>
          <w:color w:val="auto"/>
          <w:spacing w:val="2"/>
          <w:sz w:val="20"/>
          <w:szCs w:val="20"/>
        </w:rPr>
        <w:t xml:space="preserve"> </w:t>
      </w:r>
      <w:r w:rsidRPr="000977F7">
        <w:rPr>
          <w:color w:val="auto"/>
          <w:sz w:val="20"/>
          <w:szCs w:val="20"/>
        </w:rPr>
        <w:t>–</w:t>
      </w:r>
    </w:p>
    <w:p w14:paraId="4793270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COMPLETE</w:t>
      </w:r>
      <w:r w:rsidRPr="004D2D14">
        <w:rPr>
          <w:rFonts w:asciiTheme="majorHAnsi" w:hAnsiTheme="majorHAnsi"/>
          <w:sz w:val="20"/>
          <w:szCs w:val="20"/>
          <w:lang w:val="uk-UA"/>
        </w:rPr>
        <w:t xml:space="preserve"> </w:t>
      </w:r>
      <w:r w:rsidRPr="000977F7">
        <w:rPr>
          <w:rFonts w:asciiTheme="majorHAnsi" w:hAnsiTheme="majorHAnsi"/>
          <w:sz w:val="20"/>
          <w:szCs w:val="20"/>
        </w:rPr>
        <w:t>TECHNICAL</w:t>
      </w:r>
      <w:r w:rsidRPr="004D2D14">
        <w:rPr>
          <w:rFonts w:asciiTheme="majorHAnsi" w:hAnsiTheme="majorHAnsi"/>
          <w:sz w:val="20"/>
          <w:szCs w:val="20"/>
          <w:lang w:val="uk-UA"/>
        </w:rPr>
        <w:t xml:space="preserve"> </w:t>
      </w:r>
      <w:r w:rsidRPr="000977F7">
        <w:rPr>
          <w:rFonts w:asciiTheme="majorHAnsi" w:hAnsiTheme="majorHAnsi"/>
          <w:sz w:val="20"/>
          <w:szCs w:val="20"/>
        </w:rPr>
        <w:t>CHARACTERISTIC</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w:t>
      </w:r>
      <w:r w:rsidRPr="000977F7">
        <w:rPr>
          <w:rFonts w:asciiTheme="majorHAnsi" w:hAnsiTheme="majorHAnsi"/>
          <w:sz w:val="20"/>
          <w:szCs w:val="20"/>
        </w:rPr>
        <w:t>SPECIFICATION</w:t>
      </w:r>
      <w:r w:rsidRPr="004D2D14">
        <w:rPr>
          <w:rFonts w:asciiTheme="majorHAnsi" w:hAnsiTheme="majorHAnsi"/>
          <w:sz w:val="20"/>
          <w:szCs w:val="20"/>
          <w:lang w:val="uk-UA"/>
        </w:rPr>
        <w:t>)</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734E13A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Стандарт, що встановлює всебічні технічні вимоги 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конкретної</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одного</w:t>
      </w:r>
      <w:r w:rsidRPr="004D2D14">
        <w:rPr>
          <w:rFonts w:asciiTheme="majorHAnsi" w:hAnsiTheme="majorHAnsi"/>
          <w:spacing w:val="19"/>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9"/>
          <w:sz w:val="20"/>
          <w:szCs w:val="20"/>
          <w:lang w:val="uk-UA"/>
        </w:rPr>
        <w:t xml:space="preserve"> </w:t>
      </w:r>
      <w:r w:rsidRPr="004D2D14">
        <w:rPr>
          <w:rFonts w:asciiTheme="majorHAnsi" w:hAnsiTheme="majorHAnsi"/>
          <w:sz w:val="20"/>
          <w:szCs w:val="20"/>
          <w:lang w:val="uk-UA"/>
        </w:rPr>
        <w:t>декількох</w:t>
      </w:r>
      <w:r w:rsidRPr="004D2D14">
        <w:rPr>
          <w:rFonts w:asciiTheme="majorHAnsi" w:hAnsiTheme="majorHAnsi"/>
          <w:spacing w:val="19"/>
          <w:sz w:val="20"/>
          <w:szCs w:val="20"/>
          <w:lang w:val="uk-UA"/>
        </w:rPr>
        <w:t xml:space="preserve"> </w:t>
      </w:r>
      <w:r w:rsidRPr="004D2D14">
        <w:rPr>
          <w:rFonts w:asciiTheme="majorHAnsi" w:hAnsiTheme="majorHAnsi"/>
          <w:sz w:val="20"/>
          <w:szCs w:val="20"/>
          <w:lang w:val="uk-UA"/>
        </w:rPr>
        <w:t>типів</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при</w:t>
      </w:r>
      <w:r w:rsidRPr="004D2D14">
        <w:rPr>
          <w:rFonts w:asciiTheme="majorHAnsi" w:hAnsiTheme="majorHAnsi"/>
          <w:spacing w:val="-48"/>
          <w:sz w:val="20"/>
          <w:szCs w:val="20"/>
          <w:lang w:val="uk-UA"/>
        </w:rPr>
        <w:t xml:space="preserve"> </w:t>
      </w:r>
      <w:r w:rsidRPr="004D2D14">
        <w:rPr>
          <w:rFonts w:asciiTheme="majorHAnsi" w:hAnsiTheme="majorHAnsi"/>
          <w:sz w:val="20"/>
          <w:szCs w:val="20"/>
          <w:lang w:val="uk-UA"/>
        </w:rPr>
        <w:t>її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виготовленні,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постачанні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експлуатації</w:t>
      </w:r>
    </w:p>
    <w:p w14:paraId="1555107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w:t>
      </w:r>
      <w:r w:rsidRPr="000977F7">
        <w:rPr>
          <w:color w:val="auto"/>
          <w:spacing w:val="-5"/>
          <w:sz w:val="20"/>
          <w:szCs w:val="20"/>
        </w:rPr>
        <w:t xml:space="preserve"> </w:t>
      </w:r>
      <w:r w:rsidRPr="000977F7">
        <w:rPr>
          <w:color w:val="auto"/>
          <w:sz w:val="20"/>
          <w:szCs w:val="20"/>
        </w:rPr>
        <w:t>ПОЗНАЧЕНЬ -</w:t>
      </w:r>
    </w:p>
    <w:p w14:paraId="7B665A0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STANDARD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DESIGNATIONS -</w:t>
      </w:r>
    </w:p>
    <w:p w14:paraId="2097ED5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що встановлює для продукції умовні графічні</w:t>
      </w:r>
      <w:r w:rsidRPr="000977F7">
        <w:rPr>
          <w:rFonts w:asciiTheme="majorHAnsi" w:hAnsiTheme="majorHAnsi"/>
          <w:spacing w:val="1"/>
          <w:sz w:val="20"/>
          <w:szCs w:val="20"/>
        </w:rPr>
        <w:t xml:space="preserve"> </w:t>
      </w:r>
      <w:r w:rsidRPr="000977F7">
        <w:rPr>
          <w:rFonts w:asciiTheme="majorHAnsi" w:hAnsiTheme="majorHAnsi"/>
          <w:sz w:val="20"/>
          <w:szCs w:val="20"/>
        </w:rPr>
        <w:t>позначення,</w:t>
      </w:r>
      <w:r w:rsidRPr="000977F7">
        <w:rPr>
          <w:rFonts w:asciiTheme="majorHAnsi" w:hAnsiTheme="majorHAnsi"/>
          <w:spacing w:val="1"/>
          <w:sz w:val="20"/>
          <w:szCs w:val="20"/>
        </w:rPr>
        <w:t xml:space="preserve"> </w:t>
      </w:r>
      <w:r w:rsidRPr="000977F7">
        <w:rPr>
          <w:rFonts w:asciiTheme="majorHAnsi" w:hAnsiTheme="majorHAnsi"/>
          <w:sz w:val="20"/>
          <w:szCs w:val="20"/>
        </w:rPr>
        <w:t>умовні</w:t>
      </w:r>
      <w:r w:rsidRPr="000977F7">
        <w:rPr>
          <w:rFonts w:asciiTheme="majorHAnsi" w:hAnsiTheme="majorHAnsi"/>
          <w:spacing w:val="1"/>
          <w:sz w:val="20"/>
          <w:szCs w:val="20"/>
        </w:rPr>
        <w:t xml:space="preserve"> </w:t>
      </w:r>
      <w:r w:rsidRPr="000977F7">
        <w:rPr>
          <w:rFonts w:asciiTheme="majorHAnsi" w:hAnsiTheme="majorHAnsi"/>
          <w:sz w:val="20"/>
          <w:szCs w:val="20"/>
        </w:rPr>
        <w:t>позначення,</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замінюють</w:t>
      </w:r>
      <w:r w:rsidRPr="000977F7">
        <w:rPr>
          <w:rFonts w:asciiTheme="majorHAnsi" w:hAnsiTheme="majorHAnsi"/>
          <w:spacing w:val="1"/>
          <w:sz w:val="20"/>
          <w:szCs w:val="20"/>
        </w:rPr>
        <w:t xml:space="preserve"> </w:t>
      </w:r>
      <w:r w:rsidRPr="000977F7">
        <w:rPr>
          <w:rFonts w:asciiTheme="majorHAnsi" w:hAnsiTheme="majorHAnsi"/>
          <w:sz w:val="20"/>
          <w:szCs w:val="20"/>
        </w:rPr>
        <w:t>надписи</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ін.</w:t>
      </w:r>
    </w:p>
    <w:p w14:paraId="7F784085" w14:textId="77777777" w:rsidR="0097612F" w:rsidRPr="000977F7" w:rsidRDefault="0097612F" w:rsidP="000977F7">
      <w:pPr>
        <w:pStyle w:val="7"/>
        <w:tabs>
          <w:tab w:val="left" w:pos="284"/>
        </w:tabs>
        <w:spacing w:before="0" w:line="240" w:lineRule="auto"/>
        <w:ind w:left="170"/>
        <w:mirrorIndents/>
        <w:jc w:val="both"/>
        <w:rPr>
          <w:color w:val="auto"/>
          <w:spacing w:val="-47"/>
          <w:sz w:val="20"/>
          <w:szCs w:val="20"/>
        </w:rPr>
      </w:pPr>
      <w:r w:rsidRPr="000977F7">
        <w:rPr>
          <w:color w:val="auto"/>
          <w:sz w:val="20"/>
          <w:szCs w:val="20"/>
        </w:rPr>
        <w:t>СТАНДАРТ ПРАВИЛ ПРИЙМАННЯ</w:t>
      </w:r>
      <w:r w:rsidRPr="000977F7">
        <w:rPr>
          <w:color w:val="auto"/>
          <w:spacing w:val="-47"/>
          <w:sz w:val="20"/>
          <w:szCs w:val="20"/>
        </w:rPr>
        <w:t xml:space="preserve">         </w:t>
      </w:r>
    </w:p>
    <w:p w14:paraId="4350376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47"/>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776B86B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STANDARD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ON ACCEPTANCE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RULES –</w:t>
      </w:r>
    </w:p>
    <w:p w14:paraId="731D3D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що встановлює порядок надання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приймання</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порядок приймання</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43BB284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w:t>
      </w:r>
      <w:r w:rsidRPr="000977F7">
        <w:rPr>
          <w:color w:val="auto"/>
          <w:spacing w:val="-4"/>
          <w:sz w:val="20"/>
          <w:szCs w:val="20"/>
        </w:rPr>
        <w:t xml:space="preserve"> </w:t>
      </w:r>
      <w:r w:rsidRPr="000977F7">
        <w:rPr>
          <w:color w:val="auto"/>
          <w:sz w:val="20"/>
          <w:szCs w:val="20"/>
        </w:rPr>
        <w:t>РОЗМІРІВ</w:t>
      </w:r>
      <w:r w:rsidRPr="000977F7">
        <w:rPr>
          <w:color w:val="auto"/>
          <w:spacing w:val="1"/>
          <w:sz w:val="20"/>
          <w:szCs w:val="20"/>
        </w:rPr>
        <w:t xml:space="preserve"> </w:t>
      </w:r>
      <w:r w:rsidRPr="000977F7">
        <w:rPr>
          <w:color w:val="auto"/>
          <w:sz w:val="20"/>
          <w:szCs w:val="20"/>
        </w:rPr>
        <w:t>–</w:t>
      </w:r>
    </w:p>
    <w:p w14:paraId="7E04496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STANDARD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DIMENSIONS –</w:t>
      </w:r>
    </w:p>
    <w:p w14:paraId="05812E65" w14:textId="77777777" w:rsidR="0097612F" w:rsidRPr="004D2D14" w:rsidRDefault="0097612F" w:rsidP="000977F7">
      <w:pPr>
        <w:pStyle w:val="af6"/>
        <w:tabs>
          <w:tab w:val="left" w:pos="284"/>
        </w:tabs>
        <w:spacing w:after="0"/>
        <w:ind w:left="170"/>
        <w:mirrorIndents/>
        <w:jc w:val="both"/>
        <w:rPr>
          <w:rFonts w:asciiTheme="majorHAnsi" w:hAnsiTheme="majorHAnsi"/>
          <w:spacing w:val="-3"/>
          <w:sz w:val="20"/>
          <w:szCs w:val="20"/>
          <w:lang w:val="en-US"/>
        </w:rPr>
      </w:pPr>
      <w:r w:rsidRPr="000977F7">
        <w:rPr>
          <w:rFonts w:asciiTheme="majorHAnsi" w:hAnsiTheme="majorHAnsi"/>
          <w:sz w:val="20"/>
          <w:szCs w:val="20"/>
        </w:rPr>
        <w:t>Стандарт</w:t>
      </w:r>
      <w:r w:rsidRPr="004D2D14">
        <w:rPr>
          <w:rFonts w:asciiTheme="majorHAnsi" w:hAnsiTheme="majorHAnsi"/>
          <w:sz w:val="20"/>
          <w:szCs w:val="20"/>
          <w:lang w:val="en-US"/>
        </w:rPr>
        <w:t>,</w:t>
      </w:r>
      <w:r w:rsidRPr="004D2D14">
        <w:rPr>
          <w:rFonts w:asciiTheme="majorHAnsi" w:hAnsiTheme="majorHAnsi"/>
          <w:spacing w:val="23"/>
          <w:sz w:val="20"/>
          <w:szCs w:val="20"/>
          <w:lang w:val="en-US"/>
        </w:rPr>
        <w:t xml:space="preserve"> </w:t>
      </w:r>
      <w:r w:rsidRPr="000977F7">
        <w:rPr>
          <w:rFonts w:asciiTheme="majorHAnsi" w:hAnsiTheme="majorHAnsi"/>
          <w:sz w:val="20"/>
          <w:szCs w:val="20"/>
        </w:rPr>
        <w:t>що</w:t>
      </w:r>
      <w:r w:rsidRPr="004D2D14">
        <w:rPr>
          <w:rFonts w:asciiTheme="majorHAnsi" w:hAnsiTheme="majorHAnsi"/>
          <w:spacing w:val="22"/>
          <w:sz w:val="20"/>
          <w:szCs w:val="20"/>
          <w:lang w:val="en-US"/>
        </w:rPr>
        <w:t xml:space="preserve"> </w:t>
      </w:r>
      <w:r w:rsidRPr="000977F7">
        <w:rPr>
          <w:rFonts w:asciiTheme="majorHAnsi" w:hAnsiTheme="majorHAnsi"/>
          <w:sz w:val="20"/>
          <w:szCs w:val="20"/>
        </w:rPr>
        <w:t>встановлює</w:t>
      </w:r>
      <w:r w:rsidRPr="004D2D14">
        <w:rPr>
          <w:rFonts w:asciiTheme="majorHAnsi" w:hAnsiTheme="majorHAnsi"/>
          <w:spacing w:val="22"/>
          <w:sz w:val="20"/>
          <w:szCs w:val="20"/>
          <w:lang w:val="en-US"/>
        </w:rPr>
        <w:t xml:space="preserve"> </w:t>
      </w:r>
      <w:r w:rsidRPr="000977F7">
        <w:rPr>
          <w:rFonts w:asciiTheme="majorHAnsi" w:hAnsiTheme="majorHAnsi"/>
          <w:sz w:val="20"/>
          <w:szCs w:val="20"/>
        </w:rPr>
        <w:t>ряди</w:t>
      </w:r>
      <w:r w:rsidRPr="004D2D14">
        <w:rPr>
          <w:rFonts w:asciiTheme="majorHAnsi" w:hAnsiTheme="majorHAnsi"/>
          <w:spacing w:val="22"/>
          <w:sz w:val="20"/>
          <w:szCs w:val="20"/>
          <w:lang w:val="en-US"/>
        </w:rPr>
        <w:t xml:space="preserve"> </w:t>
      </w:r>
      <w:r w:rsidRPr="000977F7">
        <w:rPr>
          <w:rFonts w:asciiTheme="majorHAnsi" w:hAnsiTheme="majorHAnsi"/>
          <w:sz w:val="20"/>
          <w:szCs w:val="20"/>
        </w:rPr>
        <w:t>розмірів</w:t>
      </w:r>
      <w:r w:rsidRPr="004D2D14">
        <w:rPr>
          <w:rFonts w:asciiTheme="majorHAnsi" w:hAnsiTheme="majorHAnsi"/>
          <w:sz w:val="20"/>
          <w:szCs w:val="20"/>
          <w:lang w:val="en-US"/>
        </w:rPr>
        <w:t>;</w:t>
      </w:r>
      <w:r w:rsidRPr="004D2D14">
        <w:rPr>
          <w:rFonts w:asciiTheme="majorHAnsi" w:hAnsiTheme="majorHAnsi"/>
          <w:spacing w:val="21"/>
          <w:sz w:val="20"/>
          <w:szCs w:val="20"/>
          <w:lang w:val="en-US"/>
        </w:rPr>
        <w:t xml:space="preserve"> </w:t>
      </w:r>
      <w:r w:rsidRPr="000977F7">
        <w:rPr>
          <w:rFonts w:asciiTheme="majorHAnsi" w:hAnsiTheme="majorHAnsi"/>
          <w:sz w:val="20"/>
          <w:szCs w:val="20"/>
        </w:rPr>
        <w:t>розміри</w:t>
      </w:r>
      <w:r w:rsidRPr="004D2D14">
        <w:rPr>
          <w:rFonts w:asciiTheme="majorHAnsi" w:hAnsiTheme="majorHAnsi"/>
          <w:sz w:val="20"/>
          <w:szCs w:val="20"/>
          <w:lang w:val="en-US"/>
        </w:rPr>
        <w:t>,</w:t>
      </w:r>
      <w:r w:rsidRPr="004D2D14">
        <w:rPr>
          <w:rFonts w:asciiTheme="majorHAnsi" w:hAnsiTheme="majorHAnsi"/>
          <w:spacing w:val="23"/>
          <w:sz w:val="20"/>
          <w:szCs w:val="20"/>
          <w:lang w:val="en-US"/>
        </w:rPr>
        <w:t xml:space="preserve"> </w:t>
      </w:r>
      <w:r w:rsidRPr="000977F7">
        <w:rPr>
          <w:rFonts w:asciiTheme="majorHAnsi" w:hAnsiTheme="majorHAnsi"/>
          <w:sz w:val="20"/>
          <w:szCs w:val="20"/>
        </w:rPr>
        <w:t>що</w:t>
      </w:r>
      <w:r w:rsidRPr="004D2D14">
        <w:rPr>
          <w:rFonts w:asciiTheme="majorHAnsi" w:hAnsiTheme="majorHAnsi"/>
          <w:spacing w:val="-47"/>
          <w:sz w:val="20"/>
          <w:szCs w:val="20"/>
          <w:lang w:val="en-US"/>
        </w:rPr>
        <w:t xml:space="preserve"> </w:t>
      </w:r>
      <w:r w:rsidRPr="000977F7">
        <w:rPr>
          <w:rFonts w:asciiTheme="majorHAnsi" w:hAnsiTheme="majorHAnsi"/>
          <w:spacing w:val="-2"/>
          <w:sz w:val="20"/>
          <w:szCs w:val="20"/>
        </w:rPr>
        <w:t>характеризують</w:t>
      </w:r>
      <w:r w:rsidRPr="004D2D14">
        <w:rPr>
          <w:rFonts w:asciiTheme="majorHAnsi" w:hAnsiTheme="majorHAnsi"/>
          <w:spacing w:val="11"/>
          <w:sz w:val="20"/>
          <w:szCs w:val="20"/>
          <w:lang w:val="en-US"/>
        </w:rPr>
        <w:t xml:space="preserve"> </w:t>
      </w:r>
      <w:r w:rsidRPr="000977F7">
        <w:rPr>
          <w:rFonts w:asciiTheme="majorHAnsi" w:hAnsiTheme="majorHAnsi"/>
          <w:spacing w:val="-2"/>
          <w:sz w:val="20"/>
          <w:szCs w:val="20"/>
        </w:rPr>
        <w:t>конкретні</w:t>
      </w:r>
      <w:r w:rsidRPr="004D2D14">
        <w:rPr>
          <w:rFonts w:asciiTheme="majorHAnsi" w:hAnsiTheme="majorHAnsi"/>
          <w:spacing w:val="10"/>
          <w:sz w:val="20"/>
          <w:szCs w:val="20"/>
          <w:lang w:val="en-US"/>
        </w:rPr>
        <w:t xml:space="preserve"> </w:t>
      </w:r>
      <w:r w:rsidRPr="000977F7">
        <w:rPr>
          <w:rFonts w:asciiTheme="majorHAnsi" w:hAnsiTheme="majorHAnsi"/>
          <w:spacing w:val="-1"/>
          <w:sz w:val="20"/>
          <w:szCs w:val="20"/>
        </w:rPr>
        <w:t>типи</w:t>
      </w:r>
      <w:r w:rsidRPr="004D2D14">
        <w:rPr>
          <w:rFonts w:asciiTheme="majorHAnsi" w:hAnsiTheme="majorHAnsi"/>
          <w:spacing w:val="-1"/>
          <w:sz w:val="20"/>
          <w:szCs w:val="20"/>
          <w:lang w:val="en-US"/>
        </w:rPr>
        <w:t>;</w:t>
      </w:r>
      <w:r w:rsidRPr="004D2D14">
        <w:rPr>
          <w:rFonts w:asciiTheme="majorHAnsi" w:hAnsiTheme="majorHAnsi"/>
          <w:spacing w:val="11"/>
          <w:sz w:val="20"/>
          <w:szCs w:val="20"/>
          <w:lang w:val="en-US"/>
        </w:rPr>
        <w:t xml:space="preserve"> </w:t>
      </w:r>
      <w:r w:rsidRPr="000977F7">
        <w:rPr>
          <w:rFonts w:asciiTheme="majorHAnsi" w:hAnsiTheme="majorHAnsi"/>
          <w:spacing w:val="-1"/>
          <w:sz w:val="20"/>
          <w:szCs w:val="20"/>
        </w:rPr>
        <w:t>габаритні</w:t>
      </w:r>
      <w:r w:rsidRPr="004D2D14">
        <w:rPr>
          <w:rFonts w:asciiTheme="majorHAnsi" w:hAnsiTheme="majorHAnsi"/>
          <w:spacing w:val="-1"/>
          <w:sz w:val="20"/>
          <w:szCs w:val="20"/>
          <w:lang w:val="en-US"/>
        </w:rPr>
        <w:t>,</w:t>
      </w:r>
      <w:r w:rsidRPr="004D2D14">
        <w:rPr>
          <w:rFonts w:asciiTheme="majorHAnsi" w:hAnsiTheme="majorHAnsi"/>
          <w:spacing w:val="11"/>
          <w:sz w:val="20"/>
          <w:szCs w:val="20"/>
          <w:lang w:val="en-US"/>
        </w:rPr>
        <w:t xml:space="preserve"> </w:t>
      </w:r>
      <w:r w:rsidRPr="000977F7">
        <w:rPr>
          <w:rFonts w:asciiTheme="majorHAnsi" w:hAnsiTheme="majorHAnsi"/>
          <w:spacing w:val="-1"/>
          <w:sz w:val="20"/>
          <w:szCs w:val="20"/>
        </w:rPr>
        <w:t>приєднува</w:t>
      </w:r>
      <w:r w:rsidRPr="000977F7">
        <w:rPr>
          <w:rFonts w:asciiTheme="majorHAnsi" w:hAnsiTheme="majorHAnsi"/>
          <w:spacing w:val="-4"/>
          <w:sz w:val="20"/>
          <w:szCs w:val="20"/>
        </w:rPr>
        <w:t>льні</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установочні</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розміри</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граничні</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відхилення</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розмірів</w:t>
      </w:r>
    </w:p>
    <w:p w14:paraId="47DD85DF"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0977F7">
        <w:rPr>
          <w:rFonts w:asciiTheme="majorHAnsi" w:hAnsiTheme="majorHAnsi"/>
          <w:b/>
          <w:sz w:val="20"/>
          <w:szCs w:val="20"/>
        </w:rPr>
        <w:t>СТАНДАРТ</w:t>
      </w:r>
      <w:r w:rsidRPr="004D2D14">
        <w:rPr>
          <w:rFonts w:asciiTheme="majorHAnsi" w:hAnsiTheme="majorHAnsi"/>
          <w:b/>
          <w:spacing w:val="-2"/>
          <w:sz w:val="20"/>
          <w:szCs w:val="20"/>
          <w:lang w:val="en-US"/>
        </w:rPr>
        <w:t xml:space="preserve"> </w:t>
      </w:r>
      <w:r w:rsidRPr="000977F7">
        <w:rPr>
          <w:rFonts w:asciiTheme="majorHAnsi" w:hAnsiTheme="majorHAnsi"/>
          <w:b/>
          <w:sz w:val="20"/>
          <w:szCs w:val="20"/>
        </w:rPr>
        <w:t>СОРТАМЕНТУ</w:t>
      </w:r>
      <w:r w:rsidRPr="004D2D14">
        <w:rPr>
          <w:rFonts w:asciiTheme="majorHAnsi" w:hAnsiTheme="majorHAnsi"/>
          <w:b/>
          <w:spacing w:val="2"/>
          <w:sz w:val="20"/>
          <w:szCs w:val="20"/>
          <w:lang w:val="en-US"/>
        </w:rPr>
        <w:t xml:space="preserve"> </w:t>
      </w:r>
      <w:r w:rsidRPr="004D2D14">
        <w:rPr>
          <w:rFonts w:asciiTheme="majorHAnsi" w:hAnsiTheme="majorHAnsi"/>
          <w:b/>
          <w:sz w:val="20"/>
          <w:szCs w:val="20"/>
          <w:lang w:val="en-US"/>
        </w:rPr>
        <w:t>–</w:t>
      </w:r>
    </w:p>
    <w:p w14:paraId="1865AA2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STANDARD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THE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RANGE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PRODUCTS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0F3D9AD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Стандарт</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встановлює</w:t>
      </w:r>
      <w:r w:rsidRPr="004D2D14">
        <w:rPr>
          <w:rFonts w:asciiTheme="majorHAnsi" w:hAnsiTheme="majorHAnsi"/>
          <w:sz w:val="20"/>
          <w:szCs w:val="20"/>
          <w:lang w:val="en-US"/>
        </w:rPr>
        <w:t xml:space="preserve"> </w:t>
      </w:r>
      <w:r w:rsidRPr="000977F7">
        <w:rPr>
          <w:rFonts w:asciiTheme="majorHAnsi" w:hAnsiTheme="majorHAnsi"/>
          <w:sz w:val="20"/>
          <w:szCs w:val="20"/>
        </w:rPr>
        <w:t>ряди</w:t>
      </w:r>
      <w:r w:rsidRPr="004D2D14">
        <w:rPr>
          <w:rFonts w:asciiTheme="majorHAnsi" w:hAnsiTheme="majorHAnsi"/>
          <w:sz w:val="20"/>
          <w:szCs w:val="20"/>
          <w:lang w:val="en-US"/>
        </w:rPr>
        <w:t xml:space="preserve"> </w:t>
      </w:r>
      <w:r w:rsidRPr="000977F7">
        <w:rPr>
          <w:rFonts w:asciiTheme="majorHAnsi" w:hAnsiTheme="majorHAnsi"/>
          <w:sz w:val="20"/>
          <w:szCs w:val="20"/>
        </w:rPr>
        <w:t>розмірів</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їх</w:t>
      </w:r>
      <w:r w:rsidRPr="004D2D14">
        <w:rPr>
          <w:rFonts w:asciiTheme="majorHAnsi" w:hAnsiTheme="majorHAnsi"/>
          <w:sz w:val="20"/>
          <w:szCs w:val="20"/>
          <w:lang w:val="en-US"/>
        </w:rPr>
        <w:t xml:space="preserve"> </w:t>
      </w:r>
      <w:r w:rsidRPr="000977F7">
        <w:rPr>
          <w:rFonts w:asciiTheme="majorHAnsi" w:hAnsiTheme="majorHAnsi"/>
          <w:sz w:val="20"/>
          <w:szCs w:val="20"/>
        </w:rPr>
        <w:t>граничні</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відхилення</w:t>
      </w:r>
      <w:r w:rsidRPr="004D2D14">
        <w:rPr>
          <w:rFonts w:asciiTheme="majorHAnsi" w:hAnsiTheme="majorHAnsi"/>
          <w:sz w:val="20"/>
          <w:szCs w:val="20"/>
          <w:lang w:val="en-US"/>
        </w:rPr>
        <w:t xml:space="preserve">, </w:t>
      </w:r>
      <w:r w:rsidRPr="000977F7">
        <w:rPr>
          <w:rFonts w:asciiTheme="majorHAnsi" w:hAnsiTheme="majorHAnsi"/>
          <w:sz w:val="20"/>
          <w:szCs w:val="20"/>
        </w:rPr>
        <w:t>відхилення</w:t>
      </w:r>
      <w:r w:rsidRPr="004D2D14">
        <w:rPr>
          <w:rFonts w:asciiTheme="majorHAnsi" w:hAnsiTheme="majorHAnsi"/>
          <w:sz w:val="20"/>
          <w:szCs w:val="20"/>
          <w:lang w:val="en-US"/>
        </w:rPr>
        <w:t xml:space="preserve"> </w:t>
      </w:r>
      <w:r w:rsidRPr="000977F7">
        <w:rPr>
          <w:rFonts w:asciiTheme="majorHAnsi" w:hAnsiTheme="majorHAnsi"/>
          <w:sz w:val="20"/>
          <w:szCs w:val="20"/>
        </w:rPr>
        <w:t>від</w:t>
      </w:r>
      <w:r w:rsidRPr="004D2D14">
        <w:rPr>
          <w:rFonts w:asciiTheme="majorHAnsi" w:hAnsiTheme="majorHAnsi"/>
          <w:sz w:val="20"/>
          <w:szCs w:val="20"/>
          <w:lang w:val="en-US"/>
        </w:rPr>
        <w:t xml:space="preserve"> </w:t>
      </w:r>
      <w:r w:rsidRPr="000977F7">
        <w:rPr>
          <w:rFonts w:asciiTheme="majorHAnsi" w:hAnsiTheme="majorHAnsi"/>
          <w:sz w:val="20"/>
          <w:szCs w:val="20"/>
        </w:rPr>
        <w:t>геометричної</w:t>
      </w:r>
      <w:r w:rsidRPr="004D2D14">
        <w:rPr>
          <w:rFonts w:asciiTheme="majorHAnsi" w:hAnsiTheme="majorHAnsi"/>
          <w:sz w:val="20"/>
          <w:szCs w:val="20"/>
          <w:lang w:val="en-US"/>
        </w:rPr>
        <w:t xml:space="preserve"> </w:t>
      </w:r>
      <w:r w:rsidRPr="000977F7">
        <w:rPr>
          <w:rFonts w:asciiTheme="majorHAnsi" w:hAnsiTheme="majorHAnsi"/>
          <w:sz w:val="20"/>
          <w:szCs w:val="20"/>
        </w:rPr>
        <w:t>форми</w:t>
      </w:r>
      <w:r w:rsidRPr="004D2D14">
        <w:rPr>
          <w:rFonts w:asciiTheme="majorHAnsi" w:hAnsiTheme="majorHAnsi"/>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інші</w:t>
      </w:r>
      <w:r w:rsidRPr="004D2D14">
        <w:rPr>
          <w:rFonts w:asciiTheme="majorHAnsi" w:hAnsiTheme="majorHAnsi"/>
          <w:spacing w:val="-47"/>
          <w:sz w:val="20"/>
          <w:szCs w:val="20"/>
          <w:lang w:val="en-US"/>
        </w:rPr>
        <w:t xml:space="preserve"> </w:t>
      </w:r>
      <w:r w:rsidRPr="000977F7">
        <w:rPr>
          <w:rFonts w:asciiTheme="majorHAnsi" w:hAnsiTheme="majorHAnsi"/>
          <w:sz w:val="20"/>
          <w:szCs w:val="20"/>
        </w:rPr>
        <w:t>необхідні</w:t>
      </w:r>
      <w:r w:rsidRPr="004D2D14">
        <w:rPr>
          <w:rFonts w:asciiTheme="majorHAnsi" w:hAnsiTheme="majorHAnsi"/>
          <w:spacing w:val="-2"/>
          <w:sz w:val="20"/>
          <w:szCs w:val="20"/>
          <w:lang w:val="en-US"/>
        </w:rPr>
        <w:t xml:space="preserve"> </w:t>
      </w:r>
      <w:r w:rsidRPr="000977F7">
        <w:rPr>
          <w:rFonts w:asciiTheme="majorHAnsi" w:hAnsiTheme="majorHAnsi"/>
          <w:sz w:val="20"/>
          <w:szCs w:val="20"/>
        </w:rPr>
        <w:t>дані</w:t>
      </w:r>
    </w:p>
    <w:p w14:paraId="49693F6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w:t>
      </w:r>
      <w:r w:rsidRPr="000977F7">
        <w:rPr>
          <w:color w:val="auto"/>
          <w:spacing w:val="-4"/>
          <w:sz w:val="20"/>
          <w:szCs w:val="20"/>
        </w:rPr>
        <w:t xml:space="preserve"> </w:t>
      </w:r>
      <w:r w:rsidRPr="000977F7">
        <w:rPr>
          <w:color w:val="auto"/>
          <w:sz w:val="20"/>
          <w:szCs w:val="20"/>
        </w:rPr>
        <w:t>ТЕРМІНІВ</w:t>
      </w:r>
      <w:r w:rsidRPr="000977F7">
        <w:rPr>
          <w:color w:val="auto"/>
          <w:spacing w:val="-3"/>
          <w:sz w:val="20"/>
          <w:szCs w:val="20"/>
        </w:rPr>
        <w:t xml:space="preserve"> </w:t>
      </w:r>
      <w:r w:rsidRPr="000977F7">
        <w:rPr>
          <w:color w:val="auto"/>
          <w:sz w:val="20"/>
          <w:szCs w:val="20"/>
        </w:rPr>
        <w:t>І</w:t>
      </w:r>
      <w:r w:rsidRPr="000977F7">
        <w:rPr>
          <w:color w:val="auto"/>
          <w:spacing w:val="-4"/>
          <w:sz w:val="20"/>
          <w:szCs w:val="20"/>
        </w:rPr>
        <w:t xml:space="preserve"> </w:t>
      </w:r>
      <w:r w:rsidRPr="000977F7">
        <w:rPr>
          <w:color w:val="auto"/>
          <w:sz w:val="20"/>
          <w:szCs w:val="20"/>
        </w:rPr>
        <w:t>ВИЗНАЧЕНЬ</w:t>
      </w:r>
      <w:r w:rsidRPr="000977F7">
        <w:rPr>
          <w:color w:val="auto"/>
          <w:spacing w:val="1"/>
          <w:sz w:val="20"/>
          <w:szCs w:val="20"/>
        </w:rPr>
        <w:t xml:space="preserve"> </w:t>
      </w:r>
      <w:r w:rsidRPr="000977F7">
        <w:rPr>
          <w:color w:val="auto"/>
          <w:sz w:val="20"/>
          <w:szCs w:val="20"/>
        </w:rPr>
        <w:t>–</w:t>
      </w:r>
    </w:p>
    <w:p w14:paraId="65B25FC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TERMINOLOGY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STANDARD –</w:t>
      </w:r>
    </w:p>
    <w:p w14:paraId="071258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що розповсюджується на терміни, яким, як</w:t>
      </w:r>
      <w:r w:rsidRPr="000977F7">
        <w:rPr>
          <w:rFonts w:asciiTheme="majorHAnsi" w:hAnsiTheme="majorHAnsi"/>
          <w:spacing w:val="1"/>
          <w:sz w:val="20"/>
          <w:szCs w:val="20"/>
        </w:rPr>
        <w:t xml:space="preserve"> </w:t>
      </w:r>
      <w:r w:rsidRPr="000977F7">
        <w:rPr>
          <w:rFonts w:asciiTheme="majorHAnsi" w:hAnsiTheme="majorHAnsi"/>
          <w:sz w:val="20"/>
          <w:szCs w:val="20"/>
        </w:rPr>
        <w:t>правило,</w:t>
      </w:r>
      <w:r w:rsidRPr="000977F7">
        <w:rPr>
          <w:rFonts w:asciiTheme="majorHAnsi" w:hAnsiTheme="majorHAnsi"/>
          <w:spacing w:val="1"/>
          <w:sz w:val="20"/>
          <w:szCs w:val="20"/>
        </w:rPr>
        <w:t xml:space="preserve"> </w:t>
      </w:r>
      <w:r w:rsidRPr="000977F7">
        <w:rPr>
          <w:rFonts w:asciiTheme="majorHAnsi" w:hAnsiTheme="majorHAnsi"/>
          <w:sz w:val="20"/>
          <w:szCs w:val="20"/>
        </w:rPr>
        <w:t>даються</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деяких</w:t>
      </w:r>
      <w:r w:rsidRPr="000977F7">
        <w:rPr>
          <w:rFonts w:asciiTheme="majorHAnsi" w:hAnsiTheme="majorHAnsi"/>
          <w:spacing w:val="1"/>
          <w:sz w:val="20"/>
          <w:szCs w:val="20"/>
        </w:rPr>
        <w:t xml:space="preserve"> </w:t>
      </w:r>
      <w:r w:rsidRPr="000977F7">
        <w:rPr>
          <w:rFonts w:asciiTheme="majorHAnsi" w:hAnsiTheme="majorHAnsi"/>
          <w:sz w:val="20"/>
          <w:szCs w:val="20"/>
        </w:rPr>
        <w:t>випадках</w:t>
      </w:r>
      <w:r w:rsidRPr="000977F7">
        <w:rPr>
          <w:rFonts w:asciiTheme="majorHAnsi" w:hAnsiTheme="majorHAnsi"/>
          <w:spacing w:val="1"/>
          <w:sz w:val="20"/>
          <w:szCs w:val="20"/>
        </w:rPr>
        <w:t xml:space="preserve"> </w:t>
      </w:r>
      <w:r w:rsidRPr="000977F7">
        <w:rPr>
          <w:rFonts w:asciiTheme="majorHAnsi" w:hAnsiTheme="majorHAnsi"/>
          <w:sz w:val="20"/>
          <w:szCs w:val="20"/>
        </w:rPr>
        <w:t>примітки,</w:t>
      </w:r>
      <w:r w:rsidRPr="000977F7">
        <w:rPr>
          <w:rFonts w:asciiTheme="majorHAnsi" w:hAnsiTheme="majorHAnsi"/>
          <w:spacing w:val="-1"/>
          <w:sz w:val="20"/>
          <w:szCs w:val="20"/>
        </w:rPr>
        <w:t xml:space="preserve"> </w:t>
      </w:r>
      <w:r w:rsidRPr="000977F7">
        <w:rPr>
          <w:rFonts w:asciiTheme="majorHAnsi" w:hAnsiTheme="majorHAnsi"/>
          <w:sz w:val="20"/>
          <w:szCs w:val="20"/>
        </w:rPr>
        <w:t>ілюстрації, приклади</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ін.</w:t>
      </w:r>
    </w:p>
    <w:p w14:paraId="65E09B7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що встановлює для продукції терміни і визначення понять, що відносяться до об’єкта стандартизації</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галузі розповсюдження</w:t>
      </w:r>
      <w:r w:rsidRPr="000977F7">
        <w:rPr>
          <w:rFonts w:asciiTheme="majorHAnsi" w:hAnsiTheme="majorHAnsi"/>
          <w:spacing w:val="-2"/>
          <w:sz w:val="20"/>
          <w:szCs w:val="20"/>
        </w:rPr>
        <w:t xml:space="preserve"> </w:t>
      </w:r>
      <w:r w:rsidRPr="000977F7">
        <w:rPr>
          <w:rFonts w:asciiTheme="majorHAnsi" w:hAnsiTheme="majorHAnsi"/>
          <w:sz w:val="20"/>
          <w:szCs w:val="20"/>
        </w:rPr>
        <w:t>стандарту</w:t>
      </w:r>
    </w:p>
    <w:p w14:paraId="74B9346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w:t>
      </w:r>
      <w:r w:rsidRPr="000977F7">
        <w:rPr>
          <w:color w:val="auto"/>
          <w:spacing w:val="-4"/>
          <w:sz w:val="20"/>
          <w:szCs w:val="20"/>
        </w:rPr>
        <w:t xml:space="preserve"> </w:t>
      </w:r>
      <w:r w:rsidRPr="000977F7">
        <w:rPr>
          <w:color w:val="auto"/>
          <w:sz w:val="20"/>
          <w:szCs w:val="20"/>
        </w:rPr>
        <w:t>ТЕХНІЧНИХ</w:t>
      </w:r>
      <w:r w:rsidRPr="000977F7">
        <w:rPr>
          <w:color w:val="auto"/>
          <w:spacing w:val="-1"/>
          <w:sz w:val="20"/>
          <w:szCs w:val="20"/>
        </w:rPr>
        <w:t xml:space="preserve"> </w:t>
      </w:r>
      <w:r w:rsidRPr="000977F7">
        <w:rPr>
          <w:color w:val="auto"/>
          <w:sz w:val="20"/>
          <w:szCs w:val="20"/>
        </w:rPr>
        <w:t>ВИМОГ</w:t>
      </w:r>
      <w:r w:rsidRPr="000977F7">
        <w:rPr>
          <w:color w:val="auto"/>
          <w:spacing w:val="-2"/>
          <w:sz w:val="20"/>
          <w:szCs w:val="20"/>
        </w:rPr>
        <w:t xml:space="preserve"> </w:t>
      </w:r>
      <w:r w:rsidRPr="000977F7">
        <w:rPr>
          <w:color w:val="auto"/>
          <w:sz w:val="20"/>
          <w:szCs w:val="20"/>
        </w:rPr>
        <w:t>–</w:t>
      </w:r>
    </w:p>
    <w:p w14:paraId="001BCC7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STANDARD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TECHNICAL</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REQUIREMENTS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457F35D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встановлює</w:t>
      </w:r>
      <w:r w:rsidRPr="000977F7">
        <w:rPr>
          <w:rFonts w:asciiTheme="majorHAnsi" w:hAnsiTheme="majorHAnsi"/>
          <w:spacing w:val="1"/>
          <w:sz w:val="20"/>
          <w:szCs w:val="20"/>
        </w:rPr>
        <w:t xml:space="preserve"> </w:t>
      </w:r>
      <w:r w:rsidRPr="000977F7">
        <w:rPr>
          <w:rFonts w:asciiTheme="majorHAnsi" w:hAnsiTheme="majorHAnsi"/>
          <w:sz w:val="20"/>
          <w:szCs w:val="20"/>
        </w:rPr>
        <w:t>технічні</w:t>
      </w:r>
      <w:r w:rsidRPr="000977F7">
        <w:rPr>
          <w:rFonts w:asciiTheme="majorHAnsi" w:hAnsiTheme="majorHAnsi"/>
          <w:spacing w:val="1"/>
          <w:sz w:val="20"/>
          <w:szCs w:val="20"/>
        </w:rPr>
        <w:t xml:space="preserve"> </w:t>
      </w:r>
      <w:r w:rsidRPr="000977F7">
        <w:rPr>
          <w:rFonts w:asciiTheme="majorHAnsi" w:hAnsiTheme="majorHAnsi"/>
          <w:sz w:val="20"/>
          <w:szCs w:val="20"/>
        </w:rPr>
        <w:t>норми</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50"/>
          <w:sz w:val="20"/>
          <w:szCs w:val="20"/>
        </w:rPr>
        <w:t xml:space="preserve"> </w:t>
      </w:r>
      <w:r w:rsidRPr="000977F7">
        <w:rPr>
          <w:rFonts w:asciiTheme="majorHAnsi" w:hAnsiTheme="majorHAnsi"/>
          <w:sz w:val="20"/>
          <w:szCs w:val="20"/>
        </w:rPr>
        <w:t>вимоги,</w:t>
      </w:r>
      <w:r w:rsidRPr="000977F7">
        <w:rPr>
          <w:rFonts w:asciiTheme="majorHAnsi" w:hAnsiTheme="majorHAnsi"/>
          <w:spacing w:val="-47"/>
          <w:sz w:val="20"/>
          <w:szCs w:val="20"/>
        </w:rPr>
        <w:t xml:space="preserve"> </w:t>
      </w:r>
      <w:r w:rsidRPr="000977F7">
        <w:rPr>
          <w:rFonts w:asciiTheme="majorHAnsi" w:hAnsiTheme="majorHAnsi"/>
          <w:sz w:val="20"/>
          <w:szCs w:val="20"/>
        </w:rPr>
        <w:t>які,</w:t>
      </w:r>
      <w:r w:rsidRPr="000977F7">
        <w:rPr>
          <w:rFonts w:asciiTheme="majorHAnsi" w:hAnsiTheme="majorHAnsi"/>
          <w:spacing w:val="-5"/>
          <w:sz w:val="20"/>
          <w:szCs w:val="20"/>
        </w:rPr>
        <w:t xml:space="preserve"> </w:t>
      </w:r>
      <w:r w:rsidRPr="000977F7">
        <w:rPr>
          <w:rFonts w:asciiTheme="majorHAnsi" w:hAnsiTheme="majorHAnsi"/>
          <w:sz w:val="20"/>
          <w:szCs w:val="20"/>
        </w:rPr>
        <w:t>як</w:t>
      </w:r>
      <w:r w:rsidRPr="000977F7">
        <w:rPr>
          <w:rFonts w:asciiTheme="majorHAnsi" w:hAnsiTheme="majorHAnsi"/>
          <w:spacing w:val="-6"/>
          <w:sz w:val="20"/>
          <w:szCs w:val="20"/>
        </w:rPr>
        <w:t xml:space="preserve"> </w:t>
      </w:r>
      <w:r w:rsidRPr="000977F7">
        <w:rPr>
          <w:rFonts w:asciiTheme="majorHAnsi" w:hAnsiTheme="majorHAnsi"/>
          <w:sz w:val="20"/>
          <w:szCs w:val="20"/>
        </w:rPr>
        <w:t>правило,</w:t>
      </w:r>
      <w:r w:rsidRPr="000977F7">
        <w:rPr>
          <w:rFonts w:asciiTheme="majorHAnsi" w:hAnsiTheme="majorHAnsi"/>
          <w:spacing w:val="-4"/>
          <w:sz w:val="20"/>
          <w:szCs w:val="20"/>
        </w:rPr>
        <w:t xml:space="preserve"> </w:t>
      </w:r>
      <w:r w:rsidRPr="000977F7">
        <w:rPr>
          <w:rFonts w:asciiTheme="majorHAnsi" w:hAnsiTheme="majorHAnsi"/>
          <w:sz w:val="20"/>
          <w:szCs w:val="20"/>
        </w:rPr>
        <w:t>визначають</w:t>
      </w:r>
      <w:r w:rsidRPr="000977F7">
        <w:rPr>
          <w:rFonts w:asciiTheme="majorHAnsi" w:hAnsiTheme="majorHAnsi"/>
          <w:spacing w:val="-3"/>
          <w:sz w:val="20"/>
          <w:szCs w:val="20"/>
        </w:rPr>
        <w:t xml:space="preserve"> </w:t>
      </w:r>
      <w:r w:rsidRPr="000977F7">
        <w:rPr>
          <w:rFonts w:asciiTheme="majorHAnsi" w:hAnsiTheme="majorHAnsi"/>
          <w:sz w:val="20"/>
          <w:szCs w:val="20"/>
        </w:rPr>
        <w:t>споживчі</w:t>
      </w:r>
      <w:r w:rsidRPr="000977F7">
        <w:rPr>
          <w:rFonts w:asciiTheme="majorHAnsi" w:hAnsiTheme="majorHAnsi"/>
          <w:spacing w:val="-5"/>
          <w:sz w:val="20"/>
          <w:szCs w:val="20"/>
        </w:rPr>
        <w:t xml:space="preserve"> </w:t>
      </w:r>
      <w:r w:rsidRPr="000977F7">
        <w:rPr>
          <w:rFonts w:asciiTheme="majorHAnsi" w:hAnsiTheme="majorHAnsi"/>
          <w:sz w:val="20"/>
          <w:szCs w:val="20"/>
        </w:rPr>
        <w:t>(експлуатаційні)</w:t>
      </w:r>
      <w:r w:rsidRPr="000977F7">
        <w:rPr>
          <w:rFonts w:asciiTheme="majorHAnsi" w:hAnsiTheme="majorHAnsi"/>
          <w:spacing w:val="-48"/>
          <w:sz w:val="20"/>
          <w:szCs w:val="20"/>
        </w:rPr>
        <w:t xml:space="preserve"> </w:t>
      </w:r>
      <w:r w:rsidRPr="000977F7">
        <w:rPr>
          <w:rFonts w:asciiTheme="majorHAnsi" w:hAnsiTheme="majorHAnsi"/>
          <w:sz w:val="20"/>
          <w:szCs w:val="20"/>
        </w:rPr>
        <w:t>характеристики</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3C4044D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w:t>
      </w:r>
      <w:r w:rsidRPr="000977F7">
        <w:rPr>
          <w:color w:val="auto"/>
          <w:spacing w:val="-5"/>
          <w:sz w:val="20"/>
          <w:szCs w:val="20"/>
        </w:rPr>
        <w:t xml:space="preserve"> </w:t>
      </w:r>
      <w:r w:rsidRPr="000977F7">
        <w:rPr>
          <w:color w:val="auto"/>
          <w:sz w:val="20"/>
          <w:szCs w:val="20"/>
        </w:rPr>
        <w:t>ТИПІВ</w:t>
      </w:r>
      <w:r w:rsidRPr="000977F7">
        <w:rPr>
          <w:color w:val="auto"/>
          <w:spacing w:val="-1"/>
          <w:sz w:val="20"/>
          <w:szCs w:val="20"/>
        </w:rPr>
        <w:t xml:space="preserve"> </w:t>
      </w:r>
      <w:r w:rsidRPr="000977F7">
        <w:rPr>
          <w:color w:val="auto"/>
          <w:sz w:val="20"/>
          <w:szCs w:val="20"/>
        </w:rPr>
        <w:t>–</w:t>
      </w:r>
    </w:p>
    <w:p w14:paraId="089D603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STANDARD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TYPES –</w:t>
      </w:r>
    </w:p>
    <w:p w14:paraId="1880163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 що встановлює типи продукції з вказанням</w:t>
      </w:r>
      <w:r w:rsidRPr="000977F7">
        <w:rPr>
          <w:rFonts w:asciiTheme="majorHAnsi" w:hAnsiTheme="majorHAnsi"/>
          <w:spacing w:val="1"/>
          <w:sz w:val="20"/>
          <w:szCs w:val="20"/>
        </w:rPr>
        <w:t xml:space="preserve"> </w:t>
      </w:r>
      <w:r w:rsidRPr="000977F7">
        <w:rPr>
          <w:rFonts w:asciiTheme="majorHAnsi" w:hAnsiTheme="majorHAnsi"/>
          <w:sz w:val="20"/>
          <w:szCs w:val="20"/>
        </w:rPr>
        <w:t>їх умовного позначення, відмінних ознак і умов застосування</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призначення</w:t>
      </w:r>
    </w:p>
    <w:p w14:paraId="04E0EA5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1"/>
          <w:sz w:val="20"/>
          <w:szCs w:val="20"/>
        </w:rPr>
        <w:t>СТАНДАРТ</w:t>
      </w:r>
      <w:r w:rsidRPr="000977F7">
        <w:rPr>
          <w:color w:val="auto"/>
          <w:spacing w:val="-7"/>
          <w:sz w:val="20"/>
          <w:szCs w:val="20"/>
        </w:rPr>
        <w:t xml:space="preserve"> </w:t>
      </w:r>
      <w:r w:rsidRPr="000977F7">
        <w:rPr>
          <w:color w:val="auto"/>
          <w:sz w:val="20"/>
          <w:szCs w:val="20"/>
        </w:rPr>
        <w:t>ТРАНСПОРТУВАННЯ-</w:t>
      </w:r>
    </w:p>
    <w:p w14:paraId="438BB5F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STANDARD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TRANSPORTATION-</w:t>
      </w:r>
    </w:p>
    <w:p w14:paraId="61D0D02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Стандарт</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що</w:t>
      </w:r>
      <w:r w:rsidRPr="004D2D14">
        <w:rPr>
          <w:rFonts w:asciiTheme="majorHAnsi" w:hAnsiTheme="majorHAnsi"/>
          <w:spacing w:val="1"/>
          <w:sz w:val="20"/>
          <w:szCs w:val="20"/>
          <w:lang w:val="en-US"/>
        </w:rPr>
        <w:t xml:space="preserve"> </w:t>
      </w:r>
      <w:r w:rsidRPr="000977F7">
        <w:rPr>
          <w:rFonts w:asciiTheme="majorHAnsi" w:hAnsiTheme="majorHAnsi"/>
          <w:sz w:val="20"/>
          <w:szCs w:val="20"/>
        </w:rPr>
        <w:t>встановлює</w:t>
      </w:r>
      <w:r w:rsidRPr="004D2D14">
        <w:rPr>
          <w:rFonts w:asciiTheme="majorHAnsi" w:hAnsiTheme="majorHAnsi"/>
          <w:spacing w:val="1"/>
          <w:sz w:val="20"/>
          <w:szCs w:val="20"/>
          <w:lang w:val="en-US"/>
        </w:rPr>
        <w:t xml:space="preserve"> </w:t>
      </w:r>
      <w:r w:rsidRPr="000977F7">
        <w:rPr>
          <w:rFonts w:asciiTheme="majorHAnsi" w:hAnsiTheme="majorHAnsi"/>
          <w:sz w:val="20"/>
          <w:szCs w:val="20"/>
        </w:rPr>
        <w:t>умови</w:t>
      </w:r>
      <w:r w:rsidRPr="004D2D14">
        <w:rPr>
          <w:rFonts w:asciiTheme="majorHAnsi" w:hAnsiTheme="majorHAnsi"/>
          <w:spacing w:val="1"/>
          <w:sz w:val="20"/>
          <w:szCs w:val="20"/>
          <w:lang w:val="en-US"/>
        </w:rPr>
        <w:t xml:space="preserve"> </w:t>
      </w:r>
      <w:r w:rsidRPr="000977F7">
        <w:rPr>
          <w:rFonts w:asciiTheme="majorHAnsi" w:hAnsiTheme="majorHAnsi"/>
          <w:sz w:val="20"/>
          <w:szCs w:val="20"/>
        </w:rPr>
        <w:t>транспортування</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вимоги</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пов</w:t>
      </w:r>
      <w:r w:rsidRPr="004D2D14">
        <w:rPr>
          <w:rFonts w:asciiTheme="majorHAnsi" w:hAnsiTheme="majorHAnsi"/>
          <w:sz w:val="20"/>
          <w:szCs w:val="20"/>
          <w:lang w:val="en-US"/>
        </w:rPr>
        <w:t>’</w:t>
      </w:r>
      <w:r w:rsidRPr="000977F7">
        <w:rPr>
          <w:rFonts w:asciiTheme="majorHAnsi" w:hAnsiTheme="majorHAnsi"/>
          <w:sz w:val="20"/>
          <w:szCs w:val="20"/>
        </w:rPr>
        <w:t>язані</w:t>
      </w:r>
      <w:r w:rsidRPr="004D2D14">
        <w:rPr>
          <w:rFonts w:asciiTheme="majorHAnsi" w:hAnsiTheme="majorHAnsi"/>
          <w:spacing w:val="1"/>
          <w:sz w:val="20"/>
          <w:szCs w:val="20"/>
          <w:lang w:val="en-US"/>
        </w:rPr>
        <w:t xml:space="preserve"> </w:t>
      </w:r>
      <w:r w:rsidRPr="000977F7">
        <w:rPr>
          <w:rFonts w:asciiTheme="majorHAnsi" w:hAnsiTheme="majorHAnsi"/>
          <w:sz w:val="20"/>
          <w:szCs w:val="20"/>
        </w:rPr>
        <w:t>з</w:t>
      </w:r>
      <w:r w:rsidRPr="004D2D14">
        <w:rPr>
          <w:rFonts w:asciiTheme="majorHAnsi" w:hAnsiTheme="majorHAnsi"/>
          <w:spacing w:val="1"/>
          <w:sz w:val="20"/>
          <w:szCs w:val="20"/>
          <w:lang w:val="en-US"/>
        </w:rPr>
        <w:t xml:space="preserve"> </w:t>
      </w:r>
      <w:r w:rsidRPr="000977F7">
        <w:rPr>
          <w:rFonts w:asciiTheme="majorHAnsi" w:hAnsiTheme="majorHAnsi"/>
          <w:sz w:val="20"/>
          <w:szCs w:val="20"/>
        </w:rPr>
        <w:t>особливостями</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навантаження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pacing w:val="12"/>
          <w:sz w:val="20"/>
          <w:szCs w:val="20"/>
          <w:lang w:val="en-US"/>
        </w:rPr>
        <w:t xml:space="preserve"> </w:t>
      </w:r>
      <w:r w:rsidRPr="000977F7">
        <w:rPr>
          <w:rFonts w:asciiTheme="majorHAnsi" w:hAnsiTheme="majorHAnsi"/>
          <w:sz w:val="20"/>
          <w:szCs w:val="20"/>
        </w:rPr>
        <w:t>і</w:t>
      </w:r>
      <w:r w:rsidRPr="004D2D14">
        <w:rPr>
          <w:rFonts w:asciiTheme="majorHAnsi" w:hAnsiTheme="majorHAnsi"/>
          <w:spacing w:val="10"/>
          <w:sz w:val="20"/>
          <w:szCs w:val="20"/>
          <w:lang w:val="en-US"/>
        </w:rPr>
        <w:t xml:space="preserve"> </w:t>
      </w:r>
      <w:r w:rsidRPr="000977F7">
        <w:rPr>
          <w:rFonts w:asciiTheme="majorHAnsi" w:hAnsiTheme="majorHAnsi"/>
          <w:sz w:val="20"/>
          <w:szCs w:val="20"/>
        </w:rPr>
        <w:t>поводження</w:t>
      </w:r>
      <w:r w:rsidRPr="004D2D14">
        <w:rPr>
          <w:rFonts w:asciiTheme="majorHAnsi" w:hAnsiTheme="majorHAnsi"/>
          <w:spacing w:val="10"/>
          <w:sz w:val="20"/>
          <w:szCs w:val="20"/>
          <w:lang w:val="en-US"/>
        </w:rPr>
        <w:t xml:space="preserve"> </w:t>
      </w:r>
      <w:r w:rsidRPr="000977F7">
        <w:rPr>
          <w:rFonts w:asciiTheme="majorHAnsi" w:hAnsiTheme="majorHAnsi"/>
          <w:sz w:val="20"/>
          <w:szCs w:val="20"/>
        </w:rPr>
        <w:t>з</w:t>
      </w:r>
      <w:r w:rsidRPr="004D2D14">
        <w:rPr>
          <w:rFonts w:asciiTheme="majorHAnsi" w:hAnsiTheme="majorHAnsi"/>
          <w:spacing w:val="13"/>
          <w:sz w:val="20"/>
          <w:szCs w:val="20"/>
          <w:lang w:val="en-US"/>
        </w:rPr>
        <w:t xml:space="preserve"> </w:t>
      </w:r>
      <w:r w:rsidRPr="000977F7">
        <w:rPr>
          <w:rFonts w:asciiTheme="majorHAnsi" w:hAnsiTheme="majorHAnsi"/>
          <w:sz w:val="20"/>
          <w:szCs w:val="20"/>
        </w:rPr>
        <w:t>нею</w:t>
      </w:r>
      <w:r w:rsidRPr="004D2D14">
        <w:rPr>
          <w:rFonts w:asciiTheme="majorHAnsi" w:hAnsiTheme="majorHAnsi"/>
          <w:spacing w:val="10"/>
          <w:sz w:val="20"/>
          <w:szCs w:val="20"/>
          <w:lang w:val="en-US"/>
        </w:rPr>
        <w:t xml:space="preserve"> </w:t>
      </w:r>
      <w:r w:rsidRPr="000977F7">
        <w:rPr>
          <w:rFonts w:asciiTheme="majorHAnsi" w:hAnsiTheme="majorHAnsi"/>
          <w:sz w:val="20"/>
          <w:szCs w:val="20"/>
        </w:rPr>
        <w:t>після</w:t>
      </w:r>
      <w:r w:rsidRPr="004D2D14">
        <w:rPr>
          <w:rFonts w:asciiTheme="majorHAnsi" w:hAnsiTheme="majorHAnsi"/>
          <w:spacing w:val="12"/>
          <w:sz w:val="20"/>
          <w:szCs w:val="20"/>
          <w:lang w:val="en-US"/>
        </w:rPr>
        <w:t xml:space="preserve"> </w:t>
      </w:r>
      <w:r w:rsidRPr="000977F7">
        <w:rPr>
          <w:rFonts w:asciiTheme="majorHAnsi" w:hAnsiTheme="majorHAnsi"/>
          <w:sz w:val="20"/>
          <w:szCs w:val="20"/>
        </w:rPr>
        <w:t>транспортування</w:t>
      </w:r>
      <w:r w:rsidRPr="004D2D14">
        <w:rPr>
          <w:rFonts w:asciiTheme="majorHAnsi" w:hAnsiTheme="majorHAnsi"/>
          <w:sz w:val="20"/>
          <w:szCs w:val="20"/>
          <w:lang w:val="en-US"/>
        </w:rPr>
        <w:t>,</w:t>
      </w:r>
      <w:r w:rsidRPr="004D2D14">
        <w:rPr>
          <w:rFonts w:asciiTheme="majorHAnsi" w:hAnsiTheme="majorHAnsi"/>
          <w:spacing w:val="-48"/>
          <w:sz w:val="20"/>
          <w:szCs w:val="20"/>
          <w:lang w:val="en-US"/>
        </w:rPr>
        <w:t xml:space="preserve"> </w:t>
      </w:r>
      <w:r w:rsidRPr="000977F7">
        <w:rPr>
          <w:rFonts w:asciiTheme="majorHAnsi" w:hAnsiTheme="majorHAnsi"/>
          <w:sz w:val="20"/>
          <w:szCs w:val="20"/>
        </w:rPr>
        <w:t>а</w:t>
      </w:r>
      <w:r w:rsidRPr="004D2D14">
        <w:rPr>
          <w:rFonts w:asciiTheme="majorHAnsi" w:hAnsiTheme="majorHAnsi"/>
          <w:sz w:val="20"/>
          <w:szCs w:val="20"/>
          <w:lang w:val="en-US"/>
        </w:rPr>
        <w:t xml:space="preserve"> </w:t>
      </w:r>
      <w:r w:rsidRPr="000977F7">
        <w:rPr>
          <w:rFonts w:asciiTheme="majorHAnsi" w:hAnsiTheme="majorHAnsi"/>
          <w:sz w:val="20"/>
          <w:szCs w:val="20"/>
        </w:rPr>
        <w:t>також</w:t>
      </w:r>
      <w:r w:rsidRPr="004D2D14">
        <w:rPr>
          <w:rFonts w:asciiTheme="majorHAnsi" w:hAnsiTheme="majorHAnsi"/>
          <w:sz w:val="20"/>
          <w:szCs w:val="20"/>
          <w:lang w:val="en-US"/>
        </w:rPr>
        <w:t xml:space="preserve"> </w:t>
      </w:r>
      <w:r w:rsidRPr="000977F7">
        <w:rPr>
          <w:rFonts w:asciiTheme="majorHAnsi" w:hAnsiTheme="majorHAnsi"/>
          <w:sz w:val="20"/>
          <w:szCs w:val="20"/>
        </w:rPr>
        <w:t>при</w:t>
      </w:r>
      <w:r w:rsidRPr="004D2D14">
        <w:rPr>
          <w:rFonts w:asciiTheme="majorHAnsi" w:hAnsiTheme="majorHAnsi"/>
          <w:sz w:val="20"/>
          <w:szCs w:val="20"/>
          <w:lang w:val="en-US"/>
        </w:rPr>
        <w:t xml:space="preserve"> </w:t>
      </w:r>
      <w:r w:rsidRPr="000977F7">
        <w:rPr>
          <w:rFonts w:asciiTheme="majorHAnsi" w:hAnsiTheme="majorHAnsi"/>
          <w:sz w:val="20"/>
          <w:szCs w:val="20"/>
        </w:rPr>
        <w:t>необхідності</w:t>
      </w:r>
      <w:r w:rsidRPr="004D2D14">
        <w:rPr>
          <w:rFonts w:asciiTheme="majorHAnsi" w:hAnsiTheme="majorHAnsi"/>
          <w:sz w:val="20"/>
          <w:szCs w:val="20"/>
          <w:lang w:val="en-US"/>
        </w:rPr>
        <w:t xml:space="preserve"> </w:t>
      </w:r>
      <w:r w:rsidRPr="000977F7">
        <w:rPr>
          <w:rFonts w:asciiTheme="majorHAnsi" w:hAnsiTheme="majorHAnsi"/>
          <w:sz w:val="20"/>
          <w:szCs w:val="20"/>
        </w:rPr>
        <w:t>вимоги</w:t>
      </w:r>
      <w:r w:rsidRPr="004D2D14">
        <w:rPr>
          <w:rFonts w:asciiTheme="majorHAnsi" w:hAnsiTheme="majorHAnsi"/>
          <w:sz w:val="20"/>
          <w:szCs w:val="20"/>
          <w:lang w:val="en-US"/>
        </w:rPr>
        <w:t xml:space="preserve"> </w:t>
      </w:r>
      <w:r w:rsidRPr="000977F7">
        <w:rPr>
          <w:rFonts w:asciiTheme="majorHAnsi" w:hAnsiTheme="majorHAnsi"/>
          <w:sz w:val="20"/>
          <w:szCs w:val="20"/>
        </w:rPr>
        <w:t>до</w:t>
      </w:r>
      <w:r w:rsidRPr="004D2D14">
        <w:rPr>
          <w:rFonts w:asciiTheme="majorHAnsi" w:hAnsiTheme="majorHAnsi"/>
          <w:sz w:val="20"/>
          <w:szCs w:val="20"/>
          <w:lang w:val="en-US"/>
        </w:rPr>
        <w:t xml:space="preserve"> </w:t>
      </w:r>
      <w:r w:rsidRPr="000977F7">
        <w:rPr>
          <w:rFonts w:asciiTheme="majorHAnsi" w:hAnsiTheme="majorHAnsi"/>
          <w:sz w:val="20"/>
          <w:szCs w:val="20"/>
        </w:rPr>
        <w:t>вибору</w:t>
      </w:r>
      <w:r w:rsidRPr="004D2D14">
        <w:rPr>
          <w:rFonts w:asciiTheme="majorHAnsi" w:hAnsiTheme="majorHAnsi"/>
          <w:sz w:val="20"/>
          <w:szCs w:val="20"/>
          <w:lang w:val="en-US"/>
        </w:rPr>
        <w:t xml:space="preserve"> </w:t>
      </w:r>
      <w:r w:rsidRPr="000977F7">
        <w:rPr>
          <w:rFonts w:asciiTheme="majorHAnsi" w:hAnsiTheme="majorHAnsi"/>
          <w:sz w:val="20"/>
          <w:szCs w:val="20"/>
        </w:rPr>
        <w:t>транспортних</w:t>
      </w:r>
      <w:r w:rsidRPr="004D2D14">
        <w:rPr>
          <w:rFonts w:asciiTheme="majorHAnsi" w:hAnsiTheme="majorHAnsi"/>
          <w:sz w:val="20"/>
          <w:szCs w:val="20"/>
          <w:lang w:val="en-US"/>
        </w:rPr>
        <w:t xml:space="preserve"> </w:t>
      </w:r>
      <w:r w:rsidRPr="000977F7">
        <w:rPr>
          <w:rFonts w:asciiTheme="majorHAnsi" w:hAnsiTheme="majorHAnsi"/>
          <w:sz w:val="20"/>
          <w:szCs w:val="20"/>
        </w:rPr>
        <w:t>засобів</w:t>
      </w:r>
      <w:r w:rsidRPr="004D2D14">
        <w:rPr>
          <w:rFonts w:asciiTheme="majorHAnsi" w:hAnsiTheme="majorHAnsi"/>
          <w:sz w:val="20"/>
          <w:szCs w:val="20"/>
          <w:lang w:val="en-US"/>
        </w:rPr>
        <w:t xml:space="preserve">, </w:t>
      </w:r>
      <w:r w:rsidRPr="000977F7">
        <w:rPr>
          <w:rFonts w:asciiTheme="majorHAnsi" w:hAnsiTheme="majorHAnsi"/>
          <w:sz w:val="20"/>
          <w:szCs w:val="20"/>
        </w:rPr>
        <w:t>до</w:t>
      </w:r>
      <w:r w:rsidRPr="004D2D14">
        <w:rPr>
          <w:rFonts w:asciiTheme="majorHAnsi" w:hAnsiTheme="majorHAnsi"/>
          <w:sz w:val="20"/>
          <w:szCs w:val="20"/>
          <w:lang w:val="en-US"/>
        </w:rPr>
        <w:t xml:space="preserve"> </w:t>
      </w:r>
      <w:r w:rsidRPr="000977F7">
        <w:rPr>
          <w:rFonts w:asciiTheme="majorHAnsi" w:hAnsiTheme="majorHAnsi"/>
          <w:sz w:val="20"/>
          <w:szCs w:val="20"/>
        </w:rPr>
        <w:t>способів</w:t>
      </w:r>
      <w:r w:rsidRPr="004D2D14">
        <w:rPr>
          <w:rFonts w:asciiTheme="majorHAnsi" w:hAnsiTheme="majorHAnsi"/>
          <w:sz w:val="20"/>
          <w:szCs w:val="20"/>
          <w:lang w:val="en-US"/>
        </w:rPr>
        <w:t xml:space="preserve"> </w:t>
      </w:r>
      <w:r w:rsidRPr="000977F7">
        <w:rPr>
          <w:rFonts w:asciiTheme="majorHAnsi" w:hAnsiTheme="majorHAnsi"/>
          <w:sz w:val="20"/>
          <w:szCs w:val="20"/>
        </w:rPr>
        <w:t>кріплення</w:t>
      </w:r>
      <w:r w:rsidRPr="004D2D14">
        <w:rPr>
          <w:rFonts w:asciiTheme="majorHAnsi" w:hAnsiTheme="majorHAnsi"/>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 xml:space="preserve"> </w:t>
      </w:r>
      <w:r w:rsidRPr="000977F7">
        <w:rPr>
          <w:rFonts w:asciiTheme="majorHAnsi" w:hAnsiTheme="majorHAnsi"/>
          <w:sz w:val="20"/>
          <w:szCs w:val="20"/>
        </w:rPr>
        <w:t>на</w:t>
      </w:r>
      <w:r w:rsidRPr="004D2D14">
        <w:rPr>
          <w:rFonts w:asciiTheme="majorHAnsi" w:hAnsiTheme="majorHAnsi"/>
          <w:sz w:val="20"/>
          <w:szCs w:val="20"/>
          <w:lang w:val="en-US"/>
        </w:rPr>
        <w:t xml:space="preserve"> </w:t>
      </w:r>
      <w:r w:rsidRPr="000977F7">
        <w:rPr>
          <w:rFonts w:asciiTheme="majorHAnsi" w:hAnsiTheme="majorHAnsi"/>
          <w:sz w:val="20"/>
          <w:szCs w:val="20"/>
        </w:rPr>
        <w:t>цих</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засобах</w:t>
      </w:r>
      <w:r w:rsidRPr="004D2D14">
        <w:rPr>
          <w:rFonts w:asciiTheme="majorHAnsi" w:hAnsiTheme="majorHAnsi"/>
          <w:spacing w:val="-3"/>
          <w:sz w:val="20"/>
          <w:szCs w:val="20"/>
          <w:lang w:val="en-US"/>
        </w:rPr>
        <w:t xml:space="preserve"> </w:t>
      </w:r>
      <w:r w:rsidRPr="000977F7">
        <w:rPr>
          <w:rFonts w:asciiTheme="majorHAnsi" w:hAnsiTheme="majorHAnsi"/>
          <w:sz w:val="20"/>
          <w:szCs w:val="20"/>
        </w:rPr>
        <w:t>і</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вимоги</w:t>
      </w:r>
      <w:r w:rsidRPr="004D2D14">
        <w:rPr>
          <w:rFonts w:asciiTheme="majorHAnsi" w:hAnsiTheme="majorHAnsi"/>
          <w:spacing w:val="-1"/>
          <w:sz w:val="20"/>
          <w:szCs w:val="20"/>
          <w:lang w:val="en-US"/>
        </w:rPr>
        <w:t xml:space="preserve"> </w:t>
      </w:r>
      <w:r w:rsidRPr="000977F7">
        <w:rPr>
          <w:rFonts w:asciiTheme="majorHAnsi" w:hAnsiTheme="majorHAnsi"/>
          <w:sz w:val="20"/>
          <w:szCs w:val="20"/>
        </w:rPr>
        <w:t>безпеки</w:t>
      </w:r>
    </w:p>
    <w:p w14:paraId="22CF031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СТАНДАРТИ,</w:t>
      </w:r>
      <w:r w:rsidRPr="000977F7">
        <w:rPr>
          <w:color w:val="auto"/>
          <w:spacing w:val="1"/>
          <w:sz w:val="20"/>
          <w:szCs w:val="20"/>
        </w:rPr>
        <w:t xml:space="preserve"> </w:t>
      </w:r>
      <w:r w:rsidRPr="000977F7">
        <w:rPr>
          <w:color w:val="auto"/>
          <w:sz w:val="20"/>
          <w:szCs w:val="20"/>
        </w:rPr>
        <w:t xml:space="preserve">ГАРМОНІЗОВАНІ НА </w:t>
      </w:r>
    </w:p>
    <w:p w14:paraId="7AB6AB1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БАГАТО</w:t>
      </w:r>
      <w:r w:rsidRPr="000977F7">
        <w:rPr>
          <w:color w:val="auto"/>
          <w:spacing w:val="-47"/>
          <w:sz w:val="20"/>
          <w:szCs w:val="20"/>
        </w:rPr>
        <w:t xml:space="preserve"> </w:t>
      </w:r>
      <w:r w:rsidRPr="000977F7">
        <w:rPr>
          <w:color w:val="auto"/>
          <w:sz w:val="20"/>
          <w:szCs w:val="20"/>
        </w:rPr>
        <w:t>СТОРОННІЙ ОСНОВІ</w:t>
      </w:r>
      <w:r w:rsidRPr="000977F7">
        <w:rPr>
          <w:color w:val="auto"/>
          <w:spacing w:val="2"/>
          <w:sz w:val="20"/>
          <w:szCs w:val="20"/>
        </w:rPr>
        <w:t xml:space="preserve"> </w:t>
      </w:r>
      <w:r w:rsidRPr="000977F7">
        <w:rPr>
          <w:color w:val="auto"/>
          <w:sz w:val="20"/>
          <w:szCs w:val="20"/>
        </w:rPr>
        <w:t>–</w:t>
      </w:r>
    </w:p>
    <w:p w14:paraId="4CCFCAA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MULTILATERALLY</w:t>
      </w:r>
      <w:r w:rsidRPr="004D2D14">
        <w:rPr>
          <w:rFonts w:asciiTheme="majorHAnsi" w:hAnsiTheme="majorHAnsi"/>
          <w:spacing w:val="-4"/>
          <w:sz w:val="20"/>
          <w:szCs w:val="20"/>
          <w:lang w:val="uk-UA"/>
        </w:rPr>
        <w:t xml:space="preserve"> </w:t>
      </w:r>
      <w:r w:rsidRPr="000977F7">
        <w:rPr>
          <w:rFonts w:asciiTheme="majorHAnsi" w:hAnsiTheme="majorHAnsi"/>
          <w:sz w:val="20"/>
          <w:szCs w:val="20"/>
        </w:rPr>
        <w:t>HARMONIZED</w:t>
      </w:r>
      <w:r w:rsidRPr="004D2D14">
        <w:rPr>
          <w:rFonts w:asciiTheme="majorHAnsi" w:hAnsiTheme="majorHAnsi"/>
          <w:spacing w:val="-4"/>
          <w:sz w:val="20"/>
          <w:szCs w:val="20"/>
          <w:lang w:val="uk-UA"/>
        </w:rPr>
        <w:t xml:space="preserve"> </w:t>
      </w:r>
      <w:r w:rsidRPr="000977F7">
        <w:rPr>
          <w:rFonts w:asciiTheme="majorHAnsi" w:hAnsiTheme="majorHAnsi"/>
          <w:sz w:val="20"/>
          <w:szCs w:val="20"/>
        </w:rPr>
        <w:t>STANDARDS</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p>
    <w:p w14:paraId="5A9F705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Стандарти, гармонізовані трьома або більше органами,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 займаються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стандартизацією</w:t>
      </w:r>
    </w:p>
    <w:p w14:paraId="31A4BDF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СТАНДАРТИ, ГАРМОНІЗОВАНІ НА </w:t>
      </w:r>
    </w:p>
    <w:p w14:paraId="1818DE8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ДВОСТО</w:t>
      </w:r>
      <w:r w:rsidRPr="000977F7">
        <w:rPr>
          <w:color w:val="auto"/>
          <w:spacing w:val="-47"/>
          <w:sz w:val="20"/>
          <w:szCs w:val="20"/>
        </w:rPr>
        <w:t xml:space="preserve"> </w:t>
      </w:r>
      <w:r w:rsidRPr="000977F7">
        <w:rPr>
          <w:color w:val="auto"/>
          <w:sz w:val="20"/>
          <w:szCs w:val="20"/>
        </w:rPr>
        <w:t>РОННІЙ ОСНОВІ</w:t>
      </w:r>
      <w:r w:rsidRPr="000977F7">
        <w:rPr>
          <w:color w:val="auto"/>
          <w:spacing w:val="1"/>
          <w:sz w:val="20"/>
          <w:szCs w:val="20"/>
        </w:rPr>
        <w:t xml:space="preserve"> </w:t>
      </w:r>
      <w:r w:rsidRPr="000977F7">
        <w:rPr>
          <w:color w:val="auto"/>
          <w:sz w:val="20"/>
          <w:szCs w:val="20"/>
        </w:rPr>
        <w:t>–</w:t>
      </w:r>
    </w:p>
    <w:p w14:paraId="0D1E08E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pacing w:val="-1"/>
          <w:sz w:val="20"/>
          <w:szCs w:val="20"/>
        </w:rPr>
        <w:t>BILATERALLY</w:t>
      </w:r>
      <w:r w:rsidRPr="004D2D14">
        <w:rPr>
          <w:rFonts w:asciiTheme="majorHAnsi" w:hAnsiTheme="majorHAnsi"/>
          <w:spacing w:val="-1"/>
          <w:sz w:val="20"/>
          <w:szCs w:val="20"/>
          <w:lang w:val="uk-UA"/>
        </w:rPr>
        <w:t xml:space="preserve"> </w:t>
      </w:r>
      <w:r w:rsidRPr="000977F7">
        <w:rPr>
          <w:rFonts w:asciiTheme="majorHAnsi" w:hAnsiTheme="majorHAnsi"/>
          <w:sz w:val="20"/>
          <w:szCs w:val="20"/>
        </w:rPr>
        <w:t>HARMONIZED</w:t>
      </w:r>
      <w:r w:rsidRPr="004D2D14">
        <w:rPr>
          <w:rFonts w:asciiTheme="majorHAnsi" w:hAnsiTheme="majorHAnsi"/>
          <w:spacing w:val="-47"/>
          <w:sz w:val="20"/>
          <w:szCs w:val="20"/>
          <w:lang w:val="uk-UA"/>
        </w:rPr>
        <w:t xml:space="preserve">                       </w:t>
      </w:r>
      <w:r w:rsidRPr="000977F7">
        <w:rPr>
          <w:rFonts w:asciiTheme="majorHAnsi" w:hAnsiTheme="majorHAnsi"/>
          <w:sz w:val="20"/>
          <w:szCs w:val="20"/>
        </w:rPr>
        <w:t>STANDARDS</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54479B2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Стандарти, гармонізовані двома органами, що займаються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стандартизацією</w:t>
      </w:r>
    </w:p>
    <w:p w14:paraId="5A17BA80" w14:textId="77777777" w:rsidR="0097612F" w:rsidRPr="000977F7" w:rsidRDefault="0097612F" w:rsidP="000977F7">
      <w:pPr>
        <w:pStyle w:val="7"/>
        <w:tabs>
          <w:tab w:val="left" w:pos="284"/>
        </w:tabs>
        <w:spacing w:before="0" w:line="240" w:lineRule="auto"/>
        <w:ind w:left="170"/>
        <w:mirrorIndents/>
        <w:jc w:val="both"/>
        <w:rPr>
          <w:color w:val="auto"/>
          <w:spacing w:val="-7"/>
          <w:sz w:val="20"/>
          <w:szCs w:val="20"/>
        </w:rPr>
      </w:pPr>
      <w:r w:rsidRPr="000977F7">
        <w:rPr>
          <w:color w:val="auto"/>
          <w:sz w:val="20"/>
          <w:szCs w:val="20"/>
        </w:rPr>
        <w:t>СТАНДАРТИ,</w:t>
      </w:r>
      <w:r w:rsidRPr="000977F7">
        <w:rPr>
          <w:color w:val="auto"/>
          <w:spacing w:val="-5"/>
          <w:sz w:val="20"/>
          <w:szCs w:val="20"/>
        </w:rPr>
        <w:t xml:space="preserve"> </w:t>
      </w:r>
      <w:r w:rsidRPr="000977F7">
        <w:rPr>
          <w:color w:val="auto"/>
          <w:sz w:val="20"/>
          <w:szCs w:val="20"/>
        </w:rPr>
        <w:t>ГАРМОНІЗОВАНІ</w:t>
      </w:r>
      <w:r w:rsidRPr="000977F7">
        <w:rPr>
          <w:color w:val="auto"/>
          <w:spacing w:val="-6"/>
          <w:sz w:val="20"/>
          <w:szCs w:val="20"/>
        </w:rPr>
        <w:t xml:space="preserve"> </w:t>
      </w:r>
      <w:r w:rsidRPr="000977F7">
        <w:rPr>
          <w:color w:val="auto"/>
          <w:sz w:val="20"/>
          <w:szCs w:val="20"/>
        </w:rPr>
        <w:t>НА</w:t>
      </w:r>
      <w:r w:rsidRPr="000977F7">
        <w:rPr>
          <w:color w:val="auto"/>
          <w:spacing w:val="-7"/>
          <w:sz w:val="20"/>
          <w:szCs w:val="20"/>
        </w:rPr>
        <w:t xml:space="preserve"> </w:t>
      </w:r>
    </w:p>
    <w:p w14:paraId="5B5A951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МІЖНА</w:t>
      </w:r>
      <w:r w:rsidRPr="000977F7">
        <w:rPr>
          <w:color w:val="auto"/>
          <w:spacing w:val="-47"/>
          <w:sz w:val="20"/>
          <w:szCs w:val="20"/>
        </w:rPr>
        <w:t xml:space="preserve"> </w:t>
      </w:r>
      <w:r w:rsidRPr="000977F7">
        <w:rPr>
          <w:color w:val="auto"/>
          <w:sz w:val="20"/>
          <w:szCs w:val="20"/>
        </w:rPr>
        <w:t>РОДНОМУ</w:t>
      </w:r>
      <w:r w:rsidRPr="000977F7">
        <w:rPr>
          <w:color w:val="auto"/>
          <w:spacing w:val="-1"/>
          <w:sz w:val="20"/>
          <w:szCs w:val="20"/>
        </w:rPr>
        <w:t xml:space="preserve"> </w:t>
      </w:r>
      <w:r w:rsidRPr="000977F7">
        <w:rPr>
          <w:color w:val="auto"/>
          <w:sz w:val="20"/>
          <w:szCs w:val="20"/>
        </w:rPr>
        <w:t>РІВНІ</w:t>
      </w:r>
      <w:r w:rsidRPr="000977F7">
        <w:rPr>
          <w:color w:val="auto"/>
          <w:spacing w:val="1"/>
          <w:sz w:val="20"/>
          <w:szCs w:val="20"/>
        </w:rPr>
        <w:t xml:space="preserve"> </w:t>
      </w:r>
      <w:r w:rsidRPr="000977F7">
        <w:rPr>
          <w:color w:val="auto"/>
          <w:sz w:val="20"/>
          <w:szCs w:val="20"/>
        </w:rPr>
        <w:t>–</w:t>
      </w:r>
    </w:p>
    <w:p w14:paraId="3D169655"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8"/>
          <w:sz w:val="20"/>
          <w:szCs w:val="20"/>
        </w:rPr>
      </w:pPr>
      <w:r w:rsidRPr="000977F7">
        <w:rPr>
          <w:rFonts w:asciiTheme="majorHAnsi" w:hAnsiTheme="majorHAnsi"/>
          <w:sz w:val="20"/>
          <w:szCs w:val="20"/>
        </w:rPr>
        <w:t>Стандарти,</w:t>
      </w:r>
      <w:r w:rsidRPr="000977F7">
        <w:rPr>
          <w:rFonts w:asciiTheme="majorHAnsi" w:hAnsiTheme="majorHAnsi"/>
          <w:spacing w:val="-6"/>
          <w:sz w:val="20"/>
          <w:szCs w:val="20"/>
        </w:rPr>
        <w:t xml:space="preserve"> </w:t>
      </w:r>
      <w:r w:rsidRPr="000977F7">
        <w:rPr>
          <w:rFonts w:asciiTheme="majorHAnsi" w:hAnsiTheme="majorHAnsi"/>
          <w:sz w:val="20"/>
          <w:szCs w:val="20"/>
        </w:rPr>
        <w:t>гармонізовані</w:t>
      </w:r>
      <w:r w:rsidRPr="000977F7">
        <w:rPr>
          <w:rFonts w:asciiTheme="majorHAnsi" w:hAnsiTheme="majorHAnsi"/>
          <w:spacing w:val="-7"/>
          <w:sz w:val="20"/>
          <w:szCs w:val="20"/>
        </w:rPr>
        <w:t xml:space="preserve"> </w:t>
      </w:r>
      <w:r w:rsidRPr="000977F7">
        <w:rPr>
          <w:rFonts w:asciiTheme="majorHAnsi" w:hAnsiTheme="majorHAnsi"/>
          <w:sz w:val="20"/>
          <w:szCs w:val="20"/>
        </w:rPr>
        <w:t>з</w:t>
      </w:r>
      <w:r w:rsidRPr="000977F7">
        <w:rPr>
          <w:rFonts w:asciiTheme="majorHAnsi" w:hAnsiTheme="majorHAnsi"/>
          <w:spacing w:val="-3"/>
          <w:sz w:val="20"/>
          <w:szCs w:val="20"/>
        </w:rPr>
        <w:t xml:space="preserve"> </w:t>
      </w:r>
      <w:r w:rsidRPr="000977F7">
        <w:rPr>
          <w:rFonts w:asciiTheme="majorHAnsi" w:hAnsiTheme="majorHAnsi"/>
          <w:sz w:val="20"/>
          <w:szCs w:val="20"/>
        </w:rPr>
        <w:t>міжнародним</w:t>
      </w:r>
      <w:r w:rsidRPr="000977F7">
        <w:rPr>
          <w:rFonts w:asciiTheme="majorHAnsi" w:hAnsiTheme="majorHAnsi"/>
          <w:spacing w:val="-5"/>
          <w:sz w:val="20"/>
          <w:szCs w:val="20"/>
        </w:rPr>
        <w:t xml:space="preserve"> </w:t>
      </w:r>
      <w:r w:rsidRPr="000977F7">
        <w:rPr>
          <w:rFonts w:asciiTheme="majorHAnsi" w:hAnsiTheme="majorHAnsi"/>
          <w:sz w:val="20"/>
          <w:szCs w:val="20"/>
        </w:rPr>
        <w:t>стандартом</w:t>
      </w:r>
      <w:r w:rsidRPr="000977F7">
        <w:rPr>
          <w:rFonts w:asciiTheme="majorHAnsi" w:hAnsiTheme="majorHAnsi"/>
          <w:spacing w:val="-48"/>
          <w:sz w:val="20"/>
          <w:szCs w:val="20"/>
        </w:rPr>
        <w:t xml:space="preserve"> </w:t>
      </w:r>
    </w:p>
    <w:p w14:paraId="269201D6"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 xml:space="preserve">СТАНДАРТИ, ГАРМОНІЗОВАНІ НА </w:t>
      </w:r>
    </w:p>
    <w:p w14:paraId="4A5D491B"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РЕГІОНАЛЬНОМУ</w:t>
      </w:r>
      <w:r w:rsidRPr="004D2D14">
        <w:rPr>
          <w:rFonts w:asciiTheme="majorHAnsi" w:hAnsiTheme="majorHAnsi"/>
          <w:b/>
          <w:spacing w:val="-3"/>
          <w:sz w:val="20"/>
          <w:szCs w:val="20"/>
          <w:lang w:val="en-US"/>
        </w:rPr>
        <w:t xml:space="preserve"> </w:t>
      </w:r>
      <w:r w:rsidRPr="000977F7">
        <w:rPr>
          <w:rFonts w:asciiTheme="majorHAnsi" w:hAnsiTheme="majorHAnsi"/>
          <w:b/>
          <w:sz w:val="20"/>
          <w:szCs w:val="20"/>
        </w:rPr>
        <w:t>РІВНІ</w:t>
      </w:r>
      <w:r w:rsidRPr="004D2D14">
        <w:rPr>
          <w:rFonts w:asciiTheme="majorHAnsi" w:hAnsiTheme="majorHAnsi"/>
          <w:b/>
          <w:sz w:val="20"/>
          <w:szCs w:val="20"/>
          <w:lang w:val="en-US"/>
        </w:rPr>
        <w:t xml:space="preserve"> –</w:t>
      </w:r>
    </w:p>
    <w:p w14:paraId="77CA6CE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REGIONALLY</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HARMONIZED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STANDARDS –</w:t>
      </w:r>
    </w:p>
    <w:p w14:paraId="2BC070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Стандарти,</w:t>
      </w:r>
      <w:r w:rsidRPr="000977F7">
        <w:rPr>
          <w:rFonts w:asciiTheme="majorHAnsi" w:hAnsiTheme="majorHAnsi"/>
          <w:spacing w:val="-6"/>
          <w:sz w:val="20"/>
          <w:szCs w:val="20"/>
        </w:rPr>
        <w:t xml:space="preserve"> </w:t>
      </w:r>
      <w:r w:rsidRPr="000977F7">
        <w:rPr>
          <w:rFonts w:asciiTheme="majorHAnsi" w:hAnsiTheme="majorHAnsi"/>
          <w:sz w:val="20"/>
          <w:szCs w:val="20"/>
        </w:rPr>
        <w:t>гармонізовані</w:t>
      </w:r>
      <w:r w:rsidRPr="000977F7">
        <w:rPr>
          <w:rFonts w:asciiTheme="majorHAnsi" w:hAnsiTheme="majorHAnsi"/>
          <w:spacing w:val="-6"/>
          <w:sz w:val="20"/>
          <w:szCs w:val="20"/>
        </w:rPr>
        <w:t xml:space="preserve"> </w:t>
      </w:r>
      <w:r w:rsidRPr="000977F7">
        <w:rPr>
          <w:rFonts w:asciiTheme="majorHAnsi" w:hAnsiTheme="majorHAnsi"/>
          <w:sz w:val="20"/>
          <w:szCs w:val="20"/>
        </w:rPr>
        <w:t>з</w:t>
      </w:r>
      <w:r w:rsidRPr="000977F7">
        <w:rPr>
          <w:rFonts w:asciiTheme="majorHAnsi" w:hAnsiTheme="majorHAnsi"/>
          <w:spacing w:val="-2"/>
          <w:sz w:val="20"/>
          <w:szCs w:val="20"/>
        </w:rPr>
        <w:t xml:space="preserve"> </w:t>
      </w:r>
      <w:r w:rsidRPr="000977F7">
        <w:rPr>
          <w:rFonts w:asciiTheme="majorHAnsi" w:hAnsiTheme="majorHAnsi"/>
          <w:sz w:val="20"/>
          <w:szCs w:val="20"/>
        </w:rPr>
        <w:t>регіональним</w:t>
      </w:r>
      <w:r w:rsidRPr="000977F7">
        <w:rPr>
          <w:rFonts w:asciiTheme="majorHAnsi" w:hAnsiTheme="majorHAnsi"/>
          <w:spacing w:val="-4"/>
          <w:sz w:val="20"/>
          <w:szCs w:val="20"/>
        </w:rPr>
        <w:t xml:space="preserve"> </w:t>
      </w:r>
      <w:r w:rsidRPr="000977F7">
        <w:rPr>
          <w:rFonts w:asciiTheme="majorHAnsi" w:hAnsiTheme="majorHAnsi"/>
          <w:sz w:val="20"/>
          <w:szCs w:val="20"/>
        </w:rPr>
        <w:t>стандартом</w:t>
      </w:r>
    </w:p>
    <w:p w14:paraId="10993FE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СТАНДАРТИ</w:t>
      </w:r>
      <w:r w:rsidRPr="000977F7">
        <w:rPr>
          <w:color w:val="auto"/>
          <w:spacing w:val="-3"/>
          <w:sz w:val="20"/>
          <w:szCs w:val="20"/>
        </w:rPr>
        <w:t xml:space="preserve"> </w:t>
      </w:r>
      <w:r w:rsidRPr="000977F7">
        <w:rPr>
          <w:color w:val="auto"/>
          <w:sz w:val="20"/>
          <w:szCs w:val="20"/>
        </w:rPr>
        <w:t>НА</w:t>
      </w:r>
      <w:r w:rsidRPr="000977F7">
        <w:rPr>
          <w:color w:val="auto"/>
          <w:spacing w:val="-3"/>
          <w:sz w:val="20"/>
          <w:szCs w:val="20"/>
        </w:rPr>
        <w:t xml:space="preserve"> </w:t>
      </w:r>
      <w:r w:rsidRPr="000977F7">
        <w:rPr>
          <w:color w:val="auto"/>
          <w:sz w:val="20"/>
          <w:szCs w:val="20"/>
        </w:rPr>
        <w:t>МЕТОДИ</w:t>
      </w:r>
      <w:r w:rsidRPr="000977F7">
        <w:rPr>
          <w:color w:val="auto"/>
          <w:spacing w:val="-3"/>
          <w:sz w:val="20"/>
          <w:szCs w:val="20"/>
        </w:rPr>
        <w:t xml:space="preserve"> </w:t>
      </w:r>
      <w:r w:rsidRPr="000977F7">
        <w:rPr>
          <w:color w:val="auto"/>
          <w:sz w:val="20"/>
          <w:szCs w:val="20"/>
        </w:rPr>
        <w:t>КОНТРОЛЮ</w:t>
      </w:r>
      <w:r w:rsidRPr="000977F7">
        <w:rPr>
          <w:color w:val="auto"/>
          <w:spacing w:val="-2"/>
          <w:sz w:val="20"/>
          <w:szCs w:val="20"/>
        </w:rPr>
        <w:t xml:space="preserve"> </w:t>
      </w:r>
      <w:r w:rsidRPr="000977F7">
        <w:rPr>
          <w:color w:val="auto"/>
          <w:sz w:val="20"/>
          <w:szCs w:val="20"/>
        </w:rPr>
        <w:t>–</w:t>
      </w:r>
    </w:p>
    <w:p w14:paraId="623666E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Стандарти на методи контролю (випробувань, вимірювань,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аналізу)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встановлюють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послідовність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робіт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(операції), способи (правила, режими, норми) і технічні засоби їх виконання для різних видів та об’єктів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контролю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процесів, послуг</w:t>
      </w:r>
    </w:p>
    <w:p w14:paraId="5C17674A"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СТАНДАРТИ</w:t>
      </w:r>
      <w:r w:rsidRPr="000977F7">
        <w:rPr>
          <w:color w:val="auto"/>
          <w:spacing w:val="-3"/>
          <w:sz w:val="20"/>
          <w:szCs w:val="20"/>
        </w:rPr>
        <w:t xml:space="preserve"> </w:t>
      </w:r>
      <w:r w:rsidRPr="000977F7">
        <w:rPr>
          <w:color w:val="auto"/>
          <w:sz w:val="20"/>
          <w:szCs w:val="20"/>
        </w:rPr>
        <w:t>НА</w:t>
      </w:r>
      <w:r w:rsidRPr="000977F7">
        <w:rPr>
          <w:color w:val="auto"/>
          <w:spacing w:val="-4"/>
          <w:sz w:val="20"/>
          <w:szCs w:val="20"/>
        </w:rPr>
        <w:t xml:space="preserve"> </w:t>
      </w:r>
      <w:r w:rsidRPr="000977F7">
        <w:rPr>
          <w:color w:val="auto"/>
          <w:sz w:val="20"/>
          <w:szCs w:val="20"/>
        </w:rPr>
        <w:t>ПРОДУКЦІЮ,</w:t>
      </w:r>
      <w:r w:rsidRPr="000977F7">
        <w:rPr>
          <w:color w:val="auto"/>
          <w:spacing w:val="-1"/>
          <w:sz w:val="20"/>
          <w:szCs w:val="20"/>
        </w:rPr>
        <w:t xml:space="preserve"> </w:t>
      </w:r>
      <w:r w:rsidRPr="000977F7">
        <w:rPr>
          <w:color w:val="auto"/>
          <w:sz w:val="20"/>
          <w:szCs w:val="20"/>
        </w:rPr>
        <w:t>ПОСЛУГУ</w:t>
      </w:r>
      <w:r w:rsidRPr="000977F7">
        <w:rPr>
          <w:color w:val="auto"/>
          <w:spacing w:val="-3"/>
          <w:sz w:val="20"/>
          <w:szCs w:val="20"/>
        </w:rPr>
        <w:t xml:space="preserve"> </w:t>
      </w:r>
      <w:r w:rsidRPr="000977F7">
        <w:rPr>
          <w:b w:val="0"/>
          <w:color w:val="auto"/>
          <w:sz w:val="20"/>
          <w:szCs w:val="20"/>
        </w:rPr>
        <w:t>–</w:t>
      </w:r>
    </w:p>
    <w:p w14:paraId="08E26F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Стандарти на продукцію, послугу встановлюють вимоги</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груп</w:t>
      </w:r>
      <w:r w:rsidRPr="000977F7">
        <w:rPr>
          <w:rFonts w:asciiTheme="majorHAnsi" w:hAnsiTheme="majorHAnsi"/>
          <w:spacing w:val="1"/>
          <w:sz w:val="20"/>
          <w:szCs w:val="20"/>
        </w:rPr>
        <w:t xml:space="preserve"> </w:t>
      </w:r>
      <w:r w:rsidRPr="000977F7">
        <w:rPr>
          <w:rFonts w:asciiTheme="majorHAnsi" w:hAnsiTheme="majorHAnsi"/>
          <w:sz w:val="20"/>
          <w:szCs w:val="20"/>
        </w:rPr>
        <w:t>однорідної</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конкретної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47"/>
          <w:sz w:val="20"/>
          <w:szCs w:val="20"/>
        </w:rPr>
        <w:t xml:space="preserve"> </w:t>
      </w:r>
      <w:r w:rsidRPr="000977F7">
        <w:rPr>
          <w:rFonts w:asciiTheme="majorHAnsi" w:hAnsiTheme="majorHAnsi"/>
          <w:sz w:val="20"/>
          <w:szCs w:val="20"/>
        </w:rPr>
        <w:t>послуги,</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забезпечують</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відповідність</w:t>
      </w:r>
      <w:r w:rsidRPr="000977F7">
        <w:rPr>
          <w:rFonts w:asciiTheme="majorHAnsi" w:hAnsiTheme="majorHAnsi"/>
          <w:spacing w:val="1"/>
          <w:sz w:val="20"/>
          <w:szCs w:val="20"/>
        </w:rPr>
        <w:t xml:space="preserve"> </w:t>
      </w:r>
      <w:r w:rsidRPr="000977F7">
        <w:rPr>
          <w:rFonts w:asciiTheme="majorHAnsi" w:hAnsiTheme="majorHAnsi"/>
          <w:sz w:val="20"/>
          <w:szCs w:val="20"/>
        </w:rPr>
        <w:t>своєму</w:t>
      </w:r>
      <w:r w:rsidRPr="000977F7">
        <w:rPr>
          <w:rFonts w:asciiTheme="majorHAnsi" w:hAnsiTheme="majorHAnsi"/>
          <w:spacing w:val="1"/>
          <w:sz w:val="20"/>
          <w:szCs w:val="20"/>
        </w:rPr>
        <w:t xml:space="preserve"> </w:t>
      </w:r>
      <w:r w:rsidRPr="000977F7">
        <w:rPr>
          <w:rFonts w:asciiTheme="majorHAnsi" w:hAnsiTheme="majorHAnsi"/>
          <w:sz w:val="20"/>
          <w:szCs w:val="20"/>
        </w:rPr>
        <w:t xml:space="preserve">призначенню </w:t>
      </w:r>
    </w:p>
    <w:p w14:paraId="71EAD716"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СТАНДАРТИ</w:t>
      </w:r>
      <w:r w:rsidRPr="000977F7">
        <w:rPr>
          <w:rFonts w:asciiTheme="majorHAnsi" w:hAnsiTheme="majorHAnsi"/>
          <w:b/>
          <w:bCs/>
          <w:spacing w:val="-4"/>
          <w:sz w:val="20"/>
          <w:szCs w:val="20"/>
        </w:rPr>
        <w:t xml:space="preserve"> </w:t>
      </w:r>
      <w:r w:rsidRPr="000977F7">
        <w:rPr>
          <w:rFonts w:asciiTheme="majorHAnsi" w:hAnsiTheme="majorHAnsi"/>
          <w:b/>
          <w:bCs/>
          <w:sz w:val="20"/>
          <w:szCs w:val="20"/>
        </w:rPr>
        <w:t>НА</w:t>
      </w:r>
      <w:r w:rsidRPr="000977F7">
        <w:rPr>
          <w:rFonts w:asciiTheme="majorHAnsi" w:hAnsiTheme="majorHAnsi"/>
          <w:b/>
          <w:bCs/>
          <w:spacing w:val="-5"/>
          <w:sz w:val="20"/>
          <w:szCs w:val="20"/>
        </w:rPr>
        <w:t xml:space="preserve"> </w:t>
      </w:r>
      <w:r w:rsidRPr="000977F7">
        <w:rPr>
          <w:rFonts w:asciiTheme="majorHAnsi" w:hAnsiTheme="majorHAnsi"/>
          <w:b/>
          <w:bCs/>
          <w:sz w:val="20"/>
          <w:szCs w:val="20"/>
        </w:rPr>
        <w:t>ПРОЦЕСИ</w:t>
      </w:r>
      <w:r w:rsidRPr="000977F7">
        <w:rPr>
          <w:rFonts w:asciiTheme="majorHAnsi" w:hAnsiTheme="majorHAnsi"/>
          <w:b/>
          <w:bCs/>
          <w:spacing w:val="-1"/>
          <w:sz w:val="20"/>
          <w:szCs w:val="20"/>
        </w:rPr>
        <w:t xml:space="preserve"> </w:t>
      </w:r>
      <w:r w:rsidRPr="000977F7">
        <w:rPr>
          <w:rFonts w:asciiTheme="majorHAnsi" w:hAnsiTheme="majorHAnsi"/>
          <w:b/>
          <w:bCs/>
          <w:sz w:val="20"/>
          <w:szCs w:val="20"/>
        </w:rPr>
        <w:t>–</w:t>
      </w:r>
    </w:p>
    <w:p w14:paraId="594A6AB7"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Стандарти</w:t>
      </w:r>
      <w:r w:rsidRPr="000977F7">
        <w:rPr>
          <w:rFonts w:asciiTheme="majorHAnsi" w:hAnsiTheme="majorHAnsi"/>
          <w:spacing w:val="20"/>
          <w:sz w:val="20"/>
          <w:szCs w:val="20"/>
        </w:rPr>
        <w:t xml:space="preserve"> </w:t>
      </w:r>
      <w:r w:rsidRPr="000977F7">
        <w:rPr>
          <w:rFonts w:asciiTheme="majorHAnsi" w:hAnsiTheme="majorHAnsi"/>
          <w:sz w:val="20"/>
          <w:szCs w:val="20"/>
        </w:rPr>
        <w:t>на</w:t>
      </w:r>
      <w:r w:rsidRPr="000977F7">
        <w:rPr>
          <w:rFonts w:asciiTheme="majorHAnsi" w:hAnsiTheme="majorHAnsi"/>
          <w:spacing w:val="22"/>
          <w:sz w:val="20"/>
          <w:szCs w:val="20"/>
        </w:rPr>
        <w:t xml:space="preserve"> </w:t>
      </w:r>
      <w:r w:rsidRPr="000977F7">
        <w:rPr>
          <w:rFonts w:asciiTheme="majorHAnsi" w:hAnsiTheme="majorHAnsi"/>
          <w:sz w:val="20"/>
          <w:szCs w:val="20"/>
        </w:rPr>
        <w:t>процеси</w:t>
      </w:r>
      <w:r w:rsidRPr="000977F7">
        <w:rPr>
          <w:rFonts w:asciiTheme="majorHAnsi" w:hAnsiTheme="majorHAnsi"/>
          <w:spacing w:val="21"/>
          <w:sz w:val="20"/>
          <w:szCs w:val="20"/>
        </w:rPr>
        <w:t xml:space="preserve"> </w:t>
      </w:r>
      <w:r w:rsidRPr="000977F7">
        <w:rPr>
          <w:rFonts w:asciiTheme="majorHAnsi" w:hAnsiTheme="majorHAnsi"/>
          <w:sz w:val="20"/>
          <w:szCs w:val="20"/>
        </w:rPr>
        <w:t>встановлюють</w:t>
      </w:r>
      <w:r w:rsidRPr="000977F7">
        <w:rPr>
          <w:rFonts w:asciiTheme="majorHAnsi" w:hAnsiTheme="majorHAnsi"/>
          <w:spacing w:val="19"/>
          <w:sz w:val="20"/>
          <w:szCs w:val="20"/>
        </w:rPr>
        <w:t xml:space="preserve"> </w:t>
      </w:r>
      <w:r w:rsidRPr="000977F7">
        <w:rPr>
          <w:rFonts w:asciiTheme="majorHAnsi" w:hAnsiTheme="majorHAnsi"/>
          <w:sz w:val="20"/>
          <w:szCs w:val="20"/>
        </w:rPr>
        <w:t>основні</w:t>
      </w:r>
      <w:r w:rsidRPr="000977F7">
        <w:rPr>
          <w:rFonts w:asciiTheme="majorHAnsi" w:hAnsiTheme="majorHAnsi"/>
          <w:spacing w:val="20"/>
          <w:sz w:val="20"/>
          <w:szCs w:val="20"/>
        </w:rPr>
        <w:t xml:space="preserve"> </w:t>
      </w:r>
      <w:r w:rsidRPr="000977F7">
        <w:rPr>
          <w:rFonts w:asciiTheme="majorHAnsi" w:hAnsiTheme="majorHAnsi"/>
          <w:sz w:val="20"/>
          <w:szCs w:val="20"/>
        </w:rPr>
        <w:t>вимоги</w:t>
      </w:r>
      <w:r w:rsidRPr="000977F7">
        <w:rPr>
          <w:rFonts w:asciiTheme="majorHAnsi" w:hAnsiTheme="majorHAnsi"/>
          <w:spacing w:val="-47"/>
          <w:sz w:val="20"/>
          <w:szCs w:val="20"/>
        </w:rPr>
        <w:t xml:space="preserve"> </w:t>
      </w:r>
      <w:r w:rsidRPr="000977F7">
        <w:rPr>
          <w:rFonts w:asciiTheme="majorHAnsi" w:hAnsiTheme="majorHAnsi"/>
          <w:sz w:val="20"/>
          <w:szCs w:val="20"/>
        </w:rPr>
        <w:t>до</w:t>
      </w:r>
      <w:r w:rsidRPr="000977F7">
        <w:rPr>
          <w:rFonts w:asciiTheme="majorHAnsi" w:hAnsiTheme="majorHAnsi"/>
          <w:spacing w:val="26"/>
          <w:sz w:val="20"/>
          <w:szCs w:val="20"/>
        </w:rPr>
        <w:t xml:space="preserve"> </w:t>
      </w:r>
      <w:r w:rsidRPr="000977F7">
        <w:rPr>
          <w:rFonts w:asciiTheme="majorHAnsi" w:hAnsiTheme="majorHAnsi"/>
          <w:sz w:val="20"/>
          <w:szCs w:val="20"/>
        </w:rPr>
        <w:t>послідовності</w:t>
      </w:r>
      <w:r w:rsidRPr="000977F7">
        <w:rPr>
          <w:rFonts w:asciiTheme="majorHAnsi" w:hAnsiTheme="majorHAnsi"/>
          <w:spacing w:val="27"/>
          <w:sz w:val="20"/>
          <w:szCs w:val="20"/>
        </w:rPr>
        <w:t xml:space="preserve"> </w:t>
      </w:r>
      <w:r w:rsidRPr="000977F7">
        <w:rPr>
          <w:rFonts w:asciiTheme="majorHAnsi" w:hAnsiTheme="majorHAnsi"/>
          <w:sz w:val="20"/>
          <w:szCs w:val="20"/>
        </w:rPr>
        <w:t>та</w:t>
      </w:r>
      <w:r w:rsidRPr="000977F7">
        <w:rPr>
          <w:rFonts w:asciiTheme="majorHAnsi" w:hAnsiTheme="majorHAnsi"/>
          <w:spacing w:val="27"/>
          <w:sz w:val="20"/>
          <w:szCs w:val="20"/>
        </w:rPr>
        <w:t xml:space="preserve"> </w:t>
      </w:r>
      <w:r w:rsidRPr="000977F7">
        <w:rPr>
          <w:rFonts w:asciiTheme="majorHAnsi" w:hAnsiTheme="majorHAnsi"/>
          <w:sz w:val="20"/>
          <w:szCs w:val="20"/>
        </w:rPr>
        <w:t>методів</w:t>
      </w:r>
      <w:r w:rsidRPr="000977F7">
        <w:rPr>
          <w:rFonts w:asciiTheme="majorHAnsi" w:hAnsiTheme="majorHAnsi"/>
          <w:spacing w:val="25"/>
          <w:sz w:val="20"/>
          <w:szCs w:val="20"/>
        </w:rPr>
        <w:t xml:space="preserve"> </w:t>
      </w:r>
      <w:r w:rsidRPr="000977F7">
        <w:rPr>
          <w:rFonts w:asciiTheme="majorHAnsi" w:hAnsiTheme="majorHAnsi"/>
          <w:sz w:val="20"/>
          <w:szCs w:val="20"/>
        </w:rPr>
        <w:t>(засобів,</w:t>
      </w:r>
      <w:r w:rsidRPr="000977F7">
        <w:rPr>
          <w:rFonts w:asciiTheme="majorHAnsi" w:hAnsiTheme="majorHAnsi"/>
          <w:spacing w:val="26"/>
          <w:sz w:val="20"/>
          <w:szCs w:val="20"/>
        </w:rPr>
        <w:t xml:space="preserve"> </w:t>
      </w:r>
      <w:r w:rsidRPr="000977F7">
        <w:rPr>
          <w:rFonts w:asciiTheme="majorHAnsi" w:hAnsiTheme="majorHAnsi"/>
          <w:sz w:val="20"/>
          <w:szCs w:val="20"/>
        </w:rPr>
        <w:t>режимів,</w:t>
      </w:r>
      <w:r w:rsidRPr="000977F7">
        <w:rPr>
          <w:rFonts w:asciiTheme="majorHAnsi" w:hAnsiTheme="majorHAnsi"/>
          <w:spacing w:val="27"/>
          <w:sz w:val="20"/>
          <w:szCs w:val="20"/>
        </w:rPr>
        <w:t xml:space="preserve"> </w:t>
      </w:r>
      <w:r w:rsidRPr="000977F7">
        <w:rPr>
          <w:rFonts w:asciiTheme="majorHAnsi" w:hAnsiTheme="majorHAnsi"/>
          <w:sz w:val="20"/>
          <w:szCs w:val="20"/>
        </w:rPr>
        <w:t>норм)</w:t>
      </w:r>
      <w:r w:rsidRPr="000977F7">
        <w:rPr>
          <w:rFonts w:asciiTheme="majorHAnsi" w:hAnsiTheme="majorHAnsi"/>
          <w:spacing w:val="-47"/>
          <w:sz w:val="20"/>
          <w:szCs w:val="20"/>
        </w:rPr>
        <w:t xml:space="preserve"> </w:t>
      </w:r>
      <w:r w:rsidRPr="000977F7">
        <w:rPr>
          <w:rFonts w:asciiTheme="majorHAnsi" w:hAnsiTheme="majorHAnsi"/>
          <w:sz w:val="20"/>
          <w:szCs w:val="20"/>
        </w:rPr>
        <w:t>виконання</w:t>
      </w:r>
      <w:r w:rsidRPr="000977F7">
        <w:rPr>
          <w:rFonts w:asciiTheme="majorHAnsi" w:hAnsiTheme="majorHAnsi"/>
          <w:spacing w:val="11"/>
          <w:sz w:val="20"/>
          <w:szCs w:val="20"/>
        </w:rPr>
        <w:t xml:space="preserve"> </w:t>
      </w:r>
      <w:r w:rsidRPr="000977F7">
        <w:rPr>
          <w:rFonts w:asciiTheme="majorHAnsi" w:hAnsiTheme="majorHAnsi"/>
          <w:sz w:val="20"/>
          <w:szCs w:val="20"/>
        </w:rPr>
        <w:t>різних</w:t>
      </w:r>
      <w:r w:rsidRPr="000977F7">
        <w:rPr>
          <w:rFonts w:asciiTheme="majorHAnsi" w:hAnsiTheme="majorHAnsi"/>
          <w:spacing w:val="10"/>
          <w:sz w:val="20"/>
          <w:szCs w:val="20"/>
        </w:rPr>
        <w:t xml:space="preserve"> </w:t>
      </w:r>
      <w:r w:rsidRPr="000977F7">
        <w:rPr>
          <w:rFonts w:asciiTheme="majorHAnsi" w:hAnsiTheme="majorHAnsi"/>
          <w:sz w:val="20"/>
          <w:szCs w:val="20"/>
        </w:rPr>
        <w:t>робіт</w:t>
      </w:r>
      <w:r w:rsidRPr="000977F7">
        <w:rPr>
          <w:rFonts w:asciiTheme="majorHAnsi" w:hAnsiTheme="majorHAnsi"/>
          <w:spacing w:val="11"/>
          <w:sz w:val="20"/>
          <w:szCs w:val="20"/>
        </w:rPr>
        <w:t xml:space="preserve"> </w:t>
      </w:r>
      <w:r w:rsidRPr="000977F7">
        <w:rPr>
          <w:rFonts w:asciiTheme="majorHAnsi" w:hAnsiTheme="majorHAnsi"/>
          <w:sz w:val="20"/>
          <w:szCs w:val="20"/>
        </w:rPr>
        <w:t>(операцій)</w:t>
      </w:r>
      <w:r w:rsidRPr="000977F7">
        <w:rPr>
          <w:rFonts w:asciiTheme="majorHAnsi" w:hAnsiTheme="majorHAnsi"/>
          <w:spacing w:val="14"/>
          <w:sz w:val="20"/>
          <w:szCs w:val="20"/>
        </w:rPr>
        <w:t xml:space="preserve"> </w:t>
      </w:r>
      <w:r w:rsidRPr="000977F7">
        <w:rPr>
          <w:rFonts w:asciiTheme="majorHAnsi" w:hAnsiTheme="majorHAnsi"/>
          <w:sz w:val="20"/>
          <w:szCs w:val="20"/>
        </w:rPr>
        <w:t>у</w:t>
      </w:r>
      <w:r w:rsidRPr="000977F7">
        <w:rPr>
          <w:rFonts w:asciiTheme="majorHAnsi" w:hAnsiTheme="majorHAnsi"/>
          <w:spacing w:val="7"/>
          <w:sz w:val="20"/>
          <w:szCs w:val="20"/>
        </w:rPr>
        <w:t xml:space="preserve"> </w:t>
      </w:r>
      <w:r w:rsidRPr="000977F7">
        <w:rPr>
          <w:rFonts w:asciiTheme="majorHAnsi" w:hAnsiTheme="majorHAnsi"/>
          <w:sz w:val="20"/>
          <w:szCs w:val="20"/>
        </w:rPr>
        <w:t>процесах,</w:t>
      </w:r>
      <w:r w:rsidRPr="000977F7">
        <w:rPr>
          <w:rFonts w:asciiTheme="majorHAnsi" w:hAnsiTheme="majorHAnsi"/>
          <w:spacing w:val="12"/>
          <w:sz w:val="20"/>
          <w:szCs w:val="20"/>
        </w:rPr>
        <w:t xml:space="preserve"> </w:t>
      </w:r>
      <w:r w:rsidRPr="000977F7">
        <w:rPr>
          <w:rFonts w:asciiTheme="majorHAnsi" w:hAnsiTheme="majorHAnsi"/>
          <w:sz w:val="20"/>
          <w:szCs w:val="20"/>
        </w:rPr>
        <w:t>що</w:t>
      </w:r>
      <w:r w:rsidRPr="000977F7">
        <w:rPr>
          <w:rFonts w:asciiTheme="majorHAnsi" w:hAnsiTheme="majorHAnsi"/>
          <w:spacing w:val="12"/>
          <w:sz w:val="20"/>
          <w:szCs w:val="20"/>
        </w:rPr>
        <w:t xml:space="preserve"> </w:t>
      </w:r>
      <w:r w:rsidRPr="000977F7">
        <w:rPr>
          <w:rFonts w:asciiTheme="majorHAnsi" w:hAnsiTheme="majorHAnsi"/>
          <w:sz w:val="20"/>
          <w:szCs w:val="20"/>
        </w:rPr>
        <w:t>використовуються</w:t>
      </w:r>
      <w:r w:rsidRPr="000977F7">
        <w:rPr>
          <w:rFonts w:asciiTheme="majorHAnsi" w:hAnsiTheme="majorHAnsi"/>
          <w:spacing w:val="38"/>
          <w:sz w:val="20"/>
          <w:szCs w:val="20"/>
        </w:rPr>
        <w:t xml:space="preserve"> </w:t>
      </w:r>
      <w:r w:rsidRPr="000977F7">
        <w:rPr>
          <w:rFonts w:asciiTheme="majorHAnsi" w:hAnsiTheme="majorHAnsi"/>
          <w:sz w:val="20"/>
          <w:szCs w:val="20"/>
        </w:rPr>
        <w:t>у</w:t>
      </w:r>
      <w:r w:rsidRPr="000977F7">
        <w:rPr>
          <w:rFonts w:asciiTheme="majorHAnsi" w:hAnsiTheme="majorHAnsi"/>
          <w:spacing w:val="33"/>
          <w:sz w:val="20"/>
          <w:szCs w:val="20"/>
        </w:rPr>
        <w:t xml:space="preserve"> </w:t>
      </w:r>
      <w:r w:rsidRPr="000977F7">
        <w:rPr>
          <w:rFonts w:asciiTheme="majorHAnsi" w:hAnsiTheme="majorHAnsi"/>
          <w:sz w:val="20"/>
          <w:szCs w:val="20"/>
        </w:rPr>
        <w:t>різних</w:t>
      </w:r>
      <w:r w:rsidRPr="000977F7">
        <w:rPr>
          <w:rFonts w:asciiTheme="majorHAnsi" w:hAnsiTheme="majorHAnsi"/>
          <w:spacing w:val="36"/>
          <w:sz w:val="20"/>
          <w:szCs w:val="20"/>
        </w:rPr>
        <w:t xml:space="preserve"> </w:t>
      </w:r>
      <w:r w:rsidRPr="000977F7">
        <w:rPr>
          <w:rFonts w:asciiTheme="majorHAnsi" w:hAnsiTheme="majorHAnsi"/>
          <w:sz w:val="20"/>
          <w:szCs w:val="20"/>
        </w:rPr>
        <w:t>видах</w:t>
      </w:r>
      <w:r w:rsidRPr="000977F7">
        <w:rPr>
          <w:rFonts w:asciiTheme="majorHAnsi" w:hAnsiTheme="majorHAnsi"/>
          <w:spacing w:val="35"/>
          <w:sz w:val="20"/>
          <w:szCs w:val="20"/>
        </w:rPr>
        <w:t xml:space="preserve"> </w:t>
      </w:r>
      <w:r w:rsidRPr="000977F7">
        <w:rPr>
          <w:rFonts w:asciiTheme="majorHAnsi" w:hAnsiTheme="majorHAnsi"/>
          <w:sz w:val="20"/>
          <w:szCs w:val="20"/>
        </w:rPr>
        <w:lastRenderedPageBreak/>
        <w:t>діяльності</w:t>
      </w:r>
      <w:r w:rsidRPr="000977F7">
        <w:rPr>
          <w:rFonts w:asciiTheme="majorHAnsi" w:hAnsiTheme="majorHAnsi"/>
          <w:spacing w:val="37"/>
          <w:sz w:val="20"/>
          <w:szCs w:val="20"/>
        </w:rPr>
        <w:t xml:space="preserve"> </w:t>
      </w:r>
      <w:r w:rsidRPr="000977F7">
        <w:rPr>
          <w:rFonts w:asciiTheme="majorHAnsi" w:hAnsiTheme="majorHAnsi"/>
          <w:sz w:val="20"/>
          <w:szCs w:val="20"/>
        </w:rPr>
        <w:t>та</w:t>
      </w:r>
      <w:r w:rsidRPr="000977F7">
        <w:rPr>
          <w:rFonts w:asciiTheme="majorHAnsi" w:hAnsiTheme="majorHAnsi"/>
          <w:spacing w:val="39"/>
          <w:sz w:val="20"/>
          <w:szCs w:val="20"/>
        </w:rPr>
        <w:t xml:space="preserve"> </w:t>
      </w:r>
      <w:r w:rsidRPr="000977F7">
        <w:rPr>
          <w:rFonts w:asciiTheme="majorHAnsi" w:hAnsiTheme="majorHAnsi"/>
          <w:sz w:val="20"/>
          <w:szCs w:val="20"/>
        </w:rPr>
        <w:t>які</w:t>
      </w:r>
      <w:r w:rsidRPr="000977F7">
        <w:rPr>
          <w:rFonts w:asciiTheme="majorHAnsi" w:hAnsiTheme="majorHAnsi"/>
          <w:spacing w:val="37"/>
          <w:sz w:val="20"/>
          <w:szCs w:val="20"/>
        </w:rPr>
        <w:t xml:space="preserve"> </w:t>
      </w:r>
      <w:r w:rsidRPr="000977F7">
        <w:rPr>
          <w:rFonts w:asciiTheme="majorHAnsi" w:hAnsiTheme="majorHAnsi"/>
          <w:sz w:val="20"/>
          <w:szCs w:val="20"/>
        </w:rPr>
        <w:t>забезпечують відповідність процесу його призначення</w:t>
      </w:r>
      <w:r w:rsidRPr="000977F7">
        <w:rPr>
          <w:rFonts w:asciiTheme="majorHAnsi" w:hAnsiTheme="majorHAnsi"/>
          <w:spacing w:val="1"/>
          <w:sz w:val="20"/>
          <w:szCs w:val="20"/>
        </w:rPr>
        <w:t xml:space="preserve"> </w:t>
      </w:r>
    </w:p>
    <w:p w14:paraId="16ECD4E9" w14:textId="77777777" w:rsidR="0097612F" w:rsidRPr="000977F7" w:rsidRDefault="0097612F" w:rsidP="000977F7">
      <w:pPr>
        <w:pStyle w:val="af6"/>
        <w:tabs>
          <w:tab w:val="left" w:pos="284"/>
        </w:tabs>
        <w:spacing w:after="0"/>
        <w:ind w:left="170"/>
        <w:mirrorIndents/>
        <w:jc w:val="both"/>
        <w:rPr>
          <w:rFonts w:asciiTheme="majorHAnsi" w:hAnsiTheme="majorHAnsi"/>
          <w:b/>
          <w:spacing w:val="-1"/>
          <w:sz w:val="20"/>
          <w:szCs w:val="20"/>
        </w:rPr>
      </w:pPr>
      <w:r w:rsidRPr="000977F7">
        <w:rPr>
          <w:rFonts w:asciiTheme="majorHAnsi" w:hAnsiTheme="majorHAnsi"/>
          <w:b/>
          <w:sz w:val="20"/>
          <w:szCs w:val="20"/>
        </w:rPr>
        <w:t>СТАНДАРТИ</w:t>
      </w:r>
      <w:r w:rsidRPr="000977F7">
        <w:rPr>
          <w:rFonts w:asciiTheme="majorHAnsi" w:hAnsiTheme="majorHAnsi"/>
          <w:b/>
          <w:spacing w:val="-1"/>
          <w:sz w:val="20"/>
          <w:szCs w:val="20"/>
        </w:rPr>
        <w:t xml:space="preserve"> </w:t>
      </w:r>
      <w:r w:rsidRPr="000977F7">
        <w:rPr>
          <w:rFonts w:asciiTheme="majorHAnsi" w:hAnsiTheme="majorHAnsi"/>
          <w:b/>
          <w:sz w:val="20"/>
          <w:szCs w:val="20"/>
        </w:rPr>
        <w:t>НАУКОВО-ТЕХНІЧНИХ</w:t>
      </w:r>
      <w:r w:rsidRPr="000977F7">
        <w:rPr>
          <w:rFonts w:asciiTheme="majorHAnsi" w:hAnsiTheme="majorHAnsi"/>
          <w:b/>
          <w:spacing w:val="-2"/>
          <w:sz w:val="20"/>
          <w:szCs w:val="20"/>
        </w:rPr>
        <w:t xml:space="preserve"> </w:t>
      </w:r>
      <w:r w:rsidRPr="000977F7">
        <w:rPr>
          <w:rFonts w:asciiTheme="majorHAnsi" w:hAnsiTheme="majorHAnsi"/>
          <w:b/>
          <w:sz w:val="20"/>
          <w:szCs w:val="20"/>
        </w:rPr>
        <w:t>ТА</w:t>
      </w:r>
      <w:r w:rsidRPr="000977F7">
        <w:rPr>
          <w:rFonts w:asciiTheme="majorHAnsi" w:hAnsiTheme="majorHAnsi"/>
          <w:b/>
          <w:spacing w:val="-1"/>
          <w:sz w:val="20"/>
          <w:szCs w:val="20"/>
        </w:rPr>
        <w:t xml:space="preserve"> </w:t>
      </w:r>
    </w:p>
    <w:p w14:paraId="16B0ADBD"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ІНЖЕНЕРНИХ</w:t>
      </w:r>
      <w:r w:rsidRPr="000977F7">
        <w:rPr>
          <w:rFonts w:asciiTheme="majorHAnsi" w:hAnsiTheme="majorHAnsi"/>
          <w:b/>
          <w:spacing w:val="-3"/>
          <w:sz w:val="20"/>
          <w:szCs w:val="20"/>
        </w:rPr>
        <w:t xml:space="preserve"> </w:t>
      </w:r>
      <w:r w:rsidRPr="000977F7">
        <w:rPr>
          <w:rFonts w:asciiTheme="majorHAnsi" w:hAnsiTheme="majorHAnsi"/>
          <w:b/>
          <w:sz w:val="20"/>
          <w:szCs w:val="20"/>
        </w:rPr>
        <w:t>ТОВАРИСТВ</w:t>
      </w:r>
      <w:r w:rsidRPr="000977F7">
        <w:rPr>
          <w:rFonts w:asciiTheme="majorHAnsi" w:hAnsiTheme="majorHAnsi"/>
          <w:b/>
          <w:spacing w:val="-3"/>
          <w:sz w:val="20"/>
          <w:szCs w:val="20"/>
        </w:rPr>
        <w:t xml:space="preserve"> </w:t>
      </w:r>
      <w:r w:rsidRPr="000977F7">
        <w:rPr>
          <w:rFonts w:asciiTheme="majorHAnsi" w:hAnsiTheme="majorHAnsi"/>
          <w:b/>
          <w:sz w:val="20"/>
          <w:szCs w:val="20"/>
        </w:rPr>
        <w:t>(СПІЛОК)</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1305DCE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Стандарти</w:t>
      </w:r>
      <w:r w:rsidRPr="000977F7">
        <w:rPr>
          <w:rFonts w:asciiTheme="majorHAnsi" w:hAnsiTheme="majorHAnsi"/>
          <w:spacing w:val="1"/>
          <w:sz w:val="20"/>
          <w:szCs w:val="20"/>
        </w:rPr>
        <w:t xml:space="preserve"> </w:t>
      </w:r>
      <w:r w:rsidRPr="000977F7">
        <w:rPr>
          <w:rFonts w:asciiTheme="majorHAnsi" w:hAnsiTheme="majorHAnsi"/>
          <w:sz w:val="20"/>
          <w:szCs w:val="20"/>
        </w:rPr>
        <w:t>науково-технічних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інженерних</w:t>
      </w:r>
      <w:r w:rsidRPr="000977F7">
        <w:rPr>
          <w:rFonts w:asciiTheme="majorHAnsi" w:hAnsiTheme="majorHAnsi"/>
          <w:spacing w:val="1"/>
          <w:sz w:val="20"/>
          <w:szCs w:val="20"/>
        </w:rPr>
        <w:t xml:space="preserve"> </w:t>
      </w:r>
      <w:r w:rsidRPr="000977F7">
        <w:rPr>
          <w:rFonts w:asciiTheme="majorHAnsi" w:hAnsiTheme="majorHAnsi"/>
          <w:sz w:val="20"/>
          <w:szCs w:val="20"/>
        </w:rPr>
        <w:t>товариств (спілок) розробляють у разі необхідності розповсюдження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впровадження</w:t>
      </w:r>
      <w:r w:rsidRPr="000977F7">
        <w:rPr>
          <w:rFonts w:asciiTheme="majorHAnsi" w:hAnsiTheme="majorHAnsi"/>
          <w:spacing w:val="1"/>
          <w:sz w:val="20"/>
          <w:szCs w:val="20"/>
        </w:rPr>
        <w:t xml:space="preserve"> </w:t>
      </w:r>
      <w:r w:rsidRPr="000977F7">
        <w:rPr>
          <w:rFonts w:asciiTheme="majorHAnsi" w:hAnsiTheme="majorHAnsi"/>
          <w:sz w:val="20"/>
          <w:szCs w:val="20"/>
        </w:rPr>
        <w:t>систематизованих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узагальнених результатів фундаментальних і прикладних досліджень, одержаних у певних галузях знань</w:t>
      </w:r>
      <w:r w:rsidRPr="000977F7">
        <w:rPr>
          <w:rFonts w:asciiTheme="majorHAnsi" w:hAnsiTheme="majorHAnsi"/>
          <w:spacing w:val="1"/>
          <w:sz w:val="20"/>
          <w:szCs w:val="20"/>
        </w:rPr>
        <w:t xml:space="preserve"> </w:t>
      </w:r>
      <w:r w:rsidRPr="000977F7">
        <w:rPr>
          <w:rFonts w:asciiTheme="majorHAnsi" w:hAnsiTheme="majorHAnsi"/>
          <w:sz w:val="20"/>
          <w:szCs w:val="20"/>
        </w:rPr>
        <w:t>чи сферах професійних інтересів. Вимоги цих стандартів</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повинні</w:t>
      </w:r>
      <w:r w:rsidRPr="000977F7">
        <w:rPr>
          <w:rFonts w:asciiTheme="majorHAnsi" w:hAnsiTheme="majorHAnsi"/>
          <w:spacing w:val="1"/>
          <w:sz w:val="20"/>
          <w:szCs w:val="20"/>
        </w:rPr>
        <w:t xml:space="preserve"> </w:t>
      </w:r>
      <w:r w:rsidRPr="000977F7">
        <w:rPr>
          <w:rFonts w:asciiTheme="majorHAnsi" w:hAnsiTheme="majorHAnsi"/>
          <w:sz w:val="20"/>
          <w:szCs w:val="20"/>
        </w:rPr>
        <w:t>суперечити</w:t>
      </w:r>
      <w:r w:rsidRPr="000977F7">
        <w:rPr>
          <w:rFonts w:asciiTheme="majorHAnsi" w:hAnsiTheme="majorHAnsi"/>
          <w:spacing w:val="1"/>
          <w:sz w:val="20"/>
          <w:szCs w:val="20"/>
        </w:rPr>
        <w:t xml:space="preserve"> </w:t>
      </w:r>
      <w:r w:rsidRPr="000977F7">
        <w:rPr>
          <w:rFonts w:asciiTheme="majorHAnsi" w:hAnsiTheme="majorHAnsi"/>
          <w:sz w:val="20"/>
          <w:szCs w:val="20"/>
        </w:rPr>
        <w:t>обов’язковим</w:t>
      </w:r>
      <w:r w:rsidRPr="000977F7">
        <w:rPr>
          <w:rFonts w:asciiTheme="majorHAnsi" w:hAnsiTheme="majorHAnsi"/>
          <w:spacing w:val="1"/>
          <w:sz w:val="20"/>
          <w:szCs w:val="20"/>
        </w:rPr>
        <w:t xml:space="preserve"> </w:t>
      </w:r>
      <w:r w:rsidRPr="000977F7">
        <w:rPr>
          <w:rFonts w:asciiTheme="majorHAnsi" w:hAnsiTheme="majorHAnsi"/>
          <w:sz w:val="20"/>
          <w:szCs w:val="20"/>
        </w:rPr>
        <w:t>вимогам</w:t>
      </w:r>
      <w:r w:rsidRPr="000977F7">
        <w:rPr>
          <w:rFonts w:asciiTheme="majorHAnsi" w:hAnsiTheme="majorHAnsi"/>
          <w:spacing w:val="1"/>
          <w:sz w:val="20"/>
          <w:szCs w:val="20"/>
        </w:rPr>
        <w:t xml:space="preserve"> </w:t>
      </w:r>
      <w:r w:rsidRPr="000977F7">
        <w:rPr>
          <w:rFonts w:asciiTheme="majorHAnsi" w:hAnsiTheme="majorHAnsi"/>
          <w:sz w:val="20"/>
          <w:szCs w:val="20"/>
        </w:rPr>
        <w:t>державних</w:t>
      </w:r>
      <w:r w:rsidRPr="000977F7">
        <w:rPr>
          <w:rFonts w:asciiTheme="majorHAnsi" w:hAnsiTheme="majorHAnsi"/>
          <w:spacing w:val="-2"/>
          <w:sz w:val="20"/>
          <w:szCs w:val="20"/>
        </w:rPr>
        <w:t xml:space="preserve"> </w:t>
      </w:r>
      <w:r w:rsidRPr="000977F7">
        <w:rPr>
          <w:rFonts w:asciiTheme="majorHAnsi" w:hAnsiTheme="majorHAnsi"/>
          <w:sz w:val="20"/>
          <w:szCs w:val="20"/>
        </w:rPr>
        <w:t>та галузевих</w:t>
      </w:r>
      <w:r w:rsidRPr="000977F7">
        <w:rPr>
          <w:rFonts w:asciiTheme="majorHAnsi" w:hAnsiTheme="majorHAnsi"/>
          <w:spacing w:val="-1"/>
          <w:sz w:val="20"/>
          <w:szCs w:val="20"/>
        </w:rPr>
        <w:t xml:space="preserve"> </w:t>
      </w:r>
      <w:r w:rsidRPr="000977F7">
        <w:rPr>
          <w:rFonts w:asciiTheme="majorHAnsi" w:hAnsiTheme="majorHAnsi"/>
          <w:sz w:val="20"/>
          <w:szCs w:val="20"/>
        </w:rPr>
        <w:t>стандартів</w:t>
      </w:r>
    </w:p>
    <w:p w14:paraId="62F7D74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СТАНДАРТИ</w:t>
      </w:r>
      <w:r w:rsidRPr="000977F7">
        <w:rPr>
          <w:color w:val="auto"/>
          <w:spacing w:val="-4"/>
          <w:sz w:val="20"/>
          <w:szCs w:val="20"/>
        </w:rPr>
        <w:t xml:space="preserve"> </w:t>
      </w:r>
      <w:r w:rsidRPr="000977F7">
        <w:rPr>
          <w:color w:val="auto"/>
          <w:sz w:val="20"/>
          <w:szCs w:val="20"/>
        </w:rPr>
        <w:t>ПІДПРИЄМСТВА</w:t>
      </w:r>
      <w:r w:rsidRPr="000977F7">
        <w:rPr>
          <w:color w:val="auto"/>
          <w:spacing w:val="-2"/>
          <w:sz w:val="20"/>
          <w:szCs w:val="20"/>
        </w:rPr>
        <w:t xml:space="preserve"> </w:t>
      </w:r>
      <w:r w:rsidRPr="000977F7">
        <w:rPr>
          <w:color w:val="auto"/>
          <w:sz w:val="20"/>
          <w:szCs w:val="20"/>
        </w:rPr>
        <w:t>–</w:t>
      </w:r>
    </w:p>
    <w:p w14:paraId="590A2D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Стандарти 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розробляють</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продукцію</w:t>
      </w:r>
      <w:r w:rsidRPr="000977F7">
        <w:rPr>
          <w:rFonts w:asciiTheme="majorHAnsi" w:hAnsiTheme="majorHAnsi"/>
          <w:spacing w:val="1"/>
          <w:sz w:val="20"/>
          <w:szCs w:val="20"/>
        </w:rPr>
        <w:t xml:space="preserve"> </w:t>
      </w:r>
      <w:r w:rsidRPr="000977F7">
        <w:rPr>
          <w:rFonts w:asciiTheme="majorHAnsi" w:hAnsiTheme="majorHAnsi"/>
          <w:sz w:val="20"/>
          <w:szCs w:val="20"/>
        </w:rPr>
        <w:t>(процеси,</w:t>
      </w:r>
      <w:r w:rsidRPr="000977F7">
        <w:rPr>
          <w:rFonts w:asciiTheme="majorHAnsi" w:hAnsiTheme="majorHAnsi"/>
          <w:spacing w:val="1"/>
          <w:sz w:val="20"/>
          <w:szCs w:val="20"/>
        </w:rPr>
        <w:t xml:space="preserve"> </w:t>
      </w:r>
      <w:r w:rsidRPr="000977F7">
        <w:rPr>
          <w:rFonts w:asciiTheme="majorHAnsi" w:hAnsiTheme="majorHAnsi"/>
          <w:sz w:val="20"/>
          <w:szCs w:val="20"/>
        </w:rPr>
        <w:t>послуги),</w:t>
      </w:r>
      <w:r w:rsidRPr="000977F7">
        <w:rPr>
          <w:rFonts w:asciiTheme="majorHAnsi" w:hAnsiTheme="majorHAnsi"/>
          <w:spacing w:val="1"/>
          <w:sz w:val="20"/>
          <w:szCs w:val="20"/>
        </w:rPr>
        <w:t xml:space="preserve"> </w:t>
      </w:r>
      <w:r w:rsidRPr="000977F7">
        <w:rPr>
          <w:rFonts w:asciiTheme="majorHAnsi" w:hAnsiTheme="majorHAnsi"/>
          <w:sz w:val="20"/>
          <w:szCs w:val="20"/>
        </w:rPr>
        <w:t>яку</w:t>
      </w:r>
      <w:r w:rsidRPr="000977F7">
        <w:rPr>
          <w:rFonts w:asciiTheme="majorHAnsi" w:hAnsiTheme="majorHAnsi"/>
          <w:spacing w:val="1"/>
          <w:sz w:val="20"/>
          <w:szCs w:val="20"/>
        </w:rPr>
        <w:t xml:space="preserve"> </w:t>
      </w:r>
      <w:r w:rsidRPr="000977F7">
        <w:rPr>
          <w:rFonts w:asciiTheme="majorHAnsi" w:hAnsiTheme="majorHAnsi"/>
          <w:sz w:val="20"/>
          <w:szCs w:val="20"/>
        </w:rPr>
        <w:t>виробляють</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застосовують</w:t>
      </w:r>
      <w:r w:rsidRPr="000977F7">
        <w:rPr>
          <w:rFonts w:asciiTheme="majorHAnsi" w:hAnsiTheme="majorHAnsi"/>
          <w:spacing w:val="1"/>
          <w:sz w:val="20"/>
          <w:szCs w:val="20"/>
        </w:rPr>
        <w:t xml:space="preserve"> </w:t>
      </w:r>
      <w:r w:rsidRPr="000977F7">
        <w:rPr>
          <w:rFonts w:asciiTheme="majorHAnsi" w:hAnsiTheme="majorHAnsi"/>
          <w:sz w:val="20"/>
          <w:szCs w:val="20"/>
        </w:rPr>
        <w:t>(здійснюють, надають) лише на конкретному підприємстві. Стандарти підприємства не повинні суперечити</w:t>
      </w:r>
      <w:r w:rsidRPr="000977F7">
        <w:rPr>
          <w:rFonts w:asciiTheme="majorHAnsi" w:hAnsiTheme="majorHAnsi"/>
          <w:spacing w:val="1"/>
          <w:sz w:val="20"/>
          <w:szCs w:val="20"/>
        </w:rPr>
        <w:t xml:space="preserve"> </w:t>
      </w:r>
      <w:r w:rsidRPr="000977F7">
        <w:rPr>
          <w:rFonts w:asciiTheme="majorHAnsi" w:hAnsiTheme="majorHAnsi"/>
          <w:sz w:val="20"/>
          <w:szCs w:val="20"/>
        </w:rPr>
        <w:t>обов’язковим</w:t>
      </w:r>
      <w:r w:rsidRPr="000977F7">
        <w:rPr>
          <w:rFonts w:asciiTheme="majorHAnsi" w:hAnsiTheme="majorHAnsi"/>
          <w:spacing w:val="1"/>
          <w:sz w:val="20"/>
          <w:szCs w:val="20"/>
        </w:rPr>
        <w:t xml:space="preserve"> </w:t>
      </w:r>
      <w:r w:rsidRPr="000977F7">
        <w:rPr>
          <w:rFonts w:asciiTheme="majorHAnsi" w:hAnsiTheme="majorHAnsi"/>
          <w:sz w:val="20"/>
          <w:szCs w:val="20"/>
        </w:rPr>
        <w:t>вимогам</w:t>
      </w:r>
      <w:r w:rsidRPr="000977F7">
        <w:rPr>
          <w:rFonts w:asciiTheme="majorHAnsi" w:hAnsiTheme="majorHAnsi"/>
          <w:spacing w:val="1"/>
          <w:sz w:val="20"/>
          <w:szCs w:val="20"/>
        </w:rPr>
        <w:t xml:space="preserve"> </w:t>
      </w:r>
      <w:r w:rsidRPr="000977F7">
        <w:rPr>
          <w:rFonts w:asciiTheme="majorHAnsi" w:hAnsiTheme="majorHAnsi"/>
          <w:sz w:val="20"/>
          <w:szCs w:val="20"/>
        </w:rPr>
        <w:t>державних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галузевих</w:t>
      </w:r>
      <w:r w:rsidRPr="000977F7">
        <w:rPr>
          <w:rFonts w:asciiTheme="majorHAnsi" w:hAnsiTheme="majorHAnsi"/>
          <w:spacing w:val="1"/>
          <w:sz w:val="20"/>
          <w:szCs w:val="20"/>
        </w:rPr>
        <w:t xml:space="preserve"> </w:t>
      </w:r>
      <w:r w:rsidRPr="000977F7">
        <w:rPr>
          <w:rFonts w:asciiTheme="majorHAnsi" w:hAnsiTheme="majorHAnsi"/>
          <w:sz w:val="20"/>
          <w:szCs w:val="20"/>
        </w:rPr>
        <w:t>стандартів</w:t>
      </w:r>
    </w:p>
    <w:p w14:paraId="7685893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СТАНДАРТИЗАЦІЯ</w:t>
      </w:r>
      <w:r w:rsidRPr="000977F7">
        <w:rPr>
          <w:color w:val="auto"/>
          <w:spacing w:val="-10"/>
          <w:sz w:val="20"/>
          <w:szCs w:val="20"/>
        </w:rPr>
        <w:t xml:space="preserve"> </w:t>
      </w:r>
      <w:r w:rsidRPr="000977F7">
        <w:rPr>
          <w:color w:val="auto"/>
          <w:sz w:val="20"/>
          <w:szCs w:val="20"/>
        </w:rPr>
        <w:t>–</w:t>
      </w:r>
    </w:p>
    <w:p w14:paraId="7BED52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STANDARDIZATION</w:t>
      </w:r>
      <w:r w:rsidRPr="000977F7">
        <w:rPr>
          <w:rFonts w:asciiTheme="majorHAnsi" w:hAnsiTheme="majorHAnsi"/>
          <w:spacing w:val="-8"/>
          <w:sz w:val="20"/>
          <w:szCs w:val="20"/>
        </w:rPr>
        <w:t xml:space="preserve"> </w:t>
      </w:r>
      <w:r w:rsidRPr="000977F7">
        <w:rPr>
          <w:rFonts w:asciiTheme="majorHAnsi" w:hAnsiTheme="majorHAnsi"/>
          <w:sz w:val="20"/>
          <w:szCs w:val="20"/>
        </w:rPr>
        <w:t>-</w:t>
      </w:r>
    </w:p>
    <w:p w14:paraId="5A77654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Діяльність, що полягає у встановленні положень для</w:t>
      </w:r>
      <w:r w:rsidRPr="000977F7">
        <w:rPr>
          <w:rFonts w:asciiTheme="majorHAnsi" w:hAnsiTheme="majorHAnsi"/>
          <w:spacing w:val="1"/>
          <w:sz w:val="20"/>
          <w:szCs w:val="20"/>
        </w:rPr>
        <w:t xml:space="preserve"> </w:t>
      </w:r>
      <w:r w:rsidRPr="000977F7">
        <w:rPr>
          <w:rFonts w:asciiTheme="majorHAnsi" w:hAnsiTheme="majorHAnsi"/>
          <w:sz w:val="20"/>
          <w:szCs w:val="20"/>
        </w:rPr>
        <w:t>загального і багаторазового застосування щодо наявних чи можливих завдань з метою досягнення оптимального</w:t>
      </w:r>
      <w:r w:rsidRPr="000977F7">
        <w:rPr>
          <w:rFonts w:asciiTheme="majorHAnsi" w:hAnsiTheme="majorHAnsi"/>
          <w:spacing w:val="-1"/>
          <w:sz w:val="20"/>
          <w:szCs w:val="20"/>
        </w:rPr>
        <w:t xml:space="preserve"> </w:t>
      </w:r>
      <w:r w:rsidRPr="000977F7">
        <w:rPr>
          <w:rFonts w:asciiTheme="majorHAnsi" w:hAnsiTheme="majorHAnsi"/>
          <w:sz w:val="20"/>
          <w:szCs w:val="20"/>
        </w:rPr>
        <w:t>ступеня</w:t>
      </w:r>
      <w:r w:rsidRPr="000977F7">
        <w:rPr>
          <w:rFonts w:asciiTheme="majorHAnsi" w:hAnsiTheme="majorHAnsi"/>
          <w:spacing w:val="48"/>
          <w:sz w:val="20"/>
          <w:szCs w:val="20"/>
        </w:rPr>
        <w:t xml:space="preserve"> </w:t>
      </w:r>
      <w:r w:rsidRPr="000977F7">
        <w:rPr>
          <w:rFonts w:asciiTheme="majorHAnsi" w:hAnsiTheme="majorHAnsi"/>
          <w:sz w:val="20"/>
          <w:szCs w:val="20"/>
        </w:rPr>
        <w:t>впорядкування</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певній</w:t>
      </w:r>
      <w:r w:rsidRPr="000977F7">
        <w:rPr>
          <w:rFonts w:asciiTheme="majorHAnsi" w:hAnsiTheme="majorHAnsi"/>
          <w:spacing w:val="-2"/>
          <w:sz w:val="20"/>
          <w:szCs w:val="20"/>
        </w:rPr>
        <w:t xml:space="preserve"> </w:t>
      </w:r>
      <w:r w:rsidRPr="000977F7">
        <w:rPr>
          <w:rFonts w:asciiTheme="majorHAnsi" w:hAnsiTheme="majorHAnsi"/>
          <w:sz w:val="20"/>
          <w:szCs w:val="20"/>
        </w:rPr>
        <w:t>сфері</w:t>
      </w:r>
    </w:p>
    <w:p w14:paraId="31759DF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 закону</w:t>
      </w:r>
      <w:r w:rsidRPr="000977F7">
        <w:rPr>
          <w:rFonts w:asciiTheme="majorHAnsi" w:hAnsiTheme="majorHAnsi"/>
          <w:i/>
          <w:spacing w:val="-4"/>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3"/>
          <w:sz w:val="20"/>
          <w:szCs w:val="20"/>
        </w:rPr>
        <w:t xml:space="preserve"> </w:t>
      </w:r>
      <w:r w:rsidRPr="000977F7">
        <w:rPr>
          <w:rFonts w:asciiTheme="majorHAnsi" w:hAnsiTheme="majorHAnsi"/>
          <w:i/>
          <w:sz w:val="20"/>
          <w:szCs w:val="20"/>
        </w:rPr>
        <w:t>«Про</w:t>
      </w:r>
      <w:r w:rsidRPr="000977F7">
        <w:rPr>
          <w:rFonts w:asciiTheme="majorHAnsi" w:hAnsiTheme="majorHAnsi"/>
          <w:i/>
          <w:spacing w:val="-2"/>
          <w:sz w:val="20"/>
          <w:szCs w:val="20"/>
        </w:rPr>
        <w:t xml:space="preserve"> </w:t>
      </w:r>
      <w:r w:rsidRPr="000977F7">
        <w:rPr>
          <w:rFonts w:asciiTheme="majorHAnsi" w:hAnsiTheme="majorHAnsi"/>
          <w:i/>
          <w:sz w:val="20"/>
          <w:szCs w:val="20"/>
        </w:rPr>
        <w:t>стандартизацію».</w:t>
      </w:r>
    </w:p>
    <w:p w14:paraId="083A4E5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Діяльність, що полягає у встановленні положень для</w:t>
      </w:r>
      <w:r w:rsidRPr="000977F7">
        <w:rPr>
          <w:rFonts w:asciiTheme="majorHAnsi" w:hAnsiTheme="majorHAnsi"/>
          <w:spacing w:val="1"/>
          <w:sz w:val="20"/>
          <w:szCs w:val="20"/>
        </w:rPr>
        <w:t xml:space="preserve"> </w:t>
      </w:r>
      <w:r w:rsidRPr="000977F7">
        <w:rPr>
          <w:rFonts w:asciiTheme="majorHAnsi" w:hAnsiTheme="majorHAnsi"/>
          <w:sz w:val="20"/>
          <w:szCs w:val="20"/>
        </w:rPr>
        <w:t>загального</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багаторазового</w:t>
      </w:r>
      <w:r w:rsidRPr="000977F7">
        <w:rPr>
          <w:rFonts w:asciiTheme="majorHAnsi" w:hAnsiTheme="majorHAnsi"/>
          <w:spacing w:val="1"/>
          <w:sz w:val="20"/>
          <w:szCs w:val="20"/>
        </w:rPr>
        <w:t xml:space="preserve"> </w:t>
      </w:r>
      <w:r w:rsidRPr="000977F7">
        <w:rPr>
          <w:rFonts w:asciiTheme="majorHAnsi" w:hAnsiTheme="majorHAnsi"/>
          <w:sz w:val="20"/>
          <w:szCs w:val="20"/>
        </w:rPr>
        <w:t>користування</w:t>
      </w:r>
      <w:r w:rsidRPr="000977F7">
        <w:rPr>
          <w:rFonts w:asciiTheme="majorHAnsi" w:hAnsiTheme="majorHAnsi"/>
          <w:spacing w:val="1"/>
          <w:sz w:val="20"/>
          <w:szCs w:val="20"/>
        </w:rPr>
        <w:t xml:space="preserve"> </w:t>
      </w:r>
      <w:r w:rsidRPr="000977F7">
        <w:rPr>
          <w:rFonts w:asciiTheme="majorHAnsi" w:hAnsiTheme="majorHAnsi"/>
          <w:sz w:val="20"/>
          <w:szCs w:val="20"/>
        </w:rPr>
        <w:t>стосовно</w:t>
      </w:r>
      <w:r w:rsidRPr="000977F7">
        <w:rPr>
          <w:rFonts w:asciiTheme="majorHAnsi" w:hAnsiTheme="majorHAnsi"/>
          <w:spacing w:val="1"/>
          <w:sz w:val="20"/>
          <w:szCs w:val="20"/>
        </w:rPr>
        <w:t xml:space="preserve"> </w:t>
      </w:r>
      <w:r w:rsidRPr="000977F7">
        <w:rPr>
          <w:rFonts w:asciiTheme="majorHAnsi" w:hAnsiTheme="majorHAnsi"/>
          <w:sz w:val="20"/>
          <w:szCs w:val="20"/>
        </w:rPr>
        <w:t>розв’язання існуючих чи можливих проблем і спрямована на досягнення оптимального ступеня впорядкованості</w:t>
      </w:r>
      <w:r w:rsidRPr="000977F7">
        <w:rPr>
          <w:rFonts w:asciiTheme="majorHAnsi" w:hAnsiTheme="majorHAnsi"/>
          <w:spacing w:val="-2"/>
          <w:sz w:val="20"/>
          <w:szCs w:val="20"/>
        </w:rPr>
        <w:t xml:space="preserve"> </w:t>
      </w:r>
      <w:r w:rsidRPr="000977F7">
        <w:rPr>
          <w:rFonts w:asciiTheme="majorHAnsi" w:hAnsiTheme="majorHAnsi"/>
          <w:sz w:val="20"/>
          <w:szCs w:val="20"/>
        </w:rPr>
        <w:t>за даних</w:t>
      </w:r>
      <w:r w:rsidRPr="000977F7">
        <w:rPr>
          <w:rFonts w:asciiTheme="majorHAnsi" w:hAnsiTheme="majorHAnsi"/>
          <w:spacing w:val="1"/>
          <w:sz w:val="20"/>
          <w:szCs w:val="20"/>
        </w:rPr>
        <w:t xml:space="preserve"> </w:t>
      </w:r>
      <w:r w:rsidRPr="000977F7">
        <w:rPr>
          <w:rFonts w:asciiTheme="majorHAnsi" w:hAnsiTheme="majorHAnsi"/>
          <w:sz w:val="20"/>
          <w:szCs w:val="20"/>
        </w:rPr>
        <w:t>умов</w:t>
      </w:r>
    </w:p>
    <w:p w14:paraId="3FDC6D9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и:</w:t>
      </w:r>
    </w:p>
    <w:p w14:paraId="06654214" w14:textId="77777777" w:rsidR="0097612F" w:rsidRPr="000977F7" w:rsidRDefault="0097612F" w:rsidP="00FD39A4">
      <w:pPr>
        <w:pStyle w:val="ac"/>
        <w:widowControl w:val="0"/>
        <w:numPr>
          <w:ilvl w:val="0"/>
          <w:numId w:val="80"/>
        </w:numPr>
        <w:tabs>
          <w:tab w:val="left" w:pos="284"/>
          <w:tab w:val="left" w:pos="67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Зокрема</w:t>
      </w:r>
      <w:r w:rsidRPr="000977F7">
        <w:rPr>
          <w:rFonts w:asciiTheme="majorHAnsi" w:hAnsiTheme="majorHAnsi"/>
          <w:spacing w:val="1"/>
          <w:sz w:val="20"/>
          <w:szCs w:val="20"/>
        </w:rPr>
        <w:t xml:space="preserve"> </w:t>
      </w:r>
      <w:r w:rsidRPr="000977F7">
        <w:rPr>
          <w:rFonts w:asciiTheme="majorHAnsi" w:hAnsiTheme="majorHAnsi"/>
          <w:sz w:val="20"/>
          <w:szCs w:val="20"/>
        </w:rPr>
        <w:t>ця</w:t>
      </w:r>
      <w:r w:rsidRPr="000977F7">
        <w:rPr>
          <w:rFonts w:asciiTheme="majorHAnsi" w:hAnsiTheme="majorHAnsi"/>
          <w:spacing w:val="1"/>
          <w:sz w:val="20"/>
          <w:szCs w:val="20"/>
        </w:rPr>
        <w:t xml:space="preserve"> </w:t>
      </w:r>
      <w:r w:rsidRPr="000977F7">
        <w:rPr>
          <w:rFonts w:asciiTheme="majorHAnsi" w:hAnsiTheme="majorHAnsi"/>
          <w:sz w:val="20"/>
          <w:szCs w:val="20"/>
        </w:rPr>
        <w:t>діяльність</w:t>
      </w:r>
      <w:r w:rsidRPr="000977F7">
        <w:rPr>
          <w:rFonts w:asciiTheme="majorHAnsi" w:hAnsiTheme="majorHAnsi"/>
          <w:spacing w:val="1"/>
          <w:sz w:val="20"/>
          <w:szCs w:val="20"/>
        </w:rPr>
        <w:t xml:space="preserve"> </w:t>
      </w:r>
      <w:r w:rsidRPr="000977F7">
        <w:rPr>
          <w:rFonts w:asciiTheme="majorHAnsi" w:hAnsiTheme="majorHAnsi"/>
          <w:sz w:val="20"/>
          <w:szCs w:val="20"/>
        </w:rPr>
        <w:t>проявляється</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процесах</w:t>
      </w:r>
      <w:r w:rsidRPr="000977F7">
        <w:rPr>
          <w:rFonts w:asciiTheme="majorHAnsi" w:hAnsiTheme="majorHAnsi"/>
          <w:spacing w:val="-47"/>
          <w:sz w:val="20"/>
          <w:szCs w:val="20"/>
        </w:rPr>
        <w:t xml:space="preserve"> </w:t>
      </w:r>
      <w:r w:rsidRPr="000977F7">
        <w:rPr>
          <w:rFonts w:asciiTheme="majorHAnsi" w:hAnsiTheme="majorHAnsi"/>
          <w:sz w:val="20"/>
          <w:szCs w:val="20"/>
        </w:rPr>
        <w:t>розроблення,</w:t>
      </w:r>
      <w:r w:rsidRPr="000977F7">
        <w:rPr>
          <w:rFonts w:asciiTheme="majorHAnsi" w:hAnsiTheme="majorHAnsi"/>
          <w:spacing w:val="-3"/>
          <w:sz w:val="20"/>
          <w:szCs w:val="20"/>
        </w:rPr>
        <w:t xml:space="preserve"> </w:t>
      </w:r>
      <w:r w:rsidRPr="000977F7">
        <w:rPr>
          <w:rFonts w:asciiTheme="majorHAnsi" w:hAnsiTheme="majorHAnsi"/>
          <w:sz w:val="20"/>
          <w:szCs w:val="20"/>
        </w:rPr>
        <w:t>видання</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застосування</w:t>
      </w:r>
      <w:r w:rsidRPr="000977F7">
        <w:rPr>
          <w:rFonts w:asciiTheme="majorHAnsi" w:hAnsiTheme="majorHAnsi"/>
          <w:spacing w:val="-3"/>
          <w:sz w:val="20"/>
          <w:szCs w:val="20"/>
        </w:rPr>
        <w:t xml:space="preserve"> </w:t>
      </w:r>
      <w:r w:rsidRPr="000977F7">
        <w:rPr>
          <w:rFonts w:asciiTheme="majorHAnsi" w:hAnsiTheme="majorHAnsi"/>
          <w:sz w:val="20"/>
          <w:szCs w:val="20"/>
        </w:rPr>
        <w:t>стандартів</w:t>
      </w:r>
    </w:p>
    <w:p w14:paraId="75A4B548" w14:textId="77777777" w:rsidR="0097612F" w:rsidRPr="000977F7" w:rsidRDefault="0097612F" w:rsidP="00FD39A4">
      <w:pPr>
        <w:pStyle w:val="ac"/>
        <w:widowControl w:val="0"/>
        <w:numPr>
          <w:ilvl w:val="0"/>
          <w:numId w:val="80"/>
        </w:numPr>
        <w:tabs>
          <w:tab w:val="left" w:pos="284"/>
          <w:tab w:val="left" w:pos="67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Суттєві</w:t>
      </w:r>
      <w:r w:rsidRPr="000977F7">
        <w:rPr>
          <w:rFonts w:asciiTheme="majorHAnsi" w:hAnsiTheme="majorHAnsi"/>
          <w:spacing w:val="1"/>
          <w:sz w:val="20"/>
          <w:szCs w:val="20"/>
        </w:rPr>
        <w:t xml:space="preserve"> </w:t>
      </w:r>
      <w:r w:rsidRPr="000977F7">
        <w:rPr>
          <w:rFonts w:asciiTheme="majorHAnsi" w:hAnsiTheme="majorHAnsi"/>
          <w:sz w:val="20"/>
          <w:szCs w:val="20"/>
        </w:rPr>
        <w:t>вигоди</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полягають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підвищенні відповідності продукції, процесів та</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r w:rsidRPr="000977F7">
        <w:rPr>
          <w:rFonts w:asciiTheme="majorHAnsi" w:hAnsiTheme="majorHAnsi"/>
          <w:spacing w:val="1"/>
          <w:sz w:val="20"/>
          <w:szCs w:val="20"/>
        </w:rPr>
        <w:t xml:space="preserve"> </w:t>
      </w:r>
      <w:r w:rsidRPr="000977F7">
        <w:rPr>
          <w:rFonts w:asciiTheme="majorHAnsi" w:hAnsiTheme="majorHAnsi"/>
          <w:sz w:val="20"/>
          <w:szCs w:val="20"/>
        </w:rPr>
        <w:t>їхньому</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призначенню,</w:t>
      </w:r>
      <w:r w:rsidRPr="000977F7">
        <w:rPr>
          <w:rFonts w:asciiTheme="majorHAnsi" w:hAnsiTheme="majorHAnsi"/>
          <w:spacing w:val="1"/>
          <w:sz w:val="20"/>
          <w:szCs w:val="20"/>
        </w:rPr>
        <w:t xml:space="preserve"> </w:t>
      </w:r>
      <w:r w:rsidRPr="000977F7">
        <w:rPr>
          <w:rFonts w:asciiTheme="majorHAnsi" w:hAnsiTheme="majorHAnsi"/>
          <w:sz w:val="20"/>
          <w:szCs w:val="20"/>
        </w:rPr>
        <w:t>усуненні</w:t>
      </w:r>
      <w:r w:rsidRPr="000977F7">
        <w:rPr>
          <w:rFonts w:asciiTheme="majorHAnsi" w:hAnsiTheme="majorHAnsi"/>
          <w:spacing w:val="50"/>
          <w:sz w:val="20"/>
          <w:szCs w:val="20"/>
        </w:rPr>
        <w:t xml:space="preserve"> </w:t>
      </w:r>
      <w:r w:rsidRPr="000977F7">
        <w:rPr>
          <w:rFonts w:asciiTheme="majorHAnsi" w:hAnsiTheme="majorHAnsi"/>
          <w:sz w:val="20"/>
          <w:szCs w:val="20"/>
        </w:rPr>
        <w:t>перешкод</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торгівлі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сприянні</w:t>
      </w:r>
      <w:r w:rsidRPr="000977F7">
        <w:rPr>
          <w:rFonts w:asciiTheme="majorHAnsi" w:hAnsiTheme="majorHAnsi"/>
          <w:spacing w:val="1"/>
          <w:sz w:val="20"/>
          <w:szCs w:val="20"/>
        </w:rPr>
        <w:t xml:space="preserve"> </w:t>
      </w:r>
      <w:r w:rsidRPr="000977F7">
        <w:rPr>
          <w:rFonts w:asciiTheme="majorHAnsi" w:hAnsiTheme="majorHAnsi"/>
          <w:sz w:val="20"/>
          <w:szCs w:val="20"/>
        </w:rPr>
        <w:t>науково-технічній</w:t>
      </w:r>
      <w:r w:rsidRPr="000977F7">
        <w:rPr>
          <w:rFonts w:asciiTheme="majorHAnsi" w:hAnsiTheme="majorHAnsi"/>
          <w:spacing w:val="1"/>
          <w:sz w:val="20"/>
          <w:szCs w:val="20"/>
        </w:rPr>
        <w:t xml:space="preserve"> </w:t>
      </w:r>
      <w:r w:rsidRPr="000977F7">
        <w:rPr>
          <w:rFonts w:asciiTheme="majorHAnsi" w:hAnsiTheme="majorHAnsi"/>
          <w:sz w:val="20"/>
          <w:szCs w:val="20"/>
        </w:rPr>
        <w:t>співпраці</w:t>
      </w:r>
    </w:p>
    <w:p w14:paraId="4ACB77F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7AC59B9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СТАНДАРТИЗОВАНА</w:t>
      </w:r>
      <w:r w:rsidRPr="000977F7">
        <w:rPr>
          <w:color w:val="auto"/>
          <w:spacing w:val="-5"/>
          <w:sz w:val="20"/>
          <w:szCs w:val="20"/>
        </w:rPr>
        <w:t xml:space="preserve"> </w:t>
      </w:r>
      <w:r w:rsidRPr="000977F7">
        <w:rPr>
          <w:color w:val="auto"/>
          <w:sz w:val="20"/>
          <w:szCs w:val="20"/>
        </w:rPr>
        <w:t>ПРОДУКЦІЯ</w:t>
      </w:r>
      <w:r w:rsidRPr="000977F7">
        <w:rPr>
          <w:color w:val="auto"/>
          <w:spacing w:val="-1"/>
          <w:sz w:val="20"/>
          <w:szCs w:val="20"/>
        </w:rPr>
        <w:t xml:space="preserve"> </w:t>
      </w:r>
      <w:r w:rsidRPr="000977F7">
        <w:rPr>
          <w:color w:val="auto"/>
          <w:sz w:val="20"/>
          <w:szCs w:val="20"/>
        </w:rPr>
        <w:t>–</w:t>
      </w:r>
    </w:p>
    <w:p w14:paraId="09EEC2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STANDARTIZED</w:t>
      </w:r>
      <w:r w:rsidRPr="000977F7">
        <w:rPr>
          <w:rFonts w:asciiTheme="majorHAnsi" w:hAnsiTheme="majorHAnsi"/>
          <w:spacing w:val="-2"/>
          <w:sz w:val="20"/>
          <w:szCs w:val="20"/>
        </w:rPr>
        <w:t xml:space="preserve"> </w:t>
      </w:r>
      <w:r w:rsidRPr="000977F7">
        <w:rPr>
          <w:rFonts w:asciiTheme="majorHAnsi" w:hAnsiTheme="majorHAnsi"/>
          <w:sz w:val="20"/>
          <w:szCs w:val="20"/>
        </w:rPr>
        <w:t>PRODUCTS –</w:t>
      </w:r>
    </w:p>
    <w:p w14:paraId="27A5B0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w:t>
      </w:r>
      <w:r w:rsidRPr="000977F7">
        <w:rPr>
          <w:rFonts w:asciiTheme="majorHAnsi" w:hAnsiTheme="majorHAnsi"/>
          <w:spacing w:val="-3"/>
          <w:sz w:val="20"/>
          <w:szCs w:val="20"/>
        </w:rPr>
        <w:t xml:space="preserve"> </w:t>
      </w:r>
      <w:r w:rsidRPr="000977F7">
        <w:rPr>
          <w:rFonts w:asciiTheme="majorHAnsi" w:hAnsiTheme="majorHAnsi"/>
          <w:sz w:val="20"/>
          <w:szCs w:val="20"/>
        </w:rPr>
        <w:t>вимоги</w:t>
      </w:r>
      <w:r w:rsidRPr="000977F7">
        <w:rPr>
          <w:rFonts w:asciiTheme="majorHAnsi" w:hAnsiTheme="majorHAnsi"/>
          <w:spacing w:val="-4"/>
          <w:sz w:val="20"/>
          <w:szCs w:val="20"/>
        </w:rPr>
        <w:t xml:space="preserve"> </w:t>
      </w:r>
      <w:r w:rsidRPr="000977F7">
        <w:rPr>
          <w:rFonts w:asciiTheme="majorHAnsi" w:hAnsiTheme="majorHAnsi"/>
          <w:sz w:val="20"/>
          <w:szCs w:val="20"/>
        </w:rPr>
        <w:t>до</w:t>
      </w:r>
      <w:r w:rsidRPr="000977F7">
        <w:rPr>
          <w:rFonts w:asciiTheme="majorHAnsi" w:hAnsiTheme="majorHAnsi"/>
          <w:spacing w:val="-3"/>
          <w:sz w:val="20"/>
          <w:szCs w:val="20"/>
        </w:rPr>
        <w:t xml:space="preserve"> </w:t>
      </w:r>
      <w:r w:rsidRPr="000977F7">
        <w:rPr>
          <w:rFonts w:asciiTheme="majorHAnsi" w:hAnsiTheme="majorHAnsi"/>
          <w:sz w:val="20"/>
          <w:szCs w:val="20"/>
        </w:rPr>
        <w:t>якої</w:t>
      </w:r>
      <w:r w:rsidRPr="000977F7">
        <w:rPr>
          <w:rFonts w:asciiTheme="majorHAnsi" w:hAnsiTheme="majorHAnsi"/>
          <w:spacing w:val="-4"/>
          <w:sz w:val="20"/>
          <w:szCs w:val="20"/>
        </w:rPr>
        <w:t xml:space="preserve"> </w:t>
      </w:r>
      <w:r w:rsidRPr="000977F7">
        <w:rPr>
          <w:rFonts w:asciiTheme="majorHAnsi" w:hAnsiTheme="majorHAnsi"/>
          <w:sz w:val="20"/>
          <w:szCs w:val="20"/>
        </w:rPr>
        <w:t>визначено</w:t>
      </w:r>
      <w:r w:rsidRPr="000977F7">
        <w:rPr>
          <w:rFonts w:asciiTheme="majorHAnsi" w:hAnsiTheme="majorHAnsi"/>
          <w:spacing w:val="-2"/>
          <w:sz w:val="20"/>
          <w:szCs w:val="20"/>
        </w:rPr>
        <w:t xml:space="preserve"> </w:t>
      </w:r>
      <w:r w:rsidRPr="000977F7">
        <w:rPr>
          <w:rFonts w:asciiTheme="majorHAnsi" w:hAnsiTheme="majorHAnsi"/>
          <w:sz w:val="20"/>
          <w:szCs w:val="20"/>
        </w:rPr>
        <w:t>стандартами</w:t>
      </w:r>
    </w:p>
    <w:p w14:paraId="1A5EF3FB"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3278</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95</w:t>
      </w:r>
    </w:p>
    <w:p w14:paraId="47C2AC31"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1"/>
          <w:sz w:val="20"/>
          <w:szCs w:val="20"/>
          <w:lang w:val="en-US"/>
        </w:rPr>
      </w:pPr>
      <w:r w:rsidRPr="000977F7">
        <w:rPr>
          <w:rFonts w:asciiTheme="majorHAnsi" w:hAnsiTheme="majorHAnsi"/>
          <w:b/>
          <w:sz w:val="20"/>
          <w:szCs w:val="20"/>
        </w:rPr>
        <w:t>СТАНДАРТНА</w:t>
      </w:r>
      <w:r w:rsidRPr="004D2D14">
        <w:rPr>
          <w:rFonts w:asciiTheme="majorHAnsi" w:hAnsiTheme="majorHAnsi"/>
          <w:b/>
          <w:sz w:val="20"/>
          <w:szCs w:val="20"/>
          <w:lang w:val="en-US"/>
        </w:rPr>
        <w:t xml:space="preserve"> </w:t>
      </w:r>
      <w:r w:rsidRPr="000977F7">
        <w:rPr>
          <w:rFonts w:asciiTheme="majorHAnsi" w:hAnsiTheme="majorHAnsi"/>
          <w:b/>
          <w:sz w:val="20"/>
          <w:szCs w:val="20"/>
        </w:rPr>
        <w:t>ПРОДУКЦІЯ</w:t>
      </w:r>
      <w:r w:rsidRPr="004D2D14">
        <w:rPr>
          <w:rFonts w:asciiTheme="majorHAnsi" w:hAnsiTheme="majorHAnsi"/>
          <w:b/>
          <w:sz w:val="20"/>
          <w:szCs w:val="20"/>
          <w:lang w:val="en-US"/>
        </w:rPr>
        <w:t xml:space="preserve"> –</w:t>
      </w:r>
    </w:p>
    <w:p w14:paraId="12549CA2"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PRODUCTS IN CONFORMITY WITH</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STANDARDS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5309BB9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властивості</w:t>
      </w:r>
      <w:r w:rsidRPr="000977F7">
        <w:rPr>
          <w:rFonts w:asciiTheme="majorHAnsi" w:hAnsiTheme="majorHAnsi"/>
          <w:spacing w:val="1"/>
          <w:sz w:val="20"/>
          <w:szCs w:val="20"/>
        </w:rPr>
        <w:t xml:space="preserve"> </w:t>
      </w:r>
      <w:r w:rsidRPr="000977F7">
        <w:rPr>
          <w:rFonts w:asciiTheme="majorHAnsi" w:hAnsiTheme="majorHAnsi"/>
          <w:sz w:val="20"/>
          <w:szCs w:val="20"/>
        </w:rPr>
        <w:t>якої</w:t>
      </w:r>
      <w:r w:rsidRPr="000977F7">
        <w:rPr>
          <w:rFonts w:asciiTheme="majorHAnsi" w:hAnsiTheme="majorHAnsi"/>
          <w:spacing w:val="1"/>
          <w:sz w:val="20"/>
          <w:szCs w:val="20"/>
        </w:rPr>
        <w:t xml:space="preserve"> </w:t>
      </w:r>
      <w:r w:rsidRPr="000977F7">
        <w:rPr>
          <w:rFonts w:asciiTheme="majorHAnsi" w:hAnsiTheme="majorHAnsi"/>
          <w:sz w:val="20"/>
          <w:szCs w:val="20"/>
        </w:rPr>
        <w:t>повністю</w:t>
      </w:r>
      <w:r w:rsidRPr="000977F7">
        <w:rPr>
          <w:rFonts w:asciiTheme="majorHAnsi" w:hAnsiTheme="majorHAnsi"/>
          <w:spacing w:val="1"/>
          <w:sz w:val="20"/>
          <w:szCs w:val="20"/>
        </w:rPr>
        <w:t xml:space="preserve"> </w:t>
      </w:r>
      <w:r w:rsidRPr="000977F7">
        <w:rPr>
          <w:rFonts w:asciiTheme="majorHAnsi" w:hAnsiTheme="majorHAnsi"/>
          <w:sz w:val="20"/>
          <w:szCs w:val="20"/>
        </w:rPr>
        <w:t>відповідають</w:t>
      </w:r>
      <w:r w:rsidRPr="000977F7">
        <w:rPr>
          <w:rFonts w:asciiTheme="majorHAnsi" w:hAnsiTheme="majorHAnsi"/>
          <w:spacing w:val="1"/>
          <w:sz w:val="20"/>
          <w:szCs w:val="20"/>
        </w:rPr>
        <w:t xml:space="preserve"> </w:t>
      </w:r>
      <w:r w:rsidRPr="000977F7">
        <w:rPr>
          <w:rFonts w:asciiTheme="majorHAnsi" w:hAnsiTheme="majorHAnsi"/>
          <w:sz w:val="20"/>
          <w:szCs w:val="20"/>
        </w:rPr>
        <w:t>вимогам стандартів</w:t>
      </w:r>
    </w:p>
    <w:p w14:paraId="376F117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AFDA1C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СТАНДАРТНИЙ</w:t>
      </w:r>
      <w:r w:rsidRPr="000977F7">
        <w:rPr>
          <w:color w:val="auto"/>
          <w:spacing w:val="-3"/>
          <w:sz w:val="20"/>
          <w:szCs w:val="20"/>
        </w:rPr>
        <w:t xml:space="preserve"> </w:t>
      </w:r>
      <w:r w:rsidRPr="000977F7">
        <w:rPr>
          <w:color w:val="auto"/>
          <w:sz w:val="20"/>
          <w:szCs w:val="20"/>
        </w:rPr>
        <w:t>ВИРІБ –</w:t>
      </w:r>
    </w:p>
    <w:p w14:paraId="2F3414D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 застосований згідно з державним чи галузевим</w:t>
      </w:r>
      <w:r w:rsidRPr="000977F7">
        <w:rPr>
          <w:rFonts w:asciiTheme="majorHAnsi" w:hAnsiTheme="majorHAnsi"/>
          <w:spacing w:val="1"/>
          <w:sz w:val="20"/>
          <w:szCs w:val="20"/>
        </w:rPr>
        <w:t xml:space="preserve"> </w:t>
      </w:r>
      <w:r w:rsidRPr="000977F7">
        <w:rPr>
          <w:rFonts w:asciiTheme="majorHAnsi" w:hAnsiTheme="majorHAnsi"/>
          <w:sz w:val="20"/>
          <w:szCs w:val="20"/>
        </w:rPr>
        <w:t>стандартом, яким однозначно встановлено його конструкцію, показники якості, методи контролю, правила</w:t>
      </w:r>
      <w:r w:rsidRPr="000977F7">
        <w:rPr>
          <w:rFonts w:asciiTheme="majorHAnsi" w:hAnsiTheme="majorHAnsi"/>
          <w:spacing w:val="-47"/>
          <w:sz w:val="20"/>
          <w:szCs w:val="20"/>
        </w:rPr>
        <w:t xml:space="preserve"> </w:t>
      </w:r>
      <w:r w:rsidRPr="000977F7">
        <w:rPr>
          <w:rFonts w:asciiTheme="majorHAnsi" w:hAnsiTheme="majorHAnsi"/>
          <w:sz w:val="20"/>
          <w:szCs w:val="20"/>
        </w:rPr>
        <w:t>приймання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постачання</w:t>
      </w:r>
    </w:p>
    <w:p w14:paraId="7C0FD211"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3321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2003</w:t>
      </w:r>
    </w:p>
    <w:p w14:paraId="05FADA34" w14:textId="77777777" w:rsidR="0097612F" w:rsidRPr="004D2D14" w:rsidRDefault="0097612F" w:rsidP="000977F7">
      <w:pPr>
        <w:tabs>
          <w:tab w:val="left" w:pos="284"/>
        </w:tabs>
        <w:spacing w:after="0" w:line="240" w:lineRule="auto"/>
        <w:ind w:left="170"/>
        <w:mirrorIndents/>
        <w:jc w:val="both"/>
        <w:rPr>
          <w:rFonts w:asciiTheme="majorHAnsi" w:hAnsiTheme="majorHAnsi"/>
          <w:spacing w:val="1"/>
          <w:sz w:val="20"/>
          <w:szCs w:val="20"/>
          <w:lang w:val="en-US"/>
        </w:rPr>
      </w:pPr>
      <w:r w:rsidRPr="000977F7">
        <w:rPr>
          <w:rFonts w:asciiTheme="majorHAnsi" w:hAnsiTheme="majorHAnsi"/>
          <w:b/>
          <w:sz w:val="20"/>
          <w:szCs w:val="20"/>
        </w:rPr>
        <w:t>СТАНДАРТНИЙ</w:t>
      </w:r>
      <w:r w:rsidRPr="004D2D14">
        <w:rPr>
          <w:rFonts w:asciiTheme="majorHAnsi" w:hAnsiTheme="majorHAnsi"/>
          <w:b/>
          <w:sz w:val="20"/>
          <w:szCs w:val="20"/>
          <w:lang w:val="en-US"/>
        </w:rPr>
        <w:t xml:space="preserve"> </w:t>
      </w:r>
      <w:r w:rsidRPr="000977F7">
        <w:rPr>
          <w:rFonts w:asciiTheme="majorHAnsi" w:hAnsiTheme="majorHAnsi"/>
          <w:b/>
          <w:sz w:val="20"/>
          <w:szCs w:val="20"/>
        </w:rPr>
        <w:t>ЗРАЗОК</w:t>
      </w:r>
      <w:r w:rsidRPr="004D2D14">
        <w:rPr>
          <w:rFonts w:asciiTheme="majorHAnsi" w:hAnsiTheme="majorHAnsi"/>
          <w:b/>
          <w:spacing w:val="1"/>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p>
    <w:p w14:paraId="0391B278"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CERTIFIED</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REFERENCE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MATERIAL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0778543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Міра</w:t>
      </w:r>
      <w:r w:rsidRPr="004D2D14">
        <w:rPr>
          <w:rFonts w:asciiTheme="majorHAnsi" w:hAnsiTheme="majorHAnsi"/>
          <w:sz w:val="20"/>
          <w:szCs w:val="20"/>
          <w:lang w:val="en-US"/>
        </w:rPr>
        <w:t xml:space="preserve"> </w:t>
      </w:r>
      <w:r w:rsidRPr="000977F7">
        <w:rPr>
          <w:rFonts w:asciiTheme="majorHAnsi" w:hAnsiTheme="majorHAnsi"/>
          <w:sz w:val="20"/>
          <w:szCs w:val="20"/>
        </w:rPr>
        <w:t>у</w:t>
      </w:r>
      <w:r w:rsidRPr="004D2D14">
        <w:rPr>
          <w:rFonts w:asciiTheme="majorHAnsi" w:hAnsiTheme="majorHAnsi"/>
          <w:sz w:val="20"/>
          <w:szCs w:val="20"/>
          <w:lang w:val="en-US"/>
        </w:rPr>
        <w:t xml:space="preserve"> </w:t>
      </w:r>
      <w:r w:rsidRPr="000977F7">
        <w:rPr>
          <w:rFonts w:asciiTheme="majorHAnsi" w:hAnsiTheme="majorHAnsi"/>
          <w:sz w:val="20"/>
          <w:szCs w:val="20"/>
        </w:rPr>
        <w:t>вигляді</w:t>
      </w:r>
      <w:r w:rsidRPr="004D2D14">
        <w:rPr>
          <w:rFonts w:asciiTheme="majorHAnsi" w:hAnsiTheme="majorHAnsi"/>
          <w:sz w:val="20"/>
          <w:szCs w:val="20"/>
          <w:lang w:val="en-US"/>
        </w:rPr>
        <w:t xml:space="preserve"> </w:t>
      </w:r>
      <w:r w:rsidRPr="000977F7">
        <w:rPr>
          <w:rFonts w:asciiTheme="majorHAnsi" w:hAnsiTheme="majorHAnsi"/>
          <w:sz w:val="20"/>
          <w:szCs w:val="20"/>
        </w:rPr>
        <w:t>речовини</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матеріалу</w:t>
      </w:r>
      <w:r w:rsidRPr="004D2D14">
        <w:rPr>
          <w:rFonts w:asciiTheme="majorHAnsi" w:hAnsiTheme="majorHAnsi"/>
          <w:sz w:val="20"/>
          <w:szCs w:val="20"/>
          <w:lang w:val="en-US"/>
        </w:rPr>
        <w:t xml:space="preserve"> </w:t>
      </w:r>
      <w:r w:rsidRPr="000977F7">
        <w:rPr>
          <w:rFonts w:asciiTheme="majorHAnsi" w:hAnsiTheme="majorHAnsi"/>
          <w:sz w:val="20"/>
          <w:szCs w:val="20"/>
        </w:rPr>
        <w:t>зі</w:t>
      </w:r>
      <w:r w:rsidRPr="004D2D14">
        <w:rPr>
          <w:rFonts w:asciiTheme="majorHAnsi" w:hAnsiTheme="majorHAnsi"/>
          <w:sz w:val="20"/>
          <w:szCs w:val="20"/>
          <w:lang w:val="en-US"/>
        </w:rPr>
        <w:t xml:space="preserve"> </w:t>
      </w:r>
      <w:r w:rsidRPr="000977F7">
        <w:rPr>
          <w:rFonts w:asciiTheme="majorHAnsi" w:hAnsiTheme="majorHAnsi"/>
          <w:sz w:val="20"/>
          <w:szCs w:val="20"/>
        </w:rPr>
        <w:t>встановленими</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результаті</w:t>
      </w:r>
      <w:r w:rsidRPr="004D2D14">
        <w:rPr>
          <w:rFonts w:asciiTheme="majorHAnsi" w:hAnsiTheme="majorHAnsi"/>
          <w:sz w:val="20"/>
          <w:szCs w:val="20"/>
          <w:lang w:val="en-US"/>
        </w:rPr>
        <w:t xml:space="preserve"> </w:t>
      </w:r>
      <w:r w:rsidRPr="000977F7">
        <w:rPr>
          <w:rFonts w:asciiTheme="majorHAnsi" w:hAnsiTheme="majorHAnsi"/>
          <w:sz w:val="20"/>
          <w:szCs w:val="20"/>
        </w:rPr>
        <w:t>метрологічної</w:t>
      </w:r>
      <w:r w:rsidRPr="004D2D14">
        <w:rPr>
          <w:rFonts w:asciiTheme="majorHAnsi" w:hAnsiTheme="majorHAnsi"/>
          <w:sz w:val="20"/>
          <w:szCs w:val="20"/>
          <w:lang w:val="en-US"/>
        </w:rPr>
        <w:t xml:space="preserve"> </w:t>
      </w:r>
      <w:r w:rsidRPr="000977F7">
        <w:rPr>
          <w:rFonts w:asciiTheme="majorHAnsi" w:hAnsiTheme="majorHAnsi"/>
          <w:sz w:val="20"/>
          <w:szCs w:val="20"/>
        </w:rPr>
        <w:t>атестації</w:t>
      </w:r>
      <w:r w:rsidRPr="004D2D14">
        <w:rPr>
          <w:rFonts w:asciiTheme="majorHAnsi" w:hAnsiTheme="majorHAnsi"/>
          <w:sz w:val="20"/>
          <w:szCs w:val="20"/>
          <w:lang w:val="en-US"/>
        </w:rPr>
        <w:t xml:space="preserve"> </w:t>
      </w:r>
      <w:r w:rsidRPr="000977F7">
        <w:rPr>
          <w:rFonts w:asciiTheme="majorHAnsi" w:hAnsiTheme="majorHAnsi"/>
          <w:sz w:val="20"/>
          <w:szCs w:val="20"/>
        </w:rPr>
        <w:t>значеннями</w:t>
      </w:r>
      <w:r w:rsidRPr="004D2D14">
        <w:rPr>
          <w:rFonts w:asciiTheme="majorHAnsi" w:hAnsiTheme="majorHAnsi"/>
          <w:sz w:val="20"/>
          <w:szCs w:val="20"/>
          <w:lang w:val="en-US"/>
        </w:rPr>
        <w:t xml:space="preserve"> </w:t>
      </w:r>
      <w:r w:rsidRPr="000977F7">
        <w:rPr>
          <w:rFonts w:asciiTheme="majorHAnsi" w:hAnsiTheme="majorHAnsi"/>
          <w:sz w:val="20"/>
          <w:szCs w:val="20"/>
        </w:rPr>
        <w:t>однієї</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більше</w:t>
      </w:r>
      <w:r w:rsidRPr="004D2D14">
        <w:rPr>
          <w:rFonts w:asciiTheme="majorHAnsi" w:hAnsiTheme="majorHAnsi"/>
          <w:sz w:val="20"/>
          <w:szCs w:val="20"/>
          <w:lang w:val="en-US"/>
        </w:rPr>
        <w:t xml:space="preserve"> </w:t>
      </w:r>
      <w:r w:rsidRPr="000977F7">
        <w:rPr>
          <w:rFonts w:asciiTheme="majorHAnsi" w:hAnsiTheme="majorHAnsi"/>
          <w:sz w:val="20"/>
          <w:szCs w:val="20"/>
        </w:rPr>
        <w:t>величин</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характеризують</w:t>
      </w:r>
      <w:r w:rsidRPr="004D2D14">
        <w:rPr>
          <w:rFonts w:asciiTheme="majorHAnsi" w:hAnsiTheme="majorHAnsi"/>
          <w:sz w:val="20"/>
          <w:szCs w:val="20"/>
          <w:lang w:val="en-US"/>
        </w:rPr>
        <w:t xml:space="preserve"> </w:t>
      </w:r>
      <w:r w:rsidRPr="000977F7">
        <w:rPr>
          <w:rFonts w:asciiTheme="majorHAnsi" w:hAnsiTheme="majorHAnsi"/>
          <w:sz w:val="20"/>
          <w:szCs w:val="20"/>
        </w:rPr>
        <w:t>властивості</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склад</w:t>
      </w:r>
      <w:r w:rsidRPr="004D2D14">
        <w:rPr>
          <w:rFonts w:asciiTheme="majorHAnsi" w:hAnsiTheme="majorHAnsi"/>
          <w:sz w:val="20"/>
          <w:szCs w:val="20"/>
          <w:lang w:val="en-US"/>
        </w:rPr>
        <w:t xml:space="preserve"> </w:t>
      </w:r>
      <w:r w:rsidRPr="000977F7">
        <w:rPr>
          <w:rFonts w:asciiTheme="majorHAnsi" w:hAnsiTheme="majorHAnsi"/>
          <w:sz w:val="20"/>
          <w:szCs w:val="20"/>
        </w:rPr>
        <w:t>цієї</w:t>
      </w:r>
      <w:r w:rsidRPr="004D2D14">
        <w:rPr>
          <w:rFonts w:asciiTheme="majorHAnsi" w:hAnsiTheme="majorHAnsi"/>
          <w:sz w:val="20"/>
          <w:szCs w:val="20"/>
          <w:lang w:val="en-US"/>
        </w:rPr>
        <w:t xml:space="preserve"> </w:t>
      </w:r>
      <w:r w:rsidRPr="000977F7">
        <w:rPr>
          <w:rFonts w:asciiTheme="majorHAnsi" w:hAnsiTheme="majorHAnsi"/>
          <w:sz w:val="20"/>
          <w:szCs w:val="20"/>
        </w:rPr>
        <w:t>речовини</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матеріалу</w:t>
      </w:r>
    </w:p>
    <w:p w14:paraId="2E43019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5BA1E31D" w14:textId="77777777" w:rsidR="0097612F" w:rsidRPr="000977F7" w:rsidRDefault="0097612F" w:rsidP="00FD39A4">
      <w:pPr>
        <w:pStyle w:val="ac"/>
        <w:widowControl w:val="0"/>
        <w:numPr>
          <w:ilvl w:val="1"/>
          <w:numId w:val="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Розрізняють</w:t>
      </w:r>
      <w:r w:rsidRPr="000977F7">
        <w:rPr>
          <w:rFonts w:asciiTheme="majorHAnsi" w:hAnsiTheme="majorHAnsi"/>
          <w:spacing w:val="1"/>
          <w:sz w:val="20"/>
          <w:szCs w:val="20"/>
        </w:rPr>
        <w:t xml:space="preserve"> </w:t>
      </w:r>
      <w:r w:rsidRPr="000977F7">
        <w:rPr>
          <w:rFonts w:asciiTheme="majorHAnsi" w:hAnsiTheme="majorHAnsi"/>
          <w:sz w:val="20"/>
          <w:szCs w:val="20"/>
        </w:rPr>
        <w:t>стандартні</w:t>
      </w:r>
      <w:r w:rsidRPr="000977F7">
        <w:rPr>
          <w:rFonts w:asciiTheme="majorHAnsi" w:hAnsiTheme="majorHAnsi"/>
          <w:spacing w:val="1"/>
          <w:sz w:val="20"/>
          <w:szCs w:val="20"/>
        </w:rPr>
        <w:t xml:space="preserve"> </w:t>
      </w:r>
      <w:r w:rsidRPr="000977F7">
        <w:rPr>
          <w:rFonts w:asciiTheme="majorHAnsi" w:hAnsiTheme="majorHAnsi"/>
          <w:sz w:val="20"/>
          <w:szCs w:val="20"/>
        </w:rPr>
        <w:t>зразки</w:t>
      </w:r>
      <w:r w:rsidRPr="000977F7">
        <w:rPr>
          <w:rFonts w:asciiTheme="majorHAnsi" w:hAnsiTheme="majorHAnsi"/>
          <w:spacing w:val="1"/>
          <w:sz w:val="20"/>
          <w:szCs w:val="20"/>
        </w:rPr>
        <w:t xml:space="preserve"> </w:t>
      </w:r>
      <w:r w:rsidRPr="000977F7">
        <w:rPr>
          <w:rFonts w:asciiTheme="majorHAnsi" w:hAnsiTheme="majorHAnsi"/>
          <w:sz w:val="20"/>
          <w:szCs w:val="20"/>
        </w:rPr>
        <w:t>властивостей</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стандартні</w:t>
      </w:r>
      <w:r w:rsidRPr="000977F7">
        <w:rPr>
          <w:rFonts w:asciiTheme="majorHAnsi" w:hAnsiTheme="majorHAnsi"/>
          <w:spacing w:val="-2"/>
          <w:sz w:val="20"/>
          <w:szCs w:val="20"/>
        </w:rPr>
        <w:t xml:space="preserve"> </w:t>
      </w:r>
      <w:r w:rsidRPr="000977F7">
        <w:rPr>
          <w:rFonts w:asciiTheme="majorHAnsi" w:hAnsiTheme="majorHAnsi"/>
          <w:sz w:val="20"/>
          <w:szCs w:val="20"/>
        </w:rPr>
        <w:t>зразки</w:t>
      </w:r>
      <w:r w:rsidRPr="000977F7">
        <w:rPr>
          <w:rFonts w:asciiTheme="majorHAnsi" w:hAnsiTheme="majorHAnsi"/>
          <w:spacing w:val="-1"/>
          <w:sz w:val="20"/>
          <w:szCs w:val="20"/>
        </w:rPr>
        <w:t xml:space="preserve"> </w:t>
      </w:r>
      <w:r w:rsidRPr="000977F7">
        <w:rPr>
          <w:rFonts w:asciiTheme="majorHAnsi" w:hAnsiTheme="majorHAnsi"/>
          <w:sz w:val="20"/>
          <w:szCs w:val="20"/>
        </w:rPr>
        <w:t>складу</w:t>
      </w:r>
    </w:p>
    <w:p w14:paraId="6C92ABC5" w14:textId="77777777" w:rsidR="0097612F" w:rsidRPr="000977F7" w:rsidRDefault="0097612F" w:rsidP="00FD39A4">
      <w:pPr>
        <w:pStyle w:val="ac"/>
        <w:widowControl w:val="0"/>
        <w:numPr>
          <w:ilvl w:val="1"/>
          <w:numId w:val="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Стандартні зразки властивостей і стандартні зразки</w:t>
      </w:r>
      <w:r w:rsidRPr="000977F7">
        <w:rPr>
          <w:rFonts w:asciiTheme="majorHAnsi" w:hAnsiTheme="majorHAnsi"/>
          <w:spacing w:val="1"/>
          <w:sz w:val="20"/>
          <w:szCs w:val="20"/>
        </w:rPr>
        <w:t xml:space="preserve"> </w:t>
      </w:r>
      <w:r w:rsidRPr="000977F7">
        <w:rPr>
          <w:rFonts w:asciiTheme="majorHAnsi" w:hAnsiTheme="majorHAnsi"/>
          <w:sz w:val="20"/>
          <w:szCs w:val="20"/>
        </w:rPr>
        <w:t>складу</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метрологічним</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призначенням</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використовуватись</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робочі</w:t>
      </w:r>
      <w:r w:rsidRPr="000977F7">
        <w:rPr>
          <w:rFonts w:asciiTheme="majorHAnsi" w:hAnsiTheme="majorHAnsi"/>
          <w:spacing w:val="1"/>
          <w:sz w:val="20"/>
          <w:szCs w:val="20"/>
        </w:rPr>
        <w:t xml:space="preserve"> </w:t>
      </w:r>
      <w:r w:rsidRPr="000977F7">
        <w:rPr>
          <w:rFonts w:asciiTheme="majorHAnsi" w:hAnsiTheme="majorHAnsi"/>
          <w:sz w:val="20"/>
          <w:szCs w:val="20"/>
        </w:rPr>
        <w:t>еталони</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зразкові</w:t>
      </w:r>
      <w:r w:rsidRPr="000977F7">
        <w:rPr>
          <w:rFonts w:asciiTheme="majorHAnsi" w:hAnsiTheme="majorHAnsi"/>
          <w:spacing w:val="-2"/>
          <w:sz w:val="20"/>
          <w:szCs w:val="20"/>
        </w:rPr>
        <w:t xml:space="preserve"> </w:t>
      </w:r>
      <w:r w:rsidRPr="000977F7">
        <w:rPr>
          <w:rFonts w:asciiTheme="majorHAnsi" w:hAnsiTheme="majorHAnsi"/>
          <w:sz w:val="20"/>
          <w:szCs w:val="20"/>
        </w:rPr>
        <w:t>засоби</w:t>
      </w:r>
      <w:r w:rsidRPr="000977F7">
        <w:rPr>
          <w:rFonts w:asciiTheme="majorHAnsi" w:hAnsiTheme="majorHAnsi"/>
          <w:spacing w:val="-3"/>
          <w:sz w:val="20"/>
          <w:szCs w:val="20"/>
        </w:rPr>
        <w:t xml:space="preserve"> </w:t>
      </w:r>
      <w:r w:rsidRPr="000977F7">
        <w:rPr>
          <w:rFonts w:asciiTheme="majorHAnsi" w:hAnsiTheme="majorHAnsi"/>
          <w:sz w:val="20"/>
          <w:szCs w:val="20"/>
        </w:rPr>
        <w:t>вимірювальної</w:t>
      </w:r>
      <w:r w:rsidRPr="000977F7">
        <w:rPr>
          <w:rFonts w:asciiTheme="majorHAnsi" w:hAnsiTheme="majorHAnsi"/>
          <w:spacing w:val="-1"/>
          <w:sz w:val="20"/>
          <w:szCs w:val="20"/>
        </w:rPr>
        <w:t xml:space="preserve"> </w:t>
      </w:r>
      <w:r w:rsidRPr="000977F7">
        <w:rPr>
          <w:rFonts w:asciiTheme="majorHAnsi" w:hAnsiTheme="majorHAnsi"/>
          <w:sz w:val="20"/>
          <w:szCs w:val="20"/>
        </w:rPr>
        <w:t>техніки</w:t>
      </w:r>
    </w:p>
    <w:p w14:paraId="51D4956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374A5E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СТАНДАРТНИЙ</w:t>
      </w:r>
      <w:r w:rsidRPr="000977F7">
        <w:rPr>
          <w:color w:val="auto"/>
          <w:spacing w:val="-4"/>
          <w:sz w:val="20"/>
          <w:szCs w:val="20"/>
        </w:rPr>
        <w:t xml:space="preserve"> </w:t>
      </w:r>
      <w:r w:rsidRPr="000977F7">
        <w:rPr>
          <w:color w:val="auto"/>
          <w:sz w:val="20"/>
          <w:szCs w:val="20"/>
        </w:rPr>
        <w:t>ЗРАЗОК</w:t>
      </w:r>
      <w:r w:rsidRPr="000977F7">
        <w:rPr>
          <w:color w:val="auto"/>
          <w:spacing w:val="-4"/>
          <w:sz w:val="20"/>
          <w:szCs w:val="20"/>
        </w:rPr>
        <w:t xml:space="preserve"> </w:t>
      </w:r>
      <w:r w:rsidRPr="000977F7">
        <w:rPr>
          <w:color w:val="auto"/>
          <w:sz w:val="20"/>
          <w:szCs w:val="20"/>
        </w:rPr>
        <w:t>ПІДПРИЄМСТВА</w:t>
      </w:r>
      <w:r w:rsidRPr="000977F7">
        <w:rPr>
          <w:color w:val="auto"/>
          <w:spacing w:val="-2"/>
          <w:sz w:val="20"/>
          <w:szCs w:val="20"/>
        </w:rPr>
        <w:t xml:space="preserve"> </w:t>
      </w:r>
      <w:r w:rsidRPr="000977F7">
        <w:rPr>
          <w:color w:val="auto"/>
          <w:sz w:val="20"/>
          <w:szCs w:val="20"/>
        </w:rPr>
        <w:t>–</w:t>
      </w:r>
    </w:p>
    <w:p w14:paraId="0D0D50B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PROBE –</w:t>
      </w:r>
    </w:p>
    <w:p w14:paraId="52DDF5A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Одиниця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частина,</w:t>
      </w:r>
      <w:r w:rsidRPr="000977F7">
        <w:rPr>
          <w:rFonts w:asciiTheme="majorHAnsi" w:hAnsiTheme="majorHAnsi"/>
          <w:spacing w:val="50"/>
          <w:sz w:val="20"/>
          <w:szCs w:val="20"/>
        </w:rPr>
        <w:t xml:space="preserve"> </w:t>
      </w:r>
      <w:r w:rsidRPr="000977F7">
        <w:rPr>
          <w:rFonts w:asciiTheme="majorHAnsi" w:hAnsiTheme="majorHAnsi"/>
          <w:sz w:val="20"/>
          <w:szCs w:val="20"/>
        </w:rPr>
        <w:t>характеристики</w:t>
      </w:r>
      <w:r w:rsidRPr="000977F7">
        <w:rPr>
          <w:rFonts w:asciiTheme="majorHAnsi" w:hAnsiTheme="majorHAnsi"/>
          <w:spacing w:val="1"/>
          <w:sz w:val="20"/>
          <w:szCs w:val="20"/>
        </w:rPr>
        <w:t xml:space="preserve"> </w:t>
      </w:r>
      <w:r w:rsidRPr="000977F7">
        <w:rPr>
          <w:rFonts w:asciiTheme="majorHAnsi" w:hAnsiTheme="majorHAnsi"/>
          <w:sz w:val="20"/>
          <w:szCs w:val="20"/>
        </w:rPr>
        <w:t>якої беруться за основу під час проведення неруйнівного контролю і яка має штучні або природні дефекти</w:t>
      </w:r>
      <w:r w:rsidRPr="000977F7">
        <w:rPr>
          <w:rFonts w:asciiTheme="majorHAnsi" w:hAnsiTheme="majorHAnsi"/>
          <w:spacing w:val="-47"/>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використовується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одержання</w:t>
      </w:r>
      <w:r w:rsidRPr="000977F7">
        <w:rPr>
          <w:rFonts w:asciiTheme="majorHAnsi" w:hAnsiTheme="majorHAnsi"/>
          <w:spacing w:val="1"/>
          <w:sz w:val="20"/>
          <w:szCs w:val="20"/>
        </w:rPr>
        <w:t xml:space="preserve"> </w:t>
      </w:r>
      <w:r w:rsidRPr="000977F7">
        <w:rPr>
          <w:rFonts w:asciiTheme="majorHAnsi" w:hAnsiTheme="majorHAnsi"/>
          <w:sz w:val="20"/>
          <w:szCs w:val="20"/>
        </w:rPr>
        <w:t>параметрів</w:t>
      </w:r>
      <w:r w:rsidRPr="000977F7">
        <w:rPr>
          <w:rFonts w:asciiTheme="majorHAnsi" w:hAnsiTheme="majorHAnsi"/>
          <w:spacing w:val="1"/>
          <w:sz w:val="20"/>
          <w:szCs w:val="20"/>
        </w:rPr>
        <w:t xml:space="preserve"> </w:t>
      </w:r>
      <w:r w:rsidRPr="000977F7">
        <w:rPr>
          <w:rFonts w:asciiTheme="majorHAnsi" w:hAnsiTheme="majorHAnsi"/>
          <w:sz w:val="20"/>
          <w:szCs w:val="20"/>
        </w:rPr>
        <w:t>настроювання засобів контролю та перевірки працездатності</w:t>
      </w:r>
      <w:r w:rsidRPr="000977F7">
        <w:rPr>
          <w:rFonts w:asciiTheme="majorHAnsi" w:hAnsiTheme="majorHAnsi"/>
          <w:spacing w:val="-2"/>
          <w:sz w:val="20"/>
          <w:szCs w:val="20"/>
        </w:rPr>
        <w:t xml:space="preserve"> </w:t>
      </w:r>
      <w:r w:rsidRPr="000977F7">
        <w:rPr>
          <w:rFonts w:asciiTheme="majorHAnsi" w:hAnsiTheme="majorHAnsi"/>
          <w:sz w:val="20"/>
          <w:szCs w:val="20"/>
        </w:rPr>
        <w:t>системи 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p>
    <w:p w14:paraId="2826404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2865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E7D464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STANDART SPECIMEN –</w:t>
      </w:r>
    </w:p>
    <w:p w14:paraId="06FED5A3" w14:textId="77777777" w:rsidR="0097612F" w:rsidRPr="000977F7" w:rsidRDefault="0097612F" w:rsidP="000977F7">
      <w:pPr>
        <w:pStyle w:val="af6"/>
        <w:tabs>
          <w:tab w:val="left" w:pos="284"/>
        </w:tabs>
        <w:spacing w:after="0"/>
        <w:ind w:left="170"/>
        <w:mirrorIndents/>
        <w:jc w:val="both"/>
        <w:rPr>
          <w:rFonts w:asciiTheme="majorHAnsi" w:hAnsiTheme="majorHAnsi"/>
          <w:spacing w:val="-7"/>
          <w:sz w:val="20"/>
          <w:szCs w:val="20"/>
        </w:rPr>
      </w:pPr>
      <w:r w:rsidRPr="000977F7">
        <w:rPr>
          <w:rFonts w:asciiTheme="majorHAnsi" w:hAnsiTheme="majorHAnsi"/>
          <w:spacing w:val="-6"/>
          <w:sz w:val="20"/>
          <w:szCs w:val="20"/>
        </w:rPr>
        <w:t xml:space="preserve">Зразок для випробувань, </w:t>
      </w:r>
      <w:r w:rsidRPr="000977F7">
        <w:rPr>
          <w:rFonts w:asciiTheme="majorHAnsi" w:hAnsiTheme="majorHAnsi"/>
          <w:spacing w:val="-5"/>
          <w:sz w:val="20"/>
          <w:szCs w:val="20"/>
        </w:rPr>
        <w:t>виготовлений відповідно до нор</w:t>
      </w:r>
      <w:r w:rsidRPr="000977F7">
        <w:rPr>
          <w:rFonts w:asciiTheme="majorHAnsi" w:hAnsiTheme="majorHAnsi"/>
          <w:spacing w:val="-8"/>
          <w:sz w:val="20"/>
          <w:szCs w:val="20"/>
        </w:rPr>
        <w:t xml:space="preserve">мативно-технічної документації на </w:t>
      </w:r>
      <w:r w:rsidRPr="000977F7">
        <w:rPr>
          <w:rFonts w:asciiTheme="majorHAnsi" w:hAnsiTheme="majorHAnsi"/>
          <w:spacing w:val="-7"/>
          <w:sz w:val="20"/>
          <w:szCs w:val="20"/>
        </w:rPr>
        <w:t>даний вид випробувань</w:t>
      </w:r>
    </w:p>
    <w:p w14:paraId="795683A3"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704F19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СТАНДАРТИЗОВАНИЙ</w:t>
      </w:r>
      <w:r w:rsidRPr="000977F7">
        <w:rPr>
          <w:color w:val="auto"/>
          <w:spacing w:val="-5"/>
          <w:sz w:val="20"/>
          <w:szCs w:val="20"/>
        </w:rPr>
        <w:t xml:space="preserve"> </w:t>
      </w:r>
      <w:r w:rsidRPr="000977F7">
        <w:rPr>
          <w:color w:val="auto"/>
          <w:sz w:val="20"/>
          <w:szCs w:val="20"/>
        </w:rPr>
        <w:t>МАРКЕТИНГ</w:t>
      </w:r>
      <w:r w:rsidRPr="000977F7">
        <w:rPr>
          <w:color w:val="auto"/>
          <w:spacing w:val="-1"/>
          <w:sz w:val="20"/>
          <w:szCs w:val="20"/>
        </w:rPr>
        <w:t xml:space="preserve"> </w:t>
      </w:r>
      <w:r w:rsidRPr="000977F7">
        <w:rPr>
          <w:color w:val="auto"/>
          <w:sz w:val="20"/>
          <w:szCs w:val="20"/>
        </w:rPr>
        <w:t>–</w:t>
      </w:r>
    </w:p>
    <w:p w14:paraId="63B5CF00" w14:textId="77777777" w:rsidR="0097612F" w:rsidRPr="000977F7" w:rsidRDefault="0097612F" w:rsidP="000977F7">
      <w:pPr>
        <w:pStyle w:val="af6"/>
        <w:tabs>
          <w:tab w:val="left" w:pos="284"/>
        </w:tabs>
        <w:spacing w:after="0"/>
        <w:ind w:left="170"/>
        <w:mirrorIndents/>
        <w:jc w:val="both"/>
        <w:rPr>
          <w:rFonts w:asciiTheme="majorHAnsi" w:hAnsiTheme="majorHAnsi"/>
          <w:spacing w:val="-5"/>
          <w:sz w:val="20"/>
          <w:szCs w:val="20"/>
        </w:rPr>
      </w:pPr>
      <w:r w:rsidRPr="000977F7">
        <w:rPr>
          <w:rFonts w:asciiTheme="majorHAnsi" w:hAnsiTheme="majorHAnsi"/>
          <w:spacing w:val="-3"/>
          <w:sz w:val="20"/>
          <w:szCs w:val="20"/>
        </w:rPr>
        <w:t>Стратегія</w:t>
      </w:r>
      <w:r w:rsidRPr="000977F7">
        <w:rPr>
          <w:rFonts w:asciiTheme="majorHAnsi" w:hAnsiTheme="majorHAnsi"/>
          <w:spacing w:val="-10"/>
          <w:sz w:val="20"/>
          <w:szCs w:val="20"/>
        </w:rPr>
        <w:t xml:space="preserve"> </w:t>
      </w:r>
      <w:r w:rsidRPr="000977F7">
        <w:rPr>
          <w:rFonts w:asciiTheme="majorHAnsi" w:hAnsiTheme="majorHAnsi"/>
          <w:spacing w:val="-3"/>
          <w:sz w:val="20"/>
          <w:szCs w:val="20"/>
        </w:rPr>
        <w:t>маркетингу,</w:t>
      </w:r>
      <w:r w:rsidRPr="000977F7">
        <w:rPr>
          <w:rFonts w:asciiTheme="majorHAnsi" w:hAnsiTheme="majorHAnsi"/>
          <w:spacing w:val="-7"/>
          <w:sz w:val="20"/>
          <w:szCs w:val="20"/>
        </w:rPr>
        <w:t xml:space="preserve"> </w:t>
      </w:r>
      <w:r w:rsidRPr="000977F7">
        <w:rPr>
          <w:rFonts w:asciiTheme="majorHAnsi" w:hAnsiTheme="majorHAnsi"/>
          <w:spacing w:val="-3"/>
          <w:sz w:val="20"/>
          <w:szCs w:val="20"/>
        </w:rPr>
        <w:t>яка</w:t>
      </w:r>
      <w:r w:rsidRPr="000977F7">
        <w:rPr>
          <w:rFonts w:asciiTheme="majorHAnsi" w:hAnsiTheme="majorHAnsi"/>
          <w:spacing w:val="-7"/>
          <w:sz w:val="20"/>
          <w:szCs w:val="20"/>
        </w:rPr>
        <w:t xml:space="preserve"> </w:t>
      </w:r>
      <w:r w:rsidRPr="000977F7">
        <w:rPr>
          <w:rFonts w:asciiTheme="majorHAnsi" w:hAnsiTheme="majorHAnsi"/>
          <w:spacing w:val="-3"/>
          <w:sz w:val="20"/>
          <w:szCs w:val="20"/>
        </w:rPr>
        <w:t>передбачає,</w:t>
      </w:r>
      <w:r w:rsidRPr="000977F7">
        <w:rPr>
          <w:rFonts w:asciiTheme="majorHAnsi" w:hAnsiTheme="majorHAnsi"/>
          <w:spacing w:val="-7"/>
          <w:sz w:val="20"/>
          <w:szCs w:val="20"/>
        </w:rPr>
        <w:t xml:space="preserve"> </w:t>
      </w:r>
      <w:r w:rsidRPr="000977F7">
        <w:rPr>
          <w:rFonts w:asciiTheme="majorHAnsi" w:hAnsiTheme="majorHAnsi"/>
          <w:spacing w:val="-3"/>
          <w:sz w:val="20"/>
          <w:szCs w:val="20"/>
        </w:rPr>
        <w:t>що</w:t>
      </w:r>
      <w:r w:rsidRPr="000977F7">
        <w:rPr>
          <w:rFonts w:asciiTheme="majorHAnsi" w:hAnsiTheme="majorHAnsi"/>
          <w:spacing w:val="-8"/>
          <w:sz w:val="20"/>
          <w:szCs w:val="20"/>
        </w:rPr>
        <w:t xml:space="preserve"> </w:t>
      </w:r>
      <w:r w:rsidRPr="000977F7">
        <w:rPr>
          <w:rFonts w:asciiTheme="majorHAnsi" w:hAnsiTheme="majorHAnsi"/>
          <w:spacing w:val="-2"/>
          <w:sz w:val="20"/>
          <w:szCs w:val="20"/>
        </w:rPr>
        <w:t>кожний</w:t>
      </w:r>
      <w:r w:rsidRPr="000977F7">
        <w:rPr>
          <w:rFonts w:asciiTheme="majorHAnsi" w:hAnsiTheme="majorHAnsi"/>
          <w:spacing w:val="-10"/>
          <w:sz w:val="20"/>
          <w:szCs w:val="20"/>
        </w:rPr>
        <w:t xml:space="preserve"> </w:t>
      </w:r>
      <w:r w:rsidRPr="000977F7">
        <w:rPr>
          <w:rFonts w:asciiTheme="majorHAnsi" w:hAnsiTheme="majorHAnsi"/>
          <w:spacing w:val="-2"/>
          <w:sz w:val="20"/>
          <w:szCs w:val="20"/>
        </w:rPr>
        <w:t>ринок</w:t>
      </w:r>
      <w:r w:rsidRPr="000977F7">
        <w:rPr>
          <w:rFonts w:asciiTheme="majorHAnsi" w:hAnsiTheme="majorHAnsi"/>
          <w:spacing w:val="-47"/>
          <w:sz w:val="20"/>
          <w:szCs w:val="20"/>
        </w:rPr>
        <w:t xml:space="preserve"> </w:t>
      </w:r>
      <w:r w:rsidRPr="000977F7">
        <w:rPr>
          <w:rFonts w:asciiTheme="majorHAnsi" w:hAnsiTheme="majorHAnsi"/>
          <w:spacing w:val="-6"/>
          <w:sz w:val="20"/>
          <w:szCs w:val="20"/>
        </w:rPr>
        <w:t xml:space="preserve">потребує окремого плану для врахування </w:t>
      </w:r>
      <w:r w:rsidRPr="000977F7">
        <w:rPr>
          <w:rFonts w:asciiTheme="majorHAnsi" w:hAnsiTheme="majorHAnsi"/>
          <w:spacing w:val="-5"/>
          <w:sz w:val="20"/>
          <w:szCs w:val="20"/>
        </w:rPr>
        <w:t>місцевих вимог</w:t>
      </w:r>
    </w:p>
    <w:p w14:paraId="50D33154"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11846CB" w14:textId="77777777" w:rsidR="0097612F" w:rsidRPr="000977F7" w:rsidRDefault="0097612F" w:rsidP="000977F7">
      <w:pPr>
        <w:pStyle w:val="7"/>
        <w:tabs>
          <w:tab w:val="left" w:pos="284"/>
          <w:tab w:val="left" w:pos="2552"/>
          <w:tab w:val="left" w:pos="3709"/>
        </w:tabs>
        <w:spacing w:before="0" w:line="240" w:lineRule="auto"/>
        <w:ind w:left="170"/>
        <w:mirrorIndents/>
        <w:jc w:val="both"/>
        <w:rPr>
          <w:color w:val="auto"/>
          <w:sz w:val="20"/>
          <w:szCs w:val="20"/>
        </w:rPr>
      </w:pPr>
      <w:r w:rsidRPr="000977F7">
        <w:rPr>
          <w:color w:val="auto"/>
          <w:sz w:val="20"/>
          <w:szCs w:val="20"/>
        </w:rPr>
        <w:t xml:space="preserve">СТАНДАРТНИЙ КОМПЛЕКТ </w:t>
      </w:r>
      <w:r w:rsidRPr="000977F7">
        <w:rPr>
          <w:color w:val="auto"/>
          <w:spacing w:val="-1"/>
          <w:sz w:val="20"/>
          <w:szCs w:val="20"/>
        </w:rPr>
        <w:t>ДОКУМЕНТІВ</w:t>
      </w:r>
      <w:r w:rsidRPr="000977F7">
        <w:rPr>
          <w:color w:val="auto"/>
          <w:spacing w:val="-47"/>
          <w:sz w:val="20"/>
          <w:szCs w:val="20"/>
        </w:rPr>
        <w:t xml:space="preserve"> </w:t>
      </w:r>
      <w:r w:rsidRPr="000977F7">
        <w:rPr>
          <w:color w:val="auto"/>
          <w:sz w:val="20"/>
          <w:szCs w:val="20"/>
        </w:rPr>
        <w:t>ТЕХНОЛОГІЧНОГО</w:t>
      </w:r>
      <w:r w:rsidRPr="000977F7">
        <w:rPr>
          <w:color w:val="auto"/>
          <w:spacing w:val="-3"/>
          <w:sz w:val="20"/>
          <w:szCs w:val="20"/>
        </w:rPr>
        <w:t xml:space="preserve"> </w:t>
      </w:r>
      <w:r w:rsidRPr="000977F7">
        <w:rPr>
          <w:color w:val="auto"/>
          <w:sz w:val="20"/>
          <w:szCs w:val="20"/>
        </w:rPr>
        <w:t>ПРОЦЕСУ</w:t>
      </w:r>
      <w:r w:rsidRPr="000977F7">
        <w:rPr>
          <w:color w:val="auto"/>
          <w:spacing w:val="-3"/>
          <w:sz w:val="20"/>
          <w:szCs w:val="20"/>
        </w:rPr>
        <w:t xml:space="preserve"> </w:t>
      </w:r>
      <w:r w:rsidRPr="000977F7">
        <w:rPr>
          <w:color w:val="auto"/>
          <w:sz w:val="20"/>
          <w:szCs w:val="20"/>
        </w:rPr>
        <w:t>(ОПЕРАЦІЇ)</w:t>
      </w:r>
      <w:r w:rsidRPr="000977F7">
        <w:rPr>
          <w:color w:val="auto"/>
          <w:spacing w:val="2"/>
          <w:sz w:val="20"/>
          <w:szCs w:val="20"/>
        </w:rPr>
        <w:t xml:space="preserve"> </w:t>
      </w:r>
      <w:r w:rsidRPr="000977F7">
        <w:rPr>
          <w:color w:val="auto"/>
          <w:sz w:val="20"/>
          <w:szCs w:val="20"/>
        </w:rPr>
        <w:t>–</w:t>
      </w:r>
    </w:p>
    <w:p w14:paraId="2B60CD70"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Комплект</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технологічних</w:t>
      </w:r>
      <w:r w:rsidRPr="000977F7">
        <w:rPr>
          <w:rFonts w:asciiTheme="majorHAnsi" w:hAnsiTheme="majorHAnsi"/>
          <w:spacing w:val="1"/>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відповідає</w:t>
      </w:r>
      <w:r w:rsidRPr="000977F7">
        <w:rPr>
          <w:rFonts w:asciiTheme="majorHAnsi" w:hAnsiTheme="majorHAnsi"/>
          <w:spacing w:val="1"/>
          <w:sz w:val="20"/>
          <w:szCs w:val="20"/>
        </w:rPr>
        <w:t xml:space="preserve"> </w:t>
      </w:r>
      <w:r w:rsidRPr="000977F7">
        <w:rPr>
          <w:rFonts w:asciiTheme="majorHAnsi" w:hAnsiTheme="majorHAnsi"/>
          <w:sz w:val="20"/>
          <w:szCs w:val="20"/>
        </w:rPr>
        <w:t>вимогам стандартів державної системи стандартизації</w:t>
      </w:r>
    </w:p>
    <w:p w14:paraId="3BB6068C"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2391</w:t>
      </w:r>
      <w:r w:rsidRPr="000977F7">
        <w:rPr>
          <w:rFonts w:asciiTheme="majorHAnsi" w:hAnsiTheme="majorHAnsi"/>
          <w:i/>
          <w:spacing w:val="2"/>
          <w:sz w:val="20"/>
          <w:szCs w:val="20"/>
        </w:rPr>
        <w:t xml:space="preserve"> </w:t>
      </w:r>
      <w:r w:rsidRPr="000977F7">
        <w:rPr>
          <w:rFonts w:asciiTheme="majorHAnsi" w:hAnsiTheme="majorHAnsi"/>
          <w:i/>
          <w:sz w:val="20"/>
          <w:szCs w:val="20"/>
        </w:rPr>
        <w:t>– 2010</w:t>
      </w:r>
    </w:p>
    <w:p w14:paraId="5125FFE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СТАРІННЯ </w:t>
      </w:r>
      <w:r w:rsidRPr="000977F7">
        <w:rPr>
          <w:rFonts w:asciiTheme="majorHAnsi" w:hAnsiTheme="majorHAnsi"/>
          <w:sz w:val="20"/>
          <w:szCs w:val="20"/>
        </w:rPr>
        <w:t>–</w:t>
      </w:r>
    </w:p>
    <w:p w14:paraId="39D8037C"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pacing w:val="-1"/>
          <w:sz w:val="20"/>
          <w:szCs w:val="20"/>
        </w:rPr>
        <w:t>DEGRADATION</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2F0A8477" w14:textId="77777777" w:rsidR="0097612F" w:rsidRPr="000977F7" w:rsidRDefault="0097612F" w:rsidP="000977F7">
      <w:pPr>
        <w:pStyle w:val="af6"/>
        <w:tabs>
          <w:tab w:val="left" w:pos="284"/>
          <w:tab w:val="left" w:pos="1574"/>
          <w:tab w:val="left" w:pos="2751"/>
          <w:tab w:val="left" w:pos="3982"/>
        </w:tabs>
        <w:spacing w:after="0"/>
        <w:ind w:left="170"/>
        <w:mirrorIndents/>
        <w:jc w:val="both"/>
        <w:rPr>
          <w:rFonts w:asciiTheme="majorHAnsi" w:hAnsiTheme="majorHAnsi"/>
          <w:i/>
          <w:sz w:val="20"/>
          <w:szCs w:val="20"/>
        </w:rPr>
      </w:pPr>
      <w:r w:rsidRPr="000977F7">
        <w:rPr>
          <w:rFonts w:asciiTheme="majorHAnsi" w:hAnsiTheme="majorHAnsi"/>
          <w:sz w:val="20"/>
          <w:szCs w:val="20"/>
        </w:rPr>
        <w:t xml:space="preserve">Поступове незворотне змінювання </w:t>
      </w:r>
      <w:r w:rsidRPr="000977F7">
        <w:rPr>
          <w:rFonts w:asciiTheme="majorHAnsi" w:hAnsiTheme="majorHAnsi"/>
          <w:spacing w:val="-1"/>
          <w:sz w:val="20"/>
          <w:szCs w:val="20"/>
        </w:rPr>
        <w:t>властивостей</w:t>
      </w:r>
      <w:r w:rsidRPr="000977F7">
        <w:rPr>
          <w:rFonts w:asciiTheme="majorHAnsi" w:hAnsiTheme="majorHAnsi"/>
          <w:spacing w:val="-47"/>
          <w:sz w:val="20"/>
          <w:szCs w:val="20"/>
        </w:rPr>
        <w:t xml:space="preserve"> </w:t>
      </w:r>
      <w:r w:rsidRPr="000977F7">
        <w:rPr>
          <w:rFonts w:asciiTheme="majorHAnsi" w:hAnsiTheme="majorHAnsi"/>
          <w:sz w:val="20"/>
          <w:szCs w:val="20"/>
        </w:rPr>
        <w:t>об’єкта,</w:t>
      </w:r>
      <w:r w:rsidRPr="000977F7">
        <w:rPr>
          <w:rFonts w:asciiTheme="majorHAnsi" w:hAnsiTheme="majorHAnsi"/>
          <w:spacing w:val="15"/>
          <w:sz w:val="20"/>
          <w:szCs w:val="20"/>
        </w:rPr>
        <w:t xml:space="preserve"> </w:t>
      </w:r>
      <w:r w:rsidRPr="000977F7">
        <w:rPr>
          <w:rFonts w:asciiTheme="majorHAnsi" w:hAnsiTheme="majorHAnsi"/>
          <w:sz w:val="20"/>
          <w:szCs w:val="20"/>
        </w:rPr>
        <w:t>спричинене</w:t>
      </w:r>
      <w:r w:rsidRPr="000977F7">
        <w:rPr>
          <w:rFonts w:asciiTheme="majorHAnsi" w:hAnsiTheme="majorHAnsi"/>
          <w:spacing w:val="17"/>
          <w:sz w:val="20"/>
          <w:szCs w:val="20"/>
        </w:rPr>
        <w:t xml:space="preserve"> </w:t>
      </w:r>
      <w:r w:rsidRPr="000977F7">
        <w:rPr>
          <w:rFonts w:asciiTheme="majorHAnsi" w:hAnsiTheme="majorHAnsi"/>
          <w:sz w:val="20"/>
          <w:szCs w:val="20"/>
        </w:rPr>
        <w:t>хімічними</w:t>
      </w:r>
      <w:r w:rsidRPr="000977F7">
        <w:rPr>
          <w:rFonts w:asciiTheme="majorHAnsi" w:hAnsiTheme="majorHAnsi"/>
          <w:spacing w:val="13"/>
          <w:sz w:val="20"/>
          <w:szCs w:val="20"/>
        </w:rPr>
        <w:t xml:space="preserve"> </w:t>
      </w:r>
      <w:r w:rsidRPr="000977F7">
        <w:rPr>
          <w:rFonts w:asciiTheme="majorHAnsi" w:hAnsiTheme="majorHAnsi"/>
          <w:sz w:val="20"/>
          <w:szCs w:val="20"/>
        </w:rPr>
        <w:t>та</w:t>
      </w:r>
      <w:r w:rsidRPr="000977F7">
        <w:rPr>
          <w:rFonts w:asciiTheme="majorHAnsi" w:hAnsiTheme="majorHAnsi"/>
          <w:spacing w:val="15"/>
          <w:sz w:val="20"/>
          <w:szCs w:val="20"/>
        </w:rPr>
        <w:t xml:space="preserve"> </w:t>
      </w:r>
      <w:r w:rsidRPr="000977F7">
        <w:rPr>
          <w:rFonts w:asciiTheme="majorHAnsi" w:hAnsiTheme="majorHAnsi"/>
          <w:sz w:val="20"/>
          <w:szCs w:val="20"/>
        </w:rPr>
        <w:t>(або)</w:t>
      </w:r>
      <w:r w:rsidRPr="000977F7">
        <w:rPr>
          <w:rFonts w:asciiTheme="majorHAnsi" w:hAnsiTheme="majorHAnsi"/>
          <w:spacing w:val="15"/>
          <w:sz w:val="20"/>
          <w:szCs w:val="20"/>
        </w:rPr>
        <w:t xml:space="preserve"> </w:t>
      </w:r>
      <w:r w:rsidRPr="000977F7">
        <w:rPr>
          <w:rFonts w:asciiTheme="majorHAnsi" w:hAnsiTheme="majorHAnsi"/>
          <w:sz w:val="20"/>
          <w:szCs w:val="20"/>
        </w:rPr>
        <w:t>фізичними</w:t>
      </w:r>
      <w:r w:rsidRPr="000977F7">
        <w:rPr>
          <w:rFonts w:asciiTheme="majorHAnsi" w:hAnsiTheme="majorHAnsi"/>
          <w:spacing w:val="-47"/>
          <w:sz w:val="20"/>
          <w:szCs w:val="20"/>
        </w:rPr>
        <w:t xml:space="preserve"> </w:t>
      </w:r>
      <w:r w:rsidRPr="000977F7">
        <w:rPr>
          <w:rFonts w:asciiTheme="majorHAnsi" w:hAnsiTheme="majorHAnsi"/>
          <w:sz w:val="20"/>
          <w:szCs w:val="20"/>
        </w:rPr>
        <w:t>процесами, що самочинно протікають в матеріалах</w:t>
      </w:r>
      <w:r w:rsidRPr="000977F7">
        <w:rPr>
          <w:rFonts w:asciiTheme="majorHAnsi" w:hAnsiTheme="majorHAns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188899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AGEING</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E13672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6"/>
          <w:sz w:val="20"/>
          <w:szCs w:val="20"/>
        </w:rPr>
        <w:t>Зміна</w:t>
      </w:r>
      <w:r w:rsidRPr="000977F7">
        <w:rPr>
          <w:rFonts w:asciiTheme="majorHAnsi" w:hAnsiTheme="majorHAnsi"/>
          <w:spacing w:val="-12"/>
          <w:sz w:val="20"/>
          <w:szCs w:val="20"/>
        </w:rPr>
        <w:t xml:space="preserve"> </w:t>
      </w:r>
      <w:r w:rsidRPr="000977F7">
        <w:rPr>
          <w:rFonts w:asciiTheme="majorHAnsi" w:hAnsiTheme="majorHAnsi"/>
          <w:spacing w:val="-6"/>
          <w:sz w:val="20"/>
          <w:szCs w:val="20"/>
        </w:rPr>
        <w:t>фізико-механічних</w:t>
      </w:r>
      <w:r w:rsidRPr="000977F7">
        <w:rPr>
          <w:rFonts w:asciiTheme="majorHAnsi" w:hAnsiTheme="majorHAnsi"/>
          <w:spacing w:val="-13"/>
          <w:sz w:val="20"/>
          <w:szCs w:val="20"/>
        </w:rPr>
        <w:t xml:space="preserve"> </w:t>
      </w:r>
      <w:r w:rsidRPr="000977F7">
        <w:rPr>
          <w:rFonts w:asciiTheme="majorHAnsi" w:hAnsiTheme="majorHAnsi"/>
          <w:spacing w:val="-6"/>
          <w:sz w:val="20"/>
          <w:szCs w:val="20"/>
        </w:rPr>
        <w:t>властивостей</w:t>
      </w:r>
      <w:r w:rsidRPr="000977F7">
        <w:rPr>
          <w:rFonts w:asciiTheme="majorHAnsi" w:hAnsiTheme="majorHAnsi"/>
          <w:spacing w:val="-12"/>
          <w:sz w:val="20"/>
          <w:szCs w:val="20"/>
        </w:rPr>
        <w:t xml:space="preserve"> </w:t>
      </w:r>
      <w:r w:rsidRPr="000977F7">
        <w:rPr>
          <w:rFonts w:asciiTheme="majorHAnsi" w:hAnsiTheme="majorHAnsi"/>
          <w:spacing w:val="-5"/>
          <w:sz w:val="20"/>
          <w:szCs w:val="20"/>
        </w:rPr>
        <w:t>матеріалу</w:t>
      </w:r>
      <w:r w:rsidRPr="000977F7">
        <w:rPr>
          <w:rFonts w:asciiTheme="majorHAnsi" w:hAnsiTheme="majorHAnsi"/>
          <w:spacing w:val="-13"/>
          <w:sz w:val="20"/>
          <w:szCs w:val="20"/>
        </w:rPr>
        <w:t xml:space="preserve"> </w:t>
      </w:r>
      <w:r w:rsidRPr="000977F7">
        <w:rPr>
          <w:rFonts w:asciiTheme="majorHAnsi" w:hAnsiTheme="majorHAnsi"/>
          <w:spacing w:val="-5"/>
          <w:sz w:val="20"/>
          <w:szCs w:val="20"/>
        </w:rPr>
        <w:t>з</w:t>
      </w:r>
      <w:r w:rsidRPr="000977F7">
        <w:rPr>
          <w:rFonts w:asciiTheme="majorHAnsi" w:hAnsiTheme="majorHAnsi"/>
          <w:spacing w:val="-12"/>
          <w:sz w:val="20"/>
          <w:szCs w:val="20"/>
        </w:rPr>
        <w:t xml:space="preserve"> </w:t>
      </w:r>
      <w:r w:rsidRPr="000977F7">
        <w:rPr>
          <w:rFonts w:asciiTheme="majorHAnsi" w:hAnsiTheme="majorHAnsi"/>
          <w:spacing w:val="-5"/>
          <w:sz w:val="20"/>
          <w:szCs w:val="20"/>
        </w:rPr>
        <w:t>часом</w:t>
      </w:r>
    </w:p>
    <w:p w14:paraId="396A3D2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2825 - 94</w:t>
      </w:r>
    </w:p>
    <w:p w14:paraId="3BB9F60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СТАТИСТИЧНЕ РЕГУЛЮВАННЯ </w:t>
      </w:r>
    </w:p>
    <w:p w14:paraId="681FA4E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ТЕХНОЛО</w:t>
      </w:r>
      <w:r w:rsidRPr="000977F7">
        <w:rPr>
          <w:color w:val="auto"/>
          <w:spacing w:val="-47"/>
          <w:sz w:val="20"/>
          <w:szCs w:val="20"/>
        </w:rPr>
        <w:t xml:space="preserve"> </w:t>
      </w:r>
      <w:r w:rsidRPr="000977F7">
        <w:rPr>
          <w:color w:val="auto"/>
          <w:sz w:val="20"/>
          <w:szCs w:val="20"/>
        </w:rPr>
        <w:t>ГІЧНОГО ПРОЦЕСУ</w:t>
      </w:r>
      <w:r w:rsidRPr="000977F7">
        <w:rPr>
          <w:color w:val="auto"/>
          <w:spacing w:val="2"/>
          <w:sz w:val="20"/>
          <w:szCs w:val="20"/>
        </w:rPr>
        <w:t xml:space="preserve"> </w:t>
      </w:r>
      <w:r w:rsidRPr="000977F7">
        <w:rPr>
          <w:color w:val="auto"/>
          <w:sz w:val="20"/>
          <w:szCs w:val="20"/>
        </w:rPr>
        <w:t>–</w:t>
      </w:r>
    </w:p>
    <w:p w14:paraId="2107487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STATISTICAL</w:t>
      </w:r>
      <w:r w:rsidRPr="000977F7">
        <w:rPr>
          <w:rFonts w:asciiTheme="majorHAnsi" w:hAnsiTheme="majorHAnsi"/>
          <w:spacing w:val="-4"/>
          <w:sz w:val="20"/>
          <w:szCs w:val="20"/>
        </w:rPr>
        <w:t xml:space="preserve"> </w:t>
      </w:r>
      <w:r w:rsidRPr="000977F7">
        <w:rPr>
          <w:rFonts w:asciiTheme="majorHAnsi" w:hAnsiTheme="majorHAnsi"/>
          <w:sz w:val="20"/>
          <w:szCs w:val="20"/>
        </w:rPr>
        <w:t>PROCESS</w:t>
      </w:r>
      <w:r w:rsidRPr="000977F7">
        <w:rPr>
          <w:rFonts w:asciiTheme="majorHAnsi" w:hAnsiTheme="majorHAnsi"/>
          <w:spacing w:val="49"/>
          <w:sz w:val="20"/>
          <w:szCs w:val="20"/>
        </w:rPr>
        <w:t xml:space="preserve"> </w:t>
      </w:r>
      <w:r w:rsidRPr="000977F7">
        <w:rPr>
          <w:rFonts w:asciiTheme="majorHAnsi" w:hAnsiTheme="majorHAnsi"/>
          <w:sz w:val="20"/>
          <w:szCs w:val="20"/>
        </w:rPr>
        <w:t>–</w:t>
      </w:r>
    </w:p>
    <w:p w14:paraId="2F74607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Коригування</w:t>
      </w:r>
      <w:r w:rsidRPr="000977F7">
        <w:rPr>
          <w:rFonts w:asciiTheme="majorHAnsi" w:hAnsiTheme="majorHAnsi"/>
          <w:spacing w:val="1"/>
          <w:sz w:val="20"/>
          <w:szCs w:val="20"/>
        </w:rPr>
        <w:t xml:space="preserve"> </w:t>
      </w:r>
      <w:r w:rsidRPr="000977F7">
        <w:rPr>
          <w:rFonts w:asciiTheme="majorHAnsi" w:hAnsiTheme="majorHAnsi"/>
          <w:sz w:val="20"/>
          <w:szCs w:val="20"/>
        </w:rPr>
        <w:t>значень</w:t>
      </w:r>
      <w:r w:rsidRPr="000977F7">
        <w:rPr>
          <w:rFonts w:asciiTheme="majorHAnsi" w:hAnsiTheme="majorHAnsi"/>
          <w:spacing w:val="1"/>
          <w:sz w:val="20"/>
          <w:szCs w:val="20"/>
        </w:rPr>
        <w:t xml:space="preserve"> </w:t>
      </w:r>
      <w:r w:rsidRPr="000977F7">
        <w:rPr>
          <w:rFonts w:asciiTheme="majorHAnsi" w:hAnsiTheme="majorHAnsi"/>
          <w:sz w:val="20"/>
          <w:szCs w:val="20"/>
        </w:rPr>
        <w:t>параметрів</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 за результатами вибіркового контролю контрольованих параметрів, здійснюване для технологічного забезпечення належного рівня якості продукції</w:t>
      </w:r>
    </w:p>
    <w:p w14:paraId="1EA672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4"/>
          <w:sz w:val="20"/>
          <w:szCs w:val="20"/>
        </w:rPr>
        <w:t xml:space="preserve"> </w:t>
      </w:r>
      <w:r w:rsidRPr="000977F7">
        <w:rPr>
          <w:rFonts w:asciiTheme="majorHAnsi" w:hAnsiTheme="majorHAnsi"/>
          <w:sz w:val="20"/>
          <w:szCs w:val="20"/>
        </w:rPr>
        <w:t>р</w:t>
      </w:r>
      <w:r w:rsidRPr="000977F7">
        <w:rPr>
          <w:rFonts w:asciiTheme="majorHAnsi" w:hAnsiTheme="majorHAnsi"/>
          <w:spacing w:val="5"/>
          <w:sz w:val="20"/>
          <w:szCs w:val="20"/>
        </w:rPr>
        <w:t xml:space="preserve"> </w:t>
      </w:r>
      <w:r w:rsidRPr="000977F7">
        <w:rPr>
          <w:rFonts w:asciiTheme="majorHAnsi" w:hAnsiTheme="majorHAnsi"/>
          <w:sz w:val="20"/>
          <w:szCs w:val="20"/>
        </w:rPr>
        <w:t>и</w:t>
      </w:r>
      <w:r w:rsidRPr="000977F7">
        <w:rPr>
          <w:rFonts w:asciiTheme="majorHAnsi" w:hAnsiTheme="majorHAnsi"/>
          <w:spacing w:val="3"/>
          <w:sz w:val="20"/>
          <w:szCs w:val="20"/>
        </w:rPr>
        <w:t xml:space="preserve"> </w:t>
      </w:r>
      <w:r w:rsidRPr="000977F7">
        <w:rPr>
          <w:rFonts w:asciiTheme="majorHAnsi" w:hAnsiTheme="majorHAnsi"/>
          <w:sz w:val="20"/>
          <w:szCs w:val="20"/>
        </w:rPr>
        <w:t>м</w:t>
      </w:r>
      <w:r w:rsidRPr="000977F7">
        <w:rPr>
          <w:rFonts w:asciiTheme="majorHAnsi" w:hAnsiTheme="majorHAnsi"/>
          <w:spacing w:val="3"/>
          <w:sz w:val="20"/>
          <w:szCs w:val="20"/>
        </w:rPr>
        <w:t xml:space="preserve"> </w:t>
      </w:r>
      <w:r w:rsidRPr="000977F7">
        <w:rPr>
          <w:rFonts w:asciiTheme="majorHAnsi" w:hAnsiTheme="majorHAnsi"/>
          <w:sz w:val="20"/>
          <w:szCs w:val="20"/>
        </w:rPr>
        <w:t>і</w:t>
      </w:r>
      <w:r w:rsidRPr="000977F7">
        <w:rPr>
          <w:rFonts w:asciiTheme="majorHAnsi" w:hAnsiTheme="majorHAnsi"/>
          <w:spacing w:val="4"/>
          <w:sz w:val="20"/>
          <w:szCs w:val="20"/>
        </w:rPr>
        <w:t xml:space="preserve"> </w:t>
      </w:r>
      <w:r w:rsidRPr="000977F7">
        <w:rPr>
          <w:rFonts w:asciiTheme="majorHAnsi" w:hAnsiTheme="majorHAnsi"/>
          <w:sz w:val="20"/>
          <w:szCs w:val="20"/>
        </w:rPr>
        <w:t>т</w:t>
      </w:r>
      <w:r w:rsidRPr="000977F7">
        <w:rPr>
          <w:rFonts w:asciiTheme="majorHAnsi" w:hAnsiTheme="majorHAnsi"/>
          <w:spacing w:val="4"/>
          <w:sz w:val="20"/>
          <w:szCs w:val="20"/>
        </w:rPr>
        <w:t xml:space="preserve"> </w:t>
      </w:r>
      <w:r w:rsidRPr="000977F7">
        <w:rPr>
          <w:rFonts w:asciiTheme="majorHAnsi" w:hAnsiTheme="majorHAnsi"/>
          <w:sz w:val="20"/>
          <w:szCs w:val="20"/>
        </w:rPr>
        <w:t>к</w:t>
      </w:r>
      <w:r w:rsidRPr="000977F7">
        <w:rPr>
          <w:rFonts w:asciiTheme="majorHAnsi" w:hAnsiTheme="majorHAnsi"/>
          <w:spacing w:val="4"/>
          <w:sz w:val="20"/>
          <w:szCs w:val="20"/>
        </w:rPr>
        <w:t xml:space="preserve"> </w:t>
      </w:r>
      <w:r w:rsidRPr="000977F7">
        <w:rPr>
          <w:rFonts w:asciiTheme="majorHAnsi" w:hAnsiTheme="majorHAnsi"/>
          <w:sz w:val="20"/>
          <w:szCs w:val="20"/>
        </w:rPr>
        <w:t>а:</w:t>
      </w:r>
    </w:p>
    <w:p w14:paraId="72714F7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Вибірковий контроль для статистичного регулювання</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 здійснюється</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допомогою</w:t>
      </w:r>
      <w:r w:rsidRPr="000977F7">
        <w:rPr>
          <w:rFonts w:asciiTheme="majorHAnsi" w:hAnsiTheme="majorHAnsi"/>
          <w:spacing w:val="1"/>
          <w:sz w:val="20"/>
          <w:szCs w:val="20"/>
        </w:rPr>
        <w:t xml:space="preserve"> </w:t>
      </w:r>
      <w:r w:rsidRPr="000977F7">
        <w:rPr>
          <w:rFonts w:asciiTheme="majorHAnsi" w:hAnsiTheme="majorHAnsi"/>
          <w:sz w:val="20"/>
          <w:szCs w:val="20"/>
        </w:rPr>
        <w:t>точкових</w:t>
      </w:r>
      <w:r w:rsidRPr="000977F7">
        <w:rPr>
          <w:rFonts w:asciiTheme="majorHAnsi" w:hAnsiTheme="majorHAnsi"/>
          <w:spacing w:val="-2"/>
          <w:sz w:val="20"/>
          <w:szCs w:val="20"/>
        </w:rPr>
        <w:t xml:space="preserve"> </w:t>
      </w:r>
      <w:r w:rsidRPr="000977F7">
        <w:rPr>
          <w:rFonts w:asciiTheme="majorHAnsi" w:hAnsiTheme="majorHAnsi"/>
          <w:sz w:val="20"/>
          <w:szCs w:val="20"/>
        </w:rPr>
        <w:t>проб</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миттєвих вибірок</w:t>
      </w:r>
    </w:p>
    <w:p w14:paraId="000312D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10F60D49"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СТАТИСТИЧНИЙ АНАЛІЗ ТОЧНОСТІ Й</w:t>
      </w:r>
      <w:r w:rsidRPr="000977F7">
        <w:rPr>
          <w:rFonts w:asciiTheme="majorHAnsi" w:hAnsiTheme="majorHAnsi"/>
          <w:b/>
          <w:spacing w:val="1"/>
          <w:sz w:val="20"/>
          <w:szCs w:val="20"/>
        </w:rPr>
        <w:t xml:space="preserve"> </w:t>
      </w:r>
    </w:p>
    <w:p w14:paraId="4A685AD3"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СТА</w:t>
      </w:r>
      <w:r w:rsidRPr="000977F7">
        <w:rPr>
          <w:rFonts w:asciiTheme="majorHAnsi" w:hAnsiTheme="majorHAnsi"/>
          <w:b/>
          <w:spacing w:val="-47"/>
          <w:sz w:val="20"/>
          <w:szCs w:val="20"/>
        </w:rPr>
        <w:t xml:space="preserve"> </w:t>
      </w:r>
      <w:r w:rsidRPr="000977F7">
        <w:rPr>
          <w:rFonts w:asciiTheme="majorHAnsi" w:hAnsiTheme="majorHAnsi"/>
          <w:b/>
          <w:sz w:val="20"/>
          <w:szCs w:val="20"/>
        </w:rPr>
        <w:t>БІЛЬНОСТІ ТЕХНОЛОГІЧНОГО ПРОЦЕСУ –</w:t>
      </w:r>
    </w:p>
    <w:p w14:paraId="207125E3"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lastRenderedPageBreak/>
        <w:t>STATISTICAL ANALYSIS</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PROCESS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ACCURACY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AND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STABILITY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2FC72D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Установлення статистичними методами значень показників точності й стабільності технологічного процесу</w:t>
      </w:r>
      <w:r w:rsidRPr="000977F7">
        <w:rPr>
          <w:rFonts w:asciiTheme="majorHAnsi" w:hAnsiTheme="majorHAnsi"/>
          <w:spacing w:val="-47"/>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закономірностей</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проходження</w:t>
      </w:r>
      <w:r w:rsidRPr="000977F7">
        <w:rPr>
          <w:rFonts w:asciiTheme="majorHAnsi" w:hAnsiTheme="majorHAnsi"/>
          <w:spacing w:val="50"/>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 xml:space="preserve">часі </w:t>
      </w:r>
    </w:p>
    <w:p w14:paraId="07240F9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97</w:t>
      </w:r>
    </w:p>
    <w:p w14:paraId="0D7706A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СТАТИСТИЧНИЙ</w:t>
      </w:r>
      <w:r w:rsidRPr="000977F7">
        <w:rPr>
          <w:color w:val="auto"/>
          <w:spacing w:val="-12"/>
          <w:sz w:val="20"/>
          <w:szCs w:val="20"/>
        </w:rPr>
        <w:t xml:space="preserve"> </w:t>
      </w:r>
      <w:r w:rsidRPr="000977F7">
        <w:rPr>
          <w:color w:val="auto"/>
          <w:sz w:val="20"/>
          <w:szCs w:val="20"/>
        </w:rPr>
        <w:t>БЕЗПЕРЕРВНИЙ</w:t>
      </w:r>
    </w:p>
    <w:p w14:paraId="2A46CC4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47"/>
          <w:sz w:val="20"/>
          <w:szCs w:val="20"/>
        </w:rPr>
        <w:t xml:space="preserve"> </w:t>
      </w:r>
      <w:r w:rsidRPr="000977F7">
        <w:rPr>
          <w:color w:val="auto"/>
          <w:sz w:val="20"/>
          <w:szCs w:val="20"/>
        </w:rPr>
        <w:t>КОНТРОЛЬ</w:t>
      </w:r>
      <w:r w:rsidRPr="000977F7">
        <w:rPr>
          <w:color w:val="auto"/>
          <w:spacing w:val="1"/>
          <w:sz w:val="20"/>
          <w:szCs w:val="20"/>
        </w:rPr>
        <w:t xml:space="preserve"> </w:t>
      </w:r>
      <w:r w:rsidRPr="000977F7">
        <w:rPr>
          <w:color w:val="auto"/>
          <w:sz w:val="20"/>
          <w:szCs w:val="20"/>
        </w:rPr>
        <w:t>–</w:t>
      </w:r>
    </w:p>
    <w:p w14:paraId="791755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CONTINUOUS</w:t>
      </w:r>
      <w:r w:rsidRPr="000977F7">
        <w:rPr>
          <w:rFonts w:asciiTheme="majorHAnsi" w:hAnsiTheme="majorHAnsi"/>
          <w:spacing w:val="-3"/>
          <w:sz w:val="20"/>
          <w:szCs w:val="20"/>
        </w:rPr>
        <w:t xml:space="preserve"> </w:t>
      </w:r>
      <w:r w:rsidRPr="000977F7">
        <w:rPr>
          <w:rFonts w:asciiTheme="majorHAnsi" w:hAnsiTheme="majorHAnsi"/>
          <w:sz w:val="20"/>
          <w:szCs w:val="20"/>
        </w:rPr>
        <w:t>SAMPLING</w:t>
      </w:r>
      <w:r w:rsidRPr="000977F7">
        <w:rPr>
          <w:rFonts w:asciiTheme="majorHAnsi" w:hAnsiTheme="majorHAnsi"/>
          <w:spacing w:val="-3"/>
          <w:sz w:val="20"/>
          <w:szCs w:val="20"/>
        </w:rPr>
        <w:t xml:space="preserve"> </w:t>
      </w:r>
      <w:r w:rsidRPr="000977F7">
        <w:rPr>
          <w:rFonts w:asciiTheme="majorHAnsi" w:hAnsiTheme="majorHAnsi"/>
          <w:sz w:val="20"/>
          <w:szCs w:val="20"/>
        </w:rPr>
        <w:t>INSPECTION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F2D43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Статистичний приймальний контроль, який відбувається в умовах безперервного виробництва, з чергуванням суцільного і вибіркового контролю за певними</w:t>
      </w:r>
      <w:r w:rsidRPr="000977F7">
        <w:rPr>
          <w:rFonts w:asciiTheme="majorHAnsi" w:hAnsiTheme="majorHAnsi"/>
          <w:spacing w:val="1"/>
          <w:sz w:val="20"/>
          <w:szCs w:val="20"/>
        </w:rPr>
        <w:t xml:space="preserve"> </w:t>
      </w:r>
      <w:r w:rsidRPr="000977F7">
        <w:rPr>
          <w:rFonts w:asciiTheme="majorHAnsi" w:hAnsiTheme="majorHAnsi"/>
          <w:sz w:val="20"/>
          <w:szCs w:val="20"/>
        </w:rPr>
        <w:t>правилами</w:t>
      </w:r>
      <w:r w:rsidRPr="000977F7">
        <w:rPr>
          <w:rFonts w:asciiTheme="majorHAnsi" w:hAnsiTheme="majorHAnsi"/>
          <w:spacing w:val="1"/>
          <w:sz w:val="20"/>
          <w:szCs w:val="20"/>
        </w:rPr>
        <w:t xml:space="preserve"> </w:t>
      </w:r>
      <w:r w:rsidRPr="000977F7">
        <w:rPr>
          <w:rFonts w:asciiTheme="majorHAnsi" w:hAnsiTheme="majorHAnsi"/>
          <w:sz w:val="20"/>
          <w:szCs w:val="20"/>
        </w:rPr>
        <w:t>залежно</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вихідного</w:t>
      </w:r>
      <w:r w:rsidRPr="000977F7">
        <w:rPr>
          <w:rFonts w:asciiTheme="majorHAnsi" w:hAnsiTheme="majorHAnsi"/>
          <w:spacing w:val="1"/>
          <w:sz w:val="20"/>
          <w:szCs w:val="20"/>
        </w:rPr>
        <w:t xml:space="preserve"> </w:t>
      </w:r>
      <w:r w:rsidRPr="000977F7">
        <w:rPr>
          <w:rFonts w:asciiTheme="majorHAnsi" w:hAnsiTheme="majorHAnsi"/>
          <w:sz w:val="20"/>
          <w:szCs w:val="20"/>
        </w:rPr>
        <w:t>рівня</w:t>
      </w:r>
      <w:r w:rsidRPr="000977F7">
        <w:rPr>
          <w:rFonts w:asciiTheme="majorHAnsi" w:hAnsiTheme="majorHAnsi"/>
          <w:spacing w:val="1"/>
          <w:sz w:val="20"/>
          <w:szCs w:val="20"/>
        </w:rPr>
        <w:t xml:space="preserve"> </w:t>
      </w:r>
      <w:r w:rsidRPr="000977F7">
        <w:rPr>
          <w:rFonts w:asciiTheme="majorHAnsi" w:hAnsiTheme="majorHAnsi"/>
          <w:sz w:val="20"/>
          <w:szCs w:val="20"/>
        </w:rPr>
        <w:t>дефектності</w:t>
      </w:r>
    </w:p>
    <w:p w14:paraId="568720F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1908A283" w14:textId="77777777" w:rsidR="0097612F" w:rsidRPr="000977F7" w:rsidRDefault="0097612F" w:rsidP="000977F7">
      <w:pPr>
        <w:pStyle w:val="7"/>
        <w:tabs>
          <w:tab w:val="left" w:pos="284"/>
        </w:tabs>
        <w:spacing w:before="0" w:line="240" w:lineRule="auto"/>
        <w:ind w:left="170"/>
        <w:mirrorIndents/>
        <w:jc w:val="both"/>
        <w:rPr>
          <w:color w:val="auto"/>
          <w:spacing w:val="-6"/>
          <w:sz w:val="20"/>
          <w:szCs w:val="20"/>
        </w:rPr>
      </w:pPr>
      <w:bookmarkStart w:id="270" w:name="_Hlk104215834"/>
      <w:r w:rsidRPr="000977F7">
        <w:rPr>
          <w:color w:val="auto"/>
          <w:spacing w:val="-6"/>
          <w:sz w:val="20"/>
          <w:szCs w:val="20"/>
        </w:rPr>
        <w:t>СТАТИСТИЧНИЙ ВІДБІР ВИБОРОК (ПРОБ) –</w:t>
      </w:r>
    </w:p>
    <w:p w14:paraId="7B4F3BF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STATIC</w:t>
      </w:r>
      <w:r w:rsidRPr="000977F7">
        <w:rPr>
          <w:rFonts w:asciiTheme="majorHAnsi" w:hAnsiTheme="majorHAnsi"/>
          <w:spacing w:val="-3"/>
          <w:sz w:val="20"/>
          <w:szCs w:val="20"/>
        </w:rPr>
        <w:t xml:space="preserve"> </w:t>
      </w:r>
      <w:r w:rsidRPr="000977F7">
        <w:rPr>
          <w:rFonts w:asciiTheme="majorHAnsi" w:hAnsiTheme="majorHAnsi"/>
          <w:sz w:val="20"/>
          <w:szCs w:val="20"/>
        </w:rPr>
        <w:t>SAMPLING</w:t>
      </w:r>
      <w:r w:rsidRPr="000977F7">
        <w:rPr>
          <w:rFonts w:asciiTheme="majorHAnsi" w:hAnsiTheme="majorHAnsi"/>
          <w:spacing w:val="-1"/>
          <w:sz w:val="20"/>
          <w:szCs w:val="20"/>
        </w:rPr>
        <w:t xml:space="preserve"> </w:t>
      </w:r>
      <w:r w:rsidRPr="000977F7">
        <w:rPr>
          <w:rFonts w:asciiTheme="majorHAnsi" w:hAnsiTheme="majorHAnsi"/>
          <w:sz w:val="20"/>
          <w:szCs w:val="20"/>
        </w:rPr>
        <w:t>–</w:t>
      </w:r>
    </w:p>
    <w:bookmarkEnd w:id="270"/>
    <w:p w14:paraId="29BBDA9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Відбір,</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якому одиниці</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r w:rsidRPr="000977F7">
        <w:rPr>
          <w:rFonts w:asciiTheme="majorHAnsi" w:hAnsiTheme="majorHAnsi"/>
          <w:spacing w:val="-47"/>
          <w:sz w:val="20"/>
          <w:szCs w:val="20"/>
        </w:rPr>
        <w:t xml:space="preserve"> </w:t>
      </w:r>
      <w:r w:rsidRPr="000977F7">
        <w:rPr>
          <w:rFonts w:asciiTheme="majorHAnsi" w:hAnsiTheme="majorHAnsi"/>
          <w:sz w:val="20"/>
          <w:szCs w:val="20"/>
        </w:rPr>
        <w:t>відбирають із продукції, що не знаходиться в потоці</w:t>
      </w:r>
    </w:p>
    <w:p w14:paraId="26BE3391"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bookmarkStart w:id="271" w:name="_Hlk104215945"/>
      <w:r w:rsidRPr="000977F7">
        <w:rPr>
          <w:rFonts w:asciiTheme="majorHAnsi" w:hAnsiTheme="majorHAnsi"/>
          <w:b/>
          <w:sz w:val="20"/>
          <w:szCs w:val="20"/>
        </w:rPr>
        <w:t>СТАТИСТИЧНИЙ</w:t>
      </w:r>
      <w:r w:rsidRPr="004D2D14">
        <w:rPr>
          <w:rFonts w:asciiTheme="majorHAnsi" w:hAnsiTheme="majorHAnsi"/>
          <w:b/>
          <w:sz w:val="20"/>
          <w:szCs w:val="20"/>
          <w:lang w:val="en-US"/>
        </w:rPr>
        <w:t xml:space="preserve"> </w:t>
      </w:r>
      <w:r w:rsidRPr="000977F7">
        <w:rPr>
          <w:rFonts w:asciiTheme="majorHAnsi" w:hAnsiTheme="majorHAnsi"/>
          <w:b/>
          <w:sz w:val="20"/>
          <w:szCs w:val="20"/>
        </w:rPr>
        <w:t>КОНТРОЛЬ</w:t>
      </w:r>
      <w:r w:rsidRPr="004D2D14">
        <w:rPr>
          <w:rFonts w:asciiTheme="majorHAnsi" w:hAnsiTheme="majorHAnsi"/>
          <w:b/>
          <w:spacing w:val="4"/>
          <w:sz w:val="20"/>
          <w:szCs w:val="20"/>
          <w:lang w:val="en-US"/>
        </w:rPr>
        <w:t xml:space="preserve"> </w:t>
      </w:r>
      <w:r w:rsidRPr="004D2D14">
        <w:rPr>
          <w:rFonts w:asciiTheme="majorHAnsi" w:hAnsiTheme="majorHAnsi"/>
          <w:b/>
          <w:sz w:val="20"/>
          <w:szCs w:val="20"/>
          <w:lang w:val="en-US"/>
        </w:rPr>
        <w:t>–</w:t>
      </w:r>
    </w:p>
    <w:p w14:paraId="69CD118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STATISTICAL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QUALITY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CONTROL</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bookmarkEnd w:id="271"/>
    <w:p w14:paraId="7B2719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 якості, за якого використовуються статистичні</w:t>
      </w:r>
      <w:r w:rsidRPr="000977F7">
        <w:rPr>
          <w:rFonts w:asciiTheme="majorHAnsi" w:hAnsiTheme="majorHAnsi"/>
          <w:spacing w:val="-2"/>
          <w:sz w:val="20"/>
          <w:szCs w:val="20"/>
        </w:rPr>
        <w:t xml:space="preserve"> </w:t>
      </w:r>
      <w:r w:rsidRPr="000977F7">
        <w:rPr>
          <w:rFonts w:asciiTheme="majorHAnsi" w:hAnsiTheme="majorHAnsi"/>
          <w:sz w:val="20"/>
          <w:szCs w:val="20"/>
        </w:rPr>
        <w:t>методи</w:t>
      </w:r>
    </w:p>
    <w:p w14:paraId="2616980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3021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79</w:t>
      </w:r>
    </w:p>
    <w:p w14:paraId="4BD43A3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СТАТИСТИЧНИЙ</w:t>
      </w:r>
      <w:r w:rsidRPr="000977F7">
        <w:rPr>
          <w:color w:val="auto"/>
          <w:spacing w:val="-6"/>
          <w:sz w:val="20"/>
          <w:szCs w:val="20"/>
        </w:rPr>
        <w:t xml:space="preserve"> </w:t>
      </w:r>
      <w:r w:rsidRPr="000977F7">
        <w:rPr>
          <w:color w:val="auto"/>
          <w:sz w:val="20"/>
          <w:szCs w:val="20"/>
        </w:rPr>
        <w:t>МЕТОД</w:t>
      </w:r>
      <w:r w:rsidRPr="000977F7">
        <w:rPr>
          <w:color w:val="auto"/>
          <w:spacing w:val="-6"/>
          <w:sz w:val="20"/>
          <w:szCs w:val="20"/>
        </w:rPr>
        <w:t xml:space="preserve"> </w:t>
      </w:r>
      <w:r w:rsidRPr="000977F7">
        <w:rPr>
          <w:color w:val="auto"/>
          <w:sz w:val="20"/>
          <w:szCs w:val="20"/>
        </w:rPr>
        <w:t>ОЦІНКИ</w:t>
      </w:r>
      <w:r w:rsidRPr="000977F7">
        <w:rPr>
          <w:color w:val="auto"/>
          <w:spacing w:val="-6"/>
          <w:sz w:val="20"/>
          <w:szCs w:val="20"/>
        </w:rPr>
        <w:t xml:space="preserve"> </w:t>
      </w:r>
      <w:r w:rsidRPr="000977F7">
        <w:rPr>
          <w:color w:val="auto"/>
          <w:sz w:val="20"/>
          <w:szCs w:val="20"/>
        </w:rPr>
        <w:t>ЯКОСТІ</w:t>
      </w:r>
      <w:r w:rsidRPr="000977F7">
        <w:rPr>
          <w:color w:val="auto"/>
          <w:spacing w:val="-47"/>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27C9FD64"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z w:val="20"/>
          <w:szCs w:val="20"/>
        </w:rPr>
        <w:t>Метод оцінки якості продукції, при якому значення показників якості продукції визначають з використанням правил математичної статистики</w:t>
      </w:r>
      <w:r w:rsidRPr="000977F7">
        <w:rPr>
          <w:rFonts w:asciiTheme="majorHAnsi" w:hAnsiTheme="majorHAnsi"/>
          <w:spacing w:val="1"/>
          <w:sz w:val="20"/>
          <w:szCs w:val="20"/>
        </w:rPr>
        <w:t xml:space="preserve"> </w:t>
      </w:r>
      <w:r w:rsidRPr="000977F7">
        <w:rPr>
          <w:rFonts w:asciiTheme="majorHAnsi" w:hAnsiTheme="majorHAnsi"/>
          <w:b/>
          <w:sz w:val="20"/>
          <w:szCs w:val="20"/>
        </w:rPr>
        <w:t>СТАТИСТИЧНИЙ ПРИЙМАЛЬНИЙ</w:t>
      </w:r>
    </w:p>
    <w:p w14:paraId="0B0A9BA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КОНТРОЛЬ</w:t>
      </w:r>
      <w:r w:rsidRPr="000977F7">
        <w:rPr>
          <w:color w:val="auto"/>
          <w:spacing w:val="-4"/>
          <w:sz w:val="20"/>
          <w:szCs w:val="20"/>
        </w:rPr>
        <w:t xml:space="preserve"> </w:t>
      </w:r>
      <w:r w:rsidRPr="000977F7">
        <w:rPr>
          <w:color w:val="auto"/>
          <w:sz w:val="20"/>
          <w:szCs w:val="20"/>
        </w:rPr>
        <w:t>ЯКОСТІ</w:t>
      </w:r>
      <w:r w:rsidRPr="000977F7">
        <w:rPr>
          <w:color w:val="auto"/>
          <w:spacing w:val="-5"/>
          <w:sz w:val="20"/>
          <w:szCs w:val="20"/>
        </w:rPr>
        <w:t xml:space="preserve"> </w:t>
      </w:r>
      <w:r w:rsidRPr="000977F7">
        <w:rPr>
          <w:color w:val="auto"/>
          <w:sz w:val="20"/>
          <w:szCs w:val="20"/>
        </w:rPr>
        <w:t>ПРОДУКЦІЇ -</w:t>
      </w:r>
    </w:p>
    <w:p w14:paraId="3102239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ACCEPTANCE</w:t>
      </w:r>
      <w:r w:rsidRPr="000977F7">
        <w:rPr>
          <w:rFonts w:asciiTheme="majorHAnsi" w:hAnsiTheme="majorHAnsi"/>
          <w:spacing w:val="-2"/>
          <w:sz w:val="20"/>
          <w:szCs w:val="20"/>
        </w:rPr>
        <w:t xml:space="preserve"> </w:t>
      </w:r>
      <w:r w:rsidRPr="000977F7">
        <w:rPr>
          <w:rFonts w:asciiTheme="majorHAnsi" w:hAnsiTheme="majorHAnsi"/>
          <w:sz w:val="20"/>
          <w:szCs w:val="20"/>
        </w:rPr>
        <w:t>SAMPLING -</w:t>
      </w:r>
    </w:p>
    <w:p w14:paraId="3A1C547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Вибірковий контроль якості продукції, що ґрунтується на застосуванні методів математичної статистики</w:t>
      </w:r>
      <w:r w:rsidRPr="000977F7">
        <w:rPr>
          <w:rFonts w:asciiTheme="majorHAnsi" w:hAnsiTheme="majorHAnsi"/>
          <w:spacing w:val="1"/>
          <w:sz w:val="20"/>
          <w:szCs w:val="20"/>
        </w:rPr>
        <w:t xml:space="preserve"> </w:t>
      </w:r>
      <w:r w:rsidRPr="000977F7">
        <w:rPr>
          <w:rFonts w:asciiTheme="majorHAnsi" w:hAnsiTheme="majorHAnsi"/>
          <w:sz w:val="20"/>
          <w:szCs w:val="20"/>
        </w:rPr>
        <w:t>для перевірки відповідності якості продукції встановленим</w:t>
      </w:r>
      <w:r w:rsidRPr="000977F7">
        <w:rPr>
          <w:rFonts w:asciiTheme="majorHAnsi" w:hAnsiTheme="majorHAnsi"/>
          <w:spacing w:val="1"/>
          <w:sz w:val="20"/>
          <w:szCs w:val="20"/>
        </w:rPr>
        <w:t xml:space="preserve"> </w:t>
      </w:r>
      <w:r w:rsidRPr="000977F7">
        <w:rPr>
          <w:rFonts w:asciiTheme="majorHAnsi" w:hAnsiTheme="majorHAnsi"/>
          <w:sz w:val="20"/>
          <w:szCs w:val="20"/>
        </w:rPr>
        <w:t>вимогам і</w:t>
      </w:r>
      <w:r w:rsidRPr="000977F7">
        <w:rPr>
          <w:rFonts w:asciiTheme="majorHAnsi" w:hAnsiTheme="majorHAnsi"/>
          <w:spacing w:val="-1"/>
          <w:sz w:val="20"/>
          <w:szCs w:val="20"/>
        </w:rPr>
        <w:t xml:space="preserve"> </w:t>
      </w:r>
      <w:r w:rsidRPr="000977F7">
        <w:rPr>
          <w:rFonts w:asciiTheme="majorHAnsi" w:hAnsiTheme="majorHAnsi"/>
          <w:sz w:val="20"/>
          <w:szCs w:val="20"/>
        </w:rPr>
        <w:t>прийняття</w:t>
      </w:r>
      <w:r w:rsidRPr="000977F7">
        <w:rPr>
          <w:rFonts w:asciiTheme="majorHAnsi" w:hAnsiTheme="majorHAnsi"/>
          <w:spacing w:val="1"/>
          <w:sz w:val="20"/>
          <w:szCs w:val="20"/>
        </w:rPr>
        <w:t xml:space="preserve"> </w:t>
      </w:r>
      <w:r w:rsidRPr="000977F7">
        <w:rPr>
          <w:rFonts w:asciiTheme="majorHAnsi" w:hAnsiTheme="majorHAnsi"/>
          <w:sz w:val="20"/>
          <w:szCs w:val="20"/>
        </w:rPr>
        <w:t>рішення</w:t>
      </w:r>
    </w:p>
    <w:p w14:paraId="6BE10F5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3415E8E7" w14:textId="77777777" w:rsidR="0097612F" w:rsidRPr="000977F7" w:rsidRDefault="0097612F" w:rsidP="000977F7">
      <w:pPr>
        <w:pStyle w:val="7"/>
        <w:tabs>
          <w:tab w:val="left" w:pos="284"/>
        </w:tabs>
        <w:spacing w:before="0" w:line="240" w:lineRule="auto"/>
        <w:ind w:left="170"/>
        <w:mirrorIndents/>
        <w:jc w:val="both"/>
        <w:rPr>
          <w:color w:val="auto"/>
          <w:spacing w:val="-4"/>
          <w:sz w:val="20"/>
          <w:szCs w:val="20"/>
        </w:rPr>
      </w:pPr>
      <w:r w:rsidRPr="000977F7">
        <w:rPr>
          <w:color w:val="auto"/>
          <w:sz w:val="20"/>
          <w:szCs w:val="20"/>
        </w:rPr>
        <w:t>СТАТИСТИЧНО</w:t>
      </w:r>
      <w:r w:rsidRPr="000977F7">
        <w:rPr>
          <w:color w:val="auto"/>
          <w:spacing w:val="-5"/>
          <w:sz w:val="20"/>
          <w:szCs w:val="20"/>
        </w:rPr>
        <w:t xml:space="preserve"> </w:t>
      </w:r>
      <w:r w:rsidRPr="000977F7">
        <w:rPr>
          <w:color w:val="auto"/>
          <w:sz w:val="20"/>
          <w:szCs w:val="20"/>
        </w:rPr>
        <w:t>РЕГУЛЬОВАНИЙ</w:t>
      </w:r>
      <w:r w:rsidRPr="000977F7">
        <w:rPr>
          <w:color w:val="auto"/>
          <w:spacing w:val="-4"/>
          <w:sz w:val="20"/>
          <w:szCs w:val="20"/>
        </w:rPr>
        <w:t xml:space="preserve"> </w:t>
      </w:r>
    </w:p>
    <w:p w14:paraId="4794A23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ПРОЦЕС –</w:t>
      </w:r>
    </w:p>
    <w:p w14:paraId="2C20BA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PROCESS</w:t>
      </w:r>
      <w:r w:rsidRPr="000977F7">
        <w:rPr>
          <w:rFonts w:asciiTheme="majorHAnsi" w:hAnsiTheme="majorHAnsi"/>
          <w:spacing w:val="-3"/>
          <w:sz w:val="20"/>
          <w:szCs w:val="20"/>
        </w:rPr>
        <w:t xml:space="preserve"> </w:t>
      </w:r>
      <w:r w:rsidRPr="000977F7">
        <w:rPr>
          <w:rFonts w:asciiTheme="majorHAnsi" w:hAnsiTheme="majorHAnsi"/>
          <w:sz w:val="20"/>
          <w:szCs w:val="20"/>
        </w:rPr>
        <w:t>UNDEX</w:t>
      </w:r>
      <w:r w:rsidRPr="000977F7">
        <w:rPr>
          <w:rFonts w:asciiTheme="majorHAnsi" w:hAnsiTheme="majorHAnsi"/>
          <w:spacing w:val="-2"/>
          <w:sz w:val="20"/>
          <w:szCs w:val="20"/>
        </w:rPr>
        <w:t xml:space="preserve"> </w:t>
      </w:r>
      <w:r w:rsidRPr="000977F7">
        <w:rPr>
          <w:rFonts w:asciiTheme="majorHAnsi" w:hAnsiTheme="majorHAnsi"/>
          <w:sz w:val="20"/>
          <w:szCs w:val="20"/>
        </w:rPr>
        <w:t>CONTROL</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E905D4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Технологічний процес, в якому за допомогою статистичного регулювання забезпечується точність і стабільність</w:t>
      </w:r>
      <w:r w:rsidRPr="000977F7">
        <w:rPr>
          <w:rFonts w:asciiTheme="majorHAnsi" w:hAnsiTheme="majorHAnsi"/>
          <w:spacing w:val="-1"/>
          <w:sz w:val="20"/>
          <w:szCs w:val="20"/>
        </w:rPr>
        <w:t xml:space="preserve"> </w:t>
      </w:r>
      <w:r w:rsidRPr="000977F7">
        <w:rPr>
          <w:rFonts w:asciiTheme="majorHAnsi" w:hAnsiTheme="majorHAnsi"/>
          <w:sz w:val="20"/>
          <w:szCs w:val="20"/>
        </w:rPr>
        <w:t>контрольованих</w:t>
      </w:r>
      <w:r w:rsidRPr="000977F7">
        <w:rPr>
          <w:rFonts w:asciiTheme="majorHAnsi" w:hAnsiTheme="majorHAnsi"/>
          <w:spacing w:val="-1"/>
          <w:sz w:val="20"/>
          <w:szCs w:val="20"/>
        </w:rPr>
        <w:t xml:space="preserve"> </w:t>
      </w:r>
      <w:r w:rsidRPr="000977F7">
        <w:rPr>
          <w:rFonts w:asciiTheme="majorHAnsi" w:hAnsiTheme="majorHAnsi"/>
          <w:sz w:val="20"/>
          <w:szCs w:val="20"/>
        </w:rPr>
        <w:t>параметрів</w:t>
      </w:r>
    </w:p>
    <w:p w14:paraId="03571A8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FA072D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противному разі технологічний процес є статистично некерованим</w:t>
      </w:r>
    </w:p>
    <w:p w14:paraId="0962BA3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97</w:t>
      </w:r>
    </w:p>
    <w:p w14:paraId="2B8E791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СТАТИЧНА</w:t>
      </w:r>
      <w:r w:rsidRPr="000977F7">
        <w:rPr>
          <w:color w:val="auto"/>
          <w:spacing w:val="-8"/>
          <w:sz w:val="20"/>
          <w:szCs w:val="20"/>
        </w:rPr>
        <w:t xml:space="preserve"> </w:t>
      </w:r>
      <w:r w:rsidRPr="000977F7">
        <w:rPr>
          <w:color w:val="auto"/>
          <w:sz w:val="20"/>
          <w:szCs w:val="20"/>
        </w:rPr>
        <w:t>ПОХИБКА</w:t>
      </w:r>
      <w:r w:rsidRPr="000977F7">
        <w:rPr>
          <w:color w:val="auto"/>
          <w:spacing w:val="-9"/>
          <w:sz w:val="20"/>
          <w:szCs w:val="20"/>
        </w:rPr>
        <w:t xml:space="preserve"> </w:t>
      </w:r>
      <w:r w:rsidRPr="000977F7">
        <w:rPr>
          <w:color w:val="auto"/>
          <w:sz w:val="20"/>
          <w:szCs w:val="20"/>
        </w:rPr>
        <w:t>ВИМІРЮВАННЯ,</w:t>
      </w:r>
      <w:r w:rsidRPr="000977F7">
        <w:rPr>
          <w:color w:val="auto"/>
          <w:spacing w:val="-47"/>
          <w:sz w:val="20"/>
          <w:szCs w:val="20"/>
        </w:rPr>
        <w:t xml:space="preserve"> </w:t>
      </w:r>
      <w:r w:rsidRPr="000977F7">
        <w:rPr>
          <w:color w:val="auto"/>
          <w:sz w:val="20"/>
          <w:szCs w:val="20"/>
        </w:rPr>
        <w:t>ЗАСОБУ ВИМІРЮВАЛЬНОЇ ТЕХНІКИ –</w:t>
      </w:r>
    </w:p>
    <w:p w14:paraId="13C94307"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b w:val="0"/>
          <w:color w:val="auto"/>
          <w:sz w:val="20"/>
          <w:szCs w:val="20"/>
        </w:rPr>
        <w:t>STATIC</w:t>
      </w:r>
      <w:r w:rsidRPr="000977F7">
        <w:rPr>
          <w:b w:val="0"/>
          <w:color w:val="auto"/>
          <w:spacing w:val="-2"/>
          <w:sz w:val="20"/>
          <w:szCs w:val="20"/>
        </w:rPr>
        <w:t xml:space="preserve"> </w:t>
      </w:r>
      <w:r w:rsidRPr="000977F7">
        <w:rPr>
          <w:b w:val="0"/>
          <w:color w:val="auto"/>
          <w:sz w:val="20"/>
          <w:szCs w:val="20"/>
        </w:rPr>
        <w:t>ERROR –</w:t>
      </w:r>
    </w:p>
    <w:p w14:paraId="2B1D0FD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Похибка</w:t>
      </w:r>
      <w:r w:rsidRPr="000977F7">
        <w:rPr>
          <w:rFonts w:asciiTheme="majorHAnsi" w:hAnsiTheme="majorHAnsi"/>
          <w:spacing w:val="-6"/>
          <w:sz w:val="20"/>
          <w:szCs w:val="20"/>
        </w:rPr>
        <w:t xml:space="preserve"> </w:t>
      </w:r>
      <w:r w:rsidRPr="000977F7">
        <w:rPr>
          <w:rFonts w:asciiTheme="majorHAnsi" w:hAnsiTheme="majorHAnsi"/>
          <w:sz w:val="20"/>
          <w:szCs w:val="20"/>
        </w:rPr>
        <w:t>статичного</w:t>
      </w:r>
      <w:r w:rsidRPr="000977F7">
        <w:rPr>
          <w:rFonts w:asciiTheme="majorHAnsi" w:hAnsiTheme="majorHAnsi"/>
          <w:spacing w:val="-4"/>
          <w:sz w:val="20"/>
          <w:szCs w:val="20"/>
        </w:rPr>
        <w:t xml:space="preserve"> </w:t>
      </w:r>
      <w:r w:rsidRPr="000977F7">
        <w:rPr>
          <w:rFonts w:asciiTheme="majorHAnsi" w:hAnsiTheme="majorHAnsi"/>
          <w:sz w:val="20"/>
          <w:szCs w:val="20"/>
        </w:rPr>
        <w:t>вимірювання</w:t>
      </w:r>
    </w:p>
    <w:p w14:paraId="14F4F8E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4FD9B4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СТАТИЧНА</w:t>
      </w:r>
      <w:r w:rsidRPr="000977F7">
        <w:rPr>
          <w:color w:val="auto"/>
          <w:spacing w:val="-6"/>
          <w:sz w:val="20"/>
          <w:szCs w:val="20"/>
        </w:rPr>
        <w:t xml:space="preserve"> </w:t>
      </w:r>
      <w:r w:rsidRPr="000977F7">
        <w:rPr>
          <w:color w:val="auto"/>
          <w:sz w:val="20"/>
          <w:szCs w:val="20"/>
        </w:rPr>
        <w:t>ХАРАКТЕРИСТИКА</w:t>
      </w:r>
      <w:r w:rsidRPr="000977F7">
        <w:rPr>
          <w:color w:val="auto"/>
          <w:spacing w:val="-3"/>
          <w:sz w:val="20"/>
          <w:szCs w:val="20"/>
        </w:rPr>
        <w:t xml:space="preserve"> </w:t>
      </w:r>
      <w:r w:rsidRPr="000977F7">
        <w:rPr>
          <w:color w:val="auto"/>
          <w:sz w:val="20"/>
          <w:szCs w:val="20"/>
        </w:rPr>
        <w:t>–</w:t>
      </w:r>
    </w:p>
    <w:p w14:paraId="603B833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STOADY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STATE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CHARACTERISTIC –</w:t>
      </w:r>
    </w:p>
    <w:p w14:paraId="662659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Залежність</w:t>
      </w:r>
      <w:r w:rsidRPr="000977F7">
        <w:rPr>
          <w:rFonts w:asciiTheme="majorHAnsi" w:hAnsiTheme="majorHAnsi"/>
          <w:spacing w:val="1"/>
          <w:sz w:val="20"/>
          <w:szCs w:val="20"/>
        </w:rPr>
        <w:t xml:space="preserve"> </w:t>
      </w:r>
      <w:r w:rsidRPr="000977F7">
        <w:rPr>
          <w:rFonts w:asciiTheme="majorHAnsi" w:hAnsiTheme="majorHAnsi"/>
          <w:sz w:val="20"/>
          <w:szCs w:val="20"/>
        </w:rPr>
        <w:t>між</w:t>
      </w:r>
      <w:r w:rsidRPr="000977F7">
        <w:rPr>
          <w:rFonts w:asciiTheme="majorHAnsi" w:hAnsiTheme="majorHAnsi"/>
          <w:spacing w:val="1"/>
          <w:sz w:val="20"/>
          <w:szCs w:val="20"/>
        </w:rPr>
        <w:t xml:space="preserve"> </w:t>
      </w:r>
      <w:r w:rsidRPr="000977F7">
        <w:rPr>
          <w:rFonts w:asciiTheme="majorHAnsi" w:hAnsiTheme="majorHAnsi"/>
          <w:sz w:val="20"/>
          <w:szCs w:val="20"/>
        </w:rPr>
        <w:t>вихідною</w:t>
      </w:r>
      <w:r w:rsidRPr="000977F7">
        <w:rPr>
          <w:rFonts w:asciiTheme="majorHAnsi" w:hAnsiTheme="majorHAnsi"/>
          <w:spacing w:val="1"/>
          <w:sz w:val="20"/>
          <w:szCs w:val="20"/>
        </w:rPr>
        <w:t xml:space="preserve"> </w:t>
      </w:r>
      <w:r w:rsidRPr="000977F7">
        <w:rPr>
          <w:rFonts w:asciiTheme="majorHAnsi" w:hAnsiTheme="majorHAnsi"/>
          <w:sz w:val="20"/>
          <w:szCs w:val="20"/>
        </w:rPr>
        <w:t>величиною</w:t>
      </w:r>
      <w:r w:rsidRPr="000977F7">
        <w:rPr>
          <w:rFonts w:asciiTheme="majorHAnsi" w:hAnsiTheme="majorHAnsi"/>
          <w:spacing w:val="1"/>
          <w:sz w:val="20"/>
          <w:szCs w:val="20"/>
        </w:rPr>
        <w:t xml:space="preserve"> </w:t>
      </w:r>
      <w:r w:rsidRPr="000977F7">
        <w:rPr>
          <w:rFonts w:asciiTheme="majorHAnsi" w:hAnsiTheme="majorHAnsi"/>
          <w:sz w:val="20"/>
          <w:szCs w:val="20"/>
        </w:rPr>
        <w:t>(параметром</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інформативним</w:t>
      </w:r>
      <w:r w:rsidRPr="000977F7">
        <w:rPr>
          <w:rFonts w:asciiTheme="majorHAnsi" w:hAnsiTheme="majorHAnsi"/>
          <w:spacing w:val="1"/>
          <w:sz w:val="20"/>
          <w:szCs w:val="20"/>
        </w:rPr>
        <w:t xml:space="preserve"> </w:t>
      </w:r>
      <w:r w:rsidRPr="000977F7">
        <w:rPr>
          <w:rFonts w:asciiTheme="majorHAnsi" w:hAnsiTheme="majorHAnsi"/>
          <w:sz w:val="20"/>
          <w:szCs w:val="20"/>
        </w:rPr>
        <w:t>параметром</w:t>
      </w:r>
      <w:r w:rsidRPr="000977F7">
        <w:rPr>
          <w:rFonts w:asciiTheme="majorHAnsi" w:hAnsiTheme="majorHAnsi"/>
          <w:spacing w:val="1"/>
          <w:sz w:val="20"/>
          <w:szCs w:val="20"/>
        </w:rPr>
        <w:t xml:space="preserve"> </w:t>
      </w:r>
      <w:r w:rsidRPr="000977F7">
        <w:rPr>
          <w:rFonts w:asciiTheme="majorHAnsi" w:hAnsiTheme="majorHAnsi"/>
          <w:sz w:val="20"/>
          <w:szCs w:val="20"/>
        </w:rPr>
        <w:t>вихідного</w:t>
      </w:r>
      <w:r w:rsidRPr="000977F7">
        <w:rPr>
          <w:rFonts w:asciiTheme="majorHAnsi" w:hAnsiTheme="majorHAnsi"/>
          <w:spacing w:val="1"/>
          <w:sz w:val="20"/>
          <w:szCs w:val="20"/>
        </w:rPr>
        <w:t xml:space="preserve"> </w:t>
      </w:r>
      <w:r w:rsidRPr="000977F7">
        <w:rPr>
          <w:rFonts w:asciiTheme="majorHAnsi" w:hAnsiTheme="majorHAnsi"/>
          <w:sz w:val="20"/>
          <w:szCs w:val="20"/>
        </w:rPr>
        <w:t>сигнала) та однією з вхідних величин (головним параметром вхідного діяння або інформативним параметром вхідного сигналу) в усталеному режимі за фіксованих</w:t>
      </w:r>
      <w:r w:rsidRPr="000977F7">
        <w:rPr>
          <w:rFonts w:asciiTheme="majorHAnsi" w:hAnsiTheme="majorHAnsi"/>
          <w:spacing w:val="-2"/>
          <w:sz w:val="20"/>
          <w:szCs w:val="20"/>
        </w:rPr>
        <w:t xml:space="preserve"> </w:t>
      </w:r>
      <w:r w:rsidRPr="000977F7">
        <w:rPr>
          <w:rFonts w:asciiTheme="majorHAnsi" w:hAnsiTheme="majorHAnsi"/>
          <w:sz w:val="20"/>
          <w:szCs w:val="20"/>
        </w:rPr>
        <w:t>значень</w:t>
      </w:r>
      <w:r w:rsidRPr="000977F7">
        <w:rPr>
          <w:rFonts w:asciiTheme="majorHAnsi" w:hAnsiTheme="majorHAnsi"/>
          <w:spacing w:val="-1"/>
          <w:sz w:val="20"/>
          <w:szCs w:val="20"/>
        </w:rPr>
        <w:t xml:space="preserve"> </w:t>
      </w:r>
      <w:r w:rsidRPr="000977F7">
        <w:rPr>
          <w:rFonts w:asciiTheme="majorHAnsi" w:hAnsiTheme="majorHAnsi"/>
          <w:sz w:val="20"/>
          <w:szCs w:val="20"/>
        </w:rPr>
        <w:t>решти</w:t>
      </w:r>
      <w:r w:rsidRPr="000977F7">
        <w:rPr>
          <w:rFonts w:asciiTheme="majorHAnsi" w:hAnsiTheme="majorHAnsi"/>
          <w:spacing w:val="-1"/>
          <w:sz w:val="20"/>
          <w:szCs w:val="20"/>
        </w:rPr>
        <w:t xml:space="preserve"> </w:t>
      </w:r>
      <w:r w:rsidRPr="000977F7">
        <w:rPr>
          <w:rFonts w:asciiTheme="majorHAnsi" w:hAnsiTheme="majorHAnsi"/>
          <w:sz w:val="20"/>
          <w:szCs w:val="20"/>
        </w:rPr>
        <w:t>вхідних</w:t>
      </w:r>
      <w:r w:rsidRPr="000977F7">
        <w:rPr>
          <w:rFonts w:asciiTheme="majorHAnsi" w:hAnsiTheme="majorHAnsi"/>
          <w:spacing w:val="-2"/>
          <w:sz w:val="20"/>
          <w:szCs w:val="20"/>
        </w:rPr>
        <w:t xml:space="preserve"> </w:t>
      </w:r>
      <w:r w:rsidRPr="000977F7">
        <w:rPr>
          <w:rFonts w:asciiTheme="majorHAnsi" w:hAnsiTheme="majorHAnsi"/>
          <w:sz w:val="20"/>
          <w:szCs w:val="20"/>
        </w:rPr>
        <w:t>величин.</w:t>
      </w:r>
    </w:p>
    <w:p w14:paraId="683ED9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E2F48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Статична характеристика може бути подана математичним виразом,</w:t>
      </w:r>
      <w:r w:rsidRPr="000977F7">
        <w:rPr>
          <w:rFonts w:asciiTheme="majorHAnsi" w:hAnsiTheme="majorHAnsi"/>
          <w:spacing w:val="-1"/>
          <w:sz w:val="20"/>
          <w:szCs w:val="20"/>
        </w:rPr>
        <w:t xml:space="preserve"> </w:t>
      </w:r>
      <w:r w:rsidRPr="000977F7">
        <w:rPr>
          <w:rFonts w:asciiTheme="majorHAnsi" w:hAnsiTheme="majorHAnsi"/>
          <w:sz w:val="20"/>
          <w:szCs w:val="20"/>
        </w:rPr>
        <w:t>таблицею</w:t>
      </w:r>
      <w:r w:rsidRPr="000977F7">
        <w:rPr>
          <w:rFonts w:asciiTheme="majorHAnsi" w:hAnsiTheme="majorHAnsi"/>
          <w:spacing w:val="-1"/>
          <w:sz w:val="20"/>
          <w:szCs w:val="20"/>
        </w:rPr>
        <w:t xml:space="preserve"> </w:t>
      </w:r>
      <w:r w:rsidRPr="000977F7">
        <w:rPr>
          <w:rFonts w:asciiTheme="majorHAnsi" w:hAnsiTheme="majorHAnsi"/>
          <w:sz w:val="20"/>
          <w:szCs w:val="20"/>
        </w:rPr>
        <w:t>або графіком</w:t>
      </w:r>
    </w:p>
    <w:p w14:paraId="070CC334"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3956 - 2000</w:t>
      </w:r>
    </w:p>
    <w:p w14:paraId="0FA949FB"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СТАТИЧНЕ</w:t>
      </w:r>
      <w:r w:rsidRPr="004D2D14">
        <w:rPr>
          <w:rFonts w:asciiTheme="majorHAnsi" w:hAnsiTheme="majorHAnsi"/>
          <w:b/>
          <w:sz w:val="20"/>
          <w:szCs w:val="20"/>
          <w:lang w:val="en-US"/>
        </w:rPr>
        <w:t xml:space="preserve"> </w:t>
      </w:r>
      <w:r w:rsidRPr="000977F7">
        <w:rPr>
          <w:rFonts w:asciiTheme="majorHAnsi" w:hAnsiTheme="majorHAnsi"/>
          <w:b/>
          <w:sz w:val="20"/>
          <w:szCs w:val="20"/>
        </w:rPr>
        <w:t>ВИМІРЮВАННЯ</w:t>
      </w:r>
      <w:r w:rsidRPr="004D2D14">
        <w:rPr>
          <w:rFonts w:asciiTheme="majorHAnsi" w:hAnsiTheme="majorHAnsi"/>
          <w:b/>
          <w:sz w:val="20"/>
          <w:szCs w:val="20"/>
          <w:lang w:val="en-US"/>
        </w:rPr>
        <w:t xml:space="preserve"> –</w:t>
      </w:r>
    </w:p>
    <w:p w14:paraId="6C87DC7A" w14:textId="77777777" w:rsidR="0097612F" w:rsidRPr="004D2D14" w:rsidRDefault="0097612F" w:rsidP="000977F7">
      <w:pPr>
        <w:tabs>
          <w:tab w:val="left" w:pos="284"/>
        </w:tabs>
        <w:spacing w:after="0" w:line="240" w:lineRule="auto"/>
        <w:ind w:left="170"/>
        <w:mirrorIndents/>
        <w:jc w:val="both"/>
        <w:rPr>
          <w:rFonts w:asciiTheme="majorHAnsi" w:hAnsiTheme="majorHAnsi"/>
          <w:bCs/>
          <w:sz w:val="20"/>
          <w:szCs w:val="20"/>
          <w:lang w:val="en-US"/>
        </w:rPr>
      </w:pPr>
      <w:r w:rsidRPr="004D2D14">
        <w:rPr>
          <w:rFonts w:asciiTheme="majorHAnsi" w:hAnsiTheme="majorHAnsi"/>
          <w:bCs/>
          <w:sz w:val="20"/>
          <w:szCs w:val="20"/>
          <w:lang w:val="en-US"/>
        </w:rPr>
        <w:t>STATIC MEASUREMENT –</w:t>
      </w:r>
    </w:p>
    <w:p w14:paraId="33221A4D"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Вимірювання величини, яку можна вважати не змінною за час вимірювання</w:t>
      </w:r>
    </w:p>
    <w:p w14:paraId="3E57B7B1" w14:textId="77777777" w:rsidR="0097612F" w:rsidRPr="004D2D14" w:rsidRDefault="0097612F" w:rsidP="000977F7">
      <w:pPr>
        <w:tabs>
          <w:tab w:val="left" w:pos="284"/>
        </w:tabs>
        <w:spacing w:after="0" w:line="240" w:lineRule="auto"/>
        <w:ind w:left="170"/>
        <w:mirrorIndents/>
        <w:jc w:val="both"/>
        <w:rPr>
          <w:rFonts w:asciiTheme="majorHAnsi" w:hAnsiTheme="majorHAnsi"/>
          <w:i/>
          <w:iCs/>
          <w:spacing w:val="1"/>
          <w:sz w:val="20"/>
          <w:szCs w:val="20"/>
          <w:lang w:val="en-US"/>
        </w:rPr>
      </w:pPr>
      <w:r w:rsidRPr="000977F7">
        <w:rPr>
          <w:rFonts w:asciiTheme="majorHAnsi" w:hAnsiTheme="majorHAnsi"/>
          <w:bCs/>
          <w:i/>
          <w:iCs/>
          <w:sz w:val="20"/>
          <w:szCs w:val="20"/>
        </w:rPr>
        <w:t>ДСТУ</w:t>
      </w:r>
      <w:r w:rsidRPr="004D2D14">
        <w:rPr>
          <w:rFonts w:asciiTheme="majorHAnsi" w:hAnsiTheme="majorHAnsi"/>
          <w:bCs/>
          <w:i/>
          <w:iCs/>
          <w:sz w:val="20"/>
          <w:szCs w:val="20"/>
          <w:lang w:val="en-US"/>
        </w:rPr>
        <w:t xml:space="preserve"> 2681 – 94</w:t>
      </w:r>
      <w:r w:rsidRPr="004D2D14">
        <w:rPr>
          <w:rFonts w:asciiTheme="majorHAnsi" w:hAnsiTheme="majorHAnsi"/>
          <w:i/>
          <w:iCs/>
          <w:spacing w:val="1"/>
          <w:sz w:val="20"/>
          <w:szCs w:val="20"/>
          <w:lang w:val="en-US"/>
        </w:rPr>
        <w:t xml:space="preserve"> </w:t>
      </w:r>
    </w:p>
    <w:p w14:paraId="462ED239"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57"/>
          <w:sz w:val="20"/>
          <w:szCs w:val="20"/>
          <w:lang w:val="en-US"/>
        </w:rPr>
      </w:pPr>
      <w:r w:rsidRPr="000977F7">
        <w:rPr>
          <w:rFonts w:asciiTheme="majorHAnsi" w:hAnsiTheme="majorHAnsi"/>
          <w:b/>
          <w:sz w:val="20"/>
          <w:szCs w:val="20"/>
        </w:rPr>
        <w:t>СТАТИЧНЕ</w:t>
      </w:r>
      <w:r w:rsidRPr="004D2D14">
        <w:rPr>
          <w:rFonts w:asciiTheme="majorHAnsi" w:hAnsiTheme="majorHAnsi"/>
          <w:b/>
          <w:spacing w:val="-4"/>
          <w:sz w:val="20"/>
          <w:szCs w:val="20"/>
          <w:lang w:val="en-US"/>
        </w:rPr>
        <w:t xml:space="preserve"> </w:t>
      </w:r>
      <w:r w:rsidRPr="000977F7">
        <w:rPr>
          <w:rFonts w:asciiTheme="majorHAnsi" w:hAnsiTheme="majorHAnsi"/>
          <w:b/>
          <w:sz w:val="20"/>
          <w:szCs w:val="20"/>
        </w:rPr>
        <w:t>ДІЯННЯ</w:t>
      </w:r>
      <w:r w:rsidRPr="004D2D14">
        <w:rPr>
          <w:rFonts w:asciiTheme="majorHAnsi" w:hAnsiTheme="majorHAnsi"/>
          <w:b/>
          <w:spacing w:val="8"/>
          <w:sz w:val="20"/>
          <w:szCs w:val="20"/>
          <w:lang w:val="en-US"/>
        </w:rPr>
        <w:t xml:space="preserve"> </w:t>
      </w:r>
      <w:r w:rsidRPr="004D2D14">
        <w:rPr>
          <w:rFonts w:asciiTheme="majorHAnsi" w:hAnsiTheme="majorHAnsi"/>
          <w:b/>
          <w:sz w:val="20"/>
          <w:szCs w:val="20"/>
          <w:lang w:val="en-US"/>
        </w:rPr>
        <w:t>–</w:t>
      </w:r>
      <w:r w:rsidRPr="004D2D14">
        <w:rPr>
          <w:rFonts w:asciiTheme="majorHAnsi" w:hAnsiTheme="majorHAnsi"/>
          <w:b/>
          <w:spacing w:val="-57"/>
          <w:sz w:val="20"/>
          <w:szCs w:val="20"/>
          <w:lang w:val="en-US"/>
        </w:rPr>
        <w:t xml:space="preserve"> </w:t>
      </w:r>
    </w:p>
    <w:p w14:paraId="0D43B525"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STATISTICAL</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ACTION</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w:t>
      </w:r>
    </w:p>
    <w:p w14:paraId="7988F7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Діяння, зміна якого ототожнюється із зміною значення</w:t>
      </w:r>
      <w:r w:rsidRPr="000977F7">
        <w:rPr>
          <w:rFonts w:asciiTheme="majorHAnsi" w:hAnsiTheme="majorHAnsi"/>
          <w:spacing w:val="-2"/>
          <w:sz w:val="20"/>
          <w:szCs w:val="20"/>
        </w:rPr>
        <w:t xml:space="preserve"> </w:t>
      </w:r>
      <w:r w:rsidRPr="000977F7">
        <w:rPr>
          <w:rFonts w:asciiTheme="majorHAnsi" w:hAnsiTheme="majorHAnsi"/>
          <w:sz w:val="20"/>
          <w:szCs w:val="20"/>
        </w:rPr>
        <w:t>дієвої</w:t>
      </w:r>
      <w:r w:rsidRPr="000977F7">
        <w:rPr>
          <w:rFonts w:asciiTheme="majorHAnsi" w:hAnsiTheme="majorHAnsi"/>
          <w:spacing w:val="-1"/>
          <w:sz w:val="20"/>
          <w:szCs w:val="20"/>
        </w:rPr>
        <w:t xml:space="preserve"> </w:t>
      </w:r>
      <w:r w:rsidRPr="000977F7">
        <w:rPr>
          <w:rFonts w:asciiTheme="majorHAnsi" w:hAnsiTheme="majorHAnsi"/>
          <w:sz w:val="20"/>
          <w:szCs w:val="20"/>
        </w:rPr>
        <w:t>величини</w:t>
      </w:r>
    </w:p>
    <w:p w14:paraId="167E5B2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087C9642"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СТАТИЧНЕ НАВАНТАЖУВАННЯ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2E9D0B57"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sz w:val="20"/>
          <w:szCs w:val="20"/>
        </w:rPr>
        <w:t>STATIC</w:t>
      </w:r>
      <w:r w:rsidRPr="000977F7">
        <w:rPr>
          <w:rFonts w:asciiTheme="majorHAnsi" w:hAnsiTheme="majorHAnsi"/>
          <w:spacing w:val="-2"/>
          <w:sz w:val="20"/>
          <w:szCs w:val="20"/>
        </w:rPr>
        <w:t xml:space="preserve"> </w:t>
      </w:r>
      <w:r w:rsidRPr="000977F7">
        <w:rPr>
          <w:rFonts w:asciiTheme="majorHAnsi" w:hAnsiTheme="majorHAnsi"/>
          <w:sz w:val="20"/>
          <w:szCs w:val="20"/>
        </w:rPr>
        <w:t>LOADING</w:t>
      </w:r>
      <w:r w:rsidRPr="000977F7">
        <w:rPr>
          <w:rFonts w:asciiTheme="majorHAnsi" w:hAnsiTheme="majorHAnsi"/>
          <w:spacing w:val="1"/>
          <w:sz w:val="20"/>
          <w:szCs w:val="20"/>
        </w:rPr>
        <w:t xml:space="preserve"> </w:t>
      </w:r>
      <w:r w:rsidRPr="000977F7">
        <w:rPr>
          <w:rFonts w:asciiTheme="majorHAnsi" w:hAnsiTheme="majorHAnsi"/>
          <w:b/>
          <w:sz w:val="20"/>
          <w:szCs w:val="20"/>
        </w:rPr>
        <w:t>–</w:t>
      </w:r>
    </w:p>
    <w:p w14:paraId="59C8C64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Навантажування,</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характеризується</w:t>
      </w:r>
      <w:r w:rsidRPr="000977F7">
        <w:rPr>
          <w:rFonts w:asciiTheme="majorHAnsi" w:hAnsiTheme="majorHAnsi"/>
          <w:spacing w:val="1"/>
          <w:sz w:val="20"/>
          <w:szCs w:val="20"/>
        </w:rPr>
        <w:t xml:space="preserve"> </w:t>
      </w:r>
      <w:r w:rsidRPr="000977F7">
        <w:rPr>
          <w:rFonts w:asciiTheme="majorHAnsi" w:hAnsiTheme="majorHAnsi"/>
          <w:sz w:val="20"/>
          <w:szCs w:val="20"/>
        </w:rPr>
        <w:t>відсутністю</w:t>
      </w:r>
      <w:r w:rsidRPr="000977F7">
        <w:rPr>
          <w:rFonts w:asciiTheme="majorHAnsi" w:hAnsiTheme="majorHAnsi"/>
          <w:spacing w:val="1"/>
          <w:sz w:val="20"/>
          <w:szCs w:val="20"/>
        </w:rPr>
        <w:t xml:space="preserve"> </w:t>
      </w:r>
      <w:r w:rsidRPr="000977F7">
        <w:rPr>
          <w:rFonts w:asciiTheme="majorHAnsi" w:hAnsiTheme="majorHAnsi"/>
          <w:sz w:val="20"/>
          <w:szCs w:val="20"/>
        </w:rPr>
        <w:t>прискорень</w:t>
      </w:r>
      <w:r w:rsidRPr="000977F7">
        <w:rPr>
          <w:rFonts w:asciiTheme="majorHAnsi" w:hAnsiTheme="majorHAnsi"/>
          <w:spacing w:val="-1"/>
          <w:sz w:val="20"/>
          <w:szCs w:val="20"/>
        </w:rPr>
        <w:t xml:space="preserve"> </w:t>
      </w:r>
      <w:r w:rsidRPr="000977F7">
        <w:rPr>
          <w:rFonts w:asciiTheme="majorHAnsi" w:hAnsiTheme="majorHAnsi"/>
          <w:sz w:val="20"/>
          <w:szCs w:val="20"/>
        </w:rPr>
        <w:t>відносного руху точок</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p>
    <w:p w14:paraId="066B31B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ДСТУ2825 - 94</w:t>
      </w:r>
    </w:p>
    <w:p w14:paraId="595EFB7E"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СТАТИЧНИЙ КОЕФІЦІЄНТ ПЕРЕТВОРЮВАННЯ –</w:t>
      </w:r>
    </w:p>
    <w:p w14:paraId="2BE2EB9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GAIN –</w:t>
      </w:r>
    </w:p>
    <w:p w14:paraId="3B74B9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8"/>
          <w:sz w:val="20"/>
          <w:szCs w:val="20"/>
        </w:rPr>
        <w:t xml:space="preserve">Відношення приросту </w:t>
      </w:r>
      <w:r w:rsidRPr="000977F7">
        <w:rPr>
          <w:rFonts w:asciiTheme="majorHAnsi" w:hAnsiTheme="majorHAnsi"/>
          <w:spacing w:val="-7"/>
          <w:sz w:val="20"/>
          <w:szCs w:val="20"/>
        </w:rPr>
        <w:t>вихідної величини лінійного об’єкта</w:t>
      </w:r>
      <w:r w:rsidRPr="000977F7">
        <w:rPr>
          <w:rFonts w:asciiTheme="majorHAnsi" w:hAnsiTheme="majorHAnsi"/>
          <w:spacing w:val="-47"/>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приросту</w:t>
      </w:r>
      <w:r w:rsidRPr="000977F7">
        <w:rPr>
          <w:rFonts w:asciiTheme="majorHAnsi" w:hAnsiTheme="majorHAnsi"/>
          <w:spacing w:val="-5"/>
          <w:sz w:val="20"/>
          <w:szCs w:val="20"/>
        </w:rPr>
        <w:t xml:space="preserve"> </w:t>
      </w:r>
      <w:r w:rsidRPr="000977F7">
        <w:rPr>
          <w:rFonts w:asciiTheme="majorHAnsi" w:hAnsiTheme="majorHAnsi"/>
          <w:sz w:val="20"/>
          <w:szCs w:val="20"/>
        </w:rPr>
        <w:t>вхідної</w:t>
      </w:r>
      <w:r w:rsidRPr="000977F7">
        <w:rPr>
          <w:rFonts w:asciiTheme="majorHAnsi" w:hAnsiTheme="majorHAnsi"/>
          <w:spacing w:val="-2"/>
          <w:sz w:val="20"/>
          <w:szCs w:val="20"/>
        </w:rPr>
        <w:t xml:space="preserve"> </w:t>
      </w:r>
      <w:r w:rsidRPr="000977F7">
        <w:rPr>
          <w:rFonts w:asciiTheme="majorHAnsi" w:hAnsiTheme="majorHAnsi"/>
          <w:sz w:val="20"/>
          <w:szCs w:val="20"/>
        </w:rPr>
        <w:t>величини</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усталеному</w:t>
      </w:r>
      <w:r w:rsidRPr="000977F7">
        <w:rPr>
          <w:rFonts w:asciiTheme="majorHAnsi" w:hAnsiTheme="majorHAnsi"/>
          <w:spacing w:val="-5"/>
          <w:sz w:val="20"/>
          <w:szCs w:val="20"/>
        </w:rPr>
        <w:t xml:space="preserve"> </w:t>
      </w:r>
      <w:r w:rsidRPr="000977F7">
        <w:rPr>
          <w:rFonts w:asciiTheme="majorHAnsi" w:hAnsiTheme="majorHAnsi"/>
          <w:sz w:val="20"/>
          <w:szCs w:val="20"/>
        </w:rPr>
        <w:t>режимі</w:t>
      </w:r>
    </w:p>
    <w:p w14:paraId="07EB0BB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F2D8B4D" w14:textId="77777777" w:rsidR="0097612F" w:rsidRPr="000977F7" w:rsidRDefault="0097612F" w:rsidP="00FD39A4">
      <w:pPr>
        <w:pStyle w:val="ac"/>
        <w:widowControl w:val="0"/>
        <w:numPr>
          <w:ilvl w:val="0"/>
          <w:numId w:val="79"/>
        </w:numPr>
        <w:tabs>
          <w:tab w:val="left" w:pos="284"/>
          <w:tab w:val="left" w:pos="6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Поняття не має сенсу для лінійних об’єктів, у яких:</w:t>
      </w:r>
      <w:r w:rsidRPr="000977F7">
        <w:rPr>
          <w:rFonts w:asciiTheme="majorHAnsi" w:hAnsiTheme="majorHAnsi"/>
          <w:spacing w:val="-47"/>
          <w:sz w:val="20"/>
          <w:szCs w:val="20"/>
        </w:rPr>
        <w:t xml:space="preserve"> </w:t>
      </w:r>
      <w:r w:rsidRPr="000977F7">
        <w:rPr>
          <w:rFonts w:asciiTheme="majorHAnsi" w:hAnsiTheme="majorHAnsi"/>
          <w:spacing w:val="-2"/>
          <w:sz w:val="20"/>
          <w:szCs w:val="20"/>
        </w:rPr>
        <w:t xml:space="preserve">а). </w:t>
      </w:r>
      <w:r w:rsidRPr="000977F7">
        <w:rPr>
          <w:rFonts w:asciiTheme="majorHAnsi" w:hAnsiTheme="majorHAnsi"/>
          <w:spacing w:val="-1"/>
          <w:sz w:val="20"/>
          <w:szCs w:val="20"/>
        </w:rPr>
        <w:t>відсутній усталений режим (інтегрувальні об’єкти);</w:t>
      </w:r>
      <w:r w:rsidRPr="000977F7">
        <w:rPr>
          <w:rFonts w:asciiTheme="majorHAnsi" w:hAnsiTheme="majorHAnsi"/>
          <w:sz w:val="20"/>
          <w:szCs w:val="20"/>
        </w:rPr>
        <w:t xml:space="preserve"> б). приріст вихідної величини в</w:t>
      </w:r>
      <w:r w:rsidRPr="000977F7">
        <w:rPr>
          <w:rFonts w:asciiTheme="majorHAnsi" w:hAnsiTheme="majorHAnsi"/>
          <w:spacing w:val="1"/>
          <w:sz w:val="20"/>
          <w:szCs w:val="20"/>
        </w:rPr>
        <w:t xml:space="preserve"> </w:t>
      </w:r>
      <w:r w:rsidRPr="000977F7">
        <w:rPr>
          <w:rFonts w:asciiTheme="majorHAnsi" w:hAnsiTheme="majorHAnsi"/>
          <w:sz w:val="20"/>
          <w:szCs w:val="20"/>
        </w:rPr>
        <w:t>усталеному режимі</w:t>
      </w:r>
      <w:r w:rsidRPr="000977F7">
        <w:rPr>
          <w:rFonts w:asciiTheme="majorHAnsi" w:hAnsiTheme="majorHAnsi"/>
          <w:spacing w:val="1"/>
          <w:sz w:val="20"/>
          <w:szCs w:val="20"/>
        </w:rPr>
        <w:t xml:space="preserve"> </w:t>
      </w:r>
      <w:r w:rsidRPr="000977F7">
        <w:rPr>
          <w:rFonts w:asciiTheme="majorHAnsi" w:hAnsiTheme="majorHAnsi"/>
          <w:sz w:val="20"/>
          <w:szCs w:val="20"/>
        </w:rPr>
        <w:t>дорівнює нулю за будь-яких приростів вхідної величини</w:t>
      </w:r>
      <w:r w:rsidRPr="000977F7">
        <w:rPr>
          <w:rFonts w:asciiTheme="majorHAnsi" w:hAnsiTheme="majorHAnsi"/>
          <w:spacing w:val="3"/>
          <w:sz w:val="20"/>
          <w:szCs w:val="20"/>
        </w:rPr>
        <w:t xml:space="preserve"> </w:t>
      </w:r>
      <w:r w:rsidRPr="000977F7">
        <w:rPr>
          <w:rFonts w:asciiTheme="majorHAnsi" w:hAnsiTheme="majorHAnsi"/>
          <w:sz w:val="20"/>
          <w:szCs w:val="20"/>
        </w:rPr>
        <w:t>(диференціювальні</w:t>
      </w:r>
      <w:r w:rsidRPr="000977F7">
        <w:rPr>
          <w:rFonts w:asciiTheme="majorHAnsi" w:hAnsiTheme="majorHAnsi"/>
          <w:spacing w:val="5"/>
          <w:sz w:val="20"/>
          <w:szCs w:val="20"/>
        </w:rPr>
        <w:t xml:space="preserve"> </w:t>
      </w:r>
      <w:r w:rsidRPr="000977F7">
        <w:rPr>
          <w:rFonts w:asciiTheme="majorHAnsi" w:hAnsiTheme="majorHAnsi"/>
          <w:sz w:val="20"/>
          <w:szCs w:val="20"/>
        </w:rPr>
        <w:t>об’єкти).</w:t>
      </w:r>
    </w:p>
    <w:p w14:paraId="7145F3AB" w14:textId="77777777" w:rsidR="0097612F" w:rsidRPr="000977F7" w:rsidRDefault="0097612F" w:rsidP="00FD39A4">
      <w:pPr>
        <w:pStyle w:val="ac"/>
        <w:widowControl w:val="0"/>
        <w:numPr>
          <w:ilvl w:val="0"/>
          <w:numId w:val="79"/>
        </w:numPr>
        <w:tabs>
          <w:tab w:val="left" w:pos="284"/>
          <w:tab w:val="left" w:pos="70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Статичний</w:t>
      </w:r>
      <w:r w:rsidRPr="000977F7">
        <w:rPr>
          <w:rFonts w:asciiTheme="majorHAnsi" w:hAnsiTheme="majorHAnsi"/>
          <w:spacing w:val="1"/>
          <w:sz w:val="20"/>
          <w:szCs w:val="20"/>
        </w:rPr>
        <w:t xml:space="preserve"> </w:t>
      </w:r>
      <w:r w:rsidRPr="000977F7">
        <w:rPr>
          <w:rFonts w:asciiTheme="majorHAnsi" w:hAnsiTheme="majorHAnsi"/>
          <w:sz w:val="20"/>
          <w:szCs w:val="20"/>
        </w:rPr>
        <w:t>коефіцієнт</w:t>
      </w:r>
      <w:r w:rsidRPr="000977F7">
        <w:rPr>
          <w:rFonts w:asciiTheme="majorHAnsi" w:hAnsiTheme="majorHAnsi"/>
          <w:spacing w:val="1"/>
          <w:sz w:val="20"/>
          <w:szCs w:val="20"/>
        </w:rPr>
        <w:t xml:space="preserve"> </w:t>
      </w:r>
      <w:r w:rsidRPr="000977F7">
        <w:rPr>
          <w:rFonts w:asciiTheme="majorHAnsi" w:hAnsiTheme="majorHAnsi"/>
          <w:sz w:val="20"/>
          <w:szCs w:val="20"/>
        </w:rPr>
        <w:t>пересилання</w:t>
      </w:r>
      <w:r w:rsidRPr="000977F7">
        <w:rPr>
          <w:rFonts w:asciiTheme="majorHAnsi" w:hAnsiTheme="majorHAnsi"/>
          <w:spacing w:val="1"/>
          <w:sz w:val="20"/>
          <w:szCs w:val="20"/>
        </w:rPr>
        <w:t xml:space="preserve"> </w:t>
      </w:r>
      <w:r w:rsidRPr="000977F7">
        <w:rPr>
          <w:rFonts w:asciiTheme="majorHAnsi" w:hAnsiTheme="majorHAnsi"/>
          <w:sz w:val="20"/>
          <w:szCs w:val="20"/>
        </w:rPr>
        <w:t>збігається</w:t>
      </w:r>
      <w:r w:rsidRPr="000977F7">
        <w:rPr>
          <w:rFonts w:asciiTheme="majorHAnsi" w:hAnsiTheme="majorHAnsi"/>
          <w:spacing w:val="1"/>
          <w:sz w:val="20"/>
          <w:szCs w:val="20"/>
        </w:rPr>
        <w:t xml:space="preserve"> </w:t>
      </w:r>
      <w:r w:rsidRPr="000977F7">
        <w:rPr>
          <w:rFonts w:asciiTheme="majorHAnsi" w:hAnsiTheme="majorHAnsi"/>
          <w:sz w:val="20"/>
          <w:szCs w:val="20"/>
        </w:rPr>
        <w:t>зі</w:t>
      </w:r>
      <w:r w:rsidRPr="000977F7">
        <w:rPr>
          <w:rFonts w:asciiTheme="majorHAnsi" w:hAnsiTheme="majorHAnsi"/>
          <w:spacing w:val="1"/>
          <w:sz w:val="20"/>
          <w:szCs w:val="20"/>
        </w:rPr>
        <w:t xml:space="preserve"> </w:t>
      </w:r>
      <w:r w:rsidRPr="000977F7">
        <w:rPr>
          <w:rFonts w:asciiTheme="majorHAnsi" w:hAnsiTheme="majorHAnsi"/>
          <w:sz w:val="20"/>
          <w:szCs w:val="20"/>
        </w:rPr>
        <w:t>значенням</w:t>
      </w:r>
      <w:r w:rsidRPr="000977F7">
        <w:rPr>
          <w:rFonts w:asciiTheme="majorHAnsi" w:hAnsiTheme="majorHAnsi"/>
          <w:spacing w:val="1"/>
          <w:sz w:val="20"/>
          <w:szCs w:val="20"/>
        </w:rPr>
        <w:t xml:space="preserve"> </w:t>
      </w:r>
      <w:r w:rsidRPr="000977F7">
        <w:rPr>
          <w:rFonts w:asciiTheme="majorHAnsi" w:hAnsiTheme="majorHAnsi"/>
          <w:sz w:val="20"/>
          <w:szCs w:val="20"/>
        </w:rPr>
        <w:t>модуля</w:t>
      </w:r>
      <w:r w:rsidRPr="000977F7">
        <w:rPr>
          <w:rFonts w:asciiTheme="majorHAnsi" w:hAnsiTheme="majorHAnsi"/>
          <w:spacing w:val="1"/>
          <w:sz w:val="20"/>
          <w:szCs w:val="20"/>
        </w:rPr>
        <w:t xml:space="preserve"> </w:t>
      </w:r>
      <w:r w:rsidRPr="000977F7">
        <w:rPr>
          <w:rFonts w:asciiTheme="majorHAnsi" w:hAnsiTheme="majorHAnsi"/>
          <w:sz w:val="20"/>
          <w:szCs w:val="20"/>
        </w:rPr>
        <w:t>частотної</w:t>
      </w:r>
      <w:r w:rsidRPr="000977F7">
        <w:rPr>
          <w:rFonts w:asciiTheme="majorHAnsi" w:hAnsiTheme="majorHAnsi"/>
          <w:spacing w:val="1"/>
          <w:sz w:val="20"/>
          <w:szCs w:val="20"/>
        </w:rPr>
        <w:t xml:space="preserve"> </w:t>
      </w:r>
      <w:r w:rsidRPr="000977F7">
        <w:rPr>
          <w:rFonts w:asciiTheme="majorHAnsi" w:hAnsiTheme="majorHAnsi"/>
          <w:sz w:val="20"/>
          <w:szCs w:val="20"/>
        </w:rPr>
        <w:t>передавальної</w:t>
      </w:r>
      <w:r w:rsidRPr="000977F7">
        <w:rPr>
          <w:rFonts w:asciiTheme="majorHAnsi" w:hAnsiTheme="majorHAnsi"/>
          <w:spacing w:val="1"/>
          <w:sz w:val="20"/>
          <w:szCs w:val="20"/>
        </w:rPr>
        <w:t xml:space="preserve"> </w:t>
      </w:r>
      <w:r w:rsidRPr="000977F7">
        <w:rPr>
          <w:rFonts w:asciiTheme="majorHAnsi" w:hAnsiTheme="majorHAnsi"/>
          <w:sz w:val="20"/>
          <w:szCs w:val="20"/>
        </w:rPr>
        <w:t>функції</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4"/>
          <w:sz w:val="20"/>
          <w:szCs w:val="20"/>
        </w:rPr>
        <w:t xml:space="preserve"> </w:t>
      </w:r>
      <w:r w:rsidRPr="000977F7">
        <w:rPr>
          <w:rFonts w:asciiTheme="majorHAnsi" w:hAnsiTheme="majorHAnsi"/>
          <w:sz w:val="20"/>
          <w:szCs w:val="20"/>
        </w:rPr>
        <w:t>частоти,</w:t>
      </w:r>
      <w:r w:rsidRPr="000977F7">
        <w:rPr>
          <w:rFonts w:asciiTheme="majorHAnsi" w:hAnsiTheme="majorHAnsi"/>
          <w:spacing w:val="6"/>
          <w:sz w:val="20"/>
          <w:szCs w:val="20"/>
        </w:rPr>
        <w:t xml:space="preserve"> </w:t>
      </w:r>
      <w:r w:rsidRPr="000977F7">
        <w:rPr>
          <w:rFonts w:asciiTheme="majorHAnsi" w:hAnsiTheme="majorHAnsi"/>
          <w:sz w:val="20"/>
          <w:szCs w:val="20"/>
        </w:rPr>
        <w:t>що</w:t>
      </w:r>
      <w:r w:rsidRPr="000977F7">
        <w:rPr>
          <w:rFonts w:asciiTheme="majorHAnsi" w:hAnsiTheme="majorHAnsi"/>
          <w:spacing w:val="5"/>
          <w:sz w:val="20"/>
          <w:szCs w:val="20"/>
        </w:rPr>
        <w:t xml:space="preserve"> </w:t>
      </w:r>
      <w:r w:rsidRPr="000977F7">
        <w:rPr>
          <w:rFonts w:asciiTheme="majorHAnsi" w:hAnsiTheme="majorHAnsi"/>
          <w:sz w:val="20"/>
          <w:szCs w:val="20"/>
        </w:rPr>
        <w:t>дорівнює</w:t>
      </w:r>
      <w:r w:rsidRPr="000977F7">
        <w:rPr>
          <w:rFonts w:asciiTheme="majorHAnsi" w:hAnsiTheme="majorHAnsi"/>
          <w:spacing w:val="6"/>
          <w:sz w:val="20"/>
          <w:szCs w:val="20"/>
        </w:rPr>
        <w:t xml:space="preserve"> </w:t>
      </w:r>
      <w:r w:rsidRPr="000977F7">
        <w:rPr>
          <w:rFonts w:asciiTheme="majorHAnsi" w:hAnsiTheme="majorHAnsi"/>
          <w:sz w:val="20"/>
          <w:szCs w:val="20"/>
        </w:rPr>
        <w:t>нулю</w:t>
      </w:r>
    </w:p>
    <w:p w14:paraId="23A1DA2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133A43A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СТАТИЧНІ</w:t>
      </w:r>
      <w:r w:rsidRPr="000977F7">
        <w:rPr>
          <w:color w:val="auto"/>
          <w:spacing w:val="-4"/>
          <w:sz w:val="20"/>
          <w:szCs w:val="20"/>
        </w:rPr>
        <w:t xml:space="preserve"> </w:t>
      </w:r>
      <w:r w:rsidRPr="000977F7">
        <w:rPr>
          <w:color w:val="auto"/>
          <w:sz w:val="20"/>
          <w:szCs w:val="20"/>
        </w:rPr>
        <w:t>ВИПРОБУВАННЯ</w:t>
      </w:r>
      <w:r w:rsidRPr="000977F7">
        <w:rPr>
          <w:color w:val="auto"/>
          <w:spacing w:val="-2"/>
          <w:sz w:val="20"/>
          <w:szCs w:val="20"/>
        </w:rPr>
        <w:t xml:space="preserve"> </w:t>
      </w:r>
      <w:r w:rsidRPr="000977F7">
        <w:rPr>
          <w:color w:val="auto"/>
          <w:sz w:val="20"/>
          <w:szCs w:val="20"/>
        </w:rPr>
        <w:t>–</w:t>
      </w:r>
    </w:p>
    <w:p w14:paraId="3D42872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STATIC</w:t>
      </w:r>
      <w:r w:rsidRPr="000977F7">
        <w:rPr>
          <w:rFonts w:asciiTheme="majorHAnsi" w:hAnsiTheme="majorHAnsi"/>
          <w:spacing w:val="-4"/>
          <w:sz w:val="20"/>
          <w:szCs w:val="20"/>
        </w:rPr>
        <w:t xml:space="preserve"> </w:t>
      </w:r>
      <w:r w:rsidRPr="000977F7">
        <w:rPr>
          <w:rFonts w:asciiTheme="majorHAnsi" w:hAnsiTheme="majorHAnsi"/>
          <w:sz w:val="20"/>
          <w:szCs w:val="20"/>
        </w:rPr>
        <w:t>TEST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C47DE6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7"/>
          <w:sz w:val="20"/>
          <w:szCs w:val="20"/>
        </w:rPr>
        <w:t xml:space="preserve"> </w:t>
      </w:r>
      <w:r w:rsidRPr="000977F7">
        <w:rPr>
          <w:rFonts w:asciiTheme="majorHAnsi" w:hAnsiTheme="majorHAnsi"/>
          <w:sz w:val="20"/>
          <w:szCs w:val="20"/>
        </w:rPr>
        <w:t>об’єкта</w:t>
      </w:r>
      <w:r w:rsidRPr="000977F7">
        <w:rPr>
          <w:rFonts w:asciiTheme="majorHAnsi" w:hAnsiTheme="majorHAnsi"/>
          <w:spacing w:val="-6"/>
          <w:sz w:val="20"/>
          <w:szCs w:val="20"/>
        </w:rPr>
        <w:t xml:space="preserve"> </w:t>
      </w:r>
      <w:r w:rsidRPr="000977F7">
        <w:rPr>
          <w:rFonts w:asciiTheme="majorHAnsi" w:hAnsiTheme="majorHAnsi"/>
          <w:sz w:val="20"/>
          <w:szCs w:val="20"/>
        </w:rPr>
        <w:t>статичним</w:t>
      </w:r>
      <w:r w:rsidRPr="000977F7">
        <w:rPr>
          <w:rFonts w:asciiTheme="majorHAnsi" w:hAnsiTheme="majorHAnsi"/>
          <w:spacing w:val="-4"/>
          <w:sz w:val="20"/>
          <w:szCs w:val="20"/>
        </w:rPr>
        <w:t xml:space="preserve"> </w:t>
      </w:r>
      <w:r w:rsidRPr="000977F7">
        <w:rPr>
          <w:rFonts w:asciiTheme="majorHAnsi" w:hAnsiTheme="majorHAnsi"/>
          <w:sz w:val="20"/>
          <w:szCs w:val="20"/>
        </w:rPr>
        <w:t>навантаженням</w:t>
      </w:r>
    </w:p>
    <w:p w14:paraId="2C2CCDB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DDCE8A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СТАТУТ</w:t>
      </w:r>
      <w:r w:rsidRPr="000977F7">
        <w:rPr>
          <w:color w:val="auto"/>
          <w:spacing w:val="-5"/>
          <w:sz w:val="20"/>
          <w:szCs w:val="20"/>
        </w:rPr>
        <w:t xml:space="preserve"> </w:t>
      </w:r>
      <w:r w:rsidRPr="000977F7">
        <w:rPr>
          <w:color w:val="auto"/>
          <w:sz w:val="20"/>
          <w:szCs w:val="20"/>
        </w:rPr>
        <w:t>ПРОЕКТУ</w:t>
      </w:r>
      <w:r w:rsidRPr="000977F7">
        <w:rPr>
          <w:color w:val="auto"/>
          <w:spacing w:val="-2"/>
          <w:sz w:val="20"/>
          <w:szCs w:val="20"/>
        </w:rPr>
        <w:t xml:space="preserve"> </w:t>
      </w:r>
      <w:r w:rsidRPr="000977F7">
        <w:rPr>
          <w:color w:val="auto"/>
          <w:sz w:val="20"/>
          <w:szCs w:val="20"/>
        </w:rPr>
        <w:t>–</w:t>
      </w:r>
    </w:p>
    <w:p w14:paraId="2ED7371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формально</w:t>
      </w:r>
      <w:r w:rsidRPr="000977F7">
        <w:rPr>
          <w:rFonts w:asciiTheme="majorHAnsi" w:hAnsiTheme="majorHAnsi"/>
          <w:spacing w:val="1"/>
          <w:sz w:val="20"/>
          <w:szCs w:val="20"/>
        </w:rPr>
        <w:t xml:space="preserve"> </w:t>
      </w:r>
      <w:r w:rsidRPr="000977F7">
        <w:rPr>
          <w:rFonts w:asciiTheme="majorHAnsi" w:hAnsiTheme="majorHAnsi"/>
          <w:sz w:val="20"/>
          <w:szCs w:val="20"/>
        </w:rPr>
        <w:t>підтверджує</w:t>
      </w:r>
      <w:r w:rsidRPr="000977F7">
        <w:rPr>
          <w:rFonts w:asciiTheme="majorHAnsi" w:hAnsiTheme="majorHAnsi"/>
          <w:spacing w:val="1"/>
          <w:sz w:val="20"/>
          <w:szCs w:val="20"/>
        </w:rPr>
        <w:t xml:space="preserve"> </w:t>
      </w:r>
      <w:r w:rsidRPr="000977F7">
        <w:rPr>
          <w:rFonts w:asciiTheme="majorHAnsi" w:hAnsiTheme="majorHAnsi"/>
          <w:sz w:val="20"/>
          <w:szCs w:val="20"/>
        </w:rPr>
        <w:t>існування</w:t>
      </w:r>
      <w:r w:rsidRPr="000977F7">
        <w:rPr>
          <w:rFonts w:asciiTheme="majorHAnsi" w:hAnsiTheme="majorHAnsi"/>
          <w:spacing w:val="1"/>
          <w:sz w:val="20"/>
          <w:szCs w:val="20"/>
        </w:rPr>
        <w:t xml:space="preserve"> </w:t>
      </w:r>
      <w:r w:rsidRPr="000977F7">
        <w:rPr>
          <w:rFonts w:asciiTheme="majorHAnsi" w:hAnsiTheme="majorHAnsi"/>
          <w:sz w:val="20"/>
          <w:szCs w:val="20"/>
        </w:rPr>
        <w:t>проекту. Він повинен включати (безпосередньо або за</w:t>
      </w:r>
      <w:r w:rsidRPr="000977F7">
        <w:rPr>
          <w:rFonts w:asciiTheme="majorHAnsi" w:hAnsiTheme="majorHAnsi"/>
          <w:spacing w:val="-47"/>
          <w:sz w:val="20"/>
          <w:szCs w:val="20"/>
        </w:rPr>
        <w:t xml:space="preserve"> </w:t>
      </w:r>
      <w:r w:rsidRPr="000977F7">
        <w:rPr>
          <w:rFonts w:asciiTheme="majorHAnsi" w:hAnsiTheme="majorHAnsi"/>
          <w:sz w:val="20"/>
          <w:szCs w:val="20"/>
        </w:rPr>
        <w:t>допомогою</w:t>
      </w:r>
      <w:r w:rsidRPr="000977F7">
        <w:rPr>
          <w:rFonts w:asciiTheme="majorHAnsi" w:hAnsiTheme="majorHAnsi"/>
          <w:spacing w:val="-1"/>
          <w:sz w:val="20"/>
          <w:szCs w:val="20"/>
        </w:rPr>
        <w:t xml:space="preserve"> </w:t>
      </w:r>
      <w:r w:rsidRPr="000977F7">
        <w:rPr>
          <w:rFonts w:asciiTheme="majorHAnsi" w:hAnsiTheme="majorHAnsi"/>
          <w:sz w:val="20"/>
          <w:szCs w:val="20"/>
        </w:rPr>
        <w:t>посилань</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інші</w:t>
      </w:r>
      <w:r w:rsidRPr="000977F7">
        <w:rPr>
          <w:rFonts w:asciiTheme="majorHAnsi" w:hAnsiTheme="majorHAnsi"/>
          <w:spacing w:val="-1"/>
          <w:sz w:val="20"/>
          <w:szCs w:val="20"/>
        </w:rPr>
        <w:t xml:space="preserve"> </w:t>
      </w:r>
      <w:r w:rsidRPr="000977F7">
        <w:rPr>
          <w:rFonts w:asciiTheme="majorHAnsi" w:hAnsiTheme="majorHAnsi"/>
          <w:sz w:val="20"/>
          <w:szCs w:val="20"/>
        </w:rPr>
        <w:t>документи):</w:t>
      </w:r>
    </w:p>
    <w:p w14:paraId="1168A1E8" w14:textId="77777777" w:rsidR="0097612F" w:rsidRPr="000977F7" w:rsidRDefault="0097612F" w:rsidP="00FD39A4">
      <w:pPr>
        <w:pStyle w:val="ac"/>
        <w:widowControl w:val="0"/>
        <w:numPr>
          <w:ilvl w:val="0"/>
          <w:numId w:val="78"/>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комерційну</w:t>
      </w:r>
      <w:r w:rsidRPr="000977F7">
        <w:rPr>
          <w:rFonts w:asciiTheme="majorHAnsi" w:hAnsiTheme="majorHAnsi"/>
          <w:spacing w:val="-7"/>
          <w:sz w:val="20"/>
          <w:szCs w:val="20"/>
        </w:rPr>
        <w:t xml:space="preserve"> </w:t>
      </w:r>
      <w:r w:rsidRPr="000977F7">
        <w:rPr>
          <w:rFonts w:asciiTheme="majorHAnsi" w:hAnsiTheme="majorHAnsi"/>
          <w:sz w:val="20"/>
          <w:szCs w:val="20"/>
        </w:rPr>
        <w:t>діяльність</w:t>
      </w:r>
      <w:r w:rsidRPr="000977F7">
        <w:rPr>
          <w:rFonts w:asciiTheme="majorHAnsi" w:hAnsiTheme="majorHAnsi"/>
          <w:spacing w:val="-4"/>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проекту;</w:t>
      </w:r>
    </w:p>
    <w:p w14:paraId="7617F820" w14:textId="77777777" w:rsidR="0097612F" w:rsidRPr="000977F7" w:rsidRDefault="0097612F" w:rsidP="00FD39A4">
      <w:pPr>
        <w:pStyle w:val="ac"/>
        <w:widowControl w:val="0"/>
        <w:numPr>
          <w:ilvl w:val="0"/>
          <w:numId w:val="78"/>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описання</w:t>
      </w:r>
      <w:r w:rsidRPr="000977F7">
        <w:rPr>
          <w:rFonts w:asciiTheme="majorHAnsi" w:hAnsiTheme="majorHAnsi"/>
          <w:spacing w:val="-3"/>
          <w:sz w:val="20"/>
          <w:szCs w:val="20"/>
        </w:rPr>
        <w:t xml:space="preserve"> </w:t>
      </w:r>
      <w:r w:rsidRPr="000977F7">
        <w:rPr>
          <w:rFonts w:asciiTheme="majorHAnsi" w:hAnsiTheme="majorHAnsi"/>
          <w:sz w:val="20"/>
          <w:szCs w:val="20"/>
        </w:rPr>
        <w:t>продукту</w:t>
      </w:r>
    </w:p>
    <w:p w14:paraId="1096E255" w14:textId="77777777" w:rsidR="0097612F" w:rsidRPr="000977F7" w:rsidRDefault="0097612F" w:rsidP="000977F7">
      <w:pPr>
        <w:tabs>
          <w:tab w:val="left" w:pos="284"/>
        </w:tabs>
        <w:spacing w:after="0" w:line="240" w:lineRule="auto"/>
        <w:ind w:left="170"/>
        <w:mirrorIndents/>
        <w:jc w:val="both"/>
        <w:rPr>
          <w:rFonts w:asciiTheme="majorHAnsi" w:hAnsiTheme="majorHAnsi"/>
          <w:i/>
          <w:w w:val="137"/>
          <w:sz w:val="20"/>
          <w:szCs w:val="20"/>
        </w:rPr>
      </w:pPr>
      <w:r w:rsidRPr="000977F7">
        <w:rPr>
          <w:rFonts w:asciiTheme="majorHAnsi" w:hAnsiTheme="majorHAnsi"/>
          <w:i/>
          <w:spacing w:val="-1"/>
          <w:w w:val="99"/>
          <w:sz w:val="20"/>
          <w:szCs w:val="20"/>
        </w:rPr>
        <w:t>Ке</w:t>
      </w:r>
      <w:r w:rsidRPr="000977F7">
        <w:rPr>
          <w:rFonts w:asciiTheme="majorHAnsi" w:hAnsiTheme="majorHAnsi"/>
          <w:i/>
          <w:w w:val="99"/>
          <w:sz w:val="20"/>
          <w:szCs w:val="20"/>
        </w:rPr>
        <w:t>р.</w:t>
      </w:r>
      <w:r w:rsidRPr="000977F7">
        <w:rPr>
          <w:rFonts w:asciiTheme="majorHAnsi" w:hAnsiTheme="majorHAnsi"/>
          <w:i/>
          <w:sz w:val="20"/>
          <w:szCs w:val="20"/>
        </w:rPr>
        <w:t xml:space="preserve"> </w:t>
      </w:r>
      <w:r w:rsidRPr="000977F7">
        <w:rPr>
          <w:rFonts w:asciiTheme="majorHAnsi" w:hAnsiTheme="majorHAnsi"/>
          <w:i/>
          <w:spacing w:val="1"/>
          <w:w w:val="99"/>
          <w:sz w:val="20"/>
          <w:szCs w:val="20"/>
        </w:rPr>
        <w:t>про</w:t>
      </w:r>
      <w:r w:rsidRPr="000977F7">
        <w:rPr>
          <w:rFonts w:asciiTheme="majorHAnsi" w:hAnsiTheme="majorHAnsi"/>
          <w:i/>
          <w:w w:val="99"/>
          <w:sz w:val="20"/>
          <w:szCs w:val="20"/>
        </w:rPr>
        <w:t>ек</w:t>
      </w:r>
      <w:r w:rsidRPr="000977F7">
        <w:rPr>
          <w:rFonts w:asciiTheme="majorHAnsi" w:hAnsiTheme="majorHAnsi"/>
          <w:i/>
          <w:spacing w:val="-1"/>
          <w:w w:val="99"/>
          <w:sz w:val="20"/>
          <w:szCs w:val="20"/>
        </w:rPr>
        <w:t>тн</w:t>
      </w:r>
      <w:r w:rsidRPr="000977F7">
        <w:rPr>
          <w:rFonts w:asciiTheme="majorHAnsi" w:hAnsiTheme="majorHAnsi"/>
          <w:i/>
          <w:w w:val="99"/>
          <w:sz w:val="20"/>
          <w:szCs w:val="20"/>
        </w:rPr>
        <w:t>.</w:t>
      </w:r>
      <w:r w:rsidRPr="000977F7">
        <w:rPr>
          <w:rFonts w:asciiTheme="majorHAnsi" w:hAnsiTheme="majorHAnsi"/>
          <w:i/>
          <w:sz w:val="20"/>
          <w:szCs w:val="20"/>
        </w:rPr>
        <w:t xml:space="preserve"> </w:t>
      </w:r>
      <w:r w:rsidRPr="000977F7">
        <w:rPr>
          <w:rFonts w:asciiTheme="majorHAnsi" w:hAnsiTheme="majorHAnsi"/>
          <w:i/>
          <w:spacing w:val="-1"/>
          <w:w w:val="99"/>
          <w:sz w:val="20"/>
          <w:szCs w:val="20"/>
        </w:rPr>
        <w:t>менеджм</w:t>
      </w:r>
      <w:r w:rsidRPr="000977F7">
        <w:rPr>
          <w:rFonts w:asciiTheme="majorHAnsi" w:hAnsiTheme="majorHAnsi"/>
          <w:i/>
          <w:spacing w:val="3"/>
          <w:w w:val="99"/>
          <w:sz w:val="20"/>
          <w:szCs w:val="20"/>
        </w:rPr>
        <w:t>.</w:t>
      </w:r>
      <w:r w:rsidRPr="000977F7">
        <w:rPr>
          <w:rFonts w:asciiTheme="majorHAnsi" w:hAnsiTheme="majorHAnsi"/>
          <w:i/>
          <w:w w:val="99"/>
          <w:sz w:val="20"/>
          <w:szCs w:val="20"/>
        </w:rPr>
        <w:t>-</w:t>
      </w:r>
      <w:r w:rsidRPr="000977F7">
        <w:rPr>
          <w:rFonts w:asciiTheme="majorHAnsi" w:hAnsiTheme="majorHAnsi"/>
          <w:i/>
          <w:spacing w:val="2"/>
          <w:w w:val="99"/>
          <w:sz w:val="20"/>
          <w:szCs w:val="20"/>
        </w:rPr>
        <w:t>т</w:t>
      </w:r>
      <w:r w:rsidRPr="000977F7">
        <w:rPr>
          <w:rFonts w:asciiTheme="majorHAnsi" w:hAnsiTheme="majorHAnsi"/>
          <w:i/>
          <w:w w:val="137"/>
          <w:sz w:val="20"/>
          <w:szCs w:val="20"/>
        </w:rPr>
        <w:t>у</w:t>
      </w:r>
    </w:p>
    <w:p w14:paraId="0775905A"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 xml:space="preserve">СТАЦІОНАРНА МЕХАНІЧНА </w:t>
      </w:r>
      <w:r w:rsidRPr="000977F7">
        <w:rPr>
          <w:rFonts w:asciiTheme="majorHAnsi" w:hAnsiTheme="majorHAnsi"/>
          <w:b/>
          <w:spacing w:val="-48"/>
          <w:sz w:val="20"/>
          <w:szCs w:val="20"/>
        </w:rPr>
        <w:t xml:space="preserve"> </w:t>
      </w:r>
      <w:r w:rsidRPr="000977F7">
        <w:rPr>
          <w:rFonts w:asciiTheme="majorHAnsi" w:hAnsiTheme="majorHAnsi"/>
          <w:b/>
          <w:sz w:val="20"/>
          <w:szCs w:val="20"/>
        </w:rPr>
        <w:t>СИСТЕМА</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442F8C6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Механічна система, властивості якої</w:t>
      </w:r>
      <w:r w:rsidRPr="000977F7">
        <w:rPr>
          <w:rFonts w:asciiTheme="majorHAnsi" w:hAnsiTheme="majorHAnsi"/>
          <w:spacing w:val="50"/>
          <w:sz w:val="20"/>
          <w:szCs w:val="20"/>
        </w:rPr>
        <w:t xml:space="preserve"> </w:t>
      </w:r>
      <w:r w:rsidRPr="000977F7">
        <w:rPr>
          <w:rFonts w:asciiTheme="majorHAnsi" w:hAnsiTheme="majorHAnsi"/>
          <w:sz w:val="20"/>
          <w:szCs w:val="20"/>
        </w:rPr>
        <w:t>не змінюються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даному</w:t>
      </w:r>
      <w:r w:rsidRPr="000977F7">
        <w:rPr>
          <w:rFonts w:asciiTheme="majorHAnsi" w:hAnsiTheme="majorHAnsi"/>
          <w:spacing w:val="-1"/>
          <w:sz w:val="20"/>
          <w:szCs w:val="20"/>
        </w:rPr>
        <w:t xml:space="preserve"> </w:t>
      </w:r>
      <w:r w:rsidRPr="000977F7">
        <w:rPr>
          <w:rFonts w:asciiTheme="majorHAnsi" w:hAnsiTheme="majorHAnsi"/>
          <w:sz w:val="20"/>
          <w:szCs w:val="20"/>
        </w:rPr>
        <w:t>відрізку</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6F29749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2474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46A179A"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r w:rsidRPr="000977F7">
        <w:rPr>
          <w:rFonts w:asciiTheme="majorHAnsi" w:hAnsiTheme="majorHAnsi"/>
          <w:b/>
          <w:bCs/>
          <w:iCs/>
          <w:sz w:val="20"/>
          <w:szCs w:val="20"/>
        </w:rPr>
        <w:t>СТАЦІОНАРНА УСТАНОВКА -</w:t>
      </w:r>
    </w:p>
    <w:p w14:paraId="15182D8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Особливе поєднання кількох видів апаратури, а у деяких випадках також інших пристроїв, які складені, змонтовані та призначені для постійного використання в заздалегідь визначеному місці</w:t>
      </w:r>
    </w:p>
    <w:p w14:paraId="5B96C7C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Технічний регламент з електромагнітної сумісності обладнання</w:t>
      </w:r>
    </w:p>
    <w:p w14:paraId="427A877D" w14:textId="77777777" w:rsidR="0097612F" w:rsidRPr="000977F7" w:rsidRDefault="0097612F" w:rsidP="000977F7">
      <w:pPr>
        <w:pStyle w:val="7"/>
        <w:tabs>
          <w:tab w:val="left" w:pos="284"/>
        </w:tabs>
        <w:spacing w:before="0" w:line="240" w:lineRule="auto"/>
        <w:ind w:left="170"/>
        <w:mirrorIndents/>
        <w:jc w:val="both"/>
        <w:rPr>
          <w:color w:val="auto"/>
          <w:spacing w:val="-9"/>
          <w:sz w:val="20"/>
          <w:szCs w:val="20"/>
        </w:rPr>
      </w:pPr>
      <w:r w:rsidRPr="000977F7">
        <w:rPr>
          <w:color w:val="auto"/>
          <w:sz w:val="20"/>
          <w:szCs w:val="20"/>
        </w:rPr>
        <w:t>СТАЦІОНАРНЕ</w:t>
      </w:r>
      <w:r w:rsidRPr="000977F7">
        <w:rPr>
          <w:color w:val="auto"/>
          <w:spacing w:val="-10"/>
          <w:sz w:val="20"/>
          <w:szCs w:val="20"/>
        </w:rPr>
        <w:t xml:space="preserve"> </w:t>
      </w:r>
      <w:r w:rsidRPr="000977F7">
        <w:rPr>
          <w:color w:val="auto"/>
          <w:sz w:val="20"/>
          <w:szCs w:val="20"/>
        </w:rPr>
        <w:t>ВИПАДКОВЕ</w:t>
      </w:r>
      <w:r w:rsidRPr="000977F7">
        <w:rPr>
          <w:color w:val="auto"/>
          <w:spacing w:val="-9"/>
          <w:sz w:val="20"/>
          <w:szCs w:val="20"/>
        </w:rPr>
        <w:t xml:space="preserve"> </w:t>
      </w:r>
    </w:p>
    <w:p w14:paraId="71ACA5B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НАВАНТАЖУ</w:t>
      </w:r>
      <w:r w:rsidRPr="000977F7">
        <w:rPr>
          <w:color w:val="auto"/>
          <w:spacing w:val="-47"/>
          <w:sz w:val="20"/>
          <w:szCs w:val="20"/>
        </w:rPr>
        <w:t xml:space="preserve"> </w:t>
      </w:r>
      <w:r w:rsidRPr="000977F7">
        <w:rPr>
          <w:color w:val="auto"/>
          <w:sz w:val="20"/>
          <w:szCs w:val="20"/>
        </w:rPr>
        <w:t>ВАННЯ –</w:t>
      </w:r>
    </w:p>
    <w:p w14:paraId="075E5F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STATIONARY</w:t>
      </w:r>
      <w:r w:rsidRPr="000977F7">
        <w:rPr>
          <w:rFonts w:asciiTheme="majorHAnsi" w:hAnsiTheme="majorHAnsi"/>
          <w:spacing w:val="-1"/>
          <w:sz w:val="20"/>
          <w:szCs w:val="20"/>
        </w:rPr>
        <w:t xml:space="preserve"> </w:t>
      </w:r>
      <w:r w:rsidRPr="000977F7">
        <w:rPr>
          <w:rFonts w:asciiTheme="majorHAnsi" w:hAnsiTheme="majorHAnsi"/>
          <w:sz w:val="20"/>
          <w:szCs w:val="20"/>
        </w:rPr>
        <w:t>RANDOM</w:t>
      </w:r>
      <w:r w:rsidRPr="000977F7">
        <w:rPr>
          <w:rFonts w:asciiTheme="majorHAnsi" w:hAnsiTheme="majorHAnsi"/>
          <w:spacing w:val="-3"/>
          <w:sz w:val="20"/>
          <w:szCs w:val="20"/>
        </w:rPr>
        <w:t xml:space="preserve"> </w:t>
      </w:r>
      <w:r w:rsidRPr="000977F7">
        <w:rPr>
          <w:rFonts w:asciiTheme="majorHAnsi" w:hAnsiTheme="majorHAnsi"/>
          <w:sz w:val="20"/>
          <w:szCs w:val="20"/>
        </w:rPr>
        <w:t>LOADING</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A81D1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Випадкове навантажування із сталими характеристиками</w:t>
      </w:r>
      <w:r w:rsidRPr="000977F7">
        <w:rPr>
          <w:rFonts w:asciiTheme="majorHAnsi" w:hAnsiTheme="majorHAnsi"/>
          <w:spacing w:val="-2"/>
          <w:sz w:val="20"/>
          <w:szCs w:val="20"/>
        </w:rPr>
        <w:t xml:space="preserve"> </w:t>
      </w:r>
      <w:r w:rsidRPr="000977F7">
        <w:rPr>
          <w:rFonts w:asciiTheme="majorHAnsi" w:hAnsiTheme="majorHAnsi"/>
          <w:sz w:val="20"/>
          <w:szCs w:val="20"/>
        </w:rPr>
        <w:t>процесу</w:t>
      </w:r>
    </w:p>
    <w:p w14:paraId="71441B85"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2444 - 94</w:t>
      </w:r>
    </w:p>
    <w:p w14:paraId="5CE0B6C6"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lastRenderedPageBreak/>
        <w:t>СТАЦІОНАРНЕ</w:t>
      </w:r>
      <w:r w:rsidRPr="004D2D14">
        <w:rPr>
          <w:rFonts w:asciiTheme="majorHAnsi" w:hAnsiTheme="majorHAnsi"/>
          <w:b/>
          <w:sz w:val="20"/>
          <w:szCs w:val="20"/>
          <w:lang w:val="en-US"/>
        </w:rPr>
        <w:t xml:space="preserve"> </w:t>
      </w:r>
      <w:r w:rsidRPr="000977F7">
        <w:rPr>
          <w:rFonts w:asciiTheme="majorHAnsi" w:hAnsiTheme="majorHAnsi"/>
          <w:b/>
          <w:sz w:val="20"/>
          <w:szCs w:val="20"/>
        </w:rPr>
        <w:t>ДІЯННЯ</w:t>
      </w:r>
      <w:r w:rsidRPr="004D2D14">
        <w:rPr>
          <w:rFonts w:asciiTheme="majorHAnsi" w:hAnsiTheme="majorHAnsi"/>
          <w:b/>
          <w:sz w:val="20"/>
          <w:szCs w:val="20"/>
          <w:lang w:val="en-US"/>
        </w:rPr>
        <w:t xml:space="preserve"> –</w:t>
      </w:r>
    </w:p>
    <w:p w14:paraId="33D0B4B4"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b/>
          <w:spacing w:val="-47"/>
          <w:sz w:val="20"/>
          <w:szCs w:val="20"/>
          <w:lang w:val="en-US"/>
        </w:rPr>
        <w:t xml:space="preserve"> </w:t>
      </w:r>
      <w:r w:rsidRPr="004D2D14">
        <w:rPr>
          <w:rFonts w:asciiTheme="majorHAnsi" w:hAnsiTheme="majorHAnsi"/>
          <w:sz w:val="20"/>
          <w:szCs w:val="20"/>
          <w:lang w:val="en-US"/>
        </w:rPr>
        <w:t>STATIONARY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ACTION –</w:t>
      </w:r>
    </w:p>
    <w:p w14:paraId="68B131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Діяння, значення основного параметра якого не залежить</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70B20ED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79F0244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СТАЦІОНАРНИЙ</w:t>
      </w:r>
      <w:r w:rsidRPr="000977F7">
        <w:rPr>
          <w:color w:val="auto"/>
          <w:spacing w:val="-10"/>
          <w:sz w:val="20"/>
          <w:szCs w:val="20"/>
        </w:rPr>
        <w:t xml:space="preserve"> </w:t>
      </w:r>
      <w:r w:rsidRPr="000977F7">
        <w:rPr>
          <w:color w:val="auto"/>
          <w:sz w:val="20"/>
          <w:szCs w:val="20"/>
        </w:rPr>
        <w:t>ЗЧИТУВАЛЬНИЙ</w:t>
      </w:r>
      <w:r w:rsidRPr="000977F7">
        <w:rPr>
          <w:color w:val="auto"/>
          <w:spacing w:val="-10"/>
          <w:sz w:val="20"/>
          <w:szCs w:val="20"/>
        </w:rPr>
        <w:t xml:space="preserve"> </w:t>
      </w:r>
      <w:r w:rsidRPr="000977F7">
        <w:rPr>
          <w:color w:val="auto"/>
          <w:sz w:val="20"/>
          <w:szCs w:val="20"/>
        </w:rPr>
        <w:t>ПРИСТРІЙ</w:t>
      </w:r>
      <w:r w:rsidRPr="000977F7">
        <w:rPr>
          <w:color w:val="auto"/>
          <w:spacing w:val="-47"/>
          <w:sz w:val="20"/>
          <w:szCs w:val="20"/>
        </w:rPr>
        <w:t xml:space="preserve">            </w:t>
      </w:r>
      <w:r w:rsidRPr="000977F7">
        <w:rPr>
          <w:color w:val="auto"/>
          <w:sz w:val="20"/>
          <w:szCs w:val="20"/>
        </w:rPr>
        <w:t>ШТРИХОВОГО КОДУ</w:t>
      </w:r>
      <w:r w:rsidRPr="000977F7">
        <w:rPr>
          <w:color w:val="auto"/>
          <w:spacing w:val="2"/>
          <w:sz w:val="20"/>
          <w:szCs w:val="20"/>
        </w:rPr>
        <w:t xml:space="preserve"> </w:t>
      </w:r>
      <w:r w:rsidRPr="000977F7">
        <w:rPr>
          <w:color w:val="auto"/>
          <w:sz w:val="20"/>
          <w:szCs w:val="20"/>
        </w:rPr>
        <w:t>-</w:t>
      </w:r>
    </w:p>
    <w:p w14:paraId="0CAC67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Зчитувальний пристрій,</w:t>
      </w:r>
      <w:r w:rsidRPr="000977F7">
        <w:rPr>
          <w:rFonts w:asciiTheme="majorHAnsi" w:hAnsiTheme="majorHAnsi"/>
          <w:spacing w:val="1"/>
          <w:sz w:val="20"/>
          <w:szCs w:val="20"/>
        </w:rPr>
        <w:t xml:space="preserve"> </w:t>
      </w:r>
      <w:r w:rsidRPr="000977F7">
        <w:rPr>
          <w:rFonts w:asciiTheme="majorHAnsi" w:hAnsiTheme="majorHAnsi"/>
          <w:sz w:val="20"/>
          <w:szCs w:val="20"/>
        </w:rPr>
        <w:t>який забезпечує</w:t>
      </w:r>
      <w:r w:rsidRPr="000977F7">
        <w:rPr>
          <w:rFonts w:asciiTheme="majorHAnsi" w:hAnsiTheme="majorHAnsi"/>
          <w:spacing w:val="50"/>
          <w:sz w:val="20"/>
          <w:szCs w:val="20"/>
        </w:rPr>
        <w:t xml:space="preserve"> </w:t>
      </w:r>
      <w:r w:rsidRPr="000977F7">
        <w:rPr>
          <w:rFonts w:asciiTheme="majorHAnsi" w:hAnsiTheme="majorHAnsi"/>
          <w:sz w:val="20"/>
          <w:szCs w:val="20"/>
        </w:rPr>
        <w:t>зчитування</w:t>
      </w:r>
      <w:r w:rsidRPr="000977F7">
        <w:rPr>
          <w:rFonts w:asciiTheme="majorHAnsi" w:hAnsiTheme="majorHAnsi"/>
          <w:spacing w:val="1"/>
          <w:sz w:val="20"/>
          <w:szCs w:val="20"/>
        </w:rPr>
        <w:t xml:space="preserve"> </w:t>
      </w:r>
      <w:r w:rsidRPr="000977F7">
        <w:rPr>
          <w:rFonts w:asciiTheme="majorHAnsi" w:hAnsiTheme="majorHAnsi"/>
          <w:sz w:val="20"/>
          <w:szCs w:val="20"/>
        </w:rPr>
        <w:t>за умови доставки до нього об’єктів з нанесеними на</w:t>
      </w:r>
      <w:r w:rsidRPr="000977F7">
        <w:rPr>
          <w:rFonts w:asciiTheme="majorHAnsi" w:hAnsiTheme="majorHAnsi"/>
          <w:spacing w:val="1"/>
          <w:sz w:val="20"/>
          <w:szCs w:val="20"/>
        </w:rPr>
        <w:t xml:space="preserve"> </w:t>
      </w:r>
      <w:r w:rsidRPr="000977F7">
        <w:rPr>
          <w:rFonts w:asciiTheme="majorHAnsi" w:hAnsiTheme="majorHAnsi"/>
          <w:sz w:val="20"/>
          <w:szCs w:val="20"/>
        </w:rPr>
        <w:t>їхню</w:t>
      </w:r>
      <w:r w:rsidRPr="000977F7">
        <w:rPr>
          <w:rFonts w:asciiTheme="majorHAnsi" w:hAnsiTheme="majorHAnsi"/>
          <w:spacing w:val="1"/>
          <w:sz w:val="20"/>
          <w:szCs w:val="20"/>
        </w:rPr>
        <w:t xml:space="preserve"> </w:t>
      </w:r>
      <w:r w:rsidRPr="000977F7">
        <w:rPr>
          <w:rFonts w:asciiTheme="majorHAnsi" w:hAnsiTheme="majorHAnsi"/>
          <w:sz w:val="20"/>
          <w:szCs w:val="20"/>
        </w:rPr>
        <w:t>поверхню</w:t>
      </w:r>
      <w:r w:rsidRPr="000977F7">
        <w:rPr>
          <w:rFonts w:asciiTheme="majorHAnsi" w:hAnsiTheme="majorHAnsi"/>
          <w:spacing w:val="1"/>
          <w:sz w:val="20"/>
          <w:szCs w:val="20"/>
        </w:rPr>
        <w:t xml:space="preserve"> </w:t>
      </w:r>
      <w:r w:rsidRPr="000977F7">
        <w:rPr>
          <w:rFonts w:asciiTheme="majorHAnsi" w:hAnsiTheme="majorHAnsi"/>
          <w:sz w:val="20"/>
          <w:szCs w:val="20"/>
        </w:rPr>
        <w:t>штрих кодовими</w:t>
      </w:r>
      <w:r w:rsidRPr="000977F7">
        <w:rPr>
          <w:rFonts w:asciiTheme="majorHAnsi" w:hAnsiTheme="majorHAnsi"/>
          <w:spacing w:val="1"/>
          <w:sz w:val="20"/>
          <w:szCs w:val="20"/>
        </w:rPr>
        <w:t xml:space="preserve"> </w:t>
      </w:r>
      <w:r w:rsidRPr="000977F7">
        <w:rPr>
          <w:rFonts w:asciiTheme="majorHAnsi" w:hAnsiTheme="majorHAnsi"/>
          <w:sz w:val="20"/>
          <w:szCs w:val="20"/>
        </w:rPr>
        <w:t>позначками</w:t>
      </w:r>
      <w:r w:rsidRPr="000977F7">
        <w:rPr>
          <w:rFonts w:asciiTheme="majorHAnsi" w:hAnsiTheme="majorHAnsi"/>
          <w:spacing w:val="1"/>
          <w:sz w:val="20"/>
          <w:szCs w:val="20"/>
        </w:rPr>
        <w:t xml:space="preserve"> </w:t>
      </w:r>
      <w:r w:rsidRPr="000977F7">
        <w:rPr>
          <w:rFonts w:asciiTheme="majorHAnsi" w:hAnsiTheme="majorHAnsi"/>
          <w:sz w:val="20"/>
          <w:szCs w:val="20"/>
        </w:rPr>
        <w:t>вручну</w:t>
      </w:r>
      <w:r w:rsidRPr="000977F7">
        <w:rPr>
          <w:rFonts w:asciiTheme="majorHAnsi" w:hAnsiTheme="majorHAnsi"/>
          <w:spacing w:val="-47"/>
          <w:sz w:val="20"/>
          <w:szCs w:val="20"/>
        </w:rPr>
        <w:t xml:space="preserve"> </w:t>
      </w:r>
      <w:r w:rsidRPr="000977F7">
        <w:rPr>
          <w:rFonts w:asciiTheme="majorHAnsi" w:hAnsiTheme="majorHAnsi"/>
          <w:sz w:val="20"/>
          <w:szCs w:val="20"/>
        </w:rPr>
        <w:t>або автоматично</w:t>
      </w:r>
    </w:p>
    <w:p w14:paraId="4CFB0F0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3144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67D6D0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272" w:name="_Hlk104216680"/>
      <w:r w:rsidRPr="000977F7">
        <w:rPr>
          <w:color w:val="auto"/>
          <w:sz w:val="20"/>
          <w:szCs w:val="20"/>
        </w:rPr>
        <w:t>СТАЦІОНАРНИЙ</w:t>
      </w:r>
      <w:r w:rsidRPr="000977F7">
        <w:rPr>
          <w:color w:val="auto"/>
          <w:spacing w:val="-7"/>
          <w:sz w:val="20"/>
          <w:szCs w:val="20"/>
        </w:rPr>
        <w:t xml:space="preserve"> </w:t>
      </w:r>
      <w:r w:rsidRPr="000977F7">
        <w:rPr>
          <w:color w:val="auto"/>
          <w:sz w:val="20"/>
          <w:szCs w:val="20"/>
        </w:rPr>
        <w:t>КОЕФІЦІЄНТ</w:t>
      </w:r>
      <w:r w:rsidRPr="000977F7">
        <w:rPr>
          <w:color w:val="auto"/>
          <w:spacing w:val="-9"/>
          <w:sz w:val="20"/>
          <w:szCs w:val="20"/>
        </w:rPr>
        <w:t xml:space="preserve"> </w:t>
      </w:r>
      <w:r w:rsidRPr="000977F7">
        <w:rPr>
          <w:color w:val="auto"/>
          <w:sz w:val="20"/>
          <w:szCs w:val="20"/>
        </w:rPr>
        <w:t>ГОТОВНОСТІ -</w:t>
      </w:r>
    </w:p>
    <w:p w14:paraId="24CD1A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w:t>
      </w:r>
      <w:r w:rsidRPr="000977F7">
        <w:rPr>
          <w:rFonts w:asciiTheme="majorHAnsi" w:hAnsiTheme="majorHAnsi"/>
          <w:spacing w:val="-5"/>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STEADY</w:t>
      </w:r>
      <w:r w:rsidRPr="000977F7">
        <w:rPr>
          <w:rFonts w:asciiTheme="majorHAnsi" w:hAnsiTheme="majorHAnsi"/>
          <w:spacing w:val="-3"/>
          <w:sz w:val="20"/>
          <w:szCs w:val="20"/>
        </w:rPr>
        <w:t xml:space="preserve"> </w:t>
      </w:r>
      <w:r w:rsidRPr="000977F7">
        <w:rPr>
          <w:rFonts w:asciiTheme="majorHAnsi" w:hAnsiTheme="majorHAnsi"/>
          <w:sz w:val="20"/>
          <w:szCs w:val="20"/>
        </w:rPr>
        <w:t>STATE</w:t>
      </w:r>
      <w:r w:rsidRPr="000977F7">
        <w:rPr>
          <w:rFonts w:asciiTheme="majorHAnsi" w:hAnsiTheme="majorHAnsi"/>
          <w:spacing w:val="-2"/>
          <w:sz w:val="20"/>
          <w:szCs w:val="20"/>
        </w:rPr>
        <w:t xml:space="preserve"> </w:t>
      </w:r>
      <w:r w:rsidRPr="000977F7">
        <w:rPr>
          <w:rFonts w:asciiTheme="majorHAnsi" w:hAnsiTheme="majorHAnsi"/>
          <w:sz w:val="20"/>
          <w:szCs w:val="20"/>
        </w:rPr>
        <w:t>AVAILABILITY</w:t>
      </w:r>
      <w:r w:rsidRPr="000977F7">
        <w:rPr>
          <w:rFonts w:asciiTheme="majorHAnsi" w:hAnsiTheme="majorHAnsi"/>
          <w:spacing w:val="2"/>
          <w:sz w:val="20"/>
          <w:szCs w:val="20"/>
        </w:rPr>
        <w:t xml:space="preserve"> </w:t>
      </w:r>
      <w:r w:rsidRPr="000977F7">
        <w:rPr>
          <w:rFonts w:asciiTheme="majorHAnsi" w:hAnsiTheme="majorHAnsi"/>
          <w:sz w:val="20"/>
          <w:szCs w:val="20"/>
        </w:rPr>
        <w:t>–</w:t>
      </w:r>
      <w:bookmarkEnd w:id="272"/>
    </w:p>
    <w:p w14:paraId="6B7DD89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 коефіцієнта готовності, визначене для умов роботи об’єкта, коли середній параметр потоку відмов і середня тривалість відновлення залишаються сталими Примітка ( до визначень термінів "середній коефіцієнт  готовності" та "стаціонарний коефіцієнт готовності"</w:t>
      </w:r>
    </w:p>
    <w:p w14:paraId="55EA24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Дозволяється використовувати показник, аналогічний</w:t>
      </w:r>
    </w:p>
    <w:p w14:paraId="1286CC5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коефіцієнтові неготовності, визначений як доповнення 1 середнього коефіцієнта готовності чи стаціонарного коефіцієнта готовності, який має назву відповідно "середній коефіцієнт неготовності" чи "стаціонарний коефіцієнт неготовності"</w:t>
      </w:r>
    </w:p>
    <w:p w14:paraId="5859116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2860</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6BFD44F4"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СТАЦІОНАРНИЙ</w:t>
      </w:r>
      <w:r w:rsidRPr="004D2D14">
        <w:rPr>
          <w:rFonts w:asciiTheme="majorHAnsi" w:hAnsiTheme="majorHAnsi"/>
          <w:b/>
          <w:sz w:val="20"/>
          <w:szCs w:val="20"/>
          <w:lang w:val="en-US"/>
        </w:rPr>
        <w:t xml:space="preserve"> </w:t>
      </w:r>
      <w:r w:rsidRPr="000977F7">
        <w:rPr>
          <w:rFonts w:asciiTheme="majorHAnsi" w:hAnsiTheme="majorHAnsi"/>
          <w:b/>
          <w:sz w:val="20"/>
          <w:szCs w:val="20"/>
        </w:rPr>
        <w:t>ОБ</w:t>
      </w:r>
      <w:r w:rsidRPr="004D2D14">
        <w:rPr>
          <w:rFonts w:asciiTheme="majorHAnsi" w:hAnsiTheme="majorHAnsi"/>
          <w:b/>
          <w:sz w:val="20"/>
          <w:szCs w:val="20"/>
          <w:lang w:val="en-US"/>
        </w:rPr>
        <w:t>’</w:t>
      </w:r>
      <w:r w:rsidRPr="000977F7">
        <w:rPr>
          <w:rFonts w:asciiTheme="majorHAnsi" w:hAnsiTheme="majorHAnsi"/>
          <w:b/>
          <w:sz w:val="20"/>
          <w:szCs w:val="20"/>
        </w:rPr>
        <w:t>ЄКТ</w:t>
      </w:r>
      <w:r w:rsidRPr="004D2D14">
        <w:rPr>
          <w:rFonts w:asciiTheme="majorHAnsi" w:hAnsiTheme="majorHAnsi"/>
          <w:b/>
          <w:sz w:val="20"/>
          <w:szCs w:val="20"/>
          <w:lang w:val="en-US"/>
        </w:rPr>
        <w:t xml:space="preserve"> –</w:t>
      </w:r>
    </w:p>
    <w:p w14:paraId="6E4B28BE"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STATIONARY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OBJECT</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5466F4A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 структура математичної моделі якого та (або)</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2"/>
          <w:sz w:val="20"/>
          <w:szCs w:val="20"/>
        </w:rPr>
        <w:t xml:space="preserve"> </w:t>
      </w:r>
      <w:r w:rsidRPr="000977F7">
        <w:rPr>
          <w:rFonts w:asciiTheme="majorHAnsi" w:hAnsiTheme="majorHAnsi"/>
          <w:sz w:val="20"/>
          <w:szCs w:val="20"/>
        </w:rPr>
        <w:t>параметри</w:t>
      </w:r>
      <w:r w:rsidRPr="000977F7">
        <w:rPr>
          <w:rFonts w:asciiTheme="majorHAnsi" w:hAnsiTheme="majorHAnsi"/>
          <w:spacing w:val="-1"/>
          <w:sz w:val="20"/>
          <w:szCs w:val="20"/>
        </w:rPr>
        <w:t xml:space="preserve"> </w:t>
      </w:r>
      <w:r w:rsidRPr="000977F7">
        <w:rPr>
          <w:rFonts w:asciiTheme="majorHAnsi" w:hAnsiTheme="majorHAnsi"/>
          <w:sz w:val="20"/>
          <w:szCs w:val="20"/>
        </w:rPr>
        <w:t>не залежать</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0CC3F58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3956 - 2000</w:t>
      </w:r>
    </w:p>
    <w:p w14:paraId="54AFB7A7"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СТАЦІОНАРНИЙ</w:t>
      </w:r>
      <w:r w:rsidRPr="004D2D14">
        <w:rPr>
          <w:rFonts w:asciiTheme="majorHAnsi" w:hAnsiTheme="majorHAnsi"/>
          <w:b/>
          <w:sz w:val="20"/>
          <w:szCs w:val="20"/>
          <w:lang w:val="en-US"/>
        </w:rPr>
        <w:t xml:space="preserve"> </w:t>
      </w:r>
      <w:r w:rsidRPr="000977F7">
        <w:rPr>
          <w:rFonts w:asciiTheme="majorHAnsi" w:hAnsiTheme="majorHAnsi"/>
          <w:b/>
          <w:sz w:val="20"/>
          <w:szCs w:val="20"/>
        </w:rPr>
        <w:t>ПОКАЗНИК</w:t>
      </w:r>
      <w:r w:rsidRPr="004D2D14">
        <w:rPr>
          <w:rFonts w:asciiTheme="majorHAnsi" w:hAnsiTheme="majorHAnsi"/>
          <w:b/>
          <w:sz w:val="20"/>
          <w:szCs w:val="20"/>
          <w:lang w:val="en-US"/>
        </w:rPr>
        <w:t xml:space="preserve"> </w:t>
      </w:r>
    </w:p>
    <w:p w14:paraId="7425598E"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НАДІЙНОСТІ</w:t>
      </w:r>
      <w:r w:rsidRPr="004D2D14">
        <w:rPr>
          <w:rFonts w:asciiTheme="majorHAnsi" w:hAnsiTheme="majorHAnsi"/>
          <w:b/>
          <w:sz w:val="20"/>
          <w:szCs w:val="20"/>
          <w:lang w:val="en-US"/>
        </w:rPr>
        <w:t xml:space="preserve"> –</w:t>
      </w:r>
    </w:p>
    <w:p w14:paraId="57E99F42"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STEADY-STATE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DEPENDABILITY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MEASURE -</w:t>
      </w:r>
    </w:p>
    <w:p w14:paraId="388F9E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 змінного</w:t>
      </w:r>
      <w:r w:rsidRPr="000977F7">
        <w:rPr>
          <w:rFonts w:asciiTheme="majorHAnsi" w:hAnsiTheme="majorHAnsi"/>
          <w:spacing w:val="1"/>
          <w:sz w:val="20"/>
          <w:szCs w:val="20"/>
        </w:rPr>
        <w:t xml:space="preserve"> </w:t>
      </w:r>
      <w:r w:rsidRPr="000977F7">
        <w:rPr>
          <w:rFonts w:asciiTheme="majorHAnsi" w:hAnsiTheme="majorHAnsi"/>
          <w:sz w:val="20"/>
          <w:szCs w:val="20"/>
        </w:rPr>
        <w:t>у часі показника</w:t>
      </w:r>
      <w:r w:rsidRPr="000977F7">
        <w:rPr>
          <w:rFonts w:asciiTheme="majorHAnsi" w:hAnsiTheme="majorHAnsi"/>
          <w:spacing w:val="50"/>
          <w:sz w:val="20"/>
          <w:szCs w:val="20"/>
        </w:rPr>
        <w:t xml:space="preserve"> </w:t>
      </w:r>
      <w:r w:rsidRPr="000977F7">
        <w:rPr>
          <w:rFonts w:asciiTheme="majorHAnsi" w:hAnsiTheme="majorHAnsi"/>
          <w:sz w:val="20"/>
          <w:szCs w:val="20"/>
        </w:rPr>
        <w:t>надійності, яке</w:t>
      </w:r>
      <w:r w:rsidRPr="000977F7">
        <w:rPr>
          <w:rFonts w:asciiTheme="majorHAnsi" w:hAnsiTheme="majorHAnsi"/>
          <w:spacing w:val="1"/>
          <w:sz w:val="20"/>
          <w:szCs w:val="20"/>
        </w:rPr>
        <w:t xml:space="preserve"> </w:t>
      </w:r>
      <w:r w:rsidRPr="000977F7">
        <w:rPr>
          <w:rFonts w:asciiTheme="majorHAnsi" w:hAnsiTheme="majorHAnsi"/>
          <w:sz w:val="20"/>
          <w:szCs w:val="20"/>
        </w:rPr>
        <w:t>він приймає в умовах роботи об’єкта, коли параметри</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характеристик</w:t>
      </w:r>
      <w:r w:rsidRPr="000977F7">
        <w:rPr>
          <w:rFonts w:asciiTheme="majorHAnsi" w:hAnsiTheme="majorHAnsi"/>
          <w:spacing w:val="-2"/>
          <w:sz w:val="20"/>
          <w:szCs w:val="20"/>
        </w:rPr>
        <w:t xml:space="preserve"> </w:t>
      </w:r>
      <w:r w:rsidRPr="000977F7">
        <w:rPr>
          <w:rFonts w:asciiTheme="majorHAnsi" w:hAnsiTheme="majorHAnsi"/>
          <w:sz w:val="20"/>
          <w:szCs w:val="20"/>
        </w:rPr>
        <w:t>залишаються</w:t>
      </w:r>
      <w:r w:rsidRPr="000977F7">
        <w:rPr>
          <w:rFonts w:asciiTheme="majorHAnsi" w:hAnsiTheme="majorHAnsi"/>
          <w:spacing w:val="-2"/>
          <w:sz w:val="20"/>
          <w:szCs w:val="20"/>
        </w:rPr>
        <w:t xml:space="preserve"> </w:t>
      </w:r>
      <w:r w:rsidRPr="000977F7">
        <w:rPr>
          <w:rFonts w:asciiTheme="majorHAnsi" w:hAnsiTheme="majorHAnsi"/>
          <w:sz w:val="20"/>
          <w:szCs w:val="20"/>
        </w:rPr>
        <w:t>незмінними</w:t>
      </w:r>
    </w:p>
    <w:p w14:paraId="78CB6FD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F8F723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СТАЦІОНАРНІ</w:t>
      </w:r>
      <w:r w:rsidRPr="000977F7">
        <w:rPr>
          <w:color w:val="auto"/>
          <w:spacing w:val="-5"/>
          <w:sz w:val="20"/>
          <w:szCs w:val="20"/>
        </w:rPr>
        <w:t xml:space="preserve"> </w:t>
      </w:r>
      <w:r w:rsidRPr="000977F7">
        <w:rPr>
          <w:color w:val="auto"/>
          <w:sz w:val="20"/>
          <w:szCs w:val="20"/>
        </w:rPr>
        <w:t>МЕХАНІЧНІ</w:t>
      </w:r>
      <w:r w:rsidRPr="000977F7">
        <w:rPr>
          <w:color w:val="auto"/>
          <w:spacing w:val="-5"/>
          <w:sz w:val="20"/>
          <w:szCs w:val="20"/>
        </w:rPr>
        <w:t xml:space="preserve"> </w:t>
      </w:r>
      <w:r w:rsidRPr="000977F7">
        <w:rPr>
          <w:color w:val="auto"/>
          <w:sz w:val="20"/>
          <w:szCs w:val="20"/>
        </w:rPr>
        <w:t>ЗВ’ЯЗКИ</w:t>
      </w:r>
      <w:r w:rsidRPr="000977F7">
        <w:rPr>
          <w:color w:val="auto"/>
          <w:spacing w:val="-1"/>
          <w:sz w:val="20"/>
          <w:szCs w:val="20"/>
        </w:rPr>
        <w:t xml:space="preserve"> </w:t>
      </w:r>
      <w:r w:rsidRPr="000977F7">
        <w:rPr>
          <w:color w:val="auto"/>
          <w:sz w:val="20"/>
          <w:szCs w:val="20"/>
        </w:rPr>
        <w:t>–</w:t>
      </w:r>
    </w:p>
    <w:p w14:paraId="2D1E58D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Механічні зв’язки, що не змінюються в часі (рівняння</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містять</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собі</w:t>
      </w:r>
      <w:r w:rsidRPr="000977F7">
        <w:rPr>
          <w:rFonts w:asciiTheme="majorHAnsi" w:hAnsiTheme="majorHAnsi"/>
          <w:spacing w:val="-2"/>
          <w:sz w:val="20"/>
          <w:szCs w:val="20"/>
        </w:rPr>
        <w:t xml:space="preserve"> </w:t>
      </w:r>
      <w:r w:rsidRPr="000977F7">
        <w:rPr>
          <w:rFonts w:asciiTheme="majorHAnsi" w:hAnsiTheme="majorHAnsi"/>
          <w:sz w:val="20"/>
          <w:szCs w:val="20"/>
        </w:rPr>
        <w:t>явно</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0043F3C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2474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9ECA6F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СТВОРЕННЯ</w:t>
      </w:r>
      <w:r w:rsidRPr="000977F7">
        <w:rPr>
          <w:color w:val="auto"/>
          <w:spacing w:val="-4"/>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16CDFAA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Послідовність</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1"/>
          <w:sz w:val="20"/>
          <w:szCs w:val="20"/>
        </w:rPr>
        <w:t xml:space="preserve"> </w:t>
      </w:r>
      <w:r w:rsidRPr="000977F7">
        <w:rPr>
          <w:rFonts w:asciiTheme="majorHAnsi" w:hAnsiTheme="majorHAnsi"/>
          <w:sz w:val="20"/>
          <w:szCs w:val="20"/>
        </w:rPr>
        <w:t>маркетингових</w:t>
      </w:r>
      <w:r w:rsidRPr="000977F7">
        <w:rPr>
          <w:rFonts w:asciiTheme="majorHAnsi" w:hAnsiTheme="majorHAnsi"/>
          <w:spacing w:val="1"/>
          <w:sz w:val="20"/>
          <w:szCs w:val="20"/>
        </w:rPr>
        <w:t xml:space="preserve"> </w:t>
      </w:r>
      <w:r w:rsidRPr="000977F7">
        <w:rPr>
          <w:rFonts w:asciiTheme="majorHAnsi" w:hAnsiTheme="majorHAnsi"/>
          <w:sz w:val="20"/>
          <w:szCs w:val="20"/>
        </w:rPr>
        <w:t>досліджень, розроблення, виготовлення та передавання</w:t>
      </w:r>
      <w:r w:rsidRPr="000977F7">
        <w:rPr>
          <w:rFonts w:asciiTheme="majorHAnsi" w:hAnsiTheme="majorHAnsi"/>
          <w:spacing w:val="-2"/>
          <w:sz w:val="20"/>
          <w:szCs w:val="20"/>
        </w:rPr>
        <w:t xml:space="preserve"> </w:t>
      </w:r>
      <w:r w:rsidRPr="000977F7">
        <w:rPr>
          <w:rFonts w:asciiTheme="majorHAnsi" w:hAnsiTheme="majorHAnsi"/>
          <w:sz w:val="20"/>
          <w:szCs w:val="20"/>
        </w:rPr>
        <w:t>зразка продукції</w:t>
      </w:r>
    </w:p>
    <w:p w14:paraId="7715548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859591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СТЕНД</w:t>
      </w:r>
      <w:r w:rsidRPr="000977F7">
        <w:rPr>
          <w:color w:val="auto"/>
          <w:spacing w:val="-5"/>
          <w:sz w:val="20"/>
          <w:szCs w:val="20"/>
        </w:rPr>
        <w:t xml:space="preserve"> </w:t>
      </w:r>
      <w:r w:rsidRPr="000977F7">
        <w:rPr>
          <w:color w:val="auto"/>
          <w:sz w:val="20"/>
          <w:szCs w:val="20"/>
        </w:rPr>
        <w:t>БАГАТОРАЗОВИХ</w:t>
      </w:r>
      <w:r w:rsidRPr="000977F7">
        <w:rPr>
          <w:color w:val="auto"/>
          <w:spacing w:val="-3"/>
          <w:sz w:val="20"/>
          <w:szCs w:val="20"/>
        </w:rPr>
        <w:t xml:space="preserve"> </w:t>
      </w:r>
      <w:r w:rsidRPr="000977F7">
        <w:rPr>
          <w:color w:val="auto"/>
          <w:sz w:val="20"/>
          <w:szCs w:val="20"/>
        </w:rPr>
        <w:t>УДАРІВ –</w:t>
      </w:r>
    </w:p>
    <w:p w14:paraId="66BAFC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Випробувальне</w:t>
      </w:r>
      <w:r w:rsidRPr="000977F7">
        <w:rPr>
          <w:rFonts w:asciiTheme="majorHAnsi" w:hAnsiTheme="majorHAnsi"/>
          <w:spacing w:val="1"/>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1"/>
          <w:sz w:val="20"/>
          <w:szCs w:val="20"/>
        </w:rPr>
        <w:t xml:space="preserve"> </w:t>
      </w:r>
      <w:r w:rsidRPr="000977F7">
        <w:rPr>
          <w:rFonts w:asciiTheme="majorHAnsi" w:hAnsiTheme="majorHAnsi"/>
          <w:sz w:val="20"/>
          <w:szCs w:val="20"/>
        </w:rPr>
        <w:t>копрового</w:t>
      </w:r>
      <w:r w:rsidRPr="000977F7">
        <w:rPr>
          <w:rFonts w:asciiTheme="majorHAnsi" w:hAnsiTheme="majorHAnsi"/>
          <w:spacing w:val="1"/>
          <w:sz w:val="20"/>
          <w:szCs w:val="20"/>
        </w:rPr>
        <w:t xml:space="preserve"> </w:t>
      </w:r>
      <w:r w:rsidRPr="000977F7">
        <w:rPr>
          <w:rFonts w:asciiTheme="majorHAnsi" w:hAnsiTheme="majorHAnsi"/>
          <w:sz w:val="20"/>
          <w:szCs w:val="20"/>
        </w:rPr>
        <w:t>чи електродинамічного типу для випробування зразка на ударну</w:t>
      </w:r>
      <w:r w:rsidRPr="000977F7">
        <w:rPr>
          <w:rFonts w:asciiTheme="majorHAnsi" w:hAnsiTheme="majorHAnsi"/>
          <w:spacing w:val="1"/>
          <w:sz w:val="20"/>
          <w:szCs w:val="20"/>
        </w:rPr>
        <w:t xml:space="preserve"> </w:t>
      </w:r>
      <w:r w:rsidRPr="000977F7">
        <w:rPr>
          <w:rFonts w:asciiTheme="majorHAnsi" w:hAnsiTheme="majorHAnsi"/>
          <w:sz w:val="20"/>
          <w:szCs w:val="20"/>
        </w:rPr>
        <w:t>стійкість</w:t>
      </w:r>
      <w:r w:rsidRPr="000977F7">
        <w:rPr>
          <w:rFonts w:asciiTheme="majorHAnsi" w:hAnsiTheme="majorHAnsi"/>
          <w:spacing w:val="-3"/>
          <w:sz w:val="20"/>
          <w:szCs w:val="20"/>
        </w:rPr>
        <w:t xml:space="preserve"> </w:t>
      </w:r>
      <w:r w:rsidRPr="000977F7">
        <w:rPr>
          <w:rFonts w:asciiTheme="majorHAnsi" w:hAnsiTheme="majorHAnsi"/>
          <w:sz w:val="20"/>
          <w:szCs w:val="20"/>
        </w:rPr>
        <w:t>багаторазовими</w:t>
      </w:r>
      <w:r w:rsidRPr="000977F7">
        <w:rPr>
          <w:rFonts w:asciiTheme="majorHAnsi" w:hAnsiTheme="majorHAnsi"/>
          <w:spacing w:val="-2"/>
          <w:sz w:val="20"/>
          <w:szCs w:val="20"/>
        </w:rPr>
        <w:t xml:space="preserve"> </w:t>
      </w:r>
      <w:r w:rsidRPr="000977F7">
        <w:rPr>
          <w:rFonts w:asciiTheme="majorHAnsi" w:hAnsiTheme="majorHAnsi"/>
          <w:sz w:val="20"/>
          <w:szCs w:val="20"/>
        </w:rPr>
        <w:t>механічними ударами</w:t>
      </w:r>
    </w:p>
    <w:p w14:paraId="2E6469DF" w14:textId="77777777" w:rsidR="0097612F" w:rsidRPr="000977F7" w:rsidRDefault="0097612F" w:rsidP="000977F7">
      <w:pPr>
        <w:pStyle w:val="7"/>
        <w:tabs>
          <w:tab w:val="left" w:pos="284"/>
        </w:tabs>
        <w:spacing w:before="0" w:line="240" w:lineRule="auto"/>
        <w:ind w:left="170"/>
        <w:mirrorIndents/>
        <w:jc w:val="both"/>
        <w:rPr>
          <w:b w:val="0"/>
          <w:bCs/>
          <w:i/>
          <w:color w:val="auto"/>
          <w:spacing w:val="1"/>
          <w:sz w:val="20"/>
          <w:szCs w:val="20"/>
        </w:rPr>
      </w:pPr>
      <w:r w:rsidRPr="000977F7">
        <w:rPr>
          <w:b w:val="0"/>
          <w:bCs/>
          <w:i/>
          <w:color w:val="auto"/>
          <w:sz w:val="20"/>
          <w:szCs w:val="20"/>
        </w:rPr>
        <w:t>ДСТУ</w:t>
      </w:r>
      <w:r w:rsidRPr="000977F7">
        <w:rPr>
          <w:b w:val="0"/>
          <w:bCs/>
          <w:i/>
          <w:color w:val="auto"/>
          <w:spacing w:val="-1"/>
          <w:sz w:val="20"/>
          <w:szCs w:val="20"/>
        </w:rPr>
        <w:t xml:space="preserve"> </w:t>
      </w:r>
      <w:r w:rsidRPr="000977F7">
        <w:rPr>
          <w:b w:val="0"/>
          <w:bCs/>
          <w:i/>
          <w:color w:val="auto"/>
          <w:sz w:val="20"/>
          <w:szCs w:val="20"/>
        </w:rPr>
        <w:t>3011</w:t>
      </w:r>
      <w:r w:rsidRPr="000977F7">
        <w:rPr>
          <w:b w:val="0"/>
          <w:bCs/>
          <w:i/>
          <w:color w:val="auto"/>
          <w:spacing w:val="1"/>
          <w:sz w:val="20"/>
          <w:szCs w:val="20"/>
        </w:rPr>
        <w:t xml:space="preserve"> </w:t>
      </w:r>
      <w:r w:rsidRPr="000977F7">
        <w:rPr>
          <w:b w:val="0"/>
          <w:bCs/>
          <w:i/>
          <w:color w:val="auto"/>
          <w:sz w:val="20"/>
          <w:szCs w:val="20"/>
        </w:rPr>
        <w:t>– 95</w:t>
      </w:r>
      <w:r w:rsidRPr="000977F7">
        <w:rPr>
          <w:b w:val="0"/>
          <w:bCs/>
          <w:i/>
          <w:color w:val="auto"/>
          <w:spacing w:val="1"/>
          <w:sz w:val="20"/>
          <w:szCs w:val="20"/>
        </w:rPr>
        <w:t xml:space="preserve"> </w:t>
      </w:r>
    </w:p>
    <w:p w14:paraId="5D3E601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СТЕНД ЛІНІЙНИХ ПРИСКОРЕНЬ –</w:t>
      </w:r>
    </w:p>
    <w:p w14:paraId="3CF9F2AE"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Випробувальне устаткування, що забезпечує надання лінійного прискорення необхідної величини випробувальному зразку</w:t>
      </w:r>
    </w:p>
    <w:p w14:paraId="5BDFD54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3011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504E28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СТЕНД</w:t>
      </w:r>
      <w:r w:rsidRPr="000977F7">
        <w:rPr>
          <w:color w:val="auto"/>
          <w:spacing w:val="-4"/>
          <w:sz w:val="20"/>
          <w:szCs w:val="20"/>
        </w:rPr>
        <w:t xml:space="preserve"> </w:t>
      </w:r>
      <w:r w:rsidRPr="000977F7">
        <w:rPr>
          <w:color w:val="auto"/>
          <w:sz w:val="20"/>
          <w:szCs w:val="20"/>
        </w:rPr>
        <w:t>ПООДИНОКИХ</w:t>
      </w:r>
      <w:r w:rsidRPr="000977F7">
        <w:rPr>
          <w:color w:val="auto"/>
          <w:spacing w:val="-2"/>
          <w:sz w:val="20"/>
          <w:szCs w:val="20"/>
        </w:rPr>
        <w:t xml:space="preserve"> </w:t>
      </w:r>
      <w:r w:rsidRPr="000977F7">
        <w:rPr>
          <w:color w:val="auto"/>
          <w:sz w:val="20"/>
          <w:szCs w:val="20"/>
        </w:rPr>
        <w:t>УДАРІВ</w:t>
      </w:r>
      <w:r w:rsidRPr="000977F7">
        <w:rPr>
          <w:color w:val="auto"/>
          <w:spacing w:val="48"/>
          <w:sz w:val="20"/>
          <w:szCs w:val="20"/>
        </w:rPr>
        <w:t xml:space="preserve"> </w:t>
      </w:r>
      <w:r w:rsidRPr="000977F7">
        <w:rPr>
          <w:color w:val="auto"/>
          <w:sz w:val="20"/>
          <w:szCs w:val="20"/>
        </w:rPr>
        <w:t>–</w:t>
      </w:r>
    </w:p>
    <w:p w14:paraId="177211B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Випробувальне</w:t>
      </w:r>
      <w:r w:rsidRPr="000977F7">
        <w:rPr>
          <w:rFonts w:asciiTheme="majorHAnsi" w:hAnsiTheme="majorHAnsi"/>
          <w:spacing w:val="1"/>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1"/>
          <w:sz w:val="20"/>
          <w:szCs w:val="20"/>
        </w:rPr>
        <w:t xml:space="preserve"> </w:t>
      </w:r>
      <w:r w:rsidRPr="000977F7">
        <w:rPr>
          <w:rFonts w:asciiTheme="majorHAnsi" w:hAnsiTheme="majorHAnsi"/>
          <w:sz w:val="20"/>
          <w:szCs w:val="20"/>
        </w:rPr>
        <w:t>копрового</w:t>
      </w:r>
      <w:r w:rsidRPr="000977F7">
        <w:rPr>
          <w:rFonts w:asciiTheme="majorHAnsi" w:hAnsiTheme="majorHAnsi"/>
          <w:spacing w:val="1"/>
          <w:sz w:val="20"/>
          <w:szCs w:val="20"/>
        </w:rPr>
        <w:t xml:space="preserve"> </w:t>
      </w:r>
      <w:r w:rsidRPr="000977F7">
        <w:rPr>
          <w:rFonts w:asciiTheme="majorHAnsi" w:hAnsiTheme="majorHAnsi"/>
          <w:sz w:val="20"/>
          <w:szCs w:val="20"/>
        </w:rPr>
        <w:t>чи електродинамічного типу для випробування зразка на ударну</w:t>
      </w:r>
      <w:r w:rsidRPr="000977F7">
        <w:rPr>
          <w:rFonts w:asciiTheme="majorHAnsi" w:hAnsiTheme="majorHAnsi"/>
          <w:spacing w:val="1"/>
          <w:sz w:val="20"/>
          <w:szCs w:val="20"/>
        </w:rPr>
        <w:t xml:space="preserve"> </w:t>
      </w:r>
      <w:r w:rsidRPr="000977F7">
        <w:rPr>
          <w:rFonts w:asciiTheme="majorHAnsi" w:hAnsiTheme="majorHAnsi"/>
          <w:sz w:val="20"/>
          <w:szCs w:val="20"/>
        </w:rPr>
        <w:t>стійкість</w:t>
      </w:r>
      <w:r w:rsidRPr="000977F7">
        <w:rPr>
          <w:rFonts w:asciiTheme="majorHAnsi" w:hAnsiTheme="majorHAnsi"/>
          <w:spacing w:val="1"/>
          <w:sz w:val="20"/>
          <w:szCs w:val="20"/>
        </w:rPr>
        <w:t xml:space="preserve"> </w:t>
      </w:r>
      <w:r w:rsidRPr="000977F7">
        <w:rPr>
          <w:rFonts w:asciiTheme="majorHAnsi" w:hAnsiTheme="majorHAnsi"/>
          <w:sz w:val="20"/>
          <w:szCs w:val="20"/>
        </w:rPr>
        <w:t>поодинокими</w:t>
      </w:r>
      <w:r w:rsidRPr="000977F7">
        <w:rPr>
          <w:rFonts w:asciiTheme="majorHAnsi" w:hAnsiTheme="majorHAnsi"/>
          <w:spacing w:val="-2"/>
          <w:sz w:val="20"/>
          <w:szCs w:val="20"/>
        </w:rPr>
        <w:t xml:space="preserve"> </w:t>
      </w:r>
      <w:r w:rsidRPr="000977F7">
        <w:rPr>
          <w:rFonts w:asciiTheme="majorHAnsi" w:hAnsiTheme="majorHAnsi"/>
          <w:sz w:val="20"/>
          <w:szCs w:val="20"/>
        </w:rPr>
        <w:t>механічними ударами</w:t>
      </w:r>
    </w:p>
    <w:p w14:paraId="0E1E11F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3011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2A4EA7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СТЕНД</w:t>
      </w:r>
      <w:r w:rsidRPr="000977F7">
        <w:rPr>
          <w:color w:val="auto"/>
          <w:spacing w:val="-5"/>
          <w:sz w:val="20"/>
          <w:szCs w:val="20"/>
        </w:rPr>
        <w:t xml:space="preserve"> </w:t>
      </w:r>
      <w:r w:rsidRPr="000977F7">
        <w:rPr>
          <w:color w:val="auto"/>
          <w:sz w:val="20"/>
          <w:szCs w:val="20"/>
        </w:rPr>
        <w:t>ТРАНСПОРТНОГО</w:t>
      </w:r>
      <w:r w:rsidRPr="000977F7">
        <w:rPr>
          <w:color w:val="auto"/>
          <w:spacing w:val="-4"/>
          <w:sz w:val="20"/>
          <w:szCs w:val="20"/>
        </w:rPr>
        <w:t xml:space="preserve"> </w:t>
      </w:r>
      <w:r w:rsidRPr="000977F7">
        <w:rPr>
          <w:color w:val="auto"/>
          <w:sz w:val="20"/>
          <w:szCs w:val="20"/>
        </w:rPr>
        <w:t>ТРЯСІННЯ</w:t>
      </w:r>
      <w:r w:rsidRPr="000977F7">
        <w:rPr>
          <w:color w:val="auto"/>
          <w:spacing w:val="-1"/>
          <w:sz w:val="20"/>
          <w:szCs w:val="20"/>
        </w:rPr>
        <w:t xml:space="preserve"> </w:t>
      </w:r>
      <w:r w:rsidRPr="000977F7">
        <w:rPr>
          <w:color w:val="auto"/>
          <w:sz w:val="20"/>
          <w:szCs w:val="20"/>
        </w:rPr>
        <w:t>–</w:t>
      </w:r>
    </w:p>
    <w:p w14:paraId="7BC35248"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Випробувальне устаткування, що відтворює транспортне трясіння під час транспортування на гусеничноколісній техніці для впливу на випробувальний зразок</w:t>
      </w:r>
      <w:r w:rsidRPr="000977F7">
        <w:rPr>
          <w:rFonts w:asciiTheme="majorHAnsi" w:hAnsiTheme="majorHAnsi"/>
          <w:spacing w:val="-47"/>
          <w:sz w:val="20"/>
          <w:szCs w:val="20"/>
        </w:rPr>
        <w:t xml:space="preserve"> </w:t>
      </w:r>
    </w:p>
    <w:p w14:paraId="0F3894D0"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3011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8B19E6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СТЕНД</w:t>
      </w:r>
      <w:r w:rsidRPr="000977F7">
        <w:rPr>
          <w:color w:val="auto"/>
          <w:spacing w:val="-4"/>
          <w:sz w:val="20"/>
          <w:szCs w:val="20"/>
        </w:rPr>
        <w:t xml:space="preserve"> </w:t>
      </w:r>
      <w:r w:rsidRPr="000977F7">
        <w:rPr>
          <w:color w:val="auto"/>
          <w:sz w:val="20"/>
          <w:szCs w:val="20"/>
        </w:rPr>
        <w:t>ХИТАННЯ</w:t>
      </w:r>
      <w:r w:rsidRPr="000977F7">
        <w:rPr>
          <w:color w:val="auto"/>
          <w:spacing w:val="-2"/>
          <w:sz w:val="20"/>
          <w:szCs w:val="20"/>
        </w:rPr>
        <w:t xml:space="preserve"> </w:t>
      </w:r>
      <w:r w:rsidRPr="000977F7">
        <w:rPr>
          <w:color w:val="auto"/>
          <w:sz w:val="20"/>
          <w:szCs w:val="20"/>
        </w:rPr>
        <w:t>ТА</w:t>
      </w:r>
      <w:r w:rsidRPr="000977F7">
        <w:rPr>
          <w:color w:val="auto"/>
          <w:spacing w:val="-3"/>
          <w:sz w:val="20"/>
          <w:szCs w:val="20"/>
        </w:rPr>
        <w:t xml:space="preserve"> </w:t>
      </w:r>
      <w:r w:rsidRPr="000977F7">
        <w:rPr>
          <w:color w:val="auto"/>
          <w:sz w:val="20"/>
          <w:szCs w:val="20"/>
        </w:rPr>
        <w:t>(ЧИ)</w:t>
      </w:r>
      <w:r w:rsidRPr="000977F7">
        <w:rPr>
          <w:color w:val="auto"/>
          <w:spacing w:val="-2"/>
          <w:sz w:val="20"/>
          <w:szCs w:val="20"/>
        </w:rPr>
        <w:t xml:space="preserve"> </w:t>
      </w:r>
      <w:r w:rsidRPr="000977F7">
        <w:rPr>
          <w:color w:val="auto"/>
          <w:sz w:val="20"/>
          <w:szCs w:val="20"/>
        </w:rPr>
        <w:t>НАХИЛУ</w:t>
      </w:r>
      <w:r w:rsidRPr="000977F7">
        <w:rPr>
          <w:color w:val="auto"/>
          <w:spacing w:val="1"/>
          <w:sz w:val="20"/>
          <w:szCs w:val="20"/>
        </w:rPr>
        <w:t xml:space="preserve"> </w:t>
      </w:r>
      <w:r w:rsidRPr="000977F7">
        <w:rPr>
          <w:color w:val="auto"/>
          <w:sz w:val="20"/>
          <w:szCs w:val="20"/>
        </w:rPr>
        <w:t>–</w:t>
      </w:r>
    </w:p>
    <w:p w14:paraId="2116505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Випробувальне</w:t>
      </w:r>
      <w:r w:rsidRPr="000977F7">
        <w:rPr>
          <w:rFonts w:asciiTheme="majorHAnsi" w:hAnsiTheme="majorHAnsi"/>
          <w:spacing w:val="23"/>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20"/>
          <w:sz w:val="20"/>
          <w:szCs w:val="20"/>
        </w:rPr>
        <w:t xml:space="preserve"> </w:t>
      </w:r>
      <w:r w:rsidRPr="000977F7">
        <w:rPr>
          <w:rFonts w:asciiTheme="majorHAnsi" w:hAnsiTheme="majorHAnsi"/>
          <w:sz w:val="20"/>
          <w:szCs w:val="20"/>
        </w:rPr>
        <w:t>що</w:t>
      </w:r>
      <w:r w:rsidRPr="000977F7">
        <w:rPr>
          <w:rFonts w:asciiTheme="majorHAnsi" w:hAnsiTheme="majorHAnsi"/>
          <w:spacing w:val="21"/>
          <w:sz w:val="20"/>
          <w:szCs w:val="20"/>
        </w:rPr>
        <w:t xml:space="preserve"> </w:t>
      </w:r>
      <w:r w:rsidRPr="000977F7">
        <w:rPr>
          <w:rFonts w:asciiTheme="majorHAnsi" w:hAnsiTheme="majorHAnsi"/>
          <w:sz w:val="20"/>
          <w:szCs w:val="20"/>
        </w:rPr>
        <w:t>забезпечує</w:t>
      </w:r>
      <w:r w:rsidRPr="000977F7">
        <w:rPr>
          <w:rFonts w:asciiTheme="majorHAnsi" w:hAnsiTheme="majorHAnsi"/>
          <w:spacing w:val="21"/>
          <w:sz w:val="20"/>
          <w:szCs w:val="20"/>
        </w:rPr>
        <w:t xml:space="preserve"> </w:t>
      </w:r>
      <w:r w:rsidRPr="000977F7">
        <w:rPr>
          <w:rFonts w:asciiTheme="majorHAnsi" w:hAnsiTheme="majorHAnsi"/>
          <w:sz w:val="20"/>
          <w:szCs w:val="20"/>
        </w:rPr>
        <w:t>хитання</w:t>
      </w:r>
      <w:r w:rsidRPr="000977F7">
        <w:rPr>
          <w:rFonts w:asciiTheme="majorHAnsi" w:hAnsiTheme="majorHAnsi"/>
          <w:spacing w:val="-47"/>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нахил</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випробувального зразка</w:t>
      </w:r>
    </w:p>
    <w:p w14:paraId="70144C8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3011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5C7CE3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СТЕНДОВІ</w:t>
      </w:r>
      <w:r w:rsidRPr="000977F7">
        <w:rPr>
          <w:color w:val="auto"/>
          <w:spacing w:val="-5"/>
          <w:sz w:val="20"/>
          <w:szCs w:val="20"/>
        </w:rPr>
        <w:t xml:space="preserve"> </w:t>
      </w:r>
      <w:r w:rsidRPr="000977F7">
        <w:rPr>
          <w:color w:val="auto"/>
          <w:sz w:val="20"/>
          <w:szCs w:val="20"/>
        </w:rPr>
        <w:t>ВИПРОБУВАННЯ</w:t>
      </w:r>
      <w:r w:rsidRPr="000977F7">
        <w:rPr>
          <w:color w:val="auto"/>
          <w:spacing w:val="-2"/>
          <w:sz w:val="20"/>
          <w:szCs w:val="20"/>
        </w:rPr>
        <w:t xml:space="preserve"> </w:t>
      </w:r>
      <w:r w:rsidRPr="000977F7">
        <w:rPr>
          <w:color w:val="auto"/>
          <w:sz w:val="20"/>
          <w:szCs w:val="20"/>
        </w:rPr>
        <w:t>–</w:t>
      </w:r>
    </w:p>
    <w:p w14:paraId="6D3F47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BENCH</w:t>
      </w:r>
      <w:r w:rsidRPr="000977F7">
        <w:rPr>
          <w:rFonts w:asciiTheme="majorHAnsi" w:hAnsiTheme="majorHAnsi"/>
          <w:spacing w:val="-2"/>
          <w:sz w:val="20"/>
          <w:szCs w:val="20"/>
        </w:rPr>
        <w:t xml:space="preserve"> </w:t>
      </w:r>
      <w:r w:rsidRPr="000977F7">
        <w:rPr>
          <w:rFonts w:asciiTheme="majorHAnsi" w:hAnsiTheme="majorHAnsi"/>
          <w:sz w:val="20"/>
          <w:szCs w:val="20"/>
        </w:rPr>
        <w:t>TEST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F98C8C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об’єкта, що проводяться на випробувальному</w:t>
      </w:r>
      <w:r w:rsidRPr="000977F7">
        <w:rPr>
          <w:rFonts w:asciiTheme="majorHAnsi" w:hAnsiTheme="majorHAnsi"/>
          <w:spacing w:val="-5"/>
          <w:sz w:val="20"/>
          <w:szCs w:val="20"/>
        </w:rPr>
        <w:t xml:space="preserve"> </w:t>
      </w:r>
      <w:r w:rsidRPr="000977F7">
        <w:rPr>
          <w:rFonts w:asciiTheme="majorHAnsi" w:hAnsiTheme="majorHAnsi"/>
          <w:sz w:val="20"/>
          <w:szCs w:val="20"/>
        </w:rPr>
        <w:t>обладнанні</w:t>
      </w:r>
    </w:p>
    <w:p w14:paraId="135C5E9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9A5222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bCs/>
          <w:sz w:val="20"/>
          <w:szCs w:val="20"/>
        </w:rPr>
        <w:t>СТЕРЖНЕВА</w:t>
      </w:r>
      <w:r w:rsidRPr="000977F7">
        <w:rPr>
          <w:rFonts w:asciiTheme="majorHAnsi" w:hAnsiTheme="majorHAnsi"/>
          <w:b/>
          <w:bCs/>
          <w:spacing w:val="-3"/>
          <w:sz w:val="20"/>
          <w:szCs w:val="20"/>
        </w:rPr>
        <w:t xml:space="preserve"> </w:t>
      </w:r>
      <w:r w:rsidRPr="000977F7">
        <w:rPr>
          <w:rFonts w:asciiTheme="majorHAnsi" w:hAnsiTheme="majorHAnsi"/>
          <w:b/>
          <w:bCs/>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F1B98C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BAR</w:t>
      </w:r>
      <w:r w:rsidRPr="000977F7">
        <w:rPr>
          <w:rFonts w:asciiTheme="majorHAnsi" w:hAnsiTheme="majorHAnsi"/>
          <w:spacing w:val="-1"/>
          <w:sz w:val="20"/>
          <w:szCs w:val="20"/>
        </w:rPr>
        <w:t xml:space="preserve"> </w:t>
      </w:r>
      <w:r w:rsidRPr="000977F7">
        <w:rPr>
          <w:rFonts w:asciiTheme="majorHAnsi" w:hAnsiTheme="majorHAnsi"/>
          <w:sz w:val="20"/>
          <w:szCs w:val="20"/>
        </w:rPr>
        <w:t>SYSTEM</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0C0814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Конструкція,</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3"/>
          <w:sz w:val="20"/>
          <w:szCs w:val="20"/>
        </w:rPr>
        <w:t xml:space="preserve"> </w:t>
      </w:r>
      <w:r w:rsidRPr="000977F7">
        <w:rPr>
          <w:rFonts w:asciiTheme="majorHAnsi" w:hAnsiTheme="majorHAnsi"/>
          <w:sz w:val="20"/>
          <w:szCs w:val="20"/>
        </w:rPr>
        <w:t>складається</w:t>
      </w:r>
      <w:r w:rsidRPr="000977F7">
        <w:rPr>
          <w:rFonts w:asciiTheme="majorHAnsi" w:hAnsiTheme="majorHAnsi"/>
          <w:spacing w:val="-3"/>
          <w:sz w:val="20"/>
          <w:szCs w:val="20"/>
        </w:rPr>
        <w:t xml:space="preserve"> </w:t>
      </w:r>
      <w:r w:rsidRPr="000977F7">
        <w:rPr>
          <w:rFonts w:asciiTheme="majorHAnsi" w:hAnsiTheme="majorHAnsi"/>
          <w:sz w:val="20"/>
          <w:szCs w:val="20"/>
        </w:rPr>
        <w:t>з</w:t>
      </w:r>
      <w:r w:rsidRPr="000977F7">
        <w:rPr>
          <w:rFonts w:asciiTheme="majorHAnsi" w:hAnsiTheme="majorHAnsi"/>
          <w:spacing w:val="-3"/>
          <w:sz w:val="20"/>
          <w:szCs w:val="20"/>
        </w:rPr>
        <w:t xml:space="preserve"> </w:t>
      </w:r>
      <w:r w:rsidRPr="000977F7">
        <w:rPr>
          <w:rFonts w:asciiTheme="majorHAnsi" w:hAnsiTheme="majorHAnsi"/>
          <w:sz w:val="20"/>
          <w:szCs w:val="20"/>
        </w:rPr>
        <w:t>стержнів</w:t>
      </w:r>
    </w:p>
    <w:p w14:paraId="042D489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2825 - 94</w:t>
      </w:r>
    </w:p>
    <w:p w14:paraId="58472FC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СТИМУЛЮВАННЯ</w:t>
      </w:r>
      <w:r w:rsidRPr="000977F7">
        <w:rPr>
          <w:color w:val="auto"/>
          <w:spacing w:val="-3"/>
          <w:sz w:val="20"/>
          <w:szCs w:val="20"/>
        </w:rPr>
        <w:t xml:space="preserve"> </w:t>
      </w:r>
      <w:r w:rsidRPr="000977F7">
        <w:rPr>
          <w:color w:val="auto"/>
          <w:sz w:val="20"/>
          <w:szCs w:val="20"/>
        </w:rPr>
        <w:t>–</w:t>
      </w:r>
    </w:p>
    <w:p w14:paraId="3E0104D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Функція керування, яка полягає у виборі методів, що</w:t>
      </w:r>
      <w:r w:rsidRPr="000977F7">
        <w:rPr>
          <w:rFonts w:asciiTheme="majorHAnsi" w:hAnsiTheme="majorHAnsi"/>
          <w:spacing w:val="1"/>
          <w:sz w:val="20"/>
          <w:szCs w:val="20"/>
        </w:rPr>
        <w:t xml:space="preserve"> </w:t>
      </w:r>
      <w:r w:rsidRPr="000977F7">
        <w:rPr>
          <w:rFonts w:asciiTheme="majorHAnsi" w:hAnsiTheme="majorHAnsi"/>
          <w:sz w:val="20"/>
          <w:szCs w:val="20"/>
        </w:rPr>
        <w:t>спонукають працівників системи керування</w:t>
      </w:r>
      <w:r w:rsidRPr="000977F7">
        <w:rPr>
          <w:rFonts w:asciiTheme="majorHAnsi" w:hAnsiTheme="majorHAnsi"/>
          <w:spacing w:val="1"/>
          <w:sz w:val="20"/>
          <w:szCs w:val="20"/>
        </w:rPr>
        <w:t xml:space="preserve"> </w:t>
      </w:r>
      <w:r w:rsidRPr="000977F7">
        <w:rPr>
          <w:rFonts w:asciiTheme="majorHAnsi" w:hAnsiTheme="majorHAnsi"/>
          <w:sz w:val="20"/>
          <w:szCs w:val="20"/>
        </w:rPr>
        <w:t>та виробництва вирішувати виробничі завдання з максимальною</w:t>
      </w:r>
      <w:r w:rsidRPr="000977F7">
        <w:rPr>
          <w:rFonts w:asciiTheme="majorHAnsi" w:hAnsiTheme="majorHAnsi"/>
          <w:spacing w:val="-1"/>
          <w:sz w:val="20"/>
          <w:szCs w:val="20"/>
        </w:rPr>
        <w:t xml:space="preserve"> </w:t>
      </w:r>
      <w:r w:rsidRPr="000977F7">
        <w:rPr>
          <w:rFonts w:asciiTheme="majorHAnsi" w:hAnsiTheme="majorHAnsi"/>
          <w:sz w:val="20"/>
          <w:szCs w:val="20"/>
        </w:rPr>
        <w:t>ефективністю</w:t>
      </w:r>
    </w:p>
    <w:p w14:paraId="482294C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1B166E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СТИМУЛЬОВАНИЙ</w:t>
      </w:r>
      <w:r w:rsidRPr="000977F7">
        <w:rPr>
          <w:color w:val="auto"/>
          <w:spacing w:val="-4"/>
          <w:sz w:val="20"/>
          <w:szCs w:val="20"/>
        </w:rPr>
        <w:t xml:space="preserve"> </w:t>
      </w:r>
      <w:r w:rsidRPr="000977F7">
        <w:rPr>
          <w:color w:val="auto"/>
          <w:sz w:val="20"/>
          <w:szCs w:val="20"/>
        </w:rPr>
        <w:t>СИГНАЛ</w:t>
      </w:r>
      <w:r w:rsidRPr="000977F7">
        <w:rPr>
          <w:color w:val="auto"/>
          <w:spacing w:val="-1"/>
          <w:sz w:val="20"/>
          <w:szCs w:val="20"/>
        </w:rPr>
        <w:t xml:space="preserve"> </w:t>
      </w:r>
      <w:r w:rsidRPr="000977F7">
        <w:rPr>
          <w:color w:val="auto"/>
          <w:sz w:val="20"/>
          <w:szCs w:val="20"/>
        </w:rPr>
        <w:t>–</w:t>
      </w:r>
    </w:p>
    <w:p w14:paraId="3DC4E3D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 який подають на вхід об’єкта з метою отримання</w:t>
      </w:r>
      <w:r w:rsidRPr="000977F7">
        <w:rPr>
          <w:rFonts w:asciiTheme="majorHAnsi" w:hAnsiTheme="majorHAnsi"/>
          <w:spacing w:val="-2"/>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2"/>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його технічний</w:t>
      </w:r>
      <w:r w:rsidRPr="000977F7">
        <w:rPr>
          <w:rFonts w:asciiTheme="majorHAnsi" w:hAnsiTheme="majorHAnsi"/>
          <w:spacing w:val="-1"/>
          <w:sz w:val="20"/>
          <w:szCs w:val="20"/>
        </w:rPr>
        <w:t xml:space="preserve"> </w:t>
      </w:r>
      <w:r w:rsidRPr="000977F7">
        <w:rPr>
          <w:rFonts w:asciiTheme="majorHAnsi" w:hAnsiTheme="majorHAnsi"/>
          <w:sz w:val="20"/>
          <w:szCs w:val="20"/>
        </w:rPr>
        <w:t>стан</w:t>
      </w:r>
    </w:p>
    <w:p w14:paraId="45656CC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 94</w:t>
      </w:r>
    </w:p>
    <w:p w14:paraId="5F0AAE36"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СТІЙКИЙ</w:t>
      </w:r>
      <w:r w:rsidRPr="000977F7">
        <w:rPr>
          <w:rFonts w:asciiTheme="majorHAnsi" w:hAnsiTheme="majorHAnsi"/>
          <w:b/>
          <w:spacing w:val="-9"/>
          <w:sz w:val="20"/>
          <w:szCs w:val="20"/>
        </w:rPr>
        <w:t xml:space="preserve"> </w:t>
      </w:r>
      <w:r w:rsidRPr="000977F7">
        <w:rPr>
          <w:rFonts w:asciiTheme="majorHAnsi" w:hAnsiTheme="majorHAnsi"/>
          <w:b/>
          <w:sz w:val="20"/>
          <w:szCs w:val="20"/>
        </w:rPr>
        <w:t>СТАН</w:t>
      </w:r>
      <w:r w:rsidRPr="000977F7">
        <w:rPr>
          <w:rFonts w:asciiTheme="majorHAnsi" w:hAnsiTheme="majorHAnsi"/>
          <w:b/>
          <w:spacing w:val="-7"/>
          <w:sz w:val="20"/>
          <w:szCs w:val="20"/>
        </w:rPr>
        <w:t xml:space="preserve"> </w:t>
      </w:r>
      <w:r w:rsidRPr="000977F7">
        <w:rPr>
          <w:rFonts w:asciiTheme="majorHAnsi" w:hAnsiTheme="majorHAnsi"/>
          <w:b/>
          <w:sz w:val="20"/>
          <w:szCs w:val="20"/>
        </w:rPr>
        <w:t>–</w:t>
      </w:r>
    </w:p>
    <w:p w14:paraId="37CA35F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STABLE</w:t>
      </w:r>
      <w:r w:rsidRPr="000977F7">
        <w:rPr>
          <w:rFonts w:asciiTheme="majorHAnsi" w:hAnsiTheme="majorHAnsi"/>
          <w:spacing w:val="-1"/>
          <w:sz w:val="20"/>
          <w:szCs w:val="20"/>
        </w:rPr>
        <w:t xml:space="preserve"> </w:t>
      </w:r>
      <w:r w:rsidRPr="000977F7">
        <w:rPr>
          <w:rFonts w:asciiTheme="majorHAnsi" w:hAnsiTheme="majorHAnsi"/>
          <w:sz w:val="20"/>
          <w:szCs w:val="20"/>
        </w:rPr>
        <w:t>STATE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3862C1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w:t>
      </w:r>
      <w:r w:rsidRPr="000977F7">
        <w:rPr>
          <w:rFonts w:asciiTheme="majorHAnsi" w:hAnsiTheme="majorHAnsi"/>
          <w:spacing w:val="12"/>
          <w:sz w:val="20"/>
          <w:szCs w:val="20"/>
        </w:rPr>
        <w:t xml:space="preserve"> </w:t>
      </w:r>
      <w:r w:rsidRPr="000977F7">
        <w:rPr>
          <w:rFonts w:asciiTheme="majorHAnsi" w:hAnsiTheme="majorHAnsi"/>
          <w:sz w:val="20"/>
          <w:szCs w:val="20"/>
        </w:rPr>
        <w:t>об'єкта,</w:t>
      </w:r>
      <w:r w:rsidRPr="000977F7">
        <w:rPr>
          <w:rFonts w:asciiTheme="majorHAnsi" w:hAnsiTheme="majorHAnsi"/>
          <w:spacing w:val="14"/>
          <w:sz w:val="20"/>
          <w:szCs w:val="20"/>
        </w:rPr>
        <w:t xml:space="preserve"> </w:t>
      </w:r>
      <w:r w:rsidRPr="000977F7">
        <w:rPr>
          <w:rFonts w:asciiTheme="majorHAnsi" w:hAnsiTheme="majorHAnsi"/>
          <w:sz w:val="20"/>
          <w:szCs w:val="20"/>
        </w:rPr>
        <w:t>зміна</w:t>
      </w:r>
      <w:r w:rsidRPr="000977F7">
        <w:rPr>
          <w:rFonts w:asciiTheme="majorHAnsi" w:hAnsiTheme="majorHAnsi"/>
          <w:spacing w:val="15"/>
          <w:sz w:val="20"/>
          <w:szCs w:val="20"/>
        </w:rPr>
        <w:t xml:space="preserve"> </w:t>
      </w:r>
      <w:r w:rsidRPr="000977F7">
        <w:rPr>
          <w:rFonts w:asciiTheme="majorHAnsi" w:hAnsiTheme="majorHAnsi"/>
          <w:sz w:val="20"/>
          <w:szCs w:val="20"/>
        </w:rPr>
        <w:t>якого</w:t>
      </w:r>
      <w:r w:rsidRPr="000977F7">
        <w:rPr>
          <w:rFonts w:asciiTheme="majorHAnsi" w:hAnsiTheme="majorHAnsi"/>
          <w:spacing w:val="14"/>
          <w:sz w:val="20"/>
          <w:szCs w:val="20"/>
        </w:rPr>
        <w:t xml:space="preserve"> </w:t>
      </w:r>
      <w:r w:rsidRPr="000977F7">
        <w:rPr>
          <w:rFonts w:asciiTheme="majorHAnsi" w:hAnsiTheme="majorHAnsi"/>
          <w:sz w:val="20"/>
          <w:szCs w:val="20"/>
        </w:rPr>
        <w:t>можлива</w:t>
      </w:r>
      <w:r w:rsidRPr="000977F7">
        <w:rPr>
          <w:rFonts w:asciiTheme="majorHAnsi" w:hAnsiTheme="majorHAnsi"/>
          <w:spacing w:val="16"/>
          <w:sz w:val="20"/>
          <w:szCs w:val="20"/>
        </w:rPr>
        <w:t xml:space="preserve"> </w:t>
      </w:r>
      <w:r w:rsidRPr="000977F7">
        <w:rPr>
          <w:rFonts w:asciiTheme="majorHAnsi" w:hAnsiTheme="majorHAnsi"/>
          <w:sz w:val="20"/>
          <w:szCs w:val="20"/>
        </w:rPr>
        <w:t>тільки</w:t>
      </w:r>
      <w:r w:rsidRPr="000977F7">
        <w:rPr>
          <w:rFonts w:asciiTheme="majorHAnsi" w:hAnsiTheme="majorHAnsi"/>
          <w:spacing w:val="12"/>
          <w:sz w:val="20"/>
          <w:szCs w:val="20"/>
        </w:rPr>
        <w:t xml:space="preserve"> </w:t>
      </w:r>
      <w:r w:rsidRPr="000977F7">
        <w:rPr>
          <w:rFonts w:asciiTheme="majorHAnsi" w:hAnsiTheme="majorHAnsi"/>
          <w:sz w:val="20"/>
          <w:szCs w:val="20"/>
        </w:rPr>
        <w:t>завдяки</w:t>
      </w:r>
      <w:r w:rsidRPr="000977F7">
        <w:rPr>
          <w:rFonts w:asciiTheme="majorHAnsi" w:hAnsiTheme="majorHAnsi"/>
          <w:spacing w:val="15"/>
          <w:sz w:val="20"/>
          <w:szCs w:val="20"/>
        </w:rPr>
        <w:t xml:space="preserve"> </w:t>
      </w:r>
      <w:r w:rsidRPr="000977F7">
        <w:rPr>
          <w:rFonts w:asciiTheme="majorHAnsi" w:hAnsiTheme="majorHAnsi"/>
          <w:sz w:val="20"/>
          <w:szCs w:val="20"/>
        </w:rPr>
        <w:t>подаванню</w:t>
      </w:r>
      <w:r w:rsidRPr="000977F7">
        <w:rPr>
          <w:rFonts w:asciiTheme="majorHAnsi" w:hAnsiTheme="majorHAnsi"/>
          <w:spacing w:val="-1"/>
          <w:sz w:val="20"/>
          <w:szCs w:val="20"/>
        </w:rPr>
        <w:t xml:space="preserve"> </w:t>
      </w:r>
      <w:r w:rsidRPr="000977F7">
        <w:rPr>
          <w:rFonts w:asciiTheme="majorHAnsi" w:hAnsiTheme="majorHAnsi"/>
          <w:sz w:val="20"/>
          <w:szCs w:val="20"/>
        </w:rPr>
        <w:t>вхідного</w:t>
      </w:r>
      <w:r w:rsidRPr="000977F7">
        <w:rPr>
          <w:rFonts w:asciiTheme="majorHAnsi" w:hAnsiTheme="majorHAnsi"/>
          <w:spacing w:val="1"/>
          <w:sz w:val="20"/>
          <w:szCs w:val="20"/>
        </w:rPr>
        <w:t xml:space="preserve"> </w:t>
      </w:r>
      <w:r w:rsidRPr="000977F7">
        <w:rPr>
          <w:rFonts w:asciiTheme="majorHAnsi" w:hAnsiTheme="majorHAnsi"/>
          <w:sz w:val="20"/>
          <w:szCs w:val="20"/>
        </w:rPr>
        <w:t>діяння</w:t>
      </w:r>
    </w:p>
    <w:p w14:paraId="2D56278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5D37303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СТІЙКІСТЬ</w:t>
      </w:r>
      <w:r w:rsidRPr="000977F7">
        <w:rPr>
          <w:color w:val="auto"/>
          <w:spacing w:val="-2"/>
          <w:sz w:val="20"/>
          <w:szCs w:val="20"/>
        </w:rPr>
        <w:t xml:space="preserve"> </w:t>
      </w:r>
      <w:r w:rsidRPr="000977F7">
        <w:rPr>
          <w:color w:val="auto"/>
          <w:sz w:val="20"/>
          <w:szCs w:val="20"/>
        </w:rPr>
        <w:t>ДО</w:t>
      </w:r>
      <w:r w:rsidRPr="000977F7">
        <w:rPr>
          <w:color w:val="auto"/>
          <w:spacing w:val="-2"/>
          <w:sz w:val="20"/>
          <w:szCs w:val="20"/>
        </w:rPr>
        <w:t xml:space="preserve"> </w:t>
      </w:r>
      <w:r w:rsidRPr="000977F7">
        <w:rPr>
          <w:color w:val="auto"/>
          <w:sz w:val="20"/>
          <w:szCs w:val="20"/>
        </w:rPr>
        <w:t>ЗАЇДАННЯ –</w:t>
      </w:r>
    </w:p>
    <w:p w14:paraId="2941CDC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w:t>
      </w:r>
      <w:r w:rsidRPr="000977F7">
        <w:rPr>
          <w:rFonts w:asciiTheme="majorHAnsi" w:hAnsiTheme="majorHAnsi"/>
          <w:spacing w:val="14"/>
          <w:sz w:val="20"/>
          <w:szCs w:val="20"/>
        </w:rPr>
        <w:t xml:space="preserve"> </w:t>
      </w:r>
      <w:r w:rsidRPr="000977F7">
        <w:rPr>
          <w:rFonts w:asciiTheme="majorHAnsi" w:hAnsiTheme="majorHAnsi"/>
          <w:sz w:val="20"/>
          <w:szCs w:val="20"/>
        </w:rPr>
        <w:t>трібосистеми</w:t>
      </w:r>
      <w:r w:rsidRPr="000977F7">
        <w:rPr>
          <w:rFonts w:asciiTheme="majorHAnsi" w:hAnsiTheme="majorHAnsi"/>
          <w:spacing w:val="12"/>
          <w:sz w:val="20"/>
          <w:szCs w:val="20"/>
        </w:rPr>
        <w:t xml:space="preserve"> </w:t>
      </w:r>
      <w:r w:rsidRPr="000977F7">
        <w:rPr>
          <w:rFonts w:asciiTheme="majorHAnsi" w:hAnsiTheme="majorHAnsi"/>
          <w:sz w:val="20"/>
          <w:szCs w:val="20"/>
        </w:rPr>
        <w:t>працювати</w:t>
      </w:r>
      <w:r w:rsidRPr="000977F7">
        <w:rPr>
          <w:rFonts w:asciiTheme="majorHAnsi" w:hAnsiTheme="majorHAnsi"/>
          <w:spacing w:val="15"/>
          <w:sz w:val="20"/>
          <w:szCs w:val="20"/>
        </w:rPr>
        <w:t xml:space="preserve"> </w:t>
      </w:r>
      <w:r w:rsidRPr="000977F7">
        <w:rPr>
          <w:rFonts w:asciiTheme="majorHAnsi" w:hAnsiTheme="majorHAnsi"/>
          <w:sz w:val="20"/>
          <w:szCs w:val="20"/>
        </w:rPr>
        <w:t>без</w:t>
      </w:r>
      <w:r w:rsidRPr="000977F7">
        <w:rPr>
          <w:rFonts w:asciiTheme="majorHAnsi" w:hAnsiTheme="majorHAnsi"/>
          <w:spacing w:val="14"/>
          <w:sz w:val="20"/>
          <w:szCs w:val="20"/>
        </w:rPr>
        <w:t xml:space="preserve"> </w:t>
      </w:r>
      <w:r w:rsidRPr="000977F7">
        <w:rPr>
          <w:rFonts w:asciiTheme="majorHAnsi" w:hAnsiTheme="majorHAnsi"/>
          <w:sz w:val="20"/>
          <w:szCs w:val="20"/>
        </w:rPr>
        <w:t>заїдання</w:t>
      </w:r>
      <w:r w:rsidRPr="000977F7">
        <w:rPr>
          <w:rFonts w:asciiTheme="majorHAnsi" w:hAnsiTheme="majorHAnsi"/>
          <w:spacing w:val="13"/>
          <w:sz w:val="20"/>
          <w:szCs w:val="20"/>
        </w:rPr>
        <w:t xml:space="preserve"> </w:t>
      </w:r>
      <w:r w:rsidRPr="000977F7">
        <w:rPr>
          <w:rFonts w:asciiTheme="majorHAnsi" w:hAnsiTheme="majorHAnsi"/>
          <w:sz w:val="20"/>
          <w:szCs w:val="20"/>
        </w:rPr>
        <w:t>під</w:t>
      </w:r>
      <w:r w:rsidRPr="000977F7">
        <w:rPr>
          <w:rFonts w:asciiTheme="majorHAnsi" w:hAnsiTheme="majorHAnsi"/>
          <w:spacing w:val="-47"/>
          <w:sz w:val="20"/>
          <w:szCs w:val="20"/>
        </w:rPr>
        <w:t xml:space="preserve"> </w:t>
      </w:r>
      <w:r w:rsidRPr="000977F7">
        <w:rPr>
          <w:rFonts w:asciiTheme="majorHAnsi" w:hAnsiTheme="majorHAnsi"/>
          <w:sz w:val="20"/>
          <w:szCs w:val="20"/>
        </w:rPr>
        <w:t>навантаженням.</w:t>
      </w:r>
    </w:p>
    <w:p w14:paraId="5C811C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02290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Характеризується</w:t>
      </w:r>
      <w:r w:rsidRPr="000977F7">
        <w:rPr>
          <w:rFonts w:asciiTheme="majorHAnsi" w:hAnsiTheme="majorHAnsi"/>
          <w:spacing w:val="14"/>
          <w:sz w:val="20"/>
          <w:szCs w:val="20"/>
        </w:rPr>
        <w:t xml:space="preserve"> </w:t>
      </w:r>
      <w:r w:rsidRPr="000977F7">
        <w:rPr>
          <w:rFonts w:asciiTheme="majorHAnsi" w:hAnsiTheme="majorHAnsi"/>
          <w:sz w:val="20"/>
          <w:szCs w:val="20"/>
        </w:rPr>
        <w:t>значенням</w:t>
      </w:r>
      <w:r w:rsidRPr="000977F7">
        <w:rPr>
          <w:rFonts w:asciiTheme="majorHAnsi" w:hAnsiTheme="majorHAnsi"/>
          <w:spacing w:val="15"/>
          <w:sz w:val="20"/>
          <w:szCs w:val="20"/>
        </w:rPr>
        <w:t xml:space="preserve"> </w:t>
      </w:r>
      <w:r w:rsidRPr="000977F7">
        <w:rPr>
          <w:rFonts w:asciiTheme="majorHAnsi" w:hAnsiTheme="majorHAnsi"/>
          <w:sz w:val="20"/>
          <w:szCs w:val="20"/>
        </w:rPr>
        <w:t>навантаження,</w:t>
      </w:r>
      <w:r w:rsidRPr="000977F7">
        <w:rPr>
          <w:rFonts w:asciiTheme="majorHAnsi" w:hAnsiTheme="majorHAnsi"/>
          <w:spacing w:val="14"/>
          <w:sz w:val="20"/>
          <w:szCs w:val="20"/>
        </w:rPr>
        <w:t xml:space="preserve"> </w:t>
      </w:r>
      <w:r w:rsidRPr="000977F7">
        <w:rPr>
          <w:rFonts w:asciiTheme="majorHAnsi" w:hAnsiTheme="majorHAnsi"/>
          <w:sz w:val="20"/>
          <w:szCs w:val="20"/>
        </w:rPr>
        <w:t>перевищення</w:t>
      </w:r>
      <w:r w:rsidRPr="000977F7">
        <w:rPr>
          <w:rFonts w:asciiTheme="majorHAnsi" w:hAnsiTheme="majorHAnsi"/>
          <w:spacing w:val="-2"/>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призводить</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3"/>
          <w:sz w:val="20"/>
          <w:szCs w:val="20"/>
        </w:rPr>
        <w:t xml:space="preserve"> </w:t>
      </w:r>
      <w:r w:rsidRPr="000977F7">
        <w:rPr>
          <w:rFonts w:asciiTheme="majorHAnsi" w:hAnsiTheme="majorHAnsi"/>
          <w:sz w:val="20"/>
          <w:szCs w:val="20"/>
        </w:rPr>
        <w:t>заїдання</w:t>
      </w:r>
    </w:p>
    <w:p w14:paraId="2913901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E8B71C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СТОМЛЕННЯ</w:t>
      </w:r>
      <w:r w:rsidRPr="000977F7">
        <w:rPr>
          <w:color w:val="auto"/>
          <w:spacing w:val="-2"/>
          <w:sz w:val="20"/>
          <w:szCs w:val="20"/>
        </w:rPr>
        <w:t xml:space="preserve"> </w:t>
      </w:r>
      <w:r w:rsidRPr="000977F7">
        <w:rPr>
          <w:color w:val="auto"/>
          <w:sz w:val="20"/>
          <w:szCs w:val="20"/>
        </w:rPr>
        <w:t>–</w:t>
      </w:r>
    </w:p>
    <w:p w14:paraId="769905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тимчасових змін у фізіологічному і психічному стані</w:t>
      </w:r>
      <w:r w:rsidRPr="000977F7">
        <w:rPr>
          <w:rFonts w:asciiTheme="majorHAnsi" w:hAnsiTheme="majorHAnsi"/>
          <w:spacing w:val="1"/>
          <w:sz w:val="20"/>
          <w:szCs w:val="20"/>
        </w:rPr>
        <w:t xml:space="preserve"> </w:t>
      </w:r>
      <w:r w:rsidRPr="000977F7">
        <w:rPr>
          <w:rFonts w:asciiTheme="majorHAnsi" w:hAnsiTheme="majorHAnsi"/>
          <w:sz w:val="20"/>
          <w:szCs w:val="20"/>
        </w:rPr>
        <w:t>людини,</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з’являються</w:t>
      </w:r>
      <w:r w:rsidRPr="000977F7">
        <w:rPr>
          <w:rFonts w:asciiTheme="majorHAnsi" w:hAnsiTheme="majorHAnsi"/>
          <w:spacing w:val="1"/>
          <w:sz w:val="20"/>
          <w:szCs w:val="20"/>
        </w:rPr>
        <w:t xml:space="preserve"> </w:t>
      </w:r>
      <w:r w:rsidRPr="000977F7">
        <w:rPr>
          <w:rFonts w:asciiTheme="majorHAnsi" w:hAnsiTheme="majorHAnsi"/>
          <w:sz w:val="20"/>
          <w:szCs w:val="20"/>
        </w:rPr>
        <w:t>внаслідок</w:t>
      </w:r>
      <w:r w:rsidRPr="000977F7">
        <w:rPr>
          <w:rFonts w:asciiTheme="majorHAnsi" w:hAnsiTheme="majorHAnsi"/>
          <w:spacing w:val="1"/>
          <w:sz w:val="20"/>
          <w:szCs w:val="20"/>
        </w:rPr>
        <w:t xml:space="preserve"> </w:t>
      </w:r>
      <w:r w:rsidRPr="000977F7">
        <w:rPr>
          <w:rFonts w:asciiTheme="majorHAnsi" w:hAnsiTheme="majorHAnsi"/>
          <w:sz w:val="20"/>
          <w:szCs w:val="20"/>
        </w:rPr>
        <w:t>напруженої чи тривалої діяльності і призводять до погіршення</w:t>
      </w:r>
      <w:r w:rsidRPr="000977F7">
        <w:rPr>
          <w:rFonts w:asciiTheme="majorHAnsi" w:hAnsiTheme="majorHAnsi"/>
          <w:spacing w:val="-2"/>
          <w:sz w:val="20"/>
          <w:szCs w:val="20"/>
        </w:rPr>
        <w:t xml:space="preserve"> </w:t>
      </w:r>
      <w:r w:rsidRPr="000977F7">
        <w:rPr>
          <w:rFonts w:asciiTheme="majorHAnsi" w:hAnsiTheme="majorHAnsi"/>
          <w:sz w:val="20"/>
          <w:szCs w:val="20"/>
        </w:rPr>
        <w:t>її</w:t>
      </w:r>
      <w:r w:rsidRPr="000977F7">
        <w:rPr>
          <w:rFonts w:asciiTheme="majorHAnsi" w:hAnsiTheme="majorHAnsi"/>
          <w:spacing w:val="-2"/>
          <w:sz w:val="20"/>
          <w:szCs w:val="20"/>
        </w:rPr>
        <w:t xml:space="preserve"> </w:t>
      </w:r>
      <w:r w:rsidRPr="000977F7">
        <w:rPr>
          <w:rFonts w:asciiTheme="majorHAnsi" w:hAnsiTheme="majorHAnsi"/>
          <w:sz w:val="20"/>
          <w:szCs w:val="20"/>
        </w:rPr>
        <w:t>кількісних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якісних</w:t>
      </w:r>
      <w:r w:rsidRPr="000977F7">
        <w:rPr>
          <w:rFonts w:asciiTheme="majorHAnsi" w:hAnsiTheme="majorHAnsi"/>
          <w:spacing w:val="-2"/>
          <w:sz w:val="20"/>
          <w:szCs w:val="20"/>
        </w:rPr>
        <w:t xml:space="preserve"> </w:t>
      </w:r>
      <w:r w:rsidRPr="000977F7">
        <w:rPr>
          <w:rFonts w:asciiTheme="majorHAnsi" w:hAnsiTheme="majorHAnsi"/>
          <w:sz w:val="20"/>
          <w:szCs w:val="20"/>
        </w:rPr>
        <w:t>показників</w:t>
      </w:r>
    </w:p>
    <w:p w14:paraId="6762FC0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3038 - 95</w:t>
      </w:r>
    </w:p>
    <w:p w14:paraId="5B6B05E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СТОМЛЕНІСТЬ</w:t>
      </w:r>
      <w:r w:rsidRPr="000977F7">
        <w:rPr>
          <w:color w:val="auto"/>
          <w:spacing w:val="-5"/>
          <w:sz w:val="20"/>
          <w:szCs w:val="20"/>
        </w:rPr>
        <w:t xml:space="preserve"> </w:t>
      </w:r>
      <w:r w:rsidRPr="000977F7">
        <w:rPr>
          <w:color w:val="auto"/>
          <w:sz w:val="20"/>
          <w:szCs w:val="20"/>
        </w:rPr>
        <w:t>–</w:t>
      </w:r>
    </w:p>
    <w:p w14:paraId="33CDA6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Суб’єктивне</w:t>
      </w:r>
      <w:r w:rsidRPr="000977F7">
        <w:rPr>
          <w:rFonts w:asciiTheme="majorHAnsi" w:hAnsiTheme="majorHAnsi"/>
          <w:spacing w:val="-4"/>
          <w:sz w:val="20"/>
          <w:szCs w:val="20"/>
        </w:rPr>
        <w:t xml:space="preserve"> </w:t>
      </w:r>
      <w:r w:rsidRPr="000977F7">
        <w:rPr>
          <w:rFonts w:asciiTheme="majorHAnsi" w:hAnsiTheme="majorHAnsi"/>
          <w:sz w:val="20"/>
          <w:szCs w:val="20"/>
        </w:rPr>
        <w:t>відчуття</w:t>
      </w:r>
      <w:r w:rsidRPr="000977F7">
        <w:rPr>
          <w:rFonts w:asciiTheme="majorHAnsi" w:hAnsiTheme="majorHAnsi"/>
          <w:spacing w:val="-5"/>
          <w:sz w:val="20"/>
          <w:szCs w:val="20"/>
        </w:rPr>
        <w:t xml:space="preserve"> </w:t>
      </w:r>
      <w:r w:rsidRPr="000977F7">
        <w:rPr>
          <w:rFonts w:asciiTheme="majorHAnsi" w:hAnsiTheme="majorHAnsi"/>
          <w:sz w:val="20"/>
          <w:szCs w:val="20"/>
        </w:rPr>
        <w:t>втоми</w:t>
      </w:r>
    </w:p>
    <w:p w14:paraId="737AC42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3038 - 95</w:t>
      </w:r>
    </w:p>
    <w:p w14:paraId="47C361E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СТОРОНА, ЩО НЕПРАВИЛЬНО </w:t>
      </w:r>
    </w:p>
    <w:p w14:paraId="2D8FF06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ВИКОРИСТО</w:t>
      </w:r>
      <w:r w:rsidRPr="000977F7">
        <w:rPr>
          <w:color w:val="auto"/>
          <w:spacing w:val="-47"/>
          <w:sz w:val="20"/>
          <w:szCs w:val="20"/>
        </w:rPr>
        <w:t xml:space="preserve"> </w:t>
      </w:r>
      <w:r w:rsidRPr="000977F7">
        <w:rPr>
          <w:color w:val="auto"/>
          <w:sz w:val="20"/>
          <w:szCs w:val="20"/>
        </w:rPr>
        <w:t>ВУЄ</w:t>
      </w:r>
      <w:r w:rsidRPr="000977F7">
        <w:rPr>
          <w:color w:val="auto"/>
          <w:spacing w:val="-2"/>
          <w:sz w:val="20"/>
          <w:szCs w:val="20"/>
        </w:rPr>
        <w:t xml:space="preserve"> </w:t>
      </w:r>
      <w:r w:rsidRPr="000977F7">
        <w:rPr>
          <w:color w:val="auto"/>
          <w:sz w:val="20"/>
          <w:szCs w:val="20"/>
        </w:rPr>
        <w:t>ЗНАК</w:t>
      </w:r>
      <w:r w:rsidRPr="000977F7">
        <w:rPr>
          <w:color w:val="auto"/>
          <w:spacing w:val="-1"/>
          <w:sz w:val="20"/>
          <w:szCs w:val="20"/>
        </w:rPr>
        <w:t xml:space="preserve"> </w:t>
      </w:r>
      <w:r w:rsidRPr="000977F7">
        <w:rPr>
          <w:color w:val="auto"/>
          <w:sz w:val="20"/>
          <w:szCs w:val="20"/>
        </w:rPr>
        <w:t>ВІДПОВІДНОСТІ</w:t>
      </w:r>
      <w:r w:rsidRPr="000977F7">
        <w:rPr>
          <w:color w:val="auto"/>
          <w:spacing w:val="1"/>
          <w:sz w:val="20"/>
          <w:szCs w:val="20"/>
        </w:rPr>
        <w:t xml:space="preserve"> </w:t>
      </w:r>
      <w:r w:rsidRPr="000977F7">
        <w:rPr>
          <w:color w:val="auto"/>
          <w:sz w:val="20"/>
          <w:szCs w:val="20"/>
        </w:rPr>
        <w:t>–</w:t>
      </w:r>
    </w:p>
    <w:p w14:paraId="060661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MISURER</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3DCBF42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Будь-яка особа, організація або корпоративна організація, що неправильно використали знак </w:t>
      </w:r>
      <w:r w:rsidRPr="000977F7">
        <w:rPr>
          <w:rFonts w:asciiTheme="majorHAnsi" w:hAnsiTheme="majorHAnsi"/>
          <w:sz w:val="20"/>
          <w:szCs w:val="20"/>
        </w:rPr>
        <w:lastRenderedPageBreak/>
        <w:t>відповідності</w:t>
      </w:r>
      <w:r w:rsidRPr="000977F7">
        <w:rPr>
          <w:rFonts w:asciiTheme="majorHAnsi" w:hAnsiTheme="majorHAnsi"/>
          <w:spacing w:val="-47"/>
          <w:sz w:val="20"/>
          <w:szCs w:val="20"/>
        </w:rPr>
        <w:t xml:space="preserve"> </w:t>
      </w:r>
      <w:r w:rsidRPr="000977F7">
        <w:rPr>
          <w:rFonts w:asciiTheme="majorHAnsi" w:hAnsiTheme="majorHAnsi"/>
          <w:sz w:val="20"/>
          <w:szCs w:val="20"/>
        </w:rPr>
        <w:t>незалежно від того, чи може цей знак бути використаним при</w:t>
      </w:r>
      <w:r w:rsidRPr="000977F7">
        <w:rPr>
          <w:rFonts w:asciiTheme="majorHAnsi" w:hAnsiTheme="majorHAnsi"/>
          <w:spacing w:val="-1"/>
          <w:sz w:val="20"/>
          <w:szCs w:val="20"/>
        </w:rPr>
        <w:t xml:space="preserve"> </w:t>
      </w:r>
      <w:r w:rsidRPr="000977F7">
        <w:rPr>
          <w:rFonts w:asciiTheme="majorHAnsi" w:hAnsiTheme="majorHAnsi"/>
          <w:sz w:val="20"/>
          <w:szCs w:val="20"/>
        </w:rPr>
        <w:t>маркуванні</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p>
    <w:p w14:paraId="5462B4C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СТОХАСТИЧНЕ</w:t>
      </w:r>
      <w:r w:rsidRPr="000977F7">
        <w:rPr>
          <w:color w:val="auto"/>
          <w:spacing w:val="-4"/>
          <w:sz w:val="20"/>
          <w:szCs w:val="20"/>
        </w:rPr>
        <w:t xml:space="preserve"> </w:t>
      </w:r>
      <w:r w:rsidRPr="000977F7">
        <w:rPr>
          <w:color w:val="auto"/>
          <w:sz w:val="20"/>
          <w:szCs w:val="20"/>
        </w:rPr>
        <w:t>ДІЯННЯ</w:t>
      </w:r>
      <w:r w:rsidRPr="000977F7">
        <w:rPr>
          <w:color w:val="auto"/>
          <w:spacing w:val="-1"/>
          <w:sz w:val="20"/>
          <w:szCs w:val="20"/>
        </w:rPr>
        <w:t xml:space="preserve"> </w:t>
      </w:r>
      <w:r w:rsidRPr="000977F7">
        <w:rPr>
          <w:color w:val="auto"/>
          <w:sz w:val="20"/>
          <w:szCs w:val="20"/>
        </w:rPr>
        <w:t>–</w:t>
      </w:r>
    </w:p>
    <w:p w14:paraId="69BE98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STOHASTIC</w:t>
      </w:r>
      <w:r w:rsidRPr="000977F7">
        <w:rPr>
          <w:rFonts w:asciiTheme="majorHAnsi" w:hAnsiTheme="majorHAnsi"/>
          <w:spacing w:val="-3"/>
          <w:sz w:val="20"/>
          <w:szCs w:val="20"/>
        </w:rPr>
        <w:t xml:space="preserve"> </w:t>
      </w:r>
      <w:r w:rsidRPr="000977F7">
        <w:rPr>
          <w:rFonts w:asciiTheme="majorHAnsi" w:hAnsiTheme="majorHAnsi"/>
          <w:sz w:val="20"/>
          <w:szCs w:val="20"/>
        </w:rPr>
        <w:t>ACTION –</w:t>
      </w:r>
    </w:p>
    <w:p w14:paraId="4FF8CE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Діяння, значення основного параметра якого передбачувані з певною ймовірністю, що відрізняється від</w:t>
      </w:r>
      <w:r w:rsidRPr="000977F7">
        <w:rPr>
          <w:rFonts w:asciiTheme="majorHAnsi" w:hAnsiTheme="majorHAnsi"/>
          <w:spacing w:val="1"/>
          <w:sz w:val="20"/>
          <w:szCs w:val="20"/>
        </w:rPr>
        <w:t xml:space="preserve"> </w:t>
      </w:r>
      <w:r w:rsidRPr="000977F7">
        <w:rPr>
          <w:rFonts w:asciiTheme="majorHAnsi" w:hAnsiTheme="majorHAnsi"/>
          <w:sz w:val="20"/>
          <w:szCs w:val="20"/>
        </w:rPr>
        <w:t>одиниці</w:t>
      </w:r>
    </w:p>
    <w:p w14:paraId="1708CA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73F8E1C"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Для</w:t>
      </w:r>
      <w:r w:rsidRPr="000977F7">
        <w:rPr>
          <w:rFonts w:asciiTheme="majorHAnsi" w:hAnsiTheme="majorHAnsi"/>
          <w:spacing w:val="38"/>
          <w:sz w:val="20"/>
          <w:szCs w:val="20"/>
        </w:rPr>
        <w:t xml:space="preserve"> </w:t>
      </w:r>
      <w:r w:rsidRPr="000977F7">
        <w:rPr>
          <w:rFonts w:asciiTheme="majorHAnsi" w:hAnsiTheme="majorHAnsi"/>
          <w:sz w:val="20"/>
          <w:szCs w:val="20"/>
        </w:rPr>
        <w:t>нестаціонарного</w:t>
      </w:r>
      <w:r w:rsidRPr="000977F7">
        <w:rPr>
          <w:rFonts w:asciiTheme="majorHAnsi" w:hAnsiTheme="majorHAnsi"/>
          <w:spacing w:val="40"/>
          <w:sz w:val="20"/>
          <w:szCs w:val="20"/>
        </w:rPr>
        <w:t xml:space="preserve"> </w:t>
      </w:r>
      <w:r w:rsidRPr="000977F7">
        <w:rPr>
          <w:rFonts w:asciiTheme="majorHAnsi" w:hAnsiTheme="majorHAnsi"/>
          <w:sz w:val="20"/>
          <w:szCs w:val="20"/>
        </w:rPr>
        <w:t>стохастичного</w:t>
      </w:r>
      <w:r w:rsidRPr="000977F7">
        <w:rPr>
          <w:rFonts w:asciiTheme="majorHAnsi" w:hAnsiTheme="majorHAnsi"/>
          <w:spacing w:val="40"/>
          <w:sz w:val="20"/>
          <w:szCs w:val="20"/>
        </w:rPr>
        <w:t xml:space="preserve"> </w:t>
      </w:r>
      <w:r w:rsidRPr="000977F7">
        <w:rPr>
          <w:rFonts w:asciiTheme="majorHAnsi" w:hAnsiTheme="majorHAnsi"/>
          <w:sz w:val="20"/>
          <w:szCs w:val="20"/>
        </w:rPr>
        <w:t>діяння</w:t>
      </w:r>
      <w:r w:rsidRPr="000977F7">
        <w:rPr>
          <w:rFonts w:asciiTheme="majorHAnsi" w:hAnsiTheme="majorHAnsi"/>
          <w:spacing w:val="39"/>
          <w:sz w:val="20"/>
          <w:szCs w:val="20"/>
        </w:rPr>
        <w:t xml:space="preserve"> </w:t>
      </w:r>
      <w:r w:rsidRPr="000977F7">
        <w:rPr>
          <w:rFonts w:asciiTheme="majorHAnsi" w:hAnsiTheme="majorHAnsi"/>
          <w:sz w:val="20"/>
          <w:szCs w:val="20"/>
        </w:rPr>
        <w:t>значення</w:t>
      </w:r>
      <w:r w:rsidRPr="000977F7">
        <w:rPr>
          <w:rFonts w:asciiTheme="majorHAnsi" w:hAnsiTheme="majorHAnsi"/>
          <w:spacing w:val="-47"/>
          <w:sz w:val="20"/>
          <w:szCs w:val="20"/>
        </w:rPr>
        <w:t xml:space="preserve"> </w:t>
      </w:r>
      <w:r w:rsidRPr="000977F7">
        <w:rPr>
          <w:rFonts w:asciiTheme="majorHAnsi" w:hAnsiTheme="majorHAnsi"/>
          <w:sz w:val="20"/>
          <w:szCs w:val="20"/>
        </w:rPr>
        <w:t>основного параметра є випадковою функцією часу</w:t>
      </w:r>
      <w:r w:rsidRPr="000977F7">
        <w:rPr>
          <w:rFonts w:asciiTheme="majorHAnsi" w:hAnsiTheme="majorHAnsi"/>
          <w:spacing w:val="1"/>
          <w:sz w:val="20"/>
          <w:szCs w:val="20"/>
        </w:rPr>
        <w:t xml:space="preserve"> </w:t>
      </w:r>
    </w:p>
    <w:p w14:paraId="6C3BA980"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3956 - 2000</w:t>
      </w:r>
    </w:p>
    <w:p w14:paraId="47E291D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СТОХАСТИЧНИЙ</w:t>
      </w:r>
      <w:r w:rsidRPr="000977F7">
        <w:rPr>
          <w:color w:val="auto"/>
          <w:spacing w:val="-4"/>
          <w:sz w:val="20"/>
          <w:szCs w:val="20"/>
        </w:rPr>
        <w:t xml:space="preserve"> </w:t>
      </w:r>
      <w:r w:rsidRPr="000977F7">
        <w:rPr>
          <w:color w:val="auto"/>
          <w:sz w:val="20"/>
          <w:szCs w:val="20"/>
        </w:rPr>
        <w:t>ОБ’ЄКТ</w:t>
      </w:r>
      <w:r w:rsidRPr="000977F7">
        <w:rPr>
          <w:color w:val="auto"/>
          <w:spacing w:val="-3"/>
          <w:sz w:val="20"/>
          <w:szCs w:val="20"/>
        </w:rPr>
        <w:t xml:space="preserve"> </w:t>
      </w:r>
      <w:r w:rsidRPr="000977F7">
        <w:rPr>
          <w:color w:val="auto"/>
          <w:sz w:val="20"/>
          <w:szCs w:val="20"/>
        </w:rPr>
        <w:t>–</w:t>
      </w:r>
    </w:p>
    <w:p w14:paraId="5A0155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STOHASTIC</w:t>
      </w:r>
      <w:r w:rsidRPr="000977F7">
        <w:rPr>
          <w:rFonts w:asciiTheme="majorHAnsi" w:hAnsiTheme="majorHAnsi"/>
          <w:spacing w:val="-3"/>
          <w:sz w:val="20"/>
          <w:szCs w:val="20"/>
        </w:rPr>
        <w:t xml:space="preserve"> </w:t>
      </w:r>
      <w:r w:rsidRPr="000977F7">
        <w:rPr>
          <w:rFonts w:asciiTheme="majorHAnsi" w:hAnsiTheme="majorHAnsi"/>
          <w:sz w:val="20"/>
          <w:szCs w:val="20"/>
        </w:rPr>
        <w:t>OBJECT</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037D1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 математична модель якого встановлює ймовірну залежність хоча б однієї змінної величини від іншої</w:t>
      </w:r>
      <w:r w:rsidRPr="000977F7">
        <w:rPr>
          <w:rFonts w:asciiTheme="majorHAnsi" w:hAnsiTheme="majorHAnsi"/>
          <w:spacing w:val="-2"/>
          <w:sz w:val="20"/>
          <w:szCs w:val="20"/>
        </w:rPr>
        <w:t xml:space="preserve"> </w:t>
      </w:r>
      <w:r w:rsidRPr="000977F7">
        <w:rPr>
          <w:rFonts w:asciiTheme="majorHAnsi" w:hAnsiTheme="majorHAnsi"/>
          <w:sz w:val="20"/>
          <w:szCs w:val="20"/>
        </w:rPr>
        <w:t>або інших</w:t>
      </w:r>
      <w:r w:rsidRPr="000977F7">
        <w:rPr>
          <w:rFonts w:asciiTheme="majorHAnsi" w:hAnsiTheme="majorHAnsi"/>
          <w:spacing w:val="-1"/>
          <w:sz w:val="20"/>
          <w:szCs w:val="20"/>
        </w:rPr>
        <w:t xml:space="preserve"> </w:t>
      </w:r>
      <w:r w:rsidRPr="000977F7">
        <w:rPr>
          <w:rFonts w:asciiTheme="majorHAnsi" w:hAnsiTheme="majorHAnsi"/>
          <w:sz w:val="20"/>
          <w:szCs w:val="20"/>
        </w:rPr>
        <w:t>змінних</w:t>
      </w:r>
      <w:r w:rsidRPr="000977F7">
        <w:rPr>
          <w:rFonts w:asciiTheme="majorHAnsi" w:hAnsiTheme="majorHAnsi"/>
          <w:spacing w:val="-1"/>
          <w:sz w:val="20"/>
          <w:szCs w:val="20"/>
        </w:rPr>
        <w:t xml:space="preserve"> </w:t>
      </w:r>
      <w:r w:rsidRPr="000977F7">
        <w:rPr>
          <w:rFonts w:asciiTheme="majorHAnsi" w:hAnsiTheme="majorHAnsi"/>
          <w:sz w:val="20"/>
          <w:szCs w:val="20"/>
        </w:rPr>
        <w:t>величин</w:t>
      </w:r>
    </w:p>
    <w:p w14:paraId="7873BCD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0B1FE8D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СТОХАСТИЧНІ</w:t>
      </w:r>
      <w:r w:rsidRPr="000977F7">
        <w:rPr>
          <w:color w:val="auto"/>
          <w:spacing w:val="-5"/>
          <w:sz w:val="20"/>
          <w:szCs w:val="20"/>
        </w:rPr>
        <w:t xml:space="preserve"> </w:t>
      </w:r>
      <w:r w:rsidRPr="000977F7">
        <w:rPr>
          <w:color w:val="auto"/>
          <w:sz w:val="20"/>
          <w:szCs w:val="20"/>
        </w:rPr>
        <w:t>РАДІАЦІЙНІ</w:t>
      </w:r>
      <w:r w:rsidRPr="000977F7">
        <w:rPr>
          <w:color w:val="auto"/>
          <w:spacing w:val="-4"/>
          <w:sz w:val="20"/>
          <w:szCs w:val="20"/>
        </w:rPr>
        <w:t xml:space="preserve"> </w:t>
      </w:r>
      <w:r w:rsidRPr="000977F7">
        <w:rPr>
          <w:color w:val="auto"/>
          <w:sz w:val="20"/>
          <w:szCs w:val="20"/>
        </w:rPr>
        <w:t>ЕФЕКТИ</w:t>
      </w:r>
      <w:r w:rsidRPr="000977F7">
        <w:rPr>
          <w:color w:val="auto"/>
          <w:spacing w:val="-2"/>
          <w:sz w:val="20"/>
          <w:szCs w:val="20"/>
        </w:rPr>
        <w:t xml:space="preserve"> </w:t>
      </w:r>
      <w:r w:rsidRPr="000977F7">
        <w:rPr>
          <w:color w:val="auto"/>
          <w:sz w:val="20"/>
          <w:szCs w:val="20"/>
        </w:rPr>
        <w:t>–</w:t>
      </w:r>
    </w:p>
    <w:p w14:paraId="6234171B"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pacing w:val="-4"/>
          <w:sz w:val="20"/>
          <w:szCs w:val="20"/>
        </w:rPr>
        <w:t xml:space="preserve">Віддалені </w:t>
      </w:r>
      <w:r w:rsidRPr="000977F7">
        <w:rPr>
          <w:rFonts w:asciiTheme="majorHAnsi" w:hAnsiTheme="majorHAnsi"/>
          <w:spacing w:val="-3"/>
          <w:sz w:val="20"/>
          <w:szCs w:val="20"/>
        </w:rPr>
        <w:t>наслідки опромінювання людини, ймовірність</w:t>
      </w:r>
      <w:r w:rsidRPr="000977F7">
        <w:rPr>
          <w:rFonts w:asciiTheme="majorHAnsi" w:hAnsiTheme="majorHAnsi"/>
          <w:spacing w:val="-47"/>
          <w:sz w:val="20"/>
          <w:szCs w:val="20"/>
        </w:rPr>
        <w:t xml:space="preserve"> </w:t>
      </w:r>
      <w:r w:rsidRPr="000977F7">
        <w:rPr>
          <w:rFonts w:asciiTheme="majorHAnsi" w:hAnsiTheme="majorHAnsi"/>
          <w:sz w:val="20"/>
          <w:szCs w:val="20"/>
        </w:rPr>
        <w:t>появи</w:t>
      </w:r>
      <w:r w:rsidRPr="000977F7">
        <w:rPr>
          <w:rFonts w:asciiTheme="majorHAnsi" w:hAnsiTheme="majorHAnsi"/>
          <w:spacing w:val="-6"/>
          <w:sz w:val="20"/>
          <w:szCs w:val="20"/>
        </w:rPr>
        <w:t xml:space="preserve"> </w:t>
      </w:r>
      <w:r w:rsidRPr="000977F7">
        <w:rPr>
          <w:rFonts w:asciiTheme="majorHAnsi" w:hAnsiTheme="majorHAnsi"/>
          <w:sz w:val="20"/>
          <w:szCs w:val="20"/>
        </w:rPr>
        <w:t>яких</w:t>
      </w:r>
      <w:r w:rsidRPr="000977F7">
        <w:rPr>
          <w:rFonts w:asciiTheme="majorHAnsi" w:hAnsiTheme="majorHAnsi"/>
          <w:spacing w:val="-5"/>
          <w:sz w:val="20"/>
          <w:szCs w:val="20"/>
        </w:rPr>
        <w:t xml:space="preserve"> </w:t>
      </w:r>
      <w:r w:rsidRPr="000977F7">
        <w:rPr>
          <w:rFonts w:asciiTheme="majorHAnsi" w:hAnsiTheme="majorHAnsi"/>
          <w:sz w:val="20"/>
          <w:szCs w:val="20"/>
        </w:rPr>
        <w:t>залишається</w:t>
      </w:r>
      <w:r w:rsidRPr="000977F7">
        <w:rPr>
          <w:rFonts w:asciiTheme="majorHAnsi" w:hAnsiTheme="majorHAnsi"/>
          <w:spacing w:val="-5"/>
          <w:sz w:val="20"/>
          <w:szCs w:val="20"/>
        </w:rPr>
        <w:t xml:space="preserve"> </w:t>
      </w:r>
      <w:r w:rsidRPr="000977F7">
        <w:rPr>
          <w:rFonts w:asciiTheme="majorHAnsi" w:hAnsiTheme="majorHAnsi"/>
          <w:sz w:val="20"/>
          <w:szCs w:val="20"/>
        </w:rPr>
        <w:t>за</w:t>
      </w:r>
      <w:r w:rsidRPr="000977F7">
        <w:rPr>
          <w:rFonts w:asciiTheme="majorHAnsi" w:hAnsiTheme="majorHAnsi"/>
          <w:spacing w:val="-5"/>
          <w:sz w:val="20"/>
          <w:szCs w:val="20"/>
        </w:rPr>
        <w:t xml:space="preserve"> </w:t>
      </w:r>
      <w:r w:rsidRPr="000977F7">
        <w:rPr>
          <w:rFonts w:asciiTheme="majorHAnsi" w:hAnsiTheme="majorHAnsi"/>
          <w:sz w:val="20"/>
          <w:szCs w:val="20"/>
        </w:rPr>
        <w:t>будь-яких</w:t>
      </w:r>
      <w:r w:rsidRPr="000977F7">
        <w:rPr>
          <w:rFonts w:asciiTheme="majorHAnsi" w:hAnsiTheme="majorHAnsi"/>
          <w:spacing w:val="-6"/>
          <w:sz w:val="20"/>
          <w:szCs w:val="20"/>
        </w:rPr>
        <w:t xml:space="preserve"> </w:t>
      </w:r>
      <w:r w:rsidRPr="000977F7">
        <w:rPr>
          <w:rFonts w:asciiTheme="majorHAnsi" w:hAnsiTheme="majorHAnsi"/>
          <w:sz w:val="20"/>
          <w:szCs w:val="20"/>
        </w:rPr>
        <w:t>малих</w:t>
      </w:r>
      <w:r w:rsidRPr="000977F7">
        <w:rPr>
          <w:rFonts w:asciiTheme="majorHAnsi" w:hAnsiTheme="majorHAnsi"/>
          <w:spacing w:val="-4"/>
          <w:sz w:val="20"/>
          <w:szCs w:val="20"/>
        </w:rPr>
        <w:t xml:space="preserve"> </w:t>
      </w:r>
      <w:r w:rsidRPr="000977F7">
        <w:rPr>
          <w:rFonts w:asciiTheme="majorHAnsi" w:hAnsiTheme="majorHAnsi"/>
          <w:sz w:val="20"/>
          <w:szCs w:val="20"/>
        </w:rPr>
        <w:t>доз</w:t>
      </w:r>
      <w:r w:rsidRPr="000977F7">
        <w:rPr>
          <w:rFonts w:asciiTheme="majorHAnsi" w:hAnsiTheme="majorHAnsi"/>
          <w:spacing w:val="-4"/>
          <w:sz w:val="20"/>
          <w:szCs w:val="20"/>
        </w:rPr>
        <w:t xml:space="preserve"> </w:t>
      </w:r>
      <w:r w:rsidRPr="000977F7">
        <w:rPr>
          <w:rFonts w:asciiTheme="majorHAnsi" w:hAnsiTheme="majorHAnsi"/>
          <w:sz w:val="20"/>
          <w:szCs w:val="20"/>
        </w:rPr>
        <w:t>іонізуючого випромінювання і зростає із збільшення дози</w:t>
      </w:r>
      <w:r w:rsidRPr="000977F7">
        <w:rPr>
          <w:rFonts w:asciiTheme="majorHAnsi" w:hAnsiTheme="majorHAnsi"/>
          <w:spacing w:val="1"/>
          <w:sz w:val="20"/>
          <w:szCs w:val="20"/>
        </w:rPr>
        <w:t xml:space="preserve"> </w:t>
      </w:r>
    </w:p>
    <w:p w14:paraId="03675DF3"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3038 - 95</w:t>
      </w:r>
    </w:p>
    <w:p w14:paraId="2F8BDF6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СТОЯЧА</w:t>
      </w:r>
      <w:r w:rsidRPr="000977F7">
        <w:rPr>
          <w:color w:val="auto"/>
          <w:spacing w:val="-4"/>
          <w:sz w:val="20"/>
          <w:szCs w:val="20"/>
        </w:rPr>
        <w:t xml:space="preserve"> </w:t>
      </w:r>
      <w:r w:rsidRPr="000977F7">
        <w:rPr>
          <w:color w:val="auto"/>
          <w:sz w:val="20"/>
          <w:szCs w:val="20"/>
        </w:rPr>
        <w:t>ХВИЛЯ</w:t>
      </w:r>
      <w:r w:rsidRPr="000977F7">
        <w:rPr>
          <w:color w:val="auto"/>
          <w:spacing w:val="-3"/>
          <w:sz w:val="20"/>
          <w:szCs w:val="20"/>
        </w:rPr>
        <w:t xml:space="preserve"> </w:t>
      </w:r>
      <w:r w:rsidRPr="000977F7">
        <w:rPr>
          <w:color w:val="auto"/>
          <w:sz w:val="20"/>
          <w:szCs w:val="20"/>
        </w:rPr>
        <w:t>–</w:t>
      </w:r>
    </w:p>
    <w:p w14:paraId="24069876"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STANDING</w:t>
      </w:r>
      <w:r w:rsidRPr="000977F7">
        <w:rPr>
          <w:b w:val="0"/>
          <w:bCs/>
          <w:color w:val="auto"/>
          <w:spacing w:val="-4"/>
          <w:sz w:val="20"/>
          <w:szCs w:val="20"/>
        </w:rPr>
        <w:t xml:space="preserve"> </w:t>
      </w:r>
      <w:r w:rsidRPr="000977F7">
        <w:rPr>
          <w:b w:val="0"/>
          <w:bCs/>
          <w:color w:val="auto"/>
          <w:sz w:val="20"/>
          <w:szCs w:val="20"/>
        </w:rPr>
        <w:t>WAVE</w:t>
      </w:r>
      <w:r w:rsidRPr="000977F7">
        <w:rPr>
          <w:b w:val="0"/>
          <w:bCs/>
          <w:color w:val="auto"/>
          <w:spacing w:val="-3"/>
          <w:sz w:val="20"/>
          <w:szCs w:val="20"/>
        </w:rPr>
        <w:t xml:space="preserve"> </w:t>
      </w:r>
      <w:r w:rsidRPr="000977F7">
        <w:rPr>
          <w:b w:val="0"/>
          <w:bCs/>
          <w:color w:val="auto"/>
          <w:sz w:val="20"/>
          <w:szCs w:val="20"/>
        </w:rPr>
        <w:t>–</w:t>
      </w:r>
    </w:p>
    <w:p w14:paraId="2C13AE2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Хвиля, в якій розташування максимумів і мінімумів</w:t>
      </w:r>
      <w:r w:rsidRPr="000977F7">
        <w:rPr>
          <w:rFonts w:asciiTheme="majorHAnsi" w:hAnsiTheme="majorHAnsi"/>
          <w:spacing w:val="1"/>
          <w:sz w:val="20"/>
          <w:szCs w:val="20"/>
        </w:rPr>
        <w:t xml:space="preserve"> </w:t>
      </w:r>
      <w:r w:rsidRPr="000977F7">
        <w:rPr>
          <w:rFonts w:asciiTheme="majorHAnsi" w:hAnsiTheme="majorHAnsi"/>
          <w:sz w:val="20"/>
          <w:szCs w:val="20"/>
        </w:rPr>
        <w:t>переміщень коливних точок середовища зберігається</w:t>
      </w:r>
      <w:r w:rsidRPr="000977F7">
        <w:rPr>
          <w:rFonts w:asciiTheme="majorHAnsi" w:hAnsiTheme="majorHAnsi"/>
          <w:spacing w:val="1"/>
          <w:sz w:val="20"/>
          <w:szCs w:val="20"/>
        </w:rPr>
        <w:t xml:space="preserve"> </w:t>
      </w:r>
      <w:r w:rsidRPr="000977F7">
        <w:rPr>
          <w:rFonts w:asciiTheme="majorHAnsi" w:hAnsiTheme="majorHAnsi"/>
          <w:sz w:val="20"/>
          <w:szCs w:val="20"/>
        </w:rPr>
        <w:t>незмінним в</w:t>
      </w:r>
      <w:r w:rsidRPr="000977F7">
        <w:rPr>
          <w:rFonts w:asciiTheme="majorHAnsi" w:hAnsiTheme="majorHAnsi"/>
          <w:spacing w:val="-1"/>
          <w:sz w:val="20"/>
          <w:szCs w:val="20"/>
        </w:rPr>
        <w:t xml:space="preserve"> </w:t>
      </w:r>
      <w:r w:rsidRPr="000977F7">
        <w:rPr>
          <w:rFonts w:asciiTheme="majorHAnsi" w:hAnsiTheme="majorHAnsi"/>
          <w:sz w:val="20"/>
          <w:szCs w:val="20"/>
        </w:rPr>
        <w:t>часі</w:t>
      </w:r>
    </w:p>
    <w:p w14:paraId="0A0BD18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270E71B" w14:textId="77777777" w:rsidR="0097612F" w:rsidRPr="000977F7" w:rsidRDefault="0097612F" w:rsidP="000977F7">
      <w:pPr>
        <w:pStyle w:val="af6"/>
        <w:tabs>
          <w:tab w:val="left" w:pos="284"/>
        </w:tabs>
        <w:spacing w:after="0"/>
        <w:ind w:left="170"/>
        <w:mirrorIndents/>
        <w:jc w:val="both"/>
        <w:rPr>
          <w:rFonts w:asciiTheme="majorHAnsi" w:hAnsiTheme="majorHAnsi"/>
          <w:spacing w:val="-4"/>
          <w:sz w:val="20"/>
          <w:szCs w:val="20"/>
        </w:rPr>
      </w:pPr>
      <w:r w:rsidRPr="000977F7">
        <w:rPr>
          <w:rFonts w:asciiTheme="majorHAnsi" w:hAnsiTheme="majorHAnsi"/>
          <w:spacing w:val="-4"/>
          <w:sz w:val="20"/>
          <w:szCs w:val="20"/>
        </w:rPr>
        <w:t>Стоячу хвилю можна розглядати як результат накладення двох однакових біжучих хвиль, які поширюються назустріч одна одній</w:t>
      </w:r>
    </w:p>
    <w:p w14:paraId="405EB4D9" w14:textId="77777777" w:rsidR="0097612F" w:rsidRPr="000977F7" w:rsidRDefault="0097612F" w:rsidP="000977F7">
      <w:pPr>
        <w:pStyle w:val="af6"/>
        <w:tabs>
          <w:tab w:val="left" w:pos="284"/>
        </w:tabs>
        <w:spacing w:after="0"/>
        <w:ind w:left="170"/>
        <w:mirrorIndents/>
        <w:jc w:val="both"/>
        <w:rPr>
          <w:rFonts w:asciiTheme="majorHAnsi" w:hAnsiTheme="majorHAnsi"/>
          <w:i/>
          <w:iCs/>
          <w:spacing w:val="-4"/>
          <w:sz w:val="20"/>
          <w:szCs w:val="20"/>
        </w:rPr>
      </w:pPr>
      <w:r w:rsidRPr="000977F7">
        <w:rPr>
          <w:rFonts w:asciiTheme="majorHAnsi" w:hAnsiTheme="majorHAnsi"/>
          <w:i/>
          <w:iCs/>
          <w:spacing w:val="-4"/>
          <w:sz w:val="20"/>
          <w:szCs w:val="20"/>
        </w:rPr>
        <w:t>ДСТУ 2300 – 93</w:t>
      </w:r>
    </w:p>
    <w:p w14:paraId="0C4CD1F6" w14:textId="77777777" w:rsidR="0097612F" w:rsidRPr="000977F7" w:rsidRDefault="0097612F" w:rsidP="000977F7">
      <w:pPr>
        <w:pStyle w:val="af6"/>
        <w:tabs>
          <w:tab w:val="left" w:pos="284"/>
        </w:tabs>
        <w:spacing w:after="0"/>
        <w:ind w:left="170"/>
        <w:mirrorIndents/>
        <w:jc w:val="both"/>
        <w:rPr>
          <w:rFonts w:asciiTheme="majorHAnsi" w:hAnsiTheme="majorHAnsi"/>
          <w:b/>
          <w:spacing w:val="1"/>
          <w:sz w:val="20"/>
          <w:szCs w:val="20"/>
        </w:rPr>
      </w:pPr>
      <w:r w:rsidRPr="000977F7">
        <w:rPr>
          <w:rFonts w:asciiTheme="majorHAnsi" w:hAnsiTheme="majorHAnsi"/>
          <w:i/>
          <w:spacing w:val="-47"/>
          <w:sz w:val="20"/>
          <w:szCs w:val="20"/>
        </w:rPr>
        <w:t xml:space="preserve"> </w:t>
      </w:r>
      <w:r w:rsidRPr="000977F7">
        <w:rPr>
          <w:rFonts w:asciiTheme="majorHAnsi" w:hAnsiTheme="majorHAnsi"/>
          <w:b/>
          <w:sz w:val="20"/>
          <w:szCs w:val="20"/>
        </w:rPr>
        <w:t>СТРАТЕГІЯ –</w:t>
      </w:r>
      <w:r w:rsidRPr="000977F7">
        <w:rPr>
          <w:rFonts w:asciiTheme="majorHAnsi" w:hAnsiTheme="majorHAnsi"/>
          <w:b/>
          <w:spacing w:val="1"/>
          <w:sz w:val="20"/>
          <w:szCs w:val="20"/>
        </w:rPr>
        <w:t xml:space="preserve"> </w:t>
      </w:r>
    </w:p>
    <w:p w14:paraId="7A1F8EC6"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sz w:val="20"/>
          <w:szCs w:val="20"/>
        </w:rPr>
        <w:t xml:space="preserve">STRATEGY </w:t>
      </w:r>
      <w:r w:rsidRPr="000977F7">
        <w:rPr>
          <w:rFonts w:asciiTheme="majorHAnsi" w:hAnsiTheme="majorHAnsi"/>
          <w:b/>
          <w:sz w:val="20"/>
          <w:szCs w:val="20"/>
        </w:rPr>
        <w:t>–</w:t>
      </w:r>
    </w:p>
    <w:p w14:paraId="27B53B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План</w:t>
      </w:r>
      <w:r w:rsidRPr="000977F7">
        <w:rPr>
          <w:rFonts w:asciiTheme="majorHAnsi" w:hAnsiTheme="majorHAnsi"/>
          <w:spacing w:val="-2"/>
          <w:sz w:val="20"/>
          <w:szCs w:val="20"/>
        </w:rPr>
        <w:t xml:space="preserve"> </w:t>
      </w:r>
      <w:r w:rsidRPr="000977F7">
        <w:rPr>
          <w:rFonts w:asciiTheme="majorHAnsi" w:hAnsiTheme="majorHAnsi"/>
          <w:sz w:val="20"/>
          <w:szCs w:val="20"/>
        </w:rPr>
        <w:t>досягнення</w:t>
      </w:r>
      <w:r w:rsidRPr="000977F7">
        <w:rPr>
          <w:rFonts w:asciiTheme="majorHAnsi" w:hAnsiTheme="majorHAnsi"/>
          <w:spacing w:val="-5"/>
          <w:sz w:val="20"/>
          <w:szCs w:val="20"/>
        </w:rPr>
        <w:t xml:space="preserve"> </w:t>
      </w:r>
      <w:r w:rsidRPr="000977F7">
        <w:rPr>
          <w:rFonts w:asciiTheme="majorHAnsi" w:hAnsiTheme="majorHAnsi"/>
          <w:sz w:val="20"/>
          <w:szCs w:val="20"/>
        </w:rPr>
        <w:t>довгострокової</w:t>
      </w:r>
      <w:r w:rsidRPr="000977F7">
        <w:rPr>
          <w:rFonts w:asciiTheme="majorHAnsi" w:hAnsiTheme="majorHAnsi"/>
          <w:spacing w:val="-4"/>
          <w:sz w:val="20"/>
          <w:szCs w:val="20"/>
        </w:rPr>
        <w:t xml:space="preserve"> </w:t>
      </w:r>
      <w:r w:rsidRPr="000977F7">
        <w:rPr>
          <w:rFonts w:asciiTheme="majorHAnsi" w:hAnsiTheme="majorHAnsi"/>
          <w:sz w:val="20"/>
          <w:szCs w:val="20"/>
        </w:rPr>
        <w:t>чи</w:t>
      </w:r>
      <w:r w:rsidRPr="000977F7">
        <w:rPr>
          <w:rFonts w:asciiTheme="majorHAnsi" w:hAnsiTheme="majorHAnsi"/>
          <w:spacing w:val="-4"/>
          <w:sz w:val="20"/>
          <w:szCs w:val="20"/>
        </w:rPr>
        <w:t xml:space="preserve"> </w:t>
      </w:r>
      <w:r w:rsidRPr="000977F7">
        <w:rPr>
          <w:rFonts w:asciiTheme="majorHAnsi" w:hAnsiTheme="majorHAnsi"/>
          <w:sz w:val="20"/>
          <w:szCs w:val="20"/>
        </w:rPr>
        <w:t>загальної</w:t>
      </w:r>
      <w:r w:rsidRPr="000977F7">
        <w:rPr>
          <w:rFonts w:asciiTheme="majorHAnsi" w:hAnsiTheme="majorHAnsi"/>
          <w:spacing w:val="-5"/>
          <w:sz w:val="20"/>
          <w:szCs w:val="20"/>
        </w:rPr>
        <w:t xml:space="preserve"> </w:t>
      </w:r>
      <w:r w:rsidRPr="000977F7">
        <w:rPr>
          <w:rFonts w:asciiTheme="majorHAnsi" w:hAnsiTheme="majorHAnsi"/>
          <w:sz w:val="20"/>
          <w:szCs w:val="20"/>
        </w:rPr>
        <w:t>цілі</w:t>
      </w:r>
    </w:p>
    <w:p w14:paraId="6EC84EC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9000:2015</w:t>
      </w:r>
    </w:p>
    <w:p w14:paraId="15823EA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СТРАТЕГІЯ</w:t>
      </w:r>
      <w:r w:rsidRPr="000977F7">
        <w:rPr>
          <w:color w:val="auto"/>
          <w:spacing w:val="-5"/>
          <w:sz w:val="20"/>
          <w:szCs w:val="20"/>
        </w:rPr>
        <w:t xml:space="preserve"> </w:t>
      </w:r>
      <w:r w:rsidRPr="000977F7">
        <w:rPr>
          <w:color w:val="auto"/>
          <w:sz w:val="20"/>
          <w:szCs w:val="20"/>
        </w:rPr>
        <w:t>АДАПТАЦІЇ</w:t>
      </w:r>
      <w:r w:rsidRPr="000977F7">
        <w:rPr>
          <w:color w:val="auto"/>
          <w:spacing w:val="-5"/>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40AA1596"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Маркетинговий</w:t>
      </w:r>
      <w:r w:rsidRPr="000977F7">
        <w:rPr>
          <w:rFonts w:asciiTheme="majorHAnsi" w:hAnsiTheme="majorHAnsi"/>
          <w:spacing w:val="22"/>
          <w:sz w:val="20"/>
          <w:szCs w:val="20"/>
        </w:rPr>
        <w:t xml:space="preserve"> </w:t>
      </w:r>
      <w:r w:rsidRPr="000977F7">
        <w:rPr>
          <w:rFonts w:asciiTheme="majorHAnsi" w:hAnsiTheme="majorHAnsi"/>
          <w:sz w:val="20"/>
          <w:szCs w:val="20"/>
        </w:rPr>
        <w:t>підхід,</w:t>
      </w:r>
      <w:r w:rsidRPr="000977F7">
        <w:rPr>
          <w:rFonts w:asciiTheme="majorHAnsi" w:hAnsiTheme="majorHAnsi"/>
          <w:spacing w:val="22"/>
          <w:sz w:val="20"/>
          <w:szCs w:val="20"/>
        </w:rPr>
        <w:t xml:space="preserve"> </w:t>
      </w:r>
      <w:r w:rsidRPr="000977F7">
        <w:rPr>
          <w:rFonts w:asciiTheme="majorHAnsi" w:hAnsiTheme="majorHAnsi"/>
          <w:sz w:val="20"/>
          <w:szCs w:val="20"/>
        </w:rPr>
        <w:t>за</w:t>
      </w:r>
      <w:r w:rsidRPr="000977F7">
        <w:rPr>
          <w:rFonts w:asciiTheme="majorHAnsi" w:hAnsiTheme="majorHAnsi"/>
          <w:spacing w:val="23"/>
          <w:sz w:val="20"/>
          <w:szCs w:val="20"/>
        </w:rPr>
        <w:t xml:space="preserve"> </w:t>
      </w:r>
      <w:r w:rsidRPr="000977F7">
        <w:rPr>
          <w:rFonts w:asciiTheme="majorHAnsi" w:hAnsiTheme="majorHAnsi"/>
          <w:sz w:val="20"/>
          <w:szCs w:val="20"/>
        </w:rPr>
        <w:t>якого</w:t>
      </w:r>
      <w:r w:rsidRPr="000977F7">
        <w:rPr>
          <w:rFonts w:asciiTheme="majorHAnsi" w:hAnsiTheme="majorHAnsi"/>
          <w:spacing w:val="24"/>
          <w:sz w:val="20"/>
          <w:szCs w:val="20"/>
        </w:rPr>
        <w:t xml:space="preserve"> </w:t>
      </w:r>
      <w:r w:rsidRPr="000977F7">
        <w:rPr>
          <w:rFonts w:asciiTheme="majorHAnsi" w:hAnsiTheme="majorHAnsi"/>
          <w:sz w:val="20"/>
          <w:szCs w:val="20"/>
        </w:rPr>
        <w:t>продукція</w:t>
      </w:r>
      <w:r w:rsidRPr="000977F7">
        <w:rPr>
          <w:rFonts w:asciiTheme="majorHAnsi" w:hAnsiTheme="majorHAnsi"/>
          <w:spacing w:val="20"/>
          <w:sz w:val="20"/>
          <w:szCs w:val="20"/>
        </w:rPr>
        <w:t xml:space="preserve"> </w:t>
      </w:r>
      <w:r w:rsidRPr="000977F7">
        <w:rPr>
          <w:rFonts w:asciiTheme="majorHAnsi" w:hAnsiTheme="majorHAnsi"/>
          <w:sz w:val="20"/>
          <w:szCs w:val="20"/>
        </w:rPr>
        <w:t>модифікується</w:t>
      </w:r>
      <w:r w:rsidRPr="000977F7">
        <w:rPr>
          <w:rFonts w:asciiTheme="majorHAnsi" w:hAnsiTheme="majorHAnsi"/>
          <w:spacing w:val="-7"/>
          <w:sz w:val="20"/>
          <w:szCs w:val="20"/>
        </w:rPr>
        <w:t xml:space="preserve"> </w:t>
      </w:r>
      <w:r w:rsidRPr="000977F7">
        <w:rPr>
          <w:rFonts w:asciiTheme="majorHAnsi" w:hAnsiTheme="majorHAnsi"/>
          <w:sz w:val="20"/>
          <w:szCs w:val="20"/>
        </w:rPr>
        <w:t>для</w:t>
      </w:r>
      <w:r w:rsidRPr="000977F7">
        <w:rPr>
          <w:rFonts w:asciiTheme="majorHAnsi" w:hAnsiTheme="majorHAnsi"/>
          <w:spacing w:val="-6"/>
          <w:sz w:val="20"/>
          <w:szCs w:val="20"/>
        </w:rPr>
        <w:t xml:space="preserve"> </w:t>
      </w:r>
      <w:r w:rsidRPr="000977F7">
        <w:rPr>
          <w:rFonts w:asciiTheme="majorHAnsi" w:hAnsiTheme="majorHAnsi"/>
          <w:sz w:val="20"/>
          <w:szCs w:val="20"/>
        </w:rPr>
        <w:t>врахування</w:t>
      </w:r>
      <w:r w:rsidRPr="000977F7">
        <w:rPr>
          <w:rFonts w:asciiTheme="majorHAnsi" w:hAnsiTheme="majorHAnsi"/>
          <w:spacing w:val="-8"/>
          <w:sz w:val="20"/>
          <w:szCs w:val="20"/>
        </w:rPr>
        <w:t xml:space="preserve"> </w:t>
      </w:r>
      <w:r w:rsidRPr="000977F7">
        <w:rPr>
          <w:rFonts w:asciiTheme="majorHAnsi" w:hAnsiTheme="majorHAnsi"/>
          <w:sz w:val="20"/>
          <w:szCs w:val="20"/>
        </w:rPr>
        <w:t>мовних</w:t>
      </w:r>
      <w:r w:rsidRPr="000977F7">
        <w:rPr>
          <w:rFonts w:asciiTheme="majorHAnsi" w:hAnsiTheme="majorHAnsi"/>
          <w:spacing w:val="-7"/>
          <w:sz w:val="20"/>
          <w:szCs w:val="20"/>
        </w:rPr>
        <w:t xml:space="preserve"> </w:t>
      </w:r>
      <w:r w:rsidRPr="000977F7">
        <w:rPr>
          <w:rFonts w:asciiTheme="majorHAnsi" w:hAnsiTheme="majorHAnsi"/>
          <w:sz w:val="20"/>
          <w:szCs w:val="20"/>
        </w:rPr>
        <w:t>вимог,</w:t>
      </w:r>
      <w:r w:rsidRPr="000977F7">
        <w:rPr>
          <w:rFonts w:asciiTheme="majorHAnsi" w:hAnsiTheme="majorHAnsi"/>
          <w:spacing w:val="-5"/>
          <w:sz w:val="20"/>
          <w:szCs w:val="20"/>
        </w:rPr>
        <w:t xml:space="preserve"> </w:t>
      </w:r>
      <w:r w:rsidRPr="000977F7">
        <w:rPr>
          <w:rFonts w:asciiTheme="majorHAnsi" w:hAnsiTheme="majorHAnsi"/>
          <w:sz w:val="20"/>
          <w:szCs w:val="20"/>
        </w:rPr>
        <w:t>смакових</w:t>
      </w:r>
      <w:r w:rsidRPr="000977F7">
        <w:rPr>
          <w:rFonts w:asciiTheme="majorHAnsi" w:hAnsiTheme="majorHAnsi"/>
          <w:spacing w:val="-7"/>
          <w:sz w:val="20"/>
          <w:szCs w:val="20"/>
        </w:rPr>
        <w:t xml:space="preserve"> </w:t>
      </w:r>
      <w:r w:rsidRPr="000977F7">
        <w:rPr>
          <w:rFonts w:asciiTheme="majorHAnsi" w:hAnsiTheme="majorHAnsi"/>
          <w:sz w:val="20"/>
          <w:szCs w:val="20"/>
        </w:rPr>
        <w:t>переваг,</w:t>
      </w:r>
      <w:r w:rsidRPr="000977F7">
        <w:rPr>
          <w:rFonts w:asciiTheme="majorHAnsi" w:hAnsiTheme="majorHAnsi"/>
          <w:spacing w:val="-47"/>
          <w:sz w:val="20"/>
          <w:szCs w:val="20"/>
        </w:rPr>
        <w:t xml:space="preserve"> </w:t>
      </w:r>
      <w:r w:rsidRPr="000977F7">
        <w:rPr>
          <w:rFonts w:asciiTheme="majorHAnsi" w:hAnsiTheme="majorHAnsi"/>
          <w:sz w:val="20"/>
          <w:szCs w:val="20"/>
        </w:rPr>
        <w:t>умов</w:t>
      </w:r>
      <w:r w:rsidRPr="000977F7">
        <w:rPr>
          <w:rFonts w:asciiTheme="majorHAnsi" w:hAnsiTheme="majorHAnsi"/>
          <w:spacing w:val="2"/>
          <w:sz w:val="20"/>
          <w:szCs w:val="20"/>
        </w:rPr>
        <w:t xml:space="preserve"> </w:t>
      </w:r>
      <w:r w:rsidRPr="000977F7">
        <w:rPr>
          <w:rFonts w:asciiTheme="majorHAnsi" w:hAnsiTheme="majorHAnsi"/>
          <w:sz w:val="20"/>
          <w:szCs w:val="20"/>
        </w:rPr>
        <w:t>споживання</w:t>
      </w:r>
      <w:r w:rsidRPr="000977F7">
        <w:rPr>
          <w:rFonts w:asciiTheme="majorHAnsi" w:hAnsiTheme="majorHAnsi"/>
          <w:spacing w:val="5"/>
          <w:sz w:val="20"/>
          <w:szCs w:val="20"/>
        </w:rPr>
        <w:t xml:space="preserve"> </w:t>
      </w:r>
      <w:r w:rsidRPr="000977F7">
        <w:rPr>
          <w:rFonts w:asciiTheme="majorHAnsi" w:hAnsiTheme="majorHAnsi"/>
          <w:sz w:val="20"/>
          <w:szCs w:val="20"/>
        </w:rPr>
        <w:t>за</w:t>
      </w:r>
      <w:r w:rsidRPr="000977F7">
        <w:rPr>
          <w:rFonts w:asciiTheme="majorHAnsi" w:hAnsiTheme="majorHAnsi"/>
          <w:spacing w:val="5"/>
          <w:sz w:val="20"/>
          <w:szCs w:val="20"/>
        </w:rPr>
        <w:t xml:space="preserve"> </w:t>
      </w:r>
      <w:r w:rsidRPr="000977F7">
        <w:rPr>
          <w:rFonts w:asciiTheme="majorHAnsi" w:hAnsiTheme="majorHAnsi"/>
          <w:sz w:val="20"/>
          <w:szCs w:val="20"/>
        </w:rPr>
        <w:t>кордоном,</w:t>
      </w:r>
      <w:r w:rsidRPr="000977F7">
        <w:rPr>
          <w:rFonts w:asciiTheme="majorHAnsi" w:hAnsiTheme="majorHAnsi"/>
          <w:spacing w:val="3"/>
          <w:sz w:val="20"/>
          <w:szCs w:val="20"/>
        </w:rPr>
        <w:t xml:space="preserve"> </w:t>
      </w:r>
      <w:r w:rsidRPr="000977F7">
        <w:rPr>
          <w:rFonts w:asciiTheme="majorHAnsi" w:hAnsiTheme="majorHAnsi"/>
          <w:sz w:val="20"/>
          <w:szCs w:val="20"/>
        </w:rPr>
        <w:t>відмінностей</w:t>
      </w:r>
      <w:r w:rsidRPr="000977F7">
        <w:rPr>
          <w:rFonts w:asciiTheme="majorHAnsi" w:hAnsiTheme="majorHAnsi"/>
          <w:spacing w:val="3"/>
          <w:sz w:val="20"/>
          <w:szCs w:val="20"/>
        </w:rPr>
        <w:t xml:space="preserve"> </w:t>
      </w:r>
      <w:r w:rsidRPr="000977F7">
        <w:rPr>
          <w:rFonts w:asciiTheme="majorHAnsi" w:hAnsiTheme="majorHAnsi"/>
          <w:sz w:val="20"/>
          <w:szCs w:val="20"/>
        </w:rPr>
        <w:t>в</w:t>
      </w:r>
      <w:r w:rsidRPr="000977F7">
        <w:rPr>
          <w:rFonts w:asciiTheme="majorHAnsi" w:hAnsiTheme="majorHAnsi"/>
          <w:spacing w:val="4"/>
          <w:sz w:val="20"/>
          <w:szCs w:val="20"/>
        </w:rPr>
        <w:t xml:space="preserve"> </w:t>
      </w:r>
      <w:r w:rsidRPr="000977F7">
        <w:rPr>
          <w:rFonts w:asciiTheme="majorHAnsi" w:hAnsiTheme="majorHAnsi"/>
          <w:sz w:val="20"/>
          <w:szCs w:val="20"/>
        </w:rPr>
        <w:t>енергопостачанні, водопостачанні або правових нормах</w:t>
      </w:r>
      <w:r w:rsidRPr="000977F7">
        <w:rPr>
          <w:rFonts w:asciiTheme="majorHAnsi" w:hAnsiTheme="majorHAnsi"/>
          <w:spacing w:val="1"/>
          <w:sz w:val="20"/>
          <w:szCs w:val="20"/>
        </w:rPr>
        <w:t xml:space="preserve"> </w:t>
      </w:r>
    </w:p>
    <w:p w14:paraId="580AE692"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53C4907"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СТРАТЕГІЯ</w:t>
      </w:r>
      <w:r w:rsidRPr="000977F7">
        <w:rPr>
          <w:color w:val="auto"/>
          <w:spacing w:val="-5"/>
          <w:sz w:val="20"/>
          <w:szCs w:val="20"/>
        </w:rPr>
        <w:t xml:space="preserve"> </w:t>
      </w:r>
      <w:r w:rsidRPr="000977F7">
        <w:rPr>
          <w:color w:val="auto"/>
          <w:sz w:val="20"/>
          <w:szCs w:val="20"/>
        </w:rPr>
        <w:t>АКТИВНОГО</w:t>
      </w:r>
      <w:r w:rsidRPr="000977F7">
        <w:rPr>
          <w:color w:val="auto"/>
          <w:spacing w:val="-3"/>
          <w:sz w:val="20"/>
          <w:szCs w:val="20"/>
        </w:rPr>
        <w:t xml:space="preserve"> </w:t>
      </w:r>
      <w:r w:rsidRPr="000977F7">
        <w:rPr>
          <w:color w:val="auto"/>
          <w:sz w:val="20"/>
          <w:szCs w:val="20"/>
        </w:rPr>
        <w:t>ДІЯННЯ</w:t>
      </w:r>
      <w:r w:rsidRPr="000977F7">
        <w:rPr>
          <w:color w:val="auto"/>
          <w:spacing w:val="-2"/>
          <w:sz w:val="20"/>
          <w:szCs w:val="20"/>
        </w:rPr>
        <w:t xml:space="preserve"> </w:t>
      </w:r>
      <w:r w:rsidRPr="000977F7">
        <w:rPr>
          <w:b w:val="0"/>
          <w:color w:val="auto"/>
          <w:sz w:val="20"/>
          <w:szCs w:val="20"/>
        </w:rPr>
        <w:t>–</w:t>
      </w:r>
    </w:p>
    <w:p w14:paraId="64CA71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 управлінської практики від пасивного пристосування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ринкових</w:t>
      </w:r>
      <w:r w:rsidRPr="000977F7">
        <w:rPr>
          <w:rFonts w:asciiTheme="majorHAnsi" w:hAnsiTheme="majorHAnsi"/>
          <w:spacing w:val="1"/>
          <w:sz w:val="20"/>
          <w:szCs w:val="20"/>
        </w:rPr>
        <w:t xml:space="preserve"> </w:t>
      </w:r>
      <w:r w:rsidRPr="000977F7">
        <w:rPr>
          <w:rFonts w:asciiTheme="majorHAnsi" w:hAnsiTheme="majorHAnsi"/>
          <w:sz w:val="20"/>
          <w:szCs w:val="20"/>
        </w:rPr>
        <w:t>умов,</w:t>
      </w:r>
      <w:r w:rsidRPr="000977F7">
        <w:rPr>
          <w:rFonts w:asciiTheme="majorHAnsi" w:hAnsiTheme="majorHAnsi"/>
          <w:spacing w:val="1"/>
          <w:sz w:val="20"/>
          <w:szCs w:val="20"/>
        </w:rPr>
        <w:t xml:space="preserve"> </w:t>
      </w:r>
      <w:r w:rsidRPr="000977F7">
        <w:rPr>
          <w:rFonts w:asciiTheme="majorHAnsi" w:hAnsiTheme="majorHAnsi"/>
          <w:sz w:val="20"/>
          <w:szCs w:val="20"/>
        </w:rPr>
        <w:t>перехід</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політики</w:t>
      </w:r>
      <w:r w:rsidRPr="000977F7">
        <w:rPr>
          <w:rFonts w:asciiTheme="majorHAnsi" w:hAnsiTheme="majorHAnsi"/>
          <w:spacing w:val="1"/>
          <w:sz w:val="20"/>
          <w:szCs w:val="20"/>
        </w:rPr>
        <w:t xml:space="preserve"> </w:t>
      </w:r>
      <w:r w:rsidRPr="000977F7">
        <w:rPr>
          <w:rFonts w:asciiTheme="majorHAnsi" w:hAnsiTheme="majorHAnsi"/>
          <w:sz w:val="20"/>
          <w:szCs w:val="20"/>
        </w:rPr>
        <w:t>впливу на ринок з метою активного формування попиту на продукцію, якої збуваються, контролю 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прогресу,</w:t>
      </w:r>
      <w:r w:rsidRPr="000977F7">
        <w:rPr>
          <w:rFonts w:asciiTheme="majorHAnsi" w:hAnsiTheme="majorHAnsi"/>
          <w:spacing w:val="-1"/>
          <w:sz w:val="20"/>
          <w:szCs w:val="20"/>
        </w:rPr>
        <w:t xml:space="preserve"> </w:t>
      </w:r>
      <w:r w:rsidRPr="000977F7">
        <w:rPr>
          <w:rFonts w:asciiTheme="majorHAnsi" w:hAnsiTheme="majorHAnsi"/>
          <w:sz w:val="20"/>
          <w:szCs w:val="20"/>
        </w:rPr>
        <w:t>впливу на</w:t>
      </w:r>
      <w:r w:rsidRPr="000977F7">
        <w:rPr>
          <w:rFonts w:asciiTheme="majorHAnsi" w:hAnsiTheme="majorHAnsi"/>
          <w:spacing w:val="-1"/>
          <w:sz w:val="20"/>
          <w:szCs w:val="20"/>
        </w:rPr>
        <w:t xml:space="preserve"> </w:t>
      </w:r>
      <w:r w:rsidRPr="000977F7">
        <w:rPr>
          <w:rFonts w:asciiTheme="majorHAnsi" w:hAnsiTheme="majorHAnsi"/>
          <w:sz w:val="20"/>
          <w:szCs w:val="20"/>
        </w:rPr>
        <w:t>державну</w:t>
      </w:r>
      <w:r w:rsidRPr="000977F7">
        <w:rPr>
          <w:rFonts w:asciiTheme="majorHAnsi" w:hAnsiTheme="majorHAnsi"/>
          <w:spacing w:val="-2"/>
          <w:sz w:val="20"/>
          <w:szCs w:val="20"/>
        </w:rPr>
        <w:t xml:space="preserve"> </w:t>
      </w:r>
      <w:r w:rsidRPr="000977F7">
        <w:rPr>
          <w:rFonts w:asciiTheme="majorHAnsi" w:hAnsiTheme="majorHAnsi"/>
          <w:sz w:val="20"/>
          <w:szCs w:val="20"/>
        </w:rPr>
        <w:t>політику</w:t>
      </w:r>
    </w:p>
    <w:p w14:paraId="4563B65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D56106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w w:val="95"/>
          <w:sz w:val="20"/>
          <w:szCs w:val="20"/>
        </w:rPr>
        <w:t>СТРАТЕГІЯ</w:t>
      </w:r>
      <w:r w:rsidRPr="000977F7">
        <w:rPr>
          <w:color w:val="auto"/>
          <w:spacing w:val="40"/>
          <w:w w:val="95"/>
          <w:sz w:val="20"/>
          <w:szCs w:val="20"/>
        </w:rPr>
        <w:t xml:space="preserve"> </w:t>
      </w:r>
      <w:r w:rsidRPr="000977F7">
        <w:rPr>
          <w:color w:val="auto"/>
          <w:w w:val="95"/>
          <w:sz w:val="20"/>
          <w:szCs w:val="20"/>
        </w:rPr>
        <w:t>ЗВОРОТНОГО</w:t>
      </w:r>
      <w:r w:rsidRPr="000977F7">
        <w:rPr>
          <w:color w:val="auto"/>
          <w:spacing w:val="41"/>
          <w:w w:val="95"/>
          <w:sz w:val="20"/>
          <w:szCs w:val="20"/>
        </w:rPr>
        <w:t xml:space="preserve"> </w:t>
      </w:r>
      <w:r w:rsidRPr="000977F7">
        <w:rPr>
          <w:color w:val="auto"/>
          <w:w w:val="95"/>
          <w:sz w:val="20"/>
          <w:szCs w:val="20"/>
        </w:rPr>
        <w:t>ВИНАХОДУ –</w:t>
      </w:r>
    </w:p>
    <w:p w14:paraId="09C00421"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Маркетинговий підхід, який припускає, що організації</w:t>
      </w:r>
      <w:r w:rsidRPr="000977F7">
        <w:rPr>
          <w:rFonts w:asciiTheme="majorHAnsi" w:hAnsiTheme="majorHAnsi"/>
          <w:spacing w:val="-47"/>
          <w:sz w:val="20"/>
          <w:szCs w:val="20"/>
        </w:rPr>
        <w:t xml:space="preserve"> </w:t>
      </w:r>
      <w:r w:rsidRPr="000977F7">
        <w:rPr>
          <w:rFonts w:asciiTheme="majorHAnsi" w:hAnsiTheme="majorHAnsi"/>
          <w:sz w:val="20"/>
          <w:szCs w:val="20"/>
        </w:rPr>
        <w:t>орієнтуються</w:t>
      </w:r>
      <w:r w:rsidRPr="000977F7">
        <w:rPr>
          <w:rFonts w:asciiTheme="majorHAnsi" w:hAnsiTheme="majorHAnsi"/>
          <w:spacing w:val="34"/>
          <w:sz w:val="20"/>
          <w:szCs w:val="20"/>
        </w:rPr>
        <w:t xml:space="preserve"> </w:t>
      </w:r>
      <w:r w:rsidRPr="000977F7">
        <w:rPr>
          <w:rFonts w:asciiTheme="majorHAnsi" w:hAnsiTheme="majorHAnsi"/>
          <w:sz w:val="20"/>
          <w:szCs w:val="20"/>
        </w:rPr>
        <w:t>на</w:t>
      </w:r>
      <w:r w:rsidRPr="000977F7">
        <w:rPr>
          <w:rFonts w:asciiTheme="majorHAnsi" w:hAnsiTheme="majorHAnsi"/>
          <w:spacing w:val="32"/>
          <w:sz w:val="20"/>
          <w:szCs w:val="20"/>
        </w:rPr>
        <w:t xml:space="preserve"> </w:t>
      </w:r>
      <w:r w:rsidRPr="000977F7">
        <w:rPr>
          <w:rFonts w:asciiTheme="majorHAnsi" w:hAnsiTheme="majorHAnsi"/>
          <w:sz w:val="20"/>
          <w:szCs w:val="20"/>
        </w:rPr>
        <w:t>країни,</w:t>
      </w:r>
      <w:r w:rsidRPr="000977F7">
        <w:rPr>
          <w:rFonts w:asciiTheme="majorHAnsi" w:hAnsiTheme="majorHAnsi"/>
          <w:spacing w:val="35"/>
          <w:sz w:val="20"/>
          <w:szCs w:val="20"/>
        </w:rPr>
        <w:t xml:space="preserve"> </w:t>
      </w:r>
      <w:r w:rsidRPr="000977F7">
        <w:rPr>
          <w:rFonts w:asciiTheme="majorHAnsi" w:hAnsiTheme="majorHAnsi"/>
          <w:sz w:val="20"/>
          <w:szCs w:val="20"/>
        </w:rPr>
        <w:t>які</w:t>
      </w:r>
      <w:r w:rsidRPr="000977F7">
        <w:rPr>
          <w:rFonts w:asciiTheme="majorHAnsi" w:hAnsiTheme="majorHAnsi"/>
          <w:spacing w:val="35"/>
          <w:sz w:val="20"/>
          <w:szCs w:val="20"/>
        </w:rPr>
        <w:t xml:space="preserve"> </w:t>
      </w:r>
      <w:r w:rsidRPr="000977F7">
        <w:rPr>
          <w:rFonts w:asciiTheme="majorHAnsi" w:hAnsiTheme="majorHAnsi"/>
          <w:sz w:val="20"/>
          <w:szCs w:val="20"/>
        </w:rPr>
        <w:t>розвиваються,</w:t>
      </w:r>
      <w:r w:rsidRPr="000977F7">
        <w:rPr>
          <w:rFonts w:asciiTheme="majorHAnsi" w:hAnsiTheme="majorHAnsi"/>
          <w:spacing w:val="32"/>
          <w:sz w:val="20"/>
          <w:szCs w:val="20"/>
        </w:rPr>
        <w:t xml:space="preserve"> </w:t>
      </w:r>
      <w:r w:rsidRPr="000977F7">
        <w:rPr>
          <w:rFonts w:asciiTheme="majorHAnsi" w:hAnsiTheme="majorHAnsi"/>
          <w:sz w:val="20"/>
          <w:szCs w:val="20"/>
        </w:rPr>
        <w:t>та</w:t>
      </w:r>
      <w:r w:rsidRPr="000977F7">
        <w:rPr>
          <w:rFonts w:asciiTheme="majorHAnsi" w:hAnsiTheme="majorHAnsi"/>
          <w:spacing w:val="35"/>
          <w:sz w:val="20"/>
          <w:szCs w:val="20"/>
        </w:rPr>
        <w:t xml:space="preserve"> </w:t>
      </w:r>
      <w:r w:rsidRPr="000977F7">
        <w:rPr>
          <w:rFonts w:asciiTheme="majorHAnsi" w:hAnsiTheme="majorHAnsi"/>
          <w:sz w:val="20"/>
          <w:szCs w:val="20"/>
        </w:rPr>
        <w:t>виробляють</w:t>
      </w:r>
      <w:r w:rsidRPr="000977F7">
        <w:rPr>
          <w:rFonts w:asciiTheme="majorHAnsi" w:hAnsiTheme="majorHAnsi"/>
          <w:spacing w:val="20"/>
          <w:sz w:val="20"/>
          <w:szCs w:val="20"/>
        </w:rPr>
        <w:t xml:space="preserve"> </w:t>
      </w:r>
      <w:r w:rsidRPr="000977F7">
        <w:rPr>
          <w:rFonts w:asciiTheme="majorHAnsi" w:hAnsiTheme="majorHAnsi"/>
          <w:sz w:val="20"/>
          <w:szCs w:val="20"/>
        </w:rPr>
        <w:t>продукцію</w:t>
      </w:r>
      <w:r w:rsidRPr="000977F7">
        <w:rPr>
          <w:rFonts w:asciiTheme="majorHAnsi" w:hAnsiTheme="majorHAnsi"/>
          <w:spacing w:val="19"/>
          <w:sz w:val="20"/>
          <w:szCs w:val="20"/>
        </w:rPr>
        <w:t xml:space="preserve"> </w:t>
      </w:r>
      <w:r w:rsidRPr="000977F7">
        <w:rPr>
          <w:rFonts w:asciiTheme="majorHAnsi" w:hAnsiTheme="majorHAnsi"/>
          <w:sz w:val="20"/>
          <w:szCs w:val="20"/>
        </w:rPr>
        <w:t>менш</w:t>
      </w:r>
      <w:r w:rsidRPr="000977F7">
        <w:rPr>
          <w:rFonts w:asciiTheme="majorHAnsi" w:hAnsiTheme="majorHAnsi"/>
          <w:spacing w:val="21"/>
          <w:sz w:val="20"/>
          <w:szCs w:val="20"/>
        </w:rPr>
        <w:t xml:space="preserve"> </w:t>
      </w:r>
      <w:r w:rsidRPr="000977F7">
        <w:rPr>
          <w:rFonts w:asciiTheme="majorHAnsi" w:hAnsiTheme="majorHAnsi"/>
          <w:sz w:val="20"/>
          <w:szCs w:val="20"/>
        </w:rPr>
        <w:t>складного</w:t>
      </w:r>
      <w:r w:rsidRPr="000977F7">
        <w:rPr>
          <w:rFonts w:asciiTheme="majorHAnsi" w:hAnsiTheme="majorHAnsi"/>
          <w:spacing w:val="20"/>
          <w:sz w:val="20"/>
          <w:szCs w:val="20"/>
        </w:rPr>
        <w:t xml:space="preserve"> </w:t>
      </w:r>
      <w:r w:rsidRPr="000977F7">
        <w:rPr>
          <w:rFonts w:asciiTheme="majorHAnsi" w:hAnsiTheme="majorHAnsi"/>
          <w:sz w:val="20"/>
          <w:szCs w:val="20"/>
        </w:rPr>
        <w:t>характеру</w:t>
      </w:r>
      <w:r w:rsidRPr="000977F7">
        <w:rPr>
          <w:rFonts w:asciiTheme="majorHAnsi" w:hAnsiTheme="majorHAnsi"/>
          <w:spacing w:val="17"/>
          <w:sz w:val="20"/>
          <w:szCs w:val="20"/>
        </w:rPr>
        <w:t xml:space="preserve"> </w:t>
      </w:r>
      <w:r w:rsidRPr="000977F7">
        <w:rPr>
          <w:rFonts w:asciiTheme="majorHAnsi" w:hAnsiTheme="majorHAnsi"/>
          <w:sz w:val="20"/>
          <w:szCs w:val="20"/>
        </w:rPr>
        <w:t>в</w:t>
      </w:r>
      <w:r w:rsidRPr="000977F7">
        <w:rPr>
          <w:rFonts w:asciiTheme="majorHAnsi" w:hAnsiTheme="majorHAnsi"/>
          <w:spacing w:val="21"/>
          <w:sz w:val="20"/>
          <w:szCs w:val="20"/>
        </w:rPr>
        <w:t xml:space="preserve"> </w:t>
      </w:r>
      <w:r w:rsidRPr="000977F7">
        <w:rPr>
          <w:rFonts w:asciiTheme="majorHAnsi" w:hAnsiTheme="majorHAnsi"/>
          <w:sz w:val="20"/>
          <w:szCs w:val="20"/>
        </w:rPr>
        <w:t>порівнянні з тією, що продається на національному ринку</w:t>
      </w:r>
      <w:r w:rsidRPr="000977F7">
        <w:rPr>
          <w:rFonts w:asciiTheme="majorHAnsi" w:hAnsiTheme="majorHAnsi"/>
          <w:spacing w:val="1"/>
          <w:sz w:val="20"/>
          <w:szCs w:val="20"/>
        </w:rPr>
        <w:t xml:space="preserve"> </w:t>
      </w:r>
    </w:p>
    <w:p w14:paraId="266B2F1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8FB768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СТРАТЕГІЯ</w:t>
      </w:r>
      <w:r w:rsidRPr="000977F7">
        <w:rPr>
          <w:color w:val="auto"/>
          <w:spacing w:val="-5"/>
          <w:sz w:val="20"/>
          <w:szCs w:val="20"/>
        </w:rPr>
        <w:t xml:space="preserve"> </w:t>
      </w:r>
      <w:r w:rsidRPr="000977F7">
        <w:rPr>
          <w:color w:val="auto"/>
          <w:sz w:val="20"/>
          <w:szCs w:val="20"/>
        </w:rPr>
        <w:t>МАРКЕТИНГУ</w:t>
      </w:r>
      <w:r w:rsidRPr="000977F7">
        <w:rPr>
          <w:color w:val="auto"/>
          <w:spacing w:val="-1"/>
          <w:sz w:val="20"/>
          <w:szCs w:val="20"/>
        </w:rPr>
        <w:t xml:space="preserve"> </w:t>
      </w:r>
      <w:r w:rsidRPr="000977F7">
        <w:rPr>
          <w:color w:val="auto"/>
          <w:sz w:val="20"/>
          <w:szCs w:val="20"/>
        </w:rPr>
        <w:t>–</w:t>
      </w:r>
    </w:p>
    <w:p w14:paraId="61FEF0B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Формування і реалізація цілей та завдань виробника й</w:t>
      </w:r>
      <w:r w:rsidRPr="000977F7">
        <w:rPr>
          <w:rFonts w:asciiTheme="majorHAnsi" w:hAnsiTheme="majorHAnsi"/>
          <w:spacing w:val="1"/>
          <w:sz w:val="20"/>
          <w:szCs w:val="20"/>
        </w:rPr>
        <w:t xml:space="preserve"> </w:t>
      </w:r>
      <w:r w:rsidRPr="000977F7">
        <w:rPr>
          <w:rFonts w:asciiTheme="majorHAnsi" w:hAnsiTheme="majorHAnsi"/>
          <w:sz w:val="20"/>
          <w:szCs w:val="20"/>
        </w:rPr>
        <w:t>експортера</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кожним</w:t>
      </w:r>
      <w:r w:rsidRPr="000977F7">
        <w:rPr>
          <w:rFonts w:asciiTheme="majorHAnsi" w:hAnsiTheme="majorHAnsi"/>
          <w:spacing w:val="1"/>
          <w:sz w:val="20"/>
          <w:szCs w:val="20"/>
        </w:rPr>
        <w:t xml:space="preserve"> </w:t>
      </w:r>
      <w:r w:rsidRPr="000977F7">
        <w:rPr>
          <w:rFonts w:asciiTheme="majorHAnsi" w:hAnsiTheme="majorHAnsi"/>
          <w:sz w:val="20"/>
          <w:szCs w:val="20"/>
        </w:rPr>
        <w:t>окремим</w:t>
      </w:r>
      <w:r w:rsidRPr="000977F7">
        <w:rPr>
          <w:rFonts w:asciiTheme="majorHAnsi" w:hAnsiTheme="majorHAnsi"/>
          <w:spacing w:val="1"/>
          <w:sz w:val="20"/>
          <w:szCs w:val="20"/>
        </w:rPr>
        <w:t xml:space="preserve"> </w:t>
      </w:r>
      <w:r w:rsidRPr="000977F7">
        <w:rPr>
          <w:rFonts w:asciiTheme="majorHAnsi" w:hAnsiTheme="majorHAnsi"/>
          <w:sz w:val="20"/>
          <w:szCs w:val="20"/>
        </w:rPr>
        <w:t>ринком</w:t>
      </w:r>
      <w:r w:rsidRPr="000977F7">
        <w:rPr>
          <w:rFonts w:asciiTheme="majorHAnsi" w:hAnsiTheme="majorHAnsi"/>
          <w:spacing w:val="1"/>
          <w:sz w:val="20"/>
          <w:szCs w:val="20"/>
        </w:rPr>
        <w:t xml:space="preserve"> </w:t>
      </w:r>
      <w:r w:rsidRPr="000977F7">
        <w:rPr>
          <w:rFonts w:asciiTheme="majorHAnsi" w:hAnsiTheme="majorHAnsi"/>
          <w:sz w:val="20"/>
          <w:szCs w:val="20"/>
        </w:rPr>
        <w:t>(сегментом</w:t>
      </w:r>
      <w:r w:rsidRPr="000977F7">
        <w:rPr>
          <w:rFonts w:asciiTheme="majorHAnsi" w:hAnsiTheme="majorHAnsi"/>
          <w:spacing w:val="1"/>
          <w:sz w:val="20"/>
          <w:szCs w:val="20"/>
        </w:rPr>
        <w:t xml:space="preserve"> </w:t>
      </w:r>
      <w:r w:rsidRPr="000977F7">
        <w:rPr>
          <w:rFonts w:asciiTheme="majorHAnsi" w:hAnsiTheme="majorHAnsi"/>
          <w:sz w:val="20"/>
          <w:szCs w:val="20"/>
        </w:rPr>
        <w:t>ринку) і кожною продукцією на певний період часу</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здійснення</w:t>
      </w:r>
      <w:r w:rsidRPr="000977F7">
        <w:rPr>
          <w:rFonts w:asciiTheme="majorHAnsi" w:hAnsiTheme="majorHAnsi"/>
          <w:spacing w:val="1"/>
          <w:sz w:val="20"/>
          <w:szCs w:val="20"/>
        </w:rPr>
        <w:t xml:space="preserve"> </w:t>
      </w:r>
      <w:r w:rsidRPr="000977F7">
        <w:rPr>
          <w:rFonts w:asciiTheme="majorHAnsi" w:hAnsiTheme="majorHAnsi"/>
          <w:sz w:val="20"/>
          <w:szCs w:val="20"/>
        </w:rPr>
        <w:t>виробничо-комерційної</w:t>
      </w:r>
      <w:r w:rsidRPr="000977F7">
        <w:rPr>
          <w:rFonts w:asciiTheme="majorHAnsi" w:hAnsiTheme="majorHAnsi"/>
          <w:spacing w:val="1"/>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повній відповідності до ринкової ситуації і можливостей</w:t>
      </w:r>
      <w:r w:rsidRPr="000977F7">
        <w:rPr>
          <w:rFonts w:asciiTheme="majorHAnsi" w:hAnsiTheme="majorHAnsi"/>
          <w:spacing w:val="-2"/>
          <w:sz w:val="20"/>
          <w:szCs w:val="20"/>
        </w:rPr>
        <w:t xml:space="preserve"> </w:t>
      </w:r>
      <w:r w:rsidRPr="000977F7">
        <w:rPr>
          <w:rFonts w:asciiTheme="majorHAnsi" w:hAnsiTheme="majorHAnsi"/>
          <w:sz w:val="20"/>
          <w:szCs w:val="20"/>
        </w:rPr>
        <w:t>підприємства</w:t>
      </w:r>
    </w:p>
    <w:p w14:paraId="0C653DA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2FBDB3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СТРАТЕГІЯ</w:t>
      </w:r>
      <w:r w:rsidRPr="000977F7">
        <w:rPr>
          <w:color w:val="auto"/>
          <w:spacing w:val="-5"/>
          <w:sz w:val="20"/>
          <w:szCs w:val="20"/>
        </w:rPr>
        <w:t xml:space="preserve"> </w:t>
      </w:r>
      <w:r w:rsidRPr="000977F7">
        <w:rPr>
          <w:color w:val="auto"/>
          <w:sz w:val="20"/>
          <w:szCs w:val="20"/>
        </w:rPr>
        <w:t>НОВИХ</w:t>
      </w:r>
      <w:r w:rsidRPr="000977F7">
        <w:rPr>
          <w:color w:val="auto"/>
          <w:spacing w:val="-4"/>
          <w:sz w:val="20"/>
          <w:szCs w:val="20"/>
        </w:rPr>
        <w:t xml:space="preserve"> </w:t>
      </w:r>
      <w:r w:rsidRPr="000977F7">
        <w:rPr>
          <w:color w:val="auto"/>
          <w:sz w:val="20"/>
          <w:szCs w:val="20"/>
        </w:rPr>
        <w:t>ВИНАХОДІВ</w:t>
      </w:r>
      <w:r w:rsidRPr="000977F7">
        <w:rPr>
          <w:color w:val="auto"/>
          <w:spacing w:val="1"/>
          <w:sz w:val="20"/>
          <w:szCs w:val="20"/>
        </w:rPr>
        <w:t xml:space="preserve"> </w:t>
      </w:r>
      <w:r w:rsidRPr="000977F7">
        <w:rPr>
          <w:color w:val="auto"/>
          <w:sz w:val="20"/>
          <w:szCs w:val="20"/>
        </w:rPr>
        <w:t>–</w:t>
      </w:r>
    </w:p>
    <w:p w14:paraId="331647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Маркетинговий підхід, за якого організація виробляє</w:t>
      </w:r>
      <w:r w:rsidRPr="000977F7">
        <w:rPr>
          <w:rFonts w:asciiTheme="majorHAnsi" w:hAnsiTheme="majorHAnsi"/>
          <w:spacing w:val="1"/>
          <w:sz w:val="20"/>
          <w:szCs w:val="20"/>
        </w:rPr>
        <w:t xml:space="preserve"> </w:t>
      </w:r>
      <w:r w:rsidRPr="000977F7">
        <w:rPr>
          <w:rFonts w:asciiTheme="majorHAnsi" w:hAnsiTheme="majorHAnsi"/>
          <w:sz w:val="20"/>
          <w:szCs w:val="20"/>
        </w:rPr>
        <w:t>нову</w:t>
      </w:r>
      <w:r w:rsidRPr="000977F7">
        <w:rPr>
          <w:rFonts w:asciiTheme="majorHAnsi" w:hAnsiTheme="majorHAnsi"/>
          <w:spacing w:val="-2"/>
          <w:sz w:val="20"/>
          <w:szCs w:val="20"/>
        </w:rPr>
        <w:t xml:space="preserve"> </w:t>
      </w:r>
      <w:r w:rsidRPr="000977F7">
        <w:rPr>
          <w:rFonts w:asciiTheme="majorHAnsi" w:hAnsiTheme="majorHAnsi"/>
          <w:sz w:val="20"/>
          <w:szCs w:val="20"/>
        </w:rPr>
        <w:t>продукцію</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своїх</w:t>
      </w:r>
      <w:r w:rsidRPr="000977F7">
        <w:rPr>
          <w:rFonts w:asciiTheme="majorHAnsi" w:hAnsiTheme="majorHAnsi"/>
          <w:spacing w:val="-3"/>
          <w:sz w:val="20"/>
          <w:szCs w:val="20"/>
        </w:rPr>
        <w:t xml:space="preserve"> </w:t>
      </w:r>
      <w:r w:rsidRPr="000977F7">
        <w:rPr>
          <w:rFonts w:asciiTheme="majorHAnsi" w:hAnsiTheme="majorHAnsi"/>
          <w:sz w:val="20"/>
          <w:szCs w:val="20"/>
        </w:rPr>
        <w:t>зовнішніх</w:t>
      </w:r>
      <w:r w:rsidRPr="000977F7">
        <w:rPr>
          <w:rFonts w:asciiTheme="majorHAnsi" w:hAnsiTheme="majorHAnsi"/>
          <w:spacing w:val="-1"/>
          <w:sz w:val="20"/>
          <w:szCs w:val="20"/>
        </w:rPr>
        <w:t xml:space="preserve"> </w:t>
      </w:r>
      <w:r w:rsidRPr="000977F7">
        <w:rPr>
          <w:rFonts w:asciiTheme="majorHAnsi" w:hAnsiTheme="majorHAnsi"/>
          <w:sz w:val="20"/>
          <w:szCs w:val="20"/>
        </w:rPr>
        <w:t>ринків</w:t>
      </w:r>
    </w:p>
    <w:p w14:paraId="78D1C1E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208E2A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СТРАТЕГІЯ</w:t>
      </w:r>
      <w:r w:rsidRPr="000977F7">
        <w:rPr>
          <w:color w:val="auto"/>
          <w:spacing w:val="-6"/>
          <w:sz w:val="20"/>
          <w:szCs w:val="20"/>
        </w:rPr>
        <w:t xml:space="preserve"> </w:t>
      </w:r>
      <w:r w:rsidRPr="000977F7">
        <w:rPr>
          <w:color w:val="auto"/>
          <w:sz w:val="20"/>
          <w:szCs w:val="20"/>
        </w:rPr>
        <w:t>ПРОСТОГО</w:t>
      </w:r>
      <w:r w:rsidRPr="000977F7">
        <w:rPr>
          <w:color w:val="auto"/>
          <w:spacing w:val="-4"/>
          <w:sz w:val="20"/>
          <w:szCs w:val="20"/>
        </w:rPr>
        <w:t xml:space="preserve"> </w:t>
      </w:r>
      <w:r w:rsidRPr="000977F7">
        <w:rPr>
          <w:color w:val="auto"/>
          <w:sz w:val="20"/>
          <w:szCs w:val="20"/>
        </w:rPr>
        <w:t>ПОШИРЕННЯ</w:t>
      </w:r>
      <w:r w:rsidRPr="000977F7">
        <w:rPr>
          <w:color w:val="auto"/>
          <w:spacing w:val="-2"/>
          <w:sz w:val="20"/>
          <w:szCs w:val="20"/>
        </w:rPr>
        <w:t xml:space="preserve"> </w:t>
      </w:r>
      <w:r w:rsidRPr="000977F7">
        <w:rPr>
          <w:color w:val="auto"/>
          <w:sz w:val="20"/>
          <w:szCs w:val="20"/>
        </w:rPr>
        <w:t>–</w:t>
      </w:r>
    </w:p>
    <w:p w14:paraId="49ED21B9" w14:textId="77777777" w:rsidR="0097612F" w:rsidRPr="000977F7" w:rsidRDefault="0097612F" w:rsidP="000977F7">
      <w:pPr>
        <w:pStyle w:val="af6"/>
        <w:tabs>
          <w:tab w:val="left" w:pos="284"/>
        </w:tabs>
        <w:spacing w:after="0"/>
        <w:ind w:left="170"/>
        <w:mirrorIndents/>
        <w:jc w:val="both"/>
        <w:rPr>
          <w:rFonts w:asciiTheme="majorHAnsi" w:hAnsiTheme="majorHAnsi"/>
          <w:spacing w:val="1"/>
          <w:w w:val="95"/>
          <w:sz w:val="20"/>
          <w:szCs w:val="20"/>
        </w:rPr>
      </w:pPr>
      <w:r w:rsidRPr="000977F7">
        <w:rPr>
          <w:rFonts w:asciiTheme="majorHAnsi" w:hAnsiTheme="majorHAnsi"/>
          <w:spacing w:val="-1"/>
          <w:sz w:val="20"/>
          <w:szCs w:val="20"/>
        </w:rPr>
        <w:t>Маркетинговий</w:t>
      </w:r>
      <w:r w:rsidRPr="000977F7">
        <w:rPr>
          <w:rFonts w:asciiTheme="majorHAnsi" w:hAnsiTheme="majorHAnsi"/>
          <w:spacing w:val="-11"/>
          <w:sz w:val="20"/>
          <w:szCs w:val="20"/>
        </w:rPr>
        <w:t xml:space="preserve"> </w:t>
      </w:r>
      <w:r w:rsidRPr="000977F7">
        <w:rPr>
          <w:rFonts w:asciiTheme="majorHAnsi" w:hAnsiTheme="majorHAnsi"/>
          <w:spacing w:val="-1"/>
          <w:sz w:val="20"/>
          <w:szCs w:val="20"/>
        </w:rPr>
        <w:t>підхід,</w:t>
      </w:r>
      <w:r w:rsidRPr="000977F7">
        <w:rPr>
          <w:rFonts w:asciiTheme="majorHAnsi" w:hAnsiTheme="majorHAnsi"/>
          <w:spacing w:val="-9"/>
          <w:sz w:val="20"/>
          <w:szCs w:val="20"/>
        </w:rPr>
        <w:t xml:space="preserve"> </w:t>
      </w:r>
      <w:r w:rsidRPr="000977F7">
        <w:rPr>
          <w:rFonts w:asciiTheme="majorHAnsi" w:hAnsiTheme="majorHAnsi"/>
          <w:spacing w:val="-1"/>
          <w:sz w:val="20"/>
          <w:szCs w:val="20"/>
        </w:rPr>
        <w:t>за</w:t>
      </w:r>
      <w:r w:rsidRPr="000977F7">
        <w:rPr>
          <w:rFonts w:asciiTheme="majorHAnsi" w:hAnsiTheme="majorHAnsi"/>
          <w:spacing w:val="-10"/>
          <w:sz w:val="20"/>
          <w:szCs w:val="20"/>
        </w:rPr>
        <w:t xml:space="preserve"> </w:t>
      </w:r>
      <w:r w:rsidRPr="000977F7">
        <w:rPr>
          <w:rFonts w:asciiTheme="majorHAnsi" w:hAnsiTheme="majorHAnsi"/>
          <w:spacing w:val="-1"/>
          <w:sz w:val="20"/>
          <w:szCs w:val="20"/>
        </w:rPr>
        <w:t>якого</w:t>
      </w:r>
      <w:r w:rsidRPr="000977F7">
        <w:rPr>
          <w:rFonts w:asciiTheme="majorHAnsi" w:hAnsiTheme="majorHAnsi"/>
          <w:spacing w:val="-11"/>
          <w:sz w:val="20"/>
          <w:szCs w:val="20"/>
        </w:rPr>
        <w:t xml:space="preserve"> </w:t>
      </w:r>
      <w:r w:rsidRPr="000977F7">
        <w:rPr>
          <w:rFonts w:asciiTheme="majorHAnsi" w:hAnsiTheme="majorHAnsi"/>
          <w:spacing w:val="-1"/>
          <w:sz w:val="20"/>
          <w:szCs w:val="20"/>
        </w:rPr>
        <w:t>організація</w:t>
      </w:r>
      <w:r w:rsidRPr="000977F7">
        <w:rPr>
          <w:rFonts w:asciiTheme="majorHAnsi" w:hAnsiTheme="majorHAnsi"/>
          <w:spacing w:val="-10"/>
          <w:sz w:val="20"/>
          <w:szCs w:val="20"/>
        </w:rPr>
        <w:t xml:space="preserve"> </w:t>
      </w:r>
      <w:r w:rsidRPr="000977F7">
        <w:rPr>
          <w:rFonts w:asciiTheme="majorHAnsi" w:hAnsiTheme="majorHAnsi"/>
          <w:spacing w:val="-1"/>
          <w:sz w:val="20"/>
          <w:szCs w:val="20"/>
        </w:rPr>
        <w:t>виробляє</w:t>
      </w:r>
      <w:r w:rsidRPr="000977F7">
        <w:rPr>
          <w:rFonts w:asciiTheme="majorHAnsi" w:hAnsiTheme="majorHAnsi"/>
          <w:spacing w:val="-9"/>
          <w:sz w:val="20"/>
          <w:szCs w:val="20"/>
        </w:rPr>
        <w:t xml:space="preserve"> </w:t>
      </w:r>
      <w:r w:rsidRPr="000977F7">
        <w:rPr>
          <w:rFonts w:asciiTheme="majorHAnsi" w:hAnsiTheme="majorHAnsi"/>
          <w:sz w:val="20"/>
          <w:szCs w:val="20"/>
        </w:rPr>
        <w:t>ту</w:t>
      </w:r>
      <w:r w:rsidRPr="000977F7">
        <w:rPr>
          <w:rFonts w:asciiTheme="majorHAnsi" w:hAnsiTheme="majorHAnsi"/>
          <w:spacing w:val="-47"/>
          <w:sz w:val="20"/>
          <w:szCs w:val="20"/>
        </w:rPr>
        <w:t xml:space="preserve"> </w:t>
      </w:r>
      <w:r w:rsidRPr="000977F7">
        <w:rPr>
          <w:rFonts w:asciiTheme="majorHAnsi" w:hAnsiTheme="majorHAnsi"/>
          <w:w w:val="95"/>
          <w:sz w:val="20"/>
          <w:szCs w:val="20"/>
        </w:rPr>
        <w:t>саму</w:t>
      </w:r>
      <w:r w:rsidRPr="000977F7">
        <w:rPr>
          <w:rFonts w:asciiTheme="majorHAnsi" w:hAnsiTheme="majorHAnsi"/>
          <w:spacing w:val="-1"/>
          <w:w w:val="95"/>
          <w:sz w:val="20"/>
          <w:szCs w:val="20"/>
        </w:rPr>
        <w:t xml:space="preserve"> </w:t>
      </w:r>
      <w:r w:rsidRPr="000977F7">
        <w:rPr>
          <w:rFonts w:asciiTheme="majorHAnsi" w:hAnsiTheme="majorHAnsi"/>
          <w:w w:val="95"/>
          <w:sz w:val="20"/>
          <w:szCs w:val="20"/>
        </w:rPr>
        <w:t>продукцію</w:t>
      </w:r>
      <w:r w:rsidRPr="000977F7">
        <w:rPr>
          <w:rFonts w:asciiTheme="majorHAnsi" w:hAnsiTheme="majorHAnsi"/>
          <w:spacing w:val="1"/>
          <w:w w:val="95"/>
          <w:sz w:val="20"/>
          <w:szCs w:val="20"/>
        </w:rPr>
        <w:t xml:space="preserve"> </w:t>
      </w:r>
      <w:r w:rsidRPr="000977F7">
        <w:rPr>
          <w:rFonts w:asciiTheme="majorHAnsi" w:hAnsiTheme="majorHAnsi"/>
          <w:w w:val="95"/>
          <w:sz w:val="20"/>
          <w:szCs w:val="20"/>
        </w:rPr>
        <w:t>для внутрішнього і</w:t>
      </w:r>
      <w:r w:rsidRPr="000977F7">
        <w:rPr>
          <w:rFonts w:asciiTheme="majorHAnsi" w:hAnsiTheme="majorHAnsi"/>
          <w:spacing w:val="1"/>
          <w:w w:val="95"/>
          <w:sz w:val="20"/>
          <w:szCs w:val="20"/>
        </w:rPr>
        <w:t xml:space="preserve"> </w:t>
      </w:r>
      <w:r w:rsidRPr="000977F7">
        <w:rPr>
          <w:rFonts w:asciiTheme="majorHAnsi" w:hAnsiTheme="majorHAnsi"/>
          <w:w w:val="95"/>
          <w:sz w:val="20"/>
          <w:szCs w:val="20"/>
        </w:rPr>
        <w:t>зовнішнього ринків</w:t>
      </w:r>
      <w:r w:rsidRPr="000977F7">
        <w:rPr>
          <w:rFonts w:asciiTheme="majorHAnsi" w:hAnsiTheme="majorHAnsi"/>
          <w:spacing w:val="1"/>
          <w:w w:val="95"/>
          <w:sz w:val="20"/>
          <w:szCs w:val="20"/>
        </w:rPr>
        <w:t xml:space="preserve"> </w:t>
      </w:r>
    </w:p>
    <w:p w14:paraId="2933A1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CC1F02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Стратегія простого поширення використовується тоді,</w:t>
      </w:r>
      <w:r w:rsidRPr="000977F7">
        <w:rPr>
          <w:rFonts w:asciiTheme="majorHAnsi" w:hAnsiTheme="majorHAnsi"/>
          <w:spacing w:val="-47"/>
          <w:sz w:val="20"/>
          <w:szCs w:val="20"/>
        </w:rPr>
        <w:t xml:space="preserve"> </w:t>
      </w:r>
      <w:r w:rsidRPr="000977F7">
        <w:rPr>
          <w:rFonts w:asciiTheme="majorHAnsi" w:hAnsiTheme="majorHAnsi"/>
          <w:sz w:val="20"/>
          <w:szCs w:val="20"/>
        </w:rPr>
        <w:t>коли організація впевнена у тому, що продукція може</w:t>
      </w:r>
      <w:r w:rsidRPr="000977F7">
        <w:rPr>
          <w:rFonts w:asciiTheme="majorHAnsi" w:hAnsiTheme="majorHAnsi"/>
          <w:spacing w:val="1"/>
          <w:sz w:val="20"/>
          <w:szCs w:val="20"/>
        </w:rPr>
        <w:t xml:space="preserve"> </w:t>
      </w:r>
      <w:r w:rsidRPr="000977F7">
        <w:rPr>
          <w:rFonts w:asciiTheme="majorHAnsi" w:hAnsiTheme="majorHAnsi"/>
          <w:sz w:val="20"/>
          <w:szCs w:val="20"/>
        </w:rPr>
        <w:t>продаватися за кордоном без будь-яких змін у дизайні,</w:t>
      </w:r>
      <w:r w:rsidRPr="000977F7">
        <w:rPr>
          <w:rFonts w:asciiTheme="majorHAnsi" w:hAnsiTheme="majorHAnsi"/>
          <w:spacing w:val="-1"/>
          <w:sz w:val="20"/>
          <w:szCs w:val="20"/>
        </w:rPr>
        <w:t xml:space="preserve"> </w:t>
      </w:r>
      <w:r w:rsidRPr="000977F7">
        <w:rPr>
          <w:rFonts w:asciiTheme="majorHAnsi" w:hAnsiTheme="majorHAnsi"/>
          <w:sz w:val="20"/>
          <w:szCs w:val="20"/>
        </w:rPr>
        <w:t>пакуванні</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складі</w:t>
      </w:r>
    </w:p>
    <w:p w14:paraId="77270F0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95</w:t>
      </w:r>
    </w:p>
    <w:p w14:paraId="3078CAA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СТРАТЕГІЯ РОЗРОБЛЕННЯ</w:t>
      </w:r>
      <w:r w:rsidRPr="000977F7">
        <w:rPr>
          <w:color w:val="auto"/>
          <w:spacing w:val="-47"/>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250412C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критеріїв, завдань та правил для прийняття рішень, використовуваних тоді, коли стратегічний</w:t>
      </w:r>
      <w:r w:rsidRPr="000977F7">
        <w:rPr>
          <w:rFonts w:asciiTheme="majorHAnsi" w:hAnsiTheme="majorHAnsi"/>
          <w:spacing w:val="1"/>
          <w:sz w:val="20"/>
          <w:szCs w:val="20"/>
        </w:rPr>
        <w:t xml:space="preserve"> </w:t>
      </w:r>
      <w:r w:rsidRPr="000977F7">
        <w:rPr>
          <w:rFonts w:asciiTheme="majorHAnsi" w:hAnsiTheme="majorHAnsi"/>
          <w:sz w:val="20"/>
          <w:szCs w:val="20"/>
        </w:rPr>
        <w:t>господарський підрозділ має ряд успішних торгових</w:t>
      </w:r>
      <w:r w:rsidRPr="000977F7">
        <w:rPr>
          <w:rFonts w:asciiTheme="majorHAnsi" w:hAnsiTheme="majorHAnsi"/>
          <w:spacing w:val="1"/>
          <w:sz w:val="20"/>
          <w:szCs w:val="20"/>
        </w:rPr>
        <w:t xml:space="preserve"> </w:t>
      </w:r>
      <w:r w:rsidRPr="000977F7">
        <w:rPr>
          <w:rFonts w:asciiTheme="majorHAnsi" w:hAnsiTheme="majorHAnsi"/>
          <w:sz w:val="20"/>
          <w:szCs w:val="20"/>
        </w:rPr>
        <w:t>марок</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користується</w:t>
      </w:r>
      <w:r w:rsidRPr="000977F7">
        <w:rPr>
          <w:rFonts w:asciiTheme="majorHAnsi" w:hAnsiTheme="majorHAnsi"/>
          <w:spacing w:val="1"/>
          <w:sz w:val="20"/>
          <w:szCs w:val="20"/>
        </w:rPr>
        <w:t xml:space="preserve"> </w:t>
      </w:r>
      <w:r w:rsidRPr="000977F7">
        <w:rPr>
          <w:rFonts w:asciiTheme="majorHAnsi" w:hAnsiTheme="majorHAnsi"/>
          <w:sz w:val="20"/>
          <w:szCs w:val="20"/>
        </w:rPr>
        <w:t>попитом у</w:t>
      </w:r>
      <w:r w:rsidRPr="000977F7">
        <w:rPr>
          <w:rFonts w:asciiTheme="majorHAnsi" w:hAnsiTheme="majorHAnsi"/>
          <w:spacing w:val="-4"/>
          <w:sz w:val="20"/>
          <w:szCs w:val="20"/>
        </w:rPr>
        <w:t xml:space="preserve"> </w:t>
      </w:r>
      <w:r w:rsidRPr="000977F7">
        <w:rPr>
          <w:rFonts w:asciiTheme="majorHAnsi" w:hAnsiTheme="majorHAnsi"/>
          <w:sz w:val="20"/>
          <w:szCs w:val="20"/>
        </w:rPr>
        <w:t>споживача</w:t>
      </w:r>
    </w:p>
    <w:p w14:paraId="28525F6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B21A6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СТРАТЕГІЯ ТЕХНІЧНОГО ОБСЛУГОВУВАННЯ</w:t>
      </w:r>
      <w:r w:rsidRPr="000977F7">
        <w:rPr>
          <w:color w:val="auto"/>
          <w:spacing w:val="-47"/>
          <w:sz w:val="20"/>
          <w:szCs w:val="20"/>
        </w:rPr>
        <w:t xml:space="preserve"> </w:t>
      </w:r>
      <w:r w:rsidRPr="000977F7">
        <w:rPr>
          <w:color w:val="auto"/>
          <w:sz w:val="20"/>
          <w:szCs w:val="20"/>
        </w:rPr>
        <w:t>ТА</w:t>
      </w:r>
      <w:r w:rsidRPr="000977F7">
        <w:rPr>
          <w:color w:val="auto"/>
          <w:spacing w:val="-1"/>
          <w:sz w:val="20"/>
          <w:szCs w:val="20"/>
        </w:rPr>
        <w:t xml:space="preserve"> </w:t>
      </w:r>
      <w:r w:rsidRPr="000977F7">
        <w:rPr>
          <w:color w:val="auto"/>
          <w:sz w:val="20"/>
          <w:szCs w:val="20"/>
        </w:rPr>
        <w:t>РЕМОНТУ</w:t>
      </w:r>
      <w:r w:rsidRPr="000977F7">
        <w:rPr>
          <w:color w:val="auto"/>
          <w:spacing w:val="1"/>
          <w:sz w:val="20"/>
          <w:szCs w:val="20"/>
        </w:rPr>
        <w:t xml:space="preserve"> </w:t>
      </w:r>
      <w:r w:rsidRPr="000977F7">
        <w:rPr>
          <w:color w:val="auto"/>
          <w:sz w:val="20"/>
          <w:szCs w:val="20"/>
        </w:rPr>
        <w:t>–</w:t>
      </w:r>
    </w:p>
    <w:p w14:paraId="55100BD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MAINTENANCE</w:t>
      </w:r>
      <w:r w:rsidRPr="000977F7">
        <w:rPr>
          <w:rFonts w:asciiTheme="majorHAnsi" w:hAnsiTheme="majorHAnsi"/>
          <w:spacing w:val="-3"/>
          <w:sz w:val="20"/>
          <w:szCs w:val="20"/>
        </w:rPr>
        <w:t xml:space="preserve"> </w:t>
      </w:r>
      <w:r w:rsidRPr="000977F7">
        <w:rPr>
          <w:rFonts w:asciiTheme="majorHAnsi" w:hAnsiTheme="majorHAnsi"/>
          <w:sz w:val="20"/>
          <w:szCs w:val="20"/>
        </w:rPr>
        <w:t>PHILOSOPHY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3A2AEA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 принципів організації й проведення технічного 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p>
    <w:p w14:paraId="73128F4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A0ED45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СТРАХУВАННЯ</w:t>
      </w:r>
      <w:r w:rsidRPr="000977F7">
        <w:rPr>
          <w:color w:val="auto"/>
          <w:spacing w:val="-6"/>
          <w:sz w:val="20"/>
          <w:szCs w:val="20"/>
        </w:rPr>
        <w:t xml:space="preserve"> </w:t>
      </w:r>
      <w:r w:rsidRPr="000977F7">
        <w:rPr>
          <w:color w:val="auto"/>
          <w:sz w:val="20"/>
          <w:szCs w:val="20"/>
        </w:rPr>
        <w:t>ЕКСПОРТНИХ</w:t>
      </w:r>
      <w:r w:rsidRPr="000977F7">
        <w:rPr>
          <w:color w:val="auto"/>
          <w:spacing w:val="-6"/>
          <w:sz w:val="20"/>
          <w:szCs w:val="20"/>
        </w:rPr>
        <w:t xml:space="preserve"> </w:t>
      </w:r>
      <w:r w:rsidRPr="000977F7">
        <w:rPr>
          <w:color w:val="auto"/>
          <w:sz w:val="20"/>
          <w:szCs w:val="20"/>
        </w:rPr>
        <w:t>КЛІЄНТІВ</w:t>
      </w:r>
      <w:r w:rsidRPr="000977F7">
        <w:rPr>
          <w:color w:val="auto"/>
          <w:spacing w:val="-1"/>
          <w:sz w:val="20"/>
          <w:szCs w:val="20"/>
        </w:rPr>
        <w:t xml:space="preserve"> </w:t>
      </w:r>
      <w:r w:rsidRPr="000977F7">
        <w:rPr>
          <w:color w:val="auto"/>
          <w:sz w:val="20"/>
          <w:szCs w:val="20"/>
        </w:rPr>
        <w:t>–</w:t>
      </w:r>
    </w:p>
    <w:p w14:paraId="15F496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Вид</w:t>
      </w:r>
      <w:r w:rsidRPr="000977F7">
        <w:rPr>
          <w:rFonts w:asciiTheme="majorHAnsi" w:hAnsiTheme="majorHAnsi"/>
          <w:spacing w:val="-5"/>
          <w:sz w:val="20"/>
          <w:szCs w:val="20"/>
        </w:rPr>
        <w:t xml:space="preserve"> </w:t>
      </w:r>
      <w:r w:rsidRPr="000977F7">
        <w:rPr>
          <w:rFonts w:asciiTheme="majorHAnsi" w:hAnsiTheme="majorHAnsi"/>
          <w:sz w:val="20"/>
          <w:szCs w:val="20"/>
        </w:rPr>
        <w:t>страхування,</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3"/>
          <w:sz w:val="20"/>
          <w:szCs w:val="20"/>
        </w:rPr>
        <w:t xml:space="preserve"> </w:t>
      </w:r>
      <w:r w:rsidRPr="000977F7">
        <w:rPr>
          <w:rFonts w:asciiTheme="majorHAnsi" w:hAnsiTheme="majorHAnsi"/>
          <w:sz w:val="20"/>
          <w:szCs w:val="20"/>
        </w:rPr>
        <w:t>охоплює</w:t>
      </w:r>
      <w:r w:rsidRPr="000977F7">
        <w:rPr>
          <w:rFonts w:asciiTheme="majorHAnsi" w:hAnsiTheme="majorHAnsi"/>
          <w:spacing w:val="-4"/>
          <w:sz w:val="20"/>
          <w:szCs w:val="20"/>
        </w:rPr>
        <w:t xml:space="preserve"> </w:t>
      </w:r>
      <w:r w:rsidRPr="000977F7">
        <w:rPr>
          <w:rFonts w:asciiTheme="majorHAnsi" w:hAnsiTheme="majorHAnsi"/>
          <w:sz w:val="20"/>
          <w:szCs w:val="20"/>
        </w:rPr>
        <w:t>кредитні</w:t>
      </w:r>
      <w:r w:rsidRPr="000977F7">
        <w:rPr>
          <w:rFonts w:asciiTheme="majorHAnsi" w:hAnsiTheme="majorHAnsi"/>
          <w:spacing w:val="-4"/>
          <w:sz w:val="20"/>
          <w:szCs w:val="20"/>
        </w:rPr>
        <w:t xml:space="preserve"> </w:t>
      </w:r>
      <w:r w:rsidRPr="000977F7">
        <w:rPr>
          <w:rFonts w:asciiTheme="majorHAnsi" w:hAnsiTheme="majorHAnsi"/>
          <w:sz w:val="20"/>
          <w:szCs w:val="20"/>
        </w:rPr>
        <w:t>ризики</w:t>
      </w:r>
    </w:p>
    <w:p w14:paraId="63399E04"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3293 – 95</w:t>
      </w:r>
      <w:r w:rsidRPr="000977F7">
        <w:rPr>
          <w:rFonts w:asciiTheme="majorHAnsi" w:hAnsiTheme="majorHAnsi"/>
          <w:i/>
          <w:spacing w:val="-47"/>
          <w:sz w:val="20"/>
          <w:szCs w:val="20"/>
        </w:rPr>
        <w:t xml:space="preserve"> </w:t>
      </w:r>
    </w:p>
    <w:p w14:paraId="346FE1AF"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СТРИЖЕНЬ –</w:t>
      </w:r>
      <w:r w:rsidRPr="000977F7">
        <w:rPr>
          <w:rFonts w:asciiTheme="majorHAnsi" w:hAnsiTheme="majorHAnsi"/>
          <w:b/>
          <w:spacing w:val="-47"/>
          <w:sz w:val="20"/>
          <w:szCs w:val="20"/>
        </w:rPr>
        <w:t xml:space="preserve"> </w:t>
      </w:r>
    </w:p>
    <w:p w14:paraId="4331D56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BAR</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69D5DB8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 довжина якого значно перевищує інші його</w:t>
      </w:r>
      <w:r w:rsidRPr="000977F7">
        <w:rPr>
          <w:rFonts w:asciiTheme="majorHAnsi" w:hAnsiTheme="majorHAnsi"/>
          <w:spacing w:val="1"/>
          <w:sz w:val="20"/>
          <w:szCs w:val="20"/>
        </w:rPr>
        <w:t xml:space="preserve"> </w:t>
      </w:r>
      <w:r w:rsidRPr="000977F7">
        <w:rPr>
          <w:rFonts w:asciiTheme="majorHAnsi" w:hAnsiTheme="majorHAnsi"/>
          <w:sz w:val="20"/>
          <w:szCs w:val="20"/>
        </w:rPr>
        <w:t>розміри</w:t>
      </w:r>
    </w:p>
    <w:p w14:paraId="4C5328C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2825 - 94</w:t>
      </w:r>
    </w:p>
    <w:p w14:paraId="2D501B42"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shd w:val="clear" w:color="auto" w:fill="FFFFFF"/>
        </w:rPr>
      </w:pPr>
      <w:r w:rsidRPr="000977F7">
        <w:rPr>
          <w:rFonts w:asciiTheme="majorHAnsi" w:hAnsiTheme="majorHAnsi"/>
          <w:b/>
          <w:bCs/>
          <w:sz w:val="20"/>
          <w:szCs w:val="20"/>
          <w:shd w:val="clear" w:color="auto" w:fill="FFFFFF"/>
        </w:rPr>
        <w:t>СТРОК СЛУЖБИ –</w:t>
      </w:r>
    </w:p>
    <w:p w14:paraId="753278F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Календарний строк використання продукції за призначенням, починаючи від введення в обіг чи після ремонту, протягом якого виробник (виконавець) гарантує її безпеку та несе відповідальність за істотні недоліки, що виникли з його вини</w:t>
      </w:r>
    </w:p>
    <w:p w14:paraId="2C5741DF"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shd w:val="clear" w:color="auto" w:fill="FFFFFF"/>
        </w:rPr>
      </w:pPr>
      <w:r w:rsidRPr="000977F7">
        <w:rPr>
          <w:rFonts w:asciiTheme="majorHAnsi" w:hAnsiTheme="majorHAnsi"/>
          <w:i/>
          <w:iCs/>
          <w:sz w:val="20"/>
          <w:szCs w:val="20"/>
        </w:rPr>
        <w:t xml:space="preserve">Ст. 1 закону </w:t>
      </w:r>
      <w:r w:rsidRPr="000977F7">
        <w:rPr>
          <w:rFonts w:asciiTheme="majorHAnsi" w:hAnsiTheme="majorHAnsi"/>
          <w:i/>
          <w:iCs/>
          <w:sz w:val="20"/>
          <w:szCs w:val="20"/>
          <w:shd w:val="clear" w:color="auto" w:fill="FFFFFF"/>
        </w:rPr>
        <w:t>України "Про захист прав споживачів"</w:t>
      </w:r>
    </w:p>
    <w:p w14:paraId="2A86CD06"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shd w:val="clear" w:color="auto" w:fill="FFFFFF"/>
        </w:rPr>
      </w:pPr>
      <w:r w:rsidRPr="000977F7">
        <w:rPr>
          <w:rFonts w:asciiTheme="majorHAnsi" w:hAnsiTheme="majorHAnsi"/>
          <w:b/>
          <w:bCs/>
          <w:sz w:val="20"/>
          <w:szCs w:val="20"/>
          <w:shd w:val="clear" w:color="auto" w:fill="FFFFFF"/>
        </w:rPr>
        <w:t>СТРОК (ТЕРМІН) ПРИДАТНОСТІ –</w:t>
      </w:r>
    </w:p>
    <w:p w14:paraId="10741DD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Строк (термін), визначений нормативно-правовими актами, умовами договору, протягом якого у разі додержання відповідних умов зберігання та/або експлуатації чи споживання продукції її якісні показники і показники безпеки повинні відповідати вимогам нормативно-правових актів та умовам договору</w:t>
      </w:r>
    </w:p>
    <w:p w14:paraId="51A8D56F"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Ст. 1 закону України "Про захист прав споживачів"</w:t>
      </w:r>
    </w:p>
    <w:p w14:paraId="5510DC7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СТРУКТУРА</w:t>
      </w:r>
      <w:r w:rsidRPr="000977F7">
        <w:rPr>
          <w:color w:val="auto"/>
          <w:spacing w:val="-4"/>
          <w:sz w:val="20"/>
          <w:szCs w:val="20"/>
        </w:rPr>
        <w:t xml:space="preserve"> </w:t>
      </w:r>
      <w:r w:rsidRPr="000977F7">
        <w:rPr>
          <w:color w:val="auto"/>
          <w:sz w:val="20"/>
          <w:szCs w:val="20"/>
        </w:rPr>
        <w:t>МАРКЕТИНГУ</w:t>
      </w:r>
      <w:r w:rsidRPr="000977F7">
        <w:rPr>
          <w:color w:val="auto"/>
          <w:spacing w:val="-1"/>
          <w:sz w:val="20"/>
          <w:szCs w:val="20"/>
        </w:rPr>
        <w:t xml:space="preserve"> </w:t>
      </w:r>
      <w:r w:rsidRPr="000977F7">
        <w:rPr>
          <w:color w:val="auto"/>
          <w:sz w:val="20"/>
          <w:szCs w:val="20"/>
        </w:rPr>
        <w:t>–</w:t>
      </w:r>
    </w:p>
    <w:p w14:paraId="02E787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Сполучення</w:t>
      </w:r>
      <w:r w:rsidRPr="000977F7">
        <w:rPr>
          <w:rFonts w:asciiTheme="majorHAnsi" w:hAnsiTheme="majorHAnsi"/>
          <w:spacing w:val="37"/>
          <w:sz w:val="20"/>
          <w:szCs w:val="20"/>
        </w:rPr>
        <w:t xml:space="preserve"> </w:t>
      </w:r>
      <w:r w:rsidRPr="000977F7">
        <w:rPr>
          <w:rFonts w:asciiTheme="majorHAnsi" w:hAnsiTheme="majorHAnsi"/>
          <w:sz w:val="20"/>
          <w:szCs w:val="20"/>
        </w:rPr>
        <w:t>елементів</w:t>
      </w:r>
      <w:r w:rsidRPr="000977F7">
        <w:rPr>
          <w:rFonts w:asciiTheme="majorHAnsi" w:hAnsiTheme="majorHAnsi"/>
          <w:spacing w:val="36"/>
          <w:sz w:val="20"/>
          <w:szCs w:val="20"/>
        </w:rPr>
        <w:t xml:space="preserve"> </w:t>
      </w:r>
      <w:r w:rsidRPr="000977F7">
        <w:rPr>
          <w:rFonts w:asciiTheme="majorHAnsi" w:hAnsiTheme="majorHAnsi"/>
          <w:sz w:val="20"/>
          <w:szCs w:val="20"/>
        </w:rPr>
        <w:t>маркетингу</w:t>
      </w:r>
      <w:r w:rsidRPr="000977F7">
        <w:rPr>
          <w:rFonts w:asciiTheme="majorHAnsi" w:hAnsiTheme="majorHAnsi"/>
          <w:spacing w:val="36"/>
          <w:sz w:val="20"/>
          <w:szCs w:val="20"/>
        </w:rPr>
        <w:t xml:space="preserve"> </w:t>
      </w:r>
      <w:r w:rsidRPr="000977F7">
        <w:rPr>
          <w:rFonts w:asciiTheme="majorHAnsi" w:hAnsiTheme="majorHAnsi"/>
          <w:sz w:val="20"/>
          <w:szCs w:val="20"/>
        </w:rPr>
        <w:t>для</w:t>
      </w:r>
      <w:r w:rsidRPr="000977F7">
        <w:rPr>
          <w:rFonts w:asciiTheme="majorHAnsi" w:hAnsiTheme="majorHAnsi"/>
          <w:spacing w:val="37"/>
          <w:sz w:val="20"/>
          <w:szCs w:val="20"/>
        </w:rPr>
        <w:t xml:space="preserve"> </w:t>
      </w:r>
      <w:r w:rsidRPr="000977F7">
        <w:rPr>
          <w:rFonts w:asciiTheme="majorHAnsi" w:hAnsiTheme="majorHAnsi"/>
          <w:sz w:val="20"/>
          <w:szCs w:val="20"/>
        </w:rPr>
        <w:t>досягнення</w:t>
      </w:r>
      <w:r w:rsidRPr="000977F7">
        <w:rPr>
          <w:rFonts w:asciiTheme="majorHAnsi" w:hAnsiTheme="majorHAnsi"/>
          <w:spacing w:val="-47"/>
          <w:sz w:val="20"/>
          <w:szCs w:val="20"/>
        </w:rPr>
        <w:t xml:space="preserve"> </w:t>
      </w:r>
      <w:r w:rsidRPr="000977F7">
        <w:rPr>
          <w:rFonts w:asciiTheme="majorHAnsi" w:hAnsiTheme="majorHAnsi"/>
          <w:sz w:val="20"/>
          <w:szCs w:val="20"/>
        </w:rPr>
        <w:t>встановленої мети та задоволення цільового ринку</w:t>
      </w:r>
    </w:p>
    <w:p w14:paraId="07367BD7"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3294 - 95</w:t>
      </w:r>
    </w:p>
    <w:p w14:paraId="50398B9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СТРУКТУРА</w:t>
      </w:r>
      <w:r w:rsidRPr="000977F7">
        <w:rPr>
          <w:color w:val="auto"/>
          <w:spacing w:val="-4"/>
          <w:sz w:val="20"/>
          <w:szCs w:val="20"/>
        </w:rPr>
        <w:t xml:space="preserve"> </w:t>
      </w:r>
      <w:r w:rsidRPr="000977F7">
        <w:rPr>
          <w:color w:val="auto"/>
          <w:sz w:val="20"/>
          <w:szCs w:val="20"/>
        </w:rPr>
        <w:t>РЕМОНТНОГО</w:t>
      </w:r>
      <w:r w:rsidRPr="000977F7">
        <w:rPr>
          <w:color w:val="auto"/>
          <w:spacing w:val="-3"/>
          <w:sz w:val="20"/>
          <w:szCs w:val="20"/>
        </w:rPr>
        <w:t xml:space="preserve"> </w:t>
      </w:r>
      <w:r w:rsidRPr="000977F7">
        <w:rPr>
          <w:color w:val="auto"/>
          <w:sz w:val="20"/>
          <w:szCs w:val="20"/>
        </w:rPr>
        <w:t>ЦИКЛУ</w:t>
      </w:r>
      <w:r w:rsidRPr="000977F7">
        <w:rPr>
          <w:color w:val="auto"/>
          <w:spacing w:val="-1"/>
          <w:sz w:val="20"/>
          <w:szCs w:val="20"/>
        </w:rPr>
        <w:t xml:space="preserve"> </w:t>
      </w:r>
      <w:r w:rsidRPr="000977F7">
        <w:rPr>
          <w:color w:val="auto"/>
          <w:sz w:val="20"/>
          <w:szCs w:val="20"/>
        </w:rPr>
        <w:t>–</w:t>
      </w:r>
    </w:p>
    <w:p w14:paraId="4AAD48A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Перелік та послідовність планових ремонтів устаткування, що циклічно повторюються за видами протягом ремонтного</w:t>
      </w:r>
      <w:r w:rsidRPr="000977F7">
        <w:rPr>
          <w:rFonts w:asciiTheme="majorHAnsi" w:hAnsiTheme="majorHAnsi"/>
          <w:spacing w:val="1"/>
          <w:sz w:val="20"/>
          <w:szCs w:val="20"/>
        </w:rPr>
        <w:t xml:space="preserve"> </w:t>
      </w:r>
      <w:r w:rsidRPr="000977F7">
        <w:rPr>
          <w:rFonts w:asciiTheme="majorHAnsi" w:hAnsiTheme="majorHAnsi"/>
          <w:sz w:val="20"/>
          <w:szCs w:val="20"/>
        </w:rPr>
        <w:t>циклу</w:t>
      </w:r>
    </w:p>
    <w:p w14:paraId="74C94F0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2960 - 94</w:t>
      </w:r>
    </w:p>
    <w:p w14:paraId="69E91B3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СТРУКТУРА</w:t>
      </w:r>
      <w:r w:rsidRPr="000977F7">
        <w:rPr>
          <w:color w:val="auto"/>
          <w:spacing w:val="-3"/>
          <w:sz w:val="20"/>
          <w:szCs w:val="20"/>
        </w:rPr>
        <w:t xml:space="preserve"> </w:t>
      </w:r>
      <w:r w:rsidRPr="000977F7">
        <w:rPr>
          <w:color w:val="auto"/>
          <w:sz w:val="20"/>
          <w:szCs w:val="20"/>
        </w:rPr>
        <w:t>(СИСТЕМИ)</w:t>
      </w:r>
      <w:r w:rsidRPr="000977F7">
        <w:rPr>
          <w:color w:val="auto"/>
          <w:spacing w:val="-1"/>
          <w:sz w:val="20"/>
          <w:szCs w:val="20"/>
        </w:rPr>
        <w:t xml:space="preserve"> </w:t>
      </w:r>
      <w:r w:rsidRPr="000977F7">
        <w:rPr>
          <w:color w:val="auto"/>
          <w:sz w:val="20"/>
          <w:szCs w:val="20"/>
        </w:rPr>
        <w:t>–</w:t>
      </w:r>
    </w:p>
    <w:p w14:paraId="2EC570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STRUCTURE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76BA4D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Подання</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сукупності</w:t>
      </w:r>
      <w:r w:rsidRPr="000977F7">
        <w:rPr>
          <w:rFonts w:asciiTheme="majorHAnsi" w:hAnsiTheme="majorHAnsi"/>
          <w:spacing w:val="1"/>
          <w:sz w:val="20"/>
          <w:szCs w:val="20"/>
        </w:rPr>
        <w:t xml:space="preserve"> </w:t>
      </w:r>
      <w:r w:rsidRPr="000977F7">
        <w:rPr>
          <w:rFonts w:asciiTheme="majorHAnsi" w:hAnsiTheme="majorHAnsi"/>
          <w:sz w:val="20"/>
          <w:szCs w:val="20"/>
        </w:rPr>
        <w:t>складових</w:t>
      </w:r>
      <w:r w:rsidRPr="000977F7">
        <w:rPr>
          <w:rFonts w:asciiTheme="majorHAnsi" w:hAnsiTheme="majorHAnsi"/>
          <w:spacing w:val="1"/>
          <w:sz w:val="20"/>
          <w:szCs w:val="20"/>
        </w:rPr>
        <w:t xml:space="preserve"> </w:t>
      </w:r>
      <w:r w:rsidRPr="000977F7">
        <w:rPr>
          <w:rFonts w:asciiTheme="majorHAnsi" w:hAnsiTheme="majorHAnsi"/>
          <w:sz w:val="20"/>
          <w:szCs w:val="20"/>
        </w:rPr>
        <w:t>частин,</w:t>
      </w:r>
      <w:r w:rsidRPr="000977F7">
        <w:rPr>
          <w:rFonts w:asciiTheme="majorHAnsi" w:hAnsiTheme="majorHAnsi"/>
          <w:spacing w:val="1"/>
          <w:sz w:val="20"/>
          <w:szCs w:val="20"/>
        </w:rPr>
        <w:t xml:space="preserve"> </w:t>
      </w:r>
      <w:r w:rsidRPr="000977F7">
        <w:rPr>
          <w:rFonts w:asciiTheme="majorHAnsi" w:hAnsiTheme="majorHAnsi"/>
          <w:sz w:val="20"/>
          <w:szCs w:val="20"/>
        </w:rPr>
        <w:t>виділених за певним принципом, їхніх зв’язків та відносин</w:t>
      </w:r>
    </w:p>
    <w:p w14:paraId="279E9EF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0B448C86"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СТРУКТУРА</w:t>
      </w:r>
      <w:r w:rsidRPr="000977F7">
        <w:rPr>
          <w:color w:val="auto"/>
          <w:spacing w:val="1"/>
          <w:sz w:val="20"/>
          <w:szCs w:val="20"/>
        </w:rPr>
        <w:t xml:space="preserve"> </w:t>
      </w:r>
      <w:r w:rsidRPr="000977F7">
        <w:rPr>
          <w:color w:val="auto"/>
          <w:sz w:val="20"/>
          <w:szCs w:val="20"/>
        </w:rPr>
        <w:t>ТА</w:t>
      </w:r>
      <w:r w:rsidRPr="000977F7">
        <w:rPr>
          <w:color w:val="auto"/>
          <w:spacing w:val="1"/>
          <w:sz w:val="20"/>
          <w:szCs w:val="20"/>
        </w:rPr>
        <w:t xml:space="preserve"> </w:t>
      </w:r>
      <w:r w:rsidRPr="000977F7">
        <w:rPr>
          <w:color w:val="auto"/>
          <w:sz w:val="20"/>
          <w:szCs w:val="20"/>
        </w:rPr>
        <w:t>ЗАСТОСУВАННЯ</w:t>
      </w:r>
      <w:r w:rsidRPr="000977F7">
        <w:rPr>
          <w:color w:val="auto"/>
          <w:spacing w:val="1"/>
          <w:sz w:val="20"/>
          <w:szCs w:val="20"/>
        </w:rPr>
        <w:t xml:space="preserve"> </w:t>
      </w:r>
    </w:p>
    <w:p w14:paraId="5FCFA5A7" w14:textId="77777777" w:rsidR="0097612F" w:rsidRPr="000977F7" w:rsidRDefault="0097612F" w:rsidP="000977F7">
      <w:pPr>
        <w:pStyle w:val="7"/>
        <w:tabs>
          <w:tab w:val="left" w:pos="284"/>
        </w:tabs>
        <w:spacing w:before="0" w:line="240" w:lineRule="auto"/>
        <w:ind w:left="170"/>
        <w:mirrorIndents/>
        <w:jc w:val="both"/>
        <w:rPr>
          <w:color w:val="auto"/>
          <w:spacing w:val="-2"/>
          <w:sz w:val="20"/>
          <w:szCs w:val="20"/>
        </w:rPr>
      </w:pPr>
      <w:r w:rsidRPr="000977F7">
        <w:rPr>
          <w:color w:val="auto"/>
          <w:sz w:val="20"/>
          <w:szCs w:val="20"/>
        </w:rPr>
        <w:t>УКРАЇНСЬКОЇ</w:t>
      </w:r>
      <w:r w:rsidRPr="000977F7">
        <w:rPr>
          <w:color w:val="auto"/>
          <w:spacing w:val="1"/>
          <w:sz w:val="20"/>
          <w:szCs w:val="20"/>
        </w:rPr>
        <w:t xml:space="preserve"> </w:t>
      </w:r>
      <w:r w:rsidRPr="000977F7">
        <w:rPr>
          <w:color w:val="auto"/>
          <w:sz w:val="20"/>
          <w:szCs w:val="20"/>
        </w:rPr>
        <w:t>КЛАСИФІКАЦІЇ</w:t>
      </w:r>
      <w:r w:rsidRPr="000977F7">
        <w:rPr>
          <w:color w:val="auto"/>
          <w:spacing w:val="1"/>
          <w:sz w:val="20"/>
          <w:szCs w:val="20"/>
        </w:rPr>
        <w:t xml:space="preserve"> </w:t>
      </w:r>
      <w:r w:rsidRPr="000977F7">
        <w:rPr>
          <w:color w:val="auto"/>
          <w:sz w:val="20"/>
          <w:szCs w:val="20"/>
        </w:rPr>
        <w:t>ТОВАРІВ</w:t>
      </w:r>
      <w:r w:rsidRPr="000977F7">
        <w:rPr>
          <w:color w:val="auto"/>
          <w:spacing w:val="1"/>
          <w:sz w:val="20"/>
          <w:szCs w:val="20"/>
        </w:rPr>
        <w:t xml:space="preserve"> </w:t>
      </w:r>
      <w:r w:rsidRPr="000977F7">
        <w:rPr>
          <w:color w:val="auto"/>
          <w:sz w:val="20"/>
          <w:szCs w:val="20"/>
        </w:rPr>
        <w:t>ЗОВНІШНЬОЇ Е</w:t>
      </w:r>
      <w:r w:rsidRPr="000977F7">
        <w:rPr>
          <w:color w:val="auto"/>
          <w:spacing w:val="-47"/>
          <w:sz w:val="20"/>
          <w:szCs w:val="20"/>
        </w:rPr>
        <w:t xml:space="preserve"> </w:t>
      </w:r>
      <w:r w:rsidRPr="000977F7">
        <w:rPr>
          <w:color w:val="auto"/>
          <w:sz w:val="20"/>
          <w:szCs w:val="20"/>
        </w:rPr>
        <w:t>КОНОМІЧНОЇ</w:t>
      </w:r>
      <w:r w:rsidRPr="000977F7">
        <w:rPr>
          <w:color w:val="auto"/>
          <w:spacing w:val="-2"/>
          <w:sz w:val="20"/>
          <w:szCs w:val="20"/>
        </w:rPr>
        <w:t xml:space="preserve"> </w:t>
      </w:r>
    </w:p>
    <w:p w14:paraId="3C12E19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ДІЯЛЬНОСТІ</w:t>
      </w:r>
      <w:r w:rsidRPr="000977F7">
        <w:rPr>
          <w:color w:val="auto"/>
          <w:spacing w:val="2"/>
          <w:sz w:val="20"/>
          <w:szCs w:val="20"/>
        </w:rPr>
        <w:t xml:space="preserve"> </w:t>
      </w:r>
      <w:r w:rsidRPr="000977F7">
        <w:rPr>
          <w:color w:val="auto"/>
          <w:sz w:val="20"/>
          <w:szCs w:val="20"/>
        </w:rPr>
        <w:t>–</w:t>
      </w:r>
    </w:p>
    <w:p w14:paraId="3B663E1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Українська класифікація товарів зовнішньоекономічної</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діяльності</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(далі</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УКТЗЕД)</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складається</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осно</w:t>
      </w:r>
      <w:r w:rsidRPr="004D2D14">
        <w:rPr>
          <w:rFonts w:asciiTheme="majorHAnsi" w:hAnsiTheme="majorHAnsi"/>
          <w:spacing w:val="-2"/>
          <w:sz w:val="20"/>
          <w:szCs w:val="20"/>
          <w:lang w:val="uk-UA"/>
        </w:rPr>
        <w:t>ві</w:t>
      </w:r>
      <w:r w:rsidRPr="004D2D14">
        <w:rPr>
          <w:rFonts w:asciiTheme="majorHAnsi" w:hAnsiTheme="majorHAnsi"/>
          <w:spacing w:val="-11"/>
          <w:sz w:val="20"/>
          <w:szCs w:val="20"/>
          <w:lang w:val="uk-UA"/>
        </w:rPr>
        <w:t xml:space="preserve"> </w:t>
      </w:r>
      <w:r w:rsidRPr="004D2D14">
        <w:rPr>
          <w:rFonts w:asciiTheme="majorHAnsi" w:hAnsiTheme="majorHAnsi"/>
          <w:spacing w:val="-1"/>
          <w:sz w:val="20"/>
          <w:szCs w:val="20"/>
          <w:lang w:val="uk-UA"/>
        </w:rPr>
        <w:t>Гармонізованої</w:t>
      </w:r>
      <w:r w:rsidRPr="004D2D14">
        <w:rPr>
          <w:rFonts w:asciiTheme="majorHAnsi" w:hAnsiTheme="majorHAnsi"/>
          <w:spacing w:val="-10"/>
          <w:sz w:val="20"/>
          <w:szCs w:val="20"/>
          <w:lang w:val="uk-UA"/>
        </w:rPr>
        <w:t xml:space="preserve"> </w:t>
      </w:r>
      <w:r w:rsidRPr="004D2D14">
        <w:rPr>
          <w:rFonts w:asciiTheme="majorHAnsi" w:hAnsiTheme="majorHAnsi"/>
          <w:spacing w:val="-1"/>
          <w:sz w:val="20"/>
          <w:szCs w:val="20"/>
          <w:lang w:val="uk-UA"/>
        </w:rPr>
        <w:t>системи</w:t>
      </w:r>
      <w:r w:rsidRPr="004D2D14">
        <w:rPr>
          <w:rFonts w:asciiTheme="majorHAnsi" w:hAnsiTheme="majorHAnsi"/>
          <w:spacing w:val="-12"/>
          <w:sz w:val="20"/>
          <w:szCs w:val="20"/>
          <w:lang w:val="uk-UA"/>
        </w:rPr>
        <w:t xml:space="preserve"> </w:t>
      </w:r>
      <w:r w:rsidRPr="004D2D14">
        <w:rPr>
          <w:rFonts w:asciiTheme="majorHAnsi" w:hAnsiTheme="majorHAnsi"/>
          <w:spacing w:val="-1"/>
          <w:sz w:val="20"/>
          <w:szCs w:val="20"/>
          <w:lang w:val="uk-UA"/>
        </w:rPr>
        <w:t>опису</w:t>
      </w:r>
      <w:r w:rsidRPr="004D2D14">
        <w:rPr>
          <w:rFonts w:asciiTheme="majorHAnsi" w:hAnsiTheme="majorHAnsi"/>
          <w:spacing w:val="-11"/>
          <w:sz w:val="20"/>
          <w:szCs w:val="20"/>
          <w:lang w:val="uk-UA"/>
        </w:rPr>
        <w:t xml:space="preserve"> </w:t>
      </w:r>
      <w:r w:rsidRPr="004D2D14">
        <w:rPr>
          <w:rFonts w:asciiTheme="majorHAnsi" w:hAnsiTheme="majorHAnsi"/>
          <w:spacing w:val="-1"/>
          <w:sz w:val="20"/>
          <w:szCs w:val="20"/>
          <w:lang w:val="uk-UA"/>
        </w:rPr>
        <w:t>та</w:t>
      </w:r>
      <w:r w:rsidRPr="004D2D14">
        <w:rPr>
          <w:rFonts w:asciiTheme="majorHAnsi" w:hAnsiTheme="majorHAnsi"/>
          <w:spacing w:val="-8"/>
          <w:sz w:val="20"/>
          <w:szCs w:val="20"/>
          <w:lang w:val="uk-UA"/>
        </w:rPr>
        <w:t xml:space="preserve"> </w:t>
      </w:r>
      <w:r w:rsidRPr="004D2D14">
        <w:rPr>
          <w:rFonts w:asciiTheme="majorHAnsi" w:hAnsiTheme="majorHAnsi"/>
          <w:spacing w:val="-1"/>
          <w:sz w:val="20"/>
          <w:szCs w:val="20"/>
          <w:lang w:val="uk-UA"/>
        </w:rPr>
        <w:t>кодування</w:t>
      </w:r>
      <w:r w:rsidRPr="004D2D14">
        <w:rPr>
          <w:rFonts w:asciiTheme="majorHAnsi" w:hAnsiTheme="majorHAnsi"/>
          <w:spacing w:val="-11"/>
          <w:sz w:val="20"/>
          <w:szCs w:val="20"/>
          <w:lang w:val="uk-UA"/>
        </w:rPr>
        <w:t xml:space="preserve"> </w:t>
      </w:r>
      <w:r w:rsidRPr="004D2D14">
        <w:rPr>
          <w:rFonts w:asciiTheme="majorHAnsi" w:hAnsiTheme="majorHAnsi"/>
          <w:spacing w:val="-1"/>
          <w:sz w:val="20"/>
          <w:szCs w:val="20"/>
          <w:lang w:val="uk-UA"/>
        </w:rPr>
        <w:t>товарів.</w:t>
      </w:r>
    </w:p>
    <w:p w14:paraId="5C68F46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 УКТЗЕД товари систематизовано за розділами,</w:t>
      </w:r>
      <w:r w:rsidRPr="000977F7">
        <w:rPr>
          <w:rFonts w:asciiTheme="majorHAnsi" w:hAnsiTheme="majorHAnsi"/>
          <w:spacing w:val="1"/>
          <w:sz w:val="20"/>
          <w:szCs w:val="20"/>
        </w:rPr>
        <w:t xml:space="preserve"> </w:t>
      </w:r>
      <w:r w:rsidRPr="000977F7">
        <w:rPr>
          <w:rFonts w:asciiTheme="majorHAnsi" w:hAnsiTheme="majorHAnsi"/>
          <w:sz w:val="20"/>
          <w:szCs w:val="20"/>
        </w:rPr>
        <w:t>групами,</w:t>
      </w:r>
      <w:r w:rsidRPr="000977F7">
        <w:rPr>
          <w:rFonts w:asciiTheme="majorHAnsi" w:hAnsiTheme="majorHAnsi"/>
          <w:spacing w:val="1"/>
          <w:sz w:val="20"/>
          <w:szCs w:val="20"/>
        </w:rPr>
        <w:t xml:space="preserve"> </w:t>
      </w:r>
      <w:r w:rsidRPr="000977F7">
        <w:rPr>
          <w:rFonts w:asciiTheme="majorHAnsi" w:hAnsiTheme="majorHAnsi"/>
          <w:sz w:val="20"/>
          <w:szCs w:val="20"/>
        </w:rPr>
        <w:t>товарними</w:t>
      </w:r>
      <w:r w:rsidRPr="000977F7">
        <w:rPr>
          <w:rFonts w:asciiTheme="majorHAnsi" w:hAnsiTheme="majorHAnsi"/>
          <w:spacing w:val="1"/>
          <w:sz w:val="20"/>
          <w:szCs w:val="20"/>
        </w:rPr>
        <w:t xml:space="preserve"> </w:t>
      </w:r>
      <w:r w:rsidRPr="000977F7">
        <w:rPr>
          <w:rFonts w:asciiTheme="majorHAnsi" w:hAnsiTheme="majorHAnsi"/>
          <w:sz w:val="20"/>
          <w:szCs w:val="20"/>
        </w:rPr>
        <w:t>позиціями,</w:t>
      </w:r>
      <w:r w:rsidRPr="000977F7">
        <w:rPr>
          <w:rFonts w:asciiTheme="majorHAnsi" w:hAnsiTheme="majorHAnsi"/>
          <w:spacing w:val="1"/>
          <w:sz w:val="20"/>
          <w:szCs w:val="20"/>
        </w:rPr>
        <w:t xml:space="preserve"> </w:t>
      </w:r>
      <w:r w:rsidRPr="000977F7">
        <w:rPr>
          <w:rFonts w:asciiTheme="majorHAnsi" w:hAnsiTheme="majorHAnsi"/>
          <w:sz w:val="20"/>
          <w:szCs w:val="20"/>
        </w:rPr>
        <w:t>товарними</w:t>
      </w:r>
      <w:r w:rsidRPr="000977F7">
        <w:rPr>
          <w:rFonts w:asciiTheme="majorHAnsi" w:hAnsiTheme="majorHAnsi"/>
          <w:spacing w:val="1"/>
          <w:sz w:val="20"/>
          <w:szCs w:val="20"/>
        </w:rPr>
        <w:t xml:space="preserve"> </w:t>
      </w:r>
      <w:r w:rsidRPr="000977F7">
        <w:rPr>
          <w:rFonts w:asciiTheme="majorHAnsi" w:hAnsiTheme="majorHAnsi"/>
          <w:sz w:val="20"/>
          <w:szCs w:val="20"/>
        </w:rPr>
        <w:t>підпозиціями, найменування і цифрові коди яких уніфіковано з гармонізованою системою опису та кодування</w:t>
      </w:r>
      <w:r w:rsidRPr="000977F7">
        <w:rPr>
          <w:rFonts w:asciiTheme="majorHAnsi" w:hAnsiTheme="majorHAnsi"/>
          <w:spacing w:val="-2"/>
          <w:sz w:val="20"/>
          <w:szCs w:val="20"/>
        </w:rPr>
        <w:t xml:space="preserve"> </w:t>
      </w:r>
      <w:r w:rsidRPr="000977F7">
        <w:rPr>
          <w:rFonts w:asciiTheme="majorHAnsi" w:hAnsiTheme="majorHAnsi"/>
          <w:sz w:val="20"/>
          <w:szCs w:val="20"/>
        </w:rPr>
        <w:t>товарів.</w:t>
      </w:r>
    </w:p>
    <w:p w14:paraId="41763EB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Для докладнішої товарної класифікації використовується сьомий, восьмий, дев’ятий та десятий знаки</w:t>
      </w:r>
      <w:r w:rsidRPr="000977F7">
        <w:rPr>
          <w:rFonts w:asciiTheme="majorHAnsi" w:hAnsiTheme="majorHAnsi"/>
          <w:spacing w:val="-47"/>
          <w:sz w:val="20"/>
          <w:szCs w:val="20"/>
        </w:rPr>
        <w:t xml:space="preserve"> </w:t>
      </w:r>
      <w:r w:rsidRPr="000977F7">
        <w:rPr>
          <w:rFonts w:asciiTheme="majorHAnsi" w:hAnsiTheme="majorHAnsi"/>
          <w:sz w:val="20"/>
          <w:szCs w:val="20"/>
        </w:rPr>
        <w:t>цифрового коду.</w:t>
      </w:r>
    </w:p>
    <w:p w14:paraId="7051882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Структура десятизнакового</w:t>
      </w:r>
      <w:r w:rsidRPr="000977F7">
        <w:rPr>
          <w:rFonts w:asciiTheme="majorHAnsi" w:hAnsiTheme="majorHAnsi"/>
          <w:spacing w:val="1"/>
          <w:sz w:val="20"/>
          <w:szCs w:val="20"/>
        </w:rPr>
        <w:t xml:space="preserve"> </w:t>
      </w:r>
      <w:r w:rsidRPr="000977F7">
        <w:rPr>
          <w:rFonts w:asciiTheme="majorHAnsi" w:hAnsiTheme="majorHAnsi"/>
          <w:sz w:val="20"/>
          <w:szCs w:val="20"/>
        </w:rPr>
        <w:t>цифрового</w:t>
      </w:r>
      <w:r w:rsidRPr="000977F7">
        <w:rPr>
          <w:rFonts w:asciiTheme="majorHAnsi" w:hAnsiTheme="majorHAnsi"/>
          <w:spacing w:val="1"/>
          <w:sz w:val="20"/>
          <w:szCs w:val="20"/>
        </w:rPr>
        <w:t xml:space="preserve"> </w:t>
      </w:r>
      <w:r w:rsidRPr="000977F7">
        <w:rPr>
          <w:rFonts w:asciiTheme="majorHAnsi" w:hAnsiTheme="majorHAnsi"/>
          <w:sz w:val="20"/>
          <w:szCs w:val="20"/>
        </w:rPr>
        <w:t>кодового</w:t>
      </w:r>
      <w:r w:rsidRPr="000977F7">
        <w:rPr>
          <w:rFonts w:asciiTheme="majorHAnsi" w:hAnsiTheme="majorHAnsi"/>
          <w:spacing w:val="1"/>
          <w:sz w:val="20"/>
          <w:szCs w:val="20"/>
        </w:rPr>
        <w:t xml:space="preserve"> </w:t>
      </w:r>
      <w:r w:rsidRPr="000977F7">
        <w:rPr>
          <w:rFonts w:asciiTheme="majorHAnsi" w:hAnsiTheme="majorHAnsi"/>
          <w:sz w:val="20"/>
          <w:szCs w:val="20"/>
        </w:rPr>
        <w:t>позначення товарів в УКТЗЕД включає код групи (перші два знаки), товарної позиції (перші чотири знаки),</w:t>
      </w:r>
      <w:r w:rsidRPr="000977F7">
        <w:rPr>
          <w:rFonts w:asciiTheme="majorHAnsi" w:hAnsiTheme="majorHAnsi"/>
          <w:spacing w:val="-47"/>
          <w:sz w:val="20"/>
          <w:szCs w:val="20"/>
        </w:rPr>
        <w:t xml:space="preserve"> </w:t>
      </w:r>
      <w:r w:rsidRPr="000977F7">
        <w:rPr>
          <w:rFonts w:asciiTheme="majorHAnsi" w:hAnsiTheme="majorHAnsi"/>
          <w:sz w:val="20"/>
          <w:szCs w:val="20"/>
        </w:rPr>
        <w:t>товарної</w:t>
      </w:r>
      <w:r w:rsidRPr="000977F7">
        <w:rPr>
          <w:rFonts w:asciiTheme="majorHAnsi" w:hAnsiTheme="majorHAnsi"/>
          <w:spacing w:val="1"/>
          <w:sz w:val="20"/>
          <w:szCs w:val="20"/>
        </w:rPr>
        <w:t xml:space="preserve"> </w:t>
      </w:r>
      <w:r w:rsidRPr="000977F7">
        <w:rPr>
          <w:rFonts w:asciiTheme="majorHAnsi" w:hAnsiTheme="majorHAnsi"/>
          <w:sz w:val="20"/>
          <w:szCs w:val="20"/>
        </w:rPr>
        <w:t>підпозиції</w:t>
      </w:r>
      <w:r w:rsidRPr="000977F7">
        <w:rPr>
          <w:rFonts w:asciiTheme="majorHAnsi" w:hAnsiTheme="majorHAnsi"/>
          <w:spacing w:val="1"/>
          <w:sz w:val="20"/>
          <w:szCs w:val="20"/>
        </w:rPr>
        <w:t xml:space="preserve"> </w:t>
      </w:r>
      <w:r w:rsidRPr="000977F7">
        <w:rPr>
          <w:rFonts w:asciiTheme="majorHAnsi" w:hAnsiTheme="majorHAnsi"/>
          <w:sz w:val="20"/>
          <w:szCs w:val="20"/>
        </w:rPr>
        <w:t>(перші</w:t>
      </w:r>
      <w:r w:rsidRPr="000977F7">
        <w:rPr>
          <w:rFonts w:asciiTheme="majorHAnsi" w:hAnsiTheme="majorHAnsi"/>
          <w:spacing w:val="1"/>
          <w:sz w:val="20"/>
          <w:szCs w:val="20"/>
        </w:rPr>
        <w:t xml:space="preserve"> </w:t>
      </w:r>
      <w:r w:rsidRPr="000977F7">
        <w:rPr>
          <w:rFonts w:asciiTheme="majorHAnsi" w:hAnsiTheme="majorHAnsi"/>
          <w:sz w:val="20"/>
          <w:szCs w:val="20"/>
        </w:rPr>
        <w:t>шість</w:t>
      </w:r>
      <w:r w:rsidRPr="000977F7">
        <w:rPr>
          <w:rFonts w:asciiTheme="majorHAnsi" w:hAnsiTheme="majorHAnsi"/>
          <w:spacing w:val="1"/>
          <w:sz w:val="20"/>
          <w:szCs w:val="20"/>
        </w:rPr>
        <w:t xml:space="preserve"> </w:t>
      </w:r>
      <w:r w:rsidRPr="000977F7">
        <w:rPr>
          <w:rFonts w:asciiTheme="majorHAnsi" w:hAnsiTheme="majorHAnsi"/>
          <w:sz w:val="20"/>
          <w:szCs w:val="20"/>
        </w:rPr>
        <w:t>знаків),</w:t>
      </w:r>
      <w:r w:rsidRPr="000977F7">
        <w:rPr>
          <w:rFonts w:asciiTheme="majorHAnsi" w:hAnsiTheme="majorHAnsi"/>
          <w:spacing w:val="1"/>
          <w:sz w:val="20"/>
          <w:szCs w:val="20"/>
        </w:rPr>
        <w:t xml:space="preserve"> </w:t>
      </w:r>
      <w:r w:rsidRPr="000977F7">
        <w:rPr>
          <w:rFonts w:asciiTheme="majorHAnsi" w:hAnsiTheme="majorHAnsi"/>
          <w:sz w:val="20"/>
          <w:szCs w:val="20"/>
        </w:rPr>
        <w:t>товарної</w:t>
      </w:r>
      <w:r w:rsidRPr="000977F7">
        <w:rPr>
          <w:rFonts w:asciiTheme="majorHAnsi" w:hAnsiTheme="majorHAnsi"/>
          <w:spacing w:val="1"/>
          <w:sz w:val="20"/>
          <w:szCs w:val="20"/>
        </w:rPr>
        <w:t xml:space="preserve"> </w:t>
      </w:r>
      <w:r w:rsidRPr="000977F7">
        <w:rPr>
          <w:rFonts w:asciiTheme="majorHAnsi" w:hAnsiTheme="majorHAnsi"/>
          <w:sz w:val="20"/>
          <w:szCs w:val="20"/>
        </w:rPr>
        <w:t>категорії</w:t>
      </w:r>
      <w:r w:rsidRPr="000977F7">
        <w:rPr>
          <w:rFonts w:asciiTheme="majorHAnsi" w:hAnsiTheme="majorHAnsi"/>
          <w:spacing w:val="1"/>
          <w:sz w:val="20"/>
          <w:szCs w:val="20"/>
        </w:rPr>
        <w:t xml:space="preserve"> </w:t>
      </w:r>
      <w:r w:rsidRPr="000977F7">
        <w:rPr>
          <w:rFonts w:asciiTheme="majorHAnsi" w:hAnsiTheme="majorHAnsi"/>
          <w:sz w:val="20"/>
          <w:szCs w:val="20"/>
        </w:rPr>
        <w:t>(перші</w:t>
      </w:r>
      <w:r w:rsidRPr="000977F7">
        <w:rPr>
          <w:rFonts w:asciiTheme="majorHAnsi" w:hAnsiTheme="majorHAnsi"/>
          <w:spacing w:val="1"/>
          <w:sz w:val="20"/>
          <w:szCs w:val="20"/>
        </w:rPr>
        <w:t xml:space="preserve"> </w:t>
      </w:r>
      <w:r w:rsidRPr="000977F7">
        <w:rPr>
          <w:rFonts w:asciiTheme="majorHAnsi" w:hAnsiTheme="majorHAnsi"/>
          <w:sz w:val="20"/>
          <w:szCs w:val="20"/>
        </w:rPr>
        <w:t>вісім</w:t>
      </w:r>
      <w:r w:rsidRPr="000977F7">
        <w:rPr>
          <w:rFonts w:asciiTheme="majorHAnsi" w:hAnsiTheme="majorHAnsi"/>
          <w:spacing w:val="1"/>
          <w:sz w:val="20"/>
          <w:szCs w:val="20"/>
        </w:rPr>
        <w:t xml:space="preserve"> </w:t>
      </w:r>
      <w:r w:rsidRPr="000977F7">
        <w:rPr>
          <w:rFonts w:asciiTheme="majorHAnsi" w:hAnsiTheme="majorHAnsi"/>
          <w:sz w:val="20"/>
          <w:szCs w:val="20"/>
        </w:rPr>
        <w:t>знаків),</w:t>
      </w:r>
      <w:r w:rsidRPr="000977F7">
        <w:rPr>
          <w:rFonts w:asciiTheme="majorHAnsi" w:hAnsiTheme="majorHAnsi"/>
          <w:spacing w:val="1"/>
          <w:sz w:val="20"/>
          <w:szCs w:val="20"/>
        </w:rPr>
        <w:t xml:space="preserve"> </w:t>
      </w:r>
      <w:r w:rsidRPr="000977F7">
        <w:rPr>
          <w:rFonts w:asciiTheme="majorHAnsi" w:hAnsiTheme="majorHAnsi"/>
          <w:sz w:val="20"/>
          <w:szCs w:val="20"/>
        </w:rPr>
        <w:t>товарної</w:t>
      </w:r>
      <w:r w:rsidRPr="000977F7">
        <w:rPr>
          <w:rFonts w:asciiTheme="majorHAnsi" w:hAnsiTheme="majorHAnsi"/>
          <w:spacing w:val="1"/>
          <w:sz w:val="20"/>
          <w:szCs w:val="20"/>
        </w:rPr>
        <w:t xml:space="preserve"> </w:t>
      </w:r>
      <w:r w:rsidRPr="000977F7">
        <w:rPr>
          <w:rFonts w:asciiTheme="majorHAnsi" w:hAnsiTheme="majorHAnsi"/>
          <w:sz w:val="20"/>
          <w:szCs w:val="20"/>
        </w:rPr>
        <w:t>підкатегорії</w:t>
      </w:r>
      <w:r w:rsidRPr="000977F7">
        <w:rPr>
          <w:rFonts w:asciiTheme="majorHAnsi" w:hAnsiTheme="majorHAnsi"/>
          <w:spacing w:val="-47"/>
          <w:sz w:val="20"/>
          <w:szCs w:val="20"/>
        </w:rPr>
        <w:t xml:space="preserve"> </w:t>
      </w:r>
      <w:r w:rsidRPr="000977F7">
        <w:rPr>
          <w:rFonts w:asciiTheme="majorHAnsi" w:hAnsiTheme="majorHAnsi"/>
          <w:sz w:val="20"/>
          <w:szCs w:val="20"/>
        </w:rPr>
        <w:t>(десять</w:t>
      </w:r>
      <w:r w:rsidRPr="000977F7">
        <w:rPr>
          <w:rFonts w:asciiTheme="majorHAnsi" w:hAnsiTheme="majorHAnsi"/>
          <w:spacing w:val="-1"/>
          <w:sz w:val="20"/>
          <w:szCs w:val="20"/>
        </w:rPr>
        <w:t xml:space="preserve"> </w:t>
      </w:r>
      <w:r w:rsidRPr="000977F7">
        <w:rPr>
          <w:rFonts w:asciiTheme="majorHAnsi" w:hAnsiTheme="majorHAnsi"/>
          <w:sz w:val="20"/>
          <w:szCs w:val="20"/>
        </w:rPr>
        <w:t>знаків)</w:t>
      </w:r>
    </w:p>
    <w:p w14:paraId="02E1933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w:t>
      </w:r>
      <w:r w:rsidRPr="000977F7">
        <w:rPr>
          <w:rFonts w:asciiTheme="majorHAnsi" w:hAnsiTheme="majorHAnsi"/>
          <w:i/>
          <w:spacing w:val="-2"/>
          <w:sz w:val="20"/>
          <w:szCs w:val="20"/>
        </w:rPr>
        <w:t xml:space="preserve"> </w:t>
      </w:r>
      <w:r w:rsidRPr="000977F7">
        <w:rPr>
          <w:rFonts w:asciiTheme="majorHAnsi" w:hAnsiTheme="majorHAnsi"/>
          <w:i/>
          <w:sz w:val="20"/>
          <w:szCs w:val="20"/>
        </w:rPr>
        <w:t>кодекс</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p>
    <w:p w14:paraId="22DA7F3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СТРУКТУРА</w:t>
      </w:r>
      <w:r w:rsidRPr="000977F7">
        <w:rPr>
          <w:color w:val="auto"/>
          <w:spacing w:val="-4"/>
          <w:sz w:val="20"/>
          <w:szCs w:val="20"/>
        </w:rPr>
        <w:t xml:space="preserve"> </w:t>
      </w:r>
      <w:r w:rsidRPr="000977F7">
        <w:rPr>
          <w:color w:val="auto"/>
          <w:sz w:val="20"/>
          <w:szCs w:val="20"/>
        </w:rPr>
        <w:t>ШТРИХОВОГО</w:t>
      </w:r>
      <w:r w:rsidRPr="000977F7">
        <w:rPr>
          <w:color w:val="auto"/>
          <w:spacing w:val="-3"/>
          <w:sz w:val="20"/>
          <w:szCs w:val="20"/>
        </w:rPr>
        <w:t xml:space="preserve"> </w:t>
      </w:r>
      <w:r w:rsidRPr="000977F7">
        <w:rPr>
          <w:color w:val="auto"/>
          <w:sz w:val="20"/>
          <w:szCs w:val="20"/>
        </w:rPr>
        <w:t>КОДУ</w:t>
      </w:r>
      <w:r w:rsidRPr="000977F7">
        <w:rPr>
          <w:color w:val="auto"/>
          <w:spacing w:val="-1"/>
          <w:sz w:val="20"/>
          <w:szCs w:val="20"/>
        </w:rPr>
        <w:t xml:space="preserve"> </w:t>
      </w:r>
      <w:r w:rsidRPr="000977F7">
        <w:rPr>
          <w:color w:val="auto"/>
          <w:sz w:val="20"/>
          <w:szCs w:val="20"/>
        </w:rPr>
        <w:t>–</w:t>
      </w:r>
    </w:p>
    <w:p w14:paraId="334F95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елементів у знаках та знаків у штриховому коді, взаємозв’язків між ними, що визначаються</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встановленими правилами</w:t>
      </w:r>
    </w:p>
    <w:p w14:paraId="0F23B69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3144 - 95</w:t>
      </w:r>
    </w:p>
    <w:p w14:paraId="682153D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СТРУКТУРНА</w:t>
      </w:r>
      <w:r w:rsidRPr="000977F7">
        <w:rPr>
          <w:color w:val="auto"/>
          <w:spacing w:val="-4"/>
          <w:sz w:val="20"/>
          <w:szCs w:val="20"/>
        </w:rPr>
        <w:t xml:space="preserve"> </w:t>
      </w:r>
      <w:r w:rsidRPr="000977F7">
        <w:rPr>
          <w:color w:val="auto"/>
          <w:sz w:val="20"/>
          <w:szCs w:val="20"/>
        </w:rPr>
        <w:t>КОРОЗІЯ</w:t>
      </w:r>
      <w:r w:rsidRPr="000977F7">
        <w:rPr>
          <w:color w:val="auto"/>
          <w:spacing w:val="1"/>
          <w:sz w:val="20"/>
          <w:szCs w:val="20"/>
        </w:rPr>
        <w:t xml:space="preserve"> </w:t>
      </w:r>
      <w:r w:rsidRPr="000977F7">
        <w:rPr>
          <w:color w:val="auto"/>
          <w:sz w:val="20"/>
          <w:szCs w:val="20"/>
        </w:rPr>
        <w:t>-</w:t>
      </w:r>
    </w:p>
    <w:p w14:paraId="619B33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0"/>
          <w:sz w:val="20"/>
          <w:szCs w:val="20"/>
        </w:rPr>
        <w:t>Корозія,</w:t>
      </w:r>
      <w:r w:rsidRPr="000977F7">
        <w:rPr>
          <w:rFonts w:asciiTheme="majorHAnsi" w:hAnsiTheme="majorHAnsi"/>
          <w:spacing w:val="-21"/>
          <w:sz w:val="20"/>
          <w:szCs w:val="20"/>
        </w:rPr>
        <w:t xml:space="preserve"> </w:t>
      </w:r>
      <w:r w:rsidRPr="000977F7">
        <w:rPr>
          <w:rFonts w:asciiTheme="majorHAnsi" w:hAnsiTheme="majorHAnsi"/>
          <w:spacing w:val="-10"/>
          <w:sz w:val="20"/>
          <w:szCs w:val="20"/>
        </w:rPr>
        <w:t>що</w:t>
      </w:r>
      <w:r w:rsidRPr="000977F7">
        <w:rPr>
          <w:rFonts w:asciiTheme="majorHAnsi" w:hAnsiTheme="majorHAnsi"/>
          <w:spacing w:val="-20"/>
          <w:sz w:val="20"/>
          <w:szCs w:val="20"/>
        </w:rPr>
        <w:t xml:space="preserve"> </w:t>
      </w:r>
      <w:r w:rsidRPr="000977F7">
        <w:rPr>
          <w:rFonts w:asciiTheme="majorHAnsi" w:hAnsiTheme="majorHAnsi"/>
          <w:spacing w:val="-9"/>
          <w:sz w:val="20"/>
          <w:szCs w:val="20"/>
        </w:rPr>
        <w:t>залежить</w:t>
      </w:r>
      <w:r w:rsidRPr="000977F7">
        <w:rPr>
          <w:rFonts w:asciiTheme="majorHAnsi" w:hAnsiTheme="majorHAnsi"/>
          <w:spacing w:val="-19"/>
          <w:sz w:val="20"/>
          <w:szCs w:val="20"/>
        </w:rPr>
        <w:t xml:space="preserve"> </w:t>
      </w:r>
      <w:r w:rsidRPr="000977F7">
        <w:rPr>
          <w:rFonts w:asciiTheme="majorHAnsi" w:hAnsiTheme="majorHAnsi"/>
          <w:spacing w:val="-9"/>
          <w:sz w:val="20"/>
          <w:szCs w:val="20"/>
        </w:rPr>
        <w:t>від</w:t>
      </w:r>
      <w:r w:rsidRPr="000977F7">
        <w:rPr>
          <w:rFonts w:asciiTheme="majorHAnsi" w:hAnsiTheme="majorHAnsi"/>
          <w:spacing w:val="-20"/>
          <w:sz w:val="20"/>
          <w:szCs w:val="20"/>
        </w:rPr>
        <w:t xml:space="preserve"> </w:t>
      </w:r>
      <w:r w:rsidRPr="000977F7">
        <w:rPr>
          <w:rFonts w:asciiTheme="majorHAnsi" w:hAnsiTheme="majorHAnsi"/>
          <w:spacing w:val="-9"/>
          <w:sz w:val="20"/>
          <w:szCs w:val="20"/>
        </w:rPr>
        <w:t>структурної</w:t>
      </w:r>
      <w:r w:rsidRPr="000977F7">
        <w:rPr>
          <w:rFonts w:asciiTheme="majorHAnsi" w:hAnsiTheme="majorHAnsi"/>
          <w:spacing w:val="-19"/>
          <w:sz w:val="20"/>
          <w:szCs w:val="20"/>
        </w:rPr>
        <w:t xml:space="preserve"> </w:t>
      </w:r>
      <w:r w:rsidRPr="000977F7">
        <w:rPr>
          <w:rFonts w:asciiTheme="majorHAnsi" w:hAnsiTheme="majorHAnsi"/>
          <w:spacing w:val="-9"/>
          <w:sz w:val="20"/>
          <w:szCs w:val="20"/>
        </w:rPr>
        <w:t>неоднорідності</w:t>
      </w:r>
      <w:r w:rsidRPr="000977F7">
        <w:rPr>
          <w:rFonts w:asciiTheme="majorHAnsi" w:hAnsiTheme="majorHAnsi"/>
          <w:spacing w:val="-19"/>
          <w:sz w:val="20"/>
          <w:szCs w:val="20"/>
        </w:rPr>
        <w:t xml:space="preserve"> </w:t>
      </w:r>
      <w:r w:rsidRPr="000977F7">
        <w:rPr>
          <w:rFonts w:asciiTheme="majorHAnsi" w:hAnsiTheme="majorHAnsi"/>
          <w:spacing w:val="-9"/>
          <w:sz w:val="20"/>
          <w:szCs w:val="20"/>
        </w:rPr>
        <w:t>металу</w:t>
      </w:r>
    </w:p>
    <w:p w14:paraId="1A0B1D8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3830 - 98</w:t>
      </w:r>
    </w:p>
    <w:p w14:paraId="3777E19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СТРУКТУРНА</w:t>
      </w:r>
      <w:r w:rsidRPr="000977F7">
        <w:rPr>
          <w:color w:val="auto"/>
          <w:spacing w:val="-3"/>
          <w:sz w:val="20"/>
          <w:szCs w:val="20"/>
        </w:rPr>
        <w:t xml:space="preserve"> </w:t>
      </w:r>
      <w:r w:rsidRPr="000977F7">
        <w:rPr>
          <w:color w:val="auto"/>
          <w:sz w:val="20"/>
          <w:szCs w:val="20"/>
        </w:rPr>
        <w:t>СХЕМА -</w:t>
      </w:r>
    </w:p>
    <w:p w14:paraId="0D161DC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Схема, яка визначає основні функціональні частини</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2"/>
          <w:sz w:val="20"/>
          <w:szCs w:val="20"/>
        </w:rPr>
        <w:t xml:space="preserve"> </w:t>
      </w:r>
      <w:r w:rsidRPr="000977F7">
        <w:rPr>
          <w:rFonts w:asciiTheme="majorHAnsi" w:hAnsiTheme="majorHAnsi"/>
          <w:sz w:val="20"/>
          <w:szCs w:val="20"/>
        </w:rPr>
        <w:t>взаємозв’язки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призначення</w:t>
      </w:r>
    </w:p>
    <w:p w14:paraId="2480E61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0007937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СТРУКТУРНА СХЕМА НАДІЙНОСТІ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DEPENDABILITY</w:t>
      </w:r>
      <w:r w:rsidRPr="000977F7">
        <w:rPr>
          <w:rFonts w:asciiTheme="majorHAnsi" w:hAnsiTheme="majorHAnsi"/>
          <w:spacing w:val="-4"/>
          <w:sz w:val="20"/>
          <w:szCs w:val="20"/>
        </w:rPr>
        <w:t xml:space="preserve"> </w:t>
      </w:r>
      <w:r w:rsidRPr="000977F7">
        <w:rPr>
          <w:rFonts w:asciiTheme="majorHAnsi" w:hAnsiTheme="majorHAnsi"/>
          <w:sz w:val="20"/>
          <w:szCs w:val="20"/>
        </w:rPr>
        <w:t>STRUCTURE</w:t>
      </w:r>
      <w:r w:rsidRPr="000977F7">
        <w:rPr>
          <w:rFonts w:asciiTheme="majorHAnsi" w:hAnsiTheme="majorHAnsi"/>
          <w:spacing w:val="-4"/>
          <w:sz w:val="20"/>
          <w:szCs w:val="20"/>
        </w:rPr>
        <w:t xml:space="preserve"> </w:t>
      </w:r>
      <w:r w:rsidRPr="000977F7">
        <w:rPr>
          <w:rFonts w:asciiTheme="majorHAnsi" w:hAnsiTheme="majorHAnsi"/>
          <w:sz w:val="20"/>
          <w:szCs w:val="20"/>
        </w:rPr>
        <w:t>DIAGRAM</w:t>
      </w:r>
      <w:r w:rsidRPr="000977F7">
        <w:rPr>
          <w:rFonts w:asciiTheme="majorHAnsi" w:hAnsiTheme="majorHAnsi"/>
          <w:spacing w:val="-1"/>
          <w:sz w:val="20"/>
          <w:szCs w:val="20"/>
        </w:rPr>
        <w:t xml:space="preserve"> </w:t>
      </w:r>
      <w:r w:rsidRPr="000977F7">
        <w:rPr>
          <w:rFonts w:asciiTheme="majorHAnsi" w:hAnsiTheme="majorHAnsi"/>
          <w:sz w:val="20"/>
          <w:szCs w:val="20"/>
        </w:rPr>
        <w:t>–Структурна схема складного об’єкта, що подає його у</w:t>
      </w:r>
      <w:r w:rsidRPr="000977F7">
        <w:rPr>
          <w:rFonts w:asciiTheme="majorHAnsi" w:hAnsiTheme="majorHAnsi"/>
          <w:spacing w:val="1"/>
          <w:sz w:val="20"/>
          <w:szCs w:val="20"/>
        </w:rPr>
        <w:t xml:space="preserve"> </w:t>
      </w:r>
      <w:r w:rsidRPr="000977F7">
        <w:rPr>
          <w:rFonts w:asciiTheme="majorHAnsi" w:hAnsiTheme="majorHAnsi"/>
          <w:sz w:val="20"/>
          <w:szCs w:val="20"/>
        </w:rPr>
        <w:t>вигляді сукупності певним чином сполучених у сенсі</w:t>
      </w:r>
      <w:r w:rsidRPr="000977F7">
        <w:rPr>
          <w:rFonts w:asciiTheme="majorHAnsi" w:hAnsiTheme="majorHAnsi"/>
          <w:spacing w:val="1"/>
          <w:sz w:val="20"/>
          <w:szCs w:val="20"/>
        </w:rPr>
        <w:t xml:space="preserve"> </w:t>
      </w:r>
      <w:r w:rsidRPr="000977F7">
        <w:rPr>
          <w:rFonts w:asciiTheme="majorHAnsi" w:hAnsiTheme="majorHAnsi"/>
          <w:sz w:val="20"/>
          <w:szCs w:val="20"/>
        </w:rPr>
        <w:t>надійності</w:t>
      </w:r>
      <w:r w:rsidRPr="000977F7">
        <w:rPr>
          <w:rFonts w:asciiTheme="majorHAnsi" w:hAnsiTheme="majorHAnsi"/>
          <w:spacing w:val="-2"/>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складових</w:t>
      </w:r>
      <w:r w:rsidRPr="000977F7">
        <w:rPr>
          <w:rFonts w:asciiTheme="majorHAnsi" w:hAnsiTheme="majorHAnsi"/>
          <w:spacing w:val="-2"/>
          <w:sz w:val="20"/>
          <w:szCs w:val="20"/>
        </w:rPr>
        <w:t xml:space="preserve"> </w:t>
      </w:r>
      <w:r w:rsidRPr="000977F7">
        <w:rPr>
          <w:rFonts w:asciiTheme="majorHAnsi" w:hAnsiTheme="majorHAnsi"/>
          <w:sz w:val="20"/>
          <w:szCs w:val="20"/>
        </w:rPr>
        <w:t>частин</w:t>
      </w:r>
    </w:p>
    <w:p w14:paraId="3DB0FBE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9BD4F5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СТРУКТУРНЕ</w:t>
      </w:r>
      <w:r w:rsidRPr="000977F7">
        <w:rPr>
          <w:color w:val="auto"/>
          <w:spacing w:val="-4"/>
          <w:sz w:val="20"/>
          <w:szCs w:val="20"/>
        </w:rPr>
        <w:t xml:space="preserve"> </w:t>
      </w:r>
      <w:r w:rsidRPr="000977F7">
        <w:rPr>
          <w:color w:val="auto"/>
          <w:sz w:val="20"/>
          <w:szCs w:val="20"/>
        </w:rPr>
        <w:t>РЕЗЕРВУВАННЯ –</w:t>
      </w:r>
    </w:p>
    <w:p w14:paraId="7E99DC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STRUCTURAL</w:t>
      </w:r>
      <w:r w:rsidRPr="000977F7">
        <w:rPr>
          <w:rFonts w:asciiTheme="majorHAnsi" w:hAnsiTheme="majorHAnsi"/>
          <w:spacing w:val="-2"/>
          <w:sz w:val="20"/>
          <w:szCs w:val="20"/>
        </w:rPr>
        <w:t xml:space="preserve"> </w:t>
      </w:r>
      <w:r w:rsidRPr="000977F7">
        <w:rPr>
          <w:rFonts w:asciiTheme="majorHAnsi" w:hAnsiTheme="majorHAnsi"/>
          <w:sz w:val="20"/>
          <w:szCs w:val="20"/>
        </w:rPr>
        <w:t>REDUNDANCY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FB88BA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Резервування</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застосуванням</w:t>
      </w:r>
      <w:r w:rsidRPr="000977F7">
        <w:rPr>
          <w:rFonts w:asciiTheme="majorHAnsi" w:hAnsiTheme="majorHAnsi"/>
          <w:spacing w:val="1"/>
          <w:sz w:val="20"/>
          <w:szCs w:val="20"/>
        </w:rPr>
        <w:t xml:space="preserve"> </w:t>
      </w:r>
      <w:r w:rsidRPr="000977F7">
        <w:rPr>
          <w:rFonts w:asciiTheme="majorHAnsi" w:hAnsiTheme="majorHAnsi"/>
          <w:sz w:val="20"/>
          <w:szCs w:val="20"/>
        </w:rPr>
        <w:t>резервних</w:t>
      </w:r>
      <w:r w:rsidRPr="000977F7">
        <w:rPr>
          <w:rFonts w:asciiTheme="majorHAnsi" w:hAnsiTheme="majorHAnsi"/>
          <w:spacing w:val="1"/>
          <w:sz w:val="20"/>
          <w:szCs w:val="20"/>
        </w:rPr>
        <w:t xml:space="preserve"> </w:t>
      </w:r>
      <w:r w:rsidRPr="000977F7">
        <w:rPr>
          <w:rFonts w:asciiTheme="majorHAnsi" w:hAnsiTheme="majorHAnsi"/>
          <w:sz w:val="20"/>
          <w:szCs w:val="20"/>
        </w:rPr>
        <w:t>елементів</w:t>
      </w:r>
      <w:r w:rsidRPr="000977F7">
        <w:rPr>
          <w:rFonts w:asciiTheme="majorHAnsi" w:hAnsiTheme="majorHAnsi"/>
          <w:spacing w:val="1"/>
          <w:sz w:val="20"/>
          <w:szCs w:val="20"/>
        </w:rPr>
        <w:t xml:space="preserve"> </w:t>
      </w:r>
      <w:r w:rsidRPr="000977F7">
        <w:rPr>
          <w:rFonts w:asciiTheme="majorHAnsi" w:hAnsiTheme="majorHAnsi"/>
          <w:sz w:val="20"/>
          <w:szCs w:val="20"/>
        </w:rPr>
        <w:t>структури</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p>
    <w:p w14:paraId="15D23DC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D994A2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СТРУКТУРНИЙ</w:t>
      </w:r>
      <w:r w:rsidRPr="000977F7">
        <w:rPr>
          <w:color w:val="auto"/>
          <w:spacing w:val="-2"/>
          <w:sz w:val="20"/>
          <w:szCs w:val="20"/>
        </w:rPr>
        <w:t xml:space="preserve"> </w:t>
      </w:r>
      <w:r w:rsidRPr="000977F7">
        <w:rPr>
          <w:color w:val="auto"/>
          <w:sz w:val="20"/>
          <w:szCs w:val="20"/>
        </w:rPr>
        <w:t>ЕЛЕМЕНТ</w:t>
      </w:r>
      <w:r w:rsidRPr="000977F7">
        <w:rPr>
          <w:color w:val="auto"/>
          <w:spacing w:val="-1"/>
          <w:sz w:val="20"/>
          <w:szCs w:val="20"/>
        </w:rPr>
        <w:t xml:space="preserve"> </w:t>
      </w:r>
      <w:r w:rsidRPr="000977F7">
        <w:rPr>
          <w:color w:val="auto"/>
          <w:sz w:val="20"/>
          <w:szCs w:val="20"/>
        </w:rPr>
        <w:t>–</w:t>
      </w:r>
    </w:p>
    <w:p w14:paraId="3CBF410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STRUCTURAL</w:t>
      </w:r>
      <w:r w:rsidRPr="000977F7">
        <w:rPr>
          <w:rFonts w:asciiTheme="majorHAnsi" w:hAnsiTheme="majorHAnsi"/>
          <w:spacing w:val="-4"/>
          <w:sz w:val="20"/>
          <w:szCs w:val="20"/>
        </w:rPr>
        <w:t xml:space="preserve"> </w:t>
      </w:r>
      <w:r w:rsidRPr="000977F7">
        <w:rPr>
          <w:rFonts w:asciiTheme="majorHAnsi" w:hAnsiTheme="majorHAnsi"/>
          <w:sz w:val="20"/>
          <w:szCs w:val="20"/>
        </w:rPr>
        <w:t>ELEMENT</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102E17CA"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pacing w:val="-2"/>
          <w:sz w:val="20"/>
          <w:szCs w:val="20"/>
        </w:rPr>
        <w:t>Категорія</w:t>
      </w:r>
      <w:r w:rsidRPr="000977F7">
        <w:rPr>
          <w:rFonts w:asciiTheme="majorHAnsi" w:hAnsiTheme="majorHAnsi"/>
          <w:spacing w:val="-8"/>
          <w:sz w:val="20"/>
          <w:szCs w:val="20"/>
        </w:rPr>
        <w:t xml:space="preserve"> </w:t>
      </w:r>
      <w:r w:rsidRPr="000977F7">
        <w:rPr>
          <w:rFonts w:asciiTheme="majorHAnsi" w:hAnsiTheme="majorHAnsi"/>
          <w:spacing w:val="-2"/>
          <w:sz w:val="20"/>
          <w:szCs w:val="20"/>
        </w:rPr>
        <w:t>складових</w:t>
      </w:r>
      <w:r w:rsidRPr="000977F7">
        <w:rPr>
          <w:rFonts w:asciiTheme="majorHAnsi" w:hAnsiTheme="majorHAnsi"/>
          <w:spacing w:val="-8"/>
          <w:sz w:val="20"/>
          <w:szCs w:val="20"/>
        </w:rPr>
        <w:t xml:space="preserve"> </w:t>
      </w:r>
      <w:r w:rsidRPr="000977F7">
        <w:rPr>
          <w:rFonts w:asciiTheme="majorHAnsi" w:hAnsiTheme="majorHAnsi"/>
          <w:spacing w:val="-2"/>
          <w:sz w:val="20"/>
          <w:szCs w:val="20"/>
        </w:rPr>
        <w:t>частин,</w:t>
      </w:r>
      <w:r w:rsidRPr="000977F7">
        <w:rPr>
          <w:rFonts w:asciiTheme="majorHAnsi" w:hAnsiTheme="majorHAnsi"/>
          <w:spacing w:val="-5"/>
          <w:sz w:val="20"/>
          <w:szCs w:val="20"/>
        </w:rPr>
        <w:t xml:space="preserve"> </w:t>
      </w:r>
      <w:r w:rsidRPr="000977F7">
        <w:rPr>
          <w:rFonts w:asciiTheme="majorHAnsi" w:hAnsiTheme="majorHAnsi"/>
          <w:spacing w:val="-2"/>
          <w:sz w:val="20"/>
          <w:szCs w:val="20"/>
        </w:rPr>
        <w:t>виділених</w:t>
      </w:r>
      <w:r w:rsidRPr="000977F7">
        <w:rPr>
          <w:rFonts w:asciiTheme="majorHAnsi" w:hAnsiTheme="majorHAnsi"/>
          <w:spacing w:val="-6"/>
          <w:sz w:val="20"/>
          <w:szCs w:val="20"/>
        </w:rPr>
        <w:t xml:space="preserve"> </w:t>
      </w:r>
      <w:r w:rsidRPr="000977F7">
        <w:rPr>
          <w:rFonts w:asciiTheme="majorHAnsi" w:hAnsiTheme="majorHAnsi"/>
          <w:spacing w:val="-2"/>
          <w:sz w:val="20"/>
          <w:szCs w:val="20"/>
        </w:rPr>
        <w:t>у</w:t>
      </w:r>
      <w:r w:rsidRPr="000977F7">
        <w:rPr>
          <w:rFonts w:asciiTheme="majorHAnsi" w:hAnsiTheme="majorHAnsi"/>
          <w:spacing w:val="-10"/>
          <w:sz w:val="20"/>
          <w:szCs w:val="20"/>
        </w:rPr>
        <w:t xml:space="preserve"> </w:t>
      </w:r>
      <w:r w:rsidRPr="000977F7">
        <w:rPr>
          <w:rFonts w:asciiTheme="majorHAnsi" w:hAnsiTheme="majorHAnsi"/>
          <w:spacing w:val="-2"/>
          <w:sz w:val="20"/>
          <w:szCs w:val="20"/>
        </w:rPr>
        <w:t>структурі,</w:t>
      </w:r>
      <w:r w:rsidRPr="000977F7">
        <w:rPr>
          <w:rFonts w:asciiTheme="majorHAnsi" w:hAnsiTheme="majorHAnsi"/>
          <w:spacing w:val="-7"/>
          <w:sz w:val="20"/>
          <w:szCs w:val="20"/>
        </w:rPr>
        <w:t xml:space="preserve"> </w:t>
      </w:r>
      <w:r w:rsidRPr="000977F7">
        <w:rPr>
          <w:rFonts w:asciiTheme="majorHAnsi" w:hAnsiTheme="majorHAnsi"/>
          <w:spacing w:val="-1"/>
          <w:sz w:val="20"/>
          <w:szCs w:val="20"/>
        </w:rPr>
        <w:t xml:space="preserve">розчленування </w:t>
      </w:r>
      <w:r w:rsidRPr="000977F7">
        <w:rPr>
          <w:rFonts w:asciiTheme="majorHAnsi" w:hAnsiTheme="majorHAnsi"/>
          <w:sz w:val="20"/>
          <w:szCs w:val="20"/>
        </w:rPr>
        <w:t>яких у подальшому неможливе або зайве</w:t>
      </w:r>
    </w:p>
    <w:p w14:paraId="535351FC"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3956 - 2000</w:t>
      </w:r>
    </w:p>
    <w:p w14:paraId="3E7D13D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СТРУКТУРНИЙ</w:t>
      </w:r>
      <w:r w:rsidRPr="000977F7">
        <w:rPr>
          <w:color w:val="auto"/>
          <w:spacing w:val="-3"/>
          <w:sz w:val="20"/>
          <w:szCs w:val="20"/>
        </w:rPr>
        <w:t xml:space="preserve"> </w:t>
      </w:r>
      <w:r w:rsidRPr="000977F7">
        <w:rPr>
          <w:color w:val="auto"/>
          <w:sz w:val="20"/>
          <w:szCs w:val="20"/>
        </w:rPr>
        <w:t>ШУМ</w:t>
      </w:r>
      <w:r w:rsidRPr="000977F7">
        <w:rPr>
          <w:color w:val="auto"/>
          <w:spacing w:val="2"/>
          <w:sz w:val="20"/>
          <w:szCs w:val="20"/>
        </w:rPr>
        <w:t xml:space="preserve"> </w:t>
      </w:r>
      <w:r w:rsidRPr="000977F7">
        <w:rPr>
          <w:color w:val="auto"/>
          <w:sz w:val="20"/>
          <w:szCs w:val="20"/>
        </w:rPr>
        <w:t>–</w:t>
      </w:r>
    </w:p>
    <w:p w14:paraId="5F6E795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STRUCTURE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GENERATED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NOISE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C31E9D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Шум,</w:t>
      </w:r>
      <w:r w:rsidRPr="000977F7">
        <w:rPr>
          <w:rFonts w:asciiTheme="majorHAnsi" w:hAnsiTheme="majorHAnsi"/>
          <w:spacing w:val="-5"/>
          <w:sz w:val="20"/>
          <w:szCs w:val="20"/>
        </w:rPr>
        <w:t xml:space="preserve"> </w:t>
      </w:r>
      <w:r w:rsidRPr="000977F7">
        <w:rPr>
          <w:rFonts w:asciiTheme="majorHAnsi" w:hAnsiTheme="majorHAnsi"/>
          <w:sz w:val="20"/>
          <w:szCs w:val="20"/>
        </w:rPr>
        <w:t>що</w:t>
      </w:r>
      <w:r w:rsidRPr="000977F7">
        <w:rPr>
          <w:rFonts w:asciiTheme="majorHAnsi" w:hAnsiTheme="majorHAnsi"/>
          <w:spacing w:val="-4"/>
          <w:sz w:val="20"/>
          <w:szCs w:val="20"/>
        </w:rPr>
        <w:t xml:space="preserve"> </w:t>
      </w:r>
      <w:r w:rsidRPr="000977F7">
        <w:rPr>
          <w:rFonts w:asciiTheme="majorHAnsi" w:hAnsiTheme="majorHAnsi"/>
          <w:sz w:val="20"/>
          <w:szCs w:val="20"/>
        </w:rPr>
        <w:t>розповсюджується</w:t>
      </w:r>
      <w:r w:rsidRPr="000977F7">
        <w:rPr>
          <w:rFonts w:asciiTheme="majorHAnsi" w:hAnsiTheme="majorHAnsi"/>
          <w:spacing w:val="-3"/>
          <w:sz w:val="20"/>
          <w:szCs w:val="20"/>
        </w:rPr>
        <w:t xml:space="preserve"> </w:t>
      </w:r>
      <w:r w:rsidRPr="000977F7">
        <w:rPr>
          <w:rFonts w:asciiTheme="majorHAnsi" w:hAnsiTheme="majorHAnsi"/>
          <w:sz w:val="20"/>
          <w:szCs w:val="20"/>
        </w:rPr>
        <w:t>поверхнями</w:t>
      </w:r>
      <w:r w:rsidRPr="000977F7">
        <w:rPr>
          <w:rFonts w:asciiTheme="majorHAnsi" w:hAnsiTheme="majorHAnsi"/>
          <w:spacing w:val="-6"/>
          <w:sz w:val="20"/>
          <w:szCs w:val="20"/>
        </w:rPr>
        <w:t xml:space="preserve"> </w:t>
      </w:r>
      <w:r w:rsidRPr="000977F7">
        <w:rPr>
          <w:rFonts w:asciiTheme="majorHAnsi" w:hAnsiTheme="majorHAnsi"/>
          <w:sz w:val="20"/>
          <w:szCs w:val="20"/>
        </w:rPr>
        <w:t>конструкцій</w:t>
      </w:r>
    </w:p>
    <w:p w14:paraId="11E4411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7CA19F0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СТУПЕНЕВЕ</w:t>
      </w:r>
      <w:r w:rsidRPr="000977F7">
        <w:rPr>
          <w:color w:val="auto"/>
          <w:spacing w:val="-4"/>
          <w:sz w:val="20"/>
          <w:szCs w:val="20"/>
        </w:rPr>
        <w:t xml:space="preserve"> </w:t>
      </w:r>
      <w:r w:rsidRPr="000977F7">
        <w:rPr>
          <w:color w:val="auto"/>
          <w:sz w:val="20"/>
          <w:szCs w:val="20"/>
        </w:rPr>
        <w:t>РЕГУЛЮВАННЯ</w:t>
      </w:r>
      <w:r w:rsidRPr="000977F7">
        <w:rPr>
          <w:color w:val="auto"/>
          <w:spacing w:val="-3"/>
          <w:sz w:val="20"/>
          <w:szCs w:val="20"/>
        </w:rPr>
        <w:t xml:space="preserve"> </w:t>
      </w:r>
      <w:r w:rsidRPr="000977F7">
        <w:rPr>
          <w:color w:val="auto"/>
          <w:sz w:val="20"/>
          <w:szCs w:val="20"/>
        </w:rPr>
        <w:t>НАПРУГИ</w:t>
      </w:r>
      <w:r w:rsidRPr="000977F7">
        <w:rPr>
          <w:color w:val="auto"/>
          <w:spacing w:val="-2"/>
          <w:sz w:val="20"/>
          <w:szCs w:val="20"/>
        </w:rPr>
        <w:t xml:space="preserve"> </w:t>
      </w:r>
      <w:r w:rsidRPr="000977F7">
        <w:rPr>
          <w:color w:val="auto"/>
          <w:sz w:val="20"/>
          <w:szCs w:val="20"/>
        </w:rPr>
        <w:t>–</w:t>
      </w:r>
    </w:p>
    <w:p w14:paraId="5F5E34D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Регулювання напруги зміною її згідно з законом, який</w:t>
      </w:r>
      <w:r w:rsidRPr="000977F7">
        <w:rPr>
          <w:rFonts w:asciiTheme="majorHAnsi" w:hAnsiTheme="majorHAnsi"/>
          <w:spacing w:val="-47"/>
          <w:sz w:val="20"/>
          <w:szCs w:val="20"/>
        </w:rPr>
        <w:t xml:space="preserve"> </w:t>
      </w:r>
      <w:r w:rsidRPr="000977F7">
        <w:rPr>
          <w:rFonts w:asciiTheme="majorHAnsi" w:hAnsiTheme="majorHAnsi"/>
          <w:sz w:val="20"/>
          <w:szCs w:val="20"/>
        </w:rPr>
        <w:t>описується</w:t>
      </w:r>
      <w:r w:rsidRPr="000977F7">
        <w:rPr>
          <w:rFonts w:asciiTheme="majorHAnsi" w:hAnsiTheme="majorHAnsi"/>
          <w:spacing w:val="-2"/>
          <w:sz w:val="20"/>
          <w:szCs w:val="20"/>
        </w:rPr>
        <w:t xml:space="preserve"> </w:t>
      </w:r>
      <w:r w:rsidRPr="000977F7">
        <w:rPr>
          <w:rFonts w:asciiTheme="majorHAnsi" w:hAnsiTheme="majorHAnsi"/>
          <w:sz w:val="20"/>
          <w:szCs w:val="20"/>
        </w:rPr>
        <w:t>ступеневою функцією</w:t>
      </w:r>
    </w:p>
    <w:p w14:paraId="3C1F0F6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0E9DB0D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СТУПІНЧАСТЕ</w:t>
      </w:r>
      <w:r w:rsidRPr="000977F7">
        <w:rPr>
          <w:color w:val="auto"/>
          <w:spacing w:val="-4"/>
          <w:sz w:val="20"/>
          <w:szCs w:val="20"/>
        </w:rPr>
        <w:t xml:space="preserve"> </w:t>
      </w:r>
      <w:r w:rsidRPr="000977F7">
        <w:rPr>
          <w:color w:val="auto"/>
          <w:sz w:val="20"/>
          <w:szCs w:val="20"/>
        </w:rPr>
        <w:t>ДІЯННЯ</w:t>
      </w:r>
      <w:r w:rsidRPr="000977F7">
        <w:rPr>
          <w:color w:val="auto"/>
          <w:spacing w:val="-1"/>
          <w:sz w:val="20"/>
          <w:szCs w:val="20"/>
        </w:rPr>
        <w:t xml:space="preserve"> </w:t>
      </w:r>
      <w:r w:rsidRPr="000977F7">
        <w:rPr>
          <w:color w:val="auto"/>
          <w:sz w:val="20"/>
          <w:szCs w:val="20"/>
        </w:rPr>
        <w:t>–</w:t>
      </w:r>
    </w:p>
    <w:p w14:paraId="5295EF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STEPPED</w:t>
      </w:r>
      <w:r w:rsidRPr="000977F7">
        <w:rPr>
          <w:rFonts w:asciiTheme="majorHAnsi" w:hAnsiTheme="majorHAnsi"/>
          <w:spacing w:val="-2"/>
          <w:sz w:val="20"/>
          <w:szCs w:val="20"/>
        </w:rPr>
        <w:t xml:space="preserve"> </w:t>
      </w:r>
      <w:r w:rsidRPr="000977F7">
        <w:rPr>
          <w:rFonts w:asciiTheme="majorHAnsi" w:hAnsiTheme="majorHAnsi"/>
          <w:sz w:val="20"/>
          <w:szCs w:val="20"/>
        </w:rPr>
        <w:t>ACTION –</w:t>
      </w:r>
    </w:p>
    <w:p w14:paraId="5D06D2E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Діяння, основний параметр якого може набувати тільки</w:t>
      </w:r>
      <w:r w:rsidRPr="000977F7">
        <w:rPr>
          <w:rFonts w:asciiTheme="majorHAnsi" w:hAnsiTheme="majorHAnsi"/>
          <w:spacing w:val="1"/>
          <w:sz w:val="20"/>
          <w:szCs w:val="20"/>
        </w:rPr>
        <w:t xml:space="preserve"> </w:t>
      </w:r>
      <w:r w:rsidRPr="000977F7">
        <w:rPr>
          <w:rFonts w:asciiTheme="majorHAnsi" w:hAnsiTheme="majorHAnsi"/>
          <w:sz w:val="20"/>
          <w:szCs w:val="20"/>
        </w:rPr>
        <w:t>певних</w:t>
      </w:r>
      <w:r w:rsidRPr="000977F7">
        <w:rPr>
          <w:rFonts w:asciiTheme="majorHAnsi" w:hAnsiTheme="majorHAnsi"/>
          <w:spacing w:val="1"/>
          <w:sz w:val="20"/>
          <w:szCs w:val="20"/>
        </w:rPr>
        <w:t xml:space="preserve"> </w:t>
      </w:r>
      <w:r w:rsidRPr="000977F7">
        <w:rPr>
          <w:rFonts w:asciiTheme="majorHAnsi" w:hAnsiTheme="majorHAnsi"/>
          <w:sz w:val="20"/>
          <w:szCs w:val="20"/>
        </w:rPr>
        <w:t>значень</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скінченної</w:t>
      </w:r>
      <w:r w:rsidRPr="000977F7">
        <w:rPr>
          <w:rFonts w:asciiTheme="majorHAnsi" w:hAnsiTheme="majorHAnsi"/>
          <w:spacing w:val="1"/>
          <w:sz w:val="20"/>
          <w:szCs w:val="20"/>
        </w:rPr>
        <w:t xml:space="preserve"> </w:t>
      </w:r>
      <w:r w:rsidRPr="000977F7">
        <w:rPr>
          <w:rFonts w:asciiTheme="majorHAnsi" w:hAnsiTheme="majorHAnsi"/>
          <w:sz w:val="20"/>
          <w:szCs w:val="20"/>
        </w:rPr>
        <w:t>множини</w:t>
      </w:r>
      <w:r w:rsidRPr="000977F7">
        <w:rPr>
          <w:rFonts w:asciiTheme="majorHAnsi" w:hAnsiTheme="majorHAnsi"/>
          <w:spacing w:val="1"/>
          <w:sz w:val="20"/>
          <w:szCs w:val="20"/>
        </w:rPr>
        <w:t xml:space="preserve"> </w:t>
      </w:r>
      <w:r w:rsidRPr="000977F7">
        <w:rPr>
          <w:rFonts w:asciiTheme="majorHAnsi" w:hAnsiTheme="majorHAnsi"/>
          <w:sz w:val="20"/>
          <w:szCs w:val="20"/>
        </w:rPr>
        <w:t>кінцевих</w:t>
      </w:r>
      <w:r w:rsidRPr="000977F7">
        <w:rPr>
          <w:rFonts w:asciiTheme="majorHAnsi" w:hAnsiTheme="majorHAnsi"/>
          <w:spacing w:val="-47"/>
          <w:sz w:val="20"/>
          <w:szCs w:val="20"/>
        </w:rPr>
        <w:t xml:space="preserve"> </w:t>
      </w:r>
      <w:r w:rsidRPr="000977F7">
        <w:rPr>
          <w:rFonts w:asciiTheme="majorHAnsi" w:hAnsiTheme="majorHAnsi"/>
          <w:sz w:val="20"/>
          <w:szCs w:val="20"/>
        </w:rPr>
        <w:t>можливих</w:t>
      </w:r>
      <w:r w:rsidRPr="000977F7">
        <w:rPr>
          <w:rFonts w:asciiTheme="majorHAnsi" w:hAnsiTheme="majorHAnsi"/>
          <w:spacing w:val="-2"/>
          <w:sz w:val="20"/>
          <w:szCs w:val="20"/>
        </w:rPr>
        <w:t xml:space="preserve"> </w:t>
      </w:r>
      <w:r w:rsidRPr="000977F7">
        <w:rPr>
          <w:rFonts w:asciiTheme="majorHAnsi" w:hAnsiTheme="majorHAnsi"/>
          <w:sz w:val="20"/>
          <w:szCs w:val="20"/>
        </w:rPr>
        <w:t>значень</w:t>
      </w:r>
    </w:p>
    <w:p w14:paraId="69D6553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5E9002A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СТУПІНЬ</w:t>
      </w:r>
      <w:r w:rsidRPr="000977F7">
        <w:rPr>
          <w:color w:val="auto"/>
          <w:spacing w:val="-8"/>
          <w:sz w:val="20"/>
          <w:szCs w:val="20"/>
        </w:rPr>
        <w:t xml:space="preserve"> </w:t>
      </w:r>
      <w:r w:rsidRPr="000977F7">
        <w:rPr>
          <w:color w:val="auto"/>
          <w:sz w:val="20"/>
          <w:szCs w:val="20"/>
        </w:rPr>
        <w:t>ЖОРСТКОСТІ</w:t>
      </w:r>
      <w:r w:rsidRPr="000977F7">
        <w:rPr>
          <w:color w:val="auto"/>
          <w:spacing w:val="-8"/>
          <w:sz w:val="20"/>
          <w:szCs w:val="20"/>
        </w:rPr>
        <w:t xml:space="preserve"> </w:t>
      </w:r>
      <w:r w:rsidRPr="000977F7">
        <w:rPr>
          <w:color w:val="auto"/>
          <w:sz w:val="20"/>
          <w:szCs w:val="20"/>
        </w:rPr>
        <w:t>ЗОВНІШНЬОГО</w:t>
      </w:r>
      <w:r w:rsidRPr="000977F7">
        <w:rPr>
          <w:color w:val="auto"/>
          <w:spacing w:val="-47"/>
          <w:sz w:val="20"/>
          <w:szCs w:val="20"/>
        </w:rPr>
        <w:t xml:space="preserve"> </w:t>
      </w:r>
      <w:r w:rsidRPr="000977F7">
        <w:rPr>
          <w:color w:val="auto"/>
          <w:sz w:val="20"/>
          <w:szCs w:val="20"/>
        </w:rPr>
        <w:t>ЧИННИКА</w:t>
      </w:r>
      <w:r w:rsidRPr="000977F7">
        <w:rPr>
          <w:color w:val="auto"/>
          <w:spacing w:val="-2"/>
          <w:sz w:val="20"/>
          <w:szCs w:val="20"/>
        </w:rPr>
        <w:t xml:space="preserve"> </w:t>
      </w:r>
      <w:r w:rsidRPr="000977F7">
        <w:rPr>
          <w:color w:val="auto"/>
          <w:sz w:val="20"/>
          <w:szCs w:val="20"/>
        </w:rPr>
        <w:t>ВПЛИВУ –</w:t>
      </w:r>
    </w:p>
    <w:p w14:paraId="55C1F10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пікового</w:t>
      </w:r>
      <w:r w:rsidRPr="000977F7">
        <w:rPr>
          <w:rFonts w:asciiTheme="majorHAnsi" w:hAnsiTheme="majorHAnsi"/>
          <w:spacing w:val="1"/>
          <w:sz w:val="20"/>
          <w:szCs w:val="20"/>
        </w:rPr>
        <w:t xml:space="preserve"> </w:t>
      </w:r>
      <w:r w:rsidRPr="000977F7">
        <w:rPr>
          <w:rFonts w:asciiTheme="majorHAnsi" w:hAnsiTheme="majorHAnsi"/>
          <w:sz w:val="20"/>
          <w:szCs w:val="20"/>
        </w:rPr>
        <w:t>прискорення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тривалості</w:t>
      </w:r>
      <w:r w:rsidRPr="000977F7">
        <w:rPr>
          <w:rFonts w:asciiTheme="majorHAnsi" w:hAnsiTheme="majorHAnsi"/>
          <w:spacing w:val="1"/>
          <w:sz w:val="20"/>
          <w:szCs w:val="20"/>
        </w:rPr>
        <w:t xml:space="preserve"> </w:t>
      </w:r>
      <w:r w:rsidRPr="000977F7">
        <w:rPr>
          <w:rFonts w:asciiTheme="majorHAnsi" w:hAnsiTheme="majorHAnsi"/>
          <w:sz w:val="20"/>
          <w:szCs w:val="20"/>
        </w:rPr>
        <w:t>дії</w:t>
      </w:r>
      <w:r w:rsidRPr="000977F7">
        <w:rPr>
          <w:rFonts w:asciiTheme="majorHAnsi" w:hAnsiTheme="majorHAnsi"/>
          <w:spacing w:val="1"/>
          <w:sz w:val="20"/>
          <w:szCs w:val="20"/>
        </w:rPr>
        <w:t xml:space="preserve"> </w:t>
      </w:r>
      <w:r w:rsidRPr="000977F7">
        <w:rPr>
          <w:rFonts w:asciiTheme="majorHAnsi" w:hAnsiTheme="majorHAnsi"/>
          <w:sz w:val="20"/>
          <w:szCs w:val="20"/>
        </w:rPr>
        <w:t>зовнішнього чинника впливу</w:t>
      </w:r>
    </w:p>
    <w:p w14:paraId="0C48237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3011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684324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СТУПІНЬ</w:t>
      </w:r>
      <w:r w:rsidRPr="000977F7">
        <w:rPr>
          <w:color w:val="auto"/>
          <w:spacing w:val="-4"/>
          <w:sz w:val="20"/>
          <w:szCs w:val="20"/>
        </w:rPr>
        <w:t xml:space="preserve"> </w:t>
      </w:r>
      <w:r w:rsidRPr="000977F7">
        <w:rPr>
          <w:color w:val="auto"/>
          <w:sz w:val="20"/>
          <w:szCs w:val="20"/>
        </w:rPr>
        <w:t>НАВАНТАЖЕННЯ</w:t>
      </w:r>
      <w:r w:rsidRPr="000977F7">
        <w:rPr>
          <w:color w:val="auto"/>
          <w:spacing w:val="-2"/>
          <w:sz w:val="20"/>
          <w:szCs w:val="20"/>
        </w:rPr>
        <w:t xml:space="preserve"> </w:t>
      </w:r>
      <w:r w:rsidRPr="000977F7">
        <w:rPr>
          <w:color w:val="auto"/>
          <w:sz w:val="20"/>
          <w:szCs w:val="20"/>
        </w:rPr>
        <w:t>–</w:t>
      </w:r>
    </w:p>
    <w:p w14:paraId="5889257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BLOCK STEP</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06FC42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Фіксована кількість циклів навантаження (напруження, деформації) із сталими амплітудою, середнім значенням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частотою</w:t>
      </w:r>
    </w:p>
    <w:p w14:paraId="7AC548F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2444 - 94</w:t>
      </w:r>
    </w:p>
    <w:p w14:paraId="7D8DE18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СТУПІНЬ</w:t>
      </w:r>
      <w:r w:rsidRPr="000977F7">
        <w:rPr>
          <w:color w:val="auto"/>
          <w:spacing w:val="-3"/>
          <w:sz w:val="20"/>
          <w:szCs w:val="20"/>
        </w:rPr>
        <w:t xml:space="preserve"> </w:t>
      </w:r>
      <w:r w:rsidRPr="000977F7">
        <w:rPr>
          <w:color w:val="auto"/>
          <w:sz w:val="20"/>
          <w:szCs w:val="20"/>
        </w:rPr>
        <w:t>ПІДТВЕРДЖЕННЯ</w:t>
      </w:r>
      <w:r w:rsidRPr="000977F7">
        <w:rPr>
          <w:color w:val="auto"/>
          <w:spacing w:val="-1"/>
          <w:sz w:val="20"/>
          <w:szCs w:val="20"/>
        </w:rPr>
        <w:t xml:space="preserve"> </w:t>
      </w:r>
      <w:r w:rsidRPr="000977F7">
        <w:rPr>
          <w:color w:val="auto"/>
          <w:sz w:val="20"/>
          <w:szCs w:val="20"/>
        </w:rPr>
        <w:t>–</w:t>
      </w:r>
    </w:p>
    <w:p w14:paraId="4713081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DEGREE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DEMONSTRATION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402A057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Міра доказу, яка забезпечує впевненість у виконанні</w:t>
      </w:r>
      <w:r w:rsidRPr="000977F7">
        <w:rPr>
          <w:rFonts w:asciiTheme="majorHAnsi" w:hAnsiTheme="majorHAnsi"/>
          <w:spacing w:val="1"/>
          <w:sz w:val="20"/>
          <w:szCs w:val="20"/>
        </w:rPr>
        <w:t xml:space="preserve"> </w:t>
      </w:r>
      <w:r w:rsidRPr="000977F7">
        <w:rPr>
          <w:rFonts w:asciiTheme="majorHAnsi" w:hAnsiTheme="majorHAnsi"/>
          <w:sz w:val="20"/>
          <w:szCs w:val="20"/>
        </w:rPr>
        <w:t>вимог,</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встановлених</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271F848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7F2C565B" w14:textId="77777777" w:rsidR="0097612F" w:rsidRPr="000977F7" w:rsidRDefault="0097612F" w:rsidP="00FD39A4">
      <w:pPr>
        <w:pStyle w:val="ac"/>
        <w:widowControl w:val="0"/>
        <w:numPr>
          <w:ilvl w:val="0"/>
          <w:numId w:val="77"/>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Ступінь підтвердження може змінюватися у межах від заяви про наявність до надання детальної</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документації</w:t>
      </w:r>
      <w:r w:rsidRPr="000977F7">
        <w:rPr>
          <w:rFonts w:asciiTheme="majorHAnsi" w:hAnsiTheme="majorHAnsi"/>
          <w:spacing w:val="-3"/>
          <w:sz w:val="20"/>
          <w:szCs w:val="20"/>
        </w:rPr>
        <w:t xml:space="preserve"> </w:t>
      </w:r>
      <w:r w:rsidRPr="000977F7">
        <w:rPr>
          <w:rFonts w:asciiTheme="majorHAnsi" w:hAnsiTheme="majorHAnsi"/>
          <w:sz w:val="20"/>
          <w:szCs w:val="20"/>
        </w:rPr>
        <w:t>й</w:t>
      </w:r>
      <w:r w:rsidRPr="000977F7">
        <w:rPr>
          <w:rFonts w:asciiTheme="majorHAnsi" w:hAnsiTheme="majorHAnsi"/>
          <w:spacing w:val="-3"/>
          <w:sz w:val="20"/>
          <w:szCs w:val="20"/>
        </w:rPr>
        <w:t xml:space="preserve"> </w:t>
      </w:r>
      <w:r w:rsidRPr="000977F7">
        <w:rPr>
          <w:rFonts w:asciiTheme="majorHAnsi" w:hAnsiTheme="majorHAnsi"/>
          <w:sz w:val="20"/>
          <w:szCs w:val="20"/>
        </w:rPr>
        <w:t>об’єктивного</w:t>
      </w:r>
      <w:r w:rsidRPr="000977F7">
        <w:rPr>
          <w:rFonts w:asciiTheme="majorHAnsi" w:hAnsiTheme="majorHAnsi"/>
          <w:spacing w:val="1"/>
          <w:sz w:val="20"/>
          <w:szCs w:val="20"/>
        </w:rPr>
        <w:t xml:space="preserve"> </w:t>
      </w:r>
      <w:r w:rsidRPr="000977F7">
        <w:rPr>
          <w:rFonts w:asciiTheme="majorHAnsi" w:hAnsiTheme="majorHAnsi"/>
          <w:sz w:val="20"/>
          <w:szCs w:val="20"/>
        </w:rPr>
        <w:t>доказу</w:t>
      </w:r>
      <w:r w:rsidRPr="000977F7">
        <w:rPr>
          <w:rFonts w:asciiTheme="majorHAnsi" w:hAnsiTheme="majorHAnsi"/>
          <w:spacing w:val="-6"/>
          <w:sz w:val="20"/>
          <w:szCs w:val="20"/>
        </w:rPr>
        <w:t xml:space="preserve"> </w:t>
      </w:r>
      <w:r w:rsidRPr="000977F7">
        <w:rPr>
          <w:rFonts w:asciiTheme="majorHAnsi" w:hAnsiTheme="majorHAnsi"/>
          <w:sz w:val="20"/>
          <w:szCs w:val="20"/>
        </w:rPr>
        <w:t>виконання</w:t>
      </w:r>
    </w:p>
    <w:p w14:paraId="62F9D20C" w14:textId="77777777" w:rsidR="0097612F" w:rsidRPr="000977F7" w:rsidRDefault="0097612F" w:rsidP="00FD39A4">
      <w:pPr>
        <w:pStyle w:val="ac"/>
        <w:widowControl w:val="0"/>
        <w:numPr>
          <w:ilvl w:val="0"/>
          <w:numId w:val="77"/>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Повнота та обґрунтованість підтвердження залежить від таких критеріїв, як економічність, складність,</w:t>
      </w:r>
      <w:r w:rsidRPr="000977F7">
        <w:rPr>
          <w:rFonts w:asciiTheme="majorHAnsi" w:hAnsiTheme="majorHAnsi"/>
          <w:spacing w:val="-2"/>
          <w:sz w:val="20"/>
          <w:szCs w:val="20"/>
        </w:rPr>
        <w:t xml:space="preserve"> </w:t>
      </w:r>
      <w:r w:rsidRPr="000977F7">
        <w:rPr>
          <w:rFonts w:asciiTheme="majorHAnsi" w:hAnsiTheme="majorHAnsi"/>
          <w:sz w:val="20"/>
          <w:szCs w:val="20"/>
        </w:rPr>
        <w:t>новизна, безпека</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проблеми</w:t>
      </w:r>
      <w:r w:rsidRPr="000977F7">
        <w:rPr>
          <w:rFonts w:asciiTheme="majorHAnsi" w:hAnsiTheme="majorHAnsi"/>
          <w:spacing w:val="-2"/>
          <w:sz w:val="20"/>
          <w:szCs w:val="20"/>
        </w:rPr>
        <w:t xml:space="preserve"> </w:t>
      </w:r>
      <w:r w:rsidRPr="000977F7">
        <w:rPr>
          <w:rFonts w:asciiTheme="majorHAnsi" w:hAnsiTheme="majorHAnsi"/>
          <w:sz w:val="20"/>
          <w:szCs w:val="20"/>
        </w:rPr>
        <w:t>екології</w:t>
      </w:r>
    </w:p>
    <w:p w14:paraId="24FC1344"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СТУПІНЬ РИЗИКУ –</w:t>
      </w:r>
    </w:p>
    <w:p w14:paraId="757BE9AC"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Рівень небезпеки (загрози) суспільним інтересам, що становить або може становити продукція</w:t>
      </w:r>
    </w:p>
    <w:p w14:paraId="2DC060C0" w14:textId="77777777" w:rsidR="0097612F" w:rsidRPr="000977F7" w:rsidRDefault="0097612F" w:rsidP="000977F7">
      <w:pPr>
        <w:tabs>
          <w:tab w:val="left" w:pos="284"/>
        </w:tabs>
        <w:spacing w:after="0" w:line="240" w:lineRule="auto"/>
        <w:ind w:left="170"/>
        <w:mirrorIndents/>
        <w:jc w:val="both"/>
        <w:rPr>
          <w:rFonts w:asciiTheme="majorHAnsi" w:hAnsiTheme="majorHAnsi"/>
          <w:bCs/>
          <w:i/>
          <w:iCs/>
          <w:sz w:val="20"/>
          <w:szCs w:val="20"/>
        </w:rPr>
      </w:pPr>
      <w:r w:rsidRPr="000977F7">
        <w:rPr>
          <w:rFonts w:asciiTheme="majorHAnsi" w:hAnsiTheme="majorHAnsi"/>
          <w:bCs/>
          <w:i/>
          <w:iCs/>
          <w:sz w:val="20"/>
          <w:szCs w:val="20"/>
        </w:rPr>
        <w:t>Ст. 1 закону України "Про загальну безпечність нехарчової продукції"</w:t>
      </w:r>
    </w:p>
    <w:p w14:paraId="484C6391"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СУБГАРМОНІЧНА ВІБРАЦІЯ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359485E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SUBHARMONIC</w:t>
      </w:r>
      <w:r w:rsidRPr="000977F7">
        <w:rPr>
          <w:rFonts w:asciiTheme="majorHAnsi" w:hAnsiTheme="majorHAnsi"/>
          <w:spacing w:val="-2"/>
          <w:sz w:val="20"/>
          <w:szCs w:val="20"/>
        </w:rPr>
        <w:t xml:space="preserve"> </w:t>
      </w:r>
      <w:r w:rsidRPr="000977F7">
        <w:rPr>
          <w:rFonts w:asciiTheme="majorHAnsi" w:hAnsiTheme="majorHAnsi"/>
          <w:sz w:val="20"/>
          <w:szCs w:val="20"/>
        </w:rPr>
        <w:t>VIBRATION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DE182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Змушена вібрація нелінійної системи, частота якої у</w:t>
      </w:r>
      <w:r w:rsidRPr="000977F7">
        <w:rPr>
          <w:rFonts w:asciiTheme="majorHAnsi" w:hAnsiTheme="majorHAnsi"/>
          <w:spacing w:val="1"/>
          <w:sz w:val="20"/>
          <w:szCs w:val="20"/>
        </w:rPr>
        <w:t xml:space="preserve"> </w:t>
      </w:r>
      <w:r w:rsidRPr="000977F7">
        <w:rPr>
          <w:rFonts w:asciiTheme="majorHAnsi" w:hAnsiTheme="majorHAnsi"/>
          <w:sz w:val="20"/>
          <w:szCs w:val="20"/>
        </w:rPr>
        <w:t>ціле число разів менша від частоти гармонічного збудження</w:t>
      </w:r>
    </w:p>
    <w:p w14:paraId="6F5185B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2300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258395F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СУБГАРМОНІЧНІ КОЛИВАННЯ </w:t>
      </w:r>
      <w:r w:rsidRPr="000977F7">
        <w:rPr>
          <w:rFonts w:asciiTheme="majorHAnsi" w:hAnsiTheme="majorHAnsi"/>
          <w:sz w:val="20"/>
          <w:szCs w:val="20"/>
        </w:rPr>
        <w:t>–</w:t>
      </w:r>
      <w:r w:rsidRPr="000977F7">
        <w:rPr>
          <w:rFonts w:asciiTheme="majorHAnsi" w:hAnsiTheme="majorHAnsi"/>
          <w:spacing w:val="-47"/>
          <w:sz w:val="20"/>
          <w:szCs w:val="20"/>
        </w:rPr>
        <w:t xml:space="preserve"> </w:t>
      </w:r>
      <w:r w:rsidRPr="000977F7">
        <w:rPr>
          <w:rFonts w:asciiTheme="majorHAnsi" w:hAnsiTheme="majorHAnsi"/>
          <w:sz w:val="20"/>
          <w:szCs w:val="20"/>
        </w:rPr>
        <w:t>SUВHARMONIC</w:t>
      </w:r>
      <w:r w:rsidRPr="000977F7">
        <w:rPr>
          <w:rFonts w:asciiTheme="majorHAnsi" w:hAnsiTheme="majorHAnsi"/>
          <w:spacing w:val="-3"/>
          <w:sz w:val="20"/>
          <w:szCs w:val="20"/>
        </w:rPr>
        <w:t xml:space="preserve"> </w:t>
      </w:r>
      <w:r w:rsidRPr="000977F7">
        <w:rPr>
          <w:rFonts w:asciiTheme="majorHAnsi" w:hAnsiTheme="majorHAnsi"/>
          <w:sz w:val="20"/>
          <w:szCs w:val="20"/>
        </w:rPr>
        <w:t>VIBRATION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41D38DD"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Вимушені гармонічні коливання, частота яких у ціле</w:t>
      </w:r>
      <w:r w:rsidRPr="000977F7">
        <w:rPr>
          <w:rFonts w:asciiTheme="majorHAnsi" w:hAnsiTheme="majorHAnsi"/>
          <w:spacing w:val="1"/>
          <w:sz w:val="20"/>
          <w:szCs w:val="20"/>
        </w:rPr>
        <w:t xml:space="preserve"> </w:t>
      </w:r>
      <w:r w:rsidRPr="000977F7">
        <w:rPr>
          <w:rFonts w:asciiTheme="majorHAnsi" w:hAnsiTheme="majorHAnsi"/>
          <w:sz w:val="20"/>
          <w:szCs w:val="20"/>
        </w:rPr>
        <w:t>число разів менша за частоту гармонічного збудження</w:t>
      </w:r>
      <w:r w:rsidRPr="000977F7">
        <w:rPr>
          <w:rFonts w:asciiTheme="majorHAnsi" w:hAnsiTheme="majorHAnsi"/>
          <w:spacing w:val="-47"/>
          <w:sz w:val="20"/>
          <w:szCs w:val="20"/>
        </w:rPr>
        <w:t xml:space="preserve"> </w:t>
      </w:r>
    </w:p>
    <w:p w14:paraId="301B541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2473</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37606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
          <w:sz w:val="20"/>
          <w:szCs w:val="20"/>
        </w:rPr>
        <w:t>СУБ’ЄКТИ</w:t>
      </w:r>
      <w:r w:rsidRPr="000977F7">
        <w:rPr>
          <w:rFonts w:asciiTheme="majorHAnsi" w:hAnsiTheme="majorHAnsi"/>
          <w:sz w:val="20"/>
          <w:szCs w:val="20"/>
        </w:rPr>
        <w:t xml:space="preserve"> </w:t>
      </w:r>
      <w:r w:rsidRPr="000977F7">
        <w:rPr>
          <w:rFonts w:asciiTheme="majorHAnsi" w:hAnsiTheme="majorHAnsi"/>
          <w:b/>
          <w:bCs/>
          <w:sz w:val="20"/>
          <w:szCs w:val="20"/>
        </w:rPr>
        <w:t>ГОСПОДАРЮВАННЯ</w:t>
      </w:r>
      <w:r w:rsidRPr="000977F7">
        <w:rPr>
          <w:rFonts w:asciiTheme="majorHAnsi" w:hAnsiTheme="majorHAnsi"/>
          <w:sz w:val="20"/>
          <w:szCs w:val="20"/>
        </w:rPr>
        <w:t xml:space="preserve"> –</w:t>
      </w:r>
    </w:p>
    <w:p w14:paraId="01E20235"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Виробники, уповноважені представники, імпортери та розповсюджувачі, а відповідно до деяких технічних регламентів також інші фізичні та юридичні особи. Згідно з певними технічними регламентами суб’єктами господарювання можуть вважатися лише деякі із зазначених осіб</w:t>
      </w:r>
    </w:p>
    <w:p w14:paraId="567B66F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bookmarkStart w:id="273" w:name="_Hlk103190217"/>
      <w:r w:rsidRPr="000977F7">
        <w:rPr>
          <w:rFonts w:asciiTheme="majorHAnsi" w:hAnsiTheme="majorHAnsi"/>
          <w:i/>
          <w:sz w:val="20"/>
          <w:szCs w:val="20"/>
        </w:rPr>
        <w:lastRenderedPageBreak/>
        <w:t>Ст. 1 закону України "Про технічні регламенти та оцінку відповідності"</w:t>
      </w:r>
    </w:p>
    <w:p w14:paraId="572A2F61"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Монтажник, виробник, уповноважений представник, імпортер та розповсюджувач</w:t>
      </w:r>
    </w:p>
    <w:p w14:paraId="086893A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Технічний регламент ліфтів і компонентів безпеки для ліфтів</w:t>
      </w:r>
    </w:p>
    <w:p w14:paraId="2EF61BD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Технічний регламент з електромагнітної сумісності обладнання</w:t>
      </w:r>
    </w:p>
    <w:p w14:paraId="32976964"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bookmarkStart w:id="274" w:name="_Hlk103188719"/>
      <w:bookmarkEnd w:id="273"/>
      <w:r w:rsidRPr="000977F7">
        <w:rPr>
          <w:rFonts w:asciiTheme="majorHAnsi" w:hAnsiTheme="majorHAnsi"/>
          <w:b/>
          <w:sz w:val="20"/>
          <w:szCs w:val="20"/>
        </w:rPr>
        <w:t>СУБ’ЄКТИ</w:t>
      </w:r>
      <w:bookmarkEnd w:id="274"/>
      <w:r w:rsidRPr="000977F7">
        <w:rPr>
          <w:rFonts w:asciiTheme="majorHAnsi" w:hAnsiTheme="majorHAnsi"/>
          <w:b/>
          <w:spacing w:val="1"/>
          <w:sz w:val="20"/>
          <w:szCs w:val="20"/>
        </w:rPr>
        <w:t xml:space="preserve"> </w:t>
      </w:r>
      <w:r w:rsidRPr="000977F7">
        <w:rPr>
          <w:rFonts w:asciiTheme="majorHAnsi" w:hAnsiTheme="majorHAnsi"/>
          <w:b/>
          <w:sz w:val="20"/>
          <w:szCs w:val="20"/>
        </w:rPr>
        <w:t>УГОДИ -</w:t>
      </w:r>
    </w:p>
    <w:p w14:paraId="75B2EA1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AGREEMENT</w:t>
      </w:r>
      <w:r w:rsidRPr="000977F7">
        <w:rPr>
          <w:rFonts w:asciiTheme="majorHAnsi" w:hAnsiTheme="majorHAnsi"/>
          <w:spacing w:val="-12"/>
          <w:sz w:val="20"/>
          <w:szCs w:val="20"/>
        </w:rPr>
        <w:t xml:space="preserve"> </w:t>
      </w:r>
      <w:r w:rsidRPr="000977F7">
        <w:rPr>
          <w:rFonts w:asciiTheme="majorHAnsi" w:hAnsiTheme="majorHAnsi"/>
          <w:sz w:val="20"/>
          <w:szCs w:val="20"/>
        </w:rPr>
        <w:t>GROUP -</w:t>
      </w:r>
    </w:p>
    <w:p w14:paraId="6BCB0F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Органи, що підписали угоду, яка базується на домовленості</w:t>
      </w:r>
    </w:p>
    <w:p w14:paraId="682931B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ISO/IEC</w:t>
      </w:r>
      <w:r w:rsidRPr="000977F7">
        <w:rPr>
          <w:rFonts w:asciiTheme="majorHAnsi" w:hAnsiTheme="majorHAnsi"/>
          <w:i/>
          <w:spacing w:val="-4"/>
          <w:sz w:val="20"/>
          <w:szCs w:val="20"/>
        </w:rPr>
        <w:t xml:space="preserve"> </w:t>
      </w:r>
      <w:r w:rsidRPr="000977F7">
        <w:rPr>
          <w:rFonts w:asciiTheme="majorHAnsi" w:hAnsiTheme="majorHAnsi"/>
          <w:i/>
          <w:sz w:val="20"/>
          <w:szCs w:val="20"/>
        </w:rPr>
        <w:t>17000:2007</w:t>
      </w:r>
    </w:p>
    <w:p w14:paraId="0F650D0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СУБЄКТИ</w:t>
      </w:r>
      <w:r w:rsidRPr="000977F7">
        <w:rPr>
          <w:color w:val="auto"/>
          <w:spacing w:val="-5"/>
          <w:sz w:val="20"/>
          <w:szCs w:val="20"/>
        </w:rPr>
        <w:t xml:space="preserve"> </w:t>
      </w:r>
      <w:r w:rsidRPr="000977F7">
        <w:rPr>
          <w:color w:val="auto"/>
          <w:sz w:val="20"/>
          <w:szCs w:val="20"/>
        </w:rPr>
        <w:t>СТАНДАРТИЗАЦІЇ</w:t>
      </w:r>
      <w:r w:rsidRPr="000977F7">
        <w:rPr>
          <w:color w:val="auto"/>
          <w:spacing w:val="-3"/>
          <w:sz w:val="20"/>
          <w:szCs w:val="20"/>
        </w:rPr>
        <w:t xml:space="preserve"> </w:t>
      </w:r>
      <w:r w:rsidRPr="000977F7">
        <w:rPr>
          <w:color w:val="auto"/>
          <w:sz w:val="20"/>
          <w:szCs w:val="20"/>
        </w:rPr>
        <w:t>–</w:t>
      </w:r>
    </w:p>
    <w:p w14:paraId="32B18D5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Суб’єктами</w:t>
      </w:r>
      <w:r w:rsidRPr="000977F7">
        <w:rPr>
          <w:rFonts w:asciiTheme="majorHAnsi" w:hAnsiTheme="majorHAnsi"/>
          <w:spacing w:val="-4"/>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4"/>
          <w:sz w:val="20"/>
          <w:szCs w:val="20"/>
        </w:rPr>
        <w:t xml:space="preserve"> </w:t>
      </w:r>
      <w:r w:rsidRPr="000977F7">
        <w:rPr>
          <w:rFonts w:asciiTheme="majorHAnsi" w:hAnsiTheme="majorHAnsi"/>
          <w:sz w:val="20"/>
          <w:szCs w:val="20"/>
        </w:rPr>
        <w:t>є:</w:t>
      </w:r>
    </w:p>
    <w:p w14:paraId="60878370" w14:textId="77777777" w:rsidR="0097612F" w:rsidRPr="000977F7" w:rsidRDefault="0097612F" w:rsidP="00FD39A4">
      <w:pPr>
        <w:pStyle w:val="ac"/>
        <w:widowControl w:val="0"/>
        <w:numPr>
          <w:ilvl w:val="1"/>
          <w:numId w:val="77"/>
        </w:numPr>
        <w:tabs>
          <w:tab w:val="left" w:pos="284"/>
          <w:tab w:val="left" w:pos="73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центральний орган виконавчої влади, що забезпечує формування державної політики у сфері стандартизації;</w:t>
      </w:r>
    </w:p>
    <w:p w14:paraId="49CA5B2B" w14:textId="77777777" w:rsidR="0097612F" w:rsidRPr="000977F7" w:rsidRDefault="0097612F" w:rsidP="00FD39A4">
      <w:pPr>
        <w:pStyle w:val="ac"/>
        <w:widowControl w:val="0"/>
        <w:numPr>
          <w:ilvl w:val="1"/>
          <w:numId w:val="77"/>
        </w:numPr>
        <w:tabs>
          <w:tab w:val="left" w:pos="284"/>
          <w:tab w:val="left" w:pos="73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центральний орган виконавчої влади, що реалізує</w:t>
      </w:r>
      <w:r w:rsidRPr="000977F7">
        <w:rPr>
          <w:rFonts w:asciiTheme="majorHAnsi" w:hAnsiTheme="majorHAnsi"/>
          <w:spacing w:val="1"/>
          <w:sz w:val="20"/>
          <w:szCs w:val="20"/>
        </w:rPr>
        <w:t xml:space="preserve"> </w:t>
      </w:r>
      <w:r w:rsidRPr="000977F7">
        <w:rPr>
          <w:rFonts w:asciiTheme="majorHAnsi" w:hAnsiTheme="majorHAnsi"/>
          <w:sz w:val="20"/>
          <w:szCs w:val="20"/>
        </w:rPr>
        <w:t>державну</w:t>
      </w:r>
      <w:r w:rsidRPr="000977F7">
        <w:rPr>
          <w:rFonts w:asciiTheme="majorHAnsi" w:hAnsiTheme="majorHAnsi"/>
          <w:spacing w:val="-2"/>
          <w:sz w:val="20"/>
          <w:szCs w:val="20"/>
        </w:rPr>
        <w:t xml:space="preserve"> </w:t>
      </w:r>
      <w:r w:rsidRPr="000977F7">
        <w:rPr>
          <w:rFonts w:asciiTheme="majorHAnsi" w:hAnsiTheme="majorHAnsi"/>
          <w:sz w:val="20"/>
          <w:szCs w:val="20"/>
        </w:rPr>
        <w:t>політику</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сфері</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p>
    <w:p w14:paraId="731867A5" w14:textId="77777777" w:rsidR="0097612F" w:rsidRPr="000977F7" w:rsidRDefault="0097612F" w:rsidP="00FD39A4">
      <w:pPr>
        <w:pStyle w:val="ac"/>
        <w:widowControl w:val="0"/>
        <w:numPr>
          <w:ilvl w:val="1"/>
          <w:numId w:val="77"/>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національний</w:t>
      </w:r>
      <w:r w:rsidRPr="000977F7">
        <w:rPr>
          <w:rFonts w:asciiTheme="majorHAnsi" w:hAnsiTheme="majorHAnsi"/>
          <w:spacing w:val="-6"/>
          <w:sz w:val="20"/>
          <w:szCs w:val="20"/>
        </w:rPr>
        <w:t xml:space="preserve"> </w:t>
      </w:r>
      <w:r w:rsidRPr="000977F7">
        <w:rPr>
          <w:rFonts w:asciiTheme="majorHAnsi" w:hAnsiTheme="majorHAnsi"/>
          <w:sz w:val="20"/>
          <w:szCs w:val="20"/>
        </w:rPr>
        <w:t>орган</w:t>
      </w:r>
      <w:r w:rsidRPr="000977F7">
        <w:rPr>
          <w:rFonts w:asciiTheme="majorHAnsi" w:hAnsiTheme="majorHAnsi"/>
          <w:spacing w:val="-6"/>
          <w:sz w:val="20"/>
          <w:szCs w:val="20"/>
        </w:rPr>
        <w:t xml:space="preserve"> </w:t>
      </w:r>
      <w:r w:rsidRPr="000977F7">
        <w:rPr>
          <w:rFonts w:asciiTheme="majorHAnsi" w:hAnsiTheme="majorHAnsi"/>
          <w:sz w:val="20"/>
          <w:szCs w:val="20"/>
        </w:rPr>
        <w:t>стандартизації;</w:t>
      </w:r>
    </w:p>
    <w:p w14:paraId="0A4D1BC8" w14:textId="77777777" w:rsidR="0097612F" w:rsidRPr="000977F7" w:rsidRDefault="0097612F" w:rsidP="00FD39A4">
      <w:pPr>
        <w:pStyle w:val="ac"/>
        <w:widowControl w:val="0"/>
        <w:numPr>
          <w:ilvl w:val="1"/>
          <w:numId w:val="77"/>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технічні</w:t>
      </w:r>
      <w:r w:rsidRPr="000977F7">
        <w:rPr>
          <w:rFonts w:asciiTheme="majorHAnsi" w:hAnsiTheme="majorHAnsi"/>
          <w:spacing w:val="-5"/>
          <w:sz w:val="20"/>
          <w:szCs w:val="20"/>
        </w:rPr>
        <w:t xml:space="preserve"> </w:t>
      </w:r>
      <w:r w:rsidRPr="000977F7">
        <w:rPr>
          <w:rFonts w:asciiTheme="majorHAnsi" w:hAnsiTheme="majorHAnsi"/>
          <w:sz w:val="20"/>
          <w:szCs w:val="20"/>
        </w:rPr>
        <w:t>комітети</w:t>
      </w:r>
      <w:r w:rsidRPr="000977F7">
        <w:rPr>
          <w:rFonts w:asciiTheme="majorHAnsi" w:hAnsiTheme="majorHAnsi"/>
          <w:spacing w:val="-5"/>
          <w:sz w:val="20"/>
          <w:szCs w:val="20"/>
        </w:rPr>
        <w:t xml:space="preserve"> </w:t>
      </w:r>
      <w:r w:rsidRPr="000977F7">
        <w:rPr>
          <w:rFonts w:asciiTheme="majorHAnsi" w:hAnsiTheme="majorHAnsi"/>
          <w:sz w:val="20"/>
          <w:szCs w:val="20"/>
        </w:rPr>
        <w:t>стандартизації;</w:t>
      </w:r>
    </w:p>
    <w:p w14:paraId="4B2F7E6E" w14:textId="77777777" w:rsidR="0097612F" w:rsidRPr="000977F7" w:rsidRDefault="0097612F" w:rsidP="00FD39A4">
      <w:pPr>
        <w:pStyle w:val="ac"/>
        <w:widowControl w:val="0"/>
        <w:numPr>
          <w:ilvl w:val="1"/>
          <w:numId w:val="77"/>
        </w:numPr>
        <w:tabs>
          <w:tab w:val="left" w:pos="284"/>
          <w:tab w:val="left" w:pos="75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установи та</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 що здійснюють</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стандартизацію.</w:t>
      </w:r>
    </w:p>
    <w:p w14:paraId="7812135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Ст.8</w:t>
      </w:r>
      <w:r w:rsidRPr="000977F7">
        <w:rPr>
          <w:rFonts w:asciiTheme="majorHAnsi" w:hAnsiTheme="majorHAnsi"/>
          <w:i/>
          <w:spacing w:val="-3"/>
          <w:sz w:val="20"/>
          <w:szCs w:val="20"/>
        </w:rPr>
        <w:t xml:space="preserve"> </w:t>
      </w:r>
      <w:r w:rsidRPr="000977F7">
        <w:rPr>
          <w:rFonts w:asciiTheme="majorHAnsi" w:hAnsiTheme="majorHAnsi"/>
          <w:i/>
          <w:sz w:val="20"/>
          <w:szCs w:val="20"/>
        </w:rPr>
        <w:t>закону</w:t>
      </w:r>
      <w:r w:rsidRPr="000977F7">
        <w:rPr>
          <w:rFonts w:asciiTheme="majorHAnsi" w:hAnsiTheme="majorHAnsi"/>
          <w:i/>
          <w:spacing w:val="-5"/>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3"/>
          <w:sz w:val="20"/>
          <w:szCs w:val="20"/>
        </w:rPr>
        <w:t xml:space="preserve"> </w:t>
      </w:r>
      <w:r w:rsidRPr="000977F7">
        <w:rPr>
          <w:rFonts w:asciiTheme="majorHAnsi" w:hAnsiTheme="majorHAnsi"/>
          <w:i/>
          <w:sz w:val="20"/>
          <w:szCs w:val="20"/>
        </w:rPr>
        <w:t>«Про</w:t>
      </w:r>
      <w:r w:rsidRPr="000977F7">
        <w:rPr>
          <w:rFonts w:asciiTheme="majorHAnsi" w:hAnsiTheme="majorHAnsi"/>
          <w:i/>
          <w:spacing w:val="-3"/>
          <w:sz w:val="20"/>
          <w:szCs w:val="20"/>
        </w:rPr>
        <w:t xml:space="preserve"> </w:t>
      </w:r>
      <w:r w:rsidRPr="000977F7">
        <w:rPr>
          <w:rFonts w:asciiTheme="majorHAnsi" w:hAnsiTheme="majorHAnsi"/>
          <w:i/>
          <w:sz w:val="20"/>
          <w:szCs w:val="20"/>
        </w:rPr>
        <w:t>стандартизацію»</w:t>
      </w:r>
      <w:r w:rsidRPr="000977F7">
        <w:rPr>
          <w:rFonts w:asciiTheme="majorHAnsi" w:hAnsiTheme="majorHAnsi"/>
          <w:i/>
          <w:spacing w:val="-47"/>
          <w:sz w:val="20"/>
          <w:szCs w:val="20"/>
        </w:rPr>
        <w:t xml:space="preserve"> </w:t>
      </w:r>
      <w:r w:rsidRPr="000977F7">
        <w:rPr>
          <w:rFonts w:asciiTheme="majorHAnsi" w:hAnsiTheme="majorHAnsi"/>
          <w:b/>
          <w:sz w:val="20"/>
          <w:szCs w:val="20"/>
        </w:rPr>
        <w:t>СУБСИНХРОННИЙ</w:t>
      </w:r>
      <w:r w:rsidRPr="000977F7">
        <w:rPr>
          <w:rFonts w:asciiTheme="majorHAnsi" w:hAnsiTheme="majorHAnsi"/>
          <w:b/>
          <w:spacing w:val="-1"/>
          <w:sz w:val="20"/>
          <w:szCs w:val="20"/>
        </w:rPr>
        <w:t xml:space="preserve"> </w:t>
      </w:r>
      <w:r w:rsidRPr="000977F7">
        <w:rPr>
          <w:rFonts w:asciiTheme="majorHAnsi" w:hAnsiTheme="majorHAnsi"/>
          <w:b/>
          <w:sz w:val="20"/>
          <w:szCs w:val="20"/>
        </w:rPr>
        <w:t>РЕЗОНАНС</w:t>
      </w:r>
      <w:r w:rsidRPr="000977F7">
        <w:rPr>
          <w:rFonts w:asciiTheme="majorHAnsi" w:hAnsiTheme="majorHAnsi"/>
          <w:b/>
          <w:spacing w:val="3"/>
          <w:sz w:val="20"/>
          <w:szCs w:val="20"/>
        </w:rPr>
        <w:t xml:space="preserve"> </w:t>
      </w:r>
      <w:r w:rsidRPr="000977F7">
        <w:rPr>
          <w:rFonts w:asciiTheme="majorHAnsi" w:hAnsiTheme="majorHAnsi"/>
          <w:b/>
          <w:sz w:val="20"/>
          <w:szCs w:val="20"/>
        </w:rPr>
        <w:t>–</w:t>
      </w:r>
      <w:r w:rsidRPr="000977F7">
        <w:rPr>
          <w:rFonts w:asciiTheme="majorHAnsi" w:hAnsiTheme="majorHAnsi"/>
          <w:b/>
          <w:spacing w:val="1"/>
          <w:sz w:val="20"/>
          <w:szCs w:val="20"/>
        </w:rPr>
        <w:t xml:space="preserve"> </w:t>
      </w:r>
      <w:r w:rsidRPr="000977F7">
        <w:rPr>
          <w:rFonts w:asciiTheme="majorHAnsi" w:hAnsiTheme="majorHAnsi"/>
          <w:sz w:val="20"/>
          <w:szCs w:val="20"/>
        </w:rPr>
        <w:t>SYBSYNCHRONOUS</w:t>
      </w:r>
      <w:r w:rsidRPr="000977F7">
        <w:rPr>
          <w:rFonts w:asciiTheme="majorHAnsi" w:hAnsiTheme="majorHAnsi"/>
          <w:spacing w:val="1"/>
          <w:sz w:val="20"/>
          <w:szCs w:val="20"/>
        </w:rPr>
        <w:t xml:space="preserve"> </w:t>
      </w:r>
      <w:r w:rsidRPr="000977F7">
        <w:rPr>
          <w:rFonts w:asciiTheme="majorHAnsi" w:hAnsiTheme="majorHAnsi"/>
          <w:sz w:val="20"/>
          <w:szCs w:val="20"/>
        </w:rPr>
        <w:t>RESONANCE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87C87C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Резонанс в електроенергетичній системі, який викликає коливання з частотою,</w:t>
      </w:r>
      <w:r w:rsidRPr="000977F7">
        <w:rPr>
          <w:rFonts w:asciiTheme="majorHAnsi" w:hAnsiTheme="majorHAnsi"/>
          <w:spacing w:val="1"/>
          <w:sz w:val="20"/>
          <w:szCs w:val="20"/>
        </w:rPr>
        <w:t xml:space="preserve"> </w:t>
      </w:r>
      <w:r w:rsidRPr="000977F7">
        <w:rPr>
          <w:rFonts w:asciiTheme="majorHAnsi" w:hAnsiTheme="majorHAnsi"/>
          <w:sz w:val="20"/>
          <w:szCs w:val="20"/>
        </w:rPr>
        <w:t>нижчою за</w:t>
      </w:r>
      <w:r w:rsidRPr="000977F7">
        <w:rPr>
          <w:rFonts w:asciiTheme="majorHAnsi" w:hAnsiTheme="majorHAnsi"/>
          <w:spacing w:val="1"/>
          <w:sz w:val="20"/>
          <w:szCs w:val="20"/>
        </w:rPr>
        <w:t xml:space="preserve"> </w:t>
      </w:r>
      <w:r w:rsidRPr="000977F7">
        <w:rPr>
          <w:rFonts w:asciiTheme="majorHAnsi" w:hAnsiTheme="majorHAnsi"/>
          <w:sz w:val="20"/>
          <w:szCs w:val="20"/>
        </w:rPr>
        <w:t>номінальну,</w:t>
      </w:r>
      <w:r w:rsidRPr="000977F7">
        <w:rPr>
          <w:rFonts w:asciiTheme="majorHAnsi" w:hAnsiTheme="majorHAnsi"/>
          <w:spacing w:val="50"/>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діє</w:t>
      </w:r>
      <w:r w:rsidRPr="000977F7">
        <w:rPr>
          <w:rFonts w:asciiTheme="majorHAnsi" w:hAnsiTheme="majorHAnsi"/>
          <w:spacing w:val="-1"/>
          <w:sz w:val="20"/>
          <w:szCs w:val="20"/>
        </w:rPr>
        <w:t xml:space="preserve"> </w:t>
      </w:r>
      <w:r w:rsidRPr="000977F7">
        <w:rPr>
          <w:rFonts w:asciiTheme="majorHAnsi" w:hAnsiTheme="majorHAnsi"/>
          <w:sz w:val="20"/>
          <w:szCs w:val="20"/>
        </w:rPr>
        <w:t>протягом</w:t>
      </w:r>
      <w:r w:rsidRPr="000977F7">
        <w:rPr>
          <w:rFonts w:asciiTheme="majorHAnsi" w:hAnsiTheme="majorHAnsi"/>
          <w:spacing w:val="1"/>
          <w:sz w:val="20"/>
          <w:szCs w:val="20"/>
        </w:rPr>
        <w:t xml:space="preserve"> </w:t>
      </w:r>
      <w:r w:rsidRPr="000977F7">
        <w:rPr>
          <w:rFonts w:asciiTheme="majorHAnsi" w:hAnsiTheme="majorHAnsi"/>
          <w:sz w:val="20"/>
          <w:szCs w:val="20"/>
        </w:rPr>
        <w:t>хвилини чи</w:t>
      </w:r>
      <w:r w:rsidRPr="000977F7">
        <w:rPr>
          <w:rFonts w:asciiTheme="majorHAnsi" w:hAnsiTheme="majorHAnsi"/>
          <w:spacing w:val="-1"/>
          <w:sz w:val="20"/>
          <w:szCs w:val="20"/>
        </w:rPr>
        <w:t xml:space="preserve"> </w:t>
      </w:r>
      <w:r w:rsidRPr="000977F7">
        <w:rPr>
          <w:rFonts w:asciiTheme="majorHAnsi" w:hAnsiTheme="majorHAnsi"/>
          <w:sz w:val="20"/>
          <w:szCs w:val="20"/>
        </w:rPr>
        <w:t>більше</w:t>
      </w:r>
    </w:p>
    <w:p w14:paraId="0C70FC4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3466 – 96</w:t>
      </w:r>
    </w:p>
    <w:p w14:paraId="658A678F"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СУБПІДРЯДНИК –</w:t>
      </w:r>
    </w:p>
    <w:p w14:paraId="09B3D54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pacing w:val="-1"/>
          <w:sz w:val="20"/>
          <w:szCs w:val="20"/>
        </w:rPr>
        <w:t>SUBCONTRACTOR</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5309059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7"/>
          <w:sz w:val="20"/>
          <w:szCs w:val="20"/>
        </w:rPr>
        <w:t xml:space="preserve"> </w:t>
      </w:r>
      <w:r w:rsidRPr="000977F7">
        <w:rPr>
          <w:rFonts w:asciiTheme="majorHAnsi" w:hAnsiTheme="majorHAnsi"/>
          <w:sz w:val="20"/>
          <w:szCs w:val="20"/>
        </w:rPr>
        <w:t>яка</w:t>
      </w:r>
      <w:r w:rsidRPr="000977F7">
        <w:rPr>
          <w:rFonts w:asciiTheme="majorHAnsi" w:hAnsiTheme="majorHAnsi"/>
          <w:spacing w:val="-3"/>
          <w:sz w:val="20"/>
          <w:szCs w:val="20"/>
        </w:rPr>
        <w:t xml:space="preserve"> </w:t>
      </w:r>
      <w:r w:rsidRPr="000977F7">
        <w:rPr>
          <w:rFonts w:asciiTheme="majorHAnsi" w:hAnsiTheme="majorHAnsi"/>
          <w:sz w:val="20"/>
          <w:szCs w:val="20"/>
        </w:rPr>
        <w:t>надає</w:t>
      </w:r>
      <w:r w:rsidRPr="000977F7">
        <w:rPr>
          <w:rFonts w:asciiTheme="majorHAnsi" w:hAnsiTheme="majorHAnsi"/>
          <w:spacing w:val="-6"/>
          <w:sz w:val="20"/>
          <w:szCs w:val="20"/>
        </w:rPr>
        <w:t xml:space="preserve"> </w:t>
      </w:r>
      <w:r w:rsidRPr="000977F7">
        <w:rPr>
          <w:rFonts w:asciiTheme="majorHAnsi" w:hAnsiTheme="majorHAnsi"/>
          <w:sz w:val="20"/>
          <w:szCs w:val="20"/>
        </w:rPr>
        <w:t>продукцію</w:t>
      </w:r>
      <w:r w:rsidRPr="000977F7">
        <w:rPr>
          <w:rFonts w:asciiTheme="majorHAnsi" w:hAnsiTheme="majorHAnsi"/>
          <w:spacing w:val="-4"/>
          <w:sz w:val="20"/>
          <w:szCs w:val="20"/>
        </w:rPr>
        <w:t xml:space="preserve"> </w:t>
      </w:r>
      <w:r w:rsidRPr="000977F7">
        <w:rPr>
          <w:rFonts w:asciiTheme="majorHAnsi" w:hAnsiTheme="majorHAnsi"/>
          <w:sz w:val="20"/>
          <w:szCs w:val="20"/>
        </w:rPr>
        <w:t>постачальникові</w:t>
      </w:r>
      <w:r w:rsidRPr="000977F7">
        <w:rPr>
          <w:rFonts w:asciiTheme="majorHAnsi" w:hAnsiTheme="majorHAnsi"/>
          <w:spacing w:val="-47"/>
          <w:sz w:val="20"/>
          <w:szCs w:val="20"/>
        </w:rPr>
        <w:t xml:space="preserve"> </w:t>
      </w: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1C27552F" w14:textId="77777777" w:rsidR="0097612F" w:rsidRPr="000977F7" w:rsidRDefault="0097612F" w:rsidP="000977F7">
      <w:pPr>
        <w:tabs>
          <w:tab w:val="left" w:pos="284"/>
        </w:tabs>
        <w:spacing w:after="0" w:line="240" w:lineRule="auto"/>
        <w:ind w:left="170"/>
        <w:mirrorIndents/>
        <w:jc w:val="both"/>
        <w:rPr>
          <w:rFonts w:asciiTheme="majorHAnsi" w:hAnsiTheme="majorHAnsi"/>
          <w:w w:val="99"/>
          <w:sz w:val="20"/>
          <w:szCs w:val="20"/>
        </w:rPr>
      </w:pPr>
      <w:r w:rsidRPr="000977F7">
        <w:rPr>
          <w:rFonts w:asciiTheme="majorHAnsi" w:hAnsiTheme="majorHAnsi"/>
          <w:w w:val="99"/>
          <w:sz w:val="20"/>
          <w:szCs w:val="20"/>
        </w:rPr>
        <w:t>А</w:t>
      </w:r>
      <w:r w:rsidRPr="000977F7">
        <w:rPr>
          <w:rFonts w:asciiTheme="majorHAnsi" w:hAnsiTheme="majorHAnsi"/>
          <w:spacing w:val="-1"/>
          <w:w w:val="99"/>
          <w:sz w:val="20"/>
          <w:szCs w:val="20"/>
        </w:rPr>
        <w:t>нг</w:t>
      </w:r>
      <w:r w:rsidRPr="000977F7">
        <w:rPr>
          <w:rFonts w:asciiTheme="majorHAnsi" w:hAnsiTheme="majorHAnsi"/>
          <w:spacing w:val="-2"/>
          <w:w w:val="99"/>
          <w:sz w:val="20"/>
          <w:szCs w:val="20"/>
        </w:rPr>
        <w:t>л</w:t>
      </w:r>
      <w:r w:rsidRPr="000977F7">
        <w:rPr>
          <w:rFonts w:asciiTheme="majorHAnsi" w:hAnsiTheme="majorHAnsi"/>
          <w:spacing w:val="2"/>
          <w:w w:val="99"/>
          <w:sz w:val="20"/>
          <w:szCs w:val="20"/>
        </w:rPr>
        <w:t>і</w:t>
      </w:r>
      <w:r w:rsidRPr="000977F7">
        <w:rPr>
          <w:rFonts w:asciiTheme="majorHAnsi" w:hAnsiTheme="majorHAnsi"/>
          <w:spacing w:val="-2"/>
          <w:w w:val="99"/>
          <w:sz w:val="20"/>
          <w:szCs w:val="20"/>
        </w:rPr>
        <w:t>й</w:t>
      </w:r>
      <w:r w:rsidRPr="000977F7">
        <w:rPr>
          <w:rFonts w:asciiTheme="majorHAnsi" w:hAnsiTheme="majorHAnsi"/>
          <w:w w:val="99"/>
          <w:sz w:val="20"/>
          <w:szCs w:val="20"/>
        </w:rPr>
        <w:t>сь</w:t>
      </w:r>
      <w:r w:rsidRPr="000977F7">
        <w:rPr>
          <w:rFonts w:asciiTheme="majorHAnsi" w:hAnsiTheme="majorHAnsi"/>
          <w:spacing w:val="1"/>
          <w:w w:val="99"/>
          <w:sz w:val="20"/>
          <w:szCs w:val="20"/>
        </w:rPr>
        <w:t>кою</w:t>
      </w:r>
      <w:r w:rsidRPr="000977F7">
        <w:rPr>
          <w:rFonts w:asciiTheme="majorHAnsi" w:hAnsiTheme="majorHAnsi"/>
          <w:sz w:val="20"/>
          <w:szCs w:val="20"/>
        </w:rPr>
        <w:t xml:space="preserve"> </w:t>
      </w:r>
      <w:r w:rsidRPr="000977F7">
        <w:rPr>
          <w:rFonts w:asciiTheme="majorHAnsi" w:hAnsiTheme="majorHAnsi"/>
          <w:spacing w:val="-18"/>
          <w:sz w:val="20"/>
          <w:szCs w:val="20"/>
        </w:rPr>
        <w:t xml:space="preserve"> </w:t>
      </w:r>
      <w:r w:rsidRPr="000977F7">
        <w:rPr>
          <w:rFonts w:asciiTheme="majorHAnsi" w:hAnsiTheme="majorHAnsi"/>
          <w:spacing w:val="1"/>
          <w:w w:val="99"/>
          <w:sz w:val="20"/>
          <w:szCs w:val="20"/>
        </w:rPr>
        <w:t>мо</w:t>
      </w:r>
      <w:r w:rsidRPr="000977F7">
        <w:rPr>
          <w:rFonts w:asciiTheme="majorHAnsi" w:hAnsiTheme="majorHAnsi"/>
          <w:spacing w:val="-1"/>
          <w:w w:val="99"/>
          <w:sz w:val="20"/>
          <w:szCs w:val="20"/>
        </w:rPr>
        <w:t>вою</w:t>
      </w:r>
      <w:r w:rsidRPr="000977F7">
        <w:rPr>
          <w:rFonts w:asciiTheme="majorHAnsi" w:hAnsiTheme="majorHAnsi"/>
          <w:sz w:val="20"/>
          <w:szCs w:val="20"/>
        </w:rPr>
        <w:t xml:space="preserve"> "</w:t>
      </w:r>
      <w:r w:rsidRPr="000977F7">
        <w:rPr>
          <w:rFonts w:asciiTheme="majorHAnsi" w:hAnsiTheme="majorHAnsi"/>
          <w:spacing w:val="1"/>
          <w:w w:val="59"/>
          <w:sz w:val="20"/>
          <w:szCs w:val="20"/>
        </w:rPr>
        <w:t>s</w:t>
      </w:r>
      <w:r w:rsidRPr="000977F7">
        <w:rPr>
          <w:rFonts w:asciiTheme="majorHAnsi" w:hAnsiTheme="majorHAnsi"/>
          <w:spacing w:val="-2"/>
          <w:w w:val="99"/>
          <w:sz w:val="20"/>
          <w:szCs w:val="20"/>
        </w:rPr>
        <w:t>u</w:t>
      </w:r>
      <w:r w:rsidRPr="000977F7">
        <w:rPr>
          <w:rFonts w:asciiTheme="majorHAnsi" w:hAnsiTheme="majorHAnsi"/>
          <w:spacing w:val="1"/>
          <w:w w:val="99"/>
          <w:sz w:val="20"/>
          <w:szCs w:val="20"/>
        </w:rPr>
        <w:t>b</w:t>
      </w:r>
      <w:r w:rsidRPr="000977F7">
        <w:rPr>
          <w:rFonts w:asciiTheme="majorHAnsi" w:hAnsiTheme="majorHAnsi"/>
          <w:w w:val="99"/>
          <w:sz w:val="20"/>
          <w:szCs w:val="20"/>
        </w:rPr>
        <w:t>c</w:t>
      </w:r>
      <w:r w:rsidRPr="000977F7">
        <w:rPr>
          <w:rFonts w:asciiTheme="majorHAnsi" w:hAnsiTheme="majorHAnsi"/>
          <w:spacing w:val="1"/>
          <w:w w:val="99"/>
          <w:sz w:val="20"/>
          <w:szCs w:val="20"/>
        </w:rPr>
        <w:t>o</w:t>
      </w:r>
      <w:r w:rsidRPr="000977F7">
        <w:rPr>
          <w:rFonts w:asciiTheme="majorHAnsi" w:hAnsiTheme="majorHAnsi"/>
          <w:spacing w:val="-2"/>
          <w:w w:val="99"/>
          <w:sz w:val="20"/>
          <w:szCs w:val="20"/>
        </w:rPr>
        <w:t>n</w:t>
      </w:r>
      <w:r w:rsidRPr="000977F7">
        <w:rPr>
          <w:rFonts w:asciiTheme="majorHAnsi" w:hAnsiTheme="majorHAnsi"/>
          <w:spacing w:val="2"/>
          <w:w w:val="99"/>
          <w:sz w:val="20"/>
          <w:szCs w:val="20"/>
        </w:rPr>
        <w:t>t</w:t>
      </w:r>
      <w:r w:rsidRPr="000977F7">
        <w:rPr>
          <w:rFonts w:asciiTheme="majorHAnsi" w:hAnsiTheme="majorHAnsi"/>
          <w:w w:val="99"/>
          <w:sz w:val="20"/>
          <w:szCs w:val="20"/>
        </w:rPr>
        <w:t xml:space="preserve">ractor" </w:t>
      </w:r>
      <w:r w:rsidRPr="000977F7">
        <w:rPr>
          <w:rFonts w:asciiTheme="majorHAnsi" w:hAnsiTheme="majorHAnsi"/>
          <w:spacing w:val="5"/>
          <w:w w:val="99"/>
          <w:sz w:val="20"/>
          <w:szCs w:val="20"/>
        </w:rPr>
        <w:t>м</w:t>
      </w:r>
      <w:r w:rsidRPr="000977F7">
        <w:rPr>
          <w:rFonts w:asciiTheme="majorHAnsi" w:hAnsiTheme="majorHAnsi"/>
          <w:spacing w:val="1"/>
          <w:w w:val="99"/>
          <w:sz w:val="20"/>
          <w:szCs w:val="20"/>
        </w:rPr>
        <w:t>о</w:t>
      </w:r>
      <w:r w:rsidRPr="000977F7">
        <w:rPr>
          <w:rFonts w:asciiTheme="majorHAnsi" w:hAnsiTheme="majorHAnsi"/>
          <w:spacing w:val="-1"/>
          <w:w w:val="99"/>
          <w:sz w:val="20"/>
          <w:szCs w:val="20"/>
        </w:rPr>
        <w:t>ж</w:t>
      </w:r>
      <w:r w:rsidRPr="000977F7">
        <w:rPr>
          <w:rFonts w:asciiTheme="majorHAnsi" w:hAnsiTheme="majorHAnsi"/>
          <w:w w:val="99"/>
          <w:sz w:val="20"/>
          <w:szCs w:val="20"/>
        </w:rPr>
        <w:t>е</w:t>
      </w:r>
      <w:r w:rsidRPr="000977F7">
        <w:rPr>
          <w:rFonts w:asciiTheme="majorHAnsi" w:hAnsiTheme="majorHAnsi"/>
          <w:sz w:val="20"/>
          <w:szCs w:val="20"/>
        </w:rPr>
        <w:t xml:space="preserve"> </w:t>
      </w:r>
      <w:r w:rsidRPr="000977F7">
        <w:rPr>
          <w:rFonts w:asciiTheme="majorHAnsi" w:hAnsiTheme="majorHAnsi"/>
          <w:spacing w:val="-1"/>
          <w:w w:val="99"/>
          <w:sz w:val="20"/>
          <w:szCs w:val="20"/>
        </w:rPr>
        <w:t>т</w:t>
      </w:r>
      <w:r w:rsidRPr="000977F7">
        <w:rPr>
          <w:rFonts w:asciiTheme="majorHAnsi" w:hAnsiTheme="majorHAnsi"/>
          <w:w w:val="99"/>
          <w:sz w:val="20"/>
          <w:szCs w:val="20"/>
        </w:rPr>
        <w:t>ак</w:t>
      </w:r>
      <w:r w:rsidRPr="000977F7">
        <w:rPr>
          <w:rFonts w:asciiTheme="majorHAnsi" w:hAnsiTheme="majorHAnsi"/>
          <w:spacing w:val="3"/>
          <w:w w:val="99"/>
          <w:sz w:val="20"/>
          <w:szCs w:val="20"/>
        </w:rPr>
        <w:t>о</w:t>
      </w:r>
      <w:r w:rsidRPr="000977F7">
        <w:rPr>
          <w:rFonts w:asciiTheme="majorHAnsi" w:hAnsiTheme="majorHAnsi"/>
          <w:w w:val="99"/>
          <w:sz w:val="20"/>
          <w:szCs w:val="20"/>
        </w:rPr>
        <w:t>ж</w:t>
      </w:r>
      <w:r w:rsidRPr="000977F7">
        <w:rPr>
          <w:rFonts w:asciiTheme="majorHAnsi" w:hAnsiTheme="majorHAnsi"/>
          <w:spacing w:val="-1"/>
          <w:sz w:val="20"/>
          <w:szCs w:val="20"/>
        </w:rPr>
        <w:t xml:space="preserve"> </w:t>
      </w:r>
      <w:r w:rsidRPr="000977F7">
        <w:rPr>
          <w:rFonts w:asciiTheme="majorHAnsi" w:hAnsiTheme="majorHAnsi"/>
          <w:spacing w:val="-2"/>
          <w:w w:val="99"/>
          <w:sz w:val="20"/>
          <w:szCs w:val="20"/>
        </w:rPr>
        <w:t>н</w:t>
      </w:r>
      <w:r w:rsidRPr="000977F7">
        <w:rPr>
          <w:rFonts w:asciiTheme="majorHAnsi" w:hAnsiTheme="majorHAnsi"/>
          <w:w w:val="99"/>
          <w:sz w:val="20"/>
          <w:szCs w:val="20"/>
        </w:rPr>
        <w:t>а</w:t>
      </w:r>
      <w:r w:rsidRPr="000977F7">
        <w:rPr>
          <w:rFonts w:asciiTheme="majorHAnsi" w:hAnsiTheme="majorHAnsi"/>
          <w:spacing w:val="3"/>
          <w:w w:val="99"/>
          <w:sz w:val="20"/>
          <w:szCs w:val="20"/>
        </w:rPr>
        <w:t>з</w:t>
      </w:r>
      <w:r w:rsidRPr="000977F7">
        <w:rPr>
          <w:rFonts w:asciiTheme="majorHAnsi" w:hAnsiTheme="majorHAnsi"/>
          <w:spacing w:val="-2"/>
          <w:w w:val="99"/>
          <w:sz w:val="20"/>
          <w:szCs w:val="20"/>
        </w:rPr>
        <w:t>и</w:t>
      </w:r>
      <w:r w:rsidRPr="000977F7">
        <w:rPr>
          <w:rFonts w:asciiTheme="majorHAnsi" w:hAnsiTheme="majorHAnsi"/>
          <w:spacing w:val="-1"/>
          <w:w w:val="99"/>
          <w:sz w:val="20"/>
          <w:szCs w:val="20"/>
        </w:rPr>
        <w:t>ва</w:t>
      </w:r>
      <w:r w:rsidRPr="000977F7">
        <w:rPr>
          <w:rFonts w:asciiTheme="majorHAnsi" w:hAnsiTheme="majorHAnsi"/>
          <w:spacing w:val="1"/>
          <w:w w:val="99"/>
          <w:sz w:val="20"/>
          <w:szCs w:val="20"/>
        </w:rPr>
        <w:t>т</w:t>
      </w:r>
      <w:r w:rsidRPr="000977F7">
        <w:rPr>
          <w:rFonts w:asciiTheme="majorHAnsi" w:hAnsiTheme="majorHAnsi"/>
          <w:spacing w:val="-2"/>
          <w:w w:val="99"/>
          <w:sz w:val="20"/>
          <w:szCs w:val="20"/>
        </w:rPr>
        <w:t>и</w:t>
      </w:r>
      <w:r w:rsidRPr="000977F7">
        <w:rPr>
          <w:rFonts w:asciiTheme="majorHAnsi" w:hAnsiTheme="majorHAnsi"/>
          <w:w w:val="99"/>
          <w:sz w:val="20"/>
          <w:szCs w:val="20"/>
        </w:rPr>
        <w:t>сь</w:t>
      </w:r>
      <w:r w:rsidRPr="000977F7">
        <w:rPr>
          <w:rFonts w:asciiTheme="majorHAnsi" w:hAnsiTheme="majorHAnsi"/>
          <w:spacing w:val="3"/>
          <w:sz w:val="20"/>
          <w:szCs w:val="20"/>
        </w:rPr>
        <w:t xml:space="preserve"> "</w:t>
      </w:r>
      <w:r w:rsidRPr="000977F7">
        <w:rPr>
          <w:rFonts w:asciiTheme="majorHAnsi" w:hAnsiTheme="majorHAnsi"/>
          <w:spacing w:val="1"/>
          <w:w w:val="99"/>
          <w:sz w:val="20"/>
          <w:szCs w:val="20"/>
        </w:rPr>
        <w:t>s</w:t>
      </w:r>
      <w:r w:rsidRPr="000977F7">
        <w:rPr>
          <w:rFonts w:asciiTheme="majorHAnsi" w:hAnsiTheme="majorHAnsi"/>
          <w:spacing w:val="-2"/>
          <w:w w:val="99"/>
          <w:sz w:val="20"/>
          <w:szCs w:val="20"/>
        </w:rPr>
        <w:t>u</w:t>
      </w:r>
      <w:r w:rsidRPr="000977F7">
        <w:rPr>
          <w:rFonts w:asciiTheme="majorHAnsi" w:hAnsiTheme="majorHAnsi"/>
          <w:spacing w:val="1"/>
          <w:w w:val="99"/>
          <w:sz w:val="20"/>
          <w:szCs w:val="20"/>
        </w:rPr>
        <w:t>bsupp</w:t>
      </w:r>
      <w:r w:rsidRPr="000977F7">
        <w:rPr>
          <w:rFonts w:asciiTheme="majorHAnsi" w:hAnsiTheme="majorHAnsi"/>
          <w:w w:val="99"/>
          <w:sz w:val="20"/>
          <w:szCs w:val="20"/>
        </w:rPr>
        <w:t>lier"</w:t>
      </w:r>
      <w:r w:rsidRPr="000977F7">
        <w:rPr>
          <w:rFonts w:asciiTheme="majorHAnsi" w:hAnsiTheme="majorHAnsi"/>
          <w:sz w:val="20"/>
          <w:szCs w:val="20"/>
        </w:rPr>
        <w:t xml:space="preserve"> </w:t>
      </w:r>
      <w:r w:rsidRPr="000977F7">
        <w:rPr>
          <w:rFonts w:asciiTheme="majorHAnsi" w:hAnsiTheme="majorHAnsi"/>
          <w:w w:val="99"/>
          <w:sz w:val="20"/>
          <w:szCs w:val="20"/>
        </w:rPr>
        <w:t>(с</w:t>
      </w:r>
      <w:r w:rsidRPr="000977F7">
        <w:rPr>
          <w:rFonts w:asciiTheme="majorHAnsi" w:hAnsiTheme="majorHAnsi"/>
          <w:spacing w:val="-4"/>
          <w:w w:val="99"/>
          <w:sz w:val="20"/>
          <w:szCs w:val="20"/>
        </w:rPr>
        <w:t>у</w:t>
      </w:r>
      <w:r w:rsidRPr="000977F7">
        <w:rPr>
          <w:rFonts w:asciiTheme="majorHAnsi" w:hAnsiTheme="majorHAnsi"/>
          <w:spacing w:val="1"/>
          <w:w w:val="99"/>
          <w:sz w:val="20"/>
          <w:szCs w:val="20"/>
        </w:rPr>
        <w:t>б</w:t>
      </w:r>
      <w:r w:rsidRPr="000977F7">
        <w:rPr>
          <w:rFonts w:asciiTheme="majorHAnsi" w:hAnsiTheme="majorHAnsi"/>
          <w:spacing w:val="-2"/>
          <w:w w:val="99"/>
          <w:sz w:val="20"/>
          <w:szCs w:val="20"/>
        </w:rPr>
        <w:t>п</w:t>
      </w:r>
      <w:r w:rsidRPr="000977F7">
        <w:rPr>
          <w:rFonts w:asciiTheme="majorHAnsi" w:hAnsiTheme="majorHAnsi"/>
          <w:spacing w:val="1"/>
          <w:w w:val="99"/>
          <w:sz w:val="20"/>
          <w:szCs w:val="20"/>
        </w:rPr>
        <w:t>о</w:t>
      </w:r>
      <w:r w:rsidRPr="000977F7">
        <w:rPr>
          <w:rFonts w:asciiTheme="majorHAnsi" w:hAnsiTheme="majorHAnsi"/>
          <w:w w:val="99"/>
          <w:sz w:val="20"/>
          <w:szCs w:val="20"/>
        </w:rPr>
        <w:t>стача</w:t>
      </w:r>
      <w:r w:rsidRPr="000977F7">
        <w:rPr>
          <w:rFonts w:asciiTheme="majorHAnsi" w:hAnsiTheme="majorHAnsi"/>
          <w:spacing w:val="-1"/>
          <w:w w:val="99"/>
          <w:sz w:val="20"/>
          <w:szCs w:val="20"/>
        </w:rPr>
        <w:t>л</w:t>
      </w:r>
      <w:r w:rsidRPr="000977F7">
        <w:rPr>
          <w:rFonts w:asciiTheme="majorHAnsi" w:hAnsiTheme="majorHAnsi"/>
          <w:spacing w:val="2"/>
          <w:w w:val="99"/>
          <w:sz w:val="20"/>
          <w:szCs w:val="20"/>
        </w:rPr>
        <w:t>ь</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и</w:t>
      </w:r>
      <w:r w:rsidRPr="000977F7">
        <w:rPr>
          <w:rFonts w:asciiTheme="majorHAnsi" w:hAnsiTheme="majorHAnsi"/>
          <w:spacing w:val="-1"/>
          <w:w w:val="99"/>
          <w:sz w:val="20"/>
          <w:szCs w:val="20"/>
        </w:rPr>
        <w:t>к</w:t>
      </w:r>
      <w:r w:rsidRPr="000977F7">
        <w:rPr>
          <w:rFonts w:asciiTheme="majorHAnsi" w:hAnsiTheme="majorHAnsi"/>
          <w:w w:val="99"/>
          <w:sz w:val="20"/>
          <w:szCs w:val="20"/>
        </w:rPr>
        <w:t>)</w:t>
      </w:r>
    </w:p>
    <w:p w14:paraId="2BFBA6D2"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СУДОВИЙ</w:t>
      </w:r>
      <w:r w:rsidRPr="000977F7">
        <w:rPr>
          <w:rFonts w:asciiTheme="majorHAnsi" w:hAnsiTheme="majorHAnsi"/>
          <w:b/>
          <w:spacing w:val="-1"/>
          <w:sz w:val="20"/>
          <w:szCs w:val="20"/>
        </w:rPr>
        <w:t xml:space="preserve"> </w:t>
      </w:r>
      <w:r w:rsidRPr="000977F7">
        <w:rPr>
          <w:rFonts w:asciiTheme="majorHAnsi" w:hAnsiTheme="majorHAnsi"/>
          <w:b/>
          <w:sz w:val="20"/>
          <w:szCs w:val="20"/>
        </w:rPr>
        <w:t>ЗАХИСТ</w:t>
      </w:r>
      <w:r w:rsidRPr="000977F7">
        <w:rPr>
          <w:rFonts w:asciiTheme="majorHAnsi" w:hAnsiTheme="majorHAnsi"/>
          <w:b/>
          <w:spacing w:val="-3"/>
          <w:sz w:val="20"/>
          <w:szCs w:val="20"/>
        </w:rPr>
        <w:t xml:space="preserve"> </w:t>
      </w:r>
      <w:r w:rsidRPr="000977F7">
        <w:rPr>
          <w:rFonts w:asciiTheme="majorHAnsi" w:hAnsiTheme="majorHAnsi"/>
          <w:b/>
          <w:sz w:val="20"/>
          <w:szCs w:val="20"/>
        </w:rPr>
        <w:t>ПРАВ</w:t>
      </w:r>
      <w:r w:rsidRPr="000977F7">
        <w:rPr>
          <w:rFonts w:asciiTheme="majorHAnsi" w:hAnsiTheme="majorHAnsi"/>
          <w:b/>
          <w:spacing w:val="2"/>
          <w:sz w:val="20"/>
          <w:szCs w:val="20"/>
        </w:rPr>
        <w:t xml:space="preserve"> </w:t>
      </w:r>
      <w:r w:rsidRPr="000977F7">
        <w:rPr>
          <w:rFonts w:asciiTheme="majorHAnsi" w:hAnsiTheme="majorHAnsi"/>
          <w:b/>
          <w:sz w:val="20"/>
          <w:szCs w:val="20"/>
        </w:rPr>
        <w:t>СПОЖИВАЧІВ –</w:t>
      </w:r>
    </w:p>
    <w:p w14:paraId="703B895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1. Захист</w:t>
      </w:r>
      <w:r w:rsidRPr="000977F7">
        <w:rPr>
          <w:rFonts w:asciiTheme="majorHAnsi" w:hAnsiTheme="majorHAnsi"/>
          <w:spacing w:val="1"/>
          <w:sz w:val="20"/>
          <w:szCs w:val="20"/>
        </w:rPr>
        <w:t xml:space="preserve"> </w:t>
      </w:r>
      <w:r w:rsidRPr="000977F7">
        <w:rPr>
          <w:rFonts w:asciiTheme="majorHAnsi" w:hAnsiTheme="majorHAnsi"/>
          <w:sz w:val="20"/>
          <w:szCs w:val="20"/>
        </w:rPr>
        <w:t>прав</w:t>
      </w:r>
      <w:r w:rsidRPr="000977F7">
        <w:rPr>
          <w:rFonts w:asciiTheme="majorHAnsi" w:hAnsiTheme="majorHAnsi"/>
          <w:spacing w:val="1"/>
          <w:sz w:val="20"/>
          <w:szCs w:val="20"/>
        </w:rPr>
        <w:t xml:space="preserve"> </w:t>
      </w:r>
      <w:r w:rsidRPr="000977F7">
        <w:rPr>
          <w:rFonts w:asciiTheme="majorHAnsi" w:hAnsiTheme="majorHAnsi"/>
          <w:sz w:val="20"/>
          <w:szCs w:val="20"/>
        </w:rPr>
        <w:t>споживачів,</w:t>
      </w:r>
      <w:r w:rsidRPr="000977F7">
        <w:rPr>
          <w:rFonts w:asciiTheme="majorHAnsi" w:hAnsiTheme="majorHAnsi"/>
          <w:spacing w:val="1"/>
          <w:sz w:val="20"/>
          <w:szCs w:val="20"/>
        </w:rPr>
        <w:t xml:space="preserve"> </w:t>
      </w:r>
      <w:r w:rsidRPr="000977F7">
        <w:rPr>
          <w:rFonts w:asciiTheme="majorHAnsi" w:hAnsiTheme="majorHAnsi"/>
          <w:sz w:val="20"/>
          <w:szCs w:val="20"/>
        </w:rPr>
        <w:t>передбачених законодавством,</w:t>
      </w:r>
      <w:r w:rsidRPr="000977F7">
        <w:rPr>
          <w:rFonts w:asciiTheme="majorHAnsi" w:hAnsiTheme="majorHAnsi"/>
          <w:spacing w:val="-1"/>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1"/>
          <w:sz w:val="20"/>
          <w:szCs w:val="20"/>
        </w:rPr>
        <w:t xml:space="preserve"> </w:t>
      </w:r>
      <w:r w:rsidRPr="000977F7">
        <w:rPr>
          <w:rFonts w:asciiTheme="majorHAnsi" w:hAnsiTheme="majorHAnsi"/>
          <w:sz w:val="20"/>
          <w:szCs w:val="20"/>
        </w:rPr>
        <w:t>судом.</w:t>
      </w:r>
    </w:p>
    <w:p w14:paraId="37110A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2. При</w:t>
      </w:r>
      <w:r w:rsidRPr="000977F7">
        <w:rPr>
          <w:rFonts w:asciiTheme="majorHAnsi" w:hAnsiTheme="majorHAnsi"/>
          <w:spacing w:val="1"/>
          <w:sz w:val="20"/>
          <w:szCs w:val="20"/>
        </w:rPr>
        <w:t xml:space="preserve"> </w:t>
      </w:r>
      <w:r w:rsidRPr="000977F7">
        <w:rPr>
          <w:rFonts w:asciiTheme="majorHAnsi" w:hAnsiTheme="majorHAnsi"/>
          <w:sz w:val="20"/>
          <w:szCs w:val="20"/>
        </w:rPr>
        <w:t>задоволенні</w:t>
      </w:r>
      <w:r w:rsidRPr="000977F7">
        <w:rPr>
          <w:rFonts w:asciiTheme="majorHAnsi" w:hAnsiTheme="majorHAnsi"/>
          <w:spacing w:val="1"/>
          <w:sz w:val="20"/>
          <w:szCs w:val="20"/>
        </w:rPr>
        <w:t xml:space="preserve"> </w:t>
      </w:r>
      <w:r w:rsidRPr="000977F7">
        <w:rPr>
          <w:rFonts w:asciiTheme="majorHAnsi" w:hAnsiTheme="majorHAnsi"/>
          <w:sz w:val="20"/>
          <w:szCs w:val="20"/>
        </w:rPr>
        <w:t>вимог</w:t>
      </w:r>
      <w:r w:rsidRPr="000977F7">
        <w:rPr>
          <w:rFonts w:asciiTheme="majorHAnsi" w:hAnsiTheme="majorHAnsi"/>
          <w:spacing w:val="1"/>
          <w:sz w:val="20"/>
          <w:szCs w:val="20"/>
        </w:rPr>
        <w:t xml:space="preserve"> </w:t>
      </w:r>
      <w:r w:rsidRPr="000977F7">
        <w:rPr>
          <w:rFonts w:asciiTheme="majorHAnsi" w:hAnsiTheme="majorHAnsi"/>
          <w:sz w:val="20"/>
          <w:szCs w:val="20"/>
        </w:rPr>
        <w:t>споживача</w:t>
      </w:r>
      <w:r w:rsidRPr="000977F7">
        <w:rPr>
          <w:rFonts w:asciiTheme="majorHAnsi" w:hAnsiTheme="majorHAnsi"/>
          <w:spacing w:val="1"/>
          <w:sz w:val="20"/>
          <w:szCs w:val="20"/>
        </w:rPr>
        <w:t xml:space="preserve"> </w:t>
      </w:r>
      <w:r w:rsidRPr="000977F7">
        <w:rPr>
          <w:rFonts w:asciiTheme="majorHAnsi" w:hAnsiTheme="majorHAnsi"/>
          <w:sz w:val="20"/>
          <w:szCs w:val="20"/>
        </w:rPr>
        <w:t>суд</w:t>
      </w:r>
      <w:r w:rsidRPr="000977F7">
        <w:rPr>
          <w:rFonts w:asciiTheme="majorHAnsi" w:hAnsiTheme="majorHAnsi"/>
          <w:spacing w:val="1"/>
          <w:sz w:val="20"/>
          <w:szCs w:val="20"/>
        </w:rPr>
        <w:t xml:space="preserve"> </w:t>
      </w:r>
      <w:r w:rsidRPr="000977F7">
        <w:rPr>
          <w:rFonts w:asciiTheme="majorHAnsi" w:hAnsiTheme="majorHAnsi"/>
          <w:sz w:val="20"/>
          <w:szCs w:val="20"/>
        </w:rPr>
        <w:t>одночасно</w:t>
      </w:r>
      <w:r w:rsidRPr="000977F7">
        <w:rPr>
          <w:rFonts w:asciiTheme="majorHAnsi" w:hAnsiTheme="majorHAnsi"/>
          <w:spacing w:val="1"/>
          <w:sz w:val="20"/>
          <w:szCs w:val="20"/>
        </w:rPr>
        <w:t xml:space="preserve"> </w:t>
      </w:r>
      <w:r w:rsidRPr="000977F7">
        <w:rPr>
          <w:rFonts w:asciiTheme="majorHAnsi" w:hAnsiTheme="majorHAnsi"/>
          <w:sz w:val="20"/>
          <w:szCs w:val="20"/>
        </w:rPr>
        <w:t>вирішує питання щодо відшкодування моральної (немайнової)</w:t>
      </w:r>
      <w:r w:rsidRPr="000977F7">
        <w:rPr>
          <w:rFonts w:asciiTheme="majorHAnsi" w:hAnsiTheme="majorHAnsi"/>
          <w:spacing w:val="-1"/>
          <w:sz w:val="20"/>
          <w:szCs w:val="20"/>
        </w:rPr>
        <w:t xml:space="preserve"> </w:t>
      </w:r>
      <w:r w:rsidRPr="000977F7">
        <w:rPr>
          <w:rFonts w:asciiTheme="majorHAnsi" w:hAnsiTheme="majorHAnsi"/>
          <w:sz w:val="20"/>
          <w:szCs w:val="20"/>
        </w:rPr>
        <w:t>шкоди.</w:t>
      </w:r>
    </w:p>
    <w:p w14:paraId="23DEE52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3. Споживачі звільняються від сплати судового збору</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2"/>
          <w:sz w:val="20"/>
          <w:szCs w:val="20"/>
        </w:rPr>
        <w:t xml:space="preserve"> </w:t>
      </w:r>
      <w:r w:rsidRPr="000977F7">
        <w:rPr>
          <w:rFonts w:asciiTheme="majorHAnsi" w:hAnsiTheme="majorHAnsi"/>
          <w:sz w:val="20"/>
          <w:szCs w:val="20"/>
        </w:rPr>
        <w:t>позовами,</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пов'язані</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2"/>
          <w:sz w:val="20"/>
          <w:szCs w:val="20"/>
        </w:rPr>
        <w:t xml:space="preserve"> </w:t>
      </w:r>
      <w:r w:rsidRPr="000977F7">
        <w:rPr>
          <w:rFonts w:asciiTheme="majorHAnsi" w:hAnsiTheme="majorHAnsi"/>
          <w:sz w:val="20"/>
          <w:szCs w:val="20"/>
        </w:rPr>
        <w:t>порушенням</w:t>
      </w:r>
      <w:r w:rsidRPr="000977F7">
        <w:rPr>
          <w:rFonts w:asciiTheme="majorHAnsi" w:hAnsiTheme="majorHAnsi"/>
          <w:spacing w:val="-2"/>
          <w:sz w:val="20"/>
          <w:szCs w:val="20"/>
        </w:rPr>
        <w:t xml:space="preserve"> </w:t>
      </w:r>
      <w:r w:rsidRPr="000977F7">
        <w:rPr>
          <w:rFonts w:asciiTheme="majorHAnsi" w:hAnsiTheme="majorHAnsi"/>
          <w:sz w:val="20"/>
          <w:szCs w:val="20"/>
        </w:rPr>
        <w:t>їх</w:t>
      </w:r>
      <w:r w:rsidRPr="000977F7">
        <w:rPr>
          <w:rFonts w:asciiTheme="majorHAnsi" w:hAnsiTheme="majorHAnsi"/>
          <w:spacing w:val="-2"/>
          <w:sz w:val="20"/>
          <w:szCs w:val="20"/>
        </w:rPr>
        <w:t xml:space="preserve"> </w:t>
      </w:r>
      <w:r w:rsidRPr="000977F7">
        <w:rPr>
          <w:rFonts w:asciiTheme="majorHAnsi" w:hAnsiTheme="majorHAnsi"/>
          <w:sz w:val="20"/>
          <w:szCs w:val="20"/>
        </w:rPr>
        <w:t>прав</w:t>
      </w:r>
    </w:p>
    <w:p w14:paraId="390AA65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7"/>
          <w:sz w:val="20"/>
          <w:szCs w:val="20"/>
        </w:rPr>
        <w:t xml:space="preserve"> </w:t>
      </w:r>
      <w:r w:rsidRPr="000977F7">
        <w:rPr>
          <w:rFonts w:asciiTheme="majorHAnsi" w:hAnsiTheme="majorHAnsi"/>
          <w:i/>
          <w:sz w:val="20"/>
          <w:szCs w:val="20"/>
        </w:rPr>
        <w:t>22</w:t>
      </w:r>
      <w:r w:rsidRPr="000977F7">
        <w:rPr>
          <w:rFonts w:asciiTheme="majorHAnsi" w:hAnsiTheme="majorHAnsi"/>
          <w:i/>
          <w:spacing w:val="-5"/>
          <w:sz w:val="20"/>
          <w:szCs w:val="20"/>
        </w:rPr>
        <w:t xml:space="preserve"> </w:t>
      </w:r>
      <w:r w:rsidRPr="000977F7">
        <w:rPr>
          <w:rFonts w:asciiTheme="majorHAnsi" w:hAnsiTheme="majorHAnsi"/>
          <w:i/>
          <w:sz w:val="20"/>
          <w:szCs w:val="20"/>
        </w:rPr>
        <w:t>закону</w:t>
      </w:r>
      <w:r w:rsidRPr="000977F7">
        <w:rPr>
          <w:rFonts w:asciiTheme="majorHAnsi" w:hAnsiTheme="majorHAnsi"/>
          <w:i/>
          <w:spacing w:val="-6"/>
          <w:sz w:val="20"/>
          <w:szCs w:val="20"/>
        </w:rPr>
        <w:t xml:space="preserve"> </w:t>
      </w:r>
      <w:r w:rsidRPr="000977F7">
        <w:rPr>
          <w:rFonts w:asciiTheme="majorHAnsi" w:hAnsiTheme="majorHAnsi"/>
          <w:i/>
          <w:sz w:val="20"/>
          <w:szCs w:val="20"/>
        </w:rPr>
        <w:t>України "Про</w:t>
      </w:r>
      <w:r w:rsidRPr="000977F7">
        <w:rPr>
          <w:rFonts w:asciiTheme="majorHAnsi" w:hAnsiTheme="majorHAnsi"/>
          <w:i/>
          <w:spacing w:val="-7"/>
          <w:sz w:val="20"/>
          <w:szCs w:val="20"/>
        </w:rPr>
        <w:t xml:space="preserve"> </w:t>
      </w:r>
      <w:r w:rsidRPr="000977F7">
        <w:rPr>
          <w:rFonts w:asciiTheme="majorHAnsi" w:hAnsiTheme="majorHAnsi"/>
          <w:i/>
          <w:sz w:val="20"/>
          <w:szCs w:val="20"/>
        </w:rPr>
        <w:t>захист</w:t>
      </w:r>
      <w:r w:rsidRPr="000977F7">
        <w:rPr>
          <w:rFonts w:asciiTheme="majorHAnsi" w:hAnsiTheme="majorHAnsi"/>
          <w:i/>
          <w:spacing w:val="-6"/>
          <w:sz w:val="20"/>
          <w:szCs w:val="20"/>
        </w:rPr>
        <w:t xml:space="preserve"> </w:t>
      </w:r>
      <w:r w:rsidRPr="000977F7">
        <w:rPr>
          <w:rFonts w:asciiTheme="majorHAnsi" w:hAnsiTheme="majorHAnsi"/>
          <w:i/>
          <w:sz w:val="20"/>
          <w:szCs w:val="20"/>
        </w:rPr>
        <w:t>прав</w:t>
      </w:r>
      <w:r w:rsidRPr="000977F7">
        <w:rPr>
          <w:rFonts w:asciiTheme="majorHAnsi" w:hAnsiTheme="majorHAnsi"/>
          <w:i/>
          <w:spacing w:val="-7"/>
          <w:sz w:val="20"/>
          <w:szCs w:val="20"/>
        </w:rPr>
        <w:t xml:space="preserve"> </w:t>
      </w:r>
      <w:r w:rsidRPr="000977F7">
        <w:rPr>
          <w:rFonts w:asciiTheme="majorHAnsi" w:hAnsiTheme="majorHAnsi"/>
          <w:i/>
          <w:sz w:val="20"/>
          <w:szCs w:val="20"/>
        </w:rPr>
        <w:t>споживачів"</w:t>
      </w:r>
    </w:p>
    <w:p w14:paraId="689C643E" w14:textId="77777777" w:rsidR="0097612F" w:rsidRPr="004D2D14" w:rsidRDefault="0097612F" w:rsidP="000977F7">
      <w:pPr>
        <w:tabs>
          <w:tab w:val="left" w:pos="284"/>
        </w:tabs>
        <w:spacing w:after="0" w:line="240" w:lineRule="auto"/>
        <w:ind w:left="170"/>
        <w:mirrorIndents/>
        <w:jc w:val="both"/>
        <w:rPr>
          <w:rFonts w:asciiTheme="majorHAnsi" w:hAnsiTheme="majorHAnsi"/>
          <w:spacing w:val="1"/>
          <w:sz w:val="20"/>
          <w:szCs w:val="20"/>
          <w:lang w:val="en-US"/>
        </w:rPr>
      </w:pPr>
      <w:r w:rsidRPr="000977F7">
        <w:rPr>
          <w:rFonts w:asciiTheme="majorHAnsi" w:hAnsiTheme="majorHAnsi"/>
          <w:b/>
          <w:sz w:val="20"/>
          <w:szCs w:val="20"/>
        </w:rPr>
        <w:t>СУКУПНЕ</w:t>
      </w:r>
      <w:r w:rsidRPr="004D2D14">
        <w:rPr>
          <w:rFonts w:asciiTheme="majorHAnsi" w:hAnsiTheme="majorHAnsi"/>
          <w:b/>
          <w:spacing w:val="-2"/>
          <w:sz w:val="20"/>
          <w:szCs w:val="20"/>
          <w:lang w:val="en-US"/>
        </w:rPr>
        <w:t xml:space="preserve"> </w:t>
      </w:r>
      <w:r w:rsidRPr="000977F7">
        <w:rPr>
          <w:rFonts w:asciiTheme="majorHAnsi" w:hAnsiTheme="majorHAnsi"/>
          <w:b/>
          <w:sz w:val="20"/>
          <w:szCs w:val="20"/>
        </w:rPr>
        <w:t>ВИМІРЮВАННЯ</w:t>
      </w:r>
      <w:r w:rsidRPr="004D2D14">
        <w:rPr>
          <w:rFonts w:asciiTheme="majorHAnsi" w:hAnsiTheme="majorHAnsi"/>
          <w:b/>
          <w:spacing w:val="2"/>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p>
    <w:p w14:paraId="52BE9C67"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MEASUREMENT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IN</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CLOSED</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SERIES</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7582FB40" w14:textId="77777777" w:rsidR="0097612F" w:rsidRPr="004D2D14" w:rsidRDefault="0097612F" w:rsidP="000977F7">
      <w:pPr>
        <w:pStyle w:val="af6"/>
        <w:tabs>
          <w:tab w:val="left" w:pos="284"/>
        </w:tabs>
        <w:spacing w:after="0"/>
        <w:ind w:left="170"/>
        <w:mirrorIndents/>
        <w:jc w:val="both"/>
        <w:rPr>
          <w:rFonts w:asciiTheme="majorHAnsi" w:hAnsiTheme="majorHAnsi"/>
          <w:spacing w:val="1"/>
          <w:w w:val="95"/>
          <w:sz w:val="20"/>
          <w:szCs w:val="20"/>
          <w:lang w:val="en-US"/>
        </w:rPr>
      </w:pPr>
      <w:r w:rsidRPr="000977F7">
        <w:rPr>
          <w:rFonts w:asciiTheme="majorHAnsi" w:hAnsiTheme="majorHAnsi"/>
          <w:spacing w:val="-1"/>
          <w:sz w:val="20"/>
          <w:szCs w:val="20"/>
        </w:rPr>
        <w:t>Непряме</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вимірювання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якому</w:t>
      </w:r>
      <w:r w:rsidRPr="004D2D14">
        <w:rPr>
          <w:rFonts w:asciiTheme="majorHAnsi" w:hAnsiTheme="majorHAnsi"/>
          <w:sz w:val="20"/>
          <w:szCs w:val="20"/>
          <w:lang w:val="en-US"/>
        </w:rPr>
        <w:t xml:space="preserve"> </w:t>
      </w:r>
      <w:r w:rsidRPr="000977F7">
        <w:rPr>
          <w:rFonts w:asciiTheme="majorHAnsi" w:hAnsiTheme="majorHAnsi"/>
          <w:sz w:val="20"/>
          <w:szCs w:val="20"/>
        </w:rPr>
        <w:t>значення</w:t>
      </w:r>
      <w:r w:rsidRPr="004D2D14">
        <w:rPr>
          <w:rFonts w:asciiTheme="majorHAnsi" w:hAnsiTheme="majorHAnsi"/>
          <w:sz w:val="20"/>
          <w:szCs w:val="20"/>
          <w:lang w:val="en-US"/>
        </w:rPr>
        <w:t xml:space="preserve"> </w:t>
      </w:r>
      <w:r w:rsidRPr="000977F7">
        <w:rPr>
          <w:rFonts w:asciiTheme="majorHAnsi" w:hAnsiTheme="majorHAnsi"/>
          <w:sz w:val="20"/>
          <w:szCs w:val="20"/>
        </w:rPr>
        <w:t>декількох</w:t>
      </w:r>
      <w:r w:rsidRPr="004D2D14">
        <w:rPr>
          <w:rFonts w:asciiTheme="majorHAnsi" w:hAnsiTheme="majorHAnsi"/>
          <w:sz w:val="20"/>
          <w:szCs w:val="20"/>
          <w:lang w:val="en-US"/>
        </w:rPr>
        <w:t xml:space="preserve"> </w:t>
      </w:r>
      <w:r w:rsidRPr="000977F7">
        <w:rPr>
          <w:rFonts w:asciiTheme="majorHAnsi" w:hAnsiTheme="majorHAnsi"/>
          <w:sz w:val="20"/>
          <w:szCs w:val="20"/>
        </w:rPr>
        <w:t>од</w:t>
      </w:r>
      <w:r w:rsidRPr="000977F7">
        <w:rPr>
          <w:rFonts w:asciiTheme="majorHAnsi" w:hAnsiTheme="majorHAnsi"/>
          <w:spacing w:val="-1"/>
          <w:sz w:val="20"/>
          <w:szCs w:val="20"/>
        </w:rPr>
        <w:t>ночасно</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вимірюваних</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однорідних</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величин</w:t>
      </w:r>
      <w:r w:rsidRPr="004D2D14">
        <w:rPr>
          <w:rFonts w:asciiTheme="majorHAnsi" w:hAnsiTheme="majorHAnsi"/>
          <w:spacing w:val="-1"/>
          <w:sz w:val="20"/>
          <w:szCs w:val="20"/>
          <w:lang w:val="en-US"/>
        </w:rPr>
        <w:t xml:space="preserve"> </w:t>
      </w:r>
      <w:r w:rsidRPr="000977F7">
        <w:rPr>
          <w:rFonts w:asciiTheme="majorHAnsi" w:hAnsiTheme="majorHAnsi"/>
          <w:sz w:val="20"/>
          <w:szCs w:val="20"/>
        </w:rPr>
        <w:t>отримують</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розв</w:t>
      </w:r>
      <w:r w:rsidRPr="004D2D14">
        <w:rPr>
          <w:rFonts w:asciiTheme="majorHAnsi" w:hAnsiTheme="majorHAnsi"/>
          <w:spacing w:val="-1"/>
          <w:sz w:val="20"/>
          <w:szCs w:val="20"/>
          <w:lang w:val="en-US"/>
        </w:rPr>
        <w:t>’</w:t>
      </w:r>
      <w:r w:rsidRPr="000977F7">
        <w:rPr>
          <w:rFonts w:asciiTheme="majorHAnsi" w:hAnsiTheme="majorHAnsi"/>
          <w:spacing w:val="-1"/>
          <w:sz w:val="20"/>
          <w:szCs w:val="20"/>
        </w:rPr>
        <w:t>язанням</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рівнянь</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що</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пов</w:t>
      </w:r>
      <w:r w:rsidRPr="004D2D14">
        <w:rPr>
          <w:rFonts w:asciiTheme="majorHAnsi" w:hAnsiTheme="majorHAnsi"/>
          <w:spacing w:val="-1"/>
          <w:sz w:val="20"/>
          <w:szCs w:val="20"/>
          <w:lang w:val="en-US"/>
        </w:rPr>
        <w:t>’</w:t>
      </w:r>
      <w:r w:rsidRPr="000977F7">
        <w:rPr>
          <w:rFonts w:asciiTheme="majorHAnsi" w:hAnsiTheme="majorHAnsi"/>
          <w:spacing w:val="-1"/>
          <w:sz w:val="20"/>
          <w:szCs w:val="20"/>
        </w:rPr>
        <w:t>язують</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різні</w:t>
      </w:r>
      <w:r w:rsidRPr="004D2D14">
        <w:rPr>
          <w:rFonts w:asciiTheme="majorHAnsi" w:hAnsiTheme="majorHAnsi"/>
          <w:spacing w:val="-1"/>
          <w:sz w:val="20"/>
          <w:szCs w:val="20"/>
          <w:lang w:val="en-US"/>
        </w:rPr>
        <w:t xml:space="preserve"> </w:t>
      </w:r>
      <w:r w:rsidRPr="000977F7">
        <w:rPr>
          <w:rFonts w:asciiTheme="majorHAnsi" w:hAnsiTheme="majorHAnsi"/>
          <w:sz w:val="20"/>
          <w:szCs w:val="20"/>
        </w:rPr>
        <w:t>сполучення</w:t>
      </w:r>
      <w:r w:rsidRPr="004D2D14">
        <w:rPr>
          <w:rFonts w:asciiTheme="majorHAnsi" w:hAnsiTheme="majorHAnsi"/>
          <w:spacing w:val="-47"/>
          <w:sz w:val="20"/>
          <w:szCs w:val="20"/>
          <w:lang w:val="en-US"/>
        </w:rPr>
        <w:t xml:space="preserve"> </w:t>
      </w:r>
      <w:r w:rsidRPr="000977F7">
        <w:rPr>
          <w:rFonts w:asciiTheme="majorHAnsi" w:hAnsiTheme="majorHAnsi"/>
          <w:w w:val="95"/>
          <w:sz w:val="20"/>
          <w:szCs w:val="20"/>
        </w:rPr>
        <w:t>цих</w:t>
      </w:r>
      <w:r w:rsidRPr="004D2D14">
        <w:rPr>
          <w:rFonts w:asciiTheme="majorHAnsi" w:hAnsiTheme="majorHAnsi"/>
          <w:w w:val="95"/>
          <w:sz w:val="20"/>
          <w:szCs w:val="20"/>
          <w:lang w:val="en-US"/>
        </w:rPr>
        <w:t xml:space="preserve"> </w:t>
      </w:r>
      <w:r w:rsidRPr="000977F7">
        <w:rPr>
          <w:rFonts w:asciiTheme="majorHAnsi" w:hAnsiTheme="majorHAnsi"/>
          <w:w w:val="95"/>
          <w:sz w:val="20"/>
          <w:szCs w:val="20"/>
        </w:rPr>
        <w:t>величин</w:t>
      </w:r>
      <w:r w:rsidRPr="004D2D14">
        <w:rPr>
          <w:rFonts w:asciiTheme="majorHAnsi" w:hAnsiTheme="majorHAnsi"/>
          <w:w w:val="95"/>
          <w:sz w:val="20"/>
          <w:szCs w:val="20"/>
          <w:lang w:val="en-US"/>
        </w:rPr>
        <w:t xml:space="preserve">, </w:t>
      </w:r>
      <w:r w:rsidRPr="000977F7">
        <w:rPr>
          <w:rFonts w:asciiTheme="majorHAnsi" w:hAnsiTheme="majorHAnsi"/>
          <w:w w:val="95"/>
          <w:sz w:val="20"/>
          <w:szCs w:val="20"/>
        </w:rPr>
        <w:t>які</w:t>
      </w:r>
      <w:r w:rsidRPr="004D2D14">
        <w:rPr>
          <w:rFonts w:asciiTheme="majorHAnsi" w:hAnsiTheme="majorHAnsi"/>
          <w:w w:val="95"/>
          <w:sz w:val="20"/>
          <w:szCs w:val="20"/>
          <w:lang w:val="en-US"/>
        </w:rPr>
        <w:t xml:space="preserve"> </w:t>
      </w:r>
      <w:r w:rsidRPr="000977F7">
        <w:rPr>
          <w:rFonts w:asciiTheme="majorHAnsi" w:hAnsiTheme="majorHAnsi"/>
          <w:w w:val="95"/>
          <w:sz w:val="20"/>
          <w:szCs w:val="20"/>
        </w:rPr>
        <w:t>вимірюються</w:t>
      </w:r>
      <w:r w:rsidRPr="004D2D14">
        <w:rPr>
          <w:rFonts w:asciiTheme="majorHAnsi" w:hAnsiTheme="majorHAnsi"/>
          <w:w w:val="95"/>
          <w:sz w:val="20"/>
          <w:szCs w:val="20"/>
          <w:lang w:val="en-US"/>
        </w:rPr>
        <w:t xml:space="preserve"> </w:t>
      </w:r>
      <w:r w:rsidRPr="000977F7">
        <w:rPr>
          <w:rFonts w:asciiTheme="majorHAnsi" w:hAnsiTheme="majorHAnsi"/>
          <w:w w:val="95"/>
          <w:sz w:val="20"/>
          <w:szCs w:val="20"/>
        </w:rPr>
        <w:t>прямо</w:t>
      </w:r>
      <w:r w:rsidRPr="004D2D14">
        <w:rPr>
          <w:rFonts w:asciiTheme="majorHAnsi" w:hAnsiTheme="majorHAnsi"/>
          <w:w w:val="95"/>
          <w:sz w:val="20"/>
          <w:szCs w:val="20"/>
          <w:lang w:val="en-US"/>
        </w:rPr>
        <w:t xml:space="preserve"> </w:t>
      </w:r>
      <w:r w:rsidRPr="000977F7">
        <w:rPr>
          <w:rFonts w:asciiTheme="majorHAnsi" w:hAnsiTheme="majorHAnsi"/>
          <w:w w:val="95"/>
          <w:sz w:val="20"/>
          <w:szCs w:val="20"/>
        </w:rPr>
        <w:t>чи</w:t>
      </w:r>
      <w:r w:rsidRPr="004D2D14">
        <w:rPr>
          <w:rFonts w:asciiTheme="majorHAnsi" w:hAnsiTheme="majorHAnsi"/>
          <w:w w:val="95"/>
          <w:sz w:val="20"/>
          <w:szCs w:val="20"/>
          <w:lang w:val="en-US"/>
        </w:rPr>
        <w:t xml:space="preserve"> </w:t>
      </w:r>
      <w:r w:rsidRPr="000977F7">
        <w:rPr>
          <w:rFonts w:asciiTheme="majorHAnsi" w:hAnsiTheme="majorHAnsi"/>
          <w:w w:val="95"/>
          <w:sz w:val="20"/>
          <w:szCs w:val="20"/>
        </w:rPr>
        <w:t>опосередковано</w:t>
      </w:r>
      <w:r w:rsidRPr="004D2D14">
        <w:rPr>
          <w:rFonts w:asciiTheme="majorHAnsi" w:hAnsiTheme="majorHAnsi"/>
          <w:spacing w:val="1"/>
          <w:w w:val="95"/>
          <w:sz w:val="20"/>
          <w:szCs w:val="20"/>
          <w:lang w:val="en-US"/>
        </w:rPr>
        <w:t xml:space="preserve"> </w:t>
      </w:r>
    </w:p>
    <w:p w14:paraId="3CEDAC4E"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04F7EF1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СУМІСНЕ</w:t>
      </w:r>
      <w:r w:rsidRPr="000977F7">
        <w:rPr>
          <w:color w:val="auto"/>
          <w:spacing w:val="-5"/>
          <w:sz w:val="20"/>
          <w:szCs w:val="20"/>
        </w:rPr>
        <w:t xml:space="preserve"> </w:t>
      </w:r>
      <w:r w:rsidRPr="000977F7">
        <w:rPr>
          <w:color w:val="auto"/>
          <w:sz w:val="20"/>
          <w:szCs w:val="20"/>
        </w:rPr>
        <w:t>ВИМІРЮВАННЯ</w:t>
      </w:r>
      <w:r w:rsidRPr="000977F7">
        <w:rPr>
          <w:color w:val="auto"/>
          <w:spacing w:val="-2"/>
          <w:sz w:val="20"/>
          <w:szCs w:val="20"/>
        </w:rPr>
        <w:t xml:space="preserve"> </w:t>
      </w:r>
      <w:r w:rsidRPr="000977F7">
        <w:rPr>
          <w:color w:val="auto"/>
          <w:sz w:val="20"/>
          <w:szCs w:val="20"/>
        </w:rPr>
        <w:t>–</w:t>
      </w:r>
    </w:p>
    <w:p w14:paraId="369C65DA" w14:textId="77777777" w:rsidR="0097612F" w:rsidRPr="004D2D14" w:rsidRDefault="0097612F" w:rsidP="000977F7">
      <w:pPr>
        <w:pStyle w:val="af6"/>
        <w:tabs>
          <w:tab w:val="left" w:pos="284"/>
        </w:tabs>
        <w:spacing w:after="0"/>
        <w:ind w:left="170"/>
        <w:mirrorIndents/>
        <w:jc w:val="both"/>
        <w:rPr>
          <w:rFonts w:asciiTheme="majorHAnsi" w:hAnsiTheme="majorHAnsi"/>
          <w:spacing w:val="-3"/>
          <w:sz w:val="20"/>
          <w:szCs w:val="20"/>
          <w:lang w:val="en-US"/>
        </w:rPr>
      </w:pPr>
      <w:r w:rsidRPr="000977F7">
        <w:rPr>
          <w:rFonts w:asciiTheme="majorHAnsi" w:hAnsiTheme="majorHAnsi"/>
          <w:sz w:val="20"/>
          <w:szCs w:val="20"/>
        </w:rPr>
        <w:t>Непряме</w:t>
      </w:r>
      <w:r w:rsidRPr="004D2D14">
        <w:rPr>
          <w:rFonts w:asciiTheme="majorHAnsi" w:hAnsiTheme="majorHAnsi"/>
          <w:spacing w:val="9"/>
          <w:sz w:val="20"/>
          <w:szCs w:val="20"/>
          <w:lang w:val="en-US"/>
        </w:rPr>
        <w:t xml:space="preserve"> </w:t>
      </w:r>
      <w:r w:rsidRPr="000977F7">
        <w:rPr>
          <w:rFonts w:asciiTheme="majorHAnsi" w:hAnsiTheme="majorHAnsi"/>
          <w:sz w:val="20"/>
          <w:szCs w:val="20"/>
        </w:rPr>
        <w:t>вимірювання</w:t>
      </w:r>
      <w:r w:rsidRPr="004D2D14">
        <w:rPr>
          <w:rFonts w:asciiTheme="majorHAnsi" w:hAnsiTheme="majorHAnsi"/>
          <w:sz w:val="20"/>
          <w:szCs w:val="20"/>
          <w:lang w:val="en-US"/>
        </w:rPr>
        <w:t>,</w:t>
      </w:r>
      <w:r w:rsidRPr="004D2D14">
        <w:rPr>
          <w:rFonts w:asciiTheme="majorHAnsi" w:hAnsiTheme="majorHAnsi"/>
          <w:spacing w:val="9"/>
          <w:sz w:val="20"/>
          <w:szCs w:val="20"/>
          <w:lang w:val="en-US"/>
        </w:rPr>
        <w:t xml:space="preserve"> </w:t>
      </w:r>
      <w:r w:rsidRPr="000977F7">
        <w:rPr>
          <w:rFonts w:asciiTheme="majorHAnsi" w:hAnsiTheme="majorHAnsi"/>
          <w:sz w:val="20"/>
          <w:szCs w:val="20"/>
        </w:rPr>
        <w:t>в</w:t>
      </w:r>
      <w:r w:rsidRPr="004D2D14">
        <w:rPr>
          <w:rFonts w:asciiTheme="majorHAnsi" w:hAnsiTheme="majorHAnsi"/>
          <w:spacing w:val="8"/>
          <w:sz w:val="20"/>
          <w:szCs w:val="20"/>
          <w:lang w:val="en-US"/>
        </w:rPr>
        <w:t xml:space="preserve"> </w:t>
      </w:r>
      <w:r w:rsidRPr="000977F7">
        <w:rPr>
          <w:rFonts w:asciiTheme="majorHAnsi" w:hAnsiTheme="majorHAnsi"/>
          <w:sz w:val="20"/>
          <w:szCs w:val="20"/>
        </w:rPr>
        <w:t>якому</w:t>
      </w:r>
      <w:r w:rsidRPr="004D2D14">
        <w:rPr>
          <w:rFonts w:asciiTheme="majorHAnsi" w:hAnsiTheme="majorHAnsi"/>
          <w:spacing w:val="6"/>
          <w:sz w:val="20"/>
          <w:szCs w:val="20"/>
          <w:lang w:val="en-US"/>
        </w:rPr>
        <w:t xml:space="preserve"> </w:t>
      </w:r>
      <w:r w:rsidRPr="000977F7">
        <w:rPr>
          <w:rFonts w:asciiTheme="majorHAnsi" w:hAnsiTheme="majorHAnsi"/>
          <w:sz w:val="20"/>
          <w:szCs w:val="20"/>
        </w:rPr>
        <w:t>значення</w:t>
      </w:r>
      <w:r w:rsidRPr="004D2D14">
        <w:rPr>
          <w:rFonts w:asciiTheme="majorHAnsi" w:hAnsiTheme="majorHAnsi"/>
          <w:spacing w:val="8"/>
          <w:sz w:val="20"/>
          <w:szCs w:val="20"/>
          <w:lang w:val="en-US"/>
        </w:rPr>
        <w:t xml:space="preserve"> </w:t>
      </w:r>
      <w:r w:rsidRPr="000977F7">
        <w:rPr>
          <w:rFonts w:asciiTheme="majorHAnsi" w:hAnsiTheme="majorHAnsi"/>
          <w:sz w:val="20"/>
          <w:szCs w:val="20"/>
        </w:rPr>
        <w:t>декількох</w:t>
      </w:r>
      <w:r w:rsidRPr="004D2D14">
        <w:rPr>
          <w:rFonts w:asciiTheme="majorHAnsi" w:hAnsiTheme="majorHAnsi"/>
          <w:spacing w:val="-47"/>
          <w:sz w:val="20"/>
          <w:szCs w:val="20"/>
          <w:lang w:val="en-US"/>
        </w:rPr>
        <w:t xml:space="preserve"> </w:t>
      </w:r>
      <w:r w:rsidRPr="000977F7">
        <w:rPr>
          <w:rFonts w:asciiTheme="majorHAnsi" w:hAnsiTheme="majorHAnsi"/>
          <w:sz w:val="20"/>
          <w:szCs w:val="20"/>
        </w:rPr>
        <w:t>одночасно</w:t>
      </w:r>
      <w:r w:rsidRPr="004D2D14">
        <w:rPr>
          <w:rFonts w:asciiTheme="majorHAnsi" w:hAnsiTheme="majorHAnsi"/>
          <w:spacing w:val="10"/>
          <w:sz w:val="20"/>
          <w:szCs w:val="20"/>
          <w:lang w:val="en-US"/>
        </w:rPr>
        <w:t xml:space="preserve"> </w:t>
      </w:r>
      <w:r w:rsidRPr="000977F7">
        <w:rPr>
          <w:rFonts w:asciiTheme="majorHAnsi" w:hAnsiTheme="majorHAnsi"/>
          <w:sz w:val="20"/>
          <w:szCs w:val="20"/>
        </w:rPr>
        <w:t>вимірюваних</w:t>
      </w:r>
      <w:r w:rsidRPr="004D2D14">
        <w:rPr>
          <w:rFonts w:asciiTheme="majorHAnsi" w:hAnsiTheme="majorHAnsi"/>
          <w:spacing w:val="9"/>
          <w:sz w:val="20"/>
          <w:szCs w:val="20"/>
          <w:lang w:val="en-US"/>
        </w:rPr>
        <w:t xml:space="preserve"> </w:t>
      </w:r>
      <w:r w:rsidRPr="000977F7">
        <w:rPr>
          <w:rFonts w:asciiTheme="majorHAnsi" w:hAnsiTheme="majorHAnsi"/>
          <w:sz w:val="20"/>
          <w:szCs w:val="20"/>
        </w:rPr>
        <w:t>різнорідних</w:t>
      </w:r>
      <w:r w:rsidRPr="004D2D14">
        <w:rPr>
          <w:rFonts w:asciiTheme="majorHAnsi" w:hAnsiTheme="majorHAnsi"/>
          <w:spacing w:val="8"/>
          <w:sz w:val="20"/>
          <w:szCs w:val="20"/>
          <w:lang w:val="en-US"/>
        </w:rPr>
        <w:t xml:space="preserve"> </w:t>
      </w:r>
      <w:r w:rsidRPr="000977F7">
        <w:rPr>
          <w:rFonts w:asciiTheme="majorHAnsi" w:hAnsiTheme="majorHAnsi"/>
          <w:sz w:val="20"/>
          <w:szCs w:val="20"/>
        </w:rPr>
        <w:t>величин</w:t>
      </w:r>
      <w:r w:rsidRPr="004D2D14">
        <w:rPr>
          <w:rFonts w:asciiTheme="majorHAnsi" w:hAnsiTheme="majorHAnsi"/>
          <w:spacing w:val="8"/>
          <w:sz w:val="20"/>
          <w:szCs w:val="20"/>
          <w:lang w:val="en-US"/>
        </w:rPr>
        <w:t xml:space="preserve"> </w:t>
      </w:r>
      <w:r w:rsidRPr="000977F7">
        <w:rPr>
          <w:rFonts w:asciiTheme="majorHAnsi" w:hAnsiTheme="majorHAnsi"/>
          <w:sz w:val="20"/>
          <w:szCs w:val="20"/>
        </w:rPr>
        <w:t>отримують</w:t>
      </w:r>
      <w:r w:rsidRPr="004D2D14">
        <w:rPr>
          <w:rFonts w:asciiTheme="majorHAnsi" w:hAnsiTheme="majorHAnsi"/>
          <w:spacing w:val="6"/>
          <w:sz w:val="20"/>
          <w:szCs w:val="20"/>
          <w:lang w:val="en-US"/>
        </w:rPr>
        <w:t xml:space="preserve"> </w:t>
      </w:r>
      <w:r w:rsidRPr="000977F7">
        <w:rPr>
          <w:rFonts w:asciiTheme="majorHAnsi" w:hAnsiTheme="majorHAnsi"/>
          <w:sz w:val="20"/>
          <w:szCs w:val="20"/>
        </w:rPr>
        <w:t>розв</w:t>
      </w:r>
      <w:r w:rsidRPr="004D2D14">
        <w:rPr>
          <w:rFonts w:asciiTheme="majorHAnsi" w:hAnsiTheme="majorHAnsi"/>
          <w:sz w:val="20"/>
          <w:szCs w:val="20"/>
          <w:lang w:val="en-US"/>
        </w:rPr>
        <w:t>’</w:t>
      </w:r>
      <w:r w:rsidRPr="000977F7">
        <w:rPr>
          <w:rFonts w:asciiTheme="majorHAnsi" w:hAnsiTheme="majorHAnsi"/>
          <w:sz w:val="20"/>
          <w:szCs w:val="20"/>
        </w:rPr>
        <w:t>язанням</w:t>
      </w:r>
      <w:r w:rsidRPr="004D2D14">
        <w:rPr>
          <w:rFonts w:asciiTheme="majorHAnsi" w:hAnsiTheme="majorHAnsi"/>
          <w:spacing w:val="9"/>
          <w:sz w:val="20"/>
          <w:szCs w:val="20"/>
          <w:lang w:val="en-US"/>
        </w:rPr>
        <w:t xml:space="preserve"> </w:t>
      </w:r>
      <w:r w:rsidRPr="000977F7">
        <w:rPr>
          <w:rFonts w:asciiTheme="majorHAnsi" w:hAnsiTheme="majorHAnsi"/>
          <w:sz w:val="20"/>
          <w:szCs w:val="20"/>
        </w:rPr>
        <w:t>рівнянь</w:t>
      </w:r>
      <w:r w:rsidRPr="004D2D14">
        <w:rPr>
          <w:rFonts w:asciiTheme="majorHAnsi" w:hAnsiTheme="majorHAnsi"/>
          <w:sz w:val="20"/>
          <w:szCs w:val="20"/>
          <w:lang w:val="en-US"/>
        </w:rPr>
        <w:t>,</w:t>
      </w:r>
      <w:r w:rsidRPr="004D2D14">
        <w:rPr>
          <w:rFonts w:asciiTheme="majorHAnsi" w:hAnsiTheme="majorHAnsi"/>
          <w:spacing w:val="7"/>
          <w:sz w:val="20"/>
          <w:szCs w:val="20"/>
          <w:lang w:val="en-US"/>
        </w:rPr>
        <w:t xml:space="preserve"> </w:t>
      </w:r>
      <w:r w:rsidRPr="000977F7">
        <w:rPr>
          <w:rFonts w:asciiTheme="majorHAnsi" w:hAnsiTheme="majorHAnsi"/>
          <w:sz w:val="20"/>
          <w:szCs w:val="20"/>
        </w:rPr>
        <w:t>які</w:t>
      </w:r>
      <w:r w:rsidRPr="004D2D14">
        <w:rPr>
          <w:rFonts w:asciiTheme="majorHAnsi" w:hAnsiTheme="majorHAnsi"/>
          <w:spacing w:val="8"/>
          <w:sz w:val="20"/>
          <w:szCs w:val="20"/>
          <w:lang w:val="en-US"/>
        </w:rPr>
        <w:t xml:space="preserve"> </w:t>
      </w:r>
      <w:r w:rsidRPr="000977F7">
        <w:rPr>
          <w:rFonts w:asciiTheme="majorHAnsi" w:hAnsiTheme="majorHAnsi"/>
          <w:sz w:val="20"/>
          <w:szCs w:val="20"/>
        </w:rPr>
        <w:t>пов</w:t>
      </w:r>
      <w:r w:rsidRPr="004D2D14">
        <w:rPr>
          <w:rFonts w:asciiTheme="majorHAnsi" w:hAnsiTheme="majorHAnsi"/>
          <w:sz w:val="20"/>
          <w:szCs w:val="20"/>
          <w:lang w:val="en-US"/>
        </w:rPr>
        <w:t>’</w:t>
      </w:r>
      <w:r w:rsidRPr="000977F7">
        <w:rPr>
          <w:rFonts w:asciiTheme="majorHAnsi" w:hAnsiTheme="majorHAnsi"/>
          <w:sz w:val="20"/>
          <w:szCs w:val="20"/>
        </w:rPr>
        <w:t>язують</w:t>
      </w:r>
      <w:r w:rsidRPr="004D2D14">
        <w:rPr>
          <w:rFonts w:asciiTheme="majorHAnsi" w:hAnsiTheme="majorHAnsi"/>
          <w:spacing w:val="9"/>
          <w:sz w:val="20"/>
          <w:szCs w:val="20"/>
          <w:lang w:val="en-US"/>
        </w:rPr>
        <w:t xml:space="preserve"> </w:t>
      </w:r>
      <w:r w:rsidRPr="000977F7">
        <w:rPr>
          <w:rFonts w:asciiTheme="majorHAnsi" w:hAnsiTheme="majorHAnsi"/>
          <w:sz w:val="20"/>
          <w:szCs w:val="20"/>
        </w:rPr>
        <w:t>їх</w:t>
      </w:r>
      <w:r w:rsidRPr="004D2D14">
        <w:rPr>
          <w:rFonts w:asciiTheme="majorHAnsi" w:hAnsiTheme="majorHAnsi"/>
          <w:spacing w:val="8"/>
          <w:sz w:val="20"/>
          <w:szCs w:val="20"/>
          <w:lang w:val="en-US"/>
        </w:rPr>
        <w:t xml:space="preserve"> </w:t>
      </w:r>
      <w:r w:rsidRPr="000977F7">
        <w:rPr>
          <w:rFonts w:asciiTheme="majorHAnsi" w:hAnsiTheme="majorHAnsi"/>
          <w:sz w:val="20"/>
          <w:szCs w:val="20"/>
        </w:rPr>
        <w:t>з</w:t>
      </w:r>
      <w:r w:rsidRPr="004D2D14">
        <w:rPr>
          <w:rFonts w:asciiTheme="majorHAnsi" w:hAnsiTheme="majorHAnsi"/>
          <w:spacing w:val="7"/>
          <w:sz w:val="20"/>
          <w:szCs w:val="20"/>
          <w:lang w:val="en-US"/>
        </w:rPr>
        <w:t xml:space="preserve"> </w:t>
      </w:r>
      <w:r w:rsidRPr="000977F7">
        <w:rPr>
          <w:rFonts w:asciiTheme="majorHAnsi" w:hAnsiTheme="majorHAnsi"/>
          <w:sz w:val="20"/>
          <w:szCs w:val="20"/>
        </w:rPr>
        <w:t>іншими</w:t>
      </w:r>
      <w:r w:rsidRPr="004D2D14">
        <w:rPr>
          <w:rFonts w:asciiTheme="majorHAnsi" w:hAnsiTheme="majorHAnsi"/>
          <w:spacing w:val="-47"/>
          <w:sz w:val="20"/>
          <w:szCs w:val="20"/>
          <w:lang w:val="en-US"/>
        </w:rPr>
        <w:t xml:space="preserve"> </w:t>
      </w:r>
      <w:r w:rsidRPr="000977F7">
        <w:rPr>
          <w:rFonts w:asciiTheme="majorHAnsi" w:hAnsiTheme="majorHAnsi"/>
          <w:spacing w:val="-5"/>
          <w:sz w:val="20"/>
          <w:szCs w:val="20"/>
        </w:rPr>
        <w:t>величинами</w:t>
      </w:r>
      <w:r w:rsidRPr="004D2D14">
        <w:rPr>
          <w:rFonts w:asciiTheme="majorHAnsi" w:hAnsiTheme="majorHAnsi"/>
          <w:spacing w:val="-5"/>
          <w:sz w:val="20"/>
          <w:szCs w:val="20"/>
          <w:lang w:val="en-US"/>
        </w:rPr>
        <w:t xml:space="preserve">, </w:t>
      </w:r>
      <w:r w:rsidRPr="000977F7">
        <w:rPr>
          <w:rFonts w:asciiTheme="majorHAnsi" w:hAnsiTheme="majorHAnsi"/>
          <w:spacing w:val="-4"/>
          <w:sz w:val="20"/>
          <w:szCs w:val="20"/>
        </w:rPr>
        <w:t>що</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вимірюються</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прямо</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чи</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опосередковано</w:t>
      </w:r>
      <w:r w:rsidRPr="004D2D14">
        <w:rPr>
          <w:rFonts w:asciiTheme="majorHAnsi" w:hAnsiTheme="majorHAnsi"/>
          <w:spacing w:val="-3"/>
          <w:sz w:val="20"/>
          <w:szCs w:val="20"/>
          <w:lang w:val="en-US"/>
        </w:rPr>
        <w:t xml:space="preserve"> </w:t>
      </w:r>
    </w:p>
    <w:p w14:paraId="28FC38E2"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6F1F040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СУМІСНІСТЬ</w:t>
      </w:r>
      <w:r w:rsidRPr="000977F7">
        <w:rPr>
          <w:color w:val="auto"/>
          <w:spacing w:val="-4"/>
          <w:sz w:val="20"/>
          <w:szCs w:val="20"/>
        </w:rPr>
        <w:t xml:space="preserve"> </w:t>
      </w:r>
      <w:r w:rsidRPr="000977F7">
        <w:rPr>
          <w:color w:val="auto"/>
          <w:sz w:val="20"/>
          <w:szCs w:val="20"/>
        </w:rPr>
        <w:t>–</w:t>
      </w:r>
    </w:p>
    <w:p w14:paraId="13EA56C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COMPATIBILITY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010398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Придатність</w:t>
      </w:r>
      <w:r w:rsidRPr="004D2D14">
        <w:rPr>
          <w:rFonts w:asciiTheme="majorHAnsi" w:hAnsiTheme="majorHAnsi"/>
          <w:spacing w:val="20"/>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єктів</w:t>
      </w:r>
      <w:r w:rsidRPr="004D2D14">
        <w:rPr>
          <w:rFonts w:asciiTheme="majorHAnsi" w:hAnsiTheme="majorHAnsi"/>
          <w:spacing w:val="22"/>
          <w:sz w:val="20"/>
          <w:szCs w:val="20"/>
          <w:lang w:val="en-US"/>
        </w:rPr>
        <w:t xml:space="preserve"> </w:t>
      </w:r>
      <w:r w:rsidRPr="000977F7">
        <w:rPr>
          <w:rFonts w:asciiTheme="majorHAnsi" w:hAnsiTheme="majorHAnsi"/>
          <w:sz w:val="20"/>
          <w:szCs w:val="20"/>
        </w:rPr>
        <w:t>до</w:t>
      </w:r>
      <w:r w:rsidRPr="004D2D14">
        <w:rPr>
          <w:rFonts w:asciiTheme="majorHAnsi" w:hAnsiTheme="majorHAnsi"/>
          <w:spacing w:val="21"/>
          <w:sz w:val="20"/>
          <w:szCs w:val="20"/>
          <w:lang w:val="en-US"/>
        </w:rPr>
        <w:t xml:space="preserve"> </w:t>
      </w:r>
      <w:r w:rsidRPr="000977F7">
        <w:rPr>
          <w:rFonts w:asciiTheme="majorHAnsi" w:hAnsiTheme="majorHAnsi"/>
          <w:sz w:val="20"/>
          <w:szCs w:val="20"/>
        </w:rPr>
        <w:t>спільного</w:t>
      </w:r>
      <w:r w:rsidRPr="004D2D14">
        <w:rPr>
          <w:rFonts w:asciiTheme="majorHAnsi" w:hAnsiTheme="majorHAnsi"/>
          <w:spacing w:val="21"/>
          <w:sz w:val="20"/>
          <w:szCs w:val="20"/>
          <w:lang w:val="en-US"/>
        </w:rPr>
        <w:t xml:space="preserve"> </w:t>
      </w:r>
      <w:r w:rsidRPr="000977F7">
        <w:rPr>
          <w:rFonts w:asciiTheme="majorHAnsi" w:hAnsiTheme="majorHAnsi"/>
          <w:sz w:val="20"/>
          <w:szCs w:val="20"/>
        </w:rPr>
        <w:t>використання</w:t>
      </w:r>
      <w:r w:rsidRPr="004D2D14">
        <w:rPr>
          <w:rFonts w:asciiTheme="majorHAnsi" w:hAnsiTheme="majorHAnsi"/>
          <w:spacing w:val="22"/>
          <w:sz w:val="20"/>
          <w:szCs w:val="20"/>
          <w:lang w:val="en-US"/>
        </w:rPr>
        <w:t xml:space="preserve"> </w:t>
      </w:r>
      <w:r w:rsidRPr="000977F7">
        <w:rPr>
          <w:rFonts w:asciiTheme="majorHAnsi" w:hAnsiTheme="majorHAnsi"/>
          <w:sz w:val="20"/>
          <w:szCs w:val="20"/>
        </w:rPr>
        <w:t>у</w:t>
      </w:r>
      <w:r w:rsidRPr="004D2D14">
        <w:rPr>
          <w:rFonts w:asciiTheme="majorHAnsi" w:hAnsiTheme="majorHAnsi"/>
          <w:spacing w:val="-47"/>
          <w:sz w:val="20"/>
          <w:szCs w:val="20"/>
          <w:lang w:val="en-US"/>
        </w:rPr>
        <w:t xml:space="preserve"> </w:t>
      </w:r>
      <w:r w:rsidRPr="000977F7">
        <w:rPr>
          <w:rFonts w:asciiTheme="majorHAnsi" w:hAnsiTheme="majorHAnsi"/>
          <w:sz w:val="20"/>
          <w:szCs w:val="20"/>
        </w:rPr>
        <w:t>конкретних</w:t>
      </w:r>
      <w:r w:rsidRPr="004D2D14">
        <w:rPr>
          <w:rFonts w:asciiTheme="majorHAnsi" w:hAnsiTheme="majorHAnsi"/>
          <w:sz w:val="20"/>
          <w:szCs w:val="20"/>
          <w:lang w:val="en-US"/>
        </w:rPr>
        <w:t xml:space="preserve"> </w:t>
      </w:r>
      <w:r w:rsidRPr="000977F7">
        <w:rPr>
          <w:rFonts w:asciiTheme="majorHAnsi" w:hAnsiTheme="majorHAnsi"/>
          <w:sz w:val="20"/>
          <w:szCs w:val="20"/>
        </w:rPr>
        <w:t>умовах</w:t>
      </w:r>
      <w:r w:rsidRPr="004D2D14">
        <w:rPr>
          <w:rFonts w:asciiTheme="majorHAnsi" w:hAnsiTheme="majorHAnsi"/>
          <w:sz w:val="20"/>
          <w:szCs w:val="20"/>
          <w:lang w:val="en-US"/>
        </w:rPr>
        <w:t xml:space="preserve"> </w:t>
      </w:r>
      <w:r w:rsidRPr="000977F7">
        <w:rPr>
          <w:rFonts w:asciiTheme="majorHAnsi" w:hAnsiTheme="majorHAnsi"/>
          <w:sz w:val="20"/>
          <w:szCs w:val="20"/>
        </w:rPr>
        <w:t>для</w:t>
      </w:r>
      <w:r w:rsidRPr="004D2D14">
        <w:rPr>
          <w:rFonts w:asciiTheme="majorHAnsi" w:hAnsiTheme="majorHAnsi"/>
          <w:sz w:val="20"/>
          <w:szCs w:val="20"/>
          <w:lang w:val="en-US"/>
        </w:rPr>
        <w:t xml:space="preserve"> </w:t>
      </w:r>
      <w:r w:rsidRPr="000977F7">
        <w:rPr>
          <w:rFonts w:asciiTheme="majorHAnsi" w:hAnsiTheme="majorHAnsi"/>
          <w:sz w:val="20"/>
          <w:szCs w:val="20"/>
        </w:rPr>
        <w:t>виконання</w:t>
      </w:r>
      <w:r w:rsidRPr="004D2D14">
        <w:rPr>
          <w:rFonts w:asciiTheme="majorHAnsi" w:hAnsiTheme="majorHAnsi"/>
          <w:sz w:val="20"/>
          <w:szCs w:val="20"/>
          <w:lang w:val="en-US"/>
        </w:rPr>
        <w:t xml:space="preserve"> </w:t>
      </w:r>
      <w:r w:rsidRPr="000977F7">
        <w:rPr>
          <w:rFonts w:asciiTheme="majorHAnsi" w:hAnsiTheme="majorHAnsi"/>
          <w:sz w:val="20"/>
          <w:szCs w:val="20"/>
        </w:rPr>
        <w:t>відповідних</w:t>
      </w:r>
      <w:r w:rsidRPr="004D2D14">
        <w:rPr>
          <w:rFonts w:asciiTheme="majorHAnsi" w:hAnsiTheme="majorHAnsi"/>
          <w:sz w:val="20"/>
          <w:szCs w:val="20"/>
          <w:lang w:val="en-US"/>
        </w:rPr>
        <w:t xml:space="preserve"> </w:t>
      </w:r>
      <w:r w:rsidRPr="000977F7">
        <w:rPr>
          <w:rFonts w:asciiTheme="majorHAnsi" w:hAnsiTheme="majorHAnsi"/>
          <w:sz w:val="20"/>
          <w:szCs w:val="20"/>
        </w:rPr>
        <w:t>вимог</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Придатність</w:t>
      </w:r>
      <w:r w:rsidRPr="004D2D14">
        <w:rPr>
          <w:rFonts w:asciiTheme="majorHAnsi" w:hAnsiTheme="majorHAnsi"/>
          <w:spacing w:val="-10"/>
          <w:sz w:val="20"/>
          <w:szCs w:val="20"/>
          <w:lang w:val="en-US"/>
        </w:rPr>
        <w:t xml:space="preserve"> </w:t>
      </w:r>
      <w:r w:rsidRPr="000977F7">
        <w:rPr>
          <w:rFonts w:asciiTheme="majorHAnsi" w:hAnsiTheme="majorHAnsi"/>
          <w:sz w:val="20"/>
          <w:szCs w:val="20"/>
        </w:rPr>
        <w:t>виробів</w:t>
      </w:r>
      <w:r w:rsidRPr="004D2D14">
        <w:rPr>
          <w:rFonts w:asciiTheme="majorHAnsi" w:hAnsiTheme="majorHAnsi"/>
          <w:sz w:val="20"/>
          <w:szCs w:val="20"/>
          <w:lang w:val="en-US"/>
        </w:rPr>
        <w:t>,</w:t>
      </w:r>
      <w:r w:rsidRPr="004D2D14">
        <w:rPr>
          <w:rFonts w:asciiTheme="majorHAnsi" w:hAnsiTheme="majorHAnsi"/>
          <w:spacing w:val="-10"/>
          <w:sz w:val="20"/>
          <w:szCs w:val="20"/>
          <w:lang w:val="en-US"/>
        </w:rPr>
        <w:t xml:space="preserve"> </w:t>
      </w:r>
      <w:r w:rsidRPr="000977F7">
        <w:rPr>
          <w:rFonts w:asciiTheme="majorHAnsi" w:hAnsiTheme="majorHAnsi"/>
          <w:sz w:val="20"/>
          <w:szCs w:val="20"/>
        </w:rPr>
        <w:t>процесів</w:t>
      </w:r>
      <w:r w:rsidRPr="004D2D14">
        <w:rPr>
          <w:rFonts w:asciiTheme="majorHAnsi" w:hAnsiTheme="majorHAnsi"/>
          <w:spacing w:val="-12"/>
          <w:sz w:val="20"/>
          <w:szCs w:val="20"/>
          <w:lang w:val="en-US"/>
        </w:rPr>
        <w:t xml:space="preserve"> </w:t>
      </w:r>
      <w:r w:rsidRPr="000977F7">
        <w:rPr>
          <w:rFonts w:asciiTheme="majorHAnsi" w:hAnsiTheme="majorHAnsi"/>
          <w:sz w:val="20"/>
          <w:szCs w:val="20"/>
        </w:rPr>
        <w:t>чи</w:t>
      </w:r>
      <w:r w:rsidRPr="004D2D14">
        <w:rPr>
          <w:rFonts w:asciiTheme="majorHAnsi" w:hAnsiTheme="majorHAnsi"/>
          <w:spacing w:val="-10"/>
          <w:sz w:val="20"/>
          <w:szCs w:val="20"/>
          <w:lang w:val="en-US"/>
        </w:rPr>
        <w:t xml:space="preserve"> </w:t>
      </w:r>
      <w:r w:rsidRPr="000977F7">
        <w:rPr>
          <w:rFonts w:asciiTheme="majorHAnsi" w:hAnsiTheme="majorHAnsi"/>
          <w:sz w:val="20"/>
          <w:szCs w:val="20"/>
        </w:rPr>
        <w:t>послуг</w:t>
      </w:r>
      <w:r w:rsidRPr="004D2D14">
        <w:rPr>
          <w:rFonts w:asciiTheme="majorHAnsi" w:hAnsiTheme="majorHAnsi"/>
          <w:spacing w:val="-12"/>
          <w:sz w:val="20"/>
          <w:szCs w:val="20"/>
          <w:lang w:val="en-US"/>
        </w:rPr>
        <w:t xml:space="preserve"> </w:t>
      </w:r>
      <w:r w:rsidRPr="000977F7">
        <w:rPr>
          <w:rFonts w:asciiTheme="majorHAnsi" w:hAnsiTheme="majorHAnsi"/>
          <w:sz w:val="20"/>
          <w:szCs w:val="20"/>
        </w:rPr>
        <w:t>для</w:t>
      </w:r>
      <w:r w:rsidRPr="004D2D14">
        <w:rPr>
          <w:rFonts w:asciiTheme="majorHAnsi" w:hAnsiTheme="majorHAnsi"/>
          <w:spacing w:val="-10"/>
          <w:sz w:val="20"/>
          <w:szCs w:val="20"/>
          <w:lang w:val="en-US"/>
        </w:rPr>
        <w:t xml:space="preserve"> </w:t>
      </w:r>
      <w:r w:rsidRPr="000977F7">
        <w:rPr>
          <w:rFonts w:asciiTheme="majorHAnsi" w:hAnsiTheme="majorHAnsi"/>
          <w:sz w:val="20"/>
          <w:szCs w:val="20"/>
        </w:rPr>
        <w:t>сумісного</w:t>
      </w:r>
      <w:r w:rsidRPr="004D2D14">
        <w:rPr>
          <w:rFonts w:asciiTheme="majorHAnsi" w:hAnsiTheme="majorHAnsi"/>
          <w:spacing w:val="-47"/>
          <w:sz w:val="20"/>
          <w:szCs w:val="20"/>
          <w:lang w:val="en-US"/>
        </w:rPr>
        <w:t xml:space="preserve"> </w:t>
      </w:r>
      <w:r w:rsidRPr="000977F7">
        <w:rPr>
          <w:rFonts w:asciiTheme="majorHAnsi" w:hAnsiTheme="majorHAnsi"/>
          <w:sz w:val="20"/>
          <w:szCs w:val="20"/>
        </w:rPr>
        <w:t>використання</w:t>
      </w:r>
      <w:r w:rsidRPr="004D2D14">
        <w:rPr>
          <w:rFonts w:asciiTheme="majorHAnsi" w:hAnsiTheme="majorHAnsi"/>
          <w:spacing w:val="31"/>
          <w:sz w:val="20"/>
          <w:szCs w:val="20"/>
          <w:lang w:val="en-US"/>
        </w:rPr>
        <w:t xml:space="preserve"> </w:t>
      </w:r>
      <w:r w:rsidRPr="000977F7">
        <w:rPr>
          <w:rFonts w:asciiTheme="majorHAnsi" w:hAnsiTheme="majorHAnsi"/>
          <w:sz w:val="20"/>
          <w:szCs w:val="20"/>
        </w:rPr>
        <w:t>у</w:t>
      </w:r>
      <w:r w:rsidRPr="004D2D14">
        <w:rPr>
          <w:rFonts w:asciiTheme="majorHAnsi" w:hAnsiTheme="majorHAnsi"/>
          <w:spacing w:val="30"/>
          <w:sz w:val="20"/>
          <w:szCs w:val="20"/>
          <w:lang w:val="en-US"/>
        </w:rPr>
        <w:t xml:space="preserve"> </w:t>
      </w:r>
      <w:r w:rsidRPr="000977F7">
        <w:rPr>
          <w:rFonts w:asciiTheme="majorHAnsi" w:hAnsiTheme="majorHAnsi"/>
          <w:sz w:val="20"/>
          <w:szCs w:val="20"/>
        </w:rPr>
        <w:t>відповідних</w:t>
      </w:r>
      <w:r w:rsidRPr="004D2D14">
        <w:rPr>
          <w:rFonts w:asciiTheme="majorHAnsi" w:hAnsiTheme="majorHAnsi"/>
          <w:spacing w:val="32"/>
          <w:sz w:val="20"/>
          <w:szCs w:val="20"/>
          <w:lang w:val="en-US"/>
        </w:rPr>
        <w:t xml:space="preserve"> </w:t>
      </w:r>
      <w:r w:rsidRPr="000977F7">
        <w:rPr>
          <w:rFonts w:asciiTheme="majorHAnsi" w:hAnsiTheme="majorHAnsi"/>
          <w:sz w:val="20"/>
          <w:szCs w:val="20"/>
        </w:rPr>
        <w:t>умовах</w:t>
      </w:r>
      <w:r w:rsidRPr="004D2D14">
        <w:rPr>
          <w:rFonts w:asciiTheme="majorHAnsi" w:hAnsiTheme="majorHAnsi"/>
          <w:spacing w:val="31"/>
          <w:sz w:val="20"/>
          <w:szCs w:val="20"/>
          <w:lang w:val="en-US"/>
        </w:rPr>
        <w:t xml:space="preserve"> </w:t>
      </w:r>
      <w:r w:rsidRPr="000977F7">
        <w:rPr>
          <w:rFonts w:asciiTheme="majorHAnsi" w:hAnsiTheme="majorHAnsi"/>
          <w:sz w:val="20"/>
          <w:szCs w:val="20"/>
        </w:rPr>
        <w:t>для</w:t>
      </w:r>
      <w:r w:rsidRPr="004D2D14">
        <w:rPr>
          <w:rFonts w:asciiTheme="majorHAnsi" w:hAnsiTheme="majorHAnsi"/>
          <w:spacing w:val="28"/>
          <w:sz w:val="20"/>
          <w:szCs w:val="20"/>
          <w:lang w:val="en-US"/>
        </w:rPr>
        <w:t xml:space="preserve"> </w:t>
      </w:r>
      <w:r w:rsidRPr="000977F7">
        <w:rPr>
          <w:rFonts w:asciiTheme="majorHAnsi" w:hAnsiTheme="majorHAnsi"/>
          <w:sz w:val="20"/>
          <w:szCs w:val="20"/>
        </w:rPr>
        <w:t>задоволення</w:t>
      </w:r>
      <w:r w:rsidRPr="004D2D14">
        <w:rPr>
          <w:rFonts w:asciiTheme="majorHAnsi" w:hAnsiTheme="majorHAnsi"/>
          <w:spacing w:val="-47"/>
          <w:sz w:val="20"/>
          <w:szCs w:val="20"/>
          <w:lang w:val="en-US"/>
        </w:rPr>
        <w:t xml:space="preserve"> </w:t>
      </w:r>
      <w:r w:rsidRPr="000977F7">
        <w:rPr>
          <w:rFonts w:asciiTheme="majorHAnsi" w:hAnsiTheme="majorHAnsi"/>
          <w:spacing w:val="-1"/>
          <w:sz w:val="20"/>
          <w:szCs w:val="20"/>
        </w:rPr>
        <w:t>певних</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потреб</w:t>
      </w:r>
      <w:r w:rsidRPr="004D2D14">
        <w:rPr>
          <w:rFonts w:asciiTheme="majorHAnsi" w:hAnsiTheme="majorHAnsi"/>
          <w:sz w:val="20"/>
          <w:szCs w:val="20"/>
          <w:lang w:val="en-US"/>
        </w:rPr>
        <w:t xml:space="preserve"> </w:t>
      </w:r>
      <w:r w:rsidRPr="000977F7">
        <w:rPr>
          <w:rFonts w:asciiTheme="majorHAnsi" w:hAnsiTheme="majorHAnsi"/>
          <w:sz w:val="20"/>
          <w:szCs w:val="20"/>
        </w:rPr>
        <w:t>без</w:t>
      </w:r>
      <w:r w:rsidRPr="004D2D14">
        <w:rPr>
          <w:rFonts w:asciiTheme="majorHAnsi" w:hAnsiTheme="majorHAnsi"/>
          <w:sz w:val="20"/>
          <w:szCs w:val="20"/>
          <w:lang w:val="en-US"/>
        </w:rPr>
        <w:t xml:space="preserve"> </w:t>
      </w:r>
      <w:r w:rsidRPr="000977F7">
        <w:rPr>
          <w:rFonts w:asciiTheme="majorHAnsi" w:hAnsiTheme="majorHAnsi"/>
          <w:sz w:val="20"/>
          <w:szCs w:val="20"/>
        </w:rPr>
        <w:t>спричинення</w:t>
      </w:r>
      <w:r w:rsidRPr="004D2D14">
        <w:rPr>
          <w:rFonts w:asciiTheme="majorHAnsi" w:hAnsiTheme="majorHAnsi"/>
          <w:sz w:val="20"/>
          <w:szCs w:val="20"/>
          <w:lang w:val="en-US"/>
        </w:rPr>
        <w:t xml:space="preserve"> </w:t>
      </w:r>
      <w:r w:rsidRPr="000977F7">
        <w:rPr>
          <w:rFonts w:asciiTheme="majorHAnsi" w:hAnsiTheme="majorHAnsi"/>
          <w:sz w:val="20"/>
          <w:szCs w:val="20"/>
        </w:rPr>
        <w:t>небажаної</w:t>
      </w:r>
      <w:r w:rsidRPr="004D2D14">
        <w:rPr>
          <w:rFonts w:asciiTheme="majorHAnsi" w:hAnsiTheme="majorHAnsi"/>
          <w:sz w:val="20"/>
          <w:szCs w:val="20"/>
          <w:lang w:val="en-US"/>
        </w:rPr>
        <w:t xml:space="preserve"> </w:t>
      </w:r>
      <w:r w:rsidRPr="000977F7">
        <w:rPr>
          <w:rFonts w:asciiTheme="majorHAnsi" w:hAnsiTheme="majorHAnsi"/>
          <w:sz w:val="20"/>
          <w:szCs w:val="20"/>
        </w:rPr>
        <w:t>взаємодії</w:t>
      </w:r>
    </w:p>
    <w:p w14:paraId="297CE2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i/>
          <w:iCs/>
          <w:sz w:val="20"/>
          <w:szCs w:val="20"/>
        </w:rPr>
        <w:t>ДСТУISO/IEC</w:t>
      </w:r>
      <w:r w:rsidRPr="000977F7">
        <w:rPr>
          <w:rFonts w:asciiTheme="majorHAnsi" w:hAnsiTheme="majorHAnsi"/>
          <w:i/>
          <w:iCs/>
          <w:spacing w:val="-32"/>
          <w:sz w:val="20"/>
          <w:szCs w:val="20"/>
        </w:rPr>
        <w:t xml:space="preserve"> </w:t>
      </w:r>
      <w:r w:rsidRPr="000977F7">
        <w:rPr>
          <w:rFonts w:asciiTheme="majorHAnsi" w:hAnsiTheme="majorHAnsi"/>
          <w:i/>
          <w:iCs/>
          <w:sz w:val="20"/>
          <w:szCs w:val="20"/>
        </w:rPr>
        <w:t>17000:2007</w:t>
      </w:r>
    </w:p>
    <w:p w14:paraId="371AEFA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СУМІСНІСТЬ</w:t>
      </w:r>
      <w:r w:rsidRPr="000977F7">
        <w:rPr>
          <w:color w:val="auto"/>
          <w:spacing w:val="-3"/>
          <w:sz w:val="20"/>
          <w:szCs w:val="20"/>
        </w:rPr>
        <w:t xml:space="preserve"> </w:t>
      </w:r>
      <w:r w:rsidRPr="000977F7">
        <w:rPr>
          <w:color w:val="auto"/>
          <w:sz w:val="20"/>
          <w:szCs w:val="20"/>
        </w:rPr>
        <w:t>В</w:t>
      </w:r>
      <w:r w:rsidRPr="000977F7">
        <w:rPr>
          <w:color w:val="auto"/>
          <w:spacing w:val="-2"/>
          <w:sz w:val="20"/>
          <w:szCs w:val="20"/>
        </w:rPr>
        <w:t xml:space="preserve"> </w:t>
      </w:r>
      <w:r w:rsidRPr="000977F7">
        <w:rPr>
          <w:color w:val="auto"/>
          <w:sz w:val="20"/>
          <w:szCs w:val="20"/>
        </w:rPr>
        <w:t>УМОВАХ</w:t>
      </w:r>
      <w:r w:rsidRPr="000977F7">
        <w:rPr>
          <w:color w:val="auto"/>
          <w:spacing w:val="-3"/>
          <w:sz w:val="20"/>
          <w:szCs w:val="20"/>
        </w:rPr>
        <w:t xml:space="preserve"> </w:t>
      </w:r>
      <w:r w:rsidRPr="000977F7">
        <w:rPr>
          <w:color w:val="auto"/>
          <w:sz w:val="20"/>
          <w:szCs w:val="20"/>
        </w:rPr>
        <w:t>ТЕРТЯ</w:t>
      </w:r>
      <w:r w:rsidRPr="000977F7">
        <w:rPr>
          <w:color w:val="auto"/>
          <w:spacing w:val="-1"/>
          <w:sz w:val="20"/>
          <w:szCs w:val="20"/>
        </w:rPr>
        <w:t xml:space="preserve"> </w:t>
      </w:r>
      <w:r w:rsidRPr="000977F7">
        <w:rPr>
          <w:color w:val="auto"/>
          <w:sz w:val="20"/>
          <w:szCs w:val="20"/>
        </w:rPr>
        <w:t>–</w:t>
      </w:r>
      <w:bookmarkStart w:id="275" w:name="_Hlk102153709"/>
    </w:p>
    <w:p w14:paraId="1F69753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b w:val="0"/>
          <w:bCs/>
          <w:color w:val="auto"/>
          <w:sz w:val="20"/>
          <w:szCs w:val="20"/>
        </w:rPr>
        <w:t>FRICTIONAL</w:t>
      </w:r>
      <w:r w:rsidRPr="000977F7">
        <w:rPr>
          <w:b w:val="0"/>
          <w:bCs/>
          <w:color w:val="auto"/>
          <w:spacing w:val="-4"/>
          <w:sz w:val="20"/>
          <w:szCs w:val="20"/>
        </w:rPr>
        <w:t xml:space="preserve"> </w:t>
      </w:r>
      <w:r w:rsidRPr="000977F7">
        <w:rPr>
          <w:b w:val="0"/>
          <w:bCs/>
          <w:color w:val="auto"/>
          <w:sz w:val="20"/>
          <w:szCs w:val="20"/>
        </w:rPr>
        <w:t>COMPATIBILITY</w:t>
      </w:r>
      <w:r w:rsidRPr="000977F7">
        <w:rPr>
          <w:color w:val="auto"/>
          <w:spacing w:val="-1"/>
          <w:sz w:val="20"/>
          <w:szCs w:val="20"/>
        </w:rPr>
        <w:t xml:space="preserve"> </w:t>
      </w:r>
      <w:r w:rsidRPr="000977F7">
        <w:rPr>
          <w:color w:val="auto"/>
          <w:sz w:val="20"/>
          <w:szCs w:val="20"/>
        </w:rPr>
        <w:t>–</w:t>
      </w:r>
    </w:p>
    <w:bookmarkEnd w:id="275"/>
    <w:p w14:paraId="2BC1E598" w14:textId="77777777" w:rsidR="0097612F" w:rsidRPr="004D2D14" w:rsidRDefault="0097612F" w:rsidP="000977F7">
      <w:pPr>
        <w:pStyle w:val="af6"/>
        <w:tabs>
          <w:tab w:val="left" w:pos="284"/>
        </w:tabs>
        <w:spacing w:after="0"/>
        <w:ind w:left="170"/>
        <w:mirrorIndents/>
        <w:jc w:val="both"/>
        <w:rPr>
          <w:rFonts w:asciiTheme="majorHAnsi" w:hAnsiTheme="majorHAnsi"/>
          <w:spacing w:val="-47"/>
          <w:sz w:val="20"/>
          <w:szCs w:val="20"/>
          <w:lang w:val="uk-UA"/>
        </w:rPr>
      </w:pPr>
      <w:r w:rsidRPr="004D2D14">
        <w:rPr>
          <w:rFonts w:asciiTheme="majorHAnsi" w:hAnsiTheme="majorHAnsi"/>
          <w:sz w:val="20"/>
          <w:szCs w:val="20"/>
          <w:lang w:val="uk-UA"/>
        </w:rPr>
        <w:t>Властивість</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матеріалів</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тертьових</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тіл</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мастильного</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матеріалу</w:t>
      </w:r>
      <w:r w:rsidRPr="004D2D14">
        <w:rPr>
          <w:rFonts w:asciiTheme="majorHAnsi" w:hAnsiTheme="majorHAnsi"/>
          <w:spacing w:val="14"/>
          <w:sz w:val="20"/>
          <w:szCs w:val="20"/>
          <w:lang w:val="uk-UA"/>
        </w:rPr>
        <w:t xml:space="preserve"> </w:t>
      </w:r>
      <w:r w:rsidRPr="004D2D14">
        <w:rPr>
          <w:rFonts w:asciiTheme="majorHAnsi" w:hAnsiTheme="majorHAnsi"/>
          <w:sz w:val="20"/>
          <w:szCs w:val="20"/>
          <w:lang w:val="uk-UA"/>
        </w:rPr>
        <w:t>разом</w:t>
      </w:r>
      <w:r w:rsidRPr="004D2D14">
        <w:rPr>
          <w:rFonts w:asciiTheme="majorHAnsi" w:hAnsiTheme="majorHAnsi"/>
          <w:spacing w:val="17"/>
          <w:sz w:val="20"/>
          <w:szCs w:val="20"/>
          <w:lang w:val="uk-UA"/>
        </w:rPr>
        <w:t xml:space="preserve"> </w:t>
      </w:r>
      <w:r w:rsidRPr="004D2D14">
        <w:rPr>
          <w:rFonts w:asciiTheme="majorHAnsi" w:hAnsiTheme="majorHAnsi"/>
          <w:sz w:val="20"/>
          <w:szCs w:val="20"/>
          <w:lang w:val="uk-UA"/>
        </w:rPr>
        <w:t>забезпечувати</w:t>
      </w:r>
      <w:r w:rsidRPr="004D2D14">
        <w:rPr>
          <w:rFonts w:asciiTheme="majorHAnsi" w:hAnsiTheme="majorHAnsi"/>
          <w:spacing w:val="14"/>
          <w:sz w:val="20"/>
          <w:szCs w:val="20"/>
          <w:lang w:val="uk-UA"/>
        </w:rPr>
        <w:t xml:space="preserve"> </w:t>
      </w:r>
      <w:r w:rsidRPr="004D2D14">
        <w:rPr>
          <w:rFonts w:asciiTheme="majorHAnsi" w:hAnsiTheme="majorHAnsi"/>
          <w:sz w:val="20"/>
          <w:szCs w:val="20"/>
          <w:lang w:val="uk-UA"/>
        </w:rPr>
        <w:t>задані</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характеристики</w:t>
      </w:r>
      <w:r w:rsidRPr="004D2D14">
        <w:rPr>
          <w:rFonts w:asciiTheme="majorHAnsi" w:hAnsiTheme="majorHAnsi"/>
          <w:spacing w:val="-47"/>
          <w:sz w:val="20"/>
          <w:szCs w:val="20"/>
          <w:lang w:val="uk-UA"/>
        </w:rPr>
        <w:t xml:space="preserve"> </w:t>
      </w:r>
      <w:r w:rsidRPr="004D2D14">
        <w:rPr>
          <w:rFonts w:asciiTheme="majorHAnsi" w:hAnsiTheme="majorHAnsi"/>
          <w:spacing w:val="-1"/>
          <w:sz w:val="20"/>
          <w:szCs w:val="20"/>
          <w:lang w:val="uk-UA"/>
        </w:rPr>
        <w:t xml:space="preserve">тертя і зношування та запобігати адгезії в умовах </w:t>
      </w:r>
      <w:r w:rsidRPr="004D2D14">
        <w:rPr>
          <w:rFonts w:asciiTheme="majorHAnsi" w:hAnsiTheme="majorHAnsi"/>
          <w:sz w:val="20"/>
          <w:szCs w:val="20"/>
          <w:lang w:val="uk-UA"/>
        </w:rPr>
        <w:t>тертя</w:t>
      </w:r>
      <w:r w:rsidRPr="004D2D14">
        <w:rPr>
          <w:rFonts w:asciiTheme="majorHAnsi" w:hAnsiTheme="majorHAnsi"/>
          <w:spacing w:val="-47"/>
          <w:sz w:val="20"/>
          <w:szCs w:val="20"/>
          <w:lang w:val="uk-UA"/>
        </w:rPr>
        <w:t xml:space="preserve"> </w:t>
      </w:r>
    </w:p>
    <w:p w14:paraId="4891B74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2823</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932294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276" w:name="_Hlk101261115"/>
      <w:r w:rsidRPr="000977F7">
        <w:rPr>
          <w:color w:val="auto"/>
          <w:sz w:val="20"/>
          <w:szCs w:val="20"/>
        </w:rPr>
        <w:t>СУМІСНІСТЬ</w:t>
      </w:r>
      <w:r w:rsidRPr="000977F7">
        <w:rPr>
          <w:color w:val="auto"/>
          <w:spacing w:val="-4"/>
          <w:sz w:val="20"/>
          <w:szCs w:val="20"/>
        </w:rPr>
        <w:t xml:space="preserve"> </w:t>
      </w:r>
      <w:r w:rsidRPr="000977F7">
        <w:rPr>
          <w:color w:val="auto"/>
          <w:sz w:val="20"/>
          <w:szCs w:val="20"/>
        </w:rPr>
        <w:t>ПРОДУКЦІЇ</w:t>
      </w:r>
      <w:r w:rsidRPr="000977F7">
        <w:rPr>
          <w:color w:val="auto"/>
          <w:spacing w:val="-3"/>
          <w:sz w:val="20"/>
          <w:szCs w:val="20"/>
        </w:rPr>
        <w:t xml:space="preserve"> </w:t>
      </w:r>
      <w:r w:rsidRPr="000977F7">
        <w:rPr>
          <w:color w:val="auto"/>
          <w:sz w:val="20"/>
          <w:szCs w:val="20"/>
        </w:rPr>
        <w:t>–</w:t>
      </w:r>
    </w:p>
    <w:p w14:paraId="3466E2A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COMPATIBILITY</w:t>
      </w:r>
      <w:r w:rsidRPr="000977F7">
        <w:rPr>
          <w:rFonts w:asciiTheme="majorHAnsi" w:hAnsiTheme="majorHAnsi"/>
          <w:spacing w:val="-1"/>
          <w:sz w:val="20"/>
          <w:szCs w:val="20"/>
        </w:rPr>
        <w:t xml:space="preserve"> </w:t>
      </w:r>
      <w:r w:rsidRPr="000977F7">
        <w:rPr>
          <w:rFonts w:asciiTheme="majorHAnsi" w:hAnsiTheme="majorHAnsi"/>
          <w:sz w:val="20"/>
          <w:szCs w:val="20"/>
        </w:rPr>
        <w:t>–</w:t>
      </w:r>
    </w:p>
    <w:bookmarkEnd w:id="276"/>
    <w:p w14:paraId="6A13358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Придатність продукції до спільного, але без небажаних</w:t>
      </w:r>
      <w:r w:rsidRPr="000977F7">
        <w:rPr>
          <w:rFonts w:asciiTheme="majorHAnsi" w:hAnsiTheme="majorHAnsi"/>
          <w:spacing w:val="1"/>
          <w:sz w:val="20"/>
          <w:szCs w:val="20"/>
        </w:rPr>
        <w:t xml:space="preserve"> </w:t>
      </w:r>
      <w:r w:rsidRPr="000977F7">
        <w:rPr>
          <w:rFonts w:asciiTheme="majorHAnsi" w:hAnsiTheme="majorHAnsi"/>
          <w:sz w:val="20"/>
          <w:szCs w:val="20"/>
        </w:rPr>
        <w:t>взаємодій,</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заданих</w:t>
      </w:r>
      <w:r w:rsidRPr="000977F7">
        <w:rPr>
          <w:rFonts w:asciiTheme="majorHAnsi" w:hAnsiTheme="majorHAnsi"/>
          <w:spacing w:val="1"/>
          <w:sz w:val="20"/>
          <w:szCs w:val="20"/>
        </w:rPr>
        <w:t xml:space="preserve"> </w:t>
      </w:r>
      <w:r w:rsidRPr="000977F7">
        <w:rPr>
          <w:rFonts w:asciiTheme="majorHAnsi" w:hAnsiTheme="majorHAnsi"/>
          <w:sz w:val="20"/>
          <w:szCs w:val="20"/>
        </w:rPr>
        <w:t>умовах</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47"/>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нових</w:t>
      </w:r>
      <w:r w:rsidRPr="000977F7">
        <w:rPr>
          <w:rFonts w:asciiTheme="majorHAnsi" w:hAnsiTheme="majorHAnsi"/>
          <w:spacing w:val="-1"/>
          <w:sz w:val="20"/>
          <w:szCs w:val="20"/>
        </w:rPr>
        <w:t xml:space="preserve"> </w:t>
      </w:r>
      <w:r w:rsidRPr="000977F7">
        <w:rPr>
          <w:rFonts w:asciiTheme="majorHAnsi" w:hAnsiTheme="majorHAnsi"/>
          <w:sz w:val="20"/>
          <w:szCs w:val="20"/>
        </w:rPr>
        <w:t>вимог</w:t>
      </w:r>
    </w:p>
    <w:p w14:paraId="7DF87F3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135234B"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СУПЕРГАРМОНІЧНА ВІБРАЦІЯ (УЛЬТРАГАРМОНІЧНА</w:t>
      </w:r>
      <w:r w:rsidRPr="000977F7">
        <w:rPr>
          <w:color w:val="auto"/>
          <w:spacing w:val="-1"/>
          <w:sz w:val="20"/>
          <w:szCs w:val="20"/>
        </w:rPr>
        <w:t xml:space="preserve"> </w:t>
      </w:r>
      <w:r w:rsidRPr="000977F7">
        <w:rPr>
          <w:color w:val="auto"/>
          <w:sz w:val="20"/>
          <w:szCs w:val="20"/>
        </w:rPr>
        <w:t>ВІБРАЦІЯ)</w:t>
      </w:r>
      <w:r w:rsidRPr="000977F7">
        <w:rPr>
          <w:color w:val="auto"/>
          <w:spacing w:val="3"/>
          <w:sz w:val="20"/>
          <w:szCs w:val="20"/>
        </w:rPr>
        <w:t xml:space="preserve"> </w:t>
      </w:r>
      <w:r w:rsidRPr="000977F7">
        <w:rPr>
          <w:b w:val="0"/>
          <w:color w:val="auto"/>
          <w:sz w:val="20"/>
          <w:szCs w:val="20"/>
        </w:rPr>
        <w:t>–</w:t>
      </w:r>
    </w:p>
    <w:p w14:paraId="2E97C4A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SUPERHARMONI</w:t>
      </w:r>
      <w:r w:rsidRPr="004D2D14">
        <w:rPr>
          <w:rFonts w:asciiTheme="majorHAnsi" w:hAnsiTheme="majorHAnsi"/>
          <w:sz w:val="20"/>
          <w:szCs w:val="20"/>
          <w:lang w:val="uk-UA"/>
        </w:rPr>
        <w:t>К</w:t>
      </w:r>
      <w:r w:rsidRPr="004D2D14">
        <w:rPr>
          <w:rFonts w:asciiTheme="majorHAnsi" w:hAnsiTheme="majorHAnsi"/>
          <w:spacing w:val="-6"/>
          <w:sz w:val="20"/>
          <w:szCs w:val="20"/>
          <w:lang w:val="uk-UA"/>
        </w:rPr>
        <w:t xml:space="preserve"> </w:t>
      </w:r>
      <w:r w:rsidRPr="000977F7">
        <w:rPr>
          <w:rFonts w:asciiTheme="majorHAnsi" w:hAnsiTheme="majorHAnsi"/>
          <w:sz w:val="20"/>
          <w:szCs w:val="20"/>
        </w:rPr>
        <w:t>VIBRATION</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0F5FC3F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Гармонічні складові змушеної вібрації нелінійної системи, частоти яких кратні частоті гармонічного збудження</w:t>
      </w:r>
    </w:p>
    <w:p w14:paraId="67ED7BE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2300</w:t>
      </w:r>
      <w:r w:rsidRPr="000977F7">
        <w:rPr>
          <w:rFonts w:asciiTheme="majorHAnsi" w:hAnsiTheme="majorHAnsi"/>
          <w:i/>
          <w:spacing w:val="2"/>
          <w:sz w:val="20"/>
          <w:szCs w:val="20"/>
        </w:rPr>
        <w:t xml:space="preserve"> </w:t>
      </w:r>
      <w:r w:rsidRPr="000977F7">
        <w:rPr>
          <w:rFonts w:asciiTheme="majorHAnsi" w:hAnsiTheme="majorHAnsi"/>
          <w:i/>
          <w:sz w:val="20"/>
          <w:szCs w:val="20"/>
        </w:rPr>
        <w:t>– 93</w:t>
      </w:r>
    </w:p>
    <w:p w14:paraId="1CB7F87C"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СУМАРНИЙ РЕСУРС –</w:t>
      </w:r>
      <w:r w:rsidRPr="000977F7">
        <w:rPr>
          <w:rFonts w:asciiTheme="majorHAnsi" w:hAnsiTheme="majorHAnsi"/>
          <w:b/>
          <w:spacing w:val="-47"/>
          <w:sz w:val="20"/>
          <w:szCs w:val="20"/>
        </w:rPr>
        <w:t xml:space="preserve"> </w:t>
      </w:r>
    </w:p>
    <w:p w14:paraId="58C4682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CUMULATIVE</w:t>
      </w:r>
      <w:r w:rsidRPr="000977F7">
        <w:rPr>
          <w:rFonts w:asciiTheme="majorHAnsi" w:hAnsiTheme="majorHAnsi"/>
          <w:spacing w:val="-2"/>
          <w:sz w:val="20"/>
          <w:szCs w:val="20"/>
        </w:rPr>
        <w:t xml:space="preserve"> </w:t>
      </w:r>
      <w:r w:rsidRPr="000977F7">
        <w:rPr>
          <w:rFonts w:asciiTheme="majorHAnsi" w:hAnsiTheme="majorHAnsi"/>
          <w:sz w:val="20"/>
          <w:szCs w:val="20"/>
        </w:rPr>
        <w:t>LIFE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1DCF92A"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Ресурс</w:t>
      </w:r>
      <w:r w:rsidRPr="000977F7">
        <w:rPr>
          <w:rFonts w:asciiTheme="majorHAnsi" w:hAnsiTheme="majorHAnsi"/>
          <w:spacing w:val="22"/>
          <w:sz w:val="20"/>
          <w:szCs w:val="20"/>
        </w:rPr>
        <w:t xml:space="preserve"> </w:t>
      </w:r>
      <w:r w:rsidRPr="000977F7">
        <w:rPr>
          <w:rFonts w:asciiTheme="majorHAnsi" w:hAnsiTheme="majorHAnsi"/>
          <w:sz w:val="20"/>
          <w:szCs w:val="20"/>
        </w:rPr>
        <w:t>об’єкта</w:t>
      </w:r>
      <w:r w:rsidRPr="000977F7">
        <w:rPr>
          <w:rFonts w:asciiTheme="majorHAnsi" w:hAnsiTheme="majorHAnsi"/>
          <w:spacing w:val="22"/>
          <w:sz w:val="20"/>
          <w:szCs w:val="20"/>
        </w:rPr>
        <w:t xml:space="preserve"> </w:t>
      </w:r>
      <w:r w:rsidRPr="000977F7">
        <w:rPr>
          <w:rFonts w:asciiTheme="majorHAnsi" w:hAnsiTheme="majorHAnsi"/>
          <w:sz w:val="20"/>
          <w:szCs w:val="20"/>
        </w:rPr>
        <w:t>від</w:t>
      </w:r>
      <w:r w:rsidRPr="000977F7">
        <w:rPr>
          <w:rFonts w:asciiTheme="majorHAnsi" w:hAnsiTheme="majorHAnsi"/>
          <w:spacing w:val="21"/>
          <w:sz w:val="20"/>
          <w:szCs w:val="20"/>
        </w:rPr>
        <w:t xml:space="preserve"> </w:t>
      </w:r>
      <w:r w:rsidRPr="000977F7">
        <w:rPr>
          <w:rFonts w:asciiTheme="majorHAnsi" w:hAnsiTheme="majorHAnsi"/>
          <w:sz w:val="20"/>
          <w:szCs w:val="20"/>
        </w:rPr>
        <w:t>початку</w:t>
      </w:r>
      <w:r w:rsidRPr="000977F7">
        <w:rPr>
          <w:rFonts w:asciiTheme="majorHAnsi" w:hAnsiTheme="majorHAnsi"/>
          <w:spacing w:val="21"/>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22"/>
          <w:sz w:val="20"/>
          <w:szCs w:val="20"/>
        </w:rPr>
        <w:t xml:space="preserve"> </w:t>
      </w:r>
      <w:r w:rsidRPr="000977F7">
        <w:rPr>
          <w:rFonts w:asciiTheme="majorHAnsi" w:hAnsiTheme="majorHAnsi"/>
          <w:sz w:val="20"/>
          <w:szCs w:val="20"/>
        </w:rPr>
        <w:t>до</w:t>
      </w:r>
      <w:r w:rsidRPr="000977F7">
        <w:rPr>
          <w:rFonts w:asciiTheme="majorHAnsi" w:hAnsiTheme="majorHAnsi"/>
          <w:spacing w:val="22"/>
          <w:sz w:val="20"/>
          <w:szCs w:val="20"/>
        </w:rPr>
        <w:t xml:space="preserve"> </w:t>
      </w:r>
      <w:r w:rsidRPr="000977F7">
        <w:rPr>
          <w:rFonts w:asciiTheme="majorHAnsi" w:hAnsiTheme="majorHAnsi"/>
          <w:sz w:val="20"/>
          <w:szCs w:val="20"/>
        </w:rPr>
        <w:t>його</w:t>
      </w:r>
      <w:r w:rsidRPr="000977F7">
        <w:rPr>
          <w:rFonts w:asciiTheme="majorHAnsi" w:hAnsiTheme="majorHAnsi"/>
          <w:spacing w:val="23"/>
          <w:sz w:val="20"/>
          <w:szCs w:val="20"/>
        </w:rPr>
        <w:t xml:space="preserve"> </w:t>
      </w:r>
      <w:r w:rsidRPr="000977F7">
        <w:rPr>
          <w:rFonts w:asciiTheme="majorHAnsi" w:hAnsiTheme="majorHAnsi"/>
          <w:sz w:val="20"/>
          <w:szCs w:val="20"/>
        </w:rPr>
        <w:t>списання, обумовленого граничним станом</w:t>
      </w:r>
    </w:p>
    <w:p w14:paraId="154F74EF"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b/>
          <w:sz w:val="20"/>
          <w:szCs w:val="20"/>
        </w:rPr>
        <w:t>СУПЕР ГАРМОНІЧНІ</w:t>
      </w:r>
      <w:r w:rsidRPr="000977F7">
        <w:rPr>
          <w:rFonts w:asciiTheme="majorHAnsi" w:hAnsiTheme="majorHAnsi"/>
          <w:b/>
          <w:spacing w:val="-2"/>
          <w:sz w:val="20"/>
          <w:szCs w:val="20"/>
        </w:rPr>
        <w:t xml:space="preserve"> </w:t>
      </w:r>
      <w:r w:rsidRPr="000977F7">
        <w:rPr>
          <w:rFonts w:asciiTheme="majorHAnsi" w:hAnsiTheme="majorHAnsi"/>
          <w:b/>
          <w:sz w:val="20"/>
          <w:szCs w:val="20"/>
        </w:rPr>
        <w:t>КОЛИВАННЯ</w:t>
      </w:r>
      <w:r w:rsidRPr="000977F7">
        <w:rPr>
          <w:rFonts w:asciiTheme="majorHAnsi" w:hAnsiTheme="majorHAnsi"/>
          <w:b/>
          <w:spacing w:val="3"/>
          <w:sz w:val="20"/>
          <w:szCs w:val="20"/>
        </w:rPr>
        <w:t xml:space="preserve"> </w:t>
      </w:r>
      <w:r w:rsidRPr="000977F7">
        <w:rPr>
          <w:rFonts w:asciiTheme="majorHAnsi" w:hAnsiTheme="majorHAnsi"/>
          <w:sz w:val="20"/>
          <w:szCs w:val="20"/>
        </w:rPr>
        <w:t>–</w:t>
      </w:r>
    </w:p>
    <w:p w14:paraId="2445C2E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SUPERHARMONIC</w:t>
      </w:r>
      <w:r w:rsidRPr="000977F7">
        <w:rPr>
          <w:rFonts w:asciiTheme="majorHAnsi" w:hAnsiTheme="majorHAnsi"/>
          <w:spacing w:val="-2"/>
          <w:sz w:val="20"/>
          <w:szCs w:val="20"/>
        </w:rPr>
        <w:t xml:space="preserve"> </w:t>
      </w:r>
      <w:r w:rsidRPr="000977F7">
        <w:rPr>
          <w:rFonts w:asciiTheme="majorHAnsi" w:hAnsiTheme="majorHAnsi"/>
          <w:sz w:val="20"/>
          <w:szCs w:val="20"/>
        </w:rPr>
        <w:t>VIBRATION</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2352ECBD"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Вимушені</w:t>
      </w:r>
      <w:r w:rsidRPr="000977F7">
        <w:rPr>
          <w:rFonts w:asciiTheme="majorHAnsi" w:hAnsiTheme="majorHAnsi"/>
          <w:spacing w:val="22"/>
          <w:sz w:val="20"/>
          <w:szCs w:val="20"/>
        </w:rPr>
        <w:t xml:space="preserve"> </w:t>
      </w:r>
      <w:r w:rsidRPr="000977F7">
        <w:rPr>
          <w:rFonts w:asciiTheme="majorHAnsi" w:hAnsiTheme="majorHAnsi"/>
          <w:sz w:val="20"/>
          <w:szCs w:val="20"/>
        </w:rPr>
        <w:t>гармонічні</w:t>
      </w:r>
      <w:r w:rsidRPr="000977F7">
        <w:rPr>
          <w:rFonts w:asciiTheme="majorHAnsi" w:hAnsiTheme="majorHAnsi"/>
          <w:spacing w:val="22"/>
          <w:sz w:val="20"/>
          <w:szCs w:val="20"/>
        </w:rPr>
        <w:t xml:space="preserve"> </w:t>
      </w:r>
      <w:r w:rsidRPr="000977F7">
        <w:rPr>
          <w:rFonts w:asciiTheme="majorHAnsi" w:hAnsiTheme="majorHAnsi"/>
          <w:sz w:val="20"/>
          <w:szCs w:val="20"/>
        </w:rPr>
        <w:t>коливання,</w:t>
      </w:r>
      <w:r w:rsidRPr="000977F7">
        <w:rPr>
          <w:rFonts w:asciiTheme="majorHAnsi" w:hAnsiTheme="majorHAnsi"/>
          <w:spacing w:val="24"/>
          <w:sz w:val="20"/>
          <w:szCs w:val="20"/>
        </w:rPr>
        <w:t xml:space="preserve"> </w:t>
      </w:r>
      <w:r w:rsidRPr="000977F7">
        <w:rPr>
          <w:rFonts w:asciiTheme="majorHAnsi" w:hAnsiTheme="majorHAnsi"/>
          <w:sz w:val="20"/>
          <w:szCs w:val="20"/>
        </w:rPr>
        <w:t>частота</w:t>
      </w:r>
      <w:r w:rsidRPr="000977F7">
        <w:rPr>
          <w:rFonts w:asciiTheme="majorHAnsi" w:hAnsiTheme="majorHAnsi"/>
          <w:spacing w:val="23"/>
          <w:sz w:val="20"/>
          <w:szCs w:val="20"/>
        </w:rPr>
        <w:t xml:space="preserve"> </w:t>
      </w:r>
      <w:r w:rsidRPr="000977F7">
        <w:rPr>
          <w:rFonts w:asciiTheme="majorHAnsi" w:hAnsiTheme="majorHAnsi"/>
          <w:sz w:val="20"/>
          <w:szCs w:val="20"/>
        </w:rPr>
        <w:t>яких</w:t>
      </w:r>
      <w:r w:rsidRPr="000977F7">
        <w:rPr>
          <w:rFonts w:asciiTheme="majorHAnsi" w:hAnsiTheme="majorHAnsi"/>
          <w:spacing w:val="23"/>
          <w:sz w:val="20"/>
          <w:szCs w:val="20"/>
        </w:rPr>
        <w:t xml:space="preserve"> </w:t>
      </w:r>
      <w:r w:rsidRPr="000977F7">
        <w:rPr>
          <w:rFonts w:asciiTheme="majorHAnsi" w:hAnsiTheme="majorHAnsi"/>
          <w:sz w:val="20"/>
          <w:szCs w:val="20"/>
        </w:rPr>
        <w:t>у</w:t>
      </w:r>
      <w:r w:rsidRPr="000977F7">
        <w:rPr>
          <w:rFonts w:asciiTheme="majorHAnsi" w:hAnsiTheme="majorHAnsi"/>
          <w:spacing w:val="20"/>
          <w:sz w:val="20"/>
          <w:szCs w:val="20"/>
        </w:rPr>
        <w:t xml:space="preserve"> </w:t>
      </w:r>
      <w:r w:rsidRPr="000977F7">
        <w:rPr>
          <w:rFonts w:asciiTheme="majorHAnsi" w:hAnsiTheme="majorHAnsi"/>
          <w:sz w:val="20"/>
          <w:szCs w:val="20"/>
        </w:rPr>
        <w:t>ціле</w:t>
      </w:r>
      <w:r w:rsidRPr="000977F7">
        <w:rPr>
          <w:rFonts w:asciiTheme="majorHAnsi" w:hAnsiTheme="majorHAnsi"/>
          <w:spacing w:val="-47"/>
          <w:sz w:val="20"/>
          <w:szCs w:val="20"/>
        </w:rPr>
        <w:t xml:space="preserve"> </w:t>
      </w:r>
      <w:r w:rsidRPr="000977F7">
        <w:rPr>
          <w:rFonts w:asciiTheme="majorHAnsi" w:hAnsiTheme="majorHAnsi"/>
          <w:spacing w:val="-1"/>
          <w:sz w:val="20"/>
          <w:szCs w:val="20"/>
        </w:rPr>
        <w:t>число разів більша за частоту гармонічного збудження</w:t>
      </w:r>
      <w:r w:rsidRPr="000977F7">
        <w:rPr>
          <w:rFonts w:asciiTheme="majorHAnsi" w:hAnsiTheme="majorHAnsi"/>
          <w:spacing w:val="-47"/>
          <w:sz w:val="20"/>
          <w:szCs w:val="20"/>
        </w:rPr>
        <w:t xml:space="preserve"> </w:t>
      </w:r>
    </w:p>
    <w:p w14:paraId="3F50D9D0"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2473</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BC0E186" w14:textId="77777777" w:rsidR="0097612F" w:rsidRPr="000977F7" w:rsidRDefault="0097612F" w:rsidP="000977F7">
      <w:pPr>
        <w:pStyle w:val="af6"/>
        <w:tabs>
          <w:tab w:val="left" w:pos="284"/>
        </w:tabs>
        <w:spacing w:after="0"/>
        <w:ind w:left="170"/>
        <w:mirrorIndents/>
        <w:jc w:val="both"/>
        <w:rPr>
          <w:rFonts w:asciiTheme="majorHAnsi" w:hAnsiTheme="majorHAnsi"/>
          <w:b/>
          <w:bCs/>
          <w:iCs/>
          <w:sz w:val="20"/>
          <w:szCs w:val="20"/>
        </w:rPr>
      </w:pPr>
      <w:r w:rsidRPr="000977F7">
        <w:rPr>
          <w:rFonts w:asciiTheme="majorHAnsi" w:hAnsiTheme="majorHAnsi"/>
          <w:b/>
          <w:bCs/>
          <w:iCs/>
          <w:sz w:val="20"/>
          <w:szCs w:val="20"/>
        </w:rPr>
        <w:t>СУПРОВОДЖУВАЧ –</w:t>
      </w:r>
    </w:p>
    <w:p w14:paraId="519886C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iCs/>
          <w:sz w:val="20"/>
          <w:szCs w:val="20"/>
        </w:rPr>
        <w:t>О</w:t>
      </w:r>
      <w:r w:rsidRPr="000977F7">
        <w:rPr>
          <w:rStyle w:val="14"/>
          <w:rFonts w:asciiTheme="majorHAnsi" w:hAnsiTheme="majorHAnsi"/>
          <w:sz w:val="20"/>
          <w:szCs w:val="20"/>
          <w:lang w:eastAsia="uk-UA"/>
        </w:rPr>
        <w:t>соба, яку призначено клієнтом допомагати групі з аудиту</w:t>
      </w:r>
    </w:p>
    <w:p w14:paraId="63785E5B"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EN ISO/IEC 17021-1:2015</w:t>
      </w:r>
    </w:p>
    <w:p w14:paraId="1BC8BAE1" w14:textId="77777777" w:rsidR="0097612F" w:rsidRPr="000977F7" w:rsidRDefault="0097612F" w:rsidP="000977F7">
      <w:pPr>
        <w:pStyle w:val="af6"/>
        <w:tabs>
          <w:tab w:val="left" w:pos="284"/>
        </w:tabs>
        <w:spacing w:after="0"/>
        <w:ind w:left="170"/>
        <w:mirrorIndents/>
        <w:jc w:val="both"/>
        <w:rPr>
          <w:rFonts w:asciiTheme="majorHAnsi" w:hAnsiTheme="majorHAnsi"/>
          <w:b/>
          <w:bCs/>
          <w:iCs/>
          <w:sz w:val="20"/>
          <w:szCs w:val="20"/>
        </w:rPr>
      </w:pPr>
      <w:r w:rsidRPr="000977F7">
        <w:rPr>
          <w:rFonts w:asciiTheme="majorHAnsi" w:hAnsiTheme="majorHAnsi"/>
          <w:b/>
          <w:bCs/>
          <w:iCs/>
          <w:sz w:val="20"/>
          <w:szCs w:val="20"/>
        </w:rPr>
        <w:t>СУСПІЛЬНІ ІНТЕРЕСИ -</w:t>
      </w:r>
    </w:p>
    <w:p w14:paraId="7EB5F9D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Безпека життя та здоров'я людей, безпечні умови праці, захист прав споживачів (користувачів), захист довкілля.</w:t>
      </w:r>
    </w:p>
    <w:p w14:paraId="263E9E79"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Ст. 1 закону України "Про загальну безпечність нехарчової продукції"</w:t>
      </w:r>
    </w:p>
    <w:p w14:paraId="4B525B0D"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СУТТЄВА НЕБЕЗПЕКА –</w:t>
      </w:r>
    </w:p>
    <w:p w14:paraId="317BEC6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SIGNIFICANT HAZARD –</w:t>
      </w:r>
    </w:p>
    <w:p w14:paraId="7A29B7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Небезпека, ідентифікована як релевантна, яка потребує від проектанта вжиття спеціальних заходів для усунення або зменшення ризику за результатом виконаного оцінювання ризику. Примітка. </w:t>
      </w:r>
    </w:p>
    <w:p w14:paraId="2D80525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Цей термін належить до базової термінології для стандартів типів В та С </w:t>
      </w:r>
    </w:p>
    <w:p w14:paraId="2EE38330"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692C8906"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СУТТЄВА НЕВІДПОВІДНІСТЬ –</w:t>
      </w:r>
    </w:p>
    <w:p w14:paraId="6C919B0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MAJOR –</w:t>
      </w:r>
    </w:p>
    <w:p w14:paraId="28F5FC7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Style w:val="14"/>
          <w:rFonts w:asciiTheme="majorHAnsi" w:hAnsiTheme="majorHAnsi"/>
          <w:sz w:val="20"/>
          <w:szCs w:val="20"/>
          <w:lang w:eastAsia="uk-UA"/>
        </w:rPr>
        <w:lastRenderedPageBreak/>
        <w:t>Невідповідність</w:t>
      </w:r>
      <w:r w:rsidRPr="000977F7">
        <w:rPr>
          <w:rStyle w:val="afa"/>
          <w:rFonts w:asciiTheme="majorHAnsi" w:hAnsiTheme="majorHAnsi"/>
          <w:sz w:val="20"/>
          <w:szCs w:val="20"/>
          <w:lang w:eastAsia="uk-UA"/>
        </w:rPr>
        <w:t>,</w:t>
      </w:r>
      <w:r w:rsidRPr="000977F7">
        <w:rPr>
          <w:rStyle w:val="14"/>
          <w:rFonts w:asciiTheme="majorHAnsi" w:hAnsiTheme="majorHAnsi"/>
          <w:sz w:val="20"/>
          <w:szCs w:val="20"/>
          <w:lang w:eastAsia="uk-UA"/>
        </w:rPr>
        <w:t xml:space="preserve"> яка має негативний вплив на можливість досягнення наміченого результату системою менеджменту</w:t>
      </w:r>
    </w:p>
    <w:p w14:paraId="7FE34AA7" w14:textId="77777777" w:rsidR="0097612F" w:rsidRPr="000977F7" w:rsidRDefault="0097612F" w:rsidP="000977F7">
      <w:pPr>
        <w:pStyle w:val="53"/>
        <w:shd w:val="clear" w:color="auto" w:fill="auto"/>
        <w:tabs>
          <w:tab w:val="left" w:pos="284"/>
        </w:tabs>
        <w:spacing w:before="0" w:after="0" w:line="240" w:lineRule="auto"/>
        <w:ind w:left="170" w:firstLine="0"/>
        <w:mirrorIndents/>
        <w:rPr>
          <w:rFonts w:asciiTheme="majorHAnsi" w:hAnsiTheme="majorHAnsi"/>
          <w:sz w:val="20"/>
          <w:szCs w:val="20"/>
        </w:rPr>
      </w:pPr>
      <w:r w:rsidRPr="000977F7">
        <w:rPr>
          <w:rStyle w:val="52"/>
          <w:rFonts w:asciiTheme="majorHAnsi" w:hAnsiTheme="majorHAnsi"/>
          <w:sz w:val="20"/>
          <w:szCs w:val="20"/>
          <w:lang w:eastAsia="uk-UA"/>
        </w:rPr>
        <w:t>Примітка. Невідповідності можна класифікувати як критичні за наступних обставин:</w:t>
      </w:r>
    </w:p>
    <w:p w14:paraId="4DB3D850" w14:textId="77777777" w:rsidR="0097612F" w:rsidRPr="000977F7" w:rsidRDefault="0097612F" w:rsidP="000977F7">
      <w:pPr>
        <w:pStyle w:val="af6"/>
        <w:tabs>
          <w:tab w:val="left" w:pos="284"/>
        </w:tabs>
        <w:spacing w:after="0"/>
        <w:ind w:left="170"/>
        <w:mirrorIndents/>
        <w:jc w:val="both"/>
        <w:rPr>
          <w:rStyle w:val="14"/>
          <w:rFonts w:asciiTheme="majorHAnsi" w:hAnsiTheme="majorHAnsi"/>
          <w:sz w:val="20"/>
          <w:szCs w:val="20"/>
          <w:lang w:eastAsia="uk-UA"/>
        </w:rPr>
      </w:pPr>
      <w:r w:rsidRPr="000977F7">
        <w:rPr>
          <w:rStyle w:val="52"/>
          <w:rFonts w:asciiTheme="majorHAnsi" w:hAnsiTheme="majorHAnsi"/>
          <w:b w:val="0"/>
          <w:bCs w:val="0"/>
          <w:sz w:val="20"/>
          <w:szCs w:val="20"/>
          <w:lang w:eastAsia="uk-UA"/>
        </w:rPr>
        <w:t xml:space="preserve">якщо є значні сумніви в наявності ефективного процесу контролю або що продукція або послуги </w:t>
      </w:r>
      <w:r w:rsidRPr="000977F7">
        <w:rPr>
          <w:rStyle w:val="14"/>
          <w:rFonts w:asciiTheme="majorHAnsi" w:hAnsiTheme="majorHAnsi"/>
          <w:sz w:val="20"/>
          <w:szCs w:val="20"/>
        </w:rPr>
        <w:t>будуть відповідати визначеним вимогам;</w:t>
      </w:r>
    </w:p>
    <w:p w14:paraId="077E416B" w14:textId="77777777" w:rsidR="0097612F" w:rsidRPr="000977F7" w:rsidRDefault="0097612F" w:rsidP="000977F7">
      <w:pPr>
        <w:pStyle w:val="af6"/>
        <w:tabs>
          <w:tab w:val="left" w:pos="284"/>
        </w:tabs>
        <w:spacing w:after="0"/>
        <w:ind w:left="170"/>
        <w:mirrorIndents/>
        <w:jc w:val="both"/>
        <w:rPr>
          <w:rStyle w:val="14"/>
          <w:rFonts w:asciiTheme="majorHAnsi" w:hAnsiTheme="majorHAnsi"/>
          <w:sz w:val="20"/>
          <w:szCs w:val="20"/>
          <w:lang w:eastAsia="uk-UA"/>
        </w:rPr>
      </w:pPr>
      <w:r w:rsidRPr="000977F7">
        <w:rPr>
          <w:rStyle w:val="14"/>
          <w:rFonts w:asciiTheme="majorHAnsi" w:hAnsiTheme="majorHAnsi"/>
          <w:sz w:val="20"/>
          <w:szCs w:val="20"/>
        </w:rPr>
        <w:t>ряд несуттєвих невідповідностей, що стосуються однієї вимоги або проблеми та можуть продемонструвати систематичне невиконання і, таким чином, становити суттєву невідповідність.</w:t>
      </w:r>
    </w:p>
    <w:p w14:paraId="11A05CDF" w14:textId="77777777" w:rsidR="0097612F" w:rsidRPr="000977F7" w:rsidRDefault="0097612F" w:rsidP="000977F7">
      <w:pPr>
        <w:pStyle w:val="af6"/>
        <w:tabs>
          <w:tab w:val="left" w:pos="284"/>
        </w:tabs>
        <w:spacing w:after="0"/>
        <w:ind w:left="170"/>
        <w:mirrorIndents/>
        <w:jc w:val="both"/>
        <w:rPr>
          <w:rStyle w:val="14"/>
          <w:rFonts w:asciiTheme="majorHAnsi" w:hAnsiTheme="majorHAnsi"/>
          <w:i/>
          <w:iCs/>
          <w:sz w:val="20"/>
          <w:szCs w:val="20"/>
          <w:lang w:eastAsia="uk-UA"/>
        </w:rPr>
      </w:pPr>
      <w:r w:rsidRPr="000977F7">
        <w:rPr>
          <w:rStyle w:val="14"/>
          <w:rFonts w:asciiTheme="majorHAnsi" w:hAnsiTheme="majorHAnsi"/>
          <w:i/>
          <w:iCs/>
          <w:sz w:val="20"/>
          <w:szCs w:val="20"/>
          <w:lang w:eastAsia="uk-UA"/>
        </w:rPr>
        <w:t>ДСТУ EN ISO/IEC 17021-1:2015</w:t>
      </w:r>
    </w:p>
    <w:p w14:paraId="501796ED"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shd w:val="clear" w:color="auto" w:fill="FFFFFF"/>
        </w:rPr>
      </w:pPr>
      <w:r w:rsidRPr="000977F7">
        <w:rPr>
          <w:rFonts w:asciiTheme="majorHAnsi" w:hAnsiTheme="majorHAnsi"/>
          <w:b/>
          <w:bCs/>
          <w:sz w:val="20"/>
          <w:szCs w:val="20"/>
          <w:shd w:val="clear" w:color="auto" w:fill="FFFFFF"/>
        </w:rPr>
        <w:t>СУТТЄВІ ВИМОГИ ЩОДО БЕЗПЕКИ ТА ОХОРОНИ ЗДОРОВ’Я –</w:t>
      </w:r>
    </w:p>
    <w:p w14:paraId="3405D9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shd w:val="clear" w:color="auto" w:fill="FFFFFF"/>
        </w:rPr>
        <w:t>Обов’язкові положення, що стосуються розроблення та вироблення продукції, на яку поширюється дія цього Технічного регламенту, для забезпечення високого рівня захисту здоров’я та безпеки людей і у разі потреби свійських тварин та майна, а у застосовних випадках навколишнього природного середовища;</w:t>
      </w:r>
    </w:p>
    <w:p w14:paraId="5F7A3BDE"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Технічний регламент безпеки машин</w:t>
      </w:r>
    </w:p>
    <w:p w14:paraId="6F5799B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СУЦІЛЬНА</w:t>
      </w:r>
      <w:r w:rsidRPr="000977F7">
        <w:rPr>
          <w:color w:val="auto"/>
          <w:spacing w:val="-4"/>
          <w:sz w:val="20"/>
          <w:szCs w:val="20"/>
        </w:rPr>
        <w:t xml:space="preserve"> </w:t>
      </w:r>
      <w:r w:rsidRPr="000977F7">
        <w:rPr>
          <w:color w:val="auto"/>
          <w:sz w:val="20"/>
          <w:szCs w:val="20"/>
        </w:rPr>
        <w:t>КОРОЗІЯ</w:t>
      </w:r>
      <w:r w:rsidRPr="000977F7">
        <w:rPr>
          <w:color w:val="auto"/>
          <w:spacing w:val="-2"/>
          <w:sz w:val="20"/>
          <w:szCs w:val="20"/>
        </w:rPr>
        <w:t xml:space="preserve"> </w:t>
      </w:r>
      <w:r w:rsidRPr="000977F7">
        <w:rPr>
          <w:color w:val="auto"/>
          <w:sz w:val="20"/>
          <w:szCs w:val="20"/>
        </w:rPr>
        <w:t>–</w:t>
      </w:r>
    </w:p>
    <w:p w14:paraId="0EB051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Корозія</w:t>
      </w:r>
      <w:r w:rsidRPr="000977F7">
        <w:rPr>
          <w:rFonts w:asciiTheme="majorHAnsi" w:hAnsiTheme="majorHAnsi"/>
          <w:spacing w:val="-4"/>
          <w:sz w:val="20"/>
          <w:szCs w:val="20"/>
        </w:rPr>
        <w:t xml:space="preserve"> </w:t>
      </w:r>
      <w:r w:rsidRPr="000977F7">
        <w:rPr>
          <w:rFonts w:asciiTheme="majorHAnsi" w:hAnsiTheme="majorHAnsi"/>
          <w:sz w:val="20"/>
          <w:szCs w:val="20"/>
        </w:rPr>
        <w:t>по</w:t>
      </w:r>
      <w:r w:rsidRPr="000977F7">
        <w:rPr>
          <w:rFonts w:asciiTheme="majorHAnsi" w:hAnsiTheme="majorHAnsi"/>
          <w:spacing w:val="-2"/>
          <w:sz w:val="20"/>
          <w:szCs w:val="20"/>
        </w:rPr>
        <w:t xml:space="preserve"> </w:t>
      </w:r>
      <w:r w:rsidRPr="000977F7">
        <w:rPr>
          <w:rFonts w:asciiTheme="majorHAnsi" w:hAnsiTheme="majorHAnsi"/>
          <w:sz w:val="20"/>
          <w:szCs w:val="20"/>
        </w:rPr>
        <w:t>всій</w:t>
      </w:r>
      <w:r w:rsidRPr="000977F7">
        <w:rPr>
          <w:rFonts w:asciiTheme="majorHAnsi" w:hAnsiTheme="majorHAnsi"/>
          <w:spacing w:val="-4"/>
          <w:sz w:val="20"/>
          <w:szCs w:val="20"/>
        </w:rPr>
        <w:t xml:space="preserve"> </w:t>
      </w:r>
      <w:r w:rsidRPr="000977F7">
        <w:rPr>
          <w:rFonts w:asciiTheme="majorHAnsi" w:hAnsiTheme="majorHAnsi"/>
          <w:sz w:val="20"/>
          <w:szCs w:val="20"/>
        </w:rPr>
        <w:t>поверхні</w:t>
      </w:r>
      <w:r w:rsidRPr="000977F7">
        <w:rPr>
          <w:rFonts w:asciiTheme="majorHAnsi" w:hAnsiTheme="majorHAnsi"/>
          <w:spacing w:val="-3"/>
          <w:sz w:val="20"/>
          <w:szCs w:val="20"/>
        </w:rPr>
        <w:t xml:space="preserve"> </w:t>
      </w:r>
      <w:r w:rsidRPr="000977F7">
        <w:rPr>
          <w:rFonts w:asciiTheme="majorHAnsi" w:hAnsiTheme="majorHAnsi"/>
          <w:sz w:val="20"/>
          <w:szCs w:val="20"/>
        </w:rPr>
        <w:t>металу</w:t>
      </w:r>
    </w:p>
    <w:p w14:paraId="1D20594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3830 - 98</w:t>
      </w:r>
    </w:p>
    <w:p w14:paraId="7D0D97F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СУЦІЛЬНЕ</w:t>
      </w:r>
      <w:r w:rsidRPr="000977F7">
        <w:rPr>
          <w:color w:val="auto"/>
          <w:spacing w:val="13"/>
          <w:sz w:val="20"/>
          <w:szCs w:val="20"/>
        </w:rPr>
        <w:t xml:space="preserve"> </w:t>
      </w:r>
      <w:r w:rsidRPr="000977F7">
        <w:rPr>
          <w:color w:val="auto"/>
          <w:sz w:val="20"/>
          <w:szCs w:val="20"/>
        </w:rPr>
        <w:t>ВИПРОБУВАННЯ</w:t>
      </w:r>
      <w:r w:rsidRPr="000977F7">
        <w:rPr>
          <w:color w:val="auto"/>
          <w:spacing w:val="14"/>
          <w:sz w:val="20"/>
          <w:szCs w:val="20"/>
        </w:rPr>
        <w:t xml:space="preserve"> </w:t>
      </w:r>
      <w:r w:rsidRPr="000977F7">
        <w:rPr>
          <w:color w:val="auto"/>
          <w:sz w:val="20"/>
          <w:szCs w:val="20"/>
        </w:rPr>
        <w:t>ВИРОБІВ</w:t>
      </w:r>
      <w:r w:rsidRPr="000977F7">
        <w:rPr>
          <w:color w:val="auto"/>
          <w:spacing w:val="15"/>
          <w:sz w:val="20"/>
          <w:szCs w:val="20"/>
        </w:rPr>
        <w:t xml:space="preserve"> </w:t>
      </w:r>
      <w:r w:rsidRPr="000977F7">
        <w:rPr>
          <w:color w:val="auto"/>
          <w:sz w:val="20"/>
          <w:szCs w:val="20"/>
        </w:rPr>
        <w:t>ДЛЯ</w:t>
      </w:r>
      <w:r w:rsidRPr="000977F7">
        <w:rPr>
          <w:color w:val="auto"/>
          <w:spacing w:val="-47"/>
          <w:sz w:val="20"/>
          <w:szCs w:val="20"/>
        </w:rPr>
        <w:t xml:space="preserve"> </w:t>
      </w:r>
      <w:r w:rsidRPr="000977F7">
        <w:rPr>
          <w:color w:val="auto"/>
          <w:sz w:val="20"/>
          <w:szCs w:val="20"/>
        </w:rPr>
        <w:t>СЕРТИФІКАЦІЇ</w:t>
      </w:r>
      <w:r w:rsidRPr="000977F7">
        <w:rPr>
          <w:color w:val="auto"/>
          <w:spacing w:val="-1"/>
          <w:sz w:val="20"/>
          <w:szCs w:val="20"/>
        </w:rPr>
        <w:t xml:space="preserve"> </w:t>
      </w:r>
      <w:r w:rsidRPr="000977F7">
        <w:rPr>
          <w:color w:val="auto"/>
          <w:sz w:val="20"/>
          <w:szCs w:val="20"/>
        </w:rPr>
        <w:t>–</w:t>
      </w:r>
    </w:p>
    <w:p w14:paraId="0D8BA7C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TEST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EVERY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ITEM</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FOR</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CERTIFICATION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41B0A7C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кожного зразка конкретного виду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відповідність</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нормативним</w:t>
      </w:r>
      <w:r w:rsidRPr="000977F7">
        <w:rPr>
          <w:rFonts w:asciiTheme="majorHAnsi" w:hAnsiTheme="majorHAnsi"/>
          <w:spacing w:val="1"/>
          <w:sz w:val="20"/>
          <w:szCs w:val="20"/>
        </w:rPr>
        <w:t xml:space="preserve"> </w:t>
      </w:r>
      <w:r w:rsidRPr="000977F7">
        <w:rPr>
          <w:rFonts w:asciiTheme="majorHAnsi" w:hAnsiTheme="majorHAnsi"/>
          <w:sz w:val="20"/>
          <w:szCs w:val="20"/>
        </w:rPr>
        <w:t>документам</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47"/>
          <w:sz w:val="20"/>
          <w:szCs w:val="20"/>
        </w:rPr>
        <w:t xml:space="preserve"> </w:t>
      </w:r>
      <w:r w:rsidRPr="000977F7">
        <w:rPr>
          <w:rFonts w:asciiTheme="majorHAnsi" w:hAnsiTheme="majorHAnsi"/>
          <w:sz w:val="20"/>
          <w:szCs w:val="20"/>
        </w:rPr>
        <w:t>сертифікації</w:t>
      </w:r>
    </w:p>
    <w:p w14:paraId="312079D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5F022E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w w:val="95"/>
          <w:sz w:val="20"/>
          <w:szCs w:val="20"/>
        </w:rPr>
        <w:t>СУЦІЛЬНИЙ</w:t>
      </w:r>
      <w:r w:rsidRPr="000977F7">
        <w:rPr>
          <w:color w:val="auto"/>
          <w:spacing w:val="14"/>
          <w:w w:val="95"/>
          <w:sz w:val="20"/>
          <w:szCs w:val="20"/>
        </w:rPr>
        <w:t xml:space="preserve"> </w:t>
      </w:r>
      <w:r w:rsidRPr="000977F7">
        <w:rPr>
          <w:color w:val="auto"/>
          <w:w w:val="95"/>
          <w:sz w:val="20"/>
          <w:szCs w:val="20"/>
        </w:rPr>
        <w:t>КОНТРОЛЬ</w:t>
      </w:r>
      <w:r w:rsidRPr="000977F7">
        <w:rPr>
          <w:color w:val="auto"/>
          <w:spacing w:val="13"/>
          <w:w w:val="95"/>
          <w:sz w:val="20"/>
          <w:szCs w:val="20"/>
        </w:rPr>
        <w:t xml:space="preserve"> </w:t>
      </w:r>
      <w:r w:rsidRPr="000977F7">
        <w:rPr>
          <w:color w:val="auto"/>
          <w:w w:val="95"/>
          <w:sz w:val="20"/>
          <w:szCs w:val="20"/>
        </w:rPr>
        <w:t>З</w:t>
      </w:r>
      <w:r w:rsidRPr="000977F7">
        <w:rPr>
          <w:color w:val="auto"/>
          <w:spacing w:val="11"/>
          <w:w w:val="95"/>
          <w:sz w:val="20"/>
          <w:szCs w:val="20"/>
        </w:rPr>
        <w:t xml:space="preserve"> </w:t>
      </w:r>
      <w:r w:rsidRPr="000977F7">
        <w:rPr>
          <w:color w:val="auto"/>
          <w:w w:val="95"/>
          <w:sz w:val="20"/>
          <w:szCs w:val="20"/>
        </w:rPr>
        <w:t>РОЗБРАКУВАННЯМ</w:t>
      </w:r>
      <w:r w:rsidRPr="000977F7">
        <w:rPr>
          <w:color w:val="auto"/>
          <w:spacing w:val="16"/>
          <w:w w:val="95"/>
          <w:sz w:val="20"/>
          <w:szCs w:val="20"/>
        </w:rPr>
        <w:t xml:space="preserve"> </w:t>
      </w:r>
      <w:r w:rsidRPr="000977F7">
        <w:rPr>
          <w:color w:val="auto"/>
          <w:w w:val="95"/>
          <w:sz w:val="20"/>
          <w:szCs w:val="20"/>
        </w:rPr>
        <w:t>–</w:t>
      </w:r>
    </w:p>
    <w:p w14:paraId="2878997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SCREENING</w:t>
      </w:r>
      <w:r w:rsidRPr="004D2D14">
        <w:rPr>
          <w:rFonts w:asciiTheme="majorHAnsi" w:hAnsiTheme="majorHAnsi"/>
          <w:spacing w:val="-2"/>
          <w:sz w:val="20"/>
          <w:szCs w:val="20"/>
          <w:lang w:val="uk-UA"/>
        </w:rPr>
        <w:t xml:space="preserve"> </w:t>
      </w:r>
      <w:r w:rsidRPr="000977F7">
        <w:rPr>
          <w:rFonts w:asciiTheme="majorHAnsi" w:hAnsiTheme="majorHAnsi"/>
          <w:sz w:val="20"/>
          <w:szCs w:val="20"/>
        </w:rPr>
        <w:t>TEST</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35A3587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Суцільний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контроль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певної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кількості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матеріалу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одиниць продукції з заміною всіх виявлених дефектних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одиниць чи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частин</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придатні</w:t>
      </w:r>
    </w:p>
    <w:p w14:paraId="5686CEC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 1 - 95</w:t>
      </w:r>
    </w:p>
    <w:p w14:paraId="0CB8D0C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СУЦІЛЬНИЙ</w:t>
      </w:r>
      <w:r w:rsidRPr="000977F7">
        <w:rPr>
          <w:color w:val="auto"/>
          <w:spacing w:val="-3"/>
          <w:sz w:val="20"/>
          <w:szCs w:val="20"/>
        </w:rPr>
        <w:t xml:space="preserve"> </w:t>
      </w:r>
      <w:r w:rsidRPr="000977F7">
        <w:rPr>
          <w:color w:val="auto"/>
          <w:sz w:val="20"/>
          <w:szCs w:val="20"/>
        </w:rPr>
        <w:t>КОНТРОЛЬ</w:t>
      </w:r>
      <w:r w:rsidRPr="000977F7">
        <w:rPr>
          <w:color w:val="auto"/>
          <w:spacing w:val="-2"/>
          <w:sz w:val="20"/>
          <w:szCs w:val="20"/>
        </w:rPr>
        <w:t xml:space="preserve"> </w:t>
      </w:r>
      <w:r w:rsidRPr="000977F7">
        <w:rPr>
          <w:color w:val="auto"/>
          <w:sz w:val="20"/>
          <w:szCs w:val="20"/>
        </w:rPr>
        <w:t>–</w:t>
      </w:r>
    </w:p>
    <w:p w14:paraId="292DA27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100 %</w:t>
      </w:r>
      <w:r w:rsidRPr="000977F7">
        <w:rPr>
          <w:rFonts w:asciiTheme="majorHAnsi" w:hAnsiTheme="majorHAnsi"/>
          <w:spacing w:val="-2"/>
          <w:sz w:val="20"/>
          <w:szCs w:val="20"/>
        </w:rPr>
        <w:t xml:space="preserve"> </w:t>
      </w:r>
      <w:r w:rsidRPr="000977F7">
        <w:rPr>
          <w:rFonts w:asciiTheme="majorHAnsi" w:hAnsiTheme="majorHAnsi"/>
          <w:sz w:val="20"/>
          <w:szCs w:val="20"/>
        </w:rPr>
        <w:t>INSPECTION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6BE1F4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w:t>
      </w:r>
      <w:r w:rsidRPr="000977F7">
        <w:rPr>
          <w:rFonts w:asciiTheme="majorHAnsi" w:hAnsiTheme="majorHAnsi"/>
          <w:spacing w:val="-1"/>
          <w:sz w:val="20"/>
          <w:szCs w:val="20"/>
        </w:rPr>
        <w:t xml:space="preserve"> </w:t>
      </w:r>
      <w:r w:rsidRPr="000977F7">
        <w:rPr>
          <w:rFonts w:asciiTheme="majorHAnsi" w:hAnsiTheme="majorHAnsi"/>
          <w:sz w:val="20"/>
          <w:szCs w:val="20"/>
        </w:rPr>
        <w:t>кожної</w:t>
      </w:r>
      <w:r w:rsidRPr="000977F7">
        <w:rPr>
          <w:rFonts w:asciiTheme="majorHAnsi" w:hAnsiTheme="majorHAnsi"/>
          <w:spacing w:val="-4"/>
          <w:sz w:val="20"/>
          <w:szCs w:val="20"/>
        </w:rPr>
        <w:t xml:space="preserve"> </w:t>
      </w:r>
      <w:r w:rsidRPr="000977F7">
        <w:rPr>
          <w:rFonts w:asciiTheme="majorHAnsi" w:hAnsiTheme="majorHAnsi"/>
          <w:sz w:val="20"/>
          <w:szCs w:val="20"/>
        </w:rPr>
        <w:t>одиниці</w:t>
      </w:r>
      <w:r w:rsidRPr="000977F7">
        <w:rPr>
          <w:rFonts w:asciiTheme="majorHAnsi" w:hAnsiTheme="majorHAnsi"/>
          <w:spacing w:val="-4"/>
          <w:sz w:val="20"/>
          <w:szCs w:val="20"/>
        </w:rPr>
        <w:t xml:space="preserve"> </w:t>
      </w:r>
      <w:r w:rsidRPr="000977F7">
        <w:rPr>
          <w:rFonts w:asciiTheme="majorHAnsi" w:hAnsiTheme="majorHAnsi"/>
          <w:sz w:val="20"/>
          <w:szCs w:val="20"/>
        </w:rPr>
        <w:t>продукції</w:t>
      </w:r>
      <w:r w:rsidRPr="000977F7">
        <w:rPr>
          <w:rFonts w:asciiTheme="majorHAnsi" w:hAnsiTheme="majorHAnsi"/>
          <w:spacing w:val="-4"/>
          <w:sz w:val="20"/>
          <w:szCs w:val="20"/>
        </w:rPr>
        <w:t xml:space="preserve"> </w:t>
      </w:r>
      <w:r w:rsidRPr="000977F7">
        <w:rPr>
          <w:rFonts w:asciiTheme="majorHAnsi" w:hAnsiTheme="majorHAnsi"/>
          <w:sz w:val="20"/>
          <w:szCs w:val="20"/>
        </w:rPr>
        <w:t>в</w:t>
      </w:r>
      <w:r w:rsidRPr="000977F7">
        <w:rPr>
          <w:rFonts w:asciiTheme="majorHAnsi" w:hAnsiTheme="majorHAnsi"/>
          <w:spacing w:val="-4"/>
          <w:sz w:val="20"/>
          <w:szCs w:val="20"/>
        </w:rPr>
        <w:t xml:space="preserve"> </w:t>
      </w:r>
      <w:r w:rsidRPr="000977F7">
        <w:rPr>
          <w:rFonts w:asciiTheme="majorHAnsi" w:hAnsiTheme="majorHAnsi"/>
          <w:sz w:val="20"/>
          <w:szCs w:val="20"/>
        </w:rPr>
        <w:t>партії</w:t>
      </w:r>
    </w:p>
    <w:p w14:paraId="56C27FD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EAE686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СФЕРА</w:t>
      </w:r>
      <w:r w:rsidRPr="000977F7">
        <w:rPr>
          <w:color w:val="auto"/>
          <w:spacing w:val="-3"/>
          <w:sz w:val="20"/>
          <w:szCs w:val="20"/>
        </w:rPr>
        <w:t xml:space="preserve"> </w:t>
      </w:r>
      <w:r w:rsidRPr="000977F7">
        <w:rPr>
          <w:color w:val="auto"/>
          <w:sz w:val="20"/>
          <w:szCs w:val="20"/>
        </w:rPr>
        <w:t>АУДИТУ</w:t>
      </w:r>
      <w:r w:rsidRPr="000977F7">
        <w:rPr>
          <w:color w:val="auto"/>
          <w:spacing w:val="-1"/>
          <w:sz w:val="20"/>
          <w:szCs w:val="20"/>
        </w:rPr>
        <w:t xml:space="preserve"> </w:t>
      </w:r>
      <w:r w:rsidRPr="000977F7">
        <w:rPr>
          <w:color w:val="auto"/>
          <w:sz w:val="20"/>
          <w:szCs w:val="20"/>
        </w:rPr>
        <w:t>–</w:t>
      </w:r>
    </w:p>
    <w:p w14:paraId="03E79A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AUDIT</w:t>
      </w:r>
      <w:r w:rsidRPr="000977F7">
        <w:rPr>
          <w:rFonts w:asciiTheme="majorHAnsi" w:hAnsiTheme="majorHAnsi"/>
          <w:spacing w:val="1"/>
          <w:sz w:val="20"/>
          <w:szCs w:val="20"/>
        </w:rPr>
        <w:t xml:space="preserve"> </w:t>
      </w:r>
      <w:r w:rsidRPr="000977F7">
        <w:rPr>
          <w:rFonts w:asciiTheme="majorHAnsi" w:hAnsiTheme="majorHAnsi"/>
          <w:sz w:val="20"/>
          <w:szCs w:val="20"/>
        </w:rPr>
        <w:t>SCOPE -</w:t>
      </w:r>
    </w:p>
    <w:p w14:paraId="67248F5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Обсяг</w:t>
      </w:r>
      <w:r w:rsidRPr="000977F7">
        <w:rPr>
          <w:rFonts w:asciiTheme="majorHAnsi" w:hAnsiTheme="majorHAnsi"/>
          <w:spacing w:val="-4"/>
          <w:sz w:val="20"/>
          <w:szCs w:val="20"/>
        </w:rPr>
        <w:t xml:space="preserve"> </w:t>
      </w:r>
      <w:r w:rsidRPr="000977F7">
        <w:rPr>
          <w:rFonts w:asciiTheme="majorHAnsi" w:hAnsiTheme="majorHAnsi"/>
          <w:sz w:val="20"/>
          <w:szCs w:val="20"/>
        </w:rPr>
        <w:t>і</w:t>
      </w:r>
      <w:r w:rsidRPr="000977F7">
        <w:rPr>
          <w:rFonts w:asciiTheme="majorHAnsi" w:hAnsiTheme="majorHAnsi"/>
          <w:spacing w:val="-4"/>
          <w:sz w:val="20"/>
          <w:szCs w:val="20"/>
        </w:rPr>
        <w:t xml:space="preserve"> </w:t>
      </w:r>
      <w:r w:rsidRPr="000977F7">
        <w:rPr>
          <w:rFonts w:asciiTheme="majorHAnsi" w:hAnsiTheme="majorHAnsi"/>
          <w:sz w:val="20"/>
          <w:szCs w:val="20"/>
        </w:rPr>
        <w:t>межі</w:t>
      </w:r>
      <w:r w:rsidRPr="000977F7">
        <w:rPr>
          <w:rFonts w:asciiTheme="majorHAnsi" w:hAnsiTheme="majorHAnsi"/>
          <w:spacing w:val="-3"/>
          <w:sz w:val="20"/>
          <w:szCs w:val="20"/>
        </w:rPr>
        <w:t xml:space="preserve"> </w:t>
      </w:r>
      <w:r w:rsidRPr="000977F7">
        <w:rPr>
          <w:rFonts w:asciiTheme="majorHAnsi" w:hAnsiTheme="majorHAnsi"/>
          <w:sz w:val="20"/>
          <w:szCs w:val="20"/>
        </w:rPr>
        <w:t>аудиту.</w:t>
      </w:r>
    </w:p>
    <w:p w14:paraId="009D0A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Сфера аудиту, зазвичай, охоплює опис місця</w:t>
      </w:r>
      <w:r w:rsidRPr="000977F7">
        <w:rPr>
          <w:rFonts w:asciiTheme="majorHAnsi" w:hAnsiTheme="majorHAnsi"/>
          <w:spacing w:val="1"/>
          <w:sz w:val="20"/>
          <w:szCs w:val="20"/>
        </w:rPr>
        <w:t xml:space="preserve"> </w:t>
      </w:r>
      <w:r w:rsidRPr="000977F7">
        <w:rPr>
          <w:rFonts w:asciiTheme="majorHAnsi" w:hAnsiTheme="majorHAnsi"/>
          <w:sz w:val="20"/>
          <w:szCs w:val="20"/>
        </w:rPr>
        <w:t>розташування</w:t>
      </w:r>
      <w:r w:rsidRPr="000977F7">
        <w:rPr>
          <w:rFonts w:asciiTheme="majorHAnsi" w:hAnsiTheme="majorHAnsi"/>
          <w:spacing w:val="1"/>
          <w:sz w:val="20"/>
          <w:szCs w:val="20"/>
        </w:rPr>
        <w:t xml:space="preserve"> </w:t>
      </w:r>
      <w:r w:rsidRPr="000977F7">
        <w:rPr>
          <w:rFonts w:asciiTheme="majorHAnsi" w:hAnsiTheme="majorHAnsi"/>
          <w:sz w:val="20"/>
          <w:szCs w:val="20"/>
        </w:rPr>
        <w:t>ділянок,</w:t>
      </w:r>
      <w:r w:rsidRPr="000977F7">
        <w:rPr>
          <w:rFonts w:asciiTheme="majorHAnsi" w:hAnsiTheme="majorHAnsi"/>
          <w:spacing w:val="1"/>
          <w:sz w:val="20"/>
          <w:szCs w:val="20"/>
        </w:rPr>
        <w:t xml:space="preserve"> </w:t>
      </w:r>
      <w:r w:rsidRPr="000977F7">
        <w:rPr>
          <w:rFonts w:asciiTheme="majorHAnsi" w:hAnsiTheme="majorHAnsi"/>
          <w:sz w:val="20"/>
          <w:szCs w:val="20"/>
        </w:rPr>
        <w:t>структурних</w:t>
      </w:r>
      <w:r w:rsidRPr="000977F7">
        <w:rPr>
          <w:rFonts w:asciiTheme="majorHAnsi" w:hAnsiTheme="majorHAnsi"/>
          <w:spacing w:val="1"/>
          <w:sz w:val="20"/>
          <w:szCs w:val="20"/>
        </w:rPr>
        <w:t xml:space="preserve"> </w:t>
      </w:r>
      <w:r w:rsidRPr="000977F7">
        <w:rPr>
          <w:rFonts w:asciiTheme="majorHAnsi" w:hAnsiTheme="majorHAnsi"/>
          <w:sz w:val="20"/>
          <w:szCs w:val="20"/>
        </w:rPr>
        <w:t>підрозділів</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видів</w:t>
      </w:r>
      <w:r w:rsidRPr="000977F7">
        <w:rPr>
          <w:rFonts w:asciiTheme="majorHAnsi" w:hAnsiTheme="majorHAnsi"/>
          <w:spacing w:val="-1"/>
          <w:sz w:val="20"/>
          <w:szCs w:val="20"/>
        </w:rPr>
        <w:t xml:space="preserve"> </w:t>
      </w:r>
      <w:r w:rsidRPr="000977F7">
        <w:rPr>
          <w:rFonts w:asciiTheme="majorHAnsi" w:hAnsiTheme="majorHAnsi"/>
          <w:sz w:val="20"/>
          <w:szCs w:val="20"/>
        </w:rPr>
        <w:t>робіт</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p>
    <w:p w14:paraId="23B330E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2C683277"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r w:rsidRPr="000977F7">
        <w:rPr>
          <w:rFonts w:asciiTheme="majorHAnsi" w:hAnsiTheme="majorHAnsi"/>
          <w:b/>
          <w:bCs/>
          <w:iCs/>
          <w:sz w:val="20"/>
          <w:szCs w:val="20"/>
        </w:rPr>
        <w:t>СФЕРА ВІДПОВІДАЛЬНОСТІ ОРГАНУ РИНКОВОГО НАГЛЯДУ -</w:t>
      </w:r>
    </w:p>
    <w:p w14:paraId="3464B9B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hyperlink r:id="rId39" w:anchor="n11" w:tgtFrame="_blank" w:history="1">
        <w:r w:rsidRPr="000977F7">
          <w:rPr>
            <w:rFonts w:asciiTheme="majorHAnsi" w:hAnsiTheme="majorHAnsi"/>
            <w:sz w:val="20"/>
            <w:szCs w:val="20"/>
          </w:rPr>
          <w:t>ерелік видів продукції</w:t>
        </w:r>
      </w:hyperlink>
      <w:r w:rsidRPr="000977F7">
        <w:rPr>
          <w:rFonts w:asciiTheme="majorHAnsi" w:hAnsiTheme="majorHAnsi"/>
          <w:sz w:val="20"/>
          <w:szCs w:val="20"/>
        </w:rPr>
        <w:t>, затверджений відповідно до цього Закону Кабінетом Міністрів України, щодо яких відповідний орган ринкового нагляду здійснює ринковий нагляд</w:t>
      </w:r>
    </w:p>
    <w:p w14:paraId="17355F56"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Ст. 1 закону України "Про державний ринковий нагляд і контроль нехарчової продукції"</w:t>
      </w:r>
    </w:p>
    <w:p w14:paraId="75972AC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277" w:name="_Hlk103190016"/>
      <w:r w:rsidRPr="000977F7">
        <w:rPr>
          <w:color w:val="auto"/>
          <w:sz w:val="20"/>
          <w:szCs w:val="20"/>
        </w:rPr>
        <w:t>СФЕРА</w:t>
      </w:r>
      <w:bookmarkEnd w:id="277"/>
      <w:r w:rsidRPr="000977F7">
        <w:rPr>
          <w:color w:val="auto"/>
          <w:spacing w:val="-3"/>
          <w:sz w:val="20"/>
          <w:szCs w:val="20"/>
        </w:rPr>
        <w:t xml:space="preserve"> </w:t>
      </w:r>
      <w:r w:rsidRPr="000977F7">
        <w:rPr>
          <w:color w:val="auto"/>
          <w:sz w:val="20"/>
          <w:szCs w:val="20"/>
        </w:rPr>
        <w:t>ПІДТВЕРДЖЕННЯ-</w:t>
      </w:r>
    </w:p>
    <w:p w14:paraId="43506C1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SCOPE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 ATTESTATION -</w:t>
      </w:r>
    </w:p>
    <w:p w14:paraId="7F4FB08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Діапазон</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характеристики</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єктів</w:t>
      </w:r>
      <w:r w:rsidRPr="004D2D14">
        <w:rPr>
          <w:rFonts w:asciiTheme="majorHAnsi" w:hAnsiTheme="majorHAnsi"/>
          <w:sz w:val="20"/>
          <w:szCs w:val="20"/>
          <w:lang w:val="en-US"/>
        </w:rPr>
        <w:t xml:space="preserve"> </w:t>
      </w:r>
      <w:r w:rsidRPr="000977F7">
        <w:rPr>
          <w:rFonts w:asciiTheme="majorHAnsi" w:hAnsiTheme="majorHAnsi"/>
          <w:sz w:val="20"/>
          <w:szCs w:val="20"/>
        </w:rPr>
        <w:t>оцінювання</w:t>
      </w:r>
      <w:r w:rsidRPr="004D2D14">
        <w:rPr>
          <w:rFonts w:asciiTheme="majorHAnsi" w:hAnsiTheme="majorHAnsi"/>
          <w:sz w:val="20"/>
          <w:szCs w:val="20"/>
          <w:lang w:val="en-US"/>
        </w:rPr>
        <w:t xml:space="preserve"> </w:t>
      </w:r>
      <w:r w:rsidRPr="000977F7">
        <w:rPr>
          <w:rFonts w:asciiTheme="majorHAnsi" w:hAnsiTheme="majorHAnsi"/>
          <w:sz w:val="20"/>
          <w:szCs w:val="20"/>
        </w:rPr>
        <w:t>відповідності</w:t>
      </w:r>
      <w:r w:rsidRPr="004D2D14">
        <w:rPr>
          <w:rFonts w:asciiTheme="majorHAnsi" w:hAnsiTheme="majorHAnsi"/>
          <w:sz w:val="20"/>
          <w:szCs w:val="20"/>
          <w:lang w:val="en-US"/>
        </w:rPr>
        <w:t xml:space="preserve">, </w:t>
      </w:r>
      <w:r w:rsidRPr="000977F7">
        <w:rPr>
          <w:rFonts w:asciiTheme="majorHAnsi" w:hAnsiTheme="majorHAnsi"/>
          <w:sz w:val="20"/>
          <w:szCs w:val="20"/>
        </w:rPr>
        <w:t>які</w:t>
      </w:r>
      <w:r w:rsidRPr="004D2D14">
        <w:rPr>
          <w:rFonts w:asciiTheme="majorHAnsi" w:hAnsiTheme="majorHAnsi"/>
          <w:sz w:val="20"/>
          <w:szCs w:val="20"/>
          <w:lang w:val="en-US"/>
        </w:rPr>
        <w:t xml:space="preserve"> </w:t>
      </w:r>
      <w:r w:rsidRPr="000977F7">
        <w:rPr>
          <w:rFonts w:asciiTheme="majorHAnsi" w:hAnsiTheme="majorHAnsi"/>
          <w:sz w:val="20"/>
          <w:szCs w:val="20"/>
        </w:rPr>
        <w:t>охоплено</w:t>
      </w:r>
      <w:r w:rsidRPr="004D2D14">
        <w:rPr>
          <w:rFonts w:asciiTheme="majorHAnsi" w:hAnsiTheme="majorHAnsi"/>
          <w:sz w:val="20"/>
          <w:szCs w:val="20"/>
          <w:lang w:val="en-US"/>
        </w:rPr>
        <w:t xml:space="preserve"> </w:t>
      </w:r>
      <w:r w:rsidRPr="000977F7">
        <w:rPr>
          <w:rFonts w:asciiTheme="majorHAnsi" w:hAnsiTheme="majorHAnsi"/>
          <w:sz w:val="20"/>
          <w:szCs w:val="20"/>
        </w:rPr>
        <w:t>підтвердженням</w:t>
      </w:r>
      <w:r w:rsidRPr="004D2D14">
        <w:rPr>
          <w:rFonts w:asciiTheme="majorHAnsi" w:hAnsiTheme="majorHAnsi"/>
          <w:sz w:val="20"/>
          <w:szCs w:val="20"/>
          <w:lang w:val="en-US"/>
        </w:rPr>
        <w:t xml:space="preserve"> </w:t>
      </w:r>
      <w:r w:rsidRPr="000977F7">
        <w:rPr>
          <w:rFonts w:asciiTheme="majorHAnsi" w:hAnsiTheme="majorHAnsi"/>
          <w:sz w:val="20"/>
          <w:szCs w:val="20"/>
        </w:rPr>
        <w:t>відповідності</w:t>
      </w:r>
    </w:p>
    <w:p w14:paraId="2F33324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ISO/IEC</w:t>
      </w:r>
      <w:r w:rsidRPr="000977F7">
        <w:rPr>
          <w:rFonts w:asciiTheme="majorHAnsi" w:hAnsiTheme="majorHAnsi"/>
          <w:i/>
          <w:spacing w:val="1"/>
          <w:sz w:val="20"/>
          <w:szCs w:val="20"/>
        </w:rPr>
        <w:t xml:space="preserve"> </w:t>
      </w:r>
      <w:r w:rsidRPr="000977F7">
        <w:rPr>
          <w:rFonts w:asciiTheme="majorHAnsi" w:hAnsiTheme="majorHAnsi"/>
          <w:i/>
          <w:sz w:val="20"/>
          <w:szCs w:val="20"/>
        </w:rPr>
        <w:t>17000:2007</w:t>
      </w:r>
    </w:p>
    <w:p w14:paraId="5A1BEF4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СФЕРА ПРИЗНАЧЕННЯ –</w:t>
      </w:r>
    </w:p>
    <w:p w14:paraId="7CB881A9"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Перелік процедур оцінки відповідності та видів продукції, стосовно яких згідно з відповідним технічним регламентом призначено орган з оцінки відповідності</w:t>
      </w:r>
    </w:p>
    <w:p w14:paraId="4D533A0A"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bookmarkStart w:id="278" w:name="_Hlk103190677"/>
      <w:r w:rsidRPr="000977F7">
        <w:rPr>
          <w:b w:val="0"/>
          <w:bCs/>
          <w:i/>
          <w:iCs w:val="0"/>
          <w:color w:val="auto"/>
          <w:sz w:val="20"/>
          <w:szCs w:val="20"/>
        </w:rPr>
        <w:t>Ст. 1 закону України "Про технічні регламенти та оцінку відповідності"</w:t>
      </w:r>
    </w:p>
    <w:bookmarkEnd w:id="278"/>
    <w:p w14:paraId="0CE65F0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СФЕРА СТАНДАРТИЗАЦІЇ – </w:t>
      </w:r>
    </w:p>
    <w:p w14:paraId="7CD8A818"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FIELD OF STANDARDIZATION –</w:t>
      </w:r>
    </w:p>
    <w:p w14:paraId="1EB59A08"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Сфера діяльності, що охоплює взаємопов’язані об’єкти стандартизації</w:t>
      </w:r>
    </w:p>
    <w:p w14:paraId="37E2DB61"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П р и м і т к а:</w:t>
      </w:r>
    </w:p>
    <w:p w14:paraId="1506F4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Сферою</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можна</w:t>
      </w:r>
      <w:r w:rsidRPr="000977F7">
        <w:rPr>
          <w:rFonts w:asciiTheme="majorHAnsi" w:hAnsiTheme="majorHAnsi"/>
          <w:spacing w:val="1"/>
          <w:sz w:val="20"/>
          <w:szCs w:val="20"/>
        </w:rPr>
        <w:t xml:space="preserve"> </w:t>
      </w:r>
      <w:r w:rsidRPr="000977F7">
        <w:rPr>
          <w:rFonts w:asciiTheme="majorHAnsi" w:hAnsiTheme="majorHAnsi"/>
          <w:sz w:val="20"/>
          <w:szCs w:val="20"/>
        </w:rPr>
        <w:t>вважати,</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машинобудування, транспорт, сільське господарство,</w:t>
      </w:r>
      <w:r w:rsidRPr="000977F7">
        <w:rPr>
          <w:rFonts w:asciiTheme="majorHAnsi" w:hAnsiTheme="majorHAnsi"/>
          <w:spacing w:val="1"/>
          <w:sz w:val="20"/>
          <w:szCs w:val="20"/>
        </w:rPr>
        <w:t xml:space="preserve"> </w:t>
      </w:r>
      <w:r w:rsidRPr="000977F7">
        <w:rPr>
          <w:rFonts w:asciiTheme="majorHAnsi" w:hAnsiTheme="majorHAnsi"/>
          <w:sz w:val="20"/>
          <w:szCs w:val="20"/>
        </w:rPr>
        <w:t>величини</w:t>
      </w:r>
      <w:r w:rsidRPr="000977F7">
        <w:rPr>
          <w:rFonts w:asciiTheme="majorHAnsi" w:hAnsiTheme="majorHAnsi"/>
          <w:spacing w:val="-2"/>
          <w:sz w:val="20"/>
          <w:szCs w:val="20"/>
        </w:rPr>
        <w:t xml:space="preserve"> </w:t>
      </w:r>
      <w:r w:rsidRPr="000977F7">
        <w:rPr>
          <w:rFonts w:asciiTheme="majorHAnsi" w:hAnsiTheme="majorHAnsi"/>
          <w:sz w:val="20"/>
          <w:szCs w:val="20"/>
        </w:rPr>
        <w:t>та їхні</w:t>
      </w:r>
      <w:r w:rsidRPr="000977F7">
        <w:rPr>
          <w:rFonts w:asciiTheme="majorHAnsi" w:hAnsiTheme="majorHAnsi"/>
          <w:spacing w:val="-1"/>
          <w:sz w:val="20"/>
          <w:szCs w:val="20"/>
        </w:rPr>
        <w:t xml:space="preserve"> </w:t>
      </w:r>
      <w:r w:rsidRPr="000977F7">
        <w:rPr>
          <w:rFonts w:asciiTheme="majorHAnsi" w:hAnsiTheme="majorHAnsi"/>
          <w:sz w:val="20"/>
          <w:szCs w:val="20"/>
        </w:rPr>
        <w:t>одиниці</w:t>
      </w:r>
    </w:p>
    <w:p w14:paraId="46CF5772"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4"/>
          <w:w w:val="95"/>
          <w:sz w:val="20"/>
          <w:szCs w:val="20"/>
        </w:rPr>
      </w:pPr>
      <w:r w:rsidRPr="000977F7">
        <w:rPr>
          <w:rFonts w:asciiTheme="majorHAnsi" w:hAnsiTheme="majorHAnsi"/>
          <w:spacing w:val="-7"/>
          <w:w w:val="95"/>
          <w:sz w:val="20"/>
          <w:szCs w:val="20"/>
        </w:rPr>
        <w:t>ДСТУISO/IEC</w:t>
      </w:r>
      <w:r w:rsidRPr="000977F7">
        <w:rPr>
          <w:rFonts w:asciiTheme="majorHAnsi" w:hAnsiTheme="majorHAnsi"/>
          <w:spacing w:val="-25"/>
          <w:w w:val="95"/>
          <w:sz w:val="20"/>
          <w:szCs w:val="20"/>
        </w:rPr>
        <w:t xml:space="preserve"> </w:t>
      </w:r>
      <w:r w:rsidRPr="000977F7">
        <w:rPr>
          <w:rFonts w:asciiTheme="majorHAnsi" w:hAnsiTheme="majorHAnsi"/>
          <w:spacing w:val="-6"/>
          <w:w w:val="95"/>
          <w:sz w:val="20"/>
          <w:szCs w:val="20"/>
        </w:rPr>
        <w:t>17000:2007</w:t>
      </w:r>
      <w:r w:rsidRPr="000977F7">
        <w:rPr>
          <w:rFonts w:asciiTheme="majorHAnsi" w:hAnsiTheme="majorHAnsi"/>
          <w:spacing w:val="-44"/>
          <w:w w:val="95"/>
          <w:sz w:val="20"/>
          <w:szCs w:val="20"/>
        </w:rPr>
        <w:t xml:space="preserve"> </w:t>
      </w:r>
    </w:p>
    <w:p w14:paraId="1B5A8DA1"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СХВАЛЕННЯ –</w:t>
      </w:r>
    </w:p>
    <w:p w14:paraId="7BF80B7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APPROVAL -</w:t>
      </w:r>
    </w:p>
    <w:p w14:paraId="75DCB3FC" w14:textId="77777777" w:rsidR="0097612F" w:rsidRPr="000977F7" w:rsidRDefault="0097612F" w:rsidP="000977F7">
      <w:pPr>
        <w:pStyle w:val="4"/>
        <w:tabs>
          <w:tab w:val="left" w:pos="284"/>
        </w:tabs>
        <w:spacing w:line="240" w:lineRule="auto"/>
        <w:ind w:left="170"/>
        <w:mirrorIndents/>
        <w:jc w:val="both"/>
        <w:rPr>
          <w:color w:val="auto"/>
          <w:sz w:val="20"/>
          <w:szCs w:val="20"/>
        </w:rPr>
      </w:pPr>
      <w:bookmarkStart w:id="279" w:name="_Toc132629649"/>
      <w:r w:rsidRPr="000977F7">
        <w:rPr>
          <w:color w:val="auto"/>
          <w:sz w:val="20"/>
          <w:szCs w:val="20"/>
        </w:rPr>
        <w:t>Дозвіл чи знаходження ринку збуту продукції</w:t>
      </w:r>
      <w:r w:rsidRPr="000977F7">
        <w:rPr>
          <w:color w:val="auto"/>
          <w:spacing w:val="-57"/>
          <w:sz w:val="20"/>
          <w:szCs w:val="20"/>
        </w:rPr>
        <w:t xml:space="preserve"> ч</w:t>
      </w:r>
      <w:r w:rsidRPr="000977F7">
        <w:rPr>
          <w:color w:val="auto"/>
          <w:sz w:val="20"/>
          <w:szCs w:val="20"/>
        </w:rPr>
        <w:t>и процесу на ринок або на їх використання</w:t>
      </w:r>
      <w:r w:rsidRPr="000977F7">
        <w:rPr>
          <w:color w:val="auto"/>
          <w:spacing w:val="1"/>
          <w:sz w:val="20"/>
          <w:szCs w:val="20"/>
        </w:rPr>
        <w:t xml:space="preserve"> </w:t>
      </w:r>
      <w:r w:rsidRPr="000977F7">
        <w:rPr>
          <w:color w:val="auto"/>
          <w:sz w:val="20"/>
          <w:szCs w:val="20"/>
        </w:rPr>
        <w:t>за</w:t>
      </w:r>
      <w:r w:rsidRPr="000977F7">
        <w:rPr>
          <w:color w:val="auto"/>
          <w:spacing w:val="-5"/>
          <w:sz w:val="20"/>
          <w:szCs w:val="20"/>
        </w:rPr>
        <w:t xml:space="preserve"> </w:t>
      </w:r>
      <w:r w:rsidRPr="000977F7">
        <w:rPr>
          <w:color w:val="auto"/>
          <w:sz w:val="20"/>
          <w:szCs w:val="20"/>
        </w:rPr>
        <w:t>встановленою</w:t>
      </w:r>
      <w:r w:rsidRPr="000977F7">
        <w:rPr>
          <w:color w:val="auto"/>
          <w:spacing w:val="-3"/>
          <w:sz w:val="20"/>
          <w:szCs w:val="20"/>
        </w:rPr>
        <w:t xml:space="preserve"> </w:t>
      </w:r>
      <w:r w:rsidRPr="000977F7">
        <w:rPr>
          <w:color w:val="auto"/>
          <w:sz w:val="20"/>
          <w:szCs w:val="20"/>
        </w:rPr>
        <w:t>призначеністю</w:t>
      </w:r>
      <w:r w:rsidRPr="000977F7">
        <w:rPr>
          <w:color w:val="auto"/>
          <w:spacing w:val="-4"/>
          <w:sz w:val="20"/>
          <w:szCs w:val="20"/>
        </w:rPr>
        <w:t xml:space="preserve"> </w:t>
      </w:r>
      <w:r w:rsidRPr="000977F7">
        <w:rPr>
          <w:color w:val="auto"/>
          <w:sz w:val="20"/>
          <w:szCs w:val="20"/>
        </w:rPr>
        <w:t>чи</w:t>
      </w:r>
      <w:r w:rsidRPr="000977F7">
        <w:rPr>
          <w:color w:val="auto"/>
          <w:spacing w:val="-3"/>
          <w:sz w:val="20"/>
          <w:szCs w:val="20"/>
        </w:rPr>
        <w:t xml:space="preserve"> </w:t>
      </w:r>
      <w:r w:rsidRPr="000977F7">
        <w:rPr>
          <w:color w:val="auto"/>
          <w:sz w:val="20"/>
          <w:szCs w:val="20"/>
        </w:rPr>
        <w:t>в</w:t>
      </w:r>
      <w:r w:rsidRPr="000977F7">
        <w:rPr>
          <w:color w:val="auto"/>
          <w:spacing w:val="-4"/>
          <w:sz w:val="20"/>
          <w:szCs w:val="20"/>
        </w:rPr>
        <w:t xml:space="preserve"> </w:t>
      </w:r>
      <w:r w:rsidRPr="000977F7">
        <w:rPr>
          <w:color w:val="auto"/>
          <w:sz w:val="20"/>
          <w:szCs w:val="20"/>
        </w:rPr>
        <w:t xml:space="preserve">заданих </w:t>
      </w:r>
      <w:r w:rsidRPr="000977F7">
        <w:rPr>
          <w:color w:val="auto"/>
          <w:spacing w:val="-57"/>
          <w:sz w:val="20"/>
          <w:szCs w:val="20"/>
        </w:rPr>
        <w:t xml:space="preserve"> </w:t>
      </w:r>
      <w:r w:rsidRPr="000977F7">
        <w:rPr>
          <w:color w:val="auto"/>
          <w:sz w:val="20"/>
          <w:szCs w:val="20"/>
        </w:rPr>
        <w:t>умовах</w:t>
      </w:r>
      <w:bookmarkEnd w:id="279"/>
    </w:p>
    <w:p w14:paraId="2EF1D02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2"/>
          <w:sz w:val="20"/>
          <w:szCs w:val="20"/>
        </w:rPr>
        <w:t xml:space="preserve"> </w:t>
      </w:r>
      <w:r w:rsidRPr="000977F7">
        <w:rPr>
          <w:rFonts w:asciiTheme="majorHAnsi" w:hAnsiTheme="majorHAnsi"/>
          <w:sz w:val="20"/>
          <w:szCs w:val="20"/>
        </w:rPr>
        <w:t>р и м</w:t>
      </w:r>
      <w:r w:rsidRPr="000977F7">
        <w:rPr>
          <w:rFonts w:asciiTheme="majorHAnsi" w:hAnsiTheme="majorHAnsi"/>
          <w:spacing w:val="-1"/>
          <w:sz w:val="20"/>
          <w:szCs w:val="20"/>
        </w:rPr>
        <w:t xml:space="preserve"> </w:t>
      </w:r>
      <w:r w:rsidRPr="000977F7">
        <w:rPr>
          <w:rFonts w:asciiTheme="majorHAnsi" w:hAnsiTheme="majorHAnsi"/>
          <w:sz w:val="20"/>
          <w:szCs w:val="20"/>
        </w:rPr>
        <w:t>і т к а.</w:t>
      </w:r>
    </w:p>
    <w:p w14:paraId="0DCAF030" w14:textId="77777777" w:rsidR="0097612F" w:rsidRPr="000977F7" w:rsidRDefault="0097612F" w:rsidP="000977F7">
      <w:pPr>
        <w:pStyle w:val="4"/>
        <w:tabs>
          <w:tab w:val="left" w:pos="284"/>
        </w:tabs>
        <w:spacing w:line="240" w:lineRule="auto"/>
        <w:ind w:left="170"/>
        <w:mirrorIndents/>
        <w:jc w:val="both"/>
        <w:rPr>
          <w:color w:val="auto"/>
          <w:sz w:val="20"/>
          <w:szCs w:val="20"/>
        </w:rPr>
      </w:pPr>
      <w:bookmarkStart w:id="280" w:name="_Toc132629650"/>
      <w:r w:rsidRPr="000977F7">
        <w:rPr>
          <w:color w:val="auto"/>
          <w:sz w:val="20"/>
          <w:szCs w:val="20"/>
        </w:rPr>
        <w:t>Схвалення може грунтуватися на виконанні</w:t>
      </w:r>
      <w:r w:rsidRPr="000977F7">
        <w:rPr>
          <w:color w:val="auto"/>
          <w:spacing w:val="-57"/>
          <w:sz w:val="20"/>
          <w:szCs w:val="20"/>
        </w:rPr>
        <w:t xml:space="preserve"> </w:t>
      </w:r>
      <w:r w:rsidRPr="000977F7">
        <w:rPr>
          <w:color w:val="auto"/>
          <w:sz w:val="20"/>
          <w:szCs w:val="20"/>
        </w:rPr>
        <w:t>встановлених вимог чи завершенні встановлених</w:t>
      </w:r>
      <w:r w:rsidRPr="000977F7">
        <w:rPr>
          <w:color w:val="auto"/>
          <w:spacing w:val="1"/>
          <w:sz w:val="20"/>
          <w:szCs w:val="20"/>
        </w:rPr>
        <w:t xml:space="preserve"> </w:t>
      </w:r>
      <w:r w:rsidRPr="000977F7">
        <w:rPr>
          <w:color w:val="auto"/>
          <w:sz w:val="20"/>
          <w:szCs w:val="20"/>
        </w:rPr>
        <w:t>процедур</w:t>
      </w:r>
      <w:bookmarkEnd w:id="280"/>
    </w:p>
    <w:p w14:paraId="3D6D259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ISO/IEC</w:t>
      </w:r>
      <w:r w:rsidRPr="000977F7">
        <w:rPr>
          <w:rFonts w:asciiTheme="majorHAnsi" w:hAnsiTheme="majorHAnsi"/>
          <w:i/>
          <w:spacing w:val="-2"/>
          <w:sz w:val="20"/>
          <w:szCs w:val="20"/>
        </w:rPr>
        <w:t xml:space="preserve"> </w:t>
      </w:r>
      <w:r w:rsidRPr="000977F7">
        <w:rPr>
          <w:rFonts w:asciiTheme="majorHAnsi" w:hAnsiTheme="majorHAnsi"/>
          <w:i/>
          <w:sz w:val="20"/>
          <w:szCs w:val="20"/>
        </w:rPr>
        <w:t>17000:2007</w:t>
      </w:r>
    </w:p>
    <w:p w14:paraId="1F4929D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b/>
          <w:bCs/>
          <w:sz w:val="20"/>
          <w:szCs w:val="20"/>
          <w:lang w:eastAsia="ru-RU"/>
        </w:rPr>
        <w:t>СХВАЛЕННЯ НА ВИКОРИСТАННЯ МАТЕРІАЛІВ</w:t>
      </w:r>
      <w:r w:rsidRPr="000977F7">
        <w:rPr>
          <w:rFonts w:asciiTheme="majorHAnsi" w:hAnsiTheme="majorHAnsi"/>
          <w:sz w:val="20"/>
          <w:szCs w:val="20"/>
          <w:lang w:eastAsia="ru-RU"/>
        </w:rPr>
        <w:t xml:space="preserve"> –</w:t>
      </w:r>
    </w:p>
    <w:p w14:paraId="54D6F83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Технічний документ, у якому визначені характеристики матеріалу, призначеного для багаторазового використання під час виготовлення обладнання, що працює під тиском, що не регулюються національними стандартами</w:t>
      </w:r>
    </w:p>
    <w:p w14:paraId="55FD516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Технічний регламент обладнання, що працює під тиском</w:t>
      </w:r>
    </w:p>
    <w:p w14:paraId="7228230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СХЕМА</w:t>
      </w:r>
      <w:r w:rsidRPr="000977F7">
        <w:rPr>
          <w:color w:val="auto"/>
          <w:spacing w:val="-2"/>
          <w:sz w:val="20"/>
          <w:szCs w:val="20"/>
        </w:rPr>
        <w:t xml:space="preserve"> </w:t>
      </w:r>
      <w:r w:rsidRPr="000977F7">
        <w:rPr>
          <w:color w:val="auto"/>
          <w:sz w:val="20"/>
          <w:szCs w:val="20"/>
        </w:rPr>
        <w:t>–</w:t>
      </w:r>
    </w:p>
    <w:p w14:paraId="08D471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Графічний</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якому</w:t>
      </w:r>
      <w:r w:rsidRPr="000977F7">
        <w:rPr>
          <w:rFonts w:asciiTheme="majorHAnsi" w:hAnsiTheme="majorHAnsi"/>
          <w:spacing w:val="-47"/>
          <w:sz w:val="20"/>
          <w:szCs w:val="20"/>
        </w:rPr>
        <w:t xml:space="preserve"> </w:t>
      </w:r>
      <w:r w:rsidRPr="000977F7">
        <w:rPr>
          <w:rFonts w:asciiTheme="majorHAnsi" w:hAnsiTheme="majorHAnsi"/>
          <w:sz w:val="20"/>
          <w:szCs w:val="20"/>
        </w:rPr>
        <w:t>умовно</w:t>
      </w:r>
      <w:r w:rsidRPr="000977F7">
        <w:rPr>
          <w:rFonts w:asciiTheme="majorHAnsi" w:hAnsiTheme="majorHAnsi"/>
          <w:spacing w:val="1"/>
          <w:sz w:val="20"/>
          <w:szCs w:val="20"/>
        </w:rPr>
        <w:t xml:space="preserve"> </w:t>
      </w:r>
      <w:r w:rsidRPr="000977F7">
        <w:rPr>
          <w:rFonts w:asciiTheme="majorHAnsi" w:hAnsiTheme="majorHAnsi"/>
          <w:sz w:val="20"/>
          <w:szCs w:val="20"/>
        </w:rPr>
        <w:t>зображено</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позначено</w:t>
      </w:r>
      <w:r w:rsidRPr="000977F7">
        <w:rPr>
          <w:rFonts w:asciiTheme="majorHAnsi" w:hAnsiTheme="majorHAnsi"/>
          <w:spacing w:val="1"/>
          <w:sz w:val="20"/>
          <w:szCs w:val="20"/>
        </w:rPr>
        <w:t xml:space="preserve"> </w:t>
      </w:r>
      <w:r w:rsidRPr="000977F7">
        <w:rPr>
          <w:rFonts w:asciiTheme="majorHAnsi" w:hAnsiTheme="majorHAnsi"/>
          <w:sz w:val="20"/>
          <w:szCs w:val="20"/>
        </w:rPr>
        <w:t>складові</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5"/>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зв’язки</w:t>
      </w:r>
      <w:r w:rsidRPr="000977F7">
        <w:rPr>
          <w:rFonts w:asciiTheme="majorHAnsi" w:hAnsiTheme="majorHAnsi"/>
          <w:spacing w:val="-1"/>
          <w:sz w:val="20"/>
          <w:szCs w:val="20"/>
        </w:rPr>
        <w:t xml:space="preserve"> </w:t>
      </w:r>
      <w:r w:rsidRPr="000977F7">
        <w:rPr>
          <w:rFonts w:asciiTheme="majorHAnsi" w:hAnsiTheme="majorHAnsi"/>
          <w:sz w:val="20"/>
          <w:szCs w:val="20"/>
        </w:rPr>
        <w:t>між</w:t>
      </w:r>
      <w:r w:rsidRPr="000977F7">
        <w:rPr>
          <w:rFonts w:asciiTheme="majorHAnsi" w:hAnsiTheme="majorHAnsi"/>
          <w:spacing w:val="-1"/>
          <w:sz w:val="20"/>
          <w:szCs w:val="20"/>
        </w:rPr>
        <w:t xml:space="preserve"> </w:t>
      </w:r>
      <w:r w:rsidRPr="000977F7">
        <w:rPr>
          <w:rFonts w:asciiTheme="majorHAnsi" w:hAnsiTheme="majorHAnsi"/>
          <w:sz w:val="20"/>
          <w:szCs w:val="20"/>
        </w:rPr>
        <w:t>ними</w:t>
      </w:r>
    </w:p>
    <w:p w14:paraId="591D959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5F019C5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СХЕМА</w:t>
      </w:r>
      <w:r w:rsidRPr="000977F7">
        <w:rPr>
          <w:color w:val="auto"/>
          <w:spacing w:val="-3"/>
          <w:sz w:val="20"/>
          <w:szCs w:val="20"/>
        </w:rPr>
        <w:t xml:space="preserve"> </w:t>
      </w:r>
      <w:r w:rsidRPr="000977F7">
        <w:rPr>
          <w:color w:val="auto"/>
          <w:sz w:val="20"/>
          <w:szCs w:val="20"/>
        </w:rPr>
        <w:t>З’ЄДНАНЬ</w:t>
      </w:r>
      <w:r w:rsidRPr="000977F7">
        <w:rPr>
          <w:color w:val="auto"/>
          <w:spacing w:val="-2"/>
          <w:sz w:val="20"/>
          <w:szCs w:val="20"/>
        </w:rPr>
        <w:t xml:space="preserve"> </w:t>
      </w:r>
      <w:r w:rsidRPr="000977F7">
        <w:rPr>
          <w:color w:val="auto"/>
          <w:sz w:val="20"/>
          <w:szCs w:val="20"/>
        </w:rPr>
        <w:t>–</w:t>
      </w:r>
    </w:p>
    <w:p w14:paraId="5BD6F265" w14:textId="77777777" w:rsidR="0097612F" w:rsidRPr="000977F7" w:rsidRDefault="0097612F" w:rsidP="000977F7">
      <w:pPr>
        <w:pStyle w:val="af6"/>
        <w:tabs>
          <w:tab w:val="left" w:pos="284"/>
          <w:tab w:val="left" w:pos="1902"/>
          <w:tab w:val="left" w:pos="2298"/>
          <w:tab w:val="left" w:pos="2782"/>
          <w:tab w:val="left" w:pos="3532"/>
          <w:tab w:val="left" w:pos="4952"/>
        </w:tabs>
        <w:spacing w:after="0"/>
        <w:ind w:left="170"/>
        <w:mirrorIndents/>
        <w:jc w:val="both"/>
        <w:rPr>
          <w:rFonts w:asciiTheme="majorHAnsi" w:hAnsiTheme="majorHAnsi"/>
          <w:sz w:val="20"/>
          <w:szCs w:val="20"/>
        </w:rPr>
      </w:pPr>
      <w:r w:rsidRPr="000977F7">
        <w:rPr>
          <w:rFonts w:asciiTheme="majorHAnsi" w:hAnsiTheme="majorHAnsi"/>
          <w:sz w:val="20"/>
          <w:szCs w:val="20"/>
        </w:rPr>
        <w:t>Схема,</w:t>
      </w:r>
      <w:r w:rsidRPr="000977F7">
        <w:rPr>
          <w:rFonts w:asciiTheme="majorHAnsi" w:hAnsiTheme="majorHAnsi"/>
          <w:spacing w:val="13"/>
          <w:sz w:val="20"/>
          <w:szCs w:val="20"/>
        </w:rPr>
        <w:t xml:space="preserve"> </w:t>
      </w:r>
      <w:r w:rsidRPr="000977F7">
        <w:rPr>
          <w:rFonts w:asciiTheme="majorHAnsi" w:hAnsiTheme="majorHAnsi"/>
          <w:sz w:val="20"/>
          <w:szCs w:val="20"/>
        </w:rPr>
        <w:t>яка</w:t>
      </w:r>
      <w:r w:rsidRPr="000977F7">
        <w:rPr>
          <w:rFonts w:asciiTheme="majorHAnsi" w:hAnsiTheme="majorHAnsi"/>
          <w:spacing w:val="14"/>
          <w:sz w:val="20"/>
          <w:szCs w:val="20"/>
        </w:rPr>
        <w:t xml:space="preserve"> </w:t>
      </w:r>
      <w:r w:rsidRPr="000977F7">
        <w:rPr>
          <w:rFonts w:asciiTheme="majorHAnsi" w:hAnsiTheme="majorHAnsi"/>
          <w:sz w:val="20"/>
          <w:szCs w:val="20"/>
        </w:rPr>
        <w:t>показує</w:t>
      </w:r>
      <w:r w:rsidRPr="000977F7">
        <w:rPr>
          <w:rFonts w:asciiTheme="majorHAnsi" w:hAnsiTheme="majorHAnsi"/>
          <w:spacing w:val="13"/>
          <w:sz w:val="20"/>
          <w:szCs w:val="20"/>
        </w:rPr>
        <w:t xml:space="preserve"> </w:t>
      </w:r>
      <w:r w:rsidRPr="000977F7">
        <w:rPr>
          <w:rFonts w:asciiTheme="majorHAnsi" w:hAnsiTheme="majorHAnsi"/>
          <w:sz w:val="20"/>
          <w:szCs w:val="20"/>
        </w:rPr>
        <w:t>з</w:t>
      </w:r>
      <w:bookmarkStart w:id="281" w:name="_Hlk105608749"/>
      <w:r w:rsidRPr="000977F7">
        <w:rPr>
          <w:rFonts w:asciiTheme="majorHAnsi" w:hAnsiTheme="majorHAnsi"/>
          <w:sz w:val="20"/>
          <w:szCs w:val="20"/>
        </w:rPr>
        <w:t>’</w:t>
      </w:r>
      <w:bookmarkEnd w:id="281"/>
      <w:r w:rsidRPr="000977F7">
        <w:rPr>
          <w:rFonts w:asciiTheme="majorHAnsi" w:hAnsiTheme="majorHAnsi"/>
          <w:sz w:val="20"/>
          <w:szCs w:val="20"/>
        </w:rPr>
        <w:t>єднання</w:t>
      </w:r>
      <w:r w:rsidRPr="000977F7">
        <w:rPr>
          <w:rFonts w:asciiTheme="majorHAnsi" w:hAnsiTheme="majorHAnsi"/>
          <w:spacing w:val="13"/>
          <w:sz w:val="20"/>
          <w:szCs w:val="20"/>
        </w:rPr>
        <w:t xml:space="preserve"> </w:t>
      </w:r>
      <w:r w:rsidRPr="000977F7">
        <w:rPr>
          <w:rFonts w:asciiTheme="majorHAnsi" w:hAnsiTheme="majorHAnsi"/>
          <w:sz w:val="20"/>
          <w:szCs w:val="20"/>
        </w:rPr>
        <w:t>складових</w:t>
      </w:r>
      <w:r w:rsidRPr="000977F7">
        <w:rPr>
          <w:rFonts w:asciiTheme="majorHAnsi" w:hAnsiTheme="majorHAnsi"/>
          <w:spacing w:val="12"/>
          <w:sz w:val="20"/>
          <w:szCs w:val="20"/>
        </w:rPr>
        <w:t xml:space="preserve"> </w:t>
      </w:r>
      <w:r w:rsidRPr="000977F7">
        <w:rPr>
          <w:rFonts w:asciiTheme="majorHAnsi" w:hAnsiTheme="majorHAnsi"/>
          <w:sz w:val="20"/>
          <w:szCs w:val="20"/>
        </w:rPr>
        <w:t>частин</w:t>
      </w:r>
      <w:r w:rsidRPr="000977F7">
        <w:rPr>
          <w:rFonts w:asciiTheme="majorHAnsi" w:hAnsiTheme="majorHAnsi"/>
          <w:spacing w:val="12"/>
          <w:sz w:val="20"/>
          <w:szCs w:val="20"/>
        </w:rPr>
        <w:t xml:space="preserve"> </w:t>
      </w:r>
      <w:r w:rsidRPr="000977F7">
        <w:rPr>
          <w:rFonts w:asciiTheme="majorHAnsi" w:hAnsiTheme="majorHAnsi"/>
          <w:sz w:val="20"/>
          <w:szCs w:val="20"/>
        </w:rPr>
        <w:t>виробу (устави) з</w:t>
      </w:r>
      <w:r w:rsidRPr="000977F7">
        <w:rPr>
          <w:rFonts w:asciiTheme="majorHAnsi" w:hAnsiTheme="majorHAnsi"/>
          <w:spacing w:val="1"/>
          <w:sz w:val="20"/>
          <w:szCs w:val="20"/>
        </w:rPr>
        <w:t xml:space="preserve"> </w:t>
      </w:r>
      <w:r w:rsidRPr="000977F7">
        <w:rPr>
          <w:rFonts w:asciiTheme="majorHAnsi" w:hAnsiTheme="majorHAnsi"/>
          <w:sz w:val="20"/>
          <w:szCs w:val="20"/>
        </w:rPr>
        <w:t>позначенням</w:t>
      </w:r>
      <w:r w:rsidRPr="000977F7">
        <w:rPr>
          <w:rFonts w:asciiTheme="majorHAnsi" w:hAnsiTheme="majorHAnsi"/>
          <w:spacing w:val="1"/>
          <w:sz w:val="20"/>
          <w:szCs w:val="20"/>
        </w:rPr>
        <w:t xml:space="preserve"> </w:t>
      </w:r>
      <w:r w:rsidRPr="000977F7">
        <w:rPr>
          <w:rFonts w:asciiTheme="majorHAnsi" w:hAnsiTheme="majorHAnsi"/>
          <w:sz w:val="20"/>
          <w:szCs w:val="20"/>
        </w:rPr>
        <w:t>проводів, джгутів, кабелів,</w:t>
      </w:r>
      <w:r w:rsidRPr="000977F7">
        <w:rPr>
          <w:rFonts w:asciiTheme="majorHAnsi" w:hAnsiTheme="majorHAnsi"/>
          <w:spacing w:val="-47"/>
          <w:sz w:val="20"/>
          <w:szCs w:val="20"/>
        </w:rPr>
        <w:t xml:space="preserve"> </w:t>
      </w:r>
      <w:r w:rsidRPr="000977F7">
        <w:rPr>
          <w:rFonts w:asciiTheme="majorHAnsi" w:hAnsiTheme="majorHAnsi"/>
          <w:sz w:val="20"/>
          <w:szCs w:val="20"/>
        </w:rPr>
        <w:t>трубопроводів та ін., якими здійснюються ці</w:t>
      </w:r>
      <w:r w:rsidRPr="000977F7">
        <w:rPr>
          <w:rFonts w:asciiTheme="majorHAnsi" w:hAnsiTheme="majorHAnsi"/>
          <w:spacing w:val="-47"/>
          <w:sz w:val="20"/>
          <w:szCs w:val="20"/>
        </w:rPr>
        <w:t xml:space="preserve"> </w:t>
      </w:r>
      <w:r w:rsidRPr="000977F7">
        <w:rPr>
          <w:rFonts w:asciiTheme="majorHAnsi" w:hAnsiTheme="majorHAnsi"/>
          <w:sz w:val="20"/>
          <w:szCs w:val="20"/>
        </w:rPr>
        <w:t>з’єднання, а також місця їх приєднання і введення</w:t>
      </w:r>
      <w:r w:rsidRPr="000977F7">
        <w:rPr>
          <w:rFonts w:asciiTheme="majorHAnsi" w:hAnsiTheme="majorHAns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3321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sz w:val="20"/>
          <w:szCs w:val="20"/>
        </w:rPr>
        <w:t>2003</w:t>
      </w:r>
    </w:p>
    <w:p w14:paraId="601DE927"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bookmarkStart w:id="282" w:name="_Hlk103262178"/>
      <w:r w:rsidRPr="000977F7">
        <w:rPr>
          <w:rFonts w:asciiTheme="majorHAnsi" w:hAnsiTheme="majorHAnsi"/>
          <w:b/>
          <w:sz w:val="20"/>
          <w:szCs w:val="20"/>
        </w:rPr>
        <w:t>СХЕМА ІНСПЕКТУВАННЯ –</w:t>
      </w:r>
    </w:p>
    <w:p w14:paraId="76865C8C"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INSPECTION SCHEME -</w:t>
      </w:r>
    </w:p>
    <w:bookmarkEnd w:id="282"/>
    <w:p w14:paraId="1B996FD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Система інспектування, в якій застосовують однакові вимоги, конкретні правила і процедури. </w:t>
      </w:r>
    </w:p>
    <w:p w14:paraId="6863F35A" w14:textId="77777777" w:rsidR="0097612F" w:rsidRPr="000977F7" w:rsidRDefault="0097612F" w:rsidP="000977F7">
      <w:pPr>
        <w:pStyle w:val="af6"/>
        <w:tabs>
          <w:tab w:val="left" w:pos="284"/>
          <w:tab w:val="left" w:pos="1902"/>
          <w:tab w:val="left" w:pos="2298"/>
          <w:tab w:val="left" w:pos="2782"/>
          <w:tab w:val="left" w:pos="3532"/>
          <w:tab w:val="left" w:pos="4952"/>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ISO/IEC 17020:2019</w:t>
      </w:r>
    </w:p>
    <w:p w14:paraId="5D7BADA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СХЕМА</w:t>
      </w:r>
      <w:r w:rsidRPr="000977F7">
        <w:rPr>
          <w:color w:val="auto"/>
          <w:spacing w:val="-5"/>
          <w:sz w:val="20"/>
          <w:szCs w:val="20"/>
        </w:rPr>
        <w:t xml:space="preserve"> </w:t>
      </w:r>
      <w:r w:rsidRPr="000977F7">
        <w:rPr>
          <w:color w:val="auto"/>
          <w:sz w:val="20"/>
          <w:szCs w:val="20"/>
        </w:rPr>
        <w:t>НАВАНТАЖУВАННЯ</w:t>
      </w:r>
      <w:r w:rsidRPr="000977F7">
        <w:rPr>
          <w:color w:val="auto"/>
          <w:spacing w:val="-3"/>
          <w:sz w:val="20"/>
          <w:szCs w:val="20"/>
        </w:rPr>
        <w:t xml:space="preserve"> </w:t>
      </w:r>
      <w:r w:rsidRPr="000977F7">
        <w:rPr>
          <w:color w:val="auto"/>
          <w:sz w:val="20"/>
          <w:szCs w:val="20"/>
        </w:rPr>
        <w:t>–</w:t>
      </w:r>
    </w:p>
    <w:p w14:paraId="6CC166A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LOADING</w:t>
      </w:r>
      <w:r w:rsidRPr="004D2D14">
        <w:rPr>
          <w:rFonts w:asciiTheme="majorHAnsi" w:hAnsiTheme="majorHAnsi"/>
          <w:spacing w:val="-3"/>
          <w:sz w:val="20"/>
          <w:szCs w:val="20"/>
          <w:lang w:val="uk-UA"/>
        </w:rPr>
        <w:t xml:space="preserve"> </w:t>
      </w:r>
      <w:r w:rsidRPr="000977F7">
        <w:rPr>
          <w:rFonts w:asciiTheme="majorHAnsi" w:hAnsiTheme="majorHAnsi"/>
          <w:sz w:val="20"/>
          <w:szCs w:val="20"/>
        </w:rPr>
        <w:t>SCHEME</w:t>
      </w:r>
      <w:r w:rsidRPr="004D2D14">
        <w:rPr>
          <w:rFonts w:asciiTheme="majorHAnsi" w:hAnsiTheme="majorHAnsi"/>
          <w:sz w:val="20"/>
          <w:szCs w:val="20"/>
          <w:lang w:val="uk-UA"/>
        </w:rPr>
        <w:t xml:space="preserve"> –</w:t>
      </w:r>
    </w:p>
    <w:p w14:paraId="528B50E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Схема</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розподілу</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навантажень</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об’єкт</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розрахунку</w:t>
      </w:r>
    </w:p>
    <w:p w14:paraId="45ACB2DF"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2825 - 94</w:t>
      </w:r>
    </w:p>
    <w:p w14:paraId="0D56EAE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СХЕМА</w:t>
      </w:r>
      <w:r w:rsidRPr="000977F7">
        <w:rPr>
          <w:color w:val="auto"/>
          <w:spacing w:val="-3"/>
          <w:sz w:val="20"/>
          <w:szCs w:val="20"/>
        </w:rPr>
        <w:t xml:space="preserve"> </w:t>
      </w:r>
      <w:r w:rsidRPr="000977F7">
        <w:rPr>
          <w:color w:val="auto"/>
          <w:sz w:val="20"/>
          <w:szCs w:val="20"/>
        </w:rPr>
        <w:t>ПОДІЛУ</w:t>
      </w:r>
      <w:r w:rsidRPr="000977F7">
        <w:rPr>
          <w:color w:val="auto"/>
          <w:spacing w:val="-1"/>
          <w:sz w:val="20"/>
          <w:szCs w:val="20"/>
        </w:rPr>
        <w:t xml:space="preserve"> </w:t>
      </w:r>
      <w:r w:rsidRPr="000977F7">
        <w:rPr>
          <w:color w:val="auto"/>
          <w:sz w:val="20"/>
          <w:szCs w:val="20"/>
        </w:rPr>
        <w:t>–</w:t>
      </w:r>
    </w:p>
    <w:p w14:paraId="5A7D99B8"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uk-UA"/>
        </w:rPr>
      </w:pPr>
      <w:r w:rsidRPr="004D2D14">
        <w:rPr>
          <w:rFonts w:asciiTheme="majorHAnsi" w:hAnsiTheme="majorHAnsi"/>
          <w:sz w:val="20"/>
          <w:szCs w:val="20"/>
          <w:lang w:val="uk-UA"/>
        </w:rPr>
        <w:t>Схема,</w:t>
      </w:r>
      <w:r w:rsidRPr="004D2D14">
        <w:rPr>
          <w:rFonts w:asciiTheme="majorHAnsi" w:hAnsiTheme="majorHAnsi"/>
          <w:spacing w:val="35"/>
          <w:sz w:val="20"/>
          <w:szCs w:val="20"/>
          <w:lang w:val="uk-UA"/>
        </w:rPr>
        <w:t xml:space="preserve"> </w:t>
      </w:r>
      <w:r w:rsidRPr="004D2D14">
        <w:rPr>
          <w:rFonts w:asciiTheme="majorHAnsi" w:hAnsiTheme="majorHAnsi"/>
          <w:sz w:val="20"/>
          <w:szCs w:val="20"/>
          <w:lang w:val="uk-UA"/>
        </w:rPr>
        <w:t>яка</w:t>
      </w:r>
      <w:r w:rsidRPr="004D2D14">
        <w:rPr>
          <w:rFonts w:asciiTheme="majorHAnsi" w:hAnsiTheme="majorHAnsi"/>
          <w:spacing w:val="35"/>
          <w:sz w:val="20"/>
          <w:szCs w:val="20"/>
          <w:lang w:val="uk-UA"/>
        </w:rPr>
        <w:t xml:space="preserve"> </w:t>
      </w:r>
      <w:r w:rsidRPr="004D2D14">
        <w:rPr>
          <w:rFonts w:asciiTheme="majorHAnsi" w:hAnsiTheme="majorHAnsi"/>
          <w:sz w:val="20"/>
          <w:szCs w:val="20"/>
          <w:lang w:val="uk-UA"/>
        </w:rPr>
        <w:t>визначає</w:t>
      </w:r>
      <w:r w:rsidRPr="004D2D14">
        <w:rPr>
          <w:rFonts w:asciiTheme="majorHAnsi" w:hAnsiTheme="majorHAnsi"/>
          <w:spacing w:val="36"/>
          <w:sz w:val="20"/>
          <w:szCs w:val="20"/>
          <w:lang w:val="uk-UA"/>
        </w:rPr>
        <w:t xml:space="preserve"> </w:t>
      </w:r>
      <w:r w:rsidRPr="004D2D14">
        <w:rPr>
          <w:rFonts w:asciiTheme="majorHAnsi" w:hAnsiTheme="majorHAnsi"/>
          <w:sz w:val="20"/>
          <w:szCs w:val="20"/>
          <w:lang w:val="uk-UA"/>
        </w:rPr>
        <w:t>склад</w:t>
      </w:r>
      <w:r w:rsidRPr="004D2D14">
        <w:rPr>
          <w:rFonts w:asciiTheme="majorHAnsi" w:hAnsiTheme="majorHAnsi"/>
          <w:spacing w:val="36"/>
          <w:sz w:val="20"/>
          <w:szCs w:val="20"/>
          <w:lang w:val="uk-UA"/>
        </w:rPr>
        <w:t xml:space="preserve"> </w:t>
      </w:r>
      <w:r w:rsidRPr="004D2D14">
        <w:rPr>
          <w:rFonts w:asciiTheme="majorHAnsi" w:hAnsiTheme="majorHAnsi"/>
          <w:sz w:val="20"/>
          <w:szCs w:val="20"/>
          <w:lang w:val="uk-UA"/>
        </w:rPr>
        <w:t>виробу,</w:t>
      </w:r>
      <w:r w:rsidRPr="004D2D14">
        <w:rPr>
          <w:rFonts w:asciiTheme="majorHAnsi" w:hAnsiTheme="majorHAnsi"/>
          <w:spacing w:val="35"/>
          <w:sz w:val="20"/>
          <w:szCs w:val="20"/>
          <w:lang w:val="uk-UA"/>
        </w:rPr>
        <w:t xml:space="preserve"> </w:t>
      </w:r>
      <w:r w:rsidRPr="004D2D14">
        <w:rPr>
          <w:rFonts w:asciiTheme="majorHAnsi" w:hAnsiTheme="majorHAnsi"/>
          <w:sz w:val="20"/>
          <w:szCs w:val="20"/>
          <w:lang w:val="uk-UA"/>
        </w:rPr>
        <w:t>розміщення</w:t>
      </w:r>
      <w:r w:rsidRPr="004D2D14">
        <w:rPr>
          <w:rFonts w:asciiTheme="majorHAnsi" w:hAnsiTheme="majorHAnsi"/>
          <w:spacing w:val="37"/>
          <w:sz w:val="20"/>
          <w:szCs w:val="20"/>
          <w:lang w:val="uk-UA"/>
        </w:rPr>
        <w:t xml:space="preserve"> </w:t>
      </w:r>
      <w:r w:rsidRPr="004D2D14">
        <w:rPr>
          <w:rFonts w:asciiTheme="majorHAnsi" w:hAnsiTheme="majorHAnsi"/>
          <w:sz w:val="20"/>
          <w:szCs w:val="20"/>
          <w:lang w:val="uk-UA"/>
        </w:rPr>
        <w:t>його</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складових частин, їх взаємозв’язки та призначення</w:t>
      </w:r>
      <w:r w:rsidRPr="004D2D14">
        <w:rPr>
          <w:rFonts w:asciiTheme="majorHAnsi" w:hAnsiTheme="majorHAnsi"/>
          <w:spacing w:val="1"/>
          <w:sz w:val="20"/>
          <w:szCs w:val="20"/>
          <w:lang w:val="uk-UA"/>
        </w:rPr>
        <w:t xml:space="preserve"> </w:t>
      </w: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3321</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2003</w:t>
      </w:r>
    </w:p>
    <w:p w14:paraId="1F7F1BD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СХЕМА</w:t>
      </w:r>
      <w:r w:rsidRPr="000977F7">
        <w:rPr>
          <w:color w:val="auto"/>
          <w:spacing w:val="-4"/>
          <w:sz w:val="20"/>
          <w:szCs w:val="20"/>
        </w:rPr>
        <w:t xml:space="preserve"> </w:t>
      </w:r>
      <w:r w:rsidRPr="000977F7">
        <w:rPr>
          <w:color w:val="auto"/>
          <w:sz w:val="20"/>
          <w:szCs w:val="20"/>
        </w:rPr>
        <w:t>ПРИЄДНАННЯ –</w:t>
      </w:r>
    </w:p>
    <w:p w14:paraId="6A5B9B1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Схема,</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яка</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показує</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зовнішнє</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приєднання</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виробу</w:t>
      </w:r>
    </w:p>
    <w:p w14:paraId="575A6E1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3321</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 2003</w:t>
      </w:r>
    </w:p>
    <w:p w14:paraId="433F52C9" w14:textId="77777777" w:rsidR="0097612F" w:rsidRPr="004D2D14" w:rsidRDefault="0097612F" w:rsidP="000977F7">
      <w:pPr>
        <w:tabs>
          <w:tab w:val="left" w:pos="284"/>
        </w:tabs>
        <w:spacing w:after="0" w:line="240" w:lineRule="auto"/>
        <w:ind w:left="170"/>
        <w:mirrorIndents/>
        <w:jc w:val="both"/>
        <w:rPr>
          <w:rFonts w:asciiTheme="majorHAnsi" w:hAnsiTheme="majorHAnsi"/>
          <w:b/>
          <w:bCs/>
          <w:sz w:val="20"/>
          <w:szCs w:val="20"/>
          <w:lang w:val="uk-UA"/>
        </w:rPr>
      </w:pPr>
      <w:r w:rsidRPr="004D2D14">
        <w:rPr>
          <w:rFonts w:asciiTheme="majorHAnsi" w:hAnsiTheme="majorHAnsi"/>
          <w:b/>
          <w:bCs/>
          <w:sz w:val="20"/>
          <w:szCs w:val="20"/>
          <w:lang w:val="uk-UA"/>
        </w:rPr>
        <w:lastRenderedPageBreak/>
        <w:t>СХЕМА</w:t>
      </w:r>
      <w:r w:rsidRPr="004D2D14">
        <w:rPr>
          <w:rFonts w:asciiTheme="majorHAnsi" w:hAnsiTheme="majorHAnsi"/>
          <w:b/>
          <w:bCs/>
          <w:spacing w:val="-6"/>
          <w:sz w:val="20"/>
          <w:szCs w:val="20"/>
          <w:lang w:val="uk-UA"/>
        </w:rPr>
        <w:t xml:space="preserve"> </w:t>
      </w:r>
      <w:r w:rsidRPr="004D2D14">
        <w:rPr>
          <w:rFonts w:asciiTheme="majorHAnsi" w:hAnsiTheme="majorHAnsi"/>
          <w:b/>
          <w:bCs/>
          <w:sz w:val="20"/>
          <w:szCs w:val="20"/>
          <w:lang w:val="uk-UA"/>
        </w:rPr>
        <w:t>РОЗТАШУВАННЯ</w:t>
      </w:r>
      <w:r w:rsidRPr="004D2D14">
        <w:rPr>
          <w:rFonts w:asciiTheme="majorHAnsi" w:hAnsiTheme="majorHAnsi"/>
          <w:b/>
          <w:bCs/>
          <w:spacing w:val="-3"/>
          <w:sz w:val="20"/>
          <w:szCs w:val="20"/>
          <w:lang w:val="uk-UA"/>
        </w:rPr>
        <w:t xml:space="preserve"> </w:t>
      </w:r>
      <w:r w:rsidRPr="004D2D14">
        <w:rPr>
          <w:rFonts w:asciiTheme="majorHAnsi" w:hAnsiTheme="majorHAnsi"/>
          <w:b/>
          <w:bCs/>
          <w:sz w:val="20"/>
          <w:szCs w:val="20"/>
          <w:lang w:val="uk-UA"/>
        </w:rPr>
        <w:t>–</w:t>
      </w:r>
    </w:p>
    <w:p w14:paraId="6F57B35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Схема, яка позначає відносне розташування складових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частин</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виробу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устави,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необхідності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джгутів,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кабелів, трубопроводів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w:t>
      </w:r>
    </w:p>
    <w:p w14:paraId="12883E5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0FCD585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СХЕМА</w:t>
      </w:r>
      <w:r w:rsidRPr="000977F7">
        <w:rPr>
          <w:color w:val="auto"/>
          <w:spacing w:val="-4"/>
          <w:sz w:val="20"/>
          <w:szCs w:val="20"/>
        </w:rPr>
        <w:t xml:space="preserve"> </w:t>
      </w:r>
      <w:r w:rsidRPr="000977F7">
        <w:rPr>
          <w:color w:val="auto"/>
          <w:sz w:val="20"/>
          <w:szCs w:val="20"/>
        </w:rPr>
        <w:t>СЕРТИФІКАЦІЇ</w:t>
      </w:r>
      <w:r w:rsidRPr="000977F7">
        <w:rPr>
          <w:color w:val="auto"/>
          <w:spacing w:val="-2"/>
          <w:sz w:val="20"/>
          <w:szCs w:val="20"/>
        </w:rPr>
        <w:t xml:space="preserve"> </w:t>
      </w:r>
      <w:r w:rsidRPr="000977F7">
        <w:rPr>
          <w:color w:val="auto"/>
          <w:sz w:val="20"/>
          <w:szCs w:val="20"/>
        </w:rPr>
        <w:t>–</w:t>
      </w:r>
    </w:p>
    <w:p w14:paraId="53C1EFCB" w14:textId="77777777" w:rsidR="0097612F" w:rsidRPr="000977F7" w:rsidRDefault="0097612F" w:rsidP="000977F7">
      <w:pPr>
        <w:tabs>
          <w:tab w:val="left" w:pos="284"/>
        </w:tabs>
        <w:adjustRightInd w:val="0"/>
        <w:spacing w:after="0" w:line="240" w:lineRule="auto"/>
        <w:ind w:left="170"/>
        <w:mirrorIndents/>
        <w:jc w:val="both"/>
        <w:rPr>
          <w:rStyle w:val="14"/>
          <w:rFonts w:asciiTheme="majorHAnsi" w:hAnsiTheme="majorHAnsi"/>
          <w:sz w:val="20"/>
          <w:szCs w:val="20"/>
          <w:lang w:eastAsia="uk-UA"/>
        </w:rPr>
      </w:pPr>
      <w:r w:rsidRPr="000977F7">
        <w:rPr>
          <w:rStyle w:val="14"/>
          <w:rFonts w:asciiTheme="majorHAnsi" w:hAnsiTheme="majorHAnsi"/>
          <w:sz w:val="20"/>
          <w:szCs w:val="20"/>
          <w:lang w:eastAsia="uk-UA"/>
        </w:rPr>
        <w:t>Система оцінки відповідності, що відноситься до систем менеджменту, до якої застосовуються однакові визначені вимоги, конкретні правила та процедури</w:t>
      </w:r>
    </w:p>
    <w:p w14:paraId="52192CD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i/>
          <w:iCs/>
          <w:sz w:val="20"/>
          <w:szCs w:val="20"/>
        </w:rPr>
        <w:t>ДСТУ EN ISO/IEC 17021-1:2015</w:t>
      </w:r>
    </w:p>
    <w:p w14:paraId="2AD9213F"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Система сертифікації, що стосується певної продукції, до якої застосовують ті самі  встановлені вимоги, конкретні правила та процедури</w:t>
      </w:r>
    </w:p>
    <w:p w14:paraId="66DD4720" w14:textId="77777777" w:rsidR="0097612F" w:rsidRPr="000977F7" w:rsidRDefault="0097612F" w:rsidP="000977F7">
      <w:pPr>
        <w:tabs>
          <w:tab w:val="left" w:pos="284"/>
        </w:tabs>
        <w:adjustRightInd w:val="0"/>
        <w:spacing w:after="0" w:line="240" w:lineRule="auto"/>
        <w:ind w:left="170"/>
        <w:mirrorIndents/>
        <w:jc w:val="both"/>
        <w:rPr>
          <w:rFonts w:asciiTheme="majorHAnsi" w:hAnsiTheme="majorHAnsi"/>
          <w:i/>
          <w:iCs/>
          <w:sz w:val="20"/>
          <w:szCs w:val="20"/>
        </w:rPr>
      </w:pPr>
      <w:r w:rsidRPr="000977F7">
        <w:rPr>
          <w:rFonts w:asciiTheme="majorHAnsi" w:hAnsiTheme="majorHAnsi"/>
          <w:i/>
          <w:iCs/>
          <w:sz w:val="20"/>
          <w:szCs w:val="20"/>
          <w:lang w:eastAsia="ru-RU"/>
        </w:rPr>
        <w:t>ДСТУ EN ISO/IEC 17065:2019</w:t>
      </w:r>
    </w:p>
    <w:p w14:paraId="51FE7D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 і послідовність дій третьої сторони під час проведення</w:t>
      </w:r>
      <w:r w:rsidRPr="000977F7">
        <w:rPr>
          <w:rFonts w:asciiTheme="majorHAnsi" w:hAnsiTheme="majorHAnsi"/>
          <w:spacing w:val="-2"/>
          <w:sz w:val="20"/>
          <w:szCs w:val="20"/>
        </w:rPr>
        <w:t xml:space="preserve"> </w:t>
      </w:r>
      <w:r w:rsidRPr="000977F7">
        <w:rPr>
          <w:rFonts w:asciiTheme="majorHAnsi" w:hAnsiTheme="majorHAnsi"/>
          <w:sz w:val="20"/>
          <w:szCs w:val="20"/>
        </w:rPr>
        <w:t>сертифікації</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p>
    <w:p w14:paraId="2B18E0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47470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 дій третьої сторони належать, наприклад, випробування (типові, партії або кожного зразка), атестація</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 сертифікація</w:t>
      </w:r>
      <w:r w:rsidRPr="000977F7">
        <w:rPr>
          <w:rFonts w:asciiTheme="majorHAnsi" w:hAnsiTheme="majorHAnsi"/>
          <w:spacing w:val="1"/>
          <w:sz w:val="20"/>
          <w:szCs w:val="20"/>
        </w:rPr>
        <w:t xml:space="preserve"> </w:t>
      </w:r>
      <w:r w:rsidRPr="000977F7">
        <w:rPr>
          <w:rFonts w:asciiTheme="majorHAnsi" w:hAnsiTheme="majorHAnsi"/>
          <w:sz w:val="20"/>
          <w:szCs w:val="20"/>
        </w:rPr>
        <w:t>систем якості, інспекційний</w:t>
      </w:r>
      <w:r w:rsidRPr="000977F7">
        <w:rPr>
          <w:rFonts w:asciiTheme="majorHAnsi" w:hAnsiTheme="majorHAnsi"/>
          <w:spacing w:val="-2"/>
          <w:sz w:val="20"/>
          <w:szCs w:val="20"/>
        </w:rPr>
        <w:t xml:space="preserve"> </w:t>
      </w:r>
      <w:r w:rsidRPr="000977F7">
        <w:rPr>
          <w:rFonts w:asciiTheme="majorHAnsi" w:hAnsiTheme="majorHAnsi"/>
          <w:sz w:val="20"/>
          <w:szCs w:val="20"/>
        </w:rPr>
        <w:t>контроль, технічний</w:t>
      </w:r>
      <w:r w:rsidRPr="000977F7">
        <w:rPr>
          <w:rFonts w:asciiTheme="majorHAnsi" w:hAnsiTheme="majorHAnsi"/>
          <w:spacing w:val="-1"/>
          <w:sz w:val="20"/>
          <w:szCs w:val="20"/>
        </w:rPr>
        <w:t xml:space="preserve"> </w:t>
      </w:r>
      <w:r w:rsidRPr="000977F7">
        <w:rPr>
          <w:rFonts w:asciiTheme="majorHAnsi" w:hAnsiTheme="majorHAnsi"/>
          <w:sz w:val="20"/>
          <w:szCs w:val="20"/>
        </w:rPr>
        <w:t>нагляд</w:t>
      </w:r>
    </w:p>
    <w:p w14:paraId="3210F89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СХЕМА СТАТИСТИЧНОГО ПРИЙМАЛЬНОГО</w:t>
      </w:r>
      <w:r w:rsidRPr="000977F7">
        <w:rPr>
          <w:color w:val="auto"/>
          <w:spacing w:val="-48"/>
          <w:sz w:val="20"/>
          <w:szCs w:val="20"/>
        </w:rPr>
        <w:t xml:space="preserve"> </w:t>
      </w:r>
      <w:r w:rsidRPr="000977F7">
        <w:rPr>
          <w:color w:val="auto"/>
          <w:sz w:val="20"/>
          <w:szCs w:val="20"/>
        </w:rPr>
        <w:t>КОНТРОЛЮ</w:t>
      </w:r>
      <w:r w:rsidRPr="000977F7">
        <w:rPr>
          <w:color w:val="auto"/>
          <w:spacing w:val="-1"/>
          <w:sz w:val="20"/>
          <w:szCs w:val="20"/>
        </w:rPr>
        <w:t xml:space="preserve"> </w:t>
      </w:r>
      <w:r w:rsidRPr="000977F7">
        <w:rPr>
          <w:color w:val="auto"/>
          <w:sz w:val="20"/>
          <w:szCs w:val="20"/>
        </w:rPr>
        <w:t>–</w:t>
      </w:r>
    </w:p>
    <w:p w14:paraId="501DDD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ACCEPTANCE SAMPLING</w:t>
      </w:r>
      <w:r w:rsidRPr="000977F7">
        <w:rPr>
          <w:rFonts w:asciiTheme="majorHAnsi" w:hAnsiTheme="majorHAnsi"/>
          <w:spacing w:val="-1"/>
          <w:sz w:val="20"/>
          <w:szCs w:val="20"/>
        </w:rPr>
        <w:t xml:space="preserve"> </w:t>
      </w:r>
      <w:r w:rsidRPr="000977F7">
        <w:rPr>
          <w:rFonts w:asciiTheme="majorHAnsi" w:hAnsiTheme="majorHAnsi"/>
          <w:sz w:val="20"/>
          <w:szCs w:val="20"/>
        </w:rPr>
        <w:t>PATTE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4B5080C"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Повний комплект планів вибіркового контролю, поєднаний з сукупністю правил застосування цих планів</w:t>
      </w:r>
      <w:r w:rsidRPr="000977F7">
        <w:rPr>
          <w:rFonts w:asciiTheme="majorHAnsi" w:hAnsiTheme="majorHAnsi"/>
          <w:spacing w:val="-47"/>
          <w:sz w:val="20"/>
          <w:szCs w:val="20"/>
        </w:rPr>
        <w:t xml:space="preserve"> </w:t>
      </w:r>
    </w:p>
    <w:p w14:paraId="5002782B"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3514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09C8F23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СЦИНТИЛЯТИВНИЙ</w:t>
      </w:r>
      <w:r w:rsidRPr="000977F7">
        <w:rPr>
          <w:color w:val="auto"/>
          <w:spacing w:val="-7"/>
          <w:sz w:val="20"/>
          <w:szCs w:val="20"/>
        </w:rPr>
        <w:t xml:space="preserve"> </w:t>
      </w:r>
      <w:r w:rsidRPr="000977F7">
        <w:rPr>
          <w:color w:val="auto"/>
          <w:sz w:val="20"/>
          <w:szCs w:val="20"/>
        </w:rPr>
        <w:t>МЕТОД</w:t>
      </w:r>
      <w:r w:rsidRPr="000977F7">
        <w:rPr>
          <w:color w:val="auto"/>
          <w:spacing w:val="-2"/>
          <w:sz w:val="20"/>
          <w:szCs w:val="20"/>
        </w:rPr>
        <w:t xml:space="preserve"> </w:t>
      </w:r>
      <w:r w:rsidRPr="000977F7">
        <w:rPr>
          <w:color w:val="auto"/>
          <w:sz w:val="20"/>
          <w:szCs w:val="20"/>
        </w:rPr>
        <w:t>–</w:t>
      </w:r>
    </w:p>
    <w:p w14:paraId="7D013E0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реєстрації іонізуючого випромінення, взаємодіючого з контрольованим об’єктом, сцинтиляційним детектором</w:t>
      </w:r>
    </w:p>
    <w:p w14:paraId="33B6BEF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4C99501"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bookmarkStart w:id="283" w:name="_Hlk101787397"/>
      <w:r w:rsidRPr="000977F7">
        <w:rPr>
          <w:rFonts w:asciiTheme="majorHAnsi" w:hAnsiTheme="majorHAnsi"/>
          <w:b/>
          <w:sz w:val="20"/>
          <w:szCs w:val="20"/>
        </w:rPr>
        <w:t xml:space="preserve">СХЕМА, ПРОГРАМА ОЦІНЮВАННЯ </w:t>
      </w:r>
    </w:p>
    <w:p w14:paraId="4465F778"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ВІДПОВІДНОСТІ</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16D3819A"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4D2D14">
        <w:rPr>
          <w:rFonts w:asciiTheme="majorHAnsi" w:hAnsiTheme="majorHAnsi"/>
          <w:sz w:val="20"/>
          <w:szCs w:val="20"/>
          <w:lang w:val="en-US"/>
        </w:rPr>
        <w:t>CONFORMITY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ASSESSMENT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SHEME,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CONFORMITY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ASSESSMENT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 xml:space="preserve">PROGRAMME </w:t>
      </w:r>
      <w:r w:rsidRPr="004D2D14">
        <w:rPr>
          <w:rFonts w:asciiTheme="majorHAnsi" w:hAnsiTheme="majorHAnsi"/>
          <w:b/>
          <w:sz w:val="20"/>
          <w:szCs w:val="20"/>
          <w:lang w:val="en-US"/>
        </w:rPr>
        <w:t>–</w:t>
      </w:r>
    </w:p>
    <w:bookmarkEnd w:id="283"/>
    <w:p w14:paraId="4B1F9D9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Система</w:t>
      </w:r>
      <w:r w:rsidRPr="004D2D14">
        <w:rPr>
          <w:rFonts w:asciiTheme="majorHAnsi" w:hAnsiTheme="majorHAnsi"/>
          <w:spacing w:val="1"/>
          <w:sz w:val="20"/>
          <w:szCs w:val="20"/>
          <w:lang w:val="en-US"/>
        </w:rPr>
        <w:t xml:space="preserve"> </w:t>
      </w:r>
      <w:r w:rsidRPr="000977F7">
        <w:rPr>
          <w:rFonts w:asciiTheme="majorHAnsi" w:hAnsiTheme="majorHAnsi"/>
          <w:sz w:val="20"/>
          <w:szCs w:val="20"/>
        </w:rPr>
        <w:t>оцінювання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відповідності</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що</w:t>
      </w:r>
      <w:r w:rsidRPr="004D2D14">
        <w:rPr>
          <w:rFonts w:asciiTheme="majorHAnsi" w:hAnsiTheme="majorHAnsi"/>
          <w:spacing w:val="1"/>
          <w:sz w:val="20"/>
          <w:szCs w:val="20"/>
          <w:lang w:val="en-US"/>
        </w:rPr>
        <w:t xml:space="preserve"> </w:t>
      </w:r>
      <w:r w:rsidRPr="000977F7">
        <w:rPr>
          <w:rFonts w:asciiTheme="majorHAnsi" w:hAnsiTheme="majorHAnsi"/>
          <w:sz w:val="20"/>
          <w:szCs w:val="20"/>
        </w:rPr>
        <w:t>стосується</w:t>
      </w:r>
      <w:r w:rsidRPr="004D2D14">
        <w:rPr>
          <w:rFonts w:asciiTheme="majorHAnsi" w:hAnsiTheme="majorHAnsi"/>
          <w:spacing w:val="1"/>
          <w:sz w:val="20"/>
          <w:szCs w:val="20"/>
          <w:lang w:val="en-US"/>
        </w:rPr>
        <w:t xml:space="preserve"> </w:t>
      </w:r>
      <w:r w:rsidRPr="000977F7">
        <w:rPr>
          <w:rFonts w:asciiTheme="majorHAnsi" w:hAnsiTheme="majorHAnsi"/>
          <w:sz w:val="20"/>
          <w:szCs w:val="20"/>
        </w:rPr>
        <w:t>певних</w:t>
      </w:r>
      <w:r w:rsidRPr="004D2D14">
        <w:rPr>
          <w:rFonts w:asciiTheme="majorHAnsi" w:hAnsiTheme="majorHAnsi"/>
          <w:spacing w:val="1"/>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єктів</w:t>
      </w:r>
      <w:r w:rsidRPr="004D2D14">
        <w:rPr>
          <w:rFonts w:asciiTheme="majorHAnsi" w:hAnsiTheme="majorHAnsi"/>
          <w:spacing w:val="1"/>
          <w:sz w:val="20"/>
          <w:szCs w:val="20"/>
          <w:lang w:val="en-US"/>
        </w:rPr>
        <w:t xml:space="preserve"> </w:t>
      </w:r>
      <w:r w:rsidRPr="000977F7">
        <w:rPr>
          <w:rFonts w:asciiTheme="majorHAnsi" w:hAnsiTheme="majorHAnsi"/>
          <w:sz w:val="20"/>
          <w:szCs w:val="20"/>
        </w:rPr>
        <w:t>оцінювання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відповідності</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до</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яких</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застосовують</w:t>
      </w:r>
      <w:r w:rsidRPr="004D2D14">
        <w:rPr>
          <w:rFonts w:asciiTheme="majorHAnsi" w:hAnsiTheme="majorHAnsi"/>
          <w:spacing w:val="1"/>
          <w:sz w:val="20"/>
          <w:szCs w:val="20"/>
          <w:lang w:val="en-US"/>
        </w:rPr>
        <w:t xml:space="preserve"> </w:t>
      </w:r>
      <w:r w:rsidRPr="000977F7">
        <w:rPr>
          <w:rFonts w:asciiTheme="majorHAnsi" w:hAnsiTheme="majorHAnsi"/>
          <w:sz w:val="20"/>
          <w:szCs w:val="20"/>
        </w:rPr>
        <w:t>ті</w:t>
      </w:r>
      <w:r w:rsidRPr="004D2D14">
        <w:rPr>
          <w:rFonts w:asciiTheme="majorHAnsi" w:hAnsiTheme="majorHAnsi"/>
          <w:sz w:val="20"/>
          <w:szCs w:val="20"/>
          <w:lang w:val="en-US"/>
        </w:rPr>
        <w:t xml:space="preserve"> </w:t>
      </w:r>
      <w:r w:rsidRPr="000977F7">
        <w:rPr>
          <w:rFonts w:asciiTheme="majorHAnsi" w:hAnsiTheme="majorHAnsi"/>
          <w:sz w:val="20"/>
          <w:szCs w:val="20"/>
        </w:rPr>
        <w:t>самі</w:t>
      </w:r>
      <w:r w:rsidRPr="004D2D14">
        <w:rPr>
          <w:rFonts w:asciiTheme="majorHAnsi" w:hAnsiTheme="majorHAnsi"/>
          <w:sz w:val="20"/>
          <w:szCs w:val="20"/>
          <w:lang w:val="en-US"/>
        </w:rPr>
        <w:t xml:space="preserve"> </w:t>
      </w:r>
      <w:r w:rsidRPr="000977F7">
        <w:rPr>
          <w:rFonts w:asciiTheme="majorHAnsi" w:hAnsiTheme="majorHAnsi"/>
          <w:sz w:val="20"/>
          <w:szCs w:val="20"/>
        </w:rPr>
        <w:t>встановлені</w:t>
      </w:r>
      <w:r w:rsidRPr="004D2D14">
        <w:rPr>
          <w:rFonts w:asciiTheme="majorHAnsi" w:hAnsiTheme="majorHAnsi"/>
          <w:sz w:val="20"/>
          <w:szCs w:val="20"/>
          <w:lang w:val="en-US"/>
        </w:rPr>
        <w:t xml:space="preserve"> </w:t>
      </w:r>
      <w:r w:rsidRPr="000977F7">
        <w:rPr>
          <w:rFonts w:asciiTheme="majorHAnsi" w:hAnsiTheme="majorHAnsi"/>
          <w:sz w:val="20"/>
          <w:szCs w:val="20"/>
        </w:rPr>
        <w:t>вимоги</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конкретні</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правила</w:t>
      </w:r>
      <w:r w:rsidRPr="004D2D14">
        <w:rPr>
          <w:rFonts w:asciiTheme="majorHAnsi" w:hAnsiTheme="majorHAnsi"/>
          <w:spacing w:val="-1"/>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процедури</w:t>
      </w:r>
      <w:r w:rsidRPr="004D2D14">
        <w:rPr>
          <w:rFonts w:asciiTheme="majorHAnsi" w:hAnsiTheme="majorHAnsi"/>
          <w:sz w:val="20"/>
          <w:szCs w:val="20"/>
          <w:lang w:val="en-US"/>
        </w:rPr>
        <w:t>.</w:t>
      </w:r>
    </w:p>
    <w:p w14:paraId="16EE00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 р и м і т к а. Схеми оцінювання відповідності можуть діяти на міжнародному, регіональному, національному</w:t>
      </w:r>
      <w:r w:rsidRPr="000977F7">
        <w:rPr>
          <w:rFonts w:asciiTheme="majorHAnsi" w:hAnsiTheme="majorHAnsi"/>
          <w:spacing w:val="-5"/>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внутрішньо національному</w:t>
      </w:r>
      <w:r w:rsidRPr="000977F7">
        <w:rPr>
          <w:rFonts w:asciiTheme="majorHAnsi" w:hAnsiTheme="majorHAnsi"/>
          <w:spacing w:val="-5"/>
          <w:sz w:val="20"/>
          <w:szCs w:val="20"/>
        </w:rPr>
        <w:t xml:space="preserve"> </w:t>
      </w:r>
      <w:r w:rsidRPr="000977F7">
        <w:rPr>
          <w:rFonts w:asciiTheme="majorHAnsi" w:hAnsiTheme="majorHAnsi"/>
          <w:sz w:val="20"/>
          <w:szCs w:val="20"/>
        </w:rPr>
        <w:t>рівні</w:t>
      </w:r>
    </w:p>
    <w:p w14:paraId="439CBD9F" w14:textId="77777777" w:rsidR="0097612F" w:rsidRPr="000977F7" w:rsidRDefault="0097612F" w:rsidP="000977F7">
      <w:pPr>
        <w:pStyle w:val="af6"/>
        <w:tabs>
          <w:tab w:val="left" w:pos="284"/>
        </w:tabs>
        <w:spacing w:after="0"/>
        <w:ind w:left="170"/>
        <w:mirrorIndents/>
        <w:jc w:val="both"/>
        <w:rPr>
          <w:rFonts w:asciiTheme="majorHAnsi" w:hAnsiTheme="majorHAnsi"/>
          <w:i/>
          <w:iCs/>
          <w:spacing w:val="-6"/>
          <w:w w:val="95"/>
          <w:sz w:val="20"/>
          <w:szCs w:val="20"/>
        </w:rPr>
        <w:sectPr w:rsidR="0097612F" w:rsidRPr="000977F7" w:rsidSect="000977F7">
          <w:type w:val="continuous"/>
          <w:pgSz w:w="11910" w:h="16840"/>
          <w:pgMar w:top="800" w:right="711" w:bottom="960" w:left="1000" w:header="0" w:footer="751" w:gutter="0"/>
          <w:cols w:num="2" w:space="454"/>
        </w:sectPr>
      </w:pPr>
      <w:r w:rsidRPr="000977F7">
        <w:rPr>
          <w:rFonts w:asciiTheme="majorHAnsi" w:hAnsiTheme="majorHAnsi"/>
          <w:i/>
          <w:iCs/>
          <w:spacing w:val="-7"/>
          <w:w w:val="95"/>
          <w:sz w:val="20"/>
          <w:szCs w:val="20"/>
        </w:rPr>
        <w:t>ДСТУ ISO/IEC</w:t>
      </w:r>
      <w:r w:rsidRPr="000977F7">
        <w:rPr>
          <w:rFonts w:asciiTheme="majorHAnsi" w:hAnsiTheme="majorHAnsi"/>
          <w:i/>
          <w:iCs/>
          <w:spacing w:val="-27"/>
          <w:w w:val="95"/>
          <w:sz w:val="20"/>
          <w:szCs w:val="20"/>
        </w:rPr>
        <w:t xml:space="preserve"> </w:t>
      </w:r>
      <w:r w:rsidRPr="000977F7">
        <w:rPr>
          <w:rFonts w:asciiTheme="majorHAnsi" w:hAnsiTheme="majorHAnsi"/>
          <w:i/>
          <w:iCs/>
          <w:spacing w:val="-6"/>
          <w:w w:val="95"/>
          <w:sz w:val="20"/>
          <w:szCs w:val="20"/>
        </w:rPr>
        <w:t>17000:2007</w:t>
      </w:r>
    </w:p>
    <w:p w14:paraId="6F234F41"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p>
    <w:p w14:paraId="38A4704B" w14:textId="77777777" w:rsidR="0097612F" w:rsidRPr="000977F7" w:rsidRDefault="0097612F" w:rsidP="000977F7">
      <w:pPr>
        <w:pStyle w:val="1"/>
        <w:tabs>
          <w:tab w:val="left" w:pos="284"/>
        </w:tabs>
        <w:spacing w:line="240" w:lineRule="auto"/>
        <w:ind w:left="170"/>
        <w:mirrorIndents/>
        <w:jc w:val="both"/>
        <w:rPr>
          <w:color w:val="auto"/>
          <w:w w:val="99"/>
          <w:sz w:val="20"/>
          <w:szCs w:val="20"/>
        </w:rPr>
        <w:sectPr w:rsidR="0097612F" w:rsidRPr="000977F7" w:rsidSect="000977F7">
          <w:type w:val="continuous"/>
          <w:pgSz w:w="11910" w:h="16840"/>
          <w:pgMar w:top="800" w:right="711" w:bottom="960" w:left="1000" w:header="0" w:footer="751" w:gutter="0"/>
          <w:cols w:num="2" w:space="454"/>
        </w:sectPr>
      </w:pPr>
    </w:p>
    <w:p w14:paraId="1774B481" w14:textId="77777777" w:rsidR="0097612F" w:rsidRPr="00C10197" w:rsidRDefault="0097612F" w:rsidP="00C10197">
      <w:pPr>
        <w:pStyle w:val="1"/>
        <w:rPr>
          <w:lang w:val="uk-UA"/>
        </w:rPr>
        <w:sectPr w:rsidR="0097612F" w:rsidRPr="00C10197" w:rsidSect="000977F7">
          <w:pgSz w:w="11910" w:h="16840"/>
          <w:pgMar w:top="800" w:right="711" w:bottom="960" w:left="1000" w:header="0" w:footer="751" w:gutter="0"/>
          <w:cols w:num="2" w:space="454"/>
        </w:sectPr>
      </w:pPr>
      <w:bookmarkStart w:id="284" w:name="_Toc132629651"/>
      <w:r w:rsidRPr="00C10197">
        <w:rPr>
          <w:lang w:val="uk-UA"/>
        </w:rPr>
        <w:lastRenderedPageBreak/>
        <w:t>Т</w:t>
      </w:r>
      <w:bookmarkEnd w:id="284"/>
    </w:p>
    <w:p w14:paraId="733D88B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ТАБЛИЦЯ</w:t>
      </w:r>
      <w:r w:rsidRPr="000977F7">
        <w:rPr>
          <w:color w:val="auto"/>
          <w:spacing w:val="-4"/>
          <w:sz w:val="20"/>
          <w:szCs w:val="20"/>
        </w:rPr>
        <w:t xml:space="preserve"> </w:t>
      </w:r>
      <w:r w:rsidRPr="000977F7">
        <w:rPr>
          <w:color w:val="auto"/>
          <w:sz w:val="20"/>
          <w:szCs w:val="20"/>
        </w:rPr>
        <w:t>–</w:t>
      </w:r>
    </w:p>
    <w:p w14:paraId="1AB38644"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pacing w:val="-4"/>
          <w:sz w:val="20"/>
          <w:szCs w:val="20"/>
        </w:rPr>
        <w:t xml:space="preserve">Текстовий </w:t>
      </w:r>
      <w:r w:rsidRPr="000977F7">
        <w:rPr>
          <w:rFonts w:asciiTheme="majorHAnsi" w:hAnsiTheme="majorHAnsi"/>
          <w:spacing w:val="-3"/>
          <w:sz w:val="20"/>
          <w:szCs w:val="20"/>
        </w:rPr>
        <w:t>конструкторський документ, який містить за</w:t>
      </w:r>
      <w:r w:rsidRPr="000977F7">
        <w:rPr>
          <w:rFonts w:asciiTheme="majorHAnsi" w:hAnsiTheme="majorHAnsi"/>
          <w:spacing w:val="-6"/>
          <w:sz w:val="20"/>
          <w:szCs w:val="20"/>
        </w:rPr>
        <w:t xml:space="preserve">лежно від його призначення певні </w:t>
      </w:r>
      <w:r w:rsidRPr="000977F7">
        <w:rPr>
          <w:rFonts w:asciiTheme="majorHAnsi" w:hAnsiTheme="majorHAnsi"/>
          <w:spacing w:val="-5"/>
          <w:sz w:val="20"/>
          <w:szCs w:val="20"/>
        </w:rPr>
        <w:t>дані, зведені в таблицю</w:t>
      </w:r>
      <w:r w:rsidRPr="000977F7">
        <w:rPr>
          <w:rFonts w:asciiTheme="majorHAnsi" w:hAnsiTheme="majorHAnsi"/>
          <w:spacing w:val="-47"/>
          <w:sz w:val="20"/>
          <w:szCs w:val="20"/>
        </w:rPr>
        <w:t xml:space="preserve"> </w:t>
      </w:r>
    </w:p>
    <w:p w14:paraId="74329CD1"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3321</w:t>
      </w:r>
      <w:r w:rsidRPr="000977F7">
        <w:rPr>
          <w:rFonts w:asciiTheme="majorHAnsi" w:hAnsiTheme="majorHAnsi"/>
          <w:i/>
          <w:spacing w:val="2"/>
          <w:sz w:val="20"/>
          <w:szCs w:val="20"/>
        </w:rPr>
        <w:t xml:space="preserve"> </w:t>
      </w:r>
      <w:r w:rsidRPr="000977F7">
        <w:rPr>
          <w:rFonts w:asciiTheme="majorHAnsi" w:hAnsiTheme="majorHAnsi"/>
          <w:i/>
          <w:sz w:val="20"/>
          <w:szCs w:val="20"/>
        </w:rPr>
        <w:t>– 2003</w:t>
      </w:r>
    </w:p>
    <w:p w14:paraId="54B6EE0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ТАВРО</w:t>
      </w:r>
      <w:r w:rsidRPr="000977F7">
        <w:rPr>
          <w:color w:val="auto"/>
          <w:spacing w:val="-1"/>
          <w:sz w:val="20"/>
          <w:szCs w:val="20"/>
        </w:rPr>
        <w:t xml:space="preserve"> </w:t>
      </w:r>
      <w:r w:rsidRPr="000977F7">
        <w:rPr>
          <w:color w:val="auto"/>
          <w:sz w:val="20"/>
          <w:szCs w:val="20"/>
        </w:rPr>
        <w:t>–</w:t>
      </w:r>
    </w:p>
    <w:p w14:paraId="08D6057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Знак,</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2"/>
          <w:sz w:val="20"/>
          <w:szCs w:val="20"/>
        </w:rPr>
        <w:t xml:space="preserve"> </w:t>
      </w:r>
      <w:r w:rsidRPr="000977F7">
        <w:rPr>
          <w:rFonts w:asciiTheme="majorHAnsi" w:hAnsiTheme="majorHAnsi"/>
          <w:sz w:val="20"/>
          <w:szCs w:val="20"/>
        </w:rPr>
        <w:t>засвідчує якість</w:t>
      </w:r>
      <w:r w:rsidRPr="000977F7">
        <w:rPr>
          <w:rFonts w:asciiTheme="majorHAnsi" w:hAnsiTheme="majorHAnsi"/>
          <w:spacing w:val="-3"/>
          <w:sz w:val="20"/>
          <w:szCs w:val="20"/>
        </w:rPr>
        <w:t xml:space="preserve"> </w:t>
      </w:r>
      <w:r w:rsidRPr="000977F7">
        <w:rPr>
          <w:rFonts w:asciiTheme="majorHAnsi" w:hAnsiTheme="majorHAnsi"/>
          <w:sz w:val="20"/>
          <w:szCs w:val="20"/>
        </w:rPr>
        <w:t>виробу</w:t>
      </w:r>
    </w:p>
    <w:p w14:paraId="159C834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 –</w:t>
      </w:r>
      <w:r w:rsidRPr="000977F7">
        <w:rPr>
          <w:rFonts w:asciiTheme="majorHAnsi" w:hAnsiTheme="majorHAnsi"/>
          <w:i/>
          <w:spacing w:val="-1"/>
          <w:sz w:val="20"/>
          <w:szCs w:val="20"/>
        </w:rPr>
        <w:t xml:space="preserve"> </w:t>
      </w:r>
      <w:r w:rsidRPr="000977F7">
        <w:rPr>
          <w:rFonts w:asciiTheme="majorHAnsi" w:hAnsiTheme="majorHAnsi"/>
          <w:i/>
          <w:sz w:val="20"/>
          <w:szCs w:val="20"/>
        </w:rPr>
        <w:t>2003</w:t>
      </w:r>
    </w:p>
    <w:p w14:paraId="30659EA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ТАВРУВАННЯ</w:t>
      </w:r>
      <w:r w:rsidRPr="000977F7">
        <w:rPr>
          <w:color w:val="auto"/>
          <w:spacing w:val="-7"/>
          <w:sz w:val="20"/>
          <w:szCs w:val="20"/>
        </w:rPr>
        <w:t xml:space="preserve"> </w:t>
      </w:r>
      <w:r w:rsidRPr="000977F7">
        <w:rPr>
          <w:color w:val="auto"/>
          <w:sz w:val="20"/>
          <w:szCs w:val="20"/>
        </w:rPr>
        <w:t>–</w:t>
      </w:r>
    </w:p>
    <w:p w14:paraId="45842E4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2"/>
          <w:sz w:val="20"/>
          <w:szCs w:val="20"/>
        </w:rPr>
        <w:t>Нанесення</w:t>
      </w:r>
      <w:r w:rsidRPr="000977F7">
        <w:rPr>
          <w:rFonts w:asciiTheme="majorHAnsi" w:hAnsiTheme="majorHAnsi"/>
          <w:spacing w:val="-8"/>
          <w:sz w:val="20"/>
          <w:szCs w:val="20"/>
        </w:rPr>
        <w:t xml:space="preserve"> </w:t>
      </w:r>
      <w:r w:rsidRPr="000977F7">
        <w:rPr>
          <w:rFonts w:asciiTheme="majorHAnsi" w:hAnsiTheme="majorHAnsi"/>
          <w:spacing w:val="-1"/>
          <w:sz w:val="20"/>
          <w:szCs w:val="20"/>
        </w:rPr>
        <w:t>на</w:t>
      </w:r>
      <w:r w:rsidRPr="000977F7">
        <w:rPr>
          <w:rFonts w:asciiTheme="majorHAnsi" w:hAnsiTheme="majorHAnsi"/>
          <w:spacing w:val="-9"/>
          <w:sz w:val="20"/>
          <w:szCs w:val="20"/>
        </w:rPr>
        <w:t xml:space="preserve"> </w:t>
      </w:r>
      <w:r w:rsidRPr="000977F7">
        <w:rPr>
          <w:rFonts w:asciiTheme="majorHAnsi" w:hAnsiTheme="majorHAnsi"/>
          <w:spacing w:val="-1"/>
          <w:sz w:val="20"/>
          <w:szCs w:val="20"/>
        </w:rPr>
        <w:t>виріб</w:t>
      </w:r>
      <w:r w:rsidRPr="000977F7">
        <w:rPr>
          <w:rFonts w:asciiTheme="majorHAnsi" w:hAnsiTheme="majorHAnsi"/>
          <w:spacing w:val="-11"/>
          <w:sz w:val="20"/>
          <w:szCs w:val="20"/>
        </w:rPr>
        <w:t xml:space="preserve"> </w:t>
      </w:r>
      <w:r w:rsidRPr="000977F7">
        <w:rPr>
          <w:rFonts w:asciiTheme="majorHAnsi" w:hAnsiTheme="majorHAnsi"/>
          <w:spacing w:val="-1"/>
          <w:sz w:val="20"/>
          <w:szCs w:val="20"/>
        </w:rPr>
        <w:t>знаків,</w:t>
      </w:r>
      <w:r w:rsidRPr="000977F7">
        <w:rPr>
          <w:rFonts w:asciiTheme="majorHAnsi" w:hAnsiTheme="majorHAnsi"/>
          <w:spacing w:val="-7"/>
          <w:sz w:val="20"/>
          <w:szCs w:val="20"/>
        </w:rPr>
        <w:t xml:space="preserve"> </w:t>
      </w:r>
      <w:r w:rsidRPr="000977F7">
        <w:rPr>
          <w:rFonts w:asciiTheme="majorHAnsi" w:hAnsiTheme="majorHAnsi"/>
          <w:spacing w:val="-1"/>
          <w:sz w:val="20"/>
          <w:szCs w:val="20"/>
        </w:rPr>
        <w:t>що</w:t>
      </w:r>
      <w:r w:rsidRPr="000977F7">
        <w:rPr>
          <w:rFonts w:asciiTheme="majorHAnsi" w:hAnsiTheme="majorHAnsi"/>
          <w:spacing w:val="-8"/>
          <w:sz w:val="20"/>
          <w:szCs w:val="20"/>
        </w:rPr>
        <w:t xml:space="preserve"> </w:t>
      </w:r>
      <w:r w:rsidRPr="000977F7">
        <w:rPr>
          <w:rFonts w:asciiTheme="majorHAnsi" w:hAnsiTheme="majorHAnsi"/>
          <w:spacing w:val="-1"/>
          <w:sz w:val="20"/>
          <w:szCs w:val="20"/>
        </w:rPr>
        <w:t>засвідчують</w:t>
      </w:r>
      <w:r w:rsidRPr="000977F7">
        <w:rPr>
          <w:rFonts w:asciiTheme="majorHAnsi" w:hAnsiTheme="majorHAnsi"/>
          <w:spacing w:val="-7"/>
          <w:sz w:val="20"/>
          <w:szCs w:val="20"/>
        </w:rPr>
        <w:t xml:space="preserve"> </w:t>
      </w:r>
      <w:r w:rsidRPr="000977F7">
        <w:rPr>
          <w:rFonts w:asciiTheme="majorHAnsi" w:hAnsiTheme="majorHAnsi"/>
          <w:spacing w:val="-1"/>
          <w:sz w:val="20"/>
          <w:szCs w:val="20"/>
        </w:rPr>
        <w:t>його</w:t>
      </w:r>
      <w:r w:rsidRPr="000977F7">
        <w:rPr>
          <w:rFonts w:asciiTheme="majorHAnsi" w:hAnsiTheme="majorHAnsi"/>
          <w:spacing w:val="-9"/>
          <w:sz w:val="20"/>
          <w:szCs w:val="20"/>
        </w:rPr>
        <w:t xml:space="preserve"> </w:t>
      </w:r>
      <w:r w:rsidRPr="000977F7">
        <w:rPr>
          <w:rFonts w:asciiTheme="majorHAnsi" w:hAnsiTheme="majorHAnsi"/>
          <w:spacing w:val="-1"/>
          <w:sz w:val="20"/>
          <w:szCs w:val="20"/>
        </w:rPr>
        <w:t>якість</w:t>
      </w:r>
    </w:p>
    <w:p w14:paraId="7AF144AB"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3321</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2003</w:t>
      </w:r>
      <w:r w:rsidRPr="004D2D14">
        <w:rPr>
          <w:rFonts w:asciiTheme="majorHAnsi" w:hAnsiTheme="majorHAnsi"/>
          <w:i/>
          <w:spacing w:val="1"/>
          <w:sz w:val="20"/>
          <w:szCs w:val="20"/>
          <w:lang w:val="en-US"/>
        </w:rPr>
        <w:t xml:space="preserve"> </w:t>
      </w:r>
      <w:r w:rsidRPr="000977F7">
        <w:rPr>
          <w:rFonts w:asciiTheme="majorHAnsi" w:hAnsiTheme="majorHAnsi"/>
          <w:b/>
          <w:sz w:val="20"/>
          <w:szCs w:val="20"/>
        </w:rPr>
        <w:t>ТАКТ</w:t>
      </w:r>
      <w:r w:rsidRPr="004D2D14">
        <w:rPr>
          <w:rFonts w:asciiTheme="majorHAnsi" w:hAnsiTheme="majorHAnsi"/>
          <w:b/>
          <w:sz w:val="20"/>
          <w:szCs w:val="20"/>
          <w:lang w:val="en-US"/>
        </w:rPr>
        <w:t xml:space="preserve"> </w:t>
      </w:r>
      <w:r w:rsidRPr="000977F7">
        <w:rPr>
          <w:rFonts w:asciiTheme="majorHAnsi" w:hAnsiTheme="majorHAnsi"/>
          <w:b/>
          <w:sz w:val="20"/>
          <w:szCs w:val="20"/>
        </w:rPr>
        <w:t>ВИПУСКУ</w:t>
      </w:r>
      <w:r w:rsidRPr="004D2D14">
        <w:rPr>
          <w:rFonts w:asciiTheme="majorHAnsi" w:hAnsiTheme="majorHAnsi"/>
          <w:b/>
          <w:sz w:val="20"/>
          <w:szCs w:val="20"/>
          <w:lang w:val="en-US"/>
        </w:rPr>
        <w:t xml:space="preserve"> –</w:t>
      </w:r>
      <w:r w:rsidRPr="004D2D14">
        <w:rPr>
          <w:rFonts w:asciiTheme="majorHAnsi" w:hAnsiTheme="majorHAnsi"/>
          <w:b/>
          <w:spacing w:val="1"/>
          <w:sz w:val="20"/>
          <w:szCs w:val="20"/>
          <w:lang w:val="en-US"/>
        </w:rPr>
        <w:t xml:space="preserve"> </w:t>
      </w:r>
      <w:r w:rsidRPr="004D2D14">
        <w:rPr>
          <w:rFonts w:asciiTheme="majorHAnsi" w:hAnsiTheme="majorHAnsi"/>
          <w:sz w:val="20"/>
          <w:szCs w:val="20"/>
          <w:lang w:val="en-US"/>
        </w:rPr>
        <w:t>PRODUCTION</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w:t>
      </w:r>
    </w:p>
    <w:p w14:paraId="14E4484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Інтервал часу, протягом якого періодично випускають</w:t>
      </w:r>
      <w:r w:rsidRPr="000977F7">
        <w:rPr>
          <w:rFonts w:asciiTheme="majorHAnsi" w:hAnsiTheme="majorHAnsi"/>
          <w:spacing w:val="-47"/>
          <w:sz w:val="20"/>
          <w:szCs w:val="20"/>
        </w:rPr>
        <w:t xml:space="preserve"> </w:t>
      </w:r>
      <w:r w:rsidRPr="000977F7">
        <w:rPr>
          <w:rFonts w:asciiTheme="majorHAnsi" w:hAnsiTheme="majorHAnsi"/>
          <w:sz w:val="20"/>
          <w:szCs w:val="20"/>
        </w:rPr>
        <w:t>вироби чи заготовки певного найменування, типорозміру</w:t>
      </w:r>
      <w:r w:rsidRPr="000977F7">
        <w:rPr>
          <w:rFonts w:asciiTheme="majorHAnsi" w:hAnsiTheme="majorHAnsi"/>
          <w:spacing w:val="-5"/>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виконання</w:t>
      </w:r>
    </w:p>
    <w:p w14:paraId="14B4FAC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 2010;</w:t>
      </w:r>
      <w:r w:rsidRPr="000977F7">
        <w:rPr>
          <w:rFonts w:asciiTheme="majorHAnsi" w:hAnsiTheme="majorHAnsi"/>
          <w:i/>
          <w:spacing w:val="-2"/>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2974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95</w:t>
      </w:r>
    </w:p>
    <w:p w14:paraId="7E06306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ТАКТИКА</w:t>
      </w:r>
      <w:r w:rsidRPr="000977F7">
        <w:rPr>
          <w:color w:val="auto"/>
          <w:spacing w:val="-5"/>
          <w:sz w:val="20"/>
          <w:szCs w:val="20"/>
        </w:rPr>
        <w:t xml:space="preserve"> </w:t>
      </w:r>
      <w:r w:rsidRPr="000977F7">
        <w:rPr>
          <w:color w:val="auto"/>
          <w:sz w:val="20"/>
          <w:szCs w:val="20"/>
        </w:rPr>
        <w:t>МАРКЕТИНГУ</w:t>
      </w:r>
      <w:r w:rsidRPr="000977F7">
        <w:rPr>
          <w:color w:val="auto"/>
          <w:spacing w:val="-2"/>
          <w:sz w:val="20"/>
          <w:szCs w:val="20"/>
        </w:rPr>
        <w:t xml:space="preserve"> </w:t>
      </w:r>
      <w:r w:rsidRPr="000977F7">
        <w:rPr>
          <w:color w:val="auto"/>
          <w:sz w:val="20"/>
          <w:szCs w:val="20"/>
        </w:rPr>
        <w:t>–</w:t>
      </w:r>
    </w:p>
    <w:p w14:paraId="4E7B1C5B"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Формування</w:t>
      </w:r>
      <w:r w:rsidRPr="000977F7">
        <w:rPr>
          <w:rFonts w:asciiTheme="majorHAnsi" w:hAnsiTheme="majorHAnsi"/>
          <w:spacing w:val="15"/>
          <w:sz w:val="20"/>
          <w:szCs w:val="20"/>
        </w:rPr>
        <w:t xml:space="preserve"> </w:t>
      </w:r>
      <w:r w:rsidRPr="000977F7">
        <w:rPr>
          <w:rFonts w:asciiTheme="majorHAnsi" w:hAnsiTheme="majorHAnsi"/>
          <w:sz w:val="20"/>
          <w:szCs w:val="20"/>
        </w:rPr>
        <w:t>та</w:t>
      </w:r>
      <w:r w:rsidRPr="000977F7">
        <w:rPr>
          <w:rFonts w:asciiTheme="majorHAnsi" w:hAnsiTheme="majorHAnsi"/>
          <w:spacing w:val="15"/>
          <w:sz w:val="20"/>
          <w:szCs w:val="20"/>
        </w:rPr>
        <w:t xml:space="preserve"> </w:t>
      </w:r>
      <w:r w:rsidRPr="000977F7">
        <w:rPr>
          <w:rFonts w:asciiTheme="majorHAnsi" w:hAnsiTheme="majorHAnsi"/>
          <w:sz w:val="20"/>
          <w:szCs w:val="20"/>
        </w:rPr>
        <w:t>реалізація</w:t>
      </w:r>
      <w:r w:rsidRPr="000977F7">
        <w:rPr>
          <w:rFonts w:asciiTheme="majorHAnsi" w:hAnsiTheme="majorHAnsi"/>
          <w:spacing w:val="14"/>
          <w:sz w:val="20"/>
          <w:szCs w:val="20"/>
        </w:rPr>
        <w:t xml:space="preserve"> </w:t>
      </w:r>
      <w:r w:rsidRPr="000977F7">
        <w:rPr>
          <w:rFonts w:asciiTheme="majorHAnsi" w:hAnsiTheme="majorHAnsi"/>
          <w:sz w:val="20"/>
          <w:szCs w:val="20"/>
        </w:rPr>
        <w:t>завдань</w:t>
      </w:r>
      <w:r w:rsidRPr="000977F7">
        <w:rPr>
          <w:rFonts w:asciiTheme="majorHAnsi" w:hAnsiTheme="majorHAnsi"/>
          <w:spacing w:val="16"/>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7"/>
          <w:sz w:val="20"/>
          <w:szCs w:val="20"/>
        </w:rPr>
        <w:t xml:space="preserve"> </w:t>
      </w:r>
      <w:r w:rsidRPr="000977F7">
        <w:rPr>
          <w:rFonts w:asciiTheme="majorHAnsi" w:hAnsiTheme="majorHAnsi"/>
          <w:sz w:val="20"/>
          <w:szCs w:val="20"/>
        </w:rPr>
        <w:t>на</w:t>
      </w:r>
      <w:r w:rsidRPr="000977F7">
        <w:rPr>
          <w:rFonts w:asciiTheme="majorHAnsi" w:hAnsiTheme="majorHAnsi"/>
          <w:spacing w:val="14"/>
          <w:sz w:val="20"/>
          <w:szCs w:val="20"/>
        </w:rPr>
        <w:t xml:space="preserve"> </w:t>
      </w:r>
      <w:r w:rsidRPr="000977F7">
        <w:rPr>
          <w:rFonts w:asciiTheme="majorHAnsi" w:hAnsiTheme="majorHAnsi"/>
          <w:sz w:val="20"/>
          <w:szCs w:val="20"/>
        </w:rPr>
        <w:t>кожному</w:t>
      </w:r>
      <w:r w:rsidRPr="000977F7">
        <w:rPr>
          <w:rFonts w:asciiTheme="majorHAnsi" w:hAnsiTheme="majorHAnsi"/>
          <w:spacing w:val="6"/>
          <w:sz w:val="20"/>
          <w:szCs w:val="20"/>
        </w:rPr>
        <w:t xml:space="preserve"> </w:t>
      </w:r>
      <w:r w:rsidRPr="000977F7">
        <w:rPr>
          <w:rFonts w:asciiTheme="majorHAnsi" w:hAnsiTheme="majorHAnsi"/>
          <w:sz w:val="20"/>
          <w:szCs w:val="20"/>
        </w:rPr>
        <w:t>ринку</w:t>
      </w:r>
      <w:r w:rsidRPr="000977F7">
        <w:rPr>
          <w:rFonts w:asciiTheme="majorHAnsi" w:hAnsiTheme="majorHAnsi"/>
          <w:spacing w:val="6"/>
          <w:sz w:val="20"/>
          <w:szCs w:val="20"/>
        </w:rPr>
        <w:t xml:space="preserve"> </w:t>
      </w:r>
      <w:r w:rsidRPr="000977F7">
        <w:rPr>
          <w:rFonts w:asciiTheme="majorHAnsi" w:hAnsiTheme="majorHAnsi"/>
          <w:sz w:val="20"/>
          <w:szCs w:val="20"/>
        </w:rPr>
        <w:t>і</w:t>
      </w:r>
      <w:r w:rsidRPr="000977F7">
        <w:rPr>
          <w:rFonts w:asciiTheme="majorHAnsi" w:hAnsiTheme="majorHAnsi"/>
          <w:spacing w:val="9"/>
          <w:sz w:val="20"/>
          <w:szCs w:val="20"/>
        </w:rPr>
        <w:t xml:space="preserve"> </w:t>
      </w:r>
      <w:r w:rsidRPr="000977F7">
        <w:rPr>
          <w:rFonts w:asciiTheme="majorHAnsi" w:hAnsiTheme="majorHAnsi"/>
          <w:sz w:val="20"/>
          <w:szCs w:val="20"/>
        </w:rPr>
        <w:t>за</w:t>
      </w:r>
      <w:r w:rsidRPr="000977F7">
        <w:rPr>
          <w:rFonts w:asciiTheme="majorHAnsi" w:hAnsiTheme="majorHAnsi"/>
          <w:spacing w:val="10"/>
          <w:sz w:val="20"/>
          <w:szCs w:val="20"/>
        </w:rPr>
        <w:t xml:space="preserve"> </w:t>
      </w:r>
      <w:r w:rsidRPr="000977F7">
        <w:rPr>
          <w:rFonts w:asciiTheme="majorHAnsi" w:hAnsiTheme="majorHAnsi"/>
          <w:sz w:val="20"/>
          <w:szCs w:val="20"/>
        </w:rPr>
        <w:t>кожним</w:t>
      </w:r>
      <w:r w:rsidRPr="000977F7">
        <w:rPr>
          <w:rFonts w:asciiTheme="majorHAnsi" w:hAnsiTheme="majorHAnsi"/>
          <w:spacing w:val="11"/>
          <w:sz w:val="20"/>
          <w:szCs w:val="20"/>
        </w:rPr>
        <w:t xml:space="preserve"> </w:t>
      </w:r>
      <w:r w:rsidRPr="000977F7">
        <w:rPr>
          <w:rFonts w:asciiTheme="majorHAnsi" w:hAnsiTheme="majorHAnsi"/>
          <w:sz w:val="20"/>
          <w:szCs w:val="20"/>
        </w:rPr>
        <w:t>товаром</w:t>
      </w:r>
      <w:r w:rsidRPr="000977F7">
        <w:rPr>
          <w:rFonts w:asciiTheme="majorHAnsi" w:hAnsiTheme="majorHAnsi"/>
          <w:spacing w:val="11"/>
          <w:sz w:val="20"/>
          <w:szCs w:val="20"/>
        </w:rPr>
        <w:t xml:space="preserve"> </w:t>
      </w:r>
      <w:r w:rsidRPr="000977F7">
        <w:rPr>
          <w:rFonts w:asciiTheme="majorHAnsi" w:hAnsiTheme="majorHAnsi"/>
          <w:sz w:val="20"/>
          <w:szCs w:val="20"/>
        </w:rPr>
        <w:t>в</w:t>
      </w:r>
      <w:r w:rsidRPr="000977F7">
        <w:rPr>
          <w:rFonts w:asciiTheme="majorHAnsi" w:hAnsiTheme="majorHAnsi"/>
          <w:spacing w:val="9"/>
          <w:sz w:val="20"/>
          <w:szCs w:val="20"/>
        </w:rPr>
        <w:t xml:space="preserve"> </w:t>
      </w:r>
      <w:r w:rsidRPr="000977F7">
        <w:rPr>
          <w:rFonts w:asciiTheme="majorHAnsi" w:hAnsiTheme="majorHAnsi"/>
          <w:sz w:val="20"/>
          <w:szCs w:val="20"/>
        </w:rPr>
        <w:t>конкретний</w:t>
      </w:r>
      <w:r w:rsidRPr="000977F7">
        <w:rPr>
          <w:rFonts w:asciiTheme="majorHAnsi" w:hAnsiTheme="majorHAnsi"/>
          <w:spacing w:val="9"/>
          <w:sz w:val="20"/>
          <w:szCs w:val="20"/>
        </w:rPr>
        <w:t xml:space="preserve"> </w:t>
      </w:r>
      <w:r w:rsidRPr="000977F7">
        <w:rPr>
          <w:rFonts w:asciiTheme="majorHAnsi" w:hAnsiTheme="majorHAnsi"/>
          <w:sz w:val="20"/>
          <w:szCs w:val="20"/>
        </w:rPr>
        <w:t>період</w:t>
      </w:r>
      <w:r w:rsidRPr="000977F7">
        <w:rPr>
          <w:rFonts w:asciiTheme="majorHAnsi" w:hAnsiTheme="majorHAnsi"/>
          <w:spacing w:val="-47"/>
          <w:sz w:val="20"/>
          <w:szCs w:val="20"/>
        </w:rPr>
        <w:t xml:space="preserve"> </w:t>
      </w:r>
      <w:r w:rsidRPr="000977F7">
        <w:rPr>
          <w:rFonts w:asciiTheme="majorHAnsi" w:hAnsiTheme="majorHAnsi"/>
          <w:sz w:val="20"/>
          <w:szCs w:val="20"/>
        </w:rPr>
        <w:t>часу</w:t>
      </w:r>
      <w:r w:rsidRPr="000977F7">
        <w:rPr>
          <w:rFonts w:asciiTheme="majorHAnsi" w:hAnsiTheme="majorHAnsi"/>
          <w:spacing w:val="17"/>
          <w:sz w:val="20"/>
          <w:szCs w:val="20"/>
        </w:rPr>
        <w:t xml:space="preserve"> </w:t>
      </w:r>
      <w:r w:rsidRPr="000977F7">
        <w:rPr>
          <w:rFonts w:asciiTheme="majorHAnsi" w:hAnsiTheme="majorHAnsi"/>
          <w:sz w:val="20"/>
          <w:szCs w:val="20"/>
        </w:rPr>
        <w:t>на</w:t>
      </w:r>
      <w:r w:rsidRPr="000977F7">
        <w:rPr>
          <w:rFonts w:asciiTheme="majorHAnsi" w:hAnsiTheme="majorHAnsi"/>
          <w:spacing w:val="22"/>
          <w:sz w:val="20"/>
          <w:szCs w:val="20"/>
        </w:rPr>
        <w:t xml:space="preserve"> </w:t>
      </w:r>
      <w:r w:rsidRPr="000977F7">
        <w:rPr>
          <w:rFonts w:asciiTheme="majorHAnsi" w:hAnsiTheme="majorHAnsi"/>
          <w:sz w:val="20"/>
          <w:szCs w:val="20"/>
        </w:rPr>
        <w:t>основі</w:t>
      </w:r>
      <w:r w:rsidRPr="000977F7">
        <w:rPr>
          <w:rFonts w:asciiTheme="majorHAnsi" w:hAnsiTheme="majorHAnsi"/>
          <w:spacing w:val="20"/>
          <w:sz w:val="20"/>
          <w:szCs w:val="20"/>
        </w:rPr>
        <w:t xml:space="preserve"> </w:t>
      </w:r>
      <w:r w:rsidRPr="000977F7">
        <w:rPr>
          <w:rFonts w:asciiTheme="majorHAnsi" w:hAnsiTheme="majorHAnsi"/>
          <w:sz w:val="20"/>
          <w:szCs w:val="20"/>
        </w:rPr>
        <w:t>стратегії</w:t>
      </w:r>
      <w:r w:rsidRPr="000977F7">
        <w:rPr>
          <w:rFonts w:asciiTheme="majorHAnsi" w:hAnsiTheme="majorHAnsi"/>
          <w:spacing w:val="21"/>
          <w:sz w:val="20"/>
          <w:szCs w:val="20"/>
        </w:rPr>
        <w:t xml:space="preserve"> </w:t>
      </w:r>
      <w:r w:rsidRPr="000977F7">
        <w:rPr>
          <w:rFonts w:asciiTheme="majorHAnsi" w:hAnsiTheme="majorHAnsi"/>
          <w:sz w:val="20"/>
          <w:szCs w:val="20"/>
        </w:rPr>
        <w:t>маркетингу</w:t>
      </w:r>
      <w:r w:rsidRPr="000977F7">
        <w:rPr>
          <w:rFonts w:asciiTheme="majorHAnsi" w:hAnsiTheme="majorHAnsi"/>
          <w:spacing w:val="20"/>
          <w:sz w:val="20"/>
          <w:szCs w:val="20"/>
        </w:rPr>
        <w:t xml:space="preserve"> </w:t>
      </w:r>
      <w:r w:rsidRPr="000977F7">
        <w:rPr>
          <w:rFonts w:asciiTheme="majorHAnsi" w:hAnsiTheme="majorHAnsi"/>
          <w:sz w:val="20"/>
          <w:szCs w:val="20"/>
        </w:rPr>
        <w:t>і</w:t>
      </w:r>
      <w:r w:rsidRPr="000977F7">
        <w:rPr>
          <w:rFonts w:asciiTheme="majorHAnsi" w:hAnsiTheme="majorHAnsi"/>
          <w:spacing w:val="20"/>
          <w:sz w:val="20"/>
          <w:szCs w:val="20"/>
        </w:rPr>
        <w:t xml:space="preserve"> </w:t>
      </w:r>
      <w:r w:rsidRPr="000977F7">
        <w:rPr>
          <w:rFonts w:asciiTheme="majorHAnsi" w:hAnsiTheme="majorHAnsi"/>
          <w:sz w:val="20"/>
          <w:szCs w:val="20"/>
        </w:rPr>
        <w:t>оцінювання</w:t>
      </w:r>
      <w:r w:rsidRPr="000977F7">
        <w:rPr>
          <w:rFonts w:asciiTheme="majorHAnsi" w:hAnsiTheme="majorHAnsi"/>
          <w:spacing w:val="21"/>
          <w:sz w:val="20"/>
          <w:szCs w:val="20"/>
        </w:rPr>
        <w:t xml:space="preserve"> </w:t>
      </w:r>
      <w:r w:rsidRPr="000977F7">
        <w:rPr>
          <w:rFonts w:asciiTheme="majorHAnsi" w:hAnsiTheme="majorHAnsi"/>
          <w:sz w:val="20"/>
          <w:szCs w:val="20"/>
        </w:rPr>
        <w:t>поточної</w:t>
      </w:r>
      <w:r w:rsidRPr="000977F7">
        <w:rPr>
          <w:rFonts w:asciiTheme="majorHAnsi" w:hAnsiTheme="majorHAnsi"/>
          <w:spacing w:val="36"/>
          <w:sz w:val="20"/>
          <w:szCs w:val="20"/>
        </w:rPr>
        <w:t xml:space="preserve"> </w:t>
      </w:r>
      <w:r w:rsidRPr="000977F7">
        <w:rPr>
          <w:rFonts w:asciiTheme="majorHAnsi" w:hAnsiTheme="majorHAnsi"/>
          <w:sz w:val="20"/>
          <w:szCs w:val="20"/>
        </w:rPr>
        <w:t>ринкової</w:t>
      </w:r>
      <w:r w:rsidRPr="000977F7">
        <w:rPr>
          <w:rFonts w:asciiTheme="majorHAnsi" w:hAnsiTheme="majorHAnsi"/>
          <w:spacing w:val="37"/>
          <w:sz w:val="20"/>
          <w:szCs w:val="20"/>
        </w:rPr>
        <w:t xml:space="preserve"> </w:t>
      </w:r>
      <w:r w:rsidRPr="000977F7">
        <w:rPr>
          <w:rFonts w:asciiTheme="majorHAnsi" w:hAnsiTheme="majorHAnsi"/>
          <w:sz w:val="20"/>
          <w:szCs w:val="20"/>
        </w:rPr>
        <w:t>ситуації</w:t>
      </w:r>
      <w:r w:rsidRPr="000977F7">
        <w:rPr>
          <w:rFonts w:asciiTheme="majorHAnsi" w:hAnsiTheme="majorHAnsi"/>
          <w:spacing w:val="40"/>
          <w:sz w:val="20"/>
          <w:szCs w:val="20"/>
        </w:rPr>
        <w:t xml:space="preserve"> </w:t>
      </w:r>
      <w:r w:rsidRPr="000977F7">
        <w:rPr>
          <w:rFonts w:asciiTheme="majorHAnsi" w:hAnsiTheme="majorHAnsi"/>
          <w:sz w:val="20"/>
          <w:szCs w:val="20"/>
        </w:rPr>
        <w:t>під</w:t>
      </w:r>
      <w:r w:rsidRPr="000977F7">
        <w:rPr>
          <w:rFonts w:asciiTheme="majorHAnsi" w:hAnsiTheme="majorHAnsi"/>
          <w:spacing w:val="37"/>
          <w:sz w:val="20"/>
          <w:szCs w:val="20"/>
        </w:rPr>
        <w:t xml:space="preserve"> </w:t>
      </w:r>
      <w:r w:rsidRPr="000977F7">
        <w:rPr>
          <w:rFonts w:asciiTheme="majorHAnsi" w:hAnsiTheme="majorHAnsi"/>
          <w:sz w:val="20"/>
          <w:szCs w:val="20"/>
        </w:rPr>
        <w:t>час</w:t>
      </w:r>
      <w:r w:rsidRPr="000977F7">
        <w:rPr>
          <w:rFonts w:asciiTheme="majorHAnsi" w:hAnsiTheme="majorHAnsi"/>
          <w:spacing w:val="38"/>
          <w:sz w:val="20"/>
          <w:szCs w:val="20"/>
        </w:rPr>
        <w:t xml:space="preserve"> </w:t>
      </w:r>
      <w:r w:rsidRPr="000977F7">
        <w:rPr>
          <w:rFonts w:asciiTheme="majorHAnsi" w:hAnsiTheme="majorHAnsi"/>
          <w:sz w:val="20"/>
          <w:szCs w:val="20"/>
        </w:rPr>
        <w:t>постійного</w:t>
      </w:r>
      <w:r w:rsidRPr="000977F7">
        <w:rPr>
          <w:rFonts w:asciiTheme="majorHAnsi" w:hAnsiTheme="majorHAnsi"/>
          <w:spacing w:val="39"/>
          <w:sz w:val="20"/>
          <w:szCs w:val="20"/>
        </w:rPr>
        <w:t xml:space="preserve"> </w:t>
      </w:r>
      <w:r w:rsidRPr="000977F7">
        <w:rPr>
          <w:rFonts w:asciiTheme="majorHAnsi" w:hAnsiTheme="majorHAnsi"/>
          <w:sz w:val="20"/>
          <w:szCs w:val="20"/>
        </w:rPr>
        <w:t>коригування завдань у міру зміни кон’юнктурних чинників</w:t>
      </w:r>
      <w:r w:rsidRPr="000977F7">
        <w:rPr>
          <w:rFonts w:asciiTheme="majorHAnsi" w:hAnsiTheme="majorHAnsi"/>
          <w:spacing w:val="1"/>
          <w:sz w:val="20"/>
          <w:szCs w:val="20"/>
        </w:rPr>
        <w:t xml:space="preserve"> </w:t>
      </w:r>
    </w:p>
    <w:p w14:paraId="63FBB988"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B09748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ТАКТ</w:t>
      </w:r>
      <w:r w:rsidRPr="000977F7">
        <w:rPr>
          <w:color w:val="auto"/>
          <w:spacing w:val="-4"/>
          <w:sz w:val="20"/>
          <w:szCs w:val="20"/>
        </w:rPr>
        <w:t xml:space="preserve"> </w:t>
      </w:r>
      <w:r w:rsidRPr="000977F7">
        <w:rPr>
          <w:color w:val="auto"/>
          <w:sz w:val="20"/>
          <w:szCs w:val="20"/>
        </w:rPr>
        <w:t>ПОТОКОВОЇ</w:t>
      </w:r>
      <w:r w:rsidRPr="000977F7">
        <w:rPr>
          <w:color w:val="auto"/>
          <w:spacing w:val="-4"/>
          <w:sz w:val="20"/>
          <w:szCs w:val="20"/>
        </w:rPr>
        <w:t xml:space="preserve"> </w:t>
      </w:r>
      <w:r w:rsidRPr="000977F7">
        <w:rPr>
          <w:color w:val="auto"/>
          <w:sz w:val="20"/>
          <w:szCs w:val="20"/>
        </w:rPr>
        <w:t>ЛІНІЇ</w:t>
      </w:r>
      <w:r w:rsidRPr="000977F7">
        <w:rPr>
          <w:color w:val="auto"/>
          <w:spacing w:val="-1"/>
          <w:sz w:val="20"/>
          <w:szCs w:val="20"/>
        </w:rPr>
        <w:t xml:space="preserve"> </w:t>
      </w:r>
      <w:r w:rsidRPr="000977F7">
        <w:rPr>
          <w:color w:val="auto"/>
          <w:sz w:val="20"/>
          <w:szCs w:val="20"/>
        </w:rPr>
        <w:t>–</w:t>
      </w:r>
    </w:p>
    <w:p w14:paraId="44C7CB3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Інтервал часу між послідовним випуском двох однойменних</w:t>
      </w:r>
      <w:r w:rsidRPr="000977F7">
        <w:rPr>
          <w:rFonts w:asciiTheme="majorHAnsi" w:hAnsiTheme="majorHAnsi"/>
          <w:spacing w:val="-2"/>
          <w:sz w:val="20"/>
          <w:szCs w:val="20"/>
        </w:rPr>
        <w:t xml:space="preserve"> </w:t>
      </w:r>
      <w:r w:rsidRPr="000977F7">
        <w:rPr>
          <w:rFonts w:asciiTheme="majorHAnsi" w:hAnsiTheme="majorHAnsi"/>
          <w:sz w:val="20"/>
          <w:szCs w:val="20"/>
        </w:rPr>
        <w:t>одиниць</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потокової</w:t>
      </w:r>
      <w:r w:rsidRPr="000977F7">
        <w:rPr>
          <w:rFonts w:asciiTheme="majorHAnsi" w:hAnsiTheme="majorHAnsi"/>
          <w:spacing w:val="-2"/>
          <w:sz w:val="20"/>
          <w:szCs w:val="20"/>
        </w:rPr>
        <w:t xml:space="preserve"> </w:t>
      </w:r>
      <w:r w:rsidRPr="000977F7">
        <w:rPr>
          <w:rFonts w:asciiTheme="majorHAnsi" w:hAnsiTheme="majorHAnsi"/>
          <w:sz w:val="20"/>
          <w:szCs w:val="20"/>
        </w:rPr>
        <w:t>лінії</w:t>
      </w:r>
    </w:p>
    <w:p w14:paraId="3FCAC51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0F8806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ТАРИФНА</w:t>
      </w:r>
      <w:r w:rsidRPr="000977F7">
        <w:rPr>
          <w:color w:val="auto"/>
          <w:spacing w:val="-3"/>
          <w:sz w:val="20"/>
          <w:szCs w:val="20"/>
        </w:rPr>
        <w:t xml:space="preserve"> </w:t>
      </w:r>
      <w:r w:rsidRPr="000977F7">
        <w:rPr>
          <w:color w:val="auto"/>
          <w:sz w:val="20"/>
          <w:szCs w:val="20"/>
        </w:rPr>
        <w:t>СІТКА</w:t>
      </w:r>
      <w:r w:rsidRPr="000977F7">
        <w:rPr>
          <w:color w:val="auto"/>
          <w:spacing w:val="-2"/>
          <w:sz w:val="20"/>
          <w:szCs w:val="20"/>
        </w:rPr>
        <w:t xml:space="preserve"> </w:t>
      </w:r>
      <w:r w:rsidRPr="000977F7">
        <w:rPr>
          <w:color w:val="auto"/>
          <w:sz w:val="20"/>
          <w:szCs w:val="20"/>
        </w:rPr>
        <w:t>–</w:t>
      </w:r>
    </w:p>
    <w:p w14:paraId="38623F2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Шкала,</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визначає</w:t>
      </w:r>
      <w:r w:rsidRPr="000977F7">
        <w:rPr>
          <w:rFonts w:asciiTheme="majorHAnsi" w:hAnsiTheme="majorHAnsi"/>
          <w:spacing w:val="1"/>
          <w:sz w:val="20"/>
          <w:szCs w:val="20"/>
        </w:rPr>
        <w:t xml:space="preserve"> </w:t>
      </w:r>
      <w:r w:rsidRPr="000977F7">
        <w:rPr>
          <w:rFonts w:asciiTheme="majorHAnsi" w:hAnsiTheme="majorHAnsi"/>
          <w:sz w:val="20"/>
          <w:szCs w:val="20"/>
        </w:rPr>
        <w:t>співвідношення</w:t>
      </w:r>
      <w:r w:rsidRPr="000977F7">
        <w:rPr>
          <w:rFonts w:asciiTheme="majorHAnsi" w:hAnsiTheme="majorHAnsi"/>
          <w:spacing w:val="1"/>
          <w:sz w:val="20"/>
          <w:szCs w:val="20"/>
        </w:rPr>
        <w:t xml:space="preserve"> </w:t>
      </w:r>
      <w:r w:rsidRPr="000977F7">
        <w:rPr>
          <w:rFonts w:asciiTheme="majorHAnsi" w:hAnsiTheme="majorHAnsi"/>
          <w:sz w:val="20"/>
          <w:szCs w:val="20"/>
        </w:rPr>
        <w:t>між</w:t>
      </w:r>
      <w:r w:rsidRPr="000977F7">
        <w:rPr>
          <w:rFonts w:asciiTheme="majorHAnsi" w:hAnsiTheme="majorHAnsi"/>
          <w:spacing w:val="1"/>
          <w:sz w:val="20"/>
          <w:szCs w:val="20"/>
        </w:rPr>
        <w:t xml:space="preserve"> </w:t>
      </w:r>
      <w:r w:rsidRPr="000977F7">
        <w:rPr>
          <w:rFonts w:asciiTheme="majorHAnsi" w:hAnsiTheme="majorHAnsi"/>
          <w:sz w:val="20"/>
          <w:szCs w:val="20"/>
        </w:rPr>
        <w:t>оплатою</w:t>
      </w:r>
      <w:r w:rsidRPr="000977F7">
        <w:rPr>
          <w:rFonts w:asciiTheme="majorHAnsi" w:hAnsiTheme="majorHAnsi"/>
          <w:spacing w:val="1"/>
          <w:sz w:val="20"/>
          <w:szCs w:val="20"/>
        </w:rPr>
        <w:t xml:space="preserve"> </w:t>
      </w:r>
      <w:r w:rsidRPr="000977F7">
        <w:rPr>
          <w:rFonts w:asciiTheme="majorHAnsi" w:hAnsiTheme="majorHAnsi"/>
          <w:sz w:val="20"/>
          <w:szCs w:val="20"/>
        </w:rPr>
        <w:t>праці за одиницю часу та кваліфікацією праці, враховуючи</w:t>
      </w:r>
      <w:r w:rsidRPr="000977F7">
        <w:rPr>
          <w:rFonts w:asciiTheme="majorHAnsi" w:hAnsiTheme="majorHAnsi"/>
          <w:spacing w:val="-2"/>
          <w:sz w:val="20"/>
          <w:szCs w:val="20"/>
        </w:rPr>
        <w:t xml:space="preserve"> </w:t>
      </w:r>
      <w:r w:rsidRPr="000977F7">
        <w:rPr>
          <w:rFonts w:asciiTheme="majorHAnsi" w:hAnsiTheme="majorHAnsi"/>
          <w:sz w:val="20"/>
          <w:szCs w:val="20"/>
        </w:rPr>
        <w:t>вид</w:t>
      </w:r>
      <w:r w:rsidRPr="000977F7">
        <w:rPr>
          <w:rFonts w:asciiTheme="majorHAnsi" w:hAnsiTheme="majorHAnsi"/>
          <w:spacing w:val="-2"/>
          <w:sz w:val="20"/>
          <w:szCs w:val="20"/>
        </w:rPr>
        <w:t xml:space="preserve"> </w:t>
      </w:r>
      <w:r w:rsidRPr="000977F7">
        <w:rPr>
          <w:rFonts w:asciiTheme="majorHAnsi" w:hAnsiTheme="majorHAnsi"/>
          <w:sz w:val="20"/>
          <w:szCs w:val="20"/>
        </w:rPr>
        <w:t>роботи та</w:t>
      </w:r>
      <w:r w:rsidRPr="000977F7">
        <w:rPr>
          <w:rFonts w:asciiTheme="majorHAnsi" w:hAnsiTheme="majorHAnsi"/>
          <w:spacing w:val="3"/>
          <w:sz w:val="20"/>
          <w:szCs w:val="20"/>
        </w:rPr>
        <w:t xml:space="preserve"> </w:t>
      </w:r>
      <w:r w:rsidRPr="000977F7">
        <w:rPr>
          <w:rFonts w:asciiTheme="majorHAnsi" w:hAnsiTheme="majorHAnsi"/>
          <w:sz w:val="20"/>
          <w:szCs w:val="20"/>
        </w:rPr>
        <w:t>умови її</w:t>
      </w:r>
      <w:r w:rsidRPr="000977F7">
        <w:rPr>
          <w:rFonts w:asciiTheme="majorHAnsi" w:hAnsiTheme="majorHAnsi"/>
          <w:spacing w:val="-2"/>
          <w:sz w:val="20"/>
          <w:szCs w:val="20"/>
        </w:rPr>
        <w:t xml:space="preserve"> </w:t>
      </w:r>
      <w:r w:rsidRPr="000977F7">
        <w:rPr>
          <w:rFonts w:asciiTheme="majorHAnsi" w:hAnsiTheme="majorHAnsi"/>
          <w:sz w:val="20"/>
          <w:szCs w:val="20"/>
        </w:rPr>
        <w:t>виконання</w:t>
      </w:r>
    </w:p>
    <w:p w14:paraId="2C1E08F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 2391 – 2010</w:t>
      </w:r>
      <w:r w:rsidRPr="000977F7">
        <w:rPr>
          <w:rFonts w:asciiTheme="majorHAnsi" w:hAnsiTheme="majorHAnsi"/>
          <w:i/>
          <w:spacing w:val="-47"/>
          <w:sz w:val="20"/>
          <w:szCs w:val="20"/>
        </w:rPr>
        <w:t xml:space="preserve"> </w:t>
      </w:r>
      <w:r w:rsidRPr="000977F7">
        <w:rPr>
          <w:rFonts w:asciiTheme="majorHAnsi" w:hAnsiTheme="majorHAnsi"/>
          <w:b/>
          <w:sz w:val="20"/>
          <w:szCs w:val="20"/>
        </w:rPr>
        <w:t>ТВЕРДІСТЬ –</w:t>
      </w:r>
      <w:r w:rsidRPr="000977F7">
        <w:rPr>
          <w:rFonts w:asciiTheme="majorHAnsi" w:hAnsiTheme="majorHAnsi"/>
          <w:b/>
          <w:spacing w:val="1"/>
          <w:sz w:val="20"/>
          <w:szCs w:val="20"/>
        </w:rPr>
        <w:t xml:space="preserve"> </w:t>
      </w:r>
      <w:r w:rsidRPr="000977F7">
        <w:rPr>
          <w:rFonts w:asciiTheme="majorHAnsi" w:hAnsiTheme="majorHAnsi"/>
          <w:sz w:val="20"/>
          <w:szCs w:val="20"/>
        </w:rPr>
        <w:t>HARDNESS</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174BF734"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Здатність</w:t>
      </w:r>
      <w:r w:rsidRPr="000977F7">
        <w:rPr>
          <w:rFonts w:asciiTheme="majorHAnsi" w:hAnsiTheme="majorHAnsi"/>
          <w:spacing w:val="15"/>
          <w:sz w:val="20"/>
          <w:szCs w:val="20"/>
        </w:rPr>
        <w:t xml:space="preserve"> </w:t>
      </w:r>
      <w:r w:rsidRPr="000977F7">
        <w:rPr>
          <w:rFonts w:asciiTheme="majorHAnsi" w:hAnsiTheme="majorHAnsi"/>
          <w:sz w:val="20"/>
          <w:szCs w:val="20"/>
        </w:rPr>
        <w:t>матеріалу</w:t>
      </w:r>
      <w:r w:rsidRPr="000977F7">
        <w:rPr>
          <w:rFonts w:asciiTheme="majorHAnsi" w:hAnsiTheme="majorHAnsi"/>
          <w:spacing w:val="14"/>
          <w:sz w:val="20"/>
          <w:szCs w:val="20"/>
        </w:rPr>
        <w:t xml:space="preserve"> </w:t>
      </w:r>
      <w:r w:rsidRPr="000977F7">
        <w:rPr>
          <w:rFonts w:asciiTheme="majorHAnsi" w:hAnsiTheme="majorHAnsi"/>
          <w:sz w:val="20"/>
          <w:szCs w:val="20"/>
        </w:rPr>
        <w:t>чинити</w:t>
      </w:r>
      <w:r w:rsidRPr="000977F7">
        <w:rPr>
          <w:rFonts w:asciiTheme="majorHAnsi" w:hAnsiTheme="majorHAnsi"/>
          <w:spacing w:val="14"/>
          <w:sz w:val="20"/>
          <w:szCs w:val="20"/>
        </w:rPr>
        <w:t xml:space="preserve"> </w:t>
      </w:r>
      <w:r w:rsidRPr="000977F7">
        <w:rPr>
          <w:rFonts w:asciiTheme="majorHAnsi" w:hAnsiTheme="majorHAnsi"/>
          <w:sz w:val="20"/>
          <w:szCs w:val="20"/>
        </w:rPr>
        <w:t>опір</w:t>
      </w:r>
      <w:r w:rsidRPr="000977F7">
        <w:rPr>
          <w:rFonts w:asciiTheme="majorHAnsi" w:hAnsiTheme="majorHAnsi"/>
          <w:spacing w:val="15"/>
          <w:sz w:val="20"/>
          <w:szCs w:val="20"/>
        </w:rPr>
        <w:t xml:space="preserve"> </w:t>
      </w:r>
      <w:r w:rsidRPr="000977F7">
        <w:rPr>
          <w:rFonts w:asciiTheme="majorHAnsi" w:hAnsiTheme="majorHAnsi"/>
          <w:sz w:val="20"/>
          <w:szCs w:val="20"/>
        </w:rPr>
        <w:t>деформуванню</w:t>
      </w:r>
      <w:r w:rsidRPr="000977F7">
        <w:rPr>
          <w:rFonts w:asciiTheme="majorHAnsi" w:hAnsiTheme="majorHAnsi"/>
          <w:spacing w:val="15"/>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руйнуванню під дією місцевих контактних зусиль</w:t>
      </w:r>
      <w:r w:rsidRPr="000977F7">
        <w:rPr>
          <w:rFonts w:asciiTheme="majorHAnsi" w:hAnsiTheme="majorHAnsi"/>
          <w:spacing w:val="1"/>
          <w:sz w:val="20"/>
          <w:szCs w:val="20"/>
        </w:rPr>
        <w:t xml:space="preserve"> </w:t>
      </w:r>
      <w:r w:rsidRPr="000977F7">
        <w:rPr>
          <w:rFonts w:asciiTheme="majorHAnsi" w:hAnsiTheme="majorHAnsi"/>
          <w:i/>
          <w:sz w:val="20"/>
          <w:szCs w:val="20"/>
        </w:rPr>
        <w:t>ДСТУ 2825 - 94</w:t>
      </w:r>
    </w:p>
    <w:p w14:paraId="5857543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ТЕКСТОВИЙ КОНСТРУКТРУКТОРСЬКИЙ </w:t>
      </w:r>
    </w:p>
    <w:p w14:paraId="2945AE8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w:t>
      </w:r>
      <w:r w:rsidRPr="000977F7">
        <w:rPr>
          <w:color w:val="auto"/>
          <w:spacing w:val="-47"/>
          <w:sz w:val="20"/>
          <w:szCs w:val="20"/>
        </w:rPr>
        <w:t xml:space="preserve"> </w:t>
      </w:r>
      <w:r w:rsidRPr="000977F7">
        <w:rPr>
          <w:color w:val="auto"/>
          <w:sz w:val="20"/>
          <w:szCs w:val="20"/>
        </w:rPr>
        <w:t>КУМЕНТ</w:t>
      </w:r>
      <w:r w:rsidRPr="000977F7">
        <w:rPr>
          <w:color w:val="auto"/>
          <w:spacing w:val="-2"/>
          <w:sz w:val="20"/>
          <w:szCs w:val="20"/>
        </w:rPr>
        <w:t xml:space="preserve"> </w:t>
      </w:r>
      <w:r w:rsidRPr="000977F7">
        <w:rPr>
          <w:color w:val="auto"/>
          <w:sz w:val="20"/>
          <w:szCs w:val="20"/>
        </w:rPr>
        <w:t>–</w:t>
      </w:r>
    </w:p>
    <w:p w14:paraId="7145128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Конструкторський</w:t>
      </w:r>
      <w:r w:rsidRPr="000977F7">
        <w:rPr>
          <w:rFonts w:asciiTheme="majorHAnsi" w:hAnsiTheme="majorHAnsi"/>
          <w:spacing w:val="9"/>
          <w:sz w:val="20"/>
          <w:szCs w:val="20"/>
        </w:rPr>
        <w:t xml:space="preserve"> </w:t>
      </w:r>
      <w:r w:rsidRPr="000977F7">
        <w:rPr>
          <w:rFonts w:asciiTheme="majorHAnsi" w:hAnsiTheme="majorHAnsi"/>
          <w:sz w:val="20"/>
          <w:szCs w:val="20"/>
        </w:rPr>
        <w:t>документ,</w:t>
      </w:r>
      <w:r w:rsidRPr="000977F7">
        <w:rPr>
          <w:rFonts w:asciiTheme="majorHAnsi" w:hAnsiTheme="majorHAnsi"/>
          <w:spacing w:val="11"/>
          <w:sz w:val="20"/>
          <w:szCs w:val="20"/>
        </w:rPr>
        <w:t xml:space="preserve"> </w:t>
      </w:r>
      <w:r w:rsidRPr="000977F7">
        <w:rPr>
          <w:rFonts w:asciiTheme="majorHAnsi" w:hAnsiTheme="majorHAnsi"/>
          <w:sz w:val="20"/>
          <w:szCs w:val="20"/>
        </w:rPr>
        <w:t>який</w:t>
      </w:r>
      <w:r w:rsidRPr="000977F7">
        <w:rPr>
          <w:rFonts w:asciiTheme="majorHAnsi" w:hAnsiTheme="majorHAnsi"/>
          <w:spacing w:val="10"/>
          <w:sz w:val="20"/>
          <w:szCs w:val="20"/>
        </w:rPr>
        <w:t xml:space="preserve"> </w:t>
      </w:r>
      <w:r w:rsidRPr="000977F7">
        <w:rPr>
          <w:rFonts w:asciiTheme="majorHAnsi" w:hAnsiTheme="majorHAnsi"/>
          <w:sz w:val="20"/>
          <w:szCs w:val="20"/>
        </w:rPr>
        <w:t>являє</w:t>
      </w:r>
      <w:r w:rsidRPr="000977F7">
        <w:rPr>
          <w:rFonts w:asciiTheme="majorHAnsi" w:hAnsiTheme="majorHAnsi"/>
          <w:spacing w:val="14"/>
          <w:sz w:val="20"/>
          <w:szCs w:val="20"/>
        </w:rPr>
        <w:t xml:space="preserve"> </w:t>
      </w:r>
      <w:r w:rsidRPr="000977F7">
        <w:rPr>
          <w:rFonts w:asciiTheme="majorHAnsi" w:hAnsiTheme="majorHAnsi"/>
          <w:sz w:val="20"/>
          <w:szCs w:val="20"/>
        </w:rPr>
        <w:t>собою,</w:t>
      </w:r>
      <w:r w:rsidRPr="000977F7">
        <w:rPr>
          <w:rFonts w:asciiTheme="majorHAnsi" w:hAnsiTheme="majorHAnsi"/>
          <w:spacing w:val="11"/>
          <w:sz w:val="20"/>
          <w:szCs w:val="20"/>
        </w:rPr>
        <w:t xml:space="preserve"> </w:t>
      </w:r>
      <w:r w:rsidRPr="000977F7">
        <w:rPr>
          <w:rFonts w:asciiTheme="majorHAnsi" w:hAnsiTheme="majorHAnsi"/>
          <w:sz w:val="20"/>
          <w:szCs w:val="20"/>
        </w:rPr>
        <w:t>переважно,</w:t>
      </w:r>
      <w:r w:rsidRPr="000977F7">
        <w:rPr>
          <w:rFonts w:asciiTheme="majorHAnsi" w:hAnsiTheme="majorHAnsi"/>
          <w:spacing w:val="-1"/>
          <w:sz w:val="20"/>
          <w:szCs w:val="20"/>
        </w:rPr>
        <w:t xml:space="preserve"> </w:t>
      </w:r>
      <w:r w:rsidRPr="000977F7">
        <w:rPr>
          <w:rFonts w:asciiTheme="majorHAnsi" w:hAnsiTheme="majorHAnsi"/>
          <w:sz w:val="20"/>
          <w:szCs w:val="20"/>
        </w:rPr>
        <w:t>суцільний</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поділений</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графи</w:t>
      </w:r>
      <w:r w:rsidRPr="000977F7">
        <w:rPr>
          <w:rFonts w:asciiTheme="majorHAnsi" w:hAnsiTheme="majorHAnsi"/>
          <w:spacing w:val="-2"/>
          <w:sz w:val="20"/>
          <w:szCs w:val="20"/>
        </w:rPr>
        <w:t xml:space="preserve"> </w:t>
      </w:r>
      <w:r w:rsidRPr="000977F7">
        <w:rPr>
          <w:rFonts w:asciiTheme="majorHAnsi" w:hAnsiTheme="majorHAnsi"/>
          <w:sz w:val="20"/>
          <w:szCs w:val="20"/>
        </w:rPr>
        <w:t>текст</w:t>
      </w:r>
    </w:p>
    <w:p w14:paraId="01E4F3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74C24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Текстовий</w:t>
      </w:r>
      <w:r w:rsidRPr="000977F7">
        <w:rPr>
          <w:rFonts w:asciiTheme="majorHAnsi" w:hAnsiTheme="majorHAnsi"/>
          <w:spacing w:val="-4"/>
          <w:sz w:val="20"/>
          <w:szCs w:val="20"/>
        </w:rPr>
        <w:t xml:space="preserve"> </w:t>
      </w:r>
      <w:r w:rsidRPr="000977F7">
        <w:rPr>
          <w:rFonts w:asciiTheme="majorHAnsi" w:hAnsiTheme="majorHAnsi"/>
          <w:sz w:val="20"/>
          <w:szCs w:val="20"/>
        </w:rPr>
        <w:t>документ</w:t>
      </w:r>
      <w:r w:rsidRPr="000977F7">
        <w:rPr>
          <w:rFonts w:asciiTheme="majorHAnsi" w:hAnsiTheme="majorHAnsi"/>
          <w:spacing w:val="-3"/>
          <w:sz w:val="20"/>
          <w:szCs w:val="20"/>
        </w:rPr>
        <w:t xml:space="preserve"> </w:t>
      </w:r>
      <w:r w:rsidRPr="000977F7">
        <w:rPr>
          <w:rFonts w:asciiTheme="majorHAnsi" w:hAnsiTheme="majorHAnsi"/>
          <w:sz w:val="20"/>
          <w:szCs w:val="20"/>
        </w:rPr>
        <w:t>може</w:t>
      </w:r>
      <w:r w:rsidRPr="000977F7">
        <w:rPr>
          <w:rFonts w:asciiTheme="majorHAnsi" w:hAnsiTheme="majorHAnsi"/>
          <w:spacing w:val="-3"/>
          <w:sz w:val="20"/>
          <w:szCs w:val="20"/>
        </w:rPr>
        <w:t xml:space="preserve"> </w:t>
      </w:r>
      <w:r w:rsidRPr="000977F7">
        <w:rPr>
          <w:rFonts w:asciiTheme="majorHAnsi" w:hAnsiTheme="majorHAnsi"/>
          <w:sz w:val="20"/>
          <w:szCs w:val="20"/>
        </w:rPr>
        <w:t>містити</w:t>
      </w:r>
      <w:r w:rsidRPr="000977F7">
        <w:rPr>
          <w:rFonts w:asciiTheme="majorHAnsi" w:hAnsiTheme="majorHAnsi"/>
          <w:spacing w:val="-3"/>
          <w:sz w:val="20"/>
          <w:szCs w:val="20"/>
        </w:rPr>
        <w:t xml:space="preserve"> </w:t>
      </w:r>
      <w:r w:rsidRPr="000977F7">
        <w:rPr>
          <w:rFonts w:asciiTheme="majorHAnsi" w:hAnsiTheme="majorHAnsi"/>
          <w:sz w:val="20"/>
          <w:szCs w:val="20"/>
        </w:rPr>
        <w:t>графічний</w:t>
      </w:r>
      <w:r w:rsidRPr="000977F7">
        <w:rPr>
          <w:rFonts w:asciiTheme="majorHAnsi" w:hAnsiTheme="majorHAnsi"/>
          <w:spacing w:val="-3"/>
          <w:sz w:val="20"/>
          <w:szCs w:val="20"/>
        </w:rPr>
        <w:t xml:space="preserve"> </w:t>
      </w:r>
      <w:r w:rsidRPr="000977F7">
        <w:rPr>
          <w:rFonts w:asciiTheme="majorHAnsi" w:hAnsiTheme="majorHAnsi"/>
          <w:sz w:val="20"/>
          <w:szCs w:val="20"/>
        </w:rPr>
        <w:t>матеріал</w:t>
      </w:r>
      <w:r w:rsidRPr="000977F7">
        <w:rPr>
          <w:rFonts w:asciiTheme="majorHAnsi" w:hAnsiTheme="majorHAnsi"/>
          <w:spacing w:val="-47"/>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вигляді</w:t>
      </w:r>
      <w:r w:rsidRPr="000977F7">
        <w:rPr>
          <w:rFonts w:asciiTheme="majorHAnsi" w:hAnsiTheme="majorHAnsi"/>
          <w:spacing w:val="-1"/>
          <w:sz w:val="20"/>
          <w:szCs w:val="20"/>
        </w:rPr>
        <w:t xml:space="preserve"> </w:t>
      </w:r>
      <w:r w:rsidRPr="000977F7">
        <w:rPr>
          <w:rFonts w:asciiTheme="majorHAnsi" w:hAnsiTheme="majorHAnsi"/>
          <w:sz w:val="20"/>
          <w:szCs w:val="20"/>
        </w:rPr>
        <w:t>ілюстрацій</w:t>
      </w:r>
    </w:p>
    <w:p w14:paraId="4F28694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5C5BA48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ТЕЛЕВІЗІЙНИЙ</w:t>
      </w:r>
      <w:r w:rsidRPr="000977F7">
        <w:rPr>
          <w:color w:val="auto"/>
          <w:spacing w:val="-2"/>
          <w:sz w:val="20"/>
          <w:szCs w:val="20"/>
        </w:rPr>
        <w:t xml:space="preserve"> </w:t>
      </w:r>
      <w:r w:rsidRPr="000977F7">
        <w:rPr>
          <w:color w:val="auto"/>
          <w:sz w:val="20"/>
          <w:szCs w:val="20"/>
        </w:rPr>
        <w:t>МЕТОД</w:t>
      </w:r>
      <w:r w:rsidRPr="000977F7">
        <w:rPr>
          <w:color w:val="auto"/>
          <w:spacing w:val="-2"/>
          <w:sz w:val="20"/>
          <w:szCs w:val="20"/>
        </w:rPr>
        <w:t xml:space="preserve"> </w:t>
      </w:r>
      <w:r w:rsidRPr="000977F7">
        <w:rPr>
          <w:color w:val="auto"/>
          <w:sz w:val="20"/>
          <w:szCs w:val="20"/>
        </w:rPr>
        <w:t>–</w:t>
      </w:r>
    </w:p>
    <w:p w14:paraId="42C2CF4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використанні телевізійних систем для приймання випромінювань</w:t>
      </w:r>
      <w:r w:rsidRPr="000977F7">
        <w:rPr>
          <w:rFonts w:asciiTheme="majorHAnsi" w:hAnsiTheme="majorHAnsi"/>
          <w:spacing w:val="-1"/>
          <w:sz w:val="20"/>
          <w:szCs w:val="20"/>
        </w:rPr>
        <w:t xml:space="preserve"> </w:t>
      </w:r>
      <w:r w:rsidRPr="000977F7">
        <w:rPr>
          <w:rFonts w:asciiTheme="majorHAnsi" w:hAnsiTheme="majorHAnsi"/>
          <w:sz w:val="20"/>
          <w:szCs w:val="20"/>
        </w:rPr>
        <w:t>оптичного</w:t>
      </w:r>
      <w:r w:rsidRPr="000977F7">
        <w:rPr>
          <w:rFonts w:asciiTheme="majorHAnsi" w:hAnsiTheme="majorHAnsi"/>
          <w:spacing w:val="1"/>
          <w:sz w:val="20"/>
          <w:szCs w:val="20"/>
        </w:rPr>
        <w:t xml:space="preserve"> </w:t>
      </w:r>
      <w:r w:rsidRPr="000977F7">
        <w:rPr>
          <w:rFonts w:asciiTheme="majorHAnsi" w:hAnsiTheme="majorHAnsi"/>
          <w:sz w:val="20"/>
          <w:szCs w:val="20"/>
        </w:rPr>
        <w:t>діапазону</w:t>
      </w:r>
    </w:p>
    <w:p w14:paraId="46972F5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2865</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30FFCDD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ТЕМА</w:t>
      </w:r>
      <w:r w:rsidRPr="000977F7">
        <w:rPr>
          <w:color w:val="auto"/>
          <w:spacing w:val="-4"/>
          <w:sz w:val="20"/>
          <w:szCs w:val="20"/>
        </w:rPr>
        <w:t xml:space="preserve"> </w:t>
      </w:r>
      <w:r w:rsidRPr="000977F7">
        <w:rPr>
          <w:color w:val="auto"/>
          <w:sz w:val="20"/>
          <w:szCs w:val="20"/>
        </w:rPr>
        <w:t>СТАНДАРТИЗАЦІЇ</w:t>
      </w:r>
      <w:r w:rsidRPr="000977F7">
        <w:rPr>
          <w:color w:val="auto"/>
          <w:spacing w:val="-2"/>
          <w:sz w:val="20"/>
          <w:szCs w:val="20"/>
        </w:rPr>
        <w:t xml:space="preserve"> </w:t>
      </w:r>
      <w:r w:rsidRPr="000977F7">
        <w:rPr>
          <w:color w:val="auto"/>
          <w:sz w:val="20"/>
          <w:szCs w:val="20"/>
        </w:rPr>
        <w:t>–</w:t>
      </w:r>
    </w:p>
    <w:p w14:paraId="60884B2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STANDARDS</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PROJECT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67B905A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Конкретний</w:t>
      </w:r>
      <w:r w:rsidRPr="000977F7">
        <w:rPr>
          <w:rFonts w:asciiTheme="majorHAnsi" w:hAnsiTheme="majorHAnsi"/>
          <w:spacing w:val="-5"/>
          <w:sz w:val="20"/>
          <w:szCs w:val="20"/>
        </w:rPr>
        <w:t xml:space="preserve"> </w:t>
      </w:r>
      <w:r w:rsidRPr="000977F7">
        <w:rPr>
          <w:rFonts w:asciiTheme="majorHAnsi" w:hAnsiTheme="majorHAnsi"/>
          <w:sz w:val="20"/>
          <w:szCs w:val="20"/>
        </w:rPr>
        <w:t>робочий</w:t>
      </w:r>
      <w:r w:rsidRPr="000977F7">
        <w:rPr>
          <w:rFonts w:asciiTheme="majorHAnsi" w:hAnsiTheme="majorHAnsi"/>
          <w:spacing w:val="-2"/>
          <w:sz w:val="20"/>
          <w:szCs w:val="20"/>
        </w:rPr>
        <w:t xml:space="preserve"> </w:t>
      </w:r>
      <w:r w:rsidRPr="000977F7">
        <w:rPr>
          <w:rFonts w:asciiTheme="majorHAnsi" w:hAnsiTheme="majorHAnsi"/>
          <w:sz w:val="20"/>
          <w:szCs w:val="20"/>
        </w:rPr>
        <w:t>пункт</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програмі</w:t>
      </w:r>
      <w:r w:rsidRPr="000977F7">
        <w:rPr>
          <w:rFonts w:asciiTheme="majorHAnsi" w:hAnsiTheme="majorHAnsi"/>
          <w:spacing w:val="-4"/>
          <w:sz w:val="20"/>
          <w:szCs w:val="20"/>
        </w:rPr>
        <w:t xml:space="preserve"> </w:t>
      </w:r>
      <w:r w:rsidRPr="000977F7">
        <w:rPr>
          <w:rFonts w:asciiTheme="majorHAnsi" w:hAnsiTheme="majorHAnsi"/>
          <w:sz w:val="20"/>
          <w:szCs w:val="20"/>
        </w:rPr>
        <w:t>стандартизації</w:t>
      </w:r>
    </w:p>
    <w:p w14:paraId="401A4DED"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pacing w:val="-7"/>
          <w:w w:val="95"/>
          <w:sz w:val="20"/>
          <w:szCs w:val="20"/>
        </w:rPr>
        <w:t>ДСТУISO/IEC</w:t>
      </w:r>
      <w:r w:rsidRPr="000977F7">
        <w:rPr>
          <w:rFonts w:asciiTheme="majorHAnsi" w:hAnsiTheme="majorHAnsi"/>
          <w:i/>
          <w:iCs/>
          <w:spacing w:val="-27"/>
          <w:w w:val="95"/>
          <w:sz w:val="20"/>
          <w:szCs w:val="20"/>
        </w:rPr>
        <w:t xml:space="preserve"> </w:t>
      </w:r>
      <w:r w:rsidRPr="000977F7">
        <w:rPr>
          <w:rFonts w:asciiTheme="majorHAnsi" w:hAnsiTheme="majorHAnsi"/>
          <w:i/>
          <w:iCs/>
          <w:spacing w:val="-6"/>
          <w:w w:val="95"/>
          <w:sz w:val="20"/>
          <w:szCs w:val="20"/>
        </w:rPr>
        <w:t>17000:2007</w:t>
      </w:r>
    </w:p>
    <w:p w14:paraId="4C2C65C6" w14:textId="77777777" w:rsidR="0097612F" w:rsidRPr="000977F7" w:rsidRDefault="0097612F" w:rsidP="000977F7">
      <w:pPr>
        <w:pStyle w:val="7"/>
        <w:tabs>
          <w:tab w:val="left" w:pos="284"/>
        </w:tabs>
        <w:spacing w:before="0" w:line="240" w:lineRule="auto"/>
        <w:ind w:left="170"/>
        <w:mirrorIndents/>
        <w:jc w:val="both"/>
        <w:rPr>
          <w:color w:val="auto"/>
          <w:spacing w:val="16"/>
          <w:sz w:val="20"/>
          <w:szCs w:val="20"/>
        </w:rPr>
      </w:pPr>
      <w:r w:rsidRPr="000977F7">
        <w:rPr>
          <w:color w:val="auto"/>
          <w:sz w:val="20"/>
          <w:szCs w:val="20"/>
        </w:rPr>
        <w:t>ТЕМПЕРАТУРА</w:t>
      </w:r>
      <w:r w:rsidRPr="000977F7">
        <w:rPr>
          <w:color w:val="auto"/>
          <w:spacing w:val="15"/>
          <w:sz w:val="20"/>
          <w:szCs w:val="20"/>
        </w:rPr>
        <w:t xml:space="preserve"> </w:t>
      </w:r>
      <w:r w:rsidRPr="000977F7">
        <w:rPr>
          <w:color w:val="auto"/>
          <w:sz w:val="20"/>
          <w:szCs w:val="20"/>
        </w:rPr>
        <w:t>НАВКОЛИШНЬОГО</w:t>
      </w:r>
      <w:r w:rsidRPr="000977F7">
        <w:rPr>
          <w:color w:val="auto"/>
          <w:spacing w:val="16"/>
          <w:sz w:val="20"/>
          <w:szCs w:val="20"/>
        </w:rPr>
        <w:t xml:space="preserve"> </w:t>
      </w:r>
    </w:p>
    <w:p w14:paraId="5E492D4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СЕРЕДО</w:t>
      </w:r>
      <w:r w:rsidRPr="000977F7">
        <w:rPr>
          <w:color w:val="auto"/>
          <w:spacing w:val="-47"/>
          <w:sz w:val="20"/>
          <w:szCs w:val="20"/>
        </w:rPr>
        <w:t xml:space="preserve"> </w:t>
      </w:r>
      <w:r w:rsidRPr="000977F7">
        <w:rPr>
          <w:color w:val="auto"/>
          <w:sz w:val="20"/>
          <w:szCs w:val="20"/>
        </w:rPr>
        <w:t>ВИЩА</w:t>
      </w:r>
      <w:r w:rsidRPr="000977F7">
        <w:rPr>
          <w:color w:val="auto"/>
          <w:spacing w:val="-1"/>
          <w:sz w:val="20"/>
          <w:szCs w:val="20"/>
        </w:rPr>
        <w:t xml:space="preserve"> </w:t>
      </w:r>
      <w:r w:rsidRPr="000977F7">
        <w:rPr>
          <w:color w:val="auto"/>
          <w:sz w:val="20"/>
          <w:szCs w:val="20"/>
        </w:rPr>
        <w:t>–</w:t>
      </w:r>
    </w:p>
    <w:p w14:paraId="3859E5A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AMBIENT</w:t>
      </w:r>
      <w:r w:rsidRPr="000977F7">
        <w:rPr>
          <w:rFonts w:asciiTheme="majorHAnsi" w:hAnsiTheme="majorHAnsi"/>
          <w:spacing w:val="-2"/>
          <w:sz w:val="20"/>
          <w:szCs w:val="20"/>
        </w:rPr>
        <w:t xml:space="preserve"> </w:t>
      </w:r>
      <w:r w:rsidRPr="000977F7">
        <w:rPr>
          <w:rFonts w:asciiTheme="majorHAnsi" w:hAnsiTheme="majorHAnsi"/>
          <w:sz w:val="20"/>
          <w:szCs w:val="20"/>
        </w:rPr>
        <w:t>TEMPERATURE –</w:t>
      </w:r>
    </w:p>
    <w:p w14:paraId="6BCC766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Температура</w:t>
      </w:r>
      <w:r w:rsidRPr="000977F7">
        <w:rPr>
          <w:rFonts w:asciiTheme="majorHAnsi" w:hAnsiTheme="majorHAnsi"/>
          <w:spacing w:val="-5"/>
          <w:sz w:val="20"/>
          <w:szCs w:val="20"/>
        </w:rPr>
        <w:t xml:space="preserve"> </w:t>
      </w:r>
      <w:r w:rsidRPr="000977F7">
        <w:rPr>
          <w:rFonts w:asciiTheme="majorHAnsi" w:hAnsiTheme="majorHAnsi"/>
          <w:sz w:val="20"/>
          <w:szCs w:val="20"/>
        </w:rPr>
        <w:t>повітря</w:t>
      </w:r>
      <w:r w:rsidRPr="000977F7">
        <w:rPr>
          <w:rFonts w:asciiTheme="majorHAnsi" w:hAnsiTheme="majorHAnsi"/>
          <w:spacing w:val="-6"/>
          <w:sz w:val="20"/>
          <w:szCs w:val="20"/>
        </w:rPr>
        <w:t xml:space="preserve"> </w:t>
      </w:r>
      <w:r w:rsidRPr="000977F7">
        <w:rPr>
          <w:rFonts w:asciiTheme="majorHAnsi" w:hAnsiTheme="majorHAnsi"/>
          <w:sz w:val="20"/>
          <w:szCs w:val="20"/>
        </w:rPr>
        <w:t>навколо</w:t>
      </w:r>
      <w:r w:rsidRPr="000977F7">
        <w:rPr>
          <w:rFonts w:asciiTheme="majorHAnsi" w:hAnsiTheme="majorHAnsi"/>
          <w:spacing w:val="-4"/>
          <w:sz w:val="20"/>
          <w:szCs w:val="20"/>
        </w:rPr>
        <w:t xml:space="preserve"> </w:t>
      </w:r>
      <w:r w:rsidRPr="000977F7">
        <w:rPr>
          <w:rFonts w:asciiTheme="majorHAnsi" w:hAnsiTheme="majorHAnsi"/>
          <w:sz w:val="20"/>
          <w:szCs w:val="20"/>
        </w:rPr>
        <w:t>випробувального</w:t>
      </w:r>
      <w:r w:rsidRPr="000977F7">
        <w:rPr>
          <w:rFonts w:asciiTheme="majorHAnsi" w:hAnsiTheme="majorHAnsi"/>
          <w:spacing w:val="-4"/>
          <w:sz w:val="20"/>
          <w:szCs w:val="20"/>
        </w:rPr>
        <w:t xml:space="preserve"> </w:t>
      </w:r>
      <w:r w:rsidRPr="000977F7">
        <w:rPr>
          <w:rFonts w:asciiTheme="majorHAnsi" w:hAnsiTheme="majorHAnsi"/>
          <w:sz w:val="20"/>
          <w:szCs w:val="20"/>
        </w:rPr>
        <w:t>зразка</w:t>
      </w:r>
    </w:p>
    <w:p w14:paraId="1DE86BB3"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3011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95</w:t>
      </w:r>
    </w:p>
    <w:p w14:paraId="787870B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ТЕМПЕРАТУРНА</w:t>
      </w:r>
      <w:r w:rsidRPr="000977F7">
        <w:rPr>
          <w:color w:val="auto"/>
          <w:spacing w:val="-6"/>
          <w:sz w:val="20"/>
          <w:szCs w:val="20"/>
        </w:rPr>
        <w:t xml:space="preserve"> </w:t>
      </w:r>
      <w:r w:rsidRPr="000977F7">
        <w:rPr>
          <w:color w:val="auto"/>
          <w:sz w:val="20"/>
          <w:szCs w:val="20"/>
        </w:rPr>
        <w:t>СТАБІЛЬНІСТЬ</w:t>
      </w:r>
      <w:r w:rsidRPr="000977F7">
        <w:rPr>
          <w:color w:val="auto"/>
          <w:spacing w:val="-3"/>
          <w:sz w:val="20"/>
          <w:szCs w:val="20"/>
        </w:rPr>
        <w:t xml:space="preserve"> </w:t>
      </w:r>
      <w:r w:rsidRPr="000977F7">
        <w:rPr>
          <w:color w:val="auto"/>
          <w:sz w:val="20"/>
          <w:szCs w:val="20"/>
        </w:rPr>
        <w:t>–</w:t>
      </w:r>
    </w:p>
    <w:p w14:paraId="3F8A0423" w14:textId="77777777" w:rsidR="0097612F" w:rsidRPr="000977F7" w:rsidRDefault="0097612F" w:rsidP="000977F7">
      <w:pPr>
        <w:pStyle w:val="af6"/>
        <w:tabs>
          <w:tab w:val="left" w:pos="284"/>
        </w:tabs>
        <w:spacing w:after="0"/>
        <w:ind w:left="170" w:firstLine="109"/>
        <w:mirrorIndents/>
        <w:jc w:val="both"/>
        <w:rPr>
          <w:rFonts w:asciiTheme="majorHAnsi" w:hAnsiTheme="majorHAnsi"/>
          <w:sz w:val="20"/>
          <w:szCs w:val="20"/>
        </w:rPr>
      </w:pPr>
      <w:r w:rsidRPr="000977F7">
        <w:rPr>
          <w:rFonts w:asciiTheme="majorHAnsi" w:hAnsiTheme="majorHAnsi"/>
          <w:sz w:val="20"/>
          <w:szCs w:val="20"/>
        </w:rPr>
        <w:t>Стан, за якого температура всіх частин випробуваного</w:t>
      </w:r>
      <w:r w:rsidRPr="000977F7">
        <w:rPr>
          <w:rFonts w:asciiTheme="majorHAnsi" w:hAnsiTheme="majorHAnsi"/>
          <w:spacing w:val="-47"/>
          <w:sz w:val="20"/>
          <w:szCs w:val="20"/>
        </w:rPr>
        <w:t xml:space="preserve"> </w:t>
      </w:r>
      <w:r w:rsidRPr="000977F7">
        <w:rPr>
          <w:rFonts w:asciiTheme="majorHAnsi" w:hAnsiTheme="majorHAnsi"/>
          <w:sz w:val="20"/>
          <w:szCs w:val="20"/>
        </w:rPr>
        <w:t>зразка</w:t>
      </w:r>
      <w:r w:rsidRPr="000977F7">
        <w:rPr>
          <w:rFonts w:asciiTheme="majorHAnsi" w:hAnsiTheme="majorHAnsi"/>
          <w:spacing w:val="1"/>
          <w:sz w:val="20"/>
          <w:szCs w:val="20"/>
        </w:rPr>
        <w:t xml:space="preserve"> </w:t>
      </w:r>
      <w:r w:rsidRPr="000977F7">
        <w:rPr>
          <w:rFonts w:asciiTheme="majorHAnsi" w:hAnsiTheme="majorHAnsi"/>
          <w:sz w:val="20"/>
          <w:szCs w:val="20"/>
        </w:rPr>
        <w:t>відрізняється</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остаточної</w:t>
      </w:r>
      <w:r w:rsidRPr="000977F7">
        <w:rPr>
          <w:rFonts w:asciiTheme="majorHAnsi" w:hAnsiTheme="majorHAnsi"/>
          <w:spacing w:val="1"/>
          <w:sz w:val="20"/>
          <w:szCs w:val="20"/>
        </w:rPr>
        <w:t xml:space="preserve"> </w:t>
      </w:r>
      <w:r w:rsidRPr="000977F7">
        <w:rPr>
          <w:rFonts w:asciiTheme="majorHAnsi" w:hAnsiTheme="majorHAnsi"/>
          <w:spacing w:val="-1"/>
          <w:sz w:val="20"/>
          <w:szCs w:val="20"/>
        </w:rPr>
        <w:t>температури</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більше ніж на 3</w:t>
      </w:r>
      <w:r w:rsidRPr="000977F7">
        <w:rPr>
          <w:rFonts w:asciiTheme="majorHAnsi" w:hAnsiTheme="majorHAnsi"/>
          <w:sz w:val="20"/>
          <w:szCs w:val="20"/>
          <w:vertAlign w:val="superscript"/>
        </w:rPr>
        <w:t>0</w:t>
      </w:r>
      <w:r w:rsidRPr="000977F7">
        <w:rPr>
          <w:rFonts w:asciiTheme="majorHAnsi" w:hAnsiTheme="majorHAnsi"/>
          <w:sz w:val="20"/>
          <w:szCs w:val="20"/>
        </w:rPr>
        <w:t xml:space="preserve"> С або на величину, що зазначена у</w:t>
      </w:r>
      <w:r w:rsidRPr="000977F7">
        <w:rPr>
          <w:rFonts w:asciiTheme="majorHAnsi" w:hAnsiTheme="majorHAnsi"/>
          <w:spacing w:val="1"/>
          <w:sz w:val="20"/>
          <w:szCs w:val="20"/>
        </w:rPr>
        <w:t xml:space="preserve"> </w:t>
      </w:r>
      <w:r w:rsidRPr="000977F7">
        <w:rPr>
          <w:rFonts w:asciiTheme="majorHAnsi" w:hAnsiTheme="majorHAnsi"/>
          <w:sz w:val="20"/>
          <w:szCs w:val="20"/>
        </w:rPr>
        <w:t>відповідній нормативній</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документації</w:t>
      </w:r>
    </w:p>
    <w:p w14:paraId="2CCD87C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3011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3DDFD8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ТЕНДЕР</w:t>
      </w:r>
      <w:r w:rsidRPr="000977F7">
        <w:rPr>
          <w:color w:val="auto"/>
          <w:spacing w:val="-2"/>
          <w:sz w:val="20"/>
          <w:szCs w:val="20"/>
        </w:rPr>
        <w:t xml:space="preserve"> </w:t>
      </w:r>
      <w:r w:rsidRPr="000977F7">
        <w:rPr>
          <w:color w:val="auto"/>
          <w:sz w:val="20"/>
          <w:szCs w:val="20"/>
        </w:rPr>
        <w:t>–</w:t>
      </w:r>
    </w:p>
    <w:p w14:paraId="5654455D"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pacing w:val="-1"/>
          <w:sz w:val="20"/>
          <w:szCs w:val="20"/>
        </w:rPr>
        <w:t>Пропозиція</w:t>
      </w:r>
      <w:r w:rsidRPr="000977F7">
        <w:rPr>
          <w:rFonts w:asciiTheme="majorHAnsi" w:hAnsiTheme="majorHAnsi"/>
          <w:spacing w:val="-11"/>
          <w:sz w:val="20"/>
          <w:szCs w:val="20"/>
        </w:rPr>
        <w:t xml:space="preserve"> </w:t>
      </w:r>
      <w:r w:rsidRPr="000977F7">
        <w:rPr>
          <w:rFonts w:asciiTheme="majorHAnsi" w:hAnsiTheme="majorHAnsi"/>
          <w:spacing w:val="-1"/>
          <w:sz w:val="20"/>
          <w:szCs w:val="20"/>
        </w:rPr>
        <w:t>оферента,</w:t>
      </w:r>
      <w:r w:rsidRPr="000977F7">
        <w:rPr>
          <w:rFonts w:asciiTheme="majorHAnsi" w:hAnsiTheme="majorHAnsi"/>
          <w:spacing w:val="-10"/>
          <w:sz w:val="20"/>
          <w:szCs w:val="20"/>
        </w:rPr>
        <w:t xml:space="preserve"> </w:t>
      </w:r>
      <w:r w:rsidRPr="000977F7">
        <w:rPr>
          <w:rFonts w:asciiTheme="majorHAnsi" w:hAnsiTheme="majorHAnsi"/>
          <w:sz w:val="20"/>
          <w:szCs w:val="20"/>
        </w:rPr>
        <w:t>що</w:t>
      </w:r>
      <w:r w:rsidRPr="000977F7">
        <w:rPr>
          <w:rFonts w:asciiTheme="majorHAnsi" w:hAnsiTheme="majorHAnsi"/>
          <w:spacing w:val="-10"/>
          <w:sz w:val="20"/>
          <w:szCs w:val="20"/>
        </w:rPr>
        <w:t xml:space="preserve"> </w:t>
      </w:r>
      <w:r w:rsidRPr="000977F7">
        <w:rPr>
          <w:rFonts w:asciiTheme="majorHAnsi" w:hAnsiTheme="majorHAnsi"/>
          <w:sz w:val="20"/>
          <w:szCs w:val="20"/>
        </w:rPr>
        <w:t>відповідає</w:t>
      </w:r>
      <w:r w:rsidRPr="000977F7">
        <w:rPr>
          <w:rFonts w:asciiTheme="majorHAnsi" w:hAnsiTheme="majorHAnsi"/>
          <w:spacing w:val="-10"/>
          <w:sz w:val="20"/>
          <w:szCs w:val="20"/>
        </w:rPr>
        <w:t xml:space="preserve"> </w:t>
      </w:r>
      <w:r w:rsidRPr="000977F7">
        <w:rPr>
          <w:rFonts w:asciiTheme="majorHAnsi" w:hAnsiTheme="majorHAnsi"/>
          <w:sz w:val="20"/>
          <w:szCs w:val="20"/>
        </w:rPr>
        <w:t>конкретним</w:t>
      </w:r>
      <w:r w:rsidRPr="000977F7">
        <w:rPr>
          <w:rFonts w:asciiTheme="majorHAnsi" w:hAnsiTheme="majorHAnsi"/>
          <w:spacing w:val="-9"/>
          <w:sz w:val="20"/>
          <w:szCs w:val="20"/>
        </w:rPr>
        <w:t xml:space="preserve"> </w:t>
      </w:r>
      <w:r w:rsidRPr="000977F7">
        <w:rPr>
          <w:rFonts w:asciiTheme="majorHAnsi" w:hAnsiTheme="majorHAnsi"/>
          <w:sz w:val="20"/>
          <w:szCs w:val="20"/>
        </w:rPr>
        <w:t>вимогам замовника, викладеним у його технічних умовах</w:t>
      </w:r>
      <w:r w:rsidRPr="000977F7">
        <w:rPr>
          <w:rFonts w:asciiTheme="majorHAnsi" w:hAnsiTheme="majorHAnsi"/>
          <w:spacing w:val="1"/>
          <w:sz w:val="20"/>
          <w:szCs w:val="20"/>
        </w:rPr>
        <w:t xml:space="preserve"> </w:t>
      </w:r>
    </w:p>
    <w:p w14:paraId="79F5DD65"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83B590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ТЕНДЕРНА</w:t>
      </w:r>
      <w:r w:rsidRPr="000977F7">
        <w:rPr>
          <w:color w:val="auto"/>
          <w:spacing w:val="-5"/>
          <w:sz w:val="20"/>
          <w:szCs w:val="20"/>
        </w:rPr>
        <w:t xml:space="preserve"> </w:t>
      </w:r>
      <w:r w:rsidRPr="000977F7">
        <w:rPr>
          <w:color w:val="auto"/>
          <w:sz w:val="20"/>
          <w:szCs w:val="20"/>
        </w:rPr>
        <w:t>ДОКУМЕНТАЦІЯ</w:t>
      </w:r>
      <w:r w:rsidRPr="000977F7">
        <w:rPr>
          <w:color w:val="auto"/>
          <w:spacing w:val="-2"/>
          <w:sz w:val="20"/>
          <w:szCs w:val="20"/>
        </w:rPr>
        <w:t xml:space="preserve"> </w:t>
      </w:r>
      <w:r w:rsidRPr="000977F7">
        <w:rPr>
          <w:color w:val="auto"/>
          <w:sz w:val="20"/>
          <w:szCs w:val="20"/>
        </w:rPr>
        <w:t>–</w:t>
      </w:r>
    </w:p>
    <w:p w14:paraId="47D2A28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Комплект документів, що містить інформацію з організаційних, технічних та комерційних</w:t>
      </w:r>
      <w:r w:rsidRPr="000977F7">
        <w:rPr>
          <w:rFonts w:asciiTheme="majorHAnsi" w:hAnsiTheme="majorHAnsi"/>
          <w:spacing w:val="1"/>
          <w:sz w:val="20"/>
          <w:szCs w:val="20"/>
        </w:rPr>
        <w:t xml:space="preserve"> </w:t>
      </w:r>
      <w:r w:rsidRPr="000977F7">
        <w:rPr>
          <w:rFonts w:asciiTheme="majorHAnsi" w:hAnsiTheme="majorHAnsi"/>
          <w:sz w:val="20"/>
          <w:szCs w:val="20"/>
        </w:rPr>
        <w:t>питань проведення</w:t>
      </w:r>
      <w:r w:rsidRPr="000977F7">
        <w:rPr>
          <w:rFonts w:asciiTheme="majorHAnsi" w:hAnsiTheme="majorHAnsi"/>
          <w:spacing w:val="-2"/>
          <w:sz w:val="20"/>
          <w:szCs w:val="20"/>
        </w:rPr>
        <w:t xml:space="preserve"> </w:t>
      </w:r>
      <w:r w:rsidRPr="000977F7">
        <w:rPr>
          <w:rFonts w:asciiTheme="majorHAnsi" w:hAnsiTheme="majorHAnsi"/>
          <w:sz w:val="20"/>
          <w:szCs w:val="20"/>
        </w:rPr>
        <w:t>міжнародних</w:t>
      </w:r>
      <w:r w:rsidRPr="000977F7">
        <w:rPr>
          <w:rFonts w:asciiTheme="majorHAnsi" w:hAnsiTheme="majorHAnsi"/>
          <w:spacing w:val="1"/>
          <w:sz w:val="20"/>
          <w:szCs w:val="20"/>
        </w:rPr>
        <w:t xml:space="preserve"> </w:t>
      </w:r>
      <w:r w:rsidRPr="000977F7">
        <w:rPr>
          <w:rFonts w:asciiTheme="majorHAnsi" w:hAnsiTheme="majorHAnsi"/>
          <w:sz w:val="20"/>
          <w:szCs w:val="20"/>
        </w:rPr>
        <w:t>торгів</w:t>
      </w:r>
    </w:p>
    <w:p w14:paraId="76B1F81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 – 95</w:t>
      </w:r>
    </w:p>
    <w:p w14:paraId="2487B5D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ТЕОРЕТИЧНЕ</w:t>
      </w:r>
      <w:r w:rsidRPr="000977F7">
        <w:rPr>
          <w:color w:val="auto"/>
          <w:spacing w:val="-3"/>
          <w:sz w:val="20"/>
          <w:szCs w:val="20"/>
        </w:rPr>
        <w:t xml:space="preserve"> </w:t>
      </w:r>
      <w:r w:rsidRPr="000977F7">
        <w:rPr>
          <w:color w:val="auto"/>
          <w:sz w:val="20"/>
          <w:szCs w:val="20"/>
        </w:rPr>
        <w:t>КРЕСЛЕННЯ</w:t>
      </w:r>
      <w:r w:rsidRPr="000977F7">
        <w:rPr>
          <w:color w:val="auto"/>
          <w:spacing w:val="-2"/>
          <w:sz w:val="20"/>
          <w:szCs w:val="20"/>
        </w:rPr>
        <w:t xml:space="preserve"> </w:t>
      </w:r>
      <w:r w:rsidRPr="000977F7">
        <w:rPr>
          <w:color w:val="auto"/>
          <w:sz w:val="20"/>
          <w:szCs w:val="20"/>
        </w:rPr>
        <w:t>–</w:t>
      </w:r>
    </w:p>
    <w:p w14:paraId="0558D6F3"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Креслення,</w:t>
      </w:r>
      <w:r w:rsidRPr="000977F7">
        <w:rPr>
          <w:rFonts w:asciiTheme="majorHAnsi" w:hAnsiTheme="majorHAnsi"/>
          <w:spacing w:val="1"/>
          <w:sz w:val="20"/>
          <w:szCs w:val="20"/>
        </w:rPr>
        <w:t xml:space="preserve"> </w:t>
      </w:r>
      <w:r w:rsidRPr="000977F7">
        <w:rPr>
          <w:rFonts w:asciiTheme="majorHAnsi" w:hAnsiTheme="majorHAnsi"/>
          <w:sz w:val="20"/>
          <w:szCs w:val="20"/>
        </w:rPr>
        <w:t>яке</w:t>
      </w:r>
      <w:r w:rsidRPr="000977F7">
        <w:rPr>
          <w:rFonts w:asciiTheme="majorHAnsi" w:hAnsiTheme="majorHAnsi"/>
          <w:spacing w:val="1"/>
          <w:sz w:val="20"/>
          <w:szCs w:val="20"/>
        </w:rPr>
        <w:t xml:space="preserve"> </w:t>
      </w:r>
      <w:r w:rsidRPr="000977F7">
        <w:rPr>
          <w:rFonts w:asciiTheme="majorHAnsi" w:hAnsiTheme="majorHAnsi"/>
          <w:sz w:val="20"/>
          <w:szCs w:val="20"/>
        </w:rPr>
        <w:t>визначає</w:t>
      </w:r>
      <w:r w:rsidRPr="000977F7">
        <w:rPr>
          <w:rFonts w:asciiTheme="majorHAnsi" w:hAnsiTheme="majorHAnsi"/>
          <w:spacing w:val="1"/>
          <w:sz w:val="20"/>
          <w:szCs w:val="20"/>
        </w:rPr>
        <w:t xml:space="preserve"> </w:t>
      </w:r>
      <w:r w:rsidRPr="000977F7">
        <w:rPr>
          <w:rFonts w:asciiTheme="majorHAnsi" w:hAnsiTheme="majorHAnsi"/>
          <w:sz w:val="20"/>
          <w:szCs w:val="20"/>
        </w:rPr>
        <w:t>геометричну форму (ободи)</w:t>
      </w:r>
      <w:r w:rsidRPr="000977F7">
        <w:rPr>
          <w:rFonts w:asciiTheme="majorHAnsi" w:hAnsiTheme="majorHAnsi"/>
          <w:spacing w:val="-47"/>
          <w:sz w:val="20"/>
          <w:szCs w:val="20"/>
        </w:rPr>
        <w:t xml:space="preserve"> </w:t>
      </w:r>
      <w:r w:rsidRPr="000977F7">
        <w:rPr>
          <w:rFonts w:asciiTheme="majorHAnsi" w:hAnsiTheme="majorHAnsi"/>
          <w:sz w:val="20"/>
          <w:szCs w:val="20"/>
        </w:rPr>
        <w:t>виробу і координати розташування складових частин</w:t>
      </w:r>
      <w:r w:rsidRPr="000977F7">
        <w:rPr>
          <w:rFonts w:asciiTheme="majorHAnsi" w:hAnsiTheme="majorHAns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3321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2003</w:t>
      </w:r>
    </w:p>
    <w:p w14:paraId="3C3ADED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ТЕПЛОВИЙ</w:t>
      </w:r>
      <w:r w:rsidRPr="000977F7">
        <w:rPr>
          <w:color w:val="auto"/>
          <w:spacing w:val="-4"/>
          <w:sz w:val="20"/>
          <w:szCs w:val="20"/>
        </w:rPr>
        <w:t xml:space="preserve"> </w:t>
      </w:r>
      <w:r w:rsidRPr="000977F7">
        <w:rPr>
          <w:color w:val="auto"/>
          <w:sz w:val="20"/>
          <w:szCs w:val="20"/>
        </w:rPr>
        <w:t>ДЕФЕКТОСКОП –</w:t>
      </w:r>
    </w:p>
    <w:p w14:paraId="3983277C"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Прилад,</w:t>
      </w:r>
      <w:r w:rsidRPr="000977F7">
        <w:rPr>
          <w:rFonts w:asciiTheme="majorHAnsi" w:hAnsiTheme="majorHAnsi"/>
          <w:spacing w:val="15"/>
          <w:sz w:val="20"/>
          <w:szCs w:val="20"/>
        </w:rPr>
        <w:t xml:space="preserve"> </w:t>
      </w:r>
      <w:r w:rsidRPr="000977F7">
        <w:rPr>
          <w:rFonts w:asciiTheme="majorHAnsi" w:hAnsiTheme="majorHAnsi"/>
          <w:sz w:val="20"/>
          <w:szCs w:val="20"/>
        </w:rPr>
        <w:t>призначений</w:t>
      </w:r>
      <w:r w:rsidRPr="000977F7">
        <w:rPr>
          <w:rFonts w:asciiTheme="majorHAnsi" w:hAnsiTheme="majorHAnsi"/>
          <w:spacing w:val="14"/>
          <w:sz w:val="20"/>
          <w:szCs w:val="20"/>
        </w:rPr>
        <w:t xml:space="preserve"> </w:t>
      </w:r>
      <w:r w:rsidRPr="000977F7">
        <w:rPr>
          <w:rFonts w:asciiTheme="majorHAnsi" w:hAnsiTheme="majorHAnsi"/>
          <w:sz w:val="20"/>
          <w:szCs w:val="20"/>
        </w:rPr>
        <w:t>для</w:t>
      </w:r>
      <w:r w:rsidRPr="000977F7">
        <w:rPr>
          <w:rFonts w:asciiTheme="majorHAnsi" w:hAnsiTheme="majorHAnsi"/>
          <w:spacing w:val="12"/>
          <w:sz w:val="20"/>
          <w:szCs w:val="20"/>
        </w:rPr>
        <w:t xml:space="preserve"> </w:t>
      </w:r>
      <w:r w:rsidRPr="000977F7">
        <w:rPr>
          <w:rFonts w:asciiTheme="majorHAnsi" w:hAnsiTheme="majorHAnsi"/>
          <w:sz w:val="20"/>
          <w:szCs w:val="20"/>
        </w:rPr>
        <w:t>виявлення</w:t>
      </w:r>
      <w:r w:rsidRPr="000977F7">
        <w:rPr>
          <w:rFonts w:asciiTheme="majorHAnsi" w:hAnsiTheme="majorHAnsi"/>
          <w:spacing w:val="15"/>
          <w:sz w:val="20"/>
          <w:szCs w:val="20"/>
        </w:rPr>
        <w:t xml:space="preserve"> </w:t>
      </w:r>
      <w:r w:rsidRPr="000977F7">
        <w:rPr>
          <w:rFonts w:asciiTheme="majorHAnsi" w:hAnsiTheme="majorHAnsi"/>
          <w:sz w:val="20"/>
          <w:szCs w:val="20"/>
        </w:rPr>
        <w:t>дефектів</w:t>
      </w:r>
      <w:r w:rsidRPr="000977F7">
        <w:rPr>
          <w:rFonts w:asciiTheme="majorHAnsi" w:hAnsiTheme="majorHAnsi"/>
          <w:spacing w:val="12"/>
          <w:sz w:val="20"/>
          <w:szCs w:val="20"/>
        </w:rPr>
        <w:t xml:space="preserve"> </w:t>
      </w:r>
      <w:r w:rsidRPr="000977F7">
        <w:rPr>
          <w:rFonts w:asciiTheme="majorHAnsi" w:hAnsiTheme="majorHAnsi"/>
          <w:sz w:val="20"/>
          <w:szCs w:val="20"/>
        </w:rPr>
        <w:t>об’єкта</w:t>
      </w:r>
      <w:r w:rsidRPr="000977F7">
        <w:rPr>
          <w:rFonts w:asciiTheme="majorHAnsi" w:hAnsiTheme="majorHAnsi"/>
          <w:spacing w:val="-47"/>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5"/>
          <w:sz w:val="20"/>
          <w:szCs w:val="20"/>
        </w:rPr>
        <w:t xml:space="preserve"> </w:t>
      </w:r>
      <w:r w:rsidRPr="000977F7">
        <w:rPr>
          <w:rFonts w:asciiTheme="majorHAnsi" w:hAnsiTheme="majorHAnsi"/>
          <w:sz w:val="20"/>
          <w:szCs w:val="20"/>
        </w:rPr>
        <w:t>який ґрунтується</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методі</w:t>
      </w:r>
      <w:r w:rsidRPr="000977F7">
        <w:rPr>
          <w:rFonts w:asciiTheme="majorHAnsi" w:hAnsiTheme="majorHAnsi"/>
          <w:spacing w:val="2"/>
          <w:sz w:val="20"/>
          <w:szCs w:val="20"/>
        </w:rPr>
        <w:t xml:space="preserve"> </w:t>
      </w:r>
      <w:r w:rsidRPr="000977F7">
        <w:rPr>
          <w:rFonts w:asciiTheme="majorHAnsi" w:hAnsiTheme="majorHAnsi"/>
          <w:sz w:val="20"/>
          <w:szCs w:val="20"/>
        </w:rPr>
        <w:t>теплового</w:t>
      </w:r>
      <w:r w:rsidRPr="000977F7">
        <w:rPr>
          <w:rFonts w:asciiTheme="majorHAnsi" w:hAnsiTheme="majorHAnsi"/>
          <w:spacing w:val="3"/>
          <w:sz w:val="20"/>
          <w:szCs w:val="20"/>
        </w:rPr>
        <w:t xml:space="preserve"> </w:t>
      </w:r>
      <w:r w:rsidRPr="000977F7">
        <w:rPr>
          <w:rFonts w:asciiTheme="majorHAnsi" w:hAnsiTheme="majorHAnsi"/>
          <w:sz w:val="20"/>
          <w:szCs w:val="20"/>
        </w:rPr>
        <w:t>контактного чи конвективного неруйнівного контролю</w:t>
      </w:r>
      <w:r w:rsidRPr="000977F7">
        <w:rPr>
          <w:rFonts w:asciiTheme="majorHAnsi" w:hAnsiTheme="majorHAnsi"/>
          <w:spacing w:val="1"/>
          <w:sz w:val="20"/>
          <w:szCs w:val="20"/>
        </w:rPr>
        <w:t xml:space="preserve"> </w:t>
      </w:r>
    </w:p>
    <w:p w14:paraId="778E89EC"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2865</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24E26A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ТЕПЛОВИЙ</w:t>
      </w:r>
      <w:r w:rsidRPr="000977F7">
        <w:rPr>
          <w:color w:val="auto"/>
          <w:spacing w:val="-3"/>
          <w:sz w:val="20"/>
          <w:szCs w:val="20"/>
        </w:rPr>
        <w:t xml:space="preserve"> </w:t>
      </w:r>
      <w:r w:rsidRPr="000977F7">
        <w:rPr>
          <w:color w:val="auto"/>
          <w:sz w:val="20"/>
          <w:szCs w:val="20"/>
        </w:rPr>
        <w:t>КОНТАКТНИЙ</w:t>
      </w:r>
      <w:r w:rsidRPr="000977F7">
        <w:rPr>
          <w:color w:val="auto"/>
          <w:spacing w:val="-5"/>
          <w:sz w:val="20"/>
          <w:szCs w:val="20"/>
        </w:rPr>
        <w:t xml:space="preserve"> </w:t>
      </w:r>
      <w:r w:rsidRPr="000977F7">
        <w:rPr>
          <w:color w:val="auto"/>
          <w:sz w:val="20"/>
          <w:szCs w:val="20"/>
        </w:rPr>
        <w:t>МЕТОД –</w:t>
      </w:r>
    </w:p>
    <w:p w14:paraId="7B2EDC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теплового неруйнівного контролю, що ґрунтується на реєстрації температури в разі безпосереднього контакту чутливого елемента теплового дефектоскопа</w:t>
      </w:r>
      <w:r w:rsidRPr="000977F7">
        <w:rPr>
          <w:rFonts w:asciiTheme="majorHAnsi" w:hAnsiTheme="majorHAnsi"/>
          <w:spacing w:val="-1"/>
          <w:sz w:val="20"/>
          <w:szCs w:val="20"/>
        </w:rPr>
        <w:t xml:space="preserve"> </w:t>
      </w:r>
      <w:r w:rsidRPr="000977F7">
        <w:rPr>
          <w:rFonts w:asciiTheme="majorHAnsi" w:hAnsiTheme="majorHAnsi"/>
          <w:sz w:val="20"/>
          <w:szCs w:val="20"/>
        </w:rPr>
        <w:t>з поверхнею</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2"/>
          <w:sz w:val="20"/>
          <w:szCs w:val="20"/>
        </w:rPr>
        <w:t xml:space="preserve"> </w:t>
      </w:r>
      <w:r w:rsidRPr="000977F7">
        <w:rPr>
          <w:rFonts w:asciiTheme="majorHAnsi" w:hAnsiTheme="majorHAnsi"/>
          <w:sz w:val="20"/>
          <w:szCs w:val="20"/>
        </w:rPr>
        <w:t>контролю</w:t>
      </w:r>
    </w:p>
    <w:p w14:paraId="4FCCB9B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2865 –</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7BFD7E5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ТЕПЛОВИЙ</w:t>
      </w:r>
      <w:r w:rsidRPr="000977F7">
        <w:rPr>
          <w:color w:val="auto"/>
          <w:spacing w:val="-4"/>
          <w:sz w:val="20"/>
          <w:szCs w:val="20"/>
        </w:rPr>
        <w:t xml:space="preserve"> </w:t>
      </w:r>
      <w:r w:rsidRPr="000977F7">
        <w:rPr>
          <w:color w:val="auto"/>
          <w:sz w:val="20"/>
          <w:szCs w:val="20"/>
        </w:rPr>
        <w:t>НЕРУЙНІВНИЙ</w:t>
      </w:r>
      <w:r w:rsidRPr="000977F7">
        <w:rPr>
          <w:color w:val="auto"/>
          <w:spacing w:val="-4"/>
          <w:sz w:val="20"/>
          <w:szCs w:val="20"/>
        </w:rPr>
        <w:t xml:space="preserve"> </w:t>
      </w:r>
      <w:r w:rsidRPr="000977F7">
        <w:rPr>
          <w:color w:val="auto"/>
          <w:sz w:val="20"/>
          <w:szCs w:val="20"/>
        </w:rPr>
        <w:t>КОНТРОЛЬ</w:t>
      </w:r>
      <w:r w:rsidRPr="000977F7">
        <w:rPr>
          <w:color w:val="auto"/>
          <w:spacing w:val="1"/>
          <w:sz w:val="20"/>
          <w:szCs w:val="20"/>
        </w:rPr>
        <w:t xml:space="preserve"> </w:t>
      </w:r>
      <w:r w:rsidRPr="000977F7">
        <w:rPr>
          <w:color w:val="auto"/>
          <w:sz w:val="20"/>
          <w:szCs w:val="20"/>
        </w:rPr>
        <w:t>–</w:t>
      </w:r>
    </w:p>
    <w:p w14:paraId="46E3C54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THERMAL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NON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 DESTRUCTIVE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TESTING –</w:t>
      </w:r>
    </w:p>
    <w:p w14:paraId="2B14760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Неруйнівний контроль, що ґрунтується на реєстрації</w:t>
      </w:r>
      <w:r w:rsidRPr="000977F7">
        <w:rPr>
          <w:rFonts w:asciiTheme="majorHAnsi" w:hAnsiTheme="majorHAnsi"/>
          <w:spacing w:val="1"/>
          <w:sz w:val="20"/>
          <w:szCs w:val="20"/>
        </w:rPr>
        <w:t xml:space="preserve"> </w:t>
      </w:r>
      <w:r w:rsidRPr="000977F7">
        <w:rPr>
          <w:rFonts w:asciiTheme="majorHAnsi" w:hAnsiTheme="majorHAnsi"/>
          <w:sz w:val="20"/>
          <w:szCs w:val="20"/>
        </w:rPr>
        <w:t>температурних</w:t>
      </w:r>
      <w:r w:rsidRPr="000977F7">
        <w:rPr>
          <w:rFonts w:asciiTheme="majorHAnsi" w:hAnsiTheme="majorHAnsi"/>
          <w:spacing w:val="-2"/>
          <w:sz w:val="20"/>
          <w:szCs w:val="20"/>
        </w:rPr>
        <w:t xml:space="preserve"> </w:t>
      </w:r>
      <w:r w:rsidRPr="000977F7">
        <w:rPr>
          <w:rFonts w:asciiTheme="majorHAnsi" w:hAnsiTheme="majorHAnsi"/>
          <w:sz w:val="20"/>
          <w:szCs w:val="20"/>
        </w:rPr>
        <w:t>полів</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p>
    <w:p w14:paraId="4B00FC0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FD2752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ТЕПЛОВІЗОР-ДЕФЕКТОСКОП</w:t>
      </w:r>
      <w:r w:rsidRPr="000977F7">
        <w:rPr>
          <w:color w:val="auto"/>
          <w:spacing w:val="-3"/>
          <w:sz w:val="20"/>
          <w:szCs w:val="20"/>
        </w:rPr>
        <w:t xml:space="preserve"> </w:t>
      </w:r>
      <w:r w:rsidRPr="000977F7">
        <w:rPr>
          <w:color w:val="auto"/>
          <w:sz w:val="20"/>
          <w:szCs w:val="20"/>
        </w:rPr>
        <w:t>–</w:t>
      </w:r>
    </w:p>
    <w:p w14:paraId="47E66C9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2865 - 94</w:t>
      </w:r>
    </w:p>
    <w:p w14:paraId="6DE0682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ТЕПЛОМЕТРИЧНИЙ</w:t>
      </w:r>
      <w:r w:rsidRPr="000977F7">
        <w:rPr>
          <w:color w:val="auto"/>
          <w:spacing w:val="-3"/>
          <w:sz w:val="20"/>
          <w:szCs w:val="20"/>
        </w:rPr>
        <w:t xml:space="preserve"> </w:t>
      </w:r>
      <w:r w:rsidRPr="000977F7">
        <w:rPr>
          <w:color w:val="auto"/>
          <w:sz w:val="20"/>
          <w:szCs w:val="20"/>
        </w:rPr>
        <w:t>МЕТОД</w:t>
      </w:r>
      <w:r w:rsidRPr="000977F7">
        <w:rPr>
          <w:color w:val="auto"/>
          <w:spacing w:val="-3"/>
          <w:sz w:val="20"/>
          <w:szCs w:val="20"/>
        </w:rPr>
        <w:t xml:space="preserve"> </w:t>
      </w:r>
      <w:r w:rsidRPr="000977F7">
        <w:rPr>
          <w:color w:val="auto"/>
          <w:sz w:val="20"/>
          <w:szCs w:val="20"/>
        </w:rPr>
        <w:t>–</w:t>
      </w:r>
    </w:p>
    <w:p w14:paraId="550923D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реєстрації</w:t>
      </w:r>
      <w:r w:rsidRPr="000977F7">
        <w:rPr>
          <w:rFonts w:asciiTheme="majorHAnsi" w:hAnsiTheme="majorHAnsi"/>
          <w:spacing w:val="1"/>
          <w:sz w:val="20"/>
          <w:szCs w:val="20"/>
        </w:rPr>
        <w:t xml:space="preserve"> </w:t>
      </w:r>
      <w:r w:rsidRPr="000977F7">
        <w:rPr>
          <w:rFonts w:asciiTheme="majorHAnsi" w:hAnsiTheme="majorHAnsi"/>
          <w:sz w:val="20"/>
          <w:szCs w:val="20"/>
        </w:rPr>
        <w:t>теплового</w:t>
      </w:r>
      <w:r w:rsidRPr="000977F7">
        <w:rPr>
          <w:rFonts w:asciiTheme="majorHAnsi" w:hAnsiTheme="majorHAnsi"/>
          <w:spacing w:val="1"/>
          <w:sz w:val="20"/>
          <w:szCs w:val="20"/>
        </w:rPr>
        <w:t xml:space="preserve"> </w:t>
      </w:r>
      <w:r w:rsidRPr="000977F7">
        <w:rPr>
          <w:rFonts w:asciiTheme="majorHAnsi" w:hAnsiTheme="majorHAnsi"/>
          <w:sz w:val="20"/>
          <w:szCs w:val="20"/>
        </w:rPr>
        <w:t>потоку</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величин,</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визначають</w:t>
      </w:r>
    </w:p>
    <w:p w14:paraId="5AB1EB5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 – 94</w:t>
      </w:r>
    </w:p>
    <w:p w14:paraId="769F485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ТЕПЛОСТІЙКІСТЬ</w:t>
      </w:r>
      <w:r w:rsidRPr="000977F7">
        <w:rPr>
          <w:color w:val="auto"/>
          <w:spacing w:val="-4"/>
          <w:sz w:val="20"/>
          <w:szCs w:val="20"/>
        </w:rPr>
        <w:t xml:space="preserve"> </w:t>
      </w:r>
      <w:r w:rsidRPr="000977F7">
        <w:rPr>
          <w:color w:val="auto"/>
          <w:sz w:val="20"/>
          <w:szCs w:val="20"/>
        </w:rPr>
        <w:t>В</w:t>
      </w:r>
      <w:r w:rsidRPr="000977F7">
        <w:rPr>
          <w:color w:val="auto"/>
          <w:spacing w:val="-2"/>
          <w:sz w:val="20"/>
          <w:szCs w:val="20"/>
        </w:rPr>
        <w:t xml:space="preserve"> </w:t>
      </w:r>
      <w:r w:rsidRPr="000977F7">
        <w:rPr>
          <w:color w:val="auto"/>
          <w:sz w:val="20"/>
          <w:szCs w:val="20"/>
        </w:rPr>
        <w:t>УМОВАХ</w:t>
      </w:r>
      <w:r w:rsidRPr="000977F7">
        <w:rPr>
          <w:color w:val="auto"/>
          <w:spacing w:val="-3"/>
          <w:sz w:val="20"/>
          <w:szCs w:val="20"/>
        </w:rPr>
        <w:t xml:space="preserve"> </w:t>
      </w:r>
      <w:r w:rsidRPr="000977F7">
        <w:rPr>
          <w:color w:val="auto"/>
          <w:sz w:val="20"/>
          <w:szCs w:val="20"/>
        </w:rPr>
        <w:t>ТЕРТЯ</w:t>
      </w:r>
      <w:r w:rsidRPr="000977F7">
        <w:rPr>
          <w:color w:val="auto"/>
          <w:spacing w:val="-1"/>
          <w:sz w:val="20"/>
          <w:szCs w:val="20"/>
        </w:rPr>
        <w:t xml:space="preserve"> </w:t>
      </w:r>
      <w:r w:rsidRPr="000977F7">
        <w:rPr>
          <w:color w:val="auto"/>
          <w:sz w:val="20"/>
          <w:szCs w:val="20"/>
        </w:rPr>
        <w:t>–</w:t>
      </w:r>
    </w:p>
    <w:p w14:paraId="57A63D1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 трібосистеми працювати без заїдання 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розігрівання</w:t>
      </w:r>
    </w:p>
    <w:p w14:paraId="1F828A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E016C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Характеризується значенням температури, яка виникає у трібоелементі внаслідок зовнішнього підведення</w:t>
      </w:r>
      <w:r w:rsidRPr="000977F7">
        <w:rPr>
          <w:rFonts w:asciiTheme="majorHAnsi" w:hAnsiTheme="majorHAnsi"/>
          <w:spacing w:val="-47"/>
          <w:sz w:val="20"/>
          <w:szCs w:val="20"/>
        </w:rPr>
        <w:t xml:space="preserve"> </w:t>
      </w:r>
      <w:r w:rsidRPr="000977F7">
        <w:rPr>
          <w:rFonts w:asciiTheme="majorHAnsi" w:hAnsiTheme="majorHAnsi"/>
          <w:sz w:val="20"/>
          <w:szCs w:val="20"/>
        </w:rPr>
        <w:t>тепла і (чи) тепла, що утворюється в процесі тертя,</w:t>
      </w:r>
      <w:r w:rsidRPr="000977F7">
        <w:rPr>
          <w:rFonts w:asciiTheme="majorHAnsi" w:hAnsiTheme="majorHAnsi"/>
          <w:spacing w:val="1"/>
          <w:sz w:val="20"/>
          <w:szCs w:val="20"/>
        </w:rPr>
        <w:t xml:space="preserve"> </w:t>
      </w:r>
      <w:r w:rsidRPr="000977F7">
        <w:rPr>
          <w:rFonts w:asciiTheme="majorHAnsi" w:hAnsiTheme="majorHAnsi"/>
          <w:sz w:val="20"/>
          <w:szCs w:val="20"/>
        </w:rPr>
        <w:t>перевищення</w:t>
      </w:r>
      <w:r w:rsidRPr="000977F7">
        <w:rPr>
          <w:rFonts w:asciiTheme="majorHAnsi" w:hAnsiTheme="majorHAnsi"/>
          <w:spacing w:val="-2"/>
          <w:sz w:val="20"/>
          <w:szCs w:val="20"/>
        </w:rPr>
        <w:t xml:space="preserve"> </w:t>
      </w:r>
      <w:r w:rsidRPr="000977F7">
        <w:rPr>
          <w:rFonts w:asciiTheme="majorHAnsi" w:hAnsiTheme="majorHAnsi"/>
          <w:sz w:val="20"/>
          <w:szCs w:val="20"/>
        </w:rPr>
        <w:t>якої</w:t>
      </w:r>
      <w:r w:rsidRPr="000977F7">
        <w:rPr>
          <w:rFonts w:asciiTheme="majorHAnsi" w:hAnsiTheme="majorHAnsi"/>
          <w:spacing w:val="-2"/>
          <w:sz w:val="20"/>
          <w:szCs w:val="20"/>
        </w:rPr>
        <w:t xml:space="preserve"> </w:t>
      </w:r>
      <w:r w:rsidRPr="000977F7">
        <w:rPr>
          <w:rFonts w:asciiTheme="majorHAnsi" w:hAnsiTheme="majorHAnsi"/>
          <w:sz w:val="20"/>
          <w:szCs w:val="20"/>
        </w:rPr>
        <w:t>призводить до</w:t>
      </w:r>
      <w:r w:rsidRPr="000977F7">
        <w:rPr>
          <w:rFonts w:asciiTheme="majorHAnsi" w:hAnsiTheme="majorHAnsi"/>
          <w:spacing w:val="-1"/>
          <w:sz w:val="20"/>
          <w:szCs w:val="20"/>
        </w:rPr>
        <w:t xml:space="preserve"> </w:t>
      </w:r>
      <w:r w:rsidRPr="000977F7">
        <w:rPr>
          <w:rFonts w:asciiTheme="majorHAnsi" w:hAnsiTheme="majorHAnsi"/>
          <w:sz w:val="20"/>
          <w:szCs w:val="20"/>
        </w:rPr>
        <w:t>заїдання</w:t>
      </w:r>
    </w:p>
    <w:p w14:paraId="47A7204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2823 – 94</w:t>
      </w:r>
    </w:p>
    <w:p w14:paraId="718EEED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ТЕРМІН</w:t>
      </w:r>
      <w:r w:rsidRPr="000977F7">
        <w:rPr>
          <w:color w:val="auto"/>
          <w:spacing w:val="-1"/>
          <w:sz w:val="20"/>
          <w:szCs w:val="20"/>
        </w:rPr>
        <w:t xml:space="preserve"> </w:t>
      </w:r>
      <w:r w:rsidRPr="000977F7">
        <w:rPr>
          <w:color w:val="auto"/>
          <w:sz w:val="20"/>
          <w:szCs w:val="20"/>
        </w:rPr>
        <w:t>ДІЇ</w:t>
      </w:r>
      <w:r w:rsidRPr="000977F7">
        <w:rPr>
          <w:color w:val="auto"/>
          <w:spacing w:val="-2"/>
          <w:sz w:val="20"/>
          <w:szCs w:val="20"/>
        </w:rPr>
        <w:t xml:space="preserve"> </w:t>
      </w:r>
      <w:r w:rsidRPr="000977F7">
        <w:rPr>
          <w:color w:val="auto"/>
          <w:sz w:val="20"/>
          <w:szCs w:val="20"/>
        </w:rPr>
        <w:t>–</w:t>
      </w:r>
    </w:p>
    <w:p w14:paraId="136D387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PERIOD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VALIDITY –</w:t>
      </w:r>
    </w:p>
    <w:p w14:paraId="601B49F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Проміжок часу, впродовж якого діє нормативний документ, починаючи від дати його введення </w:t>
      </w:r>
      <w:r w:rsidRPr="000977F7">
        <w:rPr>
          <w:rFonts w:asciiTheme="majorHAnsi" w:hAnsiTheme="majorHAnsi"/>
          <w:sz w:val="20"/>
          <w:szCs w:val="20"/>
        </w:rPr>
        <w:lastRenderedPageBreak/>
        <w:t>згідно з</w:t>
      </w:r>
      <w:r w:rsidRPr="000977F7">
        <w:rPr>
          <w:rFonts w:asciiTheme="majorHAnsi" w:hAnsiTheme="majorHAnsi"/>
          <w:spacing w:val="1"/>
          <w:sz w:val="20"/>
          <w:szCs w:val="20"/>
        </w:rPr>
        <w:t xml:space="preserve"> </w:t>
      </w:r>
      <w:r w:rsidRPr="000977F7">
        <w:rPr>
          <w:rFonts w:asciiTheme="majorHAnsi" w:hAnsiTheme="majorHAnsi"/>
          <w:sz w:val="20"/>
          <w:szCs w:val="20"/>
        </w:rPr>
        <w:t>рішенням відповідального за це органу до моменту</w:t>
      </w:r>
      <w:r w:rsidRPr="000977F7">
        <w:rPr>
          <w:rFonts w:asciiTheme="majorHAnsi" w:hAnsiTheme="majorHAnsi"/>
          <w:spacing w:val="1"/>
          <w:sz w:val="20"/>
          <w:szCs w:val="20"/>
        </w:rPr>
        <w:t xml:space="preserve"> </w:t>
      </w:r>
      <w:r w:rsidRPr="000977F7">
        <w:rPr>
          <w:rFonts w:asciiTheme="majorHAnsi" w:hAnsiTheme="majorHAnsi"/>
          <w:sz w:val="20"/>
          <w:szCs w:val="20"/>
        </w:rPr>
        <w:t>його скасування</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заміни</w:t>
      </w:r>
    </w:p>
    <w:p w14:paraId="11F0D5A2"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pacing w:val="-7"/>
          <w:w w:val="95"/>
          <w:sz w:val="20"/>
          <w:szCs w:val="20"/>
        </w:rPr>
        <w:t>ДСТУ ISO/IEC</w:t>
      </w:r>
      <w:r w:rsidRPr="000977F7">
        <w:rPr>
          <w:rFonts w:asciiTheme="majorHAnsi" w:hAnsiTheme="majorHAnsi"/>
          <w:i/>
          <w:iCs/>
          <w:spacing w:val="-27"/>
          <w:w w:val="95"/>
          <w:sz w:val="20"/>
          <w:szCs w:val="20"/>
        </w:rPr>
        <w:t xml:space="preserve"> </w:t>
      </w:r>
      <w:r w:rsidRPr="000977F7">
        <w:rPr>
          <w:rFonts w:asciiTheme="majorHAnsi" w:hAnsiTheme="majorHAnsi"/>
          <w:i/>
          <w:iCs/>
          <w:spacing w:val="-6"/>
          <w:w w:val="95"/>
          <w:sz w:val="20"/>
          <w:szCs w:val="20"/>
        </w:rPr>
        <w:t>17000:2007</w:t>
      </w:r>
    </w:p>
    <w:p w14:paraId="5F405FF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ТЕРМІН</w:t>
      </w:r>
      <w:r w:rsidRPr="000977F7">
        <w:rPr>
          <w:color w:val="auto"/>
          <w:spacing w:val="-4"/>
          <w:sz w:val="20"/>
          <w:szCs w:val="20"/>
        </w:rPr>
        <w:t xml:space="preserve"> </w:t>
      </w:r>
      <w:r w:rsidRPr="000977F7">
        <w:rPr>
          <w:color w:val="auto"/>
          <w:sz w:val="20"/>
          <w:szCs w:val="20"/>
        </w:rPr>
        <w:t>ЗБЕРЕЖУВАНОСТІ</w:t>
      </w:r>
      <w:r w:rsidRPr="000977F7">
        <w:rPr>
          <w:color w:val="auto"/>
          <w:spacing w:val="-3"/>
          <w:sz w:val="20"/>
          <w:szCs w:val="20"/>
        </w:rPr>
        <w:t xml:space="preserve"> </w:t>
      </w:r>
      <w:r w:rsidRPr="000977F7">
        <w:rPr>
          <w:color w:val="auto"/>
          <w:sz w:val="20"/>
          <w:szCs w:val="20"/>
        </w:rPr>
        <w:t>–</w:t>
      </w:r>
    </w:p>
    <w:p w14:paraId="43AEAF2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STORABILITY</w:t>
      </w:r>
      <w:r w:rsidRPr="004D2D14">
        <w:rPr>
          <w:rFonts w:asciiTheme="majorHAnsi" w:hAnsiTheme="majorHAnsi"/>
          <w:spacing w:val="-2"/>
          <w:sz w:val="20"/>
          <w:szCs w:val="20"/>
          <w:lang w:val="uk-UA"/>
        </w:rPr>
        <w:t xml:space="preserve"> </w:t>
      </w:r>
      <w:r w:rsidRPr="000977F7">
        <w:rPr>
          <w:rFonts w:asciiTheme="majorHAnsi" w:hAnsiTheme="majorHAnsi"/>
          <w:sz w:val="20"/>
          <w:szCs w:val="20"/>
        </w:rPr>
        <w:t>TIME</w:t>
      </w:r>
      <w:r w:rsidRPr="004D2D14">
        <w:rPr>
          <w:rFonts w:asciiTheme="majorHAnsi" w:hAnsiTheme="majorHAnsi"/>
          <w:sz w:val="20"/>
          <w:szCs w:val="20"/>
          <w:lang w:val="uk-UA"/>
        </w:rPr>
        <w:t>,</w:t>
      </w:r>
      <w:r w:rsidRPr="004D2D14">
        <w:rPr>
          <w:rFonts w:asciiTheme="majorHAnsi" w:hAnsiTheme="majorHAnsi"/>
          <w:spacing w:val="-4"/>
          <w:sz w:val="20"/>
          <w:szCs w:val="20"/>
          <w:lang w:val="uk-UA"/>
        </w:rPr>
        <w:t xml:space="preserve"> </w:t>
      </w:r>
      <w:r w:rsidRPr="000977F7">
        <w:rPr>
          <w:rFonts w:asciiTheme="majorHAnsi" w:hAnsiTheme="majorHAnsi"/>
          <w:sz w:val="20"/>
          <w:szCs w:val="20"/>
        </w:rPr>
        <w:t>SHELF</w:t>
      </w:r>
      <w:r w:rsidRPr="004D2D14">
        <w:rPr>
          <w:rFonts w:asciiTheme="majorHAnsi" w:hAnsiTheme="majorHAnsi"/>
          <w:spacing w:val="-3"/>
          <w:sz w:val="20"/>
          <w:szCs w:val="20"/>
          <w:lang w:val="uk-UA"/>
        </w:rPr>
        <w:t xml:space="preserve"> </w:t>
      </w:r>
      <w:r w:rsidRPr="000977F7">
        <w:rPr>
          <w:rFonts w:asciiTheme="majorHAnsi" w:hAnsiTheme="majorHAnsi"/>
          <w:sz w:val="20"/>
          <w:szCs w:val="20"/>
        </w:rPr>
        <w:t>LIFE</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1F82EB0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Календарна тривалість зберігання та (чи) транспортування об’єкта, протягом якої значення параметрів, 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характеризують здатність об’єкта виконувати потрібні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функції,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перебувають</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заданих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межах</w:t>
      </w:r>
    </w:p>
    <w:p w14:paraId="7C8010CF"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5811D32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ТЕРМІН</w:t>
      </w:r>
      <w:r w:rsidRPr="000977F7">
        <w:rPr>
          <w:color w:val="auto"/>
          <w:spacing w:val="-3"/>
          <w:sz w:val="20"/>
          <w:szCs w:val="20"/>
        </w:rPr>
        <w:t xml:space="preserve"> </w:t>
      </w:r>
      <w:r w:rsidRPr="000977F7">
        <w:rPr>
          <w:color w:val="auto"/>
          <w:sz w:val="20"/>
          <w:szCs w:val="20"/>
        </w:rPr>
        <w:t>СЛУЖБИ -</w:t>
      </w:r>
    </w:p>
    <w:p w14:paraId="3EDE660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USEFUL</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LIFETIME;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LIFETIME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74FD9CE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Календарна тривалість експлуатації об’єкта від початку чи її поновлення після ремонту до переходу в граничний</w:t>
      </w:r>
      <w:r w:rsidRPr="000977F7">
        <w:rPr>
          <w:rFonts w:asciiTheme="majorHAnsi" w:hAnsiTheme="majorHAnsi"/>
          <w:spacing w:val="-2"/>
          <w:sz w:val="20"/>
          <w:szCs w:val="20"/>
        </w:rPr>
        <w:t xml:space="preserve"> </w:t>
      </w:r>
      <w:r w:rsidRPr="000977F7">
        <w:rPr>
          <w:rFonts w:asciiTheme="majorHAnsi" w:hAnsiTheme="majorHAnsi"/>
          <w:sz w:val="20"/>
          <w:szCs w:val="20"/>
        </w:rPr>
        <w:t>стан</w:t>
      </w:r>
    </w:p>
    <w:p w14:paraId="4078E26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8930BF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ТЕРМІН СЛУЖБИ ДО КАПІТАЛЬНОГО </w:t>
      </w:r>
    </w:p>
    <w:p w14:paraId="3C40096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РЕМО</w:t>
      </w:r>
      <w:r w:rsidRPr="000977F7">
        <w:rPr>
          <w:color w:val="auto"/>
          <w:spacing w:val="-47"/>
          <w:sz w:val="20"/>
          <w:szCs w:val="20"/>
        </w:rPr>
        <w:t xml:space="preserve"> </w:t>
      </w:r>
      <w:r w:rsidRPr="000977F7">
        <w:rPr>
          <w:color w:val="auto"/>
          <w:sz w:val="20"/>
          <w:szCs w:val="20"/>
        </w:rPr>
        <w:t>НТУ</w:t>
      </w:r>
      <w:r w:rsidRPr="000977F7">
        <w:rPr>
          <w:color w:val="auto"/>
          <w:spacing w:val="-1"/>
          <w:sz w:val="20"/>
          <w:szCs w:val="20"/>
        </w:rPr>
        <w:t xml:space="preserve"> </w:t>
      </w:r>
      <w:r w:rsidRPr="000977F7">
        <w:rPr>
          <w:color w:val="auto"/>
          <w:sz w:val="20"/>
          <w:szCs w:val="20"/>
        </w:rPr>
        <w:t>–</w:t>
      </w:r>
    </w:p>
    <w:p w14:paraId="7FB5B79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USEFUL</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LIFE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GENERAL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OVERMAUL –</w:t>
      </w:r>
    </w:p>
    <w:p w14:paraId="79520442"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sz w:val="20"/>
          <w:szCs w:val="20"/>
        </w:rPr>
        <w:t>Середній</w:t>
      </w:r>
      <w:r w:rsidRPr="000977F7">
        <w:rPr>
          <w:rFonts w:asciiTheme="majorHAnsi" w:hAnsiTheme="majorHAnsi"/>
          <w:spacing w:val="38"/>
          <w:sz w:val="20"/>
          <w:szCs w:val="20"/>
        </w:rPr>
        <w:t xml:space="preserve"> </w:t>
      </w:r>
      <w:r w:rsidRPr="000977F7">
        <w:rPr>
          <w:rFonts w:asciiTheme="majorHAnsi" w:hAnsiTheme="majorHAnsi"/>
          <w:sz w:val="20"/>
          <w:szCs w:val="20"/>
        </w:rPr>
        <w:t>термін</w:t>
      </w:r>
      <w:r w:rsidRPr="000977F7">
        <w:rPr>
          <w:rFonts w:asciiTheme="majorHAnsi" w:hAnsiTheme="majorHAnsi"/>
          <w:spacing w:val="35"/>
          <w:sz w:val="20"/>
          <w:szCs w:val="20"/>
        </w:rPr>
        <w:t xml:space="preserve"> </w:t>
      </w:r>
      <w:r w:rsidRPr="000977F7">
        <w:rPr>
          <w:rFonts w:asciiTheme="majorHAnsi" w:hAnsiTheme="majorHAnsi"/>
          <w:sz w:val="20"/>
          <w:szCs w:val="20"/>
        </w:rPr>
        <w:t>служби</w:t>
      </w:r>
      <w:r w:rsidRPr="000977F7">
        <w:rPr>
          <w:rFonts w:asciiTheme="majorHAnsi" w:hAnsiTheme="majorHAnsi"/>
          <w:spacing w:val="38"/>
          <w:sz w:val="20"/>
          <w:szCs w:val="20"/>
        </w:rPr>
        <w:t xml:space="preserve"> </w:t>
      </w:r>
      <w:r w:rsidRPr="000977F7">
        <w:rPr>
          <w:rFonts w:asciiTheme="majorHAnsi" w:hAnsiTheme="majorHAnsi"/>
          <w:sz w:val="20"/>
          <w:szCs w:val="20"/>
        </w:rPr>
        <w:t>від</w:t>
      </w:r>
      <w:r w:rsidRPr="000977F7">
        <w:rPr>
          <w:rFonts w:asciiTheme="majorHAnsi" w:hAnsiTheme="majorHAnsi"/>
          <w:spacing w:val="38"/>
          <w:sz w:val="20"/>
          <w:szCs w:val="20"/>
        </w:rPr>
        <w:t xml:space="preserve"> </w:t>
      </w:r>
      <w:r w:rsidRPr="000977F7">
        <w:rPr>
          <w:rFonts w:asciiTheme="majorHAnsi" w:hAnsiTheme="majorHAnsi"/>
          <w:sz w:val="20"/>
          <w:szCs w:val="20"/>
        </w:rPr>
        <w:t>початку</w:t>
      </w:r>
      <w:r w:rsidRPr="000977F7">
        <w:rPr>
          <w:rFonts w:asciiTheme="majorHAnsi" w:hAnsiTheme="majorHAnsi"/>
          <w:spacing w:val="35"/>
          <w:sz w:val="20"/>
          <w:szCs w:val="20"/>
        </w:rPr>
        <w:t xml:space="preserve"> </w:t>
      </w:r>
      <w:r w:rsidRPr="000977F7">
        <w:rPr>
          <w:rFonts w:asciiTheme="majorHAnsi" w:hAnsiTheme="majorHAnsi"/>
          <w:sz w:val="20"/>
          <w:szCs w:val="20"/>
        </w:rPr>
        <w:t>експлуатації</w:t>
      </w:r>
      <w:r w:rsidRPr="000977F7">
        <w:rPr>
          <w:rFonts w:asciiTheme="majorHAnsi" w:hAnsiTheme="majorHAnsi"/>
          <w:spacing w:val="-47"/>
          <w:sz w:val="20"/>
          <w:szCs w:val="20"/>
        </w:rPr>
        <w:t xml:space="preserve"> </w:t>
      </w:r>
      <w:r w:rsidRPr="000977F7">
        <w:rPr>
          <w:rFonts w:asciiTheme="majorHAnsi" w:hAnsiTheme="majorHAnsi"/>
          <w:sz w:val="20"/>
          <w:szCs w:val="20"/>
        </w:rPr>
        <w:t>об’єкта до його першого капітального ремонту</w:t>
      </w:r>
      <w:r w:rsidRPr="000977F7">
        <w:rPr>
          <w:rFonts w:asciiTheme="majorHAnsi" w:hAnsiTheme="majorHAnsi"/>
          <w:spacing w:val="1"/>
          <w:sz w:val="20"/>
          <w:szCs w:val="20"/>
        </w:rPr>
        <w:t xml:space="preserve"> </w:t>
      </w:r>
      <w:r w:rsidRPr="000977F7">
        <w:rPr>
          <w:rFonts w:asciiTheme="majorHAnsi" w:hAnsiTheme="majorHAnsi"/>
          <w:b/>
          <w:sz w:val="20"/>
          <w:szCs w:val="20"/>
        </w:rPr>
        <w:t xml:space="preserve">ТЕРМІН ТЕХНОЛОГІЧНОГО </w:t>
      </w:r>
    </w:p>
    <w:p w14:paraId="5A7A4C7D"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ПІДГОТОВЛЕННЯ</w:t>
      </w:r>
      <w:r w:rsidRPr="000977F7">
        <w:rPr>
          <w:rFonts w:asciiTheme="majorHAnsi" w:hAnsiTheme="majorHAnsi"/>
          <w:b/>
          <w:spacing w:val="-1"/>
          <w:sz w:val="20"/>
          <w:szCs w:val="20"/>
        </w:rPr>
        <w:t xml:space="preserve"> </w:t>
      </w:r>
      <w:r w:rsidRPr="000977F7">
        <w:rPr>
          <w:rFonts w:asciiTheme="majorHAnsi" w:hAnsiTheme="majorHAnsi"/>
          <w:b/>
          <w:sz w:val="20"/>
          <w:szCs w:val="20"/>
        </w:rPr>
        <w:t>ВИРОБНИЦТВА –</w:t>
      </w:r>
    </w:p>
    <w:p w14:paraId="20D542A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Періоду часу від початку до закінчення технологічного підготовлення</w:t>
      </w:r>
      <w:r w:rsidRPr="000977F7">
        <w:rPr>
          <w:rFonts w:asciiTheme="majorHAnsi" w:hAnsiTheme="majorHAnsi"/>
          <w:spacing w:val="-2"/>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p>
    <w:p w14:paraId="306A17EB"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2974</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71246EC1"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ТЕРМІНОЛОГІЧНИЙ</w:t>
      </w:r>
      <w:r w:rsidRPr="004D2D14">
        <w:rPr>
          <w:rFonts w:asciiTheme="majorHAnsi" w:hAnsiTheme="majorHAnsi"/>
          <w:b/>
          <w:spacing w:val="-8"/>
          <w:sz w:val="20"/>
          <w:szCs w:val="20"/>
          <w:lang w:val="en-US"/>
        </w:rPr>
        <w:t xml:space="preserve"> </w:t>
      </w:r>
      <w:r w:rsidRPr="000977F7">
        <w:rPr>
          <w:rFonts w:asciiTheme="majorHAnsi" w:hAnsiTheme="majorHAnsi"/>
          <w:b/>
          <w:sz w:val="20"/>
          <w:szCs w:val="20"/>
        </w:rPr>
        <w:t>СТАНДАРТ</w:t>
      </w:r>
      <w:r w:rsidRPr="004D2D14">
        <w:rPr>
          <w:rFonts w:asciiTheme="majorHAnsi" w:hAnsiTheme="majorHAnsi"/>
          <w:b/>
          <w:spacing w:val="-6"/>
          <w:sz w:val="20"/>
          <w:szCs w:val="20"/>
          <w:lang w:val="en-US"/>
        </w:rPr>
        <w:t xml:space="preserve"> </w:t>
      </w:r>
      <w:r w:rsidRPr="004D2D14">
        <w:rPr>
          <w:rFonts w:asciiTheme="majorHAnsi" w:hAnsiTheme="majorHAnsi"/>
          <w:b/>
          <w:sz w:val="20"/>
          <w:szCs w:val="20"/>
          <w:lang w:val="en-US"/>
        </w:rPr>
        <w:t>–</w:t>
      </w:r>
      <w:r w:rsidRPr="004D2D14">
        <w:rPr>
          <w:rFonts w:asciiTheme="majorHAnsi" w:hAnsiTheme="majorHAnsi"/>
          <w:b/>
          <w:spacing w:val="-47"/>
          <w:sz w:val="20"/>
          <w:szCs w:val="20"/>
          <w:lang w:val="en-US"/>
        </w:rPr>
        <w:t xml:space="preserve"> </w:t>
      </w:r>
      <w:r w:rsidRPr="004D2D14">
        <w:rPr>
          <w:rFonts w:asciiTheme="majorHAnsi" w:hAnsiTheme="majorHAnsi"/>
          <w:sz w:val="20"/>
          <w:szCs w:val="20"/>
          <w:lang w:val="en-US"/>
        </w:rPr>
        <w:t>TERMINOLOGY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STANDARD</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1DB9E0E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6"/>
          <w:sz w:val="20"/>
          <w:szCs w:val="20"/>
        </w:rPr>
        <w:t>Стандарт,</w:t>
      </w:r>
      <w:r w:rsidRPr="000977F7">
        <w:rPr>
          <w:rFonts w:asciiTheme="majorHAnsi" w:hAnsiTheme="majorHAnsi"/>
          <w:spacing w:val="-11"/>
          <w:sz w:val="20"/>
          <w:szCs w:val="20"/>
        </w:rPr>
        <w:t xml:space="preserve"> </w:t>
      </w:r>
      <w:r w:rsidRPr="000977F7">
        <w:rPr>
          <w:rFonts w:asciiTheme="majorHAnsi" w:hAnsiTheme="majorHAnsi"/>
          <w:spacing w:val="-6"/>
          <w:sz w:val="20"/>
          <w:szCs w:val="20"/>
        </w:rPr>
        <w:t>що</w:t>
      </w:r>
      <w:r w:rsidRPr="000977F7">
        <w:rPr>
          <w:rFonts w:asciiTheme="majorHAnsi" w:hAnsiTheme="majorHAnsi"/>
          <w:spacing w:val="-10"/>
          <w:sz w:val="20"/>
          <w:szCs w:val="20"/>
        </w:rPr>
        <w:t xml:space="preserve"> </w:t>
      </w:r>
      <w:r w:rsidRPr="000977F7">
        <w:rPr>
          <w:rFonts w:asciiTheme="majorHAnsi" w:hAnsiTheme="majorHAnsi"/>
          <w:spacing w:val="-6"/>
          <w:sz w:val="20"/>
          <w:szCs w:val="20"/>
        </w:rPr>
        <w:t>поширюється</w:t>
      </w:r>
      <w:r w:rsidRPr="000977F7">
        <w:rPr>
          <w:rFonts w:asciiTheme="majorHAnsi" w:hAnsiTheme="majorHAnsi"/>
          <w:spacing w:val="-11"/>
          <w:sz w:val="20"/>
          <w:szCs w:val="20"/>
        </w:rPr>
        <w:t xml:space="preserve"> </w:t>
      </w:r>
      <w:r w:rsidRPr="000977F7">
        <w:rPr>
          <w:rFonts w:asciiTheme="majorHAnsi" w:hAnsiTheme="majorHAnsi"/>
          <w:spacing w:val="-6"/>
          <w:sz w:val="20"/>
          <w:szCs w:val="20"/>
        </w:rPr>
        <w:t>на</w:t>
      </w:r>
      <w:r w:rsidRPr="000977F7">
        <w:rPr>
          <w:rFonts w:asciiTheme="majorHAnsi" w:hAnsiTheme="majorHAnsi"/>
          <w:spacing w:val="-11"/>
          <w:sz w:val="20"/>
          <w:szCs w:val="20"/>
        </w:rPr>
        <w:t xml:space="preserve"> </w:t>
      </w:r>
      <w:r w:rsidRPr="000977F7">
        <w:rPr>
          <w:rFonts w:asciiTheme="majorHAnsi" w:hAnsiTheme="majorHAnsi"/>
          <w:spacing w:val="-6"/>
          <w:sz w:val="20"/>
          <w:szCs w:val="20"/>
        </w:rPr>
        <w:t>терміни</w:t>
      </w:r>
      <w:r w:rsidRPr="000977F7">
        <w:rPr>
          <w:rFonts w:asciiTheme="majorHAnsi" w:hAnsiTheme="majorHAnsi"/>
          <w:spacing w:val="-13"/>
          <w:sz w:val="20"/>
          <w:szCs w:val="20"/>
        </w:rPr>
        <w:t xml:space="preserve"> </w:t>
      </w:r>
      <w:r w:rsidRPr="000977F7">
        <w:rPr>
          <w:rFonts w:asciiTheme="majorHAnsi" w:hAnsiTheme="majorHAnsi"/>
          <w:spacing w:val="-5"/>
          <w:sz w:val="20"/>
          <w:szCs w:val="20"/>
        </w:rPr>
        <w:t>та</w:t>
      </w:r>
      <w:r w:rsidRPr="000977F7">
        <w:rPr>
          <w:rFonts w:asciiTheme="majorHAnsi" w:hAnsiTheme="majorHAnsi"/>
          <w:spacing w:val="-11"/>
          <w:sz w:val="20"/>
          <w:szCs w:val="20"/>
        </w:rPr>
        <w:t xml:space="preserve"> </w:t>
      </w:r>
      <w:r w:rsidRPr="000977F7">
        <w:rPr>
          <w:rFonts w:asciiTheme="majorHAnsi" w:hAnsiTheme="majorHAnsi"/>
          <w:spacing w:val="-5"/>
          <w:sz w:val="20"/>
          <w:szCs w:val="20"/>
        </w:rPr>
        <w:t>їхні</w:t>
      </w:r>
      <w:r w:rsidRPr="000977F7">
        <w:rPr>
          <w:rFonts w:asciiTheme="majorHAnsi" w:hAnsiTheme="majorHAnsi"/>
          <w:spacing w:val="-11"/>
          <w:sz w:val="20"/>
          <w:szCs w:val="20"/>
        </w:rPr>
        <w:t xml:space="preserve"> </w:t>
      </w:r>
      <w:r w:rsidRPr="000977F7">
        <w:rPr>
          <w:rFonts w:asciiTheme="majorHAnsi" w:hAnsiTheme="majorHAnsi"/>
          <w:spacing w:val="-5"/>
          <w:sz w:val="20"/>
          <w:szCs w:val="20"/>
        </w:rPr>
        <w:t>визначення</w:t>
      </w:r>
    </w:p>
    <w:p w14:paraId="7EF5718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ТЕРМІСТОРНИЙ</w:t>
      </w:r>
      <w:r w:rsidRPr="000977F7">
        <w:rPr>
          <w:color w:val="auto"/>
          <w:spacing w:val="-3"/>
          <w:sz w:val="20"/>
          <w:szCs w:val="20"/>
        </w:rPr>
        <w:t xml:space="preserve"> </w:t>
      </w:r>
      <w:r w:rsidRPr="000977F7">
        <w:rPr>
          <w:color w:val="auto"/>
          <w:sz w:val="20"/>
          <w:szCs w:val="20"/>
        </w:rPr>
        <w:t>МЕТОД</w:t>
      </w:r>
      <w:r w:rsidRPr="000977F7">
        <w:rPr>
          <w:color w:val="auto"/>
          <w:spacing w:val="-1"/>
          <w:sz w:val="20"/>
          <w:szCs w:val="20"/>
        </w:rPr>
        <w:t xml:space="preserve"> </w:t>
      </w:r>
      <w:r w:rsidRPr="000977F7">
        <w:rPr>
          <w:color w:val="auto"/>
          <w:sz w:val="20"/>
          <w:szCs w:val="20"/>
        </w:rPr>
        <w:t>–</w:t>
      </w:r>
    </w:p>
    <w:p w14:paraId="29122F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реєстрації потужності променевої енергії електромагнітних хвиль випромінення, які взаємодіють з контрольованим об’єктом,</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допомогою</w:t>
      </w:r>
      <w:r w:rsidRPr="000977F7">
        <w:rPr>
          <w:rFonts w:asciiTheme="majorHAnsi" w:hAnsiTheme="majorHAnsi"/>
          <w:spacing w:val="-1"/>
          <w:sz w:val="20"/>
          <w:szCs w:val="20"/>
        </w:rPr>
        <w:t xml:space="preserve"> </w:t>
      </w:r>
      <w:r w:rsidRPr="000977F7">
        <w:rPr>
          <w:rFonts w:asciiTheme="majorHAnsi" w:hAnsiTheme="majorHAnsi"/>
          <w:sz w:val="20"/>
          <w:szCs w:val="20"/>
        </w:rPr>
        <w:t>термісторів</w:t>
      </w:r>
    </w:p>
    <w:p w14:paraId="39B6FB7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BDA6D8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ТЕРМІЧНЕ</w:t>
      </w:r>
      <w:r w:rsidRPr="000977F7">
        <w:rPr>
          <w:color w:val="auto"/>
          <w:spacing w:val="-4"/>
          <w:sz w:val="20"/>
          <w:szCs w:val="20"/>
        </w:rPr>
        <w:t xml:space="preserve"> </w:t>
      </w:r>
      <w:r w:rsidRPr="000977F7">
        <w:rPr>
          <w:color w:val="auto"/>
          <w:sz w:val="20"/>
          <w:szCs w:val="20"/>
        </w:rPr>
        <w:t>ОБРОБЛЕННЯ</w:t>
      </w:r>
      <w:r w:rsidRPr="000977F7">
        <w:rPr>
          <w:color w:val="auto"/>
          <w:spacing w:val="-1"/>
          <w:sz w:val="20"/>
          <w:szCs w:val="20"/>
        </w:rPr>
        <w:t xml:space="preserve"> </w:t>
      </w:r>
      <w:r w:rsidRPr="000977F7">
        <w:rPr>
          <w:color w:val="auto"/>
          <w:sz w:val="20"/>
          <w:szCs w:val="20"/>
        </w:rPr>
        <w:t>–</w:t>
      </w:r>
    </w:p>
    <w:p w14:paraId="45A9D2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HEAT TREATMENT –</w:t>
      </w:r>
    </w:p>
    <w:p w14:paraId="1EFF4F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Оброблення,</w:t>
      </w:r>
      <w:r w:rsidRPr="000977F7">
        <w:rPr>
          <w:rFonts w:asciiTheme="majorHAnsi" w:hAnsiTheme="majorHAnsi"/>
          <w:spacing w:val="-11"/>
          <w:sz w:val="20"/>
          <w:szCs w:val="20"/>
        </w:rPr>
        <w:t xml:space="preserve"> </w:t>
      </w:r>
      <w:r w:rsidRPr="000977F7">
        <w:rPr>
          <w:rFonts w:asciiTheme="majorHAnsi" w:hAnsiTheme="majorHAnsi"/>
          <w:spacing w:val="-1"/>
          <w:sz w:val="20"/>
          <w:szCs w:val="20"/>
        </w:rPr>
        <w:t>яке</w:t>
      </w:r>
      <w:r w:rsidRPr="000977F7">
        <w:rPr>
          <w:rFonts w:asciiTheme="majorHAnsi" w:hAnsiTheme="majorHAnsi"/>
          <w:spacing w:val="-11"/>
          <w:sz w:val="20"/>
          <w:szCs w:val="20"/>
        </w:rPr>
        <w:t xml:space="preserve"> </w:t>
      </w:r>
      <w:r w:rsidRPr="000977F7">
        <w:rPr>
          <w:rFonts w:asciiTheme="majorHAnsi" w:hAnsiTheme="majorHAnsi"/>
          <w:spacing w:val="-1"/>
          <w:sz w:val="20"/>
          <w:szCs w:val="20"/>
        </w:rPr>
        <w:t>полягає</w:t>
      </w:r>
      <w:r w:rsidRPr="000977F7">
        <w:rPr>
          <w:rFonts w:asciiTheme="majorHAnsi" w:hAnsiTheme="majorHAnsi"/>
          <w:spacing w:val="-11"/>
          <w:sz w:val="20"/>
          <w:szCs w:val="20"/>
        </w:rPr>
        <w:t xml:space="preserve"> </w:t>
      </w:r>
      <w:r w:rsidRPr="000977F7">
        <w:rPr>
          <w:rFonts w:asciiTheme="majorHAnsi" w:hAnsiTheme="majorHAnsi"/>
          <w:sz w:val="20"/>
          <w:szCs w:val="20"/>
        </w:rPr>
        <w:t>в</w:t>
      </w:r>
      <w:r w:rsidRPr="000977F7">
        <w:rPr>
          <w:rFonts w:asciiTheme="majorHAnsi" w:hAnsiTheme="majorHAnsi"/>
          <w:spacing w:val="-11"/>
          <w:sz w:val="20"/>
          <w:szCs w:val="20"/>
        </w:rPr>
        <w:t xml:space="preserve"> </w:t>
      </w:r>
      <w:r w:rsidRPr="000977F7">
        <w:rPr>
          <w:rFonts w:asciiTheme="majorHAnsi" w:hAnsiTheme="majorHAnsi"/>
          <w:sz w:val="20"/>
          <w:szCs w:val="20"/>
        </w:rPr>
        <w:t>зміні</w:t>
      </w:r>
      <w:r w:rsidRPr="000977F7">
        <w:rPr>
          <w:rFonts w:asciiTheme="majorHAnsi" w:hAnsiTheme="majorHAnsi"/>
          <w:spacing w:val="-12"/>
          <w:sz w:val="20"/>
          <w:szCs w:val="20"/>
        </w:rPr>
        <w:t xml:space="preserve"> </w:t>
      </w:r>
      <w:r w:rsidRPr="000977F7">
        <w:rPr>
          <w:rFonts w:asciiTheme="majorHAnsi" w:hAnsiTheme="majorHAnsi"/>
          <w:sz w:val="20"/>
          <w:szCs w:val="20"/>
        </w:rPr>
        <w:t>структури</w:t>
      </w:r>
      <w:r w:rsidRPr="000977F7">
        <w:rPr>
          <w:rFonts w:asciiTheme="majorHAnsi" w:hAnsiTheme="majorHAnsi"/>
          <w:spacing w:val="-11"/>
          <w:sz w:val="20"/>
          <w:szCs w:val="20"/>
        </w:rPr>
        <w:t xml:space="preserve"> </w:t>
      </w:r>
      <w:r w:rsidRPr="000977F7">
        <w:rPr>
          <w:rFonts w:asciiTheme="majorHAnsi" w:hAnsiTheme="majorHAnsi"/>
          <w:sz w:val="20"/>
          <w:szCs w:val="20"/>
        </w:rPr>
        <w:t>та</w:t>
      </w:r>
      <w:r w:rsidRPr="000977F7">
        <w:rPr>
          <w:rFonts w:asciiTheme="majorHAnsi" w:hAnsiTheme="majorHAnsi"/>
          <w:spacing w:val="-11"/>
          <w:sz w:val="20"/>
          <w:szCs w:val="20"/>
        </w:rPr>
        <w:t xml:space="preserve"> </w:t>
      </w:r>
      <w:r w:rsidRPr="000977F7">
        <w:rPr>
          <w:rFonts w:asciiTheme="majorHAnsi" w:hAnsiTheme="majorHAnsi"/>
          <w:sz w:val="20"/>
          <w:szCs w:val="20"/>
        </w:rPr>
        <w:t>властиво</w:t>
      </w:r>
      <w:r w:rsidRPr="000977F7">
        <w:rPr>
          <w:rFonts w:asciiTheme="majorHAnsi" w:hAnsiTheme="majorHAnsi"/>
          <w:spacing w:val="-2"/>
          <w:sz w:val="20"/>
          <w:szCs w:val="20"/>
        </w:rPr>
        <w:t xml:space="preserve">стей матеріалу заготовки </w:t>
      </w:r>
      <w:r w:rsidRPr="000977F7">
        <w:rPr>
          <w:rFonts w:asciiTheme="majorHAnsi" w:hAnsiTheme="majorHAnsi"/>
          <w:spacing w:val="-1"/>
          <w:sz w:val="20"/>
          <w:szCs w:val="20"/>
        </w:rPr>
        <w:t>внаслідок теплового впливу</w:t>
      </w:r>
    </w:p>
    <w:p w14:paraId="439E9640"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2391</w:t>
      </w:r>
      <w:r w:rsidRPr="000977F7">
        <w:rPr>
          <w:rFonts w:asciiTheme="majorHAnsi" w:hAnsiTheme="majorHAnsi"/>
          <w:i/>
          <w:spacing w:val="2"/>
          <w:sz w:val="20"/>
          <w:szCs w:val="20"/>
        </w:rPr>
        <w:t xml:space="preserve"> </w:t>
      </w:r>
      <w:r w:rsidRPr="000977F7">
        <w:rPr>
          <w:rFonts w:asciiTheme="majorHAnsi" w:hAnsiTheme="majorHAnsi"/>
          <w:i/>
          <w:sz w:val="20"/>
          <w:szCs w:val="20"/>
        </w:rPr>
        <w:t>– 2010</w:t>
      </w:r>
    </w:p>
    <w:p w14:paraId="35F6E90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ТЕРМІЧНІ</w:t>
      </w:r>
      <w:r w:rsidRPr="000977F7">
        <w:rPr>
          <w:color w:val="auto"/>
          <w:spacing w:val="-6"/>
          <w:sz w:val="20"/>
          <w:szCs w:val="20"/>
        </w:rPr>
        <w:t xml:space="preserve"> </w:t>
      </w:r>
      <w:r w:rsidRPr="000977F7">
        <w:rPr>
          <w:color w:val="auto"/>
          <w:sz w:val="20"/>
          <w:szCs w:val="20"/>
        </w:rPr>
        <w:t>ВИПРОБУВАННЯ -</w:t>
      </w:r>
    </w:p>
    <w:p w14:paraId="5C56418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THERMAL</w:t>
      </w:r>
      <w:r w:rsidRPr="000977F7">
        <w:rPr>
          <w:rFonts w:asciiTheme="majorHAnsi" w:hAnsiTheme="majorHAnsi"/>
          <w:spacing w:val="-1"/>
          <w:sz w:val="20"/>
          <w:szCs w:val="20"/>
        </w:rPr>
        <w:t xml:space="preserve"> </w:t>
      </w:r>
      <w:r w:rsidRPr="000977F7">
        <w:rPr>
          <w:rFonts w:asciiTheme="majorHAnsi" w:hAnsiTheme="majorHAnsi"/>
          <w:sz w:val="20"/>
          <w:szCs w:val="20"/>
        </w:rPr>
        <w:t>TEST -</w:t>
      </w:r>
    </w:p>
    <w:p w14:paraId="741BBFC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43"/>
          <w:sz w:val="20"/>
          <w:szCs w:val="20"/>
        </w:rPr>
        <w:t xml:space="preserve"> </w:t>
      </w:r>
      <w:r w:rsidRPr="000977F7">
        <w:rPr>
          <w:rFonts w:asciiTheme="majorHAnsi" w:hAnsiTheme="majorHAnsi"/>
          <w:sz w:val="20"/>
          <w:szCs w:val="20"/>
        </w:rPr>
        <w:t>на дію</w:t>
      </w:r>
      <w:r w:rsidRPr="000977F7">
        <w:rPr>
          <w:rFonts w:asciiTheme="majorHAnsi" w:hAnsiTheme="majorHAnsi"/>
          <w:spacing w:val="-4"/>
          <w:sz w:val="20"/>
          <w:szCs w:val="20"/>
        </w:rPr>
        <w:t xml:space="preserve"> </w:t>
      </w:r>
      <w:r w:rsidRPr="000977F7">
        <w:rPr>
          <w:rFonts w:asciiTheme="majorHAnsi" w:hAnsiTheme="majorHAnsi"/>
          <w:sz w:val="20"/>
          <w:szCs w:val="20"/>
        </w:rPr>
        <w:t>термічних</w:t>
      </w:r>
      <w:r w:rsidRPr="000977F7">
        <w:rPr>
          <w:rFonts w:asciiTheme="majorHAnsi" w:hAnsiTheme="majorHAnsi"/>
          <w:spacing w:val="-4"/>
          <w:sz w:val="20"/>
          <w:szCs w:val="20"/>
        </w:rPr>
        <w:t xml:space="preserve"> </w:t>
      </w:r>
      <w:r w:rsidRPr="000977F7">
        <w:rPr>
          <w:rFonts w:asciiTheme="majorHAnsi" w:hAnsiTheme="majorHAnsi"/>
          <w:sz w:val="20"/>
          <w:szCs w:val="20"/>
        </w:rPr>
        <w:t>чинників</w:t>
      </w:r>
    </w:p>
    <w:p w14:paraId="67997EA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69B9CA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ТЕРМОБАРОКАМЕРА</w:t>
      </w:r>
      <w:r w:rsidRPr="000977F7">
        <w:rPr>
          <w:color w:val="auto"/>
          <w:spacing w:val="-6"/>
          <w:sz w:val="20"/>
          <w:szCs w:val="20"/>
        </w:rPr>
        <w:t xml:space="preserve"> </w:t>
      </w:r>
      <w:r w:rsidRPr="000977F7">
        <w:rPr>
          <w:color w:val="auto"/>
          <w:sz w:val="20"/>
          <w:szCs w:val="20"/>
        </w:rPr>
        <w:t>ЗНИЖЕНОГО</w:t>
      </w:r>
      <w:r w:rsidRPr="000977F7">
        <w:rPr>
          <w:color w:val="auto"/>
          <w:spacing w:val="-5"/>
          <w:sz w:val="20"/>
          <w:szCs w:val="20"/>
        </w:rPr>
        <w:t xml:space="preserve"> </w:t>
      </w:r>
      <w:r w:rsidRPr="000977F7">
        <w:rPr>
          <w:color w:val="auto"/>
          <w:sz w:val="20"/>
          <w:szCs w:val="20"/>
        </w:rPr>
        <w:t>ТИСКУ</w:t>
      </w:r>
      <w:r w:rsidRPr="000977F7">
        <w:rPr>
          <w:color w:val="auto"/>
          <w:spacing w:val="-3"/>
          <w:sz w:val="20"/>
          <w:szCs w:val="20"/>
        </w:rPr>
        <w:t xml:space="preserve"> </w:t>
      </w:r>
      <w:r w:rsidRPr="000977F7">
        <w:rPr>
          <w:color w:val="auto"/>
          <w:sz w:val="20"/>
          <w:szCs w:val="20"/>
        </w:rPr>
        <w:t>–</w:t>
      </w:r>
    </w:p>
    <w:p w14:paraId="1AD5E5C0"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Камера,</w:t>
      </w:r>
      <w:r w:rsidRPr="000977F7">
        <w:rPr>
          <w:rFonts w:asciiTheme="majorHAnsi" w:hAnsiTheme="majorHAnsi"/>
          <w:spacing w:val="25"/>
          <w:sz w:val="20"/>
          <w:szCs w:val="20"/>
        </w:rPr>
        <w:t xml:space="preserve"> </w:t>
      </w:r>
      <w:r w:rsidRPr="000977F7">
        <w:rPr>
          <w:rFonts w:asciiTheme="majorHAnsi" w:hAnsiTheme="majorHAnsi"/>
          <w:sz w:val="20"/>
          <w:szCs w:val="20"/>
        </w:rPr>
        <w:t>в</w:t>
      </w:r>
      <w:r w:rsidRPr="000977F7">
        <w:rPr>
          <w:rFonts w:asciiTheme="majorHAnsi" w:hAnsiTheme="majorHAnsi"/>
          <w:spacing w:val="25"/>
          <w:sz w:val="20"/>
          <w:szCs w:val="20"/>
        </w:rPr>
        <w:t xml:space="preserve"> </w:t>
      </w:r>
      <w:r w:rsidRPr="000977F7">
        <w:rPr>
          <w:rFonts w:asciiTheme="majorHAnsi" w:hAnsiTheme="majorHAnsi"/>
          <w:sz w:val="20"/>
          <w:szCs w:val="20"/>
        </w:rPr>
        <w:t>якій</w:t>
      </w:r>
      <w:r w:rsidRPr="000977F7">
        <w:rPr>
          <w:rFonts w:asciiTheme="majorHAnsi" w:hAnsiTheme="majorHAnsi"/>
          <w:spacing w:val="25"/>
          <w:sz w:val="20"/>
          <w:szCs w:val="20"/>
        </w:rPr>
        <w:t xml:space="preserve"> </w:t>
      </w:r>
      <w:r w:rsidRPr="000977F7">
        <w:rPr>
          <w:rFonts w:asciiTheme="majorHAnsi" w:hAnsiTheme="majorHAnsi"/>
          <w:sz w:val="20"/>
          <w:szCs w:val="20"/>
        </w:rPr>
        <w:t>забезпечується</w:t>
      </w:r>
      <w:r w:rsidRPr="000977F7">
        <w:rPr>
          <w:rFonts w:asciiTheme="majorHAnsi" w:hAnsiTheme="majorHAnsi"/>
          <w:spacing w:val="25"/>
          <w:sz w:val="20"/>
          <w:szCs w:val="20"/>
        </w:rPr>
        <w:t xml:space="preserve"> </w:t>
      </w:r>
      <w:r w:rsidRPr="000977F7">
        <w:rPr>
          <w:rFonts w:asciiTheme="majorHAnsi" w:hAnsiTheme="majorHAnsi"/>
          <w:sz w:val="20"/>
          <w:szCs w:val="20"/>
        </w:rPr>
        <w:t>та</w:t>
      </w:r>
      <w:r w:rsidRPr="000977F7">
        <w:rPr>
          <w:rFonts w:asciiTheme="majorHAnsi" w:hAnsiTheme="majorHAnsi"/>
          <w:spacing w:val="27"/>
          <w:sz w:val="20"/>
          <w:szCs w:val="20"/>
        </w:rPr>
        <w:t xml:space="preserve"> </w:t>
      </w:r>
      <w:r w:rsidRPr="000977F7">
        <w:rPr>
          <w:rFonts w:asciiTheme="majorHAnsi" w:hAnsiTheme="majorHAnsi"/>
          <w:sz w:val="20"/>
          <w:szCs w:val="20"/>
        </w:rPr>
        <w:t>підтримується</w:t>
      </w:r>
      <w:r w:rsidRPr="000977F7">
        <w:rPr>
          <w:rFonts w:asciiTheme="majorHAnsi" w:hAnsiTheme="majorHAnsi"/>
          <w:spacing w:val="27"/>
          <w:sz w:val="20"/>
          <w:szCs w:val="20"/>
        </w:rPr>
        <w:t xml:space="preserve"> </w:t>
      </w:r>
      <w:r w:rsidRPr="000977F7">
        <w:rPr>
          <w:rFonts w:asciiTheme="majorHAnsi" w:hAnsiTheme="majorHAnsi"/>
          <w:sz w:val="20"/>
          <w:szCs w:val="20"/>
        </w:rPr>
        <w:t>в</w:t>
      </w:r>
      <w:r w:rsidRPr="000977F7">
        <w:rPr>
          <w:rFonts w:asciiTheme="majorHAnsi" w:hAnsiTheme="majorHAnsi"/>
          <w:spacing w:val="24"/>
          <w:sz w:val="20"/>
          <w:szCs w:val="20"/>
        </w:rPr>
        <w:t xml:space="preserve"> </w:t>
      </w:r>
      <w:r w:rsidRPr="000977F7">
        <w:rPr>
          <w:rFonts w:asciiTheme="majorHAnsi" w:hAnsiTheme="majorHAnsi"/>
          <w:sz w:val="20"/>
          <w:szCs w:val="20"/>
        </w:rPr>
        <w:t>заданих</w:t>
      </w:r>
      <w:r w:rsidRPr="000977F7">
        <w:rPr>
          <w:rFonts w:asciiTheme="majorHAnsi" w:hAnsiTheme="majorHAnsi"/>
          <w:spacing w:val="1"/>
          <w:sz w:val="20"/>
          <w:szCs w:val="20"/>
        </w:rPr>
        <w:t xml:space="preserve"> </w:t>
      </w:r>
      <w:r w:rsidRPr="000977F7">
        <w:rPr>
          <w:rFonts w:asciiTheme="majorHAnsi" w:hAnsiTheme="majorHAnsi"/>
          <w:sz w:val="20"/>
          <w:szCs w:val="20"/>
        </w:rPr>
        <w:t>межах</w:t>
      </w:r>
      <w:r w:rsidRPr="000977F7">
        <w:rPr>
          <w:rFonts w:asciiTheme="majorHAnsi" w:hAnsiTheme="majorHAnsi"/>
          <w:spacing w:val="1"/>
          <w:sz w:val="20"/>
          <w:szCs w:val="20"/>
        </w:rPr>
        <w:t xml:space="preserve"> </w:t>
      </w:r>
      <w:r w:rsidRPr="000977F7">
        <w:rPr>
          <w:rFonts w:asciiTheme="majorHAnsi" w:hAnsiTheme="majorHAnsi"/>
          <w:sz w:val="20"/>
          <w:szCs w:val="20"/>
        </w:rPr>
        <w:t>підвищена</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знижена</w:t>
      </w:r>
      <w:r w:rsidRPr="000977F7">
        <w:rPr>
          <w:rFonts w:asciiTheme="majorHAnsi" w:hAnsiTheme="majorHAnsi"/>
          <w:spacing w:val="1"/>
          <w:sz w:val="20"/>
          <w:szCs w:val="20"/>
        </w:rPr>
        <w:t xml:space="preserve"> </w:t>
      </w:r>
      <w:r w:rsidRPr="000977F7">
        <w:rPr>
          <w:rFonts w:asciiTheme="majorHAnsi" w:hAnsiTheme="majorHAnsi"/>
          <w:sz w:val="20"/>
          <w:szCs w:val="20"/>
        </w:rPr>
        <w:t>температура</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знижений тиск для впливу на випробуваний зразок</w:t>
      </w:r>
      <w:r w:rsidRPr="000977F7">
        <w:rPr>
          <w:rFonts w:asciiTheme="majorHAnsi" w:hAnsiTheme="majorHAns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3011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ADBAEE0" w14:textId="77777777" w:rsidR="0097612F" w:rsidRPr="000977F7" w:rsidRDefault="0097612F" w:rsidP="000977F7">
      <w:pPr>
        <w:pStyle w:val="7"/>
        <w:tabs>
          <w:tab w:val="left" w:pos="284"/>
        </w:tabs>
        <w:spacing w:before="0" w:line="240" w:lineRule="auto"/>
        <w:ind w:left="170"/>
        <w:mirrorIndents/>
        <w:jc w:val="both"/>
        <w:rPr>
          <w:color w:val="auto"/>
          <w:spacing w:val="-7"/>
          <w:sz w:val="20"/>
          <w:szCs w:val="20"/>
        </w:rPr>
      </w:pPr>
      <w:r w:rsidRPr="000977F7">
        <w:rPr>
          <w:color w:val="auto"/>
          <w:spacing w:val="-2"/>
          <w:sz w:val="20"/>
          <w:szCs w:val="20"/>
        </w:rPr>
        <w:t>ТЕРМОБАРОКАМЕРА</w:t>
      </w:r>
      <w:r w:rsidRPr="000977F7">
        <w:rPr>
          <w:color w:val="auto"/>
          <w:spacing w:val="-10"/>
          <w:sz w:val="20"/>
          <w:szCs w:val="20"/>
        </w:rPr>
        <w:t xml:space="preserve"> </w:t>
      </w:r>
      <w:r w:rsidRPr="000977F7">
        <w:rPr>
          <w:color w:val="auto"/>
          <w:spacing w:val="-2"/>
          <w:sz w:val="20"/>
          <w:szCs w:val="20"/>
        </w:rPr>
        <w:t>ПІДВИЩЕНОГО</w:t>
      </w:r>
      <w:r w:rsidRPr="000977F7">
        <w:rPr>
          <w:color w:val="auto"/>
          <w:spacing w:val="-7"/>
          <w:sz w:val="20"/>
          <w:szCs w:val="20"/>
        </w:rPr>
        <w:t xml:space="preserve"> </w:t>
      </w:r>
    </w:p>
    <w:p w14:paraId="78D07CB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1"/>
          <w:sz w:val="20"/>
          <w:szCs w:val="20"/>
        </w:rPr>
        <w:t>ТИСКУ</w:t>
      </w:r>
      <w:r w:rsidRPr="000977F7">
        <w:rPr>
          <w:color w:val="auto"/>
          <w:spacing w:val="-9"/>
          <w:sz w:val="20"/>
          <w:szCs w:val="20"/>
        </w:rPr>
        <w:t xml:space="preserve"> </w:t>
      </w:r>
      <w:r w:rsidRPr="000977F7">
        <w:rPr>
          <w:color w:val="auto"/>
          <w:spacing w:val="-1"/>
          <w:sz w:val="20"/>
          <w:szCs w:val="20"/>
        </w:rPr>
        <w:t>–</w:t>
      </w:r>
    </w:p>
    <w:p w14:paraId="714DABA2"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Камера, в якій забезпечується та підтримується в заданих межах</w:t>
      </w:r>
      <w:r w:rsidRPr="000977F7">
        <w:rPr>
          <w:rFonts w:asciiTheme="majorHAnsi" w:hAnsiTheme="majorHAnsi"/>
          <w:spacing w:val="1"/>
          <w:sz w:val="20"/>
          <w:szCs w:val="20"/>
        </w:rPr>
        <w:t xml:space="preserve"> </w:t>
      </w:r>
      <w:r w:rsidRPr="000977F7">
        <w:rPr>
          <w:rFonts w:asciiTheme="majorHAnsi" w:hAnsiTheme="majorHAnsi"/>
          <w:sz w:val="20"/>
          <w:szCs w:val="20"/>
        </w:rPr>
        <w:t>підвищена</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знижена</w:t>
      </w:r>
      <w:r w:rsidRPr="000977F7">
        <w:rPr>
          <w:rFonts w:asciiTheme="majorHAnsi" w:hAnsiTheme="majorHAnsi"/>
          <w:spacing w:val="1"/>
          <w:sz w:val="20"/>
          <w:szCs w:val="20"/>
        </w:rPr>
        <w:t xml:space="preserve"> </w:t>
      </w:r>
      <w:r w:rsidRPr="000977F7">
        <w:rPr>
          <w:rFonts w:asciiTheme="majorHAnsi" w:hAnsiTheme="majorHAnsi"/>
          <w:sz w:val="20"/>
          <w:szCs w:val="20"/>
        </w:rPr>
        <w:t>температура</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підвищений</w:t>
      </w:r>
      <w:r w:rsidRPr="000977F7">
        <w:rPr>
          <w:rFonts w:asciiTheme="majorHAnsi" w:hAnsiTheme="majorHAnsi"/>
          <w:spacing w:val="-4"/>
          <w:sz w:val="20"/>
          <w:szCs w:val="20"/>
        </w:rPr>
        <w:t xml:space="preserve"> </w:t>
      </w:r>
      <w:r w:rsidRPr="000977F7">
        <w:rPr>
          <w:rFonts w:asciiTheme="majorHAnsi" w:hAnsiTheme="majorHAnsi"/>
          <w:sz w:val="20"/>
          <w:szCs w:val="20"/>
        </w:rPr>
        <w:t>тиск</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4"/>
          <w:sz w:val="20"/>
          <w:szCs w:val="20"/>
        </w:rPr>
        <w:t xml:space="preserve"> </w:t>
      </w:r>
      <w:r w:rsidRPr="000977F7">
        <w:rPr>
          <w:rFonts w:asciiTheme="majorHAnsi" w:hAnsiTheme="majorHAnsi"/>
          <w:sz w:val="20"/>
          <w:szCs w:val="20"/>
        </w:rPr>
        <w:t>впливу</w:t>
      </w:r>
      <w:r w:rsidRPr="000977F7">
        <w:rPr>
          <w:rFonts w:asciiTheme="majorHAnsi" w:hAnsiTheme="majorHAnsi"/>
          <w:spacing w:val="-3"/>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випробуваний</w:t>
      </w:r>
      <w:r w:rsidRPr="000977F7">
        <w:rPr>
          <w:rFonts w:asciiTheme="majorHAnsi" w:hAnsiTheme="majorHAnsi"/>
          <w:spacing w:val="-4"/>
          <w:sz w:val="20"/>
          <w:szCs w:val="20"/>
        </w:rPr>
        <w:t xml:space="preserve"> </w:t>
      </w:r>
      <w:r w:rsidRPr="000977F7">
        <w:rPr>
          <w:rFonts w:asciiTheme="majorHAnsi" w:hAnsiTheme="majorHAnsi"/>
          <w:sz w:val="20"/>
          <w:szCs w:val="20"/>
        </w:rPr>
        <w:t xml:space="preserve">зразок </w:t>
      </w: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3011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95</w:t>
      </w:r>
    </w:p>
    <w:p w14:paraId="4BBE4B6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ТЕРМОВІБРОКАМЕРА</w:t>
      </w:r>
      <w:r w:rsidRPr="000977F7">
        <w:rPr>
          <w:color w:val="auto"/>
          <w:spacing w:val="-3"/>
          <w:sz w:val="20"/>
          <w:szCs w:val="20"/>
        </w:rPr>
        <w:t xml:space="preserve"> </w:t>
      </w:r>
      <w:r w:rsidRPr="000977F7">
        <w:rPr>
          <w:color w:val="auto"/>
          <w:sz w:val="20"/>
          <w:szCs w:val="20"/>
        </w:rPr>
        <w:t>–</w:t>
      </w:r>
    </w:p>
    <w:p w14:paraId="5E5EA6DF" w14:textId="77777777" w:rsidR="0097612F" w:rsidRPr="000977F7" w:rsidRDefault="0097612F" w:rsidP="000977F7">
      <w:pPr>
        <w:tabs>
          <w:tab w:val="left" w:pos="284"/>
        </w:tabs>
        <w:spacing w:after="0" w:line="240" w:lineRule="auto"/>
        <w:ind w:left="170"/>
        <w:mirrorIndents/>
        <w:jc w:val="both"/>
        <w:rPr>
          <w:rFonts w:asciiTheme="majorHAnsi" w:hAnsiTheme="majorHAnsi"/>
          <w:spacing w:val="-2"/>
          <w:sz w:val="20"/>
          <w:szCs w:val="20"/>
        </w:rPr>
      </w:pPr>
      <w:r w:rsidRPr="000977F7">
        <w:rPr>
          <w:rFonts w:asciiTheme="majorHAnsi" w:hAnsiTheme="majorHAnsi"/>
          <w:spacing w:val="-1"/>
          <w:sz w:val="20"/>
          <w:szCs w:val="20"/>
        </w:rPr>
        <w:t>Камера,</w:t>
      </w:r>
      <w:r w:rsidRPr="000977F7">
        <w:rPr>
          <w:rFonts w:asciiTheme="majorHAnsi" w:hAnsiTheme="majorHAnsi"/>
          <w:spacing w:val="-10"/>
          <w:sz w:val="20"/>
          <w:szCs w:val="20"/>
        </w:rPr>
        <w:t xml:space="preserve"> </w:t>
      </w:r>
      <w:r w:rsidRPr="000977F7">
        <w:rPr>
          <w:rFonts w:asciiTheme="majorHAnsi" w:hAnsiTheme="majorHAnsi"/>
          <w:sz w:val="20"/>
          <w:szCs w:val="20"/>
        </w:rPr>
        <w:t>в</w:t>
      </w:r>
      <w:r w:rsidRPr="000977F7">
        <w:rPr>
          <w:rFonts w:asciiTheme="majorHAnsi" w:hAnsiTheme="majorHAnsi"/>
          <w:spacing w:val="-13"/>
          <w:sz w:val="20"/>
          <w:szCs w:val="20"/>
        </w:rPr>
        <w:t xml:space="preserve"> </w:t>
      </w:r>
      <w:r w:rsidRPr="000977F7">
        <w:rPr>
          <w:rFonts w:asciiTheme="majorHAnsi" w:hAnsiTheme="majorHAnsi"/>
          <w:sz w:val="20"/>
          <w:szCs w:val="20"/>
        </w:rPr>
        <w:t>якій</w:t>
      </w:r>
      <w:r w:rsidRPr="000977F7">
        <w:rPr>
          <w:rFonts w:asciiTheme="majorHAnsi" w:hAnsiTheme="majorHAnsi"/>
          <w:spacing w:val="-12"/>
          <w:sz w:val="20"/>
          <w:szCs w:val="20"/>
        </w:rPr>
        <w:t xml:space="preserve"> </w:t>
      </w:r>
      <w:r w:rsidRPr="000977F7">
        <w:rPr>
          <w:rFonts w:asciiTheme="majorHAnsi" w:hAnsiTheme="majorHAnsi"/>
          <w:sz w:val="20"/>
          <w:szCs w:val="20"/>
        </w:rPr>
        <w:t>забезпечуються</w:t>
      </w:r>
      <w:r w:rsidRPr="000977F7">
        <w:rPr>
          <w:rFonts w:asciiTheme="majorHAnsi" w:hAnsiTheme="majorHAnsi"/>
          <w:spacing w:val="-13"/>
          <w:sz w:val="20"/>
          <w:szCs w:val="20"/>
        </w:rPr>
        <w:t xml:space="preserve"> </w:t>
      </w:r>
      <w:r w:rsidRPr="000977F7">
        <w:rPr>
          <w:rFonts w:asciiTheme="majorHAnsi" w:hAnsiTheme="majorHAnsi"/>
          <w:sz w:val="20"/>
          <w:szCs w:val="20"/>
        </w:rPr>
        <w:t>в</w:t>
      </w:r>
      <w:r w:rsidRPr="000977F7">
        <w:rPr>
          <w:rFonts w:asciiTheme="majorHAnsi" w:hAnsiTheme="majorHAnsi"/>
          <w:spacing w:val="-10"/>
          <w:sz w:val="20"/>
          <w:szCs w:val="20"/>
        </w:rPr>
        <w:t xml:space="preserve"> </w:t>
      </w:r>
      <w:r w:rsidRPr="000977F7">
        <w:rPr>
          <w:rFonts w:asciiTheme="majorHAnsi" w:hAnsiTheme="majorHAnsi"/>
          <w:sz w:val="20"/>
          <w:szCs w:val="20"/>
        </w:rPr>
        <w:t>заданих</w:t>
      </w:r>
      <w:r w:rsidRPr="000977F7">
        <w:rPr>
          <w:rFonts w:asciiTheme="majorHAnsi" w:hAnsiTheme="majorHAnsi"/>
          <w:spacing w:val="-13"/>
          <w:sz w:val="20"/>
          <w:szCs w:val="20"/>
        </w:rPr>
        <w:t xml:space="preserve"> </w:t>
      </w:r>
      <w:r w:rsidRPr="000977F7">
        <w:rPr>
          <w:rFonts w:asciiTheme="majorHAnsi" w:hAnsiTheme="majorHAnsi"/>
          <w:sz w:val="20"/>
          <w:szCs w:val="20"/>
        </w:rPr>
        <w:t>межах</w:t>
      </w:r>
      <w:r w:rsidRPr="000977F7">
        <w:rPr>
          <w:rFonts w:asciiTheme="majorHAnsi" w:hAnsiTheme="majorHAnsi"/>
          <w:spacing w:val="-11"/>
          <w:sz w:val="20"/>
          <w:szCs w:val="20"/>
        </w:rPr>
        <w:t xml:space="preserve"> </w:t>
      </w:r>
      <w:r w:rsidRPr="000977F7">
        <w:rPr>
          <w:rFonts w:asciiTheme="majorHAnsi" w:hAnsiTheme="majorHAnsi"/>
          <w:sz w:val="20"/>
          <w:szCs w:val="20"/>
        </w:rPr>
        <w:t>та</w:t>
      </w:r>
      <w:r w:rsidRPr="000977F7">
        <w:rPr>
          <w:rFonts w:asciiTheme="majorHAnsi" w:hAnsiTheme="majorHAnsi"/>
          <w:spacing w:val="-9"/>
          <w:sz w:val="20"/>
          <w:szCs w:val="20"/>
        </w:rPr>
        <w:t xml:space="preserve"> </w:t>
      </w:r>
      <w:r w:rsidRPr="000977F7">
        <w:rPr>
          <w:rFonts w:asciiTheme="majorHAnsi" w:hAnsiTheme="majorHAnsi"/>
          <w:sz w:val="20"/>
          <w:szCs w:val="20"/>
        </w:rPr>
        <w:t>підт</w:t>
      </w:r>
      <w:r w:rsidRPr="000977F7">
        <w:rPr>
          <w:rFonts w:asciiTheme="majorHAnsi" w:hAnsiTheme="majorHAnsi"/>
          <w:spacing w:val="-2"/>
          <w:sz w:val="20"/>
          <w:szCs w:val="20"/>
        </w:rPr>
        <w:t>римуються</w:t>
      </w:r>
      <w:r w:rsidRPr="000977F7">
        <w:rPr>
          <w:rFonts w:asciiTheme="majorHAnsi" w:hAnsiTheme="majorHAnsi"/>
          <w:spacing w:val="-6"/>
          <w:sz w:val="20"/>
          <w:szCs w:val="20"/>
        </w:rPr>
        <w:t xml:space="preserve"> </w:t>
      </w:r>
      <w:r w:rsidRPr="000977F7">
        <w:rPr>
          <w:rFonts w:asciiTheme="majorHAnsi" w:hAnsiTheme="majorHAnsi"/>
          <w:spacing w:val="-1"/>
          <w:sz w:val="20"/>
          <w:szCs w:val="20"/>
        </w:rPr>
        <w:t>одночасно</w:t>
      </w:r>
      <w:r w:rsidRPr="000977F7">
        <w:rPr>
          <w:rFonts w:asciiTheme="majorHAnsi" w:hAnsiTheme="majorHAnsi"/>
          <w:spacing w:val="-3"/>
          <w:sz w:val="20"/>
          <w:szCs w:val="20"/>
        </w:rPr>
        <w:t xml:space="preserve"> </w:t>
      </w:r>
      <w:r w:rsidRPr="000977F7">
        <w:rPr>
          <w:rFonts w:asciiTheme="majorHAnsi" w:hAnsiTheme="majorHAnsi"/>
          <w:spacing w:val="-1"/>
          <w:sz w:val="20"/>
          <w:szCs w:val="20"/>
        </w:rPr>
        <w:t>підвищена</w:t>
      </w:r>
      <w:r w:rsidRPr="000977F7">
        <w:rPr>
          <w:rFonts w:asciiTheme="majorHAnsi" w:hAnsiTheme="majorHAnsi"/>
          <w:spacing w:val="-5"/>
          <w:sz w:val="20"/>
          <w:szCs w:val="20"/>
        </w:rPr>
        <w:t xml:space="preserve"> </w:t>
      </w:r>
      <w:r w:rsidRPr="000977F7">
        <w:rPr>
          <w:rFonts w:asciiTheme="majorHAnsi" w:hAnsiTheme="majorHAnsi"/>
          <w:spacing w:val="-1"/>
          <w:sz w:val="20"/>
          <w:szCs w:val="20"/>
        </w:rPr>
        <w:t>або</w:t>
      </w:r>
      <w:r w:rsidRPr="000977F7">
        <w:rPr>
          <w:rFonts w:asciiTheme="majorHAnsi" w:hAnsiTheme="majorHAnsi"/>
          <w:spacing w:val="-5"/>
          <w:sz w:val="20"/>
          <w:szCs w:val="20"/>
        </w:rPr>
        <w:t xml:space="preserve"> </w:t>
      </w:r>
      <w:r w:rsidRPr="000977F7">
        <w:rPr>
          <w:rFonts w:asciiTheme="majorHAnsi" w:hAnsiTheme="majorHAnsi"/>
          <w:spacing w:val="-1"/>
          <w:sz w:val="20"/>
          <w:szCs w:val="20"/>
        </w:rPr>
        <w:t>знижена</w:t>
      </w:r>
      <w:r w:rsidRPr="000977F7">
        <w:rPr>
          <w:rFonts w:asciiTheme="majorHAnsi" w:hAnsiTheme="majorHAnsi"/>
          <w:spacing w:val="-5"/>
          <w:sz w:val="20"/>
          <w:szCs w:val="20"/>
        </w:rPr>
        <w:t xml:space="preserve"> </w:t>
      </w:r>
      <w:r w:rsidRPr="000977F7">
        <w:rPr>
          <w:rFonts w:asciiTheme="majorHAnsi" w:hAnsiTheme="majorHAnsi"/>
          <w:spacing w:val="-1"/>
          <w:sz w:val="20"/>
          <w:szCs w:val="20"/>
        </w:rPr>
        <w:t>темпера</w:t>
      </w:r>
      <w:r w:rsidRPr="000977F7">
        <w:rPr>
          <w:rFonts w:asciiTheme="majorHAnsi" w:hAnsiTheme="majorHAnsi"/>
          <w:spacing w:val="-4"/>
          <w:sz w:val="20"/>
          <w:szCs w:val="20"/>
        </w:rPr>
        <w:t xml:space="preserve">тура та вібрація для впливу на випробуваний </w:t>
      </w:r>
      <w:r w:rsidRPr="000977F7">
        <w:rPr>
          <w:rFonts w:asciiTheme="majorHAnsi" w:hAnsiTheme="majorHAnsi"/>
          <w:spacing w:val="-3"/>
          <w:sz w:val="20"/>
          <w:szCs w:val="20"/>
        </w:rPr>
        <w:t>зразок</w:t>
      </w:r>
      <w:r w:rsidRPr="000977F7">
        <w:rPr>
          <w:rFonts w:asciiTheme="majorHAnsi" w:hAnsiTheme="majorHAnsi"/>
          <w:spacing w:val="-2"/>
          <w:sz w:val="20"/>
          <w:szCs w:val="20"/>
        </w:rPr>
        <w:t xml:space="preserve"> </w:t>
      </w:r>
    </w:p>
    <w:p w14:paraId="7034A2A8"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3011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r w:rsidRPr="000977F7">
        <w:rPr>
          <w:rFonts w:asciiTheme="majorHAnsi" w:hAnsiTheme="majorHAnsi"/>
          <w:i/>
          <w:spacing w:val="1"/>
          <w:sz w:val="20"/>
          <w:szCs w:val="20"/>
        </w:rPr>
        <w:t xml:space="preserve"> </w:t>
      </w:r>
      <w:r w:rsidRPr="000977F7">
        <w:rPr>
          <w:rFonts w:asciiTheme="majorHAnsi" w:hAnsiTheme="majorHAnsi"/>
          <w:b/>
          <w:sz w:val="20"/>
          <w:szCs w:val="20"/>
        </w:rPr>
        <w:t>ТЕРМОВОЛОГОБАРОВІБРОКАМЕРА</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2E510B9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Камера,</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якій</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забезпечуються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заданих</w:t>
      </w:r>
      <w:r w:rsidRPr="000977F7">
        <w:rPr>
          <w:rFonts w:asciiTheme="majorHAnsi" w:hAnsiTheme="majorHAnsi"/>
          <w:spacing w:val="1"/>
          <w:sz w:val="20"/>
          <w:szCs w:val="20"/>
        </w:rPr>
        <w:t xml:space="preserve"> </w:t>
      </w:r>
      <w:r w:rsidRPr="000977F7">
        <w:rPr>
          <w:rFonts w:asciiTheme="majorHAnsi" w:hAnsiTheme="majorHAnsi"/>
          <w:sz w:val="20"/>
          <w:szCs w:val="20"/>
        </w:rPr>
        <w:t>межах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підтримуються</w:t>
      </w:r>
      <w:r w:rsidRPr="000977F7">
        <w:rPr>
          <w:rFonts w:asciiTheme="majorHAnsi" w:hAnsiTheme="majorHAnsi"/>
          <w:spacing w:val="1"/>
          <w:sz w:val="20"/>
          <w:szCs w:val="20"/>
        </w:rPr>
        <w:t xml:space="preserve"> </w:t>
      </w:r>
      <w:r w:rsidRPr="000977F7">
        <w:rPr>
          <w:rFonts w:asciiTheme="majorHAnsi" w:hAnsiTheme="majorHAnsi"/>
          <w:sz w:val="20"/>
          <w:szCs w:val="20"/>
        </w:rPr>
        <w:t>одночасно</w:t>
      </w:r>
      <w:r w:rsidRPr="000977F7">
        <w:rPr>
          <w:rFonts w:asciiTheme="majorHAnsi" w:hAnsiTheme="majorHAnsi"/>
          <w:spacing w:val="1"/>
          <w:sz w:val="20"/>
          <w:szCs w:val="20"/>
        </w:rPr>
        <w:t xml:space="preserve"> </w:t>
      </w:r>
      <w:r w:rsidRPr="000977F7">
        <w:rPr>
          <w:rFonts w:asciiTheme="majorHAnsi" w:hAnsiTheme="majorHAnsi"/>
          <w:sz w:val="20"/>
          <w:szCs w:val="20"/>
        </w:rPr>
        <w:t>підвищена</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знижена</w:t>
      </w:r>
      <w:r w:rsidRPr="000977F7">
        <w:rPr>
          <w:rFonts w:asciiTheme="majorHAnsi" w:hAnsiTheme="majorHAnsi"/>
          <w:spacing w:val="1"/>
          <w:sz w:val="20"/>
          <w:szCs w:val="20"/>
        </w:rPr>
        <w:t xml:space="preserve"> </w:t>
      </w:r>
      <w:r w:rsidRPr="000977F7">
        <w:rPr>
          <w:rFonts w:asciiTheme="majorHAnsi" w:hAnsiTheme="majorHAnsi"/>
          <w:sz w:val="20"/>
          <w:szCs w:val="20"/>
        </w:rPr>
        <w:t>температура,</w:t>
      </w:r>
      <w:r w:rsidRPr="000977F7">
        <w:rPr>
          <w:rFonts w:asciiTheme="majorHAnsi" w:hAnsiTheme="majorHAnsi"/>
          <w:spacing w:val="1"/>
          <w:sz w:val="20"/>
          <w:szCs w:val="20"/>
        </w:rPr>
        <w:t xml:space="preserve"> </w:t>
      </w:r>
      <w:r w:rsidRPr="000977F7">
        <w:rPr>
          <w:rFonts w:asciiTheme="majorHAnsi" w:hAnsiTheme="majorHAnsi"/>
          <w:sz w:val="20"/>
          <w:szCs w:val="20"/>
        </w:rPr>
        <w:t>підвищена</w:t>
      </w:r>
      <w:r w:rsidRPr="000977F7">
        <w:rPr>
          <w:rFonts w:asciiTheme="majorHAnsi" w:hAnsiTheme="majorHAnsi"/>
          <w:spacing w:val="1"/>
          <w:sz w:val="20"/>
          <w:szCs w:val="20"/>
        </w:rPr>
        <w:t xml:space="preserve"> </w:t>
      </w:r>
      <w:r w:rsidRPr="000977F7">
        <w:rPr>
          <w:rFonts w:asciiTheme="majorHAnsi" w:hAnsiTheme="majorHAnsi"/>
          <w:sz w:val="20"/>
          <w:szCs w:val="20"/>
        </w:rPr>
        <w:t>вологість,</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вібрація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впливу на</w:t>
      </w:r>
      <w:r w:rsidRPr="000977F7">
        <w:rPr>
          <w:rFonts w:asciiTheme="majorHAnsi" w:hAnsiTheme="majorHAnsi"/>
          <w:spacing w:val="49"/>
          <w:sz w:val="20"/>
          <w:szCs w:val="20"/>
        </w:rPr>
        <w:t xml:space="preserve"> </w:t>
      </w:r>
      <w:r w:rsidRPr="000977F7">
        <w:rPr>
          <w:rFonts w:asciiTheme="majorHAnsi" w:hAnsiTheme="majorHAnsi"/>
          <w:sz w:val="20"/>
          <w:szCs w:val="20"/>
        </w:rPr>
        <w:t>випробуваний</w:t>
      </w:r>
      <w:r w:rsidRPr="000977F7">
        <w:rPr>
          <w:rFonts w:asciiTheme="majorHAnsi" w:hAnsiTheme="majorHAnsi"/>
          <w:spacing w:val="-1"/>
          <w:sz w:val="20"/>
          <w:szCs w:val="20"/>
        </w:rPr>
        <w:t xml:space="preserve"> </w:t>
      </w:r>
      <w:r w:rsidRPr="000977F7">
        <w:rPr>
          <w:rFonts w:asciiTheme="majorHAnsi" w:hAnsiTheme="majorHAnsi"/>
          <w:sz w:val="20"/>
          <w:szCs w:val="20"/>
        </w:rPr>
        <w:t>зразок</w:t>
      </w:r>
    </w:p>
    <w:p w14:paraId="7636130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3011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385648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ТЕРМОВОЛОГОБАРОКАМЕРА</w:t>
      </w:r>
      <w:r w:rsidRPr="000977F7">
        <w:rPr>
          <w:color w:val="auto"/>
          <w:spacing w:val="-4"/>
          <w:sz w:val="20"/>
          <w:szCs w:val="20"/>
        </w:rPr>
        <w:t xml:space="preserve"> </w:t>
      </w:r>
      <w:r w:rsidRPr="000977F7">
        <w:rPr>
          <w:color w:val="auto"/>
          <w:sz w:val="20"/>
          <w:szCs w:val="20"/>
        </w:rPr>
        <w:t>–</w:t>
      </w:r>
    </w:p>
    <w:p w14:paraId="7F6DD56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Камера,</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якій</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забезпечуються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підтримуються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заданих межах одночасно підвищена чи знижена температура,</w:t>
      </w:r>
      <w:r w:rsidRPr="000977F7">
        <w:rPr>
          <w:rFonts w:asciiTheme="majorHAnsi" w:hAnsiTheme="majorHAnsi"/>
          <w:spacing w:val="1"/>
          <w:sz w:val="20"/>
          <w:szCs w:val="20"/>
        </w:rPr>
        <w:t xml:space="preserve"> </w:t>
      </w:r>
      <w:r w:rsidRPr="000977F7">
        <w:rPr>
          <w:rFonts w:asciiTheme="majorHAnsi" w:hAnsiTheme="majorHAnsi"/>
          <w:sz w:val="20"/>
          <w:szCs w:val="20"/>
        </w:rPr>
        <w:t>підвищена</w:t>
      </w:r>
      <w:r w:rsidRPr="000977F7">
        <w:rPr>
          <w:rFonts w:asciiTheme="majorHAnsi" w:hAnsiTheme="majorHAnsi"/>
          <w:spacing w:val="1"/>
          <w:sz w:val="20"/>
          <w:szCs w:val="20"/>
        </w:rPr>
        <w:t xml:space="preserve"> </w:t>
      </w:r>
      <w:r w:rsidRPr="000977F7">
        <w:rPr>
          <w:rFonts w:asciiTheme="majorHAnsi" w:hAnsiTheme="majorHAnsi"/>
          <w:sz w:val="20"/>
          <w:szCs w:val="20"/>
        </w:rPr>
        <w:t>вологість,</w:t>
      </w:r>
      <w:r w:rsidRPr="000977F7">
        <w:rPr>
          <w:rFonts w:asciiTheme="majorHAnsi" w:hAnsiTheme="majorHAnsi"/>
          <w:spacing w:val="1"/>
          <w:sz w:val="20"/>
          <w:szCs w:val="20"/>
        </w:rPr>
        <w:t xml:space="preserve"> </w:t>
      </w:r>
      <w:r w:rsidRPr="000977F7">
        <w:rPr>
          <w:rFonts w:asciiTheme="majorHAnsi" w:hAnsiTheme="majorHAnsi"/>
          <w:sz w:val="20"/>
          <w:szCs w:val="20"/>
        </w:rPr>
        <w:t>знижений</w:t>
      </w:r>
      <w:r w:rsidRPr="000977F7">
        <w:rPr>
          <w:rFonts w:asciiTheme="majorHAnsi" w:hAnsiTheme="majorHAnsi"/>
          <w:spacing w:val="1"/>
          <w:sz w:val="20"/>
          <w:szCs w:val="20"/>
        </w:rPr>
        <w:t xml:space="preserve"> </w:t>
      </w:r>
      <w:r w:rsidRPr="000977F7">
        <w:rPr>
          <w:rFonts w:asciiTheme="majorHAnsi" w:hAnsiTheme="majorHAnsi"/>
          <w:sz w:val="20"/>
          <w:szCs w:val="20"/>
        </w:rPr>
        <w:t>тиск</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впливу на випробуваний</w:t>
      </w:r>
      <w:r w:rsidRPr="000977F7">
        <w:rPr>
          <w:rFonts w:asciiTheme="majorHAnsi" w:hAnsiTheme="majorHAnsi"/>
          <w:spacing w:val="-2"/>
          <w:sz w:val="20"/>
          <w:szCs w:val="20"/>
        </w:rPr>
        <w:t xml:space="preserve"> </w:t>
      </w:r>
      <w:r w:rsidRPr="000977F7">
        <w:rPr>
          <w:rFonts w:asciiTheme="majorHAnsi" w:hAnsiTheme="majorHAnsi"/>
          <w:sz w:val="20"/>
          <w:szCs w:val="20"/>
        </w:rPr>
        <w:t>зразок</w:t>
      </w:r>
    </w:p>
    <w:p w14:paraId="33A1764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3011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443B7A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ТЕРМОВОЛОГОВІБРОКАМЕРА</w:t>
      </w:r>
      <w:r w:rsidRPr="000977F7">
        <w:rPr>
          <w:color w:val="auto"/>
          <w:spacing w:val="-4"/>
          <w:sz w:val="20"/>
          <w:szCs w:val="20"/>
        </w:rPr>
        <w:t xml:space="preserve"> </w:t>
      </w:r>
      <w:r w:rsidRPr="000977F7">
        <w:rPr>
          <w:color w:val="auto"/>
          <w:sz w:val="20"/>
          <w:szCs w:val="20"/>
        </w:rPr>
        <w:t>–</w:t>
      </w:r>
    </w:p>
    <w:p w14:paraId="44E908B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Камера,</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якій</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забезпечуються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заданих</w:t>
      </w:r>
      <w:r w:rsidRPr="000977F7">
        <w:rPr>
          <w:rFonts w:asciiTheme="majorHAnsi" w:hAnsiTheme="majorHAnsi"/>
          <w:spacing w:val="1"/>
          <w:sz w:val="20"/>
          <w:szCs w:val="20"/>
        </w:rPr>
        <w:t xml:space="preserve"> </w:t>
      </w:r>
      <w:r w:rsidRPr="000977F7">
        <w:rPr>
          <w:rFonts w:asciiTheme="majorHAnsi" w:hAnsiTheme="majorHAnsi"/>
          <w:sz w:val="20"/>
          <w:szCs w:val="20"/>
        </w:rPr>
        <w:t>межах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підтримуються</w:t>
      </w:r>
      <w:r w:rsidRPr="000977F7">
        <w:rPr>
          <w:rFonts w:asciiTheme="majorHAnsi" w:hAnsiTheme="majorHAnsi"/>
          <w:spacing w:val="1"/>
          <w:sz w:val="20"/>
          <w:szCs w:val="20"/>
        </w:rPr>
        <w:t xml:space="preserve"> </w:t>
      </w:r>
      <w:r w:rsidRPr="000977F7">
        <w:rPr>
          <w:rFonts w:asciiTheme="majorHAnsi" w:hAnsiTheme="majorHAnsi"/>
          <w:sz w:val="20"/>
          <w:szCs w:val="20"/>
        </w:rPr>
        <w:t>одночасно</w:t>
      </w:r>
      <w:r w:rsidRPr="000977F7">
        <w:rPr>
          <w:rFonts w:asciiTheme="majorHAnsi" w:hAnsiTheme="majorHAnsi"/>
          <w:spacing w:val="1"/>
          <w:sz w:val="20"/>
          <w:szCs w:val="20"/>
        </w:rPr>
        <w:t xml:space="preserve"> </w:t>
      </w:r>
      <w:r w:rsidRPr="000977F7">
        <w:rPr>
          <w:rFonts w:asciiTheme="majorHAnsi" w:hAnsiTheme="majorHAnsi"/>
          <w:sz w:val="20"/>
          <w:szCs w:val="20"/>
        </w:rPr>
        <w:t>підвищена</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знижена</w:t>
      </w:r>
      <w:r w:rsidRPr="000977F7">
        <w:rPr>
          <w:rFonts w:asciiTheme="majorHAnsi" w:hAnsiTheme="majorHAnsi"/>
          <w:spacing w:val="1"/>
          <w:sz w:val="20"/>
          <w:szCs w:val="20"/>
        </w:rPr>
        <w:t xml:space="preserve"> </w:t>
      </w:r>
      <w:r w:rsidRPr="000977F7">
        <w:rPr>
          <w:rFonts w:asciiTheme="majorHAnsi" w:hAnsiTheme="majorHAnsi"/>
          <w:sz w:val="20"/>
          <w:szCs w:val="20"/>
        </w:rPr>
        <w:t>температура,</w:t>
      </w:r>
      <w:r w:rsidRPr="000977F7">
        <w:rPr>
          <w:rFonts w:asciiTheme="majorHAnsi" w:hAnsiTheme="majorHAnsi"/>
          <w:spacing w:val="1"/>
          <w:sz w:val="20"/>
          <w:szCs w:val="20"/>
        </w:rPr>
        <w:t xml:space="preserve"> </w:t>
      </w:r>
      <w:r w:rsidRPr="000977F7">
        <w:rPr>
          <w:rFonts w:asciiTheme="majorHAnsi" w:hAnsiTheme="majorHAnsi"/>
          <w:sz w:val="20"/>
          <w:szCs w:val="20"/>
        </w:rPr>
        <w:t>підвищена</w:t>
      </w:r>
      <w:r w:rsidRPr="000977F7">
        <w:rPr>
          <w:rFonts w:asciiTheme="majorHAnsi" w:hAnsiTheme="majorHAnsi"/>
          <w:spacing w:val="1"/>
          <w:sz w:val="20"/>
          <w:szCs w:val="20"/>
        </w:rPr>
        <w:t xml:space="preserve"> </w:t>
      </w:r>
      <w:r w:rsidRPr="000977F7">
        <w:rPr>
          <w:rFonts w:asciiTheme="majorHAnsi" w:hAnsiTheme="majorHAnsi"/>
          <w:sz w:val="20"/>
          <w:szCs w:val="20"/>
        </w:rPr>
        <w:t>вологість</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вібрація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впливу на випробуваний</w:t>
      </w:r>
      <w:r w:rsidRPr="000977F7">
        <w:rPr>
          <w:rFonts w:asciiTheme="majorHAnsi" w:hAnsiTheme="majorHAnsi"/>
          <w:spacing w:val="-2"/>
          <w:sz w:val="20"/>
          <w:szCs w:val="20"/>
        </w:rPr>
        <w:t xml:space="preserve"> </w:t>
      </w:r>
      <w:r w:rsidRPr="000977F7">
        <w:rPr>
          <w:rFonts w:asciiTheme="majorHAnsi" w:hAnsiTheme="majorHAnsi"/>
          <w:sz w:val="20"/>
          <w:szCs w:val="20"/>
        </w:rPr>
        <w:t>зразок</w:t>
      </w:r>
    </w:p>
    <w:p w14:paraId="3B000AC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3011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BAB4EC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ТЕРМОЕЛЕКТРИЧНИЙ</w:t>
      </w:r>
      <w:r w:rsidRPr="000977F7">
        <w:rPr>
          <w:color w:val="auto"/>
          <w:spacing w:val="-3"/>
          <w:sz w:val="20"/>
          <w:szCs w:val="20"/>
        </w:rPr>
        <w:t xml:space="preserve"> </w:t>
      </w:r>
      <w:r w:rsidRPr="000977F7">
        <w:rPr>
          <w:color w:val="auto"/>
          <w:sz w:val="20"/>
          <w:szCs w:val="20"/>
        </w:rPr>
        <w:t>МЕТОД</w:t>
      </w:r>
      <w:r w:rsidRPr="000977F7">
        <w:rPr>
          <w:color w:val="auto"/>
          <w:spacing w:val="-2"/>
          <w:sz w:val="20"/>
          <w:szCs w:val="20"/>
        </w:rPr>
        <w:t xml:space="preserve"> </w:t>
      </w:r>
      <w:r w:rsidRPr="000977F7">
        <w:rPr>
          <w:color w:val="auto"/>
          <w:sz w:val="20"/>
          <w:szCs w:val="20"/>
        </w:rPr>
        <w:t>–</w:t>
      </w:r>
    </w:p>
    <w:p w14:paraId="45F96515"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sz w:val="20"/>
          <w:szCs w:val="20"/>
        </w:rPr>
        <w:t>Метод</w:t>
      </w:r>
      <w:r w:rsidRPr="000977F7">
        <w:rPr>
          <w:rFonts w:asciiTheme="majorHAnsi" w:hAnsiTheme="majorHAnsi"/>
          <w:spacing w:val="11"/>
          <w:sz w:val="20"/>
          <w:szCs w:val="20"/>
        </w:rPr>
        <w:t xml:space="preserve"> </w:t>
      </w:r>
      <w:r w:rsidRPr="000977F7">
        <w:rPr>
          <w:rFonts w:asciiTheme="majorHAnsi" w:hAnsiTheme="majorHAnsi"/>
          <w:sz w:val="20"/>
          <w:szCs w:val="20"/>
        </w:rPr>
        <w:t>електричного</w:t>
      </w:r>
      <w:r w:rsidRPr="000977F7">
        <w:rPr>
          <w:rFonts w:asciiTheme="majorHAnsi" w:hAnsiTheme="majorHAnsi"/>
          <w:spacing w:val="12"/>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3"/>
          <w:sz w:val="20"/>
          <w:szCs w:val="20"/>
        </w:rPr>
        <w:t xml:space="preserve"> </w:t>
      </w:r>
      <w:r w:rsidRPr="000977F7">
        <w:rPr>
          <w:rFonts w:asciiTheme="majorHAnsi" w:hAnsiTheme="majorHAnsi"/>
          <w:sz w:val="20"/>
          <w:szCs w:val="20"/>
        </w:rPr>
        <w:t>контролю,</w:t>
      </w:r>
      <w:r w:rsidRPr="000977F7">
        <w:rPr>
          <w:rFonts w:asciiTheme="majorHAnsi" w:hAnsiTheme="majorHAnsi"/>
          <w:spacing w:val="12"/>
          <w:sz w:val="20"/>
          <w:szCs w:val="20"/>
        </w:rPr>
        <w:t xml:space="preserve"> </w:t>
      </w:r>
      <w:r w:rsidRPr="000977F7">
        <w:rPr>
          <w:rFonts w:asciiTheme="majorHAnsi" w:hAnsiTheme="majorHAnsi"/>
          <w:sz w:val="20"/>
          <w:szCs w:val="20"/>
        </w:rPr>
        <w:t>що</w:t>
      </w:r>
      <w:r w:rsidRPr="000977F7">
        <w:rPr>
          <w:rFonts w:asciiTheme="majorHAnsi" w:hAnsiTheme="majorHAnsi"/>
          <w:spacing w:val="13"/>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29"/>
          <w:sz w:val="20"/>
          <w:szCs w:val="20"/>
        </w:rPr>
        <w:t xml:space="preserve"> </w:t>
      </w:r>
      <w:r w:rsidRPr="000977F7">
        <w:rPr>
          <w:rFonts w:asciiTheme="majorHAnsi" w:hAnsiTheme="majorHAnsi"/>
          <w:sz w:val="20"/>
          <w:szCs w:val="20"/>
        </w:rPr>
        <w:t>на</w:t>
      </w:r>
      <w:r w:rsidRPr="000977F7">
        <w:rPr>
          <w:rFonts w:asciiTheme="majorHAnsi" w:hAnsiTheme="majorHAnsi"/>
          <w:spacing w:val="27"/>
          <w:sz w:val="20"/>
          <w:szCs w:val="20"/>
        </w:rPr>
        <w:t xml:space="preserve"> </w:t>
      </w:r>
      <w:r w:rsidRPr="000977F7">
        <w:rPr>
          <w:rFonts w:asciiTheme="majorHAnsi" w:hAnsiTheme="majorHAnsi"/>
          <w:sz w:val="20"/>
          <w:szCs w:val="20"/>
        </w:rPr>
        <w:t>реєстрації</w:t>
      </w:r>
      <w:r w:rsidRPr="000977F7">
        <w:rPr>
          <w:rFonts w:asciiTheme="majorHAnsi" w:hAnsiTheme="majorHAnsi"/>
          <w:spacing w:val="30"/>
          <w:sz w:val="20"/>
          <w:szCs w:val="20"/>
        </w:rPr>
        <w:t xml:space="preserve"> </w:t>
      </w:r>
      <w:r w:rsidRPr="000977F7">
        <w:rPr>
          <w:rFonts w:asciiTheme="majorHAnsi" w:hAnsiTheme="majorHAnsi"/>
          <w:sz w:val="20"/>
          <w:szCs w:val="20"/>
        </w:rPr>
        <w:t>величини</w:t>
      </w:r>
      <w:r w:rsidRPr="000977F7">
        <w:rPr>
          <w:rFonts w:asciiTheme="majorHAnsi" w:hAnsiTheme="majorHAnsi"/>
          <w:spacing w:val="26"/>
          <w:sz w:val="20"/>
          <w:szCs w:val="20"/>
        </w:rPr>
        <w:t xml:space="preserve"> </w:t>
      </w:r>
      <w:r w:rsidRPr="000977F7">
        <w:rPr>
          <w:rFonts w:asciiTheme="majorHAnsi" w:hAnsiTheme="majorHAnsi"/>
          <w:sz w:val="20"/>
          <w:szCs w:val="20"/>
        </w:rPr>
        <w:t>термоелектрорушійної</w:t>
      </w:r>
      <w:r w:rsidRPr="000977F7">
        <w:rPr>
          <w:rFonts w:asciiTheme="majorHAnsi" w:hAnsiTheme="majorHAnsi"/>
          <w:spacing w:val="6"/>
          <w:sz w:val="20"/>
          <w:szCs w:val="20"/>
        </w:rPr>
        <w:t xml:space="preserve"> </w:t>
      </w:r>
      <w:r w:rsidRPr="000977F7">
        <w:rPr>
          <w:rFonts w:asciiTheme="majorHAnsi" w:hAnsiTheme="majorHAnsi"/>
          <w:sz w:val="20"/>
          <w:szCs w:val="20"/>
        </w:rPr>
        <w:t>сили,</w:t>
      </w:r>
      <w:r w:rsidRPr="000977F7">
        <w:rPr>
          <w:rFonts w:asciiTheme="majorHAnsi" w:hAnsiTheme="majorHAnsi"/>
          <w:spacing w:val="10"/>
          <w:sz w:val="20"/>
          <w:szCs w:val="20"/>
        </w:rPr>
        <w:t xml:space="preserve"> </w:t>
      </w:r>
      <w:r w:rsidRPr="000977F7">
        <w:rPr>
          <w:rFonts w:asciiTheme="majorHAnsi" w:hAnsiTheme="majorHAnsi"/>
          <w:sz w:val="20"/>
          <w:szCs w:val="20"/>
        </w:rPr>
        <w:t>яка</w:t>
      </w:r>
      <w:r w:rsidRPr="000977F7">
        <w:rPr>
          <w:rFonts w:asciiTheme="majorHAnsi" w:hAnsiTheme="majorHAnsi"/>
          <w:spacing w:val="10"/>
          <w:sz w:val="20"/>
          <w:szCs w:val="20"/>
        </w:rPr>
        <w:t xml:space="preserve"> </w:t>
      </w:r>
      <w:r w:rsidRPr="000977F7">
        <w:rPr>
          <w:rFonts w:asciiTheme="majorHAnsi" w:hAnsiTheme="majorHAnsi"/>
          <w:sz w:val="20"/>
          <w:szCs w:val="20"/>
        </w:rPr>
        <w:t>виникає</w:t>
      </w:r>
      <w:r w:rsidRPr="000977F7">
        <w:rPr>
          <w:rFonts w:asciiTheme="majorHAnsi" w:hAnsiTheme="majorHAnsi"/>
          <w:spacing w:val="11"/>
          <w:sz w:val="20"/>
          <w:szCs w:val="20"/>
        </w:rPr>
        <w:t xml:space="preserve"> </w:t>
      </w:r>
      <w:r w:rsidRPr="000977F7">
        <w:rPr>
          <w:rFonts w:asciiTheme="majorHAnsi" w:hAnsiTheme="majorHAnsi"/>
          <w:sz w:val="20"/>
          <w:szCs w:val="20"/>
        </w:rPr>
        <w:t>під</w:t>
      </w:r>
      <w:r w:rsidRPr="000977F7">
        <w:rPr>
          <w:rFonts w:asciiTheme="majorHAnsi" w:hAnsiTheme="majorHAnsi"/>
          <w:spacing w:val="9"/>
          <w:sz w:val="20"/>
          <w:szCs w:val="20"/>
        </w:rPr>
        <w:t xml:space="preserve"> </w:t>
      </w:r>
      <w:r w:rsidRPr="000977F7">
        <w:rPr>
          <w:rFonts w:asciiTheme="majorHAnsi" w:hAnsiTheme="majorHAnsi"/>
          <w:sz w:val="20"/>
          <w:szCs w:val="20"/>
        </w:rPr>
        <w:t>час</w:t>
      </w:r>
      <w:r w:rsidRPr="000977F7">
        <w:rPr>
          <w:rFonts w:asciiTheme="majorHAnsi" w:hAnsiTheme="majorHAnsi"/>
          <w:spacing w:val="8"/>
          <w:sz w:val="20"/>
          <w:szCs w:val="20"/>
        </w:rPr>
        <w:t xml:space="preserve"> </w:t>
      </w:r>
      <w:r w:rsidRPr="000977F7">
        <w:rPr>
          <w:rFonts w:asciiTheme="majorHAnsi" w:hAnsiTheme="majorHAnsi"/>
          <w:sz w:val="20"/>
          <w:szCs w:val="20"/>
        </w:rPr>
        <w:t>прямого</w:t>
      </w:r>
      <w:r w:rsidRPr="000977F7">
        <w:rPr>
          <w:rFonts w:asciiTheme="majorHAnsi" w:hAnsiTheme="majorHAnsi"/>
          <w:spacing w:val="8"/>
          <w:sz w:val="20"/>
          <w:szCs w:val="20"/>
        </w:rPr>
        <w:t xml:space="preserve"> </w:t>
      </w:r>
      <w:r w:rsidRPr="000977F7">
        <w:rPr>
          <w:rFonts w:asciiTheme="majorHAnsi" w:hAnsiTheme="majorHAnsi"/>
          <w:sz w:val="20"/>
          <w:szCs w:val="20"/>
        </w:rPr>
        <w:t>контакту</w:t>
      </w:r>
      <w:r w:rsidRPr="000977F7">
        <w:rPr>
          <w:rFonts w:asciiTheme="majorHAnsi" w:hAnsiTheme="majorHAnsi"/>
          <w:spacing w:val="8"/>
          <w:sz w:val="20"/>
          <w:szCs w:val="20"/>
        </w:rPr>
        <w:t xml:space="preserve"> </w:t>
      </w:r>
      <w:r w:rsidRPr="000977F7">
        <w:rPr>
          <w:rFonts w:asciiTheme="majorHAnsi" w:hAnsiTheme="majorHAnsi"/>
          <w:sz w:val="20"/>
          <w:szCs w:val="20"/>
        </w:rPr>
        <w:t>нагрітого зразка відомого матеріалу з об’єктом контролю</w:t>
      </w:r>
      <w:r w:rsidRPr="000977F7">
        <w:rPr>
          <w:rFonts w:asciiTheme="majorHAnsi" w:hAnsiTheme="majorHAnsi"/>
          <w:spacing w:val="1"/>
          <w:sz w:val="20"/>
          <w:szCs w:val="20"/>
        </w:rPr>
        <w:t xml:space="preserve"> </w:t>
      </w:r>
    </w:p>
    <w:p w14:paraId="0BA7B31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2865 – 94; ДСТУ 2866 – 94</w:t>
      </w:r>
    </w:p>
    <w:p w14:paraId="3B8E58BD"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ТЕРМОЕЛЕКТРИЧНИЙ</w:t>
      </w:r>
      <w:r w:rsidRPr="000977F7">
        <w:rPr>
          <w:rFonts w:asciiTheme="majorHAnsi" w:hAnsiTheme="majorHAnsi"/>
          <w:b/>
          <w:spacing w:val="2"/>
          <w:sz w:val="20"/>
          <w:szCs w:val="20"/>
        </w:rPr>
        <w:t xml:space="preserve"> </w:t>
      </w:r>
      <w:r w:rsidRPr="000977F7">
        <w:rPr>
          <w:rFonts w:asciiTheme="majorHAnsi" w:hAnsiTheme="majorHAnsi"/>
          <w:b/>
          <w:sz w:val="20"/>
          <w:szCs w:val="20"/>
        </w:rPr>
        <w:t>ПРИЛАД –</w:t>
      </w:r>
    </w:p>
    <w:p w14:paraId="5EEF2D4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Прилад</w:t>
      </w:r>
      <w:r w:rsidRPr="000977F7">
        <w:rPr>
          <w:rFonts w:asciiTheme="majorHAnsi" w:hAnsiTheme="majorHAnsi"/>
          <w:spacing w:val="42"/>
          <w:sz w:val="20"/>
          <w:szCs w:val="20"/>
        </w:rPr>
        <w:t xml:space="preserve"> </w:t>
      </w:r>
      <w:r w:rsidRPr="000977F7">
        <w:rPr>
          <w:rFonts w:asciiTheme="majorHAnsi" w:hAnsiTheme="majorHAnsi"/>
          <w:sz w:val="20"/>
          <w:szCs w:val="20"/>
        </w:rPr>
        <w:t>електричного</w:t>
      </w:r>
      <w:r w:rsidRPr="000977F7">
        <w:rPr>
          <w:rFonts w:asciiTheme="majorHAnsi" w:hAnsiTheme="majorHAnsi"/>
          <w:spacing w:val="43"/>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43"/>
          <w:sz w:val="20"/>
          <w:szCs w:val="20"/>
        </w:rPr>
        <w:t xml:space="preserve"> </w:t>
      </w:r>
      <w:r w:rsidRPr="000977F7">
        <w:rPr>
          <w:rFonts w:asciiTheme="majorHAnsi" w:hAnsiTheme="majorHAnsi"/>
          <w:sz w:val="20"/>
          <w:szCs w:val="20"/>
        </w:rPr>
        <w:t>контролю,</w:t>
      </w:r>
      <w:r w:rsidRPr="000977F7">
        <w:rPr>
          <w:rFonts w:asciiTheme="majorHAnsi" w:hAnsiTheme="majorHAnsi"/>
          <w:spacing w:val="42"/>
          <w:sz w:val="20"/>
          <w:szCs w:val="20"/>
        </w:rPr>
        <w:t xml:space="preserve"> </w:t>
      </w:r>
      <w:r w:rsidRPr="000977F7">
        <w:rPr>
          <w:rFonts w:asciiTheme="majorHAnsi" w:hAnsiTheme="majorHAnsi"/>
          <w:sz w:val="20"/>
          <w:szCs w:val="20"/>
        </w:rPr>
        <w:t>що</w:t>
      </w:r>
      <w:r w:rsidRPr="000977F7">
        <w:rPr>
          <w:rFonts w:asciiTheme="majorHAnsi" w:hAnsiTheme="majorHAnsi"/>
          <w:spacing w:val="-47"/>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термоелектричному</w:t>
      </w:r>
      <w:r w:rsidRPr="000977F7">
        <w:rPr>
          <w:rFonts w:asciiTheme="majorHAnsi" w:hAnsiTheme="majorHAnsi"/>
          <w:spacing w:val="-4"/>
          <w:sz w:val="20"/>
          <w:szCs w:val="20"/>
        </w:rPr>
        <w:t xml:space="preserve"> </w:t>
      </w:r>
      <w:r w:rsidRPr="000977F7">
        <w:rPr>
          <w:rFonts w:asciiTheme="majorHAnsi" w:hAnsiTheme="majorHAnsi"/>
          <w:sz w:val="20"/>
          <w:szCs w:val="20"/>
        </w:rPr>
        <w:t>методі</w:t>
      </w:r>
    </w:p>
    <w:p w14:paraId="18A8650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 –</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2866</w:t>
      </w:r>
      <w:r w:rsidRPr="000977F7">
        <w:rPr>
          <w:rFonts w:asciiTheme="majorHAnsi" w:hAnsiTheme="majorHAnsi"/>
          <w:i/>
          <w:spacing w:val="-1"/>
          <w:sz w:val="20"/>
          <w:szCs w:val="20"/>
        </w:rPr>
        <w:t xml:space="preserve"> </w:t>
      </w:r>
      <w:r w:rsidRPr="000977F7">
        <w:rPr>
          <w:rFonts w:asciiTheme="majorHAnsi" w:hAnsiTheme="majorHAnsi"/>
          <w:i/>
          <w:sz w:val="20"/>
          <w:szCs w:val="20"/>
        </w:rPr>
        <w:t>– 94</w:t>
      </w:r>
    </w:p>
    <w:p w14:paraId="0F391A9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ТЕРМОМЕТРИЧНИЙ</w:t>
      </w:r>
      <w:r w:rsidRPr="000977F7">
        <w:rPr>
          <w:color w:val="auto"/>
          <w:spacing w:val="-5"/>
          <w:sz w:val="20"/>
          <w:szCs w:val="20"/>
        </w:rPr>
        <w:t xml:space="preserve"> </w:t>
      </w:r>
      <w:r w:rsidRPr="000977F7">
        <w:rPr>
          <w:color w:val="auto"/>
          <w:sz w:val="20"/>
          <w:szCs w:val="20"/>
        </w:rPr>
        <w:t>МЕТОД</w:t>
      </w:r>
      <w:r w:rsidRPr="000977F7">
        <w:rPr>
          <w:color w:val="auto"/>
          <w:spacing w:val="-1"/>
          <w:sz w:val="20"/>
          <w:szCs w:val="20"/>
        </w:rPr>
        <w:t xml:space="preserve"> </w:t>
      </w:r>
      <w:r w:rsidRPr="000977F7">
        <w:rPr>
          <w:color w:val="auto"/>
          <w:sz w:val="20"/>
          <w:szCs w:val="20"/>
        </w:rPr>
        <w:t>–</w:t>
      </w:r>
    </w:p>
    <w:p w14:paraId="1CBD99D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контактній</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дистанційній</w:t>
      </w:r>
      <w:r w:rsidRPr="000977F7">
        <w:rPr>
          <w:rFonts w:asciiTheme="majorHAnsi" w:hAnsiTheme="majorHAnsi"/>
          <w:spacing w:val="1"/>
          <w:sz w:val="20"/>
          <w:szCs w:val="20"/>
        </w:rPr>
        <w:t xml:space="preserve"> </w:t>
      </w:r>
      <w:r w:rsidRPr="000977F7">
        <w:rPr>
          <w:rFonts w:asciiTheme="majorHAnsi" w:hAnsiTheme="majorHAnsi"/>
          <w:sz w:val="20"/>
          <w:szCs w:val="20"/>
        </w:rPr>
        <w:t>реєстрації</w:t>
      </w:r>
      <w:r w:rsidRPr="000977F7">
        <w:rPr>
          <w:rFonts w:asciiTheme="majorHAnsi" w:hAnsiTheme="majorHAnsi"/>
          <w:spacing w:val="1"/>
          <w:sz w:val="20"/>
          <w:szCs w:val="20"/>
        </w:rPr>
        <w:t xml:space="preserve"> </w:t>
      </w:r>
      <w:r w:rsidRPr="000977F7">
        <w:rPr>
          <w:rFonts w:asciiTheme="majorHAnsi" w:hAnsiTheme="majorHAnsi"/>
          <w:sz w:val="20"/>
          <w:szCs w:val="20"/>
        </w:rPr>
        <w:t>температури</w:t>
      </w:r>
      <w:r w:rsidRPr="000977F7">
        <w:rPr>
          <w:rFonts w:asciiTheme="majorHAnsi" w:hAnsiTheme="majorHAnsi"/>
          <w:spacing w:val="1"/>
          <w:sz w:val="20"/>
          <w:szCs w:val="20"/>
        </w:rPr>
        <w:t xml:space="preserve"> </w:t>
      </w:r>
      <w:r w:rsidRPr="000977F7">
        <w:rPr>
          <w:rFonts w:asciiTheme="majorHAnsi" w:hAnsiTheme="majorHAnsi"/>
          <w:sz w:val="20"/>
          <w:szCs w:val="20"/>
        </w:rPr>
        <w:t>контрольованого об’єкта</w:t>
      </w:r>
    </w:p>
    <w:p w14:paraId="30C3095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2865</w:t>
      </w:r>
      <w:r w:rsidRPr="000977F7">
        <w:rPr>
          <w:rFonts w:asciiTheme="majorHAnsi" w:hAnsiTheme="majorHAnsi"/>
          <w:i/>
          <w:spacing w:val="2"/>
          <w:sz w:val="20"/>
          <w:szCs w:val="20"/>
        </w:rPr>
        <w:t xml:space="preserve"> </w:t>
      </w:r>
      <w:r w:rsidRPr="000977F7">
        <w:rPr>
          <w:rFonts w:asciiTheme="majorHAnsi" w:hAnsiTheme="majorHAnsi"/>
          <w:i/>
          <w:sz w:val="20"/>
          <w:szCs w:val="20"/>
        </w:rPr>
        <w:t>– 94</w:t>
      </w:r>
    </w:p>
    <w:p w14:paraId="454B538F"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ТЕРМОПЛАСТИЧНА</w:t>
      </w:r>
      <w:r w:rsidRPr="000977F7">
        <w:rPr>
          <w:rFonts w:asciiTheme="majorHAnsi" w:hAnsiTheme="majorHAnsi"/>
          <w:b/>
          <w:spacing w:val="1"/>
          <w:sz w:val="20"/>
          <w:szCs w:val="20"/>
        </w:rPr>
        <w:t xml:space="preserve"> </w:t>
      </w:r>
      <w:r w:rsidRPr="000977F7">
        <w:rPr>
          <w:rFonts w:asciiTheme="majorHAnsi" w:hAnsiTheme="majorHAnsi"/>
          <w:b/>
          <w:sz w:val="20"/>
          <w:szCs w:val="20"/>
        </w:rPr>
        <w:t>ЕЛЕКТРОТОПОГРАФІЯ</w:t>
      </w:r>
      <w:r w:rsidRPr="000977F7">
        <w:rPr>
          <w:rFonts w:asciiTheme="majorHAnsi" w:hAnsiTheme="majorHAnsi"/>
          <w:b/>
          <w:spacing w:val="-8"/>
          <w:sz w:val="20"/>
          <w:szCs w:val="20"/>
        </w:rPr>
        <w:t xml:space="preserve"> </w:t>
      </w:r>
      <w:r w:rsidRPr="000977F7">
        <w:rPr>
          <w:rFonts w:asciiTheme="majorHAnsi" w:hAnsiTheme="majorHAnsi"/>
          <w:b/>
          <w:sz w:val="20"/>
          <w:szCs w:val="20"/>
        </w:rPr>
        <w:t>–</w:t>
      </w:r>
    </w:p>
    <w:p w14:paraId="75D16AD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електричного неруйнівного контролю, що ґрунтується на реєстрації електропотенційного рельєфу</w:t>
      </w:r>
      <w:r w:rsidRPr="000977F7">
        <w:rPr>
          <w:rFonts w:asciiTheme="majorHAnsi" w:hAnsiTheme="majorHAnsi"/>
          <w:spacing w:val="-47"/>
          <w:sz w:val="20"/>
          <w:szCs w:val="20"/>
        </w:rPr>
        <w:t xml:space="preserve"> </w:t>
      </w:r>
      <w:r w:rsidRPr="000977F7">
        <w:rPr>
          <w:rFonts w:asciiTheme="majorHAnsi" w:hAnsiTheme="majorHAnsi"/>
          <w:sz w:val="20"/>
          <w:szCs w:val="20"/>
        </w:rPr>
        <w:t>поверхні об’єкту контролю на термопластичному матеріалі</w:t>
      </w:r>
      <w:r w:rsidRPr="000977F7">
        <w:rPr>
          <w:rFonts w:asciiTheme="majorHAnsi" w:hAnsiTheme="majorHAnsi"/>
          <w:spacing w:val="-2"/>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дією електричного поля</w:t>
      </w:r>
    </w:p>
    <w:p w14:paraId="7DFBB3E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C31BF5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ТЕРТЯ</w:t>
      </w:r>
      <w:r w:rsidRPr="000977F7">
        <w:rPr>
          <w:color w:val="auto"/>
          <w:spacing w:val="-4"/>
          <w:sz w:val="20"/>
          <w:szCs w:val="20"/>
        </w:rPr>
        <w:t xml:space="preserve"> </w:t>
      </w:r>
      <w:r w:rsidRPr="000977F7">
        <w:rPr>
          <w:color w:val="auto"/>
          <w:sz w:val="20"/>
          <w:szCs w:val="20"/>
        </w:rPr>
        <w:t>БЕЗ</w:t>
      </w:r>
      <w:r w:rsidRPr="000977F7">
        <w:rPr>
          <w:color w:val="auto"/>
          <w:spacing w:val="-5"/>
          <w:sz w:val="20"/>
          <w:szCs w:val="20"/>
        </w:rPr>
        <w:t xml:space="preserve"> </w:t>
      </w:r>
      <w:r w:rsidRPr="000977F7">
        <w:rPr>
          <w:color w:val="auto"/>
          <w:sz w:val="20"/>
          <w:szCs w:val="20"/>
        </w:rPr>
        <w:t>МАСТИЛЬНОГО</w:t>
      </w:r>
      <w:r w:rsidRPr="000977F7">
        <w:rPr>
          <w:color w:val="auto"/>
          <w:spacing w:val="-5"/>
          <w:sz w:val="20"/>
          <w:szCs w:val="20"/>
        </w:rPr>
        <w:t xml:space="preserve"> </w:t>
      </w:r>
      <w:r w:rsidRPr="000977F7">
        <w:rPr>
          <w:color w:val="auto"/>
          <w:sz w:val="20"/>
          <w:szCs w:val="20"/>
        </w:rPr>
        <w:t>МАТЕРІАЛУ</w:t>
      </w:r>
      <w:r w:rsidRPr="000977F7">
        <w:rPr>
          <w:color w:val="auto"/>
          <w:spacing w:val="-1"/>
          <w:sz w:val="20"/>
          <w:szCs w:val="20"/>
        </w:rPr>
        <w:t xml:space="preserve"> </w:t>
      </w:r>
      <w:r w:rsidRPr="000977F7">
        <w:rPr>
          <w:color w:val="auto"/>
          <w:sz w:val="20"/>
          <w:szCs w:val="20"/>
        </w:rPr>
        <w:t>–</w:t>
      </w:r>
    </w:p>
    <w:p w14:paraId="5B867A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UNLUBRICATED</w:t>
      </w:r>
      <w:r w:rsidRPr="000977F7">
        <w:rPr>
          <w:rFonts w:asciiTheme="majorHAnsi" w:hAnsiTheme="majorHAnsi"/>
          <w:spacing w:val="-3"/>
          <w:sz w:val="20"/>
          <w:szCs w:val="20"/>
        </w:rPr>
        <w:t xml:space="preserve"> </w:t>
      </w:r>
      <w:r w:rsidRPr="000977F7">
        <w:rPr>
          <w:rFonts w:asciiTheme="majorHAnsi" w:hAnsiTheme="majorHAnsi"/>
          <w:sz w:val="20"/>
          <w:szCs w:val="20"/>
        </w:rPr>
        <w:t>FRICTION –</w:t>
      </w:r>
    </w:p>
    <w:p w14:paraId="511FBAD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Тертя</w:t>
      </w:r>
      <w:r w:rsidRPr="000977F7">
        <w:rPr>
          <w:rFonts w:asciiTheme="majorHAnsi" w:hAnsiTheme="majorHAnsi"/>
          <w:spacing w:val="3"/>
          <w:sz w:val="20"/>
          <w:szCs w:val="20"/>
        </w:rPr>
        <w:t xml:space="preserve"> </w:t>
      </w:r>
      <w:r w:rsidRPr="000977F7">
        <w:rPr>
          <w:rFonts w:asciiTheme="majorHAnsi" w:hAnsiTheme="majorHAnsi"/>
          <w:sz w:val="20"/>
          <w:szCs w:val="20"/>
        </w:rPr>
        <w:t>двох</w:t>
      </w:r>
      <w:r w:rsidRPr="000977F7">
        <w:rPr>
          <w:rFonts w:asciiTheme="majorHAnsi" w:hAnsiTheme="majorHAnsi"/>
          <w:spacing w:val="4"/>
          <w:sz w:val="20"/>
          <w:szCs w:val="20"/>
        </w:rPr>
        <w:t xml:space="preserve"> </w:t>
      </w:r>
      <w:r w:rsidRPr="000977F7">
        <w:rPr>
          <w:rFonts w:asciiTheme="majorHAnsi" w:hAnsiTheme="majorHAnsi"/>
          <w:sz w:val="20"/>
          <w:szCs w:val="20"/>
        </w:rPr>
        <w:t>тіл</w:t>
      </w:r>
      <w:r w:rsidRPr="000977F7">
        <w:rPr>
          <w:rFonts w:asciiTheme="majorHAnsi" w:hAnsiTheme="majorHAnsi"/>
          <w:spacing w:val="4"/>
          <w:sz w:val="20"/>
          <w:szCs w:val="20"/>
        </w:rPr>
        <w:t xml:space="preserve"> </w:t>
      </w:r>
      <w:r w:rsidRPr="000977F7">
        <w:rPr>
          <w:rFonts w:asciiTheme="majorHAnsi" w:hAnsiTheme="majorHAnsi"/>
          <w:sz w:val="20"/>
          <w:szCs w:val="20"/>
        </w:rPr>
        <w:t>за</w:t>
      </w:r>
      <w:r w:rsidRPr="000977F7">
        <w:rPr>
          <w:rFonts w:asciiTheme="majorHAnsi" w:hAnsiTheme="majorHAnsi"/>
          <w:spacing w:val="7"/>
          <w:sz w:val="20"/>
          <w:szCs w:val="20"/>
        </w:rPr>
        <w:t xml:space="preserve"> </w:t>
      </w:r>
      <w:r w:rsidRPr="000977F7">
        <w:rPr>
          <w:rFonts w:asciiTheme="majorHAnsi" w:hAnsiTheme="majorHAnsi"/>
          <w:sz w:val="20"/>
          <w:szCs w:val="20"/>
        </w:rPr>
        <w:t>відсутності</w:t>
      </w:r>
      <w:r w:rsidRPr="000977F7">
        <w:rPr>
          <w:rFonts w:asciiTheme="majorHAnsi" w:hAnsiTheme="majorHAnsi"/>
          <w:spacing w:val="5"/>
          <w:sz w:val="20"/>
          <w:szCs w:val="20"/>
        </w:rPr>
        <w:t xml:space="preserve"> </w:t>
      </w:r>
      <w:r w:rsidRPr="000977F7">
        <w:rPr>
          <w:rFonts w:asciiTheme="majorHAnsi" w:hAnsiTheme="majorHAnsi"/>
          <w:sz w:val="20"/>
          <w:szCs w:val="20"/>
        </w:rPr>
        <w:t>на</w:t>
      </w:r>
      <w:r w:rsidRPr="000977F7">
        <w:rPr>
          <w:rFonts w:asciiTheme="majorHAnsi" w:hAnsiTheme="majorHAnsi"/>
          <w:spacing w:val="5"/>
          <w:sz w:val="20"/>
          <w:szCs w:val="20"/>
        </w:rPr>
        <w:t xml:space="preserve"> </w:t>
      </w:r>
      <w:r w:rsidRPr="000977F7">
        <w:rPr>
          <w:rFonts w:asciiTheme="majorHAnsi" w:hAnsiTheme="majorHAnsi"/>
          <w:sz w:val="20"/>
          <w:szCs w:val="20"/>
        </w:rPr>
        <w:t>поверхні</w:t>
      </w:r>
      <w:r w:rsidRPr="000977F7">
        <w:rPr>
          <w:rFonts w:asciiTheme="majorHAnsi" w:hAnsiTheme="majorHAnsi"/>
          <w:spacing w:val="7"/>
          <w:sz w:val="20"/>
          <w:szCs w:val="20"/>
        </w:rPr>
        <w:t xml:space="preserve"> </w:t>
      </w:r>
      <w:r w:rsidRPr="000977F7">
        <w:rPr>
          <w:rFonts w:asciiTheme="majorHAnsi" w:hAnsiTheme="majorHAnsi"/>
          <w:sz w:val="20"/>
          <w:szCs w:val="20"/>
        </w:rPr>
        <w:t>тертя</w:t>
      </w:r>
      <w:r w:rsidRPr="000977F7">
        <w:rPr>
          <w:rFonts w:asciiTheme="majorHAnsi" w:hAnsiTheme="majorHAnsi"/>
          <w:spacing w:val="3"/>
          <w:sz w:val="20"/>
          <w:szCs w:val="20"/>
        </w:rPr>
        <w:t xml:space="preserve"> </w:t>
      </w:r>
      <w:r w:rsidRPr="000977F7">
        <w:rPr>
          <w:rFonts w:asciiTheme="majorHAnsi" w:hAnsiTheme="majorHAnsi"/>
          <w:sz w:val="20"/>
          <w:szCs w:val="20"/>
        </w:rPr>
        <w:t>будь</w:t>
      </w:r>
      <w:r w:rsidRPr="000977F7">
        <w:rPr>
          <w:rFonts w:asciiTheme="majorHAnsi" w:hAnsiTheme="majorHAnsi"/>
          <w:spacing w:val="10"/>
          <w:sz w:val="20"/>
          <w:szCs w:val="20"/>
        </w:rPr>
        <w:t xml:space="preserve"> </w:t>
      </w:r>
      <w:r w:rsidRPr="000977F7">
        <w:rPr>
          <w:rFonts w:asciiTheme="majorHAnsi" w:hAnsiTheme="majorHAnsi"/>
          <w:sz w:val="20"/>
          <w:szCs w:val="20"/>
        </w:rPr>
        <w:t>–</w:t>
      </w:r>
      <w:r w:rsidRPr="000977F7">
        <w:rPr>
          <w:rFonts w:asciiTheme="majorHAnsi" w:hAnsiTheme="majorHAnsi"/>
          <w:spacing w:val="-47"/>
          <w:sz w:val="20"/>
          <w:szCs w:val="20"/>
        </w:rPr>
        <w:t xml:space="preserve"> </w:t>
      </w:r>
      <w:r w:rsidRPr="000977F7">
        <w:rPr>
          <w:rFonts w:asciiTheme="majorHAnsi" w:hAnsiTheme="majorHAnsi"/>
          <w:sz w:val="20"/>
          <w:szCs w:val="20"/>
        </w:rPr>
        <w:t>якого підведеного мастильного</w:t>
      </w:r>
      <w:r w:rsidRPr="000977F7">
        <w:rPr>
          <w:rFonts w:asciiTheme="majorHAnsi" w:hAnsiTheme="majorHAnsi"/>
          <w:spacing w:val="1"/>
          <w:sz w:val="20"/>
          <w:szCs w:val="20"/>
        </w:rPr>
        <w:t xml:space="preserve"> </w:t>
      </w:r>
      <w:r w:rsidRPr="000977F7">
        <w:rPr>
          <w:rFonts w:asciiTheme="majorHAnsi" w:hAnsiTheme="majorHAnsi"/>
          <w:sz w:val="20"/>
          <w:szCs w:val="20"/>
        </w:rPr>
        <w:t>матеріалу</w:t>
      </w:r>
    </w:p>
    <w:p w14:paraId="494EBE1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CDE595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ТЕРТЯ</w:t>
      </w:r>
      <w:r w:rsidRPr="000977F7">
        <w:rPr>
          <w:color w:val="auto"/>
          <w:spacing w:val="-4"/>
          <w:sz w:val="20"/>
          <w:szCs w:val="20"/>
        </w:rPr>
        <w:t xml:space="preserve"> </w:t>
      </w:r>
      <w:r w:rsidRPr="000977F7">
        <w:rPr>
          <w:color w:val="auto"/>
          <w:sz w:val="20"/>
          <w:szCs w:val="20"/>
        </w:rPr>
        <w:t>З</w:t>
      </w:r>
      <w:r w:rsidRPr="000977F7">
        <w:rPr>
          <w:color w:val="auto"/>
          <w:spacing w:val="-3"/>
          <w:sz w:val="20"/>
          <w:szCs w:val="20"/>
        </w:rPr>
        <w:t xml:space="preserve"> </w:t>
      </w:r>
      <w:r w:rsidRPr="000977F7">
        <w:rPr>
          <w:color w:val="auto"/>
          <w:sz w:val="20"/>
          <w:szCs w:val="20"/>
        </w:rPr>
        <w:t>МАСТИЛЬНИМ</w:t>
      </w:r>
      <w:r w:rsidRPr="000977F7">
        <w:rPr>
          <w:color w:val="auto"/>
          <w:spacing w:val="-4"/>
          <w:sz w:val="20"/>
          <w:szCs w:val="20"/>
        </w:rPr>
        <w:t xml:space="preserve"> </w:t>
      </w:r>
      <w:r w:rsidRPr="000977F7">
        <w:rPr>
          <w:color w:val="auto"/>
          <w:sz w:val="20"/>
          <w:szCs w:val="20"/>
        </w:rPr>
        <w:t>МАТЕРІАЛОМ–</w:t>
      </w:r>
    </w:p>
    <w:p w14:paraId="2916E7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LUBRICATED</w:t>
      </w:r>
      <w:r w:rsidRPr="000977F7">
        <w:rPr>
          <w:rFonts w:asciiTheme="majorHAnsi" w:hAnsiTheme="majorHAnsi"/>
          <w:spacing w:val="-3"/>
          <w:sz w:val="20"/>
          <w:szCs w:val="20"/>
        </w:rPr>
        <w:t xml:space="preserve"> </w:t>
      </w:r>
      <w:r w:rsidRPr="000977F7">
        <w:rPr>
          <w:rFonts w:asciiTheme="majorHAnsi" w:hAnsiTheme="majorHAnsi"/>
          <w:sz w:val="20"/>
          <w:szCs w:val="20"/>
        </w:rPr>
        <w:t>FRICTION –</w:t>
      </w:r>
    </w:p>
    <w:p w14:paraId="6EB5515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Тертя</w:t>
      </w:r>
      <w:r w:rsidRPr="000977F7">
        <w:rPr>
          <w:rFonts w:asciiTheme="majorHAnsi" w:hAnsiTheme="majorHAnsi"/>
          <w:spacing w:val="20"/>
          <w:sz w:val="20"/>
          <w:szCs w:val="20"/>
        </w:rPr>
        <w:t xml:space="preserve"> </w:t>
      </w:r>
      <w:r w:rsidRPr="000977F7">
        <w:rPr>
          <w:rFonts w:asciiTheme="majorHAnsi" w:hAnsiTheme="majorHAnsi"/>
          <w:sz w:val="20"/>
          <w:szCs w:val="20"/>
        </w:rPr>
        <w:t>двох</w:t>
      </w:r>
      <w:r w:rsidRPr="000977F7">
        <w:rPr>
          <w:rFonts w:asciiTheme="majorHAnsi" w:hAnsiTheme="majorHAnsi"/>
          <w:spacing w:val="19"/>
          <w:sz w:val="20"/>
          <w:szCs w:val="20"/>
        </w:rPr>
        <w:t xml:space="preserve"> </w:t>
      </w:r>
      <w:r w:rsidRPr="000977F7">
        <w:rPr>
          <w:rFonts w:asciiTheme="majorHAnsi" w:hAnsiTheme="majorHAnsi"/>
          <w:sz w:val="20"/>
          <w:szCs w:val="20"/>
        </w:rPr>
        <w:t>тіл</w:t>
      </w:r>
      <w:r w:rsidRPr="000977F7">
        <w:rPr>
          <w:rFonts w:asciiTheme="majorHAnsi" w:hAnsiTheme="majorHAnsi"/>
          <w:spacing w:val="20"/>
          <w:sz w:val="20"/>
          <w:szCs w:val="20"/>
        </w:rPr>
        <w:t xml:space="preserve"> </w:t>
      </w:r>
      <w:r w:rsidRPr="000977F7">
        <w:rPr>
          <w:rFonts w:asciiTheme="majorHAnsi" w:hAnsiTheme="majorHAnsi"/>
          <w:sz w:val="20"/>
          <w:szCs w:val="20"/>
        </w:rPr>
        <w:t>за</w:t>
      </w:r>
      <w:r w:rsidRPr="000977F7">
        <w:rPr>
          <w:rFonts w:asciiTheme="majorHAnsi" w:hAnsiTheme="majorHAnsi"/>
          <w:spacing w:val="21"/>
          <w:sz w:val="20"/>
          <w:szCs w:val="20"/>
        </w:rPr>
        <w:t xml:space="preserve"> </w:t>
      </w:r>
      <w:r w:rsidRPr="000977F7">
        <w:rPr>
          <w:rFonts w:asciiTheme="majorHAnsi" w:hAnsiTheme="majorHAnsi"/>
          <w:sz w:val="20"/>
          <w:szCs w:val="20"/>
        </w:rPr>
        <w:t>наявності</w:t>
      </w:r>
      <w:r w:rsidRPr="000977F7">
        <w:rPr>
          <w:rFonts w:asciiTheme="majorHAnsi" w:hAnsiTheme="majorHAnsi"/>
          <w:spacing w:val="23"/>
          <w:sz w:val="20"/>
          <w:szCs w:val="20"/>
        </w:rPr>
        <w:t xml:space="preserve"> </w:t>
      </w:r>
      <w:r w:rsidRPr="000977F7">
        <w:rPr>
          <w:rFonts w:asciiTheme="majorHAnsi" w:hAnsiTheme="majorHAnsi"/>
          <w:sz w:val="20"/>
          <w:szCs w:val="20"/>
        </w:rPr>
        <w:t>на</w:t>
      </w:r>
      <w:r w:rsidRPr="000977F7">
        <w:rPr>
          <w:rFonts w:asciiTheme="majorHAnsi" w:hAnsiTheme="majorHAnsi"/>
          <w:spacing w:val="21"/>
          <w:sz w:val="20"/>
          <w:szCs w:val="20"/>
        </w:rPr>
        <w:t xml:space="preserve"> </w:t>
      </w:r>
      <w:r w:rsidRPr="000977F7">
        <w:rPr>
          <w:rFonts w:asciiTheme="majorHAnsi" w:hAnsiTheme="majorHAnsi"/>
          <w:sz w:val="20"/>
          <w:szCs w:val="20"/>
        </w:rPr>
        <w:t>поверхні</w:t>
      </w:r>
      <w:r w:rsidRPr="000977F7">
        <w:rPr>
          <w:rFonts w:asciiTheme="majorHAnsi" w:hAnsiTheme="majorHAnsi"/>
          <w:spacing w:val="22"/>
          <w:sz w:val="20"/>
          <w:szCs w:val="20"/>
        </w:rPr>
        <w:t xml:space="preserve"> </w:t>
      </w:r>
      <w:r w:rsidRPr="000977F7">
        <w:rPr>
          <w:rFonts w:asciiTheme="majorHAnsi" w:hAnsiTheme="majorHAnsi"/>
          <w:sz w:val="20"/>
          <w:szCs w:val="20"/>
        </w:rPr>
        <w:t>тертя</w:t>
      </w:r>
      <w:r w:rsidRPr="000977F7">
        <w:rPr>
          <w:rFonts w:asciiTheme="majorHAnsi" w:hAnsiTheme="majorHAnsi"/>
          <w:spacing w:val="20"/>
          <w:sz w:val="20"/>
          <w:szCs w:val="20"/>
        </w:rPr>
        <w:t xml:space="preserve"> </w:t>
      </w:r>
      <w:r w:rsidRPr="000977F7">
        <w:rPr>
          <w:rFonts w:asciiTheme="majorHAnsi" w:hAnsiTheme="majorHAnsi"/>
          <w:sz w:val="20"/>
          <w:szCs w:val="20"/>
        </w:rPr>
        <w:t>будь</w:t>
      </w:r>
      <w:r w:rsidRPr="000977F7">
        <w:rPr>
          <w:rFonts w:asciiTheme="majorHAnsi" w:hAnsiTheme="majorHAnsi"/>
          <w:spacing w:val="25"/>
          <w:sz w:val="20"/>
          <w:szCs w:val="20"/>
        </w:rPr>
        <w:t xml:space="preserve"> </w:t>
      </w:r>
      <w:r w:rsidRPr="000977F7">
        <w:rPr>
          <w:rFonts w:asciiTheme="majorHAnsi" w:hAnsiTheme="majorHAnsi"/>
          <w:sz w:val="20"/>
          <w:szCs w:val="20"/>
        </w:rPr>
        <w:t>–</w:t>
      </w:r>
      <w:r w:rsidRPr="000977F7">
        <w:rPr>
          <w:rFonts w:asciiTheme="majorHAnsi" w:hAnsiTheme="majorHAnsi"/>
          <w:spacing w:val="-47"/>
          <w:sz w:val="20"/>
          <w:szCs w:val="20"/>
        </w:rPr>
        <w:t xml:space="preserve"> </w:t>
      </w:r>
      <w:r w:rsidRPr="000977F7">
        <w:rPr>
          <w:rFonts w:asciiTheme="majorHAnsi" w:hAnsiTheme="majorHAnsi"/>
          <w:sz w:val="20"/>
          <w:szCs w:val="20"/>
        </w:rPr>
        <w:t>якого підведеного мастильного</w:t>
      </w:r>
      <w:r w:rsidRPr="000977F7">
        <w:rPr>
          <w:rFonts w:asciiTheme="majorHAnsi" w:hAnsiTheme="majorHAnsi"/>
          <w:spacing w:val="1"/>
          <w:sz w:val="20"/>
          <w:szCs w:val="20"/>
        </w:rPr>
        <w:t xml:space="preserve"> </w:t>
      </w:r>
      <w:r w:rsidRPr="000977F7">
        <w:rPr>
          <w:rFonts w:asciiTheme="majorHAnsi" w:hAnsiTheme="majorHAnsi"/>
          <w:sz w:val="20"/>
          <w:szCs w:val="20"/>
        </w:rPr>
        <w:t>матеріалу</w:t>
      </w:r>
    </w:p>
    <w:p w14:paraId="3CFD551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2823</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5DB508F9"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ТЕРТЯ</w:t>
      </w:r>
      <w:r w:rsidRPr="004D2D14">
        <w:rPr>
          <w:rFonts w:asciiTheme="majorHAnsi" w:hAnsiTheme="majorHAnsi"/>
          <w:b/>
          <w:sz w:val="20"/>
          <w:szCs w:val="20"/>
          <w:lang w:val="en-US"/>
        </w:rPr>
        <w:t xml:space="preserve"> </w:t>
      </w:r>
      <w:r w:rsidRPr="000977F7">
        <w:rPr>
          <w:rFonts w:asciiTheme="majorHAnsi" w:hAnsiTheme="majorHAnsi"/>
          <w:b/>
          <w:sz w:val="20"/>
          <w:szCs w:val="20"/>
        </w:rPr>
        <w:t>КОВЗАННЯ</w:t>
      </w:r>
      <w:r w:rsidRPr="004D2D14">
        <w:rPr>
          <w:rFonts w:asciiTheme="majorHAnsi" w:hAnsiTheme="majorHAnsi"/>
          <w:b/>
          <w:sz w:val="20"/>
          <w:szCs w:val="20"/>
          <w:lang w:val="en-US"/>
        </w:rPr>
        <w:t xml:space="preserve"> –</w:t>
      </w:r>
    </w:p>
    <w:p w14:paraId="05262136"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b/>
          <w:spacing w:val="-47"/>
          <w:sz w:val="20"/>
          <w:szCs w:val="20"/>
          <w:lang w:val="en-US"/>
        </w:rPr>
        <w:t xml:space="preserve"> </w:t>
      </w:r>
      <w:r w:rsidRPr="004D2D14">
        <w:rPr>
          <w:rFonts w:asciiTheme="majorHAnsi" w:hAnsiTheme="majorHAnsi"/>
          <w:sz w:val="20"/>
          <w:szCs w:val="20"/>
          <w:lang w:val="en-US"/>
        </w:rPr>
        <w:t>SLIDING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FRICTION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2D4C58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Тертя</w:t>
      </w:r>
      <w:r w:rsidRPr="000977F7">
        <w:rPr>
          <w:rFonts w:asciiTheme="majorHAnsi" w:hAnsiTheme="majorHAnsi"/>
          <w:spacing w:val="21"/>
          <w:sz w:val="20"/>
          <w:szCs w:val="20"/>
        </w:rPr>
        <w:t xml:space="preserve"> </w:t>
      </w:r>
      <w:r w:rsidRPr="000977F7">
        <w:rPr>
          <w:rFonts w:asciiTheme="majorHAnsi" w:hAnsiTheme="majorHAnsi"/>
          <w:sz w:val="20"/>
          <w:szCs w:val="20"/>
        </w:rPr>
        <w:t>руху,</w:t>
      </w:r>
      <w:r w:rsidRPr="000977F7">
        <w:rPr>
          <w:rFonts w:asciiTheme="majorHAnsi" w:hAnsiTheme="majorHAnsi"/>
          <w:spacing w:val="25"/>
          <w:sz w:val="20"/>
          <w:szCs w:val="20"/>
        </w:rPr>
        <w:t xml:space="preserve"> </w:t>
      </w:r>
      <w:r w:rsidRPr="000977F7">
        <w:rPr>
          <w:rFonts w:asciiTheme="majorHAnsi" w:hAnsiTheme="majorHAnsi"/>
          <w:sz w:val="20"/>
          <w:szCs w:val="20"/>
        </w:rPr>
        <w:t>під</w:t>
      </w:r>
      <w:r w:rsidRPr="000977F7">
        <w:rPr>
          <w:rFonts w:asciiTheme="majorHAnsi" w:hAnsiTheme="majorHAnsi"/>
          <w:spacing w:val="22"/>
          <w:sz w:val="20"/>
          <w:szCs w:val="20"/>
        </w:rPr>
        <w:t xml:space="preserve"> </w:t>
      </w:r>
      <w:r w:rsidRPr="000977F7">
        <w:rPr>
          <w:rFonts w:asciiTheme="majorHAnsi" w:hAnsiTheme="majorHAnsi"/>
          <w:sz w:val="20"/>
          <w:szCs w:val="20"/>
        </w:rPr>
        <w:t>час</w:t>
      </w:r>
      <w:r w:rsidRPr="000977F7">
        <w:rPr>
          <w:rFonts w:asciiTheme="majorHAnsi" w:hAnsiTheme="majorHAnsi"/>
          <w:spacing w:val="22"/>
          <w:sz w:val="20"/>
          <w:szCs w:val="20"/>
        </w:rPr>
        <w:t xml:space="preserve"> </w:t>
      </w:r>
      <w:r w:rsidRPr="000977F7">
        <w:rPr>
          <w:rFonts w:asciiTheme="majorHAnsi" w:hAnsiTheme="majorHAnsi"/>
          <w:sz w:val="20"/>
          <w:szCs w:val="20"/>
        </w:rPr>
        <w:t>якого</w:t>
      </w:r>
      <w:r w:rsidRPr="000977F7">
        <w:rPr>
          <w:rFonts w:asciiTheme="majorHAnsi" w:hAnsiTheme="majorHAnsi"/>
          <w:spacing w:val="24"/>
          <w:sz w:val="20"/>
          <w:szCs w:val="20"/>
        </w:rPr>
        <w:t xml:space="preserve"> </w:t>
      </w:r>
      <w:r w:rsidRPr="000977F7">
        <w:rPr>
          <w:rFonts w:asciiTheme="majorHAnsi" w:hAnsiTheme="majorHAnsi"/>
          <w:sz w:val="20"/>
          <w:szCs w:val="20"/>
        </w:rPr>
        <w:t>швидкості</w:t>
      </w:r>
      <w:r w:rsidRPr="000977F7">
        <w:rPr>
          <w:rFonts w:asciiTheme="majorHAnsi" w:hAnsiTheme="majorHAnsi"/>
          <w:spacing w:val="21"/>
          <w:sz w:val="20"/>
          <w:szCs w:val="20"/>
        </w:rPr>
        <w:t xml:space="preserve"> </w:t>
      </w:r>
      <w:r w:rsidRPr="000977F7">
        <w:rPr>
          <w:rFonts w:asciiTheme="majorHAnsi" w:hAnsiTheme="majorHAnsi"/>
          <w:sz w:val="20"/>
          <w:szCs w:val="20"/>
        </w:rPr>
        <w:t>тіл</w:t>
      </w:r>
      <w:r w:rsidRPr="000977F7">
        <w:rPr>
          <w:rFonts w:asciiTheme="majorHAnsi" w:hAnsiTheme="majorHAnsi"/>
          <w:spacing w:val="22"/>
          <w:sz w:val="20"/>
          <w:szCs w:val="20"/>
        </w:rPr>
        <w:t xml:space="preserve"> </w:t>
      </w:r>
      <w:r w:rsidRPr="000977F7">
        <w:rPr>
          <w:rFonts w:asciiTheme="majorHAnsi" w:hAnsiTheme="majorHAnsi"/>
          <w:sz w:val="20"/>
          <w:szCs w:val="20"/>
        </w:rPr>
        <w:t>в</w:t>
      </w:r>
      <w:r w:rsidRPr="000977F7">
        <w:rPr>
          <w:rFonts w:asciiTheme="majorHAnsi" w:hAnsiTheme="majorHAnsi"/>
          <w:spacing w:val="21"/>
          <w:sz w:val="20"/>
          <w:szCs w:val="20"/>
        </w:rPr>
        <w:t xml:space="preserve"> </w:t>
      </w:r>
      <w:r w:rsidRPr="000977F7">
        <w:rPr>
          <w:rFonts w:asciiTheme="majorHAnsi" w:hAnsiTheme="majorHAnsi"/>
          <w:sz w:val="20"/>
          <w:szCs w:val="20"/>
        </w:rPr>
        <w:t>точках</w:t>
      </w:r>
      <w:r w:rsidRPr="000977F7">
        <w:rPr>
          <w:rFonts w:asciiTheme="majorHAnsi" w:hAnsiTheme="majorHAnsi"/>
          <w:spacing w:val="21"/>
          <w:sz w:val="20"/>
          <w:szCs w:val="20"/>
        </w:rPr>
        <w:t xml:space="preserve"> </w:t>
      </w:r>
      <w:r w:rsidRPr="000977F7">
        <w:rPr>
          <w:rFonts w:asciiTheme="majorHAnsi" w:hAnsiTheme="majorHAnsi"/>
          <w:sz w:val="20"/>
          <w:szCs w:val="20"/>
        </w:rPr>
        <w:t>дотику відрізняються за величиною і (чи) напрямком</w:t>
      </w:r>
    </w:p>
    <w:p w14:paraId="57AB56C9"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2823</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632D4F6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ТЕРТЯ</w:t>
      </w:r>
      <w:r w:rsidRPr="000977F7">
        <w:rPr>
          <w:color w:val="auto"/>
          <w:spacing w:val="-3"/>
          <w:sz w:val="20"/>
          <w:szCs w:val="20"/>
        </w:rPr>
        <w:t xml:space="preserve"> </w:t>
      </w:r>
      <w:r w:rsidRPr="000977F7">
        <w:rPr>
          <w:color w:val="auto"/>
          <w:sz w:val="20"/>
          <w:szCs w:val="20"/>
        </w:rPr>
        <w:t>КОЧЕННЯ</w:t>
      </w:r>
      <w:r w:rsidRPr="000977F7">
        <w:rPr>
          <w:color w:val="auto"/>
          <w:spacing w:val="-1"/>
          <w:sz w:val="20"/>
          <w:szCs w:val="20"/>
        </w:rPr>
        <w:t xml:space="preserve"> </w:t>
      </w:r>
      <w:r w:rsidRPr="000977F7">
        <w:rPr>
          <w:color w:val="auto"/>
          <w:sz w:val="20"/>
          <w:szCs w:val="20"/>
        </w:rPr>
        <w:t>–</w:t>
      </w:r>
    </w:p>
    <w:p w14:paraId="5C4D3D2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ROLLING</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FRICTION –</w:t>
      </w:r>
    </w:p>
    <w:p w14:paraId="1A30B7C0" w14:textId="77777777" w:rsidR="0097612F" w:rsidRPr="000977F7" w:rsidRDefault="0097612F" w:rsidP="000977F7">
      <w:pPr>
        <w:pStyle w:val="af6"/>
        <w:tabs>
          <w:tab w:val="left" w:pos="284"/>
        </w:tabs>
        <w:spacing w:after="0"/>
        <w:ind w:left="170"/>
        <w:mirrorIndents/>
        <w:jc w:val="both"/>
        <w:rPr>
          <w:rFonts w:asciiTheme="majorHAnsi" w:hAnsiTheme="majorHAnsi"/>
          <w:spacing w:val="-6"/>
          <w:sz w:val="20"/>
          <w:szCs w:val="20"/>
        </w:rPr>
      </w:pPr>
      <w:r w:rsidRPr="000977F7">
        <w:rPr>
          <w:rFonts w:asciiTheme="majorHAnsi" w:hAnsiTheme="majorHAnsi"/>
          <w:spacing w:val="-3"/>
          <w:w w:val="95"/>
          <w:sz w:val="20"/>
          <w:szCs w:val="20"/>
        </w:rPr>
        <w:lastRenderedPageBreak/>
        <w:t>Тертя</w:t>
      </w:r>
      <w:r w:rsidRPr="000977F7">
        <w:rPr>
          <w:rFonts w:asciiTheme="majorHAnsi" w:hAnsiTheme="majorHAnsi"/>
          <w:spacing w:val="-13"/>
          <w:w w:val="95"/>
          <w:sz w:val="20"/>
          <w:szCs w:val="20"/>
        </w:rPr>
        <w:t xml:space="preserve"> </w:t>
      </w:r>
      <w:r w:rsidRPr="000977F7">
        <w:rPr>
          <w:rFonts w:asciiTheme="majorHAnsi" w:hAnsiTheme="majorHAnsi"/>
          <w:spacing w:val="-2"/>
          <w:w w:val="95"/>
          <w:sz w:val="20"/>
          <w:szCs w:val="20"/>
        </w:rPr>
        <w:t>руху,</w:t>
      </w:r>
      <w:r w:rsidRPr="000977F7">
        <w:rPr>
          <w:rFonts w:asciiTheme="majorHAnsi" w:hAnsiTheme="majorHAnsi"/>
          <w:spacing w:val="-6"/>
          <w:w w:val="95"/>
          <w:sz w:val="20"/>
          <w:szCs w:val="20"/>
        </w:rPr>
        <w:t xml:space="preserve"> </w:t>
      </w:r>
      <w:r w:rsidRPr="000977F7">
        <w:rPr>
          <w:rFonts w:asciiTheme="majorHAnsi" w:hAnsiTheme="majorHAnsi"/>
          <w:spacing w:val="-2"/>
          <w:w w:val="95"/>
          <w:sz w:val="20"/>
          <w:szCs w:val="20"/>
        </w:rPr>
        <w:t>під</w:t>
      </w:r>
      <w:r w:rsidRPr="000977F7">
        <w:rPr>
          <w:rFonts w:asciiTheme="majorHAnsi" w:hAnsiTheme="majorHAnsi"/>
          <w:spacing w:val="-11"/>
          <w:w w:val="95"/>
          <w:sz w:val="20"/>
          <w:szCs w:val="20"/>
        </w:rPr>
        <w:t xml:space="preserve"> </w:t>
      </w:r>
      <w:r w:rsidRPr="000977F7">
        <w:rPr>
          <w:rFonts w:asciiTheme="majorHAnsi" w:hAnsiTheme="majorHAnsi"/>
          <w:spacing w:val="-2"/>
          <w:w w:val="95"/>
          <w:sz w:val="20"/>
          <w:szCs w:val="20"/>
        </w:rPr>
        <w:t>час</w:t>
      </w:r>
      <w:r w:rsidRPr="000977F7">
        <w:rPr>
          <w:rFonts w:asciiTheme="majorHAnsi" w:hAnsiTheme="majorHAnsi"/>
          <w:spacing w:val="-9"/>
          <w:w w:val="95"/>
          <w:sz w:val="20"/>
          <w:szCs w:val="20"/>
        </w:rPr>
        <w:t xml:space="preserve"> </w:t>
      </w:r>
      <w:r w:rsidRPr="000977F7">
        <w:rPr>
          <w:rFonts w:asciiTheme="majorHAnsi" w:hAnsiTheme="majorHAnsi"/>
          <w:spacing w:val="-2"/>
          <w:w w:val="95"/>
          <w:sz w:val="20"/>
          <w:szCs w:val="20"/>
        </w:rPr>
        <w:t>якого</w:t>
      </w:r>
      <w:r w:rsidRPr="000977F7">
        <w:rPr>
          <w:rFonts w:asciiTheme="majorHAnsi" w:hAnsiTheme="majorHAnsi"/>
          <w:spacing w:val="-8"/>
          <w:w w:val="95"/>
          <w:sz w:val="20"/>
          <w:szCs w:val="20"/>
        </w:rPr>
        <w:t xml:space="preserve"> </w:t>
      </w:r>
      <w:r w:rsidRPr="000977F7">
        <w:rPr>
          <w:rFonts w:asciiTheme="majorHAnsi" w:hAnsiTheme="majorHAnsi"/>
          <w:spacing w:val="-2"/>
          <w:w w:val="95"/>
          <w:sz w:val="20"/>
          <w:szCs w:val="20"/>
        </w:rPr>
        <w:t>швидкості</w:t>
      </w:r>
      <w:r w:rsidRPr="000977F7">
        <w:rPr>
          <w:rFonts w:asciiTheme="majorHAnsi" w:hAnsiTheme="majorHAnsi"/>
          <w:spacing w:val="-10"/>
          <w:w w:val="95"/>
          <w:sz w:val="20"/>
          <w:szCs w:val="20"/>
        </w:rPr>
        <w:t xml:space="preserve"> </w:t>
      </w:r>
      <w:r w:rsidRPr="000977F7">
        <w:rPr>
          <w:rFonts w:asciiTheme="majorHAnsi" w:hAnsiTheme="majorHAnsi"/>
          <w:spacing w:val="-2"/>
          <w:w w:val="95"/>
          <w:sz w:val="20"/>
          <w:szCs w:val="20"/>
        </w:rPr>
        <w:t>тіл</w:t>
      </w:r>
      <w:r w:rsidRPr="000977F7">
        <w:rPr>
          <w:rFonts w:asciiTheme="majorHAnsi" w:hAnsiTheme="majorHAnsi"/>
          <w:spacing w:val="-10"/>
          <w:w w:val="95"/>
          <w:sz w:val="20"/>
          <w:szCs w:val="20"/>
        </w:rPr>
        <w:t xml:space="preserve"> </w:t>
      </w:r>
      <w:r w:rsidRPr="000977F7">
        <w:rPr>
          <w:rFonts w:asciiTheme="majorHAnsi" w:hAnsiTheme="majorHAnsi"/>
          <w:spacing w:val="-2"/>
          <w:w w:val="95"/>
          <w:sz w:val="20"/>
          <w:szCs w:val="20"/>
        </w:rPr>
        <w:t>однакові</w:t>
      </w:r>
      <w:r w:rsidRPr="000977F7">
        <w:rPr>
          <w:rFonts w:asciiTheme="majorHAnsi" w:hAnsiTheme="majorHAnsi"/>
          <w:spacing w:val="-9"/>
          <w:w w:val="95"/>
          <w:sz w:val="20"/>
          <w:szCs w:val="20"/>
        </w:rPr>
        <w:t xml:space="preserve"> </w:t>
      </w:r>
      <w:r w:rsidRPr="000977F7">
        <w:rPr>
          <w:rFonts w:asciiTheme="majorHAnsi" w:hAnsiTheme="majorHAnsi"/>
          <w:spacing w:val="-2"/>
          <w:w w:val="95"/>
          <w:sz w:val="20"/>
          <w:szCs w:val="20"/>
        </w:rPr>
        <w:t>за</w:t>
      </w:r>
      <w:r w:rsidRPr="000977F7">
        <w:rPr>
          <w:rFonts w:asciiTheme="majorHAnsi" w:hAnsiTheme="majorHAnsi"/>
          <w:spacing w:val="-10"/>
          <w:w w:val="95"/>
          <w:sz w:val="20"/>
          <w:szCs w:val="20"/>
        </w:rPr>
        <w:t xml:space="preserve"> </w:t>
      </w:r>
      <w:r w:rsidRPr="000977F7">
        <w:rPr>
          <w:rFonts w:asciiTheme="majorHAnsi" w:hAnsiTheme="majorHAnsi"/>
          <w:spacing w:val="-2"/>
          <w:w w:val="95"/>
          <w:sz w:val="20"/>
          <w:szCs w:val="20"/>
        </w:rPr>
        <w:t>величи</w:t>
      </w:r>
      <w:r w:rsidRPr="000977F7">
        <w:rPr>
          <w:rFonts w:asciiTheme="majorHAnsi" w:hAnsiTheme="majorHAnsi"/>
          <w:spacing w:val="-8"/>
          <w:sz w:val="20"/>
          <w:szCs w:val="20"/>
        </w:rPr>
        <w:t xml:space="preserve">ною і </w:t>
      </w:r>
      <w:r w:rsidRPr="000977F7">
        <w:rPr>
          <w:rFonts w:asciiTheme="majorHAnsi" w:hAnsiTheme="majorHAnsi"/>
          <w:spacing w:val="-7"/>
          <w:sz w:val="20"/>
          <w:szCs w:val="20"/>
        </w:rPr>
        <w:t>напрямком, принаймні, в одній точці зони контакту</w:t>
      </w:r>
      <w:r w:rsidRPr="000977F7">
        <w:rPr>
          <w:rFonts w:asciiTheme="majorHAnsi" w:hAnsiTheme="majorHAnsi"/>
          <w:spacing w:val="-6"/>
          <w:sz w:val="20"/>
          <w:szCs w:val="20"/>
        </w:rPr>
        <w:t xml:space="preserve"> </w:t>
      </w:r>
    </w:p>
    <w:p w14:paraId="5A05F067"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2823</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0E48D5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ТЕРТЯ</w:t>
      </w:r>
      <w:r w:rsidRPr="000977F7">
        <w:rPr>
          <w:color w:val="auto"/>
          <w:spacing w:val="-4"/>
          <w:sz w:val="20"/>
          <w:szCs w:val="20"/>
        </w:rPr>
        <w:t xml:space="preserve"> </w:t>
      </w:r>
      <w:r w:rsidRPr="000977F7">
        <w:rPr>
          <w:color w:val="auto"/>
          <w:sz w:val="20"/>
          <w:szCs w:val="20"/>
        </w:rPr>
        <w:t>КОЧЕННЯ</w:t>
      </w:r>
      <w:r w:rsidRPr="000977F7">
        <w:rPr>
          <w:color w:val="auto"/>
          <w:spacing w:val="-3"/>
          <w:sz w:val="20"/>
          <w:szCs w:val="20"/>
        </w:rPr>
        <w:t xml:space="preserve"> </w:t>
      </w:r>
      <w:r w:rsidRPr="000977F7">
        <w:rPr>
          <w:color w:val="auto"/>
          <w:sz w:val="20"/>
          <w:szCs w:val="20"/>
        </w:rPr>
        <w:t>З</w:t>
      </w:r>
      <w:r w:rsidRPr="000977F7">
        <w:rPr>
          <w:color w:val="auto"/>
          <w:spacing w:val="-4"/>
          <w:sz w:val="20"/>
          <w:szCs w:val="20"/>
        </w:rPr>
        <w:t xml:space="preserve"> </w:t>
      </w:r>
      <w:r w:rsidRPr="000977F7">
        <w:rPr>
          <w:color w:val="auto"/>
          <w:sz w:val="20"/>
          <w:szCs w:val="20"/>
        </w:rPr>
        <w:t>РОКОВЗУВАННЯМ</w:t>
      </w:r>
      <w:r w:rsidRPr="000977F7">
        <w:rPr>
          <w:color w:val="auto"/>
          <w:spacing w:val="2"/>
          <w:sz w:val="20"/>
          <w:szCs w:val="20"/>
        </w:rPr>
        <w:t xml:space="preserve"> </w:t>
      </w:r>
      <w:r w:rsidRPr="000977F7">
        <w:rPr>
          <w:color w:val="auto"/>
          <w:sz w:val="20"/>
          <w:szCs w:val="20"/>
        </w:rPr>
        <w:t>–</w:t>
      </w:r>
    </w:p>
    <w:p w14:paraId="4B0F07F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COMBINED</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ROLLING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AND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SLIDING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FRICTION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1AB2566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Тертя</w:t>
      </w:r>
      <w:r w:rsidRPr="000977F7">
        <w:rPr>
          <w:rFonts w:asciiTheme="majorHAnsi" w:hAnsiTheme="majorHAnsi"/>
          <w:spacing w:val="36"/>
          <w:sz w:val="20"/>
          <w:szCs w:val="20"/>
        </w:rPr>
        <w:t xml:space="preserve"> </w:t>
      </w:r>
      <w:r w:rsidRPr="000977F7">
        <w:rPr>
          <w:rFonts w:asciiTheme="majorHAnsi" w:hAnsiTheme="majorHAnsi"/>
          <w:sz w:val="20"/>
          <w:szCs w:val="20"/>
        </w:rPr>
        <w:t>руху</w:t>
      </w:r>
      <w:r w:rsidRPr="000977F7">
        <w:rPr>
          <w:rFonts w:asciiTheme="majorHAnsi" w:hAnsiTheme="majorHAnsi"/>
          <w:spacing w:val="36"/>
          <w:sz w:val="20"/>
          <w:szCs w:val="20"/>
        </w:rPr>
        <w:t xml:space="preserve"> </w:t>
      </w:r>
      <w:r w:rsidRPr="000977F7">
        <w:rPr>
          <w:rFonts w:asciiTheme="majorHAnsi" w:hAnsiTheme="majorHAnsi"/>
          <w:sz w:val="20"/>
          <w:szCs w:val="20"/>
        </w:rPr>
        <w:t>двох</w:t>
      </w:r>
      <w:r w:rsidRPr="000977F7">
        <w:rPr>
          <w:rFonts w:asciiTheme="majorHAnsi" w:hAnsiTheme="majorHAnsi"/>
          <w:spacing w:val="37"/>
          <w:sz w:val="20"/>
          <w:szCs w:val="20"/>
        </w:rPr>
        <w:t xml:space="preserve"> </w:t>
      </w:r>
      <w:r w:rsidRPr="000977F7">
        <w:rPr>
          <w:rFonts w:asciiTheme="majorHAnsi" w:hAnsiTheme="majorHAnsi"/>
          <w:sz w:val="20"/>
          <w:szCs w:val="20"/>
        </w:rPr>
        <w:t>тіл</w:t>
      </w:r>
      <w:r w:rsidRPr="000977F7">
        <w:rPr>
          <w:rFonts w:asciiTheme="majorHAnsi" w:hAnsiTheme="majorHAnsi"/>
          <w:spacing w:val="38"/>
          <w:sz w:val="20"/>
          <w:szCs w:val="20"/>
        </w:rPr>
        <w:t xml:space="preserve"> </w:t>
      </w:r>
      <w:r w:rsidRPr="000977F7">
        <w:rPr>
          <w:rFonts w:asciiTheme="majorHAnsi" w:hAnsiTheme="majorHAnsi"/>
          <w:sz w:val="20"/>
          <w:szCs w:val="20"/>
        </w:rPr>
        <w:t>з</w:t>
      </w:r>
      <w:r w:rsidRPr="000977F7">
        <w:rPr>
          <w:rFonts w:asciiTheme="majorHAnsi" w:hAnsiTheme="majorHAnsi"/>
          <w:spacing w:val="37"/>
          <w:sz w:val="20"/>
          <w:szCs w:val="20"/>
        </w:rPr>
        <w:t xml:space="preserve"> </w:t>
      </w:r>
      <w:r w:rsidRPr="000977F7">
        <w:rPr>
          <w:rFonts w:asciiTheme="majorHAnsi" w:hAnsiTheme="majorHAnsi"/>
          <w:sz w:val="20"/>
          <w:szCs w:val="20"/>
        </w:rPr>
        <w:t>одночасним</w:t>
      </w:r>
      <w:r w:rsidRPr="000977F7">
        <w:rPr>
          <w:rFonts w:asciiTheme="majorHAnsi" w:hAnsiTheme="majorHAnsi"/>
          <w:spacing w:val="38"/>
          <w:sz w:val="20"/>
          <w:szCs w:val="20"/>
        </w:rPr>
        <w:t xml:space="preserve"> </w:t>
      </w:r>
      <w:r w:rsidRPr="000977F7">
        <w:rPr>
          <w:rFonts w:asciiTheme="majorHAnsi" w:hAnsiTheme="majorHAnsi"/>
          <w:sz w:val="20"/>
          <w:szCs w:val="20"/>
        </w:rPr>
        <w:t>тертям</w:t>
      </w:r>
      <w:r w:rsidRPr="000977F7">
        <w:rPr>
          <w:rFonts w:asciiTheme="majorHAnsi" w:hAnsiTheme="majorHAnsi"/>
          <w:spacing w:val="37"/>
          <w:sz w:val="20"/>
          <w:szCs w:val="20"/>
        </w:rPr>
        <w:t xml:space="preserve"> </w:t>
      </w:r>
      <w:r w:rsidRPr="000977F7">
        <w:rPr>
          <w:rFonts w:asciiTheme="majorHAnsi" w:hAnsiTheme="majorHAnsi"/>
          <w:sz w:val="20"/>
          <w:szCs w:val="20"/>
        </w:rPr>
        <w:t>кочення</w:t>
      </w:r>
      <w:r w:rsidRPr="000977F7">
        <w:rPr>
          <w:rFonts w:asciiTheme="majorHAnsi" w:hAnsiTheme="majorHAnsi"/>
          <w:spacing w:val="37"/>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ковзання</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зоні</w:t>
      </w:r>
      <w:r w:rsidRPr="000977F7">
        <w:rPr>
          <w:rFonts w:asciiTheme="majorHAnsi" w:hAnsiTheme="majorHAnsi"/>
          <w:spacing w:val="2"/>
          <w:sz w:val="20"/>
          <w:szCs w:val="20"/>
        </w:rPr>
        <w:t xml:space="preserve"> </w:t>
      </w:r>
      <w:r w:rsidRPr="000977F7">
        <w:rPr>
          <w:rFonts w:asciiTheme="majorHAnsi" w:hAnsiTheme="majorHAnsi"/>
          <w:sz w:val="20"/>
          <w:szCs w:val="20"/>
        </w:rPr>
        <w:t>контакту</w:t>
      </w:r>
    </w:p>
    <w:p w14:paraId="46A9203B"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2823</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6146527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ТЕРТЯ</w:t>
      </w:r>
      <w:r w:rsidRPr="000977F7">
        <w:rPr>
          <w:color w:val="auto"/>
          <w:spacing w:val="-2"/>
          <w:sz w:val="20"/>
          <w:szCs w:val="20"/>
        </w:rPr>
        <w:t xml:space="preserve"> </w:t>
      </w:r>
      <w:r w:rsidRPr="000977F7">
        <w:rPr>
          <w:color w:val="auto"/>
          <w:sz w:val="20"/>
          <w:szCs w:val="20"/>
        </w:rPr>
        <w:t>РУХУ</w:t>
      </w:r>
      <w:r w:rsidRPr="000977F7">
        <w:rPr>
          <w:color w:val="auto"/>
          <w:spacing w:val="-1"/>
          <w:sz w:val="20"/>
          <w:szCs w:val="20"/>
        </w:rPr>
        <w:t xml:space="preserve"> </w:t>
      </w:r>
      <w:r w:rsidRPr="000977F7">
        <w:rPr>
          <w:color w:val="auto"/>
          <w:sz w:val="20"/>
          <w:szCs w:val="20"/>
        </w:rPr>
        <w:t>–</w:t>
      </w:r>
    </w:p>
    <w:p w14:paraId="61D6BA0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DYNAMIC</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FRICTION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05ABA91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Тертя</w:t>
      </w:r>
      <w:r w:rsidRPr="000977F7">
        <w:rPr>
          <w:rFonts w:asciiTheme="majorHAnsi" w:hAnsiTheme="majorHAnsi"/>
          <w:spacing w:val="-4"/>
          <w:sz w:val="20"/>
          <w:szCs w:val="20"/>
        </w:rPr>
        <w:t xml:space="preserve"> </w:t>
      </w:r>
      <w:r w:rsidRPr="000977F7">
        <w:rPr>
          <w:rFonts w:asciiTheme="majorHAnsi" w:hAnsiTheme="majorHAnsi"/>
          <w:sz w:val="20"/>
          <w:szCs w:val="20"/>
        </w:rPr>
        <w:t>двох</w:t>
      </w:r>
      <w:r w:rsidRPr="000977F7">
        <w:rPr>
          <w:rFonts w:asciiTheme="majorHAnsi" w:hAnsiTheme="majorHAnsi"/>
          <w:spacing w:val="-3"/>
          <w:sz w:val="20"/>
          <w:szCs w:val="20"/>
        </w:rPr>
        <w:t xml:space="preserve"> </w:t>
      </w:r>
      <w:r w:rsidRPr="000977F7">
        <w:rPr>
          <w:rFonts w:asciiTheme="majorHAnsi" w:hAnsiTheme="majorHAnsi"/>
          <w:sz w:val="20"/>
          <w:szCs w:val="20"/>
        </w:rPr>
        <w:t>тіл,</w:t>
      </w:r>
      <w:r w:rsidRPr="000977F7">
        <w:rPr>
          <w:rFonts w:asciiTheme="majorHAnsi" w:hAnsiTheme="majorHAnsi"/>
          <w:spacing w:val="-2"/>
          <w:sz w:val="20"/>
          <w:szCs w:val="20"/>
        </w:rPr>
        <w:t xml:space="preserve"> </w:t>
      </w:r>
      <w:r w:rsidRPr="000977F7">
        <w:rPr>
          <w:rFonts w:asciiTheme="majorHAnsi" w:hAnsiTheme="majorHAnsi"/>
          <w:sz w:val="20"/>
          <w:szCs w:val="20"/>
        </w:rPr>
        <w:t>що</w:t>
      </w:r>
      <w:r w:rsidRPr="000977F7">
        <w:rPr>
          <w:rFonts w:asciiTheme="majorHAnsi" w:hAnsiTheme="majorHAnsi"/>
          <w:spacing w:val="-2"/>
          <w:sz w:val="20"/>
          <w:szCs w:val="20"/>
        </w:rPr>
        <w:t xml:space="preserve"> </w:t>
      </w:r>
      <w:r w:rsidRPr="000977F7">
        <w:rPr>
          <w:rFonts w:asciiTheme="majorHAnsi" w:hAnsiTheme="majorHAnsi"/>
          <w:sz w:val="20"/>
          <w:szCs w:val="20"/>
        </w:rPr>
        <w:t>рухаються</w:t>
      </w:r>
      <w:r w:rsidRPr="000977F7">
        <w:rPr>
          <w:rFonts w:asciiTheme="majorHAnsi" w:hAnsiTheme="majorHAnsi"/>
          <w:spacing w:val="-3"/>
          <w:sz w:val="20"/>
          <w:szCs w:val="20"/>
        </w:rPr>
        <w:t xml:space="preserve"> </w:t>
      </w:r>
      <w:r w:rsidRPr="000977F7">
        <w:rPr>
          <w:rFonts w:asciiTheme="majorHAnsi" w:hAnsiTheme="majorHAnsi"/>
          <w:sz w:val="20"/>
          <w:szCs w:val="20"/>
        </w:rPr>
        <w:t>одне</w:t>
      </w:r>
      <w:r w:rsidRPr="000977F7">
        <w:rPr>
          <w:rFonts w:asciiTheme="majorHAnsi" w:hAnsiTheme="majorHAnsi"/>
          <w:spacing w:val="-2"/>
          <w:sz w:val="20"/>
          <w:szCs w:val="20"/>
        </w:rPr>
        <w:t xml:space="preserve"> </w:t>
      </w:r>
      <w:r w:rsidRPr="000977F7">
        <w:rPr>
          <w:rFonts w:asciiTheme="majorHAnsi" w:hAnsiTheme="majorHAnsi"/>
          <w:sz w:val="20"/>
          <w:szCs w:val="20"/>
        </w:rPr>
        <w:t>відносно</w:t>
      </w:r>
      <w:r w:rsidRPr="000977F7">
        <w:rPr>
          <w:rFonts w:asciiTheme="majorHAnsi" w:hAnsiTheme="majorHAnsi"/>
          <w:spacing w:val="-2"/>
          <w:sz w:val="20"/>
          <w:szCs w:val="20"/>
        </w:rPr>
        <w:t xml:space="preserve"> </w:t>
      </w:r>
      <w:r w:rsidRPr="000977F7">
        <w:rPr>
          <w:rFonts w:asciiTheme="majorHAnsi" w:hAnsiTheme="majorHAnsi"/>
          <w:sz w:val="20"/>
          <w:szCs w:val="20"/>
        </w:rPr>
        <w:t>одного</w:t>
      </w:r>
    </w:p>
    <w:p w14:paraId="2582853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2823</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94</w:t>
      </w:r>
    </w:p>
    <w:p w14:paraId="1B3D48C1"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en-US"/>
        </w:rPr>
      </w:pPr>
      <w:r w:rsidRPr="000977F7">
        <w:rPr>
          <w:rFonts w:asciiTheme="majorHAnsi" w:hAnsiTheme="majorHAnsi"/>
          <w:b/>
          <w:sz w:val="20"/>
          <w:szCs w:val="20"/>
        </w:rPr>
        <w:t>ТЕРТЯ</w:t>
      </w:r>
      <w:r w:rsidRPr="004D2D14">
        <w:rPr>
          <w:rFonts w:asciiTheme="majorHAnsi" w:hAnsiTheme="majorHAnsi"/>
          <w:b/>
          <w:spacing w:val="-8"/>
          <w:sz w:val="20"/>
          <w:szCs w:val="20"/>
          <w:lang w:val="en-US"/>
        </w:rPr>
        <w:t xml:space="preserve"> </w:t>
      </w:r>
      <w:r w:rsidRPr="000977F7">
        <w:rPr>
          <w:rFonts w:asciiTheme="majorHAnsi" w:hAnsiTheme="majorHAnsi"/>
          <w:b/>
          <w:sz w:val="20"/>
          <w:szCs w:val="20"/>
        </w:rPr>
        <w:t>СПОКОЮ</w:t>
      </w:r>
      <w:r w:rsidRPr="004D2D14">
        <w:rPr>
          <w:rFonts w:asciiTheme="majorHAnsi" w:hAnsiTheme="majorHAnsi"/>
          <w:b/>
          <w:spacing w:val="-8"/>
          <w:sz w:val="20"/>
          <w:szCs w:val="20"/>
          <w:lang w:val="en-US"/>
        </w:rPr>
        <w:t xml:space="preserve"> </w:t>
      </w:r>
      <w:r w:rsidRPr="004D2D14">
        <w:rPr>
          <w:rFonts w:asciiTheme="majorHAnsi" w:hAnsiTheme="majorHAnsi"/>
          <w:b/>
          <w:sz w:val="20"/>
          <w:szCs w:val="20"/>
          <w:lang w:val="en-US"/>
        </w:rPr>
        <w:t>–</w:t>
      </w:r>
      <w:r w:rsidRPr="004D2D14">
        <w:rPr>
          <w:rFonts w:asciiTheme="majorHAnsi" w:hAnsiTheme="majorHAnsi"/>
          <w:b/>
          <w:spacing w:val="-47"/>
          <w:sz w:val="20"/>
          <w:szCs w:val="20"/>
          <w:lang w:val="en-US"/>
        </w:rPr>
        <w:t xml:space="preserve"> </w:t>
      </w:r>
    </w:p>
    <w:p w14:paraId="191CC951"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STATIC</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FRICTION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0063DA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Тертя</w:t>
      </w:r>
      <w:r w:rsidRPr="000977F7">
        <w:rPr>
          <w:rFonts w:asciiTheme="majorHAnsi" w:hAnsiTheme="majorHAnsi"/>
          <w:spacing w:val="36"/>
          <w:sz w:val="20"/>
          <w:szCs w:val="20"/>
        </w:rPr>
        <w:t xml:space="preserve"> </w:t>
      </w:r>
      <w:r w:rsidRPr="000977F7">
        <w:rPr>
          <w:rFonts w:asciiTheme="majorHAnsi" w:hAnsiTheme="majorHAnsi"/>
          <w:sz w:val="20"/>
          <w:szCs w:val="20"/>
        </w:rPr>
        <w:t>двох</w:t>
      </w:r>
      <w:r w:rsidRPr="000977F7">
        <w:rPr>
          <w:rFonts w:asciiTheme="majorHAnsi" w:hAnsiTheme="majorHAnsi"/>
          <w:spacing w:val="35"/>
          <w:sz w:val="20"/>
          <w:szCs w:val="20"/>
        </w:rPr>
        <w:t xml:space="preserve"> </w:t>
      </w:r>
      <w:r w:rsidRPr="000977F7">
        <w:rPr>
          <w:rFonts w:asciiTheme="majorHAnsi" w:hAnsiTheme="majorHAnsi"/>
          <w:sz w:val="20"/>
          <w:szCs w:val="20"/>
        </w:rPr>
        <w:t>тіл</w:t>
      </w:r>
      <w:r w:rsidRPr="000977F7">
        <w:rPr>
          <w:rFonts w:asciiTheme="majorHAnsi" w:hAnsiTheme="majorHAnsi"/>
          <w:spacing w:val="35"/>
          <w:sz w:val="20"/>
          <w:szCs w:val="20"/>
        </w:rPr>
        <w:t xml:space="preserve"> </w:t>
      </w:r>
      <w:r w:rsidRPr="000977F7">
        <w:rPr>
          <w:rFonts w:asciiTheme="majorHAnsi" w:hAnsiTheme="majorHAnsi"/>
          <w:sz w:val="20"/>
          <w:szCs w:val="20"/>
        </w:rPr>
        <w:t>за</w:t>
      </w:r>
      <w:r w:rsidRPr="000977F7">
        <w:rPr>
          <w:rFonts w:asciiTheme="majorHAnsi" w:hAnsiTheme="majorHAnsi"/>
          <w:spacing w:val="37"/>
          <w:sz w:val="20"/>
          <w:szCs w:val="20"/>
        </w:rPr>
        <w:t xml:space="preserve"> </w:t>
      </w:r>
      <w:r w:rsidRPr="000977F7">
        <w:rPr>
          <w:rFonts w:asciiTheme="majorHAnsi" w:hAnsiTheme="majorHAnsi"/>
          <w:sz w:val="20"/>
          <w:szCs w:val="20"/>
        </w:rPr>
        <w:t>відсутності</w:t>
      </w:r>
      <w:r w:rsidRPr="000977F7">
        <w:rPr>
          <w:rFonts w:asciiTheme="majorHAnsi" w:hAnsiTheme="majorHAnsi"/>
          <w:spacing w:val="36"/>
          <w:sz w:val="20"/>
          <w:szCs w:val="20"/>
        </w:rPr>
        <w:t xml:space="preserve"> </w:t>
      </w:r>
      <w:r w:rsidRPr="000977F7">
        <w:rPr>
          <w:rFonts w:asciiTheme="majorHAnsi" w:hAnsiTheme="majorHAnsi"/>
          <w:sz w:val="20"/>
          <w:szCs w:val="20"/>
        </w:rPr>
        <w:t>їх</w:t>
      </w:r>
      <w:r w:rsidRPr="000977F7">
        <w:rPr>
          <w:rFonts w:asciiTheme="majorHAnsi" w:hAnsiTheme="majorHAnsi"/>
          <w:spacing w:val="35"/>
          <w:sz w:val="20"/>
          <w:szCs w:val="20"/>
        </w:rPr>
        <w:t xml:space="preserve"> </w:t>
      </w:r>
      <w:r w:rsidRPr="000977F7">
        <w:rPr>
          <w:rFonts w:asciiTheme="majorHAnsi" w:hAnsiTheme="majorHAnsi"/>
          <w:sz w:val="20"/>
          <w:szCs w:val="20"/>
        </w:rPr>
        <w:t>руху</w:t>
      </w:r>
      <w:r w:rsidRPr="000977F7">
        <w:rPr>
          <w:rFonts w:asciiTheme="majorHAnsi" w:hAnsiTheme="majorHAnsi"/>
          <w:spacing w:val="35"/>
          <w:sz w:val="20"/>
          <w:szCs w:val="20"/>
        </w:rPr>
        <w:t xml:space="preserve"> </w:t>
      </w:r>
      <w:r w:rsidRPr="000977F7">
        <w:rPr>
          <w:rFonts w:asciiTheme="majorHAnsi" w:hAnsiTheme="majorHAnsi"/>
          <w:sz w:val="20"/>
          <w:szCs w:val="20"/>
        </w:rPr>
        <w:t>одне</w:t>
      </w:r>
      <w:r w:rsidRPr="000977F7">
        <w:rPr>
          <w:rFonts w:asciiTheme="majorHAnsi" w:hAnsiTheme="majorHAnsi"/>
          <w:spacing w:val="39"/>
          <w:sz w:val="20"/>
          <w:szCs w:val="20"/>
        </w:rPr>
        <w:t xml:space="preserve"> </w:t>
      </w:r>
      <w:r w:rsidRPr="000977F7">
        <w:rPr>
          <w:rFonts w:asciiTheme="majorHAnsi" w:hAnsiTheme="majorHAnsi"/>
          <w:sz w:val="20"/>
          <w:szCs w:val="20"/>
        </w:rPr>
        <w:t>відносно</w:t>
      </w:r>
      <w:r w:rsidRPr="000977F7">
        <w:rPr>
          <w:rFonts w:asciiTheme="majorHAnsi" w:hAnsiTheme="majorHAnsi"/>
          <w:spacing w:val="-47"/>
          <w:sz w:val="20"/>
          <w:szCs w:val="20"/>
        </w:rPr>
        <w:t xml:space="preserve"> </w:t>
      </w:r>
      <w:r w:rsidRPr="000977F7">
        <w:rPr>
          <w:rFonts w:asciiTheme="majorHAnsi" w:hAnsiTheme="majorHAnsi"/>
          <w:sz w:val="20"/>
          <w:szCs w:val="20"/>
        </w:rPr>
        <w:t>одного</w:t>
      </w:r>
    </w:p>
    <w:p w14:paraId="11C440E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0FB4E3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ТЕРТЬОВА</w:t>
      </w:r>
      <w:r w:rsidRPr="000977F7">
        <w:rPr>
          <w:color w:val="auto"/>
          <w:spacing w:val="-3"/>
          <w:sz w:val="20"/>
          <w:szCs w:val="20"/>
        </w:rPr>
        <w:t xml:space="preserve"> </w:t>
      </w:r>
      <w:r w:rsidRPr="000977F7">
        <w:rPr>
          <w:color w:val="auto"/>
          <w:sz w:val="20"/>
          <w:szCs w:val="20"/>
        </w:rPr>
        <w:t>КОРОЗІЯ</w:t>
      </w:r>
      <w:r w:rsidRPr="000977F7">
        <w:rPr>
          <w:color w:val="auto"/>
          <w:spacing w:val="-2"/>
          <w:sz w:val="20"/>
          <w:szCs w:val="20"/>
        </w:rPr>
        <w:t xml:space="preserve"> </w:t>
      </w:r>
      <w:r w:rsidRPr="000977F7">
        <w:rPr>
          <w:color w:val="auto"/>
          <w:sz w:val="20"/>
          <w:szCs w:val="20"/>
        </w:rPr>
        <w:t>–</w:t>
      </w:r>
    </w:p>
    <w:p w14:paraId="33F469D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Руйнування</w:t>
      </w:r>
      <w:r w:rsidRPr="000977F7">
        <w:rPr>
          <w:rFonts w:asciiTheme="majorHAnsi" w:hAnsiTheme="majorHAnsi"/>
          <w:spacing w:val="1"/>
          <w:sz w:val="20"/>
          <w:szCs w:val="20"/>
        </w:rPr>
        <w:t xml:space="preserve"> </w:t>
      </w:r>
      <w:r w:rsidRPr="000977F7">
        <w:rPr>
          <w:rFonts w:asciiTheme="majorHAnsi" w:hAnsiTheme="majorHAnsi"/>
          <w:sz w:val="20"/>
          <w:szCs w:val="20"/>
        </w:rPr>
        <w:t>металу,</w:t>
      </w:r>
      <w:r w:rsidRPr="000977F7">
        <w:rPr>
          <w:rFonts w:asciiTheme="majorHAnsi" w:hAnsiTheme="majorHAnsi"/>
          <w:spacing w:val="1"/>
          <w:sz w:val="20"/>
          <w:szCs w:val="20"/>
        </w:rPr>
        <w:t xml:space="preserve"> </w:t>
      </w:r>
      <w:r w:rsidRPr="000977F7">
        <w:rPr>
          <w:rFonts w:asciiTheme="majorHAnsi" w:hAnsiTheme="majorHAnsi"/>
          <w:sz w:val="20"/>
          <w:szCs w:val="20"/>
        </w:rPr>
        <w:t>спричинене</w:t>
      </w:r>
      <w:r w:rsidRPr="000977F7">
        <w:rPr>
          <w:rFonts w:asciiTheme="majorHAnsi" w:hAnsiTheme="majorHAnsi"/>
          <w:spacing w:val="1"/>
          <w:sz w:val="20"/>
          <w:szCs w:val="20"/>
        </w:rPr>
        <w:t xml:space="preserve"> </w:t>
      </w:r>
      <w:r w:rsidRPr="000977F7">
        <w:rPr>
          <w:rFonts w:asciiTheme="majorHAnsi" w:hAnsiTheme="majorHAnsi"/>
          <w:sz w:val="20"/>
          <w:szCs w:val="20"/>
        </w:rPr>
        <w:t>одночасною</w:t>
      </w:r>
      <w:r w:rsidRPr="000977F7">
        <w:rPr>
          <w:rFonts w:asciiTheme="majorHAnsi" w:hAnsiTheme="majorHAnsi"/>
          <w:spacing w:val="1"/>
          <w:sz w:val="20"/>
          <w:szCs w:val="20"/>
        </w:rPr>
        <w:t xml:space="preserve"> </w:t>
      </w:r>
      <w:r w:rsidRPr="000977F7">
        <w:rPr>
          <w:rFonts w:asciiTheme="majorHAnsi" w:hAnsiTheme="majorHAnsi"/>
          <w:sz w:val="20"/>
          <w:szCs w:val="20"/>
        </w:rPr>
        <w:t>дією</w:t>
      </w:r>
      <w:r w:rsidRPr="000977F7">
        <w:rPr>
          <w:rFonts w:asciiTheme="majorHAnsi" w:hAnsiTheme="majorHAnsi"/>
          <w:spacing w:val="1"/>
          <w:sz w:val="20"/>
          <w:szCs w:val="20"/>
        </w:rPr>
        <w:t xml:space="preserve"> </w:t>
      </w:r>
      <w:r w:rsidRPr="000977F7">
        <w:rPr>
          <w:rFonts w:asciiTheme="majorHAnsi" w:hAnsiTheme="majorHAnsi"/>
          <w:sz w:val="20"/>
          <w:szCs w:val="20"/>
        </w:rPr>
        <w:t>корозивного середовища та</w:t>
      </w:r>
      <w:r w:rsidRPr="000977F7">
        <w:rPr>
          <w:rFonts w:asciiTheme="majorHAnsi" w:hAnsiTheme="majorHAnsi"/>
          <w:spacing w:val="2"/>
          <w:sz w:val="20"/>
          <w:szCs w:val="20"/>
        </w:rPr>
        <w:t xml:space="preserve"> </w:t>
      </w:r>
      <w:r w:rsidRPr="000977F7">
        <w:rPr>
          <w:rFonts w:asciiTheme="majorHAnsi" w:hAnsiTheme="majorHAnsi"/>
          <w:sz w:val="20"/>
          <w:szCs w:val="20"/>
        </w:rPr>
        <w:t>тертя</w:t>
      </w:r>
    </w:p>
    <w:p w14:paraId="428CD1D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3830 - 98</w:t>
      </w:r>
    </w:p>
    <w:p w14:paraId="2F5C020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ТЕСТ</w:t>
      </w:r>
      <w:r w:rsidRPr="000977F7">
        <w:rPr>
          <w:color w:val="auto"/>
          <w:spacing w:val="-4"/>
          <w:sz w:val="20"/>
          <w:szCs w:val="20"/>
        </w:rPr>
        <w:t xml:space="preserve"> </w:t>
      </w:r>
      <w:r w:rsidRPr="000977F7">
        <w:rPr>
          <w:color w:val="auto"/>
          <w:sz w:val="20"/>
          <w:szCs w:val="20"/>
        </w:rPr>
        <w:t>ДІАГНОСТУВАННЯ</w:t>
      </w:r>
      <w:r w:rsidRPr="000977F7">
        <w:rPr>
          <w:color w:val="auto"/>
          <w:spacing w:val="-1"/>
          <w:sz w:val="20"/>
          <w:szCs w:val="20"/>
        </w:rPr>
        <w:t xml:space="preserve"> </w:t>
      </w:r>
      <w:r w:rsidRPr="000977F7">
        <w:rPr>
          <w:color w:val="auto"/>
          <w:sz w:val="20"/>
          <w:szCs w:val="20"/>
        </w:rPr>
        <w:t>–</w:t>
      </w:r>
    </w:p>
    <w:p w14:paraId="77C75C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TEST -</w:t>
      </w:r>
    </w:p>
    <w:p w14:paraId="362FBC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Один</w:t>
      </w:r>
      <w:r w:rsidRPr="000977F7">
        <w:rPr>
          <w:rFonts w:asciiTheme="majorHAnsi" w:hAnsiTheme="majorHAnsi"/>
          <w:spacing w:val="4"/>
          <w:sz w:val="20"/>
          <w:szCs w:val="20"/>
        </w:rPr>
        <w:t xml:space="preserve"> </w:t>
      </w:r>
      <w:r w:rsidRPr="000977F7">
        <w:rPr>
          <w:rFonts w:asciiTheme="majorHAnsi" w:hAnsiTheme="majorHAnsi"/>
          <w:sz w:val="20"/>
          <w:szCs w:val="20"/>
        </w:rPr>
        <w:t>або</w:t>
      </w:r>
      <w:r w:rsidRPr="000977F7">
        <w:rPr>
          <w:rFonts w:asciiTheme="majorHAnsi" w:hAnsiTheme="majorHAnsi"/>
          <w:spacing w:val="6"/>
          <w:sz w:val="20"/>
          <w:szCs w:val="20"/>
        </w:rPr>
        <w:t xml:space="preserve"> </w:t>
      </w:r>
      <w:r w:rsidRPr="000977F7">
        <w:rPr>
          <w:rFonts w:asciiTheme="majorHAnsi" w:hAnsiTheme="majorHAnsi"/>
          <w:sz w:val="20"/>
          <w:szCs w:val="20"/>
        </w:rPr>
        <w:t>декілька</w:t>
      </w:r>
      <w:r w:rsidRPr="000977F7">
        <w:rPr>
          <w:rFonts w:asciiTheme="majorHAnsi" w:hAnsiTheme="majorHAnsi"/>
          <w:spacing w:val="6"/>
          <w:sz w:val="20"/>
          <w:szCs w:val="20"/>
        </w:rPr>
        <w:t xml:space="preserve"> </w:t>
      </w:r>
      <w:r w:rsidRPr="000977F7">
        <w:rPr>
          <w:rFonts w:asciiTheme="majorHAnsi" w:hAnsiTheme="majorHAnsi"/>
          <w:sz w:val="20"/>
          <w:szCs w:val="20"/>
        </w:rPr>
        <w:t>тестових</w:t>
      </w:r>
      <w:r w:rsidRPr="000977F7">
        <w:rPr>
          <w:rFonts w:asciiTheme="majorHAnsi" w:hAnsiTheme="majorHAnsi"/>
          <w:spacing w:val="6"/>
          <w:sz w:val="20"/>
          <w:szCs w:val="20"/>
        </w:rPr>
        <w:t xml:space="preserve"> </w:t>
      </w:r>
      <w:r w:rsidRPr="000977F7">
        <w:rPr>
          <w:rFonts w:asciiTheme="majorHAnsi" w:hAnsiTheme="majorHAnsi"/>
          <w:sz w:val="20"/>
          <w:szCs w:val="20"/>
        </w:rPr>
        <w:t>впливів</w:t>
      </w:r>
      <w:r w:rsidRPr="000977F7">
        <w:rPr>
          <w:rFonts w:asciiTheme="majorHAnsi" w:hAnsiTheme="majorHAnsi"/>
          <w:spacing w:val="6"/>
          <w:sz w:val="20"/>
          <w:szCs w:val="20"/>
        </w:rPr>
        <w:t xml:space="preserve"> </w:t>
      </w:r>
      <w:r w:rsidRPr="000977F7">
        <w:rPr>
          <w:rFonts w:asciiTheme="majorHAnsi" w:hAnsiTheme="majorHAnsi"/>
          <w:sz w:val="20"/>
          <w:szCs w:val="20"/>
        </w:rPr>
        <w:t>і</w:t>
      </w:r>
      <w:r w:rsidRPr="000977F7">
        <w:rPr>
          <w:rFonts w:asciiTheme="majorHAnsi" w:hAnsiTheme="majorHAnsi"/>
          <w:spacing w:val="5"/>
          <w:sz w:val="20"/>
          <w:szCs w:val="20"/>
        </w:rPr>
        <w:t xml:space="preserve"> </w:t>
      </w:r>
      <w:r w:rsidRPr="000977F7">
        <w:rPr>
          <w:rFonts w:asciiTheme="majorHAnsi" w:hAnsiTheme="majorHAnsi"/>
          <w:sz w:val="20"/>
          <w:szCs w:val="20"/>
        </w:rPr>
        <w:t>послідовність</w:t>
      </w:r>
      <w:r w:rsidRPr="000977F7">
        <w:rPr>
          <w:rFonts w:asciiTheme="majorHAnsi" w:hAnsiTheme="majorHAnsi"/>
          <w:spacing w:val="7"/>
          <w:sz w:val="20"/>
          <w:szCs w:val="20"/>
        </w:rPr>
        <w:t xml:space="preserve"> </w:t>
      </w:r>
      <w:r w:rsidRPr="000977F7">
        <w:rPr>
          <w:rFonts w:asciiTheme="majorHAnsi" w:hAnsiTheme="majorHAnsi"/>
          <w:sz w:val="20"/>
          <w:szCs w:val="20"/>
        </w:rPr>
        <w:t>їх</w:t>
      </w:r>
      <w:r w:rsidRPr="000977F7">
        <w:rPr>
          <w:rFonts w:asciiTheme="majorHAnsi" w:hAnsiTheme="majorHAnsi"/>
          <w:spacing w:val="-47"/>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що забезпечують</w:t>
      </w:r>
      <w:r w:rsidRPr="000977F7">
        <w:rPr>
          <w:rFonts w:asciiTheme="majorHAnsi" w:hAnsiTheme="majorHAnsi"/>
          <w:spacing w:val="-1"/>
          <w:sz w:val="20"/>
          <w:szCs w:val="20"/>
        </w:rPr>
        <w:t xml:space="preserve"> </w:t>
      </w:r>
      <w:r w:rsidRPr="000977F7">
        <w:rPr>
          <w:rFonts w:asciiTheme="majorHAnsi" w:hAnsiTheme="majorHAnsi"/>
          <w:sz w:val="20"/>
          <w:szCs w:val="20"/>
        </w:rPr>
        <w:t>діагностування</w:t>
      </w:r>
    </w:p>
    <w:p w14:paraId="606AA39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ТЕСТ</w:t>
      </w:r>
      <w:r w:rsidRPr="000977F7">
        <w:rPr>
          <w:color w:val="auto"/>
          <w:spacing w:val="-4"/>
          <w:sz w:val="20"/>
          <w:szCs w:val="20"/>
        </w:rPr>
        <w:t xml:space="preserve"> </w:t>
      </w:r>
      <w:r w:rsidRPr="000977F7">
        <w:rPr>
          <w:color w:val="auto"/>
          <w:sz w:val="20"/>
          <w:szCs w:val="20"/>
        </w:rPr>
        <w:t>ПОШУКУ</w:t>
      </w:r>
      <w:r w:rsidRPr="000977F7">
        <w:rPr>
          <w:color w:val="auto"/>
          <w:spacing w:val="-3"/>
          <w:sz w:val="20"/>
          <w:szCs w:val="20"/>
        </w:rPr>
        <w:t xml:space="preserve"> </w:t>
      </w:r>
      <w:r w:rsidRPr="000977F7">
        <w:rPr>
          <w:color w:val="auto"/>
          <w:sz w:val="20"/>
          <w:szCs w:val="20"/>
        </w:rPr>
        <w:t>ДЕФЕКТУ</w:t>
      </w:r>
      <w:r w:rsidRPr="000977F7">
        <w:rPr>
          <w:color w:val="auto"/>
          <w:spacing w:val="-1"/>
          <w:sz w:val="20"/>
          <w:szCs w:val="20"/>
        </w:rPr>
        <w:t xml:space="preserve"> </w:t>
      </w:r>
      <w:r w:rsidRPr="000977F7">
        <w:rPr>
          <w:color w:val="auto"/>
          <w:sz w:val="20"/>
          <w:szCs w:val="20"/>
        </w:rPr>
        <w:t>–</w:t>
      </w:r>
    </w:p>
    <w:p w14:paraId="7611DA1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FAULT LOCATION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25E9DF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Тест</w:t>
      </w:r>
      <w:r w:rsidRPr="000977F7">
        <w:rPr>
          <w:rFonts w:asciiTheme="majorHAnsi" w:hAnsiTheme="majorHAnsi"/>
          <w:spacing w:val="-4"/>
          <w:sz w:val="20"/>
          <w:szCs w:val="20"/>
        </w:rPr>
        <w:t xml:space="preserve"> </w:t>
      </w:r>
      <w:r w:rsidRPr="000977F7">
        <w:rPr>
          <w:rFonts w:asciiTheme="majorHAnsi" w:hAnsiTheme="majorHAnsi"/>
          <w:sz w:val="20"/>
          <w:szCs w:val="20"/>
        </w:rPr>
        <w:t>діагностування</w:t>
      </w:r>
      <w:r w:rsidRPr="000977F7">
        <w:rPr>
          <w:rFonts w:asciiTheme="majorHAnsi" w:hAnsiTheme="majorHAnsi"/>
          <w:spacing w:val="-4"/>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пошуку</w:t>
      </w:r>
      <w:r w:rsidRPr="000977F7">
        <w:rPr>
          <w:rFonts w:asciiTheme="majorHAnsi" w:hAnsiTheme="majorHAnsi"/>
          <w:spacing w:val="-3"/>
          <w:sz w:val="20"/>
          <w:szCs w:val="20"/>
        </w:rPr>
        <w:t xml:space="preserve"> </w:t>
      </w:r>
      <w:r w:rsidRPr="000977F7">
        <w:rPr>
          <w:rFonts w:asciiTheme="majorHAnsi" w:hAnsiTheme="majorHAnsi"/>
          <w:sz w:val="20"/>
          <w:szCs w:val="20"/>
        </w:rPr>
        <w:t>дефекту</w:t>
      </w:r>
    </w:p>
    <w:p w14:paraId="182C744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285" w:name="_Hlk101323373"/>
      <w:r w:rsidRPr="000977F7">
        <w:rPr>
          <w:color w:val="auto"/>
          <w:sz w:val="20"/>
          <w:szCs w:val="20"/>
        </w:rPr>
        <w:t>ТЕСТОВЕ</w:t>
      </w:r>
      <w:r w:rsidRPr="000977F7">
        <w:rPr>
          <w:color w:val="auto"/>
          <w:spacing w:val="-5"/>
          <w:sz w:val="20"/>
          <w:szCs w:val="20"/>
        </w:rPr>
        <w:t xml:space="preserve"> </w:t>
      </w:r>
      <w:r w:rsidRPr="000977F7">
        <w:rPr>
          <w:color w:val="auto"/>
          <w:sz w:val="20"/>
          <w:szCs w:val="20"/>
        </w:rPr>
        <w:t>ТЕХНІЧНЕ</w:t>
      </w:r>
      <w:r w:rsidRPr="000977F7">
        <w:rPr>
          <w:color w:val="auto"/>
          <w:spacing w:val="-4"/>
          <w:sz w:val="20"/>
          <w:szCs w:val="20"/>
        </w:rPr>
        <w:t xml:space="preserve"> </w:t>
      </w:r>
      <w:r w:rsidRPr="000977F7">
        <w:rPr>
          <w:color w:val="auto"/>
          <w:sz w:val="20"/>
          <w:szCs w:val="20"/>
        </w:rPr>
        <w:t>ДІАГНОСТУВАННЯ</w:t>
      </w:r>
      <w:r w:rsidRPr="000977F7">
        <w:rPr>
          <w:color w:val="auto"/>
          <w:spacing w:val="-1"/>
          <w:sz w:val="20"/>
          <w:szCs w:val="20"/>
        </w:rPr>
        <w:t xml:space="preserve"> </w:t>
      </w:r>
      <w:r w:rsidRPr="000977F7">
        <w:rPr>
          <w:color w:val="auto"/>
          <w:sz w:val="20"/>
          <w:szCs w:val="20"/>
        </w:rPr>
        <w:t>–</w:t>
      </w:r>
    </w:p>
    <w:p w14:paraId="7C754C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TESTING –</w:t>
      </w:r>
    </w:p>
    <w:bookmarkEnd w:id="285"/>
    <w:p w14:paraId="3B08084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Діагностування,</w:t>
      </w:r>
      <w:r w:rsidRPr="000977F7">
        <w:rPr>
          <w:rFonts w:asciiTheme="majorHAnsi" w:hAnsiTheme="majorHAnsi"/>
          <w:spacing w:val="4"/>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5"/>
          <w:sz w:val="20"/>
          <w:szCs w:val="20"/>
        </w:rPr>
        <w:t xml:space="preserve"> </w:t>
      </w:r>
      <w:r w:rsidRPr="000977F7">
        <w:rPr>
          <w:rFonts w:asciiTheme="majorHAnsi" w:hAnsiTheme="majorHAnsi"/>
          <w:sz w:val="20"/>
          <w:szCs w:val="20"/>
        </w:rPr>
        <w:t>якого</w:t>
      </w:r>
      <w:r w:rsidRPr="000977F7">
        <w:rPr>
          <w:rFonts w:asciiTheme="majorHAnsi" w:hAnsiTheme="majorHAnsi"/>
          <w:spacing w:val="3"/>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об’єкт</w:t>
      </w:r>
      <w:r w:rsidRPr="000977F7">
        <w:rPr>
          <w:rFonts w:asciiTheme="majorHAnsi" w:hAnsiTheme="majorHAnsi"/>
          <w:spacing w:val="4"/>
          <w:sz w:val="20"/>
          <w:szCs w:val="20"/>
        </w:rPr>
        <w:t xml:space="preserve"> </w:t>
      </w:r>
      <w:r w:rsidRPr="000977F7">
        <w:rPr>
          <w:rFonts w:asciiTheme="majorHAnsi" w:hAnsiTheme="majorHAnsi"/>
          <w:sz w:val="20"/>
          <w:szCs w:val="20"/>
        </w:rPr>
        <w:t>подаються</w:t>
      </w:r>
      <w:r w:rsidRPr="000977F7">
        <w:rPr>
          <w:rFonts w:asciiTheme="majorHAnsi" w:hAnsiTheme="majorHAnsi"/>
          <w:spacing w:val="-47"/>
          <w:sz w:val="20"/>
          <w:szCs w:val="20"/>
        </w:rPr>
        <w:t xml:space="preserve"> </w:t>
      </w:r>
      <w:r w:rsidRPr="000977F7">
        <w:rPr>
          <w:rFonts w:asciiTheme="majorHAnsi" w:hAnsiTheme="majorHAnsi"/>
          <w:sz w:val="20"/>
          <w:szCs w:val="20"/>
        </w:rPr>
        <w:t>тестові</w:t>
      </w:r>
      <w:r w:rsidRPr="000977F7">
        <w:rPr>
          <w:rFonts w:asciiTheme="majorHAnsi" w:hAnsiTheme="majorHAnsi"/>
          <w:spacing w:val="-2"/>
          <w:sz w:val="20"/>
          <w:szCs w:val="20"/>
        </w:rPr>
        <w:t xml:space="preserve"> </w:t>
      </w:r>
      <w:r w:rsidRPr="000977F7">
        <w:rPr>
          <w:rFonts w:asciiTheme="majorHAnsi" w:hAnsiTheme="majorHAnsi"/>
          <w:sz w:val="20"/>
          <w:szCs w:val="20"/>
        </w:rPr>
        <w:t>впливи</w:t>
      </w:r>
    </w:p>
    <w:p w14:paraId="3E33953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BF13D7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ТЕХНІЧНА ГАЛУЗЬ -</w:t>
      </w:r>
    </w:p>
    <w:p w14:paraId="50D10009"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Галузь, яка характеризується подібністю процесів, що мають відношення до конкретного типу системи менеджменту та її запланованих результатів</w:t>
      </w:r>
    </w:p>
    <w:p w14:paraId="7CFB3D5F"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ДСТУ EN ISO/IEC 17021-1:2015</w:t>
      </w:r>
    </w:p>
    <w:p w14:paraId="4D6E592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ТЕХНІЧНА ДІАГНОСТИКА –</w:t>
      </w:r>
    </w:p>
    <w:p w14:paraId="1D5E04F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TECHNICAL DIAGNOSTICS –</w:t>
      </w:r>
    </w:p>
    <w:p w14:paraId="3AF0E6CC"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uk-UA"/>
        </w:rPr>
      </w:pPr>
      <w:r w:rsidRPr="004D2D14">
        <w:rPr>
          <w:rFonts w:asciiTheme="majorHAnsi" w:hAnsiTheme="majorHAnsi"/>
          <w:sz w:val="20"/>
          <w:szCs w:val="20"/>
          <w:lang w:val="uk-UA"/>
        </w:rPr>
        <w:t>Галузь</w:t>
      </w:r>
      <w:r w:rsidRPr="004D2D14">
        <w:rPr>
          <w:rFonts w:asciiTheme="majorHAnsi" w:hAnsiTheme="majorHAnsi"/>
          <w:spacing w:val="37"/>
          <w:sz w:val="20"/>
          <w:szCs w:val="20"/>
          <w:lang w:val="uk-UA"/>
        </w:rPr>
        <w:t xml:space="preserve"> </w:t>
      </w:r>
      <w:r w:rsidRPr="004D2D14">
        <w:rPr>
          <w:rFonts w:asciiTheme="majorHAnsi" w:hAnsiTheme="majorHAnsi"/>
          <w:sz w:val="20"/>
          <w:szCs w:val="20"/>
          <w:lang w:val="uk-UA"/>
        </w:rPr>
        <w:t>знань,</w:t>
      </w:r>
      <w:r w:rsidRPr="004D2D14">
        <w:rPr>
          <w:rFonts w:asciiTheme="majorHAnsi" w:hAnsiTheme="majorHAnsi"/>
          <w:spacing w:val="36"/>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36"/>
          <w:sz w:val="20"/>
          <w:szCs w:val="20"/>
          <w:lang w:val="uk-UA"/>
        </w:rPr>
        <w:t xml:space="preserve"> </w:t>
      </w:r>
      <w:r w:rsidRPr="004D2D14">
        <w:rPr>
          <w:rFonts w:asciiTheme="majorHAnsi" w:hAnsiTheme="majorHAnsi"/>
          <w:sz w:val="20"/>
          <w:szCs w:val="20"/>
          <w:lang w:val="uk-UA"/>
        </w:rPr>
        <w:t>досліджує</w:t>
      </w:r>
      <w:r w:rsidRPr="004D2D14">
        <w:rPr>
          <w:rFonts w:asciiTheme="majorHAnsi" w:hAnsiTheme="majorHAnsi"/>
          <w:spacing w:val="36"/>
          <w:sz w:val="20"/>
          <w:szCs w:val="20"/>
          <w:lang w:val="uk-UA"/>
        </w:rPr>
        <w:t xml:space="preserve"> </w:t>
      </w:r>
      <w:r w:rsidRPr="004D2D14">
        <w:rPr>
          <w:rFonts w:asciiTheme="majorHAnsi" w:hAnsiTheme="majorHAnsi"/>
          <w:sz w:val="20"/>
          <w:szCs w:val="20"/>
          <w:lang w:val="uk-UA"/>
        </w:rPr>
        <w:t>технічний</w:t>
      </w:r>
      <w:r w:rsidRPr="004D2D14">
        <w:rPr>
          <w:rFonts w:asciiTheme="majorHAnsi" w:hAnsiTheme="majorHAnsi"/>
          <w:spacing w:val="34"/>
          <w:sz w:val="20"/>
          <w:szCs w:val="20"/>
          <w:lang w:val="uk-UA"/>
        </w:rPr>
        <w:t xml:space="preserve"> </w:t>
      </w:r>
      <w:r w:rsidRPr="004D2D14">
        <w:rPr>
          <w:rFonts w:asciiTheme="majorHAnsi" w:hAnsiTheme="majorHAnsi"/>
          <w:sz w:val="20"/>
          <w:szCs w:val="20"/>
          <w:lang w:val="uk-UA"/>
        </w:rPr>
        <w:t>стан</w:t>
      </w:r>
      <w:r w:rsidRPr="004D2D14">
        <w:rPr>
          <w:rFonts w:asciiTheme="majorHAnsi" w:hAnsiTheme="majorHAnsi"/>
          <w:spacing w:val="34"/>
          <w:sz w:val="20"/>
          <w:szCs w:val="20"/>
          <w:lang w:val="uk-UA"/>
        </w:rPr>
        <w:t xml:space="preserve"> </w:t>
      </w:r>
      <w:r w:rsidRPr="004D2D14">
        <w:rPr>
          <w:rFonts w:asciiTheme="majorHAnsi" w:hAnsiTheme="majorHAnsi"/>
          <w:sz w:val="20"/>
          <w:szCs w:val="20"/>
          <w:lang w:val="uk-UA"/>
        </w:rPr>
        <w:t>об’єктів</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діагностування</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22"/>
          <w:sz w:val="20"/>
          <w:szCs w:val="20"/>
          <w:lang w:val="uk-UA"/>
        </w:rPr>
        <w:t xml:space="preserve"> </w:t>
      </w:r>
      <w:r w:rsidRPr="004D2D14">
        <w:rPr>
          <w:rFonts w:asciiTheme="majorHAnsi" w:hAnsiTheme="majorHAnsi"/>
          <w:sz w:val="20"/>
          <w:szCs w:val="20"/>
          <w:lang w:val="uk-UA"/>
        </w:rPr>
        <w:t>проявлення</w:t>
      </w:r>
      <w:r w:rsidRPr="004D2D14">
        <w:rPr>
          <w:rFonts w:asciiTheme="majorHAnsi" w:hAnsiTheme="majorHAnsi"/>
          <w:spacing w:val="19"/>
          <w:sz w:val="20"/>
          <w:szCs w:val="20"/>
          <w:lang w:val="uk-UA"/>
        </w:rPr>
        <w:t xml:space="preserve"> </w:t>
      </w:r>
      <w:r w:rsidRPr="004D2D14">
        <w:rPr>
          <w:rFonts w:asciiTheme="majorHAnsi" w:hAnsiTheme="majorHAnsi"/>
          <w:sz w:val="20"/>
          <w:szCs w:val="20"/>
          <w:lang w:val="uk-UA"/>
        </w:rPr>
        <w:t>технічних</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станів,</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розробляє</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методи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їх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визначення,</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а</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також</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принципи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побудови і організацію використання систем діагностування</w:t>
      </w:r>
    </w:p>
    <w:p w14:paraId="46D2F80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ТЕХНІЧНА</w:t>
      </w:r>
      <w:r w:rsidRPr="000977F7">
        <w:rPr>
          <w:color w:val="auto"/>
          <w:spacing w:val="-4"/>
          <w:sz w:val="20"/>
          <w:szCs w:val="20"/>
        </w:rPr>
        <w:t xml:space="preserve"> </w:t>
      </w:r>
      <w:r w:rsidRPr="000977F7">
        <w:rPr>
          <w:color w:val="auto"/>
          <w:sz w:val="20"/>
          <w:szCs w:val="20"/>
        </w:rPr>
        <w:t>ДОКУМЕНТАЦІЯ</w:t>
      </w:r>
      <w:r w:rsidRPr="000977F7">
        <w:rPr>
          <w:color w:val="auto"/>
          <w:spacing w:val="-3"/>
          <w:sz w:val="20"/>
          <w:szCs w:val="20"/>
        </w:rPr>
        <w:t xml:space="preserve"> </w:t>
      </w:r>
      <w:r w:rsidRPr="000977F7">
        <w:rPr>
          <w:color w:val="auto"/>
          <w:sz w:val="20"/>
          <w:szCs w:val="20"/>
        </w:rPr>
        <w:t>–</w:t>
      </w:r>
    </w:p>
    <w:p w14:paraId="2680F45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1"/>
          <w:sz w:val="20"/>
          <w:szCs w:val="20"/>
        </w:rPr>
        <w:t xml:space="preserve"> </w:t>
      </w:r>
      <w:r w:rsidRPr="000977F7">
        <w:rPr>
          <w:rFonts w:asciiTheme="majorHAnsi" w:hAnsiTheme="majorHAnsi"/>
          <w:sz w:val="20"/>
          <w:szCs w:val="20"/>
        </w:rPr>
        <w:t>необхідних</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достатніх</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безпосереднього використання на усіх стадіях життєвого циклу</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3C29728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1D1AD0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 технічної документації належать конструкторська,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програмна</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документації,</w:t>
      </w:r>
      <w:r w:rsidRPr="000977F7">
        <w:rPr>
          <w:rFonts w:asciiTheme="majorHAnsi" w:hAnsiTheme="majorHAnsi"/>
          <w:spacing w:val="1"/>
          <w:sz w:val="20"/>
          <w:szCs w:val="20"/>
        </w:rPr>
        <w:t xml:space="preserve"> </w:t>
      </w:r>
      <w:r w:rsidRPr="000977F7">
        <w:rPr>
          <w:rFonts w:asciiTheme="majorHAnsi" w:hAnsiTheme="majorHAnsi"/>
          <w:sz w:val="20"/>
          <w:szCs w:val="20"/>
        </w:rPr>
        <w:t>технічне</w:t>
      </w:r>
      <w:r w:rsidRPr="000977F7">
        <w:rPr>
          <w:rFonts w:asciiTheme="majorHAnsi" w:hAnsiTheme="majorHAnsi"/>
          <w:spacing w:val="1"/>
          <w:sz w:val="20"/>
          <w:szCs w:val="20"/>
        </w:rPr>
        <w:t xml:space="preserve"> </w:t>
      </w:r>
      <w:r w:rsidRPr="000977F7">
        <w:rPr>
          <w:rFonts w:asciiTheme="majorHAnsi" w:hAnsiTheme="majorHAnsi"/>
          <w:sz w:val="20"/>
          <w:szCs w:val="20"/>
        </w:rPr>
        <w:t>завдання</w:t>
      </w:r>
      <w:r w:rsidRPr="000977F7">
        <w:rPr>
          <w:rFonts w:asciiTheme="majorHAnsi" w:hAnsiTheme="majorHAnsi"/>
          <w:spacing w:val="1"/>
          <w:sz w:val="20"/>
          <w:szCs w:val="20"/>
        </w:rPr>
        <w:t xml:space="preserve"> </w:t>
      </w:r>
      <w:r w:rsidRPr="000977F7">
        <w:rPr>
          <w:rFonts w:asciiTheme="majorHAnsi" w:hAnsiTheme="majorHAnsi"/>
          <w:sz w:val="20"/>
          <w:szCs w:val="20"/>
        </w:rPr>
        <w:t>на розроблення</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28AD437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A03036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ТЕХНІЧНА</w:t>
      </w:r>
      <w:r w:rsidRPr="000977F7">
        <w:rPr>
          <w:color w:val="auto"/>
          <w:spacing w:val="-4"/>
          <w:sz w:val="20"/>
          <w:szCs w:val="20"/>
        </w:rPr>
        <w:t xml:space="preserve"> </w:t>
      </w:r>
      <w:r w:rsidRPr="000977F7">
        <w:rPr>
          <w:color w:val="auto"/>
          <w:sz w:val="20"/>
          <w:szCs w:val="20"/>
        </w:rPr>
        <w:t>ПРОПОЗИЦІЯ –</w:t>
      </w:r>
    </w:p>
    <w:p w14:paraId="00A65C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Проектна конструкторська документація, яка містить</w:t>
      </w:r>
      <w:r w:rsidRPr="000977F7">
        <w:rPr>
          <w:rFonts w:asciiTheme="majorHAnsi" w:hAnsiTheme="majorHAnsi"/>
          <w:spacing w:val="1"/>
          <w:sz w:val="20"/>
          <w:szCs w:val="20"/>
        </w:rPr>
        <w:t xml:space="preserve"> </w:t>
      </w:r>
      <w:r w:rsidRPr="000977F7">
        <w:rPr>
          <w:rFonts w:asciiTheme="majorHAnsi" w:hAnsiTheme="majorHAnsi"/>
          <w:sz w:val="20"/>
          <w:szCs w:val="20"/>
        </w:rPr>
        <w:t>техніко-економічне обґрунтування доцільності розроблення виробу на підставі аналізу технічного завдання та опрацювання варіантів можливих технічних рішень</w:t>
      </w:r>
      <w:r w:rsidRPr="000977F7">
        <w:rPr>
          <w:rFonts w:asciiTheme="majorHAnsi" w:hAnsiTheme="majorHAnsi"/>
          <w:spacing w:val="-2"/>
          <w:sz w:val="20"/>
          <w:szCs w:val="20"/>
        </w:rPr>
        <w:t xml:space="preserve"> </w:t>
      </w:r>
      <w:r w:rsidRPr="000977F7">
        <w:rPr>
          <w:rFonts w:asciiTheme="majorHAnsi" w:hAnsiTheme="majorHAnsi"/>
          <w:sz w:val="20"/>
          <w:szCs w:val="20"/>
        </w:rPr>
        <w:t>виробу</w:t>
      </w:r>
    </w:p>
    <w:p w14:paraId="09491B5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54AAA78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ТЕХНІЧНА СПЕЦИФІКАЦІЯ –</w:t>
      </w:r>
    </w:p>
    <w:p w14:paraId="31E8EF78"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Документ, що встановлює технічні вимоги, яким повинна задовольняти продукція, процес або послуга;</w:t>
      </w:r>
    </w:p>
    <w:p w14:paraId="5037AA75" w14:textId="77777777" w:rsidR="0097612F" w:rsidRPr="000977F7" w:rsidRDefault="0097612F" w:rsidP="000977F7">
      <w:pPr>
        <w:pStyle w:val="7"/>
        <w:tabs>
          <w:tab w:val="left" w:pos="284"/>
        </w:tabs>
        <w:spacing w:before="0" w:line="240" w:lineRule="auto"/>
        <w:ind w:left="170"/>
        <w:mirrorIndents/>
        <w:jc w:val="both"/>
        <w:rPr>
          <w:i/>
          <w:color w:val="auto"/>
          <w:sz w:val="20"/>
          <w:szCs w:val="20"/>
        </w:rPr>
      </w:pPr>
      <w:bookmarkStart w:id="286" w:name="_Hlk103191498"/>
      <w:r w:rsidRPr="000977F7">
        <w:rPr>
          <w:b w:val="0"/>
          <w:bCs/>
          <w:i/>
          <w:iCs w:val="0"/>
          <w:color w:val="auto"/>
          <w:sz w:val="20"/>
          <w:szCs w:val="20"/>
        </w:rPr>
        <w:t>Ст. 1 закону України</w:t>
      </w:r>
      <w:r w:rsidRPr="000977F7">
        <w:rPr>
          <w:b w:val="0"/>
          <w:bCs/>
          <w:i/>
          <w:color w:val="auto"/>
          <w:sz w:val="20"/>
          <w:szCs w:val="20"/>
        </w:rPr>
        <w:t xml:space="preserve"> "Про технічні регламенти та оцінку відповідності</w:t>
      </w:r>
      <w:r w:rsidRPr="000977F7">
        <w:rPr>
          <w:i/>
          <w:color w:val="auto"/>
          <w:sz w:val="20"/>
          <w:szCs w:val="20"/>
        </w:rPr>
        <w:t>"</w:t>
      </w:r>
    </w:p>
    <w:p w14:paraId="02931882"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eastAsia="ru-RU"/>
        </w:rPr>
      </w:pPr>
      <w:r w:rsidRPr="004D2D14">
        <w:rPr>
          <w:rFonts w:asciiTheme="majorHAnsi" w:hAnsiTheme="majorHAnsi"/>
          <w:sz w:val="20"/>
          <w:szCs w:val="20"/>
          <w:lang w:val="uk-UA" w:eastAsia="ru-RU"/>
        </w:rPr>
        <w:t>Документ, що встановлює технічні вимоги, яким повинні відповідати ліфт і компонент безпеки для ліфтів</w:t>
      </w:r>
    </w:p>
    <w:p w14:paraId="601FEA13"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lang w:eastAsia="ru-RU"/>
        </w:rPr>
      </w:pPr>
      <w:r w:rsidRPr="000977F7">
        <w:rPr>
          <w:rFonts w:asciiTheme="majorHAnsi" w:hAnsiTheme="majorHAnsi"/>
          <w:i/>
          <w:iCs/>
          <w:sz w:val="20"/>
          <w:szCs w:val="20"/>
          <w:lang w:eastAsia="ru-RU"/>
        </w:rPr>
        <w:t>Технічний регламент ліфтів і компонентів безпеки для ліфтів</w:t>
      </w:r>
    </w:p>
    <w:p w14:paraId="4363B33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Документ, що встановлює технічні вимоги, яким повинне задовольняти обладнання</w:t>
      </w:r>
    </w:p>
    <w:p w14:paraId="62E0484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Технічний регламент з електромагнітної сумісності обладнання</w:t>
      </w:r>
    </w:p>
    <w:p w14:paraId="5141EE8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Документ, що встановлює технічні вимоги, яким повинно відповідати обладнання, що працює під тиском, або агрегати, процес або послуга</w:t>
      </w:r>
    </w:p>
    <w:p w14:paraId="6968EBB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Технічний регламент обладнання, що працює під тиском</w:t>
      </w:r>
    </w:p>
    <w:bookmarkEnd w:id="286"/>
    <w:p w14:paraId="7926AAA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ТЕХНІЧНЕ</w:t>
      </w:r>
      <w:r w:rsidRPr="000977F7">
        <w:rPr>
          <w:color w:val="auto"/>
          <w:spacing w:val="-5"/>
          <w:sz w:val="20"/>
          <w:szCs w:val="20"/>
        </w:rPr>
        <w:t xml:space="preserve"> </w:t>
      </w:r>
      <w:r w:rsidRPr="000977F7">
        <w:rPr>
          <w:color w:val="auto"/>
          <w:sz w:val="20"/>
          <w:szCs w:val="20"/>
        </w:rPr>
        <w:t>ДІАГНОСТУВАННЯ-</w:t>
      </w:r>
    </w:p>
    <w:p w14:paraId="5B6EDD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TECHNICAL</w:t>
      </w:r>
      <w:r w:rsidRPr="000977F7">
        <w:rPr>
          <w:rFonts w:asciiTheme="majorHAnsi" w:hAnsiTheme="majorHAnsi"/>
          <w:spacing w:val="-4"/>
          <w:sz w:val="20"/>
          <w:szCs w:val="20"/>
        </w:rPr>
        <w:t xml:space="preserve"> </w:t>
      </w:r>
      <w:r w:rsidRPr="000977F7">
        <w:rPr>
          <w:rFonts w:asciiTheme="majorHAnsi" w:hAnsiTheme="majorHAnsi"/>
          <w:sz w:val="20"/>
          <w:szCs w:val="20"/>
        </w:rPr>
        <w:t>DIAGNOSIS –</w:t>
      </w:r>
    </w:p>
    <w:p w14:paraId="4723481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стану</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означеною</w:t>
      </w:r>
      <w:r w:rsidRPr="000977F7">
        <w:rPr>
          <w:rFonts w:asciiTheme="majorHAnsi" w:hAnsiTheme="majorHAnsi"/>
          <w:spacing w:val="1"/>
          <w:sz w:val="20"/>
          <w:szCs w:val="20"/>
        </w:rPr>
        <w:t xml:space="preserve"> </w:t>
      </w:r>
      <w:r w:rsidRPr="000977F7">
        <w:rPr>
          <w:rFonts w:asciiTheme="majorHAnsi" w:hAnsiTheme="majorHAnsi"/>
          <w:sz w:val="20"/>
          <w:szCs w:val="20"/>
        </w:rPr>
        <w:t>(заданою)</w:t>
      </w:r>
      <w:r w:rsidRPr="000977F7">
        <w:rPr>
          <w:rFonts w:asciiTheme="majorHAnsi" w:hAnsiTheme="majorHAnsi"/>
          <w:spacing w:val="-1"/>
          <w:sz w:val="20"/>
          <w:szCs w:val="20"/>
        </w:rPr>
        <w:t xml:space="preserve"> </w:t>
      </w:r>
      <w:r w:rsidRPr="000977F7">
        <w:rPr>
          <w:rFonts w:asciiTheme="majorHAnsi" w:hAnsiTheme="majorHAnsi"/>
          <w:sz w:val="20"/>
          <w:szCs w:val="20"/>
        </w:rPr>
        <w:t>точністю</w:t>
      </w:r>
    </w:p>
    <w:p w14:paraId="2F906F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и:Завданнями технічного діагностування є:</w:t>
      </w:r>
      <w:r w:rsidRPr="000977F7">
        <w:rPr>
          <w:rFonts w:asciiTheme="majorHAnsi" w:hAnsiTheme="majorHAnsi"/>
          <w:spacing w:val="-47"/>
          <w:sz w:val="20"/>
          <w:szCs w:val="20"/>
        </w:rPr>
        <w:t xml:space="preserve"> </w:t>
      </w:r>
      <w:r w:rsidRPr="000977F7">
        <w:rPr>
          <w:rFonts w:asciiTheme="majorHAnsi" w:hAnsiTheme="majorHAnsi"/>
          <w:sz w:val="20"/>
          <w:szCs w:val="20"/>
        </w:rPr>
        <w:t>контроль</w:t>
      </w:r>
      <w:r w:rsidRPr="000977F7">
        <w:rPr>
          <w:rFonts w:asciiTheme="majorHAnsi" w:hAnsiTheme="majorHAnsi"/>
          <w:spacing w:val="49"/>
          <w:sz w:val="20"/>
          <w:szCs w:val="20"/>
        </w:rPr>
        <w:t xml:space="preserve"> </w:t>
      </w:r>
      <w:r w:rsidRPr="000977F7">
        <w:rPr>
          <w:rFonts w:asciiTheme="majorHAnsi" w:hAnsiTheme="majorHAnsi"/>
          <w:sz w:val="20"/>
          <w:szCs w:val="20"/>
        </w:rPr>
        <w:t>технічного стану;</w:t>
      </w:r>
    </w:p>
    <w:p w14:paraId="531E953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пошук місця та визначення причин відмови (несправності);</w:t>
      </w:r>
    </w:p>
    <w:p w14:paraId="5750501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прогнозування</w:t>
      </w:r>
      <w:r w:rsidRPr="000977F7">
        <w:rPr>
          <w:rFonts w:asciiTheme="majorHAnsi" w:hAnsiTheme="majorHAnsi"/>
          <w:spacing w:val="-6"/>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3"/>
          <w:sz w:val="20"/>
          <w:szCs w:val="20"/>
        </w:rPr>
        <w:t xml:space="preserve"> </w:t>
      </w:r>
      <w:r w:rsidRPr="000977F7">
        <w:rPr>
          <w:rFonts w:asciiTheme="majorHAnsi" w:hAnsiTheme="majorHAnsi"/>
          <w:sz w:val="20"/>
          <w:szCs w:val="20"/>
        </w:rPr>
        <w:t>стану</w:t>
      </w:r>
    </w:p>
    <w:p w14:paraId="3F1CDFF7" w14:textId="77777777" w:rsidR="0097612F" w:rsidRPr="000977F7" w:rsidRDefault="0097612F" w:rsidP="00FD39A4">
      <w:pPr>
        <w:pStyle w:val="ac"/>
        <w:widowControl w:val="0"/>
        <w:numPr>
          <w:ilvl w:val="0"/>
          <w:numId w:val="76"/>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pacing w:val="3"/>
          <w:w w:val="99"/>
          <w:sz w:val="20"/>
          <w:szCs w:val="20"/>
        </w:rPr>
        <w:t>Т</w:t>
      </w:r>
      <w:r w:rsidRPr="000977F7">
        <w:rPr>
          <w:rFonts w:asciiTheme="majorHAnsi" w:hAnsiTheme="majorHAnsi"/>
          <w:w w:val="99"/>
          <w:sz w:val="20"/>
          <w:szCs w:val="20"/>
        </w:rPr>
        <w:t>е</w:t>
      </w:r>
      <w:r w:rsidRPr="000977F7">
        <w:rPr>
          <w:rFonts w:asciiTheme="majorHAnsi" w:hAnsiTheme="majorHAnsi"/>
          <w:spacing w:val="-1"/>
          <w:w w:val="99"/>
          <w:sz w:val="20"/>
          <w:szCs w:val="20"/>
        </w:rPr>
        <w:t>р</w:t>
      </w:r>
      <w:r w:rsidRPr="000977F7">
        <w:rPr>
          <w:rFonts w:asciiTheme="majorHAnsi" w:hAnsiTheme="majorHAnsi"/>
          <w:spacing w:val="1"/>
          <w:w w:val="99"/>
          <w:sz w:val="20"/>
          <w:szCs w:val="20"/>
        </w:rPr>
        <w:t>м</w:t>
      </w:r>
      <w:r w:rsidRPr="000977F7">
        <w:rPr>
          <w:rFonts w:asciiTheme="majorHAnsi" w:hAnsiTheme="majorHAnsi"/>
          <w:w w:val="99"/>
          <w:sz w:val="20"/>
          <w:szCs w:val="20"/>
        </w:rPr>
        <w:t>ін</w:t>
      </w:r>
      <w:r w:rsidRPr="000977F7">
        <w:rPr>
          <w:rFonts w:asciiTheme="majorHAnsi" w:hAnsiTheme="majorHAnsi"/>
          <w:spacing w:val="3"/>
          <w:sz w:val="20"/>
          <w:szCs w:val="20"/>
        </w:rPr>
        <w:t xml:space="preserve"> </w:t>
      </w:r>
      <w:r w:rsidRPr="000977F7">
        <w:rPr>
          <w:rFonts w:asciiTheme="majorHAnsi" w:hAnsiTheme="majorHAnsi"/>
          <w:spacing w:val="-2"/>
          <w:w w:val="44"/>
          <w:sz w:val="20"/>
          <w:szCs w:val="20"/>
        </w:rPr>
        <w:t>―</w:t>
      </w:r>
      <w:r w:rsidRPr="000977F7">
        <w:rPr>
          <w:rFonts w:asciiTheme="majorHAnsi" w:hAnsiTheme="majorHAnsi"/>
          <w:spacing w:val="3"/>
          <w:w w:val="99"/>
          <w:sz w:val="20"/>
          <w:szCs w:val="20"/>
        </w:rPr>
        <w:t>Т</w:t>
      </w:r>
      <w:r w:rsidRPr="000977F7">
        <w:rPr>
          <w:rFonts w:asciiTheme="majorHAnsi" w:hAnsiTheme="majorHAnsi"/>
          <w:w w:val="99"/>
          <w:sz w:val="20"/>
          <w:szCs w:val="20"/>
        </w:rPr>
        <w:t>е</w:t>
      </w:r>
      <w:r w:rsidRPr="000977F7">
        <w:rPr>
          <w:rFonts w:asciiTheme="majorHAnsi" w:hAnsiTheme="majorHAnsi"/>
          <w:spacing w:val="-1"/>
          <w:w w:val="99"/>
          <w:sz w:val="20"/>
          <w:szCs w:val="20"/>
        </w:rPr>
        <w:t>х</w:t>
      </w:r>
      <w:r w:rsidRPr="000977F7">
        <w:rPr>
          <w:rFonts w:asciiTheme="majorHAnsi" w:hAnsiTheme="majorHAnsi"/>
          <w:spacing w:val="-2"/>
          <w:w w:val="99"/>
          <w:sz w:val="20"/>
          <w:szCs w:val="20"/>
        </w:rPr>
        <w:t>н</w:t>
      </w:r>
      <w:r w:rsidRPr="000977F7">
        <w:rPr>
          <w:rFonts w:asciiTheme="majorHAnsi" w:hAnsiTheme="majorHAnsi"/>
          <w:w w:val="99"/>
          <w:sz w:val="20"/>
          <w:szCs w:val="20"/>
        </w:rPr>
        <w:t>ічне</w:t>
      </w:r>
      <w:r w:rsidRPr="000977F7">
        <w:rPr>
          <w:rFonts w:asciiTheme="majorHAnsi" w:hAnsiTheme="majorHAnsi"/>
          <w:spacing w:val="4"/>
          <w:sz w:val="20"/>
          <w:szCs w:val="20"/>
        </w:rPr>
        <w:t xml:space="preserve"> </w:t>
      </w:r>
      <w:r w:rsidRPr="000977F7">
        <w:rPr>
          <w:rFonts w:asciiTheme="majorHAnsi" w:hAnsiTheme="majorHAnsi"/>
          <w:spacing w:val="1"/>
          <w:w w:val="99"/>
          <w:sz w:val="20"/>
          <w:szCs w:val="20"/>
        </w:rPr>
        <w:t>д</w:t>
      </w:r>
      <w:r w:rsidRPr="000977F7">
        <w:rPr>
          <w:rFonts w:asciiTheme="majorHAnsi" w:hAnsiTheme="majorHAnsi"/>
          <w:w w:val="99"/>
          <w:sz w:val="20"/>
          <w:szCs w:val="20"/>
        </w:rPr>
        <w:t>іаг</w:t>
      </w:r>
      <w:r w:rsidRPr="000977F7">
        <w:rPr>
          <w:rFonts w:asciiTheme="majorHAnsi" w:hAnsiTheme="majorHAnsi"/>
          <w:spacing w:val="-1"/>
          <w:w w:val="99"/>
          <w:sz w:val="20"/>
          <w:szCs w:val="20"/>
        </w:rPr>
        <w:t>н</w:t>
      </w:r>
      <w:r w:rsidRPr="000977F7">
        <w:rPr>
          <w:rFonts w:asciiTheme="majorHAnsi" w:hAnsiTheme="majorHAnsi"/>
          <w:spacing w:val="1"/>
          <w:w w:val="99"/>
          <w:sz w:val="20"/>
          <w:szCs w:val="20"/>
        </w:rPr>
        <w:t>о</w:t>
      </w:r>
      <w:r w:rsidRPr="000977F7">
        <w:rPr>
          <w:rFonts w:asciiTheme="majorHAnsi" w:hAnsiTheme="majorHAnsi"/>
          <w:w w:val="99"/>
          <w:sz w:val="20"/>
          <w:szCs w:val="20"/>
        </w:rPr>
        <w:t>с</w:t>
      </w:r>
      <w:r w:rsidRPr="000977F7">
        <w:rPr>
          <w:rFonts w:asciiTheme="majorHAnsi" w:hAnsiTheme="majorHAnsi"/>
          <w:spacing w:val="2"/>
          <w:w w:val="99"/>
          <w:sz w:val="20"/>
          <w:szCs w:val="20"/>
        </w:rPr>
        <w:t>т</w:t>
      </w:r>
      <w:r w:rsidRPr="000977F7">
        <w:rPr>
          <w:rFonts w:asciiTheme="majorHAnsi" w:hAnsiTheme="majorHAnsi"/>
          <w:spacing w:val="1"/>
          <w:w w:val="99"/>
          <w:sz w:val="20"/>
          <w:szCs w:val="20"/>
        </w:rPr>
        <w:t>у</w:t>
      </w:r>
      <w:r w:rsidRPr="000977F7">
        <w:rPr>
          <w:rFonts w:asciiTheme="majorHAnsi" w:hAnsiTheme="majorHAnsi"/>
          <w:spacing w:val="-1"/>
          <w:w w:val="99"/>
          <w:sz w:val="20"/>
          <w:szCs w:val="20"/>
        </w:rPr>
        <w:t>ва</w:t>
      </w:r>
      <w:r w:rsidRPr="000977F7">
        <w:rPr>
          <w:rFonts w:asciiTheme="majorHAnsi" w:hAnsiTheme="majorHAnsi"/>
          <w:spacing w:val="1"/>
          <w:w w:val="99"/>
          <w:sz w:val="20"/>
          <w:szCs w:val="20"/>
        </w:rPr>
        <w:t>н</w:t>
      </w:r>
      <w:r w:rsidRPr="000977F7">
        <w:rPr>
          <w:rFonts w:asciiTheme="majorHAnsi" w:hAnsiTheme="majorHAnsi"/>
          <w:spacing w:val="-2"/>
          <w:w w:val="99"/>
          <w:sz w:val="20"/>
          <w:szCs w:val="20"/>
        </w:rPr>
        <w:t>н</w:t>
      </w:r>
      <w:r w:rsidRPr="000977F7">
        <w:rPr>
          <w:rFonts w:asciiTheme="majorHAnsi" w:hAnsiTheme="majorHAnsi"/>
          <w:w w:val="121"/>
          <w:sz w:val="20"/>
          <w:szCs w:val="20"/>
        </w:rPr>
        <w:t>я‖</w:t>
      </w:r>
      <w:r w:rsidRPr="000977F7">
        <w:rPr>
          <w:rFonts w:asciiTheme="majorHAnsi" w:hAnsiTheme="majorHAnsi"/>
          <w:spacing w:val="5"/>
          <w:sz w:val="20"/>
          <w:szCs w:val="20"/>
        </w:rPr>
        <w:t xml:space="preserve"> </w:t>
      </w:r>
      <w:r w:rsidRPr="000977F7">
        <w:rPr>
          <w:rFonts w:asciiTheme="majorHAnsi" w:hAnsiTheme="majorHAnsi"/>
          <w:w w:val="99"/>
          <w:sz w:val="20"/>
          <w:szCs w:val="20"/>
        </w:rPr>
        <w:t>застос</w:t>
      </w:r>
      <w:r w:rsidRPr="000977F7">
        <w:rPr>
          <w:rFonts w:asciiTheme="majorHAnsi" w:hAnsiTheme="majorHAnsi"/>
          <w:spacing w:val="1"/>
          <w:w w:val="99"/>
          <w:sz w:val="20"/>
          <w:szCs w:val="20"/>
        </w:rPr>
        <w:t>ов</w:t>
      </w:r>
      <w:r w:rsidRPr="000977F7">
        <w:rPr>
          <w:rFonts w:asciiTheme="majorHAnsi" w:hAnsiTheme="majorHAnsi"/>
          <w:spacing w:val="-4"/>
          <w:w w:val="99"/>
          <w:sz w:val="20"/>
          <w:szCs w:val="20"/>
        </w:rPr>
        <w:t>у</w:t>
      </w:r>
      <w:r w:rsidRPr="000977F7">
        <w:rPr>
          <w:rFonts w:asciiTheme="majorHAnsi" w:hAnsiTheme="majorHAnsi"/>
          <w:spacing w:val="2"/>
          <w:w w:val="99"/>
          <w:sz w:val="20"/>
          <w:szCs w:val="20"/>
        </w:rPr>
        <w:t>ю</w:t>
      </w:r>
      <w:r w:rsidRPr="000977F7">
        <w:rPr>
          <w:rFonts w:asciiTheme="majorHAnsi" w:hAnsiTheme="majorHAnsi"/>
          <w:spacing w:val="-1"/>
          <w:w w:val="99"/>
          <w:sz w:val="20"/>
          <w:szCs w:val="20"/>
        </w:rPr>
        <w:t>т</w:t>
      </w:r>
      <w:r w:rsidRPr="000977F7">
        <w:rPr>
          <w:rFonts w:asciiTheme="majorHAnsi" w:hAnsiTheme="majorHAnsi"/>
          <w:w w:val="99"/>
          <w:sz w:val="20"/>
          <w:szCs w:val="20"/>
        </w:rPr>
        <w:t>ь</w:t>
      </w:r>
      <w:r w:rsidRPr="000977F7">
        <w:rPr>
          <w:rFonts w:asciiTheme="majorHAnsi" w:hAnsiTheme="majorHAnsi"/>
          <w:spacing w:val="7"/>
          <w:sz w:val="20"/>
          <w:szCs w:val="20"/>
        </w:rPr>
        <w:t xml:space="preserve"> </w:t>
      </w:r>
      <w:r w:rsidRPr="000977F7">
        <w:rPr>
          <w:rFonts w:asciiTheme="majorHAnsi" w:hAnsiTheme="majorHAnsi"/>
          <w:w w:val="99"/>
          <w:sz w:val="20"/>
          <w:szCs w:val="20"/>
        </w:rPr>
        <w:t xml:space="preserve">у </w:t>
      </w:r>
      <w:r w:rsidRPr="000977F7">
        <w:rPr>
          <w:rFonts w:asciiTheme="majorHAnsi" w:hAnsiTheme="majorHAnsi"/>
          <w:sz w:val="20"/>
          <w:szCs w:val="20"/>
        </w:rPr>
        <w:t>назвах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визначеннях</w:t>
      </w:r>
      <w:r w:rsidRPr="000977F7">
        <w:rPr>
          <w:rFonts w:asciiTheme="majorHAnsi" w:hAnsiTheme="majorHAnsi"/>
          <w:spacing w:val="1"/>
          <w:sz w:val="20"/>
          <w:szCs w:val="20"/>
        </w:rPr>
        <w:t xml:space="preserve"> </w:t>
      </w:r>
      <w:r w:rsidRPr="000977F7">
        <w:rPr>
          <w:rFonts w:asciiTheme="majorHAnsi" w:hAnsiTheme="majorHAnsi"/>
          <w:sz w:val="20"/>
          <w:szCs w:val="20"/>
        </w:rPr>
        <w:t>понять,</w:t>
      </w:r>
      <w:r w:rsidRPr="000977F7">
        <w:rPr>
          <w:rFonts w:asciiTheme="majorHAnsi" w:hAnsiTheme="majorHAnsi"/>
          <w:spacing w:val="1"/>
          <w:sz w:val="20"/>
          <w:szCs w:val="20"/>
        </w:rPr>
        <w:t xml:space="preserve"> </w:t>
      </w:r>
      <w:r w:rsidRPr="000977F7">
        <w:rPr>
          <w:rFonts w:asciiTheme="majorHAnsi" w:hAnsiTheme="majorHAnsi"/>
          <w:sz w:val="20"/>
          <w:szCs w:val="20"/>
        </w:rPr>
        <w:t>коли</w:t>
      </w:r>
      <w:r w:rsidRPr="000977F7">
        <w:rPr>
          <w:rFonts w:asciiTheme="majorHAnsi" w:hAnsiTheme="majorHAnsi"/>
          <w:spacing w:val="1"/>
          <w:sz w:val="20"/>
          <w:szCs w:val="20"/>
        </w:rPr>
        <w:t xml:space="preserve"> </w:t>
      </w:r>
      <w:r w:rsidRPr="000977F7">
        <w:rPr>
          <w:rFonts w:asciiTheme="majorHAnsi" w:hAnsiTheme="majorHAnsi"/>
          <w:sz w:val="20"/>
          <w:szCs w:val="20"/>
        </w:rPr>
        <w:t>вирішувані</w:t>
      </w:r>
      <w:r w:rsidRPr="000977F7">
        <w:rPr>
          <w:rFonts w:asciiTheme="majorHAnsi" w:hAnsiTheme="majorHAnsi"/>
          <w:spacing w:val="-47"/>
          <w:sz w:val="20"/>
          <w:szCs w:val="20"/>
        </w:rPr>
        <w:t xml:space="preserve"> </w:t>
      </w:r>
      <w:r w:rsidRPr="000977F7">
        <w:rPr>
          <w:rFonts w:asciiTheme="majorHAnsi" w:hAnsiTheme="majorHAnsi"/>
          <w:sz w:val="20"/>
          <w:szCs w:val="20"/>
        </w:rPr>
        <w:t>завдання</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діагностування</w:t>
      </w:r>
      <w:r w:rsidRPr="000977F7">
        <w:rPr>
          <w:rFonts w:asciiTheme="majorHAnsi" w:hAnsiTheme="majorHAnsi"/>
          <w:spacing w:val="1"/>
          <w:sz w:val="20"/>
          <w:szCs w:val="20"/>
        </w:rPr>
        <w:t xml:space="preserve"> </w:t>
      </w:r>
      <w:r w:rsidRPr="000977F7">
        <w:rPr>
          <w:rFonts w:asciiTheme="majorHAnsi" w:hAnsiTheme="majorHAnsi"/>
          <w:sz w:val="20"/>
          <w:szCs w:val="20"/>
        </w:rPr>
        <w:t>рівнозначні</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основним</w:t>
      </w:r>
      <w:r w:rsidRPr="000977F7">
        <w:rPr>
          <w:rFonts w:asciiTheme="majorHAnsi" w:hAnsiTheme="majorHAnsi"/>
          <w:spacing w:val="1"/>
          <w:sz w:val="20"/>
          <w:szCs w:val="20"/>
        </w:rPr>
        <w:t xml:space="preserve"> </w:t>
      </w:r>
      <w:r w:rsidRPr="000977F7">
        <w:rPr>
          <w:rFonts w:asciiTheme="majorHAnsi" w:hAnsiTheme="majorHAnsi"/>
          <w:sz w:val="20"/>
          <w:szCs w:val="20"/>
        </w:rPr>
        <w:t>завданням</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діагностування є пошук місця та визначення причин відмо</w:t>
      </w:r>
      <w:r w:rsidRPr="000977F7">
        <w:rPr>
          <w:rFonts w:asciiTheme="majorHAnsi" w:hAnsiTheme="majorHAnsi"/>
          <w:spacing w:val="-1"/>
          <w:w w:val="99"/>
          <w:sz w:val="20"/>
          <w:szCs w:val="20"/>
        </w:rPr>
        <w:t>в</w:t>
      </w:r>
      <w:r w:rsidRPr="000977F7">
        <w:rPr>
          <w:rFonts w:asciiTheme="majorHAnsi" w:hAnsiTheme="majorHAnsi"/>
          <w:w w:val="99"/>
          <w:sz w:val="20"/>
          <w:szCs w:val="20"/>
        </w:rPr>
        <w:t>и</w:t>
      </w:r>
      <w:r w:rsidRPr="000977F7">
        <w:rPr>
          <w:rFonts w:asciiTheme="majorHAnsi" w:hAnsiTheme="majorHAnsi"/>
          <w:sz w:val="20"/>
          <w:szCs w:val="20"/>
        </w:rPr>
        <w:t xml:space="preserve"> </w:t>
      </w:r>
      <w:r w:rsidRPr="000977F7">
        <w:rPr>
          <w:rFonts w:asciiTheme="majorHAnsi" w:hAnsiTheme="majorHAnsi"/>
          <w:w w:val="99"/>
          <w:sz w:val="20"/>
          <w:szCs w:val="20"/>
        </w:rPr>
        <w:t>(</w:t>
      </w:r>
      <w:r w:rsidRPr="000977F7">
        <w:rPr>
          <w:rFonts w:asciiTheme="majorHAnsi" w:hAnsiTheme="majorHAnsi"/>
          <w:spacing w:val="-2"/>
          <w:w w:val="99"/>
          <w:sz w:val="20"/>
          <w:szCs w:val="20"/>
        </w:rPr>
        <w:t>н</w:t>
      </w:r>
      <w:r w:rsidRPr="000977F7">
        <w:rPr>
          <w:rFonts w:asciiTheme="majorHAnsi" w:hAnsiTheme="majorHAnsi"/>
          <w:w w:val="99"/>
          <w:sz w:val="20"/>
          <w:szCs w:val="20"/>
        </w:rPr>
        <w:t>е</w:t>
      </w:r>
      <w:r w:rsidRPr="000977F7">
        <w:rPr>
          <w:rFonts w:asciiTheme="majorHAnsi" w:hAnsiTheme="majorHAnsi"/>
          <w:spacing w:val="3"/>
          <w:w w:val="99"/>
          <w:sz w:val="20"/>
          <w:szCs w:val="20"/>
        </w:rPr>
        <w:t>с</w:t>
      </w:r>
      <w:r w:rsidRPr="000977F7">
        <w:rPr>
          <w:rFonts w:asciiTheme="majorHAnsi" w:hAnsiTheme="majorHAnsi"/>
          <w:spacing w:val="-2"/>
          <w:w w:val="99"/>
          <w:sz w:val="20"/>
          <w:szCs w:val="20"/>
        </w:rPr>
        <w:t>п</w:t>
      </w:r>
      <w:r w:rsidRPr="000977F7">
        <w:rPr>
          <w:rFonts w:asciiTheme="majorHAnsi" w:hAnsiTheme="majorHAnsi"/>
          <w:spacing w:val="1"/>
          <w:w w:val="99"/>
          <w:sz w:val="20"/>
          <w:szCs w:val="20"/>
        </w:rPr>
        <w:t>р</w:t>
      </w:r>
      <w:r w:rsidRPr="000977F7">
        <w:rPr>
          <w:rFonts w:asciiTheme="majorHAnsi" w:hAnsiTheme="majorHAnsi"/>
          <w:w w:val="99"/>
          <w:sz w:val="20"/>
          <w:szCs w:val="20"/>
        </w:rPr>
        <w:t>ав</w:t>
      </w:r>
      <w:r w:rsidRPr="000977F7">
        <w:rPr>
          <w:rFonts w:asciiTheme="majorHAnsi" w:hAnsiTheme="majorHAnsi"/>
          <w:spacing w:val="-1"/>
          <w:w w:val="99"/>
          <w:sz w:val="20"/>
          <w:szCs w:val="20"/>
        </w:rPr>
        <w:t>н</w:t>
      </w:r>
      <w:r w:rsidRPr="000977F7">
        <w:rPr>
          <w:rFonts w:asciiTheme="majorHAnsi" w:hAnsiTheme="majorHAnsi"/>
          <w:spacing w:val="1"/>
          <w:w w:val="99"/>
          <w:sz w:val="20"/>
          <w:szCs w:val="20"/>
        </w:rPr>
        <w:t>о</w:t>
      </w:r>
      <w:r w:rsidRPr="000977F7">
        <w:rPr>
          <w:rFonts w:asciiTheme="majorHAnsi" w:hAnsiTheme="majorHAnsi"/>
          <w:spacing w:val="2"/>
          <w:w w:val="99"/>
          <w:sz w:val="20"/>
          <w:szCs w:val="20"/>
        </w:rPr>
        <w:t>с</w:t>
      </w:r>
      <w:r w:rsidRPr="000977F7">
        <w:rPr>
          <w:rFonts w:asciiTheme="majorHAnsi" w:hAnsiTheme="majorHAnsi"/>
          <w:spacing w:val="-1"/>
          <w:w w:val="99"/>
          <w:sz w:val="20"/>
          <w:szCs w:val="20"/>
        </w:rPr>
        <w:t>т</w:t>
      </w:r>
      <w:r w:rsidRPr="000977F7">
        <w:rPr>
          <w:rFonts w:asciiTheme="majorHAnsi" w:hAnsiTheme="majorHAnsi"/>
          <w:w w:val="99"/>
          <w:sz w:val="20"/>
          <w:szCs w:val="20"/>
        </w:rPr>
        <w:t>і).</w:t>
      </w:r>
      <w:r w:rsidRPr="000977F7">
        <w:rPr>
          <w:rFonts w:asciiTheme="majorHAnsi" w:hAnsiTheme="majorHAnsi"/>
          <w:sz w:val="20"/>
          <w:szCs w:val="20"/>
        </w:rPr>
        <w:t xml:space="preserve"> </w:t>
      </w:r>
      <w:r w:rsidRPr="000977F7">
        <w:rPr>
          <w:rFonts w:asciiTheme="majorHAnsi" w:hAnsiTheme="majorHAnsi"/>
          <w:spacing w:val="3"/>
          <w:w w:val="99"/>
          <w:sz w:val="20"/>
          <w:szCs w:val="20"/>
        </w:rPr>
        <w:t>Т</w:t>
      </w:r>
      <w:r w:rsidRPr="000977F7">
        <w:rPr>
          <w:rFonts w:asciiTheme="majorHAnsi" w:hAnsiTheme="majorHAnsi"/>
          <w:w w:val="99"/>
          <w:sz w:val="20"/>
          <w:szCs w:val="20"/>
        </w:rPr>
        <w:t>е</w:t>
      </w:r>
      <w:r w:rsidRPr="000977F7">
        <w:rPr>
          <w:rFonts w:asciiTheme="majorHAnsi" w:hAnsiTheme="majorHAnsi"/>
          <w:spacing w:val="1"/>
          <w:w w:val="99"/>
          <w:sz w:val="20"/>
          <w:szCs w:val="20"/>
        </w:rPr>
        <w:t>рм</w:t>
      </w:r>
      <w:r w:rsidRPr="000977F7">
        <w:rPr>
          <w:rFonts w:asciiTheme="majorHAnsi" w:hAnsiTheme="majorHAnsi"/>
          <w:w w:val="99"/>
          <w:sz w:val="20"/>
          <w:szCs w:val="20"/>
        </w:rPr>
        <w:t>ін</w:t>
      </w:r>
      <w:r w:rsidRPr="000977F7">
        <w:rPr>
          <w:rFonts w:asciiTheme="majorHAnsi" w:hAnsiTheme="majorHAnsi"/>
          <w:sz w:val="20"/>
          <w:szCs w:val="20"/>
        </w:rPr>
        <w:t xml:space="preserve"> "</w:t>
      </w:r>
      <w:r w:rsidRPr="000977F7">
        <w:rPr>
          <w:rFonts w:asciiTheme="majorHAnsi" w:hAnsiTheme="majorHAnsi"/>
          <w:spacing w:val="-1"/>
          <w:w w:val="99"/>
          <w:sz w:val="20"/>
          <w:szCs w:val="20"/>
        </w:rPr>
        <w:t>к</w:t>
      </w:r>
      <w:r w:rsidRPr="000977F7">
        <w:rPr>
          <w:rFonts w:asciiTheme="majorHAnsi" w:hAnsiTheme="majorHAnsi"/>
          <w:spacing w:val="3"/>
          <w:w w:val="99"/>
          <w:sz w:val="20"/>
          <w:szCs w:val="20"/>
        </w:rPr>
        <w:t>о</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т</w:t>
      </w:r>
      <w:r w:rsidRPr="000977F7">
        <w:rPr>
          <w:rFonts w:asciiTheme="majorHAnsi" w:hAnsiTheme="majorHAnsi"/>
          <w:spacing w:val="1"/>
          <w:w w:val="99"/>
          <w:sz w:val="20"/>
          <w:szCs w:val="20"/>
        </w:rPr>
        <w:t>ро</w:t>
      </w:r>
      <w:r w:rsidRPr="000977F7">
        <w:rPr>
          <w:rFonts w:asciiTheme="majorHAnsi" w:hAnsiTheme="majorHAnsi"/>
          <w:spacing w:val="-1"/>
          <w:w w:val="99"/>
          <w:sz w:val="20"/>
          <w:szCs w:val="20"/>
        </w:rPr>
        <w:t>л</w:t>
      </w:r>
      <w:r w:rsidRPr="000977F7">
        <w:rPr>
          <w:rFonts w:asciiTheme="majorHAnsi" w:hAnsiTheme="majorHAnsi"/>
          <w:w w:val="99"/>
          <w:sz w:val="20"/>
          <w:szCs w:val="20"/>
        </w:rPr>
        <w:t>ь</w:t>
      </w:r>
      <w:r w:rsidRPr="000977F7">
        <w:rPr>
          <w:rFonts w:asciiTheme="majorHAnsi" w:hAnsiTheme="majorHAnsi"/>
          <w:sz w:val="20"/>
          <w:szCs w:val="20"/>
        </w:rPr>
        <w:t xml:space="preserve"> </w:t>
      </w:r>
      <w:r w:rsidRPr="000977F7">
        <w:rPr>
          <w:rFonts w:asciiTheme="majorHAnsi" w:hAnsiTheme="majorHAnsi"/>
          <w:spacing w:val="-1"/>
          <w:w w:val="99"/>
          <w:sz w:val="20"/>
          <w:szCs w:val="20"/>
        </w:rPr>
        <w:t>т</w:t>
      </w:r>
      <w:r w:rsidRPr="000977F7">
        <w:rPr>
          <w:rFonts w:asciiTheme="majorHAnsi" w:hAnsiTheme="majorHAnsi"/>
          <w:spacing w:val="2"/>
          <w:w w:val="99"/>
          <w:sz w:val="20"/>
          <w:szCs w:val="20"/>
        </w:rPr>
        <w:t>е</w:t>
      </w:r>
      <w:r w:rsidRPr="000977F7">
        <w:rPr>
          <w:rFonts w:asciiTheme="majorHAnsi" w:hAnsiTheme="majorHAnsi"/>
          <w:spacing w:val="1"/>
          <w:w w:val="99"/>
          <w:sz w:val="20"/>
          <w:szCs w:val="20"/>
        </w:rPr>
        <w:t>х</w:t>
      </w:r>
      <w:r w:rsidRPr="000977F7">
        <w:rPr>
          <w:rFonts w:asciiTheme="majorHAnsi" w:hAnsiTheme="majorHAnsi"/>
          <w:spacing w:val="-2"/>
          <w:w w:val="99"/>
          <w:sz w:val="20"/>
          <w:szCs w:val="20"/>
        </w:rPr>
        <w:t>н</w:t>
      </w:r>
      <w:r w:rsidRPr="000977F7">
        <w:rPr>
          <w:rFonts w:asciiTheme="majorHAnsi" w:hAnsiTheme="majorHAnsi"/>
          <w:w w:val="99"/>
          <w:sz w:val="20"/>
          <w:szCs w:val="20"/>
        </w:rPr>
        <w:t>ічно</w:t>
      </w:r>
      <w:r w:rsidRPr="000977F7">
        <w:rPr>
          <w:rFonts w:asciiTheme="majorHAnsi" w:hAnsiTheme="majorHAnsi"/>
          <w:spacing w:val="-1"/>
          <w:w w:val="99"/>
          <w:sz w:val="20"/>
          <w:szCs w:val="20"/>
        </w:rPr>
        <w:t xml:space="preserve">го </w:t>
      </w:r>
      <w:r w:rsidRPr="000977F7">
        <w:rPr>
          <w:rFonts w:asciiTheme="majorHAnsi" w:hAnsiTheme="majorHAnsi"/>
          <w:sz w:val="20"/>
          <w:szCs w:val="20"/>
        </w:rPr>
        <w:t>стану" застосовується, коли основним завданням</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 діагностування є визначення виду технічного стану</w:t>
      </w:r>
    </w:p>
    <w:p w14:paraId="51C8D24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0370B6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ТЕХНІЧНЕ</w:t>
      </w:r>
      <w:r w:rsidRPr="000977F7">
        <w:rPr>
          <w:color w:val="auto"/>
          <w:spacing w:val="-4"/>
          <w:sz w:val="20"/>
          <w:szCs w:val="20"/>
        </w:rPr>
        <w:t xml:space="preserve"> </w:t>
      </w:r>
      <w:r w:rsidRPr="000977F7">
        <w:rPr>
          <w:color w:val="auto"/>
          <w:sz w:val="20"/>
          <w:szCs w:val="20"/>
        </w:rPr>
        <w:t>ЗАВДАННЯ –</w:t>
      </w:r>
    </w:p>
    <w:p w14:paraId="7ABDA86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що встановлює основне призначення, показники якості, техніко-економічні та спеціальні вимоги до виробу, обсягу, стадії розроблення та складу</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конструкторської</w:t>
      </w:r>
      <w:r w:rsidRPr="000977F7">
        <w:rPr>
          <w:rFonts w:asciiTheme="majorHAnsi" w:hAnsiTheme="majorHAnsi"/>
          <w:spacing w:val="-2"/>
          <w:sz w:val="20"/>
          <w:szCs w:val="20"/>
        </w:rPr>
        <w:t xml:space="preserve"> </w:t>
      </w:r>
      <w:r w:rsidRPr="000977F7">
        <w:rPr>
          <w:rFonts w:asciiTheme="majorHAnsi" w:hAnsiTheme="majorHAnsi"/>
          <w:sz w:val="20"/>
          <w:szCs w:val="20"/>
        </w:rPr>
        <w:t>документації</w:t>
      </w:r>
    </w:p>
    <w:p w14:paraId="58F1D7B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 – 95</w:t>
      </w:r>
    </w:p>
    <w:p w14:paraId="50EDB47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A3208E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Технічне</w:t>
      </w:r>
      <w:r w:rsidRPr="000977F7">
        <w:rPr>
          <w:rFonts w:asciiTheme="majorHAnsi" w:hAnsiTheme="majorHAnsi"/>
          <w:spacing w:val="1"/>
          <w:sz w:val="20"/>
          <w:szCs w:val="20"/>
        </w:rPr>
        <w:t xml:space="preserve"> </w:t>
      </w:r>
      <w:r w:rsidRPr="000977F7">
        <w:rPr>
          <w:rFonts w:asciiTheme="majorHAnsi" w:hAnsiTheme="majorHAnsi"/>
          <w:sz w:val="20"/>
          <w:szCs w:val="20"/>
        </w:rPr>
        <w:t>завдання</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конструкторських</w:t>
      </w:r>
      <w:r w:rsidRPr="000977F7">
        <w:rPr>
          <w:rFonts w:asciiTheme="majorHAnsi" w:hAnsiTheme="majorHAnsi"/>
          <w:spacing w:val="50"/>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47"/>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належить</w:t>
      </w:r>
    </w:p>
    <w:p w14:paraId="7C8CA2E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3A51F34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ТЕХНІЧНЕ ЗАВДАННЯ НА </w:t>
      </w:r>
    </w:p>
    <w:p w14:paraId="74EE946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НАУКОВО – ДОСЛІДНУ РОБОТУ (ДОСЛІДНО – КОНСТРУКТОРСЬКУ РОБОТУ; ДОСЛІДНО – ТЕХНОЛОГІЧНУ</w:t>
      </w:r>
      <w:r w:rsidRPr="000977F7">
        <w:rPr>
          <w:color w:val="auto"/>
          <w:spacing w:val="-1"/>
          <w:sz w:val="20"/>
          <w:szCs w:val="20"/>
        </w:rPr>
        <w:t xml:space="preserve"> </w:t>
      </w:r>
      <w:r w:rsidRPr="000977F7">
        <w:rPr>
          <w:color w:val="auto"/>
          <w:sz w:val="20"/>
          <w:szCs w:val="20"/>
        </w:rPr>
        <w:t>РОБОТУ)</w:t>
      </w:r>
      <w:r w:rsidRPr="000977F7">
        <w:rPr>
          <w:color w:val="auto"/>
          <w:spacing w:val="2"/>
          <w:sz w:val="20"/>
          <w:szCs w:val="20"/>
        </w:rPr>
        <w:t xml:space="preserve"> </w:t>
      </w:r>
      <w:r w:rsidRPr="000977F7">
        <w:rPr>
          <w:color w:val="auto"/>
          <w:sz w:val="20"/>
          <w:szCs w:val="20"/>
        </w:rPr>
        <w:t>–</w:t>
      </w:r>
    </w:p>
    <w:p w14:paraId="7FBF1FC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Вихідний документ, який встановлює вимоги до змісту, обсягу та термінів виконання науково-дослідних</w:t>
      </w:r>
      <w:r w:rsidRPr="000977F7">
        <w:rPr>
          <w:rFonts w:asciiTheme="majorHAnsi" w:hAnsiTheme="majorHAnsi"/>
          <w:spacing w:val="1"/>
          <w:sz w:val="20"/>
          <w:szCs w:val="20"/>
        </w:rPr>
        <w:t xml:space="preserve"> </w:t>
      </w:r>
      <w:r w:rsidRPr="000977F7">
        <w:rPr>
          <w:rFonts w:asciiTheme="majorHAnsi" w:hAnsiTheme="majorHAnsi"/>
          <w:sz w:val="20"/>
          <w:szCs w:val="20"/>
        </w:rPr>
        <w:t>робіт</w:t>
      </w:r>
      <w:r w:rsidRPr="000977F7">
        <w:rPr>
          <w:rFonts w:asciiTheme="majorHAnsi" w:hAnsiTheme="majorHAnsi"/>
          <w:spacing w:val="1"/>
          <w:sz w:val="20"/>
          <w:szCs w:val="20"/>
        </w:rPr>
        <w:t xml:space="preserve"> </w:t>
      </w:r>
      <w:r w:rsidRPr="000977F7">
        <w:rPr>
          <w:rFonts w:asciiTheme="majorHAnsi" w:hAnsiTheme="majorHAnsi"/>
          <w:sz w:val="20"/>
          <w:szCs w:val="20"/>
        </w:rPr>
        <w:t>(дослідно-конструкторських</w:t>
      </w:r>
      <w:r w:rsidRPr="000977F7">
        <w:rPr>
          <w:rFonts w:asciiTheme="majorHAnsi" w:hAnsiTheme="majorHAnsi"/>
          <w:spacing w:val="1"/>
          <w:sz w:val="20"/>
          <w:szCs w:val="20"/>
        </w:rPr>
        <w:t xml:space="preserve"> </w:t>
      </w:r>
      <w:r w:rsidRPr="000977F7">
        <w:rPr>
          <w:rFonts w:asciiTheme="majorHAnsi" w:hAnsiTheme="majorHAnsi"/>
          <w:sz w:val="20"/>
          <w:szCs w:val="20"/>
        </w:rPr>
        <w:t>робіт;</w:t>
      </w:r>
      <w:r w:rsidRPr="000977F7">
        <w:rPr>
          <w:rFonts w:asciiTheme="majorHAnsi" w:hAnsiTheme="majorHAnsi"/>
          <w:spacing w:val="1"/>
          <w:sz w:val="20"/>
          <w:szCs w:val="20"/>
        </w:rPr>
        <w:t xml:space="preserve"> </w:t>
      </w:r>
      <w:r w:rsidRPr="000977F7">
        <w:rPr>
          <w:rFonts w:asciiTheme="majorHAnsi" w:hAnsiTheme="majorHAnsi"/>
          <w:sz w:val="20"/>
          <w:szCs w:val="20"/>
        </w:rPr>
        <w:t>дослідно-технологічних</w:t>
      </w:r>
      <w:r w:rsidRPr="000977F7">
        <w:rPr>
          <w:rFonts w:asciiTheme="majorHAnsi" w:hAnsiTheme="majorHAnsi"/>
          <w:spacing w:val="-2"/>
          <w:sz w:val="20"/>
          <w:szCs w:val="20"/>
        </w:rPr>
        <w:t xml:space="preserve"> </w:t>
      </w:r>
      <w:r w:rsidRPr="000977F7">
        <w:rPr>
          <w:rFonts w:asciiTheme="majorHAnsi" w:hAnsiTheme="majorHAnsi"/>
          <w:sz w:val="20"/>
          <w:szCs w:val="20"/>
        </w:rPr>
        <w:t>робіт)</w:t>
      </w:r>
    </w:p>
    <w:p w14:paraId="623428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607A0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Технічним завданням може бути будь-який документ</w:t>
      </w:r>
      <w:r w:rsidRPr="000977F7">
        <w:rPr>
          <w:rFonts w:asciiTheme="majorHAnsi" w:hAnsiTheme="majorHAnsi"/>
          <w:spacing w:val="1"/>
          <w:sz w:val="20"/>
          <w:szCs w:val="20"/>
        </w:rPr>
        <w:t xml:space="preserve"> </w:t>
      </w:r>
      <w:r w:rsidRPr="000977F7">
        <w:rPr>
          <w:rFonts w:asciiTheme="majorHAnsi" w:hAnsiTheme="majorHAnsi"/>
          <w:sz w:val="20"/>
          <w:szCs w:val="20"/>
        </w:rPr>
        <w:t>(договір, угода, контракт, протокол тощо), який містить необхідні та достатні вимоги для виконання роботи</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визнаний</w:t>
      </w:r>
      <w:r w:rsidRPr="000977F7">
        <w:rPr>
          <w:rFonts w:asciiTheme="majorHAnsi" w:hAnsiTheme="majorHAnsi"/>
          <w:spacing w:val="-1"/>
          <w:sz w:val="20"/>
          <w:szCs w:val="20"/>
        </w:rPr>
        <w:t xml:space="preserve"> </w:t>
      </w:r>
      <w:r w:rsidRPr="000977F7">
        <w:rPr>
          <w:rFonts w:asciiTheme="majorHAnsi" w:hAnsiTheme="majorHAnsi"/>
          <w:sz w:val="20"/>
          <w:szCs w:val="20"/>
        </w:rPr>
        <w:t>сторонами</w:t>
      </w:r>
    </w:p>
    <w:p w14:paraId="6D91EEF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lastRenderedPageBreak/>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289B18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ТЕХНIЧНЕ</w:t>
      </w:r>
      <w:r w:rsidRPr="000977F7">
        <w:rPr>
          <w:color w:val="auto"/>
          <w:spacing w:val="-5"/>
          <w:sz w:val="20"/>
          <w:szCs w:val="20"/>
        </w:rPr>
        <w:t xml:space="preserve"> </w:t>
      </w:r>
      <w:r w:rsidRPr="000977F7">
        <w:rPr>
          <w:color w:val="auto"/>
          <w:sz w:val="20"/>
          <w:szCs w:val="20"/>
        </w:rPr>
        <w:t>КОНТРОЛЮВАННЯ</w:t>
      </w:r>
      <w:r w:rsidRPr="000977F7">
        <w:rPr>
          <w:color w:val="auto"/>
          <w:spacing w:val="-1"/>
          <w:sz w:val="20"/>
          <w:szCs w:val="20"/>
        </w:rPr>
        <w:t xml:space="preserve"> </w:t>
      </w:r>
      <w:r w:rsidRPr="000977F7">
        <w:rPr>
          <w:color w:val="auto"/>
          <w:sz w:val="20"/>
          <w:szCs w:val="20"/>
        </w:rPr>
        <w:t>–</w:t>
      </w:r>
    </w:p>
    <w:p w14:paraId="476C77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INSPECTION-</w:t>
      </w:r>
    </w:p>
    <w:p w14:paraId="2735874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Перевіряння відповідності об’єкта встановленим технічним</w:t>
      </w:r>
      <w:r w:rsidRPr="000977F7">
        <w:rPr>
          <w:rFonts w:asciiTheme="majorHAnsi" w:hAnsiTheme="majorHAnsi"/>
          <w:spacing w:val="1"/>
          <w:sz w:val="20"/>
          <w:szCs w:val="20"/>
        </w:rPr>
        <w:t xml:space="preserve"> </w:t>
      </w:r>
      <w:r w:rsidRPr="000977F7">
        <w:rPr>
          <w:rFonts w:asciiTheme="majorHAnsi" w:hAnsiTheme="majorHAnsi"/>
          <w:sz w:val="20"/>
          <w:szCs w:val="20"/>
        </w:rPr>
        <w:t>вимогам</w:t>
      </w:r>
    </w:p>
    <w:p w14:paraId="4B9335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97C8FD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Об’єктами</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контролювання</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продукція,</w:t>
      </w:r>
      <w:r w:rsidRPr="000977F7">
        <w:rPr>
          <w:rFonts w:asciiTheme="majorHAnsi" w:hAnsiTheme="majorHAnsi"/>
          <w:spacing w:val="1"/>
          <w:sz w:val="20"/>
          <w:szCs w:val="20"/>
        </w:rPr>
        <w:t xml:space="preserve"> </w:t>
      </w:r>
      <w:r w:rsidRPr="000977F7">
        <w:rPr>
          <w:rFonts w:asciiTheme="majorHAnsi" w:hAnsiTheme="majorHAnsi"/>
          <w:sz w:val="20"/>
          <w:szCs w:val="20"/>
        </w:rPr>
        <w:t>процеси її створення, застосування, транспортування,</w:t>
      </w:r>
      <w:r w:rsidRPr="000977F7">
        <w:rPr>
          <w:rFonts w:asciiTheme="majorHAnsi" w:hAnsiTheme="majorHAnsi"/>
          <w:spacing w:val="1"/>
          <w:sz w:val="20"/>
          <w:szCs w:val="20"/>
        </w:rPr>
        <w:t xml:space="preserve"> </w:t>
      </w:r>
      <w:r w:rsidRPr="000977F7">
        <w:rPr>
          <w:rFonts w:asciiTheme="majorHAnsi" w:hAnsiTheme="majorHAnsi"/>
          <w:sz w:val="20"/>
          <w:szCs w:val="20"/>
        </w:rPr>
        <w:t>зберігання, технічного обслуговування та ремонту, а</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2"/>
          <w:sz w:val="20"/>
          <w:szCs w:val="20"/>
        </w:rPr>
        <w:t xml:space="preserve"> </w:t>
      </w:r>
      <w:r w:rsidRPr="000977F7">
        <w:rPr>
          <w:rFonts w:asciiTheme="majorHAnsi" w:hAnsiTheme="majorHAnsi"/>
          <w:sz w:val="20"/>
          <w:szCs w:val="20"/>
        </w:rPr>
        <w:t>відповідна</w:t>
      </w:r>
      <w:r w:rsidRPr="000977F7">
        <w:rPr>
          <w:rFonts w:asciiTheme="majorHAnsi" w:hAnsiTheme="majorHAnsi"/>
          <w:spacing w:val="-1"/>
          <w:sz w:val="20"/>
          <w:szCs w:val="20"/>
        </w:rPr>
        <w:t xml:space="preserve"> </w:t>
      </w:r>
      <w:r w:rsidRPr="000977F7">
        <w:rPr>
          <w:rFonts w:asciiTheme="majorHAnsi" w:hAnsiTheme="majorHAnsi"/>
          <w:sz w:val="20"/>
          <w:szCs w:val="20"/>
        </w:rPr>
        <w:t>технічна документація</w:t>
      </w:r>
    </w:p>
    <w:p w14:paraId="6AA61F3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0208561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ТЕХНІЧНЕ</w:t>
      </w:r>
      <w:r w:rsidRPr="000977F7">
        <w:rPr>
          <w:color w:val="auto"/>
          <w:spacing w:val="-4"/>
          <w:sz w:val="20"/>
          <w:szCs w:val="20"/>
        </w:rPr>
        <w:t xml:space="preserve"> </w:t>
      </w:r>
      <w:r w:rsidRPr="000977F7">
        <w:rPr>
          <w:color w:val="auto"/>
          <w:sz w:val="20"/>
          <w:szCs w:val="20"/>
        </w:rPr>
        <w:t>НОРМУВАННЯ</w:t>
      </w:r>
      <w:r w:rsidRPr="000977F7">
        <w:rPr>
          <w:color w:val="auto"/>
          <w:spacing w:val="-1"/>
          <w:sz w:val="20"/>
          <w:szCs w:val="20"/>
        </w:rPr>
        <w:t xml:space="preserve"> </w:t>
      </w:r>
      <w:r w:rsidRPr="000977F7">
        <w:rPr>
          <w:color w:val="auto"/>
          <w:sz w:val="20"/>
          <w:szCs w:val="20"/>
        </w:rPr>
        <w:t>–</w:t>
      </w:r>
    </w:p>
    <w:p w14:paraId="14DBE41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Установлення</w:t>
      </w:r>
      <w:r w:rsidRPr="000977F7">
        <w:rPr>
          <w:rFonts w:asciiTheme="majorHAnsi" w:hAnsiTheme="majorHAnsi"/>
          <w:spacing w:val="11"/>
          <w:sz w:val="20"/>
          <w:szCs w:val="20"/>
        </w:rPr>
        <w:t xml:space="preserve"> </w:t>
      </w:r>
      <w:r w:rsidRPr="000977F7">
        <w:rPr>
          <w:rFonts w:asciiTheme="majorHAnsi" w:hAnsiTheme="majorHAnsi"/>
          <w:sz w:val="20"/>
          <w:szCs w:val="20"/>
        </w:rPr>
        <w:t>технічно</w:t>
      </w:r>
      <w:r w:rsidRPr="000977F7">
        <w:rPr>
          <w:rFonts w:asciiTheme="majorHAnsi" w:hAnsiTheme="majorHAnsi"/>
          <w:spacing w:val="12"/>
          <w:sz w:val="20"/>
          <w:szCs w:val="20"/>
        </w:rPr>
        <w:t xml:space="preserve"> </w:t>
      </w:r>
      <w:r w:rsidRPr="000977F7">
        <w:rPr>
          <w:rFonts w:asciiTheme="majorHAnsi" w:hAnsiTheme="majorHAnsi"/>
          <w:sz w:val="20"/>
          <w:szCs w:val="20"/>
        </w:rPr>
        <w:t>обґрунтованих</w:t>
      </w:r>
      <w:r w:rsidRPr="000977F7">
        <w:rPr>
          <w:rFonts w:asciiTheme="majorHAnsi" w:hAnsiTheme="majorHAnsi"/>
          <w:spacing w:val="13"/>
          <w:sz w:val="20"/>
          <w:szCs w:val="20"/>
        </w:rPr>
        <w:t xml:space="preserve"> </w:t>
      </w:r>
      <w:r w:rsidRPr="000977F7">
        <w:rPr>
          <w:rFonts w:asciiTheme="majorHAnsi" w:hAnsiTheme="majorHAnsi"/>
          <w:sz w:val="20"/>
          <w:szCs w:val="20"/>
        </w:rPr>
        <w:t>норм</w:t>
      </w:r>
      <w:r w:rsidRPr="000977F7">
        <w:rPr>
          <w:rFonts w:asciiTheme="majorHAnsi" w:hAnsiTheme="majorHAnsi"/>
          <w:spacing w:val="13"/>
          <w:sz w:val="20"/>
          <w:szCs w:val="20"/>
        </w:rPr>
        <w:t xml:space="preserve"> </w:t>
      </w:r>
      <w:r w:rsidRPr="000977F7">
        <w:rPr>
          <w:rFonts w:asciiTheme="majorHAnsi" w:hAnsiTheme="majorHAnsi"/>
          <w:sz w:val="20"/>
          <w:szCs w:val="20"/>
        </w:rPr>
        <w:t>витрат</w:t>
      </w:r>
      <w:r w:rsidRPr="000977F7">
        <w:rPr>
          <w:rFonts w:asciiTheme="majorHAnsi" w:hAnsiTheme="majorHAnsi"/>
          <w:spacing w:val="-47"/>
          <w:sz w:val="20"/>
          <w:szCs w:val="20"/>
        </w:rPr>
        <w:t xml:space="preserve"> </w:t>
      </w:r>
      <w:r w:rsidRPr="000977F7">
        <w:rPr>
          <w:rFonts w:asciiTheme="majorHAnsi" w:hAnsiTheme="majorHAnsi"/>
          <w:sz w:val="20"/>
          <w:szCs w:val="20"/>
        </w:rPr>
        <w:t>виробничих</w:t>
      </w:r>
      <w:r w:rsidRPr="000977F7">
        <w:rPr>
          <w:rFonts w:asciiTheme="majorHAnsi" w:hAnsiTheme="majorHAnsi"/>
          <w:spacing w:val="-2"/>
          <w:sz w:val="20"/>
          <w:szCs w:val="20"/>
        </w:rPr>
        <w:t xml:space="preserve"> </w:t>
      </w:r>
      <w:r w:rsidRPr="000977F7">
        <w:rPr>
          <w:rFonts w:asciiTheme="majorHAnsi" w:hAnsiTheme="majorHAnsi"/>
          <w:sz w:val="20"/>
          <w:szCs w:val="20"/>
        </w:rPr>
        <w:t>ресурсів</w:t>
      </w:r>
    </w:p>
    <w:p w14:paraId="52CAD6A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A996BEE"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Під</w:t>
      </w:r>
      <w:r w:rsidRPr="000977F7">
        <w:rPr>
          <w:rFonts w:asciiTheme="majorHAnsi" w:hAnsiTheme="majorHAnsi"/>
          <w:spacing w:val="38"/>
          <w:sz w:val="20"/>
          <w:szCs w:val="20"/>
        </w:rPr>
        <w:t xml:space="preserve"> </w:t>
      </w:r>
      <w:r w:rsidRPr="000977F7">
        <w:rPr>
          <w:rFonts w:asciiTheme="majorHAnsi" w:hAnsiTheme="majorHAnsi"/>
          <w:sz w:val="20"/>
          <w:szCs w:val="20"/>
        </w:rPr>
        <w:t>виробничими</w:t>
      </w:r>
      <w:r w:rsidRPr="000977F7">
        <w:rPr>
          <w:rFonts w:asciiTheme="majorHAnsi" w:hAnsiTheme="majorHAnsi"/>
          <w:spacing w:val="39"/>
          <w:sz w:val="20"/>
          <w:szCs w:val="20"/>
        </w:rPr>
        <w:t xml:space="preserve"> </w:t>
      </w:r>
      <w:r w:rsidRPr="000977F7">
        <w:rPr>
          <w:rFonts w:asciiTheme="majorHAnsi" w:hAnsiTheme="majorHAnsi"/>
          <w:sz w:val="20"/>
          <w:szCs w:val="20"/>
        </w:rPr>
        <w:t>ресурсами</w:t>
      </w:r>
      <w:r w:rsidRPr="000977F7">
        <w:rPr>
          <w:rFonts w:asciiTheme="majorHAnsi" w:hAnsiTheme="majorHAnsi"/>
          <w:spacing w:val="38"/>
          <w:sz w:val="20"/>
          <w:szCs w:val="20"/>
        </w:rPr>
        <w:t xml:space="preserve"> </w:t>
      </w:r>
      <w:r w:rsidRPr="000977F7">
        <w:rPr>
          <w:rFonts w:asciiTheme="majorHAnsi" w:hAnsiTheme="majorHAnsi"/>
          <w:sz w:val="20"/>
          <w:szCs w:val="20"/>
        </w:rPr>
        <w:t>розуміють</w:t>
      </w:r>
      <w:r w:rsidRPr="000977F7">
        <w:rPr>
          <w:rFonts w:asciiTheme="majorHAnsi" w:hAnsiTheme="majorHAnsi"/>
          <w:spacing w:val="40"/>
          <w:sz w:val="20"/>
          <w:szCs w:val="20"/>
        </w:rPr>
        <w:t xml:space="preserve"> </w:t>
      </w:r>
      <w:r w:rsidRPr="000977F7">
        <w:rPr>
          <w:rFonts w:asciiTheme="majorHAnsi" w:hAnsiTheme="majorHAnsi"/>
          <w:sz w:val="20"/>
          <w:szCs w:val="20"/>
        </w:rPr>
        <w:t>енергію,</w:t>
      </w:r>
      <w:r w:rsidRPr="000977F7">
        <w:rPr>
          <w:rFonts w:asciiTheme="majorHAnsi" w:hAnsiTheme="majorHAnsi"/>
          <w:spacing w:val="39"/>
          <w:sz w:val="20"/>
          <w:szCs w:val="20"/>
        </w:rPr>
        <w:t xml:space="preserve"> </w:t>
      </w:r>
      <w:r w:rsidRPr="000977F7">
        <w:rPr>
          <w:rFonts w:asciiTheme="majorHAnsi" w:hAnsiTheme="majorHAnsi"/>
          <w:sz w:val="20"/>
          <w:szCs w:val="20"/>
        </w:rPr>
        <w:t>сировину, матеріали, інструмент, робочий час тощо</w:t>
      </w:r>
      <w:r w:rsidRPr="000977F7">
        <w:rPr>
          <w:rFonts w:asciiTheme="majorHAnsi" w:hAnsiTheme="majorHAns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2391</w:t>
      </w:r>
      <w:r w:rsidRPr="000977F7">
        <w:rPr>
          <w:rFonts w:asciiTheme="majorHAnsi" w:hAnsiTheme="majorHAnsi"/>
          <w:i/>
          <w:spacing w:val="2"/>
          <w:sz w:val="20"/>
          <w:szCs w:val="20"/>
        </w:rPr>
        <w:t xml:space="preserve"> </w:t>
      </w:r>
      <w:r w:rsidRPr="000977F7">
        <w:rPr>
          <w:rFonts w:asciiTheme="majorHAnsi" w:hAnsiTheme="majorHAnsi"/>
          <w:i/>
          <w:sz w:val="20"/>
          <w:szCs w:val="20"/>
        </w:rPr>
        <w:t>– 2010</w:t>
      </w:r>
    </w:p>
    <w:p w14:paraId="7ACE6A3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ТЕХНІЧНЕ</w:t>
      </w:r>
      <w:r w:rsidRPr="000977F7">
        <w:rPr>
          <w:color w:val="auto"/>
          <w:spacing w:val="-6"/>
          <w:sz w:val="20"/>
          <w:szCs w:val="20"/>
        </w:rPr>
        <w:t xml:space="preserve"> </w:t>
      </w:r>
      <w:r w:rsidRPr="000977F7">
        <w:rPr>
          <w:color w:val="auto"/>
          <w:sz w:val="20"/>
          <w:szCs w:val="20"/>
        </w:rPr>
        <w:t>ОБСЛУГОВУВАННЯ -</w:t>
      </w:r>
    </w:p>
    <w:p w14:paraId="5BCCC6B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PREVENTIVE</w:t>
      </w:r>
      <w:r w:rsidRPr="000977F7">
        <w:rPr>
          <w:rFonts w:asciiTheme="majorHAnsi" w:hAnsiTheme="majorHAnsi"/>
          <w:spacing w:val="-4"/>
          <w:sz w:val="20"/>
          <w:szCs w:val="20"/>
        </w:rPr>
        <w:t xml:space="preserve"> </w:t>
      </w:r>
      <w:r w:rsidRPr="000977F7">
        <w:rPr>
          <w:rFonts w:asciiTheme="majorHAnsi" w:hAnsiTheme="majorHAnsi"/>
          <w:sz w:val="20"/>
          <w:szCs w:val="20"/>
        </w:rPr>
        <w:t>MAINTENANCE –</w:t>
      </w:r>
    </w:p>
    <w:p w14:paraId="59F16B6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 операцій чи операція для підтримки справного</w:t>
      </w:r>
      <w:r w:rsidRPr="000977F7">
        <w:rPr>
          <w:rFonts w:asciiTheme="majorHAnsi" w:hAnsiTheme="majorHAnsi"/>
          <w:spacing w:val="1"/>
          <w:sz w:val="20"/>
          <w:szCs w:val="20"/>
        </w:rPr>
        <w:t xml:space="preserve"> </w:t>
      </w:r>
      <w:r w:rsidRPr="000977F7">
        <w:rPr>
          <w:rFonts w:asciiTheme="majorHAnsi" w:hAnsiTheme="majorHAnsi"/>
          <w:sz w:val="20"/>
          <w:szCs w:val="20"/>
        </w:rPr>
        <w:t>стану</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працездатності</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використанні його за призначенням, під час простою, зберігання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транспортування</w:t>
      </w:r>
    </w:p>
    <w:p w14:paraId="1DB2E68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341954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Комплекс</w:t>
      </w:r>
      <w:r w:rsidRPr="000977F7">
        <w:rPr>
          <w:rFonts w:asciiTheme="majorHAnsi" w:hAnsiTheme="majorHAnsi"/>
          <w:spacing w:val="1"/>
          <w:sz w:val="20"/>
          <w:szCs w:val="20"/>
        </w:rPr>
        <w:t xml:space="preserve"> </w:t>
      </w:r>
      <w:r w:rsidRPr="000977F7">
        <w:rPr>
          <w:rFonts w:asciiTheme="majorHAnsi" w:hAnsiTheme="majorHAnsi"/>
          <w:sz w:val="20"/>
          <w:szCs w:val="20"/>
        </w:rPr>
        <w:t>операцій</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окрема</w:t>
      </w:r>
      <w:r w:rsidRPr="000977F7">
        <w:rPr>
          <w:rFonts w:asciiTheme="majorHAnsi" w:hAnsiTheme="majorHAnsi"/>
          <w:spacing w:val="1"/>
          <w:sz w:val="20"/>
          <w:szCs w:val="20"/>
        </w:rPr>
        <w:t xml:space="preserve"> </w:t>
      </w:r>
      <w:r w:rsidRPr="000977F7">
        <w:rPr>
          <w:rFonts w:asciiTheme="majorHAnsi" w:hAnsiTheme="majorHAnsi"/>
          <w:sz w:val="20"/>
          <w:szCs w:val="20"/>
        </w:rPr>
        <w:t>операція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підтримання працездатності або справності устаткування під</w:t>
      </w:r>
      <w:r w:rsidRPr="000977F7">
        <w:rPr>
          <w:rFonts w:asciiTheme="majorHAnsi" w:hAnsiTheme="majorHAnsi"/>
          <w:spacing w:val="-47"/>
          <w:sz w:val="20"/>
          <w:szCs w:val="20"/>
        </w:rPr>
        <w:t xml:space="preserve"> </w:t>
      </w:r>
      <w:r w:rsidRPr="000977F7">
        <w:rPr>
          <w:rFonts w:asciiTheme="majorHAnsi" w:hAnsiTheme="majorHAnsi"/>
          <w:sz w:val="20"/>
          <w:szCs w:val="20"/>
        </w:rPr>
        <w:t>час його використання за призначенням, чекання, зберігання</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транспортування</w:t>
      </w:r>
    </w:p>
    <w:p w14:paraId="36091B1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66107B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Будь – які діяльність, призначена для збереження або</w:t>
      </w:r>
      <w:r w:rsidRPr="000977F7">
        <w:rPr>
          <w:rFonts w:asciiTheme="majorHAnsi" w:hAnsiTheme="majorHAnsi"/>
          <w:spacing w:val="1"/>
          <w:sz w:val="20"/>
          <w:szCs w:val="20"/>
        </w:rPr>
        <w:t xml:space="preserve"> </w:t>
      </w:r>
      <w:r w:rsidRPr="000977F7">
        <w:rPr>
          <w:rFonts w:asciiTheme="majorHAnsi" w:hAnsiTheme="majorHAnsi"/>
          <w:sz w:val="20"/>
          <w:szCs w:val="20"/>
        </w:rPr>
        <w:t>відновлення працездатності функційного модуля (системи)</w:t>
      </w:r>
    </w:p>
    <w:p w14:paraId="2371C07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ISO/IEC</w:t>
      </w:r>
      <w:r w:rsidRPr="000977F7">
        <w:rPr>
          <w:rFonts w:asciiTheme="majorHAnsi" w:hAnsiTheme="majorHAnsi"/>
          <w:i/>
          <w:spacing w:val="-3"/>
          <w:sz w:val="20"/>
          <w:szCs w:val="20"/>
        </w:rPr>
        <w:t xml:space="preserve"> </w:t>
      </w:r>
      <w:r w:rsidRPr="000977F7">
        <w:rPr>
          <w:rFonts w:asciiTheme="majorHAnsi" w:hAnsiTheme="majorHAnsi"/>
          <w:i/>
          <w:sz w:val="20"/>
          <w:szCs w:val="20"/>
        </w:rPr>
        <w:t>2382:2017</w:t>
      </w:r>
    </w:p>
    <w:p w14:paraId="5DF1458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ТЕХНІЧНЕ</w:t>
      </w:r>
      <w:r w:rsidRPr="000977F7">
        <w:rPr>
          <w:color w:val="auto"/>
          <w:spacing w:val="-5"/>
          <w:sz w:val="20"/>
          <w:szCs w:val="20"/>
        </w:rPr>
        <w:t xml:space="preserve"> </w:t>
      </w:r>
      <w:r w:rsidRPr="000977F7">
        <w:rPr>
          <w:color w:val="auto"/>
          <w:sz w:val="20"/>
          <w:szCs w:val="20"/>
        </w:rPr>
        <w:t>ОБСЛУГОВУВАННЯ</w:t>
      </w:r>
      <w:r w:rsidRPr="000977F7">
        <w:rPr>
          <w:color w:val="auto"/>
          <w:spacing w:val="-3"/>
          <w:sz w:val="20"/>
          <w:szCs w:val="20"/>
        </w:rPr>
        <w:t xml:space="preserve"> </w:t>
      </w:r>
      <w:r w:rsidRPr="000977F7">
        <w:rPr>
          <w:color w:val="auto"/>
          <w:sz w:val="20"/>
          <w:szCs w:val="20"/>
        </w:rPr>
        <w:t>ВИРОБУ</w:t>
      </w:r>
      <w:r w:rsidRPr="000977F7">
        <w:rPr>
          <w:color w:val="auto"/>
          <w:spacing w:val="-2"/>
          <w:sz w:val="20"/>
          <w:szCs w:val="20"/>
        </w:rPr>
        <w:t xml:space="preserve"> </w:t>
      </w:r>
      <w:r w:rsidRPr="000977F7">
        <w:rPr>
          <w:color w:val="auto"/>
          <w:sz w:val="20"/>
          <w:szCs w:val="20"/>
        </w:rPr>
        <w:t>–</w:t>
      </w:r>
    </w:p>
    <w:p w14:paraId="0C065E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 операцій чи операція підтримування працездатності чи справності виробу у процесах використання за призначенням, очікуванні, зберіганні та транспортуванні</w:t>
      </w:r>
    </w:p>
    <w:p w14:paraId="6B71E49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B5AE69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Залежно від ознак класифікації технічного 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r w:rsidRPr="000977F7">
        <w:rPr>
          <w:rFonts w:asciiTheme="majorHAnsi" w:hAnsiTheme="majorHAnsi"/>
          <w:spacing w:val="-2"/>
          <w:sz w:val="20"/>
          <w:szCs w:val="20"/>
        </w:rPr>
        <w:t xml:space="preserve"> </w:t>
      </w:r>
      <w:r w:rsidRPr="000977F7">
        <w:rPr>
          <w:rFonts w:asciiTheme="majorHAnsi" w:hAnsiTheme="majorHAnsi"/>
          <w:sz w:val="20"/>
          <w:szCs w:val="20"/>
        </w:rPr>
        <w:t>створюються</w:t>
      </w:r>
      <w:r w:rsidRPr="000977F7">
        <w:rPr>
          <w:rFonts w:asciiTheme="majorHAnsi" w:hAnsiTheme="majorHAnsi"/>
          <w:spacing w:val="4"/>
          <w:sz w:val="20"/>
          <w:szCs w:val="20"/>
        </w:rPr>
        <w:t xml:space="preserve"> </w:t>
      </w:r>
      <w:r w:rsidRPr="000977F7">
        <w:rPr>
          <w:rFonts w:asciiTheme="majorHAnsi" w:hAnsiTheme="majorHAnsi"/>
          <w:sz w:val="20"/>
          <w:szCs w:val="20"/>
        </w:rPr>
        <w:t>видові</w:t>
      </w:r>
      <w:r w:rsidRPr="000977F7">
        <w:rPr>
          <w:rFonts w:asciiTheme="majorHAnsi" w:hAnsiTheme="majorHAnsi"/>
          <w:spacing w:val="2"/>
          <w:sz w:val="20"/>
          <w:szCs w:val="20"/>
        </w:rPr>
        <w:t xml:space="preserve"> </w:t>
      </w:r>
      <w:r w:rsidRPr="000977F7">
        <w:rPr>
          <w:rFonts w:asciiTheme="majorHAnsi" w:hAnsiTheme="majorHAnsi"/>
          <w:sz w:val="20"/>
          <w:szCs w:val="20"/>
        </w:rPr>
        <w:t>поняття,</w:t>
      </w:r>
      <w:r w:rsidRPr="000977F7">
        <w:rPr>
          <w:rFonts w:asciiTheme="majorHAnsi" w:hAnsiTheme="majorHAnsi"/>
          <w:spacing w:val="2"/>
          <w:sz w:val="20"/>
          <w:szCs w:val="20"/>
        </w:rPr>
        <w:t xml:space="preserve"> </w:t>
      </w:r>
      <w:r w:rsidRPr="000977F7">
        <w:rPr>
          <w:rFonts w:asciiTheme="majorHAnsi" w:hAnsiTheme="majorHAnsi"/>
          <w:sz w:val="20"/>
          <w:szCs w:val="20"/>
        </w:rPr>
        <w:t>наприклад "</w:t>
      </w:r>
      <w:r w:rsidRPr="000977F7">
        <w:rPr>
          <w:rFonts w:asciiTheme="majorHAnsi" w:hAnsiTheme="majorHAnsi"/>
          <w:spacing w:val="-1"/>
          <w:w w:val="99"/>
          <w:sz w:val="20"/>
          <w:szCs w:val="20"/>
        </w:rPr>
        <w:t>т</w:t>
      </w:r>
      <w:r w:rsidRPr="000977F7">
        <w:rPr>
          <w:rFonts w:asciiTheme="majorHAnsi" w:hAnsiTheme="majorHAnsi"/>
          <w:spacing w:val="2"/>
          <w:w w:val="99"/>
          <w:sz w:val="20"/>
          <w:szCs w:val="20"/>
        </w:rPr>
        <w:t>е</w:t>
      </w:r>
      <w:r w:rsidRPr="000977F7">
        <w:rPr>
          <w:rFonts w:asciiTheme="majorHAnsi" w:hAnsiTheme="majorHAnsi"/>
          <w:spacing w:val="-2"/>
          <w:w w:val="99"/>
          <w:sz w:val="20"/>
          <w:szCs w:val="20"/>
        </w:rPr>
        <w:t>хн</w:t>
      </w:r>
      <w:r w:rsidRPr="000977F7">
        <w:rPr>
          <w:rFonts w:asciiTheme="majorHAnsi" w:hAnsiTheme="majorHAnsi"/>
          <w:w w:val="99"/>
          <w:sz w:val="20"/>
          <w:szCs w:val="20"/>
        </w:rPr>
        <w:t>і</w:t>
      </w:r>
      <w:r w:rsidRPr="000977F7">
        <w:rPr>
          <w:rFonts w:asciiTheme="majorHAnsi" w:hAnsiTheme="majorHAnsi"/>
          <w:spacing w:val="2"/>
          <w:w w:val="99"/>
          <w:sz w:val="20"/>
          <w:szCs w:val="20"/>
        </w:rPr>
        <w:t>ч</w:t>
      </w:r>
      <w:r w:rsidRPr="000977F7">
        <w:rPr>
          <w:rFonts w:asciiTheme="majorHAnsi" w:hAnsiTheme="majorHAnsi"/>
          <w:spacing w:val="-2"/>
          <w:w w:val="99"/>
          <w:sz w:val="20"/>
          <w:szCs w:val="20"/>
        </w:rPr>
        <w:t>н</w:t>
      </w:r>
      <w:r w:rsidRPr="000977F7">
        <w:rPr>
          <w:rFonts w:asciiTheme="majorHAnsi" w:hAnsiTheme="majorHAnsi"/>
          <w:w w:val="99"/>
          <w:sz w:val="20"/>
          <w:szCs w:val="20"/>
        </w:rPr>
        <w:t>е</w:t>
      </w:r>
      <w:r w:rsidRPr="000977F7">
        <w:rPr>
          <w:rFonts w:asciiTheme="majorHAnsi" w:hAnsiTheme="majorHAnsi"/>
          <w:spacing w:val="5"/>
          <w:sz w:val="20"/>
          <w:szCs w:val="20"/>
        </w:rPr>
        <w:t xml:space="preserve"> </w:t>
      </w:r>
      <w:r w:rsidRPr="000977F7">
        <w:rPr>
          <w:rFonts w:asciiTheme="majorHAnsi" w:hAnsiTheme="majorHAnsi"/>
          <w:spacing w:val="1"/>
          <w:w w:val="99"/>
          <w:sz w:val="20"/>
          <w:szCs w:val="20"/>
        </w:rPr>
        <w:t>о</w:t>
      </w:r>
      <w:r w:rsidRPr="000977F7">
        <w:rPr>
          <w:rFonts w:asciiTheme="majorHAnsi" w:hAnsiTheme="majorHAnsi"/>
          <w:w w:val="99"/>
          <w:sz w:val="20"/>
          <w:szCs w:val="20"/>
        </w:rPr>
        <w:t>бс</w:t>
      </w:r>
      <w:r w:rsidRPr="000977F7">
        <w:rPr>
          <w:rFonts w:asciiTheme="majorHAnsi" w:hAnsiTheme="majorHAnsi"/>
          <w:spacing w:val="1"/>
          <w:w w:val="99"/>
          <w:sz w:val="20"/>
          <w:szCs w:val="20"/>
        </w:rPr>
        <w:t>л</w:t>
      </w:r>
      <w:r w:rsidRPr="000977F7">
        <w:rPr>
          <w:rFonts w:asciiTheme="majorHAnsi" w:hAnsiTheme="majorHAnsi"/>
          <w:spacing w:val="-2"/>
          <w:w w:val="99"/>
          <w:sz w:val="20"/>
          <w:szCs w:val="20"/>
        </w:rPr>
        <w:t>у</w:t>
      </w:r>
      <w:r w:rsidRPr="000977F7">
        <w:rPr>
          <w:rFonts w:asciiTheme="majorHAnsi" w:hAnsiTheme="majorHAnsi"/>
          <w:spacing w:val="-1"/>
          <w:w w:val="99"/>
          <w:sz w:val="20"/>
          <w:szCs w:val="20"/>
        </w:rPr>
        <w:t>г</w:t>
      </w:r>
      <w:r w:rsidRPr="000977F7">
        <w:rPr>
          <w:rFonts w:asciiTheme="majorHAnsi" w:hAnsiTheme="majorHAnsi"/>
          <w:w w:val="99"/>
          <w:sz w:val="20"/>
          <w:szCs w:val="20"/>
        </w:rPr>
        <w:t>о</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у</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а</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н</w:t>
      </w:r>
      <w:r w:rsidRPr="000977F7">
        <w:rPr>
          <w:rFonts w:asciiTheme="majorHAnsi" w:hAnsiTheme="majorHAnsi"/>
          <w:w w:val="99"/>
          <w:sz w:val="20"/>
          <w:szCs w:val="20"/>
        </w:rPr>
        <w:t>я</w:t>
      </w:r>
      <w:r w:rsidRPr="000977F7">
        <w:rPr>
          <w:rFonts w:asciiTheme="majorHAnsi" w:hAnsiTheme="majorHAnsi"/>
          <w:spacing w:val="4"/>
          <w:sz w:val="20"/>
          <w:szCs w:val="20"/>
        </w:rPr>
        <w:t xml:space="preserve"> </w:t>
      </w:r>
      <w:r w:rsidRPr="000977F7">
        <w:rPr>
          <w:rFonts w:asciiTheme="majorHAnsi" w:hAnsiTheme="majorHAnsi"/>
          <w:w w:val="99"/>
          <w:sz w:val="20"/>
          <w:szCs w:val="20"/>
        </w:rPr>
        <w:t>у</w:t>
      </w:r>
      <w:r w:rsidRPr="000977F7">
        <w:rPr>
          <w:rFonts w:asciiTheme="majorHAnsi" w:hAnsiTheme="majorHAnsi"/>
          <w:spacing w:val="3"/>
          <w:sz w:val="20"/>
          <w:szCs w:val="20"/>
        </w:rPr>
        <w:t xml:space="preserve"> </w:t>
      </w:r>
      <w:r w:rsidRPr="000977F7">
        <w:rPr>
          <w:rFonts w:asciiTheme="majorHAnsi" w:hAnsiTheme="majorHAnsi"/>
          <w:spacing w:val="-2"/>
          <w:w w:val="99"/>
          <w:sz w:val="20"/>
          <w:szCs w:val="20"/>
        </w:rPr>
        <w:t>п</w:t>
      </w:r>
      <w:r w:rsidRPr="000977F7">
        <w:rPr>
          <w:rFonts w:asciiTheme="majorHAnsi" w:hAnsiTheme="majorHAnsi"/>
          <w:spacing w:val="1"/>
          <w:w w:val="99"/>
          <w:sz w:val="20"/>
          <w:szCs w:val="20"/>
        </w:rPr>
        <w:t>ро</w:t>
      </w:r>
      <w:r w:rsidRPr="000977F7">
        <w:rPr>
          <w:rFonts w:asciiTheme="majorHAnsi" w:hAnsiTheme="majorHAnsi"/>
          <w:spacing w:val="-2"/>
          <w:w w:val="99"/>
          <w:sz w:val="20"/>
          <w:szCs w:val="20"/>
        </w:rPr>
        <w:t>ц</w:t>
      </w:r>
      <w:r w:rsidRPr="000977F7">
        <w:rPr>
          <w:rFonts w:asciiTheme="majorHAnsi" w:hAnsiTheme="majorHAnsi"/>
          <w:w w:val="99"/>
          <w:sz w:val="20"/>
          <w:szCs w:val="20"/>
        </w:rPr>
        <w:t>есі</w:t>
      </w:r>
      <w:r w:rsidRPr="000977F7">
        <w:rPr>
          <w:rFonts w:asciiTheme="majorHAnsi" w:hAnsiTheme="majorHAnsi"/>
          <w:spacing w:val="4"/>
          <w:sz w:val="20"/>
          <w:szCs w:val="20"/>
        </w:rPr>
        <w:t xml:space="preserve"> </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и</w:t>
      </w:r>
      <w:r w:rsidRPr="000977F7">
        <w:rPr>
          <w:rFonts w:asciiTheme="majorHAnsi" w:hAnsiTheme="majorHAnsi"/>
          <w:spacing w:val="-1"/>
          <w:w w:val="99"/>
          <w:sz w:val="20"/>
          <w:szCs w:val="20"/>
        </w:rPr>
        <w:t>к</w:t>
      </w:r>
      <w:r w:rsidRPr="000977F7">
        <w:rPr>
          <w:rFonts w:asciiTheme="majorHAnsi" w:hAnsiTheme="majorHAnsi"/>
          <w:spacing w:val="1"/>
          <w:w w:val="99"/>
          <w:sz w:val="20"/>
          <w:szCs w:val="20"/>
        </w:rPr>
        <w:t>ор</w:t>
      </w:r>
      <w:r w:rsidRPr="000977F7">
        <w:rPr>
          <w:rFonts w:asciiTheme="majorHAnsi" w:hAnsiTheme="majorHAnsi"/>
          <w:spacing w:val="-2"/>
          <w:w w:val="99"/>
          <w:sz w:val="20"/>
          <w:szCs w:val="20"/>
        </w:rPr>
        <w:t>и</w:t>
      </w:r>
      <w:r w:rsidRPr="000977F7">
        <w:rPr>
          <w:rFonts w:asciiTheme="majorHAnsi" w:hAnsiTheme="majorHAnsi"/>
          <w:spacing w:val="2"/>
          <w:w w:val="99"/>
          <w:sz w:val="20"/>
          <w:szCs w:val="20"/>
        </w:rPr>
        <w:t>с</w:t>
      </w:r>
      <w:r w:rsidRPr="000977F7">
        <w:rPr>
          <w:rFonts w:asciiTheme="majorHAnsi" w:hAnsiTheme="majorHAnsi"/>
          <w:spacing w:val="-1"/>
          <w:w w:val="99"/>
          <w:sz w:val="20"/>
          <w:szCs w:val="20"/>
        </w:rPr>
        <w:t>т</w:t>
      </w:r>
      <w:r w:rsidRPr="000977F7">
        <w:rPr>
          <w:rFonts w:asciiTheme="majorHAnsi" w:hAnsiTheme="majorHAnsi"/>
          <w:w w:val="99"/>
          <w:sz w:val="20"/>
          <w:szCs w:val="20"/>
        </w:rPr>
        <w:t>а</w:t>
      </w:r>
      <w:r w:rsidRPr="000977F7">
        <w:rPr>
          <w:rFonts w:asciiTheme="majorHAnsi" w:hAnsiTheme="majorHAnsi"/>
          <w:spacing w:val="1"/>
          <w:w w:val="99"/>
          <w:sz w:val="20"/>
          <w:szCs w:val="20"/>
        </w:rPr>
        <w:t>н</w:t>
      </w:r>
      <w:r w:rsidRPr="000977F7">
        <w:rPr>
          <w:rFonts w:asciiTheme="majorHAnsi" w:hAnsiTheme="majorHAnsi"/>
          <w:spacing w:val="-2"/>
          <w:w w:val="99"/>
          <w:sz w:val="20"/>
          <w:szCs w:val="20"/>
        </w:rPr>
        <w:t>н</w:t>
      </w:r>
      <w:r w:rsidRPr="000977F7">
        <w:rPr>
          <w:rFonts w:asciiTheme="majorHAnsi" w:hAnsiTheme="majorHAnsi"/>
          <w:w w:val="99"/>
          <w:sz w:val="20"/>
          <w:szCs w:val="20"/>
        </w:rPr>
        <w:t>я"</w:t>
      </w:r>
      <w:r w:rsidRPr="000977F7">
        <w:rPr>
          <w:rFonts w:asciiTheme="majorHAnsi" w:hAnsiTheme="majorHAnsi"/>
          <w:w w:val="130"/>
          <w:sz w:val="20"/>
          <w:szCs w:val="20"/>
        </w:rPr>
        <w:t>, "</w:t>
      </w:r>
      <w:r w:rsidRPr="000977F7">
        <w:rPr>
          <w:rFonts w:asciiTheme="majorHAnsi" w:hAnsiTheme="majorHAnsi"/>
          <w:spacing w:val="-1"/>
          <w:w w:val="99"/>
          <w:sz w:val="20"/>
          <w:szCs w:val="20"/>
        </w:rPr>
        <w:t>т</w:t>
      </w:r>
      <w:r w:rsidRPr="000977F7">
        <w:rPr>
          <w:rFonts w:asciiTheme="majorHAnsi" w:hAnsiTheme="majorHAnsi"/>
          <w:spacing w:val="2"/>
          <w:w w:val="99"/>
          <w:sz w:val="20"/>
          <w:szCs w:val="20"/>
        </w:rPr>
        <w:t>е</w:t>
      </w:r>
      <w:r w:rsidRPr="000977F7">
        <w:rPr>
          <w:rFonts w:asciiTheme="majorHAnsi" w:hAnsiTheme="majorHAnsi"/>
          <w:spacing w:val="1"/>
          <w:w w:val="99"/>
          <w:sz w:val="20"/>
          <w:szCs w:val="20"/>
        </w:rPr>
        <w:t>х</w:t>
      </w:r>
      <w:r w:rsidRPr="000977F7">
        <w:rPr>
          <w:rFonts w:asciiTheme="majorHAnsi" w:hAnsiTheme="majorHAnsi"/>
          <w:spacing w:val="-2"/>
          <w:w w:val="99"/>
          <w:sz w:val="20"/>
          <w:szCs w:val="20"/>
        </w:rPr>
        <w:t>н</w:t>
      </w:r>
      <w:r w:rsidRPr="000977F7">
        <w:rPr>
          <w:rFonts w:asciiTheme="majorHAnsi" w:hAnsiTheme="majorHAnsi"/>
          <w:w w:val="99"/>
          <w:sz w:val="20"/>
          <w:szCs w:val="20"/>
        </w:rPr>
        <w:t>ічне</w:t>
      </w:r>
      <w:r w:rsidRPr="000977F7">
        <w:rPr>
          <w:rFonts w:asciiTheme="majorHAnsi" w:hAnsiTheme="majorHAnsi"/>
          <w:spacing w:val="7"/>
          <w:sz w:val="20"/>
          <w:szCs w:val="20"/>
        </w:rPr>
        <w:t xml:space="preserve"> </w:t>
      </w:r>
      <w:r w:rsidRPr="000977F7">
        <w:rPr>
          <w:rFonts w:asciiTheme="majorHAnsi" w:hAnsiTheme="majorHAnsi"/>
          <w:spacing w:val="1"/>
          <w:w w:val="99"/>
          <w:sz w:val="20"/>
          <w:szCs w:val="20"/>
        </w:rPr>
        <w:t>о</w:t>
      </w:r>
      <w:r w:rsidRPr="000977F7">
        <w:rPr>
          <w:rFonts w:asciiTheme="majorHAnsi" w:hAnsiTheme="majorHAnsi"/>
          <w:w w:val="99"/>
          <w:sz w:val="20"/>
          <w:szCs w:val="20"/>
        </w:rPr>
        <w:t>б</w:t>
      </w:r>
      <w:r w:rsidRPr="000977F7">
        <w:rPr>
          <w:rFonts w:asciiTheme="majorHAnsi" w:hAnsiTheme="majorHAnsi"/>
          <w:spacing w:val="2"/>
          <w:w w:val="99"/>
          <w:sz w:val="20"/>
          <w:szCs w:val="20"/>
        </w:rPr>
        <w:t>с</w:t>
      </w:r>
      <w:r w:rsidRPr="000977F7">
        <w:rPr>
          <w:rFonts w:asciiTheme="majorHAnsi" w:hAnsiTheme="majorHAnsi"/>
          <w:spacing w:val="1"/>
          <w:w w:val="99"/>
          <w:sz w:val="20"/>
          <w:szCs w:val="20"/>
        </w:rPr>
        <w:t>л</w:t>
      </w:r>
      <w:r w:rsidRPr="000977F7">
        <w:rPr>
          <w:rFonts w:asciiTheme="majorHAnsi" w:hAnsiTheme="majorHAnsi"/>
          <w:spacing w:val="-2"/>
          <w:w w:val="99"/>
          <w:sz w:val="20"/>
          <w:szCs w:val="20"/>
        </w:rPr>
        <w:t>у</w:t>
      </w:r>
      <w:r w:rsidRPr="000977F7">
        <w:rPr>
          <w:rFonts w:asciiTheme="majorHAnsi" w:hAnsiTheme="majorHAnsi"/>
          <w:spacing w:val="-1"/>
          <w:w w:val="99"/>
          <w:sz w:val="20"/>
          <w:szCs w:val="20"/>
        </w:rPr>
        <w:t>г</w:t>
      </w:r>
      <w:r w:rsidRPr="000977F7">
        <w:rPr>
          <w:rFonts w:asciiTheme="majorHAnsi" w:hAnsiTheme="majorHAnsi"/>
          <w:w w:val="99"/>
          <w:sz w:val="20"/>
          <w:szCs w:val="20"/>
        </w:rPr>
        <w:t>о</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у</w:t>
      </w:r>
      <w:r w:rsidRPr="000977F7">
        <w:rPr>
          <w:rFonts w:asciiTheme="majorHAnsi" w:hAnsiTheme="majorHAnsi"/>
          <w:spacing w:val="-1"/>
          <w:w w:val="99"/>
          <w:sz w:val="20"/>
          <w:szCs w:val="20"/>
        </w:rPr>
        <w:t>ва</w:t>
      </w:r>
      <w:r w:rsidRPr="000977F7">
        <w:rPr>
          <w:rFonts w:asciiTheme="majorHAnsi" w:hAnsiTheme="majorHAnsi"/>
          <w:spacing w:val="1"/>
          <w:w w:val="99"/>
          <w:sz w:val="20"/>
          <w:szCs w:val="20"/>
        </w:rPr>
        <w:t>н</w:t>
      </w:r>
      <w:r w:rsidRPr="000977F7">
        <w:rPr>
          <w:rFonts w:asciiTheme="majorHAnsi" w:hAnsiTheme="majorHAnsi"/>
          <w:spacing w:val="-2"/>
          <w:w w:val="99"/>
          <w:sz w:val="20"/>
          <w:szCs w:val="20"/>
        </w:rPr>
        <w:t>н</w:t>
      </w:r>
      <w:r w:rsidRPr="000977F7">
        <w:rPr>
          <w:rFonts w:asciiTheme="majorHAnsi" w:hAnsiTheme="majorHAnsi"/>
          <w:w w:val="99"/>
          <w:sz w:val="20"/>
          <w:szCs w:val="20"/>
        </w:rPr>
        <w:t>я</w:t>
      </w:r>
      <w:r w:rsidRPr="000977F7">
        <w:rPr>
          <w:rFonts w:asciiTheme="majorHAnsi" w:hAnsiTheme="majorHAnsi"/>
          <w:spacing w:val="9"/>
          <w:sz w:val="20"/>
          <w:szCs w:val="20"/>
        </w:rPr>
        <w:t xml:space="preserve"> </w:t>
      </w:r>
      <w:r w:rsidRPr="000977F7">
        <w:rPr>
          <w:rFonts w:asciiTheme="majorHAnsi" w:hAnsiTheme="majorHAnsi"/>
          <w:w w:val="99"/>
          <w:sz w:val="20"/>
          <w:szCs w:val="20"/>
        </w:rPr>
        <w:t>у</w:t>
      </w:r>
      <w:r w:rsidRPr="000977F7">
        <w:rPr>
          <w:rFonts w:asciiTheme="majorHAnsi" w:hAnsiTheme="majorHAnsi"/>
          <w:spacing w:val="8"/>
          <w:sz w:val="20"/>
          <w:szCs w:val="20"/>
        </w:rPr>
        <w:t xml:space="preserve"> </w:t>
      </w:r>
      <w:r w:rsidRPr="000977F7">
        <w:rPr>
          <w:rFonts w:asciiTheme="majorHAnsi" w:hAnsiTheme="majorHAnsi"/>
          <w:spacing w:val="-2"/>
          <w:w w:val="99"/>
          <w:sz w:val="20"/>
          <w:szCs w:val="20"/>
        </w:rPr>
        <w:t>п</w:t>
      </w:r>
      <w:r w:rsidRPr="000977F7">
        <w:rPr>
          <w:rFonts w:asciiTheme="majorHAnsi" w:hAnsiTheme="majorHAnsi"/>
          <w:spacing w:val="1"/>
          <w:w w:val="99"/>
          <w:sz w:val="20"/>
          <w:szCs w:val="20"/>
        </w:rPr>
        <w:t>ро</w:t>
      </w:r>
      <w:r w:rsidRPr="000977F7">
        <w:rPr>
          <w:rFonts w:asciiTheme="majorHAnsi" w:hAnsiTheme="majorHAnsi"/>
          <w:spacing w:val="-2"/>
          <w:w w:val="99"/>
          <w:sz w:val="20"/>
          <w:szCs w:val="20"/>
        </w:rPr>
        <w:t>ц</w:t>
      </w:r>
      <w:r w:rsidRPr="000977F7">
        <w:rPr>
          <w:rFonts w:asciiTheme="majorHAnsi" w:hAnsiTheme="majorHAnsi"/>
          <w:w w:val="99"/>
          <w:sz w:val="20"/>
          <w:szCs w:val="20"/>
        </w:rPr>
        <w:t>есі</w:t>
      </w:r>
      <w:r w:rsidRPr="000977F7">
        <w:rPr>
          <w:rFonts w:asciiTheme="majorHAnsi" w:hAnsiTheme="majorHAnsi"/>
          <w:spacing w:val="7"/>
          <w:sz w:val="20"/>
          <w:szCs w:val="20"/>
        </w:rPr>
        <w:t xml:space="preserve"> </w:t>
      </w:r>
      <w:r w:rsidRPr="000977F7">
        <w:rPr>
          <w:rFonts w:asciiTheme="majorHAnsi" w:hAnsiTheme="majorHAnsi"/>
          <w:w w:val="99"/>
          <w:sz w:val="20"/>
          <w:szCs w:val="20"/>
        </w:rPr>
        <w:t>збе</w:t>
      </w:r>
      <w:r w:rsidRPr="000977F7">
        <w:rPr>
          <w:rFonts w:asciiTheme="majorHAnsi" w:hAnsiTheme="majorHAnsi"/>
          <w:spacing w:val="1"/>
          <w:w w:val="99"/>
          <w:sz w:val="20"/>
          <w:szCs w:val="20"/>
        </w:rPr>
        <w:t>р</w:t>
      </w:r>
      <w:r w:rsidRPr="000977F7">
        <w:rPr>
          <w:rFonts w:asciiTheme="majorHAnsi" w:hAnsiTheme="majorHAnsi"/>
          <w:w w:val="99"/>
          <w:sz w:val="20"/>
          <w:szCs w:val="20"/>
        </w:rPr>
        <w:t>іга</w:t>
      </w:r>
      <w:r w:rsidRPr="000977F7">
        <w:rPr>
          <w:rFonts w:asciiTheme="majorHAnsi" w:hAnsiTheme="majorHAnsi"/>
          <w:spacing w:val="1"/>
          <w:w w:val="99"/>
          <w:sz w:val="20"/>
          <w:szCs w:val="20"/>
        </w:rPr>
        <w:t>н</w:t>
      </w:r>
      <w:r w:rsidRPr="000977F7">
        <w:rPr>
          <w:rFonts w:asciiTheme="majorHAnsi" w:hAnsiTheme="majorHAnsi"/>
          <w:spacing w:val="-2"/>
          <w:w w:val="99"/>
          <w:sz w:val="20"/>
          <w:szCs w:val="20"/>
        </w:rPr>
        <w:t>н</w:t>
      </w:r>
      <w:r w:rsidRPr="000977F7">
        <w:rPr>
          <w:rFonts w:asciiTheme="majorHAnsi" w:hAnsiTheme="majorHAnsi"/>
          <w:w w:val="115"/>
          <w:sz w:val="20"/>
          <w:szCs w:val="20"/>
        </w:rPr>
        <w:t>я",</w:t>
      </w:r>
      <w:r w:rsidRPr="000977F7">
        <w:rPr>
          <w:rFonts w:asciiTheme="majorHAnsi" w:hAnsiTheme="majorHAnsi"/>
          <w:spacing w:val="14"/>
          <w:sz w:val="20"/>
          <w:szCs w:val="20"/>
        </w:rPr>
        <w:t xml:space="preserve"> "</w:t>
      </w:r>
      <w:r w:rsidRPr="000977F7">
        <w:rPr>
          <w:rFonts w:asciiTheme="majorHAnsi" w:hAnsiTheme="majorHAnsi"/>
          <w:spacing w:val="1"/>
          <w:w w:val="99"/>
          <w:sz w:val="20"/>
          <w:szCs w:val="20"/>
        </w:rPr>
        <w:t>р</w:t>
      </w:r>
      <w:r w:rsidRPr="000977F7">
        <w:rPr>
          <w:rFonts w:asciiTheme="majorHAnsi" w:hAnsiTheme="majorHAnsi"/>
          <w:w w:val="99"/>
          <w:sz w:val="20"/>
          <w:szCs w:val="20"/>
        </w:rPr>
        <w:t>е</w:t>
      </w:r>
      <w:r w:rsidRPr="000977F7">
        <w:rPr>
          <w:rFonts w:asciiTheme="majorHAnsi" w:hAnsiTheme="majorHAnsi"/>
          <w:spacing w:val="2"/>
          <w:w w:val="99"/>
          <w:sz w:val="20"/>
          <w:szCs w:val="20"/>
        </w:rPr>
        <w:t>г</w:t>
      </w:r>
      <w:r w:rsidRPr="000977F7">
        <w:rPr>
          <w:rFonts w:asciiTheme="majorHAnsi" w:hAnsiTheme="majorHAnsi"/>
          <w:sz w:val="20"/>
          <w:szCs w:val="20"/>
        </w:rPr>
        <w:t>ламентоване технічне обслуговування"</w:t>
      </w:r>
    </w:p>
    <w:p w14:paraId="394E281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665F63F" w14:textId="77777777" w:rsidR="0097612F" w:rsidRPr="000977F7" w:rsidRDefault="0097612F" w:rsidP="000977F7">
      <w:pPr>
        <w:pStyle w:val="7"/>
        <w:tabs>
          <w:tab w:val="left" w:pos="284"/>
        </w:tabs>
        <w:spacing w:before="0" w:line="240" w:lineRule="auto"/>
        <w:ind w:left="170"/>
        <w:mirrorIndents/>
        <w:jc w:val="both"/>
        <w:rPr>
          <w:color w:val="auto"/>
          <w:spacing w:val="-3"/>
          <w:sz w:val="20"/>
          <w:szCs w:val="20"/>
        </w:rPr>
      </w:pPr>
      <w:bookmarkStart w:id="287" w:name="_Hlk103191338"/>
      <w:bookmarkStart w:id="288" w:name="_Hlk105609720"/>
      <w:r w:rsidRPr="000977F7">
        <w:rPr>
          <w:color w:val="auto"/>
          <w:sz w:val="20"/>
          <w:szCs w:val="20"/>
        </w:rPr>
        <w:t>ТЕХНІЧНЕ</w:t>
      </w:r>
      <w:bookmarkEnd w:id="287"/>
      <w:r w:rsidRPr="000977F7">
        <w:rPr>
          <w:color w:val="auto"/>
          <w:spacing w:val="-4"/>
          <w:sz w:val="20"/>
          <w:szCs w:val="20"/>
        </w:rPr>
        <w:t xml:space="preserve"> </w:t>
      </w:r>
      <w:r w:rsidRPr="000977F7">
        <w:rPr>
          <w:color w:val="auto"/>
          <w:sz w:val="20"/>
          <w:szCs w:val="20"/>
        </w:rPr>
        <w:t>ОБСЛУГОВУВАННЯ</w:t>
      </w:r>
      <w:r w:rsidRPr="000977F7">
        <w:rPr>
          <w:color w:val="auto"/>
          <w:spacing w:val="-3"/>
          <w:sz w:val="20"/>
          <w:szCs w:val="20"/>
        </w:rPr>
        <w:t xml:space="preserve"> </w:t>
      </w:r>
      <w:r w:rsidRPr="000977F7">
        <w:rPr>
          <w:color w:val="auto"/>
          <w:sz w:val="20"/>
          <w:szCs w:val="20"/>
        </w:rPr>
        <w:t>ТА</w:t>
      </w:r>
      <w:r w:rsidRPr="000977F7">
        <w:rPr>
          <w:color w:val="auto"/>
          <w:spacing w:val="-3"/>
          <w:sz w:val="20"/>
          <w:szCs w:val="20"/>
        </w:rPr>
        <w:t xml:space="preserve"> </w:t>
      </w:r>
    </w:p>
    <w:p w14:paraId="10A47F3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РЕМОНТ –</w:t>
      </w:r>
    </w:p>
    <w:p w14:paraId="11B140E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MAINTENANCE</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5813317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Сукупність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усіх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технічних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організаційних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тому числі і технічного нагляду, спрямованих на підтримку чи повернення об’єкта в стан, в якому він здатний</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виконувати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потрібну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функцію</w:t>
      </w:r>
    </w:p>
    <w:p w14:paraId="735E46E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2860</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bookmarkEnd w:id="288"/>
    <w:p w14:paraId="02D2D22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ТЕХНІЧНЕ РЕГУЛЮВАННЯ –</w:t>
      </w:r>
    </w:p>
    <w:p w14:paraId="6CD3F71B"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Правове регулювання відносин у сфері визначення та виконання обов’язкових вимог до характеристик продукції або пов’язаних з ними процесів та методів виробництва, а також перевірки їх додержання шляхом оцінки відповідності та/або державного ринкового нагляду і контролю нехарчової продукції чи інших видів державного нагляду (контролю)</w:t>
      </w:r>
    </w:p>
    <w:p w14:paraId="1ABBACB7"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bookmarkStart w:id="289" w:name="_Hlk103192006"/>
      <w:r w:rsidRPr="000977F7">
        <w:rPr>
          <w:b w:val="0"/>
          <w:bCs/>
          <w:i/>
          <w:iCs w:val="0"/>
          <w:color w:val="auto"/>
          <w:sz w:val="20"/>
          <w:szCs w:val="20"/>
        </w:rPr>
        <w:t>Ст. 1 закону України "Про технічні регламенти та оцінку відповідності"</w:t>
      </w:r>
    </w:p>
    <w:bookmarkEnd w:id="289"/>
    <w:p w14:paraId="2CDDB43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ТЕХНІЧНИЙ</w:t>
      </w:r>
      <w:r w:rsidRPr="000977F7">
        <w:rPr>
          <w:color w:val="auto"/>
          <w:spacing w:val="-3"/>
          <w:sz w:val="20"/>
          <w:szCs w:val="20"/>
        </w:rPr>
        <w:t xml:space="preserve"> </w:t>
      </w:r>
      <w:r w:rsidRPr="000977F7">
        <w:rPr>
          <w:color w:val="auto"/>
          <w:sz w:val="20"/>
          <w:szCs w:val="20"/>
        </w:rPr>
        <w:t>ЕКСПЕРТ</w:t>
      </w:r>
      <w:r w:rsidRPr="000977F7">
        <w:rPr>
          <w:color w:val="auto"/>
          <w:spacing w:val="-2"/>
          <w:sz w:val="20"/>
          <w:szCs w:val="20"/>
        </w:rPr>
        <w:t xml:space="preserve"> </w:t>
      </w:r>
      <w:r w:rsidRPr="000977F7">
        <w:rPr>
          <w:color w:val="auto"/>
          <w:sz w:val="20"/>
          <w:szCs w:val="20"/>
        </w:rPr>
        <w:t>–</w:t>
      </w:r>
    </w:p>
    <w:p w14:paraId="50582DC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TECHNICAL</w:t>
      </w:r>
      <w:r w:rsidRPr="004D2D14">
        <w:rPr>
          <w:rFonts w:asciiTheme="majorHAnsi" w:hAnsiTheme="majorHAnsi"/>
          <w:spacing w:val="-4"/>
          <w:sz w:val="20"/>
          <w:szCs w:val="20"/>
          <w:lang w:val="uk-UA"/>
        </w:rPr>
        <w:t xml:space="preserve"> </w:t>
      </w:r>
      <w:r w:rsidRPr="000977F7">
        <w:rPr>
          <w:rFonts w:asciiTheme="majorHAnsi" w:hAnsiTheme="majorHAnsi"/>
          <w:sz w:val="20"/>
          <w:szCs w:val="20"/>
        </w:rPr>
        <w:t>EXPERT</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p>
    <w:p w14:paraId="61E0E5CF"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Особа, що надає спеціальні знання або досвід для групи з аудиту</w:t>
      </w:r>
    </w:p>
    <w:p w14:paraId="0BDD3116"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Примітка: спеціальними знаннями або досвідом вважаються такі, що відносяться до організації, процесу або діяльності, щодо яких буде проведено аудит</w:t>
      </w:r>
    </w:p>
    <w:p w14:paraId="3FB0C846"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ДСТУ EN ISO/IEC 17021-1:2015</w:t>
      </w:r>
    </w:p>
    <w:p w14:paraId="7BFFF08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Особа, яка має спеціальні знання чи досвід у групі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аудиту</w:t>
      </w:r>
    </w:p>
    <w:p w14:paraId="24BA853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Примітка 1. Спеціальні знання чи досвід стосуються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організації, процесу чи діяльності, що піддають аудиту,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мови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чи культури.</w:t>
      </w:r>
    </w:p>
    <w:p w14:paraId="22956EA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2. Технічний експерт не має повноважень</w:t>
      </w:r>
      <w:r w:rsidRPr="000977F7">
        <w:rPr>
          <w:rFonts w:asciiTheme="majorHAnsi" w:hAnsiTheme="majorHAnsi"/>
          <w:spacing w:val="1"/>
          <w:sz w:val="20"/>
          <w:szCs w:val="20"/>
        </w:rPr>
        <w:t xml:space="preserve"> </w:t>
      </w:r>
      <w:r w:rsidRPr="000977F7">
        <w:rPr>
          <w:rFonts w:asciiTheme="majorHAnsi" w:hAnsiTheme="majorHAnsi"/>
          <w:sz w:val="20"/>
          <w:szCs w:val="20"/>
        </w:rPr>
        <w:t>аудитора</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групі</w:t>
      </w:r>
      <w:r w:rsidRPr="000977F7">
        <w:rPr>
          <w:rFonts w:asciiTheme="majorHAnsi" w:hAnsiTheme="majorHAnsi"/>
          <w:spacing w:val="-1"/>
          <w:sz w:val="20"/>
          <w:szCs w:val="20"/>
        </w:rPr>
        <w:t xml:space="preserve"> </w:t>
      </w:r>
      <w:r w:rsidRPr="000977F7">
        <w:rPr>
          <w:rFonts w:asciiTheme="majorHAnsi" w:hAnsiTheme="majorHAnsi"/>
          <w:sz w:val="20"/>
          <w:szCs w:val="20"/>
        </w:rPr>
        <w:t>аудиту.</w:t>
      </w:r>
    </w:p>
    <w:p w14:paraId="59C347DF"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ISO</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9000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2015</w:t>
      </w:r>
    </w:p>
    <w:p w14:paraId="33A9273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ТЕХНIЧНИЙ</w:t>
      </w:r>
      <w:r w:rsidRPr="000977F7">
        <w:rPr>
          <w:color w:val="auto"/>
          <w:spacing w:val="-4"/>
          <w:sz w:val="20"/>
          <w:szCs w:val="20"/>
        </w:rPr>
        <w:t xml:space="preserve"> </w:t>
      </w:r>
      <w:r w:rsidRPr="000977F7">
        <w:rPr>
          <w:color w:val="auto"/>
          <w:sz w:val="20"/>
          <w:szCs w:val="20"/>
        </w:rPr>
        <w:t>ЗАСIБ -</w:t>
      </w:r>
    </w:p>
    <w:p w14:paraId="7B52C78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TECHICAL</w:t>
      </w:r>
      <w:r w:rsidRPr="004D2D14">
        <w:rPr>
          <w:rFonts w:asciiTheme="majorHAnsi" w:hAnsiTheme="majorHAnsi"/>
          <w:spacing w:val="45"/>
          <w:sz w:val="20"/>
          <w:szCs w:val="20"/>
          <w:lang w:val="en-US"/>
        </w:rPr>
        <w:t xml:space="preserve"> </w:t>
      </w:r>
      <w:r w:rsidRPr="004D2D14">
        <w:rPr>
          <w:rFonts w:asciiTheme="majorHAnsi" w:hAnsiTheme="majorHAnsi"/>
          <w:sz w:val="20"/>
          <w:szCs w:val="20"/>
          <w:lang w:val="en-US"/>
        </w:rPr>
        <w:t>MEANS;</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HAND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WARE -</w:t>
      </w:r>
    </w:p>
    <w:p w14:paraId="31BCFE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Продукт</w:t>
      </w:r>
      <w:r w:rsidRPr="000977F7">
        <w:rPr>
          <w:rFonts w:asciiTheme="majorHAnsi" w:hAnsiTheme="majorHAnsi"/>
          <w:spacing w:val="1"/>
          <w:sz w:val="20"/>
          <w:szCs w:val="20"/>
        </w:rPr>
        <w:t xml:space="preserve"> </w:t>
      </w:r>
      <w:r w:rsidRPr="000977F7">
        <w:rPr>
          <w:rFonts w:asciiTheme="majorHAnsi" w:hAnsiTheme="majorHAnsi"/>
          <w:sz w:val="20"/>
          <w:szCs w:val="20"/>
        </w:rPr>
        <w:t>промислового</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виконує</w:t>
      </w:r>
      <w:r w:rsidRPr="000977F7">
        <w:rPr>
          <w:rFonts w:asciiTheme="majorHAnsi" w:hAnsiTheme="majorHAnsi"/>
          <w:spacing w:val="1"/>
          <w:sz w:val="20"/>
          <w:szCs w:val="20"/>
        </w:rPr>
        <w:t xml:space="preserve"> </w:t>
      </w:r>
      <w:r w:rsidRPr="000977F7">
        <w:rPr>
          <w:rFonts w:asciiTheme="majorHAnsi" w:hAnsiTheme="majorHAnsi"/>
          <w:sz w:val="20"/>
          <w:szCs w:val="20"/>
        </w:rPr>
        <w:t>певнi</w:t>
      </w:r>
      <w:r w:rsidRPr="000977F7">
        <w:rPr>
          <w:rFonts w:asciiTheme="majorHAnsi" w:hAnsiTheme="majorHAnsi"/>
          <w:spacing w:val="1"/>
          <w:sz w:val="20"/>
          <w:szCs w:val="20"/>
        </w:rPr>
        <w:t xml:space="preserve"> </w:t>
      </w:r>
      <w:r w:rsidRPr="000977F7">
        <w:rPr>
          <w:rFonts w:asciiTheme="majorHAnsi" w:hAnsiTheme="majorHAnsi"/>
          <w:sz w:val="20"/>
          <w:szCs w:val="20"/>
        </w:rPr>
        <w:t>функції</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складi</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p>
    <w:p w14:paraId="3A8C9A3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3F0450A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ТЕХНІЧНИЙ</w:t>
      </w:r>
      <w:r w:rsidRPr="000977F7">
        <w:rPr>
          <w:color w:val="auto"/>
          <w:spacing w:val="-2"/>
          <w:sz w:val="20"/>
          <w:szCs w:val="20"/>
        </w:rPr>
        <w:t xml:space="preserve"> </w:t>
      </w:r>
      <w:r w:rsidRPr="000977F7">
        <w:rPr>
          <w:color w:val="auto"/>
          <w:sz w:val="20"/>
          <w:szCs w:val="20"/>
        </w:rPr>
        <w:t>КОНТРОЛЬ</w:t>
      </w:r>
      <w:r w:rsidRPr="000977F7">
        <w:rPr>
          <w:color w:val="auto"/>
          <w:spacing w:val="-1"/>
          <w:sz w:val="20"/>
          <w:szCs w:val="20"/>
        </w:rPr>
        <w:t xml:space="preserve"> </w:t>
      </w:r>
      <w:r w:rsidRPr="000977F7">
        <w:rPr>
          <w:color w:val="auto"/>
          <w:sz w:val="20"/>
          <w:szCs w:val="20"/>
        </w:rPr>
        <w:t>–</w:t>
      </w:r>
    </w:p>
    <w:p w14:paraId="2397AE8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INSPECTION –</w:t>
      </w:r>
    </w:p>
    <w:p w14:paraId="0D0F34E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Перевірка відповідності об’єкта встановленим технічним вимогам</w:t>
      </w:r>
    </w:p>
    <w:p w14:paraId="1B6E57A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 –</w:t>
      </w:r>
      <w:r w:rsidRPr="000977F7">
        <w:rPr>
          <w:rFonts w:asciiTheme="majorHAnsi" w:hAnsiTheme="majorHAnsi"/>
          <w:i/>
          <w:spacing w:val="-1"/>
          <w:sz w:val="20"/>
          <w:szCs w:val="20"/>
        </w:rPr>
        <w:t xml:space="preserve"> </w:t>
      </w:r>
      <w:r w:rsidRPr="000977F7">
        <w:rPr>
          <w:rFonts w:asciiTheme="majorHAnsi" w:hAnsiTheme="majorHAnsi"/>
          <w:i/>
          <w:sz w:val="20"/>
          <w:szCs w:val="20"/>
        </w:rPr>
        <w:t>2010</w:t>
      </w:r>
    </w:p>
    <w:p w14:paraId="7326005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ТЕХНІЧНИЙ</w:t>
      </w:r>
      <w:r w:rsidRPr="000977F7">
        <w:rPr>
          <w:color w:val="auto"/>
          <w:spacing w:val="-3"/>
          <w:sz w:val="20"/>
          <w:szCs w:val="20"/>
        </w:rPr>
        <w:t xml:space="preserve"> </w:t>
      </w:r>
      <w:r w:rsidRPr="000977F7">
        <w:rPr>
          <w:color w:val="auto"/>
          <w:sz w:val="20"/>
          <w:szCs w:val="20"/>
        </w:rPr>
        <w:t>НАГЛЯД</w:t>
      </w:r>
      <w:r w:rsidRPr="000977F7">
        <w:rPr>
          <w:color w:val="auto"/>
          <w:spacing w:val="-2"/>
          <w:sz w:val="20"/>
          <w:szCs w:val="20"/>
        </w:rPr>
        <w:t xml:space="preserve"> </w:t>
      </w:r>
      <w:r w:rsidRPr="000977F7">
        <w:rPr>
          <w:color w:val="auto"/>
          <w:sz w:val="20"/>
          <w:szCs w:val="20"/>
        </w:rPr>
        <w:t>–</w:t>
      </w:r>
    </w:p>
    <w:p w14:paraId="13E8769B"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Нагляд</w:t>
      </w:r>
      <w:r w:rsidRPr="000977F7">
        <w:rPr>
          <w:rFonts w:asciiTheme="majorHAnsi" w:hAnsiTheme="majorHAnsi"/>
          <w:spacing w:val="38"/>
          <w:sz w:val="20"/>
          <w:szCs w:val="20"/>
        </w:rPr>
        <w:t xml:space="preserve"> </w:t>
      </w:r>
      <w:r w:rsidRPr="000977F7">
        <w:rPr>
          <w:rFonts w:asciiTheme="majorHAnsi" w:hAnsiTheme="majorHAnsi"/>
          <w:sz w:val="20"/>
          <w:szCs w:val="20"/>
        </w:rPr>
        <w:t>за</w:t>
      </w:r>
      <w:r w:rsidRPr="000977F7">
        <w:rPr>
          <w:rFonts w:asciiTheme="majorHAnsi" w:hAnsiTheme="majorHAnsi"/>
          <w:spacing w:val="41"/>
          <w:sz w:val="20"/>
          <w:szCs w:val="20"/>
        </w:rPr>
        <w:t xml:space="preserve"> </w:t>
      </w:r>
      <w:r w:rsidRPr="000977F7">
        <w:rPr>
          <w:rFonts w:asciiTheme="majorHAnsi" w:hAnsiTheme="majorHAnsi"/>
          <w:sz w:val="20"/>
          <w:szCs w:val="20"/>
        </w:rPr>
        <w:t>відповідністю</w:t>
      </w:r>
      <w:r w:rsidRPr="000977F7">
        <w:rPr>
          <w:rFonts w:asciiTheme="majorHAnsi" w:hAnsiTheme="majorHAnsi"/>
          <w:spacing w:val="43"/>
          <w:sz w:val="20"/>
          <w:szCs w:val="20"/>
        </w:rPr>
        <w:t xml:space="preserve"> </w:t>
      </w:r>
      <w:r w:rsidRPr="000977F7">
        <w:rPr>
          <w:rFonts w:asciiTheme="majorHAnsi" w:hAnsiTheme="majorHAnsi"/>
          <w:sz w:val="20"/>
          <w:szCs w:val="20"/>
        </w:rPr>
        <w:t>сертифікованої</w:t>
      </w:r>
      <w:r w:rsidRPr="000977F7">
        <w:rPr>
          <w:rFonts w:asciiTheme="majorHAnsi" w:hAnsiTheme="majorHAnsi"/>
          <w:spacing w:val="41"/>
          <w:sz w:val="20"/>
          <w:szCs w:val="20"/>
        </w:rPr>
        <w:t xml:space="preserve"> </w:t>
      </w:r>
      <w:r w:rsidRPr="000977F7">
        <w:rPr>
          <w:rFonts w:asciiTheme="majorHAnsi" w:hAnsiTheme="majorHAnsi"/>
          <w:sz w:val="20"/>
          <w:szCs w:val="20"/>
        </w:rPr>
        <w:t>продукції</w:t>
      </w:r>
      <w:r w:rsidRPr="000977F7">
        <w:rPr>
          <w:rFonts w:asciiTheme="majorHAnsi" w:hAnsiTheme="majorHAnsi"/>
          <w:spacing w:val="-47"/>
          <w:sz w:val="20"/>
          <w:szCs w:val="20"/>
        </w:rPr>
        <w:t xml:space="preserve"> </w:t>
      </w:r>
      <w:r w:rsidRPr="000977F7">
        <w:rPr>
          <w:rFonts w:asciiTheme="majorHAnsi" w:hAnsiTheme="majorHAnsi"/>
          <w:sz w:val="20"/>
          <w:szCs w:val="20"/>
        </w:rPr>
        <w:t>(процесів,</w:t>
      </w:r>
      <w:r w:rsidRPr="000977F7">
        <w:rPr>
          <w:rFonts w:asciiTheme="majorHAnsi" w:hAnsiTheme="majorHAnsi"/>
          <w:spacing w:val="44"/>
          <w:sz w:val="20"/>
          <w:szCs w:val="20"/>
        </w:rPr>
        <w:t xml:space="preserve"> </w:t>
      </w:r>
      <w:r w:rsidRPr="000977F7">
        <w:rPr>
          <w:rFonts w:asciiTheme="majorHAnsi" w:hAnsiTheme="majorHAnsi"/>
          <w:sz w:val="20"/>
          <w:szCs w:val="20"/>
        </w:rPr>
        <w:t>послуг)</w:t>
      </w:r>
      <w:r w:rsidRPr="000977F7">
        <w:rPr>
          <w:rFonts w:asciiTheme="majorHAnsi" w:hAnsiTheme="majorHAnsi"/>
          <w:spacing w:val="44"/>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станом</w:t>
      </w:r>
      <w:r w:rsidRPr="000977F7">
        <w:rPr>
          <w:rFonts w:asciiTheme="majorHAnsi" w:hAnsiTheme="majorHAnsi"/>
          <w:spacing w:val="45"/>
          <w:sz w:val="20"/>
          <w:szCs w:val="20"/>
        </w:rPr>
        <w:t xml:space="preserve"> </w:t>
      </w:r>
      <w:r w:rsidRPr="000977F7">
        <w:rPr>
          <w:rFonts w:asciiTheme="majorHAnsi" w:hAnsiTheme="majorHAnsi"/>
          <w:sz w:val="20"/>
          <w:szCs w:val="20"/>
        </w:rPr>
        <w:t>її</w:t>
      </w:r>
      <w:r w:rsidRPr="000977F7">
        <w:rPr>
          <w:rFonts w:asciiTheme="majorHAnsi" w:hAnsiTheme="majorHAnsi"/>
          <w:spacing w:val="44"/>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44"/>
          <w:sz w:val="20"/>
          <w:szCs w:val="20"/>
        </w:rPr>
        <w:t xml:space="preserve"> </w:t>
      </w:r>
      <w:r w:rsidRPr="000977F7">
        <w:rPr>
          <w:rFonts w:asciiTheme="majorHAnsi" w:hAnsiTheme="majorHAnsi"/>
          <w:sz w:val="20"/>
          <w:szCs w:val="20"/>
        </w:rPr>
        <w:t>вимогам</w:t>
      </w:r>
      <w:r w:rsidRPr="000977F7">
        <w:rPr>
          <w:rFonts w:asciiTheme="majorHAnsi" w:hAnsiTheme="majorHAnsi"/>
          <w:spacing w:val="-47"/>
          <w:sz w:val="20"/>
          <w:szCs w:val="20"/>
        </w:rPr>
        <w:t xml:space="preserve"> </w:t>
      </w:r>
      <w:r w:rsidRPr="000977F7">
        <w:rPr>
          <w:rFonts w:asciiTheme="majorHAnsi" w:hAnsiTheme="majorHAnsi"/>
          <w:sz w:val="20"/>
          <w:szCs w:val="20"/>
        </w:rPr>
        <w:t>стандарту</w:t>
      </w:r>
      <w:r w:rsidRPr="000977F7">
        <w:rPr>
          <w:rFonts w:asciiTheme="majorHAnsi" w:hAnsiTheme="majorHAnsi"/>
          <w:spacing w:val="23"/>
          <w:sz w:val="20"/>
          <w:szCs w:val="20"/>
        </w:rPr>
        <w:t xml:space="preserve"> </w:t>
      </w:r>
      <w:r w:rsidRPr="000977F7">
        <w:rPr>
          <w:rFonts w:asciiTheme="majorHAnsi" w:hAnsiTheme="majorHAnsi"/>
          <w:sz w:val="20"/>
          <w:szCs w:val="20"/>
        </w:rPr>
        <w:t>або</w:t>
      </w:r>
      <w:r w:rsidRPr="000977F7">
        <w:rPr>
          <w:rFonts w:asciiTheme="majorHAnsi" w:hAnsiTheme="majorHAnsi"/>
          <w:spacing w:val="25"/>
          <w:sz w:val="20"/>
          <w:szCs w:val="20"/>
        </w:rPr>
        <w:t xml:space="preserve"> </w:t>
      </w:r>
      <w:r w:rsidRPr="000977F7">
        <w:rPr>
          <w:rFonts w:asciiTheme="majorHAnsi" w:hAnsiTheme="majorHAnsi"/>
          <w:sz w:val="20"/>
          <w:szCs w:val="20"/>
        </w:rPr>
        <w:t>іншого</w:t>
      </w:r>
      <w:r w:rsidRPr="000977F7">
        <w:rPr>
          <w:rFonts w:asciiTheme="majorHAnsi" w:hAnsiTheme="majorHAnsi"/>
          <w:spacing w:val="26"/>
          <w:sz w:val="20"/>
          <w:szCs w:val="20"/>
        </w:rPr>
        <w:t xml:space="preserve"> </w:t>
      </w:r>
      <w:r w:rsidRPr="000977F7">
        <w:rPr>
          <w:rFonts w:asciiTheme="majorHAnsi" w:hAnsiTheme="majorHAnsi"/>
          <w:sz w:val="20"/>
          <w:szCs w:val="20"/>
        </w:rPr>
        <w:t>нормативного</w:t>
      </w:r>
      <w:r w:rsidRPr="000977F7">
        <w:rPr>
          <w:rFonts w:asciiTheme="majorHAnsi" w:hAnsiTheme="majorHAnsi"/>
          <w:spacing w:val="25"/>
          <w:sz w:val="20"/>
          <w:szCs w:val="20"/>
        </w:rPr>
        <w:t xml:space="preserve"> </w:t>
      </w:r>
      <w:r w:rsidRPr="000977F7">
        <w:rPr>
          <w:rFonts w:asciiTheme="majorHAnsi" w:hAnsiTheme="majorHAnsi"/>
          <w:sz w:val="20"/>
          <w:szCs w:val="20"/>
        </w:rPr>
        <w:t>документа,</w:t>
      </w:r>
      <w:r w:rsidRPr="000977F7">
        <w:rPr>
          <w:rFonts w:asciiTheme="majorHAnsi" w:hAnsiTheme="majorHAnsi"/>
          <w:spacing w:val="26"/>
          <w:sz w:val="20"/>
          <w:szCs w:val="20"/>
        </w:rPr>
        <w:t xml:space="preserve"> </w:t>
      </w:r>
      <w:r w:rsidRPr="000977F7">
        <w:rPr>
          <w:rFonts w:asciiTheme="majorHAnsi" w:hAnsiTheme="majorHAnsi"/>
          <w:sz w:val="20"/>
          <w:szCs w:val="20"/>
        </w:rPr>
        <w:t>а</w:t>
      </w:r>
      <w:r w:rsidRPr="000977F7">
        <w:rPr>
          <w:rFonts w:asciiTheme="majorHAnsi" w:hAnsiTheme="majorHAnsi"/>
          <w:spacing w:val="24"/>
          <w:sz w:val="20"/>
          <w:szCs w:val="20"/>
        </w:rPr>
        <w:t xml:space="preserve"> </w:t>
      </w:r>
      <w:r w:rsidRPr="000977F7">
        <w:rPr>
          <w:rFonts w:asciiTheme="majorHAnsi" w:hAnsiTheme="majorHAnsi"/>
          <w:sz w:val="20"/>
          <w:szCs w:val="20"/>
        </w:rPr>
        <w:t>також</w:t>
      </w:r>
      <w:r w:rsidRPr="000977F7">
        <w:rPr>
          <w:rFonts w:asciiTheme="majorHAnsi" w:hAnsiTheme="majorHAnsi"/>
          <w:spacing w:val="30"/>
          <w:sz w:val="20"/>
          <w:szCs w:val="20"/>
        </w:rPr>
        <w:t xml:space="preserve"> </w:t>
      </w:r>
      <w:r w:rsidRPr="000977F7">
        <w:rPr>
          <w:rFonts w:asciiTheme="majorHAnsi" w:hAnsiTheme="majorHAnsi"/>
          <w:sz w:val="20"/>
          <w:szCs w:val="20"/>
        </w:rPr>
        <w:t>за</w:t>
      </w:r>
      <w:r w:rsidRPr="000977F7">
        <w:rPr>
          <w:rFonts w:asciiTheme="majorHAnsi" w:hAnsiTheme="majorHAnsi"/>
          <w:spacing w:val="32"/>
          <w:sz w:val="20"/>
          <w:szCs w:val="20"/>
        </w:rPr>
        <w:t xml:space="preserve"> </w:t>
      </w:r>
      <w:r w:rsidRPr="000977F7">
        <w:rPr>
          <w:rFonts w:asciiTheme="majorHAnsi" w:hAnsiTheme="majorHAnsi"/>
          <w:sz w:val="20"/>
          <w:szCs w:val="20"/>
        </w:rPr>
        <w:t>системою</w:t>
      </w:r>
      <w:r w:rsidRPr="000977F7">
        <w:rPr>
          <w:rFonts w:asciiTheme="majorHAnsi" w:hAnsiTheme="majorHAnsi"/>
          <w:spacing w:val="31"/>
          <w:sz w:val="20"/>
          <w:szCs w:val="20"/>
        </w:rPr>
        <w:t xml:space="preserve"> </w:t>
      </w:r>
      <w:r w:rsidRPr="000977F7">
        <w:rPr>
          <w:rFonts w:asciiTheme="majorHAnsi" w:hAnsiTheme="majorHAnsi"/>
          <w:sz w:val="20"/>
          <w:szCs w:val="20"/>
        </w:rPr>
        <w:t>якості</w:t>
      </w:r>
      <w:r w:rsidRPr="000977F7">
        <w:rPr>
          <w:rFonts w:asciiTheme="majorHAnsi" w:hAnsiTheme="majorHAnsi"/>
          <w:spacing w:val="31"/>
          <w:sz w:val="20"/>
          <w:szCs w:val="20"/>
        </w:rPr>
        <w:t xml:space="preserve"> </w:t>
      </w:r>
      <w:r w:rsidRPr="000977F7">
        <w:rPr>
          <w:rFonts w:asciiTheme="majorHAnsi" w:hAnsiTheme="majorHAnsi"/>
          <w:sz w:val="20"/>
          <w:szCs w:val="20"/>
        </w:rPr>
        <w:t>на</w:t>
      </w:r>
      <w:r w:rsidRPr="000977F7">
        <w:rPr>
          <w:rFonts w:asciiTheme="majorHAnsi" w:hAnsiTheme="majorHAnsi"/>
          <w:spacing w:val="33"/>
          <w:sz w:val="20"/>
          <w:szCs w:val="20"/>
        </w:rPr>
        <w:t xml:space="preserve"> </w:t>
      </w:r>
      <w:r w:rsidRPr="000977F7">
        <w:rPr>
          <w:rFonts w:asciiTheme="majorHAnsi" w:hAnsiTheme="majorHAnsi"/>
          <w:sz w:val="20"/>
          <w:szCs w:val="20"/>
        </w:rPr>
        <w:t>засадах</w:t>
      </w:r>
      <w:r w:rsidRPr="000977F7">
        <w:rPr>
          <w:rFonts w:asciiTheme="majorHAnsi" w:hAnsiTheme="majorHAnsi"/>
          <w:spacing w:val="30"/>
          <w:sz w:val="20"/>
          <w:szCs w:val="20"/>
        </w:rPr>
        <w:t xml:space="preserve"> </w:t>
      </w:r>
      <w:r w:rsidRPr="000977F7">
        <w:rPr>
          <w:rFonts w:asciiTheme="majorHAnsi" w:hAnsiTheme="majorHAnsi"/>
          <w:sz w:val="20"/>
          <w:szCs w:val="20"/>
        </w:rPr>
        <w:t>спеціальних</w:t>
      </w:r>
      <w:r w:rsidRPr="000977F7">
        <w:rPr>
          <w:rFonts w:asciiTheme="majorHAnsi" w:hAnsiTheme="majorHAnsi"/>
          <w:spacing w:val="33"/>
          <w:sz w:val="20"/>
          <w:szCs w:val="20"/>
        </w:rPr>
        <w:t xml:space="preserve"> </w:t>
      </w:r>
      <w:r w:rsidRPr="000977F7">
        <w:rPr>
          <w:rFonts w:asciiTheme="majorHAnsi" w:hAnsiTheme="majorHAnsi"/>
          <w:sz w:val="20"/>
          <w:szCs w:val="20"/>
        </w:rPr>
        <w:t>правил системи сертифікації однорідних видів продукції</w:t>
      </w:r>
    </w:p>
    <w:p w14:paraId="581AE02A"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0977F7">
        <w:rPr>
          <w:rFonts w:asciiTheme="majorHAnsi" w:hAnsiTheme="majorHAnsi"/>
          <w:b/>
          <w:sz w:val="20"/>
          <w:szCs w:val="20"/>
        </w:rPr>
        <w:t>ТЕХНІЧНИЙ</w:t>
      </w:r>
      <w:r w:rsidRPr="004D2D14">
        <w:rPr>
          <w:rFonts w:asciiTheme="majorHAnsi" w:hAnsiTheme="majorHAnsi"/>
          <w:b/>
          <w:sz w:val="20"/>
          <w:szCs w:val="20"/>
          <w:lang w:val="en-US"/>
        </w:rPr>
        <w:t xml:space="preserve"> </w:t>
      </w:r>
      <w:r w:rsidRPr="000977F7">
        <w:rPr>
          <w:rFonts w:asciiTheme="majorHAnsi" w:hAnsiTheme="majorHAnsi"/>
          <w:b/>
          <w:sz w:val="20"/>
          <w:szCs w:val="20"/>
        </w:rPr>
        <w:t>ОГЛЯД</w:t>
      </w:r>
      <w:r w:rsidRPr="004D2D14">
        <w:rPr>
          <w:rFonts w:asciiTheme="majorHAnsi" w:hAnsiTheme="majorHAnsi"/>
          <w:b/>
          <w:sz w:val="20"/>
          <w:szCs w:val="20"/>
          <w:lang w:val="en-US"/>
        </w:rPr>
        <w:t xml:space="preserve"> -</w:t>
      </w:r>
    </w:p>
    <w:p w14:paraId="1A168C8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TECHNICAL</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CHECK UP</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6E1974F3"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Контроль, що проводиться переважно за допомогою</w:t>
      </w:r>
      <w:r w:rsidRPr="000977F7">
        <w:rPr>
          <w:rFonts w:asciiTheme="majorHAnsi" w:hAnsiTheme="majorHAnsi"/>
          <w:spacing w:val="1"/>
          <w:sz w:val="20"/>
          <w:szCs w:val="20"/>
        </w:rPr>
        <w:t xml:space="preserve"> </w:t>
      </w:r>
      <w:r w:rsidRPr="000977F7">
        <w:rPr>
          <w:rFonts w:asciiTheme="majorHAnsi" w:hAnsiTheme="majorHAnsi"/>
          <w:sz w:val="20"/>
          <w:szCs w:val="20"/>
        </w:rPr>
        <w:t>органів чуття і, за потреби, засобів контролю, номенклатура яких встановлена відповідною документацією</w:t>
      </w:r>
      <w:r w:rsidRPr="000977F7">
        <w:rPr>
          <w:rFonts w:asciiTheme="majorHAnsi" w:hAnsiTheme="majorHAnsi"/>
          <w:spacing w:val="-47"/>
          <w:sz w:val="20"/>
          <w:szCs w:val="20"/>
        </w:rPr>
        <w:t xml:space="preserve"> </w:t>
      </w:r>
    </w:p>
    <w:p w14:paraId="61A875AD"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2"/>
          <w:sz w:val="20"/>
          <w:szCs w:val="20"/>
        </w:rPr>
        <w:t xml:space="preserve"> </w:t>
      </w:r>
      <w:r w:rsidRPr="000977F7">
        <w:rPr>
          <w:rFonts w:asciiTheme="majorHAnsi" w:hAnsiTheme="majorHAnsi"/>
          <w:i/>
          <w:sz w:val="20"/>
          <w:szCs w:val="20"/>
        </w:rPr>
        <w:t>– 95</w:t>
      </w:r>
    </w:p>
    <w:p w14:paraId="16B7612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MONITORING</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41750A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Захід,</w:t>
      </w:r>
      <w:r w:rsidRPr="000977F7">
        <w:rPr>
          <w:rFonts w:asciiTheme="majorHAnsi" w:hAnsiTheme="majorHAnsi"/>
          <w:spacing w:val="28"/>
          <w:sz w:val="20"/>
          <w:szCs w:val="20"/>
        </w:rPr>
        <w:t xml:space="preserve"> </w:t>
      </w:r>
      <w:r w:rsidRPr="000977F7">
        <w:rPr>
          <w:rFonts w:asciiTheme="majorHAnsi" w:hAnsiTheme="majorHAnsi"/>
          <w:sz w:val="20"/>
          <w:szCs w:val="20"/>
        </w:rPr>
        <w:t>який</w:t>
      </w:r>
      <w:r w:rsidRPr="000977F7">
        <w:rPr>
          <w:rFonts w:asciiTheme="majorHAnsi" w:hAnsiTheme="majorHAnsi"/>
          <w:spacing w:val="26"/>
          <w:sz w:val="20"/>
          <w:szCs w:val="20"/>
        </w:rPr>
        <w:t xml:space="preserve"> </w:t>
      </w:r>
      <w:r w:rsidRPr="000977F7">
        <w:rPr>
          <w:rFonts w:asciiTheme="majorHAnsi" w:hAnsiTheme="majorHAnsi"/>
          <w:sz w:val="20"/>
          <w:szCs w:val="20"/>
        </w:rPr>
        <w:t>виконується</w:t>
      </w:r>
      <w:r w:rsidRPr="000977F7">
        <w:rPr>
          <w:rFonts w:asciiTheme="majorHAnsi" w:hAnsiTheme="majorHAnsi"/>
          <w:spacing w:val="27"/>
          <w:sz w:val="20"/>
          <w:szCs w:val="20"/>
        </w:rPr>
        <w:t xml:space="preserve"> </w:t>
      </w:r>
      <w:r w:rsidRPr="000977F7">
        <w:rPr>
          <w:rFonts w:asciiTheme="majorHAnsi" w:hAnsiTheme="majorHAnsi"/>
          <w:sz w:val="20"/>
          <w:szCs w:val="20"/>
        </w:rPr>
        <w:t>ручним</w:t>
      </w:r>
      <w:r w:rsidRPr="000977F7">
        <w:rPr>
          <w:rFonts w:asciiTheme="majorHAnsi" w:hAnsiTheme="majorHAnsi"/>
          <w:spacing w:val="28"/>
          <w:sz w:val="20"/>
          <w:szCs w:val="20"/>
        </w:rPr>
        <w:t xml:space="preserve"> </w:t>
      </w:r>
      <w:r w:rsidRPr="000977F7">
        <w:rPr>
          <w:rFonts w:asciiTheme="majorHAnsi" w:hAnsiTheme="majorHAnsi"/>
          <w:sz w:val="20"/>
          <w:szCs w:val="20"/>
        </w:rPr>
        <w:t>чи</w:t>
      </w:r>
      <w:r w:rsidRPr="000977F7">
        <w:rPr>
          <w:rFonts w:asciiTheme="majorHAnsi" w:hAnsiTheme="majorHAnsi"/>
          <w:spacing w:val="26"/>
          <w:sz w:val="20"/>
          <w:szCs w:val="20"/>
        </w:rPr>
        <w:t xml:space="preserve"> </w:t>
      </w:r>
      <w:r w:rsidRPr="000977F7">
        <w:rPr>
          <w:rFonts w:asciiTheme="majorHAnsi" w:hAnsiTheme="majorHAnsi"/>
          <w:sz w:val="20"/>
          <w:szCs w:val="20"/>
        </w:rPr>
        <w:t>автоматичним</w:t>
      </w:r>
      <w:r w:rsidRPr="000977F7">
        <w:rPr>
          <w:rFonts w:asciiTheme="majorHAnsi" w:hAnsiTheme="majorHAnsi"/>
          <w:spacing w:val="-47"/>
          <w:sz w:val="20"/>
          <w:szCs w:val="20"/>
        </w:rPr>
        <w:t xml:space="preserve"> </w:t>
      </w:r>
      <w:r w:rsidRPr="000977F7">
        <w:rPr>
          <w:rFonts w:asciiTheme="majorHAnsi" w:hAnsiTheme="majorHAnsi"/>
          <w:sz w:val="20"/>
          <w:szCs w:val="20"/>
        </w:rPr>
        <w:t>способом</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2"/>
          <w:sz w:val="20"/>
          <w:szCs w:val="20"/>
        </w:rPr>
        <w:t xml:space="preserve"> </w:t>
      </w:r>
      <w:r w:rsidRPr="000977F7">
        <w:rPr>
          <w:rFonts w:asciiTheme="majorHAnsi" w:hAnsiTheme="majorHAnsi"/>
          <w:sz w:val="20"/>
          <w:szCs w:val="20"/>
        </w:rPr>
        <w:t>метою</w:t>
      </w:r>
      <w:r w:rsidRPr="000977F7">
        <w:rPr>
          <w:rFonts w:asciiTheme="majorHAnsi" w:hAnsiTheme="majorHAnsi"/>
          <w:spacing w:val="-1"/>
          <w:sz w:val="20"/>
          <w:szCs w:val="20"/>
        </w:rPr>
        <w:t xml:space="preserve"> </w:t>
      </w:r>
      <w:r w:rsidRPr="000977F7">
        <w:rPr>
          <w:rFonts w:asciiTheme="majorHAnsi" w:hAnsiTheme="majorHAnsi"/>
          <w:sz w:val="20"/>
          <w:szCs w:val="20"/>
        </w:rPr>
        <w:t>спостереження</w:t>
      </w:r>
      <w:r w:rsidRPr="000977F7">
        <w:rPr>
          <w:rFonts w:asciiTheme="majorHAnsi" w:hAnsiTheme="majorHAnsi"/>
          <w:spacing w:val="-3"/>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станом</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5D7D68E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2F2DA6FB"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Автоматизований</w:t>
      </w:r>
      <w:r w:rsidRPr="000977F7">
        <w:rPr>
          <w:rFonts w:asciiTheme="majorHAnsi" w:hAnsiTheme="majorHAnsi"/>
          <w:spacing w:val="1"/>
          <w:sz w:val="20"/>
          <w:szCs w:val="20"/>
        </w:rPr>
        <w:t xml:space="preserve"> </w:t>
      </w:r>
      <w:r w:rsidRPr="000977F7">
        <w:rPr>
          <w:rFonts w:asciiTheme="majorHAnsi" w:hAnsiTheme="majorHAnsi"/>
          <w:sz w:val="20"/>
          <w:szCs w:val="20"/>
        </w:rPr>
        <w:t>нагляд</w:t>
      </w:r>
      <w:r w:rsidRPr="000977F7">
        <w:rPr>
          <w:rFonts w:asciiTheme="majorHAnsi" w:hAnsiTheme="majorHAnsi"/>
          <w:spacing w:val="1"/>
          <w:sz w:val="20"/>
          <w:szCs w:val="20"/>
        </w:rPr>
        <w:t xml:space="preserve"> </w:t>
      </w:r>
      <w:r w:rsidRPr="000977F7">
        <w:rPr>
          <w:rFonts w:asciiTheme="majorHAnsi" w:hAnsiTheme="majorHAnsi"/>
          <w:sz w:val="20"/>
          <w:szCs w:val="20"/>
        </w:rPr>
        <w:t>проводять</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допомогою</w:t>
      </w:r>
      <w:r w:rsidRPr="000977F7">
        <w:rPr>
          <w:rFonts w:asciiTheme="majorHAnsi" w:hAnsiTheme="majorHAnsi"/>
          <w:spacing w:val="1"/>
          <w:sz w:val="20"/>
          <w:szCs w:val="20"/>
        </w:rPr>
        <w:t xml:space="preserve"> </w:t>
      </w:r>
      <w:r w:rsidRPr="000977F7">
        <w:rPr>
          <w:rFonts w:asciiTheme="majorHAnsi" w:hAnsiTheme="majorHAnsi"/>
          <w:sz w:val="20"/>
          <w:szCs w:val="20"/>
        </w:rPr>
        <w:t>засобів, внутрішніх або зовнішніх відносно до об’єкта</w:t>
      </w:r>
      <w:r w:rsidRPr="000977F7">
        <w:rPr>
          <w:rFonts w:asciiTheme="majorHAnsi" w:hAnsiTheme="majorHAnsi"/>
          <w:spacing w:val="-47"/>
          <w:sz w:val="20"/>
          <w:szCs w:val="20"/>
        </w:rPr>
        <w:t xml:space="preserve"> </w:t>
      </w:r>
    </w:p>
    <w:p w14:paraId="056BAED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2860 -</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0F1F6F2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ТЕХНІЧНИЙ</w:t>
      </w:r>
      <w:r w:rsidRPr="000977F7">
        <w:rPr>
          <w:color w:val="auto"/>
          <w:spacing w:val="-2"/>
          <w:sz w:val="20"/>
          <w:szCs w:val="20"/>
        </w:rPr>
        <w:t xml:space="preserve"> </w:t>
      </w:r>
      <w:r w:rsidRPr="000977F7">
        <w:rPr>
          <w:color w:val="auto"/>
          <w:sz w:val="20"/>
          <w:szCs w:val="20"/>
        </w:rPr>
        <w:t>ОПИС –</w:t>
      </w:r>
    </w:p>
    <w:p w14:paraId="43F73CF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Експлуатаційний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містить</w:t>
      </w:r>
      <w:r w:rsidRPr="000977F7">
        <w:rPr>
          <w:rFonts w:asciiTheme="majorHAnsi" w:hAnsiTheme="majorHAnsi"/>
          <w:spacing w:val="1"/>
          <w:sz w:val="20"/>
          <w:szCs w:val="20"/>
        </w:rPr>
        <w:t xml:space="preserve"> </w:t>
      </w:r>
      <w:r w:rsidRPr="000977F7">
        <w:rPr>
          <w:rFonts w:asciiTheme="majorHAnsi" w:hAnsiTheme="majorHAnsi"/>
          <w:sz w:val="20"/>
          <w:szCs w:val="20"/>
        </w:rPr>
        <w:t>відомості</w:t>
      </w:r>
      <w:r w:rsidRPr="000977F7">
        <w:rPr>
          <w:rFonts w:asciiTheme="majorHAnsi" w:hAnsiTheme="majorHAnsi"/>
          <w:spacing w:val="1"/>
          <w:sz w:val="20"/>
          <w:szCs w:val="20"/>
        </w:rPr>
        <w:t xml:space="preserve"> </w:t>
      </w:r>
      <w:r w:rsidRPr="000977F7">
        <w:rPr>
          <w:rFonts w:asciiTheme="majorHAnsi" w:hAnsiTheme="majorHAnsi"/>
          <w:sz w:val="20"/>
          <w:szCs w:val="20"/>
        </w:rPr>
        <w:t xml:space="preserve">про будову, принципи роботи і технічні </w:t>
      </w:r>
      <w:r w:rsidRPr="000977F7">
        <w:rPr>
          <w:rFonts w:asciiTheme="majorHAnsi" w:hAnsiTheme="majorHAnsi"/>
          <w:sz w:val="20"/>
          <w:szCs w:val="20"/>
        </w:rPr>
        <w:lastRenderedPageBreak/>
        <w:t>характеристики виробу, необхідні для його вивчення і правильної</w:t>
      </w:r>
      <w:r w:rsidRPr="000977F7">
        <w:rPr>
          <w:rFonts w:asciiTheme="majorHAnsi" w:hAnsiTheme="majorHAnsi"/>
          <w:spacing w:val="-2"/>
          <w:sz w:val="20"/>
          <w:szCs w:val="20"/>
        </w:rPr>
        <w:t xml:space="preserve"> </w:t>
      </w:r>
      <w:r w:rsidRPr="000977F7">
        <w:rPr>
          <w:rFonts w:asciiTheme="majorHAnsi" w:hAnsiTheme="majorHAnsi"/>
          <w:sz w:val="20"/>
          <w:szCs w:val="20"/>
        </w:rPr>
        <w:t>експлуатації</w:t>
      </w:r>
    </w:p>
    <w:p w14:paraId="7EEA08B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735C8D5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ТЕХНІЧНИЙ</w:t>
      </w:r>
      <w:r w:rsidRPr="000977F7">
        <w:rPr>
          <w:color w:val="auto"/>
          <w:spacing w:val="-3"/>
          <w:sz w:val="20"/>
          <w:szCs w:val="20"/>
        </w:rPr>
        <w:t xml:space="preserve"> </w:t>
      </w:r>
      <w:r w:rsidRPr="000977F7">
        <w:rPr>
          <w:color w:val="auto"/>
          <w:sz w:val="20"/>
          <w:szCs w:val="20"/>
        </w:rPr>
        <w:t>ПРОЕКТ</w:t>
      </w:r>
      <w:r w:rsidRPr="000977F7">
        <w:rPr>
          <w:color w:val="auto"/>
          <w:spacing w:val="-2"/>
          <w:sz w:val="20"/>
          <w:szCs w:val="20"/>
        </w:rPr>
        <w:t xml:space="preserve"> </w:t>
      </w:r>
      <w:r w:rsidRPr="000977F7">
        <w:rPr>
          <w:color w:val="auto"/>
          <w:sz w:val="20"/>
          <w:szCs w:val="20"/>
        </w:rPr>
        <w:t>–</w:t>
      </w:r>
    </w:p>
    <w:p w14:paraId="40A867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Проектна конструкторська документація, яка містить</w:t>
      </w:r>
      <w:r w:rsidRPr="000977F7">
        <w:rPr>
          <w:rFonts w:asciiTheme="majorHAnsi" w:hAnsiTheme="majorHAnsi"/>
          <w:spacing w:val="1"/>
          <w:sz w:val="20"/>
          <w:szCs w:val="20"/>
        </w:rPr>
        <w:t xml:space="preserve"> </w:t>
      </w:r>
      <w:r w:rsidRPr="000977F7">
        <w:rPr>
          <w:rFonts w:asciiTheme="majorHAnsi" w:hAnsiTheme="majorHAnsi"/>
          <w:sz w:val="20"/>
          <w:szCs w:val="20"/>
        </w:rPr>
        <w:t>остаточне технічне рішення і дає повне уявлення про</w:t>
      </w:r>
      <w:r w:rsidRPr="000977F7">
        <w:rPr>
          <w:rFonts w:asciiTheme="majorHAnsi" w:hAnsiTheme="majorHAnsi"/>
          <w:spacing w:val="1"/>
          <w:sz w:val="20"/>
          <w:szCs w:val="20"/>
        </w:rPr>
        <w:t xml:space="preserve"> </w:t>
      </w:r>
      <w:r w:rsidRPr="000977F7">
        <w:rPr>
          <w:rFonts w:asciiTheme="majorHAnsi" w:hAnsiTheme="majorHAnsi"/>
          <w:sz w:val="20"/>
          <w:szCs w:val="20"/>
        </w:rPr>
        <w:t>будову</w:t>
      </w:r>
      <w:r w:rsidRPr="000977F7">
        <w:rPr>
          <w:rFonts w:asciiTheme="majorHAnsi" w:hAnsiTheme="majorHAnsi"/>
          <w:spacing w:val="-2"/>
          <w:sz w:val="20"/>
          <w:szCs w:val="20"/>
        </w:rPr>
        <w:t xml:space="preserve"> </w:t>
      </w:r>
      <w:r w:rsidRPr="000977F7">
        <w:rPr>
          <w:rFonts w:asciiTheme="majorHAnsi" w:hAnsiTheme="majorHAnsi"/>
          <w:sz w:val="20"/>
          <w:szCs w:val="20"/>
        </w:rPr>
        <w:t>розроблюваного</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p>
    <w:p w14:paraId="1790D81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3321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2003</w:t>
      </w:r>
    </w:p>
    <w:p w14:paraId="2ABD896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ТЕХНІЧНИЙ</w:t>
      </w:r>
      <w:r w:rsidRPr="000977F7">
        <w:rPr>
          <w:color w:val="auto"/>
          <w:spacing w:val="-3"/>
          <w:sz w:val="20"/>
          <w:szCs w:val="20"/>
        </w:rPr>
        <w:t xml:space="preserve"> </w:t>
      </w:r>
      <w:r w:rsidRPr="000977F7">
        <w:rPr>
          <w:color w:val="auto"/>
          <w:sz w:val="20"/>
          <w:szCs w:val="20"/>
        </w:rPr>
        <w:t>РЕГЛАМЕНТ</w:t>
      </w:r>
      <w:r w:rsidRPr="000977F7">
        <w:rPr>
          <w:color w:val="auto"/>
          <w:spacing w:val="-2"/>
          <w:sz w:val="20"/>
          <w:szCs w:val="20"/>
        </w:rPr>
        <w:t xml:space="preserve"> </w:t>
      </w:r>
      <w:r w:rsidRPr="000977F7">
        <w:rPr>
          <w:color w:val="auto"/>
          <w:sz w:val="20"/>
          <w:szCs w:val="20"/>
        </w:rPr>
        <w:t>–</w:t>
      </w:r>
    </w:p>
    <w:p w14:paraId="444DC32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TECHNICAL</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REGULATION –</w:t>
      </w:r>
    </w:p>
    <w:p w14:paraId="7643D374"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Нормативно-правовий акт, в якому визначено характеристики продукції або пов’язані з ними процеси та методи виробництва, включаючи відповідні адміністративні положення, додержання яких є обов’язковим. Він може також включати або виключно стосуватися вимог до термінології, позначень, пакування, маркування чи етикетування в тій мірі, в якій вони застосовуються до продукції, процесу або методу виробництва</w:t>
      </w:r>
    </w:p>
    <w:p w14:paraId="2313FCC2"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технічні регламенти та оцінку відповідності"</w:t>
      </w:r>
    </w:p>
    <w:p w14:paraId="50D45C7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b w:val="0"/>
          <w:bCs/>
          <w:i/>
          <w:iCs w:val="0"/>
          <w:color w:val="auto"/>
          <w:sz w:val="20"/>
          <w:szCs w:val="20"/>
        </w:rPr>
        <w:t>Технічний регламент</w:t>
      </w:r>
      <w:r w:rsidRPr="000977F7">
        <w:rPr>
          <w:i/>
          <w:color w:val="auto"/>
          <w:sz w:val="20"/>
          <w:szCs w:val="20"/>
        </w:rPr>
        <w:t xml:space="preserve"> </w:t>
      </w:r>
      <w:r w:rsidRPr="000977F7">
        <w:rPr>
          <w:b w:val="0"/>
          <w:bCs/>
          <w:i/>
          <w:color w:val="auto"/>
          <w:sz w:val="20"/>
          <w:szCs w:val="20"/>
        </w:rPr>
        <w:t>безпеки машин</w:t>
      </w:r>
    </w:p>
    <w:p w14:paraId="7DEB3D3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Регламент,</w:t>
      </w:r>
      <w:r w:rsidRPr="000977F7">
        <w:rPr>
          <w:rFonts w:asciiTheme="majorHAnsi" w:hAnsiTheme="majorHAnsi"/>
          <w:spacing w:val="34"/>
          <w:sz w:val="20"/>
          <w:szCs w:val="20"/>
        </w:rPr>
        <w:t xml:space="preserve"> </w:t>
      </w:r>
      <w:r w:rsidRPr="000977F7">
        <w:rPr>
          <w:rFonts w:asciiTheme="majorHAnsi" w:hAnsiTheme="majorHAnsi"/>
          <w:sz w:val="20"/>
          <w:szCs w:val="20"/>
        </w:rPr>
        <w:t>що</w:t>
      </w:r>
      <w:r w:rsidRPr="000977F7">
        <w:rPr>
          <w:rFonts w:asciiTheme="majorHAnsi" w:hAnsiTheme="majorHAnsi"/>
          <w:spacing w:val="35"/>
          <w:sz w:val="20"/>
          <w:szCs w:val="20"/>
        </w:rPr>
        <w:t xml:space="preserve"> </w:t>
      </w:r>
      <w:r w:rsidRPr="000977F7">
        <w:rPr>
          <w:rFonts w:asciiTheme="majorHAnsi" w:hAnsiTheme="majorHAnsi"/>
          <w:sz w:val="20"/>
          <w:szCs w:val="20"/>
        </w:rPr>
        <w:t>містить</w:t>
      </w:r>
      <w:r w:rsidRPr="000977F7">
        <w:rPr>
          <w:rFonts w:asciiTheme="majorHAnsi" w:hAnsiTheme="majorHAnsi"/>
          <w:spacing w:val="37"/>
          <w:sz w:val="20"/>
          <w:szCs w:val="20"/>
        </w:rPr>
        <w:t xml:space="preserve"> </w:t>
      </w:r>
      <w:r w:rsidRPr="000977F7">
        <w:rPr>
          <w:rFonts w:asciiTheme="majorHAnsi" w:hAnsiTheme="majorHAnsi"/>
          <w:sz w:val="20"/>
          <w:szCs w:val="20"/>
        </w:rPr>
        <w:t>технічні</w:t>
      </w:r>
      <w:r w:rsidRPr="000977F7">
        <w:rPr>
          <w:rFonts w:asciiTheme="majorHAnsi" w:hAnsiTheme="majorHAnsi"/>
          <w:spacing w:val="36"/>
          <w:sz w:val="20"/>
          <w:szCs w:val="20"/>
        </w:rPr>
        <w:t xml:space="preserve"> </w:t>
      </w:r>
      <w:r w:rsidRPr="000977F7">
        <w:rPr>
          <w:rFonts w:asciiTheme="majorHAnsi" w:hAnsiTheme="majorHAnsi"/>
          <w:sz w:val="20"/>
          <w:szCs w:val="20"/>
        </w:rPr>
        <w:t>вимоги</w:t>
      </w:r>
      <w:r w:rsidRPr="000977F7">
        <w:rPr>
          <w:rFonts w:asciiTheme="majorHAnsi" w:hAnsiTheme="majorHAnsi"/>
          <w:spacing w:val="33"/>
          <w:sz w:val="20"/>
          <w:szCs w:val="20"/>
        </w:rPr>
        <w:t xml:space="preserve"> </w:t>
      </w:r>
      <w:r w:rsidRPr="000977F7">
        <w:rPr>
          <w:rFonts w:asciiTheme="majorHAnsi" w:hAnsiTheme="majorHAnsi"/>
          <w:sz w:val="20"/>
          <w:szCs w:val="20"/>
        </w:rPr>
        <w:t>або</w:t>
      </w:r>
      <w:r w:rsidRPr="000977F7">
        <w:rPr>
          <w:rFonts w:asciiTheme="majorHAnsi" w:hAnsiTheme="majorHAnsi"/>
          <w:spacing w:val="37"/>
          <w:sz w:val="20"/>
          <w:szCs w:val="20"/>
        </w:rPr>
        <w:t xml:space="preserve"> </w:t>
      </w:r>
      <w:r w:rsidRPr="000977F7">
        <w:rPr>
          <w:rFonts w:asciiTheme="majorHAnsi" w:hAnsiTheme="majorHAnsi"/>
          <w:sz w:val="20"/>
          <w:szCs w:val="20"/>
        </w:rPr>
        <w:t>безпосередньо,</w:t>
      </w:r>
      <w:r w:rsidRPr="000977F7">
        <w:rPr>
          <w:rFonts w:asciiTheme="majorHAnsi" w:hAnsiTheme="majorHAnsi"/>
          <w:spacing w:val="14"/>
          <w:sz w:val="20"/>
          <w:szCs w:val="20"/>
        </w:rPr>
        <w:t xml:space="preserve"> </w:t>
      </w:r>
      <w:r w:rsidRPr="000977F7">
        <w:rPr>
          <w:rFonts w:asciiTheme="majorHAnsi" w:hAnsiTheme="majorHAnsi"/>
          <w:sz w:val="20"/>
          <w:szCs w:val="20"/>
        </w:rPr>
        <w:t>або</w:t>
      </w:r>
      <w:r w:rsidRPr="000977F7">
        <w:rPr>
          <w:rFonts w:asciiTheme="majorHAnsi" w:hAnsiTheme="majorHAnsi"/>
          <w:spacing w:val="15"/>
          <w:sz w:val="20"/>
          <w:szCs w:val="20"/>
        </w:rPr>
        <w:t xml:space="preserve"> </w:t>
      </w:r>
      <w:r w:rsidRPr="000977F7">
        <w:rPr>
          <w:rFonts w:asciiTheme="majorHAnsi" w:hAnsiTheme="majorHAnsi"/>
          <w:sz w:val="20"/>
          <w:szCs w:val="20"/>
        </w:rPr>
        <w:t>через</w:t>
      </w:r>
      <w:r w:rsidRPr="000977F7">
        <w:rPr>
          <w:rFonts w:asciiTheme="majorHAnsi" w:hAnsiTheme="majorHAnsi"/>
          <w:spacing w:val="12"/>
          <w:sz w:val="20"/>
          <w:szCs w:val="20"/>
        </w:rPr>
        <w:t xml:space="preserve"> </w:t>
      </w:r>
      <w:r w:rsidRPr="000977F7">
        <w:rPr>
          <w:rFonts w:asciiTheme="majorHAnsi" w:hAnsiTheme="majorHAnsi"/>
          <w:sz w:val="20"/>
          <w:szCs w:val="20"/>
        </w:rPr>
        <w:t>посилання</w:t>
      </w:r>
      <w:r w:rsidRPr="000977F7">
        <w:rPr>
          <w:rFonts w:asciiTheme="majorHAnsi" w:hAnsiTheme="majorHAnsi"/>
          <w:spacing w:val="13"/>
          <w:sz w:val="20"/>
          <w:szCs w:val="20"/>
        </w:rPr>
        <w:t xml:space="preserve"> </w:t>
      </w:r>
      <w:r w:rsidRPr="000977F7">
        <w:rPr>
          <w:rFonts w:asciiTheme="majorHAnsi" w:hAnsiTheme="majorHAnsi"/>
          <w:sz w:val="20"/>
          <w:szCs w:val="20"/>
        </w:rPr>
        <w:t>на</w:t>
      </w:r>
      <w:r w:rsidRPr="000977F7">
        <w:rPr>
          <w:rFonts w:asciiTheme="majorHAnsi" w:hAnsiTheme="majorHAnsi"/>
          <w:spacing w:val="14"/>
          <w:sz w:val="20"/>
          <w:szCs w:val="20"/>
        </w:rPr>
        <w:t xml:space="preserve"> </w:t>
      </w:r>
      <w:r w:rsidRPr="000977F7">
        <w:rPr>
          <w:rFonts w:asciiTheme="majorHAnsi" w:hAnsiTheme="majorHAnsi"/>
          <w:sz w:val="20"/>
          <w:szCs w:val="20"/>
        </w:rPr>
        <w:t>стандарт,</w:t>
      </w:r>
      <w:r w:rsidRPr="000977F7">
        <w:rPr>
          <w:rFonts w:asciiTheme="majorHAnsi" w:hAnsiTheme="majorHAnsi"/>
          <w:spacing w:val="14"/>
          <w:sz w:val="20"/>
          <w:szCs w:val="20"/>
        </w:rPr>
        <w:t xml:space="preserve"> </w:t>
      </w:r>
      <w:r w:rsidRPr="000977F7">
        <w:rPr>
          <w:rFonts w:asciiTheme="majorHAnsi" w:hAnsiTheme="majorHAnsi"/>
          <w:sz w:val="20"/>
          <w:szCs w:val="20"/>
        </w:rPr>
        <w:t xml:space="preserve">технічні </w:t>
      </w:r>
      <w:r w:rsidRPr="000977F7">
        <w:rPr>
          <w:rFonts w:asciiTheme="majorHAnsi" w:hAnsiTheme="majorHAnsi"/>
          <w:spacing w:val="-47"/>
          <w:sz w:val="20"/>
          <w:szCs w:val="20"/>
        </w:rPr>
        <w:t xml:space="preserve">  </w:t>
      </w:r>
      <w:r w:rsidRPr="000977F7">
        <w:rPr>
          <w:rFonts w:asciiTheme="majorHAnsi" w:hAnsiTheme="majorHAnsi"/>
          <w:sz w:val="20"/>
          <w:szCs w:val="20"/>
        </w:rPr>
        <w:t>умови,</w:t>
      </w:r>
      <w:r w:rsidRPr="000977F7">
        <w:rPr>
          <w:rFonts w:asciiTheme="majorHAnsi" w:hAnsiTheme="majorHAnsi"/>
          <w:spacing w:val="-1"/>
          <w:sz w:val="20"/>
          <w:szCs w:val="20"/>
        </w:rPr>
        <w:t xml:space="preserve"> </w:t>
      </w:r>
      <w:r w:rsidRPr="000977F7">
        <w:rPr>
          <w:rFonts w:asciiTheme="majorHAnsi" w:hAnsiTheme="majorHAnsi"/>
          <w:sz w:val="20"/>
          <w:szCs w:val="20"/>
        </w:rPr>
        <w:t>настанову</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їхній</w:t>
      </w:r>
      <w:r w:rsidRPr="000977F7">
        <w:rPr>
          <w:rFonts w:asciiTheme="majorHAnsi" w:hAnsiTheme="majorHAnsi"/>
          <w:spacing w:val="-1"/>
          <w:sz w:val="20"/>
          <w:szCs w:val="20"/>
        </w:rPr>
        <w:t xml:space="preserve"> </w:t>
      </w:r>
      <w:r w:rsidRPr="000977F7">
        <w:rPr>
          <w:rFonts w:asciiTheme="majorHAnsi" w:hAnsiTheme="majorHAnsi"/>
          <w:sz w:val="20"/>
          <w:szCs w:val="20"/>
        </w:rPr>
        <w:t>зміст</w:t>
      </w:r>
    </w:p>
    <w:p w14:paraId="4497F22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143151D5" w14:textId="77777777" w:rsidR="0097612F" w:rsidRPr="000977F7" w:rsidRDefault="0097612F" w:rsidP="000977F7">
      <w:pPr>
        <w:pStyle w:val="af6"/>
        <w:tabs>
          <w:tab w:val="left" w:pos="284"/>
          <w:tab w:val="left" w:pos="87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Технічний</w:t>
      </w:r>
      <w:r w:rsidRPr="000977F7">
        <w:rPr>
          <w:rFonts w:asciiTheme="majorHAnsi" w:hAnsiTheme="majorHAnsi"/>
          <w:spacing w:val="34"/>
          <w:sz w:val="20"/>
          <w:szCs w:val="20"/>
        </w:rPr>
        <w:t xml:space="preserve"> </w:t>
      </w:r>
      <w:r w:rsidRPr="000977F7">
        <w:rPr>
          <w:rFonts w:asciiTheme="majorHAnsi" w:hAnsiTheme="majorHAnsi"/>
          <w:sz w:val="20"/>
          <w:szCs w:val="20"/>
        </w:rPr>
        <w:t>регламент</w:t>
      </w:r>
      <w:r w:rsidRPr="000977F7">
        <w:rPr>
          <w:rFonts w:asciiTheme="majorHAnsi" w:hAnsiTheme="majorHAnsi"/>
          <w:spacing w:val="36"/>
          <w:sz w:val="20"/>
          <w:szCs w:val="20"/>
        </w:rPr>
        <w:t xml:space="preserve"> </w:t>
      </w:r>
      <w:r w:rsidRPr="000977F7">
        <w:rPr>
          <w:rFonts w:asciiTheme="majorHAnsi" w:hAnsiTheme="majorHAnsi"/>
          <w:sz w:val="20"/>
          <w:szCs w:val="20"/>
        </w:rPr>
        <w:t>може</w:t>
      </w:r>
      <w:r w:rsidRPr="000977F7">
        <w:rPr>
          <w:rFonts w:asciiTheme="majorHAnsi" w:hAnsiTheme="majorHAnsi"/>
          <w:spacing w:val="39"/>
          <w:sz w:val="20"/>
          <w:szCs w:val="20"/>
        </w:rPr>
        <w:t xml:space="preserve"> </w:t>
      </w:r>
      <w:r w:rsidRPr="000977F7">
        <w:rPr>
          <w:rFonts w:asciiTheme="majorHAnsi" w:hAnsiTheme="majorHAnsi"/>
          <w:sz w:val="20"/>
          <w:szCs w:val="20"/>
        </w:rPr>
        <w:t>бути</w:t>
      </w:r>
      <w:r w:rsidRPr="000977F7">
        <w:rPr>
          <w:rFonts w:asciiTheme="majorHAnsi" w:hAnsiTheme="majorHAnsi"/>
          <w:spacing w:val="35"/>
          <w:sz w:val="20"/>
          <w:szCs w:val="20"/>
        </w:rPr>
        <w:t xml:space="preserve"> </w:t>
      </w:r>
      <w:r w:rsidRPr="000977F7">
        <w:rPr>
          <w:rFonts w:asciiTheme="majorHAnsi" w:hAnsiTheme="majorHAnsi"/>
          <w:sz w:val="20"/>
          <w:szCs w:val="20"/>
        </w:rPr>
        <w:t>доповнений</w:t>
      </w:r>
      <w:r w:rsidRPr="000977F7">
        <w:rPr>
          <w:rFonts w:asciiTheme="majorHAnsi" w:hAnsiTheme="majorHAnsi"/>
          <w:spacing w:val="38"/>
          <w:sz w:val="20"/>
          <w:szCs w:val="20"/>
        </w:rPr>
        <w:t xml:space="preserve"> </w:t>
      </w:r>
      <w:r w:rsidRPr="000977F7">
        <w:rPr>
          <w:rFonts w:asciiTheme="majorHAnsi" w:hAnsiTheme="majorHAnsi"/>
          <w:sz w:val="20"/>
          <w:szCs w:val="20"/>
        </w:rPr>
        <w:t>технічною настановою,</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означує</w:t>
      </w:r>
      <w:r w:rsidRPr="000977F7">
        <w:rPr>
          <w:rFonts w:asciiTheme="majorHAnsi" w:hAnsiTheme="majorHAnsi"/>
          <w:spacing w:val="1"/>
          <w:sz w:val="20"/>
          <w:szCs w:val="20"/>
        </w:rPr>
        <w:t xml:space="preserve"> </w:t>
      </w:r>
      <w:r w:rsidRPr="000977F7">
        <w:rPr>
          <w:rFonts w:asciiTheme="majorHAnsi" w:hAnsiTheme="majorHAnsi"/>
          <w:sz w:val="20"/>
          <w:szCs w:val="20"/>
        </w:rPr>
        <w:t>способи</w:t>
      </w:r>
      <w:r w:rsidRPr="000977F7">
        <w:rPr>
          <w:rFonts w:asciiTheme="majorHAnsi" w:hAnsiTheme="majorHAnsi"/>
          <w:spacing w:val="1"/>
          <w:sz w:val="20"/>
          <w:szCs w:val="20"/>
        </w:rPr>
        <w:t xml:space="preserve"> </w:t>
      </w:r>
      <w:r w:rsidRPr="000977F7">
        <w:rPr>
          <w:rFonts w:asciiTheme="majorHAnsi" w:hAnsiTheme="majorHAnsi"/>
          <w:sz w:val="20"/>
          <w:szCs w:val="20"/>
        </w:rPr>
        <w:t>дотримання</w:t>
      </w:r>
      <w:r w:rsidRPr="000977F7">
        <w:rPr>
          <w:rFonts w:asciiTheme="majorHAnsi" w:hAnsiTheme="majorHAnsi"/>
          <w:spacing w:val="-47"/>
          <w:sz w:val="20"/>
          <w:szCs w:val="20"/>
        </w:rPr>
        <w:t xml:space="preserve"> </w:t>
      </w:r>
      <w:r w:rsidRPr="000977F7">
        <w:rPr>
          <w:rFonts w:asciiTheme="majorHAnsi" w:hAnsiTheme="majorHAnsi"/>
          <w:sz w:val="20"/>
          <w:szCs w:val="20"/>
        </w:rPr>
        <w:t>вимог регламенту, тобто вичерпним положенням</w:t>
      </w:r>
      <w:r w:rsidRPr="000977F7">
        <w:rPr>
          <w:rFonts w:asciiTheme="majorHAnsi" w:hAnsiTheme="majorHAnsi"/>
          <w:spacing w:val="1"/>
          <w:sz w:val="20"/>
          <w:szCs w:val="20"/>
        </w:rPr>
        <w:t xml:space="preserve"> </w:t>
      </w:r>
    </w:p>
    <w:p w14:paraId="431D0A6E" w14:textId="77777777" w:rsidR="0097612F" w:rsidRPr="000977F7" w:rsidRDefault="0097612F" w:rsidP="000977F7">
      <w:pPr>
        <w:pStyle w:val="af6"/>
        <w:tabs>
          <w:tab w:val="left" w:pos="284"/>
          <w:tab w:val="left" w:pos="87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ISO/IEC</w:t>
      </w:r>
      <w:r w:rsidRPr="000977F7">
        <w:rPr>
          <w:rFonts w:asciiTheme="majorHAnsi" w:hAnsiTheme="majorHAnsi"/>
          <w:i/>
          <w:iCs/>
          <w:spacing w:val="-32"/>
          <w:sz w:val="20"/>
          <w:szCs w:val="20"/>
        </w:rPr>
        <w:t xml:space="preserve"> </w:t>
      </w:r>
      <w:r w:rsidRPr="000977F7">
        <w:rPr>
          <w:rFonts w:asciiTheme="majorHAnsi" w:hAnsiTheme="majorHAnsi"/>
          <w:i/>
          <w:iCs/>
          <w:sz w:val="20"/>
          <w:szCs w:val="20"/>
        </w:rPr>
        <w:t>17000:2007</w:t>
      </w:r>
    </w:p>
    <w:p w14:paraId="4C2604B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ТЕХНІЧНИЙ</w:t>
      </w:r>
      <w:r w:rsidRPr="000977F7">
        <w:rPr>
          <w:color w:val="auto"/>
          <w:spacing w:val="-3"/>
          <w:sz w:val="20"/>
          <w:szCs w:val="20"/>
        </w:rPr>
        <w:t xml:space="preserve"> </w:t>
      </w:r>
      <w:r w:rsidRPr="000977F7">
        <w:rPr>
          <w:color w:val="auto"/>
          <w:sz w:val="20"/>
          <w:szCs w:val="20"/>
        </w:rPr>
        <w:t>РЕСУРС</w:t>
      </w:r>
      <w:r w:rsidRPr="000977F7">
        <w:rPr>
          <w:color w:val="auto"/>
          <w:spacing w:val="-2"/>
          <w:sz w:val="20"/>
          <w:szCs w:val="20"/>
        </w:rPr>
        <w:t xml:space="preserve"> </w:t>
      </w:r>
      <w:r w:rsidRPr="000977F7">
        <w:rPr>
          <w:color w:val="auto"/>
          <w:sz w:val="20"/>
          <w:szCs w:val="20"/>
        </w:rPr>
        <w:t>–</w:t>
      </w:r>
    </w:p>
    <w:p w14:paraId="698EAEE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LIFE-TIME –</w:t>
      </w:r>
    </w:p>
    <w:p w14:paraId="21D89B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Напрацювання об’єкта від початку експлуатації або</w:t>
      </w:r>
      <w:r w:rsidRPr="000977F7">
        <w:rPr>
          <w:rFonts w:asciiTheme="majorHAnsi" w:hAnsiTheme="majorHAnsi"/>
          <w:spacing w:val="1"/>
          <w:sz w:val="20"/>
          <w:szCs w:val="20"/>
        </w:rPr>
        <w:t xml:space="preserve"> </w:t>
      </w:r>
      <w:r w:rsidRPr="000977F7">
        <w:rPr>
          <w:rFonts w:asciiTheme="majorHAnsi" w:hAnsiTheme="majorHAnsi"/>
          <w:sz w:val="20"/>
          <w:szCs w:val="20"/>
        </w:rPr>
        <w:t>його відновлення після капітального ремонту до настання</w:t>
      </w:r>
      <w:r w:rsidRPr="000977F7">
        <w:rPr>
          <w:rFonts w:asciiTheme="majorHAnsi" w:hAnsiTheme="majorHAnsi"/>
          <w:spacing w:val="-2"/>
          <w:sz w:val="20"/>
          <w:szCs w:val="20"/>
        </w:rPr>
        <w:t xml:space="preserve"> </w:t>
      </w:r>
      <w:r w:rsidRPr="000977F7">
        <w:rPr>
          <w:rFonts w:asciiTheme="majorHAnsi" w:hAnsiTheme="majorHAnsi"/>
          <w:sz w:val="20"/>
          <w:szCs w:val="20"/>
        </w:rPr>
        <w:t>граничного</w:t>
      </w:r>
      <w:r w:rsidRPr="000977F7">
        <w:rPr>
          <w:rFonts w:asciiTheme="majorHAnsi" w:hAnsiTheme="majorHAnsi"/>
          <w:spacing w:val="1"/>
          <w:sz w:val="20"/>
          <w:szCs w:val="20"/>
        </w:rPr>
        <w:t xml:space="preserve"> </w:t>
      </w:r>
      <w:r w:rsidRPr="000977F7">
        <w:rPr>
          <w:rFonts w:asciiTheme="majorHAnsi" w:hAnsiTheme="majorHAnsi"/>
          <w:sz w:val="20"/>
          <w:szCs w:val="20"/>
        </w:rPr>
        <w:t>стану</w:t>
      </w:r>
    </w:p>
    <w:p w14:paraId="0DC01D7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ТЕХНІЧНИЙ</w:t>
      </w:r>
      <w:r w:rsidRPr="000977F7">
        <w:rPr>
          <w:color w:val="auto"/>
          <w:spacing w:val="-3"/>
          <w:sz w:val="20"/>
          <w:szCs w:val="20"/>
        </w:rPr>
        <w:t xml:space="preserve"> </w:t>
      </w:r>
      <w:r w:rsidRPr="000977F7">
        <w:rPr>
          <w:color w:val="auto"/>
          <w:sz w:val="20"/>
          <w:szCs w:val="20"/>
        </w:rPr>
        <w:t>РІВЕНЬ</w:t>
      </w:r>
      <w:r w:rsidRPr="000977F7">
        <w:rPr>
          <w:color w:val="auto"/>
          <w:spacing w:val="-1"/>
          <w:sz w:val="20"/>
          <w:szCs w:val="20"/>
        </w:rPr>
        <w:t xml:space="preserve"> </w:t>
      </w:r>
      <w:r w:rsidRPr="000977F7">
        <w:rPr>
          <w:color w:val="auto"/>
          <w:sz w:val="20"/>
          <w:szCs w:val="20"/>
        </w:rPr>
        <w:t>ПРОДУКЦІЇ</w:t>
      </w:r>
      <w:r w:rsidRPr="000977F7">
        <w:rPr>
          <w:color w:val="auto"/>
          <w:spacing w:val="-3"/>
          <w:sz w:val="20"/>
          <w:szCs w:val="20"/>
        </w:rPr>
        <w:t xml:space="preserve"> </w:t>
      </w:r>
      <w:r w:rsidRPr="000977F7">
        <w:rPr>
          <w:color w:val="auto"/>
          <w:sz w:val="20"/>
          <w:szCs w:val="20"/>
        </w:rPr>
        <w:t>–</w:t>
      </w:r>
    </w:p>
    <w:p w14:paraId="1E37CB88"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Відносна</w:t>
      </w:r>
      <w:r w:rsidRPr="000977F7">
        <w:rPr>
          <w:rFonts w:asciiTheme="majorHAnsi" w:hAnsiTheme="majorHAnsi"/>
          <w:spacing w:val="37"/>
          <w:sz w:val="20"/>
          <w:szCs w:val="20"/>
        </w:rPr>
        <w:t xml:space="preserve"> </w:t>
      </w:r>
      <w:r w:rsidRPr="000977F7">
        <w:rPr>
          <w:rFonts w:asciiTheme="majorHAnsi" w:hAnsiTheme="majorHAnsi"/>
          <w:sz w:val="20"/>
          <w:szCs w:val="20"/>
        </w:rPr>
        <w:t>характеристика</w:t>
      </w:r>
      <w:r w:rsidRPr="000977F7">
        <w:rPr>
          <w:rFonts w:asciiTheme="majorHAnsi" w:hAnsiTheme="majorHAnsi"/>
          <w:spacing w:val="37"/>
          <w:sz w:val="20"/>
          <w:szCs w:val="20"/>
        </w:rPr>
        <w:t xml:space="preserve"> </w:t>
      </w:r>
      <w:r w:rsidRPr="000977F7">
        <w:rPr>
          <w:rFonts w:asciiTheme="majorHAnsi" w:hAnsiTheme="majorHAnsi"/>
          <w:sz w:val="20"/>
          <w:szCs w:val="20"/>
        </w:rPr>
        <w:t>якості</w:t>
      </w:r>
      <w:r w:rsidRPr="000977F7">
        <w:rPr>
          <w:rFonts w:asciiTheme="majorHAnsi" w:hAnsiTheme="majorHAnsi"/>
          <w:spacing w:val="36"/>
          <w:sz w:val="20"/>
          <w:szCs w:val="20"/>
        </w:rPr>
        <w:t xml:space="preserve"> </w:t>
      </w:r>
      <w:r w:rsidRPr="000977F7">
        <w:rPr>
          <w:rFonts w:asciiTheme="majorHAnsi" w:hAnsiTheme="majorHAnsi"/>
          <w:sz w:val="20"/>
          <w:szCs w:val="20"/>
        </w:rPr>
        <w:t>продукції,</w:t>
      </w:r>
      <w:r w:rsidRPr="000977F7">
        <w:rPr>
          <w:rFonts w:asciiTheme="majorHAnsi" w:hAnsiTheme="majorHAnsi"/>
          <w:spacing w:val="37"/>
          <w:sz w:val="20"/>
          <w:szCs w:val="20"/>
        </w:rPr>
        <w:t xml:space="preserve"> </w:t>
      </w:r>
      <w:r w:rsidRPr="000977F7">
        <w:rPr>
          <w:rFonts w:asciiTheme="majorHAnsi" w:hAnsiTheme="majorHAnsi"/>
          <w:sz w:val="20"/>
          <w:szCs w:val="20"/>
        </w:rPr>
        <w:t>яка</w:t>
      </w:r>
      <w:r w:rsidRPr="000977F7">
        <w:rPr>
          <w:rFonts w:asciiTheme="majorHAnsi" w:hAnsiTheme="majorHAnsi"/>
          <w:spacing w:val="40"/>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26"/>
          <w:sz w:val="20"/>
          <w:szCs w:val="20"/>
        </w:rPr>
        <w:t xml:space="preserve"> </w:t>
      </w:r>
      <w:r w:rsidRPr="000977F7">
        <w:rPr>
          <w:rFonts w:asciiTheme="majorHAnsi" w:hAnsiTheme="majorHAnsi"/>
          <w:sz w:val="20"/>
          <w:szCs w:val="20"/>
        </w:rPr>
        <w:t>на</w:t>
      </w:r>
      <w:r w:rsidRPr="000977F7">
        <w:rPr>
          <w:rFonts w:asciiTheme="majorHAnsi" w:hAnsiTheme="majorHAnsi"/>
          <w:spacing w:val="28"/>
          <w:sz w:val="20"/>
          <w:szCs w:val="20"/>
        </w:rPr>
        <w:t xml:space="preserve"> </w:t>
      </w:r>
      <w:r w:rsidRPr="000977F7">
        <w:rPr>
          <w:rFonts w:asciiTheme="majorHAnsi" w:hAnsiTheme="majorHAnsi"/>
          <w:sz w:val="20"/>
          <w:szCs w:val="20"/>
        </w:rPr>
        <w:t>порівнянні</w:t>
      </w:r>
      <w:r w:rsidRPr="000977F7">
        <w:rPr>
          <w:rFonts w:asciiTheme="majorHAnsi" w:hAnsiTheme="majorHAnsi"/>
          <w:spacing w:val="28"/>
          <w:sz w:val="20"/>
          <w:szCs w:val="20"/>
        </w:rPr>
        <w:t xml:space="preserve"> </w:t>
      </w:r>
      <w:r w:rsidRPr="000977F7">
        <w:rPr>
          <w:rFonts w:asciiTheme="majorHAnsi" w:hAnsiTheme="majorHAnsi"/>
          <w:sz w:val="20"/>
          <w:szCs w:val="20"/>
        </w:rPr>
        <w:t>значень</w:t>
      </w:r>
      <w:r w:rsidRPr="000977F7">
        <w:rPr>
          <w:rFonts w:asciiTheme="majorHAnsi" w:hAnsiTheme="majorHAnsi"/>
          <w:spacing w:val="27"/>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28"/>
          <w:sz w:val="20"/>
          <w:szCs w:val="20"/>
        </w:rPr>
        <w:t xml:space="preserve"> </w:t>
      </w:r>
      <w:r w:rsidRPr="000977F7">
        <w:rPr>
          <w:rFonts w:asciiTheme="majorHAnsi" w:hAnsiTheme="majorHAnsi"/>
          <w:sz w:val="20"/>
          <w:szCs w:val="20"/>
        </w:rPr>
        <w:t>що</w:t>
      </w:r>
      <w:r w:rsidRPr="000977F7">
        <w:rPr>
          <w:rFonts w:asciiTheme="majorHAnsi" w:hAnsiTheme="majorHAnsi"/>
          <w:spacing w:val="29"/>
          <w:sz w:val="20"/>
          <w:szCs w:val="20"/>
        </w:rPr>
        <w:t xml:space="preserve"> </w:t>
      </w:r>
      <w:r w:rsidRPr="000977F7">
        <w:rPr>
          <w:rFonts w:asciiTheme="majorHAnsi" w:hAnsiTheme="majorHAnsi"/>
          <w:sz w:val="20"/>
          <w:szCs w:val="20"/>
        </w:rPr>
        <w:t>характеризують</w:t>
      </w:r>
      <w:r w:rsidRPr="000977F7">
        <w:rPr>
          <w:rFonts w:asciiTheme="majorHAnsi" w:hAnsiTheme="majorHAnsi"/>
          <w:spacing w:val="14"/>
          <w:sz w:val="20"/>
          <w:szCs w:val="20"/>
        </w:rPr>
        <w:t xml:space="preserve"> </w:t>
      </w:r>
      <w:r w:rsidRPr="000977F7">
        <w:rPr>
          <w:rFonts w:asciiTheme="majorHAnsi" w:hAnsiTheme="majorHAnsi"/>
          <w:sz w:val="20"/>
          <w:szCs w:val="20"/>
        </w:rPr>
        <w:t>технічну</w:t>
      </w:r>
      <w:r w:rsidRPr="000977F7">
        <w:rPr>
          <w:rFonts w:asciiTheme="majorHAnsi" w:hAnsiTheme="majorHAnsi"/>
          <w:spacing w:val="5"/>
          <w:sz w:val="20"/>
          <w:szCs w:val="20"/>
        </w:rPr>
        <w:t xml:space="preserve"> </w:t>
      </w:r>
      <w:r w:rsidRPr="000977F7">
        <w:rPr>
          <w:rFonts w:asciiTheme="majorHAnsi" w:hAnsiTheme="majorHAnsi"/>
          <w:sz w:val="20"/>
          <w:szCs w:val="20"/>
        </w:rPr>
        <w:t>досконалість</w:t>
      </w:r>
      <w:r w:rsidRPr="000977F7">
        <w:rPr>
          <w:rFonts w:asciiTheme="majorHAnsi" w:hAnsiTheme="majorHAnsi"/>
          <w:spacing w:val="6"/>
          <w:sz w:val="20"/>
          <w:szCs w:val="20"/>
        </w:rPr>
        <w:t xml:space="preserve"> </w:t>
      </w:r>
      <w:r w:rsidRPr="000977F7">
        <w:rPr>
          <w:rFonts w:asciiTheme="majorHAnsi" w:hAnsiTheme="majorHAnsi"/>
          <w:sz w:val="20"/>
          <w:szCs w:val="20"/>
        </w:rPr>
        <w:t>оцінюваної</w:t>
      </w:r>
      <w:r w:rsidRPr="000977F7">
        <w:rPr>
          <w:rFonts w:asciiTheme="majorHAnsi" w:hAnsiTheme="majorHAnsi"/>
          <w:spacing w:val="8"/>
          <w:sz w:val="20"/>
          <w:szCs w:val="20"/>
        </w:rPr>
        <w:t xml:space="preserve"> </w:t>
      </w:r>
      <w:r w:rsidRPr="000977F7">
        <w:rPr>
          <w:rFonts w:asciiTheme="majorHAnsi" w:hAnsiTheme="majorHAnsi"/>
          <w:sz w:val="20"/>
          <w:szCs w:val="20"/>
        </w:rPr>
        <w:t>продукції з базовими значеннями відповідних показників</w:t>
      </w:r>
      <w:r w:rsidRPr="000977F7">
        <w:rPr>
          <w:rFonts w:asciiTheme="majorHAnsi" w:hAnsiTheme="majorHAnsi"/>
          <w:spacing w:val="1"/>
          <w:sz w:val="20"/>
          <w:szCs w:val="20"/>
        </w:rPr>
        <w:t xml:space="preserve"> </w:t>
      </w:r>
    </w:p>
    <w:p w14:paraId="5D87DDB2"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2925</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 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050E5D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ТЕХНІЧНИЙ</w:t>
      </w:r>
      <w:r w:rsidRPr="000977F7">
        <w:rPr>
          <w:color w:val="auto"/>
          <w:spacing w:val="-3"/>
          <w:sz w:val="20"/>
          <w:szCs w:val="20"/>
        </w:rPr>
        <w:t xml:space="preserve"> </w:t>
      </w:r>
      <w:r w:rsidRPr="000977F7">
        <w:rPr>
          <w:color w:val="auto"/>
          <w:sz w:val="20"/>
          <w:szCs w:val="20"/>
        </w:rPr>
        <w:t>СТАН</w:t>
      </w:r>
      <w:r w:rsidRPr="000977F7">
        <w:rPr>
          <w:color w:val="auto"/>
          <w:spacing w:val="-3"/>
          <w:sz w:val="20"/>
          <w:szCs w:val="20"/>
        </w:rPr>
        <w:t xml:space="preserve"> </w:t>
      </w:r>
      <w:r w:rsidRPr="000977F7">
        <w:rPr>
          <w:color w:val="auto"/>
          <w:sz w:val="20"/>
          <w:szCs w:val="20"/>
        </w:rPr>
        <w:t>ОБ’ЄКТА</w:t>
      </w:r>
      <w:r w:rsidRPr="000977F7">
        <w:rPr>
          <w:color w:val="auto"/>
          <w:spacing w:val="-1"/>
          <w:sz w:val="20"/>
          <w:szCs w:val="20"/>
        </w:rPr>
        <w:t xml:space="preserve"> </w:t>
      </w:r>
      <w:r w:rsidRPr="000977F7">
        <w:rPr>
          <w:color w:val="auto"/>
          <w:sz w:val="20"/>
          <w:szCs w:val="20"/>
        </w:rPr>
        <w:t>–</w:t>
      </w:r>
    </w:p>
    <w:p w14:paraId="7A8DF2F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TECHNICAL</w:t>
      </w:r>
      <w:r w:rsidRPr="000977F7">
        <w:rPr>
          <w:rFonts w:asciiTheme="majorHAnsi" w:hAnsiTheme="majorHAnsi"/>
          <w:spacing w:val="-4"/>
          <w:sz w:val="20"/>
          <w:szCs w:val="20"/>
        </w:rPr>
        <w:t xml:space="preserve"> </w:t>
      </w:r>
      <w:r w:rsidRPr="000977F7">
        <w:rPr>
          <w:rFonts w:asciiTheme="majorHAnsi" w:hAnsiTheme="majorHAnsi"/>
          <w:sz w:val="20"/>
          <w:szCs w:val="20"/>
        </w:rPr>
        <w:t>STATE</w:t>
      </w:r>
      <w:r w:rsidRPr="000977F7">
        <w:rPr>
          <w:rFonts w:asciiTheme="majorHAnsi" w:hAnsiTheme="majorHAnsi"/>
          <w:spacing w:val="-1"/>
          <w:sz w:val="20"/>
          <w:szCs w:val="20"/>
        </w:rPr>
        <w:t xml:space="preserve"> </w:t>
      </w:r>
      <w:r w:rsidRPr="000977F7">
        <w:rPr>
          <w:rFonts w:asciiTheme="majorHAnsi" w:hAnsiTheme="majorHAnsi"/>
          <w:sz w:val="20"/>
          <w:szCs w:val="20"/>
        </w:rPr>
        <w:t>OF</w:t>
      </w:r>
      <w:r w:rsidRPr="000977F7">
        <w:rPr>
          <w:rFonts w:asciiTheme="majorHAnsi" w:hAnsiTheme="majorHAnsi"/>
          <w:spacing w:val="-2"/>
          <w:sz w:val="20"/>
          <w:szCs w:val="20"/>
        </w:rPr>
        <w:t xml:space="preserve"> </w:t>
      </w:r>
      <w:r w:rsidRPr="000977F7">
        <w:rPr>
          <w:rFonts w:asciiTheme="majorHAnsi" w:hAnsiTheme="majorHAnsi"/>
          <w:sz w:val="20"/>
          <w:szCs w:val="20"/>
        </w:rPr>
        <w:t>OBJECT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2AFF99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Стан, який характеризується в певний момент часу, за</w:t>
      </w:r>
      <w:r w:rsidRPr="000977F7">
        <w:rPr>
          <w:rFonts w:asciiTheme="majorHAnsi" w:hAnsiTheme="majorHAnsi"/>
          <w:spacing w:val="-47"/>
          <w:sz w:val="20"/>
          <w:szCs w:val="20"/>
        </w:rPr>
        <w:t xml:space="preserve"> </w:t>
      </w:r>
      <w:r w:rsidRPr="000977F7">
        <w:rPr>
          <w:rFonts w:asciiTheme="majorHAnsi" w:hAnsiTheme="majorHAnsi"/>
          <w:sz w:val="20"/>
          <w:szCs w:val="20"/>
        </w:rPr>
        <w:t>певних</w:t>
      </w:r>
      <w:r w:rsidRPr="000977F7">
        <w:rPr>
          <w:rFonts w:asciiTheme="majorHAnsi" w:hAnsiTheme="majorHAnsi"/>
          <w:spacing w:val="1"/>
          <w:sz w:val="20"/>
          <w:szCs w:val="20"/>
        </w:rPr>
        <w:t xml:space="preserve"> </w:t>
      </w:r>
      <w:r w:rsidRPr="000977F7">
        <w:rPr>
          <w:rFonts w:asciiTheme="majorHAnsi" w:hAnsiTheme="majorHAnsi"/>
          <w:sz w:val="20"/>
          <w:szCs w:val="20"/>
        </w:rPr>
        <w:t>умов</w:t>
      </w:r>
      <w:r w:rsidRPr="000977F7">
        <w:rPr>
          <w:rFonts w:asciiTheme="majorHAnsi" w:hAnsiTheme="majorHAnsi"/>
          <w:spacing w:val="1"/>
          <w:sz w:val="20"/>
          <w:szCs w:val="20"/>
        </w:rPr>
        <w:t xml:space="preserve"> </w:t>
      </w:r>
      <w:r w:rsidRPr="000977F7">
        <w:rPr>
          <w:rFonts w:asciiTheme="majorHAnsi" w:hAnsiTheme="majorHAnsi"/>
          <w:sz w:val="20"/>
          <w:szCs w:val="20"/>
        </w:rPr>
        <w:t>зовнішнього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значеннями</w:t>
      </w:r>
      <w:r w:rsidRPr="000977F7">
        <w:rPr>
          <w:rFonts w:asciiTheme="majorHAnsi" w:hAnsiTheme="majorHAnsi"/>
          <w:spacing w:val="1"/>
          <w:sz w:val="20"/>
          <w:szCs w:val="20"/>
        </w:rPr>
        <w:t xml:space="preserve"> </w:t>
      </w:r>
      <w:r w:rsidRPr="000977F7">
        <w:rPr>
          <w:rFonts w:asciiTheme="majorHAnsi" w:hAnsiTheme="majorHAnsi"/>
          <w:sz w:val="20"/>
          <w:szCs w:val="20"/>
        </w:rPr>
        <w:t>параметрів,</w:t>
      </w:r>
      <w:r w:rsidRPr="000977F7">
        <w:rPr>
          <w:rFonts w:asciiTheme="majorHAnsi" w:hAnsiTheme="majorHAnsi"/>
          <w:spacing w:val="1"/>
          <w:sz w:val="20"/>
          <w:szCs w:val="20"/>
        </w:rPr>
        <w:t xml:space="preserve"> </w:t>
      </w:r>
      <w:r w:rsidRPr="000977F7">
        <w:rPr>
          <w:rFonts w:asciiTheme="majorHAnsi" w:hAnsiTheme="majorHAnsi"/>
          <w:sz w:val="20"/>
          <w:szCs w:val="20"/>
        </w:rPr>
        <w:t>установлених</w:t>
      </w:r>
      <w:r w:rsidRPr="000977F7">
        <w:rPr>
          <w:rFonts w:asciiTheme="majorHAnsi" w:hAnsiTheme="majorHAnsi"/>
          <w:spacing w:val="1"/>
          <w:sz w:val="20"/>
          <w:szCs w:val="20"/>
        </w:rPr>
        <w:t xml:space="preserve"> </w:t>
      </w:r>
      <w:r w:rsidRPr="000977F7">
        <w:rPr>
          <w:rFonts w:asciiTheme="majorHAnsi" w:hAnsiTheme="majorHAnsi"/>
          <w:sz w:val="20"/>
          <w:szCs w:val="20"/>
        </w:rPr>
        <w:t>технічною</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документацією</w:t>
      </w:r>
      <w:r w:rsidRPr="000977F7">
        <w:rPr>
          <w:rFonts w:asciiTheme="majorHAnsi" w:hAnsiTheme="majorHAnsi"/>
          <w:spacing w:val="-47"/>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об’єкт</w:t>
      </w:r>
    </w:p>
    <w:p w14:paraId="24066D9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 </w:t>
      </w:r>
      <w:r w:rsidRPr="000977F7">
        <w:rPr>
          <w:rFonts w:asciiTheme="majorHAnsi" w:hAnsiTheme="majorHAnsi"/>
          <w:i/>
          <w:sz w:val="20"/>
          <w:szCs w:val="20"/>
        </w:rPr>
        <w:t>94</w:t>
      </w:r>
    </w:p>
    <w:p w14:paraId="25A831D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ТЕХНІЧНІ</w:t>
      </w:r>
      <w:r w:rsidRPr="000977F7">
        <w:rPr>
          <w:color w:val="auto"/>
          <w:spacing w:val="-5"/>
          <w:sz w:val="20"/>
          <w:szCs w:val="20"/>
        </w:rPr>
        <w:t xml:space="preserve"> </w:t>
      </w:r>
      <w:r w:rsidRPr="000977F7">
        <w:rPr>
          <w:color w:val="auto"/>
          <w:sz w:val="20"/>
          <w:szCs w:val="20"/>
        </w:rPr>
        <w:t>КОМІТЕТИ</w:t>
      </w:r>
      <w:r w:rsidRPr="000977F7">
        <w:rPr>
          <w:color w:val="auto"/>
          <w:spacing w:val="-2"/>
          <w:sz w:val="20"/>
          <w:szCs w:val="20"/>
        </w:rPr>
        <w:t xml:space="preserve"> </w:t>
      </w:r>
      <w:r w:rsidRPr="000977F7">
        <w:rPr>
          <w:color w:val="auto"/>
          <w:sz w:val="20"/>
          <w:szCs w:val="20"/>
        </w:rPr>
        <w:t>З</w:t>
      </w:r>
      <w:r w:rsidRPr="000977F7">
        <w:rPr>
          <w:color w:val="auto"/>
          <w:spacing w:val="-4"/>
          <w:sz w:val="20"/>
          <w:szCs w:val="20"/>
        </w:rPr>
        <w:t xml:space="preserve"> </w:t>
      </w:r>
      <w:r w:rsidRPr="000977F7">
        <w:rPr>
          <w:color w:val="auto"/>
          <w:sz w:val="20"/>
          <w:szCs w:val="20"/>
        </w:rPr>
        <w:t>АКРЕДИТАЦІЇ</w:t>
      </w:r>
      <w:r w:rsidRPr="000977F7">
        <w:rPr>
          <w:color w:val="auto"/>
          <w:spacing w:val="-1"/>
          <w:sz w:val="20"/>
          <w:szCs w:val="20"/>
        </w:rPr>
        <w:t xml:space="preserve"> </w:t>
      </w:r>
      <w:r w:rsidRPr="000977F7">
        <w:rPr>
          <w:color w:val="auto"/>
          <w:sz w:val="20"/>
          <w:szCs w:val="20"/>
        </w:rPr>
        <w:t>–</w:t>
      </w:r>
    </w:p>
    <w:p w14:paraId="408D177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Технічні комітети з акредитації створюються національним органом</w:t>
      </w:r>
      <w:r w:rsidRPr="000977F7">
        <w:rPr>
          <w:rFonts w:asciiTheme="majorHAnsi" w:hAnsiTheme="majorHAnsi"/>
          <w:spacing w:val="1"/>
          <w:sz w:val="20"/>
          <w:szCs w:val="20"/>
        </w:rPr>
        <w:t xml:space="preserve"> України </w:t>
      </w:r>
      <w:r w:rsidRPr="000977F7">
        <w:rPr>
          <w:rFonts w:asciiTheme="majorHAnsi" w:hAnsiTheme="majorHAnsi"/>
          <w:sz w:val="20"/>
          <w:szCs w:val="20"/>
        </w:rPr>
        <w:t>з акредитації</w:t>
      </w:r>
    </w:p>
    <w:p w14:paraId="7FC91A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Основними функціями технічних комітетів з акредитації</w:t>
      </w:r>
      <w:r w:rsidRPr="000977F7">
        <w:rPr>
          <w:rFonts w:asciiTheme="majorHAnsi" w:hAnsiTheme="majorHAnsi"/>
          <w:spacing w:val="-2"/>
          <w:sz w:val="20"/>
          <w:szCs w:val="20"/>
        </w:rPr>
        <w:t xml:space="preserve"> </w:t>
      </w:r>
      <w:r w:rsidRPr="000977F7">
        <w:rPr>
          <w:rFonts w:asciiTheme="majorHAnsi" w:hAnsiTheme="majorHAnsi"/>
          <w:sz w:val="20"/>
          <w:szCs w:val="20"/>
        </w:rPr>
        <w:t>є:</w:t>
      </w:r>
    </w:p>
    <w:p w14:paraId="60FA2471" w14:textId="77777777" w:rsidR="0097612F" w:rsidRPr="000977F7" w:rsidRDefault="0097612F" w:rsidP="00FD39A4">
      <w:pPr>
        <w:pStyle w:val="ac"/>
        <w:widowControl w:val="0"/>
        <w:numPr>
          <w:ilvl w:val="0"/>
          <w:numId w:val="75"/>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розроблення методичних рекомендацій з питань</w:t>
      </w:r>
      <w:r w:rsidRPr="000977F7">
        <w:rPr>
          <w:rFonts w:asciiTheme="majorHAnsi" w:hAnsiTheme="majorHAnsi"/>
          <w:spacing w:val="1"/>
          <w:sz w:val="20"/>
          <w:szCs w:val="20"/>
        </w:rPr>
        <w:t xml:space="preserve"> </w:t>
      </w:r>
      <w:r w:rsidRPr="000977F7">
        <w:rPr>
          <w:rFonts w:asciiTheme="majorHAnsi" w:hAnsiTheme="majorHAnsi"/>
          <w:sz w:val="20"/>
          <w:szCs w:val="20"/>
        </w:rPr>
        <w:t>акредитації;</w:t>
      </w:r>
    </w:p>
    <w:p w14:paraId="7754DF49" w14:textId="77777777" w:rsidR="0097612F" w:rsidRPr="000977F7" w:rsidRDefault="0097612F" w:rsidP="00FD39A4">
      <w:pPr>
        <w:pStyle w:val="ac"/>
        <w:widowControl w:val="0"/>
        <w:numPr>
          <w:ilvl w:val="0"/>
          <w:numId w:val="75"/>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визначення додаткових вимог щодо акредитації у</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відповідних сферах і подання пропозицій національному</w:t>
      </w:r>
      <w:r w:rsidRPr="000977F7">
        <w:rPr>
          <w:rFonts w:asciiTheme="majorHAnsi" w:hAnsiTheme="majorHAnsi"/>
          <w:spacing w:val="-5"/>
          <w:sz w:val="20"/>
          <w:szCs w:val="20"/>
        </w:rPr>
        <w:t xml:space="preserve"> </w:t>
      </w:r>
      <w:r w:rsidRPr="000977F7">
        <w:rPr>
          <w:rFonts w:asciiTheme="majorHAnsi" w:hAnsiTheme="majorHAnsi"/>
          <w:sz w:val="20"/>
          <w:szCs w:val="20"/>
        </w:rPr>
        <w:t>органу</w:t>
      </w:r>
      <w:r w:rsidRPr="000977F7">
        <w:rPr>
          <w:rFonts w:asciiTheme="majorHAnsi" w:hAnsiTheme="majorHAnsi"/>
          <w:spacing w:val="-3"/>
          <w:sz w:val="20"/>
          <w:szCs w:val="20"/>
        </w:rPr>
        <w:t xml:space="preserve"> </w:t>
      </w:r>
      <w:r w:rsidRPr="000977F7">
        <w:rPr>
          <w:rFonts w:asciiTheme="majorHAnsi" w:hAnsiTheme="majorHAnsi"/>
          <w:sz w:val="20"/>
          <w:szCs w:val="20"/>
        </w:rPr>
        <w:t>України</w:t>
      </w:r>
      <w:r w:rsidRPr="000977F7">
        <w:rPr>
          <w:rFonts w:asciiTheme="majorHAnsi" w:hAnsiTheme="majorHAnsi"/>
          <w:spacing w:val="-1"/>
          <w:sz w:val="20"/>
          <w:szCs w:val="20"/>
        </w:rPr>
        <w:t xml:space="preserve"> </w:t>
      </w:r>
      <w:r w:rsidRPr="000977F7">
        <w:rPr>
          <w:rFonts w:asciiTheme="majorHAnsi" w:hAnsiTheme="majorHAnsi"/>
          <w:sz w:val="20"/>
          <w:szCs w:val="20"/>
        </w:rPr>
        <w:t>з акредитації.</w:t>
      </w:r>
    </w:p>
    <w:p w14:paraId="0E06E4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Положення про технічні комітети затверджує національний</w:t>
      </w:r>
      <w:r w:rsidRPr="000977F7">
        <w:rPr>
          <w:rFonts w:asciiTheme="majorHAnsi" w:hAnsiTheme="majorHAnsi"/>
          <w:spacing w:val="-2"/>
          <w:sz w:val="20"/>
          <w:szCs w:val="20"/>
        </w:rPr>
        <w:t xml:space="preserve"> </w:t>
      </w:r>
      <w:r w:rsidRPr="000977F7">
        <w:rPr>
          <w:rFonts w:asciiTheme="majorHAnsi" w:hAnsiTheme="majorHAnsi"/>
          <w:sz w:val="20"/>
          <w:szCs w:val="20"/>
        </w:rPr>
        <w:t>орган</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r w:rsidRPr="000977F7">
        <w:rPr>
          <w:rFonts w:asciiTheme="majorHAnsi" w:hAnsiTheme="majorHAnsi"/>
          <w:spacing w:val="-2"/>
          <w:sz w:val="20"/>
          <w:szCs w:val="20"/>
        </w:rPr>
        <w:t xml:space="preserve"> </w:t>
      </w:r>
      <w:r w:rsidRPr="000977F7">
        <w:rPr>
          <w:rFonts w:asciiTheme="majorHAnsi" w:hAnsiTheme="majorHAnsi"/>
          <w:sz w:val="20"/>
          <w:szCs w:val="20"/>
        </w:rPr>
        <w:t>з акредитації.</w:t>
      </w:r>
    </w:p>
    <w:p w14:paraId="39738C8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w:t>
      </w:r>
      <w:r w:rsidRPr="000977F7">
        <w:rPr>
          <w:rFonts w:asciiTheme="majorHAnsi" w:hAnsiTheme="majorHAnsi"/>
          <w:i/>
          <w:spacing w:val="-6"/>
          <w:sz w:val="20"/>
          <w:szCs w:val="20"/>
        </w:rPr>
        <w:t xml:space="preserve"> </w:t>
      </w:r>
      <w:r w:rsidRPr="000977F7">
        <w:rPr>
          <w:rFonts w:asciiTheme="majorHAnsi" w:hAnsiTheme="majorHAnsi"/>
          <w:i/>
          <w:sz w:val="20"/>
          <w:szCs w:val="20"/>
        </w:rPr>
        <w:t>8</w:t>
      </w:r>
      <w:r w:rsidRPr="000977F7">
        <w:rPr>
          <w:rFonts w:asciiTheme="majorHAnsi" w:hAnsiTheme="majorHAnsi"/>
          <w:i/>
          <w:spacing w:val="-5"/>
          <w:sz w:val="20"/>
          <w:szCs w:val="20"/>
        </w:rPr>
        <w:t xml:space="preserve"> </w:t>
      </w:r>
      <w:r w:rsidRPr="000977F7">
        <w:rPr>
          <w:rFonts w:asciiTheme="majorHAnsi" w:hAnsiTheme="majorHAnsi"/>
          <w:i/>
          <w:sz w:val="20"/>
          <w:szCs w:val="20"/>
        </w:rPr>
        <w:t>закону</w:t>
      </w:r>
      <w:r w:rsidRPr="000977F7">
        <w:rPr>
          <w:rFonts w:asciiTheme="majorHAnsi" w:hAnsiTheme="majorHAnsi"/>
          <w:i/>
          <w:spacing w:val="-5"/>
          <w:sz w:val="20"/>
          <w:szCs w:val="20"/>
        </w:rPr>
        <w:t xml:space="preserve"> </w:t>
      </w:r>
      <w:r w:rsidRPr="000977F7">
        <w:rPr>
          <w:rFonts w:asciiTheme="majorHAnsi" w:hAnsiTheme="majorHAnsi"/>
          <w:i/>
          <w:sz w:val="20"/>
          <w:szCs w:val="20"/>
        </w:rPr>
        <w:t>України "Про</w:t>
      </w:r>
      <w:r w:rsidRPr="000977F7">
        <w:rPr>
          <w:rFonts w:asciiTheme="majorHAnsi" w:hAnsiTheme="majorHAnsi"/>
          <w:i/>
          <w:spacing w:val="-5"/>
          <w:sz w:val="20"/>
          <w:szCs w:val="20"/>
        </w:rPr>
        <w:t xml:space="preserve"> </w:t>
      </w:r>
      <w:r w:rsidRPr="000977F7">
        <w:rPr>
          <w:rFonts w:asciiTheme="majorHAnsi" w:hAnsiTheme="majorHAnsi"/>
          <w:i/>
          <w:sz w:val="20"/>
          <w:szCs w:val="20"/>
        </w:rPr>
        <w:t>акредитацію</w:t>
      </w:r>
      <w:r w:rsidRPr="000977F7">
        <w:rPr>
          <w:rFonts w:asciiTheme="majorHAnsi" w:hAnsiTheme="majorHAnsi"/>
          <w:i/>
          <w:spacing w:val="-7"/>
          <w:sz w:val="20"/>
          <w:szCs w:val="20"/>
        </w:rPr>
        <w:t xml:space="preserve"> </w:t>
      </w:r>
      <w:r w:rsidRPr="000977F7">
        <w:rPr>
          <w:rFonts w:asciiTheme="majorHAnsi" w:hAnsiTheme="majorHAnsi"/>
          <w:i/>
          <w:sz w:val="20"/>
          <w:szCs w:val="20"/>
        </w:rPr>
        <w:t>органів</w:t>
      </w:r>
      <w:r w:rsidRPr="000977F7">
        <w:rPr>
          <w:rFonts w:asciiTheme="majorHAnsi" w:hAnsiTheme="majorHAnsi"/>
          <w:i/>
          <w:spacing w:val="-6"/>
          <w:sz w:val="20"/>
          <w:szCs w:val="20"/>
        </w:rPr>
        <w:t xml:space="preserve"> </w:t>
      </w:r>
      <w:r w:rsidRPr="000977F7">
        <w:rPr>
          <w:rFonts w:asciiTheme="majorHAnsi" w:hAnsiTheme="majorHAnsi"/>
          <w:i/>
          <w:sz w:val="20"/>
          <w:szCs w:val="20"/>
        </w:rPr>
        <w:t>з</w:t>
      </w:r>
      <w:r w:rsidRPr="000977F7">
        <w:rPr>
          <w:rFonts w:asciiTheme="majorHAnsi" w:hAnsiTheme="majorHAnsi"/>
          <w:i/>
          <w:spacing w:val="-7"/>
          <w:sz w:val="20"/>
          <w:szCs w:val="20"/>
        </w:rPr>
        <w:t xml:space="preserve"> </w:t>
      </w:r>
      <w:r w:rsidRPr="000977F7">
        <w:rPr>
          <w:rFonts w:asciiTheme="majorHAnsi" w:hAnsiTheme="majorHAnsi"/>
          <w:i/>
          <w:sz w:val="20"/>
          <w:szCs w:val="20"/>
        </w:rPr>
        <w:t>оцін</w:t>
      </w:r>
      <w:r w:rsidRPr="000977F7">
        <w:rPr>
          <w:rFonts w:asciiTheme="majorHAnsi" w:hAnsiTheme="majorHAnsi"/>
          <w:i/>
          <w:w w:val="105"/>
          <w:sz w:val="20"/>
          <w:szCs w:val="20"/>
        </w:rPr>
        <w:t>ки</w:t>
      </w:r>
      <w:r w:rsidRPr="000977F7">
        <w:rPr>
          <w:rFonts w:asciiTheme="majorHAnsi" w:hAnsiTheme="majorHAnsi"/>
          <w:i/>
          <w:spacing w:val="-2"/>
          <w:w w:val="105"/>
          <w:sz w:val="20"/>
          <w:szCs w:val="20"/>
        </w:rPr>
        <w:t xml:space="preserve"> </w:t>
      </w:r>
      <w:r w:rsidRPr="000977F7">
        <w:rPr>
          <w:rFonts w:asciiTheme="majorHAnsi" w:hAnsiTheme="majorHAnsi"/>
          <w:i/>
          <w:w w:val="105"/>
          <w:sz w:val="20"/>
          <w:szCs w:val="20"/>
        </w:rPr>
        <w:t>відповідності"</w:t>
      </w:r>
    </w:p>
    <w:p w14:paraId="20E3724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ТЕХНІЧНІ</w:t>
      </w:r>
      <w:r w:rsidRPr="000977F7">
        <w:rPr>
          <w:color w:val="auto"/>
          <w:spacing w:val="-5"/>
          <w:sz w:val="20"/>
          <w:szCs w:val="20"/>
        </w:rPr>
        <w:t xml:space="preserve"> </w:t>
      </w:r>
      <w:r w:rsidRPr="000977F7">
        <w:rPr>
          <w:color w:val="auto"/>
          <w:sz w:val="20"/>
          <w:szCs w:val="20"/>
        </w:rPr>
        <w:t>КОМІТЕТИ</w:t>
      </w:r>
      <w:r w:rsidRPr="000977F7">
        <w:rPr>
          <w:color w:val="auto"/>
          <w:spacing w:val="-2"/>
          <w:sz w:val="20"/>
          <w:szCs w:val="20"/>
        </w:rPr>
        <w:t xml:space="preserve"> </w:t>
      </w:r>
      <w:r w:rsidRPr="000977F7">
        <w:rPr>
          <w:color w:val="auto"/>
          <w:sz w:val="20"/>
          <w:szCs w:val="20"/>
        </w:rPr>
        <w:t>СТАНДАРТИЗАЦІЇ</w:t>
      </w:r>
      <w:r w:rsidRPr="000977F7">
        <w:rPr>
          <w:color w:val="auto"/>
          <w:spacing w:val="-4"/>
          <w:sz w:val="20"/>
          <w:szCs w:val="20"/>
        </w:rPr>
        <w:t xml:space="preserve"> </w:t>
      </w:r>
      <w:r w:rsidRPr="000977F7">
        <w:rPr>
          <w:color w:val="auto"/>
          <w:sz w:val="20"/>
          <w:szCs w:val="20"/>
        </w:rPr>
        <w:t>–</w:t>
      </w:r>
    </w:p>
    <w:p w14:paraId="50A4206D" w14:textId="77777777" w:rsidR="0097612F" w:rsidRPr="004D2D14" w:rsidRDefault="0097612F" w:rsidP="00FD39A4">
      <w:pPr>
        <w:pStyle w:val="ac"/>
        <w:widowControl w:val="0"/>
        <w:numPr>
          <w:ilvl w:val="1"/>
          <w:numId w:val="76"/>
        </w:numPr>
        <w:tabs>
          <w:tab w:val="left" w:pos="284"/>
          <w:tab w:val="left" w:pos="666"/>
        </w:tabs>
        <w:autoSpaceDE w:val="0"/>
        <w:autoSpaceDN w:val="0"/>
        <w:spacing w:after="0" w:line="240" w:lineRule="auto"/>
        <w:ind w:left="170" w:firstLine="0"/>
        <w:contextualSpacing w:val="0"/>
        <w:mirrorIndents/>
        <w:jc w:val="both"/>
        <w:rPr>
          <w:rFonts w:asciiTheme="majorHAnsi" w:hAnsiTheme="majorHAnsi"/>
          <w:sz w:val="20"/>
          <w:szCs w:val="20"/>
          <w:lang w:val="uk-UA"/>
        </w:rPr>
      </w:pPr>
      <w:r w:rsidRPr="004D2D14">
        <w:rPr>
          <w:rFonts w:asciiTheme="majorHAnsi" w:hAnsiTheme="majorHAnsi"/>
          <w:sz w:val="20"/>
          <w:szCs w:val="20"/>
          <w:lang w:val="uk-UA"/>
        </w:rPr>
        <w:t>Технічним комітетом стандартизації є форма співробітництва заінтересованих юридичних та фізичних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осіб з метою організації і виконання робіт з міжнародної, регіональної, національної стандартизації у визначених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сферах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діяльності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закріпленими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об’єктами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стандартизації.</w:t>
      </w:r>
    </w:p>
    <w:p w14:paraId="437CE17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Технічні</w:t>
      </w:r>
      <w:r w:rsidRPr="000977F7">
        <w:rPr>
          <w:rFonts w:asciiTheme="majorHAnsi" w:hAnsiTheme="majorHAnsi"/>
          <w:spacing w:val="1"/>
          <w:sz w:val="20"/>
          <w:szCs w:val="20"/>
        </w:rPr>
        <w:t xml:space="preserve"> </w:t>
      </w:r>
      <w:r w:rsidRPr="000977F7">
        <w:rPr>
          <w:rFonts w:asciiTheme="majorHAnsi" w:hAnsiTheme="majorHAnsi"/>
          <w:sz w:val="20"/>
          <w:szCs w:val="20"/>
        </w:rPr>
        <w:t>комітети</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мають</w:t>
      </w:r>
      <w:r w:rsidRPr="000977F7">
        <w:rPr>
          <w:rFonts w:asciiTheme="majorHAnsi" w:hAnsiTheme="majorHAnsi"/>
          <w:spacing w:val="1"/>
          <w:sz w:val="20"/>
          <w:szCs w:val="20"/>
        </w:rPr>
        <w:t xml:space="preserve"> </w:t>
      </w:r>
      <w:r w:rsidRPr="000977F7">
        <w:rPr>
          <w:rFonts w:asciiTheme="majorHAnsi" w:hAnsiTheme="majorHAnsi"/>
          <w:sz w:val="20"/>
          <w:szCs w:val="20"/>
        </w:rPr>
        <w:t>статусу</w:t>
      </w:r>
      <w:r w:rsidRPr="000977F7">
        <w:rPr>
          <w:rFonts w:asciiTheme="majorHAnsi" w:hAnsiTheme="majorHAnsi"/>
          <w:spacing w:val="-47"/>
          <w:sz w:val="20"/>
          <w:szCs w:val="20"/>
        </w:rPr>
        <w:t xml:space="preserve"> </w:t>
      </w:r>
      <w:r w:rsidRPr="000977F7">
        <w:rPr>
          <w:rFonts w:asciiTheme="majorHAnsi" w:hAnsiTheme="majorHAnsi"/>
          <w:sz w:val="20"/>
          <w:szCs w:val="20"/>
        </w:rPr>
        <w:t>юридичної</w:t>
      </w:r>
      <w:r w:rsidRPr="000977F7">
        <w:rPr>
          <w:rFonts w:asciiTheme="majorHAnsi" w:hAnsiTheme="majorHAnsi"/>
          <w:spacing w:val="-2"/>
          <w:sz w:val="20"/>
          <w:szCs w:val="20"/>
        </w:rPr>
        <w:t xml:space="preserve"> </w:t>
      </w:r>
      <w:r w:rsidRPr="000977F7">
        <w:rPr>
          <w:rFonts w:asciiTheme="majorHAnsi" w:hAnsiTheme="majorHAnsi"/>
          <w:sz w:val="20"/>
          <w:szCs w:val="20"/>
        </w:rPr>
        <w:t>особи.</w:t>
      </w:r>
    </w:p>
    <w:p w14:paraId="28E38E32" w14:textId="77777777" w:rsidR="0097612F" w:rsidRPr="000977F7" w:rsidRDefault="0097612F" w:rsidP="00FD39A4">
      <w:pPr>
        <w:pStyle w:val="ac"/>
        <w:widowControl w:val="0"/>
        <w:numPr>
          <w:ilvl w:val="1"/>
          <w:numId w:val="76"/>
        </w:numPr>
        <w:tabs>
          <w:tab w:val="left" w:pos="284"/>
          <w:tab w:val="left" w:pos="74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технічних</w:t>
      </w:r>
      <w:r w:rsidRPr="000977F7">
        <w:rPr>
          <w:rFonts w:asciiTheme="majorHAnsi" w:hAnsiTheme="majorHAnsi"/>
          <w:spacing w:val="1"/>
          <w:sz w:val="20"/>
          <w:szCs w:val="20"/>
        </w:rPr>
        <w:t xml:space="preserve"> </w:t>
      </w:r>
      <w:r w:rsidRPr="000977F7">
        <w:rPr>
          <w:rFonts w:asciiTheme="majorHAnsi" w:hAnsiTheme="majorHAnsi"/>
          <w:sz w:val="20"/>
          <w:szCs w:val="20"/>
        </w:rPr>
        <w:t>комітетах</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47"/>
          <w:sz w:val="20"/>
          <w:szCs w:val="20"/>
        </w:rPr>
        <w:t xml:space="preserve"> </w:t>
      </w:r>
      <w:r w:rsidRPr="000977F7">
        <w:rPr>
          <w:rFonts w:asciiTheme="majorHAnsi" w:hAnsiTheme="majorHAnsi"/>
          <w:sz w:val="20"/>
          <w:szCs w:val="20"/>
        </w:rPr>
        <w:t>залучаються уповноважені представники органів виконавчої</w:t>
      </w:r>
      <w:r w:rsidRPr="000977F7">
        <w:rPr>
          <w:rFonts w:asciiTheme="majorHAnsi" w:hAnsiTheme="majorHAnsi"/>
          <w:spacing w:val="1"/>
          <w:sz w:val="20"/>
          <w:szCs w:val="20"/>
        </w:rPr>
        <w:t xml:space="preserve"> </w:t>
      </w:r>
      <w:r w:rsidRPr="000977F7">
        <w:rPr>
          <w:rFonts w:asciiTheme="majorHAnsi" w:hAnsiTheme="majorHAnsi"/>
          <w:sz w:val="20"/>
          <w:szCs w:val="20"/>
        </w:rPr>
        <w:t>влади,</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державних</w:t>
      </w:r>
      <w:r w:rsidRPr="000977F7">
        <w:rPr>
          <w:rFonts w:asciiTheme="majorHAnsi" w:hAnsiTheme="majorHAnsi"/>
          <w:spacing w:val="1"/>
          <w:sz w:val="20"/>
          <w:szCs w:val="20"/>
        </w:rPr>
        <w:t xml:space="preserve"> </w:t>
      </w:r>
      <w:r w:rsidRPr="000977F7">
        <w:rPr>
          <w:rFonts w:asciiTheme="majorHAnsi" w:hAnsiTheme="majorHAnsi"/>
          <w:sz w:val="20"/>
          <w:szCs w:val="20"/>
        </w:rPr>
        <w:t>органів,</w:t>
      </w:r>
      <w:r w:rsidRPr="000977F7">
        <w:rPr>
          <w:rFonts w:asciiTheme="majorHAnsi" w:hAnsiTheme="majorHAnsi"/>
          <w:spacing w:val="1"/>
          <w:sz w:val="20"/>
          <w:szCs w:val="20"/>
        </w:rPr>
        <w:t xml:space="preserve"> </w:t>
      </w:r>
      <w:r w:rsidRPr="000977F7">
        <w:rPr>
          <w:rFonts w:asciiTheme="majorHAnsi" w:hAnsiTheme="majorHAnsi"/>
          <w:sz w:val="20"/>
          <w:szCs w:val="20"/>
        </w:rPr>
        <w:t>органів</w:t>
      </w:r>
      <w:r w:rsidRPr="000977F7">
        <w:rPr>
          <w:rFonts w:asciiTheme="majorHAnsi" w:hAnsiTheme="majorHAnsi"/>
          <w:spacing w:val="1"/>
          <w:sz w:val="20"/>
          <w:szCs w:val="20"/>
        </w:rPr>
        <w:t xml:space="preserve"> </w:t>
      </w:r>
      <w:r w:rsidRPr="000977F7">
        <w:rPr>
          <w:rFonts w:asciiTheme="majorHAnsi" w:hAnsiTheme="majorHAnsi"/>
          <w:sz w:val="20"/>
          <w:szCs w:val="20"/>
        </w:rPr>
        <w:t>місцевого самоврядування, суб’єктів господарювання</w:t>
      </w:r>
      <w:r w:rsidRPr="000977F7">
        <w:rPr>
          <w:rFonts w:asciiTheme="majorHAnsi" w:hAnsiTheme="majorHAnsi"/>
          <w:spacing w:val="1"/>
          <w:sz w:val="20"/>
          <w:szCs w:val="20"/>
        </w:rPr>
        <w:t xml:space="preserve"> </w:t>
      </w:r>
      <w:r w:rsidRPr="000977F7">
        <w:rPr>
          <w:rFonts w:asciiTheme="majorHAnsi" w:hAnsiTheme="majorHAnsi"/>
          <w:sz w:val="20"/>
          <w:szCs w:val="20"/>
        </w:rPr>
        <w:t>та їх громадських об’єднань, організацій роботодавців</w:t>
      </w:r>
      <w:r w:rsidRPr="000977F7">
        <w:rPr>
          <w:rFonts w:asciiTheme="majorHAnsi" w:hAnsiTheme="majorHAnsi"/>
          <w:spacing w:val="-47"/>
          <w:sz w:val="20"/>
          <w:szCs w:val="20"/>
        </w:rPr>
        <w:t xml:space="preserve"> </w:t>
      </w:r>
      <w:r w:rsidRPr="000977F7">
        <w:rPr>
          <w:rFonts w:asciiTheme="majorHAnsi" w:hAnsiTheme="majorHAnsi"/>
          <w:sz w:val="20"/>
          <w:szCs w:val="20"/>
        </w:rPr>
        <w:t>та їх об’єднань, наукових установ та навчальних закладів,</w:t>
      </w:r>
      <w:r w:rsidRPr="000977F7">
        <w:rPr>
          <w:rFonts w:asciiTheme="majorHAnsi" w:hAnsiTheme="majorHAnsi"/>
          <w:spacing w:val="1"/>
          <w:sz w:val="20"/>
          <w:szCs w:val="20"/>
        </w:rPr>
        <w:t xml:space="preserve"> </w:t>
      </w:r>
      <w:r w:rsidRPr="000977F7">
        <w:rPr>
          <w:rFonts w:asciiTheme="majorHAnsi" w:hAnsiTheme="majorHAnsi"/>
          <w:sz w:val="20"/>
          <w:szCs w:val="20"/>
        </w:rPr>
        <w:t>науково-технічних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інженерних</w:t>
      </w:r>
      <w:r w:rsidRPr="000977F7">
        <w:rPr>
          <w:rFonts w:asciiTheme="majorHAnsi" w:hAnsiTheme="majorHAnsi"/>
          <w:spacing w:val="1"/>
          <w:sz w:val="20"/>
          <w:szCs w:val="20"/>
        </w:rPr>
        <w:t xml:space="preserve"> </w:t>
      </w:r>
      <w:r w:rsidRPr="000977F7">
        <w:rPr>
          <w:rFonts w:asciiTheme="majorHAnsi" w:hAnsiTheme="majorHAnsi"/>
          <w:sz w:val="20"/>
          <w:szCs w:val="20"/>
        </w:rPr>
        <w:t>товариств</w:t>
      </w:r>
      <w:r w:rsidRPr="000977F7">
        <w:rPr>
          <w:rFonts w:asciiTheme="majorHAnsi" w:hAnsiTheme="majorHAnsi"/>
          <w:spacing w:val="1"/>
          <w:sz w:val="20"/>
          <w:szCs w:val="20"/>
        </w:rPr>
        <w:t xml:space="preserve"> </w:t>
      </w:r>
      <w:r w:rsidRPr="000977F7">
        <w:rPr>
          <w:rFonts w:asciiTheme="majorHAnsi" w:hAnsiTheme="majorHAnsi"/>
          <w:sz w:val="20"/>
          <w:szCs w:val="20"/>
        </w:rPr>
        <w:t>(спілок),</w:t>
      </w:r>
      <w:r w:rsidRPr="000977F7">
        <w:rPr>
          <w:rFonts w:asciiTheme="majorHAnsi" w:hAnsiTheme="majorHAnsi"/>
          <w:spacing w:val="1"/>
          <w:sz w:val="20"/>
          <w:szCs w:val="20"/>
        </w:rPr>
        <w:t xml:space="preserve"> </w:t>
      </w:r>
      <w:r w:rsidRPr="000977F7">
        <w:rPr>
          <w:rFonts w:asciiTheme="majorHAnsi" w:hAnsiTheme="majorHAnsi"/>
          <w:sz w:val="20"/>
          <w:szCs w:val="20"/>
        </w:rPr>
        <w:t>громадських</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організацій</w:t>
      </w:r>
      <w:r w:rsidRPr="000977F7">
        <w:rPr>
          <w:rFonts w:asciiTheme="majorHAnsi" w:hAnsiTheme="majorHAnsi"/>
          <w:spacing w:val="1"/>
          <w:sz w:val="20"/>
          <w:szCs w:val="20"/>
        </w:rPr>
        <w:t xml:space="preserve"> </w:t>
      </w:r>
      <w:r w:rsidRPr="000977F7">
        <w:rPr>
          <w:rFonts w:asciiTheme="majorHAnsi" w:hAnsiTheme="majorHAnsi"/>
          <w:sz w:val="20"/>
          <w:szCs w:val="20"/>
        </w:rPr>
        <w:t>споживачів</w:t>
      </w:r>
      <w:r w:rsidRPr="000977F7">
        <w:rPr>
          <w:rFonts w:asciiTheme="majorHAnsi" w:hAnsiTheme="majorHAnsi"/>
          <w:spacing w:val="-47"/>
          <w:sz w:val="20"/>
          <w:szCs w:val="20"/>
        </w:rPr>
        <w:t xml:space="preserve"> </w:t>
      </w:r>
      <w:r w:rsidRPr="000977F7">
        <w:rPr>
          <w:rFonts w:asciiTheme="majorHAnsi" w:hAnsiTheme="majorHAnsi"/>
          <w:sz w:val="20"/>
          <w:szCs w:val="20"/>
        </w:rPr>
        <w:t>(об’єднань</w:t>
      </w:r>
      <w:r w:rsidRPr="000977F7">
        <w:rPr>
          <w:rFonts w:asciiTheme="majorHAnsi" w:hAnsiTheme="majorHAnsi"/>
          <w:spacing w:val="1"/>
          <w:sz w:val="20"/>
          <w:szCs w:val="20"/>
        </w:rPr>
        <w:t xml:space="preserve"> </w:t>
      </w:r>
      <w:r w:rsidRPr="000977F7">
        <w:rPr>
          <w:rFonts w:asciiTheme="majorHAnsi" w:hAnsiTheme="majorHAnsi"/>
          <w:sz w:val="20"/>
          <w:szCs w:val="20"/>
        </w:rPr>
        <w:t>споживачів),</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51"/>
          <w:sz w:val="20"/>
          <w:szCs w:val="20"/>
        </w:rPr>
        <w:t xml:space="preserve"> </w:t>
      </w:r>
      <w:r w:rsidRPr="000977F7">
        <w:rPr>
          <w:rFonts w:asciiTheme="majorHAnsi" w:hAnsiTheme="majorHAnsi"/>
          <w:sz w:val="20"/>
          <w:szCs w:val="20"/>
        </w:rPr>
        <w:t>громадських</w:t>
      </w:r>
      <w:r w:rsidRPr="000977F7">
        <w:rPr>
          <w:rFonts w:asciiTheme="majorHAnsi" w:hAnsiTheme="majorHAnsi"/>
          <w:spacing w:val="1"/>
          <w:sz w:val="20"/>
          <w:szCs w:val="20"/>
        </w:rPr>
        <w:t xml:space="preserve"> </w:t>
      </w:r>
      <w:r w:rsidRPr="000977F7">
        <w:rPr>
          <w:rFonts w:asciiTheme="majorHAnsi" w:hAnsiTheme="majorHAnsi"/>
          <w:sz w:val="20"/>
          <w:szCs w:val="20"/>
        </w:rPr>
        <w:t>об’єднань, професійних спілок, провідних науковців і</w:t>
      </w:r>
      <w:r w:rsidRPr="000977F7">
        <w:rPr>
          <w:rFonts w:asciiTheme="majorHAnsi" w:hAnsiTheme="majorHAnsi"/>
          <w:spacing w:val="1"/>
          <w:sz w:val="20"/>
          <w:szCs w:val="20"/>
        </w:rPr>
        <w:t xml:space="preserve"> </w:t>
      </w:r>
      <w:r w:rsidRPr="000977F7">
        <w:rPr>
          <w:rFonts w:asciiTheme="majorHAnsi" w:hAnsiTheme="majorHAnsi"/>
          <w:sz w:val="20"/>
          <w:szCs w:val="20"/>
        </w:rPr>
        <w:t>фахівців.</w:t>
      </w:r>
    </w:p>
    <w:p w14:paraId="3CD2CB7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Технічні комітети стандартизації формуються з урахуванням принципу представництва всіх заінтересованих</w:t>
      </w:r>
      <w:r w:rsidRPr="000977F7">
        <w:rPr>
          <w:rFonts w:asciiTheme="majorHAnsi" w:hAnsiTheme="majorHAnsi"/>
          <w:spacing w:val="-2"/>
          <w:sz w:val="20"/>
          <w:szCs w:val="20"/>
        </w:rPr>
        <w:t xml:space="preserve"> </w:t>
      </w:r>
      <w:r w:rsidRPr="000977F7">
        <w:rPr>
          <w:rFonts w:asciiTheme="majorHAnsi" w:hAnsiTheme="majorHAnsi"/>
          <w:sz w:val="20"/>
          <w:szCs w:val="20"/>
        </w:rPr>
        <w:t>сторін.</w:t>
      </w:r>
    </w:p>
    <w:p w14:paraId="7DD449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Членство в технічних комітетах стандартизації є добровільним.</w:t>
      </w:r>
    </w:p>
    <w:p w14:paraId="541A7910" w14:textId="77777777" w:rsidR="0097612F" w:rsidRPr="000977F7" w:rsidRDefault="0097612F" w:rsidP="00FD39A4">
      <w:pPr>
        <w:pStyle w:val="ac"/>
        <w:widowControl w:val="0"/>
        <w:numPr>
          <w:ilvl w:val="1"/>
          <w:numId w:val="76"/>
        </w:numPr>
        <w:tabs>
          <w:tab w:val="left" w:pos="284"/>
          <w:tab w:val="left" w:pos="71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 повноважень технічних комітетів стандартизації</w:t>
      </w:r>
      <w:r w:rsidRPr="000977F7">
        <w:rPr>
          <w:rFonts w:asciiTheme="majorHAnsi" w:hAnsiTheme="majorHAnsi"/>
          <w:spacing w:val="-2"/>
          <w:sz w:val="20"/>
          <w:szCs w:val="20"/>
        </w:rPr>
        <w:t xml:space="preserve"> </w:t>
      </w:r>
      <w:r w:rsidRPr="000977F7">
        <w:rPr>
          <w:rFonts w:asciiTheme="majorHAnsi" w:hAnsiTheme="majorHAnsi"/>
          <w:sz w:val="20"/>
          <w:szCs w:val="20"/>
        </w:rPr>
        <w:t>належить:</w:t>
      </w:r>
    </w:p>
    <w:p w14:paraId="16A33C26" w14:textId="77777777" w:rsidR="0097612F" w:rsidRPr="000977F7" w:rsidRDefault="0097612F" w:rsidP="00FD39A4">
      <w:pPr>
        <w:pStyle w:val="ac"/>
        <w:widowControl w:val="0"/>
        <w:numPr>
          <w:ilvl w:val="0"/>
          <w:numId w:val="74"/>
        </w:numPr>
        <w:tabs>
          <w:tab w:val="left" w:pos="284"/>
          <w:tab w:val="left" w:pos="75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участь у роботі відповідних технічних комітетів</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 міжнародних і регіональних організацій</w:t>
      </w:r>
      <w:r w:rsidRPr="000977F7">
        <w:rPr>
          <w:rFonts w:asciiTheme="majorHAnsi" w:hAnsiTheme="majorHAnsi"/>
          <w:spacing w:val="-2"/>
          <w:sz w:val="20"/>
          <w:szCs w:val="20"/>
        </w:rPr>
        <w:t xml:space="preserve"> </w:t>
      </w:r>
      <w:r w:rsidRPr="000977F7">
        <w:rPr>
          <w:rFonts w:asciiTheme="majorHAnsi" w:hAnsiTheme="majorHAnsi"/>
          <w:sz w:val="20"/>
          <w:szCs w:val="20"/>
        </w:rPr>
        <w:t>стандартизації;</w:t>
      </w:r>
    </w:p>
    <w:p w14:paraId="0F472F69" w14:textId="77777777" w:rsidR="0097612F" w:rsidRPr="000977F7" w:rsidRDefault="0097612F" w:rsidP="00FD39A4">
      <w:pPr>
        <w:pStyle w:val="ac"/>
        <w:widowControl w:val="0"/>
        <w:numPr>
          <w:ilvl w:val="0"/>
          <w:numId w:val="74"/>
        </w:numPr>
        <w:tabs>
          <w:tab w:val="left" w:pos="284"/>
          <w:tab w:val="left" w:pos="74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розроблення і погодження національних стандартів,</w:t>
      </w:r>
      <w:r w:rsidRPr="000977F7">
        <w:rPr>
          <w:rFonts w:asciiTheme="majorHAnsi" w:hAnsiTheme="majorHAnsi"/>
          <w:spacing w:val="-1"/>
          <w:sz w:val="20"/>
          <w:szCs w:val="20"/>
        </w:rPr>
        <w:t xml:space="preserve"> </w:t>
      </w:r>
      <w:r w:rsidRPr="000977F7">
        <w:rPr>
          <w:rFonts w:asciiTheme="majorHAnsi" w:hAnsiTheme="majorHAnsi"/>
          <w:sz w:val="20"/>
          <w:szCs w:val="20"/>
        </w:rPr>
        <w:t>кодексів</w:t>
      </w:r>
      <w:r w:rsidRPr="000977F7">
        <w:rPr>
          <w:rFonts w:asciiTheme="majorHAnsi" w:hAnsiTheme="majorHAnsi"/>
          <w:spacing w:val="1"/>
          <w:sz w:val="20"/>
          <w:szCs w:val="20"/>
        </w:rPr>
        <w:t xml:space="preserve"> </w:t>
      </w:r>
      <w:r w:rsidRPr="000977F7">
        <w:rPr>
          <w:rFonts w:asciiTheme="majorHAnsi" w:hAnsiTheme="majorHAnsi"/>
          <w:sz w:val="20"/>
          <w:szCs w:val="20"/>
        </w:rPr>
        <w:t>усталеної</w:t>
      </w:r>
      <w:r w:rsidRPr="000977F7">
        <w:rPr>
          <w:rFonts w:asciiTheme="majorHAnsi" w:hAnsiTheme="majorHAnsi"/>
          <w:spacing w:val="-2"/>
          <w:sz w:val="20"/>
          <w:szCs w:val="20"/>
        </w:rPr>
        <w:t xml:space="preserve"> </w:t>
      </w:r>
      <w:r w:rsidRPr="000977F7">
        <w:rPr>
          <w:rFonts w:asciiTheme="majorHAnsi" w:hAnsiTheme="majorHAnsi"/>
          <w:sz w:val="20"/>
          <w:szCs w:val="20"/>
        </w:rPr>
        <w:t>практики</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змін</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них;</w:t>
      </w:r>
    </w:p>
    <w:p w14:paraId="38F28C10" w14:textId="77777777" w:rsidR="0097612F" w:rsidRPr="000977F7" w:rsidRDefault="0097612F" w:rsidP="00FD39A4">
      <w:pPr>
        <w:pStyle w:val="ac"/>
        <w:widowControl w:val="0"/>
        <w:numPr>
          <w:ilvl w:val="0"/>
          <w:numId w:val="74"/>
        </w:numPr>
        <w:tabs>
          <w:tab w:val="left" w:pos="284"/>
          <w:tab w:val="left" w:pos="70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участь у формуванні програми робіт з національної</w:t>
      </w:r>
      <w:r w:rsidRPr="000977F7">
        <w:rPr>
          <w:rFonts w:asciiTheme="majorHAnsi" w:hAnsiTheme="majorHAnsi"/>
          <w:spacing w:val="-48"/>
          <w:sz w:val="20"/>
          <w:szCs w:val="20"/>
        </w:rPr>
        <w:t xml:space="preserve"> </w:t>
      </w:r>
      <w:r w:rsidRPr="000977F7">
        <w:rPr>
          <w:rFonts w:asciiTheme="majorHAnsi" w:hAnsiTheme="majorHAnsi"/>
          <w:sz w:val="20"/>
          <w:szCs w:val="20"/>
        </w:rPr>
        <w:t>стандартизації;</w:t>
      </w:r>
    </w:p>
    <w:p w14:paraId="4BF40F23" w14:textId="77777777" w:rsidR="0097612F" w:rsidRPr="000977F7" w:rsidRDefault="0097612F" w:rsidP="00FD39A4">
      <w:pPr>
        <w:pStyle w:val="ac"/>
        <w:widowControl w:val="0"/>
        <w:numPr>
          <w:ilvl w:val="0"/>
          <w:numId w:val="74"/>
        </w:numPr>
        <w:tabs>
          <w:tab w:val="left" w:pos="284"/>
          <w:tab w:val="left" w:pos="75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перевірка і перегляд національних стандартів та</w:t>
      </w:r>
      <w:r w:rsidRPr="000977F7">
        <w:rPr>
          <w:rFonts w:asciiTheme="majorHAnsi" w:hAnsiTheme="majorHAnsi"/>
          <w:spacing w:val="1"/>
          <w:sz w:val="20"/>
          <w:szCs w:val="20"/>
        </w:rPr>
        <w:t xml:space="preserve"> </w:t>
      </w:r>
      <w:r w:rsidRPr="000977F7">
        <w:rPr>
          <w:rFonts w:asciiTheme="majorHAnsi" w:hAnsiTheme="majorHAnsi"/>
          <w:sz w:val="20"/>
          <w:szCs w:val="20"/>
        </w:rPr>
        <w:t>кодексів усталеної практики, розробниками яких вони</w:t>
      </w:r>
      <w:r w:rsidRPr="000977F7">
        <w:rPr>
          <w:rFonts w:asciiTheme="majorHAnsi" w:hAnsiTheme="majorHAnsi"/>
          <w:spacing w:val="-47"/>
          <w:sz w:val="20"/>
          <w:szCs w:val="20"/>
        </w:rPr>
        <w:t xml:space="preserve"> </w:t>
      </w:r>
      <w:r w:rsidRPr="000977F7">
        <w:rPr>
          <w:rFonts w:asciiTheme="majorHAnsi" w:hAnsiTheme="majorHAnsi"/>
          <w:sz w:val="20"/>
          <w:szCs w:val="20"/>
        </w:rPr>
        <w:t>є;</w:t>
      </w:r>
    </w:p>
    <w:p w14:paraId="6CF59CEF" w14:textId="77777777" w:rsidR="0097612F" w:rsidRPr="000977F7" w:rsidRDefault="0097612F" w:rsidP="00FD39A4">
      <w:pPr>
        <w:pStyle w:val="ac"/>
        <w:widowControl w:val="0"/>
        <w:numPr>
          <w:ilvl w:val="0"/>
          <w:numId w:val="74"/>
        </w:numPr>
        <w:tabs>
          <w:tab w:val="left" w:pos="284"/>
          <w:tab w:val="left" w:pos="71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погодження і надання пропозицій щодо скасування</w:t>
      </w:r>
      <w:r w:rsidRPr="000977F7">
        <w:rPr>
          <w:rFonts w:asciiTheme="majorHAnsi" w:hAnsiTheme="majorHAnsi"/>
          <w:spacing w:val="-47"/>
          <w:sz w:val="20"/>
          <w:szCs w:val="20"/>
        </w:rPr>
        <w:t xml:space="preserve"> </w:t>
      </w:r>
      <w:r w:rsidRPr="000977F7">
        <w:rPr>
          <w:rFonts w:asciiTheme="majorHAnsi" w:hAnsiTheme="majorHAnsi"/>
          <w:sz w:val="20"/>
          <w:szCs w:val="20"/>
        </w:rPr>
        <w:t>та відновлення дії національних стандартів, кодексів</w:t>
      </w:r>
      <w:r w:rsidRPr="000977F7">
        <w:rPr>
          <w:rFonts w:asciiTheme="majorHAnsi" w:hAnsiTheme="majorHAnsi"/>
          <w:spacing w:val="1"/>
          <w:sz w:val="20"/>
          <w:szCs w:val="20"/>
        </w:rPr>
        <w:t xml:space="preserve"> </w:t>
      </w:r>
      <w:r w:rsidRPr="000977F7">
        <w:rPr>
          <w:rFonts w:asciiTheme="majorHAnsi" w:hAnsiTheme="majorHAnsi"/>
          <w:sz w:val="20"/>
          <w:szCs w:val="20"/>
        </w:rPr>
        <w:t>усталеної</w:t>
      </w:r>
      <w:r w:rsidRPr="000977F7">
        <w:rPr>
          <w:rFonts w:asciiTheme="majorHAnsi" w:hAnsiTheme="majorHAnsi"/>
          <w:spacing w:val="1"/>
          <w:sz w:val="20"/>
          <w:szCs w:val="20"/>
        </w:rPr>
        <w:t xml:space="preserve"> </w:t>
      </w:r>
      <w:r w:rsidRPr="000977F7">
        <w:rPr>
          <w:rFonts w:asciiTheme="majorHAnsi" w:hAnsiTheme="majorHAnsi"/>
          <w:sz w:val="20"/>
          <w:szCs w:val="20"/>
        </w:rPr>
        <w:t>практики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змін</w:t>
      </w:r>
      <w:r w:rsidRPr="000977F7">
        <w:rPr>
          <w:rFonts w:asciiTheme="majorHAnsi" w:hAnsiTheme="majorHAnsi"/>
          <w:spacing w:val="1"/>
          <w:sz w:val="20"/>
          <w:szCs w:val="20"/>
        </w:rPr>
        <w:t xml:space="preserve"> </w:t>
      </w:r>
      <w:r w:rsidRPr="000977F7">
        <w:rPr>
          <w:rFonts w:asciiTheme="majorHAnsi" w:hAnsiTheme="majorHAnsi"/>
          <w:sz w:val="20"/>
          <w:szCs w:val="20"/>
        </w:rPr>
        <w:t>до них.</w:t>
      </w:r>
    </w:p>
    <w:p w14:paraId="25927A42" w14:textId="77777777" w:rsidR="0097612F" w:rsidRPr="000977F7" w:rsidRDefault="0097612F" w:rsidP="00FD39A4">
      <w:pPr>
        <w:pStyle w:val="ac"/>
        <w:widowControl w:val="0"/>
        <w:numPr>
          <w:ilvl w:val="1"/>
          <w:numId w:val="76"/>
        </w:numPr>
        <w:tabs>
          <w:tab w:val="left" w:pos="284"/>
          <w:tab w:val="left" w:pos="71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 разі відсутності технічного комітету стандартизації, сфера діяльності якого поширюється на</w:t>
      </w:r>
      <w:r w:rsidRPr="000977F7">
        <w:rPr>
          <w:rFonts w:asciiTheme="majorHAnsi" w:hAnsiTheme="majorHAnsi"/>
          <w:spacing w:val="1"/>
          <w:sz w:val="20"/>
          <w:szCs w:val="20"/>
        </w:rPr>
        <w:t xml:space="preserve"> </w:t>
      </w:r>
      <w:r w:rsidRPr="000977F7">
        <w:rPr>
          <w:rFonts w:asciiTheme="majorHAnsi" w:hAnsiTheme="majorHAnsi"/>
          <w:sz w:val="20"/>
          <w:szCs w:val="20"/>
        </w:rPr>
        <w:t>певні</w:t>
      </w:r>
      <w:r w:rsidRPr="000977F7">
        <w:rPr>
          <w:rFonts w:asciiTheme="majorHAnsi" w:hAnsiTheme="majorHAnsi"/>
          <w:spacing w:val="1"/>
          <w:sz w:val="20"/>
          <w:szCs w:val="20"/>
        </w:rPr>
        <w:t xml:space="preserve"> </w:t>
      </w:r>
      <w:r w:rsidRPr="000977F7">
        <w:rPr>
          <w:rFonts w:asciiTheme="majorHAnsi" w:hAnsiTheme="majorHAnsi"/>
          <w:sz w:val="20"/>
          <w:szCs w:val="20"/>
        </w:rPr>
        <w:t>об’єкти</w:t>
      </w:r>
      <w:r w:rsidRPr="000977F7">
        <w:rPr>
          <w:rFonts w:asciiTheme="majorHAnsi" w:hAnsiTheme="majorHAnsi"/>
          <w:spacing w:val="-2"/>
          <w:sz w:val="20"/>
          <w:szCs w:val="20"/>
        </w:rPr>
        <w:t xml:space="preserve"> </w:t>
      </w:r>
      <w:r w:rsidRPr="000977F7">
        <w:rPr>
          <w:rFonts w:asciiTheme="majorHAnsi" w:hAnsiTheme="majorHAnsi"/>
          <w:sz w:val="20"/>
          <w:szCs w:val="20"/>
        </w:rPr>
        <w:t>стандартизації:</w:t>
      </w:r>
    </w:p>
    <w:p w14:paraId="7F68EC25" w14:textId="77777777" w:rsidR="0097612F" w:rsidRPr="000977F7" w:rsidRDefault="0097612F" w:rsidP="00FD39A4">
      <w:pPr>
        <w:pStyle w:val="ac"/>
        <w:widowControl w:val="0"/>
        <w:numPr>
          <w:ilvl w:val="0"/>
          <w:numId w:val="73"/>
        </w:numPr>
        <w:tabs>
          <w:tab w:val="left" w:pos="284"/>
          <w:tab w:val="left" w:pos="72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робочі групи, утворені національним органом 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складу</w:t>
      </w:r>
      <w:r w:rsidRPr="000977F7">
        <w:rPr>
          <w:rFonts w:asciiTheme="majorHAnsi" w:hAnsiTheme="majorHAnsi"/>
          <w:spacing w:val="1"/>
          <w:sz w:val="20"/>
          <w:szCs w:val="20"/>
        </w:rPr>
        <w:t xml:space="preserve"> </w:t>
      </w:r>
      <w:r w:rsidRPr="000977F7">
        <w:rPr>
          <w:rFonts w:asciiTheme="majorHAnsi" w:hAnsiTheme="majorHAnsi"/>
          <w:sz w:val="20"/>
          <w:szCs w:val="20"/>
        </w:rPr>
        <w:t>яких</w:t>
      </w:r>
      <w:r w:rsidRPr="000977F7">
        <w:rPr>
          <w:rFonts w:asciiTheme="majorHAnsi" w:hAnsiTheme="majorHAnsi"/>
          <w:spacing w:val="1"/>
          <w:sz w:val="20"/>
          <w:szCs w:val="20"/>
        </w:rPr>
        <w:t xml:space="preserve"> </w:t>
      </w:r>
      <w:r w:rsidRPr="000977F7">
        <w:rPr>
          <w:rFonts w:asciiTheme="majorHAnsi" w:hAnsiTheme="majorHAnsi"/>
          <w:sz w:val="20"/>
          <w:szCs w:val="20"/>
        </w:rPr>
        <w:t>входять</w:t>
      </w:r>
      <w:r w:rsidRPr="000977F7">
        <w:rPr>
          <w:rFonts w:asciiTheme="majorHAnsi" w:hAnsiTheme="majorHAnsi"/>
          <w:spacing w:val="1"/>
          <w:sz w:val="20"/>
          <w:szCs w:val="20"/>
        </w:rPr>
        <w:t xml:space="preserve"> </w:t>
      </w:r>
      <w:r w:rsidRPr="000977F7">
        <w:rPr>
          <w:rFonts w:asciiTheme="majorHAnsi" w:hAnsiTheme="majorHAnsi"/>
          <w:sz w:val="20"/>
          <w:szCs w:val="20"/>
        </w:rPr>
        <w:t>представники</w:t>
      </w:r>
      <w:r w:rsidRPr="000977F7">
        <w:rPr>
          <w:rFonts w:asciiTheme="majorHAnsi" w:hAnsiTheme="majorHAnsi"/>
          <w:spacing w:val="1"/>
          <w:sz w:val="20"/>
          <w:szCs w:val="20"/>
        </w:rPr>
        <w:t xml:space="preserve"> </w:t>
      </w:r>
      <w:r w:rsidRPr="000977F7">
        <w:rPr>
          <w:rFonts w:asciiTheme="majorHAnsi" w:hAnsiTheme="majorHAnsi"/>
          <w:sz w:val="20"/>
          <w:szCs w:val="20"/>
        </w:rPr>
        <w:t>заінтересованих сторін, розробляють міжнародні, регіональні, національні стандарти та кодекси усталеної</w:t>
      </w:r>
      <w:r w:rsidRPr="000977F7">
        <w:rPr>
          <w:rFonts w:asciiTheme="majorHAnsi" w:hAnsiTheme="majorHAnsi"/>
          <w:spacing w:val="1"/>
          <w:sz w:val="20"/>
          <w:szCs w:val="20"/>
        </w:rPr>
        <w:t xml:space="preserve"> </w:t>
      </w:r>
      <w:r w:rsidRPr="000977F7">
        <w:rPr>
          <w:rFonts w:asciiTheme="majorHAnsi" w:hAnsiTheme="majorHAnsi"/>
          <w:sz w:val="20"/>
          <w:szCs w:val="20"/>
        </w:rPr>
        <w:t>практики</w:t>
      </w:r>
      <w:r w:rsidRPr="000977F7">
        <w:rPr>
          <w:rFonts w:asciiTheme="majorHAnsi" w:hAnsiTheme="majorHAnsi"/>
          <w:spacing w:val="-3"/>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відповідні</w:t>
      </w:r>
      <w:r w:rsidRPr="000977F7">
        <w:rPr>
          <w:rFonts w:asciiTheme="majorHAnsi" w:hAnsiTheme="majorHAnsi"/>
          <w:spacing w:val="-2"/>
          <w:sz w:val="20"/>
          <w:szCs w:val="20"/>
        </w:rPr>
        <w:t xml:space="preserve"> </w:t>
      </w:r>
      <w:r w:rsidRPr="000977F7">
        <w:rPr>
          <w:rFonts w:asciiTheme="majorHAnsi" w:hAnsiTheme="majorHAnsi"/>
          <w:sz w:val="20"/>
          <w:szCs w:val="20"/>
        </w:rPr>
        <w:t>об’єкти</w:t>
      </w:r>
      <w:r w:rsidRPr="000977F7">
        <w:rPr>
          <w:rFonts w:asciiTheme="majorHAnsi" w:hAnsiTheme="majorHAnsi"/>
          <w:spacing w:val="-2"/>
          <w:sz w:val="20"/>
          <w:szCs w:val="20"/>
        </w:rPr>
        <w:t xml:space="preserve"> </w:t>
      </w:r>
      <w:r w:rsidRPr="000977F7">
        <w:rPr>
          <w:rFonts w:asciiTheme="majorHAnsi" w:hAnsiTheme="majorHAnsi"/>
          <w:sz w:val="20"/>
          <w:szCs w:val="20"/>
        </w:rPr>
        <w:t>стандартизації;</w:t>
      </w:r>
    </w:p>
    <w:p w14:paraId="77385427" w14:textId="77777777" w:rsidR="0097612F" w:rsidRPr="000977F7" w:rsidRDefault="0097612F" w:rsidP="00FD39A4">
      <w:pPr>
        <w:pStyle w:val="ac"/>
        <w:widowControl w:val="0"/>
        <w:numPr>
          <w:ilvl w:val="0"/>
          <w:numId w:val="73"/>
        </w:numPr>
        <w:tabs>
          <w:tab w:val="left" w:pos="284"/>
          <w:tab w:val="left" w:pos="72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національний орган стандартизації погоджує, проводить перевірку, переглядає, розробляє зміни до національних</w:t>
      </w:r>
      <w:r w:rsidRPr="000977F7">
        <w:rPr>
          <w:rFonts w:asciiTheme="majorHAnsi" w:hAnsiTheme="majorHAnsi"/>
          <w:spacing w:val="5"/>
          <w:sz w:val="20"/>
          <w:szCs w:val="20"/>
        </w:rPr>
        <w:t xml:space="preserve"> </w:t>
      </w:r>
      <w:r w:rsidRPr="000977F7">
        <w:rPr>
          <w:rFonts w:asciiTheme="majorHAnsi" w:hAnsiTheme="majorHAnsi"/>
          <w:sz w:val="20"/>
          <w:szCs w:val="20"/>
        </w:rPr>
        <w:t>стандартів</w:t>
      </w:r>
      <w:r w:rsidRPr="000977F7">
        <w:rPr>
          <w:rFonts w:asciiTheme="majorHAnsi" w:hAnsiTheme="majorHAnsi"/>
          <w:spacing w:val="6"/>
          <w:sz w:val="20"/>
          <w:szCs w:val="20"/>
        </w:rPr>
        <w:t xml:space="preserve"> </w:t>
      </w:r>
      <w:r w:rsidRPr="000977F7">
        <w:rPr>
          <w:rFonts w:asciiTheme="majorHAnsi" w:hAnsiTheme="majorHAnsi"/>
          <w:sz w:val="20"/>
          <w:szCs w:val="20"/>
        </w:rPr>
        <w:t>та</w:t>
      </w:r>
      <w:r w:rsidRPr="000977F7">
        <w:rPr>
          <w:rFonts w:asciiTheme="majorHAnsi" w:hAnsiTheme="majorHAnsi"/>
          <w:spacing w:val="11"/>
          <w:sz w:val="20"/>
          <w:szCs w:val="20"/>
        </w:rPr>
        <w:t xml:space="preserve"> </w:t>
      </w:r>
      <w:r w:rsidRPr="000977F7">
        <w:rPr>
          <w:rFonts w:asciiTheme="majorHAnsi" w:hAnsiTheme="majorHAnsi"/>
          <w:sz w:val="20"/>
          <w:szCs w:val="20"/>
        </w:rPr>
        <w:t>кодексів</w:t>
      </w:r>
      <w:r w:rsidRPr="000977F7">
        <w:rPr>
          <w:rFonts w:asciiTheme="majorHAnsi" w:hAnsiTheme="majorHAnsi"/>
          <w:spacing w:val="9"/>
          <w:sz w:val="20"/>
          <w:szCs w:val="20"/>
        </w:rPr>
        <w:t xml:space="preserve"> </w:t>
      </w:r>
      <w:r w:rsidRPr="000977F7">
        <w:rPr>
          <w:rFonts w:asciiTheme="majorHAnsi" w:hAnsiTheme="majorHAnsi"/>
          <w:sz w:val="20"/>
          <w:szCs w:val="20"/>
        </w:rPr>
        <w:t>усталеної</w:t>
      </w:r>
      <w:r w:rsidRPr="000977F7">
        <w:rPr>
          <w:rFonts w:asciiTheme="majorHAnsi" w:hAnsiTheme="majorHAnsi"/>
          <w:spacing w:val="9"/>
          <w:sz w:val="20"/>
          <w:szCs w:val="20"/>
        </w:rPr>
        <w:t xml:space="preserve"> </w:t>
      </w:r>
      <w:r w:rsidRPr="000977F7">
        <w:rPr>
          <w:rFonts w:asciiTheme="majorHAnsi" w:hAnsiTheme="majorHAnsi"/>
          <w:sz w:val="20"/>
          <w:szCs w:val="20"/>
        </w:rPr>
        <w:t>практики і приймає рішення щодо їх скасування та відновлення</w:t>
      </w:r>
      <w:r w:rsidRPr="000977F7">
        <w:rPr>
          <w:rFonts w:asciiTheme="majorHAnsi" w:hAnsiTheme="majorHAnsi"/>
          <w:spacing w:val="1"/>
          <w:sz w:val="20"/>
          <w:szCs w:val="20"/>
        </w:rPr>
        <w:t xml:space="preserve"> </w:t>
      </w:r>
      <w:r w:rsidRPr="000977F7">
        <w:rPr>
          <w:rFonts w:asciiTheme="majorHAnsi" w:hAnsiTheme="majorHAnsi"/>
          <w:sz w:val="20"/>
          <w:szCs w:val="20"/>
        </w:rPr>
        <w:t>дії.</w:t>
      </w:r>
    </w:p>
    <w:p w14:paraId="4701612A" w14:textId="77777777" w:rsidR="0097612F" w:rsidRPr="000977F7" w:rsidRDefault="0097612F" w:rsidP="00FD39A4">
      <w:pPr>
        <w:pStyle w:val="ac"/>
        <w:widowControl w:val="0"/>
        <w:numPr>
          <w:ilvl w:val="1"/>
          <w:numId w:val="76"/>
        </w:numPr>
        <w:tabs>
          <w:tab w:val="left" w:pos="284"/>
          <w:tab w:val="left" w:pos="58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Роз’яснення щодо положень національних стандартів та кодексів усталеної практики надають відповідні технічні комітети стандартизації, а в разі їх відсутності</w:t>
      </w:r>
      <w:r w:rsidRPr="000977F7">
        <w:rPr>
          <w:rFonts w:asciiTheme="majorHAnsi" w:hAnsiTheme="majorHAnsi"/>
          <w:spacing w:val="-1"/>
          <w:sz w:val="20"/>
          <w:szCs w:val="20"/>
        </w:rPr>
        <w:t xml:space="preserve"> </w:t>
      </w:r>
      <w:r w:rsidRPr="000977F7">
        <w:rPr>
          <w:rFonts w:asciiTheme="majorHAnsi" w:hAnsiTheme="majorHAnsi"/>
          <w:sz w:val="20"/>
          <w:szCs w:val="20"/>
        </w:rPr>
        <w:t>національний</w:t>
      </w:r>
      <w:r w:rsidRPr="000977F7">
        <w:rPr>
          <w:rFonts w:asciiTheme="majorHAnsi" w:hAnsiTheme="majorHAnsi"/>
          <w:spacing w:val="-2"/>
          <w:sz w:val="20"/>
          <w:szCs w:val="20"/>
        </w:rPr>
        <w:t xml:space="preserve"> </w:t>
      </w:r>
      <w:r w:rsidRPr="000977F7">
        <w:rPr>
          <w:rFonts w:asciiTheme="majorHAnsi" w:hAnsiTheme="majorHAnsi"/>
          <w:sz w:val="20"/>
          <w:szCs w:val="20"/>
        </w:rPr>
        <w:t>орган</w:t>
      </w:r>
      <w:r w:rsidRPr="000977F7">
        <w:rPr>
          <w:rFonts w:asciiTheme="majorHAnsi" w:hAnsiTheme="majorHAnsi"/>
          <w:spacing w:val="-1"/>
          <w:sz w:val="20"/>
          <w:szCs w:val="20"/>
        </w:rPr>
        <w:t xml:space="preserve"> </w:t>
      </w:r>
      <w:r w:rsidRPr="000977F7">
        <w:rPr>
          <w:rFonts w:asciiTheme="majorHAnsi" w:hAnsiTheme="majorHAnsi"/>
          <w:sz w:val="20"/>
          <w:szCs w:val="20"/>
        </w:rPr>
        <w:t>стандартизації.</w:t>
      </w:r>
    </w:p>
    <w:p w14:paraId="1AF971FC" w14:textId="77777777" w:rsidR="0097612F" w:rsidRPr="000977F7" w:rsidRDefault="0097612F" w:rsidP="00FD39A4">
      <w:pPr>
        <w:pStyle w:val="ac"/>
        <w:widowControl w:val="0"/>
        <w:numPr>
          <w:ilvl w:val="1"/>
          <w:numId w:val="76"/>
        </w:numPr>
        <w:tabs>
          <w:tab w:val="left" w:pos="284"/>
          <w:tab w:val="left" w:pos="61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lastRenderedPageBreak/>
        <w:t>Положення</w:t>
      </w:r>
      <w:r w:rsidRPr="000977F7">
        <w:rPr>
          <w:rFonts w:asciiTheme="majorHAnsi" w:hAnsiTheme="majorHAnsi"/>
          <w:spacing w:val="1"/>
          <w:sz w:val="20"/>
          <w:szCs w:val="20"/>
        </w:rPr>
        <w:t xml:space="preserve"> </w:t>
      </w:r>
      <w:r w:rsidRPr="000977F7">
        <w:rPr>
          <w:rFonts w:asciiTheme="majorHAnsi" w:hAnsiTheme="majorHAnsi"/>
          <w:sz w:val="20"/>
          <w:szCs w:val="20"/>
        </w:rPr>
        <w:t>про технічні комітети стандартизації</w:t>
      </w:r>
      <w:r w:rsidRPr="000977F7">
        <w:rPr>
          <w:rFonts w:asciiTheme="majorHAnsi" w:hAnsiTheme="majorHAnsi"/>
          <w:spacing w:val="1"/>
          <w:sz w:val="20"/>
          <w:szCs w:val="20"/>
        </w:rPr>
        <w:t xml:space="preserve"> </w:t>
      </w:r>
      <w:r w:rsidRPr="000977F7">
        <w:rPr>
          <w:rFonts w:asciiTheme="majorHAnsi" w:hAnsiTheme="majorHAnsi"/>
          <w:sz w:val="20"/>
          <w:szCs w:val="20"/>
        </w:rPr>
        <w:t>затверджує</w:t>
      </w:r>
      <w:r w:rsidRPr="000977F7">
        <w:rPr>
          <w:rFonts w:asciiTheme="majorHAnsi" w:hAnsiTheme="majorHAnsi"/>
          <w:spacing w:val="-2"/>
          <w:sz w:val="20"/>
          <w:szCs w:val="20"/>
        </w:rPr>
        <w:t xml:space="preserve"> </w:t>
      </w:r>
      <w:r w:rsidRPr="000977F7">
        <w:rPr>
          <w:rFonts w:asciiTheme="majorHAnsi" w:hAnsiTheme="majorHAnsi"/>
          <w:sz w:val="20"/>
          <w:szCs w:val="20"/>
        </w:rPr>
        <w:t>національний</w:t>
      </w:r>
      <w:r w:rsidRPr="000977F7">
        <w:rPr>
          <w:rFonts w:asciiTheme="majorHAnsi" w:hAnsiTheme="majorHAnsi"/>
          <w:spacing w:val="-2"/>
          <w:sz w:val="20"/>
          <w:szCs w:val="20"/>
        </w:rPr>
        <w:t xml:space="preserve"> </w:t>
      </w:r>
      <w:r w:rsidRPr="000977F7">
        <w:rPr>
          <w:rFonts w:asciiTheme="majorHAnsi" w:hAnsiTheme="majorHAnsi"/>
          <w:sz w:val="20"/>
          <w:szCs w:val="20"/>
        </w:rPr>
        <w:t>орган</w:t>
      </w:r>
      <w:r w:rsidRPr="000977F7">
        <w:rPr>
          <w:rFonts w:asciiTheme="majorHAnsi" w:hAnsiTheme="majorHAnsi"/>
          <w:spacing w:val="-3"/>
          <w:sz w:val="20"/>
          <w:szCs w:val="20"/>
        </w:rPr>
        <w:t xml:space="preserve"> </w:t>
      </w:r>
      <w:r w:rsidRPr="000977F7">
        <w:rPr>
          <w:rFonts w:asciiTheme="majorHAnsi" w:hAnsiTheme="majorHAnsi"/>
          <w:sz w:val="20"/>
          <w:szCs w:val="20"/>
        </w:rPr>
        <w:t>стандартизації.</w:t>
      </w:r>
    </w:p>
    <w:p w14:paraId="6E968F56" w14:textId="77777777" w:rsidR="0097612F" w:rsidRPr="000977F7" w:rsidRDefault="0097612F" w:rsidP="00FD39A4">
      <w:pPr>
        <w:pStyle w:val="ac"/>
        <w:widowControl w:val="0"/>
        <w:numPr>
          <w:ilvl w:val="1"/>
          <w:numId w:val="76"/>
        </w:numPr>
        <w:tabs>
          <w:tab w:val="left" w:pos="284"/>
          <w:tab w:val="left" w:pos="61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Організаційне</w:t>
      </w:r>
      <w:r w:rsidRPr="000977F7">
        <w:rPr>
          <w:rFonts w:asciiTheme="majorHAnsi" w:hAnsiTheme="majorHAnsi"/>
          <w:spacing w:val="1"/>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1"/>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1"/>
          <w:sz w:val="20"/>
          <w:szCs w:val="20"/>
        </w:rPr>
        <w:t xml:space="preserve"> </w:t>
      </w:r>
      <w:r w:rsidRPr="000977F7">
        <w:rPr>
          <w:rFonts w:asciiTheme="majorHAnsi" w:hAnsiTheme="majorHAnsi"/>
          <w:sz w:val="20"/>
          <w:szCs w:val="20"/>
        </w:rPr>
        <w:t>технічних</w:t>
      </w:r>
      <w:r w:rsidRPr="000977F7">
        <w:rPr>
          <w:rFonts w:asciiTheme="majorHAnsi" w:hAnsiTheme="majorHAnsi"/>
          <w:spacing w:val="-47"/>
          <w:sz w:val="20"/>
          <w:szCs w:val="20"/>
        </w:rPr>
        <w:t xml:space="preserve"> </w:t>
      </w:r>
      <w:r w:rsidRPr="000977F7">
        <w:rPr>
          <w:rFonts w:asciiTheme="majorHAnsi" w:hAnsiTheme="majorHAnsi"/>
          <w:sz w:val="20"/>
          <w:szCs w:val="20"/>
        </w:rPr>
        <w:t>комітетів стандартизації здійснюють їх секретаріати.</w:t>
      </w:r>
      <w:r w:rsidRPr="000977F7">
        <w:rPr>
          <w:rFonts w:asciiTheme="majorHAnsi" w:hAnsiTheme="majorHAnsi"/>
          <w:spacing w:val="1"/>
          <w:sz w:val="20"/>
          <w:szCs w:val="20"/>
        </w:rPr>
        <w:t xml:space="preserve"> </w:t>
      </w:r>
      <w:r w:rsidRPr="000977F7">
        <w:rPr>
          <w:rFonts w:asciiTheme="majorHAnsi" w:hAnsiTheme="majorHAnsi"/>
          <w:sz w:val="20"/>
          <w:szCs w:val="20"/>
        </w:rPr>
        <w:t>Функції</w:t>
      </w:r>
      <w:r w:rsidRPr="000977F7">
        <w:rPr>
          <w:rFonts w:asciiTheme="majorHAnsi" w:hAnsiTheme="majorHAnsi"/>
          <w:spacing w:val="1"/>
          <w:sz w:val="20"/>
          <w:szCs w:val="20"/>
        </w:rPr>
        <w:t xml:space="preserve"> </w:t>
      </w:r>
      <w:r w:rsidRPr="000977F7">
        <w:rPr>
          <w:rFonts w:asciiTheme="majorHAnsi" w:hAnsiTheme="majorHAnsi"/>
          <w:sz w:val="20"/>
          <w:szCs w:val="20"/>
        </w:rPr>
        <w:t>секретаріату 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комітету стандартизації</w:t>
      </w:r>
      <w:r w:rsidRPr="000977F7">
        <w:rPr>
          <w:rFonts w:asciiTheme="majorHAnsi" w:hAnsiTheme="majorHAnsi"/>
          <w:spacing w:val="17"/>
          <w:sz w:val="20"/>
          <w:szCs w:val="20"/>
        </w:rPr>
        <w:t xml:space="preserve"> </w:t>
      </w:r>
      <w:r w:rsidRPr="000977F7">
        <w:rPr>
          <w:rFonts w:asciiTheme="majorHAnsi" w:hAnsiTheme="majorHAnsi"/>
          <w:sz w:val="20"/>
          <w:szCs w:val="20"/>
        </w:rPr>
        <w:t>покладаються</w:t>
      </w:r>
      <w:r w:rsidRPr="000977F7">
        <w:rPr>
          <w:rFonts w:asciiTheme="majorHAnsi" w:hAnsiTheme="majorHAnsi"/>
          <w:spacing w:val="17"/>
          <w:sz w:val="20"/>
          <w:szCs w:val="20"/>
        </w:rPr>
        <w:t xml:space="preserve"> </w:t>
      </w:r>
      <w:r w:rsidRPr="000977F7">
        <w:rPr>
          <w:rFonts w:asciiTheme="majorHAnsi" w:hAnsiTheme="majorHAnsi"/>
          <w:sz w:val="20"/>
          <w:szCs w:val="20"/>
        </w:rPr>
        <w:t>національним</w:t>
      </w:r>
      <w:r w:rsidRPr="000977F7">
        <w:rPr>
          <w:rFonts w:asciiTheme="majorHAnsi" w:hAnsiTheme="majorHAnsi"/>
          <w:spacing w:val="18"/>
          <w:sz w:val="20"/>
          <w:szCs w:val="20"/>
        </w:rPr>
        <w:t xml:space="preserve"> </w:t>
      </w:r>
      <w:r w:rsidRPr="000977F7">
        <w:rPr>
          <w:rFonts w:asciiTheme="majorHAnsi" w:hAnsiTheme="majorHAnsi"/>
          <w:sz w:val="20"/>
          <w:szCs w:val="20"/>
        </w:rPr>
        <w:t>органом</w:t>
      </w:r>
      <w:r w:rsidRPr="000977F7">
        <w:rPr>
          <w:rFonts w:asciiTheme="majorHAnsi" w:hAnsiTheme="majorHAnsi"/>
          <w:spacing w:val="18"/>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13"/>
          <w:sz w:val="20"/>
          <w:szCs w:val="20"/>
        </w:rPr>
        <w:t xml:space="preserve"> </w:t>
      </w:r>
      <w:r w:rsidRPr="000977F7">
        <w:rPr>
          <w:rFonts w:asciiTheme="majorHAnsi" w:hAnsiTheme="majorHAnsi"/>
          <w:sz w:val="20"/>
          <w:szCs w:val="20"/>
        </w:rPr>
        <w:t>на</w:t>
      </w:r>
      <w:r w:rsidRPr="000977F7">
        <w:rPr>
          <w:rFonts w:asciiTheme="majorHAnsi" w:hAnsiTheme="majorHAnsi"/>
          <w:spacing w:val="12"/>
          <w:sz w:val="20"/>
          <w:szCs w:val="20"/>
        </w:rPr>
        <w:t xml:space="preserve"> </w:t>
      </w:r>
      <w:r w:rsidRPr="000977F7">
        <w:rPr>
          <w:rFonts w:asciiTheme="majorHAnsi" w:hAnsiTheme="majorHAnsi"/>
          <w:sz w:val="20"/>
          <w:szCs w:val="20"/>
        </w:rPr>
        <w:t>організацію,</w:t>
      </w:r>
      <w:r w:rsidRPr="000977F7">
        <w:rPr>
          <w:rFonts w:asciiTheme="majorHAnsi" w:hAnsiTheme="majorHAnsi"/>
          <w:spacing w:val="15"/>
          <w:sz w:val="20"/>
          <w:szCs w:val="20"/>
        </w:rPr>
        <w:t xml:space="preserve"> </w:t>
      </w:r>
      <w:r w:rsidRPr="000977F7">
        <w:rPr>
          <w:rFonts w:asciiTheme="majorHAnsi" w:hAnsiTheme="majorHAnsi"/>
          <w:sz w:val="20"/>
          <w:szCs w:val="20"/>
        </w:rPr>
        <w:t>що</w:t>
      </w:r>
      <w:r w:rsidRPr="000977F7">
        <w:rPr>
          <w:rFonts w:asciiTheme="majorHAnsi" w:hAnsiTheme="majorHAnsi"/>
          <w:spacing w:val="12"/>
          <w:sz w:val="20"/>
          <w:szCs w:val="20"/>
        </w:rPr>
        <w:t xml:space="preserve"> </w:t>
      </w:r>
      <w:r w:rsidRPr="000977F7">
        <w:rPr>
          <w:rFonts w:asciiTheme="majorHAnsi" w:hAnsiTheme="majorHAnsi"/>
          <w:sz w:val="20"/>
          <w:szCs w:val="20"/>
        </w:rPr>
        <w:t>є</w:t>
      </w:r>
      <w:r w:rsidRPr="000977F7">
        <w:rPr>
          <w:rFonts w:asciiTheme="majorHAnsi" w:hAnsiTheme="majorHAnsi"/>
          <w:spacing w:val="15"/>
          <w:sz w:val="20"/>
          <w:szCs w:val="20"/>
        </w:rPr>
        <w:t xml:space="preserve"> </w:t>
      </w:r>
      <w:r w:rsidRPr="000977F7">
        <w:rPr>
          <w:rFonts w:asciiTheme="majorHAnsi" w:hAnsiTheme="majorHAnsi"/>
          <w:sz w:val="20"/>
          <w:szCs w:val="20"/>
        </w:rPr>
        <w:t>юридичною</w:t>
      </w:r>
      <w:r w:rsidRPr="000977F7">
        <w:rPr>
          <w:rFonts w:asciiTheme="majorHAnsi" w:hAnsiTheme="majorHAnsi"/>
          <w:spacing w:val="11"/>
          <w:sz w:val="20"/>
          <w:szCs w:val="20"/>
        </w:rPr>
        <w:t xml:space="preserve"> </w:t>
      </w:r>
      <w:r w:rsidRPr="000977F7">
        <w:rPr>
          <w:rFonts w:asciiTheme="majorHAnsi" w:hAnsiTheme="majorHAnsi"/>
          <w:sz w:val="20"/>
          <w:szCs w:val="20"/>
        </w:rPr>
        <w:t>особою</w:t>
      </w:r>
      <w:r w:rsidRPr="000977F7">
        <w:rPr>
          <w:rFonts w:asciiTheme="majorHAnsi" w:hAnsiTheme="majorHAnsi"/>
          <w:spacing w:val="19"/>
          <w:sz w:val="20"/>
          <w:szCs w:val="20"/>
        </w:rPr>
        <w:t xml:space="preserve"> </w:t>
      </w:r>
      <w:r w:rsidRPr="000977F7">
        <w:rPr>
          <w:rFonts w:asciiTheme="majorHAnsi" w:hAnsiTheme="majorHAnsi"/>
          <w:sz w:val="20"/>
          <w:szCs w:val="20"/>
        </w:rPr>
        <w:t>резидентом</w:t>
      </w:r>
      <w:r w:rsidRPr="000977F7">
        <w:rPr>
          <w:rFonts w:asciiTheme="majorHAnsi" w:hAnsiTheme="majorHAnsi"/>
          <w:spacing w:val="26"/>
          <w:sz w:val="20"/>
          <w:szCs w:val="20"/>
        </w:rPr>
        <w:t xml:space="preserve"> </w:t>
      </w:r>
      <w:r w:rsidRPr="000977F7">
        <w:rPr>
          <w:rFonts w:asciiTheme="majorHAnsi" w:hAnsiTheme="majorHAnsi"/>
          <w:sz w:val="20"/>
          <w:szCs w:val="20"/>
        </w:rPr>
        <w:t>України</w:t>
      </w:r>
      <w:r w:rsidRPr="000977F7">
        <w:rPr>
          <w:rFonts w:asciiTheme="majorHAnsi" w:hAnsiTheme="majorHAnsi"/>
          <w:spacing w:val="24"/>
          <w:sz w:val="20"/>
          <w:szCs w:val="20"/>
        </w:rPr>
        <w:t xml:space="preserve"> </w:t>
      </w:r>
      <w:r w:rsidRPr="000977F7">
        <w:rPr>
          <w:rFonts w:asciiTheme="majorHAnsi" w:hAnsiTheme="majorHAnsi"/>
          <w:sz w:val="20"/>
          <w:szCs w:val="20"/>
        </w:rPr>
        <w:t>та</w:t>
      </w:r>
      <w:r w:rsidRPr="000977F7">
        <w:rPr>
          <w:rFonts w:asciiTheme="majorHAnsi" w:hAnsiTheme="majorHAnsi"/>
          <w:spacing w:val="28"/>
          <w:sz w:val="20"/>
          <w:szCs w:val="20"/>
        </w:rPr>
        <w:t xml:space="preserve"> </w:t>
      </w:r>
      <w:r w:rsidRPr="000977F7">
        <w:rPr>
          <w:rFonts w:asciiTheme="majorHAnsi" w:hAnsiTheme="majorHAnsi"/>
          <w:sz w:val="20"/>
          <w:szCs w:val="20"/>
        </w:rPr>
        <w:t>офіційно</w:t>
      </w:r>
      <w:r w:rsidRPr="000977F7">
        <w:rPr>
          <w:rFonts w:asciiTheme="majorHAnsi" w:hAnsiTheme="majorHAnsi"/>
          <w:spacing w:val="26"/>
          <w:sz w:val="20"/>
          <w:szCs w:val="20"/>
        </w:rPr>
        <w:t xml:space="preserve"> </w:t>
      </w:r>
      <w:r w:rsidRPr="000977F7">
        <w:rPr>
          <w:rFonts w:asciiTheme="majorHAnsi" w:hAnsiTheme="majorHAnsi"/>
          <w:sz w:val="20"/>
          <w:szCs w:val="20"/>
        </w:rPr>
        <w:t>заявить</w:t>
      </w:r>
      <w:r w:rsidRPr="000977F7">
        <w:rPr>
          <w:rFonts w:asciiTheme="majorHAnsi" w:hAnsiTheme="majorHAnsi"/>
          <w:spacing w:val="29"/>
          <w:sz w:val="20"/>
          <w:szCs w:val="20"/>
        </w:rPr>
        <w:t xml:space="preserve"> </w:t>
      </w:r>
      <w:r w:rsidRPr="000977F7">
        <w:rPr>
          <w:rFonts w:asciiTheme="majorHAnsi" w:hAnsiTheme="majorHAnsi"/>
          <w:sz w:val="20"/>
          <w:szCs w:val="20"/>
        </w:rPr>
        <w:t>про</w:t>
      </w:r>
      <w:r w:rsidRPr="000977F7">
        <w:rPr>
          <w:rFonts w:asciiTheme="majorHAnsi" w:hAnsiTheme="majorHAnsi"/>
          <w:spacing w:val="26"/>
          <w:sz w:val="20"/>
          <w:szCs w:val="20"/>
        </w:rPr>
        <w:t xml:space="preserve"> </w:t>
      </w:r>
      <w:r w:rsidRPr="000977F7">
        <w:rPr>
          <w:rFonts w:asciiTheme="majorHAnsi" w:hAnsiTheme="majorHAnsi"/>
          <w:sz w:val="20"/>
          <w:szCs w:val="20"/>
        </w:rPr>
        <w:t>намір</w:t>
      </w:r>
      <w:r w:rsidRPr="000977F7">
        <w:rPr>
          <w:rFonts w:asciiTheme="majorHAnsi" w:hAnsiTheme="majorHAnsi"/>
          <w:spacing w:val="26"/>
          <w:sz w:val="20"/>
          <w:szCs w:val="20"/>
        </w:rPr>
        <w:t xml:space="preserve"> </w:t>
      </w:r>
      <w:r w:rsidRPr="000977F7">
        <w:rPr>
          <w:rFonts w:asciiTheme="majorHAnsi" w:hAnsiTheme="majorHAnsi"/>
          <w:sz w:val="20"/>
          <w:szCs w:val="20"/>
        </w:rPr>
        <w:t>виконувати</w:t>
      </w:r>
      <w:r w:rsidRPr="000977F7">
        <w:rPr>
          <w:rFonts w:asciiTheme="majorHAnsi" w:hAnsiTheme="majorHAnsi"/>
          <w:spacing w:val="39"/>
          <w:sz w:val="20"/>
          <w:szCs w:val="20"/>
        </w:rPr>
        <w:t xml:space="preserve"> </w:t>
      </w:r>
      <w:r w:rsidRPr="000977F7">
        <w:rPr>
          <w:rFonts w:asciiTheme="majorHAnsi" w:hAnsiTheme="majorHAnsi"/>
          <w:sz w:val="20"/>
          <w:szCs w:val="20"/>
        </w:rPr>
        <w:t>функції</w:t>
      </w:r>
      <w:r w:rsidRPr="000977F7">
        <w:rPr>
          <w:rFonts w:asciiTheme="majorHAnsi" w:hAnsiTheme="majorHAnsi"/>
          <w:spacing w:val="40"/>
          <w:sz w:val="20"/>
          <w:szCs w:val="20"/>
        </w:rPr>
        <w:t xml:space="preserve"> </w:t>
      </w:r>
      <w:r w:rsidRPr="000977F7">
        <w:rPr>
          <w:rFonts w:asciiTheme="majorHAnsi" w:hAnsiTheme="majorHAnsi"/>
          <w:sz w:val="20"/>
          <w:szCs w:val="20"/>
        </w:rPr>
        <w:t>секретаріату</w:t>
      </w:r>
      <w:r w:rsidRPr="000977F7">
        <w:rPr>
          <w:rFonts w:asciiTheme="majorHAnsi" w:hAnsiTheme="majorHAnsi"/>
          <w:spacing w:val="40"/>
          <w:sz w:val="20"/>
          <w:szCs w:val="20"/>
        </w:rPr>
        <w:t xml:space="preserve"> </w:t>
      </w:r>
      <w:r w:rsidRPr="000977F7">
        <w:rPr>
          <w:rFonts w:asciiTheme="majorHAnsi" w:hAnsiTheme="majorHAnsi"/>
          <w:sz w:val="20"/>
          <w:szCs w:val="20"/>
        </w:rPr>
        <w:t>і</w:t>
      </w:r>
      <w:r w:rsidRPr="000977F7">
        <w:rPr>
          <w:rFonts w:asciiTheme="majorHAnsi" w:hAnsiTheme="majorHAnsi"/>
          <w:spacing w:val="40"/>
          <w:sz w:val="20"/>
          <w:szCs w:val="20"/>
        </w:rPr>
        <w:t xml:space="preserve"> </w:t>
      </w:r>
      <w:r w:rsidRPr="000977F7">
        <w:rPr>
          <w:rFonts w:asciiTheme="majorHAnsi" w:hAnsiTheme="majorHAnsi"/>
          <w:sz w:val="20"/>
          <w:szCs w:val="20"/>
        </w:rPr>
        <w:t>підтвердить</w:t>
      </w:r>
      <w:r w:rsidRPr="000977F7">
        <w:rPr>
          <w:rFonts w:asciiTheme="majorHAnsi" w:hAnsiTheme="majorHAnsi"/>
          <w:spacing w:val="40"/>
          <w:sz w:val="20"/>
          <w:szCs w:val="20"/>
        </w:rPr>
        <w:t xml:space="preserve"> </w:t>
      </w:r>
      <w:r w:rsidRPr="000977F7">
        <w:rPr>
          <w:rFonts w:asciiTheme="majorHAnsi" w:hAnsiTheme="majorHAnsi"/>
          <w:sz w:val="20"/>
          <w:szCs w:val="20"/>
        </w:rPr>
        <w:t>спроможність</w:t>
      </w:r>
      <w:r w:rsidRPr="000977F7">
        <w:rPr>
          <w:rFonts w:asciiTheme="majorHAnsi" w:hAnsiTheme="majorHAnsi"/>
          <w:spacing w:val="10"/>
          <w:sz w:val="20"/>
          <w:szCs w:val="20"/>
        </w:rPr>
        <w:t xml:space="preserve"> </w:t>
      </w:r>
      <w:r w:rsidRPr="000977F7">
        <w:rPr>
          <w:rFonts w:asciiTheme="majorHAnsi" w:hAnsiTheme="majorHAnsi"/>
          <w:sz w:val="20"/>
          <w:szCs w:val="20"/>
        </w:rPr>
        <w:t>організаційно,</w:t>
      </w:r>
      <w:r w:rsidRPr="000977F7">
        <w:rPr>
          <w:rFonts w:asciiTheme="majorHAnsi" w:hAnsiTheme="majorHAnsi"/>
          <w:spacing w:val="11"/>
          <w:sz w:val="20"/>
          <w:szCs w:val="20"/>
        </w:rPr>
        <w:t xml:space="preserve"> </w:t>
      </w:r>
      <w:r w:rsidRPr="000977F7">
        <w:rPr>
          <w:rFonts w:asciiTheme="majorHAnsi" w:hAnsiTheme="majorHAnsi"/>
          <w:sz w:val="20"/>
          <w:szCs w:val="20"/>
        </w:rPr>
        <w:t>технічно</w:t>
      </w:r>
      <w:r w:rsidRPr="000977F7">
        <w:rPr>
          <w:rFonts w:asciiTheme="majorHAnsi" w:hAnsiTheme="majorHAnsi"/>
          <w:spacing w:val="12"/>
          <w:sz w:val="20"/>
          <w:szCs w:val="20"/>
        </w:rPr>
        <w:t xml:space="preserve"> </w:t>
      </w:r>
      <w:r w:rsidRPr="000977F7">
        <w:rPr>
          <w:rFonts w:asciiTheme="majorHAnsi" w:hAnsiTheme="majorHAnsi"/>
          <w:sz w:val="20"/>
          <w:szCs w:val="20"/>
        </w:rPr>
        <w:t>та</w:t>
      </w:r>
      <w:r w:rsidRPr="000977F7">
        <w:rPr>
          <w:rFonts w:asciiTheme="majorHAnsi" w:hAnsiTheme="majorHAnsi"/>
          <w:spacing w:val="12"/>
          <w:sz w:val="20"/>
          <w:szCs w:val="20"/>
        </w:rPr>
        <w:t xml:space="preserve"> </w:t>
      </w:r>
      <w:r w:rsidRPr="000977F7">
        <w:rPr>
          <w:rFonts w:asciiTheme="majorHAnsi" w:hAnsiTheme="majorHAnsi"/>
          <w:sz w:val="20"/>
          <w:szCs w:val="20"/>
        </w:rPr>
        <w:t>фінансово</w:t>
      </w:r>
      <w:r w:rsidRPr="000977F7">
        <w:rPr>
          <w:rFonts w:asciiTheme="majorHAnsi" w:hAnsiTheme="majorHAnsi"/>
          <w:spacing w:val="11"/>
          <w:sz w:val="20"/>
          <w:szCs w:val="20"/>
        </w:rPr>
        <w:t xml:space="preserve"> </w:t>
      </w:r>
      <w:r w:rsidRPr="000977F7">
        <w:rPr>
          <w:rFonts w:asciiTheme="majorHAnsi" w:hAnsiTheme="majorHAnsi"/>
          <w:sz w:val="20"/>
          <w:szCs w:val="20"/>
        </w:rPr>
        <w:t>забезпечити</w:t>
      </w:r>
      <w:r w:rsidRPr="000977F7">
        <w:rPr>
          <w:rFonts w:asciiTheme="majorHAnsi" w:hAnsiTheme="majorHAnsi"/>
          <w:spacing w:val="-2"/>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діяльність.</w:t>
      </w:r>
    </w:p>
    <w:p w14:paraId="2105B85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Національний орган стандартизації може виконувати</w:t>
      </w:r>
      <w:r w:rsidRPr="000977F7">
        <w:rPr>
          <w:rFonts w:asciiTheme="majorHAnsi" w:hAnsiTheme="majorHAnsi"/>
          <w:spacing w:val="1"/>
          <w:sz w:val="20"/>
          <w:szCs w:val="20"/>
        </w:rPr>
        <w:t xml:space="preserve"> </w:t>
      </w:r>
      <w:r w:rsidRPr="000977F7">
        <w:rPr>
          <w:rFonts w:asciiTheme="majorHAnsi" w:hAnsiTheme="majorHAnsi"/>
          <w:sz w:val="20"/>
          <w:szCs w:val="20"/>
        </w:rPr>
        <w:t>функції секретаріату технічних комітетів стандартизації.</w:t>
      </w:r>
    </w:p>
    <w:p w14:paraId="737D1926" w14:textId="77777777" w:rsidR="0097612F" w:rsidRPr="000977F7" w:rsidRDefault="0097612F" w:rsidP="00FD39A4">
      <w:pPr>
        <w:pStyle w:val="ac"/>
        <w:widowControl w:val="0"/>
        <w:numPr>
          <w:ilvl w:val="1"/>
          <w:numId w:val="76"/>
        </w:numPr>
        <w:tabs>
          <w:tab w:val="left" w:pos="284"/>
          <w:tab w:val="left" w:pos="598"/>
        </w:tabs>
        <w:autoSpaceDE w:val="0"/>
        <w:autoSpaceDN w:val="0"/>
        <w:spacing w:after="0" w:line="240" w:lineRule="auto"/>
        <w:ind w:left="170" w:firstLine="0"/>
        <w:contextualSpacing w:val="0"/>
        <w:mirrorIndents/>
        <w:jc w:val="both"/>
        <w:rPr>
          <w:rFonts w:asciiTheme="majorHAnsi" w:hAnsiTheme="majorHAnsi"/>
          <w:b/>
          <w:sz w:val="20"/>
          <w:szCs w:val="20"/>
        </w:rPr>
      </w:pPr>
      <w:r w:rsidRPr="000977F7">
        <w:rPr>
          <w:rFonts w:asciiTheme="majorHAnsi" w:hAnsiTheme="majorHAnsi"/>
          <w:sz w:val="20"/>
          <w:szCs w:val="20"/>
        </w:rPr>
        <w:t>Технічні</w:t>
      </w:r>
      <w:r w:rsidRPr="000977F7">
        <w:rPr>
          <w:rFonts w:asciiTheme="majorHAnsi" w:hAnsiTheme="majorHAnsi"/>
          <w:spacing w:val="30"/>
          <w:sz w:val="20"/>
          <w:szCs w:val="20"/>
        </w:rPr>
        <w:t xml:space="preserve"> </w:t>
      </w:r>
      <w:r w:rsidRPr="000977F7">
        <w:rPr>
          <w:rFonts w:asciiTheme="majorHAnsi" w:hAnsiTheme="majorHAnsi"/>
          <w:sz w:val="20"/>
          <w:szCs w:val="20"/>
        </w:rPr>
        <w:t>комітети</w:t>
      </w:r>
      <w:r w:rsidRPr="000977F7">
        <w:rPr>
          <w:rFonts w:asciiTheme="majorHAnsi" w:hAnsiTheme="majorHAnsi"/>
          <w:spacing w:val="30"/>
          <w:sz w:val="20"/>
          <w:szCs w:val="20"/>
        </w:rPr>
        <w:t xml:space="preserve"> </w:t>
      </w:r>
      <w:r w:rsidRPr="000977F7">
        <w:rPr>
          <w:rFonts w:asciiTheme="majorHAnsi" w:hAnsiTheme="majorHAnsi"/>
          <w:sz w:val="20"/>
          <w:szCs w:val="20"/>
        </w:rPr>
        <w:t>стандартизації</w:t>
      </w:r>
      <w:r w:rsidRPr="000977F7">
        <w:rPr>
          <w:rFonts w:asciiTheme="majorHAnsi" w:hAnsiTheme="majorHAnsi"/>
          <w:spacing w:val="30"/>
          <w:sz w:val="20"/>
          <w:szCs w:val="20"/>
        </w:rPr>
        <w:t xml:space="preserve"> </w:t>
      </w:r>
      <w:r w:rsidRPr="000977F7">
        <w:rPr>
          <w:rFonts w:asciiTheme="majorHAnsi" w:hAnsiTheme="majorHAnsi"/>
          <w:sz w:val="20"/>
          <w:szCs w:val="20"/>
        </w:rPr>
        <w:t>не</w:t>
      </w:r>
      <w:r w:rsidRPr="000977F7">
        <w:rPr>
          <w:rFonts w:asciiTheme="majorHAnsi" w:hAnsiTheme="majorHAnsi"/>
          <w:spacing w:val="32"/>
          <w:sz w:val="20"/>
          <w:szCs w:val="20"/>
        </w:rPr>
        <w:t xml:space="preserve"> </w:t>
      </w:r>
      <w:r w:rsidRPr="000977F7">
        <w:rPr>
          <w:rFonts w:asciiTheme="majorHAnsi" w:hAnsiTheme="majorHAnsi"/>
          <w:sz w:val="20"/>
          <w:szCs w:val="20"/>
        </w:rPr>
        <w:t>можуть</w:t>
      </w:r>
      <w:r w:rsidRPr="000977F7">
        <w:rPr>
          <w:rFonts w:asciiTheme="majorHAnsi" w:hAnsiTheme="majorHAnsi"/>
          <w:spacing w:val="31"/>
          <w:sz w:val="20"/>
          <w:szCs w:val="20"/>
        </w:rPr>
        <w:t xml:space="preserve"> </w:t>
      </w:r>
      <w:r w:rsidRPr="000977F7">
        <w:rPr>
          <w:rFonts w:asciiTheme="majorHAnsi" w:hAnsiTheme="majorHAnsi"/>
          <w:sz w:val="20"/>
          <w:szCs w:val="20"/>
        </w:rPr>
        <w:t>мати</w:t>
      </w:r>
      <w:r w:rsidRPr="000977F7">
        <w:rPr>
          <w:rFonts w:asciiTheme="majorHAnsi" w:hAnsiTheme="majorHAnsi"/>
          <w:spacing w:val="-47"/>
          <w:sz w:val="20"/>
          <w:szCs w:val="20"/>
        </w:rPr>
        <w:t xml:space="preserve"> </w:t>
      </w:r>
      <w:r w:rsidRPr="000977F7">
        <w:rPr>
          <w:rFonts w:asciiTheme="majorHAnsi" w:hAnsiTheme="majorHAnsi"/>
          <w:sz w:val="20"/>
          <w:szCs w:val="20"/>
        </w:rPr>
        <w:t>на меті одержання прибутку від своєї діяльності.</w:t>
      </w:r>
      <w:r w:rsidRPr="000977F7">
        <w:rPr>
          <w:rFonts w:asciiTheme="majorHAnsi" w:hAnsiTheme="majorHAnsi"/>
          <w:spacing w:val="1"/>
          <w:sz w:val="20"/>
          <w:szCs w:val="20"/>
        </w:rPr>
        <w:t xml:space="preserve"> </w:t>
      </w:r>
    </w:p>
    <w:p w14:paraId="213AAE35" w14:textId="77777777" w:rsidR="0097612F" w:rsidRPr="000977F7" w:rsidRDefault="0097612F" w:rsidP="000977F7">
      <w:pPr>
        <w:pStyle w:val="ac"/>
        <w:tabs>
          <w:tab w:val="left" w:pos="284"/>
          <w:tab w:val="left" w:pos="598"/>
        </w:tabs>
        <w:spacing w:after="0" w:line="240" w:lineRule="auto"/>
        <w:ind w:left="170"/>
        <w:mirrorIndents/>
        <w:jc w:val="both"/>
        <w:rPr>
          <w:rFonts w:asciiTheme="majorHAnsi" w:hAnsiTheme="majorHAnsi"/>
          <w:b/>
          <w:sz w:val="20"/>
          <w:szCs w:val="20"/>
        </w:rPr>
      </w:pPr>
      <w:r w:rsidRPr="000977F7">
        <w:rPr>
          <w:rFonts w:asciiTheme="majorHAnsi" w:hAnsiTheme="majorHAnsi"/>
          <w:i/>
          <w:sz w:val="20"/>
          <w:szCs w:val="20"/>
        </w:rPr>
        <w:t>Ст.15 закону України "Про стандартизацію"</w:t>
      </w:r>
    </w:p>
    <w:p w14:paraId="6339F434" w14:textId="77777777" w:rsidR="0097612F" w:rsidRPr="000977F7" w:rsidRDefault="0097612F" w:rsidP="000977F7">
      <w:pPr>
        <w:tabs>
          <w:tab w:val="left" w:pos="284"/>
          <w:tab w:val="left" w:pos="598"/>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ТЕХНІЧНІ</w:t>
      </w:r>
      <w:r w:rsidRPr="000977F7">
        <w:rPr>
          <w:rFonts w:asciiTheme="majorHAnsi" w:hAnsiTheme="majorHAnsi"/>
          <w:b/>
          <w:spacing w:val="-2"/>
          <w:sz w:val="20"/>
          <w:szCs w:val="20"/>
        </w:rPr>
        <w:t xml:space="preserve"> </w:t>
      </w:r>
      <w:r w:rsidRPr="000977F7">
        <w:rPr>
          <w:rFonts w:asciiTheme="majorHAnsi" w:hAnsiTheme="majorHAnsi"/>
          <w:b/>
          <w:sz w:val="20"/>
          <w:szCs w:val="20"/>
        </w:rPr>
        <w:t>УМОВИ</w:t>
      </w:r>
      <w:r w:rsidRPr="000977F7">
        <w:rPr>
          <w:rFonts w:asciiTheme="majorHAnsi" w:hAnsiTheme="majorHAnsi"/>
          <w:b/>
          <w:spacing w:val="-1"/>
          <w:sz w:val="20"/>
          <w:szCs w:val="20"/>
        </w:rPr>
        <w:t xml:space="preserve"> </w:t>
      </w:r>
      <w:r w:rsidRPr="000977F7">
        <w:rPr>
          <w:rFonts w:asciiTheme="majorHAnsi" w:hAnsiTheme="majorHAnsi"/>
          <w:b/>
          <w:sz w:val="20"/>
          <w:szCs w:val="20"/>
        </w:rPr>
        <w:t>–</w:t>
      </w:r>
    </w:p>
    <w:p w14:paraId="415A5DA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TECHNICAL</w:t>
      </w:r>
      <w:r w:rsidRPr="000977F7">
        <w:rPr>
          <w:rFonts w:asciiTheme="majorHAnsi" w:hAnsiTheme="majorHAnsi"/>
          <w:spacing w:val="-4"/>
          <w:sz w:val="20"/>
          <w:szCs w:val="20"/>
        </w:rPr>
        <w:t xml:space="preserve"> </w:t>
      </w:r>
      <w:r w:rsidRPr="000977F7">
        <w:rPr>
          <w:rFonts w:asciiTheme="majorHAnsi" w:hAnsiTheme="majorHAnsi"/>
          <w:sz w:val="20"/>
          <w:szCs w:val="20"/>
        </w:rPr>
        <w:t>SPECIFICATION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2C6FB8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Нормативний документ, що встановлює технічні вимоги, яким повинна відповідати продукція, процес</w:t>
      </w:r>
      <w:r w:rsidRPr="000977F7">
        <w:rPr>
          <w:rFonts w:asciiTheme="majorHAnsi" w:hAnsiTheme="majorHAnsi"/>
          <w:spacing w:val="1"/>
          <w:sz w:val="20"/>
          <w:szCs w:val="20"/>
        </w:rPr>
        <w:t xml:space="preserve"> </w:t>
      </w:r>
      <w:r w:rsidRPr="000977F7">
        <w:rPr>
          <w:rFonts w:asciiTheme="majorHAnsi" w:hAnsiTheme="majorHAnsi"/>
          <w:sz w:val="20"/>
          <w:szCs w:val="20"/>
        </w:rPr>
        <w:t>або послуга, та визначає процедури, за допомогою</w:t>
      </w:r>
      <w:r w:rsidRPr="000977F7">
        <w:rPr>
          <w:rFonts w:asciiTheme="majorHAnsi" w:hAnsiTheme="majorHAnsi"/>
          <w:spacing w:val="1"/>
          <w:sz w:val="20"/>
          <w:szCs w:val="20"/>
        </w:rPr>
        <w:t xml:space="preserve"> </w:t>
      </w:r>
      <w:r w:rsidRPr="000977F7">
        <w:rPr>
          <w:rFonts w:asciiTheme="majorHAnsi" w:hAnsiTheme="majorHAnsi"/>
          <w:sz w:val="20"/>
          <w:szCs w:val="20"/>
        </w:rPr>
        <w:t>яких може бути встановлено, чи дотримані такі вимоги</w:t>
      </w:r>
    </w:p>
    <w:p w14:paraId="66AC1E3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П.</w:t>
      </w:r>
      <w:r w:rsidRPr="000977F7">
        <w:rPr>
          <w:rFonts w:asciiTheme="majorHAnsi" w:hAnsiTheme="majorHAnsi"/>
          <w:i/>
          <w:spacing w:val="32"/>
          <w:sz w:val="20"/>
          <w:szCs w:val="20"/>
        </w:rPr>
        <w:t xml:space="preserve"> </w:t>
      </w:r>
      <w:r w:rsidRPr="000977F7">
        <w:rPr>
          <w:rFonts w:asciiTheme="majorHAnsi" w:hAnsiTheme="majorHAnsi"/>
          <w:i/>
          <w:sz w:val="20"/>
          <w:szCs w:val="20"/>
        </w:rPr>
        <w:t>22</w:t>
      </w:r>
      <w:r w:rsidRPr="000977F7">
        <w:rPr>
          <w:rFonts w:asciiTheme="majorHAnsi" w:hAnsiTheme="majorHAnsi"/>
          <w:i/>
          <w:spacing w:val="31"/>
          <w:sz w:val="20"/>
          <w:szCs w:val="20"/>
        </w:rPr>
        <w:t xml:space="preserve"> </w:t>
      </w:r>
      <w:r w:rsidRPr="000977F7">
        <w:rPr>
          <w:rFonts w:asciiTheme="majorHAnsi" w:hAnsiTheme="majorHAnsi"/>
          <w:i/>
          <w:sz w:val="20"/>
          <w:szCs w:val="20"/>
        </w:rPr>
        <w:t>ч.</w:t>
      </w:r>
      <w:r w:rsidRPr="000977F7">
        <w:rPr>
          <w:rFonts w:asciiTheme="majorHAnsi" w:hAnsiTheme="majorHAnsi"/>
          <w:i/>
          <w:spacing w:val="29"/>
          <w:sz w:val="20"/>
          <w:szCs w:val="20"/>
        </w:rPr>
        <w:t xml:space="preserve"> </w:t>
      </w:r>
      <w:r w:rsidRPr="000977F7">
        <w:rPr>
          <w:rFonts w:asciiTheme="majorHAnsi" w:hAnsiTheme="majorHAnsi"/>
          <w:i/>
          <w:sz w:val="20"/>
          <w:szCs w:val="20"/>
        </w:rPr>
        <w:t>1</w:t>
      </w:r>
      <w:r w:rsidRPr="000977F7">
        <w:rPr>
          <w:rFonts w:asciiTheme="majorHAnsi" w:hAnsiTheme="majorHAnsi"/>
          <w:i/>
          <w:spacing w:val="33"/>
          <w:sz w:val="20"/>
          <w:szCs w:val="20"/>
        </w:rPr>
        <w:t xml:space="preserve"> </w:t>
      </w:r>
      <w:r w:rsidRPr="000977F7">
        <w:rPr>
          <w:rFonts w:asciiTheme="majorHAnsi" w:hAnsiTheme="majorHAnsi"/>
          <w:i/>
          <w:sz w:val="20"/>
          <w:szCs w:val="20"/>
        </w:rPr>
        <w:t>ст.</w:t>
      </w:r>
      <w:r w:rsidRPr="000977F7">
        <w:rPr>
          <w:rFonts w:asciiTheme="majorHAnsi" w:hAnsiTheme="majorHAnsi"/>
          <w:i/>
          <w:spacing w:val="30"/>
          <w:sz w:val="20"/>
          <w:szCs w:val="20"/>
        </w:rPr>
        <w:t xml:space="preserve"> </w:t>
      </w:r>
      <w:r w:rsidRPr="000977F7">
        <w:rPr>
          <w:rFonts w:asciiTheme="majorHAnsi" w:hAnsiTheme="majorHAnsi"/>
          <w:i/>
          <w:sz w:val="20"/>
          <w:szCs w:val="20"/>
        </w:rPr>
        <w:t>1</w:t>
      </w:r>
      <w:r w:rsidRPr="000977F7">
        <w:rPr>
          <w:rFonts w:asciiTheme="majorHAnsi" w:hAnsiTheme="majorHAnsi"/>
          <w:i/>
          <w:spacing w:val="33"/>
          <w:sz w:val="20"/>
          <w:szCs w:val="20"/>
        </w:rPr>
        <w:t xml:space="preserve"> </w:t>
      </w:r>
      <w:r w:rsidRPr="000977F7">
        <w:rPr>
          <w:rFonts w:asciiTheme="majorHAnsi" w:hAnsiTheme="majorHAnsi"/>
          <w:i/>
          <w:sz w:val="20"/>
          <w:szCs w:val="20"/>
        </w:rPr>
        <w:t>закону</w:t>
      </w:r>
      <w:r w:rsidRPr="000977F7">
        <w:rPr>
          <w:rFonts w:asciiTheme="majorHAnsi" w:hAnsiTheme="majorHAnsi"/>
          <w:i/>
          <w:spacing w:val="31"/>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33"/>
          <w:sz w:val="20"/>
          <w:szCs w:val="20"/>
        </w:rPr>
        <w:t xml:space="preserve"> </w:t>
      </w:r>
      <w:r w:rsidRPr="000977F7">
        <w:rPr>
          <w:rFonts w:asciiTheme="majorHAnsi" w:hAnsiTheme="majorHAnsi"/>
          <w:i/>
          <w:sz w:val="20"/>
          <w:szCs w:val="20"/>
        </w:rPr>
        <w:t>«Про</w:t>
      </w:r>
      <w:r w:rsidRPr="000977F7">
        <w:rPr>
          <w:rFonts w:asciiTheme="majorHAnsi" w:hAnsiTheme="majorHAnsi"/>
          <w:i/>
          <w:spacing w:val="32"/>
          <w:sz w:val="20"/>
          <w:szCs w:val="20"/>
        </w:rPr>
        <w:t xml:space="preserve"> </w:t>
      </w:r>
      <w:r w:rsidRPr="000977F7">
        <w:rPr>
          <w:rFonts w:asciiTheme="majorHAnsi" w:hAnsiTheme="majorHAnsi"/>
          <w:i/>
          <w:sz w:val="20"/>
          <w:szCs w:val="20"/>
        </w:rPr>
        <w:t>стандартизацію»</w:t>
      </w:r>
    </w:p>
    <w:p w14:paraId="740F27D2"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Документ,</w:t>
      </w:r>
      <w:r w:rsidRPr="000977F7">
        <w:rPr>
          <w:rFonts w:asciiTheme="majorHAnsi" w:hAnsiTheme="majorHAnsi"/>
          <w:spacing w:val="-7"/>
          <w:sz w:val="20"/>
          <w:szCs w:val="20"/>
        </w:rPr>
        <w:t xml:space="preserve"> </w:t>
      </w:r>
      <w:r w:rsidRPr="000977F7">
        <w:rPr>
          <w:rFonts w:asciiTheme="majorHAnsi" w:hAnsiTheme="majorHAnsi"/>
          <w:sz w:val="20"/>
          <w:szCs w:val="20"/>
        </w:rPr>
        <w:t>який</w:t>
      </w:r>
      <w:r w:rsidRPr="000977F7">
        <w:rPr>
          <w:rFonts w:asciiTheme="majorHAnsi" w:hAnsiTheme="majorHAnsi"/>
          <w:spacing w:val="-6"/>
          <w:sz w:val="20"/>
          <w:szCs w:val="20"/>
        </w:rPr>
        <w:t xml:space="preserve"> </w:t>
      </w:r>
      <w:r w:rsidRPr="000977F7">
        <w:rPr>
          <w:rFonts w:asciiTheme="majorHAnsi" w:hAnsiTheme="majorHAnsi"/>
          <w:sz w:val="20"/>
          <w:szCs w:val="20"/>
        </w:rPr>
        <w:t>установлює</w:t>
      </w:r>
      <w:r w:rsidRPr="000977F7">
        <w:rPr>
          <w:rFonts w:asciiTheme="majorHAnsi" w:hAnsiTheme="majorHAnsi"/>
          <w:spacing w:val="-5"/>
          <w:sz w:val="20"/>
          <w:szCs w:val="20"/>
        </w:rPr>
        <w:t xml:space="preserve"> </w:t>
      </w:r>
      <w:r w:rsidRPr="000977F7">
        <w:rPr>
          <w:rFonts w:asciiTheme="majorHAnsi" w:hAnsiTheme="majorHAnsi"/>
          <w:sz w:val="20"/>
          <w:szCs w:val="20"/>
        </w:rPr>
        <w:t>вимоги.</w:t>
      </w:r>
      <w:r w:rsidRPr="000977F7">
        <w:rPr>
          <w:rFonts w:asciiTheme="majorHAnsi" w:hAnsiTheme="majorHAnsi"/>
          <w:spacing w:val="-47"/>
          <w:sz w:val="20"/>
          <w:szCs w:val="20"/>
        </w:rPr>
        <w:t xml:space="preserve"> </w:t>
      </w:r>
    </w:p>
    <w:p w14:paraId="0477A45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Приклади</w:t>
      </w:r>
    </w:p>
    <w:p w14:paraId="7CE789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Настанова щодо якості, програма якості, технічний</w:t>
      </w:r>
      <w:r w:rsidRPr="000977F7">
        <w:rPr>
          <w:rFonts w:asciiTheme="majorHAnsi" w:hAnsiTheme="majorHAnsi"/>
          <w:spacing w:val="1"/>
          <w:sz w:val="20"/>
          <w:szCs w:val="20"/>
        </w:rPr>
        <w:t xml:space="preserve"> </w:t>
      </w:r>
      <w:r w:rsidRPr="000977F7">
        <w:rPr>
          <w:rFonts w:asciiTheme="majorHAnsi" w:hAnsiTheme="majorHAnsi"/>
          <w:sz w:val="20"/>
          <w:szCs w:val="20"/>
        </w:rPr>
        <w:t>кресленик, методичний документ, робоча інструкція.</w:t>
      </w:r>
      <w:r w:rsidRPr="000977F7">
        <w:rPr>
          <w:rFonts w:asciiTheme="majorHAnsi" w:hAnsiTheme="majorHAnsi"/>
          <w:spacing w:val="1"/>
          <w:sz w:val="20"/>
          <w:szCs w:val="20"/>
        </w:rPr>
        <w:t xml:space="preserve"> </w:t>
      </w:r>
      <w:r w:rsidRPr="000977F7">
        <w:rPr>
          <w:rFonts w:asciiTheme="majorHAnsi" w:hAnsiTheme="majorHAnsi"/>
          <w:sz w:val="20"/>
          <w:szCs w:val="20"/>
        </w:rPr>
        <w:t>Примітка 1. Технічні умови можуть стосуватися діяльності (наприклад, методичний документ, технічні</w:t>
      </w:r>
      <w:r w:rsidRPr="000977F7">
        <w:rPr>
          <w:rFonts w:asciiTheme="majorHAnsi" w:hAnsiTheme="majorHAnsi"/>
          <w:spacing w:val="1"/>
          <w:sz w:val="20"/>
          <w:szCs w:val="20"/>
        </w:rPr>
        <w:t xml:space="preserve"> </w:t>
      </w:r>
      <w:r w:rsidRPr="000977F7">
        <w:rPr>
          <w:rFonts w:asciiTheme="majorHAnsi" w:hAnsiTheme="majorHAnsi"/>
          <w:sz w:val="20"/>
          <w:szCs w:val="20"/>
        </w:rPr>
        <w:t>умови на процес і технічні умови на випробування чи</w:t>
      </w:r>
      <w:r w:rsidRPr="000977F7">
        <w:rPr>
          <w:rFonts w:asciiTheme="majorHAnsi" w:hAnsiTheme="majorHAnsi"/>
          <w:spacing w:val="-47"/>
          <w:sz w:val="20"/>
          <w:szCs w:val="20"/>
        </w:rPr>
        <w:t xml:space="preserve"> </w:t>
      </w:r>
      <w:r w:rsidRPr="000977F7">
        <w:rPr>
          <w:rFonts w:asciiTheme="majorHAnsi" w:hAnsiTheme="majorHAnsi"/>
          <w:sz w:val="20"/>
          <w:szCs w:val="20"/>
        </w:rPr>
        <w:t>продукції (наприклад, технічні умови</w:t>
      </w:r>
      <w:r w:rsidRPr="000977F7">
        <w:rPr>
          <w:rFonts w:asciiTheme="majorHAnsi" w:hAnsiTheme="majorHAnsi"/>
          <w:spacing w:val="1"/>
          <w:sz w:val="20"/>
          <w:szCs w:val="20"/>
        </w:rPr>
        <w:t xml:space="preserve"> </w:t>
      </w:r>
      <w:r w:rsidRPr="000977F7">
        <w:rPr>
          <w:rFonts w:asciiTheme="majorHAnsi" w:hAnsiTheme="majorHAnsi"/>
          <w:sz w:val="20"/>
          <w:szCs w:val="20"/>
        </w:rPr>
        <w:t>на продукцію,</w:t>
      </w:r>
      <w:r w:rsidRPr="000977F7">
        <w:rPr>
          <w:rFonts w:asciiTheme="majorHAnsi" w:hAnsiTheme="majorHAnsi"/>
          <w:spacing w:val="1"/>
          <w:sz w:val="20"/>
          <w:szCs w:val="20"/>
        </w:rPr>
        <w:t xml:space="preserve"> </w:t>
      </w:r>
      <w:r w:rsidRPr="000977F7">
        <w:rPr>
          <w:rFonts w:asciiTheme="majorHAnsi" w:hAnsiTheme="majorHAnsi"/>
          <w:sz w:val="20"/>
          <w:szCs w:val="20"/>
        </w:rPr>
        <w:t>специфікація</w:t>
      </w:r>
      <w:r w:rsidRPr="000977F7">
        <w:rPr>
          <w:rFonts w:asciiTheme="majorHAnsi" w:hAnsiTheme="majorHAnsi"/>
          <w:spacing w:val="-1"/>
          <w:sz w:val="20"/>
          <w:szCs w:val="20"/>
        </w:rPr>
        <w:t xml:space="preserve"> </w:t>
      </w:r>
      <w:r w:rsidRPr="000977F7">
        <w:rPr>
          <w:rFonts w:asciiTheme="majorHAnsi" w:hAnsiTheme="majorHAnsi"/>
          <w:sz w:val="20"/>
          <w:szCs w:val="20"/>
        </w:rPr>
        <w:t>дієвості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кресленик).</w:t>
      </w:r>
    </w:p>
    <w:p w14:paraId="59863D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2. Може бути так, що поряд із викладом</w:t>
      </w:r>
      <w:r w:rsidRPr="000977F7">
        <w:rPr>
          <w:rFonts w:asciiTheme="majorHAnsi" w:hAnsiTheme="majorHAnsi"/>
          <w:spacing w:val="1"/>
          <w:sz w:val="20"/>
          <w:szCs w:val="20"/>
        </w:rPr>
        <w:t xml:space="preserve"> </w:t>
      </w:r>
      <w:r w:rsidRPr="000977F7">
        <w:rPr>
          <w:rFonts w:asciiTheme="majorHAnsi" w:hAnsiTheme="majorHAnsi"/>
          <w:sz w:val="20"/>
          <w:szCs w:val="20"/>
        </w:rPr>
        <w:t>вимог у специфікації додатково зазначають результати, досягнені проектуванням і розроблянням, і, таким</w:t>
      </w:r>
      <w:r w:rsidRPr="000977F7">
        <w:rPr>
          <w:rFonts w:asciiTheme="majorHAnsi" w:hAnsiTheme="majorHAnsi"/>
          <w:spacing w:val="-47"/>
          <w:sz w:val="20"/>
          <w:szCs w:val="20"/>
        </w:rPr>
        <w:t xml:space="preserve"> </w:t>
      </w:r>
      <w:r w:rsidRPr="000977F7">
        <w:rPr>
          <w:rFonts w:asciiTheme="majorHAnsi" w:hAnsiTheme="majorHAnsi"/>
          <w:sz w:val="20"/>
          <w:szCs w:val="20"/>
        </w:rPr>
        <w:t>чином, у деяких випадках специфікацію можуть використовувати</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протокол</w:t>
      </w:r>
    </w:p>
    <w:p w14:paraId="0DEC233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9000:2015</w:t>
      </w:r>
    </w:p>
    <w:p w14:paraId="37101BC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Значущі дані та їх носії, які установлюють сформульовані</w:t>
      </w:r>
      <w:r w:rsidRPr="000977F7">
        <w:rPr>
          <w:rFonts w:asciiTheme="majorHAnsi" w:hAnsiTheme="majorHAnsi"/>
          <w:spacing w:val="1"/>
          <w:sz w:val="20"/>
          <w:szCs w:val="20"/>
        </w:rPr>
        <w:t xml:space="preserve"> </w:t>
      </w:r>
      <w:r w:rsidRPr="000977F7">
        <w:rPr>
          <w:rFonts w:asciiTheme="majorHAnsi" w:hAnsiTheme="majorHAnsi"/>
          <w:sz w:val="20"/>
          <w:szCs w:val="20"/>
        </w:rPr>
        <w:t>потреби</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50"/>
          <w:sz w:val="20"/>
          <w:szCs w:val="20"/>
        </w:rPr>
        <w:t xml:space="preserve"> </w:t>
      </w:r>
      <w:r w:rsidRPr="000977F7">
        <w:rPr>
          <w:rFonts w:asciiTheme="majorHAnsi" w:hAnsiTheme="majorHAnsi"/>
          <w:sz w:val="20"/>
          <w:szCs w:val="20"/>
        </w:rPr>
        <w:t>очікування,</w:t>
      </w:r>
      <w:r w:rsidRPr="000977F7">
        <w:rPr>
          <w:rFonts w:asciiTheme="majorHAnsi" w:hAnsiTheme="majorHAnsi"/>
          <w:spacing w:val="50"/>
          <w:sz w:val="20"/>
          <w:szCs w:val="20"/>
        </w:rPr>
        <w:t xml:space="preserve"> </w:t>
      </w:r>
      <w:r w:rsidRPr="000977F7">
        <w:rPr>
          <w:rFonts w:asciiTheme="majorHAnsi" w:hAnsiTheme="majorHAnsi"/>
          <w:sz w:val="20"/>
          <w:szCs w:val="20"/>
        </w:rPr>
        <w:t>загальнозрозумілі</w:t>
      </w:r>
      <w:r w:rsidRPr="000977F7">
        <w:rPr>
          <w:rFonts w:asciiTheme="majorHAnsi" w:hAnsiTheme="majorHAnsi"/>
          <w:spacing w:val="1"/>
          <w:sz w:val="20"/>
          <w:szCs w:val="20"/>
        </w:rPr>
        <w:t xml:space="preserve"> </w:t>
      </w:r>
      <w:r w:rsidRPr="000977F7">
        <w:rPr>
          <w:rFonts w:asciiTheme="majorHAnsi" w:hAnsiTheme="majorHAnsi"/>
          <w:sz w:val="20"/>
          <w:szCs w:val="20"/>
        </w:rPr>
        <w:t>або обов’язкові</w:t>
      </w:r>
    </w:p>
    <w:p w14:paraId="00063B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A17C77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Технічні умови можуть бути пов’язані</w:t>
      </w:r>
      <w:r w:rsidRPr="000977F7">
        <w:rPr>
          <w:rFonts w:asciiTheme="majorHAnsi" w:hAnsiTheme="majorHAnsi"/>
          <w:spacing w:val="1"/>
          <w:sz w:val="20"/>
          <w:szCs w:val="20"/>
        </w:rPr>
        <w:t xml:space="preserve"> </w:t>
      </w:r>
      <w:r w:rsidRPr="000977F7">
        <w:rPr>
          <w:rFonts w:asciiTheme="majorHAnsi" w:hAnsiTheme="majorHAnsi"/>
          <w:sz w:val="20"/>
          <w:szCs w:val="20"/>
        </w:rPr>
        <w:t>з видами діяльності (наприклад, задокументована методика, технічні умови на випробування) або з продукцією (наприклад.</w:t>
      </w:r>
      <w:r w:rsidRPr="000977F7">
        <w:rPr>
          <w:rFonts w:asciiTheme="majorHAnsi" w:hAnsiTheme="majorHAnsi"/>
          <w:spacing w:val="1"/>
          <w:sz w:val="20"/>
          <w:szCs w:val="20"/>
        </w:rPr>
        <w:t xml:space="preserve"> </w:t>
      </w:r>
      <w:r w:rsidRPr="000977F7">
        <w:rPr>
          <w:rFonts w:asciiTheme="majorHAnsi" w:hAnsiTheme="majorHAnsi"/>
          <w:sz w:val="20"/>
          <w:szCs w:val="20"/>
        </w:rPr>
        <w:t>технічні</w:t>
      </w:r>
      <w:r w:rsidRPr="000977F7">
        <w:rPr>
          <w:rFonts w:asciiTheme="majorHAnsi" w:hAnsiTheme="majorHAnsi"/>
          <w:spacing w:val="1"/>
          <w:sz w:val="20"/>
          <w:szCs w:val="20"/>
        </w:rPr>
        <w:t xml:space="preserve"> </w:t>
      </w:r>
      <w:r w:rsidRPr="000977F7">
        <w:rPr>
          <w:rFonts w:asciiTheme="majorHAnsi" w:hAnsiTheme="majorHAnsi"/>
          <w:sz w:val="20"/>
          <w:szCs w:val="20"/>
        </w:rPr>
        <w:t>умови</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продукцію,</w:t>
      </w:r>
      <w:r w:rsidRPr="000977F7">
        <w:rPr>
          <w:rFonts w:asciiTheme="majorHAnsi" w:hAnsiTheme="majorHAnsi"/>
          <w:spacing w:val="1"/>
          <w:sz w:val="20"/>
          <w:szCs w:val="20"/>
        </w:rPr>
        <w:t xml:space="preserve"> </w:t>
      </w:r>
      <w:r w:rsidRPr="000977F7">
        <w:rPr>
          <w:rFonts w:asciiTheme="majorHAnsi" w:hAnsiTheme="majorHAnsi"/>
          <w:sz w:val="20"/>
          <w:szCs w:val="20"/>
        </w:rPr>
        <w:t>креслення</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47"/>
          <w:sz w:val="20"/>
          <w:szCs w:val="20"/>
        </w:rPr>
        <w:t xml:space="preserve"> </w:t>
      </w:r>
      <w:r w:rsidRPr="000977F7">
        <w:rPr>
          <w:rFonts w:asciiTheme="majorHAnsi" w:hAnsiTheme="majorHAnsi"/>
          <w:sz w:val="20"/>
          <w:szCs w:val="20"/>
        </w:rPr>
        <w:t>технічні</w:t>
      </w:r>
      <w:r w:rsidRPr="000977F7">
        <w:rPr>
          <w:rFonts w:asciiTheme="majorHAnsi" w:hAnsiTheme="majorHAnsi"/>
          <w:spacing w:val="1"/>
          <w:sz w:val="20"/>
          <w:szCs w:val="20"/>
        </w:rPr>
        <w:t xml:space="preserve"> </w:t>
      </w:r>
      <w:r w:rsidRPr="000977F7">
        <w:rPr>
          <w:rFonts w:asciiTheme="majorHAnsi" w:hAnsiTheme="majorHAnsi"/>
          <w:sz w:val="20"/>
          <w:szCs w:val="20"/>
        </w:rPr>
        <w:t>умови на характеристики)</w:t>
      </w:r>
    </w:p>
    <w:p w14:paraId="4D4C15F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Текстовий конструкторський документ, який установлює вимоги до конкретної продукції, послуг і регулює</w:t>
      </w:r>
      <w:r w:rsidRPr="000977F7">
        <w:rPr>
          <w:rFonts w:asciiTheme="majorHAnsi" w:hAnsiTheme="majorHAnsi"/>
          <w:spacing w:val="-47"/>
          <w:sz w:val="20"/>
          <w:szCs w:val="20"/>
        </w:rPr>
        <w:t xml:space="preserve"> </w:t>
      </w:r>
      <w:r w:rsidRPr="000977F7">
        <w:rPr>
          <w:rFonts w:asciiTheme="majorHAnsi" w:hAnsiTheme="majorHAnsi"/>
          <w:sz w:val="20"/>
          <w:szCs w:val="20"/>
        </w:rPr>
        <w:t>стосунки між постачальником (розробником, робітником)</w:t>
      </w:r>
      <w:r w:rsidRPr="000977F7">
        <w:rPr>
          <w:rFonts w:asciiTheme="majorHAnsi" w:hAnsiTheme="majorHAnsi"/>
          <w:spacing w:val="-3"/>
          <w:sz w:val="20"/>
          <w:szCs w:val="20"/>
        </w:rPr>
        <w:t xml:space="preserve"> </w:t>
      </w:r>
      <w:r w:rsidRPr="000977F7">
        <w:rPr>
          <w:rFonts w:asciiTheme="majorHAnsi" w:hAnsiTheme="majorHAnsi"/>
          <w:sz w:val="20"/>
          <w:szCs w:val="20"/>
        </w:rPr>
        <w:t>і</w:t>
      </w:r>
      <w:r w:rsidRPr="000977F7">
        <w:rPr>
          <w:rFonts w:asciiTheme="majorHAnsi" w:hAnsiTheme="majorHAnsi"/>
          <w:spacing w:val="-3"/>
          <w:sz w:val="20"/>
          <w:szCs w:val="20"/>
        </w:rPr>
        <w:t xml:space="preserve"> </w:t>
      </w:r>
      <w:r w:rsidRPr="000977F7">
        <w:rPr>
          <w:rFonts w:asciiTheme="majorHAnsi" w:hAnsiTheme="majorHAnsi"/>
          <w:sz w:val="20"/>
          <w:szCs w:val="20"/>
        </w:rPr>
        <w:t>споживачем</w:t>
      </w:r>
      <w:r w:rsidRPr="000977F7">
        <w:rPr>
          <w:rFonts w:asciiTheme="majorHAnsi" w:hAnsiTheme="majorHAnsi"/>
          <w:spacing w:val="-1"/>
          <w:sz w:val="20"/>
          <w:szCs w:val="20"/>
        </w:rPr>
        <w:t xml:space="preserve"> </w:t>
      </w:r>
      <w:r w:rsidRPr="000977F7">
        <w:rPr>
          <w:rFonts w:asciiTheme="majorHAnsi" w:hAnsiTheme="majorHAnsi"/>
          <w:sz w:val="20"/>
          <w:szCs w:val="20"/>
        </w:rPr>
        <w:t>(замовником)</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r w:rsidRPr="000977F7">
        <w:rPr>
          <w:rFonts w:asciiTheme="majorHAnsi" w:hAnsiTheme="majorHAnsi"/>
          <w:spacing w:val="-2"/>
          <w:sz w:val="20"/>
          <w:szCs w:val="20"/>
        </w:rPr>
        <w:t xml:space="preserve"> </w:t>
      </w:r>
      <w:r w:rsidRPr="000977F7">
        <w:rPr>
          <w:rFonts w:asciiTheme="majorHAnsi" w:hAnsiTheme="majorHAnsi"/>
          <w:sz w:val="20"/>
          <w:szCs w:val="20"/>
        </w:rPr>
        <w:t>послуг</w:t>
      </w:r>
    </w:p>
    <w:p w14:paraId="7AF2B3C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4BE6EEB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Нормативний документ, що встановлює технічні вимоги, яким повинні відповідати виріб, процес чи послуга</w:t>
      </w:r>
    </w:p>
    <w:p w14:paraId="7561E4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779E8E2" w14:textId="77777777" w:rsidR="0097612F" w:rsidRPr="000977F7" w:rsidRDefault="0097612F" w:rsidP="00FD39A4">
      <w:pPr>
        <w:pStyle w:val="ac"/>
        <w:widowControl w:val="0"/>
        <w:numPr>
          <w:ilvl w:val="0"/>
          <w:numId w:val="72"/>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 технічних умовах у разі потреби повинна бути</w:t>
      </w:r>
      <w:r w:rsidRPr="000977F7">
        <w:rPr>
          <w:rFonts w:asciiTheme="majorHAnsi" w:hAnsiTheme="majorHAnsi"/>
          <w:spacing w:val="1"/>
          <w:sz w:val="20"/>
          <w:szCs w:val="20"/>
        </w:rPr>
        <w:t xml:space="preserve"> </w:t>
      </w:r>
      <w:r w:rsidRPr="000977F7">
        <w:rPr>
          <w:rFonts w:asciiTheme="majorHAnsi" w:hAnsiTheme="majorHAnsi"/>
          <w:sz w:val="20"/>
          <w:szCs w:val="20"/>
        </w:rPr>
        <w:t>зазначена методика (и), за якою (ими) можна визначити,</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дотримано даних</w:t>
      </w:r>
      <w:r w:rsidRPr="000977F7">
        <w:rPr>
          <w:rFonts w:asciiTheme="majorHAnsi" w:hAnsiTheme="majorHAnsi"/>
          <w:spacing w:val="-1"/>
          <w:sz w:val="20"/>
          <w:szCs w:val="20"/>
        </w:rPr>
        <w:t xml:space="preserve"> </w:t>
      </w:r>
      <w:r w:rsidRPr="000977F7">
        <w:rPr>
          <w:rFonts w:asciiTheme="majorHAnsi" w:hAnsiTheme="majorHAnsi"/>
          <w:sz w:val="20"/>
          <w:szCs w:val="20"/>
        </w:rPr>
        <w:t>вимог</w:t>
      </w:r>
    </w:p>
    <w:p w14:paraId="2AE7FBBF" w14:textId="77777777" w:rsidR="0097612F" w:rsidRPr="000977F7" w:rsidRDefault="0097612F" w:rsidP="00FD39A4">
      <w:pPr>
        <w:pStyle w:val="ac"/>
        <w:widowControl w:val="0"/>
        <w:numPr>
          <w:ilvl w:val="0"/>
          <w:numId w:val="72"/>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Технічні умови можуть бути стандартом або частиною</w:t>
      </w:r>
      <w:r w:rsidRPr="000977F7">
        <w:rPr>
          <w:rFonts w:asciiTheme="majorHAnsi" w:hAnsiTheme="majorHAnsi"/>
          <w:spacing w:val="-1"/>
          <w:sz w:val="20"/>
          <w:szCs w:val="20"/>
        </w:rPr>
        <w:t xml:space="preserve"> </w:t>
      </w:r>
      <w:r w:rsidRPr="000977F7">
        <w:rPr>
          <w:rFonts w:asciiTheme="majorHAnsi" w:hAnsiTheme="majorHAnsi"/>
          <w:sz w:val="20"/>
          <w:szCs w:val="20"/>
        </w:rPr>
        <w:t>стандарту</w:t>
      </w:r>
    </w:p>
    <w:p w14:paraId="20B19978"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pacing w:val="-7"/>
          <w:w w:val="95"/>
          <w:sz w:val="20"/>
          <w:szCs w:val="20"/>
        </w:rPr>
        <w:t>ДСТУ ISO/IEC</w:t>
      </w:r>
      <w:r w:rsidRPr="000977F7">
        <w:rPr>
          <w:rFonts w:asciiTheme="majorHAnsi" w:hAnsiTheme="majorHAnsi"/>
          <w:i/>
          <w:iCs/>
          <w:spacing w:val="-27"/>
          <w:w w:val="95"/>
          <w:sz w:val="20"/>
          <w:szCs w:val="20"/>
        </w:rPr>
        <w:t xml:space="preserve"> </w:t>
      </w:r>
      <w:r w:rsidRPr="000977F7">
        <w:rPr>
          <w:rFonts w:asciiTheme="majorHAnsi" w:hAnsiTheme="majorHAnsi"/>
          <w:i/>
          <w:iCs/>
          <w:spacing w:val="-6"/>
          <w:w w:val="95"/>
          <w:sz w:val="20"/>
          <w:szCs w:val="20"/>
        </w:rPr>
        <w:t>17000:2007</w:t>
      </w:r>
    </w:p>
    <w:p w14:paraId="58594438" w14:textId="77777777" w:rsidR="0097612F" w:rsidRPr="000977F7" w:rsidRDefault="0097612F" w:rsidP="00FD39A4">
      <w:pPr>
        <w:pStyle w:val="ac"/>
        <w:widowControl w:val="0"/>
        <w:numPr>
          <w:ilvl w:val="1"/>
          <w:numId w:val="72"/>
        </w:numPr>
        <w:tabs>
          <w:tab w:val="left" w:pos="284"/>
          <w:tab w:val="left" w:pos="94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Технічні умови (ТУ) – нормативний документ,</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установлює</w:t>
      </w:r>
      <w:r w:rsidRPr="000977F7">
        <w:rPr>
          <w:rFonts w:asciiTheme="majorHAnsi" w:hAnsiTheme="majorHAnsi"/>
          <w:spacing w:val="1"/>
          <w:sz w:val="20"/>
          <w:szCs w:val="20"/>
        </w:rPr>
        <w:t xml:space="preserve"> </w:t>
      </w:r>
      <w:r w:rsidRPr="000977F7">
        <w:rPr>
          <w:rFonts w:asciiTheme="majorHAnsi" w:hAnsiTheme="majorHAnsi"/>
          <w:sz w:val="20"/>
          <w:szCs w:val="20"/>
        </w:rPr>
        <w:t>вимоги</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конкретної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послуг і регулює стосунки між постачальником (розробником,</w:t>
      </w:r>
      <w:r w:rsidRPr="000977F7">
        <w:rPr>
          <w:rFonts w:asciiTheme="majorHAnsi" w:hAnsiTheme="majorHAnsi"/>
          <w:spacing w:val="1"/>
          <w:sz w:val="20"/>
          <w:szCs w:val="20"/>
        </w:rPr>
        <w:t xml:space="preserve"> </w:t>
      </w:r>
      <w:r w:rsidRPr="000977F7">
        <w:rPr>
          <w:rFonts w:asciiTheme="majorHAnsi" w:hAnsiTheme="majorHAnsi"/>
          <w:sz w:val="20"/>
          <w:szCs w:val="20"/>
        </w:rPr>
        <w:t>робітником)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споживачем</w:t>
      </w:r>
      <w:r w:rsidRPr="000977F7">
        <w:rPr>
          <w:rFonts w:asciiTheme="majorHAnsi" w:hAnsiTheme="majorHAnsi"/>
          <w:spacing w:val="1"/>
          <w:sz w:val="20"/>
          <w:szCs w:val="20"/>
        </w:rPr>
        <w:t xml:space="preserve"> </w:t>
      </w:r>
      <w:r w:rsidRPr="000977F7">
        <w:rPr>
          <w:rFonts w:asciiTheme="majorHAnsi" w:hAnsiTheme="majorHAnsi"/>
          <w:sz w:val="20"/>
          <w:szCs w:val="20"/>
        </w:rPr>
        <w:t>(замовником)</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послуг.</w:t>
      </w:r>
    </w:p>
    <w:p w14:paraId="739AF7F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ТУ є невід’ємною частиною комплекту технічної</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документації на продукцію (вироби, матеріали, речовини, послуги), на яку вони поширюються, або самостійним документом.</w:t>
      </w:r>
    </w:p>
    <w:p w14:paraId="1B271CCA" w14:textId="77777777" w:rsidR="0097612F" w:rsidRPr="000977F7" w:rsidRDefault="0097612F" w:rsidP="00FD39A4">
      <w:pPr>
        <w:pStyle w:val="ac"/>
        <w:widowControl w:val="0"/>
        <w:numPr>
          <w:ilvl w:val="1"/>
          <w:numId w:val="72"/>
        </w:numPr>
        <w:tabs>
          <w:tab w:val="left" w:pos="284"/>
          <w:tab w:val="left" w:pos="94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ТУ</w:t>
      </w:r>
      <w:r w:rsidRPr="000977F7">
        <w:rPr>
          <w:rFonts w:asciiTheme="majorHAnsi" w:hAnsiTheme="majorHAnsi"/>
          <w:spacing w:val="-4"/>
          <w:sz w:val="20"/>
          <w:szCs w:val="20"/>
        </w:rPr>
        <w:t xml:space="preserve"> </w:t>
      </w:r>
      <w:r w:rsidRPr="000977F7">
        <w:rPr>
          <w:rFonts w:asciiTheme="majorHAnsi" w:hAnsiTheme="majorHAnsi"/>
          <w:sz w:val="20"/>
          <w:szCs w:val="20"/>
        </w:rPr>
        <w:t>розробляють у</w:t>
      </w:r>
      <w:r w:rsidRPr="000977F7">
        <w:rPr>
          <w:rFonts w:asciiTheme="majorHAnsi" w:hAnsiTheme="majorHAnsi"/>
          <w:spacing w:val="-3"/>
          <w:sz w:val="20"/>
          <w:szCs w:val="20"/>
        </w:rPr>
        <w:t xml:space="preserve"> </w:t>
      </w:r>
      <w:r w:rsidRPr="000977F7">
        <w:rPr>
          <w:rFonts w:asciiTheme="majorHAnsi" w:hAnsiTheme="majorHAnsi"/>
          <w:sz w:val="20"/>
          <w:szCs w:val="20"/>
        </w:rPr>
        <w:t>таких</w:t>
      </w:r>
      <w:r w:rsidRPr="000977F7">
        <w:rPr>
          <w:rFonts w:asciiTheme="majorHAnsi" w:hAnsiTheme="majorHAnsi"/>
          <w:spacing w:val="-2"/>
          <w:sz w:val="20"/>
          <w:szCs w:val="20"/>
        </w:rPr>
        <w:t xml:space="preserve"> </w:t>
      </w:r>
      <w:r w:rsidRPr="000977F7">
        <w:rPr>
          <w:rFonts w:asciiTheme="majorHAnsi" w:hAnsiTheme="majorHAnsi"/>
          <w:sz w:val="20"/>
          <w:szCs w:val="20"/>
        </w:rPr>
        <w:t>випадках:</w:t>
      </w:r>
    </w:p>
    <w:p w14:paraId="4688406F" w14:textId="77777777" w:rsidR="0097612F" w:rsidRPr="000977F7" w:rsidRDefault="0097612F" w:rsidP="00FD39A4">
      <w:pPr>
        <w:pStyle w:val="ac"/>
        <w:widowControl w:val="0"/>
        <w:numPr>
          <w:ilvl w:val="0"/>
          <w:numId w:val="75"/>
        </w:numPr>
        <w:tabs>
          <w:tab w:val="left" w:pos="284"/>
          <w:tab w:val="left" w:pos="61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відсутності</w:t>
      </w:r>
      <w:r w:rsidRPr="000977F7">
        <w:rPr>
          <w:rFonts w:asciiTheme="majorHAnsi" w:hAnsiTheme="majorHAnsi"/>
          <w:spacing w:val="1"/>
          <w:sz w:val="20"/>
          <w:szCs w:val="20"/>
        </w:rPr>
        <w:t xml:space="preserve"> </w:t>
      </w:r>
      <w:r w:rsidRPr="000977F7">
        <w:rPr>
          <w:rFonts w:asciiTheme="majorHAnsi" w:hAnsiTheme="majorHAnsi"/>
          <w:sz w:val="20"/>
          <w:szCs w:val="20"/>
        </w:rPr>
        <w:t>державних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галузевих</w:t>
      </w:r>
      <w:r w:rsidRPr="000977F7">
        <w:rPr>
          <w:rFonts w:asciiTheme="majorHAnsi" w:hAnsiTheme="majorHAnsi"/>
          <w:spacing w:val="1"/>
          <w:sz w:val="20"/>
          <w:szCs w:val="20"/>
        </w:rPr>
        <w:t xml:space="preserve"> </w:t>
      </w:r>
      <w:r w:rsidRPr="000977F7">
        <w:rPr>
          <w:rFonts w:asciiTheme="majorHAnsi" w:hAnsiTheme="majorHAnsi"/>
          <w:sz w:val="20"/>
          <w:szCs w:val="20"/>
        </w:rPr>
        <w:t>стандартів</w:t>
      </w:r>
      <w:r w:rsidRPr="000977F7">
        <w:rPr>
          <w:rFonts w:asciiTheme="majorHAnsi" w:hAnsiTheme="majorHAnsi"/>
          <w:spacing w:val="-47"/>
          <w:sz w:val="20"/>
          <w:szCs w:val="20"/>
        </w:rPr>
        <w:t xml:space="preserve"> </w:t>
      </w:r>
      <w:r w:rsidRPr="000977F7">
        <w:rPr>
          <w:rFonts w:asciiTheme="majorHAnsi" w:hAnsiTheme="majorHAnsi"/>
          <w:sz w:val="20"/>
          <w:szCs w:val="20"/>
        </w:rPr>
        <w:t>(далі – стандартів) на розроблювану продукцію, послуги</w:t>
      </w:r>
      <w:r w:rsidRPr="000977F7">
        <w:rPr>
          <w:rFonts w:asciiTheme="majorHAnsi" w:hAnsiTheme="majorHAnsi"/>
          <w:spacing w:val="-3"/>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2"/>
          <w:sz w:val="20"/>
          <w:szCs w:val="20"/>
        </w:rPr>
        <w:t xml:space="preserve"> </w:t>
      </w:r>
      <w:r w:rsidRPr="000977F7">
        <w:rPr>
          <w:rFonts w:asciiTheme="majorHAnsi" w:hAnsiTheme="majorHAnsi"/>
          <w:sz w:val="20"/>
          <w:szCs w:val="20"/>
        </w:rPr>
        <w:t>необхідності конкретизації</w:t>
      </w:r>
      <w:r w:rsidRPr="000977F7">
        <w:rPr>
          <w:rFonts w:asciiTheme="majorHAnsi" w:hAnsiTheme="majorHAnsi"/>
          <w:spacing w:val="-2"/>
          <w:sz w:val="20"/>
          <w:szCs w:val="20"/>
        </w:rPr>
        <w:t xml:space="preserve"> </w:t>
      </w:r>
      <w:r w:rsidRPr="000977F7">
        <w:rPr>
          <w:rFonts w:asciiTheme="majorHAnsi" w:hAnsiTheme="majorHAnsi"/>
          <w:sz w:val="20"/>
          <w:szCs w:val="20"/>
        </w:rPr>
        <w:t>їхніх</w:t>
      </w:r>
      <w:r w:rsidRPr="000977F7">
        <w:rPr>
          <w:rFonts w:asciiTheme="majorHAnsi" w:hAnsiTheme="majorHAnsi"/>
          <w:spacing w:val="-3"/>
          <w:sz w:val="20"/>
          <w:szCs w:val="20"/>
        </w:rPr>
        <w:t xml:space="preserve"> </w:t>
      </w:r>
      <w:r w:rsidRPr="000977F7">
        <w:rPr>
          <w:rFonts w:asciiTheme="majorHAnsi" w:hAnsiTheme="majorHAnsi"/>
          <w:sz w:val="20"/>
          <w:szCs w:val="20"/>
        </w:rPr>
        <w:t>вимог;</w:t>
      </w:r>
    </w:p>
    <w:p w14:paraId="741CAE00" w14:textId="77777777" w:rsidR="0097612F" w:rsidRPr="000977F7" w:rsidRDefault="0097612F" w:rsidP="00FD39A4">
      <w:pPr>
        <w:pStyle w:val="ac"/>
        <w:widowControl w:val="0"/>
        <w:numPr>
          <w:ilvl w:val="0"/>
          <w:numId w:val="75"/>
        </w:numPr>
        <w:tabs>
          <w:tab w:val="left" w:pos="284"/>
          <w:tab w:val="left" w:pos="59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 необхідності доповнення та (або) посилення вимог, норм та правил чинних стандартів на дану продукцією,</w:t>
      </w:r>
      <w:r w:rsidRPr="000977F7">
        <w:rPr>
          <w:rFonts w:asciiTheme="majorHAnsi" w:hAnsiTheme="majorHAnsi"/>
          <w:spacing w:val="1"/>
          <w:sz w:val="20"/>
          <w:szCs w:val="20"/>
        </w:rPr>
        <w:t xml:space="preserve"> </w:t>
      </w:r>
      <w:r w:rsidRPr="000977F7">
        <w:rPr>
          <w:rFonts w:asciiTheme="majorHAnsi" w:hAnsiTheme="majorHAnsi"/>
          <w:sz w:val="20"/>
          <w:szCs w:val="20"/>
        </w:rPr>
        <w:t>послуги.</w:t>
      </w:r>
    </w:p>
    <w:p w14:paraId="0B4C2160" w14:textId="77777777" w:rsidR="0097612F" w:rsidRPr="000977F7" w:rsidRDefault="0097612F" w:rsidP="00FD39A4">
      <w:pPr>
        <w:pStyle w:val="ac"/>
        <w:widowControl w:val="0"/>
        <w:numPr>
          <w:ilvl w:val="1"/>
          <w:numId w:val="72"/>
        </w:numPr>
        <w:tabs>
          <w:tab w:val="left" w:pos="284"/>
          <w:tab w:val="left" w:pos="94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ТУ</w:t>
      </w:r>
      <w:r w:rsidRPr="000977F7">
        <w:rPr>
          <w:rFonts w:asciiTheme="majorHAnsi" w:hAnsiTheme="majorHAnsi"/>
          <w:spacing w:val="-4"/>
          <w:sz w:val="20"/>
          <w:szCs w:val="20"/>
        </w:rPr>
        <w:t xml:space="preserve"> </w:t>
      </w:r>
      <w:r w:rsidRPr="000977F7">
        <w:rPr>
          <w:rFonts w:asciiTheme="majorHAnsi" w:hAnsiTheme="majorHAnsi"/>
          <w:sz w:val="20"/>
          <w:szCs w:val="20"/>
        </w:rPr>
        <w:t>розробляють на:</w:t>
      </w:r>
    </w:p>
    <w:p w14:paraId="02A91E98" w14:textId="77777777" w:rsidR="0097612F" w:rsidRPr="000977F7" w:rsidRDefault="0097612F" w:rsidP="00FD39A4">
      <w:pPr>
        <w:pStyle w:val="ac"/>
        <w:widowControl w:val="0"/>
        <w:numPr>
          <w:ilvl w:val="0"/>
          <w:numId w:val="75"/>
        </w:numPr>
        <w:tabs>
          <w:tab w:val="left" w:pos="284"/>
          <w:tab w:val="left" w:pos="55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один</w:t>
      </w:r>
      <w:r w:rsidRPr="000977F7">
        <w:rPr>
          <w:rFonts w:asciiTheme="majorHAnsi" w:hAnsiTheme="majorHAnsi"/>
          <w:spacing w:val="-4"/>
          <w:sz w:val="20"/>
          <w:szCs w:val="20"/>
        </w:rPr>
        <w:t xml:space="preserve"> </w:t>
      </w:r>
      <w:r w:rsidRPr="000977F7">
        <w:rPr>
          <w:rFonts w:asciiTheme="majorHAnsi" w:hAnsiTheme="majorHAnsi"/>
          <w:sz w:val="20"/>
          <w:szCs w:val="20"/>
        </w:rPr>
        <w:t>конкретний</w:t>
      </w:r>
      <w:r w:rsidRPr="000977F7">
        <w:rPr>
          <w:rFonts w:asciiTheme="majorHAnsi" w:hAnsiTheme="majorHAnsi"/>
          <w:spacing w:val="-4"/>
          <w:sz w:val="20"/>
          <w:szCs w:val="20"/>
        </w:rPr>
        <w:t xml:space="preserve"> </w:t>
      </w:r>
      <w:r w:rsidRPr="000977F7">
        <w:rPr>
          <w:rFonts w:asciiTheme="majorHAnsi" w:hAnsiTheme="majorHAnsi"/>
          <w:sz w:val="20"/>
          <w:szCs w:val="20"/>
        </w:rPr>
        <w:t>виріб,</w:t>
      </w:r>
      <w:r w:rsidRPr="000977F7">
        <w:rPr>
          <w:rFonts w:asciiTheme="majorHAnsi" w:hAnsiTheme="majorHAnsi"/>
          <w:spacing w:val="-2"/>
          <w:sz w:val="20"/>
          <w:szCs w:val="20"/>
        </w:rPr>
        <w:t xml:space="preserve"> </w:t>
      </w:r>
      <w:r w:rsidRPr="000977F7">
        <w:rPr>
          <w:rFonts w:asciiTheme="majorHAnsi" w:hAnsiTheme="majorHAnsi"/>
          <w:sz w:val="20"/>
          <w:szCs w:val="20"/>
        </w:rPr>
        <w:t>матеріал,</w:t>
      </w:r>
      <w:r w:rsidRPr="000977F7">
        <w:rPr>
          <w:rFonts w:asciiTheme="majorHAnsi" w:hAnsiTheme="majorHAnsi"/>
          <w:spacing w:val="-3"/>
          <w:sz w:val="20"/>
          <w:szCs w:val="20"/>
        </w:rPr>
        <w:t xml:space="preserve"> </w:t>
      </w:r>
      <w:r w:rsidRPr="000977F7">
        <w:rPr>
          <w:rFonts w:asciiTheme="majorHAnsi" w:hAnsiTheme="majorHAnsi"/>
          <w:sz w:val="20"/>
          <w:szCs w:val="20"/>
        </w:rPr>
        <w:t>речовину,</w:t>
      </w:r>
      <w:r w:rsidRPr="000977F7">
        <w:rPr>
          <w:rFonts w:asciiTheme="majorHAnsi" w:hAnsiTheme="majorHAnsi"/>
          <w:spacing w:val="-3"/>
          <w:sz w:val="20"/>
          <w:szCs w:val="20"/>
        </w:rPr>
        <w:t xml:space="preserve"> </w:t>
      </w:r>
      <w:r w:rsidRPr="000977F7">
        <w:rPr>
          <w:rFonts w:asciiTheme="majorHAnsi" w:hAnsiTheme="majorHAnsi"/>
          <w:sz w:val="20"/>
          <w:szCs w:val="20"/>
        </w:rPr>
        <w:t>одну</w:t>
      </w:r>
      <w:r w:rsidRPr="000977F7">
        <w:rPr>
          <w:rFonts w:asciiTheme="majorHAnsi" w:hAnsiTheme="majorHAnsi"/>
          <w:spacing w:val="-47"/>
          <w:sz w:val="20"/>
          <w:szCs w:val="20"/>
        </w:rPr>
        <w:t xml:space="preserve"> </w:t>
      </w:r>
      <w:r w:rsidRPr="000977F7">
        <w:rPr>
          <w:rFonts w:asciiTheme="majorHAnsi" w:hAnsiTheme="majorHAnsi"/>
          <w:sz w:val="20"/>
          <w:szCs w:val="20"/>
        </w:rPr>
        <w:t>послугу</w:t>
      </w:r>
      <w:r w:rsidRPr="000977F7">
        <w:rPr>
          <w:rFonts w:asciiTheme="majorHAnsi" w:hAnsiTheme="majorHAnsi"/>
          <w:spacing w:val="-5"/>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т.ін.;</w:t>
      </w:r>
    </w:p>
    <w:p w14:paraId="2D0761F8" w14:textId="77777777" w:rsidR="0097612F" w:rsidRPr="000977F7" w:rsidRDefault="0097612F" w:rsidP="00FD39A4">
      <w:pPr>
        <w:pStyle w:val="ac"/>
        <w:widowControl w:val="0"/>
        <w:numPr>
          <w:ilvl w:val="0"/>
          <w:numId w:val="75"/>
        </w:numPr>
        <w:tabs>
          <w:tab w:val="left" w:pos="284"/>
          <w:tab w:val="left" w:pos="55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декілька конкретних виробів, матеріалів, речовин і т.</w:t>
      </w:r>
      <w:r w:rsidRPr="000977F7">
        <w:rPr>
          <w:rFonts w:asciiTheme="majorHAnsi" w:hAnsiTheme="majorHAnsi"/>
          <w:spacing w:val="-47"/>
          <w:sz w:val="20"/>
          <w:szCs w:val="20"/>
        </w:rPr>
        <w:t xml:space="preserve"> </w:t>
      </w:r>
      <w:r w:rsidRPr="000977F7">
        <w:rPr>
          <w:rFonts w:asciiTheme="majorHAnsi" w:hAnsiTheme="majorHAnsi"/>
          <w:sz w:val="20"/>
          <w:szCs w:val="20"/>
        </w:rPr>
        <w:t>ін.,</w:t>
      </w:r>
      <w:r w:rsidRPr="000977F7">
        <w:rPr>
          <w:rFonts w:asciiTheme="majorHAnsi" w:hAnsiTheme="majorHAnsi"/>
          <w:spacing w:val="-1"/>
          <w:sz w:val="20"/>
          <w:szCs w:val="20"/>
        </w:rPr>
        <w:t xml:space="preserve"> </w:t>
      </w:r>
      <w:r w:rsidRPr="000977F7">
        <w:rPr>
          <w:rFonts w:asciiTheme="majorHAnsi" w:hAnsiTheme="majorHAnsi"/>
          <w:sz w:val="20"/>
          <w:szCs w:val="20"/>
        </w:rPr>
        <w:t>групу</w:t>
      </w:r>
      <w:r w:rsidRPr="000977F7">
        <w:rPr>
          <w:rFonts w:asciiTheme="majorHAnsi" w:hAnsiTheme="majorHAnsi"/>
          <w:spacing w:val="-2"/>
          <w:sz w:val="20"/>
          <w:szCs w:val="20"/>
        </w:rPr>
        <w:t xml:space="preserve"> </w:t>
      </w:r>
      <w:r w:rsidRPr="000977F7">
        <w:rPr>
          <w:rFonts w:asciiTheme="majorHAnsi" w:hAnsiTheme="majorHAnsi"/>
          <w:sz w:val="20"/>
          <w:szCs w:val="20"/>
        </w:rPr>
        <w:t>послуг</w:t>
      </w:r>
      <w:r w:rsidRPr="000977F7">
        <w:rPr>
          <w:rFonts w:asciiTheme="majorHAnsi" w:hAnsiTheme="majorHAnsi"/>
          <w:spacing w:val="-2"/>
          <w:sz w:val="20"/>
          <w:szCs w:val="20"/>
        </w:rPr>
        <w:t xml:space="preserve"> </w:t>
      </w:r>
      <w:r w:rsidRPr="000977F7">
        <w:rPr>
          <w:rFonts w:asciiTheme="majorHAnsi" w:hAnsiTheme="majorHAnsi"/>
          <w:sz w:val="20"/>
          <w:szCs w:val="20"/>
        </w:rPr>
        <w:t>(групові технічні</w:t>
      </w:r>
      <w:r w:rsidRPr="000977F7">
        <w:rPr>
          <w:rFonts w:asciiTheme="majorHAnsi" w:hAnsiTheme="majorHAnsi"/>
          <w:spacing w:val="1"/>
          <w:sz w:val="20"/>
          <w:szCs w:val="20"/>
        </w:rPr>
        <w:t xml:space="preserve"> </w:t>
      </w:r>
      <w:r w:rsidRPr="000977F7">
        <w:rPr>
          <w:rFonts w:asciiTheme="majorHAnsi" w:hAnsiTheme="majorHAnsi"/>
          <w:sz w:val="20"/>
          <w:szCs w:val="20"/>
        </w:rPr>
        <w:t>умови).</w:t>
      </w:r>
    </w:p>
    <w:p w14:paraId="0F463C25" w14:textId="77777777" w:rsidR="0097612F" w:rsidRPr="000977F7" w:rsidRDefault="0097612F" w:rsidP="00FD39A4">
      <w:pPr>
        <w:pStyle w:val="ac"/>
        <w:widowControl w:val="0"/>
        <w:numPr>
          <w:ilvl w:val="1"/>
          <w:numId w:val="72"/>
        </w:numPr>
        <w:tabs>
          <w:tab w:val="left" w:pos="284"/>
          <w:tab w:val="left" w:pos="94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ТУ допускається не розробляти, якщо продукція</w:t>
      </w:r>
      <w:r w:rsidRPr="000977F7">
        <w:rPr>
          <w:rFonts w:asciiTheme="majorHAnsi" w:hAnsiTheme="majorHAnsi"/>
          <w:spacing w:val="-47"/>
          <w:sz w:val="20"/>
          <w:szCs w:val="20"/>
        </w:rPr>
        <w:t xml:space="preserve"> </w:t>
      </w:r>
      <w:r w:rsidRPr="000977F7">
        <w:rPr>
          <w:rFonts w:asciiTheme="majorHAnsi" w:hAnsiTheme="majorHAnsi"/>
          <w:sz w:val="20"/>
          <w:szCs w:val="20"/>
        </w:rPr>
        <w:t>(послуга) може бути випущена (надана) за стандартом</w:t>
      </w:r>
      <w:r w:rsidRPr="000977F7">
        <w:rPr>
          <w:rFonts w:asciiTheme="majorHAnsi" w:hAnsiTheme="majorHAnsi"/>
          <w:spacing w:val="-47"/>
          <w:sz w:val="20"/>
          <w:szCs w:val="20"/>
        </w:rPr>
        <w:t xml:space="preserve"> </w:t>
      </w:r>
      <w:r w:rsidRPr="000977F7">
        <w:rPr>
          <w:rFonts w:asciiTheme="majorHAnsi" w:hAnsiTheme="majorHAnsi"/>
          <w:sz w:val="20"/>
          <w:szCs w:val="20"/>
        </w:rPr>
        <w:t>на конкретний вид продукції, а також за згодою замовника</w:t>
      </w:r>
      <w:r w:rsidRPr="000977F7">
        <w:rPr>
          <w:rFonts w:asciiTheme="majorHAnsi" w:hAnsiTheme="majorHAnsi"/>
          <w:spacing w:val="-1"/>
          <w:sz w:val="20"/>
          <w:szCs w:val="20"/>
        </w:rPr>
        <w:t xml:space="preserve"> </w:t>
      </w:r>
      <w:r w:rsidRPr="000977F7">
        <w:rPr>
          <w:rFonts w:asciiTheme="majorHAnsi" w:hAnsiTheme="majorHAnsi"/>
          <w:sz w:val="20"/>
          <w:szCs w:val="20"/>
        </w:rPr>
        <w:t>(основного споживача)</w:t>
      </w:r>
      <w:r w:rsidRPr="000977F7">
        <w:rPr>
          <w:rFonts w:asciiTheme="majorHAnsi" w:hAnsiTheme="majorHAnsi"/>
          <w:spacing w:val="50"/>
          <w:sz w:val="20"/>
          <w:szCs w:val="20"/>
        </w:rPr>
        <w:t xml:space="preserve"> </w:t>
      </w:r>
      <w:r w:rsidRPr="000977F7">
        <w:rPr>
          <w:rFonts w:asciiTheme="majorHAnsi" w:hAnsiTheme="majorHAnsi"/>
          <w:sz w:val="20"/>
          <w:szCs w:val="20"/>
        </w:rPr>
        <w:t>згідно</w:t>
      </w:r>
      <w:r w:rsidRPr="000977F7">
        <w:rPr>
          <w:rFonts w:asciiTheme="majorHAnsi" w:hAnsiTheme="majorHAnsi"/>
          <w:spacing w:val="1"/>
          <w:sz w:val="20"/>
          <w:szCs w:val="20"/>
        </w:rPr>
        <w:t xml:space="preserve"> </w:t>
      </w:r>
      <w:r w:rsidRPr="000977F7">
        <w:rPr>
          <w:rFonts w:asciiTheme="majorHAnsi" w:hAnsiTheme="majorHAnsi"/>
          <w:sz w:val="20"/>
          <w:szCs w:val="20"/>
        </w:rPr>
        <w:t>з:</w:t>
      </w:r>
    </w:p>
    <w:p w14:paraId="147E01C7" w14:textId="77777777" w:rsidR="0097612F" w:rsidRPr="000977F7" w:rsidRDefault="0097612F" w:rsidP="00FD39A4">
      <w:pPr>
        <w:pStyle w:val="ac"/>
        <w:widowControl w:val="0"/>
        <w:numPr>
          <w:ilvl w:val="0"/>
          <w:numId w:val="75"/>
        </w:numPr>
        <w:tabs>
          <w:tab w:val="left" w:pos="284"/>
          <w:tab w:val="left" w:pos="67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технічним</w:t>
      </w:r>
      <w:r w:rsidRPr="000977F7">
        <w:rPr>
          <w:rFonts w:asciiTheme="majorHAnsi" w:hAnsiTheme="majorHAnsi"/>
          <w:spacing w:val="1"/>
          <w:sz w:val="20"/>
          <w:szCs w:val="20"/>
        </w:rPr>
        <w:t xml:space="preserve"> </w:t>
      </w:r>
      <w:r w:rsidRPr="000977F7">
        <w:rPr>
          <w:rFonts w:asciiTheme="majorHAnsi" w:hAnsiTheme="majorHAnsi"/>
          <w:sz w:val="20"/>
          <w:szCs w:val="20"/>
        </w:rPr>
        <w:t>завданням</w:t>
      </w:r>
      <w:r w:rsidRPr="000977F7">
        <w:rPr>
          <w:rFonts w:asciiTheme="majorHAnsi" w:hAnsiTheme="majorHAnsi"/>
          <w:spacing w:val="1"/>
          <w:sz w:val="20"/>
          <w:szCs w:val="20"/>
        </w:rPr>
        <w:t xml:space="preserve"> </w:t>
      </w:r>
      <w:r w:rsidRPr="000977F7">
        <w:rPr>
          <w:rFonts w:asciiTheme="majorHAnsi" w:hAnsiTheme="majorHAnsi"/>
          <w:sz w:val="20"/>
          <w:szCs w:val="20"/>
        </w:rPr>
        <w:t>(контрактом,</w:t>
      </w:r>
      <w:r w:rsidRPr="000977F7">
        <w:rPr>
          <w:rFonts w:asciiTheme="majorHAnsi" w:hAnsiTheme="majorHAnsi"/>
          <w:spacing w:val="1"/>
          <w:sz w:val="20"/>
          <w:szCs w:val="20"/>
        </w:rPr>
        <w:t xml:space="preserve"> </w:t>
      </w:r>
      <w:r w:rsidRPr="000977F7">
        <w:rPr>
          <w:rFonts w:asciiTheme="majorHAnsi" w:hAnsiTheme="majorHAnsi"/>
          <w:sz w:val="20"/>
          <w:szCs w:val="20"/>
        </w:rPr>
        <w:t>протоколом,</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конструкторською документацією і т.ін.) – для одиничної</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4116FAD2" w14:textId="77777777" w:rsidR="0097612F" w:rsidRPr="000977F7" w:rsidRDefault="0097612F" w:rsidP="00FD39A4">
      <w:pPr>
        <w:pStyle w:val="ac"/>
        <w:widowControl w:val="0"/>
        <w:numPr>
          <w:ilvl w:val="0"/>
          <w:numId w:val="75"/>
        </w:numPr>
        <w:tabs>
          <w:tab w:val="left" w:pos="284"/>
          <w:tab w:val="left" w:pos="61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конструкторською</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документацією,</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входить</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47"/>
          <w:sz w:val="20"/>
          <w:szCs w:val="20"/>
        </w:rPr>
        <w:t xml:space="preserve"> </w:t>
      </w:r>
      <w:r w:rsidRPr="000977F7">
        <w:rPr>
          <w:rFonts w:asciiTheme="majorHAnsi" w:hAnsiTheme="majorHAnsi"/>
          <w:sz w:val="20"/>
          <w:szCs w:val="20"/>
        </w:rPr>
        <w:t>комплекту документації на виріб для складових частин</w:t>
      </w:r>
      <w:r w:rsidRPr="000977F7">
        <w:rPr>
          <w:rFonts w:asciiTheme="majorHAnsi" w:hAnsiTheme="majorHAnsi"/>
          <w:spacing w:val="-2"/>
          <w:sz w:val="20"/>
          <w:szCs w:val="20"/>
        </w:rPr>
        <w:t xml:space="preserve"> </w:t>
      </w:r>
      <w:r w:rsidRPr="000977F7">
        <w:rPr>
          <w:rFonts w:asciiTheme="majorHAnsi" w:hAnsiTheme="majorHAnsi"/>
          <w:sz w:val="20"/>
          <w:szCs w:val="20"/>
        </w:rPr>
        <w:t>цього</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p>
    <w:p w14:paraId="29A127BA" w14:textId="77777777" w:rsidR="0097612F" w:rsidRPr="000977F7" w:rsidRDefault="0097612F" w:rsidP="00FD39A4">
      <w:pPr>
        <w:pStyle w:val="ac"/>
        <w:widowControl w:val="0"/>
        <w:numPr>
          <w:ilvl w:val="0"/>
          <w:numId w:val="75"/>
        </w:numPr>
        <w:tabs>
          <w:tab w:val="left" w:pos="284"/>
          <w:tab w:val="left" w:pos="57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технічною документацією (технологічними та конструкторськими документами) для речовин, матеріалів</w:t>
      </w:r>
      <w:r w:rsidRPr="000977F7">
        <w:rPr>
          <w:rFonts w:asciiTheme="majorHAnsi" w:hAnsiTheme="majorHAnsi"/>
          <w:spacing w:val="1"/>
          <w:sz w:val="20"/>
          <w:szCs w:val="20"/>
        </w:rPr>
        <w:t xml:space="preserve"> </w:t>
      </w:r>
      <w:r w:rsidRPr="000977F7">
        <w:rPr>
          <w:rFonts w:asciiTheme="majorHAnsi" w:hAnsiTheme="majorHAnsi"/>
          <w:sz w:val="20"/>
          <w:szCs w:val="20"/>
        </w:rPr>
        <w:t>та напівфабрикатів, які полягають подальшій обробці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виготовляються</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встановленому</w:t>
      </w:r>
      <w:r w:rsidRPr="000977F7">
        <w:rPr>
          <w:rFonts w:asciiTheme="majorHAnsi" w:hAnsiTheme="majorHAnsi"/>
          <w:spacing w:val="1"/>
          <w:sz w:val="20"/>
          <w:szCs w:val="20"/>
        </w:rPr>
        <w:t xml:space="preserve"> </w:t>
      </w:r>
      <w:r w:rsidRPr="000977F7">
        <w:rPr>
          <w:rFonts w:asciiTheme="majorHAnsi" w:hAnsiTheme="majorHAnsi"/>
          <w:sz w:val="20"/>
          <w:szCs w:val="20"/>
        </w:rPr>
        <w:t>обсязі</w:t>
      </w:r>
      <w:r w:rsidRPr="000977F7">
        <w:rPr>
          <w:rFonts w:asciiTheme="majorHAnsi" w:hAnsiTheme="majorHAnsi"/>
          <w:spacing w:val="1"/>
          <w:sz w:val="20"/>
          <w:szCs w:val="20"/>
        </w:rPr>
        <w:t xml:space="preserve"> </w:t>
      </w:r>
      <w:r w:rsidRPr="000977F7">
        <w:rPr>
          <w:rFonts w:asciiTheme="majorHAnsi" w:hAnsiTheme="majorHAnsi"/>
          <w:sz w:val="20"/>
          <w:szCs w:val="20"/>
        </w:rPr>
        <w:t>прямим</w:t>
      </w:r>
      <w:r w:rsidRPr="000977F7">
        <w:rPr>
          <w:rFonts w:asciiTheme="majorHAnsi" w:hAnsiTheme="majorHAnsi"/>
          <w:spacing w:val="1"/>
          <w:sz w:val="20"/>
          <w:szCs w:val="20"/>
        </w:rPr>
        <w:t xml:space="preserve"> </w:t>
      </w:r>
      <w:r w:rsidRPr="000977F7">
        <w:rPr>
          <w:rFonts w:asciiTheme="majorHAnsi" w:hAnsiTheme="majorHAnsi"/>
          <w:sz w:val="20"/>
          <w:szCs w:val="20"/>
        </w:rPr>
        <w:t>замовленням</w:t>
      </w:r>
      <w:r w:rsidRPr="000977F7">
        <w:rPr>
          <w:rFonts w:asciiTheme="majorHAnsi" w:hAnsiTheme="majorHAnsi"/>
          <w:spacing w:val="-1"/>
          <w:sz w:val="20"/>
          <w:szCs w:val="20"/>
        </w:rPr>
        <w:t xml:space="preserve"> </w:t>
      </w:r>
      <w:r w:rsidRPr="000977F7">
        <w:rPr>
          <w:rFonts w:asciiTheme="majorHAnsi" w:hAnsiTheme="majorHAnsi"/>
          <w:sz w:val="20"/>
          <w:szCs w:val="20"/>
        </w:rPr>
        <w:t>одного</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w:t>
      </w:r>
    </w:p>
    <w:p w14:paraId="267DD174" w14:textId="77777777" w:rsidR="0097612F" w:rsidRPr="000977F7" w:rsidRDefault="0097612F" w:rsidP="00FD39A4">
      <w:pPr>
        <w:pStyle w:val="ac"/>
        <w:widowControl w:val="0"/>
        <w:numPr>
          <w:ilvl w:val="0"/>
          <w:numId w:val="75"/>
        </w:numPr>
        <w:tabs>
          <w:tab w:val="left" w:pos="284"/>
          <w:tab w:val="left" w:pos="57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зразком-еталоном та технічним описом зразка – для</w:t>
      </w:r>
      <w:r w:rsidRPr="000977F7">
        <w:rPr>
          <w:rFonts w:asciiTheme="majorHAnsi" w:hAnsiTheme="majorHAnsi"/>
          <w:spacing w:val="1"/>
          <w:sz w:val="20"/>
          <w:szCs w:val="20"/>
        </w:rPr>
        <w:t xml:space="preserve"> </w:t>
      </w:r>
      <w:r w:rsidRPr="000977F7">
        <w:rPr>
          <w:rFonts w:asciiTheme="majorHAnsi" w:hAnsiTheme="majorHAnsi"/>
          <w:sz w:val="20"/>
          <w:szCs w:val="20"/>
        </w:rPr>
        <w:t>непродовольчих товарів народного вжитку (за винятком складної побутової техніки, продукції побутової</w:t>
      </w:r>
      <w:r w:rsidRPr="000977F7">
        <w:rPr>
          <w:rFonts w:asciiTheme="majorHAnsi" w:hAnsiTheme="majorHAnsi"/>
          <w:spacing w:val="1"/>
          <w:sz w:val="20"/>
          <w:szCs w:val="20"/>
        </w:rPr>
        <w:t xml:space="preserve"> </w:t>
      </w:r>
      <w:r w:rsidRPr="000977F7">
        <w:rPr>
          <w:rFonts w:asciiTheme="majorHAnsi" w:hAnsiTheme="majorHAnsi"/>
          <w:sz w:val="20"/>
          <w:szCs w:val="20"/>
        </w:rPr>
        <w:t>хімії та транспортних засобів), коли показники їхньої</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встановлені</w:t>
      </w:r>
      <w:r w:rsidRPr="000977F7">
        <w:rPr>
          <w:rFonts w:asciiTheme="majorHAnsi" w:hAnsiTheme="majorHAnsi"/>
          <w:spacing w:val="1"/>
          <w:sz w:val="20"/>
          <w:szCs w:val="20"/>
        </w:rPr>
        <w:t xml:space="preserve"> </w:t>
      </w:r>
      <w:r w:rsidRPr="000977F7">
        <w:rPr>
          <w:rFonts w:asciiTheme="majorHAnsi" w:hAnsiTheme="majorHAnsi"/>
          <w:sz w:val="20"/>
          <w:szCs w:val="20"/>
        </w:rPr>
        <w:t>стандартом</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групу</w:t>
      </w:r>
      <w:r w:rsidRPr="000977F7">
        <w:rPr>
          <w:rFonts w:asciiTheme="majorHAnsi" w:hAnsiTheme="majorHAnsi"/>
          <w:spacing w:val="1"/>
          <w:sz w:val="20"/>
          <w:szCs w:val="20"/>
        </w:rPr>
        <w:t xml:space="preserve"> </w:t>
      </w:r>
      <w:r w:rsidRPr="000977F7">
        <w:rPr>
          <w:rFonts w:asciiTheme="majorHAnsi" w:hAnsiTheme="majorHAnsi"/>
          <w:sz w:val="20"/>
          <w:szCs w:val="20"/>
        </w:rPr>
        <w:t>однорідної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43D92289" w14:textId="77777777" w:rsidR="0097612F" w:rsidRPr="000977F7" w:rsidRDefault="0097612F" w:rsidP="00FD39A4">
      <w:pPr>
        <w:pStyle w:val="ac"/>
        <w:widowControl w:val="0"/>
        <w:numPr>
          <w:ilvl w:val="0"/>
          <w:numId w:val="75"/>
        </w:numPr>
        <w:tabs>
          <w:tab w:val="left" w:pos="284"/>
          <w:tab w:val="left" w:pos="57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контрактом – для продукції, призначеної тільки для</w:t>
      </w:r>
      <w:r w:rsidRPr="000977F7">
        <w:rPr>
          <w:rFonts w:asciiTheme="majorHAnsi" w:hAnsiTheme="majorHAnsi"/>
          <w:spacing w:val="1"/>
          <w:sz w:val="20"/>
          <w:szCs w:val="20"/>
        </w:rPr>
        <w:t xml:space="preserve"> </w:t>
      </w:r>
      <w:r w:rsidRPr="000977F7">
        <w:rPr>
          <w:rFonts w:asciiTheme="majorHAnsi" w:hAnsiTheme="majorHAnsi"/>
          <w:sz w:val="20"/>
          <w:szCs w:val="20"/>
        </w:rPr>
        <w:t>експорту (за дотримання обов’язкових вимог стандартів з безпеки та охорони навколишнього природного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p>
    <w:p w14:paraId="7C0EC1F9" w14:textId="77777777" w:rsidR="0097612F" w:rsidRPr="000977F7" w:rsidRDefault="0097612F" w:rsidP="00FD39A4">
      <w:pPr>
        <w:pStyle w:val="ac"/>
        <w:widowControl w:val="0"/>
        <w:numPr>
          <w:ilvl w:val="1"/>
          <w:numId w:val="72"/>
        </w:numPr>
        <w:tabs>
          <w:tab w:val="left" w:pos="284"/>
          <w:tab w:val="left" w:pos="94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Якщо окремі вимоги, які поширюються на дану</w:t>
      </w:r>
      <w:r w:rsidRPr="000977F7">
        <w:rPr>
          <w:rFonts w:asciiTheme="majorHAnsi" w:hAnsiTheme="majorHAnsi"/>
          <w:spacing w:val="1"/>
          <w:sz w:val="20"/>
          <w:szCs w:val="20"/>
        </w:rPr>
        <w:t xml:space="preserve"> </w:t>
      </w:r>
      <w:r w:rsidRPr="000977F7">
        <w:rPr>
          <w:rFonts w:asciiTheme="majorHAnsi" w:hAnsiTheme="majorHAnsi"/>
          <w:sz w:val="20"/>
          <w:szCs w:val="20"/>
        </w:rPr>
        <w:t>продукцію послуги, встановлені в стандартах, ТУ на</w:t>
      </w:r>
      <w:r w:rsidRPr="000977F7">
        <w:rPr>
          <w:rFonts w:asciiTheme="majorHAnsi" w:hAnsiTheme="majorHAnsi"/>
          <w:spacing w:val="1"/>
          <w:sz w:val="20"/>
          <w:szCs w:val="20"/>
        </w:rPr>
        <w:t xml:space="preserve"> </w:t>
      </w:r>
      <w:r w:rsidRPr="000977F7">
        <w:rPr>
          <w:rFonts w:asciiTheme="majorHAnsi" w:hAnsiTheme="majorHAnsi"/>
          <w:sz w:val="20"/>
          <w:szCs w:val="20"/>
        </w:rPr>
        <w:t>іншу продукцію, послуги, в програмі і методиці випробувань,</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конструкторських</w:t>
      </w:r>
      <w:r w:rsidRPr="000977F7">
        <w:rPr>
          <w:rFonts w:asciiTheme="majorHAnsi" w:hAnsiTheme="majorHAnsi"/>
          <w:spacing w:val="1"/>
          <w:sz w:val="20"/>
          <w:szCs w:val="20"/>
        </w:rPr>
        <w:t xml:space="preserve"> </w:t>
      </w:r>
      <w:r w:rsidRPr="000977F7">
        <w:rPr>
          <w:rFonts w:asciiTheme="majorHAnsi" w:hAnsiTheme="majorHAnsi"/>
          <w:sz w:val="20"/>
          <w:szCs w:val="20"/>
        </w:rPr>
        <w:lastRenderedPageBreak/>
        <w:t>документах</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дану</w:t>
      </w:r>
      <w:r w:rsidRPr="000977F7">
        <w:rPr>
          <w:rFonts w:asciiTheme="majorHAnsi" w:hAnsiTheme="majorHAnsi"/>
          <w:spacing w:val="1"/>
          <w:sz w:val="20"/>
          <w:szCs w:val="20"/>
        </w:rPr>
        <w:t xml:space="preserve"> </w:t>
      </w:r>
      <w:r w:rsidRPr="000977F7">
        <w:rPr>
          <w:rFonts w:asciiTheme="majorHAnsi" w:hAnsiTheme="majorHAnsi"/>
          <w:sz w:val="20"/>
          <w:szCs w:val="20"/>
        </w:rPr>
        <w:t>продукцію,</w:t>
      </w:r>
      <w:r w:rsidRPr="000977F7">
        <w:rPr>
          <w:rFonts w:asciiTheme="majorHAnsi" w:hAnsiTheme="majorHAnsi"/>
          <w:spacing w:val="8"/>
          <w:sz w:val="20"/>
          <w:szCs w:val="20"/>
        </w:rPr>
        <w:t xml:space="preserve"> </w:t>
      </w:r>
      <w:r w:rsidRPr="000977F7">
        <w:rPr>
          <w:rFonts w:asciiTheme="majorHAnsi" w:hAnsiTheme="majorHAnsi"/>
          <w:sz w:val="20"/>
          <w:szCs w:val="20"/>
        </w:rPr>
        <w:t>то</w:t>
      </w:r>
      <w:r w:rsidRPr="000977F7">
        <w:rPr>
          <w:rFonts w:asciiTheme="majorHAnsi" w:hAnsiTheme="majorHAnsi"/>
          <w:spacing w:val="10"/>
          <w:sz w:val="20"/>
          <w:szCs w:val="20"/>
        </w:rPr>
        <w:t xml:space="preserve"> </w:t>
      </w:r>
      <w:r w:rsidRPr="000977F7">
        <w:rPr>
          <w:rFonts w:asciiTheme="majorHAnsi" w:hAnsiTheme="majorHAnsi"/>
          <w:sz w:val="20"/>
          <w:szCs w:val="20"/>
        </w:rPr>
        <w:t>в</w:t>
      </w:r>
      <w:r w:rsidRPr="000977F7">
        <w:rPr>
          <w:rFonts w:asciiTheme="majorHAnsi" w:hAnsiTheme="majorHAnsi"/>
          <w:spacing w:val="9"/>
          <w:sz w:val="20"/>
          <w:szCs w:val="20"/>
        </w:rPr>
        <w:t xml:space="preserve"> </w:t>
      </w:r>
      <w:r w:rsidRPr="000977F7">
        <w:rPr>
          <w:rFonts w:asciiTheme="majorHAnsi" w:hAnsiTheme="majorHAnsi"/>
          <w:sz w:val="20"/>
          <w:szCs w:val="20"/>
        </w:rPr>
        <w:t>ТУ</w:t>
      </w:r>
      <w:r w:rsidRPr="000977F7">
        <w:rPr>
          <w:rFonts w:asciiTheme="majorHAnsi" w:hAnsiTheme="majorHAnsi"/>
          <w:spacing w:val="9"/>
          <w:sz w:val="20"/>
          <w:szCs w:val="20"/>
        </w:rPr>
        <w:t xml:space="preserve"> </w:t>
      </w:r>
      <w:r w:rsidRPr="000977F7">
        <w:rPr>
          <w:rFonts w:asciiTheme="majorHAnsi" w:hAnsiTheme="majorHAnsi"/>
          <w:sz w:val="20"/>
          <w:szCs w:val="20"/>
        </w:rPr>
        <w:t>зазначені</w:t>
      </w:r>
      <w:r w:rsidRPr="000977F7">
        <w:rPr>
          <w:rFonts w:asciiTheme="majorHAnsi" w:hAnsiTheme="majorHAnsi"/>
          <w:spacing w:val="8"/>
          <w:sz w:val="20"/>
          <w:szCs w:val="20"/>
        </w:rPr>
        <w:t xml:space="preserve"> </w:t>
      </w:r>
      <w:r w:rsidRPr="000977F7">
        <w:rPr>
          <w:rFonts w:asciiTheme="majorHAnsi" w:hAnsiTheme="majorHAnsi"/>
          <w:sz w:val="20"/>
          <w:szCs w:val="20"/>
        </w:rPr>
        <w:t>вимоги</w:t>
      </w:r>
      <w:r w:rsidRPr="000977F7">
        <w:rPr>
          <w:rFonts w:asciiTheme="majorHAnsi" w:hAnsiTheme="majorHAnsi"/>
          <w:spacing w:val="10"/>
          <w:sz w:val="20"/>
          <w:szCs w:val="20"/>
        </w:rPr>
        <w:t xml:space="preserve"> </w:t>
      </w:r>
      <w:r w:rsidRPr="000977F7">
        <w:rPr>
          <w:rFonts w:asciiTheme="majorHAnsi" w:hAnsiTheme="majorHAnsi"/>
          <w:sz w:val="20"/>
          <w:szCs w:val="20"/>
        </w:rPr>
        <w:t>не</w:t>
      </w:r>
      <w:r w:rsidRPr="000977F7">
        <w:rPr>
          <w:rFonts w:asciiTheme="majorHAnsi" w:hAnsiTheme="majorHAnsi"/>
          <w:spacing w:val="10"/>
          <w:sz w:val="20"/>
          <w:szCs w:val="20"/>
        </w:rPr>
        <w:t xml:space="preserve"> </w:t>
      </w:r>
      <w:r w:rsidRPr="000977F7">
        <w:rPr>
          <w:rFonts w:asciiTheme="majorHAnsi" w:hAnsiTheme="majorHAnsi"/>
          <w:sz w:val="20"/>
          <w:szCs w:val="20"/>
        </w:rPr>
        <w:t>повторюють,</w:t>
      </w:r>
      <w:r w:rsidRPr="000977F7">
        <w:rPr>
          <w:rFonts w:asciiTheme="majorHAnsi" w:hAnsiTheme="majorHAnsi"/>
          <w:spacing w:val="-47"/>
          <w:sz w:val="20"/>
          <w:szCs w:val="20"/>
        </w:rPr>
        <w:t xml:space="preserve"> </w:t>
      </w:r>
      <w:r w:rsidRPr="000977F7">
        <w:rPr>
          <w:rFonts w:asciiTheme="majorHAnsi" w:hAnsiTheme="majorHAnsi"/>
          <w:sz w:val="20"/>
          <w:szCs w:val="20"/>
        </w:rPr>
        <w:t>а</w:t>
      </w:r>
      <w:r w:rsidRPr="000977F7">
        <w:rPr>
          <w:rFonts w:asciiTheme="majorHAnsi" w:hAnsiTheme="majorHAnsi"/>
          <w:spacing w:val="36"/>
          <w:sz w:val="20"/>
          <w:szCs w:val="20"/>
        </w:rPr>
        <w:t xml:space="preserve"> </w:t>
      </w:r>
      <w:r w:rsidRPr="000977F7">
        <w:rPr>
          <w:rFonts w:asciiTheme="majorHAnsi" w:hAnsiTheme="majorHAnsi"/>
          <w:sz w:val="20"/>
          <w:szCs w:val="20"/>
        </w:rPr>
        <w:t>у</w:t>
      </w:r>
      <w:r w:rsidRPr="000977F7">
        <w:rPr>
          <w:rFonts w:asciiTheme="majorHAnsi" w:hAnsiTheme="majorHAnsi"/>
          <w:spacing w:val="33"/>
          <w:sz w:val="20"/>
          <w:szCs w:val="20"/>
        </w:rPr>
        <w:t xml:space="preserve"> </w:t>
      </w:r>
      <w:r w:rsidRPr="000977F7">
        <w:rPr>
          <w:rFonts w:asciiTheme="majorHAnsi" w:hAnsiTheme="majorHAnsi"/>
          <w:sz w:val="20"/>
          <w:szCs w:val="20"/>
        </w:rPr>
        <w:t>відповідних</w:t>
      </w:r>
      <w:r w:rsidRPr="000977F7">
        <w:rPr>
          <w:rFonts w:asciiTheme="majorHAnsi" w:hAnsiTheme="majorHAnsi"/>
          <w:spacing w:val="34"/>
          <w:sz w:val="20"/>
          <w:szCs w:val="20"/>
        </w:rPr>
        <w:t xml:space="preserve"> </w:t>
      </w:r>
      <w:r w:rsidRPr="000977F7">
        <w:rPr>
          <w:rFonts w:asciiTheme="majorHAnsi" w:hAnsiTheme="majorHAnsi"/>
          <w:sz w:val="20"/>
          <w:szCs w:val="20"/>
        </w:rPr>
        <w:t>розділах</w:t>
      </w:r>
      <w:r w:rsidRPr="000977F7">
        <w:rPr>
          <w:rFonts w:asciiTheme="majorHAnsi" w:hAnsiTheme="majorHAnsi"/>
          <w:spacing w:val="34"/>
          <w:sz w:val="20"/>
          <w:szCs w:val="20"/>
        </w:rPr>
        <w:t xml:space="preserve"> </w:t>
      </w:r>
      <w:r w:rsidRPr="000977F7">
        <w:rPr>
          <w:rFonts w:asciiTheme="majorHAnsi" w:hAnsiTheme="majorHAnsi"/>
          <w:sz w:val="20"/>
          <w:szCs w:val="20"/>
        </w:rPr>
        <w:t>ТУ</w:t>
      </w:r>
      <w:r w:rsidRPr="000977F7">
        <w:rPr>
          <w:rFonts w:asciiTheme="majorHAnsi" w:hAnsiTheme="majorHAnsi"/>
          <w:spacing w:val="37"/>
          <w:sz w:val="20"/>
          <w:szCs w:val="20"/>
        </w:rPr>
        <w:t xml:space="preserve"> </w:t>
      </w:r>
      <w:r w:rsidRPr="000977F7">
        <w:rPr>
          <w:rFonts w:asciiTheme="majorHAnsi" w:hAnsiTheme="majorHAnsi"/>
          <w:sz w:val="20"/>
          <w:szCs w:val="20"/>
        </w:rPr>
        <w:t>дають</w:t>
      </w:r>
      <w:r w:rsidRPr="000977F7">
        <w:rPr>
          <w:rFonts w:asciiTheme="majorHAnsi" w:hAnsiTheme="majorHAnsi"/>
          <w:spacing w:val="36"/>
          <w:sz w:val="20"/>
          <w:szCs w:val="20"/>
        </w:rPr>
        <w:t xml:space="preserve"> </w:t>
      </w:r>
      <w:r w:rsidRPr="000977F7">
        <w:rPr>
          <w:rFonts w:asciiTheme="majorHAnsi" w:hAnsiTheme="majorHAnsi"/>
          <w:sz w:val="20"/>
          <w:szCs w:val="20"/>
        </w:rPr>
        <w:t>посилання</w:t>
      </w:r>
      <w:r w:rsidRPr="000977F7">
        <w:rPr>
          <w:rFonts w:asciiTheme="majorHAnsi" w:hAnsiTheme="majorHAnsi"/>
          <w:spacing w:val="38"/>
          <w:sz w:val="20"/>
          <w:szCs w:val="20"/>
        </w:rPr>
        <w:t xml:space="preserve"> </w:t>
      </w:r>
      <w:r w:rsidRPr="000977F7">
        <w:rPr>
          <w:rFonts w:asciiTheme="majorHAnsi" w:hAnsiTheme="majorHAnsi"/>
          <w:sz w:val="20"/>
          <w:szCs w:val="20"/>
        </w:rPr>
        <w:t>на</w:t>
      </w:r>
      <w:r w:rsidRPr="000977F7">
        <w:rPr>
          <w:rFonts w:asciiTheme="majorHAnsi" w:hAnsiTheme="majorHAnsi"/>
          <w:spacing w:val="36"/>
          <w:sz w:val="20"/>
          <w:szCs w:val="20"/>
        </w:rPr>
        <w:t xml:space="preserve"> </w:t>
      </w:r>
      <w:r w:rsidRPr="000977F7">
        <w:rPr>
          <w:rFonts w:asciiTheme="majorHAnsi" w:hAnsiTheme="majorHAnsi"/>
          <w:sz w:val="20"/>
          <w:szCs w:val="20"/>
        </w:rPr>
        <w:t>ці документи або їхні розділи, пункти. Не допускається</w:t>
      </w:r>
      <w:r w:rsidRPr="000977F7">
        <w:rPr>
          <w:rFonts w:asciiTheme="majorHAnsi" w:hAnsiTheme="majorHAnsi"/>
          <w:spacing w:val="1"/>
          <w:sz w:val="20"/>
          <w:szCs w:val="20"/>
        </w:rPr>
        <w:t xml:space="preserve"> </w:t>
      </w:r>
      <w:r w:rsidRPr="000977F7">
        <w:rPr>
          <w:rFonts w:asciiTheme="majorHAnsi" w:hAnsiTheme="majorHAnsi"/>
          <w:sz w:val="20"/>
          <w:szCs w:val="20"/>
        </w:rPr>
        <w:t>посилання</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стандарти</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w:t>
      </w:r>
    </w:p>
    <w:p w14:paraId="5D347659" w14:textId="77777777" w:rsidR="0097612F" w:rsidRPr="000977F7" w:rsidRDefault="0097612F" w:rsidP="00FD39A4">
      <w:pPr>
        <w:pStyle w:val="ac"/>
        <w:widowControl w:val="0"/>
        <w:numPr>
          <w:ilvl w:val="1"/>
          <w:numId w:val="72"/>
        </w:numPr>
        <w:tabs>
          <w:tab w:val="left" w:pos="284"/>
          <w:tab w:val="left" w:pos="81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Як ТУ допускається застосовувати міжнародні,</w:t>
      </w:r>
      <w:r w:rsidRPr="000977F7">
        <w:rPr>
          <w:rFonts w:asciiTheme="majorHAnsi" w:hAnsiTheme="majorHAnsi"/>
          <w:spacing w:val="1"/>
          <w:sz w:val="20"/>
          <w:szCs w:val="20"/>
        </w:rPr>
        <w:t xml:space="preserve"> </w:t>
      </w:r>
      <w:r w:rsidRPr="000977F7">
        <w:rPr>
          <w:rFonts w:asciiTheme="majorHAnsi" w:hAnsiTheme="majorHAnsi"/>
          <w:sz w:val="20"/>
          <w:szCs w:val="20"/>
        </w:rPr>
        <w:t>регіональні та національні стандарти інших країн на</w:t>
      </w:r>
      <w:r w:rsidRPr="000977F7">
        <w:rPr>
          <w:rFonts w:asciiTheme="majorHAnsi" w:hAnsiTheme="majorHAnsi"/>
          <w:spacing w:val="1"/>
          <w:sz w:val="20"/>
          <w:szCs w:val="20"/>
        </w:rPr>
        <w:t xml:space="preserve"> </w:t>
      </w:r>
      <w:r w:rsidRPr="000977F7">
        <w:rPr>
          <w:rFonts w:asciiTheme="majorHAnsi" w:hAnsiTheme="majorHAnsi"/>
          <w:sz w:val="20"/>
          <w:szCs w:val="20"/>
        </w:rPr>
        <w:t>основі</w:t>
      </w:r>
      <w:r w:rsidRPr="000977F7">
        <w:rPr>
          <w:rFonts w:asciiTheme="majorHAnsi" w:hAnsiTheme="majorHAnsi"/>
          <w:spacing w:val="1"/>
          <w:sz w:val="20"/>
          <w:szCs w:val="20"/>
        </w:rPr>
        <w:t xml:space="preserve"> </w:t>
      </w:r>
      <w:r w:rsidRPr="000977F7">
        <w:rPr>
          <w:rFonts w:asciiTheme="majorHAnsi" w:hAnsiTheme="majorHAnsi"/>
          <w:sz w:val="20"/>
          <w:szCs w:val="20"/>
        </w:rPr>
        <w:t>міжнародних</w:t>
      </w:r>
      <w:r w:rsidRPr="000977F7">
        <w:rPr>
          <w:rFonts w:asciiTheme="majorHAnsi" w:hAnsiTheme="majorHAnsi"/>
          <w:spacing w:val="1"/>
          <w:sz w:val="20"/>
          <w:szCs w:val="20"/>
        </w:rPr>
        <w:t xml:space="preserve"> </w:t>
      </w:r>
      <w:r w:rsidRPr="000977F7">
        <w:rPr>
          <w:rFonts w:asciiTheme="majorHAnsi" w:hAnsiTheme="majorHAnsi"/>
          <w:sz w:val="20"/>
          <w:szCs w:val="20"/>
        </w:rPr>
        <w:t>угод</w:t>
      </w:r>
      <w:r w:rsidRPr="000977F7">
        <w:rPr>
          <w:rFonts w:asciiTheme="majorHAnsi" w:hAnsiTheme="majorHAnsi"/>
          <w:spacing w:val="1"/>
          <w:sz w:val="20"/>
          <w:szCs w:val="20"/>
        </w:rPr>
        <w:t xml:space="preserve"> </w:t>
      </w:r>
      <w:r w:rsidRPr="000977F7">
        <w:rPr>
          <w:rFonts w:asciiTheme="majorHAnsi" w:hAnsiTheme="majorHAnsi"/>
          <w:sz w:val="20"/>
          <w:szCs w:val="20"/>
        </w:rPr>
        <w:t>(договорів),</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дозволу</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відповідних регіональних організацій або національних органів з стандартизації, якщо вимоги цих документів відповідають потребам народного господарства, не протирічать чинному законодавству України і</w:t>
      </w:r>
      <w:r w:rsidRPr="000977F7">
        <w:rPr>
          <w:rFonts w:asciiTheme="majorHAnsi" w:hAnsiTheme="majorHAnsi"/>
          <w:spacing w:val="1"/>
          <w:sz w:val="20"/>
          <w:szCs w:val="20"/>
        </w:rPr>
        <w:t xml:space="preserve"> </w:t>
      </w:r>
      <w:r w:rsidRPr="000977F7">
        <w:rPr>
          <w:rFonts w:asciiTheme="majorHAnsi" w:hAnsiTheme="majorHAnsi"/>
          <w:sz w:val="20"/>
          <w:szCs w:val="20"/>
        </w:rPr>
        <w:t>відсутні розроблені на їхній основі державні стандарти</w:t>
      </w:r>
      <w:r w:rsidRPr="000977F7">
        <w:rPr>
          <w:rFonts w:asciiTheme="majorHAnsi" w:hAnsiTheme="majorHAnsi"/>
          <w:spacing w:val="48"/>
          <w:sz w:val="20"/>
          <w:szCs w:val="20"/>
        </w:rPr>
        <w:t xml:space="preserve"> </w:t>
      </w:r>
      <w:r w:rsidRPr="000977F7">
        <w:rPr>
          <w:rFonts w:asciiTheme="majorHAnsi" w:hAnsiTheme="majorHAnsi"/>
          <w:sz w:val="20"/>
          <w:szCs w:val="20"/>
        </w:rPr>
        <w:t>або галузеві</w:t>
      </w:r>
      <w:r w:rsidRPr="000977F7">
        <w:rPr>
          <w:rFonts w:asciiTheme="majorHAnsi" w:hAnsiTheme="majorHAnsi"/>
          <w:spacing w:val="-1"/>
          <w:sz w:val="20"/>
          <w:szCs w:val="20"/>
        </w:rPr>
        <w:t xml:space="preserve"> </w:t>
      </w:r>
      <w:r w:rsidRPr="000977F7">
        <w:rPr>
          <w:rFonts w:asciiTheme="majorHAnsi" w:hAnsiTheme="majorHAnsi"/>
          <w:sz w:val="20"/>
          <w:szCs w:val="20"/>
        </w:rPr>
        <w:t>стандарти</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p>
    <w:p w14:paraId="40AD2F24" w14:textId="77777777" w:rsidR="0097612F" w:rsidRPr="000977F7" w:rsidRDefault="0097612F" w:rsidP="00FD39A4">
      <w:pPr>
        <w:pStyle w:val="ac"/>
        <w:widowControl w:val="0"/>
        <w:numPr>
          <w:ilvl w:val="1"/>
          <w:numId w:val="72"/>
        </w:numPr>
        <w:tabs>
          <w:tab w:val="left" w:pos="284"/>
          <w:tab w:val="left" w:pos="81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Термін введення в дію ТУ встановлює підприємство (організація)</w:t>
      </w:r>
      <w:r w:rsidRPr="000977F7">
        <w:rPr>
          <w:rFonts w:asciiTheme="majorHAnsi" w:hAnsiTheme="majorHAnsi"/>
          <w:spacing w:val="2"/>
          <w:sz w:val="20"/>
          <w:szCs w:val="20"/>
        </w:rPr>
        <w:t xml:space="preserve"> </w:t>
      </w:r>
      <w:r w:rsidRPr="000977F7">
        <w:rPr>
          <w:rFonts w:asciiTheme="majorHAnsi" w:hAnsiTheme="majorHAnsi"/>
          <w:sz w:val="20"/>
          <w:szCs w:val="20"/>
        </w:rPr>
        <w:t>– розробник.</w:t>
      </w:r>
    </w:p>
    <w:p w14:paraId="4EF646C1" w14:textId="77777777" w:rsidR="0097612F" w:rsidRPr="000977F7" w:rsidRDefault="0097612F" w:rsidP="00FD39A4">
      <w:pPr>
        <w:pStyle w:val="ac"/>
        <w:widowControl w:val="0"/>
        <w:numPr>
          <w:ilvl w:val="1"/>
          <w:numId w:val="72"/>
        </w:numPr>
        <w:tabs>
          <w:tab w:val="left" w:pos="284"/>
          <w:tab w:val="left" w:pos="81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 погодженням із замовником (основним споживачем) допускається не обмежувати термін дії ТУ.</w:t>
      </w:r>
      <w:r w:rsidRPr="000977F7">
        <w:rPr>
          <w:rFonts w:asciiTheme="majorHAnsi" w:hAnsiTheme="majorHAnsi"/>
          <w:spacing w:val="1"/>
          <w:sz w:val="20"/>
          <w:szCs w:val="20"/>
        </w:rPr>
        <w:t xml:space="preserve"> </w:t>
      </w:r>
      <w:r w:rsidRPr="000977F7">
        <w:rPr>
          <w:rFonts w:asciiTheme="majorHAnsi" w:hAnsiTheme="majorHAnsi"/>
          <w:sz w:val="20"/>
          <w:szCs w:val="20"/>
        </w:rPr>
        <w:t>В такому разі на титульній сторінці повинен бути на</w:t>
      </w:r>
      <w:r w:rsidRPr="000977F7">
        <w:rPr>
          <w:rFonts w:asciiTheme="majorHAnsi" w:hAnsiTheme="majorHAnsi"/>
          <w:spacing w:val="-2"/>
          <w:w w:val="99"/>
          <w:sz w:val="20"/>
          <w:szCs w:val="20"/>
        </w:rPr>
        <w:t>пи</w:t>
      </w:r>
      <w:r w:rsidRPr="000977F7">
        <w:rPr>
          <w:rFonts w:asciiTheme="majorHAnsi" w:hAnsiTheme="majorHAnsi"/>
          <w:w w:val="99"/>
          <w:sz w:val="20"/>
          <w:szCs w:val="20"/>
        </w:rPr>
        <w:t>с:</w:t>
      </w:r>
      <w:r w:rsidRPr="000977F7">
        <w:rPr>
          <w:rFonts w:asciiTheme="majorHAnsi" w:hAnsiTheme="majorHAnsi"/>
          <w:spacing w:val="2"/>
          <w:sz w:val="20"/>
          <w:szCs w:val="20"/>
        </w:rPr>
        <w:t xml:space="preserve"> </w:t>
      </w:r>
      <w:r w:rsidRPr="000977F7">
        <w:rPr>
          <w:rFonts w:asciiTheme="majorHAnsi" w:hAnsiTheme="majorHAnsi"/>
          <w:spacing w:val="-2"/>
          <w:w w:val="44"/>
          <w:sz w:val="20"/>
          <w:szCs w:val="20"/>
        </w:rPr>
        <w:t>―</w:t>
      </w:r>
      <w:r w:rsidRPr="000977F7">
        <w:rPr>
          <w:rFonts w:asciiTheme="majorHAnsi" w:hAnsiTheme="majorHAnsi"/>
          <w:w w:val="99"/>
          <w:sz w:val="20"/>
          <w:szCs w:val="20"/>
        </w:rPr>
        <w:t>Без</w:t>
      </w:r>
      <w:r w:rsidRPr="000977F7">
        <w:rPr>
          <w:rFonts w:asciiTheme="majorHAnsi" w:hAnsiTheme="majorHAnsi"/>
          <w:sz w:val="20"/>
          <w:szCs w:val="20"/>
        </w:rPr>
        <w:t xml:space="preserve"> </w:t>
      </w:r>
      <w:r w:rsidRPr="000977F7">
        <w:rPr>
          <w:rFonts w:asciiTheme="majorHAnsi" w:hAnsiTheme="majorHAnsi"/>
          <w:spacing w:val="1"/>
          <w:w w:val="99"/>
          <w:sz w:val="20"/>
          <w:szCs w:val="20"/>
        </w:rPr>
        <w:t>о</w:t>
      </w:r>
      <w:r w:rsidRPr="000977F7">
        <w:rPr>
          <w:rFonts w:asciiTheme="majorHAnsi" w:hAnsiTheme="majorHAnsi"/>
          <w:w w:val="99"/>
          <w:sz w:val="20"/>
          <w:szCs w:val="20"/>
        </w:rPr>
        <w:t>бме</w:t>
      </w:r>
      <w:r w:rsidRPr="000977F7">
        <w:rPr>
          <w:rFonts w:asciiTheme="majorHAnsi" w:hAnsiTheme="majorHAnsi"/>
          <w:spacing w:val="-1"/>
          <w:w w:val="99"/>
          <w:sz w:val="20"/>
          <w:szCs w:val="20"/>
        </w:rPr>
        <w:t>ж</w:t>
      </w:r>
      <w:r w:rsidRPr="000977F7">
        <w:rPr>
          <w:rFonts w:asciiTheme="majorHAnsi" w:hAnsiTheme="majorHAnsi"/>
          <w:spacing w:val="2"/>
          <w:w w:val="99"/>
          <w:sz w:val="20"/>
          <w:szCs w:val="20"/>
        </w:rPr>
        <w:t>е</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н</w:t>
      </w:r>
      <w:r w:rsidRPr="000977F7">
        <w:rPr>
          <w:rFonts w:asciiTheme="majorHAnsi" w:hAnsiTheme="majorHAnsi"/>
          <w:w w:val="99"/>
          <w:sz w:val="20"/>
          <w:szCs w:val="20"/>
        </w:rPr>
        <w:t>я</w:t>
      </w:r>
      <w:r w:rsidRPr="000977F7">
        <w:rPr>
          <w:rFonts w:asciiTheme="majorHAnsi" w:hAnsiTheme="majorHAnsi"/>
          <w:spacing w:val="-1"/>
          <w:sz w:val="20"/>
          <w:szCs w:val="20"/>
        </w:rPr>
        <w:t xml:space="preserve"> </w:t>
      </w:r>
      <w:r w:rsidRPr="000977F7">
        <w:rPr>
          <w:rFonts w:asciiTheme="majorHAnsi" w:hAnsiTheme="majorHAnsi"/>
          <w:w w:val="99"/>
          <w:sz w:val="20"/>
          <w:szCs w:val="20"/>
        </w:rPr>
        <w:t>тер</w:t>
      </w:r>
      <w:r w:rsidRPr="000977F7">
        <w:rPr>
          <w:rFonts w:asciiTheme="majorHAnsi" w:hAnsiTheme="majorHAnsi"/>
          <w:spacing w:val="1"/>
          <w:w w:val="99"/>
          <w:sz w:val="20"/>
          <w:szCs w:val="20"/>
        </w:rPr>
        <w:t>м</w:t>
      </w:r>
      <w:r w:rsidRPr="000977F7">
        <w:rPr>
          <w:rFonts w:asciiTheme="majorHAnsi" w:hAnsiTheme="majorHAnsi"/>
          <w:w w:val="99"/>
          <w:sz w:val="20"/>
          <w:szCs w:val="20"/>
        </w:rPr>
        <w:t>і</w:t>
      </w:r>
      <w:r w:rsidRPr="000977F7">
        <w:rPr>
          <w:rFonts w:asciiTheme="majorHAnsi" w:hAnsiTheme="majorHAnsi"/>
          <w:spacing w:val="1"/>
          <w:w w:val="99"/>
          <w:sz w:val="20"/>
          <w:szCs w:val="20"/>
        </w:rPr>
        <w:t>н</w:t>
      </w:r>
      <w:r w:rsidRPr="000977F7">
        <w:rPr>
          <w:rFonts w:asciiTheme="majorHAnsi" w:hAnsiTheme="majorHAnsi"/>
          <w:w w:val="99"/>
          <w:sz w:val="20"/>
          <w:szCs w:val="20"/>
        </w:rPr>
        <w:t>у</w:t>
      </w:r>
      <w:r w:rsidRPr="000977F7">
        <w:rPr>
          <w:rFonts w:asciiTheme="majorHAnsi" w:hAnsiTheme="majorHAnsi"/>
          <w:spacing w:val="-1"/>
          <w:sz w:val="20"/>
          <w:szCs w:val="20"/>
        </w:rPr>
        <w:t xml:space="preserve"> </w:t>
      </w:r>
      <w:r w:rsidRPr="000977F7">
        <w:rPr>
          <w:rFonts w:asciiTheme="majorHAnsi" w:hAnsiTheme="majorHAnsi"/>
          <w:w w:val="99"/>
          <w:sz w:val="20"/>
          <w:szCs w:val="20"/>
        </w:rPr>
        <w:t>д</w:t>
      </w:r>
      <w:r w:rsidRPr="000977F7">
        <w:rPr>
          <w:rFonts w:asciiTheme="majorHAnsi" w:hAnsiTheme="majorHAnsi"/>
          <w:spacing w:val="-1"/>
          <w:w w:val="99"/>
          <w:sz w:val="20"/>
          <w:szCs w:val="20"/>
        </w:rPr>
        <w:t>і</w:t>
      </w:r>
      <w:r w:rsidRPr="000977F7">
        <w:rPr>
          <w:rFonts w:asciiTheme="majorHAnsi" w:hAnsiTheme="majorHAnsi"/>
          <w:w w:val="128"/>
          <w:sz w:val="20"/>
          <w:szCs w:val="20"/>
        </w:rPr>
        <w:t>ї‖</w:t>
      </w:r>
    </w:p>
    <w:p w14:paraId="5905295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ТЕХНІЧНІ</w:t>
      </w:r>
      <w:r w:rsidRPr="000977F7">
        <w:rPr>
          <w:color w:val="auto"/>
          <w:spacing w:val="7"/>
          <w:sz w:val="20"/>
          <w:szCs w:val="20"/>
        </w:rPr>
        <w:t xml:space="preserve"> </w:t>
      </w:r>
      <w:r w:rsidRPr="000977F7">
        <w:rPr>
          <w:color w:val="auto"/>
          <w:sz w:val="20"/>
          <w:szCs w:val="20"/>
        </w:rPr>
        <w:t>УМОВИ</w:t>
      </w:r>
      <w:r w:rsidRPr="000977F7">
        <w:rPr>
          <w:color w:val="auto"/>
          <w:spacing w:val="9"/>
          <w:sz w:val="20"/>
          <w:szCs w:val="20"/>
        </w:rPr>
        <w:t xml:space="preserve"> </w:t>
      </w:r>
      <w:r w:rsidRPr="000977F7">
        <w:rPr>
          <w:color w:val="auto"/>
          <w:sz w:val="20"/>
          <w:szCs w:val="20"/>
        </w:rPr>
        <w:t>НА</w:t>
      </w:r>
      <w:r w:rsidRPr="000977F7">
        <w:rPr>
          <w:color w:val="auto"/>
          <w:spacing w:val="8"/>
          <w:sz w:val="20"/>
          <w:szCs w:val="20"/>
        </w:rPr>
        <w:t xml:space="preserve"> </w:t>
      </w:r>
      <w:r w:rsidRPr="000977F7">
        <w:rPr>
          <w:color w:val="auto"/>
          <w:sz w:val="20"/>
          <w:szCs w:val="20"/>
        </w:rPr>
        <w:t>КАПІТАЛЬНИЙ</w:t>
      </w:r>
      <w:r w:rsidRPr="000977F7">
        <w:rPr>
          <w:color w:val="auto"/>
          <w:spacing w:val="12"/>
          <w:sz w:val="20"/>
          <w:szCs w:val="20"/>
        </w:rPr>
        <w:t xml:space="preserve"> </w:t>
      </w:r>
      <w:r w:rsidRPr="000977F7">
        <w:rPr>
          <w:color w:val="auto"/>
          <w:sz w:val="20"/>
          <w:szCs w:val="20"/>
        </w:rPr>
        <w:t>ТА</w:t>
      </w:r>
      <w:r w:rsidRPr="000977F7">
        <w:rPr>
          <w:color w:val="auto"/>
          <w:spacing w:val="8"/>
          <w:sz w:val="20"/>
          <w:szCs w:val="20"/>
        </w:rPr>
        <w:t xml:space="preserve"> </w:t>
      </w:r>
      <w:r w:rsidRPr="000977F7">
        <w:rPr>
          <w:color w:val="auto"/>
          <w:sz w:val="20"/>
          <w:szCs w:val="20"/>
        </w:rPr>
        <w:t>(ЧИ)</w:t>
      </w:r>
      <w:r w:rsidRPr="000977F7">
        <w:rPr>
          <w:color w:val="auto"/>
          <w:spacing w:val="-47"/>
          <w:sz w:val="20"/>
          <w:szCs w:val="20"/>
        </w:rPr>
        <w:t xml:space="preserve"> </w:t>
      </w:r>
      <w:r w:rsidRPr="000977F7">
        <w:rPr>
          <w:color w:val="auto"/>
          <w:sz w:val="20"/>
          <w:szCs w:val="20"/>
        </w:rPr>
        <w:t>СЕРЕДНІЙ РЕМОНТ</w:t>
      </w:r>
      <w:r w:rsidRPr="000977F7">
        <w:rPr>
          <w:color w:val="auto"/>
          <w:spacing w:val="1"/>
          <w:sz w:val="20"/>
          <w:szCs w:val="20"/>
        </w:rPr>
        <w:t xml:space="preserve"> </w:t>
      </w:r>
      <w:r w:rsidRPr="000977F7">
        <w:rPr>
          <w:color w:val="auto"/>
          <w:sz w:val="20"/>
          <w:szCs w:val="20"/>
        </w:rPr>
        <w:t>–</w:t>
      </w:r>
    </w:p>
    <w:p w14:paraId="360EBB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Документ на ремонт, який містить технічні вимоги,</w:t>
      </w:r>
      <w:r w:rsidRPr="000977F7">
        <w:rPr>
          <w:rFonts w:asciiTheme="majorHAnsi" w:hAnsiTheme="majorHAnsi"/>
          <w:spacing w:val="1"/>
          <w:sz w:val="20"/>
          <w:szCs w:val="20"/>
        </w:rPr>
        <w:t xml:space="preserve"> </w:t>
      </w:r>
      <w:r w:rsidRPr="000977F7">
        <w:rPr>
          <w:rFonts w:asciiTheme="majorHAnsi" w:hAnsiTheme="majorHAnsi"/>
          <w:sz w:val="20"/>
          <w:szCs w:val="20"/>
        </w:rPr>
        <w:t>показники і норми, яким повинен відповідати даний</w:t>
      </w:r>
      <w:r w:rsidRPr="000977F7">
        <w:rPr>
          <w:rFonts w:asciiTheme="majorHAnsi" w:hAnsiTheme="majorHAnsi"/>
          <w:spacing w:val="1"/>
          <w:sz w:val="20"/>
          <w:szCs w:val="20"/>
        </w:rPr>
        <w:t xml:space="preserve"> </w:t>
      </w:r>
      <w:r w:rsidRPr="000977F7">
        <w:rPr>
          <w:rFonts w:asciiTheme="majorHAnsi" w:hAnsiTheme="majorHAnsi"/>
          <w:sz w:val="20"/>
          <w:szCs w:val="20"/>
        </w:rPr>
        <w:t>виріб після капітального та (чи) середнього ремонту,</w:t>
      </w:r>
      <w:r w:rsidRPr="000977F7">
        <w:rPr>
          <w:rFonts w:asciiTheme="majorHAnsi" w:hAnsiTheme="majorHAnsi"/>
          <w:spacing w:val="1"/>
          <w:sz w:val="20"/>
          <w:szCs w:val="20"/>
        </w:rPr>
        <w:t xml:space="preserve"> </w:t>
      </w:r>
      <w:r w:rsidRPr="000977F7">
        <w:rPr>
          <w:rFonts w:asciiTheme="majorHAnsi" w:hAnsiTheme="majorHAnsi"/>
          <w:sz w:val="20"/>
          <w:szCs w:val="20"/>
        </w:rPr>
        <w:t>вимоги до контрольних випробувань, комплектування, упакування, транспортування і зберігання виробу</w:t>
      </w:r>
      <w:r w:rsidRPr="000977F7">
        <w:rPr>
          <w:rFonts w:asciiTheme="majorHAnsi" w:hAnsiTheme="majorHAnsi"/>
          <w:spacing w:val="1"/>
          <w:sz w:val="20"/>
          <w:szCs w:val="20"/>
        </w:rPr>
        <w:t xml:space="preserve"> </w:t>
      </w:r>
      <w:r w:rsidRPr="000977F7">
        <w:rPr>
          <w:rFonts w:asciiTheme="majorHAnsi" w:hAnsiTheme="majorHAnsi"/>
          <w:sz w:val="20"/>
          <w:szCs w:val="20"/>
        </w:rPr>
        <w:t>після</w:t>
      </w:r>
      <w:r w:rsidRPr="000977F7">
        <w:rPr>
          <w:rFonts w:asciiTheme="majorHAnsi" w:hAnsiTheme="majorHAnsi"/>
          <w:spacing w:val="-2"/>
          <w:sz w:val="20"/>
          <w:szCs w:val="20"/>
        </w:rPr>
        <w:t xml:space="preserve"> </w:t>
      </w:r>
      <w:r w:rsidRPr="000977F7">
        <w:rPr>
          <w:rFonts w:asciiTheme="majorHAnsi" w:hAnsiTheme="majorHAnsi"/>
          <w:sz w:val="20"/>
          <w:szCs w:val="20"/>
        </w:rPr>
        <w:t>ремонту</w:t>
      </w:r>
    </w:p>
    <w:p w14:paraId="6E42BEF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11A5629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ТЕХНІЧНО СКЛАДНІ ПОБУТОВІ ТОВАРИ –</w:t>
      </w:r>
    </w:p>
    <w:p w14:paraId="10C36EA8"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Непродовольчі товари широкого вжитку (прилади, машини, устаткування та інші), які складаються з вузлів, блоків, комплектуючих виробів, відповідають вимогам нормативних документів, мають технічні характеристики, супроводжуються експлуатаційними документами і на які встановлено гарантійний строк</w:t>
      </w:r>
    </w:p>
    <w:p w14:paraId="3478E0EC"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Закон України "Про захист прав споживачів"</w:t>
      </w:r>
    </w:p>
    <w:p w14:paraId="1C5998E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ТЕХНОЛОГІЧНА ГОТОВНІСТЬ </w:t>
      </w:r>
    </w:p>
    <w:p w14:paraId="344C71B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ВИРОБНИЦТ</w:t>
      </w:r>
      <w:r w:rsidRPr="000977F7">
        <w:rPr>
          <w:color w:val="auto"/>
          <w:spacing w:val="-47"/>
          <w:sz w:val="20"/>
          <w:szCs w:val="20"/>
        </w:rPr>
        <w:t xml:space="preserve"> </w:t>
      </w:r>
      <w:r w:rsidRPr="000977F7">
        <w:rPr>
          <w:color w:val="auto"/>
          <w:sz w:val="20"/>
          <w:szCs w:val="20"/>
        </w:rPr>
        <w:t>ВА –</w:t>
      </w:r>
    </w:p>
    <w:p w14:paraId="73B4885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Наявність на підприємстві повних комплектів конструкторської та технологічної документації та засобів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технологічного оснащення, потрібних для здійснення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заданого обсягу випуску продукції з установленими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техніко-економічними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показниками</w:t>
      </w:r>
    </w:p>
    <w:p w14:paraId="6FDEAD1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2974</w:t>
      </w:r>
      <w:r w:rsidRPr="004D2D14">
        <w:rPr>
          <w:rFonts w:asciiTheme="majorHAnsi" w:hAnsiTheme="majorHAnsi"/>
          <w:i/>
          <w:spacing w:val="2"/>
          <w:sz w:val="20"/>
          <w:szCs w:val="20"/>
          <w:lang w:val="en-US"/>
        </w:rPr>
        <w:t xml:space="preserve"> - </w:t>
      </w:r>
      <w:r w:rsidRPr="004D2D14">
        <w:rPr>
          <w:rFonts w:asciiTheme="majorHAnsi" w:hAnsiTheme="majorHAnsi"/>
          <w:i/>
          <w:sz w:val="20"/>
          <w:szCs w:val="20"/>
          <w:lang w:val="en-US"/>
        </w:rPr>
        <w:t>95</w:t>
      </w:r>
    </w:p>
    <w:p w14:paraId="4CA45780"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ТЕХНОЛОГІЧНА</w:t>
      </w:r>
      <w:r w:rsidRPr="004D2D14">
        <w:rPr>
          <w:rFonts w:asciiTheme="majorHAnsi" w:hAnsiTheme="majorHAnsi"/>
          <w:b/>
          <w:sz w:val="20"/>
          <w:szCs w:val="20"/>
          <w:lang w:val="en-US"/>
        </w:rPr>
        <w:t xml:space="preserve"> </w:t>
      </w:r>
      <w:r w:rsidRPr="000977F7">
        <w:rPr>
          <w:rFonts w:asciiTheme="majorHAnsi" w:hAnsiTheme="majorHAnsi"/>
          <w:b/>
          <w:sz w:val="20"/>
          <w:szCs w:val="20"/>
        </w:rPr>
        <w:t>БАЗА</w:t>
      </w:r>
      <w:r w:rsidRPr="004D2D14">
        <w:rPr>
          <w:rFonts w:asciiTheme="majorHAnsi" w:hAnsiTheme="majorHAnsi"/>
          <w:b/>
          <w:sz w:val="20"/>
          <w:szCs w:val="20"/>
          <w:lang w:val="en-US"/>
        </w:rPr>
        <w:t xml:space="preserve"> –</w:t>
      </w:r>
    </w:p>
    <w:p w14:paraId="57BDB03A"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TECHNOLOGICAL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BASE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31E7C0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Поверхня,</w:t>
      </w:r>
      <w:r w:rsidRPr="000977F7">
        <w:rPr>
          <w:rFonts w:asciiTheme="majorHAnsi" w:hAnsiTheme="majorHAnsi"/>
          <w:spacing w:val="1"/>
          <w:sz w:val="20"/>
          <w:szCs w:val="20"/>
        </w:rPr>
        <w:t xml:space="preserve"> </w:t>
      </w:r>
      <w:r w:rsidRPr="000977F7">
        <w:rPr>
          <w:rFonts w:asciiTheme="majorHAnsi" w:hAnsiTheme="majorHAnsi"/>
          <w:sz w:val="20"/>
          <w:szCs w:val="20"/>
        </w:rPr>
        <w:t>поєднання</w:t>
      </w:r>
      <w:r w:rsidRPr="000977F7">
        <w:rPr>
          <w:rFonts w:asciiTheme="majorHAnsi" w:hAnsiTheme="majorHAnsi"/>
          <w:spacing w:val="1"/>
          <w:sz w:val="20"/>
          <w:szCs w:val="20"/>
        </w:rPr>
        <w:t xml:space="preserve"> </w:t>
      </w:r>
      <w:r w:rsidRPr="000977F7">
        <w:rPr>
          <w:rFonts w:asciiTheme="majorHAnsi" w:hAnsiTheme="majorHAnsi"/>
          <w:sz w:val="20"/>
          <w:szCs w:val="20"/>
        </w:rPr>
        <w:t>поверхонь,</w:t>
      </w:r>
      <w:r w:rsidRPr="000977F7">
        <w:rPr>
          <w:rFonts w:asciiTheme="majorHAnsi" w:hAnsiTheme="majorHAnsi"/>
          <w:spacing w:val="1"/>
          <w:sz w:val="20"/>
          <w:szCs w:val="20"/>
        </w:rPr>
        <w:t xml:space="preserve"> </w:t>
      </w:r>
      <w:r w:rsidRPr="000977F7">
        <w:rPr>
          <w:rFonts w:asciiTheme="majorHAnsi" w:hAnsiTheme="majorHAnsi"/>
          <w:sz w:val="20"/>
          <w:szCs w:val="20"/>
        </w:rPr>
        <w:t>вісь</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точка,</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використовують для визначення положення предмета</w:t>
      </w:r>
      <w:r w:rsidRPr="000977F7">
        <w:rPr>
          <w:rFonts w:asciiTheme="majorHAnsi" w:hAnsiTheme="majorHAnsi"/>
          <w:spacing w:val="1"/>
          <w:sz w:val="20"/>
          <w:szCs w:val="20"/>
        </w:rPr>
        <w:t xml:space="preserve"> </w:t>
      </w:r>
      <w:r w:rsidRPr="000977F7">
        <w:rPr>
          <w:rFonts w:asciiTheme="majorHAnsi" w:hAnsiTheme="majorHAnsi"/>
          <w:sz w:val="20"/>
          <w:szCs w:val="20"/>
        </w:rPr>
        <w:t>праці</w:t>
      </w:r>
      <w:r w:rsidRPr="000977F7">
        <w:rPr>
          <w:rFonts w:asciiTheme="majorHAnsi" w:hAnsiTheme="majorHAnsi"/>
          <w:spacing w:val="-2"/>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 виготовлення</w:t>
      </w:r>
    </w:p>
    <w:p w14:paraId="63892C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078472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Поверхня, поєднання поверхонь, вісь чи точка належать</w:t>
      </w:r>
      <w:r w:rsidRPr="000977F7">
        <w:rPr>
          <w:rFonts w:asciiTheme="majorHAnsi" w:hAnsiTheme="majorHAnsi"/>
          <w:spacing w:val="-1"/>
          <w:sz w:val="20"/>
          <w:szCs w:val="20"/>
        </w:rPr>
        <w:t xml:space="preserve"> </w:t>
      </w:r>
      <w:r w:rsidRPr="000977F7">
        <w:rPr>
          <w:rFonts w:asciiTheme="majorHAnsi" w:hAnsiTheme="majorHAnsi"/>
          <w:sz w:val="20"/>
          <w:szCs w:val="20"/>
        </w:rPr>
        <w:t>до предмета праці</w:t>
      </w:r>
    </w:p>
    <w:p w14:paraId="414F5D3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1CB7047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ТЕХНОЛОГІЧНА</w:t>
      </w:r>
      <w:r w:rsidRPr="000977F7">
        <w:rPr>
          <w:color w:val="auto"/>
          <w:spacing w:val="-4"/>
          <w:sz w:val="20"/>
          <w:szCs w:val="20"/>
        </w:rPr>
        <w:t xml:space="preserve"> </w:t>
      </w:r>
      <w:r w:rsidRPr="000977F7">
        <w:rPr>
          <w:color w:val="auto"/>
          <w:sz w:val="20"/>
          <w:szCs w:val="20"/>
        </w:rPr>
        <w:t>ДИСЦИПЛІНА</w:t>
      </w:r>
      <w:r w:rsidRPr="000977F7">
        <w:rPr>
          <w:color w:val="auto"/>
          <w:spacing w:val="-2"/>
          <w:sz w:val="20"/>
          <w:szCs w:val="20"/>
        </w:rPr>
        <w:t xml:space="preserve"> </w:t>
      </w:r>
      <w:r w:rsidRPr="000977F7">
        <w:rPr>
          <w:color w:val="auto"/>
          <w:sz w:val="20"/>
          <w:szCs w:val="20"/>
        </w:rPr>
        <w:t>–</w:t>
      </w:r>
    </w:p>
    <w:p w14:paraId="3432C64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Дотримування</w:t>
      </w:r>
      <w:r w:rsidRPr="000977F7">
        <w:rPr>
          <w:rFonts w:asciiTheme="majorHAnsi" w:hAnsiTheme="majorHAnsi"/>
          <w:spacing w:val="1"/>
          <w:sz w:val="20"/>
          <w:szCs w:val="20"/>
        </w:rPr>
        <w:t xml:space="preserve"> </w:t>
      </w:r>
      <w:r w:rsidRPr="000977F7">
        <w:rPr>
          <w:rFonts w:asciiTheme="majorHAnsi" w:hAnsiTheme="majorHAnsi"/>
          <w:sz w:val="20"/>
          <w:szCs w:val="20"/>
        </w:rPr>
        <w:t>точної</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між</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технологічним</w:t>
      </w:r>
      <w:r w:rsidRPr="000977F7">
        <w:rPr>
          <w:rFonts w:asciiTheme="majorHAnsi" w:hAnsiTheme="majorHAnsi"/>
          <w:spacing w:val="1"/>
          <w:sz w:val="20"/>
          <w:szCs w:val="20"/>
        </w:rPr>
        <w:t xml:space="preserve"> </w:t>
      </w:r>
      <w:r w:rsidRPr="000977F7">
        <w:rPr>
          <w:rFonts w:asciiTheme="majorHAnsi" w:hAnsiTheme="majorHAnsi"/>
          <w:sz w:val="20"/>
          <w:szCs w:val="20"/>
        </w:rPr>
        <w:t>процесом</w:t>
      </w:r>
      <w:r w:rsidRPr="000977F7">
        <w:rPr>
          <w:rFonts w:asciiTheme="majorHAnsi" w:hAnsiTheme="majorHAnsi"/>
          <w:spacing w:val="1"/>
          <w:sz w:val="20"/>
          <w:szCs w:val="20"/>
        </w:rPr>
        <w:t xml:space="preserve"> </w:t>
      </w:r>
      <w:r w:rsidRPr="000977F7">
        <w:rPr>
          <w:rFonts w:asciiTheme="majorHAnsi" w:hAnsiTheme="majorHAnsi"/>
          <w:sz w:val="20"/>
          <w:szCs w:val="20"/>
        </w:rPr>
        <w:t>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вимогами</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конструкторської</w:t>
      </w:r>
      <w:r w:rsidRPr="000977F7">
        <w:rPr>
          <w:rFonts w:asciiTheme="majorHAnsi" w:hAnsiTheme="majorHAnsi"/>
          <w:spacing w:val="-3"/>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3"/>
          <w:sz w:val="20"/>
          <w:szCs w:val="20"/>
        </w:rPr>
        <w:t xml:space="preserve"> </w:t>
      </w:r>
      <w:r w:rsidRPr="000977F7">
        <w:rPr>
          <w:rFonts w:asciiTheme="majorHAnsi" w:hAnsiTheme="majorHAnsi"/>
          <w:sz w:val="20"/>
          <w:szCs w:val="20"/>
        </w:rPr>
        <w:t>документації</w:t>
      </w:r>
    </w:p>
    <w:p w14:paraId="1AEE9B5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EC94B5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ТЕХНОЛОГІЧНА</w:t>
      </w:r>
      <w:r w:rsidRPr="000977F7">
        <w:rPr>
          <w:color w:val="auto"/>
          <w:spacing w:val="-5"/>
          <w:sz w:val="20"/>
          <w:szCs w:val="20"/>
        </w:rPr>
        <w:t xml:space="preserve"> </w:t>
      </w:r>
      <w:r w:rsidRPr="000977F7">
        <w:rPr>
          <w:color w:val="auto"/>
          <w:sz w:val="20"/>
          <w:szCs w:val="20"/>
        </w:rPr>
        <w:t>ДОКУМЕНТАЦІЯ</w:t>
      </w:r>
      <w:r w:rsidRPr="000977F7">
        <w:rPr>
          <w:color w:val="auto"/>
          <w:spacing w:val="-3"/>
          <w:sz w:val="20"/>
          <w:szCs w:val="20"/>
        </w:rPr>
        <w:t xml:space="preserve"> </w:t>
      </w:r>
      <w:r w:rsidRPr="000977F7">
        <w:rPr>
          <w:color w:val="auto"/>
          <w:sz w:val="20"/>
          <w:szCs w:val="20"/>
        </w:rPr>
        <w:t>–</w:t>
      </w:r>
    </w:p>
    <w:p w14:paraId="1B5D1FE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документів,</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2"/>
          <w:sz w:val="20"/>
          <w:szCs w:val="20"/>
        </w:rPr>
        <w:t xml:space="preserve"> </w:t>
      </w:r>
      <w:r w:rsidRPr="000977F7">
        <w:rPr>
          <w:rFonts w:asciiTheme="majorHAnsi" w:hAnsiTheme="majorHAnsi"/>
          <w:sz w:val="20"/>
          <w:szCs w:val="20"/>
        </w:rPr>
        <w:t>визначають</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технологічний</w:t>
      </w:r>
      <w:r w:rsidRPr="000977F7">
        <w:rPr>
          <w:rFonts w:asciiTheme="majorHAnsi" w:hAnsiTheme="majorHAnsi"/>
          <w:spacing w:val="-47"/>
          <w:sz w:val="20"/>
          <w:szCs w:val="20"/>
        </w:rPr>
        <w:t xml:space="preserve"> </w:t>
      </w:r>
      <w:r w:rsidRPr="000977F7">
        <w:rPr>
          <w:rFonts w:asciiTheme="majorHAnsi" w:hAnsiTheme="majorHAnsi"/>
          <w:sz w:val="20"/>
          <w:szCs w:val="20"/>
        </w:rPr>
        <w:t>процес</w:t>
      </w:r>
      <w:r w:rsidRPr="000977F7">
        <w:rPr>
          <w:rFonts w:asciiTheme="majorHAnsi" w:hAnsiTheme="majorHAnsi"/>
          <w:spacing w:val="-1"/>
          <w:sz w:val="20"/>
          <w:szCs w:val="20"/>
        </w:rPr>
        <w:t xml:space="preserve"> </w:t>
      </w:r>
      <w:r w:rsidRPr="000977F7">
        <w:rPr>
          <w:rFonts w:asciiTheme="majorHAnsi" w:hAnsiTheme="majorHAnsi"/>
          <w:sz w:val="20"/>
          <w:szCs w:val="20"/>
        </w:rPr>
        <w:t>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p>
    <w:p w14:paraId="5E9EAB9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829168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Різновиди</w:t>
      </w:r>
      <w:r w:rsidRPr="000977F7">
        <w:rPr>
          <w:rFonts w:asciiTheme="majorHAnsi" w:hAnsiTheme="majorHAnsi"/>
          <w:spacing w:val="3"/>
          <w:sz w:val="20"/>
          <w:szCs w:val="20"/>
        </w:rPr>
        <w:t xml:space="preserve"> </w:t>
      </w:r>
      <w:r w:rsidRPr="000977F7">
        <w:rPr>
          <w:rFonts w:asciiTheme="majorHAnsi" w:hAnsiTheme="majorHAnsi"/>
          <w:sz w:val="20"/>
          <w:szCs w:val="20"/>
        </w:rPr>
        <w:t>цієї</w:t>
      </w:r>
      <w:r w:rsidRPr="000977F7">
        <w:rPr>
          <w:rFonts w:asciiTheme="majorHAnsi" w:hAnsiTheme="majorHAnsi"/>
          <w:spacing w:val="3"/>
          <w:sz w:val="20"/>
          <w:szCs w:val="20"/>
        </w:rPr>
        <w:t xml:space="preserve"> </w:t>
      </w:r>
      <w:r w:rsidRPr="000977F7">
        <w:rPr>
          <w:rFonts w:asciiTheme="majorHAnsi" w:hAnsiTheme="majorHAnsi"/>
          <w:sz w:val="20"/>
          <w:szCs w:val="20"/>
        </w:rPr>
        <w:t>документації</w:t>
      </w:r>
      <w:r w:rsidRPr="000977F7">
        <w:rPr>
          <w:rFonts w:asciiTheme="majorHAnsi" w:hAnsiTheme="majorHAnsi"/>
          <w:spacing w:val="3"/>
          <w:sz w:val="20"/>
          <w:szCs w:val="20"/>
        </w:rPr>
        <w:t xml:space="preserve"> </w:t>
      </w:r>
      <w:r w:rsidRPr="000977F7">
        <w:rPr>
          <w:rFonts w:asciiTheme="majorHAnsi" w:hAnsiTheme="majorHAnsi"/>
          <w:sz w:val="20"/>
          <w:szCs w:val="20"/>
        </w:rPr>
        <w:t>встановлюють</w:t>
      </w:r>
      <w:r w:rsidRPr="000977F7">
        <w:rPr>
          <w:rFonts w:asciiTheme="majorHAnsi" w:hAnsiTheme="majorHAnsi"/>
          <w:spacing w:val="5"/>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нормати</w:t>
      </w:r>
      <w:r w:rsidRPr="000977F7">
        <w:rPr>
          <w:rFonts w:asciiTheme="majorHAnsi" w:hAnsiTheme="majorHAnsi"/>
          <w:spacing w:val="-1"/>
          <w:sz w:val="20"/>
          <w:szCs w:val="20"/>
        </w:rPr>
        <w:t>вних документах системи технологічної документації</w:t>
      </w:r>
    </w:p>
    <w:p w14:paraId="2B50D5C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3278</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7265D1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ТЕХНОЛОГІЧНА</w:t>
      </w:r>
      <w:r w:rsidRPr="000977F7">
        <w:rPr>
          <w:color w:val="auto"/>
          <w:spacing w:val="-4"/>
          <w:sz w:val="20"/>
          <w:szCs w:val="20"/>
        </w:rPr>
        <w:t xml:space="preserve"> </w:t>
      </w:r>
      <w:r w:rsidRPr="000977F7">
        <w:rPr>
          <w:color w:val="auto"/>
          <w:sz w:val="20"/>
          <w:szCs w:val="20"/>
        </w:rPr>
        <w:t>КАРТА</w:t>
      </w:r>
      <w:r w:rsidRPr="000977F7">
        <w:rPr>
          <w:color w:val="auto"/>
          <w:spacing w:val="1"/>
          <w:sz w:val="20"/>
          <w:szCs w:val="20"/>
        </w:rPr>
        <w:t xml:space="preserve"> </w:t>
      </w:r>
      <w:r w:rsidRPr="000977F7">
        <w:rPr>
          <w:color w:val="auto"/>
          <w:sz w:val="20"/>
          <w:szCs w:val="20"/>
        </w:rPr>
        <w:t>–</w:t>
      </w:r>
    </w:p>
    <w:p w14:paraId="75CDB90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Основний документ з технологічного підготовлення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 що встановлює перелік та послідовність</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технологічних операцій, тип устаткування, оснащення, комплекс параметрів, які характеризують технічний</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організаційний</w:t>
      </w:r>
      <w:r w:rsidRPr="000977F7">
        <w:rPr>
          <w:rFonts w:asciiTheme="majorHAnsi" w:hAnsiTheme="majorHAnsi"/>
          <w:spacing w:val="-2"/>
          <w:sz w:val="20"/>
          <w:szCs w:val="20"/>
        </w:rPr>
        <w:t xml:space="preserve"> </w:t>
      </w:r>
      <w:r w:rsidRPr="000977F7">
        <w:rPr>
          <w:rFonts w:asciiTheme="majorHAnsi" w:hAnsiTheme="majorHAnsi"/>
          <w:sz w:val="20"/>
          <w:szCs w:val="20"/>
        </w:rPr>
        <w:t>бік</w:t>
      </w:r>
      <w:r w:rsidRPr="000977F7">
        <w:rPr>
          <w:rFonts w:asciiTheme="majorHAnsi" w:hAnsiTheme="majorHAnsi"/>
          <w:spacing w:val="-2"/>
          <w:sz w:val="20"/>
          <w:szCs w:val="20"/>
        </w:rPr>
        <w:t xml:space="preserve"> </w:t>
      </w:r>
      <w:r w:rsidRPr="000977F7">
        <w:rPr>
          <w:rFonts w:asciiTheme="majorHAnsi" w:hAnsiTheme="majorHAnsi"/>
          <w:sz w:val="20"/>
          <w:szCs w:val="20"/>
        </w:rPr>
        <w:t>виробничого процесу</w:t>
      </w:r>
    </w:p>
    <w:p w14:paraId="70404FE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E4655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Карти поділяються на маршрутні, операційні, інструкційні</w:t>
      </w:r>
      <w:r w:rsidRPr="000977F7">
        <w:rPr>
          <w:rFonts w:asciiTheme="majorHAnsi" w:hAnsiTheme="majorHAnsi"/>
          <w:spacing w:val="-2"/>
          <w:sz w:val="20"/>
          <w:szCs w:val="20"/>
        </w:rPr>
        <w:t xml:space="preserve"> </w:t>
      </w:r>
      <w:r w:rsidRPr="000977F7">
        <w:rPr>
          <w:rFonts w:asciiTheme="majorHAnsi" w:hAnsiTheme="majorHAnsi"/>
          <w:sz w:val="20"/>
          <w:szCs w:val="20"/>
        </w:rPr>
        <w:t>та зведені</w:t>
      </w:r>
    </w:p>
    <w:p w14:paraId="1B4F5C4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E92D29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ТЕХНОЛОГІЧНА</w:t>
      </w:r>
      <w:r w:rsidRPr="000977F7">
        <w:rPr>
          <w:color w:val="auto"/>
          <w:spacing w:val="-4"/>
          <w:sz w:val="20"/>
          <w:szCs w:val="20"/>
        </w:rPr>
        <w:t xml:space="preserve"> </w:t>
      </w:r>
      <w:r w:rsidRPr="000977F7">
        <w:rPr>
          <w:color w:val="auto"/>
          <w:sz w:val="20"/>
          <w:szCs w:val="20"/>
        </w:rPr>
        <w:t>НОРМА –</w:t>
      </w:r>
    </w:p>
    <w:p w14:paraId="71A61F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Регламентоване</w:t>
      </w:r>
      <w:r w:rsidRPr="000977F7">
        <w:rPr>
          <w:rFonts w:asciiTheme="majorHAnsi" w:hAnsiTheme="majorHAnsi"/>
          <w:spacing w:val="1"/>
          <w:sz w:val="20"/>
          <w:szCs w:val="20"/>
        </w:rPr>
        <w:t xml:space="preserve"> </w:t>
      </w:r>
      <w:r w:rsidRPr="000977F7">
        <w:rPr>
          <w:rFonts w:asciiTheme="majorHAnsi" w:hAnsiTheme="majorHAnsi"/>
          <w:sz w:val="20"/>
          <w:szCs w:val="20"/>
        </w:rPr>
        <w:t>значення</w:t>
      </w:r>
      <w:r w:rsidRPr="000977F7">
        <w:rPr>
          <w:rFonts w:asciiTheme="majorHAnsi" w:hAnsiTheme="majorHAnsi"/>
          <w:spacing w:val="1"/>
          <w:sz w:val="20"/>
          <w:szCs w:val="20"/>
        </w:rPr>
        <w:t xml:space="preserve"> </w:t>
      </w:r>
      <w:r w:rsidRPr="000977F7">
        <w:rPr>
          <w:rFonts w:asciiTheme="majorHAnsi" w:hAnsiTheme="majorHAnsi"/>
          <w:sz w:val="20"/>
          <w:szCs w:val="20"/>
        </w:rPr>
        <w:t>показника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p>
    <w:p w14:paraId="0D05363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1BFEA8B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290" w:name="_Hlk101902132"/>
      <w:r w:rsidRPr="000977F7">
        <w:rPr>
          <w:color w:val="auto"/>
          <w:sz w:val="20"/>
          <w:szCs w:val="20"/>
        </w:rPr>
        <w:t>ТЕХНОЛОГІЧНА</w:t>
      </w:r>
      <w:r w:rsidRPr="000977F7">
        <w:rPr>
          <w:color w:val="auto"/>
          <w:spacing w:val="-4"/>
          <w:sz w:val="20"/>
          <w:szCs w:val="20"/>
        </w:rPr>
        <w:t xml:space="preserve"> </w:t>
      </w:r>
      <w:r w:rsidRPr="000977F7">
        <w:rPr>
          <w:color w:val="auto"/>
          <w:sz w:val="20"/>
          <w:szCs w:val="20"/>
        </w:rPr>
        <w:t>ОПЕРАЦІЯ</w:t>
      </w:r>
      <w:r w:rsidRPr="000977F7">
        <w:rPr>
          <w:color w:val="auto"/>
          <w:spacing w:val="-2"/>
          <w:sz w:val="20"/>
          <w:szCs w:val="20"/>
        </w:rPr>
        <w:t xml:space="preserve"> </w:t>
      </w:r>
      <w:r w:rsidRPr="000977F7">
        <w:rPr>
          <w:color w:val="auto"/>
          <w:sz w:val="20"/>
          <w:szCs w:val="20"/>
        </w:rPr>
        <w:t>–</w:t>
      </w:r>
    </w:p>
    <w:p w14:paraId="139C27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OPERATION</w:t>
      </w:r>
      <w:r w:rsidRPr="000977F7">
        <w:rPr>
          <w:rFonts w:asciiTheme="majorHAnsi" w:hAnsiTheme="majorHAnsi"/>
          <w:spacing w:val="-1"/>
          <w:sz w:val="20"/>
          <w:szCs w:val="20"/>
        </w:rPr>
        <w:t xml:space="preserve"> </w:t>
      </w:r>
      <w:r w:rsidRPr="000977F7">
        <w:rPr>
          <w:rFonts w:asciiTheme="majorHAnsi" w:hAnsiTheme="majorHAnsi"/>
          <w:sz w:val="20"/>
          <w:szCs w:val="20"/>
        </w:rPr>
        <w:t>–</w:t>
      </w:r>
    </w:p>
    <w:bookmarkEnd w:id="290"/>
    <w:p w14:paraId="68AB5A4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Закінчена частина технологічного процесу, яку виконують</w:t>
      </w:r>
      <w:r w:rsidRPr="000977F7">
        <w:rPr>
          <w:rFonts w:asciiTheme="majorHAnsi" w:hAnsiTheme="majorHAnsi"/>
          <w:spacing w:val="-1"/>
          <w:sz w:val="20"/>
          <w:szCs w:val="20"/>
        </w:rPr>
        <w:t xml:space="preserve"> </w:t>
      </w:r>
      <w:r w:rsidRPr="000977F7">
        <w:rPr>
          <w:rFonts w:asciiTheme="majorHAnsi" w:hAnsiTheme="majorHAnsi"/>
          <w:sz w:val="20"/>
          <w:szCs w:val="20"/>
        </w:rPr>
        <w:t>на одному</w:t>
      </w:r>
      <w:r w:rsidRPr="000977F7">
        <w:rPr>
          <w:rFonts w:asciiTheme="majorHAnsi" w:hAnsiTheme="majorHAnsi"/>
          <w:spacing w:val="-4"/>
          <w:sz w:val="20"/>
          <w:szCs w:val="20"/>
        </w:rPr>
        <w:t xml:space="preserve"> </w:t>
      </w:r>
      <w:r w:rsidRPr="000977F7">
        <w:rPr>
          <w:rFonts w:asciiTheme="majorHAnsi" w:hAnsiTheme="majorHAnsi"/>
          <w:sz w:val="20"/>
          <w:szCs w:val="20"/>
        </w:rPr>
        <w:t>робочому</w:t>
      </w:r>
      <w:r w:rsidRPr="000977F7">
        <w:rPr>
          <w:rFonts w:asciiTheme="majorHAnsi" w:hAnsiTheme="majorHAnsi"/>
          <w:spacing w:val="-1"/>
          <w:sz w:val="20"/>
          <w:szCs w:val="20"/>
        </w:rPr>
        <w:t xml:space="preserve"> </w:t>
      </w:r>
      <w:r w:rsidRPr="000977F7">
        <w:rPr>
          <w:rFonts w:asciiTheme="majorHAnsi" w:hAnsiTheme="majorHAnsi"/>
          <w:sz w:val="20"/>
          <w:szCs w:val="20"/>
        </w:rPr>
        <w:t>місці</w:t>
      </w:r>
    </w:p>
    <w:p w14:paraId="10B38A1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
          <w:sz w:val="20"/>
          <w:szCs w:val="20"/>
        </w:rPr>
        <w:t>ДСТУ 2391 – 2010; ДСТУ 2974 – 95</w:t>
      </w:r>
      <w:r w:rsidRPr="000977F7">
        <w:rPr>
          <w:rFonts w:asciiTheme="majorHAnsi" w:hAnsiTheme="majorHAnsi"/>
          <w:i/>
          <w:spacing w:val="-47"/>
          <w:sz w:val="20"/>
          <w:szCs w:val="20"/>
        </w:rPr>
        <w:t xml:space="preserve"> </w:t>
      </w:r>
      <w:r w:rsidRPr="000977F7">
        <w:rPr>
          <w:rFonts w:asciiTheme="majorHAnsi" w:hAnsiTheme="majorHAnsi"/>
          <w:b/>
          <w:sz w:val="20"/>
          <w:szCs w:val="20"/>
        </w:rPr>
        <w:t>ТЕХНОЛОГІЧНА СИСТЕМА –</w:t>
      </w:r>
      <w:r w:rsidRPr="000977F7">
        <w:rPr>
          <w:rFonts w:asciiTheme="majorHAnsi" w:hAnsiTheme="majorHAnsi"/>
          <w:b/>
          <w:spacing w:val="1"/>
          <w:sz w:val="20"/>
          <w:szCs w:val="20"/>
        </w:rPr>
        <w:t xml:space="preserve"> </w:t>
      </w:r>
      <w:r w:rsidRPr="000977F7">
        <w:rPr>
          <w:rFonts w:asciiTheme="majorHAnsi" w:hAnsiTheme="majorHAnsi"/>
          <w:sz w:val="20"/>
          <w:szCs w:val="20"/>
        </w:rPr>
        <w:t>TECHNOLOGICAL</w:t>
      </w:r>
      <w:r w:rsidRPr="000977F7">
        <w:rPr>
          <w:rFonts w:asciiTheme="majorHAnsi" w:hAnsiTheme="majorHAnsi"/>
          <w:spacing w:val="-3"/>
          <w:sz w:val="20"/>
          <w:szCs w:val="20"/>
        </w:rPr>
        <w:t xml:space="preserve"> </w:t>
      </w:r>
      <w:r w:rsidRPr="000977F7">
        <w:rPr>
          <w:rFonts w:asciiTheme="majorHAnsi" w:hAnsiTheme="majorHAnsi"/>
          <w:sz w:val="20"/>
          <w:szCs w:val="20"/>
        </w:rPr>
        <w:t>SYSTEM</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2C4AF6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функціонально</w:t>
      </w:r>
      <w:r w:rsidRPr="000977F7">
        <w:rPr>
          <w:rFonts w:asciiTheme="majorHAnsi" w:hAnsiTheme="majorHAnsi"/>
          <w:spacing w:val="1"/>
          <w:sz w:val="20"/>
          <w:szCs w:val="20"/>
        </w:rPr>
        <w:t xml:space="preserve"> </w:t>
      </w:r>
      <w:r w:rsidRPr="000977F7">
        <w:rPr>
          <w:rFonts w:asciiTheme="majorHAnsi" w:hAnsiTheme="majorHAnsi"/>
          <w:sz w:val="20"/>
          <w:szCs w:val="20"/>
        </w:rPr>
        <w:t>взаємозв’язаних</w:t>
      </w:r>
      <w:r w:rsidRPr="000977F7">
        <w:rPr>
          <w:rFonts w:asciiTheme="majorHAnsi" w:hAnsiTheme="majorHAnsi"/>
          <w:spacing w:val="1"/>
          <w:sz w:val="20"/>
          <w:szCs w:val="20"/>
        </w:rPr>
        <w:t xml:space="preserve"> </w:t>
      </w:r>
      <w:r w:rsidRPr="000977F7">
        <w:rPr>
          <w:rFonts w:asciiTheme="majorHAnsi" w:hAnsiTheme="majorHAnsi"/>
          <w:sz w:val="20"/>
          <w:szCs w:val="20"/>
        </w:rPr>
        <w:t>засобів</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 оснащення, предметів виробництва та</w:t>
      </w:r>
      <w:r w:rsidRPr="000977F7">
        <w:rPr>
          <w:rFonts w:asciiTheme="majorHAnsi" w:hAnsiTheme="majorHAnsi"/>
          <w:spacing w:val="1"/>
          <w:sz w:val="20"/>
          <w:szCs w:val="20"/>
        </w:rPr>
        <w:t xml:space="preserve"> </w:t>
      </w:r>
      <w:r w:rsidRPr="000977F7">
        <w:rPr>
          <w:rFonts w:asciiTheme="majorHAnsi" w:hAnsiTheme="majorHAnsi"/>
          <w:sz w:val="20"/>
          <w:szCs w:val="20"/>
        </w:rPr>
        <w:t>виконавців для здійснення в регламентованих умовах</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заданих</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технологічних</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47"/>
          <w:sz w:val="20"/>
          <w:szCs w:val="20"/>
        </w:rPr>
        <w:t xml:space="preserve"> </w:t>
      </w:r>
      <w:r w:rsidRPr="000977F7">
        <w:rPr>
          <w:rFonts w:asciiTheme="majorHAnsi" w:hAnsiTheme="majorHAnsi"/>
          <w:sz w:val="20"/>
          <w:szCs w:val="20"/>
        </w:rPr>
        <w:t>операцій.</w:t>
      </w:r>
    </w:p>
    <w:p w14:paraId="5E8ACF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0E37DE82" w14:textId="77777777" w:rsidR="0097612F" w:rsidRPr="000977F7" w:rsidRDefault="0097612F" w:rsidP="00FD39A4">
      <w:pPr>
        <w:pStyle w:val="ac"/>
        <w:widowControl w:val="0"/>
        <w:numPr>
          <w:ilvl w:val="0"/>
          <w:numId w:val="71"/>
        </w:numPr>
        <w:tabs>
          <w:tab w:val="left" w:pos="284"/>
          <w:tab w:val="left" w:pos="6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предметів</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 відносяться: матеріал,</w:t>
      </w:r>
      <w:r w:rsidRPr="000977F7">
        <w:rPr>
          <w:rFonts w:asciiTheme="majorHAnsi" w:hAnsiTheme="majorHAnsi"/>
          <w:spacing w:val="1"/>
          <w:sz w:val="20"/>
          <w:szCs w:val="20"/>
        </w:rPr>
        <w:t xml:space="preserve"> </w:t>
      </w:r>
      <w:r w:rsidRPr="000977F7">
        <w:rPr>
          <w:rFonts w:asciiTheme="majorHAnsi" w:hAnsiTheme="majorHAnsi"/>
          <w:sz w:val="20"/>
          <w:szCs w:val="20"/>
        </w:rPr>
        <w:t>заготовка, напівфабрикат та виріб, що перебувають</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 до виконуваного технологічного процесу</w:t>
      </w:r>
      <w:r w:rsidRPr="000977F7">
        <w:rPr>
          <w:rFonts w:asciiTheme="majorHAnsi" w:hAnsiTheme="majorHAnsi"/>
          <w:spacing w:val="-47"/>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стадії</w:t>
      </w:r>
      <w:r w:rsidRPr="000977F7">
        <w:rPr>
          <w:rFonts w:asciiTheme="majorHAnsi" w:hAnsiTheme="majorHAnsi"/>
          <w:spacing w:val="1"/>
          <w:sz w:val="20"/>
          <w:szCs w:val="20"/>
        </w:rPr>
        <w:t xml:space="preserve"> </w:t>
      </w:r>
      <w:r w:rsidRPr="000977F7">
        <w:rPr>
          <w:rFonts w:asciiTheme="majorHAnsi" w:hAnsiTheme="majorHAnsi"/>
          <w:sz w:val="20"/>
          <w:szCs w:val="20"/>
        </w:rPr>
        <w:t>зберігання,</w:t>
      </w:r>
      <w:r w:rsidRPr="000977F7">
        <w:rPr>
          <w:rFonts w:asciiTheme="majorHAnsi" w:hAnsiTheme="majorHAnsi"/>
          <w:spacing w:val="1"/>
          <w:sz w:val="20"/>
          <w:szCs w:val="20"/>
        </w:rPr>
        <w:t xml:space="preserve"> </w:t>
      </w:r>
      <w:r w:rsidRPr="000977F7">
        <w:rPr>
          <w:rFonts w:asciiTheme="majorHAnsi" w:hAnsiTheme="majorHAnsi"/>
          <w:sz w:val="20"/>
          <w:szCs w:val="20"/>
        </w:rPr>
        <w:t>транспортування,</w:t>
      </w:r>
      <w:r w:rsidRPr="000977F7">
        <w:rPr>
          <w:rFonts w:asciiTheme="majorHAnsi" w:hAnsiTheme="majorHAnsi"/>
          <w:spacing w:val="1"/>
          <w:sz w:val="20"/>
          <w:szCs w:val="20"/>
        </w:rPr>
        <w:t xml:space="preserve"> </w:t>
      </w:r>
      <w:r w:rsidRPr="000977F7">
        <w:rPr>
          <w:rFonts w:asciiTheme="majorHAnsi" w:hAnsiTheme="majorHAnsi"/>
          <w:sz w:val="20"/>
          <w:szCs w:val="20"/>
        </w:rPr>
        <w:t>формоутворення,</w:t>
      </w:r>
      <w:r w:rsidRPr="000977F7">
        <w:rPr>
          <w:rFonts w:asciiTheme="majorHAnsi" w:hAnsiTheme="majorHAnsi"/>
          <w:spacing w:val="1"/>
          <w:sz w:val="20"/>
          <w:szCs w:val="20"/>
        </w:rPr>
        <w:t xml:space="preserve"> </w:t>
      </w:r>
      <w:r w:rsidRPr="000977F7">
        <w:rPr>
          <w:rFonts w:asciiTheme="majorHAnsi" w:hAnsiTheme="majorHAnsi"/>
          <w:sz w:val="20"/>
          <w:szCs w:val="20"/>
        </w:rPr>
        <w:t>обробки,</w:t>
      </w:r>
      <w:r w:rsidRPr="000977F7">
        <w:rPr>
          <w:rFonts w:asciiTheme="majorHAnsi" w:hAnsiTheme="majorHAnsi"/>
          <w:spacing w:val="1"/>
          <w:sz w:val="20"/>
          <w:szCs w:val="20"/>
        </w:rPr>
        <w:t xml:space="preserve"> </w:t>
      </w:r>
      <w:r w:rsidRPr="000977F7">
        <w:rPr>
          <w:rFonts w:asciiTheme="majorHAnsi" w:hAnsiTheme="majorHAnsi"/>
          <w:sz w:val="20"/>
          <w:szCs w:val="20"/>
        </w:rPr>
        <w:t>складання,</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випробування</w:t>
      </w:r>
    </w:p>
    <w:p w14:paraId="105FCE56" w14:textId="77777777" w:rsidR="0097612F" w:rsidRPr="000977F7" w:rsidRDefault="0097612F" w:rsidP="00FD39A4">
      <w:pPr>
        <w:pStyle w:val="ac"/>
        <w:widowControl w:val="0"/>
        <w:numPr>
          <w:ilvl w:val="0"/>
          <w:numId w:val="71"/>
        </w:numPr>
        <w:tabs>
          <w:tab w:val="left" w:pos="284"/>
          <w:tab w:val="left" w:pos="64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 регламентованих умов виробництва відносяться:</w:t>
      </w:r>
      <w:r w:rsidRPr="000977F7">
        <w:rPr>
          <w:rFonts w:asciiTheme="majorHAnsi" w:hAnsiTheme="majorHAnsi"/>
          <w:spacing w:val="-47"/>
          <w:sz w:val="20"/>
          <w:szCs w:val="20"/>
        </w:rPr>
        <w:t xml:space="preserve"> </w:t>
      </w:r>
      <w:r w:rsidRPr="000977F7">
        <w:rPr>
          <w:rFonts w:asciiTheme="majorHAnsi" w:hAnsiTheme="majorHAnsi"/>
          <w:sz w:val="20"/>
          <w:szCs w:val="20"/>
        </w:rPr>
        <w:t>регулярність</w:t>
      </w:r>
      <w:r w:rsidRPr="000977F7">
        <w:rPr>
          <w:rFonts w:asciiTheme="majorHAnsi" w:hAnsiTheme="majorHAnsi"/>
          <w:spacing w:val="1"/>
          <w:sz w:val="20"/>
          <w:szCs w:val="20"/>
        </w:rPr>
        <w:t xml:space="preserve"> </w:t>
      </w:r>
      <w:r w:rsidRPr="000977F7">
        <w:rPr>
          <w:rFonts w:asciiTheme="majorHAnsi" w:hAnsiTheme="majorHAnsi"/>
          <w:sz w:val="20"/>
          <w:szCs w:val="20"/>
        </w:rPr>
        <w:t>надходження</w:t>
      </w:r>
      <w:r w:rsidRPr="000977F7">
        <w:rPr>
          <w:rFonts w:asciiTheme="majorHAnsi" w:hAnsiTheme="majorHAnsi"/>
          <w:spacing w:val="1"/>
          <w:sz w:val="20"/>
          <w:szCs w:val="20"/>
        </w:rPr>
        <w:t xml:space="preserve"> </w:t>
      </w:r>
      <w:r w:rsidRPr="000977F7">
        <w:rPr>
          <w:rFonts w:asciiTheme="majorHAnsi" w:hAnsiTheme="majorHAnsi"/>
          <w:sz w:val="20"/>
          <w:szCs w:val="20"/>
        </w:rPr>
        <w:t>предметів</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47"/>
          <w:sz w:val="20"/>
          <w:szCs w:val="20"/>
        </w:rPr>
        <w:t xml:space="preserve"> </w:t>
      </w:r>
      <w:r w:rsidRPr="000977F7">
        <w:rPr>
          <w:rFonts w:asciiTheme="majorHAnsi" w:hAnsiTheme="majorHAnsi"/>
          <w:sz w:val="20"/>
          <w:szCs w:val="20"/>
        </w:rPr>
        <w:t>параметри енергопостачання, параметри навколишнього середовища та ін.</w:t>
      </w:r>
    </w:p>
    <w:p w14:paraId="467B7A0E" w14:textId="77777777" w:rsidR="0097612F" w:rsidRPr="000977F7" w:rsidRDefault="0097612F" w:rsidP="00FD39A4">
      <w:pPr>
        <w:pStyle w:val="ac"/>
        <w:widowControl w:val="0"/>
        <w:numPr>
          <w:ilvl w:val="0"/>
          <w:numId w:val="71"/>
        </w:numPr>
        <w:tabs>
          <w:tab w:val="left" w:pos="284"/>
          <w:tab w:val="left" w:pos="66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Розрізняють чотири ієрархічні рівні технологічних</w:t>
      </w:r>
      <w:r w:rsidRPr="000977F7">
        <w:rPr>
          <w:rFonts w:asciiTheme="majorHAnsi" w:hAnsiTheme="majorHAnsi"/>
          <w:spacing w:val="1"/>
          <w:sz w:val="20"/>
          <w:szCs w:val="20"/>
        </w:rPr>
        <w:t xml:space="preserve"> </w:t>
      </w:r>
      <w:r w:rsidRPr="000977F7">
        <w:rPr>
          <w:rFonts w:asciiTheme="majorHAnsi" w:hAnsiTheme="majorHAnsi"/>
          <w:sz w:val="20"/>
          <w:szCs w:val="20"/>
        </w:rPr>
        <w:t>систем: операцій, процесів, виробничих підрозділів і</w:t>
      </w:r>
      <w:r w:rsidRPr="000977F7">
        <w:rPr>
          <w:rFonts w:asciiTheme="majorHAnsi" w:hAnsiTheme="majorHAnsi"/>
          <w:spacing w:val="-47"/>
          <w:sz w:val="20"/>
          <w:szCs w:val="20"/>
        </w:rPr>
        <w:t xml:space="preserve"> </w:t>
      </w:r>
      <w:r w:rsidRPr="000977F7">
        <w:rPr>
          <w:rFonts w:asciiTheme="majorHAnsi" w:hAnsiTheme="majorHAnsi"/>
          <w:sz w:val="20"/>
          <w:szCs w:val="20"/>
        </w:rPr>
        <w:t>підприємств</w:t>
      </w:r>
    </w:p>
    <w:p w14:paraId="0A06498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Технологічна система являє собою частину виробничої системи, має свою структуру та функціонує за</w:t>
      </w:r>
      <w:r w:rsidRPr="000977F7">
        <w:rPr>
          <w:rFonts w:asciiTheme="majorHAnsi" w:hAnsiTheme="majorHAnsi"/>
          <w:spacing w:val="1"/>
          <w:sz w:val="20"/>
          <w:szCs w:val="20"/>
        </w:rPr>
        <w:t xml:space="preserve"> </w:t>
      </w:r>
      <w:r w:rsidRPr="000977F7">
        <w:rPr>
          <w:rFonts w:asciiTheme="majorHAnsi" w:hAnsiTheme="majorHAnsi"/>
          <w:sz w:val="20"/>
          <w:szCs w:val="20"/>
        </w:rPr>
        <w:t>певних</w:t>
      </w:r>
      <w:r w:rsidRPr="000977F7">
        <w:rPr>
          <w:rFonts w:asciiTheme="majorHAnsi" w:hAnsiTheme="majorHAnsi"/>
          <w:spacing w:val="5"/>
          <w:sz w:val="20"/>
          <w:szCs w:val="20"/>
        </w:rPr>
        <w:t xml:space="preserve"> </w:t>
      </w:r>
      <w:r w:rsidRPr="000977F7">
        <w:rPr>
          <w:rFonts w:asciiTheme="majorHAnsi" w:hAnsiTheme="majorHAnsi"/>
          <w:sz w:val="20"/>
          <w:szCs w:val="20"/>
        </w:rPr>
        <w:t>умов.</w:t>
      </w:r>
    </w:p>
    <w:p w14:paraId="2E3E61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структура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умови</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 режим роботи регламентуються конструкторською,</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технологічною</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іншою</w:t>
      </w:r>
      <w:r w:rsidRPr="000977F7">
        <w:rPr>
          <w:rFonts w:asciiTheme="majorHAnsi" w:hAnsiTheme="majorHAnsi"/>
          <w:spacing w:val="1"/>
          <w:sz w:val="20"/>
          <w:szCs w:val="20"/>
        </w:rPr>
        <w:t xml:space="preserve"> </w:t>
      </w:r>
      <w:r w:rsidRPr="000977F7">
        <w:rPr>
          <w:rFonts w:asciiTheme="majorHAnsi" w:hAnsiTheme="majorHAnsi"/>
          <w:sz w:val="20"/>
          <w:szCs w:val="20"/>
        </w:rPr>
        <w:t>нормативно-технічною документацією. Зміна цієї документації</w:t>
      </w:r>
      <w:r w:rsidRPr="000977F7">
        <w:rPr>
          <w:rFonts w:asciiTheme="majorHAnsi" w:hAnsiTheme="majorHAnsi"/>
          <w:spacing w:val="1"/>
          <w:sz w:val="20"/>
          <w:szCs w:val="20"/>
        </w:rPr>
        <w:t xml:space="preserve"> </w:t>
      </w:r>
      <w:r w:rsidRPr="000977F7">
        <w:rPr>
          <w:rFonts w:asciiTheme="majorHAnsi" w:hAnsiTheme="majorHAnsi"/>
          <w:sz w:val="20"/>
          <w:szCs w:val="20"/>
        </w:rPr>
        <w:t>призводить</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відповідної</w:t>
      </w:r>
      <w:r w:rsidRPr="000977F7">
        <w:rPr>
          <w:rFonts w:asciiTheme="majorHAnsi" w:hAnsiTheme="majorHAnsi"/>
          <w:spacing w:val="1"/>
          <w:sz w:val="20"/>
          <w:szCs w:val="20"/>
        </w:rPr>
        <w:t xml:space="preserve"> </w:t>
      </w:r>
      <w:r w:rsidRPr="000977F7">
        <w:rPr>
          <w:rFonts w:asciiTheme="majorHAnsi" w:hAnsiTheme="majorHAnsi"/>
          <w:sz w:val="20"/>
          <w:szCs w:val="20"/>
        </w:rPr>
        <w:t>зміни</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p>
    <w:p w14:paraId="2A3DDF4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Усі технологічні системи можна поділити на чотири</w:t>
      </w:r>
      <w:r w:rsidRPr="000977F7">
        <w:rPr>
          <w:rFonts w:asciiTheme="majorHAnsi" w:hAnsiTheme="majorHAnsi"/>
          <w:spacing w:val="1"/>
          <w:sz w:val="20"/>
          <w:szCs w:val="20"/>
        </w:rPr>
        <w:t xml:space="preserve"> </w:t>
      </w:r>
      <w:r w:rsidRPr="000977F7">
        <w:rPr>
          <w:rFonts w:asciiTheme="majorHAnsi" w:hAnsiTheme="majorHAnsi"/>
          <w:sz w:val="20"/>
          <w:szCs w:val="20"/>
        </w:rPr>
        <w:t>ієрархічні</w:t>
      </w:r>
      <w:r w:rsidRPr="000977F7">
        <w:rPr>
          <w:rFonts w:asciiTheme="majorHAnsi" w:hAnsiTheme="majorHAnsi"/>
          <w:spacing w:val="1"/>
          <w:sz w:val="20"/>
          <w:szCs w:val="20"/>
        </w:rPr>
        <w:t xml:space="preserve"> </w:t>
      </w:r>
      <w:r w:rsidRPr="000977F7">
        <w:rPr>
          <w:rFonts w:asciiTheme="majorHAnsi" w:hAnsiTheme="majorHAnsi"/>
          <w:sz w:val="20"/>
          <w:szCs w:val="20"/>
        </w:rPr>
        <w:t>рівні:</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технологічні</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операцій,</w:t>
      </w:r>
      <w:r w:rsidRPr="000977F7">
        <w:rPr>
          <w:rFonts w:asciiTheme="majorHAnsi" w:hAnsiTheme="majorHAnsi"/>
          <w:spacing w:val="-47"/>
          <w:sz w:val="20"/>
          <w:szCs w:val="20"/>
        </w:rPr>
        <w:t xml:space="preserve"> </w:t>
      </w:r>
      <w:r w:rsidRPr="000977F7">
        <w:rPr>
          <w:rFonts w:asciiTheme="majorHAnsi" w:hAnsiTheme="majorHAnsi"/>
          <w:sz w:val="20"/>
          <w:szCs w:val="20"/>
        </w:rPr>
        <w:t>процесів,</w:t>
      </w:r>
      <w:r w:rsidRPr="000977F7">
        <w:rPr>
          <w:rFonts w:asciiTheme="majorHAnsi" w:hAnsiTheme="majorHAnsi"/>
          <w:spacing w:val="10"/>
          <w:sz w:val="20"/>
          <w:szCs w:val="20"/>
        </w:rPr>
        <w:t xml:space="preserve"> </w:t>
      </w:r>
      <w:r w:rsidRPr="000977F7">
        <w:rPr>
          <w:rFonts w:asciiTheme="majorHAnsi" w:hAnsiTheme="majorHAnsi"/>
          <w:sz w:val="20"/>
          <w:szCs w:val="20"/>
        </w:rPr>
        <w:t>виробничих</w:t>
      </w:r>
      <w:r w:rsidRPr="000977F7">
        <w:rPr>
          <w:rFonts w:asciiTheme="majorHAnsi" w:hAnsiTheme="majorHAnsi"/>
          <w:spacing w:val="8"/>
          <w:sz w:val="20"/>
          <w:szCs w:val="20"/>
        </w:rPr>
        <w:t xml:space="preserve"> </w:t>
      </w:r>
      <w:r w:rsidRPr="000977F7">
        <w:rPr>
          <w:rFonts w:asciiTheme="majorHAnsi" w:hAnsiTheme="majorHAnsi"/>
          <w:sz w:val="20"/>
          <w:szCs w:val="20"/>
        </w:rPr>
        <w:t>підрозділів</w:t>
      </w:r>
      <w:r w:rsidRPr="000977F7">
        <w:rPr>
          <w:rFonts w:asciiTheme="majorHAnsi" w:hAnsiTheme="majorHAnsi"/>
          <w:spacing w:val="9"/>
          <w:sz w:val="20"/>
          <w:szCs w:val="20"/>
        </w:rPr>
        <w:t xml:space="preserve"> </w:t>
      </w:r>
      <w:r w:rsidRPr="000977F7">
        <w:rPr>
          <w:rFonts w:asciiTheme="majorHAnsi" w:hAnsiTheme="majorHAnsi"/>
          <w:sz w:val="20"/>
          <w:szCs w:val="20"/>
        </w:rPr>
        <w:t>та</w:t>
      </w:r>
      <w:r w:rsidRPr="000977F7">
        <w:rPr>
          <w:rFonts w:asciiTheme="majorHAnsi" w:hAnsiTheme="majorHAnsi"/>
          <w:spacing w:val="10"/>
          <w:sz w:val="20"/>
          <w:szCs w:val="20"/>
        </w:rPr>
        <w:t xml:space="preserve"> </w:t>
      </w:r>
      <w:r w:rsidRPr="000977F7">
        <w:rPr>
          <w:rFonts w:asciiTheme="majorHAnsi" w:hAnsiTheme="majorHAnsi"/>
          <w:sz w:val="20"/>
          <w:szCs w:val="20"/>
        </w:rPr>
        <w:t>підприємств.</w:t>
      </w:r>
    </w:p>
    <w:p w14:paraId="22ABD89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операції</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забезпечує</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6"/>
          <w:sz w:val="20"/>
          <w:szCs w:val="20"/>
        </w:rPr>
        <w:t xml:space="preserve"> </w:t>
      </w:r>
      <w:r w:rsidRPr="000977F7">
        <w:rPr>
          <w:rFonts w:asciiTheme="majorHAnsi" w:hAnsiTheme="majorHAnsi"/>
          <w:sz w:val="20"/>
          <w:szCs w:val="20"/>
        </w:rPr>
        <w:t>однієї</w:t>
      </w:r>
      <w:r w:rsidRPr="000977F7">
        <w:rPr>
          <w:rFonts w:asciiTheme="majorHAnsi" w:hAnsiTheme="majorHAnsi"/>
          <w:spacing w:val="7"/>
          <w:sz w:val="20"/>
          <w:szCs w:val="20"/>
        </w:rPr>
        <w:t xml:space="preserve"> </w:t>
      </w:r>
      <w:r w:rsidRPr="000977F7">
        <w:rPr>
          <w:rFonts w:asciiTheme="majorHAnsi" w:hAnsiTheme="majorHAnsi"/>
          <w:sz w:val="20"/>
          <w:szCs w:val="20"/>
        </w:rPr>
        <w:t>заданої</w:t>
      </w:r>
      <w:r w:rsidRPr="000977F7">
        <w:rPr>
          <w:rFonts w:asciiTheme="majorHAnsi" w:hAnsiTheme="majorHAnsi"/>
          <w:spacing w:val="7"/>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4"/>
          <w:sz w:val="20"/>
          <w:szCs w:val="20"/>
        </w:rPr>
        <w:t xml:space="preserve"> </w:t>
      </w:r>
      <w:r w:rsidRPr="000977F7">
        <w:rPr>
          <w:rFonts w:asciiTheme="majorHAnsi" w:hAnsiTheme="majorHAnsi"/>
          <w:sz w:val="20"/>
          <w:szCs w:val="20"/>
        </w:rPr>
        <w:t>операції.</w:t>
      </w:r>
    </w:p>
    <w:p w14:paraId="35A140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містить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собі,</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підсистеми,</w:t>
      </w:r>
      <w:r w:rsidRPr="000977F7">
        <w:rPr>
          <w:rFonts w:asciiTheme="majorHAnsi" w:hAnsiTheme="majorHAnsi"/>
          <w:spacing w:val="1"/>
          <w:sz w:val="20"/>
          <w:szCs w:val="20"/>
        </w:rPr>
        <w:t xml:space="preserve"> </w:t>
      </w: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технологічних</w:t>
      </w:r>
      <w:r w:rsidRPr="000977F7">
        <w:rPr>
          <w:rFonts w:asciiTheme="majorHAnsi" w:hAnsiTheme="majorHAnsi"/>
          <w:spacing w:val="1"/>
          <w:sz w:val="20"/>
          <w:szCs w:val="20"/>
        </w:rPr>
        <w:t xml:space="preserve"> </w:t>
      </w:r>
      <w:r w:rsidRPr="000977F7">
        <w:rPr>
          <w:rFonts w:asciiTheme="majorHAnsi" w:hAnsiTheme="majorHAnsi"/>
          <w:sz w:val="20"/>
          <w:szCs w:val="20"/>
        </w:rPr>
        <w:t>систем</w:t>
      </w:r>
      <w:r w:rsidRPr="000977F7">
        <w:rPr>
          <w:rFonts w:asciiTheme="majorHAnsi" w:hAnsiTheme="majorHAnsi"/>
          <w:spacing w:val="1"/>
          <w:sz w:val="20"/>
          <w:szCs w:val="20"/>
        </w:rPr>
        <w:t xml:space="preserve"> </w:t>
      </w:r>
      <w:r w:rsidRPr="000977F7">
        <w:rPr>
          <w:rFonts w:asciiTheme="majorHAnsi" w:hAnsiTheme="majorHAnsi"/>
          <w:sz w:val="20"/>
          <w:szCs w:val="20"/>
        </w:rPr>
        <w:t>операцій,</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відносяться</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одного</w:t>
      </w:r>
      <w:r w:rsidRPr="000977F7">
        <w:rPr>
          <w:rFonts w:asciiTheme="majorHAnsi" w:hAnsiTheme="majorHAnsi"/>
          <w:spacing w:val="50"/>
          <w:sz w:val="20"/>
          <w:szCs w:val="20"/>
        </w:rPr>
        <w:t xml:space="preserve"> </w:t>
      </w:r>
      <w:r w:rsidRPr="000977F7">
        <w:rPr>
          <w:rFonts w:asciiTheme="majorHAnsi" w:hAnsiTheme="majorHAnsi"/>
          <w:sz w:val="20"/>
          <w:szCs w:val="20"/>
        </w:rPr>
        <w:t>методу (оброблення, формування, складання чи контролю) або до одного найменування продукції, що виготовляється. За</w:t>
      </w:r>
      <w:r w:rsidRPr="000977F7">
        <w:rPr>
          <w:rFonts w:asciiTheme="majorHAnsi" w:hAnsiTheme="majorHAnsi"/>
          <w:spacing w:val="1"/>
          <w:sz w:val="20"/>
          <w:szCs w:val="20"/>
        </w:rPr>
        <w:t xml:space="preserve"> </w:t>
      </w:r>
      <w:r w:rsidRPr="000977F7">
        <w:rPr>
          <w:rFonts w:asciiTheme="majorHAnsi" w:hAnsiTheme="majorHAnsi"/>
          <w:sz w:val="20"/>
          <w:szCs w:val="20"/>
        </w:rPr>
        <w:t>наявності</w:t>
      </w:r>
      <w:r w:rsidRPr="000977F7">
        <w:rPr>
          <w:rFonts w:asciiTheme="majorHAnsi" w:hAnsiTheme="majorHAnsi"/>
          <w:spacing w:val="1"/>
          <w:sz w:val="20"/>
          <w:szCs w:val="20"/>
        </w:rPr>
        <w:t xml:space="preserve"> </w:t>
      </w:r>
      <w:r w:rsidRPr="000977F7">
        <w:rPr>
          <w:rFonts w:asciiTheme="majorHAnsi" w:hAnsiTheme="majorHAnsi"/>
          <w:sz w:val="20"/>
          <w:szCs w:val="20"/>
        </w:rPr>
        <w:t>автоматизованої</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технологічним</w:t>
      </w:r>
      <w:r w:rsidRPr="000977F7">
        <w:rPr>
          <w:rFonts w:asciiTheme="majorHAnsi" w:hAnsiTheme="majorHAnsi"/>
          <w:spacing w:val="1"/>
          <w:sz w:val="20"/>
          <w:szCs w:val="20"/>
        </w:rPr>
        <w:t xml:space="preserve"> </w:t>
      </w:r>
      <w:r w:rsidRPr="000977F7">
        <w:rPr>
          <w:rFonts w:asciiTheme="majorHAnsi" w:hAnsiTheme="majorHAnsi"/>
          <w:sz w:val="20"/>
          <w:szCs w:val="20"/>
        </w:rPr>
        <w:t>процесом</w:t>
      </w:r>
      <w:r w:rsidRPr="000977F7">
        <w:rPr>
          <w:rFonts w:asciiTheme="majorHAnsi" w:hAnsiTheme="majorHAnsi"/>
          <w:spacing w:val="1"/>
          <w:sz w:val="20"/>
          <w:szCs w:val="20"/>
        </w:rPr>
        <w:t xml:space="preserve"> </w:t>
      </w:r>
      <w:r w:rsidRPr="000977F7">
        <w:rPr>
          <w:rFonts w:asciiTheme="majorHAnsi" w:hAnsiTheme="majorHAnsi"/>
          <w:sz w:val="20"/>
          <w:szCs w:val="20"/>
        </w:rPr>
        <w:t>(АСУ</w:t>
      </w:r>
      <w:r w:rsidRPr="000977F7">
        <w:rPr>
          <w:rFonts w:asciiTheme="majorHAnsi" w:hAnsiTheme="majorHAnsi"/>
          <w:spacing w:val="1"/>
          <w:sz w:val="20"/>
          <w:szCs w:val="20"/>
        </w:rPr>
        <w:t xml:space="preserve"> </w:t>
      </w:r>
      <w:r w:rsidRPr="000977F7">
        <w:rPr>
          <w:rFonts w:asciiTheme="majorHAnsi" w:hAnsiTheme="majorHAnsi"/>
          <w:sz w:val="20"/>
          <w:szCs w:val="20"/>
        </w:rPr>
        <w:t>ТП)</w:t>
      </w:r>
      <w:r w:rsidRPr="000977F7">
        <w:rPr>
          <w:rFonts w:asciiTheme="majorHAnsi" w:hAnsiTheme="majorHAnsi"/>
          <w:spacing w:val="1"/>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технічні</w:t>
      </w:r>
      <w:r w:rsidRPr="000977F7">
        <w:rPr>
          <w:rFonts w:asciiTheme="majorHAnsi" w:hAnsiTheme="majorHAnsi"/>
          <w:spacing w:val="1"/>
          <w:sz w:val="20"/>
          <w:szCs w:val="20"/>
        </w:rPr>
        <w:t xml:space="preserve"> </w:t>
      </w:r>
      <w:r w:rsidRPr="000977F7">
        <w:rPr>
          <w:rFonts w:asciiTheme="majorHAnsi" w:hAnsiTheme="majorHAnsi"/>
          <w:sz w:val="20"/>
          <w:szCs w:val="20"/>
        </w:rPr>
        <w:t>засоби</w:t>
      </w:r>
      <w:r w:rsidRPr="000977F7">
        <w:rPr>
          <w:rFonts w:asciiTheme="majorHAnsi" w:hAnsiTheme="majorHAnsi"/>
          <w:spacing w:val="-47"/>
          <w:sz w:val="20"/>
          <w:szCs w:val="20"/>
        </w:rPr>
        <w:t xml:space="preserve"> </w:t>
      </w:r>
      <w:r w:rsidRPr="000977F7">
        <w:rPr>
          <w:rFonts w:asciiTheme="majorHAnsi" w:hAnsiTheme="majorHAnsi"/>
          <w:sz w:val="20"/>
          <w:szCs w:val="20"/>
        </w:rPr>
        <w:t>входять до складу технологічної системи цього процесу.</w:t>
      </w:r>
    </w:p>
    <w:p w14:paraId="063BC1B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виробничого</w:t>
      </w:r>
      <w:r w:rsidRPr="000977F7">
        <w:rPr>
          <w:rFonts w:asciiTheme="majorHAnsi" w:hAnsiTheme="majorHAnsi"/>
          <w:spacing w:val="1"/>
          <w:sz w:val="20"/>
          <w:szCs w:val="20"/>
        </w:rPr>
        <w:t xml:space="preserve"> </w:t>
      </w:r>
      <w:r w:rsidRPr="000977F7">
        <w:rPr>
          <w:rFonts w:asciiTheme="majorHAnsi" w:hAnsiTheme="majorHAnsi"/>
          <w:sz w:val="20"/>
          <w:szCs w:val="20"/>
        </w:rPr>
        <w:t>підрозділу</w:t>
      </w:r>
      <w:r w:rsidRPr="000977F7">
        <w:rPr>
          <w:rFonts w:asciiTheme="majorHAnsi" w:hAnsiTheme="majorHAnsi"/>
          <w:spacing w:val="1"/>
          <w:sz w:val="20"/>
          <w:szCs w:val="20"/>
        </w:rPr>
        <w:t xml:space="preserve"> </w:t>
      </w:r>
      <w:r w:rsidRPr="000977F7">
        <w:rPr>
          <w:rFonts w:asciiTheme="majorHAnsi" w:hAnsiTheme="majorHAnsi"/>
          <w:sz w:val="20"/>
          <w:szCs w:val="20"/>
        </w:rPr>
        <w:t>складається з технологічних систем процесів і (або)</w:t>
      </w:r>
      <w:r w:rsidRPr="000977F7">
        <w:rPr>
          <w:rFonts w:asciiTheme="majorHAnsi" w:hAnsiTheme="majorHAnsi"/>
          <w:spacing w:val="1"/>
          <w:sz w:val="20"/>
          <w:szCs w:val="20"/>
        </w:rPr>
        <w:t xml:space="preserve"> </w:t>
      </w:r>
      <w:r w:rsidRPr="000977F7">
        <w:rPr>
          <w:rFonts w:asciiTheme="majorHAnsi" w:hAnsiTheme="majorHAnsi"/>
          <w:sz w:val="20"/>
          <w:szCs w:val="20"/>
        </w:rPr>
        <w:t>операцій, які функціонують в межах даного підрозділу.</w:t>
      </w:r>
    </w:p>
    <w:p w14:paraId="3D831CD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Технологічна</w:t>
      </w:r>
      <w:r w:rsidRPr="000977F7">
        <w:rPr>
          <w:rFonts w:asciiTheme="majorHAnsi" w:hAnsiTheme="majorHAnsi"/>
          <w:spacing w:val="11"/>
          <w:sz w:val="20"/>
          <w:szCs w:val="20"/>
        </w:rPr>
        <w:t xml:space="preserve"> </w:t>
      </w:r>
      <w:r w:rsidRPr="000977F7">
        <w:rPr>
          <w:rFonts w:asciiTheme="majorHAnsi" w:hAnsiTheme="majorHAnsi"/>
          <w:sz w:val="20"/>
          <w:szCs w:val="20"/>
        </w:rPr>
        <w:t>система</w:t>
      </w:r>
      <w:r w:rsidRPr="000977F7">
        <w:rPr>
          <w:rFonts w:asciiTheme="majorHAnsi" w:hAnsiTheme="majorHAnsi"/>
          <w:spacing w:val="11"/>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11"/>
          <w:sz w:val="20"/>
          <w:szCs w:val="20"/>
        </w:rPr>
        <w:t xml:space="preserve"> </w:t>
      </w:r>
      <w:r w:rsidRPr="000977F7">
        <w:rPr>
          <w:rFonts w:asciiTheme="majorHAnsi" w:hAnsiTheme="majorHAnsi"/>
          <w:sz w:val="20"/>
          <w:szCs w:val="20"/>
        </w:rPr>
        <w:t>складається</w:t>
      </w:r>
      <w:r w:rsidRPr="000977F7">
        <w:rPr>
          <w:rFonts w:asciiTheme="majorHAnsi" w:hAnsiTheme="majorHAnsi"/>
          <w:spacing w:val="10"/>
          <w:sz w:val="20"/>
          <w:szCs w:val="20"/>
        </w:rPr>
        <w:t xml:space="preserve"> </w:t>
      </w:r>
      <w:r w:rsidRPr="000977F7">
        <w:rPr>
          <w:rFonts w:asciiTheme="majorHAnsi" w:hAnsiTheme="majorHAnsi"/>
          <w:sz w:val="20"/>
          <w:szCs w:val="20"/>
        </w:rPr>
        <w:t>з</w:t>
      </w:r>
      <w:r w:rsidRPr="000977F7">
        <w:rPr>
          <w:rFonts w:asciiTheme="majorHAnsi" w:hAnsiTheme="majorHAnsi"/>
          <w:spacing w:val="-47"/>
          <w:sz w:val="20"/>
          <w:szCs w:val="20"/>
        </w:rPr>
        <w:t xml:space="preserve"> </w:t>
      </w:r>
      <w:r w:rsidRPr="000977F7">
        <w:rPr>
          <w:rFonts w:asciiTheme="majorHAnsi" w:hAnsiTheme="majorHAnsi"/>
          <w:sz w:val="20"/>
          <w:szCs w:val="20"/>
        </w:rPr>
        <w:t>технологічних</w:t>
      </w:r>
      <w:r w:rsidRPr="000977F7">
        <w:rPr>
          <w:rFonts w:asciiTheme="majorHAnsi" w:hAnsiTheme="majorHAnsi"/>
          <w:spacing w:val="11"/>
          <w:sz w:val="20"/>
          <w:szCs w:val="20"/>
        </w:rPr>
        <w:t xml:space="preserve"> </w:t>
      </w:r>
      <w:r w:rsidRPr="000977F7">
        <w:rPr>
          <w:rFonts w:asciiTheme="majorHAnsi" w:hAnsiTheme="majorHAnsi"/>
          <w:sz w:val="20"/>
          <w:szCs w:val="20"/>
        </w:rPr>
        <w:t>систем</w:t>
      </w:r>
      <w:r w:rsidRPr="000977F7">
        <w:rPr>
          <w:rFonts w:asciiTheme="majorHAnsi" w:hAnsiTheme="majorHAnsi"/>
          <w:spacing w:val="14"/>
          <w:sz w:val="20"/>
          <w:szCs w:val="20"/>
        </w:rPr>
        <w:t xml:space="preserve"> </w:t>
      </w:r>
      <w:r w:rsidRPr="000977F7">
        <w:rPr>
          <w:rFonts w:asciiTheme="majorHAnsi" w:hAnsiTheme="majorHAnsi"/>
          <w:sz w:val="20"/>
          <w:szCs w:val="20"/>
        </w:rPr>
        <w:t>його</w:t>
      </w:r>
      <w:r w:rsidRPr="000977F7">
        <w:rPr>
          <w:rFonts w:asciiTheme="majorHAnsi" w:hAnsiTheme="majorHAnsi"/>
          <w:spacing w:val="11"/>
          <w:sz w:val="20"/>
          <w:szCs w:val="20"/>
        </w:rPr>
        <w:t xml:space="preserve"> </w:t>
      </w:r>
      <w:r w:rsidRPr="000977F7">
        <w:rPr>
          <w:rFonts w:asciiTheme="majorHAnsi" w:hAnsiTheme="majorHAnsi"/>
          <w:sz w:val="20"/>
          <w:szCs w:val="20"/>
        </w:rPr>
        <w:t>виробничих</w:t>
      </w:r>
      <w:r w:rsidRPr="000977F7">
        <w:rPr>
          <w:rFonts w:asciiTheme="majorHAnsi" w:hAnsiTheme="majorHAnsi"/>
          <w:spacing w:val="14"/>
          <w:sz w:val="20"/>
          <w:szCs w:val="20"/>
        </w:rPr>
        <w:t xml:space="preserve"> </w:t>
      </w:r>
      <w:r w:rsidRPr="000977F7">
        <w:rPr>
          <w:rFonts w:asciiTheme="majorHAnsi" w:hAnsiTheme="majorHAnsi"/>
          <w:sz w:val="20"/>
          <w:szCs w:val="20"/>
        </w:rPr>
        <w:t>підрозділів. Розрізняють</w:t>
      </w:r>
      <w:r w:rsidRPr="000977F7">
        <w:rPr>
          <w:rFonts w:asciiTheme="majorHAnsi" w:hAnsiTheme="majorHAnsi"/>
          <w:spacing w:val="7"/>
          <w:sz w:val="20"/>
          <w:szCs w:val="20"/>
        </w:rPr>
        <w:t xml:space="preserve"> </w:t>
      </w:r>
      <w:r w:rsidRPr="000977F7">
        <w:rPr>
          <w:rFonts w:asciiTheme="majorHAnsi" w:hAnsiTheme="majorHAnsi"/>
          <w:sz w:val="20"/>
          <w:szCs w:val="20"/>
        </w:rPr>
        <w:t>такі</w:t>
      </w:r>
      <w:r w:rsidRPr="000977F7">
        <w:rPr>
          <w:rFonts w:asciiTheme="majorHAnsi" w:hAnsiTheme="majorHAnsi"/>
          <w:spacing w:val="7"/>
          <w:sz w:val="20"/>
          <w:szCs w:val="20"/>
        </w:rPr>
        <w:t xml:space="preserve"> </w:t>
      </w:r>
      <w:r w:rsidRPr="000977F7">
        <w:rPr>
          <w:rFonts w:asciiTheme="majorHAnsi" w:hAnsiTheme="majorHAnsi"/>
          <w:sz w:val="20"/>
          <w:szCs w:val="20"/>
        </w:rPr>
        <w:t>види</w:t>
      </w:r>
      <w:r w:rsidRPr="000977F7">
        <w:rPr>
          <w:rFonts w:asciiTheme="majorHAnsi" w:hAnsiTheme="majorHAnsi"/>
          <w:spacing w:val="5"/>
          <w:sz w:val="20"/>
          <w:szCs w:val="20"/>
        </w:rPr>
        <w:t xml:space="preserve"> </w:t>
      </w:r>
      <w:r w:rsidRPr="000977F7">
        <w:rPr>
          <w:rFonts w:asciiTheme="majorHAnsi" w:hAnsiTheme="majorHAnsi"/>
          <w:sz w:val="20"/>
          <w:szCs w:val="20"/>
        </w:rPr>
        <w:t>технологічних</w:t>
      </w:r>
      <w:r w:rsidRPr="000977F7">
        <w:rPr>
          <w:rFonts w:asciiTheme="majorHAnsi" w:hAnsiTheme="majorHAnsi"/>
          <w:spacing w:val="6"/>
          <w:sz w:val="20"/>
          <w:szCs w:val="20"/>
        </w:rPr>
        <w:t xml:space="preserve"> </w:t>
      </w:r>
      <w:r w:rsidRPr="000977F7">
        <w:rPr>
          <w:rFonts w:asciiTheme="majorHAnsi" w:hAnsiTheme="majorHAnsi"/>
          <w:sz w:val="20"/>
          <w:szCs w:val="20"/>
        </w:rPr>
        <w:t>систем: послідовна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всі</w:t>
      </w:r>
      <w:r w:rsidRPr="000977F7">
        <w:rPr>
          <w:rFonts w:asciiTheme="majorHAnsi" w:hAnsiTheme="majorHAnsi"/>
          <w:spacing w:val="1"/>
          <w:sz w:val="20"/>
          <w:szCs w:val="20"/>
        </w:rPr>
        <w:t xml:space="preserve"> </w:t>
      </w:r>
      <w:r w:rsidRPr="000977F7">
        <w:rPr>
          <w:rFonts w:asciiTheme="majorHAnsi" w:hAnsiTheme="majorHAnsi"/>
          <w:sz w:val="20"/>
          <w:szCs w:val="20"/>
        </w:rPr>
        <w:t>підсистеми якої</w:t>
      </w:r>
      <w:r w:rsidRPr="000977F7">
        <w:rPr>
          <w:rFonts w:asciiTheme="majorHAnsi" w:hAnsiTheme="majorHAnsi"/>
          <w:spacing w:val="1"/>
          <w:sz w:val="20"/>
          <w:szCs w:val="20"/>
        </w:rPr>
        <w:t xml:space="preserve"> </w:t>
      </w:r>
      <w:r w:rsidRPr="000977F7">
        <w:rPr>
          <w:rFonts w:asciiTheme="majorHAnsi" w:hAnsiTheme="majorHAnsi"/>
          <w:sz w:val="20"/>
          <w:szCs w:val="20"/>
        </w:rPr>
        <w:t>послідовно</w:t>
      </w:r>
      <w:r w:rsidRPr="000977F7">
        <w:rPr>
          <w:rFonts w:asciiTheme="majorHAnsi" w:hAnsiTheme="majorHAnsi"/>
          <w:spacing w:val="1"/>
          <w:sz w:val="20"/>
          <w:szCs w:val="20"/>
        </w:rPr>
        <w:t xml:space="preserve"> </w:t>
      </w:r>
      <w:r w:rsidRPr="000977F7">
        <w:rPr>
          <w:rFonts w:asciiTheme="majorHAnsi" w:hAnsiTheme="majorHAnsi"/>
          <w:sz w:val="20"/>
          <w:szCs w:val="20"/>
        </w:rPr>
        <w:t>виконують</w:t>
      </w:r>
      <w:r w:rsidRPr="000977F7">
        <w:rPr>
          <w:rFonts w:asciiTheme="majorHAnsi" w:hAnsiTheme="majorHAnsi"/>
          <w:spacing w:val="1"/>
          <w:sz w:val="20"/>
          <w:szCs w:val="20"/>
        </w:rPr>
        <w:t xml:space="preserve"> </w:t>
      </w:r>
      <w:r w:rsidRPr="000977F7">
        <w:rPr>
          <w:rFonts w:asciiTheme="majorHAnsi" w:hAnsiTheme="majorHAnsi"/>
          <w:sz w:val="20"/>
          <w:szCs w:val="20"/>
        </w:rPr>
        <w:t>різні</w:t>
      </w:r>
      <w:r w:rsidRPr="000977F7">
        <w:rPr>
          <w:rFonts w:asciiTheme="majorHAnsi" w:hAnsiTheme="majorHAnsi"/>
          <w:spacing w:val="7"/>
          <w:sz w:val="20"/>
          <w:szCs w:val="20"/>
        </w:rPr>
        <w:t xml:space="preserve"> </w:t>
      </w:r>
      <w:r w:rsidRPr="000977F7">
        <w:rPr>
          <w:rFonts w:asciiTheme="majorHAnsi" w:hAnsiTheme="majorHAnsi"/>
          <w:sz w:val="20"/>
          <w:szCs w:val="20"/>
        </w:rPr>
        <w:t>частини</w:t>
      </w:r>
      <w:r w:rsidRPr="000977F7">
        <w:rPr>
          <w:rFonts w:asciiTheme="majorHAnsi" w:hAnsiTheme="majorHAnsi"/>
          <w:spacing w:val="7"/>
          <w:sz w:val="20"/>
          <w:szCs w:val="20"/>
        </w:rPr>
        <w:t xml:space="preserve"> </w:t>
      </w:r>
      <w:r w:rsidRPr="000977F7">
        <w:rPr>
          <w:rFonts w:asciiTheme="majorHAnsi" w:hAnsiTheme="majorHAnsi"/>
          <w:sz w:val="20"/>
          <w:szCs w:val="20"/>
        </w:rPr>
        <w:t>заданого</w:t>
      </w:r>
      <w:r w:rsidRPr="000977F7">
        <w:rPr>
          <w:rFonts w:asciiTheme="majorHAnsi" w:hAnsiTheme="majorHAnsi"/>
          <w:spacing w:val="9"/>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7"/>
          <w:sz w:val="20"/>
          <w:szCs w:val="20"/>
        </w:rPr>
        <w:t xml:space="preserve"> </w:t>
      </w:r>
      <w:r w:rsidRPr="000977F7">
        <w:rPr>
          <w:rFonts w:asciiTheme="majorHAnsi" w:hAnsiTheme="majorHAnsi"/>
          <w:sz w:val="20"/>
          <w:szCs w:val="20"/>
        </w:rPr>
        <w:t>процесу;</w:t>
      </w:r>
    </w:p>
    <w:p w14:paraId="69F52C28" w14:textId="77777777" w:rsidR="0097612F" w:rsidRPr="000977F7" w:rsidRDefault="0097612F" w:rsidP="00FD39A4">
      <w:pPr>
        <w:pStyle w:val="ac"/>
        <w:widowControl w:val="0"/>
        <w:numPr>
          <w:ilvl w:val="1"/>
          <w:numId w:val="180"/>
        </w:numPr>
        <w:tabs>
          <w:tab w:val="left" w:pos="284"/>
          <w:tab w:val="left" w:pos="49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паралельна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підсистеми якої паралельно</w:t>
      </w:r>
      <w:r w:rsidRPr="000977F7">
        <w:rPr>
          <w:rFonts w:asciiTheme="majorHAnsi" w:hAnsiTheme="majorHAnsi"/>
          <w:spacing w:val="1"/>
          <w:sz w:val="20"/>
          <w:szCs w:val="20"/>
        </w:rPr>
        <w:t xml:space="preserve"> </w:t>
      </w:r>
      <w:r w:rsidRPr="000977F7">
        <w:rPr>
          <w:rFonts w:asciiTheme="majorHAnsi" w:hAnsiTheme="majorHAnsi"/>
          <w:sz w:val="20"/>
          <w:szCs w:val="20"/>
        </w:rPr>
        <w:t>виконують</w:t>
      </w:r>
      <w:r w:rsidRPr="000977F7">
        <w:rPr>
          <w:rFonts w:asciiTheme="majorHAnsi" w:hAnsiTheme="majorHAnsi"/>
          <w:spacing w:val="1"/>
          <w:sz w:val="20"/>
          <w:szCs w:val="20"/>
        </w:rPr>
        <w:t xml:space="preserve"> </w:t>
      </w:r>
      <w:r w:rsidRPr="000977F7">
        <w:rPr>
          <w:rFonts w:asciiTheme="majorHAnsi" w:hAnsiTheme="majorHAnsi"/>
          <w:sz w:val="20"/>
          <w:szCs w:val="20"/>
        </w:rPr>
        <w:t>заданий технологічний процес чи задану технологічну</w:t>
      </w:r>
      <w:r w:rsidRPr="000977F7">
        <w:rPr>
          <w:rFonts w:asciiTheme="majorHAnsi" w:hAnsiTheme="majorHAnsi"/>
          <w:spacing w:val="1"/>
          <w:sz w:val="20"/>
          <w:szCs w:val="20"/>
        </w:rPr>
        <w:t xml:space="preserve"> </w:t>
      </w:r>
      <w:r w:rsidRPr="000977F7">
        <w:rPr>
          <w:rFonts w:asciiTheme="majorHAnsi" w:hAnsiTheme="majorHAnsi"/>
          <w:sz w:val="20"/>
          <w:szCs w:val="20"/>
        </w:rPr>
        <w:t>операцію;</w:t>
      </w:r>
    </w:p>
    <w:p w14:paraId="7DABD724" w14:textId="77777777" w:rsidR="0097612F" w:rsidRPr="000977F7" w:rsidRDefault="0097612F" w:rsidP="00FD39A4">
      <w:pPr>
        <w:pStyle w:val="ac"/>
        <w:widowControl w:val="0"/>
        <w:numPr>
          <w:ilvl w:val="1"/>
          <w:numId w:val="180"/>
        </w:numPr>
        <w:tabs>
          <w:tab w:val="left" w:pos="284"/>
          <w:tab w:val="left" w:pos="47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комбінована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система, структура якої може бути подана у вигляді</w:t>
      </w:r>
      <w:r w:rsidRPr="000977F7">
        <w:rPr>
          <w:rFonts w:asciiTheme="majorHAnsi" w:hAnsiTheme="majorHAnsi"/>
          <w:spacing w:val="1"/>
          <w:sz w:val="20"/>
          <w:szCs w:val="20"/>
        </w:rPr>
        <w:t xml:space="preserve"> </w:t>
      </w:r>
      <w:r w:rsidRPr="000977F7">
        <w:rPr>
          <w:rFonts w:asciiTheme="majorHAnsi" w:hAnsiTheme="majorHAnsi"/>
          <w:sz w:val="20"/>
          <w:szCs w:val="20"/>
        </w:rPr>
        <w:t>об'єднання</w:t>
      </w:r>
      <w:r w:rsidRPr="000977F7">
        <w:rPr>
          <w:rFonts w:asciiTheme="majorHAnsi" w:hAnsiTheme="majorHAnsi"/>
          <w:spacing w:val="1"/>
          <w:sz w:val="20"/>
          <w:szCs w:val="20"/>
        </w:rPr>
        <w:t xml:space="preserve"> </w:t>
      </w:r>
      <w:r w:rsidRPr="000977F7">
        <w:rPr>
          <w:rFonts w:asciiTheme="majorHAnsi" w:hAnsiTheme="majorHAnsi"/>
          <w:sz w:val="20"/>
          <w:szCs w:val="20"/>
        </w:rPr>
        <w:t>послідовних</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паралельних</w:t>
      </w:r>
      <w:r w:rsidRPr="000977F7">
        <w:rPr>
          <w:rFonts w:asciiTheme="majorHAnsi" w:hAnsiTheme="majorHAnsi"/>
          <w:spacing w:val="1"/>
          <w:sz w:val="20"/>
          <w:szCs w:val="20"/>
        </w:rPr>
        <w:t xml:space="preserve"> </w:t>
      </w:r>
      <w:r w:rsidRPr="000977F7">
        <w:rPr>
          <w:rFonts w:asciiTheme="majorHAnsi" w:hAnsiTheme="majorHAnsi"/>
          <w:sz w:val="20"/>
          <w:szCs w:val="20"/>
        </w:rPr>
        <w:t>систем</w:t>
      </w:r>
      <w:r w:rsidRPr="000977F7">
        <w:rPr>
          <w:rFonts w:asciiTheme="majorHAnsi" w:hAnsiTheme="majorHAnsi"/>
          <w:spacing w:val="1"/>
          <w:sz w:val="20"/>
          <w:szCs w:val="20"/>
        </w:rPr>
        <w:t xml:space="preserve"> </w:t>
      </w:r>
      <w:r w:rsidRPr="000977F7">
        <w:rPr>
          <w:rFonts w:asciiTheme="majorHAnsi" w:hAnsiTheme="majorHAnsi"/>
          <w:sz w:val="20"/>
          <w:szCs w:val="20"/>
        </w:rPr>
        <w:t>нижчого</w:t>
      </w:r>
      <w:r w:rsidRPr="000977F7">
        <w:rPr>
          <w:rFonts w:asciiTheme="majorHAnsi" w:hAnsiTheme="majorHAnsi"/>
          <w:spacing w:val="3"/>
          <w:sz w:val="20"/>
          <w:szCs w:val="20"/>
        </w:rPr>
        <w:t xml:space="preserve"> </w:t>
      </w:r>
      <w:r w:rsidRPr="000977F7">
        <w:rPr>
          <w:rFonts w:asciiTheme="majorHAnsi" w:hAnsiTheme="majorHAnsi"/>
          <w:sz w:val="20"/>
          <w:szCs w:val="20"/>
        </w:rPr>
        <w:t>рівня;</w:t>
      </w:r>
    </w:p>
    <w:p w14:paraId="44696D66" w14:textId="77777777" w:rsidR="0097612F" w:rsidRPr="000977F7" w:rsidRDefault="0097612F" w:rsidP="00FD39A4">
      <w:pPr>
        <w:pStyle w:val="ac"/>
        <w:widowControl w:val="0"/>
        <w:numPr>
          <w:ilvl w:val="1"/>
          <w:numId w:val="180"/>
        </w:numPr>
        <w:tabs>
          <w:tab w:val="left" w:pos="284"/>
          <w:tab w:val="left" w:pos="455"/>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технологічна система із жорстким зв'язком підсистем</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в якій відмова</w:t>
      </w:r>
      <w:r w:rsidRPr="000977F7">
        <w:rPr>
          <w:rFonts w:asciiTheme="majorHAnsi" w:hAnsiTheme="majorHAnsi"/>
          <w:spacing w:val="50"/>
          <w:sz w:val="20"/>
          <w:szCs w:val="20"/>
        </w:rPr>
        <w:t xml:space="preserve"> </w:t>
      </w:r>
      <w:r w:rsidRPr="000977F7">
        <w:rPr>
          <w:rFonts w:asciiTheme="majorHAnsi" w:hAnsiTheme="majorHAnsi"/>
          <w:sz w:val="20"/>
          <w:szCs w:val="20"/>
        </w:rPr>
        <w:t>принаймні</w:t>
      </w:r>
      <w:r w:rsidRPr="000977F7">
        <w:rPr>
          <w:rFonts w:asciiTheme="majorHAnsi" w:hAnsiTheme="majorHAnsi"/>
          <w:spacing w:val="1"/>
          <w:sz w:val="20"/>
          <w:szCs w:val="20"/>
        </w:rPr>
        <w:t xml:space="preserve"> </w:t>
      </w:r>
      <w:r w:rsidRPr="000977F7">
        <w:rPr>
          <w:rFonts w:asciiTheme="majorHAnsi" w:hAnsiTheme="majorHAnsi"/>
          <w:sz w:val="20"/>
          <w:szCs w:val="20"/>
        </w:rPr>
        <w:t>однієї</w:t>
      </w:r>
      <w:r w:rsidRPr="000977F7">
        <w:rPr>
          <w:rFonts w:asciiTheme="majorHAnsi" w:hAnsiTheme="majorHAnsi"/>
          <w:spacing w:val="1"/>
          <w:sz w:val="20"/>
          <w:szCs w:val="20"/>
        </w:rPr>
        <w:t xml:space="preserve"> </w:t>
      </w:r>
      <w:r w:rsidRPr="000977F7">
        <w:rPr>
          <w:rFonts w:asciiTheme="majorHAnsi" w:hAnsiTheme="majorHAnsi"/>
          <w:sz w:val="20"/>
          <w:szCs w:val="20"/>
        </w:rPr>
        <w:t>підсистеми</w:t>
      </w:r>
      <w:r w:rsidRPr="000977F7">
        <w:rPr>
          <w:rFonts w:asciiTheme="majorHAnsi" w:hAnsiTheme="majorHAnsi"/>
          <w:spacing w:val="1"/>
          <w:sz w:val="20"/>
          <w:szCs w:val="20"/>
        </w:rPr>
        <w:t xml:space="preserve"> </w:t>
      </w:r>
      <w:r w:rsidRPr="000977F7">
        <w:rPr>
          <w:rFonts w:asciiTheme="majorHAnsi" w:hAnsiTheme="majorHAnsi"/>
          <w:sz w:val="20"/>
          <w:szCs w:val="20"/>
        </w:rPr>
        <w:t>викликає</w:t>
      </w:r>
      <w:r w:rsidRPr="000977F7">
        <w:rPr>
          <w:rFonts w:asciiTheme="majorHAnsi" w:hAnsiTheme="majorHAnsi"/>
          <w:spacing w:val="1"/>
          <w:sz w:val="20"/>
          <w:szCs w:val="20"/>
        </w:rPr>
        <w:t xml:space="preserve"> </w:t>
      </w:r>
      <w:r w:rsidRPr="000977F7">
        <w:rPr>
          <w:rFonts w:asciiTheme="majorHAnsi" w:hAnsiTheme="majorHAnsi"/>
          <w:sz w:val="20"/>
          <w:szCs w:val="20"/>
        </w:rPr>
        <w:t>негайне</w:t>
      </w:r>
      <w:r w:rsidRPr="000977F7">
        <w:rPr>
          <w:rFonts w:asciiTheme="majorHAnsi" w:hAnsiTheme="majorHAnsi"/>
          <w:spacing w:val="1"/>
          <w:sz w:val="20"/>
          <w:szCs w:val="20"/>
        </w:rPr>
        <w:t xml:space="preserve"> </w:t>
      </w:r>
      <w:r w:rsidRPr="000977F7">
        <w:rPr>
          <w:rFonts w:asciiTheme="majorHAnsi" w:hAnsiTheme="majorHAnsi"/>
          <w:sz w:val="20"/>
          <w:szCs w:val="20"/>
        </w:rPr>
        <w:t>припинення</w:t>
      </w:r>
      <w:r w:rsidRPr="000977F7">
        <w:rPr>
          <w:rFonts w:asciiTheme="majorHAnsi" w:hAnsiTheme="majorHAnsi"/>
          <w:spacing w:val="1"/>
          <w:sz w:val="20"/>
          <w:szCs w:val="20"/>
        </w:rPr>
        <w:t xml:space="preserve"> </w:t>
      </w:r>
      <w:r w:rsidRPr="000977F7">
        <w:rPr>
          <w:rFonts w:asciiTheme="majorHAnsi" w:hAnsiTheme="majorHAnsi"/>
          <w:sz w:val="20"/>
          <w:szCs w:val="20"/>
        </w:rPr>
        <w:t>функціонування</w:t>
      </w:r>
      <w:r w:rsidRPr="000977F7">
        <w:rPr>
          <w:rFonts w:asciiTheme="majorHAnsi" w:hAnsiTheme="majorHAnsi"/>
          <w:spacing w:val="8"/>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8"/>
          <w:sz w:val="20"/>
          <w:szCs w:val="20"/>
        </w:rPr>
        <w:t xml:space="preserve"> </w:t>
      </w:r>
      <w:r w:rsidRPr="000977F7">
        <w:rPr>
          <w:rFonts w:asciiTheme="majorHAnsi" w:hAnsiTheme="majorHAnsi"/>
          <w:sz w:val="20"/>
          <w:szCs w:val="20"/>
        </w:rPr>
        <w:t>системи</w:t>
      </w:r>
      <w:r w:rsidRPr="000977F7">
        <w:rPr>
          <w:rFonts w:asciiTheme="majorHAnsi" w:hAnsiTheme="majorHAnsi"/>
          <w:spacing w:val="7"/>
          <w:sz w:val="20"/>
          <w:szCs w:val="20"/>
        </w:rPr>
        <w:t xml:space="preserve"> </w:t>
      </w:r>
      <w:r w:rsidRPr="000977F7">
        <w:rPr>
          <w:rFonts w:asciiTheme="majorHAnsi" w:hAnsiTheme="majorHAnsi"/>
          <w:sz w:val="20"/>
          <w:szCs w:val="20"/>
        </w:rPr>
        <w:t>в</w:t>
      </w:r>
      <w:r w:rsidRPr="000977F7">
        <w:rPr>
          <w:rFonts w:asciiTheme="majorHAnsi" w:hAnsiTheme="majorHAnsi"/>
          <w:spacing w:val="8"/>
          <w:sz w:val="20"/>
          <w:szCs w:val="20"/>
        </w:rPr>
        <w:t xml:space="preserve"> </w:t>
      </w:r>
      <w:r w:rsidRPr="000977F7">
        <w:rPr>
          <w:rFonts w:asciiTheme="majorHAnsi" w:hAnsiTheme="majorHAnsi"/>
          <w:sz w:val="20"/>
          <w:szCs w:val="20"/>
        </w:rPr>
        <w:t>цілому;</w:t>
      </w:r>
    </w:p>
    <w:p w14:paraId="1B96BC7F" w14:textId="77777777" w:rsidR="0097612F" w:rsidRPr="000977F7" w:rsidRDefault="0097612F" w:rsidP="00FD39A4">
      <w:pPr>
        <w:pStyle w:val="ac"/>
        <w:widowControl w:val="0"/>
        <w:numPr>
          <w:ilvl w:val="1"/>
          <w:numId w:val="180"/>
        </w:numPr>
        <w:tabs>
          <w:tab w:val="left" w:pos="284"/>
          <w:tab w:val="left" w:pos="44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технологічна система з нежорстким зв’язком підсистем – технологічна система, в якій відмова однієї з</w:t>
      </w:r>
      <w:r w:rsidRPr="000977F7">
        <w:rPr>
          <w:rFonts w:asciiTheme="majorHAnsi" w:hAnsiTheme="majorHAnsi"/>
          <w:spacing w:val="1"/>
          <w:sz w:val="20"/>
          <w:szCs w:val="20"/>
        </w:rPr>
        <w:t xml:space="preserve"> </w:t>
      </w:r>
      <w:r w:rsidRPr="000977F7">
        <w:rPr>
          <w:rFonts w:asciiTheme="majorHAnsi" w:hAnsiTheme="majorHAnsi"/>
          <w:sz w:val="20"/>
          <w:szCs w:val="20"/>
        </w:rPr>
        <w:t>підсистем не викликає негайного припинення функціонування</w:t>
      </w:r>
      <w:r w:rsidRPr="000977F7">
        <w:rPr>
          <w:rFonts w:asciiTheme="majorHAnsi" w:hAnsiTheme="majorHAnsi"/>
          <w:spacing w:val="6"/>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6"/>
          <w:sz w:val="20"/>
          <w:szCs w:val="20"/>
        </w:rPr>
        <w:t xml:space="preserve"> </w:t>
      </w:r>
      <w:r w:rsidRPr="000977F7">
        <w:rPr>
          <w:rFonts w:asciiTheme="majorHAnsi" w:hAnsiTheme="majorHAnsi"/>
          <w:sz w:val="20"/>
          <w:szCs w:val="20"/>
        </w:rPr>
        <w:t>системи</w:t>
      </w:r>
      <w:r w:rsidRPr="000977F7">
        <w:rPr>
          <w:rFonts w:asciiTheme="majorHAnsi" w:hAnsiTheme="majorHAnsi"/>
          <w:spacing w:val="5"/>
          <w:sz w:val="20"/>
          <w:szCs w:val="20"/>
        </w:rPr>
        <w:t xml:space="preserve"> </w:t>
      </w:r>
      <w:r w:rsidRPr="000977F7">
        <w:rPr>
          <w:rFonts w:asciiTheme="majorHAnsi" w:hAnsiTheme="majorHAnsi"/>
          <w:sz w:val="20"/>
          <w:szCs w:val="20"/>
        </w:rPr>
        <w:t>в</w:t>
      </w:r>
      <w:r w:rsidRPr="000977F7">
        <w:rPr>
          <w:rFonts w:asciiTheme="majorHAnsi" w:hAnsiTheme="majorHAnsi"/>
          <w:spacing w:val="6"/>
          <w:sz w:val="20"/>
          <w:szCs w:val="20"/>
        </w:rPr>
        <w:t xml:space="preserve"> </w:t>
      </w:r>
      <w:r w:rsidRPr="000977F7">
        <w:rPr>
          <w:rFonts w:asciiTheme="majorHAnsi" w:hAnsiTheme="majorHAnsi"/>
          <w:sz w:val="20"/>
          <w:szCs w:val="20"/>
        </w:rPr>
        <w:t>цілому;</w:t>
      </w:r>
    </w:p>
    <w:p w14:paraId="00CA10D5" w14:textId="77777777" w:rsidR="0097612F" w:rsidRPr="000977F7" w:rsidRDefault="0097612F" w:rsidP="00FD39A4">
      <w:pPr>
        <w:pStyle w:val="ac"/>
        <w:widowControl w:val="0"/>
        <w:numPr>
          <w:ilvl w:val="1"/>
          <w:numId w:val="180"/>
        </w:numPr>
        <w:tabs>
          <w:tab w:val="left" w:pos="284"/>
          <w:tab w:val="left" w:pos="43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w:t>
      </w:r>
      <w:r w:rsidRPr="000977F7">
        <w:rPr>
          <w:rFonts w:asciiTheme="majorHAnsi" w:hAnsiTheme="majorHAnsi"/>
          <w:spacing w:val="12"/>
          <w:sz w:val="20"/>
          <w:szCs w:val="20"/>
        </w:rPr>
        <w:t xml:space="preserve"> </w:t>
      </w:r>
      <w:r w:rsidRPr="000977F7">
        <w:rPr>
          <w:rFonts w:asciiTheme="majorHAnsi" w:hAnsiTheme="majorHAnsi"/>
          <w:sz w:val="20"/>
          <w:szCs w:val="20"/>
        </w:rPr>
        <w:t>рівнем</w:t>
      </w:r>
      <w:r w:rsidRPr="000977F7">
        <w:rPr>
          <w:rFonts w:asciiTheme="majorHAnsi" w:hAnsiTheme="majorHAnsi"/>
          <w:spacing w:val="14"/>
          <w:sz w:val="20"/>
          <w:szCs w:val="20"/>
        </w:rPr>
        <w:t xml:space="preserve"> </w:t>
      </w:r>
      <w:r w:rsidRPr="000977F7">
        <w:rPr>
          <w:rFonts w:asciiTheme="majorHAnsi" w:hAnsiTheme="majorHAnsi"/>
          <w:sz w:val="20"/>
          <w:szCs w:val="20"/>
        </w:rPr>
        <w:t>автоматизації:</w:t>
      </w:r>
    </w:p>
    <w:p w14:paraId="62F473CC" w14:textId="77777777" w:rsidR="0097612F" w:rsidRPr="000977F7" w:rsidRDefault="0097612F" w:rsidP="00FD39A4">
      <w:pPr>
        <w:pStyle w:val="ac"/>
        <w:widowControl w:val="0"/>
        <w:numPr>
          <w:ilvl w:val="1"/>
          <w:numId w:val="180"/>
        </w:numPr>
        <w:tabs>
          <w:tab w:val="left" w:pos="284"/>
          <w:tab w:val="left" w:pos="47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механізована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засоби</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оснащення</w:t>
      </w:r>
      <w:r w:rsidRPr="000977F7">
        <w:rPr>
          <w:rFonts w:asciiTheme="majorHAnsi" w:hAnsiTheme="majorHAnsi"/>
          <w:spacing w:val="1"/>
          <w:sz w:val="20"/>
          <w:szCs w:val="20"/>
        </w:rPr>
        <w:t xml:space="preserve"> </w:t>
      </w:r>
      <w:r w:rsidRPr="000977F7">
        <w:rPr>
          <w:rFonts w:asciiTheme="majorHAnsi" w:hAnsiTheme="majorHAnsi"/>
          <w:sz w:val="20"/>
          <w:szCs w:val="20"/>
        </w:rPr>
        <w:t>якої</w:t>
      </w:r>
      <w:r w:rsidRPr="000977F7">
        <w:rPr>
          <w:rFonts w:asciiTheme="majorHAnsi" w:hAnsiTheme="majorHAnsi"/>
          <w:spacing w:val="1"/>
          <w:sz w:val="20"/>
          <w:szCs w:val="20"/>
        </w:rPr>
        <w:t xml:space="preserve"> </w:t>
      </w:r>
      <w:r w:rsidRPr="000977F7">
        <w:rPr>
          <w:rFonts w:asciiTheme="majorHAnsi" w:hAnsiTheme="majorHAnsi"/>
          <w:sz w:val="20"/>
          <w:szCs w:val="20"/>
        </w:rPr>
        <w:t>складаються</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механізовано-ручних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50"/>
          <w:sz w:val="20"/>
          <w:szCs w:val="20"/>
        </w:rPr>
        <w:t xml:space="preserve"> </w:t>
      </w:r>
      <w:r w:rsidRPr="000977F7">
        <w:rPr>
          <w:rFonts w:asciiTheme="majorHAnsi" w:hAnsiTheme="majorHAnsi"/>
          <w:sz w:val="20"/>
          <w:szCs w:val="20"/>
        </w:rPr>
        <w:t>механізованих</w:t>
      </w:r>
      <w:r w:rsidRPr="000977F7">
        <w:rPr>
          <w:rFonts w:asciiTheme="majorHAnsi" w:hAnsiTheme="majorHAnsi"/>
          <w:spacing w:val="3"/>
          <w:sz w:val="20"/>
          <w:szCs w:val="20"/>
        </w:rPr>
        <w:t xml:space="preserve"> </w:t>
      </w:r>
      <w:r w:rsidRPr="000977F7">
        <w:rPr>
          <w:rFonts w:asciiTheme="majorHAnsi" w:hAnsiTheme="majorHAnsi"/>
          <w:sz w:val="20"/>
          <w:szCs w:val="20"/>
        </w:rPr>
        <w:t>технічних</w:t>
      </w:r>
      <w:r w:rsidRPr="000977F7">
        <w:rPr>
          <w:rFonts w:asciiTheme="majorHAnsi" w:hAnsiTheme="majorHAnsi"/>
          <w:spacing w:val="4"/>
          <w:sz w:val="20"/>
          <w:szCs w:val="20"/>
        </w:rPr>
        <w:t xml:space="preserve"> </w:t>
      </w:r>
      <w:r w:rsidRPr="000977F7">
        <w:rPr>
          <w:rFonts w:asciiTheme="majorHAnsi" w:hAnsiTheme="majorHAnsi"/>
          <w:sz w:val="20"/>
          <w:szCs w:val="20"/>
        </w:rPr>
        <w:t>пристроїв;</w:t>
      </w:r>
    </w:p>
    <w:p w14:paraId="570B50B2" w14:textId="77777777" w:rsidR="0097612F" w:rsidRPr="000977F7" w:rsidRDefault="0097612F" w:rsidP="00FD39A4">
      <w:pPr>
        <w:pStyle w:val="ac"/>
        <w:widowControl w:val="0"/>
        <w:numPr>
          <w:ilvl w:val="1"/>
          <w:numId w:val="180"/>
        </w:numPr>
        <w:tabs>
          <w:tab w:val="left" w:pos="284"/>
          <w:tab w:val="left" w:pos="71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автоматизована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засоби</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оснащення якої складаються з автоматизовано-ручних та</w:t>
      </w:r>
      <w:r w:rsidRPr="000977F7">
        <w:rPr>
          <w:rFonts w:asciiTheme="majorHAnsi" w:hAnsiTheme="majorHAnsi"/>
          <w:spacing w:val="1"/>
          <w:sz w:val="20"/>
          <w:szCs w:val="20"/>
        </w:rPr>
        <w:t xml:space="preserve"> </w:t>
      </w:r>
      <w:r w:rsidRPr="000977F7">
        <w:rPr>
          <w:rFonts w:asciiTheme="majorHAnsi" w:hAnsiTheme="majorHAnsi"/>
          <w:sz w:val="20"/>
          <w:szCs w:val="20"/>
        </w:rPr>
        <w:t>автоматизованих</w:t>
      </w:r>
      <w:r w:rsidRPr="000977F7">
        <w:rPr>
          <w:rFonts w:asciiTheme="majorHAnsi" w:hAnsiTheme="majorHAnsi"/>
          <w:spacing w:val="3"/>
          <w:sz w:val="20"/>
          <w:szCs w:val="20"/>
        </w:rPr>
        <w:t xml:space="preserve"> </w:t>
      </w:r>
      <w:r w:rsidRPr="000977F7">
        <w:rPr>
          <w:rFonts w:asciiTheme="majorHAnsi" w:hAnsiTheme="majorHAnsi"/>
          <w:sz w:val="20"/>
          <w:szCs w:val="20"/>
        </w:rPr>
        <w:t>пристроїв;</w:t>
      </w:r>
    </w:p>
    <w:p w14:paraId="68239E12" w14:textId="77777777" w:rsidR="0097612F" w:rsidRPr="000977F7" w:rsidRDefault="0097612F" w:rsidP="00FD39A4">
      <w:pPr>
        <w:pStyle w:val="ac"/>
        <w:widowControl w:val="0"/>
        <w:numPr>
          <w:ilvl w:val="1"/>
          <w:numId w:val="180"/>
        </w:numPr>
        <w:tabs>
          <w:tab w:val="left" w:pos="284"/>
          <w:tab w:val="left" w:pos="47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автоматична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технологічна</w:t>
      </w:r>
      <w:r w:rsidRPr="000977F7">
        <w:rPr>
          <w:rFonts w:asciiTheme="majorHAnsi" w:hAnsiTheme="majorHAnsi"/>
          <w:spacing w:val="-47"/>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засоби</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оснащення</w:t>
      </w:r>
      <w:r w:rsidRPr="000977F7">
        <w:rPr>
          <w:rFonts w:asciiTheme="majorHAnsi" w:hAnsiTheme="majorHAnsi"/>
          <w:spacing w:val="1"/>
          <w:sz w:val="20"/>
          <w:szCs w:val="20"/>
        </w:rPr>
        <w:t xml:space="preserve"> </w:t>
      </w:r>
      <w:r w:rsidRPr="000977F7">
        <w:rPr>
          <w:rFonts w:asciiTheme="majorHAnsi" w:hAnsiTheme="majorHAnsi"/>
          <w:sz w:val="20"/>
          <w:szCs w:val="20"/>
        </w:rPr>
        <w:t>якої</w:t>
      </w:r>
      <w:r w:rsidRPr="000977F7">
        <w:rPr>
          <w:rFonts w:asciiTheme="majorHAnsi" w:hAnsiTheme="majorHAnsi"/>
          <w:spacing w:val="1"/>
          <w:sz w:val="20"/>
          <w:szCs w:val="20"/>
        </w:rPr>
        <w:t xml:space="preserve"> </w:t>
      </w:r>
      <w:r w:rsidRPr="000977F7">
        <w:rPr>
          <w:rFonts w:asciiTheme="majorHAnsi" w:hAnsiTheme="majorHAnsi"/>
          <w:sz w:val="20"/>
          <w:szCs w:val="20"/>
        </w:rPr>
        <w:t>складаються</w:t>
      </w:r>
      <w:r w:rsidRPr="000977F7">
        <w:rPr>
          <w:rFonts w:asciiTheme="majorHAnsi" w:hAnsiTheme="majorHAnsi"/>
          <w:spacing w:val="5"/>
          <w:sz w:val="20"/>
          <w:szCs w:val="20"/>
        </w:rPr>
        <w:t xml:space="preserve"> </w:t>
      </w:r>
      <w:r w:rsidRPr="000977F7">
        <w:rPr>
          <w:rFonts w:asciiTheme="majorHAnsi" w:hAnsiTheme="majorHAnsi"/>
          <w:sz w:val="20"/>
          <w:szCs w:val="20"/>
        </w:rPr>
        <w:t>з</w:t>
      </w:r>
      <w:r w:rsidRPr="000977F7">
        <w:rPr>
          <w:rFonts w:asciiTheme="majorHAnsi" w:hAnsiTheme="majorHAnsi"/>
          <w:spacing w:val="6"/>
          <w:sz w:val="20"/>
          <w:szCs w:val="20"/>
        </w:rPr>
        <w:t xml:space="preserve"> </w:t>
      </w:r>
      <w:r w:rsidRPr="000977F7">
        <w:rPr>
          <w:rFonts w:asciiTheme="majorHAnsi" w:hAnsiTheme="majorHAnsi"/>
          <w:sz w:val="20"/>
          <w:szCs w:val="20"/>
        </w:rPr>
        <w:t>автоматичних</w:t>
      </w:r>
      <w:r w:rsidRPr="000977F7">
        <w:rPr>
          <w:rFonts w:asciiTheme="majorHAnsi" w:hAnsiTheme="majorHAnsi"/>
          <w:spacing w:val="5"/>
          <w:sz w:val="20"/>
          <w:szCs w:val="20"/>
        </w:rPr>
        <w:t xml:space="preserve"> </w:t>
      </w:r>
      <w:r w:rsidRPr="000977F7">
        <w:rPr>
          <w:rFonts w:asciiTheme="majorHAnsi" w:hAnsiTheme="majorHAnsi"/>
          <w:sz w:val="20"/>
          <w:szCs w:val="20"/>
        </w:rPr>
        <w:t>пристроїв;</w:t>
      </w:r>
    </w:p>
    <w:p w14:paraId="3973F779" w14:textId="77777777" w:rsidR="0097612F" w:rsidRPr="000977F7" w:rsidRDefault="0097612F" w:rsidP="00FD39A4">
      <w:pPr>
        <w:pStyle w:val="ac"/>
        <w:widowControl w:val="0"/>
        <w:numPr>
          <w:ilvl w:val="1"/>
          <w:numId w:val="180"/>
        </w:numPr>
        <w:tabs>
          <w:tab w:val="left" w:pos="284"/>
          <w:tab w:val="left" w:pos="43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w:t>
      </w:r>
      <w:r w:rsidRPr="000977F7">
        <w:rPr>
          <w:rFonts w:asciiTheme="majorHAnsi" w:hAnsiTheme="majorHAnsi"/>
          <w:spacing w:val="12"/>
          <w:sz w:val="20"/>
          <w:szCs w:val="20"/>
        </w:rPr>
        <w:t xml:space="preserve"> </w:t>
      </w:r>
      <w:r w:rsidRPr="000977F7">
        <w:rPr>
          <w:rFonts w:asciiTheme="majorHAnsi" w:hAnsiTheme="majorHAnsi"/>
          <w:sz w:val="20"/>
          <w:szCs w:val="20"/>
        </w:rPr>
        <w:t>рівнем</w:t>
      </w:r>
      <w:r w:rsidRPr="000977F7">
        <w:rPr>
          <w:rFonts w:asciiTheme="majorHAnsi" w:hAnsiTheme="majorHAnsi"/>
          <w:spacing w:val="14"/>
          <w:sz w:val="20"/>
          <w:szCs w:val="20"/>
        </w:rPr>
        <w:t xml:space="preserve"> </w:t>
      </w:r>
      <w:r w:rsidRPr="000977F7">
        <w:rPr>
          <w:rFonts w:asciiTheme="majorHAnsi" w:hAnsiTheme="majorHAnsi"/>
          <w:sz w:val="20"/>
          <w:szCs w:val="20"/>
        </w:rPr>
        <w:t>спеціалізації:</w:t>
      </w:r>
    </w:p>
    <w:p w14:paraId="30E9BC1E" w14:textId="77777777" w:rsidR="0097612F" w:rsidRPr="000977F7" w:rsidRDefault="0097612F" w:rsidP="00FD39A4">
      <w:pPr>
        <w:pStyle w:val="ac"/>
        <w:widowControl w:val="0"/>
        <w:numPr>
          <w:ilvl w:val="1"/>
          <w:numId w:val="180"/>
        </w:numPr>
        <w:tabs>
          <w:tab w:val="left" w:pos="284"/>
          <w:tab w:val="left" w:pos="50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спеціальна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система для виготовлення або ремонту виробу одного</w:t>
      </w:r>
      <w:r w:rsidRPr="000977F7">
        <w:rPr>
          <w:rFonts w:asciiTheme="majorHAnsi" w:hAnsiTheme="majorHAnsi"/>
          <w:spacing w:val="5"/>
          <w:sz w:val="20"/>
          <w:szCs w:val="20"/>
        </w:rPr>
        <w:t xml:space="preserve"> </w:t>
      </w:r>
      <w:r w:rsidRPr="000977F7">
        <w:rPr>
          <w:rFonts w:asciiTheme="majorHAnsi" w:hAnsiTheme="majorHAnsi"/>
          <w:sz w:val="20"/>
          <w:szCs w:val="20"/>
        </w:rPr>
        <w:t>найменування</w:t>
      </w:r>
      <w:r w:rsidRPr="000977F7">
        <w:rPr>
          <w:rFonts w:asciiTheme="majorHAnsi" w:hAnsiTheme="majorHAnsi"/>
          <w:spacing w:val="5"/>
          <w:sz w:val="20"/>
          <w:szCs w:val="20"/>
        </w:rPr>
        <w:t xml:space="preserve"> </w:t>
      </w:r>
      <w:r w:rsidRPr="000977F7">
        <w:rPr>
          <w:rFonts w:asciiTheme="majorHAnsi" w:hAnsiTheme="majorHAnsi"/>
          <w:sz w:val="20"/>
          <w:szCs w:val="20"/>
        </w:rPr>
        <w:t>і</w:t>
      </w:r>
      <w:r w:rsidRPr="000977F7">
        <w:rPr>
          <w:rFonts w:asciiTheme="majorHAnsi" w:hAnsiTheme="majorHAnsi"/>
          <w:spacing w:val="5"/>
          <w:sz w:val="20"/>
          <w:szCs w:val="20"/>
        </w:rPr>
        <w:t xml:space="preserve"> </w:t>
      </w:r>
      <w:r w:rsidRPr="000977F7">
        <w:rPr>
          <w:rFonts w:asciiTheme="majorHAnsi" w:hAnsiTheme="majorHAnsi"/>
          <w:sz w:val="20"/>
          <w:szCs w:val="20"/>
        </w:rPr>
        <w:t>типорозміру;</w:t>
      </w:r>
    </w:p>
    <w:p w14:paraId="11E2989A" w14:textId="77777777" w:rsidR="0097612F" w:rsidRPr="000977F7" w:rsidRDefault="0097612F" w:rsidP="00FD39A4">
      <w:pPr>
        <w:pStyle w:val="ac"/>
        <w:widowControl w:val="0"/>
        <w:numPr>
          <w:ilvl w:val="1"/>
          <w:numId w:val="180"/>
        </w:numPr>
        <w:tabs>
          <w:tab w:val="left" w:pos="284"/>
          <w:tab w:val="left" w:pos="44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спеціалізована технологічна система –технологічна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система для 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50"/>
          <w:sz w:val="20"/>
          <w:szCs w:val="20"/>
        </w:rPr>
        <w:t xml:space="preserve"> </w:t>
      </w:r>
      <w:r w:rsidRPr="000977F7">
        <w:rPr>
          <w:rFonts w:asciiTheme="majorHAnsi" w:hAnsiTheme="majorHAnsi"/>
          <w:sz w:val="20"/>
          <w:szCs w:val="20"/>
        </w:rPr>
        <w:t>ремонту груп</w:t>
      </w:r>
      <w:r w:rsidRPr="000977F7">
        <w:rPr>
          <w:rFonts w:asciiTheme="majorHAnsi" w:hAnsiTheme="majorHAnsi"/>
          <w:spacing w:val="50"/>
          <w:sz w:val="20"/>
          <w:szCs w:val="20"/>
        </w:rPr>
        <w:t xml:space="preserve"> </w:t>
      </w:r>
      <w:r w:rsidRPr="000977F7">
        <w:rPr>
          <w:rFonts w:asciiTheme="majorHAnsi" w:hAnsiTheme="majorHAnsi"/>
          <w:sz w:val="20"/>
          <w:szCs w:val="20"/>
        </w:rPr>
        <w:t>виробів</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спільними</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конструктивними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технологічними</w:t>
      </w:r>
      <w:r w:rsidRPr="000977F7">
        <w:rPr>
          <w:rFonts w:asciiTheme="majorHAnsi" w:hAnsiTheme="majorHAnsi"/>
          <w:spacing w:val="1"/>
          <w:sz w:val="20"/>
          <w:szCs w:val="20"/>
        </w:rPr>
        <w:t xml:space="preserve"> </w:t>
      </w:r>
      <w:r w:rsidRPr="000977F7">
        <w:rPr>
          <w:rFonts w:asciiTheme="majorHAnsi" w:hAnsiTheme="majorHAnsi"/>
          <w:sz w:val="20"/>
          <w:szCs w:val="20"/>
        </w:rPr>
        <w:t>ознаками;</w:t>
      </w:r>
    </w:p>
    <w:p w14:paraId="3D050D49" w14:textId="77777777" w:rsidR="0097612F" w:rsidRPr="000977F7" w:rsidRDefault="0097612F" w:rsidP="00FD39A4">
      <w:pPr>
        <w:pStyle w:val="ac"/>
        <w:widowControl w:val="0"/>
        <w:numPr>
          <w:ilvl w:val="1"/>
          <w:numId w:val="180"/>
        </w:numPr>
        <w:tabs>
          <w:tab w:val="left" w:pos="284"/>
          <w:tab w:val="left" w:pos="46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універсальна технологічна система</w:t>
      </w:r>
      <w:r w:rsidRPr="000977F7">
        <w:rPr>
          <w:rFonts w:asciiTheme="majorHAnsi" w:hAnsiTheme="majorHAnsi"/>
          <w:spacing w:val="1"/>
          <w:sz w:val="20"/>
          <w:szCs w:val="20"/>
        </w:rPr>
        <w:t xml:space="preserve"> </w:t>
      </w:r>
      <w:r w:rsidRPr="000977F7">
        <w:rPr>
          <w:rFonts w:asciiTheme="majorHAnsi" w:hAnsiTheme="majorHAnsi"/>
          <w:sz w:val="20"/>
          <w:szCs w:val="20"/>
        </w:rPr>
        <w:t>– 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система для виготовлення або ремонту виробів з різними конструктивними та технологічними ознаками.</w:t>
      </w:r>
      <w:r w:rsidRPr="000977F7">
        <w:rPr>
          <w:rFonts w:asciiTheme="majorHAnsi" w:hAnsiTheme="majorHAnsi"/>
          <w:spacing w:val="1"/>
          <w:sz w:val="20"/>
          <w:szCs w:val="20"/>
        </w:rPr>
        <w:t xml:space="preserve"> </w:t>
      </w:r>
      <w:r w:rsidRPr="000977F7">
        <w:rPr>
          <w:rFonts w:asciiTheme="majorHAnsi" w:hAnsiTheme="majorHAnsi"/>
          <w:sz w:val="20"/>
          <w:szCs w:val="20"/>
        </w:rPr>
        <w:t>Аналогічні поняття рівнів та видів використовують</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5"/>
          <w:sz w:val="20"/>
          <w:szCs w:val="20"/>
        </w:rPr>
        <w:t xml:space="preserve"> </w:t>
      </w:r>
      <w:r w:rsidRPr="000977F7">
        <w:rPr>
          <w:rFonts w:asciiTheme="majorHAnsi" w:hAnsiTheme="majorHAnsi"/>
          <w:sz w:val="20"/>
          <w:szCs w:val="20"/>
        </w:rPr>
        <w:t>для</w:t>
      </w:r>
      <w:r w:rsidRPr="000977F7">
        <w:rPr>
          <w:rFonts w:asciiTheme="majorHAnsi" w:hAnsiTheme="majorHAnsi"/>
          <w:spacing w:val="5"/>
          <w:sz w:val="20"/>
          <w:szCs w:val="20"/>
        </w:rPr>
        <w:t xml:space="preserve"> </w:t>
      </w:r>
      <w:r w:rsidRPr="000977F7">
        <w:rPr>
          <w:rFonts w:asciiTheme="majorHAnsi" w:hAnsiTheme="majorHAnsi"/>
          <w:sz w:val="20"/>
          <w:szCs w:val="20"/>
        </w:rPr>
        <w:t>технологічних</w:t>
      </w:r>
      <w:r w:rsidRPr="000977F7">
        <w:rPr>
          <w:rFonts w:asciiTheme="majorHAnsi" w:hAnsiTheme="majorHAnsi"/>
          <w:spacing w:val="4"/>
          <w:sz w:val="20"/>
          <w:szCs w:val="20"/>
        </w:rPr>
        <w:t xml:space="preserve"> </w:t>
      </w:r>
      <w:r w:rsidRPr="000977F7">
        <w:rPr>
          <w:rFonts w:asciiTheme="majorHAnsi" w:hAnsiTheme="majorHAnsi"/>
          <w:sz w:val="20"/>
          <w:szCs w:val="20"/>
        </w:rPr>
        <w:t>комплексів.</w:t>
      </w:r>
    </w:p>
    <w:p w14:paraId="05DB6B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Окремим</w:t>
      </w:r>
      <w:r w:rsidRPr="000977F7">
        <w:rPr>
          <w:rFonts w:asciiTheme="majorHAnsi" w:hAnsiTheme="majorHAnsi"/>
          <w:spacing w:val="1"/>
          <w:sz w:val="20"/>
          <w:szCs w:val="20"/>
        </w:rPr>
        <w:t xml:space="preserve"> </w:t>
      </w:r>
      <w:r w:rsidRPr="000977F7">
        <w:rPr>
          <w:rFonts w:asciiTheme="majorHAnsi" w:hAnsiTheme="majorHAnsi"/>
          <w:sz w:val="20"/>
          <w:szCs w:val="20"/>
        </w:rPr>
        <w:t>випадком</w:t>
      </w:r>
      <w:r w:rsidRPr="000977F7">
        <w:rPr>
          <w:rFonts w:asciiTheme="majorHAnsi" w:hAnsiTheme="majorHAnsi"/>
          <w:spacing w:val="1"/>
          <w:sz w:val="20"/>
          <w:szCs w:val="20"/>
        </w:rPr>
        <w:t xml:space="preserve"> </w:t>
      </w:r>
      <w:r w:rsidRPr="000977F7">
        <w:rPr>
          <w:rFonts w:asciiTheme="majorHAnsi" w:hAnsiTheme="majorHAnsi"/>
          <w:sz w:val="20"/>
          <w:szCs w:val="20"/>
        </w:rPr>
        <w:t>(видовим</w:t>
      </w:r>
      <w:r w:rsidRPr="000977F7">
        <w:rPr>
          <w:rFonts w:asciiTheme="majorHAnsi" w:hAnsiTheme="majorHAnsi"/>
          <w:spacing w:val="1"/>
          <w:sz w:val="20"/>
          <w:szCs w:val="20"/>
        </w:rPr>
        <w:t xml:space="preserve"> </w:t>
      </w:r>
      <w:r w:rsidRPr="000977F7">
        <w:rPr>
          <w:rFonts w:asciiTheme="majorHAnsi" w:hAnsiTheme="majorHAnsi"/>
          <w:sz w:val="20"/>
          <w:szCs w:val="20"/>
        </w:rPr>
        <w:t>поняттям)</w:t>
      </w:r>
      <w:r w:rsidRPr="000977F7">
        <w:rPr>
          <w:rFonts w:asciiTheme="majorHAnsi" w:hAnsiTheme="majorHAnsi"/>
          <w:spacing w:val="50"/>
          <w:sz w:val="20"/>
          <w:szCs w:val="20"/>
        </w:rPr>
        <w:t xml:space="preserve"> </w:t>
      </w:r>
      <w:r w:rsidRPr="000977F7">
        <w:rPr>
          <w:rFonts w:asciiTheme="majorHAnsi" w:hAnsiTheme="majorHAnsi"/>
          <w:sz w:val="20"/>
          <w:szCs w:val="20"/>
        </w:rPr>
        <w:t>послідовної</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50"/>
          <w:sz w:val="20"/>
          <w:szCs w:val="20"/>
        </w:rPr>
        <w:t xml:space="preserve"> </w:t>
      </w:r>
      <w:r w:rsidRPr="000977F7">
        <w:rPr>
          <w:rFonts w:asciiTheme="majorHAnsi" w:hAnsiTheme="majorHAnsi"/>
          <w:sz w:val="20"/>
          <w:szCs w:val="20"/>
        </w:rPr>
        <w:t>технологічна</w:t>
      </w:r>
      <w:r w:rsidRPr="000977F7">
        <w:rPr>
          <w:rFonts w:asciiTheme="majorHAnsi" w:hAnsiTheme="majorHAnsi"/>
          <w:spacing w:val="50"/>
          <w:sz w:val="20"/>
          <w:szCs w:val="20"/>
        </w:rPr>
        <w:t xml:space="preserve"> </w:t>
      </w:r>
      <w:r w:rsidRPr="000977F7">
        <w:rPr>
          <w:rFonts w:asciiTheme="majorHAnsi" w:hAnsiTheme="majorHAnsi"/>
          <w:sz w:val="20"/>
          <w:szCs w:val="20"/>
        </w:rPr>
        <w:t>лінія,</w:t>
      </w:r>
      <w:r w:rsidRPr="000977F7">
        <w:rPr>
          <w:rFonts w:asciiTheme="majorHAnsi" w:hAnsiTheme="majorHAnsi"/>
          <w:spacing w:val="50"/>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якій</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технологічне</w:t>
      </w:r>
      <w:r w:rsidRPr="000977F7">
        <w:rPr>
          <w:rFonts w:asciiTheme="majorHAnsi" w:hAnsiTheme="majorHAnsi"/>
          <w:spacing w:val="1"/>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1"/>
          <w:sz w:val="20"/>
          <w:szCs w:val="20"/>
        </w:rPr>
        <w:t xml:space="preserve"> </w:t>
      </w:r>
      <w:r w:rsidRPr="000977F7">
        <w:rPr>
          <w:rFonts w:asciiTheme="majorHAnsi" w:hAnsiTheme="majorHAnsi"/>
          <w:sz w:val="20"/>
          <w:szCs w:val="20"/>
        </w:rPr>
        <w:t>розміщують</w:t>
      </w:r>
      <w:r w:rsidRPr="000977F7">
        <w:rPr>
          <w:rFonts w:asciiTheme="majorHAnsi" w:hAnsiTheme="majorHAnsi"/>
          <w:spacing w:val="1"/>
          <w:sz w:val="20"/>
          <w:szCs w:val="20"/>
        </w:rPr>
        <w:t xml:space="preserve"> </w:t>
      </w:r>
      <w:r w:rsidRPr="000977F7">
        <w:rPr>
          <w:rFonts w:asciiTheme="majorHAnsi" w:hAnsiTheme="majorHAnsi"/>
          <w:sz w:val="20"/>
          <w:szCs w:val="20"/>
        </w:rPr>
        <w:t>послідовно для виконання операцій заданого технологічного процесу таким чином, щоб число робочих місць</w:t>
      </w:r>
      <w:r w:rsidRPr="000977F7">
        <w:rPr>
          <w:rFonts w:asciiTheme="majorHAnsi" w:hAnsiTheme="majorHAnsi"/>
          <w:spacing w:val="1"/>
          <w:sz w:val="20"/>
          <w:szCs w:val="20"/>
        </w:rPr>
        <w:t xml:space="preserve"> </w:t>
      </w:r>
      <w:r w:rsidRPr="000977F7">
        <w:rPr>
          <w:rFonts w:asciiTheme="majorHAnsi" w:hAnsiTheme="majorHAnsi"/>
          <w:sz w:val="20"/>
          <w:szCs w:val="20"/>
        </w:rPr>
        <w:t>дорівнювало</w:t>
      </w:r>
      <w:r w:rsidRPr="000977F7">
        <w:rPr>
          <w:rFonts w:asciiTheme="majorHAnsi" w:hAnsiTheme="majorHAnsi"/>
          <w:spacing w:val="5"/>
          <w:sz w:val="20"/>
          <w:szCs w:val="20"/>
        </w:rPr>
        <w:t xml:space="preserve"> </w:t>
      </w:r>
      <w:r w:rsidRPr="000977F7">
        <w:rPr>
          <w:rFonts w:asciiTheme="majorHAnsi" w:hAnsiTheme="majorHAnsi"/>
          <w:sz w:val="20"/>
          <w:szCs w:val="20"/>
        </w:rPr>
        <w:t>числу</w:t>
      </w:r>
      <w:r w:rsidRPr="000977F7">
        <w:rPr>
          <w:rFonts w:asciiTheme="majorHAnsi" w:hAnsiTheme="majorHAnsi"/>
          <w:spacing w:val="2"/>
          <w:sz w:val="20"/>
          <w:szCs w:val="20"/>
        </w:rPr>
        <w:t xml:space="preserve"> </w:t>
      </w:r>
      <w:r w:rsidRPr="000977F7">
        <w:rPr>
          <w:rFonts w:asciiTheme="majorHAnsi" w:hAnsiTheme="majorHAnsi"/>
          <w:sz w:val="20"/>
          <w:szCs w:val="20"/>
        </w:rPr>
        <w:t>операції.</w:t>
      </w:r>
    </w:p>
    <w:p w14:paraId="4DCA5A7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 цьому в послідовній технологічній системі</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одне і те ж робоче місце предмет виробу може надходити</w:t>
      </w:r>
      <w:r w:rsidRPr="000977F7">
        <w:rPr>
          <w:rFonts w:asciiTheme="majorHAnsi" w:hAnsiTheme="majorHAnsi"/>
          <w:spacing w:val="1"/>
          <w:sz w:val="20"/>
          <w:szCs w:val="20"/>
        </w:rPr>
        <w:t xml:space="preserve"> </w:t>
      </w:r>
      <w:r w:rsidRPr="000977F7">
        <w:rPr>
          <w:rFonts w:asciiTheme="majorHAnsi" w:hAnsiTheme="majorHAnsi"/>
          <w:sz w:val="20"/>
          <w:szCs w:val="20"/>
        </w:rPr>
        <w:t>декілька</w:t>
      </w:r>
      <w:r w:rsidRPr="000977F7">
        <w:rPr>
          <w:rFonts w:asciiTheme="majorHAnsi" w:hAnsiTheme="majorHAnsi"/>
          <w:spacing w:val="1"/>
          <w:sz w:val="20"/>
          <w:szCs w:val="20"/>
        </w:rPr>
        <w:t xml:space="preserve"> </w:t>
      </w:r>
      <w:r w:rsidRPr="000977F7">
        <w:rPr>
          <w:rFonts w:asciiTheme="majorHAnsi" w:hAnsiTheme="majorHAnsi"/>
          <w:sz w:val="20"/>
          <w:szCs w:val="20"/>
        </w:rPr>
        <w:t>разів</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різних</w:t>
      </w:r>
      <w:r w:rsidRPr="000977F7">
        <w:rPr>
          <w:rFonts w:asciiTheme="majorHAnsi" w:hAnsiTheme="majorHAnsi"/>
          <w:spacing w:val="50"/>
          <w:sz w:val="20"/>
          <w:szCs w:val="20"/>
        </w:rPr>
        <w:t xml:space="preserve"> </w:t>
      </w:r>
      <w:r w:rsidRPr="000977F7">
        <w:rPr>
          <w:rFonts w:asciiTheme="majorHAnsi" w:hAnsiTheme="majorHAnsi"/>
          <w:sz w:val="20"/>
          <w:szCs w:val="20"/>
        </w:rPr>
        <w:t>операцій.</w:t>
      </w:r>
    </w:p>
    <w:p w14:paraId="66FC8E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Підсистеми</w:t>
      </w:r>
      <w:r w:rsidRPr="000977F7">
        <w:rPr>
          <w:rFonts w:asciiTheme="majorHAnsi" w:hAnsiTheme="majorHAnsi"/>
          <w:spacing w:val="1"/>
          <w:sz w:val="20"/>
          <w:szCs w:val="20"/>
        </w:rPr>
        <w:t xml:space="preserve"> </w:t>
      </w:r>
      <w:r w:rsidRPr="000977F7">
        <w:rPr>
          <w:rFonts w:asciiTheme="majorHAnsi" w:hAnsiTheme="majorHAnsi"/>
          <w:sz w:val="20"/>
          <w:szCs w:val="20"/>
        </w:rPr>
        <w:t>паралельної</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47"/>
          <w:sz w:val="20"/>
          <w:szCs w:val="20"/>
        </w:rPr>
        <w:t xml:space="preserve"> </w:t>
      </w:r>
      <w:r w:rsidRPr="000977F7">
        <w:rPr>
          <w:rFonts w:asciiTheme="majorHAnsi" w:hAnsiTheme="majorHAnsi"/>
          <w:sz w:val="20"/>
          <w:szCs w:val="20"/>
        </w:rPr>
        <w:t>можуть містити в собі спільні засоби 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оснащення. Так, наприклад, шестишпиндельний автомат містить шість паралельних підсистем, відмови</w:t>
      </w:r>
      <w:r w:rsidRPr="000977F7">
        <w:rPr>
          <w:rFonts w:asciiTheme="majorHAnsi" w:hAnsiTheme="majorHAnsi"/>
          <w:spacing w:val="1"/>
          <w:sz w:val="20"/>
          <w:szCs w:val="20"/>
        </w:rPr>
        <w:t xml:space="preserve"> </w:t>
      </w:r>
      <w:r w:rsidRPr="000977F7">
        <w:rPr>
          <w:rFonts w:asciiTheme="majorHAnsi" w:hAnsiTheme="majorHAnsi"/>
          <w:sz w:val="20"/>
          <w:szCs w:val="20"/>
        </w:rPr>
        <w:t>яких</w:t>
      </w:r>
      <w:r w:rsidRPr="000977F7">
        <w:rPr>
          <w:rFonts w:asciiTheme="majorHAnsi" w:hAnsiTheme="majorHAnsi"/>
          <w:spacing w:val="1"/>
          <w:sz w:val="20"/>
          <w:szCs w:val="20"/>
        </w:rPr>
        <w:t xml:space="preserve"> </w:t>
      </w:r>
      <w:r w:rsidRPr="000977F7">
        <w:rPr>
          <w:rFonts w:asciiTheme="majorHAnsi" w:hAnsiTheme="majorHAnsi"/>
          <w:sz w:val="20"/>
          <w:szCs w:val="20"/>
        </w:rPr>
        <w:t>взаємозалежні,</w:t>
      </w:r>
      <w:r w:rsidRPr="000977F7">
        <w:rPr>
          <w:rFonts w:asciiTheme="majorHAnsi" w:hAnsiTheme="majorHAnsi"/>
          <w:spacing w:val="1"/>
          <w:sz w:val="20"/>
          <w:szCs w:val="20"/>
        </w:rPr>
        <w:t xml:space="preserve"> </w:t>
      </w:r>
      <w:r w:rsidRPr="000977F7">
        <w:rPr>
          <w:rFonts w:asciiTheme="majorHAnsi" w:hAnsiTheme="majorHAnsi"/>
          <w:sz w:val="20"/>
          <w:szCs w:val="20"/>
        </w:rPr>
        <w:t>внаслідок</w:t>
      </w:r>
      <w:r w:rsidRPr="000977F7">
        <w:rPr>
          <w:rFonts w:asciiTheme="majorHAnsi" w:hAnsiTheme="majorHAnsi"/>
          <w:spacing w:val="1"/>
          <w:sz w:val="20"/>
          <w:szCs w:val="20"/>
        </w:rPr>
        <w:t xml:space="preserve"> </w:t>
      </w:r>
      <w:r w:rsidRPr="000977F7">
        <w:rPr>
          <w:rFonts w:asciiTheme="majorHAnsi" w:hAnsiTheme="majorHAnsi"/>
          <w:sz w:val="20"/>
          <w:szCs w:val="20"/>
        </w:rPr>
        <w:t>наявності</w:t>
      </w:r>
      <w:r w:rsidRPr="000977F7">
        <w:rPr>
          <w:rFonts w:asciiTheme="majorHAnsi" w:hAnsiTheme="majorHAnsi"/>
          <w:spacing w:val="1"/>
          <w:sz w:val="20"/>
          <w:szCs w:val="20"/>
        </w:rPr>
        <w:t xml:space="preserve"> </w:t>
      </w:r>
      <w:r w:rsidRPr="000977F7">
        <w:rPr>
          <w:rFonts w:asciiTheme="majorHAnsi" w:hAnsiTheme="majorHAnsi"/>
          <w:sz w:val="20"/>
          <w:szCs w:val="20"/>
        </w:rPr>
        <w:t>спільних</w:t>
      </w:r>
      <w:r w:rsidRPr="000977F7">
        <w:rPr>
          <w:rFonts w:asciiTheme="majorHAnsi" w:hAnsiTheme="majorHAnsi"/>
          <w:spacing w:val="1"/>
          <w:sz w:val="20"/>
          <w:szCs w:val="20"/>
        </w:rPr>
        <w:t xml:space="preserve"> </w:t>
      </w:r>
      <w:r w:rsidRPr="000977F7">
        <w:rPr>
          <w:rFonts w:asciiTheme="majorHAnsi" w:hAnsiTheme="majorHAnsi"/>
          <w:sz w:val="20"/>
          <w:szCs w:val="20"/>
        </w:rPr>
        <w:t>елементів:</w:t>
      </w:r>
      <w:r w:rsidRPr="000977F7">
        <w:rPr>
          <w:rFonts w:asciiTheme="majorHAnsi" w:hAnsiTheme="majorHAnsi"/>
          <w:spacing w:val="6"/>
          <w:sz w:val="20"/>
          <w:szCs w:val="20"/>
        </w:rPr>
        <w:t xml:space="preserve"> </w:t>
      </w:r>
      <w:r w:rsidRPr="000977F7">
        <w:rPr>
          <w:rFonts w:asciiTheme="majorHAnsi" w:hAnsiTheme="majorHAnsi"/>
          <w:sz w:val="20"/>
          <w:szCs w:val="20"/>
        </w:rPr>
        <w:t>системи</w:t>
      </w:r>
      <w:r w:rsidRPr="000977F7">
        <w:rPr>
          <w:rFonts w:asciiTheme="majorHAnsi" w:hAnsiTheme="majorHAnsi"/>
          <w:spacing w:val="6"/>
          <w:sz w:val="20"/>
          <w:szCs w:val="20"/>
        </w:rPr>
        <w:t xml:space="preserve"> </w:t>
      </w:r>
      <w:r w:rsidRPr="000977F7">
        <w:rPr>
          <w:rFonts w:asciiTheme="majorHAnsi" w:hAnsiTheme="majorHAnsi"/>
          <w:sz w:val="20"/>
          <w:szCs w:val="20"/>
        </w:rPr>
        <w:t>подавання,</w:t>
      </w:r>
      <w:r w:rsidRPr="000977F7">
        <w:rPr>
          <w:rFonts w:asciiTheme="majorHAnsi" w:hAnsiTheme="majorHAnsi"/>
          <w:spacing w:val="8"/>
          <w:sz w:val="20"/>
          <w:szCs w:val="20"/>
        </w:rPr>
        <w:t xml:space="preserve"> </w:t>
      </w:r>
      <w:r w:rsidRPr="000977F7">
        <w:rPr>
          <w:rFonts w:asciiTheme="majorHAnsi" w:hAnsiTheme="majorHAnsi"/>
          <w:sz w:val="20"/>
          <w:szCs w:val="20"/>
        </w:rPr>
        <w:t>приводу</w:t>
      </w:r>
      <w:r w:rsidRPr="000977F7">
        <w:rPr>
          <w:rFonts w:asciiTheme="majorHAnsi" w:hAnsiTheme="majorHAnsi"/>
          <w:spacing w:val="4"/>
          <w:sz w:val="20"/>
          <w:szCs w:val="20"/>
        </w:rPr>
        <w:t xml:space="preserve"> </w:t>
      </w:r>
      <w:r w:rsidRPr="000977F7">
        <w:rPr>
          <w:rFonts w:asciiTheme="majorHAnsi" w:hAnsiTheme="majorHAnsi"/>
          <w:sz w:val="20"/>
          <w:szCs w:val="20"/>
        </w:rPr>
        <w:t>тощо.</w:t>
      </w:r>
    </w:p>
    <w:p w14:paraId="01E8ED2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випадку, коли паралельні підсистеми верстатів не</w:t>
      </w:r>
      <w:r w:rsidRPr="000977F7">
        <w:rPr>
          <w:rFonts w:asciiTheme="majorHAnsi" w:hAnsiTheme="majorHAnsi"/>
          <w:spacing w:val="1"/>
          <w:sz w:val="20"/>
          <w:szCs w:val="20"/>
        </w:rPr>
        <w:t xml:space="preserve"> </w:t>
      </w:r>
      <w:r w:rsidRPr="000977F7">
        <w:rPr>
          <w:rFonts w:asciiTheme="majorHAnsi" w:hAnsiTheme="majorHAnsi"/>
          <w:sz w:val="20"/>
          <w:szCs w:val="20"/>
        </w:rPr>
        <w:t>містять</w:t>
      </w:r>
      <w:r w:rsidRPr="000977F7">
        <w:rPr>
          <w:rFonts w:asciiTheme="majorHAnsi" w:hAnsiTheme="majorHAnsi"/>
          <w:spacing w:val="31"/>
          <w:sz w:val="20"/>
          <w:szCs w:val="20"/>
        </w:rPr>
        <w:t xml:space="preserve"> </w:t>
      </w:r>
      <w:r w:rsidRPr="000977F7">
        <w:rPr>
          <w:rFonts w:asciiTheme="majorHAnsi" w:hAnsiTheme="majorHAnsi"/>
          <w:sz w:val="20"/>
          <w:szCs w:val="20"/>
        </w:rPr>
        <w:t>у</w:t>
      </w:r>
      <w:r w:rsidRPr="000977F7">
        <w:rPr>
          <w:rFonts w:asciiTheme="majorHAnsi" w:hAnsiTheme="majorHAnsi"/>
          <w:spacing w:val="28"/>
          <w:sz w:val="20"/>
          <w:szCs w:val="20"/>
        </w:rPr>
        <w:t xml:space="preserve"> </w:t>
      </w:r>
      <w:r w:rsidRPr="000977F7">
        <w:rPr>
          <w:rFonts w:asciiTheme="majorHAnsi" w:hAnsiTheme="majorHAnsi"/>
          <w:sz w:val="20"/>
          <w:szCs w:val="20"/>
        </w:rPr>
        <w:t>собі</w:t>
      </w:r>
      <w:r w:rsidRPr="000977F7">
        <w:rPr>
          <w:rFonts w:asciiTheme="majorHAnsi" w:hAnsiTheme="majorHAnsi"/>
          <w:spacing w:val="31"/>
          <w:sz w:val="20"/>
          <w:szCs w:val="20"/>
        </w:rPr>
        <w:t xml:space="preserve"> </w:t>
      </w:r>
      <w:r w:rsidRPr="000977F7">
        <w:rPr>
          <w:rFonts w:asciiTheme="majorHAnsi" w:hAnsiTheme="majorHAnsi"/>
          <w:sz w:val="20"/>
          <w:szCs w:val="20"/>
        </w:rPr>
        <w:t>спільних</w:t>
      </w:r>
      <w:r w:rsidRPr="000977F7">
        <w:rPr>
          <w:rFonts w:asciiTheme="majorHAnsi" w:hAnsiTheme="majorHAnsi"/>
          <w:spacing w:val="29"/>
          <w:sz w:val="20"/>
          <w:szCs w:val="20"/>
        </w:rPr>
        <w:t xml:space="preserve"> </w:t>
      </w:r>
      <w:r w:rsidRPr="000977F7">
        <w:rPr>
          <w:rFonts w:asciiTheme="majorHAnsi" w:hAnsiTheme="majorHAnsi"/>
          <w:sz w:val="20"/>
          <w:szCs w:val="20"/>
        </w:rPr>
        <w:t>елементів</w:t>
      </w:r>
      <w:r w:rsidRPr="000977F7">
        <w:rPr>
          <w:rFonts w:asciiTheme="majorHAnsi" w:hAnsiTheme="majorHAnsi"/>
          <w:spacing w:val="31"/>
          <w:sz w:val="20"/>
          <w:szCs w:val="20"/>
        </w:rPr>
        <w:t xml:space="preserve"> </w:t>
      </w:r>
      <w:r w:rsidRPr="000977F7">
        <w:rPr>
          <w:rFonts w:asciiTheme="majorHAnsi" w:hAnsiTheme="majorHAnsi"/>
          <w:sz w:val="20"/>
          <w:szCs w:val="20"/>
        </w:rPr>
        <w:t>(наприклад,</w:t>
      </w:r>
      <w:r w:rsidRPr="000977F7">
        <w:rPr>
          <w:rFonts w:asciiTheme="majorHAnsi" w:hAnsiTheme="majorHAnsi"/>
          <w:spacing w:val="32"/>
          <w:sz w:val="20"/>
          <w:szCs w:val="20"/>
        </w:rPr>
        <w:t xml:space="preserve"> </w:t>
      </w:r>
      <w:r w:rsidRPr="000977F7">
        <w:rPr>
          <w:rFonts w:asciiTheme="majorHAnsi" w:hAnsiTheme="majorHAnsi"/>
          <w:sz w:val="20"/>
          <w:szCs w:val="20"/>
        </w:rPr>
        <w:t>шість  однотипних верстатів виконують паралельно і незалежно один від одного одну і ту ж операцію 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то</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технологічну</w:t>
      </w:r>
      <w:r w:rsidRPr="000977F7">
        <w:rPr>
          <w:rFonts w:asciiTheme="majorHAnsi" w:hAnsiTheme="majorHAnsi"/>
          <w:spacing w:val="1"/>
          <w:sz w:val="20"/>
          <w:szCs w:val="20"/>
        </w:rPr>
        <w:t xml:space="preserve"> </w:t>
      </w:r>
      <w:r w:rsidRPr="000977F7">
        <w:rPr>
          <w:rFonts w:asciiTheme="majorHAnsi" w:hAnsiTheme="majorHAnsi"/>
          <w:sz w:val="20"/>
          <w:szCs w:val="20"/>
        </w:rPr>
        <w:t>систему</w:t>
      </w:r>
      <w:r w:rsidRPr="000977F7">
        <w:rPr>
          <w:rFonts w:asciiTheme="majorHAnsi" w:hAnsiTheme="majorHAnsi"/>
          <w:spacing w:val="1"/>
          <w:sz w:val="20"/>
          <w:szCs w:val="20"/>
        </w:rPr>
        <w:t xml:space="preserve"> </w:t>
      </w:r>
      <w:r w:rsidRPr="000977F7">
        <w:rPr>
          <w:rFonts w:asciiTheme="majorHAnsi" w:hAnsiTheme="majorHAnsi"/>
          <w:sz w:val="20"/>
          <w:szCs w:val="20"/>
        </w:rPr>
        <w:t>називають</w:t>
      </w:r>
      <w:r w:rsidRPr="000977F7">
        <w:rPr>
          <w:rFonts w:asciiTheme="majorHAnsi" w:hAnsiTheme="majorHAnsi"/>
          <w:spacing w:val="5"/>
          <w:sz w:val="20"/>
          <w:szCs w:val="20"/>
        </w:rPr>
        <w:t xml:space="preserve"> </w:t>
      </w:r>
      <w:r w:rsidRPr="000977F7">
        <w:rPr>
          <w:rFonts w:asciiTheme="majorHAnsi" w:hAnsiTheme="majorHAnsi"/>
          <w:sz w:val="20"/>
          <w:szCs w:val="20"/>
        </w:rPr>
        <w:t>багатоканальною.</w:t>
      </w:r>
    </w:p>
    <w:p w14:paraId="5FDE15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Класифікація технологічних систем за рівнем спеціалізації відноситься до технологічних систем операції, процесу і виробничого підрозділу. При цьому</w:t>
      </w:r>
      <w:r w:rsidRPr="000977F7">
        <w:rPr>
          <w:rFonts w:asciiTheme="majorHAnsi" w:hAnsiTheme="majorHAnsi"/>
          <w:spacing w:val="1"/>
          <w:sz w:val="20"/>
          <w:szCs w:val="20"/>
        </w:rPr>
        <w:t xml:space="preserve"> </w:t>
      </w:r>
      <w:r w:rsidRPr="000977F7">
        <w:rPr>
          <w:rFonts w:asciiTheme="majorHAnsi" w:hAnsiTheme="majorHAnsi"/>
          <w:sz w:val="20"/>
          <w:szCs w:val="20"/>
        </w:rPr>
        <w:t>універсальна,</w:t>
      </w:r>
      <w:r w:rsidRPr="000977F7">
        <w:rPr>
          <w:rFonts w:asciiTheme="majorHAnsi" w:hAnsiTheme="majorHAnsi"/>
          <w:spacing w:val="1"/>
          <w:sz w:val="20"/>
          <w:szCs w:val="20"/>
        </w:rPr>
        <w:t xml:space="preserve"> </w:t>
      </w:r>
      <w:r w:rsidRPr="000977F7">
        <w:rPr>
          <w:rFonts w:asciiTheme="majorHAnsi" w:hAnsiTheme="majorHAnsi"/>
          <w:sz w:val="20"/>
          <w:szCs w:val="20"/>
        </w:rPr>
        <w:t>спеціалізована,</w:t>
      </w:r>
      <w:r w:rsidRPr="000977F7">
        <w:rPr>
          <w:rFonts w:asciiTheme="majorHAnsi" w:hAnsiTheme="majorHAnsi"/>
          <w:spacing w:val="1"/>
          <w:sz w:val="20"/>
          <w:szCs w:val="20"/>
        </w:rPr>
        <w:t xml:space="preserve"> </w:t>
      </w:r>
      <w:r w:rsidRPr="000977F7">
        <w:rPr>
          <w:rFonts w:asciiTheme="majorHAnsi" w:hAnsiTheme="majorHAnsi"/>
          <w:sz w:val="20"/>
          <w:szCs w:val="20"/>
        </w:rPr>
        <w:t>спеціальна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технологічні</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виробничого</w:t>
      </w:r>
      <w:r w:rsidRPr="000977F7">
        <w:rPr>
          <w:rFonts w:asciiTheme="majorHAnsi" w:hAnsiTheme="majorHAnsi"/>
          <w:spacing w:val="1"/>
          <w:sz w:val="20"/>
          <w:szCs w:val="20"/>
        </w:rPr>
        <w:t xml:space="preserve"> </w:t>
      </w:r>
      <w:r w:rsidRPr="000977F7">
        <w:rPr>
          <w:rFonts w:asciiTheme="majorHAnsi" w:hAnsiTheme="majorHAnsi"/>
          <w:sz w:val="20"/>
          <w:szCs w:val="20"/>
        </w:rPr>
        <w:t>підрозділу</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можуть містити в собі підсистеми різного рівня спеціалізації.</w:t>
      </w:r>
      <w:r w:rsidRPr="000977F7">
        <w:rPr>
          <w:rFonts w:asciiTheme="majorHAnsi" w:hAnsiTheme="majorHAnsi"/>
          <w:spacing w:val="1"/>
          <w:sz w:val="20"/>
          <w:szCs w:val="20"/>
        </w:rPr>
        <w:t xml:space="preserve"> </w:t>
      </w:r>
      <w:r w:rsidRPr="000977F7">
        <w:rPr>
          <w:rFonts w:asciiTheme="majorHAnsi" w:hAnsiTheme="majorHAnsi"/>
          <w:sz w:val="20"/>
          <w:szCs w:val="20"/>
        </w:rPr>
        <w:t>Рівень</w:t>
      </w:r>
      <w:r w:rsidRPr="000977F7">
        <w:rPr>
          <w:rFonts w:asciiTheme="majorHAnsi" w:hAnsiTheme="majorHAnsi"/>
          <w:spacing w:val="1"/>
          <w:sz w:val="20"/>
          <w:szCs w:val="20"/>
        </w:rPr>
        <w:t xml:space="preserve"> </w:t>
      </w:r>
      <w:r w:rsidRPr="000977F7">
        <w:rPr>
          <w:rFonts w:asciiTheme="majorHAnsi" w:hAnsiTheme="majorHAnsi"/>
          <w:sz w:val="20"/>
          <w:szCs w:val="20"/>
        </w:rPr>
        <w:t>спеціалізації</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визначають співвідношенням обмежень, які вносить</w:t>
      </w:r>
      <w:r w:rsidRPr="000977F7">
        <w:rPr>
          <w:rFonts w:asciiTheme="majorHAnsi" w:hAnsiTheme="majorHAnsi"/>
          <w:spacing w:val="1"/>
          <w:sz w:val="20"/>
          <w:szCs w:val="20"/>
        </w:rPr>
        <w:t xml:space="preserve"> </w:t>
      </w:r>
      <w:r w:rsidRPr="000977F7">
        <w:rPr>
          <w:rFonts w:asciiTheme="majorHAnsi" w:hAnsiTheme="majorHAnsi"/>
          <w:sz w:val="20"/>
          <w:szCs w:val="20"/>
        </w:rPr>
        <w:t>кожна</w:t>
      </w:r>
      <w:r w:rsidRPr="000977F7">
        <w:rPr>
          <w:rFonts w:asciiTheme="majorHAnsi" w:hAnsiTheme="majorHAnsi"/>
          <w:spacing w:val="1"/>
          <w:sz w:val="20"/>
          <w:szCs w:val="20"/>
        </w:rPr>
        <w:t xml:space="preserve"> </w:t>
      </w:r>
      <w:r w:rsidRPr="000977F7">
        <w:rPr>
          <w:rFonts w:asciiTheme="majorHAnsi" w:hAnsiTheme="majorHAnsi"/>
          <w:sz w:val="20"/>
          <w:szCs w:val="20"/>
        </w:rPr>
        <w:t>підсистема</w:t>
      </w:r>
      <w:r w:rsidRPr="000977F7">
        <w:rPr>
          <w:rFonts w:asciiTheme="majorHAnsi" w:hAnsiTheme="majorHAnsi"/>
          <w:spacing w:val="1"/>
          <w:sz w:val="20"/>
          <w:szCs w:val="20"/>
        </w:rPr>
        <w:t xml:space="preserve"> </w:t>
      </w:r>
      <w:r w:rsidRPr="000977F7">
        <w:rPr>
          <w:rFonts w:asciiTheme="majorHAnsi" w:hAnsiTheme="majorHAnsi"/>
          <w:sz w:val="20"/>
          <w:szCs w:val="20"/>
        </w:rPr>
        <w:t>стосовно</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номенклатури</w:t>
      </w:r>
      <w:r w:rsidRPr="000977F7">
        <w:rPr>
          <w:rFonts w:asciiTheme="majorHAnsi" w:hAnsiTheme="majorHAnsi"/>
          <w:spacing w:val="1"/>
          <w:sz w:val="20"/>
          <w:szCs w:val="20"/>
        </w:rPr>
        <w:t xml:space="preserve"> </w:t>
      </w:r>
      <w:r w:rsidRPr="000977F7">
        <w:rPr>
          <w:rFonts w:asciiTheme="majorHAnsi" w:hAnsiTheme="majorHAnsi"/>
          <w:sz w:val="20"/>
          <w:szCs w:val="20"/>
        </w:rPr>
        <w:t>виготовлюваної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Невдалий</w:t>
      </w:r>
      <w:r w:rsidRPr="000977F7">
        <w:rPr>
          <w:rFonts w:asciiTheme="majorHAnsi" w:hAnsiTheme="majorHAnsi"/>
          <w:spacing w:val="1"/>
          <w:sz w:val="20"/>
          <w:szCs w:val="20"/>
        </w:rPr>
        <w:t xml:space="preserve"> </w:t>
      </w:r>
      <w:r w:rsidRPr="000977F7">
        <w:rPr>
          <w:rFonts w:asciiTheme="majorHAnsi" w:hAnsiTheme="majorHAnsi"/>
          <w:sz w:val="20"/>
          <w:szCs w:val="20"/>
        </w:rPr>
        <w:t>вибір</w:t>
      </w:r>
      <w:r w:rsidRPr="000977F7">
        <w:rPr>
          <w:rFonts w:asciiTheme="majorHAnsi" w:hAnsiTheme="majorHAnsi"/>
          <w:spacing w:val="1"/>
          <w:sz w:val="20"/>
          <w:szCs w:val="20"/>
        </w:rPr>
        <w:t xml:space="preserve"> </w:t>
      </w:r>
      <w:r w:rsidRPr="000977F7">
        <w:rPr>
          <w:rFonts w:asciiTheme="majorHAnsi" w:hAnsiTheme="majorHAnsi"/>
          <w:sz w:val="20"/>
          <w:szCs w:val="20"/>
        </w:rPr>
        <w:t>цього</w:t>
      </w:r>
      <w:r w:rsidRPr="000977F7">
        <w:rPr>
          <w:rFonts w:asciiTheme="majorHAnsi" w:hAnsiTheme="majorHAnsi"/>
          <w:spacing w:val="1"/>
          <w:sz w:val="20"/>
          <w:szCs w:val="20"/>
        </w:rPr>
        <w:t xml:space="preserve"> </w:t>
      </w:r>
      <w:r w:rsidRPr="000977F7">
        <w:rPr>
          <w:rFonts w:asciiTheme="majorHAnsi" w:hAnsiTheme="majorHAnsi"/>
          <w:sz w:val="20"/>
          <w:szCs w:val="20"/>
        </w:rPr>
        <w:t>співвідношення призводить до зниження технологічних</w:t>
      </w:r>
      <w:r w:rsidRPr="000977F7">
        <w:rPr>
          <w:rFonts w:asciiTheme="majorHAnsi" w:hAnsiTheme="majorHAnsi"/>
          <w:spacing w:val="1"/>
          <w:sz w:val="20"/>
          <w:szCs w:val="20"/>
        </w:rPr>
        <w:t xml:space="preserve"> </w:t>
      </w:r>
      <w:r w:rsidRPr="000977F7">
        <w:rPr>
          <w:rFonts w:asciiTheme="majorHAnsi" w:hAnsiTheme="majorHAnsi"/>
          <w:sz w:val="20"/>
          <w:szCs w:val="20"/>
        </w:rPr>
        <w:t>можливостей</w:t>
      </w:r>
      <w:r w:rsidRPr="000977F7">
        <w:rPr>
          <w:rFonts w:asciiTheme="majorHAnsi" w:hAnsiTheme="majorHAnsi"/>
          <w:spacing w:val="3"/>
          <w:sz w:val="20"/>
          <w:szCs w:val="20"/>
        </w:rPr>
        <w:t xml:space="preserve"> </w:t>
      </w:r>
      <w:r w:rsidRPr="000977F7">
        <w:rPr>
          <w:rFonts w:asciiTheme="majorHAnsi" w:hAnsiTheme="majorHAnsi"/>
          <w:sz w:val="20"/>
          <w:szCs w:val="20"/>
        </w:rPr>
        <w:t>системи</w:t>
      </w:r>
      <w:r w:rsidRPr="000977F7">
        <w:rPr>
          <w:rFonts w:asciiTheme="majorHAnsi" w:hAnsiTheme="majorHAnsi"/>
          <w:spacing w:val="4"/>
          <w:sz w:val="20"/>
          <w:szCs w:val="20"/>
        </w:rPr>
        <w:t xml:space="preserve"> </w:t>
      </w:r>
      <w:r w:rsidRPr="000977F7">
        <w:rPr>
          <w:rFonts w:asciiTheme="majorHAnsi" w:hAnsiTheme="majorHAnsi"/>
          <w:sz w:val="20"/>
          <w:szCs w:val="20"/>
        </w:rPr>
        <w:t>в</w:t>
      </w:r>
      <w:r w:rsidRPr="000977F7">
        <w:rPr>
          <w:rFonts w:asciiTheme="majorHAnsi" w:hAnsiTheme="majorHAnsi"/>
          <w:spacing w:val="5"/>
          <w:sz w:val="20"/>
          <w:szCs w:val="20"/>
        </w:rPr>
        <w:t xml:space="preserve"> </w:t>
      </w:r>
      <w:r w:rsidRPr="000977F7">
        <w:rPr>
          <w:rFonts w:asciiTheme="majorHAnsi" w:hAnsiTheme="majorHAnsi"/>
          <w:sz w:val="20"/>
          <w:szCs w:val="20"/>
        </w:rPr>
        <w:t>цілому.</w:t>
      </w:r>
    </w:p>
    <w:p w14:paraId="65F296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Технологічна</w:t>
      </w:r>
      <w:r w:rsidRPr="000977F7">
        <w:rPr>
          <w:rFonts w:asciiTheme="majorHAnsi" w:hAnsiTheme="majorHAnsi"/>
          <w:spacing w:val="1"/>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виконує</w:t>
      </w:r>
      <w:r w:rsidRPr="000977F7">
        <w:rPr>
          <w:rFonts w:asciiTheme="majorHAnsi" w:hAnsiTheme="majorHAnsi"/>
          <w:spacing w:val="1"/>
          <w:sz w:val="20"/>
          <w:szCs w:val="20"/>
        </w:rPr>
        <w:t xml:space="preserve"> </w:t>
      </w:r>
      <w:r w:rsidRPr="000977F7">
        <w:rPr>
          <w:rFonts w:asciiTheme="majorHAnsi" w:hAnsiTheme="majorHAnsi"/>
          <w:sz w:val="20"/>
          <w:szCs w:val="20"/>
        </w:rPr>
        <w:t>груповий</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технологічний</w:t>
      </w:r>
      <w:r w:rsidRPr="000977F7">
        <w:rPr>
          <w:rFonts w:asciiTheme="majorHAnsi" w:hAnsiTheme="majorHAnsi"/>
          <w:spacing w:val="4"/>
          <w:sz w:val="20"/>
          <w:szCs w:val="20"/>
        </w:rPr>
        <w:t xml:space="preserve"> </w:t>
      </w:r>
      <w:r w:rsidRPr="000977F7">
        <w:rPr>
          <w:rFonts w:asciiTheme="majorHAnsi" w:hAnsiTheme="majorHAnsi"/>
          <w:sz w:val="20"/>
          <w:szCs w:val="20"/>
        </w:rPr>
        <w:t>процес,</w:t>
      </w:r>
      <w:r w:rsidRPr="000977F7">
        <w:rPr>
          <w:rFonts w:asciiTheme="majorHAnsi" w:hAnsiTheme="majorHAnsi"/>
          <w:spacing w:val="6"/>
          <w:sz w:val="20"/>
          <w:szCs w:val="20"/>
        </w:rPr>
        <w:t xml:space="preserve"> </w:t>
      </w:r>
      <w:r w:rsidRPr="000977F7">
        <w:rPr>
          <w:rFonts w:asciiTheme="majorHAnsi" w:hAnsiTheme="majorHAnsi"/>
          <w:sz w:val="20"/>
          <w:szCs w:val="20"/>
        </w:rPr>
        <w:t>є</w:t>
      </w:r>
      <w:r w:rsidRPr="000977F7">
        <w:rPr>
          <w:rFonts w:asciiTheme="majorHAnsi" w:hAnsiTheme="majorHAnsi"/>
          <w:spacing w:val="6"/>
          <w:sz w:val="20"/>
          <w:szCs w:val="20"/>
        </w:rPr>
        <w:t xml:space="preserve"> </w:t>
      </w:r>
      <w:r w:rsidRPr="000977F7">
        <w:rPr>
          <w:rFonts w:asciiTheme="majorHAnsi" w:hAnsiTheme="majorHAnsi"/>
          <w:sz w:val="20"/>
          <w:szCs w:val="20"/>
        </w:rPr>
        <w:t>універсальною.</w:t>
      </w:r>
    </w:p>
    <w:p w14:paraId="267F830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Рівень</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вид</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головними</w:t>
      </w:r>
      <w:r w:rsidRPr="000977F7">
        <w:rPr>
          <w:rFonts w:asciiTheme="majorHAnsi" w:hAnsiTheme="majorHAnsi"/>
          <w:spacing w:val="1"/>
          <w:sz w:val="20"/>
          <w:szCs w:val="20"/>
        </w:rPr>
        <w:t xml:space="preserve"> </w:t>
      </w:r>
      <w:r w:rsidRPr="000977F7">
        <w:rPr>
          <w:rFonts w:asciiTheme="majorHAnsi" w:hAnsiTheme="majorHAnsi"/>
          <w:sz w:val="20"/>
          <w:szCs w:val="20"/>
        </w:rPr>
        <w:t>ознаками для вибору критеріїв відмови і граничних</w:t>
      </w:r>
      <w:r w:rsidRPr="000977F7">
        <w:rPr>
          <w:rFonts w:asciiTheme="majorHAnsi" w:hAnsiTheme="majorHAnsi"/>
          <w:spacing w:val="1"/>
          <w:sz w:val="20"/>
          <w:szCs w:val="20"/>
        </w:rPr>
        <w:t xml:space="preserve"> </w:t>
      </w:r>
      <w:r w:rsidRPr="000977F7">
        <w:rPr>
          <w:rFonts w:asciiTheme="majorHAnsi" w:hAnsiTheme="majorHAnsi"/>
          <w:sz w:val="20"/>
          <w:szCs w:val="20"/>
        </w:rPr>
        <w:t>станів,</w:t>
      </w:r>
      <w:r w:rsidRPr="000977F7">
        <w:rPr>
          <w:rFonts w:asciiTheme="majorHAnsi" w:hAnsiTheme="majorHAnsi"/>
          <w:spacing w:val="1"/>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1"/>
          <w:sz w:val="20"/>
          <w:szCs w:val="20"/>
        </w:rPr>
        <w:t xml:space="preserve"> </w:t>
      </w:r>
      <w:r w:rsidRPr="000977F7">
        <w:rPr>
          <w:rFonts w:asciiTheme="majorHAnsi" w:hAnsiTheme="majorHAnsi"/>
          <w:sz w:val="20"/>
          <w:szCs w:val="20"/>
        </w:rPr>
        <w:t>надійності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методів</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оцінювання</w:t>
      </w:r>
    </w:p>
    <w:p w14:paraId="04D3103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2"/>
          <w:sz w:val="20"/>
          <w:szCs w:val="20"/>
        </w:rPr>
        <w:t xml:space="preserve"> </w:t>
      </w:r>
      <w:r w:rsidRPr="000977F7">
        <w:rPr>
          <w:rFonts w:asciiTheme="majorHAnsi" w:hAnsiTheme="majorHAnsi"/>
          <w:i/>
          <w:sz w:val="20"/>
          <w:szCs w:val="20"/>
        </w:rPr>
        <w:t>2470 - 93</w:t>
      </w:r>
    </w:p>
    <w:p w14:paraId="3022ECC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ТЕХНОЛОГІЧНЕ</w:t>
      </w:r>
      <w:r w:rsidRPr="000977F7">
        <w:rPr>
          <w:color w:val="auto"/>
          <w:spacing w:val="-7"/>
          <w:sz w:val="20"/>
          <w:szCs w:val="20"/>
        </w:rPr>
        <w:t xml:space="preserve"> </w:t>
      </w:r>
      <w:r w:rsidRPr="000977F7">
        <w:rPr>
          <w:color w:val="auto"/>
          <w:sz w:val="20"/>
          <w:szCs w:val="20"/>
        </w:rPr>
        <w:t>НАЛАГОДЖЕННЯ</w:t>
      </w:r>
      <w:r w:rsidRPr="000977F7">
        <w:rPr>
          <w:color w:val="auto"/>
          <w:spacing w:val="-3"/>
          <w:sz w:val="20"/>
          <w:szCs w:val="20"/>
        </w:rPr>
        <w:t xml:space="preserve"> </w:t>
      </w:r>
      <w:r w:rsidRPr="000977F7">
        <w:rPr>
          <w:color w:val="auto"/>
          <w:sz w:val="20"/>
          <w:szCs w:val="20"/>
        </w:rPr>
        <w:t>–</w:t>
      </w:r>
    </w:p>
    <w:p w14:paraId="46E312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SETTING</w:t>
      </w:r>
      <w:r w:rsidRPr="000977F7">
        <w:rPr>
          <w:rFonts w:asciiTheme="majorHAnsi" w:hAnsiTheme="majorHAnsi"/>
          <w:spacing w:val="-1"/>
          <w:sz w:val="20"/>
          <w:szCs w:val="20"/>
        </w:rPr>
        <w:t xml:space="preserve"> </w:t>
      </w:r>
      <w:r w:rsidRPr="000977F7">
        <w:rPr>
          <w:rFonts w:asciiTheme="majorHAnsi" w:hAnsiTheme="majorHAnsi"/>
          <w:sz w:val="20"/>
          <w:szCs w:val="20"/>
        </w:rPr>
        <w:t>– UP</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04A4B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Підготовлення технологічного устаткування та 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оснащення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1"/>
          <w:sz w:val="20"/>
          <w:szCs w:val="20"/>
        </w:rPr>
        <w:t xml:space="preserve"> </w:t>
      </w:r>
      <w:r w:rsidRPr="000977F7">
        <w:rPr>
          <w:rFonts w:asciiTheme="majorHAnsi" w:hAnsiTheme="majorHAnsi"/>
          <w:sz w:val="20"/>
          <w:szCs w:val="20"/>
        </w:rPr>
        <w:t>операції</w:t>
      </w:r>
    </w:p>
    <w:p w14:paraId="0D5004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1DA41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налагодження</w:t>
      </w:r>
      <w:r w:rsidRPr="000977F7">
        <w:rPr>
          <w:rFonts w:asciiTheme="majorHAnsi" w:hAnsiTheme="majorHAnsi"/>
          <w:spacing w:val="1"/>
          <w:sz w:val="20"/>
          <w:szCs w:val="20"/>
        </w:rPr>
        <w:t xml:space="preserve"> </w:t>
      </w:r>
      <w:r w:rsidRPr="000977F7">
        <w:rPr>
          <w:rFonts w:asciiTheme="majorHAnsi" w:hAnsiTheme="majorHAnsi"/>
          <w:sz w:val="20"/>
          <w:szCs w:val="20"/>
        </w:rPr>
        <w:t>відносять</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встановлення</w:t>
      </w:r>
      <w:r w:rsidRPr="000977F7">
        <w:rPr>
          <w:rFonts w:asciiTheme="majorHAnsi" w:hAnsiTheme="majorHAnsi"/>
          <w:spacing w:val="1"/>
          <w:sz w:val="20"/>
          <w:szCs w:val="20"/>
        </w:rPr>
        <w:t xml:space="preserve"> </w:t>
      </w:r>
      <w:r w:rsidRPr="000977F7">
        <w:rPr>
          <w:rFonts w:asciiTheme="majorHAnsi" w:hAnsiTheme="majorHAnsi"/>
          <w:sz w:val="20"/>
          <w:szCs w:val="20"/>
        </w:rPr>
        <w:t>пристрою</w:t>
      </w:r>
      <w:r w:rsidRPr="000977F7">
        <w:rPr>
          <w:rFonts w:asciiTheme="majorHAnsi" w:hAnsiTheme="majorHAnsi"/>
          <w:spacing w:val="-47"/>
          <w:sz w:val="20"/>
          <w:szCs w:val="20"/>
        </w:rPr>
        <w:t xml:space="preserve"> </w:t>
      </w:r>
      <w:r w:rsidRPr="000977F7">
        <w:rPr>
          <w:rFonts w:asciiTheme="majorHAnsi" w:hAnsiTheme="majorHAnsi"/>
          <w:sz w:val="20"/>
          <w:szCs w:val="20"/>
        </w:rPr>
        <w:t>перемикання швидкості чи подачі, установлення заданої</w:t>
      </w:r>
      <w:r w:rsidRPr="000977F7">
        <w:rPr>
          <w:rFonts w:asciiTheme="majorHAnsi" w:hAnsiTheme="majorHAnsi"/>
          <w:spacing w:val="-2"/>
          <w:sz w:val="20"/>
          <w:szCs w:val="20"/>
        </w:rPr>
        <w:t xml:space="preserve"> </w:t>
      </w:r>
      <w:r w:rsidRPr="000977F7">
        <w:rPr>
          <w:rFonts w:asciiTheme="majorHAnsi" w:hAnsiTheme="majorHAnsi"/>
          <w:sz w:val="20"/>
          <w:szCs w:val="20"/>
        </w:rPr>
        <w:t>температури</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3D0A158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46E9A5B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ТЕХНОЛОГІЧНЕ</w:t>
      </w:r>
      <w:r w:rsidRPr="000977F7">
        <w:rPr>
          <w:color w:val="auto"/>
          <w:spacing w:val="-6"/>
          <w:sz w:val="20"/>
          <w:szCs w:val="20"/>
        </w:rPr>
        <w:t xml:space="preserve"> </w:t>
      </w:r>
      <w:r w:rsidRPr="000977F7">
        <w:rPr>
          <w:color w:val="auto"/>
          <w:sz w:val="20"/>
          <w:szCs w:val="20"/>
        </w:rPr>
        <w:t>НАСТУПНИЦТВО</w:t>
      </w:r>
      <w:r w:rsidRPr="000977F7">
        <w:rPr>
          <w:color w:val="auto"/>
          <w:spacing w:val="-3"/>
          <w:sz w:val="20"/>
          <w:szCs w:val="20"/>
        </w:rPr>
        <w:t xml:space="preserve"> </w:t>
      </w:r>
      <w:r w:rsidRPr="000977F7">
        <w:rPr>
          <w:color w:val="auto"/>
          <w:sz w:val="20"/>
          <w:szCs w:val="20"/>
        </w:rPr>
        <w:t>ВИРОБУ –</w:t>
      </w:r>
    </w:p>
    <w:p w14:paraId="0C87B2CE" w14:textId="77777777" w:rsidR="0097612F" w:rsidRPr="000977F7" w:rsidRDefault="0097612F" w:rsidP="000977F7">
      <w:pPr>
        <w:pStyle w:val="af6"/>
        <w:tabs>
          <w:tab w:val="left" w:pos="284"/>
        </w:tabs>
        <w:spacing w:after="0"/>
        <w:ind w:left="170"/>
        <w:mirrorIndents/>
        <w:jc w:val="both"/>
        <w:rPr>
          <w:rFonts w:asciiTheme="majorHAnsi" w:hAnsiTheme="majorHAnsi"/>
          <w:spacing w:val="-3"/>
          <w:sz w:val="20"/>
          <w:szCs w:val="20"/>
        </w:rPr>
      </w:pPr>
      <w:r w:rsidRPr="000977F7">
        <w:rPr>
          <w:rFonts w:asciiTheme="majorHAnsi" w:hAnsiTheme="majorHAnsi"/>
          <w:spacing w:val="-2"/>
          <w:sz w:val="20"/>
          <w:szCs w:val="20"/>
        </w:rPr>
        <w:t>Сукупність</w:t>
      </w:r>
      <w:r w:rsidRPr="000977F7">
        <w:rPr>
          <w:rFonts w:asciiTheme="majorHAnsi" w:hAnsiTheme="majorHAnsi"/>
          <w:spacing w:val="-5"/>
          <w:sz w:val="20"/>
          <w:szCs w:val="20"/>
        </w:rPr>
        <w:t xml:space="preserve"> </w:t>
      </w:r>
      <w:r w:rsidRPr="000977F7">
        <w:rPr>
          <w:rFonts w:asciiTheme="majorHAnsi" w:hAnsiTheme="majorHAnsi"/>
          <w:spacing w:val="-2"/>
          <w:sz w:val="20"/>
          <w:szCs w:val="20"/>
        </w:rPr>
        <w:t>властивостей</w:t>
      </w:r>
      <w:r w:rsidRPr="000977F7">
        <w:rPr>
          <w:rFonts w:asciiTheme="majorHAnsi" w:hAnsiTheme="majorHAnsi"/>
          <w:spacing w:val="-6"/>
          <w:sz w:val="20"/>
          <w:szCs w:val="20"/>
        </w:rPr>
        <w:t xml:space="preserve"> </w:t>
      </w:r>
      <w:r w:rsidRPr="000977F7">
        <w:rPr>
          <w:rFonts w:asciiTheme="majorHAnsi" w:hAnsiTheme="majorHAnsi"/>
          <w:spacing w:val="-1"/>
          <w:sz w:val="20"/>
          <w:szCs w:val="20"/>
        </w:rPr>
        <w:t>виробу,</w:t>
      </w:r>
      <w:r w:rsidRPr="000977F7">
        <w:rPr>
          <w:rFonts w:asciiTheme="majorHAnsi" w:hAnsiTheme="majorHAnsi"/>
          <w:spacing w:val="-4"/>
          <w:sz w:val="20"/>
          <w:szCs w:val="20"/>
        </w:rPr>
        <w:t xml:space="preserve"> </w:t>
      </w:r>
      <w:r w:rsidRPr="000977F7">
        <w:rPr>
          <w:rFonts w:asciiTheme="majorHAnsi" w:hAnsiTheme="majorHAnsi"/>
          <w:spacing w:val="-1"/>
          <w:sz w:val="20"/>
          <w:szCs w:val="20"/>
        </w:rPr>
        <w:t>що</w:t>
      </w:r>
      <w:r w:rsidRPr="000977F7">
        <w:rPr>
          <w:rFonts w:asciiTheme="majorHAnsi" w:hAnsiTheme="majorHAnsi"/>
          <w:spacing w:val="-4"/>
          <w:sz w:val="20"/>
          <w:szCs w:val="20"/>
        </w:rPr>
        <w:t xml:space="preserve"> </w:t>
      </w:r>
      <w:r w:rsidRPr="000977F7">
        <w:rPr>
          <w:rFonts w:asciiTheme="majorHAnsi" w:hAnsiTheme="majorHAnsi"/>
          <w:spacing w:val="-1"/>
          <w:sz w:val="20"/>
          <w:szCs w:val="20"/>
        </w:rPr>
        <w:t>дозволяють</w:t>
      </w:r>
      <w:r w:rsidRPr="000977F7">
        <w:rPr>
          <w:rFonts w:asciiTheme="majorHAnsi" w:hAnsiTheme="majorHAnsi"/>
          <w:spacing w:val="-5"/>
          <w:sz w:val="20"/>
          <w:szCs w:val="20"/>
        </w:rPr>
        <w:t xml:space="preserve"> </w:t>
      </w:r>
      <w:r w:rsidRPr="000977F7">
        <w:rPr>
          <w:rFonts w:asciiTheme="majorHAnsi" w:hAnsiTheme="majorHAnsi"/>
          <w:spacing w:val="-1"/>
          <w:sz w:val="20"/>
          <w:szCs w:val="20"/>
        </w:rPr>
        <w:t>застосування</w:t>
      </w:r>
      <w:r w:rsidRPr="000977F7">
        <w:rPr>
          <w:rFonts w:asciiTheme="majorHAnsi" w:hAnsiTheme="majorHAnsi"/>
          <w:spacing w:val="1"/>
          <w:sz w:val="20"/>
          <w:szCs w:val="20"/>
        </w:rPr>
        <w:t xml:space="preserve"> </w:t>
      </w:r>
      <w:r w:rsidRPr="000977F7">
        <w:rPr>
          <w:rFonts w:asciiTheme="majorHAnsi" w:hAnsiTheme="majorHAnsi"/>
          <w:spacing w:val="-1"/>
          <w:sz w:val="20"/>
          <w:szCs w:val="20"/>
        </w:rPr>
        <w:t>та</w:t>
      </w:r>
      <w:r w:rsidRPr="000977F7">
        <w:rPr>
          <w:rFonts w:asciiTheme="majorHAnsi" w:hAnsiTheme="majorHAnsi"/>
          <w:spacing w:val="2"/>
          <w:sz w:val="20"/>
          <w:szCs w:val="20"/>
        </w:rPr>
        <w:t xml:space="preserve"> </w:t>
      </w:r>
      <w:r w:rsidRPr="000977F7">
        <w:rPr>
          <w:rFonts w:asciiTheme="majorHAnsi" w:hAnsiTheme="majorHAnsi"/>
          <w:spacing w:val="-1"/>
          <w:sz w:val="20"/>
          <w:szCs w:val="20"/>
        </w:rPr>
        <w:t>повторення</w:t>
      </w:r>
      <w:r w:rsidRPr="000977F7">
        <w:rPr>
          <w:rFonts w:asciiTheme="majorHAnsi" w:hAnsiTheme="majorHAnsi"/>
          <w:spacing w:val="2"/>
          <w:sz w:val="20"/>
          <w:szCs w:val="20"/>
        </w:rPr>
        <w:t xml:space="preserve"> </w:t>
      </w:r>
      <w:r w:rsidRPr="000977F7">
        <w:rPr>
          <w:rFonts w:asciiTheme="majorHAnsi" w:hAnsiTheme="majorHAnsi"/>
          <w:spacing w:val="-1"/>
          <w:sz w:val="20"/>
          <w:szCs w:val="20"/>
        </w:rPr>
        <w:t>технологічних методів</w:t>
      </w:r>
      <w:r w:rsidRPr="000977F7">
        <w:rPr>
          <w:rFonts w:asciiTheme="majorHAnsi" w:hAnsiTheme="majorHAnsi"/>
          <w:spacing w:val="2"/>
          <w:sz w:val="20"/>
          <w:szCs w:val="20"/>
        </w:rPr>
        <w:t xml:space="preserve"> </w:t>
      </w:r>
      <w:r w:rsidRPr="000977F7">
        <w:rPr>
          <w:rFonts w:asciiTheme="majorHAnsi" w:hAnsiTheme="majorHAnsi"/>
          <w:spacing w:val="-1"/>
          <w:sz w:val="20"/>
          <w:szCs w:val="20"/>
        </w:rPr>
        <w:t>виготов</w:t>
      </w:r>
      <w:r w:rsidRPr="000977F7">
        <w:rPr>
          <w:rFonts w:asciiTheme="majorHAnsi" w:hAnsiTheme="majorHAnsi"/>
          <w:spacing w:val="-2"/>
          <w:sz w:val="20"/>
          <w:szCs w:val="20"/>
        </w:rPr>
        <w:t>лення</w:t>
      </w:r>
      <w:r w:rsidRPr="000977F7">
        <w:rPr>
          <w:rFonts w:asciiTheme="majorHAnsi" w:hAnsiTheme="majorHAnsi"/>
          <w:spacing w:val="-10"/>
          <w:sz w:val="20"/>
          <w:szCs w:val="20"/>
        </w:rPr>
        <w:t xml:space="preserve"> </w:t>
      </w:r>
      <w:r w:rsidRPr="000977F7">
        <w:rPr>
          <w:rFonts w:asciiTheme="majorHAnsi" w:hAnsiTheme="majorHAnsi"/>
          <w:spacing w:val="-2"/>
          <w:sz w:val="20"/>
          <w:szCs w:val="20"/>
        </w:rPr>
        <w:t>складових</w:t>
      </w:r>
      <w:r w:rsidRPr="000977F7">
        <w:rPr>
          <w:rFonts w:asciiTheme="majorHAnsi" w:hAnsiTheme="majorHAnsi"/>
          <w:spacing w:val="-10"/>
          <w:sz w:val="20"/>
          <w:szCs w:val="20"/>
        </w:rPr>
        <w:t xml:space="preserve"> </w:t>
      </w:r>
      <w:r w:rsidRPr="000977F7">
        <w:rPr>
          <w:rFonts w:asciiTheme="majorHAnsi" w:hAnsiTheme="majorHAnsi"/>
          <w:spacing w:val="-1"/>
          <w:sz w:val="20"/>
          <w:szCs w:val="20"/>
        </w:rPr>
        <w:t>частин</w:t>
      </w:r>
      <w:r w:rsidRPr="000977F7">
        <w:rPr>
          <w:rFonts w:asciiTheme="majorHAnsi" w:hAnsiTheme="majorHAnsi"/>
          <w:spacing w:val="-9"/>
          <w:sz w:val="20"/>
          <w:szCs w:val="20"/>
        </w:rPr>
        <w:t xml:space="preserve"> </w:t>
      </w:r>
      <w:r w:rsidRPr="000977F7">
        <w:rPr>
          <w:rFonts w:asciiTheme="majorHAnsi" w:hAnsiTheme="majorHAnsi"/>
          <w:spacing w:val="-1"/>
          <w:sz w:val="20"/>
          <w:szCs w:val="20"/>
        </w:rPr>
        <w:t>та</w:t>
      </w:r>
      <w:r w:rsidRPr="000977F7">
        <w:rPr>
          <w:rFonts w:asciiTheme="majorHAnsi" w:hAnsiTheme="majorHAnsi"/>
          <w:spacing w:val="-9"/>
          <w:sz w:val="20"/>
          <w:szCs w:val="20"/>
        </w:rPr>
        <w:t xml:space="preserve"> </w:t>
      </w:r>
      <w:r w:rsidRPr="000977F7">
        <w:rPr>
          <w:rFonts w:asciiTheme="majorHAnsi" w:hAnsiTheme="majorHAnsi"/>
          <w:spacing w:val="-1"/>
          <w:sz w:val="20"/>
          <w:szCs w:val="20"/>
        </w:rPr>
        <w:t>їхніх</w:t>
      </w:r>
      <w:r w:rsidRPr="000977F7">
        <w:rPr>
          <w:rFonts w:asciiTheme="majorHAnsi" w:hAnsiTheme="majorHAnsi"/>
          <w:spacing w:val="-8"/>
          <w:sz w:val="20"/>
          <w:szCs w:val="20"/>
        </w:rPr>
        <w:t xml:space="preserve"> </w:t>
      </w:r>
      <w:r w:rsidRPr="000977F7">
        <w:rPr>
          <w:rFonts w:asciiTheme="majorHAnsi" w:hAnsiTheme="majorHAnsi"/>
          <w:spacing w:val="-1"/>
          <w:sz w:val="20"/>
          <w:szCs w:val="20"/>
        </w:rPr>
        <w:t>конструктивних</w:t>
      </w:r>
      <w:r w:rsidRPr="000977F7">
        <w:rPr>
          <w:rFonts w:asciiTheme="majorHAnsi" w:hAnsiTheme="majorHAnsi"/>
          <w:spacing w:val="-10"/>
          <w:sz w:val="20"/>
          <w:szCs w:val="20"/>
        </w:rPr>
        <w:t xml:space="preserve"> </w:t>
      </w:r>
      <w:r w:rsidRPr="000977F7">
        <w:rPr>
          <w:rFonts w:asciiTheme="majorHAnsi" w:hAnsiTheme="majorHAnsi"/>
          <w:spacing w:val="-1"/>
          <w:sz w:val="20"/>
          <w:szCs w:val="20"/>
        </w:rPr>
        <w:t>елеме</w:t>
      </w:r>
      <w:r w:rsidRPr="000977F7">
        <w:rPr>
          <w:rFonts w:asciiTheme="majorHAnsi" w:hAnsiTheme="majorHAnsi"/>
          <w:spacing w:val="-4"/>
          <w:sz w:val="20"/>
          <w:szCs w:val="20"/>
        </w:rPr>
        <w:t>нтів, властивих виробам даної класифікаційної групи</w:t>
      </w:r>
      <w:r w:rsidRPr="000977F7">
        <w:rPr>
          <w:rFonts w:asciiTheme="majorHAnsi" w:hAnsiTheme="majorHAnsi"/>
          <w:spacing w:val="-3"/>
          <w:sz w:val="20"/>
          <w:szCs w:val="20"/>
        </w:rPr>
        <w:t xml:space="preserve"> </w:t>
      </w:r>
    </w:p>
    <w:p w14:paraId="4CE34155"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2974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54E321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ТЕХНОЛОГІЧНЕ</w:t>
      </w:r>
      <w:r w:rsidRPr="000977F7">
        <w:rPr>
          <w:color w:val="auto"/>
          <w:spacing w:val="-6"/>
          <w:sz w:val="20"/>
          <w:szCs w:val="20"/>
        </w:rPr>
        <w:t xml:space="preserve"> </w:t>
      </w:r>
      <w:r w:rsidRPr="000977F7">
        <w:rPr>
          <w:color w:val="auto"/>
          <w:sz w:val="20"/>
          <w:szCs w:val="20"/>
        </w:rPr>
        <w:t>ОСНАЩЕННЯ</w:t>
      </w:r>
      <w:r w:rsidRPr="000977F7">
        <w:rPr>
          <w:color w:val="auto"/>
          <w:spacing w:val="-3"/>
          <w:sz w:val="20"/>
          <w:szCs w:val="20"/>
        </w:rPr>
        <w:t xml:space="preserve"> </w:t>
      </w:r>
      <w:r w:rsidRPr="000977F7">
        <w:rPr>
          <w:color w:val="auto"/>
          <w:sz w:val="20"/>
          <w:szCs w:val="20"/>
        </w:rPr>
        <w:t>–</w:t>
      </w:r>
    </w:p>
    <w:p w14:paraId="63E3AE5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TOOLING</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0A4E6C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Засоби технологічного спорядження, які доповнюють</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технологічне устаткування під час виконання певної</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r w:rsidRPr="000977F7">
        <w:rPr>
          <w:rFonts w:asciiTheme="majorHAnsi" w:hAnsiTheme="majorHAnsi"/>
          <w:spacing w:val="-2"/>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p>
    <w:p w14:paraId="413519B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2D290DC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Прикладами технологічного оснащення є різальний,</w:t>
      </w:r>
      <w:r w:rsidRPr="000977F7">
        <w:rPr>
          <w:rFonts w:asciiTheme="majorHAnsi" w:hAnsiTheme="majorHAnsi"/>
          <w:spacing w:val="1"/>
          <w:sz w:val="20"/>
          <w:szCs w:val="20"/>
        </w:rPr>
        <w:t xml:space="preserve"> </w:t>
      </w:r>
      <w:r w:rsidRPr="000977F7">
        <w:rPr>
          <w:rFonts w:asciiTheme="majorHAnsi" w:hAnsiTheme="majorHAnsi"/>
          <w:sz w:val="20"/>
          <w:szCs w:val="20"/>
        </w:rPr>
        <w:t>контрольно-вимірювальний інструмент, штампи, пристрої,</w:t>
      </w:r>
      <w:r w:rsidRPr="000977F7">
        <w:rPr>
          <w:rFonts w:asciiTheme="majorHAnsi" w:hAnsiTheme="majorHAnsi"/>
          <w:spacing w:val="-1"/>
          <w:sz w:val="20"/>
          <w:szCs w:val="20"/>
        </w:rPr>
        <w:t xml:space="preserve"> </w:t>
      </w:r>
      <w:r w:rsidRPr="000977F7">
        <w:rPr>
          <w:rFonts w:asciiTheme="majorHAnsi" w:hAnsiTheme="majorHAnsi"/>
          <w:sz w:val="20"/>
          <w:szCs w:val="20"/>
        </w:rPr>
        <w:t>прес-форми. ливарні</w:t>
      </w:r>
      <w:r w:rsidRPr="000977F7">
        <w:rPr>
          <w:rFonts w:asciiTheme="majorHAnsi" w:hAnsiTheme="majorHAnsi"/>
          <w:spacing w:val="1"/>
          <w:sz w:val="20"/>
          <w:szCs w:val="20"/>
        </w:rPr>
        <w:t xml:space="preserve"> </w:t>
      </w:r>
      <w:r w:rsidRPr="000977F7">
        <w:rPr>
          <w:rFonts w:asciiTheme="majorHAnsi" w:hAnsiTheme="majorHAnsi"/>
          <w:sz w:val="20"/>
          <w:szCs w:val="20"/>
        </w:rPr>
        <w:t>форми</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1B033669"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i/>
          <w:sz w:val="20"/>
          <w:szCs w:val="20"/>
        </w:rPr>
        <w:t>ДСТУ 2391 – 2010;</w:t>
      </w:r>
      <w:r w:rsidRPr="000977F7">
        <w:rPr>
          <w:rFonts w:asciiTheme="majorHAnsi" w:hAnsiTheme="majorHAnsi"/>
          <w:i/>
          <w:spacing w:val="1"/>
          <w:sz w:val="20"/>
          <w:szCs w:val="20"/>
        </w:rPr>
        <w:t xml:space="preserve"> </w:t>
      </w:r>
      <w:r w:rsidRPr="000977F7">
        <w:rPr>
          <w:rFonts w:asciiTheme="majorHAnsi" w:hAnsiTheme="majorHAnsi"/>
          <w:i/>
          <w:sz w:val="20"/>
          <w:szCs w:val="20"/>
        </w:rPr>
        <w:t>ДСТУ 2974 – 95;</w:t>
      </w:r>
      <w:r w:rsidRPr="000977F7">
        <w:rPr>
          <w:rFonts w:asciiTheme="majorHAnsi" w:hAnsiTheme="majorHAnsi"/>
          <w:i/>
          <w:spacing w:val="1"/>
          <w:sz w:val="20"/>
          <w:szCs w:val="20"/>
        </w:rPr>
        <w:t xml:space="preserve"> </w:t>
      </w:r>
      <w:r w:rsidRPr="000977F7">
        <w:rPr>
          <w:rFonts w:asciiTheme="majorHAnsi" w:hAnsiTheme="majorHAnsi"/>
          <w:i/>
          <w:sz w:val="20"/>
          <w:szCs w:val="20"/>
        </w:rPr>
        <w:t>ДСТУ 2960 – 94</w:t>
      </w:r>
      <w:r w:rsidRPr="000977F7">
        <w:rPr>
          <w:rFonts w:asciiTheme="majorHAnsi" w:hAnsiTheme="majorHAnsi"/>
          <w:i/>
          <w:spacing w:val="-47"/>
          <w:sz w:val="20"/>
          <w:szCs w:val="20"/>
        </w:rPr>
        <w:t xml:space="preserve"> </w:t>
      </w:r>
      <w:r w:rsidRPr="000977F7">
        <w:rPr>
          <w:rFonts w:asciiTheme="majorHAnsi" w:hAnsiTheme="majorHAnsi"/>
          <w:b/>
          <w:sz w:val="20"/>
          <w:szCs w:val="20"/>
        </w:rPr>
        <w:t xml:space="preserve">ТЕХНОЛОГІЧНЕ ПІДГОТОВЛЕННЯ </w:t>
      </w:r>
    </w:p>
    <w:p w14:paraId="654B11D0"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ВИРОБНИЦТВА –</w:t>
      </w:r>
    </w:p>
    <w:p w14:paraId="0BF7573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заходів, яка охоплює проектування технологічних процесів виробництва, вибір та розміщення</w:t>
      </w:r>
      <w:r w:rsidRPr="000977F7">
        <w:rPr>
          <w:rFonts w:asciiTheme="majorHAnsi" w:hAnsiTheme="majorHAnsi"/>
          <w:spacing w:val="1"/>
          <w:sz w:val="20"/>
          <w:szCs w:val="20"/>
        </w:rPr>
        <w:t xml:space="preserve"> </w:t>
      </w:r>
      <w:r w:rsidRPr="000977F7">
        <w:rPr>
          <w:rFonts w:asciiTheme="majorHAnsi" w:hAnsiTheme="majorHAnsi"/>
          <w:sz w:val="20"/>
          <w:szCs w:val="20"/>
        </w:rPr>
        <w:t>устаткування, визначення технологічного оснащення,</w:t>
      </w:r>
      <w:r w:rsidRPr="000977F7">
        <w:rPr>
          <w:rFonts w:asciiTheme="majorHAnsi" w:hAnsiTheme="majorHAnsi"/>
          <w:spacing w:val="1"/>
          <w:sz w:val="20"/>
          <w:szCs w:val="20"/>
        </w:rPr>
        <w:t xml:space="preserve"> </w:t>
      </w:r>
      <w:r w:rsidRPr="000977F7">
        <w:rPr>
          <w:rFonts w:asciiTheme="majorHAnsi" w:hAnsiTheme="majorHAnsi"/>
          <w:sz w:val="20"/>
          <w:szCs w:val="20"/>
        </w:rPr>
        <w:t>розроблення методів технічного контролю, нормування матеріально – технічних витрат і забезпечує випуск</w:t>
      </w:r>
      <w:r w:rsidRPr="000977F7">
        <w:rPr>
          <w:rFonts w:asciiTheme="majorHAnsi" w:hAnsiTheme="majorHAnsi"/>
          <w:spacing w:val="-47"/>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потрібного</w:t>
      </w:r>
      <w:r w:rsidRPr="000977F7">
        <w:rPr>
          <w:rFonts w:asciiTheme="majorHAnsi" w:hAnsiTheme="majorHAnsi"/>
          <w:spacing w:val="1"/>
          <w:sz w:val="20"/>
          <w:szCs w:val="20"/>
        </w:rPr>
        <w:t xml:space="preserve"> </w:t>
      </w:r>
      <w:r w:rsidRPr="000977F7">
        <w:rPr>
          <w:rFonts w:asciiTheme="majorHAnsi" w:hAnsiTheme="majorHAnsi"/>
          <w:sz w:val="20"/>
          <w:szCs w:val="20"/>
        </w:rPr>
        <w:t>рівня</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встановлених</w:t>
      </w:r>
      <w:r w:rsidRPr="000977F7">
        <w:rPr>
          <w:rFonts w:asciiTheme="majorHAnsi" w:hAnsiTheme="majorHAnsi"/>
          <w:spacing w:val="1"/>
          <w:sz w:val="20"/>
          <w:szCs w:val="20"/>
        </w:rPr>
        <w:t xml:space="preserve"> </w:t>
      </w:r>
      <w:r w:rsidRPr="000977F7">
        <w:rPr>
          <w:rFonts w:asciiTheme="majorHAnsi" w:hAnsiTheme="majorHAnsi"/>
          <w:sz w:val="20"/>
          <w:szCs w:val="20"/>
        </w:rPr>
        <w:t>термінів</w:t>
      </w:r>
      <w:r w:rsidRPr="000977F7">
        <w:rPr>
          <w:rFonts w:asciiTheme="majorHAnsi" w:hAnsiTheme="majorHAnsi"/>
          <w:spacing w:val="-2"/>
          <w:sz w:val="20"/>
          <w:szCs w:val="20"/>
        </w:rPr>
        <w:t xml:space="preserve"> </w:t>
      </w:r>
      <w:r w:rsidRPr="000977F7">
        <w:rPr>
          <w:rFonts w:asciiTheme="majorHAnsi" w:hAnsiTheme="majorHAnsi"/>
          <w:sz w:val="20"/>
          <w:szCs w:val="20"/>
        </w:rPr>
        <w:t>та обсягів</w:t>
      </w:r>
      <w:r w:rsidRPr="000977F7">
        <w:rPr>
          <w:rFonts w:asciiTheme="majorHAnsi" w:hAnsiTheme="majorHAnsi"/>
          <w:spacing w:val="-1"/>
          <w:sz w:val="20"/>
          <w:szCs w:val="20"/>
        </w:rPr>
        <w:t xml:space="preserve"> </w:t>
      </w:r>
      <w:r w:rsidRPr="000977F7">
        <w:rPr>
          <w:rFonts w:asciiTheme="majorHAnsi" w:hAnsiTheme="majorHAnsi"/>
          <w:sz w:val="20"/>
          <w:szCs w:val="20"/>
        </w:rPr>
        <w:t>випуску</w:t>
      </w:r>
    </w:p>
    <w:p w14:paraId="2AD8CB98"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2974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A07430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ТЕХНОЛОГІЧНЕ УСТАТКУВАННЯ –</w:t>
      </w:r>
      <w:r w:rsidRPr="000977F7">
        <w:rPr>
          <w:rFonts w:asciiTheme="majorHAnsi" w:hAnsiTheme="majorHAnsi"/>
          <w:b/>
          <w:spacing w:val="-47"/>
          <w:sz w:val="20"/>
          <w:szCs w:val="20"/>
        </w:rPr>
        <w:t xml:space="preserve"> </w:t>
      </w:r>
      <w:r w:rsidRPr="000977F7">
        <w:rPr>
          <w:rFonts w:asciiTheme="majorHAnsi" w:hAnsiTheme="majorHAnsi"/>
          <w:sz w:val="20"/>
          <w:szCs w:val="20"/>
        </w:rPr>
        <w:t>MANUFACTURING</w:t>
      </w:r>
      <w:r w:rsidRPr="000977F7">
        <w:rPr>
          <w:rFonts w:asciiTheme="majorHAnsi" w:hAnsiTheme="majorHAnsi"/>
          <w:spacing w:val="-1"/>
          <w:sz w:val="20"/>
          <w:szCs w:val="20"/>
        </w:rPr>
        <w:t xml:space="preserve"> </w:t>
      </w:r>
      <w:r w:rsidRPr="000977F7">
        <w:rPr>
          <w:rFonts w:asciiTheme="majorHAnsi" w:hAnsiTheme="majorHAnsi"/>
          <w:sz w:val="20"/>
          <w:szCs w:val="20"/>
        </w:rPr>
        <w:t>EQUIPMENT</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63A483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Засоби технологічного спорядження, в яких для виконання</w:t>
      </w:r>
      <w:r w:rsidRPr="000977F7">
        <w:rPr>
          <w:rFonts w:asciiTheme="majorHAnsi" w:hAnsiTheme="majorHAnsi"/>
          <w:spacing w:val="30"/>
          <w:sz w:val="20"/>
          <w:szCs w:val="20"/>
        </w:rPr>
        <w:t xml:space="preserve"> </w:t>
      </w:r>
      <w:r w:rsidRPr="000977F7">
        <w:rPr>
          <w:rFonts w:asciiTheme="majorHAnsi" w:hAnsiTheme="majorHAnsi"/>
          <w:sz w:val="20"/>
          <w:szCs w:val="20"/>
        </w:rPr>
        <w:t>певної</w:t>
      </w:r>
      <w:r w:rsidRPr="000977F7">
        <w:rPr>
          <w:rFonts w:asciiTheme="majorHAnsi" w:hAnsiTheme="majorHAnsi"/>
          <w:spacing w:val="28"/>
          <w:sz w:val="20"/>
          <w:szCs w:val="20"/>
        </w:rPr>
        <w:t xml:space="preserve"> </w:t>
      </w:r>
      <w:r w:rsidRPr="000977F7">
        <w:rPr>
          <w:rFonts w:asciiTheme="majorHAnsi" w:hAnsiTheme="majorHAnsi"/>
          <w:sz w:val="20"/>
          <w:szCs w:val="20"/>
        </w:rPr>
        <w:t>частини</w:t>
      </w:r>
      <w:r w:rsidRPr="000977F7">
        <w:rPr>
          <w:rFonts w:asciiTheme="majorHAnsi" w:hAnsiTheme="majorHAnsi"/>
          <w:spacing w:val="27"/>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30"/>
          <w:sz w:val="20"/>
          <w:szCs w:val="20"/>
        </w:rPr>
        <w:t xml:space="preserve"> </w:t>
      </w:r>
      <w:r w:rsidRPr="000977F7">
        <w:rPr>
          <w:rFonts w:asciiTheme="majorHAnsi" w:hAnsiTheme="majorHAnsi"/>
          <w:sz w:val="20"/>
          <w:szCs w:val="20"/>
        </w:rPr>
        <w:t>процесу</w:t>
      </w:r>
      <w:r w:rsidRPr="000977F7">
        <w:rPr>
          <w:rFonts w:asciiTheme="majorHAnsi" w:hAnsiTheme="majorHAnsi"/>
          <w:spacing w:val="27"/>
          <w:sz w:val="20"/>
          <w:szCs w:val="20"/>
        </w:rPr>
        <w:t xml:space="preserve"> </w:t>
      </w:r>
      <w:r w:rsidRPr="000977F7">
        <w:rPr>
          <w:rFonts w:asciiTheme="majorHAnsi" w:hAnsiTheme="majorHAnsi"/>
          <w:sz w:val="20"/>
          <w:szCs w:val="20"/>
        </w:rPr>
        <w:t>розміщують матеріали або заготовки, засоби дії на них, а</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2"/>
          <w:sz w:val="20"/>
          <w:szCs w:val="20"/>
        </w:rPr>
        <w:t xml:space="preserve"> </w:t>
      </w:r>
      <w:r w:rsidRPr="000977F7">
        <w:rPr>
          <w:rFonts w:asciiTheme="majorHAnsi" w:hAnsiTheme="majorHAnsi"/>
          <w:sz w:val="20"/>
          <w:szCs w:val="20"/>
        </w:rPr>
        <w:t>технологічне оснащення</w:t>
      </w:r>
    </w:p>
    <w:p w14:paraId="3948F7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 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F5D956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Прикладами</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ливарні</w:t>
      </w:r>
      <w:r w:rsidRPr="000977F7">
        <w:rPr>
          <w:rFonts w:asciiTheme="majorHAnsi" w:hAnsiTheme="majorHAnsi"/>
          <w:spacing w:val="-47"/>
          <w:sz w:val="20"/>
          <w:szCs w:val="20"/>
        </w:rPr>
        <w:t xml:space="preserve"> </w:t>
      </w:r>
      <w:r w:rsidRPr="000977F7">
        <w:rPr>
          <w:rFonts w:asciiTheme="majorHAnsi" w:hAnsiTheme="majorHAnsi"/>
          <w:sz w:val="20"/>
          <w:szCs w:val="20"/>
        </w:rPr>
        <w:t>машини, преси, верстати, печі, гальванічні ванни, випробувальні</w:t>
      </w:r>
      <w:r w:rsidRPr="000977F7">
        <w:rPr>
          <w:rFonts w:asciiTheme="majorHAnsi" w:hAnsiTheme="majorHAnsi"/>
          <w:spacing w:val="-2"/>
          <w:sz w:val="20"/>
          <w:szCs w:val="20"/>
        </w:rPr>
        <w:t xml:space="preserve"> </w:t>
      </w:r>
      <w:r w:rsidRPr="000977F7">
        <w:rPr>
          <w:rFonts w:asciiTheme="majorHAnsi" w:hAnsiTheme="majorHAnsi"/>
          <w:sz w:val="20"/>
          <w:szCs w:val="20"/>
        </w:rPr>
        <w:t>стенди</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043A302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2974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3"/>
          <w:sz w:val="20"/>
          <w:szCs w:val="20"/>
        </w:rPr>
        <w:t xml:space="preserve"> </w:t>
      </w:r>
      <w:r w:rsidRPr="000977F7">
        <w:rPr>
          <w:rFonts w:asciiTheme="majorHAnsi" w:hAnsiTheme="majorHAnsi"/>
          <w:i/>
          <w:sz w:val="20"/>
          <w:szCs w:val="20"/>
        </w:rPr>
        <w:t>95</w:t>
      </w:r>
    </w:p>
    <w:p w14:paraId="4755C21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ТЕХНОЛОГІЧНИЙ</w:t>
      </w:r>
      <w:r w:rsidRPr="000977F7">
        <w:rPr>
          <w:color w:val="auto"/>
          <w:spacing w:val="-4"/>
          <w:sz w:val="20"/>
          <w:szCs w:val="20"/>
        </w:rPr>
        <w:t xml:space="preserve"> </w:t>
      </w:r>
      <w:r w:rsidRPr="000977F7">
        <w:rPr>
          <w:color w:val="auto"/>
          <w:sz w:val="20"/>
          <w:szCs w:val="20"/>
        </w:rPr>
        <w:t>ДОКУМЕНТ</w:t>
      </w:r>
      <w:r w:rsidRPr="000977F7">
        <w:rPr>
          <w:color w:val="auto"/>
          <w:spacing w:val="-2"/>
          <w:sz w:val="20"/>
          <w:szCs w:val="20"/>
        </w:rPr>
        <w:t xml:space="preserve"> </w:t>
      </w:r>
      <w:r w:rsidRPr="000977F7">
        <w:rPr>
          <w:color w:val="auto"/>
          <w:sz w:val="20"/>
          <w:szCs w:val="20"/>
        </w:rPr>
        <w:t>–</w:t>
      </w:r>
    </w:p>
    <w:p w14:paraId="40041DF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Графічний</w:t>
      </w:r>
      <w:r w:rsidRPr="000977F7">
        <w:rPr>
          <w:rFonts w:asciiTheme="majorHAnsi" w:hAnsiTheme="majorHAnsi"/>
          <w:spacing w:val="21"/>
          <w:sz w:val="20"/>
          <w:szCs w:val="20"/>
        </w:rPr>
        <w:t xml:space="preserve"> </w:t>
      </w:r>
      <w:r w:rsidRPr="000977F7">
        <w:rPr>
          <w:rFonts w:asciiTheme="majorHAnsi" w:hAnsiTheme="majorHAnsi"/>
          <w:sz w:val="20"/>
          <w:szCs w:val="20"/>
        </w:rPr>
        <w:t>чи</w:t>
      </w:r>
      <w:r w:rsidRPr="000977F7">
        <w:rPr>
          <w:rFonts w:asciiTheme="majorHAnsi" w:hAnsiTheme="majorHAnsi"/>
          <w:spacing w:val="23"/>
          <w:sz w:val="20"/>
          <w:szCs w:val="20"/>
        </w:rPr>
        <w:t xml:space="preserve"> </w:t>
      </w:r>
      <w:r w:rsidRPr="000977F7">
        <w:rPr>
          <w:rFonts w:asciiTheme="majorHAnsi" w:hAnsiTheme="majorHAnsi"/>
          <w:sz w:val="20"/>
          <w:szCs w:val="20"/>
        </w:rPr>
        <w:t>текстовий</w:t>
      </w:r>
      <w:r w:rsidRPr="000977F7">
        <w:rPr>
          <w:rFonts w:asciiTheme="majorHAnsi" w:hAnsiTheme="majorHAnsi"/>
          <w:spacing w:val="21"/>
          <w:sz w:val="20"/>
          <w:szCs w:val="20"/>
        </w:rPr>
        <w:t xml:space="preserve"> </w:t>
      </w:r>
      <w:r w:rsidRPr="000977F7">
        <w:rPr>
          <w:rFonts w:asciiTheme="majorHAnsi" w:hAnsiTheme="majorHAnsi"/>
          <w:sz w:val="20"/>
          <w:szCs w:val="20"/>
        </w:rPr>
        <w:t>документ,</w:t>
      </w:r>
      <w:r w:rsidRPr="000977F7">
        <w:rPr>
          <w:rFonts w:asciiTheme="majorHAnsi" w:hAnsiTheme="majorHAnsi"/>
          <w:spacing w:val="22"/>
          <w:sz w:val="20"/>
          <w:szCs w:val="20"/>
        </w:rPr>
        <w:t xml:space="preserve"> </w:t>
      </w:r>
      <w:r w:rsidRPr="000977F7">
        <w:rPr>
          <w:rFonts w:asciiTheme="majorHAnsi" w:hAnsiTheme="majorHAnsi"/>
          <w:sz w:val="20"/>
          <w:szCs w:val="20"/>
        </w:rPr>
        <w:t>який</w:t>
      </w:r>
      <w:r w:rsidRPr="000977F7">
        <w:rPr>
          <w:rFonts w:asciiTheme="majorHAnsi" w:hAnsiTheme="majorHAnsi"/>
          <w:spacing w:val="21"/>
          <w:sz w:val="20"/>
          <w:szCs w:val="20"/>
        </w:rPr>
        <w:t xml:space="preserve"> </w:t>
      </w:r>
      <w:r w:rsidRPr="000977F7">
        <w:rPr>
          <w:rFonts w:asciiTheme="majorHAnsi" w:hAnsiTheme="majorHAnsi"/>
          <w:sz w:val="20"/>
          <w:szCs w:val="20"/>
        </w:rPr>
        <w:t>окремо</w:t>
      </w:r>
      <w:r w:rsidRPr="000977F7">
        <w:rPr>
          <w:rFonts w:asciiTheme="majorHAnsi" w:hAnsiTheme="majorHAnsi"/>
          <w:spacing w:val="23"/>
          <w:sz w:val="20"/>
          <w:szCs w:val="20"/>
        </w:rPr>
        <w:t xml:space="preserve"> </w:t>
      </w:r>
      <w:r w:rsidRPr="000977F7">
        <w:rPr>
          <w:rFonts w:asciiTheme="majorHAnsi" w:hAnsiTheme="majorHAnsi"/>
          <w:sz w:val="20"/>
          <w:szCs w:val="20"/>
        </w:rPr>
        <w:t>чи</w:t>
      </w:r>
      <w:r w:rsidRPr="000977F7">
        <w:rPr>
          <w:rFonts w:asciiTheme="majorHAnsi" w:hAnsiTheme="majorHAnsi"/>
          <w:spacing w:val="23"/>
          <w:sz w:val="20"/>
          <w:szCs w:val="20"/>
        </w:rPr>
        <w:t xml:space="preserve"> </w:t>
      </w:r>
      <w:r w:rsidRPr="000977F7">
        <w:rPr>
          <w:rFonts w:asciiTheme="majorHAnsi" w:hAnsiTheme="majorHAnsi"/>
          <w:sz w:val="20"/>
          <w:szCs w:val="20"/>
        </w:rPr>
        <w:t>у</w:t>
      </w:r>
      <w:r w:rsidRPr="000977F7">
        <w:rPr>
          <w:rFonts w:asciiTheme="majorHAnsi" w:hAnsiTheme="majorHAnsi"/>
          <w:spacing w:val="-47"/>
          <w:sz w:val="20"/>
          <w:szCs w:val="20"/>
        </w:rPr>
        <w:t xml:space="preserve"> </w:t>
      </w:r>
      <w:r w:rsidRPr="000977F7">
        <w:rPr>
          <w:rFonts w:asciiTheme="majorHAnsi" w:hAnsiTheme="majorHAnsi"/>
          <w:sz w:val="20"/>
          <w:szCs w:val="20"/>
        </w:rPr>
        <w:t>сукупності</w:t>
      </w:r>
      <w:r w:rsidRPr="000977F7">
        <w:rPr>
          <w:rFonts w:asciiTheme="majorHAnsi" w:hAnsiTheme="majorHAnsi"/>
          <w:spacing w:val="22"/>
          <w:sz w:val="20"/>
          <w:szCs w:val="20"/>
        </w:rPr>
        <w:t xml:space="preserve"> </w:t>
      </w:r>
      <w:r w:rsidRPr="000977F7">
        <w:rPr>
          <w:rFonts w:asciiTheme="majorHAnsi" w:hAnsiTheme="majorHAnsi"/>
          <w:sz w:val="20"/>
          <w:szCs w:val="20"/>
        </w:rPr>
        <w:t>з</w:t>
      </w:r>
      <w:r w:rsidRPr="000977F7">
        <w:rPr>
          <w:rFonts w:asciiTheme="majorHAnsi" w:hAnsiTheme="majorHAnsi"/>
          <w:spacing w:val="24"/>
          <w:sz w:val="20"/>
          <w:szCs w:val="20"/>
        </w:rPr>
        <w:t xml:space="preserve"> </w:t>
      </w:r>
      <w:r w:rsidRPr="000977F7">
        <w:rPr>
          <w:rFonts w:asciiTheme="majorHAnsi" w:hAnsiTheme="majorHAnsi"/>
          <w:sz w:val="20"/>
          <w:szCs w:val="20"/>
        </w:rPr>
        <w:t>іншими</w:t>
      </w:r>
      <w:r w:rsidRPr="000977F7">
        <w:rPr>
          <w:rFonts w:asciiTheme="majorHAnsi" w:hAnsiTheme="majorHAnsi"/>
          <w:spacing w:val="22"/>
          <w:sz w:val="20"/>
          <w:szCs w:val="20"/>
        </w:rPr>
        <w:t xml:space="preserve"> </w:t>
      </w:r>
      <w:r w:rsidRPr="000977F7">
        <w:rPr>
          <w:rFonts w:asciiTheme="majorHAnsi" w:hAnsiTheme="majorHAnsi"/>
          <w:sz w:val="20"/>
          <w:szCs w:val="20"/>
        </w:rPr>
        <w:t>документами</w:t>
      </w:r>
      <w:r w:rsidRPr="000977F7">
        <w:rPr>
          <w:rFonts w:asciiTheme="majorHAnsi" w:hAnsiTheme="majorHAnsi"/>
          <w:spacing w:val="22"/>
          <w:sz w:val="20"/>
          <w:szCs w:val="20"/>
        </w:rPr>
        <w:t xml:space="preserve"> </w:t>
      </w:r>
      <w:r w:rsidRPr="000977F7">
        <w:rPr>
          <w:rFonts w:asciiTheme="majorHAnsi" w:hAnsiTheme="majorHAnsi"/>
          <w:sz w:val="20"/>
          <w:szCs w:val="20"/>
        </w:rPr>
        <w:t>визначає</w:t>
      </w:r>
      <w:r w:rsidRPr="000977F7">
        <w:rPr>
          <w:rFonts w:asciiTheme="majorHAnsi" w:hAnsiTheme="majorHAnsi"/>
          <w:spacing w:val="24"/>
          <w:sz w:val="20"/>
          <w:szCs w:val="20"/>
        </w:rPr>
        <w:t xml:space="preserve"> </w:t>
      </w:r>
      <w:r w:rsidRPr="000977F7">
        <w:rPr>
          <w:rFonts w:asciiTheme="majorHAnsi" w:hAnsiTheme="majorHAnsi"/>
          <w:sz w:val="20"/>
          <w:szCs w:val="20"/>
        </w:rPr>
        <w:t>технологічний</w:t>
      </w:r>
      <w:r w:rsidRPr="000977F7">
        <w:rPr>
          <w:rFonts w:asciiTheme="majorHAnsi" w:hAnsiTheme="majorHAnsi"/>
          <w:spacing w:val="2"/>
          <w:sz w:val="20"/>
          <w:szCs w:val="20"/>
        </w:rPr>
        <w:t xml:space="preserve"> </w:t>
      </w:r>
      <w:r w:rsidRPr="000977F7">
        <w:rPr>
          <w:rFonts w:asciiTheme="majorHAnsi" w:hAnsiTheme="majorHAnsi"/>
          <w:sz w:val="20"/>
          <w:szCs w:val="20"/>
        </w:rPr>
        <w:t>процес</w:t>
      </w:r>
      <w:r w:rsidRPr="000977F7">
        <w:rPr>
          <w:rFonts w:asciiTheme="majorHAnsi" w:hAnsiTheme="majorHAnsi"/>
          <w:spacing w:val="3"/>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операцію</w:t>
      </w:r>
      <w:r w:rsidRPr="000977F7">
        <w:rPr>
          <w:rFonts w:asciiTheme="majorHAnsi" w:hAnsiTheme="majorHAnsi"/>
          <w:spacing w:val="3"/>
          <w:sz w:val="20"/>
          <w:szCs w:val="20"/>
        </w:rPr>
        <w:t xml:space="preserve"> </w:t>
      </w:r>
      <w:r w:rsidRPr="000977F7">
        <w:rPr>
          <w:rFonts w:asciiTheme="majorHAnsi" w:hAnsiTheme="majorHAnsi"/>
          <w:sz w:val="20"/>
          <w:szCs w:val="20"/>
        </w:rPr>
        <w:t>виготовлення</w:t>
      </w:r>
      <w:r w:rsidRPr="000977F7">
        <w:rPr>
          <w:rFonts w:asciiTheme="majorHAnsi" w:hAnsiTheme="majorHAnsi"/>
          <w:spacing w:val="2"/>
          <w:sz w:val="20"/>
          <w:szCs w:val="20"/>
        </w:rPr>
        <w:t xml:space="preserve"> </w:t>
      </w:r>
      <w:r w:rsidRPr="000977F7">
        <w:rPr>
          <w:rFonts w:asciiTheme="majorHAnsi" w:hAnsiTheme="majorHAnsi"/>
          <w:sz w:val="20"/>
          <w:szCs w:val="20"/>
        </w:rPr>
        <w:t>виробу</w:t>
      </w:r>
    </w:p>
    <w:p w14:paraId="78FD4664"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2391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2010</w:t>
      </w:r>
    </w:p>
    <w:p w14:paraId="2782721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ТЕХНОЛОГІЧНИЙ</w:t>
      </w:r>
      <w:r w:rsidRPr="000977F7">
        <w:rPr>
          <w:color w:val="auto"/>
          <w:spacing w:val="-4"/>
          <w:sz w:val="20"/>
          <w:szCs w:val="20"/>
        </w:rPr>
        <w:t xml:space="preserve"> </w:t>
      </w:r>
      <w:r w:rsidRPr="000977F7">
        <w:rPr>
          <w:color w:val="auto"/>
          <w:sz w:val="20"/>
          <w:szCs w:val="20"/>
        </w:rPr>
        <w:t>ЗАХИСТ</w:t>
      </w:r>
      <w:r w:rsidRPr="000977F7">
        <w:rPr>
          <w:color w:val="auto"/>
          <w:spacing w:val="-3"/>
          <w:sz w:val="20"/>
          <w:szCs w:val="20"/>
        </w:rPr>
        <w:t xml:space="preserve"> </w:t>
      </w:r>
      <w:r w:rsidRPr="000977F7">
        <w:rPr>
          <w:color w:val="auto"/>
          <w:sz w:val="20"/>
          <w:szCs w:val="20"/>
        </w:rPr>
        <w:t>–</w:t>
      </w:r>
    </w:p>
    <w:p w14:paraId="5260080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Передбачена в технічному проекті підприємства система (пристрій, елемент), призначена для забезпечення</w:t>
      </w:r>
      <w:r w:rsidRPr="000977F7">
        <w:rPr>
          <w:rFonts w:asciiTheme="majorHAnsi" w:hAnsiTheme="majorHAnsi"/>
          <w:spacing w:val="-2"/>
          <w:sz w:val="20"/>
          <w:szCs w:val="20"/>
        </w:rPr>
        <w:t xml:space="preserve"> </w:t>
      </w:r>
      <w:r w:rsidRPr="000977F7">
        <w:rPr>
          <w:rFonts w:asciiTheme="majorHAnsi" w:hAnsiTheme="majorHAnsi"/>
          <w:sz w:val="20"/>
          <w:szCs w:val="20"/>
        </w:rPr>
        <w:t>безпеки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аварійній</w:t>
      </w:r>
      <w:r w:rsidRPr="000977F7">
        <w:rPr>
          <w:rFonts w:asciiTheme="majorHAnsi" w:hAnsiTheme="majorHAnsi"/>
          <w:spacing w:val="-2"/>
          <w:sz w:val="20"/>
          <w:szCs w:val="20"/>
        </w:rPr>
        <w:t xml:space="preserve"> </w:t>
      </w:r>
      <w:r w:rsidRPr="000977F7">
        <w:rPr>
          <w:rFonts w:asciiTheme="majorHAnsi" w:hAnsiTheme="majorHAnsi"/>
          <w:sz w:val="20"/>
          <w:szCs w:val="20"/>
        </w:rPr>
        <w:t>ситуації</w:t>
      </w:r>
    </w:p>
    <w:p w14:paraId="4920609D"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2156 - 93</w:t>
      </w:r>
    </w:p>
    <w:p w14:paraId="7A2734B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ТЕХНОЛОГІЧНИЙ</w:t>
      </w:r>
      <w:r w:rsidRPr="000977F7">
        <w:rPr>
          <w:color w:val="auto"/>
          <w:spacing w:val="-5"/>
          <w:sz w:val="20"/>
          <w:szCs w:val="20"/>
        </w:rPr>
        <w:t xml:space="preserve"> </w:t>
      </w:r>
      <w:r w:rsidRPr="000977F7">
        <w:rPr>
          <w:color w:val="auto"/>
          <w:sz w:val="20"/>
          <w:szCs w:val="20"/>
        </w:rPr>
        <w:t>КОМПЛЕКС</w:t>
      </w:r>
      <w:r w:rsidRPr="000977F7">
        <w:rPr>
          <w:color w:val="auto"/>
          <w:spacing w:val="-2"/>
          <w:sz w:val="20"/>
          <w:szCs w:val="20"/>
        </w:rPr>
        <w:t xml:space="preserve"> </w:t>
      </w:r>
      <w:r w:rsidRPr="000977F7">
        <w:rPr>
          <w:color w:val="auto"/>
          <w:sz w:val="20"/>
          <w:szCs w:val="20"/>
        </w:rPr>
        <w:t>–</w:t>
      </w:r>
    </w:p>
    <w:p w14:paraId="4D1EF7F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TECHNOLOGICAL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COMPLEX</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381CDA7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функціонально</w:t>
      </w:r>
      <w:r w:rsidRPr="000977F7">
        <w:rPr>
          <w:rFonts w:asciiTheme="majorHAnsi" w:hAnsiTheme="majorHAnsi"/>
          <w:spacing w:val="1"/>
          <w:sz w:val="20"/>
          <w:szCs w:val="20"/>
        </w:rPr>
        <w:t xml:space="preserve"> </w:t>
      </w:r>
      <w:r w:rsidRPr="000977F7">
        <w:rPr>
          <w:rFonts w:asciiTheme="majorHAnsi" w:hAnsiTheme="majorHAnsi"/>
          <w:sz w:val="20"/>
          <w:szCs w:val="20"/>
        </w:rPr>
        <w:t>взаємозв’язаних</w:t>
      </w:r>
      <w:r w:rsidRPr="000977F7">
        <w:rPr>
          <w:rFonts w:asciiTheme="majorHAnsi" w:hAnsiTheme="majorHAnsi"/>
          <w:spacing w:val="1"/>
          <w:sz w:val="20"/>
          <w:szCs w:val="20"/>
        </w:rPr>
        <w:t xml:space="preserve"> </w:t>
      </w:r>
      <w:r w:rsidRPr="000977F7">
        <w:rPr>
          <w:rFonts w:asciiTheme="majorHAnsi" w:hAnsiTheme="majorHAnsi"/>
          <w:sz w:val="20"/>
          <w:szCs w:val="20"/>
        </w:rPr>
        <w:t>засобів</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 оснащення для виконання в регламентованих умовах виробництва заданих технологічних</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r w:rsidRPr="000977F7">
        <w:rPr>
          <w:rFonts w:asciiTheme="majorHAnsi" w:hAnsiTheme="majorHAnsi"/>
          <w:spacing w:val="-2"/>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операцій</w:t>
      </w:r>
    </w:p>
    <w:p w14:paraId="45F5BF2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2470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7FB21BC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ТЕХНОЛОГІЧНИЙ</w:t>
      </w:r>
      <w:r w:rsidRPr="000977F7">
        <w:rPr>
          <w:color w:val="auto"/>
          <w:spacing w:val="-4"/>
          <w:sz w:val="20"/>
          <w:szCs w:val="20"/>
        </w:rPr>
        <w:t xml:space="preserve"> </w:t>
      </w:r>
      <w:r w:rsidRPr="000977F7">
        <w:rPr>
          <w:color w:val="auto"/>
          <w:sz w:val="20"/>
          <w:szCs w:val="20"/>
        </w:rPr>
        <w:t>КОНТРОЛЬ</w:t>
      </w:r>
      <w:r w:rsidRPr="000977F7">
        <w:rPr>
          <w:color w:val="auto"/>
          <w:spacing w:val="-3"/>
          <w:sz w:val="20"/>
          <w:szCs w:val="20"/>
        </w:rPr>
        <w:t xml:space="preserve"> </w:t>
      </w:r>
      <w:r w:rsidRPr="000977F7">
        <w:rPr>
          <w:color w:val="auto"/>
          <w:sz w:val="20"/>
          <w:szCs w:val="20"/>
        </w:rPr>
        <w:t>–</w:t>
      </w:r>
    </w:p>
    <w:p w14:paraId="6EE12D8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 відповідності конструкції виробу встановленим вимогам до його виробничої, експлуатаційної і</w:t>
      </w:r>
      <w:r w:rsidRPr="000977F7">
        <w:rPr>
          <w:rFonts w:asciiTheme="majorHAnsi" w:hAnsiTheme="majorHAnsi"/>
          <w:spacing w:val="1"/>
          <w:sz w:val="20"/>
          <w:szCs w:val="20"/>
        </w:rPr>
        <w:t xml:space="preserve"> </w:t>
      </w:r>
      <w:r w:rsidRPr="000977F7">
        <w:rPr>
          <w:rFonts w:asciiTheme="majorHAnsi" w:hAnsiTheme="majorHAnsi"/>
          <w:sz w:val="20"/>
          <w:szCs w:val="20"/>
        </w:rPr>
        <w:t>ремонтної технологічності, можливості застосування</w:t>
      </w:r>
      <w:r w:rsidRPr="000977F7">
        <w:rPr>
          <w:rFonts w:asciiTheme="majorHAnsi" w:hAnsiTheme="majorHAnsi"/>
          <w:spacing w:val="1"/>
          <w:sz w:val="20"/>
          <w:szCs w:val="20"/>
        </w:rPr>
        <w:t xml:space="preserve"> </w:t>
      </w:r>
      <w:r w:rsidRPr="000977F7">
        <w:rPr>
          <w:rFonts w:asciiTheme="majorHAnsi" w:hAnsiTheme="majorHAnsi"/>
          <w:sz w:val="20"/>
          <w:szCs w:val="20"/>
        </w:rPr>
        <w:t>раціональних</w:t>
      </w:r>
      <w:r w:rsidRPr="000977F7">
        <w:rPr>
          <w:rFonts w:asciiTheme="majorHAnsi" w:hAnsiTheme="majorHAnsi"/>
          <w:spacing w:val="1"/>
          <w:sz w:val="20"/>
          <w:szCs w:val="20"/>
        </w:rPr>
        <w:t xml:space="preserve"> </w:t>
      </w:r>
      <w:r w:rsidRPr="000977F7">
        <w:rPr>
          <w:rFonts w:asciiTheme="majorHAnsi" w:hAnsiTheme="majorHAnsi"/>
          <w:sz w:val="20"/>
          <w:szCs w:val="20"/>
        </w:rPr>
        <w:t>методів</w:t>
      </w:r>
      <w:r w:rsidRPr="000977F7">
        <w:rPr>
          <w:rFonts w:asciiTheme="majorHAnsi" w:hAnsiTheme="majorHAnsi"/>
          <w:spacing w:val="1"/>
          <w:sz w:val="20"/>
          <w:szCs w:val="20"/>
        </w:rPr>
        <w:t xml:space="preserve"> </w:t>
      </w:r>
      <w:r w:rsidRPr="000977F7">
        <w:rPr>
          <w:rFonts w:asciiTheme="majorHAnsi" w:hAnsiTheme="majorHAnsi"/>
          <w:sz w:val="20"/>
          <w:szCs w:val="20"/>
        </w:rPr>
        <w:t>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урахуванням</w:t>
      </w:r>
      <w:r w:rsidRPr="000977F7">
        <w:rPr>
          <w:rFonts w:asciiTheme="majorHAnsi" w:hAnsiTheme="majorHAnsi"/>
          <w:spacing w:val="1"/>
          <w:sz w:val="20"/>
          <w:szCs w:val="20"/>
        </w:rPr>
        <w:t xml:space="preserve"> </w:t>
      </w:r>
      <w:r w:rsidRPr="000977F7">
        <w:rPr>
          <w:rFonts w:asciiTheme="majorHAnsi" w:hAnsiTheme="majorHAnsi"/>
          <w:sz w:val="20"/>
          <w:szCs w:val="20"/>
        </w:rPr>
        <w:t>обсягу випуску виробів та визначеної номенклатури</w:t>
      </w:r>
      <w:r w:rsidRPr="000977F7">
        <w:rPr>
          <w:rFonts w:asciiTheme="majorHAnsi" w:hAnsiTheme="majorHAnsi"/>
          <w:spacing w:val="1"/>
          <w:sz w:val="20"/>
          <w:szCs w:val="20"/>
        </w:rPr>
        <w:t xml:space="preserve"> </w:t>
      </w:r>
      <w:r w:rsidRPr="000977F7">
        <w:rPr>
          <w:rFonts w:asciiTheme="majorHAnsi" w:hAnsiTheme="majorHAnsi"/>
          <w:sz w:val="20"/>
          <w:szCs w:val="20"/>
        </w:rPr>
        <w:t>застосованих</w:t>
      </w:r>
      <w:r w:rsidRPr="000977F7">
        <w:rPr>
          <w:rFonts w:asciiTheme="majorHAnsi" w:hAnsiTheme="majorHAnsi"/>
          <w:spacing w:val="-2"/>
          <w:sz w:val="20"/>
          <w:szCs w:val="20"/>
        </w:rPr>
        <w:t xml:space="preserve"> </w:t>
      </w:r>
      <w:r w:rsidRPr="000977F7">
        <w:rPr>
          <w:rFonts w:asciiTheme="majorHAnsi" w:hAnsiTheme="majorHAnsi"/>
          <w:sz w:val="20"/>
          <w:szCs w:val="20"/>
        </w:rPr>
        <w:t>матеріалів</w:t>
      </w:r>
    </w:p>
    <w:p w14:paraId="4F9CC51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4C42325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ТЕХНОЛОГІЧНИЙ</w:t>
      </w:r>
      <w:r w:rsidRPr="000977F7">
        <w:rPr>
          <w:color w:val="auto"/>
          <w:spacing w:val="-5"/>
          <w:sz w:val="20"/>
          <w:szCs w:val="20"/>
        </w:rPr>
        <w:t xml:space="preserve"> </w:t>
      </w:r>
      <w:r w:rsidRPr="000977F7">
        <w:rPr>
          <w:color w:val="auto"/>
          <w:sz w:val="20"/>
          <w:szCs w:val="20"/>
        </w:rPr>
        <w:t>МАРШРУТ</w:t>
      </w:r>
      <w:r w:rsidRPr="000977F7">
        <w:rPr>
          <w:color w:val="auto"/>
          <w:spacing w:val="-3"/>
          <w:sz w:val="20"/>
          <w:szCs w:val="20"/>
        </w:rPr>
        <w:t xml:space="preserve"> </w:t>
      </w:r>
      <w:r w:rsidRPr="000977F7">
        <w:rPr>
          <w:color w:val="auto"/>
          <w:sz w:val="20"/>
          <w:szCs w:val="20"/>
        </w:rPr>
        <w:t>–</w:t>
      </w:r>
    </w:p>
    <w:p w14:paraId="229105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Послідовність проходження предметом праці виробничих</w:t>
      </w:r>
      <w:r w:rsidRPr="000977F7">
        <w:rPr>
          <w:rFonts w:asciiTheme="majorHAnsi" w:hAnsiTheme="majorHAnsi"/>
          <w:spacing w:val="1"/>
          <w:sz w:val="20"/>
          <w:szCs w:val="20"/>
        </w:rPr>
        <w:t xml:space="preserve"> </w:t>
      </w:r>
      <w:r w:rsidRPr="000977F7">
        <w:rPr>
          <w:rFonts w:asciiTheme="majorHAnsi" w:hAnsiTheme="majorHAnsi"/>
          <w:sz w:val="20"/>
          <w:szCs w:val="20"/>
        </w:rPr>
        <w:t>підрозділів</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здійснення</w:t>
      </w:r>
      <w:r w:rsidRPr="000977F7">
        <w:rPr>
          <w:rFonts w:asciiTheme="majorHAnsi" w:hAnsiTheme="majorHAnsi"/>
          <w:spacing w:val="1"/>
          <w:sz w:val="20"/>
          <w:szCs w:val="20"/>
        </w:rPr>
        <w:t xml:space="preserve"> </w:t>
      </w:r>
      <w:r w:rsidRPr="000977F7">
        <w:rPr>
          <w:rFonts w:asciiTheme="majorHAnsi" w:hAnsiTheme="majorHAnsi"/>
          <w:sz w:val="20"/>
          <w:szCs w:val="20"/>
        </w:rPr>
        <w:t>певного виробничого</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p>
    <w:p w14:paraId="309D06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131F83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Розрізняють міжцеховий та цеховий технологічні маршрути</w:t>
      </w:r>
    </w:p>
    <w:p w14:paraId="3B14B5B3"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2960 – 94; ДСТУ 2974 – 95</w:t>
      </w:r>
      <w:r w:rsidRPr="000977F7">
        <w:rPr>
          <w:rFonts w:asciiTheme="majorHAnsi" w:hAnsiTheme="majorHAnsi"/>
          <w:i/>
          <w:spacing w:val="-47"/>
          <w:sz w:val="20"/>
          <w:szCs w:val="20"/>
        </w:rPr>
        <w:t xml:space="preserve"> </w:t>
      </w:r>
    </w:p>
    <w:p w14:paraId="248B5A03"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ТЕХНОЛОГІЧНИЙ МЕТОД –</w:t>
      </w:r>
      <w:r w:rsidRPr="000977F7">
        <w:rPr>
          <w:rFonts w:asciiTheme="majorHAnsi" w:hAnsiTheme="majorHAnsi"/>
          <w:b/>
          <w:spacing w:val="-47"/>
          <w:sz w:val="20"/>
          <w:szCs w:val="20"/>
        </w:rPr>
        <w:t xml:space="preserve"> </w:t>
      </w:r>
    </w:p>
    <w:p w14:paraId="1108F198"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TECHNOLOGICAL</w:t>
      </w:r>
      <w:r w:rsidRPr="000977F7">
        <w:rPr>
          <w:rFonts w:asciiTheme="majorHAnsi" w:hAnsiTheme="majorHAnsi"/>
          <w:spacing w:val="-3"/>
          <w:sz w:val="20"/>
          <w:szCs w:val="20"/>
        </w:rPr>
        <w:t xml:space="preserve"> </w:t>
      </w:r>
      <w:r w:rsidRPr="000977F7">
        <w:rPr>
          <w:rFonts w:asciiTheme="majorHAnsi" w:hAnsiTheme="majorHAnsi"/>
          <w:sz w:val="20"/>
          <w:szCs w:val="20"/>
        </w:rPr>
        <w:t>METHOD</w:t>
      </w:r>
      <w:r w:rsidRPr="000977F7">
        <w:rPr>
          <w:rFonts w:asciiTheme="majorHAnsi" w:hAnsiTheme="majorHAnsi"/>
          <w:spacing w:val="1"/>
          <w:sz w:val="20"/>
          <w:szCs w:val="20"/>
        </w:rPr>
        <w:t xml:space="preserve"> -</w:t>
      </w:r>
    </w:p>
    <w:p w14:paraId="1F29192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правил, які визначають послідовність та</w:t>
      </w:r>
      <w:r w:rsidRPr="000977F7">
        <w:rPr>
          <w:rFonts w:asciiTheme="majorHAnsi" w:hAnsiTheme="majorHAnsi"/>
          <w:spacing w:val="1"/>
          <w:sz w:val="20"/>
          <w:szCs w:val="20"/>
        </w:rPr>
        <w:t xml:space="preserve"> </w:t>
      </w:r>
      <w:r w:rsidRPr="000977F7">
        <w:rPr>
          <w:rFonts w:asciiTheme="majorHAnsi" w:hAnsiTheme="majorHAnsi"/>
          <w:sz w:val="20"/>
          <w:szCs w:val="20"/>
        </w:rPr>
        <w:t>зміст дій при</w:t>
      </w:r>
      <w:r w:rsidRPr="000977F7">
        <w:rPr>
          <w:rFonts w:asciiTheme="majorHAnsi" w:hAnsiTheme="majorHAnsi"/>
          <w:spacing w:val="1"/>
          <w:sz w:val="20"/>
          <w:szCs w:val="20"/>
        </w:rPr>
        <w:t xml:space="preserve"> </w:t>
      </w:r>
      <w:r w:rsidRPr="000977F7">
        <w:rPr>
          <w:rFonts w:asciiTheme="majorHAnsi" w:hAnsiTheme="majorHAnsi"/>
          <w:sz w:val="20"/>
          <w:szCs w:val="20"/>
        </w:rPr>
        <w:t>виконанні формоутворення,</w:t>
      </w:r>
      <w:r w:rsidRPr="000977F7">
        <w:rPr>
          <w:rFonts w:asciiTheme="majorHAnsi" w:hAnsiTheme="majorHAnsi"/>
          <w:spacing w:val="50"/>
          <w:sz w:val="20"/>
          <w:szCs w:val="20"/>
        </w:rPr>
        <w:t xml:space="preserve"> </w:t>
      </w:r>
      <w:r w:rsidRPr="000977F7">
        <w:rPr>
          <w:rFonts w:asciiTheme="majorHAnsi" w:hAnsiTheme="majorHAnsi"/>
          <w:sz w:val="20"/>
          <w:szCs w:val="20"/>
        </w:rPr>
        <w:t>оброблення</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складання,</w:t>
      </w:r>
      <w:r w:rsidRPr="000977F7">
        <w:rPr>
          <w:rFonts w:asciiTheme="majorHAnsi" w:hAnsiTheme="majorHAnsi"/>
          <w:spacing w:val="1"/>
          <w:sz w:val="20"/>
          <w:szCs w:val="20"/>
        </w:rPr>
        <w:t xml:space="preserve"> </w:t>
      </w:r>
      <w:r w:rsidRPr="000977F7">
        <w:rPr>
          <w:rFonts w:asciiTheme="majorHAnsi" w:hAnsiTheme="majorHAnsi"/>
          <w:sz w:val="20"/>
          <w:szCs w:val="20"/>
        </w:rPr>
        <w:t>переміщення,</w:t>
      </w:r>
      <w:r w:rsidRPr="000977F7">
        <w:rPr>
          <w:rFonts w:asciiTheme="majorHAnsi" w:hAnsiTheme="majorHAnsi"/>
          <w:spacing w:val="1"/>
          <w:sz w:val="20"/>
          <w:szCs w:val="20"/>
        </w:rPr>
        <w:t xml:space="preserve"> </w:t>
      </w:r>
      <w:r w:rsidRPr="000977F7">
        <w:rPr>
          <w:rFonts w:asciiTheme="majorHAnsi" w:hAnsiTheme="majorHAnsi"/>
          <w:sz w:val="20"/>
          <w:szCs w:val="20"/>
        </w:rPr>
        <w:t>включаючи</w:t>
      </w:r>
      <w:r w:rsidRPr="000977F7">
        <w:rPr>
          <w:rFonts w:asciiTheme="majorHAnsi" w:hAnsiTheme="majorHAnsi"/>
          <w:spacing w:val="50"/>
          <w:sz w:val="20"/>
          <w:szCs w:val="20"/>
        </w:rPr>
        <w:t xml:space="preserve"> </w:t>
      </w:r>
      <w:r w:rsidRPr="000977F7">
        <w:rPr>
          <w:rFonts w:asciiTheme="majorHAnsi" w:hAnsiTheme="majorHAnsi"/>
          <w:sz w:val="20"/>
          <w:szCs w:val="20"/>
        </w:rPr>
        <w:t>технічний</w:t>
      </w:r>
      <w:r w:rsidRPr="000977F7">
        <w:rPr>
          <w:rFonts w:asciiTheme="majorHAnsi" w:hAnsiTheme="majorHAnsi"/>
          <w:spacing w:val="1"/>
          <w:sz w:val="20"/>
          <w:szCs w:val="20"/>
        </w:rPr>
        <w:t xml:space="preserve"> </w:t>
      </w:r>
      <w:r w:rsidRPr="000977F7">
        <w:rPr>
          <w:rFonts w:asciiTheme="majorHAnsi" w:hAnsiTheme="majorHAnsi"/>
          <w:sz w:val="20"/>
          <w:szCs w:val="20"/>
        </w:rPr>
        <w:t>контроль,</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випробування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технологічному процесі виготовлення чи ремонту, установлених безвідносно</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найменування,</w:t>
      </w:r>
      <w:r w:rsidRPr="000977F7">
        <w:rPr>
          <w:rFonts w:asciiTheme="majorHAnsi" w:hAnsiTheme="majorHAnsi"/>
          <w:spacing w:val="1"/>
          <w:sz w:val="20"/>
          <w:szCs w:val="20"/>
        </w:rPr>
        <w:t xml:space="preserve"> </w:t>
      </w:r>
      <w:r w:rsidRPr="000977F7">
        <w:rPr>
          <w:rFonts w:asciiTheme="majorHAnsi" w:hAnsiTheme="majorHAnsi"/>
          <w:sz w:val="20"/>
          <w:szCs w:val="20"/>
        </w:rPr>
        <w:t>типорозміру</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виробу</w:t>
      </w:r>
    </w:p>
    <w:p w14:paraId="06B6CB3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2960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2D9E622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ТЕХНОЛОГІЧНИЙ</w:t>
      </w:r>
      <w:r w:rsidRPr="000977F7">
        <w:rPr>
          <w:color w:val="auto"/>
          <w:spacing w:val="-4"/>
          <w:sz w:val="20"/>
          <w:szCs w:val="20"/>
        </w:rPr>
        <w:t xml:space="preserve"> </w:t>
      </w:r>
      <w:r w:rsidRPr="000977F7">
        <w:rPr>
          <w:color w:val="auto"/>
          <w:sz w:val="20"/>
          <w:szCs w:val="20"/>
        </w:rPr>
        <w:t>ОБ’ЄКТ</w:t>
      </w:r>
      <w:r w:rsidRPr="000977F7">
        <w:rPr>
          <w:color w:val="auto"/>
          <w:spacing w:val="-4"/>
          <w:sz w:val="20"/>
          <w:szCs w:val="20"/>
        </w:rPr>
        <w:t xml:space="preserve"> </w:t>
      </w:r>
      <w:r w:rsidRPr="000977F7">
        <w:rPr>
          <w:color w:val="auto"/>
          <w:sz w:val="20"/>
          <w:szCs w:val="20"/>
        </w:rPr>
        <w:t>–</w:t>
      </w:r>
    </w:p>
    <w:p w14:paraId="3028715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TECHNOLOGICAL</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OBJECT –</w:t>
      </w:r>
    </w:p>
    <w:p w14:paraId="1A9039F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Технологічне обладнання, яке розглядається разом із</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технологічним</w:t>
      </w:r>
      <w:r w:rsidRPr="000977F7">
        <w:rPr>
          <w:rFonts w:asciiTheme="majorHAnsi" w:hAnsiTheme="majorHAnsi"/>
          <w:spacing w:val="1"/>
          <w:sz w:val="20"/>
          <w:szCs w:val="20"/>
        </w:rPr>
        <w:t xml:space="preserve"> </w:t>
      </w:r>
      <w:r w:rsidRPr="000977F7">
        <w:rPr>
          <w:rFonts w:asciiTheme="majorHAnsi" w:hAnsiTheme="majorHAnsi"/>
          <w:sz w:val="20"/>
          <w:szCs w:val="20"/>
        </w:rPr>
        <w:t>процесом,</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реалізується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цьому</w:t>
      </w:r>
      <w:r w:rsidRPr="000977F7">
        <w:rPr>
          <w:rFonts w:asciiTheme="majorHAnsi" w:hAnsiTheme="majorHAnsi"/>
          <w:spacing w:val="-47"/>
          <w:sz w:val="20"/>
          <w:szCs w:val="20"/>
        </w:rPr>
        <w:t xml:space="preserve"> </w:t>
      </w:r>
      <w:r w:rsidRPr="000977F7">
        <w:rPr>
          <w:rFonts w:asciiTheme="majorHAnsi" w:hAnsiTheme="majorHAnsi"/>
          <w:sz w:val="20"/>
          <w:szCs w:val="20"/>
        </w:rPr>
        <w:t>обладнанні</w:t>
      </w:r>
      <w:r w:rsidRPr="000977F7">
        <w:rPr>
          <w:rFonts w:asciiTheme="majorHAnsi" w:hAnsiTheme="majorHAnsi"/>
          <w:spacing w:val="1"/>
          <w:sz w:val="20"/>
          <w:szCs w:val="20"/>
        </w:rPr>
        <w:t xml:space="preserve"> </w:t>
      </w:r>
      <w:r w:rsidRPr="000977F7">
        <w:rPr>
          <w:rFonts w:asciiTheme="majorHAnsi" w:hAnsiTheme="majorHAnsi"/>
          <w:sz w:val="20"/>
          <w:szCs w:val="20"/>
        </w:rPr>
        <w:t>згідно</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відповідними</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технологічними</w:t>
      </w:r>
      <w:r w:rsidRPr="000977F7">
        <w:rPr>
          <w:rFonts w:asciiTheme="majorHAnsi" w:hAnsiTheme="majorHAnsi"/>
          <w:spacing w:val="1"/>
          <w:sz w:val="20"/>
          <w:szCs w:val="20"/>
        </w:rPr>
        <w:t xml:space="preserve"> </w:t>
      </w:r>
      <w:r w:rsidRPr="000977F7">
        <w:rPr>
          <w:rFonts w:asciiTheme="majorHAnsi" w:hAnsiTheme="majorHAnsi"/>
          <w:sz w:val="20"/>
          <w:szCs w:val="20"/>
        </w:rPr>
        <w:t>інструкціями та регламентами</w:t>
      </w:r>
    </w:p>
    <w:p w14:paraId="2A0DB1F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6A724C9D"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2"/>
          <w:sz w:val="20"/>
          <w:szCs w:val="20"/>
        </w:rPr>
      </w:pPr>
      <w:r w:rsidRPr="000977F7">
        <w:rPr>
          <w:rFonts w:asciiTheme="majorHAnsi" w:hAnsiTheme="majorHAnsi"/>
          <w:b/>
          <w:sz w:val="20"/>
          <w:szCs w:val="20"/>
        </w:rPr>
        <w:t>ТЕХНОЛОГІЧНИЙ</w:t>
      </w:r>
      <w:r w:rsidRPr="000977F7">
        <w:rPr>
          <w:rFonts w:asciiTheme="majorHAnsi" w:hAnsiTheme="majorHAnsi"/>
          <w:b/>
          <w:spacing w:val="13"/>
          <w:sz w:val="20"/>
          <w:szCs w:val="20"/>
        </w:rPr>
        <w:t xml:space="preserve"> </w:t>
      </w:r>
      <w:r w:rsidRPr="000977F7">
        <w:rPr>
          <w:rFonts w:asciiTheme="majorHAnsi" w:hAnsiTheme="majorHAnsi"/>
          <w:b/>
          <w:sz w:val="20"/>
          <w:szCs w:val="20"/>
        </w:rPr>
        <w:t>ОБ’ЄКТ</w:t>
      </w:r>
      <w:r w:rsidRPr="000977F7">
        <w:rPr>
          <w:rFonts w:asciiTheme="majorHAnsi" w:hAnsiTheme="majorHAnsi"/>
          <w:b/>
          <w:spacing w:val="11"/>
          <w:sz w:val="20"/>
          <w:szCs w:val="20"/>
        </w:rPr>
        <w:t xml:space="preserve"> </w:t>
      </w:r>
      <w:r w:rsidRPr="000977F7">
        <w:rPr>
          <w:rFonts w:asciiTheme="majorHAnsi" w:hAnsiTheme="majorHAnsi"/>
          <w:b/>
          <w:sz w:val="20"/>
          <w:szCs w:val="20"/>
        </w:rPr>
        <w:t>КЕРУВАННЯ</w:t>
      </w:r>
      <w:r w:rsidRPr="000977F7">
        <w:rPr>
          <w:rFonts w:asciiTheme="majorHAnsi" w:hAnsiTheme="majorHAnsi"/>
          <w:b/>
          <w:spacing w:val="12"/>
          <w:sz w:val="20"/>
          <w:szCs w:val="20"/>
        </w:rPr>
        <w:t xml:space="preserve"> </w:t>
      </w:r>
    </w:p>
    <w:p w14:paraId="3DF2201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(КО</w:t>
      </w:r>
      <w:r w:rsidRPr="000977F7">
        <w:rPr>
          <w:rFonts w:asciiTheme="majorHAnsi" w:hAnsiTheme="majorHAnsi"/>
          <w:b/>
          <w:spacing w:val="-47"/>
          <w:sz w:val="20"/>
          <w:szCs w:val="20"/>
        </w:rPr>
        <w:t xml:space="preserve"> </w:t>
      </w:r>
      <w:r w:rsidRPr="000977F7">
        <w:rPr>
          <w:rFonts w:asciiTheme="majorHAnsi" w:hAnsiTheme="majorHAnsi"/>
          <w:b/>
          <w:sz w:val="20"/>
          <w:szCs w:val="20"/>
        </w:rPr>
        <w:t>НТРОЛЮ,</w:t>
      </w:r>
      <w:r w:rsidRPr="000977F7">
        <w:rPr>
          <w:rFonts w:asciiTheme="majorHAnsi" w:hAnsiTheme="majorHAnsi"/>
          <w:b/>
          <w:spacing w:val="-1"/>
          <w:sz w:val="20"/>
          <w:szCs w:val="20"/>
        </w:rPr>
        <w:t xml:space="preserve"> </w:t>
      </w:r>
      <w:r w:rsidRPr="000977F7">
        <w:rPr>
          <w:rFonts w:asciiTheme="majorHAnsi" w:hAnsiTheme="majorHAnsi"/>
          <w:b/>
          <w:sz w:val="20"/>
          <w:szCs w:val="20"/>
        </w:rPr>
        <w:t>ДІАГНОСТУВАННЯ)</w:t>
      </w:r>
      <w:r w:rsidRPr="000977F7">
        <w:rPr>
          <w:rFonts w:asciiTheme="majorHAnsi" w:hAnsiTheme="majorHAnsi"/>
          <w:b/>
          <w:spacing w:val="3"/>
          <w:sz w:val="20"/>
          <w:szCs w:val="20"/>
        </w:rPr>
        <w:t xml:space="preserve"> </w:t>
      </w:r>
      <w:r w:rsidRPr="000977F7">
        <w:rPr>
          <w:rFonts w:asciiTheme="majorHAnsi" w:hAnsiTheme="majorHAnsi"/>
          <w:b/>
          <w:sz w:val="20"/>
          <w:szCs w:val="20"/>
        </w:rPr>
        <w:t>–</w:t>
      </w:r>
      <w:r w:rsidRPr="000977F7">
        <w:rPr>
          <w:rFonts w:asciiTheme="majorHAnsi" w:hAnsiTheme="majorHAnsi"/>
          <w:b/>
          <w:spacing w:val="1"/>
          <w:sz w:val="20"/>
          <w:szCs w:val="20"/>
        </w:rPr>
        <w:t xml:space="preserve"> </w:t>
      </w:r>
      <w:r w:rsidRPr="000977F7">
        <w:rPr>
          <w:rFonts w:asciiTheme="majorHAnsi" w:hAnsiTheme="majorHAnsi"/>
          <w:sz w:val="20"/>
          <w:szCs w:val="20"/>
        </w:rPr>
        <w:t>TECHNOLOGICAL OBJECT</w:t>
      </w:r>
      <w:r w:rsidRPr="000977F7">
        <w:rPr>
          <w:rFonts w:asciiTheme="majorHAnsi" w:hAnsiTheme="majorHAnsi"/>
          <w:spacing w:val="1"/>
          <w:sz w:val="20"/>
          <w:szCs w:val="20"/>
        </w:rPr>
        <w:t xml:space="preserve"> </w:t>
      </w:r>
      <w:r w:rsidRPr="000977F7">
        <w:rPr>
          <w:rFonts w:asciiTheme="majorHAnsi" w:hAnsiTheme="majorHAnsi"/>
          <w:sz w:val="20"/>
          <w:szCs w:val="20"/>
        </w:rPr>
        <w:t>OF CONTROL (CHECK,</w:t>
      </w:r>
      <w:r w:rsidRPr="000977F7">
        <w:rPr>
          <w:rFonts w:asciiTheme="majorHAnsi" w:hAnsiTheme="majorHAnsi"/>
          <w:spacing w:val="-47"/>
          <w:sz w:val="20"/>
          <w:szCs w:val="20"/>
        </w:rPr>
        <w:t xml:space="preserve"> </w:t>
      </w:r>
      <w:r w:rsidRPr="000977F7">
        <w:rPr>
          <w:rFonts w:asciiTheme="majorHAnsi" w:hAnsiTheme="majorHAnsi"/>
          <w:sz w:val="20"/>
          <w:szCs w:val="20"/>
        </w:rPr>
        <w:t>DIAGNOSTICS) –</w:t>
      </w:r>
    </w:p>
    <w:p w14:paraId="0CC5F24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Технологічний</w:t>
      </w:r>
      <w:r w:rsidRPr="000977F7">
        <w:rPr>
          <w:rFonts w:asciiTheme="majorHAnsi" w:hAnsiTheme="majorHAnsi"/>
          <w:spacing w:val="1"/>
          <w:sz w:val="20"/>
          <w:szCs w:val="20"/>
        </w:rPr>
        <w:t xml:space="preserve"> </w:t>
      </w:r>
      <w:r w:rsidRPr="000977F7">
        <w:rPr>
          <w:rFonts w:asciiTheme="majorHAnsi" w:hAnsiTheme="majorHAnsi"/>
          <w:sz w:val="20"/>
          <w:szCs w:val="20"/>
        </w:rPr>
        <w:t>об’єкт,</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розглядають</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об’єкт</w:t>
      </w:r>
      <w:r w:rsidRPr="000977F7">
        <w:rPr>
          <w:rFonts w:asciiTheme="majorHAnsi" w:hAnsiTheme="majorHAnsi"/>
          <w:spacing w:val="1"/>
          <w:sz w:val="20"/>
          <w:szCs w:val="20"/>
        </w:rPr>
        <w:t xml:space="preserve"> </w:t>
      </w:r>
      <w:r w:rsidRPr="000977F7">
        <w:rPr>
          <w:rFonts w:asciiTheme="majorHAnsi" w:hAnsiTheme="majorHAnsi"/>
          <w:sz w:val="20"/>
          <w:szCs w:val="20"/>
        </w:rPr>
        <w:t>керування</w:t>
      </w:r>
      <w:r w:rsidRPr="000977F7">
        <w:rPr>
          <w:rFonts w:asciiTheme="majorHAnsi" w:hAnsiTheme="majorHAnsi"/>
          <w:spacing w:val="-2"/>
          <w:sz w:val="20"/>
          <w:szCs w:val="20"/>
        </w:rPr>
        <w:t xml:space="preserve"> </w:t>
      </w:r>
      <w:r w:rsidRPr="000977F7">
        <w:rPr>
          <w:rFonts w:asciiTheme="majorHAnsi" w:hAnsiTheme="majorHAnsi"/>
          <w:sz w:val="20"/>
          <w:szCs w:val="20"/>
        </w:rPr>
        <w:t>(контролю, діагностування)</w:t>
      </w:r>
    </w:p>
    <w:p w14:paraId="20EBE15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14316B4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ТЕХНОЛОГІЧНІ</w:t>
      </w:r>
      <w:r w:rsidRPr="000977F7">
        <w:rPr>
          <w:color w:val="auto"/>
          <w:spacing w:val="-9"/>
          <w:sz w:val="20"/>
          <w:szCs w:val="20"/>
        </w:rPr>
        <w:t xml:space="preserve"> </w:t>
      </w:r>
      <w:r w:rsidRPr="000977F7">
        <w:rPr>
          <w:color w:val="auto"/>
          <w:sz w:val="20"/>
          <w:szCs w:val="20"/>
        </w:rPr>
        <w:t>МЕТОДИ</w:t>
      </w:r>
      <w:r w:rsidRPr="000977F7">
        <w:rPr>
          <w:color w:val="auto"/>
          <w:spacing w:val="-7"/>
          <w:sz w:val="20"/>
          <w:szCs w:val="20"/>
        </w:rPr>
        <w:t xml:space="preserve"> </w:t>
      </w:r>
      <w:r w:rsidRPr="000977F7">
        <w:rPr>
          <w:color w:val="auto"/>
          <w:sz w:val="20"/>
          <w:szCs w:val="20"/>
        </w:rPr>
        <w:t>ЗАБЕЗПЕЧЕННЯ</w:t>
      </w:r>
      <w:r w:rsidRPr="000977F7">
        <w:rPr>
          <w:color w:val="auto"/>
          <w:spacing w:val="-47"/>
          <w:sz w:val="20"/>
          <w:szCs w:val="20"/>
        </w:rPr>
        <w:t xml:space="preserve"> </w:t>
      </w:r>
      <w:r w:rsidRPr="000977F7">
        <w:rPr>
          <w:color w:val="auto"/>
          <w:sz w:val="20"/>
          <w:szCs w:val="20"/>
        </w:rPr>
        <w:t>НАДІЙНОСТІ</w:t>
      </w:r>
      <w:r w:rsidRPr="000977F7">
        <w:rPr>
          <w:color w:val="auto"/>
          <w:spacing w:val="-1"/>
          <w:sz w:val="20"/>
          <w:szCs w:val="20"/>
        </w:rPr>
        <w:t xml:space="preserve"> </w:t>
      </w:r>
      <w:r w:rsidRPr="000977F7">
        <w:rPr>
          <w:color w:val="auto"/>
          <w:sz w:val="20"/>
          <w:szCs w:val="20"/>
        </w:rPr>
        <w:t>–</w:t>
      </w:r>
    </w:p>
    <w:p w14:paraId="46ED490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TECNOLOGICAL</w:t>
      </w:r>
      <w:r w:rsidRPr="004D2D14">
        <w:rPr>
          <w:rFonts w:asciiTheme="majorHAnsi" w:hAnsiTheme="majorHAnsi"/>
          <w:spacing w:val="-5"/>
          <w:sz w:val="20"/>
          <w:szCs w:val="20"/>
          <w:lang w:val="uk-UA"/>
        </w:rPr>
        <w:t xml:space="preserve"> </w:t>
      </w:r>
      <w:r w:rsidRPr="000977F7">
        <w:rPr>
          <w:rFonts w:asciiTheme="majorHAnsi" w:hAnsiTheme="majorHAnsi"/>
          <w:sz w:val="20"/>
          <w:szCs w:val="20"/>
        </w:rPr>
        <w:t>DEPENDABILITY</w:t>
      </w:r>
      <w:r w:rsidRPr="004D2D14">
        <w:rPr>
          <w:rFonts w:asciiTheme="majorHAnsi" w:hAnsiTheme="majorHAnsi"/>
          <w:spacing w:val="-6"/>
          <w:sz w:val="20"/>
          <w:szCs w:val="20"/>
          <w:lang w:val="uk-UA"/>
        </w:rPr>
        <w:t xml:space="preserve"> </w:t>
      </w:r>
      <w:r w:rsidRPr="000977F7">
        <w:rPr>
          <w:rFonts w:asciiTheme="majorHAnsi" w:hAnsiTheme="majorHAnsi"/>
          <w:sz w:val="20"/>
          <w:szCs w:val="20"/>
        </w:rPr>
        <w:t>SUPPORT</w:t>
      </w:r>
      <w:r w:rsidRPr="004D2D14">
        <w:rPr>
          <w:rFonts w:asciiTheme="majorHAnsi" w:hAnsiTheme="majorHAnsi"/>
          <w:spacing w:val="-47"/>
          <w:sz w:val="20"/>
          <w:szCs w:val="20"/>
          <w:lang w:val="uk-UA"/>
        </w:rPr>
        <w:t xml:space="preserve"> </w:t>
      </w:r>
      <w:r w:rsidRPr="000977F7">
        <w:rPr>
          <w:rFonts w:asciiTheme="majorHAnsi" w:hAnsiTheme="majorHAnsi"/>
          <w:sz w:val="20"/>
          <w:szCs w:val="20"/>
        </w:rPr>
        <w:t>METHOD</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1816666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Методи забезпечення надійності, які застосовуються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етапі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серійного</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виготовлення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об’єкта</w:t>
      </w:r>
    </w:p>
    <w:p w14:paraId="2E6382B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A9A85A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ТЕХНОЛОГІЧНИЙ</w:t>
      </w:r>
      <w:r w:rsidRPr="000977F7">
        <w:rPr>
          <w:color w:val="auto"/>
          <w:spacing w:val="-4"/>
          <w:sz w:val="20"/>
          <w:szCs w:val="20"/>
        </w:rPr>
        <w:t xml:space="preserve"> </w:t>
      </w:r>
      <w:r w:rsidRPr="000977F7">
        <w:rPr>
          <w:color w:val="auto"/>
          <w:sz w:val="20"/>
          <w:szCs w:val="20"/>
        </w:rPr>
        <w:t>ПЕРЕХІД</w:t>
      </w:r>
      <w:r w:rsidRPr="000977F7">
        <w:rPr>
          <w:color w:val="auto"/>
          <w:spacing w:val="-3"/>
          <w:sz w:val="20"/>
          <w:szCs w:val="20"/>
        </w:rPr>
        <w:t xml:space="preserve"> </w:t>
      </w:r>
      <w:r w:rsidRPr="000977F7">
        <w:rPr>
          <w:color w:val="auto"/>
          <w:sz w:val="20"/>
          <w:szCs w:val="20"/>
        </w:rPr>
        <w:t>–</w:t>
      </w:r>
    </w:p>
    <w:p w14:paraId="5505B2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MANUFACTURING</w:t>
      </w:r>
      <w:r w:rsidRPr="000977F7">
        <w:rPr>
          <w:rFonts w:asciiTheme="majorHAnsi" w:hAnsiTheme="majorHAnsi"/>
          <w:spacing w:val="-2"/>
          <w:sz w:val="20"/>
          <w:szCs w:val="20"/>
        </w:rPr>
        <w:t xml:space="preserve"> </w:t>
      </w:r>
      <w:r w:rsidRPr="000977F7">
        <w:rPr>
          <w:rFonts w:asciiTheme="majorHAnsi" w:hAnsiTheme="majorHAnsi"/>
          <w:sz w:val="20"/>
          <w:szCs w:val="20"/>
        </w:rPr>
        <w:t>STEP –</w:t>
      </w:r>
    </w:p>
    <w:p w14:paraId="569535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Закінчена</w:t>
      </w:r>
      <w:r w:rsidRPr="000977F7">
        <w:rPr>
          <w:rFonts w:asciiTheme="majorHAnsi" w:hAnsiTheme="majorHAnsi"/>
          <w:spacing w:val="1"/>
          <w:sz w:val="20"/>
          <w:szCs w:val="20"/>
        </w:rPr>
        <w:t xml:space="preserve"> </w:t>
      </w:r>
      <w:r w:rsidRPr="000977F7">
        <w:rPr>
          <w:rFonts w:asciiTheme="majorHAnsi" w:hAnsiTheme="majorHAnsi"/>
          <w:sz w:val="20"/>
          <w:szCs w:val="20"/>
        </w:rPr>
        <w:t>частина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1"/>
          <w:sz w:val="20"/>
          <w:szCs w:val="20"/>
        </w:rPr>
        <w:t xml:space="preserve"> </w:t>
      </w:r>
      <w:r w:rsidRPr="000977F7">
        <w:rPr>
          <w:rFonts w:asciiTheme="majorHAnsi" w:hAnsiTheme="majorHAnsi"/>
          <w:sz w:val="20"/>
          <w:szCs w:val="20"/>
        </w:rPr>
        <w:t>операції,</w:t>
      </w:r>
      <w:r w:rsidRPr="000977F7">
        <w:rPr>
          <w:rFonts w:asciiTheme="majorHAnsi" w:hAnsiTheme="majorHAnsi"/>
          <w:spacing w:val="1"/>
          <w:sz w:val="20"/>
          <w:szCs w:val="20"/>
        </w:rPr>
        <w:t xml:space="preserve"> </w:t>
      </w:r>
      <w:r w:rsidRPr="000977F7">
        <w:rPr>
          <w:rFonts w:asciiTheme="majorHAnsi" w:hAnsiTheme="majorHAnsi"/>
          <w:sz w:val="20"/>
          <w:szCs w:val="20"/>
        </w:rPr>
        <w:t>яку</w:t>
      </w:r>
      <w:r w:rsidRPr="000977F7">
        <w:rPr>
          <w:rFonts w:asciiTheme="majorHAnsi" w:hAnsiTheme="majorHAnsi"/>
          <w:spacing w:val="1"/>
          <w:sz w:val="20"/>
          <w:szCs w:val="20"/>
        </w:rPr>
        <w:t xml:space="preserve"> </w:t>
      </w:r>
      <w:r w:rsidRPr="000977F7">
        <w:rPr>
          <w:rFonts w:asciiTheme="majorHAnsi" w:hAnsiTheme="majorHAnsi"/>
          <w:sz w:val="20"/>
          <w:szCs w:val="20"/>
        </w:rPr>
        <w:t>виконують</w:t>
      </w:r>
      <w:r w:rsidRPr="000977F7">
        <w:rPr>
          <w:rFonts w:asciiTheme="majorHAnsi" w:hAnsiTheme="majorHAnsi"/>
          <w:spacing w:val="1"/>
          <w:sz w:val="20"/>
          <w:szCs w:val="20"/>
        </w:rPr>
        <w:t xml:space="preserve"> </w:t>
      </w:r>
      <w:r w:rsidRPr="000977F7">
        <w:rPr>
          <w:rFonts w:asciiTheme="majorHAnsi" w:hAnsiTheme="majorHAnsi"/>
          <w:sz w:val="20"/>
          <w:szCs w:val="20"/>
        </w:rPr>
        <w:t>тими</w:t>
      </w:r>
      <w:r w:rsidRPr="000977F7">
        <w:rPr>
          <w:rFonts w:asciiTheme="majorHAnsi" w:hAnsiTheme="majorHAnsi"/>
          <w:spacing w:val="1"/>
          <w:sz w:val="20"/>
          <w:szCs w:val="20"/>
        </w:rPr>
        <w:t xml:space="preserve"> </w:t>
      </w:r>
      <w:r w:rsidRPr="000977F7">
        <w:rPr>
          <w:rFonts w:asciiTheme="majorHAnsi" w:hAnsiTheme="majorHAnsi"/>
          <w:sz w:val="20"/>
          <w:szCs w:val="20"/>
        </w:rPr>
        <w:t>самими</w:t>
      </w:r>
      <w:r w:rsidRPr="000977F7">
        <w:rPr>
          <w:rFonts w:asciiTheme="majorHAnsi" w:hAnsiTheme="majorHAnsi"/>
          <w:spacing w:val="1"/>
          <w:sz w:val="20"/>
          <w:szCs w:val="20"/>
        </w:rPr>
        <w:t xml:space="preserve"> </w:t>
      </w:r>
      <w:r w:rsidRPr="000977F7">
        <w:rPr>
          <w:rFonts w:asciiTheme="majorHAnsi" w:hAnsiTheme="majorHAnsi"/>
          <w:sz w:val="20"/>
          <w:szCs w:val="20"/>
        </w:rPr>
        <w:t>засобами</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технологічного</w:t>
      </w:r>
      <w:r w:rsidRPr="000977F7">
        <w:rPr>
          <w:rFonts w:asciiTheme="majorHAnsi" w:hAnsiTheme="majorHAnsi"/>
          <w:spacing w:val="1"/>
          <w:sz w:val="20"/>
          <w:szCs w:val="20"/>
        </w:rPr>
        <w:t xml:space="preserve"> </w:t>
      </w:r>
      <w:r w:rsidRPr="000977F7">
        <w:rPr>
          <w:rFonts w:asciiTheme="majorHAnsi" w:hAnsiTheme="majorHAnsi"/>
          <w:sz w:val="20"/>
          <w:szCs w:val="20"/>
        </w:rPr>
        <w:t>спорядження</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сталих</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технологічних</w:t>
      </w:r>
      <w:r w:rsidRPr="000977F7">
        <w:rPr>
          <w:rFonts w:asciiTheme="majorHAnsi" w:hAnsiTheme="majorHAnsi"/>
          <w:spacing w:val="1"/>
          <w:sz w:val="20"/>
          <w:szCs w:val="20"/>
        </w:rPr>
        <w:t xml:space="preserve"> </w:t>
      </w:r>
      <w:r w:rsidRPr="000977F7">
        <w:rPr>
          <w:rFonts w:asciiTheme="majorHAnsi" w:hAnsiTheme="majorHAnsi"/>
          <w:sz w:val="20"/>
          <w:szCs w:val="20"/>
        </w:rPr>
        <w:t>режимів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позицій</w:t>
      </w:r>
    </w:p>
    <w:p w14:paraId="35320B9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2391</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2010</w:t>
      </w:r>
    </w:p>
    <w:p w14:paraId="5BF3CAD7"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ТЕХНОЛОГІЧНИЙ</w:t>
      </w:r>
      <w:r w:rsidRPr="004D2D14">
        <w:rPr>
          <w:rFonts w:asciiTheme="majorHAnsi" w:hAnsiTheme="majorHAnsi"/>
          <w:b/>
          <w:spacing w:val="-6"/>
          <w:sz w:val="20"/>
          <w:szCs w:val="20"/>
          <w:lang w:val="en-US"/>
        </w:rPr>
        <w:t xml:space="preserve"> </w:t>
      </w:r>
      <w:r w:rsidRPr="000977F7">
        <w:rPr>
          <w:rFonts w:asciiTheme="majorHAnsi" w:hAnsiTheme="majorHAnsi"/>
          <w:b/>
          <w:sz w:val="20"/>
          <w:szCs w:val="20"/>
        </w:rPr>
        <w:t>ПРОЦЕС</w:t>
      </w:r>
      <w:r w:rsidRPr="004D2D14">
        <w:rPr>
          <w:rFonts w:asciiTheme="majorHAnsi" w:hAnsiTheme="majorHAnsi"/>
          <w:b/>
          <w:spacing w:val="-4"/>
          <w:sz w:val="20"/>
          <w:szCs w:val="20"/>
          <w:lang w:val="en-US"/>
        </w:rPr>
        <w:t xml:space="preserve"> </w:t>
      </w:r>
      <w:r w:rsidRPr="004D2D14">
        <w:rPr>
          <w:rFonts w:asciiTheme="majorHAnsi" w:hAnsiTheme="majorHAnsi"/>
          <w:b/>
          <w:sz w:val="20"/>
          <w:szCs w:val="20"/>
          <w:lang w:val="en-US"/>
        </w:rPr>
        <w:t>–</w:t>
      </w:r>
      <w:r w:rsidRPr="004D2D14">
        <w:rPr>
          <w:rFonts w:asciiTheme="majorHAnsi" w:hAnsiTheme="majorHAnsi"/>
          <w:b/>
          <w:spacing w:val="-47"/>
          <w:sz w:val="20"/>
          <w:szCs w:val="20"/>
          <w:lang w:val="en-US"/>
        </w:rPr>
        <w:t xml:space="preserve"> </w:t>
      </w:r>
      <w:r w:rsidRPr="004D2D14">
        <w:rPr>
          <w:rFonts w:asciiTheme="majorHAnsi" w:hAnsiTheme="majorHAnsi"/>
          <w:sz w:val="20"/>
          <w:szCs w:val="20"/>
          <w:lang w:val="en-US"/>
        </w:rPr>
        <w:t>MANUFACTURING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PROCESS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32B9874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виробничого процесу, яка складається з дій,</w:t>
      </w:r>
      <w:r w:rsidRPr="000977F7">
        <w:rPr>
          <w:rFonts w:asciiTheme="majorHAnsi" w:hAnsiTheme="majorHAnsi"/>
          <w:spacing w:val="1"/>
          <w:sz w:val="20"/>
          <w:szCs w:val="20"/>
        </w:rPr>
        <w:t xml:space="preserve"> </w:t>
      </w:r>
      <w:r w:rsidRPr="000977F7">
        <w:rPr>
          <w:rFonts w:asciiTheme="majorHAnsi" w:hAnsiTheme="majorHAnsi"/>
          <w:sz w:val="20"/>
          <w:szCs w:val="20"/>
        </w:rPr>
        <w:t>спрямованих на зміну та (чи) визначення стану предмета</w:t>
      </w:r>
      <w:r w:rsidRPr="000977F7">
        <w:rPr>
          <w:rFonts w:asciiTheme="majorHAnsi" w:hAnsiTheme="majorHAnsi"/>
          <w:spacing w:val="-1"/>
          <w:sz w:val="20"/>
          <w:szCs w:val="20"/>
        </w:rPr>
        <w:t xml:space="preserve"> </w:t>
      </w:r>
      <w:r w:rsidRPr="000977F7">
        <w:rPr>
          <w:rFonts w:asciiTheme="majorHAnsi" w:hAnsiTheme="majorHAnsi"/>
          <w:sz w:val="20"/>
          <w:szCs w:val="20"/>
        </w:rPr>
        <w:t>праці</w:t>
      </w:r>
    </w:p>
    <w:p w14:paraId="12877B3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28EF7A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1C063A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w:t>
      </w:r>
      <w:r w:rsidRPr="000977F7">
        <w:rPr>
          <w:rFonts w:asciiTheme="majorHAnsi" w:hAnsiTheme="majorHAnsi"/>
          <w:spacing w:val="-2"/>
          <w:sz w:val="20"/>
          <w:szCs w:val="20"/>
        </w:rPr>
        <w:t xml:space="preserve"> </w:t>
      </w:r>
      <w:r w:rsidRPr="000977F7">
        <w:rPr>
          <w:rFonts w:asciiTheme="majorHAnsi" w:hAnsiTheme="majorHAnsi"/>
          <w:sz w:val="20"/>
          <w:szCs w:val="20"/>
        </w:rPr>
        <w:t>предметів</w:t>
      </w:r>
      <w:r w:rsidRPr="000977F7">
        <w:rPr>
          <w:rFonts w:asciiTheme="majorHAnsi" w:hAnsiTheme="majorHAnsi"/>
          <w:spacing w:val="-4"/>
          <w:sz w:val="20"/>
          <w:szCs w:val="20"/>
        </w:rPr>
        <w:t xml:space="preserve"> </w:t>
      </w:r>
      <w:r w:rsidRPr="000977F7">
        <w:rPr>
          <w:rFonts w:asciiTheme="majorHAnsi" w:hAnsiTheme="majorHAnsi"/>
          <w:sz w:val="20"/>
          <w:szCs w:val="20"/>
        </w:rPr>
        <w:t>праці</w:t>
      </w:r>
      <w:r w:rsidRPr="000977F7">
        <w:rPr>
          <w:rFonts w:asciiTheme="majorHAnsi" w:hAnsiTheme="majorHAnsi"/>
          <w:spacing w:val="-4"/>
          <w:sz w:val="20"/>
          <w:szCs w:val="20"/>
        </w:rPr>
        <w:t xml:space="preserve"> </w:t>
      </w:r>
      <w:r w:rsidRPr="000977F7">
        <w:rPr>
          <w:rFonts w:asciiTheme="majorHAnsi" w:hAnsiTheme="majorHAnsi"/>
          <w:sz w:val="20"/>
          <w:szCs w:val="20"/>
        </w:rPr>
        <w:t>належать</w:t>
      </w:r>
      <w:r w:rsidRPr="000977F7">
        <w:rPr>
          <w:rFonts w:asciiTheme="majorHAnsi" w:hAnsiTheme="majorHAnsi"/>
          <w:spacing w:val="-2"/>
          <w:sz w:val="20"/>
          <w:szCs w:val="20"/>
        </w:rPr>
        <w:t xml:space="preserve"> </w:t>
      </w:r>
      <w:r w:rsidRPr="000977F7">
        <w:rPr>
          <w:rFonts w:asciiTheme="majorHAnsi" w:hAnsiTheme="majorHAnsi"/>
          <w:sz w:val="20"/>
          <w:szCs w:val="20"/>
        </w:rPr>
        <w:t>заготовки</w:t>
      </w:r>
      <w:r w:rsidRPr="000977F7">
        <w:rPr>
          <w:rFonts w:asciiTheme="majorHAnsi" w:hAnsiTheme="majorHAnsi"/>
          <w:spacing w:val="-4"/>
          <w:sz w:val="20"/>
          <w:szCs w:val="20"/>
        </w:rPr>
        <w:t xml:space="preserve"> </w:t>
      </w:r>
      <w:r w:rsidRPr="000977F7">
        <w:rPr>
          <w:rFonts w:asciiTheme="majorHAnsi" w:hAnsiTheme="majorHAnsi"/>
          <w:sz w:val="20"/>
          <w:szCs w:val="20"/>
        </w:rPr>
        <w:t>та вироби</w:t>
      </w:r>
    </w:p>
    <w:p w14:paraId="7CBB629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2391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–2010;</w:t>
      </w:r>
      <w:r w:rsidRPr="004D2D14">
        <w:rPr>
          <w:rFonts w:asciiTheme="majorHAnsi" w:hAnsiTheme="majorHAnsi"/>
          <w:i/>
          <w:spacing w:val="-1"/>
          <w:sz w:val="20"/>
          <w:szCs w:val="20"/>
          <w:lang w:val="en-US"/>
        </w:rPr>
        <w:t xml:space="preserve"> </w:t>
      </w:r>
      <w:r w:rsidRPr="000977F7">
        <w:rPr>
          <w:rFonts w:asciiTheme="majorHAnsi" w:hAnsiTheme="majorHAnsi"/>
          <w:i/>
          <w:sz w:val="20"/>
          <w:szCs w:val="20"/>
        </w:rPr>
        <w:t>ДСТУ</w:t>
      </w:r>
      <w:r w:rsidRPr="004D2D14">
        <w:rPr>
          <w:rFonts w:asciiTheme="majorHAnsi" w:hAnsiTheme="majorHAnsi"/>
          <w:i/>
          <w:sz w:val="20"/>
          <w:szCs w:val="20"/>
          <w:lang w:val="en-US"/>
        </w:rPr>
        <w:t xml:space="preserve"> 3514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97;</w:t>
      </w:r>
    </w:p>
    <w:p w14:paraId="3BC331B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2974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4A575674"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TECHNOLOGICAL</w:t>
      </w:r>
      <w:r w:rsidRPr="000977F7">
        <w:rPr>
          <w:b w:val="0"/>
          <w:bCs/>
          <w:color w:val="auto"/>
          <w:spacing w:val="-4"/>
          <w:sz w:val="20"/>
          <w:szCs w:val="20"/>
        </w:rPr>
        <w:t xml:space="preserve"> </w:t>
      </w:r>
      <w:r w:rsidRPr="000977F7">
        <w:rPr>
          <w:b w:val="0"/>
          <w:bCs/>
          <w:color w:val="auto"/>
          <w:sz w:val="20"/>
          <w:szCs w:val="20"/>
        </w:rPr>
        <w:t>PROCESS</w:t>
      </w:r>
      <w:r w:rsidRPr="000977F7">
        <w:rPr>
          <w:b w:val="0"/>
          <w:bCs/>
          <w:color w:val="auto"/>
          <w:spacing w:val="-1"/>
          <w:sz w:val="20"/>
          <w:szCs w:val="20"/>
        </w:rPr>
        <w:t xml:space="preserve"> </w:t>
      </w:r>
      <w:r w:rsidRPr="000977F7">
        <w:rPr>
          <w:b w:val="0"/>
          <w:bCs/>
          <w:color w:val="auto"/>
          <w:sz w:val="20"/>
          <w:szCs w:val="20"/>
        </w:rPr>
        <w:t>–</w:t>
      </w:r>
    </w:p>
    <w:p w14:paraId="139C8E9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Частина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промислового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процесу,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безпосередньо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пов’язана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змінюванням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фізико-хімічного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стану,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транспортуванням,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зберіганням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контролюванням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сировини,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енергоносіїв,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напівфабрикатів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готової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w:t>
      </w:r>
    </w:p>
    <w:p w14:paraId="7816E04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3956 - 2000</w:t>
      </w:r>
    </w:p>
    <w:p w14:paraId="20A761E2"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ТЕХНОЛОГІЧНИЙ РЕЖИМ –</w:t>
      </w:r>
      <w:r w:rsidRPr="000977F7">
        <w:rPr>
          <w:rFonts w:asciiTheme="majorHAnsi" w:hAnsiTheme="majorHAnsi"/>
          <w:b/>
          <w:spacing w:val="-47"/>
          <w:sz w:val="20"/>
          <w:szCs w:val="20"/>
        </w:rPr>
        <w:t xml:space="preserve"> </w:t>
      </w:r>
    </w:p>
    <w:p w14:paraId="5062DD4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CONDITION –</w:t>
      </w:r>
    </w:p>
    <w:p w14:paraId="7BCF3C1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значень параметрів технологічного процесу</w:t>
      </w:r>
      <w:r w:rsidRPr="000977F7">
        <w:rPr>
          <w:rFonts w:asciiTheme="majorHAnsi" w:hAnsiTheme="majorHAnsi"/>
          <w:spacing w:val="-5"/>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певному</w:t>
      </w:r>
      <w:r w:rsidRPr="000977F7">
        <w:rPr>
          <w:rFonts w:asciiTheme="majorHAnsi" w:hAnsiTheme="majorHAnsi"/>
          <w:spacing w:val="-4"/>
          <w:sz w:val="20"/>
          <w:szCs w:val="20"/>
        </w:rPr>
        <w:t xml:space="preserve"> </w:t>
      </w:r>
      <w:r w:rsidRPr="000977F7">
        <w:rPr>
          <w:rFonts w:asciiTheme="majorHAnsi" w:hAnsiTheme="majorHAnsi"/>
          <w:sz w:val="20"/>
          <w:szCs w:val="20"/>
        </w:rPr>
        <w:t>інтервалі</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584115A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3E84C4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До параметрів технологічного процесу належать швидкість різання, подача, глибина різання, температура</w:t>
      </w:r>
      <w:r w:rsidRPr="000977F7">
        <w:rPr>
          <w:rFonts w:asciiTheme="majorHAnsi" w:hAnsiTheme="majorHAnsi"/>
          <w:spacing w:val="1"/>
          <w:sz w:val="20"/>
          <w:szCs w:val="20"/>
        </w:rPr>
        <w:t xml:space="preserve"> </w:t>
      </w:r>
      <w:r w:rsidRPr="000977F7">
        <w:rPr>
          <w:rFonts w:asciiTheme="majorHAnsi" w:hAnsiTheme="majorHAnsi"/>
          <w:sz w:val="20"/>
          <w:szCs w:val="20"/>
        </w:rPr>
        <w:t>нагрівання</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охолодження</w:t>
      </w:r>
      <w:r w:rsidRPr="000977F7">
        <w:rPr>
          <w:rFonts w:asciiTheme="majorHAnsi" w:hAnsiTheme="majorHAnsi"/>
          <w:spacing w:val="2"/>
          <w:sz w:val="20"/>
          <w:szCs w:val="20"/>
        </w:rPr>
        <w:t xml:space="preserve"> </w:t>
      </w:r>
      <w:r w:rsidRPr="000977F7">
        <w:rPr>
          <w:rFonts w:asciiTheme="majorHAnsi" w:hAnsiTheme="majorHAnsi"/>
          <w:sz w:val="20"/>
          <w:szCs w:val="20"/>
        </w:rPr>
        <w:t>тощо</w:t>
      </w:r>
    </w:p>
    <w:p w14:paraId="11C445B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2391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2010</w:t>
      </w:r>
    </w:p>
    <w:p w14:paraId="31B3879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291" w:name="_Hlk101616203"/>
      <w:r w:rsidRPr="000977F7">
        <w:rPr>
          <w:color w:val="auto"/>
          <w:sz w:val="20"/>
          <w:szCs w:val="20"/>
        </w:rPr>
        <w:t>ТЕХНОЛОГІЧНІ</w:t>
      </w:r>
      <w:r w:rsidRPr="000977F7">
        <w:rPr>
          <w:color w:val="auto"/>
          <w:spacing w:val="-6"/>
          <w:sz w:val="20"/>
          <w:szCs w:val="20"/>
        </w:rPr>
        <w:t xml:space="preserve"> </w:t>
      </w:r>
      <w:r w:rsidRPr="000977F7">
        <w:rPr>
          <w:color w:val="auto"/>
          <w:sz w:val="20"/>
          <w:szCs w:val="20"/>
        </w:rPr>
        <w:t>ВИПРОБУВАННЯ</w:t>
      </w:r>
      <w:r w:rsidRPr="000977F7">
        <w:rPr>
          <w:color w:val="auto"/>
          <w:spacing w:val="-2"/>
          <w:sz w:val="20"/>
          <w:szCs w:val="20"/>
        </w:rPr>
        <w:t xml:space="preserve"> </w:t>
      </w:r>
      <w:r w:rsidRPr="000977F7">
        <w:rPr>
          <w:color w:val="auto"/>
          <w:sz w:val="20"/>
          <w:szCs w:val="20"/>
        </w:rPr>
        <w:t>–</w:t>
      </w:r>
    </w:p>
    <w:p w14:paraId="4F64E32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IN-PROCESS</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TEST –</w:t>
      </w:r>
    </w:p>
    <w:bookmarkEnd w:id="291"/>
    <w:p w14:paraId="6C6C07D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що проводяться під час виготовлення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метою</w:t>
      </w:r>
      <w:r w:rsidRPr="000977F7">
        <w:rPr>
          <w:rFonts w:asciiTheme="majorHAnsi" w:hAnsiTheme="majorHAnsi"/>
          <w:spacing w:val="-1"/>
          <w:sz w:val="20"/>
          <w:szCs w:val="20"/>
        </w:rPr>
        <w:t xml:space="preserve"> </w:t>
      </w:r>
      <w:r w:rsidRPr="000977F7">
        <w:rPr>
          <w:rFonts w:asciiTheme="majorHAnsi" w:hAnsiTheme="majorHAnsi"/>
          <w:sz w:val="20"/>
          <w:szCs w:val="20"/>
        </w:rPr>
        <w:t>оцінки</w:t>
      </w:r>
      <w:r w:rsidRPr="000977F7">
        <w:rPr>
          <w:rFonts w:asciiTheme="majorHAnsi" w:hAnsiTheme="majorHAnsi"/>
          <w:spacing w:val="-2"/>
          <w:sz w:val="20"/>
          <w:szCs w:val="20"/>
        </w:rPr>
        <w:t xml:space="preserve"> </w:t>
      </w:r>
      <w:r w:rsidRPr="000977F7">
        <w:rPr>
          <w:rFonts w:asciiTheme="majorHAnsi" w:hAnsiTheme="majorHAnsi"/>
          <w:sz w:val="20"/>
          <w:szCs w:val="20"/>
        </w:rPr>
        <w:t>її</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технологічності</w:t>
      </w:r>
    </w:p>
    <w:p w14:paraId="0775C2C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w:t>
      </w:r>
      <w:r w:rsidRPr="000977F7">
        <w:rPr>
          <w:rFonts w:asciiTheme="majorHAnsi" w:hAnsiTheme="majorHAnsi"/>
          <w:i/>
          <w:spacing w:val="-1"/>
          <w:sz w:val="20"/>
          <w:szCs w:val="20"/>
        </w:rPr>
        <w:t xml:space="preserve"> </w:t>
      </w:r>
      <w:r w:rsidRPr="000977F7">
        <w:rPr>
          <w:rFonts w:asciiTheme="majorHAnsi" w:hAnsiTheme="majorHAnsi"/>
          <w:i/>
          <w:sz w:val="20"/>
          <w:szCs w:val="20"/>
        </w:rPr>
        <w:t>95;</w:t>
      </w:r>
      <w:r w:rsidRPr="000977F7">
        <w:rPr>
          <w:rFonts w:asciiTheme="majorHAnsi" w:hAnsiTheme="majorHAnsi"/>
          <w:i/>
          <w:spacing w:val="-2"/>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BBE604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ТИМЧАСОВЕ</w:t>
      </w:r>
      <w:r w:rsidRPr="000977F7">
        <w:rPr>
          <w:color w:val="auto"/>
          <w:spacing w:val="-3"/>
          <w:sz w:val="20"/>
          <w:szCs w:val="20"/>
        </w:rPr>
        <w:t xml:space="preserve"> </w:t>
      </w:r>
      <w:r w:rsidRPr="000977F7">
        <w:rPr>
          <w:color w:val="auto"/>
          <w:sz w:val="20"/>
          <w:szCs w:val="20"/>
        </w:rPr>
        <w:t>РОБОЧЕ</w:t>
      </w:r>
      <w:r w:rsidRPr="000977F7">
        <w:rPr>
          <w:color w:val="auto"/>
          <w:spacing w:val="-3"/>
          <w:sz w:val="20"/>
          <w:szCs w:val="20"/>
        </w:rPr>
        <w:t xml:space="preserve"> </w:t>
      </w:r>
      <w:r w:rsidRPr="000977F7">
        <w:rPr>
          <w:color w:val="auto"/>
          <w:sz w:val="20"/>
          <w:szCs w:val="20"/>
        </w:rPr>
        <w:t>МІСЦЕ –</w:t>
      </w:r>
    </w:p>
    <w:p w14:paraId="618053A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Робоче місце, на якому працівник перебуває менше</w:t>
      </w:r>
      <w:r w:rsidRPr="000977F7">
        <w:rPr>
          <w:rFonts w:asciiTheme="majorHAnsi" w:hAnsiTheme="majorHAnsi"/>
          <w:spacing w:val="1"/>
          <w:sz w:val="20"/>
          <w:szCs w:val="20"/>
        </w:rPr>
        <w:t xml:space="preserve"> </w:t>
      </w:r>
      <w:r w:rsidRPr="000977F7">
        <w:rPr>
          <w:rFonts w:asciiTheme="majorHAnsi" w:hAnsiTheme="majorHAnsi"/>
          <w:sz w:val="20"/>
          <w:szCs w:val="20"/>
        </w:rPr>
        <w:t>половини або меншу частину (менше двох годин неперервно)</w:t>
      </w:r>
      <w:r w:rsidRPr="000977F7">
        <w:rPr>
          <w:rFonts w:asciiTheme="majorHAnsi" w:hAnsiTheme="majorHAnsi"/>
          <w:spacing w:val="-1"/>
          <w:sz w:val="20"/>
          <w:szCs w:val="20"/>
        </w:rPr>
        <w:t xml:space="preserve"> </w:t>
      </w:r>
      <w:r w:rsidRPr="000977F7">
        <w:rPr>
          <w:rFonts w:asciiTheme="majorHAnsi" w:hAnsiTheme="majorHAnsi"/>
          <w:sz w:val="20"/>
          <w:szCs w:val="20"/>
        </w:rPr>
        <w:t>тривалості</w:t>
      </w:r>
      <w:r w:rsidRPr="000977F7">
        <w:rPr>
          <w:rFonts w:asciiTheme="majorHAnsi" w:hAnsiTheme="majorHAnsi"/>
          <w:spacing w:val="-2"/>
          <w:sz w:val="20"/>
          <w:szCs w:val="20"/>
        </w:rPr>
        <w:t xml:space="preserve"> </w:t>
      </w:r>
      <w:r w:rsidRPr="000977F7">
        <w:rPr>
          <w:rFonts w:asciiTheme="majorHAnsi" w:hAnsiTheme="majorHAnsi"/>
          <w:sz w:val="20"/>
          <w:szCs w:val="20"/>
        </w:rPr>
        <w:t>щоденної</w:t>
      </w:r>
      <w:r w:rsidRPr="000977F7">
        <w:rPr>
          <w:rFonts w:asciiTheme="majorHAnsi" w:hAnsiTheme="majorHAnsi"/>
          <w:spacing w:val="-2"/>
          <w:sz w:val="20"/>
          <w:szCs w:val="20"/>
        </w:rPr>
        <w:t xml:space="preserve"> </w:t>
      </w:r>
      <w:r w:rsidRPr="000977F7">
        <w:rPr>
          <w:rFonts w:asciiTheme="majorHAnsi" w:hAnsiTheme="majorHAnsi"/>
          <w:sz w:val="20"/>
          <w:szCs w:val="20"/>
        </w:rPr>
        <w:t>роботи</w:t>
      </w:r>
      <w:r w:rsidRPr="000977F7">
        <w:rPr>
          <w:rFonts w:asciiTheme="majorHAnsi" w:hAnsiTheme="majorHAnsi"/>
          <w:spacing w:val="-2"/>
          <w:sz w:val="20"/>
          <w:szCs w:val="20"/>
        </w:rPr>
        <w:t xml:space="preserve"> </w:t>
      </w:r>
      <w:r w:rsidRPr="000977F7">
        <w:rPr>
          <w:rFonts w:asciiTheme="majorHAnsi" w:hAnsiTheme="majorHAnsi"/>
          <w:sz w:val="20"/>
          <w:szCs w:val="20"/>
        </w:rPr>
        <w:t>(зміни)</w:t>
      </w:r>
    </w:p>
    <w:p w14:paraId="131692B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ТИП</w:t>
      </w:r>
      <w:r w:rsidRPr="000977F7">
        <w:rPr>
          <w:color w:val="auto"/>
          <w:spacing w:val="-2"/>
          <w:sz w:val="20"/>
          <w:szCs w:val="20"/>
        </w:rPr>
        <w:t xml:space="preserve"> </w:t>
      </w:r>
      <w:r w:rsidRPr="000977F7">
        <w:rPr>
          <w:color w:val="auto"/>
          <w:sz w:val="20"/>
          <w:szCs w:val="20"/>
        </w:rPr>
        <w:t>ВИРОБНИЦТВА</w:t>
      </w:r>
      <w:r w:rsidRPr="000977F7">
        <w:rPr>
          <w:color w:val="auto"/>
          <w:spacing w:val="-1"/>
          <w:sz w:val="20"/>
          <w:szCs w:val="20"/>
        </w:rPr>
        <w:t xml:space="preserve"> </w:t>
      </w:r>
      <w:r w:rsidRPr="000977F7">
        <w:rPr>
          <w:color w:val="auto"/>
          <w:sz w:val="20"/>
          <w:szCs w:val="20"/>
        </w:rPr>
        <w:t>–</w:t>
      </w:r>
    </w:p>
    <w:p w14:paraId="6407A7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Класифікаційна</w:t>
      </w:r>
      <w:r w:rsidRPr="000977F7">
        <w:rPr>
          <w:rFonts w:asciiTheme="majorHAnsi" w:hAnsiTheme="majorHAnsi"/>
          <w:spacing w:val="1"/>
          <w:sz w:val="20"/>
          <w:szCs w:val="20"/>
        </w:rPr>
        <w:t xml:space="preserve"> </w:t>
      </w:r>
      <w:r w:rsidRPr="000977F7">
        <w:rPr>
          <w:rFonts w:asciiTheme="majorHAnsi" w:hAnsiTheme="majorHAnsi"/>
          <w:sz w:val="20"/>
          <w:szCs w:val="20"/>
        </w:rPr>
        <w:t>категорія</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вирізняється за ознаками широти номенклатури, регулярності,</w:t>
      </w:r>
      <w:r w:rsidRPr="000977F7">
        <w:rPr>
          <w:rFonts w:asciiTheme="majorHAnsi" w:hAnsiTheme="majorHAnsi"/>
          <w:spacing w:val="-1"/>
          <w:sz w:val="20"/>
          <w:szCs w:val="20"/>
        </w:rPr>
        <w:t xml:space="preserve"> </w:t>
      </w:r>
      <w:r w:rsidRPr="000977F7">
        <w:rPr>
          <w:rFonts w:asciiTheme="majorHAnsi" w:hAnsiTheme="majorHAnsi"/>
          <w:sz w:val="20"/>
          <w:szCs w:val="20"/>
        </w:rPr>
        <w:t>стабільності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обсягу</w:t>
      </w:r>
      <w:r w:rsidRPr="000977F7">
        <w:rPr>
          <w:rFonts w:asciiTheme="majorHAnsi" w:hAnsiTheme="majorHAnsi"/>
          <w:spacing w:val="-1"/>
          <w:sz w:val="20"/>
          <w:szCs w:val="20"/>
        </w:rPr>
        <w:t xml:space="preserve"> </w:t>
      </w:r>
      <w:r w:rsidRPr="000977F7">
        <w:rPr>
          <w:rFonts w:asciiTheme="majorHAnsi" w:hAnsiTheme="majorHAnsi"/>
          <w:sz w:val="20"/>
          <w:szCs w:val="20"/>
        </w:rPr>
        <w:t>випуску</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14B5F4C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37D09E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ТИП МАШИНИ –</w:t>
      </w:r>
    </w:p>
    <w:p w14:paraId="0EF0D96E"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Класифікація за ознаками призначеного застосування, конструктивної подібності та ризику</w:t>
      </w:r>
    </w:p>
    <w:p w14:paraId="48D1F886"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Технічний регламент безпеки машин</w:t>
      </w:r>
    </w:p>
    <w:p w14:paraId="3A3802EC" w14:textId="77777777" w:rsidR="0097612F" w:rsidRPr="000977F7" w:rsidRDefault="0097612F" w:rsidP="000977F7">
      <w:pPr>
        <w:pStyle w:val="7"/>
        <w:tabs>
          <w:tab w:val="left" w:pos="284"/>
        </w:tabs>
        <w:spacing w:before="0" w:line="240" w:lineRule="auto"/>
        <w:ind w:left="170"/>
        <w:mirrorIndents/>
        <w:jc w:val="both"/>
        <w:rPr>
          <w:color w:val="auto"/>
          <w:spacing w:val="-9"/>
          <w:sz w:val="20"/>
          <w:szCs w:val="20"/>
        </w:rPr>
      </w:pPr>
      <w:r w:rsidRPr="000977F7">
        <w:rPr>
          <w:color w:val="auto"/>
          <w:spacing w:val="-2"/>
          <w:sz w:val="20"/>
          <w:szCs w:val="20"/>
        </w:rPr>
        <w:t>ТИПИ</w:t>
      </w:r>
      <w:r w:rsidRPr="000977F7">
        <w:rPr>
          <w:color w:val="auto"/>
          <w:spacing w:val="-9"/>
          <w:sz w:val="20"/>
          <w:szCs w:val="20"/>
        </w:rPr>
        <w:t xml:space="preserve"> </w:t>
      </w:r>
      <w:r w:rsidRPr="000977F7">
        <w:rPr>
          <w:color w:val="auto"/>
          <w:spacing w:val="-2"/>
          <w:sz w:val="20"/>
          <w:szCs w:val="20"/>
        </w:rPr>
        <w:t>ДОКУМЕНТАЦІЇ,</w:t>
      </w:r>
      <w:r w:rsidRPr="000977F7">
        <w:rPr>
          <w:color w:val="auto"/>
          <w:spacing w:val="-7"/>
          <w:sz w:val="20"/>
          <w:szCs w:val="20"/>
        </w:rPr>
        <w:t xml:space="preserve"> </w:t>
      </w:r>
      <w:r w:rsidRPr="000977F7">
        <w:rPr>
          <w:color w:val="auto"/>
          <w:spacing w:val="-2"/>
          <w:sz w:val="20"/>
          <w:szCs w:val="20"/>
        </w:rPr>
        <w:t>ЯКА</w:t>
      </w:r>
      <w:r w:rsidRPr="000977F7">
        <w:rPr>
          <w:color w:val="auto"/>
          <w:spacing w:val="-9"/>
          <w:sz w:val="20"/>
          <w:szCs w:val="20"/>
        </w:rPr>
        <w:t xml:space="preserve"> </w:t>
      </w:r>
    </w:p>
    <w:p w14:paraId="11D4F43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2"/>
          <w:sz w:val="20"/>
          <w:szCs w:val="20"/>
        </w:rPr>
        <w:t>ЗАСТОСОВУЄТЬ</w:t>
      </w:r>
      <w:r w:rsidRPr="000977F7">
        <w:rPr>
          <w:color w:val="auto"/>
          <w:spacing w:val="-47"/>
          <w:sz w:val="20"/>
          <w:szCs w:val="20"/>
        </w:rPr>
        <w:t xml:space="preserve"> </w:t>
      </w:r>
      <w:r w:rsidRPr="000977F7">
        <w:rPr>
          <w:color w:val="auto"/>
          <w:spacing w:val="-1"/>
          <w:sz w:val="20"/>
          <w:szCs w:val="20"/>
        </w:rPr>
        <w:t>СЯ</w:t>
      </w:r>
      <w:r w:rsidRPr="000977F7">
        <w:rPr>
          <w:color w:val="auto"/>
          <w:spacing w:val="-11"/>
          <w:sz w:val="20"/>
          <w:szCs w:val="20"/>
        </w:rPr>
        <w:t xml:space="preserve"> </w:t>
      </w:r>
      <w:r w:rsidRPr="000977F7">
        <w:rPr>
          <w:color w:val="auto"/>
          <w:spacing w:val="-1"/>
          <w:sz w:val="20"/>
          <w:szCs w:val="20"/>
        </w:rPr>
        <w:t>В</w:t>
      </w:r>
      <w:r w:rsidRPr="000977F7">
        <w:rPr>
          <w:color w:val="auto"/>
          <w:spacing w:val="-9"/>
          <w:sz w:val="20"/>
          <w:szCs w:val="20"/>
        </w:rPr>
        <w:t xml:space="preserve"> </w:t>
      </w:r>
      <w:r w:rsidRPr="000977F7">
        <w:rPr>
          <w:color w:val="auto"/>
          <w:spacing w:val="-1"/>
          <w:sz w:val="20"/>
          <w:szCs w:val="20"/>
        </w:rPr>
        <w:t>СИСТЕМАХ</w:t>
      </w:r>
      <w:r w:rsidRPr="000977F7">
        <w:rPr>
          <w:color w:val="auto"/>
          <w:spacing w:val="-11"/>
          <w:sz w:val="20"/>
          <w:szCs w:val="20"/>
        </w:rPr>
        <w:t xml:space="preserve"> </w:t>
      </w:r>
      <w:r w:rsidRPr="000977F7">
        <w:rPr>
          <w:color w:val="auto"/>
          <w:sz w:val="20"/>
          <w:szCs w:val="20"/>
        </w:rPr>
        <w:t>МЕНЕДЖМЕНТУ</w:t>
      </w:r>
      <w:r w:rsidRPr="000977F7">
        <w:rPr>
          <w:color w:val="auto"/>
          <w:spacing w:val="-11"/>
          <w:sz w:val="20"/>
          <w:szCs w:val="20"/>
        </w:rPr>
        <w:t xml:space="preserve"> </w:t>
      </w:r>
      <w:r w:rsidRPr="000977F7">
        <w:rPr>
          <w:color w:val="auto"/>
          <w:sz w:val="20"/>
          <w:szCs w:val="20"/>
        </w:rPr>
        <w:t>ЯКОСТІ</w:t>
      </w:r>
      <w:r w:rsidRPr="000977F7">
        <w:rPr>
          <w:color w:val="auto"/>
          <w:spacing w:val="-11"/>
          <w:sz w:val="20"/>
          <w:szCs w:val="20"/>
        </w:rPr>
        <w:t xml:space="preserve"> </w:t>
      </w:r>
      <w:r w:rsidRPr="000977F7">
        <w:rPr>
          <w:color w:val="auto"/>
          <w:sz w:val="20"/>
          <w:szCs w:val="20"/>
        </w:rPr>
        <w:t>–</w:t>
      </w:r>
    </w:p>
    <w:p w14:paraId="31A9018D" w14:textId="77777777" w:rsidR="0097612F" w:rsidRPr="000977F7" w:rsidRDefault="0097612F" w:rsidP="000977F7">
      <w:pPr>
        <w:pStyle w:val="ac"/>
        <w:tabs>
          <w:tab w:val="left" w:pos="284"/>
          <w:tab w:val="left" w:pos="902"/>
        </w:tabs>
        <w:spacing w:after="0" w:line="240" w:lineRule="auto"/>
        <w:ind w:left="170"/>
        <w:mirrorIndents/>
        <w:jc w:val="both"/>
        <w:rPr>
          <w:rFonts w:asciiTheme="majorHAnsi" w:hAnsiTheme="majorHAnsi"/>
          <w:sz w:val="20"/>
          <w:szCs w:val="20"/>
        </w:rPr>
      </w:pPr>
      <w:r w:rsidRPr="004D2D14">
        <w:rPr>
          <w:rFonts w:asciiTheme="majorHAnsi" w:hAnsiTheme="majorHAnsi"/>
          <w:sz w:val="20"/>
          <w:szCs w:val="20"/>
          <w:lang w:val="uk-UA"/>
        </w:rPr>
        <w:t>Вимоги документування в системі менеджменту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походять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необхідності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підтвердження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наявності взаємозв’язку намірів, узгодженості дій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 надання об’єктивних доказів результатів. Є декілька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типів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документації,</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яка</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застосовується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системі менеджменту якості,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 саме: документація,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яка забезпечує узгоджену інформацію для внутрішнього та зовнішнього використання одночасно, про систему менеджменту якості організації.</w:t>
      </w:r>
      <w:r w:rsidRPr="004D2D14">
        <w:rPr>
          <w:rFonts w:asciiTheme="majorHAnsi" w:hAnsiTheme="majorHAnsi"/>
          <w:spacing w:val="1"/>
          <w:sz w:val="20"/>
          <w:szCs w:val="20"/>
          <w:lang w:val="uk-UA"/>
        </w:rPr>
        <w:t xml:space="preserve"> </w:t>
      </w:r>
      <w:r w:rsidRPr="000977F7">
        <w:rPr>
          <w:rFonts w:asciiTheme="majorHAnsi" w:hAnsiTheme="majorHAnsi"/>
          <w:sz w:val="20"/>
          <w:szCs w:val="20"/>
        </w:rPr>
        <w:t>Багато</w:t>
      </w:r>
      <w:r w:rsidRPr="000977F7">
        <w:rPr>
          <w:rFonts w:asciiTheme="majorHAnsi" w:hAnsiTheme="majorHAnsi"/>
          <w:spacing w:val="23"/>
          <w:sz w:val="20"/>
          <w:szCs w:val="20"/>
        </w:rPr>
        <w:t xml:space="preserve"> </w:t>
      </w:r>
      <w:r w:rsidRPr="000977F7">
        <w:rPr>
          <w:rFonts w:asciiTheme="majorHAnsi" w:hAnsiTheme="majorHAnsi"/>
          <w:sz w:val="20"/>
          <w:szCs w:val="20"/>
        </w:rPr>
        <w:t>організацій</w:t>
      </w:r>
      <w:r w:rsidRPr="000977F7">
        <w:rPr>
          <w:rFonts w:asciiTheme="majorHAnsi" w:hAnsiTheme="majorHAnsi"/>
          <w:spacing w:val="23"/>
          <w:sz w:val="20"/>
          <w:szCs w:val="20"/>
        </w:rPr>
        <w:t xml:space="preserve"> </w:t>
      </w:r>
      <w:r w:rsidRPr="000977F7">
        <w:rPr>
          <w:rFonts w:asciiTheme="majorHAnsi" w:hAnsiTheme="majorHAnsi"/>
          <w:sz w:val="20"/>
          <w:szCs w:val="20"/>
        </w:rPr>
        <w:t>називають</w:t>
      </w:r>
      <w:r w:rsidRPr="000977F7">
        <w:rPr>
          <w:rFonts w:asciiTheme="majorHAnsi" w:hAnsiTheme="majorHAnsi"/>
          <w:spacing w:val="22"/>
          <w:sz w:val="20"/>
          <w:szCs w:val="20"/>
        </w:rPr>
        <w:t xml:space="preserve"> </w:t>
      </w:r>
      <w:r w:rsidRPr="000977F7">
        <w:rPr>
          <w:rFonts w:asciiTheme="majorHAnsi" w:hAnsiTheme="majorHAnsi"/>
          <w:sz w:val="20"/>
          <w:szCs w:val="20"/>
        </w:rPr>
        <w:t>таку</w:t>
      </w:r>
      <w:r w:rsidRPr="000977F7">
        <w:rPr>
          <w:rFonts w:asciiTheme="majorHAnsi" w:hAnsiTheme="majorHAnsi"/>
          <w:spacing w:val="21"/>
          <w:sz w:val="20"/>
          <w:szCs w:val="20"/>
        </w:rPr>
        <w:t xml:space="preserve"> </w:t>
      </w:r>
      <w:r w:rsidRPr="000977F7">
        <w:rPr>
          <w:rFonts w:asciiTheme="majorHAnsi" w:hAnsiTheme="majorHAnsi"/>
          <w:sz w:val="20"/>
          <w:szCs w:val="20"/>
        </w:rPr>
        <w:t>документацію "</w:t>
      </w:r>
      <w:r w:rsidRPr="000977F7">
        <w:rPr>
          <w:rFonts w:asciiTheme="majorHAnsi" w:hAnsiTheme="majorHAnsi"/>
          <w:w w:val="95"/>
          <w:sz w:val="20"/>
          <w:szCs w:val="20"/>
        </w:rPr>
        <w:t>Керівництво</w:t>
      </w:r>
      <w:r w:rsidRPr="000977F7">
        <w:rPr>
          <w:rFonts w:asciiTheme="majorHAnsi" w:hAnsiTheme="majorHAnsi"/>
          <w:spacing w:val="5"/>
          <w:w w:val="95"/>
          <w:sz w:val="20"/>
          <w:szCs w:val="20"/>
        </w:rPr>
        <w:t xml:space="preserve"> </w:t>
      </w:r>
      <w:r w:rsidRPr="000977F7">
        <w:rPr>
          <w:rFonts w:asciiTheme="majorHAnsi" w:hAnsiTheme="majorHAnsi"/>
          <w:w w:val="95"/>
          <w:sz w:val="20"/>
          <w:szCs w:val="20"/>
        </w:rPr>
        <w:t>з</w:t>
      </w:r>
      <w:r w:rsidRPr="000977F7">
        <w:rPr>
          <w:rFonts w:asciiTheme="majorHAnsi" w:hAnsiTheme="majorHAnsi"/>
          <w:spacing w:val="6"/>
          <w:w w:val="95"/>
          <w:sz w:val="20"/>
          <w:szCs w:val="20"/>
        </w:rPr>
        <w:t xml:space="preserve"> </w:t>
      </w:r>
      <w:r w:rsidRPr="000977F7">
        <w:rPr>
          <w:rFonts w:asciiTheme="majorHAnsi" w:hAnsiTheme="majorHAnsi"/>
          <w:w w:val="95"/>
          <w:sz w:val="20"/>
          <w:szCs w:val="20"/>
        </w:rPr>
        <w:t>якості";</w:t>
      </w:r>
    </w:p>
    <w:p w14:paraId="3BAD3A77" w14:textId="77777777" w:rsidR="0097612F" w:rsidRPr="000977F7" w:rsidRDefault="0097612F" w:rsidP="00FD39A4">
      <w:pPr>
        <w:pStyle w:val="ac"/>
        <w:widowControl w:val="0"/>
        <w:numPr>
          <w:ilvl w:val="1"/>
          <w:numId w:val="180"/>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документація, яка описує, як система менеджменту якості або її елементи застосовуються до конкретної продукції, проекту або контракту. Багато</w:t>
      </w:r>
      <w:r w:rsidRPr="000977F7">
        <w:rPr>
          <w:rFonts w:asciiTheme="majorHAnsi" w:hAnsiTheme="majorHAnsi"/>
          <w:spacing w:val="1"/>
          <w:sz w:val="20"/>
          <w:szCs w:val="20"/>
        </w:rPr>
        <w:t xml:space="preserve"> </w:t>
      </w:r>
      <w:r w:rsidRPr="000977F7">
        <w:rPr>
          <w:rFonts w:asciiTheme="majorHAnsi" w:hAnsiTheme="majorHAnsi"/>
          <w:spacing w:val="1"/>
          <w:w w:val="99"/>
          <w:sz w:val="20"/>
          <w:szCs w:val="20"/>
        </w:rPr>
        <w:t>ор</w:t>
      </w:r>
      <w:r w:rsidRPr="000977F7">
        <w:rPr>
          <w:rFonts w:asciiTheme="majorHAnsi" w:hAnsiTheme="majorHAnsi"/>
          <w:spacing w:val="-1"/>
          <w:w w:val="99"/>
          <w:sz w:val="20"/>
          <w:szCs w:val="20"/>
        </w:rPr>
        <w:t>ган</w:t>
      </w:r>
      <w:r w:rsidRPr="000977F7">
        <w:rPr>
          <w:rFonts w:asciiTheme="majorHAnsi" w:hAnsiTheme="majorHAnsi"/>
          <w:w w:val="99"/>
          <w:sz w:val="20"/>
          <w:szCs w:val="20"/>
        </w:rPr>
        <w:t>іза</w:t>
      </w:r>
      <w:r w:rsidRPr="000977F7">
        <w:rPr>
          <w:rFonts w:asciiTheme="majorHAnsi" w:hAnsiTheme="majorHAnsi"/>
          <w:spacing w:val="-2"/>
          <w:w w:val="99"/>
          <w:sz w:val="20"/>
          <w:szCs w:val="20"/>
        </w:rPr>
        <w:t>ц</w:t>
      </w:r>
      <w:r w:rsidRPr="000977F7">
        <w:rPr>
          <w:rFonts w:asciiTheme="majorHAnsi" w:hAnsiTheme="majorHAnsi"/>
          <w:spacing w:val="2"/>
          <w:w w:val="99"/>
          <w:sz w:val="20"/>
          <w:szCs w:val="20"/>
        </w:rPr>
        <w:t>і</w:t>
      </w:r>
      <w:r w:rsidRPr="000977F7">
        <w:rPr>
          <w:rFonts w:asciiTheme="majorHAnsi" w:hAnsiTheme="majorHAnsi"/>
          <w:w w:val="99"/>
          <w:sz w:val="20"/>
          <w:szCs w:val="20"/>
        </w:rPr>
        <w:t>й</w:t>
      </w:r>
      <w:r w:rsidRPr="000977F7">
        <w:rPr>
          <w:rFonts w:asciiTheme="majorHAnsi" w:hAnsiTheme="majorHAnsi"/>
          <w:spacing w:val="8"/>
          <w:sz w:val="20"/>
          <w:szCs w:val="20"/>
        </w:rPr>
        <w:t xml:space="preserve"> </w:t>
      </w:r>
      <w:r w:rsidRPr="000977F7">
        <w:rPr>
          <w:rFonts w:asciiTheme="majorHAnsi" w:hAnsiTheme="majorHAnsi"/>
          <w:spacing w:val="-2"/>
          <w:w w:val="99"/>
          <w:sz w:val="20"/>
          <w:szCs w:val="20"/>
        </w:rPr>
        <w:t>н</w:t>
      </w:r>
      <w:r w:rsidRPr="000977F7">
        <w:rPr>
          <w:rFonts w:asciiTheme="majorHAnsi" w:hAnsiTheme="majorHAnsi"/>
          <w:w w:val="99"/>
          <w:sz w:val="20"/>
          <w:szCs w:val="20"/>
        </w:rPr>
        <w:t>аз</w:t>
      </w:r>
      <w:r w:rsidRPr="000977F7">
        <w:rPr>
          <w:rFonts w:asciiTheme="majorHAnsi" w:hAnsiTheme="majorHAnsi"/>
          <w:spacing w:val="1"/>
          <w:w w:val="99"/>
          <w:sz w:val="20"/>
          <w:szCs w:val="20"/>
        </w:rPr>
        <w:t>и</w:t>
      </w:r>
      <w:r w:rsidRPr="000977F7">
        <w:rPr>
          <w:rFonts w:asciiTheme="majorHAnsi" w:hAnsiTheme="majorHAnsi"/>
          <w:spacing w:val="-1"/>
          <w:w w:val="99"/>
          <w:sz w:val="20"/>
          <w:szCs w:val="20"/>
        </w:rPr>
        <w:t>вают</w:t>
      </w:r>
      <w:r w:rsidRPr="000977F7">
        <w:rPr>
          <w:rFonts w:asciiTheme="majorHAnsi" w:hAnsiTheme="majorHAnsi"/>
          <w:w w:val="99"/>
          <w:sz w:val="20"/>
          <w:szCs w:val="20"/>
        </w:rPr>
        <w:t>ь</w:t>
      </w:r>
      <w:r w:rsidRPr="000977F7">
        <w:rPr>
          <w:rFonts w:asciiTheme="majorHAnsi" w:hAnsiTheme="majorHAnsi"/>
          <w:spacing w:val="12"/>
          <w:sz w:val="20"/>
          <w:szCs w:val="20"/>
        </w:rPr>
        <w:t xml:space="preserve"> </w:t>
      </w:r>
      <w:r w:rsidRPr="000977F7">
        <w:rPr>
          <w:rFonts w:asciiTheme="majorHAnsi" w:hAnsiTheme="majorHAnsi"/>
          <w:spacing w:val="-1"/>
          <w:w w:val="99"/>
          <w:sz w:val="20"/>
          <w:szCs w:val="20"/>
        </w:rPr>
        <w:t>т</w:t>
      </w:r>
      <w:r w:rsidRPr="000977F7">
        <w:rPr>
          <w:rFonts w:asciiTheme="majorHAnsi" w:hAnsiTheme="majorHAnsi"/>
          <w:w w:val="99"/>
          <w:sz w:val="20"/>
          <w:szCs w:val="20"/>
        </w:rPr>
        <w:t>а</w:t>
      </w:r>
      <w:r w:rsidRPr="000977F7">
        <w:rPr>
          <w:rFonts w:asciiTheme="majorHAnsi" w:hAnsiTheme="majorHAnsi"/>
          <w:spacing w:val="1"/>
          <w:w w:val="99"/>
          <w:sz w:val="20"/>
          <w:szCs w:val="20"/>
        </w:rPr>
        <w:t>к</w:t>
      </w:r>
      <w:r w:rsidRPr="000977F7">
        <w:rPr>
          <w:rFonts w:asciiTheme="majorHAnsi" w:hAnsiTheme="majorHAnsi"/>
          <w:w w:val="99"/>
          <w:sz w:val="20"/>
          <w:szCs w:val="20"/>
        </w:rPr>
        <w:t>у</w:t>
      </w:r>
      <w:r w:rsidRPr="000977F7">
        <w:rPr>
          <w:rFonts w:asciiTheme="majorHAnsi" w:hAnsiTheme="majorHAnsi"/>
          <w:spacing w:val="8"/>
          <w:sz w:val="20"/>
          <w:szCs w:val="20"/>
        </w:rPr>
        <w:t xml:space="preserve"> </w:t>
      </w:r>
      <w:r w:rsidRPr="000977F7">
        <w:rPr>
          <w:rFonts w:asciiTheme="majorHAnsi" w:hAnsiTheme="majorHAnsi"/>
          <w:w w:val="99"/>
          <w:sz w:val="20"/>
          <w:szCs w:val="20"/>
        </w:rPr>
        <w:t>до</w:t>
      </w:r>
      <w:r w:rsidRPr="000977F7">
        <w:rPr>
          <w:rFonts w:asciiTheme="majorHAnsi" w:hAnsiTheme="majorHAnsi"/>
          <w:spacing w:val="1"/>
          <w:w w:val="99"/>
          <w:sz w:val="20"/>
          <w:szCs w:val="20"/>
        </w:rPr>
        <w:t>к</w:t>
      </w:r>
      <w:r w:rsidRPr="000977F7">
        <w:rPr>
          <w:rFonts w:asciiTheme="majorHAnsi" w:hAnsiTheme="majorHAnsi"/>
          <w:spacing w:val="-4"/>
          <w:w w:val="99"/>
          <w:sz w:val="20"/>
          <w:szCs w:val="20"/>
        </w:rPr>
        <w:t>у</w:t>
      </w:r>
      <w:r w:rsidRPr="000977F7">
        <w:rPr>
          <w:rFonts w:asciiTheme="majorHAnsi" w:hAnsiTheme="majorHAnsi"/>
          <w:spacing w:val="1"/>
          <w:w w:val="99"/>
          <w:sz w:val="20"/>
          <w:szCs w:val="20"/>
        </w:rPr>
        <w:t>м</w:t>
      </w:r>
      <w:r w:rsidRPr="000977F7">
        <w:rPr>
          <w:rFonts w:asciiTheme="majorHAnsi" w:hAnsiTheme="majorHAnsi"/>
          <w:spacing w:val="2"/>
          <w:w w:val="99"/>
          <w:sz w:val="20"/>
          <w:szCs w:val="20"/>
        </w:rPr>
        <w:t>е</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т</w:t>
      </w:r>
      <w:r w:rsidRPr="000977F7">
        <w:rPr>
          <w:rFonts w:asciiTheme="majorHAnsi" w:hAnsiTheme="majorHAnsi"/>
          <w:spacing w:val="2"/>
          <w:w w:val="99"/>
          <w:sz w:val="20"/>
          <w:szCs w:val="20"/>
        </w:rPr>
        <w:t>а</w:t>
      </w:r>
      <w:r w:rsidRPr="000977F7">
        <w:rPr>
          <w:rFonts w:asciiTheme="majorHAnsi" w:hAnsiTheme="majorHAnsi"/>
          <w:spacing w:val="-2"/>
          <w:w w:val="99"/>
          <w:sz w:val="20"/>
          <w:szCs w:val="20"/>
        </w:rPr>
        <w:t>ц</w:t>
      </w:r>
      <w:r w:rsidRPr="000977F7">
        <w:rPr>
          <w:rFonts w:asciiTheme="majorHAnsi" w:hAnsiTheme="majorHAnsi"/>
          <w:w w:val="99"/>
          <w:sz w:val="20"/>
          <w:szCs w:val="20"/>
        </w:rPr>
        <w:t>ію</w:t>
      </w:r>
      <w:r w:rsidRPr="000977F7">
        <w:rPr>
          <w:rFonts w:asciiTheme="majorHAnsi" w:hAnsiTheme="majorHAnsi"/>
          <w:spacing w:val="12"/>
          <w:sz w:val="20"/>
          <w:szCs w:val="20"/>
        </w:rPr>
        <w:t xml:space="preserve"> "</w:t>
      </w:r>
      <w:r w:rsidRPr="000977F7">
        <w:rPr>
          <w:rFonts w:asciiTheme="majorHAnsi" w:hAnsiTheme="majorHAnsi"/>
          <w:spacing w:val="-1"/>
          <w:w w:val="99"/>
          <w:sz w:val="20"/>
          <w:szCs w:val="20"/>
        </w:rPr>
        <w:t>Пл</w:t>
      </w:r>
      <w:r w:rsidRPr="000977F7">
        <w:rPr>
          <w:rFonts w:asciiTheme="majorHAnsi" w:hAnsiTheme="majorHAnsi"/>
          <w:spacing w:val="2"/>
          <w:w w:val="99"/>
          <w:sz w:val="20"/>
          <w:szCs w:val="20"/>
        </w:rPr>
        <w:t>а</w:t>
      </w:r>
      <w:r w:rsidRPr="000977F7">
        <w:rPr>
          <w:rFonts w:asciiTheme="majorHAnsi" w:hAnsiTheme="majorHAnsi"/>
          <w:spacing w:val="1"/>
          <w:w w:val="99"/>
          <w:sz w:val="20"/>
          <w:szCs w:val="20"/>
        </w:rPr>
        <w:t>н</w:t>
      </w:r>
      <w:r w:rsidRPr="000977F7">
        <w:rPr>
          <w:rFonts w:asciiTheme="majorHAnsi" w:hAnsiTheme="majorHAnsi"/>
          <w:w w:val="99"/>
          <w:sz w:val="20"/>
          <w:szCs w:val="20"/>
        </w:rPr>
        <w:t xml:space="preserve">и </w:t>
      </w:r>
      <w:r w:rsidRPr="000977F7">
        <w:rPr>
          <w:rFonts w:asciiTheme="majorHAnsi" w:hAnsiTheme="majorHAnsi"/>
          <w:sz w:val="20"/>
          <w:szCs w:val="20"/>
        </w:rPr>
        <w:t>якості";</w:t>
      </w:r>
    </w:p>
    <w:p w14:paraId="7FA8C291" w14:textId="77777777" w:rsidR="0097612F" w:rsidRPr="000977F7" w:rsidRDefault="0097612F" w:rsidP="00FD39A4">
      <w:pPr>
        <w:pStyle w:val="ac"/>
        <w:widowControl w:val="0"/>
        <w:numPr>
          <w:ilvl w:val="1"/>
          <w:numId w:val="180"/>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документація, яка забезпечує узгоджену інформацію про те, як здійснюється діяльність або процеси. Багато організацій називають таку документа</w:t>
      </w:r>
      <w:r w:rsidRPr="000977F7">
        <w:rPr>
          <w:rFonts w:asciiTheme="majorHAnsi" w:hAnsiTheme="majorHAnsi"/>
          <w:spacing w:val="-2"/>
          <w:w w:val="99"/>
          <w:sz w:val="20"/>
          <w:szCs w:val="20"/>
        </w:rPr>
        <w:t>ц</w:t>
      </w:r>
      <w:r w:rsidRPr="000977F7">
        <w:rPr>
          <w:rFonts w:asciiTheme="majorHAnsi" w:hAnsiTheme="majorHAnsi"/>
          <w:w w:val="99"/>
          <w:sz w:val="20"/>
          <w:szCs w:val="20"/>
        </w:rPr>
        <w:t>ію</w:t>
      </w:r>
      <w:r w:rsidRPr="000977F7">
        <w:rPr>
          <w:rFonts w:asciiTheme="majorHAnsi" w:hAnsiTheme="majorHAnsi"/>
          <w:spacing w:val="2"/>
          <w:sz w:val="20"/>
          <w:szCs w:val="20"/>
        </w:rPr>
        <w:t xml:space="preserve"> "</w:t>
      </w:r>
      <w:r w:rsidRPr="000977F7">
        <w:rPr>
          <w:rFonts w:asciiTheme="majorHAnsi" w:hAnsiTheme="majorHAnsi"/>
          <w:spacing w:val="-1"/>
          <w:w w:val="99"/>
          <w:sz w:val="20"/>
          <w:szCs w:val="20"/>
        </w:rPr>
        <w:t>П</w:t>
      </w:r>
      <w:r w:rsidRPr="000977F7">
        <w:rPr>
          <w:rFonts w:asciiTheme="majorHAnsi" w:hAnsiTheme="majorHAnsi"/>
          <w:spacing w:val="1"/>
          <w:w w:val="99"/>
          <w:sz w:val="20"/>
          <w:szCs w:val="20"/>
        </w:rPr>
        <w:t>ро</w:t>
      </w:r>
      <w:r w:rsidRPr="000977F7">
        <w:rPr>
          <w:rFonts w:asciiTheme="majorHAnsi" w:hAnsiTheme="majorHAnsi"/>
          <w:spacing w:val="-2"/>
          <w:w w:val="99"/>
          <w:sz w:val="20"/>
          <w:szCs w:val="20"/>
        </w:rPr>
        <w:t>ц</w:t>
      </w:r>
      <w:r w:rsidRPr="000977F7">
        <w:rPr>
          <w:rFonts w:asciiTheme="majorHAnsi" w:hAnsiTheme="majorHAnsi"/>
          <w:w w:val="99"/>
          <w:sz w:val="20"/>
          <w:szCs w:val="20"/>
        </w:rPr>
        <w:t>е</w:t>
      </w:r>
      <w:r w:rsidRPr="000977F7">
        <w:rPr>
          <w:rFonts w:asciiTheme="majorHAnsi" w:hAnsiTheme="majorHAnsi"/>
          <w:spacing w:val="2"/>
          <w:w w:val="99"/>
          <w:sz w:val="20"/>
          <w:szCs w:val="20"/>
        </w:rPr>
        <w:t>д</w:t>
      </w:r>
      <w:r w:rsidRPr="000977F7">
        <w:rPr>
          <w:rFonts w:asciiTheme="majorHAnsi" w:hAnsiTheme="majorHAnsi"/>
          <w:spacing w:val="-2"/>
          <w:w w:val="99"/>
          <w:sz w:val="20"/>
          <w:szCs w:val="20"/>
        </w:rPr>
        <w:t>у</w:t>
      </w:r>
      <w:r w:rsidRPr="000977F7">
        <w:rPr>
          <w:rFonts w:asciiTheme="majorHAnsi" w:hAnsiTheme="majorHAnsi"/>
          <w:spacing w:val="1"/>
          <w:w w:val="99"/>
          <w:sz w:val="20"/>
          <w:szCs w:val="20"/>
        </w:rPr>
        <w:t>р</w:t>
      </w:r>
      <w:r w:rsidRPr="000977F7">
        <w:rPr>
          <w:rFonts w:asciiTheme="majorHAnsi" w:hAnsiTheme="majorHAnsi"/>
          <w:spacing w:val="-2"/>
          <w:w w:val="99"/>
          <w:sz w:val="20"/>
          <w:szCs w:val="20"/>
        </w:rPr>
        <w:t>и"</w:t>
      </w:r>
      <w:r w:rsidRPr="000977F7">
        <w:rPr>
          <w:rFonts w:asciiTheme="majorHAnsi" w:hAnsiTheme="majorHAnsi"/>
          <w:w w:val="128"/>
          <w:sz w:val="20"/>
          <w:szCs w:val="20"/>
        </w:rPr>
        <w:t>;</w:t>
      </w:r>
    </w:p>
    <w:p w14:paraId="083D1EA1" w14:textId="77777777" w:rsidR="0097612F" w:rsidRPr="000977F7" w:rsidRDefault="0097612F" w:rsidP="00FD39A4">
      <w:pPr>
        <w:pStyle w:val="ac"/>
        <w:widowControl w:val="0"/>
        <w:numPr>
          <w:ilvl w:val="1"/>
          <w:numId w:val="180"/>
        </w:numPr>
        <w:tabs>
          <w:tab w:val="left" w:pos="284"/>
          <w:tab w:val="left" w:pos="6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документація, яка надає об’єктивний доказ здійснення діяльності або досягнутих результатів. Таку</w:t>
      </w:r>
      <w:r w:rsidRPr="000977F7">
        <w:rPr>
          <w:rFonts w:asciiTheme="majorHAnsi" w:hAnsiTheme="majorHAnsi"/>
          <w:spacing w:val="-47"/>
          <w:sz w:val="20"/>
          <w:szCs w:val="20"/>
        </w:rPr>
        <w:t xml:space="preserve"> </w:t>
      </w:r>
      <w:r w:rsidRPr="000977F7">
        <w:rPr>
          <w:rFonts w:asciiTheme="majorHAnsi" w:hAnsiTheme="majorHAnsi"/>
          <w:w w:val="99"/>
          <w:sz w:val="20"/>
          <w:szCs w:val="20"/>
        </w:rPr>
        <w:t>до</w:t>
      </w:r>
      <w:r w:rsidRPr="000977F7">
        <w:rPr>
          <w:rFonts w:asciiTheme="majorHAnsi" w:hAnsiTheme="majorHAnsi"/>
          <w:spacing w:val="1"/>
          <w:w w:val="99"/>
          <w:sz w:val="20"/>
          <w:szCs w:val="20"/>
        </w:rPr>
        <w:t>к</w:t>
      </w:r>
      <w:r w:rsidRPr="000977F7">
        <w:rPr>
          <w:rFonts w:asciiTheme="majorHAnsi" w:hAnsiTheme="majorHAnsi"/>
          <w:spacing w:val="-4"/>
          <w:w w:val="99"/>
          <w:sz w:val="20"/>
          <w:szCs w:val="20"/>
        </w:rPr>
        <w:t>у</w:t>
      </w:r>
      <w:r w:rsidRPr="000977F7">
        <w:rPr>
          <w:rFonts w:asciiTheme="majorHAnsi" w:hAnsiTheme="majorHAnsi"/>
          <w:spacing w:val="1"/>
          <w:w w:val="99"/>
          <w:sz w:val="20"/>
          <w:szCs w:val="20"/>
        </w:rPr>
        <w:t>м</w:t>
      </w:r>
      <w:r w:rsidRPr="000977F7">
        <w:rPr>
          <w:rFonts w:asciiTheme="majorHAnsi" w:hAnsiTheme="majorHAnsi"/>
          <w:spacing w:val="2"/>
          <w:w w:val="99"/>
          <w:sz w:val="20"/>
          <w:szCs w:val="20"/>
        </w:rPr>
        <w:t>е</w:t>
      </w:r>
      <w:r w:rsidRPr="000977F7">
        <w:rPr>
          <w:rFonts w:asciiTheme="majorHAnsi" w:hAnsiTheme="majorHAnsi"/>
          <w:spacing w:val="-2"/>
          <w:w w:val="99"/>
          <w:sz w:val="20"/>
          <w:szCs w:val="20"/>
        </w:rPr>
        <w:t>н</w:t>
      </w:r>
      <w:r w:rsidRPr="000977F7">
        <w:rPr>
          <w:rFonts w:asciiTheme="majorHAnsi" w:hAnsiTheme="majorHAnsi"/>
          <w:spacing w:val="-1"/>
          <w:w w:val="99"/>
          <w:sz w:val="20"/>
          <w:szCs w:val="20"/>
        </w:rPr>
        <w:t>т</w:t>
      </w:r>
      <w:r w:rsidRPr="000977F7">
        <w:rPr>
          <w:rFonts w:asciiTheme="majorHAnsi" w:hAnsiTheme="majorHAnsi"/>
          <w:spacing w:val="2"/>
          <w:w w:val="99"/>
          <w:sz w:val="20"/>
          <w:szCs w:val="20"/>
        </w:rPr>
        <w:t>а</w:t>
      </w:r>
      <w:r w:rsidRPr="000977F7">
        <w:rPr>
          <w:rFonts w:asciiTheme="majorHAnsi" w:hAnsiTheme="majorHAnsi"/>
          <w:spacing w:val="-2"/>
          <w:w w:val="99"/>
          <w:sz w:val="20"/>
          <w:szCs w:val="20"/>
        </w:rPr>
        <w:t>ц</w:t>
      </w:r>
      <w:r w:rsidRPr="000977F7">
        <w:rPr>
          <w:rFonts w:asciiTheme="majorHAnsi" w:hAnsiTheme="majorHAnsi"/>
          <w:w w:val="99"/>
          <w:sz w:val="20"/>
          <w:szCs w:val="20"/>
        </w:rPr>
        <w:t>ію</w:t>
      </w:r>
      <w:r w:rsidRPr="000977F7">
        <w:rPr>
          <w:rFonts w:asciiTheme="majorHAnsi" w:hAnsiTheme="majorHAnsi"/>
          <w:spacing w:val="-1"/>
          <w:sz w:val="20"/>
          <w:szCs w:val="20"/>
        </w:rPr>
        <w:t xml:space="preserve"> </w:t>
      </w:r>
      <w:r w:rsidRPr="000977F7">
        <w:rPr>
          <w:rFonts w:asciiTheme="majorHAnsi" w:hAnsiTheme="majorHAnsi"/>
          <w:spacing w:val="-1"/>
          <w:w w:val="99"/>
          <w:sz w:val="20"/>
          <w:szCs w:val="20"/>
        </w:rPr>
        <w:t>на</w:t>
      </w:r>
      <w:r w:rsidRPr="000977F7">
        <w:rPr>
          <w:rFonts w:asciiTheme="majorHAnsi" w:hAnsiTheme="majorHAnsi"/>
          <w:spacing w:val="2"/>
          <w:w w:val="99"/>
          <w:sz w:val="20"/>
          <w:szCs w:val="20"/>
        </w:rPr>
        <w:t>з</w:t>
      </w:r>
      <w:r w:rsidRPr="000977F7">
        <w:rPr>
          <w:rFonts w:asciiTheme="majorHAnsi" w:hAnsiTheme="majorHAnsi"/>
          <w:spacing w:val="-2"/>
          <w:w w:val="99"/>
          <w:sz w:val="20"/>
          <w:szCs w:val="20"/>
        </w:rPr>
        <w:t>и</w:t>
      </w:r>
      <w:r w:rsidRPr="000977F7">
        <w:rPr>
          <w:rFonts w:asciiTheme="majorHAnsi" w:hAnsiTheme="majorHAnsi"/>
          <w:spacing w:val="-1"/>
          <w:w w:val="99"/>
          <w:sz w:val="20"/>
          <w:szCs w:val="20"/>
        </w:rPr>
        <w:t>в</w:t>
      </w:r>
      <w:r w:rsidRPr="000977F7">
        <w:rPr>
          <w:rFonts w:asciiTheme="majorHAnsi" w:hAnsiTheme="majorHAnsi"/>
          <w:spacing w:val="2"/>
          <w:w w:val="99"/>
          <w:sz w:val="20"/>
          <w:szCs w:val="20"/>
        </w:rPr>
        <w:t>а</w:t>
      </w:r>
      <w:r w:rsidRPr="000977F7">
        <w:rPr>
          <w:rFonts w:asciiTheme="majorHAnsi" w:hAnsiTheme="majorHAnsi"/>
          <w:spacing w:val="-1"/>
          <w:w w:val="99"/>
          <w:sz w:val="20"/>
          <w:szCs w:val="20"/>
        </w:rPr>
        <w:t>ют</w:t>
      </w:r>
      <w:r w:rsidRPr="000977F7">
        <w:rPr>
          <w:rFonts w:asciiTheme="majorHAnsi" w:hAnsiTheme="majorHAnsi"/>
          <w:w w:val="99"/>
          <w:sz w:val="20"/>
          <w:szCs w:val="20"/>
        </w:rPr>
        <w:t>ь</w:t>
      </w:r>
      <w:r w:rsidRPr="000977F7">
        <w:rPr>
          <w:rFonts w:asciiTheme="majorHAnsi" w:hAnsiTheme="majorHAnsi"/>
          <w:spacing w:val="2"/>
          <w:sz w:val="20"/>
          <w:szCs w:val="20"/>
        </w:rPr>
        <w:t xml:space="preserve"> "</w:t>
      </w:r>
      <w:r w:rsidRPr="000977F7">
        <w:rPr>
          <w:rFonts w:asciiTheme="majorHAnsi" w:hAnsiTheme="majorHAnsi"/>
          <w:spacing w:val="3"/>
          <w:w w:val="99"/>
          <w:sz w:val="20"/>
          <w:szCs w:val="20"/>
        </w:rPr>
        <w:t>З</w:t>
      </w:r>
      <w:r w:rsidRPr="000977F7">
        <w:rPr>
          <w:rFonts w:asciiTheme="majorHAnsi" w:hAnsiTheme="majorHAnsi"/>
          <w:spacing w:val="-1"/>
          <w:w w:val="99"/>
          <w:sz w:val="20"/>
          <w:szCs w:val="20"/>
        </w:rPr>
        <w:t>ві</w:t>
      </w:r>
      <w:r w:rsidRPr="000977F7">
        <w:rPr>
          <w:rFonts w:asciiTheme="majorHAnsi" w:hAnsiTheme="majorHAnsi"/>
          <w:spacing w:val="1"/>
          <w:w w:val="99"/>
          <w:sz w:val="20"/>
          <w:szCs w:val="20"/>
        </w:rPr>
        <w:t>т</w:t>
      </w:r>
      <w:r w:rsidRPr="000977F7">
        <w:rPr>
          <w:rFonts w:asciiTheme="majorHAnsi" w:hAnsiTheme="majorHAnsi"/>
          <w:spacing w:val="-2"/>
          <w:w w:val="99"/>
          <w:sz w:val="20"/>
          <w:szCs w:val="20"/>
        </w:rPr>
        <w:t>н</w:t>
      </w:r>
      <w:r w:rsidRPr="000977F7">
        <w:rPr>
          <w:rFonts w:asciiTheme="majorHAnsi" w:hAnsiTheme="majorHAnsi"/>
          <w:w w:val="99"/>
          <w:sz w:val="20"/>
          <w:szCs w:val="20"/>
        </w:rPr>
        <w:t>і</w:t>
      </w:r>
      <w:r w:rsidRPr="000977F7">
        <w:rPr>
          <w:rFonts w:asciiTheme="majorHAnsi" w:hAnsiTheme="majorHAnsi"/>
          <w:spacing w:val="-1"/>
          <w:sz w:val="20"/>
          <w:szCs w:val="20"/>
        </w:rPr>
        <w:t xml:space="preserve"> </w:t>
      </w:r>
      <w:r w:rsidRPr="000977F7">
        <w:rPr>
          <w:rFonts w:asciiTheme="majorHAnsi" w:hAnsiTheme="majorHAnsi"/>
          <w:w w:val="99"/>
          <w:sz w:val="20"/>
          <w:szCs w:val="20"/>
        </w:rPr>
        <w:t>д</w:t>
      </w:r>
      <w:r w:rsidRPr="000977F7">
        <w:rPr>
          <w:rFonts w:asciiTheme="majorHAnsi" w:hAnsiTheme="majorHAnsi"/>
          <w:spacing w:val="2"/>
          <w:w w:val="99"/>
          <w:sz w:val="20"/>
          <w:szCs w:val="20"/>
        </w:rPr>
        <w:t>а</w:t>
      </w:r>
      <w:r w:rsidRPr="000977F7">
        <w:rPr>
          <w:rFonts w:asciiTheme="majorHAnsi" w:hAnsiTheme="majorHAnsi"/>
          <w:spacing w:val="-2"/>
          <w:w w:val="99"/>
          <w:sz w:val="20"/>
          <w:szCs w:val="20"/>
        </w:rPr>
        <w:t>н</w:t>
      </w:r>
      <w:r w:rsidRPr="000977F7">
        <w:rPr>
          <w:rFonts w:asciiTheme="majorHAnsi" w:hAnsiTheme="majorHAnsi"/>
          <w:w w:val="119"/>
          <w:sz w:val="20"/>
          <w:szCs w:val="20"/>
        </w:rPr>
        <w:t>і".</w:t>
      </w:r>
    </w:p>
    <w:p w14:paraId="2BCCB3F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Кожна</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визначає</w:t>
      </w:r>
      <w:r w:rsidRPr="000977F7">
        <w:rPr>
          <w:rFonts w:asciiTheme="majorHAnsi" w:hAnsiTheme="majorHAnsi"/>
          <w:spacing w:val="1"/>
          <w:sz w:val="20"/>
          <w:szCs w:val="20"/>
        </w:rPr>
        <w:t xml:space="preserve"> </w:t>
      </w:r>
      <w:r w:rsidRPr="000977F7">
        <w:rPr>
          <w:rFonts w:asciiTheme="majorHAnsi" w:hAnsiTheme="majorHAnsi"/>
          <w:sz w:val="20"/>
          <w:szCs w:val="20"/>
        </w:rPr>
        <w:t>потрібний</w:t>
      </w:r>
      <w:r w:rsidRPr="000977F7">
        <w:rPr>
          <w:rFonts w:asciiTheme="majorHAnsi" w:hAnsiTheme="majorHAnsi"/>
          <w:spacing w:val="1"/>
          <w:sz w:val="20"/>
          <w:szCs w:val="20"/>
        </w:rPr>
        <w:t xml:space="preserve"> </w:t>
      </w:r>
      <w:r w:rsidRPr="000977F7">
        <w:rPr>
          <w:rFonts w:asciiTheme="majorHAnsi" w:hAnsiTheme="majorHAnsi"/>
          <w:sz w:val="20"/>
          <w:szCs w:val="20"/>
        </w:rPr>
        <w:t>ступінь</w:t>
      </w:r>
      <w:r w:rsidRPr="000977F7">
        <w:rPr>
          <w:rFonts w:asciiTheme="majorHAnsi" w:hAnsiTheme="majorHAnsi"/>
          <w:spacing w:val="1"/>
          <w:sz w:val="20"/>
          <w:szCs w:val="20"/>
        </w:rPr>
        <w:t xml:space="preserve"> </w:t>
      </w:r>
      <w:r w:rsidRPr="000977F7">
        <w:rPr>
          <w:rFonts w:asciiTheme="majorHAnsi" w:hAnsiTheme="majorHAnsi"/>
          <w:sz w:val="20"/>
          <w:szCs w:val="20"/>
        </w:rPr>
        <w:t>документування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застосовані</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цьому</w:t>
      </w:r>
      <w:r w:rsidRPr="000977F7">
        <w:rPr>
          <w:rFonts w:asciiTheme="majorHAnsi" w:hAnsiTheme="majorHAnsi"/>
          <w:spacing w:val="1"/>
          <w:sz w:val="20"/>
          <w:szCs w:val="20"/>
        </w:rPr>
        <w:t xml:space="preserve"> </w:t>
      </w:r>
      <w:r w:rsidRPr="000977F7">
        <w:rPr>
          <w:rFonts w:asciiTheme="majorHAnsi" w:hAnsiTheme="majorHAnsi"/>
          <w:sz w:val="20"/>
          <w:szCs w:val="20"/>
        </w:rPr>
        <w:t>засоби.</w:t>
      </w:r>
      <w:r w:rsidRPr="000977F7">
        <w:rPr>
          <w:rFonts w:asciiTheme="majorHAnsi" w:hAnsiTheme="majorHAnsi"/>
          <w:spacing w:val="1"/>
          <w:sz w:val="20"/>
          <w:szCs w:val="20"/>
        </w:rPr>
        <w:t xml:space="preserve"> </w:t>
      </w:r>
      <w:r w:rsidRPr="000977F7">
        <w:rPr>
          <w:rFonts w:asciiTheme="majorHAnsi" w:hAnsiTheme="majorHAnsi"/>
          <w:sz w:val="20"/>
          <w:szCs w:val="20"/>
        </w:rPr>
        <w:t>Це</w:t>
      </w:r>
      <w:r w:rsidRPr="000977F7">
        <w:rPr>
          <w:rFonts w:asciiTheme="majorHAnsi" w:hAnsiTheme="majorHAnsi"/>
          <w:spacing w:val="1"/>
          <w:sz w:val="20"/>
          <w:szCs w:val="20"/>
        </w:rPr>
        <w:t xml:space="preserve"> </w:t>
      </w:r>
      <w:r w:rsidRPr="000977F7">
        <w:rPr>
          <w:rFonts w:asciiTheme="majorHAnsi" w:hAnsiTheme="majorHAnsi"/>
          <w:sz w:val="20"/>
          <w:szCs w:val="20"/>
        </w:rPr>
        <w:t>залежить від таких факторів, як розмір і складність</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складність</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r w:rsidRPr="000977F7">
        <w:rPr>
          <w:rFonts w:asciiTheme="majorHAnsi" w:hAnsiTheme="majorHAnsi"/>
          <w:spacing w:val="1"/>
          <w:sz w:val="20"/>
          <w:szCs w:val="20"/>
        </w:rPr>
        <w:t xml:space="preserve"> </w:t>
      </w:r>
      <w:r w:rsidRPr="000977F7">
        <w:rPr>
          <w:rFonts w:asciiTheme="majorHAnsi" w:hAnsiTheme="majorHAnsi"/>
          <w:sz w:val="20"/>
          <w:szCs w:val="20"/>
        </w:rPr>
        <w:t>ризик</w:t>
      </w:r>
      <w:r w:rsidRPr="000977F7">
        <w:rPr>
          <w:rFonts w:asciiTheme="majorHAnsi" w:hAnsiTheme="majorHAnsi"/>
          <w:spacing w:val="1"/>
          <w:sz w:val="20"/>
          <w:szCs w:val="20"/>
        </w:rPr>
        <w:t xml:space="preserve"> </w:t>
      </w:r>
      <w:r w:rsidRPr="000977F7">
        <w:rPr>
          <w:rFonts w:asciiTheme="majorHAnsi" w:hAnsiTheme="majorHAnsi"/>
          <w:sz w:val="20"/>
          <w:szCs w:val="20"/>
        </w:rPr>
        <w:t>незадоволення вимог споживача, компетенція персоналу, а також ступень, з якою необхідно продемонструвати відповідність вимогам системи менеджменту</w:t>
      </w:r>
      <w:r w:rsidRPr="000977F7">
        <w:rPr>
          <w:rFonts w:asciiTheme="majorHAnsi" w:hAnsiTheme="majorHAnsi"/>
          <w:spacing w:val="1"/>
          <w:sz w:val="20"/>
          <w:szCs w:val="20"/>
        </w:rPr>
        <w:t xml:space="preserve"> </w:t>
      </w:r>
      <w:r w:rsidRPr="000977F7">
        <w:rPr>
          <w:rFonts w:asciiTheme="majorHAnsi" w:hAnsiTheme="majorHAnsi"/>
          <w:sz w:val="20"/>
          <w:szCs w:val="20"/>
        </w:rPr>
        <w:t>якості</w:t>
      </w:r>
    </w:p>
    <w:p w14:paraId="672114B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ТИП</w:t>
      </w:r>
      <w:r w:rsidRPr="000977F7">
        <w:rPr>
          <w:color w:val="auto"/>
          <w:spacing w:val="-2"/>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7B25D3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ITEM</w:t>
      </w:r>
      <w:r w:rsidRPr="000977F7">
        <w:rPr>
          <w:rFonts w:asciiTheme="majorHAnsi" w:hAnsiTheme="majorHAnsi"/>
          <w:spacing w:val="-3"/>
          <w:sz w:val="20"/>
          <w:szCs w:val="20"/>
        </w:rPr>
        <w:t xml:space="preserve"> </w:t>
      </w:r>
      <w:r w:rsidRPr="000977F7">
        <w:rPr>
          <w:rFonts w:asciiTheme="majorHAnsi" w:hAnsiTheme="majorHAnsi"/>
          <w:sz w:val="20"/>
          <w:szCs w:val="20"/>
        </w:rPr>
        <w:t>TYPE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531C5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Класифікаційно згрупована продукція, схожа за призначенням,</w:t>
      </w:r>
      <w:r w:rsidRPr="000977F7">
        <w:rPr>
          <w:rFonts w:asciiTheme="majorHAnsi" w:hAnsiTheme="majorHAnsi"/>
          <w:spacing w:val="1"/>
          <w:sz w:val="20"/>
          <w:szCs w:val="20"/>
        </w:rPr>
        <w:t xml:space="preserve"> </w:t>
      </w:r>
      <w:r w:rsidRPr="000977F7">
        <w:rPr>
          <w:rFonts w:asciiTheme="majorHAnsi" w:hAnsiTheme="majorHAnsi"/>
          <w:sz w:val="20"/>
          <w:szCs w:val="20"/>
        </w:rPr>
        <w:t>принципом</w:t>
      </w:r>
      <w:r w:rsidRPr="000977F7">
        <w:rPr>
          <w:rFonts w:asciiTheme="majorHAnsi" w:hAnsiTheme="majorHAnsi"/>
          <w:spacing w:val="1"/>
          <w:sz w:val="20"/>
          <w:szCs w:val="20"/>
        </w:rPr>
        <w:t xml:space="preserve"> </w:t>
      </w:r>
      <w:r w:rsidRPr="000977F7">
        <w:rPr>
          <w:rFonts w:asciiTheme="majorHAnsi" w:hAnsiTheme="majorHAnsi"/>
          <w:sz w:val="20"/>
          <w:szCs w:val="20"/>
        </w:rPr>
        <w:t>дії,</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конструктивним</w:t>
      </w:r>
      <w:r w:rsidRPr="000977F7">
        <w:rPr>
          <w:rFonts w:asciiTheme="majorHAnsi" w:hAnsiTheme="majorHAnsi"/>
          <w:spacing w:val="1"/>
          <w:sz w:val="20"/>
          <w:szCs w:val="20"/>
        </w:rPr>
        <w:t xml:space="preserve"> </w:t>
      </w:r>
      <w:r w:rsidRPr="000977F7">
        <w:rPr>
          <w:rFonts w:asciiTheme="majorHAnsi" w:hAnsiTheme="majorHAnsi"/>
          <w:sz w:val="20"/>
          <w:szCs w:val="20"/>
        </w:rPr>
        <w:t xml:space="preserve">виконанням і номенклатурою параметрів, що </w:t>
      </w:r>
      <w:r w:rsidRPr="000977F7">
        <w:rPr>
          <w:rFonts w:asciiTheme="majorHAnsi" w:hAnsiTheme="majorHAnsi"/>
          <w:sz w:val="20"/>
          <w:szCs w:val="20"/>
        </w:rPr>
        <w:t>повністю чи частково</w:t>
      </w:r>
      <w:r w:rsidRPr="000977F7">
        <w:rPr>
          <w:rFonts w:asciiTheme="majorHAnsi" w:hAnsiTheme="majorHAnsi"/>
          <w:spacing w:val="-1"/>
          <w:sz w:val="20"/>
          <w:szCs w:val="20"/>
        </w:rPr>
        <w:t xml:space="preserve"> </w:t>
      </w:r>
      <w:r w:rsidRPr="000977F7">
        <w:rPr>
          <w:rFonts w:asciiTheme="majorHAnsi" w:hAnsiTheme="majorHAnsi"/>
          <w:sz w:val="20"/>
          <w:szCs w:val="20"/>
        </w:rPr>
        <w:t>відображено</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марці</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116734D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F629A3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ТИП</w:t>
      </w:r>
      <w:r w:rsidRPr="000977F7">
        <w:rPr>
          <w:color w:val="auto"/>
          <w:spacing w:val="-1"/>
          <w:sz w:val="20"/>
          <w:szCs w:val="20"/>
        </w:rPr>
        <w:t xml:space="preserve"> </w:t>
      </w:r>
      <w:r w:rsidRPr="000977F7">
        <w:rPr>
          <w:color w:val="auto"/>
          <w:sz w:val="20"/>
          <w:szCs w:val="20"/>
        </w:rPr>
        <w:t>СХЕМИ –</w:t>
      </w:r>
    </w:p>
    <w:p w14:paraId="44C3B4E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Класифікаційна</w:t>
      </w:r>
      <w:r w:rsidRPr="000977F7">
        <w:rPr>
          <w:rFonts w:asciiTheme="majorHAnsi" w:hAnsiTheme="majorHAnsi"/>
          <w:spacing w:val="17"/>
          <w:sz w:val="20"/>
          <w:szCs w:val="20"/>
        </w:rPr>
        <w:t xml:space="preserve"> </w:t>
      </w:r>
      <w:r w:rsidRPr="000977F7">
        <w:rPr>
          <w:rFonts w:asciiTheme="majorHAnsi" w:hAnsiTheme="majorHAnsi"/>
          <w:sz w:val="20"/>
          <w:szCs w:val="20"/>
        </w:rPr>
        <w:t>група</w:t>
      </w:r>
      <w:r w:rsidRPr="000977F7">
        <w:rPr>
          <w:rFonts w:asciiTheme="majorHAnsi" w:hAnsiTheme="majorHAnsi"/>
          <w:spacing w:val="17"/>
          <w:sz w:val="20"/>
          <w:szCs w:val="20"/>
        </w:rPr>
        <w:t xml:space="preserve"> </w:t>
      </w:r>
      <w:r w:rsidRPr="000977F7">
        <w:rPr>
          <w:rFonts w:asciiTheme="majorHAnsi" w:hAnsiTheme="majorHAnsi"/>
          <w:sz w:val="20"/>
          <w:szCs w:val="20"/>
        </w:rPr>
        <w:t>схем,</w:t>
      </w:r>
      <w:r w:rsidRPr="000977F7">
        <w:rPr>
          <w:rFonts w:asciiTheme="majorHAnsi" w:hAnsiTheme="majorHAnsi"/>
          <w:spacing w:val="17"/>
          <w:sz w:val="20"/>
          <w:szCs w:val="20"/>
        </w:rPr>
        <w:t xml:space="preserve"> </w:t>
      </w:r>
      <w:r w:rsidRPr="000977F7">
        <w:rPr>
          <w:rFonts w:asciiTheme="majorHAnsi" w:hAnsiTheme="majorHAnsi"/>
          <w:sz w:val="20"/>
          <w:szCs w:val="20"/>
        </w:rPr>
        <w:t>об’єднаних</w:t>
      </w:r>
      <w:r w:rsidRPr="000977F7">
        <w:rPr>
          <w:rFonts w:asciiTheme="majorHAnsi" w:hAnsiTheme="majorHAnsi"/>
          <w:spacing w:val="15"/>
          <w:sz w:val="20"/>
          <w:szCs w:val="20"/>
        </w:rPr>
        <w:t xml:space="preserve"> </w:t>
      </w:r>
      <w:r w:rsidRPr="000977F7">
        <w:rPr>
          <w:rFonts w:asciiTheme="majorHAnsi" w:hAnsiTheme="majorHAnsi"/>
          <w:sz w:val="20"/>
          <w:szCs w:val="20"/>
        </w:rPr>
        <w:t>за</w:t>
      </w:r>
      <w:r w:rsidRPr="000977F7">
        <w:rPr>
          <w:rFonts w:asciiTheme="majorHAnsi" w:hAnsiTheme="majorHAnsi"/>
          <w:spacing w:val="21"/>
          <w:sz w:val="20"/>
          <w:szCs w:val="20"/>
        </w:rPr>
        <w:t xml:space="preserve"> </w:t>
      </w:r>
      <w:r w:rsidRPr="000977F7">
        <w:rPr>
          <w:rFonts w:asciiTheme="majorHAnsi" w:hAnsiTheme="majorHAnsi"/>
          <w:sz w:val="20"/>
          <w:szCs w:val="20"/>
        </w:rPr>
        <w:t>призначенням</w:t>
      </w:r>
    </w:p>
    <w:p w14:paraId="22FF07B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3321 – 2003</w:t>
      </w:r>
    </w:p>
    <w:p w14:paraId="2CD7A12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ТИПІЗАЦІЯ</w:t>
      </w:r>
      <w:r w:rsidRPr="000977F7">
        <w:rPr>
          <w:color w:val="auto"/>
          <w:spacing w:val="-3"/>
          <w:sz w:val="20"/>
          <w:szCs w:val="20"/>
        </w:rPr>
        <w:t xml:space="preserve"> </w:t>
      </w:r>
      <w:r w:rsidRPr="000977F7">
        <w:rPr>
          <w:color w:val="auto"/>
          <w:sz w:val="20"/>
          <w:szCs w:val="20"/>
        </w:rPr>
        <w:t>–</w:t>
      </w:r>
    </w:p>
    <w:p w14:paraId="674DBB9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DEVELOPMENT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TYPES –</w:t>
      </w:r>
    </w:p>
    <w:p w14:paraId="2C237890"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en-US"/>
        </w:rPr>
      </w:pPr>
      <w:r w:rsidRPr="000977F7">
        <w:rPr>
          <w:rFonts w:asciiTheme="majorHAnsi" w:hAnsiTheme="majorHAnsi"/>
          <w:sz w:val="20"/>
          <w:szCs w:val="20"/>
        </w:rPr>
        <w:t>Скорочення</w:t>
      </w:r>
      <w:r w:rsidRPr="004D2D14">
        <w:rPr>
          <w:rFonts w:asciiTheme="majorHAnsi" w:hAnsiTheme="majorHAnsi"/>
          <w:spacing w:val="42"/>
          <w:sz w:val="20"/>
          <w:szCs w:val="20"/>
          <w:lang w:val="en-US"/>
        </w:rPr>
        <w:t xml:space="preserve"> </w:t>
      </w:r>
      <w:r w:rsidRPr="000977F7">
        <w:rPr>
          <w:rFonts w:asciiTheme="majorHAnsi" w:hAnsiTheme="majorHAnsi"/>
          <w:sz w:val="20"/>
          <w:szCs w:val="20"/>
        </w:rPr>
        <w:t>різноманіття</w:t>
      </w:r>
      <w:r w:rsidRPr="004D2D14">
        <w:rPr>
          <w:rFonts w:asciiTheme="majorHAnsi" w:hAnsiTheme="majorHAnsi"/>
          <w:spacing w:val="45"/>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єктів</w:t>
      </w:r>
      <w:r w:rsidRPr="004D2D14">
        <w:rPr>
          <w:rFonts w:asciiTheme="majorHAnsi" w:hAnsiTheme="majorHAnsi"/>
          <w:spacing w:val="45"/>
          <w:sz w:val="20"/>
          <w:szCs w:val="20"/>
          <w:lang w:val="en-US"/>
        </w:rPr>
        <w:t xml:space="preserve"> </w:t>
      </w:r>
      <w:r w:rsidRPr="000977F7">
        <w:rPr>
          <w:rFonts w:asciiTheme="majorHAnsi" w:hAnsiTheme="majorHAnsi"/>
          <w:sz w:val="20"/>
          <w:szCs w:val="20"/>
        </w:rPr>
        <w:t>і</w:t>
      </w:r>
      <w:r w:rsidRPr="004D2D14">
        <w:rPr>
          <w:rFonts w:asciiTheme="majorHAnsi" w:hAnsiTheme="majorHAnsi"/>
          <w:spacing w:val="42"/>
          <w:sz w:val="20"/>
          <w:szCs w:val="20"/>
          <w:lang w:val="en-US"/>
        </w:rPr>
        <w:t xml:space="preserve"> </w:t>
      </w:r>
      <w:r w:rsidRPr="000977F7">
        <w:rPr>
          <w:rFonts w:asciiTheme="majorHAnsi" w:hAnsiTheme="majorHAnsi"/>
          <w:sz w:val="20"/>
          <w:szCs w:val="20"/>
        </w:rPr>
        <w:t>визначення</w:t>
      </w:r>
      <w:r w:rsidRPr="004D2D14">
        <w:rPr>
          <w:rFonts w:asciiTheme="majorHAnsi" w:hAnsiTheme="majorHAnsi"/>
          <w:spacing w:val="45"/>
          <w:sz w:val="20"/>
          <w:szCs w:val="20"/>
          <w:lang w:val="en-US"/>
        </w:rPr>
        <w:t xml:space="preserve"> </w:t>
      </w:r>
      <w:r w:rsidRPr="000977F7">
        <w:rPr>
          <w:rFonts w:asciiTheme="majorHAnsi" w:hAnsiTheme="majorHAnsi"/>
          <w:sz w:val="20"/>
          <w:szCs w:val="20"/>
        </w:rPr>
        <w:t>найбільш</w:t>
      </w:r>
      <w:r w:rsidRPr="004D2D14">
        <w:rPr>
          <w:rFonts w:asciiTheme="majorHAnsi" w:hAnsiTheme="majorHAnsi"/>
          <w:spacing w:val="13"/>
          <w:sz w:val="20"/>
          <w:szCs w:val="20"/>
          <w:lang w:val="en-US"/>
        </w:rPr>
        <w:t xml:space="preserve"> </w:t>
      </w:r>
      <w:r w:rsidRPr="000977F7">
        <w:rPr>
          <w:rFonts w:asciiTheme="majorHAnsi" w:hAnsiTheme="majorHAnsi"/>
          <w:sz w:val="20"/>
          <w:szCs w:val="20"/>
        </w:rPr>
        <w:t>раціональних</w:t>
      </w:r>
      <w:r w:rsidRPr="004D2D14">
        <w:rPr>
          <w:rFonts w:asciiTheme="majorHAnsi" w:hAnsiTheme="majorHAnsi"/>
          <w:spacing w:val="12"/>
          <w:sz w:val="20"/>
          <w:szCs w:val="20"/>
          <w:lang w:val="en-US"/>
        </w:rPr>
        <w:t xml:space="preserve"> </w:t>
      </w:r>
      <w:r w:rsidRPr="000977F7">
        <w:rPr>
          <w:rFonts w:asciiTheme="majorHAnsi" w:hAnsiTheme="majorHAnsi"/>
          <w:sz w:val="20"/>
          <w:szCs w:val="20"/>
        </w:rPr>
        <w:t>типів</w:t>
      </w:r>
      <w:r w:rsidRPr="004D2D14">
        <w:rPr>
          <w:rFonts w:asciiTheme="majorHAnsi" w:hAnsiTheme="majorHAnsi"/>
          <w:sz w:val="20"/>
          <w:szCs w:val="20"/>
          <w:lang w:val="en-US"/>
        </w:rPr>
        <w:t>,</w:t>
      </w:r>
      <w:r w:rsidRPr="004D2D14">
        <w:rPr>
          <w:rFonts w:asciiTheme="majorHAnsi" w:hAnsiTheme="majorHAnsi"/>
          <w:spacing w:val="13"/>
          <w:sz w:val="20"/>
          <w:szCs w:val="20"/>
          <w:lang w:val="en-US"/>
        </w:rPr>
        <w:t xml:space="preserve"> </w:t>
      </w:r>
      <w:r w:rsidRPr="000977F7">
        <w:rPr>
          <w:rFonts w:asciiTheme="majorHAnsi" w:hAnsiTheme="majorHAnsi"/>
          <w:sz w:val="20"/>
          <w:szCs w:val="20"/>
        </w:rPr>
        <w:t>видів</w:t>
      </w:r>
      <w:r w:rsidRPr="004D2D14">
        <w:rPr>
          <w:rFonts w:asciiTheme="majorHAnsi" w:hAnsiTheme="majorHAnsi"/>
          <w:sz w:val="20"/>
          <w:szCs w:val="20"/>
          <w:lang w:val="en-US"/>
        </w:rPr>
        <w:t>,</w:t>
      </w:r>
      <w:r w:rsidRPr="004D2D14">
        <w:rPr>
          <w:rFonts w:asciiTheme="majorHAnsi" w:hAnsiTheme="majorHAnsi"/>
          <w:spacing w:val="14"/>
          <w:sz w:val="20"/>
          <w:szCs w:val="20"/>
          <w:lang w:val="en-US"/>
        </w:rPr>
        <w:t xml:space="preserve"> </w:t>
      </w:r>
      <w:r w:rsidRPr="000977F7">
        <w:rPr>
          <w:rFonts w:asciiTheme="majorHAnsi" w:hAnsiTheme="majorHAnsi"/>
          <w:sz w:val="20"/>
          <w:szCs w:val="20"/>
        </w:rPr>
        <w:t>типорозмірів</w:t>
      </w:r>
      <w:r w:rsidRPr="004D2D14">
        <w:rPr>
          <w:rFonts w:asciiTheme="majorHAnsi" w:hAnsiTheme="majorHAnsi"/>
          <w:spacing w:val="13"/>
          <w:sz w:val="20"/>
          <w:szCs w:val="20"/>
          <w:lang w:val="en-US"/>
        </w:rPr>
        <w:t xml:space="preserve"> </w:t>
      </w:r>
      <w:r w:rsidRPr="000977F7">
        <w:rPr>
          <w:rFonts w:asciiTheme="majorHAnsi" w:hAnsiTheme="majorHAnsi"/>
          <w:sz w:val="20"/>
          <w:szCs w:val="20"/>
        </w:rPr>
        <w:t>продукції</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найбільш</w:t>
      </w:r>
      <w:r w:rsidRPr="004D2D14">
        <w:rPr>
          <w:rFonts w:asciiTheme="majorHAnsi" w:hAnsiTheme="majorHAnsi"/>
          <w:sz w:val="20"/>
          <w:szCs w:val="20"/>
          <w:lang w:val="en-US"/>
        </w:rPr>
        <w:t xml:space="preserve"> </w:t>
      </w:r>
      <w:r w:rsidRPr="000977F7">
        <w:rPr>
          <w:rFonts w:asciiTheme="majorHAnsi" w:hAnsiTheme="majorHAnsi"/>
          <w:sz w:val="20"/>
          <w:szCs w:val="20"/>
        </w:rPr>
        <w:t>прогресивних</w:t>
      </w:r>
      <w:r w:rsidRPr="004D2D14">
        <w:rPr>
          <w:rFonts w:asciiTheme="majorHAnsi" w:hAnsiTheme="majorHAnsi"/>
          <w:sz w:val="20"/>
          <w:szCs w:val="20"/>
          <w:lang w:val="en-US"/>
        </w:rPr>
        <w:t xml:space="preserve"> </w:t>
      </w:r>
      <w:r w:rsidRPr="000977F7">
        <w:rPr>
          <w:rFonts w:asciiTheme="majorHAnsi" w:hAnsiTheme="majorHAnsi"/>
          <w:sz w:val="20"/>
          <w:szCs w:val="20"/>
        </w:rPr>
        <w:t>методів</w:t>
      </w:r>
      <w:r w:rsidRPr="004D2D14">
        <w:rPr>
          <w:rFonts w:asciiTheme="majorHAnsi" w:hAnsiTheme="majorHAnsi"/>
          <w:sz w:val="20"/>
          <w:szCs w:val="20"/>
          <w:lang w:val="en-US"/>
        </w:rPr>
        <w:t xml:space="preserve"> </w:t>
      </w:r>
      <w:r w:rsidRPr="000977F7">
        <w:rPr>
          <w:rFonts w:asciiTheme="majorHAnsi" w:hAnsiTheme="majorHAnsi"/>
          <w:sz w:val="20"/>
          <w:szCs w:val="20"/>
        </w:rPr>
        <w:t>роботи</w:t>
      </w:r>
    </w:p>
    <w:p w14:paraId="67D4EFD2"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0977F7">
        <w:rPr>
          <w:rFonts w:asciiTheme="majorHAnsi" w:hAnsiTheme="majorHAnsi"/>
          <w:b/>
          <w:sz w:val="20"/>
          <w:szCs w:val="20"/>
        </w:rPr>
        <w:t>ТИПОВА</w:t>
      </w:r>
      <w:r w:rsidRPr="004D2D14">
        <w:rPr>
          <w:rFonts w:asciiTheme="majorHAnsi" w:hAnsiTheme="majorHAnsi"/>
          <w:b/>
          <w:spacing w:val="-3"/>
          <w:sz w:val="20"/>
          <w:szCs w:val="20"/>
          <w:lang w:val="en-US"/>
        </w:rPr>
        <w:t xml:space="preserve"> </w:t>
      </w:r>
      <w:r w:rsidRPr="000977F7">
        <w:rPr>
          <w:rFonts w:asciiTheme="majorHAnsi" w:hAnsiTheme="majorHAnsi"/>
          <w:b/>
          <w:sz w:val="20"/>
          <w:szCs w:val="20"/>
        </w:rPr>
        <w:t>МЕТОДИКА</w:t>
      </w:r>
      <w:r w:rsidRPr="004D2D14">
        <w:rPr>
          <w:rFonts w:asciiTheme="majorHAnsi" w:hAnsiTheme="majorHAnsi"/>
          <w:b/>
          <w:spacing w:val="-2"/>
          <w:sz w:val="20"/>
          <w:szCs w:val="20"/>
          <w:lang w:val="en-US"/>
        </w:rPr>
        <w:t xml:space="preserve"> </w:t>
      </w:r>
      <w:r w:rsidRPr="000977F7">
        <w:rPr>
          <w:rFonts w:asciiTheme="majorHAnsi" w:hAnsiTheme="majorHAnsi"/>
          <w:b/>
          <w:sz w:val="20"/>
          <w:szCs w:val="20"/>
        </w:rPr>
        <w:t>ВИПРОБУВАНЬ</w:t>
      </w:r>
      <w:r w:rsidRPr="004D2D14">
        <w:rPr>
          <w:rFonts w:asciiTheme="majorHAnsi" w:hAnsiTheme="majorHAnsi"/>
          <w:b/>
          <w:spacing w:val="3"/>
          <w:sz w:val="20"/>
          <w:szCs w:val="20"/>
          <w:lang w:val="en-US"/>
        </w:rPr>
        <w:t xml:space="preserve"> </w:t>
      </w:r>
      <w:r w:rsidRPr="004D2D14">
        <w:rPr>
          <w:rFonts w:asciiTheme="majorHAnsi" w:hAnsiTheme="majorHAnsi"/>
          <w:b/>
          <w:sz w:val="20"/>
          <w:szCs w:val="20"/>
          <w:lang w:val="en-US"/>
        </w:rPr>
        <w:t>–</w:t>
      </w:r>
    </w:p>
    <w:p w14:paraId="6F013E6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TYPE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TEST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PROCEDURE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1DC2E9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Методика випробувань, яка встановлює загальні вимоги</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проведення</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1"/>
          <w:sz w:val="20"/>
          <w:szCs w:val="20"/>
        </w:rPr>
        <w:t xml:space="preserve"> </w:t>
      </w:r>
      <w:r w:rsidRPr="000977F7">
        <w:rPr>
          <w:rFonts w:asciiTheme="majorHAnsi" w:hAnsiTheme="majorHAnsi"/>
          <w:sz w:val="20"/>
          <w:szCs w:val="20"/>
        </w:rPr>
        <w:t>групи</w:t>
      </w:r>
      <w:r w:rsidRPr="000977F7">
        <w:rPr>
          <w:rFonts w:asciiTheme="majorHAnsi" w:hAnsiTheme="majorHAnsi"/>
          <w:spacing w:val="1"/>
          <w:sz w:val="20"/>
          <w:szCs w:val="20"/>
        </w:rPr>
        <w:t xml:space="preserve"> </w:t>
      </w:r>
      <w:r w:rsidRPr="000977F7">
        <w:rPr>
          <w:rFonts w:asciiTheme="majorHAnsi" w:hAnsiTheme="majorHAnsi"/>
          <w:sz w:val="20"/>
          <w:szCs w:val="20"/>
        </w:rPr>
        <w:t>однорідної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p>
    <w:p w14:paraId="5974760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3E0317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ТИПОВА</w:t>
      </w:r>
      <w:r w:rsidRPr="000977F7">
        <w:rPr>
          <w:color w:val="auto"/>
          <w:spacing w:val="-5"/>
          <w:sz w:val="20"/>
          <w:szCs w:val="20"/>
        </w:rPr>
        <w:t xml:space="preserve"> </w:t>
      </w:r>
      <w:r w:rsidRPr="000977F7">
        <w:rPr>
          <w:color w:val="auto"/>
          <w:sz w:val="20"/>
          <w:szCs w:val="20"/>
        </w:rPr>
        <w:t>ТЕХНОЛОГІЧНА</w:t>
      </w:r>
      <w:r w:rsidRPr="000977F7">
        <w:rPr>
          <w:color w:val="auto"/>
          <w:spacing w:val="-5"/>
          <w:sz w:val="20"/>
          <w:szCs w:val="20"/>
        </w:rPr>
        <w:t xml:space="preserve"> </w:t>
      </w:r>
      <w:r w:rsidRPr="000977F7">
        <w:rPr>
          <w:color w:val="auto"/>
          <w:sz w:val="20"/>
          <w:szCs w:val="20"/>
        </w:rPr>
        <w:t>ОПЕРАЦІЯ</w:t>
      </w:r>
      <w:r w:rsidRPr="000977F7">
        <w:rPr>
          <w:color w:val="auto"/>
          <w:spacing w:val="-1"/>
          <w:sz w:val="20"/>
          <w:szCs w:val="20"/>
        </w:rPr>
        <w:t xml:space="preserve"> </w:t>
      </w:r>
      <w:r w:rsidRPr="000977F7">
        <w:rPr>
          <w:color w:val="auto"/>
          <w:sz w:val="20"/>
          <w:szCs w:val="20"/>
        </w:rPr>
        <w:t>–</w:t>
      </w:r>
    </w:p>
    <w:p w14:paraId="2AD5D2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Технологічна операція, яку характеризує єдність змісту та послідовність технологічних переходів для групи виробів з загальними конструктивними та технологічними</w:t>
      </w:r>
      <w:r w:rsidRPr="000977F7">
        <w:rPr>
          <w:rFonts w:asciiTheme="majorHAnsi" w:hAnsiTheme="majorHAnsi"/>
          <w:spacing w:val="-2"/>
          <w:sz w:val="20"/>
          <w:szCs w:val="20"/>
        </w:rPr>
        <w:t xml:space="preserve"> </w:t>
      </w:r>
      <w:r w:rsidRPr="000977F7">
        <w:rPr>
          <w:rFonts w:asciiTheme="majorHAnsi" w:hAnsiTheme="majorHAnsi"/>
          <w:sz w:val="20"/>
          <w:szCs w:val="20"/>
        </w:rPr>
        <w:t>ознаками</w:t>
      </w:r>
    </w:p>
    <w:p w14:paraId="6807F43A" w14:textId="77777777" w:rsidR="0097612F" w:rsidRPr="004D2D14" w:rsidRDefault="0097612F" w:rsidP="000977F7">
      <w:pPr>
        <w:pStyle w:val="af6"/>
        <w:tabs>
          <w:tab w:val="left" w:pos="284"/>
        </w:tabs>
        <w:spacing w:after="0"/>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2391</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2010</w:t>
      </w:r>
      <w:r w:rsidRPr="004D2D14">
        <w:rPr>
          <w:rFonts w:asciiTheme="majorHAnsi" w:hAnsiTheme="majorHAnsi"/>
          <w:i/>
          <w:spacing w:val="1"/>
          <w:sz w:val="20"/>
          <w:szCs w:val="20"/>
          <w:lang w:val="en-US"/>
        </w:rPr>
        <w:t xml:space="preserve"> </w:t>
      </w:r>
    </w:p>
    <w:p w14:paraId="143143E4"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0977F7">
        <w:rPr>
          <w:rFonts w:asciiTheme="majorHAnsi" w:hAnsiTheme="majorHAnsi"/>
          <w:b/>
          <w:sz w:val="20"/>
          <w:szCs w:val="20"/>
        </w:rPr>
        <w:t>ТИПОВЕ</w:t>
      </w:r>
      <w:r w:rsidRPr="004D2D14">
        <w:rPr>
          <w:rFonts w:asciiTheme="majorHAnsi" w:hAnsiTheme="majorHAnsi"/>
          <w:b/>
          <w:sz w:val="20"/>
          <w:szCs w:val="20"/>
          <w:lang w:val="en-US"/>
        </w:rPr>
        <w:t xml:space="preserve"> </w:t>
      </w:r>
      <w:r w:rsidRPr="000977F7">
        <w:rPr>
          <w:rFonts w:asciiTheme="majorHAnsi" w:hAnsiTheme="majorHAnsi"/>
          <w:b/>
          <w:sz w:val="20"/>
          <w:szCs w:val="20"/>
        </w:rPr>
        <w:t>ДІЯННЯ</w:t>
      </w:r>
      <w:r w:rsidRPr="004D2D14">
        <w:rPr>
          <w:rFonts w:asciiTheme="majorHAnsi" w:hAnsiTheme="majorHAnsi"/>
          <w:b/>
          <w:sz w:val="20"/>
          <w:szCs w:val="20"/>
          <w:lang w:val="en-US"/>
        </w:rPr>
        <w:t xml:space="preserve"> –</w:t>
      </w:r>
    </w:p>
    <w:p w14:paraId="41064E1B" w14:textId="77777777" w:rsidR="0097612F" w:rsidRPr="004D2D14" w:rsidRDefault="0097612F" w:rsidP="000977F7">
      <w:pPr>
        <w:pStyle w:val="af6"/>
        <w:tabs>
          <w:tab w:val="left" w:pos="284"/>
        </w:tabs>
        <w:spacing w:after="0"/>
        <w:ind w:left="170"/>
        <w:mirrorIndents/>
        <w:jc w:val="both"/>
        <w:rPr>
          <w:rFonts w:asciiTheme="majorHAnsi" w:hAnsiTheme="majorHAnsi"/>
          <w:bCs/>
          <w:sz w:val="20"/>
          <w:szCs w:val="20"/>
          <w:lang w:val="en-US"/>
        </w:rPr>
      </w:pPr>
      <w:r w:rsidRPr="004D2D14">
        <w:rPr>
          <w:rFonts w:asciiTheme="majorHAnsi" w:hAnsiTheme="majorHAnsi"/>
          <w:bCs/>
          <w:sz w:val="20"/>
          <w:szCs w:val="20"/>
          <w:lang w:val="en-US"/>
        </w:rPr>
        <w:t>STANDARD ACTION –</w:t>
      </w:r>
    </w:p>
    <w:p w14:paraId="29EF3834" w14:textId="77777777" w:rsidR="0097612F" w:rsidRPr="000977F7" w:rsidRDefault="0097612F" w:rsidP="000977F7">
      <w:pPr>
        <w:pStyle w:val="af6"/>
        <w:tabs>
          <w:tab w:val="left" w:pos="284"/>
        </w:tabs>
        <w:spacing w:after="0"/>
        <w:ind w:left="170"/>
        <w:mirrorIndents/>
        <w:jc w:val="both"/>
        <w:rPr>
          <w:rFonts w:asciiTheme="majorHAnsi" w:hAnsiTheme="majorHAnsi"/>
          <w:bCs/>
          <w:sz w:val="20"/>
          <w:szCs w:val="20"/>
        </w:rPr>
      </w:pPr>
      <w:r w:rsidRPr="000977F7">
        <w:rPr>
          <w:rFonts w:asciiTheme="majorHAnsi" w:hAnsiTheme="majorHAnsi"/>
          <w:bCs/>
          <w:sz w:val="20"/>
          <w:szCs w:val="20"/>
        </w:rPr>
        <w:t>Випробувальне діяння за згодою для оцінювання та порівнювання властивостей об’єкта</w:t>
      </w:r>
    </w:p>
    <w:p w14:paraId="594BE6ED"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0977F7">
        <w:rPr>
          <w:rFonts w:asciiTheme="majorHAnsi" w:hAnsiTheme="majorHAnsi"/>
          <w:bCs/>
          <w:i/>
          <w:iCs/>
          <w:sz w:val="20"/>
          <w:szCs w:val="20"/>
        </w:rPr>
        <w:t>ДСТУ</w:t>
      </w:r>
      <w:r w:rsidRPr="004D2D14">
        <w:rPr>
          <w:rFonts w:asciiTheme="majorHAnsi" w:hAnsiTheme="majorHAnsi"/>
          <w:bCs/>
          <w:i/>
          <w:iCs/>
          <w:sz w:val="20"/>
          <w:szCs w:val="20"/>
          <w:lang w:val="en-US"/>
        </w:rPr>
        <w:t xml:space="preserve"> 3956 - 2000</w:t>
      </w:r>
      <w:r w:rsidRPr="004D2D14">
        <w:rPr>
          <w:rFonts w:asciiTheme="majorHAnsi" w:hAnsiTheme="majorHAnsi"/>
          <w:i/>
          <w:spacing w:val="1"/>
          <w:sz w:val="20"/>
          <w:szCs w:val="20"/>
          <w:lang w:val="en-US"/>
        </w:rPr>
        <w:t xml:space="preserve"> </w:t>
      </w:r>
    </w:p>
    <w:p w14:paraId="4FE6E93D" w14:textId="77777777" w:rsidR="0097612F" w:rsidRPr="004D2D14" w:rsidRDefault="0097612F" w:rsidP="000977F7">
      <w:pPr>
        <w:pStyle w:val="af6"/>
        <w:tabs>
          <w:tab w:val="left" w:pos="284"/>
        </w:tabs>
        <w:spacing w:after="0"/>
        <w:ind w:left="170"/>
        <w:mirrorIndents/>
        <w:jc w:val="both"/>
        <w:rPr>
          <w:rFonts w:asciiTheme="majorHAnsi" w:hAnsiTheme="majorHAnsi"/>
          <w:b/>
          <w:spacing w:val="1"/>
          <w:sz w:val="20"/>
          <w:szCs w:val="20"/>
          <w:lang w:val="en-US"/>
        </w:rPr>
      </w:pPr>
      <w:r w:rsidRPr="000977F7">
        <w:rPr>
          <w:rFonts w:asciiTheme="majorHAnsi" w:hAnsiTheme="majorHAnsi"/>
          <w:b/>
          <w:sz w:val="20"/>
          <w:szCs w:val="20"/>
        </w:rPr>
        <w:t>ТИПОВИЙ</w:t>
      </w:r>
      <w:r w:rsidRPr="004D2D14">
        <w:rPr>
          <w:rFonts w:asciiTheme="majorHAnsi" w:hAnsiTheme="majorHAnsi"/>
          <w:b/>
          <w:sz w:val="20"/>
          <w:szCs w:val="20"/>
          <w:lang w:val="en-US"/>
        </w:rPr>
        <w:t xml:space="preserve"> </w:t>
      </w:r>
      <w:r w:rsidRPr="000977F7">
        <w:rPr>
          <w:rFonts w:asciiTheme="majorHAnsi" w:hAnsiTheme="majorHAnsi"/>
          <w:b/>
          <w:sz w:val="20"/>
          <w:szCs w:val="20"/>
        </w:rPr>
        <w:t>ВИРІБ</w:t>
      </w:r>
      <w:r w:rsidRPr="004D2D14">
        <w:rPr>
          <w:rFonts w:asciiTheme="majorHAnsi" w:hAnsiTheme="majorHAnsi"/>
          <w:b/>
          <w:spacing w:val="1"/>
          <w:sz w:val="20"/>
          <w:szCs w:val="20"/>
          <w:lang w:val="en-US"/>
        </w:rPr>
        <w:t xml:space="preserve"> </w:t>
      </w:r>
      <w:r w:rsidRPr="004D2D14">
        <w:rPr>
          <w:rFonts w:asciiTheme="majorHAnsi" w:hAnsiTheme="majorHAnsi"/>
          <w:b/>
          <w:sz w:val="20"/>
          <w:szCs w:val="20"/>
          <w:lang w:val="en-US"/>
        </w:rPr>
        <w:t>–</w:t>
      </w:r>
      <w:r w:rsidRPr="004D2D14">
        <w:rPr>
          <w:rFonts w:asciiTheme="majorHAnsi" w:hAnsiTheme="majorHAnsi"/>
          <w:b/>
          <w:spacing w:val="1"/>
          <w:sz w:val="20"/>
          <w:szCs w:val="20"/>
          <w:lang w:val="en-US"/>
        </w:rPr>
        <w:t xml:space="preserve"> </w:t>
      </w:r>
    </w:p>
    <w:p w14:paraId="688EAC8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TYPIFIELD</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WORKPIECE</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w:t>
      </w:r>
    </w:p>
    <w:p w14:paraId="447D18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 який</w:t>
      </w:r>
      <w:r w:rsidRPr="000977F7">
        <w:rPr>
          <w:rFonts w:asciiTheme="majorHAnsi" w:hAnsiTheme="majorHAnsi"/>
          <w:spacing w:val="1"/>
          <w:sz w:val="20"/>
          <w:szCs w:val="20"/>
        </w:rPr>
        <w:t xml:space="preserve"> </w:t>
      </w:r>
      <w:r w:rsidRPr="000977F7">
        <w:rPr>
          <w:rFonts w:asciiTheme="majorHAnsi" w:hAnsiTheme="majorHAnsi"/>
          <w:sz w:val="20"/>
          <w:szCs w:val="20"/>
        </w:rPr>
        <w:t>має</w:t>
      </w:r>
      <w:r w:rsidRPr="000977F7">
        <w:rPr>
          <w:rFonts w:asciiTheme="majorHAnsi" w:hAnsiTheme="majorHAnsi"/>
          <w:spacing w:val="1"/>
          <w:sz w:val="20"/>
          <w:szCs w:val="20"/>
        </w:rPr>
        <w:t xml:space="preserve"> </w:t>
      </w:r>
      <w:r w:rsidRPr="000977F7">
        <w:rPr>
          <w:rFonts w:asciiTheme="majorHAnsi" w:hAnsiTheme="majorHAnsi"/>
          <w:sz w:val="20"/>
          <w:szCs w:val="20"/>
        </w:rPr>
        <w:t>найбільшу</w:t>
      </w:r>
      <w:r w:rsidRPr="000977F7">
        <w:rPr>
          <w:rFonts w:asciiTheme="majorHAnsi" w:hAnsiTheme="majorHAnsi"/>
          <w:spacing w:val="1"/>
          <w:sz w:val="20"/>
          <w:szCs w:val="20"/>
        </w:rPr>
        <w:t xml:space="preserve"> </w:t>
      </w:r>
      <w:r w:rsidRPr="000977F7">
        <w:rPr>
          <w:rFonts w:asciiTheme="majorHAnsi" w:hAnsiTheme="majorHAnsi"/>
          <w:sz w:val="20"/>
          <w:szCs w:val="20"/>
        </w:rPr>
        <w:t>кількість</w:t>
      </w:r>
      <w:r w:rsidRPr="000977F7">
        <w:rPr>
          <w:rFonts w:asciiTheme="majorHAnsi" w:hAnsiTheme="majorHAnsi"/>
          <w:spacing w:val="1"/>
          <w:sz w:val="20"/>
          <w:szCs w:val="20"/>
        </w:rPr>
        <w:t xml:space="preserve"> </w:t>
      </w:r>
      <w:r w:rsidRPr="000977F7">
        <w:rPr>
          <w:rFonts w:asciiTheme="majorHAnsi" w:hAnsiTheme="majorHAnsi"/>
          <w:sz w:val="20"/>
          <w:szCs w:val="20"/>
        </w:rPr>
        <w:t>спільних</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конструктивних</w:t>
      </w:r>
      <w:r w:rsidRPr="000977F7">
        <w:rPr>
          <w:rFonts w:asciiTheme="majorHAnsi" w:hAnsiTheme="majorHAnsi"/>
          <w:spacing w:val="-4"/>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технологічних</w:t>
      </w:r>
      <w:r w:rsidRPr="000977F7">
        <w:rPr>
          <w:rFonts w:asciiTheme="majorHAnsi" w:hAnsiTheme="majorHAnsi"/>
          <w:spacing w:val="-2"/>
          <w:sz w:val="20"/>
          <w:szCs w:val="20"/>
        </w:rPr>
        <w:t xml:space="preserve"> </w:t>
      </w:r>
      <w:r w:rsidRPr="000977F7">
        <w:rPr>
          <w:rFonts w:asciiTheme="majorHAnsi" w:hAnsiTheme="majorHAnsi"/>
          <w:sz w:val="20"/>
          <w:szCs w:val="20"/>
        </w:rPr>
        <w:t>ознак</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6"/>
          <w:sz w:val="20"/>
          <w:szCs w:val="20"/>
        </w:rPr>
        <w:t xml:space="preserve"> </w:t>
      </w:r>
      <w:r w:rsidRPr="000977F7">
        <w:rPr>
          <w:rFonts w:asciiTheme="majorHAnsi" w:hAnsiTheme="majorHAnsi"/>
          <w:sz w:val="20"/>
          <w:szCs w:val="20"/>
        </w:rPr>
        <w:t>спорідненій</w:t>
      </w:r>
      <w:r w:rsidRPr="000977F7">
        <w:rPr>
          <w:rFonts w:asciiTheme="majorHAnsi" w:hAnsiTheme="majorHAnsi"/>
          <w:spacing w:val="-4"/>
          <w:sz w:val="20"/>
          <w:szCs w:val="20"/>
        </w:rPr>
        <w:t xml:space="preserve"> </w:t>
      </w:r>
      <w:r w:rsidRPr="000977F7">
        <w:rPr>
          <w:rFonts w:asciiTheme="majorHAnsi" w:hAnsiTheme="majorHAnsi"/>
          <w:sz w:val="20"/>
          <w:szCs w:val="20"/>
        </w:rPr>
        <w:t>групі</w:t>
      </w:r>
    </w:p>
    <w:p w14:paraId="0E180FF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2391 - 2010;</w:t>
      </w:r>
      <w:r w:rsidRPr="000977F7">
        <w:rPr>
          <w:rFonts w:asciiTheme="majorHAnsi" w:hAnsiTheme="majorHAnsi"/>
          <w:i/>
          <w:spacing w:val="-2"/>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3278 - 95</w:t>
      </w:r>
    </w:p>
    <w:p w14:paraId="4C2A345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ТИПОВИЙ ЗРАЗОК ЛІФТА –</w:t>
      </w:r>
    </w:p>
    <w:p w14:paraId="0A273990"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 xml:space="preserve">Репрезентативний зразок ліфта, технічною документацією якого визначено спосіб виконання суттєвих вимог щодо охорони здоров’я та безпеки, зазначених у </w:t>
      </w:r>
      <w:hyperlink r:id="rId40" w:anchor="n236" w:history="1">
        <w:r w:rsidRPr="000977F7">
          <w:rPr>
            <w:b w:val="0"/>
            <w:bCs/>
            <w:color w:val="auto"/>
            <w:sz w:val="20"/>
            <w:szCs w:val="20"/>
          </w:rPr>
          <w:t>додатку 1</w:t>
        </w:r>
      </w:hyperlink>
      <w:r w:rsidRPr="000977F7">
        <w:rPr>
          <w:b w:val="0"/>
          <w:bCs/>
          <w:color w:val="auto"/>
          <w:sz w:val="20"/>
          <w:szCs w:val="20"/>
        </w:rPr>
        <w:t>, що відповідають типовому зразку ліфта за заданими параметрами та в яких використовуються ідентичні компоненти безпеки для ліфтів</w:t>
      </w:r>
    </w:p>
    <w:p w14:paraId="1DD80D20"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Технічний регламент ліфтів і компонентів безпеки для ліфтів</w:t>
      </w:r>
    </w:p>
    <w:p w14:paraId="047C46D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ТИПОВИЙ</w:t>
      </w:r>
      <w:r w:rsidRPr="000977F7">
        <w:rPr>
          <w:color w:val="auto"/>
          <w:spacing w:val="-4"/>
          <w:sz w:val="20"/>
          <w:szCs w:val="20"/>
        </w:rPr>
        <w:t xml:space="preserve"> </w:t>
      </w:r>
      <w:r w:rsidRPr="000977F7">
        <w:rPr>
          <w:color w:val="auto"/>
          <w:sz w:val="20"/>
          <w:szCs w:val="20"/>
        </w:rPr>
        <w:t>ТЕХНОЛОГІЧНИЙ</w:t>
      </w:r>
      <w:r w:rsidRPr="000977F7">
        <w:rPr>
          <w:color w:val="auto"/>
          <w:spacing w:val="-3"/>
          <w:sz w:val="20"/>
          <w:szCs w:val="20"/>
        </w:rPr>
        <w:t xml:space="preserve"> </w:t>
      </w:r>
      <w:r w:rsidRPr="000977F7">
        <w:rPr>
          <w:color w:val="auto"/>
          <w:sz w:val="20"/>
          <w:szCs w:val="20"/>
        </w:rPr>
        <w:t>ПРОЦЕС</w:t>
      </w:r>
      <w:r w:rsidRPr="000977F7">
        <w:rPr>
          <w:color w:val="auto"/>
          <w:spacing w:val="1"/>
          <w:sz w:val="20"/>
          <w:szCs w:val="20"/>
        </w:rPr>
        <w:t xml:space="preserve"> </w:t>
      </w:r>
      <w:r w:rsidRPr="000977F7">
        <w:rPr>
          <w:color w:val="auto"/>
          <w:sz w:val="20"/>
          <w:szCs w:val="20"/>
        </w:rPr>
        <w:t>–</w:t>
      </w:r>
    </w:p>
    <w:p w14:paraId="2EB755A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Технологічний процес виготовлення групи виробів із</w:t>
      </w:r>
      <w:r w:rsidRPr="000977F7">
        <w:rPr>
          <w:rFonts w:asciiTheme="majorHAnsi" w:hAnsiTheme="majorHAnsi"/>
          <w:spacing w:val="1"/>
          <w:sz w:val="20"/>
          <w:szCs w:val="20"/>
        </w:rPr>
        <w:t xml:space="preserve"> </w:t>
      </w:r>
      <w:r w:rsidRPr="000977F7">
        <w:rPr>
          <w:rFonts w:asciiTheme="majorHAnsi" w:hAnsiTheme="majorHAnsi"/>
          <w:sz w:val="20"/>
          <w:szCs w:val="20"/>
        </w:rPr>
        <w:t>загальними</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конструктивними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технологічними</w:t>
      </w:r>
      <w:r w:rsidRPr="000977F7">
        <w:rPr>
          <w:rFonts w:asciiTheme="majorHAnsi" w:hAnsiTheme="majorHAnsi"/>
          <w:spacing w:val="-47"/>
          <w:sz w:val="20"/>
          <w:szCs w:val="20"/>
        </w:rPr>
        <w:t xml:space="preserve"> </w:t>
      </w:r>
      <w:r w:rsidRPr="000977F7">
        <w:rPr>
          <w:rFonts w:asciiTheme="majorHAnsi" w:hAnsiTheme="majorHAnsi"/>
          <w:sz w:val="20"/>
          <w:szCs w:val="20"/>
        </w:rPr>
        <w:t>ознаками</w:t>
      </w:r>
    </w:p>
    <w:p w14:paraId="4A5D47C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2391 - 2010</w:t>
      </w:r>
    </w:p>
    <w:p w14:paraId="77965C0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ТИПОВІ</w:t>
      </w:r>
      <w:r w:rsidRPr="000977F7">
        <w:rPr>
          <w:color w:val="auto"/>
          <w:spacing w:val="-5"/>
          <w:sz w:val="20"/>
          <w:szCs w:val="20"/>
        </w:rPr>
        <w:t xml:space="preserve"> </w:t>
      </w:r>
      <w:r w:rsidRPr="000977F7">
        <w:rPr>
          <w:color w:val="auto"/>
          <w:sz w:val="20"/>
          <w:szCs w:val="20"/>
        </w:rPr>
        <w:t>ВИПРОБУВАННЯ</w:t>
      </w:r>
      <w:r w:rsidRPr="000977F7">
        <w:rPr>
          <w:color w:val="auto"/>
          <w:spacing w:val="-2"/>
          <w:sz w:val="20"/>
          <w:szCs w:val="20"/>
        </w:rPr>
        <w:t xml:space="preserve"> </w:t>
      </w:r>
      <w:r w:rsidRPr="000977F7">
        <w:rPr>
          <w:color w:val="auto"/>
          <w:sz w:val="20"/>
          <w:szCs w:val="20"/>
        </w:rPr>
        <w:t>–</w:t>
      </w:r>
    </w:p>
    <w:p w14:paraId="5E564D9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TYPE</w:t>
      </w:r>
      <w:r w:rsidRPr="000977F7">
        <w:rPr>
          <w:rFonts w:asciiTheme="majorHAnsi" w:hAnsiTheme="majorHAnsi"/>
          <w:spacing w:val="-3"/>
          <w:sz w:val="20"/>
          <w:szCs w:val="20"/>
        </w:rPr>
        <w:t xml:space="preserve"> </w:t>
      </w:r>
      <w:r w:rsidRPr="000977F7">
        <w:rPr>
          <w:rFonts w:asciiTheme="majorHAnsi" w:hAnsiTheme="majorHAnsi"/>
          <w:sz w:val="20"/>
          <w:szCs w:val="20"/>
        </w:rPr>
        <w:t>TEST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FEC79A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Контрольні випробування виготовлюваної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які проводяться з метою оцінки ефективності та доцільності впроваджуваних змін у конструкцію, рецептуру</w:t>
      </w:r>
      <w:r w:rsidRPr="000977F7">
        <w:rPr>
          <w:rFonts w:asciiTheme="majorHAnsi" w:hAnsiTheme="majorHAnsi"/>
          <w:spacing w:val="-5"/>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технологічний</w:t>
      </w:r>
      <w:r w:rsidRPr="000977F7">
        <w:rPr>
          <w:rFonts w:asciiTheme="majorHAnsi" w:hAnsiTheme="majorHAnsi"/>
          <w:spacing w:val="1"/>
          <w:sz w:val="20"/>
          <w:szCs w:val="20"/>
        </w:rPr>
        <w:t xml:space="preserve"> </w:t>
      </w:r>
      <w:r w:rsidRPr="000977F7">
        <w:rPr>
          <w:rFonts w:asciiTheme="majorHAnsi" w:hAnsiTheme="majorHAnsi"/>
          <w:sz w:val="20"/>
          <w:szCs w:val="20"/>
        </w:rPr>
        <w:t>процес</w:t>
      </w:r>
    </w:p>
    <w:p w14:paraId="1E03813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 –</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780DF6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292" w:name="_Hlk103191019"/>
      <w:r w:rsidRPr="000977F7">
        <w:rPr>
          <w:color w:val="auto"/>
          <w:sz w:val="20"/>
          <w:szCs w:val="20"/>
        </w:rPr>
        <w:t xml:space="preserve">ТИПОВІ ВИПРОБУВАННЯ ЗРАЗКА ДЛЯ </w:t>
      </w:r>
    </w:p>
    <w:p w14:paraId="7606D2F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СЕРТИФІКАЦІЇ</w:t>
      </w:r>
      <w:r w:rsidRPr="000977F7">
        <w:rPr>
          <w:color w:val="auto"/>
          <w:spacing w:val="-1"/>
          <w:sz w:val="20"/>
          <w:szCs w:val="20"/>
        </w:rPr>
        <w:t xml:space="preserve"> </w:t>
      </w:r>
      <w:r w:rsidRPr="000977F7">
        <w:rPr>
          <w:color w:val="auto"/>
          <w:sz w:val="20"/>
          <w:szCs w:val="20"/>
        </w:rPr>
        <w:t>–</w:t>
      </w:r>
    </w:p>
    <w:p w14:paraId="7ED78306" w14:textId="77777777" w:rsidR="0097612F" w:rsidRPr="004D2D14" w:rsidRDefault="0097612F" w:rsidP="000977F7">
      <w:pPr>
        <w:pStyle w:val="af6"/>
        <w:tabs>
          <w:tab w:val="left" w:pos="284"/>
        </w:tabs>
        <w:spacing w:after="0"/>
        <w:ind w:left="170"/>
        <w:mirrorIndents/>
        <w:jc w:val="both"/>
        <w:rPr>
          <w:rFonts w:asciiTheme="majorHAnsi" w:hAnsiTheme="majorHAnsi"/>
          <w:spacing w:val="-2"/>
          <w:sz w:val="20"/>
          <w:szCs w:val="20"/>
          <w:lang w:val="en-US"/>
        </w:rPr>
      </w:pPr>
      <w:r w:rsidRPr="004D2D14">
        <w:rPr>
          <w:rFonts w:asciiTheme="majorHAnsi" w:hAnsiTheme="majorHAnsi"/>
          <w:sz w:val="20"/>
          <w:szCs w:val="20"/>
          <w:lang w:val="en-US"/>
        </w:rPr>
        <w:t>ROUTINE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TESTS</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CERTIFICATION</w:t>
      </w:r>
      <w:r w:rsidRPr="004D2D14">
        <w:rPr>
          <w:rFonts w:asciiTheme="majorHAnsi" w:hAnsiTheme="majorHAnsi"/>
          <w:spacing w:val="-2"/>
          <w:sz w:val="20"/>
          <w:szCs w:val="20"/>
          <w:lang w:val="en-US"/>
        </w:rPr>
        <w:t xml:space="preserve"> </w:t>
      </w:r>
    </w:p>
    <w:p w14:paraId="2CCA79C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SPECIMEN</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bookmarkEnd w:id="292"/>
    <w:p w14:paraId="6EAEF08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Випробування установленої кількості зразків конкретного виду продукції на відповідність нормативним</w:t>
      </w:r>
      <w:r w:rsidRPr="000977F7">
        <w:rPr>
          <w:rFonts w:asciiTheme="majorHAnsi" w:hAnsiTheme="majorHAnsi"/>
          <w:spacing w:val="1"/>
          <w:sz w:val="20"/>
          <w:szCs w:val="20"/>
        </w:rPr>
        <w:t xml:space="preserve"> </w:t>
      </w:r>
      <w:r w:rsidRPr="000977F7">
        <w:rPr>
          <w:rFonts w:asciiTheme="majorHAnsi" w:hAnsiTheme="majorHAnsi"/>
          <w:sz w:val="20"/>
          <w:szCs w:val="20"/>
        </w:rPr>
        <w:t>документам із сертифікації, на основі яких засвідчується відповідність даного виду продукції цим нормативним документам</w:t>
      </w:r>
    </w:p>
    <w:p w14:paraId="484F5DF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3021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7D39ED3"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lang w:eastAsia="ru-RU"/>
        </w:rPr>
      </w:pPr>
      <w:r w:rsidRPr="000977F7">
        <w:rPr>
          <w:rFonts w:asciiTheme="majorHAnsi" w:hAnsiTheme="majorHAnsi"/>
          <w:b/>
          <w:bCs/>
          <w:sz w:val="20"/>
          <w:szCs w:val="20"/>
          <w:lang w:eastAsia="ru-RU"/>
        </w:rPr>
        <w:t>ТИСК –</w:t>
      </w:r>
    </w:p>
    <w:p w14:paraId="7C80C7E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Тиск відносно атмосферного тиску, зокрема надлишковий тиск. При цьому тиск, нижчий за атмосферний, оцінюється як негативна величина</w:t>
      </w:r>
    </w:p>
    <w:p w14:paraId="7383205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Технічний регламент обладнання, що працює під тиском</w:t>
      </w:r>
    </w:p>
    <w:p w14:paraId="087DC2C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ТОВАР</w:t>
      </w:r>
      <w:r w:rsidRPr="000977F7">
        <w:rPr>
          <w:color w:val="auto"/>
          <w:spacing w:val="-1"/>
          <w:sz w:val="20"/>
          <w:szCs w:val="20"/>
        </w:rPr>
        <w:t xml:space="preserve"> </w:t>
      </w:r>
      <w:r w:rsidRPr="000977F7">
        <w:rPr>
          <w:color w:val="auto"/>
          <w:sz w:val="20"/>
          <w:szCs w:val="20"/>
        </w:rPr>
        <w:t>–</w:t>
      </w:r>
    </w:p>
    <w:p w14:paraId="5BA696F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Будь-яка продукція, послуги, роботи, права інтелектуальної власності та інші немайнові права, призначені</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продажу</w:t>
      </w:r>
      <w:r w:rsidRPr="000977F7">
        <w:rPr>
          <w:rFonts w:asciiTheme="majorHAnsi" w:hAnsiTheme="majorHAnsi"/>
          <w:spacing w:val="-1"/>
          <w:sz w:val="20"/>
          <w:szCs w:val="20"/>
        </w:rPr>
        <w:t xml:space="preserve"> </w:t>
      </w:r>
      <w:r w:rsidRPr="000977F7">
        <w:rPr>
          <w:rFonts w:asciiTheme="majorHAnsi" w:hAnsiTheme="majorHAnsi"/>
          <w:sz w:val="20"/>
          <w:szCs w:val="20"/>
        </w:rPr>
        <w:t>(оплатної</w:t>
      </w:r>
      <w:r w:rsidRPr="000977F7">
        <w:rPr>
          <w:rFonts w:asciiTheme="majorHAnsi" w:hAnsiTheme="majorHAnsi"/>
          <w:spacing w:val="-1"/>
          <w:sz w:val="20"/>
          <w:szCs w:val="20"/>
        </w:rPr>
        <w:t xml:space="preserve"> </w:t>
      </w:r>
      <w:r w:rsidRPr="000977F7">
        <w:rPr>
          <w:rFonts w:asciiTheme="majorHAnsi" w:hAnsiTheme="majorHAnsi"/>
          <w:sz w:val="20"/>
          <w:szCs w:val="20"/>
        </w:rPr>
        <w:t>передачі)</w:t>
      </w:r>
    </w:p>
    <w:p w14:paraId="20FAB54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 – 95</w:t>
      </w:r>
    </w:p>
    <w:p w14:paraId="4D0886E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ТОВАРИ</w:t>
      </w:r>
      <w:r w:rsidRPr="000977F7">
        <w:rPr>
          <w:color w:val="auto"/>
          <w:spacing w:val="-1"/>
          <w:sz w:val="20"/>
          <w:szCs w:val="20"/>
        </w:rPr>
        <w:t xml:space="preserve"> </w:t>
      </w:r>
      <w:r w:rsidRPr="000977F7">
        <w:rPr>
          <w:color w:val="auto"/>
          <w:sz w:val="20"/>
          <w:szCs w:val="20"/>
        </w:rPr>
        <w:t>–</w:t>
      </w:r>
    </w:p>
    <w:p w14:paraId="5B2C5B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Будь-яке рухоме майно (у тому числі валютні цінності, культурні цінності), електрична, теплова та інші</w:t>
      </w:r>
      <w:r w:rsidRPr="000977F7">
        <w:rPr>
          <w:rFonts w:asciiTheme="majorHAnsi" w:hAnsiTheme="majorHAnsi"/>
          <w:spacing w:val="1"/>
          <w:sz w:val="20"/>
          <w:szCs w:val="20"/>
        </w:rPr>
        <w:t xml:space="preserve"> </w:t>
      </w:r>
      <w:r w:rsidRPr="000977F7">
        <w:rPr>
          <w:rFonts w:asciiTheme="majorHAnsi" w:hAnsiTheme="majorHAnsi"/>
          <w:sz w:val="20"/>
          <w:szCs w:val="20"/>
        </w:rPr>
        <w:t>види енергії, а також транспортні засоби, за винятком</w:t>
      </w:r>
      <w:r w:rsidRPr="000977F7">
        <w:rPr>
          <w:rFonts w:asciiTheme="majorHAnsi" w:hAnsiTheme="majorHAnsi"/>
          <w:spacing w:val="1"/>
          <w:sz w:val="20"/>
          <w:szCs w:val="20"/>
        </w:rPr>
        <w:t xml:space="preserve"> </w:t>
      </w:r>
      <w:r w:rsidRPr="000977F7">
        <w:rPr>
          <w:rFonts w:asciiTheme="majorHAnsi" w:hAnsiTheme="majorHAnsi"/>
          <w:sz w:val="20"/>
          <w:szCs w:val="20"/>
        </w:rPr>
        <w:t>транспортних засобів, що використовуються виключно для перевезення пасажирів і товарів через митний</w:t>
      </w:r>
      <w:r w:rsidRPr="000977F7">
        <w:rPr>
          <w:rFonts w:asciiTheme="majorHAnsi" w:hAnsiTheme="majorHAnsi"/>
          <w:spacing w:val="1"/>
          <w:sz w:val="20"/>
          <w:szCs w:val="20"/>
        </w:rPr>
        <w:t xml:space="preserve"> </w:t>
      </w:r>
      <w:r w:rsidRPr="000977F7">
        <w:rPr>
          <w:rFonts w:asciiTheme="majorHAnsi" w:hAnsiTheme="majorHAnsi"/>
          <w:sz w:val="20"/>
          <w:szCs w:val="20"/>
        </w:rPr>
        <w:t>кордон</w:t>
      </w:r>
      <w:r w:rsidRPr="000977F7">
        <w:rPr>
          <w:rFonts w:asciiTheme="majorHAnsi" w:hAnsiTheme="majorHAnsi"/>
          <w:spacing w:val="-2"/>
          <w:sz w:val="20"/>
          <w:szCs w:val="20"/>
        </w:rPr>
        <w:t xml:space="preserve"> </w:t>
      </w:r>
      <w:r w:rsidRPr="000977F7">
        <w:rPr>
          <w:rFonts w:asciiTheme="majorHAnsi" w:hAnsiTheme="majorHAnsi"/>
          <w:sz w:val="20"/>
          <w:szCs w:val="20"/>
        </w:rPr>
        <w:t>України</w:t>
      </w:r>
    </w:p>
    <w:p w14:paraId="4FC4182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Митний</w:t>
      </w:r>
      <w:r w:rsidRPr="000977F7">
        <w:rPr>
          <w:rFonts w:asciiTheme="majorHAnsi" w:hAnsiTheme="majorHAnsi"/>
          <w:i/>
          <w:spacing w:val="-2"/>
          <w:sz w:val="20"/>
          <w:szCs w:val="20"/>
        </w:rPr>
        <w:t xml:space="preserve"> </w:t>
      </w:r>
      <w:r w:rsidRPr="000977F7">
        <w:rPr>
          <w:rFonts w:asciiTheme="majorHAnsi" w:hAnsiTheme="majorHAnsi"/>
          <w:i/>
          <w:sz w:val="20"/>
          <w:szCs w:val="20"/>
        </w:rPr>
        <w:t>кодекс</w:t>
      </w:r>
      <w:r w:rsidRPr="000977F7">
        <w:rPr>
          <w:rFonts w:asciiTheme="majorHAnsi" w:hAnsiTheme="majorHAnsi"/>
          <w:i/>
          <w:spacing w:val="-2"/>
          <w:sz w:val="20"/>
          <w:szCs w:val="20"/>
        </w:rPr>
        <w:t xml:space="preserve"> </w:t>
      </w:r>
      <w:r w:rsidRPr="000977F7">
        <w:rPr>
          <w:rFonts w:asciiTheme="majorHAnsi" w:hAnsiTheme="majorHAnsi"/>
          <w:i/>
          <w:sz w:val="20"/>
          <w:szCs w:val="20"/>
        </w:rPr>
        <w:t>України.</w:t>
      </w:r>
    </w:p>
    <w:p w14:paraId="30DFD39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ТОВАРИ</w:t>
      </w:r>
      <w:r w:rsidRPr="000977F7">
        <w:rPr>
          <w:color w:val="auto"/>
          <w:spacing w:val="-4"/>
          <w:sz w:val="20"/>
          <w:szCs w:val="20"/>
        </w:rPr>
        <w:t xml:space="preserve"> </w:t>
      </w:r>
      <w:r w:rsidRPr="000977F7">
        <w:rPr>
          <w:color w:val="auto"/>
          <w:sz w:val="20"/>
          <w:szCs w:val="20"/>
        </w:rPr>
        <w:t>НАРОДНОГО</w:t>
      </w:r>
      <w:r w:rsidRPr="000977F7">
        <w:rPr>
          <w:color w:val="auto"/>
          <w:spacing w:val="-3"/>
          <w:sz w:val="20"/>
          <w:szCs w:val="20"/>
        </w:rPr>
        <w:t xml:space="preserve"> </w:t>
      </w:r>
      <w:r w:rsidRPr="000977F7">
        <w:rPr>
          <w:color w:val="auto"/>
          <w:sz w:val="20"/>
          <w:szCs w:val="20"/>
        </w:rPr>
        <w:t>ВЖИТКУ</w:t>
      </w:r>
      <w:r w:rsidRPr="000977F7">
        <w:rPr>
          <w:color w:val="auto"/>
          <w:spacing w:val="-2"/>
          <w:sz w:val="20"/>
          <w:szCs w:val="20"/>
        </w:rPr>
        <w:t xml:space="preserve"> </w:t>
      </w:r>
      <w:r w:rsidRPr="000977F7">
        <w:rPr>
          <w:color w:val="auto"/>
          <w:sz w:val="20"/>
          <w:szCs w:val="20"/>
        </w:rPr>
        <w:t>–</w:t>
      </w:r>
    </w:p>
    <w:p w14:paraId="15C4CA2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призначена</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особистих</w:t>
      </w:r>
      <w:r w:rsidRPr="000977F7">
        <w:rPr>
          <w:rFonts w:asciiTheme="majorHAnsi" w:hAnsiTheme="majorHAnsi"/>
          <w:spacing w:val="1"/>
          <w:sz w:val="20"/>
          <w:szCs w:val="20"/>
        </w:rPr>
        <w:t xml:space="preserve"> </w:t>
      </w:r>
      <w:r w:rsidRPr="000977F7">
        <w:rPr>
          <w:rFonts w:asciiTheme="majorHAnsi" w:hAnsiTheme="majorHAnsi"/>
          <w:sz w:val="20"/>
          <w:szCs w:val="20"/>
        </w:rPr>
        <w:t>потреб</w:t>
      </w:r>
      <w:r w:rsidRPr="000977F7">
        <w:rPr>
          <w:rFonts w:asciiTheme="majorHAnsi" w:hAnsiTheme="majorHAnsi"/>
          <w:spacing w:val="1"/>
          <w:sz w:val="20"/>
          <w:szCs w:val="20"/>
        </w:rPr>
        <w:t xml:space="preserve"> </w:t>
      </w:r>
      <w:r w:rsidRPr="000977F7">
        <w:rPr>
          <w:rFonts w:asciiTheme="majorHAnsi" w:hAnsiTheme="majorHAnsi"/>
          <w:sz w:val="20"/>
          <w:szCs w:val="20"/>
        </w:rPr>
        <w:t>населення</w:t>
      </w:r>
    </w:p>
    <w:p w14:paraId="398D126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4074B5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ТОВАРНА</w:t>
      </w:r>
      <w:r w:rsidRPr="000977F7">
        <w:rPr>
          <w:color w:val="auto"/>
          <w:spacing w:val="-3"/>
          <w:sz w:val="20"/>
          <w:szCs w:val="20"/>
        </w:rPr>
        <w:t xml:space="preserve"> </w:t>
      </w:r>
      <w:r w:rsidRPr="000977F7">
        <w:rPr>
          <w:color w:val="auto"/>
          <w:sz w:val="20"/>
          <w:szCs w:val="20"/>
        </w:rPr>
        <w:t>ГРУПА –</w:t>
      </w:r>
    </w:p>
    <w:p w14:paraId="56E207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Група однорідних товарів</w:t>
      </w:r>
      <w:r w:rsidRPr="000977F7">
        <w:rPr>
          <w:rFonts w:asciiTheme="majorHAnsi" w:hAnsiTheme="majorHAnsi"/>
          <w:spacing w:val="1"/>
          <w:sz w:val="20"/>
          <w:szCs w:val="20"/>
        </w:rPr>
        <w:t xml:space="preserve"> </w:t>
      </w:r>
      <w:r w:rsidRPr="000977F7">
        <w:rPr>
          <w:rFonts w:asciiTheme="majorHAnsi" w:hAnsiTheme="majorHAnsi"/>
          <w:sz w:val="20"/>
          <w:szCs w:val="20"/>
        </w:rPr>
        <w:t>за гармонізованою системою</w:t>
      </w:r>
      <w:r w:rsidRPr="000977F7">
        <w:rPr>
          <w:rFonts w:asciiTheme="majorHAnsi" w:hAnsiTheme="majorHAnsi"/>
          <w:spacing w:val="-1"/>
          <w:sz w:val="20"/>
          <w:szCs w:val="20"/>
        </w:rPr>
        <w:t xml:space="preserve"> </w:t>
      </w:r>
      <w:r w:rsidRPr="000977F7">
        <w:rPr>
          <w:rFonts w:asciiTheme="majorHAnsi" w:hAnsiTheme="majorHAnsi"/>
          <w:sz w:val="20"/>
          <w:szCs w:val="20"/>
        </w:rPr>
        <w:t>опису</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кодування</w:t>
      </w:r>
      <w:r w:rsidRPr="000977F7">
        <w:rPr>
          <w:rFonts w:asciiTheme="majorHAnsi" w:hAnsiTheme="majorHAnsi"/>
          <w:spacing w:val="-2"/>
          <w:sz w:val="20"/>
          <w:szCs w:val="20"/>
        </w:rPr>
        <w:t xml:space="preserve"> </w:t>
      </w:r>
      <w:r w:rsidRPr="000977F7">
        <w:rPr>
          <w:rFonts w:asciiTheme="majorHAnsi" w:hAnsiTheme="majorHAnsi"/>
          <w:sz w:val="20"/>
          <w:szCs w:val="20"/>
        </w:rPr>
        <w:t>товарів</w:t>
      </w:r>
    </w:p>
    <w:p w14:paraId="383CD00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3293</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10059C1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ТОВАРНА</w:t>
      </w:r>
      <w:r w:rsidRPr="000977F7">
        <w:rPr>
          <w:color w:val="auto"/>
          <w:spacing w:val="-4"/>
          <w:sz w:val="20"/>
          <w:szCs w:val="20"/>
        </w:rPr>
        <w:t xml:space="preserve"> </w:t>
      </w:r>
      <w:r w:rsidRPr="000977F7">
        <w:rPr>
          <w:color w:val="auto"/>
          <w:sz w:val="20"/>
          <w:szCs w:val="20"/>
        </w:rPr>
        <w:t>ПРОДУКЦІЯ</w:t>
      </w:r>
      <w:r w:rsidRPr="000977F7">
        <w:rPr>
          <w:color w:val="auto"/>
          <w:spacing w:val="-1"/>
          <w:sz w:val="20"/>
          <w:szCs w:val="20"/>
        </w:rPr>
        <w:t xml:space="preserve"> </w:t>
      </w:r>
      <w:r w:rsidRPr="000977F7">
        <w:rPr>
          <w:color w:val="auto"/>
          <w:sz w:val="20"/>
          <w:szCs w:val="20"/>
        </w:rPr>
        <w:t>–</w:t>
      </w:r>
    </w:p>
    <w:p w14:paraId="42413E3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MARKETABLE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PRODUCTION –</w:t>
      </w:r>
    </w:p>
    <w:p w14:paraId="5BFCE8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Продукція,</w:t>
      </w:r>
      <w:r w:rsidRPr="000977F7">
        <w:rPr>
          <w:rFonts w:asciiTheme="majorHAnsi" w:hAnsiTheme="majorHAnsi"/>
          <w:spacing w:val="-5"/>
          <w:sz w:val="20"/>
          <w:szCs w:val="20"/>
        </w:rPr>
        <w:t xml:space="preserve"> </w:t>
      </w:r>
      <w:r w:rsidRPr="000977F7">
        <w:rPr>
          <w:rFonts w:asciiTheme="majorHAnsi" w:hAnsiTheme="majorHAnsi"/>
          <w:sz w:val="20"/>
          <w:szCs w:val="20"/>
        </w:rPr>
        <w:t>призначена</w:t>
      </w:r>
      <w:r w:rsidRPr="000977F7">
        <w:rPr>
          <w:rFonts w:asciiTheme="majorHAnsi" w:hAnsiTheme="majorHAnsi"/>
          <w:spacing w:val="-4"/>
          <w:sz w:val="20"/>
          <w:szCs w:val="20"/>
        </w:rPr>
        <w:t xml:space="preserve"> </w:t>
      </w:r>
      <w:r w:rsidRPr="000977F7">
        <w:rPr>
          <w:rFonts w:asciiTheme="majorHAnsi" w:hAnsiTheme="majorHAnsi"/>
          <w:sz w:val="20"/>
          <w:szCs w:val="20"/>
        </w:rPr>
        <w:t>для</w:t>
      </w:r>
      <w:r w:rsidRPr="000977F7">
        <w:rPr>
          <w:rFonts w:asciiTheme="majorHAnsi" w:hAnsiTheme="majorHAnsi"/>
          <w:spacing w:val="-3"/>
          <w:sz w:val="20"/>
          <w:szCs w:val="20"/>
        </w:rPr>
        <w:t xml:space="preserve"> </w:t>
      </w:r>
      <w:r w:rsidRPr="000977F7">
        <w:rPr>
          <w:rFonts w:asciiTheme="majorHAnsi" w:hAnsiTheme="majorHAnsi"/>
          <w:sz w:val="20"/>
          <w:szCs w:val="20"/>
        </w:rPr>
        <w:t>реалізації</w:t>
      </w:r>
    </w:p>
    <w:p w14:paraId="107CB18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ТОВАРНИЙ</w:t>
      </w:r>
      <w:r w:rsidRPr="000977F7">
        <w:rPr>
          <w:color w:val="auto"/>
          <w:spacing w:val="-2"/>
          <w:sz w:val="20"/>
          <w:szCs w:val="20"/>
        </w:rPr>
        <w:t xml:space="preserve"> </w:t>
      </w:r>
      <w:r w:rsidRPr="000977F7">
        <w:rPr>
          <w:color w:val="auto"/>
          <w:sz w:val="20"/>
          <w:szCs w:val="20"/>
        </w:rPr>
        <w:t>ЗНАК</w:t>
      </w:r>
      <w:r w:rsidRPr="000977F7">
        <w:rPr>
          <w:color w:val="auto"/>
          <w:spacing w:val="-1"/>
          <w:sz w:val="20"/>
          <w:szCs w:val="20"/>
        </w:rPr>
        <w:t xml:space="preserve"> </w:t>
      </w:r>
      <w:r w:rsidRPr="000977F7">
        <w:rPr>
          <w:color w:val="auto"/>
          <w:sz w:val="20"/>
          <w:szCs w:val="20"/>
        </w:rPr>
        <w:t>–</w:t>
      </w:r>
    </w:p>
    <w:p w14:paraId="1AB28D5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Зареєстроване в установленому порядку позначення,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яке розміщується на товарах, упаковці або в документації, пов’язаній з їх реалізацією, і служить для відрізнення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товарів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одного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підприємства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однорідних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товарів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іншого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підприємства</w:t>
      </w:r>
    </w:p>
    <w:p w14:paraId="4EE3FBA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ТОВАРОРУХ</w:t>
      </w:r>
      <w:r w:rsidRPr="000977F7">
        <w:rPr>
          <w:color w:val="auto"/>
          <w:spacing w:val="-2"/>
          <w:sz w:val="20"/>
          <w:szCs w:val="20"/>
        </w:rPr>
        <w:t xml:space="preserve"> </w:t>
      </w:r>
      <w:r w:rsidRPr="000977F7">
        <w:rPr>
          <w:color w:val="auto"/>
          <w:sz w:val="20"/>
          <w:szCs w:val="20"/>
        </w:rPr>
        <w:t>–</w:t>
      </w:r>
    </w:p>
    <w:p w14:paraId="1B3AC58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 руху товару від виробника через експортера,</w:t>
      </w:r>
      <w:r w:rsidRPr="000977F7">
        <w:rPr>
          <w:rFonts w:asciiTheme="majorHAnsi" w:hAnsiTheme="majorHAnsi"/>
          <w:spacing w:val="1"/>
          <w:sz w:val="20"/>
          <w:szCs w:val="20"/>
        </w:rPr>
        <w:t xml:space="preserve"> </w:t>
      </w:r>
      <w:r w:rsidRPr="000977F7">
        <w:rPr>
          <w:rFonts w:asciiTheme="majorHAnsi" w:hAnsiTheme="majorHAnsi"/>
          <w:sz w:val="20"/>
          <w:szCs w:val="20"/>
        </w:rPr>
        <w:t>імпортера, оптового покупця у роздрібну торгівлю до</w:t>
      </w:r>
      <w:r w:rsidRPr="000977F7">
        <w:rPr>
          <w:rFonts w:asciiTheme="majorHAnsi" w:hAnsiTheme="majorHAnsi"/>
          <w:spacing w:val="1"/>
          <w:sz w:val="20"/>
          <w:szCs w:val="20"/>
        </w:rPr>
        <w:t xml:space="preserve"> </w:t>
      </w:r>
      <w:r w:rsidRPr="000977F7">
        <w:rPr>
          <w:rFonts w:asciiTheme="majorHAnsi" w:hAnsiTheme="majorHAnsi"/>
          <w:sz w:val="20"/>
          <w:szCs w:val="20"/>
        </w:rPr>
        <w:t>споживача</w:t>
      </w:r>
    </w:p>
    <w:p w14:paraId="38B7E5C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1F66C5E" w14:textId="77777777" w:rsidR="0097612F" w:rsidRPr="000977F7" w:rsidRDefault="0097612F" w:rsidP="000977F7">
      <w:pPr>
        <w:pStyle w:val="7"/>
        <w:tabs>
          <w:tab w:val="left" w:pos="284"/>
        </w:tabs>
        <w:spacing w:before="0" w:line="240" w:lineRule="auto"/>
        <w:ind w:left="170"/>
        <w:mirrorIndents/>
        <w:jc w:val="both"/>
        <w:rPr>
          <w:color w:val="auto"/>
          <w:spacing w:val="9"/>
          <w:sz w:val="20"/>
          <w:szCs w:val="20"/>
        </w:rPr>
      </w:pPr>
      <w:r w:rsidRPr="000977F7">
        <w:rPr>
          <w:color w:val="auto"/>
          <w:sz w:val="20"/>
          <w:szCs w:val="20"/>
        </w:rPr>
        <w:t>ТОВАРОСУПРОВОДЖУВАЛЬНА</w:t>
      </w:r>
      <w:r w:rsidRPr="000977F7">
        <w:rPr>
          <w:color w:val="auto"/>
          <w:spacing w:val="9"/>
          <w:sz w:val="20"/>
          <w:szCs w:val="20"/>
        </w:rPr>
        <w:t xml:space="preserve"> </w:t>
      </w:r>
    </w:p>
    <w:p w14:paraId="65A815A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ЗОВНІШНЬОТОРГІВЕЛЬНА</w:t>
      </w:r>
      <w:r w:rsidRPr="000977F7">
        <w:rPr>
          <w:color w:val="auto"/>
          <w:spacing w:val="-1"/>
          <w:sz w:val="20"/>
          <w:szCs w:val="20"/>
        </w:rPr>
        <w:t xml:space="preserve"> </w:t>
      </w:r>
      <w:r w:rsidRPr="000977F7">
        <w:rPr>
          <w:color w:val="auto"/>
          <w:sz w:val="20"/>
          <w:szCs w:val="20"/>
        </w:rPr>
        <w:t>ДОКУМЕНТАЦІЯ</w:t>
      </w:r>
      <w:r w:rsidRPr="000977F7">
        <w:rPr>
          <w:color w:val="auto"/>
          <w:spacing w:val="1"/>
          <w:sz w:val="20"/>
          <w:szCs w:val="20"/>
        </w:rPr>
        <w:t xml:space="preserve"> </w:t>
      </w:r>
      <w:r w:rsidRPr="000977F7">
        <w:rPr>
          <w:color w:val="auto"/>
          <w:sz w:val="20"/>
          <w:szCs w:val="20"/>
        </w:rPr>
        <w:t>–</w:t>
      </w:r>
    </w:p>
    <w:p w14:paraId="7C53C11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Категорія</w:t>
      </w:r>
      <w:r w:rsidRPr="000977F7">
        <w:rPr>
          <w:rFonts w:asciiTheme="majorHAnsi" w:hAnsiTheme="majorHAnsi"/>
          <w:spacing w:val="1"/>
          <w:sz w:val="20"/>
          <w:szCs w:val="20"/>
        </w:rPr>
        <w:t xml:space="preserve"> </w:t>
      </w:r>
      <w:r w:rsidRPr="000977F7">
        <w:rPr>
          <w:rFonts w:asciiTheme="majorHAnsi" w:hAnsiTheme="majorHAnsi"/>
          <w:sz w:val="20"/>
          <w:szCs w:val="20"/>
        </w:rPr>
        <w:t>зовнішньоторговельної</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документації,</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містить кількісну і якісну характеристику товарів, що</w:t>
      </w:r>
      <w:r w:rsidRPr="000977F7">
        <w:rPr>
          <w:rFonts w:asciiTheme="majorHAnsi" w:hAnsiTheme="majorHAnsi"/>
          <w:spacing w:val="1"/>
          <w:sz w:val="20"/>
          <w:szCs w:val="20"/>
        </w:rPr>
        <w:t xml:space="preserve"> </w:t>
      </w:r>
      <w:r w:rsidRPr="000977F7">
        <w:rPr>
          <w:rFonts w:asciiTheme="majorHAnsi" w:hAnsiTheme="majorHAnsi"/>
          <w:sz w:val="20"/>
          <w:szCs w:val="20"/>
        </w:rPr>
        <w:t>постачаються</w:t>
      </w:r>
    </w:p>
    <w:p w14:paraId="3424B31B"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rPr>
      </w:pPr>
      <w:r w:rsidRPr="000977F7">
        <w:rPr>
          <w:rFonts w:asciiTheme="majorHAnsi" w:hAnsiTheme="majorHAnsi"/>
          <w:b/>
          <w:bCs/>
          <w:sz w:val="20"/>
          <w:szCs w:val="20"/>
        </w:rPr>
        <w:t>ТОНАЛЬНИЙ</w:t>
      </w:r>
      <w:r w:rsidRPr="000977F7">
        <w:rPr>
          <w:rFonts w:asciiTheme="majorHAnsi" w:hAnsiTheme="majorHAnsi"/>
          <w:b/>
          <w:bCs/>
          <w:spacing w:val="-6"/>
          <w:sz w:val="20"/>
          <w:szCs w:val="20"/>
        </w:rPr>
        <w:t xml:space="preserve"> </w:t>
      </w:r>
      <w:r w:rsidRPr="000977F7">
        <w:rPr>
          <w:rFonts w:asciiTheme="majorHAnsi" w:hAnsiTheme="majorHAnsi"/>
          <w:b/>
          <w:bCs/>
          <w:sz w:val="20"/>
          <w:szCs w:val="20"/>
        </w:rPr>
        <w:t>ШУМ –</w:t>
      </w:r>
    </w:p>
    <w:p w14:paraId="7EF7DB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TONE SOUND –</w:t>
      </w:r>
    </w:p>
    <w:p w14:paraId="05AF0B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Шум,</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6"/>
          <w:sz w:val="20"/>
          <w:szCs w:val="20"/>
        </w:rPr>
        <w:t xml:space="preserve"> </w:t>
      </w:r>
      <w:r w:rsidRPr="000977F7">
        <w:rPr>
          <w:rFonts w:asciiTheme="majorHAnsi" w:hAnsiTheme="majorHAnsi"/>
          <w:sz w:val="20"/>
          <w:szCs w:val="20"/>
        </w:rPr>
        <w:t>спектрі</w:t>
      </w:r>
      <w:r w:rsidRPr="000977F7">
        <w:rPr>
          <w:rFonts w:asciiTheme="majorHAnsi" w:hAnsiTheme="majorHAnsi"/>
          <w:spacing w:val="-4"/>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3"/>
          <w:sz w:val="20"/>
          <w:szCs w:val="20"/>
        </w:rPr>
        <w:t xml:space="preserve"> </w:t>
      </w:r>
      <w:r w:rsidRPr="000977F7">
        <w:rPr>
          <w:rFonts w:asciiTheme="majorHAnsi" w:hAnsiTheme="majorHAnsi"/>
          <w:sz w:val="20"/>
          <w:szCs w:val="20"/>
        </w:rPr>
        <w:t>виражені дискретні</w:t>
      </w:r>
      <w:r w:rsidRPr="000977F7">
        <w:rPr>
          <w:rFonts w:asciiTheme="majorHAnsi" w:hAnsiTheme="majorHAnsi"/>
          <w:spacing w:val="-4"/>
          <w:sz w:val="20"/>
          <w:szCs w:val="20"/>
        </w:rPr>
        <w:t xml:space="preserve"> </w:t>
      </w:r>
      <w:r w:rsidRPr="000977F7">
        <w:rPr>
          <w:rFonts w:asciiTheme="majorHAnsi" w:hAnsiTheme="majorHAnsi"/>
          <w:sz w:val="20"/>
          <w:szCs w:val="20"/>
        </w:rPr>
        <w:t>шуми</w:t>
      </w:r>
    </w:p>
    <w:p w14:paraId="27579A4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66C6DC5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ТОРГИ</w:t>
      </w:r>
      <w:r w:rsidRPr="000977F7">
        <w:rPr>
          <w:color w:val="auto"/>
          <w:spacing w:val="-2"/>
          <w:sz w:val="20"/>
          <w:szCs w:val="20"/>
        </w:rPr>
        <w:t xml:space="preserve"> </w:t>
      </w:r>
      <w:r w:rsidRPr="000977F7">
        <w:rPr>
          <w:color w:val="auto"/>
          <w:sz w:val="20"/>
          <w:szCs w:val="20"/>
        </w:rPr>
        <w:t>ВІДКРИТІ</w:t>
      </w:r>
      <w:r w:rsidRPr="000977F7">
        <w:rPr>
          <w:color w:val="auto"/>
          <w:spacing w:val="-2"/>
          <w:sz w:val="20"/>
          <w:szCs w:val="20"/>
        </w:rPr>
        <w:t xml:space="preserve"> </w:t>
      </w:r>
      <w:r w:rsidRPr="000977F7">
        <w:rPr>
          <w:color w:val="auto"/>
          <w:sz w:val="20"/>
          <w:szCs w:val="20"/>
        </w:rPr>
        <w:t>–</w:t>
      </w:r>
    </w:p>
    <w:p w14:paraId="76004FD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Міжнародні торги, до участі в яких запрошуються усі</w:t>
      </w:r>
      <w:r w:rsidRPr="000977F7">
        <w:rPr>
          <w:rFonts w:asciiTheme="majorHAnsi" w:hAnsiTheme="majorHAnsi"/>
          <w:spacing w:val="1"/>
          <w:sz w:val="20"/>
          <w:szCs w:val="20"/>
        </w:rPr>
        <w:t xml:space="preserve"> </w:t>
      </w:r>
      <w:r w:rsidRPr="000977F7">
        <w:rPr>
          <w:rFonts w:asciiTheme="majorHAnsi" w:hAnsiTheme="majorHAnsi"/>
          <w:sz w:val="20"/>
          <w:szCs w:val="20"/>
        </w:rPr>
        <w:t>бажаючі</w:t>
      </w:r>
      <w:r w:rsidRPr="000977F7">
        <w:rPr>
          <w:rFonts w:asciiTheme="majorHAnsi" w:hAnsiTheme="majorHAnsi"/>
          <w:spacing w:val="-2"/>
          <w:sz w:val="20"/>
          <w:szCs w:val="20"/>
        </w:rPr>
        <w:t xml:space="preserve"> </w:t>
      </w:r>
      <w:r w:rsidRPr="000977F7">
        <w:rPr>
          <w:rFonts w:asciiTheme="majorHAnsi" w:hAnsiTheme="majorHAnsi"/>
          <w:sz w:val="20"/>
          <w:szCs w:val="20"/>
        </w:rPr>
        <w:t>організації</w:t>
      </w:r>
    </w:p>
    <w:p w14:paraId="0504FC6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B548FF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ТОРГИ</w:t>
      </w:r>
      <w:r w:rsidRPr="000977F7">
        <w:rPr>
          <w:color w:val="auto"/>
          <w:spacing w:val="-3"/>
          <w:sz w:val="20"/>
          <w:szCs w:val="20"/>
        </w:rPr>
        <w:t xml:space="preserve"> </w:t>
      </w:r>
      <w:r w:rsidRPr="000977F7">
        <w:rPr>
          <w:color w:val="auto"/>
          <w:sz w:val="20"/>
          <w:szCs w:val="20"/>
        </w:rPr>
        <w:t>ГЛАСНІ</w:t>
      </w:r>
      <w:r w:rsidRPr="000977F7">
        <w:rPr>
          <w:color w:val="auto"/>
          <w:spacing w:val="-3"/>
          <w:sz w:val="20"/>
          <w:szCs w:val="20"/>
        </w:rPr>
        <w:t xml:space="preserve"> </w:t>
      </w:r>
      <w:r w:rsidRPr="000977F7">
        <w:rPr>
          <w:color w:val="auto"/>
          <w:sz w:val="20"/>
          <w:szCs w:val="20"/>
        </w:rPr>
        <w:t>–</w:t>
      </w:r>
    </w:p>
    <w:p w14:paraId="662454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Міжнародні торги, під час проведення яких тендерний</w:t>
      </w:r>
      <w:r w:rsidRPr="000977F7">
        <w:rPr>
          <w:rFonts w:asciiTheme="majorHAnsi" w:hAnsiTheme="majorHAnsi"/>
          <w:spacing w:val="-48"/>
          <w:sz w:val="20"/>
          <w:szCs w:val="20"/>
        </w:rPr>
        <w:t xml:space="preserve"> </w:t>
      </w:r>
      <w:r w:rsidRPr="000977F7">
        <w:rPr>
          <w:rFonts w:asciiTheme="majorHAnsi" w:hAnsiTheme="majorHAnsi"/>
          <w:sz w:val="20"/>
          <w:szCs w:val="20"/>
        </w:rPr>
        <w:t>комітет</w:t>
      </w:r>
      <w:r w:rsidRPr="000977F7">
        <w:rPr>
          <w:rFonts w:asciiTheme="majorHAnsi" w:hAnsiTheme="majorHAnsi"/>
          <w:spacing w:val="1"/>
          <w:sz w:val="20"/>
          <w:szCs w:val="20"/>
        </w:rPr>
        <w:t xml:space="preserve"> </w:t>
      </w:r>
      <w:r w:rsidRPr="000977F7">
        <w:rPr>
          <w:rFonts w:asciiTheme="majorHAnsi" w:hAnsiTheme="majorHAnsi"/>
          <w:sz w:val="20"/>
          <w:szCs w:val="20"/>
        </w:rPr>
        <w:t>виявляє</w:t>
      </w:r>
      <w:r w:rsidRPr="000977F7">
        <w:rPr>
          <w:rFonts w:asciiTheme="majorHAnsi" w:hAnsiTheme="majorHAnsi"/>
          <w:spacing w:val="1"/>
          <w:sz w:val="20"/>
          <w:szCs w:val="20"/>
        </w:rPr>
        <w:t xml:space="preserve"> </w:t>
      </w:r>
      <w:r w:rsidRPr="000977F7">
        <w:rPr>
          <w:rFonts w:asciiTheme="majorHAnsi" w:hAnsiTheme="majorHAnsi"/>
          <w:sz w:val="20"/>
          <w:szCs w:val="20"/>
        </w:rPr>
        <w:t>пропозиції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оголошує</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основні</w:t>
      </w:r>
      <w:r w:rsidRPr="000977F7">
        <w:rPr>
          <w:rFonts w:asciiTheme="majorHAnsi" w:hAnsiTheme="majorHAnsi"/>
          <w:spacing w:val="-47"/>
          <w:sz w:val="20"/>
          <w:szCs w:val="20"/>
        </w:rPr>
        <w:t xml:space="preserve"> </w:t>
      </w:r>
      <w:r w:rsidRPr="000977F7">
        <w:rPr>
          <w:rFonts w:asciiTheme="majorHAnsi" w:hAnsiTheme="majorHAnsi"/>
          <w:sz w:val="20"/>
          <w:szCs w:val="20"/>
        </w:rPr>
        <w:t>умови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присутності</w:t>
      </w:r>
      <w:r w:rsidRPr="000977F7">
        <w:rPr>
          <w:rFonts w:asciiTheme="majorHAnsi" w:hAnsiTheme="majorHAnsi"/>
          <w:spacing w:val="1"/>
          <w:sz w:val="20"/>
          <w:szCs w:val="20"/>
        </w:rPr>
        <w:t xml:space="preserve"> </w:t>
      </w:r>
      <w:r w:rsidRPr="000977F7">
        <w:rPr>
          <w:rFonts w:asciiTheme="majorHAnsi" w:hAnsiTheme="majorHAnsi"/>
          <w:sz w:val="20"/>
          <w:szCs w:val="20"/>
        </w:rPr>
        <w:t>представників</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організацій</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консорціумів,</w:t>
      </w:r>
      <w:r w:rsidRPr="000977F7">
        <w:rPr>
          <w:rFonts w:asciiTheme="majorHAnsi" w:hAnsiTheme="majorHAnsi"/>
          <w:spacing w:val="-2"/>
          <w:sz w:val="20"/>
          <w:szCs w:val="20"/>
        </w:rPr>
        <w:t xml:space="preserve"> </w:t>
      </w:r>
      <w:r w:rsidRPr="000977F7">
        <w:rPr>
          <w:rFonts w:asciiTheme="majorHAnsi" w:hAnsiTheme="majorHAnsi"/>
          <w:sz w:val="20"/>
          <w:szCs w:val="20"/>
        </w:rPr>
        <w:t>що</w:t>
      </w:r>
      <w:r w:rsidRPr="000977F7">
        <w:rPr>
          <w:rFonts w:asciiTheme="majorHAnsi" w:hAnsiTheme="majorHAnsi"/>
          <w:spacing w:val="2"/>
          <w:sz w:val="20"/>
          <w:szCs w:val="20"/>
        </w:rPr>
        <w:t xml:space="preserve"> </w:t>
      </w:r>
      <w:r w:rsidRPr="000977F7">
        <w:rPr>
          <w:rFonts w:asciiTheme="majorHAnsi" w:hAnsiTheme="majorHAnsi"/>
          <w:sz w:val="20"/>
          <w:szCs w:val="20"/>
        </w:rPr>
        <w:t>приймають</w:t>
      </w:r>
      <w:r w:rsidRPr="000977F7">
        <w:rPr>
          <w:rFonts w:asciiTheme="majorHAnsi" w:hAnsiTheme="majorHAnsi"/>
          <w:spacing w:val="1"/>
          <w:sz w:val="20"/>
          <w:szCs w:val="20"/>
        </w:rPr>
        <w:t xml:space="preserve"> </w:t>
      </w:r>
      <w:r w:rsidRPr="000977F7">
        <w:rPr>
          <w:rFonts w:asciiTheme="majorHAnsi" w:hAnsiTheme="majorHAnsi"/>
          <w:sz w:val="20"/>
          <w:szCs w:val="20"/>
        </w:rPr>
        <w:t>участь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торгах</w:t>
      </w:r>
    </w:p>
    <w:p w14:paraId="1AC57F3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5AEAF2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ТОРГИ</w:t>
      </w:r>
      <w:r w:rsidRPr="000977F7">
        <w:rPr>
          <w:color w:val="auto"/>
          <w:spacing w:val="-3"/>
          <w:sz w:val="20"/>
          <w:szCs w:val="20"/>
        </w:rPr>
        <w:t xml:space="preserve"> </w:t>
      </w:r>
      <w:r w:rsidRPr="000977F7">
        <w:rPr>
          <w:color w:val="auto"/>
          <w:sz w:val="20"/>
          <w:szCs w:val="20"/>
        </w:rPr>
        <w:t>ЗАКРИТІ</w:t>
      </w:r>
      <w:r w:rsidRPr="000977F7">
        <w:rPr>
          <w:color w:val="auto"/>
          <w:spacing w:val="-3"/>
          <w:sz w:val="20"/>
          <w:szCs w:val="20"/>
        </w:rPr>
        <w:t xml:space="preserve"> </w:t>
      </w:r>
      <w:r w:rsidRPr="000977F7">
        <w:rPr>
          <w:color w:val="auto"/>
          <w:sz w:val="20"/>
          <w:szCs w:val="20"/>
        </w:rPr>
        <w:t>–</w:t>
      </w:r>
    </w:p>
    <w:p w14:paraId="3983731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Міжнародні торги, до участі в яких запрошується обмежена</w:t>
      </w:r>
      <w:r w:rsidRPr="000977F7">
        <w:rPr>
          <w:rFonts w:asciiTheme="majorHAnsi" w:hAnsiTheme="majorHAnsi"/>
          <w:spacing w:val="-1"/>
          <w:sz w:val="20"/>
          <w:szCs w:val="20"/>
        </w:rPr>
        <w:t xml:space="preserve"> </w:t>
      </w:r>
      <w:r w:rsidRPr="000977F7">
        <w:rPr>
          <w:rFonts w:asciiTheme="majorHAnsi" w:hAnsiTheme="majorHAnsi"/>
          <w:sz w:val="20"/>
          <w:szCs w:val="20"/>
        </w:rPr>
        <w:t>кількість</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організацій</w:t>
      </w:r>
    </w:p>
    <w:p w14:paraId="02E425F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590FC9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ТОРГИ</w:t>
      </w:r>
      <w:r w:rsidRPr="000977F7">
        <w:rPr>
          <w:color w:val="auto"/>
          <w:spacing w:val="-3"/>
          <w:sz w:val="20"/>
          <w:szCs w:val="20"/>
        </w:rPr>
        <w:t xml:space="preserve"> </w:t>
      </w:r>
      <w:r w:rsidRPr="000977F7">
        <w:rPr>
          <w:color w:val="auto"/>
          <w:sz w:val="20"/>
          <w:szCs w:val="20"/>
        </w:rPr>
        <w:t>НЕГЛАСНІ</w:t>
      </w:r>
      <w:r w:rsidRPr="000977F7">
        <w:rPr>
          <w:color w:val="auto"/>
          <w:spacing w:val="-3"/>
          <w:sz w:val="20"/>
          <w:szCs w:val="20"/>
        </w:rPr>
        <w:t xml:space="preserve"> </w:t>
      </w:r>
      <w:r w:rsidRPr="000977F7">
        <w:rPr>
          <w:color w:val="auto"/>
          <w:sz w:val="20"/>
          <w:szCs w:val="20"/>
        </w:rPr>
        <w:t>–</w:t>
      </w:r>
    </w:p>
    <w:p w14:paraId="263756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Міжнародні торги, під час проведення яких тендерні</w:t>
      </w:r>
      <w:r w:rsidRPr="000977F7">
        <w:rPr>
          <w:rFonts w:asciiTheme="majorHAnsi" w:hAnsiTheme="majorHAnsi"/>
          <w:spacing w:val="1"/>
          <w:sz w:val="20"/>
          <w:szCs w:val="20"/>
        </w:rPr>
        <w:t xml:space="preserve"> </w:t>
      </w:r>
      <w:r w:rsidRPr="000977F7">
        <w:rPr>
          <w:rFonts w:asciiTheme="majorHAnsi" w:hAnsiTheme="majorHAnsi"/>
          <w:sz w:val="20"/>
          <w:szCs w:val="20"/>
        </w:rPr>
        <w:t>комітети не виявляють пропозицій у присутності учасників торгів та не публікують відомості про те, яка</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організація</w:t>
      </w:r>
      <w:r w:rsidRPr="000977F7">
        <w:rPr>
          <w:rFonts w:asciiTheme="majorHAnsi" w:hAnsiTheme="majorHAnsi"/>
          <w:spacing w:val="-2"/>
          <w:sz w:val="20"/>
          <w:szCs w:val="20"/>
        </w:rPr>
        <w:t xml:space="preserve"> </w:t>
      </w:r>
      <w:r w:rsidRPr="000977F7">
        <w:rPr>
          <w:rFonts w:asciiTheme="majorHAnsi" w:hAnsiTheme="majorHAnsi"/>
          <w:sz w:val="20"/>
          <w:szCs w:val="20"/>
        </w:rPr>
        <w:t>отримала замовлення</w:t>
      </w:r>
    </w:p>
    <w:p w14:paraId="33F29A1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D0F32F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ТОРГИ</w:t>
      </w:r>
      <w:r w:rsidRPr="000977F7">
        <w:rPr>
          <w:color w:val="auto"/>
          <w:spacing w:val="-5"/>
          <w:sz w:val="20"/>
          <w:szCs w:val="20"/>
        </w:rPr>
        <w:t xml:space="preserve"> </w:t>
      </w:r>
      <w:r w:rsidRPr="000977F7">
        <w:rPr>
          <w:color w:val="auto"/>
          <w:sz w:val="20"/>
          <w:szCs w:val="20"/>
        </w:rPr>
        <w:t>ПЕРЕКВАЛІФІКАЦІЙНІ</w:t>
      </w:r>
      <w:r w:rsidRPr="000977F7">
        <w:rPr>
          <w:color w:val="auto"/>
          <w:spacing w:val="-4"/>
          <w:sz w:val="20"/>
          <w:szCs w:val="20"/>
        </w:rPr>
        <w:t xml:space="preserve"> </w:t>
      </w:r>
      <w:r w:rsidRPr="000977F7">
        <w:rPr>
          <w:color w:val="auto"/>
          <w:sz w:val="20"/>
          <w:szCs w:val="20"/>
        </w:rPr>
        <w:t>–</w:t>
      </w:r>
    </w:p>
    <w:p w14:paraId="4B225F6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Перший</w:t>
      </w:r>
      <w:r w:rsidRPr="000977F7">
        <w:rPr>
          <w:rFonts w:asciiTheme="majorHAnsi" w:hAnsiTheme="majorHAnsi"/>
          <w:spacing w:val="1"/>
          <w:sz w:val="20"/>
          <w:szCs w:val="20"/>
        </w:rPr>
        <w:t xml:space="preserve"> </w:t>
      </w:r>
      <w:r w:rsidRPr="000977F7">
        <w:rPr>
          <w:rFonts w:asciiTheme="majorHAnsi" w:hAnsiTheme="majorHAnsi"/>
          <w:sz w:val="20"/>
          <w:szCs w:val="20"/>
        </w:rPr>
        <w:t>етап</w:t>
      </w:r>
      <w:r w:rsidRPr="000977F7">
        <w:rPr>
          <w:rFonts w:asciiTheme="majorHAnsi" w:hAnsiTheme="majorHAnsi"/>
          <w:spacing w:val="1"/>
          <w:sz w:val="20"/>
          <w:szCs w:val="20"/>
        </w:rPr>
        <w:t xml:space="preserve"> </w:t>
      </w:r>
      <w:r w:rsidRPr="000977F7">
        <w:rPr>
          <w:rFonts w:asciiTheme="majorHAnsi" w:hAnsiTheme="majorHAnsi"/>
          <w:sz w:val="20"/>
          <w:szCs w:val="20"/>
        </w:rPr>
        <w:t>двостадійних</w:t>
      </w:r>
      <w:r w:rsidRPr="000977F7">
        <w:rPr>
          <w:rFonts w:asciiTheme="majorHAnsi" w:hAnsiTheme="majorHAnsi"/>
          <w:spacing w:val="1"/>
          <w:sz w:val="20"/>
          <w:szCs w:val="20"/>
        </w:rPr>
        <w:t xml:space="preserve"> </w:t>
      </w:r>
      <w:r w:rsidRPr="000977F7">
        <w:rPr>
          <w:rFonts w:asciiTheme="majorHAnsi" w:hAnsiTheme="majorHAnsi"/>
          <w:sz w:val="20"/>
          <w:szCs w:val="20"/>
        </w:rPr>
        <w:t>міжнародних</w:t>
      </w:r>
      <w:r w:rsidRPr="000977F7">
        <w:rPr>
          <w:rFonts w:asciiTheme="majorHAnsi" w:hAnsiTheme="majorHAnsi"/>
          <w:spacing w:val="1"/>
          <w:sz w:val="20"/>
          <w:szCs w:val="20"/>
        </w:rPr>
        <w:t xml:space="preserve"> </w:t>
      </w:r>
      <w:r w:rsidRPr="000977F7">
        <w:rPr>
          <w:rFonts w:asciiTheme="majorHAnsi" w:hAnsiTheme="majorHAnsi"/>
          <w:sz w:val="20"/>
          <w:szCs w:val="20"/>
        </w:rPr>
        <w:t>торгів,</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47"/>
          <w:sz w:val="20"/>
          <w:szCs w:val="20"/>
        </w:rPr>
        <w:t xml:space="preserve"> </w:t>
      </w:r>
      <w:r w:rsidRPr="000977F7">
        <w:rPr>
          <w:rFonts w:asciiTheme="majorHAnsi" w:hAnsiTheme="majorHAnsi"/>
          <w:sz w:val="20"/>
          <w:szCs w:val="20"/>
        </w:rPr>
        <w:t>звичайно проводяться під час розміщення замовлень</w:t>
      </w:r>
      <w:r w:rsidRPr="000977F7">
        <w:rPr>
          <w:rFonts w:asciiTheme="majorHAnsi" w:hAnsiTheme="majorHAnsi"/>
          <w:spacing w:val="1"/>
          <w:sz w:val="20"/>
          <w:szCs w:val="20"/>
        </w:rPr>
        <w:t xml:space="preserve"> </w:t>
      </w:r>
      <w:r w:rsidRPr="000977F7">
        <w:rPr>
          <w:rFonts w:asciiTheme="majorHAnsi" w:hAnsiTheme="majorHAnsi"/>
          <w:sz w:val="20"/>
          <w:szCs w:val="20"/>
        </w:rPr>
        <w:t>на постачання складного обладнання або спорудження</w:t>
      </w:r>
      <w:r w:rsidRPr="000977F7">
        <w:rPr>
          <w:rFonts w:asciiTheme="majorHAnsi" w:hAnsiTheme="majorHAnsi"/>
          <w:spacing w:val="-2"/>
          <w:sz w:val="20"/>
          <w:szCs w:val="20"/>
        </w:rPr>
        <w:t xml:space="preserve"> </w:t>
      </w:r>
      <w:r w:rsidRPr="000977F7">
        <w:rPr>
          <w:rFonts w:asciiTheme="majorHAnsi" w:hAnsiTheme="majorHAnsi"/>
          <w:sz w:val="20"/>
          <w:szCs w:val="20"/>
        </w:rPr>
        <w:t>складних</w:t>
      </w:r>
      <w:r w:rsidRPr="000977F7">
        <w:rPr>
          <w:rFonts w:asciiTheme="majorHAnsi" w:hAnsiTheme="majorHAnsi"/>
          <w:spacing w:val="-1"/>
          <w:sz w:val="20"/>
          <w:szCs w:val="20"/>
        </w:rPr>
        <w:t xml:space="preserve"> </w:t>
      </w:r>
      <w:r w:rsidRPr="000977F7">
        <w:rPr>
          <w:rFonts w:asciiTheme="majorHAnsi" w:hAnsiTheme="majorHAnsi"/>
          <w:sz w:val="20"/>
          <w:szCs w:val="20"/>
        </w:rPr>
        <w:t>об’єктів</w:t>
      </w:r>
    </w:p>
    <w:p w14:paraId="00B2701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88330B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ТОРГОВЕЛЬНЕ ПРИМІЩЕННЯ –</w:t>
      </w:r>
    </w:p>
    <w:p w14:paraId="3BF0E12E"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Майновий комплекс, який займає окрему споруду (офісне приміщення) або який розміщено у спеціально призначеній та обладнаній для торгівлі споруді, де суб'єкт господарювання здійснює діяльність з реалізації товару</w:t>
      </w:r>
    </w:p>
    <w:p w14:paraId="22FB7AF4"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Закон України "Про захист прав споживачів"</w:t>
      </w:r>
    </w:p>
    <w:p w14:paraId="24A8A2E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ТОРГОВЕЛЬНІ</w:t>
      </w:r>
      <w:r w:rsidRPr="000977F7">
        <w:rPr>
          <w:color w:val="auto"/>
          <w:spacing w:val="-6"/>
          <w:sz w:val="20"/>
          <w:szCs w:val="20"/>
        </w:rPr>
        <w:t xml:space="preserve"> </w:t>
      </w:r>
      <w:r w:rsidRPr="000977F7">
        <w:rPr>
          <w:color w:val="auto"/>
          <w:sz w:val="20"/>
          <w:szCs w:val="20"/>
        </w:rPr>
        <w:t>ПРЕФЕРЕНЦІЇ</w:t>
      </w:r>
      <w:r w:rsidRPr="000977F7">
        <w:rPr>
          <w:color w:val="auto"/>
          <w:spacing w:val="-2"/>
          <w:sz w:val="20"/>
          <w:szCs w:val="20"/>
        </w:rPr>
        <w:t xml:space="preserve"> </w:t>
      </w:r>
      <w:r w:rsidRPr="000977F7">
        <w:rPr>
          <w:color w:val="auto"/>
          <w:sz w:val="20"/>
          <w:szCs w:val="20"/>
        </w:rPr>
        <w:t>–</w:t>
      </w:r>
    </w:p>
    <w:p w14:paraId="747F5874"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Торговельні</w:t>
      </w:r>
      <w:r w:rsidRPr="000977F7">
        <w:rPr>
          <w:rFonts w:asciiTheme="majorHAnsi" w:hAnsiTheme="majorHAnsi"/>
          <w:spacing w:val="9"/>
          <w:sz w:val="20"/>
          <w:szCs w:val="20"/>
        </w:rPr>
        <w:t xml:space="preserve"> </w:t>
      </w:r>
      <w:r w:rsidRPr="000977F7">
        <w:rPr>
          <w:rFonts w:asciiTheme="majorHAnsi" w:hAnsiTheme="majorHAnsi"/>
          <w:sz w:val="20"/>
          <w:szCs w:val="20"/>
        </w:rPr>
        <w:t>пільги,</w:t>
      </w:r>
      <w:r w:rsidRPr="000977F7">
        <w:rPr>
          <w:rFonts w:asciiTheme="majorHAnsi" w:hAnsiTheme="majorHAnsi"/>
          <w:spacing w:val="10"/>
          <w:sz w:val="20"/>
          <w:szCs w:val="20"/>
        </w:rPr>
        <w:t xml:space="preserve"> </w:t>
      </w:r>
      <w:r w:rsidRPr="000977F7">
        <w:rPr>
          <w:rFonts w:asciiTheme="majorHAnsi" w:hAnsiTheme="majorHAnsi"/>
          <w:sz w:val="20"/>
          <w:szCs w:val="20"/>
        </w:rPr>
        <w:t>надавані</w:t>
      </w:r>
      <w:r w:rsidRPr="000977F7">
        <w:rPr>
          <w:rFonts w:asciiTheme="majorHAnsi" w:hAnsiTheme="majorHAnsi"/>
          <w:spacing w:val="10"/>
          <w:sz w:val="20"/>
          <w:szCs w:val="20"/>
        </w:rPr>
        <w:t xml:space="preserve"> </w:t>
      </w:r>
      <w:r w:rsidRPr="000977F7">
        <w:rPr>
          <w:rFonts w:asciiTheme="majorHAnsi" w:hAnsiTheme="majorHAnsi"/>
          <w:sz w:val="20"/>
          <w:szCs w:val="20"/>
        </w:rPr>
        <w:t>однією</w:t>
      </w:r>
      <w:r w:rsidRPr="000977F7">
        <w:rPr>
          <w:rFonts w:asciiTheme="majorHAnsi" w:hAnsiTheme="majorHAnsi"/>
          <w:spacing w:val="9"/>
          <w:sz w:val="20"/>
          <w:szCs w:val="20"/>
        </w:rPr>
        <w:t xml:space="preserve"> </w:t>
      </w:r>
      <w:r w:rsidRPr="000977F7">
        <w:rPr>
          <w:rFonts w:asciiTheme="majorHAnsi" w:hAnsiTheme="majorHAnsi"/>
          <w:sz w:val="20"/>
          <w:szCs w:val="20"/>
        </w:rPr>
        <w:t>державою</w:t>
      </w:r>
      <w:r w:rsidRPr="000977F7">
        <w:rPr>
          <w:rFonts w:asciiTheme="majorHAnsi" w:hAnsiTheme="majorHAnsi"/>
          <w:spacing w:val="10"/>
          <w:sz w:val="20"/>
          <w:szCs w:val="20"/>
        </w:rPr>
        <w:t xml:space="preserve"> </w:t>
      </w:r>
      <w:r w:rsidRPr="000977F7">
        <w:rPr>
          <w:rFonts w:asciiTheme="majorHAnsi" w:hAnsiTheme="majorHAnsi"/>
          <w:sz w:val="20"/>
          <w:szCs w:val="20"/>
        </w:rPr>
        <w:t>інший</w:t>
      </w:r>
      <w:r w:rsidRPr="000977F7">
        <w:rPr>
          <w:rFonts w:asciiTheme="majorHAnsi" w:hAnsiTheme="majorHAnsi"/>
          <w:spacing w:val="-47"/>
          <w:sz w:val="20"/>
          <w:szCs w:val="20"/>
        </w:rPr>
        <w:t xml:space="preserve"> </w:t>
      </w:r>
      <w:r w:rsidRPr="000977F7">
        <w:rPr>
          <w:rFonts w:asciiTheme="majorHAnsi" w:hAnsiTheme="majorHAnsi"/>
          <w:sz w:val="20"/>
          <w:szCs w:val="20"/>
        </w:rPr>
        <w:t>на взаємній основі або в односторонньому порядку</w:t>
      </w:r>
      <w:r w:rsidRPr="000977F7">
        <w:rPr>
          <w:rFonts w:asciiTheme="majorHAnsi" w:hAnsiTheme="majorHAnsi"/>
          <w:spacing w:val="1"/>
          <w:sz w:val="20"/>
          <w:szCs w:val="20"/>
        </w:rPr>
        <w:t xml:space="preserve"> </w:t>
      </w:r>
    </w:p>
    <w:p w14:paraId="54714BBB"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3293</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9732CD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ТОРГОВІ</w:t>
      </w:r>
      <w:r w:rsidRPr="000977F7">
        <w:rPr>
          <w:color w:val="auto"/>
          <w:spacing w:val="-4"/>
          <w:sz w:val="20"/>
          <w:szCs w:val="20"/>
        </w:rPr>
        <w:t xml:space="preserve"> </w:t>
      </w:r>
      <w:r w:rsidRPr="000977F7">
        <w:rPr>
          <w:color w:val="auto"/>
          <w:sz w:val="20"/>
          <w:szCs w:val="20"/>
        </w:rPr>
        <w:t>ДОГОВОРИ</w:t>
      </w:r>
      <w:r w:rsidRPr="000977F7">
        <w:rPr>
          <w:color w:val="auto"/>
          <w:spacing w:val="-1"/>
          <w:sz w:val="20"/>
          <w:szCs w:val="20"/>
        </w:rPr>
        <w:t xml:space="preserve"> </w:t>
      </w:r>
      <w:r w:rsidRPr="000977F7">
        <w:rPr>
          <w:color w:val="auto"/>
          <w:sz w:val="20"/>
          <w:szCs w:val="20"/>
        </w:rPr>
        <w:t>ТА</w:t>
      </w:r>
      <w:r w:rsidRPr="000977F7">
        <w:rPr>
          <w:color w:val="auto"/>
          <w:spacing w:val="-2"/>
          <w:sz w:val="20"/>
          <w:szCs w:val="20"/>
        </w:rPr>
        <w:t xml:space="preserve"> </w:t>
      </w:r>
      <w:r w:rsidRPr="000977F7">
        <w:rPr>
          <w:color w:val="auto"/>
          <w:sz w:val="20"/>
          <w:szCs w:val="20"/>
        </w:rPr>
        <w:t>УГОДИ</w:t>
      </w:r>
      <w:r w:rsidRPr="000977F7">
        <w:rPr>
          <w:color w:val="auto"/>
          <w:spacing w:val="1"/>
          <w:sz w:val="20"/>
          <w:szCs w:val="20"/>
        </w:rPr>
        <w:t xml:space="preserve"> </w:t>
      </w:r>
      <w:r w:rsidRPr="000977F7">
        <w:rPr>
          <w:color w:val="auto"/>
          <w:sz w:val="20"/>
          <w:szCs w:val="20"/>
        </w:rPr>
        <w:t>–</w:t>
      </w:r>
    </w:p>
    <w:p w14:paraId="728CCB4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Вид міжнародних договорів та угод, що регулюють</w:t>
      </w:r>
      <w:r w:rsidRPr="000977F7">
        <w:rPr>
          <w:rFonts w:asciiTheme="majorHAnsi" w:hAnsiTheme="majorHAnsi"/>
          <w:spacing w:val="1"/>
          <w:sz w:val="20"/>
          <w:szCs w:val="20"/>
        </w:rPr>
        <w:t xml:space="preserve"> </w:t>
      </w:r>
      <w:r w:rsidRPr="000977F7">
        <w:rPr>
          <w:rFonts w:asciiTheme="majorHAnsi" w:hAnsiTheme="majorHAnsi"/>
          <w:sz w:val="20"/>
          <w:szCs w:val="20"/>
        </w:rPr>
        <w:t>торговельно-економічні</w:t>
      </w:r>
      <w:r w:rsidRPr="000977F7">
        <w:rPr>
          <w:rFonts w:asciiTheme="majorHAnsi" w:hAnsiTheme="majorHAnsi"/>
          <w:spacing w:val="-2"/>
          <w:sz w:val="20"/>
          <w:szCs w:val="20"/>
        </w:rPr>
        <w:t xml:space="preserve"> </w:t>
      </w:r>
      <w:r w:rsidRPr="000977F7">
        <w:rPr>
          <w:rFonts w:asciiTheme="majorHAnsi" w:hAnsiTheme="majorHAnsi"/>
          <w:sz w:val="20"/>
          <w:szCs w:val="20"/>
        </w:rPr>
        <w:t>стосунки</w:t>
      </w:r>
      <w:r w:rsidRPr="000977F7">
        <w:rPr>
          <w:rFonts w:asciiTheme="majorHAnsi" w:hAnsiTheme="majorHAnsi"/>
          <w:spacing w:val="-2"/>
          <w:sz w:val="20"/>
          <w:szCs w:val="20"/>
        </w:rPr>
        <w:t xml:space="preserve"> </w:t>
      </w:r>
      <w:r w:rsidRPr="000977F7">
        <w:rPr>
          <w:rFonts w:asciiTheme="majorHAnsi" w:hAnsiTheme="majorHAnsi"/>
          <w:sz w:val="20"/>
          <w:szCs w:val="20"/>
        </w:rPr>
        <w:t>між</w:t>
      </w:r>
      <w:r w:rsidRPr="000977F7">
        <w:rPr>
          <w:rFonts w:asciiTheme="majorHAnsi" w:hAnsiTheme="majorHAnsi"/>
          <w:spacing w:val="-2"/>
          <w:sz w:val="20"/>
          <w:szCs w:val="20"/>
        </w:rPr>
        <w:t xml:space="preserve"> </w:t>
      </w:r>
      <w:r w:rsidRPr="000977F7">
        <w:rPr>
          <w:rFonts w:asciiTheme="majorHAnsi" w:hAnsiTheme="majorHAnsi"/>
          <w:sz w:val="20"/>
          <w:szCs w:val="20"/>
        </w:rPr>
        <w:t>країнами</w:t>
      </w:r>
    </w:p>
    <w:p w14:paraId="1E5FA7C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6B46BA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ТОЧІННЯ</w:t>
      </w:r>
      <w:r w:rsidRPr="000977F7">
        <w:rPr>
          <w:color w:val="auto"/>
          <w:spacing w:val="-2"/>
          <w:sz w:val="20"/>
          <w:szCs w:val="20"/>
        </w:rPr>
        <w:t xml:space="preserve"> </w:t>
      </w:r>
      <w:r w:rsidRPr="000977F7">
        <w:rPr>
          <w:color w:val="auto"/>
          <w:sz w:val="20"/>
          <w:szCs w:val="20"/>
        </w:rPr>
        <w:t>–</w:t>
      </w:r>
    </w:p>
    <w:p w14:paraId="629321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w:t>
      </w:r>
      <w:r w:rsidRPr="000977F7">
        <w:rPr>
          <w:rFonts w:asciiTheme="majorHAnsi" w:hAnsiTheme="majorHAnsi"/>
          <w:spacing w:val="1"/>
          <w:sz w:val="20"/>
          <w:szCs w:val="20"/>
        </w:rPr>
        <w:t xml:space="preserve"> </w:t>
      </w:r>
      <w:r w:rsidRPr="000977F7">
        <w:rPr>
          <w:rFonts w:asciiTheme="majorHAnsi" w:hAnsiTheme="majorHAnsi"/>
          <w:sz w:val="20"/>
          <w:szCs w:val="20"/>
        </w:rPr>
        <w:t>обробки</w:t>
      </w:r>
      <w:r w:rsidRPr="000977F7">
        <w:rPr>
          <w:rFonts w:asciiTheme="majorHAnsi" w:hAnsiTheme="majorHAnsi"/>
          <w:spacing w:val="1"/>
          <w:sz w:val="20"/>
          <w:szCs w:val="20"/>
        </w:rPr>
        <w:t xml:space="preserve"> </w:t>
      </w:r>
      <w:r w:rsidRPr="000977F7">
        <w:rPr>
          <w:rFonts w:asciiTheme="majorHAnsi" w:hAnsiTheme="majorHAnsi"/>
          <w:sz w:val="20"/>
          <w:szCs w:val="20"/>
        </w:rPr>
        <w:t>різанням</w:t>
      </w:r>
      <w:r w:rsidRPr="000977F7">
        <w:rPr>
          <w:rFonts w:asciiTheme="majorHAnsi" w:hAnsiTheme="majorHAnsi"/>
          <w:spacing w:val="1"/>
          <w:sz w:val="20"/>
          <w:szCs w:val="20"/>
        </w:rPr>
        <w:t xml:space="preserve"> </w:t>
      </w:r>
      <w:r w:rsidRPr="000977F7">
        <w:rPr>
          <w:rFonts w:asciiTheme="majorHAnsi" w:hAnsiTheme="majorHAnsi"/>
          <w:sz w:val="20"/>
          <w:szCs w:val="20"/>
        </w:rPr>
        <w:t>зовнішніх,</w:t>
      </w:r>
      <w:r w:rsidRPr="000977F7">
        <w:rPr>
          <w:rFonts w:asciiTheme="majorHAnsi" w:hAnsiTheme="majorHAnsi"/>
          <w:spacing w:val="1"/>
          <w:sz w:val="20"/>
          <w:szCs w:val="20"/>
        </w:rPr>
        <w:t xml:space="preserve"> </w:t>
      </w:r>
      <w:r w:rsidRPr="000977F7">
        <w:rPr>
          <w:rFonts w:asciiTheme="majorHAnsi" w:hAnsiTheme="majorHAnsi"/>
          <w:sz w:val="20"/>
          <w:szCs w:val="20"/>
        </w:rPr>
        <w:t>внутрішніх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торцевих поверхонь тіл обертання, а також спіральних</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гвинтових</w:t>
      </w:r>
      <w:r w:rsidRPr="000977F7">
        <w:rPr>
          <w:rFonts w:asciiTheme="majorHAnsi" w:hAnsiTheme="majorHAnsi"/>
          <w:spacing w:val="1"/>
          <w:sz w:val="20"/>
          <w:szCs w:val="20"/>
        </w:rPr>
        <w:t xml:space="preserve"> </w:t>
      </w:r>
      <w:r w:rsidRPr="000977F7">
        <w:rPr>
          <w:rFonts w:asciiTheme="majorHAnsi" w:hAnsiTheme="majorHAnsi"/>
          <w:sz w:val="20"/>
          <w:szCs w:val="20"/>
        </w:rPr>
        <w:t>поверхонь</w:t>
      </w:r>
      <w:r w:rsidRPr="000977F7">
        <w:rPr>
          <w:rFonts w:asciiTheme="majorHAnsi" w:hAnsiTheme="majorHAnsi"/>
          <w:spacing w:val="1"/>
          <w:sz w:val="20"/>
          <w:szCs w:val="20"/>
        </w:rPr>
        <w:t xml:space="preserve"> </w:t>
      </w:r>
      <w:r w:rsidRPr="000977F7">
        <w:rPr>
          <w:rFonts w:asciiTheme="majorHAnsi" w:hAnsiTheme="majorHAnsi"/>
          <w:sz w:val="20"/>
          <w:szCs w:val="20"/>
        </w:rPr>
        <w:t>різцями</w:t>
      </w:r>
    </w:p>
    <w:p w14:paraId="417C669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ТОЧКА</w:t>
      </w:r>
      <w:r w:rsidRPr="000977F7">
        <w:rPr>
          <w:color w:val="auto"/>
          <w:spacing w:val="-3"/>
          <w:sz w:val="20"/>
          <w:szCs w:val="20"/>
        </w:rPr>
        <w:t xml:space="preserve"> </w:t>
      </w:r>
      <w:r w:rsidRPr="000977F7">
        <w:rPr>
          <w:color w:val="auto"/>
          <w:sz w:val="20"/>
          <w:szCs w:val="20"/>
        </w:rPr>
        <w:t>ЗАТРИМКИ –</w:t>
      </w:r>
    </w:p>
    <w:p w14:paraId="5C7956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HOLD</w:t>
      </w:r>
      <w:r w:rsidRPr="000977F7">
        <w:rPr>
          <w:rFonts w:asciiTheme="majorHAnsi" w:hAnsiTheme="majorHAnsi"/>
          <w:spacing w:val="-2"/>
          <w:sz w:val="20"/>
          <w:szCs w:val="20"/>
        </w:rPr>
        <w:t xml:space="preserve"> </w:t>
      </w:r>
      <w:r w:rsidRPr="000977F7">
        <w:rPr>
          <w:rFonts w:asciiTheme="majorHAnsi" w:hAnsiTheme="majorHAnsi"/>
          <w:sz w:val="20"/>
          <w:szCs w:val="20"/>
        </w:rPr>
        <w:t>POINT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604A29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Пункт, визначений у відповідному документі, за межами якого діяльність не повинна продовжуватися без</w:t>
      </w:r>
      <w:r w:rsidRPr="000977F7">
        <w:rPr>
          <w:rFonts w:asciiTheme="majorHAnsi" w:hAnsiTheme="majorHAnsi"/>
          <w:spacing w:val="-47"/>
          <w:sz w:val="20"/>
          <w:szCs w:val="20"/>
        </w:rPr>
        <w:t xml:space="preserve"> </w:t>
      </w:r>
      <w:r w:rsidRPr="000977F7">
        <w:rPr>
          <w:rFonts w:asciiTheme="majorHAnsi" w:hAnsiTheme="majorHAnsi"/>
          <w:sz w:val="20"/>
          <w:szCs w:val="20"/>
        </w:rPr>
        <w:t xml:space="preserve">санкції на те відповідної організації або повноважного </w:t>
      </w:r>
      <w:r w:rsidRPr="000977F7">
        <w:rPr>
          <w:rFonts w:asciiTheme="majorHAnsi" w:hAnsiTheme="majorHAnsi"/>
          <w:spacing w:val="-47"/>
          <w:sz w:val="20"/>
          <w:szCs w:val="20"/>
        </w:rPr>
        <w:t xml:space="preserve"> </w:t>
      </w:r>
      <w:r w:rsidRPr="000977F7">
        <w:rPr>
          <w:rFonts w:asciiTheme="majorHAnsi" w:hAnsiTheme="majorHAnsi"/>
          <w:sz w:val="20"/>
          <w:szCs w:val="20"/>
        </w:rPr>
        <w:t>органу (особи)</w:t>
      </w:r>
    </w:p>
    <w:p w14:paraId="431AD4E3" w14:textId="24C2944E"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r w:rsidR="00C10197">
        <w:rPr>
          <w:rFonts w:asciiTheme="majorHAnsi" w:hAnsiTheme="majorHAnsi"/>
          <w:sz w:val="20"/>
          <w:szCs w:val="20"/>
          <w:lang w:val="uk-UA"/>
        </w:rPr>
        <w:t xml:space="preserve"> </w:t>
      </w:r>
      <w:r w:rsidRPr="000977F7">
        <w:rPr>
          <w:rFonts w:asciiTheme="majorHAnsi" w:hAnsiTheme="majorHAnsi"/>
          <w:sz w:val="20"/>
          <w:szCs w:val="20"/>
        </w:rPr>
        <w:t>Санкція на продовження діяльності за межами точки</w:t>
      </w:r>
      <w:r w:rsidRPr="000977F7">
        <w:rPr>
          <w:rFonts w:asciiTheme="majorHAnsi" w:hAnsiTheme="majorHAnsi"/>
          <w:spacing w:val="1"/>
          <w:sz w:val="20"/>
          <w:szCs w:val="20"/>
        </w:rPr>
        <w:t xml:space="preserve"> </w:t>
      </w:r>
      <w:r w:rsidRPr="000977F7">
        <w:rPr>
          <w:rFonts w:asciiTheme="majorHAnsi" w:hAnsiTheme="majorHAnsi"/>
          <w:sz w:val="20"/>
          <w:szCs w:val="20"/>
        </w:rPr>
        <w:t>затримки</w:t>
      </w:r>
      <w:r w:rsidRPr="000977F7">
        <w:rPr>
          <w:rFonts w:asciiTheme="majorHAnsi" w:hAnsiTheme="majorHAnsi"/>
          <w:spacing w:val="1"/>
          <w:sz w:val="20"/>
          <w:szCs w:val="20"/>
        </w:rPr>
        <w:t xml:space="preserve"> </w:t>
      </w:r>
      <w:r w:rsidRPr="000977F7">
        <w:rPr>
          <w:rFonts w:asciiTheme="majorHAnsi" w:hAnsiTheme="majorHAnsi"/>
          <w:sz w:val="20"/>
          <w:szCs w:val="20"/>
        </w:rPr>
        <w:t>звичайно</w:t>
      </w:r>
      <w:r w:rsidRPr="000977F7">
        <w:rPr>
          <w:rFonts w:asciiTheme="majorHAnsi" w:hAnsiTheme="majorHAnsi"/>
          <w:spacing w:val="1"/>
          <w:sz w:val="20"/>
          <w:szCs w:val="20"/>
        </w:rPr>
        <w:t xml:space="preserve"> </w:t>
      </w:r>
      <w:r w:rsidRPr="000977F7">
        <w:rPr>
          <w:rFonts w:asciiTheme="majorHAnsi" w:hAnsiTheme="majorHAnsi"/>
          <w:sz w:val="20"/>
          <w:szCs w:val="20"/>
        </w:rPr>
        <w:t>дається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письмовій</w:t>
      </w:r>
      <w:r w:rsidRPr="000977F7">
        <w:rPr>
          <w:rFonts w:asciiTheme="majorHAnsi" w:hAnsiTheme="majorHAnsi"/>
          <w:spacing w:val="1"/>
          <w:sz w:val="20"/>
          <w:szCs w:val="20"/>
        </w:rPr>
        <w:t xml:space="preserve"> </w:t>
      </w:r>
      <w:r w:rsidRPr="000977F7">
        <w:rPr>
          <w:rFonts w:asciiTheme="majorHAnsi" w:hAnsiTheme="majorHAnsi"/>
          <w:sz w:val="20"/>
          <w:szCs w:val="20"/>
        </w:rPr>
        <w:t>формі,</w:t>
      </w:r>
      <w:r w:rsidRPr="000977F7">
        <w:rPr>
          <w:rFonts w:asciiTheme="majorHAnsi" w:hAnsiTheme="majorHAnsi"/>
          <w:spacing w:val="1"/>
          <w:sz w:val="20"/>
          <w:szCs w:val="20"/>
        </w:rPr>
        <w:t xml:space="preserve"> </w:t>
      </w:r>
      <w:r w:rsidRPr="000977F7">
        <w:rPr>
          <w:rFonts w:asciiTheme="majorHAnsi" w:hAnsiTheme="majorHAnsi"/>
          <w:sz w:val="20"/>
          <w:szCs w:val="20"/>
        </w:rPr>
        <w:t>але</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отримана</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через</w:t>
      </w:r>
      <w:r w:rsidRPr="000977F7">
        <w:rPr>
          <w:rFonts w:asciiTheme="majorHAnsi" w:hAnsiTheme="majorHAnsi"/>
          <w:spacing w:val="1"/>
          <w:sz w:val="20"/>
          <w:szCs w:val="20"/>
        </w:rPr>
        <w:t xml:space="preserve"> </w:t>
      </w:r>
      <w:r w:rsidRPr="000977F7">
        <w:rPr>
          <w:rFonts w:asciiTheme="majorHAnsi" w:hAnsiTheme="majorHAnsi"/>
          <w:sz w:val="20"/>
          <w:szCs w:val="20"/>
        </w:rPr>
        <w:t>уповноважену</w:t>
      </w:r>
      <w:r w:rsidRPr="000977F7">
        <w:rPr>
          <w:rFonts w:asciiTheme="majorHAnsi" w:hAnsiTheme="majorHAnsi"/>
          <w:spacing w:val="1"/>
          <w:sz w:val="20"/>
          <w:szCs w:val="20"/>
        </w:rPr>
        <w:t xml:space="preserve"> </w:t>
      </w:r>
      <w:r w:rsidRPr="000977F7">
        <w:rPr>
          <w:rFonts w:asciiTheme="majorHAnsi" w:hAnsiTheme="majorHAnsi"/>
          <w:sz w:val="20"/>
          <w:szCs w:val="20"/>
        </w:rPr>
        <w:t>комп’ютерну</w:t>
      </w:r>
      <w:r w:rsidRPr="000977F7">
        <w:rPr>
          <w:rFonts w:asciiTheme="majorHAnsi" w:hAnsiTheme="majorHAnsi"/>
          <w:spacing w:val="-2"/>
          <w:sz w:val="20"/>
          <w:szCs w:val="20"/>
        </w:rPr>
        <w:t xml:space="preserve"> </w:t>
      </w:r>
      <w:r w:rsidRPr="000977F7">
        <w:rPr>
          <w:rFonts w:asciiTheme="majorHAnsi" w:hAnsiTheme="majorHAnsi"/>
          <w:sz w:val="20"/>
          <w:szCs w:val="20"/>
        </w:rPr>
        <w:t>систему</w:t>
      </w:r>
    </w:p>
    <w:p w14:paraId="7765E63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ТОЧКОВА</w:t>
      </w:r>
      <w:r w:rsidRPr="000977F7">
        <w:rPr>
          <w:color w:val="auto"/>
          <w:spacing w:val="-3"/>
          <w:sz w:val="20"/>
          <w:szCs w:val="20"/>
        </w:rPr>
        <w:t xml:space="preserve"> </w:t>
      </w:r>
      <w:r w:rsidRPr="000977F7">
        <w:rPr>
          <w:color w:val="auto"/>
          <w:sz w:val="20"/>
          <w:szCs w:val="20"/>
        </w:rPr>
        <w:t>ПРОБА</w:t>
      </w:r>
      <w:r w:rsidRPr="000977F7">
        <w:rPr>
          <w:color w:val="auto"/>
          <w:spacing w:val="-1"/>
          <w:sz w:val="20"/>
          <w:szCs w:val="20"/>
        </w:rPr>
        <w:t xml:space="preserve"> </w:t>
      </w:r>
      <w:r w:rsidRPr="000977F7">
        <w:rPr>
          <w:color w:val="auto"/>
          <w:sz w:val="20"/>
          <w:szCs w:val="20"/>
        </w:rPr>
        <w:t>–</w:t>
      </w:r>
    </w:p>
    <w:p w14:paraId="1B3D154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SINGLE</w:t>
      </w:r>
      <w:r w:rsidRPr="000977F7">
        <w:rPr>
          <w:rFonts w:asciiTheme="majorHAnsi" w:hAnsiTheme="majorHAnsi"/>
          <w:spacing w:val="-3"/>
          <w:sz w:val="20"/>
          <w:szCs w:val="20"/>
        </w:rPr>
        <w:t xml:space="preserve"> </w:t>
      </w:r>
      <w:r w:rsidRPr="000977F7">
        <w:rPr>
          <w:rFonts w:asciiTheme="majorHAnsi" w:hAnsiTheme="majorHAnsi"/>
          <w:sz w:val="20"/>
          <w:szCs w:val="20"/>
        </w:rPr>
        <w:t>SAMPLE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166549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Проба,</w:t>
      </w:r>
      <w:r w:rsidRPr="000977F7">
        <w:rPr>
          <w:rFonts w:asciiTheme="majorHAnsi" w:hAnsiTheme="majorHAnsi"/>
          <w:spacing w:val="-4"/>
          <w:sz w:val="20"/>
          <w:szCs w:val="20"/>
        </w:rPr>
        <w:t xml:space="preserve"> </w:t>
      </w:r>
      <w:r w:rsidRPr="000977F7">
        <w:rPr>
          <w:rFonts w:asciiTheme="majorHAnsi" w:hAnsiTheme="majorHAnsi"/>
          <w:sz w:val="20"/>
          <w:szCs w:val="20"/>
        </w:rPr>
        <w:t>взята</w:t>
      </w:r>
      <w:r w:rsidRPr="000977F7">
        <w:rPr>
          <w:rFonts w:asciiTheme="majorHAnsi" w:hAnsiTheme="majorHAnsi"/>
          <w:spacing w:val="-4"/>
          <w:sz w:val="20"/>
          <w:szCs w:val="20"/>
        </w:rPr>
        <w:t xml:space="preserve"> </w:t>
      </w:r>
      <w:r w:rsidRPr="000977F7">
        <w:rPr>
          <w:rFonts w:asciiTheme="majorHAnsi" w:hAnsiTheme="majorHAnsi"/>
          <w:sz w:val="20"/>
          <w:szCs w:val="20"/>
        </w:rPr>
        <w:t>одноразово</w:t>
      </w:r>
      <w:r w:rsidRPr="000977F7">
        <w:rPr>
          <w:rFonts w:asciiTheme="majorHAnsi" w:hAnsiTheme="majorHAnsi"/>
          <w:spacing w:val="-4"/>
          <w:sz w:val="20"/>
          <w:szCs w:val="20"/>
        </w:rPr>
        <w:t xml:space="preserve"> </w:t>
      </w:r>
      <w:r w:rsidRPr="000977F7">
        <w:rPr>
          <w:rFonts w:asciiTheme="majorHAnsi" w:hAnsiTheme="majorHAnsi"/>
          <w:sz w:val="20"/>
          <w:szCs w:val="20"/>
        </w:rPr>
        <w:t>з</w:t>
      </w:r>
      <w:r w:rsidRPr="000977F7">
        <w:rPr>
          <w:rFonts w:asciiTheme="majorHAnsi" w:hAnsiTheme="majorHAnsi"/>
          <w:spacing w:val="-4"/>
          <w:sz w:val="20"/>
          <w:szCs w:val="20"/>
        </w:rPr>
        <w:t xml:space="preserve"> </w:t>
      </w:r>
      <w:r w:rsidRPr="000977F7">
        <w:rPr>
          <w:rFonts w:asciiTheme="majorHAnsi" w:hAnsiTheme="majorHAnsi"/>
          <w:sz w:val="20"/>
          <w:szCs w:val="20"/>
        </w:rPr>
        <w:t>непоштучної</w:t>
      </w:r>
      <w:r w:rsidRPr="000977F7">
        <w:rPr>
          <w:rFonts w:asciiTheme="majorHAnsi" w:hAnsiTheme="majorHAnsi"/>
          <w:spacing w:val="-5"/>
          <w:sz w:val="20"/>
          <w:szCs w:val="20"/>
        </w:rPr>
        <w:t xml:space="preserve"> </w:t>
      </w:r>
      <w:r w:rsidRPr="000977F7">
        <w:rPr>
          <w:rFonts w:asciiTheme="majorHAnsi" w:hAnsiTheme="majorHAnsi"/>
          <w:sz w:val="20"/>
          <w:szCs w:val="20"/>
        </w:rPr>
        <w:t>продукції</w:t>
      </w:r>
    </w:p>
    <w:p w14:paraId="1DC7A16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3514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97</w:t>
      </w:r>
    </w:p>
    <w:p w14:paraId="0E88055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ТОЧНІСТЬ</w:t>
      </w:r>
      <w:r w:rsidRPr="000977F7">
        <w:rPr>
          <w:color w:val="auto"/>
          <w:spacing w:val="-4"/>
          <w:sz w:val="20"/>
          <w:szCs w:val="20"/>
        </w:rPr>
        <w:t xml:space="preserve"> </w:t>
      </w:r>
      <w:r w:rsidRPr="000977F7">
        <w:rPr>
          <w:color w:val="auto"/>
          <w:sz w:val="20"/>
          <w:szCs w:val="20"/>
        </w:rPr>
        <w:t>ВИМІРЮВАННЯ –</w:t>
      </w:r>
    </w:p>
    <w:p w14:paraId="1341F6C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ACCURACY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MEASUREMENT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64A438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Головна характеристика якості вимірювання, що відображає</w:t>
      </w:r>
      <w:r w:rsidRPr="000977F7">
        <w:rPr>
          <w:rFonts w:asciiTheme="majorHAnsi" w:hAnsiTheme="majorHAnsi"/>
          <w:spacing w:val="1"/>
          <w:sz w:val="20"/>
          <w:szCs w:val="20"/>
        </w:rPr>
        <w:t xml:space="preserve"> </w:t>
      </w:r>
      <w:r w:rsidRPr="000977F7">
        <w:rPr>
          <w:rFonts w:asciiTheme="majorHAnsi" w:hAnsiTheme="majorHAnsi"/>
          <w:sz w:val="20"/>
          <w:szCs w:val="20"/>
        </w:rPr>
        <w:t>близькість</w:t>
      </w:r>
      <w:r w:rsidRPr="000977F7">
        <w:rPr>
          <w:rFonts w:asciiTheme="majorHAnsi" w:hAnsiTheme="majorHAnsi"/>
          <w:spacing w:val="1"/>
          <w:sz w:val="20"/>
          <w:szCs w:val="20"/>
        </w:rPr>
        <w:t xml:space="preserve"> </w:t>
      </w:r>
      <w:r w:rsidRPr="000977F7">
        <w:rPr>
          <w:rFonts w:asciiTheme="majorHAnsi" w:hAnsiTheme="majorHAnsi"/>
          <w:sz w:val="20"/>
          <w:szCs w:val="20"/>
        </w:rPr>
        <w:t>результату</w:t>
      </w:r>
      <w:r w:rsidRPr="000977F7">
        <w:rPr>
          <w:rFonts w:asciiTheme="majorHAnsi" w:hAnsiTheme="majorHAnsi"/>
          <w:spacing w:val="1"/>
          <w:sz w:val="20"/>
          <w:szCs w:val="20"/>
        </w:rPr>
        <w:t xml:space="preserve"> </w:t>
      </w:r>
      <w:r w:rsidRPr="000977F7">
        <w:rPr>
          <w:rFonts w:asciiTheme="majorHAnsi" w:hAnsiTheme="majorHAnsi"/>
          <w:sz w:val="20"/>
          <w:szCs w:val="20"/>
        </w:rPr>
        <w:t>вимірювання</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істинного значення</w:t>
      </w:r>
      <w:r w:rsidRPr="000977F7">
        <w:rPr>
          <w:rFonts w:asciiTheme="majorHAnsi" w:hAnsiTheme="majorHAnsi"/>
          <w:spacing w:val="-2"/>
          <w:sz w:val="20"/>
          <w:szCs w:val="20"/>
        </w:rPr>
        <w:t xml:space="preserve"> </w:t>
      </w:r>
      <w:r w:rsidRPr="000977F7">
        <w:rPr>
          <w:rFonts w:asciiTheme="majorHAnsi" w:hAnsiTheme="majorHAnsi"/>
          <w:sz w:val="20"/>
          <w:szCs w:val="20"/>
        </w:rPr>
        <w:t>вимірюваної</w:t>
      </w:r>
      <w:r w:rsidRPr="000977F7">
        <w:rPr>
          <w:rFonts w:asciiTheme="majorHAnsi" w:hAnsiTheme="majorHAnsi"/>
          <w:spacing w:val="-2"/>
          <w:sz w:val="20"/>
          <w:szCs w:val="20"/>
        </w:rPr>
        <w:t xml:space="preserve"> </w:t>
      </w:r>
      <w:r w:rsidRPr="000977F7">
        <w:rPr>
          <w:rFonts w:asciiTheme="majorHAnsi" w:hAnsiTheme="majorHAnsi"/>
          <w:sz w:val="20"/>
          <w:szCs w:val="20"/>
        </w:rPr>
        <w:t>величини</w:t>
      </w:r>
    </w:p>
    <w:p w14:paraId="0B1D759F"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lastRenderedPageBreak/>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0436154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ТОЧНІСТЬ</w:t>
      </w:r>
      <w:r w:rsidRPr="000977F7">
        <w:rPr>
          <w:color w:val="auto"/>
          <w:spacing w:val="-4"/>
          <w:sz w:val="20"/>
          <w:szCs w:val="20"/>
        </w:rPr>
        <w:t xml:space="preserve"> </w:t>
      </w:r>
      <w:r w:rsidRPr="000977F7">
        <w:rPr>
          <w:color w:val="auto"/>
          <w:sz w:val="20"/>
          <w:szCs w:val="20"/>
        </w:rPr>
        <w:t>ЗАСОБУ</w:t>
      </w:r>
      <w:r w:rsidRPr="000977F7">
        <w:rPr>
          <w:color w:val="auto"/>
          <w:spacing w:val="-3"/>
          <w:sz w:val="20"/>
          <w:szCs w:val="20"/>
        </w:rPr>
        <w:t xml:space="preserve"> </w:t>
      </w:r>
      <w:r w:rsidRPr="000977F7">
        <w:rPr>
          <w:color w:val="auto"/>
          <w:sz w:val="20"/>
          <w:szCs w:val="20"/>
        </w:rPr>
        <w:t>ВИМІРЮВАНЬ</w:t>
      </w:r>
      <w:r w:rsidRPr="000977F7">
        <w:rPr>
          <w:color w:val="auto"/>
          <w:spacing w:val="-1"/>
          <w:sz w:val="20"/>
          <w:szCs w:val="20"/>
        </w:rPr>
        <w:t xml:space="preserve"> </w:t>
      </w:r>
      <w:r w:rsidRPr="000977F7">
        <w:rPr>
          <w:color w:val="auto"/>
          <w:sz w:val="20"/>
          <w:szCs w:val="20"/>
        </w:rPr>
        <w:t>–</w:t>
      </w:r>
    </w:p>
    <w:p w14:paraId="29DB075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ACCURACY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MEASURING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INSTRUMENT –</w:t>
      </w:r>
    </w:p>
    <w:p w14:paraId="52B506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Характеристика засобу вимірювань, яка визначає близькість його показів до істинного значення вимірюваної</w:t>
      </w:r>
      <w:r w:rsidRPr="000977F7">
        <w:rPr>
          <w:rFonts w:asciiTheme="majorHAnsi" w:hAnsiTheme="majorHAnsi"/>
          <w:spacing w:val="-2"/>
          <w:sz w:val="20"/>
          <w:szCs w:val="20"/>
        </w:rPr>
        <w:t xml:space="preserve"> </w:t>
      </w:r>
      <w:r w:rsidRPr="000977F7">
        <w:rPr>
          <w:rFonts w:asciiTheme="majorHAnsi" w:hAnsiTheme="majorHAnsi"/>
          <w:sz w:val="20"/>
          <w:szCs w:val="20"/>
        </w:rPr>
        <w:t>величини</w:t>
      </w:r>
    </w:p>
    <w:p w14:paraId="05D0901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D33F5B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ТОЧНІСТЬ</w:t>
      </w:r>
      <w:r w:rsidRPr="000977F7">
        <w:rPr>
          <w:color w:val="auto"/>
          <w:spacing w:val="-5"/>
          <w:sz w:val="20"/>
          <w:szCs w:val="20"/>
        </w:rPr>
        <w:t xml:space="preserve"> </w:t>
      </w:r>
      <w:r w:rsidRPr="000977F7">
        <w:rPr>
          <w:color w:val="auto"/>
          <w:sz w:val="20"/>
          <w:szCs w:val="20"/>
        </w:rPr>
        <w:t>РЕЗУЛЬТАТІВ</w:t>
      </w:r>
      <w:r w:rsidRPr="000977F7">
        <w:rPr>
          <w:color w:val="auto"/>
          <w:spacing w:val="-3"/>
          <w:sz w:val="20"/>
          <w:szCs w:val="20"/>
        </w:rPr>
        <w:t xml:space="preserve"> </w:t>
      </w:r>
      <w:r w:rsidRPr="000977F7">
        <w:rPr>
          <w:color w:val="auto"/>
          <w:sz w:val="20"/>
          <w:szCs w:val="20"/>
        </w:rPr>
        <w:t>ВИПРОБУВАНЬ</w:t>
      </w:r>
      <w:r w:rsidRPr="000977F7">
        <w:rPr>
          <w:color w:val="auto"/>
          <w:spacing w:val="-1"/>
          <w:sz w:val="20"/>
          <w:szCs w:val="20"/>
        </w:rPr>
        <w:t xml:space="preserve"> </w:t>
      </w:r>
      <w:r w:rsidRPr="000977F7">
        <w:rPr>
          <w:color w:val="auto"/>
          <w:sz w:val="20"/>
          <w:szCs w:val="20"/>
        </w:rPr>
        <w:t>–</w:t>
      </w:r>
    </w:p>
    <w:p w14:paraId="3D65DB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ACCURACY</w:t>
      </w:r>
      <w:r w:rsidRPr="000977F7">
        <w:rPr>
          <w:rFonts w:asciiTheme="majorHAnsi" w:hAnsiTheme="majorHAnsi"/>
          <w:spacing w:val="-3"/>
          <w:sz w:val="20"/>
          <w:szCs w:val="20"/>
        </w:rPr>
        <w:t xml:space="preserve"> </w:t>
      </w:r>
      <w:r w:rsidRPr="000977F7">
        <w:rPr>
          <w:rFonts w:asciiTheme="majorHAnsi" w:hAnsiTheme="majorHAnsi"/>
          <w:sz w:val="20"/>
          <w:szCs w:val="20"/>
        </w:rPr>
        <w:t>OF</w:t>
      </w:r>
      <w:r w:rsidRPr="000977F7">
        <w:rPr>
          <w:rFonts w:asciiTheme="majorHAnsi" w:hAnsiTheme="majorHAnsi"/>
          <w:spacing w:val="-3"/>
          <w:sz w:val="20"/>
          <w:szCs w:val="20"/>
        </w:rPr>
        <w:t xml:space="preserve"> </w:t>
      </w:r>
      <w:r w:rsidRPr="000977F7">
        <w:rPr>
          <w:rFonts w:asciiTheme="majorHAnsi" w:hAnsiTheme="majorHAnsi"/>
          <w:sz w:val="20"/>
          <w:szCs w:val="20"/>
        </w:rPr>
        <w:t>TEST</w:t>
      </w:r>
      <w:r w:rsidRPr="000977F7">
        <w:rPr>
          <w:rFonts w:asciiTheme="majorHAnsi" w:hAnsiTheme="majorHAnsi"/>
          <w:spacing w:val="-1"/>
          <w:sz w:val="20"/>
          <w:szCs w:val="20"/>
        </w:rPr>
        <w:t xml:space="preserve"> </w:t>
      </w:r>
      <w:r w:rsidRPr="000977F7">
        <w:rPr>
          <w:rFonts w:asciiTheme="majorHAnsi" w:hAnsiTheme="majorHAnsi"/>
          <w:sz w:val="20"/>
          <w:szCs w:val="20"/>
        </w:rPr>
        <w:t>RESULTS -</w:t>
      </w:r>
    </w:p>
    <w:p w14:paraId="0797011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w:t>
      </w:r>
      <w:r w:rsidRPr="000977F7">
        <w:rPr>
          <w:rFonts w:asciiTheme="majorHAnsi" w:hAnsiTheme="majorHAnsi"/>
          <w:spacing w:val="38"/>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39"/>
          <w:sz w:val="20"/>
          <w:szCs w:val="20"/>
        </w:rPr>
        <w:t xml:space="preserve"> </w:t>
      </w:r>
      <w:r w:rsidRPr="000977F7">
        <w:rPr>
          <w:rFonts w:asciiTheme="majorHAnsi" w:hAnsiTheme="majorHAnsi"/>
          <w:sz w:val="20"/>
          <w:szCs w:val="20"/>
        </w:rPr>
        <w:t>яка</w:t>
      </w:r>
      <w:r w:rsidRPr="000977F7">
        <w:rPr>
          <w:rFonts w:asciiTheme="majorHAnsi" w:hAnsiTheme="majorHAnsi"/>
          <w:spacing w:val="39"/>
          <w:sz w:val="20"/>
          <w:szCs w:val="20"/>
        </w:rPr>
        <w:t xml:space="preserve"> </w:t>
      </w:r>
      <w:r w:rsidRPr="000977F7">
        <w:rPr>
          <w:rFonts w:asciiTheme="majorHAnsi" w:hAnsiTheme="majorHAnsi"/>
          <w:sz w:val="20"/>
          <w:szCs w:val="20"/>
        </w:rPr>
        <w:t>характеризується</w:t>
      </w:r>
      <w:r w:rsidRPr="000977F7">
        <w:rPr>
          <w:rFonts w:asciiTheme="majorHAnsi" w:hAnsiTheme="majorHAnsi"/>
          <w:spacing w:val="38"/>
          <w:sz w:val="20"/>
          <w:szCs w:val="20"/>
        </w:rPr>
        <w:t xml:space="preserve"> </w:t>
      </w:r>
      <w:r w:rsidRPr="000977F7">
        <w:rPr>
          <w:rFonts w:asciiTheme="majorHAnsi" w:hAnsiTheme="majorHAnsi"/>
          <w:sz w:val="20"/>
          <w:szCs w:val="20"/>
        </w:rPr>
        <w:t>близькістю</w:t>
      </w:r>
      <w:r w:rsidRPr="000977F7">
        <w:rPr>
          <w:rFonts w:asciiTheme="majorHAnsi" w:hAnsiTheme="majorHAnsi"/>
          <w:spacing w:val="29"/>
          <w:sz w:val="20"/>
          <w:szCs w:val="20"/>
        </w:rPr>
        <w:t xml:space="preserve"> </w:t>
      </w:r>
      <w:r w:rsidRPr="000977F7">
        <w:rPr>
          <w:rFonts w:asciiTheme="majorHAnsi" w:hAnsiTheme="majorHAnsi"/>
          <w:sz w:val="20"/>
          <w:szCs w:val="20"/>
        </w:rPr>
        <w:t>результатів</w:t>
      </w:r>
      <w:r w:rsidRPr="000977F7">
        <w:rPr>
          <w:rFonts w:asciiTheme="majorHAnsi" w:hAnsiTheme="majorHAnsi"/>
          <w:spacing w:val="29"/>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29"/>
          <w:sz w:val="20"/>
          <w:szCs w:val="20"/>
        </w:rPr>
        <w:t xml:space="preserve"> </w:t>
      </w:r>
      <w:r w:rsidRPr="000977F7">
        <w:rPr>
          <w:rFonts w:asciiTheme="majorHAnsi" w:hAnsiTheme="majorHAnsi"/>
          <w:sz w:val="20"/>
          <w:szCs w:val="20"/>
        </w:rPr>
        <w:t>до</w:t>
      </w:r>
      <w:r w:rsidRPr="000977F7">
        <w:rPr>
          <w:rFonts w:asciiTheme="majorHAnsi" w:hAnsiTheme="majorHAnsi"/>
          <w:spacing w:val="31"/>
          <w:sz w:val="20"/>
          <w:szCs w:val="20"/>
        </w:rPr>
        <w:t xml:space="preserve"> </w:t>
      </w:r>
      <w:r w:rsidRPr="000977F7">
        <w:rPr>
          <w:rFonts w:asciiTheme="majorHAnsi" w:hAnsiTheme="majorHAnsi"/>
          <w:sz w:val="20"/>
          <w:szCs w:val="20"/>
        </w:rPr>
        <w:t>дійсних</w:t>
      </w:r>
      <w:r w:rsidRPr="000977F7">
        <w:rPr>
          <w:rFonts w:asciiTheme="majorHAnsi" w:hAnsiTheme="majorHAnsi"/>
          <w:spacing w:val="28"/>
          <w:sz w:val="20"/>
          <w:szCs w:val="20"/>
        </w:rPr>
        <w:t xml:space="preserve"> </w:t>
      </w:r>
      <w:r w:rsidRPr="000977F7">
        <w:rPr>
          <w:rFonts w:asciiTheme="majorHAnsi" w:hAnsiTheme="majorHAnsi"/>
          <w:sz w:val="20"/>
          <w:szCs w:val="20"/>
        </w:rPr>
        <w:t>значень</w:t>
      </w:r>
      <w:r w:rsidRPr="000977F7">
        <w:rPr>
          <w:rFonts w:asciiTheme="majorHAnsi" w:hAnsiTheme="majorHAnsi"/>
          <w:spacing w:val="-47"/>
          <w:sz w:val="20"/>
          <w:szCs w:val="20"/>
        </w:rPr>
        <w:t xml:space="preserve"> </w:t>
      </w:r>
      <w:r w:rsidRPr="000977F7">
        <w:rPr>
          <w:rFonts w:asciiTheme="majorHAnsi" w:hAnsiTheme="majorHAnsi"/>
          <w:sz w:val="20"/>
          <w:szCs w:val="20"/>
        </w:rPr>
        <w:t>характеристик</w:t>
      </w:r>
      <w:r w:rsidRPr="000977F7">
        <w:rPr>
          <w:rFonts w:asciiTheme="majorHAnsi" w:hAnsiTheme="majorHAnsi"/>
          <w:spacing w:val="8"/>
          <w:sz w:val="20"/>
          <w:szCs w:val="20"/>
        </w:rPr>
        <w:t xml:space="preserve"> </w:t>
      </w:r>
      <w:r w:rsidRPr="000977F7">
        <w:rPr>
          <w:rFonts w:asciiTheme="majorHAnsi" w:hAnsiTheme="majorHAnsi"/>
          <w:sz w:val="20"/>
          <w:szCs w:val="20"/>
        </w:rPr>
        <w:t>об’єкта</w:t>
      </w:r>
      <w:r w:rsidRPr="000977F7">
        <w:rPr>
          <w:rFonts w:asciiTheme="majorHAnsi" w:hAnsiTheme="majorHAnsi"/>
          <w:spacing w:val="10"/>
          <w:sz w:val="20"/>
          <w:szCs w:val="20"/>
        </w:rPr>
        <w:t xml:space="preserve"> </w:t>
      </w:r>
      <w:r w:rsidRPr="000977F7">
        <w:rPr>
          <w:rFonts w:asciiTheme="majorHAnsi" w:hAnsiTheme="majorHAnsi"/>
          <w:sz w:val="20"/>
          <w:szCs w:val="20"/>
        </w:rPr>
        <w:t>за</w:t>
      </w:r>
      <w:r w:rsidRPr="000977F7">
        <w:rPr>
          <w:rFonts w:asciiTheme="majorHAnsi" w:hAnsiTheme="majorHAnsi"/>
          <w:spacing w:val="10"/>
          <w:sz w:val="20"/>
          <w:szCs w:val="20"/>
        </w:rPr>
        <w:t xml:space="preserve"> </w:t>
      </w:r>
      <w:r w:rsidRPr="000977F7">
        <w:rPr>
          <w:rFonts w:asciiTheme="majorHAnsi" w:hAnsiTheme="majorHAnsi"/>
          <w:sz w:val="20"/>
          <w:szCs w:val="20"/>
        </w:rPr>
        <w:t>певних</w:t>
      </w:r>
      <w:r w:rsidRPr="000977F7">
        <w:rPr>
          <w:rFonts w:asciiTheme="majorHAnsi" w:hAnsiTheme="majorHAnsi"/>
          <w:spacing w:val="10"/>
          <w:sz w:val="20"/>
          <w:szCs w:val="20"/>
        </w:rPr>
        <w:t xml:space="preserve"> </w:t>
      </w:r>
      <w:r w:rsidRPr="000977F7">
        <w:rPr>
          <w:rFonts w:asciiTheme="majorHAnsi" w:hAnsiTheme="majorHAnsi"/>
          <w:sz w:val="20"/>
          <w:szCs w:val="20"/>
        </w:rPr>
        <w:t>умов</w:t>
      </w:r>
      <w:r w:rsidRPr="000977F7">
        <w:rPr>
          <w:rFonts w:asciiTheme="majorHAnsi" w:hAnsiTheme="majorHAnsi"/>
          <w:spacing w:val="9"/>
          <w:sz w:val="20"/>
          <w:szCs w:val="20"/>
        </w:rPr>
        <w:t xml:space="preserve"> </w:t>
      </w:r>
      <w:r w:rsidRPr="000977F7">
        <w:rPr>
          <w:rFonts w:asciiTheme="majorHAnsi" w:hAnsiTheme="majorHAnsi"/>
          <w:sz w:val="20"/>
          <w:szCs w:val="20"/>
        </w:rPr>
        <w:t>випробувань</w:t>
      </w:r>
    </w:p>
    <w:p w14:paraId="47113608"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2"/>
          <w:sz w:val="20"/>
          <w:szCs w:val="20"/>
        </w:rPr>
        <w:t xml:space="preserve"> </w:t>
      </w:r>
      <w:r w:rsidRPr="000977F7">
        <w:rPr>
          <w:rFonts w:asciiTheme="majorHAnsi" w:hAnsiTheme="majorHAnsi"/>
          <w:i/>
          <w:sz w:val="20"/>
          <w:szCs w:val="20"/>
        </w:rPr>
        <w:t>– 95; ДСТУ 2824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A529B9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ТОЧНІСТЬ</w:t>
      </w:r>
      <w:r w:rsidRPr="000977F7">
        <w:rPr>
          <w:color w:val="auto"/>
          <w:spacing w:val="-11"/>
          <w:sz w:val="20"/>
          <w:szCs w:val="20"/>
        </w:rPr>
        <w:t xml:space="preserve"> </w:t>
      </w:r>
      <w:r w:rsidRPr="000977F7">
        <w:rPr>
          <w:color w:val="auto"/>
          <w:sz w:val="20"/>
          <w:szCs w:val="20"/>
        </w:rPr>
        <w:t>ТЕХНОЛОГЧНОГО</w:t>
      </w:r>
      <w:r w:rsidRPr="000977F7">
        <w:rPr>
          <w:color w:val="auto"/>
          <w:spacing w:val="-47"/>
          <w:sz w:val="20"/>
          <w:szCs w:val="20"/>
        </w:rPr>
        <w:t xml:space="preserve"> </w:t>
      </w:r>
      <w:r w:rsidRPr="000977F7">
        <w:rPr>
          <w:color w:val="auto"/>
          <w:sz w:val="20"/>
          <w:szCs w:val="20"/>
        </w:rPr>
        <w:t>ПРОЦЕСУ –</w:t>
      </w:r>
    </w:p>
    <w:p w14:paraId="4E288D2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PROCESS</w:t>
      </w:r>
      <w:r w:rsidRPr="004D2D14">
        <w:rPr>
          <w:rFonts w:asciiTheme="majorHAnsi" w:hAnsiTheme="majorHAnsi"/>
          <w:spacing w:val="-2"/>
          <w:sz w:val="20"/>
          <w:szCs w:val="20"/>
          <w:lang w:val="uk-UA"/>
        </w:rPr>
        <w:t xml:space="preserve"> </w:t>
      </w:r>
      <w:r w:rsidRPr="000977F7">
        <w:rPr>
          <w:rFonts w:asciiTheme="majorHAnsi" w:hAnsiTheme="majorHAnsi"/>
          <w:sz w:val="20"/>
          <w:szCs w:val="20"/>
        </w:rPr>
        <w:t>ACCURACY</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04BD11E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Властивість технологічного процесу, яка обумовлює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близькість дійсних і номінальних значень параметрів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поділом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їхніх ймовірностей</w:t>
      </w:r>
    </w:p>
    <w:p w14:paraId="6465805F"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47"/>
          <w:sz w:val="20"/>
          <w:szCs w:val="20"/>
          <w:lang w:val="uk-UA"/>
        </w:rPr>
      </w:pPr>
      <w:r w:rsidRPr="004D2D14">
        <w:rPr>
          <w:rFonts w:asciiTheme="majorHAnsi" w:hAnsiTheme="majorHAnsi"/>
          <w:i/>
          <w:sz w:val="20"/>
          <w:szCs w:val="20"/>
          <w:lang w:val="uk-UA"/>
        </w:rPr>
        <w:t>ДСТУ 3514 – 97</w:t>
      </w:r>
    </w:p>
    <w:p w14:paraId="24FA9D19"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1"/>
          <w:sz w:val="20"/>
          <w:szCs w:val="20"/>
          <w:lang w:val="uk-UA"/>
        </w:rPr>
      </w:pPr>
      <w:r w:rsidRPr="004D2D14">
        <w:rPr>
          <w:rFonts w:asciiTheme="majorHAnsi" w:hAnsiTheme="majorHAnsi"/>
          <w:b/>
          <w:sz w:val="20"/>
          <w:szCs w:val="20"/>
          <w:lang w:val="uk-UA"/>
        </w:rPr>
        <w:t>ТРАВМА –</w:t>
      </w:r>
    </w:p>
    <w:p w14:paraId="3D6980BA"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0977F7">
        <w:rPr>
          <w:rFonts w:asciiTheme="majorHAnsi" w:hAnsiTheme="majorHAnsi"/>
          <w:sz w:val="20"/>
          <w:szCs w:val="20"/>
        </w:rPr>
        <w:t>TRAUMA</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p>
    <w:p w14:paraId="137C45B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Порушення анатомічної цілісності організму людини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або його функцій внаслідок дії чинників зовнішнього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середовища</w:t>
      </w:r>
    </w:p>
    <w:p w14:paraId="218AAD9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2293:2014</w:t>
      </w:r>
    </w:p>
    <w:p w14:paraId="6032FB6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ТРАНЗИТ</w:t>
      </w:r>
      <w:r w:rsidRPr="000977F7">
        <w:rPr>
          <w:color w:val="auto"/>
          <w:spacing w:val="-5"/>
          <w:sz w:val="20"/>
          <w:szCs w:val="20"/>
        </w:rPr>
        <w:t xml:space="preserve"> </w:t>
      </w:r>
      <w:r w:rsidRPr="000977F7">
        <w:rPr>
          <w:color w:val="auto"/>
          <w:sz w:val="20"/>
          <w:szCs w:val="20"/>
        </w:rPr>
        <w:t>ТОВАРІВ –</w:t>
      </w:r>
    </w:p>
    <w:p w14:paraId="1EE2C3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Переміщення товарів, вироблених за межами України,</w:t>
      </w:r>
      <w:r w:rsidRPr="000977F7">
        <w:rPr>
          <w:rFonts w:asciiTheme="majorHAnsi" w:hAnsiTheme="majorHAnsi"/>
          <w:spacing w:val="-47"/>
          <w:sz w:val="20"/>
          <w:szCs w:val="20"/>
        </w:rPr>
        <w:t xml:space="preserve"> </w:t>
      </w:r>
      <w:r w:rsidRPr="000977F7">
        <w:rPr>
          <w:rFonts w:asciiTheme="majorHAnsi" w:hAnsiTheme="majorHAnsi"/>
          <w:sz w:val="20"/>
          <w:szCs w:val="20"/>
        </w:rPr>
        <w:t>через територію України без будь – якого використання</w:t>
      </w:r>
      <w:r w:rsidRPr="000977F7">
        <w:rPr>
          <w:rFonts w:asciiTheme="majorHAnsi" w:hAnsiTheme="majorHAnsi"/>
          <w:spacing w:val="-2"/>
          <w:sz w:val="20"/>
          <w:szCs w:val="20"/>
        </w:rPr>
        <w:t xml:space="preserve"> </w:t>
      </w:r>
      <w:r w:rsidRPr="000977F7">
        <w:rPr>
          <w:rFonts w:asciiTheme="majorHAnsi" w:hAnsiTheme="majorHAnsi"/>
          <w:sz w:val="20"/>
          <w:szCs w:val="20"/>
        </w:rPr>
        <w:t>цих</w:t>
      </w:r>
      <w:r w:rsidRPr="000977F7">
        <w:rPr>
          <w:rFonts w:asciiTheme="majorHAnsi" w:hAnsiTheme="majorHAnsi"/>
          <w:spacing w:val="-2"/>
          <w:sz w:val="20"/>
          <w:szCs w:val="20"/>
        </w:rPr>
        <w:t xml:space="preserve"> </w:t>
      </w:r>
      <w:r w:rsidRPr="000977F7">
        <w:rPr>
          <w:rFonts w:asciiTheme="majorHAnsi" w:hAnsiTheme="majorHAnsi"/>
          <w:sz w:val="20"/>
          <w:szCs w:val="20"/>
        </w:rPr>
        <w:t>товарів</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зазначеній території</w:t>
      </w:r>
    </w:p>
    <w:p w14:paraId="7C8264E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i/>
          <w:sz w:val="20"/>
          <w:szCs w:val="20"/>
        </w:rPr>
        <w:t>95</w:t>
      </w:r>
    </w:p>
    <w:p w14:paraId="316713D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ТРАНЗИТНА</w:t>
      </w:r>
      <w:r w:rsidRPr="000977F7">
        <w:rPr>
          <w:color w:val="auto"/>
          <w:spacing w:val="-3"/>
          <w:sz w:val="20"/>
          <w:szCs w:val="20"/>
        </w:rPr>
        <w:t xml:space="preserve"> </w:t>
      </w:r>
      <w:r w:rsidRPr="000977F7">
        <w:rPr>
          <w:color w:val="auto"/>
          <w:sz w:val="20"/>
          <w:szCs w:val="20"/>
        </w:rPr>
        <w:t>НОРМА –</w:t>
      </w:r>
    </w:p>
    <w:p w14:paraId="5A720C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Найменший</w:t>
      </w:r>
      <w:r w:rsidRPr="000977F7">
        <w:rPr>
          <w:rFonts w:asciiTheme="majorHAnsi" w:hAnsiTheme="majorHAnsi"/>
          <w:spacing w:val="1"/>
          <w:sz w:val="20"/>
          <w:szCs w:val="20"/>
        </w:rPr>
        <w:t xml:space="preserve"> </w:t>
      </w:r>
      <w:r w:rsidRPr="000977F7">
        <w:rPr>
          <w:rFonts w:asciiTheme="majorHAnsi" w:hAnsiTheme="majorHAnsi"/>
          <w:sz w:val="20"/>
          <w:szCs w:val="20"/>
        </w:rPr>
        <w:t>обсяг</w:t>
      </w:r>
      <w:r w:rsidRPr="000977F7">
        <w:rPr>
          <w:rFonts w:asciiTheme="majorHAnsi" w:hAnsiTheme="majorHAnsi"/>
          <w:spacing w:val="1"/>
          <w:sz w:val="20"/>
          <w:szCs w:val="20"/>
        </w:rPr>
        <w:t xml:space="preserve"> </w:t>
      </w:r>
      <w:r w:rsidRPr="000977F7">
        <w:rPr>
          <w:rFonts w:asciiTheme="majorHAnsi" w:hAnsiTheme="majorHAnsi"/>
          <w:sz w:val="20"/>
          <w:szCs w:val="20"/>
        </w:rPr>
        <w:t>відвантаження</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встановлюється для найефективнішого 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вантажності</w:t>
      </w:r>
      <w:r w:rsidRPr="000977F7">
        <w:rPr>
          <w:rFonts w:asciiTheme="majorHAnsi" w:hAnsiTheme="majorHAnsi"/>
          <w:spacing w:val="-2"/>
          <w:sz w:val="20"/>
          <w:szCs w:val="20"/>
        </w:rPr>
        <w:t xml:space="preserve"> </w:t>
      </w:r>
      <w:r w:rsidRPr="000977F7">
        <w:rPr>
          <w:rFonts w:asciiTheme="majorHAnsi" w:hAnsiTheme="majorHAnsi"/>
          <w:sz w:val="20"/>
          <w:szCs w:val="20"/>
        </w:rPr>
        <w:t>транспортних</w:t>
      </w:r>
      <w:r w:rsidRPr="000977F7">
        <w:rPr>
          <w:rFonts w:asciiTheme="majorHAnsi" w:hAnsiTheme="majorHAnsi"/>
          <w:spacing w:val="-1"/>
          <w:sz w:val="20"/>
          <w:szCs w:val="20"/>
        </w:rPr>
        <w:t xml:space="preserve"> </w:t>
      </w:r>
      <w:r w:rsidRPr="000977F7">
        <w:rPr>
          <w:rFonts w:asciiTheme="majorHAnsi" w:hAnsiTheme="majorHAnsi"/>
          <w:sz w:val="20"/>
          <w:szCs w:val="20"/>
        </w:rPr>
        <w:t>засобів</w:t>
      </w:r>
    </w:p>
    <w:p w14:paraId="6468D12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42C821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ТРАНЗИТНА</w:t>
      </w:r>
      <w:r w:rsidRPr="000977F7">
        <w:rPr>
          <w:color w:val="auto"/>
          <w:spacing w:val="-5"/>
          <w:sz w:val="20"/>
          <w:szCs w:val="20"/>
        </w:rPr>
        <w:t xml:space="preserve"> </w:t>
      </w:r>
      <w:r w:rsidRPr="000977F7">
        <w:rPr>
          <w:color w:val="auto"/>
          <w:sz w:val="20"/>
          <w:szCs w:val="20"/>
        </w:rPr>
        <w:t>ФОРМА</w:t>
      </w:r>
      <w:r w:rsidRPr="000977F7">
        <w:rPr>
          <w:color w:val="auto"/>
          <w:spacing w:val="-5"/>
          <w:sz w:val="20"/>
          <w:szCs w:val="20"/>
        </w:rPr>
        <w:t xml:space="preserve"> </w:t>
      </w:r>
      <w:r w:rsidRPr="000977F7">
        <w:rPr>
          <w:color w:val="auto"/>
          <w:sz w:val="20"/>
          <w:szCs w:val="20"/>
        </w:rPr>
        <w:t>ПОСТАЧАННЯ</w:t>
      </w:r>
      <w:r w:rsidRPr="000977F7">
        <w:rPr>
          <w:color w:val="auto"/>
          <w:spacing w:val="-2"/>
          <w:sz w:val="20"/>
          <w:szCs w:val="20"/>
        </w:rPr>
        <w:t xml:space="preserve"> </w:t>
      </w:r>
      <w:r w:rsidRPr="000977F7">
        <w:rPr>
          <w:color w:val="auto"/>
          <w:sz w:val="20"/>
          <w:szCs w:val="20"/>
        </w:rPr>
        <w:t>–</w:t>
      </w:r>
    </w:p>
    <w:p w14:paraId="5A87535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Спосіб постачання, за яким вантажі з підприємства-постачальника</w:t>
      </w:r>
      <w:r w:rsidRPr="000977F7">
        <w:rPr>
          <w:rFonts w:asciiTheme="majorHAnsi" w:hAnsiTheme="majorHAnsi"/>
          <w:spacing w:val="1"/>
          <w:sz w:val="20"/>
          <w:szCs w:val="20"/>
        </w:rPr>
        <w:t xml:space="preserve"> </w:t>
      </w:r>
      <w:r w:rsidRPr="000977F7">
        <w:rPr>
          <w:rFonts w:asciiTheme="majorHAnsi" w:hAnsiTheme="majorHAnsi"/>
          <w:sz w:val="20"/>
          <w:szCs w:val="20"/>
        </w:rPr>
        <w:t>безпосередньо</w:t>
      </w:r>
      <w:r w:rsidRPr="000977F7">
        <w:rPr>
          <w:rFonts w:asciiTheme="majorHAnsi" w:hAnsiTheme="majorHAnsi"/>
          <w:spacing w:val="1"/>
          <w:sz w:val="20"/>
          <w:szCs w:val="20"/>
        </w:rPr>
        <w:t xml:space="preserve"> </w:t>
      </w:r>
      <w:r w:rsidRPr="000977F7">
        <w:rPr>
          <w:rFonts w:asciiTheme="majorHAnsi" w:hAnsiTheme="majorHAnsi"/>
          <w:sz w:val="20"/>
          <w:szCs w:val="20"/>
        </w:rPr>
        <w:t>відправляють</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підприємству-споживачу без будь – яких додаткових перевантажень</w:t>
      </w:r>
    </w:p>
    <w:p w14:paraId="149435A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4DAF86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ТРАНСПОРТНА</w:t>
      </w:r>
      <w:r w:rsidRPr="000977F7">
        <w:rPr>
          <w:color w:val="auto"/>
          <w:spacing w:val="-4"/>
          <w:sz w:val="20"/>
          <w:szCs w:val="20"/>
        </w:rPr>
        <w:t xml:space="preserve"> </w:t>
      </w:r>
      <w:r w:rsidRPr="000977F7">
        <w:rPr>
          <w:color w:val="auto"/>
          <w:sz w:val="20"/>
          <w:szCs w:val="20"/>
        </w:rPr>
        <w:t>ГІГІЄНА</w:t>
      </w:r>
      <w:r w:rsidRPr="000977F7">
        <w:rPr>
          <w:color w:val="auto"/>
          <w:spacing w:val="-2"/>
          <w:sz w:val="20"/>
          <w:szCs w:val="20"/>
        </w:rPr>
        <w:t xml:space="preserve"> </w:t>
      </w:r>
      <w:r w:rsidRPr="000977F7">
        <w:rPr>
          <w:color w:val="auto"/>
          <w:sz w:val="20"/>
          <w:szCs w:val="20"/>
        </w:rPr>
        <w:t>–</w:t>
      </w:r>
    </w:p>
    <w:p w14:paraId="2F7730E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Галузь</w:t>
      </w:r>
      <w:r w:rsidRPr="000977F7">
        <w:rPr>
          <w:rFonts w:asciiTheme="majorHAnsi" w:hAnsiTheme="majorHAnsi"/>
          <w:spacing w:val="1"/>
          <w:sz w:val="20"/>
          <w:szCs w:val="20"/>
        </w:rPr>
        <w:t xml:space="preserve"> </w:t>
      </w:r>
      <w:r w:rsidRPr="000977F7">
        <w:rPr>
          <w:rFonts w:asciiTheme="majorHAnsi" w:hAnsiTheme="majorHAnsi"/>
          <w:sz w:val="20"/>
          <w:szCs w:val="20"/>
        </w:rPr>
        <w:t>гігієни,</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вивчає</w:t>
      </w:r>
      <w:r w:rsidRPr="000977F7">
        <w:rPr>
          <w:rFonts w:asciiTheme="majorHAnsi" w:hAnsiTheme="majorHAnsi"/>
          <w:spacing w:val="1"/>
          <w:sz w:val="20"/>
          <w:szCs w:val="20"/>
        </w:rPr>
        <w:t xml:space="preserve"> </w:t>
      </w:r>
      <w:r w:rsidRPr="000977F7">
        <w:rPr>
          <w:rFonts w:asciiTheme="majorHAnsi" w:hAnsiTheme="majorHAnsi"/>
          <w:sz w:val="20"/>
          <w:szCs w:val="20"/>
        </w:rPr>
        <w:t>умови</w:t>
      </w:r>
      <w:r w:rsidRPr="000977F7">
        <w:rPr>
          <w:rFonts w:asciiTheme="majorHAnsi" w:hAnsiTheme="majorHAnsi"/>
          <w:spacing w:val="1"/>
          <w:sz w:val="20"/>
          <w:szCs w:val="20"/>
        </w:rPr>
        <w:t xml:space="preserve"> </w:t>
      </w:r>
      <w:r w:rsidRPr="000977F7">
        <w:rPr>
          <w:rFonts w:asciiTheme="majorHAnsi" w:hAnsiTheme="majorHAnsi"/>
          <w:sz w:val="20"/>
          <w:szCs w:val="20"/>
        </w:rPr>
        <w:t>праці</w:t>
      </w:r>
      <w:r w:rsidRPr="000977F7">
        <w:rPr>
          <w:rFonts w:asciiTheme="majorHAnsi" w:hAnsiTheme="majorHAnsi"/>
          <w:spacing w:val="1"/>
          <w:sz w:val="20"/>
          <w:szCs w:val="20"/>
        </w:rPr>
        <w:t xml:space="preserve"> </w:t>
      </w:r>
      <w:r w:rsidRPr="000977F7">
        <w:rPr>
          <w:rFonts w:asciiTheme="majorHAnsi" w:hAnsiTheme="majorHAnsi"/>
          <w:sz w:val="20"/>
          <w:szCs w:val="20"/>
        </w:rPr>
        <w:t>працівників</w:t>
      </w:r>
      <w:r w:rsidRPr="000977F7">
        <w:rPr>
          <w:rFonts w:asciiTheme="majorHAnsi" w:hAnsiTheme="majorHAnsi"/>
          <w:spacing w:val="-47"/>
          <w:sz w:val="20"/>
          <w:szCs w:val="20"/>
        </w:rPr>
        <w:t xml:space="preserve"> </w:t>
      </w:r>
      <w:r w:rsidRPr="000977F7">
        <w:rPr>
          <w:rFonts w:asciiTheme="majorHAnsi" w:hAnsiTheme="majorHAnsi"/>
          <w:sz w:val="20"/>
          <w:szCs w:val="20"/>
        </w:rPr>
        <w:t>залізничного,</w:t>
      </w:r>
      <w:r w:rsidRPr="000977F7">
        <w:rPr>
          <w:rFonts w:asciiTheme="majorHAnsi" w:hAnsiTheme="majorHAnsi"/>
          <w:spacing w:val="1"/>
          <w:sz w:val="20"/>
          <w:szCs w:val="20"/>
        </w:rPr>
        <w:t xml:space="preserve"> </w:t>
      </w:r>
      <w:r w:rsidRPr="000977F7">
        <w:rPr>
          <w:rFonts w:asciiTheme="majorHAnsi" w:hAnsiTheme="majorHAnsi"/>
          <w:sz w:val="20"/>
          <w:szCs w:val="20"/>
        </w:rPr>
        <w:t>водного,</w:t>
      </w:r>
      <w:r w:rsidRPr="000977F7">
        <w:rPr>
          <w:rFonts w:asciiTheme="majorHAnsi" w:hAnsiTheme="majorHAnsi"/>
          <w:spacing w:val="1"/>
          <w:sz w:val="20"/>
          <w:szCs w:val="20"/>
        </w:rPr>
        <w:t xml:space="preserve"> </w:t>
      </w:r>
      <w:r w:rsidRPr="000977F7">
        <w:rPr>
          <w:rFonts w:asciiTheme="majorHAnsi" w:hAnsiTheme="majorHAnsi"/>
          <w:sz w:val="20"/>
          <w:szCs w:val="20"/>
        </w:rPr>
        <w:t>автомобільного та</w:t>
      </w:r>
      <w:r w:rsidRPr="000977F7">
        <w:rPr>
          <w:rFonts w:asciiTheme="majorHAnsi" w:hAnsiTheme="majorHAnsi"/>
          <w:spacing w:val="50"/>
          <w:sz w:val="20"/>
          <w:szCs w:val="20"/>
        </w:rPr>
        <w:t xml:space="preserve"> </w:t>
      </w:r>
      <w:r w:rsidRPr="000977F7">
        <w:rPr>
          <w:rFonts w:asciiTheme="majorHAnsi" w:hAnsiTheme="majorHAnsi"/>
          <w:sz w:val="20"/>
          <w:szCs w:val="20"/>
        </w:rPr>
        <w:t>авіаційного транспорту, умови проїзду пасажирів в цих видах</w:t>
      </w:r>
      <w:r w:rsidRPr="000977F7">
        <w:rPr>
          <w:rFonts w:asciiTheme="majorHAnsi" w:hAnsiTheme="majorHAnsi"/>
          <w:spacing w:val="1"/>
          <w:sz w:val="20"/>
          <w:szCs w:val="20"/>
        </w:rPr>
        <w:t xml:space="preserve"> </w:t>
      </w:r>
      <w:r w:rsidRPr="000977F7">
        <w:rPr>
          <w:rFonts w:asciiTheme="majorHAnsi" w:hAnsiTheme="majorHAnsi"/>
          <w:sz w:val="20"/>
          <w:szCs w:val="20"/>
        </w:rPr>
        <w:t>транспорту, розробляє гігієнічні нормативи та вимоги</w:t>
      </w:r>
      <w:r w:rsidRPr="000977F7">
        <w:rPr>
          <w:rFonts w:asciiTheme="majorHAnsi" w:hAnsiTheme="majorHAnsi"/>
          <w:spacing w:val="1"/>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транспортних</w:t>
      </w:r>
      <w:r w:rsidRPr="000977F7">
        <w:rPr>
          <w:rFonts w:asciiTheme="majorHAnsi" w:hAnsiTheme="majorHAnsi"/>
          <w:spacing w:val="1"/>
          <w:sz w:val="20"/>
          <w:szCs w:val="20"/>
        </w:rPr>
        <w:t xml:space="preserve"> </w:t>
      </w:r>
      <w:r w:rsidRPr="000977F7">
        <w:rPr>
          <w:rFonts w:asciiTheme="majorHAnsi" w:hAnsiTheme="majorHAnsi"/>
          <w:sz w:val="20"/>
          <w:szCs w:val="20"/>
        </w:rPr>
        <w:t>засобів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споруд,</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також</w:t>
      </w:r>
      <w:r w:rsidRPr="000977F7">
        <w:rPr>
          <w:rFonts w:asciiTheme="majorHAnsi" w:hAnsiTheme="majorHAnsi"/>
          <w:spacing w:val="1"/>
          <w:sz w:val="20"/>
          <w:szCs w:val="20"/>
        </w:rPr>
        <w:t xml:space="preserve"> </w:t>
      </w:r>
      <w:r w:rsidRPr="000977F7">
        <w:rPr>
          <w:rFonts w:asciiTheme="majorHAnsi" w:hAnsiTheme="majorHAnsi"/>
          <w:sz w:val="20"/>
          <w:szCs w:val="20"/>
        </w:rPr>
        <w:t>санітарні</w:t>
      </w:r>
      <w:r w:rsidRPr="000977F7">
        <w:rPr>
          <w:rFonts w:asciiTheme="majorHAnsi" w:hAnsiTheme="majorHAnsi"/>
          <w:spacing w:val="4"/>
          <w:sz w:val="20"/>
          <w:szCs w:val="20"/>
        </w:rPr>
        <w:t xml:space="preserve"> </w:t>
      </w:r>
      <w:r w:rsidRPr="000977F7">
        <w:rPr>
          <w:rFonts w:asciiTheme="majorHAnsi" w:hAnsiTheme="majorHAnsi"/>
          <w:sz w:val="20"/>
          <w:szCs w:val="20"/>
        </w:rPr>
        <w:t>заходи</w:t>
      </w:r>
      <w:r w:rsidRPr="000977F7">
        <w:rPr>
          <w:rFonts w:asciiTheme="majorHAnsi" w:hAnsiTheme="majorHAnsi"/>
          <w:spacing w:val="4"/>
          <w:sz w:val="20"/>
          <w:szCs w:val="20"/>
        </w:rPr>
        <w:t xml:space="preserve"> </w:t>
      </w:r>
      <w:r w:rsidRPr="000977F7">
        <w:rPr>
          <w:rFonts w:asciiTheme="majorHAnsi" w:hAnsiTheme="majorHAnsi"/>
          <w:sz w:val="20"/>
          <w:szCs w:val="20"/>
        </w:rPr>
        <w:t>на</w:t>
      </w:r>
      <w:r w:rsidRPr="000977F7">
        <w:rPr>
          <w:rFonts w:asciiTheme="majorHAnsi" w:hAnsiTheme="majorHAnsi"/>
          <w:spacing w:val="6"/>
          <w:sz w:val="20"/>
          <w:szCs w:val="20"/>
        </w:rPr>
        <w:t xml:space="preserve"> </w:t>
      </w:r>
      <w:r w:rsidRPr="000977F7">
        <w:rPr>
          <w:rFonts w:asciiTheme="majorHAnsi" w:hAnsiTheme="majorHAnsi"/>
          <w:sz w:val="20"/>
          <w:szCs w:val="20"/>
        </w:rPr>
        <w:t>цих</w:t>
      </w:r>
      <w:r w:rsidRPr="000977F7">
        <w:rPr>
          <w:rFonts w:asciiTheme="majorHAnsi" w:hAnsiTheme="majorHAnsi"/>
          <w:spacing w:val="4"/>
          <w:sz w:val="20"/>
          <w:szCs w:val="20"/>
        </w:rPr>
        <w:t xml:space="preserve"> </w:t>
      </w:r>
      <w:r w:rsidRPr="000977F7">
        <w:rPr>
          <w:rFonts w:asciiTheme="majorHAnsi" w:hAnsiTheme="majorHAnsi"/>
          <w:sz w:val="20"/>
          <w:szCs w:val="20"/>
        </w:rPr>
        <w:t>об’єктах</w:t>
      </w:r>
    </w:p>
    <w:p w14:paraId="0A9BBFF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3038 - 95</w:t>
      </w:r>
    </w:p>
    <w:p w14:paraId="142073D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ТРАНСПОРТНЕ</w:t>
      </w:r>
      <w:r w:rsidRPr="000977F7">
        <w:rPr>
          <w:color w:val="auto"/>
          <w:spacing w:val="-6"/>
          <w:sz w:val="20"/>
          <w:szCs w:val="20"/>
        </w:rPr>
        <w:t xml:space="preserve"> </w:t>
      </w:r>
      <w:r w:rsidRPr="000977F7">
        <w:rPr>
          <w:color w:val="auto"/>
          <w:sz w:val="20"/>
          <w:szCs w:val="20"/>
        </w:rPr>
        <w:t>ГОСПОДАРТСВО</w:t>
      </w:r>
      <w:r w:rsidRPr="000977F7">
        <w:rPr>
          <w:color w:val="auto"/>
          <w:spacing w:val="-1"/>
          <w:sz w:val="20"/>
          <w:szCs w:val="20"/>
        </w:rPr>
        <w:t xml:space="preserve"> </w:t>
      </w:r>
      <w:r w:rsidRPr="000977F7">
        <w:rPr>
          <w:color w:val="auto"/>
          <w:sz w:val="20"/>
          <w:szCs w:val="20"/>
        </w:rPr>
        <w:t>–</w:t>
      </w:r>
    </w:p>
    <w:p w14:paraId="3C081A4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w:t>
      </w:r>
      <w:r w:rsidRPr="000977F7">
        <w:rPr>
          <w:rFonts w:asciiTheme="majorHAnsi" w:hAnsiTheme="majorHAnsi"/>
          <w:spacing w:val="1"/>
          <w:sz w:val="20"/>
          <w:szCs w:val="20"/>
        </w:rPr>
        <w:t xml:space="preserve"> </w:t>
      </w:r>
      <w:r w:rsidRPr="000977F7">
        <w:rPr>
          <w:rFonts w:asciiTheme="majorHAnsi" w:hAnsiTheme="majorHAnsi"/>
          <w:sz w:val="20"/>
          <w:szCs w:val="20"/>
        </w:rPr>
        <w:t>технічних засобів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спеціалізованих</w:t>
      </w:r>
      <w:r w:rsidRPr="000977F7">
        <w:rPr>
          <w:rFonts w:asciiTheme="majorHAnsi" w:hAnsiTheme="majorHAnsi"/>
          <w:spacing w:val="1"/>
          <w:sz w:val="20"/>
          <w:szCs w:val="20"/>
        </w:rPr>
        <w:t xml:space="preserve"> </w:t>
      </w:r>
      <w:r w:rsidRPr="000977F7">
        <w:rPr>
          <w:rFonts w:asciiTheme="majorHAnsi" w:hAnsiTheme="majorHAnsi"/>
          <w:sz w:val="20"/>
          <w:szCs w:val="20"/>
        </w:rPr>
        <w:t>підрозділів,</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призначених</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переміщення</w:t>
      </w:r>
      <w:r w:rsidRPr="000977F7">
        <w:rPr>
          <w:rFonts w:asciiTheme="majorHAnsi" w:hAnsiTheme="majorHAnsi"/>
          <w:spacing w:val="1"/>
          <w:sz w:val="20"/>
          <w:szCs w:val="20"/>
        </w:rPr>
        <w:t xml:space="preserve"> </w:t>
      </w:r>
      <w:r w:rsidRPr="000977F7">
        <w:rPr>
          <w:rFonts w:asciiTheme="majorHAnsi" w:hAnsiTheme="majorHAnsi"/>
          <w:sz w:val="20"/>
          <w:szCs w:val="20"/>
        </w:rPr>
        <w:t>сировини,</w:t>
      </w:r>
      <w:r w:rsidRPr="000977F7">
        <w:rPr>
          <w:rFonts w:asciiTheme="majorHAnsi" w:hAnsiTheme="majorHAnsi"/>
          <w:spacing w:val="1"/>
          <w:sz w:val="20"/>
          <w:szCs w:val="20"/>
        </w:rPr>
        <w:t xml:space="preserve"> </w:t>
      </w:r>
      <w:r w:rsidRPr="000977F7">
        <w:rPr>
          <w:rFonts w:asciiTheme="majorHAnsi" w:hAnsiTheme="majorHAnsi"/>
          <w:sz w:val="20"/>
          <w:szCs w:val="20"/>
        </w:rPr>
        <w:t>матеріалів,</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вантажів</w:t>
      </w:r>
      <w:r w:rsidRPr="000977F7">
        <w:rPr>
          <w:rFonts w:asciiTheme="majorHAnsi" w:hAnsiTheme="majorHAnsi"/>
          <w:spacing w:val="1"/>
          <w:sz w:val="20"/>
          <w:szCs w:val="20"/>
        </w:rPr>
        <w:t xml:space="preserve"> </w:t>
      </w:r>
      <w:r w:rsidRPr="000977F7">
        <w:rPr>
          <w:rFonts w:asciiTheme="majorHAnsi" w:hAnsiTheme="majorHAnsi"/>
          <w:sz w:val="20"/>
          <w:szCs w:val="20"/>
        </w:rPr>
        <w:t>всередині</w:t>
      </w:r>
      <w:r w:rsidRPr="000977F7">
        <w:rPr>
          <w:rFonts w:asciiTheme="majorHAnsi" w:hAnsiTheme="majorHAnsi"/>
          <w:spacing w:val="1"/>
          <w:sz w:val="20"/>
          <w:szCs w:val="20"/>
        </w:rPr>
        <w:t xml:space="preserve"> </w:t>
      </w:r>
      <w:r w:rsidRPr="000977F7">
        <w:rPr>
          <w:rFonts w:asciiTheme="majorHAnsi" w:hAnsiTheme="majorHAnsi"/>
          <w:sz w:val="20"/>
          <w:szCs w:val="20"/>
        </w:rPr>
        <w:t>підприємства</w:t>
      </w:r>
      <w:r w:rsidRPr="000977F7">
        <w:rPr>
          <w:rFonts w:asciiTheme="majorHAnsi" w:hAnsiTheme="majorHAnsi"/>
          <w:spacing w:val="2"/>
          <w:sz w:val="20"/>
          <w:szCs w:val="20"/>
        </w:rPr>
        <w:t xml:space="preserve"> </w:t>
      </w:r>
      <w:r w:rsidRPr="000977F7">
        <w:rPr>
          <w:rFonts w:asciiTheme="majorHAnsi" w:hAnsiTheme="majorHAnsi"/>
          <w:sz w:val="20"/>
          <w:szCs w:val="20"/>
        </w:rPr>
        <w:t>та за</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межами</w:t>
      </w:r>
    </w:p>
    <w:p w14:paraId="1DE3F6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4D7CD925" w14:textId="77777777" w:rsidR="0097612F" w:rsidRPr="000977F7" w:rsidRDefault="0097612F" w:rsidP="00FD39A4">
      <w:pPr>
        <w:pStyle w:val="ac"/>
        <w:widowControl w:val="0"/>
        <w:numPr>
          <w:ilvl w:val="0"/>
          <w:numId w:val="7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 призначенням розрізняють транспорт зовнішній,</w:t>
      </w:r>
      <w:r w:rsidRPr="000977F7">
        <w:rPr>
          <w:rFonts w:asciiTheme="majorHAnsi" w:hAnsiTheme="majorHAnsi"/>
          <w:spacing w:val="1"/>
          <w:sz w:val="20"/>
          <w:szCs w:val="20"/>
        </w:rPr>
        <w:t xml:space="preserve"> </w:t>
      </w:r>
      <w:r w:rsidRPr="000977F7">
        <w:rPr>
          <w:rFonts w:asciiTheme="majorHAnsi" w:hAnsiTheme="majorHAnsi"/>
          <w:sz w:val="20"/>
          <w:szCs w:val="20"/>
        </w:rPr>
        <w:t>міжцеховий,</w:t>
      </w:r>
      <w:r w:rsidRPr="000977F7">
        <w:rPr>
          <w:rFonts w:asciiTheme="majorHAnsi" w:hAnsiTheme="majorHAnsi"/>
          <w:spacing w:val="1"/>
          <w:sz w:val="20"/>
          <w:szCs w:val="20"/>
        </w:rPr>
        <w:t xml:space="preserve"> </w:t>
      </w:r>
      <w:r w:rsidRPr="000977F7">
        <w:rPr>
          <w:rFonts w:asciiTheme="majorHAnsi" w:hAnsiTheme="majorHAnsi"/>
          <w:sz w:val="20"/>
          <w:szCs w:val="20"/>
        </w:rPr>
        <w:t>внутрішньоцеховий,</w:t>
      </w:r>
      <w:r w:rsidRPr="000977F7">
        <w:rPr>
          <w:rFonts w:asciiTheme="majorHAnsi" w:hAnsiTheme="majorHAnsi"/>
          <w:spacing w:val="1"/>
          <w:sz w:val="20"/>
          <w:szCs w:val="20"/>
        </w:rPr>
        <w:t xml:space="preserve"> </w:t>
      </w:r>
      <w:r w:rsidRPr="000977F7">
        <w:rPr>
          <w:rFonts w:asciiTheme="majorHAnsi" w:hAnsiTheme="majorHAnsi"/>
          <w:sz w:val="20"/>
          <w:szCs w:val="20"/>
        </w:rPr>
        <w:t>внутрішньоскладський та робочого</w:t>
      </w:r>
      <w:r w:rsidRPr="000977F7">
        <w:rPr>
          <w:rFonts w:asciiTheme="majorHAnsi" w:hAnsiTheme="majorHAnsi"/>
          <w:spacing w:val="-3"/>
          <w:sz w:val="20"/>
          <w:szCs w:val="20"/>
        </w:rPr>
        <w:t xml:space="preserve"> </w:t>
      </w:r>
      <w:r w:rsidRPr="000977F7">
        <w:rPr>
          <w:rFonts w:asciiTheme="majorHAnsi" w:hAnsiTheme="majorHAnsi"/>
          <w:sz w:val="20"/>
          <w:szCs w:val="20"/>
        </w:rPr>
        <w:t>місяця</w:t>
      </w:r>
    </w:p>
    <w:p w14:paraId="49A33449" w14:textId="77777777" w:rsidR="0097612F" w:rsidRPr="000977F7" w:rsidRDefault="0097612F" w:rsidP="00FD39A4">
      <w:pPr>
        <w:pStyle w:val="ac"/>
        <w:widowControl w:val="0"/>
        <w:numPr>
          <w:ilvl w:val="0"/>
          <w:numId w:val="7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видами</w:t>
      </w:r>
      <w:r w:rsidRPr="000977F7">
        <w:rPr>
          <w:rFonts w:asciiTheme="majorHAnsi" w:hAnsiTheme="majorHAnsi"/>
          <w:spacing w:val="1"/>
          <w:sz w:val="20"/>
          <w:szCs w:val="20"/>
        </w:rPr>
        <w:t xml:space="preserve"> </w:t>
      </w:r>
      <w:r w:rsidRPr="000977F7">
        <w:rPr>
          <w:rFonts w:asciiTheme="majorHAnsi" w:hAnsiTheme="majorHAnsi"/>
          <w:sz w:val="20"/>
          <w:szCs w:val="20"/>
        </w:rPr>
        <w:t>розрізняють</w:t>
      </w:r>
      <w:r w:rsidRPr="000977F7">
        <w:rPr>
          <w:rFonts w:asciiTheme="majorHAnsi" w:hAnsiTheme="majorHAnsi"/>
          <w:spacing w:val="1"/>
          <w:sz w:val="20"/>
          <w:szCs w:val="20"/>
        </w:rPr>
        <w:t xml:space="preserve"> </w:t>
      </w:r>
      <w:r w:rsidRPr="000977F7">
        <w:rPr>
          <w:rFonts w:asciiTheme="majorHAnsi" w:hAnsiTheme="majorHAnsi"/>
          <w:sz w:val="20"/>
          <w:szCs w:val="20"/>
        </w:rPr>
        <w:t>рейковий,</w:t>
      </w:r>
      <w:r w:rsidRPr="000977F7">
        <w:rPr>
          <w:rFonts w:asciiTheme="majorHAnsi" w:hAnsiTheme="majorHAnsi"/>
          <w:spacing w:val="1"/>
          <w:sz w:val="20"/>
          <w:szCs w:val="20"/>
        </w:rPr>
        <w:t xml:space="preserve"> </w:t>
      </w:r>
      <w:r w:rsidRPr="000977F7">
        <w:rPr>
          <w:rFonts w:asciiTheme="majorHAnsi" w:hAnsiTheme="majorHAnsi"/>
          <w:sz w:val="20"/>
          <w:szCs w:val="20"/>
        </w:rPr>
        <w:t>безрейковий,</w:t>
      </w:r>
      <w:r w:rsidRPr="000977F7">
        <w:rPr>
          <w:rFonts w:asciiTheme="majorHAnsi" w:hAnsiTheme="majorHAnsi"/>
          <w:spacing w:val="1"/>
          <w:sz w:val="20"/>
          <w:szCs w:val="20"/>
        </w:rPr>
        <w:t xml:space="preserve"> </w:t>
      </w:r>
      <w:r w:rsidRPr="000977F7">
        <w:rPr>
          <w:rFonts w:asciiTheme="majorHAnsi" w:hAnsiTheme="majorHAnsi"/>
          <w:sz w:val="20"/>
          <w:szCs w:val="20"/>
        </w:rPr>
        <w:t>конвеєрний,</w:t>
      </w:r>
      <w:r w:rsidRPr="000977F7">
        <w:rPr>
          <w:rFonts w:asciiTheme="majorHAnsi" w:hAnsiTheme="majorHAnsi"/>
          <w:spacing w:val="-7"/>
          <w:sz w:val="20"/>
          <w:szCs w:val="20"/>
        </w:rPr>
        <w:t xml:space="preserve"> </w:t>
      </w:r>
      <w:r w:rsidRPr="000977F7">
        <w:rPr>
          <w:rFonts w:asciiTheme="majorHAnsi" w:hAnsiTheme="majorHAnsi"/>
          <w:sz w:val="20"/>
          <w:szCs w:val="20"/>
        </w:rPr>
        <w:t>підвісний,</w:t>
      </w:r>
      <w:r w:rsidRPr="000977F7">
        <w:rPr>
          <w:rFonts w:asciiTheme="majorHAnsi" w:hAnsiTheme="majorHAnsi"/>
          <w:spacing w:val="-7"/>
          <w:sz w:val="20"/>
          <w:szCs w:val="20"/>
        </w:rPr>
        <w:t xml:space="preserve"> </w:t>
      </w:r>
      <w:r w:rsidRPr="000977F7">
        <w:rPr>
          <w:rFonts w:asciiTheme="majorHAnsi" w:hAnsiTheme="majorHAnsi"/>
          <w:sz w:val="20"/>
          <w:szCs w:val="20"/>
        </w:rPr>
        <w:t>трубопровідний</w:t>
      </w:r>
      <w:r w:rsidRPr="000977F7">
        <w:rPr>
          <w:rFonts w:asciiTheme="majorHAnsi" w:hAnsiTheme="majorHAnsi"/>
          <w:spacing w:val="-7"/>
          <w:sz w:val="20"/>
          <w:szCs w:val="20"/>
        </w:rPr>
        <w:t xml:space="preserve"> </w:t>
      </w:r>
      <w:r w:rsidRPr="000977F7">
        <w:rPr>
          <w:rFonts w:asciiTheme="majorHAnsi" w:hAnsiTheme="majorHAnsi"/>
          <w:sz w:val="20"/>
          <w:szCs w:val="20"/>
        </w:rPr>
        <w:t>транспорт</w:t>
      </w:r>
    </w:p>
    <w:p w14:paraId="1519B82D"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color w:val="auto"/>
          <w:sz w:val="20"/>
          <w:szCs w:val="20"/>
        </w:rPr>
        <w:t>ТРАНСПОРТНО</w:t>
      </w:r>
      <w:r w:rsidRPr="000977F7">
        <w:rPr>
          <w:color w:val="auto"/>
          <w:spacing w:val="-4"/>
          <w:sz w:val="20"/>
          <w:szCs w:val="20"/>
        </w:rPr>
        <w:t xml:space="preserve"> </w:t>
      </w:r>
      <w:r w:rsidRPr="000977F7">
        <w:rPr>
          <w:color w:val="auto"/>
          <w:sz w:val="20"/>
          <w:szCs w:val="20"/>
        </w:rPr>
        <w:t>–</w:t>
      </w:r>
      <w:r w:rsidRPr="000977F7">
        <w:rPr>
          <w:color w:val="auto"/>
          <w:spacing w:val="-5"/>
          <w:sz w:val="20"/>
          <w:szCs w:val="20"/>
        </w:rPr>
        <w:t xml:space="preserve"> </w:t>
      </w:r>
      <w:r w:rsidRPr="000977F7">
        <w:rPr>
          <w:color w:val="auto"/>
          <w:sz w:val="20"/>
          <w:szCs w:val="20"/>
        </w:rPr>
        <w:t>ТЕХНОЛОГІЧНАСХЕМА</w:t>
      </w:r>
      <w:r w:rsidRPr="000977F7">
        <w:rPr>
          <w:color w:val="auto"/>
          <w:spacing w:val="-4"/>
          <w:sz w:val="20"/>
          <w:szCs w:val="20"/>
        </w:rPr>
        <w:t xml:space="preserve"> </w:t>
      </w:r>
      <w:r w:rsidRPr="000977F7">
        <w:rPr>
          <w:color w:val="auto"/>
          <w:sz w:val="20"/>
          <w:szCs w:val="20"/>
        </w:rPr>
        <w:t>–</w:t>
      </w:r>
      <w:r w:rsidRPr="000977F7">
        <w:rPr>
          <w:b w:val="0"/>
          <w:bCs/>
          <w:color w:val="auto"/>
          <w:sz w:val="20"/>
          <w:szCs w:val="20"/>
        </w:rPr>
        <w:t>Схема</w:t>
      </w:r>
      <w:r w:rsidRPr="000977F7">
        <w:rPr>
          <w:b w:val="0"/>
          <w:bCs/>
          <w:color w:val="auto"/>
          <w:spacing w:val="1"/>
          <w:sz w:val="20"/>
          <w:szCs w:val="20"/>
        </w:rPr>
        <w:t xml:space="preserve"> </w:t>
      </w:r>
      <w:r w:rsidRPr="000977F7">
        <w:rPr>
          <w:b w:val="0"/>
          <w:bCs/>
          <w:color w:val="auto"/>
          <w:sz w:val="20"/>
          <w:szCs w:val="20"/>
        </w:rPr>
        <w:t>частини</w:t>
      </w:r>
      <w:r w:rsidRPr="000977F7">
        <w:rPr>
          <w:b w:val="0"/>
          <w:bCs/>
          <w:color w:val="auto"/>
          <w:spacing w:val="1"/>
          <w:sz w:val="20"/>
          <w:szCs w:val="20"/>
        </w:rPr>
        <w:t xml:space="preserve"> </w:t>
      </w:r>
      <w:r w:rsidRPr="000977F7">
        <w:rPr>
          <w:b w:val="0"/>
          <w:bCs/>
          <w:color w:val="auto"/>
          <w:sz w:val="20"/>
          <w:szCs w:val="20"/>
        </w:rPr>
        <w:t>або</w:t>
      </w:r>
      <w:r w:rsidRPr="000977F7">
        <w:rPr>
          <w:b w:val="0"/>
          <w:bCs/>
          <w:color w:val="auto"/>
          <w:spacing w:val="1"/>
          <w:sz w:val="20"/>
          <w:szCs w:val="20"/>
        </w:rPr>
        <w:t xml:space="preserve"> </w:t>
      </w:r>
      <w:r w:rsidRPr="000977F7">
        <w:rPr>
          <w:b w:val="0"/>
          <w:bCs/>
          <w:color w:val="auto"/>
          <w:sz w:val="20"/>
          <w:szCs w:val="20"/>
        </w:rPr>
        <w:t>всього</w:t>
      </w:r>
      <w:r w:rsidRPr="000977F7">
        <w:rPr>
          <w:b w:val="0"/>
          <w:bCs/>
          <w:color w:val="auto"/>
          <w:spacing w:val="1"/>
          <w:sz w:val="20"/>
          <w:szCs w:val="20"/>
        </w:rPr>
        <w:t xml:space="preserve"> </w:t>
      </w:r>
      <w:r w:rsidRPr="000977F7">
        <w:rPr>
          <w:b w:val="0"/>
          <w:bCs/>
          <w:color w:val="auto"/>
          <w:sz w:val="20"/>
          <w:szCs w:val="20"/>
        </w:rPr>
        <w:t>виробничого</w:t>
      </w:r>
      <w:r w:rsidRPr="000977F7">
        <w:rPr>
          <w:b w:val="0"/>
          <w:bCs/>
          <w:color w:val="auto"/>
          <w:spacing w:val="1"/>
          <w:sz w:val="20"/>
          <w:szCs w:val="20"/>
        </w:rPr>
        <w:t xml:space="preserve"> </w:t>
      </w:r>
      <w:r w:rsidRPr="000977F7">
        <w:rPr>
          <w:b w:val="0"/>
          <w:bCs/>
          <w:color w:val="auto"/>
          <w:sz w:val="20"/>
          <w:szCs w:val="20"/>
        </w:rPr>
        <w:t>процесу,</w:t>
      </w:r>
      <w:r w:rsidRPr="000977F7">
        <w:rPr>
          <w:b w:val="0"/>
          <w:bCs/>
          <w:color w:val="auto"/>
          <w:spacing w:val="50"/>
          <w:sz w:val="20"/>
          <w:szCs w:val="20"/>
        </w:rPr>
        <w:t xml:space="preserve"> </w:t>
      </w:r>
      <w:r w:rsidRPr="000977F7">
        <w:rPr>
          <w:b w:val="0"/>
          <w:bCs/>
          <w:color w:val="auto"/>
          <w:sz w:val="20"/>
          <w:szCs w:val="20"/>
        </w:rPr>
        <w:t>в</w:t>
      </w:r>
      <w:r w:rsidRPr="000977F7">
        <w:rPr>
          <w:b w:val="0"/>
          <w:bCs/>
          <w:color w:val="auto"/>
          <w:spacing w:val="1"/>
          <w:sz w:val="20"/>
          <w:szCs w:val="20"/>
        </w:rPr>
        <w:t xml:space="preserve"> </w:t>
      </w:r>
      <w:r w:rsidRPr="000977F7">
        <w:rPr>
          <w:b w:val="0"/>
          <w:bCs/>
          <w:color w:val="auto"/>
          <w:sz w:val="20"/>
          <w:szCs w:val="20"/>
        </w:rPr>
        <w:t>якій усі виробничі операції подані в послідовності і</w:t>
      </w:r>
      <w:r w:rsidRPr="000977F7">
        <w:rPr>
          <w:b w:val="0"/>
          <w:bCs/>
          <w:color w:val="auto"/>
          <w:spacing w:val="1"/>
          <w:sz w:val="20"/>
          <w:szCs w:val="20"/>
        </w:rPr>
        <w:t xml:space="preserve"> </w:t>
      </w:r>
      <w:r w:rsidRPr="000977F7">
        <w:rPr>
          <w:b w:val="0"/>
          <w:bCs/>
          <w:color w:val="auto"/>
          <w:sz w:val="20"/>
          <w:szCs w:val="20"/>
        </w:rPr>
        <w:t>взаємозв’язку</w:t>
      </w:r>
    </w:p>
    <w:p w14:paraId="16BB602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2960</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2D648EC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ТРАНСПОРТУВАННЯ</w:t>
      </w:r>
      <w:r w:rsidRPr="000977F7">
        <w:rPr>
          <w:color w:val="auto"/>
          <w:spacing w:val="-6"/>
          <w:sz w:val="20"/>
          <w:szCs w:val="20"/>
        </w:rPr>
        <w:t xml:space="preserve"> </w:t>
      </w:r>
      <w:r w:rsidRPr="000977F7">
        <w:rPr>
          <w:color w:val="auto"/>
          <w:sz w:val="20"/>
          <w:szCs w:val="20"/>
        </w:rPr>
        <w:t>ПРОДУКЦІЇ</w:t>
      </w:r>
      <w:r w:rsidRPr="000977F7">
        <w:rPr>
          <w:color w:val="auto"/>
          <w:spacing w:val="-3"/>
          <w:sz w:val="20"/>
          <w:szCs w:val="20"/>
        </w:rPr>
        <w:t xml:space="preserve"> </w:t>
      </w:r>
      <w:r w:rsidRPr="000977F7">
        <w:rPr>
          <w:color w:val="auto"/>
          <w:sz w:val="20"/>
          <w:szCs w:val="20"/>
        </w:rPr>
        <w:t>–</w:t>
      </w:r>
    </w:p>
    <w:p w14:paraId="05C68DF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Переміщення продукції в заданому стані з використанням, в разі потреби, транспортних вантажопідіймальних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засобів,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починається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навантаження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закінчується</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розвантаженням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місці</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призначення</w:t>
      </w:r>
    </w:p>
    <w:p w14:paraId="2D40E12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ТРАНСФЕРТНІ</w:t>
      </w:r>
      <w:r w:rsidRPr="000977F7">
        <w:rPr>
          <w:color w:val="auto"/>
          <w:spacing w:val="-5"/>
          <w:sz w:val="20"/>
          <w:szCs w:val="20"/>
        </w:rPr>
        <w:t xml:space="preserve"> </w:t>
      </w:r>
      <w:r w:rsidRPr="000977F7">
        <w:rPr>
          <w:color w:val="auto"/>
          <w:sz w:val="20"/>
          <w:szCs w:val="20"/>
        </w:rPr>
        <w:t>ЦІНИ –</w:t>
      </w:r>
    </w:p>
    <w:p w14:paraId="2D0A2CE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Вид цін</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 міжнародному товарообігу,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використовуваний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обміну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товарами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межах</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міжнародних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транснаціональних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організацій,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тому</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числі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між</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іншими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підрозділами,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розташованими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різних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країнах</w:t>
      </w:r>
    </w:p>
    <w:p w14:paraId="7A6A237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3293</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95</w:t>
      </w:r>
    </w:p>
    <w:p w14:paraId="54DF5BE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ТРАНСФОРМАТОРНИЙ</w:t>
      </w:r>
      <w:r w:rsidRPr="000977F7">
        <w:rPr>
          <w:color w:val="auto"/>
          <w:spacing w:val="-7"/>
          <w:sz w:val="20"/>
          <w:szCs w:val="20"/>
        </w:rPr>
        <w:t xml:space="preserve"> </w:t>
      </w:r>
      <w:r w:rsidRPr="000977F7">
        <w:rPr>
          <w:color w:val="auto"/>
          <w:sz w:val="20"/>
          <w:szCs w:val="20"/>
        </w:rPr>
        <w:t>МЕТОД</w:t>
      </w:r>
      <w:r w:rsidRPr="000977F7">
        <w:rPr>
          <w:color w:val="auto"/>
          <w:spacing w:val="-2"/>
          <w:sz w:val="20"/>
          <w:szCs w:val="20"/>
        </w:rPr>
        <w:t xml:space="preserve"> </w:t>
      </w:r>
      <w:r w:rsidRPr="000977F7">
        <w:rPr>
          <w:color w:val="auto"/>
          <w:sz w:val="20"/>
          <w:szCs w:val="20"/>
        </w:rPr>
        <w:t>–</w:t>
      </w:r>
    </w:p>
    <w:p w14:paraId="17D4A3E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Метод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неруйнівного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контролю,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ґрунтується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реєстрації електромагнітного поля вихрових струмів,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які наводяться збуджувальною котушкою в струмопровідному об’єкті, за зміною електрорушійної сили на</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затискачах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вимірювальної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котушки</w:t>
      </w:r>
    </w:p>
    <w:p w14:paraId="539F99BF"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uk-UA"/>
        </w:rPr>
      </w:pPr>
      <w:r w:rsidRPr="004D2D14">
        <w:rPr>
          <w:rFonts w:asciiTheme="majorHAnsi" w:hAnsiTheme="majorHAnsi"/>
          <w:i/>
          <w:sz w:val="20"/>
          <w:szCs w:val="20"/>
          <w:lang w:val="uk-UA"/>
        </w:rPr>
        <w:t>ДСТУ 2865 – 94</w:t>
      </w:r>
    </w:p>
    <w:p w14:paraId="2CDA1845"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uk-UA"/>
        </w:rPr>
      </w:pPr>
      <w:r w:rsidRPr="004D2D14">
        <w:rPr>
          <w:rFonts w:asciiTheme="majorHAnsi" w:hAnsiTheme="majorHAnsi"/>
          <w:b/>
          <w:spacing w:val="-1"/>
          <w:sz w:val="20"/>
          <w:szCs w:val="20"/>
          <w:lang w:val="uk-UA"/>
        </w:rPr>
        <w:t xml:space="preserve">ТРЕНУВАННЯ </w:t>
      </w:r>
      <w:r w:rsidRPr="004D2D14">
        <w:rPr>
          <w:rFonts w:asciiTheme="majorHAnsi" w:hAnsiTheme="majorHAnsi"/>
          <w:b/>
          <w:sz w:val="20"/>
          <w:szCs w:val="20"/>
          <w:lang w:val="uk-UA"/>
        </w:rPr>
        <w:t>–</w:t>
      </w:r>
    </w:p>
    <w:p w14:paraId="45E1C76A"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0977F7">
        <w:rPr>
          <w:rFonts w:asciiTheme="majorHAnsi" w:hAnsiTheme="majorHAnsi"/>
          <w:sz w:val="20"/>
          <w:szCs w:val="20"/>
        </w:rPr>
        <w:t>TRAINING</w:t>
      </w:r>
      <w:r w:rsidRPr="004D2D14">
        <w:rPr>
          <w:rFonts w:asciiTheme="majorHAnsi" w:hAnsiTheme="majorHAnsi"/>
          <w:sz w:val="20"/>
          <w:szCs w:val="20"/>
          <w:lang w:val="uk-UA"/>
        </w:rPr>
        <w:t xml:space="preserve"> –</w:t>
      </w:r>
    </w:p>
    <w:p w14:paraId="01ABF7C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Періодичне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навантажування об’єкта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метою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підвищення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опору</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втомі</w:t>
      </w:r>
    </w:p>
    <w:p w14:paraId="3D4CCDE7"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50"/>
          <w:sz w:val="20"/>
          <w:szCs w:val="20"/>
        </w:rPr>
        <w:t xml:space="preserve"> </w:t>
      </w:r>
      <w:r w:rsidRPr="000977F7">
        <w:rPr>
          <w:rFonts w:asciiTheme="majorHAnsi" w:hAnsiTheme="majorHAnsi"/>
          <w:i/>
          <w:sz w:val="20"/>
          <w:szCs w:val="20"/>
        </w:rPr>
        <w:t>2444 - 94</w:t>
      </w:r>
    </w:p>
    <w:p w14:paraId="4683FD7F"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ТРЕТЯ СТОРОНА –</w:t>
      </w:r>
    </w:p>
    <w:p w14:paraId="50A0D52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THIRD</w:t>
      </w:r>
      <w:r w:rsidRPr="000977F7">
        <w:rPr>
          <w:rFonts w:asciiTheme="majorHAnsi" w:hAnsiTheme="majorHAnsi"/>
          <w:spacing w:val="-1"/>
          <w:sz w:val="20"/>
          <w:szCs w:val="20"/>
        </w:rPr>
        <w:t xml:space="preserve"> </w:t>
      </w:r>
      <w:r w:rsidRPr="000977F7">
        <w:rPr>
          <w:rFonts w:asciiTheme="majorHAnsi" w:hAnsiTheme="majorHAnsi"/>
          <w:sz w:val="20"/>
          <w:szCs w:val="20"/>
        </w:rPr>
        <w:t>PARTY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51E98E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Особа чи орган, що визнані незалежними від сторін,</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2"/>
          <w:sz w:val="20"/>
          <w:szCs w:val="20"/>
        </w:rPr>
        <w:t xml:space="preserve"> </w:t>
      </w:r>
      <w:r w:rsidRPr="000977F7">
        <w:rPr>
          <w:rFonts w:asciiTheme="majorHAnsi" w:hAnsiTheme="majorHAnsi"/>
          <w:sz w:val="20"/>
          <w:szCs w:val="20"/>
        </w:rPr>
        <w:t>беруть участь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питанні,</w:t>
      </w:r>
      <w:r w:rsidRPr="000977F7">
        <w:rPr>
          <w:rFonts w:asciiTheme="majorHAnsi" w:hAnsiTheme="majorHAnsi"/>
          <w:spacing w:val="2"/>
          <w:sz w:val="20"/>
          <w:szCs w:val="20"/>
        </w:rPr>
        <w:t xml:space="preserve"> </w:t>
      </w:r>
      <w:r w:rsidRPr="000977F7">
        <w:rPr>
          <w:rFonts w:asciiTheme="majorHAnsi" w:hAnsiTheme="majorHAnsi"/>
          <w:sz w:val="20"/>
          <w:szCs w:val="20"/>
        </w:rPr>
        <w:t>яке</w:t>
      </w:r>
      <w:r w:rsidRPr="000977F7">
        <w:rPr>
          <w:rFonts w:asciiTheme="majorHAnsi" w:hAnsiTheme="majorHAnsi"/>
          <w:spacing w:val="-1"/>
          <w:sz w:val="20"/>
          <w:szCs w:val="20"/>
        </w:rPr>
        <w:t xml:space="preserve"> </w:t>
      </w:r>
      <w:r w:rsidRPr="000977F7">
        <w:rPr>
          <w:rFonts w:asciiTheme="majorHAnsi" w:hAnsiTheme="majorHAnsi"/>
          <w:sz w:val="20"/>
          <w:szCs w:val="20"/>
        </w:rPr>
        <w:t>розглядається</w:t>
      </w:r>
    </w:p>
    <w:p w14:paraId="41DCBE4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2844 - 94</w:t>
      </w:r>
    </w:p>
    <w:p w14:paraId="4C7D1E0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Особа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орган,</w:t>
      </w:r>
      <w:r w:rsidRPr="000977F7">
        <w:rPr>
          <w:rFonts w:asciiTheme="majorHAnsi" w:hAnsiTheme="majorHAnsi"/>
          <w:spacing w:val="1"/>
          <w:sz w:val="20"/>
          <w:szCs w:val="20"/>
        </w:rPr>
        <w:t xml:space="preserve"> </w:t>
      </w:r>
      <w:r w:rsidRPr="000977F7">
        <w:rPr>
          <w:rFonts w:asciiTheme="majorHAnsi" w:hAnsiTheme="majorHAnsi"/>
          <w:sz w:val="20"/>
          <w:szCs w:val="20"/>
        </w:rPr>
        <w:t>визнані</w:t>
      </w:r>
      <w:r w:rsidRPr="000977F7">
        <w:rPr>
          <w:rFonts w:asciiTheme="majorHAnsi" w:hAnsiTheme="majorHAnsi"/>
          <w:spacing w:val="1"/>
          <w:sz w:val="20"/>
          <w:szCs w:val="20"/>
        </w:rPr>
        <w:t xml:space="preserve"> </w:t>
      </w:r>
      <w:r w:rsidRPr="000977F7">
        <w:rPr>
          <w:rFonts w:asciiTheme="majorHAnsi" w:hAnsiTheme="majorHAnsi"/>
          <w:sz w:val="20"/>
          <w:szCs w:val="20"/>
        </w:rPr>
        <w:t>незалежними</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сторін учасниць,</w:t>
      </w:r>
      <w:r w:rsidRPr="000977F7">
        <w:rPr>
          <w:rFonts w:asciiTheme="majorHAnsi" w:hAnsiTheme="majorHAnsi"/>
          <w:spacing w:val="-1"/>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розгляду</w:t>
      </w:r>
      <w:r w:rsidRPr="000977F7">
        <w:rPr>
          <w:rFonts w:asciiTheme="majorHAnsi" w:hAnsiTheme="majorHAnsi"/>
          <w:spacing w:val="-2"/>
          <w:sz w:val="20"/>
          <w:szCs w:val="20"/>
        </w:rPr>
        <w:t xml:space="preserve"> </w:t>
      </w:r>
      <w:r w:rsidRPr="000977F7">
        <w:rPr>
          <w:rFonts w:asciiTheme="majorHAnsi" w:hAnsiTheme="majorHAnsi"/>
          <w:sz w:val="20"/>
          <w:szCs w:val="20"/>
        </w:rPr>
        <w:t>певного питання</w:t>
      </w:r>
    </w:p>
    <w:p w14:paraId="7D8701B9" w14:textId="02C11CDC"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r w:rsidR="00C10197">
        <w:rPr>
          <w:rFonts w:asciiTheme="majorHAnsi" w:hAnsiTheme="majorHAnsi"/>
          <w:sz w:val="20"/>
          <w:szCs w:val="20"/>
          <w:lang w:val="uk-UA"/>
        </w:rPr>
        <w:t xml:space="preserve"> </w:t>
      </w:r>
      <w:r w:rsidRPr="000977F7">
        <w:rPr>
          <w:rFonts w:asciiTheme="majorHAnsi" w:hAnsiTheme="majorHAnsi"/>
          <w:sz w:val="20"/>
          <w:szCs w:val="20"/>
        </w:rPr>
        <w:t>Сторони-учасниці,</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правило,</w:t>
      </w:r>
      <w:r w:rsidRPr="000977F7">
        <w:rPr>
          <w:rFonts w:asciiTheme="majorHAnsi" w:hAnsiTheme="majorHAnsi"/>
          <w:spacing w:val="1"/>
          <w:sz w:val="20"/>
          <w:szCs w:val="20"/>
        </w:rPr>
        <w:t xml:space="preserve"> </w:t>
      </w:r>
      <w:r w:rsidRPr="000977F7">
        <w:rPr>
          <w:rFonts w:asciiTheme="majorHAnsi" w:hAnsiTheme="majorHAnsi"/>
          <w:sz w:val="20"/>
          <w:szCs w:val="20"/>
        </w:rPr>
        <w:t>представляють</w:t>
      </w:r>
      <w:r w:rsidRPr="000977F7">
        <w:rPr>
          <w:rFonts w:asciiTheme="majorHAnsi" w:hAnsiTheme="majorHAnsi"/>
          <w:spacing w:val="1"/>
          <w:sz w:val="20"/>
          <w:szCs w:val="20"/>
        </w:rPr>
        <w:t xml:space="preserve"> </w:t>
      </w:r>
      <w:r w:rsidRPr="000977F7">
        <w:rPr>
          <w:rFonts w:asciiTheme="majorHAnsi" w:hAnsiTheme="majorHAnsi"/>
          <w:sz w:val="20"/>
          <w:szCs w:val="20"/>
        </w:rPr>
        <w:t>інтереси</w:t>
      </w:r>
      <w:r w:rsidRPr="000977F7">
        <w:rPr>
          <w:rFonts w:asciiTheme="majorHAnsi" w:hAnsiTheme="majorHAnsi"/>
          <w:spacing w:val="1"/>
          <w:sz w:val="20"/>
          <w:szCs w:val="20"/>
        </w:rPr>
        <w:t xml:space="preserve"> </w:t>
      </w:r>
      <w:r w:rsidRPr="000977F7">
        <w:rPr>
          <w:rFonts w:asciiTheme="majorHAnsi" w:hAnsiTheme="majorHAnsi"/>
          <w:sz w:val="20"/>
          <w:szCs w:val="20"/>
        </w:rPr>
        <w:t>постачальника</w:t>
      </w:r>
      <w:r w:rsidRPr="000977F7">
        <w:rPr>
          <w:rFonts w:asciiTheme="majorHAnsi" w:hAnsiTheme="majorHAnsi"/>
          <w:spacing w:val="1"/>
          <w:sz w:val="20"/>
          <w:szCs w:val="20"/>
        </w:rPr>
        <w:t xml:space="preserve"> </w:t>
      </w:r>
      <w:r w:rsidRPr="000977F7">
        <w:rPr>
          <w:rFonts w:asciiTheme="majorHAnsi" w:hAnsiTheme="majorHAnsi"/>
          <w:sz w:val="20"/>
          <w:szCs w:val="20"/>
        </w:rPr>
        <w:t>(перша</w:t>
      </w:r>
      <w:r w:rsidRPr="000977F7">
        <w:rPr>
          <w:rFonts w:asciiTheme="majorHAnsi" w:hAnsiTheme="majorHAnsi"/>
          <w:spacing w:val="1"/>
          <w:sz w:val="20"/>
          <w:szCs w:val="20"/>
        </w:rPr>
        <w:t xml:space="preserve"> </w:t>
      </w:r>
      <w:r w:rsidRPr="000977F7">
        <w:rPr>
          <w:rFonts w:asciiTheme="majorHAnsi" w:hAnsiTheme="majorHAnsi"/>
          <w:sz w:val="20"/>
          <w:szCs w:val="20"/>
        </w:rPr>
        <w:t>сторона)</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споживача</w:t>
      </w:r>
      <w:r w:rsidRPr="000977F7">
        <w:rPr>
          <w:rFonts w:asciiTheme="majorHAnsi" w:hAnsiTheme="majorHAnsi"/>
          <w:spacing w:val="1"/>
          <w:sz w:val="20"/>
          <w:szCs w:val="20"/>
        </w:rPr>
        <w:t xml:space="preserve"> </w:t>
      </w:r>
      <w:r w:rsidRPr="000977F7">
        <w:rPr>
          <w:rFonts w:asciiTheme="majorHAnsi" w:hAnsiTheme="majorHAnsi"/>
          <w:sz w:val="20"/>
          <w:szCs w:val="20"/>
        </w:rPr>
        <w:t>(друга</w:t>
      </w:r>
      <w:r w:rsidRPr="000977F7">
        <w:rPr>
          <w:rFonts w:asciiTheme="majorHAnsi" w:hAnsiTheme="majorHAnsi"/>
          <w:spacing w:val="-1"/>
          <w:sz w:val="20"/>
          <w:szCs w:val="20"/>
        </w:rPr>
        <w:t xml:space="preserve"> </w:t>
      </w:r>
      <w:r w:rsidRPr="000977F7">
        <w:rPr>
          <w:rFonts w:asciiTheme="majorHAnsi" w:hAnsiTheme="majorHAnsi"/>
          <w:sz w:val="20"/>
          <w:szCs w:val="20"/>
        </w:rPr>
        <w:t>сторона)</w:t>
      </w:r>
    </w:p>
    <w:p w14:paraId="3F5A0FD1"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pacing w:val="-7"/>
          <w:w w:val="95"/>
          <w:sz w:val="20"/>
          <w:szCs w:val="20"/>
        </w:rPr>
        <w:t>ДСТУISO/IEC</w:t>
      </w:r>
      <w:r w:rsidRPr="000977F7">
        <w:rPr>
          <w:rFonts w:asciiTheme="majorHAnsi" w:hAnsiTheme="majorHAnsi"/>
          <w:i/>
          <w:iCs/>
          <w:spacing w:val="-27"/>
          <w:w w:val="95"/>
          <w:sz w:val="20"/>
          <w:szCs w:val="20"/>
        </w:rPr>
        <w:t xml:space="preserve"> </w:t>
      </w:r>
      <w:r w:rsidRPr="000977F7">
        <w:rPr>
          <w:rFonts w:asciiTheme="majorHAnsi" w:hAnsiTheme="majorHAnsi"/>
          <w:i/>
          <w:iCs/>
          <w:spacing w:val="-6"/>
          <w:w w:val="95"/>
          <w:sz w:val="20"/>
          <w:szCs w:val="20"/>
        </w:rPr>
        <w:t>17000:2007</w:t>
      </w:r>
    </w:p>
    <w:p w14:paraId="7D1D974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ТРИБОЕЛЕКТРИЧНИЙ</w:t>
      </w:r>
      <w:r w:rsidRPr="000977F7">
        <w:rPr>
          <w:color w:val="auto"/>
          <w:spacing w:val="-3"/>
          <w:sz w:val="20"/>
          <w:szCs w:val="20"/>
        </w:rPr>
        <w:t xml:space="preserve"> </w:t>
      </w:r>
      <w:r w:rsidRPr="000977F7">
        <w:rPr>
          <w:color w:val="auto"/>
          <w:sz w:val="20"/>
          <w:szCs w:val="20"/>
        </w:rPr>
        <w:t>МЕТОД</w:t>
      </w:r>
      <w:r w:rsidRPr="000977F7">
        <w:rPr>
          <w:color w:val="auto"/>
          <w:spacing w:val="-1"/>
          <w:sz w:val="20"/>
          <w:szCs w:val="20"/>
        </w:rPr>
        <w:t xml:space="preserve"> </w:t>
      </w:r>
      <w:r w:rsidRPr="000977F7">
        <w:rPr>
          <w:color w:val="auto"/>
          <w:sz w:val="20"/>
          <w:szCs w:val="20"/>
        </w:rPr>
        <w:t>–</w:t>
      </w:r>
    </w:p>
    <w:p w14:paraId="734123C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електричного неруйнівного контролю, що ґрунтується на реєстрації величини електричних зарядів,</w:t>
      </w:r>
      <w:r w:rsidRPr="000977F7">
        <w:rPr>
          <w:rFonts w:asciiTheme="majorHAnsi" w:hAnsiTheme="majorHAnsi"/>
          <w:spacing w:val="1"/>
          <w:sz w:val="20"/>
          <w:szCs w:val="20"/>
        </w:rPr>
        <w:t xml:space="preserve"> </w:t>
      </w:r>
      <w:r w:rsidRPr="000977F7">
        <w:rPr>
          <w:rFonts w:asciiTheme="majorHAnsi" w:hAnsiTheme="majorHAnsi"/>
          <w:sz w:val="20"/>
          <w:szCs w:val="20"/>
        </w:rPr>
        <w:t>які виникають в об’єкті контролю під час тертя різнорідних</w:t>
      </w:r>
      <w:r w:rsidRPr="000977F7">
        <w:rPr>
          <w:rFonts w:asciiTheme="majorHAnsi" w:hAnsiTheme="majorHAnsi"/>
          <w:spacing w:val="-2"/>
          <w:sz w:val="20"/>
          <w:szCs w:val="20"/>
        </w:rPr>
        <w:t xml:space="preserve"> </w:t>
      </w:r>
      <w:r w:rsidRPr="000977F7">
        <w:rPr>
          <w:rFonts w:asciiTheme="majorHAnsi" w:hAnsiTheme="majorHAnsi"/>
          <w:sz w:val="20"/>
          <w:szCs w:val="20"/>
        </w:rPr>
        <w:t>матеріалів</w:t>
      </w:r>
    </w:p>
    <w:p w14:paraId="25078BDA"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2865 – 94</w:t>
      </w:r>
    </w:p>
    <w:p w14:paraId="2D8CE0F8"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1"/>
          <w:sz w:val="20"/>
          <w:szCs w:val="20"/>
          <w:lang w:val="en-US"/>
        </w:rPr>
      </w:pPr>
      <w:r w:rsidRPr="004D2D14">
        <w:rPr>
          <w:rFonts w:asciiTheme="majorHAnsi" w:hAnsiTheme="majorHAnsi"/>
          <w:i/>
          <w:spacing w:val="-47"/>
          <w:sz w:val="20"/>
          <w:szCs w:val="20"/>
          <w:lang w:val="en-US"/>
        </w:rPr>
        <w:t xml:space="preserve"> </w:t>
      </w:r>
      <w:r w:rsidRPr="000977F7">
        <w:rPr>
          <w:rFonts w:asciiTheme="majorHAnsi" w:hAnsiTheme="majorHAnsi"/>
          <w:b/>
          <w:sz w:val="20"/>
          <w:szCs w:val="20"/>
        </w:rPr>
        <w:t>ТРИВАЛА</w:t>
      </w:r>
      <w:r w:rsidRPr="004D2D14">
        <w:rPr>
          <w:rFonts w:asciiTheme="majorHAnsi" w:hAnsiTheme="majorHAnsi"/>
          <w:b/>
          <w:sz w:val="20"/>
          <w:szCs w:val="20"/>
          <w:lang w:val="en-US"/>
        </w:rPr>
        <w:t xml:space="preserve"> </w:t>
      </w:r>
      <w:r w:rsidRPr="000977F7">
        <w:rPr>
          <w:rFonts w:asciiTheme="majorHAnsi" w:hAnsiTheme="majorHAnsi"/>
          <w:b/>
          <w:sz w:val="20"/>
          <w:szCs w:val="20"/>
        </w:rPr>
        <w:t>МІЦНІСТЬ</w:t>
      </w:r>
      <w:r w:rsidRPr="004D2D14">
        <w:rPr>
          <w:rFonts w:asciiTheme="majorHAnsi" w:hAnsiTheme="majorHAnsi"/>
          <w:b/>
          <w:sz w:val="20"/>
          <w:szCs w:val="20"/>
          <w:lang w:val="en-US"/>
        </w:rPr>
        <w:t xml:space="preserve"> –</w:t>
      </w:r>
      <w:r w:rsidRPr="004D2D14">
        <w:rPr>
          <w:rFonts w:asciiTheme="majorHAnsi" w:hAnsiTheme="majorHAnsi"/>
          <w:b/>
          <w:spacing w:val="1"/>
          <w:sz w:val="20"/>
          <w:szCs w:val="20"/>
          <w:lang w:val="en-US"/>
        </w:rPr>
        <w:t xml:space="preserve"> </w:t>
      </w:r>
    </w:p>
    <w:p w14:paraId="109F5B78"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LONGTIME STRENGTH</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4C84C8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Міцність</w:t>
      </w:r>
      <w:r w:rsidRPr="000977F7">
        <w:rPr>
          <w:rFonts w:asciiTheme="majorHAnsi" w:hAnsiTheme="majorHAnsi"/>
          <w:spacing w:val="-5"/>
          <w:sz w:val="20"/>
          <w:szCs w:val="20"/>
        </w:rPr>
        <w:t xml:space="preserve"> </w:t>
      </w:r>
      <w:r w:rsidRPr="000977F7">
        <w:rPr>
          <w:rFonts w:asciiTheme="majorHAnsi" w:hAnsiTheme="majorHAnsi"/>
          <w:sz w:val="20"/>
          <w:szCs w:val="20"/>
        </w:rPr>
        <w:t>матеріалу</w:t>
      </w:r>
      <w:r w:rsidRPr="000977F7">
        <w:rPr>
          <w:rFonts w:asciiTheme="majorHAnsi" w:hAnsiTheme="majorHAnsi"/>
          <w:spacing w:val="-5"/>
          <w:sz w:val="20"/>
          <w:szCs w:val="20"/>
        </w:rPr>
        <w:t xml:space="preserve"> </w:t>
      </w:r>
      <w:r w:rsidRPr="000977F7">
        <w:rPr>
          <w:rFonts w:asciiTheme="majorHAnsi" w:hAnsiTheme="majorHAnsi"/>
          <w:sz w:val="20"/>
          <w:szCs w:val="20"/>
        </w:rPr>
        <w:t>за</w:t>
      </w:r>
      <w:r w:rsidRPr="000977F7">
        <w:rPr>
          <w:rFonts w:asciiTheme="majorHAnsi" w:hAnsiTheme="majorHAnsi"/>
          <w:spacing w:val="-4"/>
          <w:sz w:val="20"/>
          <w:szCs w:val="20"/>
        </w:rPr>
        <w:t xml:space="preserve"> </w:t>
      </w:r>
      <w:r w:rsidRPr="000977F7">
        <w:rPr>
          <w:rFonts w:asciiTheme="majorHAnsi" w:hAnsiTheme="majorHAnsi"/>
          <w:sz w:val="20"/>
          <w:szCs w:val="20"/>
        </w:rPr>
        <w:t>довгочасного</w:t>
      </w:r>
      <w:r w:rsidRPr="000977F7">
        <w:rPr>
          <w:rFonts w:asciiTheme="majorHAnsi" w:hAnsiTheme="majorHAnsi"/>
          <w:spacing w:val="-3"/>
          <w:sz w:val="20"/>
          <w:szCs w:val="20"/>
        </w:rPr>
        <w:t xml:space="preserve"> </w:t>
      </w:r>
      <w:r w:rsidRPr="000977F7">
        <w:rPr>
          <w:rFonts w:asciiTheme="majorHAnsi" w:hAnsiTheme="majorHAnsi"/>
          <w:sz w:val="20"/>
          <w:szCs w:val="20"/>
        </w:rPr>
        <w:t>навантажування</w:t>
      </w:r>
    </w:p>
    <w:p w14:paraId="1CFDB8E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2825 - 94</w:t>
      </w:r>
    </w:p>
    <w:p w14:paraId="4CAA805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ТРИВАЛИЙ РЕЖИМ РОБОТИ –</w:t>
      </w:r>
    </w:p>
    <w:p w14:paraId="440AFD1F"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Здатність електродвигуна з інтегрованою системою охолодження працювати з номінальною потужністю без перебоїв в умовах температур, які не перевищують номінальної граничної температури;</w:t>
      </w:r>
    </w:p>
    <w:p w14:paraId="749D74D6"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Технічний регламент щодо вимог до екодизайну для електродвигунів</w:t>
      </w:r>
    </w:p>
    <w:p w14:paraId="5798292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ТРИВАЛІ</w:t>
      </w:r>
      <w:r w:rsidRPr="000977F7">
        <w:rPr>
          <w:color w:val="auto"/>
          <w:spacing w:val="-6"/>
          <w:sz w:val="20"/>
          <w:szCs w:val="20"/>
        </w:rPr>
        <w:t xml:space="preserve"> </w:t>
      </w:r>
      <w:r w:rsidRPr="000977F7">
        <w:rPr>
          <w:color w:val="auto"/>
          <w:sz w:val="20"/>
          <w:szCs w:val="20"/>
        </w:rPr>
        <w:t>ВИПРОБУВАННЯ</w:t>
      </w:r>
      <w:r w:rsidRPr="000977F7">
        <w:rPr>
          <w:color w:val="auto"/>
          <w:spacing w:val="-2"/>
          <w:sz w:val="20"/>
          <w:szCs w:val="20"/>
        </w:rPr>
        <w:t xml:space="preserve"> </w:t>
      </w:r>
      <w:r w:rsidRPr="000977F7">
        <w:rPr>
          <w:color w:val="auto"/>
          <w:sz w:val="20"/>
          <w:szCs w:val="20"/>
        </w:rPr>
        <w:t>–</w:t>
      </w:r>
    </w:p>
    <w:p w14:paraId="036ECCB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LONG</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TERM</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TEST</w:t>
      </w:r>
    </w:p>
    <w:p w14:paraId="4CAFD694"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lastRenderedPageBreak/>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2824</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10C7C6A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ТРИВАЛІСТЬ</w:t>
      </w:r>
      <w:r w:rsidRPr="000977F7">
        <w:rPr>
          <w:color w:val="auto"/>
          <w:spacing w:val="-4"/>
          <w:sz w:val="20"/>
          <w:szCs w:val="20"/>
        </w:rPr>
        <w:t xml:space="preserve"> </w:t>
      </w:r>
      <w:r w:rsidRPr="000977F7">
        <w:rPr>
          <w:color w:val="auto"/>
          <w:sz w:val="20"/>
          <w:szCs w:val="20"/>
        </w:rPr>
        <w:t>АКТИВНОГО</w:t>
      </w:r>
      <w:r w:rsidRPr="000977F7">
        <w:rPr>
          <w:color w:val="auto"/>
          <w:spacing w:val="-4"/>
          <w:sz w:val="20"/>
          <w:szCs w:val="20"/>
        </w:rPr>
        <w:t xml:space="preserve"> </w:t>
      </w:r>
      <w:r w:rsidRPr="000977F7">
        <w:rPr>
          <w:color w:val="auto"/>
          <w:sz w:val="20"/>
          <w:szCs w:val="20"/>
        </w:rPr>
        <w:t>РЕМОНТУ</w:t>
      </w:r>
      <w:r w:rsidRPr="000977F7">
        <w:rPr>
          <w:color w:val="auto"/>
          <w:spacing w:val="-2"/>
          <w:sz w:val="20"/>
          <w:szCs w:val="20"/>
        </w:rPr>
        <w:t xml:space="preserve"> </w:t>
      </w:r>
      <w:r w:rsidRPr="000977F7">
        <w:rPr>
          <w:color w:val="auto"/>
          <w:sz w:val="20"/>
          <w:szCs w:val="20"/>
        </w:rPr>
        <w:t>–</w:t>
      </w:r>
    </w:p>
    <w:p w14:paraId="5B1CDB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REPAIRE</w:t>
      </w:r>
      <w:r w:rsidRPr="000977F7">
        <w:rPr>
          <w:rFonts w:asciiTheme="majorHAnsi" w:hAnsiTheme="majorHAnsi"/>
          <w:spacing w:val="-2"/>
          <w:sz w:val="20"/>
          <w:szCs w:val="20"/>
        </w:rPr>
        <w:t xml:space="preserve"> </w:t>
      </w:r>
      <w:r w:rsidRPr="000977F7">
        <w:rPr>
          <w:rFonts w:asciiTheme="majorHAnsi" w:hAnsiTheme="majorHAnsi"/>
          <w:sz w:val="20"/>
          <w:szCs w:val="20"/>
        </w:rPr>
        <w:t>TIME –</w:t>
      </w:r>
    </w:p>
    <w:p w14:paraId="7D10ED0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оперативної тривалості непланового ремонту,</w:t>
      </w:r>
      <w:r w:rsidRPr="000977F7">
        <w:rPr>
          <w:rFonts w:asciiTheme="majorHAnsi" w:hAnsiTheme="majorHAnsi"/>
          <w:spacing w:val="-47"/>
          <w:sz w:val="20"/>
          <w:szCs w:val="20"/>
        </w:rPr>
        <w:t xml:space="preserve"> </w:t>
      </w:r>
      <w:r w:rsidRPr="000977F7">
        <w:rPr>
          <w:rFonts w:asciiTheme="majorHAnsi" w:hAnsiTheme="majorHAnsi"/>
          <w:sz w:val="20"/>
          <w:szCs w:val="20"/>
        </w:rPr>
        <w:t>протягом якої на об’єкті виконують операції активного ремонту</w:t>
      </w:r>
    </w:p>
    <w:p w14:paraId="0D62927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 – 94</w:t>
      </w:r>
    </w:p>
    <w:p w14:paraId="1999C68F" w14:textId="77777777" w:rsidR="0097612F" w:rsidRPr="000977F7" w:rsidRDefault="0097612F" w:rsidP="000977F7">
      <w:pPr>
        <w:tabs>
          <w:tab w:val="left" w:pos="284"/>
        </w:tabs>
        <w:spacing w:after="0" w:line="240" w:lineRule="auto"/>
        <w:ind w:left="170"/>
        <w:mirrorIndents/>
        <w:jc w:val="both"/>
        <w:rPr>
          <w:rFonts w:asciiTheme="majorHAnsi" w:hAnsiTheme="majorHAnsi"/>
          <w:b/>
          <w:bCs/>
          <w:sz w:val="20"/>
          <w:szCs w:val="20"/>
        </w:rPr>
      </w:pPr>
      <w:r w:rsidRPr="000977F7">
        <w:rPr>
          <w:rFonts w:asciiTheme="majorHAnsi" w:hAnsiTheme="majorHAnsi"/>
          <w:b/>
          <w:bCs/>
          <w:iCs/>
          <w:sz w:val="20"/>
          <w:szCs w:val="20"/>
        </w:rPr>
        <w:t>ТРИВАЛІСТЬ АУДИТІВ СЕРТИФІКАЦІЇ СИСТЕМ МЕНЕДЖМЕНТУ -</w:t>
      </w:r>
    </w:p>
    <w:p w14:paraId="3B6321EF"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Частина часу аудиту, що приділяється проведенню заходів аудиту починаючи з попередньої наради до підсумкової наради включно.</w:t>
      </w:r>
    </w:p>
    <w:p w14:paraId="65199A5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b w:val="0"/>
          <w:bCs/>
          <w:color w:val="auto"/>
          <w:sz w:val="20"/>
          <w:szCs w:val="20"/>
        </w:rPr>
        <w:t>Примітка. Заходи аудиту зазвичай включають:</w:t>
      </w:r>
    </w:p>
    <w:p w14:paraId="22424D7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b w:val="0"/>
          <w:bCs/>
          <w:color w:val="auto"/>
          <w:sz w:val="20"/>
          <w:szCs w:val="20"/>
        </w:rPr>
        <w:t>проведення попередньої наради;</w:t>
      </w:r>
    </w:p>
    <w:p w14:paraId="64A212C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b w:val="0"/>
          <w:bCs/>
          <w:color w:val="auto"/>
          <w:sz w:val="20"/>
          <w:szCs w:val="20"/>
        </w:rPr>
        <w:t>здійснення перевірки документів під час проведення аудиту;</w:t>
      </w:r>
    </w:p>
    <w:p w14:paraId="38B88DD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b w:val="0"/>
          <w:bCs/>
          <w:color w:val="auto"/>
          <w:sz w:val="20"/>
          <w:szCs w:val="20"/>
        </w:rPr>
        <w:t>спілкування під час аудиту;</w:t>
      </w:r>
    </w:p>
    <w:p w14:paraId="1B25D6C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b w:val="0"/>
          <w:bCs/>
          <w:color w:val="auto"/>
          <w:sz w:val="20"/>
          <w:szCs w:val="20"/>
        </w:rPr>
        <w:t>розподілення ролей та відповідальності супроводжувачів та спостерігачів;</w:t>
      </w:r>
    </w:p>
    <w:p w14:paraId="15AE800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b w:val="0"/>
          <w:bCs/>
          <w:color w:val="auto"/>
          <w:sz w:val="20"/>
          <w:szCs w:val="20"/>
        </w:rPr>
        <w:t>збирання та перевірка інформації;</w:t>
      </w:r>
    </w:p>
    <w:p w14:paraId="6272EC5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b w:val="0"/>
          <w:bCs/>
          <w:color w:val="auto"/>
          <w:sz w:val="20"/>
          <w:szCs w:val="20"/>
        </w:rPr>
        <w:t>формування результатів аудиту;</w:t>
      </w:r>
    </w:p>
    <w:p w14:paraId="6DE2280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b w:val="0"/>
          <w:bCs/>
          <w:color w:val="auto"/>
          <w:sz w:val="20"/>
          <w:szCs w:val="20"/>
        </w:rPr>
        <w:t>підготовка висновків аудиту;</w:t>
      </w:r>
    </w:p>
    <w:p w14:paraId="1826DE54"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проведення підсумкової наради</w:t>
      </w:r>
    </w:p>
    <w:p w14:paraId="262BF623"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ДСТУ EN ISO/IEC 17021-1:2015</w:t>
      </w:r>
    </w:p>
    <w:p w14:paraId="7F8E6A5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ТРИВАЛІСТЬ</w:t>
      </w:r>
      <w:r w:rsidRPr="000977F7">
        <w:rPr>
          <w:color w:val="auto"/>
          <w:spacing w:val="-5"/>
          <w:sz w:val="20"/>
          <w:szCs w:val="20"/>
        </w:rPr>
        <w:t xml:space="preserve"> </w:t>
      </w:r>
      <w:r w:rsidRPr="000977F7">
        <w:rPr>
          <w:color w:val="auto"/>
          <w:sz w:val="20"/>
          <w:szCs w:val="20"/>
        </w:rPr>
        <w:t>ВИПРОБУВАНЬ</w:t>
      </w:r>
      <w:r w:rsidRPr="000977F7">
        <w:rPr>
          <w:color w:val="auto"/>
          <w:spacing w:val="-2"/>
          <w:sz w:val="20"/>
          <w:szCs w:val="20"/>
        </w:rPr>
        <w:t xml:space="preserve"> </w:t>
      </w:r>
      <w:r w:rsidRPr="000977F7">
        <w:rPr>
          <w:color w:val="auto"/>
          <w:sz w:val="20"/>
          <w:szCs w:val="20"/>
        </w:rPr>
        <w:t>–</w:t>
      </w:r>
    </w:p>
    <w:p w14:paraId="15926C5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TEST TIME –</w:t>
      </w:r>
    </w:p>
    <w:p w14:paraId="2D530C4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2"/>
          <w:sz w:val="20"/>
          <w:szCs w:val="20"/>
        </w:rPr>
        <w:t>Тривалість</w:t>
      </w:r>
      <w:r w:rsidRPr="000977F7">
        <w:rPr>
          <w:rFonts w:asciiTheme="majorHAnsi" w:hAnsiTheme="majorHAnsi"/>
          <w:spacing w:val="-9"/>
          <w:sz w:val="20"/>
          <w:szCs w:val="20"/>
        </w:rPr>
        <w:t xml:space="preserve"> </w:t>
      </w:r>
      <w:r w:rsidRPr="000977F7">
        <w:rPr>
          <w:rFonts w:asciiTheme="majorHAnsi" w:hAnsiTheme="majorHAnsi"/>
          <w:spacing w:val="-1"/>
          <w:sz w:val="20"/>
          <w:szCs w:val="20"/>
        </w:rPr>
        <w:t>перебування</w:t>
      </w:r>
      <w:r w:rsidRPr="000977F7">
        <w:rPr>
          <w:rFonts w:asciiTheme="majorHAnsi" w:hAnsiTheme="majorHAnsi"/>
          <w:spacing w:val="-12"/>
          <w:sz w:val="20"/>
          <w:szCs w:val="20"/>
        </w:rPr>
        <w:t xml:space="preserve"> </w:t>
      </w:r>
      <w:r w:rsidRPr="000977F7">
        <w:rPr>
          <w:rFonts w:asciiTheme="majorHAnsi" w:hAnsiTheme="majorHAnsi"/>
          <w:spacing w:val="-1"/>
          <w:sz w:val="20"/>
          <w:szCs w:val="20"/>
        </w:rPr>
        <w:t>об’єкта</w:t>
      </w:r>
      <w:r w:rsidRPr="000977F7">
        <w:rPr>
          <w:rFonts w:asciiTheme="majorHAnsi" w:hAnsiTheme="majorHAnsi"/>
          <w:spacing w:val="-9"/>
          <w:sz w:val="20"/>
          <w:szCs w:val="20"/>
        </w:rPr>
        <w:t xml:space="preserve"> </w:t>
      </w:r>
      <w:r w:rsidRPr="000977F7">
        <w:rPr>
          <w:rFonts w:asciiTheme="majorHAnsi" w:hAnsiTheme="majorHAnsi"/>
          <w:spacing w:val="-1"/>
          <w:sz w:val="20"/>
          <w:szCs w:val="20"/>
        </w:rPr>
        <w:t>в</w:t>
      </w:r>
      <w:r w:rsidRPr="000977F7">
        <w:rPr>
          <w:rFonts w:asciiTheme="majorHAnsi" w:hAnsiTheme="majorHAnsi"/>
          <w:spacing w:val="-11"/>
          <w:sz w:val="20"/>
          <w:szCs w:val="20"/>
        </w:rPr>
        <w:t xml:space="preserve"> </w:t>
      </w:r>
      <w:r w:rsidRPr="000977F7">
        <w:rPr>
          <w:rFonts w:asciiTheme="majorHAnsi" w:hAnsiTheme="majorHAnsi"/>
          <w:spacing w:val="-1"/>
          <w:sz w:val="20"/>
          <w:szCs w:val="20"/>
        </w:rPr>
        <w:t>режимі</w:t>
      </w:r>
      <w:r w:rsidRPr="000977F7">
        <w:rPr>
          <w:rFonts w:asciiTheme="majorHAnsi" w:hAnsiTheme="majorHAnsi"/>
          <w:spacing w:val="-12"/>
          <w:sz w:val="20"/>
          <w:szCs w:val="20"/>
        </w:rPr>
        <w:t xml:space="preserve"> </w:t>
      </w:r>
      <w:r w:rsidRPr="000977F7">
        <w:rPr>
          <w:rFonts w:asciiTheme="majorHAnsi" w:hAnsiTheme="majorHAnsi"/>
          <w:spacing w:val="-1"/>
          <w:sz w:val="20"/>
          <w:szCs w:val="20"/>
        </w:rPr>
        <w:t>випробувань</w:t>
      </w:r>
    </w:p>
    <w:p w14:paraId="33F3835F" w14:textId="5EB41482"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r w:rsidR="00C10197">
        <w:rPr>
          <w:rFonts w:asciiTheme="majorHAnsi" w:hAnsiTheme="majorHAnsi"/>
          <w:sz w:val="20"/>
          <w:szCs w:val="20"/>
          <w:lang w:val="uk-UA"/>
        </w:rPr>
        <w:t xml:space="preserve"> </w:t>
      </w:r>
      <w:r w:rsidRPr="000977F7">
        <w:rPr>
          <w:rFonts w:asciiTheme="majorHAnsi" w:hAnsiTheme="majorHAnsi"/>
          <w:sz w:val="20"/>
          <w:szCs w:val="20"/>
        </w:rPr>
        <w:t>Тривалість</w:t>
      </w:r>
      <w:r w:rsidRPr="000977F7">
        <w:rPr>
          <w:rFonts w:asciiTheme="majorHAnsi" w:hAnsiTheme="majorHAnsi"/>
          <w:spacing w:val="14"/>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14"/>
          <w:sz w:val="20"/>
          <w:szCs w:val="20"/>
        </w:rPr>
        <w:t xml:space="preserve"> </w:t>
      </w:r>
      <w:r w:rsidRPr="000977F7">
        <w:rPr>
          <w:rFonts w:asciiTheme="majorHAnsi" w:hAnsiTheme="majorHAnsi"/>
          <w:sz w:val="20"/>
          <w:szCs w:val="20"/>
        </w:rPr>
        <w:t>може</w:t>
      </w:r>
      <w:r w:rsidRPr="000977F7">
        <w:rPr>
          <w:rFonts w:asciiTheme="majorHAnsi" w:hAnsiTheme="majorHAnsi"/>
          <w:spacing w:val="14"/>
          <w:sz w:val="20"/>
          <w:szCs w:val="20"/>
        </w:rPr>
        <w:t xml:space="preserve"> </w:t>
      </w:r>
      <w:r w:rsidRPr="000977F7">
        <w:rPr>
          <w:rFonts w:asciiTheme="majorHAnsi" w:hAnsiTheme="majorHAnsi"/>
          <w:sz w:val="20"/>
          <w:szCs w:val="20"/>
        </w:rPr>
        <w:t>бути</w:t>
      </w:r>
      <w:r w:rsidRPr="000977F7">
        <w:rPr>
          <w:rFonts w:asciiTheme="majorHAnsi" w:hAnsiTheme="majorHAnsi"/>
          <w:spacing w:val="12"/>
          <w:sz w:val="20"/>
          <w:szCs w:val="20"/>
        </w:rPr>
        <w:t xml:space="preserve"> </w:t>
      </w:r>
      <w:r w:rsidRPr="000977F7">
        <w:rPr>
          <w:rFonts w:asciiTheme="majorHAnsi" w:hAnsiTheme="majorHAnsi"/>
          <w:sz w:val="20"/>
          <w:szCs w:val="20"/>
        </w:rPr>
        <w:t>виражена</w:t>
      </w:r>
      <w:r w:rsidRPr="000977F7">
        <w:rPr>
          <w:rFonts w:asciiTheme="majorHAnsi" w:hAnsiTheme="majorHAnsi"/>
          <w:spacing w:val="16"/>
          <w:sz w:val="20"/>
          <w:szCs w:val="20"/>
        </w:rPr>
        <w:t xml:space="preserve"> </w:t>
      </w:r>
      <w:r w:rsidRPr="000977F7">
        <w:rPr>
          <w:rFonts w:asciiTheme="majorHAnsi" w:hAnsiTheme="majorHAnsi"/>
          <w:sz w:val="20"/>
          <w:szCs w:val="20"/>
        </w:rPr>
        <w:t>кількістю</w:t>
      </w:r>
      <w:r w:rsidRPr="000977F7">
        <w:rPr>
          <w:rFonts w:asciiTheme="majorHAnsi" w:hAnsiTheme="majorHAnsi"/>
          <w:spacing w:val="-1"/>
          <w:sz w:val="20"/>
          <w:szCs w:val="20"/>
        </w:rPr>
        <w:t xml:space="preserve"> </w:t>
      </w:r>
      <w:r w:rsidRPr="000977F7">
        <w:rPr>
          <w:rFonts w:asciiTheme="majorHAnsi" w:hAnsiTheme="majorHAnsi"/>
          <w:sz w:val="20"/>
          <w:szCs w:val="20"/>
        </w:rPr>
        <w:t>циклів</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інтервалів</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2003B4E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9407A4E"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Час</w:t>
      </w:r>
      <w:r w:rsidRPr="000977F7">
        <w:rPr>
          <w:rFonts w:asciiTheme="majorHAnsi" w:hAnsiTheme="majorHAnsi"/>
          <w:spacing w:val="-4"/>
          <w:sz w:val="20"/>
          <w:szCs w:val="20"/>
        </w:rPr>
        <w:t xml:space="preserve"> </w:t>
      </w:r>
      <w:r w:rsidRPr="000977F7">
        <w:rPr>
          <w:rFonts w:asciiTheme="majorHAnsi" w:hAnsiTheme="majorHAnsi"/>
          <w:sz w:val="20"/>
          <w:szCs w:val="20"/>
        </w:rPr>
        <w:t>перебування</w:t>
      </w:r>
      <w:r w:rsidRPr="000977F7">
        <w:rPr>
          <w:rFonts w:asciiTheme="majorHAnsi" w:hAnsiTheme="majorHAnsi"/>
          <w:spacing w:val="-5"/>
          <w:sz w:val="20"/>
          <w:szCs w:val="20"/>
        </w:rPr>
        <w:t xml:space="preserve"> </w:t>
      </w:r>
      <w:r w:rsidRPr="000977F7">
        <w:rPr>
          <w:rFonts w:asciiTheme="majorHAnsi" w:hAnsiTheme="majorHAnsi"/>
          <w:sz w:val="20"/>
          <w:szCs w:val="20"/>
        </w:rPr>
        <w:t>об’єкта</w:t>
      </w:r>
      <w:r w:rsidRPr="000977F7">
        <w:rPr>
          <w:rFonts w:asciiTheme="majorHAnsi" w:hAnsiTheme="majorHAnsi"/>
          <w:spacing w:val="-4"/>
          <w:sz w:val="20"/>
          <w:szCs w:val="20"/>
        </w:rPr>
        <w:t xml:space="preserve"> </w:t>
      </w:r>
      <w:r w:rsidRPr="000977F7">
        <w:rPr>
          <w:rFonts w:asciiTheme="majorHAnsi" w:hAnsiTheme="majorHAnsi"/>
          <w:sz w:val="20"/>
          <w:szCs w:val="20"/>
        </w:rPr>
        <w:t>в</w:t>
      </w:r>
      <w:r w:rsidRPr="000977F7">
        <w:rPr>
          <w:rFonts w:asciiTheme="majorHAnsi" w:hAnsiTheme="majorHAnsi"/>
          <w:spacing w:val="-5"/>
          <w:sz w:val="20"/>
          <w:szCs w:val="20"/>
        </w:rPr>
        <w:t xml:space="preserve"> </w:t>
      </w:r>
      <w:r w:rsidRPr="000977F7">
        <w:rPr>
          <w:rFonts w:asciiTheme="majorHAnsi" w:hAnsiTheme="majorHAnsi"/>
          <w:sz w:val="20"/>
          <w:szCs w:val="20"/>
        </w:rPr>
        <w:t>режимі</w:t>
      </w:r>
      <w:r w:rsidRPr="000977F7">
        <w:rPr>
          <w:rFonts w:asciiTheme="majorHAnsi" w:hAnsiTheme="majorHAnsi"/>
          <w:spacing w:val="-5"/>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47"/>
          <w:sz w:val="20"/>
          <w:szCs w:val="20"/>
        </w:rPr>
        <w:t xml:space="preserve"> </w:t>
      </w:r>
    </w:p>
    <w:p w14:paraId="3BF792D7" w14:textId="7D7708A1"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r w:rsidR="00C10197">
        <w:rPr>
          <w:rFonts w:asciiTheme="majorHAnsi" w:hAnsiTheme="majorHAnsi"/>
          <w:sz w:val="20"/>
          <w:szCs w:val="20"/>
          <w:lang w:val="uk-UA"/>
        </w:rPr>
        <w:t xml:space="preserve"> </w:t>
      </w:r>
      <w:r w:rsidRPr="000977F7">
        <w:rPr>
          <w:rFonts w:asciiTheme="majorHAnsi" w:hAnsiTheme="majorHAnsi"/>
          <w:sz w:val="20"/>
          <w:szCs w:val="20"/>
        </w:rPr>
        <w:t>Тривалість</w:t>
      </w:r>
      <w:r w:rsidRPr="000977F7">
        <w:rPr>
          <w:rFonts w:asciiTheme="majorHAnsi" w:hAnsiTheme="majorHAnsi"/>
          <w:spacing w:val="14"/>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14"/>
          <w:sz w:val="20"/>
          <w:szCs w:val="20"/>
        </w:rPr>
        <w:t xml:space="preserve"> </w:t>
      </w:r>
      <w:r w:rsidRPr="000977F7">
        <w:rPr>
          <w:rFonts w:asciiTheme="majorHAnsi" w:hAnsiTheme="majorHAnsi"/>
          <w:sz w:val="20"/>
          <w:szCs w:val="20"/>
        </w:rPr>
        <w:t>може</w:t>
      </w:r>
      <w:r w:rsidRPr="000977F7">
        <w:rPr>
          <w:rFonts w:asciiTheme="majorHAnsi" w:hAnsiTheme="majorHAnsi"/>
          <w:spacing w:val="14"/>
          <w:sz w:val="20"/>
          <w:szCs w:val="20"/>
        </w:rPr>
        <w:t xml:space="preserve"> </w:t>
      </w:r>
      <w:r w:rsidRPr="000977F7">
        <w:rPr>
          <w:rFonts w:asciiTheme="majorHAnsi" w:hAnsiTheme="majorHAnsi"/>
          <w:sz w:val="20"/>
          <w:szCs w:val="20"/>
        </w:rPr>
        <w:t>бути</w:t>
      </w:r>
      <w:r w:rsidRPr="000977F7">
        <w:rPr>
          <w:rFonts w:asciiTheme="majorHAnsi" w:hAnsiTheme="majorHAnsi"/>
          <w:spacing w:val="12"/>
          <w:sz w:val="20"/>
          <w:szCs w:val="20"/>
        </w:rPr>
        <w:t xml:space="preserve"> </w:t>
      </w:r>
      <w:r w:rsidRPr="000977F7">
        <w:rPr>
          <w:rFonts w:asciiTheme="majorHAnsi" w:hAnsiTheme="majorHAnsi"/>
          <w:sz w:val="20"/>
          <w:szCs w:val="20"/>
        </w:rPr>
        <w:t>виражена</w:t>
      </w:r>
      <w:r w:rsidRPr="000977F7">
        <w:rPr>
          <w:rFonts w:asciiTheme="majorHAnsi" w:hAnsiTheme="majorHAnsi"/>
          <w:spacing w:val="16"/>
          <w:sz w:val="20"/>
          <w:szCs w:val="20"/>
        </w:rPr>
        <w:t xml:space="preserve"> </w:t>
      </w:r>
      <w:r w:rsidRPr="000977F7">
        <w:rPr>
          <w:rFonts w:asciiTheme="majorHAnsi" w:hAnsiTheme="majorHAnsi"/>
          <w:sz w:val="20"/>
          <w:szCs w:val="20"/>
        </w:rPr>
        <w:t>кількістю</w:t>
      </w:r>
      <w:r w:rsidRPr="000977F7">
        <w:rPr>
          <w:rFonts w:asciiTheme="majorHAnsi" w:hAnsiTheme="majorHAnsi"/>
          <w:spacing w:val="-1"/>
          <w:sz w:val="20"/>
          <w:szCs w:val="20"/>
        </w:rPr>
        <w:t xml:space="preserve"> </w:t>
      </w:r>
      <w:r w:rsidRPr="000977F7">
        <w:rPr>
          <w:rFonts w:asciiTheme="majorHAnsi" w:hAnsiTheme="majorHAnsi"/>
          <w:sz w:val="20"/>
          <w:szCs w:val="20"/>
        </w:rPr>
        <w:t>циклів</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інтервалом</w:t>
      </w:r>
      <w:r w:rsidRPr="000977F7">
        <w:rPr>
          <w:rFonts w:asciiTheme="majorHAnsi" w:hAnsiTheme="majorHAnsi"/>
          <w:spacing w:val="1"/>
          <w:sz w:val="20"/>
          <w:szCs w:val="20"/>
        </w:rPr>
        <w:t xml:space="preserve"> </w:t>
      </w:r>
      <w:r w:rsidRPr="000977F7">
        <w:rPr>
          <w:rFonts w:asciiTheme="majorHAnsi" w:hAnsiTheme="majorHAnsi"/>
          <w:sz w:val="20"/>
          <w:szCs w:val="20"/>
        </w:rPr>
        <w:t>часу</w:t>
      </w:r>
      <w:r w:rsidRPr="000977F7">
        <w:rPr>
          <w:rFonts w:asciiTheme="majorHAnsi" w:hAnsiTheme="majorHAnsi"/>
          <w:spacing w:val="-2"/>
          <w:sz w:val="20"/>
          <w:szCs w:val="20"/>
        </w:rPr>
        <w:t xml:space="preserve"> </w:t>
      </w:r>
      <w:r w:rsidRPr="000977F7">
        <w:rPr>
          <w:rFonts w:asciiTheme="majorHAnsi" w:hAnsiTheme="majorHAnsi"/>
          <w:sz w:val="20"/>
          <w:szCs w:val="20"/>
        </w:rPr>
        <w:t>(ДСТУ 2824)</w:t>
      </w:r>
    </w:p>
    <w:p w14:paraId="23C90372"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2444 - 94</w:t>
      </w:r>
    </w:p>
    <w:p w14:paraId="7195EED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ТРИВАЛІСТЬ</w:t>
      </w:r>
      <w:r w:rsidRPr="000977F7">
        <w:rPr>
          <w:color w:val="auto"/>
          <w:spacing w:val="-5"/>
          <w:sz w:val="20"/>
          <w:szCs w:val="20"/>
        </w:rPr>
        <w:t xml:space="preserve"> </w:t>
      </w:r>
      <w:r w:rsidRPr="000977F7">
        <w:rPr>
          <w:color w:val="auto"/>
          <w:sz w:val="20"/>
          <w:szCs w:val="20"/>
        </w:rPr>
        <w:t>ВІДНОВЛЕННЯ</w:t>
      </w:r>
      <w:r w:rsidRPr="000977F7">
        <w:rPr>
          <w:color w:val="auto"/>
          <w:spacing w:val="-1"/>
          <w:sz w:val="20"/>
          <w:szCs w:val="20"/>
        </w:rPr>
        <w:t xml:space="preserve"> </w:t>
      </w:r>
      <w:r w:rsidRPr="000977F7">
        <w:rPr>
          <w:color w:val="auto"/>
          <w:sz w:val="20"/>
          <w:szCs w:val="20"/>
        </w:rPr>
        <w:t>–</w:t>
      </w:r>
    </w:p>
    <w:p w14:paraId="1FF9E5A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TIME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RECOVERY;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RESTORATION –</w:t>
      </w:r>
    </w:p>
    <w:p w14:paraId="50EB65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Інтервал</w:t>
      </w:r>
      <w:r w:rsidRPr="000977F7">
        <w:rPr>
          <w:rFonts w:asciiTheme="majorHAnsi" w:hAnsiTheme="majorHAnsi"/>
          <w:spacing w:val="17"/>
          <w:sz w:val="20"/>
          <w:szCs w:val="20"/>
        </w:rPr>
        <w:t xml:space="preserve"> </w:t>
      </w:r>
      <w:r w:rsidRPr="000977F7">
        <w:rPr>
          <w:rFonts w:asciiTheme="majorHAnsi" w:hAnsiTheme="majorHAnsi"/>
          <w:sz w:val="20"/>
          <w:szCs w:val="20"/>
        </w:rPr>
        <w:t>часу,</w:t>
      </w:r>
      <w:r w:rsidRPr="000977F7">
        <w:rPr>
          <w:rFonts w:asciiTheme="majorHAnsi" w:hAnsiTheme="majorHAnsi"/>
          <w:spacing w:val="20"/>
          <w:sz w:val="20"/>
          <w:szCs w:val="20"/>
        </w:rPr>
        <w:t xml:space="preserve"> </w:t>
      </w:r>
      <w:r w:rsidRPr="000977F7">
        <w:rPr>
          <w:rFonts w:asciiTheme="majorHAnsi" w:hAnsiTheme="majorHAnsi"/>
          <w:sz w:val="20"/>
          <w:szCs w:val="20"/>
        </w:rPr>
        <w:t>протягом</w:t>
      </w:r>
      <w:r w:rsidRPr="000977F7">
        <w:rPr>
          <w:rFonts w:asciiTheme="majorHAnsi" w:hAnsiTheme="majorHAnsi"/>
          <w:spacing w:val="19"/>
          <w:sz w:val="20"/>
          <w:szCs w:val="20"/>
        </w:rPr>
        <w:t xml:space="preserve"> </w:t>
      </w:r>
      <w:r w:rsidRPr="000977F7">
        <w:rPr>
          <w:rFonts w:asciiTheme="majorHAnsi" w:hAnsiTheme="majorHAnsi"/>
          <w:sz w:val="20"/>
          <w:szCs w:val="20"/>
        </w:rPr>
        <w:t>якого</w:t>
      </w:r>
      <w:r w:rsidRPr="000977F7">
        <w:rPr>
          <w:rFonts w:asciiTheme="majorHAnsi" w:hAnsiTheme="majorHAnsi"/>
          <w:spacing w:val="20"/>
          <w:sz w:val="20"/>
          <w:szCs w:val="20"/>
        </w:rPr>
        <w:t xml:space="preserve"> </w:t>
      </w:r>
      <w:r w:rsidRPr="000977F7">
        <w:rPr>
          <w:rFonts w:asciiTheme="majorHAnsi" w:hAnsiTheme="majorHAnsi"/>
          <w:sz w:val="20"/>
          <w:szCs w:val="20"/>
        </w:rPr>
        <w:t>об’єкт</w:t>
      </w:r>
      <w:r w:rsidRPr="000977F7">
        <w:rPr>
          <w:rFonts w:asciiTheme="majorHAnsi" w:hAnsiTheme="majorHAnsi"/>
          <w:spacing w:val="18"/>
          <w:sz w:val="20"/>
          <w:szCs w:val="20"/>
        </w:rPr>
        <w:t xml:space="preserve"> </w:t>
      </w:r>
      <w:r w:rsidRPr="000977F7">
        <w:rPr>
          <w:rFonts w:asciiTheme="majorHAnsi" w:hAnsiTheme="majorHAnsi"/>
          <w:sz w:val="20"/>
          <w:szCs w:val="20"/>
        </w:rPr>
        <w:t>перебуває</w:t>
      </w:r>
      <w:r w:rsidRPr="000977F7">
        <w:rPr>
          <w:rFonts w:asciiTheme="majorHAnsi" w:hAnsiTheme="majorHAnsi"/>
          <w:spacing w:val="20"/>
          <w:sz w:val="20"/>
          <w:szCs w:val="20"/>
        </w:rPr>
        <w:t xml:space="preserve"> </w:t>
      </w:r>
      <w:r w:rsidRPr="000977F7">
        <w:rPr>
          <w:rFonts w:asciiTheme="majorHAnsi" w:hAnsiTheme="majorHAnsi"/>
          <w:sz w:val="20"/>
          <w:szCs w:val="20"/>
        </w:rPr>
        <w:t>в</w:t>
      </w:r>
      <w:r w:rsidRPr="000977F7">
        <w:rPr>
          <w:rFonts w:asciiTheme="majorHAnsi" w:hAnsiTheme="majorHAnsi"/>
          <w:spacing w:val="21"/>
          <w:sz w:val="20"/>
          <w:szCs w:val="20"/>
        </w:rPr>
        <w:t xml:space="preserve"> </w:t>
      </w:r>
      <w:r w:rsidRPr="000977F7">
        <w:rPr>
          <w:rFonts w:asciiTheme="majorHAnsi" w:hAnsiTheme="majorHAnsi"/>
          <w:sz w:val="20"/>
          <w:szCs w:val="20"/>
        </w:rPr>
        <w:t>непрацездатному</w:t>
      </w:r>
      <w:r w:rsidRPr="000977F7">
        <w:rPr>
          <w:rFonts w:asciiTheme="majorHAnsi" w:hAnsiTheme="majorHAnsi"/>
          <w:spacing w:val="-5"/>
          <w:sz w:val="20"/>
          <w:szCs w:val="20"/>
        </w:rPr>
        <w:t xml:space="preserve"> </w:t>
      </w:r>
      <w:r w:rsidRPr="000977F7">
        <w:rPr>
          <w:rFonts w:asciiTheme="majorHAnsi" w:hAnsiTheme="majorHAnsi"/>
          <w:sz w:val="20"/>
          <w:szCs w:val="20"/>
        </w:rPr>
        <w:t>стані</w:t>
      </w:r>
      <w:r w:rsidRPr="000977F7">
        <w:rPr>
          <w:rFonts w:asciiTheme="majorHAnsi" w:hAnsiTheme="majorHAnsi"/>
          <w:spacing w:val="-1"/>
          <w:sz w:val="20"/>
          <w:szCs w:val="20"/>
        </w:rPr>
        <w:t xml:space="preserve"> </w:t>
      </w:r>
      <w:r w:rsidRPr="000977F7">
        <w:rPr>
          <w:rFonts w:asciiTheme="majorHAnsi" w:hAnsiTheme="majorHAnsi"/>
          <w:sz w:val="20"/>
          <w:szCs w:val="20"/>
        </w:rPr>
        <w:t>через відмову</w:t>
      </w:r>
    </w:p>
    <w:p w14:paraId="71952358"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1"/>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2680</w:t>
      </w:r>
      <w:r w:rsidRPr="000977F7">
        <w:rPr>
          <w:rFonts w:asciiTheme="majorHAnsi" w:hAnsiTheme="majorHAnsi"/>
          <w:i/>
          <w:spacing w:val="2"/>
          <w:sz w:val="20"/>
          <w:szCs w:val="20"/>
        </w:rPr>
        <w:t xml:space="preserve"> </w:t>
      </w:r>
      <w:r w:rsidRPr="000977F7">
        <w:rPr>
          <w:rFonts w:asciiTheme="majorHAnsi" w:hAnsiTheme="majorHAnsi"/>
          <w:i/>
          <w:sz w:val="20"/>
          <w:szCs w:val="20"/>
        </w:rPr>
        <w:t>– 94</w:t>
      </w:r>
    </w:p>
    <w:p w14:paraId="0179E96C"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ТРИВАЛІСТЬ</w:t>
      </w:r>
      <w:r w:rsidRPr="000977F7">
        <w:rPr>
          <w:rFonts w:asciiTheme="majorHAnsi" w:hAnsiTheme="majorHAnsi"/>
          <w:b/>
          <w:spacing w:val="-6"/>
          <w:sz w:val="20"/>
          <w:szCs w:val="20"/>
        </w:rPr>
        <w:t xml:space="preserve"> </w:t>
      </w:r>
      <w:r w:rsidRPr="000977F7">
        <w:rPr>
          <w:rFonts w:asciiTheme="majorHAnsi" w:hAnsiTheme="majorHAnsi"/>
          <w:b/>
          <w:sz w:val="20"/>
          <w:szCs w:val="20"/>
        </w:rPr>
        <w:t>ВТРАТ</w:t>
      </w:r>
      <w:r w:rsidRPr="000977F7">
        <w:rPr>
          <w:rFonts w:asciiTheme="majorHAnsi" w:hAnsiTheme="majorHAnsi"/>
          <w:b/>
          <w:spacing w:val="-5"/>
          <w:sz w:val="20"/>
          <w:szCs w:val="20"/>
        </w:rPr>
        <w:t xml:space="preserve"> </w:t>
      </w:r>
      <w:r w:rsidRPr="000977F7">
        <w:rPr>
          <w:rFonts w:asciiTheme="majorHAnsi" w:hAnsiTheme="majorHAnsi"/>
          <w:b/>
          <w:sz w:val="20"/>
          <w:szCs w:val="20"/>
        </w:rPr>
        <w:t>–</w:t>
      </w:r>
      <w:r w:rsidRPr="000977F7">
        <w:rPr>
          <w:rFonts w:asciiTheme="majorHAnsi" w:hAnsiTheme="majorHAnsi"/>
          <w:b/>
          <w:spacing w:val="-47"/>
          <w:sz w:val="20"/>
          <w:szCs w:val="20"/>
        </w:rPr>
        <w:t xml:space="preserve"> </w:t>
      </w:r>
    </w:p>
    <w:p w14:paraId="3CFC90D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DOWN</w:t>
      </w:r>
      <w:r w:rsidRPr="000977F7">
        <w:rPr>
          <w:rFonts w:asciiTheme="majorHAnsi" w:hAnsiTheme="majorHAnsi"/>
          <w:spacing w:val="-1"/>
          <w:sz w:val="20"/>
          <w:szCs w:val="20"/>
        </w:rPr>
        <w:t xml:space="preserve"> </w:t>
      </w:r>
      <w:r w:rsidRPr="000977F7">
        <w:rPr>
          <w:rFonts w:asciiTheme="majorHAnsi" w:hAnsiTheme="majorHAnsi"/>
          <w:sz w:val="20"/>
          <w:szCs w:val="20"/>
        </w:rPr>
        <w:t>TIME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04DD30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w:t>
      </w:r>
      <w:r w:rsidRPr="000977F7">
        <w:rPr>
          <w:rFonts w:asciiTheme="majorHAnsi" w:hAnsiTheme="majorHAnsi"/>
          <w:spacing w:val="13"/>
          <w:sz w:val="20"/>
          <w:szCs w:val="20"/>
        </w:rPr>
        <w:t xml:space="preserve"> </w:t>
      </w:r>
      <w:r w:rsidRPr="000977F7">
        <w:rPr>
          <w:rFonts w:asciiTheme="majorHAnsi" w:hAnsiTheme="majorHAnsi"/>
          <w:sz w:val="20"/>
          <w:szCs w:val="20"/>
        </w:rPr>
        <w:t>протягом</w:t>
      </w:r>
      <w:r w:rsidRPr="000977F7">
        <w:rPr>
          <w:rFonts w:asciiTheme="majorHAnsi" w:hAnsiTheme="majorHAnsi"/>
          <w:spacing w:val="13"/>
          <w:sz w:val="20"/>
          <w:szCs w:val="20"/>
        </w:rPr>
        <w:t xml:space="preserve"> </w:t>
      </w:r>
      <w:r w:rsidRPr="000977F7">
        <w:rPr>
          <w:rFonts w:asciiTheme="majorHAnsi" w:hAnsiTheme="majorHAnsi"/>
          <w:sz w:val="20"/>
          <w:szCs w:val="20"/>
        </w:rPr>
        <w:t>якого</w:t>
      </w:r>
      <w:r w:rsidRPr="000977F7">
        <w:rPr>
          <w:rFonts w:asciiTheme="majorHAnsi" w:hAnsiTheme="majorHAnsi"/>
          <w:spacing w:val="14"/>
          <w:sz w:val="20"/>
          <w:szCs w:val="20"/>
        </w:rPr>
        <w:t xml:space="preserve"> </w:t>
      </w:r>
      <w:r w:rsidRPr="000977F7">
        <w:rPr>
          <w:rFonts w:asciiTheme="majorHAnsi" w:hAnsiTheme="majorHAnsi"/>
          <w:sz w:val="20"/>
          <w:szCs w:val="20"/>
        </w:rPr>
        <w:t>функційний</w:t>
      </w:r>
      <w:r w:rsidRPr="000977F7">
        <w:rPr>
          <w:rFonts w:asciiTheme="majorHAnsi" w:hAnsiTheme="majorHAnsi"/>
          <w:spacing w:val="14"/>
          <w:sz w:val="20"/>
          <w:szCs w:val="20"/>
        </w:rPr>
        <w:t xml:space="preserve"> </w:t>
      </w:r>
      <w:r w:rsidRPr="000977F7">
        <w:rPr>
          <w:rFonts w:asciiTheme="majorHAnsi" w:hAnsiTheme="majorHAnsi"/>
          <w:sz w:val="20"/>
          <w:szCs w:val="20"/>
        </w:rPr>
        <w:t>модуль</w:t>
      </w:r>
      <w:r w:rsidRPr="000977F7">
        <w:rPr>
          <w:rFonts w:asciiTheme="majorHAnsi" w:hAnsiTheme="majorHAnsi"/>
          <w:spacing w:val="13"/>
          <w:sz w:val="20"/>
          <w:szCs w:val="20"/>
        </w:rPr>
        <w:t xml:space="preserve"> </w:t>
      </w:r>
      <w:r w:rsidRPr="000977F7">
        <w:rPr>
          <w:rFonts w:asciiTheme="majorHAnsi" w:hAnsiTheme="majorHAnsi"/>
          <w:sz w:val="20"/>
          <w:szCs w:val="20"/>
        </w:rPr>
        <w:t>(система)</w:t>
      </w:r>
      <w:r w:rsidRPr="000977F7">
        <w:rPr>
          <w:rFonts w:asciiTheme="majorHAnsi" w:hAnsiTheme="majorHAnsi"/>
          <w:spacing w:val="14"/>
          <w:sz w:val="20"/>
          <w:szCs w:val="20"/>
        </w:rPr>
        <w:t xml:space="preserve"> </w:t>
      </w:r>
      <w:r w:rsidRPr="000977F7">
        <w:rPr>
          <w:rFonts w:asciiTheme="majorHAnsi" w:hAnsiTheme="majorHAnsi"/>
          <w:sz w:val="20"/>
          <w:szCs w:val="20"/>
        </w:rPr>
        <w:t>не</w:t>
      </w:r>
      <w:r w:rsidRPr="000977F7">
        <w:rPr>
          <w:rFonts w:asciiTheme="majorHAnsi" w:hAnsiTheme="majorHAnsi"/>
          <w:spacing w:val="-47"/>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бути</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використаний</w:t>
      </w:r>
      <w:r w:rsidRPr="000977F7">
        <w:rPr>
          <w:rFonts w:asciiTheme="majorHAnsi" w:hAnsiTheme="majorHAnsi"/>
          <w:spacing w:val="-2"/>
          <w:sz w:val="20"/>
          <w:szCs w:val="20"/>
        </w:rPr>
        <w:t xml:space="preserve"> </w:t>
      </w:r>
      <w:r w:rsidRPr="000977F7">
        <w:rPr>
          <w:rFonts w:asciiTheme="majorHAnsi" w:hAnsiTheme="majorHAnsi"/>
          <w:sz w:val="20"/>
          <w:szCs w:val="20"/>
        </w:rPr>
        <w:t>через відмову</w:t>
      </w:r>
    </w:p>
    <w:p w14:paraId="04A4FAE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ISO/IEC</w:t>
      </w:r>
      <w:r w:rsidRPr="000977F7">
        <w:rPr>
          <w:rFonts w:asciiTheme="majorHAnsi" w:hAnsiTheme="majorHAnsi"/>
          <w:i/>
          <w:spacing w:val="-3"/>
          <w:sz w:val="20"/>
          <w:szCs w:val="20"/>
        </w:rPr>
        <w:t xml:space="preserve"> </w:t>
      </w:r>
      <w:r w:rsidRPr="000977F7">
        <w:rPr>
          <w:rFonts w:asciiTheme="majorHAnsi" w:hAnsiTheme="majorHAnsi"/>
          <w:i/>
          <w:sz w:val="20"/>
          <w:szCs w:val="20"/>
        </w:rPr>
        <w:t>2382:2017</w:t>
      </w:r>
    </w:p>
    <w:p w14:paraId="483A171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ТРИВАЛІСТЬ ДІАГНОСТУВАННЯ </w:t>
      </w:r>
    </w:p>
    <w:p w14:paraId="7795409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НЕСПРАВ</w:t>
      </w:r>
      <w:r w:rsidRPr="000977F7">
        <w:rPr>
          <w:color w:val="auto"/>
          <w:spacing w:val="-47"/>
          <w:sz w:val="20"/>
          <w:szCs w:val="20"/>
        </w:rPr>
        <w:t xml:space="preserve"> </w:t>
      </w:r>
      <w:r w:rsidRPr="000977F7">
        <w:rPr>
          <w:color w:val="auto"/>
          <w:sz w:val="20"/>
          <w:szCs w:val="20"/>
        </w:rPr>
        <w:t>НОСТІ</w:t>
      </w:r>
      <w:r w:rsidRPr="000977F7">
        <w:rPr>
          <w:color w:val="auto"/>
          <w:spacing w:val="-1"/>
          <w:sz w:val="20"/>
          <w:szCs w:val="20"/>
        </w:rPr>
        <w:t xml:space="preserve"> </w:t>
      </w:r>
      <w:r w:rsidRPr="000977F7">
        <w:rPr>
          <w:color w:val="auto"/>
          <w:sz w:val="20"/>
          <w:szCs w:val="20"/>
        </w:rPr>
        <w:t>–</w:t>
      </w:r>
    </w:p>
    <w:p w14:paraId="33DB12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FAULT DIAGNOSIS</w:t>
      </w:r>
      <w:r w:rsidRPr="000977F7">
        <w:rPr>
          <w:rFonts w:asciiTheme="majorHAnsi" w:hAnsiTheme="majorHAnsi"/>
          <w:spacing w:val="-2"/>
          <w:sz w:val="20"/>
          <w:szCs w:val="20"/>
        </w:rPr>
        <w:t xml:space="preserve"> </w:t>
      </w:r>
      <w:r w:rsidRPr="000977F7">
        <w:rPr>
          <w:rFonts w:asciiTheme="majorHAnsi" w:hAnsiTheme="majorHAnsi"/>
          <w:sz w:val="20"/>
          <w:szCs w:val="20"/>
        </w:rPr>
        <w:t>TIME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652736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w:t>
      </w:r>
      <w:r w:rsidRPr="000977F7">
        <w:rPr>
          <w:rFonts w:asciiTheme="majorHAnsi" w:hAnsiTheme="majorHAnsi"/>
          <w:spacing w:val="9"/>
          <w:sz w:val="20"/>
          <w:szCs w:val="20"/>
        </w:rPr>
        <w:t xml:space="preserve"> </w:t>
      </w:r>
      <w:r w:rsidRPr="000977F7">
        <w:rPr>
          <w:rFonts w:asciiTheme="majorHAnsi" w:hAnsiTheme="majorHAnsi"/>
          <w:sz w:val="20"/>
          <w:szCs w:val="20"/>
        </w:rPr>
        <w:t>протягом</w:t>
      </w:r>
      <w:r w:rsidRPr="000977F7">
        <w:rPr>
          <w:rFonts w:asciiTheme="majorHAnsi" w:hAnsiTheme="majorHAnsi"/>
          <w:spacing w:val="10"/>
          <w:sz w:val="20"/>
          <w:szCs w:val="20"/>
        </w:rPr>
        <w:t xml:space="preserve"> </w:t>
      </w:r>
      <w:r w:rsidRPr="000977F7">
        <w:rPr>
          <w:rFonts w:asciiTheme="majorHAnsi" w:hAnsiTheme="majorHAnsi"/>
          <w:sz w:val="20"/>
          <w:szCs w:val="20"/>
        </w:rPr>
        <w:t>якого</w:t>
      </w:r>
      <w:r w:rsidRPr="000977F7">
        <w:rPr>
          <w:rFonts w:asciiTheme="majorHAnsi" w:hAnsiTheme="majorHAnsi"/>
          <w:spacing w:val="10"/>
          <w:sz w:val="20"/>
          <w:szCs w:val="20"/>
        </w:rPr>
        <w:t xml:space="preserve"> </w:t>
      </w:r>
      <w:r w:rsidRPr="000977F7">
        <w:rPr>
          <w:rFonts w:asciiTheme="majorHAnsi" w:hAnsiTheme="majorHAnsi"/>
          <w:sz w:val="20"/>
          <w:szCs w:val="20"/>
        </w:rPr>
        <w:t>виконують</w:t>
      </w:r>
      <w:r w:rsidRPr="000977F7">
        <w:rPr>
          <w:rFonts w:asciiTheme="majorHAnsi" w:hAnsiTheme="majorHAnsi"/>
          <w:spacing w:val="9"/>
          <w:sz w:val="20"/>
          <w:szCs w:val="20"/>
        </w:rPr>
        <w:t xml:space="preserve"> </w:t>
      </w:r>
      <w:r w:rsidRPr="000977F7">
        <w:rPr>
          <w:rFonts w:asciiTheme="majorHAnsi" w:hAnsiTheme="majorHAnsi"/>
          <w:sz w:val="20"/>
          <w:szCs w:val="20"/>
        </w:rPr>
        <w:t>діагностування</w:t>
      </w:r>
      <w:r w:rsidRPr="000977F7">
        <w:rPr>
          <w:rFonts w:asciiTheme="majorHAnsi" w:hAnsiTheme="majorHAnsi"/>
          <w:spacing w:val="9"/>
          <w:sz w:val="20"/>
          <w:szCs w:val="20"/>
        </w:rPr>
        <w:t xml:space="preserve"> </w:t>
      </w:r>
      <w:r w:rsidRPr="000977F7">
        <w:rPr>
          <w:rFonts w:asciiTheme="majorHAnsi" w:hAnsiTheme="majorHAnsi"/>
          <w:sz w:val="20"/>
          <w:szCs w:val="20"/>
        </w:rPr>
        <w:t>несправності</w:t>
      </w:r>
    </w:p>
    <w:p w14:paraId="5421BE8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D9672B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ТРИВАЛІСТЬ</w:t>
      </w:r>
      <w:r w:rsidRPr="000977F7">
        <w:rPr>
          <w:color w:val="auto"/>
          <w:spacing w:val="-5"/>
          <w:sz w:val="20"/>
          <w:szCs w:val="20"/>
        </w:rPr>
        <w:t xml:space="preserve"> </w:t>
      </w:r>
      <w:r w:rsidRPr="000977F7">
        <w:rPr>
          <w:color w:val="auto"/>
          <w:sz w:val="20"/>
          <w:szCs w:val="20"/>
        </w:rPr>
        <w:t>ЕКСПЛУАТАЦІЇ</w:t>
      </w:r>
      <w:r w:rsidRPr="000977F7">
        <w:rPr>
          <w:color w:val="auto"/>
          <w:spacing w:val="-5"/>
          <w:sz w:val="20"/>
          <w:szCs w:val="20"/>
        </w:rPr>
        <w:t xml:space="preserve"> </w:t>
      </w:r>
      <w:r w:rsidRPr="000977F7">
        <w:rPr>
          <w:color w:val="auto"/>
          <w:sz w:val="20"/>
          <w:szCs w:val="20"/>
        </w:rPr>
        <w:t>–</w:t>
      </w:r>
    </w:p>
    <w:p w14:paraId="7FBCC3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OPERATING</w:t>
      </w:r>
      <w:r w:rsidRPr="000977F7">
        <w:rPr>
          <w:rFonts w:asciiTheme="majorHAnsi" w:hAnsiTheme="majorHAnsi"/>
          <w:spacing w:val="-1"/>
          <w:sz w:val="20"/>
          <w:szCs w:val="20"/>
        </w:rPr>
        <w:t xml:space="preserve"> </w:t>
      </w:r>
      <w:r w:rsidRPr="000977F7">
        <w:rPr>
          <w:rFonts w:asciiTheme="majorHAnsi" w:hAnsiTheme="majorHAnsi"/>
          <w:sz w:val="20"/>
          <w:szCs w:val="20"/>
        </w:rPr>
        <w:t>TIME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7B74F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Період</w:t>
      </w:r>
      <w:r w:rsidRPr="000977F7">
        <w:rPr>
          <w:rFonts w:asciiTheme="majorHAnsi" w:hAnsiTheme="majorHAnsi"/>
          <w:spacing w:val="39"/>
          <w:sz w:val="20"/>
          <w:szCs w:val="20"/>
        </w:rPr>
        <w:t xml:space="preserve"> </w:t>
      </w:r>
      <w:r w:rsidRPr="000977F7">
        <w:rPr>
          <w:rFonts w:asciiTheme="majorHAnsi" w:hAnsiTheme="majorHAnsi"/>
          <w:sz w:val="20"/>
          <w:szCs w:val="20"/>
        </w:rPr>
        <w:t>часу,</w:t>
      </w:r>
      <w:r w:rsidRPr="000977F7">
        <w:rPr>
          <w:rFonts w:asciiTheme="majorHAnsi" w:hAnsiTheme="majorHAnsi"/>
          <w:spacing w:val="40"/>
          <w:sz w:val="20"/>
          <w:szCs w:val="20"/>
        </w:rPr>
        <w:t xml:space="preserve"> </w:t>
      </w:r>
      <w:r w:rsidRPr="000977F7">
        <w:rPr>
          <w:rFonts w:asciiTheme="majorHAnsi" w:hAnsiTheme="majorHAnsi"/>
          <w:sz w:val="20"/>
          <w:szCs w:val="20"/>
        </w:rPr>
        <w:t>на</w:t>
      </w:r>
      <w:r w:rsidRPr="000977F7">
        <w:rPr>
          <w:rFonts w:asciiTheme="majorHAnsi" w:hAnsiTheme="majorHAnsi"/>
          <w:spacing w:val="43"/>
          <w:sz w:val="20"/>
          <w:szCs w:val="20"/>
        </w:rPr>
        <w:t xml:space="preserve"> </w:t>
      </w:r>
      <w:r w:rsidRPr="000977F7">
        <w:rPr>
          <w:rFonts w:asciiTheme="majorHAnsi" w:hAnsiTheme="majorHAnsi"/>
          <w:sz w:val="20"/>
          <w:szCs w:val="20"/>
        </w:rPr>
        <w:t>протязі</w:t>
      </w:r>
      <w:r w:rsidRPr="000977F7">
        <w:rPr>
          <w:rFonts w:asciiTheme="majorHAnsi" w:hAnsiTheme="majorHAnsi"/>
          <w:spacing w:val="42"/>
          <w:sz w:val="20"/>
          <w:szCs w:val="20"/>
        </w:rPr>
        <w:t xml:space="preserve"> </w:t>
      </w:r>
      <w:r w:rsidRPr="000977F7">
        <w:rPr>
          <w:rFonts w:asciiTheme="majorHAnsi" w:hAnsiTheme="majorHAnsi"/>
          <w:sz w:val="20"/>
          <w:szCs w:val="20"/>
        </w:rPr>
        <w:t>якого</w:t>
      </w:r>
      <w:r w:rsidRPr="000977F7">
        <w:rPr>
          <w:rFonts w:asciiTheme="majorHAnsi" w:hAnsiTheme="majorHAnsi"/>
          <w:spacing w:val="41"/>
          <w:sz w:val="20"/>
          <w:szCs w:val="20"/>
        </w:rPr>
        <w:t xml:space="preserve"> </w:t>
      </w:r>
      <w:r w:rsidRPr="000977F7">
        <w:rPr>
          <w:rFonts w:asciiTheme="majorHAnsi" w:hAnsiTheme="majorHAnsi"/>
          <w:sz w:val="20"/>
          <w:szCs w:val="20"/>
        </w:rPr>
        <w:t>виріб</w:t>
      </w:r>
      <w:r w:rsidRPr="000977F7">
        <w:rPr>
          <w:rFonts w:asciiTheme="majorHAnsi" w:hAnsiTheme="majorHAnsi"/>
          <w:spacing w:val="39"/>
          <w:sz w:val="20"/>
          <w:szCs w:val="20"/>
        </w:rPr>
        <w:t xml:space="preserve"> </w:t>
      </w:r>
      <w:r w:rsidRPr="000977F7">
        <w:rPr>
          <w:rFonts w:asciiTheme="majorHAnsi" w:hAnsiTheme="majorHAnsi"/>
          <w:sz w:val="20"/>
          <w:szCs w:val="20"/>
        </w:rPr>
        <w:t>виконує</w:t>
      </w:r>
      <w:r w:rsidRPr="000977F7">
        <w:rPr>
          <w:rFonts w:asciiTheme="majorHAnsi" w:hAnsiTheme="majorHAnsi"/>
          <w:spacing w:val="41"/>
          <w:sz w:val="20"/>
          <w:szCs w:val="20"/>
        </w:rPr>
        <w:t xml:space="preserve"> </w:t>
      </w:r>
      <w:r w:rsidRPr="000977F7">
        <w:rPr>
          <w:rFonts w:asciiTheme="majorHAnsi" w:hAnsiTheme="majorHAnsi"/>
          <w:sz w:val="20"/>
          <w:szCs w:val="20"/>
        </w:rPr>
        <w:t>задану</w:t>
      </w:r>
      <w:r w:rsidRPr="000977F7">
        <w:rPr>
          <w:rFonts w:asciiTheme="majorHAnsi" w:hAnsiTheme="majorHAnsi"/>
          <w:spacing w:val="-47"/>
          <w:sz w:val="20"/>
          <w:szCs w:val="20"/>
        </w:rPr>
        <w:t xml:space="preserve"> </w:t>
      </w:r>
      <w:r w:rsidRPr="000977F7">
        <w:rPr>
          <w:rFonts w:asciiTheme="majorHAnsi" w:hAnsiTheme="majorHAnsi"/>
          <w:sz w:val="20"/>
          <w:szCs w:val="20"/>
        </w:rPr>
        <w:t>функцію</w:t>
      </w:r>
    </w:p>
    <w:p w14:paraId="1E784B1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ТРИВАЛІСТЬ ЗАТРИМКИ НЕПЛАНОВОГО</w:t>
      </w:r>
      <w:r w:rsidRPr="000977F7">
        <w:rPr>
          <w:rFonts w:asciiTheme="majorHAnsi" w:hAnsiTheme="majorHAnsi"/>
          <w:b/>
          <w:spacing w:val="1"/>
          <w:sz w:val="20"/>
          <w:szCs w:val="20"/>
        </w:rPr>
        <w:t xml:space="preserve"> </w:t>
      </w:r>
      <w:r w:rsidRPr="000977F7">
        <w:rPr>
          <w:rFonts w:asciiTheme="majorHAnsi" w:hAnsiTheme="majorHAnsi"/>
          <w:b/>
          <w:sz w:val="20"/>
          <w:szCs w:val="20"/>
        </w:rPr>
        <w:t>РЕМОНТУ З ОРГАНІЗАЦІЙНИХ ПРИЧИН –</w:t>
      </w:r>
      <w:r w:rsidRPr="000977F7">
        <w:rPr>
          <w:rFonts w:asciiTheme="majorHAnsi" w:hAnsiTheme="majorHAnsi"/>
          <w:b/>
          <w:spacing w:val="-47"/>
          <w:sz w:val="20"/>
          <w:szCs w:val="20"/>
        </w:rPr>
        <w:t xml:space="preserve"> </w:t>
      </w:r>
      <w:r w:rsidRPr="000977F7">
        <w:rPr>
          <w:rFonts w:asciiTheme="majorHAnsi" w:hAnsiTheme="majorHAnsi"/>
          <w:sz w:val="20"/>
          <w:szCs w:val="20"/>
        </w:rPr>
        <w:t>ADMINISTRATIVE</w:t>
      </w:r>
      <w:r w:rsidRPr="000977F7">
        <w:rPr>
          <w:rFonts w:asciiTheme="majorHAnsi" w:hAnsiTheme="majorHAnsi"/>
          <w:spacing w:val="-5"/>
          <w:sz w:val="20"/>
          <w:szCs w:val="20"/>
        </w:rPr>
        <w:t xml:space="preserve"> </w:t>
      </w:r>
      <w:r w:rsidRPr="000977F7">
        <w:rPr>
          <w:rFonts w:asciiTheme="majorHAnsi" w:hAnsiTheme="majorHAnsi"/>
          <w:sz w:val="20"/>
          <w:szCs w:val="20"/>
        </w:rPr>
        <w:t>DELAY</w:t>
      </w:r>
      <w:r w:rsidRPr="000977F7">
        <w:rPr>
          <w:rFonts w:asciiTheme="majorHAnsi" w:hAnsiTheme="majorHAnsi"/>
          <w:spacing w:val="-3"/>
          <w:sz w:val="20"/>
          <w:szCs w:val="20"/>
        </w:rPr>
        <w:t xml:space="preserve"> </w:t>
      </w:r>
      <w:r w:rsidRPr="000977F7">
        <w:rPr>
          <w:rFonts w:asciiTheme="majorHAnsi" w:hAnsiTheme="majorHAnsi"/>
          <w:sz w:val="20"/>
          <w:szCs w:val="20"/>
        </w:rPr>
        <w:t>(FOR</w:t>
      </w:r>
      <w:r w:rsidRPr="000977F7">
        <w:rPr>
          <w:rFonts w:asciiTheme="majorHAnsi" w:hAnsiTheme="majorHAnsi"/>
          <w:spacing w:val="-5"/>
          <w:sz w:val="20"/>
          <w:szCs w:val="20"/>
        </w:rPr>
        <w:t xml:space="preserve"> </w:t>
      </w:r>
      <w:r w:rsidRPr="000977F7">
        <w:rPr>
          <w:rFonts w:asciiTheme="majorHAnsi" w:hAnsiTheme="majorHAnsi"/>
          <w:sz w:val="20"/>
          <w:szCs w:val="20"/>
        </w:rPr>
        <w:t>CORRECTIVE</w:t>
      </w:r>
      <w:r w:rsidRPr="000977F7">
        <w:rPr>
          <w:rFonts w:asciiTheme="majorHAnsi" w:hAnsiTheme="majorHAnsi"/>
          <w:spacing w:val="-48"/>
          <w:sz w:val="20"/>
          <w:szCs w:val="20"/>
        </w:rPr>
        <w:t xml:space="preserve"> </w:t>
      </w:r>
      <w:r w:rsidRPr="000977F7">
        <w:rPr>
          <w:rFonts w:asciiTheme="majorHAnsi" w:hAnsiTheme="majorHAnsi"/>
          <w:sz w:val="20"/>
          <w:szCs w:val="20"/>
        </w:rPr>
        <w:t>MAINTANANCE)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7E537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Сумарна тривалість затримок виконання операції непланового</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r w:rsidRPr="000977F7">
        <w:rPr>
          <w:rFonts w:asciiTheme="majorHAnsi" w:hAnsiTheme="majorHAnsi"/>
          <w:spacing w:val="1"/>
          <w:sz w:val="20"/>
          <w:szCs w:val="20"/>
        </w:rPr>
        <w:t xml:space="preserve"> </w:t>
      </w:r>
      <w:r w:rsidRPr="000977F7">
        <w:rPr>
          <w:rFonts w:asciiTheme="majorHAnsi" w:hAnsiTheme="majorHAnsi"/>
          <w:sz w:val="20"/>
          <w:szCs w:val="20"/>
        </w:rPr>
        <w:t>несправного</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організаційних причин</w:t>
      </w:r>
    </w:p>
    <w:p w14:paraId="7F7DC01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63E3DEB" w14:textId="77777777" w:rsidR="0097612F" w:rsidRPr="000977F7" w:rsidRDefault="0097612F" w:rsidP="000977F7">
      <w:pPr>
        <w:pStyle w:val="7"/>
        <w:tabs>
          <w:tab w:val="left" w:pos="284"/>
        </w:tabs>
        <w:spacing w:before="0" w:line="240" w:lineRule="auto"/>
        <w:ind w:left="170"/>
        <w:mirrorIndents/>
        <w:jc w:val="both"/>
        <w:rPr>
          <w:color w:val="auto"/>
          <w:spacing w:val="41"/>
          <w:sz w:val="20"/>
          <w:szCs w:val="20"/>
        </w:rPr>
      </w:pPr>
      <w:r w:rsidRPr="000977F7">
        <w:rPr>
          <w:color w:val="auto"/>
          <w:sz w:val="20"/>
          <w:szCs w:val="20"/>
        </w:rPr>
        <w:t>ТРИВАЛІСТЬ</w:t>
      </w:r>
      <w:r w:rsidRPr="000977F7">
        <w:rPr>
          <w:color w:val="auto"/>
          <w:spacing w:val="-5"/>
          <w:sz w:val="20"/>
          <w:szCs w:val="20"/>
        </w:rPr>
        <w:t xml:space="preserve"> </w:t>
      </w:r>
      <w:r w:rsidRPr="000977F7">
        <w:rPr>
          <w:color w:val="auto"/>
          <w:sz w:val="20"/>
          <w:szCs w:val="20"/>
        </w:rPr>
        <w:t>ЗАТРИМКИ</w:t>
      </w:r>
      <w:r w:rsidRPr="000977F7">
        <w:rPr>
          <w:color w:val="auto"/>
          <w:spacing w:val="-4"/>
          <w:sz w:val="20"/>
          <w:szCs w:val="20"/>
        </w:rPr>
        <w:t xml:space="preserve"> </w:t>
      </w:r>
      <w:r w:rsidRPr="000977F7">
        <w:rPr>
          <w:color w:val="auto"/>
          <w:sz w:val="20"/>
          <w:szCs w:val="20"/>
        </w:rPr>
        <w:t>ЧЕРЕЗ</w:t>
      </w:r>
      <w:r w:rsidRPr="000977F7">
        <w:rPr>
          <w:color w:val="auto"/>
          <w:spacing w:val="41"/>
          <w:sz w:val="20"/>
          <w:szCs w:val="20"/>
        </w:rPr>
        <w:t xml:space="preserve"> </w:t>
      </w:r>
    </w:p>
    <w:p w14:paraId="6CDA3004"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НЕЗАБЕЗПЕ</w:t>
      </w:r>
      <w:r w:rsidRPr="000977F7">
        <w:rPr>
          <w:color w:val="auto"/>
          <w:spacing w:val="-47"/>
          <w:sz w:val="20"/>
          <w:szCs w:val="20"/>
        </w:rPr>
        <w:t xml:space="preserve"> </w:t>
      </w:r>
      <w:r w:rsidRPr="000977F7">
        <w:rPr>
          <w:color w:val="auto"/>
          <w:sz w:val="20"/>
          <w:szCs w:val="20"/>
        </w:rPr>
        <w:t>ЧЕНІСТЬ МАТЕРІАЛЬНИМИ РЕСУРСАМИ –</w:t>
      </w:r>
      <w:r w:rsidRPr="000977F7">
        <w:rPr>
          <w:color w:val="auto"/>
          <w:spacing w:val="1"/>
          <w:sz w:val="20"/>
          <w:szCs w:val="20"/>
        </w:rPr>
        <w:t xml:space="preserve"> </w:t>
      </w:r>
    </w:p>
    <w:p w14:paraId="09710CE2"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b w:val="0"/>
          <w:color w:val="auto"/>
          <w:sz w:val="20"/>
          <w:szCs w:val="20"/>
        </w:rPr>
        <w:t>LOGISTIC</w:t>
      </w:r>
      <w:r w:rsidRPr="000977F7">
        <w:rPr>
          <w:b w:val="0"/>
          <w:color w:val="auto"/>
          <w:spacing w:val="-2"/>
          <w:sz w:val="20"/>
          <w:szCs w:val="20"/>
        </w:rPr>
        <w:t xml:space="preserve"> </w:t>
      </w:r>
      <w:r w:rsidRPr="000977F7">
        <w:rPr>
          <w:b w:val="0"/>
          <w:color w:val="auto"/>
          <w:sz w:val="20"/>
          <w:szCs w:val="20"/>
        </w:rPr>
        <w:t>DELAY</w:t>
      </w:r>
      <w:r w:rsidRPr="000977F7">
        <w:rPr>
          <w:b w:val="0"/>
          <w:color w:val="auto"/>
          <w:spacing w:val="2"/>
          <w:sz w:val="20"/>
          <w:szCs w:val="20"/>
        </w:rPr>
        <w:t xml:space="preserve"> </w:t>
      </w:r>
      <w:r w:rsidRPr="000977F7">
        <w:rPr>
          <w:b w:val="0"/>
          <w:color w:val="auto"/>
          <w:sz w:val="20"/>
          <w:szCs w:val="20"/>
        </w:rPr>
        <w:t>–</w:t>
      </w:r>
    </w:p>
    <w:p w14:paraId="5107DE4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Сумарна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тривалість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затримок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виконання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операцій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технічного обслуговування та ремонту через необхідність одержання ресурсів для технічного обслуговування та ремонту, за винятком тривалості будь – якої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затримки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 організаційних причин</w:t>
      </w:r>
    </w:p>
    <w:p w14:paraId="35E7B2D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w:t>
      </w:r>
    </w:p>
    <w:p w14:paraId="14C3F86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Затримки через незабезпеченість матеріальними ресурсами можуть бути зумовлені, наприклад, переміщенням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устаткування,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обслуговується,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очікуванням прибуття запасних частин, спеціалістів та контрольного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обладнання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необхідної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інформації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припустимих навколишніх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умов</w:t>
      </w:r>
    </w:p>
    <w:p w14:paraId="3D1C962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CB8314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ТРИВАЛІСТЬ</w:t>
      </w:r>
      <w:r w:rsidRPr="000977F7">
        <w:rPr>
          <w:color w:val="auto"/>
          <w:spacing w:val="-4"/>
          <w:sz w:val="20"/>
          <w:szCs w:val="20"/>
        </w:rPr>
        <w:t xml:space="preserve"> </w:t>
      </w:r>
      <w:r w:rsidRPr="000977F7">
        <w:rPr>
          <w:color w:val="auto"/>
          <w:sz w:val="20"/>
          <w:szCs w:val="20"/>
        </w:rPr>
        <w:t>ЗМІНИ</w:t>
      </w:r>
      <w:r w:rsidRPr="000977F7">
        <w:rPr>
          <w:color w:val="auto"/>
          <w:spacing w:val="-3"/>
          <w:sz w:val="20"/>
          <w:szCs w:val="20"/>
        </w:rPr>
        <w:t xml:space="preserve"> </w:t>
      </w:r>
      <w:r w:rsidRPr="000977F7">
        <w:rPr>
          <w:color w:val="auto"/>
          <w:sz w:val="20"/>
          <w:szCs w:val="20"/>
        </w:rPr>
        <w:t>НАПРУГИ</w:t>
      </w:r>
      <w:r w:rsidRPr="000977F7">
        <w:rPr>
          <w:color w:val="auto"/>
          <w:spacing w:val="1"/>
          <w:sz w:val="20"/>
          <w:szCs w:val="20"/>
        </w:rPr>
        <w:t xml:space="preserve"> </w:t>
      </w:r>
      <w:r w:rsidRPr="000977F7">
        <w:rPr>
          <w:color w:val="auto"/>
          <w:sz w:val="20"/>
          <w:szCs w:val="20"/>
        </w:rPr>
        <w:t>–</w:t>
      </w:r>
    </w:p>
    <w:p w14:paraId="114646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Інтервал</w:t>
      </w:r>
      <w:r w:rsidRPr="000977F7">
        <w:rPr>
          <w:rFonts w:asciiTheme="majorHAnsi" w:hAnsiTheme="majorHAnsi"/>
          <w:spacing w:val="34"/>
          <w:sz w:val="20"/>
          <w:szCs w:val="20"/>
        </w:rPr>
        <w:t xml:space="preserve"> </w:t>
      </w:r>
      <w:r w:rsidRPr="000977F7">
        <w:rPr>
          <w:rFonts w:asciiTheme="majorHAnsi" w:hAnsiTheme="majorHAnsi"/>
          <w:sz w:val="20"/>
          <w:szCs w:val="20"/>
        </w:rPr>
        <w:t>часу,</w:t>
      </w:r>
      <w:r w:rsidRPr="000977F7">
        <w:rPr>
          <w:rFonts w:asciiTheme="majorHAnsi" w:hAnsiTheme="majorHAnsi"/>
          <w:spacing w:val="37"/>
          <w:sz w:val="20"/>
          <w:szCs w:val="20"/>
        </w:rPr>
        <w:t xml:space="preserve"> </w:t>
      </w:r>
      <w:r w:rsidRPr="000977F7">
        <w:rPr>
          <w:rFonts w:asciiTheme="majorHAnsi" w:hAnsiTheme="majorHAnsi"/>
          <w:sz w:val="20"/>
          <w:szCs w:val="20"/>
        </w:rPr>
        <w:t>протягом</w:t>
      </w:r>
      <w:r w:rsidRPr="000977F7">
        <w:rPr>
          <w:rFonts w:asciiTheme="majorHAnsi" w:hAnsiTheme="majorHAnsi"/>
          <w:spacing w:val="37"/>
          <w:sz w:val="20"/>
          <w:szCs w:val="20"/>
        </w:rPr>
        <w:t xml:space="preserve"> </w:t>
      </w:r>
      <w:r w:rsidRPr="000977F7">
        <w:rPr>
          <w:rFonts w:asciiTheme="majorHAnsi" w:hAnsiTheme="majorHAnsi"/>
          <w:sz w:val="20"/>
          <w:szCs w:val="20"/>
        </w:rPr>
        <w:t>якого</w:t>
      </w:r>
      <w:r w:rsidRPr="000977F7">
        <w:rPr>
          <w:rFonts w:asciiTheme="majorHAnsi" w:hAnsiTheme="majorHAnsi"/>
          <w:spacing w:val="36"/>
          <w:sz w:val="20"/>
          <w:szCs w:val="20"/>
        </w:rPr>
        <w:t xml:space="preserve"> </w:t>
      </w:r>
      <w:r w:rsidRPr="000977F7">
        <w:rPr>
          <w:rFonts w:asciiTheme="majorHAnsi" w:hAnsiTheme="majorHAnsi"/>
          <w:sz w:val="20"/>
          <w:szCs w:val="20"/>
        </w:rPr>
        <w:t>напруга</w:t>
      </w:r>
      <w:r w:rsidRPr="000977F7">
        <w:rPr>
          <w:rFonts w:asciiTheme="majorHAnsi" w:hAnsiTheme="majorHAnsi"/>
          <w:spacing w:val="36"/>
          <w:sz w:val="20"/>
          <w:szCs w:val="20"/>
        </w:rPr>
        <w:t xml:space="preserve"> </w:t>
      </w:r>
      <w:r w:rsidRPr="000977F7">
        <w:rPr>
          <w:rFonts w:asciiTheme="majorHAnsi" w:hAnsiTheme="majorHAnsi"/>
          <w:sz w:val="20"/>
          <w:szCs w:val="20"/>
        </w:rPr>
        <w:t>збільшується</w:t>
      </w:r>
      <w:r w:rsidRPr="000977F7">
        <w:rPr>
          <w:rFonts w:asciiTheme="majorHAnsi" w:hAnsiTheme="majorHAnsi"/>
          <w:spacing w:val="-47"/>
          <w:sz w:val="20"/>
          <w:szCs w:val="20"/>
        </w:rPr>
        <w:t xml:space="preserve"> </w:t>
      </w:r>
      <w:r w:rsidRPr="000977F7">
        <w:rPr>
          <w:rFonts w:asciiTheme="majorHAnsi" w:hAnsiTheme="majorHAnsi"/>
          <w:sz w:val="20"/>
          <w:szCs w:val="20"/>
        </w:rPr>
        <w:t>між двома послідовними усталеними значеннями</w:t>
      </w:r>
    </w:p>
    <w:p w14:paraId="4FFC5C30"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3466-96</w:t>
      </w:r>
    </w:p>
    <w:p w14:paraId="1F698A3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293" w:name="_Hlk102198733"/>
      <w:r w:rsidRPr="000977F7">
        <w:rPr>
          <w:color w:val="auto"/>
          <w:sz w:val="20"/>
          <w:szCs w:val="20"/>
        </w:rPr>
        <w:t>ТРИВАЛІСТЬ</w:t>
      </w:r>
      <w:r w:rsidRPr="000977F7">
        <w:rPr>
          <w:color w:val="auto"/>
          <w:spacing w:val="-4"/>
          <w:sz w:val="20"/>
          <w:szCs w:val="20"/>
        </w:rPr>
        <w:t xml:space="preserve"> </w:t>
      </w:r>
      <w:r w:rsidRPr="000977F7">
        <w:rPr>
          <w:color w:val="auto"/>
          <w:sz w:val="20"/>
          <w:szCs w:val="20"/>
        </w:rPr>
        <w:t>ЗОВНІШНІХ</w:t>
      </w:r>
      <w:r w:rsidRPr="000977F7">
        <w:rPr>
          <w:color w:val="auto"/>
          <w:spacing w:val="-4"/>
          <w:sz w:val="20"/>
          <w:szCs w:val="20"/>
        </w:rPr>
        <w:t xml:space="preserve"> </w:t>
      </w:r>
      <w:r w:rsidRPr="000977F7">
        <w:rPr>
          <w:color w:val="auto"/>
          <w:sz w:val="20"/>
          <w:szCs w:val="20"/>
        </w:rPr>
        <w:t>ВТРАТ</w:t>
      </w:r>
      <w:r w:rsidRPr="000977F7">
        <w:rPr>
          <w:color w:val="auto"/>
          <w:spacing w:val="-4"/>
          <w:sz w:val="20"/>
          <w:szCs w:val="20"/>
        </w:rPr>
        <w:t xml:space="preserve"> </w:t>
      </w:r>
      <w:r w:rsidRPr="000977F7">
        <w:rPr>
          <w:color w:val="auto"/>
          <w:sz w:val="20"/>
          <w:szCs w:val="20"/>
        </w:rPr>
        <w:t>–</w:t>
      </w:r>
    </w:p>
    <w:p w14:paraId="2EE8EFBF" w14:textId="77777777" w:rsidR="0097612F" w:rsidRPr="004D2D14" w:rsidRDefault="0097612F" w:rsidP="000977F7">
      <w:pPr>
        <w:pStyle w:val="af6"/>
        <w:tabs>
          <w:tab w:val="left" w:pos="284"/>
        </w:tabs>
        <w:spacing w:after="0"/>
        <w:ind w:left="170"/>
        <w:mirrorIndents/>
        <w:jc w:val="both"/>
        <w:rPr>
          <w:rFonts w:asciiTheme="majorHAnsi" w:hAnsiTheme="majorHAnsi"/>
          <w:spacing w:val="-13"/>
          <w:w w:val="95"/>
          <w:sz w:val="20"/>
          <w:szCs w:val="20"/>
          <w:lang w:val="en-US"/>
        </w:rPr>
      </w:pPr>
      <w:r w:rsidRPr="004D2D14">
        <w:rPr>
          <w:rFonts w:asciiTheme="majorHAnsi" w:hAnsiTheme="majorHAnsi"/>
          <w:spacing w:val="-1"/>
          <w:w w:val="95"/>
          <w:sz w:val="20"/>
          <w:szCs w:val="20"/>
          <w:lang w:val="en-US"/>
        </w:rPr>
        <w:t>EXTERNAL</w:t>
      </w:r>
      <w:r w:rsidRPr="004D2D14">
        <w:rPr>
          <w:rFonts w:asciiTheme="majorHAnsi" w:hAnsiTheme="majorHAnsi"/>
          <w:spacing w:val="-13"/>
          <w:w w:val="95"/>
          <w:sz w:val="20"/>
          <w:szCs w:val="20"/>
          <w:lang w:val="en-US"/>
        </w:rPr>
        <w:t xml:space="preserve"> </w:t>
      </w:r>
      <w:r w:rsidRPr="004D2D14">
        <w:rPr>
          <w:rFonts w:asciiTheme="majorHAnsi" w:hAnsiTheme="majorHAnsi"/>
          <w:spacing w:val="-1"/>
          <w:w w:val="95"/>
          <w:sz w:val="20"/>
          <w:szCs w:val="20"/>
          <w:lang w:val="en-US"/>
        </w:rPr>
        <w:t>LOSS</w:t>
      </w:r>
      <w:r w:rsidRPr="004D2D14">
        <w:rPr>
          <w:rFonts w:asciiTheme="majorHAnsi" w:hAnsiTheme="majorHAnsi"/>
          <w:spacing w:val="-13"/>
          <w:w w:val="95"/>
          <w:sz w:val="20"/>
          <w:szCs w:val="20"/>
          <w:lang w:val="en-US"/>
        </w:rPr>
        <w:t xml:space="preserve"> </w:t>
      </w:r>
      <w:r w:rsidRPr="004D2D14">
        <w:rPr>
          <w:rFonts w:asciiTheme="majorHAnsi" w:hAnsiTheme="majorHAnsi"/>
          <w:spacing w:val="-1"/>
          <w:w w:val="95"/>
          <w:sz w:val="20"/>
          <w:szCs w:val="20"/>
          <w:lang w:val="en-US"/>
        </w:rPr>
        <w:t>TIME;</w:t>
      </w:r>
      <w:r w:rsidRPr="004D2D14">
        <w:rPr>
          <w:rFonts w:asciiTheme="majorHAnsi" w:hAnsiTheme="majorHAnsi"/>
          <w:spacing w:val="-13"/>
          <w:w w:val="95"/>
          <w:sz w:val="20"/>
          <w:szCs w:val="20"/>
          <w:lang w:val="en-US"/>
        </w:rPr>
        <w:t xml:space="preserve"> </w:t>
      </w:r>
      <w:r w:rsidRPr="004D2D14">
        <w:rPr>
          <w:rFonts w:asciiTheme="majorHAnsi" w:hAnsiTheme="majorHAnsi"/>
          <w:spacing w:val="-1"/>
          <w:w w:val="95"/>
          <w:sz w:val="20"/>
          <w:szCs w:val="20"/>
          <w:lang w:val="en-US"/>
        </w:rPr>
        <w:t>ENVIRONMENTAL</w:t>
      </w:r>
      <w:r w:rsidRPr="004D2D14">
        <w:rPr>
          <w:rFonts w:asciiTheme="majorHAnsi" w:hAnsiTheme="majorHAnsi"/>
          <w:spacing w:val="-12"/>
          <w:w w:val="95"/>
          <w:sz w:val="20"/>
          <w:szCs w:val="20"/>
          <w:lang w:val="en-US"/>
        </w:rPr>
        <w:t xml:space="preserve"> </w:t>
      </w:r>
      <w:r w:rsidRPr="004D2D14">
        <w:rPr>
          <w:rFonts w:asciiTheme="majorHAnsi" w:hAnsiTheme="majorHAnsi"/>
          <w:w w:val="95"/>
          <w:sz w:val="20"/>
          <w:szCs w:val="20"/>
          <w:lang w:val="en-US"/>
        </w:rPr>
        <w:t>LOSS</w:t>
      </w:r>
      <w:r w:rsidRPr="004D2D14">
        <w:rPr>
          <w:rFonts w:asciiTheme="majorHAnsi" w:hAnsiTheme="majorHAnsi"/>
          <w:spacing w:val="-13"/>
          <w:w w:val="95"/>
          <w:sz w:val="20"/>
          <w:szCs w:val="20"/>
          <w:lang w:val="en-US"/>
        </w:rPr>
        <w:t xml:space="preserve"> </w:t>
      </w:r>
    </w:p>
    <w:p w14:paraId="394244F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w w:val="95"/>
          <w:sz w:val="20"/>
          <w:szCs w:val="20"/>
        </w:rPr>
        <w:t>TIME</w:t>
      </w:r>
      <w:r w:rsidRPr="000977F7">
        <w:rPr>
          <w:rFonts w:asciiTheme="majorHAnsi" w:hAnsiTheme="majorHAnsi"/>
          <w:spacing w:val="-11"/>
          <w:w w:val="95"/>
          <w:sz w:val="20"/>
          <w:szCs w:val="20"/>
        </w:rPr>
        <w:t xml:space="preserve"> </w:t>
      </w:r>
      <w:r w:rsidRPr="000977F7">
        <w:rPr>
          <w:rFonts w:asciiTheme="majorHAnsi" w:hAnsiTheme="majorHAnsi"/>
          <w:w w:val="95"/>
          <w:sz w:val="20"/>
          <w:szCs w:val="20"/>
        </w:rPr>
        <w:t>–</w:t>
      </w:r>
    </w:p>
    <w:bookmarkEnd w:id="293"/>
    <w:p w14:paraId="3E5C4B4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тривалості втрат, обумовлена відмовою зовнішнього обладнання</w:t>
      </w:r>
    </w:p>
    <w:p w14:paraId="75C1190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ISO/IEC</w:t>
      </w:r>
      <w:r w:rsidRPr="000977F7">
        <w:rPr>
          <w:rFonts w:asciiTheme="majorHAnsi" w:hAnsiTheme="majorHAnsi"/>
          <w:i/>
          <w:spacing w:val="-3"/>
          <w:sz w:val="20"/>
          <w:szCs w:val="20"/>
        </w:rPr>
        <w:t xml:space="preserve"> </w:t>
      </w:r>
      <w:r w:rsidRPr="000977F7">
        <w:rPr>
          <w:rFonts w:asciiTheme="majorHAnsi" w:hAnsiTheme="majorHAnsi"/>
          <w:i/>
          <w:sz w:val="20"/>
          <w:szCs w:val="20"/>
        </w:rPr>
        <w:t>2382:2017</w:t>
      </w:r>
    </w:p>
    <w:p w14:paraId="0BE9A51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ТРИВАЛІСТЬ</w:t>
      </w:r>
      <w:r w:rsidRPr="000977F7">
        <w:rPr>
          <w:color w:val="auto"/>
          <w:spacing w:val="-3"/>
          <w:sz w:val="20"/>
          <w:szCs w:val="20"/>
        </w:rPr>
        <w:t xml:space="preserve"> </w:t>
      </w:r>
      <w:r w:rsidRPr="000977F7">
        <w:rPr>
          <w:color w:val="auto"/>
          <w:sz w:val="20"/>
          <w:szCs w:val="20"/>
        </w:rPr>
        <w:t>ІМПУЛЬСУ</w:t>
      </w:r>
      <w:r w:rsidRPr="000977F7">
        <w:rPr>
          <w:color w:val="auto"/>
          <w:spacing w:val="-3"/>
          <w:sz w:val="20"/>
          <w:szCs w:val="20"/>
        </w:rPr>
        <w:t xml:space="preserve"> </w:t>
      </w:r>
      <w:r w:rsidRPr="000977F7">
        <w:rPr>
          <w:color w:val="auto"/>
          <w:sz w:val="20"/>
          <w:szCs w:val="20"/>
        </w:rPr>
        <w:t>НАПРУГИ</w:t>
      </w:r>
      <w:r w:rsidRPr="000977F7">
        <w:rPr>
          <w:color w:val="auto"/>
          <w:spacing w:val="-2"/>
          <w:sz w:val="20"/>
          <w:szCs w:val="20"/>
        </w:rPr>
        <w:t xml:space="preserve"> </w:t>
      </w:r>
      <w:r w:rsidRPr="000977F7">
        <w:rPr>
          <w:color w:val="auto"/>
          <w:sz w:val="20"/>
          <w:szCs w:val="20"/>
        </w:rPr>
        <w:t>–</w:t>
      </w:r>
    </w:p>
    <w:p w14:paraId="1D6E4556"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TIME</w:t>
      </w:r>
      <w:r w:rsidRPr="000977F7">
        <w:rPr>
          <w:b w:val="0"/>
          <w:bCs/>
          <w:color w:val="auto"/>
          <w:spacing w:val="-3"/>
          <w:sz w:val="20"/>
          <w:szCs w:val="20"/>
        </w:rPr>
        <w:t xml:space="preserve"> </w:t>
      </w:r>
      <w:r w:rsidRPr="000977F7">
        <w:rPr>
          <w:b w:val="0"/>
          <w:bCs/>
          <w:color w:val="auto"/>
          <w:sz w:val="20"/>
          <w:szCs w:val="20"/>
        </w:rPr>
        <w:t>TO</w:t>
      </w:r>
      <w:r w:rsidRPr="000977F7">
        <w:rPr>
          <w:b w:val="0"/>
          <w:bCs/>
          <w:color w:val="auto"/>
          <w:spacing w:val="-3"/>
          <w:sz w:val="20"/>
          <w:szCs w:val="20"/>
        </w:rPr>
        <w:t xml:space="preserve"> </w:t>
      </w:r>
      <w:r w:rsidRPr="000977F7">
        <w:rPr>
          <w:b w:val="0"/>
          <w:bCs/>
          <w:color w:val="auto"/>
          <w:sz w:val="20"/>
          <w:szCs w:val="20"/>
        </w:rPr>
        <w:t>HALF</w:t>
      </w:r>
      <w:r w:rsidRPr="000977F7">
        <w:rPr>
          <w:b w:val="0"/>
          <w:bCs/>
          <w:color w:val="auto"/>
          <w:spacing w:val="-2"/>
          <w:sz w:val="20"/>
          <w:szCs w:val="20"/>
        </w:rPr>
        <w:t xml:space="preserve"> </w:t>
      </w:r>
      <w:r w:rsidRPr="000977F7">
        <w:rPr>
          <w:b w:val="0"/>
          <w:bCs/>
          <w:color w:val="auto"/>
          <w:sz w:val="20"/>
          <w:szCs w:val="20"/>
        </w:rPr>
        <w:t>VALUE</w:t>
      </w:r>
      <w:r w:rsidRPr="000977F7">
        <w:rPr>
          <w:b w:val="0"/>
          <w:bCs/>
          <w:color w:val="auto"/>
          <w:spacing w:val="-1"/>
          <w:sz w:val="20"/>
          <w:szCs w:val="20"/>
        </w:rPr>
        <w:t xml:space="preserve"> </w:t>
      </w:r>
      <w:r w:rsidRPr="000977F7">
        <w:rPr>
          <w:b w:val="0"/>
          <w:bCs/>
          <w:color w:val="auto"/>
          <w:sz w:val="20"/>
          <w:szCs w:val="20"/>
        </w:rPr>
        <w:t>OF</w:t>
      </w:r>
      <w:r w:rsidRPr="000977F7">
        <w:rPr>
          <w:b w:val="0"/>
          <w:bCs/>
          <w:color w:val="auto"/>
          <w:spacing w:val="1"/>
          <w:sz w:val="20"/>
          <w:szCs w:val="20"/>
        </w:rPr>
        <w:t xml:space="preserve"> </w:t>
      </w:r>
      <w:r w:rsidRPr="000977F7">
        <w:rPr>
          <w:b w:val="0"/>
          <w:bCs/>
          <w:color w:val="auto"/>
          <w:sz w:val="20"/>
          <w:szCs w:val="20"/>
        </w:rPr>
        <w:t>AN</w:t>
      </w:r>
      <w:r w:rsidRPr="000977F7">
        <w:rPr>
          <w:b w:val="0"/>
          <w:bCs/>
          <w:color w:val="auto"/>
          <w:spacing w:val="-1"/>
          <w:sz w:val="20"/>
          <w:szCs w:val="20"/>
        </w:rPr>
        <w:t xml:space="preserve"> </w:t>
      </w:r>
      <w:r w:rsidRPr="000977F7">
        <w:rPr>
          <w:b w:val="0"/>
          <w:bCs/>
          <w:color w:val="auto"/>
          <w:sz w:val="20"/>
          <w:szCs w:val="20"/>
        </w:rPr>
        <w:t>IMPULSE</w:t>
      </w:r>
      <w:r w:rsidRPr="000977F7">
        <w:rPr>
          <w:b w:val="0"/>
          <w:bCs/>
          <w:color w:val="auto"/>
          <w:spacing w:val="1"/>
          <w:sz w:val="20"/>
          <w:szCs w:val="20"/>
        </w:rPr>
        <w:t xml:space="preserve"> </w:t>
      </w:r>
      <w:r w:rsidRPr="000977F7">
        <w:rPr>
          <w:b w:val="0"/>
          <w:bCs/>
          <w:color w:val="auto"/>
          <w:sz w:val="20"/>
          <w:szCs w:val="20"/>
        </w:rPr>
        <w:t>–</w:t>
      </w:r>
    </w:p>
    <w:p w14:paraId="2A66A4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Інтервал часу від початку імпульсу напруги до моменту, коли напруга імпульсу зменшиться до половини</w:t>
      </w:r>
      <w:r w:rsidRPr="000977F7">
        <w:rPr>
          <w:rFonts w:asciiTheme="majorHAnsi" w:hAnsiTheme="majorHAnsi"/>
          <w:spacing w:val="1"/>
          <w:sz w:val="20"/>
          <w:szCs w:val="20"/>
        </w:rPr>
        <w:t xml:space="preserve"> </w:t>
      </w:r>
      <w:r w:rsidRPr="000977F7">
        <w:rPr>
          <w:rFonts w:asciiTheme="majorHAnsi" w:hAnsiTheme="majorHAnsi"/>
          <w:sz w:val="20"/>
          <w:szCs w:val="20"/>
        </w:rPr>
        <w:t>максимального значення</w:t>
      </w:r>
    </w:p>
    <w:p w14:paraId="3EC734D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7B421ED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ТРИВАЛІСТЬ КОНТРОЛЮ; ТРИВАЛІСТЬ </w:t>
      </w:r>
    </w:p>
    <w:p w14:paraId="32A569E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ПЕ</w:t>
      </w:r>
      <w:r w:rsidRPr="000977F7">
        <w:rPr>
          <w:color w:val="auto"/>
          <w:spacing w:val="-47"/>
          <w:sz w:val="20"/>
          <w:szCs w:val="20"/>
        </w:rPr>
        <w:t xml:space="preserve"> </w:t>
      </w:r>
      <w:r w:rsidRPr="000977F7">
        <w:rPr>
          <w:color w:val="auto"/>
          <w:sz w:val="20"/>
          <w:szCs w:val="20"/>
        </w:rPr>
        <w:t>РЕВІРКИ –</w:t>
      </w:r>
    </w:p>
    <w:p w14:paraId="0EDBC5D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CHECK</w:t>
      </w:r>
      <w:r w:rsidRPr="000977F7">
        <w:rPr>
          <w:rFonts w:asciiTheme="majorHAnsi" w:hAnsiTheme="majorHAnsi"/>
          <w:spacing w:val="-1"/>
          <w:sz w:val="20"/>
          <w:szCs w:val="20"/>
        </w:rPr>
        <w:t xml:space="preserve"> </w:t>
      </w:r>
      <w:r w:rsidRPr="000977F7">
        <w:rPr>
          <w:rFonts w:asciiTheme="majorHAnsi" w:hAnsiTheme="majorHAnsi"/>
          <w:sz w:val="20"/>
          <w:szCs w:val="20"/>
        </w:rPr>
        <w:t>OUT TIME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042830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6"/>
          <w:sz w:val="20"/>
          <w:szCs w:val="20"/>
        </w:rPr>
        <w:t xml:space="preserve"> </w:t>
      </w:r>
      <w:r w:rsidRPr="000977F7">
        <w:rPr>
          <w:rFonts w:asciiTheme="majorHAnsi" w:hAnsiTheme="majorHAnsi"/>
          <w:sz w:val="20"/>
          <w:szCs w:val="20"/>
        </w:rPr>
        <w:t>оперативної</w:t>
      </w:r>
      <w:r w:rsidRPr="000977F7">
        <w:rPr>
          <w:rFonts w:asciiTheme="majorHAnsi" w:hAnsiTheme="majorHAnsi"/>
          <w:spacing w:val="-6"/>
          <w:sz w:val="20"/>
          <w:szCs w:val="20"/>
        </w:rPr>
        <w:t xml:space="preserve"> </w:t>
      </w:r>
      <w:r w:rsidRPr="000977F7">
        <w:rPr>
          <w:rFonts w:asciiTheme="majorHAnsi" w:hAnsiTheme="majorHAnsi"/>
          <w:sz w:val="20"/>
          <w:szCs w:val="20"/>
        </w:rPr>
        <w:t>тривалості</w:t>
      </w:r>
      <w:r w:rsidRPr="000977F7">
        <w:rPr>
          <w:rFonts w:asciiTheme="majorHAnsi" w:hAnsiTheme="majorHAnsi"/>
          <w:spacing w:val="-6"/>
          <w:sz w:val="20"/>
          <w:szCs w:val="20"/>
        </w:rPr>
        <w:t xml:space="preserve"> </w:t>
      </w:r>
      <w:r w:rsidRPr="000977F7">
        <w:rPr>
          <w:rFonts w:asciiTheme="majorHAnsi" w:hAnsiTheme="majorHAnsi"/>
          <w:sz w:val="20"/>
          <w:szCs w:val="20"/>
        </w:rPr>
        <w:t>непланового</w:t>
      </w:r>
      <w:r w:rsidRPr="000977F7">
        <w:rPr>
          <w:rFonts w:asciiTheme="majorHAnsi" w:hAnsiTheme="majorHAnsi"/>
          <w:spacing w:val="-5"/>
          <w:sz w:val="20"/>
          <w:szCs w:val="20"/>
        </w:rPr>
        <w:t xml:space="preserve"> </w:t>
      </w:r>
      <w:r w:rsidRPr="000977F7">
        <w:rPr>
          <w:rFonts w:asciiTheme="majorHAnsi" w:hAnsiTheme="majorHAnsi"/>
          <w:sz w:val="20"/>
          <w:szCs w:val="20"/>
        </w:rPr>
        <w:t>ремонту,</w:t>
      </w:r>
      <w:r w:rsidRPr="000977F7">
        <w:rPr>
          <w:rFonts w:asciiTheme="majorHAnsi" w:hAnsiTheme="majorHAnsi"/>
          <w:spacing w:val="-47"/>
          <w:sz w:val="20"/>
          <w:szCs w:val="20"/>
        </w:rPr>
        <w:t xml:space="preserve"> </w:t>
      </w:r>
      <w:r w:rsidRPr="000977F7">
        <w:rPr>
          <w:rFonts w:asciiTheme="majorHAnsi" w:hAnsiTheme="majorHAnsi"/>
          <w:sz w:val="20"/>
          <w:szCs w:val="20"/>
        </w:rPr>
        <w:t>протягом якої здійснюють контроль функціонування</w:t>
      </w:r>
    </w:p>
    <w:p w14:paraId="32AA8CC6"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3E755D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ТРИВАЛІСТЬ</w:t>
      </w:r>
      <w:r w:rsidRPr="000977F7">
        <w:rPr>
          <w:color w:val="auto"/>
          <w:spacing w:val="-5"/>
          <w:sz w:val="20"/>
          <w:szCs w:val="20"/>
        </w:rPr>
        <w:t xml:space="preserve"> </w:t>
      </w:r>
      <w:r w:rsidRPr="000977F7">
        <w:rPr>
          <w:color w:val="auto"/>
          <w:sz w:val="20"/>
          <w:szCs w:val="20"/>
        </w:rPr>
        <w:t>НЕГОТОВНОСТІ</w:t>
      </w:r>
      <w:r w:rsidRPr="000977F7">
        <w:rPr>
          <w:color w:val="auto"/>
          <w:spacing w:val="-3"/>
          <w:sz w:val="20"/>
          <w:szCs w:val="20"/>
        </w:rPr>
        <w:t xml:space="preserve"> </w:t>
      </w:r>
      <w:r w:rsidRPr="000977F7">
        <w:rPr>
          <w:color w:val="auto"/>
          <w:sz w:val="20"/>
          <w:szCs w:val="20"/>
        </w:rPr>
        <w:t>–</w:t>
      </w:r>
    </w:p>
    <w:p w14:paraId="6CD588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DISABLED</w:t>
      </w:r>
      <w:r w:rsidRPr="000977F7">
        <w:rPr>
          <w:rFonts w:asciiTheme="majorHAnsi" w:hAnsiTheme="majorHAnsi"/>
          <w:spacing w:val="-2"/>
          <w:sz w:val="20"/>
          <w:szCs w:val="20"/>
        </w:rPr>
        <w:t xml:space="preserve"> </w:t>
      </w:r>
      <w:r w:rsidRPr="000977F7">
        <w:rPr>
          <w:rFonts w:asciiTheme="majorHAnsi" w:hAnsiTheme="majorHAnsi"/>
          <w:sz w:val="20"/>
          <w:szCs w:val="20"/>
        </w:rPr>
        <w:t>TIME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6EDFCE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Інтервал часу, протягом якого об’єкт перебуває у стані</w:t>
      </w:r>
      <w:r w:rsidRPr="000977F7">
        <w:rPr>
          <w:rFonts w:asciiTheme="majorHAnsi" w:hAnsiTheme="majorHAnsi"/>
          <w:spacing w:val="-2"/>
          <w:sz w:val="20"/>
          <w:szCs w:val="20"/>
        </w:rPr>
        <w:t xml:space="preserve"> </w:t>
      </w:r>
      <w:r w:rsidRPr="000977F7">
        <w:rPr>
          <w:rFonts w:asciiTheme="majorHAnsi" w:hAnsiTheme="majorHAnsi"/>
          <w:sz w:val="20"/>
          <w:szCs w:val="20"/>
        </w:rPr>
        <w:t>неготовності</w:t>
      </w:r>
    </w:p>
    <w:p w14:paraId="030D3C5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DD15F9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ТРИВАЛІСТЬ</w:t>
      </w:r>
      <w:r w:rsidRPr="000977F7">
        <w:rPr>
          <w:color w:val="auto"/>
          <w:spacing w:val="-6"/>
          <w:sz w:val="20"/>
          <w:szCs w:val="20"/>
        </w:rPr>
        <w:t xml:space="preserve"> </w:t>
      </w:r>
      <w:r w:rsidRPr="000977F7">
        <w:rPr>
          <w:color w:val="auto"/>
          <w:sz w:val="20"/>
          <w:szCs w:val="20"/>
        </w:rPr>
        <w:t>НЕПЛАНОВОГО</w:t>
      </w:r>
      <w:r w:rsidRPr="000977F7">
        <w:rPr>
          <w:color w:val="auto"/>
          <w:spacing w:val="-5"/>
          <w:sz w:val="20"/>
          <w:szCs w:val="20"/>
        </w:rPr>
        <w:t xml:space="preserve"> </w:t>
      </w:r>
      <w:r w:rsidRPr="000977F7">
        <w:rPr>
          <w:color w:val="auto"/>
          <w:sz w:val="20"/>
          <w:szCs w:val="20"/>
        </w:rPr>
        <w:t>РЕМОНТУ –</w:t>
      </w:r>
    </w:p>
    <w:p w14:paraId="544D6A0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CORRECTIVE</w:t>
      </w:r>
      <w:r w:rsidRPr="000977F7">
        <w:rPr>
          <w:rFonts w:asciiTheme="majorHAnsi" w:hAnsiTheme="majorHAnsi"/>
          <w:spacing w:val="-2"/>
          <w:sz w:val="20"/>
          <w:szCs w:val="20"/>
        </w:rPr>
        <w:t xml:space="preserve"> </w:t>
      </w:r>
      <w:r w:rsidRPr="000977F7">
        <w:rPr>
          <w:rFonts w:asciiTheme="majorHAnsi" w:hAnsiTheme="majorHAnsi"/>
          <w:sz w:val="20"/>
          <w:szCs w:val="20"/>
        </w:rPr>
        <w:t>MAINTANANCE</w:t>
      </w:r>
      <w:r w:rsidRPr="000977F7">
        <w:rPr>
          <w:rFonts w:asciiTheme="majorHAnsi" w:hAnsiTheme="majorHAnsi"/>
          <w:spacing w:val="-2"/>
          <w:sz w:val="20"/>
          <w:szCs w:val="20"/>
        </w:rPr>
        <w:t xml:space="preserve"> </w:t>
      </w:r>
      <w:r w:rsidRPr="000977F7">
        <w:rPr>
          <w:rFonts w:asciiTheme="majorHAnsi" w:hAnsiTheme="majorHAnsi"/>
          <w:sz w:val="20"/>
          <w:szCs w:val="20"/>
        </w:rPr>
        <w:t>TIME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8EA035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тривалості технічного обслуговування та ремонту, протягом якої проводять непланований ремонт</w:t>
      </w:r>
      <w:r w:rsidRPr="000977F7">
        <w:rPr>
          <w:rFonts w:asciiTheme="majorHAnsi" w:hAnsiTheme="majorHAnsi"/>
          <w:spacing w:val="-47"/>
          <w:sz w:val="20"/>
          <w:szCs w:val="20"/>
        </w:rPr>
        <w:t xml:space="preserve"> </w:t>
      </w:r>
      <w:r w:rsidRPr="000977F7">
        <w:rPr>
          <w:rFonts w:asciiTheme="majorHAnsi" w:hAnsiTheme="majorHAnsi"/>
          <w:sz w:val="20"/>
          <w:szCs w:val="20"/>
        </w:rPr>
        <w:t>об’єкта, включно з тривалістю затримок через незабезпеченість матеріальними ресурсами в даних умовах</w:t>
      </w:r>
      <w:r w:rsidRPr="000977F7">
        <w:rPr>
          <w:rFonts w:asciiTheme="majorHAnsi" w:hAnsiTheme="majorHAnsi"/>
          <w:spacing w:val="-3"/>
          <w:sz w:val="20"/>
          <w:szCs w:val="20"/>
        </w:rPr>
        <w:t xml:space="preserve"> </w:t>
      </w:r>
      <w:r w:rsidRPr="000977F7">
        <w:rPr>
          <w:rFonts w:asciiTheme="majorHAnsi" w:hAnsiTheme="majorHAnsi"/>
          <w:sz w:val="20"/>
          <w:szCs w:val="20"/>
        </w:rPr>
        <w:t>непланового</w:t>
      </w:r>
      <w:r w:rsidRPr="000977F7">
        <w:rPr>
          <w:rFonts w:asciiTheme="majorHAnsi" w:hAnsiTheme="majorHAnsi"/>
          <w:spacing w:val="1"/>
          <w:sz w:val="20"/>
          <w:szCs w:val="20"/>
        </w:rPr>
        <w:t xml:space="preserve"> </w:t>
      </w:r>
      <w:r w:rsidRPr="000977F7">
        <w:rPr>
          <w:rFonts w:asciiTheme="majorHAnsi" w:hAnsiTheme="majorHAnsi"/>
          <w:sz w:val="20"/>
          <w:szCs w:val="20"/>
        </w:rPr>
        <w:t>ремонту</w:t>
      </w:r>
    </w:p>
    <w:p w14:paraId="048EBDD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31541B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ТРИВАЛІСТЬ</w:t>
      </w:r>
      <w:r w:rsidRPr="000977F7">
        <w:rPr>
          <w:color w:val="auto"/>
          <w:spacing w:val="-5"/>
          <w:sz w:val="20"/>
          <w:szCs w:val="20"/>
        </w:rPr>
        <w:t xml:space="preserve"> </w:t>
      </w:r>
      <w:r w:rsidRPr="000977F7">
        <w:rPr>
          <w:color w:val="auto"/>
          <w:sz w:val="20"/>
          <w:szCs w:val="20"/>
        </w:rPr>
        <w:t>НЕПРАЦЕЗДАТНОСТІ</w:t>
      </w:r>
      <w:r w:rsidRPr="000977F7">
        <w:rPr>
          <w:color w:val="auto"/>
          <w:spacing w:val="-3"/>
          <w:sz w:val="20"/>
          <w:szCs w:val="20"/>
        </w:rPr>
        <w:t xml:space="preserve"> </w:t>
      </w:r>
      <w:r w:rsidRPr="000977F7">
        <w:rPr>
          <w:color w:val="auto"/>
          <w:sz w:val="20"/>
          <w:szCs w:val="20"/>
        </w:rPr>
        <w:t>–</w:t>
      </w:r>
    </w:p>
    <w:p w14:paraId="1186B8D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DOWN</w:t>
      </w:r>
      <w:r w:rsidRPr="000977F7">
        <w:rPr>
          <w:rFonts w:asciiTheme="majorHAnsi" w:hAnsiTheme="majorHAnsi"/>
          <w:spacing w:val="-1"/>
          <w:sz w:val="20"/>
          <w:szCs w:val="20"/>
        </w:rPr>
        <w:t xml:space="preserve"> </w:t>
      </w:r>
      <w:r w:rsidRPr="000977F7">
        <w:rPr>
          <w:rFonts w:asciiTheme="majorHAnsi" w:hAnsiTheme="majorHAnsi"/>
          <w:sz w:val="20"/>
          <w:szCs w:val="20"/>
        </w:rPr>
        <w:t>TIME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86DBBC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Інтервал часу, протягом якого об’єкт перебуває в непрацездатному</w:t>
      </w:r>
      <w:r w:rsidRPr="000977F7">
        <w:rPr>
          <w:rFonts w:asciiTheme="majorHAnsi" w:hAnsiTheme="majorHAnsi"/>
          <w:spacing w:val="-5"/>
          <w:sz w:val="20"/>
          <w:szCs w:val="20"/>
        </w:rPr>
        <w:t xml:space="preserve"> </w:t>
      </w:r>
      <w:r w:rsidRPr="000977F7">
        <w:rPr>
          <w:rFonts w:asciiTheme="majorHAnsi" w:hAnsiTheme="majorHAnsi"/>
          <w:sz w:val="20"/>
          <w:szCs w:val="20"/>
        </w:rPr>
        <w:t>стані</w:t>
      </w:r>
    </w:p>
    <w:p w14:paraId="24CA0A4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75F8196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ТРИВАЛІСТЬ</w:t>
      </w:r>
      <w:r w:rsidRPr="000977F7">
        <w:rPr>
          <w:color w:val="auto"/>
          <w:spacing w:val="-4"/>
          <w:sz w:val="20"/>
          <w:szCs w:val="20"/>
        </w:rPr>
        <w:t xml:space="preserve"> </w:t>
      </w:r>
      <w:r w:rsidRPr="000977F7">
        <w:rPr>
          <w:color w:val="auto"/>
          <w:sz w:val="20"/>
          <w:szCs w:val="20"/>
        </w:rPr>
        <w:t>ПЕРЕБУВАННЯ</w:t>
      </w:r>
      <w:r w:rsidRPr="000977F7">
        <w:rPr>
          <w:color w:val="auto"/>
          <w:spacing w:val="-4"/>
          <w:sz w:val="20"/>
          <w:szCs w:val="20"/>
        </w:rPr>
        <w:t xml:space="preserve"> </w:t>
      </w:r>
      <w:r w:rsidRPr="000977F7">
        <w:rPr>
          <w:color w:val="auto"/>
          <w:sz w:val="20"/>
          <w:szCs w:val="20"/>
        </w:rPr>
        <w:t>У</w:t>
      </w:r>
      <w:r w:rsidRPr="000977F7">
        <w:rPr>
          <w:color w:val="auto"/>
          <w:spacing w:val="-4"/>
          <w:sz w:val="20"/>
          <w:szCs w:val="20"/>
        </w:rPr>
        <w:t xml:space="preserve"> </w:t>
      </w:r>
      <w:r w:rsidRPr="000977F7">
        <w:rPr>
          <w:color w:val="auto"/>
          <w:sz w:val="20"/>
          <w:szCs w:val="20"/>
        </w:rPr>
        <w:t>РЕЗЕРВІ –</w:t>
      </w:r>
    </w:p>
    <w:p w14:paraId="49F2A02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STANDBY</w:t>
      </w:r>
      <w:r w:rsidRPr="000977F7">
        <w:rPr>
          <w:rFonts w:asciiTheme="majorHAnsi" w:hAnsiTheme="majorHAnsi"/>
          <w:spacing w:val="-1"/>
          <w:sz w:val="20"/>
          <w:szCs w:val="20"/>
        </w:rPr>
        <w:t xml:space="preserve"> </w:t>
      </w:r>
      <w:r w:rsidRPr="000977F7">
        <w:rPr>
          <w:rFonts w:asciiTheme="majorHAnsi" w:hAnsiTheme="majorHAnsi"/>
          <w:sz w:val="20"/>
          <w:szCs w:val="20"/>
        </w:rPr>
        <w:t>TIME –</w:t>
      </w:r>
    </w:p>
    <w:p w14:paraId="7BF743E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Інтервал часу, протягом якого об’єкт перебуває у стані</w:t>
      </w:r>
      <w:r w:rsidRPr="000977F7">
        <w:rPr>
          <w:rFonts w:asciiTheme="majorHAnsi" w:hAnsiTheme="majorHAnsi"/>
          <w:spacing w:val="-2"/>
          <w:sz w:val="20"/>
          <w:szCs w:val="20"/>
        </w:rPr>
        <w:t xml:space="preserve"> </w:t>
      </w:r>
      <w:r w:rsidRPr="000977F7">
        <w:rPr>
          <w:rFonts w:asciiTheme="majorHAnsi" w:hAnsiTheme="majorHAnsi"/>
          <w:sz w:val="20"/>
          <w:szCs w:val="20"/>
        </w:rPr>
        <w:t>чергування</w:t>
      </w:r>
    </w:p>
    <w:p w14:paraId="57F4A3D2"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5F3DA467"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ТРИВАЛІСТЬ</w:t>
      </w:r>
      <w:r w:rsidRPr="004D2D14">
        <w:rPr>
          <w:rFonts w:asciiTheme="majorHAnsi" w:hAnsiTheme="majorHAnsi"/>
          <w:b/>
          <w:sz w:val="20"/>
          <w:szCs w:val="20"/>
          <w:lang w:val="en-US"/>
        </w:rPr>
        <w:t xml:space="preserve"> </w:t>
      </w:r>
      <w:r w:rsidRPr="000977F7">
        <w:rPr>
          <w:rFonts w:asciiTheme="majorHAnsi" w:hAnsiTheme="majorHAnsi"/>
          <w:b/>
          <w:sz w:val="20"/>
          <w:szCs w:val="20"/>
        </w:rPr>
        <w:t>ПОШУКУ</w:t>
      </w:r>
      <w:r w:rsidRPr="004D2D14">
        <w:rPr>
          <w:rFonts w:asciiTheme="majorHAnsi" w:hAnsiTheme="majorHAnsi"/>
          <w:b/>
          <w:sz w:val="20"/>
          <w:szCs w:val="20"/>
          <w:lang w:val="en-US"/>
        </w:rPr>
        <w:t xml:space="preserve"> </w:t>
      </w:r>
      <w:r w:rsidRPr="000977F7">
        <w:rPr>
          <w:rFonts w:asciiTheme="majorHAnsi" w:hAnsiTheme="majorHAnsi"/>
          <w:b/>
          <w:sz w:val="20"/>
          <w:szCs w:val="20"/>
        </w:rPr>
        <w:t>НЕСПРАВНОСТІ</w:t>
      </w:r>
      <w:r w:rsidRPr="004D2D14">
        <w:rPr>
          <w:rFonts w:asciiTheme="majorHAnsi" w:hAnsiTheme="majorHAnsi"/>
          <w:b/>
          <w:sz w:val="20"/>
          <w:szCs w:val="20"/>
          <w:lang w:val="en-US"/>
        </w:rPr>
        <w:t>–</w:t>
      </w:r>
      <w:r w:rsidRPr="004D2D14">
        <w:rPr>
          <w:rFonts w:asciiTheme="majorHAnsi" w:hAnsiTheme="majorHAnsi"/>
          <w:b/>
          <w:spacing w:val="1"/>
          <w:sz w:val="20"/>
          <w:szCs w:val="20"/>
          <w:lang w:val="en-US"/>
        </w:rPr>
        <w:t xml:space="preserve"> </w:t>
      </w:r>
      <w:r w:rsidRPr="004D2D14">
        <w:rPr>
          <w:rFonts w:asciiTheme="majorHAnsi" w:hAnsiTheme="majorHAnsi"/>
          <w:sz w:val="20"/>
          <w:szCs w:val="20"/>
          <w:lang w:val="en-US"/>
        </w:rPr>
        <w:t>FAULT LOCALIZATION TIME; FAUL</w:t>
      </w:r>
      <w:r w:rsidRPr="000977F7">
        <w:rPr>
          <w:rFonts w:asciiTheme="majorHAnsi" w:hAnsiTheme="majorHAnsi"/>
          <w:sz w:val="20"/>
          <w:szCs w:val="20"/>
        </w:rPr>
        <w:t>Т</w:t>
      </w:r>
      <w:r w:rsidRPr="004D2D14">
        <w:rPr>
          <w:rFonts w:asciiTheme="majorHAnsi" w:hAnsiTheme="majorHAnsi"/>
          <w:sz w:val="20"/>
          <w:szCs w:val="20"/>
          <w:lang w:val="en-US"/>
        </w:rPr>
        <w:t xml:space="preserve"> LOCATION</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(DEPRECATED)</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5AD8D9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оперативної тривалості непланового ремонту,</w:t>
      </w:r>
      <w:r w:rsidRPr="000977F7">
        <w:rPr>
          <w:rFonts w:asciiTheme="majorHAnsi" w:hAnsiTheme="majorHAnsi"/>
          <w:spacing w:val="-48"/>
          <w:sz w:val="20"/>
          <w:szCs w:val="20"/>
        </w:rPr>
        <w:t xml:space="preserve"> </w:t>
      </w:r>
      <w:r w:rsidRPr="000977F7">
        <w:rPr>
          <w:rFonts w:asciiTheme="majorHAnsi" w:hAnsiTheme="majorHAnsi"/>
          <w:sz w:val="20"/>
          <w:szCs w:val="20"/>
        </w:rPr>
        <w:t>під</w:t>
      </w:r>
      <w:r w:rsidRPr="000977F7">
        <w:rPr>
          <w:rFonts w:asciiTheme="majorHAnsi" w:hAnsiTheme="majorHAnsi"/>
          <w:spacing w:val="-2"/>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якої</w:t>
      </w:r>
      <w:r w:rsidRPr="000977F7">
        <w:rPr>
          <w:rFonts w:asciiTheme="majorHAnsi" w:hAnsiTheme="majorHAnsi"/>
          <w:spacing w:val="-2"/>
          <w:sz w:val="20"/>
          <w:szCs w:val="20"/>
        </w:rPr>
        <w:t xml:space="preserve"> </w:t>
      </w:r>
      <w:r w:rsidRPr="000977F7">
        <w:rPr>
          <w:rFonts w:asciiTheme="majorHAnsi" w:hAnsiTheme="majorHAnsi"/>
          <w:sz w:val="20"/>
          <w:szCs w:val="20"/>
        </w:rPr>
        <w:t>визначають місце</w:t>
      </w:r>
      <w:r w:rsidRPr="000977F7">
        <w:rPr>
          <w:rFonts w:asciiTheme="majorHAnsi" w:hAnsiTheme="majorHAnsi"/>
          <w:spacing w:val="-1"/>
          <w:sz w:val="20"/>
          <w:szCs w:val="20"/>
        </w:rPr>
        <w:t xml:space="preserve"> </w:t>
      </w:r>
      <w:r w:rsidRPr="000977F7">
        <w:rPr>
          <w:rFonts w:asciiTheme="majorHAnsi" w:hAnsiTheme="majorHAnsi"/>
          <w:sz w:val="20"/>
          <w:szCs w:val="20"/>
        </w:rPr>
        <w:t>несправності</w:t>
      </w:r>
    </w:p>
    <w:p w14:paraId="4C2024F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837BB0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ТРИВАЛІСТЬ</w:t>
      </w:r>
      <w:r w:rsidRPr="000977F7">
        <w:rPr>
          <w:color w:val="auto"/>
          <w:spacing w:val="-6"/>
          <w:sz w:val="20"/>
          <w:szCs w:val="20"/>
        </w:rPr>
        <w:t xml:space="preserve"> </w:t>
      </w:r>
      <w:r w:rsidRPr="000977F7">
        <w:rPr>
          <w:color w:val="auto"/>
          <w:sz w:val="20"/>
          <w:szCs w:val="20"/>
        </w:rPr>
        <w:t>ПРАЦЕЗДАТНОСТІ</w:t>
      </w:r>
      <w:r w:rsidRPr="000977F7">
        <w:rPr>
          <w:color w:val="auto"/>
          <w:spacing w:val="-3"/>
          <w:sz w:val="20"/>
          <w:szCs w:val="20"/>
        </w:rPr>
        <w:t xml:space="preserve"> </w:t>
      </w:r>
      <w:r w:rsidRPr="000977F7">
        <w:rPr>
          <w:color w:val="auto"/>
          <w:sz w:val="20"/>
          <w:szCs w:val="20"/>
        </w:rPr>
        <w:t>–</w:t>
      </w:r>
    </w:p>
    <w:p w14:paraId="5D0FC3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OPERABLE</w:t>
      </w:r>
      <w:r w:rsidRPr="000977F7">
        <w:rPr>
          <w:rFonts w:asciiTheme="majorHAnsi" w:hAnsiTheme="majorHAnsi"/>
          <w:spacing w:val="-2"/>
          <w:sz w:val="20"/>
          <w:szCs w:val="20"/>
        </w:rPr>
        <w:t xml:space="preserve"> </w:t>
      </w:r>
      <w:r w:rsidRPr="000977F7">
        <w:rPr>
          <w:rFonts w:asciiTheme="majorHAnsi" w:hAnsiTheme="majorHAnsi"/>
          <w:sz w:val="20"/>
          <w:szCs w:val="20"/>
        </w:rPr>
        <w:t>TIME;</w:t>
      </w:r>
      <w:r w:rsidRPr="000977F7">
        <w:rPr>
          <w:rFonts w:asciiTheme="majorHAnsi" w:hAnsiTheme="majorHAnsi"/>
          <w:spacing w:val="-2"/>
          <w:sz w:val="20"/>
          <w:szCs w:val="20"/>
        </w:rPr>
        <w:t xml:space="preserve"> </w:t>
      </w:r>
      <w:r w:rsidRPr="000977F7">
        <w:rPr>
          <w:rFonts w:asciiTheme="majorHAnsi" w:hAnsiTheme="majorHAnsi"/>
          <w:sz w:val="20"/>
          <w:szCs w:val="20"/>
        </w:rPr>
        <w:t>UPTIME –</w:t>
      </w:r>
    </w:p>
    <w:p w14:paraId="40DD468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протягом</w:t>
      </w:r>
      <w:r w:rsidRPr="000977F7">
        <w:rPr>
          <w:rFonts w:asciiTheme="majorHAnsi" w:hAnsiTheme="majorHAnsi"/>
          <w:spacing w:val="1"/>
          <w:sz w:val="20"/>
          <w:szCs w:val="20"/>
        </w:rPr>
        <w:t xml:space="preserve"> </w:t>
      </w:r>
      <w:r w:rsidRPr="000977F7">
        <w:rPr>
          <w:rFonts w:asciiTheme="majorHAnsi" w:hAnsiTheme="majorHAnsi"/>
          <w:sz w:val="20"/>
          <w:szCs w:val="20"/>
        </w:rPr>
        <w:t>якого</w:t>
      </w:r>
      <w:r w:rsidRPr="000977F7">
        <w:rPr>
          <w:rFonts w:asciiTheme="majorHAnsi" w:hAnsiTheme="majorHAnsi"/>
          <w:spacing w:val="1"/>
          <w:sz w:val="20"/>
          <w:szCs w:val="20"/>
        </w:rPr>
        <w:t xml:space="preserve"> </w:t>
      </w:r>
      <w:r w:rsidRPr="000977F7">
        <w:rPr>
          <w:rFonts w:asciiTheme="majorHAnsi" w:hAnsiTheme="majorHAnsi"/>
          <w:sz w:val="20"/>
          <w:szCs w:val="20"/>
        </w:rPr>
        <w:t>функційний</w:t>
      </w:r>
      <w:r w:rsidRPr="000977F7">
        <w:rPr>
          <w:rFonts w:asciiTheme="majorHAnsi" w:hAnsiTheme="majorHAnsi"/>
          <w:spacing w:val="1"/>
          <w:sz w:val="20"/>
          <w:szCs w:val="20"/>
        </w:rPr>
        <w:t xml:space="preserve"> </w:t>
      </w:r>
      <w:r w:rsidRPr="000977F7">
        <w:rPr>
          <w:rFonts w:asciiTheme="majorHAnsi" w:hAnsiTheme="majorHAnsi"/>
          <w:sz w:val="20"/>
          <w:szCs w:val="20"/>
        </w:rPr>
        <w:t>модуль</w:t>
      </w:r>
      <w:r w:rsidRPr="000977F7">
        <w:rPr>
          <w:rFonts w:asciiTheme="majorHAnsi" w:hAnsiTheme="majorHAnsi"/>
          <w:spacing w:val="1"/>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здатний</w:t>
      </w:r>
      <w:r w:rsidRPr="000977F7">
        <w:rPr>
          <w:rFonts w:asciiTheme="majorHAnsi" w:hAnsiTheme="majorHAnsi"/>
          <w:spacing w:val="-2"/>
          <w:sz w:val="20"/>
          <w:szCs w:val="20"/>
        </w:rPr>
        <w:t xml:space="preserve"> </w:t>
      </w:r>
      <w:r w:rsidRPr="000977F7">
        <w:rPr>
          <w:rFonts w:asciiTheme="majorHAnsi" w:hAnsiTheme="majorHAnsi"/>
          <w:sz w:val="20"/>
          <w:szCs w:val="20"/>
        </w:rPr>
        <w:t>(здатна) давати</w:t>
      </w:r>
      <w:r w:rsidRPr="000977F7">
        <w:rPr>
          <w:rFonts w:asciiTheme="majorHAnsi" w:hAnsiTheme="majorHAnsi"/>
          <w:spacing w:val="-2"/>
          <w:sz w:val="20"/>
          <w:szCs w:val="20"/>
        </w:rPr>
        <w:t xml:space="preserve"> </w:t>
      </w:r>
      <w:r w:rsidRPr="000977F7">
        <w:rPr>
          <w:rFonts w:asciiTheme="majorHAnsi" w:hAnsiTheme="majorHAnsi"/>
          <w:sz w:val="20"/>
          <w:szCs w:val="20"/>
        </w:rPr>
        <w:t>правильні</w:t>
      </w:r>
      <w:r w:rsidRPr="000977F7">
        <w:rPr>
          <w:rFonts w:asciiTheme="majorHAnsi" w:hAnsiTheme="majorHAnsi"/>
          <w:spacing w:val="-2"/>
          <w:sz w:val="20"/>
          <w:szCs w:val="20"/>
        </w:rPr>
        <w:t xml:space="preserve"> </w:t>
      </w:r>
      <w:r w:rsidRPr="000977F7">
        <w:rPr>
          <w:rFonts w:asciiTheme="majorHAnsi" w:hAnsiTheme="majorHAnsi"/>
          <w:sz w:val="20"/>
          <w:szCs w:val="20"/>
        </w:rPr>
        <w:t>результати</w:t>
      </w:r>
    </w:p>
    <w:p w14:paraId="03E674B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ISO/IEC</w:t>
      </w:r>
      <w:r w:rsidRPr="000977F7">
        <w:rPr>
          <w:rFonts w:asciiTheme="majorHAnsi" w:hAnsiTheme="majorHAnsi"/>
          <w:i/>
          <w:spacing w:val="-3"/>
          <w:sz w:val="20"/>
          <w:szCs w:val="20"/>
        </w:rPr>
        <w:t xml:space="preserve"> </w:t>
      </w:r>
      <w:r w:rsidRPr="000977F7">
        <w:rPr>
          <w:rFonts w:asciiTheme="majorHAnsi" w:hAnsiTheme="majorHAnsi"/>
          <w:i/>
          <w:sz w:val="20"/>
          <w:szCs w:val="20"/>
        </w:rPr>
        <w:t>2382:2017</w:t>
      </w:r>
    </w:p>
    <w:p w14:paraId="3B177C20"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iCs/>
          <w:sz w:val="20"/>
          <w:szCs w:val="20"/>
        </w:rPr>
        <w:t>Інте</w:t>
      </w:r>
      <w:r w:rsidRPr="000977F7">
        <w:rPr>
          <w:rFonts w:asciiTheme="majorHAnsi" w:hAnsiTheme="majorHAnsi"/>
          <w:sz w:val="20"/>
          <w:szCs w:val="20"/>
        </w:rPr>
        <w:t>рвал часу, протягом якого об’єкт перебуває в працездатному</w:t>
      </w:r>
      <w:r w:rsidRPr="000977F7">
        <w:rPr>
          <w:rFonts w:asciiTheme="majorHAnsi" w:hAnsiTheme="majorHAnsi"/>
          <w:spacing w:val="-5"/>
          <w:sz w:val="20"/>
          <w:szCs w:val="20"/>
        </w:rPr>
        <w:t xml:space="preserve"> </w:t>
      </w:r>
      <w:r w:rsidRPr="000977F7">
        <w:rPr>
          <w:rFonts w:asciiTheme="majorHAnsi" w:hAnsiTheme="majorHAnsi"/>
          <w:sz w:val="20"/>
          <w:szCs w:val="20"/>
        </w:rPr>
        <w:t>стані</w:t>
      </w:r>
    </w:p>
    <w:p w14:paraId="0F01989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B479ED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294" w:name="_Hlk104217500"/>
      <w:r w:rsidRPr="000977F7">
        <w:rPr>
          <w:color w:val="auto"/>
          <w:sz w:val="20"/>
          <w:szCs w:val="20"/>
        </w:rPr>
        <w:t>ТРИВАЛІСТЬ</w:t>
      </w:r>
      <w:r w:rsidRPr="000977F7">
        <w:rPr>
          <w:color w:val="auto"/>
          <w:spacing w:val="-6"/>
          <w:sz w:val="20"/>
          <w:szCs w:val="20"/>
        </w:rPr>
        <w:t xml:space="preserve"> </w:t>
      </w:r>
      <w:r w:rsidRPr="000977F7">
        <w:rPr>
          <w:color w:val="auto"/>
          <w:sz w:val="20"/>
          <w:szCs w:val="20"/>
        </w:rPr>
        <w:t>ПРОСТОЮВАННЯ</w:t>
      </w:r>
      <w:r w:rsidRPr="000977F7">
        <w:rPr>
          <w:color w:val="auto"/>
          <w:spacing w:val="-3"/>
          <w:sz w:val="20"/>
          <w:szCs w:val="20"/>
        </w:rPr>
        <w:t xml:space="preserve"> </w:t>
      </w:r>
      <w:r w:rsidRPr="000977F7">
        <w:rPr>
          <w:color w:val="auto"/>
          <w:sz w:val="20"/>
          <w:szCs w:val="20"/>
        </w:rPr>
        <w:t>–</w:t>
      </w:r>
    </w:p>
    <w:p w14:paraId="15A56A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IDLE</w:t>
      </w:r>
      <w:r w:rsidRPr="000977F7">
        <w:rPr>
          <w:rFonts w:asciiTheme="majorHAnsi" w:hAnsiTheme="majorHAnsi"/>
          <w:spacing w:val="-1"/>
          <w:sz w:val="20"/>
          <w:szCs w:val="20"/>
        </w:rPr>
        <w:t xml:space="preserve"> </w:t>
      </w:r>
      <w:r w:rsidRPr="000977F7">
        <w:rPr>
          <w:rFonts w:asciiTheme="majorHAnsi" w:hAnsiTheme="majorHAnsi"/>
          <w:sz w:val="20"/>
          <w:szCs w:val="20"/>
        </w:rPr>
        <w:t>TIME</w:t>
      </w:r>
      <w:r w:rsidRPr="000977F7">
        <w:rPr>
          <w:rFonts w:asciiTheme="majorHAnsi" w:hAnsiTheme="majorHAnsi"/>
          <w:spacing w:val="1"/>
          <w:sz w:val="20"/>
          <w:szCs w:val="20"/>
        </w:rPr>
        <w:t xml:space="preserve"> </w:t>
      </w:r>
      <w:r w:rsidRPr="000977F7">
        <w:rPr>
          <w:rFonts w:asciiTheme="majorHAnsi" w:hAnsiTheme="majorHAnsi"/>
          <w:sz w:val="20"/>
          <w:szCs w:val="20"/>
        </w:rPr>
        <w:t>–</w:t>
      </w:r>
    </w:p>
    <w:bookmarkEnd w:id="294"/>
    <w:p w14:paraId="05F7A79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1"/>
          <w:sz w:val="20"/>
          <w:szCs w:val="20"/>
        </w:rPr>
        <w:t xml:space="preserve"> </w:t>
      </w:r>
      <w:r w:rsidRPr="000977F7">
        <w:rPr>
          <w:rFonts w:asciiTheme="majorHAnsi" w:hAnsiTheme="majorHAnsi"/>
          <w:sz w:val="20"/>
          <w:szCs w:val="20"/>
        </w:rPr>
        <w:t>тривалості</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працездатності,</w:t>
      </w:r>
      <w:r w:rsidRPr="000977F7">
        <w:rPr>
          <w:rFonts w:asciiTheme="majorHAnsi" w:hAnsiTheme="majorHAnsi"/>
          <w:spacing w:val="1"/>
          <w:sz w:val="20"/>
          <w:szCs w:val="20"/>
        </w:rPr>
        <w:t xml:space="preserve"> </w:t>
      </w:r>
      <w:r w:rsidRPr="000977F7">
        <w:rPr>
          <w:rFonts w:asciiTheme="majorHAnsi" w:hAnsiTheme="majorHAnsi"/>
          <w:sz w:val="20"/>
          <w:szCs w:val="20"/>
        </w:rPr>
        <w:t>протягом</w:t>
      </w:r>
      <w:r w:rsidRPr="000977F7">
        <w:rPr>
          <w:rFonts w:asciiTheme="majorHAnsi" w:hAnsiTheme="majorHAnsi"/>
          <w:spacing w:val="1"/>
          <w:sz w:val="20"/>
          <w:szCs w:val="20"/>
        </w:rPr>
        <w:t xml:space="preserve"> </w:t>
      </w:r>
      <w:r w:rsidRPr="000977F7">
        <w:rPr>
          <w:rFonts w:asciiTheme="majorHAnsi" w:hAnsiTheme="majorHAnsi"/>
          <w:sz w:val="20"/>
          <w:szCs w:val="20"/>
        </w:rPr>
        <w:t>якої</w:t>
      </w:r>
      <w:r w:rsidRPr="000977F7">
        <w:rPr>
          <w:rFonts w:asciiTheme="majorHAnsi" w:hAnsiTheme="majorHAnsi"/>
          <w:spacing w:val="1"/>
          <w:sz w:val="20"/>
          <w:szCs w:val="20"/>
        </w:rPr>
        <w:t xml:space="preserve"> </w:t>
      </w:r>
      <w:r w:rsidRPr="000977F7">
        <w:rPr>
          <w:rFonts w:asciiTheme="majorHAnsi" w:hAnsiTheme="majorHAnsi"/>
          <w:sz w:val="20"/>
          <w:szCs w:val="20"/>
        </w:rPr>
        <w:t>функційний</w:t>
      </w:r>
      <w:r w:rsidRPr="000977F7">
        <w:rPr>
          <w:rFonts w:asciiTheme="majorHAnsi" w:hAnsiTheme="majorHAnsi"/>
          <w:spacing w:val="-2"/>
          <w:sz w:val="20"/>
          <w:szCs w:val="20"/>
        </w:rPr>
        <w:t xml:space="preserve"> </w:t>
      </w:r>
      <w:r w:rsidRPr="000977F7">
        <w:rPr>
          <w:rFonts w:asciiTheme="majorHAnsi" w:hAnsiTheme="majorHAnsi"/>
          <w:sz w:val="20"/>
          <w:szCs w:val="20"/>
        </w:rPr>
        <w:t>модуль (система) не працює</w:t>
      </w:r>
    </w:p>
    <w:p w14:paraId="08E5C35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ISO/IEC</w:t>
      </w:r>
      <w:r w:rsidRPr="000977F7">
        <w:rPr>
          <w:rFonts w:asciiTheme="majorHAnsi" w:hAnsiTheme="majorHAnsi"/>
          <w:i/>
          <w:spacing w:val="-3"/>
          <w:sz w:val="20"/>
          <w:szCs w:val="20"/>
        </w:rPr>
        <w:t xml:space="preserve"> </w:t>
      </w:r>
      <w:r w:rsidRPr="000977F7">
        <w:rPr>
          <w:rFonts w:asciiTheme="majorHAnsi" w:hAnsiTheme="majorHAnsi"/>
          <w:i/>
          <w:sz w:val="20"/>
          <w:szCs w:val="20"/>
        </w:rPr>
        <w:t>2382:2017</w:t>
      </w:r>
    </w:p>
    <w:p w14:paraId="7183DF3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ТРИВАЛІСТЬ</w:t>
      </w:r>
      <w:r w:rsidRPr="000977F7">
        <w:rPr>
          <w:color w:val="auto"/>
          <w:spacing w:val="-4"/>
          <w:sz w:val="20"/>
          <w:szCs w:val="20"/>
        </w:rPr>
        <w:t xml:space="preserve"> </w:t>
      </w:r>
      <w:r w:rsidRPr="000977F7">
        <w:rPr>
          <w:color w:val="auto"/>
          <w:sz w:val="20"/>
          <w:szCs w:val="20"/>
        </w:rPr>
        <w:t>РЕМОНТУ</w:t>
      </w:r>
      <w:r w:rsidRPr="000977F7">
        <w:rPr>
          <w:color w:val="auto"/>
          <w:spacing w:val="-1"/>
          <w:sz w:val="20"/>
          <w:szCs w:val="20"/>
        </w:rPr>
        <w:t xml:space="preserve"> </w:t>
      </w:r>
      <w:r w:rsidRPr="000977F7">
        <w:rPr>
          <w:color w:val="auto"/>
          <w:sz w:val="20"/>
          <w:szCs w:val="20"/>
        </w:rPr>
        <w:t>–</w:t>
      </w:r>
    </w:p>
    <w:p w14:paraId="6B17D9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Регламентований</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простоювання</w:t>
      </w:r>
      <w:r w:rsidRPr="000977F7">
        <w:rPr>
          <w:rFonts w:asciiTheme="majorHAnsi" w:hAnsiTheme="majorHAnsi"/>
          <w:spacing w:val="1"/>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ремонті, що складається з часу передавання в ремонт,</w:t>
      </w:r>
      <w:r w:rsidRPr="000977F7">
        <w:rPr>
          <w:rFonts w:asciiTheme="majorHAnsi" w:hAnsiTheme="majorHAnsi"/>
          <w:spacing w:val="1"/>
          <w:sz w:val="20"/>
          <w:szCs w:val="20"/>
        </w:rPr>
        <w:t xml:space="preserve"> </w:t>
      </w:r>
      <w:r w:rsidRPr="000977F7">
        <w:rPr>
          <w:rFonts w:asciiTheme="majorHAnsi" w:hAnsiTheme="majorHAnsi"/>
          <w:sz w:val="20"/>
          <w:szCs w:val="20"/>
        </w:rPr>
        <w:t>власне ремонту та приймання відремонтованого устаткування</w:t>
      </w:r>
    </w:p>
    <w:p w14:paraId="0D0332C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EBFA35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ТРИВАЛІСТЬ</w:t>
      </w:r>
      <w:r w:rsidRPr="000977F7">
        <w:rPr>
          <w:color w:val="auto"/>
          <w:spacing w:val="-3"/>
          <w:sz w:val="20"/>
          <w:szCs w:val="20"/>
        </w:rPr>
        <w:t xml:space="preserve"> </w:t>
      </w:r>
      <w:r w:rsidRPr="000977F7">
        <w:rPr>
          <w:color w:val="auto"/>
          <w:sz w:val="20"/>
          <w:szCs w:val="20"/>
        </w:rPr>
        <w:t>СТАНУ</w:t>
      </w:r>
      <w:r w:rsidRPr="000977F7">
        <w:rPr>
          <w:color w:val="auto"/>
          <w:spacing w:val="-5"/>
          <w:sz w:val="20"/>
          <w:szCs w:val="20"/>
        </w:rPr>
        <w:t xml:space="preserve"> </w:t>
      </w:r>
      <w:r w:rsidRPr="000977F7">
        <w:rPr>
          <w:color w:val="auto"/>
          <w:sz w:val="20"/>
          <w:szCs w:val="20"/>
        </w:rPr>
        <w:t>ГОТОВНОСТІ</w:t>
      </w:r>
      <w:r w:rsidRPr="000977F7">
        <w:rPr>
          <w:color w:val="auto"/>
          <w:spacing w:val="-4"/>
          <w:sz w:val="20"/>
          <w:szCs w:val="20"/>
        </w:rPr>
        <w:t xml:space="preserve"> </w:t>
      </w:r>
      <w:r w:rsidRPr="000977F7">
        <w:rPr>
          <w:color w:val="auto"/>
          <w:sz w:val="20"/>
          <w:szCs w:val="20"/>
        </w:rPr>
        <w:t>–</w:t>
      </w:r>
    </w:p>
    <w:p w14:paraId="28E9BFB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AVAILABLE</w:t>
      </w:r>
      <w:r w:rsidRPr="000977F7">
        <w:rPr>
          <w:rFonts w:asciiTheme="majorHAnsi" w:hAnsiTheme="majorHAnsi"/>
          <w:spacing w:val="-3"/>
          <w:sz w:val="20"/>
          <w:szCs w:val="20"/>
        </w:rPr>
        <w:t xml:space="preserve"> </w:t>
      </w:r>
      <w:r w:rsidRPr="000977F7">
        <w:rPr>
          <w:rFonts w:asciiTheme="majorHAnsi" w:hAnsiTheme="majorHAnsi"/>
          <w:sz w:val="20"/>
          <w:szCs w:val="20"/>
        </w:rPr>
        <w:t>TIME</w:t>
      </w:r>
      <w:r w:rsidRPr="000977F7">
        <w:rPr>
          <w:rFonts w:asciiTheme="majorHAnsi" w:hAnsiTheme="majorHAnsi"/>
          <w:spacing w:val="1"/>
          <w:sz w:val="20"/>
          <w:szCs w:val="20"/>
        </w:rPr>
        <w:t xml:space="preserve"> </w:t>
      </w:r>
      <w:r w:rsidRPr="000977F7">
        <w:rPr>
          <w:rFonts w:asciiTheme="majorHAnsi" w:hAnsiTheme="majorHAnsi"/>
          <w:sz w:val="20"/>
          <w:szCs w:val="20"/>
        </w:rPr>
        <w:t>–З погляду користувача – час, протягом якого функційний</w:t>
      </w:r>
      <w:r w:rsidRPr="000977F7">
        <w:rPr>
          <w:rFonts w:asciiTheme="majorHAnsi" w:hAnsiTheme="majorHAnsi"/>
          <w:spacing w:val="1"/>
          <w:sz w:val="20"/>
          <w:szCs w:val="20"/>
        </w:rPr>
        <w:t xml:space="preserve"> </w:t>
      </w:r>
      <w:r w:rsidRPr="000977F7">
        <w:rPr>
          <w:rFonts w:asciiTheme="majorHAnsi" w:hAnsiTheme="majorHAnsi"/>
          <w:sz w:val="20"/>
          <w:szCs w:val="20"/>
        </w:rPr>
        <w:t>модуль</w:t>
      </w:r>
      <w:r w:rsidRPr="000977F7">
        <w:rPr>
          <w:rFonts w:asciiTheme="majorHAnsi" w:hAnsiTheme="majorHAnsi"/>
          <w:spacing w:val="1"/>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придатний</w:t>
      </w:r>
      <w:r w:rsidRPr="000977F7">
        <w:rPr>
          <w:rFonts w:asciiTheme="majorHAnsi" w:hAnsiTheme="majorHAnsi"/>
          <w:spacing w:val="1"/>
          <w:sz w:val="20"/>
          <w:szCs w:val="20"/>
        </w:rPr>
        <w:t xml:space="preserve"> </w:t>
      </w:r>
      <w:r w:rsidRPr="000977F7">
        <w:rPr>
          <w:rFonts w:asciiTheme="majorHAnsi" w:hAnsiTheme="majorHAnsi"/>
          <w:sz w:val="20"/>
          <w:szCs w:val="20"/>
        </w:rPr>
        <w:t>(придатна)</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p>
    <w:p w14:paraId="2A6C55B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ISO/IEC</w:t>
      </w:r>
      <w:r w:rsidRPr="000977F7">
        <w:rPr>
          <w:rFonts w:asciiTheme="majorHAnsi" w:hAnsiTheme="majorHAnsi"/>
          <w:i/>
          <w:spacing w:val="-4"/>
          <w:sz w:val="20"/>
          <w:szCs w:val="20"/>
        </w:rPr>
        <w:t xml:space="preserve"> </w:t>
      </w:r>
      <w:r w:rsidRPr="000977F7">
        <w:rPr>
          <w:rFonts w:asciiTheme="majorHAnsi" w:hAnsiTheme="majorHAnsi"/>
          <w:i/>
          <w:sz w:val="20"/>
          <w:szCs w:val="20"/>
        </w:rPr>
        <w:t>2382:2017</w:t>
      </w:r>
    </w:p>
    <w:p w14:paraId="192090CB" w14:textId="77777777" w:rsidR="0097612F" w:rsidRPr="000977F7" w:rsidRDefault="0097612F" w:rsidP="000977F7">
      <w:pPr>
        <w:pStyle w:val="8"/>
        <w:tabs>
          <w:tab w:val="left" w:pos="284"/>
        </w:tabs>
        <w:spacing w:before="0" w:line="240" w:lineRule="auto"/>
        <w:ind w:left="170"/>
        <w:mirrorIndents/>
        <w:jc w:val="both"/>
        <w:rPr>
          <w:rFonts w:asciiTheme="majorHAnsi" w:hAnsiTheme="majorHAnsi"/>
          <w:i w:val="0"/>
          <w:iCs w:val="0"/>
        </w:rPr>
      </w:pPr>
      <w:r w:rsidRPr="000977F7">
        <w:rPr>
          <w:rFonts w:asciiTheme="majorHAnsi" w:hAnsiTheme="majorHAnsi"/>
          <w:i w:val="0"/>
          <w:iCs w:val="0"/>
        </w:rPr>
        <w:t>ТРИВАЛІСТЬ</w:t>
      </w:r>
      <w:r w:rsidRPr="000977F7">
        <w:rPr>
          <w:rFonts w:asciiTheme="majorHAnsi" w:hAnsiTheme="majorHAnsi"/>
          <w:i w:val="0"/>
          <w:iCs w:val="0"/>
          <w:spacing w:val="-3"/>
        </w:rPr>
        <w:t xml:space="preserve"> </w:t>
      </w:r>
      <w:r w:rsidRPr="000977F7">
        <w:rPr>
          <w:rFonts w:asciiTheme="majorHAnsi" w:hAnsiTheme="majorHAnsi"/>
          <w:i w:val="0"/>
          <w:iCs w:val="0"/>
        </w:rPr>
        <w:t>СТАНУ</w:t>
      </w:r>
      <w:r w:rsidRPr="000977F7">
        <w:rPr>
          <w:rFonts w:asciiTheme="majorHAnsi" w:hAnsiTheme="majorHAnsi"/>
          <w:i w:val="0"/>
          <w:iCs w:val="0"/>
          <w:spacing w:val="-3"/>
        </w:rPr>
        <w:t xml:space="preserve"> </w:t>
      </w:r>
      <w:r w:rsidRPr="000977F7">
        <w:rPr>
          <w:rFonts w:asciiTheme="majorHAnsi" w:hAnsiTheme="majorHAnsi"/>
          <w:i w:val="0"/>
          <w:iCs w:val="0"/>
        </w:rPr>
        <w:t>НЕГОТОВНОСТІ</w:t>
      </w:r>
      <w:r w:rsidRPr="000977F7">
        <w:rPr>
          <w:rFonts w:asciiTheme="majorHAnsi" w:hAnsiTheme="majorHAnsi"/>
          <w:i w:val="0"/>
          <w:iCs w:val="0"/>
          <w:spacing w:val="-2"/>
        </w:rPr>
        <w:t xml:space="preserve"> </w:t>
      </w:r>
      <w:r w:rsidRPr="000977F7">
        <w:rPr>
          <w:rFonts w:asciiTheme="majorHAnsi" w:hAnsiTheme="majorHAnsi"/>
          <w:i w:val="0"/>
          <w:iCs w:val="0"/>
        </w:rPr>
        <w:t>–</w:t>
      </w:r>
    </w:p>
    <w:p w14:paraId="115F6A4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UNAVAILABLE</w:t>
      </w:r>
      <w:r w:rsidRPr="000977F7">
        <w:rPr>
          <w:rFonts w:asciiTheme="majorHAnsi" w:hAnsiTheme="majorHAnsi"/>
          <w:spacing w:val="-3"/>
          <w:sz w:val="20"/>
          <w:szCs w:val="20"/>
        </w:rPr>
        <w:t xml:space="preserve"> </w:t>
      </w:r>
      <w:r w:rsidRPr="000977F7">
        <w:rPr>
          <w:rFonts w:asciiTheme="majorHAnsi" w:hAnsiTheme="majorHAnsi"/>
          <w:sz w:val="20"/>
          <w:szCs w:val="20"/>
        </w:rPr>
        <w:t>TIME –</w:t>
      </w:r>
    </w:p>
    <w:p w14:paraId="147CF7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 погляду користувача – час, протягом якого функційний модуль (система) не придатний (не придатна )</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p>
    <w:p w14:paraId="193FA8D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ISO/IEC</w:t>
      </w:r>
      <w:r w:rsidRPr="000977F7">
        <w:rPr>
          <w:rFonts w:asciiTheme="majorHAnsi" w:hAnsiTheme="majorHAnsi"/>
          <w:i/>
          <w:spacing w:val="-3"/>
          <w:sz w:val="20"/>
          <w:szCs w:val="20"/>
        </w:rPr>
        <w:t xml:space="preserve"> </w:t>
      </w:r>
      <w:r w:rsidRPr="000977F7">
        <w:rPr>
          <w:rFonts w:asciiTheme="majorHAnsi" w:hAnsiTheme="majorHAnsi"/>
          <w:i/>
          <w:sz w:val="20"/>
          <w:szCs w:val="20"/>
        </w:rPr>
        <w:t>2382:2017</w:t>
      </w:r>
    </w:p>
    <w:p w14:paraId="3A3D425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ТРИВАЛІСТЬ ТЕХНІЧНОГО </w:t>
      </w:r>
    </w:p>
    <w:p w14:paraId="5B2684E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ДІАГНОСТУВАН</w:t>
      </w:r>
      <w:r w:rsidRPr="000977F7">
        <w:rPr>
          <w:color w:val="auto"/>
          <w:spacing w:val="-47"/>
          <w:sz w:val="20"/>
          <w:szCs w:val="20"/>
        </w:rPr>
        <w:t xml:space="preserve"> </w:t>
      </w:r>
      <w:r w:rsidRPr="000977F7">
        <w:rPr>
          <w:color w:val="auto"/>
          <w:sz w:val="20"/>
          <w:szCs w:val="20"/>
        </w:rPr>
        <w:t>НЯ</w:t>
      </w:r>
      <w:r w:rsidRPr="000977F7">
        <w:rPr>
          <w:color w:val="auto"/>
          <w:spacing w:val="-1"/>
          <w:sz w:val="20"/>
          <w:szCs w:val="20"/>
        </w:rPr>
        <w:t xml:space="preserve"> </w:t>
      </w:r>
      <w:r w:rsidRPr="000977F7">
        <w:rPr>
          <w:color w:val="auto"/>
          <w:sz w:val="20"/>
          <w:szCs w:val="20"/>
        </w:rPr>
        <w:t>–</w:t>
      </w:r>
    </w:p>
    <w:p w14:paraId="6FC488F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Інтервал часу, необхідний для проведення діагностування</w:t>
      </w:r>
      <w:r w:rsidRPr="000977F7">
        <w:rPr>
          <w:rFonts w:asciiTheme="majorHAnsi" w:hAnsiTheme="majorHAnsi"/>
          <w:spacing w:val="-2"/>
          <w:sz w:val="20"/>
          <w:szCs w:val="20"/>
        </w:rPr>
        <w:t xml:space="preserve"> </w:t>
      </w:r>
      <w:r w:rsidRPr="000977F7">
        <w:rPr>
          <w:rFonts w:asciiTheme="majorHAnsi" w:hAnsiTheme="majorHAnsi"/>
          <w:sz w:val="20"/>
          <w:szCs w:val="20"/>
        </w:rPr>
        <w:t>об’єкта</w:t>
      </w:r>
    </w:p>
    <w:p w14:paraId="61C6AA9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2389</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D8C4F3C" w14:textId="77777777" w:rsidR="0097612F" w:rsidRPr="000977F7" w:rsidRDefault="0097612F" w:rsidP="000977F7">
      <w:pPr>
        <w:pStyle w:val="7"/>
        <w:tabs>
          <w:tab w:val="left" w:pos="284"/>
          <w:tab w:val="left" w:pos="2069"/>
          <w:tab w:val="left" w:pos="3761"/>
        </w:tabs>
        <w:spacing w:before="0" w:line="240" w:lineRule="auto"/>
        <w:ind w:left="170"/>
        <w:mirrorIndents/>
        <w:jc w:val="both"/>
        <w:rPr>
          <w:color w:val="auto"/>
          <w:sz w:val="20"/>
          <w:szCs w:val="20"/>
        </w:rPr>
      </w:pPr>
      <w:r w:rsidRPr="000977F7">
        <w:rPr>
          <w:color w:val="auto"/>
          <w:sz w:val="20"/>
          <w:szCs w:val="20"/>
        </w:rPr>
        <w:t xml:space="preserve">ТРИВАЛІСТЬ ТЕХНІЧНОГО </w:t>
      </w:r>
    </w:p>
    <w:p w14:paraId="2AC8707D" w14:textId="77777777" w:rsidR="0097612F" w:rsidRPr="000977F7" w:rsidRDefault="0097612F" w:rsidP="000977F7">
      <w:pPr>
        <w:pStyle w:val="7"/>
        <w:tabs>
          <w:tab w:val="left" w:pos="284"/>
          <w:tab w:val="left" w:pos="2069"/>
          <w:tab w:val="left" w:pos="3761"/>
        </w:tabs>
        <w:spacing w:before="0" w:line="240" w:lineRule="auto"/>
        <w:ind w:left="170"/>
        <w:mirrorIndents/>
        <w:jc w:val="both"/>
        <w:rPr>
          <w:color w:val="auto"/>
          <w:sz w:val="20"/>
          <w:szCs w:val="20"/>
        </w:rPr>
      </w:pPr>
      <w:r w:rsidRPr="000977F7">
        <w:rPr>
          <w:color w:val="auto"/>
          <w:spacing w:val="-1"/>
          <w:sz w:val="20"/>
          <w:szCs w:val="20"/>
        </w:rPr>
        <w:t>ОБСЛУГОВУ</w:t>
      </w:r>
      <w:r w:rsidRPr="000977F7">
        <w:rPr>
          <w:color w:val="auto"/>
          <w:spacing w:val="-47"/>
          <w:sz w:val="20"/>
          <w:szCs w:val="20"/>
        </w:rPr>
        <w:t xml:space="preserve"> </w:t>
      </w:r>
      <w:r w:rsidRPr="000977F7">
        <w:rPr>
          <w:color w:val="auto"/>
          <w:sz w:val="20"/>
          <w:szCs w:val="20"/>
        </w:rPr>
        <w:t>ВАННЯ</w:t>
      </w:r>
      <w:r w:rsidRPr="000977F7">
        <w:rPr>
          <w:color w:val="auto"/>
          <w:spacing w:val="-1"/>
          <w:sz w:val="20"/>
          <w:szCs w:val="20"/>
        </w:rPr>
        <w:t xml:space="preserve"> </w:t>
      </w:r>
      <w:r w:rsidRPr="000977F7">
        <w:rPr>
          <w:color w:val="auto"/>
          <w:sz w:val="20"/>
          <w:szCs w:val="20"/>
        </w:rPr>
        <w:t>(РЕМОНТУ)</w:t>
      </w:r>
      <w:r w:rsidRPr="000977F7">
        <w:rPr>
          <w:color w:val="auto"/>
          <w:spacing w:val="3"/>
          <w:sz w:val="20"/>
          <w:szCs w:val="20"/>
        </w:rPr>
        <w:t xml:space="preserve"> </w:t>
      </w:r>
      <w:r w:rsidRPr="000977F7">
        <w:rPr>
          <w:color w:val="auto"/>
          <w:sz w:val="20"/>
          <w:szCs w:val="20"/>
        </w:rPr>
        <w:t>–</w:t>
      </w:r>
    </w:p>
    <w:p w14:paraId="66902E0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MAINTENANCE</w:t>
      </w:r>
      <w:r w:rsidRPr="004D2D14">
        <w:rPr>
          <w:rFonts w:asciiTheme="majorHAnsi" w:hAnsiTheme="majorHAnsi"/>
          <w:spacing w:val="-2"/>
          <w:sz w:val="20"/>
          <w:szCs w:val="20"/>
          <w:lang w:val="uk-UA"/>
        </w:rPr>
        <w:t xml:space="preserve"> </w:t>
      </w:r>
      <w:r w:rsidRPr="000977F7">
        <w:rPr>
          <w:rFonts w:asciiTheme="majorHAnsi" w:hAnsiTheme="majorHAnsi"/>
          <w:sz w:val="20"/>
          <w:szCs w:val="20"/>
        </w:rPr>
        <w:t>TIME</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4442620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Інтервал часу, протягом якого виконується вручну 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автоматично операція технічного обслуговування 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чи (ремонту) об’єкта, включно з тривалістю затримок</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через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незабезпеченість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матеріальним ресурсам</w:t>
      </w:r>
    </w:p>
    <w:p w14:paraId="41B6F20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2860</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226F76F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PREVENTIVE</w:t>
      </w:r>
      <w:r w:rsidRPr="004D2D14">
        <w:rPr>
          <w:rFonts w:asciiTheme="majorHAnsi" w:hAnsiTheme="majorHAnsi"/>
          <w:spacing w:val="-3"/>
          <w:sz w:val="20"/>
          <w:szCs w:val="20"/>
          <w:lang w:val="uk-UA"/>
        </w:rPr>
        <w:t xml:space="preserve"> </w:t>
      </w:r>
      <w:r w:rsidRPr="000977F7">
        <w:rPr>
          <w:rFonts w:asciiTheme="majorHAnsi" w:hAnsiTheme="majorHAnsi"/>
          <w:sz w:val="20"/>
          <w:szCs w:val="20"/>
        </w:rPr>
        <w:t>MAINTENANCE</w:t>
      </w:r>
      <w:r w:rsidRPr="004D2D14">
        <w:rPr>
          <w:rFonts w:asciiTheme="majorHAnsi" w:hAnsiTheme="majorHAnsi"/>
          <w:spacing w:val="-3"/>
          <w:sz w:val="20"/>
          <w:szCs w:val="20"/>
          <w:lang w:val="uk-UA"/>
        </w:rPr>
        <w:t xml:space="preserve"> </w:t>
      </w:r>
      <w:r w:rsidRPr="000977F7">
        <w:rPr>
          <w:rFonts w:asciiTheme="majorHAnsi" w:hAnsiTheme="majorHAnsi"/>
          <w:sz w:val="20"/>
          <w:szCs w:val="20"/>
        </w:rPr>
        <w:t>TIME</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2934CB9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Частина тривалості технічного обслуговування та ремонту протягом якої проводять технічне обслуговування об’єкта, враховуючи тривалість затримок з технічних причин та тривалість затримок через незабезпеченість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матеріальними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ресурсами,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притаманних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технічному</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обслуговуванню</w:t>
      </w:r>
    </w:p>
    <w:p w14:paraId="69720C41"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2860</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574D1B9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ТРИВАЛІСТЬ</w:t>
      </w:r>
      <w:r w:rsidRPr="000977F7">
        <w:rPr>
          <w:color w:val="auto"/>
          <w:spacing w:val="-6"/>
          <w:sz w:val="20"/>
          <w:szCs w:val="20"/>
        </w:rPr>
        <w:t xml:space="preserve"> </w:t>
      </w:r>
      <w:r w:rsidRPr="000977F7">
        <w:rPr>
          <w:color w:val="auto"/>
          <w:sz w:val="20"/>
          <w:szCs w:val="20"/>
        </w:rPr>
        <w:t>УСУНЕННЯ</w:t>
      </w:r>
      <w:r w:rsidRPr="000977F7">
        <w:rPr>
          <w:color w:val="auto"/>
          <w:spacing w:val="-5"/>
          <w:sz w:val="20"/>
          <w:szCs w:val="20"/>
        </w:rPr>
        <w:t xml:space="preserve"> </w:t>
      </w:r>
      <w:r w:rsidRPr="000977F7">
        <w:rPr>
          <w:color w:val="auto"/>
          <w:sz w:val="20"/>
          <w:szCs w:val="20"/>
        </w:rPr>
        <w:t>НЕСПРАВНОСТІ</w:t>
      </w:r>
      <w:r w:rsidRPr="000977F7">
        <w:rPr>
          <w:color w:val="auto"/>
          <w:spacing w:val="-3"/>
          <w:sz w:val="20"/>
          <w:szCs w:val="20"/>
        </w:rPr>
        <w:t xml:space="preserve"> </w:t>
      </w:r>
      <w:r w:rsidRPr="000977F7">
        <w:rPr>
          <w:color w:val="auto"/>
          <w:sz w:val="20"/>
          <w:szCs w:val="20"/>
        </w:rPr>
        <w:t>–</w:t>
      </w:r>
    </w:p>
    <w:p w14:paraId="4429357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FAULT</w:t>
      </w:r>
      <w:r w:rsidRPr="004D2D14">
        <w:rPr>
          <w:rFonts w:asciiTheme="majorHAnsi" w:hAnsiTheme="majorHAnsi"/>
          <w:sz w:val="20"/>
          <w:szCs w:val="20"/>
          <w:lang w:val="uk-UA"/>
        </w:rPr>
        <w:t xml:space="preserve"> </w:t>
      </w:r>
      <w:r w:rsidRPr="000977F7">
        <w:rPr>
          <w:rFonts w:asciiTheme="majorHAnsi" w:hAnsiTheme="majorHAnsi"/>
          <w:sz w:val="20"/>
          <w:szCs w:val="20"/>
        </w:rPr>
        <w:t>CORRECTION</w:t>
      </w:r>
      <w:r w:rsidRPr="004D2D14">
        <w:rPr>
          <w:rFonts w:asciiTheme="majorHAnsi" w:hAnsiTheme="majorHAnsi"/>
          <w:spacing w:val="-3"/>
          <w:sz w:val="20"/>
          <w:szCs w:val="20"/>
          <w:lang w:val="uk-UA"/>
        </w:rPr>
        <w:t xml:space="preserve"> </w:t>
      </w:r>
      <w:r w:rsidRPr="000977F7">
        <w:rPr>
          <w:rFonts w:asciiTheme="majorHAnsi" w:hAnsiTheme="majorHAnsi"/>
          <w:sz w:val="20"/>
          <w:szCs w:val="20"/>
        </w:rPr>
        <w:t>TIME</w:t>
      </w:r>
      <w:r w:rsidRPr="004D2D14">
        <w:rPr>
          <w:rFonts w:asciiTheme="majorHAnsi" w:hAnsiTheme="majorHAnsi"/>
          <w:sz w:val="20"/>
          <w:szCs w:val="20"/>
          <w:lang w:val="uk-UA"/>
        </w:rPr>
        <w:t xml:space="preserve"> –</w:t>
      </w:r>
    </w:p>
    <w:p w14:paraId="7BF60C5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6"/>
          <w:sz w:val="20"/>
          <w:szCs w:val="20"/>
        </w:rPr>
        <w:t xml:space="preserve"> </w:t>
      </w:r>
      <w:r w:rsidRPr="000977F7">
        <w:rPr>
          <w:rFonts w:asciiTheme="majorHAnsi" w:hAnsiTheme="majorHAnsi"/>
          <w:sz w:val="20"/>
          <w:szCs w:val="20"/>
        </w:rPr>
        <w:t>оперативної</w:t>
      </w:r>
      <w:r w:rsidRPr="000977F7">
        <w:rPr>
          <w:rFonts w:asciiTheme="majorHAnsi" w:hAnsiTheme="majorHAnsi"/>
          <w:spacing w:val="-6"/>
          <w:sz w:val="20"/>
          <w:szCs w:val="20"/>
        </w:rPr>
        <w:t xml:space="preserve"> </w:t>
      </w:r>
      <w:r w:rsidRPr="000977F7">
        <w:rPr>
          <w:rFonts w:asciiTheme="majorHAnsi" w:hAnsiTheme="majorHAnsi"/>
          <w:sz w:val="20"/>
          <w:szCs w:val="20"/>
        </w:rPr>
        <w:t>тривалості</w:t>
      </w:r>
      <w:r w:rsidRPr="000977F7">
        <w:rPr>
          <w:rFonts w:asciiTheme="majorHAnsi" w:hAnsiTheme="majorHAnsi"/>
          <w:spacing w:val="-6"/>
          <w:sz w:val="20"/>
          <w:szCs w:val="20"/>
        </w:rPr>
        <w:t xml:space="preserve"> </w:t>
      </w:r>
      <w:r w:rsidRPr="000977F7">
        <w:rPr>
          <w:rFonts w:asciiTheme="majorHAnsi" w:hAnsiTheme="majorHAnsi"/>
          <w:sz w:val="20"/>
          <w:szCs w:val="20"/>
        </w:rPr>
        <w:t>непланового</w:t>
      </w:r>
      <w:r w:rsidRPr="000977F7">
        <w:rPr>
          <w:rFonts w:asciiTheme="majorHAnsi" w:hAnsiTheme="majorHAnsi"/>
          <w:spacing w:val="-5"/>
          <w:sz w:val="20"/>
          <w:szCs w:val="20"/>
        </w:rPr>
        <w:t xml:space="preserve"> </w:t>
      </w:r>
      <w:r w:rsidRPr="000977F7">
        <w:rPr>
          <w:rFonts w:asciiTheme="majorHAnsi" w:hAnsiTheme="majorHAnsi"/>
          <w:sz w:val="20"/>
          <w:szCs w:val="20"/>
        </w:rPr>
        <w:t>ремонту,</w:t>
      </w:r>
      <w:r w:rsidRPr="000977F7">
        <w:rPr>
          <w:rFonts w:asciiTheme="majorHAnsi" w:hAnsiTheme="majorHAnsi"/>
          <w:spacing w:val="-47"/>
          <w:sz w:val="20"/>
          <w:szCs w:val="20"/>
        </w:rPr>
        <w:t xml:space="preserve"> </w:t>
      </w:r>
      <w:r w:rsidRPr="000977F7">
        <w:rPr>
          <w:rFonts w:asciiTheme="majorHAnsi" w:hAnsiTheme="majorHAnsi"/>
          <w:sz w:val="20"/>
          <w:szCs w:val="20"/>
        </w:rPr>
        <w:t>протягом якої здійснюється усунення несправності</w:t>
      </w:r>
      <w:r w:rsidRPr="000977F7">
        <w:rPr>
          <w:rFonts w:asciiTheme="majorHAnsi" w:hAnsiTheme="majorHAnsi"/>
          <w:spacing w:val="1"/>
          <w:sz w:val="20"/>
          <w:szCs w:val="20"/>
        </w:rPr>
        <w:t xml:space="preserve"> </w:t>
      </w:r>
      <w:r w:rsidRPr="000977F7">
        <w:rPr>
          <w:rFonts w:asciiTheme="majorHAnsi" w:hAnsiTheme="majorHAnsi"/>
          <w:sz w:val="20"/>
          <w:szCs w:val="20"/>
        </w:rPr>
        <w:t>ДСТУ</w:t>
      </w:r>
      <w:r w:rsidRPr="000977F7">
        <w:rPr>
          <w:rFonts w:asciiTheme="majorHAnsi" w:hAnsiTheme="majorHAnsi"/>
          <w:spacing w:val="-1"/>
          <w:sz w:val="20"/>
          <w:szCs w:val="20"/>
        </w:rPr>
        <w:t xml:space="preserve"> </w:t>
      </w:r>
      <w:r w:rsidRPr="000977F7">
        <w:rPr>
          <w:rFonts w:asciiTheme="majorHAnsi" w:hAnsiTheme="majorHAnsi"/>
          <w:sz w:val="20"/>
          <w:szCs w:val="20"/>
        </w:rPr>
        <w:t>2860</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94</w:t>
      </w:r>
    </w:p>
    <w:p w14:paraId="2944898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ТРІЩИНА</w:t>
      </w:r>
      <w:r w:rsidRPr="000977F7">
        <w:rPr>
          <w:color w:val="auto"/>
          <w:spacing w:val="-4"/>
          <w:sz w:val="20"/>
          <w:szCs w:val="20"/>
        </w:rPr>
        <w:t xml:space="preserve"> </w:t>
      </w:r>
      <w:r w:rsidRPr="000977F7">
        <w:rPr>
          <w:color w:val="auto"/>
          <w:sz w:val="20"/>
          <w:szCs w:val="20"/>
        </w:rPr>
        <w:t>–</w:t>
      </w:r>
    </w:p>
    <w:p w14:paraId="455DAA2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CRACK</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5569D4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Дефект</w:t>
      </w:r>
      <w:r w:rsidRPr="000977F7">
        <w:rPr>
          <w:rFonts w:asciiTheme="majorHAnsi" w:hAnsiTheme="majorHAnsi"/>
          <w:spacing w:val="1"/>
          <w:sz w:val="20"/>
          <w:szCs w:val="20"/>
        </w:rPr>
        <w:t xml:space="preserve"> </w:t>
      </w:r>
      <w:r w:rsidRPr="000977F7">
        <w:rPr>
          <w:rFonts w:asciiTheme="majorHAnsi" w:hAnsiTheme="majorHAnsi"/>
          <w:sz w:val="20"/>
          <w:szCs w:val="20"/>
        </w:rPr>
        <w:t>суцільності</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твердому</w:t>
      </w:r>
      <w:r w:rsidRPr="000977F7">
        <w:rPr>
          <w:rFonts w:asciiTheme="majorHAnsi" w:hAnsiTheme="majorHAnsi"/>
          <w:spacing w:val="1"/>
          <w:sz w:val="20"/>
          <w:szCs w:val="20"/>
        </w:rPr>
        <w:t xml:space="preserve"> </w:t>
      </w:r>
      <w:r w:rsidRPr="000977F7">
        <w:rPr>
          <w:rFonts w:asciiTheme="majorHAnsi" w:hAnsiTheme="majorHAnsi"/>
          <w:sz w:val="20"/>
          <w:szCs w:val="20"/>
        </w:rPr>
        <w:t>тілі,</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обмежений</w:t>
      </w:r>
      <w:r w:rsidRPr="000977F7">
        <w:rPr>
          <w:rFonts w:asciiTheme="majorHAnsi" w:hAnsiTheme="majorHAnsi"/>
          <w:spacing w:val="-47"/>
          <w:sz w:val="20"/>
          <w:szCs w:val="20"/>
        </w:rPr>
        <w:t xml:space="preserve"> </w:t>
      </w:r>
      <w:r w:rsidRPr="000977F7">
        <w:rPr>
          <w:rFonts w:asciiTheme="majorHAnsi" w:hAnsiTheme="majorHAnsi"/>
          <w:sz w:val="20"/>
          <w:szCs w:val="20"/>
        </w:rPr>
        <w:t>двома</w:t>
      </w:r>
      <w:r w:rsidRPr="000977F7">
        <w:rPr>
          <w:rFonts w:asciiTheme="majorHAnsi" w:hAnsiTheme="majorHAnsi"/>
          <w:spacing w:val="18"/>
          <w:sz w:val="20"/>
          <w:szCs w:val="20"/>
        </w:rPr>
        <w:t xml:space="preserve"> </w:t>
      </w:r>
      <w:r w:rsidRPr="000977F7">
        <w:rPr>
          <w:rFonts w:asciiTheme="majorHAnsi" w:hAnsiTheme="majorHAnsi"/>
          <w:sz w:val="20"/>
          <w:szCs w:val="20"/>
        </w:rPr>
        <w:t>протилежними</w:t>
      </w:r>
      <w:r w:rsidRPr="000977F7">
        <w:rPr>
          <w:rFonts w:asciiTheme="majorHAnsi" w:hAnsiTheme="majorHAnsi"/>
          <w:spacing w:val="19"/>
          <w:sz w:val="20"/>
          <w:szCs w:val="20"/>
        </w:rPr>
        <w:t xml:space="preserve"> </w:t>
      </w:r>
      <w:r w:rsidRPr="000977F7">
        <w:rPr>
          <w:rFonts w:asciiTheme="majorHAnsi" w:hAnsiTheme="majorHAnsi"/>
          <w:sz w:val="20"/>
          <w:szCs w:val="20"/>
        </w:rPr>
        <w:t>не</w:t>
      </w:r>
      <w:r w:rsidRPr="000977F7">
        <w:rPr>
          <w:rFonts w:asciiTheme="majorHAnsi" w:hAnsiTheme="majorHAnsi"/>
          <w:spacing w:val="21"/>
          <w:sz w:val="20"/>
          <w:szCs w:val="20"/>
        </w:rPr>
        <w:t xml:space="preserve"> </w:t>
      </w:r>
      <w:r w:rsidRPr="000977F7">
        <w:rPr>
          <w:rFonts w:asciiTheme="majorHAnsi" w:hAnsiTheme="majorHAnsi"/>
          <w:sz w:val="20"/>
          <w:szCs w:val="20"/>
        </w:rPr>
        <w:t>взаємодіючими</w:t>
      </w:r>
      <w:r w:rsidRPr="000977F7">
        <w:rPr>
          <w:rFonts w:asciiTheme="majorHAnsi" w:hAnsiTheme="majorHAnsi"/>
          <w:spacing w:val="19"/>
          <w:sz w:val="20"/>
          <w:szCs w:val="20"/>
        </w:rPr>
        <w:t xml:space="preserve"> </w:t>
      </w:r>
      <w:r w:rsidRPr="000977F7">
        <w:rPr>
          <w:rFonts w:asciiTheme="majorHAnsi" w:hAnsiTheme="majorHAnsi"/>
          <w:sz w:val="20"/>
          <w:szCs w:val="20"/>
        </w:rPr>
        <w:t>поверхнями, відстань між якими знехтувано мала у порівнянні з</w:t>
      </w:r>
      <w:r w:rsidRPr="000977F7">
        <w:rPr>
          <w:rFonts w:asciiTheme="majorHAnsi" w:hAnsiTheme="majorHAnsi"/>
          <w:spacing w:val="1"/>
          <w:sz w:val="20"/>
          <w:szCs w:val="20"/>
        </w:rPr>
        <w:t xml:space="preserve"> </w:t>
      </w:r>
      <w:r w:rsidRPr="000977F7">
        <w:rPr>
          <w:rFonts w:asciiTheme="majorHAnsi" w:hAnsiTheme="majorHAnsi"/>
          <w:sz w:val="20"/>
          <w:szCs w:val="20"/>
        </w:rPr>
        <w:t>іншими характерними розмірами дефекту, та вузькою</w:t>
      </w:r>
      <w:r w:rsidRPr="000977F7">
        <w:rPr>
          <w:rFonts w:asciiTheme="majorHAnsi" w:hAnsiTheme="majorHAnsi"/>
          <w:spacing w:val="1"/>
          <w:sz w:val="20"/>
          <w:szCs w:val="20"/>
        </w:rPr>
        <w:t xml:space="preserve"> </w:t>
      </w:r>
      <w:r w:rsidRPr="000977F7">
        <w:rPr>
          <w:rFonts w:asciiTheme="majorHAnsi" w:hAnsiTheme="majorHAnsi"/>
          <w:sz w:val="20"/>
          <w:szCs w:val="20"/>
        </w:rPr>
        <w:t>кінцевою областю з неповністю порушеними міжатомними</w:t>
      </w:r>
      <w:r w:rsidRPr="000977F7">
        <w:rPr>
          <w:rFonts w:asciiTheme="majorHAnsi" w:hAnsiTheme="majorHAnsi"/>
          <w:spacing w:val="-2"/>
          <w:sz w:val="20"/>
          <w:szCs w:val="20"/>
        </w:rPr>
        <w:t xml:space="preserve"> </w:t>
      </w:r>
      <w:r w:rsidRPr="000977F7">
        <w:rPr>
          <w:rFonts w:asciiTheme="majorHAnsi" w:hAnsiTheme="majorHAnsi"/>
          <w:sz w:val="20"/>
          <w:szCs w:val="20"/>
        </w:rPr>
        <w:t>зв’язками</w:t>
      </w:r>
    </w:p>
    <w:p w14:paraId="56DB615D"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2442 - 94; ДСТУ 2444 - 94</w:t>
      </w:r>
      <w:r w:rsidRPr="000977F7">
        <w:rPr>
          <w:rFonts w:asciiTheme="majorHAnsi" w:hAnsiTheme="majorHAnsi"/>
          <w:i/>
          <w:spacing w:val="-47"/>
          <w:sz w:val="20"/>
          <w:szCs w:val="20"/>
        </w:rPr>
        <w:t xml:space="preserve"> </w:t>
      </w:r>
    </w:p>
    <w:p w14:paraId="393300B5"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ТРІЩИНОСТІЙКІСТЬ -</w:t>
      </w:r>
    </w:p>
    <w:p w14:paraId="74AEE40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CRACK</w:t>
      </w:r>
      <w:r w:rsidRPr="000977F7">
        <w:rPr>
          <w:rFonts w:asciiTheme="majorHAnsi" w:hAnsiTheme="majorHAnsi"/>
          <w:spacing w:val="1"/>
          <w:sz w:val="20"/>
          <w:szCs w:val="20"/>
        </w:rPr>
        <w:t xml:space="preserve"> </w:t>
      </w:r>
      <w:r w:rsidRPr="000977F7">
        <w:rPr>
          <w:rFonts w:asciiTheme="majorHAnsi" w:hAnsiTheme="majorHAnsi"/>
          <w:sz w:val="20"/>
          <w:szCs w:val="20"/>
        </w:rPr>
        <w:t>RESISTANCE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46E33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Здатність</w:t>
      </w:r>
      <w:r w:rsidRPr="000977F7">
        <w:rPr>
          <w:rFonts w:asciiTheme="majorHAnsi" w:hAnsiTheme="majorHAnsi"/>
          <w:spacing w:val="-3"/>
          <w:sz w:val="20"/>
          <w:szCs w:val="20"/>
        </w:rPr>
        <w:t xml:space="preserve"> </w:t>
      </w:r>
      <w:r w:rsidRPr="000977F7">
        <w:rPr>
          <w:rFonts w:asciiTheme="majorHAnsi" w:hAnsiTheme="majorHAnsi"/>
          <w:sz w:val="20"/>
          <w:szCs w:val="20"/>
        </w:rPr>
        <w:t>матеріалу</w:t>
      </w:r>
      <w:r w:rsidRPr="000977F7">
        <w:rPr>
          <w:rFonts w:asciiTheme="majorHAnsi" w:hAnsiTheme="majorHAnsi"/>
          <w:spacing w:val="-3"/>
          <w:sz w:val="20"/>
          <w:szCs w:val="20"/>
        </w:rPr>
        <w:t xml:space="preserve"> </w:t>
      </w:r>
      <w:r w:rsidRPr="000977F7">
        <w:rPr>
          <w:rFonts w:asciiTheme="majorHAnsi" w:hAnsiTheme="majorHAnsi"/>
          <w:sz w:val="20"/>
          <w:szCs w:val="20"/>
        </w:rPr>
        <w:t>чинити</w:t>
      </w:r>
      <w:r w:rsidRPr="000977F7">
        <w:rPr>
          <w:rFonts w:asciiTheme="majorHAnsi" w:hAnsiTheme="majorHAnsi"/>
          <w:spacing w:val="-2"/>
          <w:sz w:val="20"/>
          <w:szCs w:val="20"/>
        </w:rPr>
        <w:t xml:space="preserve"> </w:t>
      </w:r>
      <w:r w:rsidRPr="000977F7">
        <w:rPr>
          <w:rFonts w:asciiTheme="majorHAnsi" w:hAnsiTheme="majorHAnsi"/>
          <w:sz w:val="20"/>
          <w:szCs w:val="20"/>
        </w:rPr>
        <w:t>опір</w:t>
      </w:r>
      <w:r w:rsidRPr="000977F7">
        <w:rPr>
          <w:rFonts w:asciiTheme="majorHAnsi" w:hAnsiTheme="majorHAnsi"/>
          <w:spacing w:val="-2"/>
          <w:sz w:val="20"/>
          <w:szCs w:val="20"/>
        </w:rPr>
        <w:t xml:space="preserve"> </w:t>
      </w:r>
      <w:r w:rsidRPr="000977F7">
        <w:rPr>
          <w:rFonts w:asciiTheme="majorHAnsi" w:hAnsiTheme="majorHAnsi"/>
          <w:sz w:val="20"/>
          <w:szCs w:val="20"/>
        </w:rPr>
        <w:t>розвитку</w:t>
      </w:r>
      <w:r w:rsidRPr="000977F7">
        <w:rPr>
          <w:rFonts w:asciiTheme="majorHAnsi" w:hAnsiTheme="majorHAnsi"/>
          <w:spacing w:val="-3"/>
          <w:sz w:val="20"/>
          <w:szCs w:val="20"/>
        </w:rPr>
        <w:t xml:space="preserve"> </w:t>
      </w:r>
      <w:r w:rsidRPr="000977F7">
        <w:rPr>
          <w:rFonts w:asciiTheme="majorHAnsi" w:hAnsiTheme="majorHAnsi"/>
          <w:sz w:val="20"/>
          <w:szCs w:val="20"/>
        </w:rPr>
        <w:t>тріщин</w:t>
      </w:r>
    </w:p>
    <w:p w14:paraId="42AC9CD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2825 - 94</w:t>
      </w:r>
    </w:p>
    <w:p w14:paraId="730A60FC"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b/>
          <w:bCs/>
          <w:sz w:val="20"/>
          <w:szCs w:val="20"/>
          <w:lang w:eastAsia="ru-RU"/>
        </w:rPr>
      </w:pPr>
      <w:r w:rsidRPr="000977F7">
        <w:rPr>
          <w:rFonts w:asciiTheme="majorHAnsi" w:hAnsiTheme="majorHAnsi"/>
          <w:b/>
          <w:bCs/>
          <w:sz w:val="20"/>
          <w:szCs w:val="20"/>
          <w:lang w:eastAsia="ru-RU"/>
        </w:rPr>
        <w:t>ТРУБОПРОВОДИ –</w:t>
      </w:r>
    </w:p>
    <w:p w14:paraId="7037A52C"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Складові частини трубопроводів, призначених для транспортування робочого середовища, коли вони являють собою об’єднану систему, що працює під тиском. Трубопроводами вважаються, зокрема, труби, системи труб, трубопровідна арматура, фітинги, компенсатори, шланги або інші частини, що працюють під тиском; трубчасті теплообмінники для охолодження або нагрівання повітря</w:t>
      </w:r>
    </w:p>
    <w:p w14:paraId="21C86C1E" w14:textId="77777777" w:rsidR="0097612F" w:rsidRPr="000977F7" w:rsidRDefault="0097612F" w:rsidP="000977F7">
      <w:pPr>
        <w:shd w:val="clear" w:color="auto" w:fill="FFFFFF"/>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iCs/>
          <w:sz w:val="20"/>
          <w:szCs w:val="20"/>
          <w:lang w:eastAsia="ru-RU"/>
        </w:rPr>
        <w:t>Технічний регламент обладнання, що працює під тиском</w:t>
      </w:r>
    </w:p>
    <w:p w14:paraId="20E87A5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ТРУДОВА</w:t>
      </w:r>
      <w:r w:rsidRPr="000977F7">
        <w:rPr>
          <w:color w:val="auto"/>
          <w:spacing w:val="-4"/>
          <w:sz w:val="20"/>
          <w:szCs w:val="20"/>
        </w:rPr>
        <w:t xml:space="preserve"> </w:t>
      </w:r>
      <w:r w:rsidRPr="000977F7">
        <w:rPr>
          <w:color w:val="auto"/>
          <w:sz w:val="20"/>
          <w:szCs w:val="20"/>
        </w:rPr>
        <w:t>ДІЯЛЬНІСТЬ</w:t>
      </w:r>
      <w:r w:rsidRPr="000977F7">
        <w:rPr>
          <w:color w:val="auto"/>
          <w:spacing w:val="-2"/>
          <w:sz w:val="20"/>
          <w:szCs w:val="20"/>
        </w:rPr>
        <w:t xml:space="preserve"> </w:t>
      </w:r>
      <w:r w:rsidRPr="000977F7">
        <w:rPr>
          <w:color w:val="auto"/>
          <w:sz w:val="20"/>
          <w:szCs w:val="20"/>
        </w:rPr>
        <w:t>ЛЮДИНИ –</w:t>
      </w:r>
    </w:p>
    <w:p w14:paraId="11AB15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LABOUR</w:t>
      </w:r>
      <w:r w:rsidRPr="000977F7">
        <w:rPr>
          <w:rFonts w:asciiTheme="majorHAnsi" w:hAnsiTheme="majorHAnsi"/>
          <w:spacing w:val="-1"/>
          <w:sz w:val="20"/>
          <w:szCs w:val="20"/>
        </w:rPr>
        <w:t xml:space="preserve"> </w:t>
      </w:r>
      <w:r w:rsidRPr="000977F7">
        <w:rPr>
          <w:rFonts w:asciiTheme="majorHAnsi" w:hAnsiTheme="majorHAnsi"/>
          <w:sz w:val="20"/>
          <w:szCs w:val="20"/>
        </w:rPr>
        <w:t>ACTIVITY</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6B7244C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Реалізація цільової функції,</w:t>
      </w:r>
      <w:r w:rsidRPr="000977F7">
        <w:rPr>
          <w:rFonts w:asciiTheme="majorHAnsi" w:hAnsiTheme="majorHAnsi"/>
          <w:spacing w:val="1"/>
          <w:sz w:val="20"/>
          <w:szCs w:val="20"/>
        </w:rPr>
        <w:t xml:space="preserve"> </w:t>
      </w:r>
      <w:r w:rsidRPr="000977F7">
        <w:rPr>
          <w:rFonts w:asciiTheme="majorHAnsi" w:hAnsiTheme="majorHAnsi"/>
          <w:sz w:val="20"/>
          <w:szCs w:val="20"/>
        </w:rPr>
        <w:t>сформованої потребами</w:t>
      </w:r>
      <w:r w:rsidRPr="000977F7">
        <w:rPr>
          <w:rFonts w:asciiTheme="majorHAnsi" w:hAnsiTheme="majorHAnsi"/>
          <w:spacing w:val="1"/>
          <w:sz w:val="20"/>
          <w:szCs w:val="20"/>
        </w:rPr>
        <w:t xml:space="preserve"> </w:t>
      </w:r>
      <w:r w:rsidRPr="000977F7">
        <w:rPr>
          <w:rFonts w:asciiTheme="majorHAnsi" w:hAnsiTheme="majorHAnsi"/>
          <w:sz w:val="20"/>
          <w:szCs w:val="20"/>
        </w:rPr>
        <w:t>суспільства,</w:t>
      </w:r>
      <w:r w:rsidRPr="000977F7">
        <w:rPr>
          <w:rFonts w:asciiTheme="majorHAnsi" w:hAnsiTheme="majorHAnsi"/>
          <w:spacing w:val="-1"/>
          <w:sz w:val="20"/>
          <w:szCs w:val="20"/>
        </w:rPr>
        <w:t xml:space="preserve"> </w:t>
      </w:r>
      <w:r w:rsidRPr="000977F7">
        <w:rPr>
          <w:rFonts w:asciiTheme="majorHAnsi" w:hAnsiTheme="majorHAnsi"/>
          <w:sz w:val="20"/>
          <w:szCs w:val="20"/>
        </w:rPr>
        <w:t>здійснювана</w:t>
      </w:r>
      <w:r w:rsidRPr="000977F7">
        <w:rPr>
          <w:rFonts w:asciiTheme="majorHAnsi" w:hAnsiTheme="majorHAnsi"/>
          <w:spacing w:val="3"/>
          <w:sz w:val="20"/>
          <w:szCs w:val="20"/>
        </w:rPr>
        <w:t xml:space="preserve"> </w:t>
      </w:r>
      <w:r w:rsidRPr="000977F7">
        <w:rPr>
          <w:rFonts w:asciiTheme="majorHAnsi" w:hAnsiTheme="majorHAnsi"/>
          <w:sz w:val="20"/>
          <w:szCs w:val="20"/>
        </w:rPr>
        <w:t>у певній</w:t>
      </w:r>
      <w:r w:rsidRPr="000977F7">
        <w:rPr>
          <w:rFonts w:asciiTheme="majorHAnsi" w:hAnsiTheme="majorHAnsi"/>
          <w:spacing w:val="-6"/>
          <w:sz w:val="20"/>
          <w:szCs w:val="20"/>
        </w:rPr>
        <w:t xml:space="preserve"> </w:t>
      </w:r>
      <w:r w:rsidRPr="000977F7">
        <w:rPr>
          <w:rFonts w:asciiTheme="majorHAnsi" w:hAnsiTheme="majorHAnsi"/>
          <w:sz w:val="20"/>
          <w:szCs w:val="20"/>
        </w:rPr>
        <w:t>організаційно-правовій</w:t>
      </w:r>
      <w:r w:rsidRPr="000977F7">
        <w:rPr>
          <w:rFonts w:asciiTheme="majorHAnsi" w:hAnsiTheme="majorHAnsi"/>
          <w:spacing w:val="-6"/>
          <w:sz w:val="20"/>
          <w:szCs w:val="20"/>
        </w:rPr>
        <w:t xml:space="preserve"> </w:t>
      </w:r>
      <w:r w:rsidRPr="000977F7">
        <w:rPr>
          <w:rFonts w:asciiTheme="majorHAnsi" w:hAnsiTheme="majorHAnsi"/>
          <w:sz w:val="20"/>
          <w:szCs w:val="20"/>
        </w:rPr>
        <w:t>формі</w:t>
      </w:r>
      <w:r w:rsidRPr="000977F7">
        <w:rPr>
          <w:rFonts w:asciiTheme="majorHAnsi" w:hAnsiTheme="majorHAnsi"/>
          <w:spacing w:val="-5"/>
          <w:sz w:val="20"/>
          <w:szCs w:val="20"/>
        </w:rPr>
        <w:t xml:space="preserve"> </w:t>
      </w:r>
      <w:r w:rsidRPr="000977F7">
        <w:rPr>
          <w:rFonts w:asciiTheme="majorHAnsi" w:hAnsiTheme="majorHAnsi"/>
          <w:sz w:val="20"/>
          <w:szCs w:val="20"/>
        </w:rPr>
        <w:t>господарювання</w:t>
      </w:r>
    </w:p>
    <w:p w14:paraId="19C483E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4"/>
          <w:sz w:val="20"/>
          <w:szCs w:val="20"/>
        </w:rPr>
        <w:t xml:space="preserve"> </w:t>
      </w:r>
      <w:r w:rsidRPr="000977F7">
        <w:rPr>
          <w:rFonts w:asciiTheme="majorHAnsi" w:hAnsiTheme="majorHAnsi"/>
          <w:i/>
          <w:sz w:val="20"/>
          <w:szCs w:val="20"/>
        </w:rPr>
        <w:t>2293:2014</w:t>
      </w:r>
    </w:p>
    <w:p w14:paraId="2305A61D" w14:textId="77777777" w:rsidR="0097612F" w:rsidRPr="000977F7" w:rsidRDefault="0097612F" w:rsidP="000977F7">
      <w:pPr>
        <w:pStyle w:val="7"/>
        <w:tabs>
          <w:tab w:val="left" w:pos="284"/>
          <w:tab w:val="left" w:pos="2455"/>
          <w:tab w:val="left" w:pos="4102"/>
        </w:tabs>
        <w:spacing w:before="0" w:line="240" w:lineRule="auto"/>
        <w:ind w:left="170"/>
        <w:mirrorIndents/>
        <w:jc w:val="both"/>
        <w:rPr>
          <w:color w:val="auto"/>
          <w:sz w:val="20"/>
          <w:szCs w:val="20"/>
        </w:rPr>
      </w:pPr>
      <w:r w:rsidRPr="000977F7">
        <w:rPr>
          <w:color w:val="auto"/>
          <w:sz w:val="20"/>
          <w:szCs w:val="20"/>
        </w:rPr>
        <w:t xml:space="preserve">ТРУДОМІСТКІСТЬ ПІДГОТОВКИ </w:t>
      </w:r>
      <w:r w:rsidRPr="000977F7">
        <w:rPr>
          <w:color w:val="auto"/>
          <w:spacing w:val="-1"/>
          <w:sz w:val="20"/>
          <w:szCs w:val="20"/>
        </w:rPr>
        <w:t>ЗАСОБІВ</w:t>
      </w:r>
      <w:r w:rsidRPr="000977F7">
        <w:rPr>
          <w:color w:val="auto"/>
          <w:spacing w:val="-47"/>
          <w:sz w:val="20"/>
          <w:szCs w:val="20"/>
        </w:rPr>
        <w:t xml:space="preserve"> </w:t>
      </w:r>
      <w:r w:rsidRPr="000977F7">
        <w:rPr>
          <w:color w:val="auto"/>
          <w:sz w:val="20"/>
          <w:szCs w:val="20"/>
        </w:rPr>
        <w:t>КОНТРОЛЮ</w:t>
      </w:r>
      <w:r w:rsidRPr="000977F7">
        <w:rPr>
          <w:color w:val="auto"/>
          <w:spacing w:val="-1"/>
          <w:sz w:val="20"/>
          <w:szCs w:val="20"/>
        </w:rPr>
        <w:t xml:space="preserve"> </w:t>
      </w:r>
      <w:r w:rsidRPr="000977F7">
        <w:rPr>
          <w:color w:val="auto"/>
          <w:sz w:val="20"/>
          <w:szCs w:val="20"/>
        </w:rPr>
        <w:t>–</w:t>
      </w:r>
    </w:p>
    <w:p w14:paraId="2AC274E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Середні сумарні трудовитрати на підготовку засобів</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до функціонування</w:t>
      </w:r>
    </w:p>
    <w:p w14:paraId="010BE85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ТРУДОМІСТКІСТЬ ТЕХНІЧНОГО </w:t>
      </w:r>
    </w:p>
    <w:p w14:paraId="40DCEEF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ОБСЛУГО</w:t>
      </w:r>
      <w:r w:rsidRPr="000977F7">
        <w:rPr>
          <w:color w:val="auto"/>
          <w:spacing w:val="-47"/>
          <w:sz w:val="20"/>
          <w:szCs w:val="20"/>
        </w:rPr>
        <w:t xml:space="preserve"> </w:t>
      </w:r>
      <w:r w:rsidRPr="000977F7">
        <w:rPr>
          <w:color w:val="auto"/>
          <w:sz w:val="20"/>
          <w:szCs w:val="20"/>
        </w:rPr>
        <w:t>ВУВАННЯ</w:t>
      </w:r>
      <w:r w:rsidRPr="000977F7">
        <w:rPr>
          <w:color w:val="auto"/>
          <w:spacing w:val="-1"/>
          <w:sz w:val="20"/>
          <w:szCs w:val="20"/>
        </w:rPr>
        <w:t xml:space="preserve"> </w:t>
      </w:r>
      <w:r w:rsidRPr="000977F7">
        <w:rPr>
          <w:color w:val="auto"/>
          <w:sz w:val="20"/>
          <w:szCs w:val="20"/>
        </w:rPr>
        <w:t>(РЕМОНТУ)</w:t>
      </w:r>
      <w:r w:rsidRPr="000977F7">
        <w:rPr>
          <w:color w:val="auto"/>
          <w:spacing w:val="2"/>
          <w:sz w:val="20"/>
          <w:szCs w:val="20"/>
        </w:rPr>
        <w:t xml:space="preserve"> </w:t>
      </w:r>
      <w:r w:rsidRPr="000977F7">
        <w:rPr>
          <w:color w:val="auto"/>
          <w:sz w:val="20"/>
          <w:szCs w:val="20"/>
        </w:rPr>
        <w:t>–</w:t>
      </w:r>
    </w:p>
    <w:p w14:paraId="76C8CE7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MAINTENANCE</w:t>
      </w:r>
      <w:r w:rsidRPr="004D2D14">
        <w:rPr>
          <w:rFonts w:asciiTheme="majorHAnsi" w:hAnsiTheme="majorHAnsi"/>
          <w:spacing w:val="-2"/>
          <w:sz w:val="20"/>
          <w:szCs w:val="20"/>
          <w:lang w:val="uk-UA"/>
        </w:rPr>
        <w:t xml:space="preserve"> </w:t>
      </w:r>
      <w:r w:rsidRPr="000977F7">
        <w:rPr>
          <w:rFonts w:asciiTheme="majorHAnsi" w:hAnsiTheme="majorHAnsi"/>
          <w:sz w:val="20"/>
          <w:szCs w:val="20"/>
        </w:rPr>
        <w:t>MAN</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r w:rsidRPr="004D2D14">
        <w:rPr>
          <w:rFonts w:asciiTheme="majorHAnsi" w:hAnsiTheme="majorHAnsi"/>
          <w:spacing w:val="-1"/>
          <w:sz w:val="20"/>
          <w:szCs w:val="20"/>
          <w:lang w:val="uk-UA"/>
        </w:rPr>
        <w:t xml:space="preserve"> </w:t>
      </w:r>
      <w:r w:rsidRPr="000977F7">
        <w:rPr>
          <w:rFonts w:asciiTheme="majorHAnsi" w:hAnsiTheme="majorHAnsi"/>
          <w:sz w:val="20"/>
          <w:szCs w:val="20"/>
        </w:rPr>
        <w:t>HOURS</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p>
    <w:p w14:paraId="10A5111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Сумарна тривалість індивідуальних операцій технічного</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обслуговування</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9"/>
          <w:sz w:val="20"/>
          <w:szCs w:val="20"/>
          <w:lang w:val="uk-UA"/>
        </w:rPr>
        <w:t xml:space="preserve"> </w:t>
      </w:r>
      <w:r w:rsidRPr="004D2D14">
        <w:rPr>
          <w:rFonts w:asciiTheme="majorHAnsi" w:hAnsiTheme="majorHAnsi"/>
          <w:sz w:val="20"/>
          <w:szCs w:val="20"/>
          <w:lang w:val="uk-UA"/>
        </w:rPr>
        <w:t>ремонту</w:t>
      </w:r>
      <w:r w:rsidRPr="004D2D14">
        <w:rPr>
          <w:rFonts w:asciiTheme="majorHAnsi" w:hAnsiTheme="majorHAnsi"/>
          <w:spacing w:val="15"/>
          <w:sz w:val="20"/>
          <w:szCs w:val="20"/>
          <w:lang w:val="uk-UA"/>
        </w:rPr>
        <w:t xml:space="preserve"> </w:t>
      </w:r>
      <w:r w:rsidRPr="004D2D14">
        <w:rPr>
          <w:rFonts w:asciiTheme="majorHAnsi" w:hAnsiTheme="majorHAnsi"/>
          <w:sz w:val="20"/>
          <w:szCs w:val="20"/>
          <w:lang w:val="uk-UA"/>
        </w:rPr>
        <w:t>об’єкта,</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подана</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в годинах та затрачена всім обслуговуючим персоналом для цього виду операцій технічного обслуговування</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ремонту</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інтервалі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визначеного часу</w:t>
      </w:r>
    </w:p>
    <w:p w14:paraId="278D1D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BB0E3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Трудомісткість</w:t>
      </w:r>
      <w:r w:rsidRPr="000977F7">
        <w:rPr>
          <w:rFonts w:asciiTheme="majorHAnsi" w:hAnsiTheme="majorHAnsi"/>
          <w:spacing w:val="-5"/>
          <w:sz w:val="20"/>
          <w:szCs w:val="20"/>
        </w:rPr>
        <w:t xml:space="preserve"> </w:t>
      </w:r>
      <w:r w:rsidRPr="000977F7">
        <w:rPr>
          <w:rFonts w:asciiTheme="majorHAnsi" w:hAnsiTheme="majorHAnsi"/>
          <w:sz w:val="20"/>
          <w:szCs w:val="20"/>
        </w:rPr>
        <w:t>вимірюють</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5"/>
          <w:sz w:val="20"/>
          <w:szCs w:val="20"/>
        </w:rPr>
        <w:t xml:space="preserve"> </w:t>
      </w:r>
      <w:r w:rsidRPr="000977F7">
        <w:rPr>
          <w:rFonts w:asciiTheme="majorHAnsi" w:hAnsiTheme="majorHAnsi"/>
          <w:sz w:val="20"/>
          <w:szCs w:val="20"/>
        </w:rPr>
        <w:t>людино-годинах</w:t>
      </w:r>
    </w:p>
    <w:p w14:paraId="7C0654F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19F6317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ТЯЖКІСТЬ</w:t>
      </w:r>
      <w:r w:rsidRPr="000977F7">
        <w:rPr>
          <w:color w:val="auto"/>
          <w:spacing w:val="-3"/>
          <w:sz w:val="20"/>
          <w:szCs w:val="20"/>
        </w:rPr>
        <w:t xml:space="preserve"> </w:t>
      </w:r>
      <w:r w:rsidRPr="000977F7">
        <w:rPr>
          <w:color w:val="auto"/>
          <w:sz w:val="20"/>
          <w:szCs w:val="20"/>
        </w:rPr>
        <w:t>ПРАЦІ</w:t>
      </w:r>
      <w:r w:rsidRPr="000977F7">
        <w:rPr>
          <w:color w:val="auto"/>
          <w:spacing w:val="-3"/>
          <w:sz w:val="20"/>
          <w:szCs w:val="20"/>
        </w:rPr>
        <w:t xml:space="preserve"> </w:t>
      </w:r>
      <w:r w:rsidRPr="000977F7">
        <w:rPr>
          <w:color w:val="auto"/>
          <w:sz w:val="20"/>
          <w:szCs w:val="20"/>
        </w:rPr>
        <w:t>–</w:t>
      </w:r>
    </w:p>
    <w:p w14:paraId="14D482D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HEAVINESS</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WORK –</w:t>
      </w:r>
    </w:p>
    <w:p w14:paraId="37AB449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Характеристика</w:t>
      </w:r>
      <w:r w:rsidRPr="004D2D14">
        <w:rPr>
          <w:rFonts w:asciiTheme="majorHAnsi" w:hAnsiTheme="majorHAnsi"/>
          <w:sz w:val="20"/>
          <w:szCs w:val="20"/>
          <w:lang w:val="en-US"/>
        </w:rPr>
        <w:t xml:space="preserve"> </w:t>
      </w:r>
      <w:r w:rsidRPr="000977F7">
        <w:rPr>
          <w:rFonts w:asciiTheme="majorHAnsi" w:hAnsiTheme="majorHAnsi"/>
          <w:sz w:val="20"/>
          <w:szCs w:val="20"/>
        </w:rPr>
        <w:t>трудової</w:t>
      </w:r>
      <w:r w:rsidRPr="004D2D14">
        <w:rPr>
          <w:rFonts w:asciiTheme="majorHAnsi" w:hAnsiTheme="majorHAnsi"/>
          <w:sz w:val="20"/>
          <w:szCs w:val="20"/>
          <w:lang w:val="en-US"/>
        </w:rPr>
        <w:t xml:space="preserve"> </w:t>
      </w:r>
      <w:r w:rsidRPr="000977F7">
        <w:rPr>
          <w:rFonts w:asciiTheme="majorHAnsi" w:hAnsiTheme="majorHAnsi"/>
          <w:sz w:val="20"/>
          <w:szCs w:val="20"/>
        </w:rPr>
        <w:t>діяльності</w:t>
      </w:r>
      <w:r w:rsidRPr="004D2D14">
        <w:rPr>
          <w:rFonts w:asciiTheme="majorHAnsi" w:hAnsiTheme="majorHAnsi"/>
          <w:sz w:val="20"/>
          <w:szCs w:val="20"/>
          <w:lang w:val="en-US"/>
        </w:rPr>
        <w:t xml:space="preserve"> </w:t>
      </w:r>
      <w:r w:rsidRPr="000977F7">
        <w:rPr>
          <w:rFonts w:asciiTheme="majorHAnsi" w:hAnsiTheme="majorHAnsi"/>
          <w:sz w:val="20"/>
          <w:szCs w:val="20"/>
        </w:rPr>
        <w:t>людини</w:t>
      </w:r>
      <w:r w:rsidRPr="004D2D14">
        <w:rPr>
          <w:rFonts w:asciiTheme="majorHAnsi" w:hAnsiTheme="majorHAnsi"/>
          <w:sz w:val="20"/>
          <w:szCs w:val="20"/>
          <w:lang w:val="en-US"/>
        </w:rPr>
        <w:t xml:space="preserve">, </w:t>
      </w:r>
      <w:r w:rsidRPr="000977F7">
        <w:rPr>
          <w:rFonts w:asciiTheme="majorHAnsi" w:hAnsiTheme="majorHAnsi"/>
          <w:sz w:val="20"/>
          <w:szCs w:val="20"/>
        </w:rPr>
        <w:t>яка</w:t>
      </w:r>
      <w:r w:rsidRPr="004D2D14">
        <w:rPr>
          <w:rFonts w:asciiTheme="majorHAnsi" w:hAnsiTheme="majorHAnsi"/>
          <w:sz w:val="20"/>
          <w:szCs w:val="20"/>
          <w:lang w:val="en-US"/>
        </w:rPr>
        <w:t xml:space="preserve"> </w:t>
      </w:r>
      <w:r w:rsidRPr="000977F7">
        <w:rPr>
          <w:rFonts w:asciiTheme="majorHAnsi" w:hAnsiTheme="majorHAnsi"/>
          <w:sz w:val="20"/>
          <w:szCs w:val="20"/>
        </w:rPr>
        <w:t>визначає</w:t>
      </w:r>
      <w:r w:rsidRPr="004D2D14">
        <w:rPr>
          <w:rFonts w:asciiTheme="majorHAnsi" w:hAnsiTheme="majorHAnsi"/>
          <w:sz w:val="20"/>
          <w:szCs w:val="20"/>
          <w:lang w:val="en-US"/>
        </w:rPr>
        <w:t xml:space="preserve"> </w:t>
      </w:r>
      <w:r w:rsidRPr="000977F7">
        <w:rPr>
          <w:rFonts w:asciiTheme="majorHAnsi" w:hAnsiTheme="majorHAnsi"/>
          <w:sz w:val="20"/>
          <w:szCs w:val="20"/>
        </w:rPr>
        <w:t>ступінь</w:t>
      </w:r>
      <w:r w:rsidRPr="004D2D14">
        <w:rPr>
          <w:rFonts w:asciiTheme="majorHAnsi" w:hAnsiTheme="majorHAnsi"/>
          <w:sz w:val="20"/>
          <w:szCs w:val="20"/>
          <w:lang w:val="en-US"/>
        </w:rPr>
        <w:t xml:space="preserve"> </w:t>
      </w:r>
      <w:r w:rsidRPr="000977F7">
        <w:rPr>
          <w:rFonts w:asciiTheme="majorHAnsi" w:hAnsiTheme="majorHAnsi"/>
          <w:sz w:val="20"/>
          <w:szCs w:val="20"/>
        </w:rPr>
        <w:t>залученості</w:t>
      </w:r>
      <w:r w:rsidRPr="004D2D14">
        <w:rPr>
          <w:rFonts w:asciiTheme="majorHAnsi" w:hAnsiTheme="majorHAnsi"/>
          <w:sz w:val="20"/>
          <w:szCs w:val="20"/>
          <w:lang w:val="en-US"/>
        </w:rPr>
        <w:t xml:space="preserve"> </w:t>
      </w:r>
      <w:r w:rsidRPr="000977F7">
        <w:rPr>
          <w:rFonts w:asciiTheme="majorHAnsi" w:hAnsiTheme="majorHAnsi"/>
          <w:sz w:val="20"/>
          <w:szCs w:val="20"/>
        </w:rPr>
        <w:t>до</w:t>
      </w:r>
      <w:r w:rsidRPr="004D2D14">
        <w:rPr>
          <w:rFonts w:asciiTheme="majorHAnsi" w:hAnsiTheme="majorHAnsi"/>
          <w:sz w:val="20"/>
          <w:szCs w:val="20"/>
          <w:lang w:val="en-US"/>
        </w:rPr>
        <w:t xml:space="preserve"> </w:t>
      </w:r>
      <w:r w:rsidRPr="000977F7">
        <w:rPr>
          <w:rFonts w:asciiTheme="majorHAnsi" w:hAnsiTheme="majorHAnsi"/>
          <w:sz w:val="20"/>
          <w:szCs w:val="20"/>
        </w:rPr>
        <w:t>роботи</w:t>
      </w:r>
      <w:r w:rsidRPr="004D2D14">
        <w:rPr>
          <w:rFonts w:asciiTheme="majorHAnsi" w:hAnsiTheme="majorHAnsi"/>
          <w:sz w:val="20"/>
          <w:szCs w:val="20"/>
          <w:lang w:val="en-US"/>
        </w:rPr>
        <w:t xml:space="preserve"> </w:t>
      </w:r>
      <w:r w:rsidRPr="000977F7">
        <w:rPr>
          <w:rFonts w:asciiTheme="majorHAnsi" w:hAnsiTheme="majorHAnsi"/>
          <w:sz w:val="20"/>
          <w:szCs w:val="20"/>
        </w:rPr>
        <w:t>м</w:t>
      </w:r>
      <w:r w:rsidRPr="004D2D14">
        <w:rPr>
          <w:rFonts w:asciiTheme="majorHAnsi" w:hAnsiTheme="majorHAnsi"/>
          <w:sz w:val="20"/>
          <w:szCs w:val="20"/>
          <w:lang w:val="en-US"/>
        </w:rPr>
        <w:t>’</w:t>
      </w:r>
      <w:r w:rsidRPr="000977F7">
        <w:rPr>
          <w:rFonts w:asciiTheme="majorHAnsi" w:hAnsiTheme="majorHAnsi"/>
          <w:sz w:val="20"/>
          <w:szCs w:val="20"/>
        </w:rPr>
        <w:t>язів</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відображає</w:t>
      </w:r>
      <w:r w:rsidRPr="004D2D14">
        <w:rPr>
          <w:rFonts w:asciiTheme="majorHAnsi" w:hAnsiTheme="majorHAnsi"/>
          <w:sz w:val="20"/>
          <w:szCs w:val="20"/>
          <w:lang w:val="en-US"/>
        </w:rPr>
        <w:t xml:space="preserve"> </w:t>
      </w:r>
      <w:r w:rsidRPr="000977F7">
        <w:rPr>
          <w:rFonts w:asciiTheme="majorHAnsi" w:hAnsiTheme="majorHAnsi"/>
          <w:sz w:val="20"/>
          <w:szCs w:val="20"/>
        </w:rPr>
        <w:t>фізіологічні</w:t>
      </w:r>
      <w:r w:rsidRPr="004D2D14">
        <w:rPr>
          <w:rFonts w:asciiTheme="majorHAnsi" w:hAnsiTheme="majorHAnsi"/>
          <w:sz w:val="20"/>
          <w:szCs w:val="20"/>
          <w:lang w:val="en-US"/>
        </w:rPr>
        <w:t xml:space="preserve"> </w:t>
      </w:r>
      <w:r w:rsidRPr="000977F7">
        <w:rPr>
          <w:rFonts w:asciiTheme="majorHAnsi" w:hAnsiTheme="majorHAnsi"/>
          <w:sz w:val="20"/>
          <w:szCs w:val="20"/>
        </w:rPr>
        <w:t>витрати</w:t>
      </w:r>
      <w:r w:rsidRPr="004D2D14">
        <w:rPr>
          <w:rFonts w:asciiTheme="majorHAnsi" w:hAnsiTheme="majorHAnsi"/>
          <w:sz w:val="20"/>
          <w:szCs w:val="20"/>
          <w:lang w:val="en-US"/>
        </w:rPr>
        <w:t xml:space="preserve"> </w:t>
      </w:r>
      <w:r w:rsidRPr="000977F7">
        <w:rPr>
          <w:rFonts w:asciiTheme="majorHAnsi" w:hAnsiTheme="majorHAnsi"/>
          <w:sz w:val="20"/>
          <w:szCs w:val="20"/>
        </w:rPr>
        <w:t>внаслідок</w:t>
      </w:r>
      <w:r w:rsidRPr="004D2D14">
        <w:rPr>
          <w:rFonts w:asciiTheme="majorHAnsi" w:hAnsiTheme="majorHAnsi"/>
          <w:sz w:val="20"/>
          <w:szCs w:val="20"/>
          <w:lang w:val="en-US"/>
        </w:rPr>
        <w:t xml:space="preserve"> </w:t>
      </w:r>
      <w:r w:rsidRPr="000977F7">
        <w:rPr>
          <w:rFonts w:asciiTheme="majorHAnsi" w:hAnsiTheme="majorHAnsi"/>
          <w:sz w:val="20"/>
          <w:szCs w:val="20"/>
        </w:rPr>
        <w:t>фізичного</w:t>
      </w:r>
      <w:r w:rsidRPr="004D2D14">
        <w:rPr>
          <w:rFonts w:asciiTheme="majorHAnsi" w:hAnsiTheme="majorHAnsi"/>
          <w:sz w:val="20"/>
          <w:szCs w:val="20"/>
          <w:lang w:val="en-US"/>
        </w:rPr>
        <w:t xml:space="preserve"> </w:t>
      </w:r>
      <w:r w:rsidRPr="000977F7">
        <w:rPr>
          <w:rFonts w:asciiTheme="majorHAnsi" w:hAnsiTheme="majorHAnsi"/>
          <w:sz w:val="20"/>
          <w:szCs w:val="20"/>
        </w:rPr>
        <w:t>навантаження</w:t>
      </w:r>
    </w:p>
    <w:p w14:paraId="40727B2B"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sectPr w:rsidR="0097612F" w:rsidRPr="000977F7" w:rsidSect="000977F7">
          <w:type w:val="continuous"/>
          <w:pgSz w:w="11910" w:h="16840"/>
          <w:pgMar w:top="800" w:right="711" w:bottom="960" w:left="1000" w:header="0" w:footer="751" w:gutter="0"/>
          <w:cols w:num="2" w:space="454"/>
        </w:sect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2293: 2014;</w:t>
      </w:r>
      <w:r w:rsidRPr="000977F7">
        <w:rPr>
          <w:rFonts w:asciiTheme="majorHAnsi" w:hAnsiTheme="majorHAnsi"/>
          <w:i/>
          <w:spacing w:val="-3"/>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3038 - 95</w:t>
      </w:r>
    </w:p>
    <w:p w14:paraId="02EBEA34" w14:textId="77777777" w:rsidR="0097612F" w:rsidRPr="00C10197" w:rsidRDefault="0097612F" w:rsidP="00C10197">
      <w:pPr>
        <w:pStyle w:val="1"/>
        <w:rPr>
          <w:lang w:val="uk-UA"/>
        </w:rPr>
      </w:pPr>
      <w:bookmarkStart w:id="295" w:name="_Toc132629652"/>
      <w:r w:rsidRPr="00C10197">
        <w:rPr>
          <w:lang w:val="uk-UA"/>
        </w:rPr>
        <w:lastRenderedPageBreak/>
        <w:t>У</w:t>
      </w:r>
      <w:bookmarkEnd w:id="295"/>
    </w:p>
    <w:p w14:paraId="2F848E9B" w14:textId="77777777" w:rsidR="0097612F" w:rsidRPr="00C10197" w:rsidRDefault="0097612F" w:rsidP="00C10197">
      <w:pPr>
        <w:pStyle w:val="1"/>
        <w:rPr>
          <w:lang w:val="uk-UA"/>
        </w:rPr>
        <w:sectPr w:rsidR="0097612F" w:rsidRPr="00C10197" w:rsidSect="000977F7">
          <w:footerReference w:type="default" r:id="rId41"/>
          <w:pgSz w:w="11900" w:h="16820"/>
          <w:pgMar w:top="980" w:right="380" w:bottom="960" w:left="1160" w:header="0" w:footer="775" w:gutter="0"/>
          <w:cols w:num="2" w:space="454"/>
        </w:sectPr>
      </w:pPr>
    </w:p>
    <w:p w14:paraId="0B5F8F4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УБУТОК</w:t>
      </w:r>
      <w:r w:rsidRPr="000977F7">
        <w:rPr>
          <w:color w:val="auto"/>
          <w:spacing w:val="-4"/>
          <w:sz w:val="20"/>
          <w:szCs w:val="20"/>
        </w:rPr>
        <w:t xml:space="preserve"> </w:t>
      </w:r>
      <w:r w:rsidRPr="000977F7">
        <w:rPr>
          <w:color w:val="auto"/>
          <w:sz w:val="20"/>
          <w:szCs w:val="20"/>
        </w:rPr>
        <w:t>НАПРУГИ</w:t>
      </w:r>
      <w:r w:rsidRPr="000977F7">
        <w:rPr>
          <w:color w:val="auto"/>
          <w:spacing w:val="-1"/>
          <w:sz w:val="20"/>
          <w:szCs w:val="20"/>
        </w:rPr>
        <w:t xml:space="preserve"> </w:t>
      </w:r>
      <w:r w:rsidRPr="000977F7">
        <w:rPr>
          <w:color w:val="auto"/>
          <w:sz w:val="20"/>
          <w:szCs w:val="20"/>
        </w:rPr>
        <w:t>–</w:t>
      </w:r>
    </w:p>
    <w:p w14:paraId="6C076AE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VOLTAGE</w:t>
      </w:r>
      <w:r w:rsidRPr="004D2D14">
        <w:rPr>
          <w:rFonts w:asciiTheme="majorHAnsi" w:hAnsiTheme="majorHAnsi"/>
          <w:spacing w:val="-2"/>
          <w:sz w:val="20"/>
          <w:szCs w:val="20"/>
          <w:lang w:val="uk-UA"/>
        </w:rPr>
        <w:t xml:space="preserve"> </w:t>
      </w:r>
      <w:r w:rsidRPr="000977F7">
        <w:rPr>
          <w:rFonts w:asciiTheme="majorHAnsi" w:hAnsiTheme="majorHAnsi"/>
          <w:sz w:val="20"/>
          <w:szCs w:val="20"/>
        </w:rPr>
        <w:t>DEPRESSION</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r w:rsidRPr="000977F7">
        <w:rPr>
          <w:rFonts w:asciiTheme="majorHAnsi" w:hAnsiTheme="majorHAnsi"/>
          <w:sz w:val="20"/>
          <w:szCs w:val="20"/>
        </w:rPr>
        <w:t>VOLTAGE</w:t>
      </w:r>
      <w:r w:rsidRPr="004D2D14">
        <w:rPr>
          <w:rFonts w:asciiTheme="majorHAnsi" w:hAnsiTheme="majorHAnsi"/>
          <w:spacing w:val="47"/>
          <w:sz w:val="20"/>
          <w:szCs w:val="20"/>
          <w:lang w:val="uk-UA"/>
        </w:rPr>
        <w:t xml:space="preserve"> </w:t>
      </w:r>
      <w:r w:rsidRPr="000977F7">
        <w:rPr>
          <w:rFonts w:asciiTheme="majorHAnsi" w:hAnsiTheme="majorHAnsi"/>
          <w:sz w:val="20"/>
          <w:szCs w:val="20"/>
        </w:rPr>
        <w:t>COLLAPSE</w:t>
      </w:r>
      <w:r w:rsidRPr="004D2D14">
        <w:rPr>
          <w:rFonts w:asciiTheme="majorHAnsi" w:hAnsiTheme="majorHAnsi"/>
          <w:sz w:val="20"/>
          <w:szCs w:val="20"/>
          <w:lang w:val="uk-UA"/>
        </w:rPr>
        <w:t>)</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739D2C4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Раптове значне зниження напруги в електропостачальній</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системі</w:t>
      </w:r>
    </w:p>
    <w:p w14:paraId="6FB7C20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779C8A7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УГОДА</w:t>
      </w:r>
      <w:r w:rsidRPr="000977F7">
        <w:rPr>
          <w:color w:val="auto"/>
          <w:spacing w:val="-2"/>
          <w:sz w:val="20"/>
          <w:szCs w:val="20"/>
        </w:rPr>
        <w:t xml:space="preserve"> </w:t>
      </w:r>
      <w:r w:rsidRPr="000977F7">
        <w:rPr>
          <w:color w:val="auto"/>
          <w:sz w:val="20"/>
          <w:szCs w:val="20"/>
        </w:rPr>
        <w:t>–</w:t>
      </w:r>
    </w:p>
    <w:p w14:paraId="4B781EE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Договір, що укладається між двома або більше сторонами за торговими платежами, постачаннями товару,</w:t>
      </w:r>
      <w:r w:rsidRPr="000977F7">
        <w:rPr>
          <w:rFonts w:asciiTheme="majorHAnsi" w:hAnsiTheme="majorHAnsi"/>
          <w:spacing w:val="1"/>
          <w:sz w:val="20"/>
          <w:szCs w:val="20"/>
        </w:rPr>
        <w:t xml:space="preserve"> </w:t>
      </w:r>
      <w:r w:rsidRPr="000977F7">
        <w:rPr>
          <w:rFonts w:asciiTheme="majorHAnsi" w:hAnsiTheme="majorHAnsi"/>
          <w:sz w:val="20"/>
          <w:szCs w:val="20"/>
        </w:rPr>
        <w:t>наданнями</w:t>
      </w:r>
      <w:r w:rsidRPr="000977F7">
        <w:rPr>
          <w:rFonts w:asciiTheme="majorHAnsi" w:hAnsiTheme="majorHAnsi"/>
          <w:spacing w:val="-2"/>
          <w:sz w:val="20"/>
          <w:szCs w:val="20"/>
        </w:rPr>
        <w:t xml:space="preserve"> </w:t>
      </w:r>
      <w:r w:rsidRPr="000977F7">
        <w:rPr>
          <w:rFonts w:asciiTheme="majorHAnsi" w:hAnsiTheme="majorHAnsi"/>
          <w:sz w:val="20"/>
          <w:szCs w:val="20"/>
        </w:rPr>
        <w:t>послуг,</w:t>
      </w:r>
      <w:r w:rsidRPr="000977F7">
        <w:rPr>
          <w:rFonts w:asciiTheme="majorHAnsi" w:hAnsiTheme="majorHAnsi"/>
          <w:spacing w:val="2"/>
          <w:sz w:val="20"/>
          <w:szCs w:val="20"/>
        </w:rPr>
        <w:t xml:space="preserve"> </w:t>
      </w:r>
      <w:r w:rsidRPr="000977F7">
        <w:rPr>
          <w:rFonts w:asciiTheme="majorHAnsi" w:hAnsiTheme="majorHAnsi"/>
          <w:sz w:val="20"/>
          <w:szCs w:val="20"/>
        </w:rPr>
        <w:t>кредитними</w:t>
      </w:r>
      <w:r w:rsidRPr="000977F7">
        <w:rPr>
          <w:rFonts w:asciiTheme="majorHAnsi" w:hAnsiTheme="majorHAnsi"/>
          <w:spacing w:val="-1"/>
          <w:sz w:val="20"/>
          <w:szCs w:val="20"/>
        </w:rPr>
        <w:t xml:space="preserve"> </w:t>
      </w:r>
      <w:r w:rsidRPr="000977F7">
        <w:rPr>
          <w:rFonts w:asciiTheme="majorHAnsi" w:hAnsiTheme="majorHAnsi"/>
          <w:sz w:val="20"/>
          <w:szCs w:val="20"/>
        </w:rPr>
        <w:t>операціями</w:t>
      </w:r>
    </w:p>
    <w:p w14:paraId="5A45E4D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6683DE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УДОСКОНАЛЮВАННЯ</w:t>
      </w:r>
      <w:r w:rsidRPr="000977F7">
        <w:rPr>
          <w:color w:val="auto"/>
          <w:spacing w:val="-6"/>
          <w:sz w:val="20"/>
          <w:szCs w:val="20"/>
        </w:rPr>
        <w:t xml:space="preserve"> </w:t>
      </w:r>
      <w:r w:rsidRPr="000977F7">
        <w:rPr>
          <w:color w:val="auto"/>
          <w:sz w:val="20"/>
          <w:szCs w:val="20"/>
        </w:rPr>
        <w:t>ПРОДУКЦІЇ</w:t>
      </w:r>
      <w:r w:rsidRPr="000977F7">
        <w:rPr>
          <w:color w:val="auto"/>
          <w:spacing w:val="-3"/>
          <w:sz w:val="20"/>
          <w:szCs w:val="20"/>
        </w:rPr>
        <w:t xml:space="preserve"> </w:t>
      </w:r>
      <w:r w:rsidRPr="000977F7">
        <w:rPr>
          <w:color w:val="auto"/>
          <w:sz w:val="20"/>
          <w:szCs w:val="20"/>
        </w:rPr>
        <w:t>–</w:t>
      </w:r>
    </w:p>
    <w:p w14:paraId="281AC8A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Зміна продукції, що підвищує ефективність її виробництва або застосування без істотних змін основних</w:t>
      </w:r>
      <w:r w:rsidRPr="000977F7">
        <w:rPr>
          <w:rFonts w:asciiTheme="majorHAnsi" w:hAnsiTheme="majorHAnsi"/>
          <w:spacing w:val="1"/>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2"/>
          <w:sz w:val="20"/>
          <w:szCs w:val="20"/>
        </w:rPr>
        <w:t xml:space="preserve"> </w:t>
      </w:r>
      <w:r w:rsidRPr="000977F7">
        <w:rPr>
          <w:rFonts w:asciiTheme="majorHAnsi" w:hAnsiTheme="majorHAnsi"/>
          <w:sz w:val="20"/>
          <w:szCs w:val="20"/>
        </w:rPr>
        <w:t>виготовлюваної</w:t>
      </w:r>
      <w:r w:rsidRPr="000977F7">
        <w:rPr>
          <w:rFonts w:asciiTheme="majorHAnsi" w:hAnsiTheme="majorHAnsi"/>
          <w:spacing w:val="-2"/>
          <w:sz w:val="20"/>
          <w:szCs w:val="20"/>
        </w:rPr>
        <w:t xml:space="preserve"> </w:t>
      </w:r>
      <w:r w:rsidRPr="000977F7">
        <w:rPr>
          <w:rFonts w:asciiTheme="majorHAnsi" w:hAnsiTheme="majorHAnsi"/>
          <w:sz w:val="20"/>
          <w:szCs w:val="20"/>
        </w:rPr>
        <w:t>продукції</w:t>
      </w:r>
    </w:p>
    <w:p w14:paraId="2690F92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2B2128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УКРАЇНСЬКІ ТОВАРИ –</w:t>
      </w:r>
    </w:p>
    <w:p w14:paraId="247D669D"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Товари:</w:t>
      </w:r>
    </w:p>
    <w:p w14:paraId="79D656E5"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bookmarkStart w:id="296" w:name="n402"/>
      <w:bookmarkEnd w:id="296"/>
      <w:r w:rsidRPr="000977F7">
        <w:rPr>
          <w:b w:val="0"/>
          <w:bCs/>
          <w:color w:val="auto"/>
          <w:sz w:val="20"/>
          <w:szCs w:val="20"/>
        </w:rPr>
        <w:t>а) які повністю отримані (вироблені) на митній території України та які не містять товарів, ввезених із-за меж митної території України. Товари, повністю отримані (вироблені) на митній території України, не мають митного статусу українських товарів, якщо вони отримані (вироблені) з товарів, які не перебувають у вільному обігу на митній території України;</w:t>
      </w:r>
    </w:p>
    <w:p w14:paraId="2ED0826F"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bookmarkStart w:id="297" w:name="n403"/>
      <w:bookmarkEnd w:id="297"/>
      <w:r w:rsidRPr="000977F7">
        <w:rPr>
          <w:b w:val="0"/>
          <w:bCs/>
          <w:color w:val="auto"/>
          <w:sz w:val="20"/>
          <w:szCs w:val="20"/>
        </w:rPr>
        <w:t>б) ввезені на митну територію України та випущені для вільного обігу на цій території;</w:t>
      </w:r>
    </w:p>
    <w:p w14:paraId="10289DE4"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bookmarkStart w:id="298" w:name="n404"/>
      <w:bookmarkEnd w:id="298"/>
      <w:r w:rsidRPr="000977F7">
        <w:rPr>
          <w:b w:val="0"/>
          <w:bCs/>
          <w:color w:val="auto"/>
          <w:sz w:val="20"/>
          <w:szCs w:val="20"/>
        </w:rPr>
        <w:t>в) отримані (вироблені) на митній території України виключно з товарів, зазначених у підпункті "б", або з товарів, зазначених у підпунктах "а" і "б" цього пункту</w:t>
      </w:r>
    </w:p>
    <w:p w14:paraId="013DE4D6"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Митний кодекс України</w:t>
      </w:r>
    </w:p>
    <w:p w14:paraId="3E809147" w14:textId="77777777" w:rsidR="0097612F" w:rsidRPr="000977F7" w:rsidRDefault="0097612F" w:rsidP="000977F7">
      <w:pPr>
        <w:pStyle w:val="7"/>
        <w:tabs>
          <w:tab w:val="left" w:pos="284"/>
        </w:tabs>
        <w:spacing w:before="0" w:line="240" w:lineRule="auto"/>
        <w:ind w:left="170"/>
        <w:mirrorIndents/>
        <w:jc w:val="both"/>
        <w:rPr>
          <w:color w:val="auto"/>
          <w:spacing w:val="17"/>
          <w:sz w:val="20"/>
          <w:szCs w:val="20"/>
        </w:rPr>
      </w:pPr>
      <w:r w:rsidRPr="000977F7">
        <w:rPr>
          <w:color w:val="auto"/>
          <w:sz w:val="20"/>
          <w:szCs w:val="20"/>
        </w:rPr>
        <w:t>УМИСНЕ ВВЕДЕННЯ В ОБІГ</w:t>
      </w:r>
      <w:r w:rsidRPr="000977F7">
        <w:rPr>
          <w:color w:val="auto"/>
          <w:spacing w:val="17"/>
          <w:sz w:val="20"/>
          <w:szCs w:val="20"/>
        </w:rPr>
        <w:t xml:space="preserve"> </w:t>
      </w:r>
      <w:r w:rsidRPr="000977F7">
        <w:rPr>
          <w:color w:val="auto"/>
          <w:sz w:val="20"/>
          <w:szCs w:val="20"/>
        </w:rPr>
        <w:t>(ВИПУСК</w:t>
      </w:r>
      <w:r w:rsidRPr="000977F7">
        <w:rPr>
          <w:color w:val="auto"/>
          <w:spacing w:val="18"/>
          <w:sz w:val="20"/>
          <w:szCs w:val="20"/>
        </w:rPr>
        <w:t xml:space="preserve"> </w:t>
      </w:r>
      <w:r w:rsidRPr="000977F7">
        <w:rPr>
          <w:color w:val="auto"/>
          <w:sz w:val="20"/>
          <w:szCs w:val="20"/>
        </w:rPr>
        <w:t>НА</w:t>
      </w:r>
      <w:r w:rsidRPr="000977F7">
        <w:rPr>
          <w:color w:val="auto"/>
          <w:spacing w:val="17"/>
          <w:sz w:val="20"/>
          <w:szCs w:val="20"/>
        </w:rPr>
        <w:t xml:space="preserve"> </w:t>
      </w:r>
    </w:p>
    <w:p w14:paraId="655218B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РИ</w:t>
      </w:r>
      <w:r w:rsidRPr="000977F7">
        <w:rPr>
          <w:color w:val="auto"/>
          <w:spacing w:val="-47"/>
          <w:sz w:val="20"/>
          <w:szCs w:val="20"/>
        </w:rPr>
        <w:t xml:space="preserve"> </w:t>
      </w:r>
      <w:r w:rsidRPr="000977F7">
        <w:rPr>
          <w:color w:val="auto"/>
          <w:sz w:val="20"/>
          <w:szCs w:val="20"/>
        </w:rPr>
        <w:t>НОК</w:t>
      </w:r>
      <w:r w:rsidRPr="000977F7">
        <w:rPr>
          <w:color w:val="auto"/>
          <w:spacing w:val="-3"/>
          <w:sz w:val="20"/>
          <w:szCs w:val="20"/>
        </w:rPr>
        <w:t xml:space="preserve"> </w:t>
      </w:r>
      <w:r w:rsidRPr="000977F7">
        <w:rPr>
          <w:color w:val="auto"/>
          <w:sz w:val="20"/>
          <w:szCs w:val="20"/>
        </w:rPr>
        <w:t>УКРАЇНИ)</w:t>
      </w:r>
      <w:r w:rsidRPr="000977F7">
        <w:rPr>
          <w:color w:val="auto"/>
          <w:spacing w:val="-2"/>
          <w:sz w:val="20"/>
          <w:szCs w:val="20"/>
        </w:rPr>
        <w:t xml:space="preserve"> </w:t>
      </w:r>
      <w:r w:rsidRPr="000977F7">
        <w:rPr>
          <w:color w:val="auto"/>
          <w:sz w:val="20"/>
          <w:szCs w:val="20"/>
        </w:rPr>
        <w:t>НЕБЕЗПЕЧНОЇ</w:t>
      </w:r>
      <w:r w:rsidRPr="000977F7">
        <w:rPr>
          <w:color w:val="auto"/>
          <w:spacing w:val="-3"/>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198B64E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Умисне введення в обіг (випуск на ринок України)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небезпечної продукції, тобто такої продукції, що не</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відповідає вимогам щодо безпечності продукції, встановленим нормативно-правовими актами, якщо такі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вчинені</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великих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розмірах,</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w:t>
      </w:r>
    </w:p>
    <w:p w14:paraId="13AA906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караються штрафом від п'ятисот до тисячі неоподатковуваних мінімумів доходів громадян з позбавленням права обіймати певні посади чи займатися певною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діяльністю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 строк</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трьох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років.</w:t>
      </w:r>
    </w:p>
    <w:p w14:paraId="1173099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 р и м і т к а. Під введенням в обіг (випуском на ринок України) небезпечної продукції, вчиненим у великих розмірах, слід вважати введення в обіг продукції, загальна вартість якої перевищує п'ятсот неоподатковуваних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мінімумів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доходів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громадян</w:t>
      </w:r>
    </w:p>
    <w:p w14:paraId="054328C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4"/>
          <w:sz w:val="20"/>
          <w:szCs w:val="20"/>
        </w:rPr>
        <w:t xml:space="preserve"> </w:t>
      </w:r>
      <w:r w:rsidRPr="000977F7">
        <w:rPr>
          <w:rFonts w:asciiTheme="majorHAnsi" w:hAnsiTheme="majorHAnsi"/>
          <w:i/>
          <w:sz w:val="20"/>
          <w:szCs w:val="20"/>
        </w:rPr>
        <w:t>227</w:t>
      </w:r>
      <w:r w:rsidRPr="000977F7">
        <w:rPr>
          <w:rFonts w:asciiTheme="majorHAnsi" w:hAnsiTheme="majorHAnsi"/>
          <w:i/>
          <w:spacing w:val="-3"/>
          <w:sz w:val="20"/>
          <w:szCs w:val="20"/>
        </w:rPr>
        <w:t xml:space="preserve"> </w:t>
      </w:r>
      <w:r w:rsidRPr="000977F7">
        <w:rPr>
          <w:rFonts w:asciiTheme="majorHAnsi" w:hAnsiTheme="majorHAnsi"/>
          <w:i/>
          <w:sz w:val="20"/>
          <w:szCs w:val="20"/>
        </w:rPr>
        <w:t>Кримінального</w:t>
      </w:r>
      <w:r w:rsidRPr="000977F7">
        <w:rPr>
          <w:rFonts w:asciiTheme="majorHAnsi" w:hAnsiTheme="majorHAnsi"/>
          <w:i/>
          <w:spacing w:val="-3"/>
          <w:sz w:val="20"/>
          <w:szCs w:val="20"/>
        </w:rPr>
        <w:t xml:space="preserve"> </w:t>
      </w:r>
      <w:r w:rsidRPr="000977F7">
        <w:rPr>
          <w:rFonts w:asciiTheme="majorHAnsi" w:hAnsiTheme="majorHAnsi"/>
          <w:i/>
          <w:sz w:val="20"/>
          <w:szCs w:val="20"/>
        </w:rPr>
        <w:t>кодексу</w:t>
      </w:r>
      <w:r w:rsidRPr="000977F7">
        <w:rPr>
          <w:rFonts w:asciiTheme="majorHAnsi" w:hAnsiTheme="majorHAnsi"/>
          <w:i/>
          <w:spacing w:val="-3"/>
          <w:sz w:val="20"/>
          <w:szCs w:val="20"/>
        </w:rPr>
        <w:t xml:space="preserve"> </w:t>
      </w:r>
      <w:r w:rsidRPr="000977F7">
        <w:rPr>
          <w:rFonts w:asciiTheme="majorHAnsi" w:hAnsiTheme="majorHAnsi"/>
          <w:i/>
          <w:sz w:val="20"/>
          <w:szCs w:val="20"/>
        </w:rPr>
        <w:t>України</w:t>
      </w:r>
    </w:p>
    <w:p w14:paraId="7C80A5C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УМОВИ</w:t>
      </w:r>
      <w:r w:rsidRPr="000977F7">
        <w:rPr>
          <w:color w:val="auto"/>
          <w:spacing w:val="-3"/>
          <w:sz w:val="20"/>
          <w:szCs w:val="20"/>
        </w:rPr>
        <w:t xml:space="preserve"> </w:t>
      </w:r>
      <w:r w:rsidRPr="000977F7">
        <w:rPr>
          <w:color w:val="auto"/>
          <w:sz w:val="20"/>
          <w:szCs w:val="20"/>
        </w:rPr>
        <w:t>БЕЗПЕЧНОЇ</w:t>
      </w:r>
      <w:r w:rsidRPr="000977F7">
        <w:rPr>
          <w:color w:val="auto"/>
          <w:spacing w:val="-5"/>
          <w:sz w:val="20"/>
          <w:szCs w:val="20"/>
        </w:rPr>
        <w:t xml:space="preserve"> </w:t>
      </w:r>
      <w:r w:rsidRPr="000977F7">
        <w:rPr>
          <w:color w:val="auto"/>
          <w:sz w:val="20"/>
          <w:szCs w:val="20"/>
        </w:rPr>
        <w:t>ЕКСПЛУАТАЦІЇ</w:t>
      </w:r>
      <w:r w:rsidRPr="000977F7">
        <w:rPr>
          <w:color w:val="auto"/>
          <w:spacing w:val="-3"/>
          <w:sz w:val="20"/>
          <w:szCs w:val="20"/>
        </w:rPr>
        <w:t xml:space="preserve"> </w:t>
      </w:r>
      <w:r w:rsidRPr="000977F7">
        <w:rPr>
          <w:color w:val="auto"/>
          <w:sz w:val="20"/>
          <w:szCs w:val="20"/>
        </w:rPr>
        <w:t>–</w:t>
      </w:r>
    </w:p>
    <w:p w14:paraId="6E6569D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SAFE</w:t>
      </w:r>
      <w:r w:rsidRPr="004D2D14">
        <w:rPr>
          <w:rFonts w:asciiTheme="majorHAnsi" w:hAnsiTheme="majorHAnsi"/>
          <w:spacing w:val="-1"/>
          <w:sz w:val="20"/>
          <w:szCs w:val="20"/>
          <w:lang w:val="uk-UA"/>
        </w:rPr>
        <w:t xml:space="preserve"> </w:t>
      </w:r>
      <w:r w:rsidRPr="000977F7">
        <w:rPr>
          <w:rFonts w:asciiTheme="majorHAnsi" w:hAnsiTheme="majorHAnsi"/>
          <w:sz w:val="20"/>
          <w:szCs w:val="20"/>
        </w:rPr>
        <w:t>OPERATION</w:t>
      </w:r>
      <w:r w:rsidRPr="004D2D14">
        <w:rPr>
          <w:rFonts w:asciiTheme="majorHAnsi" w:hAnsiTheme="majorHAnsi"/>
          <w:spacing w:val="-1"/>
          <w:sz w:val="20"/>
          <w:szCs w:val="20"/>
          <w:lang w:val="uk-UA"/>
        </w:rPr>
        <w:t xml:space="preserve"> </w:t>
      </w:r>
      <w:r w:rsidRPr="000977F7">
        <w:rPr>
          <w:rFonts w:asciiTheme="majorHAnsi" w:hAnsiTheme="majorHAnsi"/>
          <w:sz w:val="20"/>
          <w:szCs w:val="20"/>
        </w:rPr>
        <w:t>CONDITIONS</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439A11C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Встановлені проектом мінімальні умови щодо кількості, характеристик, стану працездатності та умов технічного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обслуговування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систем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(пристроїв,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елементів),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важливих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безпеки,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забезпечується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дотримання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меж</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безпечної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експлуатації</w:t>
      </w:r>
    </w:p>
    <w:p w14:paraId="08A8F3C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2156 - 93</w:t>
      </w:r>
    </w:p>
    <w:p w14:paraId="549E10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w w:val="99"/>
          <w:sz w:val="20"/>
          <w:szCs w:val="20"/>
        </w:rPr>
        <w:t>УГОДА</w:t>
      </w:r>
      <w:r w:rsidRPr="000977F7">
        <w:rPr>
          <w:color w:val="auto"/>
          <w:spacing w:val="-1"/>
          <w:sz w:val="20"/>
          <w:szCs w:val="20"/>
        </w:rPr>
        <w:t xml:space="preserve"> </w:t>
      </w:r>
      <w:r w:rsidRPr="000977F7">
        <w:rPr>
          <w:color w:val="auto"/>
          <w:spacing w:val="1"/>
          <w:w w:val="49"/>
          <w:sz w:val="20"/>
          <w:szCs w:val="20"/>
        </w:rPr>
        <w:t>―</w:t>
      </w:r>
      <w:r w:rsidRPr="000977F7">
        <w:rPr>
          <w:color w:val="auto"/>
          <w:w w:val="99"/>
          <w:sz w:val="20"/>
          <w:szCs w:val="20"/>
        </w:rPr>
        <w:t>О</w:t>
      </w:r>
      <w:r w:rsidRPr="000977F7">
        <w:rPr>
          <w:color w:val="auto"/>
          <w:spacing w:val="-1"/>
          <w:w w:val="99"/>
          <w:sz w:val="20"/>
          <w:szCs w:val="20"/>
        </w:rPr>
        <w:t>ФС</w:t>
      </w:r>
      <w:r w:rsidRPr="000977F7">
        <w:rPr>
          <w:color w:val="auto"/>
          <w:spacing w:val="1"/>
          <w:w w:val="99"/>
          <w:sz w:val="20"/>
          <w:szCs w:val="20"/>
        </w:rPr>
        <w:t>Е</w:t>
      </w:r>
      <w:r w:rsidRPr="000977F7">
        <w:rPr>
          <w:color w:val="auto"/>
          <w:spacing w:val="-1"/>
          <w:w w:val="99"/>
          <w:sz w:val="20"/>
          <w:szCs w:val="20"/>
        </w:rPr>
        <w:t>Т</w:t>
      </w:r>
      <w:r w:rsidRPr="000977F7">
        <w:rPr>
          <w:color w:val="auto"/>
          <w:spacing w:val="2"/>
          <w:sz w:val="20"/>
          <w:szCs w:val="20"/>
        </w:rPr>
        <w:t xml:space="preserve"> </w:t>
      </w:r>
      <w:r w:rsidRPr="000977F7">
        <w:rPr>
          <w:color w:val="auto"/>
          <w:w w:val="99"/>
          <w:sz w:val="20"/>
          <w:szCs w:val="20"/>
        </w:rPr>
        <w:t>–</w:t>
      </w:r>
    </w:p>
    <w:p w14:paraId="4EFE63A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Одна з форм зустрічної торгівлі, яка передбачає як</w:t>
      </w:r>
      <w:r w:rsidRPr="000977F7">
        <w:rPr>
          <w:rFonts w:asciiTheme="majorHAnsi" w:hAnsiTheme="majorHAnsi"/>
          <w:spacing w:val="1"/>
          <w:sz w:val="20"/>
          <w:szCs w:val="20"/>
        </w:rPr>
        <w:t xml:space="preserve"> </w:t>
      </w:r>
      <w:r w:rsidRPr="000977F7">
        <w:rPr>
          <w:rFonts w:asciiTheme="majorHAnsi" w:hAnsiTheme="majorHAnsi"/>
          <w:sz w:val="20"/>
          <w:szCs w:val="20"/>
        </w:rPr>
        <w:t>обмін товарами та послугами, так і надання різного</w:t>
      </w:r>
      <w:r w:rsidRPr="000977F7">
        <w:rPr>
          <w:rFonts w:asciiTheme="majorHAnsi" w:hAnsiTheme="majorHAnsi"/>
          <w:spacing w:val="1"/>
          <w:sz w:val="20"/>
          <w:szCs w:val="20"/>
        </w:rPr>
        <w:t xml:space="preserve"> </w:t>
      </w:r>
      <w:r w:rsidRPr="000977F7">
        <w:rPr>
          <w:rFonts w:asciiTheme="majorHAnsi" w:hAnsiTheme="majorHAnsi"/>
          <w:sz w:val="20"/>
          <w:szCs w:val="20"/>
        </w:rPr>
        <w:t>роду</w:t>
      </w:r>
      <w:r w:rsidRPr="000977F7">
        <w:rPr>
          <w:rFonts w:asciiTheme="majorHAnsi" w:hAnsiTheme="majorHAnsi"/>
          <w:spacing w:val="-3"/>
          <w:sz w:val="20"/>
          <w:szCs w:val="20"/>
        </w:rPr>
        <w:t xml:space="preserve"> </w:t>
      </w:r>
      <w:r w:rsidRPr="000977F7">
        <w:rPr>
          <w:rFonts w:asciiTheme="majorHAnsi" w:hAnsiTheme="majorHAnsi"/>
          <w:sz w:val="20"/>
          <w:szCs w:val="20"/>
        </w:rPr>
        <w:t>послуг</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2"/>
          <w:sz w:val="20"/>
          <w:szCs w:val="20"/>
        </w:rPr>
        <w:t xml:space="preserve"> </w:t>
      </w:r>
      <w:r w:rsidRPr="000977F7">
        <w:rPr>
          <w:rFonts w:asciiTheme="majorHAnsi" w:hAnsiTheme="majorHAnsi"/>
          <w:sz w:val="20"/>
          <w:szCs w:val="20"/>
        </w:rPr>
        <w:t>пільг</w:t>
      </w:r>
    </w:p>
    <w:p w14:paraId="10419174"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3293</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3E75C0D2"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1"/>
          <w:sz w:val="20"/>
          <w:szCs w:val="20"/>
          <w:lang w:val="en-US"/>
        </w:rPr>
      </w:pPr>
      <w:r w:rsidRPr="000977F7">
        <w:rPr>
          <w:rFonts w:asciiTheme="majorHAnsi" w:hAnsiTheme="majorHAnsi"/>
          <w:b/>
          <w:sz w:val="20"/>
          <w:szCs w:val="20"/>
        </w:rPr>
        <w:t>УГОДА</w:t>
      </w:r>
      <w:r w:rsidRPr="004D2D14">
        <w:rPr>
          <w:rFonts w:asciiTheme="majorHAnsi" w:hAnsiTheme="majorHAnsi"/>
          <w:b/>
          <w:sz w:val="20"/>
          <w:szCs w:val="20"/>
          <w:lang w:val="en-US"/>
        </w:rPr>
        <w:t xml:space="preserve"> </w:t>
      </w:r>
      <w:r w:rsidRPr="000977F7">
        <w:rPr>
          <w:rFonts w:asciiTheme="majorHAnsi" w:hAnsiTheme="majorHAnsi"/>
          <w:b/>
          <w:sz w:val="20"/>
          <w:szCs w:val="20"/>
        </w:rPr>
        <w:t>ПРО</w:t>
      </w:r>
      <w:r w:rsidRPr="004D2D14">
        <w:rPr>
          <w:rFonts w:asciiTheme="majorHAnsi" w:hAnsiTheme="majorHAnsi"/>
          <w:b/>
          <w:sz w:val="20"/>
          <w:szCs w:val="20"/>
          <w:lang w:val="en-US"/>
        </w:rPr>
        <w:t xml:space="preserve"> </w:t>
      </w:r>
      <w:r w:rsidRPr="000977F7">
        <w:rPr>
          <w:rFonts w:asciiTheme="majorHAnsi" w:hAnsiTheme="majorHAnsi"/>
          <w:b/>
          <w:sz w:val="20"/>
          <w:szCs w:val="20"/>
        </w:rPr>
        <w:t>ВИЗНАННЯ</w:t>
      </w:r>
      <w:r w:rsidRPr="004D2D14">
        <w:rPr>
          <w:rFonts w:asciiTheme="majorHAnsi" w:hAnsiTheme="majorHAnsi"/>
          <w:b/>
          <w:sz w:val="20"/>
          <w:szCs w:val="20"/>
          <w:lang w:val="en-US"/>
        </w:rPr>
        <w:t xml:space="preserve"> –</w:t>
      </w:r>
      <w:r w:rsidRPr="004D2D14">
        <w:rPr>
          <w:rFonts w:asciiTheme="majorHAnsi" w:hAnsiTheme="majorHAnsi"/>
          <w:b/>
          <w:spacing w:val="1"/>
          <w:sz w:val="20"/>
          <w:szCs w:val="20"/>
          <w:lang w:val="en-US"/>
        </w:rPr>
        <w:t xml:space="preserve"> </w:t>
      </w:r>
    </w:p>
    <w:p w14:paraId="4672FC2D"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ACCEPTANCE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ARRANGEMENT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RECOGNITION</w:t>
      </w:r>
      <w:r w:rsidRPr="004D2D14">
        <w:rPr>
          <w:rFonts w:asciiTheme="majorHAnsi" w:hAnsiTheme="majorHAnsi"/>
          <w:spacing w:val="-9"/>
          <w:sz w:val="20"/>
          <w:szCs w:val="20"/>
          <w:lang w:val="en-US"/>
        </w:rPr>
        <w:t xml:space="preserve"> </w:t>
      </w:r>
      <w:r w:rsidRPr="004D2D14">
        <w:rPr>
          <w:rFonts w:asciiTheme="majorHAnsi" w:hAnsiTheme="majorHAnsi"/>
          <w:sz w:val="20"/>
          <w:szCs w:val="20"/>
          <w:lang w:val="en-US"/>
        </w:rPr>
        <w:t>ARRANGEMENT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444113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Угода, що ґрунтується на прийнятті однією стороною</w:t>
      </w:r>
      <w:r w:rsidRPr="000977F7">
        <w:rPr>
          <w:rFonts w:asciiTheme="majorHAnsi" w:hAnsiTheme="majorHAnsi"/>
          <w:spacing w:val="1"/>
          <w:sz w:val="20"/>
          <w:szCs w:val="20"/>
        </w:rPr>
        <w:t xml:space="preserve"> </w:t>
      </w:r>
      <w:r w:rsidRPr="000977F7">
        <w:rPr>
          <w:rFonts w:asciiTheme="majorHAnsi" w:hAnsiTheme="majorHAnsi"/>
          <w:sz w:val="20"/>
          <w:szCs w:val="20"/>
        </w:rPr>
        <w:t>результатів, представлених другою стороною, які здобуті застосуванням одного чи більше функціональних</w:t>
      </w:r>
      <w:r w:rsidRPr="000977F7">
        <w:rPr>
          <w:rFonts w:asciiTheme="majorHAnsi" w:hAnsiTheme="majorHAnsi"/>
          <w:spacing w:val="1"/>
          <w:sz w:val="20"/>
          <w:szCs w:val="20"/>
        </w:rPr>
        <w:t xml:space="preserve"> </w:t>
      </w:r>
      <w:r w:rsidRPr="000977F7">
        <w:rPr>
          <w:rFonts w:asciiTheme="majorHAnsi" w:hAnsiTheme="majorHAnsi"/>
          <w:sz w:val="20"/>
          <w:szCs w:val="20"/>
        </w:rPr>
        <w:t>елементів</w:t>
      </w:r>
      <w:r w:rsidRPr="000977F7">
        <w:rPr>
          <w:rFonts w:asciiTheme="majorHAnsi" w:hAnsiTheme="majorHAnsi"/>
          <w:spacing w:val="-2"/>
          <w:sz w:val="20"/>
          <w:szCs w:val="20"/>
        </w:rPr>
        <w:t xml:space="preserve"> </w:t>
      </w:r>
      <w:r w:rsidRPr="000977F7">
        <w:rPr>
          <w:rFonts w:asciiTheme="majorHAnsi" w:hAnsiTheme="majorHAnsi"/>
          <w:sz w:val="20"/>
          <w:szCs w:val="20"/>
        </w:rPr>
        <w:t>системи</w:t>
      </w:r>
      <w:r w:rsidRPr="000977F7">
        <w:rPr>
          <w:rFonts w:asciiTheme="majorHAnsi" w:hAnsiTheme="majorHAnsi"/>
          <w:spacing w:val="-2"/>
          <w:sz w:val="20"/>
          <w:szCs w:val="20"/>
        </w:rPr>
        <w:t xml:space="preserve"> </w:t>
      </w:r>
      <w:r w:rsidRPr="000977F7">
        <w:rPr>
          <w:rFonts w:asciiTheme="majorHAnsi" w:hAnsiTheme="majorHAnsi"/>
          <w:sz w:val="20"/>
          <w:szCs w:val="20"/>
        </w:rPr>
        <w:t>встановлення</w:t>
      </w:r>
      <w:r w:rsidRPr="000977F7">
        <w:rPr>
          <w:rFonts w:asciiTheme="majorHAnsi" w:hAnsiTheme="majorHAnsi"/>
          <w:spacing w:val="-2"/>
          <w:sz w:val="20"/>
          <w:szCs w:val="20"/>
        </w:rPr>
        <w:t xml:space="preserve"> </w:t>
      </w:r>
      <w:r w:rsidRPr="000977F7">
        <w:rPr>
          <w:rFonts w:asciiTheme="majorHAnsi" w:hAnsiTheme="majorHAnsi"/>
          <w:sz w:val="20"/>
          <w:szCs w:val="20"/>
        </w:rPr>
        <w:t>відповідності</w:t>
      </w:r>
    </w:p>
    <w:p w14:paraId="0F97F3D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39"/>
          <w:sz w:val="20"/>
          <w:szCs w:val="20"/>
        </w:rPr>
        <w:t xml:space="preserve"> </w:t>
      </w:r>
      <w:r w:rsidRPr="000977F7">
        <w:rPr>
          <w:rFonts w:asciiTheme="majorHAnsi" w:hAnsiTheme="majorHAnsi"/>
          <w:sz w:val="20"/>
          <w:szCs w:val="20"/>
        </w:rPr>
        <w:t>р</w:t>
      </w:r>
      <w:r w:rsidRPr="000977F7">
        <w:rPr>
          <w:rFonts w:asciiTheme="majorHAnsi" w:hAnsiTheme="majorHAnsi"/>
          <w:spacing w:val="43"/>
          <w:sz w:val="20"/>
          <w:szCs w:val="20"/>
        </w:rPr>
        <w:t xml:space="preserve"> </w:t>
      </w:r>
      <w:r w:rsidRPr="000977F7">
        <w:rPr>
          <w:rFonts w:asciiTheme="majorHAnsi" w:hAnsiTheme="majorHAnsi"/>
          <w:sz w:val="20"/>
          <w:szCs w:val="20"/>
        </w:rPr>
        <w:t>и</w:t>
      </w:r>
      <w:r w:rsidRPr="000977F7">
        <w:rPr>
          <w:rFonts w:asciiTheme="majorHAnsi" w:hAnsiTheme="majorHAnsi"/>
          <w:spacing w:val="39"/>
          <w:sz w:val="20"/>
          <w:szCs w:val="20"/>
        </w:rPr>
        <w:t xml:space="preserve"> </w:t>
      </w:r>
      <w:r w:rsidRPr="000977F7">
        <w:rPr>
          <w:rFonts w:asciiTheme="majorHAnsi" w:hAnsiTheme="majorHAnsi"/>
          <w:sz w:val="20"/>
          <w:szCs w:val="20"/>
        </w:rPr>
        <w:t>м</w:t>
      </w:r>
      <w:r w:rsidRPr="000977F7">
        <w:rPr>
          <w:rFonts w:asciiTheme="majorHAnsi" w:hAnsiTheme="majorHAnsi"/>
          <w:spacing w:val="43"/>
          <w:sz w:val="20"/>
          <w:szCs w:val="20"/>
        </w:rPr>
        <w:t xml:space="preserve"> </w:t>
      </w:r>
      <w:r w:rsidRPr="000977F7">
        <w:rPr>
          <w:rFonts w:asciiTheme="majorHAnsi" w:hAnsiTheme="majorHAnsi"/>
          <w:sz w:val="20"/>
          <w:szCs w:val="20"/>
        </w:rPr>
        <w:t>і</w:t>
      </w:r>
      <w:r w:rsidRPr="000977F7">
        <w:rPr>
          <w:rFonts w:asciiTheme="majorHAnsi" w:hAnsiTheme="majorHAnsi"/>
          <w:spacing w:val="42"/>
          <w:sz w:val="20"/>
          <w:szCs w:val="20"/>
        </w:rPr>
        <w:t xml:space="preserve"> </w:t>
      </w:r>
      <w:r w:rsidRPr="000977F7">
        <w:rPr>
          <w:rFonts w:asciiTheme="majorHAnsi" w:hAnsiTheme="majorHAnsi"/>
          <w:sz w:val="20"/>
          <w:szCs w:val="20"/>
        </w:rPr>
        <w:t>т</w:t>
      </w:r>
      <w:r w:rsidRPr="000977F7">
        <w:rPr>
          <w:rFonts w:asciiTheme="majorHAnsi" w:hAnsiTheme="majorHAnsi"/>
          <w:spacing w:val="42"/>
          <w:sz w:val="20"/>
          <w:szCs w:val="20"/>
        </w:rPr>
        <w:t xml:space="preserve"> </w:t>
      </w:r>
      <w:r w:rsidRPr="000977F7">
        <w:rPr>
          <w:rFonts w:asciiTheme="majorHAnsi" w:hAnsiTheme="majorHAnsi"/>
          <w:sz w:val="20"/>
          <w:szCs w:val="20"/>
        </w:rPr>
        <w:t>к</w:t>
      </w:r>
      <w:r w:rsidRPr="000977F7">
        <w:rPr>
          <w:rFonts w:asciiTheme="majorHAnsi" w:hAnsiTheme="majorHAnsi"/>
          <w:spacing w:val="41"/>
          <w:sz w:val="20"/>
          <w:szCs w:val="20"/>
        </w:rPr>
        <w:t xml:space="preserve"> </w:t>
      </w:r>
      <w:r w:rsidRPr="000977F7">
        <w:rPr>
          <w:rFonts w:asciiTheme="majorHAnsi" w:hAnsiTheme="majorHAnsi"/>
          <w:sz w:val="20"/>
          <w:szCs w:val="20"/>
        </w:rPr>
        <w:t>и:</w:t>
      </w:r>
    </w:p>
    <w:p w14:paraId="537192D5" w14:textId="77777777" w:rsidR="0097612F" w:rsidRPr="000977F7" w:rsidRDefault="0097612F" w:rsidP="00FD39A4">
      <w:pPr>
        <w:pStyle w:val="ac"/>
        <w:widowControl w:val="0"/>
        <w:numPr>
          <w:ilvl w:val="0"/>
          <w:numId w:val="69"/>
        </w:numPr>
        <w:tabs>
          <w:tab w:val="left" w:pos="284"/>
          <w:tab w:val="left" w:pos="5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Типовими прикладами угод про визнання є</w:t>
      </w:r>
      <w:r w:rsidRPr="000977F7">
        <w:rPr>
          <w:rFonts w:asciiTheme="majorHAnsi" w:hAnsiTheme="majorHAnsi"/>
          <w:spacing w:val="1"/>
          <w:sz w:val="20"/>
          <w:szCs w:val="20"/>
        </w:rPr>
        <w:t xml:space="preserve"> </w:t>
      </w:r>
      <w:r w:rsidRPr="000977F7">
        <w:rPr>
          <w:rFonts w:asciiTheme="majorHAnsi" w:hAnsiTheme="majorHAnsi"/>
          <w:sz w:val="20"/>
          <w:szCs w:val="20"/>
        </w:rPr>
        <w:t>угоди</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2"/>
          <w:sz w:val="20"/>
          <w:szCs w:val="20"/>
        </w:rPr>
        <w:t xml:space="preserve"> </w:t>
      </w:r>
      <w:r w:rsidRPr="000977F7">
        <w:rPr>
          <w:rFonts w:asciiTheme="majorHAnsi" w:hAnsiTheme="majorHAnsi"/>
          <w:sz w:val="20"/>
          <w:szCs w:val="20"/>
        </w:rPr>
        <w:t>випробування,</w:t>
      </w:r>
      <w:r w:rsidRPr="000977F7">
        <w:rPr>
          <w:rFonts w:asciiTheme="majorHAnsi" w:hAnsiTheme="majorHAnsi"/>
          <w:spacing w:val="-2"/>
          <w:sz w:val="20"/>
          <w:szCs w:val="20"/>
        </w:rPr>
        <w:t xml:space="preserve"> </w:t>
      </w:r>
      <w:r w:rsidRPr="000977F7">
        <w:rPr>
          <w:rFonts w:asciiTheme="majorHAnsi" w:hAnsiTheme="majorHAnsi"/>
          <w:sz w:val="20"/>
          <w:szCs w:val="20"/>
        </w:rPr>
        <w:t>інспектування,</w:t>
      </w:r>
      <w:r w:rsidRPr="000977F7">
        <w:rPr>
          <w:rFonts w:asciiTheme="majorHAnsi" w:hAnsiTheme="majorHAnsi"/>
          <w:spacing w:val="49"/>
          <w:sz w:val="20"/>
          <w:szCs w:val="20"/>
        </w:rPr>
        <w:t xml:space="preserve"> </w:t>
      </w:r>
      <w:r w:rsidRPr="000977F7">
        <w:rPr>
          <w:rFonts w:asciiTheme="majorHAnsi" w:hAnsiTheme="majorHAnsi"/>
          <w:sz w:val="20"/>
          <w:szCs w:val="20"/>
        </w:rPr>
        <w:t>сертифікацію</w:t>
      </w:r>
    </w:p>
    <w:p w14:paraId="471AE386" w14:textId="77777777" w:rsidR="0097612F" w:rsidRPr="000977F7" w:rsidRDefault="0097612F" w:rsidP="00FD39A4">
      <w:pPr>
        <w:pStyle w:val="ac"/>
        <w:widowControl w:val="0"/>
        <w:numPr>
          <w:ilvl w:val="0"/>
          <w:numId w:val="69"/>
        </w:numPr>
        <w:tabs>
          <w:tab w:val="left" w:pos="284"/>
          <w:tab w:val="left" w:pos="5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Угоди про визнання можуть укладатися на національному,</w:t>
      </w:r>
      <w:r w:rsidRPr="000977F7">
        <w:rPr>
          <w:rFonts w:asciiTheme="majorHAnsi" w:hAnsiTheme="majorHAnsi"/>
          <w:spacing w:val="-1"/>
          <w:sz w:val="20"/>
          <w:szCs w:val="20"/>
        </w:rPr>
        <w:t xml:space="preserve"> </w:t>
      </w:r>
      <w:r w:rsidRPr="000977F7">
        <w:rPr>
          <w:rFonts w:asciiTheme="majorHAnsi" w:hAnsiTheme="majorHAnsi"/>
          <w:sz w:val="20"/>
          <w:szCs w:val="20"/>
        </w:rPr>
        <w:t>регіональному</w:t>
      </w:r>
      <w:r w:rsidRPr="000977F7">
        <w:rPr>
          <w:rFonts w:asciiTheme="majorHAnsi" w:hAnsiTheme="majorHAnsi"/>
          <w:spacing w:val="-5"/>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міжнародному</w:t>
      </w:r>
      <w:r w:rsidRPr="000977F7">
        <w:rPr>
          <w:rFonts w:asciiTheme="majorHAnsi" w:hAnsiTheme="majorHAnsi"/>
          <w:spacing w:val="-5"/>
          <w:sz w:val="20"/>
          <w:szCs w:val="20"/>
        </w:rPr>
        <w:t xml:space="preserve"> </w:t>
      </w:r>
      <w:r w:rsidRPr="000977F7">
        <w:rPr>
          <w:rFonts w:asciiTheme="majorHAnsi" w:hAnsiTheme="majorHAnsi"/>
          <w:sz w:val="20"/>
          <w:szCs w:val="20"/>
        </w:rPr>
        <w:t>рівні</w:t>
      </w:r>
    </w:p>
    <w:p w14:paraId="6D9765F7" w14:textId="77777777" w:rsidR="0097612F" w:rsidRPr="000977F7" w:rsidRDefault="0097612F" w:rsidP="00FD39A4">
      <w:pPr>
        <w:pStyle w:val="ac"/>
        <w:widowControl w:val="0"/>
        <w:numPr>
          <w:ilvl w:val="0"/>
          <w:numId w:val="69"/>
        </w:numPr>
        <w:tabs>
          <w:tab w:val="left" w:pos="284"/>
          <w:tab w:val="left" w:pos="5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Угода, що зводиться до заяви про еквівалентність</w:t>
      </w:r>
      <w:r w:rsidRPr="000977F7">
        <w:rPr>
          <w:rFonts w:asciiTheme="majorHAnsi" w:hAnsiTheme="majorHAnsi"/>
          <w:spacing w:val="1"/>
          <w:sz w:val="20"/>
          <w:szCs w:val="20"/>
        </w:rPr>
        <w:t xml:space="preserve"> </w:t>
      </w:r>
      <w:r w:rsidRPr="000977F7">
        <w:rPr>
          <w:rFonts w:asciiTheme="majorHAnsi" w:hAnsiTheme="majorHAnsi"/>
          <w:sz w:val="20"/>
          <w:szCs w:val="20"/>
        </w:rPr>
        <w:t>процедур без визнання результатів, не підходять під</w:t>
      </w:r>
      <w:r w:rsidRPr="000977F7">
        <w:rPr>
          <w:rFonts w:asciiTheme="majorHAnsi" w:hAnsiTheme="majorHAnsi"/>
          <w:spacing w:val="1"/>
          <w:sz w:val="20"/>
          <w:szCs w:val="20"/>
        </w:rPr>
        <w:t xml:space="preserve"> </w:t>
      </w:r>
      <w:r w:rsidRPr="000977F7">
        <w:rPr>
          <w:rFonts w:asciiTheme="majorHAnsi" w:hAnsiTheme="majorHAnsi"/>
          <w:sz w:val="20"/>
          <w:szCs w:val="20"/>
        </w:rPr>
        <w:t>наведене</w:t>
      </w:r>
      <w:r w:rsidRPr="000977F7">
        <w:rPr>
          <w:rFonts w:asciiTheme="majorHAnsi" w:hAnsiTheme="majorHAnsi"/>
          <w:spacing w:val="-1"/>
          <w:sz w:val="20"/>
          <w:szCs w:val="20"/>
        </w:rPr>
        <w:t xml:space="preserve"> </w:t>
      </w:r>
      <w:r w:rsidRPr="000977F7">
        <w:rPr>
          <w:rFonts w:asciiTheme="majorHAnsi" w:hAnsiTheme="majorHAnsi"/>
          <w:sz w:val="20"/>
          <w:szCs w:val="20"/>
        </w:rPr>
        <w:t>визначення</w:t>
      </w:r>
    </w:p>
    <w:p w14:paraId="642FB036" w14:textId="77777777" w:rsidR="0097612F" w:rsidRPr="004D2D14" w:rsidRDefault="0097612F" w:rsidP="000977F7">
      <w:pPr>
        <w:tabs>
          <w:tab w:val="left" w:pos="284"/>
        </w:tabs>
        <w:spacing w:after="0" w:line="240" w:lineRule="auto"/>
        <w:ind w:left="170"/>
        <w:mirrorIndents/>
        <w:jc w:val="both"/>
        <w:rPr>
          <w:rFonts w:asciiTheme="majorHAnsi" w:hAnsiTheme="majorHAnsi"/>
          <w:i/>
          <w:iCs/>
          <w:spacing w:val="-5"/>
          <w:w w:val="95"/>
          <w:sz w:val="20"/>
          <w:szCs w:val="20"/>
          <w:lang w:val="en-US"/>
        </w:rPr>
      </w:pPr>
      <w:r w:rsidRPr="000977F7">
        <w:rPr>
          <w:rFonts w:asciiTheme="majorHAnsi" w:hAnsiTheme="majorHAnsi"/>
          <w:i/>
          <w:iCs/>
          <w:spacing w:val="-7"/>
          <w:w w:val="95"/>
          <w:sz w:val="20"/>
          <w:szCs w:val="20"/>
        </w:rPr>
        <w:t>ДСТУ</w:t>
      </w:r>
      <w:r w:rsidRPr="004D2D14">
        <w:rPr>
          <w:rFonts w:asciiTheme="majorHAnsi" w:hAnsiTheme="majorHAnsi"/>
          <w:i/>
          <w:iCs/>
          <w:spacing w:val="-7"/>
          <w:w w:val="95"/>
          <w:sz w:val="20"/>
          <w:szCs w:val="20"/>
          <w:lang w:val="en-US"/>
        </w:rPr>
        <w:t xml:space="preserve">ISO/IEC </w:t>
      </w:r>
      <w:r w:rsidRPr="004D2D14">
        <w:rPr>
          <w:rFonts w:asciiTheme="majorHAnsi" w:hAnsiTheme="majorHAnsi"/>
          <w:i/>
          <w:iCs/>
          <w:spacing w:val="-6"/>
          <w:w w:val="95"/>
          <w:sz w:val="20"/>
          <w:szCs w:val="20"/>
          <w:lang w:val="en-US"/>
        </w:rPr>
        <w:t>17000:2007</w:t>
      </w:r>
      <w:r w:rsidRPr="004D2D14">
        <w:rPr>
          <w:rFonts w:asciiTheme="majorHAnsi" w:hAnsiTheme="majorHAnsi"/>
          <w:i/>
          <w:iCs/>
          <w:spacing w:val="-5"/>
          <w:w w:val="95"/>
          <w:sz w:val="20"/>
          <w:szCs w:val="20"/>
          <w:lang w:val="en-US"/>
        </w:rPr>
        <w:t xml:space="preserve"> </w:t>
      </w:r>
    </w:p>
    <w:p w14:paraId="1487EEA6"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УДАРНА</w:t>
      </w:r>
      <w:r w:rsidRPr="004D2D14">
        <w:rPr>
          <w:rFonts w:asciiTheme="majorHAnsi" w:hAnsiTheme="majorHAnsi"/>
          <w:b/>
          <w:sz w:val="20"/>
          <w:szCs w:val="20"/>
          <w:lang w:val="en-US"/>
        </w:rPr>
        <w:t xml:space="preserve"> </w:t>
      </w:r>
      <w:r w:rsidRPr="000977F7">
        <w:rPr>
          <w:rFonts w:asciiTheme="majorHAnsi" w:hAnsiTheme="majorHAnsi"/>
          <w:b/>
          <w:sz w:val="20"/>
          <w:szCs w:val="20"/>
        </w:rPr>
        <w:t>В</w:t>
      </w:r>
      <w:r w:rsidRPr="004D2D14">
        <w:rPr>
          <w:rFonts w:asciiTheme="majorHAnsi" w:hAnsiTheme="majorHAnsi"/>
          <w:b/>
          <w:sz w:val="20"/>
          <w:szCs w:val="20"/>
          <w:lang w:val="en-US"/>
        </w:rPr>
        <w:t>’</w:t>
      </w:r>
      <w:r w:rsidRPr="000977F7">
        <w:rPr>
          <w:rFonts w:asciiTheme="majorHAnsi" w:hAnsiTheme="majorHAnsi"/>
          <w:b/>
          <w:sz w:val="20"/>
          <w:szCs w:val="20"/>
        </w:rPr>
        <w:t>ЯЗКІСТЬ</w:t>
      </w:r>
      <w:r w:rsidRPr="004D2D14">
        <w:rPr>
          <w:rFonts w:asciiTheme="majorHAnsi" w:hAnsiTheme="majorHAnsi"/>
          <w:b/>
          <w:sz w:val="20"/>
          <w:szCs w:val="20"/>
          <w:lang w:val="en-US"/>
        </w:rPr>
        <w:t xml:space="preserve"> –</w:t>
      </w:r>
      <w:r w:rsidRPr="004D2D14">
        <w:rPr>
          <w:rFonts w:asciiTheme="majorHAnsi" w:hAnsiTheme="majorHAnsi"/>
          <w:b/>
          <w:spacing w:val="-48"/>
          <w:sz w:val="20"/>
          <w:szCs w:val="20"/>
          <w:lang w:val="en-US"/>
        </w:rPr>
        <w:t xml:space="preserve"> </w:t>
      </w:r>
      <w:r w:rsidRPr="004D2D14">
        <w:rPr>
          <w:rFonts w:asciiTheme="majorHAnsi" w:hAnsiTheme="majorHAnsi"/>
          <w:b/>
          <w:spacing w:val="-48"/>
          <w:sz w:val="20"/>
          <w:szCs w:val="20"/>
          <w:lang w:val="en-US"/>
        </w:rPr>
        <w:br/>
      </w:r>
      <w:r w:rsidRPr="004D2D14">
        <w:rPr>
          <w:rFonts w:asciiTheme="majorHAnsi" w:hAnsiTheme="majorHAnsi"/>
          <w:sz w:val="20"/>
          <w:szCs w:val="20"/>
          <w:lang w:val="en-US"/>
        </w:rPr>
        <w:t>IMPACT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STRENGTH</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3DDB006A" w14:textId="77777777" w:rsidR="0097612F" w:rsidRPr="000977F7" w:rsidRDefault="0097612F" w:rsidP="000977F7">
      <w:pPr>
        <w:pStyle w:val="af6"/>
        <w:tabs>
          <w:tab w:val="left" w:pos="284"/>
        </w:tabs>
        <w:spacing w:after="0"/>
        <w:ind w:left="170"/>
        <w:mirrorIndents/>
        <w:jc w:val="both"/>
        <w:rPr>
          <w:rFonts w:asciiTheme="majorHAnsi" w:hAnsiTheme="majorHAnsi"/>
          <w:spacing w:val="-3"/>
          <w:sz w:val="20"/>
          <w:szCs w:val="20"/>
        </w:rPr>
      </w:pPr>
      <w:r w:rsidRPr="000977F7">
        <w:rPr>
          <w:rFonts w:asciiTheme="majorHAnsi" w:hAnsiTheme="majorHAnsi"/>
          <w:spacing w:val="-3"/>
          <w:sz w:val="20"/>
          <w:szCs w:val="20"/>
        </w:rPr>
        <w:t>Робота,</w:t>
      </w:r>
      <w:r w:rsidRPr="000977F7">
        <w:rPr>
          <w:rFonts w:asciiTheme="majorHAnsi" w:hAnsiTheme="majorHAnsi"/>
          <w:spacing w:val="-9"/>
          <w:sz w:val="20"/>
          <w:szCs w:val="20"/>
        </w:rPr>
        <w:t xml:space="preserve"> </w:t>
      </w:r>
      <w:r w:rsidRPr="000977F7">
        <w:rPr>
          <w:rFonts w:asciiTheme="majorHAnsi" w:hAnsiTheme="majorHAnsi"/>
          <w:spacing w:val="-3"/>
          <w:sz w:val="20"/>
          <w:szCs w:val="20"/>
        </w:rPr>
        <w:t>витрачена</w:t>
      </w:r>
      <w:r w:rsidRPr="000977F7">
        <w:rPr>
          <w:rFonts w:asciiTheme="majorHAnsi" w:hAnsiTheme="majorHAnsi"/>
          <w:spacing w:val="-7"/>
          <w:sz w:val="20"/>
          <w:szCs w:val="20"/>
        </w:rPr>
        <w:t xml:space="preserve"> </w:t>
      </w:r>
      <w:r w:rsidRPr="000977F7">
        <w:rPr>
          <w:rFonts w:asciiTheme="majorHAnsi" w:hAnsiTheme="majorHAnsi"/>
          <w:spacing w:val="-2"/>
          <w:sz w:val="20"/>
          <w:szCs w:val="20"/>
        </w:rPr>
        <w:t>на</w:t>
      </w:r>
      <w:r w:rsidRPr="000977F7">
        <w:rPr>
          <w:rFonts w:asciiTheme="majorHAnsi" w:hAnsiTheme="majorHAnsi"/>
          <w:spacing w:val="-8"/>
          <w:sz w:val="20"/>
          <w:szCs w:val="20"/>
        </w:rPr>
        <w:t xml:space="preserve"> </w:t>
      </w:r>
      <w:r w:rsidRPr="000977F7">
        <w:rPr>
          <w:rFonts w:asciiTheme="majorHAnsi" w:hAnsiTheme="majorHAnsi"/>
          <w:spacing w:val="-2"/>
          <w:sz w:val="20"/>
          <w:szCs w:val="20"/>
        </w:rPr>
        <w:t>зруйнування</w:t>
      </w:r>
      <w:r w:rsidRPr="000977F7">
        <w:rPr>
          <w:rFonts w:asciiTheme="majorHAnsi" w:hAnsiTheme="majorHAnsi"/>
          <w:spacing w:val="-8"/>
          <w:sz w:val="20"/>
          <w:szCs w:val="20"/>
        </w:rPr>
        <w:t xml:space="preserve"> </w:t>
      </w:r>
      <w:r w:rsidRPr="000977F7">
        <w:rPr>
          <w:rFonts w:asciiTheme="majorHAnsi" w:hAnsiTheme="majorHAnsi"/>
          <w:spacing w:val="-2"/>
          <w:sz w:val="20"/>
          <w:szCs w:val="20"/>
        </w:rPr>
        <w:t>ударним</w:t>
      </w:r>
      <w:r w:rsidRPr="000977F7">
        <w:rPr>
          <w:rFonts w:asciiTheme="majorHAnsi" w:hAnsiTheme="majorHAnsi"/>
          <w:spacing w:val="-8"/>
          <w:sz w:val="20"/>
          <w:szCs w:val="20"/>
        </w:rPr>
        <w:t xml:space="preserve"> </w:t>
      </w:r>
      <w:r w:rsidRPr="000977F7">
        <w:rPr>
          <w:rFonts w:asciiTheme="majorHAnsi" w:hAnsiTheme="majorHAnsi"/>
          <w:spacing w:val="-2"/>
          <w:sz w:val="20"/>
          <w:szCs w:val="20"/>
        </w:rPr>
        <w:t>згином</w:t>
      </w:r>
      <w:r w:rsidRPr="000977F7">
        <w:rPr>
          <w:rFonts w:asciiTheme="majorHAnsi" w:hAnsiTheme="majorHAnsi"/>
          <w:spacing w:val="-9"/>
          <w:sz w:val="20"/>
          <w:szCs w:val="20"/>
        </w:rPr>
        <w:t xml:space="preserve"> </w:t>
      </w:r>
      <w:r w:rsidRPr="000977F7">
        <w:rPr>
          <w:rFonts w:asciiTheme="majorHAnsi" w:hAnsiTheme="majorHAnsi"/>
          <w:spacing w:val="-2"/>
          <w:sz w:val="20"/>
          <w:szCs w:val="20"/>
        </w:rPr>
        <w:t>зраз</w:t>
      </w:r>
      <w:r w:rsidRPr="000977F7">
        <w:rPr>
          <w:rFonts w:asciiTheme="majorHAnsi" w:hAnsiTheme="majorHAnsi"/>
          <w:spacing w:val="-4"/>
          <w:sz w:val="20"/>
          <w:szCs w:val="20"/>
        </w:rPr>
        <w:t>ка</w:t>
      </w:r>
      <w:r w:rsidRPr="000977F7">
        <w:rPr>
          <w:rFonts w:asciiTheme="majorHAnsi" w:hAnsiTheme="majorHAnsi"/>
          <w:spacing w:val="-9"/>
          <w:sz w:val="20"/>
          <w:szCs w:val="20"/>
        </w:rPr>
        <w:t xml:space="preserve"> </w:t>
      </w:r>
      <w:r w:rsidRPr="000977F7">
        <w:rPr>
          <w:rFonts w:asciiTheme="majorHAnsi" w:hAnsiTheme="majorHAnsi"/>
          <w:spacing w:val="-4"/>
          <w:sz w:val="20"/>
          <w:szCs w:val="20"/>
        </w:rPr>
        <w:t>з</w:t>
      </w:r>
      <w:r w:rsidRPr="000977F7">
        <w:rPr>
          <w:rFonts w:asciiTheme="majorHAnsi" w:hAnsiTheme="majorHAnsi"/>
          <w:spacing w:val="-8"/>
          <w:sz w:val="20"/>
          <w:szCs w:val="20"/>
        </w:rPr>
        <w:t xml:space="preserve"> </w:t>
      </w:r>
      <w:r w:rsidRPr="000977F7">
        <w:rPr>
          <w:rFonts w:asciiTheme="majorHAnsi" w:hAnsiTheme="majorHAnsi"/>
          <w:spacing w:val="-4"/>
          <w:sz w:val="20"/>
          <w:szCs w:val="20"/>
        </w:rPr>
        <w:t>концентратором</w:t>
      </w:r>
      <w:r w:rsidRPr="000977F7">
        <w:rPr>
          <w:rFonts w:asciiTheme="majorHAnsi" w:hAnsiTheme="majorHAnsi"/>
          <w:spacing w:val="-7"/>
          <w:sz w:val="20"/>
          <w:szCs w:val="20"/>
        </w:rPr>
        <w:t xml:space="preserve"> </w:t>
      </w:r>
      <w:r w:rsidRPr="000977F7">
        <w:rPr>
          <w:rFonts w:asciiTheme="majorHAnsi" w:hAnsiTheme="majorHAnsi"/>
          <w:spacing w:val="-4"/>
          <w:sz w:val="20"/>
          <w:szCs w:val="20"/>
        </w:rPr>
        <w:t>напружень,</w:t>
      </w:r>
      <w:r w:rsidRPr="000977F7">
        <w:rPr>
          <w:rFonts w:asciiTheme="majorHAnsi" w:hAnsiTheme="majorHAnsi"/>
          <w:spacing w:val="-9"/>
          <w:sz w:val="20"/>
          <w:szCs w:val="20"/>
        </w:rPr>
        <w:t xml:space="preserve"> </w:t>
      </w:r>
      <w:r w:rsidRPr="000977F7">
        <w:rPr>
          <w:rFonts w:asciiTheme="majorHAnsi" w:hAnsiTheme="majorHAnsi"/>
          <w:spacing w:val="-4"/>
          <w:sz w:val="20"/>
          <w:szCs w:val="20"/>
        </w:rPr>
        <w:t>віднесена</w:t>
      </w:r>
      <w:r w:rsidRPr="000977F7">
        <w:rPr>
          <w:rFonts w:asciiTheme="majorHAnsi" w:hAnsiTheme="majorHAnsi"/>
          <w:spacing w:val="-8"/>
          <w:sz w:val="20"/>
          <w:szCs w:val="20"/>
        </w:rPr>
        <w:t xml:space="preserve"> </w:t>
      </w:r>
      <w:r w:rsidRPr="000977F7">
        <w:rPr>
          <w:rFonts w:asciiTheme="majorHAnsi" w:hAnsiTheme="majorHAnsi"/>
          <w:spacing w:val="-4"/>
          <w:sz w:val="20"/>
          <w:szCs w:val="20"/>
        </w:rPr>
        <w:t>до</w:t>
      </w:r>
      <w:r w:rsidRPr="000977F7">
        <w:rPr>
          <w:rFonts w:asciiTheme="majorHAnsi" w:hAnsiTheme="majorHAnsi"/>
          <w:spacing w:val="-7"/>
          <w:sz w:val="20"/>
          <w:szCs w:val="20"/>
        </w:rPr>
        <w:t xml:space="preserve"> </w:t>
      </w:r>
      <w:r w:rsidRPr="000977F7">
        <w:rPr>
          <w:rFonts w:asciiTheme="majorHAnsi" w:hAnsiTheme="majorHAnsi"/>
          <w:spacing w:val="-3"/>
          <w:sz w:val="20"/>
          <w:szCs w:val="20"/>
        </w:rPr>
        <w:t>початкової</w:t>
      </w:r>
      <w:r w:rsidRPr="000977F7">
        <w:rPr>
          <w:rFonts w:asciiTheme="majorHAnsi" w:hAnsiTheme="majorHAnsi"/>
          <w:spacing w:val="-47"/>
          <w:sz w:val="20"/>
          <w:szCs w:val="20"/>
        </w:rPr>
        <w:t xml:space="preserve"> </w:t>
      </w:r>
      <w:r w:rsidRPr="000977F7">
        <w:rPr>
          <w:rFonts w:asciiTheme="majorHAnsi" w:hAnsiTheme="majorHAnsi"/>
          <w:spacing w:val="-4"/>
          <w:sz w:val="20"/>
          <w:szCs w:val="20"/>
        </w:rPr>
        <w:t>площі поперечного перерізу зразка в місці зруйнування</w:t>
      </w:r>
      <w:r w:rsidRPr="000977F7">
        <w:rPr>
          <w:rFonts w:asciiTheme="majorHAnsi" w:hAnsiTheme="majorHAnsi"/>
          <w:spacing w:val="-3"/>
          <w:sz w:val="20"/>
          <w:szCs w:val="20"/>
        </w:rPr>
        <w:t xml:space="preserve"> </w:t>
      </w:r>
    </w:p>
    <w:p w14:paraId="15ABBF7F"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2825 - 94</w:t>
      </w:r>
    </w:p>
    <w:p w14:paraId="78DE2E9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УМОВИ</w:t>
      </w:r>
      <w:r w:rsidRPr="000977F7">
        <w:rPr>
          <w:color w:val="auto"/>
          <w:spacing w:val="-6"/>
          <w:sz w:val="20"/>
          <w:szCs w:val="20"/>
        </w:rPr>
        <w:t xml:space="preserve"> </w:t>
      </w:r>
      <w:r w:rsidRPr="000977F7">
        <w:rPr>
          <w:color w:val="auto"/>
          <w:sz w:val="20"/>
          <w:szCs w:val="20"/>
        </w:rPr>
        <w:t>ВИПРОБУВАНЬ-</w:t>
      </w:r>
    </w:p>
    <w:p w14:paraId="7EAD832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TEST CONDITIONS-</w:t>
      </w:r>
    </w:p>
    <w:p w14:paraId="618D99EE" w14:textId="77777777" w:rsidR="0097612F" w:rsidRPr="004D2D14" w:rsidRDefault="0097612F" w:rsidP="000977F7">
      <w:pPr>
        <w:tabs>
          <w:tab w:val="left" w:pos="284"/>
        </w:tabs>
        <w:spacing w:after="0" w:line="240" w:lineRule="auto"/>
        <w:ind w:left="170"/>
        <w:mirrorIndents/>
        <w:jc w:val="both"/>
        <w:rPr>
          <w:rFonts w:asciiTheme="majorHAnsi" w:hAnsiTheme="majorHAnsi"/>
          <w:spacing w:val="1"/>
          <w:sz w:val="20"/>
          <w:szCs w:val="20"/>
          <w:lang w:val="en-US"/>
        </w:rPr>
      </w:pPr>
      <w:r w:rsidRPr="000977F7">
        <w:rPr>
          <w:rFonts w:asciiTheme="majorHAnsi" w:hAnsiTheme="majorHAnsi"/>
          <w:sz w:val="20"/>
          <w:szCs w:val="20"/>
        </w:rPr>
        <w:t>Сукупність</w:t>
      </w:r>
      <w:r w:rsidRPr="004D2D14">
        <w:rPr>
          <w:rFonts w:asciiTheme="majorHAnsi" w:hAnsiTheme="majorHAnsi"/>
          <w:spacing w:val="11"/>
          <w:sz w:val="20"/>
          <w:szCs w:val="20"/>
          <w:lang w:val="en-US"/>
        </w:rPr>
        <w:t xml:space="preserve"> </w:t>
      </w:r>
      <w:r w:rsidRPr="000977F7">
        <w:rPr>
          <w:rFonts w:asciiTheme="majorHAnsi" w:hAnsiTheme="majorHAnsi"/>
          <w:sz w:val="20"/>
          <w:szCs w:val="20"/>
        </w:rPr>
        <w:t>чинників</w:t>
      </w:r>
      <w:r w:rsidRPr="004D2D14">
        <w:rPr>
          <w:rFonts w:asciiTheme="majorHAnsi" w:hAnsiTheme="majorHAnsi"/>
          <w:sz w:val="20"/>
          <w:szCs w:val="20"/>
          <w:lang w:val="en-US"/>
        </w:rPr>
        <w:t>,</w:t>
      </w:r>
      <w:r w:rsidRPr="004D2D14">
        <w:rPr>
          <w:rFonts w:asciiTheme="majorHAnsi" w:hAnsiTheme="majorHAnsi"/>
          <w:spacing w:val="12"/>
          <w:sz w:val="20"/>
          <w:szCs w:val="20"/>
          <w:lang w:val="en-US"/>
        </w:rPr>
        <w:t xml:space="preserve"> </w:t>
      </w:r>
      <w:r w:rsidRPr="000977F7">
        <w:rPr>
          <w:rFonts w:asciiTheme="majorHAnsi" w:hAnsiTheme="majorHAnsi"/>
          <w:sz w:val="20"/>
          <w:szCs w:val="20"/>
        </w:rPr>
        <w:t>що</w:t>
      </w:r>
      <w:r w:rsidRPr="004D2D14">
        <w:rPr>
          <w:rFonts w:asciiTheme="majorHAnsi" w:hAnsiTheme="majorHAnsi"/>
          <w:spacing w:val="13"/>
          <w:sz w:val="20"/>
          <w:szCs w:val="20"/>
          <w:lang w:val="en-US"/>
        </w:rPr>
        <w:t xml:space="preserve"> </w:t>
      </w:r>
      <w:r w:rsidRPr="000977F7">
        <w:rPr>
          <w:rFonts w:asciiTheme="majorHAnsi" w:hAnsiTheme="majorHAnsi"/>
          <w:sz w:val="20"/>
          <w:szCs w:val="20"/>
        </w:rPr>
        <w:t>діють</w:t>
      </w:r>
      <w:r w:rsidRPr="004D2D14">
        <w:rPr>
          <w:rFonts w:asciiTheme="majorHAnsi" w:hAnsiTheme="majorHAnsi"/>
          <w:spacing w:val="12"/>
          <w:sz w:val="20"/>
          <w:szCs w:val="20"/>
          <w:lang w:val="en-US"/>
        </w:rPr>
        <w:t xml:space="preserve"> </w:t>
      </w:r>
      <w:r w:rsidRPr="000977F7">
        <w:rPr>
          <w:rFonts w:asciiTheme="majorHAnsi" w:hAnsiTheme="majorHAnsi"/>
          <w:sz w:val="20"/>
          <w:szCs w:val="20"/>
        </w:rPr>
        <w:t>на</w:t>
      </w:r>
      <w:r w:rsidRPr="004D2D14">
        <w:rPr>
          <w:rFonts w:asciiTheme="majorHAnsi" w:hAnsiTheme="majorHAnsi"/>
          <w:spacing w:val="13"/>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w:t>
      </w:r>
      <w:r w:rsidRPr="004D2D14">
        <w:rPr>
          <w:rFonts w:asciiTheme="majorHAnsi" w:hAnsiTheme="majorHAnsi"/>
          <w:spacing w:val="11"/>
          <w:sz w:val="20"/>
          <w:szCs w:val="20"/>
          <w:lang w:val="en-US"/>
        </w:rPr>
        <w:t xml:space="preserve"> </w:t>
      </w:r>
      <w:r w:rsidRPr="000977F7">
        <w:rPr>
          <w:rFonts w:asciiTheme="majorHAnsi" w:hAnsiTheme="majorHAnsi"/>
          <w:sz w:val="20"/>
          <w:szCs w:val="20"/>
        </w:rPr>
        <w:t>і</w:t>
      </w:r>
      <w:r w:rsidRPr="004D2D14">
        <w:rPr>
          <w:rFonts w:asciiTheme="majorHAnsi" w:hAnsiTheme="majorHAnsi"/>
          <w:spacing w:val="12"/>
          <w:sz w:val="20"/>
          <w:szCs w:val="20"/>
          <w:lang w:val="en-US"/>
        </w:rPr>
        <w:t xml:space="preserve"> </w:t>
      </w:r>
      <w:r w:rsidRPr="004D2D14">
        <w:rPr>
          <w:rFonts w:asciiTheme="majorHAnsi" w:hAnsiTheme="majorHAnsi"/>
          <w:sz w:val="20"/>
          <w:szCs w:val="20"/>
          <w:lang w:val="en-US"/>
        </w:rPr>
        <w:t>(</w:t>
      </w:r>
      <w:r w:rsidRPr="000977F7">
        <w:rPr>
          <w:rFonts w:asciiTheme="majorHAnsi" w:hAnsiTheme="majorHAnsi"/>
          <w:sz w:val="20"/>
          <w:szCs w:val="20"/>
        </w:rPr>
        <w:t>чи</w:t>
      </w:r>
      <w:r w:rsidRPr="004D2D14">
        <w:rPr>
          <w:rFonts w:asciiTheme="majorHAnsi" w:hAnsiTheme="majorHAnsi"/>
          <w:sz w:val="20"/>
          <w:szCs w:val="20"/>
          <w:lang w:val="en-US"/>
        </w:rPr>
        <w:t>)</w:t>
      </w:r>
      <w:r w:rsidRPr="004D2D14">
        <w:rPr>
          <w:rFonts w:asciiTheme="majorHAnsi" w:hAnsiTheme="majorHAnsi"/>
          <w:spacing w:val="13"/>
          <w:sz w:val="20"/>
          <w:szCs w:val="20"/>
          <w:lang w:val="en-US"/>
        </w:rPr>
        <w:t xml:space="preserve"> </w:t>
      </w:r>
      <w:r w:rsidRPr="000977F7">
        <w:rPr>
          <w:rFonts w:asciiTheme="majorHAnsi" w:hAnsiTheme="majorHAnsi"/>
          <w:sz w:val="20"/>
          <w:szCs w:val="20"/>
        </w:rPr>
        <w:t>режимів</w:t>
      </w:r>
      <w:r w:rsidRPr="004D2D14">
        <w:rPr>
          <w:rFonts w:asciiTheme="majorHAnsi" w:hAnsiTheme="majorHAnsi"/>
          <w:sz w:val="20"/>
          <w:szCs w:val="20"/>
          <w:lang w:val="en-US"/>
        </w:rPr>
        <w:t xml:space="preserve"> </w:t>
      </w:r>
      <w:r w:rsidRPr="000977F7">
        <w:rPr>
          <w:rFonts w:asciiTheme="majorHAnsi" w:hAnsiTheme="majorHAnsi"/>
          <w:sz w:val="20"/>
          <w:szCs w:val="20"/>
        </w:rPr>
        <w:t>функціонування</w:t>
      </w:r>
      <w:r w:rsidRPr="004D2D14">
        <w:rPr>
          <w:rFonts w:asciiTheme="majorHAnsi" w:hAnsiTheme="majorHAnsi"/>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r w:rsidRPr="004D2D14">
        <w:rPr>
          <w:rFonts w:asciiTheme="majorHAnsi" w:hAnsiTheme="majorHAnsi"/>
          <w:sz w:val="20"/>
          <w:szCs w:val="20"/>
          <w:lang w:val="en-US"/>
        </w:rPr>
        <w:t xml:space="preserve"> </w:t>
      </w:r>
      <w:r w:rsidRPr="000977F7">
        <w:rPr>
          <w:rFonts w:asciiTheme="majorHAnsi" w:hAnsiTheme="majorHAnsi"/>
          <w:sz w:val="20"/>
          <w:szCs w:val="20"/>
        </w:rPr>
        <w:t>під</w:t>
      </w:r>
      <w:r w:rsidRPr="004D2D14">
        <w:rPr>
          <w:rFonts w:asciiTheme="majorHAnsi" w:hAnsiTheme="majorHAnsi"/>
          <w:sz w:val="20"/>
          <w:szCs w:val="20"/>
          <w:lang w:val="en-US"/>
        </w:rPr>
        <w:t xml:space="preserve"> </w:t>
      </w:r>
      <w:r w:rsidRPr="000977F7">
        <w:rPr>
          <w:rFonts w:asciiTheme="majorHAnsi" w:hAnsiTheme="majorHAnsi"/>
          <w:sz w:val="20"/>
          <w:szCs w:val="20"/>
        </w:rPr>
        <w:t>час</w:t>
      </w:r>
      <w:r w:rsidRPr="004D2D14">
        <w:rPr>
          <w:rFonts w:asciiTheme="majorHAnsi" w:hAnsiTheme="majorHAnsi"/>
          <w:spacing w:val="1"/>
          <w:sz w:val="20"/>
          <w:szCs w:val="20"/>
          <w:lang w:val="en-US"/>
        </w:rPr>
        <w:t xml:space="preserve"> </w:t>
      </w:r>
      <w:r w:rsidRPr="000977F7">
        <w:rPr>
          <w:rFonts w:asciiTheme="majorHAnsi" w:hAnsiTheme="majorHAnsi"/>
          <w:sz w:val="20"/>
          <w:szCs w:val="20"/>
        </w:rPr>
        <w:t>випробувань</w:t>
      </w:r>
      <w:r w:rsidRPr="004D2D14">
        <w:rPr>
          <w:rFonts w:asciiTheme="majorHAnsi" w:hAnsiTheme="majorHAnsi"/>
          <w:spacing w:val="1"/>
          <w:sz w:val="20"/>
          <w:szCs w:val="20"/>
          <w:lang w:val="en-US"/>
        </w:rPr>
        <w:t xml:space="preserve"> </w:t>
      </w:r>
    </w:p>
    <w:p w14:paraId="105717C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3021</w:t>
      </w:r>
      <w:r w:rsidRPr="000977F7">
        <w:rPr>
          <w:rFonts w:asciiTheme="majorHAnsi" w:hAnsiTheme="majorHAnsi"/>
          <w:i/>
          <w:spacing w:val="2"/>
          <w:sz w:val="20"/>
          <w:szCs w:val="20"/>
        </w:rPr>
        <w:t xml:space="preserve"> </w:t>
      </w:r>
      <w:r w:rsidRPr="000977F7">
        <w:rPr>
          <w:rFonts w:asciiTheme="majorHAnsi" w:hAnsiTheme="majorHAnsi"/>
          <w:i/>
          <w:sz w:val="20"/>
          <w:szCs w:val="20"/>
        </w:rPr>
        <w:t>– 95</w:t>
      </w:r>
    </w:p>
    <w:p w14:paraId="7838F33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BD7FD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умов</w:t>
      </w:r>
      <w:r w:rsidRPr="000977F7">
        <w:rPr>
          <w:rFonts w:asciiTheme="majorHAnsi" w:hAnsiTheme="majorHAnsi"/>
          <w:spacing w:val="1"/>
          <w:sz w:val="20"/>
          <w:szCs w:val="20"/>
        </w:rPr>
        <w:t xml:space="preserve"> </w:t>
      </w:r>
      <w:r w:rsidRPr="000977F7">
        <w:rPr>
          <w:rFonts w:asciiTheme="majorHAnsi" w:hAnsiTheme="majorHAnsi"/>
          <w:sz w:val="20"/>
          <w:szCs w:val="20"/>
        </w:rPr>
        <w:t>випробувань</w:t>
      </w:r>
      <w:r w:rsidRPr="000977F7">
        <w:rPr>
          <w:rFonts w:asciiTheme="majorHAnsi" w:hAnsiTheme="majorHAnsi"/>
          <w:spacing w:val="1"/>
          <w:sz w:val="20"/>
          <w:szCs w:val="20"/>
        </w:rPr>
        <w:t xml:space="preserve"> </w:t>
      </w:r>
      <w:r w:rsidRPr="000977F7">
        <w:rPr>
          <w:rFonts w:asciiTheme="majorHAnsi" w:hAnsiTheme="majorHAnsi"/>
          <w:sz w:val="20"/>
          <w:szCs w:val="20"/>
        </w:rPr>
        <w:t>належать</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природні,</w:t>
      </w:r>
      <w:r w:rsidRPr="000977F7">
        <w:rPr>
          <w:rFonts w:asciiTheme="majorHAnsi" w:hAnsiTheme="majorHAnsi"/>
          <w:spacing w:val="1"/>
          <w:sz w:val="20"/>
          <w:szCs w:val="20"/>
        </w:rPr>
        <w:t xml:space="preserve"> </w:t>
      </w:r>
      <w:r w:rsidRPr="000977F7">
        <w:rPr>
          <w:rFonts w:asciiTheme="majorHAnsi" w:hAnsiTheme="majorHAnsi"/>
          <w:sz w:val="20"/>
          <w:szCs w:val="20"/>
        </w:rPr>
        <w:t>так</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штучно створені чинники, що поділяються на механічні, кліматичні, термічні, електромагнітні, радіаційні,</w:t>
      </w:r>
      <w:r w:rsidRPr="000977F7">
        <w:rPr>
          <w:rFonts w:asciiTheme="majorHAnsi" w:hAnsiTheme="majorHAnsi"/>
          <w:spacing w:val="1"/>
          <w:sz w:val="20"/>
          <w:szCs w:val="20"/>
        </w:rPr>
        <w:t xml:space="preserve"> </w:t>
      </w:r>
      <w:r w:rsidRPr="000977F7">
        <w:rPr>
          <w:rFonts w:asciiTheme="majorHAnsi" w:hAnsiTheme="majorHAnsi"/>
          <w:sz w:val="20"/>
          <w:szCs w:val="20"/>
        </w:rPr>
        <w:t>хімічні,</w:t>
      </w:r>
      <w:r w:rsidRPr="000977F7">
        <w:rPr>
          <w:rFonts w:asciiTheme="majorHAnsi" w:hAnsiTheme="majorHAnsi"/>
          <w:spacing w:val="-1"/>
          <w:sz w:val="20"/>
          <w:szCs w:val="20"/>
        </w:rPr>
        <w:t xml:space="preserve"> </w:t>
      </w:r>
      <w:r w:rsidRPr="000977F7">
        <w:rPr>
          <w:rFonts w:asciiTheme="majorHAnsi" w:hAnsiTheme="majorHAnsi"/>
          <w:sz w:val="20"/>
          <w:szCs w:val="20"/>
        </w:rPr>
        <w:t>біологічні</w:t>
      </w:r>
      <w:r w:rsidRPr="000977F7">
        <w:rPr>
          <w:rFonts w:asciiTheme="majorHAnsi" w:hAnsiTheme="majorHAnsi"/>
          <w:spacing w:val="-1"/>
          <w:sz w:val="20"/>
          <w:szCs w:val="20"/>
        </w:rPr>
        <w:t xml:space="preserve"> </w:t>
      </w:r>
      <w:r w:rsidRPr="000977F7">
        <w:rPr>
          <w:rFonts w:asciiTheme="majorHAnsi" w:hAnsiTheme="majorHAnsi"/>
          <w:sz w:val="20"/>
          <w:szCs w:val="20"/>
        </w:rPr>
        <w:t>та інші</w:t>
      </w:r>
    </w:p>
    <w:p w14:paraId="68259E1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62FFE0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УМОВИ</w:t>
      </w:r>
      <w:r w:rsidRPr="000977F7">
        <w:rPr>
          <w:color w:val="auto"/>
          <w:spacing w:val="-3"/>
          <w:sz w:val="20"/>
          <w:szCs w:val="20"/>
        </w:rPr>
        <w:t xml:space="preserve"> </w:t>
      </w:r>
      <w:r w:rsidRPr="000977F7">
        <w:rPr>
          <w:color w:val="auto"/>
          <w:sz w:val="20"/>
          <w:szCs w:val="20"/>
        </w:rPr>
        <w:t>КОНТРАКТУ</w:t>
      </w:r>
      <w:r w:rsidRPr="000977F7">
        <w:rPr>
          <w:color w:val="auto"/>
          <w:spacing w:val="-2"/>
          <w:sz w:val="20"/>
          <w:szCs w:val="20"/>
        </w:rPr>
        <w:t xml:space="preserve"> </w:t>
      </w:r>
      <w:r w:rsidRPr="000977F7">
        <w:rPr>
          <w:color w:val="auto"/>
          <w:sz w:val="20"/>
          <w:szCs w:val="20"/>
        </w:rPr>
        <w:t>–</w:t>
      </w:r>
    </w:p>
    <w:p w14:paraId="7A321D0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Погоджені сторонами</w:t>
      </w:r>
      <w:r w:rsidRPr="000977F7">
        <w:rPr>
          <w:rFonts w:asciiTheme="majorHAnsi" w:hAnsiTheme="majorHAnsi"/>
          <w:spacing w:val="1"/>
          <w:sz w:val="20"/>
          <w:szCs w:val="20"/>
        </w:rPr>
        <w:t xml:space="preserve"> </w:t>
      </w:r>
      <w:r w:rsidRPr="000977F7">
        <w:rPr>
          <w:rFonts w:asciiTheme="majorHAnsi" w:hAnsiTheme="majorHAnsi"/>
          <w:sz w:val="20"/>
          <w:szCs w:val="20"/>
        </w:rPr>
        <w:t>та зафіксовані у контракті</w:t>
      </w:r>
      <w:r w:rsidRPr="000977F7">
        <w:rPr>
          <w:rFonts w:asciiTheme="majorHAnsi" w:hAnsiTheme="majorHAnsi"/>
          <w:spacing w:val="1"/>
          <w:sz w:val="20"/>
          <w:szCs w:val="20"/>
        </w:rPr>
        <w:t xml:space="preserve"> </w:t>
      </w:r>
      <w:r w:rsidRPr="000977F7">
        <w:rPr>
          <w:rFonts w:asciiTheme="majorHAnsi" w:hAnsiTheme="majorHAnsi"/>
          <w:sz w:val="20"/>
          <w:szCs w:val="20"/>
        </w:rPr>
        <w:t>предмет</w:t>
      </w:r>
      <w:r w:rsidRPr="000977F7">
        <w:rPr>
          <w:rFonts w:asciiTheme="majorHAnsi" w:hAnsiTheme="majorHAnsi"/>
          <w:spacing w:val="21"/>
          <w:sz w:val="20"/>
          <w:szCs w:val="20"/>
        </w:rPr>
        <w:t xml:space="preserve"> </w:t>
      </w:r>
      <w:r w:rsidRPr="000977F7">
        <w:rPr>
          <w:rFonts w:asciiTheme="majorHAnsi" w:hAnsiTheme="majorHAnsi"/>
          <w:sz w:val="20"/>
          <w:szCs w:val="20"/>
        </w:rPr>
        <w:t>угоди,</w:t>
      </w:r>
      <w:r w:rsidRPr="000977F7">
        <w:rPr>
          <w:rFonts w:asciiTheme="majorHAnsi" w:hAnsiTheme="majorHAnsi"/>
          <w:spacing w:val="19"/>
          <w:sz w:val="20"/>
          <w:szCs w:val="20"/>
        </w:rPr>
        <w:t xml:space="preserve"> </w:t>
      </w:r>
      <w:r w:rsidRPr="000977F7">
        <w:rPr>
          <w:rFonts w:asciiTheme="majorHAnsi" w:hAnsiTheme="majorHAnsi"/>
          <w:sz w:val="20"/>
          <w:szCs w:val="20"/>
        </w:rPr>
        <w:t>характеристики</w:t>
      </w:r>
      <w:r w:rsidRPr="000977F7">
        <w:rPr>
          <w:rFonts w:asciiTheme="majorHAnsi" w:hAnsiTheme="majorHAnsi"/>
          <w:spacing w:val="18"/>
          <w:sz w:val="20"/>
          <w:szCs w:val="20"/>
        </w:rPr>
        <w:t xml:space="preserve"> </w:t>
      </w:r>
      <w:r w:rsidRPr="000977F7">
        <w:rPr>
          <w:rFonts w:asciiTheme="majorHAnsi" w:hAnsiTheme="majorHAnsi"/>
          <w:sz w:val="20"/>
          <w:szCs w:val="20"/>
        </w:rPr>
        <w:t>товару,</w:t>
      </w:r>
      <w:r w:rsidRPr="000977F7">
        <w:rPr>
          <w:rFonts w:asciiTheme="majorHAnsi" w:hAnsiTheme="majorHAnsi"/>
          <w:spacing w:val="22"/>
          <w:sz w:val="20"/>
          <w:szCs w:val="20"/>
        </w:rPr>
        <w:t xml:space="preserve"> </w:t>
      </w:r>
      <w:r w:rsidRPr="000977F7">
        <w:rPr>
          <w:rFonts w:asciiTheme="majorHAnsi" w:hAnsiTheme="majorHAnsi"/>
          <w:sz w:val="20"/>
          <w:szCs w:val="20"/>
        </w:rPr>
        <w:t>ціни,</w:t>
      </w:r>
      <w:r w:rsidRPr="000977F7">
        <w:rPr>
          <w:rFonts w:asciiTheme="majorHAnsi" w:hAnsiTheme="majorHAnsi"/>
          <w:spacing w:val="19"/>
          <w:sz w:val="20"/>
          <w:szCs w:val="20"/>
        </w:rPr>
        <w:t xml:space="preserve"> </w:t>
      </w:r>
      <w:r w:rsidRPr="000977F7">
        <w:rPr>
          <w:rFonts w:asciiTheme="majorHAnsi" w:hAnsiTheme="majorHAnsi"/>
          <w:sz w:val="20"/>
          <w:szCs w:val="20"/>
        </w:rPr>
        <w:t>терміни</w:t>
      </w:r>
      <w:r w:rsidRPr="000977F7">
        <w:rPr>
          <w:rFonts w:asciiTheme="majorHAnsi" w:hAnsiTheme="majorHAnsi"/>
          <w:spacing w:val="-47"/>
          <w:sz w:val="20"/>
          <w:szCs w:val="20"/>
        </w:rPr>
        <w:t xml:space="preserve"> </w:t>
      </w:r>
      <w:r w:rsidRPr="000977F7">
        <w:rPr>
          <w:rFonts w:asciiTheme="majorHAnsi" w:hAnsiTheme="majorHAnsi"/>
          <w:sz w:val="20"/>
          <w:szCs w:val="20"/>
        </w:rPr>
        <w:t>виконання</w:t>
      </w:r>
      <w:r w:rsidRPr="000977F7">
        <w:rPr>
          <w:rFonts w:asciiTheme="majorHAnsi" w:hAnsiTheme="majorHAnsi"/>
          <w:spacing w:val="6"/>
          <w:sz w:val="20"/>
          <w:szCs w:val="20"/>
        </w:rPr>
        <w:t xml:space="preserve"> </w:t>
      </w:r>
      <w:r w:rsidRPr="000977F7">
        <w:rPr>
          <w:rFonts w:asciiTheme="majorHAnsi" w:hAnsiTheme="majorHAnsi"/>
          <w:sz w:val="20"/>
          <w:szCs w:val="20"/>
        </w:rPr>
        <w:t>зобов’язань,</w:t>
      </w:r>
      <w:r w:rsidRPr="000977F7">
        <w:rPr>
          <w:rFonts w:asciiTheme="majorHAnsi" w:hAnsiTheme="majorHAnsi"/>
          <w:spacing w:val="7"/>
          <w:sz w:val="20"/>
          <w:szCs w:val="20"/>
        </w:rPr>
        <w:t xml:space="preserve"> </w:t>
      </w:r>
      <w:r w:rsidRPr="000977F7">
        <w:rPr>
          <w:rFonts w:asciiTheme="majorHAnsi" w:hAnsiTheme="majorHAnsi"/>
          <w:sz w:val="20"/>
          <w:szCs w:val="20"/>
        </w:rPr>
        <w:t>а</w:t>
      </w:r>
      <w:r w:rsidRPr="000977F7">
        <w:rPr>
          <w:rFonts w:asciiTheme="majorHAnsi" w:hAnsiTheme="majorHAnsi"/>
          <w:spacing w:val="7"/>
          <w:sz w:val="20"/>
          <w:szCs w:val="20"/>
        </w:rPr>
        <w:t xml:space="preserve"> </w:t>
      </w:r>
      <w:r w:rsidRPr="000977F7">
        <w:rPr>
          <w:rFonts w:asciiTheme="majorHAnsi" w:hAnsiTheme="majorHAnsi"/>
          <w:sz w:val="20"/>
          <w:szCs w:val="20"/>
        </w:rPr>
        <w:t>також</w:t>
      </w:r>
      <w:r w:rsidRPr="000977F7">
        <w:rPr>
          <w:rFonts w:asciiTheme="majorHAnsi" w:hAnsiTheme="majorHAnsi"/>
          <w:spacing w:val="6"/>
          <w:sz w:val="20"/>
          <w:szCs w:val="20"/>
        </w:rPr>
        <w:t xml:space="preserve"> </w:t>
      </w:r>
      <w:r w:rsidRPr="000977F7">
        <w:rPr>
          <w:rFonts w:asciiTheme="majorHAnsi" w:hAnsiTheme="majorHAnsi"/>
          <w:sz w:val="20"/>
          <w:szCs w:val="20"/>
        </w:rPr>
        <w:t>обопільні</w:t>
      </w:r>
      <w:r w:rsidRPr="000977F7">
        <w:rPr>
          <w:rFonts w:asciiTheme="majorHAnsi" w:hAnsiTheme="majorHAnsi"/>
          <w:spacing w:val="7"/>
          <w:sz w:val="20"/>
          <w:szCs w:val="20"/>
        </w:rPr>
        <w:t xml:space="preserve"> </w:t>
      </w:r>
      <w:r w:rsidRPr="000977F7">
        <w:rPr>
          <w:rFonts w:asciiTheme="majorHAnsi" w:hAnsiTheme="majorHAnsi"/>
          <w:sz w:val="20"/>
          <w:szCs w:val="20"/>
        </w:rPr>
        <w:t>права</w:t>
      </w:r>
      <w:r w:rsidRPr="000977F7">
        <w:rPr>
          <w:rFonts w:asciiTheme="majorHAnsi" w:hAnsiTheme="majorHAnsi"/>
          <w:spacing w:val="7"/>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зобов’язання</w:t>
      </w:r>
      <w:r w:rsidRPr="000977F7">
        <w:rPr>
          <w:rFonts w:asciiTheme="majorHAnsi" w:hAnsiTheme="majorHAnsi"/>
          <w:spacing w:val="-2"/>
          <w:sz w:val="20"/>
          <w:szCs w:val="20"/>
        </w:rPr>
        <w:t xml:space="preserve"> </w:t>
      </w:r>
      <w:r w:rsidRPr="000977F7">
        <w:rPr>
          <w:rFonts w:asciiTheme="majorHAnsi" w:hAnsiTheme="majorHAnsi"/>
          <w:sz w:val="20"/>
          <w:szCs w:val="20"/>
        </w:rPr>
        <w:t>сторін</w:t>
      </w:r>
    </w:p>
    <w:p w14:paraId="6F915DE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3293</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36CB58C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УМОВИ</w:t>
      </w:r>
      <w:r w:rsidRPr="000977F7">
        <w:rPr>
          <w:color w:val="auto"/>
          <w:spacing w:val="-1"/>
          <w:sz w:val="20"/>
          <w:szCs w:val="20"/>
        </w:rPr>
        <w:t xml:space="preserve"> </w:t>
      </w:r>
      <w:r w:rsidRPr="000977F7">
        <w:rPr>
          <w:color w:val="auto"/>
          <w:sz w:val="20"/>
          <w:szCs w:val="20"/>
        </w:rPr>
        <w:t>ПРАЦІ –</w:t>
      </w:r>
    </w:p>
    <w:p w14:paraId="3219B49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WORKING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CONDITIONS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1F32E19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чинників виробничого середовища і трудового процесу, які впливають на здоров’я і працездатність</w:t>
      </w:r>
      <w:r w:rsidRPr="000977F7">
        <w:rPr>
          <w:rFonts w:asciiTheme="majorHAnsi" w:hAnsiTheme="majorHAnsi"/>
          <w:spacing w:val="1"/>
          <w:sz w:val="20"/>
          <w:szCs w:val="20"/>
        </w:rPr>
        <w:t xml:space="preserve"> </w:t>
      </w:r>
      <w:r w:rsidRPr="000977F7">
        <w:rPr>
          <w:rFonts w:asciiTheme="majorHAnsi" w:hAnsiTheme="majorHAnsi"/>
          <w:sz w:val="20"/>
          <w:szCs w:val="20"/>
        </w:rPr>
        <w:t>людини</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виконування</w:t>
      </w:r>
      <w:r w:rsidRPr="000977F7">
        <w:rPr>
          <w:rFonts w:asciiTheme="majorHAnsi" w:hAnsiTheme="majorHAnsi"/>
          <w:spacing w:val="1"/>
          <w:sz w:val="20"/>
          <w:szCs w:val="20"/>
        </w:rPr>
        <w:t xml:space="preserve"> </w:t>
      </w:r>
      <w:r w:rsidRPr="000977F7">
        <w:rPr>
          <w:rFonts w:asciiTheme="majorHAnsi" w:hAnsiTheme="majorHAnsi"/>
          <w:sz w:val="20"/>
          <w:szCs w:val="20"/>
        </w:rPr>
        <w:t>нею</w:t>
      </w:r>
      <w:r w:rsidRPr="000977F7">
        <w:rPr>
          <w:rFonts w:asciiTheme="majorHAnsi" w:hAnsiTheme="majorHAnsi"/>
          <w:spacing w:val="1"/>
          <w:sz w:val="20"/>
          <w:szCs w:val="20"/>
        </w:rPr>
        <w:t xml:space="preserve"> </w:t>
      </w:r>
      <w:r w:rsidRPr="000977F7">
        <w:rPr>
          <w:rFonts w:asciiTheme="majorHAnsi" w:hAnsiTheme="majorHAnsi"/>
          <w:sz w:val="20"/>
          <w:szCs w:val="20"/>
        </w:rPr>
        <w:t>трудових</w:t>
      </w:r>
      <w:r w:rsidRPr="000977F7">
        <w:rPr>
          <w:rFonts w:asciiTheme="majorHAnsi" w:hAnsiTheme="majorHAnsi"/>
          <w:spacing w:val="1"/>
          <w:sz w:val="20"/>
          <w:szCs w:val="20"/>
        </w:rPr>
        <w:t xml:space="preserve"> </w:t>
      </w:r>
      <w:r w:rsidRPr="000977F7">
        <w:rPr>
          <w:rFonts w:asciiTheme="majorHAnsi" w:hAnsiTheme="majorHAnsi"/>
          <w:sz w:val="20"/>
          <w:szCs w:val="20"/>
        </w:rPr>
        <w:t>обов’язків</w:t>
      </w:r>
    </w:p>
    <w:p w14:paraId="7E04858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2293:2014</w:t>
      </w:r>
    </w:p>
    <w:p w14:paraId="0E82ECE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УМОВИ</w:t>
      </w:r>
      <w:r w:rsidRPr="000977F7">
        <w:rPr>
          <w:color w:val="auto"/>
          <w:spacing w:val="-4"/>
          <w:sz w:val="20"/>
          <w:szCs w:val="20"/>
        </w:rPr>
        <w:t xml:space="preserve"> </w:t>
      </w:r>
      <w:r w:rsidRPr="000977F7">
        <w:rPr>
          <w:color w:val="auto"/>
          <w:sz w:val="20"/>
          <w:szCs w:val="20"/>
        </w:rPr>
        <w:t>ТЕХНІЧНОГО</w:t>
      </w:r>
      <w:r w:rsidRPr="000977F7">
        <w:rPr>
          <w:color w:val="auto"/>
          <w:spacing w:val="-3"/>
          <w:sz w:val="20"/>
          <w:szCs w:val="20"/>
        </w:rPr>
        <w:t xml:space="preserve"> </w:t>
      </w:r>
      <w:r w:rsidRPr="000977F7">
        <w:rPr>
          <w:color w:val="auto"/>
          <w:sz w:val="20"/>
          <w:szCs w:val="20"/>
        </w:rPr>
        <w:t>ОБСЛУГОВУВАННЯ</w:t>
      </w:r>
      <w:r w:rsidRPr="000977F7">
        <w:rPr>
          <w:color w:val="auto"/>
          <w:spacing w:val="-1"/>
          <w:sz w:val="20"/>
          <w:szCs w:val="20"/>
        </w:rPr>
        <w:t xml:space="preserve"> </w:t>
      </w:r>
      <w:r w:rsidRPr="000977F7">
        <w:rPr>
          <w:color w:val="auto"/>
          <w:sz w:val="20"/>
          <w:szCs w:val="20"/>
        </w:rPr>
        <w:t>–</w:t>
      </w:r>
    </w:p>
    <w:p w14:paraId="4FC611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LINE</w:t>
      </w:r>
      <w:r w:rsidRPr="000977F7">
        <w:rPr>
          <w:rFonts w:asciiTheme="majorHAnsi" w:hAnsiTheme="majorHAnsi"/>
          <w:spacing w:val="-3"/>
          <w:sz w:val="20"/>
          <w:szCs w:val="20"/>
        </w:rPr>
        <w:t xml:space="preserve"> </w:t>
      </w:r>
      <w:r w:rsidRPr="000977F7">
        <w:rPr>
          <w:rFonts w:asciiTheme="majorHAnsi" w:hAnsiTheme="majorHAnsi"/>
          <w:sz w:val="20"/>
          <w:szCs w:val="20"/>
        </w:rPr>
        <w:t>OF</w:t>
      </w:r>
      <w:r w:rsidRPr="000977F7">
        <w:rPr>
          <w:rFonts w:asciiTheme="majorHAnsi" w:hAnsiTheme="majorHAnsi"/>
          <w:spacing w:val="-3"/>
          <w:sz w:val="20"/>
          <w:szCs w:val="20"/>
        </w:rPr>
        <w:t xml:space="preserve"> </w:t>
      </w:r>
      <w:r w:rsidRPr="000977F7">
        <w:rPr>
          <w:rFonts w:asciiTheme="majorHAnsi" w:hAnsiTheme="majorHAnsi"/>
          <w:sz w:val="20"/>
          <w:szCs w:val="20"/>
        </w:rPr>
        <w:t>MAINTENANCE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C9F5FE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Місце</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обслуговування</w:t>
      </w:r>
      <w:r w:rsidRPr="000977F7">
        <w:rPr>
          <w:rFonts w:asciiTheme="majorHAnsi" w:hAnsiTheme="majorHAnsi"/>
          <w:spacing w:val="-2"/>
          <w:sz w:val="20"/>
          <w:szCs w:val="20"/>
        </w:rPr>
        <w:t xml:space="preserve"> </w:t>
      </w:r>
      <w:r w:rsidRPr="000977F7">
        <w:rPr>
          <w:rFonts w:asciiTheme="majorHAnsi" w:hAnsiTheme="majorHAnsi"/>
          <w:sz w:val="20"/>
          <w:szCs w:val="20"/>
        </w:rPr>
        <w:t>встановленого</w:t>
      </w:r>
      <w:r w:rsidRPr="000977F7">
        <w:rPr>
          <w:rFonts w:asciiTheme="majorHAnsi" w:hAnsiTheme="majorHAnsi"/>
          <w:spacing w:val="1"/>
          <w:sz w:val="20"/>
          <w:szCs w:val="20"/>
        </w:rPr>
        <w:t xml:space="preserve"> </w:t>
      </w:r>
      <w:r w:rsidRPr="000977F7">
        <w:rPr>
          <w:rFonts w:asciiTheme="majorHAnsi" w:hAnsiTheme="majorHAnsi"/>
          <w:sz w:val="20"/>
          <w:szCs w:val="20"/>
        </w:rPr>
        <w:t>виду</w:t>
      </w:r>
    </w:p>
    <w:p w14:paraId="092ED18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lastRenderedPageBreak/>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429BD5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Умови</w:t>
      </w:r>
      <w:r w:rsidRPr="000977F7">
        <w:rPr>
          <w:rFonts w:asciiTheme="majorHAnsi" w:hAnsiTheme="majorHAnsi"/>
          <w:spacing w:val="1"/>
          <w:sz w:val="20"/>
          <w:szCs w:val="20"/>
        </w:rPr>
        <w:t xml:space="preserve"> </w:t>
      </w:r>
      <w:r w:rsidRPr="000977F7">
        <w:rPr>
          <w:rFonts w:asciiTheme="majorHAnsi" w:hAnsiTheme="majorHAnsi"/>
          <w:sz w:val="20"/>
          <w:szCs w:val="20"/>
        </w:rPr>
        <w:t>характеризуються</w:t>
      </w:r>
      <w:r w:rsidRPr="000977F7">
        <w:rPr>
          <w:rFonts w:asciiTheme="majorHAnsi" w:hAnsiTheme="majorHAnsi"/>
          <w:spacing w:val="1"/>
          <w:sz w:val="20"/>
          <w:szCs w:val="20"/>
        </w:rPr>
        <w:t xml:space="preserve"> </w:t>
      </w:r>
      <w:r w:rsidRPr="000977F7">
        <w:rPr>
          <w:rFonts w:asciiTheme="majorHAnsi" w:hAnsiTheme="majorHAnsi"/>
          <w:sz w:val="20"/>
          <w:szCs w:val="20"/>
        </w:rPr>
        <w:t>кваліфікацією</w:t>
      </w:r>
      <w:r w:rsidRPr="000977F7">
        <w:rPr>
          <w:rFonts w:asciiTheme="majorHAnsi" w:hAnsiTheme="majorHAnsi"/>
          <w:spacing w:val="1"/>
          <w:sz w:val="20"/>
          <w:szCs w:val="20"/>
        </w:rPr>
        <w:t xml:space="preserve"> </w:t>
      </w:r>
      <w:r w:rsidRPr="000977F7">
        <w:rPr>
          <w:rFonts w:asciiTheme="majorHAnsi" w:hAnsiTheme="majorHAnsi"/>
          <w:sz w:val="20"/>
          <w:szCs w:val="20"/>
        </w:rPr>
        <w:t>персоналу,</w:t>
      </w:r>
      <w:r w:rsidRPr="000977F7">
        <w:rPr>
          <w:rFonts w:asciiTheme="majorHAnsi" w:hAnsiTheme="majorHAnsi"/>
          <w:spacing w:val="1"/>
          <w:sz w:val="20"/>
          <w:szCs w:val="20"/>
        </w:rPr>
        <w:t xml:space="preserve"> </w:t>
      </w:r>
      <w:r w:rsidRPr="000977F7">
        <w:rPr>
          <w:rFonts w:asciiTheme="majorHAnsi" w:hAnsiTheme="majorHAnsi"/>
          <w:sz w:val="20"/>
          <w:szCs w:val="20"/>
        </w:rPr>
        <w:t>засобами, що використовуються, місцем розташування</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ін.</w:t>
      </w:r>
    </w:p>
    <w:p w14:paraId="3052093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УМОВИ</w:t>
      </w:r>
      <w:r w:rsidRPr="000977F7">
        <w:rPr>
          <w:color w:val="auto"/>
          <w:spacing w:val="-3"/>
          <w:sz w:val="20"/>
          <w:szCs w:val="20"/>
        </w:rPr>
        <w:t xml:space="preserve"> </w:t>
      </w:r>
      <w:r w:rsidRPr="000977F7">
        <w:rPr>
          <w:color w:val="auto"/>
          <w:sz w:val="20"/>
          <w:szCs w:val="20"/>
        </w:rPr>
        <w:t>ЕКСПЛУАТАЦІЇ –</w:t>
      </w:r>
    </w:p>
    <w:p w14:paraId="5637CBC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5"/>
          <w:sz w:val="20"/>
          <w:szCs w:val="20"/>
        </w:rPr>
        <w:t xml:space="preserve"> </w:t>
      </w:r>
      <w:r w:rsidRPr="000977F7">
        <w:rPr>
          <w:rFonts w:asciiTheme="majorHAnsi" w:hAnsiTheme="majorHAnsi"/>
          <w:sz w:val="20"/>
          <w:szCs w:val="20"/>
        </w:rPr>
        <w:t>факторів,</w:t>
      </w:r>
      <w:r w:rsidRPr="000977F7">
        <w:rPr>
          <w:rFonts w:asciiTheme="majorHAnsi" w:hAnsiTheme="majorHAnsi"/>
          <w:spacing w:val="-3"/>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діють</w:t>
      </w:r>
      <w:r w:rsidRPr="000977F7">
        <w:rPr>
          <w:rFonts w:asciiTheme="majorHAnsi" w:hAnsiTheme="majorHAnsi"/>
          <w:spacing w:val="-4"/>
          <w:sz w:val="20"/>
          <w:szCs w:val="20"/>
        </w:rPr>
        <w:t xml:space="preserve"> </w:t>
      </w:r>
      <w:r w:rsidRPr="000977F7">
        <w:rPr>
          <w:rFonts w:asciiTheme="majorHAnsi" w:hAnsiTheme="majorHAnsi"/>
          <w:sz w:val="20"/>
          <w:szCs w:val="20"/>
        </w:rPr>
        <w:t>на</w:t>
      </w:r>
      <w:r w:rsidRPr="000977F7">
        <w:rPr>
          <w:rFonts w:asciiTheme="majorHAnsi" w:hAnsiTheme="majorHAnsi"/>
          <w:spacing w:val="-3"/>
          <w:sz w:val="20"/>
          <w:szCs w:val="20"/>
        </w:rPr>
        <w:t xml:space="preserve"> </w:t>
      </w:r>
      <w:r w:rsidRPr="000977F7">
        <w:rPr>
          <w:rFonts w:asciiTheme="majorHAnsi" w:hAnsiTheme="majorHAnsi"/>
          <w:sz w:val="20"/>
          <w:szCs w:val="20"/>
        </w:rPr>
        <w:t>виріб</w:t>
      </w:r>
      <w:r w:rsidRPr="000977F7">
        <w:rPr>
          <w:rFonts w:asciiTheme="majorHAnsi" w:hAnsiTheme="majorHAnsi"/>
          <w:spacing w:val="-3"/>
          <w:sz w:val="20"/>
          <w:szCs w:val="20"/>
        </w:rPr>
        <w:t xml:space="preserve"> </w:t>
      </w:r>
      <w:r w:rsidRPr="000977F7">
        <w:rPr>
          <w:rFonts w:asciiTheme="majorHAnsi" w:hAnsiTheme="majorHAnsi"/>
          <w:sz w:val="20"/>
          <w:szCs w:val="20"/>
        </w:rPr>
        <w:t>під</w:t>
      </w:r>
      <w:r w:rsidRPr="000977F7">
        <w:rPr>
          <w:rFonts w:asciiTheme="majorHAnsi" w:hAnsiTheme="majorHAnsi"/>
          <w:spacing w:val="-4"/>
          <w:sz w:val="20"/>
          <w:szCs w:val="20"/>
        </w:rPr>
        <w:t xml:space="preserve"> </w:t>
      </w:r>
      <w:r w:rsidRPr="000977F7">
        <w:rPr>
          <w:rFonts w:asciiTheme="majorHAnsi" w:hAnsiTheme="majorHAnsi"/>
          <w:sz w:val="20"/>
          <w:szCs w:val="20"/>
        </w:rPr>
        <w:t>час</w:t>
      </w:r>
      <w:r w:rsidRPr="000977F7">
        <w:rPr>
          <w:rFonts w:asciiTheme="majorHAnsi" w:hAnsiTheme="majorHAnsi"/>
          <w:spacing w:val="-3"/>
          <w:sz w:val="20"/>
          <w:szCs w:val="20"/>
        </w:rPr>
        <w:t xml:space="preserve"> </w:t>
      </w:r>
      <w:r w:rsidRPr="000977F7">
        <w:rPr>
          <w:rFonts w:asciiTheme="majorHAnsi" w:hAnsiTheme="majorHAnsi"/>
          <w:sz w:val="20"/>
          <w:szCs w:val="20"/>
        </w:rPr>
        <w:t>його</w:t>
      </w:r>
      <w:r w:rsidRPr="000977F7">
        <w:rPr>
          <w:rFonts w:asciiTheme="majorHAnsi" w:hAnsiTheme="majorHAnsi"/>
          <w:spacing w:val="-47"/>
          <w:sz w:val="20"/>
          <w:szCs w:val="20"/>
        </w:rPr>
        <w:t xml:space="preserve"> </w:t>
      </w:r>
      <w:r w:rsidRPr="000977F7">
        <w:rPr>
          <w:rFonts w:asciiTheme="majorHAnsi" w:hAnsiTheme="majorHAnsi"/>
          <w:sz w:val="20"/>
          <w:szCs w:val="20"/>
        </w:rPr>
        <w:t>експлуатації</w:t>
      </w:r>
    </w:p>
    <w:p w14:paraId="3590B05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УМОВНА</w:t>
      </w:r>
      <w:r w:rsidRPr="000977F7">
        <w:rPr>
          <w:color w:val="auto"/>
          <w:spacing w:val="-3"/>
          <w:sz w:val="20"/>
          <w:szCs w:val="20"/>
        </w:rPr>
        <w:t xml:space="preserve"> </w:t>
      </w:r>
      <w:r w:rsidRPr="000977F7">
        <w:rPr>
          <w:color w:val="auto"/>
          <w:sz w:val="20"/>
          <w:szCs w:val="20"/>
        </w:rPr>
        <w:t>НАЗВА</w:t>
      </w:r>
      <w:r w:rsidRPr="000977F7">
        <w:rPr>
          <w:color w:val="auto"/>
          <w:spacing w:val="-4"/>
          <w:sz w:val="20"/>
          <w:szCs w:val="20"/>
        </w:rPr>
        <w:t xml:space="preserve"> </w:t>
      </w:r>
      <w:r w:rsidRPr="000977F7">
        <w:rPr>
          <w:color w:val="auto"/>
          <w:sz w:val="20"/>
          <w:szCs w:val="20"/>
        </w:rPr>
        <w:t>ВИРОБУ</w:t>
      </w:r>
      <w:r w:rsidRPr="000977F7">
        <w:rPr>
          <w:color w:val="auto"/>
          <w:spacing w:val="1"/>
          <w:sz w:val="20"/>
          <w:szCs w:val="20"/>
        </w:rPr>
        <w:t xml:space="preserve"> </w:t>
      </w:r>
      <w:r w:rsidRPr="000977F7">
        <w:rPr>
          <w:color w:val="auto"/>
          <w:sz w:val="20"/>
          <w:szCs w:val="20"/>
        </w:rPr>
        <w:t>–</w:t>
      </w:r>
    </w:p>
    <w:p w14:paraId="0AC9AB7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Доповнення до назви виробу у вигляді умовного позначення для характеристики відмінності виконання чи</w:t>
      </w:r>
      <w:r w:rsidRPr="000977F7">
        <w:rPr>
          <w:rFonts w:asciiTheme="majorHAnsi" w:hAnsiTheme="majorHAnsi"/>
          <w:spacing w:val="-47"/>
          <w:sz w:val="20"/>
          <w:szCs w:val="20"/>
        </w:rPr>
        <w:t xml:space="preserve"> </w:t>
      </w:r>
      <w:r w:rsidRPr="000977F7">
        <w:rPr>
          <w:rFonts w:asciiTheme="majorHAnsi" w:hAnsiTheme="majorHAnsi"/>
          <w:sz w:val="20"/>
          <w:szCs w:val="20"/>
        </w:rPr>
        <w:t>групи виконань виробу від інших виробів аналогічного призначення</w:t>
      </w:r>
    </w:p>
    <w:p w14:paraId="75C2932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4493D9C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УМОВНИЙ</w:t>
      </w:r>
      <w:r w:rsidRPr="000977F7">
        <w:rPr>
          <w:color w:val="auto"/>
          <w:spacing w:val="-4"/>
          <w:sz w:val="20"/>
          <w:szCs w:val="20"/>
        </w:rPr>
        <w:t xml:space="preserve"> </w:t>
      </w:r>
      <w:r w:rsidRPr="000977F7">
        <w:rPr>
          <w:color w:val="auto"/>
          <w:sz w:val="20"/>
          <w:szCs w:val="20"/>
        </w:rPr>
        <w:t>АЛГОРИТМ</w:t>
      </w:r>
      <w:r w:rsidRPr="000977F7">
        <w:rPr>
          <w:color w:val="auto"/>
          <w:spacing w:val="-5"/>
          <w:sz w:val="20"/>
          <w:szCs w:val="20"/>
        </w:rPr>
        <w:t xml:space="preserve"> </w:t>
      </w:r>
      <w:r w:rsidRPr="000977F7">
        <w:rPr>
          <w:color w:val="auto"/>
          <w:sz w:val="20"/>
          <w:szCs w:val="20"/>
        </w:rPr>
        <w:t>КОНТРОЛЮ</w:t>
      </w:r>
      <w:r w:rsidRPr="000977F7">
        <w:rPr>
          <w:color w:val="auto"/>
          <w:spacing w:val="-2"/>
          <w:sz w:val="20"/>
          <w:szCs w:val="20"/>
        </w:rPr>
        <w:t xml:space="preserve"> </w:t>
      </w:r>
      <w:r w:rsidRPr="000977F7">
        <w:rPr>
          <w:color w:val="auto"/>
          <w:sz w:val="20"/>
          <w:szCs w:val="20"/>
        </w:rPr>
        <w:t>–</w:t>
      </w:r>
    </w:p>
    <w:p w14:paraId="7716209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Алгоритм контролю параметра, в якому зміст чергової</w:t>
      </w:r>
      <w:r w:rsidRPr="000977F7">
        <w:rPr>
          <w:rFonts w:asciiTheme="majorHAnsi" w:hAnsiTheme="majorHAnsi"/>
          <w:spacing w:val="-47"/>
          <w:sz w:val="20"/>
          <w:szCs w:val="20"/>
        </w:rPr>
        <w:t xml:space="preserve"> </w:t>
      </w:r>
      <w:r w:rsidRPr="000977F7">
        <w:rPr>
          <w:rFonts w:asciiTheme="majorHAnsi" w:hAnsiTheme="majorHAnsi"/>
          <w:spacing w:val="-1"/>
          <w:sz w:val="20"/>
          <w:szCs w:val="20"/>
        </w:rPr>
        <w:t xml:space="preserve">дії залежить від результатів виконання попередніх </w:t>
      </w:r>
      <w:r w:rsidRPr="000977F7">
        <w:rPr>
          <w:rFonts w:asciiTheme="majorHAnsi" w:hAnsiTheme="majorHAnsi"/>
          <w:sz w:val="20"/>
          <w:szCs w:val="20"/>
        </w:rPr>
        <w:t>дій</w:t>
      </w:r>
      <w:r w:rsidRPr="000977F7">
        <w:rPr>
          <w:rFonts w:asciiTheme="majorHAnsi" w:hAnsiTheme="majorHAnsi"/>
          <w:spacing w:val="1"/>
          <w:sz w:val="20"/>
          <w:szCs w:val="20"/>
        </w:rPr>
        <w:t xml:space="preserve"> </w:t>
      </w:r>
    </w:p>
    <w:p w14:paraId="26EE6D9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УМОВНО ІСТИННЕ ЗНАЧЕННЯ ФІЗИЧНОЇ</w:t>
      </w:r>
      <w:r w:rsidRPr="000977F7">
        <w:rPr>
          <w:color w:val="auto"/>
          <w:spacing w:val="1"/>
          <w:sz w:val="20"/>
          <w:szCs w:val="20"/>
        </w:rPr>
        <w:t xml:space="preserve"> </w:t>
      </w:r>
      <w:r w:rsidRPr="000977F7">
        <w:rPr>
          <w:color w:val="auto"/>
          <w:sz w:val="20"/>
          <w:szCs w:val="20"/>
        </w:rPr>
        <w:t>ВЕЛИЧИНИ;</w:t>
      </w:r>
      <w:r w:rsidRPr="000977F7">
        <w:rPr>
          <w:color w:val="auto"/>
          <w:spacing w:val="-6"/>
          <w:sz w:val="20"/>
          <w:szCs w:val="20"/>
        </w:rPr>
        <w:t xml:space="preserve"> </w:t>
      </w:r>
      <w:r w:rsidRPr="000977F7">
        <w:rPr>
          <w:color w:val="auto"/>
          <w:sz w:val="20"/>
          <w:szCs w:val="20"/>
        </w:rPr>
        <w:t>ДІЙСНЕ</w:t>
      </w:r>
      <w:r w:rsidRPr="000977F7">
        <w:rPr>
          <w:color w:val="auto"/>
          <w:spacing w:val="-6"/>
          <w:sz w:val="20"/>
          <w:szCs w:val="20"/>
        </w:rPr>
        <w:t xml:space="preserve"> </w:t>
      </w:r>
      <w:r w:rsidRPr="000977F7">
        <w:rPr>
          <w:color w:val="auto"/>
          <w:sz w:val="20"/>
          <w:szCs w:val="20"/>
        </w:rPr>
        <w:t>ЗНАЧЕННЯ</w:t>
      </w:r>
      <w:r w:rsidRPr="000977F7">
        <w:rPr>
          <w:color w:val="auto"/>
          <w:spacing w:val="-5"/>
          <w:sz w:val="20"/>
          <w:szCs w:val="20"/>
        </w:rPr>
        <w:t xml:space="preserve"> </w:t>
      </w:r>
      <w:r w:rsidRPr="000977F7">
        <w:rPr>
          <w:color w:val="auto"/>
          <w:sz w:val="20"/>
          <w:szCs w:val="20"/>
        </w:rPr>
        <w:t>ФІЗИЧНОЇ ВЕЛИЧИНИ</w:t>
      </w:r>
      <w:r w:rsidRPr="000977F7">
        <w:rPr>
          <w:color w:val="auto"/>
          <w:spacing w:val="1"/>
          <w:sz w:val="20"/>
          <w:szCs w:val="20"/>
        </w:rPr>
        <w:t xml:space="preserve"> </w:t>
      </w:r>
      <w:r w:rsidRPr="000977F7">
        <w:rPr>
          <w:color w:val="auto"/>
          <w:sz w:val="20"/>
          <w:szCs w:val="20"/>
        </w:rPr>
        <w:t>–</w:t>
      </w:r>
    </w:p>
    <w:p w14:paraId="23EF478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CONVENTIONAL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TRUE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VALUE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QUANTITY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2D988BD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Значення фізичної величини, знайдене експериментальним</w:t>
      </w:r>
      <w:r w:rsidRPr="000977F7">
        <w:rPr>
          <w:rFonts w:asciiTheme="majorHAnsi" w:hAnsiTheme="majorHAnsi"/>
          <w:spacing w:val="1"/>
          <w:sz w:val="20"/>
          <w:szCs w:val="20"/>
        </w:rPr>
        <w:t xml:space="preserve"> </w:t>
      </w:r>
      <w:r w:rsidRPr="000977F7">
        <w:rPr>
          <w:rFonts w:asciiTheme="majorHAnsi" w:hAnsiTheme="majorHAnsi"/>
          <w:sz w:val="20"/>
          <w:szCs w:val="20"/>
        </w:rPr>
        <w:t>шляхом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настільки</w:t>
      </w:r>
      <w:r w:rsidRPr="000977F7">
        <w:rPr>
          <w:rFonts w:asciiTheme="majorHAnsi" w:hAnsiTheme="majorHAnsi"/>
          <w:spacing w:val="1"/>
          <w:sz w:val="20"/>
          <w:szCs w:val="20"/>
        </w:rPr>
        <w:t xml:space="preserve"> </w:t>
      </w:r>
      <w:r w:rsidRPr="000977F7">
        <w:rPr>
          <w:rFonts w:asciiTheme="majorHAnsi" w:hAnsiTheme="majorHAnsi"/>
          <w:sz w:val="20"/>
          <w:szCs w:val="20"/>
        </w:rPr>
        <w:t>наближене</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істинного</w:t>
      </w:r>
      <w:r w:rsidRPr="000977F7">
        <w:rPr>
          <w:rFonts w:asciiTheme="majorHAnsi" w:hAnsiTheme="majorHAnsi"/>
          <w:spacing w:val="-47"/>
          <w:sz w:val="20"/>
          <w:szCs w:val="20"/>
        </w:rPr>
        <w:t xml:space="preserve"> </w:t>
      </w:r>
      <w:r w:rsidRPr="000977F7">
        <w:rPr>
          <w:rFonts w:asciiTheme="majorHAnsi" w:hAnsiTheme="majorHAnsi"/>
          <w:sz w:val="20"/>
          <w:szCs w:val="20"/>
        </w:rPr>
        <w:t>значення, що його можна використати замість істинного для</w:t>
      </w:r>
      <w:r w:rsidRPr="000977F7">
        <w:rPr>
          <w:rFonts w:asciiTheme="majorHAnsi" w:hAnsiTheme="majorHAnsi"/>
          <w:spacing w:val="2"/>
          <w:sz w:val="20"/>
          <w:szCs w:val="20"/>
        </w:rPr>
        <w:t xml:space="preserve"> </w:t>
      </w:r>
      <w:r w:rsidRPr="000977F7">
        <w:rPr>
          <w:rFonts w:asciiTheme="majorHAnsi" w:hAnsiTheme="majorHAnsi"/>
          <w:sz w:val="20"/>
          <w:szCs w:val="20"/>
        </w:rPr>
        <w:t>даної</w:t>
      </w:r>
      <w:r w:rsidRPr="000977F7">
        <w:rPr>
          <w:rFonts w:asciiTheme="majorHAnsi" w:hAnsiTheme="majorHAnsi"/>
          <w:spacing w:val="-1"/>
          <w:sz w:val="20"/>
          <w:szCs w:val="20"/>
        </w:rPr>
        <w:t xml:space="preserve"> </w:t>
      </w:r>
      <w:r w:rsidRPr="000977F7">
        <w:rPr>
          <w:rFonts w:asciiTheme="majorHAnsi" w:hAnsiTheme="majorHAnsi"/>
          <w:sz w:val="20"/>
          <w:szCs w:val="20"/>
        </w:rPr>
        <w:t>мети</w:t>
      </w:r>
    </w:p>
    <w:p w14:paraId="5039A9F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F3A7A64"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УМ’ЯТИНА</w:t>
      </w:r>
      <w:r w:rsidRPr="000977F7">
        <w:rPr>
          <w:color w:val="auto"/>
          <w:spacing w:val="-1"/>
          <w:sz w:val="20"/>
          <w:szCs w:val="20"/>
        </w:rPr>
        <w:t xml:space="preserve"> </w:t>
      </w:r>
      <w:r w:rsidRPr="000977F7">
        <w:rPr>
          <w:b w:val="0"/>
          <w:color w:val="auto"/>
          <w:sz w:val="20"/>
          <w:szCs w:val="20"/>
        </w:rPr>
        <w:t>–</w:t>
      </w:r>
    </w:p>
    <w:p w14:paraId="11762C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Дефект</w:t>
      </w:r>
      <w:r w:rsidRPr="000977F7">
        <w:rPr>
          <w:rFonts w:asciiTheme="majorHAnsi" w:hAnsiTheme="majorHAnsi"/>
          <w:spacing w:val="-5"/>
          <w:sz w:val="20"/>
          <w:szCs w:val="20"/>
        </w:rPr>
        <w:t xml:space="preserve"> </w:t>
      </w:r>
      <w:r w:rsidRPr="000977F7">
        <w:rPr>
          <w:rFonts w:asciiTheme="majorHAnsi" w:hAnsiTheme="majorHAnsi"/>
          <w:sz w:val="20"/>
          <w:szCs w:val="20"/>
        </w:rPr>
        <w:t>деталі</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вигляді</w:t>
      </w:r>
      <w:r w:rsidRPr="000977F7">
        <w:rPr>
          <w:rFonts w:asciiTheme="majorHAnsi" w:hAnsiTheme="majorHAnsi"/>
          <w:spacing w:val="-2"/>
          <w:sz w:val="20"/>
          <w:szCs w:val="20"/>
        </w:rPr>
        <w:t xml:space="preserve"> </w:t>
      </w:r>
      <w:r w:rsidRPr="000977F7">
        <w:rPr>
          <w:rFonts w:asciiTheme="majorHAnsi" w:hAnsiTheme="majorHAnsi"/>
          <w:sz w:val="20"/>
          <w:szCs w:val="20"/>
        </w:rPr>
        <w:t>поглиблення</w:t>
      </w:r>
      <w:r w:rsidRPr="000977F7">
        <w:rPr>
          <w:rFonts w:asciiTheme="majorHAnsi" w:hAnsiTheme="majorHAnsi"/>
          <w:spacing w:val="-5"/>
          <w:sz w:val="20"/>
          <w:szCs w:val="20"/>
        </w:rPr>
        <w:t xml:space="preserve"> </w:t>
      </w:r>
      <w:r w:rsidRPr="000977F7">
        <w:rPr>
          <w:rFonts w:asciiTheme="majorHAnsi" w:hAnsiTheme="majorHAnsi"/>
          <w:sz w:val="20"/>
          <w:szCs w:val="20"/>
        </w:rPr>
        <w:t>на поверхні</w:t>
      </w:r>
    </w:p>
    <w:p w14:paraId="7D90C40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УНІВЕРСАЛЬНИЙ ЗАСІБ ТЕХНІЧНОГО </w:t>
      </w:r>
    </w:p>
    <w:p w14:paraId="35BDFF8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ДІАГ</w:t>
      </w:r>
      <w:r w:rsidRPr="000977F7">
        <w:rPr>
          <w:color w:val="auto"/>
          <w:spacing w:val="-48"/>
          <w:sz w:val="20"/>
          <w:szCs w:val="20"/>
        </w:rPr>
        <w:t xml:space="preserve"> </w:t>
      </w:r>
      <w:r w:rsidRPr="000977F7">
        <w:rPr>
          <w:color w:val="auto"/>
          <w:sz w:val="20"/>
          <w:szCs w:val="20"/>
        </w:rPr>
        <w:t>НОСТУВАННЯ –</w:t>
      </w:r>
    </w:p>
    <w:p w14:paraId="550027D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GENERAL</w:t>
      </w:r>
      <w:r w:rsidRPr="004D2D14">
        <w:rPr>
          <w:rFonts w:asciiTheme="majorHAnsi" w:hAnsiTheme="majorHAnsi"/>
          <w:spacing w:val="-4"/>
          <w:sz w:val="20"/>
          <w:szCs w:val="20"/>
          <w:lang w:val="uk-UA"/>
        </w:rPr>
        <w:t xml:space="preserve"> </w:t>
      </w:r>
      <w:r w:rsidRPr="000977F7">
        <w:rPr>
          <w:rFonts w:asciiTheme="majorHAnsi" w:hAnsiTheme="majorHAnsi"/>
          <w:sz w:val="20"/>
          <w:szCs w:val="20"/>
        </w:rPr>
        <w:t>PURPOSE</w:t>
      </w:r>
      <w:r w:rsidRPr="004D2D14">
        <w:rPr>
          <w:rFonts w:asciiTheme="majorHAnsi" w:hAnsiTheme="majorHAnsi"/>
          <w:spacing w:val="-2"/>
          <w:sz w:val="20"/>
          <w:szCs w:val="20"/>
          <w:lang w:val="uk-UA"/>
        </w:rPr>
        <w:t xml:space="preserve"> </w:t>
      </w:r>
      <w:r w:rsidRPr="000977F7">
        <w:rPr>
          <w:rFonts w:asciiTheme="majorHAnsi" w:hAnsiTheme="majorHAnsi"/>
          <w:sz w:val="20"/>
          <w:szCs w:val="20"/>
        </w:rPr>
        <w:t>TEST</w:t>
      </w:r>
      <w:r w:rsidRPr="004D2D14">
        <w:rPr>
          <w:rFonts w:asciiTheme="majorHAnsi" w:hAnsiTheme="majorHAnsi"/>
          <w:spacing w:val="-4"/>
          <w:sz w:val="20"/>
          <w:szCs w:val="20"/>
          <w:lang w:val="uk-UA"/>
        </w:rPr>
        <w:t xml:space="preserve"> </w:t>
      </w:r>
      <w:r w:rsidRPr="000977F7">
        <w:rPr>
          <w:rFonts w:asciiTheme="majorHAnsi" w:hAnsiTheme="majorHAnsi"/>
          <w:sz w:val="20"/>
          <w:szCs w:val="20"/>
        </w:rPr>
        <w:t>EQUIPMENT</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w:t>
      </w:r>
    </w:p>
    <w:p w14:paraId="0206635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Засіб, призначений для діагностування об’єктів різних</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типів</w:t>
      </w:r>
    </w:p>
    <w:p w14:paraId="4A1DC57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2389</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732D3D4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УНІФІКАЦІЯ</w:t>
      </w:r>
      <w:r w:rsidRPr="000977F7">
        <w:rPr>
          <w:color w:val="auto"/>
          <w:spacing w:val="-4"/>
          <w:sz w:val="20"/>
          <w:szCs w:val="20"/>
        </w:rPr>
        <w:t xml:space="preserve"> </w:t>
      </w:r>
      <w:r w:rsidRPr="000977F7">
        <w:rPr>
          <w:color w:val="auto"/>
          <w:sz w:val="20"/>
          <w:szCs w:val="20"/>
        </w:rPr>
        <w:t>–</w:t>
      </w:r>
    </w:p>
    <w:p w14:paraId="2995800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Вибір</w:t>
      </w:r>
      <w:r w:rsidRPr="004D2D14">
        <w:rPr>
          <w:rFonts w:asciiTheme="majorHAnsi" w:hAnsiTheme="majorHAnsi"/>
          <w:spacing w:val="38"/>
          <w:sz w:val="20"/>
          <w:szCs w:val="20"/>
          <w:lang w:val="uk-UA"/>
        </w:rPr>
        <w:t xml:space="preserve"> </w:t>
      </w:r>
      <w:r w:rsidRPr="004D2D14">
        <w:rPr>
          <w:rFonts w:asciiTheme="majorHAnsi" w:hAnsiTheme="majorHAnsi"/>
          <w:sz w:val="20"/>
          <w:szCs w:val="20"/>
          <w:lang w:val="uk-UA"/>
        </w:rPr>
        <w:t>оптимальної</w:t>
      </w:r>
      <w:r w:rsidRPr="004D2D14">
        <w:rPr>
          <w:rFonts w:asciiTheme="majorHAnsi" w:hAnsiTheme="majorHAnsi"/>
          <w:spacing w:val="39"/>
          <w:sz w:val="20"/>
          <w:szCs w:val="20"/>
          <w:lang w:val="uk-UA"/>
        </w:rPr>
        <w:t xml:space="preserve"> </w:t>
      </w:r>
      <w:r w:rsidRPr="004D2D14">
        <w:rPr>
          <w:rFonts w:asciiTheme="majorHAnsi" w:hAnsiTheme="majorHAnsi"/>
          <w:sz w:val="20"/>
          <w:szCs w:val="20"/>
          <w:lang w:val="uk-UA"/>
        </w:rPr>
        <w:t>кількості</w:t>
      </w:r>
      <w:r w:rsidRPr="004D2D14">
        <w:rPr>
          <w:rFonts w:asciiTheme="majorHAnsi" w:hAnsiTheme="majorHAnsi"/>
          <w:spacing w:val="36"/>
          <w:sz w:val="20"/>
          <w:szCs w:val="20"/>
          <w:lang w:val="uk-UA"/>
        </w:rPr>
        <w:t xml:space="preserve"> </w:t>
      </w:r>
      <w:r w:rsidRPr="004D2D14">
        <w:rPr>
          <w:rFonts w:asciiTheme="majorHAnsi" w:hAnsiTheme="majorHAnsi"/>
          <w:sz w:val="20"/>
          <w:szCs w:val="20"/>
          <w:lang w:val="uk-UA"/>
        </w:rPr>
        <w:t>різновидів</w:t>
      </w:r>
      <w:r w:rsidRPr="004D2D14">
        <w:rPr>
          <w:rFonts w:asciiTheme="majorHAnsi" w:hAnsiTheme="majorHAnsi"/>
          <w:spacing w:val="39"/>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процесів,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послуг,</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значень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їх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параметрів</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розмірів</w:t>
      </w:r>
    </w:p>
    <w:p w14:paraId="675C4F5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УНІФІКАЦІЯ</w:t>
      </w:r>
      <w:r w:rsidRPr="000977F7">
        <w:rPr>
          <w:color w:val="auto"/>
          <w:spacing w:val="-4"/>
          <w:sz w:val="20"/>
          <w:szCs w:val="20"/>
        </w:rPr>
        <w:t xml:space="preserve"> </w:t>
      </w:r>
      <w:r w:rsidRPr="000977F7">
        <w:rPr>
          <w:color w:val="auto"/>
          <w:sz w:val="20"/>
          <w:szCs w:val="20"/>
        </w:rPr>
        <w:t>ПРОДУКЦІЇ</w:t>
      </w:r>
      <w:r w:rsidRPr="000977F7">
        <w:rPr>
          <w:color w:val="auto"/>
          <w:spacing w:val="-1"/>
          <w:sz w:val="20"/>
          <w:szCs w:val="20"/>
        </w:rPr>
        <w:t xml:space="preserve"> </w:t>
      </w:r>
      <w:r w:rsidRPr="000977F7">
        <w:rPr>
          <w:color w:val="auto"/>
          <w:sz w:val="20"/>
          <w:szCs w:val="20"/>
        </w:rPr>
        <w:t>–</w:t>
      </w:r>
    </w:p>
    <w:p w14:paraId="5B5CF0E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UNIFICATION</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1791E8F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Раціональне зменшення кількості різновидів продукції</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однакового функціонального призначення</w:t>
      </w:r>
    </w:p>
    <w:p w14:paraId="53A4186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9496091" w14:textId="77777777" w:rsidR="0097612F" w:rsidRPr="000977F7" w:rsidRDefault="0097612F" w:rsidP="000977F7">
      <w:pPr>
        <w:pStyle w:val="7"/>
        <w:tabs>
          <w:tab w:val="left" w:pos="284"/>
        </w:tabs>
        <w:spacing w:before="0" w:line="240" w:lineRule="auto"/>
        <w:ind w:left="170"/>
        <w:mirrorIndents/>
        <w:jc w:val="both"/>
        <w:rPr>
          <w:color w:val="auto"/>
          <w:spacing w:val="-5"/>
          <w:sz w:val="20"/>
          <w:szCs w:val="20"/>
        </w:rPr>
      </w:pPr>
      <w:r w:rsidRPr="000977F7">
        <w:rPr>
          <w:color w:val="auto"/>
          <w:sz w:val="20"/>
          <w:szCs w:val="20"/>
        </w:rPr>
        <w:t>УНІФІКОВАНА</w:t>
      </w:r>
      <w:r w:rsidRPr="000977F7">
        <w:rPr>
          <w:color w:val="auto"/>
          <w:spacing w:val="-7"/>
          <w:sz w:val="20"/>
          <w:szCs w:val="20"/>
        </w:rPr>
        <w:t xml:space="preserve"> </w:t>
      </w:r>
      <w:r w:rsidRPr="000977F7">
        <w:rPr>
          <w:color w:val="auto"/>
          <w:sz w:val="20"/>
          <w:szCs w:val="20"/>
        </w:rPr>
        <w:t>АПАРАТУРА</w:t>
      </w:r>
      <w:r w:rsidRPr="000977F7">
        <w:rPr>
          <w:color w:val="auto"/>
          <w:spacing w:val="-6"/>
          <w:sz w:val="20"/>
          <w:szCs w:val="20"/>
        </w:rPr>
        <w:t xml:space="preserve"> </w:t>
      </w:r>
      <w:r w:rsidRPr="000977F7">
        <w:rPr>
          <w:color w:val="auto"/>
          <w:sz w:val="20"/>
          <w:szCs w:val="20"/>
        </w:rPr>
        <w:t>ТЕХНІЧНОГО</w:t>
      </w:r>
      <w:r w:rsidRPr="000977F7">
        <w:rPr>
          <w:color w:val="auto"/>
          <w:spacing w:val="-5"/>
          <w:sz w:val="20"/>
          <w:szCs w:val="20"/>
        </w:rPr>
        <w:t xml:space="preserve"> </w:t>
      </w:r>
    </w:p>
    <w:p w14:paraId="6F0A6E2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ДІ</w:t>
      </w:r>
      <w:r w:rsidRPr="000977F7">
        <w:rPr>
          <w:color w:val="auto"/>
          <w:spacing w:val="-47"/>
          <w:sz w:val="20"/>
          <w:szCs w:val="20"/>
        </w:rPr>
        <w:t xml:space="preserve"> </w:t>
      </w:r>
      <w:r w:rsidRPr="000977F7">
        <w:rPr>
          <w:color w:val="auto"/>
          <w:sz w:val="20"/>
          <w:szCs w:val="20"/>
        </w:rPr>
        <w:t>АГНОСТУВАННЯ –</w:t>
      </w:r>
    </w:p>
    <w:p w14:paraId="7E30689D"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Апаратура,</w:t>
      </w:r>
      <w:r w:rsidRPr="000977F7">
        <w:rPr>
          <w:rFonts w:asciiTheme="majorHAnsi" w:hAnsiTheme="majorHAnsi"/>
          <w:spacing w:val="27"/>
          <w:sz w:val="20"/>
          <w:szCs w:val="20"/>
        </w:rPr>
        <w:t xml:space="preserve"> </w:t>
      </w:r>
      <w:r w:rsidRPr="000977F7">
        <w:rPr>
          <w:rFonts w:asciiTheme="majorHAnsi" w:hAnsiTheme="majorHAnsi"/>
          <w:sz w:val="20"/>
          <w:szCs w:val="20"/>
        </w:rPr>
        <w:t>яка</w:t>
      </w:r>
      <w:r w:rsidRPr="000977F7">
        <w:rPr>
          <w:rFonts w:asciiTheme="majorHAnsi" w:hAnsiTheme="majorHAnsi"/>
          <w:spacing w:val="27"/>
          <w:sz w:val="20"/>
          <w:szCs w:val="20"/>
        </w:rPr>
        <w:t xml:space="preserve"> </w:t>
      </w:r>
      <w:r w:rsidRPr="000977F7">
        <w:rPr>
          <w:rFonts w:asciiTheme="majorHAnsi" w:hAnsiTheme="majorHAnsi"/>
          <w:sz w:val="20"/>
          <w:szCs w:val="20"/>
        </w:rPr>
        <w:t>входить</w:t>
      </w:r>
      <w:r w:rsidRPr="000977F7">
        <w:rPr>
          <w:rFonts w:asciiTheme="majorHAnsi" w:hAnsiTheme="majorHAnsi"/>
          <w:spacing w:val="28"/>
          <w:sz w:val="20"/>
          <w:szCs w:val="20"/>
        </w:rPr>
        <w:t xml:space="preserve"> </w:t>
      </w:r>
      <w:r w:rsidRPr="000977F7">
        <w:rPr>
          <w:rFonts w:asciiTheme="majorHAnsi" w:hAnsiTheme="majorHAnsi"/>
          <w:sz w:val="20"/>
          <w:szCs w:val="20"/>
        </w:rPr>
        <w:t>до</w:t>
      </w:r>
      <w:r w:rsidRPr="000977F7">
        <w:rPr>
          <w:rFonts w:asciiTheme="majorHAnsi" w:hAnsiTheme="majorHAnsi"/>
          <w:spacing w:val="27"/>
          <w:sz w:val="20"/>
          <w:szCs w:val="20"/>
        </w:rPr>
        <w:t xml:space="preserve"> </w:t>
      </w:r>
      <w:r w:rsidRPr="000977F7">
        <w:rPr>
          <w:rFonts w:asciiTheme="majorHAnsi" w:hAnsiTheme="majorHAnsi"/>
          <w:sz w:val="20"/>
          <w:szCs w:val="20"/>
        </w:rPr>
        <w:t>складу</w:t>
      </w:r>
      <w:r w:rsidRPr="000977F7">
        <w:rPr>
          <w:rFonts w:asciiTheme="majorHAnsi" w:hAnsiTheme="majorHAnsi"/>
          <w:spacing w:val="26"/>
          <w:sz w:val="20"/>
          <w:szCs w:val="20"/>
        </w:rPr>
        <w:t xml:space="preserve"> </w:t>
      </w:r>
      <w:r w:rsidRPr="000977F7">
        <w:rPr>
          <w:rFonts w:asciiTheme="majorHAnsi" w:hAnsiTheme="majorHAnsi"/>
          <w:sz w:val="20"/>
          <w:szCs w:val="20"/>
        </w:rPr>
        <w:t>ряду</w:t>
      </w:r>
      <w:r w:rsidRPr="000977F7">
        <w:rPr>
          <w:rFonts w:asciiTheme="majorHAnsi" w:hAnsiTheme="majorHAnsi"/>
          <w:spacing w:val="25"/>
          <w:sz w:val="20"/>
          <w:szCs w:val="20"/>
        </w:rPr>
        <w:t xml:space="preserve"> </w:t>
      </w:r>
      <w:r w:rsidRPr="000977F7">
        <w:rPr>
          <w:rFonts w:asciiTheme="majorHAnsi" w:hAnsiTheme="majorHAnsi"/>
          <w:sz w:val="20"/>
          <w:szCs w:val="20"/>
        </w:rPr>
        <w:t>спеціалізованих і (або) універсальних засобів діагностування</w:t>
      </w:r>
      <w:r w:rsidRPr="000977F7">
        <w:rPr>
          <w:rFonts w:asciiTheme="majorHAnsi" w:hAnsiTheme="majorHAnsi"/>
          <w:spacing w:val="1"/>
          <w:sz w:val="20"/>
          <w:szCs w:val="20"/>
        </w:rPr>
        <w:t xml:space="preserve"> </w:t>
      </w:r>
    </w:p>
    <w:p w14:paraId="222A53E3"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2389</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CE0E0E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УНІФІКОВАНИЙ</w:t>
      </w:r>
      <w:r w:rsidRPr="000977F7">
        <w:rPr>
          <w:color w:val="auto"/>
          <w:spacing w:val="-3"/>
          <w:sz w:val="20"/>
          <w:szCs w:val="20"/>
        </w:rPr>
        <w:t xml:space="preserve"> </w:t>
      </w:r>
      <w:r w:rsidRPr="000977F7">
        <w:rPr>
          <w:color w:val="auto"/>
          <w:sz w:val="20"/>
          <w:szCs w:val="20"/>
        </w:rPr>
        <w:t>ВИРІБ</w:t>
      </w:r>
      <w:r w:rsidRPr="000977F7">
        <w:rPr>
          <w:color w:val="auto"/>
          <w:spacing w:val="-2"/>
          <w:sz w:val="20"/>
          <w:szCs w:val="20"/>
        </w:rPr>
        <w:t xml:space="preserve"> </w:t>
      </w:r>
      <w:r w:rsidRPr="000977F7">
        <w:rPr>
          <w:color w:val="auto"/>
          <w:sz w:val="20"/>
          <w:szCs w:val="20"/>
        </w:rPr>
        <w:t>–</w:t>
      </w:r>
    </w:p>
    <w:p w14:paraId="6A2051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w:t>
      </w:r>
      <w:r w:rsidRPr="000977F7">
        <w:rPr>
          <w:rFonts w:asciiTheme="majorHAnsi" w:hAnsiTheme="majorHAnsi"/>
          <w:spacing w:val="14"/>
          <w:sz w:val="20"/>
          <w:szCs w:val="20"/>
        </w:rPr>
        <w:t xml:space="preserve"> </w:t>
      </w:r>
      <w:r w:rsidRPr="000977F7">
        <w:rPr>
          <w:rFonts w:asciiTheme="majorHAnsi" w:hAnsiTheme="majorHAnsi"/>
          <w:sz w:val="20"/>
          <w:szCs w:val="20"/>
        </w:rPr>
        <w:t>застосований</w:t>
      </w:r>
      <w:r w:rsidRPr="000977F7">
        <w:rPr>
          <w:rFonts w:asciiTheme="majorHAnsi" w:hAnsiTheme="majorHAnsi"/>
          <w:spacing w:val="15"/>
          <w:sz w:val="20"/>
          <w:szCs w:val="20"/>
        </w:rPr>
        <w:t xml:space="preserve"> </w:t>
      </w:r>
      <w:r w:rsidRPr="000977F7">
        <w:rPr>
          <w:rFonts w:asciiTheme="majorHAnsi" w:hAnsiTheme="majorHAnsi"/>
          <w:sz w:val="20"/>
          <w:szCs w:val="20"/>
        </w:rPr>
        <w:t>у</w:t>
      </w:r>
      <w:r w:rsidRPr="000977F7">
        <w:rPr>
          <w:rFonts w:asciiTheme="majorHAnsi" w:hAnsiTheme="majorHAnsi"/>
          <w:spacing w:val="11"/>
          <w:sz w:val="20"/>
          <w:szCs w:val="20"/>
        </w:rPr>
        <w:t xml:space="preserve"> </w:t>
      </w:r>
      <w:r w:rsidRPr="000977F7">
        <w:rPr>
          <w:rFonts w:asciiTheme="majorHAnsi" w:hAnsiTheme="majorHAnsi"/>
          <w:sz w:val="20"/>
          <w:szCs w:val="20"/>
        </w:rPr>
        <w:t>конструкторській</w:t>
      </w:r>
      <w:r w:rsidRPr="000977F7">
        <w:rPr>
          <w:rFonts w:asciiTheme="majorHAnsi" w:hAnsiTheme="majorHAnsi"/>
          <w:spacing w:val="13"/>
          <w:sz w:val="20"/>
          <w:szCs w:val="20"/>
        </w:rPr>
        <w:t xml:space="preserve"> </w:t>
      </w:r>
      <w:r w:rsidRPr="000977F7">
        <w:rPr>
          <w:rFonts w:asciiTheme="majorHAnsi" w:hAnsiTheme="majorHAnsi"/>
          <w:sz w:val="20"/>
          <w:szCs w:val="20"/>
        </w:rPr>
        <w:t>документації</w:t>
      </w:r>
      <w:r w:rsidRPr="000977F7">
        <w:rPr>
          <w:rFonts w:asciiTheme="majorHAnsi" w:hAnsiTheme="majorHAnsi"/>
          <w:spacing w:val="-47"/>
          <w:sz w:val="20"/>
          <w:szCs w:val="20"/>
        </w:rPr>
        <w:t xml:space="preserve"> </w:t>
      </w:r>
      <w:r w:rsidRPr="000977F7">
        <w:rPr>
          <w:rFonts w:asciiTheme="majorHAnsi" w:hAnsiTheme="majorHAnsi"/>
          <w:sz w:val="20"/>
          <w:szCs w:val="20"/>
        </w:rPr>
        <w:t>декількох виробів</w:t>
      </w:r>
    </w:p>
    <w:p w14:paraId="74F1464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3321 –</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2003</w:t>
      </w:r>
    </w:p>
    <w:p w14:paraId="6721039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УНІФІКОВАНІ</w:t>
      </w:r>
      <w:r w:rsidRPr="000977F7">
        <w:rPr>
          <w:color w:val="auto"/>
          <w:spacing w:val="-5"/>
          <w:sz w:val="20"/>
          <w:szCs w:val="20"/>
        </w:rPr>
        <w:t xml:space="preserve"> </w:t>
      </w:r>
      <w:r w:rsidRPr="000977F7">
        <w:rPr>
          <w:color w:val="auto"/>
          <w:sz w:val="20"/>
          <w:szCs w:val="20"/>
        </w:rPr>
        <w:t>СТАНДАРТИ</w:t>
      </w:r>
      <w:r w:rsidRPr="000977F7">
        <w:rPr>
          <w:color w:val="auto"/>
          <w:spacing w:val="-1"/>
          <w:sz w:val="20"/>
          <w:szCs w:val="20"/>
        </w:rPr>
        <w:t xml:space="preserve"> </w:t>
      </w:r>
      <w:r w:rsidRPr="000977F7">
        <w:rPr>
          <w:color w:val="auto"/>
          <w:sz w:val="20"/>
          <w:szCs w:val="20"/>
        </w:rPr>
        <w:t>–</w:t>
      </w:r>
    </w:p>
    <w:p w14:paraId="7893283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UNIFIED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STANDARDS</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4079E16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Гармонізовані стандарти, які є ідентичними за змістом,</w:t>
      </w:r>
      <w:r w:rsidRPr="000977F7">
        <w:rPr>
          <w:rFonts w:asciiTheme="majorHAnsi" w:hAnsiTheme="majorHAnsi"/>
          <w:spacing w:val="-1"/>
          <w:sz w:val="20"/>
          <w:szCs w:val="20"/>
        </w:rPr>
        <w:t xml:space="preserve"> </w:t>
      </w:r>
      <w:r w:rsidRPr="000977F7">
        <w:rPr>
          <w:rFonts w:asciiTheme="majorHAnsi" w:hAnsiTheme="majorHAnsi"/>
          <w:sz w:val="20"/>
          <w:szCs w:val="20"/>
        </w:rPr>
        <w:t>але</w:t>
      </w:r>
      <w:r w:rsidRPr="000977F7">
        <w:rPr>
          <w:rFonts w:asciiTheme="majorHAnsi" w:hAnsiTheme="majorHAnsi"/>
          <w:spacing w:val="-1"/>
          <w:sz w:val="20"/>
          <w:szCs w:val="20"/>
        </w:rPr>
        <w:t xml:space="preserve"> </w:t>
      </w:r>
      <w:r w:rsidRPr="000977F7">
        <w:rPr>
          <w:rFonts w:asciiTheme="majorHAnsi" w:hAnsiTheme="majorHAnsi"/>
          <w:sz w:val="20"/>
          <w:szCs w:val="20"/>
        </w:rPr>
        <w:t>не ідентичні</w:t>
      </w:r>
      <w:r w:rsidRPr="000977F7">
        <w:rPr>
          <w:rFonts w:asciiTheme="majorHAnsi" w:hAnsiTheme="majorHAnsi"/>
          <w:spacing w:val="-2"/>
          <w:sz w:val="20"/>
          <w:szCs w:val="20"/>
        </w:rPr>
        <w:t xml:space="preserve"> </w:t>
      </w:r>
      <w:r w:rsidRPr="000977F7">
        <w:rPr>
          <w:rFonts w:asciiTheme="majorHAnsi" w:hAnsiTheme="majorHAnsi"/>
          <w:sz w:val="20"/>
          <w:szCs w:val="20"/>
        </w:rPr>
        <w:t>за формою</w:t>
      </w:r>
      <w:r w:rsidRPr="000977F7">
        <w:rPr>
          <w:rFonts w:asciiTheme="majorHAnsi" w:hAnsiTheme="majorHAnsi"/>
          <w:spacing w:val="-1"/>
          <w:sz w:val="20"/>
          <w:szCs w:val="20"/>
        </w:rPr>
        <w:t xml:space="preserve"> </w:t>
      </w:r>
      <w:r w:rsidRPr="000977F7">
        <w:rPr>
          <w:rFonts w:asciiTheme="majorHAnsi" w:hAnsiTheme="majorHAnsi"/>
          <w:sz w:val="20"/>
          <w:szCs w:val="20"/>
        </w:rPr>
        <w:t>подання</w:t>
      </w:r>
    </w:p>
    <w:p w14:paraId="1EC9F5BB" w14:textId="77777777" w:rsidR="0097612F" w:rsidRPr="000977F7" w:rsidRDefault="0097612F" w:rsidP="000977F7">
      <w:pPr>
        <w:tabs>
          <w:tab w:val="left" w:pos="284"/>
        </w:tabs>
        <w:spacing w:after="0" w:line="240" w:lineRule="auto"/>
        <w:ind w:left="170"/>
        <w:mirrorIndents/>
        <w:jc w:val="both"/>
        <w:rPr>
          <w:rFonts w:asciiTheme="majorHAnsi" w:hAnsiTheme="majorHAnsi"/>
          <w:i/>
          <w:iCs/>
          <w:spacing w:val="-6"/>
          <w:w w:val="95"/>
          <w:sz w:val="20"/>
          <w:szCs w:val="20"/>
        </w:rPr>
      </w:pPr>
      <w:r w:rsidRPr="000977F7">
        <w:rPr>
          <w:rFonts w:asciiTheme="majorHAnsi" w:hAnsiTheme="majorHAnsi"/>
          <w:i/>
          <w:iCs/>
          <w:spacing w:val="-7"/>
          <w:w w:val="95"/>
          <w:sz w:val="20"/>
          <w:szCs w:val="20"/>
        </w:rPr>
        <w:t>ДСТУISO/IEC</w:t>
      </w:r>
      <w:r w:rsidRPr="000977F7">
        <w:rPr>
          <w:rFonts w:asciiTheme="majorHAnsi" w:hAnsiTheme="majorHAnsi"/>
          <w:i/>
          <w:iCs/>
          <w:spacing w:val="-25"/>
          <w:w w:val="95"/>
          <w:sz w:val="20"/>
          <w:szCs w:val="20"/>
        </w:rPr>
        <w:t xml:space="preserve"> </w:t>
      </w:r>
      <w:r w:rsidRPr="000977F7">
        <w:rPr>
          <w:rFonts w:asciiTheme="majorHAnsi" w:hAnsiTheme="majorHAnsi"/>
          <w:i/>
          <w:iCs/>
          <w:spacing w:val="-6"/>
          <w:w w:val="95"/>
          <w:sz w:val="20"/>
          <w:szCs w:val="20"/>
        </w:rPr>
        <w:t>17000:2007</w:t>
      </w:r>
    </w:p>
    <w:p w14:paraId="44E4C653"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УПАКУВАННЯ –</w:t>
      </w:r>
      <w:r w:rsidRPr="000977F7">
        <w:rPr>
          <w:rFonts w:asciiTheme="majorHAnsi" w:hAnsiTheme="majorHAnsi"/>
          <w:b/>
          <w:spacing w:val="1"/>
          <w:sz w:val="20"/>
          <w:szCs w:val="20"/>
        </w:rPr>
        <w:t xml:space="preserve"> </w:t>
      </w:r>
    </w:p>
    <w:p w14:paraId="17992B4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PACKAGE –</w:t>
      </w:r>
    </w:p>
    <w:p w14:paraId="6A1D32E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Забезпечення</w:t>
      </w:r>
      <w:r w:rsidRPr="000977F7">
        <w:rPr>
          <w:rFonts w:asciiTheme="majorHAnsi" w:hAnsiTheme="majorHAnsi"/>
          <w:spacing w:val="1"/>
          <w:sz w:val="20"/>
          <w:szCs w:val="20"/>
        </w:rPr>
        <w:t xml:space="preserve"> </w:t>
      </w:r>
      <w:r w:rsidRPr="000977F7">
        <w:rPr>
          <w:rFonts w:asciiTheme="majorHAnsi" w:hAnsiTheme="majorHAnsi"/>
          <w:sz w:val="20"/>
          <w:szCs w:val="20"/>
        </w:rPr>
        <w:t>захисту</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пошкоджень</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втрат,</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впливів</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забруднення,</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також у</w:t>
      </w:r>
      <w:r w:rsidRPr="000977F7">
        <w:rPr>
          <w:rFonts w:asciiTheme="majorHAnsi" w:hAnsiTheme="majorHAnsi"/>
          <w:spacing w:val="-2"/>
          <w:sz w:val="20"/>
          <w:szCs w:val="20"/>
        </w:rPr>
        <w:t xml:space="preserve"> </w:t>
      </w:r>
      <w:r w:rsidRPr="000977F7">
        <w:rPr>
          <w:rFonts w:asciiTheme="majorHAnsi" w:hAnsiTheme="majorHAnsi"/>
          <w:sz w:val="20"/>
          <w:szCs w:val="20"/>
        </w:rPr>
        <w:t>процесі</w:t>
      </w:r>
      <w:r w:rsidRPr="000977F7">
        <w:rPr>
          <w:rFonts w:asciiTheme="majorHAnsi" w:hAnsiTheme="majorHAnsi"/>
          <w:spacing w:val="-2"/>
          <w:sz w:val="20"/>
          <w:szCs w:val="20"/>
        </w:rPr>
        <w:t xml:space="preserve"> </w:t>
      </w:r>
      <w:r w:rsidRPr="000977F7">
        <w:rPr>
          <w:rFonts w:asciiTheme="majorHAnsi" w:hAnsiTheme="majorHAnsi"/>
          <w:sz w:val="20"/>
          <w:szCs w:val="20"/>
        </w:rPr>
        <w:t>обігу</w:t>
      </w:r>
      <w:r w:rsidRPr="000977F7">
        <w:rPr>
          <w:rFonts w:asciiTheme="majorHAnsi" w:hAnsiTheme="majorHAnsi"/>
          <w:spacing w:val="-5"/>
          <w:sz w:val="20"/>
          <w:szCs w:val="20"/>
        </w:rPr>
        <w:t xml:space="preserve"> </w:t>
      </w:r>
      <w:r w:rsidRPr="000977F7">
        <w:rPr>
          <w:rFonts w:asciiTheme="majorHAnsi" w:hAnsiTheme="majorHAnsi"/>
          <w:sz w:val="20"/>
          <w:szCs w:val="20"/>
        </w:rPr>
        <w:t>продукції</w:t>
      </w:r>
    </w:p>
    <w:p w14:paraId="7D37B7E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–2010</w:t>
      </w:r>
    </w:p>
    <w:p w14:paraId="5D96811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УПОВНОВАЖЕНА</w:t>
      </w:r>
      <w:r w:rsidRPr="000977F7">
        <w:rPr>
          <w:color w:val="auto"/>
          <w:spacing w:val="-4"/>
          <w:sz w:val="20"/>
          <w:szCs w:val="20"/>
        </w:rPr>
        <w:t xml:space="preserve"> </w:t>
      </w:r>
      <w:r w:rsidRPr="000977F7">
        <w:rPr>
          <w:color w:val="auto"/>
          <w:sz w:val="20"/>
          <w:szCs w:val="20"/>
        </w:rPr>
        <w:t>ОСОБА</w:t>
      </w:r>
      <w:r w:rsidRPr="000977F7">
        <w:rPr>
          <w:color w:val="auto"/>
          <w:spacing w:val="-1"/>
          <w:sz w:val="20"/>
          <w:szCs w:val="20"/>
        </w:rPr>
        <w:t xml:space="preserve"> </w:t>
      </w:r>
      <w:r w:rsidRPr="000977F7">
        <w:rPr>
          <w:color w:val="auto"/>
          <w:sz w:val="20"/>
          <w:szCs w:val="20"/>
        </w:rPr>
        <w:t>–</w:t>
      </w:r>
    </w:p>
    <w:p w14:paraId="71E3327C"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bookmarkStart w:id="299" w:name="_Hlk103149308"/>
      <w:r w:rsidRPr="000977F7">
        <w:rPr>
          <w:rFonts w:asciiTheme="majorHAnsi" w:hAnsiTheme="majorHAnsi"/>
          <w:sz w:val="20"/>
          <w:szCs w:val="20"/>
          <w:shd w:val="clear" w:color="auto" w:fill="FFFFFF"/>
        </w:rPr>
        <w:t>Особа (представник) особа, яка на підставі договору або належно оформленого доручення, виданого декларантом, наділена правом вчиняти дії, пов’язані з проведенням митних формальностей, щодо товарів, транспортних засобів комерційного призначення від імені декларанта</w:t>
      </w:r>
    </w:p>
    <w:p w14:paraId="3414A4CD"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Митний кодекс України.</w:t>
      </w:r>
      <w:bookmarkEnd w:id="299"/>
    </w:p>
    <w:p w14:paraId="170319B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УПОВНОВАЖЕНИЙ</w:t>
      </w:r>
      <w:r w:rsidRPr="000977F7">
        <w:rPr>
          <w:color w:val="auto"/>
          <w:spacing w:val="-4"/>
          <w:sz w:val="20"/>
          <w:szCs w:val="20"/>
        </w:rPr>
        <w:t xml:space="preserve"> </w:t>
      </w:r>
      <w:r w:rsidRPr="000977F7">
        <w:rPr>
          <w:color w:val="auto"/>
          <w:sz w:val="20"/>
          <w:szCs w:val="20"/>
        </w:rPr>
        <w:t>ОРГАН -</w:t>
      </w:r>
    </w:p>
    <w:p w14:paraId="6CFEB27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DESIGNATING</w:t>
      </w:r>
      <w:r w:rsidRPr="004D2D14">
        <w:rPr>
          <w:rFonts w:asciiTheme="majorHAnsi" w:hAnsiTheme="majorHAnsi"/>
          <w:spacing w:val="-2"/>
          <w:sz w:val="20"/>
          <w:szCs w:val="20"/>
          <w:lang w:val="uk-UA"/>
        </w:rPr>
        <w:t xml:space="preserve"> </w:t>
      </w:r>
      <w:r w:rsidRPr="000977F7">
        <w:rPr>
          <w:rFonts w:asciiTheme="majorHAnsi" w:hAnsiTheme="majorHAnsi"/>
          <w:sz w:val="20"/>
          <w:szCs w:val="20"/>
        </w:rPr>
        <w:t>AUTHORITY</w:t>
      </w:r>
      <w:r w:rsidRPr="004D2D14">
        <w:rPr>
          <w:rFonts w:asciiTheme="majorHAnsi" w:hAnsiTheme="majorHAnsi"/>
          <w:sz w:val="20"/>
          <w:szCs w:val="20"/>
          <w:lang w:val="uk-UA"/>
        </w:rPr>
        <w:t xml:space="preserve"> -</w:t>
      </w:r>
    </w:p>
    <w:p w14:paraId="0211340F"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4D2D14">
        <w:rPr>
          <w:rFonts w:asciiTheme="majorHAnsi" w:hAnsiTheme="majorHAnsi"/>
          <w:sz w:val="20"/>
          <w:szCs w:val="20"/>
          <w:lang w:val="uk-UA"/>
        </w:rPr>
        <w:t>Орган, що його уряд заснував або наділив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повноваженнями призначати органи оцінювання відповідності, призупиняти чи скасовувати призупиненість чинності їх призначення</w:t>
      </w:r>
    </w:p>
    <w:p w14:paraId="6906D92C" w14:textId="77777777" w:rsidR="0097612F" w:rsidRPr="000977F7" w:rsidRDefault="0097612F" w:rsidP="000977F7">
      <w:pPr>
        <w:pStyle w:val="af6"/>
        <w:tabs>
          <w:tab w:val="left" w:pos="284"/>
        </w:tabs>
        <w:spacing w:after="0"/>
        <w:ind w:left="170"/>
        <w:mirrorIndents/>
        <w:jc w:val="both"/>
        <w:rPr>
          <w:rFonts w:asciiTheme="majorHAnsi" w:hAnsiTheme="majorHAnsi"/>
          <w:i/>
          <w:iCs/>
          <w:spacing w:val="-6"/>
          <w:w w:val="95"/>
          <w:sz w:val="20"/>
          <w:szCs w:val="20"/>
        </w:rPr>
      </w:pPr>
      <w:r w:rsidRPr="000977F7">
        <w:rPr>
          <w:rFonts w:asciiTheme="majorHAnsi" w:hAnsiTheme="majorHAnsi"/>
          <w:i/>
          <w:iCs/>
          <w:spacing w:val="-7"/>
          <w:w w:val="95"/>
          <w:sz w:val="20"/>
          <w:szCs w:val="20"/>
        </w:rPr>
        <w:t>ДСТУ ISO/IEC</w:t>
      </w:r>
      <w:r w:rsidRPr="000977F7">
        <w:rPr>
          <w:rFonts w:asciiTheme="majorHAnsi" w:hAnsiTheme="majorHAnsi"/>
          <w:i/>
          <w:iCs/>
          <w:spacing w:val="-27"/>
          <w:w w:val="95"/>
          <w:sz w:val="20"/>
          <w:szCs w:val="20"/>
        </w:rPr>
        <w:t xml:space="preserve"> </w:t>
      </w:r>
      <w:r w:rsidRPr="000977F7">
        <w:rPr>
          <w:rFonts w:asciiTheme="majorHAnsi" w:hAnsiTheme="majorHAnsi"/>
          <w:i/>
          <w:iCs/>
          <w:spacing w:val="-6"/>
          <w:w w:val="95"/>
          <w:sz w:val="20"/>
          <w:szCs w:val="20"/>
        </w:rPr>
        <w:t>17000:2007</w:t>
      </w:r>
    </w:p>
    <w:p w14:paraId="46C64FE4" w14:textId="77777777" w:rsidR="0097612F" w:rsidRPr="000977F7" w:rsidRDefault="0097612F" w:rsidP="000977F7">
      <w:pPr>
        <w:pStyle w:val="af6"/>
        <w:tabs>
          <w:tab w:val="left" w:pos="284"/>
        </w:tabs>
        <w:spacing w:after="0"/>
        <w:ind w:left="170"/>
        <w:mirrorIndents/>
        <w:jc w:val="both"/>
        <w:rPr>
          <w:rFonts w:asciiTheme="majorHAnsi" w:hAnsiTheme="majorHAnsi"/>
          <w:b/>
          <w:bCs/>
          <w:sz w:val="20"/>
          <w:szCs w:val="20"/>
          <w:shd w:val="clear" w:color="auto" w:fill="FFFFFF"/>
        </w:rPr>
      </w:pPr>
      <w:r w:rsidRPr="000977F7">
        <w:rPr>
          <w:rFonts w:asciiTheme="majorHAnsi" w:hAnsiTheme="majorHAnsi"/>
          <w:b/>
          <w:bCs/>
          <w:sz w:val="20"/>
          <w:szCs w:val="20"/>
          <w:shd w:val="clear" w:color="auto" w:fill="FFFFFF"/>
        </w:rPr>
        <w:t>УПОВНОВАЖЕНИЙ ПРЕДСТАВНИК –</w:t>
      </w:r>
    </w:p>
    <w:p w14:paraId="40F3C5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Уповноважений представник виготовлювача продукції в Україні (у разі якщо виготовлювачем продукції є фізична чи юридична особа нерезидент України)</w:t>
      </w:r>
    </w:p>
    <w:p w14:paraId="62F3749B"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shd w:val="clear" w:color="auto" w:fill="FFFFFF"/>
        </w:rPr>
      </w:pPr>
      <w:r w:rsidRPr="000977F7">
        <w:rPr>
          <w:rFonts w:asciiTheme="majorHAnsi" w:hAnsiTheme="majorHAnsi"/>
          <w:i/>
          <w:iCs/>
          <w:sz w:val="20"/>
          <w:szCs w:val="20"/>
          <w:shd w:val="clear" w:color="auto" w:fill="FFFFFF"/>
        </w:rPr>
        <w:t>Ст. 1 закону України "Про загальну безпечність нехарчової продукції"</w:t>
      </w:r>
    </w:p>
    <w:p w14:paraId="30CD5AB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Будь-яка фізична чи юридична особа резидент України, яка одержала від виробника письмове доручення діяти від його імені стосовно визначених завдань.</w:t>
      </w:r>
    </w:p>
    <w:p w14:paraId="511CFFD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 закону України "Про технічні регламенти та оцінку відповідності"</w:t>
      </w:r>
    </w:p>
    <w:p w14:paraId="6090604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shd w:val="clear" w:color="auto" w:fill="FFFFFF"/>
        </w:rPr>
      </w:pPr>
      <w:r w:rsidRPr="000977F7">
        <w:rPr>
          <w:rFonts w:asciiTheme="majorHAnsi" w:hAnsiTheme="majorHAnsi"/>
          <w:sz w:val="20"/>
          <w:szCs w:val="20"/>
          <w:shd w:val="clear" w:color="auto" w:fill="FFFFFF"/>
        </w:rPr>
        <w:t>Будь-яка юридична або фізична особа резидент України, що отримала письмове доручення від виробника на виконання від його імені певних зобов’язань чи процедур, пов’язаних з цим Технічним регламентом</w:t>
      </w:r>
    </w:p>
    <w:p w14:paraId="1DCB71D2"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shd w:val="clear" w:color="auto" w:fill="FFFFFF"/>
        </w:rPr>
      </w:pPr>
      <w:r w:rsidRPr="000977F7">
        <w:rPr>
          <w:rFonts w:asciiTheme="majorHAnsi" w:hAnsiTheme="majorHAnsi"/>
          <w:i/>
          <w:iCs/>
          <w:sz w:val="20"/>
          <w:szCs w:val="20"/>
          <w:shd w:val="clear" w:color="auto" w:fill="FFFFFF"/>
        </w:rPr>
        <w:t>Технічний регламент безпеки машин</w:t>
      </w:r>
    </w:p>
    <w:p w14:paraId="20DA44D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Будь-яка фізична чи юридична особа резидент України, що одержує від монтажника або виробника письмове доручення діяти від його імені стосовно визначених у такому дорученні завдань</w:t>
      </w:r>
    </w:p>
    <w:p w14:paraId="708F540D"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shd w:val="clear" w:color="auto" w:fill="FFFFFF"/>
        </w:rPr>
      </w:pPr>
      <w:r w:rsidRPr="000977F7">
        <w:rPr>
          <w:rFonts w:asciiTheme="majorHAnsi" w:hAnsiTheme="majorHAnsi"/>
          <w:i/>
          <w:iCs/>
          <w:sz w:val="20"/>
          <w:szCs w:val="20"/>
          <w:shd w:val="clear" w:color="auto" w:fill="FFFFFF"/>
        </w:rPr>
        <w:t>Технічний регламент ліфтів і компонентів безпеки для ліфтів.</w:t>
      </w:r>
    </w:p>
    <w:p w14:paraId="45986B29"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shd w:val="clear" w:color="auto" w:fill="FFFFFF"/>
        </w:rPr>
      </w:pPr>
      <w:r w:rsidRPr="000977F7">
        <w:rPr>
          <w:rFonts w:asciiTheme="majorHAnsi" w:hAnsiTheme="majorHAnsi"/>
          <w:i/>
          <w:iCs/>
          <w:sz w:val="20"/>
          <w:szCs w:val="20"/>
          <w:shd w:val="clear" w:color="auto" w:fill="FFFFFF"/>
        </w:rPr>
        <w:t>Технічний регламент з електромагнітної сумісності обладнання</w:t>
      </w:r>
    </w:p>
    <w:p w14:paraId="0353E83A"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shd w:val="clear" w:color="auto" w:fill="FFFFFF"/>
        </w:rPr>
      </w:pPr>
      <w:r w:rsidRPr="000977F7">
        <w:rPr>
          <w:rFonts w:asciiTheme="majorHAnsi" w:hAnsiTheme="majorHAnsi"/>
          <w:i/>
          <w:iCs/>
          <w:sz w:val="20"/>
          <w:szCs w:val="20"/>
          <w:shd w:val="clear" w:color="auto" w:fill="FFFFFF"/>
        </w:rPr>
        <w:t>Технічний регламент обладнання, що працює під тиском</w:t>
      </w:r>
    </w:p>
    <w:p w14:paraId="4500B4D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УПРАВЛІННЯ;</w:t>
      </w:r>
      <w:r w:rsidRPr="000977F7">
        <w:rPr>
          <w:color w:val="auto"/>
          <w:spacing w:val="-6"/>
          <w:sz w:val="20"/>
          <w:szCs w:val="20"/>
        </w:rPr>
        <w:t xml:space="preserve"> </w:t>
      </w:r>
      <w:r w:rsidRPr="000977F7">
        <w:rPr>
          <w:color w:val="auto"/>
          <w:sz w:val="20"/>
          <w:szCs w:val="20"/>
        </w:rPr>
        <w:t>КЕРУВАННЯ –</w:t>
      </w:r>
    </w:p>
    <w:p w14:paraId="47275A2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MANAGEMENT -</w:t>
      </w:r>
    </w:p>
    <w:p w14:paraId="4BBB63A9" w14:textId="76A7359E" w:rsidR="0097612F" w:rsidRPr="000977F7" w:rsidRDefault="002E19DF" w:rsidP="000977F7">
      <w:pPr>
        <w:pStyle w:val="af6"/>
        <w:tabs>
          <w:tab w:val="left" w:pos="284"/>
        </w:tabs>
        <w:spacing w:after="0"/>
        <w:ind w:left="170"/>
        <w:mirrorIndents/>
        <w:jc w:val="both"/>
        <w:rPr>
          <w:rFonts w:asciiTheme="majorHAnsi" w:hAnsiTheme="majorHAnsi"/>
          <w:sz w:val="20"/>
          <w:szCs w:val="20"/>
        </w:rPr>
      </w:pPr>
      <w:r>
        <w:rPr>
          <w:rFonts w:asciiTheme="majorHAnsi" w:hAnsiTheme="majorHAnsi"/>
          <w:noProof/>
          <w:sz w:val="20"/>
          <w:szCs w:val="20"/>
        </w:rPr>
        <mc:AlternateContent>
          <mc:Choice Requires="wps">
            <w:drawing>
              <wp:anchor distT="0" distB="0" distL="114300" distR="114300" simplePos="0" relativeHeight="251679744" behindDoc="0" locked="0" layoutInCell="1" allowOverlap="1" wp14:anchorId="7B064374" wp14:editId="25CAF860">
                <wp:simplePos x="0" y="0"/>
                <wp:positionH relativeFrom="page">
                  <wp:posOffset>2430145</wp:posOffset>
                </wp:positionH>
                <wp:positionV relativeFrom="paragraph">
                  <wp:posOffset>278765</wp:posOffset>
                </wp:positionV>
                <wp:extent cx="33655" cy="6350"/>
                <wp:effectExtent l="0" t="0" r="0" b="0"/>
                <wp:wrapNone/>
                <wp:docPr id="5178" name="Прямоугольник 5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 cy="6350"/>
                        </a:xfrm>
                        <a:prstGeom prst="rect">
                          <a:avLst/>
                        </a:prstGeom>
                        <a:solidFill>
                          <a:srgbClr val="00000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3E50B5" id="Прямоугольник 5178" o:spid="_x0000_s1026" style="position:absolute;margin-left:191.35pt;margin-top:21.95pt;width:2.65pt;height:.5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" fillcolor="black" stroked="f">
                <w10:wrap anchorx="page"/>
              </v:rect>
            </w:pict>
          </mc:Fallback>
        </mc:AlternateContent>
      </w:r>
      <w:r w:rsidR="0097612F" w:rsidRPr="000977F7">
        <w:rPr>
          <w:rFonts w:asciiTheme="majorHAnsi" w:hAnsiTheme="majorHAnsi"/>
          <w:sz w:val="20"/>
          <w:szCs w:val="20"/>
        </w:rPr>
        <w:t>Скоординовані дії щодо спрямовування та контролювання</w:t>
      </w:r>
      <w:r w:rsidR="0097612F" w:rsidRPr="000977F7">
        <w:rPr>
          <w:rFonts w:asciiTheme="majorHAnsi" w:hAnsiTheme="majorHAnsi"/>
          <w:spacing w:val="-2"/>
          <w:sz w:val="20"/>
          <w:szCs w:val="20"/>
        </w:rPr>
        <w:t xml:space="preserve"> </w:t>
      </w:r>
      <w:r w:rsidR="0097612F" w:rsidRPr="000977F7">
        <w:rPr>
          <w:rFonts w:asciiTheme="majorHAnsi" w:hAnsiTheme="majorHAnsi"/>
          <w:sz w:val="20"/>
          <w:szCs w:val="20"/>
        </w:rPr>
        <w:t>діяльності організації.</w:t>
      </w:r>
    </w:p>
    <w:p w14:paraId="6EEB392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Управління/керування може охоплювати</w:t>
      </w:r>
      <w:r w:rsidRPr="000977F7">
        <w:rPr>
          <w:rFonts w:asciiTheme="majorHAnsi" w:hAnsiTheme="majorHAnsi"/>
          <w:spacing w:val="1"/>
          <w:sz w:val="20"/>
          <w:szCs w:val="20"/>
        </w:rPr>
        <w:t xml:space="preserve"> </w:t>
      </w:r>
      <w:r w:rsidRPr="000977F7">
        <w:rPr>
          <w:rFonts w:asciiTheme="majorHAnsi" w:hAnsiTheme="majorHAnsi"/>
          <w:sz w:val="20"/>
          <w:szCs w:val="20"/>
        </w:rPr>
        <w:t>формування політик і встановлення цілей</w:t>
      </w:r>
      <w:r w:rsidRPr="000977F7">
        <w:rPr>
          <w:rFonts w:asciiTheme="majorHAnsi" w:hAnsiTheme="majorHAnsi"/>
          <w:spacing w:val="1"/>
          <w:sz w:val="20"/>
          <w:szCs w:val="20"/>
        </w:rPr>
        <w:t xml:space="preserve"> </w:t>
      </w:r>
      <w:r w:rsidRPr="000977F7">
        <w:rPr>
          <w:rFonts w:asciiTheme="majorHAnsi" w:hAnsiTheme="majorHAnsi"/>
          <w:sz w:val="20"/>
          <w:szCs w:val="20"/>
        </w:rPr>
        <w:t>та процесів,</w:t>
      </w:r>
      <w:r w:rsidRPr="000977F7">
        <w:rPr>
          <w:rFonts w:asciiTheme="majorHAnsi" w:hAnsiTheme="majorHAnsi"/>
          <w:spacing w:val="-1"/>
          <w:sz w:val="20"/>
          <w:szCs w:val="20"/>
        </w:rPr>
        <w:t xml:space="preserve"> </w:t>
      </w:r>
      <w:r w:rsidRPr="000977F7">
        <w:rPr>
          <w:rFonts w:asciiTheme="majorHAnsi" w:hAnsiTheme="majorHAnsi"/>
          <w:sz w:val="20"/>
          <w:szCs w:val="20"/>
        </w:rPr>
        <w:t>щоб</w:t>
      </w:r>
      <w:r w:rsidRPr="000977F7">
        <w:rPr>
          <w:rFonts w:asciiTheme="majorHAnsi" w:hAnsiTheme="majorHAnsi"/>
          <w:spacing w:val="-1"/>
          <w:sz w:val="20"/>
          <w:szCs w:val="20"/>
        </w:rPr>
        <w:t xml:space="preserve"> </w:t>
      </w:r>
      <w:r w:rsidRPr="000977F7">
        <w:rPr>
          <w:rFonts w:asciiTheme="majorHAnsi" w:hAnsiTheme="majorHAnsi"/>
          <w:sz w:val="20"/>
          <w:szCs w:val="20"/>
        </w:rPr>
        <w:t>досягати</w:t>
      </w:r>
      <w:r w:rsidRPr="000977F7">
        <w:rPr>
          <w:rFonts w:asciiTheme="majorHAnsi" w:hAnsiTheme="majorHAnsi"/>
          <w:spacing w:val="-1"/>
          <w:sz w:val="20"/>
          <w:szCs w:val="20"/>
        </w:rPr>
        <w:t xml:space="preserve"> </w:t>
      </w:r>
      <w:r w:rsidRPr="000977F7">
        <w:rPr>
          <w:rFonts w:asciiTheme="majorHAnsi" w:hAnsiTheme="majorHAnsi"/>
          <w:sz w:val="20"/>
          <w:szCs w:val="20"/>
        </w:rPr>
        <w:t>цих</w:t>
      </w:r>
      <w:r w:rsidRPr="000977F7">
        <w:rPr>
          <w:rFonts w:asciiTheme="majorHAnsi" w:hAnsiTheme="majorHAnsi"/>
          <w:spacing w:val="-1"/>
          <w:sz w:val="20"/>
          <w:szCs w:val="20"/>
        </w:rPr>
        <w:t xml:space="preserve"> </w:t>
      </w:r>
      <w:r w:rsidRPr="000977F7">
        <w:rPr>
          <w:rFonts w:asciiTheme="majorHAnsi" w:hAnsiTheme="majorHAnsi"/>
          <w:sz w:val="20"/>
          <w:szCs w:val="20"/>
        </w:rPr>
        <w:t>цілей.</w:t>
      </w:r>
    </w:p>
    <w:p w14:paraId="50FBDF6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1"/>
          <w:sz w:val="20"/>
          <w:szCs w:val="20"/>
        </w:rPr>
        <w:t xml:space="preserve"> </w:t>
      </w:r>
      <w:r w:rsidRPr="000977F7">
        <w:rPr>
          <w:rFonts w:asciiTheme="majorHAnsi" w:hAnsiTheme="majorHAnsi"/>
          <w:sz w:val="20"/>
          <w:szCs w:val="20"/>
        </w:rPr>
        <w:t>2.</w:t>
      </w:r>
      <w:r w:rsidRPr="000977F7">
        <w:rPr>
          <w:rFonts w:asciiTheme="majorHAnsi" w:hAnsiTheme="majorHAnsi"/>
          <w:spacing w:val="1"/>
          <w:sz w:val="20"/>
          <w:szCs w:val="20"/>
        </w:rPr>
        <w:t xml:space="preserve"> </w:t>
      </w:r>
      <w:r w:rsidRPr="000977F7">
        <w:rPr>
          <w:rFonts w:asciiTheme="majorHAnsi" w:hAnsiTheme="majorHAnsi"/>
          <w:sz w:val="20"/>
          <w:szCs w:val="20"/>
        </w:rPr>
        <w:t>Слово</w:t>
      </w:r>
      <w:r w:rsidRPr="000977F7">
        <w:rPr>
          <w:rFonts w:asciiTheme="majorHAnsi" w:hAnsiTheme="majorHAnsi"/>
          <w:spacing w:val="1"/>
          <w:sz w:val="20"/>
          <w:szCs w:val="20"/>
        </w:rPr>
        <w:t xml:space="preserve"> </w:t>
      </w:r>
      <w:r w:rsidRPr="000977F7">
        <w:rPr>
          <w:rFonts w:asciiTheme="majorHAnsi" w:hAnsiTheme="majorHAnsi"/>
          <w:sz w:val="20"/>
          <w:szCs w:val="20"/>
        </w:rPr>
        <w:t>"management"</w:t>
      </w:r>
      <w:r w:rsidRPr="000977F7">
        <w:rPr>
          <w:rFonts w:asciiTheme="majorHAnsi" w:hAnsiTheme="majorHAnsi"/>
          <w:spacing w:val="1"/>
          <w:sz w:val="20"/>
          <w:szCs w:val="20"/>
        </w:rPr>
        <w:t xml:space="preserve"> </w:t>
      </w:r>
      <w:r w:rsidRPr="000977F7">
        <w:rPr>
          <w:rFonts w:asciiTheme="majorHAnsi" w:hAnsiTheme="majorHAnsi"/>
          <w:sz w:val="20"/>
          <w:szCs w:val="20"/>
        </w:rPr>
        <w:t>деколи стосується</w:t>
      </w:r>
      <w:r w:rsidRPr="000977F7">
        <w:rPr>
          <w:rFonts w:asciiTheme="majorHAnsi" w:hAnsiTheme="majorHAnsi"/>
          <w:spacing w:val="1"/>
          <w:sz w:val="20"/>
          <w:szCs w:val="20"/>
        </w:rPr>
        <w:t xml:space="preserve"> </w:t>
      </w:r>
      <w:r w:rsidRPr="000977F7">
        <w:rPr>
          <w:rFonts w:asciiTheme="majorHAnsi" w:hAnsiTheme="majorHAnsi"/>
          <w:sz w:val="20"/>
          <w:szCs w:val="20"/>
        </w:rPr>
        <w:t>людей, тобто особи чи групи осіб, яка має повноваження</w:t>
      </w:r>
      <w:r w:rsidRPr="000977F7">
        <w:rPr>
          <w:rFonts w:asciiTheme="majorHAnsi" w:hAnsiTheme="majorHAnsi"/>
          <w:spacing w:val="1"/>
          <w:sz w:val="20"/>
          <w:szCs w:val="20"/>
        </w:rPr>
        <w:t xml:space="preserve"> </w:t>
      </w:r>
      <w:r w:rsidRPr="000977F7">
        <w:rPr>
          <w:rFonts w:asciiTheme="majorHAnsi" w:hAnsiTheme="majorHAnsi"/>
          <w:sz w:val="20"/>
          <w:szCs w:val="20"/>
        </w:rPr>
        <w:t>спрямовувати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контролювати</w:t>
      </w:r>
      <w:r w:rsidRPr="000977F7">
        <w:rPr>
          <w:rFonts w:asciiTheme="majorHAnsi" w:hAnsiTheme="majorHAnsi"/>
          <w:spacing w:val="1"/>
          <w:sz w:val="20"/>
          <w:szCs w:val="20"/>
        </w:rPr>
        <w:t xml:space="preserve"> </w:t>
      </w:r>
      <w:r w:rsidRPr="000977F7">
        <w:rPr>
          <w:rFonts w:asciiTheme="majorHAnsi" w:hAnsiTheme="majorHAnsi"/>
          <w:sz w:val="20"/>
          <w:szCs w:val="20"/>
        </w:rPr>
        <w:t>діяльність</w:t>
      </w:r>
      <w:r w:rsidRPr="000977F7">
        <w:rPr>
          <w:rFonts w:asciiTheme="majorHAnsi" w:hAnsiTheme="majorHAnsi"/>
          <w:b/>
          <w:spacing w:val="1"/>
          <w:sz w:val="20"/>
          <w:szCs w:val="20"/>
        </w:rPr>
        <w:t xml:space="preserve"> </w:t>
      </w:r>
      <w:r w:rsidRPr="000977F7">
        <w:rPr>
          <w:rFonts w:asciiTheme="majorHAnsi" w:hAnsiTheme="majorHAnsi"/>
          <w:sz w:val="20"/>
          <w:szCs w:val="20"/>
        </w:rPr>
        <w:t>організації та відповідає за це. Якщо слово "management" використовують у цьому розумінні, його треба</w:t>
      </w:r>
      <w:r w:rsidRPr="000977F7">
        <w:rPr>
          <w:rFonts w:asciiTheme="majorHAnsi" w:hAnsiTheme="majorHAnsi"/>
          <w:spacing w:val="1"/>
          <w:sz w:val="20"/>
          <w:szCs w:val="20"/>
        </w:rPr>
        <w:t xml:space="preserve"> </w:t>
      </w:r>
      <w:r w:rsidRPr="000977F7">
        <w:rPr>
          <w:rFonts w:asciiTheme="majorHAnsi" w:hAnsiTheme="majorHAnsi"/>
          <w:sz w:val="20"/>
          <w:szCs w:val="20"/>
        </w:rPr>
        <w:t>завжди вживати з певною формою визначника, щоб</w:t>
      </w:r>
      <w:r w:rsidRPr="000977F7">
        <w:rPr>
          <w:rFonts w:asciiTheme="majorHAnsi" w:hAnsiTheme="majorHAnsi"/>
          <w:spacing w:val="1"/>
          <w:sz w:val="20"/>
          <w:szCs w:val="20"/>
        </w:rPr>
        <w:t xml:space="preserve"> </w:t>
      </w:r>
      <w:r w:rsidRPr="000977F7">
        <w:rPr>
          <w:rFonts w:asciiTheme="majorHAnsi" w:hAnsiTheme="majorHAnsi"/>
          <w:sz w:val="20"/>
          <w:szCs w:val="20"/>
        </w:rPr>
        <w:t>уникнути</w:t>
      </w:r>
      <w:r w:rsidRPr="000977F7">
        <w:rPr>
          <w:rFonts w:asciiTheme="majorHAnsi" w:hAnsiTheme="majorHAnsi"/>
          <w:spacing w:val="1"/>
          <w:sz w:val="20"/>
          <w:szCs w:val="20"/>
        </w:rPr>
        <w:t xml:space="preserve"> </w:t>
      </w:r>
      <w:r w:rsidRPr="000977F7">
        <w:rPr>
          <w:rFonts w:asciiTheme="majorHAnsi" w:hAnsiTheme="majorHAnsi"/>
          <w:sz w:val="20"/>
          <w:szCs w:val="20"/>
        </w:rPr>
        <w:t>плутанини</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lastRenderedPageBreak/>
        <w:t>поняттям</w:t>
      </w:r>
      <w:r w:rsidRPr="000977F7">
        <w:rPr>
          <w:rFonts w:asciiTheme="majorHAnsi" w:hAnsiTheme="majorHAnsi"/>
          <w:spacing w:val="1"/>
          <w:sz w:val="20"/>
          <w:szCs w:val="20"/>
        </w:rPr>
        <w:t xml:space="preserve"> </w:t>
      </w:r>
      <w:r w:rsidRPr="000977F7">
        <w:rPr>
          <w:rFonts w:asciiTheme="majorHAnsi" w:hAnsiTheme="majorHAnsi"/>
          <w:sz w:val="20"/>
          <w:szCs w:val="20"/>
        </w:rPr>
        <w:t>"management",</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визначено</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сукупність</w:t>
      </w:r>
      <w:r w:rsidRPr="000977F7">
        <w:rPr>
          <w:rFonts w:asciiTheme="majorHAnsi" w:hAnsiTheme="majorHAnsi"/>
          <w:spacing w:val="1"/>
          <w:sz w:val="20"/>
          <w:szCs w:val="20"/>
        </w:rPr>
        <w:t xml:space="preserve"> </w:t>
      </w:r>
      <w:r w:rsidRPr="000977F7">
        <w:rPr>
          <w:rFonts w:asciiTheme="majorHAnsi" w:hAnsiTheme="majorHAnsi"/>
          <w:sz w:val="20"/>
          <w:szCs w:val="20"/>
        </w:rPr>
        <w:t>дій.</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"management shall" (управління повинне..) недопустимо, тоді, як "top management shall..." (найвище керівництво повинне...) прийнятне. Інакше треба вживати</w:t>
      </w:r>
      <w:r w:rsidRPr="000977F7">
        <w:rPr>
          <w:rFonts w:asciiTheme="majorHAnsi" w:hAnsiTheme="majorHAnsi"/>
          <w:spacing w:val="1"/>
          <w:sz w:val="20"/>
          <w:szCs w:val="20"/>
        </w:rPr>
        <w:t xml:space="preserve"> </w:t>
      </w:r>
      <w:r w:rsidRPr="000977F7">
        <w:rPr>
          <w:rFonts w:asciiTheme="majorHAnsi" w:hAnsiTheme="majorHAnsi"/>
          <w:sz w:val="20"/>
          <w:szCs w:val="20"/>
        </w:rPr>
        <w:t>інші слова для позначення певного поняття, коли воно</w:t>
      </w:r>
      <w:r w:rsidRPr="000977F7">
        <w:rPr>
          <w:rFonts w:asciiTheme="majorHAnsi" w:hAnsiTheme="majorHAnsi"/>
          <w:spacing w:val="-47"/>
          <w:sz w:val="20"/>
          <w:szCs w:val="20"/>
        </w:rPr>
        <w:t xml:space="preserve"> </w:t>
      </w:r>
      <w:r w:rsidRPr="000977F7">
        <w:rPr>
          <w:rFonts w:asciiTheme="majorHAnsi" w:hAnsiTheme="majorHAnsi"/>
          <w:sz w:val="20"/>
          <w:szCs w:val="20"/>
        </w:rPr>
        <w:t>пов'язане з людьми, наприклад, "managerial" (адміністративний</w:t>
      </w:r>
      <w:r w:rsidRPr="000977F7">
        <w:rPr>
          <w:rFonts w:asciiTheme="majorHAnsi" w:hAnsiTheme="majorHAnsi"/>
          <w:spacing w:val="-1"/>
          <w:sz w:val="20"/>
          <w:szCs w:val="20"/>
        </w:rPr>
        <w:t xml:space="preserve"> </w:t>
      </w:r>
      <w:r w:rsidRPr="000977F7">
        <w:rPr>
          <w:rFonts w:asciiTheme="majorHAnsi" w:hAnsiTheme="majorHAnsi"/>
          <w:sz w:val="20"/>
          <w:szCs w:val="20"/>
        </w:rPr>
        <w:t>персонал)</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"managers"</w:t>
      </w:r>
      <w:r w:rsidRPr="000977F7">
        <w:rPr>
          <w:rFonts w:asciiTheme="majorHAnsi" w:hAnsiTheme="majorHAnsi"/>
          <w:spacing w:val="1"/>
          <w:sz w:val="20"/>
          <w:szCs w:val="20"/>
        </w:rPr>
        <w:t xml:space="preserve"> </w:t>
      </w:r>
      <w:r w:rsidRPr="000977F7">
        <w:rPr>
          <w:rFonts w:asciiTheme="majorHAnsi" w:hAnsiTheme="majorHAnsi"/>
          <w:sz w:val="20"/>
          <w:szCs w:val="20"/>
        </w:rPr>
        <w:t>(керівники).</w:t>
      </w:r>
    </w:p>
    <w:p w14:paraId="69B5B38D" w14:textId="480A98C1" w:rsidR="0097612F" w:rsidRPr="000977F7" w:rsidRDefault="002E19DF" w:rsidP="000977F7">
      <w:pPr>
        <w:tabs>
          <w:tab w:val="left" w:pos="284"/>
        </w:tabs>
        <w:spacing w:after="0" w:line="240" w:lineRule="auto"/>
        <w:ind w:left="170"/>
        <w:mirrorIndents/>
        <w:jc w:val="both"/>
        <w:rPr>
          <w:rFonts w:asciiTheme="majorHAnsi" w:hAnsiTheme="majorHAnsi"/>
          <w:i/>
          <w:sz w:val="20"/>
          <w:szCs w:val="20"/>
        </w:rPr>
      </w:pPr>
      <w:r>
        <w:rPr>
          <w:rFonts w:asciiTheme="majorHAnsi" w:hAnsiTheme="majorHAnsi"/>
          <w:noProof/>
          <w:sz w:val="20"/>
          <w:szCs w:val="20"/>
          <w:lang w:eastAsia="ru-RU"/>
        </w:rPr>
        <mc:AlternateContent>
          <mc:Choice Requires="wps">
            <w:drawing>
              <wp:anchor distT="0" distB="0" distL="114300" distR="114300" simplePos="0" relativeHeight="251689984" behindDoc="1" locked="0" layoutInCell="1" allowOverlap="1" wp14:anchorId="3A56B96B" wp14:editId="7B780FFF">
                <wp:simplePos x="0" y="0"/>
                <wp:positionH relativeFrom="page">
                  <wp:posOffset>5717540</wp:posOffset>
                </wp:positionH>
                <wp:positionV relativeFrom="paragraph">
                  <wp:posOffset>-598170</wp:posOffset>
                </wp:positionV>
                <wp:extent cx="48895" cy="6350"/>
                <wp:effectExtent l="0" t="0" r="0" b="0"/>
                <wp:wrapNone/>
                <wp:docPr id="5177" name="Прямоугольник 5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895" cy="6350"/>
                        </a:xfrm>
                        <a:prstGeom prst="rect">
                          <a:avLst/>
                        </a:prstGeom>
                        <a:solidFill>
                          <a:srgbClr val="00000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06A174" id="Прямоугольник 5177" o:spid="_x0000_s1026" style="position:absolute;margin-left:450.2pt;margin-top:-47.1pt;width:3.85pt;height:.5pt;z-index:-251626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" fillcolor="black" stroked="f">
                <w10:wrap anchorx="page"/>
              </v:rect>
            </w:pict>
          </mc:Fallback>
        </mc:AlternateContent>
      </w:r>
      <w:r w:rsidR="0097612F" w:rsidRPr="000977F7">
        <w:rPr>
          <w:rFonts w:asciiTheme="majorHAnsi" w:hAnsiTheme="majorHAnsi"/>
          <w:i/>
          <w:sz w:val="20"/>
          <w:szCs w:val="20"/>
        </w:rPr>
        <w:t>ДСТУ</w:t>
      </w:r>
      <w:r w:rsidR="0097612F" w:rsidRPr="000977F7">
        <w:rPr>
          <w:rFonts w:asciiTheme="majorHAnsi" w:hAnsiTheme="majorHAnsi"/>
          <w:i/>
          <w:spacing w:val="-1"/>
          <w:sz w:val="20"/>
          <w:szCs w:val="20"/>
        </w:rPr>
        <w:t xml:space="preserve"> </w:t>
      </w:r>
      <w:r w:rsidR="0097612F" w:rsidRPr="000977F7">
        <w:rPr>
          <w:rFonts w:asciiTheme="majorHAnsi" w:hAnsiTheme="majorHAnsi"/>
          <w:i/>
          <w:sz w:val="20"/>
          <w:szCs w:val="20"/>
        </w:rPr>
        <w:t>ISO</w:t>
      </w:r>
      <w:r w:rsidR="0097612F" w:rsidRPr="000977F7">
        <w:rPr>
          <w:rFonts w:asciiTheme="majorHAnsi" w:hAnsiTheme="majorHAnsi"/>
          <w:i/>
          <w:spacing w:val="-1"/>
          <w:sz w:val="20"/>
          <w:szCs w:val="20"/>
        </w:rPr>
        <w:t xml:space="preserve"> </w:t>
      </w:r>
      <w:r w:rsidR="0097612F" w:rsidRPr="000977F7">
        <w:rPr>
          <w:rFonts w:asciiTheme="majorHAnsi" w:hAnsiTheme="majorHAnsi"/>
          <w:i/>
          <w:sz w:val="20"/>
          <w:szCs w:val="20"/>
        </w:rPr>
        <w:t>9000</w:t>
      </w:r>
      <w:r w:rsidR="0097612F" w:rsidRPr="000977F7">
        <w:rPr>
          <w:rFonts w:asciiTheme="majorHAnsi" w:hAnsiTheme="majorHAnsi"/>
          <w:i/>
          <w:spacing w:val="-1"/>
          <w:sz w:val="20"/>
          <w:szCs w:val="20"/>
        </w:rPr>
        <w:t xml:space="preserve"> </w:t>
      </w:r>
      <w:r w:rsidR="0097612F" w:rsidRPr="000977F7">
        <w:rPr>
          <w:rFonts w:asciiTheme="majorHAnsi" w:hAnsiTheme="majorHAnsi"/>
          <w:i/>
          <w:sz w:val="20"/>
          <w:szCs w:val="20"/>
        </w:rPr>
        <w:t>– 2015</w:t>
      </w:r>
    </w:p>
    <w:p w14:paraId="7AB6193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УПРАВЛІННЯ</w:t>
      </w:r>
      <w:r w:rsidRPr="000977F7">
        <w:rPr>
          <w:color w:val="auto"/>
          <w:spacing w:val="-5"/>
          <w:sz w:val="20"/>
          <w:szCs w:val="20"/>
        </w:rPr>
        <w:t xml:space="preserve"> </w:t>
      </w:r>
      <w:r w:rsidRPr="000977F7">
        <w:rPr>
          <w:color w:val="auto"/>
          <w:sz w:val="20"/>
          <w:szCs w:val="20"/>
        </w:rPr>
        <w:t>ВАРТІСТЮ</w:t>
      </w:r>
      <w:r w:rsidRPr="000977F7">
        <w:rPr>
          <w:color w:val="auto"/>
          <w:spacing w:val="-5"/>
          <w:sz w:val="20"/>
          <w:szCs w:val="20"/>
        </w:rPr>
        <w:t xml:space="preserve"> </w:t>
      </w:r>
      <w:r w:rsidRPr="000977F7">
        <w:rPr>
          <w:color w:val="auto"/>
          <w:sz w:val="20"/>
          <w:szCs w:val="20"/>
        </w:rPr>
        <w:t>ПРОЕКТУ –</w:t>
      </w:r>
    </w:p>
    <w:p w14:paraId="36F2298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w:t>
      </w:r>
      <w:r w:rsidRPr="000977F7">
        <w:rPr>
          <w:rFonts w:asciiTheme="majorHAnsi" w:hAnsiTheme="majorHAnsi"/>
          <w:spacing w:val="1"/>
          <w:sz w:val="20"/>
          <w:szCs w:val="20"/>
        </w:rPr>
        <w:t xml:space="preserve"> </w:t>
      </w:r>
      <w:r w:rsidRPr="000977F7">
        <w:rPr>
          <w:rFonts w:asciiTheme="majorHAnsi" w:hAnsiTheme="majorHAnsi"/>
          <w:sz w:val="20"/>
          <w:szCs w:val="20"/>
        </w:rPr>
        <w:t>складова</w:t>
      </w:r>
      <w:r w:rsidRPr="000977F7">
        <w:rPr>
          <w:rFonts w:asciiTheme="majorHAnsi" w:hAnsiTheme="majorHAnsi"/>
          <w:spacing w:val="1"/>
          <w:sz w:val="20"/>
          <w:szCs w:val="20"/>
        </w:rPr>
        <w:t xml:space="preserve"> </w:t>
      </w:r>
      <w:r w:rsidRPr="000977F7">
        <w:rPr>
          <w:rFonts w:asciiTheme="majorHAnsi" w:hAnsiTheme="majorHAnsi"/>
          <w:sz w:val="20"/>
          <w:szCs w:val="20"/>
        </w:rPr>
        <w:t>проектного</w:t>
      </w:r>
      <w:r w:rsidRPr="000977F7">
        <w:rPr>
          <w:rFonts w:asciiTheme="majorHAnsi" w:hAnsiTheme="majorHAnsi"/>
          <w:spacing w:val="1"/>
          <w:sz w:val="20"/>
          <w:szCs w:val="20"/>
        </w:rPr>
        <w:t xml:space="preserve"> </w:t>
      </w:r>
      <w:r w:rsidRPr="000977F7">
        <w:rPr>
          <w:rFonts w:asciiTheme="majorHAnsi" w:hAnsiTheme="majorHAnsi"/>
          <w:sz w:val="20"/>
          <w:szCs w:val="20"/>
        </w:rPr>
        <w:t>менеджменту,</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оперує</w:t>
      </w:r>
      <w:r w:rsidRPr="000977F7">
        <w:rPr>
          <w:rFonts w:asciiTheme="majorHAnsi" w:hAnsiTheme="majorHAnsi"/>
          <w:spacing w:val="1"/>
          <w:sz w:val="20"/>
          <w:szCs w:val="20"/>
        </w:rPr>
        <w:t xml:space="preserve"> </w:t>
      </w:r>
      <w:r w:rsidRPr="000977F7">
        <w:rPr>
          <w:rFonts w:asciiTheme="majorHAnsi" w:hAnsiTheme="majorHAnsi"/>
          <w:sz w:val="20"/>
          <w:szCs w:val="20"/>
        </w:rPr>
        <w:t>процесами, необхідними для забезпечення того, щоб</w:t>
      </w:r>
      <w:r w:rsidRPr="000977F7">
        <w:rPr>
          <w:rFonts w:asciiTheme="majorHAnsi" w:hAnsiTheme="majorHAnsi"/>
          <w:spacing w:val="1"/>
          <w:sz w:val="20"/>
          <w:szCs w:val="20"/>
        </w:rPr>
        <w:t xml:space="preserve"> </w:t>
      </w:r>
      <w:r w:rsidRPr="000977F7">
        <w:rPr>
          <w:rFonts w:asciiTheme="majorHAnsi" w:hAnsiTheme="majorHAnsi"/>
          <w:sz w:val="20"/>
          <w:szCs w:val="20"/>
        </w:rPr>
        <w:t>проект не вийшов з рамок прийнятого бюджету. Вона</w:t>
      </w:r>
      <w:r w:rsidRPr="000977F7">
        <w:rPr>
          <w:rFonts w:asciiTheme="majorHAnsi" w:hAnsiTheme="majorHAnsi"/>
          <w:spacing w:val="1"/>
          <w:sz w:val="20"/>
          <w:szCs w:val="20"/>
        </w:rPr>
        <w:t xml:space="preserve"> </w:t>
      </w:r>
      <w:r w:rsidRPr="000977F7">
        <w:rPr>
          <w:rFonts w:asciiTheme="majorHAnsi" w:hAnsiTheme="majorHAnsi"/>
          <w:sz w:val="20"/>
          <w:szCs w:val="20"/>
        </w:rPr>
        <w:t>має такі</w:t>
      </w:r>
      <w:r w:rsidRPr="000977F7">
        <w:rPr>
          <w:rFonts w:asciiTheme="majorHAnsi" w:hAnsiTheme="majorHAnsi"/>
          <w:spacing w:val="-1"/>
          <w:sz w:val="20"/>
          <w:szCs w:val="20"/>
        </w:rPr>
        <w:t xml:space="preserve"> </w:t>
      </w:r>
      <w:r w:rsidRPr="000977F7">
        <w:rPr>
          <w:rFonts w:asciiTheme="majorHAnsi" w:hAnsiTheme="majorHAnsi"/>
          <w:sz w:val="20"/>
          <w:szCs w:val="20"/>
        </w:rPr>
        <w:t>компоненти:</w:t>
      </w:r>
    </w:p>
    <w:p w14:paraId="032FCBBB"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Планування ресурсів – визначення того, які ресурси (людські ресурси, обладнання, матеріали) і в</w:t>
      </w:r>
      <w:r w:rsidRPr="000977F7">
        <w:rPr>
          <w:rFonts w:asciiTheme="majorHAnsi" w:hAnsiTheme="majorHAnsi"/>
          <w:spacing w:val="1"/>
          <w:sz w:val="20"/>
          <w:szCs w:val="20"/>
        </w:rPr>
        <w:t xml:space="preserve"> </w:t>
      </w:r>
      <w:r w:rsidRPr="000977F7">
        <w:rPr>
          <w:rFonts w:asciiTheme="majorHAnsi" w:hAnsiTheme="majorHAnsi"/>
          <w:sz w:val="20"/>
          <w:szCs w:val="20"/>
        </w:rPr>
        <w:t>яких кількостях мають бути задіяні для виконання</w:t>
      </w:r>
      <w:r w:rsidRPr="000977F7">
        <w:rPr>
          <w:rFonts w:asciiTheme="majorHAnsi" w:hAnsiTheme="majorHAnsi"/>
          <w:spacing w:val="-47"/>
          <w:sz w:val="20"/>
          <w:szCs w:val="20"/>
        </w:rPr>
        <w:t xml:space="preserve"> </w:t>
      </w:r>
      <w:r w:rsidRPr="000977F7">
        <w:rPr>
          <w:rFonts w:asciiTheme="majorHAnsi" w:hAnsiTheme="majorHAnsi"/>
          <w:sz w:val="20"/>
          <w:szCs w:val="20"/>
        </w:rPr>
        <w:t>робіт</w:t>
      </w:r>
      <w:r w:rsidRPr="000977F7">
        <w:rPr>
          <w:rFonts w:asciiTheme="majorHAnsi" w:hAnsiTheme="majorHAnsi"/>
          <w:spacing w:val="-2"/>
          <w:sz w:val="20"/>
          <w:szCs w:val="20"/>
        </w:rPr>
        <w:t xml:space="preserve"> </w:t>
      </w:r>
      <w:r w:rsidRPr="000977F7">
        <w:rPr>
          <w:rFonts w:asciiTheme="majorHAnsi" w:hAnsiTheme="majorHAnsi"/>
          <w:sz w:val="20"/>
          <w:szCs w:val="20"/>
        </w:rPr>
        <w:t>проекту.</w:t>
      </w:r>
    </w:p>
    <w:p w14:paraId="5BA77470"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pacing w:val="-5"/>
          <w:sz w:val="20"/>
          <w:szCs w:val="20"/>
        </w:rPr>
        <w:t xml:space="preserve">Оцінка вартості – розробка </w:t>
      </w:r>
      <w:r w:rsidRPr="000977F7">
        <w:rPr>
          <w:rFonts w:asciiTheme="majorHAnsi" w:hAnsiTheme="majorHAnsi"/>
          <w:spacing w:val="-4"/>
          <w:sz w:val="20"/>
          <w:szCs w:val="20"/>
        </w:rPr>
        <w:t>приблизної оцінки варто</w:t>
      </w:r>
      <w:r w:rsidRPr="000977F7">
        <w:rPr>
          <w:rFonts w:asciiTheme="majorHAnsi" w:hAnsiTheme="majorHAnsi"/>
          <w:spacing w:val="-6"/>
          <w:sz w:val="20"/>
          <w:szCs w:val="20"/>
        </w:rPr>
        <w:t>сті</w:t>
      </w:r>
      <w:r w:rsidRPr="000977F7">
        <w:rPr>
          <w:rFonts w:asciiTheme="majorHAnsi" w:hAnsiTheme="majorHAnsi"/>
          <w:spacing w:val="-11"/>
          <w:sz w:val="20"/>
          <w:szCs w:val="20"/>
        </w:rPr>
        <w:t xml:space="preserve"> </w:t>
      </w:r>
      <w:r w:rsidRPr="000977F7">
        <w:rPr>
          <w:rFonts w:asciiTheme="majorHAnsi" w:hAnsiTheme="majorHAnsi"/>
          <w:spacing w:val="-6"/>
          <w:sz w:val="20"/>
          <w:szCs w:val="20"/>
        </w:rPr>
        <w:t>ресурсів,</w:t>
      </w:r>
      <w:r w:rsidRPr="000977F7">
        <w:rPr>
          <w:rFonts w:asciiTheme="majorHAnsi" w:hAnsiTheme="majorHAnsi"/>
          <w:spacing w:val="-8"/>
          <w:sz w:val="20"/>
          <w:szCs w:val="20"/>
        </w:rPr>
        <w:t xml:space="preserve"> </w:t>
      </w:r>
      <w:r w:rsidRPr="000977F7">
        <w:rPr>
          <w:rFonts w:asciiTheme="majorHAnsi" w:hAnsiTheme="majorHAnsi"/>
          <w:spacing w:val="-6"/>
          <w:sz w:val="20"/>
          <w:szCs w:val="20"/>
        </w:rPr>
        <w:t>необхідних</w:t>
      </w:r>
      <w:r w:rsidRPr="000977F7">
        <w:rPr>
          <w:rFonts w:asciiTheme="majorHAnsi" w:hAnsiTheme="majorHAnsi"/>
          <w:spacing w:val="-10"/>
          <w:sz w:val="20"/>
          <w:szCs w:val="20"/>
        </w:rPr>
        <w:t xml:space="preserve"> </w:t>
      </w:r>
      <w:r w:rsidRPr="000977F7">
        <w:rPr>
          <w:rFonts w:asciiTheme="majorHAnsi" w:hAnsiTheme="majorHAnsi"/>
          <w:spacing w:val="-6"/>
          <w:sz w:val="20"/>
          <w:szCs w:val="20"/>
        </w:rPr>
        <w:t>для</w:t>
      </w:r>
      <w:r w:rsidRPr="000977F7">
        <w:rPr>
          <w:rFonts w:asciiTheme="majorHAnsi" w:hAnsiTheme="majorHAnsi"/>
          <w:spacing w:val="-9"/>
          <w:sz w:val="20"/>
          <w:szCs w:val="20"/>
        </w:rPr>
        <w:t xml:space="preserve"> </w:t>
      </w:r>
      <w:r w:rsidRPr="000977F7">
        <w:rPr>
          <w:rFonts w:asciiTheme="majorHAnsi" w:hAnsiTheme="majorHAnsi"/>
          <w:spacing w:val="-6"/>
          <w:sz w:val="20"/>
          <w:szCs w:val="20"/>
        </w:rPr>
        <w:t>виконання</w:t>
      </w:r>
      <w:r w:rsidRPr="000977F7">
        <w:rPr>
          <w:rFonts w:asciiTheme="majorHAnsi" w:hAnsiTheme="majorHAnsi"/>
          <w:spacing w:val="-14"/>
          <w:sz w:val="20"/>
          <w:szCs w:val="20"/>
        </w:rPr>
        <w:t xml:space="preserve"> </w:t>
      </w:r>
      <w:r w:rsidRPr="000977F7">
        <w:rPr>
          <w:rFonts w:asciiTheme="majorHAnsi" w:hAnsiTheme="majorHAnsi"/>
          <w:spacing w:val="-5"/>
          <w:sz w:val="20"/>
          <w:szCs w:val="20"/>
        </w:rPr>
        <w:t>робіт</w:t>
      </w:r>
      <w:r w:rsidRPr="000977F7">
        <w:rPr>
          <w:rFonts w:asciiTheme="majorHAnsi" w:hAnsiTheme="majorHAnsi"/>
          <w:spacing w:val="-12"/>
          <w:sz w:val="20"/>
          <w:szCs w:val="20"/>
        </w:rPr>
        <w:t xml:space="preserve"> </w:t>
      </w:r>
      <w:r w:rsidRPr="000977F7">
        <w:rPr>
          <w:rFonts w:asciiTheme="majorHAnsi" w:hAnsiTheme="majorHAnsi"/>
          <w:spacing w:val="-5"/>
          <w:sz w:val="20"/>
          <w:szCs w:val="20"/>
        </w:rPr>
        <w:t>проекту.</w:t>
      </w:r>
    </w:p>
    <w:p w14:paraId="422ACCAC"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Визначення бюджету – складання кошторису по</w:t>
      </w:r>
      <w:r w:rsidRPr="000977F7">
        <w:rPr>
          <w:rFonts w:asciiTheme="majorHAnsi" w:hAnsiTheme="majorHAnsi"/>
          <w:spacing w:val="1"/>
          <w:sz w:val="20"/>
          <w:szCs w:val="20"/>
        </w:rPr>
        <w:t xml:space="preserve"> </w:t>
      </w:r>
      <w:r w:rsidRPr="000977F7">
        <w:rPr>
          <w:rFonts w:asciiTheme="majorHAnsi" w:hAnsiTheme="majorHAnsi"/>
          <w:sz w:val="20"/>
          <w:szCs w:val="20"/>
        </w:rPr>
        <w:t>кожній</w:t>
      </w:r>
      <w:r w:rsidRPr="000977F7">
        <w:rPr>
          <w:rFonts w:asciiTheme="majorHAnsi" w:hAnsiTheme="majorHAnsi"/>
          <w:spacing w:val="-2"/>
          <w:sz w:val="20"/>
          <w:szCs w:val="20"/>
        </w:rPr>
        <w:t xml:space="preserve"> </w:t>
      </w:r>
      <w:r w:rsidRPr="000977F7">
        <w:rPr>
          <w:rFonts w:asciiTheme="majorHAnsi" w:hAnsiTheme="majorHAnsi"/>
          <w:sz w:val="20"/>
          <w:szCs w:val="20"/>
        </w:rPr>
        <w:t>роботі</w:t>
      </w:r>
      <w:r w:rsidRPr="000977F7">
        <w:rPr>
          <w:rFonts w:asciiTheme="majorHAnsi" w:hAnsiTheme="majorHAnsi"/>
          <w:spacing w:val="-1"/>
          <w:sz w:val="20"/>
          <w:szCs w:val="20"/>
        </w:rPr>
        <w:t xml:space="preserve"> </w:t>
      </w:r>
      <w:r w:rsidRPr="000977F7">
        <w:rPr>
          <w:rFonts w:asciiTheme="majorHAnsi" w:hAnsiTheme="majorHAnsi"/>
          <w:sz w:val="20"/>
          <w:szCs w:val="20"/>
        </w:rPr>
        <w:t>проекту.</w:t>
      </w:r>
    </w:p>
    <w:p w14:paraId="7EFAC71C"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Контроль вартості – контроль за змінами в бюджеті</w:t>
      </w:r>
      <w:r w:rsidRPr="000977F7">
        <w:rPr>
          <w:rFonts w:asciiTheme="majorHAnsi" w:hAnsiTheme="majorHAnsi"/>
          <w:spacing w:val="-2"/>
          <w:sz w:val="20"/>
          <w:szCs w:val="20"/>
        </w:rPr>
        <w:t xml:space="preserve"> </w:t>
      </w:r>
      <w:r w:rsidRPr="000977F7">
        <w:rPr>
          <w:rFonts w:asciiTheme="majorHAnsi" w:hAnsiTheme="majorHAnsi"/>
          <w:sz w:val="20"/>
          <w:szCs w:val="20"/>
        </w:rPr>
        <w:t>проекту</w:t>
      </w:r>
    </w:p>
    <w:p w14:paraId="75B57B3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
          <w:w w:val="99"/>
          <w:sz w:val="20"/>
          <w:szCs w:val="20"/>
        </w:rPr>
        <w:t>Ке</w:t>
      </w:r>
      <w:r w:rsidRPr="000977F7">
        <w:rPr>
          <w:rFonts w:asciiTheme="majorHAnsi" w:hAnsiTheme="majorHAnsi"/>
          <w:i/>
          <w:w w:val="99"/>
          <w:sz w:val="20"/>
          <w:szCs w:val="20"/>
        </w:rPr>
        <w:t>р.</w:t>
      </w:r>
      <w:r w:rsidRPr="000977F7">
        <w:rPr>
          <w:rFonts w:asciiTheme="majorHAnsi" w:hAnsiTheme="majorHAnsi"/>
          <w:i/>
          <w:sz w:val="20"/>
          <w:szCs w:val="20"/>
        </w:rPr>
        <w:t xml:space="preserve"> </w:t>
      </w:r>
      <w:r w:rsidRPr="000977F7">
        <w:rPr>
          <w:rFonts w:asciiTheme="majorHAnsi" w:hAnsiTheme="majorHAnsi"/>
          <w:i/>
          <w:spacing w:val="1"/>
          <w:w w:val="99"/>
          <w:sz w:val="20"/>
          <w:szCs w:val="20"/>
        </w:rPr>
        <w:t>про</w:t>
      </w:r>
      <w:r w:rsidRPr="000977F7">
        <w:rPr>
          <w:rFonts w:asciiTheme="majorHAnsi" w:hAnsiTheme="majorHAnsi"/>
          <w:i/>
          <w:w w:val="99"/>
          <w:sz w:val="20"/>
          <w:szCs w:val="20"/>
        </w:rPr>
        <w:t>ек</w:t>
      </w:r>
      <w:r w:rsidRPr="000977F7">
        <w:rPr>
          <w:rFonts w:asciiTheme="majorHAnsi" w:hAnsiTheme="majorHAnsi"/>
          <w:i/>
          <w:spacing w:val="-1"/>
          <w:w w:val="99"/>
          <w:sz w:val="20"/>
          <w:szCs w:val="20"/>
        </w:rPr>
        <w:t>тн</w:t>
      </w:r>
      <w:r w:rsidRPr="000977F7">
        <w:rPr>
          <w:rFonts w:asciiTheme="majorHAnsi" w:hAnsiTheme="majorHAnsi"/>
          <w:i/>
          <w:w w:val="99"/>
          <w:sz w:val="20"/>
          <w:szCs w:val="20"/>
        </w:rPr>
        <w:t>.</w:t>
      </w:r>
      <w:r w:rsidRPr="000977F7">
        <w:rPr>
          <w:rFonts w:asciiTheme="majorHAnsi" w:hAnsiTheme="majorHAnsi"/>
          <w:i/>
          <w:sz w:val="20"/>
          <w:szCs w:val="20"/>
        </w:rPr>
        <w:t xml:space="preserve"> </w:t>
      </w:r>
      <w:r w:rsidRPr="000977F7">
        <w:rPr>
          <w:rFonts w:asciiTheme="majorHAnsi" w:hAnsiTheme="majorHAnsi"/>
          <w:i/>
          <w:spacing w:val="-1"/>
          <w:w w:val="99"/>
          <w:sz w:val="20"/>
          <w:szCs w:val="20"/>
        </w:rPr>
        <w:t>менеджм</w:t>
      </w:r>
      <w:r w:rsidRPr="000977F7">
        <w:rPr>
          <w:rFonts w:asciiTheme="majorHAnsi" w:hAnsiTheme="majorHAnsi"/>
          <w:i/>
          <w:spacing w:val="3"/>
          <w:w w:val="99"/>
          <w:sz w:val="20"/>
          <w:szCs w:val="20"/>
        </w:rPr>
        <w:t>.</w:t>
      </w:r>
      <w:r w:rsidRPr="000977F7">
        <w:rPr>
          <w:rFonts w:asciiTheme="majorHAnsi" w:hAnsiTheme="majorHAnsi"/>
          <w:i/>
          <w:w w:val="99"/>
          <w:sz w:val="20"/>
          <w:szCs w:val="20"/>
        </w:rPr>
        <w:t>-</w:t>
      </w:r>
      <w:r w:rsidRPr="000977F7">
        <w:rPr>
          <w:rFonts w:asciiTheme="majorHAnsi" w:hAnsiTheme="majorHAnsi"/>
          <w:i/>
          <w:spacing w:val="2"/>
          <w:w w:val="99"/>
          <w:sz w:val="20"/>
          <w:szCs w:val="20"/>
        </w:rPr>
        <w:t>т</w:t>
      </w:r>
      <w:r w:rsidRPr="000977F7">
        <w:rPr>
          <w:rFonts w:asciiTheme="majorHAnsi" w:hAnsiTheme="majorHAnsi"/>
          <w:i/>
          <w:w w:val="137"/>
          <w:sz w:val="20"/>
          <w:szCs w:val="20"/>
        </w:rPr>
        <w:t>у‖</w:t>
      </w:r>
    </w:p>
    <w:p w14:paraId="4E44417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УПРАВЛІННЯ</w:t>
      </w:r>
      <w:r w:rsidRPr="000977F7">
        <w:rPr>
          <w:color w:val="auto"/>
          <w:spacing w:val="37"/>
          <w:sz w:val="20"/>
          <w:szCs w:val="20"/>
        </w:rPr>
        <w:t xml:space="preserve"> </w:t>
      </w:r>
      <w:r w:rsidRPr="000977F7">
        <w:rPr>
          <w:color w:val="auto"/>
          <w:sz w:val="20"/>
          <w:szCs w:val="20"/>
        </w:rPr>
        <w:t>В</w:t>
      </w:r>
      <w:r w:rsidRPr="000977F7">
        <w:rPr>
          <w:color w:val="auto"/>
          <w:spacing w:val="38"/>
          <w:sz w:val="20"/>
          <w:szCs w:val="20"/>
        </w:rPr>
        <w:t xml:space="preserve"> </w:t>
      </w:r>
      <w:r w:rsidRPr="000977F7">
        <w:rPr>
          <w:color w:val="auto"/>
          <w:sz w:val="20"/>
          <w:szCs w:val="20"/>
        </w:rPr>
        <w:t>ГАЛУЗІ</w:t>
      </w:r>
      <w:r w:rsidRPr="000977F7">
        <w:rPr>
          <w:color w:val="auto"/>
          <w:spacing w:val="39"/>
          <w:sz w:val="20"/>
          <w:szCs w:val="20"/>
        </w:rPr>
        <w:t xml:space="preserve"> </w:t>
      </w:r>
      <w:r w:rsidRPr="000977F7">
        <w:rPr>
          <w:color w:val="auto"/>
          <w:sz w:val="20"/>
          <w:szCs w:val="20"/>
        </w:rPr>
        <w:t>ОХОРОНИ</w:t>
      </w:r>
      <w:r w:rsidRPr="000977F7">
        <w:rPr>
          <w:color w:val="auto"/>
          <w:spacing w:val="39"/>
          <w:sz w:val="20"/>
          <w:szCs w:val="20"/>
        </w:rPr>
        <w:t xml:space="preserve"> </w:t>
      </w:r>
      <w:r w:rsidRPr="000977F7">
        <w:rPr>
          <w:color w:val="auto"/>
          <w:sz w:val="20"/>
          <w:szCs w:val="20"/>
        </w:rPr>
        <w:t>НАВКОЛИШНЬОГО</w:t>
      </w:r>
      <w:r w:rsidRPr="000977F7">
        <w:rPr>
          <w:color w:val="auto"/>
          <w:spacing w:val="-2"/>
          <w:sz w:val="20"/>
          <w:szCs w:val="20"/>
        </w:rPr>
        <w:t xml:space="preserve"> </w:t>
      </w:r>
      <w:r w:rsidRPr="000977F7">
        <w:rPr>
          <w:color w:val="auto"/>
          <w:sz w:val="20"/>
          <w:szCs w:val="20"/>
        </w:rPr>
        <w:t>ПРИРОДНОГО</w:t>
      </w:r>
      <w:r w:rsidRPr="000977F7">
        <w:rPr>
          <w:color w:val="auto"/>
          <w:spacing w:val="-2"/>
          <w:sz w:val="20"/>
          <w:szCs w:val="20"/>
        </w:rPr>
        <w:t xml:space="preserve"> </w:t>
      </w:r>
      <w:r w:rsidRPr="000977F7">
        <w:rPr>
          <w:color w:val="auto"/>
          <w:sz w:val="20"/>
          <w:szCs w:val="20"/>
        </w:rPr>
        <w:t>СЕРЕДОВИЩА</w:t>
      </w:r>
      <w:r w:rsidRPr="000977F7">
        <w:rPr>
          <w:color w:val="auto"/>
          <w:spacing w:val="1"/>
          <w:sz w:val="20"/>
          <w:szCs w:val="20"/>
        </w:rPr>
        <w:t xml:space="preserve"> </w:t>
      </w:r>
      <w:r w:rsidRPr="000977F7">
        <w:rPr>
          <w:color w:val="auto"/>
          <w:sz w:val="20"/>
          <w:szCs w:val="20"/>
        </w:rPr>
        <w:t>–</w:t>
      </w:r>
    </w:p>
    <w:p w14:paraId="2B8F9E3D"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r w:rsidRPr="000977F7">
        <w:rPr>
          <w:rFonts w:asciiTheme="majorHAnsi" w:hAnsiTheme="majorHAnsi"/>
          <w:sz w:val="20"/>
          <w:szCs w:val="20"/>
          <w:lang w:val="uk-UA"/>
        </w:rPr>
        <w:t>Управління охороною навколишнього природного середовища полягає у здійсненні в цій галузі функцій спостереження, дослідження, стратегічної екологічної оцінки, оцінки впливу на довкілля, контролю, прогнозування, програмування, інформування та іншої виконавчо-розпорядчої діяльності.</w:t>
      </w:r>
    </w:p>
    <w:p w14:paraId="3FB64C3F"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r w:rsidRPr="000977F7">
        <w:rPr>
          <w:rFonts w:asciiTheme="majorHAnsi" w:hAnsiTheme="majorHAnsi"/>
          <w:sz w:val="20"/>
          <w:szCs w:val="20"/>
          <w:lang w:val="uk-UA"/>
        </w:rPr>
        <w:t>Державне управління в галузі охорони навколишнього природного середовища здійснюють Кабінет Міністрів України, Рада міністрів Автономної Республіки Крим, місцеві ради та виконавчі органи сільських, селищних, міських рад, державні органи по охороні навколишнього природного середовища і використанню природних ресурсів та інші державні органи відповідно до законодавства України.</w:t>
      </w:r>
    </w:p>
    <w:p w14:paraId="4F97EEAB"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bookmarkStart w:id="300" w:name="n167"/>
      <w:bookmarkEnd w:id="300"/>
      <w:r w:rsidRPr="000977F7">
        <w:rPr>
          <w:rFonts w:asciiTheme="majorHAnsi" w:hAnsiTheme="majorHAnsi"/>
          <w:sz w:val="20"/>
          <w:szCs w:val="20"/>
          <w:lang w:val="uk-UA"/>
        </w:rPr>
        <w:t>Державними органами управління в галузі охорони навколишнього природного середовища і використання природних ресурсів є центральний орган виконавчої влади, що забезпечує формування державної політики у сфері охорони навколишнього природного середовища, центральний орган виконавчої влади, що реалізує державну політику у сфері охорони навколишнього природного середовища, обласні, Київська та Севастопольська міські державні адміністрації, а на території Автономної Республіки Крим орган виконавчої влади Автономної Республіки Крим з питань охорони навколишнього природного середовища та інші державні органи, до компетенції яких законами України віднесено здійснення зазначених функцій.</w:t>
      </w:r>
    </w:p>
    <w:p w14:paraId="12ABF189"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bookmarkStart w:id="301" w:name="n169"/>
      <w:bookmarkEnd w:id="301"/>
      <w:r w:rsidRPr="000977F7">
        <w:rPr>
          <w:rFonts w:asciiTheme="majorHAnsi" w:hAnsiTheme="majorHAnsi"/>
          <w:sz w:val="20"/>
          <w:szCs w:val="20"/>
          <w:lang w:val="uk-UA"/>
        </w:rPr>
        <w:t xml:space="preserve">Громадські організації можуть брати участь в управлінні галуззю охорони навколишнього </w:t>
      </w:r>
      <w:r w:rsidRPr="000977F7">
        <w:rPr>
          <w:rFonts w:asciiTheme="majorHAnsi" w:hAnsiTheme="majorHAnsi"/>
          <w:sz w:val="20"/>
          <w:szCs w:val="20"/>
          <w:lang w:val="uk-UA"/>
        </w:rPr>
        <w:t>природного середовища, якщо така діяльність передбачена їх статутами, зареєстрованими відповідно до законодавства України.</w:t>
      </w:r>
    </w:p>
    <w:p w14:paraId="695DDF52" w14:textId="77777777" w:rsidR="0097612F" w:rsidRPr="000977F7" w:rsidRDefault="0097612F" w:rsidP="000977F7">
      <w:pPr>
        <w:pStyle w:val="rvps2"/>
        <w:shd w:val="clear" w:color="auto" w:fill="FFFFFF"/>
        <w:tabs>
          <w:tab w:val="left" w:pos="284"/>
        </w:tabs>
        <w:spacing w:before="0" w:beforeAutospacing="0" w:after="0" w:afterAutospacing="0"/>
        <w:ind w:left="170"/>
        <w:mirrorIndents/>
        <w:jc w:val="both"/>
        <w:rPr>
          <w:rFonts w:asciiTheme="majorHAnsi" w:hAnsiTheme="majorHAnsi"/>
          <w:sz w:val="20"/>
          <w:szCs w:val="20"/>
          <w:lang w:val="uk-UA"/>
        </w:rPr>
      </w:pPr>
      <w:bookmarkStart w:id="302" w:name="n171"/>
      <w:bookmarkEnd w:id="302"/>
      <w:r w:rsidRPr="000977F7">
        <w:rPr>
          <w:rFonts w:asciiTheme="majorHAnsi" w:hAnsiTheme="majorHAnsi"/>
          <w:sz w:val="20"/>
          <w:szCs w:val="20"/>
          <w:lang w:val="uk-UA"/>
        </w:rPr>
        <w:t>Метою управління в галузі охорони навколишнього природного середовища є реалізація законодавства, контроль за додержанням вимог екологічної безпеки, забезпечення проведення ефективних і комплексних заходів щодо охорони навколишнього природного середовища, раціонального використання природних ресурсів, досягнення узгодженості дій державних і громадських органів у галузі охорони навколишнього природного середовища.</w:t>
      </w:r>
    </w:p>
    <w:p w14:paraId="514D42B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16 закону України "Про охорону навколишнього природного середовища"</w:t>
      </w:r>
    </w:p>
    <w:p w14:paraId="1C05AFA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УПРАВЛІННЯ</w:t>
      </w:r>
      <w:r w:rsidRPr="000977F7">
        <w:rPr>
          <w:color w:val="auto"/>
          <w:spacing w:val="-5"/>
          <w:sz w:val="20"/>
          <w:szCs w:val="20"/>
        </w:rPr>
        <w:t xml:space="preserve"> </w:t>
      </w:r>
      <w:r w:rsidRPr="000977F7">
        <w:rPr>
          <w:color w:val="auto"/>
          <w:sz w:val="20"/>
          <w:szCs w:val="20"/>
        </w:rPr>
        <w:t>ВЕРСТАТОМ</w:t>
      </w:r>
      <w:r w:rsidRPr="000977F7">
        <w:rPr>
          <w:color w:val="auto"/>
          <w:spacing w:val="1"/>
          <w:sz w:val="20"/>
          <w:szCs w:val="20"/>
        </w:rPr>
        <w:t xml:space="preserve"> </w:t>
      </w:r>
      <w:r w:rsidRPr="000977F7">
        <w:rPr>
          <w:color w:val="auto"/>
          <w:sz w:val="20"/>
          <w:szCs w:val="20"/>
        </w:rPr>
        <w:t>–</w:t>
      </w:r>
    </w:p>
    <w:p w14:paraId="2130DB49" w14:textId="77777777" w:rsidR="0097612F" w:rsidRPr="000977F7" w:rsidRDefault="0097612F" w:rsidP="000977F7">
      <w:pPr>
        <w:pStyle w:val="ac"/>
        <w:tabs>
          <w:tab w:val="left" w:pos="284"/>
          <w:tab w:val="left" w:pos="801"/>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адаптивне – система управління, яка забезпечує</w:t>
      </w:r>
      <w:r w:rsidRPr="000977F7">
        <w:rPr>
          <w:rFonts w:asciiTheme="majorHAnsi" w:hAnsiTheme="majorHAnsi"/>
          <w:spacing w:val="1"/>
          <w:sz w:val="20"/>
          <w:szCs w:val="20"/>
        </w:rPr>
        <w:t xml:space="preserve"> </w:t>
      </w:r>
      <w:r w:rsidRPr="000977F7">
        <w:rPr>
          <w:rFonts w:asciiTheme="majorHAnsi" w:hAnsiTheme="majorHAnsi"/>
          <w:sz w:val="20"/>
          <w:szCs w:val="20"/>
        </w:rPr>
        <w:t>автоматичну пристосованість функціонування верстата до змінюючихся умов обробки за визначеними</w:t>
      </w:r>
      <w:r w:rsidRPr="000977F7">
        <w:rPr>
          <w:rFonts w:asciiTheme="majorHAnsi" w:hAnsiTheme="majorHAnsi"/>
          <w:spacing w:val="1"/>
          <w:sz w:val="20"/>
          <w:szCs w:val="20"/>
        </w:rPr>
        <w:t xml:space="preserve"> </w:t>
      </w:r>
      <w:r w:rsidRPr="000977F7">
        <w:rPr>
          <w:rFonts w:asciiTheme="majorHAnsi" w:hAnsiTheme="majorHAnsi"/>
          <w:sz w:val="20"/>
          <w:szCs w:val="20"/>
        </w:rPr>
        <w:t>критеріями;</w:t>
      </w:r>
    </w:p>
    <w:p w14:paraId="6A5940C8" w14:textId="77777777" w:rsidR="0097612F" w:rsidRPr="000977F7" w:rsidRDefault="0097612F" w:rsidP="000977F7">
      <w:pPr>
        <w:pStyle w:val="ac"/>
        <w:tabs>
          <w:tab w:val="left" w:pos="284"/>
          <w:tab w:val="left" w:pos="801"/>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контурне</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безперервного</w:t>
      </w:r>
      <w:r w:rsidRPr="000977F7">
        <w:rPr>
          <w:rFonts w:asciiTheme="majorHAnsi" w:hAnsiTheme="majorHAnsi"/>
          <w:spacing w:val="1"/>
          <w:sz w:val="20"/>
          <w:szCs w:val="20"/>
        </w:rPr>
        <w:t xml:space="preserve"> </w:t>
      </w:r>
      <w:r w:rsidRPr="000977F7">
        <w:rPr>
          <w:rFonts w:asciiTheme="majorHAnsi" w:hAnsiTheme="majorHAnsi"/>
          <w:sz w:val="20"/>
          <w:szCs w:val="20"/>
        </w:rPr>
        <w:t>програмного</w:t>
      </w:r>
      <w:r w:rsidRPr="000977F7">
        <w:rPr>
          <w:rFonts w:asciiTheme="majorHAnsi" w:hAnsiTheme="majorHAnsi"/>
          <w:spacing w:val="-47"/>
          <w:sz w:val="20"/>
          <w:szCs w:val="20"/>
        </w:rPr>
        <w:t xml:space="preserve"> </w:t>
      </w:r>
      <w:r w:rsidRPr="000977F7">
        <w:rPr>
          <w:rFonts w:asciiTheme="majorHAnsi" w:hAnsiTheme="majorHAnsi"/>
          <w:sz w:val="20"/>
          <w:szCs w:val="20"/>
        </w:rPr>
        <w:t>управління всіма переміщеннями вузлів, зміною інструментів</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заготовок,</w:t>
      </w:r>
      <w:r w:rsidRPr="000977F7">
        <w:rPr>
          <w:rFonts w:asciiTheme="majorHAnsi" w:hAnsiTheme="majorHAnsi"/>
          <w:spacing w:val="1"/>
          <w:sz w:val="20"/>
          <w:szCs w:val="20"/>
        </w:rPr>
        <w:t xml:space="preserve"> </w:t>
      </w:r>
      <w:r w:rsidRPr="000977F7">
        <w:rPr>
          <w:rFonts w:asciiTheme="majorHAnsi" w:hAnsiTheme="majorHAnsi"/>
          <w:sz w:val="20"/>
          <w:szCs w:val="20"/>
        </w:rPr>
        <w:t>автоматичною</w:t>
      </w:r>
      <w:r w:rsidRPr="000977F7">
        <w:rPr>
          <w:rFonts w:asciiTheme="majorHAnsi" w:hAnsiTheme="majorHAnsi"/>
          <w:spacing w:val="1"/>
          <w:sz w:val="20"/>
          <w:szCs w:val="20"/>
        </w:rPr>
        <w:t xml:space="preserve"> </w:t>
      </w:r>
      <w:r w:rsidRPr="000977F7">
        <w:rPr>
          <w:rFonts w:asciiTheme="majorHAnsi" w:hAnsiTheme="majorHAnsi"/>
          <w:sz w:val="20"/>
          <w:szCs w:val="20"/>
        </w:rPr>
        <w:t>зміною</w:t>
      </w:r>
      <w:r w:rsidRPr="000977F7">
        <w:rPr>
          <w:rFonts w:asciiTheme="majorHAnsi" w:hAnsiTheme="majorHAnsi"/>
          <w:spacing w:val="1"/>
          <w:sz w:val="20"/>
          <w:szCs w:val="20"/>
        </w:rPr>
        <w:t xml:space="preserve"> </w:t>
      </w:r>
      <w:r w:rsidRPr="000977F7">
        <w:rPr>
          <w:rFonts w:asciiTheme="majorHAnsi" w:hAnsiTheme="majorHAnsi"/>
          <w:sz w:val="20"/>
          <w:szCs w:val="20"/>
        </w:rPr>
        <w:t>режиму</w:t>
      </w:r>
      <w:r w:rsidRPr="000977F7">
        <w:rPr>
          <w:rFonts w:asciiTheme="majorHAnsi" w:hAnsiTheme="majorHAnsi"/>
          <w:spacing w:val="-5"/>
          <w:sz w:val="20"/>
          <w:szCs w:val="20"/>
        </w:rPr>
        <w:t xml:space="preserve"> </w:t>
      </w:r>
      <w:r w:rsidRPr="000977F7">
        <w:rPr>
          <w:rFonts w:asciiTheme="majorHAnsi" w:hAnsiTheme="majorHAnsi"/>
          <w:sz w:val="20"/>
          <w:szCs w:val="20"/>
        </w:rPr>
        <w:t>роботи;</w:t>
      </w:r>
    </w:p>
    <w:p w14:paraId="7D171A82" w14:textId="77777777" w:rsidR="0097612F" w:rsidRPr="000977F7" w:rsidRDefault="0097612F" w:rsidP="00FD39A4">
      <w:pPr>
        <w:pStyle w:val="ac"/>
        <w:widowControl w:val="0"/>
        <w:numPr>
          <w:ilvl w:val="2"/>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позиційне – система управління, яка забезпечує</w:t>
      </w:r>
      <w:r w:rsidRPr="000977F7">
        <w:rPr>
          <w:rFonts w:asciiTheme="majorHAnsi" w:hAnsiTheme="majorHAnsi"/>
          <w:spacing w:val="1"/>
          <w:sz w:val="20"/>
          <w:szCs w:val="20"/>
        </w:rPr>
        <w:t xml:space="preserve"> </w:t>
      </w:r>
      <w:r w:rsidRPr="000977F7">
        <w:rPr>
          <w:rFonts w:asciiTheme="majorHAnsi" w:hAnsiTheme="majorHAnsi"/>
          <w:sz w:val="20"/>
          <w:szCs w:val="20"/>
        </w:rPr>
        <w:t>тільки відносне переміщення інструмента і заготовки</w:t>
      </w:r>
      <w:r w:rsidRPr="000977F7">
        <w:rPr>
          <w:rFonts w:asciiTheme="majorHAnsi" w:hAnsiTheme="majorHAnsi"/>
          <w:spacing w:val="-2"/>
          <w:sz w:val="20"/>
          <w:szCs w:val="20"/>
        </w:rPr>
        <w:t xml:space="preserve"> </w:t>
      </w:r>
      <w:r w:rsidRPr="000977F7">
        <w:rPr>
          <w:rFonts w:asciiTheme="majorHAnsi" w:hAnsiTheme="majorHAnsi"/>
          <w:sz w:val="20"/>
          <w:szCs w:val="20"/>
        </w:rPr>
        <w:t>до заданої</w:t>
      </w:r>
      <w:r w:rsidRPr="000977F7">
        <w:rPr>
          <w:rFonts w:asciiTheme="majorHAnsi" w:hAnsiTheme="majorHAnsi"/>
          <w:spacing w:val="-1"/>
          <w:sz w:val="20"/>
          <w:szCs w:val="20"/>
        </w:rPr>
        <w:t xml:space="preserve"> </w:t>
      </w:r>
      <w:r w:rsidRPr="000977F7">
        <w:rPr>
          <w:rFonts w:asciiTheme="majorHAnsi" w:hAnsiTheme="majorHAnsi"/>
          <w:sz w:val="20"/>
          <w:szCs w:val="20"/>
        </w:rPr>
        <w:t>позиції</w:t>
      </w:r>
    </w:p>
    <w:p w14:paraId="7A60F5F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УПРАВЛІННЯ</w:t>
      </w:r>
      <w:r w:rsidRPr="000977F7">
        <w:rPr>
          <w:color w:val="auto"/>
          <w:spacing w:val="-4"/>
          <w:sz w:val="20"/>
          <w:szCs w:val="20"/>
        </w:rPr>
        <w:t xml:space="preserve"> </w:t>
      </w:r>
      <w:r w:rsidRPr="000977F7">
        <w:rPr>
          <w:color w:val="auto"/>
          <w:sz w:val="20"/>
          <w:szCs w:val="20"/>
        </w:rPr>
        <w:t>ЗАКУПІВЛЯМИ</w:t>
      </w:r>
      <w:r w:rsidRPr="000977F7">
        <w:rPr>
          <w:color w:val="auto"/>
          <w:spacing w:val="-6"/>
          <w:sz w:val="20"/>
          <w:szCs w:val="20"/>
        </w:rPr>
        <w:t xml:space="preserve"> </w:t>
      </w:r>
      <w:r w:rsidRPr="000977F7">
        <w:rPr>
          <w:color w:val="auto"/>
          <w:sz w:val="20"/>
          <w:szCs w:val="20"/>
        </w:rPr>
        <w:t>В</w:t>
      </w:r>
      <w:r w:rsidRPr="000977F7">
        <w:rPr>
          <w:color w:val="auto"/>
          <w:spacing w:val="-3"/>
          <w:sz w:val="20"/>
          <w:szCs w:val="20"/>
        </w:rPr>
        <w:t xml:space="preserve"> </w:t>
      </w:r>
      <w:r w:rsidRPr="000977F7">
        <w:rPr>
          <w:color w:val="auto"/>
          <w:sz w:val="20"/>
          <w:szCs w:val="20"/>
        </w:rPr>
        <w:t>ПРОЕКТІ</w:t>
      </w:r>
      <w:r w:rsidRPr="000977F7">
        <w:rPr>
          <w:color w:val="auto"/>
          <w:spacing w:val="-2"/>
          <w:sz w:val="20"/>
          <w:szCs w:val="20"/>
        </w:rPr>
        <w:t xml:space="preserve"> </w:t>
      </w:r>
      <w:r w:rsidRPr="000977F7">
        <w:rPr>
          <w:color w:val="auto"/>
          <w:sz w:val="20"/>
          <w:szCs w:val="20"/>
        </w:rPr>
        <w:t>–</w:t>
      </w:r>
    </w:p>
    <w:p w14:paraId="74C917F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w:t>
      </w:r>
      <w:r w:rsidRPr="000977F7">
        <w:rPr>
          <w:rFonts w:asciiTheme="majorHAnsi" w:hAnsiTheme="majorHAnsi"/>
          <w:spacing w:val="1"/>
          <w:sz w:val="20"/>
          <w:szCs w:val="20"/>
        </w:rPr>
        <w:t xml:space="preserve"> </w:t>
      </w:r>
      <w:r w:rsidRPr="000977F7">
        <w:rPr>
          <w:rFonts w:asciiTheme="majorHAnsi" w:hAnsiTheme="majorHAnsi"/>
          <w:sz w:val="20"/>
          <w:szCs w:val="20"/>
        </w:rPr>
        <w:t>складова</w:t>
      </w:r>
      <w:r w:rsidRPr="000977F7">
        <w:rPr>
          <w:rFonts w:asciiTheme="majorHAnsi" w:hAnsiTheme="majorHAnsi"/>
          <w:spacing w:val="1"/>
          <w:sz w:val="20"/>
          <w:szCs w:val="20"/>
        </w:rPr>
        <w:t xml:space="preserve"> </w:t>
      </w:r>
      <w:r w:rsidRPr="000977F7">
        <w:rPr>
          <w:rFonts w:asciiTheme="majorHAnsi" w:hAnsiTheme="majorHAnsi"/>
          <w:sz w:val="20"/>
          <w:szCs w:val="20"/>
        </w:rPr>
        <w:t>проектного</w:t>
      </w:r>
      <w:r w:rsidRPr="000977F7">
        <w:rPr>
          <w:rFonts w:asciiTheme="majorHAnsi" w:hAnsiTheme="majorHAnsi"/>
          <w:spacing w:val="1"/>
          <w:sz w:val="20"/>
          <w:szCs w:val="20"/>
        </w:rPr>
        <w:t xml:space="preserve"> </w:t>
      </w:r>
      <w:r w:rsidRPr="000977F7">
        <w:rPr>
          <w:rFonts w:asciiTheme="majorHAnsi" w:hAnsiTheme="majorHAnsi"/>
          <w:sz w:val="20"/>
          <w:szCs w:val="20"/>
        </w:rPr>
        <w:t>менеджменту,</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включає</w:t>
      </w:r>
      <w:r w:rsidRPr="000977F7">
        <w:rPr>
          <w:rFonts w:asciiTheme="majorHAnsi" w:hAnsiTheme="majorHAnsi"/>
          <w:spacing w:val="-47"/>
          <w:sz w:val="20"/>
          <w:szCs w:val="20"/>
        </w:rPr>
        <w:t xml:space="preserve">  </w:t>
      </w:r>
      <w:r w:rsidRPr="000977F7">
        <w:rPr>
          <w:rFonts w:asciiTheme="majorHAnsi" w:hAnsiTheme="majorHAnsi"/>
          <w:sz w:val="20"/>
          <w:szCs w:val="20"/>
        </w:rPr>
        <w:t>процеси, необхідні для придбання товарів і послуг за</w:t>
      </w:r>
      <w:r w:rsidRPr="000977F7">
        <w:rPr>
          <w:rFonts w:asciiTheme="majorHAnsi" w:hAnsiTheme="majorHAnsi"/>
          <w:spacing w:val="1"/>
          <w:sz w:val="20"/>
          <w:szCs w:val="20"/>
        </w:rPr>
        <w:t xml:space="preserve"> </w:t>
      </w:r>
      <w:r w:rsidRPr="000977F7">
        <w:rPr>
          <w:rFonts w:asciiTheme="majorHAnsi" w:hAnsiTheme="majorHAnsi"/>
          <w:sz w:val="20"/>
          <w:szCs w:val="20"/>
        </w:rPr>
        <w:t>межами виконавчої організації. Вона має такі компоненти:</w:t>
      </w:r>
    </w:p>
    <w:p w14:paraId="61A935B8" w14:textId="77777777" w:rsidR="0097612F" w:rsidRPr="000977F7" w:rsidRDefault="0097612F" w:rsidP="00FD39A4">
      <w:pPr>
        <w:pStyle w:val="ac"/>
        <w:widowControl w:val="0"/>
        <w:numPr>
          <w:ilvl w:val="2"/>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Планування закупівлі – визначення того, що і коли необхідно</w:t>
      </w:r>
      <w:r w:rsidRPr="000977F7">
        <w:rPr>
          <w:rFonts w:asciiTheme="majorHAnsi" w:hAnsiTheme="majorHAnsi"/>
          <w:spacing w:val="1"/>
          <w:sz w:val="20"/>
          <w:szCs w:val="20"/>
        </w:rPr>
        <w:t xml:space="preserve"> </w:t>
      </w:r>
      <w:r w:rsidRPr="000977F7">
        <w:rPr>
          <w:rFonts w:asciiTheme="majorHAnsi" w:hAnsiTheme="majorHAnsi"/>
          <w:sz w:val="20"/>
          <w:szCs w:val="20"/>
        </w:rPr>
        <w:t>придбати.</w:t>
      </w:r>
    </w:p>
    <w:p w14:paraId="337ECFB4" w14:textId="77777777" w:rsidR="0097612F" w:rsidRPr="000977F7" w:rsidRDefault="0097612F" w:rsidP="00FD39A4">
      <w:pPr>
        <w:pStyle w:val="ac"/>
        <w:widowControl w:val="0"/>
        <w:numPr>
          <w:ilvl w:val="2"/>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Планування</w:t>
      </w:r>
      <w:r w:rsidRPr="000977F7">
        <w:rPr>
          <w:rFonts w:asciiTheme="majorHAnsi" w:hAnsiTheme="majorHAnsi"/>
          <w:spacing w:val="1"/>
          <w:sz w:val="20"/>
          <w:szCs w:val="20"/>
        </w:rPr>
        <w:t xml:space="preserve"> </w:t>
      </w:r>
      <w:r w:rsidRPr="000977F7">
        <w:rPr>
          <w:rFonts w:asciiTheme="majorHAnsi" w:hAnsiTheme="majorHAnsi"/>
          <w:sz w:val="20"/>
          <w:szCs w:val="20"/>
        </w:rPr>
        <w:t>клопотань</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документальне</w:t>
      </w:r>
      <w:r w:rsidRPr="000977F7">
        <w:rPr>
          <w:rFonts w:asciiTheme="majorHAnsi" w:hAnsiTheme="majorHAnsi"/>
          <w:spacing w:val="1"/>
          <w:sz w:val="20"/>
          <w:szCs w:val="20"/>
        </w:rPr>
        <w:t xml:space="preserve"> </w:t>
      </w:r>
      <w:r w:rsidRPr="000977F7">
        <w:rPr>
          <w:rFonts w:asciiTheme="majorHAnsi" w:hAnsiTheme="majorHAnsi"/>
          <w:sz w:val="20"/>
          <w:szCs w:val="20"/>
        </w:rPr>
        <w:t>оформлення вимог до продукту та визначення потенціальних джерел</w:t>
      </w:r>
      <w:r w:rsidRPr="000977F7">
        <w:rPr>
          <w:rFonts w:asciiTheme="majorHAnsi" w:hAnsiTheme="majorHAnsi"/>
          <w:spacing w:val="-1"/>
          <w:sz w:val="20"/>
          <w:szCs w:val="20"/>
        </w:rPr>
        <w:t xml:space="preserve"> </w:t>
      </w:r>
      <w:r w:rsidRPr="000977F7">
        <w:rPr>
          <w:rFonts w:asciiTheme="majorHAnsi" w:hAnsiTheme="majorHAnsi"/>
          <w:sz w:val="20"/>
          <w:szCs w:val="20"/>
        </w:rPr>
        <w:t>його отримання.</w:t>
      </w:r>
    </w:p>
    <w:p w14:paraId="22F2E989" w14:textId="77777777" w:rsidR="0097612F" w:rsidRPr="000977F7" w:rsidRDefault="0097612F" w:rsidP="00FD39A4">
      <w:pPr>
        <w:pStyle w:val="ac"/>
        <w:widowControl w:val="0"/>
        <w:numPr>
          <w:ilvl w:val="2"/>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Клопотання – отримання тендерної документації,</w:t>
      </w:r>
      <w:r w:rsidRPr="000977F7">
        <w:rPr>
          <w:rFonts w:asciiTheme="majorHAnsi" w:hAnsiTheme="majorHAnsi"/>
          <w:spacing w:val="1"/>
          <w:sz w:val="20"/>
          <w:szCs w:val="20"/>
        </w:rPr>
        <w:t xml:space="preserve"> </w:t>
      </w:r>
      <w:r w:rsidRPr="000977F7">
        <w:rPr>
          <w:rFonts w:asciiTheme="majorHAnsi" w:hAnsiTheme="majorHAnsi"/>
          <w:sz w:val="20"/>
          <w:szCs w:val="20"/>
        </w:rPr>
        <w:t>тендерних пропозицій або інших слушних пропозицій.</w:t>
      </w:r>
    </w:p>
    <w:p w14:paraId="5BF5E8A3" w14:textId="77777777" w:rsidR="0097612F" w:rsidRPr="000977F7" w:rsidRDefault="0097612F" w:rsidP="00FD39A4">
      <w:pPr>
        <w:pStyle w:val="ac"/>
        <w:widowControl w:val="0"/>
        <w:numPr>
          <w:ilvl w:val="2"/>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Вибір джерела – вибір серед потенціальних продавців.</w:t>
      </w:r>
    </w:p>
    <w:p w14:paraId="03EA9414" w14:textId="77777777" w:rsidR="0097612F" w:rsidRPr="000977F7" w:rsidRDefault="0097612F" w:rsidP="00FD39A4">
      <w:pPr>
        <w:pStyle w:val="ac"/>
        <w:widowControl w:val="0"/>
        <w:numPr>
          <w:ilvl w:val="2"/>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Адміністрування контракту – управління зв’язком</w:t>
      </w:r>
      <w:r w:rsidRPr="000977F7">
        <w:rPr>
          <w:rFonts w:asciiTheme="majorHAnsi" w:hAnsiTheme="majorHAnsi"/>
          <w:spacing w:val="-47"/>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продавцем.</w:t>
      </w:r>
    </w:p>
    <w:p w14:paraId="593F7517" w14:textId="77777777" w:rsidR="0097612F" w:rsidRPr="000977F7" w:rsidRDefault="0097612F" w:rsidP="00FD39A4">
      <w:pPr>
        <w:pStyle w:val="ac"/>
        <w:widowControl w:val="0"/>
        <w:numPr>
          <w:ilvl w:val="2"/>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Закриття контракту – завершення та врегулювання виконання завдань контракту, включаючи вирішення</w:t>
      </w:r>
      <w:r w:rsidRPr="000977F7">
        <w:rPr>
          <w:rFonts w:asciiTheme="majorHAnsi" w:hAnsiTheme="majorHAnsi"/>
          <w:spacing w:val="-2"/>
          <w:sz w:val="20"/>
          <w:szCs w:val="20"/>
        </w:rPr>
        <w:t xml:space="preserve"> </w:t>
      </w:r>
      <w:r w:rsidRPr="000977F7">
        <w:rPr>
          <w:rFonts w:asciiTheme="majorHAnsi" w:hAnsiTheme="majorHAnsi"/>
          <w:sz w:val="20"/>
          <w:szCs w:val="20"/>
        </w:rPr>
        <w:t>всіх</w:t>
      </w:r>
      <w:r w:rsidRPr="000977F7">
        <w:rPr>
          <w:rFonts w:asciiTheme="majorHAnsi" w:hAnsiTheme="majorHAnsi"/>
          <w:spacing w:val="-1"/>
          <w:sz w:val="20"/>
          <w:szCs w:val="20"/>
        </w:rPr>
        <w:t xml:space="preserve"> </w:t>
      </w:r>
      <w:r w:rsidRPr="000977F7">
        <w:rPr>
          <w:rFonts w:asciiTheme="majorHAnsi" w:hAnsiTheme="majorHAnsi"/>
          <w:sz w:val="20"/>
          <w:szCs w:val="20"/>
        </w:rPr>
        <w:t>відкритих</w:t>
      </w:r>
      <w:r w:rsidRPr="000977F7">
        <w:rPr>
          <w:rFonts w:asciiTheme="majorHAnsi" w:hAnsiTheme="majorHAnsi"/>
          <w:spacing w:val="-1"/>
          <w:sz w:val="20"/>
          <w:szCs w:val="20"/>
        </w:rPr>
        <w:t xml:space="preserve"> </w:t>
      </w:r>
      <w:r w:rsidRPr="000977F7">
        <w:rPr>
          <w:rFonts w:asciiTheme="majorHAnsi" w:hAnsiTheme="majorHAnsi"/>
          <w:sz w:val="20"/>
          <w:szCs w:val="20"/>
        </w:rPr>
        <w:t>питань</w:t>
      </w:r>
    </w:p>
    <w:p w14:paraId="727BEB8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
          <w:w w:val="99"/>
          <w:sz w:val="20"/>
          <w:szCs w:val="20"/>
        </w:rPr>
        <w:t>Ке</w:t>
      </w:r>
      <w:r w:rsidRPr="000977F7">
        <w:rPr>
          <w:rFonts w:asciiTheme="majorHAnsi" w:hAnsiTheme="majorHAnsi"/>
          <w:i/>
          <w:w w:val="99"/>
          <w:sz w:val="20"/>
          <w:szCs w:val="20"/>
        </w:rPr>
        <w:t>р.</w:t>
      </w:r>
      <w:r w:rsidRPr="000977F7">
        <w:rPr>
          <w:rFonts w:asciiTheme="majorHAnsi" w:hAnsiTheme="majorHAnsi"/>
          <w:i/>
          <w:sz w:val="20"/>
          <w:szCs w:val="20"/>
        </w:rPr>
        <w:t xml:space="preserve"> </w:t>
      </w:r>
      <w:r w:rsidRPr="000977F7">
        <w:rPr>
          <w:rFonts w:asciiTheme="majorHAnsi" w:hAnsiTheme="majorHAnsi"/>
          <w:i/>
          <w:spacing w:val="1"/>
          <w:w w:val="99"/>
          <w:sz w:val="20"/>
          <w:szCs w:val="20"/>
        </w:rPr>
        <w:t>про</w:t>
      </w:r>
      <w:r w:rsidRPr="000977F7">
        <w:rPr>
          <w:rFonts w:asciiTheme="majorHAnsi" w:hAnsiTheme="majorHAnsi"/>
          <w:i/>
          <w:w w:val="99"/>
          <w:sz w:val="20"/>
          <w:szCs w:val="20"/>
        </w:rPr>
        <w:t>ек</w:t>
      </w:r>
      <w:r w:rsidRPr="000977F7">
        <w:rPr>
          <w:rFonts w:asciiTheme="majorHAnsi" w:hAnsiTheme="majorHAnsi"/>
          <w:i/>
          <w:spacing w:val="-1"/>
          <w:w w:val="99"/>
          <w:sz w:val="20"/>
          <w:szCs w:val="20"/>
        </w:rPr>
        <w:t>тн</w:t>
      </w:r>
      <w:r w:rsidRPr="000977F7">
        <w:rPr>
          <w:rFonts w:asciiTheme="majorHAnsi" w:hAnsiTheme="majorHAnsi"/>
          <w:i/>
          <w:w w:val="99"/>
          <w:sz w:val="20"/>
          <w:szCs w:val="20"/>
        </w:rPr>
        <w:t>.</w:t>
      </w:r>
      <w:r w:rsidRPr="000977F7">
        <w:rPr>
          <w:rFonts w:asciiTheme="majorHAnsi" w:hAnsiTheme="majorHAnsi"/>
          <w:i/>
          <w:sz w:val="20"/>
          <w:szCs w:val="20"/>
        </w:rPr>
        <w:t xml:space="preserve"> </w:t>
      </w:r>
      <w:r w:rsidRPr="000977F7">
        <w:rPr>
          <w:rFonts w:asciiTheme="majorHAnsi" w:hAnsiTheme="majorHAnsi"/>
          <w:i/>
          <w:spacing w:val="-1"/>
          <w:w w:val="99"/>
          <w:sz w:val="20"/>
          <w:szCs w:val="20"/>
        </w:rPr>
        <w:t>менеджм</w:t>
      </w:r>
      <w:r w:rsidRPr="000977F7">
        <w:rPr>
          <w:rFonts w:asciiTheme="majorHAnsi" w:hAnsiTheme="majorHAnsi"/>
          <w:i/>
          <w:spacing w:val="3"/>
          <w:w w:val="99"/>
          <w:sz w:val="20"/>
          <w:szCs w:val="20"/>
        </w:rPr>
        <w:t>.</w:t>
      </w:r>
      <w:r w:rsidRPr="000977F7">
        <w:rPr>
          <w:rFonts w:asciiTheme="majorHAnsi" w:hAnsiTheme="majorHAnsi"/>
          <w:i/>
          <w:w w:val="99"/>
          <w:sz w:val="20"/>
          <w:szCs w:val="20"/>
        </w:rPr>
        <w:t>-</w:t>
      </w:r>
      <w:r w:rsidRPr="000977F7">
        <w:rPr>
          <w:rFonts w:asciiTheme="majorHAnsi" w:hAnsiTheme="majorHAnsi"/>
          <w:i/>
          <w:spacing w:val="2"/>
          <w:w w:val="99"/>
          <w:sz w:val="20"/>
          <w:szCs w:val="20"/>
        </w:rPr>
        <w:t>т</w:t>
      </w:r>
      <w:r w:rsidRPr="000977F7">
        <w:rPr>
          <w:rFonts w:asciiTheme="majorHAnsi" w:hAnsiTheme="majorHAnsi"/>
          <w:i/>
          <w:w w:val="137"/>
          <w:sz w:val="20"/>
          <w:szCs w:val="20"/>
        </w:rPr>
        <w:t>у‖</w:t>
      </w:r>
    </w:p>
    <w:p w14:paraId="1707F476"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УПРАВЛІННЯ</w:t>
      </w:r>
      <w:r w:rsidRPr="000977F7">
        <w:rPr>
          <w:color w:val="auto"/>
          <w:spacing w:val="41"/>
          <w:sz w:val="20"/>
          <w:szCs w:val="20"/>
        </w:rPr>
        <w:t xml:space="preserve"> </w:t>
      </w:r>
      <w:r w:rsidRPr="000977F7">
        <w:rPr>
          <w:color w:val="auto"/>
          <w:sz w:val="20"/>
          <w:szCs w:val="20"/>
        </w:rPr>
        <w:t>ЗМІСТОМ</w:t>
      </w:r>
      <w:r w:rsidRPr="000977F7">
        <w:rPr>
          <w:color w:val="auto"/>
          <w:spacing w:val="42"/>
          <w:sz w:val="20"/>
          <w:szCs w:val="20"/>
        </w:rPr>
        <w:t xml:space="preserve"> </w:t>
      </w:r>
      <w:r w:rsidRPr="000977F7">
        <w:rPr>
          <w:color w:val="auto"/>
          <w:sz w:val="20"/>
          <w:szCs w:val="20"/>
        </w:rPr>
        <w:t>(ВНУТРІШНІМ</w:t>
      </w:r>
      <w:r w:rsidRPr="000977F7">
        <w:rPr>
          <w:color w:val="auto"/>
          <w:spacing w:val="-1"/>
          <w:sz w:val="20"/>
          <w:szCs w:val="20"/>
        </w:rPr>
        <w:t xml:space="preserve"> </w:t>
      </w:r>
    </w:p>
    <w:p w14:paraId="273A18E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СЕ</w:t>
      </w:r>
      <w:r w:rsidRPr="000977F7">
        <w:rPr>
          <w:color w:val="auto"/>
          <w:spacing w:val="-47"/>
          <w:sz w:val="20"/>
          <w:szCs w:val="20"/>
        </w:rPr>
        <w:t xml:space="preserve"> </w:t>
      </w:r>
      <w:r w:rsidRPr="000977F7">
        <w:rPr>
          <w:color w:val="auto"/>
          <w:sz w:val="20"/>
          <w:szCs w:val="20"/>
        </w:rPr>
        <w:t>РЕДОВИЩЕМ)</w:t>
      </w:r>
      <w:r w:rsidRPr="000977F7">
        <w:rPr>
          <w:color w:val="auto"/>
          <w:spacing w:val="-1"/>
          <w:sz w:val="20"/>
          <w:szCs w:val="20"/>
        </w:rPr>
        <w:t xml:space="preserve"> </w:t>
      </w:r>
      <w:r w:rsidRPr="000977F7">
        <w:rPr>
          <w:color w:val="auto"/>
          <w:sz w:val="20"/>
          <w:szCs w:val="20"/>
        </w:rPr>
        <w:t>ПРОЕКТУ</w:t>
      </w:r>
      <w:r w:rsidRPr="000977F7">
        <w:rPr>
          <w:color w:val="auto"/>
          <w:spacing w:val="3"/>
          <w:sz w:val="20"/>
          <w:szCs w:val="20"/>
        </w:rPr>
        <w:t xml:space="preserve"> </w:t>
      </w:r>
      <w:r w:rsidRPr="000977F7">
        <w:rPr>
          <w:color w:val="auto"/>
          <w:sz w:val="20"/>
          <w:szCs w:val="20"/>
        </w:rPr>
        <w:t>–</w:t>
      </w:r>
    </w:p>
    <w:p w14:paraId="7ADB0F9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w:t>
      </w:r>
      <w:r w:rsidRPr="000977F7">
        <w:rPr>
          <w:rFonts w:asciiTheme="majorHAnsi" w:hAnsiTheme="majorHAnsi"/>
          <w:spacing w:val="1"/>
          <w:sz w:val="20"/>
          <w:szCs w:val="20"/>
        </w:rPr>
        <w:t xml:space="preserve"> </w:t>
      </w:r>
      <w:r w:rsidRPr="000977F7">
        <w:rPr>
          <w:rFonts w:asciiTheme="majorHAnsi" w:hAnsiTheme="majorHAnsi"/>
          <w:sz w:val="20"/>
          <w:szCs w:val="20"/>
        </w:rPr>
        <w:t>складова</w:t>
      </w:r>
      <w:r w:rsidRPr="000977F7">
        <w:rPr>
          <w:rFonts w:asciiTheme="majorHAnsi" w:hAnsiTheme="majorHAnsi"/>
          <w:spacing w:val="1"/>
          <w:sz w:val="20"/>
          <w:szCs w:val="20"/>
        </w:rPr>
        <w:t xml:space="preserve"> </w:t>
      </w:r>
      <w:r w:rsidRPr="000977F7">
        <w:rPr>
          <w:rFonts w:asciiTheme="majorHAnsi" w:hAnsiTheme="majorHAnsi"/>
          <w:sz w:val="20"/>
          <w:szCs w:val="20"/>
        </w:rPr>
        <w:t>проектного</w:t>
      </w:r>
      <w:r w:rsidRPr="000977F7">
        <w:rPr>
          <w:rFonts w:asciiTheme="majorHAnsi" w:hAnsiTheme="majorHAnsi"/>
          <w:spacing w:val="1"/>
          <w:sz w:val="20"/>
          <w:szCs w:val="20"/>
        </w:rPr>
        <w:t xml:space="preserve"> </w:t>
      </w:r>
      <w:r w:rsidRPr="000977F7">
        <w:rPr>
          <w:rFonts w:asciiTheme="majorHAnsi" w:hAnsiTheme="majorHAnsi"/>
          <w:sz w:val="20"/>
          <w:szCs w:val="20"/>
        </w:rPr>
        <w:t>менеджменту,</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включає</w:t>
      </w:r>
      <w:r w:rsidRPr="000977F7">
        <w:rPr>
          <w:rFonts w:asciiTheme="majorHAnsi" w:hAnsiTheme="majorHAnsi"/>
          <w:spacing w:val="-47"/>
          <w:sz w:val="20"/>
          <w:szCs w:val="20"/>
        </w:rPr>
        <w:t xml:space="preserve"> </w:t>
      </w:r>
      <w:r w:rsidRPr="000977F7">
        <w:rPr>
          <w:rFonts w:asciiTheme="majorHAnsi" w:hAnsiTheme="majorHAnsi"/>
          <w:sz w:val="20"/>
          <w:szCs w:val="20"/>
        </w:rPr>
        <w:t>питання забезпечення того, щоб проект містив саме ті</w:t>
      </w:r>
      <w:r w:rsidRPr="000977F7">
        <w:rPr>
          <w:rFonts w:asciiTheme="majorHAnsi" w:hAnsiTheme="majorHAnsi"/>
          <w:spacing w:val="1"/>
          <w:sz w:val="20"/>
          <w:szCs w:val="20"/>
        </w:rPr>
        <w:t xml:space="preserve"> </w:t>
      </w:r>
      <w:r w:rsidRPr="000977F7">
        <w:rPr>
          <w:rFonts w:asciiTheme="majorHAnsi" w:hAnsiTheme="majorHAnsi"/>
          <w:sz w:val="20"/>
          <w:szCs w:val="20"/>
        </w:rPr>
        <w:t>роботи, які необхідні для успішного завершення його.</w:t>
      </w:r>
      <w:r w:rsidRPr="000977F7">
        <w:rPr>
          <w:rFonts w:asciiTheme="majorHAnsi" w:hAnsiTheme="majorHAnsi"/>
          <w:spacing w:val="-47"/>
          <w:sz w:val="20"/>
          <w:szCs w:val="20"/>
        </w:rPr>
        <w:t xml:space="preserve">                 </w:t>
      </w:r>
      <w:r w:rsidRPr="000977F7">
        <w:rPr>
          <w:rFonts w:asciiTheme="majorHAnsi" w:hAnsiTheme="majorHAnsi"/>
          <w:sz w:val="20"/>
          <w:szCs w:val="20"/>
        </w:rPr>
        <w:t>Вона має</w:t>
      </w:r>
      <w:r w:rsidRPr="000977F7">
        <w:rPr>
          <w:rFonts w:asciiTheme="majorHAnsi" w:hAnsiTheme="majorHAnsi"/>
          <w:spacing w:val="1"/>
          <w:sz w:val="20"/>
          <w:szCs w:val="20"/>
        </w:rPr>
        <w:t xml:space="preserve"> </w:t>
      </w:r>
      <w:r w:rsidRPr="000977F7">
        <w:rPr>
          <w:rFonts w:asciiTheme="majorHAnsi" w:hAnsiTheme="majorHAnsi"/>
          <w:sz w:val="20"/>
          <w:szCs w:val="20"/>
        </w:rPr>
        <w:t>такі</w:t>
      </w:r>
      <w:r w:rsidRPr="000977F7">
        <w:rPr>
          <w:rFonts w:asciiTheme="majorHAnsi" w:hAnsiTheme="majorHAnsi"/>
          <w:spacing w:val="-1"/>
          <w:sz w:val="20"/>
          <w:szCs w:val="20"/>
        </w:rPr>
        <w:t xml:space="preserve"> </w:t>
      </w:r>
      <w:r w:rsidRPr="000977F7">
        <w:rPr>
          <w:rFonts w:asciiTheme="majorHAnsi" w:hAnsiTheme="majorHAnsi"/>
          <w:sz w:val="20"/>
          <w:szCs w:val="20"/>
        </w:rPr>
        <w:t>компоненти:</w:t>
      </w:r>
    </w:p>
    <w:p w14:paraId="40F114DA" w14:textId="77777777" w:rsidR="0097612F" w:rsidRPr="000977F7" w:rsidRDefault="0097612F" w:rsidP="00FD39A4">
      <w:pPr>
        <w:pStyle w:val="ac"/>
        <w:widowControl w:val="0"/>
        <w:numPr>
          <w:ilvl w:val="2"/>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Ініціалізація</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рішення</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те,</w:t>
      </w:r>
      <w:r w:rsidRPr="000977F7">
        <w:rPr>
          <w:rFonts w:asciiTheme="majorHAnsi" w:hAnsiTheme="majorHAnsi"/>
          <w:spacing w:val="1"/>
          <w:sz w:val="20"/>
          <w:szCs w:val="20"/>
        </w:rPr>
        <w:t xml:space="preserve"> </w:t>
      </w:r>
      <w:r w:rsidRPr="000977F7">
        <w:rPr>
          <w:rFonts w:asciiTheme="majorHAnsi" w:hAnsiTheme="majorHAnsi"/>
          <w:sz w:val="20"/>
          <w:szCs w:val="20"/>
        </w:rPr>
        <w:t xml:space="preserve">щоб </w:t>
      </w:r>
      <w:r w:rsidRPr="000977F7">
        <w:rPr>
          <w:rFonts w:asciiTheme="majorHAnsi" w:hAnsiTheme="majorHAnsi"/>
          <w:spacing w:val="-47"/>
          <w:sz w:val="20"/>
          <w:szCs w:val="20"/>
        </w:rPr>
        <w:t xml:space="preserve"> </w:t>
      </w:r>
      <w:r w:rsidRPr="000977F7">
        <w:rPr>
          <w:rFonts w:asciiTheme="majorHAnsi" w:hAnsiTheme="majorHAnsi"/>
          <w:sz w:val="20"/>
          <w:szCs w:val="20"/>
        </w:rPr>
        <w:t>розпочати</w:t>
      </w:r>
      <w:r w:rsidRPr="000977F7">
        <w:rPr>
          <w:rFonts w:asciiTheme="majorHAnsi" w:hAnsiTheme="majorHAnsi"/>
          <w:spacing w:val="-2"/>
          <w:sz w:val="20"/>
          <w:szCs w:val="20"/>
        </w:rPr>
        <w:t xml:space="preserve"> </w:t>
      </w:r>
      <w:r w:rsidRPr="000977F7">
        <w:rPr>
          <w:rFonts w:asciiTheme="majorHAnsi" w:hAnsiTheme="majorHAnsi"/>
          <w:sz w:val="20"/>
          <w:szCs w:val="20"/>
        </w:rPr>
        <w:t>чергову</w:t>
      </w:r>
      <w:r w:rsidRPr="000977F7">
        <w:rPr>
          <w:rFonts w:asciiTheme="majorHAnsi" w:hAnsiTheme="majorHAnsi"/>
          <w:spacing w:val="-4"/>
          <w:sz w:val="20"/>
          <w:szCs w:val="20"/>
        </w:rPr>
        <w:t xml:space="preserve"> </w:t>
      </w:r>
      <w:r w:rsidRPr="000977F7">
        <w:rPr>
          <w:rFonts w:asciiTheme="majorHAnsi" w:hAnsiTheme="majorHAnsi"/>
          <w:sz w:val="20"/>
          <w:szCs w:val="20"/>
        </w:rPr>
        <w:t>фазу</w:t>
      </w:r>
      <w:r w:rsidRPr="000977F7">
        <w:rPr>
          <w:rFonts w:asciiTheme="majorHAnsi" w:hAnsiTheme="majorHAnsi"/>
          <w:spacing w:val="-1"/>
          <w:sz w:val="20"/>
          <w:szCs w:val="20"/>
        </w:rPr>
        <w:t xml:space="preserve"> </w:t>
      </w:r>
      <w:r w:rsidRPr="000977F7">
        <w:rPr>
          <w:rFonts w:asciiTheme="majorHAnsi" w:hAnsiTheme="majorHAnsi"/>
          <w:sz w:val="20"/>
          <w:szCs w:val="20"/>
        </w:rPr>
        <w:t>проекту.</w:t>
      </w:r>
    </w:p>
    <w:p w14:paraId="7BB9CDAD" w14:textId="77777777" w:rsidR="0097612F" w:rsidRPr="000977F7" w:rsidRDefault="0097612F" w:rsidP="00FD39A4">
      <w:pPr>
        <w:pStyle w:val="ac"/>
        <w:widowControl w:val="0"/>
        <w:numPr>
          <w:ilvl w:val="2"/>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Планування змісту – розробка (письмово) документа про зміст проекту як основи для майбутніх</w:t>
      </w:r>
      <w:r w:rsidRPr="000977F7">
        <w:rPr>
          <w:rFonts w:asciiTheme="majorHAnsi" w:hAnsiTheme="majorHAnsi"/>
          <w:spacing w:val="1"/>
          <w:sz w:val="20"/>
          <w:szCs w:val="20"/>
        </w:rPr>
        <w:t xml:space="preserve"> </w:t>
      </w:r>
      <w:r w:rsidRPr="000977F7">
        <w:rPr>
          <w:rFonts w:asciiTheme="majorHAnsi" w:hAnsiTheme="majorHAnsi"/>
          <w:sz w:val="20"/>
          <w:szCs w:val="20"/>
        </w:rPr>
        <w:t>проектних</w:t>
      </w:r>
      <w:r w:rsidRPr="000977F7">
        <w:rPr>
          <w:rFonts w:asciiTheme="majorHAnsi" w:hAnsiTheme="majorHAnsi"/>
          <w:spacing w:val="-2"/>
          <w:sz w:val="20"/>
          <w:szCs w:val="20"/>
        </w:rPr>
        <w:t xml:space="preserve"> </w:t>
      </w:r>
      <w:r w:rsidRPr="000977F7">
        <w:rPr>
          <w:rFonts w:asciiTheme="majorHAnsi" w:hAnsiTheme="majorHAnsi"/>
          <w:sz w:val="20"/>
          <w:szCs w:val="20"/>
        </w:rPr>
        <w:t>рішень.</w:t>
      </w:r>
    </w:p>
    <w:p w14:paraId="221467ED" w14:textId="77777777" w:rsidR="0097612F" w:rsidRPr="000977F7" w:rsidRDefault="0097612F" w:rsidP="00FD39A4">
      <w:pPr>
        <w:pStyle w:val="ac"/>
        <w:widowControl w:val="0"/>
        <w:numPr>
          <w:ilvl w:val="2"/>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Визначення змісту – поділ основного компоненту</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дрібніші,</w:t>
      </w:r>
      <w:r w:rsidRPr="000977F7">
        <w:rPr>
          <w:rFonts w:asciiTheme="majorHAnsi" w:hAnsiTheme="majorHAnsi"/>
          <w:spacing w:val="-1"/>
          <w:sz w:val="20"/>
          <w:szCs w:val="20"/>
        </w:rPr>
        <w:t xml:space="preserve"> </w:t>
      </w:r>
      <w:r w:rsidRPr="000977F7">
        <w:rPr>
          <w:rFonts w:asciiTheme="majorHAnsi" w:hAnsiTheme="majorHAnsi"/>
          <w:sz w:val="20"/>
          <w:szCs w:val="20"/>
        </w:rPr>
        <w:t>більш</w:t>
      </w:r>
      <w:r w:rsidRPr="000977F7">
        <w:rPr>
          <w:rFonts w:asciiTheme="majorHAnsi" w:hAnsiTheme="majorHAnsi"/>
          <w:spacing w:val="-1"/>
          <w:sz w:val="20"/>
          <w:szCs w:val="20"/>
        </w:rPr>
        <w:t xml:space="preserve"> </w:t>
      </w:r>
      <w:r w:rsidRPr="000977F7">
        <w:rPr>
          <w:rFonts w:asciiTheme="majorHAnsi" w:hAnsiTheme="majorHAnsi"/>
          <w:sz w:val="20"/>
          <w:szCs w:val="20"/>
        </w:rPr>
        <w:t>керовані компоненти.</w:t>
      </w:r>
    </w:p>
    <w:p w14:paraId="03E3AF2A" w14:textId="77777777" w:rsidR="0097612F" w:rsidRPr="000977F7" w:rsidRDefault="0097612F" w:rsidP="00FD39A4">
      <w:pPr>
        <w:pStyle w:val="ac"/>
        <w:widowControl w:val="0"/>
        <w:numPr>
          <w:ilvl w:val="2"/>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Перевірка змісту – формалізація приймання змісту</w:t>
      </w:r>
      <w:r w:rsidRPr="000977F7">
        <w:rPr>
          <w:rFonts w:asciiTheme="majorHAnsi" w:hAnsiTheme="majorHAnsi"/>
          <w:spacing w:val="-2"/>
          <w:sz w:val="20"/>
          <w:szCs w:val="20"/>
        </w:rPr>
        <w:t xml:space="preserve"> </w:t>
      </w:r>
      <w:r w:rsidRPr="000977F7">
        <w:rPr>
          <w:rFonts w:asciiTheme="majorHAnsi" w:hAnsiTheme="majorHAnsi"/>
          <w:sz w:val="20"/>
          <w:szCs w:val="20"/>
        </w:rPr>
        <w:lastRenderedPageBreak/>
        <w:t>проекту.</w:t>
      </w:r>
    </w:p>
    <w:p w14:paraId="50C39D59" w14:textId="77777777" w:rsidR="0097612F" w:rsidRPr="000977F7" w:rsidRDefault="0097612F" w:rsidP="00FD39A4">
      <w:pPr>
        <w:pStyle w:val="ac"/>
        <w:widowControl w:val="0"/>
        <w:numPr>
          <w:ilvl w:val="2"/>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i/>
          <w:sz w:val="20"/>
          <w:szCs w:val="20"/>
        </w:rPr>
      </w:pPr>
      <w:r w:rsidRPr="000977F7">
        <w:rPr>
          <w:rFonts w:asciiTheme="majorHAnsi" w:hAnsiTheme="majorHAnsi"/>
          <w:sz w:val="20"/>
          <w:szCs w:val="20"/>
        </w:rPr>
        <w:t>Контроль</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змінами</w:t>
      </w:r>
      <w:r w:rsidRPr="000977F7">
        <w:rPr>
          <w:rFonts w:asciiTheme="majorHAnsi" w:hAnsiTheme="majorHAnsi"/>
          <w:spacing w:val="1"/>
          <w:sz w:val="20"/>
          <w:szCs w:val="20"/>
        </w:rPr>
        <w:t xml:space="preserve"> </w:t>
      </w:r>
      <w:r w:rsidRPr="000977F7">
        <w:rPr>
          <w:rFonts w:asciiTheme="majorHAnsi" w:hAnsiTheme="majorHAnsi"/>
          <w:sz w:val="20"/>
          <w:szCs w:val="20"/>
        </w:rPr>
        <w:t>змісту</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контроль</w:t>
      </w:r>
      <w:r w:rsidRPr="000977F7">
        <w:rPr>
          <w:rFonts w:asciiTheme="majorHAnsi" w:hAnsiTheme="majorHAnsi"/>
          <w:spacing w:val="1"/>
          <w:sz w:val="20"/>
          <w:szCs w:val="20"/>
        </w:rPr>
        <w:t xml:space="preserve"> </w:t>
      </w:r>
      <w:r w:rsidRPr="000977F7">
        <w:rPr>
          <w:rFonts w:asciiTheme="majorHAnsi" w:hAnsiTheme="majorHAnsi"/>
          <w:sz w:val="20"/>
          <w:szCs w:val="20"/>
        </w:rPr>
        <w:t>змін</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змісті</w:t>
      </w:r>
      <w:r w:rsidRPr="000977F7">
        <w:rPr>
          <w:rFonts w:asciiTheme="majorHAnsi" w:hAnsiTheme="majorHAnsi"/>
          <w:spacing w:val="-2"/>
          <w:sz w:val="20"/>
          <w:szCs w:val="20"/>
        </w:rPr>
        <w:t xml:space="preserve"> </w:t>
      </w:r>
      <w:r w:rsidRPr="000977F7">
        <w:rPr>
          <w:rFonts w:asciiTheme="majorHAnsi" w:hAnsiTheme="majorHAnsi"/>
          <w:sz w:val="20"/>
          <w:szCs w:val="20"/>
        </w:rPr>
        <w:t>проекту</w:t>
      </w:r>
    </w:p>
    <w:p w14:paraId="7B7836EB" w14:textId="77777777" w:rsidR="0097612F" w:rsidRPr="000977F7" w:rsidRDefault="0097612F" w:rsidP="000977F7">
      <w:pPr>
        <w:pStyle w:val="ac"/>
        <w:tabs>
          <w:tab w:val="left" w:pos="284"/>
          <w:tab w:val="left" w:pos="801"/>
        </w:tabs>
        <w:spacing w:after="0" w:line="240" w:lineRule="auto"/>
        <w:ind w:left="170"/>
        <w:mirrorIndents/>
        <w:jc w:val="both"/>
        <w:rPr>
          <w:rFonts w:asciiTheme="majorHAnsi" w:hAnsiTheme="majorHAnsi"/>
          <w:i/>
          <w:sz w:val="20"/>
          <w:szCs w:val="20"/>
        </w:rPr>
      </w:pPr>
      <w:r w:rsidRPr="000977F7">
        <w:rPr>
          <w:rFonts w:asciiTheme="majorHAnsi" w:hAnsiTheme="majorHAnsi"/>
          <w:i/>
          <w:spacing w:val="-1"/>
          <w:w w:val="99"/>
          <w:sz w:val="20"/>
          <w:szCs w:val="20"/>
        </w:rPr>
        <w:t>Ке</w:t>
      </w:r>
      <w:r w:rsidRPr="000977F7">
        <w:rPr>
          <w:rFonts w:asciiTheme="majorHAnsi" w:hAnsiTheme="majorHAnsi"/>
          <w:i/>
          <w:w w:val="99"/>
          <w:sz w:val="20"/>
          <w:szCs w:val="20"/>
        </w:rPr>
        <w:t>р.</w:t>
      </w:r>
      <w:r w:rsidRPr="000977F7">
        <w:rPr>
          <w:rFonts w:asciiTheme="majorHAnsi" w:hAnsiTheme="majorHAnsi"/>
          <w:i/>
          <w:sz w:val="20"/>
          <w:szCs w:val="20"/>
        </w:rPr>
        <w:t xml:space="preserve"> </w:t>
      </w:r>
      <w:r w:rsidRPr="000977F7">
        <w:rPr>
          <w:rFonts w:asciiTheme="majorHAnsi" w:hAnsiTheme="majorHAnsi"/>
          <w:i/>
          <w:spacing w:val="1"/>
          <w:w w:val="99"/>
          <w:sz w:val="20"/>
          <w:szCs w:val="20"/>
        </w:rPr>
        <w:t>про</w:t>
      </w:r>
      <w:r w:rsidRPr="000977F7">
        <w:rPr>
          <w:rFonts w:asciiTheme="majorHAnsi" w:hAnsiTheme="majorHAnsi"/>
          <w:i/>
          <w:w w:val="99"/>
          <w:sz w:val="20"/>
          <w:szCs w:val="20"/>
        </w:rPr>
        <w:t>ек</w:t>
      </w:r>
      <w:r w:rsidRPr="000977F7">
        <w:rPr>
          <w:rFonts w:asciiTheme="majorHAnsi" w:hAnsiTheme="majorHAnsi"/>
          <w:i/>
          <w:spacing w:val="-1"/>
          <w:w w:val="99"/>
          <w:sz w:val="20"/>
          <w:szCs w:val="20"/>
        </w:rPr>
        <w:t>тн</w:t>
      </w:r>
      <w:r w:rsidRPr="000977F7">
        <w:rPr>
          <w:rFonts w:asciiTheme="majorHAnsi" w:hAnsiTheme="majorHAnsi"/>
          <w:i/>
          <w:w w:val="99"/>
          <w:sz w:val="20"/>
          <w:szCs w:val="20"/>
        </w:rPr>
        <w:t>.</w:t>
      </w:r>
      <w:r w:rsidRPr="000977F7">
        <w:rPr>
          <w:rFonts w:asciiTheme="majorHAnsi" w:hAnsiTheme="majorHAnsi"/>
          <w:i/>
          <w:sz w:val="20"/>
          <w:szCs w:val="20"/>
        </w:rPr>
        <w:t xml:space="preserve"> </w:t>
      </w:r>
      <w:r w:rsidRPr="000977F7">
        <w:rPr>
          <w:rFonts w:asciiTheme="majorHAnsi" w:hAnsiTheme="majorHAnsi"/>
          <w:i/>
          <w:spacing w:val="-1"/>
          <w:w w:val="99"/>
          <w:sz w:val="20"/>
          <w:szCs w:val="20"/>
        </w:rPr>
        <w:t>менеджм</w:t>
      </w:r>
      <w:r w:rsidRPr="000977F7">
        <w:rPr>
          <w:rFonts w:asciiTheme="majorHAnsi" w:hAnsiTheme="majorHAnsi"/>
          <w:i/>
          <w:spacing w:val="3"/>
          <w:w w:val="99"/>
          <w:sz w:val="20"/>
          <w:szCs w:val="20"/>
        </w:rPr>
        <w:t>.-</w:t>
      </w:r>
      <w:r w:rsidRPr="000977F7">
        <w:rPr>
          <w:rFonts w:asciiTheme="majorHAnsi" w:hAnsiTheme="majorHAnsi"/>
          <w:i/>
          <w:w w:val="118"/>
          <w:sz w:val="20"/>
          <w:szCs w:val="20"/>
        </w:rPr>
        <w:t>ту</w:t>
      </w:r>
    </w:p>
    <w:p w14:paraId="4DDFE28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УПРАВЛІННЯ</w:t>
      </w:r>
      <w:r w:rsidRPr="000977F7">
        <w:rPr>
          <w:color w:val="auto"/>
          <w:spacing w:val="-5"/>
          <w:sz w:val="20"/>
          <w:szCs w:val="20"/>
        </w:rPr>
        <w:t xml:space="preserve"> </w:t>
      </w:r>
      <w:r w:rsidRPr="000977F7">
        <w:rPr>
          <w:color w:val="auto"/>
          <w:sz w:val="20"/>
          <w:szCs w:val="20"/>
        </w:rPr>
        <w:t>ІНТЕГРАЦІЄЮ</w:t>
      </w:r>
      <w:r w:rsidRPr="000977F7">
        <w:rPr>
          <w:color w:val="auto"/>
          <w:spacing w:val="-5"/>
          <w:sz w:val="20"/>
          <w:szCs w:val="20"/>
        </w:rPr>
        <w:t xml:space="preserve"> </w:t>
      </w:r>
      <w:r w:rsidRPr="000977F7">
        <w:rPr>
          <w:color w:val="auto"/>
          <w:sz w:val="20"/>
          <w:szCs w:val="20"/>
        </w:rPr>
        <w:t>В</w:t>
      </w:r>
      <w:r w:rsidRPr="000977F7">
        <w:rPr>
          <w:color w:val="auto"/>
          <w:spacing w:val="-3"/>
          <w:sz w:val="20"/>
          <w:szCs w:val="20"/>
        </w:rPr>
        <w:t xml:space="preserve"> </w:t>
      </w:r>
      <w:r w:rsidRPr="000977F7">
        <w:rPr>
          <w:color w:val="auto"/>
          <w:sz w:val="20"/>
          <w:szCs w:val="20"/>
        </w:rPr>
        <w:t>ПРОЕКТІ</w:t>
      </w:r>
      <w:r w:rsidRPr="000977F7">
        <w:rPr>
          <w:color w:val="auto"/>
          <w:spacing w:val="-2"/>
          <w:sz w:val="20"/>
          <w:szCs w:val="20"/>
        </w:rPr>
        <w:t xml:space="preserve"> </w:t>
      </w:r>
      <w:r w:rsidRPr="000977F7">
        <w:rPr>
          <w:color w:val="auto"/>
          <w:sz w:val="20"/>
          <w:szCs w:val="20"/>
        </w:rPr>
        <w:t>–</w:t>
      </w:r>
    </w:p>
    <w:p w14:paraId="210283B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w:t>
      </w:r>
      <w:r w:rsidRPr="000977F7">
        <w:rPr>
          <w:rFonts w:asciiTheme="majorHAnsi" w:hAnsiTheme="majorHAnsi"/>
          <w:spacing w:val="1"/>
          <w:sz w:val="20"/>
          <w:szCs w:val="20"/>
        </w:rPr>
        <w:t xml:space="preserve"> </w:t>
      </w:r>
      <w:r w:rsidRPr="000977F7">
        <w:rPr>
          <w:rFonts w:asciiTheme="majorHAnsi" w:hAnsiTheme="majorHAnsi"/>
          <w:sz w:val="20"/>
          <w:szCs w:val="20"/>
        </w:rPr>
        <w:t>складова</w:t>
      </w:r>
      <w:r w:rsidRPr="000977F7">
        <w:rPr>
          <w:rFonts w:asciiTheme="majorHAnsi" w:hAnsiTheme="majorHAnsi"/>
          <w:spacing w:val="1"/>
          <w:sz w:val="20"/>
          <w:szCs w:val="20"/>
        </w:rPr>
        <w:t xml:space="preserve"> </w:t>
      </w:r>
      <w:r w:rsidRPr="000977F7">
        <w:rPr>
          <w:rFonts w:asciiTheme="majorHAnsi" w:hAnsiTheme="majorHAnsi"/>
          <w:sz w:val="20"/>
          <w:szCs w:val="20"/>
        </w:rPr>
        <w:t>проектного</w:t>
      </w:r>
      <w:r w:rsidRPr="000977F7">
        <w:rPr>
          <w:rFonts w:asciiTheme="majorHAnsi" w:hAnsiTheme="majorHAnsi"/>
          <w:spacing w:val="1"/>
          <w:sz w:val="20"/>
          <w:szCs w:val="20"/>
        </w:rPr>
        <w:t xml:space="preserve"> </w:t>
      </w:r>
      <w:r w:rsidRPr="000977F7">
        <w:rPr>
          <w:rFonts w:asciiTheme="majorHAnsi" w:hAnsiTheme="majorHAnsi"/>
          <w:sz w:val="20"/>
          <w:szCs w:val="20"/>
        </w:rPr>
        <w:t>менеджменту,</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містить</w:t>
      </w:r>
      <w:r w:rsidRPr="000977F7">
        <w:rPr>
          <w:rFonts w:asciiTheme="majorHAnsi" w:hAnsiTheme="majorHAnsi"/>
          <w:spacing w:val="1"/>
          <w:sz w:val="20"/>
          <w:szCs w:val="20"/>
        </w:rPr>
        <w:t xml:space="preserve"> </w:t>
      </w:r>
      <w:r w:rsidRPr="000977F7">
        <w:rPr>
          <w:rFonts w:asciiTheme="majorHAnsi" w:hAnsiTheme="majorHAnsi"/>
          <w:sz w:val="20"/>
          <w:szCs w:val="20"/>
        </w:rPr>
        <w:t>питання забезпечення</w:t>
      </w:r>
      <w:r w:rsidRPr="000977F7">
        <w:rPr>
          <w:rFonts w:asciiTheme="majorHAnsi" w:hAnsiTheme="majorHAnsi"/>
          <w:spacing w:val="1"/>
          <w:sz w:val="20"/>
          <w:szCs w:val="20"/>
        </w:rPr>
        <w:t xml:space="preserve"> </w:t>
      </w:r>
      <w:r w:rsidRPr="000977F7">
        <w:rPr>
          <w:rFonts w:asciiTheme="majorHAnsi" w:hAnsiTheme="majorHAnsi"/>
          <w:sz w:val="20"/>
          <w:szCs w:val="20"/>
        </w:rPr>
        <w:t>високої скоординованості різних</w:t>
      </w:r>
      <w:r w:rsidRPr="000977F7">
        <w:rPr>
          <w:rFonts w:asciiTheme="majorHAnsi" w:hAnsiTheme="majorHAnsi"/>
          <w:spacing w:val="-3"/>
          <w:sz w:val="20"/>
          <w:szCs w:val="20"/>
        </w:rPr>
        <w:t xml:space="preserve"> </w:t>
      </w:r>
      <w:r w:rsidRPr="000977F7">
        <w:rPr>
          <w:rFonts w:asciiTheme="majorHAnsi" w:hAnsiTheme="majorHAnsi"/>
          <w:sz w:val="20"/>
          <w:szCs w:val="20"/>
        </w:rPr>
        <w:t>елементів</w:t>
      </w:r>
      <w:r w:rsidRPr="000977F7">
        <w:rPr>
          <w:rFonts w:asciiTheme="majorHAnsi" w:hAnsiTheme="majorHAnsi"/>
          <w:spacing w:val="-2"/>
          <w:sz w:val="20"/>
          <w:szCs w:val="20"/>
        </w:rPr>
        <w:t xml:space="preserve"> </w:t>
      </w:r>
      <w:r w:rsidRPr="000977F7">
        <w:rPr>
          <w:rFonts w:asciiTheme="majorHAnsi" w:hAnsiTheme="majorHAnsi"/>
          <w:sz w:val="20"/>
          <w:szCs w:val="20"/>
        </w:rPr>
        <w:t>проекту.</w:t>
      </w:r>
      <w:r w:rsidRPr="000977F7">
        <w:rPr>
          <w:rFonts w:asciiTheme="majorHAnsi" w:hAnsiTheme="majorHAnsi"/>
          <w:spacing w:val="-1"/>
          <w:sz w:val="20"/>
          <w:szCs w:val="20"/>
        </w:rPr>
        <w:t xml:space="preserve"> </w:t>
      </w:r>
      <w:r w:rsidRPr="000977F7">
        <w:rPr>
          <w:rFonts w:asciiTheme="majorHAnsi" w:hAnsiTheme="majorHAnsi"/>
          <w:sz w:val="20"/>
          <w:szCs w:val="20"/>
        </w:rPr>
        <w:t>Вона</w:t>
      </w:r>
      <w:r w:rsidRPr="000977F7">
        <w:rPr>
          <w:rFonts w:asciiTheme="majorHAnsi" w:hAnsiTheme="majorHAnsi"/>
          <w:spacing w:val="-1"/>
          <w:sz w:val="20"/>
          <w:szCs w:val="20"/>
        </w:rPr>
        <w:t xml:space="preserve"> </w:t>
      </w:r>
      <w:r w:rsidRPr="000977F7">
        <w:rPr>
          <w:rFonts w:asciiTheme="majorHAnsi" w:hAnsiTheme="majorHAnsi"/>
          <w:sz w:val="20"/>
          <w:szCs w:val="20"/>
        </w:rPr>
        <w:t>має</w:t>
      </w:r>
      <w:r w:rsidRPr="000977F7">
        <w:rPr>
          <w:rFonts w:asciiTheme="majorHAnsi" w:hAnsiTheme="majorHAnsi"/>
          <w:spacing w:val="-1"/>
          <w:sz w:val="20"/>
          <w:szCs w:val="20"/>
        </w:rPr>
        <w:t xml:space="preserve"> </w:t>
      </w:r>
      <w:r w:rsidRPr="000977F7">
        <w:rPr>
          <w:rFonts w:asciiTheme="majorHAnsi" w:hAnsiTheme="majorHAnsi"/>
          <w:sz w:val="20"/>
          <w:szCs w:val="20"/>
        </w:rPr>
        <w:t>такі</w:t>
      </w:r>
      <w:r w:rsidRPr="000977F7">
        <w:rPr>
          <w:rFonts w:asciiTheme="majorHAnsi" w:hAnsiTheme="majorHAnsi"/>
          <w:spacing w:val="-2"/>
          <w:sz w:val="20"/>
          <w:szCs w:val="20"/>
        </w:rPr>
        <w:t xml:space="preserve"> </w:t>
      </w:r>
      <w:r w:rsidRPr="000977F7">
        <w:rPr>
          <w:rFonts w:asciiTheme="majorHAnsi" w:hAnsiTheme="majorHAnsi"/>
          <w:sz w:val="20"/>
          <w:szCs w:val="20"/>
        </w:rPr>
        <w:t>компоненти:</w:t>
      </w:r>
    </w:p>
    <w:p w14:paraId="78835360"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Розробка плану проекту – отримання результатів</w:t>
      </w:r>
      <w:r w:rsidRPr="000977F7">
        <w:rPr>
          <w:rFonts w:asciiTheme="majorHAnsi" w:hAnsiTheme="majorHAnsi"/>
          <w:spacing w:val="1"/>
          <w:sz w:val="20"/>
          <w:szCs w:val="20"/>
        </w:rPr>
        <w:t xml:space="preserve"> </w:t>
      </w:r>
      <w:r w:rsidRPr="000977F7">
        <w:rPr>
          <w:rFonts w:asciiTheme="majorHAnsi" w:hAnsiTheme="majorHAnsi"/>
          <w:sz w:val="20"/>
          <w:szCs w:val="20"/>
        </w:rPr>
        <w:t>інших</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r w:rsidRPr="000977F7">
        <w:rPr>
          <w:rFonts w:asciiTheme="majorHAnsi" w:hAnsiTheme="majorHAnsi"/>
          <w:spacing w:val="1"/>
          <w:sz w:val="20"/>
          <w:szCs w:val="20"/>
        </w:rPr>
        <w:t xml:space="preserve"> </w:t>
      </w:r>
      <w:r w:rsidRPr="000977F7">
        <w:rPr>
          <w:rFonts w:asciiTheme="majorHAnsi" w:hAnsiTheme="majorHAnsi"/>
          <w:sz w:val="20"/>
          <w:szCs w:val="20"/>
        </w:rPr>
        <w:t>планування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об’єднання</w:t>
      </w:r>
      <w:r w:rsidRPr="000977F7">
        <w:rPr>
          <w:rFonts w:asciiTheme="majorHAnsi" w:hAnsiTheme="majorHAnsi"/>
          <w:spacing w:val="1"/>
          <w:sz w:val="20"/>
          <w:szCs w:val="20"/>
        </w:rPr>
        <w:t xml:space="preserve"> </w:t>
      </w:r>
      <w:r w:rsidRPr="000977F7">
        <w:rPr>
          <w:rFonts w:asciiTheme="majorHAnsi" w:hAnsiTheme="majorHAnsi"/>
          <w:sz w:val="20"/>
          <w:szCs w:val="20"/>
        </w:rPr>
        <w:t>їх</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один узгоджений</w:t>
      </w:r>
      <w:r w:rsidRPr="000977F7">
        <w:rPr>
          <w:rFonts w:asciiTheme="majorHAnsi" w:hAnsiTheme="majorHAnsi"/>
          <w:spacing w:val="-2"/>
          <w:sz w:val="20"/>
          <w:szCs w:val="20"/>
        </w:rPr>
        <w:t xml:space="preserve"> </w:t>
      </w:r>
      <w:r w:rsidRPr="000977F7">
        <w:rPr>
          <w:rFonts w:asciiTheme="majorHAnsi" w:hAnsiTheme="majorHAnsi"/>
          <w:sz w:val="20"/>
          <w:szCs w:val="20"/>
        </w:rPr>
        <w:t>чіткий</w:t>
      </w:r>
      <w:r w:rsidRPr="000977F7">
        <w:rPr>
          <w:rFonts w:asciiTheme="majorHAnsi" w:hAnsiTheme="majorHAnsi"/>
          <w:spacing w:val="1"/>
          <w:sz w:val="20"/>
          <w:szCs w:val="20"/>
        </w:rPr>
        <w:t xml:space="preserve"> </w:t>
      </w:r>
      <w:r w:rsidRPr="000977F7">
        <w:rPr>
          <w:rFonts w:asciiTheme="majorHAnsi" w:hAnsiTheme="majorHAnsi"/>
          <w:sz w:val="20"/>
          <w:szCs w:val="20"/>
        </w:rPr>
        <w:t>документ.</w:t>
      </w:r>
    </w:p>
    <w:p w14:paraId="6122728C"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Виконання плану проекту – реалізація плану проекту</w:t>
      </w:r>
      <w:r w:rsidRPr="000977F7">
        <w:rPr>
          <w:rFonts w:asciiTheme="majorHAnsi" w:hAnsiTheme="majorHAnsi"/>
          <w:spacing w:val="1"/>
          <w:sz w:val="20"/>
          <w:szCs w:val="20"/>
        </w:rPr>
        <w:t xml:space="preserve"> </w:t>
      </w:r>
      <w:r w:rsidRPr="000977F7">
        <w:rPr>
          <w:rFonts w:asciiTheme="majorHAnsi" w:hAnsiTheme="majorHAnsi"/>
          <w:sz w:val="20"/>
          <w:szCs w:val="20"/>
        </w:rPr>
        <w:t>шляхом</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робіт,</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увійшли</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нього.</w:t>
      </w:r>
    </w:p>
    <w:p w14:paraId="01915BA0"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Загальний</w:t>
      </w:r>
      <w:r w:rsidRPr="000977F7">
        <w:rPr>
          <w:rFonts w:asciiTheme="majorHAnsi" w:hAnsiTheme="majorHAnsi"/>
          <w:spacing w:val="1"/>
          <w:sz w:val="20"/>
          <w:szCs w:val="20"/>
        </w:rPr>
        <w:t xml:space="preserve"> </w:t>
      </w:r>
      <w:r w:rsidRPr="000977F7">
        <w:rPr>
          <w:rFonts w:asciiTheme="majorHAnsi" w:hAnsiTheme="majorHAnsi"/>
          <w:sz w:val="20"/>
          <w:szCs w:val="20"/>
        </w:rPr>
        <w:t>контроль</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змінами</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50"/>
          <w:sz w:val="20"/>
          <w:szCs w:val="20"/>
        </w:rPr>
        <w:t xml:space="preserve"> </w:t>
      </w:r>
      <w:r w:rsidRPr="000977F7">
        <w:rPr>
          <w:rFonts w:asciiTheme="majorHAnsi" w:hAnsiTheme="majorHAnsi"/>
          <w:sz w:val="20"/>
          <w:szCs w:val="20"/>
        </w:rPr>
        <w:t>координація</w:t>
      </w:r>
      <w:r w:rsidRPr="000977F7">
        <w:rPr>
          <w:rFonts w:asciiTheme="majorHAnsi" w:hAnsiTheme="majorHAnsi"/>
          <w:spacing w:val="1"/>
          <w:sz w:val="20"/>
          <w:szCs w:val="20"/>
        </w:rPr>
        <w:t xml:space="preserve"> </w:t>
      </w:r>
      <w:r w:rsidRPr="000977F7">
        <w:rPr>
          <w:rFonts w:asciiTheme="majorHAnsi" w:hAnsiTheme="majorHAnsi"/>
          <w:sz w:val="20"/>
          <w:szCs w:val="20"/>
        </w:rPr>
        <w:t>змін</w:t>
      </w:r>
      <w:r w:rsidRPr="000977F7">
        <w:rPr>
          <w:rFonts w:asciiTheme="majorHAnsi" w:hAnsiTheme="majorHAnsi"/>
          <w:spacing w:val="48"/>
          <w:sz w:val="20"/>
          <w:szCs w:val="20"/>
        </w:rPr>
        <w:t xml:space="preserve"> </w:t>
      </w:r>
      <w:r w:rsidRPr="000977F7">
        <w:rPr>
          <w:rFonts w:asciiTheme="majorHAnsi" w:hAnsiTheme="majorHAnsi"/>
          <w:sz w:val="20"/>
          <w:szCs w:val="20"/>
        </w:rPr>
        <w:t>по</w:t>
      </w:r>
      <w:r w:rsidRPr="000977F7">
        <w:rPr>
          <w:rFonts w:asciiTheme="majorHAnsi" w:hAnsiTheme="majorHAnsi"/>
          <w:spacing w:val="1"/>
          <w:sz w:val="20"/>
          <w:szCs w:val="20"/>
        </w:rPr>
        <w:t xml:space="preserve"> </w:t>
      </w:r>
      <w:r w:rsidRPr="000977F7">
        <w:rPr>
          <w:rFonts w:asciiTheme="majorHAnsi" w:hAnsiTheme="majorHAnsi"/>
          <w:sz w:val="20"/>
          <w:szCs w:val="20"/>
        </w:rPr>
        <w:t>всьому</w:t>
      </w:r>
      <w:r w:rsidRPr="000977F7">
        <w:rPr>
          <w:rFonts w:asciiTheme="majorHAnsi" w:hAnsiTheme="majorHAnsi"/>
          <w:spacing w:val="-4"/>
          <w:sz w:val="20"/>
          <w:szCs w:val="20"/>
        </w:rPr>
        <w:t xml:space="preserve"> </w:t>
      </w:r>
      <w:r w:rsidRPr="000977F7">
        <w:rPr>
          <w:rFonts w:asciiTheme="majorHAnsi" w:hAnsiTheme="majorHAnsi"/>
          <w:sz w:val="20"/>
          <w:szCs w:val="20"/>
        </w:rPr>
        <w:t>проекту</w:t>
      </w:r>
    </w:p>
    <w:p w14:paraId="4074B8C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
          <w:w w:val="99"/>
          <w:sz w:val="20"/>
          <w:szCs w:val="20"/>
        </w:rPr>
        <w:t>Ке</w:t>
      </w:r>
      <w:r w:rsidRPr="000977F7">
        <w:rPr>
          <w:rFonts w:asciiTheme="majorHAnsi" w:hAnsiTheme="majorHAnsi"/>
          <w:i/>
          <w:w w:val="99"/>
          <w:sz w:val="20"/>
          <w:szCs w:val="20"/>
        </w:rPr>
        <w:t>р.</w:t>
      </w:r>
      <w:r w:rsidRPr="000977F7">
        <w:rPr>
          <w:rFonts w:asciiTheme="majorHAnsi" w:hAnsiTheme="majorHAnsi"/>
          <w:i/>
          <w:sz w:val="20"/>
          <w:szCs w:val="20"/>
        </w:rPr>
        <w:t xml:space="preserve"> </w:t>
      </w:r>
      <w:r w:rsidRPr="000977F7">
        <w:rPr>
          <w:rFonts w:asciiTheme="majorHAnsi" w:hAnsiTheme="majorHAnsi"/>
          <w:i/>
          <w:spacing w:val="1"/>
          <w:w w:val="99"/>
          <w:sz w:val="20"/>
          <w:szCs w:val="20"/>
        </w:rPr>
        <w:t>про</w:t>
      </w:r>
      <w:r w:rsidRPr="000977F7">
        <w:rPr>
          <w:rFonts w:asciiTheme="majorHAnsi" w:hAnsiTheme="majorHAnsi"/>
          <w:i/>
          <w:w w:val="99"/>
          <w:sz w:val="20"/>
          <w:szCs w:val="20"/>
        </w:rPr>
        <w:t>ек</w:t>
      </w:r>
      <w:r w:rsidRPr="000977F7">
        <w:rPr>
          <w:rFonts w:asciiTheme="majorHAnsi" w:hAnsiTheme="majorHAnsi"/>
          <w:i/>
          <w:spacing w:val="-1"/>
          <w:w w:val="99"/>
          <w:sz w:val="20"/>
          <w:szCs w:val="20"/>
        </w:rPr>
        <w:t>тн</w:t>
      </w:r>
      <w:r w:rsidRPr="000977F7">
        <w:rPr>
          <w:rFonts w:asciiTheme="majorHAnsi" w:hAnsiTheme="majorHAnsi"/>
          <w:i/>
          <w:w w:val="99"/>
          <w:sz w:val="20"/>
          <w:szCs w:val="20"/>
        </w:rPr>
        <w:t>.</w:t>
      </w:r>
      <w:r w:rsidRPr="000977F7">
        <w:rPr>
          <w:rFonts w:asciiTheme="majorHAnsi" w:hAnsiTheme="majorHAnsi"/>
          <w:i/>
          <w:sz w:val="20"/>
          <w:szCs w:val="20"/>
        </w:rPr>
        <w:t xml:space="preserve"> </w:t>
      </w:r>
      <w:r w:rsidRPr="000977F7">
        <w:rPr>
          <w:rFonts w:asciiTheme="majorHAnsi" w:hAnsiTheme="majorHAnsi"/>
          <w:i/>
          <w:spacing w:val="-1"/>
          <w:w w:val="99"/>
          <w:sz w:val="20"/>
          <w:szCs w:val="20"/>
        </w:rPr>
        <w:t>менеджм</w:t>
      </w:r>
      <w:r w:rsidRPr="000977F7">
        <w:rPr>
          <w:rFonts w:asciiTheme="majorHAnsi" w:hAnsiTheme="majorHAnsi"/>
          <w:i/>
          <w:spacing w:val="3"/>
          <w:w w:val="99"/>
          <w:sz w:val="20"/>
          <w:szCs w:val="20"/>
        </w:rPr>
        <w:t>.</w:t>
      </w:r>
      <w:r w:rsidRPr="000977F7">
        <w:rPr>
          <w:rFonts w:asciiTheme="majorHAnsi" w:hAnsiTheme="majorHAnsi"/>
          <w:i/>
          <w:w w:val="99"/>
          <w:sz w:val="20"/>
          <w:szCs w:val="20"/>
        </w:rPr>
        <w:t>-</w:t>
      </w:r>
      <w:r w:rsidRPr="000977F7">
        <w:rPr>
          <w:rFonts w:asciiTheme="majorHAnsi" w:hAnsiTheme="majorHAnsi"/>
          <w:i/>
          <w:spacing w:val="2"/>
          <w:w w:val="99"/>
          <w:sz w:val="20"/>
          <w:szCs w:val="20"/>
        </w:rPr>
        <w:t>т</w:t>
      </w:r>
      <w:r w:rsidRPr="000977F7">
        <w:rPr>
          <w:rFonts w:asciiTheme="majorHAnsi" w:hAnsiTheme="majorHAnsi"/>
          <w:i/>
          <w:w w:val="137"/>
          <w:sz w:val="20"/>
          <w:szCs w:val="20"/>
        </w:rPr>
        <w:t>у</w:t>
      </w:r>
    </w:p>
    <w:p w14:paraId="58E1983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УПРАВЛІННЯ ІНФОРМАЦІЙНИМ ЗВ’ЯКОМ У</w:t>
      </w:r>
      <w:r w:rsidRPr="000977F7">
        <w:rPr>
          <w:color w:val="auto"/>
          <w:spacing w:val="-47"/>
          <w:sz w:val="20"/>
          <w:szCs w:val="20"/>
        </w:rPr>
        <w:t xml:space="preserve"> </w:t>
      </w:r>
      <w:r w:rsidRPr="000977F7">
        <w:rPr>
          <w:color w:val="auto"/>
          <w:sz w:val="20"/>
          <w:szCs w:val="20"/>
        </w:rPr>
        <w:t>ПРОЕКТІ</w:t>
      </w:r>
      <w:r w:rsidRPr="000977F7">
        <w:rPr>
          <w:color w:val="auto"/>
          <w:spacing w:val="-1"/>
          <w:sz w:val="20"/>
          <w:szCs w:val="20"/>
        </w:rPr>
        <w:t xml:space="preserve"> </w:t>
      </w:r>
      <w:r w:rsidRPr="000977F7">
        <w:rPr>
          <w:color w:val="auto"/>
          <w:sz w:val="20"/>
          <w:szCs w:val="20"/>
        </w:rPr>
        <w:t>–</w:t>
      </w:r>
    </w:p>
    <w:p w14:paraId="619946D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4D2D14">
        <w:rPr>
          <w:rFonts w:asciiTheme="majorHAnsi" w:hAnsiTheme="majorHAnsi"/>
          <w:sz w:val="20"/>
          <w:szCs w:val="20"/>
          <w:lang w:val="uk-UA"/>
        </w:rPr>
        <w:t>Це</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складова</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проектного</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менеджменту,</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яка</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включає</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дії,</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необхідні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забезпечення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своєчасного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отримання,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збору,</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поширення,</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зберігання</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кінцевого</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розміщення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проектної</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інформації.</w:t>
      </w:r>
      <w:r w:rsidRPr="004D2D14">
        <w:rPr>
          <w:rFonts w:asciiTheme="majorHAnsi" w:hAnsiTheme="majorHAnsi"/>
          <w:spacing w:val="-9"/>
          <w:sz w:val="20"/>
          <w:szCs w:val="20"/>
          <w:lang w:val="uk-UA"/>
        </w:rPr>
        <w:t xml:space="preserve"> </w:t>
      </w:r>
      <w:r w:rsidRPr="000977F7">
        <w:rPr>
          <w:rFonts w:asciiTheme="majorHAnsi" w:hAnsiTheme="majorHAnsi"/>
          <w:sz w:val="20"/>
          <w:szCs w:val="20"/>
        </w:rPr>
        <w:t>Вона</w:t>
      </w:r>
      <w:r w:rsidRPr="000977F7">
        <w:rPr>
          <w:rFonts w:asciiTheme="majorHAnsi" w:hAnsiTheme="majorHAnsi"/>
          <w:spacing w:val="-8"/>
          <w:sz w:val="20"/>
          <w:szCs w:val="20"/>
        </w:rPr>
        <w:t xml:space="preserve"> </w:t>
      </w:r>
      <w:r w:rsidRPr="000977F7">
        <w:rPr>
          <w:rFonts w:asciiTheme="majorHAnsi" w:hAnsiTheme="majorHAnsi"/>
          <w:sz w:val="20"/>
          <w:szCs w:val="20"/>
        </w:rPr>
        <w:t>має</w:t>
      </w:r>
      <w:r w:rsidRPr="000977F7">
        <w:rPr>
          <w:rFonts w:asciiTheme="majorHAnsi" w:hAnsiTheme="majorHAnsi"/>
          <w:spacing w:val="-9"/>
          <w:sz w:val="20"/>
          <w:szCs w:val="20"/>
        </w:rPr>
        <w:t xml:space="preserve"> </w:t>
      </w:r>
      <w:r w:rsidRPr="000977F7">
        <w:rPr>
          <w:rFonts w:asciiTheme="majorHAnsi" w:hAnsiTheme="majorHAnsi"/>
          <w:sz w:val="20"/>
          <w:szCs w:val="20"/>
        </w:rPr>
        <w:t>такі</w:t>
      </w:r>
      <w:r w:rsidRPr="000977F7">
        <w:rPr>
          <w:rFonts w:asciiTheme="majorHAnsi" w:hAnsiTheme="majorHAnsi"/>
          <w:spacing w:val="-10"/>
          <w:sz w:val="20"/>
          <w:szCs w:val="20"/>
        </w:rPr>
        <w:t xml:space="preserve"> </w:t>
      </w:r>
      <w:r w:rsidRPr="000977F7">
        <w:rPr>
          <w:rFonts w:asciiTheme="majorHAnsi" w:hAnsiTheme="majorHAnsi"/>
          <w:sz w:val="20"/>
          <w:szCs w:val="20"/>
        </w:rPr>
        <w:t>компоненти:</w:t>
      </w:r>
    </w:p>
    <w:p w14:paraId="503F0C7B"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Планування інформаційного зв’язку – визначення</w:t>
      </w:r>
      <w:r w:rsidRPr="000977F7">
        <w:rPr>
          <w:rFonts w:asciiTheme="majorHAnsi" w:hAnsiTheme="majorHAnsi"/>
          <w:spacing w:val="1"/>
          <w:sz w:val="20"/>
          <w:szCs w:val="20"/>
        </w:rPr>
        <w:t xml:space="preserve"> </w:t>
      </w:r>
      <w:r w:rsidRPr="000977F7">
        <w:rPr>
          <w:rFonts w:asciiTheme="majorHAnsi" w:hAnsiTheme="majorHAnsi"/>
          <w:spacing w:val="-1"/>
          <w:sz w:val="20"/>
          <w:szCs w:val="20"/>
        </w:rPr>
        <w:t>інформаційних</w:t>
      </w:r>
      <w:r w:rsidRPr="000977F7">
        <w:rPr>
          <w:rFonts w:asciiTheme="majorHAnsi" w:hAnsiTheme="majorHAnsi"/>
          <w:spacing w:val="-9"/>
          <w:sz w:val="20"/>
          <w:szCs w:val="20"/>
        </w:rPr>
        <w:t xml:space="preserve"> </w:t>
      </w:r>
      <w:r w:rsidRPr="000977F7">
        <w:rPr>
          <w:rFonts w:asciiTheme="majorHAnsi" w:hAnsiTheme="majorHAnsi"/>
          <w:sz w:val="20"/>
          <w:szCs w:val="20"/>
        </w:rPr>
        <w:t>і</w:t>
      </w:r>
      <w:r w:rsidRPr="000977F7">
        <w:rPr>
          <w:rFonts w:asciiTheme="majorHAnsi" w:hAnsiTheme="majorHAnsi"/>
          <w:spacing w:val="-7"/>
          <w:sz w:val="20"/>
          <w:szCs w:val="20"/>
        </w:rPr>
        <w:t xml:space="preserve"> </w:t>
      </w:r>
      <w:r w:rsidRPr="000977F7">
        <w:rPr>
          <w:rFonts w:asciiTheme="majorHAnsi" w:hAnsiTheme="majorHAnsi"/>
          <w:sz w:val="20"/>
          <w:szCs w:val="20"/>
        </w:rPr>
        <w:t>комунікаційних</w:t>
      </w:r>
      <w:r w:rsidRPr="000977F7">
        <w:rPr>
          <w:rFonts w:asciiTheme="majorHAnsi" w:hAnsiTheme="majorHAnsi"/>
          <w:spacing w:val="-8"/>
          <w:sz w:val="20"/>
          <w:szCs w:val="20"/>
        </w:rPr>
        <w:t xml:space="preserve"> </w:t>
      </w:r>
      <w:r w:rsidRPr="000977F7">
        <w:rPr>
          <w:rFonts w:asciiTheme="majorHAnsi" w:hAnsiTheme="majorHAnsi"/>
          <w:sz w:val="20"/>
          <w:szCs w:val="20"/>
        </w:rPr>
        <w:t>потреб</w:t>
      </w:r>
      <w:r w:rsidRPr="000977F7">
        <w:rPr>
          <w:rFonts w:asciiTheme="majorHAnsi" w:hAnsiTheme="majorHAnsi"/>
          <w:spacing w:val="-8"/>
          <w:sz w:val="20"/>
          <w:szCs w:val="20"/>
        </w:rPr>
        <w:t xml:space="preserve"> </w:t>
      </w:r>
      <w:r w:rsidRPr="000977F7">
        <w:rPr>
          <w:rFonts w:asciiTheme="majorHAnsi" w:hAnsiTheme="majorHAnsi"/>
          <w:sz w:val="20"/>
          <w:szCs w:val="20"/>
        </w:rPr>
        <w:t>зацікавлених осіб: хто в якій інформації має потребу, коли</w:t>
      </w:r>
      <w:r w:rsidRPr="000977F7">
        <w:rPr>
          <w:rFonts w:asciiTheme="majorHAnsi" w:hAnsiTheme="majorHAnsi"/>
          <w:spacing w:val="1"/>
          <w:sz w:val="20"/>
          <w:szCs w:val="20"/>
        </w:rPr>
        <w:t xml:space="preserve"> </w:t>
      </w:r>
      <w:r w:rsidRPr="000977F7">
        <w:rPr>
          <w:rFonts w:asciiTheme="majorHAnsi" w:hAnsiTheme="majorHAnsi"/>
          <w:spacing w:val="-1"/>
          <w:sz w:val="20"/>
          <w:szCs w:val="20"/>
        </w:rPr>
        <w:t>вона</w:t>
      </w:r>
      <w:r w:rsidRPr="000977F7">
        <w:rPr>
          <w:rFonts w:asciiTheme="majorHAnsi" w:hAnsiTheme="majorHAnsi"/>
          <w:spacing w:val="-9"/>
          <w:sz w:val="20"/>
          <w:szCs w:val="20"/>
        </w:rPr>
        <w:t xml:space="preserve"> </w:t>
      </w:r>
      <w:r w:rsidRPr="000977F7">
        <w:rPr>
          <w:rFonts w:asciiTheme="majorHAnsi" w:hAnsiTheme="majorHAnsi"/>
          <w:spacing w:val="-1"/>
          <w:sz w:val="20"/>
          <w:szCs w:val="20"/>
        </w:rPr>
        <w:t>їм</w:t>
      </w:r>
      <w:r w:rsidRPr="000977F7">
        <w:rPr>
          <w:rFonts w:asciiTheme="majorHAnsi" w:hAnsiTheme="majorHAnsi"/>
          <w:spacing w:val="-11"/>
          <w:sz w:val="20"/>
          <w:szCs w:val="20"/>
        </w:rPr>
        <w:t xml:space="preserve"> </w:t>
      </w:r>
      <w:r w:rsidRPr="000977F7">
        <w:rPr>
          <w:rFonts w:asciiTheme="majorHAnsi" w:hAnsiTheme="majorHAnsi"/>
          <w:spacing w:val="-1"/>
          <w:sz w:val="20"/>
          <w:szCs w:val="20"/>
        </w:rPr>
        <w:t>знадобиться</w:t>
      </w:r>
      <w:r w:rsidRPr="000977F7">
        <w:rPr>
          <w:rFonts w:asciiTheme="majorHAnsi" w:hAnsiTheme="majorHAnsi"/>
          <w:spacing w:val="-11"/>
          <w:sz w:val="20"/>
          <w:szCs w:val="20"/>
        </w:rPr>
        <w:t xml:space="preserve"> </w:t>
      </w:r>
      <w:r w:rsidRPr="000977F7">
        <w:rPr>
          <w:rFonts w:asciiTheme="majorHAnsi" w:hAnsiTheme="majorHAnsi"/>
          <w:sz w:val="20"/>
          <w:szCs w:val="20"/>
        </w:rPr>
        <w:t>і</w:t>
      </w:r>
      <w:r w:rsidRPr="000977F7">
        <w:rPr>
          <w:rFonts w:asciiTheme="majorHAnsi" w:hAnsiTheme="majorHAnsi"/>
          <w:spacing w:val="-11"/>
          <w:sz w:val="20"/>
          <w:szCs w:val="20"/>
        </w:rPr>
        <w:t xml:space="preserve"> </w:t>
      </w:r>
      <w:r w:rsidRPr="000977F7">
        <w:rPr>
          <w:rFonts w:asciiTheme="majorHAnsi" w:hAnsiTheme="majorHAnsi"/>
          <w:sz w:val="20"/>
          <w:szCs w:val="20"/>
        </w:rPr>
        <w:t>як</w:t>
      </w:r>
      <w:r w:rsidRPr="000977F7">
        <w:rPr>
          <w:rFonts w:asciiTheme="majorHAnsi" w:hAnsiTheme="majorHAnsi"/>
          <w:spacing w:val="-11"/>
          <w:sz w:val="20"/>
          <w:szCs w:val="20"/>
        </w:rPr>
        <w:t xml:space="preserve"> </w:t>
      </w:r>
      <w:r w:rsidRPr="000977F7">
        <w:rPr>
          <w:rFonts w:asciiTheme="majorHAnsi" w:hAnsiTheme="majorHAnsi"/>
          <w:sz w:val="20"/>
          <w:szCs w:val="20"/>
        </w:rPr>
        <w:t>вона</w:t>
      </w:r>
      <w:r w:rsidRPr="000977F7">
        <w:rPr>
          <w:rFonts w:asciiTheme="majorHAnsi" w:hAnsiTheme="majorHAnsi"/>
          <w:spacing w:val="-9"/>
          <w:sz w:val="20"/>
          <w:szCs w:val="20"/>
        </w:rPr>
        <w:t xml:space="preserve"> </w:t>
      </w:r>
      <w:r w:rsidRPr="000977F7">
        <w:rPr>
          <w:rFonts w:asciiTheme="majorHAnsi" w:hAnsiTheme="majorHAnsi"/>
          <w:sz w:val="20"/>
          <w:szCs w:val="20"/>
        </w:rPr>
        <w:t>до</w:t>
      </w:r>
      <w:r w:rsidRPr="000977F7">
        <w:rPr>
          <w:rFonts w:asciiTheme="majorHAnsi" w:hAnsiTheme="majorHAnsi"/>
          <w:spacing w:val="-10"/>
          <w:sz w:val="20"/>
          <w:szCs w:val="20"/>
        </w:rPr>
        <w:t xml:space="preserve"> </w:t>
      </w:r>
      <w:r w:rsidRPr="000977F7">
        <w:rPr>
          <w:rFonts w:asciiTheme="majorHAnsi" w:hAnsiTheme="majorHAnsi"/>
          <w:sz w:val="20"/>
          <w:szCs w:val="20"/>
        </w:rPr>
        <w:t>них</w:t>
      </w:r>
      <w:r w:rsidRPr="000977F7">
        <w:rPr>
          <w:rFonts w:asciiTheme="majorHAnsi" w:hAnsiTheme="majorHAnsi"/>
          <w:spacing w:val="-11"/>
          <w:sz w:val="20"/>
          <w:szCs w:val="20"/>
        </w:rPr>
        <w:t xml:space="preserve"> </w:t>
      </w:r>
      <w:r w:rsidRPr="000977F7">
        <w:rPr>
          <w:rFonts w:asciiTheme="majorHAnsi" w:hAnsiTheme="majorHAnsi"/>
          <w:sz w:val="20"/>
          <w:szCs w:val="20"/>
        </w:rPr>
        <w:t>надходитиме.</w:t>
      </w:r>
    </w:p>
    <w:p w14:paraId="1DCE9FE1"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Поширення інформації – своєчасне надання необхідної</w:t>
      </w:r>
      <w:r w:rsidRPr="000977F7">
        <w:rPr>
          <w:rFonts w:asciiTheme="majorHAnsi" w:hAnsiTheme="majorHAnsi"/>
          <w:spacing w:val="-4"/>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3"/>
          <w:sz w:val="20"/>
          <w:szCs w:val="20"/>
        </w:rPr>
        <w:t xml:space="preserve"> </w:t>
      </w:r>
      <w:r w:rsidRPr="000977F7">
        <w:rPr>
          <w:rFonts w:asciiTheme="majorHAnsi" w:hAnsiTheme="majorHAnsi"/>
          <w:sz w:val="20"/>
          <w:szCs w:val="20"/>
        </w:rPr>
        <w:t>зацікавленим</w:t>
      </w:r>
      <w:r w:rsidRPr="000977F7">
        <w:rPr>
          <w:rFonts w:asciiTheme="majorHAnsi" w:hAnsiTheme="majorHAnsi"/>
          <w:spacing w:val="-1"/>
          <w:sz w:val="20"/>
          <w:szCs w:val="20"/>
        </w:rPr>
        <w:t xml:space="preserve"> </w:t>
      </w:r>
      <w:r w:rsidRPr="000977F7">
        <w:rPr>
          <w:rFonts w:asciiTheme="majorHAnsi" w:hAnsiTheme="majorHAnsi"/>
          <w:sz w:val="20"/>
          <w:szCs w:val="20"/>
        </w:rPr>
        <w:t>особам</w:t>
      </w:r>
      <w:r w:rsidRPr="000977F7">
        <w:rPr>
          <w:rFonts w:asciiTheme="majorHAnsi" w:hAnsiTheme="majorHAnsi"/>
          <w:spacing w:val="-2"/>
          <w:sz w:val="20"/>
          <w:szCs w:val="20"/>
        </w:rPr>
        <w:t xml:space="preserve"> </w:t>
      </w:r>
      <w:r w:rsidRPr="000977F7">
        <w:rPr>
          <w:rFonts w:asciiTheme="majorHAnsi" w:hAnsiTheme="majorHAnsi"/>
          <w:sz w:val="20"/>
          <w:szCs w:val="20"/>
        </w:rPr>
        <w:t>проекту.</w:t>
      </w:r>
    </w:p>
    <w:p w14:paraId="1AD8425F"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Звітування про виконання проекту – збір і поширення</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інформації</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Цей</w:t>
      </w:r>
      <w:r w:rsidRPr="000977F7">
        <w:rPr>
          <w:rFonts w:asciiTheme="majorHAnsi" w:hAnsiTheme="majorHAnsi"/>
          <w:spacing w:val="1"/>
          <w:sz w:val="20"/>
          <w:szCs w:val="20"/>
        </w:rPr>
        <w:t xml:space="preserve"> </w:t>
      </w:r>
      <w:r w:rsidRPr="000977F7">
        <w:rPr>
          <w:rFonts w:asciiTheme="majorHAnsi" w:hAnsiTheme="majorHAnsi"/>
          <w:sz w:val="20"/>
          <w:szCs w:val="20"/>
        </w:rPr>
        <w:t>процес</w:t>
      </w:r>
      <w:r w:rsidRPr="000977F7">
        <w:rPr>
          <w:rFonts w:asciiTheme="majorHAnsi" w:hAnsiTheme="majorHAnsi"/>
          <w:spacing w:val="1"/>
          <w:sz w:val="20"/>
          <w:szCs w:val="20"/>
        </w:rPr>
        <w:t xml:space="preserve"> </w:t>
      </w:r>
      <w:r w:rsidRPr="000977F7">
        <w:rPr>
          <w:rFonts w:asciiTheme="majorHAnsi" w:hAnsiTheme="majorHAnsi"/>
          <w:sz w:val="20"/>
          <w:szCs w:val="20"/>
        </w:rPr>
        <w:t>включає складання звітів про стан, контроль виконання</w:t>
      </w:r>
      <w:r w:rsidRPr="000977F7">
        <w:rPr>
          <w:rFonts w:asciiTheme="majorHAnsi" w:hAnsiTheme="majorHAnsi"/>
          <w:spacing w:val="1"/>
          <w:sz w:val="20"/>
          <w:szCs w:val="20"/>
        </w:rPr>
        <w:t xml:space="preserve"> </w:t>
      </w:r>
      <w:r w:rsidRPr="000977F7">
        <w:rPr>
          <w:rFonts w:asciiTheme="majorHAnsi" w:hAnsiTheme="majorHAnsi"/>
          <w:sz w:val="20"/>
          <w:szCs w:val="20"/>
        </w:rPr>
        <w:t>та прогнозування.</w:t>
      </w:r>
    </w:p>
    <w:p w14:paraId="757702DC"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Адміністративне закриття проекту – отримання,</w:t>
      </w:r>
      <w:r w:rsidRPr="000977F7">
        <w:rPr>
          <w:rFonts w:asciiTheme="majorHAnsi" w:hAnsiTheme="majorHAnsi"/>
          <w:spacing w:val="1"/>
          <w:sz w:val="20"/>
          <w:szCs w:val="20"/>
        </w:rPr>
        <w:t xml:space="preserve"> </w:t>
      </w:r>
      <w:r w:rsidRPr="000977F7">
        <w:rPr>
          <w:rFonts w:asciiTheme="majorHAnsi" w:hAnsiTheme="majorHAnsi"/>
          <w:sz w:val="20"/>
          <w:szCs w:val="20"/>
        </w:rPr>
        <w:t>збір і поширення інформації для документально</w:t>
      </w:r>
      <w:r w:rsidRPr="000977F7">
        <w:rPr>
          <w:rFonts w:asciiTheme="majorHAnsi" w:hAnsiTheme="majorHAnsi"/>
          <w:spacing w:val="1"/>
          <w:sz w:val="20"/>
          <w:szCs w:val="20"/>
        </w:rPr>
        <w:t xml:space="preserve"> </w:t>
      </w:r>
      <w:r w:rsidRPr="000977F7">
        <w:rPr>
          <w:rFonts w:asciiTheme="majorHAnsi" w:hAnsiTheme="majorHAnsi"/>
          <w:sz w:val="20"/>
          <w:szCs w:val="20"/>
        </w:rPr>
        <w:t>оформленого завершення всього проекту або однієї</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фаз</w:t>
      </w:r>
    </w:p>
    <w:p w14:paraId="71B5B5A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
          <w:w w:val="99"/>
          <w:sz w:val="20"/>
          <w:szCs w:val="20"/>
        </w:rPr>
        <w:t>Ке</w:t>
      </w:r>
      <w:r w:rsidRPr="000977F7">
        <w:rPr>
          <w:rFonts w:asciiTheme="majorHAnsi" w:hAnsiTheme="majorHAnsi"/>
          <w:i/>
          <w:w w:val="99"/>
          <w:sz w:val="20"/>
          <w:szCs w:val="20"/>
        </w:rPr>
        <w:t>р.</w:t>
      </w:r>
      <w:r w:rsidRPr="000977F7">
        <w:rPr>
          <w:rFonts w:asciiTheme="majorHAnsi" w:hAnsiTheme="majorHAnsi"/>
          <w:i/>
          <w:sz w:val="20"/>
          <w:szCs w:val="20"/>
        </w:rPr>
        <w:t xml:space="preserve"> </w:t>
      </w:r>
      <w:r w:rsidRPr="000977F7">
        <w:rPr>
          <w:rFonts w:asciiTheme="majorHAnsi" w:hAnsiTheme="majorHAnsi"/>
          <w:i/>
          <w:spacing w:val="1"/>
          <w:w w:val="99"/>
          <w:sz w:val="20"/>
          <w:szCs w:val="20"/>
        </w:rPr>
        <w:t>про</w:t>
      </w:r>
      <w:r w:rsidRPr="000977F7">
        <w:rPr>
          <w:rFonts w:asciiTheme="majorHAnsi" w:hAnsiTheme="majorHAnsi"/>
          <w:i/>
          <w:w w:val="99"/>
          <w:sz w:val="20"/>
          <w:szCs w:val="20"/>
        </w:rPr>
        <w:t>ек</w:t>
      </w:r>
      <w:r w:rsidRPr="000977F7">
        <w:rPr>
          <w:rFonts w:asciiTheme="majorHAnsi" w:hAnsiTheme="majorHAnsi"/>
          <w:i/>
          <w:spacing w:val="-1"/>
          <w:w w:val="99"/>
          <w:sz w:val="20"/>
          <w:szCs w:val="20"/>
        </w:rPr>
        <w:t>тн</w:t>
      </w:r>
      <w:r w:rsidRPr="000977F7">
        <w:rPr>
          <w:rFonts w:asciiTheme="majorHAnsi" w:hAnsiTheme="majorHAnsi"/>
          <w:i/>
          <w:w w:val="99"/>
          <w:sz w:val="20"/>
          <w:szCs w:val="20"/>
        </w:rPr>
        <w:t>.</w:t>
      </w:r>
      <w:r w:rsidRPr="000977F7">
        <w:rPr>
          <w:rFonts w:asciiTheme="majorHAnsi" w:hAnsiTheme="majorHAnsi"/>
          <w:i/>
          <w:sz w:val="20"/>
          <w:szCs w:val="20"/>
        </w:rPr>
        <w:t xml:space="preserve"> </w:t>
      </w:r>
      <w:r w:rsidRPr="000977F7">
        <w:rPr>
          <w:rFonts w:asciiTheme="majorHAnsi" w:hAnsiTheme="majorHAnsi"/>
          <w:i/>
          <w:spacing w:val="-1"/>
          <w:w w:val="99"/>
          <w:sz w:val="20"/>
          <w:szCs w:val="20"/>
        </w:rPr>
        <w:t>менеджм</w:t>
      </w:r>
      <w:r w:rsidRPr="000977F7">
        <w:rPr>
          <w:rFonts w:asciiTheme="majorHAnsi" w:hAnsiTheme="majorHAnsi"/>
          <w:i/>
          <w:spacing w:val="3"/>
          <w:w w:val="99"/>
          <w:sz w:val="20"/>
          <w:szCs w:val="20"/>
        </w:rPr>
        <w:t>.</w:t>
      </w:r>
      <w:r w:rsidRPr="000977F7">
        <w:rPr>
          <w:rFonts w:asciiTheme="majorHAnsi" w:hAnsiTheme="majorHAnsi"/>
          <w:i/>
          <w:w w:val="99"/>
          <w:sz w:val="20"/>
          <w:szCs w:val="20"/>
        </w:rPr>
        <w:t>-</w:t>
      </w:r>
      <w:r w:rsidRPr="000977F7">
        <w:rPr>
          <w:rFonts w:asciiTheme="majorHAnsi" w:hAnsiTheme="majorHAnsi"/>
          <w:i/>
          <w:spacing w:val="2"/>
          <w:w w:val="99"/>
          <w:sz w:val="20"/>
          <w:szCs w:val="20"/>
        </w:rPr>
        <w:t>т</w:t>
      </w:r>
      <w:r w:rsidRPr="000977F7">
        <w:rPr>
          <w:rFonts w:asciiTheme="majorHAnsi" w:hAnsiTheme="majorHAnsi"/>
          <w:i/>
          <w:w w:val="137"/>
          <w:sz w:val="20"/>
          <w:szCs w:val="20"/>
        </w:rPr>
        <w:t>у</w:t>
      </w:r>
    </w:p>
    <w:p w14:paraId="6306615E"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z w:val="20"/>
          <w:szCs w:val="20"/>
        </w:rPr>
        <w:t>УПРАВЛІННЯ</w:t>
      </w:r>
      <w:r w:rsidRPr="000977F7">
        <w:rPr>
          <w:color w:val="auto"/>
          <w:spacing w:val="15"/>
          <w:sz w:val="20"/>
          <w:szCs w:val="20"/>
        </w:rPr>
        <w:t xml:space="preserve"> </w:t>
      </w:r>
      <w:r w:rsidRPr="000977F7">
        <w:rPr>
          <w:color w:val="auto"/>
          <w:sz w:val="20"/>
          <w:szCs w:val="20"/>
        </w:rPr>
        <w:t>ОХОРОНОЮ</w:t>
      </w:r>
      <w:r w:rsidRPr="000977F7">
        <w:rPr>
          <w:color w:val="auto"/>
          <w:spacing w:val="18"/>
          <w:sz w:val="20"/>
          <w:szCs w:val="20"/>
        </w:rPr>
        <w:t xml:space="preserve"> </w:t>
      </w:r>
      <w:r w:rsidRPr="000977F7">
        <w:rPr>
          <w:color w:val="auto"/>
          <w:sz w:val="20"/>
          <w:szCs w:val="20"/>
        </w:rPr>
        <w:t>ПРАЦІ</w:t>
      </w:r>
      <w:r w:rsidRPr="000977F7">
        <w:rPr>
          <w:color w:val="auto"/>
          <w:spacing w:val="15"/>
          <w:sz w:val="20"/>
          <w:szCs w:val="20"/>
        </w:rPr>
        <w:t xml:space="preserve"> </w:t>
      </w:r>
      <w:r w:rsidRPr="000977F7">
        <w:rPr>
          <w:color w:val="auto"/>
          <w:sz w:val="20"/>
          <w:szCs w:val="20"/>
        </w:rPr>
        <w:t>ТА</w:t>
      </w:r>
      <w:r w:rsidRPr="000977F7">
        <w:rPr>
          <w:color w:val="auto"/>
          <w:spacing w:val="-1"/>
          <w:sz w:val="20"/>
          <w:szCs w:val="20"/>
        </w:rPr>
        <w:t xml:space="preserve"> </w:t>
      </w:r>
      <w:r w:rsidRPr="000977F7">
        <w:rPr>
          <w:color w:val="auto"/>
          <w:sz w:val="20"/>
          <w:szCs w:val="20"/>
        </w:rPr>
        <w:t>ОБОВ'ЯЗКИ</w:t>
      </w:r>
      <w:r w:rsidRPr="000977F7">
        <w:rPr>
          <w:color w:val="auto"/>
          <w:spacing w:val="-1"/>
          <w:sz w:val="20"/>
          <w:szCs w:val="20"/>
        </w:rPr>
        <w:t xml:space="preserve"> РОБОТОДАВЦЯ –</w:t>
      </w:r>
    </w:p>
    <w:p w14:paraId="06D238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Роботодавець зобов'язаний створити на робочому місці в кожному структурному підрозділі умови праці відповідно до нормативно-правових актів, а також забезпечити додержання вимог законодавства щодо прав працівників у галузі охорони праці.</w:t>
      </w:r>
    </w:p>
    <w:p w14:paraId="49D5236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 цією метою роботодавець забезпечує функціонування системи управління охороною праці, а саме:</w:t>
      </w:r>
    </w:p>
    <w:p w14:paraId="10BC2F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створює відповідні служби і призначає посадових осіб, які забезпечують вирішення конкретних питань охорони праці, затверджує інструкції про їх обов'язки, права та відповідальність за виконання покладених на них функцій, а також контролює їх додержання;</w:t>
      </w:r>
    </w:p>
    <w:p w14:paraId="1E75A42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розробляє за участю сторін колективного договору і реалізує комплексні заходи для досягнення встановлених нормативів та підвищення існуючого рівня охорони праці;</w:t>
      </w:r>
    </w:p>
    <w:p w14:paraId="222811D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забезпечує виконання необхідних профілактичних заходів відповідно до обставин, що змінюються;</w:t>
      </w:r>
    </w:p>
    <w:p w14:paraId="76402C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bookmarkStart w:id="303" w:name="n85"/>
      <w:bookmarkEnd w:id="303"/>
      <w:r w:rsidRPr="000977F7">
        <w:rPr>
          <w:rFonts w:asciiTheme="majorHAnsi" w:hAnsiTheme="majorHAnsi"/>
          <w:sz w:val="20"/>
          <w:szCs w:val="20"/>
        </w:rPr>
        <w:t>впроваджує прогресивні технології, досягнення науки і техніки, засоби механізації та автоматизації виробництва, вимоги ергономіки, позитивний досвід з охорони праці тощо;</w:t>
      </w:r>
    </w:p>
    <w:p w14:paraId="16FD150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bookmarkStart w:id="304" w:name="n86"/>
      <w:bookmarkEnd w:id="304"/>
      <w:r w:rsidRPr="000977F7">
        <w:rPr>
          <w:rFonts w:asciiTheme="majorHAnsi" w:hAnsiTheme="majorHAnsi"/>
          <w:sz w:val="20"/>
          <w:szCs w:val="20"/>
        </w:rPr>
        <w:t>забезпечує належне утримання будівель і споруд, виробничого обладнання та устаткування, моніторинг за їх технічним станом;</w:t>
      </w:r>
    </w:p>
    <w:p w14:paraId="061D513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bookmarkStart w:id="305" w:name="n87"/>
      <w:bookmarkEnd w:id="305"/>
      <w:r w:rsidRPr="000977F7">
        <w:rPr>
          <w:rFonts w:asciiTheme="majorHAnsi" w:hAnsiTheme="majorHAnsi"/>
          <w:sz w:val="20"/>
          <w:szCs w:val="20"/>
        </w:rPr>
        <w:t>забезпечує усунення причин, що призводять до нещасних випадків, професійних захворювань, та здійснення профілактичних заходів, визначених комісіями за підсумками розслідування цих причин;</w:t>
      </w:r>
    </w:p>
    <w:p w14:paraId="2DC26FD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bookmarkStart w:id="306" w:name="n88"/>
      <w:bookmarkEnd w:id="306"/>
      <w:r w:rsidRPr="000977F7">
        <w:rPr>
          <w:rFonts w:asciiTheme="majorHAnsi" w:hAnsiTheme="majorHAnsi"/>
          <w:sz w:val="20"/>
          <w:szCs w:val="20"/>
        </w:rPr>
        <w:t>організовує проведення аудиту охорони праці, лабораторних досліджень умов праці, оцінку технічного стану виробничого обладнання та устаткування, атестацій робочих місць на відповідність нормативно-правовим актам з охорони праці в порядку і строки, що визначаються законодавством, та за їх підсумками вживає заходів до усунення небезпечних і шкідливих для здоров'я виробничих факторів;</w:t>
      </w:r>
    </w:p>
    <w:p w14:paraId="174A884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bookmarkStart w:id="307" w:name="n89"/>
      <w:bookmarkEnd w:id="307"/>
      <w:r w:rsidRPr="000977F7">
        <w:rPr>
          <w:rFonts w:asciiTheme="majorHAnsi" w:hAnsiTheme="majorHAnsi"/>
          <w:sz w:val="20"/>
          <w:szCs w:val="20"/>
        </w:rPr>
        <w:t>розробляє і затверджує положення, інструкції, інші акти з охорони праці, що діють у межах підприємства (далі акти підприємства), та встановлюють правила виконання робіт і поведінки працівників на території підприємства, у виробничих приміщеннях, на будівельних майданчиках, робочих місцях відповідно до нормативно-правових актів з охорони праці, забезпечує безоплатно працівників нормативно-правовими актами та актами підприємства з охорони праці;</w:t>
      </w:r>
    </w:p>
    <w:p w14:paraId="215A72C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bookmarkStart w:id="308" w:name="n90"/>
      <w:bookmarkEnd w:id="308"/>
      <w:r w:rsidRPr="000977F7">
        <w:rPr>
          <w:rFonts w:asciiTheme="majorHAnsi" w:hAnsiTheme="majorHAnsi"/>
          <w:sz w:val="20"/>
          <w:szCs w:val="20"/>
        </w:rPr>
        <w:t>здійснює контроль за додержанням працівником технологічних процесів, правил поводження з машинами, механізмами, устаткуванням та іншими засобами виробництва, використанням засобів колективного та індивідуального захисту, виконанням робіт відповідно до вимог з охорони праці;</w:t>
      </w:r>
    </w:p>
    <w:p w14:paraId="25F1AFC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bookmarkStart w:id="309" w:name="n91"/>
      <w:bookmarkEnd w:id="309"/>
      <w:r w:rsidRPr="000977F7">
        <w:rPr>
          <w:rFonts w:asciiTheme="majorHAnsi" w:hAnsiTheme="majorHAnsi"/>
          <w:sz w:val="20"/>
          <w:szCs w:val="20"/>
        </w:rPr>
        <w:t>організовує пропаганду безпечних методів праці та співробітництво з працівниками у галузі охорони праці;</w:t>
      </w:r>
    </w:p>
    <w:p w14:paraId="43F158A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bookmarkStart w:id="310" w:name="n92"/>
      <w:bookmarkEnd w:id="310"/>
      <w:r w:rsidRPr="000977F7">
        <w:rPr>
          <w:rFonts w:asciiTheme="majorHAnsi" w:hAnsiTheme="majorHAnsi"/>
          <w:sz w:val="20"/>
          <w:szCs w:val="20"/>
        </w:rPr>
        <w:t xml:space="preserve">вживає термінових заходів для допомоги потерпілим, залучає за необхідності професійні аварійно-рятувальні формування у разі </w:t>
      </w:r>
    </w:p>
    <w:p w14:paraId="1CE400ED"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Ст. 13 закону України "Про охорону праці"</w:t>
      </w:r>
    </w:p>
    <w:p w14:paraId="7204454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УПРАВЛІННЯ РИЗИКОМ –</w:t>
      </w:r>
    </w:p>
    <w:p w14:paraId="28E2DC69"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Процес вибору альтернативних рішень на підставі результатів оцінки ризику та, у разі необхідності, вибору і впровадження відповідних засобів управління (контролю), включаючи регуляторні заходи</w:t>
      </w:r>
    </w:p>
    <w:p w14:paraId="222E685C"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забезпечення санітарного та епідемічного благополуччя населення"</w:t>
      </w:r>
    </w:p>
    <w:p w14:paraId="69665E7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УПРАВЛІННЯ</w:t>
      </w:r>
      <w:r w:rsidRPr="000977F7">
        <w:rPr>
          <w:color w:val="auto"/>
          <w:spacing w:val="-4"/>
          <w:sz w:val="20"/>
          <w:szCs w:val="20"/>
        </w:rPr>
        <w:t xml:space="preserve"> </w:t>
      </w:r>
      <w:r w:rsidRPr="000977F7">
        <w:rPr>
          <w:color w:val="auto"/>
          <w:sz w:val="20"/>
          <w:szCs w:val="20"/>
        </w:rPr>
        <w:t>РИЗИКОМ</w:t>
      </w:r>
      <w:r w:rsidRPr="000977F7">
        <w:rPr>
          <w:color w:val="auto"/>
          <w:spacing w:val="-2"/>
          <w:sz w:val="20"/>
          <w:szCs w:val="20"/>
        </w:rPr>
        <w:t xml:space="preserve"> </w:t>
      </w:r>
      <w:r w:rsidRPr="000977F7">
        <w:rPr>
          <w:color w:val="auto"/>
          <w:sz w:val="20"/>
          <w:szCs w:val="20"/>
        </w:rPr>
        <w:t>У</w:t>
      </w:r>
      <w:r w:rsidRPr="000977F7">
        <w:rPr>
          <w:color w:val="auto"/>
          <w:spacing w:val="-4"/>
          <w:sz w:val="20"/>
          <w:szCs w:val="20"/>
        </w:rPr>
        <w:t xml:space="preserve"> </w:t>
      </w:r>
      <w:r w:rsidRPr="000977F7">
        <w:rPr>
          <w:color w:val="auto"/>
          <w:sz w:val="20"/>
          <w:szCs w:val="20"/>
        </w:rPr>
        <w:t>ПРОЕКТІ</w:t>
      </w:r>
      <w:r w:rsidRPr="000977F7">
        <w:rPr>
          <w:color w:val="auto"/>
          <w:spacing w:val="-1"/>
          <w:sz w:val="20"/>
          <w:szCs w:val="20"/>
        </w:rPr>
        <w:t xml:space="preserve"> </w:t>
      </w:r>
      <w:r w:rsidRPr="000977F7">
        <w:rPr>
          <w:color w:val="auto"/>
          <w:sz w:val="20"/>
          <w:szCs w:val="20"/>
        </w:rPr>
        <w:t>–</w:t>
      </w:r>
    </w:p>
    <w:p w14:paraId="1742312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 складова проектного менеджменту, в якій розглядаються питання ідентифікації, аналізу та розвинення</w:t>
      </w:r>
      <w:r w:rsidRPr="000977F7">
        <w:rPr>
          <w:rFonts w:asciiTheme="majorHAnsi" w:hAnsiTheme="majorHAnsi"/>
          <w:spacing w:val="1"/>
          <w:sz w:val="20"/>
          <w:szCs w:val="20"/>
        </w:rPr>
        <w:t xml:space="preserve"> </w:t>
      </w:r>
      <w:r w:rsidRPr="000977F7">
        <w:rPr>
          <w:rFonts w:asciiTheme="majorHAnsi" w:hAnsiTheme="majorHAnsi"/>
          <w:sz w:val="20"/>
          <w:szCs w:val="20"/>
        </w:rPr>
        <w:t>реакції</w:t>
      </w:r>
      <w:r w:rsidRPr="000977F7">
        <w:rPr>
          <w:rFonts w:asciiTheme="majorHAnsi" w:hAnsiTheme="majorHAnsi"/>
          <w:spacing w:val="-4"/>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ризик</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проекті.</w:t>
      </w:r>
      <w:r w:rsidRPr="000977F7">
        <w:rPr>
          <w:rFonts w:asciiTheme="majorHAnsi" w:hAnsiTheme="majorHAnsi"/>
          <w:spacing w:val="-2"/>
          <w:sz w:val="20"/>
          <w:szCs w:val="20"/>
        </w:rPr>
        <w:t xml:space="preserve"> </w:t>
      </w:r>
      <w:r w:rsidRPr="000977F7">
        <w:rPr>
          <w:rFonts w:asciiTheme="majorHAnsi" w:hAnsiTheme="majorHAnsi"/>
          <w:sz w:val="20"/>
          <w:szCs w:val="20"/>
        </w:rPr>
        <w:t>Вона</w:t>
      </w:r>
      <w:r w:rsidRPr="000977F7">
        <w:rPr>
          <w:rFonts w:asciiTheme="majorHAnsi" w:hAnsiTheme="majorHAnsi"/>
          <w:spacing w:val="-2"/>
          <w:sz w:val="20"/>
          <w:szCs w:val="20"/>
        </w:rPr>
        <w:t xml:space="preserve"> </w:t>
      </w:r>
      <w:r w:rsidRPr="000977F7">
        <w:rPr>
          <w:rFonts w:asciiTheme="majorHAnsi" w:hAnsiTheme="majorHAnsi"/>
          <w:sz w:val="20"/>
          <w:szCs w:val="20"/>
        </w:rPr>
        <w:t>має</w:t>
      </w:r>
      <w:r w:rsidRPr="000977F7">
        <w:rPr>
          <w:rFonts w:asciiTheme="majorHAnsi" w:hAnsiTheme="majorHAnsi"/>
          <w:spacing w:val="-1"/>
          <w:sz w:val="20"/>
          <w:szCs w:val="20"/>
        </w:rPr>
        <w:t xml:space="preserve"> </w:t>
      </w:r>
      <w:r w:rsidRPr="000977F7">
        <w:rPr>
          <w:rFonts w:asciiTheme="majorHAnsi" w:hAnsiTheme="majorHAnsi"/>
          <w:sz w:val="20"/>
          <w:szCs w:val="20"/>
        </w:rPr>
        <w:t>такі</w:t>
      </w:r>
      <w:r w:rsidRPr="000977F7">
        <w:rPr>
          <w:rFonts w:asciiTheme="majorHAnsi" w:hAnsiTheme="majorHAnsi"/>
          <w:spacing w:val="-4"/>
          <w:sz w:val="20"/>
          <w:szCs w:val="20"/>
        </w:rPr>
        <w:t xml:space="preserve"> </w:t>
      </w:r>
      <w:r w:rsidRPr="000977F7">
        <w:rPr>
          <w:rFonts w:asciiTheme="majorHAnsi" w:hAnsiTheme="majorHAnsi"/>
          <w:sz w:val="20"/>
          <w:szCs w:val="20"/>
        </w:rPr>
        <w:t>компоненти:</w:t>
      </w:r>
    </w:p>
    <w:p w14:paraId="6163802D" w14:textId="77777777" w:rsidR="0097612F" w:rsidRPr="000977F7" w:rsidRDefault="0097612F" w:rsidP="00FD39A4">
      <w:pPr>
        <w:pStyle w:val="ac"/>
        <w:widowControl w:val="0"/>
        <w:numPr>
          <w:ilvl w:val="2"/>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 xml:space="preserve">Ідентифікація ризику – визначення того, які ризики можуть впливати на проект, і </w:t>
      </w:r>
      <w:r w:rsidRPr="000977F7">
        <w:rPr>
          <w:rFonts w:asciiTheme="majorHAnsi" w:hAnsiTheme="majorHAnsi"/>
          <w:sz w:val="20"/>
          <w:szCs w:val="20"/>
        </w:rPr>
        <w:lastRenderedPageBreak/>
        <w:t>документування характеристик кожного</w:t>
      </w:r>
      <w:r w:rsidRPr="000977F7">
        <w:rPr>
          <w:rFonts w:asciiTheme="majorHAnsi" w:hAnsiTheme="majorHAnsi"/>
          <w:spacing w:val="1"/>
          <w:sz w:val="20"/>
          <w:szCs w:val="20"/>
        </w:rPr>
        <w:t xml:space="preserve"> </w:t>
      </w:r>
      <w:r w:rsidRPr="000977F7">
        <w:rPr>
          <w:rFonts w:asciiTheme="majorHAnsi" w:hAnsiTheme="majorHAnsi"/>
          <w:sz w:val="20"/>
          <w:szCs w:val="20"/>
        </w:rPr>
        <w:t>з них</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139193C" w14:textId="77777777" w:rsidR="0097612F" w:rsidRPr="000977F7" w:rsidRDefault="0097612F" w:rsidP="00FD39A4">
      <w:pPr>
        <w:pStyle w:val="ac"/>
        <w:widowControl w:val="0"/>
        <w:numPr>
          <w:ilvl w:val="2"/>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Кількісна оцінка ризику – оцінка ризику та ризикованих взаємодій для визначення діапазону можливих</w:t>
      </w:r>
      <w:r w:rsidRPr="000977F7">
        <w:rPr>
          <w:rFonts w:asciiTheme="majorHAnsi" w:hAnsiTheme="majorHAnsi"/>
          <w:spacing w:val="-2"/>
          <w:sz w:val="20"/>
          <w:szCs w:val="20"/>
        </w:rPr>
        <w:t xml:space="preserve"> </w:t>
      </w:r>
      <w:r w:rsidRPr="000977F7">
        <w:rPr>
          <w:rFonts w:asciiTheme="majorHAnsi" w:hAnsiTheme="majorHAnsi"/>
          <w:sz w:val="20"/>
          <w:szCs w:val="20"/>
        </w:rPr>
        <w:t>наслідків</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проекту.</w:t>
      </w:r>
    </w:p>
    <w:p w14:paraId="4689F94C" w14:textId="77777777" w:rsidR="0097612F" w:rsidRPr="000977F7" w:rsidRDefault="0097612F" w:rsidP="00FD39A4">
      <w:pPr>
        <w:pStyle w:val="ac"/>
        <w:widowControl w:val="0"/>
        <w:numPr>
          <w:ilvl w:val="2"/>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Розвинення реакції на ризик – визначення кроків</w:t>
      </w:r>
      <w:r w:rsidRPr="000977F7">
        <w:rPr>
          <w:rFonts w:asciiTheme="majorHAnsi" w:hAnsiTheme="majorHAnsi"/>
          <w:spacing w:val="1"/>
          <w:sz w:val="20"/>
          <w:szCs w:val="20"/>
        </w:rPr>
        <w:t xml:space="preserve"> </w:t>
      </w:r>
      <w:r w:rsidRPr="000977F7">
        <w:rPr>
          <w:rFonts w:asciiTheme="majorHAnsi" w:hAnsiTheme="majorHAnsi"/>
          <w:sz w:val="20"/>
          <w:szCs w:val="20"/>
        </w:rPr>
        <w:t>для підсилення сприятливих можливостей і реакцій на</w:t>
      </w:r>
      <w:r w:rsidRPr="000977F7">
        <w:rPr>
          <w:rFonts w:asciiTheme="majorHAnsi" w:hAnsiTheme="majorHAnsi"/>
          <w:spacing w:val="-47"/>
          <w:sz w:val="20"/>
          <w:szCs w:val="20"/>
        </w:rPr>
        <w:t xml:space="preserve"> </w:t>
      </w:r>
      <w:r w:rsidRPr="000977F7">
        <w:rPr>
          <w:rFonts w:asciiTheme="majorHAnsi" w:hAnsiTheme="majorHAnsi"/>
          <w:sz w:val="20"/>
          <w:szCs w:val="20"/>
        </w:rPr>
        <w:t>загрози.</w:t>
      </w:r>
    </w:p>
    <w:p w14:paraId="362DC508" w14:textId="77777777" w:rsidR="0097612F" w:rsidRPr="000977F7" w:rsidRDefault="0097612F" w:rsidP="00FD39A4">
      <w:pPr>
        <w:pStyle w:val="ac"/>
        <w:widowControl w:val="0"/>
        <w:numPr>
          <w:ilvl w:val="2"/>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Контроль за реакцією на ризик – реагування на</w:t>
      </w:r>
      <w:r w:rsidRPr="000977F7">
        <w:rPr>
          <w:rFonts w:asciiTheme="majorHAnsi" w:hAnsiTheme="majorHAnsi"/>
          <w:spacing w:val="1"/>
          <w:sz w:val="20"/>
          <w:szCs w:val="20"/>
        </w:rPr>
        <w:t xml:space="preserve"> </w:t>
      </w:r>
      <w:r w:rsidRPr="000977F7">
        <w:rPr>
          <w:rFonts w:asciiTheme="majorHAnsi" w:hAnsiTheme="majorHAnsi"/>
          <w:sz w:val="20"/>
          <w:szCs w:val="20"/>
        </w:rPr>
        <w:t>зміни</w:t>
      </w:r>
      <w:r w:rsidRPr="000977F7">
        <w:rPr>
          <w:rFonts w:asciiTheme="majorHAnsi" w:hAnsiTheme="majorHAnsi"/>
          <w:spacing w:val="-2"/>
          <w:sz w:val="20"/>
          <w:szCs w:val="20"/>
        </w:rPr>
        <w:t xml:space="preserve"> </w:t>
      </w:r>
      <w:r w:rsidRPr="000977F7">
        <w:rPr>
          <w:rFonts w:asciiTheme="majorHAnsi" w:hAnsiTheme="majorHAnsi"/>
          <w:sz w:val="20"/>
          <w:szCs w:val="20"/>
        </w:rPr>
        <w:t>ризику</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ході</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проекту</w:t>
      </w:r>
    </w:p>
    <w:p w14:paraId="14EC976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
          <w:w w:val="99"/>
          <w:sz w:val="20"/>
          <w:szCs w:val="20"/>
        </w:rPr>
        <w:t>Ке</w:t>
      </w:r>
      <w:r w:rsidRPr="000977F7">
        <w:rPr>
          <w:rFonts w:asciiTheme="majorHAnsi" w:hAnsiTheme="majorHAnsi"/>
          <w:i/>
          <w:w w:val="99"/>
          <w:sz w:val="20"/>
          <w:szCs w:val="20"/>
        </w:rPr>
        <w:t>р.</w:t>
      </w:r>
      <w:r w:rsidRPr="000977F7">
        <w:rPr>
          <w:rFonts w:asciiTheme="majorHAnsi" w:hAnsiTheme="majorHAnsi"/>
          <w:i/>
          <w:sz w:val="20"/>
          <w:szCs w:val="20"/>
        </w:rPr>
        <w:t xml:space="preserve"> </w:t>
      </w:r>
      <w:r w:rsidRPr="000977F7">
        <w:rPr>
          <w:rFonts w:asciiTheme="majorHAnsi" w:hAnsiTheme="majorHAnsi"/>
          <w:i/>
          <w:spacing w:val="1"/>
          <w:w w:val="99"/>
          <w:sz w:val="20"/>
          <w:szCs w:val="20"/>
        </w:rPr>
        <w:t>про</w:t>
      </w:r>
      <w:r w:rsidRPr="000977F7">
        <w:rPr>
          <w:rFonts w:asciiTheme="majorHAnsi" w:hAnsiTheme="majorHAnsi"/>
          <w:i/>
          <w:w w:val="99"/>
          <w:sz w:val="20"/>
          <w:szCs w:val="20"/>
        </w:rPr>
        <w:t>ек</w:t>
      </w:r>
      <w:r w:rsidRPr="000977F7">
        <w:rPr>
          <w:rFonts w:asciiTheme="majorHAnsi" w:hAnsiTheme="majorHAnsi"/>
          <w:i/>
          <w:spacing w:val="-1"/>
          <w:w w:val="99"/>
          <w:sz w:val="20"/>
          <w:szCs w:val="20"/>
        </w:rPr>
        <w:t>тн</w:t>
      </w:r>
      <w:r w:rsidRPr="000977F7">
        <w:rPr>
          <w:rFonts w:asciiTheme="majorHAnsi" w:hAnsiTheme="majorHAnsi"/>
          <w:i/>
          <w:w w:val="99"/>
          <w:sz w:val="20"/>
          <w:szCs w:val="20"/>
        </w:rPr>
        <w:t>.</w:t>
      </w:r>
      <w:r w:rsidRPr="000977F7">
        <w:rPr>
          <w:rFonts w:asciiTheme="majorHAnsi" w:hAnsiTheme="majorHAnsi"/>
          <w:i/>
          <w:sz w:val="20"/>
          <w:szCs w:val="20"/>
        </w:rPr>
        <w:t xml:space="preserve"> </w:t>
      </w:r>
      <w:r w:rsidRPr="000977F7">
        <w:rPr>
          <w:rFonts w:asciiTheme="majorHAnsi" w:hAnsiTheme="majorHAnsi"/>
          <w:i/>
          <w:spacing w:val="-1"/>
          <w:w w:val="99"/>
          <w:sz w:val="20"/>
          <w:szCs w:val="20"/>
        </w:rPr>
        <w:t>менеджм</w:t>
      </w:r>
      <w:r w:rsidRPr="000977F7">
        <w:rPr>
          <w:rFonts w:asciiTheme="majorHAnsi" w:hAnsiTheme="majorHAnsi"/>
          <w:i/>
          <w:spacing w:val="3"/>
          <w:w w:val="99"/>
          <w:sz w:val="20"/>
          <w:szCs w:val="20"/>
        </w:rPr>
        <w:t>.</w:t>
      </w:r>
      <w:r w:rsidRPr="000977F7">
        <w:rPr>
          <w:rFonts w:asciiTheme="majorHAnsi" w:hAnsiTheme="majorHAnsi"/>
          <w:i/>
          <w:w w:val="99"/>
          <w:sz w:val="20"/>
          <w:szCs w:val="20"/>
        </w:rPr>
        <w:t>-</w:t>
      </w:r>
      <w:r w:rsidRPr="000977F7">
        <w:rPr>
          <w:rFonts w:asciiTheme="majorHAnsi" w:hAnsiTheme="majorHAnsi"/>
          <w:i/>
          <w:spacing w:val="2"/>
          <w:w w:val="99"/>
          <w:sz w:val="20"/>
          <w:szCs w:val="20"/>
        </w:rPr>
        <w:t>т</w:t>
      </w:r>
      <w:r w:rsidRPr="000977F7">
        <w:rPr>
          <w:rFonts w:asciiTheme="majorHAnsi" w:hAnsiTheme="majorHAnsi"/>
          <w:i/>
          <w:w w:val="137"/>
          <w:sz w:val="20"/>
          <w:szCs w:val="20"/>
        </w:rPr>
        <w:t>у‖</w:t>
      </w:r>
    </w:p>
    <w:p w14:paraId="5378250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УПРАВЛІННЯ ТРУДОВИМИ РЕСУРСАМИ</w:t>
      </w:r>
      <w:r w:rsidRPr="000977F7">
        <w:rPr>
          <w:color w:val="auto"/>
          <w:spacing w:val="-47"/>
          <w:sz w:val="20"/>
          <w:szCs w:val="20"/>
        </w:rPr>
        <w:t xml:space="preserve">         </w:t>
      </w:r>
      <w:r w:rsidRPr="000977F7">
        <w:rPr>
          <w:color w:val="auto"/>
          <w:sz w:val="20"/>
          <w:szCs w:val="20"/>
        </w:rPr>
        <w:t>ПРОЕКТУ –</w:t>
      </w:r>
    </w:p>
    <w:p w14:paraId="433242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w:t>
      </w:r>
      <w:r w:rsidRPr="000977F7">
        <w:rPr>
          <w:rFonts w:asciiTheme="majorHAnsi" w:hAnsiTheme="majorHAnsi"/>
          <w:spacing w:val="1"/>
          <w:sz w:val="20"/>
          <w:szCs w:val="20"/>
        </w:rPr>
        <w:t xml:space="preserve"> </w:t>
      </w:r>
      <w:r w:rsidRPr="000977F7">
        <w:rPr>
          <w:rFonts w:asciiTheme="majorHAnsi" w:hAnsiTheme="majorHAnsi"/>
          <w:sz w:val="20"/>
          <w:szCs w:val="20"/>
        </w:rPr>
        <w:t>складова</w:t>
      </w:r>
      <w:r w:rsidRPr="000977F7">
        <w:rPr>
          <w:rFonts w:asciiTheme="majorHAnsi" w:hAnsiTheme="majorHAnsi"/>
          <w:spacing w:val="1"/>
          <w:sz w:val="20"/>
          <w:szCs w:val="20"/>
        </w:rPr>
        <w:t xml:space="preserve"> </w:t>
      </w:r>
      <w:r w:rsidRPr="000977F7">
        <w:rPr>
          <w:rFonts w:asciiTheme="majorHAnsi" w:hAnsiTheme="majorHAnsi"/>
          <w:sz w:val="20"/>
          <w:szCs w:val="20"/>
        </w:rPr>
        <w:t>проектного</w:t>
      </w:r>
      <w:r w:rsidRPr="000977F7">
        <w:rPr>
          <w:rFonts w:asciiTheme="majorHAnsi" w:hAnsiTheme="majorHAnsi"/>
          <w:spacing w:val="1"/>
          <w:sz w:val="20"/>
          <w:szCs w:val="20"/>
        </w:rPr>
        <w:t xml:space="preserve"> </w:t>
      </w:r>
      <w:r w:rsidRPr="000977F7">
        <w:rPr>
          <w:rFonts w:asciiTheme="majorHAnsi" w:hAnsiTheme="majorHAnsi"/>
          <w:sz w:val="20"/>
          <w:szCs w:val="20"/>
        </w:rPr>
        <w:t>менеджменту,</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містить</w:t>
      </w:r>
      <w:r w:rsidRPr="000977F7">
        <w:rPr>
          <w:rFonts w:asciiTheme="majorHAnsi" w:hAnsiTheme="majorHAnsi"/>
          <w:spacing w:val="1"/>
          <w:sz w:val="20"/>
          <w:szCs w:val="20"/>
        </w:rPr>
        <w:t xml:space="preserve"> </w:t>
      </w:r>
      <w:r w:rsidRPr="000977F7">
        <w:rPr>
          <w:rFonts w:asciiTheme="majorHAnsi" w:hAnsiTheme="majorHAnsi"/>
          <w:sz w:val="20"/>
          <w:szCs w:val="20"/>
        </w:rPr>
        <w:t>заходи, необхідні для забезпечення найбільш ефективного використання осіб, залучених до проекту. Вона</w:t>
      </w:r>
      <w:r w:rsidRPr="000977F7">
        <w:rPr>
          <w:rFonts w:asciiTheme="majorHAnsi" w:hAnsiTheme="majorHAnsi"/>
          <w:spacing w:val="1"/>
          <w:sz w:val="20"/>
          <w:szCs w:val="20"/>
        </w:rPr>
        <w:t xml:space="preserve"> </w:t>
      </w:r>
      <w:r w:rsidRPr="000977F7">
        <w:rPr>
          <w:rFonts w:asciiTheme="majorHAnsi" w:hAnsiTheme="majorHAnsi"/>
          <w:sz w:val="20"/>
          <w:szCs w:val="20"/>
        </w:rPr>
        <w:t>має такі</w:t>
      </w:r>
      <w:r w:rsidRPr="000977F7">
        <w:rPr>
          <w:rFonts w:asciiTheme="majorHAnsi" w:hAnsiTheme="majorHAnsi"/>
          <w:spacing w:val="-1"/>
          <w:sz w:val="20"/>
          <w:szCs w:val="20"/>
        </w:rPr>
        <w:t xml:space="preserve"> </w:t>
      </w:r>
      <w:r w:rsidRPr="000977F7">
        <w:rPr>
          <w:rFonts w:asciiTheme="majorHAnsi" w:hAnsiTheme="majorHAnsi"/>
          <w:sz w:val="20"/>
          <w:szCs w:val="20"/>
        </w:rPr>
        <w:t>компоненти:</w:t>
      </w:r>
    </w:p>
    <w:p w14:paraId="7A1FE718"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Організаційне планування – визначення, документування,</w:t>
      </w:r>
      <w:r w:rsidRPr="000977F7">
        <w:rPr>
          <w:rFonts w:asciiTheme="majorHAnsi" w:hAnsiTheme="majorHAnsi"/>
          <w:spacing w:val="1"/>
          <w:sz w:val="20"/>
          <w:szCs w:val="20"/>
        </w:rPr>
        <w:t xml:space="preserve"> </w:t>
      </w:r>
      <w:r w:rsidRPr="000977F7">
        <w:rPr>
          <w:rFonts w:asciiTheme="majorHAnsi" w:hAnsiTheme="majorHAnsi"/>
          <w:sz w:val="20"/>
          <w:szCs w:val="20"/>
        </w:rPr>
        <w:t>розподіл</w:t>
      </w:r>
      <w:r w:rsidRPr="000977F7">
        <w:rPr>
          <w:rFonts w:asciiTheme="majorHAnsi" w:hAnsiTheme="majorHAnsi"/>
          <w:spacing w:val="1"/>
          <w:sz w:val="20"/>
          <w:szCs w:val="20"/>
        </w:rPr>
        <w:t xml:space="preserve"> </w:t>
      </w:r>
      <w:r w:rsidRPr="000977F7">
        <w:rPr>
          <w:rFonts w:asciiTheme="majorHAnsi" w:hAnsiTheme="majorHAnsi"/>
          <w:sz w:val="20"/>
          <w:szCs w:val="20"/>
        </w:rPr>
        <w:t>обов’язків</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відповідальностей,</w:t>
      </w:r>
      <w:r w:rsidRPr="000977F7">
        <w:rPr>
          <w:rFonts w:asciiTheme="majorHAnsi" w:hAnsiTheme="majorHAnsi"/>
          <w:spacing w:val="1"/>
          <w:sz w:val="20"/>
          <w:szCs w:val="20"/>
        </w:rPr>
        <w:t xml:space="preserve"> </w:t>
      </w:r>
      <w:r w:rsidRPr="000977F7">
        <w:rPr>
          <w:rFonts w:asciiTheme="majorHAnsi" w:hAnsiTheme="majorHAnsi"/>
          <w:sz w:val="20"/>
          <w:szCs w:val="20"/>
        </w:rPr>
        <w:t>звітність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проекті.</w:t>
      </w:r>
    </w:p>
    <w:p w14:paraId="34F16E45"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Комплектування</w:t>
      </w:r>
      <w:r w:rsidRPr="000977F7">
        <w:rPr>
          <w:rFonts w:asciiTheme="majorHAnsi" w:hAnsiTheme="majorHAnsi"/>
          <w:spacing w:val="1"/>
          <w:sz w:val="20"/>
          <w:szCs w:val="20"/>
        </w:rPr>
        <w:t xml:space="preserve"> </w:t>
      </w:r>
      <w:r w:rsidRPr="000977F7">
        <w:rPr>
          <w:rFonts w:asciiTheme="majorHAnsi" w:hAnsiTheme="majorHAnsi"/>
          <w:sz w:val="20"/>
          <w:szCs w:val="20"/>
        </w:rPr>
        <w:t>штату</w:t>
      </w:r>
      <w:r w:rsidRPr="000977F7">
        <w:rPr>
          <w:rFonts w:asciiTheme="majorHAnsi" w:hAnsiTheme="majorHAnsi"/>
          <w:spacing w:val="1"/>
          <w:sz w:val="20"/>
          <w:szCs w:val="20"/>
        </w:rPr>
        <w:t xml:space="preserve"> </w:t>
      </w:r>
      <w:r w:rsidRPr="000977F7">
        <w:rPr>
          <w:rFonts w:asciiTheme="majorHAnsi" w:hAnsiTheme="majorHAnsi"/>
          <w:sz w:val="20"/>
          <w:szCs w:val="20"/>
        </w:rPr>
        <w:t>–</w:t>
      </w:r>
      <w:r w:rsidRPr="000977F7">
        <w:rPr>
          <w:rFonts w:asciiTheme="majorHAnsi" w:hAnsiTheme="majorHAnsi"/>
          <w:spacing w:val="1"/>
          <w:sz w:val="20"/>
          <w:szCs w:val="20"/>
        </w:rPr>
        <w:t xml:space="preserve"> </w:t>
      </w:r>
      <w:r w:rsidRPr="000977F7">
        <w:rPr>
          <w:rFonts w:asciiTheme="majorHAnsi" w:hAnsiTheme="majorHAnsi"/>
          <w:sz w:val="20"/>
          <w:szCs w:val="20"/>
        </w:rPr>
        <w:t>отримання</w:t>
      </w:r>
      <w:r w:rsidRPr="000977F7">
        <w:rPr>
          <w:rFonts w:asciiTheme="majorHAnsi" w:hAnsiTheme="majorHAnsi"/>
          <w:spacing w:val="1"/>
          <w:sz w:val="20"/>
          <w:szCs w:val="20"/>
        </w:rPr>
        <w:t xml:space="preserve"> </w:t>
      </w:r>
      <w:r w:rsidRPr="000977F7">
        <w:rPr>
          <w:rFonts w:asciiTheme="majorHAnsi" w:hAnsiTheme="majorHAnsi"/>
          <w:sz w:val="20"/>
          <w:szCs w:val="20"/>
        </w:rPr>
        <w:t>трудових</w:t>
      </w:r>
      <w:r w:rsidRPr="000977F7">
        <w:rPr>
          <w:rFonts w:asciiTheme="majorHAnsi" w:hAnsiTheme="majorHAnsi"/>
          <w:spacing w:val="1"/>
          <w:sz w:val="20"/>
          <w:szCs w:val="20"/>
        </w:rPr>
        <w:t xml:space="preserve"> </w:t>
      </w:r>
      <w:r w:rsidRPr="000977F7">
        <w:rPr>
          <w:rFonts w:asciiTheme="majorHAnsi" w:hAnsiTheme="majorHAnsi"/>
          <w:sz w:val="20"/>
          <w:szCs w:val="20"/>
        </w:rPr>
        <w:t>ресурсів</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рамках</w:t>
      </w:r>
      <w:r w:rsidRPr="000977F7">
        <w:rPr>
          <w:rFonts w:asciiTheme="majorHAnsi" w:hAnsiTheme="majorHAnsi"/>
          <w:spacing w:val="-1"/>
          <w:sz w:val="20"/>
          <w:szCs w:val="20"/>
        </w:rPr>
        <w:t xml:space="preserve"> </w:t>
      </w:r>
      <w:r w:rsidRPr="000977F7">
        <w:rPr>
          <w:rFonts w:asciiTheme="majorHAnsi" w:hAnsiTheme="majorHAnsi"/>
          <w:sz w:val="20"/>
          <w:szCs w:val="20"/>
        </w:rPr>
        <w:t>проекту.</w:t>
      </w:r>
    </w:p>
    <w:p w14:paraId="2D200BEF" w14:textId="77777777" w:rsidR="0097612F" w:rsidRPr="000977F7" w:rsidRDefault="0097612F" w:rsidP="00FD39A4">
      <w:pPr>
        <w:pStyle w:val="ac"/>
        <w:widowControl w:val="0"/>
        <w:numPr>
          <w:ilvl w:val="1"/>
          <w:numId w:val="180"/>
        </w:numPr>
        <w:tabs>
          <w:tab w:val="left" w:pos="284"/>
          <w:tab w:val="left" w:pos="678"/>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pacing w:val="-6"/>
          <w:sz w:val="20"/>
          <w:szCs w:val="20"/>
        </w:rPr>
        <w:t xml:space="preserve">Робота з командою – удосконалення </w:t>
      </w:r>
      <w:r w:rsidRPr="000977F7">
        <w:rPr>
          <w:rFonts w:asciiTheme="majorHAnsi" w:hAnsiTheme="majorHAnsi"/>
          <w:spacing w:val="-5"/>
          <w:sz w:val="20"/>
          <w:szCs w:val="20"/>
        </w:rPr>
        <w:t>індивідуальних і</w:t>
      </w:r>
      <w:r w:rsidRPr="000977F7">
        <w:rPr>
          <w:rFonts w:asciiTheme="majorHAnsi" w:hAnsiTheme="majorHAnsi"/>
          <w:spacing w:val="-47"/>
          <w:sz w:val="20"/>
          <w:szCs w:val="20"/>
        </w:rPr>
        <w:t xml:space="preserve">         </w:t>
      </w:r>
      <w:r w:rsidRPr="000977F7">
        <w:rPr>
          <w:rFonts w:asciiTheme="majorHAnsi" w:hAnsiTheme="majorHAnsi"/>
          <w:spacing w:val="-10"/>
          <w:sz w:val="20"/>
          <w:szCs w:val="20"/>
        </w:rPr>
        <w:t>групових</w:t>
      </w:r>
      <w:r w:rsidRPr="000977F7">
        <w:rPr>
          <w:rFonts w:asciiTheme="majorHAnsi" w:hAnsiTheme="majorHAnsi"/>
          <w:spacing w:val="-20"/>
          <w:sz w:val="20"/>
          <w:szCs w:val="20"/>
        </w:rPr>
        <w:t xml:space="preserve"> </w:t>
      </w:r>
      <w:r w:rsidRPr="000977F7">
        <w:rPr>
          <w:rFonts w:asciiTheme="majorHAnsi" w:hAnsiTheme="majorHAnsi"/>
          <w:spacing w:val="-9"/>
          <w:sz w:val="20"/>
          <w:szCs w:val="20"/>
        </w:rPr>
        <w:t>навичок</w:t>
      </w:r>
      <w:r w:rsidRPr="000977F7">
        <w:rPr>
          <w:rFonts w:asciiTheme="majorHAnsi" w:hAnsiTheme="majorHAnsi"/>
          <w:spacing w:val="-20"/>
          <w:sz w:val="20"/>
          <w:szCs w:val="20"/>
        </w:rPr>
        <w:t xml:space="preserve"> </w:t>
      </w:r>
      <w:r w:rsidRPr="000977F7">
        <w:rPr>
          <w:rFonts w:asciiTheme="majorHAnsi" w:hAnsiTheme="majorHAnsi"/>
          <w:spacing w:val="-9"/>
          <w:sz w:val="20"/>
          <w:szCs w:val="20"/>
        </w:rPr>
        <w:t>для</w:t>
      </w:r>
      <w:r w:rsidRPr="000977F7">
        <w:rPr>
          <w:rFonts w:asciiTheme="majorHAnsi" w:hAnsiTheme="majorHAnsi"/>
          <w:spacing w:val="-19"/>
          <w:sz w:val="20"/>
          <w:szCs w:val="20"/>
        </w:rPr>
        <w:t xml:space="preserve"> </w:t>
      </w:r>
      <w:r w:rsidRPr="000977F7">
        <w:rPr>
          <w:rFonts w:asciiTheme="majorHAnsi" w:hAnsiTheme="majorHAnsi"/>
          <w:spacing w:val="-9"/>
          <w:sz w:val="20"/>
          <w:szCs w:val="20"/>
        </w:rPr>
        <w:t>поліпшення</w:t>
      </w:r>
      <w:r w:rsidRPr="000977F7">
        <w:rPr>
          <w:rFonts w:asciiTheme="majorHAnsi" w:hAnsiTheme="majorHAnsi"/>
          <w:spacing w:val="-20"/>
          <w:sz w:val="20"/>
          <w:szCs w:val="20"/>
        </w:rPr>
        <w:t xml:space="preserve"> </w:t>
      </w:r>
      <w:r w:rsidRPr="000977F7">
        <w:rPr>
          <w:rFonts w:asciiTheme="majorHAnsi" w:hAnsiTheme="majorHAnsi"/>
          <w:spacing w:val="-9"/>
          <w:sz w:val="20"/>
          <w:szCs w:val="20"/>
        </w:rPr>
        <w:t>роботи</w:t>
      </w:r>
      <w:r w:rsidRPr="000977F7">
        <w:rPr>
          <w:rFonts w:asciiTheme="majorHAnsi" w:hAnsiTheme="majorHAnsi"/>
          <w:spacing w:val="-19"/>
          <w:sz w:val="20"/>
          <w:szCs w:val="20"/>
        </w:rPr>
        <w:t xml:space="preserve"> </w:t>
      </w:r>
      <w:r w:rsidRPr="000977F7">
        <w:rPr>
          <w:rFonts w:asciiTheme="majorHAnsi" w:hAnsiTheme="majorHAnsi"/>
          <w:spacing w:val="-9"/>
          <w:sz w:val="20"/>
          <w:szCs w:val="20"/>
        </w:rPr>
        <w:t>в</w:t>
      </w:r>
      <w:r w:rsidRPr="000977F7">
        <w:rPr>
          <w:rFonts w:asciiTheme="majorHAnsi" w:hAnsiTheme="majorHAnsi"/>
          <w:spacing w:val="-20"/>
          <w:sz w:val="20"/>
          <w:szCs w:val="20"/>
        </w:rPr>
        <w:t xml:space="preserve"> </w:t>
      </w:r>
      <w:r w:rsidRPr="000977F7">
        <w:rPr>
          <w:rFonts w:asciiTheme="majorHAnsi" w:hAnsiTheme="majorHAnsi"/>
          <w:spacing w:val="-9"/>
          <w:sz w:val="20"/>
          <w:szCs w:val="20"/>
        </w:rPr>
        <w:t>рамках</w:t>
      </w:r>
      <w:r w:rsidRPr="000977F7">
        <w:rPr>
          <w:rFonts w:asciiTheme="majorHAnsi" w:hAnsiTheme="majorHAnsi"/>
          <w:spacing w:val="-20"/>
          <w:sz w:val="20"/>
          <w:szCs w:val="20"/>
        </w:rPr>
        <w:t xml:space="preserve"> </w:t>
      </w:r>
      <w:r w:rsidRPr="000977F7">
        <w:rPr>
          <w:rFonts w:asciiTheme="majorHAnsi" w:hAnsiTheme="majorHAnsi"/>
          <w:spacing w:val="-9"/>
          <w:sz w:val="20"/>
          <w:szCs w:val="20"/>
        </w:rPr>
        <w:t>проекту</w:t>
      </w:r>
    </w:p>
    <w:p w14:paraId="41769283" w14:textId="77777777" w:rsidR="0097612F" w:rsidRPr="000977F7" w:rsidRDefault="0097612F" w:rsidP="000977F7">
      <w:pPr>
        <w:tabs>
          <w:tab w:val="left" w:pos="284"/>
        </w:tabs>
        <w:spacing w:after="0" w:line="240" w:lineRule="auto"/>
        <w:ind w:left="170"/>
        <w:mirrorIndents/>
        <w:jc w:val="both"/>
        <w:rPr>
          <w:rFonts w:asciiTheme="majorHAnsi" w:hAnsiTheme="majorHAnsi"/>
          <w:i/>
          <w:w w:val="137"/>
          <w:sz w:val="20"/>
          <w:szCs w:val="20"/>
        </w:rPr>
      </w:pPr>
      <w:r w:rsidRPr="000977F7">
        <w:rPr>
          <w:rFonts w:asciiTheme="majorHAnsi" w:hAnsiTheme="majorHAnsi"/>
          <w:i/>
          <w:spacing w:val="-1"/>
          <w:w w:val="99"/>
          <w:sz w:val="20"/>
          <w:szCs w:val="20"/>
        </w:rPr>
        <w:t>Ке</w:t>
      </w:r>
      <w:r w:rsidRPr="000977F7">
        <w:rPr>
          <w:rFonts w:asciiTheme="majorHAnsi" w:hAnsiTheme="majorHAnsi"/>
          <w:i/>
          <w:w w:val="99"/>
          <w:sz w:val="20"/>
          <w:szCs w:val="20"/>
        </w:rPr>
        <w:t>р.</w:t>
      </w:r>
      <w:r w:rsidRPr="000977F7">
        <w:rPr>
          <w:rFonts w:asciiTheme="majorHAnsi" w:hAnsiTheme="majorHAnsi"/>
          <w:i/>
          <w:sz w:val="20"/>
          <w:szCs w:val="20"/>
        </w:rPr>
        <w:t xml:space="preserve"> </w:t>
      </w:r>
      <w:r w:rsidRPr="000977F7">
        <w:rPr>
          <w:rFonts w:asciiTheme="majorHAnsi" w:hAnsiTheme="majorHAnsi"/>
          <w:i/>
          <w:spacing w:val="1"/>
          <w:w w:val="99"/>
          <w:sz w:val="20"/>
          <w:szCs w:val="20"/>
        </w:rPr>
        <w:t>про</w:t>
      </w:r>
      <w:r w:rsidRPr="000977F7">
        <w:rPr>
          <w:rFonts w:asciiTheme="majorHAnsi" w:hAnsiTheme="majorHAnsi"/>
          <w:i/>
          <w:w w:val="99"/>
          <w:sz w:val="20"/>
          <w:szCs w:val="20"/>
        </w:rPr>
        <w:t>ек</w:t>
      </w:r>
      <w:r w:rsidRPr="000977F7">
        <w:rPr>
          <w:rFonts w:asciiTheme="majorHAnsi" w:hAnsiTheme="majorHAnsi"/>
          <w:i/>
          <w:spacing w:val="-1"/>
          <w:w w:val="99"/>
          <w:sz w:val="20"/>
          <w:szCs w:val="20"/>
        </w:rPr>
        <w:t>тн</w:t>
      </w:r>
      <w:r w:rsidRPr="000977F7">
        <w:rPr>
          <w:rFonts w:asciiTheme="majorHAnsi" w:hAnsiTheme="majorHAnsi"/>
          <w:i/>
          <w:w w:val="99"/>
          <w:sz w:val="20"/>
          <w:szCs w:val="20"/>
        </w:rPr>
        <w:t>.</w:t>
      </w:r>
      <w:r w:rsidRPr="000977F7">
        <w:rPr>
          <w:rFonts w:asciiTheme="majorHAnsi" w:hAnsiTheme="majorHAnsi"/>
          <w:i/>
          <w:sz w:val="20"/>
          <w:szCs w:val="20"/>
        </w:rPr>
        <w:t xml:space="preserve"> </w:t>
      </w:r>
      <w:r w:rsidRPr="000977F7">
        <w:rPr>
          <w:rFonts w:asciiTheme="majorHAnsi" w:hAnsiTheme="majorHAnsi"/>
          <w:i/>
          <w:spacing w:val="-1"/>
          <w:w w:val="99"/>
          <w:sz w:val="20"/>
          <w:szCs w:val="20"/>
        </w:rPr>
        <w:t>менеджм</w:t>
      </w:r>
      <w:r w:rsidRPr="000977F7">
        <w:rPr>
          <w:rFonts w:asciiTheme="majorHAnsi" w:hAnsiTheme="majorHAnsi"/>
          <w:i/>
          <w:spacing w:val="3"/>
          <w:w w:val="99"/>
          <w:sz w:val="20"/>
          <w:szCs w:val="20"/>
        </w:rPr>
        <w:t>.</w:t>
      </w:r>
      <w:r w:rsidRPr="000977F7">
        <w:rPr>
          <w:rFonts w:asciiTheme="majorHAnsi" w:hAnsiTheme="majorHAnsi"/>
          <w:i/>
          <w:w w:val="99"/>
          <w:sz w:val="20"/>
          <w:szCs w:val="20"/>
        </w:rPr>
        <w:t>-</w:t>
      </w:r>
      <w:r w:rsidRPr="000977F7">
        <w:rPr>
          <w:rFonts w:asciiTheme="majorHAnsi" w:hAnsiTheme="majorHAnsi"/>
          <w:i/>
          <w:spacing w:val="2"/>
          <w:w w:val="99"/>
          <w:sz w:val="20"/>
          <w:szCs w:val="20"/>
        </w:rPr>
        <w:t>т</w:t>
      </w:r>
      <w:r w:rsidRPr="000977F7">
        <w:rPr>
          <w:rFonts w:asciiTheme="majorHAnsi" w:hAnsiTheme="majorHAnsi"/>
          <w:i/>
          <w:w w:val="137"/>
          <w:sz w:val="20"/>
          <w:szCs w:val="20"/>
        </w:rPr>
        <w:t xml:space="preserve">у‖ </w:t>
      </w:r>
    </w:p>
    <w:p w14:paraId="7CDF7863"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УПРАВЛІННЯ ЯКІСТЮ –</w:t>
      </w:r>
      <w:r w:rsidRPr="000977F7">
        <w:rPr>
          <w:rFonts w:asciiTheme="majorHAnsi" w:hAnsiTheme="majorHAnsi"/>
          <w:b/>
          <w:spacing w:val="1"/>
          <w:sz w:val="20"/>
          <w:szCs w:val="20"/>
        </w:rPr>
        <w:t xml:space="preserve"> </w:t>
      </w:r>
    </w:p>
    <w:p w14:paraId="241A7523"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QUALITY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MANAGEMENT</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260C8D4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Управління</w:t>
      </w:r>
      <w:r w:rsidRPr="004D2D14">
        <w:rPr>
          <w:rFonts w:asciiTheme="majorHAnsi" w:hAnsiTheme="majorHAnsi"/>
          <w:spacing w:val="-4"/>
          <w:sz w:val="20"/>
          <w:szCs w:val="20"/>
          <w:lang w:val="en-US"/>
        </w:rPr>
        <w:t xml:space="preserve"> </w:t>
      </w:r>
      <w:r w:rsidRPr="000977F7">
        <w:rPr>
          <w:rFonts w:asciiTheme="majorHAnsi" w:hAnsiTheme="majorHAnsi"/>
          <w:sz w:val="20"/>
          <w:szCs w:val="20"/>
        </w:rPr>
        <w:t>стосовно</w:t>
      </w:r>
      <w:r w:rsidRPr="004D2D14">
        <w:rPr>
          <w:rFonts w:asciiTheme="majorHAnsi" w:hAnsiTheme="majorHAnsi"/>
          <w:spacing w:val="-2"/>
          <w:sz w:val="20"/>
          <w:szCs w:val="20"/>
          <w:lang w:val="en-US"/>
        </w:rPr>
        <w:t xml:space="preserve"> </w:t>
      </w:r>
      <w:r w:rsidRPr="000977F7">
        <w:rPr>
          <w:rFonts w:asciiTheme="majorHAnsi" w:hAnsiTheme="majorHAnsi"/>
          <w:sz w:val="20"/>
          <w:szCs w:val="20"/>
        </w:rPr>
        <w:t>якості</w:t>
      </w:r>
      <w:r w:rsidRPr="004D2D14">
        <w:rPr>
          <w:rFonts w:asciiTheme="majorHAnsi" w:hAnsiTheme="majorHAnsi"/>
          <w:sz w:val="20"/>
          <w:szCs w:val="20"/>
          <w:lang w:val="en-US"/>
        </w:rPr>
        <w:t>.</w:t>
      </w:r>
    </w:p>
    <w:p w14:paraId="4A94437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Примітка</w:t>
      </w:r>
      <w:r w:rsidRPr="004D2D14">
        <w:rPr>
          <w:rFonts w:asciiTheme="majorHAnsi" w:hAnsiTheme="majorHAnsi"/>
          <w:sz w:val="20"/>
          <w:szCs w:val="20"/>
          <w:lang w:val="en-US"/>
        </w:rPr>
        <w:t xml:space="preserve">. </w:t>
      </w:r>
      <w:r w:rsidRPr="000977F7">
        <w:rPr>
          <w:rFonts w:asciiTheme="majorHAnsi" w:hAnsiTheme="majorHAnsi"/>
          <w:sz w:val="20"/>
          <w:szCs w:val="20"/>
        </w:rPr>
        <w:t>Управління</w:t>
      </w:r>
      <w:r w:rsidRPr="004D2D14">
        <w:rPr>
          <w:rFonts w:asciiTheme="majorHAnsi" w:hAnsiTheme="majorHAnsi"/>
          <w:sz w:val="20"/>
          <w:szCs w:val="20"/>
          <w:lang w:val="en-US"/>
        </w:rPr>
        <w:t xml:space="preserve"> </w:t>
      </w:r>
      <w:r w:rsidRPr="000977F7">
        <w:rPr>
          <w:rFonts w:asciiTheme="majorHAnsi" w:hAnsiTheme="majorHAnsi"/>
          <w:sz w:val="20"/>
          <w:szCs w:val="20"/>
        </w:rPr>
        <w:t>якістю</w:t>
      </w:r>
      <w:r w:rsidRPr="004D2D14">
        <w:rPr>
          <w:rFonts w:asciiTheme="majorHAnsi" w:hAnsiTheme="majorHAnsi"/>
          <w:sz w:val="20"/>
          <w:szCs w:val="20"/>
          <w:lang w:val="en-US"/>
        </w:rPr>
        <w:t xml:space="preserve"> </w:t>
      </w:r>
      <w:r w:rsidRPr="000977F7">
        <w:rPr>
          <w:rFonts w:asciiTheme="majorHAnsi" w:hAnsiTheme="majorHAnsi"/>
          <w:sz w:val="20"/>
          <w:szCs w:val="20"/>
        </w:rPr>
        <w:t>може</w:t>
      </w:r>
      <w:r w:rsidRPr="004D2D14">
        <w:rPr>
          <w:rFonts w:asciiTheme="majorHAnsi" w:hAnsiTheme="majorHAnsi"/>
          <w:sz w:val="20"/>
          <w:szCs w:val="20"/>
          <w:lang w:val="en-US"/>
        </w:rPr>
        <w:t xml:space="preserve"> </w:t>
      </w:r>
      <w:r w:rsidRPr="000977F7">
        <w:rPr>
          <w:rFonts w:asciiTheme="majorHAnsi" w:hAnsiTheme="majorHAnsi"/>
          <w:sz w:val="20"/>
          <w:szCs w:val="20"/>
        </w:rPr>
        <w:t>охоплювати</w:t>
      </w:r>
      <w:r w:rsidRPr="004D2D14">
        <w:rPr>
          <w:rFonts w:asciiTheme="majorHAnsi" w:hAnsiTheme="majorHAnsi"/>
          <w:sz w:val="20"/>
          <w:szCs w:val="20"/>
          <w:lang w:val="en-US"/>
        </w:rPr>
        <w:t xml:space="preserve"> </w:t>
      </w:r>
      <w:r w:rsidRPr="000977F7">
        <w:rPr>
          <w:rFonts w:asciiTheme="majorHAnsi" w:hAnsiTheme="majorHAnsi"/>
          <w:sz w:val="20"/>
          <w:szCs w:val="20"/>
        </w:rPr>
        <w:t>формування</w:t>
      </w:r>
      <w:r w:rsidRPr="004D2D14">
        <w:rPr>
          <w:rFonts w:asciiTheme="majorHAnsi" w:hAnsiTheme="majorHAnsi"/>
          <w:sz w:val="20"/>
          <w:szCs w:val="20"/>
          <w:lang w:val="en-US"/>
        </w:rPr>
        <w:t xml:space="preserve"> </w:t>
      </w:r>
      <w:r w:rsidRPr="000977F7">
        <w:rPr>
          <w:rFonts w:asciiTheme="majorHAnsi" w:hAnsiTheme="majorHAnsi"/>
          <w:sz w:val="20"/>
          <w:szCs w:val="20"/>
        </w:rPr>
        <w:t>політики</w:t>
      </w:r>
      <w:r w:rsidRPr="004D2D14">
        <w:rPr>
          <w:rFonts w:asciiTheme="majorHAnsi" w:hAnsiTheme="majorHAnsi"/>
          <w:sz w:val="20"/>
          <w:szCs w:val="20"/>
          <w:lang w:val="en-US"/>
        </w:rPr>
        <w:t xml:space="preserve"> Y </w:t>
      </w:r>
      <w:r w:rsidRPr="000977F7">
        <w:rPr>
          <w:rFonts w:asciiTheme="majorHAnsi" w:hAnsiTheme="majorHAnsi"/>
          <w:sz w:val="20"/>
          <w:szCs w:val="20"/>
        </w:rPr>
        <w:t>сфері</w:t>
      </w:r>
      <w:r w:rsidRPr="004D2D14">
        <w:rPr>
          <w:rFonts w:asciiTheme="majorHAnsi" w:hAnsiTheme="majorHAnsi"/>
          <w:sz w:val="20"/>
          <w:szCs w:val="20"/>
          <w:lang w:val="en-US"/>
        </w:rPr>
        <w:t xml:space="preserve"> </w:t>
      </w:r>
      <w:r w:rsidRPr="000977F7">
        <w:rPr>
          <w:rFonts w:asciiTheme="majorHAnsi" w:hAnsiTheme="majorHAnsi"/>
          <w:sz w:val="20"/>
          <w:szCs w:val="20"/>
        </w:rPr>
        <w:t>якості</w:t>
      </w:r>
      <w:r w:rsidRPr="004D2D14">
        <w:rPr>
          <w:rFonts w:asciiTheme="majorHAnsi" w:hAnsiTheme="majorHAnsi"/>
          <w:spacing w:val="1"/>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встановлення</w:t>
      </w:r>
      <w:r w:rsidRPr="004D2D14">
        <w:rPr>
          <w:rFonts w:asciiTheme="majorHAnsi" w:hAnsiTheme="majorHAnsi"/>
          <w:sz w:val="20"/>
          <w:szCs w:val="20"/>
          <w:lang w:val="en-US"/>
        </w:rPr>
        <w:t xml:space="preserve"> </w:t>
      </w:r>
      <w:r w:rsidRPr="000977F7">
        <w:rPr>
          <w:rFonts w:asciiTheme="majorHAnsi" w:hAnsiTheme="majorHAnsi"/>
          <w:sz w:val="20"/>
          <w:szCs w:val="20"/>
        </w:rPr>
        <w:t>цілей</w:t>
      </w:r>
      <w:r w:rsidRPr="004D2D14">
        <w:rPr>
          <w:rFonts w:asciiTheme="majorHAnsi" w:hAnsiTheme="majorHAnsi"/>
          <w:spacing w:val="1"/>
          <w:sz w:val="20"/>
          <w:szCs w:val="20"/>
          <w:lang w:val="en-US"/>
        </w:rPr>
        <w:t xml:space="preserve"> </w:t>
      </w:r>
      <w:r w:rsidRPr="000977F7">
        <w:rPr>
          <w:rFonts w:asciiTheme="majorHAnsi" w:hAnsiTheme="majorHAnsi"/>
          <w:sz w:val="20"/>
          <w:szCs w:val="20"/>
        </w:rPr>
        <w:t>у</w:t>
      </w:r>
      <w:r w:rsidRPr="004D2D14">
        <w:rPr>
          <w:rFonts w:asciiTheme="majorHAnsi" w:hAnsiTheme="majorHAnsi"/>
          <w:sz w:val="20"/>
          <w:szCs w:val="20"/>
          <w:lang w:val="en-US"/>
        </w:rPr>
        <w:t xml:space="preserve"> </w:t>
      </w:r>
      <w:r w:rsidRPr="000977F7">
        <w:rPr>
          <w:rFonts w:asciiTheme="majorHAnsi" w:hAnsiTheme="majorHAnsi"/>
          <w:sz w:val="20"/>
          <w:szCs w:val="20"/>
        </w:rPr>
        <w:t>сфері</w:t>
      </w:r>
      <w:r w:rsidRPr="004D2D14">
        <w:rPr>
          <w:rFonts w:asciiTheme="majorHAnsi" w:hAnsiTheme="majorHAnsi"/>
          <w:sz w:val="20"/>
          <w:szCs w:val="20"/>
          <w:lang w:val="en-US"/>
        </w:rPr>
        <w:t xml:space="preserve"> </w:t>
      </w:r>
      <w:r w:rsidRPr="000977F7">
        <w:rPr>
          <w:rFonts w:asciiTheme="majorHAnsi" w:hAnsiTheme="majorHAnsi"/>
          <w:sz w:val="20"/>
          <w:szCs w:val="20"/>
        </w:rPr>
        <w:t>якості</w:t>
      </w:r>
      <w:r w:rsidRPr="004D2D14">
        <w:rPr>
          <w:rFonts w:asciiTheme="majorHAnsi" w:hAnsiTheme="majorHAnsi"/>
          <w:sz w:val="20"/>
          <w:szCs w:val="20"/>
          <w:lang w:val="en-US"/>
        </w:rPr>
        <w:t xml:space="preserve">, </w:t>
      </w:r>
      <w:r w:rsidRPr="000977F7">
        <w:rPr>
          <w:rFonts w:asciiTheme="majorHAnsi" w:hAnsiTheme="majorHAnsi"/>
          <w:sz w:val="20"/>
          <w:szCs w:val="20"/>
        </w:rPr>
        <w:t>а</w:t>
      </w:r>
      <w:r w:rsidRPr="004D2D14">
        <w:rPr>
          <w:rFonts w:asciiTheme="majorHAnsi" w:hAnsiTheme="majorHAnsi"/>
          <w:spacing w:val="1"/>
          <w:sz w:val="20"/>
          <w:szCs w:val="20"/>
          <w:lang w:val="en-US"/>
        </w:rPr>
        <w:t xml:space="preserve"> </w:t>
      </w:r>
      <w:r w:rsidRPr="000977F7">
        <w:rPr>
          <w:rFonts w:asciiTheme="majorHAnsi" w:hAnsiTheme="majorHAnsi"/>
          <w:sz w:val="20"/>
          <w:szCs w:val="20"/>
        </w:rPr>
        <w:t>також</w:t>
      </w:r>
      <w:r w:rsidRPr="004D2D14">
        <w:rPr>
          <w:rFonts w:asciiTheme="majorHAnsi" w:hAnsiTheme="majorHAnsi"/>
          <w:spacing w:val="1"/>
          <w:sz w:val="20"/>
          <w:szCs w:val="20"/>
          <w:lang w:val="en-US"/>
        </w:rPr>
        <w:t xml:space="preserve"> </w:t>
      </w:r>
      <w:r w:rsidRPr="000977F7">
        <w:rPr>
          <w:rFonts w:asciiTheme="majorHAnsi" w:hAnsiTheme="majorHAnsi"/>
          <w:sz w:val="20"/>
          <w:szCs w:val="20"/>
        </w:rPr>
        <w:t>процесів</w:t>
      </w:r>
      <w:r w:rsidRPr="004D2D14">
        <w:rPr>
          <w:rFonts w:asciiTheme="majorHAnsi" w:hAnsiTheme="majorHAnsi"/>
          <w:sz w:val="20"/>
          <w:szCs w:val="20"/>
          <w:lang w:val="en-US"/>
        </w:rPr>
        <w:t xml:space="preserve">, </w:t>
      </w:r>
      <w:r w:rsidRPr="000977F7">
        <w:rPr>
          <w:rFonts w:asciiTheme="majorHAnsi" w:hAnsiTheme="majorHAnsi"/>
          <w:sz w:val="20"/>
          <w:szCs w:val="20"/>
        </w:rPr>
        <w:t>щоб</w:t>
      </w:r>
      <w:r w:rsidRPr="004D2D14">
        <w:rPr>
          <w:rFonts w:asciiTheme="majorHAnsi" w:hAnsiTheme="majorHAnsi"/>
          <w:spacing w:val="50"/>
          <w:sz w:val="20"/>
          <w:szCs w:val="20"/>
          <w:lang w:val="en-US"/>
        </w:rPr>
        <w:t xml:space="preserve"> </w:t>
      </w:r>
      <w:r w:rsidRPr="000977F7">
        <w:rPr>
          <w:rFonts w:asciiTheme="majorHAnsi" w:hAnsiTheme="majorHAnsi"/>
          <w:sz w:val="20"/>
          <w:szCs w:val="20"/>
        </w:rPr>
        <w:t>досягати</w:t>
      </w:r>
      <w:r w:rsidRPr="004D2D14">
        <w:rPr>
          <w:rFonts w:asciiTheme="majorHAnsi" w:hAnsiTheme="majorHAnsi"/>
          <w:spacing w:val="1"/>
          <w:sz w:val="20"/>
          <w:szCs w:val="20"/>
          <w:lang w:val="en-US"/>
        </w:rPr>
        <w:t xml:space="preserve"> </w:t>
      </w:r>
      <w:r w:rsidRPr="000977F7">
        <w:rPr>
          <w:rFonts w:asciiTheme="majorHAnsi" w:hAnsiTheme="majorHAnsi"/>
          <w:sz w:val="20"/>
          <w:szCs w:val="20"/>
        </w:rPr>
        <w:t>цих</w:t>
      </w:r>
      <w:r w:rsidRPr="004D2D14">
        <w:rPr>
          <w:rFonts w:asciiTheme="majorHAnsi" w:hAnsiTheme="majorHAnsi"/>
          <w:sz w:val="20"/>
          <w:szCs w:val="20"/>
          <w:lang w:val="en-US"/>
        </w:rPr>
        <w:t xml:space="preserve"> </w:t>
      </w:r>
      <w:r w:rsidRPr="000977F7">
        <w:rPr>
          <w:rFonts w:asciiTheme="majorHAnsi" w:hAnsiTheme="majorHAnsi"/>
          <w:sz w:val="20"/>
          <w:szCs w:val="20"/>
        </w:rPr>
        <w:t>цілей</w:t>
      </w:r>
      <w:r w:rsidRPr="004D2D14">
        <w:rPr>
          <w:rFonts w:asciiTheme="majorHAnsi" w:hAnsiTheme="majorHAnsi"/>
          <w:sz w:val="20"/>
          <w:szCs w:val="20"/>
          <w:lang w:val="en-US"/>
        </w:rPr>
        <w:t xml:space="preserve"> </w:t>
      </w:r>
      <w:r w:rsidRPr="000977F7">
        <w:rPr>
          <w:rFonts w:asciiTheme="majorHAnsi" w:hAnsiTheme="majorHAnsi"/>
          <w:sz w:val="20"/>
          <w:szCs w:val="20"/>
        </w:rPr>
        <w:t>у</w:t>
      </w:r>
      <w:r w:rsidRPr="004D2D14">
        <w:rPr>
          <w:rFonts w:asciiTheme="majorHAnsi" w:hAnsiTheme="majorHAnsi"/>
          <w:sz w:val="20"/>
          <w:szCs w:val="20"/>
          <w:lang w:val="en-US"/>
        </w:rPr>
        <w:t xml:space="preserve"> </w:t>
      </w:r>
      <w:r w:rsidRPr="000977F7">
        <w:rPr>
          <w:rFonts w:asciiTheme="majorHAnsi" w:hAnsiTheme="majorHAnsi"/>
          <w:sz w:val="20"/>
          <w:szCs w:val="20"/>
        </w:rPr>
        <w:t>сфері</w:t>
      </w:r>
      <w:r w:rsidRPr="004D2D14">
        <w:rPr>
          <w:rFonts w:asciiTheme="majorHAnsi" w:hAnsiTheme="majorHAnsi"/>
          <w:sz w:val="20"/>
          <w:szCs w:val="20"/>
          <w:lang w:val="en-US"/>
        </w:rPr>
        <w:t xml:space="preserve"> </w:t>
      </w:r>
      <w:r w:rsidRPr="000977F7">
        <w:rPr>
          <w:rFonts w:asciiTheme="majorHAnsi" w:hAnsiTheme="majorHAnsi"/>
          <w:sz w:val="20"/>
          <w:szCs w:val="20"/>
        </w:rPr>
        <w:t>якості</w:t>
      </w:r>
      <w:r w:rsidRPr="004D2D14">
        <w:rPr>
          <w:rFonts w:asciiTheme="majorHAnsi" w:hAnsiTheme="majorHAnsi"/>
          <w:sz w:val="20"/>
          <w:szCs w:val="20"/>
          <w:lang w:val="en-US"/>
        </w:rPr>
        <w:t xml:space="preserve"> </w:t>
      </w:r>
      <w:r w:rsidRPr="000977F7">
        <w:rPr>
          <w:rFonts w:asciiTheme="majorHAnsi" w:hAnsiTheme="majorHAnsi"/>
          <w:sz w:val="20"/>
          <w:szCs w:val="20"/>
        </w:rPr>
        <w:t>через</w:t>
      </w:r>
      <w:r w:rsidRPr="004D2D14">
        <w:rPr>
          <w:rFonts w:asciiTheme="majorHAnsi" w:hAnsiTheme="majorHAnsi"/>
          <w:sz w:val="20"/>
          <w:szCs w:val="20"/>
          <w:lang w:val="en-US"/>
        </w:rPr>
        <w:t xml:space="preserve"> </w:t>
      </w:r>
      <w:r w:rsidRPr="000977F7">
        <w:rPr>
          <w:rFonts w:asciiTheme="majorHAnsi" w:hAnsiTheme="majorHAnsi"/>
          <w:sz w:val="20"/>
          <w:szCs w:val="20"/>
        </w:rPr>
        <w:t>планування</w:t>
      </w:r>
      <w:r w:rsidRPr="004D2D14">
        <w:rPr>
          <w:rFonts w:asciiTheme="majorHAnsi" w:hAnsiTheme="majorHAnsi"/>
          <w:sz w:val="20"/>
          <w:szCs w:val="20"/>
          <w:lang w:val="en-US"/>
        </w:rPr>
        <w:t xml:space="preserve"> </w:t>
      </w:r>
      <w:r w:rsidRPr="000977F7">
        <w:rPr>
          <w:rFonts w:asciiTheme="majorHAnsi" w:hAnsiTheme="majorHAnsi"/>
          <w:sz w:val="20"/>
          <w:szCs w:val="20"/>
        </w:rPr>
        <w:t>якості</w:t>
      </w:r>
      <w:r w:rsidRPr="004D2D14">
        <w:rPr>
          <w:rFonts w:asciiTheme="majorHAnsi" w:hAnsiTheme="majorHAnsi"/>
          <w:sz w:val="20"/>
          <w:szCs w:val="20"/>
          <w:lang w:val="en-US"/>
        </w:rPr>
        <w:t xml:space="preserve">, </w:t>
      </w:r>
      <w:r w:rsidRPr="000977F7">
        <w:rPr>
          <w:rFonts w:asciiTheme="majorHAnsi" w:hAnsiTheme="majorHAnsi"/>
          <w:sz w:val="20"/>
          <w:szCs w:val="20"/>
        </w:rPr>
        <w:t>забезпечування</w:t>
      </w:r>
      <w:r w:rsidRPr="004D2D14">
        <w:rPr>
          <w:rFonts w:asciiTheme="majorHAnsi" w:hAnsiTheme="majorHAnsi"/>
          <w:sz w:val="20"/>
          <w:szCs w:val="20"/>
          <w:lang w:val="en-US"/>
        </w:rPr>
        <w:t xml:space="preserve"> </w:t>
      </w:r>
      <w:r w:rsidRPr="000977F7">
        <w:rPr>
          <w:rFonts w:asciiTheme="majorHAnsi" w:hAnsiTheme="majorHAnsi"/>
          <w:sz w:val="20"/>
          <w:szCs w:val="20"/>
        </w:rPr>
        <w:t>якості</w:t>
      </w:r>
      <w:r w:rsidRPr="004D2D14">
        <w:rPr>
          <w:rFonts w:asciiTheme="majorHAnsi" w:hAnsiTheme="majorHAnsi"/>
          <w:sz w:val="20"/>
          <w:szCs w:val="20"/>
          <w:lang w:val="en-US"/>
        </w:rPr>
        <w:t xml:space="preserve">, </w:t>
      </w:r>
      <w:r w:rsidRPr="000977F7">
        <w:rPr>
          <w:rFonts w:asciiTheme="majorHAnsi" w:hAnsiTheme="majorHAnsi"/>
          <w:sz w:val="20"/>
          <w:szCs w:val="20"/>
        </w:rPr>
        <w:t>контролювання</w:t>
      </w:r>
      <w:r w:rsidRPr="004D2D14">
        <w:rPr>
          <w:rFonts w:asciiTheme="majorHAnsi" w:hAnsiTheme="majorHAnsi"/>
          <w:sz w:val="20"/>
          <w:szCs w:val="20"/>
          <w:lang w:val="en-US"/>
        </w:rPr>
        <w:t xml:space="preserve"> </w:t>
      </w:r>
      <w:r w:rsidRPr="000977F7">
        <w:rPr>
          <w:rFonts w:asciiTheme="majorHAnsi" w:hAnsiTheme="majorHAnsi"/>
          <w:sz w:val="20"/>
          <w:szCs w:val="20"/>
        </w:rPr>
        <w:t>якості</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поліпшування</w:t>
      </w:r>
      <w:r w:rsidRPr="004D2D14">
        <w:rPr>
          <w:rFonts w:asciiTheme="majorHAnsi" w:hAnsiTheme="majorHAnsi"/>
          <w:spacing w:val="-2"/>
          <w:sz w:val="20"/>
          <w:szCs w:val="20"/>
          <w:lang w:val="en-US"/>
        </w:rPr>
        <w:t xml:space="preserve"> </w:t>
      </w:r>
      <w:r w:rsidRPr="000977F7">
        <w:rPr>
          <w:rFonts w:asciiTheme="majorHAnsi" w:hAnsiTheme="majorHAnsi"/>
          <w:sz w:val="20"/>
          <w:szCs w:val="20"/>
        </w:rPr>
        <w:t>якості</w:t>
      </w:r>
      <w:r w:rsidRPr="004D2D14">
        <w:rPr>
          <w:rFonts w:asciiTheme="majorHAnsi" w:hAnsiTheme="majorHAnsi"/>
          <w:sz w:val="20"/>
          <w:szCs w:val="20"/>
          <w:lang w:val="en-US"/>
        </w:rPr>
        <w:t>.</w:t>
      </w:r>
    </w:p>
    <w:p w14:paraId="34ED1D4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ISO</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9000:2015</w:t>
      </w:r>
    </w:p>
    <w:p w14:paraId="0789CA20" w14:textId="77777777" w:rsidR="0097612F" w:rsidRPr="000977F7" w:rsidRDefault="0097612F" w:rsidP="000977F7">
      <w:pPr>
        <w:pStyle w:val="7"/>
        <w:tabs>
          <w:tab w:val="left" w:pos="284"/>
        </w:tabs>
        <w:spacing w:before="0" w:line="240" w:lineRule="auto"/>
        <w:ind w:left="170"/>
        <w:mirrorIndents/>
        <w:jc w:val="both"/>
        <w:rPr>
          <w:color w:val="auto"/>
          <w:spacing w:val="16"/>
          <w:w w:val="95"/>
          <w:sz w:val="20"/>
          <w:szCs w:val="20"/>
        </w:rPr>
      </w:pPr>
      <w:r w:rsidRPr="000977F7">
        <w:rPr>
          <w:color w:val="auto"/>
          <w:w w:val="95"/>
          <w:sz w:val="20"/>
          <w:szCs w:val="20"/>
        </w:rPr>
        <w:t>УПРАВЛІННЯ</w:t>
      </w:r>
      <w:r w:rsidRPr="000977F7">
        <w:rPr>
          <w:color w:val="auto"/>
          <w:spacing w:val="17"/>
          <w:w w:val="95"/>
          <w:sz w:val="20"/>
          <w:szCs w:val="20"/>
        </w:rPr>
        <w:t xml:space="preserve"> </w:t>
      </w:r>
      <w:r w:rsidRPr="000977F7">
        <w:rPr>
          <w:color w:val="auto"/>
          <w:w w:val="95"/>
          <w:sz w:val="20"/>
          <w:szCs w:val="20"/>
        </w:rPr>
        <w:t>ЯКІСТЮ</w:t>
      </w:r>
      <w:r w:rsidRPr="000977F7">
        <w:rPr>
          <w:color w:val="auto"/>
          <w:spacing w:val="17"/>
          <w:w w:val="95"/>
          <w:sz w:val="20"/>
          <w:szCs w:val="20"/>
        </w:rPr>
        <w:t xml:space="preserve"> </w:t>
      </w:r>
      <w:r w:rsidRPr="000977F7">
        <w:rPr>
          <w:color w:val="auto"/>
          <w:w w:val="95"/>
          <w:sz w:val="20"/>
          <w:szCs w:val="20"/>
        </w:rPr>
        <w:t>ЕЛЕКТРИЧНОЇ</w:t>
      </w:r>
      <w:r w:rsidRPr="000977F7">
        <w:rPr>
          <w:color w:val="auto"/>
          <w:spacing w:val="16"/>
          <w:w w:val="95"/>
          <w:sz w:val="20"/>
          <w:szCs w:val="20"/>
        </w:rPr>
        <w:t xml:space="preserve"> </w:t>
      </w:r>
    </w:p>
    <w:p w14:paraId="4C1BD51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w w:val="95"/>
          <w:sz w:val="20"/>
          <w:szCs w:val="20"/>
        </w:rPr>
        <w:t>ЕНЕРГІЇ</w:t>
      </w:r>
      <w:r w:rsidRPr="000977F7">
        <w:rPr>
          <w:color w:val="auto"/>
          <w:spacing w:val="13"/>
          <w:w w:val="95"/>
          <w:sz w:val="20"/>
          <w:szCs w:val="20"/>
        </w:rPr>
        <w:t xml:space="preserve"> </w:t>
      </w:r>
      <w:r w:rsidRPr="000977F7">
        <w:rPr>
          <w:color w:val="auto"/>
          <w:w w:val="95"/>
          <w:sz w:val="20"/>
          <w:szCs w:val="20"/>
        </w:rPr>
        <w:t>–</w:t>
      </w:r>
    </w:p>
    <w:p w14:paraId="62CB88C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Дія на умови і чинники, що впливають на якість електричної</w:t>
      </w:r>
      <w:r w:rsidRPr="000977F7">
        <w:rPr>
          <w:rFonts w:asciiTheme="majorHAnsi" w:hAnsiTheme="majorHAnsi"/>
          <w:spacing w:val="-2"/>
          <w:sz w:val="20"/>
          <w:szCs w:val="20"/>
        </w:rPr>
        <w:t xml:space="preserve"> </w:t>
      </w:r>
      <w:r w:rsidRPr="000977F7">
        <w:rPr>
          <w:rFonts w:asciiTheme="majorHAnsi" w:hAnsiTheme="majorHAnsi"/>
          <w:sz w:val="20"/>
          <w:szCs w:val="20"/>
        </w:rPr>
        <w:t>енергії</w:t>
      </w:r>
    </w:p>
    <w:p w14:paraId="354C4DC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4B50D0A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УПРАВЛІННЯ</w:t>
      </w:r>
      <w:r w:rsidRPr="000977F7">
        <w:rPr>
          <w:color w:val="auto"/>
          <w:spacing w:val="-5"/>
          <w:sz w:val="20"/>
          <w:szCs w:val="20"/>
        </w:rPr>
        <w:t xml:space="preserve"> </w:t>
      </w:r>
      <w:r w:rsidRPr="000977F7">
        <w:rPr>
          <w:color w:val="auto"/>
          <w:sz w:val="20"/>
          <w:szCs w:val="20"/>
        </w:rPr>
        <w:t>ЯКІСТЮ</w:t>
      </w:r>
      <w:r w:rsidRPr="000977F7">
        <w:rPr>
          <w:color w:val="auto"/>
          <w:spacing w:val="-5"/>
          <w:sz w:val="20"/>
          <w:szCs w:val="20"/>
        </w:rPr>
        <w:t xml:space="preserve"> </w:t>
      </w:r>
      <w:r w:rsidRPr="000977F7">
        <w:rPr>
          <w:color w:val="auto"/>
          <w:sz w:val="20"/>
          <w:szCs w:val="20"/>
        </w:rPr>
        <w:t>ПРОЕКТУ</w:t>
      </w:r>
      <w:r w:rsidRPr="000977F7">
        <w:rPr>
          <w:color w:val="auto"/>
          <w:spacing w:val="-2"/>
          <w:sz w:val="20"/>
          <w:szCs w:val="20"/>
        </w:rPr>
        <w:t xml:space="preserve"> </w:t>
      </w:r>
      <w:r w:rsidRPr="000977F7">
        <w:rPr>
          <w:color w:val="auto"/>
          <w:sz w:val="20"/>
          <w:szCs w:val="20"/>
        </w:rPr>
        <w:t>–</w:t>
      </w:r>
    </w:p>
    <w:p w14:paraId="7661EF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 складова проектного менеджменту, яка розглядає</w:t>
      </w:r>
      <w:r w:rsidRPr="000977F7">
        <w:rPr>
          <w:rFonts w:asciiTheme="majorHAnsi" w:hAnsiTheme="majorHAnsi"/>
          <w:spacing w:val="1"/>
          <w:sz w:val="20"/>
          <w:szCs w:val="20"/>
        </w:rPr>
        <w:t xml:space="preserve"> </w:t>
      </w:r>
      <w:r w:rsidRPr="000977F7">
        <w:rPr>
          <w:rFonts w:asciiTheme="majorHAnsi" w:hAnsiTheme="majorHAnsi"/>
          <w:sz w:val="20"/>
          <w:szCs w:val="20"/>
        </w:rPr>
        <w:t>процеси, необхідні для забезпечення того, щоб проект</w:t>
      </w:r>
      <w:r w:rsidRPr="000977F7">
        <w:rPr>
          <w:rFonts w:asciiTheme="majorHAnsi" w:hAnsiTheme="majorHAnsi"/>
          <w:spacing w:val="-47"/>
          <w:sz w:val="20"/>
          <w:szCs w:val="20"/>
        </w:rPr>
        <w:t xml:space="preserve"> </w:t>
      </w:r>
      <w:r w:rsidRPr="000977F7">
        <w:rPr>
          <w:rFonts w:asciiTheme="majorHAnsi" w:hAnsiTheme="majorHAnsi"/>
          <w:sz w:val="20"/>
          <w:szCs w:val="20"/>
        </w:rPr>
        <w:t>задовольняв ті потреби, задля яких він і розроблений.</w:t>
      </w:r>
      <w:r w:rsidRPr="000977F7">
        <w:rPr>
          <w:rFonts w:asciiTheme="majorHAnsi" w:hAnsiTheme="majorHAnsi"/>
          <w:spacing w:val="1"/>
          <w:sz w:val="20"/>
          <w:szCs w:val="20"/>
        </w:rPr>
        <w:t xml:space="preserve"> </w:t>
      </w:r>
      <w:r w:rsidRPr="000977F7">
        <w:rPr>
          <w:rFonts w:asciiTheme="majorHAnsi" w:hAnsiTheme="majorHAnsi"/>
          <w:sz w:val="20"/>
          <w:szCs w:val="20"/>
        </w:rPr>
        <w:t>Вона</w:t>
      </w:r>
      <w:r w:rsidRPr="000977F7">
        <w:rPr>
          <w:rFonts w:asciiTheme="majorHAnsi" w:hAnsiTheme="majorHAnsi"/>
          <w:spacing w:val="-1"/>
          <w:sz w:val="20"/>
          <w:szCs w:val="20"/>
        </w:rPr>
        <w:t xml:space="preserve"> </w:t>
      </w:r>
      <w:r w:rsidRPr="000977F7">
        <w:rPr>
          <w:rFonts w:asciiTheme="majorHAnsi" w:hAnsiTheme="majorHAnsi"/>
          <w:sz w:val="20"/>
          <w:szCs w:val="20"/>
        </w:rPr>
        <w:t>має</w:t>
      </w:r>
      <w:r w:rsidRPr="000977F7">
        <w:rPr>
          <w:rFonts w:asciiTheme="majorHAnsi" w:hAnsiTheme="majorHAnsi"/>
          <w:spacing w:val="1"/>
          <w:sz w:val="20"/>
          <w:szCs w:val="20"/>
        </w:rPr>
        <w:t xml:space="preserve"> </w:t>
      </w:r>
      <w:r w:rsidRPr="000977F7">
        <w:rPr>
          <w:rFonts w:asciiTheme="majorHAnsi" w:hAnsiTheme="majorHAnsi"/>
          <w:sz w:val="20"/>
          <w:szCs w:val="20"/>
        </w:rPr>
        <w:t>такі</w:t>
      </w:r>
      <w:r w:rsidRPr="000977F7">
        <w:rPr>
          <w:rFonts w:asciiTheme="majorHAnsi" w:hAnsiTheme="majorHAnsi"/>
          <w:spacing w:val="-1"/>
          <w:sz w:val="20"/>
          <w:szCs w:val="20"/>
        </w:rPr>
        <w:t xml:space="preserve"> </w:t>
      </w:r>
      <w:r w:rsidRPr="000977F7">
        <w:rPr>
          <w:rFonts w:asciiTheme="majorHAnsi" w:hAnsiTheme="majorHAnsi"/>
          <w:sz w:val="20"/>
          <w:szCs w:val="20"/>
        </w:rPr>
        <w:t>компоненти:</w:t>
      </w:r>
    </w:p>
    <w:p w14:paraId="263CA10C" w14:textId="77777777" w:rsidR="0097612F" w:rsidRPr="000977F7" w:rsidRDefault="0097612F" w:rsidP="00FD39A4">
      <w:pPr>
        <w:pStyle w:val="ac"/>
        <w:widowControl w:val="0"/>
        <w:numPr>
          <w:ilvl w:val="2"/>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Планування якості – визначення того, які стандарти якості застосовані до даного проекту і як домагатися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їм.</w:t>
      </w:r>
    </w:p>
    <w:p w14:paraId="7EFB0B38" w14:textId="77777777" w:rsidR="0097612F" w:rsidRPr="000977F7" w:rsidRDefault="0097612F" w:rsidP="00FD39A4">
      <w:pPr>
        <w:pStyle w:val="ac"/>
        <w:widowControl w:val="0"/>
        <w:numPr>
          <w:ilvl w:val="2"/>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Забезпечення якості – оцінка загального виконання проекту на регулярній основі для підтвердження</w:t>
      </w:r>
      <w:r w:rsidRPr="000977F7">
        <w:rPr>
          <w:rFonts w:asciiTheme="majorHAnsi" w:hAnsiTheme="majorHAnsi"/>
          <w:spacing w:val="1"/>
          <w:sz w:val="20"/>
          <w:szCs w:val="20"/>
        </w:rPr>
        <w:t xml:space="preserve"> </w:t>
      </w:r>
      <w:r w:rsidRPr="000977F7">
        <w:rPr>
          <w:rFonts w:asciiTheme="majorHAnsi" w:hAnsiTheme="majorHAnsi"/>
          <w:sz w:val="20"/>
          <w:szCs w:val="20"/>
        </w:rPr>
        <w:t>того,</w:t>
      </w:r>
      <w:r w:rsidRPr="000977F7">
        <w:rPr>
          <w:rFonts w:asciiTheme="majorHAnsi" w:hAnsiTheme="majorHAnsi"/>
          <w:spacing w:val="-1"/>
          <w:sz w:val="20"/>
          <w:szCs w:val="20"/>
        </w:rPr>
        <w:t xml:space="preserve"> </w:t>
      </w:r>
      <w:r w:rsidRPr="000977F7">
        <w:rPr>
          <w:rFonts w:asciiTheme="majorHAnsi" w:hAnsiTheme="majorHAnsi"/>
          <w:sz w:val="20"/>
          <w:szCs w:val="20"/>
        </w:rPr>
        <w:t>що проект</w:t>
      </w:r>
      <w:r w:rsidRPr="000977F7">
        <w:rPr>
          <w:rFonts w:asciiTheme="majorHAnsi" w:hAnsiTheme="majorHAnsi"/>
          <w:spacing w:val="-2"/>
          <w:sz w:val="20"/>
          <w:szCs w:val="20"/>
        </w:rPr>
        <w:t xml:space="preserve"> </w:t>
      </w:r>
      <w:r w:rsidRPr="000977F7">
        <w:rPr>
          <w:rFonts w:asciiTheme="majorHAnsi" w:hAnsiTheme="majorHAnsi"/>
          <w:sz w:val="20"/>
          <w:szCs w:val="20"/>
        </w:rPr>
        <w:t>задовольняє</w:t>
      </w:r>
      <w:r w:rsidRPr="000977F7">
        <w:rPr>
          <w:rFonts w:asciiTheme="majorHAnsi" w:hAnsiTheme="majorHAnsi"/>
          <w:spacing w:val="2"/>
          <w:sz w:val="20"/>
          <w:szCs w:val="20"/>
        </w:rPr>
        <w:t xml:space="preserve"> </w:t>
      </w:r>
      <w:r w:rsidRPr="000977F7">
        <w:rPr>
          <w:rFonts w:asciiTheme="majorHAnsi" w:hAnsiTheme="majorHAnsi"/>
          <w:sz w:val="20"/>
          <w:szCs w:val="20"/>
        </w:rPr>
        <w:t>стандарти</w:t>
      </w:r>
      <w:r w:rsidRPr="000977F7">
        <w:rPr>
          <w:rFonts w:asciiTheme="majorHAnsi" w:hAnsiTheme="majorHAnsi"/>
          <w:spacing w:val="-2"/>
          <w:sz w:val="20"/>
          <w:szCs w:val="20"/>
        </w:rPr>
        <w:t xml:space="preserve"> </w:t>
      </w:r>
      <w:r w:rsidRPr="000977F7">
        <w:rPr>
          <w:rFonts w:asciiTheme="majorHAnsi" w:hAnsiTheme="majorHAnsi"/>
          <w:sz w:val="20"/>
          <w:szCs w:val="20"/>
        </w:rPr>
        <w:t>якості.</w:t>
      </w:r>
    </w:p>
    <w:p w14:paraId="7FEA5694" w14:textId="77777777" w:rsidR="0097612F" w:rsidRPr="000977F7" w:rsidRDefault="0097612F" w:rsidP="00FD39A4">
      <w:pPr>
        <w:pStyle w:val="ac"/>
        <w:widowControl w:val="0"/>
        <w:numPr>
          <w:ilvl w:val="2"/>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Контроль якості – відстежування певних результатів по проекту для встановлення того, чи відповідають вони певним стандартам якості, і для 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шляхів</w:t>
      </w:r>
      <w:r w:rsidRPr="000977F7">
        <w:rPr>
          <w:rFonts w:asciiTheme="majorHAnsi" w:hAnsiTheme="majorHAnsi"/>
          <w:spacing w:val="12"/>
          <w:sz w:val="20"/>
          <w:szCs w:val="20"/>
        </w:rPr>
        <w:t xml:space="preserve"> </w:t>
      </w:r>
      <w:r w:rsidRPr="000977F7">
        <w:rPr>
          <w:rFonts w:asciiTheme="majorHAnsi" w:hAnsiTheme="majorHAnsi"/>
          <w:sz w:val="20"/>
          <w:szCs w:val="20"/>
        </w:rPr>
        <w:t>усунення</w:t>
      </w:r>
      <w:r w:rsidRPr="000977F7">
        <w:rPr>
          <w:rFonts w:asciiTheme="majorHAnsi" w:hAnsiTheme="majorHAnsi"/>
          <w:spacing w:val="9"/>
          <w:sz w:val="20"/>
          <w:szCs w:val="20"/>
        </w:rPr>
        <w:t xml:space="preserve"> </w:t>
      </w:r>
      <w:r w:rsidRPr="000977F7">
        <w:rPr>
          <w:rFonts w:asciiTheme="majorHAnsi" w:hAnsiTheme="majorHAnsi"/>
          <w:sz w:val="20"/>
          <w:szCs w:val="20"/>
        </w:rPr>
        <w:t>причин</w:t>
      </w:r>
      <w:r w:rsidRPr="000977F7">
        <w:rPr>
          <w:rFonts w:asciiTheme="majorHAnsi" w:hAnsiTheme="majorHAnsi"/>
          <w:spacing w:val="11"/>
          <w:sz w:val="20"/>
          <w:szCs w:val="20"/>
        </w:rPr>
        <w:t xml:space="preserve"> </w:t>
      </w:r>
      <w:r w:rsidRPr="000977F7">
        <w:rPr>
          <w:rFonts w:asciiTheme="majorHAnsi" w:hAnsiTheme="majorHAnsi"/>
          <w:sz w:val="20"/>
          <w:szCs w:val="20"/>
        </w:rPr>
        <w:t>незадовільного</w:t>
      </w:r>
      <w:r w:rsidRPr="000977F7">
        <w:rPr>
          <w:rFonts w:asciiTheme="majorHAnsi" w:hAnsiTheme="majorHAnsi"/>
          <w:spacing w:val="11"/>
          <w:sz w:val="20"/>
          <w:szCs w:val="20"/>
        </w:rPr>
        <w:t xml:space="preserve"> </w:t>
      </w:r>
      <w:r w:rsidRPr="000977F7">
        <w:rPr>
          <w:rFonts w:asciiTheme="majorHAnsi" w:hAnsiTheme="majorHAnsi"/>
          <w:sz w:val="20"/>
          <w:szCs w:val="20"/>
        </w:rPr>
        <w:t>виконання</w:t>
      </w:r>
    </w:p>
    <w:p w14:paraId="5C087A0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
          <w:w w:val="99"/>
          <w:sz w:val="20"/>
          <w:szCs w:val="20"/>
        </w:rPr>
        <w:t>Ке</w:t>
      </w:r>
      <w:r w:rsidRPr="000977F7">
        <w:rPr>
          <w:rFonts w:asciiTheme="majorHAnsi" w:hAnsiTheme="majorHAnsi"/>
          <w:i/>
          <w:w w:val="99"/>
          <w:sz w:val="20"/>
          <w:szCs w:val="20"/>
        </w:rPr>
        <w:t>р.</w:t>
      </w:r>
      <w:r w:rsidRPr="000977F7">
        <w:rPr>
          <w:rFonts w:asciiTheme="majorHAnsi" w:hAnsiTheme="majorHAnsi"/>
          <w:i/>
          <w:sz w:val="20"/>
          <w:szCs w:val="20"/>
        </w:rPr>
        <w:t xml:space="preserve"> </w:t>
      </w:r>
      <w:r w:rsidRPr="000977F7">
        <w:rPr>
          <w:rFonts w:asciiTheme="majorHAnsi" w:hAnsiTheme="majorHAnsi"/>
          <w:i/>
          <w:spacing w:val="1"/>
          <w:w w:val="99"/>
          <w:sz w:val="20"/>
          <w:szCs w:val="20"/>
        </w:rPr>
        <w:t>про</w:t>
      </w:r>
      <w:r w:rsidRPr="000977F7">
        <w:rPr>
          <w:rFonts w:asciiTheme="majorHAnsi" w:hAnsiTheme="majorHAnsi"/>
          <w:i/>
          <w:w w:val="99"/>
          <w:sz w:val="20"/>
          <w:szCs w:val="20"/>
        </w:rPr>
        <w:t>ек</w:t>
      </w:r>
      <w:r w:rsidRPr="000977F7">
        <w:rPr>
          <w:rFonts w:asciiTheme="majorHAnsi" w:hAnsiTheme="majorHAnsi"/>
          <w:i/>
          <w:spacing w:val="-1"/>
          <w:w w:val="99"/>
          <w:sz w:val="20"/>
          <w:szCs w:val="20"/>
        </w:rPr>
        <w:t>тн</w:t>
      </w:r>
      <w:r w:rsidRPr="000977F7">
        <w:rPr>
          <w:rFonts w:asciiTheme="majorHAnsi" w:hAnsiTheme="majorHAnsi"/>
          <w:i/>
          <w:w w:val="99"/>
          <w:sz w:val="20"/>
          <w:szCs w:val="20"/>
        </w:rPr>
        <w:t>.</w:t>
      </w:r>
      <w:r w:rsidRPr="000977F7">
        <w:rPr>
          <w:rFonts w:asciiTheme="majorHAnsi" w:hAnsiTheme="majorHAnsi"/>
          <w:i/>
          <w:sz w:val="20"/>
          <w:szCs w:val="20"/>
        </w:rPr>
        <w:t xml:space="preserve"> </w:t>
      </w:r>
      <w:r w:rsidRPr="000977F7">
        <w:rPr>
          <w:rFonts w:asciiTheme="majorHAnsi" w:hAnsiTheme="majorHAnsi"/>
          <w:i/>
          <w:spacing w:val="-1"/>
          <w:w w:val="99"/>
          <w:sz w:val="20"/>
          <w:szCs w:val="20"/>
        </w:rPr>
        <w:t>менеджм</w:t>
      </w:r>
      <w:r w:rsidRPr="000977F7">
        <w:rPr>
          <w:rFonts w:asciiTheme="majorHAnsi" w:hAnsiTheme="majorHAnsi"/>
          <w:i/>
          <w:spacing w:val="3"/>
          <w:w w:val="99"/>
          <w:sz w:val="20"/>
          <w:szCs w:val="20"/>
        </w:rPr>
        <w:t>.</w:t>
      </w:r>
      <w:r w:rsidRPr="000977F7">
        <w:rPr>
          <w:rFonts w:asciiTheme="majorHAnsi" w:hAnsiTheme="majorHAnsi"/>
          <w:i/>
          <w:w w:val="99"/>
          <w:sz w:val="20"/>
          <w:szCs w:val="20"/>
        </w:rPr>
        <w:t>-</w:t>
      </w:r>
      <w:r w:rsidRPr="000977F7">
        <w:rPr>
          <w:rFonts w:asciiTheme="majorHAnsi" w:hAnsiTheme="majorHAnsi"/>
          <w:i/>
          <w:spacing w:val="2"/>
          <w:w w:val="99"/>
          <w:sz w:val="20"/>
          <w:szCs w:val="20"/>
        </w:rPr>
        <w:t>т</w:t>
      </w:r>
      <w:r w:rsidRPr="000977F7">
        <w:rPr>
          <w:rFonts w:asciiTheme="majorHAnsi" w:hAnsiTheme="majorHAnsi"/>
          <w:i/>
          <w:w w:val="137"/>
          <w:sz w:val="20"/>
          <w:szCs w:val="20"/>
        </w:rPr>
        <w:t>у‖</w:t>
      </w:r>
    </w:p>
    <w:p w14:paraId="4C3F428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УПОВНОВАЖЕНІ</w:t>
      </w:r>
      <w:r w:rsidRPr="000977F7">
        <w:rPr>
          <w:color w:val="auto"/>
          <w:spacing w:val="-8"/>
          <w:sz w:val="20"/>
          <w:szCs w:val="20"/>
        </w:rPr>
        <w:t xml:space="preserve"> </w:t>
      </w:r>
      <w:r w:rsidRPr="000977F7">
        <w:rPr>
          <w:color w:val="auto"/>
          <w:sz w:val="20"/>
          <w:szCs w:val="20"/>
        </w:rPr>
        <w:t>ОРГАНИ</w:t>
      </w:r>
      <w:r w:rsidRPr="000977F7">
        <w:rPr>
          <w:color w:val="auto"/>
          <w:spacing w:val="-7"/>
          <w:sz w:val="20"/>
          <w:szCs w:val="20"/>
        </w:rPr>
        <w:t xml:space="preserve"> </w:t>
      </w:r>
      <w:r w:rsidRPr="000977F7">
        <w:rPr>
          <w:color w:val="auto"/>
          <w:sz w:val="20"/>
          <w:szCs w:val="20"/>
        </w:rPr>
        <w:t>ІЗ</w:t>
      </w:r>
      <w:r w:rsidRPr="000977F7">
        <w:rPr>
          <w:color w:val="auto"/>
          <w:spacing w:val="-7"/>
          <w:sz w:val="20"/>
          <w:szCs w:val="20"/>
        </w:rPr>
        <w:t xml:space="preserve"> </w:t>
      </w:r>
      <w:r w:rsidRPr="000977F7">
        <w:rPr>
          <w:color w:val="auto"/>
          <w:sz w:val="20"/>
          <w:szCs w:val="20"/>
        </w:rPr>
        <w:t xml:space="preserve">СЕРТИФІКАЦІЇ, </w:t>
      </w:r>
      <w:r w:rsidRPr="000977F7">
        <w:rPr>
          <w:color w:val="auto"/>
          <w:spacing w:val="-47"/>
          <w:sz w:val="20"/>
          <w:szCs w:val="20"/>
        </w:rPr>
        <w:t xml:space="preserve"> </w:t>
      </w:r>
      <w:r w:rsidRPr="000977F7">
        <w:rPr>
          <w:color w:val="auto"/>
          <w:sz w:val="20"/>
          <w:szCs w:val="20"/>
        </w:rPr>
        <w:t xml:space="preserve">ЩО ЗДІЙСНЮЮТЬ ДІЯЛЬНІСТЬ В </w:t>
      </w:r>
    </w:p>
    <w:p w14:paraId="31E80DE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ЗАКОНОДАВЧО РЕГУЛЬОВАНІЙ СФЕРІ</w:t>
      </w:r>
      <w:r w:rsidRPr="000977F7">
        <w:rPr>
          <w:color w:val="auto"/>
          <w:spacing w:val="2"/>
          <w:sz w:val="20"/>
          <w:szCs w:val="20"/>
        </w:rPr>
        <w:t xml:space="preserve"> </w:t>
      </w:r>
      <w:r w:rsidRPr="000977F7">
        <w:rPr>
          <w:color w:val="auto"/>
          <w:sz w:val="20"/>
          <w:szCs w:val="20"/>
        </w:rPr>
        <w:t>–</w:t>
      </w:r>
    </w:p>
    <w:p w14:paraId="2E6A677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Підтвердження відповідності здійснюється 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установленому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законодавством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порядку,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органами із сертифікації будь – якої форми власності,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які уповноважені на здійснення цієї діяльності в законодавчо регульованій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сфері</w:t>
      </w:r>
    </w:p>
    <w:p w14:paraId="430FB5B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Уповноваженими</w:t>
      </w:r>
      <w:r w:rsidRPr="000977F7">
        <w:rPr>
          <w:rFonts w:asciiTheme="majorHAnsi" w:hAnsiTheme="majorHAnsi"/>
          <w:spacing w:val="-6"/>
          <w:sz w:val="20"/>
          <w:szCs w:val="20"/>
        </w:rPr>
        <w:t xml:space="preserve"> </w:t>
      </w:r>
      <w:r w:rsidRPr="000977F7">
        <w:rPr>
          <w:rFonts w:asciiTheme="majorHAnsi" w:hAnsiTheme="majorHAnsi"/>
          <w:sz w:val="20"/>
          <w:szCs w:val="20"/>
        </w:rPr>
        <w:t>органи</w:t>
      </w:r>
      <w:r w:rsidRPr="000977F7">
        <w:rPr>
          <w:rFonts w:asciiTheme="majorHAnsi" w:hAnsiTheme="majorHAnsi"/>
          <w:spacing w:val="-5"/>
          <w:sz w:val="20"/>
          <w:szCs w:val="20"/>
        </w:rPr>
        <w:t xml:space="preserve"> </w:t>
      </w:r>
      <w:r w:rsidRPr="000977F7">
        <w:rPr>
          <w:rFonts w:asciiTheme="majorHAnsi" w:hAnsiTheme="majorHAnsi"/>
          <w:sz w:val="20"/>
          <w:szCs w:val="20"/>
        </w:rPr>
        <w:t>із</w:t>
      </w:r>
      <w:r w:rsidRPr="000977F7">
        <w:rPr>
          <w:rFonts w:asciiTheme="majorHAnsi" w:hAnsiTheme="majorHAnsi"/>
          <w:spacing w:val="-3"/>
          <w:sz w:val="20"/>
          <w:szCs w:val="20"/>
        </w:rPr>
        <w:t xml:space="preserve"> </w:t>
      </w:r>
      <w:r w:rsidRPr="000977F7">
        <w:rPr>
          <w:rFonts w:asciiTheme="majorHAnsi" w:hAnsiTheme="majorHAnsi"/>
          <w:sz w:val="20"/>
          <w:szCs w:val="20"/>
        </w:rPr>
        <w:t>сертифікації</w:t>
      </w:r>
      <w:r w:rsidRPr="000977F7">
        <w:rPr>
          <w:rFonts w:asciiTheme="majorHAnsi" w:hAnsiTheme="majorHAnsi"/>
          <w:spacing w:val="-5"/>
          <w:sz w:val="20"/>
          <w:szCs w:val="20"/>
        </w:rPr>
        <w:t xml:space="preserve"> </w:t>
      </w:r>
      <w:r w:rsidRPr="000977F7">
        <w:rPr>
          <w:rFonts w:asciiTheme="majorHAnsi" w:hAnsiTheme="majorHAnsi"/>
          <w:sz w:val="20"/>
          <w:szCs w:val="20"/>
        </w:rPr>
        <w:t>можуть</w:t>
      </w:r>
      <w:r w:rsidRPr="000977F7">
        <w:rPr>
          <w:rFonts w:asciiTheme="majorHAnsi" w:hAnsiTheme="majorHAnsi"/>
          <w:spacing w:val="-3"/>
          <w:sz w:val="20"/>
          <w:szCs w:val="20"/>
        </w:rPr>
        <w:t xml:space="preserve"> </w:t>
      </w:r>
      <w:r w:rsidRPr="000977F7">
        <w:rPr>
          <w:rFonts w:asciiTheme="majorHAnsi" w:hAnsiTheme="majorHAnsi"/>
          <w:sz w:val="20"/>
          <w:szCs w:val="20"/>
        </w:rPr>
        <w:t xml:space="preserve">бути </w:t>
      </w:r>
      <w:r w:rsidRPr="000977F7">
        <w:rPr>
          <w:rFonts w:asciiTheme="majorHAnsi" w:hAnsiTheme="majorHAnsi"/>
          <w:spacing w:val="-47"/>
          <w:sz w:val="20"/>
          <w:szCs w:val="20"/>
        </w:rPr>
        <w:t xml:space="preserve"> </w:t>
      </w:r>
      <w:r w:rsidRPr="000977F7">
        <w:rPr>
          <w:rFonts w:asciiTheme="majorHAnsi" w:hAnsiTheme="majorHAnsi"/>
          <w:sz w:val="20"/>
          <w:szCs w:val="20"/>
        </w:rPr>
        <w:t>виключно резиденти</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p>
    <w:p w14:paraId="4CBC036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Уповноважені</w:t>
      </w:r>
      <w:r w:rsidRPr="000977F7">
        <w:rPr>
          <w:rFonts w:asciiTheme="majorHAnsi" w:hAnsiTheme="majorHAnsi"/>
          <w:spacing w:val="1"/>
          <w:sz w:val="20"/>
          <w:szCs w:val="20"/>
        </w:rPr>
        <w:t xml:space="preserve"> </w:t>
      </w:r>
      <w:r w:rsidRPr="000977F7">
        <w:rPr>
          <w:rFonts w:asciiTheme="majorHAnsi" w:hAnsiTheme="majorHAnsi"/>
          <w:sz w:val="20"/>
          <w:szCs w:val="20"/>
        </w:rPr>
        <w:t>органами</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сертифікації</w:t>
      </w:r>
      <w:r w:rsidRPr="000977F7">
        <w:rPr>
          <w:rFonts w:asciiTheme="majorHAnsi" w:hAnsiTheme="majorHAnsi"/>
          <w:spacing w:val="1"/>
          <w:sz w:val="20"/>
          <w:szCs w:val="20"/>
        </w:rPr>
        <w:t xml:space="preserve"> </w:t>
      </w:r>
      <w:r w:rsidRPr="000977F7">
        <w:rPr>
          <w:rFonts w:asciiTheme="majorHAnsi" w:hAnsiTheme="majorHAnsi"/>
          <w:sz w:val="20"/>
          <w:szCs w:val="20"/>
        </w:rPr>
        <w:t>ведуть</w:t>
      </w:r>
      <w:r w:rsidRPr="000977F7">
        <w:rPr>
          <w:rFonts w:asciiTheme="majorHAnsi" w:hAnsiTheme="majorHAnsi"/>
          <w:spacing w:val="1"/>
          <w:sz w:val="20"/>
          <w:szCs w:val="20"/>
        </w:rPr>
        <w:t xml:space="preserve"> </w:t>
      </w:r>
      <w:r w:rsidRPr="000977F7">
        <w:rPr>
          <w:rFonts w:asciiTheme="majorHAnsi" w:hAnsiTheme="majorHAnsi"/>
          <w:sz w:val="20"/>
          <w:szCs w:val="20"/>
        </w:rPr>
        <w:t>реєстри</w:t>
      </w:r>
      <w:r w:rsidRPr="000977F7">
        <w:rPr>
          <w:rFonts w:asciiTheme="majorHAnsi" w:hAnsiTheme="majorHAnsi"/>
          <w:spacing w:val="1"/>
          <w:sz w:val="20"/>
          <w:szCs w:val="20"/>
        </w:rPr>
        <w:t xml:space="preserve"> </w:t>
      </w:r>
      <w:r w:rsidRPr="000977F7">
        <w:rPr>
          <w:rFonts w:asciiTheme="majorHAnsi" w:hAnsiTheme="majorHAnsi"/>
          <w:sz w:val="20"/>
          <w:szCs w:val="20"/>
        </w:rPr>
        <w:t>виданих</w:t>
      </w:r>
      <w:r w:rsidRPr="000977F7">
        <w:rPr>
          <w:rFonts w:asciiTheme="majorHAnsi" w:hAnsiTheme="majorHAnsi"/>
          <w:spacing w:val="1"/>
          <w:sz w:val="20"/>
          <w:szCs w:val="20"/>
        </w:rPr>
        <w:t xml:space="preserve"> </w:t>
      </w:r>
      <w:r w:rsidRPr="000977F7">
        <w:rPr>
          <w:rFonts w:asciiTheme="majorHAnsi" w:hAnsiTheme="majorHAnsi"/>
          <w:sz w:val="20"/>
          <w:szCs w:val="20"/>
        </w:rPr>
        <w:t>сертифікатів</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свідоцтв</w:t>
      </w:r>
      <w:r w:rsidRPr="000977F7">
        <w:rPr>
          <w:rFonts w:asciiTheme="majorHAnsi" w:hAnsiTheme="majorHAnsi"/>
          <w:spacing w:val="1"/>
          <w:sz w:val="20"/>
          <w:szCs w:val="20"/>
        </w:rPr>
        <w:t xml:space="preserve"> </w:t>
      </w:r>
      <w:r w:rsidRPr="000977F7">
        <w:rPr>
          <w:rFonts w:asciiTheme="majorHAnsi" w:hAnsiTheme="majorHAnsi"/>
          <w:sz w:val="20"/>
          <w:szCs w:val="20"/>
        </w:rPr>
        <w:t>про визнання відповідності та подають в установленому</w:t>
      </w:r>
      <w:r w:rsidRPr="000977F7">
        <w:rPr>
          <w:rFonts w:asciiTheme="majorHAnsi" w:hAnsiTheme="majorHAnsi"/>
          <w:spacing w:val="1"/>
          <w:sz w:val="20"/>
          <w:szCs w:val="20"/>
        </w:rPr>
        <w:t xml:space="preserve"> </w:t>
      </w:r>
      <w:r w:rsidRPr="000977F7">
        <w:rPr>
          <w:rFonts w:asciiTheme="majorHAnsi" w:hAnsiTheme="majorHAnsi"/>
          <w:sz w:val="20"/>
          <w:szCs w:val="20"/>
        </w:rPr>
        <w:t>порядку</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інформацію</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них</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державного</w:t>
      </w:r>
      <w:r w:rsidRPr="000977F7">
        <w:rPr>
          <w:rFonts w:asciiTheme="majorHAnsi" w:hAnsiTheme="majorHAnsi"/>
          <w:spacing w:val="1"/>
          <w:sz w:val="20"/>
          <w:szCs w:val="20"/>
        </w:rPr>
        <w:t xml:space="preserve"> </w:t>
      </w:r>
      <w:r w:rsidRPr="000977F7">
        <w:rPr>
          <w:rFonts w:asciiTheme="majorHAnsi" w:hAnsiTheme="majorHAnsi"/>
          <w:sz w:val="20"/>
          <w:szCs w:val="20"/>
        </w:rPr>
        <w:t>реєстру</w:t>
      </w:r>
      <w:r w:rsidRPr="000977F7">
        <w:rPr>
          <w:rFonts w:asciiTheme="majorHAnsi" w:hAnsiTheme="majorHAnsi"/>
          <w:spacing w:val="1"/>
          <w:sz w:val="20"/>
          <w:szCs w:val="20"/>
        </w:rPr>
        <w:t xml:space="preserve"> </w:t>
      </w:r>
      <w:r w:rsidRPr="000977F7">
        <w:rPr>
          <w:rFonts w:asciiTheme="majorHAnsi" w:hAnsiTheme="majorHAnsi"/>
          <w:sz w:val="20"/>
          <w:szCs w:val="20"/>
        </w:rPr>
        <w:t>сертифікатів</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свідоцтв</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визнання</w:t>
      </w:r>
      <w:r w:rsidRPr="000977F7">
        <w:rPr>
          <w:rFonts w:asciiTheme="majorHAnsi" w:hAnsiTheme="majorHAnsi"/>
          <w:spacing w:val="-2"/>
          <w:sz w:val="20"/>
          <w:szCs w:val="20"/>
        </w:rPr>
        <w:t xml:space="preserve"> </w:t>
      </w:r>
      <w:r w:rsidRPr="000977F7">
        <w:rPr>
          <w:rFonts w:asciiTheme="majorHAnsi" w:hAnsiTheme="majorHAnsi"/>
          <w:sz w:val="20"/>
          <w:szCs w:val="20"/>
        </w:rPr>
        <w:t>відповідності.</w:t>
      </w:r>
    </w:p>
    <w:p w14:paraId="63DA736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Уповноважені</w:t>
      </w:r>
      <w:r w:rsidRPr="000977F7">
        <w:rPr>
          <w:rFonts w:asciiTheme="majorHAnsi" w:hAnsiTheme="majorHAnsi"/>
          <w:spacing w:val="1"/>
          <w:sz w:val="20"/>
          <w:szCs w:val="20"/>
        </w:rPr>
        <w:t xml:space="preserve"> </w:t>
      </w:r>
      <w:r w:rsidRPr="000977F7">
        <w:rPr>
          <w:rFonts w:asciiTheme="majorHAnsi" w:hAnsiTheme="majorHAnsi"/>
          <w:sz w:val="20"/>
          <w:szCs w:val="20"/>
        </w:rPr>
        <w:t>органи</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сертифікації</w:t>
      </w:r>
      <w:r w:rsidRPr="000977F7">
        <w:rPr>
          <w:rFonts w:asciiTheme="majorHAnsi" w:hAnsiTheme="majorHAnsi"/>
          <w:spacing w:val="1"/>
          <w:sz w:val="20"/>
          <w:szCs w:val="20"/>
        </w:rPr>
        <w:t xml:space="preserve"> </w:t>
      </w:r>
      <w:r w:rsidRPr="000977F7">
        <w:rPr>
          <w:rFonts w:asciiTheme="majorHAnsi" w:hAnsiTheme="majorHAnsi"/>
          <w:sz w:val="20"/>
          <w:szCs w:val="20"/>
        </w:rPr>
        <w:t>мають</w:t>
      </w:r>
      <w:r w:rsidRPr="000977F7">
        <w:rPr>
          <w:rFonts w:asciiTheme="majorHAnsi" w:hAnsiTheme="majorHAnsi"/>
          <w:spacing w:val="1"/>
          <w:sz w:val="20"/>
          <w:szCs w:val="20"/>
        </w:rPr>
        <w:t xml:space="preserve"> </w:t>
      </w:r>
      <w:r w:rsidRPr="000977F7">
        <w:rPr>
          <w:rFonts w:asciiTheme="majorHAnsi" w:hAnsiTheme="majorHAnsi"/>
          <w:sz w:val="20"/>
          <w:szCs w:val="20"/>
        </w:rPr>
        <w:t>право</w:t>
      </w:r>
      <w:r w:rsidRPr="000977F7">
        <w:rPr>
          <w:rFonts w:asciiTheme="majorHAnsi" w:hAnsiTheme="majorHAnsi"/>
          <w:spacing w:val="-47"/>
          <w:sz w:val="20"/>
          <w:szCs w:val="20"/>
        </w:rPr>
        <w:t xml:space="preserve"> </w:t>
      </w:r>
      <w:r w:rsidRPr="000977F7">
        <w:rPr>
          <w:rFonts w:asciiTheme="majorHAnsi" w:hAnsiTheme="majorHAnsi"/>
          <w:sz w:val="20"/>
          <w:szCs w:val="20"/>
        </w:rPr>
        <w:t>укладати за погодженням із спеціально уповноваженим центральним органом виконавчої влади у сфері</w:t>
      </w:r>
      <w:r w:rsidRPr="000977F7">
        <w:rPr>
          <w:rFonts w:asciiTheme="majorHAnsi" w:hAnsiTheme="majorHAnsi"/>
          <w:spacing w:val="1"/>
          <w:sz w:val="20"/>
          <w:szCs w:val="20"/>
        </w:rPr>
        <w:t xml:space="preserve"> </w:t>
      </w:r>
      <w:r w:rsidRPr="000977F7">
        <w:rPr>
          <w:rFonts w:asciiTheme="majorHAnsi" w:hAnsiTheme="majorHAnsi"/>
          <w:sz w:val="20"/>
          <w:szCs w:val="20"/>
        </w:rPr>
        <w:t>підтвердження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1"/>
          <w:sz w:val="20"/>
          <w:szCs w:val="20"/>
        </w:rPr>
        <w:t xml:space="preserve"> </w:t>
      </w:r>
      <w:r w:rsidRPr="000977F7">
        <w:rPr>
          <w:rFonts w:asciiTheme="majorHAnsi" w:hAnsiTheme="majorHAnsi"/>
          <w:sz w:val="20"/>
          <w:szCs w:val="20"/>
        </w:rPr>
        <w:t>угоди</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взаємне</w:t>
      </w:r>
      <w:r w:rsidRPr="000977F7">
        <w:rPr>
          <w:rFonts w:asciiTheme="majorHAnsi" w:hAnsiTheme="majorHAnsi"/>
          <w:spacing w:val="1"/>
          <w:sz w:val="20"/>
          <w:szCs w:val="20"/>
        </w:rPr>
        <w:t xml:space="preserve"> </w:t>
      </w:r>
      <w:r w:rsidRPr="000977F7">
        <w:rPr>
          <w:rFonts w:asciiTheme="majorHAnsi" w:hAnsiTheme="majorHAnsi"/>
          <w:sz w:val="20"/>
          <w:szCs w:val="20"/>
        </w:rPr>
        <w:t>визнання результатів робіт з підтвердження відповідності</w:t>
      </w:r>
      <w:r w:rsidRPr="000977F7">
        <w:rPr>
          <w:rFonts w:asciiTheme="majorHAnsi" w:hAnsiTheme="majorHAnsi"/>
          <w:spacing w:val="-2"/>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уповноваженими</w:t>
      </w:r>
      <w:r w:rsidRPr="000977F7">
        <w:rPr>
          <w:rFonts w:asciiTheme="majorHAnsi" w:hAnsiTheme="majorHAnsi"/>
          <w:spacing w:val="-2"/>
          <w:sz w:val="20"/>
          <w:szCs w:val="20"/>
        </w:rPr>
        <w:t xml:space="preserve"> </w:t>
      </w:r>
      <w:r w:rsidRPr="000977F7">
        <w:rPr>
          <w:rFonts w:asciiTheme="majorHAnsi" w:hAnsiTheme="majorHAnsi"/>
          <w:sz w:val="20"/>
          <w:szCs w:val="20"/>
        </w:rPr>
        <w:t>органами</w:t>
      </w:r>
      <w:r w:rsidRPr="000977F7">
        <w:rPr>
          <w:rFonts w:asciiTheme="majorHAnsi" w:hAnsiTheme="majorHAnsi"/>
          <w:spacing w:val="-2"/>
          <w:sz w:val="20"/>
          <w:szCs w:val="20"/>
        </w:rPr>
        <w:t xml:space="preserve"> </w:t>
      </w:r>
      <w:r w:rsidRPr="000977F7">
        <w:rPr>
          <w:rFonts w:asciiTheme="majorHAnsi" w:hAnsiTheme="majorHAnsi"/>
          <w:sz w:val="20"/>
          <w:szCs w:val="20"/>
        </w:rPr>
        <w:t>інших країн.</w:t>
      </w:r>
    </w:p>
    <w:p w14:paraId="4E8A4E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Вимоги до уповноважених органів із сертифікації та</w:t>
      </w:r>
      <w:r w:rsidRPr="000977F7">
        <w:rPr>
          <w:rFonts w:asciiTheme="majorHAnsi" w:hAnsiTheme="majorHAnsi"/>
          <w:spacing w:val="1"/>
          <w:sz w:val="20"/>
          <w:szCs w:val="20"/>
        </w:rPr>
        <w:t xml:space="preserve"> </w:t>
      </w:r>
      <w:r w:rsidRPr="000977F7">
        <w:rPr>
          <w:rFonts w:asciiTheme="majorHAnsi" w:hAnsiTheme="majorHAnsi"/>
          <w:sz w:val="20"/>
          <w:szCs w:val="20"/>
        </w:rPr>
        <w:t>порядок</w:t>
      </w:r>
      <w:r w:rsidRPr="000977F7">
        <w:rPr>
          <w:rFonts w:asciiTheme="majorHAnsi" w:hAnsiTheme="majorHAnsi"/>
          <w:spacing w:val="1"/>
          <w:sz w:val="20"/>
          <w:szCs w:val="20"/>
        </w:rPr>
        <w:t xml:space="preserve"> </w:t>
      </w:r>
      <w:r w:rsidRPr="000977F7">
        <w:rPr>
          <w:rFonts w:asciiTheme="majorHAnsi" w:hAnsiTheme="majorHAnsi"/>
          <w:sz w:val="20"/>
          <w:szCs w:val="20"/>
        </w:rPr>
        <w:t>надання</w:t>
      </w:r>
      <w:r w:rsidRPr="000977F7">
        <w:rPr>
          <w:rFonts w:asciiTheme="majorHAnsi" w:hAnsiTheme="majorHAnsi"/>
          <w:spacing w:val="1"/>
          <w:sz w:val="20"/>
          <w:szCs w:val="20"/>
        </w:rPr>
        <w:t xml:space="preserve"> </w:t>
      </w:r>
      <w:r w:rsidRPr="000977F7">
        <w:rPr>
          <w:rFonts w:asciiTheme="majorHAnsi" w:hAnsiTheme="majorHAnsi"/>
          <w:sz w:val="20"/>
          <w:szCs w:val="20"/>
        </w:rPr>
        <w:t>їм</w:t>
      </w:r>
      <w:r w:rsidRPr="000977F7">
        <w:rPr>
          <w:rFonts w:asciiTheme="majorHAnsi" w:hAnsiTheme="majorHAnsi"/>
          <w:spacing w:val="1"/>
          <w:sz w:val="20"/>
          <w:szCs w:val="20"/>
        </w:rPr>
        <w:t xml:space="preserve"> </w:t>
      </w:r>
      <w:r w:rsidRPr="000977F7">
        <w:rPr>
          <w:rFonts w:asciiTheme="majorHAnsi" w:hAnsiTheme="majorHAnsi"/>
          <w:sz w:val="20"/>
          <w:szCs w:val="20"/>
        </w:rPr>
        <w:t>повноважень</w:t>
      </w:r>
      <w:r w:rsidRPr="000977F7">
        <w:rPr>
          <w:rFonts w:asciiTheme="majorHAnsi" w:hAnsiTheme="majorHAnsi"/>
          <w:spacing w:val="1"/>
          <w:sz w:val="20"/>
          <w:szCs w:val="20"/>
        </w:rPr>
        <w:t xml:space="preserve"> </w:t>
      </w:r>
      <w:r w:rsidRPr="000977F7">
        <w:rPr>
          <w:rFonts w:asciiTheme="majorHAnsi" w:hAnsiTheme="majorHAnsi"/>
          <w:sz w:val="20"/>
          <w:szCs w:val="20"/>
        </w:rPr>
        <w:t>встановлюються</w:t>
      </w:r>
      <w:r w:rsidRPr="000977F7">
        <w:rPr>
          <w:rFonts w:asciiTheme="majorHAnsi" w:hAnsiTheme="majorHAnsi"/>
          <w:spacing w:val="1"/>
          <w:sz w:val="20"/>
          <w:szCs w:val="20"/>
        </w:rPr>
        <w:t xml:space="preserve"> </w:t>
      </w:r>
      <w:r w:rsidRPr="000977F7">
        <w:rPr>
          <w:rFonts w:asciiTheme="majorHAnsi" w:hAnsiTheme="majorHAnsi"/>
          <w:sz w:val="20"/>
          <w:szCs w:val="20"/>
        </w:rPr>
        <w:t>Кабінетом Міністрів</w:t>
      </w:r>
      <w:r w:rsidRPr="000977F7">
        <w:rPr>
          <w:rFonts w:asciiTheme="majorHAnsi" w:hAnsiTheme="majorHAnsi"/>
          <w:spacing w:val="-1"/>
          <w:sz w:val="20"/>
          <w:szCs w:val="20"/>
        </w:rPr>
        <w:t xml:space="preserve"> </w:t>
      </w:r>
      <w:r w:rsidRPr="000977F7">
        <w:rPr>
          <w:rFonts w:asciiTheme="majorHAnsi" w:hAnsiTheme="majorHAnsi"/>
          <w:sz w:val="20"/>
          <w:szCs w:val="20"/>
        </w:rPr>
        <w:t>України</w:t>
      </w:r>
    </w:p>
    <w:p w14:paraId="2AF05A4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УРАХОВУВАНА</w:t>
      </w:r>
      <w:r w:rsidRPr="000977F7">
        <w:rPr>
          <w:color w:val="auto"/>
          <w:spacing w:val="-4"/>
          <w:sz w:val="20"/>
          <w:szCs w:val="20"/>
        </w:rPr>
        <w:t xml:space="preserve"> </w:t>
      </w:r>
      <w:r w:rsidRPr="000977F7">
        <w:rPr>
          <w:color w:val="auto"/>
          <w:sz w:val="20"/>
          <w:szCs w:val="20"/>
        </w:rPr>
        <w:t>ВІДМОВА</w:t>
      </w:r>
      <w:r w:rsidRPr="000977F7">
        <w:rPr>
          <w:color w:val="auto"/>
          <w:spacing w:val="-1"/>
          <w:sz w:val="20"/>
          <w:szCs w:val="20"/>
        </w:rPr>
        <w:t xml:space="preserve"> </w:t>
      </w:r>
      <w:r w:rsidRPr="000977F7">
        <w:rPr>
          <w:color w:val="auto"/>
          <w:sz w:val="20"/>
          <w:szCs w:val="20"/>
        </w:rPr>
        <w:t>–</w:t>
      </w:r>
    </w:p>
    <w:p w14:paraId="61C55B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RELEVANT</w:t>
      </w:r>
      <w:r w:rsidRPr="000977F7">
        <w:rPr>
          <w:rFonts w:asciiTheme="majorHAnsi" w:hAnsiTheme="majorHAnsi"/>
          <w:spacing w:val="-1"/>
          <w:sz w:val="20"/>
          <w:szCs w:val="20"/>
        </w:rPr>
        <w:t xml:space="preserve"> </w:t>
      </w:r>
      <w:r w:rsidRPr="000977F7">
        <w:rPr>
          <w:rFonts w:asciiTheme="majorHAnsi" w:hAnsiTheme="majorHAnsi"/>
          <w:sz w:val="20"/>
          <w:szCs w:val="20"/>
        </w:rPr>
        <w:t>FAILURE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B65252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 яку належить заносити у пояснювальну записку до наслідків випробувань чи експлуатації або у</w:t>
      </w:r>
      <w:r w:rsidRPr="000977F7">
        <w:rPr>
          <w:rFonts w:asciiTheme="majorHAnsi" w:hAnsiTheme="majorHAnsi"/>
          <w:spacing w:val="1"/>
          <w:sz w:val="20"/>
          <w:szCs w:val="20"/>
        </w:rPr>
        <w:t xml:space="preserve"> </w:t>
      </w:r>
      <w:r w:rsidRPr="000977F7">
        <w:rPr>
          <w:rFonts w:asciiTheme="majorHAnsi" w:hAnsiTheme="majorHAnsi"/>
          <w:sz w:val="20"/>
          <w:szCs w:val="20"/>
        </w:rPr>
        <w:t>розрахунок</w:t>
      </w:r>
      <w:r w:rsidRPr="000977F7">
        <w:rPr>
          <w:rFonts w:asciiTheme="majorHAnsi" w:hAnsiTheme="majorHAnsi"/>
          <w:spacing w:val="-3"/>
          <w:sz w:val="20"/>
          <w:szCs w:val="20"/>
        </w:rPr>
        <w:t xml:space="preserve"> </w:t>
      </w:r>
      <w:r w:rsidRPr="000977F7">
        <w:rPr>
          <w:rFonts w:asciiTheme="majorHAnsi" w:hAnsiTheme="majorHAnsi"/>
          <w:sz w:val="20"/>
          <w:szCs w:val="20"/>
        </w:rPr>
        <w:t>величини показника</w:t>
      </w:r>
      <w:r w:rsidRPr="000977F7">
        <w:rPr>
          <w:rFonts w:asciiTheme="majorHAnsi" w:hAnsiTheme="majorHAnsi"/>
          <w:spacing w:val="-1"/>
          <w:sz w:val="20"/>
          <w:szCs w:val="20"/>
        </w:rPr>
        <w:t xml:space="preserve"> </w:t>
      </w:r>
      <w:r w:rsidRPr="000977F7">
        <w:rPr>
          <w:rFonts w:asciiTheme="majorHAnsi" w:hAnsiTheme="majorHAnsi"/>
          <w:sz w:val="20"/>
          <w:szCs w:val="20"/>
        </w:rPr>
        <w:t>безвідмовності</w:t>
      </w:r>
    </w:p>
    <w:p w14:paraId="225066D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01866688"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pacing w:val="-2"/>
          <w:sz w:val="20"/>
          <w:szCs w:val="20"/>
        </w:rPr>
        <w:t>Повинні</w:t>
      </w:r>
      <w:r w:rsidRPr="000977F7">
        <w:rPr>
          <w:rFonts w:asciiTheme="majorHAnsi" w:hAnsiTheme="majorHAnsi"/>
          <w:spacing w:val="-8"/>
          <w:sz w:val="20"/>
          <w:szCs w:val="20"/>
        </w:rPr>
        <w:t xml:space="preserve"> </w:t>
      </w:r>
      <w:r w:rsidRPr="000977F7">
        <w:rPr>
          <w:rFonts w:asciiTheme="majorHAnsi" w:hAnsiTheme="majorHAnsi"/>
          <w:spacing w:val="-2"/>
          <w:sz w:val="20"/>
          <w:szCs w:val="20"/>
        </w:rPr>
        <w:t>бути</w:t>
      </w:r>
      <w:r w:rsidRPr="000977F7">
        <w:rPr>
          <w:rFonts w:asciiTheme="majorHAnsi" w:hAnsiTheme="majorHAnsi"/>
          <w:spacing w:val="-9"/>
          <w:sz w:val="20"/>
          <w:szCs w:val="20"/>
        </w:rPr>
        <w:t xml:space="preserve"> </w:t>
      </w:r>
      <w:r w:rsidRPr="000977F7">
        <w:rPr>
          <w:rFonts w:asciiTheme="majorHAnsi" w:hAnsiTheme="majorHAnsi"/>
          <w:spacing w:val="-2"/>
          <w:sz w:val="20"/>
          <w:szCs w:val="20"/>
        </w:rPr>
        <w:t>встановлені</w:t>
      </w:r>
      <w:r w:rsidRPr="000977F7">
        <w:rPr>
          <w:rFonts w:asciiTheme="majorHAnsi" w:hAnsiTheme="majorHAnsi"/>
          <w:spacing w:val="-10"/>
          <w:sz w:val="20"/>
          <w:szCs w:val="20"/>
        </w:rPr>
        <w:t xml:space="preserve"> </w:t>
      </w:r>
      <w:r w:rsidRPr="000977F7">
        <w:rPr>
          <w:rFonts w:asciiTheme="majorHAnsi" w:hAnsiTheme="majorHAnsi"/>
          <w:spacing w:val="-2"/>
          <w:sz w:val="20"/>
          <w:szCs w:val="20"/>
        </w:rPr>
        <w:t>критерії</w:t>
      </w:r>
      <w:r w:rsidRPr="000977F7">
        <w:rPr>
          <w:rFonts w:asciiTheme="majorHAnsi" w:hAnsiTheme="majorHAnsi"/>
          <w:spacing w:val="-8"/>
          <w:sz w:val="20"/>
          <w:szCs w:val="20"/>
        </w:rPr>
        <w:t xml:space="preserve"> </w:t>
      </w:r>
      <w:r w:rsidRPr="000977F7">
        <w:rPr>
          <w:rFonts w:asciiTheme="majorHAnsi" w:hAnsiTheme="majorHAnsi"/>
          <w:spacing w:val="-1"/>
          <w:sz w:val="20"/>
          <w:szCs w:val="20"/>
        </w:rPr>
        <w:t>врахування</w:t>
      </w:r>
      <w:r w:rsidRPr="000977F7">
        <w:rPr>
          <w:rFonts w:asciiTheme="majorHAnsi" w:hAnsiTheme="majorHAnsi"/>
          <w:spacing w:val="-9"/>
          <w:sz w:val="20"/>
          <w:szCs w:val="20"/>
        </w:rPr>
        <w:t xml:space="preserve"> </w:t>
      </w:r>
      <w:r w:rsidRPr="000977F7">
        <w:rPr>
          <w:rFonts w:asciiTheme="majorHAnsi" w:hAnsiTheme="majorHAnsi"/>
          <w:spacing w:val="-1"/>
          <w:sz w:val="20"/>
          <w:szCs w:val="20"/>
        </w:rPr>
        <w:t>відмов</w:t>
      </w:r>
    </w:p>
    <w:p w14:paraId="1C181EC3"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2860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94</w:t>
      </w:r>
    </w:p>
    <w:p w14:paraId="6460F0E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УРИВЧАСТЕ</w:t>
      </w:r>
      <w:r w:rsidRPr="000977F7">
        <w:rPr>
          <w:color w:val="auto"/>
          <w:spacing w:val="-4"/>
          <w:sz w:val="20"/>
          <w:szCs w:val="20"/>
        </w:rPr>
        <w:t xml:space="preserve"> </w:t>
      </w:r>
      <w:r w:rsidRPr="000977F7">
        <w:rPr>
          <w:color w:val="auto"/>
          <w:sz w:val="20"/>
          <w:szCs w:val="20"/>
        </w:rPr>
        <w:t>ДІЯННЯ –</w:t>
      </w:r>
    </w:p>
    <w:p w14:paraId="760615D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INTERRUPTED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ACTION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62807AF9"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Діяння,</w:t>
      </w:r>
      <w:r w:rsidRPr="000977F7">
        <w:rPr>
          <w:rFonts w:asciiTheme="majorHAnsi" w:hAnsiTheme="majorHAnsi"/>
          <w:spacing w:val="-4"/>
          <w:sz w:val="20"/>
          <w:szCs w:val="20"/>
        </w:rPr>
        <w:t xml:space="preserve"> </w:t>
      </w:r>
      <w:r w:rsidRPr="000977F7">
        <w:rPr>
          <w:rFonts w:asciiTheme="majorHAnsi" w:hAnsiTheme="majorHAnsi"/>
          <w:sz w:val="20"/>
          <w:szCs w:val="20"/>
        </w:rPr>
        <w:t>ознаки</w:t>
      </w:r>
      <w:r w:rsidRPr="000977F7">
        <w:rPr>
          <w:rFonts w:asciiTheme="majorHAnsi" w:hAnsiTheme="majorHAnsi"/>
          <w:spacing w:val="-4"/>
          <w:sz w:val="20"/>
          <w:szCs w:val="20"/>
        </w:rPr>
        <w:t xml:space="preserve"> </w:t>
      </w:r>
      <w:r w:rsidRPr="000977F7">
        <w:rPr>
          <w:rFonts w:asciiTheme="majorHAnsi" w:hAnsiTheme="majorHAnsi"/>
          <w:sz w:val="20"/>
          <w:szCs w:val="20"/>
        </w:rPr>
        <w:t>і</w:t>
      </w:r>
      <w:r w:rsidRPr="000977F7">
        <w:rPr>
          <w:rFonts w:asciiTheme="majorHAnsi" w:hAnsiTheme="majorHAnsi"/>
          <w:spacing w:val="-5"/>
          <w:sz w:val="20"/>
          <w:szCs w:val="20"/>
        </w:rPr>
        <w:t xml:space="preserve"> </w:t>
      </w:r>
      <w:r w:rsidRPr="000977F7">
        <w:rPr>
          <w:rFonts w:asciiTheme="majorHAnsi" w:hAnsiTheme="majorHAnsi"/>
          <w:sz w:val="20"/>
          <w:szCs w:val="20"/>
        </w:rPr>
        <w:t>параметри</w:t>
      </w:r>
      <w:r w:rsidRPr="000977F7">
        <w:rPr>
          <w:rFonts w:asciiTheme="majorHAnsi" w:hAnsiTheme="majorHAnsi"/>
          <w:spacing w:val="-2"/>
          <w:sz w:val="20"/>
          <w:szCs w:val="20"/>
        </w:rPr>
        <w:t xml:space="preserve"> </w:t>
      </w:r>
      <w:r w:rsidRPr="000977F7">
        <w:rPr>
          <w:rFonts w:asciiTheme="majorHAnsi" w:hAnsiTheme="majorHAnsi"/>
          <w:sz w:val="20"/>
          <w:szCs w:val="20"/>
        </w:rPr>
        <w:t>якого</w:t>
      </w:r>
      <w:r w:rsidRPr="000977F7">
        <w:rPr>
          <w:rFonts w:asciiTheme="majorHAnsi" w:hAnsiTheme="majorHAnsi"/>
          <w:spacing w:val="-3"/>
          <w:sz w:val="20"/>
          <w:szCs w:val="20"/>
        </w:rPr>
        <w:t xml:space="preserve"> </w:t>
      </w:r>
      <w:r w:rsidRPr="000977F7">
        <w:rPr>
          <w:rFonts w:asciiTheme="majorHAnsi" w:hAnsiTheme="majorHAnsi"/>
          <w:sz w:val="20"/>
          <w:szCs w:val="20"/>
        </w:rPr>
        <w:t>визначені</w:t>
      </w:r>
      <w:r w:rsidRPr="000977F7">
        <w:rPr>
          <w:rFonts w:asciiTheme="majorHAnsi" w:hAnsiTheme="majorHAnsi"/>
          <w:spacing w:val="-1"/>
          <w:sz w:val="20"/>
          <w:szCs w:val="20"/>
        </w:rPr>
        <w:t xml:space="preserve"> </w:t>
      </w:r>
      <w:r w:rsidRPr="000977F7">
        <w:rPr>
          <w:rFonts w:asciiTheme="majorHAnsi" w:hAnsiTheme="majorHAnsi"/>
          <w:sz w:val="20"/>
          <w:szCs w:val="20"/>
        </w:rPr>
        <w:t>лише</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47"/>
          <w:sz w:val="20"/>
          <w:szCs w:val="20"/>
        </w:rPr>
        <w:t xml:space="preserve"> </w:t>
      </w:r>
      <w:r w:rsidRPr="000977F7">
        <w:rPr>
          <w:rFonts w:asciiTheme="majorHAnsi" w:hAnsiTheme="majorHAnsi"/>
          <w:sz w:val="20"/>
          <w:szCs w:val="20"/>
        </w:rPr>
        <w:t>деякі моменти розглядуваного проміжку часу</w:t>
      </w:r>
      <w:r w:rsidRPr="000977F7">
        <w:rPr>
          <w:rFonts w:asciiTheme="majorHAnsi" w:hAnsiTheme="majorHAnsi"/>
          <w:spacing w:val="1"/>
          <w:sz w:val="20"/>
          <w:szCs w:val="20"/>
        </w:rPr>
        <w:t xml:space="preserve"> </w:t>
      </w:r>
    </w:p>
    <w:p w14:paraId="75FA8030"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3956 - 2000</w:t>
      </w:r>
    </w:p>
    <w:p w14:paraId="2614BA8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УРИВЧАСТИЙ</w:t>
      </w:r>
      <w:r w:rsidRPr="000977F7">
        <w:rPr>
          <w:color w:val="auto"/>
          <w:spacing w:val="-3"/>
          <w:sz w:val="20"/>
          <w:szCs w:val="20"/>
        </w:rPr>
        <w:t xml:space="preserve"> </w:t>
      </w:r>
      <w:r w:rsidRPr="000977F7">
        <w:rPr>
          <w:color w:val="auto"/>
          <w:sz w:val="20"/>
          <w:szCs w:val="20"/>
        </w:rPr>
        <w:t>СИГНАЛ –</w:t>
      </w:r>
    </w:p>
    <w:p w14:paraId="0445C30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INTERRUPTED</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SIGNAL</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0357136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Сигнал, інформативна ознака або параметр якого визначені</w:t>
      </w:r>
      <w:r w:rsidRPr="000977F7">
        <w:rPr>
          <w:rFonts w:asciiTheme="majorHAnsi" w:hAnsiTheme="majorHAnsi"/>
          <w:spacing w:val="-2"/>
          <w:sz w:val="20"/>
          <w:szCs w:val="20"/>
        </w:rPr>
        <w:t xml:space="preserve"> </w:t>
      </w:r>
      <w:r w:rsidRPr="000977F7">
        <w:rPr>
          <w:rFonts w:asciiTheme="majorHAnsi" w:hAnsiTheme="majorHAnsi"/>
          <w:sz w:val="20"/>
          <w:szCs w:val="20"/>
        </w:rPr>
        <w:t>тільки для</w:t>
      </w:r>
      <w:r w:rsidRPr="000977F7">
        <w:rPr>
          <w:rFonts w:asciiTheme="majorHAnsi" w:hAnsiTheme="majorHAnsi"/>
          <w:spacing w:val="2"/>
          <w:sz w:val="20"/>
          <w:szCs w:val="20"/>
        </w:rPr>
        <w:t xml:space="preserve"> </w:t>
      </w:r>
      <w:r w:rsidRPr="000977F7">
        <w:rPr>
          <w:rFonts w:asciiTheme="majorHAnsi" w:hAnsiTheme="majorHAnsi"/>
          <w:sz w:val="20"/>
          <w:szCs w:val="20"/>
        </w:rPr>
        <w:t>деяких</w:t>
      </w:r>
      <w:r w:rsidRPr="000977F7">
        <w:rPr>
          <w:rFonts w:asciiTheme="majorHAnsi" w:hAnsiTheme="majorHAnsi"/>
          <w:spacing w:val="-2"/>
          <w:sz w:val="20"/>
          <w:szCs w:val="20"/>
        </w:rPr>
        <w:t xml:space="preserve"> </w:t>
      </w:r>
      <w:r w:rsidRPr="000977F7">
        <w:rPr>
          <w:rFonts w:asciiTheme="majorHAnsi" w:hAnsiTheme="majorHAnsi"/>
          <w:sz w:val="20"/>
          <w:szCs w:val="20"/>
        </w:rPr>
        <w:t>інтервалів</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3E8EEFB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0C8F0EE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УСІЧЕНА МАТРИЦЯ БАЗИСНИХ ФУНЦІЙ МОДЕЛІ</w:t>
      </w:r>
      <w:r w:rsidRPr="000977F7">
        <w:rPr>
          <w:color w:val="auto"/>
          <w:spacing w:val="-1"/>
          <w:sz w:val="20"/>
          <w:szCs w:val="20"/>
        </w:rPr>
        <w:t xml:space="preserve"> </w:t>
      </w:r>
      <w:r w:rsidRPr="000977F7">
        <w:rPr>
          <w:color w:val="auto"/>
          <w:sz w:val="20"/>
          <w:szCs w:val="20"/>
        </w:rPr>
        <w:t>–</w:t>
      </w:r>
    </w:p>
    <w:p w14:paraId="673BA26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Підматриця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матриці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базисних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функцій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моделі,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яка містить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рядки,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 відповідають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спектру</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плану</w:t>
      </w:r>
    </w:p>
    <w:p w14:paraId="75D3797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УСПІХ</w:t>
      </w:r>
      <w:r w:rsidRPr="000977F7">
        <w:rPr>
          <w:color w:val="auto"/>
          <w:spacing w:val="-3"/>
          <w:sz w:val="20"/>
          <w:szCs w:val="20"/>
        </w:rPr>
        <w:t xml:space="preserve"> </w:t>
      </w:r>
      <w:r w:rsidRPr="000977F7">
        <w:rPr>
          <w:color w:val="auto"/>
          <w:sz w:val="20"/>
          <w:szCs w:val="20"/>
        </w:rPr>
        <w:t>ОРГАНІЗАЦІЇ</w:t>
      </w:r>
      <w:r w:rsidRPr="000977F7">
        <w:rPr>
          <w:color w:val="auto"/>
          <w:spacing w:val="-2"/>
          <w:sz w:val="20"/>
          <w:szCs w:val="20"/>
        </w:rPr>
        <w:t xml:space="preserve"> </w:t>
      </w:r>
      <w:r w:rsidRPr="000977F7">
        <w:rPr>
          <w:color w:val="auto"/>
          <w:sz w:val="20"/>
          <w:szCs w:val="20"/>
        </w:rPr>
        <w:t>–</w:t>
      </w:r>
    </w:p>
    <w:p w14:paraId="4CE73E0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SUCCESS</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ORGANIZATION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5E43086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Досягнення</w:t>
      </w:r>
      <w:r w:rsidRPr="004D2D14">
        <w:rPr>
          <w:rFonts w:asciiTheme="majorHAnsi" w:hAnsiTheme="majorHAnsi"/>
          <w:spacing w:val="-4"/>
          <w:sz w:val="20"/>
          <w:szCs w:val="20"/>
          <w:lang w:val="en-US"/>
        </w:rPr>
        <w:t xml:space="preserve"> </w:t>
      </w:r>
      <w:r w:rsidRPr="000977F7">
        <w:rPr>
          <w:rFonts w:asciiTheme="majorHAnsi" w:hAnsiTheme="majorHAnsi"/>
          <w:sz w:val="20"/>
          <w:szCs w:val="20"/>
        </w:rPr>
        <w:t>цілі</w:t>
      </w:r>
      <w:r w:rsidRPr="004D2D14">
        <w:rPr>
          <w:rFonts w:asciiTheme="majorHAnsi" w:hAnsiTheme="majorHAnsi"/>
          <w:sz w:val="20"/>
          <w:szCs w:val="20"/>
          <w:lang w:val="en-US"/>
        </w:rPr>
        <w:t>.</w:t>
      </w:r>
    </w:p>
    <w:p w14:paraId="4CA729C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Примітка</w:t>
      </w:r>
      <w:r w:rsidRPr="004D2D14">
        <w:rPr>
          <w:rFonts w:asciiTheme="majorHAnsi" w:hAnsiTheme="majorHAnsi"/>
          <w:sz w:val="20"/>
          <w:szCs w:val="20"/>
          <w:lang w:val="en-US"/>
        </w:rPr>
        <w:t xml:space="preserve">. </w:t>
      </w:r>
      <w:r w:rsidRPr="000977F7">
        <w:rPr>
          <w:rFonts w:asciiTheme="majorHAnsi" w:hAnsiTheme="majorHAnsi"/>
          <w:sz w:val="20"/>
          <w:szCs w:val="20"/>
        </w:rPr>
        <w:t>Успіх</w:t>
      </w:r>
      <w:r w:rsidRPr="004D2D14">
        <w:rPr>
          <w:rFonts w:asciiTheme="majorHAnsi" w:hAnsiTheme="majorHAnsi"/>
          <w:sz w:val="20"/>
          <w:szCs w:val="20"/>
          <w:lang w:val="en-US"/>
        </w:rPr>
        <w:t xml:space="preserve"> </w:t>
      </w:r>
      <w:r w:rsidRPr="000977F7">
        <w:rPr>
          <w:rFonts w:asciiTheme="majorHAnsi" w:hAnsiTheme="majorHAnsi"/>
          <w:sz w:val="20"/>
          <w:szCs w:val="20"/>
        </w:rPr>
        <w:t>організації</w:t>
      </w:r>
      <w:r w:rsidRPr="004D2D14">
        <w:rPr>
          <w:rFonts w:asciiTheme="majorHAnsi" w:hAnsiTheme="majorHAnsi"/>
          <w:sz w:val="20"/>
          <w:szCs w:val="20"/>
          <w:lang w:val="en-US"/>
        </w:rPr>
        <w:t xml:space="preserve"> </w:t>
      </w:r>
      <w:r w:rsidRPr="000977F7">
        <w:rPr>
          <w:rFonts w:asciiTheme="majorHAnsi" w:hAnsiTheme="majorHAnsi"/>
          <w:sz w:val="20"/>
          <w:szCs w:val="20"/>
        </w:rPr>
        <w:t>підкреслює</w:t>
      </w:r>
      <w:r w:rsidRPr="004D2D14">
        <w:rPr>
          <w:rFonts w:asciiTheme="majorHAnsi" w:hAnsiTheme="majorHAnsi"/>
          <w:sz w:val="20"/>
          <w:szCs w:val="20"/>
          <w:lang w:val="en-US"/>
        </w:rPr>
        <w:t xml:space="preserve"> </w:t>
      </w:r>
      <w:r w:rsidRPr="000977F7">
        <w:rPr>
          <w:rFonts w:asciiTheme="majorHAnsi" w:hAnsiTheme="majorHAnsi"/>
          <w:sz w:val="20"/>
          <w:szCs w:val="20"/>
        </w:rPr>
        <w:t>необхідність</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віднайти</w:t>
      </w:r>
      <w:r w:rsidRPr="004D2D14">
        <w:rPr>
          <w:rFonts w:asciiTheme="majorHAnsi" w:hAnsiTheme="majorHAnsi"/>
          <w:sz w:val="20"/>
          <w:szCs w:val="20"/>
          <w:lang w:val="en-US"/>
        </w:rPr>
        <w:t xml:space="preserve"> </w:t>
      </w:r>
      <w:r w:rsidRPr="000977F7">
        <w:rPr>
          <w:rFonts w:asciiTheme="majorHAnsi" w:hAnsiTheme="majorHAnsi"/>
          <w:sz w:val="20"/>
          <w:szCs w:val="20"/>
        </w:rPr>
        <w:t>баланс</w:t>
      </w:r>
      <w:r w:rsidRPr="004D2D14">
        <w:rPr>
          <w:rFonts w:asciiTheme="majorHAnsi" w:hAnsiTheme="majorHAnsi"/>
          <w:sz w:val="20"/>
          <w:szCs w:val="20"/>
          <w:lang w:val="en-US"/>
        </w:rPr>
        <w:t xml:space="preserve"> </w:t>
      </w:r>
      <w:r w:rsidRPr="000977F7">
        <w:rPr>
          <w:rFonts w:asciiTheme="majorHAnsi" w:hAnsiTheme="majorHAnsi"/>
          <w:sz w:val="20"/>
          <w:szCs w:val="20"/>
        </w:rPr>
        <w:t>між</w:t>
      </w:r>
      <w:r w:rsidRPr="004D2D14">
        <w:rPr>
          <w:rFonts w:asciiTheme="majorHAnsi" w:hAnsiTheme="majorHAnsi"/>
          <w:sz w:val="20"/>
          <w:szCs w:val="20"/>
          <w:lang w:val="en-US"/>
        </w:rPr>
        <w:t xml:space="preserve"> </w:t>
      </w:r>
      <w:r w:rsidRPr="000977F7">
        <w:rPr>
          <w:rFonts w:asciiTheme="majorHAnsi" w:hAnsiTheme="majorHAnsi"/>
          <w:sz w:val="20"/>
          <w:szCs w:val="20"/>
        </w:rPr>
        <w:t>її</w:t>
      </w:r>
      <w:r w:rsidRPr="004D2D14">
        <w:rPr>
          <w:rFonts w:asciiTheme="majorHAnsi" w:hAnsiTheme="majorHAnsi"/>
          <w:sz w:val="20"/>
          <w:szCs w:val="20"/>
          <w:lang w:val="en-US"/>
        </w:rPr>
        <w:t xml:space="preserve"> </w:t>
      </w:r>
      <w:r w:rsidRPr="000977F7">
        <w:rPr>
          <w:rFonts w:asciiTheme="majorHAnsi" w:hAnsiTheme="majorHAnsi"/>
          <w:sz w:val="20"/>
          <w:szCs w:val="20"/>
        </w:rPr>
        <w:t>економічними</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фінансовими</w:t>
      </w:r>
      <w:r w:rsidRPr="004D2D14">
        <w:rPr>
          <w:rFonts w:asciiTheme="majorHAnsi" w:hAnsiTheme="majorHAnsi"/>
          <w:spacing w:val="1"/>
          <w:sz w:val="20"/>
          <w:szCs w:val="20"/>
          <w:lang w:val="en-US"/>
        </w:rPr>
        <w:t xml:space="preserve"> </w:t>
      </w:r>
      <w:r w:rsidRPr="000977F7">
        <w:rPr>
          <w:rFonts w:asciiTheme="majorHAnsi" w:hAnsiTheme="majorHAnsi"/>
          <w:sz w:val="20"/>
          <w:szCs w:val="20"/>
        </w:rPr>
        <w:t>інтересами</w:t>
      </w:r>
    </w:p>
    <w:p w14:paraId="43FB35A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потребами</w:t>
      </w:r>
      <w:r w:rsidRPr="004D2D14">
        <w:rPr>
          <w:rFonts w:asciiTheme="majorHAnsi" w:hAnsiTheme="majorHAnsi"/>
          <w:sz w:val="20"/>
          <w:szCs w:val="20"/>
          <w:lang w:val="en-US"/>
        </w:rPr>
        <w:t xml:space="preserve"> </w:t>
      </w:r>
      <w:r w:rsidRPr="000977F7">
        <w:rPr>
          <w:rFonts w:asciiTheme="majorHAnsi" w:hAnsiTheme="majorHAnsi"/>
          <w:sz w:val="20"/>
          <w:szCs w:val="20"/>
        </w:rPr>
        <w:t>її</w:t>
      </w:r>
      <w:r w:rsidRPr="004D2D14">
        <w:rPr>
          <w:rFonts w:asciiTheme="majorHAnsi" w:hAnsiTheme="majorHAnsi"/>
          <w:sz w:val="20"/>
          <w:szCs w:val="20"/>
          <w:lang w:val="en-US"/>
        </w:rPr>
        <w:t xml:space="preserve"> </w:t>
      </w:r>
      <w:r w:rsidRPr="000977F7">
        <w:rPr>
          <w:rFonts w:asciiTheme="majorHAnsi" w:hAnsiTheme="majorHAnsi"/>
          <w:sz w:val="20"/>
          <w:szCs w:val="20"/>
        </w:rPr>
        <w:t>зацікавлених</w:t>
      </w:r>
      <w:r w:rsidRPr="004D2D14">
        <w:rPr>
          <w:rFonts w:asciiTheme="majorHAnsi" w:hAnsiTheme="majorHAnsi"/>
          <w:sz w:val="20"/>
          <w:szCs w:val="20"/>
          <w:lang w:val="en-US"/>
        </w:rPr>
        <w:t xml:space="preserve"> </w:t>
      </w:r>
      <w:r w:rsidRPr="000977F7">
        <w:rPr>
          <w:rFonts w:asciiTheme="majorHAnsi" w:hAnsiTheme="majorHAnsi"/>
          <w:sz w:val="20"/>
          <w:szCs w:val="20"/>
        </w:rPr>
        <w:t>сторін</w:t>
      </w:r>
      <w:r w:rsidRPr="004D2D14">
        <w:rPr>
          <w:rFonts w:asciiTheme="majorHAnsi" w:hAnsiTheme="majorHAnsi"/>
          <w:sz w:val="20"/>
          <w:szCs w:val="20"/>
          <w:lang w:val="en-US"/>
        </w:rPr>
        <w:t xml:space="preserve"> </w:t>
      </w:r>
      <w:r w:rsidRPr="000977F7">
        <w:rPr>
          <w:rFonts w:asciiTheme="majorHAnsi" w:hAnsiTheme="majorHAnsi"/>
          <w:sz w:val="20"/>
          <w:szCs w:val="20"/>
        </w:rPr>
        <w:t>наприклад</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замовників</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користувачів</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інвесторів</w:t>
      </w:r>
      <w:r w:rsidRPr="004D2D14">
        <w:rPr>
          <w:rFonts w:asciiTheme="majorHAnsi" w:hAnsiTheme="majorHAnsi"/>
          <w:sz w:val="20"/>
          <w:szCs w:val="20"/>
          <w:lang w:val="en-US"/>
        </w:rPr>
        <w:t>/</w:t>
      </w:r>
      <w:r w:rsidRPr="000977F7">
        <w:rPr>
          <w:rFonts w:asciiTheme="majorHAnsi" w:hAnsiTheme="majorHAnsi"/>
          <w:sz w:val="20"/>
          <w:szCs w:val="20"/>
        </w:rPr>
        <w:t>акціонерів</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r w:rsidRPr="000977F7">
        <w:rPr>
          <w:rFonts w:asciiTheme="majorHAnsi" w:hAnsiTheme="majorHAnsi"/>
          <w:sz w:val="20"/>
          <w:szCs w:val="20"/>
        </w:rPr>
        <w:t>власників</w:t>
      </w:r>
      <w:r w:rsidRPr="004D2D14">
        <w:rPr>
          <w:rFonts w:asciiTheme="majorHAnsi" w:hAnsiTheme="majorHAnsi"/>
          <w:sz w:val="20"/>
          <w:szCs w:val="20"/>
          <w:lang w:val="en-US"/>
        </w:rPr>
        <w:t xml:space="preserve">), </w:t>
      </w:r>
      <w:r w:rsidRPr="000977F7">
        <w:rPr>
          <w:rFonts w:asciiTheme="majorHAnsi" w:hAnsiTheme="majorHAnsi"/>
          <w:sz w:val="20"/>
          <w:szCs w:val="20"/>
        </w:rPr>
        <w:t>персоналу</w:t>
      </w:r>
      <w:r w:rsidRPr="004D2D14">
        <w:rPr>
          <w:rFonts w:asciiTheme="majorHAnsi" w:hAnsiTheme="majorHAnsi"/>
          <w:sz w:val="20"/>
          <w:szCs w:val="20"/>
          <w:lang w:val="en-US"/>
        </w:rPr>
        <w:t xml:space="preserve"> </w:t>
      </w:r>
      <w:r w:rsidRPr="000977F7">
        <w:rPr>
          <w:rFonts w:asciiTheme="majorHAnsi" w:hAnsiTheme="majorHAnsi"/>
          <w:sz w:val="20"/>
          <w:szCs w:val="20"/>
        </w:rPr>
        <w:t>в</w:t>
      </w:r>
      <w:r w:rsidRPr="004D2D14">
        <w:rPr>
          <w:rFonts w:asciiTheme="majorHAnsi" w:hAnsiTheme="majorHAnsi"/>
          <w:sz w:val="20"/>
          <w:szCs w:val="20"/>
          <w:lang w:val="en-US"/>
        </w:rPr>
        <w:t xml:space="preserve"> </w:t>
      </w:r>
      <w:r w:rsidRPr="000977F7">
        <w:rPr>
          <w:rFonts w:asciiTheme="majorHAnsi" w:hAnsiTheme="majorHAnsi"/>
          <w:sz w:val="20"/>
          <w:szCs w:val="20"/>
        </w:rPr>
        <w:t>організації</w:t>
      </w:r>
      <w:r w:rsidRPr="004D2D14">
        <w:rPr>
          <w:rFonts w:asciiTheme="majorHAnsi" w:hAnsiTheme="majorHAnsi"/>
          <w:sz w:val="20"/>
          <w:szCs w:val="20"/>
          <w:lang w:val="en-US"/>
        </w:rPr>
        <w:t xml:space="preserve">, </w:t>
      </w:r>
      <w:r w:rsidRPr="000977F7">
        <w:rPr>
          <w:rFonts w:asciiTheme="majorHAnsi" w:hAnsiTheme="majorHAnsi"/>
          <w:sz w:val="20"/>
          <w:szCs w:val="20"/>
        </w:rPr>
        <w:t>постачальників</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партнерів</w:t>
      </w:r>
      <w:r w:rsidRPr="004D2D14">
        <w:rPr>
          <w:rFonts w:asciiTheme="majorHAnsi" w:hAnsiTheme="majorHAnsi"/>
          <w:sz w:val="20"/>
          <w:szCs w:val="20"/>
          <w:lang w:val="en-US"/>
        </w:rPr>
        <w:t xml:space="preserve">, </w:t>
      </w:r>
      <w:r w:rsidRPr="000977F7">
        <w:rPr>
          <w:rFonts w:asciiTheme="majorHAnsi" w:hAnsiTheme="majorHAnsi"/>
          <w:sz w:val="20"/>
          <w:szCs w:val="20"/>
        </w:rPr>
        <w:t>зацікавлених</w:t>
      </w:r>
      <w:r w:rsidRPr="004D2D14">
        <w:rPr>
          <w:rFonts w:asciiTheme="majorHAnsi" w:hAnsiTheme="majorHAnsi"/>
          <w:sz w:val="20"/>
          <w:szCs w:val="20"/>
          <w:lang w:val="en-US"/>
        </w:rPr>
        <w:t xml:space="preserve"> </w:t>
      </w:r>
      <w:r w:rsidRPr="000977F7">
        <w:rPr>
          <w:rFonts w:asciiTheme="majorHAnsi" w:hAnsiTheme="majorHAnsi"/>
          <w:sz w:val="20"/>
          <w:szCs w:val="20"/>
        </w:rPr>
        <w:t>груп</w:t>
      </w:r>
      <w:r w:rsidRPr="004D2D14">
        <w:rPr>
          <w:rFonts w:asciiTheme="majorHAnsi" w:hAnsiTheme="majorHAnsi"/>
          <w:spacing w:val="-1"/>
          <w:sz w:val="20"/>
          <w:szCs w:val="20"/>
          <w:lang w:val="en-US"/>
        </w:rPr>
        <w:t xml:space="preserve"> </w:t>
      </w:r>
      <w:r w:rsidRPr="000977F7">
        <w:rPr>
          <w:rFonts w:asciiTheme="majorHAnsi" w:hAnsiTheme="majorHAnsi"/>
          <w:sz w:val="20"/>
          <w:szCs w:val="20"/>
        </w:rPr>
        <w:t>і</w:t>
      </w:r>
      <w:r w:rsidRPr="004D2D14">
        <w:rPr>
          <w:rFonts w:asciiTheme="majorHAnsi" w:hAnsiTheme="majorHAnsi"/>
          <w:sz w:val="20"/>
          <w:szCs w:val="20"/>
          <w:lang w:val="en-US"/>
        </w:rPr>
        <w:t xml:space="preserve"> </w:t>
      </w:r>
      <w:r w:rsidRPr="000977F7">
        <w:rPr>
          <w:rFonts w:asciiTheme="majorHAnsi" w:hAnsiTheme="majorHAnsi"/>
          <w:sz w:val="20"/>
          <w:szCs w:val="20"/>
        </w:rPr>
        <w:t>спільнот</w:t>
      </w:r>
    </w:p>
    <w:p w14:paraId="1746FB0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1"/>
          <w:sz w:val="20"/>
          <w:szCs w:val="20"/>
        </w:rPr>
        <w:t xml:space="preserve"> </w:t>
      </w:r>
      <w:r w:rsidRPr="000977F7">
        <w:rPr>
          <w:rFonts w:asciiTheme="majorHAnsi" w:hAnsiTheme="majorHAnsi"/>
          <w:i/>
          <w:sz w:val="20"/>
          <w:szCs w:val="20"/>
        </w:rPr>
        <w:t>9000:2015</w:t>
      </w:r>
    </w:p>
    <w:p w14:paraId="1918F27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УСТАЛЕНЕ</w:t>
      </w:r>
      <w:r w:rsidRPr="000977F7">
        <w:rPr>
          <w:color w:val="auto"/>
          <w:spacing w:val="-4"/>
          <w:sz w:val="20"/>
          <w:szCs w:val="20"/>
        </w:rPr>
        <w:t xml:space="preserve"> </w:t>
      </w:r>
      <w:r w:rsidRPr="000977F7">
        <w:rPr>
          <w:color w:val="auto"/>
          <w:sz w:val="20"/>
          <w:szCs w:val="20"/>
        </w:rPr>
        <w:t>ВИРОБНИЦТВО</w:t>
      </w:r>
      <w:r w:rsidRPr="000977F7">
        <w:rPr>
          <w:color w:val="auto"/>
          <w:spacing w:val="1"/>
          <w:sz w:val="20"/>
          <w:szCs w:val="20"/>
        </w:rPr>
        <w:t xml:space="preserve"> </w:t>
      </w:r>
      <w:r w:rsidRPr="000977F7">
        <w:rPr>
          <w:color w:val="auto"/>
          <w:sz w:val="20"/>
          <w:szCs w:val="20"/>
        </w:rPr>
        <w:t>–</w:t>
      </w:r>
    </w:p>
    <w:p w14:paraId="6D1A9E8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Вироблення заданого обсягу продукції у певний термін</w:t>
      </w:r>
      <w:r w:rsidRPr="000977F7">
        <w:rPr>
          <w:rFonts w:asciiTheme="majorHAnsi" w:hAnsiTheme="majorHAnsi"/>
          <w:spacing w:val="-5"/>
          <w:sz w:val="20"/>
          <w:szCs w:val="20"/>
        </w:rPr>
        <w:t xml:space="preserve"> </w:t>
      </w:r>
      <w:r w:rsidRPr="000977F7">
        <w:rPr>
          <w:rFonts w:asciiTheme="majorHAnsi" w:hAnsiTheme="majorHAnsi"/>
          <w:sz w:val="20"/>
          <w:szCs w:val="20"/>
        </w:rPr>
        <w:t>за</w:t>
      </w:r>
      <w:r w:rsidRPr="000977F7">
        <w:rPr>
          <w:rFonts w:asciiTheme="majorHAnsi" w:hAnsiTheme="majorHAnsi"/>
          <w:spacing w:val="-4"/>
          <w:sz w:val="20"/>
          <w:szCs w:val="20"/>
        </w:rPr>
        <w:t xml:space="preserve"> </w:t>
      </w:r>
      <w:r w:rsidRPr="000977F7">
        <w:rPr>
          <w:rFonts w:asciiTheme="majorHAnsi" w:hAnsiTheme="majorHAnsi"/>
          <w:sz w:val="20"/>
          <w:szCs w:val="20"/>
        </w:rPr>
        <w:t>остаточно</w:t>
      </w:r>
      <w:r w:rsidRPr="000977F7">
        <w:rPr>
          <w:rFonts w:asciiTheme="majorHAnsi" w:hAnsiTheme="majorHAnsi"/>
          <w:spacing w:val="-3"/>
          <w:sz w:val="20"/>
          <w:szCs w:val="20"/>
        </w:rPr>
        <w:t xml:space="preserve"> </w:t>
      </w:r>
      <w:r w:rsidRPr="000977F7">
        <w:rPr>
          <w:rFonts w:asciiTheme="majorHAnsi" w:hAnsiTheme="majorHAnsi"/>
          <w:sz w:val="20"/>
          <w:szCs w:val="20"/>
        </w:rPr>
        <w:t>опрацьованою</w:t>
      </w:r>
      <w:r w:rsidRPr="000977F7">
        <w:rPr>
          <w:rFonts w:asciiTheme="majorHAnsi" w:hAnsiTheme="majorHAnsi"/>
          <w:spacing w:val="-4"/>
          <w:sz w:val="20"/>
          <w:szCs w:val="20"/>
        </w:rPr>
        <w:t xml:space="preserve"> </w:t>
      </w:r>
      <w:r w:rsidRPr="000977F7">
        <w:rPr>
          <w:rFonts w:asciiTheme="majorHAnsi" w:hAnsiTheme="majorHAnsi"/>
          <w:sz w:val="20"/>
          <w:szCs w:val="20"/>
        </w:rPr>
        <w:t>конструкторською</w:t>
      </w:r>
      <w:r w:rsidRPr="000977F7">
        <w:rPr>
          <w:rFonts w:asciiTheme="majorHAnsi" w:hAnsiTheme="majorHAnsi"/>
          <w:spacing w:val="-3"/>
          <w:sz w:val="20"/>
          <w:szCs w:val="20"/>
        </w:rPr>
        <w:t xml:space="preserve"> </w:t>
      </w:r>
      <w:r w:rsidRPr="000977F7">
        <w:rPr>
          <w:rFonts w:asciiTheme="majorHAnsi" w:hAnsiTheme="majorHAnsi"/>
          <w:sz w:val="20"/>
          <w:szCs w:val="20"/>
        </w:rPr>
        <w:t>та</w:t>
      </w:r>
      <w:r w:rsidRPr="000977F7">
        <w:rPr>
          <w:rFonts w:asciiTheme="majorHAnsi" w:hAnsiTheme="majorHAnsi"/>
          <w:spacing w:val="-48"/>
          <w:sz w:val="20"/>
          <w:szCs w:val="20"/>
        </w:rPr>
        <w:t xml:space="preserve"> </w:t>
      </w:r>
      <w:r w:rsidRPr="000977F7">
        <w:rPr>
          <w:rFonts w:asciiTheme="majorHAnsi" w:hAnsiTheme="majorHAnsi"/>
          <w:sz w:val="20"/>
          <w:szCs w:val="20"/>
        </w:rPr>
        <w:t>технологічною</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документацією</w:t>
      </w:r>
    </w:p>
    <w:p w14:paraId="3140EFC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 –</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33B381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1E407A0" w14:textId="77777777" w:rsidR="0097612F" w:rsidRPr="000977F7" w:rsidRDefault="0097612F" w:rsidP="000977F7">
      <w:pPr>
        <w:pStyle w:val="7"/>
        <w:tabs>
          <w:tab w:val="left" w:pos="284"/>
        </w:tabs>
        <w:spacing w:before="0" w:line="240" w:lineRule="auto"/>
        <w:ind w:left="170"/>
        <w:mirrorIndents/>
        <w:jc w:val="both"/>
        <w:rPr>
          <w:color w:val="auto"/>
          <w:spacing w:val="-8"/>
          <w:sz w:val="20"/>
          <w:szCs w:val="20"/>
        </w:rPr>
      </w:pPr>
      <w:r w:rsidRPr="000977F7">
        <w:rPr>
          <w:color w:val="auto"/>
          <w:spacing w:val="-4"/>
          <w:sz w:val="20"/>
          <w:szCs w:val="20"/>
        </w:rPr>
        <w:t>УСТАЛЕНЕ</w:t>
      </w:r>
      <w:r w:rsidRPr="000977F7">
        <w:rPr>
          <w:color w:val="auto"/>
          <w:spacing w:val="-10"/>
          <w:sz w:val="20"/>
          <w:szCs w:val="20"/>
        </w:rPr>
        <w:t xml:space="preserve"> </w:t>
      </w:r>
      <w:r w:rsidRPr="000977F7">
        <w:rPr>
          <w:color w:val="auto"/>
          <w:spacing w:val="-4"/>
          <w:sz w:val="20"/>
          <w:szCs w:val="20"/>
        </w:rPr>
        <w:t>ВІДХИЛЕННЯ</w:t>
      </w:r>
      <w:r w:rsidRPr="000977F7">
        <w:rPr>
          <w:color w:val="auto"/>
          <w:spacing w:val="-8"/>
          <w:sz w:val="20"/>
          <w:szCs w:val="20"/>
        </w:rPr>
        <w:t xml:space="preserve"> </w:t>
      </w:r>
      <w:r w:rsidRPr="000977F7">
        <w:rPr>
          <w:color w:val="auto"/>
          <w:spacing w:val="-4"/>
          <w:sz w:val="20"/>
          <w:szCs w:val="20"/>
        </w:rPr>
        <w:t>НАПРУГИ</w:t>
      </w:r>
      <w:r w:rsidRPr="000977F7">
        <w:rPr>
          <w:color w:val="auto"/>
          <w:spacing w:val="-8"/>
          <w:sz w:val="20"/>
          <w:szCs w:val="20"/>
        </w:rPr>
        <w:t xml:space="preserve"> </w:t>
      </w:r>
    </w:p>
    <w:p w14:paraId="1405583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4"/>
          <w:sz w:val="20"/>
          <w:szCs w:val="20"/>
        </w:rPr>
        <w:t>(ЧАСТОТИ)</w:t>
      </w:r>
      <w:r w:rsidRPr="000977F7">
        <w:rPr>
          <w:color w:val="auto"/>
          <w:spacing w:val="-8"/>
          <w:sz w:val="20"/>
          <w:szCs w:val="20"/>
        </w:rPr>
        <w:t xml:space="preserve"> </w:t>
      </w:r>
      <w:r w:rsidRPr="000977F7">
        <w:rPr>
          <w:color w:val="auto"/>
          <w:spacing w:val="-3"/>
          <w:sz w:val="20"/>
          <w:szCs w:val="20"/>
        </w:rPr>
        <w:t>-</w:t>
      </w:r>
    </w:p>
    <w:p w14:paraId="2C16470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Відхилення</w:t>
      </w:r>
      <w:r w:rsidRPr="000977F7">
        <w:rPr>
          <w:rFonts w:asciiTheme="majorHAnsi" w:hAnsiTheme="majorHAnsi"/>
          <w:spacing w:val="1"/>
          <w:sz w:val="20"/>
          <w:szCs w:val="20"/>
        </w:rPr>
        <w:t xml:space="preserve"> </w:t>
      </w:r>
      <w:r w:rsidRPr="000977F7">
        <w:rPr>
          <w:rFonts w:asciiTheme="majorHAnsi" w:hAnsiTheme="majorHAnsi"/>
          <w:sz w:val="20"/>
          <w:szCs w:val="20"/>
        </w:rPr>
        <w:t>напруги</w:t>
      </w:r>
      <w:r w:rsidRPr="000977F7">
        <w:rPr>
          <w:rFonts w:asciiTheme="majorHAnsi" w:hAnsiTheme="majorHAnsi"/>
          <w:spacing w:val="1"/>
          <w:sz w:val="20"/>
          <w:szCs w:val="20"/>
        </w:rPr>
        <w:t xml:space="preserve"> </w:t>
      </w:r>
      <w:r w:rsidRPr="000977F7">
        <w:rPr>
          <w:rFonts w:asciiTheme="majorHAnsi" w:hAnsiTheme="majorHAnsi"/>
          <w:sz w:val="20"/>
          <w:szCs w:val="20"/>
        </w:rPr>
        <w:t>(частоти)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усталеному</w:t>
      </w:r>
      <w:r w:rsidRPr="000977F7">
        <w:rPr>
          <w:rFonts w:asciiTheme="majorHAnsi" w:hAnsiTheme="majorHAnsi"/>
          <w:spacing w:val="1"/>
          <w:sz w:val="20"/>
          <w:szCs w:val="20"/>
        </w:rPr>
        <w:t xml:space="preserve"> </w:t>
      </w:r>
      <w:r w:rsidRPr="000977F7">
        <w:rPr>
          <w:rFonts w:asciiTheme="majorHAnsi" w:hAnsiTheme="majorHAnsi"/>
          <w:sz w:val="20"/>
          <w:szCs w:val="20"/>
        </w:rPr>
        <w:t>режимі</w:t>
      </w:r>
      <w:r w:rsidRPr="000977F7">
        <w:rPr>
          <w:rFonts w:asciiTheme="majorHAnsi" w:hAnsiTheme="majorHAnsi"/>
          <w:spacing w:val="-47"/>
          <w:sz w:val="20"/>
          <w:szCs w:val="20"/>
        </w:rPr>
        <w:t xml:space="preserve"> </w:t>
      </w:r>
      <w:r w:rsidRPr="000977F7">
        <w:rPr>
          <w:rFonts w:asciiTheme="majorHAnsi" w:hAnsiTheme="majorHAnsi"/>
          <w:sz w:val="20"/>
          <w:szCs w:val="20"/>
        </w:rPr>
        <w:t>роботи</w:t>
      </w:r>
      <w:r w:rsidRPr="000977F7">
        <w:rPr>
          <w:rFonts w:asciiTheme="majorHAnsi" w:hAnsiTheme="majorHAnsi"/>
          <w:spacing w:val="-2"/>
          <w:sz w:val="20"/>
          <w:szCs w:val="20"/>
        </w:rPr>
        <w:t xml:space="preserve"> </w:t>
      </w:r>
      <w:r w:rsidRPr="000977F7">
        <w:rPr>
          <w:rFonts w:asciiTheme="majorHAnsi" w:hAnsiTheme="majorHAnsi"/>
          <w:sz w:val="20"/>
          <w:szCs w:val="20"/>
        </w:rPr>
        <w:t>електропостачальної</w:t>
      </w:r>
      <w:r w:rsidRPr="000977F7">
        <w:rPr>
          <w:rFonts w:asciiTheme="majorHAnsi" w:hAnsiTheme="majorHAnsi"/>
          <w:spacing w:val="2"/>
          <w:sz w:val="20"/>
          <w:szCs w:val="20"/>
        </w:rPr>
        <w:t xml:space="preserve"> </w:t>
      </w:r>
      <w:r w:rsidRPr="000977F7">
        <w:rPr>
          <w:rFonts w:asciiTheme="majorHAnsi" w:hAnsiTheme="majorHAnsi"/>
          <w:sz w:val="20"/>
          <w:szCs w:val="20"/>
        </w:rPr>
        <w:t>системи</w:t>
      </w:r>
    </w:p>
    <w:p w14:paraId="6DB03DA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1D39DC2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УСТАЛЕНИЙ</w:t>
      </w:r>
      <w:r w:rsidRPr="000977F7">
        <w:rPr>
          <w:color w:val="auto"/>
          <w:spacing w:val="-2"/>
          <w:sz w:val="20"/>
          <w:szCs w:val="20"/>
        </w:rPr>
        <w:t xml:space="preserve"> </w:t>
      </w:r>
      <w:r w:rsidRPr="000977F7">
        <w:rPr>
          <w:color w:val="auto"/>
          <w:sz w:val="20"/>
          <w:szCs w:val="20"/>
        </w:rPr>
        <w:t>РЕЖИМ</w:t>
      </w:r>
      <w:r w:rsidRPr="000977F7">
        <w:rPr>
          <w:color w:val="auto"/>
          <w:spacing w:val="2"/>
          <w:sz w:val="20"/>
          <w:szCs w:val="20"/>
        </w:rPr>
        <w:t xml:space="preserve"> </w:t>
      </w:r>
      <w:r w:rsidRPr="000977F7">
        <w:rPr>
          <w:color w:val="auto"/>
          <w:sz w:val="20"/>
          <w:szCs w:val="20"/>
        </w:rPr>
        <w:t>–</w:t>
      </w:r>
    </w:p>
    <w:p w14:paraId="4FC0804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STEADY-STATE</w:t>
      </w:r>
      <w:r w:rsidRPr="000977F7">
        <w:rPr>
          <w:rFonts w:asciiTheme="majorHAnsi" w:hAnsiTheme="majorHAnsi"/>
          <w:spacing w:val="-3"/>
          <w:sz w:val="20"/>
          <w:szCs w:val="20"/>
        </w:rPr>
        <w:t xml:space="preserve"> </w:t>
      </w:r>
      <w:r w:rsidRPr="000977F7">
        <w:rPr>
          <w:rFonts w:asciiTheme="majorHAnsi" w:hAnsiTheme="majorHAnsi"/>
          <w:sz w:val="20"/>
          <w:szCs w:val="20"/>
        </w:rPr>
        <w:t>MODE –</w:t>
      </w:r>
    </w:p>
    <w:p w14:paraId="27067DD6"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pacing w:val="-7"/>
          <w:sz w:val="20"/>
          <w:szCs w:val="20"/>
        </w:rPr>
        <w:t>Функціювання</w:t>
      </w:r>
      <w:r w:rsidRPr="000977F7">
        <w:rPr>
          <w:rFonts w:asciiTheme="majorHAnsi" w:hAnsiTheme="majorHAnsi"/>
          <w:spacing w:val="-5"/>
          <w:sz w:val="20"/>
          <w:szCs w:val="20"/>
        </w:rPr>
        <w:t xml:space="preserve"> </w:t>
      </w:r>
      <w:r w:rsidRPr="000977F7">
        <w:rPr>
          <w:rFonts w:asciiTheme="majorHAnsi" w:hAnsiTheme="majorHAnsi"/>
          <w:spacing w:val="-6"/>
          <w:sz w:val="20"/>
          <w:szCs w:val="20"/>
        </w:rPr>
        <w:t>об’єкта, за</w:t>
      </w:r>
      <w:r w:rsidRPr="000977F7">
        <w:rPr>
          <w:rFonts w:asciiTheme="majorHAnsi" w:hAnsiTheme="majorHAnsi"/>
          <w:spacing w:val="-5"/>
          <w:sz w:val="20"/>
          <w:szCs w:val="20"/>
        </w:rPr>
        <w:t xml:space="preserve"> </w:t>
      </w:r>
      <w:r w:rsidRPr="000977F7">
        <w:rPr>
          <w:rFonts w:asciiTheme="majorHAnsi" w:hAnsiTheme="majorHAnsi"/>
          <w:spacing w:val="-6"/>
          <w:sz w:val="20"/>
          <w:szCs w:val="20"/>
        </w:rPr>
        <w:t>якого</w:t>
      </w:r>
      <w:r w:rsidRPr="000977F7">
        <w:rPr>
          <w:rFonts w:asciiTheme="majorHAnsi" w:hAnsiTheme="majorHAnsi"/>
          <w:spacing w:val="-3"/>
          <w:sz w:val="20"/>
          <w:szCs w:val="20"/>
        </w:rPr>
        <w:t xml:space="preserve"> </w:t>
      </w:r>
      <w:r w:rsidRPr="000977F7">
        <w:rPr>
          <w:rFonts w:asciiTheme="majorHAnsi" w:hAnsiTheme="majorHAnsi"/>
          <w:spacing w:val="-6"/>
          <w:sz w:val="20"/>
          <w:szCs w:val="20"/>
        </w:rPr>
        <w:t>параметри,</w:t>
      </w:r>
      <w:r w:rsidRPr="000977F7">
        <w:rPr>
          <w:rFonts w:asciiTheme="majorHAnsi" w:hAnsiTheme="majorHAnsi"/>
          <w:spacing w:val="-5"/>
          <w:sz w:val="20"/>
          <w:szCs w:val="20"/>
        </w:rPr>
        <w:t xml:space="preserve"> </w:t>
      </w:r>
      <w:r w:rsidRPr="000977F7">
        <w:rPr>
          <w:rFonts w:asciiTheme="majorHAnsi" w:hAnsiTheme="majorHAnsi"/>
          <w:spacing w:val="-6"/>
          <w:sz w:val="20"/>
          <w:szCs w:val="20"/>
        </w:rPr>
        <w:t>що характери</w:t>
      </w:r>
      <w:r w:rsidRPr="000977F7">
        <w:rPr>
          <w:rFonts w:asciiTheme="majorHAnsi" w:hAnsiTheme="majorHAnsi"/>
          <w:spacing w:val="-7"/>
          <w:sz w:val="20"/>
          <w:szCs w:val="20"/>
        </w:rPr>
        <w:t>зують</w:t>
      </w:r>
      <w:r w:rsidRPr="000977F7">
        <w:rPr>
          <w:rFonts w:asciiTheme="majorHAnsi" w:hAnsiTheme="majorHAnsi"/>
          <w:spacing w:val="-13"/>
          <w:sz w:val="20"/>
          <w:szCs w:val="20"/>
        </w:rPr>
        <w:t xml:space="preserve"> </w:t>
      </w:r>
      <w:r w:rsidRPr="000977F7">
        <w:rPr>
          <w:rFonts w:asciiTheme="majorHAnsi" w:hAnsiTheme="majorHAnsi"/>
          <w:spacing w:val="-7"/>
          <w:sz w:val="20"/>
          <w:szCs w:val="20"/>
        </w:rPr>
        <w:t>його</w:t>
      </w:r>
      <w:r w:rsidRPr="000977F7">
        <w:rPr>
          <w:rFonts w:asciiTheme="majorHAnsi" w:hAnsiTheme="majorHAnsi"/>
          <w:spacing w:val="-12"/>
          <w:sz w:val="20"/>
          <w:szCs w:val="20"/>
        </w:rPr>
        <w:t xml:space="preserve"> </w:t>
      </w:r>
      <w:r w:rsidRPr="000977F7">
        <w:rPr>
          <w:rFonts w:asciiTheme="majorHAnsi" w:hAnsiTheme="majorHAnsi"/>
          <w:spacing w:val="-7"/>
          <w:sz w:val="20"/>
          <w:szCs w:val="20"/>
        </w:rPr>
        <w:t>стан</w:t>
      </w:r>
      <w:r w:rsidRPr="000977F7">
        <w:rPr>
          <w:rFonts w:asciiTheme="majorHAnsi" w:hAnsiTheme="majorHAnsi"/>
          <w:spacing w:val="-14"/>
          <w:sz w:val="20"/>
          <w:szCs w:val="20"/>
        </w:rPr>
        <w:t xml:space="preserve"> </w:t>
      </w:r>
      <w:r w:rsidRPr="000977F7">
        <w:rPr>
          <w:rFonts w:asciiTheme="majorHAnsi" w:hAnsiTheme="majorHAnsi"/>
          <w:spacing w:val="-7"/>
          <w:sz w:val="20"/>
          <w:szCs w:val="20"/>
        </w:rPr>
        <w:t>та</w:t>
      </w:r>
      <w:r w:rsidRPr="000977F7">
        <w:rPr>
          <w:rFonts w:asciiTheme="majorHAnsi" w:hAnsiTheme="majorHAnsi"/>
          <w:spacing w:val="-15"/>
          <w:sz w:val="20"/>
          <w:szCs w:val="20"/>
        </w:rPr>
        <w:t xml:space="preserve"> </w:t>
      </w:r>
      <w:r w:rsidRPr="000977F7">
        <w:rPr>
          <w:rFonts w:asciiTheme="majorHAnsi" w:hAnsiTheme="majorHAnsi"/>
          <w:spacing w:val="-7"/>
          <w:sz w:val="20"/>
          <w:szCs w:val="20"/>
        </w:rPr>
        <w:t>(або)</w:t>
      </w:r>
      <w:r w:rsidRPr="000977F7">
        <w:rPr>
          <w:rFonts w:asciiTheme="majorHAnsi" w:hAnsiTheme="majorHAnsi"/>
          <w:spacing w:val="-13"/>
          <w:sz w:val="20"/>
          <w:szCs w:val="20"/>
        </w:rPr>
        <w:t xml:space="preserve"> </w:t>
      </w:r>
      <w:r w:rsidRPr="000977F7">
        <w:rPr>
          <w:rFonts w:asciiTheme="majorHAnsi" w:hAnsiTheme="majorHAnsi"/>
          <w:spacing w:val="-7"/>
          <w:sz w:val="20"/>
          <w:szCs w:val="20"/>
        </w:rPr>
        <w:t>процеси,</w:t>
      </w:r>
      <w:r w:rsidRPr="000977F7">
        <w:rPr>
          <w:rFonts w:asciiTheme="majorHAnsi" w:hAnsiTheme="majorHAnsi"/>
          <w:spacing w:val="-12"/>
          <w:sz w:val="20"/>
          <w:szCs w:val="20"/>
        </w:rPr>
        <w:t xml:space="preserve"> </w:t>
      </w:r>
      <w:r w:rsidRPr="000977F7">
        <w:rPr>
          <w:rFonts w:asciiTheme="majorHAnsi" w:hAnsiTheme="majorHAnsi"/>
          <w:spacing w:val="-7"/>
          <w:sz w:val="20"/>
          <w:szCs w:val="20"/>
        </w:rPr>
        <w:t>що</w:t>
      </w:r>
      <w:r w:rsidRPr="000977F7">
        <w:rPr>
          <w:rFonts w:asciiTheme="majorHAnsi" w:hAnsiTheme="majorHAnsi"/>
          <w:spacing w:val="-15"/>
          <w:sz w:val="20"/>
          <w:szCs w:val="20"/>
        </w:rPr>
        <w:t xml:space="preserve"> </w:t>
      </w:r>
      <w:r w:rsidRPr="000977F7">
        <w:rPr>
          <w:rFonts w:asciiTheme="majorHAnsi" w:hAnsiTheme="majorHAnsi"/>
          <w:spacing w:val="-7"/>
          <w:sz w:val="20"/>
          <w:szCs w:val="20"/>
        </w:rPr>
        <w:t>в</w:t>
      </w:r>
      <w:r w:rsidRPr="000977F7">
        <w:rPr>
          <w:rFonts w:asciiTheme="majorHAnsi" w:hAnsiTheme="majorHAnsi"/>
          <w:spacing w:val="-14"/>
          <w:sz w:val="20"/>
          <w:szCs w:val="20"/>
        </w:rPr>
        <w:t xml:space="preserve"> </w:t>
      </w:r>
      <w:r w:rsidRPr="000977F7">
        <w:rPr>
          <w:rFonts w:asciiTheme="majorHAnsi" w:hAnsiTheme="majorHAnsi"/>
          <w:spacing w:val="-7"/>
          <w:sz w:val="20"/>
          <w:szCs w:val="20"/>
        </w:rPr>
        <w:t>ньому</w:t>
      </w:r>
      <w:r w:rsidRPr="000977F7">
        <w:rPr>
          <w:rFonts w:asciiTheme="majorHAnsi" w:hAnsiTheme="majorHAnsi"/>
          <w:spacing w:val="-17"/>
          <w:sz w:val="20"/>
          <w:szCs w:val="20"/>
        </w:rPr>
        <w:t xml:space="preserve"> </w:t>
      </w:r>
      <w:r w:rsidRPr="000977F7">
        <w:rPr>
          <w:rFonts w:asciiTheme="majorHAnsi" w:hAnsiTheme="majorHAnsi"/>
          <w:spacing w:val="-7"/>
          <w:sz w:val="20"/>
          <w:szCs w:val="20"/>
        </w:rPr>
        <w:t>відбуваються,</w:t>
      </w:r>
      <w:r w:rsidRPr="000977F7">
        <w:rPr>
          <w:rFonts w:asciiTheme="majorHAnsi" w:hAnsiTheme="majorHAnsi"/>
          <w:spacing w:val="-47"/>
          <w:sz w:val="20"/>
          <w:szCs w:val="20"/>
        </w:rPr>
        <w:t xml:space="preserve"> </w:t>
      </w:r>
      <w:r w:rsidRPr="000977F7">
        <w:rPr>
          <w:rFonts w:asciiTheme="majorHAnsi" w:hAnsiTheme="majorHAnsi"/>
          <w:sz w:val="20"/>
          <w:szCs w:val="20"/>
        </w:rPr>
        <w:t>можна вважати незмінними протягом тривалого часу</w:t>
      </w:r>
      <w:r w:rsidRPr="000977F7">
        <w:rPr>
          <w:rFonts w:asciiTheme="majorHAnsi" w:hAnsiTheme="majorHAnsi"/>
          <w:spacing w:val="1"/>
          <w:sz w:val="20"/>
          <w:szCs w:val="20"/>
        </w:rPr>
        <w:t xml:space="preserve"> </w:t>
      </w:r>
    </w:p>
    <w:p w14:paraId="3F16443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3956 - 2000</w:t>
      </w:r>
    </w:p>
    <w:p w14:paraId="544505F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УСТАЛЕНИЙ</w:t>
      </w:r>
      <w:r w:rsidRPr="000977F7">
        <w:rPr>
          <w:color w:val="auto"/>
          <w:spacing w:val="17"/>
          <w:sz w:val="20"/>
          <w:szCs w:val="20"/>
        </w:rPr>
        <w:t xml:space="preserve"> </w:t>
      </w:r>
      <w:r w:rsidRPr="000977F7">
        <w:rPr>
          <w:color w:val="auto"/>
          <w:sz w:val="20"/>
          <w:szCs w:val="20"/>
        </w:rPr>
        <w:t>РЕЖИМ</w:t>
      </w:r>
      <w:r w:rsidRPr="000977F7">
        <w:rPr>
          <w:color w:val="auto"/>
          <w:spacing w:val="20"/>
          <w:sz w:val="20"/>
          <w:szCs w:val="20"/>
        </w:rPr>
        <w:t xml:space="preserve"> </w:t>
      </w:r>
      <w:r w:rsidRPr="000977F7">
        <w:rPr>
          <w:color w:val="auto"/>
          <w:sz w:val="20"/>
          <w:szCs w:val="20"/>
        </w:rPr>
        <w:t>У</w:t>
      </w:r>
      <w:r w:rsidRPr="000977F7">
        <w:rPr>
          <w:color w:val="auto"/>
          <w:spacing w:val="20"/>
          <w:sz w:val="20"/>
          <w:szCs w:val="20"/>
        </w:rPr>
        <w:t xml:space="preserve"> </w:t>
      </w:r>
      <w:r w:rsidRPr="000977F7">
        <w:rPr>
          <w:color w:val="auto"/>
          <w:sz w:val="20"/>
          <w:szCs w:val="20"/>
        </w:rPr>
        <w:t>КОРИСНОМУ</w:t>
      </w:r>
      <w:r w:rsidRPr="000977F7">
        <w:rPr>
          <w:color w:val="auto"/>
          <w:spacing w:val="16"/>
          <w:sz w:val="20"/>
          <w:szCs w:val="20"/>
        </w:rPr>
        <w:t xml:space="preserve"> </w:t>
      </w:r>
      <w:r w:rsidRPr="000977F7">
        <w:rPr>
          <w:color w:val="auto"/>
          <w:sz w:val="20"/>
          <w:szCs w:val="20"/>
        </w:rPr>
        <w:t>ОБ’ЄМІ</w:t>
      </w:r>
      <w:r w:rsidRPr="000977F7">
        <w:rPr>
          <w:color w:val="auto"/>
          <w:spacing w:val="-47"/>
          <w:sz w:val="20"/>
          <w:szCs w:val="20"/>
        </w:rPr>
        <w:t xml:space="preserve">         </w:t>
      </w:r>
      <w:r w:rsidRPr="000977F7">
        <w:rPr>
          <w:color w:val="auto"/>
          <w:sz w:val="20"/>
          <w:szCs w:val="20"/>
        </w:rPr>
        <w:t>КАМЕРИ –</w:t>
      </w:r>
    </w:p>
    <w:p w14:paraId="7703CAB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Режим, за якого характеристики коливань параметра в</w:t>
      </w:r>
      <w:r w:rsidRPr="000977F7">
        <w:rPr>
          <w:rFonts w:asciiTheme="majorHAnsi" w:hAnsiTheme="majorHAnsi"/>
          <w:spacing w:val="-47"/>
          <w:sz w:val="20"/>
          <w:szCs w:val="20"/>
        </w:rPr>
        <w:t xml:space="preserve"> </w:t>
      </w:r>
      <w:r w:rsidRPr="000977F7">
        <w:rPr>
          <w:rFonts w:asciiTheme="majorHAnsi" w:hAnsiTheme="majorHAnsi"/>
          <w:sz w:val="20"/>
          <w:szCs w:val="20"/>
        </w:rPr>
        <w:t>контрольних</w:t>
      </w:r>
      <w:r w:rsidRPr="000977F7">
        <w:rPr>
          <w:rFonts w:asciiTheme="majorHAnsi" w:hAnsiTheme="majorHAnsi"/>
          <w:spacing w:val="-2"/>
          <w:sz w:val="20"/>
          <w:szCs w:val="20"/>
        </w:rPr>
        <w:t xml:space="preserve"> </w:t>
      </w:r>
      <w:r w:rsidRPr="000977F7">
        <w:rPr>
          <w:rFonts w:asciiTheme="majorHAnsi" w:hAnsiTheme="majorHAnsi"/>
          <w:sz w:val="20"/>
          <w:szCs w:val="20"/>
        </w:rPr>
        <w:t>точках</w:t>
      </w:r>
      <w:r w:rsidRPr="000977F7">
        <w:rPr>
          <w:rFonts w:asciiTheme="majorHAnsi" w:hAnsiTheme="majorHAnsi"/>
          <w:spacing w:val="-1"/>
          <w:sz w:val="20"/>
          <w:szCs w:val="20"/>
        </w:rPr>
        <w:t xml:space="preserve"> </w:t>
      </w:r>
      <w:r w:rsidRPr="000977F7">
        <w:rPr>
          <w:rFonts w:asciiTheme="majorHAnsi" w:hAnsiTheme="majorHAnsi"/>
          <w:sz w:val="20"/>
          <w:szCs w:val="20"/>
        </w:rPr>
        <w:t>сталі</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часі</w:t>
      </w:r>
    </w:p>
    <w:p w14:paraId="6783FE4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3011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DBFE90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УСТАЛЕНІ КОЛИВАННЯ; УСТАЛЕНА ВІБРАЦІЯ –</w:t>
      </w:r>
    </w:p>
    <w:p w14:paraId="565C751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STEADY</w:t>
      </w:r>
      <w:r w:rsidRPr="004D2D14">
        <w:rPr>
          <w:rFonts w:asciiTheme="majorHAnsi" w:hAnsiTheme="majorHAnsi"/>
          <w:spacing w:val="-3"/>
          <w:sz w:val="20"/>
          <w:szCs w:val="20"/>
          <w:lang w:val="uk-UA"/>
        </w:rPr>
        <w:t xml:space="preserve"> </w:t>
      </w:r>
      <w:r w:rsidRPr="000977F7">
        <w:rPr>
          <w:rFonts w:asciiTheme="majorHAnsi" w:hAnsiTheme="majorHAnsi"/>
          <w:sz w:val="20"/>
          <w:szCs w:val="20"/>
        </w:rPr>
        <w:t>STATE</w:t>
      </w:r>
      <w:r w:rsidRPr="004D2D14">
        <w:rPr>
          <w:rFonts w:asciiTheme="majorHAnsi" w:hAnsiTheme="majorHAnsi"/>
          <w:spacing w:val="-2"/>
          <w:sz w:val="20"/>
          <w:szCs w:val="20"/>
          <w:lang w:val="uk-UA"/>
        </w:rPr>
        <w:t xml:space="preserve"> </w:t>
      </w:r>
      <w:r w:rsidRPr="000977F7">
        <w:rPr>
          <w:rFonts w:asciiTheme="majorHAnsi" w:hAnsiTheme="majorHAnsi"/>
          <w:sz w:val="20"/>
          <w:szCs w:val="20"/>
        </w:rPr>
        <w:t>VIBRATION</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34048CE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Вимушені періодичні коливання, що встановлюються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 системі через деякий час від початку збудження 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зміни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коливань</w:t>
      </w:r>
    </w:p>
    <w:p w14:paraId="2D9E77C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2473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3366ACF2" w14:textId="77777777" w:rsidR="0097612F" w:rsidRPr="000977F7" w:rsidRDefault="0097612F" w:rsidP="000977F7">
      <w:pPr>
        <w:pStyle w:val="af6"/>
        <w:tabs>
          <w:tab w:val="left" w:pos="284"/>
        </w:tabs>
        <w:spacing w:after="0"/>
        <w:ind w:left="170"/>
        <w:mirrorIndents/>
        <w:jc w:val="both"/>
        <w:rPr>
          <w:rFonts w:asciiTheme="majorHAnsi" w:hAnsiTheme="majorHAnsi"/>
          <w:spacing w:val="-2"/>
          <w:sz w:val="20"/>
          <w:szCs w:val="20"/>
        </w:rPr>
      </w:pPr>
      <w:r w:rsidRPr="000977F7">
        <w:rPr>
          <w:rFonts w:asciiTheme="majorHAnsi" w:hAnsiTheme="majorHAnsi"/>
          <w:spacing w:val="-2"/>
          <w:sz w:val="20"/>
          <w:szCs w:val="20"/>
        </w:rPr>
        <w:t>Вимушена періодична вібрація, яка встановлюється в системі через певний час після початку її збудження або його зміни</w:t>
      </w:r>
    </w:p>
    <w:p w14:paraId="05057F9B"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2300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3EFD1FE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УСТАНОВЛЕНА</w:t>
      </w:r>
      <w:r w:rsidRPr="000977F7">
        <w:rPr>
          <w:color w:val="auto"/>
          <w:spacing w:val="-4"/>
          <w:sz w:val="20"/>
          <w:szCs w:val="20"/>
        </w:rPr>
        <w:t xml:space="preserve"> </w:t>
      </w:r>
      <w:r w:rsidRPr="000977F7">
        <w:rPr>
          <w:color w:val="auto"/>
          <w:sz w:val="20"/>
          <w:szCs w:val="20"/>
        </w:rPr>
        <w:t>ВИМОГА -</w:t>
      </w:r>
    </w:p>
    <w:p w14:paraId="0FBE669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SPECIFIED</w:t>
      </w:r>
      <w:r w:rsidRPr="000977F7">
        <w:rPr>
          <w:rFonts w:asciiTheme="majorHAnsi" w:hAnsiTheme="majorHAnsi"/>
          <w:spacing w:val="-4"/>
          <w:sz w:val="20"/>
          <w:szCs w:val="20"/>
        </w:rPr>
        <w:t xml:space="preserve"> </w:t>
      </w:r>
      <w:r w:rsidRPr="000977F7">
        <w:rPr>
          <w:rFonts w:asciiTheme="majorHAnsi" w:hAnsiTheme="majorHAnsi"/>
          <w:sz w:val="20"/>
          <w:szCs w:val="20"/>
        </w:rPr>
        <w:t>REQUREMENT -</w:t>
      </w:r>
    </w:p>
    <w:p w14:paraId="1671AD9B"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Заявлена потреба чи очікування</w:t>
      </w:r>
      <w:r w:rsidRPr="000977F7">
        <w:rPr>
          <w:rFonts w:asciiTheme="majorHAnsi" w:hAnsiTheme="majorHAnsi"/>
          <w:spacing w:val="-47"/>
          <w:sz w:val="20"/>
          <w:szCs w:val="20"/>
        </w:rPr>
        <w:t xml:space="preserve"> </w:t>
      </w:r>
    </w:p>
    <w:p w14:paraId="221DE07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F39D2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Встановлені вимоги може бути зафіксовано в нормативних</w:t>
      </w:r>
      <w:r w:rsidRPr="000977F7">
        <w:rPr>
          <w:rFonts w:asciiTheme="majorHAnsi" w:hAnsiTheme="majorHAnsi"/>
          <w:spacing w:val="-4"/>
          <w:sz w:val="20"/>
          <w:szCs w:val="20"/>
        </w:rPr>
        <w:t xml:space="preserve"> </w:t>
      </w:r>
      <w:r w:rsidRPr="000977F7">
        <w:rPr>
          <w:rFonts w:asciiTheme="majorHAnsi" w:hAnsiTheme="majorHAnsi"/>
          <w:sz w:val="20"/>
          <w:szCs w:val="20"/>
        </w:rPr>
        <w:t>документах,</w:t>
      </w:r>
      <w:r w:rsidRPr="000977F7">
        <w:rPr>
          <w:rFonts w:asciiTheme="majorHAnsi" w:hAnsiTheme="majorHAnsi"/>
          <w:spacing w:val="-3"/>
          <w:sz w:val="20"/>
          <w:szCs w:val="20"/>
        </w:rPr>
        <w:t xml:space="preserve"> </w:t>
      </w:r>
      <w:r w:rsidRPr="000977F7">
        <w:rPr>
          <w:rFonts w:asciiTheme="majorHAnsi" w:hAnsiTheme="majorHAnsi"/>
          <w:sz w:val="20"/>
          <w:szCs w:val="20"/>
        </w:rPr>
        <w:t>таких</w:t>
      </w:r>
      <w:r w:rsidRPr="000977F7">
        <w:rPr>
          <w:rFonts w:asciiTheme="majorHAnsi" w:hAnsiTheme="majorHAnsi"/>
          <w:spacing w:val="-4"/>
          <w:sz w:val="20"/>
          <w:szCs w:val="20"/>
        </w:rPr>
        <w:t xml:space="preserve"> </w:t>
      </w:r>
      <w:r w:rsidRPr="000977F7">
        <w:rPr>
          <w:rFonts w:asciiTheme="majorHAnsi" w:hAnsiTheme="majorHAnsi"/>
          <w:sz w:val="20"/>
          <w:szCs w:val="20"/>
        </w:rPr>
        <w:t>як</w:t>
      </w:r>
      <w:r w:rsidRPr="000977F7">
        <w:rPr>
          <w:rFonts w:asciiTheme="majorHAnsi" w:hAnsiTheme="majorHAnsi"/>
          <w:spacing w:val="-3"/>
          <w:sz w:val="20"/>
          <w:szCs w:val="20"/>
        </w:rPr>
        <w:t xml:space="preserve"> </w:t>
      </w:r>
      <w:r w:rsidRPr="000977F7">
        <w:rPr>
          <w:rFonts w:asciiTheme="majorHAnsi" w:hAnsiTheme="majorHAnsi"/>
          <w:sz w:val="20"/>
          <w:szCs w:val="20"/>
        </w:rPr>
        <w:t>регламенти,</w:t>
      </w:r>
      <w:r w:rsidRPr="000977F7">
        <w:rPr>
          <w:rFonts w:asciiTheme="majorHAnsi" w:hAnsiTheme="majorHAnsi"/>
          <w:spacing w:val="-2"/>
          <w:sz w:val="20"/>
          <w:szCs w:val="20"/>
        </w:rPr>
        <w:t xml:space="preserve"> </w:t>
      </w:r>
      <w:r w:rsidRPr="000977F7">
        <w:rPr>
          <w:rFonts w:asciiTheme="majorHAnsi" w:hAnsiTheme="majorHAnsi"/>
          <w:sz w:val="20"/>
          <w:szCs w:val="20"/>
        </w:rPr>
        <w:t>стандарти</w:t>
      </w:r>
      <w:r w:rsidRPr="000977F7">
        <w:rPr>
          <w:rFonts w:asciiTheme="majorHAnsi" w:hAnsiTheme="majorHAnsi"/>
          <w:spacing w:val="-4"/>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технічні</w:t>
      </w:r>
      <w:r w:rsidRPr="000977F7">
        <w:rPr>
          <w:rFonts w:asciiTheme="majorHAnsi" w:hAnsiTheme="majorHAnsi"/>
          <w:spacing w:val="1"/>
          <w:sz w:val="20"/>
          <w:szCs w:val="20"/>
        </w:rPr>
        <w:t xml:space="preserve"> </w:t>
      </w:r>
      <w:r w:rsidRPr="000977F7">
        <w:rPr>
          <w:rFonts w:asciiTheme="majorHAnsi" w:hAnsiTheme="majorHAnsi"/>
          <w:sz w:val="20"/>
          <w:szCs w:val="20"/>
        </w:rPr>
        <w:t>умови</w:t>
      </w:r>
    </w:p>
    <w:p w14:paraId="1846E631"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ISO/IEC 17000:2007</w:t>
      </w:r>
    </w:p>
    <w:p w14:paraId="72F99B1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УСТАНОВЛЕНЕ БЕЗВІДМОВНЕ </w:t>
      </w:r>
    </w:p>
    <w:p w14:paraId="6CBF075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НАПРАЦЮВАННЯ (ВСТАНОВЛЕНИЙ РЕСУРС, ВСТАНОВЛЕНИЙ ТЕРМІН СЛУЖБИ) ТЕХНОЛОГІЧНО</w:t>
      </w:r>
      <w:r w:rsidRPr="000977F7">
        <w:rPr>
          <w:color w:val="auto"/>
          <w:spacing w:val="-48"/>
          <w:sz w:val="20"/>
          <w:szCs w:val="20"/>
        </w:rPr>
        <w:t xml:space="preserve"> </w:t>
      </w:r>
      <w:r w:rsidRPr="000977F7">
        <w:rPr>
          <w:color w:val="auto"/>
          <w:sz w:val="20"/>
          <w:szCs w:val="20"/>
        </w:rPr>
        <w:t>ГО КОМПЛЕКСУ</w:t>
      </w:r>
      <w:r w:rsidRPr="000977F7">
        <w:rPr>
          <w:color w:val="auto"/>
          <w:spacing w:val="1"/>
          <w:sz w:val="20"/>
          <w:szCs w:val="20"/>
        </w:rPr>
        <w:t xml:space="preserve"> </w:t>
      </w:r>
      <w:r w:rsidRPr="000977F7">
        <w:rPr>
          <w:color w:val="auto"/>
          <w:sz w:val="20"/>
          <w:szCs w:val="20"/>
        </w:rPr>
        <w:t>–</w:t>
      </w:r>
    </w:p>
    <w:p w14:paraId="778A3E2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SPECIFIED NO-FAILURE OPERATING TIME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(SERVICE LIFE, LIFETIME) OF TECHNOLOGICAL</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COMPLEX –</w:t>
      </w:r>
    </w:p>
    <w:p w14:paraId="0D7EF6A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Гама</w:t>
      </w:r>
      <w:r w:rsidRPr="000977F7">
        <w:rPr>
          <w:rFonts w:asciiTheme="majorHAnsi" w:hAnsiTheme="majorHAnsi"/>
          <w:spacing w:val="16"/>
          <w:sz w:val="20"/>
          <w:szCs w:val="20"/>
        </w:rPr>
        <w:t xml:space="preserve"> </w:t>
      </w:r>
      <w:r w:rsidRPr="000977F7">
        <w:rPr>
          <w:rFonts w:asciiTheme="majorHAnsi" w:hAnsiTheme="majorHAnsi"/>
          <w:sz w:val="20"/>
          <w:szCs w:val="20"/>
        </w:rPr>
        <w:t>–</w:t>
      </w:r>
      <w:r w:rsidRPr="000977F7">
        <w:rPr>
          <w:rFonts w:asciiTheme="majorHAnsi" w:hAnsiTheme="majorHAnsi"/>
          <w:spacing w:val="16"/>
          <w:sz w:val="20"/>
          <w:szCs w:val="20"/>
        </w:rPr>
        <w:t xml:space="preserve"> </w:t>
      </w:r>
      <w:r w:rsidRPr="000977F7">
        <w:rPr>
          <w:rFonts w:asciiTheme="majorHAnsi" w:hAnsiTheme="majorHAnsi"/>
          <w:sz w:val="20"/>
          <w:szCs w:val="20"/>
        </w:rPr>
        <w:t>відсоткове</w:t>
      </w:r>
      <w:r w:rsidRPr="000977F7">
        <w:rPr>
          <w:rFonts w:asciiTheme="majorHAnsi" w:hAnsiTheme="majorHAnsi"/>
          <w:spacing w:val="15"/>
          <w:sz w:val="20"/>
          <w:szCs w:val="20"/>
        </w:rPr>
        <w:t xml:space="preserve"> </w:t>
      </w:r>
      <w:r w:rsidRPr="000977F7">
        <w:rPr>
          <w:rFonts w:asciiTheme="majorHAnsi" w:hAnsiTheme="majorHAnsi"/>
          <w:sz w:val="20"/>
          <w:szCs w:val="20"/>
        </w:rPr>
        <w:t>напрацювання</w:t>
      </w:r>
      <w:r w:rsidRPr="000977F7">
        <w:rPr>
          <w:rFonts w:asciiTheme="majorHAnsi" w:hAnsiTheme="majorHAnsi"/>
          <w:spacing w:val="15"/>
          <w:sz w:val="20"/>
          <w:szCs w:val="20"/>
        </w:rPr>
        <w:t xml:space="preserve"> </w:t>
      </w:r>
      <w:r w:rsidRPr="000977F7">
        <w:rPr>
          <w:rFonts w:asciiTheme="majorHAnsi" w:hAnsiTheme="majorHAnsi"/>
          <w:sz w:val="20"/>
          <w:szCs w:val="20"/>
        </w:rPr>
        <w:t>(ресурс,</w:t>
      </w:r>
      <w:r w:rsidRPr="000977F7">
        <w:rPr>
          <w:rFonts w:asciiTheme="majorHAnsi" w:hAnsiTheme="majorHAnsi"/>
          <w:spacing w:val="16"/>
          <w:sz w:val="20"/>
          <w:szCs w:val="20"/>
        </w:rPr>
        <w:t xml:space="preserve"> </w:t>
      </w:r>
      <w:r w:rsidRPr="000977F7">
        <w:rPr>
          <w:rFonts w:asciiTheme="majorHAnsi" w:hAnsiTheme="majorHAnsi"/>
          <w:sz w:val="20"/>
          <w:szCs w:val="20"/>
        </w:rPr>
        <w:t>термін</w:t>
      </w:r>
      <w:r w:rsidRPr="000977F7">
        <w:rPr>
          <w:rFonts w:asciiTheme="majorHAnsi" w:hAnsiTheme="majorHAnsi"/>
          <w:spacing w:val="15"/>
          <w:sz w:val="20"/>
          <w:szCs w:val="20"/>
        </w:rPr>
        <w:t xml:space="preserve"> </w:t>
      </w:r>
      <w:r w:rsidRPr="000977F7">
        <w:rPr>
          <w:rFonts w:asciiTheme="majorHAnsi" w:hAnsiTheme="majorHAnsi"/>
          <w:sz w:val="20"/>
          <w:szCs w:val="20"/>
        </w:rPr>
        <w:t>служби)</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2"/>
          <w:sz w:val="20"/>
          <w:szCs w:val="20"/>
        </w:rPr>
        <w:t xml:space="preserve"> </w:t>
      </w:r>
      <w:r w:rsidRPr="000977F7">
        <w:rPr>
          <w:rFonts w:asciiTheme="majorHAnsi" w:hAnsiTheme="majorHAnsi"/>
          <w:sz w:val="20"/>
          <w:szCs w:val="20"/>
        </w:rPr>
        <w:t>системи</w:t>
      </w:r>
      <w:r w:rsidRPr="000977F7">
        <w:rPr>
          <w:rFonts w:asciiTheme="majorHAnsi" w:hAnsiTheme="majorHAnsi"/>
          <w:spacing w:val="-2"/>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гама=100%</w:t>
      </w:r>
    </w:p>
    <w:p w14:paraId="5AC9E73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УСТАНОВЛЕННЯ</w:t>
      </w:r>
      <w:r w:rsidRPr="000977F7">
        <w:rPr>
          <w:color w:val="auto"/>
          <w:spacing w:val="-3"/>
          <w:sz w:val="20"/>
          <w:szCs w:val="20"/>
        </w:rPr>
        <w:t xml:space="preserve"> </w:t>
      </w:r>
      <w:r w:rsidRPr="000977F7">
        <w:rPr>
          <w:color w:val="auto"/>
          <w:sz w:val="20"/>
          <w:szCs w:val="20"/>
        </w:rPr>
        <w:t>–</w:t>
      </w:r>
    </w:p>
    <w:p w14:paraId="0EB92FA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технологічної операції, яку виконують</w:t>
      </w:r>
      <w:r w:rsidRPr="000977F7">
        <w:rPr>
          <w:rFonts w:asciiTheme="majorHAnsi" w:hAnsiTheme="majorHAnsi"/>
          <w:spacing w:val="1"/>
          <w:sz w:val="20"/>
          <w:szCs w:val="20"/>
        </w:rPr>
        <w:t xml:space="preserve"> </w:t>
      </w:r>
      <w:r w:rsidRPr="000977F7">
        <w:rPr>
          <w:rFonts w:asciiTheme="majorHAnsi" w:hAnsiTheme="majorHAnsi"/>
          <w:sz w:val="20"/>
          <w:szCs w:val="20"/>
        </w:rPr>
        <w:t>при</w:t>
      </w:r>
      <w:r w:rsidRPr="000977F7">
        <w:rPr>
          <w:rFonts w:asciiTheme="majorHAnsi" w:hAnsiTheme="majorHAnsi"/>
          <w:spacing w:val="1"/>
          <w:sz w:val="20"/>
          <w:szCs w:val="20"/>
        </w:rPr>
        <w:t xml:space="preserve"> </w:t>
      </w:r>
      <w:r w:rsidRPr="000977F7">
        <w:rPr>
          <w:rFonts w:asciiTheme="majorHAnsi" w:hAnsiTheme="majorHAnsi"/>
          <w:sz w:val="20"/>
          <w:szCs w:val="20"/>
        </w:rPr>
        <w:t>незмінному закріпленні</w:t>
      </w:r>
      <w:r w:rsidRPr="000977F7">
        <w:rPr>
          <w:rFonts w:asciiTheme="majorHAnsi" w:hAnsiTheme="majorHAnsi"/>
          <w:spacing w:val="1"/>
          <w:sz w:val="20"/>
          <w:szCs w:val="20"/>
        </w:rPr>
        <w:t xml:space="preserve"> </w:t>
      </w:r>
      <w:r w:rsidRPr="000977F7">
        <w:rPr>
          <w:rFonts w:asciiTheme="majorHAnsi" w:hAnsiTheme="majorHAnsi"/>
          <w:sz w:val="20"/>
          <w:szCs w:val="20"/>
        </w:rPr>
        <w:t>оброблюваних</w:t>
      </w:r>
      <w:r w:rsidRPr="000977F7">
        <w:rPr>
          <w:rFonts w:asciiTheme="majorHAnsi" w:hAnsiTheme="majorHAnsi"/>
          <w:spacing w:val="1"/>
          <w:sz w:val="20"/>
          <w:szCs w:val="20"/>
        </w:rPr>
        <w:t xml:space="preserve"> </w:t>
      </w:r>
      <w:r w:rsidRPr="000977F7">
        <w:rPr>
          <w:rFonts w:asciiTheme="majorHAnsi" w:hAnsiTheme="majorHAnsi"/>
          <w:sz w:val="20"/>
          <w:szCs w:val="20"/>
        </w:rPr>
        <w:t>заготовок</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складальної</w:t>
      </w:r>
      <w:r w:rsidRPr="000977F7">
        <w:rPr>
          <w:rFonts w:asciiTheme="majorHAnsi" w:hAnsiTheme="majorHAnsi"/>
          <w:spacing w:val="-2"/>
          <w:sz w:val="20"/>
          <w:szCs w:val="20"/>
        </w:rPr>
        <w:t xml:space="preserve"> </w:t>
      </w:r>
      <w:r w:rsidRPr="000977F7">
        <w:rPr>
          <w:rFonts w:asciiTheme="majorHAnsi" w:hAnsiTheme="majorHAnsi"/>
          <w:sz w:val="20"/>
          <w:szCs w:val="20"/>
        </w:rPr>
        <w:t>одиниці</w:t>
      </w:r>
    </w:p>
    <w:p w14:paraId="71661CB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75688CC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УСТАНОВЧА</w:t>
      </w:r>
      <w:r w:rsidRPr="000977F7">
        <w:rPr>
          <w:color w:val="auto"/>
          <w:spacing w:val="-4"/>
          <w:sz w:val="20"/>
          <w:szCs w:val="20"/>
        </w:rPr>
        <w:t xml:space="preserve"> </w:t>
      </w:r>
      <w:r w:rsidRPr="000977F7">
        <w:rPr>
          <w:color w:val="auto"/>
          <w:sz w:val="20"/>
          <w:szCs w:val="20"/>
        </w:rPr>
        <w:t>РЕМОНТНА</w:t>
      </w:r>
      <w:r w:rsidRPr="000977F7">
        <w:rPr>
          <w:color w:val="auto"/>
          <w:spacing w:val="-3"/>
          <w:sz w:val="20"/>
          <w:szCs w:val="20"/>
        </w:rPr>
        <w:t xml:space="preserve"> </w:t>
      </w:r>
      <w:r w:rsidRPr="000977F7">
        <w:rPr>
          <w:color w:val="auto"/>
          <w:sz w:val="20"/>
          <w:szCs w:val="20"/>
        </w:rPr>
        <w:t>СЕРІЯ</w:t>
      </w:r>
      <w:r w:rsidRPr="000977F7">
        <w:rPr>
          <w:color w:val="auto"/>
          <w:spacing w:val="-1"/>
          <w:sz w:val="20"/>
          <w:szCs w:val="20"/>
        </w:rPr>
        <w:t xml:space="preserve"> </w:t>
      </w:r>
      <w:r w:rsidRPr="000977F7">
        <w:rPr>
          <w:color w:val="auto"/>
          <w:sz w:val="20"/>
          <w:szCs w:val="20"/>
        </w:rPr>
        <w:t>–</w:t>
      </w:r>
    </w:p>
    <w:p w14:paraId="46ED37C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Партія</w:t>
      </w:r>
      <w:r w:rsidRPr="000977F7">
        <w:rPr>
          <w:rFonts w:asciiTheme="majorHAnsi" w:hAnsiTheme="majorHAnsi"/>
          <w:spacing w:val="1"/>
          <w:sz w:val="20"/>
          <w:szCs w:val="20"/>
        </w:rPr>
        <w:t xml:space="preserve"> </w:t>
      </w:r>
      <w:r w:rsidRPr="000977F7">
        <w:rPr>
          <w:rFonts w:asciiTheme="majorHAnsi" w:hAnsiTheme="majorHAnsi"/>
          <w:sz w:val="20"/>
          <w:szCs w:val="20"/>
        </w:rPr>
        <w:t>виробів,</w:t>
      </w:r>
      <w:r w:rsidRPr="000977F7">
        <w:rPr>
          <w:rFonts w:asciiTheme="majorHAnsi" w:hAnsiTheme="majorHAnsi"/>
          <w:spacing w:val="1"/>
          <w:sz w:val="20"/>
          <w:szCs w:val="20"/>
        </w:rPr>
        <w:t xml:space="preserve"> </w:t>
      </w:r>
      <w:r w:rsidRPr="000977F7">
        <w:rPr>
          <w:rFonts w:asciiTheme="majorHAnsi" w:hAnsiTheme="majorHAnsi"/>
          <w:sz w:val="20"/>
          <w:szCs w:val="20"/>
        </w:rPr>
        <w:t>відремонтованих</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технологічною</w:t>
      </w:r>
      <w:r w:rsidRPr="000977F7">
        <w:rPr>
          <w:rFonts w:asciiTheme="majorHAnsi" w:hAnsiTheme="majorHAnsi"/>
          <w:spacing w:val="1"/>
          <w:sz w:val="20"/>
          <w:szCs w:val="20"/>
        </w:rPr>
        <w:t xml:space="preserve"> </w:t>
      </w:r>
      <w:r w:rsidRPr="000977F7">
        <w:rPr>
          <w:rFonts w:asciiTheme="majorHAnsi" w:hAnsiTheme="majorHAnsi"/>
          <w:sz w:val="20"/>
          <w:szCs w:val="20"/>
        </w:rPr>
        <w:t>документацією серійного ремонту в період освоєння</w:t>
      </w:r>
      <w:r w:rsidRPr="000977F7">
        <w:rPr>
          <w:rFonts w:asciiTheme="majorHAnsi" w:hAnsiTheme="majorHAnsi"/>
          <w:spacing w:val="1"/>
          <w:sz w:val="20"/>
          <w:szCs w:val="20"/>
        </w:rPr>
        <w:t xml:space="preserve"> </w:t>
      </w:r>
      <w:r w:rsidRPr="000977F7">
        <w:rPr>
          <w:rFonts w:asciiTheme="majorHAnsi" w:hAnsiTheme="majorHAnsi"/>
          <w:sz w:val="20"/>
          <w:szCs w:val="20"/>
        </w:rPr>
        <w:t>спеціалізованого ремонтного виробництва з установленими</w:t>
      </w:r>
      <w:r w:rsidRPr="000977F7">
        <w:rPr>
          <w:rFonts w:asciiTheme="majorHAnsi" w:hAnsiTheme="majorHAnsi"/>
          <w:spacing w:val="-2"/>
          <w:sz w:val="20"/>
          <w:szCs w:val="20"/>
        </w:rPr>
        <w:t xml:space="preserve"> </w:t>
      </w:r>
      <w:r w:rsidRPr="000977F7">
        <w:rPr>
          <w:rFonts w:asciiTheme="majorHAnsi" w:hAnsiTheme="majorHAnsi"/>
          <w:sz w:val="20"/>
          <w:szCs w:val="20"/>
        </w:rPr>
        <w:t>вимогами</w:t>
      </w:r>
      <w:r w:rsidRPr="000977F7">
        <w:rPr>
          <w:rFonts w:asciiTheme="majorHAnsi" w:hAnsiTheme="majorHAnsi"/>
          <w:spacing w:val="-2"/>
          <w:sz w:val="20"/>
          <w:szCs w:val="20"/>
        </w:rPr>
        <w:t xml:space="preserve"> </w:t>
      </w:r>
      <w:r w:rsidRPr="000977F7">
        <w:rPr>
          <w:rFonts w:asciiTheme="majorHAnsi" w:hAnsiTheme="majorHAnsi"/>
          <w:sz w:val="20"/>
          <w:szCs w:val="20"/>
        </w:rPr>
        <w:t>до</w:t>
      </w:r>
      <w:r w:rsidRPr="000977F7">
        <w:rPr>
          <w:rFonts w:asciiTheme="majorHAnsi" w:hAnsiTheme="majorHAnsi"/>
          <w:spacing w:val="-2"/>
          <w:sz w:val="20"/>
          <w:szCs w:val="20"/>
        </w:rPr>
        <w:t xml:space="preserve"> </w:t>
      </w:r>
      <w:r w:rsidRPr="000977F7">
        <w:rPr>
          <w:rFonts w:asciiTheme="majorHAnsi" w:hAnsiTheme="majorHAnsi"/>
          <w:sz w:val="20"/>
          <w:szCs w:val="20"/>
        </w:rPr>
        <w:t>відремонтованого виробу</w:t>
      </w:r>
    </w:p>
    <w:p w14:paraId="1582DCB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УСТАНОВЧА</w:t>
      </w:r>
      <w:r w:rsidRPr="000977F7">
        <w:rPr>
          <w:color w:val="auto"/>
          <w:spacing w:val="-3"/>
          <w:sz w:val="20"/>
          <w:szCs w:val="20"/>
        </w:rPr>
        <w:t xml:space="preserve"> </w:t>
      </w:r>
      <w:r w:rsidRPr="000977F7">
        <w:rPr>
          <w:color w:val="auto"/>
          <w:sz w:val="20"/>
          <w:szCs w:val="20"/>
        </w:rPr>
        <w:t>СЕРІЯ</w:t>
      </w:r>
      <w:r w:rsidRPr="000977F7">
        <w:rPr>
          <w:color w:val="auto"/>
          <w:spacing w:val="-3"/>
          <w:sz w:val="20"/>
          <w:szCs w:val="20"/>
        </w:rPr>
        <w:t xml:space="preserve"> </w:t>
      </w:r>
      <w:r w:rsidRPr="000977F7">
        <w:rPr>
          <w:color w:val="auto"/>
          <w:sz w:val="20"/>
          <w:szCs w:val="20"/>
        </w:rPr>
        <w:t>ПРОДУКЦІЇ</w:t>
      </w:r>
      <w:r w:rsidRPr="000977F7">
        <w:rPr>
          <w:color w:val="auto"/>
          <w:spacing w:val="-4"/>
          <w:sz w:val="20"/>
          <w:szCs w:val="20"/>
        </w:rPr>
        <w:t xml:space="preserve"> </w:t>
      </w:r>
      <w:r w:rsidRPr="000977F7">
        <w:rPr>
          <w:color w:val="auto"/>
          <w:sz w:val="20"/>
          <w:szCs w:val="20"/>
        </w:rPr>
        <w:t>–</w:t>
      </w:r>
    </w:p>
    <w:p w14:paraId="585AFEA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Перша партія продукції, виготовлена в період освоєння виробництва за робочою документацією серійного</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p>
    <w:p w14:paraId="35E804C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210C951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УСТАТКУВАННЯ -</w:t>
      </w:r>
    </w:p>
    <w:p w14:paraId="7AC0A024"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 xml:space="preserve">Змінне обладнання </w:t>
      </w:r>
      <w:r w:rsidRPr="000977F7">
        <w:rPr>
          <w:color w:val="auto"/>
          <w:sz w:val="20"/>
          <w:szCs w:val="20"/>
        </w:rPr>
        <w:t xml:space="preserve">– </w:t>
      </w:r>
      <w:r w:rsidRPr="000977F7">
        <w:rPr>
          <w:b w:val="0"/>
          <w:bCs/>
          <w:color w:val="auto"/>
          <w:sz w:val="20"/>
          <w:szCs w:val="20"/>
        </w:rPr>
        <w:t>обладнання, яке після введення в експлуатацію машини (трактора) приєднує до такої машини (трактора) безпосередньо оператор для зміни її функцій або надання нової функції, за умови, що це обладнання не є запасною частиною чи інструментом; знімні механічні пристрої трансмісії знімні компоненти для передачі потужності від самохідної машини або трактора до іншої машини шляхом приєднання їх до валів відбирання та приймання потужності. У разі введення в обіг разом з огорожею вони повинні розглядатися як один виріб;</w:t>
      </w:r>
    </w:p>
    <w:p w14:paraId="4ACC90E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ланцюги, канати та текстильні стрічки ланцюги, канати та текстильні стрічки, вироблені та призначені для підйомних робіт як частини підіймальних машин або піднімального приладдя;</w:t>
      </w:r>
    </w:p>
    <w:p w14:paraId="24DF78E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піднімальне приладдя компоненти або обладнання, що не є частинами підіймальної машини, але дають змогу утримувати вантаж, розміщуються між машиною і вантажем чи на самому вантажі, або є невід’ємною частиною вантажу та самостійно вводяться в обіг, зокрема стропи та їх компоненти є піднімальним приладдям;</w:t>
      </w:r>
    </w:p>
    <w:p w14:paraId="2C2F373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пристрій безпеки компонент, який:</w:t>
      </w:r>
    </w:p>
    <w:p w14:paraId="2A6579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призначений для виконання функції безпеки;</w:t>
      </w:r>
    </w:p>
    <w:p w14:paraId="11E81D1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незалежно від машини вводять в обіг;</w:t>
      </w:r>
    </w:p>
    <w:p w14:paraId="10B069E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загрожує безпеці людей у разі збою та/або неналежного функціонування;</w:t>
      </w:r>
    </w:p>
    <w:p w14:paraId="5ADB6A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 є необхідним для функціонування машини або якщо цей компонент може бути замінений звичайним компонентом для забезпечення функціонування машини.</w:t>
      </w:r>
    </w:p>
    <w:p w14:paraId="2E7F87B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Для всіх машин та устаткування, на які поширюються вимоги та процедури цього Технічного регламенту, надалі використовується термін “машина”</w:t>
      </w:r>
    </w:p>
    <w:p w14:paraId="6D85D336"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Технічний регламент безпеки машин</w:t>
      </w:r>
    </w:p>
    <w:p w14:paraId="4204C21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УСУВНИЙ</w:t>
      </w:r>
      <w:r w:rsidRPr="000977F7">
        <w:rPr>
          <w:color w:val="auto"/>
          <w:spacing w:val="-2"/>
          <w:sz w:val="20"/>
          <w:szCs w:val="20"/>
        </w:rPr>
        <w:t xml:space="preserve"> </w:t>
      </w:r>
      <w:r w:rsidRPr="000977F7">
        <w:rPr>
          <w:color w:val="auto"/>
          <w:sz w:val="20"/>
          <w:szCs w:val="20"/>
        </w:rPr>
        <w:t>ДЕФЕКТ</w:t>
      </w:r>
      <w:r w:rsidRPr="000977F7">
        <w:rPr>
          <w:color w:val="auto"/>
          <w:spacing w:val="-1"/>
          <w:sz w:val="20"/>
          <w:szCs w:val="20"/>
        </w:rPr>
        <w:t xml:space="preserve"> </w:t>
      </w:r>
      <w:r w:rsidRPr="000977F7">
        <w:rPr>
          <w:color w:val="auto"/>
          <w:sz w:val="20"/>
          <w:szCs w:val="20"/>
        </w:rPr>
        <w:t>–</w:t>
      </w:r>
    </w:p>
    <w:p w14:paraId="4B97CA5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Дефект, усунення якого технічно можливе і економічно доцільне</w:t>
      </w:r>
    </w:p>
    <w:p w14:paraId="193A7CD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УСУНЕННЯ</w:t>
      </w:r>
      <w:r w:rsidRPr="000977F7">
        <w:rPr>
          <w:color w:val="auto"/>
          <w:spacing w:val="-5"/>
          <w:sz w:val="20"/>
          <w:szCs w:val="20"/>
        </w:rPr>
        <w:t xml:space="preserve"> </w:t>
      </w:r>
      <w:r w:rsidRPr="000977F7">
        <w:rPr>
          <w:color w:val="auto"/>
          <w:sz w:val="20"/>
          <w:szCs w:val="20"/>
        </w:rPr>
        <w:t>НЕВІДПОВІДНОСТІ</w:t>
      </w:r>
      <w:r w:rsidRPr="000977F7">
        <w:rPr>
          <w:color w:val="auto"/>
          <w:spacing w:val="-2"/>
          <w:sz w:val="20"/>
          <w:szCs w:val="20"/>
        </w:rPr>
        <w:t xml:space="preserve"> </w:t>
      </w:r>
      <w:r w:rsidRPr="000977F7">
        <w:rPr>
          <w:color w:val="auto"/>
          <w:sz w:val="20"/>
          <w:szCs w:val="20"/>
        </w:rPr>
        <w:t>–</w:t>
      </w:r>
    </w:p>
    <w:p w14:paraId="73D3388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DISPOSITION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NONCONFORMITY –</w:t>
      </w:r>
    </w:p>
    <w:p w14:paraId="092BEA9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Дія</w:t>
      </w:r>
      <w:r w:rsidRPr="004D2D14">
        <w:rPr>
          <w:rFonts w:asciiTheme="majorHAnsi" w:hAnsiTheme="majorHAnsi"/>
          <w:sz w:val="20"/>
          <w:szCs w:val="20"/>
          <w:lang w:val="en-US"/>
        </w:rPr>
        <w:t>,</w:t>
      </w:r>
      <w:r w:rsidRPr="004D2D14">
        <w:rPr>
          <w:rFonts w:asciiTheme="majorHAnsi" w:hAnsiTheme="majorHAnsi"/>
          <w:spacing w:val="33"/>
          <w:sz w:val="20"/>
          <w:szCs w:val="20"/>
          <w:lang w:val="en-US"/>
        </w:rPr>
        <w:t xml:space="preserve"> </w:t>
      </w:r>
      <w:r w:rsidRPr="000977F7">
        <w:rPr>
          <w:rFonts w:asciiTheme="majorHAnsi" w:hAnsiTheme="majorHAnsi"/>
          <w:sz w:val="20"/>
          <w:szCs w:val="20"/>
        </w:rPr>
        <w:t>здійснювана</w:t>
      </w:r>
      <w:r w:rsidRPr="004D2D14">
        <w:rPr>
          <w:rFonts w:asciiTheme="majorHAnsi" w:hAnsiTheme="majorHAnsi"/>
          <w:spacing w:val="33"/>
          <w:sz w:val="20"/>
          <w:szCs w:val="20"/>
          <w:lang w:val="en-US"/>
        </w:rPr>
        <w:t xml:space="preserve"> </w:t>
      </w:r>
      <w:r w:rsidRPr="000977F7">
        <w:rPr>
          <w:rFonts w:asciiTheme="majorHAnsi" w:hAnsiTheme="majorHAnsi"/>
          <w:sz w:val="20"/>
          <w:szCs w:val="20"/>
        </w:rPr>
        <w:t>щодо</w:t>
      </w:r>
      <w:r w:rsidRPr="004D2D14">
        <w:rPr>
          <w:rFonts w:asciiTheme="majorHAnsi" w:hAnsiTheme="majorHAnsi"/>
          <w:spacing w:val="33"/>
          <w:sz w:val="20"/>
          <w:szCs w:val="20"/>
          <w:lang w:val="en-US"/>
        </w:rPr>
        <w:t xml:space="preserve"> </w:t>
      </w:r>
      <w:r w:rsidRPr="000977F7">
        <w:rPr>
          <w:rFonts w:asciiTheme="majorHAnsi" w:hAnsiTheme="majorHAnsi"/>
          <w:sz w:val="20"/>
          <w:szCs w:val="20"/>
        </w:rPr>
        <w:t>наявного</w:t>
      </w:r>
      <w:r w:rsidRPr="004D2D14">
        <w:rPr>
          <w:rFonts w:asciiTheme="majorHAnsi" w:hAnsiTheme="majorHAnsi"/>
          <w:spacing w:val="34"/>
          <w:sz w:val="20"/>
          <w:szCs w:val="20"/>
          <w:lang w:val="en-US"/>
        </w:rPr>
        <w:t xml:space="preserve"> </w:t>
      </w:r>
      <w:r w:rsidRPr="000977F7">
        <w:rPr>
          <w:rFonts w:asciiTheme="majorHAnsi" w:hAnsiTheme="majorHAnsi"/>
          <w:sz w:val="20"/>
          <w:szCs w:val="20"/>
        </w:rPr>
        <w:t>невідповідного</w:t>
      </w:r>
      <w:r w:rsidRPr="004D2D14">
        <w:rPr>
          <w:rFonts w:asciiTheme="majorHAnsi" w:hAnsiTheme="majorHAnsi"/>
          <w:spacing w:val="-47"/>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r w:rsidRPr="004D2D14">
        <w:rPr>
          <w:rFonts w:asciiTheme="majorHAnsi" w:hAnsiTheme="majorHAnsi"/>
          <w:spacing w:val="-2"/>
          <w:sz w:val="20"/>
          <w:szCs w:val="20"/>
          <w:lang w:val="en-US"/>
        </w:rPr>
        <w:t xml:space="preserve"> </w:t>
      </w:r>
      <w:r w:rsidRPr="000977F7">
        <w:rPr>
          <w:rFonts w:asciiTheme="majorHAnsi" w:hAnsiTheme="majorHAnsi"/>
          <w:sz w:val="20"/>
          <w:szCs w:val="20"/>
        </w:rPr>
        <w:t>з</w:t>
      </w:r>
      <w:r w:rsidRPr="004D2D14">
        <w:rPr>
          <w:rFonts w:asciiTheme="majorHAnsi" w:hAnsiTheme="majorHAnsi"/>
          <w:spacing w:val="-1"/>
          <w:sz w:val="20"/>
          <w:szCs w:val="20"/>
          <w:lang w:val="en-US"/>
        </w:rPr>
        <w:t xml:space="preserve"> </w:t>
      </w:r>
      <w:r w:rsidRPr="000977F7">
        <w:rPr>
          <w:rFonts w:asciiTheme="majorHAnsi" w:hAnsiTheme="majorHAnsi"/>
          <w:sz w:val="20"/>
          <w:szCs w:val="20"/>
        </w:rPr>
        <w:t>метою</w:t>
      </w:r>
      <w:r w:rsidRPr="004D2D14">
        <w:rPr>
          <w:rFonts w:asciiTheme="majorHAnsi" w:hAnsiTheme="majorHAnsi"/>
          <w:spacing w:val="1"/>
          <w:sz w:val="20"/>
          <w:szCs w:val="20"/>
          <w:lang w:val="en-US"/>
        </w:rPr>
        <w:t xml:space="preserve"> </w:t>
      </w:r>
      <w:r w:rsidRPr="000977F7">
        <w:rPr>
          <w:rFonts w:asciiTheme="majorHAnsi" w:hAnsiTheme="majorHAnsi"/>
          <w:sz w:val="20"/>
          <w:szCs w:val="20"/>
        </w:rPr>
        <w:t>усунення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невідповідності</w:t>
      </w:r>
    </w:p>
    <w:p w14:paraId="74D32CA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4659474"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Ця</w:t>
      </w:r>
      <w:r w:rsidRPr="000977F7">
        <w:rPr>
          <w:rFonts w:asciiTheme="majorHAnsi" w:hAnsiTheme="majorHAnsi"/>
          <w:spacing w:val="-4"/>
          <w:sz w:val="20"/>
          <w:szCs w:val="20"/>
        </w:rPr>
        <w:t xml:space="preserve"> </w:t>
      </w:r>
      <w:r w:rsidRPr="000977F7">
        <w:rPr>
          <w:rFonts w:asciiTheme="majorHAnsi" w:hAnsiTheme="majorHAnsi"/>
          <w:sz w:val="20"/>
          <w:szCs w:val="20"/>
        </w:rPr>
        <w:t>дія</w:t>
      </w:r>
      <w:r w:rsidRPr="000977F7">
        <w:rPr>
          <w:rFonts w:asciiTheme="majorHAnsi" w:hAnsiTheme="majorHAnsi"/>
          <w:spacing w:val="-6"/>
          <w:sz w:val="20"/>
          <w:szCs w:val="20"/>
        </w:rPr>
        <w:t xml:space="preserve"> </w:t>
      </w:r>
      <w:r w:rsidRPr="000977F7">
        <w:rPr>
          <w:rFonts w:asciiTheme="majorHAnsi" w:hAnsiTheme="majorHAnsi"/>
          <w:sz w:val="20"/>
          <w:szCs w:val="20"/>
        </w:rPr>
        <w:t>може</w:t>
      </w:r>
      <w:r w:rsidRPr="000977F7">
        <w:rPr>
          <w:rFonts w:asciiTheme="majorHAnsi" w:hAnsiTheme="majorHAnsi"/>
          <w:spacing w:val="-5"/>
          <w:sz w:val="20"/>
          <w:szCs w:val="20"/>
        </w:rPr>
        <w:t xml:space="preserve"> </w:t>
      </w:r>
      <w:r w:rsidRPr="000977F7">
        <w:rPr>
          <w:rFonts w:asciiTheme="majorHAnsi" w:hAnsiTheme="majorHAnsi"/>
          <w:sz w:val="20"/>
          <w:szCs w:val="20"/>
        </w:rPr>
        <w:t>здійснюватися</w:t>
      </w:r>
      <w:r w:rsidRPr="000977F7">
        <w:rPr>
          <w:rFonts w:asciiTheme="majorHAnsi" w:hAnsiTheme="majorHAnsi"/>
          <w:spacing w:val="-4"/>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вигляді,</w:t>
      </w:r>
      <w:r w:rsidRPr="000977F7">
        <w:rPr>
          <w:rFonts w:asciiTheme="majorHAnsi" w:hAnsiTheme="majorHAnsi"/>
          <w:spacing w:val="-3"/>
          <w:sz w:val="20"/>
          <w:szCs w:val="20"/>
        </w:rPr>
        <w:t xml:space="preserve"> </w:t>
      </w:r>
      <w:r w:rsidRPr="000977F7">
        <w:rPr>
          <w:rFonts w:asciiTheme="majorHAnsi" w:hAnsiTheme="majorHAnsi"/>
          <w:sz w:val="20"/>
          <w:szCs w:val="20"/>
        </w:rPr>
        <w:t>наприклад,</w:t>
      </w:r>
      <w:r w:rsidRPr="000977F7">
        <w:rPr>
          <w:rFonts w:asciiTheme="majorHAnsi" w:hAnsiTheme="majorHAnsi"/>
          <w:spacing w:val="-3"/>
          <w:sz w:val="20"/>
          <w:szCs w:val="20"/>
        </w:rPr>
        <w:t xml:space="preserve"> </w:t>
      </w:r>
      <w:r w:rsidRPr="000977F7">
        <w:rPr>
          <w:rFonts w:asciiTheme="majorHAnsi" w:hAnsiTheme="majorHAnsi"/>
          <w:sz w:val="20"/>
          <w:szCs w:val="20"/>
        </w:rPr>
        <w:t>такої</w:t>
      </w:r>
      <w:r w:rsidRPr="000977F7">
        <w:rPr>
          <w:rFonts w:asciiTheme="majorHAnsi" w:hAnsiTheme="majorHAnsi"/>
          <w:spacing w:val="-47"/>
          <w:sz w:val="20"/>
          <w:szCs w:val="20"/>
        </w:rPr>
        <w:t xml:space="preserve"> </w:t>
      </w:r>
      <w:r w:rsidRPr="000977F7">
        <w:rPr>
          <w:rFonts w:asciiTheme="majorHAnsi" w:hAnsiTheme="majorHAnsi"/>
          <w:sz w:val="20"/>
          <w:szCs w:val="20"/>
        </w:rPr>
        <w:t>корекції,</w:t>
      </w:r>
      <w:r w:rsidRPr="000977F7">
        <w:rPr>
          <w:rFonts w:asciiTheme="majorHAnsi" w:hAnsiTheme="majorHAnsi"/>
          <w:spacing w:val="35"/>
          <w:sz w:val="20"/>
          <w:szCs w:val="20"/>
        </w:rPr>
        <w:t xml:space="preserve"> </w:t>
      </w:r>
      <w:r w:rsidRPr="000977F7">
        <w:rPr>
          <w:rFonts w:asciiTheme="majorHAnsi" w:hAnsiTheme="majorHAnsi"/>
          <w:sz w:val="20"/>
          <w:szCs w:val="20"/>
        </w:rPr>
        <w:t>як</w:t>
      </w:r>
      <w:r w:rsidRPr="000977F7">
        <w:rPr>
          <w:rFonts w:asciiTheme="majorHAnsi" w:hAnsiTheme="majorHAnsi"/>
          <w:spacing w:val="34"/>
          <w:sz w:val="20"/>
          <w:szCs w:val="20"/>
        </w:rPr>
        <w:t xml:space="preserve"> </w:t>
      </w:r>
      <w:r w:rsidRPr="000977F7">
        <w:rPr>
          <w:rFonts w:asciiTheme="majorHAnsi" w:hAnsiTheme="majorHAnsi"/>
          <w:sz w:val="20"/>
          <w:szCs w:val="20"/>
        </w:rPr>
        <w:t>ремонт</w:t>
      </w:r>
      <w:r w:rsidRPr="000977F7">
        <w:rPr>
          <w:rFonts w:asciiTheme="majorHAnsi" w:hAnsiTheme="majorHAnsi"/>
          <w:spacing w:val="35"/>
          <w:sz w:val="20"/>
          <w:szCs w:val="20"/>
        </w:rPr>
        <w:t xml:space="preserve"> </w:t>
      </w:r>
      <w:r w:rsidRPr="000977F7">
        <w:rPr>
          <w:rFonts w:asciiTheme="majorHAnsi" w:hAnsiTheme="majorHAnsi"/>
          <w:sz w:val="20"/>
          <w:szCs w:val="20"/>
        </w:rPr>
        <w:t>чи</w:t>
      </w:r>
      <w:r w:rsidRPr="000977F7">
        <w:rPr>
          <w:rFonts w:asciiTheme="majorHAnsi" w:hAnsiTheme="majorHAnsi"/>
          <w:spacing w:val="34"/>
          <w:sz w:val="20"/>
          <w:szCs w:val="20"/>
        </w:rPr>
        <w:t xml:space="preserve"> </w:t>
      </w:r>
      <w:r w:rsidRPr="000977F7">
        <w:rPr>
          <w:rFonts w:asciiTheme="majorHAnsi" w:hAnsiTheme="majorHAnsi"/>
          <w:sz w:val="20"/>
          <w:szCs w:val="20"/>
        </w:rPr>
        <w:t>перероблення,</w:t>
      </w:r>
      <w:r w:rsidRPr="000977F7">
        <w:rPr>
          <w:rFonts w:asciiTheme="majorHAnsi" w:hAnsiTheme="majorHAnsi"/>
          <w:spacing w:val="38"/>
          <w:sz w:val="20"/>
          <w:szCs w:val="20"/>
        </w:rPr>
        <w:t xml:space="preserve"> </w:t>
      </w:r>
      <w:r w:rsidRPr="000977F7">
        <w:rPr>
          <w:rFonts w:asciiTheme="majorHAnsi" w:hAnsiTheme="majorHAnsi"/>
          <w:sz w:val="20"/>
          <w:szCs w:val="20"/>
        </w:rPr>
        <w:t>переведення</w:t>
      </w:r>
      <w:r w:rsidRPr="000977F7">
        <w:rPr>
          <w:rFonts w:asciiTheme="majorHAnsi" w:hAnsiTheme="majorHAnsi"/>
          <w:spacing w:val="36"/>
          <w:sz w:val="20"/>
          <w:szCs w:val="20"/>
        </w:rPr>
        <w:t xml:space="preserve"> </w:t>
      </w:r>
      <w:r w:rsidRPr="000977F7">
        <w:rPr>
          <w:rFonts w:asciiTheme="majorHAnsi" w:hAnsiTheme="majorHAnsi"/>
          <w:sz w:val="20"/>
          <w:szCs w:val="20"/>
        </w:rPr>
        <w:t>у</w:t>
      </w:r>
      <w:r w:rsidRPr="000977F7">
        <w:rPr>
          <w:rFonts w:asciiTheme="majorHAnsi" w:hAnsiTheme="majorHAnsi"/>
          <w:spacing w:val="-47"/>
          <w:sz w:val="20"/>
          <w:szCs w:val="20"/>
        </w:rPr>
        <w:t xml:space="preserve"> </w:t>
      </w:r>
      <w:r w:rsidRPr="000977F7">
        <w:rPr>
          <w:rFonts w:asciiTheme="majorHAnsi" w:hAnsiTheme="majorHAnsi"/>
          <w:sz w:val="20"/>
          <w:szCs w:val="20"/>
        </w:rPr>
        <w:t>нижчу</w:t>
      </w:r>
      <w:r w:rsidRPr="000977F7">
        <w:rPr>
          <w:rFonts w:asciiTheme="majorHAnsi" w:hAnsiTheme="majorHAnsi"/>
          <w:spacing w:val="14"/>
          <w:sz w:val="20"/>
          <w:szCs w:val="20"/>
        </w:rPr>
        <w:t xml:space="preserve"> </w:t>
      </w:r>
      <w:r w:rsidRPr="000977F7">
        <w:rPr>
          <w:rFonts w:asciiTheme="majorHAnsi" w:hAnsiTheme="majorHAnsi"/>
          <w:sz w:val="20"/>
          <w:szCs w:val="20"/>
        </w:rPr>
        <w:t>категорію,</w:t>
      </w:r>
      <w:r w:rsidRPr="000977F7">
        <w:rPr>
          <w:rFonts w:asciiTheme="majorHAnsi" w:hAnsiTheme="majorHAnsi"/>
          <w:spacing w:val="16"/>
          <w:sz w:val="20"/>
          <w:szCs w:val="20"/>
        </w:rPr>
        <w:t xml:space="preserve"> </w:t>
      </w:r>
      <w:r w:rsidRPr="000977F7">
        <w:rPr>
          <w:rFonts w:asciiTheme="majorHAnsi" w:hAnsiTheme="majorHAnsi"/>
          <w:sz w:val="20"/>
          <w:szCs w:val="20"/>
        </w:rPr>
        <w:t>перетворення</w:t>
      </w:r>
      <w:r w:rsidRPr="000977F7">
        <w:rPr>
          <w:rFonts w:asciiTheme="majorHAnsi" w:hAnsiTheme="majorHAnsi"/>
          <w:spacing w:val="15"/>
          <w:sz w:val="20"/>
          <w:szCs w:val="20"/>
        </w:rPr>
        <w:t xml:space="preserve"> </w:t>
      </w:r>
      <w:r w:rsidRPr="000977F7">
        <w:rPr>
          <w:rFonts w:asciiTheme="majorHAnsi" w:hAnsiTheme="majorHAnsi"/>
          <w:sz w:val="20"/>
          <w:szCs w:val="20"/>
        </w:rPr>
        <w:t>на</w:t>
      </w:r>
      <w:r w:rsidRPr="000977F7">
        <w:rPr>
          <w:rFonts w:asciiTheme="majorHAnsi" w:hAnsiTheme="majorHAnsi"/>
          <w:spacing w:val="18"/>
          <w:sz w:val="20"/>
          <w:szCs w:val="20"/>
        </w:rPr>
        <w:t xml:space="preserve"> </w:t>
      </w:r>
      <w:r w:rsidRPr="000977F7">
        <w:rPr>
          <w:rFonts w:asciiTheme="majorHAnsi" w:hAnsiTheme="majorHAnsi"/>
          <w:sz w:val="20"/>
          <w:szCs w:val="20"/>
        </w:rPr>
        <w:t>брухт,</w:t>
      </w:r>
      <w:r w:rsidRPr="000977F7">
        <w:rPr>
          <w:rFonts w:asciiTheme="majorHAnsi" w:hAnsiTheme="majorHAnsi"/>
          <w:spacing w:val="16"/>
          <w:sz w:val="20"/>
          <w:szCs w:val="20"/>
        </w:rPr>
        <w:t xml:space="preserve"> </w:t>
      </w:r>
      <w:r w:rsidRPr="000977F7">
        <w:rPr>
          <w:rFonts w:asciiTheme="majorHAnsi" w:hAnsiTheme="majorHAnsi"/>
          <w:sz w:val="20"/>
          <w:szCs w:val="20"/>
        </w:rPr>
        <w:t>відмову</w:t>
      </w:r>
      <w:r w:rsidRPr="000977F7">
        <w:rPr>
          <w:rFonts w:asciiTheme="majorHAnsi" w:hAnsiTheme="majorHAnsi"/>
          <w:spacing w:val="14"/>
          <w:sz w:val="20"/>
          <w:szCs w:val="20"/>
        </w:rPr>
        <w:t xml:space="preserve"> </w:t>
      </w:r>
      <w:r w:rsidRPr="000977F7">
        <w:rPr>
          <w:rFonts w:asciiTheme="majorHAnsi" w:hAnsiTheme="majorHAnsi"/>
          <w:sz w:val="20"/>
          <w:szCs w:val="20"/>
        </w:rPr>
        <w:t>від</w:t>
      </w:r>
      <w:r w:rsidRPr="000977F7">
        <w:rPr>
          <w:rFonts w:asciiTheme="majorHAnsi" w:hAnsiTheme="majorHAnsi"/>
          <w:spacing w:val="-47"/>
          <w:sz w:val="20"/>
          <w:szCs w:val="20"/>
        </w:rPr>
        <w:t xml:space="preserve"> </w:t>
      </w:r>
      <w:r w:rsidRPr="000977F7">
        <w:rPr>
          <w:rFonts w:asciiTheme="majorHAnsi" w:hAnsiTheme="majorHAnsi"/>
          <w:spacing w:val="-1"/>
          <w:sz w:val="20"/>
          <w:szCs w:val="20"/>
        </w:rPr>
        <w:t xml:space="preserve">вимог і внесення </w:t>
      </w:r>
      <w:r w:rsidRPr="000977F7">
        <w:rPr>
          <w:rFonts w:asciiTheme="majorHAnsi" w:hAnsiTheme="majorHAnsi"/>
          <w:sz w:val="20"/>
          <w:szCs w:val="20"/>
        </w:rPr>
        <w:t>виправлень до документа чи вимоги</w:t>
      </w:r>
      <w:r w:rsidRPr="000977F7">
        <w:rPr>
          <w:rFonts w:asciiTheme="majorHAnsi" w:hAnsiTheme="majorHAnsi"/>
          <w:spacing w:val="1"/>
          <w:sz w:val="20"/>
          <w:szCs w:val="20"/>
        </w:rPr>
        <w:t xml:space="preserve"> </w:t>
      </w:r>
    </w:p>
    <w:p w14:paraId="27FD1B8E" w14:textId="77777777" w:rsidR="0097612F" w:rsidRPr="000977F7" w:rsidRDefault="0097612F" w:rsidP="000977F7">
      <w:pPr>
        <w:pStyle w:val="af6"/>
        <w:tabs>
          <w:tab w:val="left" w:pos="284"/>
        </w:tabs>
        <w:spacing w:after="0"/>
        <w:ind w:left="170"/>
        <w:mirrorIndents/>
        <w:jc w:val="both"/>
        <w:rPr>
          <w:rFonts w:asciiTheme="majorHAnsi" w:hAnsiTheme="majorHAnsi"/>
          <w:b/>
          <w:sz w:val="20"/>
          <w:szCs w:val="20"/>
        </w:rPr>
      </w:pPr>
      <w:r w:rsidRPr="000977F7">
        <w:rPr>
          <w:rFonts w:asciiTheme="majorHAnsi" w:hAnsiTheme="majorHAnsi"/>
          <w:b/>
          <w:sz w:val="20"/>
          <w:szCs w:val="20"/>
        </w:rPr>
        <w:t>УСУНЕННЯ</w:t>
      </w:r>
      <w:r w:rsidRPr="000977F7">
        <w:rPr>
          <w:rFonts w:asciiTheme="majorHAnsi" w:hAnsiTheme="majorHAnsi"/>
          <w:b/>
          <w:spacing w:val="-1"/>
          <w:sz w:val="20"/>
          <w:szCs w:val="20"/>
        </w:rPr>
        <w:t xml:space="preserve"> </w:t>
      </w:r>
      <w:r w:rsidRPr="000977F7">
        <w:rPr>
          <w:rFonts w:asciiTheme="majorHAnsi" w:hAnsiTheme="majorHAnsi"/>
          <w:b/>
          <w:sz w:val="20"/>
          <w:szCs w:val="20"/>
        </w:rPr>
        <w:t>НЕСПРАВНОСТІ</w:t>
      </w:r>
      <w:r w:rsidRPr="000977F7">
        <w:rPr>
          <w:rFonts w:asciiTheme="majorHAnsi" w:hAnsiTheme="majorHAnsi"/>
          <w:b/>
          <w:spacing w:val="2"/>
          <w:sz w:val="20"/>
          <w:szCs w:val="20"/>
        </w:rPr>
        <w:t xml:space="preserve"> </w:t>
      </w:r>
      <w:r w:rsidRPr="000977F7">
        <w:rPr>
          <w:rFonts w:asciiTheme="majorHAnsi" w:hAnsiTheme="majorHAnsi"/>
          <w:b/>
          <w:sz w:val="20"/>
          <w:szCs w:val="20"/>
        </w:rPr>
        <w:t>–</w:t>
      </w:r>
    </w:p>
    <w:p w14:paraId="3416E24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FAULT CORRECTION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6CF30FB6"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pacing w:val="-1"/>
          <w:sz w:val="20"/>
          <w:szCs w:val="20"/>
        </w:rPr>
        <w:t xml:space="preserve">Операції, які виконують після виявлення місця несправності для відновлення здатності об’єкта виконувати потрібну функцію </w:t>
      </w:r>
    </w:p>
    <w:p w14:paraId="43AE9E1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CF4DF6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УТИЛІЗАЦІЯ</w:t>
      </w:r>
      <w:r w:rsidRPr="000977F7">
        <w:rPr>
          <w:color w:val="auto"/>
          <w:spacing w:val="-4"/>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792B71F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Комплекс</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технологічних</w:t>
      </w:r>
      <w:r w:rsidRPr="000977F7">
        <w:rPr>
          <w:rFonts w:asciiTheme="majorHAnsi" w:hAnsiTheme="majorHAnsi"/>
          <w:spacing w:val="1"/>
          <w:sz w:val="20"/>
          <w:szCs w:val="20"/>
        </w:rPr>
        <w:t xml:space="preserve"> </w:t>
      </w:r>
      <w:r w:rsidRPr="000977F7">
        <w:rPr>
          <w:rFonts w:asciiTheme="majorHAnsi" w:hAnsiTheme="majorHAnsi"/>
          <w:sz w:val="20"/>
          <w:szCs w:val="20"/>
        </w:rPr>
        <w:t>операцій,</w:t>
      </w:r>
      <w:r w:rsidRPr="000977F7">
        <w:rPr>
          <w:rFonts w:asciiTheme="majorHAnsi" w:hAnsiTheme="majorHAnsi"/>
          <w:spacing w:val="1"/>
          <w:sz w:val="20"/>
          <w:szCs w:val="20"/>
        </w:rPr>
        <w:t xml:space="preserve"> </w:t>
      </w:r>
      <w:r w:rsidRPr="000977F7">
        <w:rPr>
          <w:rFonts w:asciiTheme="majorHAnsi" w:hAnsiTheme="majorHAnsi"/>
          <w:sz w:val="20"/>
          <w:szCs w:val="20"/>
        </w:rPr>
        <w:t>спрямованих</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вторинної</w:t>
      </w:r>
      <w:r w:rsidRPr="000977F7">
        <w:rPr>
          <w:rFonts w:asciiTheme="majorHAnsi" w:hAnsiTheme="majorHAnsi"/>
          <w:spacing w:val="1"/>
          <w:sz w:val="20"/>
          <w:szCs w:val="20"/>
        </w:rPr>
        <w:t xml:space="preserve"> </w:t>
      </w:r>
      <w:r w:rsidRPr="000977F7">
        <w:rPr>
          <w:rFonts w:asciiTheme="majorHAnsi" w:hAnsiTheme="majorHAnsi"/>
          <w:sz w:val="20"/>
          <w:szCs w:val="20"/>
        </w:rPr>
        <w:t>сировини</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47"/>
          <w:sz w:val="20"/>
          <w:szCs w:val="20"/>
        </w:rPr>
        <w:t xml:space="preserve"> </w:t>
      </w:r>
      <w:r w:rsidRPr="000977F7">
        <w:rPr>
          <w:rFonts w:asciiTheme="majorHAnsi" w:hAnsiTheme="majorHAnsi"/>
          <w:sz w:val="20"/>
          <w:szCs w:val="20"/>
        </w:rPr>
        <w:t>втратила</w:t>
      </w:r>
      <w:r w:rsidRPr="000977F7">
        <w:rPr>
          <w:rFonts w:asciiTheme="majorHAnsi" w:hAnsiTheme="majorHAnsi"/>
          <w:spacing w:val="-1"/>
          <w:sz w:val="20"/>
          <w:szCs w:val="20"/>
        </w:rPr>
        <w:t xml:space="preserve"> </w:t>
      </w:r>
      <w:r w:rsidRPr="000977F7">
        <w:rPr>
          <w:rFonts w:asciiTheme="majorHAnsi" w:hAnsiTheme="majorHAnsi"/>
          <w:sz w:val="20"/>
          <w:szCs w:val="20"/>
        </w:rPr>
        <w:t>свої</w:t>
      </w:r>
      <w:r w:rsidRPr="000977F7">
        <w:rPr>
          <w:rFonts w:asciiTheme="majorHAnsi" w:hAnsiTheme="majorHAnsi"/>
          <w:spacing w:val="-1"/>
          <w:sz w:val="20"/>
          <w:szCs w:val="20"/>
        </w:rPr>
        <w:t xml:space="preserve"> </w:t>
      </w:r>
      <w:r w:rsidRPr="000977F7">
        <w:rPr>
          <w:rFonts w:asciiTheme="majorHAnsi" w:hAnsiTheme="majorHAnsi"/>
          <w:sz w:val="20"/>
          <w:szCs w:val="20"/>
        </w:rPr>
        <w:t>корисні</w:t>
      </w:r>
      <w:r w:rsidRPr="000977F7">
        <w:rPr>
          <w:rFonts w:asciiTheme="majorHAnsi" w:hAnsiTheme="majorHAnsi"/>
          <w:spacing w:val="-2"/>
          <w:sz w:val="20"/>
          <w:szCs w:val="20"/>
        </w:rPr>
        <w:t xml:space="preserve"> </w:t>
      </w:r>
      <w:r w:rsidRPr="000977F7">
        <w:rPr>
          <w:rFonts w:asciiTheme="majorHAnsi" w:hAnsiTheme="majorHAnsi"/>
          <w:sz w:val="20"/>
          <w:szCs w:val="20"/>
        </w:rPr>
        <w:t>властивості</w:t>
      </w:r>
    </w:p>
    <w:p w14:paraId="12BF309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3278</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4BB835C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УТОМНЕ</w:t>
      </w:r>
      <w:r w:rsidRPr="000977F7">
        <w:rPr>
          <w:color w:val="auto"/>
          <w:spacing w:val="-5"/>
          <w:sz w:val="20"/>
          <w:szCs w:val="20"/>
        </w:rPr>
        <w:t xml:space="preserve"> </w:t>
      </w:r>
      <w:r w:rsidRPr="000977F7">
        <w:rPr>
          <w:color w:val="auto"/>
          <w:sz w:val="20"/>
          <w:szCs w:val="20"/>
        </w:rPr>
        <w:t>ЗНОШУВАННЯ</w:t>
      </w:r>
      <w:r w:rsidRPr="000977F7">
        <w:rPr>
          <w:color w:val="auto"/>
          <w:spacing w:val="-1"/>
          <w:sz w:val="20"/>
          <w:szCs w:val="20"/>
        </w:rPr>
        <w:t xml:space="preserve"> </w:t>
      </w:r>
      <w:r w:rsidRPr="000977F7">
        <w:rPr>
          <w:color w:val="auto"/>
          <w:sz w:val="20"/>
          <w:szCs w:val="20"/>
        </w:rPr>
        <w:t>–</w:t>
      </w:r>
    </w:p>
    <w:p w14:paraId="74F3BEC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FATIQUE</w:t>
      </w:r>
      <w:r w:rsidRPr="000977F7">
        <w:rPr>
          <w:rFonts w:asciiTheme="majorHAnsi" w:hAnsiTheme="majorHAnsi"/>
          <w:spacing w:val="-2"/>
          <w:sz w:val="20"/>
          <w:szCs w:val="20"/>
        </w:rPr>
        <w:t xml:space="preserve"> </w:t>
      </w:r>
      <w:r w:rsidRPr="000977F7">
        <w:rPr>
          <w:rFonts w:asciiTheme="majorHAnsi" w:hAnsiTheme="majorHAnsi"/>
          <w:sz w:val="20"/>
          <w:szCs w:val="20"/>
        </w:rPr>
        <w:t>WEAR</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5E9B31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Механічне</w:t>
      </w:r>
      <w:r w:rsidRPr="000977F7">
        <w:rPr>
          <w:rFonts w:asciiTheme="majorHAnsi" w:hAnsiTheme="majorHAnsi"/>
          <w:spacing w:val="1"/>
          <w:sz w:val="20"/>
          <w:szCs w:val="20"/>
        </w:rPr>
        <w:t xml:space="preserve"> </w:t>
      </w:r>
      <w:r w:rsidRPr="000977F7">
        <w:rPr>
          <w:rFonts w:asciiTheme="majorHAnsi" w:hAnsiTheme="majorHAnsi"/>
          <w:sz w:val="20"/>
          <w:szCs w:val="20"/>
        </w:rPr>
        <w:t>зношування</w:t>
      </w:r>
      <w:r w:rsidRPr="000977F7">
        <w:rPr>
          <w:rFonts w:asciiTheme="majorHAnsi" w:hAnsiTheme="majorHAnsi"/>
          <w:spacing w:val="1"/>
          <w:sz w:val="20"/>
          <w:szCs w:val="20"/>
        </w:rPr>
        <w:t xml:space="preserve"> </w:t>
      </w:r>
      <w:r w:rsidRPr="000977F7">
        <w:rPr>
          <w:rFonts w:asciiTheme="majorHAnsi" w:hAnsiTheme="majorHAnsi"/>
          <w:sz w:val="20"/>
          <w:szCs w:val="20"/>
        </w:rPr>
        <w:t>внаслідок</w:t>
      </w:r>
      <w:r w:rsidRPr="000977F7">
        <w:rPr>
          <w:rFonts w:asciiTheme="majorHAnsi" w:hAnsiTheme="majorHAnsi"/>
          <w:spacing w:val="1"/>
          <w:sz w:val="20"/>
          <w:szCs w:val="20"/>
        </w:rPr>
        <w:t xml:space="preserve"> </w:t>
      </w:r>
      <w:r w:rsidRPr="000977F7">
        <w:rPr>
          <w:rFonts w:asciiTheme="majorHAnsi" w:hAnsiTheme="majorHAnsi"/>
          <w:sz w:val="20"/>
          <w:szCs w:val="20"/>
        </w:rPr>
        <w:t>руйнування</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утоми в умовах багаторазового деформування мікрооб’ємів</w:t>
      </w:r>
      <w:r w:rsidRPr="000977F7">
        <w:rPr>
          <w:rFonts w:asciiTheme="majorHAnsi" w:hAnsiTheme="majorHAnsi"/>
          <w:spacing w:val="-2"/>
          <w:sz w:val="20"/>
          <w:szCs w:val="20"/>
        </w:rPr>
        <w:t xml:space="preserve"> </w:t>
      </w:r>
      <w:r w:rsidRPr="000977F7">
        <w:rPr>
          <w:rFonts w:asciiTheme="majorHAnsi" w:hAnsiTheme="majorHAnsi"/>
          <w:sz w:val="20"/>
          <w:szCs w:val="20"/>
        </w:rPr>
        <w:t>матеріалів</w:t>
      </w:r>
      <w:r w:rsidRPr="000977F7">
        <w:rPr>
          <w:rFonts w:asciiTheme="majorHAnsi" w:hAnsiTheme="majorHAnsi"/>
          <w:spacing w:val="-1"/>
          <w:sz w:val="20"/>
          <w:szCs w:val="20"/>
        </w:rPr>
        <w:t xml:space="preserve"> </w:t>
      </w:r>
      <w:r w:rsidRPr="000977F7">
        <w:rPr>
          <w:rFonts w:asciiTheme="majorHAnsi" w:hAnsiTheme="majorHAnsi"/>
          <w:sz w:val="20"/>
          <w:szCs w:val="20"/>
        </w:rPr>
        <w:t>поверхневого шару</w:t>
      </w:r>
    </w:p>
    <w:p w14:paraId="3187CC5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41B65F9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УХИЛЕННЯ</w:t>
      </w:r>
      <w:r w:rsidRPr="000977F7">
        <w:rPr>
          <w:color w:val="auto"/>
          <w:spacing w:val="1"/>
          <w:sz w:val="20"/>
          <w:szCs w:val="20"/>
        </w:rPr>
        <w:t xml:space="preserve"> </w:t>
      </w:r>
      <w:r w:rsidRPr="000977F7">
        <w:rPr>
          <w:color w:val="auto"/>
          <w:sz w:val="20"/>
          <w:szCs w:val="20"/>
        </w:rPr>
        <w:t>ВІД</w:t>
      </w:r>
      <w:r w:rsidRPr="000977F7">
        <w:rPr>
          <w:color w:val="auto"/>
          <w:spacing w:val="1"/>
          <w:sz w:val="20"/>
          <w:szCs w:val="20"/>
        </w:rPr>
        <w:t xml:space="preserve"> </w:t>
      </w:r>
      <w:r w:rsidRPr="000977F7">
        <w:rPr>
          <w:color w:val="auto"/>
          <w:sz w:val="20"/>
          <w:szCs w:val="20"/>
        </w:rPr>
        <w:t>ВИКОНАННЯ</w:t>
      </w:r>
      <w:r w:rsidRPr="000977F7">
        <w:rPr>
          <w:color w:val="auto"/>
          <w:spacing w:val="1"/>
          <w:sz w:val="20"/>
          <w:szCs w:val="20"/>
        </w:rPr>
        <w:t xml:space="preserve"> </w:t>
      </w:r>
      <w:r w:rsidRPr="000977F7">
        <w:rPr>
          <w:color w:val="auto"/>
          <w:sz w:val="20"/>
          <w:szCs w:val="20"/>
        </w:rPr>
        <w:t>ЗАКОННИХ</w:t>
      </w:r>
      <w:r w:rsidRPr="000977F7">
        <w:rPr>
          <w:color w:val="auto"/>
          <w:spacing w:val="-47"/>
          <w:sz w:val="20"/>
          <w:szCs w:val="20"/>
        </w:rPr>
        <w:t xml:space="preserve"> </w:t>
      </w:r>
      <w:r w:rsidRPr="000977F7">
        <w:rPr>
          <w:color w:val="auto"/>
          <w:sz w:val="20"/>
          <w:szCs w:val="20"/>
        </w:rPr>
        <w:t>ВИМОГ</w:t>
      </w:r>
      <w:r w:rsidRPr="000977F7">
        <w:rPr>
          <w:color w:val="auto"/>
          <w:spacing w:val="1"/>
          <w:sz w:val="20"/>
          <w:szCs w:val="20"/>
        </w:rPr>
        <w:t xml:space="preserve"> </w:t>
      </w:r>
      <w:r w:rsidRPr="000977F7">
        <w:rPr>
          <w:color w:val="auto"/>
          <w:sz w:val="20"/>
          <w:szCs w:val="20"/>
        </w:rPr>
        <w:t>ПОСАДОВИХ</w:t>
      </w:r>
      <w:r w:rsidRPr="000977F7">
        <w:rPr>
          <w:color w:val="auto"/>
          <w:spacing w:val="1"/>
          <w:sz w:val="20"/>
          <w:szCs w:val="20"/>
        </w:rPr>
        <w:t xml:space="preserve"> </w:t>
      </w:r>
      <w:r w:rsidRPr="000977F7">
        <w:rPr>
          <w:color w:val="auto"/>
          <w:sz w:val="20"/>
          <w:szCs w:val="20"/>
        </w:rPr>
        <w:t>ОСІБ</w:t>
      </w:r>
      <w:r w:rsidRPr="000977F7">
        <w:rPr>
          <w:color w:val="auto"/>
          <w:spacing w:val="1"/>
          <w:sz w:val="20"/>
          <w:szCs w:val="20"/>
        </w:rPr>
        <w:t xml:space="preserve"> </w:t>
      </w:r>
      <w:r w:rsidRPr="000977F7">
        <w:rPr>
          <w:color w:val="auto"/>
          <w:sz w:val="20"/>
          <w:szCs w:val="20"/>
        </w:rPr>
        <w:t>ЦЕНТРАЛЬНОГО</w:t>
      </w:r>
      <w:r w:rsidRPr="000977F7">
        <w:rPr>
          <w:color w:val="auto"/>
          <w:spacing w:val="1"/>
          <w:sz w:val="20"/>
          <w:szCs w:val="20"/>
        </w:rPr>
        <w:t xml:space="preserve"> </w:t>
      </w:r>
      <w:r w:rsidRPr="000977F7">
        <w:rPr>
          <w:color w:val="auto"/>
          <w:sz w:val="20"/>
          <w:szCs w:val="20"/>
        </w:rPr>
        <w:t>ОРГАНУ ВИКОНАВЧОЇ ВЛАДИ, ЩО РЕАЛІЗУЄ</w:t>
      </w:r>
      <w:r w:rsidRPr="000977F7">
        <w:rPr>
          <w:color w:val="auto"/>
          <w:spacing w:val="1"/>
          <w:sz w:val="20"/>
          <w:szCs w:val="20"/>
        </w:rPr>
        <w:t xml:space="preserve"> </w:t>
      </w:r>
      <w:r w:rsidRPr="000977F7">
        <w:rPr>
          <w:color w:val="auto"/>
          <w:sz w:val="20"/>
          <w:szCs w:val="20"/>
        </w:rPr>
        <w:t>ПОЛІТИКУ У СФЕРІ ДЕРЖАВНОГО КОНТРОЛЮ</w:t>
      </w:r>
      <w:r w:rsidRPr="000977F7">
        <w:rPr>
          <w:color w:val="auto"/>
          <w:spacing w:val="1"/>
          <w:sz w:val="20"/>
          <w:szCs w:val="20"/>
        </w:rPr>
        <w:t xml:space="preserve"> </w:t>
      </w:r>
      <w:r w:rsidRPr="000977F7">
        <w:rPr>
          <w:color w:val="auto"/>
          <w:sz w:val="20"/>
          <w:szCs w:val="20"/>
        </w:rPr>
        <w:t>ЗА</w:t>
      </w:r>
      <w:r w:rsidRPr="000977F7">
        <w:rPr>
          <w:color w:val="auto"/>
          <w:spacing w:val="1"/>
          <w:sz w:val="20"/>
          <w:szCs w:val="20"/>
        </w:rPr>
        <w:t xml:space="preserve"> </w:t>
      </w:r>
      <w:r w:rsidRPr="000977F7">
        <w:rPr>
          <w:color w:val="auto"/>
          <w:sz w:val="20"/>
          <w:szCs w:val="20"/>
        </w:rPr>
        <w:t>ДОДЕРЖАННЯМ</w:t>
      </w:r>
      <w:r w:rsidRPr="000977F7">
        <w:rPr>
          <w:color w:val="auto"/>
          <w:spacing w:val="1"/>
          <w:sz w:val="20"/>
          <w:szCs w:val="20"/>
        </w:rPr>
        <w:t xml:space="preserve"> </w:t>
      </w:r>
      <w:r w:rsidRPr="000977F7">
        <w:rPr>
          <w:color w:val="auto"/>
          <w:sz w:val="20"/>
          <w:szCs w:val="20"/>
        </w:rPr>
        <w:t>ЗАКОНОДАВСТВА</w:t>
      </w:r>
      <w:r w:rsidRPr="000977F7">
        <w:rPr>
          <w:color w:val="auto"/>
          <w:spacing w:val="1"/>
          <w:sz w:val="20"/>
          <w:szCs w:val="20"/>
        </w:rPr>
        <w:t xml:space="preserve"> </w:t>
      </w:r>
      <w:r w:rsidRPr="000977F7">
        <w:rPr>
          <w:color w:val="auto"/>
          <w:sz w:val="20"/>
          <w:szCs w:val="20"/>
        </w:rPr>
        <w:t>ПРО ЗАХИСТ</w:t>
      </w:r>
      <w:r w:rsidRPr="000977F7">
        <w:rPr>
          <w:color w:val="auto"/>
          <w:spacing w:val="-2"/>
          <w:sz w:val="20"/>
          <w:szCs w:val="20"/>
        </w:rPr>
        <w:t xml:space="preserve"> </w:t>
      </w:r>
      <w:r w:rsidRPr="000977F7">
        <w:rPr>
          <w:color w:val="auto"/>
          <w:sz w:val="20"/>
          <w:szCs w:val="20"/>
        </w:rPr>
        <w:t>ПРАВ СПОЖИВАЧІВ –</w:t>
      </w:r>
    </w:p>
    <w:p w14:paraId="0C7F3DF1"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Невиконання посадовими особами, громадянами, які</w:t>
      </w:r>
      <w:r w:rsidRPr="000977F7">
        <w:rPr>
          <w:b w:val="0"/>
          <w:bCs/>
          <w:color w:val="auto"/>
          <w:spacing w:val="1"/>
          <w:sz w:val="20"/>
          <w:szCs w:val="20"/>
        </w:rPr>
        <w:t xml:space="preserve"> </w:t>
      </w:r>
      <w:r w:rsidRPr="000977F7">
        <w:rPr>
          <w:b w:val="0"/>
          <w:bCs/>
          <w:color w:val="auto"/>
          <w:sz w:val="20"/>
          <w:szCs w:val="20"/>
        </w:rPr>
        <w:t>займаються</w:t>
      </w:r>
      <w:r w:rsidRPr="000977F7">
        <w:rPr>
          <w:b w:val="0"/>
          <w:bCs/>
          <w:color w:val="auto"/>
          <w:spacing w:val="1"/>
          <w:sz w:val="20"/>
          <w:szCs w:val="20"/>
        </w:rPr>
        <w:t xml:space="preserve"> </w:t>
      </w:r>
      <w:r w:rsidRPr="000977F7">
        <w:rPr>
          <w:b w:val="0"/>
          <w:bCs/>
          <w:color w:val="auto"/>
          <w:sz w:val="20"/>
          <w:szCs w:val="20"/>
        </w:rPr>
        <w:t>підприємницькою</w:t>
      </w:r>
      <w:r w:rsidRPr="000977F7">
        <w:rPr>
          <w:b w:val="0"/>
          <w:bCs/>
          <w:color w:val="auto"/>
          <w:spacing w:val="1"/>
          <w:sz w:val="20"/>
          <w:szCs w:val="20"/>
        </w:rPr>
        <w:t xml:space="preserve"> </w:t>
      </w:r>
      <w:r w:rsidRPr="000977F7">
        <w:rPr>
          <w:b w:val="0"/>
          <w:bCs/>
          <w:color w:val="auto"/>
          <w:sz w:val="20"/>
          <w:szCs w:val="20"/>
        </w:rPr>
        <w:t>діяльністю,</w:t>
      </w:r>
      <w:r w:rsidRPr="000977F7">
        <w:rPr>
          <w:b w:val="0"/>
          <w:bCs/>
          <w:color w:val="auto"/>
          <w:spacing w:val="1"/>
          <w:sz w:val="20"/>
          <w:szCs w:val="20"/>
        </w:rPr>
        <w:t xml:space="preserve"> </w:t>
      </w:r>
      <w:r w:rsidRPr="000977F7">
        <w:rPr>
          <w:b w:val="0"/>
          <w:bCs/>
          <w:color w:val="auto"/>
          <w:sz w:val="20"/>
          <w:szCs w:val="20"/>
        </w:rPr>
        <w:t>законних</w:t>
      </w:r>
      <w:r w:rsidRPr="000977F7">
        <w:rPr>
          <w:b w:val="0"/>
          <w:bCs/>
          <w:color w:val="auto"/>
          <w:spacing w:val="1"/>
          <w:sz w:val="20"/>
          <w:szCs w:val="20"/>
        </w:rPr>
        <w:t xml:space="preserve"> </w:t>
      </w:r>
      <w:r w:rsidRPr="000977F7">
        <w:rPr>
          <w:b w:val="0"/>
          <w:bCs/>
          <w:color w:val="auto"/>
          <w:sz w:val="20"/>
          <w:szCs w:val="20"/>
        </w:rPr>
        <w:t>вимог посадових осіб центрального органу виконавчої</w:t>
      </w:r>
      <w:r w:rsidRPr="000977F7">
        <w:rPr>
          <w:b w:val="0"/>
          <w:bCs/>
          <w:color w:val="auto"/>
          <w:spacing w:val="-47"/>
          <w:sz w:val="20"/>
          <w:szCs w:val="20"/>
        </w:rPr>
        <w:t xml:space="preserve"> </w:t>
      </w:r>
      <w:r w:rsidRPr="000977F7">
        <w:rPr>
          <w:b w:val="0"/>
          <w:bCs/>
          <w:color w:val="auto"/>
          <w:sz w:val="20"/>
          <w:szCs w:val="20"/>
        </w:rPr>
        <w:t>влади, що реалізує державну політику у сфері державного</w:t>
      </w:r>
      <w:r w:rsidRPr="000977F7">
        <w:rPr>
          <w:b w:val="0"/>
          <w:bCs/>
          <w:color w:val="auto"/>
          <w:spacing w:val="1"/>
          <w:sz w:val="20"/>
          <w:szCs w:val="20"/>
        </w:rPr>
        <w:t xml:space="preserve"> </w:t>
      </w:r>
      <w:r w:rsidRPr="000977F7">
        <w:rPr>
          <w:b w:val="0"/>
          <w:bCs/>
          <w:color w:val="auto"/>
          <w:sz w:val="20"/>
          <w:szCs w:val="20"/>
        </w:rPr>
        <w:t>контролю</w:t>
      </w:r>
      <w:r w:rsidRPr="000977F7">
        <w:rPr>
          <w:b w:val="0"/>
          <w:bCs/>
          <w:color w:val="auto"/>
          <w:spacing w:val="1"/>
          <w:sz w:val="20"/>
          <w:szCs w:val="20"/>
        </w:rPr>
        <w:t xml:space="preserve"> </w:t>
      </w:r>
      <w:r w:rsidRPr="000977F7">
        <w:rPr>
          <w:b w:val="0"/>
          <w:bCs/>
          <w:color w:val="auto"/>
          <w:sz w:val="20"/>
          <w:szCs w:val="20"/>
        </w:rPr>
        <w:t>за</w:t>
      </w:r>
      <w:r w:rsidRPr="000977F7">
        <w:rPr>
          <w:b w:val="0"/>
          <w:bCs/>
          <w:color w:val="auto"/>
          <w:spacing w:val="1"/>
          <w:sz w:val="20"/>
          <w:szCs w:val="20"/>
        </w:rPr>
        <w:t xml:space="preserve"> </w:t>
      </w:r>
      <w:r w:rsidRPr="000977F7">
        <w:rPr>
          <w:b w:val="0"/>
          <w:bCs/>
          <w:color w:val="auto"/>
          <w:sz w:val="20"/>
          <w:szCs w:val="20"/>
        </w:rPr>
        <w:t>додержанням</w:t>
      </w:r>
      <w:r w:rsidRPr="000977F7">
        <w:rPr>
          <w:b w:val="0"/>
          <w:bCs/>
          <w:color w:val="auto"/>
          <w:spacing w:val="1"/>
          <w:sz w:val="20"/>
          <w:szCs w:val="20"/>
        </w:rPr>
        <w:t xml:space="preserve"> </w:t>
      </w:r>
      <w:r w:rsidRPr="000977F7">
        <w:rPr>
          <w:b w:val="0"/>
          <w:bCs/>
          <w:color w:val="auto"/>
          <w:sz w:val="20"/>
          <w:szCs w:val="20"/>
        </w:rPr>
        <w:t>законодавства</w:t>
      </w:r>
      <w:r w:rsidRPr="000977F7">
        <w:rPr>
          <w:b w:val="0"/>
          <w:bCs/>
          <w:color w:val="auto"/>
          <w:spacing w:val="1"/>
          <w:sz w:val="20"/>
          <w:szCs w:val="20"/>
        </w:rPr>
        <w:t xml:space="preserve"> </w:t>
      </w:r>
      <w:r w:rsidRPr="000977F7">
        <w:rPr>
          <w:b w:val="0"/>
          <w:bCs/>
          <w:color w:val="auto"/>
          <w:sz w:val="20"/>
          <w:szCs w:val="20"/>
        </w:rPr>
        <w:t>про</w:t>
      </w:r>
      <w:r w:rsidRPr="000977F7">
        <w:rPr>
          <w:b w:val="0"/>
          <w:bCs/>
          <w:color w:val="auto"/>
          <w:spacing w:val="-47"/>
          <w:sz w:val="20"/>
          <w:szCs w:val="20"/>
        </w:rPr>
        <w:t xml:space="preserve"> </w:t>
      </w:r>
      <w:r w:rsidRPr="000977F7">
        <w:rPr>
          <w:b w:val="0"/>
          <w:bCs/>
          <w:color w:val="auto"/>
          <w:sz w:val="20"/>
          <w:szCs w:val="20"/>
        </w:rPr>
        <w:t>захист</w:t>
      </w:r>
      <w:r w:rsidRPr="000977F7">
        <w:rPr>
          <w:b w:val="0"/>
          <w:bCs/>
          <w:color w:val="auto"/>
          <w:spacing w:val="1"/>
          <w:sz w:val="20"/>
          <w:szCs w:val="20"/>
        </w:rPr>
        <w:t xml:space="preserve"> </w:t>
      </w:r>
      <w:r w:rsidRPr="000977F7">
        <w:rPr>
          <w:b w:val="0"/>
          <w:bCs/>
          <w:color w:val="auto"/>
          <w:sz w:val="20"/>
          <w:szCs w:val="20"/>
        </w:rPr>
        <w:t>прав</w:t>
      </w:r>
      <w:r w:rsidRPr="000977F7">
        <w:rPr>
          <w:b w:val="0"/>
          <w:bCs/>
          <w:color w:val="auto"/>
          <w:spacing w:val="1"/>
          <w:sz w:val="20"/>
          <w:szCs w:val="20"/>
        </w:rPr>
        <w:t xml:space="preserve"> </w:t>
      </w:r>
      <w:r w:rsidRPr="000977F7">
        <w:rPr>
          <w:b w:val="0"/>
          <w:bCs/>
          <w:color w:val="auto"/>
          <w:sz w:val="20"/>
          <w:szCs w:val="20"/>
        </w:rPr>
        <w:t>споживачів,</w:t>
      </w:r>
      <w:r w:rsidRPr="000977F7">
        <w:rPr>
          <w:b w:val="0"/>
          <w:bCs/>
          <w:color w:val="auto"/>
          <w:spacing w:val="1"/>
          <w:sz w:val="20"/>
          <w:szCs w:val="20"/>
        </w:rPr>
        <w:t xml:space="preserve"> </w:t>
      </w:r>
      <w:r w:rsidRPr="000977F7">
        <w:rPr>
          <w:b w:val="0"/>
          <w:bCs/>
          <w:color w:val="auto"/>
          <w:sz w:val="20"/>
          <w:szCs w:val="20"/>
        </w:rPr>
        <w:t>про</w:t>
      </w:r>
      <w:r w:rsidRPr="000977F7">
        <w:rPr>
          <w:b w:val="0"/>
          <w:bCs/>
          <w:color w:val="auto"/>
          <w:spacing w:val="1"/>
          <w:sz w:val="20"/>
          <w:szCs w:val="20"/>
        </w:rPr>
        <w:t xml:space="preserve"> </w:t>
      </w:r>
      <w:r w:rsidRPr="000977F7">
        <w:rPr>
          <w:b w:val="0"/>
          <w:bCs/>
          <w:color w:val="auto"/>
          <w:sz w:val="20"/>
          <w:szCs w:val="20"/>
        </w:rPr>
        <w:t>проведення</w:t>
      </w:r>
      <w:r w:rsidRPr="000977F7">
        <w:rPr>
          <w:b w:val="0"/>
          <w:bCs/>
          <w:color w:val="auto"/>
          <w:spacing w:val="1"/>
          <w:sz w:val="20"/>
          <w:szCs w:val="20"/>
        </w:rPr>
        <w:t xml:space="preserve"> </w:t>
      </w:r>
      <w:r w:rsidRPr="000977F7">
        <w:rPr>
          <w:b w:val="0"/>
          <w:bCs/>
          <w:color w:val="auto"/>
          <w:sz w:val="20"/>
          <w:szCs w:val="20"/>
        </w:rPr>
        <w:t>перевірки</w:t>
      </w:r>
      <w:r w:rsidRPr="000977F7">
        <w:rPr>
          <w:b w:val="0"/>
          <w:bCs/>
          <w:color w:val="auto"/>
          <w:spacing w:val="1"/>
          <w:sz w:val="20"/>
          <w:szCs w:val="20"/>
        </w:rPr>
        <w:t xml:space="preserve"> </w:t>
      </w:r>
      <w:r w:rsidRPr="000977F7">
        <w:rPr>
          <w:b w:val="0"/>
          <w:bCs/>
          <w:color w:val="auto"/>
          <w:sz w:val="20"/>
          <w:szCs w:val="20"/>
        </w:rPr>
        <w:t>діяльності по продажу товарів, виконанню робіт, наданню</w:t>
      </w:r>
      <w:r w:rsidRPr="000977F7">
        <w:rPr>
          <w:b w:val="0"/>
          <w:bCs/>
          <w:color w:val="auto"/>
          <w:spacing w:val="1"/>
          <w:sz w:val="20"/>
          <w:szCs w:val="20"/>
        </w:rPr>
        <w:t xml:space="preserve"> </w:t>
      </w:r>
      <w:r w:rsidRPr="000977F7">
        <w:rPr>
          <w:b w:val="0"/>
          <w:bCs/>
          <w:color w:val="auto"/>
          <w:sz w:val="20"/>
          <w:szCs w:val="20"/>
        </w:rPr>
        <w:t>послуг</w:t>
      </w:r>
      <w:r w:rsidRPr="000977F7">
        <w:rPr>
          <w:b w:val="0"/>
          <w:bCs/>
          <w:color w:val="auto"/>
          <w:spacing w:val="1"/>
          <w:sz w:val="20"/>
          <w:szCs w:val="20"/>
        </w:rPr>
        <w:t xml:space="preserve"> </w:t>
      </w:r>
      <w:r w:rsidRPr="000977F7">
        <w:rPr>
          <w:b w:val="0"/>
          <w:bCs/>
          <w:color w:val="auto"/>
          <w:sz w:val="20"/>
          <w:szCs w:val="20"/>
        </w:rPr>
        <w:t>громадянам-споживачам</w:t>
      </w:r>
      <w:r w:rsidRPr="000977F7">
        <w:rPr>
          <w:b w:val="0"/>
          <w:bCs/>
          <w:color w:val="auto"/>
          <w:spacing w:val="1"/>
          <w:sz w:val="20"/>
          <w:szCs w:val="20"/>
        </w:rPr>
        <w:t xml:space="preserve"> </w:t>
      </w:r>
      <w:r w:rsidRPr="000977F7">
        <w:rPr>
          <w:b w:val="0"/>
          <w:bCs/>
          <w:color w:val="auto"/>
          <w:sz w:val="20"/>
          <w:szCs w:val="20"/>
        </w:rPr>
        <w:t>або</w:t>
      </w:r>
      <w:r w:rsidRPr="000977F7">
        <w:rPr>
          <w:b w:val="0"/>
          <w:bCs/>
          <w:color w:val="auto"/>
          <w:spacing w:val="1"/>
          <w:sz w:val="20"/>
          <w:szCs w:val="20"/>
        </w:rPr>
        <w:t xml:space="preserve"> </w:t>
      </w:r>
      <w:r w:rsidRPr="000977F7">
        <w:rPr>
          <w:b w:val="0"/>
          <w:bCs/>
          <w:color w:val="auto"/>
          <w:sz w:val="20"/>
          <w:szCs w:val="20"/>
        </w:rPr>
        <w:t>про</w:t>
      </w:r>
      <w:r w:rsidRPr="000977F7">
        <w:rPr>
          <w:b w:val="0"/>
          <w:bCs/>
          <w:color w:val="auto"/>
          <w:spacing w:val="1"/>
          <w:sz w:val="20"/>
          <w:szCs w:val="20"/>
        </w:rPr>
        <w:t xml:space="preserve"> </w:t>
      </w:r>
      <w:r w:rsidRPr="000977F7">
        <w:rPr>
          <w:b w:val="0"/>
          <w:bCs/>
          <w:color w:val="auto"/>
          <w:sz w:val="20"/>
          <w:szCs w:val="20"/>
        </w:rPr>
        <w:t>надання</w:t>
      </w:r>
      <w:r w:rsidRPr="000977F7">
        <w:rPr>
          <w:b w:val="0"/>
          <w:bCs/>
          <w:color w:val="auto"/>
          <w:spacing w:val="-2"/>
          <w:sz w:val="20"/>
          <w:szCs w:val="20"/>
        </w:rPr>
        <w:t xml:space="preserve"> </w:t>
      </w:r>
      <w:r w:rsidRPr="000977F7">
        <w:rPr>
          <w:b w:val="0"/>
          <w:bCs/>
          <w:color w:val="auto"/>
          <w:sz w:val="20"/>
          <w:szCs w:val="20"/>
        </w:rPr>
        <w:t>необхідних</w:t>
      </w:r>
      <w:r w:rsidRPr="000977F7">
        <w:rPr>
          <w:b w:val="0"/>
          <w:bCs/>
          <w:color w:val="auto"/>
          <w:spacing w:val="-1"/>
          <w:sz w:val="20"/>
          <w:szCs w:val="20"/>
        </w:rPr>
        <w:t xml:space="preserve"> </w:t>
      </w:r>
      <w:r w:rsidRPr="000977F7">
        <w:rPr>
          <w:b w:val="0"/>
          <w:bCs/>
          <w:color w:val="auto"/>
          <w:sz w:val="20"/>
          <w:szCs w:val="20"/>
        </w:rPr>
        <w:t>для</w:t>
      </w:r>
      <w:r w:rsidRPr="000977F7">
        <w:rPr>
          <w:b w:val="0"/>
          <w:bCs/>
          <w:color w:val="auto"/>
          <w:spacing w:val="-2"/>
          <w:sz w:val="20"/>
          <w:szCs w:val="20"/>
        </w:rPr>
        <w:t xml:space="preserve"> </w:t>
      </w:r>
      <w:r w:rsidRPr="000977F7">
        <w:rPr>
          <w:b w:val="0"/>
          <w:bCs/>
          <w:color w:val="auto"/>
          <w:sz w:val="20"/>
          <w:szCs w:val="20"/>
        </w:rPr>
        <w:t>цього</w:t>
      </w:r>
      <w:r w:rsidRPr="000977F7">
        <w:rPr>
          <w:b w:val="0"/>
          <w:bCs/>
          <w:color w:val="auto"/>
          <w:spacing w:val="1"/>
          <w:sz w:val="20"/>
          <w:szCs w:val="20"/>
        </w:rPr>
        <w:t xml:space="preserve"> </w:t>
      </w:r>
      <w:r w:rsidRPr="000977F7">
        <w:rPr>
          <w:b w:val="0"/>
          <w:bCs/>
          <w:color w:val="auto"/>
          <w:sz w:val="20"/>
          <w:szCs w:val="20"/>
        </w:rPr>
        <w:t>матеріалів</w:t>
      </w:r>
      <w:r w:rsidRPr="000977F7">
        <w:rPr>
          <w:b w:val="0"/>
          <w:bCs/>
          <w:color w:val="auto"/>
          <w:spacing w:val="3"/>
          <w:sz w:val="20"/>
          <w:szCs w:val="20"/>
        </w:rPr>
        <w:t xml:space="preserve"> </w:t>
      </w:r>
      <w:r w:rsidRPr="000977F7">
        <w:rPr>
          <w:b w:val="0"/>
          <w:bCs/>
          <w:color w:val="auto"/>
          <w:sz w:val="20"/>
          <w:szCs w:val="20"/>
        </w:rPr>
        <w:t>тягне за собою накладення штрафу від трьох до п'яти</w:t>
      </w:r>
      <w:r w:rsidRPr="000977F7">
        <w:rPr>
          <w:b w:val="0"/>
          <w:bCs/>
          <w:color w:val="auto"/>
          <w:spacing w:val="1"/>
          <w:sz w:val="20"/>
          <w:szCs w:val="20"/>
        </w:rPr>
        <w:t xml:space="preserve"> </w:t>
      </w:r>
      <w:r w:rsidRPr="000977F7">
        <w:rPr>
          <w:b w:val="0"/>
          <w:bCs/>
          <w:color w:val="auto"/>
          <w:sz w:val="20"/>
          <w:szCs w:val="20"/>
        </w:rPr>
        <w:t>неоподатковуваних</w:t>
      </w:r>
      <w:r w:rsidRPr="000977F7">
        <w:rPr>
          <w:b w:val="0"/>
          <w:bCs/>
          <w:color w:val="auto"/>
          <w:spacing w:val="-3"/>
          <w:sz w:val="20"/>
          <w:szCs w:val="20"/>
        </w:rPr>
        <w:t xml:space="preserve"> </w:t>
      </w:r>
      <w:r w:rsidRPr="000977F7">
        <w:rPr>
          <w:b w:val="0"/>
          <w:bCs/>
          <w:color w:val="auto"/>
          <w:sz w:val="20"/>
          <w:szCs w:val="20"/>
        </w:rPr>
        <w:t>мінімумів</w:t>
      </w:r>
      <w:r w:rsidRPr="000977F7">
        <w:rPr>
          <w:b w:val="0"/>
          <w:bCs/>
          <w:color w:val="auto"/>
          <w:spacing w:val="-2"/>
          <w:sz w:val="20"/>
          <w:szCs w:val="20"/>
        </w:rPr>
        <w:t xml:space="preserve"> </w:t>
      </w:r>
      <w:r w:rsidRPr="000977F7">
        <w:rPr>
          <w:b w:val="0"/>
          <w:bCs/>
          <w:color w:val="auto"/>
          <w:sz w:val="20"/>
          <w:szCs w:val="20"/>
        </w:rPr>
        <w:t>доходів</w:t>
      </w:r>
      <w:r w:rsidRPr="000977F7">
        <w:rPr>
          <w:b w:val="0"/>
          <w:bCs/>
          <w:color w:val="auto"/>
          <w:spacing w:val="-2"/>
          <w:sz w:val="20"/>
          <w:szCs w:val="20"/>
        </w:rPr>
        <w:t xml:space="preserve"> </w:t>
      </w:r>
      <w:r w:rsidRPr="000977F7">
        <w:rPr>
          <w:b w:val="0"/>
          <w:bCs/>
          <w:color w:val="auto"/>
          <w:sz w:val="20"/>
          <w:szCs w:val="20"/>
        </w:rPr>
        <w:t>громадян.</w:t>
      </w:r>
    </w:p>
    <w:p w14:paraId="0877FE9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Ухилення посадових осіб і громадян, які займаються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підприємницькою діяльністю, від своєчасного виконання приписів посадових осіб центрального органу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виконавчої влади, що реалізує державну політику 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сфері державного контролю за додержанням законодавства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захист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споживачів,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усунення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порушень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споживачів тягне за собою накладення штрафу від одного до вісімнадцяти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неоподатковуваних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мінімумів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доходів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громадян.</w:t>
      </w:r>
    </w:p>
    <w:p w14:paraId="7E6F085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188-2 Кодексу України про адміністративні порушення</w:t>
      </w:r>
    </w:p>
    <w:p w14:paraId="049F42B4"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0977F7">
        <w:rPr>
          <w:rFonts w:asciiTheme="majorHAnsi" w:hAnsiTheme="majorHAnsi"/>
          <w:b/>
          <w:sz w:val="20"/>
          <w:szCs w:val="20"/>
        </w:rPr>
        <w:t>УЧАСНИК</w:t>
      </w:r>
      <w:r w:rsidRPr="004D2D14">
        <w:rPr>
          <w:rFonts w:asciiTheme="majorHAnsi" w:hAnsiTheme="majorHAnsi"/>
          <w:b/>
          <w:sz w:val="20"/>
          <w:szCs w:val="20"/>
          <w:lang w:val="en-US"/>
        </w:rPr>
        <w:t xml:space="preserve"> (</w:t>
      </w:r>
      <w:r w:rsidRPr="000977F7">
        <w:rPr>
          <w:rFonts w:asciiTheme="majorHAnsi" w:hAnsiTheme="majorHAnsi"/>
          <w:b/>
          <w:sz w:val="20"/>
          <w:szCs w:val="20"/>
        </w:rPr>
        <w:t>СИСТЕМИ</w:t>
      </w:r>
      <w:r w:rsidRPr="004D2D14">
        <w:rPr>
          <w:rFonts w:asciiTheme="majorHAnsi" w:hAnsiTheme="majorHAnsi"/>
          <w:b/>
          <w:sz w:val="20"/>
          <w:szCs w:val="20"/>
          <w:lang w:val="en-US"/>
        </w:rPr>
        <w:t xml:space="preserve"> </w:t>
      </w:r>
      <w:r w:rsidRPr="000977F7">
        <w:rPr>
          <w:rFonts w:asciiTheme="majorHAnsi" w:hAnsiTheme="majorHAnsi"/>
          <w:b/>
          <w:sz w:val="20"/>
          <w:szCs w:val="20"/>
        </w:rPr>
        <w:t>АБО</w:t>
      </w:r>
      <w:r w:rsidRPr="004D2D14">
        <w:rPr>
          <w:rFonts w:asciiTheme="majorHAnsi" w:hAnsiTheme="majorHAnsi"/>
          <w:b/>
          <w:sz w:val="20"/>
          <w:szCs w:val="20"/>
          <w:lang w:val="en-US"/>
        </w:rPr>
        <w:t xml:space="preserve"> </w:t>
      </w:r>
      <w:r w:rsidRPr="000977F7">
        <w:rPr>
          <w:rFonts w:asciiTheme="majorHAnsi" w:hAnsiTheme="majorHAnsi"/>
          <w:b/>
          <w:sz w:val="20"/>
          <w:szCs w:val="20"/>
        </w:rPr>
        <w:t>СХЕМИ</w:t>
      </w:r>
      <w:r w:rsidRPr="004D2D14">
        <w:rPr>
          <w:rFonts w:asciiTheme="majorHAnsi" w:hAnsiTheme="majorHAnsi"/>
          <w:b/>
          <w:sz w:val="20"/>
          <w:szCs w:val="20"/>
          <w:lang w:val="en-US"/>
        </w:rPr>
        <w:t>) –</w:t>
      </w:r>
      <w:r w:rsidRPr="004D2D14">
        <w:rPr>
          <w:rFonts w:asciiTheme="majorHAnsi" w:hAnsiTheme="majorHAnsi"/>
          <w:b/>
          <w:spacing w:val="1"/>
          <w:sz w:val="20"/>
          <w:szCs w:val="20"/>
          <w:lang w:val="en-US"/>
        </w:rPr>
        <w:t xml:space="preserve"> </w:t>
      </w:r>
      <w:r w:rsidRPr="004D2D14">
        <w:rPr>
          <w:rFonts w:asciiTheme="majorHAnsi" w:hAnsiTheme="majorHAnsi"/>
          <w:sz w:val="20"/>
          <w:szCs w:val="20"/>
          <w:lang w:val="en-US"/>
        </w:rPr>
        <w:t>PARTICIPANT;</w:t>
      </w:r>
      <w:r w:rsidRPr="004D2D14">
        <w:rPr>
          <w:rFonts w:asciiTheme="majorHAnsi" w:hAnsiTheme="majorHAnsi"/>
          <w:spacing w:val="17"/>
          <w:sz w:val="20"/>
          <w:szCs w:val="20"/>
          <w:lang w:val="en-US"/>
        </w:rPr>
        <w:t xml:space="preserve"> </w:t>
      </w:r>
      <w:r w:rsidRPr="004D2D14">
        <w:rPr>
          <w:rFonts w:asciiTheme="majorHAnsi" w:hAnsiTheme="majorHAnsi"/>
          <w:sz w:val="20"/>
          <w:szCs w:val="20"/>
          <w:lang w:val="en-US"/>
        </w:rPr>
        <w:t>PARTICIPANT</w:t>
      </w:r>
      <w:r w:rsidRPr="004D2D14">
        <w:rPr>
          <w:rFonts w:asciiTheme="majorHAnsi" w:hAnsiTheme="majorHAnsi"/>
          <w:spacing w:val="20"/>
          <w:sz w:val="20"/>
          <w:szCs w:val="20"/>
          <w:lang w:val="en-US"/>
        </w:rPr>
        <w:t xml:space="preserve"> </w:t>
      </w:r>
      <w:r w:rsidRPr="004D2D14">
        <w:rPr>
          <w:rFonts w:asciiTheme="majorHAnsi" w:hAnsiTheme="majorHAnsi"/>
          <w:sz w:val="20"/>
          <w:szCs w:val="20"/>
          <w:lang w:val="en-US"/>
        </w:rPr>
        <w:t>IN</w:t>
      </w:r>
      <w:r w:rsidRPr="004D2D14">
        <w:rPr>
          <w:rFonts w:asciiTheme="majorHAnsi" w:hAnsiTheme="majorHAnsi"/>
          <w:spacing w:val="20"/>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15"/>
          <w:sz w:val="20"/>
          <w:szCs w:val="20"/>
          <w:lang w:val="en-US"/>
        </w:rPr>
        <w:t xml:space="preserve"> </w:t>
      </w:r>
      <w:r w:rsidRPr="004D2D14">
        <w:rPr>
          <w:rFonts w:asciiTheme="majorHAnsi" w:hAnsiTheme="majorHAnsi"/>
          <w:sz w:val="20"/>
          <w:szCs w:val="20"/>
          <w:lang w:val="en-US"/>
        </w:rPr>
        <w:t>SYSTEM</w:t>
      </w:r>
      <w:r w:rsidRPr="004D2D14">
        <w:rPr>
          <w:rFonts w:asciiTheme="majorHAnsi" w:hAnsiTheme="majorHAnsi"/>
          <w:spacing w:val="22"/>
          <w:sz w:val="20"/>
          <w:szCs w:val="20"/>
          <w:lang w:val="en-US"/>
        </w:rPr>
        <w:t xml:space="preserve"> </w:t>
      </w:r>
      <w:r w:rsidRPr="004D2D14">
        <w:rPr>
          <w:rFonts w:asciiTheme="majorHAnsi" w:hAnsiTheme="majorHAnsi"/>
          <w:sz w:val="20"/>
          <w:szCs w:val="20"/>
          <w:lang w:val="en-US"/>
        </w:rPr>
        <w:t>OR</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SCHEME –</w:t>
      </w:r>
    </w:p>
    <w:p w14:paraId="6CCEB24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1"/>
          <w:sz w:val="20"/>
          <w:szCs w:val="20"/>
        </w:rPr>
        <w:t xml:space="preserve"> </w:t>
      </w:r>
      <w:r w:rsidRPr="000977F7">
        <w:rPr>
          <w:rFonts w:asciiTheme="majorHAnsi" w:hAnsiTheme="majorHAnsi"/>
          <w:sz w:val="20"/>
          <w:szCs w:val="20"/>
        </w:rPr>
        <w:t>сертифікації,</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діє</w:t>
      </w:r>
      <w:r w:rsidRPr="000977F7">
        <w:rPr>
          <w:rFonts w:asciiTheme="majorHAnsi" w:hAnsiTheme="majorHAnsi"/>
          <w:spacing w:val="1"/>
          <w:sz w:val="20"/>
          <w:szCs w:val="20"/>
        </w:rPr>
        <w:t xml:space="preserve"> </w:t>
      </w:r>
      <w:r w:rsidRPr="000977F7">
        <w:rPr>
          <w:rFonts w:asciiTheme="majorHAnsi" w:hAnsiTheme="majorHAnsi"/>
          <w:sz w:val="20"/>
          <w:szCs w:val="20"/>
        </w:rPr>
        <w:t>згідно</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правилами</w:t>
      </w:r>
      <w:r w:rsidRPr="000977F7">
        <w:rPr>
          <w:rFonts w:asciiTheme="majorHAnsi" w:hAnsiTheme="majorHAnsi"/>
          <w:spacing w:val="-47"/>
          <w:sz w:val="20"/>
          <w:szCs w:val="20"/>
        </w:rPr>
        <w:t xml:space="preserve"> </w:t>
      </w:r>
      <w:r w:rsidRPr="000977F7">
        <w:rPr>
          <w:rFonts w:asciiTheme="majorHAnsi" w:hAnsiTheme="majorHAnsi"/>
          <w:sz w:val="20"/>
          <w:szCs w:val="20"/>
        </w:rPr>
        <w:t>даної</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але</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має</w:t>
      </w:r>
      <w:r w:rsidRPr="000977F7">
        <w:rPr>
          <w:rFonts w:asciiTheme="majorHAnsi" w:hAnsiTheme="majorHAnsi"/>
          <w:spacing w:val="1"/>
          <w:sz w:val="20"/>
          <w:szCs w:val="20"/>
        </w:rPr>
        <w:t xml:space="preserve"> </w:t>
      </w:r>
      <w:r w:rsidRPr="000977F7">
        <w:rPr>
          <w:rFonts w:asciiTheme="majorHAnsi" w:hAnsiTheme="majorHAnsi"/>
          <w:sz w:val="20"/>
          <w:szCs w:val="20"/>
        </w:rPr>
        <w:t>можливості</w:t>
      </w:r>
      <w:r w:rsidRPr="000977F7">
        <w:rPr>
          <w:rFonts w:asciiTheme="majorHAnsi" w:hAnsiTheme="majorHAnsi"/>
          <w:spacing w:val="50"/>
          <w:sz w:val="20"/>
          <w:szCs w:val="20"/>
        </w:rPr>
        <w:t xml:space="preserve"> </w:t>
      </w:r>
      <w:r w:rsidRPr="000977F7">
        <w:rPr>
          <w:rFonts w:asciiTheme="majorHAnsi" w:hAnsiTheme="majorHAnsi"/>
          <w:sz w:val="20"/>
          <w:szCs w:val="20"/>
        </w:rPr>
        <w:t>приймати</w:t>
      </w:r>
      <w:r w:rsidRPr="000977F7">
        <w:rPr>
          <w:rFonts w:asciiTheme="majorHAnsi" w:hAnsiTheme="majorHAnsi"/>
          <w:spacing w:val="1"/>
          <w:sz w:val="20"/>
          <w:szCs w:val="20"/>
        </w:rPr>
        <w:t xml:space="preserve"> </w:t>
      </w:r>
      <w:r w:rsidRPr="000977F7">
        <w:rPr>
          <w:rFonts w:asciiTheme="majorHAnsi" w:hAnsiTheme="majorHAnsi"/>
          <w:sz w:val="20"/>
          <w:szCs w:val="20"/>
        </w:rPr>
        <w:t>участь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керуванні</w:t>
      </w:r>
      <w:r w:rsidRPr="000977F7">
        <w:rPr>
          <w:rFonts w:asciiTheme="majorHAnsi" w:hAnsiTheme="majorHAnsi"/>
          <w:spacing w:val="-1"/>
          <w:sz w:val="20"/>
          <w:szCs w:val="20"/>
        </w:rPr>
        <w:t xml:space="preserve"> </w:t>
      </w:r>
      <w:r w:rsidRPr="000977F7">
        <w:rPr>
          <w:rFonts w:asciiTheme="majorHAnsi" w:hAnsiTheme="majorHAnsi"/>
          <w:sz w:val="20"/>
          <w:szCs w:val="20"/>
        </w:rPr>
        <w:t>системою</w:t>
      </w:r>
    </w:p>
    <w:p w14:paraId="509950A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pacing w:val="-12"/>
          <w:sz w:val="20"/>
          <w:szCs w:val="20"/>
        </w:rPr>
        <w:t>ДСТУ ISO/IEC</w:t>
      </w:r>
      <w:r w:rsidRPr="000977F7">
        <w:rPr>
          <w:rFonts w:asciiTheme="majorHAnsi" w:hAnsiTheme="majorHAnsi"/>
          <w:i/>
          <w:spacing w:val="-30"/>
          <w:sz w:val="20"/>
          <w:szCs w:val="20"/>
        </w:rPr>
        <w:t xml:space="preserve"> </w:t>
      </w:r>
      <w:r w:rsidRPr="000977F7">
        <w:rPr>
          <w:rFonts w:asciiTheme="majorHAnsi" w:hAnsiTheme="majorHAnsi"/>
          <w:i/>
          <w:spacing w:val="-11"/>
          <w:sz w:val="20"/>
          <w:szCs w:val="20"/>
        </w:rPr>
        <w:t>17000:2007</w:t>
      </w:r>
    </w:p>
    <w:p w14:paraId="24B856B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УЧАСТЬ</w:t>
      </w:r>
      <w:r w:rsidRPr="000977F7">
        <w:rPr>
          <w:color w:val="auto"/>
          <w:spacing w:val="1"/>
          <w:sz w:val="20"/>
          <w:szCs w:val="20"/>
        </w:rPr>
        <w:t xml:space="preserve"> </w:t>
      </w:r>
      <w:r w:rsidRPr="000977F7">
        <w:rPr>
          <w:color w:val="auto"/>
          <w:sz w:val="20"/>
          <w:szCs w:val="20"/>
        </w:rPr>
        <w:t>УКРАЇНИ</w:t>
      </w:r>
      <w:r w:rsidRPr="000977F7">
        <w:rPr>
          <w:color w:val="auto"/>
          <w:spacing w:val="1"/>
          <w:sz w:val="20"/>
          <w:szCs w:val="20"/>
        </w:rPr>
        <w:t xml:space="preserve"> </w:t>
      </w:r>
      <w:r w:rsidRPr="000977F7">
        <w:rPr>
          <w:color w:val="auto"/>
          <w:sz w:val="20"/>
          <w:szCs w:val="20"/>
        </w:rPr>
        <w:t>У</w:t>
      </w:r>
      <w:r w:rsidRPr="000977F7">
        <w:rPr>
          <w:color w:val="auto"/>
          <w:spacing w:val="1"/>
          <w:sz w:val="20"/>
          <w:szCs w:val="20"/>
        </w:rPr>
        <w:t xml:space="preserve"> </w:t>
      </w:r>
      <w:r w:rsidRPr="000977F7">
        <w:rPr>
          <w:color w:val="auto"/>
          <w:sz w:val="20"/>
          <w:szCs w:val="20"/>
        </w:rPr>
        <w:t>МІЖНАРОДНОМУ</w:t>
      </w:r>
      <w:r w:rsidRPr="000977F7">
        <w:rPr>
          <w:color w:val="auto"/>
          <w:spacing w:val="-47"/>
          <w:sz w:val="20"/>
          <w:szCs w:val="20"/>
        </w:rPr>
        <w:t xml:space="preserve"> </w:t>
      </w:r>
      <w:r w:rsidRPr="000977F7">
        <w:rPr>
          <w:color w:val="auto"/>
          <w:sz w:val="20"/>
          <w:szCs w:val="20"/>
        </w:rPr>
        <w:t>СПІВРОБІТНИЦТВІ У ГАЛУЗІ ОХОРОНИ НАВКОЛИШНЬОГО</w:t>
      </w:r>
      <w:r w:rsidRPr="000977F7">
        <w:rPr>
          <w:color w:val="auto"/>
          <w:spacing w:val="43"/>
          <w:sz w:val="20"/>
          <w:szCs w:val="20"/>
        </w:rPr>
        <w:t xml:space="preserve"> </w:t>
      </w:r>
      <w:r w:rsidRPr="000977F7">
        <w:rPr>
          <w:color w:val="auto"/>
          <w:sz w:val="20"/>
          <w:szCs w:val="20"/>
        </w:rPr>
        <w:t>ПРИРОДНОГО</w:t>
      </w:r>
      <w:r w:rsidRPr="000977F7">
        <w:rPr>
          <w:color w:val="auto"/>
          <w:spacing w:val="44"/>
          <w:sz w:val="20"/>
          <w:szCs w:val="20"/>
        </w:rPr>
        <w:t xml:space="preserve"> </w:t>
      </w:r>
      <w:r w:rsidRPr="000977F7">
        <w:rPr>
          <w:color w:val="auto"/>
          <w:sz w:val="20"/>
          <w:szCs w:val="20"/>
        </w:rPr>
        <w:t>СЕРЕДОВИЩА -</w:t>
      </w:r>
    </w:p>
    <w:p w14:paraId="4EE34C7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Україна</w:t>
      </w:r>
      <w:r w:rsidRPr="000977F7">
        <w:rPr>
          <w:rFonts w:asciiTheme="majorHAnsi" w:hAnsiTheme="majorHAnsi"/>
          <w:spacing w:val="20"/>
          <w:sz w:val="20"/>
          <w:szCs w:val="20"/>
        </w:rPr>
        <w:t xml:space="preserve"> </w:t>
      </w:r>
      <w:r w:rsidRPr="000977F7">
        <w:rPr>
          <w:rFonts w:asciiTheme="majorHAnsi" w:hAnsiTheme="majorHAnsi"/>
          <w:sz w:val="20"/>
          <w:szCs w:val="20"/>
        </w:rPr>
        <w:t>бере</w:t>
      </w:r>
      <w:r w:rsidRPr="000977F7">
        <w:rPr>
          <w:rFonts w:asciiTheme="majorHAnsi" w:hAnsiTheme="majorHAnsi"/>
          <w:spacing w:val="21"/>
          <w:sz w:val="20"/>
          <w:szCs w:val="20"/>
        </w:rPr>
        <w:t xml:space="preserve"> </w:t>
      </w:r>
      <w:r w:rsidRPr="000977F7">
        <w:rPr>
          <w:rFonts w:asciiTheme="majorHAnsi" w:hAnsiTheme="majorHAnsi"/>
          <w:sz w:val="20"/>
          <w:szCs w:val="20"/>
        </w:rPr>
        <w:t>участь</w:t>
      </w:r>
      <w:r w:rsidRPr="000977F7">
        <w:rPr>
          <w:rFonts w:asciiTheme="majorHAnsi" w:hAnsiTheme="majorHAnsi"/>
          <w:spacing w:val="21"/>
          <w:sz w:val="20"/>
          <w:szCs w:val="20"/>
        </w:rPr>
        <w:t xml:space="preserve"> </w:t>
      </w:r>
      <w:r w:rsidRPr="000977F7">
        <w:rPr>
          <w:rFonts w:asciiTheme="majorHAnsi" w:hAnsiTheme="majorHAnsi"/>
          <w:sz w:val="20"/>
          <w:szCs w:val="20"/>
        </w:rPr>
        <w:t>у</w:t>
      </w:r>
      <w:r w:rsidRPr="000977F7">
        <w:rPr>
          <w:rFonts w:asciiTheme="majorHAnsi" w:hAnsiTheme="majorHAnsi"/>
          <w:spacing w:val="17"/>
          <w:sz w:val="20"/>
          <w:szCs w:val="20"/>
        </w:rPr>
        <w:t xml:space="preserve"> </w:t>
      </w:r>
      <w:r w:rsidRPr="000977F7">
        <w:rPr>
          <w:rFonts w:asciiTheme="majorHAnsi" w:hAnsiTheme="majorHAnsi"/>
          <w:sz w:val="20"/>
          <w:szCs w:val="20"/>
        </w:rPr>
        <w:t>міжнародному</w:t>
      </w:r>
      <w:r w:rsidRPr="000977F7">
        <w:rPr>
          <w:rFonts w:asciiTheme="majorHAnsi" w:hAnsiTheme="majorHAnsi"/>
          <w:spacing w:val="16"/>
          <w:sz w:val="20"/>
          <w:szCs w:val="20"/>
        </w:rPr>
        <w:t xml:space="preserve"> </w:t>
      </w:r>
      <w:r w:rsidRPr="000977F7">
        <w:rPr>
          <w:rFonts w:asciiTheme="majorHAnsi" w:hAnsiTheme="majorHAnsi"/>
          <w:sz w:val="20"/>
          <w:szCs w:val="20"/>
        </w:rPr>
        <w:t>співробітництві</w:t>
      </w:r>
      <w:r w:rsidRPr="000977F7">
        <w:rPr>
          <w:rFonts w:asciiTheme="majorHAnsi" w:hAnsiTheme="majorHAnsi"/>
          <w:spacing w:val="-47"/>
          <w:sz w:val="20"/>
          <w:szCs w:val="20"/>
        </w:rPr>
        <w:t xml:space="preserve"> </w:t>
      </w:r>
      <w:r w:rsidRPr="000977F7">
        <w:rPr>
          <w:rFonts w:asciiTheme="majorHAnsi" w:hAnsiTheme="majorHAnsi"/>
          <w:sz w:val="20"/>
          <w:szCs w:val="20"/>
        </w:rPr>
        <w:t>у галузі охорони навколишнього природного середовища на державному рівні відповідно до законодавства</w:t>
      </w:r>
      <w:r w:rsidRPr="000977F7">
        <w:rPr>
          <w:rFonts w:asciiTheme="majorHAnsi" w:hAnsiTheme="majorHAnsi"/>
          <w:spacing w:val="-2"/>
          <w:sz w:val="20"/>
          <w:szCs w:val="20"/>
        </w:rPr>
        <w:t xml:space="preserve"> </w:t>
      </w:r>
      <w:r w:rsidRPr="000977F7">
        <w:rPr>
          <w:rFonts w:asciiTheme="majorHAnsi" w:hAnsiTheme="majorHAnsi"/>
          <w:sz w:val="20"/>
          <w:szCs w:val="20"/>
        </w:rPr>
        <w:t>України</w:t>
      </w:r>
      <w:r w:rsidRPr="000977F7">
        <w:rPr>
          <w:rFonts w:asciiTheme="majorHAnsi" w:hAnsiTheme="majorHAnsi"/>
          <w:spacing w:val="-1"/>
          <w:sz w:val="20"/>
          <w:szCs w:val="20"/>
        </w:rPr>
        <w:t xml:space="preserve"> </w:t>
      </w:r>
      <w:r w:rsidRPr="000977F7">
        <w:rPr>
          <w:rFonts w:asciiTheme="majorHAnsi" w:hAnsiTheme="majorHAnsi"/>
          <w:sz w:val="20"/>
          <w:szCs w:val="20"/>
        </w:rPr>
        <w:t>та міжнародного</w:t>
      </w:r>
      <w:r w:rsidRPr="000977F7">
        <w:rPr>
          <w:rFonts w:asciiTheme="majorHAnsi" w:hAnsiTheme="majorHAnsi"/>
          <w:spacing w:val="2"/>
          <w:sz w:val="20"/>
          <w:szCs w:val="20"/>
        </w:rPr>
        <w:t xml:space="preserve"> </w:t>
      </w:r>
      <w:r w:rsidRPr="000977F7">
        <w:rPr>
          <w:rFonts w:asciiTheme="majorHAnsi" w:hAnsiTheme="majorHAnsi"/>
          <w:sz w:val="20"/>
          <w:szCs w:val="20"/>
        </w:rPr>
        <w:t>права.</w:t>
      </w:r>
    </w:p>
    <w:p w14:paraId="00FA8FD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Якщо</w:t>
      </w:r>
      <w:r w:rsidRPr="000977F7">
        <w:rPr>
          <w:rFonts w:asciiTheme="majorHAnsi" w:hAnsiTheme="majorHAnsi"/>
          <w:spacing w:val="1"/>
          <w:sz w:val="20"/>
          <w:szCs w:val="20"/>
        </w:rPr>
        <w:t xml:space="preserve"> </w:t>
      </w:r>
      <w:r w:rsidRPr="000977F7">
        <w:rPr>
          <w:rFonts w:asciiTheme="majorHAnsi" w:hAnsiTheme="majorHAnsi"/>
          <w:sz w:val="20"/>
          <w:szCs w:val="20"/>
        </w:rPr>
        <w:t>міжнародним</w:t>
      </w:r>
      <w:r w:rsidRPr="000977F7">
        <w:rPr>
          <w:rFonts w:asciiTheme="majorHAnsi" w:hAnsiTheme="majorHAnsi"/>
          <w:spacing w:val="1"/>
          <w:sz w:val="20"/>
          <w:szCs w:val="20"/>
        </w:rPr>
        <w:t xml:space="preserve"> </w:t>
      </w:r>
      <w:r w:rsidRPr="000977F7">
        <w:rPr>
          <w:rFonts w:asciiTheme="majorHAnsi" w:hAnsiTheme="majorHAnsi"/>
          <w:sz w:val="20"/>
          <w:szCs w:val="20"/>
        </w:rPr>
        <w:t>договором,</w:t>
      </w:r>
      <w:r w:rsidRPr="000977F7">
        <w:rPr>
          <w:rFonts w:asciiTheme="majorHAnsi" w:hAnsiTheme="majorHAnsi"/>
          <w:spacing w:val="1"/>
          <w:sz w:val="20"/>
          <w:szCs w:val="20"/>
        </w:rPr>
        <w:t xml:space="preserve"> </w:t>
      </w:r>
      <w:r w:rsidRPr="000977F7">
        <w:rPr>
          <w:rFonts w:asciiTheme="majorHAnsi" w:hAnsiTheme="majorHAnsi"/>
          <w:sz w:val="20"/>
          <w:szCs w:val="20"/>
        </w:rPr>
        <w:t>згода</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обов'язковість якого надана Верховною Радою України, встановлено інші правила, ніж ті, що містяться в законодавстві України про охорону навколишнього природного середовища, то застосовуються правила міжнародного договору.</w:t>
      </w:r>
    </w:p>
    <w:p w14:paraId="276BD2B7"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Україна</w:t>
      </w:r>
      <w:r w:rsidRPr="000977F7">
        <w:rPr>
          <w:rFonts w:asciiTheme="majorHAnsi" w:hAnsiTheme="majorHAnsi"/>
          <w:spacing w:val="12"/>
          <w:sz w:val="20"/>
          <w:szCs w:val="20"/>
        </w:rPr>
        <w:t xml:space="preserve"> </w:t>
      </w:r>
      <w:r w:rsidRPr="000977F7">
        <w:rPr>
          <w:rFonts w:asciiTheme="majorHAnsi" w:hAnsiTheme="majorHAnsi"/>
          <w:sz w:val="20"/>
          <w:szCs w:val="20"/>
        </w:rPr>
        <w:t>здійснює</w:t>
      </w:r>
      <w:r w:rsidRPr="000977F7">
        <w:rPr>
          <w:rFonts w:asciiTheme="majorHAnsi" w:hAnsiTheme="majorHAnsi"/>
          <w:spacing w:val="12"/>
          <w:sz w:val="20"/>
          <w:szCs w:val="20"/>
        </w:rPr>
        <w:t xml:space="preserve"> </w:t>
      </w:r>
      <w:r w:rsidRPr="000977F7">
        <w:rPr>
          <w:rFonts w:asciiTheme="majorHAnsi" w:hAnsiTheme="majorHAnsi"/>
          <w:sz w:val="20"/>
          <w:szCs w:val="20"/>
        </w:rPr>
        <w:t>заходи</w:t>
      </w:r>
      <w:r w:rsidRPr="000977F7">
        <w:rPr>
          <w:rFonts w:asciiTheme="majorHAnsi" w:hAnsiTheme="majorHAnsi"/>
          <w:spacing w:val="10"/>
          <w:sz w:val="20"/>
          <w:szCs w:val="20"/>
        </w:rPr>
        <w:t xml:space="preserve"> </w:t>
      </w:r>
      <w:r w:rsidRPr="000977F7">
        <w:rPr>
          <w:rFonts w:asciiTheme="majorHAnsi" w:hAnsiTheme="majorHAnsi"/>
          <w:sz w:val="20"/>
          <w:szCs w:val="20"/>
        </w:rPr>
        <w:t>щодо</w:t>
      </w:r>
      <w:r w:rsidRPr="000977F7">
        <w:rPr>
          <w:rFonts w:asciiTheme="majorHAnsi" w:hAnsiTheme="majorHAnsi"/>
          <w:spacing w:val="11"/>
          <w:sz w:val="20"/>
          <w:szCs w:val="20"/>
        </w:rPr>
        <w:t xml:space="preserve"> </w:t>
      </w:r>
      <w:r w:rsidRPr="000977F7">
        <w:rPr>
          <w:rFonts w:asciiTheme="majorHAnsi" w:hAnsiTheme="majorHAnsi"/>
          <w:sz w:val="20"/>
          <w:szCs w:val="20"/>
        </w:rPr>
        <w:t>розвитку</w:t>
      </w:r>
      <w:r w:rsidRPr="000977F7">
        <w:rPr>
          <w:rFonts w:asciiTheme="majorHAnsi" w:hAnsiTheme="majorHAnsi"/>
          <w:spacing w:val="7"/>
          <w:sz w:val="20"/>
          <w:szCs w:val="20"/>
        </w:rPr>
        <w:t xml:space="preserve"> </w:t>
      </w:r>
      <w:r w:rsidRPr="000977F7">
        <w:rPr>
          <w:rFonts w:asciiTheme="majorHAnsi" w:hAnsiTheme="majorHAnsi"/>
          <w:sz w:val="20"/>
          <w:szCs w:val="20"/>
        </w:rPr>
        <w:t>та</w:t>
      </w:r>
      <w:r w:rsidRPr="000977F7">
        <w:rPr>
          <w:rFonts w:asciiTheme="majorHAnsi" w:hAnsiTheme="majorHAnsi"/>
          <w:spacing w:val="12"/>
          <w:sz w:val="20"/>
          <w:szCs w:val="20"/>
        </w:rPr>
        <w:t xml:space="preserve"> </w:t>
      </w:r>
      <w:r w:rsidRPr="000977F7">
        <w:rPr>
          <w:rFonts w:asciiTheme="majorHAnsi" w:hAnsiTheme="majorHAnsi"/>
          <w:sz w:val="20"/>
          <w:szCs w:val="20"/>
        </w:rPr>
        <w:t>зміцнення міжнародного</w:t>
      </w:r>
      <w:r w:rsidRPr="000977F7">
        <w:rPr>
          <w:rFonts w:asciiTheme="majorHAnsi" w:hAnsiTheme="majorHAnsi"/>
          <w:spacing w:val="1"/>
          <w:sz w:val="20"/>
          <w:szCs w:val="20"/>
        </w:rPr>
        <w:t xml:space="preserve"> </w:t>
      </w:r>
      <w:r w:rsidRPr="000977F7">
        <w:rPr>
          <w:rFonts w:asciiTheme="majorHAnsi" w:hAnsiTheme="majorHAnsi"/>
          <w:sz w:val="20"/>
          <w:szCs w:val="20"/>
        </w:rPr>
        <w:t>співробітництва</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галузі</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36"/>
          <w:sz w:val="20"/>
          <w:szCs w:val="20"/>
        </w:rPr>
        <w:t xml:space="preserve"> </w:t>
      </w:r>
      <w:r w:rsidRPr="000977F7">
        <w:rPr>
          <w:rFonts w:asciiTheme="majorHAnsi" w:hAnsiTheme="majorHAnsi"/>
          <w:sz w:val="20"/>
          <w:szCs w:val="20"/>
        </w:rPr>
        <w:t>природного</w:t>
      </w:r>
      <w:r w:rsidRPr="000977F7">
        <w:rPr>
          <w:rFonts w:asciiTheme="majorHAnsi" w:hAnsiTheme="majorHAnsi"/>
          <w:spacing w:val="34"/>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33"/>
          <w:sz w:val="20"/>
          <w:szCs w:val="20"/>
        </w:rPr>
        <w:t xml:space="preserve"> </w:t>
      </w:r>
      <w:r w:rsidRPr="000977F7">
        <w:rPr>
          <w:rFonts w:asciiTheme="majorHAnsi" w:hAnsiTheme="majorHAnsi"/>
          <w:sz w:val="20"/>
          <w:szCs w:val="20"/>
        </w:rPr>
        <w:t>з</w:t>
      </w:r>
      <w:r w:rsidRPr="000977F7">
        <w:rPr>
          <w:rFonts w:asciiTheme="majorHAnsi" w:hAnsiTheme="majorHAnsi"/>
          <w:spacing w:val="36"/>
          <w:sz w:val="20"/>
          <w:szCs w:val="20"/>
        </w:rPr>
        <w:t xml:space="preserve"> </w:t>
      </w:r>
      <w:r w:rsidRPr="000977F7">
        <w:rPr>
          <w:rFonts w:asciiTheme="majorHAnsi" w:hAnsiTheme="majorHAnsi"/>
          <w:sz w:val="20"/>
          <w:szCs w:val="20"/>
        </w:rPr>
        <w:t>іншими</w:t>
      </w:r>
      <w:r w:rsidRPr="000977F7">
        <w:rPr>
          <w:rFonts w:asciiTheme="majorHAnsi" w:hAnsiTheme="majorHAnsi"/>
          <w:spacing w:val="34"/>
          <w:sz w:val="20"/>
          <w:szCs w:val="20"/>
        </w:rPr>
        <w:t xml:space="preserve"> </w:t>
      </w:r>
      <w:r w:rsidRPr="000977F7">
        <w:rPr>
          <w:rFonts w:asciiTheme="majorHAnsi" w:hAnsiTheme="majorHAnsi"/>
          <w:sz w:val="20"/>
          <w:szCs w:val="20"/>
        </w:rPr>
        <w:t>державами,</w:t>
      </w:r>
      <w:r w:rsidRPr="000977F7">
        <w:rPr>
          <w:rFonts w:asciiTheme="majorHAnsi" w:hAnsiTheme="majorHAnsi"/>
          <w:spacing w:val="13"/>
          <w:sz w:val="20"/>
          <w:szCs w:val="20"/>
        </w:rPr>
        <w:t xml:space="preserve"> </w:t>
      </w:r>
      <w:r w:rsidRPr="000977F7">
        <w:rPr>
          <w:rFonts w:asciiTheme="majorHAnsi" w:hAnsiTheme="majorHAnsi"/>
          <w:sz w:val="20"/>
          <w:szCs w:val="20"/>
        </w:rPr>
        <w:t>а</w:t>
      </w:r>
      <w:r w:rsidRPr="000977F7">
        <w:rPr>
          <w:rFonts w:asciiTheme="majorHAnsi" w:hAnsiTheme="majorHAnsi"/>
          <w:spacing w:val="16"/>
          <w:sz w:val="20"/>
          <w:szCs w:val="20"/>
        </w:rPr>
        <w:t xml:space="preserve"> </w:t>
      </w:r>
      <w:r w:rsidRPr="000977F7">
        <w:rPr>
          <w:rFonts w:asciiTheme="majorHAnsi" w:hAnsiTheme="majorHAnsi"/>
          <w:sz w:val="20"/>
          <w:szCs w:val="20"/>
        </w:rPr>
        <w:t>також</w:t>
      </w:r>
      <w:r w:rsidRPr="000977F7">
        <w:rPr>
          <w:rFonts w:asciiTheme="majorHAnsi" w:hAnsiTheme="majorHAnsi"/>
          <w:spacing w:val="13"/>
          <w:sz w:val="20"/>
          <w:szCs w:val="20"/>
        </w:rPr>
        <w:t xml:space="preserve"> </w:t>
      </w:r>
      <w:r w:rsidRPr="000977F7">
        <w:rPr>
          <w:rFonts w:asciiTheme="majorHAnsi" w:hAnsiTheme="majorHAnsi"/>
          <w:sz w:val="20"/>
          <w:szCs w:val="20"/>
        </w:rPr>
        <w:t>в</w:t>
      </w:r>
      <w:r w:rsidRPr="000977F7">
        <w:rPr>
          <w:rFonts w:asciiTheme="majorHAnsi" w:hAnsiTheme="majorHAnsi"/>
          <w:spacing w:val="13"/>
          <w:sz w:val="20"/>
          <w:szCs w:val="20"/>
        </w:rPr>
        <w:t xml:space="preserve"> </w:t>
      </w:r>
      <w:r w:rsidRPr="000977F7">
        <w:rPr>
          <w:rFonts w:asciiTheme="majorHAnsi" w:hAnsiTheme="majorHAnsi"/>
          <w:sz w:val="20"/>
          <w:szCs w:val="20"/>
        </w:rPr>
        <w:t>рамках</w:t>
      </w:r>
      <w:r w:rsidRPr="000977F7">
        <w:rPr>
          <w:rFonts w:asciiTheme="majorHAnsi" w:hAnsiTheme="majorHAnsi"/>
          <w:spacing w:val="12"/>
          <w:sz w:val="20"/>
          <w:szCs w:val="20"/>
        </w:rPr>
        <w:t xml:space="preserve"> </w:t>
      </w:r>
      <w:r w:rsidRPr="000977F7">
        <w:rPr>
          <w:rFonts w:asciiTheme="majorHAnsi" w:hAnsiTheme="majorHAnsi"/>
          <w:sz w:val="20"/>
          <w:szCs w:val="20"/>
        </w:rPr>
        <w:t>природоохоронної</w:t>
      </w:r>
      <w:r w:rsidRPr="000977F7">
        <w:rPr>
          <w:rFonts w:asciiTheme="majorHAnsi" w:hAnsiTheme="majorHAnsi"/>
          <w:spacing w:val="14"/>
          <w:sz w:val="20"/>
          <w:szCs w:val="20"/>
        </w:rPr>
        <w:t xml:space="preserve"> </w:t>
      </w:r>
      <w:r w:rsidRPr="000977F7">
        <w:rPr>
          <w:rFonts w:asciiTheme="majorHAnsi" w:hAnsiTheme="majorHAnsi"/>
          <w:sz w:val="20"/>
          <w:szCs w:val="20"/>
        </w:rPr>
        <w:t>діяльності</w:t>
      </w:r>
      <w:r w:rsidRPr="000977F7">
        <w:rPr>
          <w:rFonts w:asciiTheme="majorHAnsi" w:hAnsiTheme="majorHAnsi"/>
          <w:spacing w:val="27"/>
          <w:sz w:val="20"/>
          <w:szCs w:val="20"/>
        </w:rPr>
        <w:t xml:space="preserve"> </w:t>
      </w:r>
      <w:r w:rsidRPr="000977F7">
        <w:rPr>
          <w:rFonts w:asciiTheme="majorHAnsi" w:hAnsiTheme="majorHAnsi"/>
          <w:sz w:val="20"/>
          <w:szCs w:val="20"/>
        </w:rPr>
        <w:t>ООН</w:t>
      </w:r>
      <w:r w:rsidRPr="000977F7">
        <w:rPr>
          <w:rFonts w:asciiTheme="majorHAnsi" w:hAnsiTheme="majorHAnsi"/>
          <w:spacing w:val="29"/>
          <w:sz w:val="20"/>
          <w:szCs w:val="20"/>
        </w:rPr>
        <w:t xml:space="preserve"> </w:t>
      </w:r>
      <w:r w:rsidRPr="000977F7">
        <w:rPr>
          <w:rFonts w:asciiTheme="majorHAnsi" w:hAnsiTheme="majorHAnsi"/>
          <w:sz w:val="20"/>
          <w:szCs w:val="20"/>
        </w:rPr>
        <w:t>та</w:t>
      </w:r>
      <w:r w:rsidRPr="000977F7">
        <w:rPr>
          <w:rFonts w:asciiTheme="majorHAnsi" w:hAnsiTheme="majorHAnsi"/>
          <w:spacing w:val="29"/>
          <w:sz w:val="20"/>
          <w:szCs w:val="20"/>
        </w:rPr>
        <w:t xml:space="preserve"> </w:t>
      </w:r>
      <w:r w:rsidRPr="000977F7">
        <w:rPr>
          <w:rFonts w:asciiTheme="majorHAnsi" w:hAnsiTheme="majorHAnsi"/>
          <w:sz w:val="20"/>
          <w:szCs w:val="20"/>
        </w:rPr>
        <w:t>організацій,</w:t>
      </w:r>
      <w:r w:rsidRPr="000977F7">
        <w:rPr>
          <w:rFonts w:asciiTheme="majorHAnsi" w:hAnsiTheme="majorHAnsi"/>
          <w:spacing w:val="29"/>
          <w:sz w:val="20"/>
          <w:szCs w:val="20"/>
        </w:rPr>
        <w:t xml:space="preserve"> </w:t>
      </w:r>
      <w:r w:rsidRPr="000977F7">
        <w:rPr>
          <w:rFonts w:asciiTheme="majorHAnsi" w:hAnsiTheme="majorHAnsi"/>
          <w:sz w:val="20"/>
          <w:szCs w:val="20"/>
        </w:rPr>
        <w:t>що</w:t>
      </w:r>
      <w:r w:rsidRPr="000977F7">
        <w:rPr>
          <w:rFonts w:asciiTheme="majorHAnsi" w:hAnsiTheme="majorHAnsi"/>
          <w:spacing w:val="29"/>
          <w:sz w:val="20"/>
          <w:szCs w:val="20"/>
        </w:rPr>
        <w:t xml:space="preserve"> </w:t>
      </w:r>
      <w:r w:rsidRPr="000977F7">
        <w:rPr>
          <w:rFonts w:asciiTheme="majorHAnsi" w:hAnsiTheme="majorHAnsi"/>
          <w:sz w:val="20"/>
          <w:szCs w:val="20"/>
        </w:rPr>
        <w:t>входять</w:t>
      </w:r>
      <w:r w:rsidRPr="000977F7">
        <w:rPr>
          <w:rFonts w:asciiTheme="majorHAnsi" w:hAnsiTheme="majorHAnsi"/>
          <w:spacing w:val="29"/>
          <w:sz w:val="20"/>
          <w:szCs w:val="20"/>
        </w:rPr>
        <w:t xml:space="preserve"> </w:t>
      </w:r>
      <w:r w:rsidRPr="000977F7">
        <w:rPr>
          <w:rFonts w:asciiTheme="majorHAnsi" w:hAnsiTheme="majorHAnsi"/>
          <w:sz w:val="20"/>
          <w:szCs w:val="20"/>
        </w:rPr>
        <w:t>в</w:t>
      </w:r>
      <w:r w:rsidRPr="000977F7">
        <w:rPr>
          <w:rFonts w:asciiTheme="majorHAnsi" w:hAnsiTheme="majorHAnsi"/>
          <w:spacing w:val="29"/>
          <w:sz w:val="20"/>
          <w:szCs w:val="20"/>
        </w:rPr>
        <w:t xml:space="preserve"> </w:t>
      </w:r>
      <w:r w:rsidRPr="000977F7">
        <w:rPr>
          <w:rFonts w:asciiTheme="majorHAnsi" w:hAnsiTheme="majorHAnsi"/>
          <w:sz w:val="20"/>
          <w:szCs w:val="20"/>
        </w:rPr>
        <w:t>її</w:t>
      </w:r>
      <w:r w:rsidRPr="000977F7">
        <w:rPr>
          <w:rFonts w:asciiTheme="majorHAnsi" w:hAnsiTheme="majorHAnsi"/>
          <w:spacing w:val="29"/>
          <w:sz w:val="20"/>
          <w:szCs w:val="20"/>
        </w:rPr>
        <w:t xml:space="preserve"> </w:t>
      </w:r>
      <w:r w:rsidRPr="000977F7">
        <w:rPr>
          <w:rFonts w:asciiTheme="majorHAnsi" w:hAnsiTheme="majorHAnsi"/>
          <w:sz w:val="20"/>
          <w:szCs w:val="20"/>
        </w:rPr>
        <w:t>систему,</w:t>
      </w:r>
      <w:r w:rsidRPr="000977F7">
        <w:rPr>
          <w:rFonts w:asciiTheme="majorHAnsi" w:hAnsiTheme="majorHAnsi"/>
          <w:spacing w:val="29"/>
          <w:sz w:val="20"/>
          <w:szCs w:val="20"/>
        </w:rPr>
        <w:t xml:space="preserve"> </w:t>
      </w:r>
      <w:r w:rsidRPr="000977F7">
        <w:rPr>
          <w:rFonts w:asciiTheme="majorHAnsi" w:hAnsiTheme="majorHAnsi"/>
          <w:sz w:val="20"/>
          <w:szCs w:val="20"/>
        </w:rPr>
        <w:t>інших урядових і неурядових міжнародних організацій</w:t>
      </w:r>
    </w:p>
    <w:p w14:paraId="6E7F7A24"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sectPr w:rsidR="0097612F" w:rsidRPr="000977F7" w:rsidSect="000977F7">
          <w:type w:val="continuous"/>
          <w:pgSz w:w="11900" w:h="16820"/>
          <w:pgMar w:top="980" w:right="380" w:bottom="960" w:left="1160" w:header="0" w:footer="775" w:gutter="0"/>
          <w:cols w:num="2" w:space="454"/>
        </w:sectPr>
      </w:pPr>
      <w:r w:rsidRPr="000977F7">
        <w:rPr>
          <w:rFonts w:asciiTheme="majorHAnsi" w:hAnsiTheme="majorHAnsi"/>
          <w:i/>
          <w:sz w:val="20"/>
          <w:szCs w:val="20"/>
        </w:rPr>
        <w:t>Ст. 71 закону</w:t>
      </w:r>
      <w:r w:rsidRPr="000977F7">
        <w:rPr>
          <w:rFonts w:asciiTheme="majorHAnsi" w:hAnsiTheme="majorHAnsi"/>
          <w:i/>
          <w:spacing w:val="18"/>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39"/>
          <w:sz w:val="20"/>
          <w:szCs w:val="20"/>
        </w:rPr>
        <w:t xml:space="preserve"> "</w:t>
      </w:r>
      <w:r w:rsidRPr="000977F7">
        <w:rPr>
          <w:rFonts w:asciiTheme="majorHAnsi" w:hAnsiTheme="majorHAnsi"/>
          <w:i/>
          <w:sz w:val="20"/>
          <w:szCs w:val="20"/>
        </w:rPr>
        <w:t>Про</w:t>
      </w:r>
      <w:r w:rsidRPr="000977F7">
        <w:rPr>
          <w:rFonts w:asciiTheme="majorHAnsi" w:hAnsiTheme="majorHAnsi"/>
          <w:i/>
          <w:spacing w:val="20"/>
          <w:sz w:val="20"/>
          <w:szCs w:val="20"/>
        </w:rPr>
        <w:t xml:space="preserve"> </w:t>
      </w:r>
      <w:r w:rsidRPr="000977F7">
        <w:rPr>
          <w:rFonts w:asciiTheme="majorHAnsi" w:hAnsiTheme="majorHAnsi"/>
          <w:i/>
          <w:sz w:val="20"/>
          <w:szCs w:val="20"/>
        </w:rPr>
        <w:t>охорону</w:t>
      </w:r>
      <w:r w:rsidRPr="000977F7">
        <w:rPr>
          <w:rFonts w:asciiTheme="majorHAnsi" w:hAnsiTheme="majorHAnsi"/>
          <w:i/>
          <w:spacing w:val="19"/>
          <w:sz w:val="20"/>
          <w:szCs w:val="20"/>
        </w:rPr>
        <w:t xml:space="preserve"> </w:t>
      </w:r>
      <w:r w:rsidRPr="000977F7">
        <w:rPr>
          <w:rFonts w:asciiTheme="majorHAnsi" w:hAnsiTheme="majorHAnsi"/>
          <w:i/>
          <w:sz w:val="20"/>
          <w:szCs w:val="20"/>
        </w:rPr>
        <w:t>навколишнього</w:t>
      </w:r>
      <w:r w:rsidRPr="000977F7">
        <w:rPr>
          <w:rFonts w:asciiTheme="majorHAnsi" w:hAnsiTheme="majorHAnsi"/>
          <w:i/>
          <w:spacing w:val="19"/>
          <w:sz w:val="20"/>
          <w:szCs w:val="20"/>
        </w:rPr>
        <w:t xml:space="preserve"> </w:t>
      </w:r>
      <w:r w:rsidRPr="000977F7">
        <w:rPr>
          <w:rFonts w:asciiTheme="majorHAnsi" w:hAnsiTheme="majorHAnsi"/>
          <w:i/>
          <w:sz w:val="20"/>
          <w:szCs w:val="20"/>
        </w:rPr>
        <w:t>природного середовища"</w:t>
      </w:r>
    </w:p>
    <w:p w14:paraId="2B7D9D3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sectPr w:rsidR="0097612F" w:rsidRPr="000977F7" w:rsidSect="000977F7">
          <w:type w:val="continuous"/>
          <w:pgSz w:w="11900" w:h="16820"/>
          <w:pgMar w:top="980" w:right="380" w:bottom="960" w:left="1160" w:header="0" w:footer="775" w:gutter="0"/>
          <w:cols w:num="2" w:space="454"/>
        </w:sectPr>
      </w:pPr>
    </w:p>
    <w:p w14:paraId="0D0633CF" w14:textId="77777777" w:rsidR="0097612F" w:rsidRPr="00C10197" w:rsidRDefault="0097612F" w:rsidP="00C10197">
      <w:pPr>
        <w:pStyle w:val="1"/>
        <w:rPr>
          <w:lang w:val="uk-UA"/>
        </w:rPr>
        <w:sectPr w:rsidR="0097612F" w:rsidRPr="00C10197" w:rsidSect="000977F7">
          <w:pgSz w:w="11900" w:h="16820"/>
          <w:pgMar w:top="980" w:right="380" w:bottom="960" w:left="1160" w:header="0" w:footer="775" w:gutter="0"/>
          <w:cols w:num="2" w:space="454"/>
        </w:sectPr>
      </w:pPr>
      <w:bookmarkStart w:id="311" w:name="_Toc132629653"/>
      <w:r w:rsidRPr="00C10197">
        <w:rPr>
          <w:lang w:val="uk-UA"/>
        </w:rPr>
        <w:lastRenderedPageBreak/>
        <w:t>Ф</w:t>
      </w:r>
      <w:bookmarkEnd w:id="311"/>
    </w:p>
    <w:p w14:paraId="41FE4F56" w14:textId="77777777" w:rsidR="0097612F" w:rsidRPr="000977F7" w:rsidRDefault="0097612F" w:rsidP="000977F7">
      <w:pPr>
        <w:pStyle w:val="7"/>
        <w:tabs>
          <w:tab w:val="left" w:pos="284"/>
        </w:tabs>
        <w:spacing w:before="0" w:line="240" w:lineRule="auto"/>
        <w:ind w:left="170"/>
        <w:mirrorIndents/>
        <w:jc w:val="both"/>
        <w:rPr>
          <w:color w:val="auto"/>
          <w:sz w:val="20"/>
          <w:szCs w:val="20"/>
          <w:lang w:eastAsia="ru-RU"/>
        </w:rPr>
      </w:pPr>
      <w:r w:rsidRPr="000977F7">
        <w:rPr>
          <w:color w:val="auto"/>
          <w:sz w:val="20"/>
          <w:szCs w:val="20"/>
          <w:lang w:eastAsia="ru-RU"/>
        </w:rPr>
        <w:t>ФАЗА –</w:t>
      </w:r>
    </w:p>
    <w:p w14:paraId="5436667D"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lang w:eastAsia="ru-RU"/>
        </w:rPr>
        <w:t>Тип конфігурації електропостачання електромережі</w:t>
      </w:r>
    </w:p>
    <w:p w14:paraId="4606B7DB"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Технічний регламент щодо вимог до екодизайну для електродвигунів</w:t>
      </w:r>
    </w:p>
    <w:p w14:paraId="0AC81C5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ФАЗА ГАРМОНІЧНИХ КОЛИВАНЬ; ФАЗА ГАРМОНІЧНОЇ</w:t>
      </w:r>
      <w:r w:rsidRPr="000977F7">
        <w:rPr>
          <w:color w:val="auto"/>
          <w:spacing w:val="-2"/>
          <w:sz w:val="20"/>
          <w:szCs w:val="20"/>
        </w:rPr>
        <w:t xml:space="preserve"> </w:t>
      </w:r>
      <w:r w:rsidRPr="000977F7">
        <w:rPr>
          <w:color w:val="auto"/>
          <w:sz w:val="20"/>
          <w:szCs w:val="20"/>
        </w:rPr>
        <w:t>ВІБРАЦІЇ</w:t>
      </w:r>
      <w:r w:rsidRPr="000977F7">
        <w:rPr>
          <w:color w:val="auto"/>
          <w:spacing w:val="1"/>
          <w:sz w:val="20"/>
          <w:szCs w:val="20"/>
        </w:rPr>
        <w:t xml:space="preserve"> </w:t>
      </w:r>
      <w:r w:rsidRPr="000977F7">
        <w:rPr>
          <w:color w:val="auto"/>
          <w:sz w:val="20"/>
          <w:szCs w:val="20"/>
        </w:rPr>
        <w:t>–</w:t>
      </w:r>
    </w:p>
    <w:p w14:paraId="39F4BA0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PHASE</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7C92939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Аргумент</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функції,</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яка</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описує</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гармонічні</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коливання</w:t>
      </w:r>
    </w:p>
    <w:p w14:paraId="1E35B06D"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2473</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0CBDF6A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Аргумент синусної функції, яка є математичним описом гармонічної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вібрації</w:t>
      </w:r>
    </w:p>
    <w:p w14:paraId="6EAD23B6"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2300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93</w:t>
      </w:r>
      <w:r w:rsidRPr="004D2D14">
        <w:rPr>
          <w:rFonts w:asciiTheme="majorHAnsi" w:hAnsiTheme="majorHAnsi"/>
          <w:i/>
          <w:spacing w:val="1"/>
          <w:sz w:val="20"/>
          <w:szCs w:val="20"/>
          <w:lang w:val="en-US"/>
        </w:rPr>
        <w:t xml:space="preserve"> </w:t>
      </w:r>
    </w:p>
    <w:p w14:paraId="033FE74B"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8"/>
          <w:sz w:val="20"/>
          <w:szCs w:val="20"/>
          <w:lang w:val="en-US"/>
        </w:rPr>
      </w:pPr>
      <w:r w:rsidRPr="000977F7">
        <w:rPr>
          <w:rFonts w:asciiTheme="majorHAnsi" w:hAnsiTheme="majorHAnsi"/>
          <w:b/>
          <w:sz w:val="20"/>
          <w:szCs w:val="20"/>
        </w:rPr>
        <w:t>ФАЗОВЕ</w:t>
      </w:r>
      <w:r w:rsidRPr="004D2D14">
        <w:rPr>
          <w:rFonts w:asciiTheme="majorHAnsi" w:hAnsiTheme="majorHAnsi"/>
          <w:b/>
          <w:sz w:val="20"/>
          <w:szCs w:val="20"/>
          <w:lang w:val="en-US"/>
        </w:rPr>
        <w:t xml:space="preserve"> </w:t>
      </w:r>
      <w:r w:rsidRPr="000977F7">
        <w:rPr>
          <w:rFonts w:asciiTheme="majorHAnsi" w:hAnsiTheme="majorHAnsi"/>
          <w:b/>
          <w:sz w:val="20"/>
          <w:szCs w:val="20"/>
        </w:rPr>
        <w:t>ДІЯННЯ</w:t>
      </w:r>
      <w:r w:rsidRPr="004D2D14">
        <w:rPr>
          <w:rFonts w:asciiTheme="majorHAnsi" w:hAnsiTheme="majorHAnsi"/>
          <w:b/>
          <w:sz w:val="20"/>
          <w:szCs w:val="20"/>
          <w:lang w:val="en-US"/>
        </w:rPr>
        <w:t xml:space="preserve"> –</w:t>
      </w:r>
      <w:r w:rsidRPr="004D2D14">
        <w:rPr>
          <w:rFonts w:asciiTheme="majorHAnsi" w:hAnsiTheme="majorHAnsi"/>
          <w:b/>
          <w:spacing w:val="-48"/>
          <w:sz w:val="20"/>
          <w:szCs w:val="20"/>
          <w:lang w:val="en-US"/>
        </w:rPr>
        <w:t xml:space="preserve"> </w:t>
      </w:r>
    </w:p>
    <w:p w14:paraId="4598EA8F"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PHASE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ACTION –</w:t>
      </w:r>
    </w:p>
    <w:p w14:paraId="166B404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Гармонічне</w:t>
      </w:r>
      <w:r w:rsidRPr="004D2D14">
        <w:rPr>
          <w:rFonts w:asciiTheme="majorHAnsi" w:hAnsiTheme="majorHAnsi"/>
          <w:sz w:val="20"/>
          <w:szCs w:val="20"/>
          <w:lang w:val="en-US"/>
        </w:rPr>
        <w:t xml:space="preserve"> </w:t>
      </w:r>
      <w:r w:rsidRPr="000977F7">
        <w:rPr>
          <w:rFonts w:asciiTheme="majorHAnsi" w:hAnsiTheme="majorHAnsi"/>
          <w:sz w:val="20"/>
          <w:szCs w:val="20"/>
        </w:rPr>
        <w:t>діяння</w:t>
      </w:r>
      <w:r w:rsidRPr="004D2D14">
        <w:rPr>
          <w:rFonts w:asciiTheme="majorHAnsi" w:hAnsiTheme="majorHAnsi"/>
          <w:sz w:val="20"/>
          <w:szCs w:val="20"/>
          <w:lang w:val="en-US"/>
        </w:rPr>
        <w:t xml:space="preserve">, </w:t>
      </w:r>
      <w:r w:rsidRPr="000977F7">
        <w:rPr>
          <w:rFonts w:asciiTheme="majorHAnsi" w:hAnsiTheme="majorHAnsi"/>
          <w:sz w:val="20"/>
          <w:szCs w:val="20"/>
        </w:rPr>
        <w:t>основним</w:t>
      </w:r>
      <w:r w:rsidRPr="004D2D14">
        <w:rPr>
          <w:rFonts w:asciiTheme="majorHAnsi" w:hAnsiTheme="majorHAnsi"/>
          <w:sz w:val="20"/>
          <w:szCs w:val="20"/>
          <w:lang w:val="en-US"/>
        </w:rPr>
        <w:t xml:space="preserve"> </w:t>
      </w:r>
      <w:r w:rsidRPr="000977F7">
        <w:rPr>
          <w:rFonts w:asciiTheme="majorHAnsi" w:hAnsiTheme="majorHAnsi"/>
          <w:sz w:val="20"/>
          <w:szCs w:val="20"/>
        </w:rPr>
        <w:t>параметром</w:t>
      </w:r>
      <w:r w:rsidRPr="004D2D14">
        <w:rPr>
          <w:rFonts w:asciiTheme="majorHAnsi" w:hAnsiTheme="majorHAnsi"/>
          <w:sz w:val="20"/>
          <w:szCs w:val="20"/>
          <w:lang w:val="en-US"/>
        </w:rPr>
        <w:t xml:space="preserve"> </w:t>
      </w:r>
      <w:r w:rsidRPr="000977F7">
        <w:rPr>
          <w:rFonts w:asciiTheme="majorHAnsi" w:hAnsiTheme="majorHAnsi"/>
          <w:sz w:val="20"/>
          <w:szCs w:val="20"/>
        </w:rPr>
        <w:t>якого</w:t>
      </w:r>
      <w:r w:rsidRPr="004D2D14">
        <w:rPr>
          <w:rFonts w:asciiTheme="majorHAnsi" w:hAnsiTheme="majorHAnsi"/>
          <w:sz w:val="20"/>
          <w:szCs w:val="20"/>
          <w:lang w:val="en-US"/>
        </w:rPr>
        <w:t xml:space="preserve"> </w:t>
      </w:r>
      <w:r w:rsidRPr="000977F7">
        <w:rPr>
          <w:rFonts w:asciiTheme="majorHAnsi" w:hAnsiTheme="majorHAnsi"/>
          <w:sz w:val="20"/>
          <w:szCs w:val="20"/>
        </w:rPr>
        <w:t>є</w:t>
      </w:r>
      <w:r w:rsidRPr="004D2D14">
        <w:rPr>
          <w:rFonts w:asciiTheme="majorHAnsi" w:hAnsiTheme="majorHAnsi"/>
          <w:sz w:val="20"/>
          <w:szCs w:val="20"/>
          <w:lang w:val="en-US"/>
        </w:rPr>
        <w:t xml:space="preserve"> </w:t>
      </w:r>
      <w:r w:rsidRPr="000977F7">
        <w:rPr>
          <w:rFonts w:asciiTheme="majorHAnsi" w:hAnsiTheme="majorHAnsi"/>
          <w:sz w:val="20"/>
          <w:szCs w:val="20"/>
        </w:rPr>
        <w:t>фаза</w:t>
      </w:r>
      <w:r w:rsidRPr="004D2D14">
        <w:rPr>
          <w:rFonts w:asciiTheme="majorHAnsi" w:hAnsiTheme="majorHAnsi"/>
          <w:sz w:val="20"/>
          <w:szCs w:val="20"/>
          <w:lang w:val="en-US"/>
        </w:rPr>
        <w:t xml:space="preserve"> </w:t>
      </w:r>
      <w:r w:rsidRPr="000977F7">
        <w:rPr>
          <w:rFonts w:asciiTheme="majorHAnsi" w:hAnsiTheme="majorHAnsi"/>
          <w:sz w:val="20"/>
          <w:szCs w:val="20"/>
        </w:rPr>
        <w:t>періодичного</w:t>
      </w:r>
      <w:r w:rsidRPr="004D2D14">
        <w:rPr>
          <w:rFonts w:asciiTheme="majorHAnsi" w:hAnsiTheme="majorHAnsi"/>
          <w:sz w:val="20"/>
          <w:szCs w:val="20"/>
          <w:lang w:val="en-US"/>
        </w:rPr>
        <w:t xml:space="preserve"> </w:t>
      </w:r>
      <w:r w:rsidRPr="000977F7">
        <w:rPr>
          <w:rFonts w:asciiTheme="majorHAnsi" w:hAnsiTheme="majorHAnsi"/>
          <w:sz w:val="20"/>
          <w:szCs w:val="20"/>
        </w:rPr>
        <w:t>змінювання</w:t>
      </w:r>
      <w:r w:rsidRPr="004D2D14">
        <w:rPr>
          <w:rFonts w:asciiTheme="majorHAnsi" w:hAnsiTheme="majorHAnsi"/>
          <w:sz w:val="20"/>
          <w:szCs w:val="20"/>
          <w:lang w:val="en-US"/>
        </w:rPr>
        <w:t xml:space="preserve"> </w:t>
      </w:r>
      <w:r w:rsidRPr="000977F7">
        <w:rPr>
          <w:rFonts w:asciiTheme="majorHAnsi" w:hAnsiTheme="majorHAnsi"/>
          <w:sz w:val="20"/>
          <w:szCs w:val="20"/>
        </w:rPr>
        <w:t>дієвої</w:t>
      </w:r>
      <w:r w:rsidRPr="004D2D14">
        <w:rPr>
          <w:rFonts w:asciiTheme="majorHAnsi" w:hAnsiTheme="majorHAnsi"/>
          <w:sz w:val="20"/>
          <w:szCs w:val="20"/>
          <w:lang w:val="en-US"/>
        </w:rPr>
        <w:t xml:space="preserve"> </w:t>
      </w:r>
      <w:r w:rsidRPr="000977F7">
        <w:rPr>
          <w:rFonts w:asciiTheme="majorHAnsi" w:hAnsiTheme="majorHAnsi"/>
          <w:sz w:val="20"/>
          <w:szCs w:val="20"/>
        </w:rPr>
        <w:t>величини</w:t>
      </w:r>
      <w:r w:rsidRPr="004D2D14">
        <w:rPr>
          <w:rFonts w:asciiTheme="majorHAnsi" w:hAnsiTheme="majorHAnsi"/>
          <w:sz w:val="20"/>
          <w:szCs w:val="20"/>
          <w:lang w:val="en-US"/>
        </w:rPr>
        <w:t xml:space="preserve"> </w:t>
      </w:r>
      <w:r w:rsidRPr="000977F7">
        <w:rPr>
          <w:rFonts w:asciiTheme="majorHAnsi" w:hAnsiTheme="majorHAnsi"/>
          <w:sz w:val="20"/>
          <w:szCs w:val="20"/>
        </w:rPr>
        <w:t>відносно</w:t>
      </w:r>
      <w:r w:rsidRPr="004D2D14">
        <w:rPr>
          <w:rFonts w:asciiTheme="majorHAnsi" w:hAnsiTheme="majorHAnsi"/>
          <w:spacing w:val="1"/>
          <w:sz w:val="20"/>
          <w:szCs w:val="20"/>
          <w:lang w:val="en-US"/>
        </w:rPr>
        <w:t xml:space="preserve"> </w:t>
      </w:r>
      <w:r w:rsidRPr="000977F7">
        <w:rPr>
          <w:rFonts w:asciiTheme="majorHAnsi" w:hAnsiTheme="majorHAnsi"/>
          <w:sz w:val="20"/>
          <w:szCs w:val="20"/>
        </w:rPr>
        <w:t>іншої</w:t>
      </w:r>
      <w:r w:rsidRPr="004D2D14">
        <w:rPr>
          <w:rFonts w:asciiTheme="majorHAnsi" w:hAnsiTheme="majorHAnsi"/>
          <w:spacing w:val="16"/>
          <w:sz w:val="20"/>
          <w:szCs w:val="20"/>
          <w:lang w:val="en-US"/>
        </w:rPr>
        <w:t xml:space="preserve"> </w:t>
      </w:r>
      <w:r w:rsidRPr="004D2D14">
        <w:rPr>
          <w:rFonts w:asciiTheme="majorHAnsi" w:hAnsiTheme="majorHAnsi"/>
          <w:sz w:val="20"/>
          <w:szCs w:val="20"/>
          <w:lang w:val="en-US"/>
        </w:rPr>
        <w:t>(</w:t>
      </w:r>
      <w:r w:rsidRPr="000977F7">
        <w:rPr>
          <w:rFonts w:asciiTheme="majorHAnsi" w:hAnsiTheme="majorHAnsi"/>
          <w:sz w:val="20"/>
          <w:szCs w:val="20"/>
        </w:rPr>
        <w:t>опорної</w:t>
      </w:r>
      <w:r w:rsidRPr="004D2D14">
        <w:rPr>
          <w:rFonts w:asciiTheme="majorHAnsi" w:hAnsiTheme="majorHAnsi"/>
          <w:sz w:val="20"/>
          <w:szCs w:val="20"/>
          <w:lang w:val="en-US"/>
        </w:rPr>
        <w:t>)</w:t>
      </w:r>
      <w:r w:rsidRPr="004D2D14">
        <w:rPr>
          <w:rFonts w:asciiTheme="majorHAnsi" w:hAnsiTheme="majorHAnsi"/>
          <w:spacing w:val="16"/>
          <w:sz w:val="20"/>
          <w:szCs w:val="20"/>
          <w:lang w:val="en-US"/>
        </w:rPr>
        <w:t xml:space="preserve"> </w:t>
      </w:r>
      <w:r w:rsidRPr="000977F7">
        <w:rPr>
          <w:rFonts w:asciiTheme="majorHAnsi" w:hAnsiTheme="majorHAnsi"/>
          <w:sz w:val="20"/>
          <w:szCs w:val="20"/>
        </w:rPr>
        <w:t>величини</w:t>
      </w:r>
      <w:r w:rsidRPr="004D2D14">
        <w:rPr>
          <w:rFonts w:asciiTheme="majorHAnsi" w:hAnsiTheme="majorHAnsi"/>
          <w:sz w:val="20"/>
          <w:szCs w:val="20"/>
          <w:lang w:val="en-US"/>
        </w:rPr>
        <w:t>,</w:t>
      </w:r>
      <w:r w:rsidRPr="004D2D14">
        <w:rPr>
          <w:rFonts w:asciiTheme="majorHAnsi" w:hAnsiTheme="majorHAnsi"/>
          <w:spacing w:val="19"/>
          <w:sz w:val="20"/>
          <w:szCs w:val="20"/>
          <w:lang w:val="en-US"/>
        </w:rPr>
        <w:t xml:space="preserve"> </w:t>
      </w:r>
      <w:r w:rsidRPr="000977F7">
        <w:rPr>
          <w:rFonts w:asciiTheme="majorHAnsi" w:hAnsiTheme="majorHAnsi"/>
          <w:sz w:val="20"/>
          <w:szCs w:val="20"/>
        </w:rPr>
        <w:t>що</w:t>
      </w:r>
      <w:r w:rsidRPr="004D2D14">
        <w:rPr>
          <w:rFonts w:asciiTheme="majorHAnsi" w:hAnsiTheme="majorHAnsi"/>
          <w:spacing w:val="16"/>
          <w:sz w:val="20"/>
          <w:szCs w:val="20"/>
          <w:lang w:val="en-US"/>
        </w:rPr>
        <w:t xml:space="preserve"> </w:t>
      </w:r>
      <w:r w:rsidRPr="000977F7">
        <w:rPr>
          <w:rFonts w:asciiTheme="majorHAnsi" w:hAnsiTheme="majorHAnsi"/>
          <w:sz w:val="20"/>
          <w:szCs w:val="20"/>
        </w:rPr>
        <w:t>періодично</w:t>
      </w:r>
      <w:r w:rsidRPr="004D2D14">
        <w:rPr>
          <w:rFonts w:asciiTheme="majorHAnsi" w:hAnsiTheme="majorHAnsi"/>
          <w:spacing w:val="17"/>
          <w:sz w:val="20"/>
          <w:szCs w:val="20"/>
          <w:lang w:val="en-US"/>
        </w:rPr>
        <w:t xml:space="preserve"> </w:t>
      </w:r>
      <w:r w:rsidRPr="000977F7">
        <w:rPr>
          <w:rFonts w:asciiTheme="majorHAnsi" w:hAnsiTheme="majorHAnsi"/>
          <w:sz w:val="20"/>
          <w:szCs w:val="20"/>
        </w:rPr>
        <w:t>змінюється</w:t>
      </w:r>
      <w:r w:rsidRPr="004D2D14">
        <w:rPr>
          <w:rFonts w:asciiTheme="majorHAnsi" w:hAnsiTheme="majorHAnsi"/>
          <w:spacing w:val="-48"/>
          <w:sz w:val="20"/>
          <w:szCs w:val="20"/>
          <w:lang w:val="en-US"/>
        </w:rPr>
        <w:t xml:space="preserve">                </w:t>
      </w:r>
      <w:r w:rsidRPr="000977F7">
        <w:rPr>
          <w:rFonts w:asciiTheme="majorHAnsi" w:hAnsiTheme="majorHAnsi"/>
          <w:sz w:val="20"/>
          <w:szCs w:val="20"/>
        </w:rPr>
        <w:t>з</w:t>
      </w:r>
      <w:r w:rsidRPr="004D2D14">
        <w:rPr>
          <w:rFonts w:asciiTheme="majorHAnsi" w:hAnsiTheme="majorHAnsi"/>
          <w:spacing w:val="-1"/>
          <w:sz w:val="20"/>
          <w:szCs w:val="20"/>
          <w:lang w:val="en-US"/>
        </w:rPr>
        <w:t xml:space="preserve"> </w:t>
      </w:r>
      <w:r w:rsidRPr="000977F7">
        <w:rPr>
          <w:rFonts w:asciiTheme="majorHAnsi" w:hAnsiTheme="majorHAnsi"/>
          <w:sz w:val="20"/>
          <w:szCs w:val="20"/>
        </w:rPr>
        <w:t>тією</w:t>
      </w:r>
      <w:r w:rsidRPr="004D2D14">
        <w:rPr>
          <w:rFonts w:asciiTheme="majorHAnsi" w:hAnsiTheme="majorHAnsi"/>
          <w:sz w:val="20"/>
          <w:szCs w:val="20"/>
          <w:lang w:val="en-US"/>
        </w:rPr>
        <w:t xml:space="preserve"> </w:t>
      </w:r>
      <w:r w:rsidRPr="000977F7">
        <w:rPr>
          <w:rFonts w:asciiTheme="majorHAnsi" w:hAnsiTheme="majorHAnsi"/>
          <w:sz w:val="20"/>
          <w:szCs w:val="20"/>
        </w:rPr>
        <w:t>ж</w:t>
      </w:r>
      <w:r w:rsidRPr="004D2D14">
        <w:rPr>
          <w:rFonts w:asciiTheme="majorHAnsi" w:hAnsiTheme="majorHAnsi"/>
          <w:spacing w:val="-1"/>
          <w:sz w:val="20"/>
          <w:szCs w:val="20"/>
          <w:lang w:val="en-US"/>
        </w:rPr>
        <w:t xml:space="preserve"> </w:t>
      </w:r>
      <w:r w:rsidRPr="000977F7">
        <w:rPr>
          <w:rFonts w:asciiTheme="majorHAnsi" w:hAnsiTheme="majorHAnsi"/>
          <w:sz w:val="20"/>
          <w:szCs w:val="20"/>
        </w:rPr>
        <w:t>частотою</w:t>
      </w:r>
    </w:p>
    <w:p w14:paraId="2B8DA37C"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3956 - 2000</w:t>
      </w:r>
    </w:p>
    <w:p w14:paraId="73C58EA8"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8"/>
          <w:sz w:val="20"/>
          <w:szCs w:val="20"/>
          <w:lang w:val="en-US"/>
        </w:rPr>
      </w:pPr>
      <w:r w:rsidRPr="000977F7">
        <w:rPr>
          <w:rFonts w:asciiTheme="majorHAnsi" w:hAnsiTheme="majorHAnsi"/>
          <w:b/>
          <w:sz w:val="20"/>
          <w:szCs w:val="20"/>
        </w:rPr>
        <w:t>ФАЗОВИЙ</w:t>
      </w:r>
      <w:r w:rsidRPr="004D2D14">
        <w:rPr>
          <w:rFonts w:asciiTheme="majorHAnsi" w:hAnsiTheme="majorHAnsi"/>
          <w:b/>
          <w:sz w:val="20"/>
          <w:szCs w:val="20"/>
          <w:lang w:val="en-US"/>
        </w:rPr>
        <w:t xml:space="preserve"> </w:t>
      </w:r>
      <w:r w:rsidRPr="000977F7">
        <w:rPr>
          <w:rFonts w:asciiTheme="majorHAnsi" w:hAnsiTheme="majorHAnsi"/>
          <w:b/>
          <w:sz w:val="20"/>
          <w:szCs w:val="20"/>
        </w:rPr>
        <w:t>МЕТОД</w:t>
      </w:r>
      <w:r w:rsidRPr="004D2D14">
        <w:rPr>
          <w:rFonts w:asciiTheme="majorHAnsi" w:hAnsiTheme="majorHAnsi"/>
          <w:b/>
          <w:sz w:val="20"/>
          <w:szCs w:val="20"/>
          <w:lang w:val="en-US"/>
        </w:rPr>
        <w:t xml:space="preserve"> –</w:t>
      </w:r>
      <w:r w:rsidRPr="004D2D14">
        <w:rPr>
          <w:rFonts w:asciiTheme="majorHAnsi" w:hAnsiTheme="majorHAnsi"/>
          <w:b/>
          <w:spacing w:val="-48"/>
          <w:sz w:val="20"/>
          <w:szCs w:val="20"/>
          <w:lang w:val="en-US"/>
        </w:rPr>
        <w:t xml:space="preserve"> </w:t>
      </w:r>
    </w:p>
    <w:p w14:paraId="7CFEAF39"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PHASE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METHOD</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519528F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Метод</w:t>
      </w:r>
      <w:r w:rsidRPr="004D2D14">
        <w:rPr>
          <w:rFonts w:asciiTheme="majorHAnsi" w:hAnsiTheme="majorHAnsi"/>
          <w:spacing w:val="1"/>
          <w:sz w:val="20"/>
          <w:szCs w:val="20"/>
          <w:lang w:val="en-US"/>
        </w:rPr>
        <w:t xml:space="preserve"> </w:t>
      </w:r>
      <w:r w:rsidRPr="000977F7">
        <w:rPr>
          <w:rFonts w:asciiTheme="majorHAnsi" w:hAnsiTheme="majorHAnsi"/>
          <w:sz w:val="20"/>
          <w:szCs w:val="20"/>
        </w:rPr>
        <w:t>неруйнівного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контролю</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що</w:t>
      </w:r>
      <w:r w:rsidRPr="004D2D14">
        <w:rPr>
          <w:rFonts w:asciiTheme="majorHAnsi" w:hAnsiTheme="majorHAnsi"/>
          <w:spacing w:val="1"/>
          <w:sz w:val="20"/>
          <w:szCs w:val="20"/>
          <w:lang w:val="en-US"/>
        </w:rPr>
        <w:t xml:space="preserve"> </w:t>
      </w:r>
      <w:r w:rsidRPr="000977F7">
        <w:rPr>
          <w:rFonts w:asciiTheme="majorHAnsi" w:hAnsiTheme="majorHAnsi"/>
          <w:sz w:val="20"/>
          <w:szCs w:val="20"/>
        </w:rPr>
        <w:t>ґрунтується</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w:t>
      </w:r>
      <w:r w:rsidRPr="004D2D14">
        <w:rPr>
          <w:rFonts w:asciiTheme="majorHAnsi" w:hAnsiTheme="majorHAnsi"/>
          <w:spacing w:val="1"/>
          <w:sz w:val="20"/>
          <w:szCs w:val="20"/>
          <w:lang w:val="en-US"/>
        </w:rPr>
        <w:t xml:space="preserve"> </w:t>
      </w:r>
      <w:r w:rsidRPr="000977F7">
        <w:rPr>
          <w:rFonts w:asciiTheme="majorHAnsi" w:hAnsiTheme="majorHAnsi"/>
          <w:sz w:val="20"/>
          <w:szCs w:val="20"/>
        </w:rPr>
        <w:t>реєстрації</w:t>
      </w:r>
      <w:r w:rsidRPr="004D2D14">
        <w:rPr>
          <w:rFonts w:asciiTheme="majorHAnsi" w:hAnsiTheme="majorHAnsi"/>
          <w:spacing w:val="21"/>
          <w:sz w:val="20"/>
          <w:szCs w:val="20"/>
          <w:lang w:val="en-US"/>
        </w:rPr>
        <w:t xml:space="preserve"> </w:t>
      </w:r>
      <w:r w:rsidRPr="000977F7">
        <w:rPr>
          <w:rFonts w:asciiTheme="majorHAnsi" w:hAnsiTheme="majorHAnsi"/>
          <w:sz w:val="20"/>
          <w:szCs w:val="20"/>
        </w:rPr>
        <w:t>фази</w:t>
      </w:r>
      <w:r w:rsidRPr="004D2D14">
        <w:rPr>
          <w:rFonts w:asciiTheme="majorHAnsi" w:hAnsiTheme="majorHAnsi"/>
          <w:spacing w:val="21"/>
          <w:sz w:val="20"/>
          <w:szCs w:val="20"/>
          <w:lang w:val="en-US"/>
        </w:rPr>
        <w:t xml:space="preserve"> </w:t>
      </w:r>
      <w:r w:rsidRPr="000977F7">
        <w:rPr>
          <w:rFonts w:asciiTheme="majorHAnsi" w:hAnsiTheme="majorHAnsi"/>
          <w:sz w:val="20"/>
          <w:szCs w:val="20"/>
        </w:rPr>
        <w:t>хвиль</w:t>
      </w:r>
      <w:r w:rsidRPr="004D2D14">
        <w:rPr>
          <w:rFonts w:asciiTheme="majorHAnsi" w:hAnsiTheme="majorHAnsi"/>
          <w:spacing w:val="21"/>
          <w:sz w:val="20"/>
          <w:szCs w:val="20"/>
          <w:lang w:val="en-US"/>
        </w:rPr>
        <w:t xml:space="preserve"> </w:t>
      </w:r>
      <w:r w:rsidRPr="000977F7">
        <w:rPr>
          <w:rFonts w:asciiTheme="majorHAnsi" w:hAnsiTheme="majorHAnsi"/>
          <w:sz w:val="20"/>
          <w:szCs w:val="20"/>
        </w:rPr>
        <w:t>випромінення</w:t>
      </w:r>
      <w:r w:rsidRPr="004D2D14">
        <w:rPr>
          <w:rFonts w:asciiTheme="majorHAnsi" w:hAnsiTheme="majorHAnsi"/>
          <w:sz w:val="20"/>
          <w:szCs w:val="20"/>
          <w:lang w:val="en-US"/>
        </w:rPr>
        <w:t>,</w:t>
      </w:r>
      <w:r w:rsidRPr="004D2D14">
        <w:rPr>
          <w:rFonts w:asciiTheme="majorHAnsi" w:hAnsiTheme="majorHAnsi"/>
          <w:spacing w:val="21"/>
          <w:sz w:val="20"/>
          <w:szCs w:val="20"/>
          <w:lang w:val="en-US"/>
        </w:rPr>
        <w:t xml:space="preserve"> </w:t>
      </w:r>
      <w:r w:rsidRPr="000977F7">
        <w:rPr>
          <w:rFonts w:asciiTheme="majorHAnsi" w:hAnsiTheme="majorHAnsi"/>
          <w:sz w:val="20"/>
          <w:szCs w:val="20"/>
        </w:rPr>
        <w:t>які</w:t>
      </w:r>
      <w:r w:rsidRPr="004D2D14">
        <w:rPr>
          <w:rFonts w:asciiTheme="majorHAnsi" w:hAnsiTheme="majorHAnsi"/>
          <w:spacing w:val="22"/>
          <w:sz w:val="20"/>
          <w:szCs w:val="20"/>
          <w:lang w:val="en-US"/>
        </w:rPr>
        <w:t xml:space="preserve"> </w:t>
      </w:r>
      <w:r w:rsidRPr="000977F7">
        <w:rPr>
          <w:rFonts w:asciiTheme="majorHAnsi" w:hAnsiTheme="majorHAnsi"/>
          <w:sz w:val="20"/>
          <w:szCs w:val="20"/>
        </w:rPr>
        <w:t>взаємодіють</w:t>
      </w:r>
      <w:r w:rsidRPr="004D2D14">
        <w:rPr>
          <w:rFonts w:asciiTheme="majorHAnsi" w:hAnsiTheme="majorHAnsi"/>
          <w:spacing w:val="-48"/>
          <w:sz w:val="20"/>
          <w:szCs w:val="20"/>
          <w:lang w:val="en-US"/>
        </w:rPr>
        <w:t xml:space="preserve"> </w:t>
      </w:r>
      <w:r w:rsidRPr="000977F7">
        <w:rPr>
          <w:rFonts w:asciiTheme="majorHAnsi" w:hAnsiTheme="majorHAnsi"/>
          <w:sz w:val="20"/>
          <w:szCs w:val="20"/>
        </w:rPr>
        <w:t>з</w:t>
      </w:r>
      <w:r w:rsidRPr="004D2D14">
        <w:rPr>
          <w:rFonts w:asciiTheme="majorHAnsi" w:hAnsiTheme="majorHAnsi"/>
          <w:spacing w:val="-1"/>
          <w:sz w:val="20"/>
          <w:szCs w:val="20"/>
          <w:lang w:val="en-US"/>
        </w:rPr>
        <w:t xml:space="preserve"> </w:t>
      </w:r>
      <w:r w:rsidRPr="000977F7">
        <w:rPr>
          <w:rFonts w:asciiTheme="majorHAnsi" w:hAnsiTheme="majorHAnsi"/>
          <w:sz w:val="20"/>
          <w:szCs w:val="20"/>
        </w:rPr>
        <w:t>контрольованим</w:t>
      </w:r>
      <w:r w:rsidRPr="004D2D14">
        <w:rPr>
          <w:rFonts w:asciiTheme="majorHAnsi" w:hAnsiTheme="majorHAnsi"/>
          <w:spacing w:val="1"/>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єктом</w:t>
      </w:r>
    </w:p>
    <w:p w14:paraId="6252B240"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2865</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r w:rsidRPr="004D2D14">
        <w:rPr>
          <w:rFonts w:asciiTheme="majorHAnsi" w:hAnsiTheme="majorHAnsi"/>
          <w:i/>
          <w:spacing w:val="1"/>
          <w:sz w:val="20"/>
          <w:szCs w:val="20"/>
          <w:lang w:val="en-US"/>
        </w:rPr>
        <w:t xml:space="preserve"> </w:t>
      </w:r>
    </w:p>
    <w:p w14:paraId="198D2582"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ФАЗОВИЙ</w:t>
      </w:r>
      <w:r w:rsidRPr="004D2D14">
        <w:rPr>
          <w:rFonts w:asciiTheme="majorHAnsi" w:hAnsiTheme="majorHAnsi"/>
          <w:b/>
          <w:sz w:val="20"/>
          <w:szCs w:val="20"/>
          <w:lang w:val="en-US"/>
        </w:rPr>
        <w:t xml:space="preserve"> </w:t>
      </w:r>
      <w:r w:rsidRPr="000977F7">
        <w:rPr>
          <w:rFonts w:asciiTheme="majorHAnsi" w:hAnsiTheme="majorHAnsi"/>
          <w:b/>
          <w:sz w:val="20"/>
          <w:szCs w:val="20"/>
        </w:rPr>
        <w:t>СИГНАЛ</w:t>
      </w:r>
      <w:r w:rsidRPr="004D2D14">
        <w:rPr>
          <w:rFonts w:asciiTheme="majorHAnsi" w:hAnsiTheme="majorHAnsi"/>
          <w:b/>
          <w:sz w:val="20"/>
          <w:szCs w:val="20"/>
          <w:lang w:val="en-US"/>
        </w:rPr>
        <w:t xml:space="preserve"> –</w:t>
      </w:r>
    </w:p>
    <w:p w14:paraId="56E4A10D"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b/>
          <w:spacing w:val="-47"/>
          <w:sz w:val="20"/>
          <w:szCs w:val="20"/>
          <w:lang w:val="en-US"/>
        </w:rPr>
        <w:t xml:space="preserve"> </w:t>
      </w:r>
      <w:r w:rsidRPr="004D2D14">
        <w:rPr>
          <w:rFonts w:asciiTheme="majorHAnsi" w:hAnsiTheme="majorHAnsi"/>
          <w:sz w:val="20"/>
          <w:szCs w:val="20"/>
          <w:lang w:val="en-US"/>
        </w:rPr>
        <w:t>PHASE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SIGNAL</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1C034BB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Гармонічний</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імпульсний</w:t>
      </w:r>
      <w:r w:rsidRPr="004D2D14">
        <w:rPr>
          <w:rFonts w:asciiTheme="majorHAnsi" w:hAnsiTheme="majorHAnsi"/>
          <w:sz w:val="20"/>
          <w:szCs w:val="20"/>
          <w:lang w:val="en-US"/>
        </w:rPr>
        <w:t xml:space="preserve"> </w:t>
      </w:r>
      <w:r w:rsidRPr="000977F7">
        <w:rPr>
          <w:rFonts w:asciiTheme="majorHAnsi" w:hAnsiTheme="majorHAnsi"/>
          <w:sz w:val="20"/>
          <w:szCs w:val="20"/>
        </w:rPr>
        <w:t>сигнал</w:t>
      </w:r>
      <w:r w:rsidRPr="004D2D14">
        <w:rPr>
          <w:rFonts w:asciiTheme="majorHAnsi" w:hAnsiTheme="majorHAnsi"/>
          <w:sz w:val="20"/>
          <w:szCs w:val="20"/>
          <w:lang w:val="en-US"/>
        </w:rPr>
        <w:t xml:space="preserve">, </w:t>
      </w:r>
      <w:r w:rsidRPr="000977F7">
        <w:rPr>
          <w:rFonts w:asciiTheme="majorHAnsi" w:hAnsiTheme="majorHAnsi"/>
          <w:sz w:val="20"/>
          <w:szCs w:val="20"/>
        </w:rPr>
        <w:t>інформативною</w:t>
      </w:r>
      <w:r w:rsidRPr="004D2D14">
        <w:rPr>
          <w:rFonts w:asciiTheme="majorHAnsi" w:hAnsiTheme="majorHAnsi"/>
          <w:spacing w:val="1"/>
          <w:sz w:val="20"/>
          <w:szCs w:val="20"/>
          <w:lang w:val="en-US"/>
        </w:rPr>
        <w:t xml:space="preserve"> </w:t>
      </w:r>
      <w:r w:rsidRPr="000977F7">
        <w:rPr>
          <w:rFonts w:asciiTheme="majorHAnsi" w:hAnsiTheme="majorHAnsi"/>
          <w:sz w:val="20"/>
          <w:szCs w:val="20"/>
        </w:rPr>
        <w:t>ознакою</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параметром</w:t>
      </w:r>
      <w:r w:rsidRPr="004D2D14">
        <w:rPr>
          <w:rFonts w:asciiTheme="majorHAnsi" w:hAnsiTheme="majorHAnsi"/>
          <w:sz w:val="20"/>
          <w:szCs w:val="20"/>
          <w:lang w:val="en-US"/>
        </w:rPr>
        <w:t xml:space="preserve"> </w:t>
      </w:r>
      <w:r w:rsidRPr="000977F7">
        <w:rPr>
          <w:rFonts w:asciiTheme="majorHAnsi" w:hAnsiTheme="majorHAnsi"/>
          <w:sz w:val="20"/>
          <w:szCs w:val="20"/>
        </w:rPr>
        <w:t>якого</w:t>
      </w:r>
      <w:r w:rsidRPr="004D2D14">
        <w:rPr>
          <w:rFonts w:asciiTheme="majorHAnsi" w:hAnsiTheme="majorHAnsi"/>
          <w:sz w:val="20"/>
          <w:szCs w:val="20"/>
          <w:lang w:val="en-US"/>
        </w:rPr>
        <w:t xml:space="preserve"> </w:t>
      </w:r>
      <w:r w:rsidRPr="000977F7">
        <w:rPr>
          <w:rFonts w:asciiTheme="majorHAnsi" w:hAnsiTheme="majorHAnsi"/>
          <w:sz w:val="20"/>
          <w:szCs w:val="20"/>
        </w:rPr>
        <w:t>є</w:t>
      </w:r>
      <w:r w:rsidRPr="004D2D14">
        <w:rPr>
          <w:rFonts w:asciiTheme="majorHAnsi" w:hAnsiTheme="majorHAnsi"/>
          <w:sz w:val="20"/>
          <w:szCs w:val="20"/>
          <w:lang w:val="en-US"/>
        </w:rPr>
        <w:t xml:space="preserve"> </w:t>
      </w:r>
      <w:r w:rsidRPr="000977F7">
        <w:rPr>
          <w:rFonts w:asciiTheme="majorHAnsi" w:hAnsiTheme="majorHAnsi"/>
          <w:sz w:val="20"/>
          <w:szCs w:val="20"/>
        </w:rPr>
        <w:t>фаза</w:t>
      </w:r>
      <w:r w:rsidRPr="004D2D14">
        <w:rPr>
          <w:rFonts w:asciiTheme="majorHAnsi" w:hAnsiTheme="majorHAnsi"/>
          <w:sz w:val="20"/>
          <w:szCs w:val="20"/>
          <w:lang w:val="en-US"/>
        </w:rPr>
        <w:t xml:space="preserve"> </w:t>
      </w:r>
      <w:r w:rsidRPr="000977F7">
        <w:rPr>
          <w:rFonts w:asciiTheme="majorHAnsi" w:hAnsiTheme="majorHAnsi"/>
          <w:sz w:val="20"/>
          <w:szCs w:val="20"/>
        </w:rPr>
        <w:t>дієвої</w:t>
      </w:r>
      <w:r w:rsidRPr="004D2D14">
        <w:rPr>
          <w:rFonts w:asciiTheme="majorHAnsi" w:hAnsiTheme="majorHAnsi"/>
          <w:sz w:val="20"/>
          <w:szCs w:val="20"/>
          <w:lang w:val="en-US"/>
        </w:rPr>
        <w:t xml:space="preserve"> </w:t>
      </w:r>
      <w:r w:rsidRPr="000977F7">
        <w:rPr>
          <w:rFonts w:asciiTheme="majorHAnsi" w:hAnsiTheme="majorHAnsi"/>
          <w:sz w:val="20"/>
          <w:szCs w:val="20"/>
        </w:rPr>
        <w:t>величини</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відносно</w:t>
      </w:r>
      <w:r w:rsidRPr="004D2D14">
        <w:rPr>
          <w:rFonts w:asciiTheme="majorHAnsi" w:hAnsiTheme="majorHAnsi"/>
          <w:sz w:val="20"/>
          <w:szCs w:val="20"/>
          <w:lang w:val="en-US"/>
        </w:rPr>
        <w:t xml:space="preserve"> </w:t>
      </w:r>
      <w:r w:rsidRPr="000977F7">
        <w:rPr>
          <w:rFonts w:asciiTheme="majorHAnsi" w:hAnsiTheme="majorHAnsi"/>
          <w:sz w:val="20"/>
          <w:szCs w:val="20"/>
        </w:rPr>
        <w:t>іншої</w:t>
      </w:r>
      <w:r w:rsidRPr="004D2D14">
        <w:rPr>
          <w:rFonts w:asciiTheme="majorHAnsi" w:hAnsiTheme="majorHAnsi"/>
          <w:sz w:val="20"/>
          <w:szCs w:val="20"/>
          <w:lang w:val="en-US"/>
        </w:rPr>
        <w:t xml:space="preserve"> (</w:t>
      </w:r>
      <w:r w:rsidRPr="000977F7">
        <w:rPr>
          <w:rFonts w:asciiTheme="majorHAnsi" w:hAnsiTheme="majorHAnsi"/>
          <w:sz w:val="20"/>
          <w:szCs w:val="20"/>
        </w:rPr>
        <w:t>опорної</w:t>
      </w:r>
      <w:r w:rsidRPr="004D2D14">
        <w:rPr>
          <w:rFonts w:asciiTheme="majorHAnsi" w:hAnsiTheme="majorHAnsi"/>
          <w:sz w:val="20"/>
          <w:szCs w:val="20"/>
          <w:lang w:val="en-US"/>
        </w:rPr>
        <w:t xml:space="preserve">) </w:t>
      </w:r>
      <w:r w:rsidRPr="000977F7">
        <w:rPr>
          <w:rFonts w:asciiTheme="majorHAnsi" w:hAnsiTheme="majorHAnsi"/>
          <w:sz w:val="20"/>
          <w:szCs w:val="20"/>
        </w:rPr>
        <w:t>величини</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змінюється</w:t>
      </w:r>
      <w:r w:rsidRPr="004D2D14">
        <w:rPr>
          <w:rFonts w:asciiTheme="majorHAnsi" w:hAnsiTheme="majorHAnsi"/>
          <w:sz w:val="20"/>
          <w:szCs w:val="20"/>
          <w:lang w:val="en-US"/>
        </w:rPr>
        <w:t xml:space="preserve"> </w:t>
      </w:r>
      <w:r w:rsidRPr="000977F7">
        <w:rPr>
          <w:rFonts w:asciiTheme="majorHAnsi" w:hAnsiTheme="majorHAnsi"/>
          <w:sz w:val="20"/>
          <w:szCs w:val="20"/>
        </w:rPr>
        <w:t>з</w:t>
      </w:r>
      <w:r w:rsidRPr="004D2D14">
        <w:rPr>
          <w:rFonts w:asciiTheme="majorHAnsi" w:hAnsiTheme="majorHAnsi"/>
          <w:spacing w:val="1"/>
          <w:sz w:val="20"/>
          <w:szCs w:val="20"/>
          <w:lang w:val="en-US"/>
        </w:rPr>
        <w:t xml:space="preserve"> </w:t>
      </w:r>
      <w:r w:rsidRPr="000977F7">
        <w:rPr>
          <w:rFonts w:asciiTheme="majorHAnsi" w:hAnsiTheme="majorHAnsi"/>
          <w:sz w:val="20"/>
          <w:szCs w:val="20"/>
        </w:rPr>
        <w:t>тією</w:t>
      </w:r>
      <w:r w:rsidRPr="004D2D14">
        <w:rPr>
          <w:rFonts w:asciiTheme="majorHAnsi" w:hAnsiTheme="majorHAnsi"/>
          <w:spacing w:val="-1"/>
          <w:sz w:val="20"/>
          <w:szCs w:val="20"/>
          <w:lang w:val="en-US"/>
        </w:rPr>
        <w:t xml:space="preserve"> </w:t>
      </w:r>
      <w:r w:rsidRPr="000977F7">
        <w:rPr>
          <w:rFonts w:asciiTheme="majorHAnsi" w:hAnsiTheme="majorHAnsi"/>
          <w:sz w:val="20"/>
          <w:szCs w:val="20"/>
        </w:rPr>
        <w:t>ж</w:t>
      </w:r>
      <w:r w:rsidRPr="004D2D14">
        <w:rPr>
          <w:rFonts w:asciiTheme="majorHAnsi" w:hAnsiTheme="majorHAnsi"/>
          <w:spacing w:val="-1"/>
          <w:sz w:val="20"/>
          <w:szCs w:val="20"/>
          <w:lang w:val="en-US"/>
        </w:rPr>
        <w:t xml:space="preserve"> </w:t>
      </w:r>
      <w:r w:rsidRPr="000977F7">
        <w:rPr>
          <w:rFonts w:asciiTheme="majorHAnsi" w:hAnsiTheme="majorHAnsi"/>
          <w:sz w:val="20"/>
          <w:szCs w:val="20"/>
        </w:rPr>
        <w:t>частотою</w:t>
      </w:r>
    </w:p>
    <w:p w14:paraId="457D473C"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3956 - 2000</w:t>
      </w:r>
      <w:r w:rsidRPr="004D2D14">
        <w:rPr>
          <w:rFonts w:asciiTheme="majorHAnsi" w:hAnsiTheme="majorHAnsi"/>
          <w:i/>
          <w:spacing w:val="1"/>
          <w:sz w:val="20"/>
          <w:szCs w:val="20"/>
          <w:lang w:val="en-US"/>
        </w:rPr>
        <w:t xml:space="preserve"> </w:t>
      </w:r>
    </w:p>
    <w:p w14:paraId="72229DC3" w14:textId="77777777" w:rsidR="0097612F" w:rsidRPr="004D2D14" w:rsidRDefault="0097612F" w:rsidP="000977F7">
      <w:pPr>
        <w:tabs>
          <w:tab w:val="left" w:pos="284"/>
        </w:tabs>
        <w:spacing w:after="0" w:line="240" w:lineRule="auto"/>
        <w:ind w:left="170"/>
        <w:mirrorIndents/>
        <w:jc w:val="both"/>
        <w:rPr>
          <w:rFonts w:asciiTheme="majorHAnsi" w:hAnsiTheme="majorHAnsi"/>
          <w:b/>
          <w:sz w:val="20"/>
          <w:szCs w:val="20"/>
          <w:lang w:val="en-US"/>
        </w:rPr>
      </w:pPr>
      <w:r w:rsidRPr="000977F7">
        <w:rPr>
          <w:rFonts w:asciiTheme="majorHAnsi" w:hAnsiTheme="majorHAnsi"/>
          <w:b/>
          <w:sz w:val="20"/>
          <w:szCs w:val="20"/>
        </w:rPr>
        <w:t>ФАЗОВИЙ</w:t>
      </w:r>
      <w:r w:rsidRPr="004D2D14">
        <w:rPr>
          <w:rFonts w:asciiTheme="majorHAnsi" w:hAnsiTheme="majorHAnsi"/>
          <w:b/>
          <w:spacing w:val="-6"/>
          <w:sz w:val="20"/>
          <w:szCs w:val="20"/>
          <w:lang w:val="en-US"/>
        </w:rPr>
        <w:t xml:space="preserve"> </w:t>
      </w:r>
      <w:r w:rsidRPr="000977F7">
        <w:rPr>
          <w:rFonts w:asciiTheme="majorHAnsi" w:hAnsiTheme="majorHAnsi"/>
          <w:b/>
          <w:sz w:val="20"/>
          <w:szCs w:val="20"/>
        </w:rPr>
        <w:t>СПЕКТР</w:t>
      </w:r>
      <w:r w:rsidRPr="004D2D14">
        <w:rPr>
          <w:rFonts w:asciiTheme="majorHAnsi" w:hAnsiTheme="majorHAnsi"/>
          <w:b/>
          <w:spacing w:val="-4"/>
          <w:sz w:val="20"/>
          <w:szCs w:val="20"/>
          <w:lang w:val="en-US"/>
        </w:rPr>
        <w:t xml:space="preserve"> </w:t>
      </w:r>
      <w:r w:rsidRPr="004D2D14">
        <w:rPr>
          <w:rFonts w:asciiTheme="majorHAnsi" w:hAnsiTheme="majorHAnsi"/>
          <w:b/>
          <w:sz w:val="20"/>
          <w:szCs w:val="20"/>
          <w:lang w:val="en-US"/>
        </w:rPr>
        <w:t>–</w:t>
      </w:r>
    </w:p>
    <w:p w14:paraId="350B414B"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b/>
          <w:spacing w:val="-47"/>
          <w:sz w:val="20"/>
          <w:szCs w:val="20"/>
          <w:lang w:val="en-US"/>
        </w:rPr>
        <w:t xml:space="preserve"> </w:t>
      </w:r>
      <w:r w:rsidRPr="004D2D14">
        <w:rPr>
          <w:rFonts w:asciiTheme="majorHAnsi" w:hAnsiTheme="majorHAnsi"/>
          <w:sz w:val="20"/>
          <w:szCs w:val="20"/>
          <w:lang w:val="en-US"/>
        </w:rPr>
        <w:t>PHASE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SPECTRUM –</w:t>
      </w:r>
    </w:p>
    <w:p w14:paraId="0BD4B30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Спектр</w:t>
      </w:r>
      <w:r w:rsidRPr="004D2D14">
        <w:rPr>
          <w:rFonts w:asciiTheme="majorHAnsi" w:hAnsiTheme="majorHAnsi"/>
          <w:sz w:val="20"/>
          <w:szCs w:val="20"/>
          <w:lang w:val="en-US"/>
        </w:rPr>
        <w:t xml:space="preserve"> </w:t>
      </w:r>
      <w:r w:rsidRPr="000977F7">
        <w:rPr>
          <w:rFonts w:asciiTheme="majorHAnsi" w:hAnsiTheme="majorHAnsi"/>
          <w:sz w:val="20"/>
          <w:szCs w:val="20"/>
        </w:rPr>
        <w:t>коливань</w:t>
      </w:r>
      <w:r w:rsidRPr="004D2D14">
        <w:rPr>
          <w:rFonts w:asciiTheme="majorHAnsi" w:hAnsiTheme="majorHAnsi"/>
          <w:sz w:val="20"/>
          <w:szCs w:val="20"/>
          <w:lang w:val="en-US"/>
        </w:rPr>
        <w:t xml:space="preserve">, </w:t>
      </w:r>
      <w:r w:rsidRPr="000977F7">
        <w:rPr>
          <w:rFonts w:asciiTheme="majorHAnsi" w:hAnsiTheme="majorHAnsi"/>
          <w:sz w:val="20"/>
          <w:szCs w:val="20"/>
        </w:rPr>
        <w:t>гармонічні</w:t>
      </w:r>
      <w:r w:rsidRPr="004D2D14">
        <w:rPr>
          <w:rFonts w:asciiTheme="majorHAnsi" w:hAnsiTheme="majorHAnsi"/>
          <w:sz w:val="20"/>
          <w:szCs w:val="20"/>
          <w:lang w:val="en-US"/>
        </w:rPr>
        <w:t xml:space="preserve"> </w:t>
      </w:r>
      <w:r w:rsidRPr="000977F7">
        <w:rPr>
          <w:rFonts w:asciiTheme="majorHAnsi" w:hAnsiTheme="majorHAnsi"/>
          <w:sz w:val="20"/>
          <w:szCs w:val="20"/>
        </w:rPr>
        <w:t>складові</w:t>
      </w:r>
      <w:r w:rsidRPr="004D2D14">
        <w:rPr>
          <w:rFonts w:asciiTheme="majorHAnsi" w:hAnsiTheme="majorHAnsi"/>
          <w:sz w:val="20"/>
          <w:szCs w:val="20"/>
          <w:lang w:val="en-US"/>
        </w:rPr>
        <w:t xml:space="preserve"> </w:t>
      </w:r>
      <w:r w:rsidRPr="000977F7">
        <w:rPr>
          <w:rFonts w:asciiTheme="majorHAnsi" w:hAnsiTheme="majorHAnsi"/>
          <w:sz w:val="20"/>
          <w:szCs w:val="20"/>
        </w:rPr>
        <w:t>яких</w:t>
      </w:r>
      <w:r w:rsidRPr="004D2D14">
        <w:rPr>
          <w:rFonts w:asciiTheme="majorHAnsi" w:hAnsiTheme="majorHAnsi"/>
          <w:sz w:val="20"/>
          <w:szCs w:val="20"/>
          <w:lang w:val="en-US"/>
        </w:rPr>
        <w:t xml:space="preserve"> </w:t>
      </w:r>
      <w:r w:rsidRPr="000977F7">
        <w:rPr>
          <w:rFonts w:asciiTheme="majorHAnsi" w:hAnsiTheme="majorHAnsi"/>
          <w:sz w:val="20"/>
          <w:szCs w:val="20"/>
        </w:rPr>
        <w:t>характеризуються</w:t>
      </w:r>
      <w:r w:rsidRPr="004D2D14">
        <w:rPr>
          <w:rFonts w:asciiTheme="majorHAnsi" w:hAnsiTheme="majorHAnsi"/>
          <w:spacing w:val="-2"/>
          <w:sz w:val="20"/>
          <w:szCs w:val="20"/>
          <w:lang w:val="en-US"/>
        </w:rPr>
        <w:t xml:space="preserve"> </w:t>
      </w:r>
      <w:r w:rsidRPr="000977F7">
        <w:rPr>
          <w:rFonts w:asciiTheme="majorHAnsi" w:hAnsiTheme="majorHAnsi"/>
          <w:sz w:val="20"/>
          <w:szCs w:val="20"/>
        </w:rPr>
        <w:t>їхніми</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початковими</w:t>
      </w:r>
      <w:r w:rsidRPr="004D2D14">
        <w:rPr>
          <w:rFonts w:asciiTheme="majorHAnsi" w:hAnsiTheme="majorHAnsi"/>
          <w:spacing w:val="-2"/>
          <w:sz w:val="20"/>
          <w:szCs w:val="20"/>
          <w:lang w:val="en-US"/>
        </w:rPr>
        <w:t xml:space="preserve"> </w:t>
      </w:r>
      <w:r w:rsidRPr="000977F7">
        <w:rPr>
          <w:rFonts w:asciiTheme="majorHAnsi" w:hAnsiTheme="majorHAnsi"/>
          <w:sz w:val="20"/>
          <w:szCs w:val="20"/>
        </w:rPr>
        <w:t>фазами</w:t>
      </w:r>
    </w:p>
    <w:p w14:paraId="79E54379"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3"/>
          <w:sz w:val="20"/>
          <w:szCs w:val="20"/>
          <w:lang w:val="en-US"/>
        </w:rPr>
        <w:t xml:space="preserve"> </w:t>
      </w:r>
      <w:r w:rsidRPr="004D2D14">
        <w:rPr>
          <w:rFonts w:asciiTheme="majorHAnsi" w:hAnsiTheme="majorHAnsi"/>
          <w:i/>
          <w:sz w:val="20"/>
          <w:szCs w:val="20"/>
          <w:lang w:val="en-US"/>
        </w:rPr>
        <w:t>2473 –</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6B5A65AD"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en-US"/>
        </w:rPr>
      </w:pPr>
      <w:r w:rsidRPr="000977F7">
        <w:rPr>
          <w:rFonts w:asciiTheme="majorHAnsi" w:hAnsiTheme="majorHAnsi"/>
          <w:sz w:val="20"/>
          <w:szCs w:val="20"/>
        </w:rPr>
        <w:t>Спектр</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вібрації</w:t>
      </w:r>
      <w:r w:rsidRPr="004D2D14">
        <w:rPr>
          <w:rFonts w:asciiTheme="majorHAnsi" w:hAnsiTheme="majorHAnsi"/>
          <w:sz w:val="20"/>
          <w:szCs w:val="20"/>
          <w:lang w:val="en-US"/>
        </w:rPr>
        <w:t>,</w:t>
      </w:r>
      <w:r w:rsidRPr="004D2D14">
        <w:rPr>
          <w:rFonts w:asciiTheme="majorHAnsi" w:hAnsiTheme="majorHAnsi"/>
          <w:spacing w:val="2"/>
          <w:sz w:val="20"/>
          <w:szCs w:val="20"/>
          <w:lang w:val="en-US"/>
        </w:rPr>
        <w:t xml:space="preserve"> </w:t>
      </w:r>
      <w:r w:rsidRPr="000977F7">
        <w:rPr>
          <w:rFonts w:asciiTheme="majorHAnsi" w:hAnsiTheme="majorHAnsi"/>
          <w:sz w:val="20"/>
          <w:szCs w:val="20"/>
        </w:rPr>
        <w:t>у</w:t>
      </w:r>
      <w:r w:rsidRPr="004D2D14">
        <w:rPr>
          <w:rFonts w:asciiTheme="majorHAnsi" w:hAnsiTheme="majorHAnsi"/>
          <w:spacing w:val="-3"/>
          <w:sz w:val="20"/>
          <w:szCs w:val="20"/>
          <w:lang w:val="en-US"/>
        </w:rPr>
        <w:t xml:space="preserve"> </w:t>
      </w:r>
      <w:r w:rsidRPr="000977F7">
        <w:rPr>
          <w:rFonts w:asciiTheme="majorHAnsi" w:hAnsiTheme="majorHAnsi"/>
          <w:sz w:val="20"/>
          <w:szCs w:val="20"/>
        </w:rPr>
        <w:t>якому</w:t>
      </w:r>
      <w:r w:rsidRPr="004D2D14">
        <w:rPr>
          <w:rFonts w:asciiTheme="majorHAnsi" w:hAnsiTheme="majorHAnsi"/>
          <w:sz w:val="20"/>
          <w:szCs w:val="20"/>
          <w:lang w:val="en-US"/>
        </w:rPr>
        <w:t xml:space="preserve"> </w:t>
      </w:r>
      <w:r w:rsidRPr="000977F7">
        <w:rPr>
          <w:rFonts w:asciiTheme="majorHAnsi" w:hAnsiTheme="majorHAnsi"/>
          <w:sz w:val="20"/>
          <w:szCs w:val="20"/>
        </w:rPr>
        <w:t>величинами</w:t>
      </w:r>
      <w:r w:rsidRPr="004D2D14">
        <w:rPr>
          <w:rFonts w:asciiTheme="majorHAnsi" w:hAnsiTheme="majorHAnsi"/>
          <w:sz w:val="20"/>
          <w:szCs w:val="20"/>
          <w:lang w:val="en-US"/>
        </w:rPr>
        <w:t xml:space="preserve">, </w:t>
      </w:r>
      <w:r w:rsidRPr="000977F7">
        <w:rPr>
          <w:rFonts w:asciiTheme="majorHAnsi" w:hAnsiTheme="majorHAnsi"/>
          <w:sz w:val="20"/>
          <w:szCs w:val="20"/>
        </w:rPr>
        <w:t>які</w:t>
      </w:r>
      <w:r w:rsidRPr="004D2D14">
        <w:rPr>
          <w:rFonts w:asciiTheme="majorHAnsi" w:hAnsiTheme="majorHAnsi"/>
          <w:spacing w:val="2"/>
          <w:sz w:val="20"/>
          <w:szCs w:val="20"/>
          <w:lang w:val="en-US"/>
        </w:rPr>
        <w:t xml:space="preserve"> </w:t>
      </w:r>
      <w:r w:rsidRPr="000977F7">
        <w:rPr>
          <w:rFonts w:asciiTheme="majorHAnsi" w:hAnsiTheme="majorHAnsi"/>
          <w:sz w:val="20"/>
          <w:szCs w:val="20"/>
        </w:rPr>
        <w:t>характеризу</w:t>
      </w:r>
      <w:r w:rsidRPr="000977F7">
        <w:rPr>
          <w:rFonts w:asciiTheme="majorHAnsi" w:hAnsiTheme="majorHAnsi"/>
          <w:spacing w:val="-1"/>
          <w:sz w:val="20"/>
          <w:szCs w:val="20"/>
        </w:rPr>
        <w:t>ють</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гармонічні</w:t>
      </w:r>
      <w:r w:rsidRPr="004D2D14">
        <w:rPr>
          <w:rFonts w:asciiTheme="majorHAnsi" w:hAnsiTheme="majorHAnsi"/>
          <w:spacing w:val="-1"/>
          <w:sz w:val="20"/>
          <w:szCs w:val="20"/>
          <w:lang w:val="en-US"/>
        </w:rPr>
        <w:t xml:space="preserve"> </w:t>
      </w:r>
      <w:r w:rsidRPr="000977F7">
        <w:rPr>
          <w:rFonts w:asciiTheme="majorHAnsi" w:hAnsiTheme="majorHAnsi"/>
          <w:sz w:val="20"/>
          <w:szCs w:val="20"/>
        </w:rPr>
        <w:t>складові</w:t>
      </w:r>
      <w:r w:rsidRPr="004D2D14">
        <w:rPr>
          <w:rFonts w:asciiTheme="majorHAnsi" w:hAnsiTheme="majorHAnsi"/>
          <w:sz w:val="20"/>
          <w:szCs w:val="20"/>
          <w:lang w:val="en-US"/>
        </w:rPr>
        <w:t xml:space="preserve"> </w:t>
      </w:r>
      <w:r w:rsidRPr="000977F7">
        <w:rPr>
          <w:rFonts w:asciiTheme="majorHAnsi" w:hAnsiTheme="majorHAnsi"/>
          <w:sz w:val="20"/>
          <w:szCs w:val="20"/>
        </w:rPr>
        <w:t>вібрації</w:t>
      </w:r>
      <w:r w:rsidRPr="004D2D14">
        <w:rPr>
          <w:rFonts w:asciiTheme="majorHAnsi" w:hAnsiTheme="majorHAnsi"/>
          <w:sz w:val="20"/>
          <w:szCs w:val="20"/>
          <w:lang w:val="en-US"/>
        </w:rPr>
        <w:t xml:space="preserve">, </w:t>
      </w:r>
      <w:r w:rsidRPr="000977F7">
        <w:rPr>
          <w:rFonts w:asciiTheme="majorHAnsi" w:hAnsiTheme="majorHAnsi"/>
          <w:sz w:val="20"/>
          <w:szCs w:val="20"/>
        </w:rPr>
        <w:t>є</w:t>
      </w:r>
      <w:r w:rsidRPr="004D2D14">
        <w:rPr>
          <w:rFonts w:asciiTheme="majorHAnsi" w:hAnsiTheme="majorHAnsi"/>
          <w:sz w:val="20"/>
          <w:szCs w:val="20"/>
          <w:lang w:val="en-US"/>
        </w:rPr>
        <w:t xml:space="preserve"> </w:t>
      </w:r>
      <w:r w:rsidRPr="000977F7">
        <w:rPr>
          <w:rFonts w:asciiTheme="majorHAnsi" w:hAnsiTheme="majorHAnsi"/>
          <w:sz w:val="20"/>
          <w:szCs w:val="20"/>
        </w:rPr>
        <w:t>їх</w:t>
      </w:r>
      <w:r w:rsidRPr="004D2D14">
        <w:rPr>
          <w:rFonts w:asciiTheme="majorHAnsi" w:hAnsiTheme="majorHAnsi"/>
          <w:sz w:val="20"/>
          <w:szCs w:val="20"/>
          <w:lang w:val="en-US"/>
        </w:rPr>
        <w:t xml:space="preserve"> </w:t>
      </w:r>
      <w:r w:rsidRPr="000977F7">
        <w:rPr>
          <w:rFonts w:asciiTheme="majorHAnsi" w:hAnsiTheme="majorHAnsi"/>
          <w:sz w:val="20"/>
          <w:szCs w:val="20"/>
        </w:rPr>
        <w:t>початкові</w:t>
      </w:r>
      <w:r w:rsidRPr="004D2D14">
        <w:rPr>
          <w:rFonts w:asciiTheme="majorHAnsi" w:hAnsiTheme="majorHAnsi"/>
          <w:sz w:val="20"/>
          <w:szCs w:val="20"/>
          <w:lang w:val="en-US"/>
        </w:rPr>
        <w:t xml:space="preserve"> </w:t>
      </w:r>
      <w:r w:rsidRPr="000977F7">
        <w:rPr>
          <w:rFonts w:asciiTheme="majorHAnsi" w:hAnsiTheme="majorHAnsi"/>
          <w:sz w:val="20"/>
          <w:szCs w:val="20"/>
        </w:rPr>
        <w:t>фази</w:t>
      </w:r>
      <w:r w:rsidRPr="004D2D14">
        <w:rPr>
          <w:rFonts w:asciiTheme="majorHAnsi" w:hAnsiTheme="majorHAnsi"/>
          <w:spacing w:val="1"/>
          <w:sz w:val="20"/>
          <w:szCs w:val="20"/>
          <w:lang w:val="en-US"/>
        </w:rPr>
        <w:t xml:space="preserve"> </w:t>
      </w:r>
    </w:p>
    <w:p w14:paraId="05FB8D45"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2300</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93</w:t>
      </w:r>
    </w:p>
    <w:p w14:paraId="1E67477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ФАЗО-ЧАСТОТНА</w:t>
      </w:r>
      <w:r w:rsidRPr="000977F7">
        <w:rPr>
          <w:color w:val="auto"/>
          <w:spacing w:val="-5"/>
          <w:sz w:val="20"/>
          <w:szCs w:val="20"/>
        </w:rPr>
        <w:t xml:space="preserve"> </w:t>
      </w:r>
      <w:r w:rsidRPr="000977F7">
        <w:rPr>
          <w:color w:val="auto"/>
          <w:sz w:val="20"/>
          <w:szCs w:val="20"/>
        </w:rPr>
        <w:t>ХАРАКТЕРИСТИКА</w:t>
      </w:r>
      <w:r w:rsidRPr="000977F7">
        <w:rPr>
          <w:color w:val="auto"/>
          <w:spacing w:val="-4"/>
          <w:sz w:val="20"/>
          <w:szCs w:val="20"/>
        </w:rPr>
        <w:t xml:space="preserve"> </w:t>
      </w:r>
      <w:r w:rsidRPr="000977F7">
        <w:rPr>
          <w:color w:val="auto"/>
          <w:sz w:val="20"/>
          <w:szCs w:val="20"/>
        </w:rPr>
        <w:t>–</w:t>
      </w:r>
    </w:p>
    <w:p w14:paraId="7B2C767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PHASE-FREQUENCY</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CHARACTERISTIC</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73C8B65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Залежність</w:t>
      </w:r>
      <w:r w:rsidRPr="004D2D14">
        <w:rPr>
          <w:rFonts w:asciiTheme="majorHAnsi" w:hAnsiTheme="majorHAnsi"/>
          <w:sz w:val="20"/>
          <w:szCs w:val="20"/>
          <w:lang w:val="en-US"/>
        </w:rPr>
        <w:t xml:space="preserve"> </w:t>
      </w:r>
      <w:r w:rsidRPr="000977F7">
        <w:rPr>
          <w:rFonts w:asciiTheme="majorHAnsi" w:hAnsiTheme="majorHAnsi"/>
          <w:sz w:val="20"/>
          <w:szCs w:val="20"/>
        </w:rPr>
        <w:t>зсуву</w:t>
      </w:r>
      <w:r w:rsidRPr="004D2D14">
        <w:rPr>
          <w:rFonts w:asciiTheme="majorHAnsi" w:hAnsiTheme="majorHAnsi"/>
          <w:sz w:val="20"/>
          <w:szCs w:val="20"/>
          <w:lang w:val="en-US"/>
        </w:rPr>
        <w:t xml:space="preserve"> </w:t>
      </w:r>
      <w:r w:rsidRPr="000977F7">
        <w:rPr>
          <w:rFonts w:asciiTheme="majorHAnsi" w:hAnsiTheme="majorHAnsi"/>
          <w:sz w:val="20"/>
          <w:szCs w:val="20"/>
        </w:rPr>
        <w:t>фаз</w:t>
      </w:r>
      <w:r w:rsidRPr="004D2D14">
        <w:rPr>
          <w:rFonts w:asciiTheme="majorHAnsi" w:hAnsiTheme="majorHAnsi"/>
          <w:sz w:val="20"/>
          <w:szCs w:val="20"/>
          <w:lang w:val="en-US"/>
        </w:rPr>
        <w:t xml:space="preserve"> </w:t>
      </w:r>
      <w:r w:rsidRPr="000977F7">
        <w:rPr>
          <w:rFonts w:asciiTheme="majorHAnsi" w:hAnsiTheme="majorHAnsi"/>
          <w:sz w:val="20"/>
          <w:szCs w:val="20"/>
        </w:rPr>
        <w:t>між</w:t>
      </w:r>
      <w:r w:rsidRPr="004D2D14">
        <w:rPr>
          <w:rFonts w:asciiTheme="majorHAnsi" w:hAnsiTheme="majorHAnsi"/>
          <w:sz w:val="20"/>
          <w:szCs w:val="20"/>
          <w:lang w:val="en-US"/>
        </w:rPr>
        <w:t xml:space="preserve"> </w:t>
      </w:r>
      <w:r w:rsidRPr="000977F7">
        <w:rPr>
          <w:rFonts w:asciiTheme="majorHAnsi" w:hAnsiTheme="majorHAnsi"/>
          <w:sz w:val="20"/>
          <w:szCs w:val="20"/>
        </w:rPr>
        <w:t>вимушеними</w:t>
      </w:r>
      <w:r w:rsidRPr="004D2D14">
        <w:rPr>
          <w:rFonts w:asciiTheme="majorHAnsi" w:hAnsiTheme="majorHAnsi"/>
          <w:sz w:val="20"/>
          <w:szCs w:val="20"/>
          <w:lang w:val="en-US"/>
        </w:rPr>
        <w:t xml:space="preserve"> </w:t>
      </w:r>
      <w:r w:rsidRPr="000977F7">
        <w:rPr>
          <w:rFonts w:asciiTheme="majorHAnsi" w:hAnsiTheme="majorHAnsi"/>
          <w:sz w:val="20"/>
          <w:szCs w:val="20"/>
        </w:rPr>
        <w:t>коливаннями</w:t>
      </w:r>
      <w:r w:rsidRPr="004D2D14">
        <w:rPr>
          <w:rFonts w:asciiTheme="majorHAnsi" w:hAnsiTheme="majorHAnsi"/>
          <w:spacing w:val="1"/>
          <w:sz w:val="20"/>
          <w:szCs w:val="20"/>
          <w:lang w:val="en-US"/>
        </w:rPr>
        <w:t xml:space="preserve"> </w:t>
      </w:r>
      <w:r w:rsidRPr="000977F7">
        <w:rPr>
          <w:rFonts w:asciiTheme="majorHAnsi" w:hAnsiTheme="majorHAnsi"/>
          <w:sz w:val="20"/>
          <w:szCs w:val="20"/>
        </w:rPr>
        <w:t>системи</w:t>
      </w:r>
      <w:r w:rsidRPr="004D2D14">
        <w:rPr>
          <w:rFonts w:asciiTheme="majorHAnsi" w:hAnsiTheme="majorHAnsi"/>
          <w:sz w:val="20"/>
          <w:szCs w:val="20"/>
          <w:lang w:val="en-US"/>
        </w:rPr>
        <w:t xml:space="preserve"> </w:t>
      </w:r>
      <w:r w:rsidRPr="000977F7">
        <w:rPr>
          <w:rFonts w:asciiTheme="majorHAnsi" w:hAnsiTheme="majorHAnsi"/>
          <w:sz w:val="20"/>
          <w:szCs w:val="20"/>
        </w:rPr>
        <w:t>та</w:t>
      </w:r>
      <w:r w:rsidRPr="004D2D14">
        <w:rPr>
          <w:rFonts w:asciiTheme="majorHAnsi" w:hAnsiTheme="majorHAnsi"/>
          <w:sz w:val="20"/>
          <w:szCs w:val="20"/>
          <w:lang w:val="en-US"/>
        </w:rPr>
        <w:t xml:space="preserve"> </w:t>
      </w:r>
      <w:r w:rsidRPr="000977F7">
        <w:rPr>
          <w:rFonts w:asciiTheme="majorHAnsi" w:hAnsiTheme="majorHAnsi"/>
          <w:sz w:val="20"/>
          <w:szCs w:val="20"/>
        </w:rPr>
        <w:t>гармонічним</w:t>
      </w:r>
      <w:r w:rsidRPr="004D2D14">
        <w:rPr>
          <w:rFonts w:asciiTheme="majorHAnsi" w:hAnsiTheme="majorHAnsi"/>
          <w:sz w:val="20"/>
          <w:szCs w:val="20"/>
          <w:lang w:val="en-US"/>
        </w:rPr>
        <w:t xml:space="preserve"> </w:t>
      </w:r>
      <w:r w:rsidRPr="000977F7">
        <w:rPr>
          <w:rFonts w:asciiTheme="majorHAnsi" w:hAnsiTheme="majorHAnsi"/>
          <w:sz w:val="20"/>
          <w:szCs w:val="20"/>
        </w:rPr>
        <w:t>збудженням</w:t>
      </w:r>
      <w:r w:rsidRPr="004D2D14">
        <w:rPr>
          <w:rFonts w:asciiTheme="majorHAnsi" w:hAnsiTheme="majorHAnsi"/>
          <w:sz w:val="20"/>
          <w:szCs w:val="20"/>
          <w:lang w:val="en-US"/>
        </w:rPr>
        <w:t xml:space="preserve"> </w:t>
      </w:r>
      <w:r w:rsidRPr="000977F7">
        <w:rPr>
          <w:rFonts w:asciiTheme="majorHAnsi" w:hAnsiTheme="majorHAnsi"/>
          <w:sz w:val="20"/>
          <w:szCs w:val="20"/>
        </w:rPr>
        <w:t>сталої</w:t>
      </w:r>
      <w:r w:rsidRPr="004D2D14">
        <w:rPr>
          <w:rFonts w:asciiTheme="majorHAnsi" w:hAnsiTheme="majorHAnsi"/>
          <w:sz w:val="20"/>
          <w:szCs w:val="20"/>
          <w:lang w:val="en-US"/>
        </w:rPr>
        <w:t xml:space="preserve"> </w:t>
      </w:r>
      <w:r w:rsidRPr="000977F7">
        <w:rPr>
          <w:rFonts w:asciiTheme="majorHAnsi" w:hAnsiTheme="majorHAnsi"/>
          <w:sz w:val="20"/>
          <w:szCs w:val="20"/>
        </w:rPr>
        <w:t>амплітуди</w:t>
      </w:r>
      <w:r w:rsidRPr="004D2D14">
        <w:rPr>
          <w:rFonts w:asciiTheme="majorHAnsi" w:hAnsiTheme="majorHAnsi"/>
          <w:spacing w:val="-47"/>
          <w:sz w:val="20"/>
          <w:szCs w:val="20"/>
          <w:lang w:val="en-US"/>
        </w:rPr>
        <w:t xml:space="preserve"> </w:t>
      </w:r>
      <w:r w:rsidRPr="000977F7">
        <w:rPr>
          <w:rFonts w:asciiTheme="majorHAnsi" w:hAnsiTheme="majorHAnsi"/>
          <w:sz w:val="20"/>
          <w:szCs w:val="20"/>
        </w:rPr>
        <w:t>від</w:t>
      </w:r>
      <w:r w:rsidRPr="004D2D14">
        <w:rPr>
          <w:rFonts w:asciiTheme="majorHAnsi" w:hAnsiTheme="majorHAnsi"/>
          <w:spacing w:val="-2"/>
          <w:sz w:val="20"/>
          <w:szCs w:val="20"/>
          <w:lang w:val="en-US"/>
        </w:rPr>
        <w:t xml:space="preserve"> </w:t>
      </w:r>
      <w:r w:rsidRPr="000977F7">
        <w:rPr>
          <w:rFonts w:asciiTheme="majorHAnsi" w:hAnsiTheme="majorHAnsi"/>
          <w:sz w:val="20"/>
          <w:szCs w:val="20"/>
        </w:rPr>
        <w:t>частоти</w:t>
      </w:r>
      <w:r w:rsidRPr="004D2D14">
        <w:rPr>
          <w:rFonts w:asciiTheme="majorHAnsi" w:hAnsiTheme="majorHAnsi"/>
          <w:spacing w:val="-1"/>
          <w:sz w:val="20"/>
          <w:szCs w:val="20"/>
          <w:lang w:val="en-US"/>
        </w:rPr>
        <w:t xml:space="preserve"> </w:t>
      </w:r>
      <w:r w:rsidRPr="000977F7">
        <w:rPr>
          <w:rFonts w:asciiTheme="majorHAnsi" w:hAnsiTheme="majorHAnsi"/>
          <w:sz w:val="20"/>
          <w:szCs w:val="20"/>
        </w:rPr>
        <w:t>збудження</w:t>
      </w:r>
    </w:p>
    <w:p w14:paraId="76076FE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2473</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165DFF5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Залежність</w:t>
      </w:r>
      <w:r w:rsidRPr="004D2D14">
        <w:rPr>
          <w:rFonts w:asciiTheme="majorHAnsi" w:hAnsiTheme="majorHAnsi"/>
          <w:sz w:val="20"/>
          <w:szCs w:val="20"/>
          <w:lang w:val="en-US"/>
        </w:rPr>
        <w:t xml:space="preserve"> </w:t>
      </w:r>
      <w:r w:rsidRPr="000977F7">
        <w:rPr>
          <w:rFonts w:asciiTheme="majorHAnsi" w:hAnsiTheme="majorHAnsi"/>
          <w:sz w:val="20"/>
          <w:szCs w:val="20"/>
        </w:rPr>
        <w:t>зсуву</w:t>
      </w:r>
      <w:r w:rsidRPr="004D2D14">
        <w:rPr>
          <w:rFonts w:asciiTheme="majorHAnsi" w:hAnsiTheme="majorHAnsi"/>
          <w:sz w:val="20"/>
          <w:szCs w:val="20"/>
          <w:lang w:val="en-US"/>
        </w:rPr>
        <w:t xml:space="preserve"> </w:t>
      </w:r>
      <w:r w:rsidRPr="000977F7">
        <w:rPr>
          <w:rFonts w:asciiTheme="majorHAnsi" w:hAnsiTheme="majorHAnsi"/>
          <w:sz w:val="20"/>
          <w:szCs w:val="20"/>
        </w:rPr>
        <w:t>фаз</w:t>
      </w:r>
      <w:r w:rsidRPr="004D2D14">
        <w:rPr>
          <w:rFonts w:asciiTheme="majorHAnsi" w:hAnsiTheme="majorHAnsi"/>
          <w:sz w:val="20"/>
          <w:szCs w:val="20"/>
          <w:lang w:val="en-US"/>
        </w:rPr>
        <w:t xml:space="preserve"> </w:t>
      </w:r>
      <w:r w:rsidRPr="000977F7">
        <w:rPr>
          <w:rFonts w:asciiTheme="majorHAnsi" w:hAnsiTheme="majorHAnsi"/>
          <w:sz w:val="20"/>
          <w:szCs w:val="20"/>
        </w:rPr>
        <w:t>між</w:t>
      </w:r>
      <w:r w:rsidRPr="004D2D14">
        <w:rPr>
          <w:rFonts w:asciiTheme="majorHAnsi" w:hAnsiTheme="majorHAnsi"/>
          <w:sz w:val="20"/>
          <w:szCs w:val="20"/>
          <w:lang w:val="en-US"/>
        </w:rPr>
        <w:t xml:space="preserve"> </w:t>
      </w:r>
      <w:r w:rsidRPr="000977F7">
        <w:rPr>
          <w:rFonts w:asciiTheme="majorHAnsi" w:hAnsiTheme="majorHAnsi"/>
          <w:sz w:val="20"/>
          <w:szCs w:val="20"/>
        </w:rPr>
        <w:t>змушеною</w:t>
      </w:r>
      <w:r w:rsidRPr="004D2D14">
        <w:rPr>
          <w:rFonts w:asciiTheme="majorHAnsi" w:hAnsiTheme="majorHAnsi"/>
          <w:sz w:val="20"/>
          <w:szCs w:val="20"/>
          <w:lang w:val="en-US"/>
        </w:rPr>
        <w:t xml:space="preserve"> </w:t>
      </w:r>
      <w:r w:rsidRPr="000977F7">
        <w:rPr>
          <w:rFonts w:asciiTheme="majorHAnsi" w:hAnsiTheme="majorHAnsi"/>
          <w:sz w:val="20"/>
          <w:szCs w:val="20"/>
        </w:rPr>
        <w:t>вібрацією</w:t>
      </w:r>
      <w:r w:rsidRPr="004D2D14">
        <w:rPr>
          <w:rFonts w:asciiTheme="majorHAnsi" w:hAnsiTheme="majorHAnsi"/>
          <w:sz w:val="20"/>
          <w:szCs w:val="20"/>
          <w:lang w:val="en-US"/>
        </w:rPr>
        <w:t xml:space="preserve"> </w:t>
      </w:r>
      <w:r w:rsidRPr="000977F7">
        <w:rPr>
          <w:rFonts w:asciiTheme="majorHAnsi" w:hAnsiTheme="majorHAnsi"/>
          <w:sz w:val="20"/>
          <w:szCs w:val="20"/>
        </w:rPr>
        <w:t>системою</w:t>
      </w:r>
      <w:r w:rsidRPr="004D2D14">
        <w:rPr>
          <w:rFonts w:asciiTheme="majorHAnsi" w:hAnsiTheme="majorHAnsi"/>
          <w:spacing w:val="1"/>
          <w:sz w:val="20"/>
          <w:szCs w:val="20"/>
          <w:lang w:val="en-US"/>
        </w:rPr>
        <w:t xml:space="preserve"> </w:t>
      </w:r>
      <w:r w:rsidRPr="000977F7">
        <w:rPr>
          <w:rFonts w:asciiTheme="majorHAnsi" w:hAnsiTheme="majorHAnsi"/>
          <w:sz w:val="20"/>
          <w:szCs w:val="20"/>
        </w:rPr>
        <w:t>та</w:t>
      </w:r>
      <w:r w:rsidRPr="004D2D14">
        <w:rPr>
          <w:rFonts w:asciiTheme="majorHAnsi" w:hAnsiTheme="majorHAnsi"/>
          <w:spacing w:val="1"/>
          <w:sz w:val="20"/>
          <w:szCs w:val="20"/>
          <w:lang w:val="en-US"/>
        </w:rPr>
        <w:t xml:space="preserve"> </w:t>
      </w:r>
      <w:r w:rsidRPr="000977F7">
        <w:rPr>
          <w:rFonts w:asciiTheme="majorHAnsi" w:hAnsiTheme="majorHAnsi"/>
          <w:sz w:val="20"/>
          <w:szCs w:val="20"/>
        </w:rPr>
        <w:t>гармонічним</w:t>
      </w:r>
      <w:r w:rsidRPr="004D2D14">
        <w:rPr>
          <w:rFonts w:asciiTheme="majorHAnsi" w:hAnsiTheme="majorHAnsi"/>
          <w:spacing w:val="1"/>
          <w:sz w:val="20"/>
          <w:szCs w:val="20"/>
          <w:lang w:val="en-US"/>
        </w:rPr>
        <w:t xml:space="preserve"> </w:t>
      </w:r>
      <w:r w:rsidRPr="000977F7">
        <w:rPr>
          <w:rFonts w:asciiTheme="majorHAnsi" w:hAnsiTheme="majorHAnsi"/>
          <w:sz w:val="20"/>
          <w:szCs w:val="20"/>
        </w:rPr>
        <w:t>збудженням</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що</w:t>
      </w:r>
      <w:r w:rsidRPr="004D2D14">
        <w:rPr>
          <w:rFonts w:asciiTheme="majorHAnsi" w:hAnsiTheme="majorHAnsi"/>
          <w:spacing w:val="1"/>
          <w:sz w:val="20"/>
          <w:szCs w:val="20"/>
          <w:lang w:val="en-US"/>
        </w:rPr>
        <w:t xml:space="preserve"> </w:t>
      </w:r>
      <w:r w:rsidRPr="000977F7">
        <w:rPr>
          <w:rFonts w:asciiTheme="majorHAnsi" w:hAnsiTheme="majorHAnsi"/>
          <w:sz w:val="20"/>
          <w:szCs w:val="20"/>
        </w:rPr>
        <w:t>має</w:t>
      </w:r>
      <w:r w:rsidRPr="004D2D14">
        <w:rPr>
          <w:rFonts w:asciiTheme="majorHAnsi" w:hAnsiTheme="majorHAnsi"/>
          <w:spacing w:val="1"/>
          <w:sz w:val="20"/>
          <w:szCs w:val="20"/>
          <w:lang w:val="en-US"/>
        </w:rPr>
        <w:t xml:space="preserve"> </w:t>
      </w:r>
      <w:r w:rsidRPr="000977F7">
        <w:rPr>
          <w:rFonts w:asciiTheme="majorHAnsi" w:hAnsiTheme="majorHAnsi"/>
          <w:sz w:val="20"/>
          <w:szCs w:val="20"/>
        </w:rPr>
        <w:t>постійну</w:t>
      </w:r>
      <w:r w:rsidRPr="004D2D14">
        <w:rPr>
          <w:rFonts w:asciiTheme="majorHAnsi" w:hAnsiTheme="majorHAnsi"/>
          <w:spacing w:val="-47"/>
          <w:sz w:val="20"/>
          <w:szCs w:val="20"/>
          <w:lang w:val="en-US"/>
        </w:rPr>
        <w:t xml:space="preserve"> </w:t>
      </w:r>
      <w:r w:rsidRPr="000977F7">
        <w:rPr>
          <w:rFonts w:asciiTheme="majorHAnsi" w:hAnsiTheme="majorHAnsi"/>
          <w:sz w:val="20"/>
          <w:szCs w:val="20"/>
        </w:rPr>
        <w:t>амплітуду</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w:t>
      </w:r>
      <w:r w:rsidRPr="004D2D14">
        <w:rPr>
          <w:rFonts w:asciiTheme="majorHAnsi" w:hAnsiTheme="majorHAnsi"/>
          <w:spacing w:val="-1"/>
          <w:sz w:val="20"/>
          <w:szCs w:val="20"/>
          <w:lang w:val="en-US"/>
        </w:rPr>
        <w:t xml:space="preserve"> </w:t>
      </w:r>
      <w:r w:rsidRPr="000977F7">
        <w:rPr>
          <w:rFonts w:asciiTheme="majorHAnsi" w:hAnsiTheme="majorHAnsi"/>
          <w:sz w:val="20"/>
          <w:szCs w:val="20"/>
        </w:rPr>
        <w:t>частоти</w:t>
      </w:r>
      <w:r w:rsidRPr="004D2D14">
        <w:rPr>
          <w:rFonts w:asciiTheme="majorHAnsi" w:hAnsiTheme="majorHAnsi"/>
          <w:spacing w:val="-2"/>
          <w:sz w:val="20"/>
          <w:szCs w:val="20"/>
          <w:lang w:val="en-US"/>
        </w:rPr>
        <w:t xml:space="preserve"> </w:t>
      </w:r>
      <w:r w:rsidRPr="000977F7">
        <w:rPr>
          <w:rFonts w:asciiTheme="majorHAnsi" w:hAnsiTheme="majorHAnsi"/>
          <w:sz w:val="20"/>
          <w:szCs w:val="20"/>
        </w:rPr>
        <w:t>останнього</w:t>
      </w:r>
    </w:p>
    <w:p w14:paraId="2F1871A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2300 – 93</w:t>
      </w:r>
    </w:p>
    <w:p w14:paraId="57CD32D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Залежність</w:t>
      </w:r>
      <w:r w:rsidRPr="000977F7">
        <w:rPr>
          <w:rFonts w:asciiTheme="majorHAnsi" w:hAnsiTheme="majorHAnsi"/>
          <w:spacing w:val="29"/>
          <w:sz w:val="20"/>
          <w:szCs w:val="20"/>
        </w:rPr>
        <w:t xml:space="preserve"> </w:t>
      </w:r>
      <w:r w:rsidRPr="000977F7">
        <w:rPr>
          <w:rFonts w:asciiTheme="majorHAnsi" w:hAnsiTheme="majorHAnsi"/>
          <w:sz w:val="20"/>
          <w:szCs w:val="20"/>
        </w:rPr>
        <w:t>аргументу</w:t>
      </w:r>
      <w:r w:rsidRPr="000977F7">
        <w:rPr>
          <w:rFonts w:asciiTheme="majorHAnsi" w:hAnsiTheme="majorHAnsi"/>
          <w:spacing w:val="32"/>
          <w:sz w:val="20"/>
          <w:szCs w:val="20"/>
        </w:rPr>
        <w:t xml:space="preserve"> </w:t>
      </w:r>
      <w:r w:rsidRPr="000977F7">
        <w:rPr>
          <w:rFonts w:asciiTheme="majorHAnsi" w:hAnsiTheme="majorHAnsi"/>
          <w:sz w:val="20"/>
          <w:szCs w:val="20"/>
        </w:rPr>
        <w:t>частотної</w:t>
      </w:r>
      <w:r w:rsidRPr="000977F7">
        <w:rPr>
          <w:rFonts w:asciiTheme="majorHAnsi" w:hAnsiTheme="majorHAnsi"/>
          <w:spacing w:val="33"/>
          <w:sz w:val="20"/>
          <w:szCs w:val="20"/>
        </w:rPr>
        <w:t xml:space="preserve"> </w:t>
      </w:r>
      <w:r w:rsidRPr="000977F7">
        <w:rPr>
          <w:rFonts w:asciiTheme="majorHAnsi" w:hAnsiTheme="majorHAnsi"/>
          <w:sz w:val="20"/>
          <w:szCs w:val="20"/>
        </w:rPr>
        <w:t>передавальної</w:t>
      </w:r>
      <w:r w:rsidRPr="000977F7">
        <w:rPr>
          <w:rFonts w:asciiTheme="majorHAnsi" w:hAnsiTheme="majorHAnsi"/>
          <w:spacing w:val="29"/>
          <w:sz w:val="20"/>
          <w:szCs w:val="20"/>
        </w:rPr>
        <w:t xml:space="preserve"> </w:t>
      </w:r>
      <w:r w:rsidRPr="000977F7">
        <w:rPr>
          <w:rFonts w:asciiTheme="majorHAnsi" w:hAnsiTheme="majorHAnsi"/>
          <w:sz w:val="20"/>
          <w:szCs w:val="20"/>
        </w:rPr>
        <w:t>функції</w:t>
      </w:r>
      <w:r w:rsidRPr="000977F7">
        <w:rPr>
          <w:rFonts w:asciiTheme="majorHAnsi" w:hAnsiTheme="majorHAnsi"/>
          <w:spacing w:val="-2"/>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частоти</w:t>
      </w:r>
    </w:p>
    <w:p w14:paraId="76234E4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37E9EC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Фазо</w:t>
      </w:r>
      <w:r w:rsidRPr="000977F7">
        <w:rPr>
          <w:rFonts w:asciiTheme="majorHAnsi" w:hAnsiTheme="majorHAnsi"/>
          <w:spacing w:val="4"/>
          <w:sz w:val="20"/>
          <w:szCs w:val="20"/>
        </w:rPr>
        <w:t xml:space="preserve"> </w:t>
      </w:r>
      <w:r w:rsidRPr="000977F7">
        <w:rPr>
          <w:rFonts w:asciiTheme="majorHAnsi" w:hAnsiTheme="majorHAnsi"/>
          <w:sz w:val="20"/>
          <w:szCs w:val="20"/>
        </w:rPr>
        <w:t>–</w:t>
      </w:r>
      <w:r w:rsidRPr="000977F7">
        <w:rPr>
          <w:rFonts w:asciiTheme="majorHAnsi" w:hAnsiTheme="majorHAnsi"/>
          <w:spacing w:val="3"/>
          <w:sz w:val="20"/>
          <w:szCs w:val="20"/>
        </w:rPr>
        <w:t xml:space="preserve"> </w:t>
      </w:r>
      <w:r w:rsidRPr="000977F7">
        <w:rPr>
          <w:rFonts w:asciiTheme="majorHAnsi" w:hAnsiTheme="majorHAnsi"/>
          <w:sz w:val="20"/>
          <w:szCs w:val="20"/>
        </w:rPr>
        <w:t>частотна</w:t>
      </w:r>
      <w:r w:rsidRPr="000977F7">
        <w:rPr>
          <w:rFonts w:asciiTheme="majorHAnsi" w:hAnsiTheme="majorHAnsi"/>
          <w:spacing w:val="2"/>
          <w:sz w:val="20"/>
          <w:szCs w:val="20"/>
        </w:rPr>
        <w:t xml:space="preserve"> </w:t>
      </w:r>
      <w:r w:rsidRPr="000977F7">
        <w:rPr>
          <w:rFonts w:asciiTheme="majorHAnsi" w:hAnsiTheme="majorHAnsi"/>
          <w:sz w:val="20"/>
          <w:szCs w:val="20"/>
        </w:rPr>
        <w:t>характеристика</w:t>
      </w:r>
      <w:r w:rsidRPr="000977F7">
        <w:rPr>
          <w:rFonts w:asciiTheme="majorHAnsi" w:hAnsiTheme="majorHAnsi"/>
          <w:spacing w:val="2"/>
          <w:sz w:val="20"/>
          <w:szCs w:val="20"/>
        </w:rPr>
        <w:t xml:space="preserve"> </w:t>
      </w:r>
      <w:r w:rsidRPr="000977F7">
        <w:rPr>
          <w:rFonts w:asciiTheme="majorHAnsi" w:hAnsiTheme="majorHAnsi"/>
          <w:sz w:val="20"/>
          <w:szCs w:val="20"/>
        </w:rPr>
        <w:t>може</w:t>
      </w:r>
      <w:r w:rsidRPr="000977F7">
        <w:rPr>
          <w:rFonts w:asciiTheme="majorHAnsi" w:hAnsiTheme="majorHAnsi"/>
          <w:spacing w:val="2"/>
          <w:sz w:val="20"/>
          <w:szCs w:val="20"/>
        </w:rPr>
        <w:t xml:space="preserve"> </w:t>
      </w:r>
      <w:r w:rsidRPr="000977F7">
        <w:rPr>
          <w:rFonts w:asciiTheme="majorHAnsi" w:hAnsiTheme="majorHAnsi"/>
          <w:sz w:val="20"/>
          <w:szCs w:val="20"/>
        </w:rPr>
        <w:t>бути</w:t>
      </w:r>
      <w:r w:rsidRPr="000977F7">
        <w:rPr>
          <w:rFonts w:asciiTheme="majorHAnsi" w:hAnsiTheme="majorHAnsi"/>
          <w:spacing w:val="3"/>
          <w:sz w:val="20"/>
          <w:szCs w:val="20"/>
        </w:rPr>
        <w:t xml:space="preserve"> </w:t>
      </w:r>
      <w:r w:rsidRPr="000977F7">
        <w:rPr>
          <w:rFonts w:asciiTheme="majorHAnsi" w:hAnsiTheme="majorHAnsi"/>
          <w:sz w:val="20"/>
          <w:szCs w:val="20"/>
        </w:rPr>
        <w:t>подана</w:t>
      </w:r>
      <w:r w:rsidRPr="000977F7">
        <w:rPr>
          <w:rFonts w:asciiTheme="majorHAnsi" w:hAnsiTheme="majorHAnsi"/>
          <w:spacing w:val="-47"/>
          <w:sz w:val="20"/>
          <w:szCs w:val="20"/>
        </w:rPr>
        <w:t xml:space="preserve"> </w:t>
      </w:r>
      <w:r w:rsidRPr="000977F7">
        <w:rPr>
          <w:rFonts w:asciiTheme="majorHAnsi" w:hAnsiTheme="majorHAnsi"/>
          <w:sz w:val="20"/>
          <w:szCs w:val="20"/>
        </w:rPr>
        <w:t>математичним виразом</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3"/>
          <w:sz w:val="20"/>
          <w:szCs w:val="20"/>
        </w:rPr>
        <w:t xml:space="preserve"> </w:t>
      </w:r>
      <w:r w:rsidRPr="000977F7">
        <w:rPr>
          <w:rFonts w:asciiTheme="majorHAnsi" w:hAnsiTheme="majorHAnsi"/>
          <w:sz w:val="20"/>
          <w:szCs w:val="20"/>
        </w:rPr>
        <w:t>графіком</w:t>
      </w:r>
    </w:p>
    <w:p w14:paraId="6B9F3AD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56A173E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ФАЗОВО</w:t>
      </w:r>
      <w:r w:rsidRPr="000977F7">
        <w:rPr>
          <w:color w:val="auto"/>
          <w:spacing w:val="-2"/>
          <w:sz w:val="20"/>
          <w:szCs w:val="20"/>
        </w:rPr>
        <w:t xml:space="preserve"> </w:t>
      </w:r>
      <w:r w:rsidRPr="000977F7">
        <w:rPr>
          <w:color w:val="auto"/>
          <w:sz w:val="20"/>
          <w:szCs w:val="20"/>
        </w:rPr>
        <w:t>–</w:t>
      </w:r>
      <w:r w:rsidRPr="000977F7">
        <w:rPr>
          <w:color w:val="auto"/>
          <w:spacing w:val="-2"/>
          <w:sz w:val="20"/>
          <w:szCs w:val="20"/>
        </w:rPr>
        <w:t xml:space="preserve"> </w:t>
      </w:r>
      <w:r w:rsidRPr="000977F7">
        <w:rPr>
          <w:color w:val="auto"/>
          <w:sz w:val="20"/>
          <w:szCs w:val="20"/>
        </w:rPr>
        <w:t>ІМПУЛЬСНЕ</w:t>
      </w:r>
      <w:r w:rsidRPr="000977F7">
        <w:rPr>
          <w:color w:val="auto"/>
          <w:spacing w:val="-4"/>
          <w:sz w:val="20"/>
          <w:szCs w:val="20"/>
        </w:rPr>
        <w:t xml:space="preserve"> </w:t>
      </w:r>
      <w:r w:rsidRPr="000977F7">
        <w:rPr>
          <w:color w:val="auto"/>
          <w:sz w:val="20"/>
          <w:szCs w:val="20"/>
        </w:rPr>
        <w:t>ДІЯННЯ</w:t>
      </w:r>
      <w:r w:rsidRPr="000977F7">
        <w:rPr>
          <w:color w:val="auto"/>
          <w:spacing w:val="-2"/>
          <w:sz w:val="20"/>
          <w:szCs w:val="20"/>
        </w:rPr>
        <w:t xml:space="preserve"> </w:t>
      </w:r>
      <w:r w:rsidRPr="000977F7">
        <w:rPr>
          <w:color w:val="auto"/>
          <w:sz w:val="20"/>
          <w:szCs w:val="20"/>
        </w:rPr>
        <w:t>–</w:t>
      </w:r>
    </w:p>
    <w:p w14:paraId="0AE7E2C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IMPULSE</w:t>
      </w:r>
      <w:r w:rsidRPr="000977F7">
        <w:rPr>
          <w:rFonts w:asciiTheme="majorHAnsi" w:hAnsiTheme="majorHAnsi"/>
          <w:spacing w:val="-2"/>
          <w:sz w:val="20"/>
          <w:szCs w:val="20"/>
        </w:rPr>
        <w:t xml:space="preserve"> </w:t>
      </w:r>
      <w:r w:rsidRPr="000977F7">
        <w:rPr>
          <w:rFonts w:asciiTheme="majorHAnsi" w:hAnsiTheme="majorHAnsi"/>
          <w:sz w:val="20"/>
          <w:szCs w:val="20"/>
        </w:rPr>
        <w:t>PHASE ACTION –</w:t>
      </w:r>
    </w:p>
    <w:p w14:paraId="7CF288F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Імпульсне діяння, основним параметром якого є фаза</w:t>
      </w:r>
      <w:r w:rsidRPr="000977F7">
        <w:rPr>
          <w:rFonts w:asciiTheme="majorHAnsi" w:hAnsiTheme="majorHAnsi"/>
          <w:spacing w:val="1"/>
          <w:sz w:val="20"/>
          <w:szCs w:val="20"/>
        </w:rPr>
        <w:t xml:space="preserve"> </w:t>
      </w:r>
      <w:r w:rsidRPr="000977F7">
        <w:rPr>
          <w:rFonts w:asciiTheme="majorHAnsi" w:hAnsiTheme="majorHAnsi"/>
          <w:sz w:val="20"/>
          <w:szCs w:val="20"/>
        </w:rPr>
        <w:t>періодичної послідовності імпульсів дієвої величини</w:t>
      </w:r>
      <w:r w:rsidRPr="000977F7">
        <w:rPr>
          <w:rFonts w:asciiTheme="majorHAnsi" w:hAnsiTheme="majorHAnsi"/>
          <w:spacing w:val="1"/>
          <w:sz w:val="20"/>
          <w:szCs w:val="20"/>
        </w:rPr>
        <w:t xml:space="preserve"> </w:t>
      </w:r>
      <w:r w:rsidRPr="000977F7">
        <w:rPr>
          <w:rFonts w:asciiTheme="majorHAnsi" w:hAnsiTheme="majorHAnsi"/>
          <w:sz w:val="20"/>
          <w:szCs w:val="20"/>
        </w:rPr>
        <w:t>відносно</w:t>
      </w:r>
      <w:r w:rsidRPr="000977F7">
        <w:rPr>
          <w:rFonts w:asciiTheme="majorHAnsi" w:hAnsiTheme="majorHAnsi"/>
          <w:spacing w:val="1"/>
          <w:sz w:val="20"/>
          <w:szCs w:val="20"/>
        </w:rPr>
        <w:t xml:space="preserve"> </w:t>
      </w:r>
      <w:r w:rsidRPr="000977F7">
        <w:rPr>
          <w:rFonts w:asciiTheme="majorHAnsi" w:hAnsiTheme="majorHAnsi"/>
          <w:sz w:val="20"/>
          <w:szCs w:val="20"/>
        </w:rPr>
        <w:t>іншої</w:t>
      </w:r>
      <w:r w:rsidRPr="000977F7">
        <w:rPr>
          <w:rFonts w:asciiTheme="majorHAnsi" w:hAnsiTheme="majorHAnsi"/>
          <w:spacing w:val="1"/>
          <w:sz w:val="20"/>
          <w:szCs w:val="20"/>
        </w:rPr>
        <w:t xml:space="preserve"> </w:t>
      </w:r>
      <w:r w:rsidRPr="000977F7">
        <w:rPr>
          <w:rFonts w:asciiTheme="majorHAnsi" w:hAnsiTheme="majorHAnsi"/>
          <w:sz w:val="20"/>
          <w:szCs w:val="20"/>
        </w:rPr>
        <w:t>(опорної)</w:t>
      </w:r>
      <w:r w:rsidRPr="000977F7">
        <w:rPr>
          <w:rFonts w:asciiTheme="majorHAnsi" w:hAnsiTheme="majorHAnsi"/>
          <w:spacing w:val="1"/>
          <w:sz w:val="20"/>
          <w:szCs w:val="20"/>
        </w:rPr>
        <w:t xml:space="preserve"> </w:t>
      </w:r>
      <w:r w:rsidRPr="000977F7">
        <w:rPr>
          <w:rFonts w:asciiTheme="majorHAnsi" w:hAnsiTheme="majorHAnsi"/>
          <w:sz w:val="20"/>
          <w:szCs w:val="20"/>
        </w:rPr>
        <w:t>величини,</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періодично</w:t>
      </w:r>
      <w:r w:rsidRPr="000977F7">
        <w:rPr>
          <w:rFonts w:asciiTheme="majorHAnsi" w:hAnsiTheme="majorHAnsi"/>
          <w:spacing w:val="1"/>
          <w:sz w:val="20"/>
          <w:szCs w:val="20"/>
        </w:rPr>
        <w:t xml:space="preserve"> </w:t>
      </w:r>
      <w:r w:rsidRPr="000977F7">
        <w:rPr>
          <w:rFonts w:asciiTheme="majorHAnsi" w:hAnsiTheme="majorHAnsi"/>
          <w:sz w:val="20"/>
          <w:szCs w:val="20"/>
        </w:rPr>
        <w:t>змінюється</w:t>
      </w:r>
      <w:r w:rsidRPr="000977F7">
        <w:rPr>
          <w:rFonts w:asciiTheme="majorHAnsi" w:hAnsiTheme="majorHAnsi"/>
          <w:spacing w:val="-2"/>
          <w:sz w:val="20"/>
          <w:szCs w:val="20"/>
        </w:rPr>
        <w:t xml:space="preserve"> </w:t>
      </w:r>
      <w:r w:rsidRPr="000977F7">
        <w:rPr>
          <w:rFonts w:asciiTheme="majorHAnsi" w:hAnsiTheme="majorHAnsi"/>
          <w:sz w:val="20"/>
          <w:szCs w:val="20"/>
        </w:rPr>
        <w:t>з тією</w:t>
      </w:r>
      <w:r w:rsidRPr="000977F7">
        <w:rPr>
          <w:rFonts w:asciiTheme="majorHAnsi" w:hAnsiTheme="majorHAnsi"/>
          <w:spacing w:val="2"/>
          <w:sz w:val="20"/>
          <w:szCs w:val="20"/>
        </w:rPr>
        <w:t xml:space="preserve"> </w:t>
      </w:r>
      <w:r w:rsidRPr="000977F7">
        <w:rPr>
          <w:rFonts w:asciiTheme="majorHAnsi" w:hAnsiTheme="majorHAnsi"/>
          <w:sz w:val="20"/>
          <w:szCs w:val="20"/>
        </w:rPr>
        <w:t>ж</w:t>
      </w:r>
      <w:r w:rsidRPr="000977F7">
        <w:rPr>
          <w:rFonts w:asciiTheme="majorHAnsi" w:hAnsiTheme="majorHAnsi"/>
          <w:spacing w:val="-2"/>
          <w:sz w:val="20"/>
          <w:szCs w:val="20"/>
        </w:rPr>
        <w:t xml:space="preserve"> </w:t>
      </w:r>
      <w:r w:rsidRPr="000977F7">
        <w:rPr>
          <w:rFonts w:asciiTheme="majorHAnsi" w:hAnsiTheme="majorHAnsi"/>
          <w:sz w:val="20"/>
          <w:szCs w:val="20"/>
        </w:rPr>
        <w:t>частотою</w:t>
      </w:r>
    </w:p>
    <w:p w14:paraId="7F7D1B7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D934C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 цьому визначенні під фазою розуміють відношення</w:t>
      </w:r>
      <w:r w:rsidRPr="000977F7">
        <w:rPr>
          <w:rFonts w:asciiTheme="majorHAnsi" w:hAnsiTheme="majorHAnsi"/>
          <w:spacing w:val="1"/>
          <w:sz w:val="20"/>
          <w:szCs w:val="20"/>
        </w:rPr>
        <w:t xml:space="preserve"> </w:t>
      </w:r>
      <w:r w:rsidRPr="000977F7">
        <w:rPr>
          <w:rFonts w:asciiTheme="majorHAnsi" w:hAnsiTheme="majorHAnsi"/>
          <w:sz w:val="20"/>
          <w:szCs w:val="20"/>
        </w:rPr>
        <w:t>часового зсуву між імпульсами дієвої та опорної величини</w:t>
      </w:r>
      <w:r w:rsidRPr="000977F7">
        <w:rPr>
          <w:rFonts w:asciiTheme="majorHAnsi" w:hAnsiTheme="majorHAnsi"/>
          <w:spacing w:val="-2"/>
          <w:sz w:val="20"/>
          <w:szCs w:val="20"/>
        </w:rPr>
        <w:t xml:space="preserve"> </w:t>
      </w:r>
      <w:r w:rsidRPr="000977F7">
        <w:rPr>
          <w:rFonts w:asciiTheme="majorHAnsi" w:hAnsiTheme="majorHAnsi"/>
          <w:sz w:val="20"/>
          <w:szCs w:val="20"/>
        </w:rPr>
        <w:t>до їхнього</w:t>
      </w:r>
      <w:r w:rsidRPr="000977F7">
        <w:rPr>
          <w:rFonts w:asciiTheme="majorHAnsi" w:hAnsiTheme="majorHAnsi"/>
          <w:spacing w:val="1"/>
          <w:sz w:val="20"/>
          <w:szCs w:val="20"/>
        </w:rPr>
        <w:t xml:space="preserve"> </w:t>
      </w:r>
      <w:r w:rsidRPr="000977F7">
        <w:rPr>
          <w:rFonts w:asciiTheme="majorHAnsi" w:hAnsiTheme="majorHAnsi"/>
          <w:sz w:val="20"/>
          <w:szCs w:val="20"/>
        </w:rPr>
        <w:t>періоду</w:t>
      </w:r>
    </w:p>
    <w:p w14:paraId="16E95FE7"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2"/>
          <w:sz w:val="20"/>
          <w:szCs w:val="20"/>
        </w:rPr>
        <w:t xml:space="preserve"> </w:t>
      </w:r>
      <w:r w:rsidRPr="000977F7">
        <w:rPr>
          <w:rFonts w:asciiTheme="majorHAnsi" w:hAnsiTheme="majorHAnsi"/>
          <w:i/>
          <w:iCs/>
          <w:sz w:val="20"/>
          <w:szCs w:val="20"/>
        </w:rPr>
        <w:t>3956 - 2000</w:t>
      </w:r>
    </w:p>
    <w:p w14:paraId="1210DF5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ФАКТОР</w:t>
      </w:r>
      <w:r w:rsidRPr="000977F7">
        <w:rPr>
          <w:color w:val="auto"/>
          <w:spacing w:val="-2"/>
          <w:sz w:val="20"/>
          <w:szCs w:val="20"/>
        </w:rPr>
        <w:t xml:space="preserve"> </w:t>
      </w:r>
      <w:r w:rsidRPr="000977F7">
        <w:rPr>
          <w:color w:val="auto"/>
          <w:sz w:val="20"/>
          <w:szCs w:val="20"/>
        </w:rPr>
        <w:t>–</w:t>
      </w:r>
    </w:p>
    <w:p w14:paraId="2C54A57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Змінна величина, що за припущенням впливає на результати</w:t>
      </w:r>
      <w:r w:rsidRPr="000977F7">
        <w:rPr>
          <w:rFonts w:asciiTheme="majorHAnsi" w:hAnsiTheme="majorHAnsi"/>
          <w:spacing w:val="-2"/>
          <w:sz w:val="20"/>
          <w:szCs w:val="20"/>
        </w:rPr>
        <w:t xml:space="preserve"> </w:t>
      </w:r>
      <w:r w:rsidRPr="000977F7">
        <w:rPr>
          <w:rFonts w:asciiTheme="majorHAnsi" w:hAnsiTheme="majorHAnsi"/>
          <w:sz w:val="20"/>
          <w:szCs w:val="20"/>
        </w:rPr>
        <w:t>експерименту</w:t>
      </w:r>
    </w:p>
    <w:p w14:paraId="465D453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ФАКТОРИ СЕРЕДОВИЩА ЖИТТЄДІЯЛЬНОСТІ ЛЮДИНИ –</w:t>
      </w:r>
    </w:p>
    <w:p w14:paraId="0335072E"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Будь-які біологічні (вірусні, пріонні, бактеріальні, паразитарні, генетично модифіковані організми, продукти біотехнології тощо), хімічні (органічні і неорганічні, природні та синтетичні), фізичні (шум, вібрація, ультразвук, інфразвук, теплове, іонізуюче, неіонізуюче та інші види випромінювання), соціальні (харчування, водопостачання, умови побуту, праці, відпочинку, навчання, виховання тощо) та інші фактори, що впливають або можуть впливати на здоров'я людини чи на здоров'я майбутніх поколінь</w:t>
      </w:r>
    </w:p>
    <w:p w14:paraId="24612C08"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забезпечення санітарного та епідемічного благополуччя населення"</w:t>
      </w:r>
    </w:p>
    <w:p w14:paraId="3EE2EAD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ФАКТОРНИЙ</w:t>
      </w:r>
      <w:r w:rsidRPr="000977F7">
        <w:rPr>
          <w:color w:val="auto"/>
          <w:spacing w:val="-4"/>
          <w:sz w:val="20"/>
          <w:szCs w:val="20"/>
        </w:rPr>
        <w:t xml:space="preserve"> </w:t>
      </w:r>
      <w:r w:rsidRPr="000977F7">
        <w:rPr>
          <w:color w:val="auto"/>
          <w:sz w:val="20"/>
          <w:szCs w:val="20"/>
        </w:rPr>
        <w:t>ПРОСТІР</w:t>
      </w:r>
      <w:r w:rsidRPr="000977F7">
        <w:rPr>
          <w:color w:val="auto"/>
          <w:spacing w:val="-1"/>
          <w:sz w:val="20"/>
          <w:szCs w:val="20"/>
        </w:rPr>
        <w:t xml:space="preserve"> </w:t>
      </w:r>
      <w:r w:rsidRPr="000977F7">
        <w:rPr>
          <w:color w:val="auto"/>
          <w:sz w:val="20"/>
          <w:szCs w:val="20"/>
        </w:rPr>
        <w:t>–</w:t>
      </w:r>
    </w:p>
    <w:p w14:paraId="225883A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Простір, координатні осі якого відповідають значенням</w:t>
      </w:r>
      <w:r w:rsidRPr="000977F7">
        <w:rPr>
          <w:rFonts w:asciiTheme="majorHAnsi" w:hAnsiTheme="majorHAnsi"/>
          <w:spacing w:val="-1"/>
          <w:sz w:val="20"/>
          <w:szCs w:val="20"/>
        </w:rPr>
        <w:t xml:space="preserve"> </w:t>
      </w:r>
      <w:r w:rsidRPr="000977F7">
        <w:rPr>
          <w:rFonts w:asciiTheme="majorHAnsi" w:hAnsiTheme="majorHAnsi"/>
          <w:sz w:val="20"/>
          <w:szCs w:val="20"/>
        </w:rPr>
        <w:t>фактора</w:t>
      </w:r>
    </w:p>
    <w:p w14:paraId="38BFDBC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ФАЛЬСИФІКАЦІЯ</w:t>
      </w:r>
      <w:r w:rsidRPr="000977F7">
        <w:rPr>
          <w:color w:val="auto"/>
          <w:spacing w:val="-6"/>
          <w:sz w:val="20"/>
          <w:szCs w:val="20"/>
        </w:rPr>
        <w:t xml:space="preserve"> </w:t>
      </w:r>
      <w:r w:rsidRPr="000977F7">
        <w:rPr>
          <w:color w:val="auto"/>
          <w:sz w:val="20"/>
          <w:szCs w:val="20"/>
        </w:rPr>
        <w:t>ЗАСОБІВ</w:t>
      </w:r>
      <w:r w:rsidRPr="000977F7">
        <w:rPr>
          <w:color w:val="auto"/>
          <w:spacing w:val="-4"/>
          <w:sz w:val="20"/>
          <w:szCs w:val="20"/>
        </w:rPr>
        <w:t xml:space="preserve"> </w:t>
      </w:r>
      <w:r w:rsidRPr="000977F7">
        <w:rPr>
          <w:color w:val="auto"/>
          <w:sz w:val="20"/>
          <w:szCs w:val="20"/>
        </w:rPr>
        <w:t>ВИМІРЮВАННЯ</w:t>
      </w:r>
      <w:r w:rsidRPr="000977F7">
        <w:rPr>
          <w:color w:val="auto"/>
          <w:spacing w:val="-1"/>
          <w:sz w:val="20"/>
          <w:szCs w:val="20"/>
        </w:rPr>
        <w:t xml:space="preserve"> </w:t>
      </w:r>
      <w:r w:rsidRPr="000977F7">
        <w:rPr>
          <w:color w:val="auto"/>
          <w:sz w:val="20"/>
          <w:szCs w:val="20"/>
        </w:rPr>
        <w:t>-</w:t>
      </w:r>
    </w:p>
    <w:p w14:paraId="335E9AD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Виготовлення або перероблення з метою використання чи збуту, а також збут фальсифікованих вимірювальних приладів</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інструментів</w:t>
      </w:r>
      <w:r w:rsidRPr="000977F7">
        <w:rPr>
          <w:rFonts w:asciiTheme="majorHAnsi" w:hAnsiTheme="majorHAnsi"/>
          <w:spacing w:val="1"/>
          <w:sz w:val="20"/>
          <w:szCs w:val="20"/>
        </w:rPr>
        <w:t xml:space="preserve"> </w:t>
      </w:r>
      <w:r w:rsidRPr="000977F7">
        <w:rPr>
          <w:rFonts w:asciiTheme="majorHAnsi" w:hAnsiTheme="majorHAnsi"/>
          <w:sz w:val="20"/>
          <w:szCs w:val="20"/>
        </w:rPr>
        <w:t>тягне за собою накладення штрафу від двадцяти до</w:t>
      </w:r>
      <w:r w:rsidRPr="000977F7">
        <w:rPr>
          <w:rFonts w:asciiTheme="majorHAnsi" w:hAnsiTheme="majorHAnsi"/>
          <w:spacing w:val="1"/>
          <w:sz w:val="20"/>
          <w:szCs w:val="20"/>
        </w:rPr>
        <w:t xml:space="preserve"> </w:t>
      </w:r>
      <w:r w:rsidRPr="000977F7">
        <w:rPr>
          <w:rFonts w:asciiTheme="majorHAnsi" w:hAnsiTheme="majorHAnsi"/>
          <w:sz w:val="20"/>
          <w:szCs w:val="20"/>
        </w:rPr>
        <w:t>ста неоподатковуваних мінімумів доходів громадян з</w:t>
      </w:r>
      <w:r w:rsidRPr="000977F7">
        <w:rPr>
          <w:rFonts w:asciiTheme="majorHAnsi" w:hAnsiTheme="majorHAnsi"/>
          <w:spacing w:val="1"/>
          <w:sz w:val="20"/>
          <w:szCs w:val="20"/>
        </w:rPr>
        <w:t xml:space="preserve"> </w:t>
      </w:r>
      <w:r w:rsidRPr="000977F7">
        <w:rPr>
          <w:rFonts w:asciiTheme="majorHAnsi" w:hAnsiTheme="majorHAnsi"/>
          <w:sz w:val="20"/>
          <w:szCs w:val="20"/>
        </w:rPr>
        <w:t>конфіскацією</w:t>
      </w:r>
      <w:r w:rsidRPr="000977F7">
        <w:rPr>
          <w:rFonts w:asciiTheme="majorHAnsi" w:hAnsiTheme="majorHAnsi"/>
          <w:spacing w:val="1"/>
          <w:sz w:val="20"/>
          <w:szCs w:val="20"/>
        </w:rPr>
        <w:t xml:space="preserve"> </w:t>
      </w:r>
      <w:r w:rsidRPr="000977F7">
        <w:rPr>
          <w:rFonts w:asciiTheme="majorHAnsi" w:hAnsiTheme="majorHAnsi"/>
          <w:sz w:val="20"/>
          <w:szCs w:val="20"/>
        </w:rPr>
        <w:t>таких</w:t>
      </w:r>
      <w:r w:rsidRPr="000977F7">
        <w:rPr>
          <w:rFonts w:asciiTheme="majorHAnsi" w:hAnsiTheme="majorHAnsi"/>
          <w:spacing w:val="1"/>
          <w:sz w:val="20"/>
          <w:szCs w:val="20"/>
        </w:rPr>
        <w:t xml:space="preserve"> </w:t>
      </w:r>
      <w:r w:rsidRPr="000977F7">
        <w:rPr>
          <w:rFonts w:asciiTheme="majorHAnsi" w:hAnsiTheme="majorHAnsi"/>
          <w:sz w:val="20"/>
          <w:szCs w:val="20"/>
        </w:rPr>
        <w:t>вимірювальних</w:t>
      </w:r>
      <w:r w:rsidRPr="000977F7">
        <w:rPr>
          <w:rFonts w:asciiTheme="majorHAnsi" w:hAnsiTheme="majorHAnsi"/>
          <w:spacing w:val="1"/>
          <w:sz w:val="20"/>
          <w:szCs w:val="20"/>
        </w:rPr>
        <w:t xml:space="preserve"> </w:t>
      </w:r>
      <w:r w:rsidRPr="000977F7">
        <w:rPr>
          <w:rFonts w:asciiTheme="majorHAnsi" w:hAnsiTheme="majorHAnsi"/>
          <w:sz w:val="20"/>
          <w:szCs w:val="20"/>
        </w:rPr>
        <w:t>приладів</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інструментів</w:t>
      </w:r>
    </w:p>
    <w:p w14:paraId="4F67CDA7" w14:textId="77777777" w:rsidR="0097612F" w:rsidRPr="000977F7" w:rsidRDefault="0097612F" w:rsidP="000977F7">
      <w:pPr>
        <w:pStyle w:val="af6"/>
        <w:tabs>
          <w:tab w:val="left" w:pos="284"/>
        </w:tabs>
        <w:spacing w:after="0"/>
        <w:ind w:left="170" w:hanging="32"/>
        <w:mirrorIndents/>
        <w:jc w:val="both"/>
        <w:rPr>
          <w:rFonts w:asciiTheme="majorHAnsi" w:hAnsiTheme="majorHAnsi"/>
          <w:sz w:val="20"/>
          <w:szCs w:val="20"/>
        </w:rPr>
      </w:pPr>
      <w:r w:rsidRPr="000977F7">
        <w:rPr>
          <w:rFonts w:asciiTheme="majorHAnsi" w:hAnsiTheme="majorHAnsi"/>
          <w:sz w:val="20"/>
          <w:szCs w:val="20"/>
        </w:rPr>
        <w:t>Дії,</w:t>
      </w:r>
      <w:r w:rsidRPr="000977F7">
        <w:rPr>
          <w:rFonts w:asciiTheme="majorHAnsi" w:hAnsiTheme="majorHAnsi"/>
          <w:spacing w:val="7"/>
          <w:sz w:val="20"/>
          <w:szCs w:val="20"/>
        </w:rPr>
        <w:t xml:space="preserve"> </w:t>
      </w:r>
      <w:r w:rsidRPr="000977F7">
        <w:rPr>
          <w:rFonts w:asciiTheme="majorHAnsi" w:hAnsiTheme="majorHAnsi"/>
          <w:sz w:val="20"/>
          <w:szCs w:val="20"/>
        </w:rPr>
        <w:t>передбачені</w:t>
      </w:r>
      <w:r w:rsidRPr="000977F7">
        <w:rPr>
          <w:rFonts w:asciiTheme="majorHAnsi" w:hAnsiTheme="majorHAnsi"/>
          <w:spacing w:val="7"/>
          <w:sz w:val="20"/>
          <w:szCs w:val="20"/>
        </w:rPr>
        <w:t xml:space="preserve"> </w:t>
      </w:r>
      <w:r w:rsidRPr="000977F7">
        <w:rPr>
          <w:rFonts w:asciiTheme="majorHAnsi" w:hAnsiTheme="majorHAnsi"/>
          <w:sz w:val="20"/>
          <w:szCs w:val="20"/>
        </w:rPr>
        <w:t>частиною</w:t>
      </w:r>
      <w:r w:rsidRPr="000977F7">
        <w:rPr>
          <w:rFonts w:asciiTheme="majorHAnsi" w:hAnsiTheme="majorHAnsi"/>
          <w:spacing w:val="10"/>
          <w:sz w:val="20"/>
          <w:szCs w:val="20"/>
        </w:rPr>
        <w:t xml:space="preserve"> </w:t>
      </w:r>
      <w:r w:rsidRPr="000977F7">
        <w:rPr>
          <w:rFonts w:asciiTheme="majorHAnsi" w:hAnsiTheme="majorHAnsi"/>
          <w:sz w:val="20"/>
          <w:szCs w:val="20"/>
        </w:rPr>
        <w:t>першою</w:t>
      </w:r>
      <w:r w:rsidRPr="000977F7">
        <w:rPr>
          <w:rFonts w:asciiTheme="majorHAnsi" w:hAnsiTheme="majorHAnsi"/>
          <w:spacing w:val="7"/>
          <w:sz w:val="20"/>
          <w:szCs w:val="20"/>
        </w:rPr>
        <w:t xml:space="preserve"> </w:t>
      </w:r>
      <w:r w:rsidRPr="000977F7">
        <w:rPr>
          <w:rFonts w:asciiTheme="majorHAnsi" w:hAnsiTheme="majorHAnsi"/>
          <w:sz w:val="20"/>
          <w:szCs w:val="20"/>
        </w:rPr>
        <w:t>цієї</w:t>
      </w:r>
      <w:r w:rsidRPr="000977F7">
        <w:rPr>
          <w:rFonts w:asciiTheme="majorHAnsi" w:hAnsiTheme="majorHAnsi"/>
          <w:spacing w:val="7"/>
          <w:sz w:val="20"/>
          <w:szCs w:val="20"/>
        </w:rPr>
        <w:t xml:space="preserve"> </w:t>
      </w:r>
      <w:r w:rsidRPr="000977F7">
        <w:rPr>
          <w:rFonts w:asciiTheme="majorHAnsi" w:hAnsiTheme="majorHAnsi"/>
          <w:sz w:val="20"/>
          <w:szCs w:val="20"/>
        </w:rPr>
        <w:t>статті,</w:t>
      </w:r>
      <w:r w:rsidRPr="000977F7">
        <w:rPr>
          <w:rFonts w:asciiTheme="majorHAnsi" w:hAnsiTheme="majorHAnsi"/>
          <w:spacing w:val="7"/>
          <w:sz w:val="20"/>
          <w:szCs w:val="20"/>
        </w:rPr>
        <w:t xml:space="preserve"> </w:t>
      </w:r>
      <w:r w:rsidRPr="000977F7">
        <w:rPr>
          <w:rFonts w:asciiTheme="majorHAnsi" w:hAnsiTheme="majorHAnsi"/>
          <w:sz w:val="20"/>
          <w:szCs w:val="20"/>
        </w:rPr>
        <w:t>вчинені</w:t>
      </w:r>
      <w:r w:rsidRPr="000977F7">
        <w:rPr>
          <w:rFonts w:asciiTheme="majorHAnsi" w:hAnsiTheme="majorHAnsi"/>
          <w:spacing w:val="19"/>
          <w:sz w:val="20"/>
          <w:szCs w:val="20"/>
        </w:rPr>
        <w:t xml:space="preserve"> </w:t>
      </w:r>
      <w:r w:rsidRPr="000977F7">
        <w:rPr>
          <w:rFonts w:asciiTheme="majorHAnsi" w:hAnsiTheme="majorHAnsi"/>
          <w:sz w:val="20"/>
          <w:szCs w:val="20"/>
        </w:rPr>
        <w:t>особою,</w:t>
      </w:r>
      <w:r w:rsidRPr="000977F7">
        <w:rPr>
          <w:rFonts w:asciiTheme="majorHAnsi" w:hAnsiTheme="majorHAnsi"/>
          <w:spacing w:val="21"/>
          <w:sz w:val="20"/>
          <w:szCs w:val="20"/>
        </w:rPr>
        <w:t xml:space="preserve"> </w:t>
      </w:r>
      <w:r w:rsidRPr="000977F7">
        <w:rPr>
          <w:rFonts w:asciiTheme="majorHAnsi" w:hAnsiTheme="majorHAnsi"/>
          <w:sz w:val="20"/>
          <w:szCs w:val="20"/>
        </w:rPr>
        <w:t>яку</w:t>
      </w:r>
      <w:r w:rsidRPr="000977F7">
        <w:rPr>
          <w:rFonts w:asciiTheme="majorHAnsi" w:hAnsiTheme="majorHAnsi"/>
          <w:spacing w:val="19"/>
          <w:sz w:val="20"/>
          <w:szCs w:val="20"/>
        </w:rPr>
        <w:t xml:space="preserve"> </w:t>
      </w:r>
      <w:r w:rsidRPr="000977F7">
        <w:rPr>
          <w:rFonts w:asciiTheme="majorHAnsi" w:hAnsiTheme="majorHAnsi"/>
          <w:sz w:val="20"/>
          <w:szCs w:val="20"/>
        </w:rPr>
        <w:t>протягом</w:t>
      </w:r>
      <w:r w:rsidRPr="000977F7">
        <w:rPr>
          <w:rFonts w:asciiTheme="majorHAnsi" w:hAnsiTheme="majorHAnsi"/>
          <w:spacing w:val="21"/>
          <w:sz w:val="20"/>
          <w:szCs w:val="20"/>
        </w:rPr>
        <w:t xml:space="preserve"> </w:t>
      </w:r>
      <w:r w:rsidRPr="000977F7">
        <w:rPr>
          <w:rFonts w:asciiTheme="majorHAnsi" w:hAnsiTheme="majorHAnsi"/>
          <w:sz w:val="20"/>
          <w:szCs w:val="20"/>
        </w:rPr>
        <w:t>року</w:t>
      </w:r>
      <w:r w:rsidRPr="000977F7">
        <w:rPr>
          <w:rFonts w:asciiTheme="majorHAnsi" w:hAnsiTheme="majorHAnsi"/>
          <w:spacing w:val="19"/>
          <w:sz w:val="20"/>
          <w:szCs w:val="20"/>
        </w:rPr>
        <w:t xml:space="preserve"> </w:t>
      </w:r>
      <w:r w:rsidRPr="000977F7">
        <w:rPr>
          <w:rFonts w:asciiTheme="majorHAnsi" w:hAnsiTheme="majorHAnsi"/>
          <w:sz w:val="20"/>
          <w:szCs w:val="20"/>
        </w:rPr>
        <w:t>було</w:t>
      </w:r>
      <w:r w:rsidRPr="000977F7">
        <w:rPr>
          <w:rFonts w:asciiTheme="majorHAnsi" w:hAnsiTheme="majorHAnsi"/>
          <w:spacing w:val="21"/>
          <w:sz w:val="20"/>
          <w:szCs w:val="20"/>
        </w:rPr>
        <w:t xml:space="preserve"> </w:t>
      </w:r>
      <w:r w:rsidRPr="000977F7">
        <w:rPr>
          <w:rFonts w:asciiTheme="majorHAnsi" w:hAnsiTheme="majorHAnsi"/>
          <w:sz w:val="20"/>
          <w:szCs w:val="20"/>
        </w:rPr>
        <w:t>піддано</w:t>
      </w:r>
      <w:r w:rsidRPr="000977F7">
        <w:rPr>
          <w:rFonts w:asciiTheme="majorHAnsi" w:hAnsiTheme="majorHAnsi"/>
          <w:spacing w:val="21"/>
          <w:sz w:val="20"/>
          <w:szCs w:val="20"/>
        </w:rPr>
        <w:t xml:space="preserve"> </w:t>
      </w:r>
      <w:r w:rsidRPr="000977F7">
        <w:rPr>
          <w:rFonts w:asciiTheme="majorHAnsi" w:hAnsiTheme="majorHAnsi"/>
          <w:sz w:val="20"/>
          <w:szCs w:val="20"/>
        </w:rPr>
        <w:t>адміністративному стягненню за таке саме правопорушення, тягнуть</w:t>
      </w:r>
      <w:r w:rsidRPr="000977F7">
        <w:rPr>
          <w:rFonts w:asciiTheme="majorHAnsi" w:hAnsiTheme="majorHAnsi"/>
          <w:spacing w:val="5"/>
          <w:sz w:val="20"/>
          <w:szCs w:val="20"/>
        </w:rPr>
        <w:t xml:space="preserve"> </w:t>
      </w:r>
      <w:r w:rsidRPr="000977F7">
        <w:rPr>
          <w:rFonts w:asciiTheme="majorHAnsi" w:hAnsiTheme="majorHAnsi"/>
          <w:sz w:val="20"/>
          <w:szCs w:val="20"/>
        </w:rPr>
        <w:t>за</w:t>
      </w:r>
      <w:r w:rsidRPr="000977F7">
        <w:rPr>
          <w:rFonts w:asciiTheme="majorHAnsi" w:hAnsiTheme="majorHAnsi"/>
          <w:spacing w:val="6"/>
          <w:sz w:val="20"/>
          <w:szCs w:val="20"/>
        </w:rPr>
        <w:t xml:space="preserve"> </w:t>
      </w:r>
      <w:r w:rsidRPr="000977F7">
        <w:rPr>
          <w:rFonts w:asciiTheme="majorHAnsi" w:hAnsiTheme="majorHAnsi"/>
          <w:sz w:val="20"/>
          <w:szCs w:val="20"/>
        </w:rPr>
        <w:t>собою</w:t>
      </w:r>
      <w:r w:rsidRPr="000977F7">
        <w:rPr>
          <w:rFonts w:asciiTheme="majorHAnsi" w:hAnsiTheme="majorHAnsi"/>
          <w:spacing w:val="5"/>
          <w:sz w:val="20"/>
          <w:szCs w:val="20"/>
        </w:rPr>
        <w:t xml:space="preserve"> </w:t>
      </w:r>
      <w:r w:rsidRPr="000977F7">
        <w:rPr>
          <w:rFonts w:asciiTheme="majorHAnsi" w:hAnsiTheme="majorHAnsi"/>
          <w:sz w:val="20"/>
          <w:szCs w:val="20"/>
        </w:rPr>
        <w:t>накладення</w:t>
      </w:r>
      <w:r w:rsidRPr="000977F7">
        <w:rPr>
          <w:rFonts w:asciiTheme="majorHAnsi" w:hAnsiTheme="majorHAnsi"/>
          <w:spacing w:val="5"/>
          <w:sz w:val="20"/>
          <w:szCs w:val="20"/>
        </w:rPr>
        <w:t xml:space="preserve"> </w:t>
      </w:r>
      <w:r w:rsidRPr="000977F7">
        <w:rPr>
          <w:rFonts w:asciiTheme="majorHAnsi" w:hAnsiTheme="majorHAnsi"/>
          <w:sz w:val="20"/>
          <w:szCs w:val="20"/>
        </w:rPr>
        <w:t>штрафу</w:t>
      </w:r>
      <w:r w:rsidRPr="000977F7">
        <w:rPr>
          <w:rFonts w:asciiTheme="majorHAnsi" w:hAnsiTheme="majorHAnsi"/>
          <w:spacing w:val="4"/>
          <w:sz w:val="20"/>
          <w:szCs w:val="20"/>
        </w:rPr>
        <w:t xml:space="preserve"> </w:t>
      </w:r>
      <w:r w:rsidRPr="000977F7">
        <w:rPr>
          <w:rFonts w:asciiTheme="majorHAnsi" w:hAnsiTheme="majorHAnsi"/>
          <w:sz w:val="20"/>
          <w:szCs w:val="20"/>
        </w:rPr>
        <w:t>від</w:t>
      </w:r>
      <w:r w:rsidRPr="000977F7">
        <w:rPr>
          <w:rFonts w:asciiTheme="majorHAnsi" w:hAnsiTheme="majorHAnsi"/>
          <w:spacing w:val="5"/>
          <w:sz w:val="20"/>
          <w:szCs w:val="20"/>
        </w:rPr>
        <w:t xml:space="preserve"> </w:t>
      </w:r>
      <w:r w:rsidRPr="000977F7">
        <w:rPr>
          <w:rFonts w:asciiTheme="majorHAnsi" w:hAnsiTheme="majorHAnsi"/>
          <w:sz w:val="20"/>
          <w:szCs w:val="20"/>
        </w:rPr>
        <w:t>ста</w:t>
      </w:r>
      <w:r w:rsidRPr="000977F7">
        <w:rPr>
          <w:rFonts w:asciiTheme="majorHAnsi" w:hAnsiTheme="majorHAnsi"/>
          <w:spacing w:val="8"/>
          <w:sz w:val="20"/>
          <w:szCs w:val="20"/>
        </w:rPr>
        <w:t xml:space="preserve"> </w:t>
      </w:r>
      <w:r w:rsidRPr="000977F7">
        <w:rPr>
          <w:rFonts w:asciiTheme="majorHAnsi" w:hAnsiTheme="majorHAnsi"/>
          <w:sz w:val="20"/>
          <w:szCs w:val="20"/>
        </w:rPr>
        <w:t>до</w:t>
      </w:r>
      <w:r w:rsidRPr="000977F7">
        <w:rPr>
          <w:rFonts w:asciiTheme="majorHAnsi" w:hAnsiTheme="majorHAnsi"/>
          <w:spacing w:val="6"/>
          <w:sz w:val="20"/>
          <w:szCs w:val="20"/>
        </w:rPr>
        <w:t xml:space="preserve"> </w:t>
      </w:r>
      <w:r w:rsidRPr="000977F7">
        <w:rPr>
          <w:rFonts w:asciiTheme="majorHAnsi" w:hAnsiTheme="majorHAnsi"/>
          <w:sz w:val="20"/>
          <w:szCs w:val="20"/>
        </w:rPr>
        <w:t>двохсот</w:t>
      </w:r>
      <w:r w:rsidRPr="000977F7">
        <w:rPr>
          <w:rFonts w:asciiTheme="majorHAnsi" w:hAnsiTheme="majorHAnsi"/>
          <w:spacing w:val="17"/>
          <w:sz w:val="20"/>
          <w:szCs w:val="20"/>
        </w:rPr>
        <w:t xml:space="preserve"> </w:t>
      </w:r>
      <w:r w:rsidRPr="000977F7">
        <w:rPr>
          <w:rFonts w:asciiTheme="majorHAnsi" w:hAnsiTheme="majorHAnsi"/>
          <w:sz w:val="20"/>
          <w:szCs w:val="20"/>
        </w:rPr>
        <w:t>неоподатковуваних</w:t>
      </w:r>
      <w:r w:rsidRPr="000977F7">
        <w:rPr>
          <w:rFonts w:asciiTheme="majorHAnsi" w:hAnsiTheme="majorHAnsi"/>
          <w:spacing w:val="17"/>
          <w:sz w:val="20"/>
          <w:szCs w:val="20"/>
        </w:rPr>
        <w:t xml:space="preserve"> </w:t>
      </w:r>
      <w:r w:rsidRPr="000977F7">
        <w:rPr>
          <w:rFonts w:asciiTheme="majorHAnsi" w:hAnsiTheme="majorHAnsi"/>
          <w:sz w:val="20"/>
          <w:szCs w:val="20"/>
        </w:rPr>
        <w:t>мінімумів</w:t>
      </w:r>
      <w:r w:rsidRPr="000977F7">
        <w:rPr>
          <w:rFonts w:asciiTheme="majorHAnsi" w:hAnsiTheme="majorHAnsi"/>
          <w:spacing w:val="17"/>
          <w:sz w:val="20"/>
          <w:szCs w:val="20"/>
        </w:rPr>
        <w:t xml:space="preserve"> </w:t>
      </w:r>
      <w:r w:rsidRPr="000977F7">
        <w:rPr>
          <w:rFonts w:asciiTheme="majorHAnsi" w:hAnsiTheme="majorHAnsi"/>
          <w:sz w:val="20"/>
          <w:szCs w:val="20"/>
        </w:rPr>
        <w:t>доходів</w:t>
      </w:r>
      <w:r w:rsidRPr="000977F7">
        <w:rPr>
          <w:rFonts w:asciiTheme="majorHAnsi" w:hAnsiTheme="majorHAnsi"/>
          <w:spacing w:val="18"/>
          <w:sz w:val="20"/>
          <w:szCs w:val="20"/>
        </w:rPr>
        <w:t xml:space="preserve"> </w:t>
      </w:r>
      <w:r w:rsidRPr="000977F7">
        <w:rPr>
          <w:rFonts w:asciiTheme="majorHAnsi" w:hAnsiTheme="majorHAnsi"/>
          <w:sz w:val="20"/>
          <w:szCs w:val="20"/>
        </w:rPr>
        <w:t>громадян</w:t>
      </w:r>
      <w:r w:rsidRPr="000977F7">
        <w:rPr>
          <w:rFonts w:asciiTheme="majorHAnsi" w:hAnsiTheme="majorHAnsi"/>
          <w:spacing w:val="17"/>
          <w:sz w:val="20"/>
          <w:szCs w:val="20"/>
        </w:rPr>
        <w:t xml:space="preserve"> </w:t>
      </w:r>
      <w:r w:rsidRPr="000977F7">
        <w:rPr>
          <w:rFonts w:asciiTheme="majorHAnsi" w:hAnsiTheme="majorHAnsi"/>
          <w:sz w:val="20"/>
          <w:szCs w:val="20"/>
        </w:rPr>
        <w:t>з конфіскацією</w:t>
      </w:r>
      <w:r w:rsidRPr="000977F7">
        <w:rPr>
          <w:rFonts w:asciiTheme="majorHAnsi" w:hAnsiTheme="majorHAnsi"/>
          <w:spacing w:val="3"/>
          <w:sz w:val="20"/>
          <w:szCs w:val="20"/>
        </w:rPr>
        <w:t xml:space="preserve"> </w:t>
      </w:r>
      <w:r w:rsidRPr="000977F7">
        <w:rPr>
          <w:rFonts w:asciiTheme="majorHAnsi" w:hAnsiTheme="majorHAnsi"/>
          <w:sz w:val="20"/>
          <w:szCs w:val="20"/>
        </w:rPr>
        <w:t>таких</w:t>
      </w:r>
      <w:r w:rsidRPr="000977F7">
        <w:rPr>
          <w:rFonts w:asciiTheme="majorHAnsi" w:hAnsiTheme="majorHAnsi"/>
          <w:spacing w:val="2"/>
          <w:sz w:val="20"/>
          <w:szCs w:val="20"/>
        </w:rPr>
        <w:t xml:space="preserve"> </w:t>
      </w:r>
      <w:r w:rsidRPr="000977F7">
        <w:rPr>
          <w:rFonts w:asciiTheme="majorHAnsi" w:hAnsiTheme="majorHAnsi"/>
          <w:sz w:val="20"/>
          <w:szCs w:val="20"/>
        </w:rPr>
        <w:t>вимірювальних</w:t>
      </w:r>
      <w:r w:rsidRPr="000977F7">
        <w:rPr>
          <w:rFonts w:asciiTheme="majorHAnsi" w:hAnsiTheme="majorHAnsi"/>
          <w:spacing w:val="2"/>
          <w:sz w:val="20"/>
          <w:szCs w:val="20"/>
        </w:rPr>
        <w:t xml:space="preserve"> </w:t>
      </w:r>
      <w:r w:rsidRPr="000977F7">
        <w:rPr>
          <w:rFonts w:asciiTheme="majorHAnsi" w:hAnsiTheme="majorHAnsi"/>
          <w:sz w:val="20"/>
          <w:szCs w:val="20"/>
        </w:rPr>
        <w:t>приладів</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інструментів</w:t>
      </w:r>
    </w:p>
    <w:p w14:paraId="5C49507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30"/>
          <w:sz w:val="20"/>
          <w:szCs w:val="20"/>
        </w:rPr>
        <w:t xml:space="preserve"> </w:t>
      </w:r>
      <w:r w:rsidRPr="000977F7">
        <w:rPr>
          <w:rFonts w:asciiTheme="majorHAnsi" w:hAnsiTheme="majorHAnsi"/>
          <w:i/>
          <w:sz w:val="20"/>
          <w:szCs w:val="20"/>
        </w:rPr>
        <w:t>171-2</w:t>
      </w:r>
      <w:r w:rsidRPr="000977F7">
        <w:rPr>
          <w:rFonts w:asciiTheme="majorHAnsi" w:hAnsiTheme="majorHAnsi"/>
          <w:i/>
          <w:spacing w:val="28"/>
          <w:sz w:val="20"/>
          <w:szCs w:val="20"/>
        </w:rPr>
        <w:t xml:space="preserve"> </w:t>
      </w:r>
      <w:r w:rsidRPr="000977F7">
        <w:rPr>
          <w:rFonts w:asciiTheme="majorHAnsi" w:hAnsiTheme="majorHAnsi"/>
          <w:i/>
          <w:sz w:val="20"/>
          <w:szCs w:val="20"/>
        </w:rPr>
        <w:t>Кодексу</w:t>
      </w:r>
      <w:r w:rsidRPr="000977F7">
        <w:rPr>
          <w:rFonts w:asciiTheme="majorHAnsi" w:hAnsiTheme="majorHAnsi"/>
          <w:i/>
          <w:spacing w:val="31"/>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29"/>
          <w:sz w:val="20"/>
          <w:szCs w:val="20"/>
        </w:rPr>
        <w:t xml:space="preserve"> </w:t>
      </w:r>
      <w:r w:rsidRPr="000977F7">
        <w:rPr>
          <w:rFonts w:asciiTheme="majorHAnsi" w:hAnsiTheme="majorHAnsi"/>
          <w:i/>
          <w:sz w:val="20"/>
          <w:szCs w:val="20"/>
        </w:rPr>
        <w:t>про</w:t>
      </w:r>
      <w:r w:rsidRPr="000977F7">
        <w:rPr>
          <w:rFonts w:asciiTheme="majorHAnsi" w:hAnsiTheme="majorHAnsi"/>
          <w:i/>
          <w:spacing w:val="29"/>
          <w:sz w:val="20"/>
          <w:szCs w:val="20"/>
        </w:rPr>
        <w:t xml:space="preserve"> </w:t>
      </w:r>
      <w:r w:rsidRPr="000977F7">
        <w:rPr>
          <w:rFonts w:asciiTheme="majorHAnsi" w:hAnsiTheme="majorHAnsi"/>
          <w:i/>
          <w:sz w:val="20"/>
          <w:szCs w:val="20"/>
        </w:rPr>
        <w:t>адміністративні</w:t>
      </w:r>
      <w:r w:rsidRPr="000977F7">
        <w:rPr>
          <w:rFonts w:asciiTheme="majorHAnsi" w:hAnsiTheme="majorHAnsi"/>
          <w:i/>
          <w:spacing w:val="28"/>
          <w:sz w:val="20"/>
          <w:szCs w:val="20"/>
        </w:rPr>
        <w:t xml:space="preserve"> </w:t>
      </w:r>
      <w:r w:rsidRPr="000977F7">
        <w:rPr>
          <w:rFonts w:asciiTheme="majorHAnsi" w:hAnsiTheme="majorHAnsi"/>
          <w:i/>
          <w:sz w:val="20"/>
          <w:szCs w:val="20"/>
        </w:rPr>
        <w:t>порушення</w:t>
      </w:r>
    </w:p>
    <w:p w14:paraId="039FD18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ФАЛЬСИФІКОВАНА ПРОДУКЦІЯ –</w:t>
      </w:r>
    </w:p>
    <w:p w14:paraId="2536C12D"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Продукція, виготовлена з порушенням технології або неправомірним використанням знаку для товарів та послуг, чи копіюванням форми, упаковки, зовнішнього оформлення, а так само неправомірним відтворенням товару іншої особи</w:t>
      </w:r>
    </w:p>
    <w:p w14:paraId="409DA29B"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 закону України "Про захист прав споживачів"</w:t>
      </w:r>
    </w:p>
    <w:p w14:paraId="7A73E42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ФЕРИТОМЕТР</w:t>
      </w:r>
      <w:r w:rsidRPr="000977F7">
        <w:rPr>
          <w:color w:val="auto"/>
          <w:spacing w:val="-3"/>
          <w:sz w:val="20"/>
          <w:szCs w:val="20"/>
        </w:rPr>
        <w:t xml:space="preserve"> </w:t>
      </w:r>
      <w:r w:rsidRPr="000977F7">
        <w:rPr>
          <w:color w:val="auto"/>
          <w:sz w:val="20"/>
          <w:szCs w:val="20"/>
        </w:rPr>
        <w:t>–</w:t>
      </w:r>
    </w:p>
    <w:p w14:paraId="4B05AA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Прилад для вимірювання відсоткового змісту феритної</w:t>
      </w:r>
      <w:r w:rsidRPr="000977F7">
        <w:rPr>
          <w:rFonts w:asciiTheme="majorHAnsi" w:hAnsiTheme="majorHAnsi"/>
          <w:spacing w:val="-3"/>
          <w:sz w:val="20"/>
          <w:szCs w:val="20"/>
        </w:rPr>
        <w:t xml:space="preserve"> </w:t>
      </w:r>
      <w:r w:rsidRPr="000977F7">
        <w:rPr>
          <w:rFonts w:asciiTheme="majorHAnsi" w:hAnsiTheme="majorHAnsi"/>
          <w:sz w:val="20"/>
          <w:szCs w:val="20"/>
        </w:rPr>
        <w:t>фази у</w:t>
      </w:r>
      <w:r w:rsidRPr="000977F7">
        <w:rPr>
          <w:rFonts w:asciiTheme="majorHAnsi" w:hAnsiTheme="majorHAnsi"/>
          <w:spacing w:val="-5"/>
          <w:sz w:val="20"/>
          <w:szCs w:val="20"/>
        </w:rPr>
        <w:t xml:space="preserve"> </w:t>
      </w:r>
      <w:r w:rsidRPr="000977F7">
        <w:rPr>
          <w:rFonts w:asciiTheme="majorHAnsi" w:hAnsiTheme="majorHAnsi"/>
          <w:sz w:val="20"/>
          <w:szCs w:val="20"/>
        </w:rPr>
        <w:t>структурі</w:t>
      </w:r>
      <w:r w:rsidRPr="000977F7">
        <w:rPr>
          <w:rFonts w:asciiTheme="majorHAnsi" w:hAnsiTheme="majorHAnsi"/>
          <w:spacing w:val="1"/>
          <w:sz w:val="20"/>
          <w:szCs w:val="20"/>
        </w:rPr>
        <w:t xml:space="preserve"> </w:t>
      </w:r>
      <w:r w:rsidRPr="000977F7">
        <w:rPr>
          <w:rFonts w:asciiTheme="majorHAnsi" w:hAnsiTheme="majorHAnsi"/>
          <w:sz w:val="20"/>
          <w:szCs w:val="20"/>
        </w:rPr>
        <w:t>контрольованого об’єкта</w:t>
      </w:r>
    </w:p>
    <w:p w14:paraId="3371935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72DC73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ФЕРОЗОНДОВИЙ</w:t>
      </w:r>
      <w:r w:rsidRPr="000977F7">
        <w:rPr>
          <w:color w:val="auto"/>
          <w:spacing w:val="-5"/>
          <w:sz w:val="20"/>
          <w:szCs w:val="20"/>
        </w:rPr>
        <w:t xml:space="preserve"> </w:t>
      </w:r>
      <w:r w:rsidRPr="000977F7">
        <w:rPr>
          <w:color w:val="auto"/>
          <w:sz w:val="20"/>
          <w:szCs w:val="20"/>
        </w:rPr>
        <w:t>МЕТОД</w:t>
      </w:r>
      <w:r w:rsidRPr="000977F7">
        <w:rPr>
          <w:color w:val="auto"/>
          <w:spacing w:val="-1"/>
          <w:sz w:val="20"/>
          <w:szCs w:val="20"/>
        </w:rPr>
        <w:t xml:space="preserve"> </w:t>
      </w:r>
      <w:r w:rsidRPr="000977F7">
        <w:rPr>
          <w:color w:val="auto"/>
          <w:sz w:val="20"/>
          <w:szCs w:val="20"/>
        </w:rPr>
        <w:t>–</w:t>
      </w:r>
    </w:p>
    <w:p w14:paraId="22418B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магнітного неруйнівного контролю, що ґрунтується на реєстрації магнітних полів об’єкта контролю</w:t>
      </w:r>
      <w:r w:rsidRPr="000977F7">
        <w:rPr>
          <w:rFonts w:asciiTheme="majorHAnsi" w:hAnsiTheme="majorHAnsi"/>
          <w:spacing w:val="-1"/>
          <w:sz w:val="20"/>
          <w:szCs w:val="20"/>
        </w:rPr>
        <w:t xml:space="preserve"> </w:t>
      </w:r>
      <w:r w:rsidRPr="000977F7">
        <w:rPr>
          <w:rFonts w:asciiTheme="majorHAnsi" w:hAnsiTheme="majorHAnsi"/>
          <w:sz w:val="20"/>
          <w:szCs w:val="20"/>
        </w:rPr>
        <w:t>ферозондовими</w:t>
      </w:r>
      <w:r w:rsidRPr="000977F7">
        <w:rPr>
          <w:rFonts w:asciiTheme="majorHAnsi" w:hAnsiTheme="majorHAnsi"/>
          <w:spacing w:val="-1"/>
          <w:sz w:val="20"/>
          <w:szCs w:val="20"/>
        </w:rPr>
        <w:t xml:space="preserve"> </w:t>
      </w:r>
      <w:r w:rsidRPr="000977F7">
        <w:rPr>
          <w:rFonts w:asciiTheme="majorHAnsi" w:hAnsiTheme="majorHAnsi"/>
          <w:sz w:val="20"/>
          <w:szCs w:val="20"/>
        </w:rPr>
        <w:t>перетворювачами</w:t>
      </w:r>
    </w:p>
    <w:p w14:paraId="4792E3D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93B2CC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ФІЗИЧНА</w:t>
      </w:r>
      <w:r w:rsidRPr="000977F7">
        <w:rPr>
          <w:color w:val="auto"/>
          <w:spacing w:val="-3"/>
          <w:sz w:val="20"/>
          <w:szCs w:val="20"/>
        </w:rPr>
        <w:t xml:space="preserve"> </w:t>
      </w:r>
      <w:r w:rsidRPr="000977F7">
        <w:rPr>
          <w:color w:val="auto"/>
          <w:sz w:val="20"/>
          <w:szCs w:val="20"/>
        </w:rPr>
        <w:t>ВЕЛИЧИНА –</w:t>
      </w:r>
    </w:p>
    <w:p w14:paraId="1E31DCA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QAUNTITY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9EAF7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w:t>
      </w:r>
      <w:r w:rsidRPr="000977F7">
        <w:rPr>
          <w:rFonts w:asciiTheme="majorHAnsi" w:hAnsiTheme="majorHAnsi"/>
          <w:spacing w:val="1"/>
          <w:sz w:val="20"/>
          <w:szCs w:val="20"/>
        </w:rPr>
        <w:t xml:space="preserve"> </w:t>
      </w:r>
      <w:r w:rsidRPr="000977F7">
        <w:rPr>
          <w:rFonts w:asciiTheme="majorHAnsi" w:hAnsiTheme="majorHAnsi"/>
          <w:sz w:val="20"/>
          <w:szCs w:val="20"/>
        </w:rPr>
        <w:t>спільна</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якісному відношенні</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багатьох матеріальних об’єктів та індивідуальна в кількісному</w:t>
      </w:r>
      <w:r w:rsidRPr="000977F7">
        <w:rPr>
          <w:rFonts w:asciiTheme="majorHAnsi" w:hAnsiTheme="majorHAnsi"/>
          <w:spacing w:val="-5"/>
          <w:sz w:val="20"/>
          <w:szCs w:val="20"/>
        </w:rPr>
        <w:t xml:space="preserve"> </w:t>
      </w:r>
      <w:r w:rsidRPr="000977F7">
        <w:rPr>
          <w:rFonts w:asciiTheme="majorHAnsi" w:hAnsiTheme="majorHAnsi"/>
          <w:sz w:val="20"/>
          <w:szCs w:val="20"/>
        </w:rPr>
        <w:t>відношенні</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кожного з них</w:t>
      </w:r>
    </w:p>
    <w:p w14:paraId="46209EE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2681 – 94</w:t>
      </w:r>
    </w:p>
    <w:p w14:paraId="6C7DB28D"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i/>
          <w:spacing w:val="-47"/>
          <w:sz w:val="20"/>
          <w:szCs w:val="20"/>
        </w:rPr>
        <w:t xml:space="preserve"> </w:t>
      </w:r>
      <w:r w:rsidRPr="000977F7">
        <w:rPr>
          <w:rFonts w:asciiTheme="majorHAnsi" w:hAnsiTheme="majorHAnsi"/>
          <w:b/>
          <w:sz w:val="20"/>
          <w:szCs w:val="20"/>
        </w:rPr>
        <w:t>ФЕРМА –</w:t>
      </w:r>
      <w:r w:rsidRPr="000977F7">
        <w:rPr>
          <w:rFonts w:asciiTheme="majorHAnsi" w:hAnsiTheme="majorHAnsi"/>
          <w:b/>
          <w:spacing w:val="1"/>
          <w:sz w:val="20"/>
          <w:szCs w:val="20"/>
        </w:rPr>
        <w:t xml:space="preserve"> </w:t>
      </w:r>
    </w:p>
    <w:p w14:paraId="2D37BDD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FARM –</w:t>
      </w:r>
    </w:p>
    <w:p w14:paraId="4E7B9DD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Стержнева</w:t>
      </w:r>
      <w:r w:rsidRPr="000977F7">
        <w:rPr>
          <w:rFonts w:asciiTheme="majorHAnsi" w:hAnsiTheme="majorHAnsi"/>
          <w:spacing w:val="34"/>
          <w:sz w:val="20"/>
          <w:szCs w:val="20"/>
        </w:rPr>
        <w:t xml:space="preserve"> </w:t>
      </w:r>
      <w:r w:rsidRPr="000977F7">
        <w:rPr>
          <w:rFonts w:asciiTheme="majorHAnsi" w:hAnsiTheme="majorHAnsi"/>
          <w:sz w:val="20"/>
          <w:szCs w:val="20"/>
        </w:rPr>
        <w:t>система,</w:t>
      </w:r>
      <w:r w:rsidRPr="000977F7">
        <w:rPr>
          <w:rFonts w:asciiTheme="majorHAnsi" w:hAnsiTheme="majorHAnsi"/>
          <w:spacing w:val="35"/>
          <w:sz w:val="20"/>
          <w:szCs w:val="20"/>
        </w:rPr>
        <w:t xml:space="preserve"> </w:t>
      </w:r>
      <w:r w:rsidRPr="000977F7">
        <w:rPr>
          <w:rFonts w:asciiTheme="majorHAnsi" w:hAnsiTheme="majorHAnsi"/>
          <w:sz w:val="20"/>
          <w:szCs w:val="20"/>
        </w:rPr>
        <w:t>елементи</w:t>
      </w:r>
      <w:r w:rsidRPr="000977F7">
        <w:rPr>
          <w:rFonts w:asciiTheme="majorHAnsi" w:hAnsiTheme="majorHAnsi"/>
          <w:spacing w:val="33"/>
          <w:sz w:val="20"/>
          <w:szCs w:val="20"/>
        </w:rPr>
        <w:t xml:space="preserve"> </w:t>
      </w:r>
      <w:r w:rsidRPr="000977F7">
        <w:rPr>
          <w:rFonts w:asciiTheme="majorHAnsi" w:hAnsiTheme="majorHAnsi"/>
          <w:sz w:val="20"/>
          <w:szCs w:val="20"/>
        </w:rPr>
        <w:t>якої</w:t>
      </w:r>
      <w:r w:rsidRPr="000977F7">
        <w:rPr>
          <w:rFonts w:asciiTheme="majorHAnsi" w:hAnsiTheme="majorHAnsi"/>
          <w:spacing w:val="34"/>
          <w:sz w:val="20"/>
          <w:szCs w:val="20"/>
        </w:rPr>
        <w:t xml:space="preserve"> </w:t>
      </w:r>
      <w:r w:rsidRPr="000977F7">
        <w:rPr>
          <w:rFonts w:asciiTheme="majorHAnsi" w:hAnsiTheme="majorHAnsi"/>
          <w:sz w:val="20"/>
          <w:szCs w:val="20"/>
        </w:rPr>
        <w:t>зазнають</w:t>
      </w:r>
      <w:r w:rsidRPr="000977F7">
        <w:rPr>
          <w:rFonts w:asciiTheme="majorHAnsi" w:hAnsiTheme="majorHAnsi"/>
          <w:spacing w:val="34"/>
          <w:sz w:val="20"/>
          <w:szCs w:val="20"/>
        </w:rPr>
        <w:t xml:space="preserve"> </w:t>
      </w:r>
      <w:r w:rsidRPr="000977F7">
        <w:rPr>
          <w:rFonts w:asciiTheme="majorHAnsi" w:hAnsiTheme="majorHAnsi"/>
          <w:sz w:val="20"/>
          <w:szCs w:val="20"/>
        </w:rPr>
        <w:t>здебільшого розтягу</w:t>
      </w:r>
      <w:r w:rsidRPr="000977F7">
        <w:rPr>
          <w:rFonts w:asciiTheme="majorHAnsi" w:hAnsiTheme="majorHAnsi"/>
          <w:spacing w:val="-4"/>
          <w:sz w:val="20"/>
          <w:szCs w:val="20"/>
        </w:rPr>
        <w:t xml:space="preserve"> </w:t>
      </w:r>
      <w:r w:rsidRPr="000977F7">
        <w:rPr>
          <w:rFonts w:asciiTheme="majorHAnsi" w:hAnsiTheme="majorHAnsi"/>
          <w:sz w:val="20"/>
          <w:szCs w:val="20"/>
        </w:rPr>
        <w:t>або стиску</w:t>
      </w:r>
    </w:p>
    <w:p w14:paraId="77629FF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2825 - 94</w:t>
      </w:r>
    </w:p>
    <w:p w14:paraId="1DA07BD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ФІЗИЧНА</w:t>
      </w:r>
      <w:r w:rsidRPr="000977F7">
        <w:rPr>
          <w:color w:val="auto"/>
          <w:spacing w:val="-3"/>
          <w:sz w:val="20"/>
          <w:szCs w:val="20"/>
        </w:rPr>
        <w:t xml:space="preserve"> </w:t>
      </w:r>
      <w:r w:rsidRPr="000977F7">
        <w:rPr>
          <w:color w:val="auto"/>
          <w:sz w:val="20"/>
          <w:szCs w:val="20"/>
        </w:rPr>
        <w:t>ПРАЦЯ –</w:t>
      </w:r>
    </w:p>
    <w:p w14:paraId="30BA986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Вид трудової діяльності, для якого характерні вимоги</w:t>
      </w:r>
      <w:r w:rsidRPr="000977F7">
        <w:rPr>
          <w:rFonts w:asciiTheme="majorHAnsi" w:hAnsiTheme="majorHAnsi"/>
          <w:spacing w:val="1"/>
          <w:sz w:val="20"/>
          <w:szCs w:val="20"/>
        </w:rPr>
        <w:t xml:space="preserve"> </w:t>
      </w:r>
      <w:r w:rsidRPr="000977F7">
        <w:rPr>
          <w:rFonts w:asciiTheme="majorHAnsi" w:hAnsiTheme="majorHAnsi"/>
          <w:sz w:val="20"/>
          <w:szCs w:val="20"/>
        </w:rPr>
        <w:t>переважно до опорно-м’язової системи організму людини</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вимагає</w:t>
      </w:r>
      <w:r w:rsidRPr="000977F7">
        <w:rPr>
          <w:rFonts w:asciiTheme="majorHAnsi" w:hAnsiTheme="majorHAnsi"/>
          <w:spacing w:val="-1"/>
          <w:sz w:val="20"/>
          <w:szCs w:val="20"/>
        </w:rPr>
        <w:t xml:space="preserve"> </w:t>
      </w:r>
      <w:r w:rsidRPr="000977F7">
        <w:rPr>
          <w:rFonts w:asciiTheme="majorHAnsi" w:hAnsiTheme="majorHAnsi"/>
          <w:sz w:val="20"/>
          <w:szCs w:val="20"/>
        </w:rPr>
        <w:t>енергозатрат</w:t>
      </w:r>
    </w:p>
    <w:p w14:paraId="0174957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3038 - 95</w:t>
      </w:r>
    </w:p>
    <w:p w14:paraId="709689A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ФІНАНСУВАННЯ ОХОРОНИ ПРАЦІ –</w:t>
      </w:r>
    </w:p>
    <w:p w14:paraId="5A2B0DC7"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Фінансування охорони праці здійснюється роботодавцем.</w:t>
      </w:r>
    </w:p>
    <w:p w14:paraId="40BC6F53"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Фінансування профілактичних заходів з охорони праці, виконання загальнодержавної, галузевих та регіональних програм поліпшення стану безпеки, гігієни праці та виробничого середовища, інших державних програм, спрямованих на запобігання нещасним випадкам та професійним захворюванням, передбачається, поряд з іншими джерелами фінансування, визначеними законодавством, у державному і місцевих бюджетах.</w:t>
      </w:r>
    </w:p>
    <w:p w14:paraId="18078970"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Для підприємств, незалежно від форм власності, або фізичних осіб, які відповідно до законодавства використовують найману працю, витрати на охорону праці становлять не менше 0,5 відсотка від фонду оплати праці за попередній рік.</w:t>
      </w:r>
    </w:p>
    <w:p w14:paraId="74304FB2"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На підприємствах, що утримуються за рахунок бюджету, розмір витрат на охорону праці встановлюється у колективному договорі з урахуванням фінансових можливостей підприємства, установи, організації.</w:t>
      </w:r>
    </w:p>
    <w:p w14:paraId="7C6E60D6"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bookmarkStart w:id="312" w:name="n361"/>
      <w:bookmarkEnd w:id="312"/>
      <w:r w:rsidRPr="000977F7">
        <w:rPr>
          <w:b w:val="0"/>
          <w:bCs/>
          <w:color w:val="auto"/>
          <w:sz w:val="20"/>
          <w:szCs w:val="20"/>
        </w:rPr>
        <w:t>Суми витрат з охорони праці, що належать до валових витрат юридичної чи фізичної особи, яка відповідно до законодавства використовує найману працю, визначаються згідно з </w:t>
      </w:r>
      <w:hyperlink r:id="rId42" w:tgtFrame="_blank" w:history="1">
        <w:r w:rsidRPr="000977F7">
          <w:rPr>
            <w:b w:val="0"/>
            <w:bCs/>
            <w:color w:val="auto"/>
            <w:sz w:val="20"/>
            <w:szCs w:val="20"/>
          </w:rPr>
          <w:t>переліком заходів та засобів з охорони праці</w:t>
        </w:r>
      </w:hyperlink>
      <w:r w:rsidRPr="000977F7">
        <w:rPr>
          <w:b w:val="0"/>
          <w:bCs/>
          <w:color w:val="auto"/>
          <w:sz w:val="20"/>
          <w:szCs w:val="20"/>
        </w:rPr>
        <w:t>, що затверджується Кабінетом Міністрів України.</w:t>
      </w:r>
    </w:p>
    <w:p w14:paraId="3185F7A4" w14:textId="77777777" w:rsidR="0097612F" w:rsidRPr="000977F7" w:rsidRDefault="0097612F" w:rsidP="000977F7">
      <w:pPr>
        <w:pStyle w:val="7"/>
        <w:tabs>
          <w:tab w:val="left" w:pos="284"/>
        </w:tabs>
        <w:spacing w:before="0" w:line="240" w:lineRule="auto"/>
        <w:ind w:left="170"/>
        <w:mirrorIndents/>
        <w:jc w:val="both"/>
        <w:rPr>
          <w:b w:val="0"/>
          <w:bCs/>
          <w:i/>
          <w:iCs w:val="0"/>
          <w:color w:val="auto"/>
          <w:sz w:val="20"/>
          <w:szCs w:val="20"/>
        </w:rPr>
      </w:pPr>
      <w:r w:rsidRPr="000977F7">
        <w:rPr>
          <w:b w:val="0"/>
          <w:bCs/>
          <w:i/>
          <w:iCs w:val="0"/>
          <w:color w:val="auto"/>
          <w:sz w:val="20"/>
          <w:szCs w:val="20"/>
        </w:rPr>
        <w:t>Ст. 19 закону України "Про охорону праці"</w:t>
      </w:r>
    </w:p>
    <w:p w14:paraId="7B7A18D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ФЛУОРОГРАФ</w:t>
      </w:r>
      <w:r w:rsidRPr="000977F7">
        <w:rPr>
          <w:color w:val="auto"/>
          <w:spacing w:val="-4"/>
          <w:sz w:val="20"/>
          <w:szCs w:val="20"/>
        </w:rPr>
        <w:t xml:space="preserve"> </w:t>
      </w:r>
      <w:r w:rsidRPr="000977F7">
        <w:rPr>
          <w:color w:val="auto"/>
          <w:sz w:val="20"/>
          <w:szCs w:val="20"/>
        </w:rPr>
        <w:t>–</w:t>
      </w:r>
    </w:p>
    <w:p w14:paraId="16177D7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Пристрій для проведення флюорографії, який має у</w:t>
      </w:r>
      <w:r w:rsidRPr="000977F7">
        <w:rPr>
          <w:rFonts w:asciiTheme="majorHAnsi" w:hAnsiTheme="majorHAnsi"/>
          <w:spacing w:val="1"/>
          <w:sz w:val="20"/>
          <w:szCs w:val="20"/>
        </w:rPr>
        <w:t xml:space="preserve"> </w:t>
      </w:r>
      <w:r w:rsidRPr="000977F7">
        <w:rPr>
          <w:rFonts w:asciiTheme="majorHAnsi" w:hAnsiTheme="majorHAnsi"/>
          <w:sz w:val="20"/>
          <w:szCs w:val="20"/>
        </w:rPr>
        <w:t>своєму</w:t>
      </w:r>
      <w:r w:rsidRPr="000977F7">
        <w:rPr>
          <w:rFonts w:asciiTheme="majorHAnsi" w:hAnsiTheme="majorHAnsi"/>
          <w:spacing w:val="1"/>
          <w:sz w:val="20"/>
          <w:szCs w:val="20"/>
        </w:rPr>
        <w:t xml:space="preserve"> </w:t>
      </w:r>
      <w:r w:rsidRPr="000977F7">
        <w:rPr>
          <w:rFonts w:asciiTheme="majorHAnsi" w:hAnsiTheme="majorHAnsi"/>
          <w:sz w:val="20"/>
          <w:szCs w:val="20"/>
        </w:rPr>
        <w:t>складі</w:t>
      </w:r>
      <w:r w:rsidRPr="000977F7">
        <w:rPr>
          <w:rFonts w:asciiTheme="majorHAnsi" w:hAnsiTheme="majorHAnsi"/>
          <w:spacing w:val="1"/>
          <w:sz w:val="20"/>
          <w:szCs w:val="20"/>
        </w:rPr>
        <w:t xml:space="preserve"> </w:t>
      </w:r>
      <w:r w:rsidRPr="000977F7">
        <w:rPr>
          <w:rFonts w:asciiTheme="majorHAnsi" w:hAnsiTheme="majorHAnsi"/>
          <w:sz w:val="20"/>
          <w:szCs w:val="20"/>
        </w:rPr>
        <w:t>флуорографічну</w:t>
      </w:r>
      <w:r w:rsidRPr="000977F7">
        <w:rPr>
          <w:rFonts w:asciiTheme="majorHAnsi" w:hAnsiTheme="majorHAnsi"/>
          <w:spacing w:val="1"/>
          <w:sz w:val="20"/>
          <w:szCs w:val="20"/>
        </w:rPr>
        <w:t xml:space="preserve"> </w:t>
      </w:r>
      <w:r w:rsidRPr="000977F7">
        <w:rPr>
          <w:rFonts w:asciiTheme="majorHAnsi" w:hAnsiTheme="majorHAnsi"/>
          <w:sz w:val="20"/>
          <w:szCs w:val="20"/>
        </w:rPr>
        <w:t>камеру</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радіаційно оптичним перетворювачем та фотоапарат для фотографування</w:t>
      </w:r>
      <w:r w:rsidRPr="000977F7">
        <w:rPr>
          <w:rFonts w:asciiTheme="majorHAnsi" w:hAnsiTheme="majorHAnsi"/>
          <w:spacing w:val="-2"/>
          <w:sz w:val="20"/>
          <w:szCs w:val="20"/>
        </w:rPr>
        <w:t xml:space="preserve"> </w:t>
      </w:r>
      <w:r w:rsidRPr="000977F7">
        <w:rPr>
          <w:rFonts w:asciiTheme="majorHAnsi" w:hAnsiTheme="majorHAnsi"/>
          <w:sz w:val="20"/>
          <w:szCs w:val="20"/>
        </w:rPr>
        <w:t>світлового</w:t>
      </w:r>
      <w:r w:rsidRPr="000977F7">
        <w:rPr>
          <w:rFonts w:asciiTheme="majorHAnsi" w:hAnsiTheme="majorHAnsi"/>
          <w:spacing w:val="1"/>
          <w:sz w:val="20"/>
          <w:szCs w:val="20"/>
        </w:rPr>
        <w:t xml:space="preserve"> </w:t>
      </w:r>
      <w:r w:rsidRPr="000977F7">
        <w:rPr>
          <w:rFonts w:asciiTheme="majorHAnsi" w:hAnsiTheme="majorHAnsi"/>
          <w:sz w:val="20"/>
          <w:szCs w:val="20"/>
        </w:rPr>
        <w:t>зображення</w:t>
      </w:r>
    </w:p>
    <w:p w14:paraId="1E343EC8"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2865 – 94</w:t>
      </w:r>
    </w:p>
    <w:p w14:paraId="55593341"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ФЛУОРОСКОП</w:t>
      </w:r>
      <w:r w:rsidRPr="000977F7">
        <w:rPr>
          <w:rFonts w:asciiTheme="majorHAnsi" w:hAnsiTheme="majorHAnsi"/>
          <w:b/>
          <w:spacing w:val="1"/>
          <w:sz w:val="20"/>
          <w:szCs w:val="20"/>
        </w:rPr>
        <w:t xml:space="preserve"> </w:t>
      </w:r>
      <w:r w:rsidRPr="000977F7">
        <w:rPr>
          <w:rFonts w:asciiTheme="majorHAnsi" w:hAnsiTheme="majorHAnsi"/>
          <w:b/>
          <w:sz w:val="20"/>
          <w:szCs w:val="20"/>
        </w:rPr>
        <w:t>–</w:t>
      </w:r>
      <w:r w:rsidRPr="000977F7">
        <w:rPr>
          <w:rFonts w:asciiTheme="majorHAnsi" w:hAnsiTheme="majorHAnsi"/>
          <w:b/>
          <w:spacing w:val="1"/>
          <w:sz w:val="20"/>
          <w:szCs w:val="20"/>
        </w:rPr>
        <w:t xml:space="preserve"> </w:t>
      </w:r>
    </w:p>
    <w:p w14:paraId="5A10321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FLUOROSCOPE –</w:t>
      </w:r>
    </w:p>
    <w:p w14:paraId="3A5E37E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Радіаційний інтроскоп для проведення флюороскопії</w:t>
      </w:r>
      <w:r w:rsidRPr="000977F7">
        <w:rPr>
          <w:rFonts w:asciiTheme="majorHAnsi" w:hAnsiTheme="majorHAnsi"/>
          <w:spacing w:val="1"/>
          <w:sz w:val="20"/>
          <w:szCs w:val="20"/>
        </w:rPr>
        <w:t xml:space="preserve"> </w:t>
      </w:r>
      <w:r w:rsidRPr="000977F7">
        <w:rPr>
          <w:rFonts w:asciiTheme="majorHAnsi" w:hAnsiTheme="majorHAnsi"/>
          <w:sz w:val="20"/>
          <w:szCs w:val="20"/>
        </w:rPr>
        <w:t>під час неруйнівного контролю матеріалів та виробів</w:t>
      </w:r>
      <w:r w:rsidRPr="000977F7">
        <w:rPr>
          <w:rFonts w:asciiTheme="majorHAnsi" w:hAnsiTheme="majorHAnsi"/>
          <w:spacing w:val="1"/>
          <w:sz w:val="20"/>
          <w:szCs w:val="20"/>
        </w:rPr>
        <w:t xml:space="preserve"> </w:t>
      </w:r>
      <w:r w:rsidRPr="000977F7">
        <w:rPr>
          <w:rFonts w:asciiTheme="majorHAnsi" w:hAnsiTheme="majorHAnsi"/>
          <w:sz w:val="20"/>
          <w:szCs w:val="20"/>
        </w:rPr>
        <w:t>із</w:t>
      </w:r>
      <w:r w:rsidRPr="000977F7">
        <w:rPr>
          <w:rFonts w:asciiTheme="majorHAnsi" w:hAnsiTheme="majorHAnsi"/>
          <w:spacing w:val="5"/>
          <w:sz w:val="20"/>
          <w:szCs w:val="20"/>
        </w:rPr>
        <w:t xml:space="preserve"> </w:t>
      </w:r>
      <w:r w:rsidRPr="000977F7">
        <w:rPr>
          <w:rFonts w:asciiTheme="majorHAnsi" w:hAnsiTheme="majorHAnsi"/>
          <w:sz w:val="20"/>
          <w:szCs w:val="20"/>
        </w:rPr>
        <w:t>них</w:t>
      </w:r>
    </w:p>
    <w:p w14:paraId="4B94794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2865</w:t>
      </w:r>
      <w:r w:rsidRPr="000977F7">
        <w:rPr>
          <w:rFonts w:asciiTheme="majorHAnsi" w:hAnsiTheme="majorHAnsi"/>
          <w:i/>
          <w:spacing w:val="1"/>
          <w:sz w:val="20"/>
          <w:szCs w:val="20"/>
        </w:rPr>
        <w:t xml:space="preserve"> </w:t>
      </w:r>
      <w:r w:rsidRPr="000977F7">
        <w:rPr>
          <w:rFonts w:asciiTheme="majorHAnsi" w:hAnsiTheme="majorHAnsi"/>
          <w:i/>
          <w:sz w:val="20"/>
          <w:szCs w:val="20"/>
        </w:rPr>
        <w:t>– 94</w:t>
      </w:r>
    </w:p>
    <w:p w14:paraId="19FE88FE"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ФОНОВИЙ ШУМ –</w:t>
      </w:r>
      <w:r w:rsidRPr="000977F7">
        <w:rPr>
          <w:rFonts w:asciiTheme="majorHAnsi" w:hAnsiTheme="majorHAnsi"/>
          <w:b/>
          <w:spacing w:val="-47"/>
          <w:sz w:val="20"/>
          <w:szCs w:val="20"/>
        </w:rPr>
        <w:t xml:space="preserve"> </w:t>
      </w:r>
    </w:p>
    <w:p w14:paraId="54DA4214"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HUM</w:t>
      </w:r>
      <w:r w:rsidRPr="000977F7">
        <w:rPr>
          <w:rFonts w:asciiTheme="majorHAnsi" w:hAnsiTheme="majorHAnsi"/>
          <w:spacing w:val="-1"/>
          <w:sz w:val="20"/>
          <w:szCs w:val="20"/>
        </w:rPr>
        <w:t xml:space="preserve"> </w:t>
      </w:r>
      <w:r w:rsidRPr="000977F7">
        <w:rPr>
          <w:rFonts w:asciiTheme="majorHAnsi" w:hAnsiTheme="majorHAnsi"/>
          <w:sz w:val="20"/>
          <w:szCs w:val="20"/>
        </w:rPr>
        <w:t>NOISE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425CFE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Шум,</w:t>
      </w:r>
      <w:r w:rsidRPr="000977F7">
        <w:rPr>
          <w:rFonts w:asciiTheme="majorHAnsi" w:hAnsiTheme="majorHAnsi"/>
          <w:spacing w:val="-5"/>
          <w:sz w:val="20"/>
          <w:szCs w:val="20"/>
        </w:rPr>
        <w:t xml:space="preserve"> </w:t>
      </w:r>
      <w:r w:rsidRPr="000977F7">
        <w:rPr>
          <w:rFonts w:asciiTheme="majorHAnsi" w:hAnsiTheme="majorHAnsi"/>
          <w:sz w:val="20"/>
          <w:szCs w:val="20"/>
        </w:rPr>
        <w:t>незалежний</w:t>
      </w:r>
      <w:r w:rsidRPr="000977F7">
        <w:rPr>
          <w:rFonts w:asciiTheme="majorHAnsi" w:hAnsiTheme="majorHAnsi"/>
          <w:spacing w:val="-6"/>
          <w:sz w:val="20"/>
          <w:szCs w:val="20"/>
        </w:rPr>
        <w:t xml:space="preserve"> </w:t>
      </w:r>
      <w:r w:rsidRPr="000977F7">
        <w:rPr>
          <w:rFonts w:asciiTheme="majorHAnsi" w:hAnsiTheme="majorHAnsi"/>
          <w:sz w:val="20"/>
          <w:szCs w:val="20"/>
        </w:rPr>
        <w:t>від</w:t>
      </w:r>
      <w:r w:rsidRPr="000977F7">
        <w:rPr>
          <w:rFonts w:asciiTheme="majorHAnsi" w:hAnsiTheme="majorHAnsi"/>
          <w:spacing w:val="-3"/>
          <w:sz w:val="20"/>
          <w:szCs w:val="20"/>
        </w:rPr>
        <w:t xml:space="preserve"> </w:t>
      </w:r>
      <w:r w:rsidRPr="000977F7">
        <w:rPr>
          <w:rFonts w:asciiTheme="majorHAnsi" w:hAnsiTheme="majorHAnsi"/>
          <w:sz w:val="20"/>
          <w:szCs w:val="20"/>
        </w:rPr>
        <w:t>досліджуваного</w:t>
      </w:r>
    </w:p>
    <w:p w14:paraId="49A4EA0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56B372C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ФОНОВИЙ</w:t>
      </w:r>
      <w:r w:rsidRPr="000977F7">
        <w:rPr>
          <w:color w:val="auto"/>
          <w:spacing w:val="-3"/>
          <w:sz w:val="20"/>
          <w:szCs w:val="20"/>
        </w:rPr>
        <w:t xml:space="preserve"> </w:t>
      </w:r>
      <w:r w:rsidRPr="000977F7">
        <w:rPr>
          <w:color w:val="auto"/>
          <w:sz w:val="20"/>
          <w:szCs w:val="20"/>
        </w:rPr>
        <w:t>ШУМ ОБ’ЄКТА</w:t>
      </w:r>
      <w:r w:rsidRPr="000977F7">
        <w:rPr>
          <w:color w:val="auto"/>
          <w:spacing w:val="-4"/>
          <w:sz w:val="20"/>
          <w:szCs w:val="20"/>
        </w:rPr>
        <w:t xml:space="preserve"> </w:t>
      </w:r>
      <w:r w:rsidRPr="000977F7">
        <w:rPr>
          <w:color w:val="auto"/>
          <w:sz w:val="20"/>
          <w:szCs w:val="20"/>
        </w:rPr>
        <w:t>–</w:t>
      </w:r>
    </w:p>
    <w:p w14:paraId="3D46FA6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BACKGROUND</w:t>
      </w:r>
      <w:r w:rsidRPr="000977F7">
        <w:rPr>
          <w:rFonts w:asciiTheme="majorHAnsi" w:hAnsiTheme="majorHAnsi"/>
          <w:spacing w:val="-3"/>
          <w:sz w:val="20"/>
          <w:szCs w:val="20"/>
        </w:rPr>
        <w:t xml:space="preserve"> </w:t>
      </w:r>
      <w:r w:rsidRPr="000977F7">
        <w:rPr>
          <w:rFonts w:asciiTheme="majorHAnsi" w:hAnsiTheme="majorHAnsi"/>
          <w:sz w:val="20"/>
          <w:szCs w:val="20"/>
        </w:rPr>
        <w:t>NOISE –</w:t>
      </w:r>
    </w:p>
    <w:p w14:paraId="670157D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Акустичний сигнал, що з’являється в об’єкті з навколишнього середовища</w:t>
      </w:r>
    </w:p>
    <w:p w14:paraId="3994FC0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2374 - 94</w:t>
      </w:r>
    </w:p>
    <w:p w14:paraId="23954F3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ФОРМА</w:t>
      </w:r>
      <w:r w:rsidRPr="000977F7">
        <w:rPr>
          <w:color w:val="auto"/>
          <w:spacing w:val="-4"/>
          <w:sz w:val="20"/>
          <w:szCs w:val="20"/>
        </w:rPr>
        <w:t xml:space="preserve"> </w:t>
      </w:r>
      <w:r w:rsidRPr="000977F7">
        <w:rPr>
          <w:color w:val="auto"/>
          <w:sz w:val="20"/>
          <w:szCs w:val="20"/>
        </w:rPr>
        <w:t>БЛОКУ</w:t>
      </w:r>
      <w:r w:rsidRPr="000977F7">
        <w:rPr>
          <w:color w:val="auto"/>
          <w:spacing w:val="-5"/>
          <w:sz w:val="20"/>
          <w:szCs w:val="20"/>
        </w:rPr>
        <w:t xml:space="preserve"> </w:t>
      </w:r>
      <w:r w:rsidRPr="000977F7">
        <w:rPr>
          <w:color w:val="auto"/>
          <w:sz w:val="20"/>
          <w:szCs w:val="20"/>
        </w:rPr>
        <w:t>НАВАНТАЖУВАННЯ</w:t>
      </w:r>
      <w:r w:rsidRPr="000977F7">
        <w:rPr>
          <w:color w:val="auto"/>
          <w:spacing w:val="-3"/>
          <w:sz w:val="20"/>
          <w:szCs w:val="20"/>
        </w:rPr>
        <w:t xml:space="preserve"> </w:t>
      </w:r>
      <w:r w:rsidRPr="000977F7">
        <w:rPr>
          <w:color w:val="auto"/>
          <w:sz w:val="20"/>
          <w:szCs w:val="20"/>
        </w:rPr>
        <w:t>–</w:t>
      </w:r>
    </w:p>
    <w:p w14:paraId="320DC7E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FORM</w:t>
      </w:r>
      <w:r w:rsidRPr="000977F7">
        <w:rPr>
          <w:rFonts w:asciiTheme="majorHAnsi" w:hAnsiTheme="majorHAnsi"/>
          <w:spacing w:val="-2"/>
          <w:sz w:val="20"/>
          <w:szCs w:val="20"/>
        </w:rPr>
        <w:t xml:space="preserve"> </w:t>
      </w:r>
      <w:r w:rsidRPr="000977F7">
        <w:rPr>
          <w:rFonts w:asciiTheme="majorHAnsi" w:hAnsiTheme="majorHAnsi"/>
          <w:sz w:val="20"/>
          <w:szCs w:val="20"/>
        </w:rPr>
        <w:t>OF</w:t>
      </w:r>
      <w:r w:rsidRPr="000977F7">
        <w:rPr>
          <w:rFonts w:asciiTheme="majorHAnsi" w:hAnsiTheme="majorHAnsi"/>
          <w:spacing w:val="-2"/>
          <w:sz w:val="20"/>
          <w:szCs w:val="20"/>
        </w:rPr>
        <w:t xml:space="preserve"> </w:t>
      </w:r>
      <w:r w:rsidRPr="000977F7">
        <w:rPr>
          <w:rFonts w:asciiTheme="majorHAnsi" w:hAnsiTheme="majorHAnsi"/>
          <w:sz w:val="20"/>
          <w:szCs w:val="20"/>
        </w:rPr>
        <w:t>BLOCK –</w:t>
      </w:r>
    </w:p>
    <w:p w14:paraId="55BBB71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Задана</w:t>
      </w:r>
      <w:r w:rsidRPr="000977F7">
        <w:rPr>
          <w:rFonts w:asciiTheme="majorHAnsi" w:hAnsiTheme="majorHAnsi"/>
          <w:spacing w:val="1"/>
          <w:sz w:val="20"/>
          <w:szCs w:val="20"/>
        </w:rPr>
        <w:t xml:space="preserve"> </w:t>
      </w:r>
      <w:r w:rsidRPr="000977F7">
        <w:rPr>
          <w:rFonts w:asciiTheme="majorHAnsi" w:hAnsiTheme="majorHAnsi"/>
          <w:sz w:val="20"/>
          <w:szCs w:val="20"/>
        </w:rPr>
        <w:t>послідовність</w:t>
      </w:r>
      <w:r w:rsidRPr="000977F7">
        <w:rPr>
          <w:rFonts w:asciiTheme="majorHAnsi" w:hAnsiTheme="majorHAnsi"/>
          <w:spacing w:val="1"/>
          <w:sz w:val="20"/>
          <w:szCs w:val="20"/>
        </w:rPr>
        <w:t xml:space="preserve"> </w:t>
      </w:r>
      <w:r w:rsidRPr="000977F7">
        <w:rPr>
          <w:rFonts w:asciiTheme="majorHAnsi" w:hAnsiTheme="majorHAnsi"/>
          <w:sz w:val="20"/>
          <w:szCs w:val="20"/>
        </w:rPr>
        <w:t>змінювання</w:t>
      </w:r>
      <w:r w:rsidRPr="000977F7">
        <w:rPr>
          <w:rFonts w:asciiTheme="majorHAnsi" w:hAnsiTheme="majorHAnsi"/>
          <w:spacing w:val="1"/>
          <w:sz w:val="20"/>
          <w:szCs w:val="20"/>
        </w:rPr>
        <w:t xml:space="preserve"> </w:t>
      </w:r>
      <w:r w:rsidRPr="000977F7">
        <w:rPr>
          <w:rFonts w:asciiTheme="majorHAnsi" w:hAnsiTheme="majorHAnsi"/>
          <w:sz w:val="20"/>
          <w:szCs w:val="20"/>
        </w:rPr>
        <w:t>ступенів</w:t>
      </w:r>
      <w:r w:rsidRPr="000977F7">
        <w:rPr>
          <w:rFonts w:asciiTheme="majorHAnsi" w:hAnsiTheme="majorHAnsi"/>
          <w:spacing w:val="1"/>
          <w:sz w:val="20"/>
          <w:szCs w:val="20"/>
        </w:rPr>
        <w:t xml:space="preserve"> </w:t>
      </w:r>
      <w:r w:rsidRPr="000977F7">
        <w:rPr>
          <w:rFonts w:asciiTheme="majorHAnsi" w:hAnsiTheme="majorHAnsi"/>
          <w:sz w:val="20"/>
          <w:szCs w:val="20"/>
        </w:rPr>
        <w:t>навантажування</w:t>
      </w:r>
      <w:r w:rsidRPr="000977F7">
        <w:rPr>
          <w:rFonts w:asciiTheme="majorHAnsi" w:hAnsiTheme="majorHAnsi"/>
          <w:spacing w:val="-2"/>
          <w:sz w:val="20"/>
          <w:szCs w:val="20"/>
        </w:rPr>
        <w:t xml:space="preserve"> </w:t>
      </w:r>
      <w:r w:rsidRPr="000977F7">
        <w:rPr>
          <w:rFonts w:asciiTheme="majorHAnsi" w:hAnsiTheme="majorHAnsi"/>
          <w:sz w:val="20"/>
          <w:szCs w:val="20"/>
        </w:rPr>
        <w:t>всередині</w:t>
      </w:r>
      <w:r w:rsidRPr="000977F7">
        <w:rPr>
          <w:rFonts w:asciiTheme="majorHAnsi" w:hAnsiTheme="majorHAnsi"/>
          <w:spacing w:val="-1"/>
          <w:sz w:val="20"/>
          <w:szCs w:val="20"/>
        </w:rPr>
        <w:t xml:space="preserve"> </w:t>
      </w:r>
      <w:r w:rsidRPr="000977F7">
        <w:rPr>
          <w:rFonts w:asciiTheme="majorHAnsi" w:hAnsiTheme="majorHAnsi"/>
          <w:sz w:val="20"/>
          <w:szCs w:val="20"/>
        </w:rPr>
        <w:t>блоку</w:t>
      </w:r>
    </w:p>
    <w:p w14:paraId="1D6C186B"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2444 - 94</w:t>
      </w:r>
    </w:p>
    <w:p w14:paraId="56F18EA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ФОРМА</w:t>
      </w:r>
      <w:r w:rsidRPr="000977F7">
        <w:rPr>
          <w:color w:val="auto"/>
          <w:spacing w:val="-3"/>
          <w:sz w:val="20"/>
          <w:szCs w:val="20"/>
        </w:rPr>
        <w:t xml:space="preserve"> </w:t>
      </w:r>
      <w:r w:rsidRPr="000977F7">
        <w:rPr>
          <w:color w:val="auto"/>
          <w:sz w:val="20"/>
          <w:szCs w:val="20"/>
        </w:rPr>
        <w:t>ВІБРАЦІЇ</w:t>
      </w:r>
      <w:r w:rsidRPr="000977F7">
        <w:rPr>
          <w:color w:val="auto"/>
          <w:spacing w:val="-1"/>
          <w:sz w:val="20"/>
          <w:szCs w:val="20"/>
        </w:rPr>
        <w:t xml:space="preserve"> </w:t>
      </w:r>
      <w:r w:rsidRPr="000977F7">
        <w:rPr>
          <w:color w:val="auto"/>
          <w:sz w:val="20"/>
          <w:szCs w:val="20"/>
        </w:rPr>
        <w:t>–</w:t>
      </w:r>
    </w:p>
    <w:p w14:paraId="0BFA3E9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MODE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VIBRATION –</w:t>
      </w:r>
    </w:p>
    <w:p w14:paraId="1A40CB6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Конфігурація</w:t>
      </w:r>
      <w:r w:rsidRPr="004D2D14">
        <w:rPr>
          <w:rFonts w:asciiTheme="majorHAnsi" w:hAnsiTheme="majorHAnsi"/>
          <w:spacing w:val="20"/>
          <w:sz w:val="20"/>
          <w:szCs w:val="20"/>
          <w:lang w:val="en-US"/>
        </w:rPr>
        <w:t xml:space="preserve"> </w:t>
      </w:r>
      <w:r w:rsidRPr="000977F7">
        <w:rPr>
          <w:rFonts w:asciiTheme="majorHAnsi" w:hAnsiTheme="majorHAnsi"/>
          <w:sz w:val="20"/>
          <w:szCs w:val="20"/>
        </w:rPr>
        <w:t>сукупності</w:t>
      </w:r>
      <w:r w:rsidRPr="004D2D14">
        <w:rPr>
          <w:rFonts w:asciiTheme="majorHAnsi" w:hAnsiTheme="majorHAnsi"/>
          <w:spacing w:val="22"/>
          <w:sz w:val="20"/>
          <w:szCs w:val="20"/>
          <w:lang w:val="en-US"/>
        </w:rPr>
        <w:t xml:space="preserve"> </w:t>
      </w:r>
      <w:r w:rsidRPr="000977F7">
        <w:rPr>
          <w:rFonts w:asciiTheme="majorHAnsi" w:hAnsiTheme="majorHAnsi"/>
          <w:sz w:val="20"/>
          <w:szCs w:val="20"/>
        </w:rPr>
        <w:t>вузлів</w:t>
      </w:r>
      <w:r w:rsidRPr="004D2D14">
        <w:rPr>
          <w:rFonts w:asciiTheme="majorHAnsi" w:hAnsiTheme="majorHAnsi"/>
          <w:spacing w:val="20"/>
          <w:sz w:val="20"/>
          <w:szCs w:val="20"/>
          <w:lang w:val="en-US"/>
        </w:rPr>
        <w:t xml:space="preserve"> </w:t>
      </w:r>
      <w:r w:rsidRPr="000977F7">
        <w:rPr>
          <w:rFonts w:asciiTheme="majorHAnsi" w:hAnsiTheme="majorHAnsi"/>
          <w:sz w:val="20"/>
          <w:szCs w:val="20"/>
        </w:rPr>
        <w:t>та</w:t>
      </w:r>
      <w:r w:rsidRPr="004D2D14">
        <w:rPr>
          <w:rFonts w:asciiTheme="majorHAnsi" w:hAnsiTheme="majorHAnsi"/>
          <w:spacing w:val="23"/>
          <w:sz w:val="20"/>
          <w:szCs w:val="20"/>
          <w:lang w:val="en-US"/>
        </w:rPr>
        <w:t xml:space="preserve"> </w:t>
      </w:r>
      <w:r w:rsidRPr="000977F7">
        <w:rPr>
          <w:rFonts w:asciiTheme="majorHAnsi" w:hAnsiTheme="majorHAnsi"/>
          <w:sz w:val="20"/>
          <w:szCs w:val="20"/>
        </w:rPr>
        <w:t>виду</w:t>
      </w:r>
      <w:r w:rsidRPr="004D2D14">
        <w:rPr>
          <w:rFonts w:asciiTheme="majorHAnsi" w:hAnsiTheme="majorHAnsi"/>
          <w:spacing w:val="22"/>
          <w:sz w:val="20"/>
          <w:szCs w:val="20"/>
          <w:lang w:val="en-US"/>
        </w:rPr>
        <w:t xml:space="preserve"> </w:t>
      </w:r>
      <w:r w:rsidRPr="000977F7">
        <w:rPr>
          <w:rFonts w:asciiTheme="majorHAnsi" w:hAnsiTheme="majorHAnsi"/>
          <w:sz w:val="20"/>
          <w:szCs w:val="20"/>
        </w:rPr>
        <w:t>коливань</w:t>
      </w:r>
      <w:r w:rsidRPr="004D2D14">
        <w:rPr>
          <w:rFonts w:asciiTheme="majorHAnsi" w:hAnsiTheme="majorHAnsi"/>
          <w:spacing w:val="-47"/>
          <w:sz w:val="20"/>
          <w:szCs w:val="20"/>
          <w:lang w:val="en-US"/>
        </w:rPr>
        <w:t xml:space="preserve"> </w:t>
      </w:r>
      <w:r w:rsidRPr="000977F7">
        <w:rPr>
          <w:rFonts w:asciiTheme="majorHAnsi" w:hAnsiTheme="majorHAnsi"/>
          <w:sz w:val="20"/>
          <w:szCs w:val="20"/>
        </w:rPr>
        <w:t>системи</w:t>
      </w:r>
      <w:r w:rsidRPr="004D2D14">
        <w:rPr>
          <w:rFonts w:asciiTheme="majorHAnsi" w:hAnsiTheme="majorHAnsi"/>
          <w:sz w:val="20"/>
          <w:szCs w:val="20"/>
          <w:lang w:val="en-US"/>
        </w:rPr>
        <w:t>,</w:t>
      </w:r>
      <w:r w:rsidRPr="004D2D14">
        <w:rPr>
          <w:rFonts w:asciiTheme="majorHAnsi" w:hAnsiTheme="majorHAnsi"/>
          <w:spacing w:val="-3"/>
          <w:sz w:val="20"/>
          <w:szCs w:val="20"/>
          <w:lang w:val="en-US"/>
        </w:rPr>
        <w:t xml:space="preserve"> </w:t>
      </w:r>
      <w:r w:rsidRPr="000977F7">
        <w:rPr>
          <w:rFonts w:asciiTheme="majorHAnsi" w:hAnsiTheme="majorHAnsi"/>
          <w:sz w:val="20"/>
          <w:szCs w:val="20"/>
        </w:rPr>
        <w:t>яка</w:t>
      </w:r>
      <w:r w:rsidRPr="004D2D14">
        <w:rPr>
          <w:rFonts w:asciiTheme="majorHAnsi" w:hAnsiTheme="majorHAnsi"/>
          <w:spacing w:val="-2"/>
          <w:sz w:val="20"/>
          <w:szCs w:val="20"/>
          <w:lang w:val="en-US"/>
        </w:rPr>
        <w:t xml:space="preserve"> </w:t>
      </w:r>
      <w:r w:rsidRPr="000977F7">
        <w:rPr>
          <w:rFonts w:asciiTheme="majorHAnsi" w:hAnsiTheme="majorHAnsi"/>
          <w:sz w:val="20"/>
          <w:szCs w:val="20"/>
        </w:rPr>
        <w:t>перебуває</w:t>
      </w:r>
      <w:r w:rsidRPr="004D2D14">
        <w:rPr>
          <w:rFonts w:asciiTheme="majorHAnsi" w:hAnsiTheme="majorHAnsi"/>
          <w:spacing w:val="1"/>
          <w:sz w:val="20"/>
          <w:szCs w:val="20"/>
          <w:lang w:val="en-US"/>
        </w:rPr>
        <w:t xml:space="preserve"> </w:t>
      </w:r>
      <w:r w:rsidRPr="000977F7">
        <w:rPr>
          <w:rFonts w:asciiTheme="majorHAnsi" w:hAnsiTheme="majorHAnsi"/>
          <w:sz w:val="20"/>
          <w:szCs w:val="20"/>
        </w:rPr>
        <w:t>у</w:t>
      </w:r>
      <w:r w:rsidRPr="004D2D14">
        <w:rPr>
          <w:rFonts w:asciiTheme="majorHAnsi" w:hAnsiTheme="majorHAnsi"/>
          <w:spacing w:val="-6"/>
          <w:sz w:val="20"/>
          <w:szCs w:val="20"/>
          <w:lang w:val="en-US"/>
        </w:rPr>
        <w:t xml:space="preserve"> </w:t>
      </w:r>
      <w:r w:rsidRPr="000977F7">
        <w:rPr>
          <w:rFonts w:asciiTheme="majorHAnsi" w:hAnsiTheme="majorHAnsi"/>
          <w:sz w:val="20"/>
          <w:szCs w:val="20"/>
        </w:rPr>
        <w:t>стані</w:t>
      </w:r>
      <w:r w:rsidRPr="004D2D14">
        <w:rPr>
          <w:rFonts w:asciiTheme="majorHAnsi" w:hAnsiTheme="majorHAnsi"/>
          <w:spacing w:val="-3"/>
          <w:sz w:val="20"/>
          <w:szCs w:val="20"/>
          <w:lang w:val="en-US"/>
        </w:rPr>
        <w:t xml:space="preserve"> </w:t>
      </w:r>
      <w:r w:rsidRPr="000977F7">
        <w:rPr>
          <w:rFonts w:asciiTheme="majorHAnsi" w:hAnsiTheme="majorHAnsi"/>
          <w:sz w:val="20"/>
          <w:szCs w:val="20"/>
        </w:rPr>
        <w:t>періодичної</w:t>
      </w:r>
      <w:r w:rsidRPr="004D2D14">
        <w:rPr>
          <w:rFonts w:asciiTheme="majorHAnsi" w:hAnsiTheme="majorHAnsi"/>
          <w:spacing w:val="-3"/>
          <w:sz w:val="20"/>
          <w:szCs w:val="20"/>
          <w:lang w:val="en-US"/>
        </w:rPr>
        <w:t xml:space="preserve"> </w:t>
      </w:r>
      <w:r w:rsidRPr="000977F7">
        <w:rPr>
          <w:rFonts w:asciiTheme="majorHAnsi" w:hAnsiTheme="majorHAnsi"/>
          <w:sz w:val="20"/>
          <w:szCs w:val="20"/>
        </w:rPr>
        <w:t>вібрації</w:t>
      </w:r>
    </w:p>
    <w:p w14:paraId="42C7008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П</w:t>
      </w:r>
      <w:r w:rsidRPr="004D2D14">
        <w:rPr>
          <w:rFonts w:asciiTheme="majorHAnsi" w:hAnsiTheme="majorHAnsi"/>
          <w:spacing w:val="-1"/>
          <w:sz w:val="20"/>
          <w:szCs w:val="20"/>
          <w:lang w:val="en-US"/>
        </w:rPr>
        <w:t xml:space="preserve"> </w:t>
      </w:r>
      <w:r w:rsidRPr="000977F7">
        <w:rPr>
          <w:rFonts w:asciiTheme="majorHAnsi" w:hAnsiTheme="majorHAnsi"/>
          <w:sz w:val="20"/>
          <w:szCs w:val="20"/>
        </w:rPr>
        <w:t>р</w:t>
      </w:r>
      <w:r w:rsidRPr="004D2D14">
        <w:rPr>
          <w:rFonts w:asciiTheme="majorHAnsi" w:hAnsiTheme="majorHAnsi"/>
          <w:spacing w:val="1"/>
          <w:sz w:val="20"/>
          <w:szCs w:val="20"/>
          <w:lang w:val="en-US"/>
        </w:rPr>
        <w:t xml:space="preserve"> </w:t>
      </w:r>
      <w:r w:rsidRPr="000977F7">
        <w:rPr>
          <w:rFonts w:asciiTheme="majorHAnsi" w:hAnsiTheme="majorHAnsi"/>
          <w:sz w:val="20"/>
          <w:szCs w:val="20"/>
        </w:rPr>
        <w:t>и</w:t>
      </w:r>
      <w:r w:rsidRPr="004D2D14">
        <w:rPr>
          <w:rFonts w:asciiTheme="majorHAnsi" w:hAnsiTheme="majorHAnsi"/>
          <w:spacing w:val="-2"/>
          <w:sz w:val="20"/>
          <w:szCs w:val="20"/>
          <w:lang w:val="en-US"/>
        </w:rPr>
        <w:t xml:space="preserve"> </w:t>
      </w:r>
      <w:r w:rsidRPr="000977F7">
        <w:rPr>
          <w:rFonts w:asciiTheme="majorHAnsi" w:hAnsiTheme="majorHAnsi"/>
          <w:sz w:val="20"/>
          <w:szCs w:val="20"/>
        </w:rPr>
        <w:t>м</w:t>
      </w:r>
      <w:r w:rsidRPr="004D2D14">
        <w:rPr>
          <w:rFonts w:asciiTheme="majorHAnsi" w:hAnsiTheme="majorHAnsi"/>
          <w:spacing w:val="1"/>
          <w:sz w:val="20"/>
          <w:szCs w:val="20"/>
          <w:lang w:val="en-US"/>
        </w:rPr>
        <w:t xml:space="preserve"> </w:t>
      </w:r>
      <w:r w:rsidRPr="000977F7">
        <w:rPr>
          <w:rFonts w:asciiTheme="majorHAnsi" w:hAnsiTheme="majorHAnsi"/>
          <w:sz w:val="20"/>
          <w:szCs w:val="20"/>
        </w:rPr>
        <w:t>і</w:t>
      </w:r>
      <w:r w:rsidRPr="004D2D14">
        <w:rPr>
          <w:rFonts w:asciiTheme="majorHAnsi" w:hAnsiTheme="majorHAnsi"/>
          <w:spacing w:val="-2"/>
          <w:sz w:val="20"/>
          <w:szCs w:val="20"/>
          <w:lang w:val="en-US"/>
        </w:rPr>
        <w:t xml:space="preserve"> </w:t>
      </w:r>
      <w:r w:rsidRPr="000977F7">
        <w:rPr>
          <w:rFonts w:asciiTheme="majorHAnsi" w:hAnsiTheme="majorHAnsi"/>
          <w:sz w:val="20"/>
          <w:szCs w:val="20"/>
        </w:rPr>
        <w:t>т</w:t>
      </w:r>
      <w:r w:rsidRPr="004D2D14">
        <w:rPr>
          <w:rFonts w:asciiTheme="majorHAnsi" w:hAnsiTheme="majorHAnsi"/>
          <w:spacing w:val="-1"/>
          <w:sz w:val="20"/>
          <w:szCs w:val="20"/>
          <w:lang w:val="en-US"/>
        </w:rPr>
        <w:t xml:space="preserve"> </w:t>
      </w:r>
      <w:r w:rsidRPr="000977F7">
        <w:rPr>
          <w:rFonts w:asciiTheme="majorHAnsi" w:hAnsiTheme="majorHAnsi"/>
          <w:sz w:val="20"/>
          <w:szCs w:val="20"/>
        </w:rPr>
        <w:t>к</w:t>
      </w:r>
      <w:r w:rsidRPr="004D2D14">
        <w:rPr>
          <w:rFonts w:asciiTheme="majorHAnsi" w:hAnsiTheme="majorHAnsi"/>
          <w:spacing w:val="-1"/>
          <w:sz w:val="20"/>
          <w:szCs w:val="20"/>
          <w:lang w:val="en-US"/>
        </w:rPr>
        <w:t xml:space="preserve"> </w:t>
      </w:r>
      <w:r w:rsidRPr="000977F7">
        <w:rPr>
          <w:rFonts w:asciiTheme="majorHAnsi" w:hAnsiTheme="majorHAnsi"/>
          <w:sz w:val="20"/>
          <w:szCs w:val="20"/>
        </w:rPr>
        <w:t>а</w:t>
      </w:r>
      <w:r w:rsidRPr="004D2D14">
        <w:rPr>
          <w:rFonts w:asciiTheme="majorHAnsi" w:hAnsiTheme="majorHAnsi"/>
          <w:sz w:val="20"/>
          <w:szCs w:val="20"/>
          <w:lang w:val="en-US"/>
        </w:rPr>
        <w:t>:</w:t>
      </w:r>
    </w:p>
    <w:p w14:paraId="676B64E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Для</w:t>
      </w:r>
      <w:r w:rsidRPr="004D2D14">
        <w:rPr>
          <w:rFonts w:asciiTheme="majorHAnsi" w:hAnsiTheme="majorHAnsi"/>
          <w:spacing w:val="16"/>
          <w:sz w:val="20"/>
          <w:szCs w:val="20"/>
          <w:lang w:val="en-US"/>
        </w:rPr>
        <w:t xml:space="preserve"> </w:t>
      </w:r>
      <w:r w:rsidRPr="000977F7">
        <w:rPr>
          <w:rFonts w:asciiTheme="majorHAnsi" w:hAnsiTheme="majorHAnsi"/>
          <w:sz w:val="20"/>
          <w:szCs w:val="20"/>
        </w:rPr>
        <w:t>суцільних</w:t>
      </w:r>
      <w:r w:rsidRPr="004D2D14">
        <w:rPr>
          <w:rFonts w:asciiTheme="majorHAnsi" w:hAnsiTheme="majorHAnsi"/>
          <w:spacing w:val="16"/>
          <w:sz w:val="20"/>
          <w:szCs w:val="20"/>
          <w:lang w:val="en-US"/>
        </w:rPr>
        <w:t xml:space="preserve"> </w:t>
      </w:r>
      <w:r w:rsidRPr="000977F7">
        <w:rPr>
          <w:rFonts w:asciiTheme="majorHAnsi" w:hAnsiTheme="majorHAnsi"/>
          <w:sz w:val="20"/>
          <w:szCs w:val="20"/>
        </w:rPr>
        <w:t>обмежених</w:t>
      </w:r>
      <w:r w:rsidRPr="004D2D14">
        <w:rPr>
          <w:rFonts w:asciiTheme="majorHAnsi" w:hAnsiTheme="majorHAnsi"/>
          <w:spacing w:val="16"/>
          <w:sz w:val="20"/>
          <w:szCs w:val="20"/>
          <w:lang w:val="en-US"/>
        </w:rPr>
        <w:t xml:space="preserve"> </w:t>
      </w:r>
      <w:r w:rsidRPr="000977F7">
        <w:rPr>
          <w:rFonts w:asciiTheme="majorHAnsi" w:hAnsiTheme="majorHAnsi"/>
          <w:sz w:val="20"/>
          <w:szCs w:val="20"/>
        </w:rPr>
        <w:t>тіл</w:t>
      </w:r>
      <w:r w:rsidRPr="004D2D14">
        <w:rPr>
          <w:rFonts w:asciiTheme="majorHAnsi" w:hAnsiTheme="majorHAnsi"/>
          <w:spacing w:val="17"/>
          <w:sz w:val="20"/>
          <w:szCs w:val="20"/>
          <w:lang w:val="en-US"/>
        </w:rPr>
        <w:t xml:space="preserve"> </w:t>
      </w:r>
      <w:r w:rsidRPr="000977F7">
        <w:rPr>
          <w:rFonts w:asciiTheme="majorHAnsi" w:hAnsiTheme="majorHAnsi"/>
          <w:sz w:val="20"/>
          <w:szCs w:val="20"/>
        </w:rPr>
        <w:t>форма</w:t>
      </w:r>
      <w:r w:rsidRPr="004D2D14">
        <w:rPr>
          <w:rFonts w:asciiTheme="majorHAnsi" w:hAnsiTheme="majorHAnsi"/>
          <w:spacing w:val="17"/>
          <w:sz w:val="20"/>
          <w:szCs w:val="20"/>
          <w:lang w:val="en-US"/>
        </w:rPr>
        <w:t xml:space="preserve"> </w:t>
      </w:r>
      <w:r w:rsidRPr="000977F7">
        <w:rPr>
          <w:rFonts w:asciiTheme="majorHAnsi" w:hAnsiTheme="majorHAnsi"/>
          <w:sz w:val="20"/>
          <w:szCs w:val="20"/>
        </w:rPr>
        <w:t>вібрації</w:t>
      </w:r>
      <w:r w:rsidRPr="004D2D14">
        <w:rPr>
          <w:rFonts w:asciiTheme="majorHAnsi" w:hAnsiTheme="majorHAnsi"/>
          <w:spacing w:val="17"/>
          <w:sz w:val="20"/>
          <w:szCs w:val="20"/>
          <w:lang w:val="en-US"/>
        </w:rPr>
        <w:t xml:space="preserve"> </w:t>
      </w:r>
      <w:r w:rsidRPr="000977F7">
        <w:rPr>
          <w:rFonts w:asciiTheme="majorHAnsi" w:hAnsiTheme="majorHAnsi"/>
          <w:sz w:val="20"/>
          <w:szCs w:val="20"/>
        </w:rPr>
        <w:t>відповідає</w:t>
      </w:r>
      <w:r w:rsidRPr="004D2D14">
        <w:rPr>
          <w:rFonts w:asciiTheme="majorHAnsi" w:hAnsiTheme="majorHAnsi"/>
          <w:spacing w:val="-1"/>
          <w:sz w:val="20"/>
          <w:szCs w:val="20"/>
          <w:lang w:val="en-US"/>
        </w:rPr>
        <w:t xml:space="preserve"> </w:t>
      </w:r>
      <w:r w:rsidRPr="000977F7">
        <w:rPr>
          <w:rFonts w:asciiTheme="majorHAnsi" w:hAnsiTheme="majorHAnsi"/>
          <w:sz w:val="20"/>
          <w:szCs w:val="20"/>
        </w:rPr>
        <w:t>конфігурації</w:t>
      </w:r>
      <w:r w:rsidRPr="004D2D14">
        <w:rPr>
          <w:rFonts w:asciiTheme="majorHAnsi" w:hAnsiTheme="majorHAnsi"/>
          <w:spacing w:val="-1"/>
          <w:sz w:val="20"/>
          <w:szCs w:val="20"/>
          <w:lang w:val="en-US"/>
        </w:rPr>
        <w:t xml:space="preserve"> </w:t>
      </w:r>
      <w:r w:rsidRPr="000977F7">
        <w:rPr>
          <w:rFonts w:asciiTheme="majorHAnsi" w:hAnsiTheme="majorHAnsi"/>
          <w:sz w:val="20"/>
          <w:szCs w:val="20"/>
        </w:rPr>
        <w:t>стоячої</w:t>
      </w:r>
      <w:r w:rsidRPr="004D2D14">
        <w:rPr>
          <w:rFonts w:asciiTheme="majorHAnsi" w:hAnsiTheme="majorHAnsi"/>
          <w:spacing w:val="-1"/>
          <w:sz w:val="20"/>
          <w:szCs w:val="20"/>
          <w:lang w:val="en-US"/>
        </w:rPr>
        <w:t xml:space="preserve"> </w:t>
      </w:r>
      <w:r w:rsidRPr="000977F7">
        <w:rPr>
          <w:rFonts w:asciiTheme="majorHAnsi" w:hAnsiTheme="majorHAnsi"/>
          <w:sz w:val="20"/>
          <w:szCs w:val="20"/>
        </w:rPr>
        <w:t>хвилі</w:t>
      </w:r>
    </w:p>
    <w:p w14:paraId="1E09C39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2300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93</w:t>
      </w:r>
    </w:p>
    <w:p w14:paraId="77A02B2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ФОРМА</w:t>
      </w:r>
      <w:r w:rsidRPr="000977F7">
        <w:rPr>
          <w:color w:val="auto"/>
          <w:spacing w:val="-3"/>
          <w:sz w:val="20"/>
          <w:szCs w:val="20"/>
        </w:rPr>
        <w:t xml:space="preserve"> </w:t>
      </w:r>
      <w:r w:rsidRPr="000977F7">
        <w:rPr>
          <w:color w:val="auto"/>
          <w:sz w:val="20"/>
          <w:szCs w:val="20"/>
        </w:rPr>
        <w:t>ЗАКОНУ</w:t>
      </w:r>
      <w:r w:rsidRPr="000977F7">
        <w:rPr>
          <w:color w:val="auto"/>
          <w:spacing w:val="-2"/>
          <w:sz w:val="20"/>
          <w:szCs w:val="20"/>
        </w:rPr>
        <w:t xml:space="preserve"> </w:t>
      </w:r>
      <w:r w:rsidRPr="000977F7">
        <w:rPr>
          <w:color w:val="auto"/>
          <w:sz w:val="20"/>
          <w:szCs w:val="20"/>
        </w:rPr>
        <w:t>РОЗПОДІЛУ</w:t>
      </w:r>
      <w:r w:rsidRPr="000977F7">
        <w:rPr>
          <w:color w:val="auto"/>
          <w:spacing w:val="-2"/>
          <w:sz w:val="20"/>
          <w:szCs w:val="20"/>
        </w:rPr>
        <w:t xml:space="preserve"> </w:t>
      </w:r>
      <w:r w:rsidRPr="000977F7">
        <w:rPr>
          <w:color w:val="auto"/>
          <w:sz w:val="20"/>
          <w:szCs w:val="20"/>
        </w:rPr>
        <w:t>–</w:t>
      </w:r>
    </w:p>
    <w:p w14:paraId="56A447B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Вид</w:t>
      </w:r>
      <w:r w:rsidRPr="004D2D14">
        <w:rPr>
          <w:rFonts w:asciiTheme="majorHAnsi" w:hAnsiTheme="majorHAnsi"/>
          <w:spacing w:val="-4"/>
          <w:sz w:val="20"/>
          <w:szCs w:val="20"/>
          <w:lang w:val="en-US"/>
        </w:rPr>
        <w:t xml:space="preserve"> </w:t>
      </w:r>
      <w:r w:rsidRPr="000977F7">
        <w:rPr>
          <w:rFonts w:asciiTheme="majorHAnsi" w:hAnsiTheme="majorHAnsi"/>
          <w:sz w:val="20"/>
          <w:szCs w:val="20"/>
        </w:rPr>
        <w:t>кривої</w:t>
      </w:r>
      <w:r w:rsidRPr="004D2D14">
        <w:rPr>
          <w:rFonts w:asciiTheme="majorHAnsi" w:hAnsiTheme="majorHAnsi"/>
          <w:spacing w:val="-4"/>
          <w:sz w:val="20"/>
          <w:szCs w:val="20"/>
          <w:lang w:val="en-US"/>
        </w:rPr>
        <w:t xml:space="preserve"> </w:t>
      </w:r>
      <w:r w:rsidRPr="000977F7">
        <w:rPr>
          <w:rFonts w:asciiTheme="majorHAnsi" w:hAnsiTheme="majorHAnsi"/>
          <w:sz w:val="20"/>
          <w:szCs w:val="20"/>
        </w:rPr>
        <w:t>щільності</w:t>
      </w:r>
      <w:r w:rsidRPr="004D2D14">
        <w:rPr>
          <w:rFonts w:asciiTheme="majorHAnsi" w:hAnsiTheme="majorHAnsi"/>
          <w:spacing w:val="-4"/>
          <w:sz w:val="20"/>
          <w:szCs w:val="20"/>
          <w:lang w:val="en-US"/>
        </w:rPr>
        <w:t xml:space="preserve"> </w:t>
      </w:r>
      <w:r w:rsidRPr="000977F7">
        <w:rPr>
          <w:rFonts w:asciiTheme="majorHAnsi" w:hAnsiTheme="majorHAnsi"/>
          <w:sz w:val="20"/>
          <w:szCs w:val="20"/>
        </w:rPr>
        <w:t>розподілу</w:t>
      </w:r>
      <w:r w:rsidRPr="004D2D14">
        <w:rPr>
          <w:rFonts w:asciiTheme="majorHAnsi" w:hAnsiTheme="majorHAnsi"/>
          <w:spacing w:val="-4"/>
          <w:sz w:val="20"/>
          <w:szCs w:val="20"/>
          <w:lang w:val="en-US"/>
        </w:rPr>
        <w:t xml:space="preserve"> </w:t>
      </w:r>
      <w:r w:rsidRPr="000977F7">
        <w:rPr>
          <w:rFonts w:asciiTheme="majorHAnsi" w:hAnsiTheme="majorHAnsi"/>
          <w:sz w:val="20"/>
          <w:szCs w:val="20"/>
        </w:rPr>
        <w:t>імовірності</w:t>
      </w:r>
    </w:p>
    <w:p w14:paraId="77601B8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2444 - 94</w:t>
      </w:r>
    </w:p>
    <w:p w14:paraId="3D0C36E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ФОРМА КОЛИВАНЬ СИСТЕМИ; ФОРМА</w:t>
      </w:r>
      <w:r w:rsidRPr="000977F7">
        <w:rPr>
          <w:color w:val="auto"/>
          <w:spacing w:val="-47"/>
          <w:sz w:val="20"/>
          <w:szCs w:val="20"/>
        </w:rPr>
        <w:t xml:space="preserve"> </w:t>
      </w:r>
      <w:r w:rsidRPr="000977F7">
        <w:rPr>
          <w:color w:val="auto"/>
          <w:sz w:val="20"/>
          <w:szCs w:val="20"/>
        </w:rPr>
        <w:t>КОЛИВАНЬ –</w:t>
      </w:r>
    </w:p>
    <w:p w14:paraId="18A1F18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MODE</w:t>
      </w:r>
      <w:r w:rsidRPr="004D2D14">
        <w:rPr>
          <w:rFonts w:asciiTheme="majorHAnsi" w:hAnsiTheme="majorHAnsi"/>
          <w:spacing w:val="-2"/>
          <w:sz w:val="20"/>
          <w:szCs w:val="20"/>
          <w:lang w:val="uk-UA"/>
        </w:rPr>
        <w:t xml:space="preserve"> </w:t>
      </w:r>
      <w:r w:rsidRPr="000977F7">
        <w:rPr>
          <w:rFonts w:asciiTheme="majorHAnsi" w:hAnsiTheme="majorHAnsi"/>
          <w:sz w:val="20"/>
          <w:szCs w:val="20"/>
        </w:rPr>
        <w:t>OF</w:t>
      </w:r>
      <w:r w:rsidRPr="004D2D14">
        <w:rPr>
          <w:rFonts w:asciiTheme="majorHAnsi" w:hAnsiTheme="majorHAnsi"/>
          <w:spacing w:val="-2"/>
          <w:sz w:val="20"/>
          <w:szCs w:val="20"/>
          <w:lang w:val="uk-UA"/>
        </w:rPr>
        <w:t xml:space="preserve"> </w:t>
      </w:r>
      <w:r w:rsidRPr="000977F7">
        <w:rPr>
          <w:rFonts w:asciiTheme="majorHAnsi" w:hAnsiTheme="majorHAnsi"/>
          <w:sz w:val="20"/>
          <w:szCs w:val="20"/>
        </w:rPr>
        <w:t>VIBRATION</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17BBFD86" w14:textId="77777777" w:rsidR="0097612F" w:rsidRPr="004D2D14" w:rsidRDefault="0097612F" w:rsidP="000977F7">
      <w:pPr>
        <w:pStyle w:val="af6"/>
        <w:tabs>
          <w:tab w:val="left" w:pos="284"/>
        </w:tabs>
        <w:spacing w:after="0"/>
        <w:ind w:left="170"/>
        <w:mirrorIndents/>
        <w:jc w:val="both"/>
        <w:rPr>
          <w:rFonts w:asciiTheme="majorHAnsi" w:hAnsiTheme="majorHAnsi"/>
          <w:spacing w:val="-3"/>
          <w:sz w:val="20"/>
          <w:szCs w:val="20"/>
          <w:lang w:val="uk-UA"/>
        </w:rPr>
      </w:pPr>
      <w:r w:rsidRPr="004D2D14">
        <w:rPr>
          <w:rFonts w:asciiTheme="majorHAnsi" w:hAnsiTheme="majorHAnsi"/>
          <w:spacing w:val="-4"/>
          <w:sz w:val="20"/>
          <w:szCs w:val="20"/>
          <w:lang w:val="uk-UA"/>
        </w:rPr>
        <w:t xml:space="preserve">Сукупність значень узагальнених координат </w:t>
      </w:r>
      <w:r w:rsidRPr="004D2D14">
        <w:rPr>
          <w:rFonts w:asciiTheme="majorHAnsi" w:hAnsiTheme="majorHAnsi"/>
          <w:spacing w:val="-3"/>
          <w:sz w:val="20"/>
          <w:szCs w:val="20"/>
          <w:lang w:val="uk-UA"/>
        </w:rPr>
        <w:t xml:space="preserve">у довільний </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момент</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часу,</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яка</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визначає</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точністю</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до</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сталого</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множ</w:t>
      </w:r>
      <w:r w:rsidRPr="004D2D14">
        <w:rPr>
          <w:rFonts w:asciiTheme="majorHAnsi" w:hAnsiTheme="majorHAnsi"/>
          <w:spacing w:val="-1"/>
          <w:sz w:val="20"/>
          <w:szCs w:val="20"/>
          <w:lang w:val="uk-UA"/>
        </w:rPr>
        <w:t>ника</w:t>
      </w:r>
      <w:r w:rsidRPr="004D2D14">
        <w:rPr>
          <w:rFonts w:asciiTheme="majorHAnsi" w:hAnsiTheme="majorHAnsi"/>
          <w:spacing w:val="-8"/>
          <w:sz w:val="20"/>
          <w:szCs w:val="20"/>
          <w:lang w:val="uk-UA"/>
        </w:rPr>
        <w:t xml:space="preserve"> </w:t>
      </w:r>
      <w:r w:rsidRPr="004D2D14">
        <w:rPr>
          <w:rFonts w:asciiTheme="majorHAnsi" w:hAnsiTheme="majorHAnsi"/>
          <w:spacing w:val="-1"/>
          <w:sz w:val="20"/>
          <w:szCs w:val="20"/>
          <w:lang w:val="uk-UA"/>
        </w:rPr>
        <w:t>конфігурацію</w:t>
      </w:r>
      <w:r w:rsidRPr="004D2D14">
        <w:rPr>
          <w:rFonts w:asciiTheme="majorHAnsi" w:hAnsiTheme="majorHAnsi"/>
          <w:spacing w:val="-7"/>
          <w:sz w:val="20"/>
          <w:szCs w:val="20"/>
          <w:lang w:val="uk-UA"/>
        </w:rPr>
        <w:t xml:space="preserve"> </w:t>
      </w:r>
      <w:r w:rsidRPr="004D2D14">
        <w:rPr>
          <w:rFonts w:asciiTheme="majorHAnsi" w:hAnsiTheme="majorHAnsi"/>
          <w:spacing w:val="-1"/>
          <w:sz w:val="20"/>
          <w:szCs w:val="20"/>
          <w:lang w:val="uk-UA"/>
        </w:rPr>
        <w:t>відхилень</w:t>
      </w:r>
      <w:r w:rsidRPr="004D2D14">
        <w:rPr>
          <w:rFonts w:asciiTheme="majorHAnsi" w:hAnsiTheme="majorHAnsi"/>
          <w:spacing w:val="-5"/>
          <w:sz w:val="20"/>
          <w:szCs w:val="20"/>
          <w:lang w:val="uk-UA"/>
        </w:rPr>
        <w:t xml:space="preserve"> </w:t>
      </w:r>
      <w:r w:rsidRPr="004D2D14">
        <w:rPr>
          <w:rFonts w:asciiTheme="majorHAnsi" w:hAnsiTheme="majorHAnsi"/>
          <w:spacing w:val="-1"/>
          <w:sz w:val="20"/>
          <w:szCs w:val="20"/>
          <w:lang w:val="uk-UA"/>
        </w:rPr>
        <w:t>від</w:t>
      </w:r>
      <w:r w:rsidRPr="004D2D14">
        <w:rPr>
          <w:rFonts w:asciiTheme="majorHAnsi" w:hAnsiTheme="majorHAnsi"/>
          <w:spacing w:val="-8"/>
          <w:sz w:val="20"/>
          <w:szCs w:val="20"/>
          <w:lang w:val="uk-UA"/>
        </w:rPr>
        <w:t xml:space="preserve"> </w:t>
      </w:r>
      <w:r w:rsidRPr="004D2D14">
        <w:rPr>
          <w:rFonts w:asciiTheme="majorHAnsi" w:hAnsiTheme="majorHAnsi"/>
          <w:spacing w:val="-1"/>
          <w:sz w:val="20"/>
          <w:szCs w:val="20"/>
          <w:lang w:val="uk-UA"/>
        </w:rPr>
        <w:t>стану</w:t>
      </w:r>
      <w:r w:rsidRPr="004D2D14">
        <w:rPr>
          <w:rFonts w:asciiTheme="majorHAnsi" w:hAnsiTheme="majorHAnsi"/>
          <w:spacing w:val="-8"/>
          <w:sz w:val="20"/>
          <w:szCs w:val="20"/>
          <w:lang w:val="uk-UA"/>
        </w:rPr>
        <w:t xml:space="preserve"> </w:t>
      </w:r>
      <w:r w:rsidRPr="004D2D14">
        <w:rPr>
          <w:rFonts w:asciiTheme="majorHAnsi" w:hAnsiTheme="majorHAnsi"/>
          <w:spacing w:val="-1"/>
          <w:sz w:val="20"/>
          <w:szCs w:val="20"/>
          <w:lang w:val="uk-UA"/>
        </w:rPr>
        <w:t>рівноваги</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 xml:space="preserve">точок </w:t>
      </w:r>
      <w:r w:rsidRPr="004D2D14">
        <w:rPr>
          <w:rFonts w:asciiTheme="majorHAnsi" w:hAnsiTheme="majorHAnsi"/>
          <w:spacing w:val="-4"/>
          <w:sz w:val="20"/>
          <w:szCs w:val="20"/>
          <w:lang w:val="uk-UA"/>
        </w:rPr>
        <w:t>системи в одночастотних незатухаючих коливаннях</w:t>
      </w:r>
      <w:r w:rsidRPr="004D2D14">
        <w:rPr>
          <w:rFonts w:asciiTheme="majorHAnsi" w:hAnsiTheme="majorHAnsi"/>
          <w:spacing w:val="-3"/>
          <w:sz w:val="20"/>
          <w:szCs w:val="20"/>
          <w:lang w:val="uk-UA"/>
        </w:rPr>
        <w:t xml:space="preserve"> </w:t>
      </w:r>
    </w:p>
    <w:p w14:paraId="21F9AE9C"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2473</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02AC619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ФОРМОУТВОРЕННЯ</w:t>
      </w:r>
      <w:r w:rsidRPr="000977F7">
        <w:rPr>
          <w:color w:val="auto"/>
          <w:spacing w:val="-1"/>
          <w:sz w:val="20"/>
          <w:szCs w:val="20"/>
        </w:rPr>
        <w:t xml:space="preserve"> </w:t>
      </w:r>
      <w:r w:rsidRPr="000977F7">
        <w:rPr>
          <w:color w:val="auto"/>
          <w:sz w:val="20"/>
          <w:szCs w:val="20"/>
        </w:rPr>
        <w:t>–</w:t>
      </w:r>
    </w:p>
    <w:p w14:paraId="2A291D0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PRIMARY</w:t>
      </w:r>
      <w:r w:rsidRPr="004D2D14">
        <w:rPr>
          <w:rFonts w:asciiTheme="majorHAnsi" w:hAnsiTheme="majorHAnsi"/>
          <w:spacing w:val="-3"/>
          <w:sz w:val="20"/>
          <w:szCs w:val="20"/>
          <w:lang w:val="uk-UA"/>
        </w:rPr>
        <w:t xml:space="preserve"> </w:t>
      </w:r>
      <w:r w:rsidRPr="000977F7">
        <w:rPr>
          <w:rFonts w:asciiTheme="majorHAnsi" w:hAnsiTheme="majorHAnsi"/>
          <w:sz w:val="20"/>
          <w:szCs w:val="20"/>
        </w:rPr>
        <w:t>FORMING</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064A4A7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Виготовлення заготовки чи виробу з рідких, порошкових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волокнистих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матеріалів</w:t>
      </w:r>
    </w:p>
    <w:p w14:paraId="6B1884C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26ABEC84"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ФОPМУВАННЯ –</w:t>
      </w:r>
    </w:p>
    <w:p w14:paraId="2C9D4C6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7"/>
          <w:sz w:val="20"/>
          <w:szCs w:val="20"/>
        </w:rPr>
        <w:t xml:space="preserve"> </w:t>
      </w:r>
      <w:r w:rsidRPr="000977F7">
        <w:rPr>
          <w:rFonts w:asciiTheme="majorHAnsi" w:hAnsiTheme="majorHAnsi"/>
          <w:sz w:val="20"/>
          <w:szCs w:val="20"/>
        </w:rPr>
        <w:t>FORMING</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989246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Формоутворення з порошкового чи волокнистого матеріалу шляхом заповнення ним порожнини заданої</w:t>
      </w:r>
      <w:r w:rsidRPr="000977F7">
        <w:rPr>
          <w:rFonts w:asciiTheme="majorHAnsi" w:hAnsiTheme="majorHAnsi"/>
          <w:spacing w:val="1"/>
          <w:sz w:val="20"/>
          <w:szCs w:val="20"/>
        </w:rPr>
        <w:t xml:space="preserve"> </w:t>
      </w:r>
      <w:r w:rsidRPr="000977F7">
        <w:rPr>
          <w:rFonts w:asciiTheme="majorHAnsi" w:hAnsiTheme="majorHAnsi"/>
          <w:sz w:val="20"/>
          <w:szCs w:val="20"/>
        </w:rPr>
        <w:t>форми</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розмірів</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подальшим</w:t>
      </w:r>
      <w:r w:rsidRPr="000977F7">
        <w:rPr>
          <w:rFonts w:asciiTheme="majorHAnsi" w:hAnsiTheme="majorHAnsi"/>
          <w:spacing w:val="-1"/>
          <w:sz w:val="20"/>
          <w:szCs w:val="20"/>
        </w:rPr>
        <w:t xml:space="preserve"> </w:t>
      </w:r>
      <w:r w:rsidRPr="000977F7">
        <w:rPr>
          <w:rFonts w:asciiTheme="majorHAnsi" w:hAnsiTheme="majorHAnsi"/>
          <w:sz w:val="20"/>
          <w:szCs w:val="20"/>
        </w:rPr>
        <w:t>стисканням</w:t>
      </w:r>
    </w:p>
    <w:p w14:paraId="0D4719A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7BAEF98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ФОРМУВАННЯ</w:t>
      </w:r>
      <w:r w:rsidRPr="000977F7">
        <w:rPr>
          <w:color w:val="auto"/>
          <w:spacing w:val="-6"/>
          <w:sz w:val="20"/>
          <w:szCs w:val="20"/>
        </w:rPr>
        <w:t xml:space="preserve"> </w:t>
      </w:r>
      <w:r w:rsidRPr="000977F7">
        <w:rPr>
          <w:color w:val="auto"/>
          <w:sz w:val="20"/>
          <w:szCs w:val="20"/>
        </w:rPr>
        <w:t>ПОПИТУ</w:t>
      </w:r>
      <w:r w:rsidRPr="000977F7">
        <w:rPr>
          <w:color w:val="auto"/>
          <w:spacing w:val="-1"/>
          <w:sz w:val="20"/>
          <w:szCs w:val="20"/>
        </w:rPr>
        <w:t xml:space="preserve"> </w:t>
      </w:r>
      <w:r w:rsidRPr="000977F7">
        <w:rPr>
          <w:color w:val="auto"/>
          <w:sz w:val="20"/>
          <w:szCs w:val="20"/>
        </w:rPr>
        <w:t>–</w:t>
      </w:r>
    </w:p>
    <w:p w14:paraId="02A760D3"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Цілеспрямовані дії організації по відношенню до повної</w:t>
      </w:r>
      <w:r w:rsidRPr="000977F7">
        <w:rPr>
          <w:rFonts w:asciiTheme="majorHAnsi" w:hAnsiTheme="majorHAnsi"/>
          <w:spacing w:val="1"/>
          <w:sz w:val="20"/>
          <w:szCs w:val="20"/>
        </w:rPr>
        <w:t xml:space="preserve"> </w:t>
      </w:r>
      <w:r w:rsidRPr="000977F7">
        <w:rPr>
          <w:rFonts w:asciiTheme="majorHAnsi" w:hAnsiTheme="majorHAnsi"/>
          <w:sz w:val="20"/>
          <w:szCs w:val="20"/>
        </w:rPr>
        <w:t>інформованості</w:t>
      </w:r>
      <w:r w:rsidRPr="000977F7">
        <w:rPr>
          <w:rFonts w:asciiTheme="majorHAnsi" w:hAnsiTheme="majorHAnsi"/>
          <w:spacing w:val="1"/>
          <w:sz w:val="20"/>
          <w:szCs w:val="20"/>
        </w:rPr>
        <w:t xml:space="preserve"> </w:t>
      </w:r>
      <w:r w:rsidRPr="000977F7">
        <w:rPr>
          <w:rFonts w:asciiTheme="majorHAnsi" w:hAnsiTheme="majorHAnsi"/>
          <w:sz w:val="20"/>
          <w:szCs w:val="20"/>
        </w:rPr>
        <w:t>потенційних</w:t>
      </w:r>
      <w:r w:rsidRPr="000977F7">
        <w:rPr>
          <w:rFonts w:asciiTheme="majorHAnsi" w:hAnsiTheme="majorHAnsi"/>
          <w:spacing w:val="1"/>
          <w:sz w:val="20"/>
          <w:szCs w:val="20"/>
        </w:rPr>
        <w:t xml:space="preserve"> </w:t>
      </w:r>
      <w:r w:rsidRPr="000977F7">
        <w:rPr>
          <w:rFonts w:asciiTheme="majorHAnsi" w:hAnsiTheme="majorHAnsi"/>
          <w:sz w:val="20"/>
          <w:szCs w:val="20"/>
        </w:rPr>
        <w:t>споживачів</w:t>
      </w:r>
      <w:r w:rsidRPr="000977F7">
        <w:rPr>
          <w:rFonts w:asciiTheme="majorHAnsi" w:hAnsiTheme="majorHAnsi"/>
          <w:spacing w:val="1"/>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11"/>
          <w:sz w:val="20"/>
          <w:szCs w:val="20"/>
        </w:rPr>
        <w:t xml:space="preserve"> </w:t>
      </w:r>
      <w:r w:rsidRPr="000977F7">
        <w:rPr>
          <w:rFonts w:asciiTheme="majorHAnsi" w:hAnsiTheme="majorHAnsi"/>
          <w:sz w:val="20"/>
          <w:szCs w:val="20"/>
        </w:rPr>
        <w:t>її</w:t>
      </w:r>
      <w:r w:rsidRPr="000977F7">
        <w:rPr>
          <w:rFonts w:asciiTheme="majorHAnsi" w:hAnsiTheme="majorHAnsi"/>
          <w:spacing w:val="-10"/>
          <w:sz w:val="20"/>
          <w:szCs w:val="20"/>
        </w:rPr>
        <w:t xml:space="preserve"> </w:t>
      </w:r>
      <w:r w:rsidRPr="000977F7">
        <w:rPr>
          <w:rFonts w:asciiTheme="majorHAnsi" w:hAnsiTheme="majorHAnsi"/>
          <w:sz w:val="20"/>
          <w:szCs w:val="20"/>
        </w:rPr>
        <w:t>особливостей,</w:t>
      </w:r>
      <w:r w:rsidRPr="000977F7">
        <w:rPr>
          <w:rFonts w:asciiTheme="majorHAnsi" w:hAnsiTheme="majorHAnsi"/>
          <w:spacing w:val="-9"/>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10"/>
          <w:sz w:val="20"/>
          <w:szCs w:val="20"/>
        </w:rPr>
        <w:t xml:space="preserve"> </w:t>
      </w:r>
      <w:r w:rsidRPr="000977F7">
        <w:rPr>
          <w:rFonts w:asciiTheme="majorHAnsi" w:hAnsiTheme="majorHAnsi"/>
          <w:sz w:val="20"/>
          <w:szCs w:val="20"/>
        </w:rPr>
        <w:t>рівня,</w:t>
      </w:r>
      <w:r w:rsidRPr="000977F7">
        <w:rPr>
          <w:rFonts w:asciiTheme="majorHAnsi" w:hAnsiTheme="majorHAnsi"/>
          <w:spacing w:val="-10"/>
          <w:sz w:val="20"/>
          <w:szCs w:val="20"/>
        </w:rPr>
        <w:t xml:space="preserve"> </w:t>
      </w:r>
      <w:r w:rsidRPr="000977F7">
        <w:rPr>
          <w:rFonts w:asciiTheme="majorHAnsi" w:hAnsiTheme="majorHAnsi"/>
          <w:sz w:val="20"/>
          <w:szCs w:val="20"/>
        </w:rPr>
        <w:t>економічних параметрів, гарантій, ціни, додаткових послуг у</w:t>
      </w:r>
      <w:r w:rsidRPr="000977F7">
        <w:rPr>
          <w:rFonts w:asciiTheme="majorHAnsi" w:hAnsiTheme="majorHAnsi"/>
          <w:spacing w:val="1"/>
          <w:sz w:val="20"/>
          <w:szCs w:val="20"/>
        </w:rPr>
        <w:t xml:space="preserve"> </w:t>
      </w:r>
      <w:r w:rsidRPr="000977F7">
        <w:rPr>
          <w:rFonts w:asciiTheme="majorHAnsi" w:hAnsiTheme="majorHAnsi"/>
          <w:sz w:val="20"/>
          <w:szCs w:val="20"/>
        </w:rPr>
        <w:t>зв’язку з придбанням продукції, сервісу, а також щодо</w:t>
      </w:r>
      <w:r w:rsidRPr="000977F7">
        <w:rPr>
          <w:rFonts w:asciiTheme="majorHAnsi" w:hAnsiTheme="majorHAnsi"/>
          <w:spacing w:val="-47"/>
          <w:sz w:val="20"/>
          <w:szCs w:val="20"/>
        </w:rPr>
        <w:t xml:space="preserve"> </w:t>
      </w:r>
      <w:r w:rsidRPr="000977F7">
        <w:rPr>
          <w:rFonts w:asciiTheme="majorHAnsi" w:hAnsiTheme="majorHAnsi"/>
          <w:spacing w:val="-2"/>
          <w:sz w:val="20"/>
          <w:szCs w:val="20"/>
        </w:rPr>
        <w:t xml:space="preserve">надійності саме виробника, </w:t>
      </w:r>
      <w:r w:rsidRPr="000977F7">
        <w:rPr>
          <w:rFonts w:asciiTheme="majorHAnsi" w:hAnsiTheme="majorHAnsi"/>
          <w:spacing w:val="-1"/>
          <w:sz w:val="20"/>
          <w:szCs w:val="20"/>
        </w:rPr>
        <w:t>його репутації та досягнень</w:t>
      </w:r>
      <w:r w:rsidRPr="000977F7">
        <w:rPr>
          <w:rFonts w:asciiTheme="majorHAnsi" w:hAnsiTheme="majorHAnsi"/>
          <w:spacing w:val="-47"/>
          <w:sz w:val="20"/>
          <w:szCs w:val="20"/>
        </w:rPr>
        <w:t xml:space="preserve"> </w:t>
      </w:r>
    </w:p>
    <w:p w14:paraId="6A3A3BB7"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3294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5711DD1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ФОРМУЛЯР</w:t>
      </w:r>
      <w:r w:rsidRPr="000977F7">
        <w:rPr>
          <w:color w:val="auto"/>
          <w:spacing w:val="-3"/>
          <w:sz w:val="20"/>
          <w:szCs w:val="20"/>
        </w:rPr>
        <w:t xml:space="preserve"> </w:t>
      </w:r>
      <w:r w:rsidRPr="000977F7">
        <w:rPr>
          <w:color w:val="auto"/>
          <w:sz w:val="20"/>
          <w:szCs w:val="20"/>
        </w:rPr>
        <w:t>–</w:t>
      </w:r>
    </w:p>
    <w:p w14:paraId="635C4EC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Експлуатаційний документ, який засвідчує гарантовані</w:t>
      </w:r>
      <w:r w:rsidRPr="000977F7">
        <w:rPr>
          <w:rFonts w:asciiTheme="majorHAnsi" w:hAnsiTheme="majorHAnsi"/>
          <w:spacing w:val="27"/>
          <w:sz w:val="20"/>
          <w:szCs w:val="20"/>
        </w:rPr>
        <w:t xml:space="preserve"> </w:t>
      </w:r>
      <w:r w:rsidRPr="000977F7">
        <w:rPr>
          <w:rFonts w:asciiTheme="majorHAnsi" w:hAnsiTheme="majorHAnsi"/>
          <w:sz w:val="20"/>
          <w:szCs w:val="20"/>
        </w:rPr>
        <w:t>підприємством</w:t>
      </w:r>
      <w:r w:rsidRPr="000977F7">
        <w:rPr>
          <w:rFonts w:asciiTheme="majorHAnsi" w:hAnsiTheme="majorHAnsi"/>
          <w:spacing w:val="29"/>
          <w:sz w:val="20"/>
          <w:szCs w:val="20"/>
        </w:rPr>
        <w:t xml:space="preserve"> </w:t>
      </w:r>
      <w:r w:rsidRPr="000977F7">
        <w:rPr>
          <w:rFonts w:asciiTheme="majorHAnsi" w:hAnsiTheme="majorHAnsi"/>
          <w:sz w:val="20"/>
          <w:szCs w:val="20"/>
        </w:rPr>
        <w:t>–</w:t>
      </w:r>
      <w:r w:rsidRPr="000977F7">
        <w:rPr>
          <w:rFonts w:asciiTheme="majorHAnsi" w:hAnsiTheme="majorHAnsi"/>
          <w:spacing w:val="28"/>
          <w:sz w:val="20"/>
          <w:szCs w:val="20"/>
        </w:rPr>
        <w:t xml:space="preserve"> </w:t>
      </w:r>
      <w:r w:rsidRPr="000977F7">
        <w:rPr>
          <w:rFonts w:asciiTheme="majorHAnsi" w:hAnsiTheme="majorHAnsi"/>
          <w:sz w:val="20"/>
          <w:szCs w:val="20"/>
        </w:rPr>
        <w:t>виробником</w:t>
      </w:r>
      <w:r w:rsidRPr="000977F7">
        <w:rPr>
          <w:rFonts w:asciiTheme="majorHAnsi" w:hAnsiTheme="majorHAnsi"/>
          <w:spacing w:val="28"/>
          <w:sz w:val="20"/>
          <w:szCs w:val="20"/>
        </w:rPr>
        <w:t xml:space="preserve"> </w:t>
      </w:r>
      <w:r w:rsidRPr="000977F7">
        <w:rPr>
          <w:rFonts w:asciiTheme="majorHAnsi" w:hAnsiTheme="majorHAnsi"/>
          <w:sz w:val="20"/>
          <w:szCs w:val="20"/>
        </w:rPr>
        <w:t>основні</w:t>
      </w:r>
      <w:r w:rsidRPr="000977F7">
        <w:rPr>
          <w:rFonts w:asciiTheme="majorHAnsi" w:hAnsiTheme="majorHAnsi"/>
          <w:spacing w:val="29"/>
          <w:sz w:val="20"/>
          <w:szCs w:val="20"/>
        </w:rPr>
        <w:t xml:space="preserve"> </w:t>
      </w:r>
      <w:r w:rsidRPr="000977F7">
        <w:rPr>
          <w:rFonts w:asciiTheme="majorHAnsi" w:hAnsiTheme="majorHAnsi"/>
          <w:sz w:val="20"/>
          <w:szCs w:val="20"/>
        </w:rPr>
        <w:t>параметри і технічні характеристики виробу і містить відомості з</w:t>
      </w:r>
      <w:r w:rsidRPr="000977F7">
        <w:rPr>
          <w:rFonts w:asciiTheme="majorHAnsi" w:hAnsiTheme="majorHAnsi"/>
          <w:spacing w:val="1"/>
          <w:sz w:val="20"/>
          <w:szCs w:val="20"/>
        </w:rPr>
        <w:t xml:space="preserve"> </w:t>
      </w:r>
      <w:r w:rsidRPr="000977F7">
        <w:rPr>
          <w:rFonts w:asciiTheme="majorHAnsi" w:hAnsiTheme="majorHAnsi"/>
          <w:sz w:val="20"/>
          <w:szCs w:val="20"/>
        </w:rPr>
        <w:t>його експлуатації</w:t>
      </w:r>
    </w:p>
    <w:p w14:paraId="6747907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3F7F2E4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ФОТОДЕТЕКТОРНИЙ</w:t>
      </w:r>
      <w:r w:rsidRPr="000977F7">
        <w:rPr>
          <w:color w:val="auto"/>
          <w:spacing w:val="-4"/>
          <w:sz w:val="20"/>
          <w:szCs w:val="20"/>
        </w:rPr>
        <w:t xml:space="preserve"> </w:t>
      </w:r>
      <w:r w:rsidRPr="000977F7">
        <w:rPr>
          <w:color w:val="auto"/>
          <w:sz w:val="20"/>
          <w:szCs w:val="20"/>
        </w:rPr>
        <w:t>МЕТОД</w:t>
      </w:r>
      <w:r w:rsidRPr="000977F7">
        <w:rPr>
          <w:color w:val="auto"/>
          <w:spacing w:val="-1"/>
          <w:sz w:val="20"/>
          <w:szCs w:val="20"/>
        </w:rPr>
        <w:t xml:space="preserve"> </w:t>
      </w:r>
      <w:r w:rsidRPr="000977F7">
        <w:rPr>
          <w:color w:val="auto"/>
          <w:sz w:val="20"/>
          <w:szCs w:val="20"/>
        </w:rPr>
        <w:t>–</w:t>
      </w:r>
    </w:p>
    <w:p w14:paraId="0D203BD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реєстрації</w:t>
      </w:r>
      <w:r w:rsidRPr="000977F7">
        <w:rPr>
          <w:rFonts w:asciiTheme="majorHAnsi" w:hAnsiTheme="majorHAnsi"/>
          <w:spacing w:val="1"/>
          <w:sz w:val="20"/>
          <w:szCs w:val="20"/>
        </w:rPr>
        <w:t xml:space="preserve"> </w:t>
      </w:r>
      <w:r w:rsidRPr="000977F7">
        <w:rPr>
          <w:rFonts w:asciiTheme="majorHAnsi" w:hAnsiTheme="majorHAnsi"/>
          <w:sz w:val="20"/>
          <w:szCs w:val="20"/>
        </w:rPr>
        <w:t>енергії</w:t>
      </w:r>
      <w:r w:rsidRPr="000977F7">
        <w:rPr>
          <w:rFonts w:asciiTheme="majorHAnsi" w:hAnsiTheme="majorHAnsi"/>
          <w:spacing w:val="1"/>
          <w:sz w:val="20"/>
          <w:szCs w:val="20"/>
        </w:rPr>
        <w:t xml:space="preserve"> </w:t>
      </w:r>
      <w:r w:rsidRPr="000977F7">
        <w:rPr>
          <w:rFonts w:asciiTheme="majorHAnsi" w:hAnsiTheme="majorHAnsi"/>
          <w:sz w:val="20"/>
          <w:szCs w:val="20"/>
        </w:rPr>
        <w:t>електромагнітного</w:t>
      </w:r>
      <w:r w:rsidRPr="000977F7">
        <w:rPr>
          <w:rFonts w:asciiTheme="majorHAnsi" w:hAnsiTheme="majorHAnsi"/>
          <w:spacing w:val="1"/>
          <w:sz w:val="20"/>
          <w:szCs w:val="20"/>
        </w:rPr>
        <w:t xml:space="preserve"> </w:t>
      </w:r>
      <w:r w:rsidRPr="000977F7">
        <w:rPr>
          <w:rFonts w:asciiTheme="majorHAnsi" w:hAnsiTheme="majorHAnsi"/>
          <w:sz w:val="20"/>
          <w:szCs w:val="20"/>
        </w:rPr>
        <w:t>випромінення,</w:t>
      </w:r>
      <w:r w:rsidRPr="000977F7">
        <w:rPr>
          <w:rFonts w:asciiTheme="majorHAnsi" w:hAnsiTheme="majorHAnsi"/>
          <w:spacing w:val="1"/>
          <w:sz w:val="20"/>
          <w:szCs w:val="20"/>
        </w:rPr>
        <w:t xml:space="preserve"> </w:t>
      </w:r>
      <w:r w:rsidRPr="000977F7">
        <w:rPr>
          <w:rFonts w:asciiTheme="majorHAnsi" w:hAnsiTheme="majorHAnsi"/>
          <w:sz w:val="20"/>
          <w:szCs w:val="20"/>
        </w:rPr>
        <w:t>яке взаємодіє з контрольованим об’єктом, за допомогою</w:t>
      </w:r>
      <w:r w:rsidRPr="000977F7">
        <w:rPr>
          <w:rFonts w:asciiTheme="majorHAnsi" w:hAnsiTheme="majorHAnsi"/>
          <w:spacing w:val="-1"/>
          <w:sz w:val="20"/>
          <w:szCs w:val="20"/>
        </w:rPr>
        <w:t xml:space="preserve"> </w:t>
      </w:r>
      <w:r w:rsidRPr="000977F7">
        <w:rPr>
          <w:rFonts w:asciiTheme="majorHAnsi" w:hAnsiTheme="majorHAnsi"/>
          <w:sz w:val="20"/>
          <w:szCs w:val="20"/>
        </w:rPr>
        <w:t>фотодіодів</w:t>
      </w:r>
    </w:p>
    <w:p w14:paraId="28A4178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A272B8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ФОТОДУБЛІКАТ</w:t>
      </w:r>
      <w:r w:rsidRPr="000977F7">
        <w:rPr>
          <w:color w:val="auto"/>
          <w:spacing w:val="-4"/>
          <w:sz w:val="20"/>
          <w:szCs w:val="20"/>
        </w:rPr>
        <w:t xml:space="preserve"> </w:t>
      </w:r>
      <w:r w:rsidRPr="000977F7">
        <w:rPr>
          <w:color w:val="auto"/>
          <w:sz w:val="20"/>
          <w:szCs w:val="20"/>
        </w:rPr>
        <w:t>–</w:t>
      </w:r>
    </w:p>
    <w:p w14:paraId="0BBE78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Дублікат конструкторського документа виконаний на</w:t>
      </w:r>
      <w:r w:rsidRPr="000977F7">
        <w:rPr>
          <w:rFonts w:asciiTheme="majorHAnsi" w:hAnsiTheme="majorHAnsi"/>
          <w:spacing w:val="1"/>
          <w:sz w:val="20"/>
          <w:szCs w:val="20"/>
        </w:rPr>
        <w:t xml:space="preserve"> </w:t>
      </w:r>
      <w:r w:rsidRPr="000977F7">
        <w:rPr>
          <w:rFonts w:asciiTheme="majorHAnsi" w:hAnsiTheme="majorHAnsi"/>
          <w:sz w:val="20"/>
          <w:szCs w:val="20"/>
        </w:rPr>
        <w:t>фотокальці</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фототехнічній</w:t>
      </w:r>
      <w:r w:rsidRPr="000977F7">
        <w:rPr>
          <w:rFonts w:asciiTheme="majorHAnsi" w:hAnsiTheme="majorHAnsi"/>
          <w:spacing w:val="1"/>
          <w:sz w:val="20"/>
          <w:szCs w:val="20"/>
        </w:rPr>
        <w:t xml:space="preserve"> </w:t>
      </w:r>
      <w:r w:rsidRPr="000977F7">
        <w:rPr>
          <w:rFonts w:asciiTheme="majorHAnsi" w:hAnsiTheme="majorHAnsi"/>
          <w:sz w:val="20"/>
          <w:szCs w:val="20"/>
        </w:rPr>
        <w:t>плівці</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позитивному</w:t>
      </w:r>
      <w:r w:rsidRPr="000977F7">
        <w:rPr>
          <w:rFonts w:asciiTheme="majorHAnsi" w:hAnsiTheme="majorHAnsi"/>
          <w:spacing w:val="1"/>
          <w:sz w:val="20"/>
          <w:szCs w:val="20"/>
        </w:rPr>
        <w:t xml:space="preserve"> </w:t>
      </w:r>
      <w:r w:rsidRPr="000977F7">
        <w:rPr>
          <w:rFonts w:asciiTheme="majorHAnsi" w:hAnsiTheme="majorHAnsi"/>
          <w:sz w:val="20"/>
          <w:szCs w:val="20"/>
        </w:rPr>
        <w:t>зображенні</w:t>
      </w:r>
      <w:r w:rsidRPr="000977F7">
        <w:rPr>
          <w:rFonts w:asciiTheme="majorHAnsi" w:hAnsiTheme="majorHAnsi"/>
          <w:spacing w:val="-2"/>
          <w:sz w:val="20"/>
          <w:szCs w:val="20"/>
        </w:rPr>
        <w:t xml:space="preserve"> </w:t>
      </w:r>
      <w:r w:rsidRPr="000977F7">
        <w:rPr>
          <w:rFonts w:asciiTheme="majorHAnsi" w:hAnsiTheme="majorHAnsi"/>
          <w:sz w:val="20"/>
          <w:szCs w:val="20"/>
        </w:rPr>
        <w:t>й</w:t>
      </w:r>
      <w:r w:rsidRPr="000977F7">
        <w:rPr>
          <w:rFonts w:asciiTheme="majorHAnsi" w:hAnsiTheme="majorHAnsi"/>
          <w:spacing w:val="-1"/>
          <w:sz w:val="20"/>
          <w:szCs w:val="20"/>
        </w:rPr>
        <w:t xml:space="preserve"> </w:t>
      </w:r>
      <w:r w:rsidRPr="000977F7">
        <w:rPr>
          <w:rFonts w:asciiTheme="majorHAnsi" w:hAnsiTheme="majorHAnsi"/>
          <w:sz w:val="20"/>
          <w:szCs w:val="20"/>
        </w:rPr>
        <w:t>масштабі</w:t>
      </w:r>
      <w:r w:rsidRPr="000977F7">
        <w:rPr>
          <w:rFonts w:asciiTheme="majorHAnsi" w:hAnsiTheme="majorHAnsi"/>
          <w:spacing w:val="-1"/>
          <w:sz w:val="20"/>
          <w:szCs w:val="20"/>
        </w:rPr>
        <w:t xml:space="preserve"> </w:t>
      </w:r>
      <w:r w:rsidRPr="000977F7">
        <w:rPr>
          <w:rFonts w:asciiTheme="majorHAnsi" w:hAnsiTheme="majorHAnsi"/>
          <w:sz w:val="20"/>
          <w:szCs w:val="20"/>
        </w:rPr>
        <w:t>правдника</w:t>
      </w:r>
    </w:p>
    <w:p w14:paraId="252A030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57C3421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ФОТОКРЕСЛЕННЯ</w:t>
      </w:r>
      <w:r w:rsidRPr="000977F7">
        <w:rPr>
          <w:color w:val="auto"/>
          <w:spacing w:val="-4"/>
          <w:sz w:val="20"/>
          <w:szCs w:val="20"/>
        </w:rPr>
        <w:t xml:space="preserve"> </w:t>
      </w:r>
      <w:r w:rsidRPr="000977F7">
        <w:rPr>
          <w:color w:val="auto"/>
          <w:sz w:val="20"/>
          <w:szCs w:val="20"/>
        </w:rPr>
        <w:t>–</w:t>
      </w:r>
    </w:p>
    <w:p w14:paraId="78CB53A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Креслення, яке являє собою фотографічне зображення</w:t>
      </w:r>
      <w:r w:rsidRPr="000977F7">
        <w:rPr>
          <w:rFonts w:asciiTheme="majorHAnsi" w:hAnsiTheme="majorHAnsi"/>
          <w:spacing w:val="-47"/>
          <w:sz w:val="20"/>
          <w:szCs w:val="20"/>
        </w:rPr>
        <w:t xml:space="preserve"> </w:t>
      </w:r>
      <w:r w:rsidRPr="000977F7">
        <w:rPr>
          <w:rFonts w:asciiTheme="majorHAnsi" w:hAnsiTheme="majorHAnsi"/>
          <w:sz w:val="20"/>
          <w:szCs w:val="20"/>
        </w:rPr>
        <w:t>макета чи моделі виробу із зазначенням даних, необхідних</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його проектування</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складання</w:t>
      </w:r>
    </w:p>
    <w:p w14:paraId="2B56268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3321</w:t>
      </w:r>
      <w:r w:rsidRPr="000977F7">
        <w:rPr>
          <w:rFonts w:asciiTheme="majorHAnsi" w:hAnsiTheme="majorHAnsi"/>
          <w:i/>
          <w:spacing w:val="1"/>
          <w:sz w:val="20"/>
          <w:szCs w:val="20"/>
        </w:rPr>
        <w:t xml:space="preserve"> </w:t>
      </w:r>
      <w:r w:rsidRPr="000977F7">
        <w:rPr>
          <w:rFonts w:asciiTheme="majorHAnsi" w:hAnsiTheme="majorHAnsi"/>
          <w:i/>
          <w:sz w:val="20"/>
          <w:szCs w:val="20"/>
        </w:rPr>
        <w:t>– 2003</w:t>
      </w:r>
    </w:p>
    <w:p w14:paraId="2312089A"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ФОТОШАБЛОН</w:t>
      </w:r>
      <w:r w:rsidRPr="000977F7">
        <w:rPr>
          <w:color w:val="auto"/>
          <w:spacing w:val="-13"/>
          <w:sz w:val="20"/>
          <w:szCs w:val="20"/>
        </w:rPr>
        <w:t xml:space="preserve"> </w:t>
      </w:r>
      <w:r w:rsidRPr="000977F7">
        <w:rPr>
          <w:color w:val="auto"/>
          <w:sz w:val="20"/>
          <w:szCs w:val="20"/>
        </w:rPr>
        <w:t>ШТРИХКОДОВОЇ</w:t>
      </w:r>
      <w:r w:rsidRPr="000977F7">
        <w:rPr>
          <w:color w:val="auto"/>
          <w:spacing w:val="-47"/>
          <w:sz w:val="20"/>
          <w:szCs w:val="20"/>
        </w:rPr>
        <w:t xml:space="preserve"> </w:t>
      </w:r>
      <w:r w:rsidRPr="000977F7">
        <w:rPr>
          <w:color w:val="auto"/>
          <w:sz w:val="20"/>
          <w:szCs w:val="20"/>
        </w:rPr>
        <w:t>ПОЗНАЧКИ</w:t>
      </w:r>
      <w:r w:rsidRPr="000977F7">
        <w:rPr>
          <w:color w:val="auto"/>
          <w:spacing w:val="1"/>
          <w:sz w:val="20"/>
          <w:szCs w:val="20"/>
        </w:rPr>
        <w:t xml:space="preserve"> </w:t>
      </w:r>
      <w:r w:rsidRPr="000977F7">
        <w:rPr>
          <w:b w:val="0"/>
          <w:color w:val="auto"/>
          <w:sz w:val="20"/>
          <w:szCs w:val="20"/>
        </w:rPr>
        <w:t>–</w:t>
      </w:r>
    </w:p>
    <w:p w14:paraId="05E0CE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FILM</w:t>
      </w:r>
      <w:r w:rsidRPr="000977F7">
        <w:rPr>
          <w:rFonts w:asciiTheme="majorHAnsi" w:hAnsiTheme="majorHAnsi"/>
          <w:spacing w:val="-2"/>
          <w:sz w:val="20"/>
          <w:szCs w:val="20"/>
        </w:rPr>
        <w:t xml:space="preserve"> </w:t>
      </w:r>
      <w:r w:rsidRPr="000977F7">
        <w:rPr>
          <w:rFonts w:asciiTheme="majorHAnsi" w:hAnsiTheme="majorHAnsi"/>
          <w:sz w:val="20"/>
          <w:szCs w:val="20"/>
        </w:rPr>
        <w:t>MASTER</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C6AFDB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Оригінал плівки з зображенням штрихкодової позначки, призначений для поліграфічного процесу її друкування</w:t>
      </w:r>
    </w:p>
    <w:p w14:paraId="4F9454D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3144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8884DA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ФРАНКО</w:t>
      </w:r>
      <w:r w:rsidRPr="000977F7">
        <w:rPr>
          <w:color w:val="auto"/>
          <w:spacing w:val="-3"/>
          <w:sz w:val="20"/>
          <w:szCs w:val="20"/>
        </w:rPr>
        <w:t xml:space="preserve"> </w:t>
      </w:r>
      <w:r w:rsidRPr="000977F7">
        <w:rPr>
          <w:color w:val="auto"/>
          <w:sz w:val="20"/>
          <w:szCs w:val="20"/>
        </w:rPr>
        <w:t>–</w:t>
      </w:r>
    </w:p>
    <w:p w14:paraId="7018797A" w14:textId="77777777" w:rsidR="0097612F" w:rsidRPr="000977F7" w:rsidRDefault="0097612F" w:rsidP="000977F7">
      <w:pPr>
        <w:pStyle w:val="af6"/>
        <w:tabs>
          <w:tab w:val="left" w:pos="284"/>
        </w:tabs>
        <w:spacing w:after="0"/>
        <w:ind w:left="170"/>
        <w:mirrorIndents/>
        <w:jc w:val="both"/>
        <w:rPr>
          <w:rFonts w:asciiTheme="majorHAnsi" w:hAnsiTheme="majorHAnsi"/>
          <w:spacing w:val="-7"/>
          <w:sz w:val="20"/>
          <w:szCs w:val="20"/>
        </w:rPr>
      </w:pPr>
      <w:r w:rsidRPr="000977F7">
        <w:rPr>
          <w:rFonts w:asciiTheme="majorHAnsi" w:hAnsiTheme="majorHAnsi"/>
          <w:spacing w:val="-8"/>
          <w:sz w:val="20"/>
          <w:szCs w:val="20"/>
        </w:rPr>
        <w:t>Позначення</w:t>
      </w:r>
      <w:r w:rsidRPr="000977F7">
        <w:rPr>
          <w:rFonts w:asciiTheme="majorHAnsi" w:hAnsiTheme="majorHAnsi"/>
          <w:spacing w:val="-4"/>
          <w:sz w:val="20"/>
          <w:szCs w:val="20"/>
        </w:rPr>
        <w:t xml:space="preserve"> </w:t>
      </w:r>
      <w:r w:rsidRPr="000977F7">
        <w:rPr>
          <w:rFonts w:asciiTheme="majorHAnsi" w:hAnsiTheme="majorHAnsi"/>
          <w:spacing w:val="-7"/>
          <w:sz w:val="20"/>
          <w:szCs w:val="20"/>
        </w:rPr>
        <w:t>порядку</w:t>
      </w:r>
      <w:r w:rsidRPr="000977F7">
        <w:rPr>
          <w:rFonts w:asciiTheme="majorHAnsi" w:hAnsiTheme="majorHAnsi"/>
          <w:spacing w:val="-8"/>
          <w:sz w:val="20"/>
          <w:szCs w:val="20"/>
        </w:rPr>
        <w:t xml:space="preserve"> </w:t>
      </w:r>
      <w:r w:rsidRPr="000977F7">
        <w:rPr>
          <w:rFonts w:asciiTheme="majorHAnsi" w:hAnsiTheme="majorHAnsi"/>
          <w:spacing w:val="-7"/>
          <w:sz w:val="20"/>
          <w:szCs w:val="20"/>
        </w:rPr>
        <w:t>відшкодування</w:t>
      </w:r>
      <w:r w:rsidRPr="000977F7">
        <w:rPr>
          <w:rFonts w:asciiTheme="majorHAnsi" w:hAnsiTheme="majorHAnsi"/>
          <w:spacing w:val="-4"/>
          <w:sz w:val="20"/>
          <w:szCs w:val="20"/>
        </w:rPr>
        <w:t xml:space="preserve"> </w:t>
      </w:r>
      <w:r w:rsidRPr="000977F7">
        <w:rPr>
          <w:rFonts w:asciiTheme="majorHAnsi" w:hAnsiTheme="majorHAnsi"/>
          <w:spacing w:val="-7"/>
          <w:sz w:val="20"/>
          <w:szCs w:val="20"/>
        </w:rPr>
        <w:t>та</w:t>
      </w:r>
      <w:r w:rsidRPr="000977F7">
        <w:rPr>
          <w:rFonts w:asciiTheme="majorHAnsi" w:hAnsiTheme="majorHAnsi"/>
          <w:spacing w:val="-4"/>
          <w:sz w:val="20"/>
          <w:szCs w:val="20"/>
        </w:rPr>
        <w:t xml:space="preserve"> </w:t>
      </w:r>
      <w:r w:rsidRPr="000977F7">
        <w:rPr>
          <w:rFonts w:asciiTheme="majorHAnsi" w:hAnsiTheme="majorHAnsi"/>
          <w:spacing w:val="-7"/>
          <w:sz w:val="20"/>
          <w:szCs w:val="20"/>
        </w:rPr>
        <w:t>обліку в</w:t>
      </w:r>
      <w:r w:rsidRPr="000977F7">
        <w:rPr>
          <w:rFonts w:asciiTheme="majorHAnsi" w:hAnsiTheme="majorHAnsi"/>
          <w:spacing w:val="-2"/>
          <w:sz w:val="20"/>
          <w:szCs w:val="20"/>
        </w:rPr>
        <w:t xml:space="preserve"> </w:t>
      </w:r>
      <w:r w:rsidRPr="000977F7">
        <w:rPr>
          <w:rFonts w:asciiTheme="majorHAnsi" w:hAnsiTheme="majorHAnsi"/>
          <w:spacing w:val="-7"/>
          <w:sz w:val="20"/>
          <w:szCs w:val="20"/>
        </w:rPr>
        <w:t>ціні</w:t>
      </w:r>
      <w:r w:rsidRPr="000977F7">
        <w:rPr>
          <w:rFonts w:asciiTheme="majorHAnsi" w:hAnsiTheme="majorHAnsi"/>
          <w:spacing w:val="-4"/>
          <w:sz w:val="20"/>
          <w:szCs w:val="20"/>
        </w:rPr>
        <w:t xml:space="preserve"> </w:t>
      </w:r>
      <w:r w:rsidRPr="000977F7">
        <w:rPr>
          <w:rFonts w:asciiTheme="majorHAnsi" w:hAnsiTheme="majorHAnsi"/>
          <w:spacing w:val="-7"/>
          <w:sz w:val="20"/>
          <w:szCs w:val="20"/>
        </w:rPr>
        <w:t>транс</w:t>
      </w:r>
      <w:r w:rsidRPr="000977F7">
        <w:rPr>
          <w:rFonts w:asciiTheme="majorHAnsi" w:hAnsiTheme="majorHAnsi"/>
          <w:spacing w:val="-8"/>
          <w:sz w:val="20"/>
          <w:szCs w:val="20"/>
        </w:rPr>
        <w:t xml:space="preserve">портних витрат щодо доставлення </w:t>
      </w:r>
      <w:r w:rsidRPr="000977F7">
        <w:rPr>
          <w:rFonts w:asciiTheme="majorHAnsi" w:hAnsiTheme="majorHAnsi"/>
          <w:spacing w:val="-7"/>
          <w:sz w:val="20"/>
          <w:szCs w:val="20"/>
        </w:rPr>
        <w:t>продукції споживачеві</w:t>
      </w:r>
    </w:p>
    <w:p w14:paraId="75F92DC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35E6A9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ФРАХТ</w:t>
      </w:r>
      <w:r w:rsidRPr="000977F7">
        <w:rPr>
          <w:color w:val="auto"/>
          <w:spacing w:val="-3"/>
          <w:sz w:val="20"/>
          <w:szCs w:val="20"/>
        </w:rPr>
        <w:t xml:space="preserve"> </w:t>
      </w:r>
      <w:r w:rsidRPr="000977F7">
        <w:rPr>
          <w:color w:val="auto"/>
          <w:sz w:val="20"/>
          <w:szCs w:val="20"/>
        </w:rPr>
        <w:t>–</w:t>
      </w:r>
    </w:p>
    <w:p w14:paraId="082BCBF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Платня власнику транспортних засобів за перевезення</w:t>
      </w:r>
      <w:r w:rsidRPr="000977F7">
        <w:rPr>
          <w:rFonts w:asciiTheme="majorHAnsi" w:hAnsiTheme="majorHAnsi"/>
          <w:spacing w:val="-47"/>
          <w:sz w:val="20"/>
          <w:szCs w:val="20"/>
        </w:rPr>
        <w:t xml:space="preserve"> </w:t>
      </w:r>
      <w:r w:rsidRPr="000977F7">
        <w:rPr>
          <w:rFonts w:asciiTheme="majorHAnsi" w:hAnsiTheme="majorHAnsi"/>
          <w:sz w:val="20"/>
          <w:szCs w:val="20"/>
        </w:rPr>
        <w:t>вантажів або пасажирів, а також за навантаження та</w:t>
      </w:r>
      <w:r w:rsidRPr="000977F7">
        <w:rPr>
          <w:rFonts w:asciiTheme="majorHAnsi" w:hAnsiTheme="majorHAnsi"/>
          <w:spacing w:val="1"/>
          <w:sz w:val="20"/>
          <w:szCs w:val="20"/>
        </w:rPr>
        <w:t xml:space="preserve"> </w:t>
      </w:r>
      <w:r w:rsidRPr="000977F7">
        <w:rPr>
          <w:rFonts w:asciiTheme="majorHAnsi" w:hAnsiTheme="majorHAnsi"/>
          <w:sz w:val="20"/>
          <w:szCs w:val="20"/>
        </w:rPr>
        <w:t>вивантаження</w:t>
      </w:r>
    </w:p>
    <w:p w14:paraId="133D9E7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DF5619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ФРАХТУВАННЯ</w:t>
      </w:r>
      <w:r w:rsidRPr="000977F7">
        <w:rPr>
          <w:color w:val="auto"/>
          <w:spacing w:val="-3"/>
          <w:sz w:val="20"/>
          <w:szCs w:val="20"/>
        </w:rPr>
        <w:t xml:space="preserve"> </w:t>
      </w:r>
      <w:r w:rsidRPr="000977F7">
        <w:rPr>
          <w:color w:val="auto"/>
          <w:sz w:val="20"/>
          <w:szCs w:val="20"/>
        </w:rPr>
        <w:t>–</w:t>
      </w:r>
    </w:p>
    <w:p w14:paraId="09AD01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Угода про наймання судна для виконання рейсу або</w:t>
      </w:r>
      <w:r w:rsidRPr="000977F7">
        <w:rPr>
          <w:rFonts w:asciiTheme="majorHAnsi" w:hAnsiTheme="majorHAnsi"/>
          <w:spacing w:val="1"/>
          <w:sz w:val="20"/>
          <w:szCs w:val="20"/>
        </w:rPr>
        <w:t xml:space="preserve"> </w:t>
      </w:r>
      <w:r w:rsidRPr="000977F7">
        <w:rPr>
          <w:rFonts w:asciiTheme="majorHAnsi" w:hAnsiTheme="majorHAnsi"/>
          <w:sz w:val="20"/>
          <w:szCs w:val="20"/>
        </w:rPr>
        <w:t>ряду</w:t>
      </w:r>
      <w:r w:rsidRPr="000977F7">
        <w:rPr>
          <w:rFonts w:asciiTheme="majorHAnsi" w:hAnsiTheme="majorHAnsi"/>
          <w:spacing w:val="-5"/>
          <w:sz w:val="20"/>
          <w:szCs w:val="20"/>
        </w:rPr>
        <w:t xml:space="preserve"> </w:t>
      </w:r>
      <w:r w:rsidRPr="000977F7">
        <w:rPr>
          <w:rFonts w:asciiTheme="majorHAnsi" w:hAnsiTheme="majorHAnsi"/>
          <w:sz w:val="20"/>
          <w:szCs w:val="20"/>
        </w:rPr>
        <w:t>рейсів</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на обумовлений період</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4D12B460"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3293</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619E93F9"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1"/>
          <w:sz w:val="20"/>
          <w:szCs w:val="20"/>
          <w:lang w:val="en-US"/>
        </w:rPr>
      </w:pPr>
      <w:r w:rsidRPr="000977F7">
        <w:rPr>
          <w:rFonts w:asciiTheme="majorHAnsi" w:hAnsiTheme="majorHAnsi"/>
          <w:b/>
          <w:sz w:val="20"/>
          <w:szCs w:val="20"/>
        </w:rPr>
        <w:t>ФРЕТИНГ</w:t>
      </w:r>
      <w:r w:rsidRPr="004D2D14">
        <w:rPr>
          <w:rFonts w:asciiTheme="majorHAnsi" w:hAnsiTheme="majorHAnsi"/>
          <w:b/>
          <w:sz w:val="20"/>
          <w:szCs w:val="20"/>
          <w:lang w:val="en-US"/>
        </w:rPr>
        <w:t>-</w:t>
      </w:r>
      <w:r w:rsidRPr="000977F7">
        <w:rPr>
          <w:rFonts w:asciiTheme="majorHAnsi" w:hAnsiTheme="majorHAnsi"/>
          <w:b/>
          <w:sz w:val="20"/>
          <w:szCs w:val="20"/>
        </w:rPr>
        <w:t>ВТОМА</w:t>
      </w:r>
      <w:r w:rsidRPr="004D2D14">
        <w:rPr>
          <w:rFonts w:asciiTheme="majorHAnsi" w:hAnsiTheme="majorHAnsi"/>
          <w:b/>
          <w:sz w:val="20"/>
          <w:szCs w:val="20"/>
          <w:lang w:val="en-US"/>
        </w:rPr>
        <w:t xml:space="preserve"> –</w:t>
      </w:r>
      <w:r w:rsidRPr="004D2D14">
        <w:rPr>
          <w:rFonts w:asciiTheme="majorHAnsi" w:hAnsiTheme="majorHAnsi"/>
          <w:b/>
          <w:spacing w:val="1"/>
          <w:sz w:val="20"/>
          <w:szCs w:val="20"/>
          <w:lang w:val="en-US"/>
        </w:rPr>
        <w:t xml:space="preserve"> </w:t>
      </w:r>
    </w:p>
    <w:p w14:paraId="1B9FB424"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FATIGUE</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FRETTING</w:t>
      </w:r>
      <w:r w:rsidRPr="004D2D14">
        <w:rPr>
          <w:rFonts w:asciiTheme="majorHAnsi" w:hAnsiTheme="majorHAnsi"/>
          <w:spacing w:val="-5"/>
          <w:sz w:val="20"/>
          <w:szCs w:val="20"/>
          <w:lang w:val="en-US"/>
        </w:rPr>
        <w:t xml:space="preserve"> </w:t>
      </w:r>
      <w:r w:rsidRPr="004D2D14">
        <w:rPr>
          <w:rFonts w:asciiTheme="majorHAnsi" w:hAnsiTheme="majorHAnsi"/>
          <w:sz w:val="20"/>
          <w:szCs w:val="20"/>
          <w:lang w:val="en-US"/>
        </w:rPr>
        <w:t>–</w:t>
      </w:r>
    </w:p>
    <w:p w14:paraId="58CE8625" w14:textId="77777777" w:rsidR="0097612F" w:rsidRPr="004D2D14" w:rsidRDefault="0097612F" w:rsidP="000977F7">
      <w:pPr>
        <w:pStyle w:val="af6"/>
        <w:tabs>
          <w:tab w:val="left" w:pos="284"/>
        </w:tabs>
        <w:spacing w:after="0"/>
        <w:ind w:left="170"/>
        <w:mirrorIndents/>
        <w:jc w:val="both"/>
        <w:rPr>
          <w:rFonts w:asciiTheme="majorHAnsi" w:hAnsiTheme="majorHAnsi"/>
          <w:spacing w:val="-2"/>
          <w:sz w:val="20"/>
          <w:szCs w:val="20"/>
          <w:lang w:val="en-US"/>
        </w:rPr>
      </w:pPr>
      <w:r w:rsidRPr="000977F7">
        <w:rPr>
          <w:rFonts w:asciiTheme="majorHAnsi" w:hAnsiTheme="majorHAnsi"/>
          <w:sz w:val="20"/>
          <w:szCs w:val="20"/>
        </w:rPr>
        <w:t>Процес</w:t>
      </w:r>
      <w:r w:rsidRPr="004D2D14">
        <w:rPr>
          <w:rFonts w:asciiTheme="majorHAnsi" w:hAnsiTheme="majorHAnsi"/>
          <w:spacing w:val="28"/>
          <w:sz w:val="20"/>
          <w:szCs w:val="20"/>
          <w:lang w:val="en-US"/>
        </w:rPr>
        <w:t xml:space="preserve"> </w:t>
      </w:r>
      <w:r w:rsidRPr="000977F7">
        <w:rPr>
          <w:rFonts w:asciiTheme="majorHAnsi" w:hAnsiTheme="majorHAnsi"/>
          <w:sz w:val="20"/>
          <w:szCs w:val="20"/>
        </w:rPr>
        <w:t>накопичування</w:t>
      </w:r>
      <w:r w:rsidRPr="004D2D14">
        <w:rPr>
          <w:rFonts w:asciiTheme="majorHAnsi" w:hAnsiTheme="majorHAnsi"/>
          <w:spacing w:val="28"/>
          <w:sz w:val="20"/>
          <w:szCs w:val="20"/>
          <w:lang w:val="en-US"/>
        </w:rPr>
        <w:t xml:space="preserve"> </w:t>
      </w:r>
      <w:r w:rsidRPr="000977F7">
        <w:rPr>
          <w:rFonts w:asciiTheme="majorHAnsi" w:hAnsiTheme="majorHAnsi"/>
          <w:sz w:val="20"/>
          <w:szCs w:val="20"/>
        </w:rPr>
        <w:t>пошкоджень</w:t>
      </w:r>
      <w:r w:rsidRPr="004D2D14">
        <w:rPr>
          <w:rFonts w:asciiTheme="majorHAnsi" w:hAnsiTheme="majorHAnsi"/>
          <w:spacing w:val="28"/>
          <w:sz w:val="20"/>
          <w:szCs w:val="20"/>
          <w:lang w:val="en-US"/>
        </w:rPr>
        <w:t xml:space="preserve"> </w:t>
      </w:r>
      <w:r w:rsidRPr="000977F7">
        <w:rPr>
          <w:rFonts w:asciiTheme="majorHAnsi" w:hAnsiTheme="majorHAnsi"/>
          <w:sz w:val="20"/>
          <w:szCs w:val="20"/>
        </w:rPr>
        <w:t>та</w:t>
      </w:r>
      <w:r w:rsidRPr="004D2D14">
        <w:rPr>
          <w:rFonts w:asciiTheme="majorHAnsi" w:hAnsiTheme="majorHAnsi"/>
          <w:spacing w:val="29"/>
          <w:sz w:val="20"/>
          <w:szCs w:val="20"/>
          <w:lang w:val="en-US"/>
        </w:rPr>
        <w:t xml:space="preserve"> </w:t>
      </w:r>
      <w:r w:rsidRPr="000977F7">
        <w:rPr>
          <w:rFonts w:asciiTheme="majorHAnsi" w:hAnsiTheme="majorHAnsi"/>
          <w:sz w:val="20"/>
          <w:szCs w:val="20"/>
        </w:rPr>
        <w:t>спрацьовання</w:t>
      </w:r>
      <w:r w:rsidRPr="004D2D14">
        <w:rPr>
          <w:rFonts w:asciiTheme="majorHAnsi" w:hAnsiTheme="majorHAnsi"/>
          <w:spacing w:val="-47"/>
          <w:sz w:val="20"/>
          <w:szCs w:val="20"/>
          <w:lang w:val="en-US"/>
        </w:rPr>
        <w:t xml:space="preserve"> </w:t>
      </w:r>
      <w:r w:rsidRPr="000977F7">
        <w:rPr>
          <w:rFonts w:asciiTheme="majorHAnsi" w:hAnsiTheme="majorHAnsi"/>
          <w:sz w:val="20"/>
          <w:szCs w:val="20"/>
        </w:rPr>
        <w:t>матеріалів</w:t>
      </w:r>
      <w:r w:rsidRPr="004D2D14">
        <w:rPr>
          <w:rFonts w:asciiTheme="majorHAnsi" w:hAnsiTheme="majorHAnsi"/>
          <w:spacing w:val="36"/>
          <w:sz w:val="20"/>
          <w:szCs w:val="20"/>
          <w:lang w:val="en-US"/>
        </w:rPr>
        <w:t xml:space="preserve"> </w:t>
      </w:r>
      <w:r w:rsidRPr="000977F7">
        <w:rPr>
          <w:rFonts w:asciiTheme="majorHAnsi" w:hAnsiTheme="majorHAnsi"/>
          <w:sz w:val="20"/>
          <w:szCs w:val="20"/>
        </w:rPr>
        <w:t>поверхонь</w:t>
      </w:r>
      <w:r w:rsidRPr="004D2D14">
        <w:rPr>
          <w:rFonts w:asciiTheme="majorHAnsi" w:hAnsiTheme="majorHAnsi"/>
          <w:sz w:val="20"/>
          <w:szCs w:val="20"/>
          <w:lang w:val="en-US"/>
        </w:rPr>
        <w:t>,</w:t>
      </w:r>
      <w:r w:rsidRPr="004D2D14">
        <w:rPr>
          <w:rFonts w:asciiTheme="majorHAnsi" w:hAnsiTheme="majorHAnsi"/>
          <w:spacing w:val="38"/>
          <w:sz w:val="20"/>
          <w:szCs w:val="20"/>
          <w:lang w:val="en-US"/>
        </w:rPr>
        <w:t xml:space="preserve"> </w:t>
      </w:r>
      <w:r w:rsidRPr="000977F7">
        <w:rPr>
          <w:rFonts w:asciiTheme="majorHAnsi" w:hAnsiTheme="majorHAnsi"/>
          <w:sz w:val="20"/>
          <w:szCs w:val="20"/>
        </w:rPr>
        <w:t>які</w:t>
      </w:r>
      <w:r w:rsidRPr="004D2D14">
        <w:rPr>
          <w:rFonts w:asciiTheme="majorHAnsi" w:hAnsiTheme="majorHAnsi"/>
          <w:spacing w:val="38"/>
          <w:sz w:val="20"/>
          <w:szCs w:val="20"/>
          <w:lang w:val="en-US"/>
        </w:rPr>
        <w:t xml:space="preserve"> </w:t>
      </w:r>
      <w:r w:rsidRPr="000977F7">
        <w:rPr>
          <w:rFonts w:asciiTheme="majorHAnsi" w:hAnsiTheme="majorHAnsi"/>
          <w:sz w:val="20"/>
          <w:szCs w:val="20"/>
        </w:rPr>
        <w:t>контактують</w:t>
      </w:r>
      <w:r w:rsidRPr="004D2D14">
        <w:rPr>
          <w:rFonts w:asciiTheme="majorHAnsi" w:hAnsiTheme="majorHAnsi"/>
          <w:spacing w:val="37"/>
          <w:sz w:val="20"/>
          <w:szCs w:val="20"/>
          <w:lang w:val="en-US"/>
        </w:rPr>
        <w:t xml:space="preserve"> </w:t>
      </w:r>
      <w:r w:rsidRPr="000977F7">
        <w:rPr>
          <w:rFonts w:asciiTheme="majorHAnsi" w:hAnsiTheme="majorHAnsi"/>
          <w:sz w:val="20"/>
          <w:szCs w:val="20"/>
        </w:rPr>
        <w:t>і</w:t>
      </w:r>
      <w:r w:rsidRPr="004D2D14">
        <w:rPr>
          <w:rFonts w:asciiTheme="majorHAnsi" w:hAnsiTheme="majorHAnsi"/>
          <w:spacing w:val="35"/>
          <w:sz w:val="20"/>
          <w:szCs w:val="20"/>
          <w:lang w:val="en-US"/>
        </w:rPr>
        <w:t xml:space="preserve"> </w:t>
      </w:r>
      <w:r w:rsidRPr="000977F7">
        <w:rPr>
          <w:rFonts w:asciiTheme="majorHAnsi" w:hAnsiTheme="majorHAnsi"/>
          <w:sz w:val="20"/>
          <w:szCs w:val="20"/>
        </w:rPr>
        <w:t>здійснюють</w:t>
      </w:r>
      <w:r w:rsidRPr="004D2D14">
        <w:rPr>
          <w:rFonts w:asciiTheme="majorHAnsi" w:hAnsiTheme="majorHAnsi"/>
          <w:spacing w:val="-47"/>
          <w:sz w:val="20"/>
          <w:szCs w:val="20"/>
          <w:lang w:val="en-US"/>
        </w:rPr>
        <w:t xml:space="preserve"> </w:t>
      </w:r>
      <w:r w:rsidRPr="000977F7">
        <w:rPr>
          <w:rFonts w:asciiTheme="majorHAnsi" w:hAnsiTheme="majorHAnsi"/>
          <w:spacing w:val="-1"/>
          <w:sz w:val="20"/>
          <w:szCs w:val="20"/>
        </w:rPr>
        <w:t>коливальні</w:t>
      </w:r>
      <w:r w:rsidRPr="004D2D14">
        <w:rPr>
          <w:rFonts w:asciiTheme="majorHAnsi" w:hAnsiTheme="majorHAnsi"/>
          <w:spacing w:val="5"/>
          <w:sz w:val="20"/>
          <w:szCs w:val="20"/>
          <w:lang w:val="en-US"/>
        </w:rPr>
        <w:t xml:space="preserve"> </w:t>
      </w:r>
      <w:r w:rsidRPr="000977F7">
        <w:rPr>
          <w:rFonts w:asciiTheme="majorHAnsi" w:hAnsiTheme="majorHAnsi"/>
          <w:spacing w:val="-1"/>
          <w:sz w:val="20"/>
          <w:szCs w:val="20"/>
        </w:rPr>
        <w:t>відносні</w:t>
      </w:r>
      <w:r w:rsidRPr="004D2D14">
        <w:rPr>
          <w:rFonts w:asciiTheme="majorHAnsi" w:hAnsiTheme="majorHAnsi"/>
          <w:spacing w:val="5"/>
          <w:sz w:val="20"/>
          <w:szCs w:val="20"/>
          <w:lang w:val="en-US"/>
        </w:rPr>
        <w:t xml:space="preserve"> </w:t>
      </w:r>
      <w:r w:rsidRPr="000977F7">
        <w:rPr>
          <w:rFonts w:asciiTheme="majorHAnsi" w:hAnsiTheme="majorHAnsi"/>
          <w:spacing w:val="-1"/>
          <w:sz w:val="20"/>
          <w:szCs w:val="20"/>
        </w:rPr>
        <w:t>переміщення</w:t>
      </w:r>
      <w:r w:rsidRPr="004D2D14">
        <w:rPr>
          <w:rFonts w:asciiTheme="majorHAnsi" w:hAnsiTheme="majorHAnsi"/>
          <w:spacing w:val="4"/>
          <w:sz w:val="20"/>
          <w:szCs w:val="20"/>
          <w:lang w:val="en-US"/>
        </w:rPr>
        <w:t xml:space="preserve"> </w:t>
      </w:r>
      <w:r w:rsidRPr="000977F7">
        <w:rPr>
          <w:rFonts w:asciiTheme="majorHAnsi" w:hAnsiTheme="majorHAnsi"/>
          <w:sz w:val="20"/>
          <w:szCs w:val="20"/>
        </w:rPr>
        <w:t>з</w:t>
      </w:r>
      <w:r w:rsidRPr="004D2D14">
        <w:rPr>
          <w:rFonts w:asciiTheme="majorHAnsi" w:hAnsiTheme="majorHAnsi"/>
          <w:spacing w:val="4"/>
          <w:sz w:val="20"/>
          <w:szCs w:val="20"/>
          <w:lang w:val="en-US"/>
        </w:rPr>
        <w:t xml:space="preserve"> </w:t>
      </w:r>
      <w:r w:rsidRPr="000977F7">
        <w:rPr>
          <w:rFonts w:asciiTheme="majorHAnsi" w:hAnsiTheme="majorHAnsi"/>
          <w:sz w:val="20"/>
          <w:szCs w:val="20"/>
        </w:rPr>
        <w:t>малою</w:t>
      </w:r>
      <w:r w:rsidRPr="004D2D14">
        <w:rPr>
          <w:rFonts w:asciiTheme="majorHAnsi" w:hAnsiTheme="majorHAnsi"/>
          <w:spacing w:val="5"/>
          <w:sz w:val="20"/>
          <w:szCs w:val="20"/>
          <w:lang w:val="en-US"/>
        </w:rPr>
        <w:t xml:space="preserve"> </w:t>
      </w:r>
      <w:r w:rsidRPr="000977F7">
        <w:rPr>
          <w:rFonts w:asciiTheme="majorHAnsi" w:hAnsiTheme="majorHAnsi"/>
          <w:sz w:val="20"/>
          <w:szCs w:val="20"/>
        </w:rPr>
        <w:t>амплітудою</w:t>
      </w:r>
      <w:r w:rsidRPr="004D2D14">
        <w:rPr>
          <w:rFonts w:asciiTheme="majorHAnsi" w:hAnsiTheme="majorHAnsi"/>
          <w:spacing w:val="-47"/>
          <w:sz w:val="20"/>
          <w:szCs w:val="20"/>
          <w:lang w:val="en-US"/>
        </w:rPr>
        <w:t xml:space="preserve"> </w:t>
      </w:r>
      <w:r w:rsidRPr="000977F7">
        <w:rPr>
          <w:rFonts w:asciiTheme="majorHAnsi" w:hAnsiTheme="majorHAnsi"/>
          <w:spacing w:val="-3"/>
          <w:sz w:val="20"/>
          <w:szCs w:val="20"/>
        </w:rPr>
        <w:t>під</w:t>
      </w:r>
      <w:r w:rsidRPr="004D2D14">
        <w:rPr>
          <w:rFonts w:asciiTheme="majorHAnsi" w:hAnsiTheme="majorHAnsi"/>
          <w:spacing w:val="-10"/>
          <w:sz w:val="20"/>
          <w:szCs w:val="20"/>
          <w:lang w:val="en-US"/>
        </w:rPr>
        <w:t xml:space="preserve"> </w:t>
      </w:r>
      <w:r w:rsidRPr="000977F7">
        <w:rPr>
          <w:rFonts w:asciiTheme="majorHAnsi" w:hAnsiTheme="majorHAnsi"/>
          <w:spacing w:val="-3"/>
          <w:sz w:val="20"/>
          <w:szCs w:val="20"/>
        </w:rPr>
        <w:t>дією</w:t>
      </w:r>
      <w:r w:rsidRPr="004D2D14">
        <w:rPr>
          <w:rFonts w:asciiTheme="majorHAnsi" w:hAnsiTheme="majorHAnsi"/>
          <w:spacing w:val="-9"/>
          <w:sz w:val="20"/>
          <w:szCs w:val="20"/>
          <w:lang w:val="en-US"/>
        </w:rPr>
        <w:t xml:space="preserve"> </w:t>
      </w:r>
      <w:r w:rsidRPr="000977F7">
        <w:rPr>
          <w:rFonts w:asciiTheme="majorHAnsi" w:hAnsiTheme="majorHAnsi"/>
          <w:spacing w:val="-3"/>
          <w:sz w:val="20"/>
          <w:szCs w:val="20"/>
        </w:rPr>
        <w:t>циклічного</w:t>
      </w:r>
      <w:r w:rsidRPr="004D2D14">
        <w:rPr>
          <w:rFonts w:asciiTheme="majorHAnsi" w:hAnsiTheme="majorHAnsi"/>
          <w:spacing w:val="-8"/>
          <w:sz w:val="20"/>
          <w:szCs w:val="20"/>
          <w:lang w:val="en-US"/>
        </w:rPr>
        <w:t xml:space="preserve"> </w:t>
      </w:r>
      <w:r w:rsidRPr="000977F7">
        <w:rPr>
          <w:rFonts w:asciiTheme="majorHAnsi" w:hAnsiTheme="majorHAnsi"/>
          <w:spacing w:val="-3"/>
          <w:sz w:val="20"/>
          <w:szCs w:val="20"/>
        </w:rPr>
        <w:t>навантаження</w:t>
      </w:r>
      <w:r w:rsidRPr="004D2D14">
        <w:rPr>
          <w:rFonts w:asciiTheme="majorHAnsi" w:hAnsiTheme="majorHAnsi"/>
          <w:spacing w:val="-3"/>
          <w:sz w:val="20"/>
          <w:szCs w:val="20"/>
          <w:lang w:val="en-US"/>
        </w:rPr>
        <w:t>,</w:t>
      </w:r>
      <w:r w:rsidRPr="004D2D14">
        <w:rPr>
          <w:rFonts w:asciiTheme="majorHAnsi" w:hAnsiTheme="majorHAnsi"/>
          <w:spacing w:val="-8"/>
          <w:sz w:val="20"/>
          <w:szCs w:val="20"/>
          <w:lang w:val="en-US"/>
        </w:rPr>
        <w:t xml:space="preserve"> </w:t>
      </w:r>
      <w:r w:rsidRPr="000977F7">
        <w:rPr>
          <w:rFonts w:asciiTheme="majorHAnsi" w:hAnsiTheme="majorHAnsi"/>
          <w:spacing w:val="-3"/>
          <w:sz w:val="20"/>
          <w:szCs w:val="20"/>
        </w:rPr>
        <w:t>яке</w:t>
      </w:r>
      <w:r w:rsidRPr="004D2D14">
        <w:rPr>
          <w:rFonts w:asciiTheme="majorHAnsi" w:hAnsiTheme="majorHAnsi"/>
          <w:spacing w:val="-9"/>
          <w:sz w:val="20"/>
          <w:szCs w:val="20"/>
          <w:lang w:val="en-US"/>
        </w:rPr>
        <w:t xml:space="preserve"> </w:t>
      </w:r>
      <w:r w:rsidRPr="000977F7">
        <w:rPr>
          <w:rFonts w:asciiTheme="majorHAnsi" w:hAnsiTheme="majorHAnsi"/>
          <w:spacing w:val="-3"/>
          <w:sz w:val="20"/>
          <w:szCs w:val="20"/>
        </w:rPr>
        <w:t>спричиняє</w:t>
      </w:r>
      <w:r w:rsidRPr="004D2D14">
        <w:rPr>
          <w:rFonts w:asciiTheme="majorHAnsi" w:hAnsiTheme="majorHAnsi"/>
          <w:spacing w:val="-8"/>
          <w:sz w:val="20"/>
          <w:szCs w:val="20"/>
          <w:lang w:val="en-US"/>
        </w:rPr>
        <w:t xml:space="preserve"> </w:t>
      </w:r>
      <w:r w:rsidRPr="000977F7">
        <w:rPr>
          <w:rFonts w:asciiTheme="majorHAnsi" w:hAnsiTheme="majorHAnsi"/>
          <w:spacing w:val="-3"/>
          <w:sz w:val="20"/>
          <w:szCs w:val="20"/>
        </w:rPr>
        <w:t>змінні</w:t>
      </w:r>
      <w:r w:rsidRPr="004D2D14">
        <w:rPr>
          <w:rFonts w:asciiTheme="majorHAnsi" w:hAnsiTheme="majorHAnsi"/>
          <w:spacing w:val="-47"/>
          <w:sz w:val="20"/>
          <w:szCs w:val="20"/>
          <w:lang w:val="en-US"/>
        </w:rPr>
        <w:t xml:space="preserve"> </w:t>
      </w:r>
      <w:r w:rsidRPr="000977F7">
        <w:rPr>
          <w:rFonts w:asciiTheme="majorHAnsi" w:hAnsiTheme="majorHAnsi"/>
          <w:sz w:val="20"/>
          <w:szCs w:val="20"/>
        </w:rPr>
        <w:t>деформації</w:t>
      </w:r>
      <w:r w:rsidRPr="004D2D14">
        <w:rPr>
          <w:rFonts w:asciiTheme="majorHAnsi" w:hAnsiTheme="majorHAnsi"/>
          <w:spacing w:val="36"/>
          <w:sz w:val="20"/>
          <w:szCs w:val="20"/>
          <w:lang w:val="en-US"/>
        </w:rPr>
        <w:t xml:space="preserve"> </w:t>
      </w:r>
      <w:r w:rsidRPr="000977F7">
        <w:rPr>
          <w:rFonts w:asciiTheme="majorHAnsi" w:hAnsiTheme="majorHAnsi"/>
          <w:sz w:val="20"/>
          <w:szCs w:val="20"/>
        </w:rPr>
        <w:t>зсуву</w:t>
      </w:r>
      <w:r w:rsidRPr="004D2D14">
        <w:rPr>
          <w:rFonts w:asciiTheme="majorHAnsi" w:hAnsiTheme="majorHAnsi"/>
          <w:spacing w:val="36"/>
          <w:sz w:val="20"/>
          <w:szCs w:val="20"/>
          <w:lang w:val="en-US"/>
        </w:rPr>
        <w:t xml:space="preserve"> </w:t>
      </w:r>
      <w:r w:rsidRPr="000977F7">
        <w:rPr>
          <w:rFonts w:asciiTheme="majorHAnsi" w:hAnsiTheme="majorHAnsi"/>
          <w:sz w:val="20"/>
          <w:szCs w:val="20"/>
        </w:rPr>
        <w:t>поверхневих</w:t>
      </w:r>
      <w:r w:rsidRPr="004D2D14">
        <w:rPr>
          <w:rFonts w:asciiTheme="majorHAnsi" w:hAnsiTheme="majorHAnsi"/>
          <w:spacing w:val="35"/>
          <w:sz w:val="20"/>
          <w:szCs w:val="20"/>
          <w:lang w:val="en-US"/>
        </w:rPr>
        <w:t xml:space="preserve"> </w:t>
      </w:r>
      <w:r w:rsidRPr="000977F7">
        <w:rPr>
          <w:rFonts w:asciiTheme="majorHAnsi" w:hAnsiTheme="majorHAnsi"/>
          <w:sz w:val="20"/>
          <w:szCs w:val="20"/>
        </w:rPr>
        <w:t>шарів</w:t>
      </w:r>
      <w:r w:rsidRPr="004D2D14">
        <w:rPr>
          <w:rFonts w:asciiTheme="majorHAnsi" w:hAnsiTheme="majorHAnsi"/>
          <w:sz w:val="20"/>
          <w:szCs w:val="20"/>
          <w:lang w:val="en-US"/>
        </w:rPr>
        <w:t>,</w:t>
      </w:r>
      <w:r w:rsidRPr="004D2D14">
        <w:rPr>
          <w:rFonts w:asciiTheme="majorHAnsi" w:hAnsiTheme="majorHAnsi"/>
          <w:spacing w:val="37"/>
          <w:sz w:val="20"/>
          <w:szCs w:val="20"/>
          <w:lang w:val="en-US"/>
        </w:rPr>
        <w:t xml:space="preserve"> </w:t>
      </w:r>
      <w:r w:rsidRPr="000977F7">
        <w:rPr>
          <w:rFonts w:asciiTheme="majorHAnsi" w:hAnsiTheme="majorHAnsi"/>
          <w:sz w:val="20"/>
          <w:szCs w:val="20"/>
        </w:rPr>
        <w:t>схоплювання</w:t>
      </w:r>
      <w:r w:rsidRPr="004D2D14">
        <w:rPr>
          <w:rFonts w:asciiTheme="majorHAnsi" w:hAnsiTheme="majorHAnsi"/>
          <w:spacing w:val="37"/>
          <w:sz w:val="20"/>
          <w:szCs w:val="20"/>
          <w:lang w:val="en-US"/>
        </w:rPr>
        <w:t xml:space="preserve"> </w:t>
      </w:r>
      <w:r w:rsidRPr="000977F7">
        <w:rPr>
          <w:rFonts w:asciiTheme="majorHAnsi" w:hAnsiTheme="majorHAnsi"/>
          <w:sz w:val="20"/>
          <w:szCs w:val="20"/>
        </w:rPr>
        <w:t>і</w:t>
      </w:r>
      <w:r w:rsidRPr="004D2D14">
        <w:rPr>
          <w:rFonts w:asciiTheme="majorHAnsi" w:hAnsiTheme="majorHAnsi"/>
          <w:spacing w:val="-47"/>
          <w:sz w:val="20"/>
          <w:szCs w:val="20"/>
          <w:lang w:val="en-US"/>
        </w:rPr>
        <w:t xml:space="preserve"> </w:t>
      </w:r>
      <w:r w:rsidRPr="000977F7">
        <w:rPr>
          <w:rFonts w:asciiTheme="majorHAnsi" w:hAnsiTheme="majorHAnsi"/>
          <w:spacing w:val="-2"/>
          <w:sz w:val="20"/>
          <w:szCs w:val="20"/>
        </w:rPr>
        <w:t>відокремлення</w:t>
      </w:r>
      <w:r w:rsidRPr="004D2D14">
        <w:rPr>
          <w:rFonts w:asciiTheme="majorHAnsi" w:hAnsiTheme="majorHAnsi"/>
          <w:spacing w:val="-7"/>
          <w:sz w:val="20"/>
          <w:szCs w:val="20"/>
          <w:lang w:val="en-US"/>
        </w:rPr>
        <w:t xml:space="preserve"> </w:t>
      </w:r>
      <w:r w:rsidRPr="000977F7">
        <w:rPr>
          <w:rFonts w:asciiTheme="majorHAnsi" w:hAnsiTheme="majorHAnsi"/>
          <w:spacing w:val="-2"/>
          <w:sz w:val="20"/>
          <w:szCs w:val="20"/>
        </w:rPr>
        <w:t>частинок</w:t>
      </w:r>
      <w:r w:rsidRPr="004D2D14">
        <w:rPr>
          <w:rFonts w:asciiTheme="majorHAnsi" w:hAnsiTheme="majorHAnsi"/>
          <w:spacing w:val="-2"/>
          <w:sz w:val="20"/>
          <w:szCs w:val="20"/>
          <w:lang w:val="en-US"/>
        </w:rPr>
        <w:t>,</w:t>
      </w:r>
      <w:r w:rsidRPr="004D2D14">
        <w:rPr>
          <w:rFonts w:asciiTheme="majorHAnsi" w:hAnsiTheme="majorHAnsi"/>
          <w:spacing w:val="-6"/>
          <w:sz w:val="20"/>
          <w:szCs w:val="20"/>
          <w:lang w:val="en-US"/>
        </w:rPr>
        <w:t xml:space="preserve"> </w:t>
      </w:r>
      <w:r w:rsidRPr="000977F7">
        <w:rPr>
          <w:rFonts w:asciiTheme="majorHAnsi" w:hAnsiTheme="majorHAnsi"/>
          <w:spacing w:val="-2"/>
          <w:sz w:val="20"/>
          <w:szCs w:val="20"/>
        </w:rPr>
        <w:t>з</w:t>
      </w:r>
      <w:r w:rsidRPr="004D2D14">
        <w:rPr>
          <w:rFonts w:asciiTheme="majorHAnsi" w:hAnsiTheme="majorHAnsi"/>
          <w:spacing w:val="-2"/>
          <w:sz w:val="20"/>
          <w:szCs w:val="20"/>
          <w:lang w:val="en-US"/>
        </w:rPr>
        <w:t>’</w:t>
      </w:r>
      <w:r w:rsidRPr="000977F7">
        <w:rPr>
          <w:rFonts w:asciiTheme="majorHAnsi" w:hAnsiTheme="majorHAnsi"/>
          <w:spacing w:val="-2"/>
          <w:sz w:val="20"/>
          <w:szCs w:val="20"/>
        </w:rPr>
        <w:t>явлення</w:t>
      </w:r>
      <w:r w:rsidRPr="004D2D14">
        <w:rPr>
          <w:rFonts w:asciiTheme="majorHAnsi" w:hAnsiTheme="majorHAnsi"/>
          <w:spacing w:val="-6"/>
          <w:sz w:val="20"/>
          <w:szCs w:val="20"/>
          <w:lang w:val="en-US"/>
        </w:rPr>
        <w:t xml:space="preserve"> </w:t>
      </w:r>
      <w:r w:rsidRPr="000977F7">
        <w:rPr>
          <w:rFonts w:asciiTheme="majorHAnsi" w:hAnsiTheme="majorHAnsi"/>
          <w:spacing w:val="-2"/>
          <w:sz w:val="20"/>
          <w:szCs w:val="20"/>
        </w:rPr>
        <w:t>оксидів</w:t>
      </w:r>
      <w:r w:rsidRPr="004D2D14">
        <w:rPr>
          <w:rFonts w:asciiTheme="majorHAnsi" w:hAnsiTheme="majorHAnsi"/>
          <w:spacing w:val="-2"/>
          <w:sz w:val="20"/>
          <w:szCs w:val="20"/>
          <w:lang w:val="en-US"/>
        </w:rPr>
        <w:t>,</w:t>
      </w:r>
      <w:r w:rsidRPr="004D2D14">
        <w:rPr>
          <w:rFonts w:asciiTheme="majorHAnsi" w:hAnsiTheme="majorHAnsi"/>
          <w:spacing w:val="-6"/>
          <w:sz w:val="20"/>
          <w:szCs w:val="20"/>
          <w:lang w:val="en-US"/>
        </w:rPr>
        <w:t xml:space="preserve"> </w:t>
      </w:r>
      <w:r w:rsidRPr="000977F7">
        <w:rPr>
          <w:rFonts w:asciiTheme="majorHAnsi" w:hAnsiTheme="majorHAnsi"/>
          <w:spacing w:val="-2"/>
          <w:sz w:val="20"/>
          <w:szCs w:val="20"/>
        </w:rPr>
        <w:t>прискорене</w:t>
      </w:r>
      <w:r w:rsidRPr="004D2D14">
        <w:rPr>
          <w:rFonts w:asciiTheme="majorHAnsi" w:hAnsiTheme="majorHAnsi"/>
          <w:spacing w:val="-47"/>
          <w:sz w:val="20"/>
          <w:szCs w:val="20"/>
          <w:lang w:val="en-US"/>
        </w:rPr>
        <w:t xml:space="preserve"> </w:t>
      </w:r>
      <w:r w:rsidRPr="000977F7">
        <w:rPr>
          <w:rFonts w:asciiTheme="majorHAnsi" w:hAnsiTheme="majorHAnsi"/>
          <w:spacing w:val="-4"/>
          <w:sz w:val="20"/>
          <w:szCs w:val="20"/>
        </w:rPr>
        <w:t>утворення</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тріщин</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їх</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розвивання</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та</w:t>
      </w:r>
      <w:r w:rsidRPr="004D2D14">
        <w:rPr>
          <w:rFonts w:asciiTheme="majorHAnsi" w:hAnsiTheme="majorHAnsi"/>
          <w:spacing w:val="-4"/>
          <w:sz w:val="20"/>
          <w:szCs w:val="20"/>
          <w:lang w:val="en-US"/>
        </w:rPr>
        <w:t xml:space="preserve"> </w:t>
      </w:r>
      <w:r w:rsidRPr="000977F7">
        <w:rPr>
          <w:rFonts w:asciiTheme="majorHAnsi" w:hAnsiTheme="majorHAnsi"/>
          <w:spacing w:val="-4"/>
          <w:sz w:val="20"/>
          <w:szCs w:val="20"/>
        </w:rPr>
        <w:t>руйнування</w:t>
      </w:r>
      <w:r w:rsidRPr="004D2D14">
        <w:rPr>
          <w:rFonts w:asciiTheme="majorHAnsi" w:hAnsiTheme="majorHAnsi"/>
          <w:spacing w:val="-4"/>
          <w:sz w:val="20"/>
          <w:szCs w:val="20"/>
          <w:lang w:val="en-US"/>
        </w:rPr>
        <w:t xml:space="preserve"> </w:t>
      </w:r>
      <w:r w:rsidRPr="000977F7">
        <w:rPr>
          <w:rFonts w:asciiTheme="majorHAnsi" w:hAnsiTheme="majorHAnsi"/>
          <w:spacing w:val="-3"/>
          <w:sz w:val="20"/>
          <w:szCs w:val="20"/>
        </w:rPr>
        <w:t>об</w:t>
      </w:r>
      <w:r w:rsidRPr="004D2D14">
        <w:rPr>
          <w:rFonts w:asciiTheme="majorHAnsi" w:hAnsiTheme="majorHAnsi"/>
          <w:spacing w:val="-3"/>
          <w:sz w:val="20"/>
          <w:szCs w:val="20"/>
          <w:lang w:val="en-US"/>
        </w:rPr>
        <w:t>’</w:t>
      </w:r>
      <w:r w:rsidRPr="000977F7">
        <w:rPr>
          <w:rFonts w:asciiTheme="majorHAnsi" w:hAnsiTheme="majorHAnsi"/>
          <w:spacing w:val="-3"/>
          <w:sz w:val="20"/>
          <w:szCs w:val="20"/>
        </w:rPr>
        <w:t>єкта</w:t>
      </w:r>
      <w:r w:rsidRPr="004D2D14">
        <w:rPr>
          <w:rFonts w:asciiTheme="majorHAnsi" w:hAnsiTheme="majorHAnsi"/>
          <w:spacing w:val="-2"/>
          <w:sz w:val="20"/>
          <w:szCs w:val="20"/>
          <w:lang w:val="en-US"/>
        </w:rPr>
        <w:t xml:space="preserve"> </w:t>
      </w:r>
    </w:p>
    <w:p w14:paraId="05FD14B5"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2444 - 94</w:t>
      </w:r>
    </w:p>
    <w:p w14:paraId="5910205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ФРЕТИНГ</w:t>
      </w:r>
      <w:r w:rsidRPr="000977F7">
        <w:rPr>
          <w:color w:val="auto"/>
          <w:spacing w:val="-2"/>
          <w:sz w:val="20"/>
          <w:szCs w:val="20"/>
        </w:rPr>
        <w:t xml:space="preserve"> </w:t>
      </w:r>
      <w:r w:rsidRPr="000977F7">
        <w:rPr>
          <w:color w:val="auto"/>
          <w:sz w:val="20"/>
          <w:szCs w:val="20"/>
        </w:rPr>
        <w:t>–</w:t>
      </w:r>
      <w:r w:rsidRPr="000977F7">
        <w:rPr>
          <w:color w:val="auto"/>
          <w:spacing w:val="-2"/>
          <w:sz w:val="20"/>
          <w:szCs w:val="20"/>
        </w:rPr>
        <w:t xml:space="preserve"> </w:t>
      </w:r>
      <w:r w:rsidRPr="000977F7">
        <w:rPr>
          <w:color w:val="auto"/>
          <w:sz w:val="20"/>
          <w:szCs w:val="20"/>
        </w:rPr>
        <w:t>КОРОЗІЙНЕ</w:t>
      </w:r>
      <w:r w:rsidRPr="000977F7">
        <w:rPr>
          <w:color w:val="auto"/>
          <w:spacing w:val="43"/>
          <w:sz w:val="20"/>
          <w:szCs w:val="20"/>
        </w:rPr>
        <w:t xml:space="preserve"> </w:t>
      </w:r>
      <w:r w:rsidRPr="000977F7">
        <w:rPr>
          <w:color w:val="auto"/>
          <w:sz w:val="20"/>
          <w:szCs w:val="20"/>
        </w:rPr>
        <w:t>ЗНОШУВАННЯ –</w:t>
      </w:r>
    </w:p>
    <w:p w14:paraId="5AB6B45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FRETTING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CORROSION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WEAR –</w:t>
      </w:r>
    </w:p>
    <w:p w14:paraId="2E30CF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Механохімічне</w:t>
      </w:r>
      <w:r w:rsidRPr="000977F7">
        <w:rPr>
          <w:rFonts w:asciiTheme="majorHAnsi" w:hAnsiTheme="majorHAnsi"/>
          <w:spacing w:val="1"/>
          <w:sz w:val="20"/>
          <w:szCs w:val="20"/>
        </w:rPr>
        <w:t xml:space="preserve"> </w:t>
      </w:r>
      <w:r w:rsidRPr="000977F7">
        <w:rPr>
          <w:rFonts w:asciiTheme="majorHAnsi" w:hAnsiTheme="majorHAnsi"/>
          <w:sz w:val="20"/>
          <w:szCs w:val="20"/>
        </w:rPr>
        <w:t>зношування</w:t>
      </w:r>
      <w:r w:rsidRPr="000977F7">
        <w:rPr>
          <w:rFonts w:asciiTheme="majorHAnsi" w:hAnsiTheme="majorHAnsi"/>
          <w:spacing w:val="1"/>
          <w:sz w:val="20"/>
          <w:szCs w:val="20"/>
        </w:rPr>
        <w:t xml:space="preserve"> </w:t>
      </w:r>
      <w:r w:rsidRPr="000977F7">
        <w:rPr>
          <w:rFonts w:asciiTheme="majorHAnsi" w:hAnsiTheme="majorHAnsi"/>
          <w:sz w:val="20"/>
          <w:szCs w:val="20"/>
        </w:rPr>
        <w:t>тіл,</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перебувають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контакті, в умовах малих коливальних відносних їх</w:t>
      </w:r>
      <w:r w:rsidRPr="000977F7">
        <w:rPr>
          <w:rFonts w:asciiTheme="majorHAnsi" w:hAnsiTheme="majorHAnsi"/>
          <w:spacing w:val="1"/>
          <w:sz w:val="20"/>
          <w:szCs w:val="20"/>
        </w:rPr>
        <w:t xml:space="preserve"> </w:t>
      </w:r>
      <w:r w:rsidRPr="000977F7">
        <w:rPr>
          <w:rFonts w:asciiTheme="majorHAnsi" w:hAnsiTheme="majorHAnsi"/>
          <w:sz w:val="20"/>
          <w:szCs w:val="20"/>
        </w:rPr>
        <w:t>переміщень</w:t>
      </w:r>
    </w:p>
    <w:p w14:paraId="21A3007E"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2823 -</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94</w:t>
      </w:r>
      <w:r w:rsidRPr="004D2D14">
        <w:rPr>
          <w:rFonts w:asciiTheme="majorHAnsi" w:hAnsiTheme="majorHAnsi"/>
          <w:i/>
          <w:spacing w:val="1"/>
          <w:sz w:val="20"/>
          <w:szCs w:val="20"/>
          <w:lang w:val="en-US"/>
        </w:rPr>
        <w:t xml:space="preserve"> </w:t>
      </w:r>
    </w:p>
    <w:p w14:paraId="0556A5E3"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1"/>
          <w:sz w:val="20"/>
          <w:szCs w:val="20"/>
          <w:lang w:val="en-US"/>
        </w:rPr>
      </w:pPr>
      <w:r w:rsidRPr="000977F7">
        <w:rPr>
          <w:rFonts w:asciiTheme="majorHAnsi" w:hAnsiTheme="majorHAnsi"/>
          <w:b/>
          <w:sz w:val="20"/>
          <w:szCs w:val="20"/>
        </w:rPr>
        <w:t>ФРЕТИНГ</w:t>
      </w:r>
      <w:r w:rsidRPr="004D2D14">
        <w:rPr>
          <w:rFonts w:asciiTheme="majorHAnsi" w:hAnsiTheme="majorHAnsi"/>
          <w:b/>
          <w:sz w:val="20"/>
          <w:szCs w:val="20"/>
          <w:lang w:val="en-US"/>
        </w:rPr>
        <w:t>-</w:t>
      </w:r>
      <w:r w:rsidRPr="000977F7">
        <w:rPr>
          <w:rFonts w:asciiTheme="majorHAnsi" w:hAnsiTheme="majorHAnsi"/>
          <w:b/>
          <w:sz w:val="20"/>
          <w:szCs w:val="20"/>
        </w:rPr>
        <w:t>КОРОЗІЯ</w:t>
      </w:r>
      <w:r w:rsidRPr="004D2D14">
        <w:rPr>
          <w:rFonts w:asciiTheme="majorHAnsi" w:hAnsiTheme="majorHAnsi"/>
          <w:b/>
          <w:sz w:val="20"/>
          <w:szCs w:val="20"/>
          <w:lang w:val="en-US"/>
        </w:rPr>
        <w:t xml:space="preserve"> –</w:t>
      </w:r>
      <w:r w:rsidRPr="004D2D14">
        <w:rPr>
          <w:rFonts w:asciiTheme="majorHAnsi" w:hAnsiTheme="majorHAnsi"/>
          <w:b/>
          <w:spacing w:val="1"/>
          <w:sz w:val="20"/>
          <w:szCs w:val="20"/>
          <w:lang w:val="en-US"/>
        </w:rPr>
        <w:t xml:space="preserve"> </w:t>
      </w:r>
    </w:p>
    <w:p w14:paraId="6826AD36"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FRETTING</w:t>
      </w:r>
      <w:r w:rsidRPr="004D2D14">
        <w:rPr>
          <w:rFonts w:asciiTheme="majorHAnsi" w:hAnsiTheme="majorHAnsi"/>
          <w:spacing w:val="-9"/>
          <w:sz w:val="20"/>
          <w:szCs w:val="20"/>
          <w:lang w:val="en-US"/>
        </w:rPr>
        <w:t xml:space="preserve"> </w:t>
      </w:r>
      <w:r w:rsidRPr="004D2D14">
        <w:rPr>
          <w:rFonts w:asciiTheme="majorHAnsi" w:hAnsiTheme="majorHAnsi"/>
          <w:sz w:val="20"/>
          <w:szCs w:val="20"/>
          <w:lang w:val="en-US"/>
        </w:rPr>
        <w:t>CORROSION</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w:t>
      </w:r>
    </w:p>
    <w:p w14:paraId="2ECFCFD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Корозія</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w:t>
      </w:r>
      <w:r w:rsidRPr="000977F7">
        <w:rPr>
          <w:rFonts w:asciiTheme="majorHAnsi" w:hAnsiTheme="majorHAnsi"/>
          <w:spacing w:val="1"/>
          <w:sz w:val="20"/>
          <w:szCs w:val="20"/>
        </w:rPr>
        <w:t xml:space="preserve"> </w:t>
      </w:r>
      <w:r w:rsidRPr="000977F7">
        <w:rPr>
          <w:rFonts w:asciiTheme="majorHAnsi" w:hAnsiTheme="majorHAnsi"/>
          <w:sz w:val="20"/>
          <w:szCs w:val="20"/>
        </w:rPr>
        <w:t>циклічного</w:t>
      </w:r>
      <w:r w:rsidRPr="000977F7">
        <w:rPr>
          <w:rFonts w:asciiTheme="majorHAnsi" w:hAnsiTheme="majorHAnsi"/>
          <w:spacing w:val="1"/>
          <w:sz w:val="20"/>
          <w:szCs w:val="20"/>
        </w:rPr>
        <w:t xml:space="preserve"> </w:t>
      </w:r>
      <w:r w:rsidRPr="000977F7">
        <w:rPr>
          <w:rFonts w:asciiTheme="majorHAnsi" w:hAnsiTheme="majorHAnsi"/>
          <w:sz w:val="20"/>
          <w:szCs w:val="20"/>
        </w:rPr>
        <w:t>взаємного</w:t>
      </w:r>
      <w:r w:rsidRPr="000977F7">
        <w:rPr>
          <w:rFonts w:asciiTheme="majorHAnsi" w:hAnsiTheme="majorHAnsi"/>
          <w:spacing w:val="1"/>
          <w:sz w:val="20"/>
          <w:szCs w:val="20"/>
        </w:rPr>
        <w:t xml:space="preserve"> </w:t>
      </w:r>
      <w:r w:rsidRPr="000977F7">
        <w:rPr>
          <w:rFonts w:asciiTheme="majorHAnsi" w:hAnsiTheme="majorHAnsi"/>
          <w:sz w:val="20"/>
          <w:szCs w:val="20"/>
        </w:rPr>
        <w:t>переміщення</w:t>
      </w:r>
      <w:r w:rsidRPr="000977F7">
        <w:rPr>
          <w:rFonts w:asciiTheme="majorHAnsi" w:hAnsiTheme="majorHAnsi"/>
          <w:spacing w:val="-47"/>
          <w:sz w:val="20"/>
          <w:szCs w:val="20"/>
        </w:rPr>
        <w:t xml:space="preserve"> </w:t>
      </w:r>
      <w:r w:rsidRPr="000977F7">
        <w:rPr>
          <w:rFonts w:asciiTheme="majorHAnsi" w:hAnsiTheme="majorHAnsi"/>
          <w:sz w:val="20"/>
          <w:szCs w:val="20"/>
        </w:rPr>
        <w:t>двох</w:t>
      </w:r>
      <w:r w:rsidRPr="000977F7">
        <w:rPr>
          <w:rFonts w:asciiTheme="majorHAnsi" w:hAnsiTheme="majorHAnsi"/>
          <w:spacing w:val="1"/>
          <w:sz w:val="20"/>
          <w:szCs w:val="20"/>
        </w:rPr>
        <w:t xml:space="preserve"> </w:t>
      </w:r>
      <w:r w:rsidRPr="000977F7">
        <w:rPr>
          <w:rFonts w:asciiTheme="majorHAnsi" w:hAnsiTheme="majorHAnsi"/>
          <w:sz w:val="20"/>
          <w:szCs w:val="20"/>
        </w:rPr>
        <w:t>поверхонь,</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контактують,</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дії</w:t>
      </w:r>
      <w:r w:rsidRPr="000977F7">
        <w:rPr>
          <w:rFonts w:asciiTheme="majorHAnsi" w:hAnsiTheme="majorHAnsi"/>
          <w:spacing w:val="1"/>
          <w:sz w:val="20"/>
          <w:szCs w:val="20"/>
        </w:rPr>
        <w:t xml:space="preserve"> </w:t>
      </w:r>
      <w:r w:rsidRPr="000977F7">
        <w:rPr>
          <w:rFonts w:asciiTheme="majorHAnsi" w:hAnsiTheme="majorHAnsi"/>
          <w:sz w:val="20"/>
          <w:szCs w:val="20"/>
        </w:rPr>
        <w:t>корозивного</w:t>
      </w:r>
      <w:r w:rsidRPr="000977F7">
        <w:rPr>
          <w:rFonts w:asciiTheme="majorHAnsi" w:hAnsiTheme="majorHAnsi"/>
          <w:spacing w:val="-47"/>
          <w:sz w:val="20"/>
          <w:szCs w:val="20"/>
        </w:rPr>
        <w:t xml:space="preserve"> </w:t>
      </w:r>
      <w:r w:rsidRPr="000977F7">
        <w:rPr>
          <w:rFonts w:asciiTheme="majorHAnsi" w:hAnsiTheme="majorHAnsi"/>
          <w:sz w:val="20"/>
          <w:szCs w:val="20"/>
        </w:rPr>
        <w:t>середовища</w:t>
      </w:r>
    </w:p>
    <w:p w14:paraId="7565B2D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3830 - 98</w:t>
      </w:r>
    </w:p>
    <w:p w14:paraId="598BABD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ФРЕТИНГОВЕ</w:t>
      </w:r>
      <w:r w:rsidRPr="000977F7">
        <w:rPr>
          <w:color w:val="auto"/>
          <w:spacing w:val="-5"/>
          <w:sz w:val="20"/>
          <w:szCs w:val="20"/>
        </w:rPr>
        <w:t xml:space="preserve"> </w:t>
      </w:r>
      <w:r w:rsidRPr="000977F7">
        <w:rPr>
          <w:color w:val="auto"/>
          <w:sz w:val="20"/>
          <w:szCs w:val="20"/>
        </w:rPr>
        <w:t>ЗНОШУВАННЯ</w:t>
      </w:r>
      <w:r w:rsidRPr="000977F7">
        <w:rPr>
          <w:color w:val="auto"/>
          <w:spacing w:val="-1"/>
          <w:sz w:val="20"/>
          <w:szCs w:val="20"/>
        </w:rPr>
        <w:t xml:space="preserve"> </w:t>
      </w:r>
      <w:r w:rsidRPr="000977F7">
        <w:rPr>
          <w:color w:val="auto"/>
          <w:sz w:val="20"/>
          <w:szCs w:val="20"/>
        </w:rPr>
        <w:t>–</w:t>
      </w:r>
    </w:p>
    <w:p w14:paraId="5E4D268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FRETTING</w:t>
      </w:r>
      <w:r w:rsidRPr="000977F7">
        <w:rPr>
          <w:rFonts w:asciiTheme="majorHAnsi" w:hAnsiTheme="majorHAnsi"/>
          <w:spacing w:val="-3"/>
          <w:sz w:val="20"/>
          <w:szCs w:val="20"/>
        </w:rPr>
        <w:t xml:space="preserve"> </w:t>
      </w:r>
      <w:r w:rsidRPr="000977F7">
        <w:rPr>
          <w:rFonts w:asciiTheme="majorHAnsi" w:hAnsiTheme="majorHAnsi"/>
          <w:sz w:val="20"/>
          <w:szCs w:val="20"/>
        </w:rPr>
        <w:t>WEAR</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0CD1DA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Механічне</w:t>
      </w:r>
      <w:r w:rsidRPr="000977F7">
        <w:rPr>
          <w:rFonts w:asciiTheme="majorHAnsi" w:hAnsiTheme="majorHAnsi"/>
          <w:spacing w:val="-11"/>
          <w:sz w:val="20"/>
          <w:szCs w:val="20"/>
        </w:rPr>
        <w:t xml:space="preserve"> </w:t>
      </w:r>
      <w:r w:rsidRPr="000977F7">
        <w:rPr>
          <w:rFonts w:asciiTheme="majorHAnsi" w:hAnsiTheme="majorHAnsi"/>
          <w:spacing w:val="-1"/>
          <w:sz w:val="20"/>
          <w:szCs w:val="20"/>
        </w:rPr>
        <w:t>зношування</w:t>
      </w:r>
      <w:r w:rsidRPr="000977F7">
        <w:rPr>
          <w:rFonts w:asciiTheme="majorHAnsi" w:hAnsiTheme="majorHAnsi"/>
          <w:spacing w:val="-11"/>
          <w:sz w:val="20"/>
          <w:szCs w:val="20"/>
        </w:rPr>
        <w:t xml:space="preserve"> </w:t>
      </w:r>
      <w:r w:rsidRPr="000977F7">
        <w:rPr>
          <w:rFonts w:asciiTheme="majorHAnsi" w:hAnsiTheme="majorHAnsi"/>
          <w:spacing w:val="-1"/>
          <w:sz w:val="20"/>
          <w:szCs w:val="20"/>
        </w:rPr>
        <w:t>тіл,</w:t>
      </w:r>
      <w:r w:rsidRPr="000977F7">
        <w:rPr>
          <w:rFonts w:asciiTheme="majorHAnsi" w:hAnsiTheme="majorHAnsi"/>
          <w:spacing w:val="-8"/>
          <w:sz w:val="20"/>
          <w:szCs w:val="20"/>
        </w:rPr>
        <w:t xml:space="preserve"> </w:t>
      </w:r>
      <w:r w:rsidRPr="000977F7">
        <w:rPr>
          <w:rFonts w:asciiTheme="majorHAnsi" w:hAnsiTheme="majorHAnsi"/>
          <w:spacing w:val="-1"/>
          <w:sz w:val="20"/>
          <w:szCs w:val="20"/>
        </w:rPr>
        <w:t>що</w:t>
      </w:r>
      <w:r w:rsidRPr="000977F7">
        <w:rPr>
          <w:rFonts w:asciiTheme="majorHAnsi" w:hAnsiTheme="majorHAnsi"/>
          <w:spacing w:val="-9"/>
          <w:sz w:val="20"/>
          <w:szCs w:val="20"/>
        </w:rPr>
        <w:t xml:space="preserve"> </w:t>
      </w:r>
      <w:r w:rsidRPr="000977F7">
        <w:rPr>
          <w:rFonts w:asciiTheme="majorHAnsi" w:hAnsiTheme="majorHAnsi"/>
          <w:spacing w:val="-1"/>
          <w:sz w:val="20"/>
          <w:szCs w:val="20"/>
        </w:rPr>
        <w:t>перебувають</w:t>
      </w:r>
      <w:r w:rsidRPr="000977F7">
        <w:rPr>
          <w:rFonts w:asciiTheme="majorHAnsi" w:hAnsiTheme="majorHAnsi"/>
          <w:spacing w:val="-9"/>
          <w:sz w:val="20"/>
          <w:szCs w:val="20"/>
        </w:rPr>
        <w:t xml:space="preserve"> </w:t>
      </w:r>
      <w:r w:rsidRPr="000977F7">
        <w:rPr>
          <w:rFonts w:asciiTheme="majorHAnsi" w:hAnsiTheme="majorHAnsi"/>
          <w:sz w:val="20"/>
          <w:szCs w:val="20"/>
        </w:rPr>
        <w:t>у</w:t>
      </w:r>
      <w:r w:rsidRPr="000977F7">
        <w:rPr>
          <w:rFonts w:asciiTheme="majorHAnsi" w:hAnsiTheme="majorHAnsi"/>
          <w:spacing w:val="-11"/>
          <w:sz w:val="20"/>
          <w:szCs w:val="20"/>
        </w:rPr>
        <w:t xml:space="preserve"> </w:t>
      </w:r>
      <w:r w:rsidRPr="000977F7">
        <w:rPr>
          <w:rFonts w:asciiTheme="majorHAnsi" w:hAnsiTheme="majorHAnsi"/>
          <w:sz w:val="20"/>
          <w:szCs w:val="20"/>
        </w:rPr>
        <w:t>контакті,</w:t>
      </w:r>
      <w:r w:rsidRPr="000977F7">
        <w:rPr>
          <w:rFonts w:asciiTheme="majorHAnsi" w:hAnsiTheme="majorHAnsi"/>
          <w:spacing w:val="-47"/>
          <w:sz w:val="20"/>
          <w:szCs w:val="20"/>
        </w:rPr>
        <w:t xml:space="preserve"> </w:t>
      </w:r>
      <w:r w:rsidRPr="000977F7">
        <w:rPr>
          <w:rFonts w:asciiTheme="majorHAnsi" w:hAnsiTheme="majorHAnsi"/>
          <w:spacing w:val="-1"/>
          <w:sz w:val="20"/>
          <w:szCs w:val="20"/>
        </w:rPr>
        <w:t>в умовах малих коливальних відносних їх переміщень</w:t>
      </w:r>
      <w:r w:rsidRPr="000977F7">
        <w:rPr>
          <w:rFonts w:asciiTheme="majorHAnsi" w:hAnsiTheme="majorHAnsi"/>
          <w:sz w:val="20"/>
          <w:szCs w:val="20"/>
        </w:rPr>
        <w:t xml:space="preserve"> </w:t>
      </w:r>
    </w:p>
    <w:p w14:paraId="67F78A7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2823</w:t>
      </w:r>
      <w:r w:rsidRPr="000977F7">
        <w:rPr>
          <w:rFonts w:asciiTheme="majorHAnsi" w:hAnsiTheme="majorHAnsi"/>
          <w:i/>
          <w:spacing w:val="2"/>
          <w:sz w:val="20"/>
          <w:szCs w:val="20"/>
        </w:rPr>
        <w:t xml:space="preserve"> - </w:t>
      </w:r>
      <w:r w:rsidRPr="000977F7">
        <w:rPr>
          <w:rFonts w:asciiTheme="majorHAnsi" w:hAnsiTheme="majorHAnsi"/>
          <w:i/>
          <w:sz w:val="20"/>
          <w:szCs w:val="20"/>
        </w:rPr>
        <w:t>94</w:t>
      </w:r>
    </w:p>
    <w:p w14:paraId="1E8838F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ФРОНТ</w:t>
      </w:r>
      <w:r w:rsidRPr="000977F7">
        <w:rPr>
          <w:color w:val="auto"/>
          <w:spacing w:val="-4"/>
          <w:sz w:val="20"/>
          <w:szCs w:val="20"/>
        </w:rPr>
        <w:t xml:space="preserve"> </w:t>
      </w:r>
      <w:r w:rsidRPr="000977F7">
        <w:rPr>
          <w:color w:val="auto"/>
          <w:sz w:val="20"/>
          <w:szCs w:val="20"/>
        </w:rPr>
        <w:t>ГАРМОНІЧНОЇ</w:t>
      </w:r>
      <w:r w:rsidRPr="000977F7">
        <w:rPr>
          <w:color w:val="auto"/>
          <w:spacing w:val="-6"/>
          <w:sz w:val="20"/>
          <w:szCs w:val="20"/>
        </w:rPr>
        <w:t xml:space="preserve"> </w:t>
      </w:r>
      <w:r w:rsidRPr="000977F7">
        <w:rPr>
          <w:color w:val="auto"/>
          <w:sz w:val="20"/>
          <w:szCs w:val="20"/>
        </w:rPr>
        <w:t>ХВИЛІ –</w:t>
      </w:r>
    </w:p>
    <w:p w14:paraId="6AFF5DD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WAVE</w:t>
      </w:r>
      <w:r w:rsidRPr="000977F7">
        <w:rPr>
          <w:rFonts w:asciiTheme="majorHAnsi" w:hAnsiTheme="majorHAnsi"/>
          <w:spacing w:val="-3"/>
          <w:sz w:val="20"/>
          <w:szCs w:val="20"/>
        </w:rPr>
        <w:t xml:space="preserve"> </w:t>
      </w:r>
      <w:r w:rsidRPr="000977F7">
        <w:rPr>
          <w:rFonts w:asciiTheme="majorHAnsi" w:hAnsiTheme="majorHAnsi"/>
          <w:sz w:val="20"/>
          <w:szCs w:val="20"/>
        </w:rPr>
        <w:t>FRONT</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61BFB4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Однозв’язна поверхня в коливному середовищі, що є</w:t>
      </w:r>
      <w:r w:rsidRPr="000977F7">
        <w:rPr>
          <w:rFonts w:asciiTheme="majorHAnsi" w:hAnsiTheme="majorHAnsi"/>
          <w:spacing w:val="1"/>
          <w:sz w:val="20"/>
          <w:szCs w:val="20"/>
        </w:rPr>
        <w:t xml:space="preserve"> </w:t>
      </w:r>
      <w:r w:rsidRPr="000977F7">
        <w:rPr>
          <w:rFonts w:asciiTheme="majorHAnsi" w:hAnsiTheme="majorHAnsi"/>
          <w:sz w:val="20"/>
          <w:szCs w:val="20"/>
        </w:rPr>
        <w:t>геометричним місцем його точок, де біжуча хвиля має</w:t>
      </w:r>
      <w:r w:rsidRPr="000977F7">
        <w:rPr>
          <w:rFonts w:asciiTheme="majorHAnsi" w:hAnsiTheme="majorHAnsi"/>
          <w:spacing w:val="-47"/>
          <w:sz w:val="20"/>
          <w:szCs w:val="20"/>
        </w:rPr>
        <w:t xml:space="preserve"> </w:t>
      </w:r>
      <w:r w:rsidRPr="000977F7">
        <w:rPr>
          <w:rFonts w:asciiTheme="majorHAnsi" w:hAnsiTheme="majorHAnsi"/>
          <w:sz w:val="20"/>
          <w:szCs w:val="20"/>
        </w:rPr>
        <w:t>однакову</w:t>
      </w:r>
      <w:r w:rsidRPr="000977F7">
        <w:rPr>
          <w:rFonts w:asciiTheme="majorHAnsi" w:hAnsiTheme="majorHAnsi"/>
          <w:spacing w:val="-2"/>
          <w:sz w:val="20"/>
          <w:szCs w:val="20"/>
        </w:rPr>
        <w:t xml:space="preserve"> </w:t>
      </w:r>
      <w:r w:rsidRPr="000977F7">
        <w:rPr>
          <w:rFonts w:asciiTheme="majorHAnsi" w:hAnsiTheme="majorHAnsi"/>
          <w:sz w:val="20"/>
          <w:szCs w:val="20"/>
        </w:rPr>
        <w:t>фазу</w:t>
      </w:r>
    </w:p>
    <w:p w14:paraId="1276EA31"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2300</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93</w:t>
      </w:r>
    </w:p>
    <w:p w14:paraId="7703193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ФРОНТ</w:t>
      </w:r>
      <w:r w:rsidRPr="000977F7">
        <w:rPr>
          <w:color w:val="auto"/>
          <w:spacing w:val="-4"/>
          <w:sz w:val="20"/>
          <w:szCs w:val="20"/>
        </w:rPr>
        <w:t xml:space="preserve"> </w:t>
      </w:r>
      <w:r w:rsidRPr="000977F7">
        <w:rPr>
          <w:color w:val="auto"/>
          <w:sz w:val="20"/>
          <w:szCs w:val="20"/>
        </w:rPr>
        <w:t>ІМПУЛЬСУ</w:t>
      </w:r>
      <w:r w:rsidRPr="000977F7">
        <w:rPr>
          <w:color w:val="auto"/>
          <w:spacing w:val="-2"/>
          <w:sz w:val="20"/>
          <w:szCs w:val="20"/>
        </w:rPr>
        <w:t xml:space="preserve"> </w:t>
      </w:r>
      <w:r w:rsidRPr="000977F7">
        <w:rPr>
          <w:color w:val="auto"/>
          <w:sz w:val="20"/>
          <w:szCs w:val="20"/>
        </w:rPr>
        <w:t>НАПРУГИ</w:t>
      </w:r>
      <w:r w:rsidRPr="000977F7">
        <w:rPr>
          <w:color w:val="auto"/>
          <w:spacing w:val="-2"/>
          <w:sz w:val="20"/>
          <w:szCs w:val="20"/>
        </w:rPr>
        <w:t xml:space="preserve"> </w:t>
      </w:r>
      <w:r w:rsidRPr="000977F7">
        <w:rPr>
          <w:color w:val="auto"/>
          <w:sz w:val="20"/>
          <w:szCs w:val="20"/>
        </w:rPr>
        <w:t>–</w:t>
      </w:r>
    </w:p>
    <w:p w14:paraId="4CEA39E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FRONT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 A</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VOLTAGE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IMPULSE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50BC294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Початкова частина імпульсу напруги до досягнення</w:t>
      </w:r>
      <w:r w:rsidRPr="000977F7">
        <w:rPr>
          <w:rFonts w:asciiTheme="majorHAnsi" w:hAnsiTheme="majorHAnsi"/>
          <w:spacing w:val="1"/>
          <w:sz w:val="20"/>
          <w:szCs w:val="20"/>
        </w:rPr>
        <w:t xml:space="preserve"> </w:t>
      </w:r>
      <w:r w:rsidRPr="000977F7">
        <w:rPr>
          <w:rFonts w:asciiTheme="majorHAnsi" w:hAnsiTheme="majorHAnsi"/>
          <w:sz w:val="20"/>
          <w:szCs w:val="20"/>
        </w:rPr>
        <w:t>його максимуму</w:t>
      </w:r>
    </w:p>
    <w:p w14:paraId="5D89A61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04B5E43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ФУНКЦІЇ,</w:t>
      </w:r>
      <w:r w:rsidRPr="000977F7">
        <w:rPr>
          <w:color w:val="auto"/>
          <w:spacing w:val="13"/>
          <w:sz w:val="20"/>
          <w:szCs w:val="20"/>
        </w:rPr>
        <w:t xml:space="preserve"> </w:t>
      </w:r>
      <w:r w:rsidRPr="000977F7">
        <w:rPr>
          <w:color w:val="auto"/>
          <w:sz w:val="20"/>
          <w:szCs w:val="20"/>
        </w:rPr>
        <w:t>ОБОВ’ЯЗКИ</w:t>
      </w:r>
      <w:r w:rsidRPr="000977F7">
        <w:rPr>
          <w:color w:val="auto"/>
          <w:spacing w:val="13"/>
          <w:sz w:val="20"/>
          <w:szCs w:val="20"/>
        </w:rPr>
        <w:t xml:space="preserve"> </w:t>
      </w:r>
      <w:r w:rsidRPr="000977F7">
        <w:rPr>
          <w:color w:val="auto"/>
          <w:sz w:val="20"/>
          <w:szCs w:val="20"/>
        </w:rPr>
        <w:t>ТА</w:t>
      </w:r>
      <w:r w:rsidRPr="000977F7">
        <w:rPr>
          <w:color w:val="auto"/>
          <w:spacing w:val="13"/>
          <w:sz w:val="20"/>
          <w:szCs w:val="20"/>
        </w:rPr>
        <w:t xml:space="preserve"> </w:t>
      </w:r>
      <w:r w:rsidRPr="000977F7">
        <w:rPr>
          <w:color w:val="auto"/>
          <w:sz w:val="20"/>
          <w:szCs w:val="20"/>
        </w:rPr>
        <w:t>ПОВНОВАЖЕННЯ</w:t>
      </w:r>
      <w:r w:rsidRPr="000977F7">
        <w:rPr>
          <w:color w:val="auto"/>
          <w:spacing w:val="13"/>
          <w:sz w:val="20"/>
          <w:szCs w:val="20"/>
        </w:rPr>
        <w:t xml:space="preserve"> </w:t>
      </w:r>
      <w:r w:rsidRPr="000977F7">
        <w:rPr>
          <w:color w:val="auto"/>
          <w:sz w:val="20"/>
          <w:szCs w:val="20"/>
        </w:rPr>
        <w:t>В</w:t>
      </w:r>
      <w:r w:rsidRPr="000977F7">
        <w:rPr>
          <w:color w:val="auto"/>
          <w:spacing w:val="-47"/>
          <w:sz w:val="20"/>
          <w:szCs w:val="20"/>
        </w:rPr>
        <w:t xml:space="preserve">       </w:t>
      </w:r>
      <w:r w:rsidRPr="000977F7">
        <w:rPr>
          <w:color w:val="auto"/>
          <w:sz w:val="20"/>
          <w:szCs w:val="20"/>
        </w:rPr>
        <w:t>МЕЖАХ</w:t>
      </w:r>
      <w:r w:rsidRPr="000977F7">
        <w:rPr>
          <w:color w:val="auto"/>
          <w:spacing w:val="-1"/>
          <w:sz w:val="20"/>
          <w:szCs w:val="20"/>
        </w:rPr>
        <w:t xml:space="preserve"> </w:t>
      </w:r>
      <w:r w:rsidRPr="000977F7">
        <w:rPr>
          <w:color w:val="auto"/>
          <w:sz w:val="20"/>
          <w:szCs w:val="20"/>
        </w:rPr>
        <w:t>ОРГАНІЗАЦІЇ</w:t>
      </w:r>
      <w:r w:rsidRPr="000977F7">
        <w:rPr>
          <w:color w:val="auto"/>
          <w:spacing w:val="1"/>
          <w:sz w:val="20"/>
          <w:szCs w:val="20"/>
        </w:rPr>
        <w:t xml:space="preserve"> </w:t>
      </w:r>
      <w:r w:rsidRPr="000977F7">
        <w:rPr>
          <w:color w:val="auto"/>
          <w:sz w:val="20"/>
          <w:szCs w:val="20"/>
        </w:rPr>
        <w:t>–</w:t>
      </w:r>
    </w:p>
    <w:p w14:paraId="5101421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Найвище</w:t>
      </w:r>
      <w:r w:rsidRPr="000977F7">
        <w:rPr>
          <w:rFonts w:asciiTheme="majorHAnsi" w:hAnsiTheme="majorHAnsi"/>
          <w:spacing w:val="1"/>
          <w:sz w:val="20"/>
          <w:szCs w:val="20"/>
        </w:rPr>
        <w:t xml:space="preserve"> </w:t>
      </w:r>
      <w:r w:rsidRPr="000977F7">
        <w:rPr>
          <w:rFonts w:asciiTheme="majorHAnsi" w:hAnsiTheme="majorHAnsi"/>
          <w:sz w:val="20"/>
          <w:szCs w:val="20"/>
        </w:rPr>
        <w:t>керівництво</w:t>
      </w:r>
      <w:r w:rsidRPr="000977F7">
        <w:rPr>
          <w:rFonts w:asciiTheme="majorHAnsi" w:hAnsiTheme="majorHAnsi"/>
          <w:spacing w:val="1"/>
          <w:sz w:val="20"/>
          <w:szCs w:val="20"/>
        </w:rPr>
        <w:t xml:space="preserve"> </w:t>
      </w:r>
      <w:r w:rsidRPr="000977F7">
        <w:rPr>
          <w:rFonts w:asciiTheme="majorHAnsi" w:hAnsiTheme="majorHAnsi"/>
          <w:sz w:val="20"/>
          <w:szCs w:val="20"/>
        </w:rPr>
        <w:t>повинне</w:t>
      </w:r>
      <w:r w:rsidRPr="000977F7">
        <w:rPr>
          <w:rFonts w:asciiTheme="majorHAnsi" w:hAnsiTheme="majorHAnsi"/>
          <w:spacing w:val="1"/>
          <w:sz w:val="20"/>
          <w:szCs w:val="20"/>
        </w:rPr>
        <w:t xml:space="preserve"> </w:t>
      </w:r>
      <w:r w:rsidRPr="000977F7">
        <w:rPr>
          <w:rFonts w:asciiTheme="majorHAnsi" w:hAnsiTheme="majorHAnsi"/>
          <w:sz w:val="20"/>
          <w:szCs w:val="20"/>
        </w:rPr>
        <w:t>забезпечити,</w:t>
      </w:r>
      <w:r w:rsidRPr="000977F7">
        <w:rPr>
          <w:rFonts w:asciiTheme="majorHAnsi" w:hAnsiTheme="majorHAnsi"/>
          <w:spacing w:val="1"/>
          <w:sz w:val="20"/>
          <w:szCs w:val="20"/>
        </w:rPr>
        <w:t xml:space="preserve"> </w:t>
      </w:r>
      <w:r w:rsidRPr="000977F7">
        <w:rPr>
          <w:rFonts w:asciiTheme="majorHAnsi" w:hAnsiTheme="majorHAnsi"/>
          <w:sz w:val="20"/>
          <w:szCs w:val="20"/>
        </w:rPr>
        <w:t>щоб</w:t>
      </w:r>
      <w:r w:rsidRPr="000977F7">
        <w:rPr>
          <w:rFonts w:asciiTheme="majorHAnsi" w:hAnsiTheme="majorHAnsi"/>
          <w:spacing w:val="1"/>
          <w:sz w:val="20"/>
          <w:szCs w:val="20"/>
        </w:rPr>
        <w:t xml:space="preserve"> </w:t>
      </w:r>
      <w:r w:rsidRPr="000977F7">
        <w:rPr>
          <w:rFonts w:asciiTheme="majorHAnsi" w:hAnsiTheme="majorHAnsi"/>
          <w:sz w:val="20"/>
          <w:szCs w:val="20"/>
        </w:rPr>
        <w:t>обов’язки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повноваження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відповідних</w:t>
      </w:r>
      <w:r w:rsidRPr="000977F7">
        <w:rPr>
          <w:rFonts w:asciiTheme="majorHAnsi" w:hAnsiTheme="majorHAnsi"/>
          <w:spacing w:val="1"/>
          <w:sz w:val="20"/>
          <w:szCs w:val="20"/>
        </w:rPr>
        <w:t xml:space="preserve"> </w:t>
      </w:r>
      <w:r w:rsidRPr="000977F7">
        <w:rPr>
          <w:rFonts w:asciiTheme="majorHAnsi" w:hAnsiTheme="majorHAnsi"/>
          <w:sz w:val="20"/>
          <w:szCs w:val="20"/>
        </w:rPr>
        <w:t>посад</w:t>
      </w:r>
      <w:r w:rsidRPr="000977F7">
        <w:rPr>
          <w:rFonts w:asciiTheme="majorHAnsi" w:hAnsiTheme="majorHAnsi"/>
          <w:spacing w:val="1"/>
          <w:sz w:val="20"/>
          <w:szCs w:val="20"/>
        </w:rPr>
        <w:t xml:space="preserve"> </w:t>
      </w:r>
      <w:r w:rsidRPr="000977F7">
        <w:rPr>
          <w:rFonts w:asciiTheme="majorHAnsi" w:hAnsiTheme="majorHAnsi"/>
          <w:sz w:val="20"/>
          <w:szCs w:val="20"/>
        </w:rPr>
        <w:t>було</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встановлено,</w:t>
      </w:r>
      <w:r w:rsidRPr="000977F7">
        <w:rPr>
          <w:rFonts w:asciiTheme="majorHAnsi" w:hAnsiTheme="majorHAnsi"/>
          <w:spacing w:val="1"/>
          <w:sz w:val="20"/>
          <w:szCs w:val="20"/>
        </w:rPr>
        <w:t xml:space="preserve"> </w:t>
      </w:r>
      <w:r w:rsidRPr="000977F7">
        <w:rPr>
          <w:rFonts w:asciiTheme="majorHAnsi" w:hAnsiTheme="majorHAnsi"/>
          <w:sz w:val="20"/>
          <w:szCs w:val="20"/>
        </w:rPr>
        <w:t>доведено</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відома</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зрозуміло</w:t>
      </w:r>
      <w:r w:rsidRPr="000977F7">
        <w:rPr>
          <w:rFonts w:asciiTheme="majorHAnsi" w:hAnsiTheme="majorHAnsi"/>
          <w:spacing w:val="-47"/>
          <w:sz w:val="20"/>
          <w:szCs w:val="20"/>
        </w:rPr>
        <w:t xml:space="preserve"> </w:t>
      </w:r>
      <w:r w:rsidRPr="000977F7">
        <w:rPr>
          <w:rFonts w:asciiTheme="majorHAnsi" w:hAnsiTheme="majorHAnsi"/>
          <w:sz w:val="20"/>
          <w:szCs w:val="20"/>
        </w:rPr>
        <w:t>зазначено в</w:t>
      </w:r>
      <w:r w:rsidRPr="000977F7">
        <w:rPr>
          <w:rFonts w:asciiTheme="majorHAnsi" w:hAnsiTheme="majorHAnsi"/>
          <w:spacing w:val="-1"/>
          <w:sz w:val="20"/>
          <w:szCs w:val="20"/>
        </w:rPr>
        <w:t xml:space="preserve"> </w:t>
      </w:r>
      <w:r w:rsidRPr="000977F7">
        <w:rPr>
          <w:rFonts w:asciiTheme="majorHAnsi" w:hAnsiTheme="majorHAnsi"/>
          <w:sz w:val="20"/>
          <w:szCs w:val="20"/>
        </w:rPr>
        <w:t>межах</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p>
    <w:p w14:paraId="385034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Найвище керівництво повинне встановити обов’язки</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повноваження</w:t>
      </w:r>
      <w:r w:rsidRPr="000977F7">
        <w:rPr>
          <w:rFonts w:asciiTheme="majorHAnsi" w:hAnsiTheme="majorHAnsi"/>
          <w:spacing w:val="-1"/>
          <w:sz w:val="20"/>
          <w:szCs w:val="20"/>
        </w:rPr>
        <w:t xml:space="preserve"> </w:t>
      </w:r>
      <w:r w:rsidRPr="000977F7">
        <w:rPr>
          <w:rFonts w:asciiTheme="majorHAnsi" w:hAnsiTheme="majorHAnsi"/>
          <w:sz w:val="20"/>
          <w:szCs w:val="20"/>
        </w:rPr>
        <w:t>для</w:t>
      </w:r>
    </w:p>
    <w:p w14:paraId="77EBD6E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 забезпечення, щоб система управління якістю відповідала</w:t>
      </w:r>
      <w:r w:rsidRPr="000977F7">
        <w:rPr>
          <w:rFonts w:asciiTheme="majorHAnsi" w:hAnsiTheme="majorHAnsi"/>
          <w:spacing w:val="-1"/>
          <w:sz w:val="20"/>
          <w:szCs w:val="20"/>
        </w:rPr>
        <w:t xml:space="preserve"> </w:t>
      </w:r>
      <w:r w:rsidRPr="000977F7">
        <w:rPr>
          <w:rFonts w:asciiTheme="majorHAnsi" w:hAnsiTheme="majorHAnsi"/>
          <w:sz w:val="20"/>
          <w:szCs w:val="20"/>
        </w:rPr>
        <w:t>вимогам цього</w:t>
      </w:r>
      <w:r w:rsidRPr="000977F7">
        <w:rPr>
          <w:rFonts w:asciiTheme="majorHAnsi" w:hAnsiTheme="majorHAnsi"/>
          <w:spacing w:val="1"/>
          <w:sz w:val="20"/>
          <w:szCs w:val="20"/>
        </w:rPr>
        <w:t xml:space="preserve"> </w:t>
      </w:r>
      <w:r w:rsidRPr="000977F7">
        <w:rPr>
          <w:rFonts w:asciiTheme="majorHAnsi" w:hAnsiTheme="majorHAnsi"/>
          <w:sz w:val="20"/>
          <w:szCs w:val="20"/>
        </w:rPr>
        <w:t>стандарту;</w:t>
      </w:r>
    </w:p>
    <w:p w14:paraId="2DA08016" w14:textId="77777777" w:rsidR="0097612F" w:rsidRPr="000977F7" w:rsidRDefault="0097612F" w:rsidP="00FD39A4">
      <w:pPr>
        <w:pStyle w:val="ac"/>
        <w:widowControl w:val="0"/>
        <w:numPr>
          <w:ilvl w:val="0"/>
          <w:numId w:val="68"/>
        </w:numPr>
        <w:tabs>
          <w:tab w:val="left" w:pos="284"/>
          <w:tab w:val="left" w:pos="64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забезпечення</w:t>
      </w:r>
      <w:r w:rsidRPr="000977F7">
        <w:rPr>
          <w:rFonts w:asciiTheme="majorHAnsi" w:hAnsiTheme="majorHAnsi"/>
          <w:spacing w:val="1"/>
          <w:sz w:val="20"/>
          <w:szCs w:val="20"/>
        </w:rPr>
        <w:t xml:space="preserve"> </w:t>
      </w:r>
      <w:r w:rsidRPr="000977F7">
        <w:rPr>
          <w:rFonts w:asciiTheme="majorHAnsi" w:hAnsiTheme="majorHAnsi"/>
          <w:sz w:val="20"/>
          <w:szCs w:val="20"/>
        </w:rPr>
        <w:t>отримання</w:t>
      </w:r>
      <w:r w:rsidRPr="000977F7">
        <w:rPr>
          <w:rFonts w:asciiTheme="majorHAnsi" w:hAnsiTheme="majorHAnsi"/>
          <w:spacing w:val="1"/>
          <w:sz w:val="20"/>
          <w:szCs w:val="20"/>
        </w:rPr>
        <w:t xml:space="preserve"> </w:t>
      </w:r>
      <w:r w:rsidRPr="000977F7">
        <w:rPr>
          <w:rFonts w:asciiTheme="majorHAnsi" w:hAnsiTheme="majorHAnsi"/>
          <w:sz w:val="20"/>
          <w:szCs w:val="20"/>
        </w:rPr>
        <w:t>запланованих</w:t>
      </w:r>
      <w:r w:rsidRPr="000977F7">
        <w:rPr>
          <w:rFonts w:asciiTheme="majorHAnsi" w:hAnsiTheme="majorHAnsi"/>
          <w:spacing w:val="1"/>
          <w:sz w:val="20"/>
          <w:szCs w:val="20"/>
        </w:rPr>
        <w:t xml:space="preserve"> </w:t>
      </w:r>
      <w:r w:rsidRPr="000977F7">
        <w:rPr>
          <w:rFonts w:asciiTheme="majorHAnsi" w:hAnsiTheme="majorHAnsi"/>
          <w:sz w:val="20"/>
          <w:szCs w:val="20"/>
        </w:rPr>
        <w:t>виходів</w:t>
      </w:r>
      <w:r w:rsidRPr="000977F7">
        <w:rPr>
          <w:rFonts w:asciiTheme="majorHAnsi" w:hAnsiTheme="majorHAnsi"/>
          <w:spacing w:val="-47"/>
          <w:sz w:val="20"/>
          <w:szCs w:val="20"/>
        </w:rPr>
        <w:t xml:space="preserve"> </w:t>
      </w:r>
      <w:r w:rsidRPr="000977F7">
        <w:rPr>
          <w:rFonts w:asciiTheme="majorHAnsi" w:hAnsiTheme="majorHAnsi"/>
          <w:sz w:val="20"/>
          <w:szCs w:val="20"/>
        </w:rPr>
        <w:t>процесів;</w:t>
      </w:r>
    </w:p>
    <w:p w14:paraId="015EA4F0" w14:textId="77777777" w:rsidR="0097612F" w:rsidRPr="000977F7" w:rsidRDefault="0097612F" w:rsidP="00FD39A4">
      <w:pPr>
        <w:pStyle w:val="ac"/>
        <w:widowControl w:val="0"/>
        <w:numPr>
          <w:ilvl w:val="0"/>
          <w:numId w:val="68"/>
        </w:numPr>
        <w:tabs>
          <w:tab w:val="left" w:pos="284"/>
          <w:tab w:val="left" w:pos="54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звітування про дієвість системи управління якістю</w:t>
      </w:r>
      <w:r w:rsidRPr="000977F7">
        <w:rPr>
          <w:rFonts w:asciiTheme="majorHAnsi" w:hAnsiTheme="majorHAnsi"/>
          <w:spacing w:val="1"/>
          <w:sz w:val="20"/>
          <w:szCs w:val="20"/>
        </w:rPr>
        <w:t xml:space="preserve"> </w:t>
      </w:r>
      <w:r w:rsidRPr="000977F7">
        <w:rPr>
          <w:rFonts w:asciiTheme="majorHAnsi" w:hAnsiTheme="majorHAnsi"/>
          <w:sz w:val="20"/>
          <w:szCs w:val="20"/>
        </w:rPr>
        <w:t>та про можливість для поліпшення (дивись: ПОЛІПШУВАННЯ)</w:t>
      </w:r>
      <w:r w:rsidRPr="000977F7">
        <w:rPr>
          <w:rFonts w:asciiTheme="majorHAnsi" w:hAnsiTheme="majorHAnsi"/>
          <w:spacing w:val="-3"/>
          <w:sz w:val="20"/>
          <w:szCs w:val="20"/>
        </w:rPr>
        <w:t xml:space="preserve"> </w:t>
      </w:r>
      <w:r w:rsidRPr="000977F7">
        <w:rPr>
          <w:rFonts w:asciiTheme="majorHAnsi" w:hAnsiTheme="majorHAnsi"/>
          <w:sz w:val="20"/>
          <w:szCs w:val="20"/>
        </w:rPr>
        <w:t>зокрема</w:t>
      </w:r>
      <w:r w:rsidRPr="000977F7">
        <w:rPr>
          <w:rFonts w:asciiTheme="majorHAnsi" w:hAnsiTheme="majorHAnsi"/>
          <w:spacing w:val="-3"/>
          <w:sz w:val="20"/>
          <w:szCs w:val="20"/>
        </w:rPr>
        <w:t xml:space="preserve"> </w:t>
      </w:r>
      <w:r w:rsidRPr="000977F7">
        <w:rPr>
          <w:rFonts w:asciiTheme="majorHAnsi" w:hAnsiTheme="majorHAnsi"/>
          <w:sz w:val="20"/>
          <w:szCs w:val="20"/>
        </w:rPr>
        <w:t>перед</w:t>
      </w:r>
      <w:r w:rsidRPr="000977F7">
        <w:rPr>
          <w:rFonts w:asciiTheme="majorHAnsi" w:hAnsiTheme="majorHAnsi"/>
          <w:spacing w:val="-4"/>
          <w:sz w:val="20"/>
          <w:szCs w:val="20"/>
        </w:rPr>
        <w:t xml:space="preserve"> </w:t>
      </w:r>
      <w:r w:rsidRPr="000977F7">
        <w:rPr>
          <w:rFonts w:asciiTheme="majorHAnsi" w:hAnsiTheme="majorHAnsi"/>
          <w:sz w:val="20"/>
          <w:szCs w:val="20"/>
        </w:rPr>
        <w:t>найвищим</w:t>
      </w:r>
      <w:r w:rsidRPr="000977F7">
        <w:rPr>
          <w:rFonts w:asciiTheme="majorHAnsi" w:hAnsiTheme="majorHAnsi"/>
          <w:spacing w:val="-3"/>
          <w:sz w:val="20"/>
          <w:szCs w:val="20"/>
        </w:rPr>
        <w:t xml:space="preserve"> </w:t>
      </w:r>
      <w:r w:rsidRPr="000977F7">
        <w:rPr>
          <w:rFonts w:asciiTheme="majorHAnsi" w:hAnsiTheme="majorHAnsi"/>
          <w:sz w:val="20"/>
          <w:szCs w:val="20"/>
        </w:rPr>
        <w:t>керівництвом;</w:t>
      </w:r>
    </w:p>
    <w:p w14:paraId="26EA2F9B" w14:textId="77777777" w:rsidR="0097612F" w:rsidRPr="000977F7" w:rsidRDefault="0097612F" w:rsidP="00FD39A4">
      <w:pPr>
        <w:pStyle w:val="ac"/>
        <w:widowControl w:val="0"/>
        <w:numPr>
          <w:ilvl w:val="0"/>
          <w:numId w:val="68"/>
        </w:numPr>
        <w:tabs>
          <w:tab w:val="left" w:pos="284"/>
          <w:tab w:val="left" w:pos="57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забезпечити сприяння орієнтації на замовника на</w:t>
      </w:r>
      <w:r w:rsidRPr="000977F7">
        <w:rPr>
          <w:rFonts w:asciiTheme="majorHAnsi" w:hAnsiTheme="majorHAnsi"/>
          <w:spacing w:val="1"/>
          <w:sz w:val="20"/>
          <w:szCs w:val="20"/>
        </w:rPr>
        <w:t xml:space="preserve"> </w:t>
      </w:r>
      <w:r w:rsidRPr="000977F7">
        <w:rPr>
          <w:rFonts w:asciiTheme="majorHAnsi" w:hAnsiTheme="majorHAnsi"/>
          <w:sz w:val="20"/>
          <w:szCs w:val="20"/>
        </w:rPr>
        <w:t>всіх</w:t>
      </w:r>
      <w:r w:rsidRPr="000977F7">
        <w:rPr>
          <w:rFonts w:asciiTheme="majorHAnsi" w:hAnsiTheme="majorHAnsi"/>
          <w:spacing w:val="-3"/>
          <w:sz w:val="20"/>
          <w:szCs w:val="20"/>
        </w:rPr>
        <w:t xml:space="preserve"> </w:t>
      </w:r>
      <w:r w:rsidRPr="000977F7">
        <w:rPr>
          <w:rFonts w:asciiTheme="majorHAnsi" w:hAnsiTheme="majorHAnsi"/>
          <w:sz w:val="20"/>
          <w:szCs w:val="20"/>
        </w:rPr>
        <w:t>рівнях</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організації;</w:t>
      </w:r>
    </w:p>
    <w:p w14:paraId="01310B6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 забезпечення, щоб</w:t>
      </w:r>
      <w:r w:rsidRPr="000977F7">
        <w:rPr>
          <w:rFonts w:asciiTheme="majorHAnsi" w:hAnsiTheme="majorHAnsi"/>
          <w:spacing w:val="1"/>
          <w:sz w:val="20"/>
          <w:szCs w:val="20"/>
        </w:rPr>
        <w:t xml:space="preserve"> </w:t>
      </w:r>
      <w:r w:rsidRPr="000977F7">
        <w:rPr>
          <w:rFonts w:asciiTheme="majorHAnsi" w:hAnsiTheme="majorHAnsi"/>
          <w:sz w:val="20"/>
          <w:szCs w:val="20"/>
        </w:rPr>
        <w:t>у разі планування та запроваджування змін до системи управління якістю не було</w:t>
      </w:r>
      <w:r w:rsidRPr="000977F7">
        <w:rPr>
          <w:rFonts w:asciiTheme="majorHAnsi" w:hAnsiTheme="majorHAnsi"/>
          <w:spacing w:val="1"/>
          <w:sz w:val="20"/>
          <w:szCs w:val="20"/>
        </w:rPr>
        <w:t xml:space="preserve"> </w:t>
      </w:r>
      <w:r w:rsidRPr="000977F7">
        <w:rPr>
          <w:rFonts w:asciiTheme="majorHAnsi" w:hAnsiTheme="majorHAnsi"/>
          <w:sz w:val="20"/>
          <w:szCs w:val="20"/>
        </w:rPr>
        <w:t>порушено</w:t>
      </w:r>
      <w:r w:rsidRPr="000977F7">
        <w:rPr>
          <w:rFonts w:asciiTheme="majorHAnsi" w:hAnsiTheme="majorHAnsi"/>
          <w:spacing w:val="-2"/>
          <w:sz w:val="20"/>
          <w:szCs w:val="20"/>
        </w:rPr>
        <w:t xml:space="preserve"> </w:t>
      </w:r>
      <w:r w:rsidRPr="000977F7">
        <w:rPr>
          <w:rFonts w:asciiTheme="majorHAnsi" w:hAnsiTheme="majorHAnsi"/>
          <w:sz w:val="20"/>
          <w:szCs w:val="20"/>
        </w:rPr>
        <w:t>цілісності</w:t>
      </w:r>
      <w:r w:rsidRPr="000977F7">
        <w:rPr>
          <w:rFonts w:asciiTheme="majorHAnsi" w:hAnsiTheme="majorHAnsi"/>
          <w:spacing w:val="-2"/>
          <w:sz w:val="20"/>
          <w:szCs w:val="20"/>
        </w:rPr>
        <w:t xml:space="preserve"> </w:t>
      </w:r>
      <w:r w:rsidRPr="000977F7">
        <w:rPr>
          <w:rFonts w:asciiTheme="majorHAnsi" w:hAnsiTheme="majorHAnsi"/>
          <w:sz w:val="20"/>
          <w:szCs w:val="20"/>
        </w:rPr>
        <w:t>системи управління</w:t>
      </w:r>
      <w:r w:rsidRPr="000977F7">
        <w:rPr>
          <w:rFonts w:asciiTheme="majorHAnsi" w:hAnsiTheme="majorHAnsi"/>
          <w:spacing w:val="-2"/>
          <w:sz w:val="20"/>
          <w:szCs w:val="20"/>
        </w:rPr>
        <w:t xml:space="preserve"> </w:t>
      </w:r>
      <w:r w:rsidRPr="000977F7">
        <w:rPr>
          <w:rFonts w:asciiTheme="majorHAnsi" w:hAnsiTheme="majorHAnsi"/>
          <w:sz w:val="20"/>
          <w:szCs w:val="20"/>
        </w:rPr>
        <w:t>якістю.</w:t>
      </w:r>
    </w:p>
    <w:p w14:paraId="519029D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 п. 5.3</w:t>
      </w:r>
    </w:p>
    <w:p w14:paraId="22A1885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ФУНКЦІЙНА</w:t>
      </w:r>
      <w:r w:rsidRPr="000977F7">
        <w:rPr>
          <w:color w:val="auto"/>
          <w:spacing w:val="-4"/>
          <w:sz w:val="20"/>
          <w:szCs w:val="20"/>
        </w:rPr>
        <w:t xml:space="preserve"> </w:t>
      </w:r>
      <w:r w:rsidRPr="000977F7">
        <w:rPr>
          <w:color w:val="auto"/>
          <w:sz w:val="20"/>
          <w:szCs w:val="20"/>
        </w:rPr>
        <w:t>СТРУКТУРА</w:t>
      </w:r>
      <w:r w:rsidRPr="000977F7">
        <w:rPr>
          <w:color w:val="auto"/>
          <w:spacing w:val="-4"/>
          <w:sz w:val="20"/>
          <w:szCs w:val="20"/>
        </w:rPr>
        <w:t xml:space="preserve"> </w:t>
      </w:r>
      <w:r w:rsidRPr="000977F7">
        <w:rPr>
          <w:color w:val="auto"/>
          <w:sz w:val="20"/>
          <w:szCs w:val="20"/>
        </w:rPr>
        <w:t>КЕРУВАННЯ –</w:t>
      </w:r>
    </w:p>
    <w:p w14:paraId="29F74E0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Організаційна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структура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керування,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ґрунтується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на розподілі праці та відповідальності між функційними ланками і керівниками, які мають усі права розпорядництва з питань, що входять до компетенції їх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діяльності</w:t>
      </w:r>
    </w:p>
    <w:p w14:paraId="0F799B7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2960</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474E092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ФУНКЦІЙНІ</w:t>
      </w:r>
      <w:r w:rsidRPr="000977F7">
        <w:rPr>
          <w:color w:val="auto"/>
          <w:spacing w:val="-6"/>
          <w:sz w:val="20"/>
          <w:szCs w:val="20"/>
        </w:rPr>
        <w:t xml:space="preserve"> </w:t>
      </w:r>
      <w:r w:rsidRPr="000977F7">
        <w:rPr>
          <w:color w:val="auto"/>
          <w:sz w:val="20"/>
          <w:szCs w:val="20"/>
        </w:rPr>
        <w:t>ВИПРОБУВАННЯ</w:t>
      </w:r>
      <w:r w:rsidRPr="000977F7">
        <w:rPr>
          <w:color w:val="auto"/>
          <w:spacing w:val="-1"/>
          <w:sz w:val="20"/>
          <w:szCs w:val="20"/>
        </w:rPr>
        <w:t xml:space="preserve"> </w:t>
      </w:r>
      <w:r w:rsidRPr="000977F7">
        <w:rPr>
          <w:color w:val="auto"/>
          <w:sz w:val="20"/>
          <w:szCs w:val="20"/>
        </w:rPr>
        <w:t>–</w:t>
      </w:r>
    </w:p>
    <w:p w14:paraId="17C2371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FUNCTIONAL</w:t>
      </w:r>
      <w:r w:rsidRPr="004D2D14">
        <w:rPr>
          <w:rFonts w:asciiTheme="majorHAnsi" w:hAnsiTheme="majorHAnsi"/>
          <w:spacing w:val="-4"/>
          <w:sz w:val="20"/>
          <w:szCs w:val="20"/>
          <w:lang w:val="uk-UA"/>
        </w:rPr>
        <w:t xml:space="preserve"> </w:t>
      </w:r>
      <w:r w:rsidRPr="000977F7">
        <w:rPr>
          <w:rFonts w:asciiTheme="majorHAnsi" w:hAnsiTheme="majorHAnsi"/>
          <w:sz w:val="20"/>
          <w:szCs w:val="20"/>
        </w:rPr>
        <w:t>TEST</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w:t>
      </w:r>
    </w:p>
    <w:p w14:paraId="10C78AD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що проводяться з метою визначення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значень</w:t>
      </w:r>
      <w:r w:rsidRPr="000977F7">
        <w:rPr>
          <w:rFonts w:asciiTheme="majorHAnsi" w:hAnsiTheme="majorHAnsi"/>
          <w:spacing w:val="-1"/>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2"/>
          <w:sz w:val="20"/>
          <w:szCs w:val="20"/>
        </w:rPr>
        <w:t xml:space="preserve"> </w:t>
      </w:r>
      <w:r w:rsidRPr="000977F7">
        <w:rPr>
          <w:rFonts w:asciiTheme="majorHAnsi" w:hAnsiTheme="majorHAnsi"/>
          <w:sz w:val="20"/>
          <w:szCs w:val="20"/>
        </w:rPr>
        <w:t>призначення</w:t>
      </w:r>
      <w:r w:rsidRPr="000977F7">
        <w:rPr>
          <w:rFonts w:asciiTheme="majorHAnsi" w:hAnsiTheme="majorHAnsi"/>
          <w:spacing w:val="-1"/>
          <w:sz w:val="20"/>
          <w:szCs w:val="20"/>
        </w:rPr>
        <w:t xml:space="preserve"> </w:t>
      </w:r>
      <w:r w:rsidRPr="000977F7">
        <w:rPr>
          <w:rFonts w:asciiTheme="majorHAnsi" w:hAnsiTheme="majorHAnsi"/>
          <w:sz w:val="20"/>
          <w:szCs w:val="20"/>
        </w:rPr>
        <w:t>об’єкта</w:t>
      </w:r>
    </w:p>
    <w:p w14:paraId="52259FF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ФУНКЦІОНАЛЬНА</w:t>
      </w:r>
      <w:r w:rsidRPr="000977F7">
        <w:rPr>
          <w:color w:val="auto"/>
          <w:spacing w:val="23"/>
          <w:sz w:val="20"/>
          <w:szCs w:val="20"/>
        </w:rPr>
        <w:t xml:space="preserve"> </w:t>
      </w:r>
      <w:r w:rsidRPr="000977F7">
        <w:rPr>
          <w:color w:val="auto"/>
          <w:sz w:val="20"/>
          <w:szCs w:val="20"/>
        </w:rPr>
        <w:t>ВІДМОВА</w:t>
      </w:r>
      <w:r w:rsidRPr="000977F7">
        <w:rPr>
          <w:color w:val="auto"/>
          <w:spacing w:val="24"/>
          <w:sz w:val="20"/>
          <w:szCs w:val="20"/>
        </w:rPr>
        <w:t xml:space="preserve"> </w:t>
      </w:r>
      <w:r w:rsidRPr="000977F7">
        <w:rPr>
          <w:color w:val="auto"/>
          <w:sz w:val="20"/>
          <w:szCs w:val="20"/>
        </w:rPr>
        <w:t>ТЕХНОЛОГІЧНОЇ</w:t>
      </w:r>
      <w:r w:rsidRPr="000977F7">
        <w:rPr>
          <w:color w:val="auto"/>
          <w:spacing w:val="4"/>
          <w:sz w:val="20"/>
          <w:szCs w:val="20"/>
        </w:rPr>
        <w:t xml:space="preserve"> </w:t>
      </w:r>
      <w:r w:rsidRPr="000977F7">
        <w:rPr>
          <w:color w:val="auto"/>
          <w:sz w:val="20"/>
          <w:szCs w:val="20"/>
        </w:rPr>
        <w:t>СИСТЕМИ</w:t>
      </w:r>
      <w:r w:rsidRPr="000977F7">
        <w:rPr>
          <w:color w:val="auto"/>
          <w:spacing w:val="5"/>
          <w:sz w:val="20"/>
          <w:szCs w:val="20"/>
        </w:rPr>
        <w:t xml:space="preserve"> </w:t>
      </w:r>
      <w:r w:rsidRPr="000977F7">
        <w:rPr>
          <w:color w:val="auto"/>
          <w:sz w:val="20"/>
          <w:szCs w:val="20"/>
        </w:rPr>
        <w:t>–</w:t>
      </w:r>
    </w:p>
    <w:p w14:paraId="08767C0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FUNCTIONAL</w:t>
      </w:r>
      <w:r w:rsidRPr="004D2D14">
        <w:rPr>
          <w:rFonts w:asciiTheme="majorHAnsi" w:hAnsiTheme="majorHAnsi"/>
          <w:spacing w:val="15"/>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18"/>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6"/>
          <w:sz w:val="20"/>
          <w:szCs w:val="20"/>
          <w:lang w:val="en-US"/>
        </w:rPr>
        <w:t xml:space="preserve"> </w:t>
      </w:r>
      <w:r w:rsidRPr="004D2D14">
        <w:rPr>
          <w:rFonts w:asciiTheme="majorHAnsi" w:hAnsiTheme="majorHAnsi"/>
          <w:sz w:val="20"/>
          <w:szCs w:val="20"/>
          <w:lang w:val="en-US"/>
        </w:rPr>
        <w:t>TECHNOLOGICAL</w:t>
      </w:r>
      <w:r w:rsidRPr="004D2D14">
        <w:rPr>
          <w:rFonts w:asciiTheme="majorHAnsi" w:hAnsiTheme="majorHAnsi"/>
          <w:spacing w:val="-47"/>
          <w:sz w:val="20"/>
          <w:szCs w:val="20"/>
          <w:lang w:val="en-US"/>
        </w:rPr>
        <w:t xml:space="preserve"> </w:t>
      </w:r>
      <w:r w:rsidRPr="004D2D14">
        <w:rPr>
          <w:rFonts w:asciiTheme="majorHAnsi" w:hAnsiTheme="majorHAnsi"/>
          <w:sz w:val="20"/>
          <w:szCs w:val="20"/>
          <w:lang w:val="en-US"/>
        </w:rPr>
        <w:t>SYSTEM</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448011D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технологічної</w:t>
      </w:r>
      <w:r w:rsidRPr="000977F7">
        <w:rPr>
          <w:rFonts w:asciiTheme="majorHAnsi" w:hAnsiTheme="majorHAnsi"/>
          <w:spacing w:val="1"/>
          <w:sz w:val="20"/>
          <w:szCs w:val="20"/>
        </w:rPr>
        <w:t xml:space="preserve"> </w:t>
      </w:r>
      <w:r w:rsidRPr="000977F7">
        <w:rPr>
          <w:rFonts w:asciiTheme="majorHAnsi" w:hAnsiTheme="majorHAnsi"/>
          <w:sz w:val="20"/>
          <w:szCs w:val="20"/>
        </w:rPr>
        <w:t>системи,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результаті</w:t>
      </w:r>
      <w:r w:rsidRPr="000977F7">
        <w:rPr>
          <w:rFonts w:asciiTheme="majorHAnsi" w:hAnsiTheme="majorHAnsi"/>
          <w:spacing w:val="1"/>
          <w:sz w:val="20"/>
          <w:szCs w:val="20"/>
        </w:rPr>
        <w:t xml:space="preserve"> </w:t>
      </w:r>
      <w:r w:rsidRPr="000977F7">
        <w:rPr>
          <w:rFonts w:asciiTheme="majorHAnsi" w:hAnsiTheme="majorHAnsi"/>
          <w:sz w:val="20"/>
          <w:szCs w:val="20"/>
        </w:rPr>
        <w:t>якої</w:t>
      </w:r>
      <w:r w:rsidRPr="000977F7">
        <w:rPr>
          <w:rFonts w:asciiTheme="majorHAnsi" w:hAnsiTheme="majorHAnsi"/>
          <w:spacing w:val="1"/>
          <w:sz w:val="20"/>
          <w:szCs w:val="20"/>
        </w:rPr>
        <w:t xml:space="preserve"> </w:t>
      </w:r>
      <w:r w:rsidRPr="000977F7">
        <w:rPr>
          <w:rFonts w:asciiTheme="majorHAnsi" w:hAnsiTheme="majorHAnsi"/>
          <w:sz w:val="20"/>
          <w:szCs w:val="20"/>
        </w:rPr>
        <w:t>настає припинення її функціонування, не передбачене</w:t>
      </w:r>
      <w:r w:rsidRPr="000977F7">
        <w:rPr>
          <w:rFonts w:asciiTheme="majorHAnsi" w:hAnsiTheme="majorHAnsi"/>
          <w:spacing w:val="1"/>
          <w:sz w:val="20"/>
          <w:szCs w:val="20"/>
        </w:rPr>
        <w:t xml:space="preserve"> </w:t>
      </w:r>
      <w:r w:rsidRPr="000977F7">
        <w:rPr>
          <w:rFonts w:asciiTheme="majorHAnsi" w:hAnsiTheme="majorHAnsi"/>
          <w:sz w:val="20"/>
          <w:szCs w:val="20"/>
        </w:rPr>
        <w:t>регламентованими</w:t>
      </w:r>
      <w:r w:rsidRPr="000977F7">
        <w:rPr>
          <w:rFonts w:asciiTheme="majorHAnsi" w:hAnsiTheme="majorHAnsi"/>
          <w:spacing w:val="1"/>
          <w:sz w:val="20"/>
          <w:szCs w:val="20"/>
        </w:rPr>
        <w:t xml:space="preserve"> </w:t>
      </w:r>
      <w:r w:rsidRPr="000977F7">
        <w:rPr>
          <w:rFonts w:asciiTheme="majorHAnsi" w:hAnsiTheme="majorHAnsi"/>
          <w:sz w:val="20"/>
          <w:szCs w:val="20"/>
        </w:rPr>
        <w:t>умовами</w:t>
      </w:r>
      <w:r w:rsidRPr="000977F7">
        <w:rPr>
          <w:rFonts w:asciiTheme="majorHAnsi" w:hAnsiTheme="majorHAnsi"/>
          <w:spacing w:val="1"/>
          <w:sz w:val="20"/>
          <w:szCs w:val="20"/>
        </w:rPr>
        <w:t xml:space="preserve"> </w:t>
      </w:r>
      <w:r w:rsidRPr="000977F7">
        <w:rPr>
          <w:rFonts w:asciiTheme="majorHAnsi" w:hAnsiTheme="majorHAnsi"/>
          <w:sz w:val="20"/>
          <w:szCs w:val="20"/>
        </w:rPr>
        <w:t>виробництва</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конструкторській</w:t>
      </w:r>
      <w:r w:rsidRPr="000977F7">
        <w:rPr>
          <w:rFonts w:asciiTheme="majorHAnsi" w:hAnsiTheme="majorHAnsi"/>
          <w:spacing w:val="4"/>
          <w:sz w:val="20"/>
          <w:szCs w:val="20"/>
        </w:rPr>
        <w:t xml:space="preserve"> </w:t>
      </w:r>
      <w:r w:rsidRPr="000977F7">
        <w:rPr>
          <w:rFonts w:asciiTheme="majorHAnsi" w:hAnsiTheme="majorHAnsi"/>
          <w:sz w:val="20"/>
          <w:szCs w:val="20"/>
        </w:rPr>
        <w:t>документації</w:t>
      </w:r>
    </w:p>
    <w:p w14:paraId="00388ED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ФУНКЦІОНАЛЬНА</w:t>
      </w:r>
      <w:r w:rsidRPr="000977F7">
        <w:rPr>
          <w:color w:val="auto"/>
          <w:spacing w:val="11"/>
          <w:sz w:val="20"/>
          <w:szCs w:val="20"/>
        </w:rPr>
        <w:t xml:space="preserve"> </w:t>
      </w:r>
      <w:r w:rsidRPr="000977F7">
        <w:rPr>
          <w:color w:val="auto"/>
          <w:sz w:val="20"/>
          <w:szCs w:val="20"/>
        </w:rPr>
        <w:t>СХЕМА</w:t>
      </w:r>
      <w:r w:rsidRPr="000977F7">
        <w:rPr>
          <w:color w:val="auto"/>
          <w:spacing w:val="13"/>
          <w:sz w:val="20"/>
          <w:szCs w:val="20"/>
        </w:rPr>
        <w:t xml:space="preserve"> </w:t>
      </w:r>
      <w:r w:rsidRPr="000977F7">
        <w:rPr>
          <w:color w:val="auto"/>
          <w:sz w:val="20"/>
          <w:szCs w:val="20"/>
        </w:rPr>
        <w:t>–</w:t>
      </w:r>
    </w:p>
    <w:p w14:paraId="14CD8B8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Схема,</w:t>
      </w:r>
      <w:r w:rsidRPr="000977F7">
        <w:rPr>
          <w:rFonts w:asciiTheme="majorHAnsi" w:hAnsiTheme="majorHAnsi"/>
          <w:spacing w:val="26"/>
          <w:sz w:val="20"/>
          <w:szCs w:val="20"/>
        </w:rPr>
        <w:t xml:space="preserve"> </w:t>
      </w:r>
      <w:r w:rsidRPr="000977F7">
        <w:rPr>
          <w:rFonts w:asciiTheme="majorHAnsi" w:hAnsiTheme="majorHAnsi"/>
          <w:sz w:val="20"/>
          <w:szCs w:val="20"/>
        </w:rPr>
        <w:t>яка</w:t>
      </w:r>
      <w:r w:rsidRPr="000977F7">
        <w:rPr>
          <w:rFonts w:asciiTheme="majorHAnsi" w:hAnsiTheme="majorHAnsi"/>
          <w:spacing w:val="26"/>
          <w:sz w:val="20"/>
          <w:szCs w:val="20"/>
        </w:rPr>
        <w:t xml:space="preserve"> </w:t>
      </w:r>
      <w:r w:rsidRPr="000977F7">
        <w:rPr>
          <w:rFonts w:asciiTheme="majorHAnsi" w:hAnsiTheme="majorHAnsi"/>
          <w:sz w:val="20"/>
          <w:szCs w:val="20"/>
        </w:rPr>
        <w:t>пояснює</w:t>
      </w:r>
      <w:r w:rsidRPr="000977F7">
        <w:rPr>
          <w:rFonts w:asciiTheme="majorHAnsi" w:hAnsiTheme="majorHAnsi"/>
          <w:spacing w:val="27"/>
          <w:sz w:val="20"/>
          <w:szCs w:val="20"/>
        </w:rPr>
        <w:t xml:space="preserve"> </w:t>
      </w:r>
      <w:r w:rsidRPr="000977F7">
        <w:rPr>
          <w:rFonts w:asciiTheme="majorHAnsi" w:hAnsiTheme="majorHAnsi"/>
          <w:sz w:val="20"/>
          <w:szCs w:val="20"/>
        </w:rPr>
        <w:t>певні</w:t>
      </w:r>
      <w:r w:rsidRPr="000977F7">
        <w:rPr>
          <w:rFonts w:asciiTheme="majorHAnsi" w:hAnsiTheme="majorHAnsi"/>
          <w:spacing w:val="23"/>
          <w:sz w:val="20"/>
          <w:szCs w:val="20"/>
        </w:rPr>
        <w:t xml:space="preserve"> </w:t>
      </w:r>
      <w:r w:rsidRPr="000977F7">
        <w:rPr>
          <w:rFonts w:asciiTheme="majorHAnsi" w:hAnsiTheme="majorHAnsi"/>
          <w:sz w:val="20"/>
          <w:szCs w:val="20"/>
        </w:rPr>
        <w:t>процеси,</w:t>
      </w:r>
      <w:r w:rsidRPr="000977F7">
        <w:rPr>
          <w:rFonts w:asciiTheme="majorHAnsi" w:hAnsiTheme="majorHAnsi"/>
          <w:spacing w:val="26"/>
          <w:sz w:val="20"/>
          <w:szCs w:val="20"/>
        </w:rPr>
        <w:t xml:space="preserve"> </w:t>
      </w:r>
      <w:r w:rsidRPr="000977F7">
        <w:rPr>
          <w:rFonts w:asciiTheme="majorHAnsi" w:hAnsiTheme="majorHAnsi"/>
          <w:sz w:val="20"/>
          <w:szCs w:val="20"/>
        </w:rPr>
        <w:t>що</w:t>
      </w:r>
      <w:r w:rsidRPr="000977F7">
        <w:rPr>
          <w:rFonts w:asciiTheme="majorHAnsi" w:hAnsiTheme="majorHAnsi"/>
          <w:spacing w:val="24"/>
          <w:sz w:val="20"/>
          <w:szCs w:val="20"/>
        </w:rPr>
        <w:t xml:space="preserve"> </w:t>
      </w:r>
      <w:r w:rsidRPr="000977F7">
        <w:rPr>
          <w:rFonts w:asciiTheme="majorHAnsi" w:hAnsiTheme="majorHAnsi"/>
          <w:sz w:val="20"/>
          <w:szCs w:val="20"/>
        </w:rPr>
        <w:t>відбуваються</w:t>
      </w:r>
      <w:r w:rsidRPr="000977F7">
        <w:rPr>
          <w:rFonts w:asciiTheme="majorHAnsi" w:hAnsiTheme="majorHAnsi"/>
          <w:spacing w:val="-47"/>
          <w:sz w:val="20"/>
          <w:szCs w:val="20"/>
        </w:rPr>
        <w:t xml:space="preserve"> </w:t>
      </w:r>
      <w:r w:rsidRPr="000977F7">
        <w:rPr>
          <w:rFonts w:asciiTheme="majorHAnsi" w:hAnsiTheme="majorHAnsi"/>
          <w:sz w:val="20"/>
          <w:szCs w:val="20"/>
        </w:rPr>
        <w:t>у виробі (уставі) загалом чи в його окремих функціональних</w:t>
      </w:r>
      <w:r w:rsidRPr="000977F7">
        <w:rPr>
          <w:rFonts w:asciiTheme="majorHAnsi" w:hAnsiTheme="majorHAnsi"/>
          <w:spacing w:val="3"/>
          <w:sz w:val="20"/>
          <w:szCs w:val="20"/>
        </w:rPr>
        <w:t xml:space="preserve"> </w:t>
      </w:r>
      <w:r w:rsidRPr="000977F7">
        <w:rPr>
          <w:rFonts w:asciiTheme="majorHAnsi" w:hAnsiTheme="majorHAnsi"/>
          <w:sz w:val="20"/>
          <w:szCs w:val="20"/>
        </w:rPr>
        <w:t>колах</w:t>
      </w:r>
    </w:p>
    <w:p w14:paraId="2C6D97D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lastRenderedPageBreak/>
        <w:t>ДСТУ</w:t>
      </w:r>
      <w:r w:rsidRPr="000977F7">
        <w:rPr>
          <w:rFonts w:asciiTheme="majorHAnsi" w:hAnsiTheme="majorHAnsi"/>
          <w:i/>
          <w:spacing w:val="7"/>
          <w:sz w:val="20"/>
          <w:szCs w:val="20"/>
        </w:rPr>
        <w:t xml:space="preserve"> </w:t>
      </w:r>
      <w:r w:rsidRPr="000977F7">
        <w:rPr>
          <w:rFonts w:asciiTheme="majorHAnsi" w:hAnsiTheme="majorHAnsi"/>
          <w:i/>
          <w:sz w:val="20"/>
          <w:szCs w:val="20"/>
        </w:rPr>
        <w:t>3321</w:t>
      </w:r>
      <w:r w:rsidRPr="000977F7">
        <w:rPr>
          <w:rFonts w:asciiTheme="majorHAnsi" w:hAnsiTheme="majorHAnsi"/>
          <w:i/>
          <w:spacing w:val="8"/>
          <w:sz w:val="20"/>
          <w:szCs w:val="20"/>
        </w:rPr>
        <w:t xml:space="preserve"> </w:t>
      </w:r>
      <w:r w:rsidRPr="000977F7">
        <w:rPr>
          <w:rFonts w:asciiTheme="majorHAnsi" w:hAnsiTheme="majorHAnsi"/>
          <w:i/>
          <w:sz w:val="20"/>
          <w:szCs w:val="20"/>
        </w:rPr>
        <w:t>–</w:t>
      </w:r>
      <w:r w:rsidRPr="000977F7">
        <w:rPr>
          <w:rFonts w:asciiTheme="majorHAnsi" w:hAnsiTheme="majorHAnsi"/>
          <w:i/>
          <w:spacing w:val="7"/>
          <w:sz w:val="20"/>
          <w:szCs w:val="20"/>
        </w:rPr>
        <w:t xml:space="preserve"> </w:t>
      </w:r>
      <w:r w:rsidRPr="000977F7">
        <w:rPr>
          <w:rFonts w:asciiTheme="majorHAnsi" w:hAnsiTheme="majorHAnsi"/>
          <w:i/>
          <w:sz w:val="20"/>
          <w:szCs w:val="20"/>
        </w:rPr>
        <w:t>2003</w:t>
      </w:r>
    </w:p>
    <w:p w14:paraId="0366583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ФУНКЦІОНАЛЬНЕ</w:t>
      </w:r>
      <w:r w:rsidRPr="000977F7">
        <w:rPr>
          <w:color w:val="auto"/>
          <w:spacing w:val="12"/>
          <w:sz w:val="20"/>
          <w:szCs w:val="20"/>
        </w:rPr>
        <w:t xml:space="preserve"> </w:t>
      </w:r>
      <w:r w:rsidRPr="000977F7">
        <w:rPr>
          <w:color w:val="auto"/>
          <w:sz w:val="20"/>
          <w:szCs w:val="20"/>
        </w:rPr>
        <w:t>РЕЗЕРВУВАННЯ</w:t>
      </w:r>
      <w:r w:rsidRPr="000977F7">
        <w:rPr>
          <w:color w:val="auto"/>
          <w:spacing w:val="21"/>
          <w:sz w:val="20"/>
          <w:szCs w:val="20"/>
        </w:rPr>
        <w:t xml:space="preserve"> </w:t>
      </w:r>
      <w:r w:rsidRPr="000977F7">
        <w:rPr>
          <w:color w:val="auto"/>
          <w:sz w:val="20"/>
          <w:szCs w:val="20"/>
        </w:rPr>
        <w:t>–</w:t>
      </w:r>
    </w:p>
    <w:p w14:paraId="08523A5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FUNCTIONAL</w:t>
      </w:r>
      <w:r w:rsidRPr="000977F7">
        <w:rPr>
          <w:rFonts w:asciiTheme="majorHAnsi" w:hAnsiTheme="majorHAnsi"/>
          <w:spacing w:val="10"/>
          <w:sz w:val="20"/>
          <w:szCs w:val="20"/>
        </w:rPr>
        <w:t xml:space="preserve"> </w:t>
      </w:r>
      <w:r w:rsidRPr="000977F7">
        <w:rPr>
          <w:rFonts w:asciiTheme="majorHAnsi" w:hAnsiTheme="majorHAnsi"/>
          <w:sz w:val="20"/>
          <w:szCs w:val="20"/>
        </w:rPr>
        <w:t>REDUNDANCY</w:t>
      </w:r>
      <w:r w:rsidRPr="000977F7">
        <w:rPr>
          <w:rFonts w:asciiTheme="majorHAnsi" w:hAnsiTheme="majorHAnsi"/>
          <w:spacing w:val="17"/>
          <w:sz w:val="20"/>
          <w:szCs w:val="20"/>
        </w:rPr>
        <w:t xml:space="preserve"> </w:t>
      </w:r>
      <w:r w:rsidRPr="000977F7">
        <w:rPr>
          <w:rFonts w:asciiTheme="majorHAnsi" w:hAnsiTheme="majorHAnsi"/>
          <w:sz w:val="20"/>
          <w:szCs w:val="20"/>
        </w:rPr>
        <w:t>–</w:t>
      </w:r>
    </w:p>
    <w:p w14:paraId="55954D69"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Резервування,</w:t>
      </w:r>
      <w:r w:rsidRPr="000977F7">
        <w:rPr>
          <w:rFonts w:asciiTheme="majorHAnsi" w:hAnsiTheme="majorHAnsi"/>
          <w:spacing w:val="26"/>
          <w:sz w:val="20"/>
          <w:szCs w:val="20"/>
        </w:rPr>
        <w:t xml:space="preserve"> </w:t>
      </w:r>
      <w:r w:rsidRPr="000977F7">
        <w:rPr>
          <w:rFonts w:asciiTheme="majorHAnsi" w:hAnsiTheme="majorHAnsi"/>
          <w:sz w:val="20"/>
          <w:szCs w:val="20"/>
        </w:rPr>
        <w:t>при</w:t>
      </w:r>
      <w:r w:rsidRPr="000977F7">
        <w:rPr>
          <w:rFonts w:asciiTheme="majorHAnsi" w:hAnsiTheme="majorHAnsi"/>
          <w:spacing w:val="25"/>
          <w:sz w:val="20"/>
          <w:szCs w:val="20"/>
        </w:rPr>
        <w:t xml:space="preserve"> </w:t>
      </w:r>
      <w:r w:rsidRPr="000977F7">
        <w:rPr>
          <w:rFonts w:asciiTheme="majorHAnsi" w:hAnsiTheme="majorHAnsi"/>
          <w:sz w:val="20"/>
          <w:szCs w:val="20"/>
        </w:rPr>
        <w:t>якому</w:t>
      </w:r>
      <w:r w:rsidRPr="000977F7">
        <w:rPr>
          <w:rFonts w:asciiTheme="majorHAnsi" w:hAnsiTheme="majorHAnsi"/>
          <w:spacing w:val="22"/>
          <w:sz w:val="20"/>
          <w:szCs w:val="20"/>
        </w:rPr>
        <w:t xml:space="preserve"> </w:t>
      </w:r>
      <w:r w:rsidRPr="000977F7">
        <w:rPr>
          <w:rFonts w:asciiTheme="majorHAnsi" w:hAnsiTheme="majorHAnsi"/>
          <w:sz w:val="20"/>
          <w:szCs w:val="20"/>
        </w:rPr>
        <w:t>використовується</w:t>
      </w:r>
      <w:r w:rsidRPr="000977F7">
        <w:rPr>
          <w:rFonts w:asciiTheme="majorHAnsi" w:hAnsiTheme="majorHAnsi"/>
          <w:spacing w:val="26"/>
          <w:sz w:val="20"/>
          <w:szCs w:val="20"/>
        </w:rPr>
        <w:t xml:space="preserve"> </w:t>
      </w:r>
      <w:r w:rsidRPr="000977F7">
        <w:rPr>
          <w:rFonts w:asciiTheme="majorHAnsi" w:hAnsiTheme="majorHAnsi"/>
          <w:sz w:val="20"/>
          <w:szCs w:val="20"/>
        </w:rPr>
        <w:t>здатність</w:t>
      </w:r>
      <w:r w:rsidRPr="000977F7">
        <w:rPr>
          <w:rFonts w:asciiTheme="majorHAnsi" w:hAnsiTheme="majorHAnsi"/>
          <w:spacing w:val="-47"/>
          <w:sz w:val="20"/>
          <w:szCs w:val="20"/>
        </w:rPr>
        <w:t xml:space="preserve"> </w:t>
      </w:r>
      <w:r w:rsidRPr="000977F7">
        <w:rPr>
          <w:rFonts w:asciiTheme="majorHAnsi" w:hAnsiTheme="majorHAnsi"/>
          <w:sz w:val="20"/>
          <w:szCs w:val="20"/>
        </w:rPr>
        <w:t>елементів</w:t>
      </w:r>
      <w:r w:rsidRPr="000977F7">
        <w:rPr>
          <w:rFonts w:asciiTheme="majorHAnsi" w:hAnsiTheme="majorHAnsi"/>
          <w:spacing w:val="9"/>
          <w:sz w:val="20"/>
          <w:szCs w:val="20"/>
        </w:rPr>
        <w:t xml:space="preserve"> </w:t>
      </w:r>
      <w:r w:rsidRPr="000977F7">
        <w:rPr>
          <w:rFonts w:asciiTheme="majorHAnsi" w:hAnsiTheme="majorHAnsi"/>
          <w:sz w:val="20"/>
          <w:szCs w:val="20"/>
        </w:rPr>
        <w:t>об’єкта</w:t>
      </w:r>
      <w:r w:rsidRPr="000977F7">
        <w:rPr>
          <w:rFonts w:asciiTheme="majorHAnsi" w:hAnsiTheme="majorHAnsi"/>
          <w:spacing w:val="11"/>
          <w:sz w:val="20"/>
          <w:szCs w:val="20"/>
        </w:rPr>
        <w:t xml:space="preserve"> </w:t>
      </w:r>
      <w:r w:rsidRPr="000977F7">
        <w:rPr>
          <w:rFonts w:asciiTheme="majorHAnsi" w:hAnsiTheme="majorHAnsi"/>
          <w:sz w:val="20"/>
          <w:szCs w:val="20"/>
        </w:rPr>
        <w:t>виконувати</w:t>
      </w:r>
      <w:r w:rsidRPr="000977F7">
        <w:rPr>
          <w:rFonts w:asciiTheme="majorHAnsi" w:hAnsiTheme="majorHAnsi"/>
          <w:spacing w:val="9"/>
          <w:sz w:val="20"/>
          <w:szCs w:val="20"/>
        </w:rPr>
        <w:t xml:space="preserve"> </w:t>
      </w:r>
      <w:r w:rsidRPr="000977F7">
        <w:rPr>
          <w:rFonts w:asciiTheme="majorHAnsi" w:hAnsiTheme="majorHAnsi"/>
          <w:sz w:val="20"/>
          <w:szCs w:val="20"/>
        </w:rPr>
        <w:t>додаткові</w:t>
      </w:r>
      <w:r w:rsidRPr="000977F7">
        <w:rPr>
          <w:rFonts w:asciiTheme="majorHAnsi" w:hAnsiTheme="majorHAnsi"/>
          <w:spacing w:val="9"/>
          <w:sz w:val="20"/>
          <w:szCs w:val="20"/>
        </w:rPr>
        <w:t xml:space="preserve"> </w:t>
      </w:r>
      <w:r w:rsidRPr="000977F7">
        <w:rPr>
          <w:rFonts w:asciiTheme="majorHAnsi" w:hAnsiTheme="majorHAnsi"/>
          <w:sz w:val="20"/>
          <w:szCs w:val="20"/>
        </w:rPr>
        <w:t>функції</w:t>
      </w:r>
      <w:r w:rsidRPr="000977F7">
        <w:rPr>
          <w:rFonts w:asciiTheme="majorHAnsi" w:hAnsiTheme="majorHAnsi"/>
          <w:spacing w:val="1"/>
          <w:sz w:val="20"/>
          <w:szCs w:val="20"/>
        </w:rPr>
        <w:t xml:space="preserve"> </w:t>
      </w:r>
    </w:p>
    <w:p w14:paraId="5BC79042"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5"/>
          <w:sz w:val="20"/>
          <w:szCs w:val="20"/>
          <w:lang w:val="en-US"/>
        </w:rPr>
        <w:t xml:space="preserve"> </w:t>
      </w:r>
      <w:r w:rsidRPr="004D2D14">
        <w:rPr>
          <w:rFonts w:asciiTheme="majorHAnsi" w:hAnsiTheme="majorHAnsi"/>
          <w:i/>
          <w:sz w:val="20"/>
          <w:szCs w:val="20"/>
          <w:lang w:val="en-US"/>
        </w:rPr>
        <w:t>2860</w:t>
      </w:r>
      <w:r w:rsidRPr="004D2D14">
        <w:rPr>
          <w:rFonts w:asciiTheme="majorHAnsi" w:hAnsiTheme="majorHAnsi"/>
          <w:i/>
          <w:spacing w:val="5"/>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4"/>
          <w:sz w:val="20"/>
          <w:szCs w:val="20"/>
          <w:lang w:val="en-US"/>
        </w:rPr>
        <w:t xml:space="preserve"> </w:t>
      </w:r>
      <w:r w:rsidRPr="004D2D14">
        <w:rPr>
          <w:rFonts w:asciiTheme="majorHAnsi" w:hAnsiTheme="majorHAnsi"/>
          <w:i/>
          <w:sz w:val="20"/>
          <w:szCs w:val="20"/>
          <w:lang w:val="en-US"/>
        </w:rPr>
        <w:t>94</w:t>
      </w:r>
    </w:p>
    <w:p w14:paraId="11F6090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ФУНКЦІОНАЛЬНЕ</w:t>
      </w:r>
      <w:r w:rsidRPr="000977F7">
        <w:rPr>
          <w:color w:val="auto"/>
          <w:spacing w:val="23"/>
          <w:sz w:val="20"/>
          <w:szCs w:val="20"/>
        </w:rPr>
        <w:t xml:space="preserve"> </w:t>
      </w:r>
      <w:r w:rsidRPr="000977F7">
        <w:rPr>
          <w:color w:val="auto"/>
          <w:sz w:val="20"/>
          <w:szCs w:val="20"/>
        </w:rPr>
        <w:t>ТЕХНІЧНЕ</w:t>
      </w:r>
      <w:r w:rsidRPr="000977F7">
        <w:rPr>
          <w:color w:val="auto"/>
          <w:spacing w:val="24"/>
          <w:sz w:val="20"/>
          <w:szCs w:val="20"/>
        </w:rPr>
        <w:t xml:space="preserve"> </w:t>
      </w:r>
      <w:r w:rsidRPr="000977F7">
        <w:rPr>
          <w:color w:val="auto"/>
          <w:sz w:val="20"/>
          <w:szCs w:val="20"/>
        </w:rPr>
        <w:t>ДІАГНОСТУВАННЯ -</w:t>
      </w:r>
    </w:p>
    <w:p w14:paraId="26C4E4E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DIAGNOSIS</w:t>
      </w:r>
      <w:r w:rsidRPr="004D2D14">
        <w:rPr>
          <w:rFonts w:asciiTheme="majorHAnsi" w:hAnsiTheme="majorHAnsi"/>
          <w:spacing w:val="10"/>
          <w:sz w:val="20"/>
          <w:szCs w:val="20"/>
          <w:lang w:val="en-US"/>
        </w:rPr>
        <w:t xml:space="preserve"> </w:t>
      </w:r>
      <w:r w:rsidRPr="004D2D14">
        <w:rPr>
          <w:rFonts w:asciiTheme="majorHAnsi" w:hAnsiTheme="majorHAnsi"/>
          <w:sz w:val="20"/>
          <w:szCs w:val="20"/>
          <w:lang w:val="en-US"/>
        </w:rPr>
        <w:t>IN</w:t>
      </w:r>
      <w:r w:rsidRPr="004D2D14">
        <w:rPr>
          <w:rFonts w:asciiTheme="majorHAnsi" w:hAnsiTheme="majorHAnsi"/>
          <w:spacing w:val="8"/>
          <w:sz w:val="20"/>
          <w:szCs w:val="20"/>
          <w:lang w:val="en-US"/>
        </w:rPr>
        <w:t xml:space="preserve"> </w:t>
      </w:r>
      <w:r w:rsidRPr="004D2D14">
        <w:rPr>
          <w:rFonts w:asciiTheme="majorHAnsi" w:hAnsiTheme="majorHAnsi"/>
          <w:sz w:val="20"/>
          <w:szCs w:val="20"/>
          <w:lang w:val="en-US"/>
        </w:rPr>
        <w:t>THE</w:t>
      </w:r>
      <w:r w:rsidRPr="004D2D14">
        <w:rPr>
          <w:rFonts w:asciiTheme="majorHAnsi" w:hAnsiTheme="majorHAnsi"/>
          <w:spacing w:val="11"/>
          <w:sz w:val="20"/>
          <w:szCs w:val="20"/>
          <w:lang w:val="en-US"/>
        </w:rPr>
        <w:t xml:space="preserve"> </w:t>
      </w:r>
      <w:r w:rsidRPr="004D2D14">
        <w:rPr>
          <w:rFonts w:asciiTheme="majorHAnsi" w:hAnsiTheme="majorHAnsi"/>
          <w:sz w:val="20"/>
          <w:szCs w:val="20"/>
          <w:lang w:val="en-US"/>
        </w:rPr>
        <w:t>COURSE</w:t>
      </w:r>
      <w:r w:rsidRPr="004D2D14">
        <w:rPr>
          <w:rFonts w:asciiTheme="majorHAnsi" w:hAnsiTheme="majorHAnsi"/>
          <w:spacing w:val="1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0"/>
          <w:sz w:val="20"/>
          <w:szCs w:val="20"/>
          <w:lang w:val="en-US"/>
        </w:rPr>
        <w:t xml:space="preserve"> </w:t>
      </w:r>
      <w:r w:rsidRPr="004D2D14">
        <w:rPr>
          <w:rFonts w:asciiTheme="majorHAnsi" w:hAnsiTheme="majorHAnsi"/>
          <w:sz w:val="20"/>
          <w:szCs w:val="20"/>
          <w:lang w:val="en-US"/>
        </w:rPr>
        <w:t>OPERATION-</w:t>
      </w:r>
    </w:p>
    <w:p w14:paraId="6A8D39F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Діагностування</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z w:val="20"/>
          <w:szCs w:val="20"/>
          <w:lang w:val="en-US"/>
        </w:rPr>
        <w:t xml:space="preserve"> </w:t>
      </w:r>
      <w:r w:rsidRPr="000977F7">
        <w:rPr>
          <w:rFonts w:asciiTheme="majorHAnsi" w:hAnsiTheme="majorHAnsi"/>
          <w:sz w:val="20"/>
          <w:szCs w:val="20"/>
        </w:rPr>
        <w:t>здійснюється</w:t>
      </w:r>
      <w:r w:rsidRPr="004D2D14">
        <w:rPr>
          <w:rFonts w:asciiTheme="majorHAnsi" w:hAnsiTheme="majorHAnsi"/>
          <w:sz w:val="20"/>
          <w:szCs w:val="20"/>
          <w:lang w:val="en-US"/>
        </w:rPr>
        <w:t xml:space="preserve"> </w:t>
      </w:r>
      <w:r w:rsidRPr="000977F7">
        <w:rPr>
          <w:rFonts w:asciiTheme="majorHAnsi" w:hAnsiTheme="majorHAnsi"/>
          <w:sz w:val="20"/>
          <w:szCs w:val="20"/>
        </w:rPr>
        <w:t>під</w:t>
      </w:r>
      <w:r w:rsidRPr="004D2D14">
        <w:rPr>
          <w:rFonts w:asciiTheme="majorHAnsi" w:hAnsiTheme="majorHAnsi"/>
          <w:sz w:val="20"/>
          <w:szCs w:val="20"/>
          <w:lang w:val="en-US"/>
        </w:rPr>
        <w:t xml:space="preserve"> </w:t>
      </w:r>
      <w:r w:rsidRPr="000977F7">
        <w:rPr>
          <w:rFonts w:asciiTheme="majorHAnsi" w:hAnsiTheme="majorHAnsi"/>
          <w:sz w:val="20"/>
          <w:szCs w:val="20"/>
        </w:rPr>
        <w:t>час</w:t>
      </w:r>
      <w:r w:rsidRPr="004D2D14">
        <w:rPr>
          <w:rFonts w:asciiTheme="majorHAnsi" w:hAnsiTheme="majorHAnsi"/>
          <w:sz w:val="20"/>
          <w:szCs w:val="20"/>
          <w:lang w:val="en-US"/>
        </w:rPr>
        <w:t xml:space="preserve"> </w:t>
      </w:r>
      <w:r w:rsidRPr="000977F7">
        <w:rPr>
          <w:rFonts w:asciiTheme="majorHAnsi" w:hAnsiTheme="majorHAnsi"/>
          <w:sz w:val="20"/>
          <w:szCs w:val="20"/>
        </w:rPr>
        <w:t>функціонування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об</w:t>
      </w:r>
      <w:r w:rsidRPr="004D2D14">
        <w:rPr>
          <w:rFonts w:asciiTheme="majorHAnsi" w:hAnsiTheme="majorHAnsi"/>
          <w:sz w:val="20"/>
          <w:szCs w:val="20"/>
          <w:lang w:val="en-US"/>
        </w:rPr>
        <w:t>’</w:t>
      </w:r>
      <w:r w:rsidRPr="000977F7">
        <w:rPr>
          <w:rFonts w:asciiTheme="majorHAnsi" w:hAnsiTheme="majorHAnsi"/>
          <w:sz w:val="20"/>
          <w:szCs w:val="20"/>
        </w:rPr>
        <w:t>єкта</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до</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надходять</w:t>
      </w:r>
      <w:r w:rsidRPr="004D2D14">
        <w:rPr>
          <w:rFonts w:asciiTheme="majorHAnsi" w:hAnsiTheme="majorHAnsi"/>
          <w:spacing w:val="1"/>
          <w:sz w:val="20"/>
          <w:szCs w:val="20"/>
          <w:lang w:val="en-US"/>
        </w:rPr>
        <w:t xml:space="preserve"> </w:t>
      </w:r>
      <w:r w:rsidRPr="000977F7">
        <w:rPr>
          <w:rFonts w:asciiTheme="majorHAnsi" w:hAnsiTheme="majorHAnsi"/>
          <w:sz w:val="20"/>
          <w:szCs w:val="20"/>
        </w:rPr>
        <w:t>тільки</w:t>
      </w:r>
      <w:r w:rsidRPr="004D2D14">
        <w:rPr>
          <w:rFonts w:asciiTheme="majorHAnsi" w:hAnsiTheme="majorHAnsi"/>
          <w:spacing w:val="1"/>
          <w:sz w:val="20"/>
          <w:szCs w:val="20"/>
          <w:lang w:val="en-US"/>
        </w:rPr>
        <w:t xml:space="preserve"> </w:t>
      </w:r>
      <w:r w:rsidRPr="000977F7">
        <w:rPr>
          <w:rFonts w:asciiTheme="majorHAnsi" w:hAnsiTheme="majorHAnsi"/>
          <w:sz w:val="20"/>
          <w:szCs w:val="20"/>
        </w:rPr>
        <w:t>робочі</w:t>
      </w:r>
      <w:r w:rsidRPr="004D2D14">
        <w:rPr>
          <w:rFonts w:asciiTheme="majorHAnsi" w:hAnsiTheme="majorHAnsi"/>
          <w:spacing w:val="1"/>
          <w:sz w:val="20"/>
          <w:szCs w:val="20"/>
          <w:lang w:val="en-US"/>
        </w:rPr>
        <w:t xml:space="preserve"> </w:t>
      </w:r>
      <w:r w:rsidRPr="000977F7">
        <w:rPr>
          <w:rFonts w:asciiTheme="majorHAnsi" w:hAnsiTheme="majorHAnsi"/>
          <w:sz w:val="20"/>
          <w:szCs w:val="20"/>
        </w:rPr>
        <w:t>впливи</w:t>
      </w:r>
    </w:p>
    <w:p w14:paraId="46F5BBB4"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en-US"/>
        </w:rPr>
      </w:pPr>
      <w:r w:rsidRPr="000977F7">
        <w:rPr>
          <w:rFonts w:asciiTheme="majorHAnsi" w:hAnsiTheme="majorHAnsi"/>
          <w:b/>
          <w:sz w:val="20"/>
          <w:szCs w:val="20"/>
        </w:rPr>
        <w:t>ФУНКЦІЮВАННЯ</w:t>
      </w:r>
      <w:r w:rsidRPr="004D2D14">
        <w:rPr>
          <w:rFonts w:asciiTheme="majorHAnsi" w:hAnsiTheme="majorHAnsi"/>
          <w:b/>
          <w:spacing w:val="12"/>
          <w:sz w:val="20"/>
          <w:szCs w:val="20"/>
          <w:lang w:val="en-US"/>
        </w:rPr>
        <w:t xml:space="preserve"> </w:t>
      </w:r>
      <w:r w:rsidRPr="000977F7">
        <w:rPr>
          <w:rFonts w:asciiTheme="majorHAnsi" w:hAnsiTheme="majorHAnsi"/>
          <w:b/>
          <w:sz w:val="20"/>
          <w:szCs w:val="20"/>
        </w:rPr>
        <w:t>ОБ</w:t>
      </w:r>
      <w:r w:rsidRPr="004D2D14">
        <w:rPr>
          <w:rFonts w:asciiTheme="majorHAnsi" w:hAnsiTheme="majorHAnsi"/>
          <w:b/>
          <w:sz w:val="20"/>
          <w:szCs w:val="20"/>
          <w:lang w:val="en-US"/>
        </w:rPr>
        <w:t>’</w:t>
      </w:r>
      <w:r w:rsidRPr="000977F7">
        <w:rPr>
          <w:rFonts w:asciiTheme="majorHAnsi" w:hAnsiTheme="majorHAnsi"/>
          <w:b/>
          <w:sz w:val="20"/>
          <w:szCs w:val="20"/>
        </w:rPr>
        <w:t>ЄКТА</w:t>
      </w:r>
      <w:r w:rsidRPr="004D2D14">
        <w:rPr>
          <w:rFonts w:asciiTheme="majorHAnsi" w:hAnsiTheme="majorHAnsi"/>
          <w:b/>
          <w:spacing w:val="18"/>
          <w:sz w:val="20"/>
          <w:szCs w:val="20"/>
          <w:lang w:val="en-US"/>
        </w:rPr>
        <w:t xml:space="preserve"> </w:t>
      </w:r>
      <w:r w:rsidRPr="004D2D14">
        <w:rPr>
          <w:rFonts w:asciiTheme="majorHAnsi" w:hAnsiTheme="majorHAnsi"/>
          <w:b/>
          <w:sz w:val="20"/>
          <w:szCs w:val="20"/>
          <w:lang w:val="en-US"/>
        </w:rPr>
        <w:t>–</w:t>
      </w:r>
      <w:r w:rsidRPr="004D2D14">
        <w:rPr>
          <w:rFonts w:asciiTheme="majorHAnsi" w:hAnsiTheme="majorHAnsi"/>
          <w:b/>
          <w:spacing w:val="-47"/>
          <w:sz w:val="20"/>
          <w:szCs w:val="20"/>
          <w:lang w:val="en-US"/>
        </w:rPr>
        <w:t xml:space="preserve"> </w:t>
      </w:r>
    </w:p>
    <w:p w14:paraId="5C2ED5B6"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OBJECT</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OPERATION</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w:t>
      </w:r>
    </w:p>
    <w:p w14:paraId="0BC9817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Перебіг</w:t>
      </w:r>
      <w:r w:rsidRPr="004D2D14">
        <w:rPr>
          <w:rFonts w:asciiTheme="majorHAnsi" w:hAnsiTheme="majorHAnsi"/>
          <w:spacing w:val="10"/>
          <w:sz w:val="20"/>
          <w:szCs w:val="20"/>
          <w:lang w:val="en-US"/>
        </w:rPr>
        <w:t xml:space="preserve"> </w:t>
      </w:r>
      <w:r w:rsidRPr="000977F7">
        <w:rPr>
          <w:rFonts w:asciiTheme="majorHAnsi" w:hAnsiTheme="majorHAnsi"/>
          <w:sz w:val="20"/>
          <w:szCs w:val="20"/>
        </w:rPr>
        <w:t>усіх</w:t>
      </w:r>
      <w:r w:rsidRPr="004D2D14">
        <w:rPr>
          <w:rFonts w:asciiTheme="majorHAnsi" w:hAnsiTheme="majorHAnsi"/>
          <w:spacing w:val="9"/>
          <w:sz w:val="20"/>
          <w:szCs w:val="20"/>
          <w:lang w:val="en-US"/>
        </w:rPr>
        <w:t xml:space="preserve"> </w:t>
      </w:r>
      <w:r w:rsidRPr="000977F7">
        <w:rPr>
          <w:rFonts w:asciiTheme="majorHAnsi" w:hAnsiTheme="majorHAnsi"/>
          <w:sz w:val="20"/>
          <w:szCs w:val="20"/>
        </w:rPr>
        <w:t>процесів</w:t>
      </w:r>
      <w:r w:rsidRPr="004D2D14">
        <w:rPr>
          <w:rFonts w:asciiTheme="majorHAnsi" w:hAnsiTheme="majorHAnsi"/>
          <w:sz w:val="20"/>
          <w:szCs w:val="20"/>
          <w:lang w:val="en-US"/>
        </w:rPr>
        <w:t>,</w:t>
      </w:r>
      <w:r w:rsidRPr="004D2D14">
        <w:rPr>
          <w:rFonts w:asciiTheme="majorHAnsi" w:hAnsiTheme="majorHAnsi"/>
          <w:spacing w:val="12"/>
          <w:sz w:val="20"/>
          <w:szCs w:val="20"/>
          <w:lang w:val="en-US"/>
        </w:rPr>
        <w:t xml:space="preserve"> </w:t>
      </w:r>
      <w:r w:rsidRPr="000977F7">
        <w:rPr>
          <w:rFonts w:asciiTheme="majorHAnsi" w:hAnsiTheme="majorHAnsi"/>
          <w:sz w:val="20"/>
          <w:szCs w:val="20"/>
        </w:rPr>
        <w:t>істотних</w:t>
      </w:r>
      <w:r w:rsidRPr="004D2D14">
        <w:rPr>
          <w:rFonts w:asciiTheme="majorHAnsi" w:hAnsiTheme="majorHAnsi"/>
          <w:spacing w:val="9"/>
          <w:sz w:val="20"/>
          <w:szCs w:val="20"/>
          <w:lang w:val="en-US"/>
        </w:rPr>
        <w:t xml:space="preserve"> </w:t>
      </w:r>
      <w:r w:rsidRPr="000977F7">
        <w:rPr>
          <w:rFonts w:asciiTheme="majorHAnsi" w:hAnsiTheme="majorHAnsi"/>
          <w:sz w:val="20"/>
          <w:szCs w:val="20"/>
        </w:rPr>
        <w:t>за</w:t>
      </w:r>
      <w:r w:rsidRPr="004D2D14">
        <w:rPr>
          <w:rFonts w:asciiTheme="majorHAnsi" w:hAnsiTheme="majorHAnsi"/>
          <w:spacing w:val="12"/>
          <w:sz w:val="20"/>
          <w:szCs w:val="20"/>
          <w:lang w:val="en-US"/>
        </w:rPr>
        <w:t xml:space="preserve"> </w:t>
      </w:r>
      <w:r w:rsidRPr="000977F7">
        <w:rPr>
          <w:rFonts w:asciiTheme="majorHAnsi" w:hAnsiTheme="majorHAnsi"/>
          <w:sz w:val="20"/>
          <w:szCs w:val="20"/>
        </w:rPr>
        <w:t>певного</w:t>
      </w:r>
      <w:r w:rsidRPr="004D2D14">
        <w:rPr>
          <w:rFonts w:asciiTheme="majorHAnsi" w:hAnsiTheme="majorHAnsi"/>
          <w:spacing w:val="11"/>
          <w:sz w:val="20"/>
          <w:szCs w:val="20"/>
          <w:lang w:val="en-US"/>
        </w:rPr>
        <w:t xml:space="preserve"> </w:t>
      </w:r>
      <w:r w:rsidRPr="000977F7">
        <w:rPr>
          <w:rFonts w:asciiTheme="majorHAnsi" w:hAnsiTheme="majorHAnsi"/>
          <w:sz w:val="20"/>
          <w:szCs w:val="20"/>
        </w:rPr>
        <w:t>розгляду</w:t>
      </w:r>
    </w:p>
    <w:p w14:paraId="4C7927C5"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pacing w:val="6"/>
          <w:sz w:val="20"/>
          <w:szCs w:val="20"/>
          <w:lang w:val="en-US"/>
        </w:rPr>
        <w:t xml:space="preserve"> </w:t>
      </w:r>
      <w:r w:rsidRPr="004D2D14">
        <w:rPr>
          <w:rFonts w:asciiTheme="majorHAnsi" w:hAnsiTheme="majorHAnsi"/>
          <w:i/>
          <w:sz w:val="20"/>
          <w:szCs w:val="20"/>
          <w:lang w:val="en-US"/>
        </w:rPr>
        <w:t>3956 - 2000</w:t>
      </w:r>
      <w:r w:rsidRPr="004D2D14">
        <w:rPr>
          <w:rFonts w:asciiTheme="majorHAnsi" w:hAnsiTheme="majorHAnsi"/>
          <w:i/>
          <w:spacing w:val="1"/>
          <w:sz w:val="20"/>
          <w:szCs w:val="20"/>
          <w:lang w:val="en-US"/>
        </w:rPr>
        <w:t xml:space="preserve"> </w:t>
      </w:r>
    </w:p>
    <w:p w14:paraId="5EF79378" w14:textId="77777777" w:rsidR="0097612F" w:rsidRPr="004D2D14" w:rsidRDefault="0097612F" w:rsidP="000977F7">
      <w:pPr>
        <w:tabs>
          <w:tab w:val="left" w:pos="284"/>
        </w:tabs>
        <w:spacing w:after="0" w:line="240" w:lineRule="auto"/>
        <w:ind w:left="170"/>
        <w:mirrorIndents/>
        <w:jc w:val="both"/>
        <w:rPr>
          <w:rFonts w:asciiTheme="majorHAnsi" w:hAnsiTheme="majorHAnsi"/>
          <w:b/>
          <w:bCs/>
          <w:iCs/>
          <w:spacing w:val="1"/>
          <w:sz w:val="20"/>
          <w:szCs w:val="20"/>
          <w:lang w:val="en-US"/>
        </w:rPr>
      </w:pPr>
      <w:bookmarkStart w:id="313" w:name="_Hlk103744570"/>
      <w:r w:rsidRPr="000977F7">
        <w:rPr>
          <w:rFonts w:asciiTheme="majorHAnsi" w:hAnsiTheme="majorHAnsi"/>
          <w:b/>
          <w:bCs/>
          <w:iCs/>
          <w:spacing w:val="1"/>
          <w:sz w:val="20"/>
          <w:szCs w:val="20"/>
        </w:rPr>
        <w:t>ФУНКЦІЯ</w:t>
      </w:r>
      <w:r w:rsidRPr="004D2D14">
        <w:rPr>
          <w:rFonts w:asciiTheme="majorHAnsi" w:hAnsiTheme="majorHAnsi"/>
          <w:b/>
          <w:bCs/>
          <w:iCs/>
          <w:spacing w:val="1"/>
          <w:sz w:val="20"/>
          <w:szCs w:val="20"/>
          <w:lang w:val="en-US"/>
        </w:rPr>
        <w:t xml:space="preserve"> </w:t>
      </w:r>
      <w:r w:rsidRPr="000977F7">
        <w:rPr>
          <w:rFonts w:asciiTheme="majorHAnsi" w:hAnsiTheme="majorHAnsi"/>
          <w:b/>
          <w:bCs/>
          <w:iCs/>
          <w:spacing w:val="1"/>
          <w:sz w:val="20"/>
          <w:szCs w:val="20"/>
        </w:rPr>
        <w:t>БЕЗПЕКИ</w:t>
      </w:r>
      <w:r w:rsidRPr="004D2D14">
        <w:rPr>
          <w:rFonts w:asciiTheme="majorHAnsi" w:hAnsiTheme="majorHAnsi"/>
          <w:b/>
          <w:bCs/>
          <w:iCs/>
          <w:spacing w:val="1"/>
          <w:sz w:val="20"/>
          <w:szCs w:val="20"/>
          <w:lang w:val="en-US"/>
        </w:rPr>
        <w:t xml:space="preserve"> –</w:t>
      </w:r>
    </w:p>
    <w:p w14:paraId="5AE159CE" w14:textId="77777777" w:rsidR="0097612F" w:rsidRPr="004D2D14" w:rsidRDefault="0097612F" w:rsidP="000977F7">
      <w:pPr>
        <w:tabs>
          <w:tab w:val="left" w:pos="284"/>
        </w:tabs>
        <w:spacing w:after="0" w:line="240" w:lineRule="auto"/>
        <w:ind w:left="170"/>
        <w:mirrorIndents/>
        <w:jc w:val="both"/>
        <w:rPr>
          <w:rFonts w:asciiTheme="majorHAnsi" w:hAnsiTheme="majorHAnsi"/>
          <w:iCs/>
          <w:spacing w:val="1"/>
          <w:sz w:val="20"/>
          <w:szCs w:val="20"/>
          <w:lang w:val="en-US"/>
        </w:rPr>
      </w:pPr>
      <w:r w:rsidRPr="004D2D14">
        <w:rPr>
          <w:rFonts w:asciiTheme="majorHAnsi" w:hAnsiTheme="majorHAnsi"/>
          <w:iCs/>
          <w:spacing w:val="1"/>
          <w:sz w:val="20"/>
          <w:szCs w:val="20"/>
          <w:lang w:val="en-US"/>
        </w:rPr>
        <w:t xml:space="preserve">SAFATY FUNCTION </w:t>
      </w:r>
      <w:bookmarkEnd w:id="313"/>
      <w:r w:rsidRPr="004D2D14">
        <w:rPr>
          <w:rFonts w:asciiTheme="majorHAnsi" w:hAnsiTheme="majorHAnsi"/>
          <w:iCs/>
          <w:spacing w:val="1"/>
          <w:sz w:val="20"/>
          <w:szCs w:val="20"/>
          <w:lang w:val="en-US"/>
        </w:rPr>
        <w:t>–</w:t>
      </w:r>
    </w:p>
    <w:p w14:paraId="123F0D4E"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 xml:space="preserve">Функція машини, збій якої може призвести до миттєвого підвищення ризику(-ів) </w:t>
      </w:r>
    </w:p>
    <w:p w14:paraId="17EE182B" w14:textId="77777777" w:rsidR="0097612F" w:rsidRPr="000977F7" w:rsidRDefault="0097612F" w:rsidP="000977F7">
      <w:pPr>
        <w:pStyle w:val="af6"/>
        <w:tabs>
          <w:tab w:val="left" w:pos="284"/>
        </w:tabs>
        <w:spacing w:after="0"/>
        <w:ind w:left="170" w:firstLine="5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2421F141"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ФУНКЦІЯ</w:t>
      </w:r>
      <w:r w:rsidRPr="000977F7">
        <w:rPr>
          <w:rFonts w:asciiTheme="majorHAnsi" w:hAnsiTheme="majorHAnsi"/>
          <w:b/>
          <w:spacing w:val="6"/>
          <w:sz w:val="20"/>
          <w:szCs w:val="20"/>
        </w:rPr>
        <w:t xml:space="preserve"> </w:t>
      </w:r>
      <w:r w:rsidRPr="000977F7">
        <w:rPr>
          <w:rFonts w:asciiTheme="majorHAnsi" w:hAnsiTheme="majorHAnsi"/>
          <w:b/>
          <w:sz w:val="20"/>
          <w:szCs w:val="20"/>
        </w:rPr>
        <w:t>ВИХОДІВ</w:t>
      </w:r>
      <w:r w:rsidRPr="000977F7">
        <w:rPr>
          <w:rFonts w:asciiTheme="majorHAnsi" w:hAnsiTheme="majorHAnsi"/>
          <w:b/>
          <w:spacing w:val="9"/>
          <w:sz w:val="20"/>
          <w:szCs w:val="20"/>
        </w:rPr>
        <w:t xml:space="preserve"> </w:t>
      </w:r>
      <w:r w:rsidRPr="000977F7">
        <w:rPr>
          <w:rFonts w:asciiTheme="majorHAnsi" w:hAnsiTheme="majorHAnsi"/>
          <w:b/>
          <w:sz w:val="20"/>
          <w:szCs w:val="20"/>
        </w:rPr>
        <w:t>–</w:t>
      </w:r>
      <w:r w:rsidRPr="000977F7">
        <w:rPr>
          <w:rFonts w:asciiTheme="majorHAnsi" w:hAnsiTheme="majorHAnsi"/>
          <w:b/>
          <w:spacing w:val="-47"/>
          <w:sz w:val="20"/>
          <w:szCs w:val="20"/>
        </w:rPr>
        <w:t xml:space="preserve"> </w:t>
      </w:r>
    </w:p>
    <w:p w14:paraId="453116F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OUTPUT</w:t>
      </w:r>
      <w:r w:rsidRPr="000977F7">
        <w:rPr>
          <w:rFonts w:asciiTheme="majorHAnsi" w:hAnsiTheme="majorHAnsi"/>
          <w:spacing w:val="8"/>
          <w:sz w:val="20"/>
          <w:szCs w:val="20"/>
        </w:rPr>
        <w:t xml:space="preserve"> </w:t>
      </w:r>
      <w:r w:rsidRPr="000977F7">
        <w:rPr>
          <w:rFonts w:asciiTheme="majorHAnsi" w:hAnsiTheme="majorHAnsi"/>
          <w:sz w:val="20"/>
          <w:szCs w:val="20"/>
        </w:rPr>
        <w:t>FUNCTION</w:t>
      </w:r>
      <w:r w:rsidRPr="000977F7">
        <w:rPr>
          <w:rFonts w:asciiTheme="majorHAnsi" w:hAnsiTheme="majorHAnsi"/>
          <w:spacing w:val="11"/>
          <w:sz w:val="20"/>
          <w:szCs w:val="20"/>
        </w:rPr>
        <w:t xml:space="preserve"> </w:t>
      </w:r>
      <w:r w:rsidRPr="000977F7">
        <w:rPr>
          <w:rFonts w:asciiTheme="majorHAnsi" w:hAnsiTheme="majorHAnsi"/>
          <w:sz w:val="20"/>
          <w:szCs w:val="20"/>
        </w:rPr>
        <w:t>–</w:t>
      </w:r>
    </w:p>
    <w:p w14:paraId="074ADF1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Залежність</w:t>
      </w:r>
      <w:r w:rsidRPr="000977F7">
        <w:rPr>
          <w:rFonts w:asciiTheme="majorHAnsi" w:hAnsiTheme="majorHAnsi"/>
          <w:spacing w:val="1"/>
          <w:sz w:val="20"/>
          <w:szCs w:val="20"/>
        </w:rPr>
        <w:t xml:space="preserve"> </w:t>
      </w:r>
      <w:r w:rsidRPr="000977F7">
        <w:rPr>
          <w:rFonts w:asciiTheme="majorHAnsi" w:hAnsiTheme="majorHAnsi"/>
          <w:sz w:val="20"/>
          <w:szCs w:val="20"/>
        </w:rPr>
        <w:t>віднесеного</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певного</w:t>
      </w:r>
      <w:r w:rsidRPr="000977F7">
        <w:rPr>
          <w:rFonts w:asciiTheme="majorHAnsi" w:hAnsiTheme="majorHAnsi"/>
          <w:spacing w:val="1"/>
          <w:sz w:val="20"/>
          <w:szCs w:val="20"/>
        </w:rPr>
        <w:t xml:space="preserve"> </w:t>
      </w:r>
      <w:r w:rsidRPr="000977F7">
        <w:rPr>
          <w:rFonts w:asciiTheme="majorHAnsi" w:hAnsiTheme="majorHAnsi"/>
          <w:sz w:val="20"/>
          <w:szCs w:val="20"/>
        </w:rPr>
        <w:t>моменту</w:t>
      </w:r>
      <w:r w:rsidRPr="000977F7">
        <w:rPr>
          <w:rFonts w:asciiTheme="majorHAnsi" w:hAnsiTheme="majorHAnsi"/>
          <w:spacing w:val="1"/>
          <w:sz w:val="20"/>
          <w:szCs w:val="20"/>
        </w:rPr>
        <w:t xml:space="preserve"> </w:t>
      </w:r>
      <w:r w:rsidRPr="000977F7">
        <w:rPr>
          <w:rFonts w:asciiTheme="majorHAnsi" w:hAnsiTheme="majorHAnsi"/>
          <w:sz w:val="20"/>
          <w:szCs w:val="20"/>
        </w:rPr>
        <w:t>часу</w:t>
      </w:r>
      <w:r w:rsidRPr="000977F7">
        <w:rPr>
          <w:rFonts w:asciiTheme="majorHAnsi" w:hAnsiTheme="majorHAnsi"/>
          <w:spacing w:val="1"/>
          <w:sz w:val="20"/>
          <w:szCs w:val="20"/>
        </w:rPr>
        <w:t xml:space="preserve"> </w:t>
      </w:r>
      <w:r w:rsidRPr="000977F7">
        <w:rPr>
          <w:rFonts w:asciiTheme="majorHAnsi" w:hAnsiTheme="majorHAnsi"/>
          <w:sz w:val="20"/>
          <w:szCs w:val="20"/>
        </w:rPr>
        <w:t>станів виходів інерційного об’єкта з дискретним перебігом процесів від стану цього ж об’єкта та стану</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входів,</w:t>
      </w:r>
      <w:r w:rsidRPr="000977F7">
        <w:rPr>
          <w:rFonts w:asciiTheme="majorHAnsi" w:hAnsiTheme="majorHAnsi"/>
          <w:spacing w:val="1"/>
          <w:sz w:val="20"/>
          <w:szCs w:val="20"/>
        </w:rPr>
        <w:t xml:space="preserve"> </w:t>
      </w:r>
      <w:r w:rsidRPr="000977F7">
        <w:rPr>
          <w:rFonts w:asciiTheme="majorHAnsi" w:hAnsiTheme="majorHAnsi"/>
          <w:sz w:val="20"/>
          <w:szCs w:val="20"/>
        </w:rPr>
        <w:t>віднесених</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попереднього</w:t>
      </w:r>
      <w:r w:rsidRPr="000977F7">
        <w:rPr>
          <w:rFonts w:asciiTheme="majorHAnsi" w:hAnsiTheme="majorHAnsi"/>
          <w:spacing w:val="50"/>
          <w:sz w:val="20"/>
          <w:szCs w:val="20"/>
        </w:rPr>
        <w:t xml:space="preserve"> </w:t>
      </w:r>
      <w:r w:rsidRPr="000977F7">
        <w:rPr>
          <w:rFonts w:asciiTheme="majorHAnsi" w:hAnsiTheme="majorHAnsi"/>
          <w:sz w:val="20"/>
          <w:szCs w:val="20"/>
        </w:rPr>
        <w:t>моменту</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5E5D5BA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2"/>
          <w:sz w:val="20"/>
          <w:szCs w:val="20"/>
        </w:rPr>
        <w:t xml:space="preserve"> </w:t>
      </w:r>
      <w:r w:rsidRPr="000977F7">
        <w:rPr>
          <w:rFonts w:asciiTheme="majorHAnsi" w:hAnsiTheme="majorHAnsi"/>
          <w:i/>
          <w:sz w:val="20"/>
          <w:szCs w:val="20"/>
        </w:rPr>
        <w:t>3956 - 2000</w:t>
      </w:r>
    </w:p>
    <w:p w14:paraId="3E912D5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ФУНКЦІЯ</w:t>
      </w:r>
      <w:r w:rsidRPr="000977F7">
        <w:rPr>
          <w:color w:val="auto"/>
          <w:spacing w:val="8"/>
          <w:sz w:val="20"/>
          <w:szCs w:val="20"/>
        </w:rPr>
        <w:t xml:space="preserve"> </w:t>
      </w:r>
      <w:r w:rsidRPr="000977F7">
        <w:rPr>
          <w:color w:val="auto"/>
          <w:sz w:val="20"/>
          <w:szCs w:val="20"/>
        </w:rPr>
        <w:t>ВІДГУКУ</w:t>
      </w:r>
      <w:r w:rsidRPr="000977F7">
        <w:rPr>
          <w:color w:val="auto"/>
          <w:spacing w:val="11"/>
          <w:sz w:val="20"/>
          <w:szCs w:val="20"/>
        </w:rPr>
        <w:t xml:space="preserve"> </w:t>
      </w:r>
      <w:r w:rsidRPr="000977F7">
        <w:rPr>
          <w:color w:val="auto"/>
          <w:sz w:val="20"/>
          <w:szCs w:val="20"/>
        </w:rPr>
        <w:t>–</w:t>
      </w:r>
    </w:p>
    <w:p w14:paraId="62864EF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Залежність</w:t>
      </w:r>
      <w:r w:rsidRPr="000977F7">
        <w:rPr>
          <w:rFonts w:asciiTheme="majorHAnsi" w:hAnsiTheme="majorHAnsi"/>
          <w:spacing w:val="1"/>
          <w:sz w:val="20"/>
          <w:szCs w:val="20"/>
        </w:rPr>
        <w:t xml:space="preserve"> </w:t>
      </w:r>
      <w:r w:rsidRPr="000977F7">
        <w:rPr>
          <w:rFonts w:asciiTheme="majorHAnsi" w:hAnsiTheme="majorHAnsi"/>
          <w:sz w:val="20"/>
          <w:szCs w:val="20"/>
        </w:rPr>
        <w:t>математичного</w:t>
      </w:r>
      <w:r w:rsidRPr="000977F7">
        <w:rPr>
          <w:rFonts w:asciiTheme="majorHAnsi" w:hAnsiTheme="majorHAnsi"/>
          <w:spacing w:val="1"/>
          <w:sz w:val="20"/>
          <w:szCs w:val="20"/>
        </w:rPr>
        <w:t xml:space="preserve"> </w:t>
      </w:r>
      <w:r w:rsidRPr="000977F7">
        <w:rPr>
          <w:rFonts w:asciiTheme="majorHAnsi" w:hAnsiTheme="majorHAnsi"/>
          <w:sz w:val="20"/>
          <w:szCs w:val="20"/>
        </w:rPr>
        <w:t>очікування</w:t>
      </w:r>
      <w:r w:rsidRPr="000977F7">
        <w:rPr>
          <w:rFonts w:asciiTheme="majorHAnsi" w:hAnsiTheme="majorHAnsi"/>
          <w:spacing w:val="1"/>
          <w:sz w:val="20"/>
          <w:szCs w:val="20"/>
        </w:rPr>
        <w:t xml:space="preserve"> </w:t>
      </w:r>
      <w:r w:rsidRPr="000977F7">
        <w:rPr>
          <w:rFonts w:asciiTheme="majorHAnsi" w:hAnsiTheme="majorHAnsi"/>
          <w:sz w:val="20"/>
          <w:szCs w:val="20"/>
        </w:rPr>
        <w:t>відгуку</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факторів</w:t>
      </w:r>
    </w:p>
    <w:p w14:paraId="5590D93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ФУНКЦІЯ</w:t>
      </w:r>
      <w:r w:rsidRPr="000977F7">
        <w:rPr>
          <w:color w:val="auto"/>
          <w:spacing w:val="9"/>
          <w:sz w:val="20"/>
          <w:szCs w:val="20"/>
        </w:rPr>
        <w:t xml:space="preserve"> </w:t>
      </w:r>
      <w:r w:rsidRPr="000977F7">
        <w:rPr>
          <w:color w:val="auto"/>
          <w:sz w:val="20"/>
          <w:szCs w:val="20"/>
        </w:rPr>
        <w:t>КЕРУВАННЯ</w:t>
      </w:r>
      <w:r w:rsidRPr="000977F7">
        <w:rPr>
          <w:color w:val="auto"/>
          <w:spacing w:val="13"/>
          <w:sz w:val="20"/>
          <w:szCs w:val="20"/>
        </w:rPr>
        <w:t xml:space="preserve"> </w:t>
      </w:r>
      <w:r w:rsidRPr="000977F7">
        <w:rPr>
          <w:color w:val="auto"/>
          <w:sz w:val="20"/>
          <w:szCs w:val="20"/>
        </w:rPr>
        <w:t>–</w:t>
      </w:r>
    </w:p>
    <w:p w14:paraId="30EABBC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Відносно</w:t>
      </w:r>
      <w:r w:rsidRPr="000977F7">
        <w:rPr>
          <w:rFonts w:asciiTheme="majorHAnsi" w:hAnsiTheme="majorHAnsi"/>
          <w:spacing w:val="1"/>
          <w:sz w:val="20"/>
          <w:szCs w:val="20"/>
        </w:rPr>
        <w:t xml:space="preserve"> </w:t>
      </w:r>
      <w:r w:rsidRPr="000977F7">
        <w:rPr>
          <w:rFonts w:asciiTheme="majorHAnsi" w:hAnsiTheme="majorHAnsi"/>
          <w:sz w:val="20"/>
          <w:szCs w:val="20"/>
        </w:rPr>
        <w:t>відокремлений</w:t>
      </w:r>
      <w:r w:rsidRPr="000977F7">
        <w:rPr>
          <w:rFonts w:asciiTheme="majorHAnsi" w:hAnsiTheme="majorHAnsi"/>
          <w:spacing w:val="1"/>
          <w:sz w:val="20"/>
          <w:szCs w:val="20"/>
        </w:rPr>
        <w:t xml:space="preserve"> </w:t>
      </w:r>
      <w:r w:rsidRPr="000977F7">
        <w:rPr>
          <w:rFonts w:asciiTheme="majorHAnsi" w:hAnsiTheme="majorHAnsi"/>
          <w:sz w:val="20"/>
          <w:szCs w:val="20"/>
        </w:rPr>
        <w:t>комплекс</w:t>
      </w:r>
      <w:r w:rsidRPr="000977F7">
        <w:rPr>
          <w:rFonts w:asciiTheme="majorHAnsi" w:hAnsiTheme="majorHAnsi"/>
          <w:spacing w:val="1"/>
          <w:sz w:val="20"/>
          <w:szCs w:val="20"/>
        </w:rPr>
        <w:t xml:space="preserve"> </w:t>
      </w:r>
      <w:r w:rsidRPr="000977F7">
        <w:rPr>
          <w:rFonts w:asciiTheme="majorHAnsi" w:hAnsiTheme="majorHAnsi"/>
          <w:sz w:val="20"/>
          <w:szCs w:val="20"/>
        </w:rPr>
        <w:t>керівних</w:t>
      </w:r>
      <w:r w:rsidRPr="000977F7">
        <w:rPr>
          <w:rFonts w:asciiTheme="majorHAnsi" w:hAnsiTheme="majorHAnsi"/>
          <w:spacing w:val="1"/>
          <w:sz w:val="20"/>
          <w:szCs w:val="20"/>
        </w:rPr>
        <w:t xml:space="preserve"> </w:t>
      </w:r>
      <w:r w:rsidRPr="000977F7">
        <w:rPr>
          <w:rFonts w:asciiTheme="majorHAnsi" w:hAnsiTheme="majorHAnsi"/>
          <w:sz w:val="20"/>
          <w:szCs w:val="20"/>
        </w:rPr>
        <w:t>дій,</w:t>
      </w:r>
      <w:r w:rsidRPr="000977F7">
        <w:rPr>
          <w:rFonts w:asciiTheme="majorHAnsi" w:hAnsiTheme="majorHAnsi"/>
          <w:spacing w:val="1"/>
          <w:sz w:val="20"/>
          <w:szCs w:val="20"/>
        </w:rPr>
        <w:t xml:space="preserve"> </w:t>
      </w:r>
      <w:r w:rsidRPr="000977F7">
        <w:rPr>
          <w:rFonts w:asciiTheme="majorHAnsi" w:hAnsiTheme="majorHAnsi"/>
          <w:sz w:val="20"/>
          <w:szCs w:val="20"/>
        </w:rPr>
        <w:t>рішень</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процесів,</w:t>
      </w:r>
      <w:r w:rsidRPr="000977F7">
        <w:rPr>
          <w:rFonts w:asciiTheme="majorHAnsi" w:hAnsiTheme="majorHAnsi"/>
          <w:spacing w:val="1"/>
          <w:sz w:val="20"/>
          <w:szCs w:val="20"/>
        </w:rPr>
        <w:t xml:space="preserve"> </w:t>
      </w:r>
      <w:r w:rsidRPr="000977F7">
        <w:rPr>
          <w:rFonts w:asciiTheme="majorHAnsi" w:hAnsiTheme="majorHAnsi"/>
          <w:sz w:val="20"/>
          <w:szCs w:val="20"/>
        </w:rPr>
        <w:t>об’єднаних</w:t>
      </w:r>
      <w:r w:rsidRPr="000977F7">
        <w:rPr>
          <w:rFonts w:asciiTheme="majorHAnsi" w:hAnsiTheme="majorHAnsi"/>
          <w:spacing w:val="1"/>
          <w:sz w:val="20"/>
          <w:szCs w:val="20"/>
        </w:rPr>
        <w:t xml:space="preserve"> </w:t>
      </w:r>
      <w:r w:rsidRPr="000977F7">
        <w:rPr>
          <w:rFonts w:asciiTheme="majorHAnsi" w:hAnsiTheme="majorHAnsi"/>
          <w:sz w:val="20"/>
          <w:szCs w:val="20"/>
        </w:rPr>
        <w:t>спільністю</w:t>
      </w:r>
      <w:r w:rsidRPr="000977F7">
        <w:rPr>
          <w:rFonts w:asciiTheme="majorHAnsi" w:hAnsiTheme="majorHAnsi"/>
          <w:spacing w:val="1"/>
          <w:sz w:val="20"/>
          <w:szCs w:val="20"/>
        </w:rPr>
        <w:t xml:space="preserve"> </w:t>
      </w:r>
      <w:r w:rsidRPr="000977F7">
        <w:rPr>
          <w:rFonts w:asciiTheme="majorHAnsi" w:hAnsiTheme="majorHAnsi"/>
          <w:sz w:val="20"/>
          <w:szCs w:val="20"/>
        </w:rPr>
        <w:t>завдань</w:t>
      </w:r>
      <w:r w:rsidRPr="000977F7">
        <w:rPr>
          <w:rFonts w:asciiTheme="majorHAnsi" w:hAnsiTheme="majorHAnsi"/>
          <w:spacing w:val="1"/>
          <w:sz w:val="20"/>
          <w:szCs w:val="20"/>
        </w:rPr>
        <w:t xml:space="preserve"> </w:t>
      </w:r>
      <w:r w:rsidRPr="000977F7">
        <w:rPr>
          <w:rFonts w:asciiTheme="majorHAnsi" w:hAnsiTheme="majorHAnsi"/>
          <w:sz w:val="20"/>
          <w:szCs w:val="20"/>
        </w:rPr>
        <w:t>щодо</w:t>
      </w:r>
      <w:r w:rsidRPr="000977F7">
        <w:rPr>
          <w:rFonts w:asciiTheme="majorHAnsi" w:hAnsiTheme="majorHAnsi"/>
          <w:spacing w:val="5"/>
          <w:sz w:val="20"/>
          <w:szCs w:val="20"/>
        </w:rPr>
        <w:t xml:space="preserve"> </w:t>
      </w:r>
      <w:r w:rsidRPr="000977F7">
        <w:rPr>
          <w:rFonts w:asciiTheme="majorHAnsi" w:hAnsiTheme="majorHAnsi"/>
          <w:sz w:val="20"/>
          <w:szCs w:val="20"/>
        </w:rPr>
        <w:t>впливу</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6"/>
          <w:sz w:val="20"/>
          <w:szCs w:val="20"/>
        </w:rPr>
        <w:t xml:space="preserve"> </w:t>
      </w:r>
      <w:r w:rsidRPr="000977F7">
        <w:rPr>
          <w:rFonts w:asciiTheme="majorHAnsi" w:hAnsiTheme="majorHAnsi"/>
          <w:sz w:val="20"/>
          <w:szCs w:val="20"/>
        </w:rPr>
        <w:t>керований</w:t>
      </w:r>
      <w:r w:rsidRPr="000977F7">
        <w:rPr>
          <w:rFonts w:asciiTheme="majorHAnsi" w:hAnsiTheme="majorHAnsi"/>
          <w:spacing w:val="6"/>
          <w:sz w:val="20"/>
          <w:szCs w:val="20"/>
        </w:rPr>
        <w:t xml:space="preserve"> </w:t>
      </w:r>
      <w:r w:rsidRPr="000977F7">
        <w:rPr>
          <w:rFonts w:asciiTheme="majorHAnsi" w:hAnsiTheme="majorHAnsi"/>
          <w:sz w:val="20"/>
          <w:szCs w:val="20"/>
        </w:rPr>
        <w:t>об’єкт</w:t>
      </w:r>
    </w:p>
    <w:p w14:paraId="383260C3"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9"/>
          <w:sz w:val="20"/>
          <w:szCs w:val="20"/>
        </w:rPr>
        <w:t xml:space="preserve"> </w:t>
      </w:r>
      <w:r w:rsidRPr="000977F7">
        <w:rPr>
          <w:rFonts w:asciiTheme="majorHAnsi" w:hAnsiTheme="majorHAnsi"/>
          <w:i/>
          <w:sz w:val="20"/>
          <w:szCs w:val="20"/>
        </w:rPr>
        <w:t>2960</w:t>
      </w:r>
      <w:r w:rsidRPr="000977F7">
        <w:rPr>
          <w:rFonts w:asciiTheme="majorHAnsi" w:hAnsiTheme="majorHAnsi"/>
          <w:i/>
          <w:spacing w:val="9"/>
          <w:sz w:val="20"/>
          <w:szCs w:val="20"/>
        </w:rPr>
        <w:t xml:space="preserve"> </w:t>
      </w:r>
      <w:r w:rsidRPr="000977F7">
        <w:rPr>
          <w:rFonts w:asciiTheme="majorHAnsi" w:hAnsiTheme="majorHAnsi"/>
          <w:i/>
          <w:sz w:val="20"/>
          <w:szCs w:val="20"/>
        </w:rPr>
        <w:t>–</w:t>
      </w:r>
      <w:r w:rsidRPr="000977F7">
        <w:rPr>
          <w:rFonts w:asciiTheme="majorHAnsi" w:hAnsiTheme="majorHAnsi"/>
          <w:i/>
          <w:spacing w:val="8"/>
          <w:sz w:val="20"/>
          <w:szCs w:val="20"/>
        </w:rPr>
        <w:t xml:space="preserve"> </w:t>
      </w:r>
      <w:r w:rsidRPr="000977F7">
        <w:rPr>
          <w:rFonts w:asciiTheme="majorHAnsi" w:hAnsiTheme="majorHAnsi"/>
          <w:i/>
          <w:sz w:val="20"/>
          <w:szCs w:val="20"/>
        </w:rPr>
        <w:t>94</w:t>
      </w:r>
    </w:p>
    <w:p w14:paraId="7FB6FDC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ФУНКЦІЯ</w:t>
      </w:r>
      <w:r w:rsidRPr="000977F7">
        <w:rPr>
          <w:color w:val="auto"/>
          <w:spacing w:val="9"/>
          <w:sz w:val="20"/>
          <w:szCs w:val="20"/>
        </w:rPr>
        <w:t xml:space="preserve"> </w:t>
      </w:r>
      <w:r w:rsidRPr="000977F7">
        <w:rPr>
          <w:color w:val="auto"/>
          <w:sz w:val="20"/>
          <w:szCs w:val="20"/>
        </w:rPr>
        <w:t>(ЗАДАНА)</w:t>
      </w:r>
      <w:r w:rsidRPr="000977F7">
        <w:rPr>
          <w:color w:val="auto"/>
          <w:spacing w:val="8"/>
          <w:sz w:val="20"/>
          <w:szCs w:val="20"/>
        </w:rPr>
        <w:t xml:space="preserve"> </w:t>
      </w:r>
      <w:r w:rsidRPr="000977F7">
        <w:rPr>
          <w:color w:val="auto"/>
          <w:sz w:val="20"/>
          <w:szCs w:val="20"/>
        </w:rPr>
        <w:t>ОБ’ЄКТА</w:t>
      </w:r>
      <w:r w:rsidRPr="000977F7">
        <w:rPr>
          <w:color w:val="auto"/>
          <w:spacing w:val="15"/>
          <w:sz w:val="20"/>
          <w:szCs w:val="20"/>
        </w:rPr>
        <w:t xml:space="preserve"> </w:t>
      </w:r>
      <w:r w:rsidRPr="000977F7">
        <w:rPr>
          <w:color w:val="auto"/>
          <w:sz w:val="20"/>
          <w:szCs w:val="20"/>
        </w:rPr>
        <w:t>–</w:t>
      </w:r>
    </w:p>
    <w:p w14:paraId="2A323BB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FUNCTION</w:t>
      </w:r>
      <w:r w:rsidRPr="000977F7">
        <w:rPr>
          <w:rFonts w:asciiTheme="majorHAnsi" w:hAnsiTheme="majorHAnsi"/>
          <w:spacing w:val="8"/>
          <w:sz w:val="20"/>
          <w:szCs w:val="20"/>
        </w:rPr>
        <w:t xml:space="preserve"> </w:t>
      </w:r>
      <w:r w:rsidRPr="000977F7">
        <w:rPr>
          <w:rFonts w:asciiTheme="majorHAnsi" w:hAnsiTheme="majorHAnsi"/>
          <w:sz w:val="20"/>
          <w:szCs w:val="20"/>
        </w:rPr>
        <w:t>–</w:t>
      </w:r>
    </w:p>
    <w:p w14:paraId="642AC57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об’єкті</w:t>
      </w:r>
      <w:r w:rsidRPr="000977F7">
        <w:rPr>
          <w:rFonts w:asciiTheme="majorHAnsi" w:hAnsiTheme="majorHAnsi"/>
          <w:spacing w:val="1"/>
          <w:sz w:val="20"/>
          <w:szCs w:val="20"/>
        </w:rPr>
        <w:t xml:space="preserve"> </w:t>
      </w:r>
      <w:r w:rsidRPr="000977F7">
        <w:rPr>
          <w:rFonts w:asciiTheme="majorHAnsi" w:hAnsiTheme="majorHAnsi"/>
          <w:sz w:val="20"/>
          <w:szCs w:val="20"/>
        </w:rPr>
        <w:t>процесу,</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відповідає</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призначенню, виявлення заданої умови чи властивості об’єкта відповідно вимогам нормативної та (чи)</w:t>
      </w:r>
      <w:r w:rsidRPr="000977F7">
        <w:rPr>
          <w:rFonts w:asciiTheme="majorHAnsi" w:hAnsiTheme="majorHAnsi"/>
          <w:spacing w:val="1"/>
          <w:sz w:val="20"/>
          <w:szCs w:val="20"/>
        </w:rPr>
        <w:t xml:space="preserve"> </w:t>
      </w:r>
      <w:r w:rsidRPr="000977F7">
        <w:rPr>
          <w:rFonts w:asciiTheme="majorHAnsi" w:hAnsiTheme="majorHAnsi"/>
          <w:sz w:val="20"/>
          <w:szCs w:val="20"/>
        </w:rPr>
        <w:t>конструкторської</w:t>
      </w:r>
      <w:r w:rsidRPr="000977F7">
        <w:rPr>
          <w:rFonts w:asciiTheme="majorHAnsi" w:hAnsiTheme="majorHAnsi"/>
          <w:spacing w:val="6"/>
          <w:sz w:val="20"/>
          <w:szCs w:val="20"/>
        </w:rPr>
        <w:t xml:space="preserve"> </w:t>
      </w:r>
      <w:r w:rsidRPr="000977F7">
        <w:rPr>
          <w:rFonts w:asciiTheme="majorHAnsi" w:hAnsiTheme="majorHAnsi"/>
          <w:sz w:val="20"/>
          <w:szCs w:val="20"/>
        </w:rPr>
        <w:t>(проектної)</w:t>
      </w:r>
      <w:r w:rsidRPr="000977F7">
        <w:rPr>
          <w:rFonts w:asciiTheme="majorHAnsi" w:hAnsiTheme="majorHAnsi"/>
          <w:spacing w:val="7"/>
          <w:sz w:val="20"/>
          <w:szCs w:val="20"/>
        </w:rPr>
        <w:t xml:space="preserve"> </w:t>
      </w:r>
      <w:r w:rsidRPr="000977F7">
        <w:rPr>
          <w:rFonts w:asciiTheme="majorHAnsi" w:hAnsiTheme="majorHAnsi"/>
          <w:sz w:val="20"/>
          <w:szCs w:val="20"/>
        </w:rPr>
        <w:t>документації</w:t>
      </w:r>
    </w:p>
    <w:p w14:paraId="57E606C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7"/>
          <w:sz w:val="20"/>
          <w:szCs w:val="20"/>
        </w:rPr>
        <w:t xml:space="preserve"> </w:t>
      </w:r>
      <w:r w:rsidRPr="000977F7">
        <w:rPr>
          <w:rFonts w:asciiTheme="majorHAnsi" w:hAnsiTheme="majorHAnsi"/>
          <w:i/>
          <w:sz w:val="20"/>
          <w:szCs w:val="20"/>
        </w:rPr>
        <w:t>2860</w:t>
      </w:r>
      <w:r w:rsidRPr="000977F7">
        <w:rPr>
          <w:rFonts w:asciiTheme="majorHAnsi" w:hAnsiTheme="majorHAnsi"/>
          <w:i/>
          <w:spacing w:val="8"/>
          <w:sz w:val="20"/>
          <w:szCs w:val="20"/>
        </w:rPr>
        <w:t xml:space="preserve"> </w:t>
      </w:r>
      <w:r w:rsidRPr="000977F7">
        <w:rPr>
          <w:rFonts w:asciiTheme="majorHAnsi" w:hAnsiTheme="majorHAnsi"/>
          <w:i/>
          <w:sz w:val="20"/>
          <w:szCs w:val="20"/>
        </w:rPr>
        <w:t>–</w:t>
      </w:r>
      <w:r w:rsidRPr="000977F7">
        <w:rPr>
          <w:rFonts w:asciiTheme="majorHAnsi" w:hAnsiTheme="majorHAnsi"/>
          <w:i/>
          <w:spacing w:val="7"/>
          <w:sz w:val="20"/>
          <w:szCs w:val="20"/>
        </w:rPr>
        <w:t xml:space="preserve"> </w:t>
      </w:r>
      <w:r w:rsidRPr="000977F7">
        <w:rPr>
          <w:rFonts w:asciiTheme="majorHAnsi" w:hAnsiTheme="majorHAnsi"/>
          <w:i/>
          <w:sz w:val="20"/>
          <w:szCs w:val="20"/>
        </w:rPr>
        <w:t>94</w:t>
      </w:r>
    </w:p>
    <w:p w14:paraId="2E9DC7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w:t>
      </w:r>
      <w:r w:rsidRPr="000977F7">
        <w:rPr>
          <w:rFonts w:asciiTheme="majorHAnsi" w:hAnsiTheme="majorHAnsi"/>
          <w:spacing w:val="10"/>
          <w:sz w:val="20"/>
          <w:szCs w:val="20"/>
        </w:rPr>
        <w:t xml:space="preserve"> </w:t>
      </w:r>
      <w:r w:rsidRPr="000977F7">
        <w:rPr>
          <w:rFonts w:asciiTheme="majorHAnsi" w:hAnsiTheme="majorHAnsi"/>
          <w:sz w:val="20"/>
          <w:szCs w:val="20"/>
        </w:rPr>
        <w:t>дій,</w:t>
      </w:r>
      <w:r w:rsidRPr="000977F7">
        <w:rPr>
          <w:rFonts w:asciiTheme="majorHAnsi" w:hAnsiTheme="majorHAnsi"/>
          <w:spacing w:val="11"/>
          <w:sz w:val="20"/>
          <w:szCs w:val="20"/>
        </w:rPr>
        <w:t xml:space="preserve"> </w:t>
      </w:r>
      <w:r w:rsidRPr="000977F7">
        <w:rPr>
          <w:rFonts w:asciiTheme="majorHAnsi" w:hAnsiTheme="majorHAnsi"/>
          <w:sz w:val="20"/>
          <w:szCs w:val="20"/>
        </w:rPr>
        <w:t>що</w:t>
      </w:r>
      <w:r w:rsidRPr="000977F7">
        <w:rPr>
          <w:rFonts w:asciiTheme="majorHAnsi" w:hAnsiTheme="majorHAnsi"/>
          <w:spacing w:val="10"/>
          <w:sz w:val="20"/>
          <w:szCs w:val="20"/>
        </w:rPr>
        <w:t xml:space="preserve"> </w:t>
      </w:r>
      <w:r w:rsidRPr="000977F7">
        <w:rPr>
          <w:rFonts w:asciiTheme="majorHAnsi" w:hAnsiTheme="majorHAnsi"/>
          <w:sz w:val="20"/>
          <w:szCs w:val="20"/>
        </w:rPr>
        <w:t>їх</w:t>
      </w:r>
      <w:r w:rsidRPr="000977F7">
        <w:rPr>
          <w:rFonts w:asciiTheme="majorHAnsi" w:hAnsiTheme="majorHAnsi"/>
          <w:spacing w:val="8"/>
          <w:sz w:val="20"/>
          <w:szCs w:val="20"/>
        </w:rPr>
        <w:t xml:space="preserve"> </w:t>
      </w:r>
      <w:r w:rsidRPr="000977F7">
        <w:rPr>
          <w:rFonts w:asciiTheme="majorHAnsi" w:hAnsiTheme="majorHAnsi"/>
          <w:sz w:val="20"/>
          <w:szCs w:val="20"/>
        </w:rPr>
        <w:t>повинен</w:t>
      </w:r>
      <w:r w:rsidRPr="000977F7">
        <w:rPr>
          <w:rFonts w:asciiTheme="majorHAnsi" w:hAnsiTheme="majorHAnsi"/>
          <w:spacing w:val="9"/>
          <w:sz w:val="20"/>
          <w:szCs w:val="20"/>
        </w:rPr>
        <w:t xml:space="preserve"> </w:t>
      </w:r>
      <w:r w:rsidRPr="000977F7">
        <w:rPr>
          <w:rFonts w:asciiTheme="majorHAnsi" w:hAnsiTheme="majorHAnsi"/>
          <w:sz w:val="20"/>
          <w:szCs w:val="20"/>
        </w:rPr>
        <w:t>виконувати</w:t>
      </w:r>
      <w:r w:rsidRPr="000977F7">
        <w:rPr>
          <w:rFonts w:asciiTheme="majorHAnsi" w:hAnsiTheme="majorHAnsi"/>
          <w:spacing w:val="8"/>
          <w:sz w:val="20"/>
          <w:szCs w:val="20"/>
        </w:rPr>
        <w:t xml:space="preserve"> </w:t>
      </w:r>
      <w:r w:rsidRPr="000977F7">
        <w:rPr>
          <w:rFonts w:asciiTheme="majorHAnsi" w:hAnsiTheme="majorHAnsi"/>
          <w:sz w:val="20"/>
          <w:szCs w:val="20"/>
        </w:rPr>
        <w:t>об’єкт</w:t>
      </w:r>
      <w:r w:rsidRPr="000977F7">
        <w:rPr>
          <w:rFonts w:asciiTheme="majorHAnsi" w:hAnsiTheme="majorHAnsi"/>
          <w:spacing w:val="10"/>
          <w:sz w:val="20"/>
          <w:szCs w:val="20"/>
        </w:rPr>
        <w:t xml:space="preserve"> </w:t>
      </w:r>
      <w:r w:rsidRPr="000977F7">
        <w:rPr>
          <w:rFonts w:asciiTheme="majorHAnsi" w:hAnsiTheme="majorHAnsi"/>
          <w:sz w:val="20"/>
          <w:szCs w:val="20"/>
        </w:rPr>
        <w:t>за</w:t>
      </w:r>
      <w:r w:rsidRPr="000977F7">
        <w:rPr>
          <w:rFonts w:asciiTheme="majorHAnsi" w:hAnsiTheme="majorHAnsi"/>
          <w:spacing w:val="-47"/>
          <w:sz w:val="20"/>
          <w:szCs w:val="20"/>
        </w:rPr>
        <w:t xml:space="preserve"> </w:t>
      </w:r>
      <w:r w:rsidRPr="000977F7">
        <w:rPr>
          <w:rFonts w:asciiTheme="majorHAnsi" w:hAnsiTheme="majorHAnsi"/>
          <w:sz w:val="20"/>
          <w:szCs w:val="20"/>
        </w:rPr>
        <w:t>своїм</w:t>
      </w:r>
      <w:r w:rsidRPr="000977F7">
        <w:rPr>
          <w:rFonts w:asciiTheme="majorHAnsi" w:hAnsiTheme="majorHAnsi"/>
          <w:spacing w:val="11"/>
          <w:sz w:val="20"/>
          <w:szCs w:val="20"/>
        </w:rPr>
        <w:t xml:space="preserve"> </w:t>
      </w:r>
      <w:r w:rsidRPr="000977F7">
        <w:rPr>
          <w:rFonts w:asciiTheme="majorHAnsi" w:hAnsiTheme="majorHAnsi"/>
          <w:sz w:val="20"/>
          <w:szCs w:val="20"/>
        </w:rPr>
        <w:t>призначенням,</w:t>
      </w:r>
      <w:r w:rsidRPr="000977F7">
        <w:rPr>
          <w:rFonts w:asciiTheme="majorHAnsi" w:hAnsiTheme="majorHAnsi"/>
          <w:spacing w:val="7"/>
          <w:sz w:val="20"/>
          <w:szCs w:val="20"/>
        </w:rPr>
        <w:t xml:space="preserve"> </w:t>
      </w:r>
      <w:r w:rsidRPr="000977F7">
        <w:rPr>
          <w:rFonts w:asciiTheme="majorHAnsi" w:hAnsiTheme="majorHAnsi"/>
          <w:sz w:val="20"/>
          <w:szCs w:val="20"/>
        </w:rPr>
        <w:t>або</w:t>
      </w:r>
      <w:r w:rsidRPr="000977F7">
        <w:rPr>
          <w:rFonts w:asciiTheme="majorHAnsi" w:hAnsiTheme="majorHAnsi"/>
          <w:spacing w:val="11"/>
          <w:sz w:val="20"/>
          <w:szCs w:val="20"/>
        </w:rPr>
        <w:t xml:space="preserve"> </w:t>
      </w:r>
      <w:r w:rsidRPr="000977F7">
        <w:rPr>
          <w:rFonts w:asciiTheme="majorHAnsi" w:hAnsiTheme="majorHAnsi"/>
          <w:sz w:val="20"/>
          <w:szCs w:val="20"/>
        </w:rPr>
        <w:t>притаманних</w:t>
      </w:r>
      <w:r w:rsidRPr="000977F7">
        <w:rPr>
          <w:rFonts w:asciiTheme="majorHAnsi" w:hAnsiTheme="majorHAnsi"/>
          <w:spacing w:val="8"/>
          <w:sz w:val="20"/>
          <w:szCs w:val="20"/>
        </w:rPr>
        <w:t xml:space="preserve"> </w:t>
      </w:r>
      <w:r w:rsidRPr="000977F7">
        <w:rPr>
          <w:rFonts w:asciiTheme="majorHAnsi" w:hAnsiTheme="majorHAnsi"/>
          <w:sz w:val="20"/>
          <w:szCs w:val="20"/>
        </w:rPr>
        <w:t>йому</w:t>
      </w:r>
      <w:r w:rsidRPr="000977F7">
        <w:rPr>
          <w:rFonts w:asciiTheme="majorHAnsi" w:hAnsiTheme="majorHAnsi"/>
          <w:spacing w:val="7"/>
          <w:sz w:val="20"/>
          <w:szCs w:val="20"/>
        </w:rPr>
        <w:t xml:space="preserve"> </w:t>
      </w:r>
      <w:r w:rsidRPr="000977F7">
        <w:rPr>
          <w:rFonts w:asciiTheme="majorHAnsi" w:hAnsiTheme="majorHAnsi"/>
          <w:sz w:val="20"/>
          <w:szCs w:val="20"/>
        </w:rPr>
        <w:t>за</w:t>
      </w:r>
      <w:r w:rsidRPr="000977F7">
        <w:rPr>
          <w:rFonts w:asciiTheme="majorHAnsi" w:hAnsiTheme="majorHAnsi"/>
          <w:spacing w:val="10"/>
          <w:sz w:val="20"/>
          <w:szCs w:val="20"/>
        </w:rPr>
        <w:t xml:space="preserve"> </w:t>
      </w:r>
      <w:r w:rsidRPr="000977F7">
        <w:rPr>
          <w:rFonts w:asciiTheme="majorHAnsi" w:hAnsiTheme="majorHAnsi"/>
          <w:sz w:val="20"/>
          <w:szCs w:val="20"/>
        </w:rPr>
        <w:t>цим</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призначенням</w:t>
      </w:r>
      <w:r w:rsidRPr="000977F7">
        <w:rPr>
          <w:rFonts w:asciiTheme="majorHAnsi" w:hAnsiTheme="majorHAnsi"/>
          <w:spacing w:val="6"/>
          <w:sz w:val="20"/>
          <w:szCs w:val="20"/>
        </w:rPr>
        <w:t xml:space="preserve"> </w:t>
      </w:r>
      <w:r w:rsidRPr="000977F7">
        <w:rPr>
          <w:rFonts w:asciiTheme="majorHAnsi" w:hAnsiTheme="majorHAnsi"/>
          <w:sz w:val="20"/>
          <w:szCs w:val="20"/>
        </w:rPr>
        <w:t>властивостей</w:t>
      </w:r>
    </w:p>
    <w:p w14:paraId="75EDB6A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2"/>
          <w:sz w:val="20"/>
          <w:szCs w:val="20"/>
          <w:lang w:val="en-US"/>
        </w:rPr>
        <w:t xml:space="preserve"> </w:t>
      </w:r>
      <w:r w:rsidRPr="004D2D14">
        <w:rPr>
          <w:rFonts w:asciiTheme="majorHAnsi" w:hAnsiTheme="majorHAnsi"/>
          <w:i/>
          <w:sz w:val="20"/>
          <w:szCs w:val="20"/>
          <w:lang w:val="en-US"/>
        </w:rPr>
        <w:t>3956 - 2000</w:t>
      </w:r>
    </w:p>
    <w:p w14:paraId="3B84E0D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ФУНКЦІЯ</w:t>
      </w:r>
      <w:r w:rsidRPr="000977F7">
        <w:rPr>
          <w:color w:val="auto"/>
          <w:spacing w:val="15"/>
          <w:sz w:val="20"/>
          <w:szCs w:val="20"/>
        </w:rPr>
        <w:t xml:space="preserve"> </w:t>
      </w:r>
      <w:r w:rsidRPr="000977F7">
        <w:rPr>
          <w:color w:val="auto"/>
          <w:sz w:val="20"/>
          <w:szCs w:val="20"/>
        </w:rPr>
        <w:t>ПЕРЕТВОРЕННЯ</w:t>
      </w:r>
      <w:r w:rsidRPr="000977F7">
        <w:rPr>
          <w:color w:val="auto"/>
          <w:spacing w:val="22"/>
          <w:sz w:val="20"/>
          <w:szCs w:val="20"/>
        </w:rPr>
        <w:t xml:space="preserve"> </w:t>
      </w:r>
      <w:r w:rsidRPr="000977F7">
        <w:rPr>
          <w:color w:val="auto"/>
          <w:sz w:val="20"/>
          <w:szCs w:val="20"/>
        </w:rPr>
        <w:t>–</w:t>
      </w:r>
    </w:p>
    <w:p w14:paraId="73B2462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RESPONSE</w:t>
      </w:r>
      <w:r w:rsidRPr="004D2D14">
        <w:rPr>
          <w:rFonts w:asciiTheme="majorHAnsi" w:hAnsiTheme="majorHAnsi"/>
          <w:spacing w:val="19"/>
          <w:sz w:val="20"/>
          <w:szCs w:val="20"/>
          <w:lang w:val="en-US"/>
        </w:rPr>
        <w:t xml:space="preserve"> </w:t>
      </w:r>
      <w:r w:rsidRPr="004D2D14">
        <w:rPr>
          <w:rFonts w:asciiTheme="majorHAnsi" w:hAnsiTheme="majorHAnsi"/>
          <w:sz w:val="20"/>
          <w:szCs w:val="20"/>
          <w:lang w:val="en-US"/>
        </w:rPr>
        <w:t>CHARACTERISTIC</w:t>
      </w:r>
      <w:r w:rsidRPr="004D2D14">
        <w:rPr>
          <w:rFonts w:asciiTheme="majorHAnsi" w:hAnsiTheme="majorHAnsi"/>
          <w:spacing w:val="20"/>
          <w:sz w:val="20"/>
          <w:szCs w:val="20"/>
          <w:lang w:val="en-US"/>
        </w:rPr>
        <w:t xml:space="preserve"> </w:t>
      </w:r>
      <w:r w:rsidRPr="004D2D14">
        <w:rPr>
          <w:rFonts w:asciiTheme="majorHAnsi" w:hAnsiTheme="majorHAnsi"/>
          <w:sz w:val="20"/>
          <w:szCs w:val="20"/>
          <w:lang w:val="en-US"/>
        </w:rPr>
        <w:t>–</w:t>
      </w:r>
    </w:p>
    <w:p w14:paraId="193B6E1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Залежність</w:t>
      </w:r>
      <w:r w:rsidRPr="000977F7">
        <w:rPr>
          <w:rFonts w:asciiTheme="majorHAnsi" w:hAnsiTheme="majorHAnsi"/>
          <w:spacing w:val="34"/>
          <w:sz w:val="20"/>
          <w:szCs w:val="20"/>
        </w:rPr>
        <w:t xml:space="preserve"> </w:t>
      </w:r>
      <w:r w:rsidRPr="000977F7">
        <w:rPr>
          <w:rFonts w:asciiTheme="majorHAnsi" w:hAnsiTheme="majorHAnsi"/>
          <w:sz w:val="20"/>
          <w:szCs w:val="20"/>
        </w:rPr>
        <w:t>між</w:t>
      </w:r>
      <w:r w:rsidRPr="000977F7">
        <w:rPr>
          <w:rFonts w:asciiTheme="majorHAnsi" w:hAnsiTheme="majorHAnsi"/>
          <w:spacing w:val="31"/>
          <w:sz w:val="20"/>
          <w:szCs w:val="20"/>
        </w:rPr>
        <w:t xml:space="preserve"> </w:t>
      </w:r>
      <w:r w:rsidRPr="000977F7">
        <w:rPr>
          <w:rFonts w:asciiTheme="majorHAnsi" w:hAnsiTheme="majorHAnsi"/>
          <w:sz w:val="20"/>
          <w:szCs w:val="20"/>
        </w:rPr>
        <w:t>вихідною</w:t>
      </w:r>
      <w:r w:rsidRPr="000977F7">
        <w:rPr>
          <w:rFonts w:asciiTheme="majorHAnsi" w:hAnsiTheme="majorHAnsi"/>
          <w:spacing w:val="34"/>
          <w:sz w:val="20"/>
          <w:szCs w:val="20"/>
        </w:rPr>
        <w:t xml:space="preserve"> </w:t>
      </w:r>
      <w:r w:rsidRPr="000977F7">
        <w:rPr>
          <w:rFonts w:asciiTheme="majorHAnsi" w:hAnsiTheme="majorHAnsi"/>
          <w:sz w:val="20"/>
          <w:szCs w:val="20"/>
        </w:rPr>
        <w:t>та</w:t>
      </w:r>
      <w:r w:rsidRPr="000977F7">
        <w:rPr>
          <w:rFonts w:asciiTheme="majorHAnsi" w:hAnsiTheme="majorHAnsi"/>
          <w:spacing w:val="32"/>
          <w:sz w:val="20"/>
          <w:szCs w:val="20"/>
        </w:rPr>
        <w:t xml:space="preserve"> </w:t>
      </w:r>
      <w:r w:rsidRPr="000977F7">
        <w:rPr>
          <w:rFonts w:asciiTheme="majorHAnsi" w:hAnsiTheme="majorHAnsi"/>
          <w:sz w:val="20"/>
          <w:szCs w:val="20"/>
        </w:rPr>
        <w:t>вхідною</w:t>
      </w:r>
      <w:r w:rsidRPr="000977F7">
        <w:rPr>
          <w:rFonts w:asciiTheme="majorHAnsi" w:hAnsiTheme="majorHAnsi"/>
          <w:spacing w:val="32"/>
          <w:sz w:val="20"/>
          <w:szCs w:val="20"/>
        </w:rPr>
        <w:t xml:space="preserve"> </w:t>
      </w:r>
      <w:r w:rsidRPr="000977F7">
        <w:rPr>
          <w:rFonts w:asciiTheme="majorHAnsi" w:hAnsiTheme="majorHAnsi"/>
          <w:sz w:val="20"/>
          <w:szCs w:val="20"/>
        </w:rPr>
        <w:t>величинами</w:t>
      </w:r>
      <w:r w:rsidRPr="000977F7">
        <w:rPr>
          <w:rFonts w:asciiTheme="majorHAnsi" w:hAnsiTheme="majorHAnsi"/>
          <w:spacing w:val="-47"/>
          <w:sz w:val="20"/>
          <w:szCs w:val="20"/>
        </w:rPr>
        <w:t xml:space="preserve"> </w:t>
      </w:r>
      <w:r w:rsidRPr="000977F7">
        <w:rPr>
          <w:rFonts w:asciiTheme="majorHAnsi" w:hAnsiTheme="majorHAnsi"/>
          <w:sz w:val="20"/>
          <w:szCs w:val="20"/>
        </w:rPr>
        <w:t>вимірювального</w:t>
      </w:r>
      <w:r w:rsidRPr="000977F7">
        <w:rPr>
          <w:rFonts w:asciiTheme="majorHAnsi" w:hAnsiTheme="majorHAnsi"/>
          <w:spacing w:val="5"/>
          <w:sz w:val="20"/>
          <w:szCs w:val="20"/>
        </w:rPr>
        <w:t xml:space="preserve"> </w:t>
      </w:r>
      <w:r w:rsidRPr="000977F7">
        <w:rPr>
          <w:rFonts w:asciiTheme="majorHAnsi" w:hAnsiTheme="majorHAnsi"/>
          <w:sz w:val="20"/>
          <w:szCs w:val="20"/>
        </w:rPr>
        <w:t>перетворювача</w:t>
      </w:r>
    </w:p>
    <w:p w14:paraId="17FC1DE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7"/>
          <w:sz w:val="20"/>
          <w:szCs w:val="20"/>
        </w:rPr>
        <w:t xml:space="preserve"> </w:t>
      </w:r>
      <w:r w:rsidRPr="000977F7">
        <w:rPr>
          <w:rFonts w:asciiTheme="majorHAnsi" w:hAnsiTheme="majorHAnsi"/>
          <w:i/>
          <w:sz w:val="20"/>
          <w:szCs w:val="20"/>
        </w:rPr>
        <w:t>2681</w:t>
      </w:r>
      <w:r w:rsidRPr="000977F7">
        <w:rPr>
          <w:rFonts w:asciiTheme="majorHAnsi" w:hAnsiTheme="majorHAnsi"/>
          <w:i/>
          <w:spacing w:val="8"/>
          <w:sz w:val="20"/>
          <w:szCs w:val="20"/>
        </w:rPr>
        <w:t xml:space="preserve"> </w:t>
      </w:r>
      <w:r w:rsidRPr="000977F7">
        <w:rPr>
          <w:rFonts w:asciiTheme="majorHAnsi" w:hAnsiTheme="majorHAnsi"/>
          <w:i/>
          <w:sz w:val="20"/>
          <w:szCs w:val="20"/>
        </w:rPr>
        <w:t>–</w:t>
      </w:r>
      <w:r w:rsidRPr="000977F7">
        <w:rPr>
          <w:rFonts w:asciiTheme="majorHAnsi" w:hAnsiTheme="majorHAnsi"/>
          <w:i/>
          <w:spacing w:val="7"/>
          <w:sz w:val="20"/>
          <w:szCs w:val="20"/>
        </w:rPr>
        <w:t xml:space="preserve"> </w:t>
      </w:r>
      <w:r w:rsidRPr="000977F7">
        <w:rPr>
          <w:rFonts w:asciiTheme="majorHAnsi" w:hAnsiTheme="majorHAnsi"/>
          <w:i/>
          <w:sz w:val="20"/>
          <w:szCs w:val="20"/>
        </w:rPr>
        <w:t>94</w:t>
      </w:r>
    </w:p>
    <w:p w14:paraId="3E134EA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 xml:space="preserve">ФУНКЦІЯ ПЕРЕХОДІВ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05BD378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FUNCTION</w:t>
      </w:r>
      <w:r w:rsidRPr="000977F7">
        <w:rPr>
          <w:rFonts w:asciiTheme="majorHAnsi" w:hAnsiTheme="majorHAnsi"/>
          <w:spacing w:val="-5"/>
          <w:sz w:val="20"/>
          <w:szCs w:val="20"/>
        </w:rPr>
        <w:t xml:space="preserve"> </w:t>
      </w:r>
      <w:r w:rsidRPr="000977F7">
        <w:rPr>
          <w:rFonts w:asciiTheme="majorHAnsi" w:hAnsiTheme="majorHAnsi"/>
          <w:sz w:val="20"/>
          <w:szCs w:val="20"/>
        </w:rPr>
        <w:t>–</w:t>
      </w:r>
    </w:p>
    <w:p w14:paraId="4709291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Залежність віднесеного до певного моменту часу стану інерційного об’єкта з дискретним перебігом процесів від стану цього ж об’єкта та стану його входів,</w:t>
      </w:r>
      <w:r w:rsidRPr="000977F7">
        <w:rPr>
          <w:rFonts w:asciiTheme="majorHAnsi" w:hAnsiTheme="majorHAnsi"/>
          <w:spacing w:val="1"/>
          <w:sz w:val="20"/>
          <w:szCs w:val="20"/>
        </w:rPr>
        <w:t xml:space="preserve"> </w:t>
      </w:r>
      <w:r w:rsidRPr="000977F7">
        <w:rPr>
          <w:rFonts w:asciiTheme="majorHAnsi" w:hAnsiTheme="majorHAnsi"/>
          <w:sz w:val="20"/>
          <w:szCs w:val="20"/>
        </w:rPr>
        <w:t>віднесених до</w:t>
      </w:r>
      <w:r w:rsidRPr="000977F7">
        <w:rPr>
          <w:rFonts w:asciiTheme="majorHAnsi" w:hAnsiTheme="majorHAnsi"/>
          <w:spacing w:val="-1"/>
          <w:sz w:val="20"/>
          <w:szCs w:val="20"/>
        </w:rPr>
        <w:t xml:space="preserve"> </w:t>
      </w:r>
      <w:r w:rsidRPr="000977F7">
        <w:rPr>
          <w:rFonts w:asciiTheme="majorHAnsi" w:hAnsiTheme="majorHAnsi"/>
          <w:sz w:val="20"/>
          <w:szCs w:val="20"/>
        </w:rPr>
        <w:t>попереднього</w:t>
      </w:r>
      <w:r w:rsidRPr="000977F7">
        <w:rPr>
          <w:rFonts w:asciiTheme="majorHAnsi" w:hAnsiTheme="majorHAnsi"/>
          <w:spacing w:val="1"/>
          <w:sz w:val="20"/>
          <w:szCs w:val="20"/>
        </w:rPr>
        <w:t xml:space="preserve"> </w:t>
      </w:r>
      <w:r w:rsidRPr="000977F7">
        <w:rPr>
          <w:rFonts w:asciiTheme="majorHAnsi" w:hAnsiTheme="majorHAnsi"/>
          <w:sz w:val="20"/>
          <w:szCs w:val="20"/>
        </w:rPr>
        <w:t>моменту</w:t>
      </w:r>
      <w:r w:rsidRPr="000977F7">
        <w:rPr>
          <w:rFonts w:asciiTheme="majorHAnsi" w:hAnsiTheme="majorHAnsi"/>
          <w:spacing w:val="-5"/>
          <w:sz w:val="20"/>
          <w:szCs w:val="20"/>
        </w:rPr>
        <w:t xml:space="preserve"> </w:t>
      </w:r>
      <w:r w:rsidRPr="000977F7">
        <w:rPr>
          <w:rFonts w:asciiTheme="majorHAnsi" w:hAnsiTheme="majorHAnsi"/>
          <w:sz w:val="20"/>
          <w:szCs w:val="20"/>
        </w:rPr>
        <w:t>часу</w:t>
      </w:r>
    </w:p>
    <w:p w14:paraId="457A1D6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78C73EF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ФУНКЦІЯ ТЕХНОЛОГІЧНОГО ПІДГОТОВЛЕННЯ</w:t>
      </w:r>
      <w:r w:rsidRPr="000977F7">
        <w:rPr>
          <w:color w:val="auto"/>
          <w:spacing w:val="-1"/>
          <w:sz w:val="20"/>
          <w:szCs w:val="20"/>
        </w:rPr>
        <w:t xml:space="preserve"> </w:t>
      </w:r>
      <w:r w:rsidRPr="000977F7">
        <w:rPr>
          <w:color w:val="auto"/>
          <w:sz w:val="20"/>
          <w:szCs w:val="20"/>
        </w:rPr>
        <w:t>ВИРОБНИЦТВА –</w:t>
      </w:r>
    </w:p>
    <w:p w14:paraId="0EC7E40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Комплекс завдань, які стосуються технологічного підготовлення виробництва, об’єднаних спільною метою</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їх</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вирішення</w:t>
      </w:r>
    </w:p>
    <w:p w14:paraId="25828C2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2974 – 95</w:t>
      </w:r>
    </w:p>
    <w:p w14:paraId="1C465CF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sectPr w:rsidR="0097612F" w:rsidRPr="000977F7" w:rsidSect="000977F7">
          <w:type w:val="continuous"/>
          <w:pgSz w:w="11900" w:h="16820"/>
          <w:pgMar w:top="980" w:right="380" w:bottom="960" w:left="1160" w:header="0" w:footer="775" w:gutter="0"/>
          <w:cols w:num="2" w:space="454"/>
        </w:sectPr>
      </w:pPr>
    </w:p>
    <w:p w14:paraId="5269A2E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sectPr w:rsidR="0097612F" w:rsidRPr="000977F7" w:rsidSect="000977F7">
          <w:type w:val="continuous"/>
          <w:pgSz w:w="11900" w:h="16820"/>
          <w:pgMar w:top="980" w:right="380" w:bottom="960" w:left="1160" w:header="0" w:footer="775" w:gutter="0"/>
          <w:cols w:num="2" w:space="454"/>
        </w:sectPr>
      </w:pPr>
    </w:p>
    <w:p w14:paraId="399A9D8E" w14:textId="77777777" w:rsidR="0097612F" w:rsidRPr="00C10197" w:rsidRDefault="0097612F" w:rsidP="00C10197">
      <w:pPr>
        <w:pStyle w:val="1"/>
        <w:rPr>
          <w:lang w:val="uk-UA"/>
        </w:rPr>
        <w:sectPr w:rsidR="0097612F" w:rsidRPr="00C10197" w:rsidSect="000977F7">
          <w:pgSz w:w="11900" w:h="16820"/>
          <w:pgMar w:top="980" w:right="380" w:bottom="960" w:left="1160" w:header="0" w:footer="775" w:gutter="0"/>
          <w:cols w:num="2" w:space="454"/>
        </w:sectPr>
      </w:pPr>
      <w:bookmarkStart w:id="314" w:name="_Toc132629654"/>
      <w:r w:rsidRPr="00C10197">
        <w:rPr>
          <w:lang w:val="uk-UA"/>
        </w:rPr>
        <w:lastRenderedPageBreak/>
        <w:t>Х</w:t>
      </w:r>
      <w:bookmarkEnd w:id="314"/>
    </w:p>
    <w:p w14:paraId="7B9B282C" w14:textId="77777777" w:rsidR="0097612F" w:rsidRPr="000977F7" w:rsidRDefault="0097612F" w:rsidP="000977F7">
      <w:pPr>
        <w:pStyle w:val="7"/>
        <w:tabs>
          <w:tab w:val="left" w:pos="284"/>
        </w:tabs>
        <w:spacing w:before="0" w:line="240" w:lineRule="auto"/>
        <w:ind w:left="170"/>
        <w:mirrorIndents/>
        <w:jc w:val="both"/>
        <w:rPr>
          <w:color w:val="auto"/>
          <w:spacing w:val="-1"/>
          <w:sz w:val="20"/>
          <w:szCs w:val="20"/>
        </w:rPr>
      </w:pPr>
      <w:r w:rsidRPr="000977F7">
        <w:rPr>
          <w:color w:val="auto"/>
          <w:spacing w:val="-1"/>
          <w:sz w:val="20"/>
          <w:szCs w:val="20"/>
        </w:rPr>
        <w:t>ХАРАКТЕРИСТИКА ВІДНОВЛЮВАЛЬНОЇ СИЛИ –</w:t>
      </w:r>
    </w:p>
    <w:p w14:paraId="0A612D2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RESTORING</w:t>
      </w:r>
      <w:r w:rsidRPr="004D2D14">
        <w:rPr>
          <w:rFonts w:asciiTheme="majorHAnsi" w:hAnsiTheme="majorHAnsi"/>
          <w:spacing w:val="-3"/>
          <w:sz w:val="20"/>
          <w:szCs w:val="20"/>
          <w:lang w:val="uk-UA"/>
        </w:rPr>
        <w:t xml:space="preserve"> </w:t>
      </w:r>
      <w:r w:rsidRPr="000977F7">
        <w:rPr>
          <w:rFonts w:asciiTheme="majorHAnsi" w:hAnsiTheme="majorHAnsi"/>
          <w:sz w:val="20"/>
          <w:szCs w:val="20"/>
        </w:rPr>
        <w:t>FORCE</w:t>
      </w:r>
      <w:r w:rsidRPr="004D2D14">
        <w:rPr>
          <w:rFonts w:asciiTheme="majorHAnsi" w:hAnsiTheme="majorHAnsi"/>
          <w:sz w:val="20"/>
          <w:szCs w:val="20"/>
          <w:lang w:val="uk-UA"/>
        </w:rPr>
        <w:t xml:space="preserve"> </w:t>
      </w:r>
      <w:r w:rsidRPr="000977F7">
        <w:rPr>
          <w:rFonts w:asciiTheme="majorHAnsi" w:hAnsiTheme="majorHAnsi"/>
          <w:sz w:val="20"/>
          <w:szCs w:val="20"/>
        </w:rPr>
        <w:t>CHARACTERISTIC</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4D0DECB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Залежність відновлювальної сили від відповідної узагальненої координати,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 відраховується від положення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рівноваги</w:t>
      </w:r>
    </w:p>
    <w:p w14:paraId="2A3FD1A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2473 -</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6D5A8F9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ХАРАКТЕРИСТИКА</w:t>
      </w:r>
      <w:r w:rsidRPr="000977F7">
        <w:rPr>
          <w:color w:val="auto"/>
          <w:spacing w:val="-7"/>
          <w:sz w:val="20"/>
          <w:szCs w:val="20"/>
        </w:rPr>
        <w:t xml:space="preserve"> </w:t>
      </w:r>
      <w:r w:rsidRPr="000977F7">
        <w:rPr>
          <w:color w:val="auto"/>
          <w:sz w:val="20"/>
          <w:szCs w:val="20"/>
        </w:rPr>
        <w:t>ДИСИПАТИВНОЇ</w:t>
      </w:r>
      <w:r w:rsidRPr="000977F7">
        <w:rPr>
          <w:color w:val="auto"/>
          <w:spacing w:val="-6"/>
          <w:sz w:val="20"/>
          <w:szCs w:val="20"/>
        </w:rPr>
        <w:t xml:space="preserve"> </w:t>
      </w:r>
      <w:r w:rsidRPr="000977F7">
        <w:rPr>
          <w:color w:val="auto"/>
          <w:sz w:val="20"/>
          <w:szCs w:val="20"/>
        </w:rPr>
        <w:t>СИЛИ –</w:t>
      </w:r>
    </w:p>
    <w:p w14:paraId="464470B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DISSIPATIVE</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FORCE CHARACTERISTIC</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4AA5384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Залежність дисипативної сили від однієї чи декількох</w:t>
      </w:r>
      <w:r w:rsidRPr="000977F7">
        <w:rPr>
          <w:rFonts w:asciiTheme="majorHAnsi" w:hAnsiTheme="majorHAnsi"/>
          <w:spacing w:val="1"/>
          <w:sz w:val="20"/>
          <w:szCs w:val="20"/>
        </w:rPr>
        <w:t xml:space="preserve"> </w:t>
      </w:r>
      <w:r w:rsidRPr="000977F7">
        <w:rPr>
          <w:rFonts w:asciiTheme="majorHAnsi" w:hAnsiTheme="majorHAnsi"/>
          <w:sz w:val="20"/>
          <w:szCs w:val="20"/>
        </w:rPr>
        <w:t>коливних</w:t>
      </w:r>
      <w:r w:rsidRPr="000977F7">
        <w:rPr>
          <w:rFonts w:asciiTheme="majorHAnsi" w:hAnsiTheme="majorHAnsi"/>
          <w:spacing w:val="-2"/>
          <w:sz w:val="20"/>
          <w:szCs w:val="20"/>
        </w:rPr>
        <w:t xml:space="preserve"> </w:t>
      </w:r>
      <w:r w:rsidRPr="000977F7">
        <w:rPr>
          <w:rFonts w:asciiTheme="majorHAnsi" w:hAnsiTheme="majorHAnsi"/>
          <w:sz w:val="20"/>
          <w:szCs w:val="20"/>
        </w:rPr>
        <w:t>величин</w:t>
      </w:r>
    </w:p>
    <w:p w14:paraId="3F6C07A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2473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E6E7D0B" w14:textId="77777777" w:rsidR="0097612F" w:rsidRPr="000977F7" w:rsidRDefault="0097612F" w:rsidP="000977F7">
      <w:pPr>
        <w:pStyle w:val="7"/>
        <w:tabs>
          <w:tab w:val="left" w:pos="284"/>
        </w:tabs>
        <w:spacing w:before="0" w:line="240" w:lineRule="auto"/>
        <w:ind w:left="170"/>
        <w:mirrorIndents/>
        <w:jc w:val="both"/>
        <w:rPr>
          <w:color w:val="auto"/>
          <w:spacing w:val="22"/>
          <w:sz w:val="20"/>
          <w:szCs w:val="20"/>
        </w:rPr>
      </w:pPr>
      <w:r w:rsidRPr="000977F7">
        <w:rPr>
          <w:color w:val="auto"/>
          <w:sz w:val="20"/>
          <w:szCs w:val="20"/>
        </w:rPr>
        <w:t>ХАРАКТЕРИСТИКА</w:t>
      </w:r>
      <w:r w:rsidRPr="000977F7">
        <w:rPr>
          <w:color w:val="auto"/>
          <w:spacing w:val="22"/>
          <w:sz w:val="20"/>
          <w:szCs w:val="20"/>
        </w:rPr>
        <w:t xml:space="preserve"> </w:t>
      </w:r>
    </w:p>
    <w:p w14:paraId="5FBFCDA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КОНТРОЛЕПРИДАТНОСТІ</w:t>
      </w:r>
      <w:r w:rsidRPr="000977F7">
        <w:rPr>
          <w:color w:val="auto"/>
          <w:spacing w:val="-2"/>
          <w:sz w:val="20"/>
          <w:szCs w:val="20"/>
        </w:rPr>
        <w:t xml:space="preserve"> </w:t>
      </w:r>
      <w:r w:rsidRPr="000977F7">
        <w:rPr>
          <w:color w:val="auto"/>
          <w:sz w:val="20"/>
          <w:szCs w:val="20"/>
        </w:rPr>
        <w:t>–</w:t>
      </w:r>
    </w:p>
    <w:p w14:paraId="5C40BA5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Конструкторський документ, який містить відомості</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пристосованість</w:t>
      </w:r>
      <w:r w:rsidRPr="000977F7">
        <w:rPr>
          <w:rFonts w:asciiTheme="majorHAnsi" w:hAnsiTheme="majorHAnsi"/>
          <w:spacing w:val="-1"/>
          <w:sz w:val="20"/>
          <w:szCs w:val="20"/>
        </w:rPr>
        <w:t xml:space="preserve"> </w:t>
      </w:r>
      <w:r w:rsidRPr="000977F7">
        <w:rPr>
          <w:rFonts w:asciiTheme="majorHAnsi" w:hAnsiTheme="majorHAnsi"/>
          <w:sz w:val="20"/>
          <w:szCs w:val="20"/>
        </w:rPr>
        <w:t>об’єкта до</w:t>
      </w:r>
      <w:r w:rsidRPr="000977F7">
        <w:rPr>
          <w:rFonts w:asciiTheme="majorHAnsi" w:hAnsiTheme="majorHAnsi"/>
          <w:spacing w:val="-1"/>
          <w:sz w:val="20"/>
          <w:szCs w:val="20"/>
        </w:rPr>
        <w:t xml:space="preserve"> </w:t>
      </w:r>
      <w:r w:rsidRPr="000977F7">
        <w:rPr>
          <w:rFonts w:asciiTheme="majorHAnsi" w:hAnsiTheme="majorHAnsi"/>
          <w:sz w:val="20"/>
          <w:szCs w:val="20"/>
        </w:rPr>
        <w:t>діагностування</w:t>
      </w:r>
    </w:p>
    <w:p w14:paraId="3A3A34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6003E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До відомостей про пристосованість об’єкта до діагностування належать: завдання діагностування, переліки</w:t>
      </w:r>
      <w:r w:rsidRPr="000977F7">
        <w:rPr>
          <w:rFonts w:asciiTheme="majorHAnsi" w:hAnsiTheme="majorHAnsi"/>
          <w:spacing w:val="-47"/>
          <w:sz w:val="20"/>
          <w:szCs w:val="20"/>
        </w:rPr>
        <w:t xml:space="preserve"> </w:t>
      </w:r>
      <w:r w:rsidRPr="000977F7">
        <w:rPr>
          <w:rFonts w:asciiTheme="majorHAnsi" w:hAnsiTheme="majorHAnsi"/>
          <w:sz w:val="20"/>
          <w:szCs w:val="20"/>
        </w:rPr>
        <w:t>діагностичних</w:t>
      </w:r>
      <w:r w:rsidRPr="000977F7">
        <w:rPr>
          <w:rFonts w:asciiTheme="majorHAnsi" w:hAnsiTheme="majorHAnsi"/>
          <w:spacing w:val="1"/>
          <w:sz w:val="20"/>
          <w:szCs w:val="20"/>
        </w:rPr>
        <w:t xml:space="preserve"> </w:t>
      </w:r>
      <w:r w:rsidRPr="000977F7">
        <w:rPr>
          <w:rFonts w:asciiTheme="majorHAnsi" w:hAnsiTheme="majorHAnsi"/>
          <w:sz w:val="20"/>
          <w:szCs w:val="20"/>
        </w:rPr>
        <w:t>параметрів,</w:t>
      </w:r>
      <w:r w:rsidRPr="000977F7">
        <w:rPr>
          <w:rFonts w:asciiTheme="majorHAnsi" w:hAnsiTheme="majorHAnsi"/>
          <w:spacing w:val="1"/>
          <w:sz w:val="20"/>
          <w:szCs w:val="20"/>
        </w:rPr>
        <w:t xml:space="preserve"> </w:t>
      </w:r>
      <w:r w:rsidRPr="000977F7">
        <w:rPr>
          <w:rFonts w:asciiTheme="majorHAnsi" w:hAnsiTheme="majorHAnsi"/>
          <w:sz w:val="20"/>
          <w:szCs w:val="20"/>
        </w:rPr>
        <w:t>стимулюючих</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контрольованих</w:t>
      </w:r>
      <w:r w:rsidRPr="000977F7">
        <w:rPr>
          <w:rFonts w:asciiTheme="majorHAnsi" w:hAnsiTheme="majorHAnsi"/>
          <w:spacing w:val="1"/>
          <w:sz w:val="20"/>
          <w:szCs w:val="20"/>
        </w:rPr>
        <w:t xml:space="preserve"> </w:t>
      </w:r>
      <w:r w:rsidRPr="000977F7">
        <w:rPr>
          <w:rFonts w:asciiTheme="majorHAnsi" w:hAnsiTheme="majorHAnsi"/>
          <w:sz w:val="20"/>
          <w:szCs w:val="20"/>
        </w:rPr>
        <w:t>сигналів,</w:t>
      </w:r>
      <w:r w:rsidRPr="000977F7">
        <w:rPr>
          <w:rFonts w:asciiTheme="majorHAnsi" w:hAnsiTheme="majorHAnsi"/>
          <w:spacing w:val="1"/>
          <w:sz w:val="20"/>
          <w:szCs w:val="20"/>
        </w:rPr>
        <w:t xml:space="preserve"> </w:t>
      </w:r>
      <w:r w:rsidRPr="000977F7">
        <w:rPr>
          <w:rFonts w:asciiTheme="majorHAnsi" w:hAnsiTheme="majorHAnsi"/>
          <w:sz w:val="20"/>
          <w:szCs w:val="20"/>
        </w:rPr>
        <w:t>алгоритм</w:t>
      </w:r>
      <w:r w:rsidRPr="000977F7">
        <w:rPr>
          <w:rFonts w:asciiTheme="majorHAnsi" w:hAnsiTheme="majorHAnsi"/>
          <w:spacing w:val="1"/>
          <w:sz w:val="20"/>
          <w:szCs w:val="20"/>
        </w:rPr>
        <w:t xml:space="preserve"> </w:t>
      </w:r>
      <w:r w:rsidRPr="000977F7">
        <w:rPr>
          <w:rFonts w:asciiTheme="majorHAnsi" w:hAnsiTheme="majorHAnsi"/>
          <w:sz w:val="20"/>
          <w:szCs w:val="20"/>
        </w:rPr>
        <w:t>діагностування,</w:t>
      </w:r>
      <w:r w:rsidRPr="000977F7">
        <w:rPr>
          <w:rFonts w:asciiTheme="majorHAnsi" w:hAnsiTheme="majorHAnsi"/>
          <w:spacing w:val="1"/>
          <w:sz w:val="20"/>
          <w:szCs w:val="20"/>
        </w:rPr>
        <w:t xml:space="preserve"> </w:t>
      </w:r>
      <w:r w:rsidRPr="000977F7">
        <w:rPr>
          <w:rFonts w:asciiTheme="majorHAnsi" w:hAnsiTheme="majorHAnsi"/>
          <w:sz w:val="20"/>
          <w:szCs w:val="20"/>
        </w:rPr>
        <w:t>норми</w:t>
      </w:r>
      <w:r w:rsidRPr="000977F7">
        <w:rPr>
          <w:rFonts w:asciiTheme="majorHAnsi" w:hAnsiTheme="majorHAnsi"/>
          <w:spacing w:val="-47"/>
          <w:sz w:val="20"/>
          <w:szCs w:val="20"/>
        </w:rPr>
        <w:t xml:space="preserve"> </w:t>
      </w:r>
      <w:r w:rsidRPr="000977F7">
        <w:rPr>
          <w:rFonts w:asciiTheme="majorHAnsi" w:hAnsiTheme="majorHAnsi"/>
          <w:sz w:val="20"/>
          <w:szCs w:val="20"/>
        </w:rPr>
        <w:t>показників</w:t>
      </w:r>
      <w:r w:rsidRPr="000977F7">
        <w:rPr>
          <w:rFonts w:asciiTheme="majorHAnsi" w:hAnsiTheme="majorHAnsi"/>
          <w:spacing w:val="-2"/>
          <w:sz w:val="20"/>
          <w:szCs w:val="20"/>
        </w:rPr>
        <w:t xml:space="preserve"> </w:t>
      </w:r>
      <w:r w:rsidRPr="000977F7">
        <w:rPr>
          <w:rFonts w:asciiTheme="majorHAnsi" w:hAnsiTheme="majorHAnsi"/>
          <w:sz w:val="20"/>
          <w:szCs w:val="20"/>
        </w:rPr>
        <w:t>діагностування</w:t>
      </w:r>
      <w:r w:rsidRPr="000977F7">
        <w:rPr>
          <w:rFonts w:asciiTheme="majorHAnsi" w:hAnsiTheme="majorHAnsi"/>
          <w:spacing w:val="-1"/>
          <w:sz w:val="20"/>
          <w:szCs w:val="20"/>
        </w:rPr>
        <w:t xml:space="preserve"> </w:t>
      </w:r>
      <w:r w:rsidRPr="000977F7">
        <w:rPr>
          <w:rFonts w:asciiTheme="majorHAnsi" w:hAnsiTheme="majorHAnsi"/>
          <w:sz w:val="20"/>
          <w:szCs w:val="20"/>
        </w:rPr>
        <w:t>тощо</w:t>
      </w:r>
    </w:p>
    <w:p w14:paraId="325E1C7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2389</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F76CC15"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47"/>
          <w:sz w:val="20"/>
          <w:szCs w:val="20"/>
        </w:rPr>
      </w:pPr>
      <w:r w:rsidRPr="000977F7">
        <w:rPr>
          <w:rFonts w:asciiTheme="majorHAnsi" w:hAnsiTheme="majorHAnsi"/>
          <w:b/>
          <w:sz w:val="20"/>
          <w:szCs w:val="20"/>
        </w:rPr>
        <w:t>ХАРАКТЕРНА ВІДМОВА –</w:t>
      </w:r>
      <w:r w:rsidRPr="000977F7">
        <w:rPr>
          <w:rFonts w:asciiTheme="majorHAnsi" w:hAnsiTheme="majorHAnsi"/>
          <w:b/>
          <w:spacing w:val="-47"/>
          <w:sz w:val="20"/>
          <w:szCs w:val="20"/>
        </w:rPr>
        <w:t xml:space="preserve"> </w:t>
      </w:r>
    </w:p>
    <w:p w14:paraId="6B802D1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RELEVANT</w:t>
      </w:r>
      <w:r w:rsidRPr="000977F7">
        <w:rPr>
          <w:rFonts w:asciiTheme="majorHAnsi" w:hAnsiTheme="majorHAnsi"/>
          <w:spacing w:val="1"/>
          <w:sz w:val="20"/>
          <w:szCs w:val="20"/>
        </w:rPr>
        <w:t xml:space="preserve"> </w:t>
      </w:r>
      <w:r w:rsidRPr="000977F7">
        <w:rPr>
          <w:rFonts w:asciiTheme="majorHAnsi" w:hAnsiTheme="majorHAnsi"/>
          <w:sz w:val="20"/>
          <w:szCs w:val="20"/>
        </w:rPr>
        <w:t>FAILURE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2F4E1DE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 на яку слід зважувати при інтерпретації результатів випробувань або обчисленні значень показника</w:t>
      </w:r>
      <w:r w:rsidRPr="000977F7">
        <w:rPr>
          <w:rFonts w:asciiTheme="majorHAnsi" w:hAnsiTheme="majorHAnsi"/>
          <w:spacing w:val="-1"/>
          <w:sz w:val="20"/>
          <w:szCs w:val="20"/>
        </w:rPr>
        <w:t xml:space="preserve"> </w:t>
      </w:r>
      <w:r w:rsidRPr="000977F7">
        <w:rPr>
          <w:rFonts w:asciiTheme="majorHAnsi" w:hAnsiTheme="majorHAnsi"/>
          <w:sz w:val="20"/>
          <w:szCs w:val="20"/>
        </w:rPr>
        <w:t>надійності</w:t>
      </w:r>
    </w:p>
    <w:p w14:paraId="62DCEA7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01C047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Повинні</w:t>
      </w:r>
      <w:r w:rsidRPr="000977F7">
        <w:rPr>
          <w:rFonts w:asciiTheme="majorHAnsi" w:hAnsiTheme="majorHAnsi"/>
          <w:spacing w:val="-5"/>
          <w:sz w:val="20"/>
          <w:szCs w:val="20"/>
        </w:rPr>
        <w:t xml:space="preserve"> </w:t>
      </w:r>
      <w:r w:rsidRPr="000977F7">
        <w:rPr>
          <w:rFonts w:asciiTheme="majorHAnsi" w:hAnsiTheme="majorHAnsi"/>
          <w:sz w:val="20"/>
          <w:szCs w:val="20"/>
        </w:rPr>
        <w:t>бути</w:t>
      </w:r>
      <w:r w:rsidRPr="000977F7">
        <w:rPr>
          <w:rFonts w:asciiTheme="majorHAnsi" w:hAnsiTheme="majorHAnsi"/>
          <w:spacing w:val="-4"/>
          <w:sz w:val="20"/>
          <w:szCs w:val="20"/>
        </w:rPr>
        <w:t xml:space="preserve"> </w:t>
      </w:r>
      <w:r w:rsidRPr="000977F7">
        <w:rPr>
          <w:rFonts w:asciiTheme="majorHAnsi" w:hAnsiTheme="majorHAnsi"/>
          <w:sz w:val="20"/>
          <w:szCs w:val="20"/>
        </w:rPr>
        <w:t>встановлені</w:t>
      </w:r>
      <w:r w:rsidRPr="000977F7">
        <w:rPr>
          <w:rFonts w:asciiTheme="majorHAnsi" w:hAnsiTheme="majorHAnsi"/>
          <w:spacing w:val="-4"/>
          <w:sz w:val="20"/>
          <w:szCs w:val="20"/>
        </w:rPr>
        <w:t xml:space="preserve"> </w:t>
      </w:r>
      <w:r w:rsidRPr="000977F7">
        <w:rPr>
          <w:rFonts w:asciiTheme="majorHAnsi" w:hAnsiTheme="majorHAnsi"/>
          <w:sz w:val="20"/>
          <w:szCs w:val="20"/>
        </w:rPr>
        <w:t>критерії</w:t>
      </w:r>
      <w:r w:rsidRPr="000977F7">
        <w:rPr>
          <w:rFonts w:asciiTheme="majorHAnsi" w:hAnsiTheme="majorHAnsi"/>
          <w:spacing w:val="-5"/>
          <w:sz w:val="20"/>
          <w:szCs w:val="20"/>
        </w:rPr>
        <w:t xml:space="preserve"> </w:t>
      </w:r>
      <w:r w:rsidRPr="000977F7">
        <w:rPr>
          <w:rFonts w:asciiTheme="majorHAnsi" w:hAnsiTheme="majorHAnsi"/>
          <w:sz w:val="20"/>
          <w:szCs w:val="20"/>
        </w:rPr>
        <w:t>відмов</w:t>
      </w:r>
    </w:p>
    <w:p w14:paraId="5DE4214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ХВИЛЬОВЕ</w:t>
      </w:r>
      <w:r w:rsidRPr="000977F7">
        <w:rPr>
          <w:color w:val="auto"/>
          <w:spacing w:val="-4"/>
          <w:sz w:val="20"/>
          <w:szCs w:val="20"/>
        </w:rPr>
        <w:t xml:space="preserve"> </w:t>
      </w:r>
      <w:r w:rsidRPr="000977F7">
        <w:rPr>
          <w:color w:val="auto"/>
          <w:sz w:val="20"/>
          <w:szCs w:val="20"/>
        </w:rPr>
        <w:t>ЧИСЛО –</w:t>
      </w:r>
    </w:p>
    <w:p w14:paraId="13DD3E5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WAVE</w:t>
      </w:r>
      <w:r w:rsidRPr="000977F7">
        <w:rPr>
          <w:rFonts w:asciiTheme="majorHAnsi" w:hAnsiTheme="majorHAnsi"/>
          <w:spacing w:val="-3"/>
          <w:sz w:val="20"/>
          <w:szCs w:val="20"/>
        </w:rPr>
        <w:t xml:space="preserve"> </w:t>
      </w:r>
      <w:r w:rsidRPr="000977F7">
        <w:rPr>
          <w:rFonts w:asciiTheme="majorHAnsi" w:hAnsiTheme="majorHAnsi"/>
          <w:sz w:val="20"/>
          <w:szCs w:val="20"/>
        </w:rPr>
        <w:t>NUMBER</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9AC72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Величина, яка дорівнює частці від ділення 2</w:t>
      </w:r>
      <w:r w:rsidRPr="000977F7">
        <w:rPr>
          <w:rFonts w:asciiTheme="majorHAnsi" w:hAnsiTheme="majorHAnsi"/>
          <w:spacing w:val="1"/>
          <w:sz w:val="20"/>
          <w:szCs w:val="20"/>
        </w:rPr>
        <w:t xml:space="preserve"> </w:t>
      </w:r>
      <w:r w:rsidRPr="000977F7">
        <w:rPr>
          <w:rFonts w:asciiTheme="majorHAnsi" w:hAnsiTheme="majorHAnsi"/>
          <w:sz w:val="20"/>
          <w:szCs w:val="20"/>
        </w:rPr>
        <w:t>на довжину</w:t>
      </w:r>
      <w:r w:rsidRPr="000977F7">
        <w:rPr>
          <w:rFonts w:asciiTheme="majorHAnsi" w:hAnsiTheme="majorHAnsi"/>
          <w:spacing w:val="-2"/>
          <w:sz w:val="20"/>
          <w:szCs w:val="20"/>
        </w:rPr>
        <w:t xml:space="preserve"> </w:t>
      </w:r>
      <w:r w:rsidRPr="000977F7">
        <w:rPr>
          <w:rFonts w:asciiTheme="majorHAnsi" w:hAnsiTheme="majorHAnsi"/>
          <w:sz w:val="20"/>
          <w:szCs w:val="20"/>
        </w:rPr>
        <w:t>хвилі</w:t>
      </w:r>
    </w:p>
    <w:p w14:paraId="57B6761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2300 – 93</w:t>
      </w:r>
    </w:p>
    <w:p w14:paraId="0DDCFD8A"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i/>
          <w:spacing w:val="-48"/>
          <w:sz w:val="20"/>
          <w:szCs w:val="20"/>
        </w:rPr>
        <w:t xml:space="preserve"> </w:t>
      </w:r>
      <w:r w:rsidRPr="000977F7">
        <w:rPr>
          <w:rFonts w:asciiTheme="majorHAnsi" w:hAnsiTheme="majorHAnsi"/>
          <w:b/>
          <w:sz w:val="20"/>
          <w:szCs w:val="20"/>
        </w:rPr>
        <w:t>ХВИЛЯ –</w:t>
      </w:r>
      <w:r w:rsidRPr="000977F7">
        <w:rPr>
          <w:rFonts w:asciiTheme="majorHAnsi" w:hAnsiTheme="majorHAnsi"/>
          <w:b/>
          <w:spacing w:val="1"/>
          <w:sz w:val="20"/>
          <w:szCs w:val="20"/>
        </w:rPr>
        <w:t xml:space="preserve"> </w:t>
      </w:r>
    </w:p>
    <w:p w14:paraId="71F75EE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WAVE –</w:t>
      </w:r>
    </w:p>
    <w:p w14:paraId="3A01114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Зміна рівноважного стану середовища, яка поширюється в цьому середовищі завдяки його фізичним властивостям</w:t>
      </w:r>
    </w:p>
    <w:p w14:paraId="560165CD"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2300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93</w:t>
      </w:r>
    </w:p>
    <w:p w14:paraId="0EAB577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ХВИЛЯСТІСТЬ</w:t>
      </w:r>
      <w:r w:rsidRPr="000977F7">
        <w:rPr>
          <w:color w:val="auto"/>
          <w:spacing w:val="-4"/>
          <w:sz w:val="20"/>
          <w:szCs w:val="20"/>
        </w:rPr>
        <w:t xml:space="preserve"> </w:t>
      </w:r>
      <w:r w:rsidRPr="000977F7">
        <w:rPr>
          <w:color w:val="auto"/>
          <w:sz w:val="20"/>
          <w:szCs w:val="20"/>
        </w:rPr>
        <w:t>ПОВЕРХНІ</w:t>
      </w:r>
      <w:r w:rsidRPr="000977F7">
        <w:rPr>
          <w:color w:val="auto"/>
          <w:spacing w:val="-2"/>
          <w:sz w:val="20"/>
          <w:szCs w:val="20"/>
        </w:rPr>
        <w:t xml:space="preserve"> </w:t>
      </w:r>
      <w:r w:rsidRPr="000977F7">
        <w:rPr>
          <w:color w:val="auto"/>
          <w:sz w:val="20"/>
          <w:szCs w:val="20"/>
        </w:rPr>
        <w:t>–</w:t>
      </w:r>
    </w:p>
    <w:p w14:paraId="5E4762F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нерівностей, які періодично повторюються, і у яких відстань між суміжними височинами або</w:t>
      </w:r>
      <w:r w:rsidRPr="000977F7">
        <w:rPr>
          <w:rFonts w:asciiTheme="majorHAnsi" w:hAnsiTheme="majorHAnsi"/>
          <w:spacing w:val="1"/>
          <w:sz w:val="20"/>
          <w:szCs w:val="20"/>
        </w:rPr>
        <w:t xml:space="preserve"> </w:t>
      </w:r>
      <w:r w:rsidRPr="000977F7">
        <w:rPr>
          <w:rFonts w:asciiTheme="majorHAnsi" w:hAnsiTheme="majorHAnsi"/>
          <w:sz w:val="20"/>
          <w:szCs w:val="20"/>
        </w:rPr>
        <w:t>западинами перевищує базову</w:t>
      </w:r>
      <w:r w:rsidRPr="000977F7">
        <w:rPr>
          <w:rFonts w:asciiTheme="majorHAnsi" w:hAnsiTheme="majorHAnsi"/>
          <w:spacing w:val="-5"/>
          <w:sz w:val="20"/>
          <w:szCs w:val="20"/>
        </w:rPr>
        <w:t xml:space="preserve"> </w:t>
      </w:r>
      <w:r w:rsidRPr="000977F7">
        <w:rPr>
          <w:rFonts w:asciiTheme="majorHAnsi" w:hAnsiTheme="majorHAnsi"/>
          <w:sz w:val="20"/>
          <w:szCs w:val="20"/>
        </w:rPr>
        <w:t>довжину</w:t>
      </w:r>
    </w:p>
    <w:p w14:paraId="73ABBB4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ХІМІЧНА</w:t>
      </w:r>
      <w:r w:rsidRPr="000977F7">
        <w:rPr>
          <w:color w:val="auto"/>
          <w:spacing w:val="-3"/>
          <w:sz w:val="20"/>
          <w:szCs w:val="20"/>
        </w:rPr>
        <w:t xml:space="preserve"> </w:t>
      </w:r>
      <w:r w:rsidRPr="000977F7">
        <w:rPr>
          <w:color w:val="auto"/>
          <w:sz w:val="20"/>
          <w:szCs w:val="20"/>
        </w:rPr>
        <w:t>КОРОЗІЯ</w:t>
      </w:r>
      <w:r w:rsidRPr="000977F7">
        <w:rPr>
          <w:color w:val="auto"/>
          <w:spacing w:val="-1"/>
          <w:sz w:val="20"/>
          <w:szCs w:val="20"/>
        </w:rPr>
        <w:t xml:space="preserve"> </w:t>
      </w:r>
      <w:r w:rsidRPr="000977F7">
        <w:rPr>
          <w:color w:val="auto"/>
          <w:sz w:val="20"/>
          <w:szCs w:val="20"/>
        </w:rPr>
        <w:t>–</w:t>
      </w:r>
    </w:p>
    <w:p w14:paraId="1E3C52B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Взаємодія металу з корозивним середовищем (сухим</w:t>
      </w:r>
      <w:r w:rsidRPr="000977F7">
        <w:rPr>
          <w:rFonts w:asciiTheme="majorHAnsi" w:hAnsiTheme="majorHAnsi"/>
          <w:spacing w:val="1"/>
          <w:sz w:val="20"/>
          <w:szCs w:val="20"/>
        </w:rPr>
        <w:t xml:space="preserve"> </w:t>
      </w:r>
      <w:r w:rsidRPr="000977F7">
        <w:rPr>
          <w:rFonts w:asciiTheme="majorHAnsi" w:hAnsiTheme="majorHAnsi"/>
          <w:sz w:val="20"/>
          <w:szCs w:val="20"/>
        </w:rPr>
        <w:t>газом і парою, рідким неелектролітом), за якої окислювання металу і відновлювання окислювача відбувається</w:t>
      </w:r>
      <w:r w:rsidRPr="000977F7">
        <w:rPr>
          <w:rFonts w:asciiTheme="majorHAnsi" w:hAnsiTheme="majorHAnsi"/>
          <w:spacing w:val="-2"/>
          <w:sz w:val="20"/>
          <w:szCs w:val="20"/>
        </w:rPr>
        <w:t xml:space="preserve"> </w:t>
      </w:r>
      <w:r w:rsidRPr="000977F7">
        <w:rPr>
          <w:rFonts w:asciiTheme="majorHAnsi" w:hAnsiTheme="majorHAnsi"/>
          <w:sz w:val="20"/>
          <w:szCs w:val="20"/>
        </w:rPr>
        <w:t>одночасно</w:t>
      </w:r>
    </w:p>
    <w:p w14:paraId="0B3DC15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3830 - 98</w:t>
      </w:r>
    </w:p>
    <w:p w14:paraId="5B2F33C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ХІМІЧНИЙ</w:t>
      </w:r>
      <w:r w:rsidRPr="000977F7">
        <w:rPr>
          <w:color w:val="auto"/>
          <w:spacing w:val="-4"/>
          <w:sz w:val="20"/>
          <w:szCs w:val="20"/>
        </w:rPr>
        <w:t xml:space="preserve"> </w:t>
      </w:r>
      <w:r w:rsidRPr="000977F7">
        <w:rPr>
          <w:color w:val="auto"/>
          <w:sz w:val="20"/>
          <w:szCs w:val="20"/>
        </w:rPr>
        <w:t>МЕТОД</w:t>
      </w:r>
      <w:r w:rsidRPr="000977F7">
        <w:rPr>
          <w:color w:val="auto"/>
          <w:spacing w:val="-1"/>
          <w:sz w:val="20"/>
          <w:szCs w:val="20"/>
        </w:rPr>
        <w:t xml:space="preserve"> </w:t>
      </w:r>
      <w:r w:rsidRPr="000977F7">
        <w:rPr>
          <w:color w:val="auto"/>
          <w:sz w:val="20"/>
          <w:szCs w:val="20"/>
        </w:rPr>
        <w:t>–</w:t>
      </w:r>
    </w:p>
    <w:p w14:paraId="3CE1EE80" w14:textId="77777777" w:rsidR="0097612F" w:rsidRPr="000977F7" w:rsidRDefault="0097612F" w:rsidP="000977F7">
      <w:pPr>
        <w:pStyle w:val="af6"/>
        <w:tabs>
          <w:tab w:val="left" w:pos="284"/>
        </w:tabs>
        <w:spacing w:after="0"/>
        <w:ind w:left="170"/>
        <w:mirrorIndents/>
        <w:jc w:val="both"/>
        <w:rPr>
          <w:rFonts w:asciiTheme="majorHAnsi" w:hAnsiTheme="majorHAnsi"/>
          <w:spacing w:val="-2"/>
          <w:sz w:val="20"/>
          <w:szCs w:val="20"/>
        </w:rPr>
      </w:pPr>
      <w:r w:rsidRPr="000977F7">
        <w:rPr>
          <w:rFonts w:asciiTheme="majorHAnsi" w:hAnsiTheme="majorHAnsi"/>
          <w:sz w:val="20"/>
          <w:szCs w:val="20"/>
        </w:rPr>
        <w:t>Метод</w:t>
      </w:r>
      <w:r w:rsidRPr="000977F7">
        <w:rPr>
          <w:rFonts w:asciiTheme="majorHAnsi" w:hAnsiTheme="majorHAnsi"/>
          <w:spacing w:val="10"/>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1"/>
          <w:sz w:val="20"/>
          <w:szCs w:val="20"/>
        </w:rPr>
        <w:t xml:space="preserve"> </w:t>
      </w:r>
      <w:r w:rsidRPr="000977F7">
        <w:rPr>
          <w:rFonts w:asciiTheme="majorHAnsi" w:hAnsiTheme="majorHAnsi"/>
          <w:sz w:val="20"/>
          <w:szCs w:val="20"/>
        </w:rPr>
        <w:t>контролю,</w:t>
      </w:r>
      <w:r w:rsidRPr="000977F7">
        <w:rPr>
          <w:rFonts w:asciiTheme="majorHAnsi" w:hAnsiTheme="majorHAnsi"/>
          <w:spacing w:val="9"/>
          <w:sz w:val="20"/>
          <w:szCs w:val="20"/>
        </w:rPr>
        <w:t xml:space="preserve"> </w:t>
      </w:r>
      <w:r w:rsidRPr="000977F7">
        <w:rPr>
          <w:rFonts w:asciiTheme="majorHAnsi" w:hAnsiTheme="majorHAnsi"/>
          <w:sz w:val="20"/>
          <w:szCs w:val="20"/>
        </w:rPr>
        <w:t>що</w:t>
      </w:r>
      <w:r w:rsidRPr="000977F7">
        <w:rPr>
          <w:rFonts w:asciiTheme="majorHAnsi" w:hAnsiTheme="majorHAnsi"/>
          <w:spacing w:val="11"/>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10"/>
          <w:sz w:val="20"/>
          <w:szCs w:val="20"/>
        </w:rPr>
        <w:t xml:space="preserve"> </w:t>
      </w:r>
      <w:r w:rsidRPr="000977F7">
        <w:rPr>
          <w:rFonts w:asciiTheme="majorHAnsi" w:hAnsiTheme="majorHAnsi"/>
          <w:sz w:val="20"/>
          <w:szCs w:val="20"/>
        </w:rPr>
        <w:t>на</w:t>
      </w:r>
      <w:r w:rsidRPr="000977F7">
        <w:rPr>
          <w:rFonts w:asciiTheme="majorHAnsi" w:hAnsiTheme="majorHAnsi"/>
          <w:spacing w:val="9"/>
          <w:sz w:val="20"/>
          <w:szCs w:val="20"/>
        </w:rPr>
        <w:t xml:space="preserve"> </w:t>
      </w:r>
      <w:r w:rsidRPr="000977F7">
        <w:rPr>
          <w:rFonts w:asciiTheme="majorHAnsi" w:hAnsiTheme="majorHAnsi"/>
          <w:sz w:val="20"/>
          <w:szCs w:val="20"/>
        </w:rPr>
        <w:t>ре</w:t>
      </w:r>
      <w:r w:rsidRPr="000977F7">
        <w:rPr>
          <w:rFonts w:asciiTheme="majorHAnsi" w:hAnsiTheme="majorHAnsi"/>
          <w:spacing w:val="-3"/>
          <w:sz w:val="20"/>
          <w:szCs w:val="20"/>
        </w:rPr>
        <w:t>єстрації</w:t>
      </w:r>
      <w:r w:rsidRPr="000977F7">
        <w:rPr>
          <w:rFonts w:asciiTheme="majorHAnsi" w:hAnsiTheme="majorHAnsi"/>
          <w:spacing w:val="-7"/>
          <w:sz w:val="20"/>
          <w:szCs w:val="20"/>
        </w:rPr>
        <w:t xml:space="preserve"> </w:t>
      </w:r>
      <w:r w:rsidRPr="000977F7">
        <w:rPr>
          <w:rFonts w:asciiTheme="majorHAnsi" w:hAnsiTheme="majorHAnsi"/>
          <w:spacing w:val="-3"/>
          <w:sz w:val="20"/>
          <w:szCs w:val="20"/>
        </w:rPr>
        <w:t>проникнення</w:t>
      </w:r>
      <w:r w:rsidRPr="000977F7">
        <w:rPr>
          <w:rFonts w:asciiTheme="majorHAnsi" w:hAnsiTheme="majorHAnsi"/>
          <w:spacing w:val="-7"/>
          <w:sz w:val="20"/>
          <w:szCs w:val="20"/>
        </w:rPr>
        <w:t xml:space="preserve"> </w:t>
      </w:r>
      <w:r w:rsidRPr="000977F7">
        <w:rPr>
          <w:rFonts w:asciiTheme="majorHAnsi" w:hAnsiTheme="majorHAnsi"/>
          <w:spacing w:val="-2"/>
          <w:sz w:val="20"/>
          <w:szCs w:val="20"/>
        </w:rPr>
        <w:t>пробних</w:t>
      </w:r>
      <w:r w:rsidRPr="000977F7">
        <w:rPr>
          <w:rFonts w:asciiTheme="majorHAnsi" w:hAnsiTheme="majorHAnsi"/>
          <w:spacing w:val="-9"/>
          <w:sz w:val="20"/>
          <w:szCs w:val="20"/>
        </w:rPr>
        <w:t xml:space="preserve"> </w:t>
      </w:r>
      <w:r w:rsidRPr="000977F7">
        <w:rPr>
          <w:rFonts w:asciiTheme="majorHAnsi" w:hAnsiTheme="majorHAnsi"/>
          <w:spacing w:val="-2"/>
          <w:sz w:val="20"/>
          <w:szCs w:val="20"/>
        </w:rPr>
        <w:t>рідин</w:t>
      </w:r>
      <w:r w:rsidRPr="000977F7">
        <w:rPr>
          <w:rFonts w:asciiTheme="majorHAnsi" w:hAnsiTheme="majorHAnsi"/>
          <w:spacing w:val="-9"/>
          <w:sz w:val="20"/>
          <w:szCs w:val="20"/>
        </w:rPr>
        <w:t xml:space="preserve"> </w:t>
      </w:r>
      <w:r w:rsidRPr="000977F7">
        <w:rPr>
          <w:rFonts w:asciiTheme="majorHAnsi" w:hAnsiTheme="majorHAnsi"/>
          <w:spacing w:val="-2"/>
          <w:sz w:val="20"/>
          <w:szCs w:val="20"/>
        </w:rPr>
        <w:t>або</w:t>
      </w:r>
      <w:r w:rsidRPr="000977F7">
        <w:rPr>
          <w:rFonts w:asciiTheme="majorHAnsi" w:hAnsiTheme="majorHAnsi"/>
          <w:spacing w:val="-5"/>
          <w:sz w:val="20"/>
          <w:szCs w:val="20"/>
        </w:rPr>
        <w:t xml:space="preserve"> </w:t>
      </w:r>
      <w:r w:rsidRPr="000977F7">
        <w:rPr>
          <w:rFonts w:asciiTheme="majorHAnsi" w:hAnsiTheme="majorHAnsi"/>
          <w:spacing w:val="-2"/>
          <w:sz w:val="20"/>
          <w:szCs w:val="20"/>
        </w:rPr>
        <w:t>газів</w:t>
      </w:r>
      <w:r w:rsidRPr="000977F7">
        <w:rPr>
          <w:rFonts w:asciiTheme="majorHAnsi" w:hAnsiTheme="majorHAnsi"/>
          <w:spacing w:val="-8"/>
          <w:sz w:val="20"/>
          <w:szCs w:val="20"/>
        </w:rPr>
        <w:t xml:space="preserve"> </w:t>
      </w:r>
      <w:r w:rsidRPr="000977F7">
        <w:rPr>
          <w:rFonts w:asciiTheme="majorHAnsi" w:hAnsiTheme="majorHAnsi"/>
          <w:spacing w:val="-2"/>
          <w:sz w:val="20"/>
          <w:szCs w:val="20"/>
        </w:rPr>
        <w:t>речовина</w:t>
      </w:r>
      <w:r w:rsidRPr="000977F7">
        <w:rPr>
          <w:rFonts w:asciiTheme="majorHAnsi" w:hAnsiTheme="majorHAnsi"/>
          <w:spacing w:val="-4"/>
          <w:sz w:val="20"/>
          <w:szCs w:val="20"/>
        </w:rPr>
        <w:t xml:space="preserve">ми, які змінюють свій колір внаслідок хімічної </w:t>
      </w:r>
      <w:r w:rsidRPr="000977F7">
        <w:rPr>
          <w:rFonts w:asciiTheme="majorHAnsi" w:hAnsiTheme="majorHAnsi"/>
          <w:spacing w:val="-3"/>
          <w:sz w:val="20"/>
          <w:szCs w:val="20"/>
        </w:rPr>
        <w:t>реакції</w:t>
      </w:r>
      <w:r w:rsidRPr="000977F7">
        <w:rPr>
          <w:rFonts w:asciiTheme="majorHAnsi" w:hAnsiTheme="majorHAnsi"/>
          <w:spacing w:val="-2"/>
          <w:sz w:val="20"/>
          <w:szCs w:val="20"/>
        </w:rPr>
        <w:t xml:space="preserve"> </w:t>
      </w:r>
    </w:p>
    <w:p w14:paraId="4287677C"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2865</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F99E8B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ХІМІЧНІ</w:t>
      </w:r>
      <w:r w:rsidRPr="000977F7">
        <w:rPr>
          <w:color w:val="auto"/>
          <w:spacing w:val="-6"/>
          <w:sz w:val="20"/>
          <w:szCs w:val="20"/>
        </w:rPr>
        <w:t xml:space="preserve"> </w:t>
      </w:r>
      <w:r w:rsidRPr="000977F7">
        <w:rPr>
          <w:color w:val="auto"/>
          <w:sz w:val="20"/>
          <w:szCs w:val="20"/>
        </w:rPr>
        <w:t>ВИПРОБУВАННЯ-</w:t>
      </w:r>
    </w:p>
    <w:p w14:paraId="2E81D188"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CHEMICAL</w:t>
      </w:r>
      <w:r w:rsidRPr="000977F7">
        <w:rPr>
          <w:b w:val="0"/>
          <w:bCs/>
          <w:color w:val="auto"/>
          <w:spacing w:val="-2"/>
          <w:sz w:val="20"/>
          <w:szCs w:val="20"/>
        </w:rPr>
        <w:t xml:space="preserve"> </w:t>
      </w:r>
      <w:r w:rsidRPr="000977F7">
        <w:rPr>
          <w:b w:val="0"/>
          <w:bCs/>
          <w:color w:val="auto"/>
          <w:sz w:val="20"/>
          <w:szCs w:val="20"/>
        </w:rPr>
        <w:t>TEST-</w:t>
      </w:r>
    </w:p>
    <w:p w14:paraId="45501D7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 на вплив спеціальних (хімічних) середовищ</w:t>
      </w:r>
    </w:p>
    <w:p w14:paraId="2D86DD2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3021 –</w:t>
      </w:r>
      <w:r w:rsidRPr="000977F7">
        <w:rPr>
          <w:rFonts w:asciiTheme="majorHAnsi" w:hAnsiTheme="majorHAnsi"/>
          <w:i/>
          <w:spacing w:val="-2"/>
          <w:sz w:val="20"/>
          <w:szCs w:val="20"/>
        </w:rPr>
        <w:t xml:space="preserve"> </w:t>
      </w:r>
      <w:r w:rsidRPr="000977F7">
        <w:rPr>
          <w:rFonts w:asciiTheme="majorHAnsi" w:hAnsiTheme="majorHAnsi"/>
          <w:i/>
          <w:sz w:val="20"/>
          <w:szCs w:val="20"/>
        </w:rPr>
        <w:t>95</w:t>
      </w:r>
    </w:p>
    <w:p w14:paraId="29E01916" w14:textId="77777777" w:rsidR="0097612F" w:rsidRPr="000977F7" w:rsidRDefault="0097612F" w:rsidP="000977F7">
      <w:pPr>
        <w:pStyle w:val="7"/>
        <w:tabs>
          <w:tab w:val="left" w:pos="284"/>
        </w:tabs>
        <w:spacing w:before="0" w:line="240" w:lineRule="auto"/>
        <w:ind w:left="170"/>
        <w:mirrorIndents/>
        <w:jc w:val="both"/>
        <w:rPr>
          <w:color w:val="auto"/>
          <w:spacing w:val="-4"/>
          <w:sz w:val="20"/>
          <w:szCs w:val="20"/>
        </w:rPr>
      </w:pPr>
      <w:r w:rsidRPr="000977F7">
        <w:rPr>
          <w:color w:val="auto"/>
          <w:sz w:val="20"/>
          <w:szCs w:val="20"/>
        </w:rPr>
        <w:t>ХІМІЧНО (БІОЛОГІЧНО, РАДІАЦІЙНО)</w:t>
      </w:r>
      <w:r w:rsidRPr="000977F7">
        <w:rPr>
          <w:color w:val="auto"/>
          <w:spacing w:val="1"/>
          <w:sz w:val="20"/>
          <w:szCs w:val="20"/>
        </w:rPr>
        <w:t xml:space="preserve"> </w:t>
      </w:r>
      <w:r w:rsidRPr="000977F7">
        <w:rPr>
          <w:color w:val="auto"/>
          <w:sz w:val="20"/>
          <w:szCs w:val="20"/>
        </w:rPr>
        <w:t>НЕБЕЗПЕЧНЕ</w:t>
      </w:r>
      <w:r w:rsidRPr="000977F7">
        <w:rPr>
          <w:color w:val="auto"/>
          <w:spacing w:val="-2"/>
          <w:sz w:val="20"/>
          <w:szCs w:val="20"/>
        </w:rPr>
        <w:t xml:space="preserve"> </w:t>
      </w:r>
      <w:r w:rsidRPr="000977F7">
        <w:rPr>
          <w:color w:val="auto"/>
          <w:sz w:val="20"/>
          <w:szCs w:val="20"/>
        </w:rPr>
        <w:t>ПРОМИСЛОВЕ</w:t>
      </w:r>
      <w:r w:rsidRPr="000977F7">
        <w:rPr>
          <w:color w:val="auto"/>
          <w:spacing w:val="-4"/>
          <w:sz w:val="20"/>
          <w:szCs w:val="20"/>
        </w:rPr>
        <w:t xml:space="preserve"> </w:t>
      </w:r>
    </w:p>
    <w:p w14:paraId="152F1FA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ПІДПРИЄМСТВО –</w:t>
      </w:r>
    </w:p>
    <w:p w14:paraId="4BDD5DF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Підприємство, на території якого перебуває джерело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хімічної,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біологічної або радіаційної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небезпеки</w:t>
      </w:r>
    </w:p>
    <w:p w14:paraId="066BD8C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2156 - 93</w:t>
      </w:r>
    </w:p>
    <w:p w14:paraId="7269102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ХОЛОДНОЛАМКІСТЬ</w:t>
      </w:r>
      <w:r w:rsidRPr="000977F7">
        <w:rPr>
          <w:color w:val="auto"/>
          <w:spacing w:val="-4"/>
          <w:sz w:val="20"/>
          <w:szCs w:val="20"/>
        </w:rPr>
        <w:t xml:space="preserve"> </w:t>
      </w:r>
      <w:r w:rsidRPr="000977F7">
        <w:rPr>
          <w:color w:val="auto"/>
          <w:sz w:val="20"/>
          <w:szCs w:val="20"/>
        </w:rPr>
        <w:t>–</w:t>
      </w:r>
    </w:p>
    <w:p w14:paraId="439DA6A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COLD</w:t>
      </w:r>
      <w:r w:rsidRPr="004D2D14">
        <w:rPr>
          <w:rFonts w:asciiTheme="majorHAnsi" w:hAnsiTheme="majorHAnsi"/>
          <w:spacing w:val="-3"/>
          <w:sz w:val="20"/>
          <w:szCs w:val="20"/>
          <w:lang w:val="uk-UA"/>
        </w:rPr>
        <w:t xml:space="preserve"> </w:t>
      </w:r>
      <w:r w:rsidRPr="000977F7">
        <w:rPr>
          <w:rFonts w:asciiTheme="majorHAnsi" w:hAnsiTheme="majorHAnsi"/>
          <w:sz w:val="20"/>
          <w:szCs w:val="20"/>
        </w:rPr>
        <w:t>BRITTLENESS</w:t>
      </w:r>
      <w:r w:rsidRPr="004D2D14">
        <w:rPr>
          <w:rFonts w:asciiTheme="majorHAnsi" w:hAnsiTheme="majorHAnsi"/>
          <w:sz w:val="20"/>
          <w:szCs w:val="20"/>
          <w:lang w:val="uk-UA"/>
        </w:rPr>
        <w:t xml:space="preserve"> –</w:t>
      </w:r>
    </w:p>
    <w:p w14:paraId="120EF92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Здатність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матеріалу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виявляти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крихкість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разі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зниження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температури</w:t>
      </w:r>
    </w:p>
    <w:p w14:paraId="63795EF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2825 - 94</w:t>
      </w:r>
    </w:p>
    <w:p w14:paraId="423D88CB" w14:textId="77777777" w:rsidR="0097612F" w:rsidRPr="000977F7" w:rsidRDefault="0097612F" w:rsidP="000977F7">
      <w:pPr>
        <w:pStyle w:val="7"/>
        <w:tabs>
          <w:tab w:val="left" w:pos="284"/>
        </w:tabs>
        <w:spacing w:before="0" w:line="240" w:lineRule="auto"/>
        <w:ind w:left="170"/>
        <w:mirrorIndents/>
        <w:jc w:val="both"/>
        <w:rPr>
          <w:i/>
          <w:color w:val="auto"/>
          <w:sz w:val="20"/>
          <w:szCs w:val="20"/>
        </w:rPr>
      </w:pPr>
      <w:r w:rsidRPr="000977F7">
        <w:rPr>
          <w:color w:val="auto"/>
          <w:sz w:val="20"/>
          <w:szCs w:val="20"/>
        </w:rPr>
        <w:t>ХОЛОДНОСТІЙКІСТЬ</w:t>
      </w:r>
      <w:r w:rsidRPr="000977F7">
        <w:rPr>
          <w:color w:val="auto"/>
          <w:spacing w:val="-4"/>
          <w:sz w:val="20"/>
          <w:szCs w:val="20"/>
        </w:rPr>
        <w:t xml:space="preserve"> </w:t>
      </w:r>
      <w:r w:rsidRPr="000977F7">
        <w:rPr>
          <w:i/>
          <w:color w:val="auto"/>
          <w:sz w:val="20"/>
          <w:szCs w:val="20"/>
        </w:rPr>
        <w:t>–</w:t>
      </w:r>
    </w:p>
    <w:p w14:paraId="4DB5A3C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Властивість сплавів чинити опір появі ламкості при</w:t>
      </w:r>
      <w:r w:rsidRPr="000977F7">
        <w:rPr>
          <w:rFonts w:asciiTheme="majorHAnsi" w:hAnsiTheme="majorHAnsi"/>
          <w:spacing w:val="1"/>
          <w:sz w:val="20"/>
          <w:szCs w:val="20"/>
        </w:rPr>
        <w:t xml:space="preserve"> </w:t>
      </w:r>
      <w:r w:rsidRPr="000977F7">
        <w:rPr>
          <w:rFonts w:asciiTheme="majorHAnsi" w:hAnsiTheme="majorHAnsi"/>
          <w:sz w:val="20"/>
          <w:szCs w:val="20"/>
        </w:rPr>
        <w:t>динамічних навантаженнях в умовах негативних температур</w:t>
      </w:r>
    </w:p>
    <w:p w14:paraId="4C58961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ХОНІНГУВАННЯ</w:t>
      </w:r>
      <w:r w:rsidRPr="000977F7">
        <w:rPr>
          <w:color w:val="auto"/>
          <w:spacing w:val="-3"/>
          <w:sz w:val="20"/>
          <w:szCs w:val="20"/>
        </w:rPr>
        <w:t xml:space="preserve"> </w:t>
      </w:r>
      <w:r w:rsidRPr="000977F7">
        <w:rPr>
          <w:color w:val="auto"/>
          <w:sz w:val="20"/>
          <w:szCs w:val="20"/>
        </w:rPr>
        <w:t>–</w:t>
      </w:r>
    </w:p>
    <w:p w14:paraId="7D8365F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sectPr w:rsidR="0097612F" w:rsidRPr="000977F7" w:rsidSect="000977F7">
          <w:type w:val="continuous"/>
          <w:pgSz w:w="11900" w:h="16820"/>
          <w:pgMar w:top="980" w:right="380" w:bottom="960" w:left="1160" w:header="0" w:footer="775" w:gutter="0"/>
          <w:cols w:num="2" w:space="454"/>
        </w:sectPr>
      </w:pPr>
      <w:r w:rsidRPr="000977F7">
        <w:rPr>
          <w:rFonts w:asciiTheme="majorHAnsi" w:hAnsiTheme="majorHAnsi"/>
          <w:sz w:val="20"/>
          <w:szCs w:val="20"/>
        </w:rPr>
        <w:t>Операція остаточної обробки поверхонь отворів заготовок</w:t>
      </w:r>
      <w:r w:rsidRPr="000977F7">
        <w:rPr>
          <w:rFonts w:asciiTheme="majorHAnsi" w:hAnsiTheme="majorHAnsi"/>
          <w:spacing w:val="-5"/>
          <w:sz w:val="20"/>
          <w:szCs w:val="20"/>
        </w:rPr>
        <w:t xml:space="preserve"> </w:t>
      </w:r>
      <w:r w:rsidRPr="000977F7">
        <w:rPr>
          <w:rFonts w:asciiTheme="majorHAnsi" w:hAnsiTheme="majorHAnsi"/>
          <w:sz w:val="20"/>
          <w:szCs w:val="20"/>
        </w:rPr>
        <w:t>спеціальним</w:t>
      </w:r>
      <w:r w:rsidRPr="000977F7">
        <w:rPr>
          <w:rFonts w:asciiTheme="majorHAnsi" w:hAnsiTheme="majorHAnsi"/>
          <w:spacing w:val="-2"/>
          <w:sz w:val="20"/>
          <w:szCs w:val="20"/>
        </w:rPr>
        <w:t xml:space="preserve"> </w:t>
      </w:r>
      <w:r w:rsidRPr="000977F7">
        <w:rPr>
          <w:rFonts w:asciiTheme="majorHAnsi" w:hAnsiTheme="majorHAnsi"/>
          <w:sz w:val="20"/>
          <w:szCs w:val="20"/>
        </w:rPr>
        <w:t>абразивним</w:t>
      </w:r>
      <w:r w:rsidRPr="000977F7">
        <w:rPr>
          <w:rFonts w:asciiTheme="majorHAnsi" w:hAnsiTheme="majorHAnsi"/>
          <w:spacing w:val="-2"/>
          <w:sz w:val="20"/>
          <w:szCs w:val="20"/>
        </w:rPr>
        <w:t xml:space="preserve"> </w:t>
      </w:r>
      <w:r w:rsidRPr="000977F7">
        <w:rPr>
          <w:rFonts w:asciiTheme="majorHAnsi" w:hAnsiTheme="majorHAnsi"/>
          <w:sz w:val="20"/>
          <w:szCs w:val="20"/>
        </w:rPr>
        <w:t>інструментом</w:t>
      </w:r>
      <w:r w:rsidRPr="000977F7">
        <w:rPr>
          <w:rFonts w:asciiTheme="majorHAnsi" w:hAnsiTheme="majorHAnsi"/>
          <w:spacing w:val="1"/>
          <w:sz w:val="20"/>
          <w:szCs w:val="20"/>
        </w:rPr>
        <w:t xml:space="preserve"> </w:t>
      </w:r>
      <w:r w:rsidRPr="000977F7">
        <w:rPr>
          <w:rFonts w:asciiTheme="majorHAnsi" w:hAnsiTheme="majorHAnsi"/>
          <w:sz w:val="20"/>
          <w:szCs w:val="20"/>
        </w:rPr>
        <w:t>хоном</w:t>
      </w:r>
    </w:p>
    <w:p w14:paraId="34EBC4F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p>
    <w:p w14:paraId="53F02AE5" w14:textId="77777777" w:rsidR="0097612F" w:rsidRPr="000977F7" w:rsidRDefault="0097612F" w:rsidP="000977F7">
      <w:pPr>
        <w:pStyle w:val="1"/>
        <w:tabs>
          <w:tab w:val="left" w:pos="284"/>
        </w:tabs>
        <w:spacing w:line="240" w:lineRule="auto"/>
        <w:ind w:left="170"/>
        <w:mirrorIndents/>
        <w:jc w:val="both"/>
        <w:rPr>
          <w:color w:val="auto"/>
          <w:w w:val="99"/>
          <w:sz w:val="20"/>
          <w:szCs w:val="20"/>
        </w:rPr>
        <w:sectPr w:rsidR="0097612F" w:rsidRPr="000977F7" w:rsidSect="000977F7">
          <w:type w:val="continuous"/>
          <w:pgSz w:w="11900" w:h="16820"/>
          <w:pgMar w:top="980" w:right="380" w:bottom="960" w:left="1160" w:header="0" w:footer="775" w:gutter="0"/>
          <w:cols w:num="2" w:space="454"/>
        </w:sectPr>
      </w:pPr>
    </w:p>
    <w:p w14:paraId="3FAA7400" w14:textId="77777777" w:rsidR="0097612F" w:rsidRPr="00871491" w:rsidRDefault="0097612F" w:rsidP="00871491">
      <w:pPr>
        <w:pStyle w:val="1"/>
        <w:rPr>
          <w:lang w:val="uk-UA"/>
        </w:rPr>
      </w:pPr>
      <w:bookmarkStart w:id="315" w:name="_Toc132629655"/>
      <w:r w:rsidRPr="00871491">
        <w:rPr>
          <w:lang w:val="uk-UA"/>
        </w:rPr>
        <w:lastRenderedPageBreak/>
        <w:t>Ц</w:t>
      </w:r>
      <w:bookmarkEnd w:id="315"/>
    </w:p>
    <w:p w14:paraId="0930F18E" w14:textId="77777777" w:rsidR="0097612F" w:rsidRPr="00871491" w:rsidRDefault="0097612F" w:rsidP="00871491">
      <w:pPr>
        <w:pStyle w:val="1"/>
        <w:rPr>
          <w:lang w:val="uk-UA"/>
        </w:rPr>
        <w:sectPr w:rsidR="0097612F" w:rsidRPr="00871491" w:rsidSect="000977F7">
          <w:pgSz w:w="11900" w:h="16820"/>
          <w:pgMar w:top="980" w:right="380" w:bottom="960" w:left="1160" w:header="0" w:footer="775" w:gutter="0"/>
          <w:cols w:num="2" w:space="454"/>
        </w:sectPr>
      </w:pPr>
    </w:p>
    <w:p w14:paraId="35AF87F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ЦЕНТРАЛЬНИЙ ОРГАН ВИКОНАВЧОЇ ВЛАДИ,</w:t>
      </w:r>
      <w:r w:rsidRPr="000977F7">
        <w:rPr>
          <w:color w:val="auto"/>
          <w:spacing w:val="1"/>
          <w:sz w:val="20"/>
          <w:szCs w:val="20"/>
        </w:rPr>
        <w:t xml:space="preserve"> </w:t>
      </w:r>
      <w:r w:rsidRPr="000977F7">
        <w:rPr>
          <w:color w:val="auto"/>
          <w:sz w:val="20"/>
          <w:szCs w:val="20"/>
        </w:rPr>
        <w:t>ЩО РЕАЛІЗУЄ ПОЛІТИКУ У СФЕРІ ДЕРЖАВНОГО КОНТРОЛЮ ЗА ДОДЕРЖАННЯМ ЗАКОНОДАВСТВА</w:t>
      </w:r>
      <w:r w:rsidRPr="000977F7">
        <w:rPr>
          <w:color w:val="auto"/>
          <w:spacing w:val="1"/>
          <w:sz w:val="20"/>
          <w:szCs w:val="20"/>
        </w:rPr>
        <w:t xml:space="preserve"> </w:t>
      </w:r>
      <w:r w:rsidRPr="000977F7">
        <w:rPr>
          <w:color w:val="auto"/>
          <w:sz w:val="20"/>
          <w:szCs w:val="20"/>
        </w:rPr>
        <w:t>ПРО</w:t>
      </w:r>
      <w:r w:rsidRPr="000977F7">
        <w:rPr>
          <w:color w:val="auto"/>
          <w:spacing w:val="1"/>
          <w:sz w:val="20"/>
          <w:szCs w:val="20"/>
        </w:rPr>
        <w:t xml:space="preserve"> </w:t>
      </w:r>
      <w:r w:rsidRPr="000977F7">
        <w:rPr>
          <w:color w:val="auto"/>
          <w:sz w:val="20"/>
          <w:szCs w:val="20"/>
        </w:rPr>
        <w:t>ЗАХИСТ</w:t>
      </w:r>
      <w:r w:rsidRPr="000977F7">
        <w:rPr>
          <w:color w:val="auto"/>
          <w:spacing w:val="1"/>
          <w:sz w:val="20"/>
          <w:szCs w:val="20"/>
        </w:rPr>
        <w:t xml:space="preserve"> </w:t>
      </w:r>
      <w:r w:rsidRPr="000977F7">
        <w:rPr>
          <w:color w:val="auto"/>
          <w:sz w:val="20"/>
          <w:szCs w:val="20"/>
        </w:rPr>
        <w:t>ПРАВ</w:t>
      </w:r>
      <w:r w:rsidRPr="000977F7">
        <w:rPr>
          <w:color w:val="auto"/>
          <w:spacing w:val="1"/>
          <w:sz w:val="20"/>
          <w:szCs w:val="20"/>
        </w:rPr>
        <w:t xml:space="preserve"> </w:t>
      </w:r>
      <w:r w:rsidRPr="000977F7">
        <w:rPr>
          <w:color w:val="auto"/>
          <w:sz w:val="20"/>
          <w:szCs w:val="20"/>
        </w:rPr>
        <w:t>СПОЖИВА</w:t>
      </w:r>
      <w:r w:rsidRPr="000977F7">
        <w:rPr>
          <w:color w:val="auto"/>
          <w:spacing w:val="-47"/>
          <w:sz w:val="20"/>
          <w:szCs w:val="20"/>
        </w:rPr>
        <w:t xml:space="preserve"> </w:t>
      </w:r>
      <w:r w:rsidRPr="000977F7">
        <w:rPr>
          <w:color w:val="auto"/>
          <w:sz w:val="20"/>
          <w:szCs w:val="20"/>
        </w:rPr>
        <w:t>ЧІВ -</w:t>
      </w:r>
    </w:p>
    <w:p w14:paraId="2A00BF9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Центральний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виконавчої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влади,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реалізує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державну політику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 сфері державного контролю за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додержанням законодавства про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захист</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прав споживачів, розглядає справи про адміністративні правопорушення,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пов'язані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порушенням законодавства про</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захист</w:t>
      </w:r>
      <w:r w:rsidRPr="004D2D14">
        <w:rPr>
          <w:rFonts w:asciiTheme="majorHAnsi" w:hAnsiTheme="majorHAnsi"/>
          <w:spacing w:val="21"/>
          <w:sz w:val="20"/>
          <w:szCs w:val="20"/>
          <w:lang w:val="uk-UA"/>
        </w:rPr>
        <w:t xml:space="preserve"> </w:t>
      </w:r>
      <w:r w:rsidRPr="004D2D14">
        <w:rPr>
          <w:rFonts w:asciiTheme="majorHAnsi" w:hAnsiTheme="majorHAnsi"/>
          <w:sz w:val="20"/>
          <w:szCs w:val="20"/>
          <w:lang w:val="uk-UA"/>
        </w:rPr>
        <w:t>прав</w:t>
      </w:r>
      <w:r w:rsidRPr="004D2D14">
        <w:rPr>
          <w:rFonts w:asciiTheme="majorHAnsi" w:hAnsiTheme="majorHAnsi"/>
          <w:spacing w:val="46"/>
          <w:sz w:val="20"/>
          <w:szCs w:val="20"/>
          <w:lang w:val="uk-UA"/>
        </w:rPr>
        <w:t xml:space="preserve"> </w:t>
      </w:r>
      <w:r w:rsidRPr="004D2D14">
        <w:rPr>
          <w:rFonts w:asciiTheme="majorHAnsi" w:hAnsiTheme="majorHAnsi"/>
          <w:sz w:val="20"/>
          <w:szCs w:val="20"/>
          <w:lang w:val="uk-UA"/>
        </w:rPr>
        <w:t>громадян-споживачів</w:t>
      </w:r>
      <w:r w:rsidRPr="004D2D14">
        <w:rPr>
          <w:rFonts w:asciiTheme="majorHAnsi" w:hAnsiTheme="majorHAnsi"/>
          <w:spacing w:val="46"/>
          <w:sz w:val="20"/>
          <w:szCs w:val="20"/>
          <w:lang w:val="uk-UA"/>
        </w:rPr>
        <w:t xml:space="preserve"> </w:t>
      </w:r>
      <w:r w:rsidRPr="004D2D14">
        <w:rPr>
          <w:rFonts w:asciiTheme="majorHAnsi" w:hAnsiTheme="majorHAnsi"/>
          <w:sz w:val="20"/>
          <w:szCs w:val="20"/>
          <w:lang w:val="uk-UA"/>
        </w:rPr>
        <w:t>(статті</w:t>
      </w:r>
      <w:r w:rsidRPr="004D2D14">
        <w:rPr>
          <w:rFonts w:asciiTheme="majorHAnsi" w:hAnsiTheme="majorHAnsi"/>
          <w:spacing w:val="23"/>
          <w:sz w:val="20"/>
          <w:szCs w:val="20"/>
          <w:lang w:val="uk-UA"/>
        </w:rPr>
        <w:t xml:space="preserve"> </w:t>
      </w:r>
      <w:r w:rsidRPr="004D2D14">
        <w:rPr>
          <w:rFonts w:asciiTheme="majorHAnsi" w:hAnsiTheme="majorHAnsi"/>
          <w:sz w:val="20"/>
          <w:szCs w:val="20"/>
          <w:lang w:val="uk-UA"/>
        </w:rPr>
        <w:t>155,</w:t>
      </w:r>
      <w:r w:rsidRPr="004D2D14">
        <w:rPr>
          <w:rFonts w:asciiTheme="majorHAnsi" w:hAnsiTheme="majorHAnsi"/>
          <w:spacing w:val="22"/>
          <w:sz w:val="20"/>
          <w:szCs w:val="20"/>
          <w:lang w:val="uk-UA"/>
        </w:rPr>
        <w:t xml:space="preserve"> </w:t>
      </w:r>
      <w:r w:rsidRPr="004D2D14">
        <w:rPr>
          <w:rFonts w:asciiTheme="majorHAnsi" w:hAnsiTheme="majorHAnsi"/>
          <w:sz w:val="20"/>
          <w:szCs w:val="20"/>
          <w:lang w:val="uk-UA"/>
        </w:rPr>
        <w:t>155-2 частина друга статті 156,</w:t>
      </w:r>
      <w:r w:rsidRPr="004D2D14">
        <w:rPr>
          <w:rFonts w:asciiTheme="majorHAnsi" w:hAnsiTheme="majorHAnsi"/>
          <w:spacing w:val="51"/>
          <w:sz w:val="20"/>
          <w:szCs w:val="20"/>
          <w:lang w:val="uk-UA"/>
        </w:rPr>
        <w:t xml:space="preserve"> </w:t>
      </w:r>
      <w:r w:rsidRPr="004D2D14">
        <w:rPr>
          <w:rFonts w:asciiTheme="majorHAnsi" w:hAnsiTheme="majorHAnsi"/>
          <w:sz w:val="20"/>
          <w:szCs w:val="20"/>
          <w:lang w:val="uk-UA"/>
        </w:rPr>
        <w:t>статті 156-1, 156-2, 156-3,</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167 стосовно правопорушень під час</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реалізації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промисловими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підприємствами громадянам-споживачам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(крім правопорушень щодо лікарських засобів та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порушень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санітарних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норм),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стаття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168-1 (крім правопорушень щодо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лікарських</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засобів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порушень</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санітарних</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 xml:space="preserve">норм), стаття 168-2,  </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стаття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170</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стосовно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правопорушень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під</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 транспортування,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зберігання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використання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призначеної для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реалізації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громадянам-споживачам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(крім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правопорушень</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щодо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лікарських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засобів</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порушень</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санітарних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норм),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стаття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188-2).</w:t>
      </w:r>
    </w:p>
    <w:p w14:paraId="79C3C78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імені</w:t>
      </w:r>
      <w:r w:rsidRPr="000977F7">
        <w:rPr>
          <w:rFonts w:asciiTheme="majorHAnsi" w:hAnsiTheme="majorHAnsi"/>
          <w:spacing w:val="1"/>
          <w:sz w:val="20"/>
          <w:szCs w:val="20"/>
        </w:rPr>
        <w:t xml:space="preserve"> </w:t>
      </w:r>
      <w:r w:rsidRPr="000977F7">
        <w:rPr>
          <w:rFonts w:asciiTheme="majorHAnsi" w:hAnsiTheme="majorHAnsi"/>
          <w:sz w:val="20"/>
          <w:szCs w:val="20"/>
        </w:rPr>
        <w:t>центрального органу виконавчої влади,</w:t>
      </w:r>
      <w:r w:rsidRPr="000977F7">
        <w:rPr>
          <w:rFonts w:asciiTheme="majorHAnsi" w:hAnsiTheme="majorHAnsi"/>
          <w:spacing w:val="1"/>
          <w:sz w:val="20"/>
          <w:szCs w:val="20"/>
        </w:rPr>
        <w:t xml:space="preserve"> </w:t>
      </w:r>
      <w:r w:rsidRPr="000977F7">
        <w:rPr>
          <w:rFonts w:asciiTheme="majorHAnsi" w:hAnsiTheme="majorHAnsi"/>
          <w:sz w:val="20"/>
          <w:szCs w:val="20"/>
        </w:rPr>
        <w:t>що реалізує державну</w:t>
      </w:r>
      <w:r w:rsidRPr="000977F7">
        <w:rPr>
          <w:rFonts w:asciiTheme="majorHAnsi" w:hAnsiTheme="majorHAnsi"/>
          <w:spacing w:val="1"/>
          <w:sz w:val="20"/>
          <w:szCs w:val="20"/>
        </w:rPr>
        <w:t xml:space="preserve"> </w:t>
      </w:r>
      <w:r w:rsidRPr="000977F7">
        <w:rPr>
          <w:rFonts w:asciiTheme="majorHAnsi" w:hAnsiTheme="majorHAnsi"/>
          <w:sz w:val="20"/>
          <w:szCs w:val="20"/>
        </w:rPr>
        <w:t>політику</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сфері</w:t>
      </w:r>
      <w:r w:rsidRPr="000977F7">
        <w:rPr>
          <w:rFonts w:asciiTheme="majorHAnsi" w:hAnsiTheme="majorHAnsi"/>
          <w:spacing w:val="1"/>
          <w:sz w:val="20"/>
          <w:szCs w:val="20"/>
        </w:rPr>
        <w:t xml:space="preserve"> </w:t>
      </w:r>
      <w:r w:rsidRPr="000977F7">
        <w:rPr>
          <w:rFonts w:asciiTheme="majorHAnsi" w:hAnsiTheme="majorHAnsi"/>
          <w:sz w:val="20"/>
          <w:szCs w:val="20"/>
        </w:rPr>
        <w:t>державного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за додержанням законодавства</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захист</w:t>
      </w:r>
      <w:r w:rsidRPr="000977F7">
        <w:rPr>
          <w:rFonts w:asciiTheme="majorHAnsi" w:hAnsiTheme="majorHAnsi"/>
          <w:spacing w:val="1"/>
          <w:sz w:val="20"/>
          <w:szCs w:val="20"/>
        </w:rPr>
        <w:t xml:space="preserve"> </w:t>
      </w:r>
      <w:r w:rsidRPr="000977F7">
        <w:rPr>
          <w:rFonts w:asciiTheme="majorHAnsi" w:hAnsiTheme="majorHAnsi"/>
          <w:sz w:val="20"/>
          <w:szCs w:val="20"/>
        </w:rPr>
        <w:t>прав споживачів, розглядати справи про адміністративні</w:t>
      </w:r>
      <w:r w:rsidRPr="000977F7">
        <w:rPr>
          <w:rFonts w:asciiTheme="majorHAnsi" w:hAnsiTheme="majorHAnsi"/>
          <w:spacing w:val="51"/>
          <w:sz w:val="20"/>
          <w:szCs w:val="20"/>
        </w:rPr>
        <w:t xml:space="preserve"> </w:t>
      </w:r>
      <w:r w:rsidRPr="000977F7">
        <w:rPr>
          <w:rFonts w:asciiTheme="majorHAnsi" w:hAnsiTheme="majorHAnsi"/>
          <w:sz w:val="20"/>
          <w:szCs w:val="20"/>
        </w:rPr>
        <w:t>правопорушення</w:t>
      </w:r>
      <w:r w:rsidRPr="000977F7">
        <w:rPr>
          <w:rFonts w:asciiTheme="majorHAnsi" w:hAnsiTheme="majorHAnsi"/>
          <w:spacing w:val="51"/>
          <w:sz w:val="20"/>
          <w:szCs w:val="20"/>
        </w:rPr>
        <w:t xml:space="preserve"> </w:t>
      </w:r>
      <w:r w:rsidRPr="000977F7">
        <w:rPr>
          <w:rFonts w:asciiTheme="majorHAnsi" w:hAnsiTheme="majorHAnsi"/>
          <w:sz w:val="20"/>
          <w:szCs w:val="20"/>
        </w:rPr>
        <w:t>і</w:t>
      </w:r>
      <w:r w:rsidRPr="000977F7">
        <w:rPr>
          <w:rFonts w:asciiTheme="majorHAnsi" w:hAnsiTheme="majorHAnsi"/>
          <w:spacing w:val="51"/>
          <w:sz w:val="20"/>
          <w:szCs w:val="20"/>
        </w:rPr>
        <w:t xml:space="preserve"> </w:t>
      </w:r>
      <w:r w:rsidRPr="000977F7">
        <w:rPr>
          <w:rFonts w:asciiTheme="majorHAnsi" w:hAnsiTheme="majorHAnsi"/>
          <w:sz w:val="20"/>
          <w:szCs w:val="20"/>
        </w:rPr>
        <w:t>накладати адміністративні</w:t>
      </w:r>
      <w:r w:rsidRPr="000977F7">
        <w:rPr>
          <w:rFonts w:asciiTheme="majorHAnsi" w:hAnsiTheme="majorHAnsi"/>
          <w:spacing w:val="-2"/>
          <w:sz w:val="20"/>
          <w:szCs w:val="20"/>
        </w:rPr>
        <w:t xml:space="preserve"> </w:t>
      </w:r>
      <w:r w:rsidRPr="000977F7">
        <w:rPr>
          <w:rFonts w:asciiTheme="majorHAnsi" w:hAnsiTheme="majorHAnsi"/>
          <w:sz w:val="20"/>
          <w:szCs w:val="20"/>
        </w:rPr>
        <w:t>стягнення</w:t>
      </w:r>
      <w:r w:rsidRPr="000977F7">
        <w:rPr>
          <w:rFonts w:asciiTheme="majorHAnsi" w:hAnsiTheme="majorHAnsi"/>
          <w:spacing w:val="-1"/>
          <w:sz w:val="20"/>
          <w:szCs w:val="20"/>
        </w:rPr>
        <w:t xml:space="preserve"> </w:t>
      </w:r>
      <w:r w:rsidRPr="000977F7">
        <w:rPr>
          <w:rFonts w:asciiTheme="majorHAnsi" w:hAnsiTheme="majorHAnsi"/>
          <w:sz w:val="20"/>
          <w:szCs w:val="20"/>
        </w:rPr>
        <w:t>мають</w:t>
      </w:r>
      <w:r w:rsidRPr="000977F7">
        <w:rPr>
          <w:rFonts w:asciiTheme="majorHAnsi" w:hAnsiTheme="majorHAnsi"/>
          <w:spacing w:val="2"/>
          <w:sz w:val="20"/>
          <w:szCs w:val="20"/>
        </w:rPr>
        <w:t xml:space="preserve"> </w:t>
      </w:r>
      <w:r w:rsidRPr="000977F7">
        <w:rPr>
          <w:rFonts w:asciiTheme="majorHAnsi" w:hAnsiTheme="majorHAnsi"/>
          <w:sz w:val="20"/>
          <w:szCs w:val="20"/>
        </w:rPr>
        <w:t>право:</w:t>
      </w:r>
    </w:p>
    <w:p w14:paraId="66CB13B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керівник</w:t>
      </w:r>
      <w:r w:rsidRPr="000977F7">
        <w:rPr>
          <w:rFonts w:asciiTheme="majorHAnsi" w:hAnsiTheme="majorHAnsi"/>
          <w:spacing w:val="1"/>
          <w:sz w:val="20"/>
          <w:szCs w:val="20"/>
        </w:rPr>
        <w:t xml:space="preserve"> </w:t>
      </w:r>
      <w:r w:rsidRPr="000977F7">
        <w:rPr>
          <w:rFonts w:asciiTheme="majorHAnsi" w:hAnsiTheme="majorHAnsi"/>
          <w:sz w:val="20"/>
          <w:szCs w:val="20"/>
        </w:rPr>
        <w:t>центрального</w:t>
      </w:r>
      <w:r w:rsidRPr="000977F7">
        <w:rPr>
          <w:rFonts w:asciiTheme="majorHAnsi" w:hAnsiTheme="majorHAnsi"/>
          <w:spacing w:val="1"/>
          <w:sz w:val="20"/>
          <w:szCs w:val="20"/>
        </w:rPr>
        <w:t xml:space="preserve"> </w:t>
      </w:r>
      <w:r w:rsidRPr="000977F7">
        <w:rPr>
          <w:rFonts w:asciiTheme="majorHAnsi" w:hAnsiTheme="majorHAnsi"/>
          <w:sz w:val="20"/>
          <w:szCs w:val="20"/>
        </w:rPr>
        <w:t>органу</w:t>
      </w:r>
      <w:r w:rsidRPr="000977F7">
        <w:rPr>
          <w:rFonts w:asciiTheme="majorHAnsi" w:hAnsiTheme="majorHAnsi"/>
          <w:spacing w:val="50"/>
          <w:sz w:val="20"/>
          <w:szCs w:val="20"/>
        </w:rPr>
        <w:t xml:space="preserve"> </w:t>
      </w:r>
      <w:r w:rsidRPr="000977F7">
        <w:rPr>
          <w:rFonts w:asciiTheme="majorHAnsi" w:hAnsiTheme="majorHAnsi"/>
          <w:sz w:val="20"/>
          <w:szCs w:val="20"/>
        </w:rPr>
        <w:t>виконавчої влади,</w:t>
      </w:r>
      <w:r w:rsidRPr="000977F7">
        <w:rPr>
          <w:rFonts w:asciiTheme="majorHAnsi" w:hAnsiTheme="majorHAnsi"/>
          <w:spacing w:val="1"/>
          <w:sz w:val="20"/>
          <w:szCs w:val="20"/>
        </w:rPr>
        <w:t xml:space="preserve"> </w:t>
      </w:r>
      <w:r w:rsidRPr="000977F7">
        <w:rPr>
          <w:rFonts w:asciiTheme="majorHAnsi" w:hAnsiTheme="majorHAnsi"/>
          <w:sz w:val="20"/>
          <w:szCs w:val="20"/>
        </w:rPr>
        <w:t>що реалізує державну</w:t>
      </w:r>
      <w:r w:rsidRPr="000977F7">
        <w:rPr>
          <w:rFonts w:asciiTheme="majorHAnsi" w:hAnsiTheme="majorHAnsi"/>
          <w:spacing w:val="1"/>
          <w:sz w:val="20"/>
          <w:szCs w:val="20"/>
        </w:rPr>
        <w:t xml:space="preserve"> </w:t>
      </w:r>
      <w:r w:rsidRPr="000977F7">
        <w:rPr>
          <w:rFonts w:asciiTheme="majorHAnsi" w:hAnsiTheme="majorHAnsi"/>
          <w:sz w:val="20"/>
          <w:szCs w:val="20"/>
        </w:rPr>
        <w:t>політику</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сфері</w:t>
      </w:r>
      <w:r w:rsidRPr="000977F7">
        <w:rPr>
          <w:rFonts w:asciiTheme="majorHAnsi" w:hAnsiTheme="majorHAnsi"/>
          <w:spacing w:val="1"/>
          <w:sz w:val="20"/>
          <w:szCs w:val="20"/>
        </w:rPr>
        <w:t xml:space="preserve"> </w:t>
      </w:r>
      <w:r w:rsidRPr="000977F7">
        <w:rPr>
          <w:rFonts w:asciiTheme="majorHAnsi" w:hAnsiTheme="majorHAnsi"/>
          <w:sz w:val="20"/>
          <w:szCs w:val="20"/>
        </w:rPr>
        <w:t>державного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за додержанням законодавства про захист</w:t>
      </w:r>
      <w:r w:rsidRPr="000977F7">
        <w:rPr>
          <w:rFonts w:asciiTheme="majorHAnsi" w:hAnsiTheme="majorHAnsi"/>
          <w:spacing w:val="1"/>
          <w:sz w:val="20"/>
          <w:szCs w:val="20"/>
        </w:rPr>
        <w:t xml:space="preserve"> </w:t>
      </w:r>
      <w:r w:rsidRPr="000977F7">
        <w:rPr>
          <w:rFonts w:asciiTheme="majorHAnsi" w:hAnsiTheme="majorHAnsi"/>
          <w:sz w:val="20"/>
          <w:szCs w:val="20"/>
        </w:rPr>
        <w:t>прав споживачів, його заступники, а також інші уповноважені</w:t>
      </w:r>
      <w:r w:rsidRPr="000977F7">
        <w:rPr>
          <w:rFonts w:asciiTheme="majorHAnsi" w:hAnsiTheme="majorHAnsi"/>
          <w:spacing w:val="-3"/>
          <w:sz w:val="20"/>
          <w:szCs w:val="20"/>
        </w:rPr>
        <w:t xml:space="preserve"> </w:t>
      </w:r>
      <w:r w:rsidRPr="000977F7">
        <w:rPr>
          <w:rFonts w:asciiTheme="majorHAnsi" w:hAnsiTheme="majorHAnsi"/>
          <w:sz w:val="20"/>
          <w:szCs w:val="20"/>
        </w:rPr>
        <w:t>керівником</w:t>
      </w:r>
      <w:r w:rsidRPr="000977F7">
        <w:rPr>
          <w:rFonts w:asciiTheme="majorHAnsi" w:hAnsiTheme="majorHAnsi"/>
          <w:spacing w:val="-2"/>
          <w:sz w:val="20"/>
          <w:szCs w:val="20"/>
        </w:rPr>
        <w:t xml:space="preserve"> </w:t>
      </w:r>
      <w:r w:rsidRPr="000977F7">
        <w:rPr>
          <w:rFonts w:asciiTheme="majorHAnsi" w:hAnsiTheme="majorHAnsi"/>
          <w:sz w:val="20"/>
          <w:szCs w:val="20"/>
        </w:rPr>
        <w:t>посадові</w:t>
      </w:r>
      <w:r w:rsidRPr="000977F7">
        <w:rPr>
          <w:rFonts w:asciiTheme="majorHAnsi" w:hAnsiTheme="majorHAnsi"/>
          <w:spacing w:val="-2"/>
          <w:sz w:val="20"/>
          <w:szCs w:val="20"/>
        </w:rPr>
        <w:t xml:space="preserve"> </w:t>
      </w:r>
      <w:r w:rsidRPr="000977F7">
        <w:rPr>
          <w:rFonts w:asciiTheme="majorHAnsi" w:hAnsiTheme="majorHAnsi"/>
          <w:sz w:val="20"/>
          <w:szCs w:val="20"/>
        </w:rPr>
        <w:t>особи</w:t>
      </w:r>
      <w:r w:rsidRPr="000977F7">
        <w:rPr>
          <w:rFonts w:asciiTheme="majorHAnsi" w:hAnsiTheme="majorHAnsi"/>
          <w:spacing w:val="-4"/>
          <w:sz w:val="20"/>
          <w:szCs w:val="20"/>
        </w:rPr>
        <w:t xml:space="preserve"> </w:t>
      </w:r>
      <w:r w:rsidRPr="000977F7">
        <w:rPr>
          <w:rFonts w:asciiTheme="majorHAnsi" w:hAnsiTheme="majorHAnsi"/>
          <w:sz w:val="20"/>
          <w:szCs w:val="20"/>
        </w:rPr>
        <w:t>цього</w:t>
      </w:r>
      <w:r w:rsidRPr="000977F7">
        <w:rPr>
          <w:rFonts w:asciiTheme="majorHAnsi" w:hAnsiTheme="majorHAnsi"/>
          <w:spacing w:val="-1"/>
          <w:sz w:val="20"/>
          <w:szCs w:val="20"/>
        </w:rPr>
        <w:t xml:space="preserve"> </w:t>
      </w:r>
      <w:r w:rsidRPr="000977F7">
        <w:rPr>
          <w:rFonts w:asciiTheme="majorHAnsi" w:hAnsiTheme="majorHAnsi"/>
          <w:sz w:val="20"/>
          <w:szCs w:val="20"/>
        </w:rPr>
        <w:t>органу;</w:t>
      </w:r>
    </w:p>
    <w:p w14:paraId="17BFFC7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керівник</w:t>
      </w:r>
      <w:r w:rsidRPr="000977F7">
        <w:rPr>
          <w:rFonts w:asciiTheme="majorHAnsi" w:hAnsiTheme="majorHAnsi"/>
          <w:spacing w:val="1"/>
          <w:sz w:val="20"/>
          <w:szCs w:val="20"/>
        </w:rPr>
        <w:t xml:space="preserve"> </w:t>
      </w:r>
      <w:r w:rsidRPr="000977F7">
        <w:rPr>
          <w:rFonts w:asciiTheme="majorHAnsi" w:hAnsiTheme="majorHAnsi"/>
          <w:sz w:val="20"/>
          <w:szCs w:val="20"/>
        </w:rPr>
        <w:t>органу</w:t>
      </w:r>
      <w:r w:rsidRPr="000977F7">
        <w:rPr>
          <w:rFonts w:asciiTheme="majorHAnsi" w:hAnsiTheme="majorHAnsi"/>
          <w:spacing w:val="1"/>
          <w:sz w:val="20"/>
          <w:szCs w:val="20"/>
        </w:rPr>
        <w:t xml:space="preserve"> </w:t>
      </w:r>
      <w:r w:rsidRPr="000977F7">
        <w:rPr>
          <w:rFonts w:asciiTheme="majorHAnsi" w:hAnsiTheme="majorHAnsi"/>
          <w:sz w:val="20"/>
          <w:szCs w:val="20"/>
        </w:rPr>
        <w:t>виконавчої</w:t>
      </w:r>
      <w:r w:rsidRPr="000977F7">
        <w:rPr>
          <w:rFonts w:asciiTheme="majorHAnsi" w:hAnsiTheme="majorHAnsi"/>
          <w:spacing w:val="1"/>
          <w:sz w:val="20"/>
          <w:szCs w:val="20"/>
        </w:rPr>
        <w:t xml:space="preserve"> </w:t>
      </w:r>
      <w:r w:rsidRPr="000977F7">
        <w:rPr>
          <w:rFonts w:asciiTheme="majorHAnsi" w:hAnsiTheme="majorHAnsi"/>
          <w:sz w:val="20"/>
          <w:szCs w:val="20"/>
        </w:rPr>
        <w:t>влади</w:t>
      </w:r>
      <w:r w:rsidRPr="000977F7">
        <w:rPr>
          <w:rFonts w:asciiTheme="majorHAnsi" w:hAnsiTheme="majorHAnsi"/>
          <w:spacing w:val="1"/>
          <w:sz w:val="20"/>
          <w:szCs w:val="20"/>
        </w:rPr>
        <w:t xml:space="preserve"> </w:t>
      </w:r>
      <w:r w:rsidRPr="000977F7">
        <w:rPr>
          <w:rFonts w:asciiTheme="majorHAnsi" w:hAnsiTheme="majorHAnsi"/>
          <w:sz w:val="20"/>
          <w:szCs w:val="20"/>
        </w:rPr>
        <w:t>Автономної</w:t>
      </w:r>
      <w:r w:rsidRPr="000977F7">
        <w:rPr>
          <w:rFonts w:asciiTheme="majorHAnsi" w:hAnsiTheme="majorHAnsi"/>
          <w:spacing w:val="-47"/>
          <w:sz w:val="20"/>
          <w:szCs w:val="20"/>
        </w:rPr>
        <w:t xml:space="preserve"> </w:t>
      </w:r>
      <w:r w:rsidRPr="000977F7">
        <w:rPr>
          <w:rFonts w:asciiTheme="majorHAnsi" w:hAnsiTheme="majorHAnsi"/>
          <w:sz w:val="20"/>
          <w:szCs w:val="20"/>
        </w:rPr>
        <w:t>Республіки Крим у</w:t>
      </w:r>
      <w:r w:rsidRPr="000977F7">
        <w:rPr>
          <w:rFonts w:asciiTheme="majorHAnsi" w:hAnsiTheme="majorHAnsi"/>
          <w:spacing w:val="1"/>
          <w:sz w:val="20"/>
          <w:szCs w:val="20"/>
        </w:rPr>
        <w:t xml:space="preserve"> </w:t>
      </w:r>
      <w:r w:rsidRPr="000977F7">
        <w:rPr>
          <w:rFonts w:asciiTheme="majorHAnsi" w:hAnsiTheme="majorHAnsi"/>
          <w:sz w:val="20"/>
          <w:szCs w:val="20"/>
        </w:rPr>
        <w:t>справах захисту прав споживачів</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його</w:t>
      </w:r>
      <w:r w:rsidRPr="000977F7">
        <w:rPr>
          <w:rFonts w:asciiTheme="majorHAnsi" w:hAnsiTheme="majorHAnsi"/>
          <w:spacing w:val="1"/>
          <w:sz w:val="20"/>
          <w:szCs w:val="20"/>
        </w:rPr>
        <w:t xml:space="preserve"> </w:t>
      </w:r>
      <w:r w:rsidRPr="000977F7">
        <w:rPr>
          <w:rFonts w:asciiTheme="majorHAnsi" w:hAnsiTheme="majorHAnsi"/>
          <w:sz w:val="20"/>
          <w:szCs w:val="20"/>
        </w:rPr>
        <w:t>заступники.</w:t>
      </w:r>
    </w:p>
    <w:p w14:paraId="3B4548C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244-4 Кодексу України про адміністративні порушення</w:t>
      </w:r>
    </w:p>
    <w:p w14:paraId="6C05FB8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ЦЕНТРАЛЬНИЙ ОРГАН ВИКОНАВЧОЇ ВЛАДИ,</w:t>
      </w:r>
      <w:r w:rsidRPr="000977F7">
        <w:rPr>
          <w:color w:val="auto"/>
          <w:spacing w:val="1"/>
          <w:sz w:val="20"/>
          <w:szCs w:val="20"/>
        </w:rPr>
        <w:t xml:space="preserve"> </w:t>
      </w:r>
      <w:r w:rsidRPr="000977F7">
        <w:rPr>
          <w:color w:val="auto"/>
          <w:sz w:val="20"/>
          <w:szCs w:val="20"/>
        </w:rPr>
        <w:t>ЩО РЕАЛІЗУЄ ПОЛІТИКУ У СФЕРІ СТАНДАРТИЗАЦІЇ,</w:t>
      </w:r>
      <w:r w:rsidRPr="000977F7">
        <w:rPr>
          <w:color w:val="auto"/>
          <w:spacing w:val="1"/>
          <w:sz w:val="20"/>
          <w:szCs w:val="20"/>
        </w:rPr>
        <w:t xml:space="preserve"> </w:t>
      </w:r>
      <w:r w:rsidRPr="000977F7">
        <w:rPr>
          <w:color w:val="auto"/>
          <w:sz w:val="20"/>
          <w:szCs w:val="20"/>
        </w:rPr>
        <w:t>МЕТРОЛОГІЇ</w:t>
      </w:r>
      <w:r w:rsidRPr="000977F7">
        <w:rPr>
          <w:color w:val="auto"/>
          <w:spacing w:val="1"/>
          <w:sz w:val="20"/>
          <w:szCs w:val="20"/>
        </w:rPr>
        <w:t xml:space="preserve"> </w:t>
      </w:r>
      <w:r w:rsidRPr="000977F7">
        <w:rPr>
          <w:color w:val="auto"/>
          <w:sz w:val="20"/>
          <w:szCs w:val="20"/>
        </w:rPr>
        <w:t>ТА</w:t>
      </w:r>
      <w:r w:rsidRPr="000977F7">
        <w:rPr>
          <w:color w:val="auto"/>
          <w:spacing w:val="1"/>
          <w:sz w:val="20"/>
          <w:szCs w:val="20"/>
        </w:rPr>
        <w:t xml:space="preserve"> </w:t>
      </w:r>
      <w:r w:rsidRPr="000977F7">
        <w:rPr>
          <w:color w:val="auto"/>
          <w:sz w:val="20"/>
          <w:szCs w:val="20"/>
        </w:rPr>
        <w:t>МЕТРОЛОГІЧНОЇ</w:t>
      </w:r>
      <w:r w:rsidRPr="000977F7">
        <w:rPr>
          <w:color w:val="auto"/>
          <w:spacing w:val="1"/>
          <w:sz w:val="20"/>
          <w:szCs w:val="20"/>
        </w:rPr>
        <w:t xml:space="preserve"> </w:t>
      </w:r>
      <w:r w:rsidRPr="000977F7">
        <w:rPr>
          <w:color w:val="auto"/>
          <w:sz w:val="20"/>
          <w:szCs w:val="20"/>
        </w:rPr>
        <w:t>ДІЯЛЬНОСТІ</w:t>
      </w:r>
      <w:r w:rsidRPr="000977F7">
        <w:rPr>
          <w:color w:val="auto"/>
          <w:spacing w:val="-7"/>
          <w:sz w:val="20"/>
          <w:szCs w:val="20"/>
        </w:rPr>
        <w:t xml:space="preserve"> </w:t>
      </w:r>
      <w:r w:rsidRPr="000977F7">
        <w:rPr>
          <w:color w:val="auto"/>
          <w:sz w:val="20"/>
          <w:szCs w:val="20"/>
        </w:rPr>
        <w:t>І</w:t>
      </w:r>
      <w:r w:rsidRPr="000977F7">
        <w:rPr>
          <w:color w:val="auto"/>
          <w:spacing w:val="-5"/>
          <w:sz w:val="20"/>
          <w:szCs w:val="20"/>
        </w:rPr>
        <w:t xml:space="preserve"> </w:t>
      </w:r>
      <w:r w:rsidRPr="000977F7">
        <w:rPr>
          <w:color w:val="auto"/>
          <w:sz w:val="20"/>
          <w:szCs w:val="20"/>
        </w:rPr>
        <w:t>ТЕХНІЧНОГО</w:t>
      </w:r>
      <w:r w:rsidRPr="000977F7">
        <w:rPr>
          <w:color w:val="auto"/>
          <w:spacing w:val="-4"/>
          <w:sz w:val="20"/>
          <w:szCs w:val="20"/>
        </w:rPr>
        <w:t xml:space="preserve"> </w:t>
      </w:r>
      <w:r w:rsidRPr="000977F7">
        <w:rPr>
          <w:color w:val="auto"/>
          <w:sz w:val="20"/>
          <w:szCs w:val="20"/>
        </w:rPr>
        <w:t>РЕГУЛЮВАННЯ</w:t>
      </w:r>
      <w:r w:rsidRPr="000977F7">
        <w:rPr>
          <w:color w:val="auto"/>
          <w:spacing w:val="-2"/>
          <w:sz w:val="20"/>
          <w:szCs w:val="20"/>
        </w:rPr>
        <w:t xml:space="preserve"> </w:t>
      </w:r>
      <w:r w:rsidRPr="000977F7">
        <w:rPr>
          <w:color w:val="auto"/>
          <w:sz w:val="20"/>
          <w:szCs w:val="20"/>
        </w:rPr>
        <w:t>-</w:t>
      </w:r>
    </w:p>
    <w:p w14:paraId="3C8FEA0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Центральний</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орган</w:t>
      </w:r>
      <w:r w:rsidRPr="004D2D14">
        <w:rPr>
          <w:rFonts w:asciiTheme="majorHAnsi" w:hAnsiTheme="majorHAnsi"/>
          <w:spacing w:val="12"/>
          <w:sz w:val="20"/>
          <w:szCs w:val="20"/>
          <w:lang w:val="uk-UA"/>
        </w:rPr>
        <w:t xml:space="preserve"> </w:t>
      </w:r>
      <w:r w:rsidRPr="004D2D14">
        <w:rPr>
          <w:rFonts w:asciiTheme="majorHAnsi" w:hAnsiTheme="majorHAnsi"/>
          <w:sz w:val="20"/>
          <w:szCs w:val="20"/>
          <w:lang w:val="uk-UA"/>
        </w:rPr>
        <w:t>виконавчої</w:t>
      </w:r>
      <w:r w:rsidRPr="004D2D14">
        <w:rPr>
          <w:rFonts w:asciiTheme="majorHAnsi" w:hAnsiTheme="majorHAnsi"/>
          <w:spacing w:val="13"/>
          <w:sz w:val="20"/>
          <w:szCs w:val="20"/>
          <w:lang w:val="uk-UA"/>
        </w:rPr>
        <w:t xml:space="preserve"> </w:t>
      </w:r>
      <w:r w:rsidRPr="004D2D14">
        <w:rPr>
          <w:rFonts w:asciiTheme="majorHAnsi" w:hAnsiTheme="majorHAnsi"/>
          <w:sz w:val="20"/>
          <w:szCs w:val="20"/>
          <w:lang w:val="uk-UA"/>
        </w:rPr>
        <w:t>влади,</w:t>
      </w:r>
      <w:r w:rsidRPr="004D2D14">
        <w:rPr>
          <w:rFonts w:asciiTheme="majorHAnsi" w:hAnsiTheme="majorHAnsi"/>
          <w:spacing w:val="13"/>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4"/>
          <w:sz w:val="20"/>
          <w:szCs w:val="20"/>
          <w:lang w:val="uk-UA"/>
        </w:rPr>
        <w:t xml:space="preserve"> </w:t>
      </w:r>
      <w:r w:rsidRPr="004D2D14">
        <w:rPr>
          <w:rFonts w:asciiTheme="majorHAnsi" w:hAnsiTheme="majorHAnsi"/>
          <w:sz w:val="20"/>
          <w:szCs w:val="20"/>
          <w:lang w:val="uk-UA"/>
        </w:rPr>
        <w:t>реалізує</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державну</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політику</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15"/>
          <w:sz w:val="20"/>
          <w:szCs w:val="20"/>
          <w:lang w:val="uk-UA"/>
        </w:rPr>
        <w:t xml:space="preserve"> </w:t>
      </w:r>
      <w:r w:rsidRPr="004D2D14">
        <w:rPr>
          <w:rFonts w:asciiTheme="majorHAnsi" w:hAnsiTheme="majorHAnsi"/>
          <w:sz w:val="20"/>
          <w:szCs w:val="20"/>
          <w:lang w:val="uk-UA"/>
        </w:rPr>
        <w:t>сфері</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стандартизації,</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метрології</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та метрологічної</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діяльності</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і технічного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регулювання,</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розглядає</w:t>
      </w:r>
      <w:r w:rsidRPr="004D2D14">
        <w:rPr>
          <w:rFonts w:asciiTheme="majorHAnsi" w:hAnsiTheme="majorHAnsi"/>
          <w:spacing w:val="19"/>
          <w:sz w:val="20"/>
          <w:szCs w:val="20"/>
          <w:lang w:val="uk-UA"/>
        </w:rPr>
        <w:t xml:space="preserve"> </w:t>
      </w:r>
      <w:r w:rsidRPr="004D2D14">
        <w:rPr>
          <w:rFonts w:asciiTheme="majorHAnsi" w:hAnsiTheme="majorHAnsi"/>
          <w:sz w:val="20"/>
          <w:szCs w:val="20"/>
          <w:lang w:val="uk-UA"/>
        </w:rPr>
        <w:t>справи</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про</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адміністративні</w:t>
      </w:r>
      <w:r w:rsidRPr="004D2D14">
        <w:rPr>
          <w:rFonts w:asciiTheme="majorHAnsi" w:hAnsiTheme="majorHAnsi"/>
          <w:spacing w:val="21"/>
          <w:sz w:val="20"/>
          <w:szCs w:val="20"/>
          <w:lang w:val="uk-UA"/>
        </w:rPr>
        <w:t xml:space="preserve"> </w:t>
      </w:r>
      <w:r w:rsidRPr="004D2D14">
        <w:rPr>
          <w:rFonts w:asciiTheme="majorHAnsi" w:hAnsiTheme="majorHAnsi"/>
          <w:sz w:val="20"/>
          <w:szCs w:val="20"/>
          <w:lang w:val="uk-UA"/>
        </w:rPr>
        <w:t>правопорушення, передбачені статтями 172-1, 188-9 цього Кодексу.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імені</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центрального</w:t>
      </w:r>
      <w:r w:rsidRPr="004D2D14">
        <w:rPr>
          <w:rFonts w:asciiTheme="majorHAnsi" w:hAnsiTheme="majorHAnsi"/>
          <w:spacing w:val="19"/>
          <w:sz w:val="20"/>
          <w:szCs w:val="20"/>
          <w:lang w:val="uk-UA"/>
        </w:rPr>
        <w:t xml:space="preserve"> </w:t>
      </w:r>
      <w:r w:rsidRPr="004D2D14">
        <w:rPr>
          <w:rFonts w:asciiTheme="majorHAnsi" w:hAnsiTheme="majorHAnsi"/>
          <w:sz w:val="20"/>
          <w:szCs w:val="20"/>
          <w:lang w:val="uk-UA"/>
        </w:rPr>
        <w:t>органу</w:t>
      </w:r>
      <w:r w:rsidRPr="004D2D14">
        <w:rPr>
          <w:rFonts w:asciiTheme="majorHAnsi" w:hAnsiTheme="majorHAnsi"/>
          <w:spacing w:val="15"/>
          <w:sz w:val="20"/>
          <w:szCs w:val="20"/>
          <w:lang w:val="uk-UA"/>
        </w:rPr>
        <w:t xml:space="preserve"> </w:t>
      </w:r>
      <w:r w:rsidRPr="004D2D14">
        <w:rPr>
          <w:rFonts w:asciiTheme="majorHAnsi" w:hAnsiTheme="majorHAnsi"/>
          <w:sz w:val="20"/>
          <w:szCs w:val="20"/>
          <w:lang w:val="uk-UA"/>
        </w:rPr>
        <w:t>виконавчої</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влади,</w:t>
      </w:r>
      <w:r w:rsidRPr="004D2D14">
        <w:rPr>
          <w:rFonts w:asciiTheme="majorHAnsi" w:hAnsiTheme="majorHAnsi"/>
          <w:spacing w:val="19"/>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реалізує</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державну</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політику</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сфері</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стандартизації,</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метрології</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метрологічної</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діяльності</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 xml:space="preserve">технічного </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регулювання,</w:t>
      </w:r>
      <w:r w:rsidRPr="004D2D14">
        <w:rPr>
          <w:rFonts w:asciiTheme="majorHAnsi" w:hAnsiTheme="majorHAnsi"/>
          <w:spacing w:val="30"/>
          <w:sz w:val="20"/>
          <w:szCs w:val="20"/>
          <w:lang w:val="uk-UA"/>
        </w:rPr>
        <w:t xml:space="preserve"> </w:t>
      </w:r>
      <w:r w:rsidRPr="004D2D14">
        <w:rPr>
          <w:rFonts w:asciiTheme="majorHAnsi" w:hAnsiTheme="majorHAnsi"/>
          <w:sz w:val="20"/>
          <w:szCs w:val="20"/>
          <w:lang w:val="uk-UA"/>
        </w:rPr>
        <w:t>розглядати</w:t>
      </w:r>
      <w:r w:rsidRPr="004D2D14">
        <w:rPr>
          <w:rFonts w:asciiTheme="majorHAnsi" w:hAnsiTheme="majorHAnsi"/>
          <w:spacing w:val="28"/>
          <w:sz w:val="20"/>
          <w:szCs w:val="20"/>
          <w:lang w:val="uk-UA"/>
        </w:rPr>
        <w:t xml:space="preserve"> </w:t>
      </w:r>
      <w:r w:rsidRPr="004D2D14">
        <w:rPr>
          <w:rFonts w:asciiTheme="majorHAnsi" w:hAnsiTheme="majorHAnsi"/>
          <w:sz w:val="20"/>
          <w:szCs w:val="20"/>
          <w:lang w:val="uk-UA"/>
        </w:rPr>
        <w:t>справи</w:t>
      </w:r>
      <w:r w:rsidRPr="004D2D14">
        <w:rPr>
          <w:rFonts w:asciiTheme="majorHAnsi" w:hAnsiTheme="majorHAnsi"/>
          <w:spacing w:val="31"/>
          <w:sz w:val="20"/>
          <w:szCs w:val="20"/>
          <w:lang w:val="uk-UA"/>
        </w:rPr>
        <w:t xml:space="preserve"> </w:t>
      </w:r>
      <w:r w:rsidRPr="004D2D14">
        <w:rPr>
          <w:rFonts w:asciiTheme="majorHAnsi" w:hAnsiTheme="majorHAnsi"/>
          <w:sz w:val="20"/>
          <w:szCs w:val="20"/>
          <w:lang w:val="uk-UA"/>
        </w:rPr>
        <w:t>про</w:t>
      </w:r>
      <w:r w:rsidRPr="004D2D14">
        <w:rPr>
          <w:rFonts w:asciiTheme="majorHAnsi" w:hAnsiTheme="majorHAnsi"/>
          <w:spacing w:val="34"/>
          <w:sz w:val="20"/>
          <w:szCs w:val="20"/>
          <w:lang w:val="uk-UA"/>
        </w:rPr>
        <w:t xml:space="preserve"> </w:t>
      </w:r>
      <w:r w:rsidRPr="004D2D14">
        <w:rPr>
          <w:rFonts w:asciiTheme="majorHAnsi" w:hAnsiTheme="majorHAnsi"/>
          <w:sz w:val="20"/>
          <w:szCs w:val="20"/>
          <w:lang w:val="uk-UA"/>
        </w:rPr>
        <w:t>адміністративні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правопорушення</w:t>
      </w:r>
      <w:r w:rsidRPr="004D2D14">
        <w:rPr>
          <w:rFonts w:asciiTheme="majorHAnsi" w:hAnsiTheme="majorHAnsi"/>
          <w:spacing w:val="6"/>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накладати</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адміністративні</w:t>
      </w:r>
      <w:r w:rsidRPr="004D2D14">
        <w:rPr>
          <w:rFonts w:asciiTheme="majorHAnsi" w:hAnsiTheme="majorHAnsi"/>
          <w:spacing w:val="7"/>
          <w:sz w:val="20"/>
          <w:szCs w:val="20"/>
          <w:lang w:val="uk-UA"/>
        </w:rPr>
        <w:t xml:space="preserve"> </w:t>
      </w:r>
      <w:r w:rsidRPr="004D2D14">
        <w:rPr>
          <w:rFonts w:asciiTheme="majorHAnsi" w:hAnsiTheme="majorHAnsi"/>
          <w:sz w:val="20"/>
          <w:szCs w:val="20"/>
          <w:lang w:val="uk-UA"/>
        </w:rPr>
        <w:t>стягнення</w:t>
      </w:r>
      <w:r w:rsidRPr="004D2D14">
        <w:rPr>
          <w:rFonts w:asciiTheme="majorHAnsi" w:hAnsiTheme="majorHAnsi"/>
          <w:spacing w:val="30"/>
          <w:sz w:val="20"/>
          <w:szCs w:val="20"/>
          <w:lang w:val="uk-UA"/>
        </w:rPr>
        <w:t xml:space="preserve"> </w:t>
      </w:r>
      <w:r w:rsidRPr="004D2D14">
        <w:rPr>
          <w:rFonts w:asciiTheme="majorHAnsi" w:hAnsiTheme="majorHAnsi"/>
          <w:sz w:val="20"/>
          <w:szCs w:val="20"/>
          <w:lang w:val="uk-UA"/>
        </w:rPr>
        <w:t>мають</w:t>
      </w:r>
      <w:r w:rsidRPr="004D2D14">
        <w:rPr>
          <w:rFonts w:asciiTheme="majorHAnsi" w:hAnsiTheme="majorHAnsi"/>
          <w:spacing w:val="30"/>
          <w:sz w:val="20"/>
          <w:szCs w:val="20"/>
          <w:lang w:val="uk-UA"/>
        </w:rPr>
        <w:t xml:space="preserve"> </w:t>
      </w:r>
      <w:r w:rsidRPr="004D2D14">
        <w:rPr>
          <w:rFonts w:asciiTheme="majorHAnsi" w:hAnsiTheme="majorHAnsi"/>
          <w:sz w:val="20"/>
          <w:szCs w:val="20"/>
          <w:lang w:val="uk-UA"/>
        </w:rPr>
        <w:t>право</w:t>
      </w:r>
      <w:r w:rsidRPr="004D2D14">
        <w:rPr>
          <w:rFonts w:asciiTheme="majorHAnsi" w:hAnsiTheme="majorHAnsi"/>
          <w:spacing w:val="32"/>
          <w:sz w:val="20"/>
          <w:szCs w:val="20"/>
          <w:lang w:val="uk-UA"/>
        </w:rPr>
        <w:t xml:space="preserve"> </w:t>
      </w:r>
      <w:r w:rsidRPr="004D2D14">
        <w:rPr>
          <w:rFonts w:asciiTheme="majorHAnsi" w:hAnsiTheme="majorHAnsi"/>
          <w:sz w:val="20"/>
          <w:szCs w:val="20"/>
          <w:lang w:val="uk-UA"/>
        </w:rPr>
        <w:t>керівник</w:t>
      </w:r>
      <w:r w:rsidRPr="004D2D14">
        <w:rPr>
          <w:rFonts w:asciiTheme="majorHAnsi" w:hAnsiTheme="majorHAnsi"/>
          <w:spacing w:val="30"/>
          <w:sz w:val="20"/>
          <w:szCs w:val="20"/>
          <w:lang w:val="uk-UA"/>
        </w:rPr>
        <w:t xml:space="preserve"> </w:t>
      </w:r>
      <w:r w:rsidRPr="004D2D14">
        <w:rPr>
          <w:rFonts w:asciiTheme="majorHAnsi" w:hAnsiTheme="majorHAnsi"/>
          <w:sz w:val="20"/>
          <w:szCs w:val="20"/>
          <w:lang w:val="uk-UA"/>
        </w:rPr>
        <w:t>центрального</w:t>
      </w:r>
      <w:r w:rsidRPr="004D2D14">
        <w:rPr>
          <w:rFonts w:asciiTheme="majorHAnsi" w:hAnsiTheme="majorHAnsi"/>
          <w:spacing w:val="32"/>
          <w:sz w:val="20"/>
          <w:szCs w:val="20"/>
          <w:lang w:val="uk-UA"/>
        </w:rPr>
        <w:t xml:space="preserve"> </w:t>
      </w:r>
      <w:r w:rsidRPr="004D2D14">
        <w:rPr>
          <w:rFonts w:asciiTheme="majorHAnsi" w:hAnsiTheme="majorHAnsi"/>
          <w:sz w:val="20"/>
          <w:szCs w:val="20"/>
          <w:lang w:val="uk-UA"/>
        </w:rPr>
        <w:t>органу</w:t>
      </w:r>
      <w:r w:rsidRPr="004D2D14">
        <w:rPr>
          <w:rFonts w:asciiTheme="majorHAnsi" w:hAnsiTheme="majorHAnsi"/>
          <w:spacing w:val="27"/>
          <w:sz w:val="20"/>
          <w:szCs w:val="20"/>
          <w:lang w:val="uk-UA"/>
        </w:rPr>
        <w:t xml:space="preserve"> </w:t>
      </w:r>
      <w:r w:rsidRPr="004D2D14">
        <w:rPr>
          <w:rFonts w:asciiTheme="majorHAnsi" w:hAnsiTheme="majorHAnsi"/>
          <w:sz w:val="20"/>
          <w:szCs w:val="20"/>
          <w:lang w:val="uk-UA"/>
        </w:rPr>
        <w:t>виконавчої</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влади,</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реалізує</w:t>
      </w:r>
      <w:r w:rsidRPr="004D2D14">
        <w:rPr>
          <w:rFonts w:asciiTheme="majorHAnsi" w:hAnsiTheme="majorHAnsi"/>
          <w:spacing w:val="21"/>
          <w:sz w:val="20"/>
          <w:szCs w:val="20"/>
          <w:lang w:val="uk-UA"/>
        </w:rPr>
        <w:t xml:space="preserve"> </w:t>
      </w:r>
      <w:r w:rsidRPr="004D2D14">
        <w:rPr>
          <w:rFonts w:asciiTheme="majorHAnsi" w:hAnsiTheme="majorHAnsi"/>
          <w:sz w:val="20"/>
          <w:szCs w:val="20"/>
          <w:lang w:val="uk-UA"/>
        </w:rPr>
        <w:t>державну</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політику</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у</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сфері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стандартизації,</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метрології</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та</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метрологічної</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діяльності</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і</w:t>
      </w:r>
      <w:r w:rsidRPr="004D2D14">
        <w:rPr>
          <w:rFonts w:asciiTheme="majorHAnsi" w:hAnsiTheme="majorHAnsi"/>
          <w:spacing w:val="34"/>
          <w:sz w:val="20"/>
          <w:szCs w:val="20"/>
          <w:lang w:val="uk-UA"/>
        </w:rPr>
        <w:t xml:space="preserve"> </w:t>
      </w:r>
      <w:r w:rsidRPr="004D2D14">
        <w:rPr>
          <w:rFonts w:asciiTheme="majorHAnsi" w:hAnsiTheme="majorHAnsi"/>
          <w:sz w:val="20"/>
          <w:szCs w:val="20"/>
          <w:lang w:val="uk-UA"/>
        </w:rPr>
        <w:t>технічного</w:t>
      </w:r>
      <w:r w:rsidRPr="004D2D14">
        <w:rPr>
          <w:rFonts w:asciiTheme="majorHAnsi" w:hAnsiTheme="majorHAnsi"/>
          <w:spacing w:val="35"/>
          <w:sz w:val="20"/>
          <w:szCs w:val="20"/>
          <w:lang w:val="uk-UA"/>
        </w:rPr>
        <w:t xml:space="preserve"> </w:t>
      </w:r>
      <w:r w:rsidRPr="004D2D14">
        <w:rPr>
          <w:rFonts w:asciiTheme="majorHAnsi" w:hAnsiTheme="majorHAnsi"/>
          <w:sz w:val="20"/>
          <w:szCs w:val="20"/>
          <w:lang w:val="uk-UA"/>
        </w:rPr>
        <w:t>регулювання,</w:t>
      </w:r>
      <w:r w:rsidRPr="004D2D14">
        <w:rPr>
          <w:rFonts w:asciiTheme="majorHAnsi" w:hAnsiTheme="majorHAnsi"/>
          <w:spacing w:val="34"/>
          <w:sz w:val="20"/>
          <w:szCs w:val="20"/>
          <w:lang w:val="uk-UA"/>
        </w:rPr>
        <w:t xml:space="preserve"> </w:t>
      </w:r>
      <w:r w:rsidRPr="004D2D14">
        <w:rPr>
          <w:rFonts w:asciiTheme="majorHAnsi" w:hAnsiTheme="majorHAnsi"/>
          <w:sz w:val="20"/>
          <w:szCs w:val="20"/>
          <w:lang w:val="uk-UA"/>
        </w:rPr>
        <w:t>його</w:t>
      </w:r>
      <w:r w:rsidRPr="004D2D14">
        <w:rPr>
          <w:rFonts w:asciiTheme="majorHAnsi" w:hAnsiTheme="majorHAnsi"/>
          <w:spacing w:val="35"/>
          <w:sz w:val="20"/>
          <w:szCs w:val="20"/>
          <w:lang w:val="uk-UA"/>
        </w:rPr>
        <w:t xml:space="preserve"> </w:t>
      </w:r>
      <w:r w:rsidRPr="004D2D14">
        <w:rPr>
          <w:rFonts w:asciiTheme="majorHAnsi" w:hAnsiTheme="majorHAnsi"/>
          <w:sz w:val="20"/>
          <w:szCs w:val="20"/>
          <w:lang w:val="uk-UA"/>
        </w:rPr>
        <w:t>заступники,</w:t>
      </w:r>
      <w:r w:rsidRPr="004D2D14">
        <w:rPr>
          <w:rFonts w:asciiTheme="majorHAnsi" w:hAnsiTheme="majorHAnsi"/>
          <w:spacing w:val="35"/>
          <w:sz w:val="20"/>
          <w:szCs w:val="20"/>
          <w:lang w:val="uk-UA"/>
        </w:rPr>
        <w:t xml:space="preserve"> </w:t>
      </w:r>
      <w:r w:rsidRPr="004D2D14">
        <w:rPr>
          <w:rFonts w:asciiTheme="majorHAnsi" w:hAnsiTheme="majorHAnsi"/>
          <w:sz w:val="20"/>
          <w:szCs w:val="20"/>
          <w:lang w:val="uk-UA"/>
        </w:rPr>
        <w:t>а</w:t>
      </w:r>
      <w:r w:rsidRPr="004D2D14">
        <w:rPr>
          <w:rFonts w:asciiTheme="majorHAnsi" w:hAnsiTheme="majorHAnsi"/>
          <w:spacing w:val="35"/>
          <w:sz w:val="20"/>
          <w:szCs w:val="20"/>
          <w:lang w:val="uk-UA"/>
        </w:rPr>
        <w:t xml:space="preserve"> </w:t>
      </w:r>
      <w:r w:rsidRPr="004D2D14">
        <w:rPr>
          <w:rFonts w:asciiTheme="majorHAnsi" w:hAnsiTheme="majorHAnsi"/>
          <w:sz w:val="20"/>
          <w:szCs w:val="20"/>
          <w:lang w:val="uk-UA"/>
        </w:rPr>
        <w:t>також інші уповноважені керівником посадові особи цього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органу.</w:t>
      </w:r>
    </w:p>
    <w:p w14:paraId="7810C80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 244-7 Кодексу України про адміністративні порушення</w:t>
      </w:r>
    </w:p>
    <w:p w14:paraId="36D7BAE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ЦЕКУВАННЯ</w:t>
      </w:r>
      <w:r w:rsidRPr="000977F7">
        <w:rPr>
          <w:color w:val="auto"/>
          <w:spacing w:val="9"/>
          <w:sz w:val="20"/>
          <w:szCs w:val="20"/>
        </w:rPr>
        <w:t xml:space="preserve"> </w:t>
      </w:r>
      <w:r w:rsidRPr="000977F7">
        <w:rPr>
          <w:color w:val="auto"/>
          <w:sz w:val="20"/>
          <w:szCs w:val="20"/>
        </w:rPr>
        <w:t>–</w:t>
      </w:r>
    </w:p>
    <w:p w14:paraId="0D2AB0B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Процес утворення циліндричного поглиблення в заготовці</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необробленою</w:t>
      </w:r>
      <w:r w:rsidRPr="000977F7">
        <w:rPr>
          <w:rFonts w:asciiTheme="majorHAnsi" w:hAnsiTheme="majorHAnsi"/>
          <w:spacing w:val="1"/>
          <w:sz w:val="20"/>
          <w:szCs w:val="20"/>
        </w:rPr>
        <w:t xml:space="preserve"> </w:t>
      </w:r>
      <w:r w:rsidRPr="000977F7">
        <w:rPr>
          <w:rFonts w:asciiTheme="majorHAnsi" w:hAnsiTheme="majorHAnsi"/>
          <w:sz w:val="20"/>
          <w:szCs w:val="20"/>
        </w:rPr>
        <w:t>поверхнею,</w:t>
      </w:r>
      <w:r w:rsidRPr="000977F7">
        <w:rPr>
          <w:rFonts w:asciiTheme="majorHAnsi" w:hAnsiTheme="majorHAnsi"/>
          <w:spacing w:val="1"/>
          <w:sz w:val="20"/>
          <w:szCs w:val="20"/>
        </w:rPr>
        <w:t xml:space="preserve"> </w:t>
      </w:r>
      <w:r w:rsidRPr="000977F7">
        <w:rPr>
          <w:rFonts w:asciiTheme="majorHAnsi" w:hAnsiTheme="majorHAnsi"/>
          <w:sz w:val="20"/>
          <w:szCs w:val="20"/>
        </w:rPr>
        <w:t>розташованого</w:t>
      </w:r>
      <w:r w:rsidRPr="000977F7">
        <w:rPr>
          <w:rFonts w:asciiTheme="majorHAnsi" w:hAnsiTheme="majorHAnsi"/>
          <w:spacing w:val="1"/>
          <w:sz w:val="20"/>
          <w:szCs w:val="20"/>
        </w:rPr>
        <w:t xml:space="preserve"> </w:t>
      </w:r>
      <w:r w:rsidRPr="000977F7">
        <w:rPr>
          <w:rFonts w:asciiTheme="majorHAnsi" w:hAnsiTheme="majorHAnsi"/>
          <w:sz w:val="20"/>
          <w:szCs w:val="20"/>
        </w:rPr>
        <w:t>перпендикулярно</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вісі</w:t>
      </w:r>
      <w:r w:rsidRPr="000977F7">
        <w:rPr>
          <w:rFonts w:asciiTheme="majorHAnsi" w:hAnsiTheme="majorHAnsi"/>
          <w:spacing w:val="1"/>
          <w:sz w:val="20"/>
          <w:szCs w:val="20"/>
        </w:rPr>
        <w:t xml:space="preserve"> </w:t>
      </w:r>
      <w:r w:rsidRPr="000977F7">
        <w:rPr>
          <w:rFonts w:asciiTheme="majorHAnsi" w:hAnsiTheme="majorHAnsi"/>
          <w:sz w:val="20"/>
          <w:szCs w:val="20"/>
        </w:rPr>
        <w:t>отвору,</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метою</w:t>
      </w:r>
      <w:r w:rsidRPr="000977F7">
        <w:rPr>
          <w:rFonts w:asciiTheme="majorHAnsi" w:hAnsiTheme="majorHAnsi"/>
          <w:spacing w:val="1"/>
          <w:sz w:val="20"/>
          <w:szCs w:val="20"/>
        </w:rPr>
        <w:t xml:space="preserve"> </w:t>
      </w:r>
      <w:r w:rsidRPr="000977F7">
        <w:rPr>
          <w:rFonts w:asciiTheme="majorHAnsi" w:hAnsiTheme="majorHAnsi"/>
          <w:sz w:val="20"/>
          <w:szCs w:val="20"/>
        </w:rPr>
        <w:t>забезпечення</w:t>
      </w:r>
      <w:r w:rsidRPr="000977F7">
        <w:rPr>
          <w:rFonts w:asciiTheme="majorHAnsi" w:hAnsiTheme="majorHAnsi"/>
          <w:spacing w:val="1"/>
          <w:sz w:val="20"/>
          <w:szCs w:val="20"/>
        </w:rPr>
        <w:t xml:space="preserve"> </w:t>
      </w:r>
      <w:r w:rsidRPr="000977F7">
        <w:rPr>
          <w:rFonts w:asciiTheme="majorHAnsi" w:hAnsiTheme="majorHAnsi"/>
          <w:sz w:val="20"/>
          <w:szCs w:val="20"/>
        </w:rPr>
        <w:t>прилягання</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деталі</w:t>
      </w:r>
      <w:r w:rsidRPr="000977F7">
        <w:rPr>
          <w:rFonts w:asciiTheme="majorHAnsi" w:hAnsiTheme="majorHAnsi"/>
          <w:spacing w:val="1"/>
          <w:sz w:val="20"/>
          <w:szCs w:val="20"/>
        </w:rPr>
        <w:t xml:space="preserve"> </w:t>
      </w:r>
      <w:r w:rsidRPr="000977F7">
        <w:rPr>
          <w:rFonts w:asciiTheme="majorHAnsi" w:hAnsiTheme="majorHAnsi"/>
          <w:sz w:val="20"/>
          <w:szCs w:val="20"/>
        </w:rPr>
        <w:t>торця</w:t>
      </w:r>
      <w:r w:rsidRPr="000977F7">
        <w:rPr>
          <w:rFonts w:asciiTheme="majorHAnsi" w:hAnsiTheme="majorHAnsi"/>
          <w:spacing w:val="1"/>
          <w:sz w:val="20"/>
          <w:szCs w:val="20"/>
        </w:rPr>
        <w:t xml:space="preserve"> </w:t>
      </w:r>
      <w:r w:rsidRPr="000977F7">
        <w:rPr>
          <w:rFonts w:asciiTheme="majorHAnsi" w:hAnsiTheme="majorHAnsi"/>
          <w:sz w:val="20"/>
          <w:szCs w:val="20"/>
        </w:rPr>
        <w:t>головки</w:t>
      </w:r>
      <w:r w:rsidRPr="000977F7">
        <w:rPr>
          <w:rFonts w:asciiTheme="majorHAnsi" w:hAnsiTheme="majorHAnsi"/>
          <w:spacing w:val="1"/>
          <w:sz w:val="20"/>
          <w:szCs w:val="20"/>
        </w:rPr>
        <w:t xml:space="preserve"> </w:t>
      </w:r>
      <w:r w:rsidRPr="000977F7">
        <w:rPr>
          <w:rFonts w:asciiTheme="majorHAnsi" w:hAnsiTheme="majorHAnsi"/>
          <w:sz w:val="20"/>
          <w:szCs w:val="20"/>
        </w:rPr>
        <w:t>гвинта,</w:t>
      </w:r>
      <w:r w:rsidRPr="000977F7">
        <w:rPr>
          <w:rFonts w:asciiTheme="majorHAnsi" w:hAnsiTheme="majorHAnsi"/>
          <w:spacing w:val="1"/>
          <w:sz w:val="20"/>
          <w:szCs w:val="20"/>
        </w:rPr>
        <w:t xml:space="preserve"> </w:t>
      </w:r>
      <w:r w:rsidRPr="000977F7">
        <w:rPr>
          <w:rFonts w:asciiTheme="majorHAnsi" w:hAnsiTheme="majorHAnsi"/>
          <w:sz w:val="20"/>
          <w:szCs w:val="20"/>
        </w:rPr>
        <w:t>гайки,</w:t>
      </w:r>
      <w:r w:rsidRPr="000977F7">
        <w:rPr>
          <w:rFonts w:asciiTheme="majorHAnsi" w:hAnsiTheme="majorHAnsi"/>
          <w:spacing w:val="5"/>
          <w:sz w:val="20"/>
          <w:szCs w:val="20"/>
        </w:rPr>
        <w:t xml:space="preserve"> </w:t>
      </w:r>
      <w:r w:rsidRPr="000977F7">
        <w:rPr>
          <w:rFonts w:asciiTheme="majorHAnsi" w:hAnsiTheme="majorHAnsi"/>
          <w:sz w:val="20"/>
          <w:szCs w:val="20"/>
        </w:rPr>
        <w:t>шайби</w:t>
      </w:r>
      <w:r w:rsidRPr="000977F7">
        <w:rPr>
          <w:rFonts w:asciiTheme="majorHAnsi" w:hAnsiTheme="majorHAnsi"/>
          <w:spacing w:val="3"/>
          <w:sz w:val="20"/>
          <w:szCs w:val="20"/>
        </w:rPr>
        <w:t xml:space="preserve"> </w:t>
      </w:r>
      <w:r w:rsidRPr="000977F7">
        <w:rPr>
          <w:rFonts w:asciiTheme="majorHAnsi" w:hAnsiTheme="majorHAnsi"/>
          <w:sz w:val="20"/>
          <w:szCs w:val="20"/>
        </w:rPr>
        <w:t>і</w:t>
      </w:r>
      <w:r w:rsidRPr="000977F7">
        <w:rPr>
          <w:rFonts w:asciiTheme="majorHAnsi" w:hAnsiTheme="majorHAnsi"/>
          <w:spacing w:val="4"/>
          <w:sz w:val="20"/>
          <w:szCs w:val="20"/>
        </w:rPr>
        <w:t xml:space="preserve"> </w:t>
      </w:r>
      <w:r w:rsidRPr="000977F7">
        <w:rPr>
          <w:rFonts w:asciiTheme="majorHAnsi" w:hAnsiTheme="majorHAnsi"/>
          <w:sz w:val="20"/>
          <w:szCs w:val="20"/>
        </w:rPr>
        <w:t>т.п.</w:t>
      </w:r>
    </w:p>
    <w:p w14:paraId="39C9890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ЦЕНТРАЛІЗОВАНА</w:t>
      </w:r>
      <w:r w:rsidRPr="000977F7">
        <w:rPr>
          <w:color w:val="auto"/>
          <w:spacing w:val="10"/>
          <w:sz w:val="20"/>
          <w:szCs w:val="20"/>
        </w:rPr>
        <w:t xml:space="preserve"> </w:t>
      </w:r>
      <w:r w:rsidRPr="000977F7">
        <w:rPr>
          <w:color w:val="auto"/>
          <w:sz w:val="20"/>
          <w:szCs w:val="20"/>
        </w:rPr>
        <w:t>ФОРМА</w:t>
      </w:r>
      <w:r w:rsidRPr="000977F7">
        <w:rPr>
          <w:color w:val="auto"/>
          <w:spacing w:val="10"/>
          <w:sz w:val="20"/>
          <w:szCs w:val="20"/>
        </w:rPr>
        <w:t xml:space="preserve"> </w:t>
      </w:r>
      <w:r w:rsidRPr="000977F7">
        <w:rPr>
          <w:color w:val="auto"/>
          <w:sz w:val="20"/>
          <w:szCs w:val="20"/>
        </w:rPr>
        <w:t>РЕМОНТУ</w:t>
      </w:r>
      <w:r w:rsidRPr="000977F7">
        <w:rPr>
          <w:color w:val="auto"/>
          <w:spacing w:val="19"/>
          <w:sz w:val="20"/>
          <w:szCs w:val="20"/>
        </w:rPr>
        <w:t xml:space="preserve"> </w:t>
      </w:r>
      <w:r w:rsidRPr="000977F7">
        <w:rPr>
          <w:color w:val="auto"/>
          <w:sz w:val="20"/>
          <w:szCs w:val="20"/>
        </w:rPr>
        <w:t>–</w:t>
      </w:r>
    </w:p>
    <w:p w14:paraId="039A049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Організація ремонту, за якої всі матеріально</w:t>
      </w:r>
      <w:r w:rsidRPr="000977F7">
        <w:rPr>
          <w:rFonts w:asciiTheme="majorHAnsi" w:hAnsiTheme="majorHAnsi"/>
          <w:spacing w:val="1"/>
          <w:sz w:val="20"/>
          <w:szCs w:val="20"/>
        </w:rPr>
        <w:t xml:space="preserve"> </w:t>
      </w:r>
      <w:r w:rsidRPr="000977F7">
        <w:rPr>
          <w:rFonts w:asciiTheme="majorHAnsi" w:hAnsiTheme="majorHAnsi"/>
          <w:sz w:val="20"/>
          <w:szCs w:val="20"/>
        </w:rPr>
        <w:t>– технологічні</w:t>
      </w:r>
      <w:r w:rsidRPr="000977F7">
        <w:rPr>
          <w:rFonts w:asciiTheme="majorHAnsi" w:hAnsiTheme="majorHAnsi"/>
          <w:spacing w:val="1"/>
          <w:sz w:val="20"/>
          <w:szCs w:val="20"/>
        </w:rPr>
        <w:t xml:space="preserve"> </w:t>
      </w:r>
      <w:r w:rsidRPr="000977F7">
        <w:rPr>
          <w:rFonts w:asciiTheme="majorHAnsi" w:hAnsiTheme="majorHAnsi"/>
          <w:sz w:val="20"/>
          <w:szCs w:val="20"/>
        </w:rPr>
        <w:t>ремонтні</w:t>
      </w:r>
      <w:r w:rsidRPr="000977F7">
        <w:rPr>
          <w:rFonts w:asciiTheme="majorHAnsi" w:hAnsiTheme="majorHAnsi"/>
          <w:spacing w:val="50"/>
          <w:sz w:val="20"/>
          <w:szCs w:val="20"/>
        </w:rPr>
        <w:t xml:space="preserve"> </w:t>
      </w:r>
      <w:r w:rsidRPr="000977F7">
        <w:rPr>
          <w:rFonts w:asciiTheme="majorHAnsi" w:hAnsiTheme="majorHAnsi"/>
          <w:sz w:val="20"/>
          <w:szCs w:val="20"/>
        </w:rPr>
        <w:t>засоби та</w:t>
      </w:r>
      <w:r w:rsidRPr="000977F7">
        <w:rPr>
          <w:rFonts w:asciiTheme="majorHAnsi" w:hAnsiTheme="majorHAnsi"/>
          <w:spacing w:val="50"/>
          <w:sz w:val="20"/>
          <w:szCs w:val="20"/>
        </w:rPr>
        <w:t xml:space="preserve"> </w:t>
      </w:r>
      <w:r w:rsidRPr="000977F7">
        <w:rPr>
          <w:rFonts w:asciiTheme="majorHAnsi" w:hAnsiTheme="majorHAnsi"/>
          <w:sz w:val="20"/>
          <w:szCs w:val="20"/>
        </w:rPr>
        <w:t>виконавці</w:t>
      </w:r>
      <w:r w:rsidRPr="000977F7">
        <w:rPr>
          <w:rFonts w:asciiTheme="majorHAnsi" w:hAnsiTheme="majorHAnsi"/>
          <w:spacing w:val="50"/>
          <w:sz w:val="20"/>
          <w:szCs w:val="20"/>
        </w:rPr>
        <w:t xml:space="preserve"> </w:t>
      </w:r>
      <w:r w:rsidRPr="000977F7">
        <w:rPr>
          <w:rFonts w:asciiTheme="majorHAnsi" w:hAnsiTheme="majorHAnsi"/>
          <w:sz w:val="20"/>
          <w:szCs w:val="20"/>
        </w:rPr>
        <w:t>зосереджені</w:t>
      </w:r>
      <w:r w:rsidRPr="000977F7">
        <w:rPr>
          <w:rFonts w:asciiTheme="majorHAnsi" w:hAnsiTheme="majorHAnsi"/>
          <w:spacing w:val="-47"/>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спеціалізованих</w:t>
      </w:r>
      <w:r w:rsidRPr="000977F7">
        <w:rPr>
          <w:rFonts w:asciiTheme="majorHAnsi" w:hAnsiTheme="majorHAnsi"/>
          <w:spacing w:val="4"/>
          <w:sz w:val="20"/>
          <w:szCs w:val="20"/>
        </w:rPr>
        <w:t xml:space="preserve"> </w:t>
      </w:r>
      <w:r w:rsidRPr="000977F7">
        <w:rPr>
          <w:rFonts w:asciiTheme="majorHAnsi" w:hAnsiTheme="majorHAnsi"/>
          <w:sz w:val="20"/>
          <w:szCs w:val="20"/>
        </w:rPr>
        <w:t>підрозділах</w:t>
      </w:r>
    </w:p>
    <w:p w14:paraId="46AF002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3"/>
          <w:sz w:val="20"/>
          <w:szCs w:val="20"/>
        </w:rPr>
        <w:t xml:space="preserve"> </w:t>
      </w:r>
      <w:r w:rsidRPr="000977F7">
        <w:rPr>
          <w:rFonts w:asciiTheme="majorHAnsi" w:hAnsiTheme="majorHAnsi"/>
          <w:sz w:val="20"/>
          <w:szCs w:val="20"/>
        </w:rPr>
        <w:t>р</w:t>
      </w:r>
      <w:r w:rsidRPr="000977F7">
        <w:rPr>
          <w:rFonts w:asciiTheme="majorHAnsi" w:hAnsiTheme="majorHAnsi"/>
          <w:spacing w:val="5"/>
          <w:sz w:val="20"/>
          <w:szCs w:val="20"/>
        </w:rPr>
        <w:t xml:space="preserve"> </w:t>
      </w:r>
      <w:r w:rsidRPr="000977F7">
        <w:rPr>
          <w:rFonts w:asciiTheme="majorHAnsi" w:hAnsiTheme="majorHAnsi"/>
          <w:sz w:val="20"/>
          <w:szCs w:val="20"/>
        </w:rPr>
        <w:t>и</w:t>
      </w:r>
      <w:r w:rsidRPr="000977F7">
        <w:rPr>
          <w:rFonts w:asciiTheme="majorHAnsi" w:hAnsiTheme="majorHAnsi"/>
          <w:spacing w:val="3"/>
          <w:sz w:val="20"/>
          <w:szCs w:val="20"/>
        </w:rPr>
        <w:t xml:space="preserve"> </w:t>
      </w:r>
      <w:r w:rsidRPr="000977F7">
        <w:rPr>
          <w:rFonts w:asciiTheme="majorHAnsi" w:hAnsiTheme="majorHAnsi"/>
          <w:sz w:val="20"/>
          <w:szCs w:val="20"/>
        </w:rPr>
        <w:t>м</w:t>
      </w:r>
      <w:r w:rsidRPr="000977F7">
        <w:rPr>
          <w:rFonts w:asciiTheme="majorHAnsi" w:hAnsiTheme="majorHAnsi"/>
          <w:spacing w:val="3"/>
          <w:sz w:val="20"/>
          <w:szCs w:val="20"/>
        </w:rPr>
        <w:t xml:space="preserve"> </w:t>
      </w:r>
      <w:r w:rsidRPr="000977F7">
        <w:rPr>
          <w:rFonts w:asciiTheme="majorHAnsi" w:hAnsiTheme="majorHAnsi"/>
          <w:sz w:val="20"/>
          <w:szCs w:val="20"/>
        </w:rPr>
        <w:t>і</w:t>
      </w:r>
      <w:r w:rsidRPr="000977F7">
        <w:rPr>
          <w:rFonts w:asciiTheme="majorHAnsi" w:hAnsiTheme="majorHAnsi"/>
          <w:spacing w:val="4"/>
          <w:sz w:val="20"/>
          <w:szCs w:val="20"/>
        </w:rPr>
        <w:t xml:space="preserve"> </w:t>
      </w:r>
      <w:r w:rsidRPr="000977F7">
        <w:rPr>
          <w:rFonts w:asciiTheme="majorHAnsi" w:hAnsiTheme="majorHAnsi"/>
          <w:sz w:val="20"/>
          <w:szCs w:val="20"/>
        </w:rPr>
        <w:t>т</w:t>
      </w:r>
      <w:r w:rsidRPr="000977F7">
        <w:rPr>
          <w:rFonts w:asciiTheme="majorHAnsi" w:hAnsiTheme="majorHAnsi"/>
          <w:spacing w:val="3"/>
          <w:sz w:val="20"/>
          <w:szCs w:val="20"/>
        </w:rPr>
        <w:t xml:space="preserve"> </w:t>
      </w:r>
      <w:r w:rsidRPr="000977F7">
        <w:rPr>
          <w:rFonts w:asciiTheme="majorHAnsi" w:hAnsiTheme="majorHAnsi"/>
          <w:sz w:val="20"/>
          <w:szCs w:val="20"/>
        </w:rPr>
        <w:t>к</w:t>
      </w:r>
      <w:r w:rsidRPr="000977F7">
        <w:rPr>
          <w:rFonts w:asciiTheme="majorHAnsi" w:hAnsiTheme="majorHAnsi"/>
          <w:spacing w:val="4"/>
          <w:sz w:val="20"/>
          <w:szCs w:val="20"/>
        </w:rPr>
        <w:t xml:space="preserve"> </w:t>
      </w:r>
      <w:r w:rsidRPr="000977F7">
        <w:rPr>
          <w:rFonts w:asciiTheme="majorHAnsi" w:hAnsiTheme="majorHAnsi"/>
          <w:sz w:val="20"/>
          <w:szCs w:val="20"/>
        </w:rPr>
        <w:t>а:</w:t>
      </w:r>
    </w:p>
    <w:p w14:paraId="42A5B63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Централізація</w:t>
      </w:r>
      <w:r w:rsidRPr="000977F7">
        <w:rPr>
          <w:rFonts w:asciiTheme="majorHAnsi" w:hAnsiTheme="majorHAnsi"/>
          <w:spacing w:val="11"/>
          <w:sz w:val="20"/>
          <w:szCs w:val="20"/>
        </w:rPr>
        <w:t xml:space="preserve"> </w:t>
      </w:r>
      <w:r w:rsidRPr="000977F7">
        <w:rPr>
          <w:rFonts w:asciiTheme="majorHAnsi" w:hAnsiTheme="majorHAnsi"/>
          <w:sz w:val="20"/>
          <w:szCs w:val="20"/>
        </w:rPr>
        <w:t>може</w:t>
      </w:r>
      <w:r w:rsidRPr="000977F7">
        <w:rPr>
          <w:rFonts w:asciiTheme="majorHAnsi" w:hAnsiTheme="majorHAnsi"/>
          <w:spacing w:val="13"/>
          <w:sz w:val="20"/>
          <w:szCs w:val="20"/>
        </w:rPr>
        <w:t xml:space="preserve"> </w:t>
      </w:r>
      <w:r w:rsidRPr="000977F7">
        <w:rPr>
          <w:rFonts w:asciiTheme="majorHAnsi" w:hAnsiTheme="majorHAnsi"/>
          <w:sz w:val="20"/>
          <w:szCs w:val="20"/>
        </w:rPr>
        <w:t>бути</w:t>
      </w:r>
      <w:r w:rsidRPr="000977F7">
        <w:rPr>
          <w:rFonts w:asciiTheme="majorHAnsi" w:hAnsiTheme="majorHAnsi"/>
          <w:spacing w:val="10"/>
          <w:sz w:val="20"/>
          <w:szCs w:val="20"/>
        </w:rPr>
        <w:t xml:space="preserve"> </w:t>
      </w:r>
      <w:r w:rsidRPr="000977F7">
        <w:rPr>
          <w:rFonts w:asciiTheme="majorHAnsi" w:hAnsiTheme="majorHAnsi"/>
          <w:sz w:val="20"/>
          <w:szCs w:val="20"/>
        </w:rPr>
        <w:t>позаводська</w:t>
      </w:r>
      <w:r w:rsidRPr="000977F7">
        <w:rPr>
          <w:rFonts w:asciiTheme="majorHAnsi" w:hAnsiTheme="majorHAnsi"/>
          <w:spacing w:val="13"/>
          <w:sz w:val="20"/>
          <w:szCs w:val="20"/>
        </w:rPr>
        <w:t xml:space="preserve"> </w:t>
      </w:r>
      <w:r w:rsidRPr="000977F7">
        <w:rPr>
          <w:rFonts w:asciiTheme="majorHAnsi" w:hAnsiTheme="majorHAnsi"/>
          <w:sz w:val="20"/>
          <w:szCs w:val="20"/>
        </w:rPr>
        <w:t>та</w:t>
      </w:r>
      <w:r w:rsidRPr="000977F7">
        <w:rPr>
          <w:rFonts w:asciiTheme="majorHAnsi" w:hAnsiTheme="majorHAnsi"/>
          <w:spacing w:val="9"/>
          <w:sz w:val="20"/>
          <w:szCs w:val="20"/>
        </w:rPr>
        <w:t xml:space="preserve"> </w:t>
      </w:r>
      <w:r w:rsidRPr="000977F7">
        <w:rPr>
          <w:rFonts w:asciiTheme="majorHAnsi" w:hAnsiTheme="majorHAnsi"/>
          <w:sz w:val="20"/>
          <w:szCs w:val="20"/>
        </w:rPr>
        <w:t>заводська</w:t>
      </w:r>
    </w:p>
    <w:p w14:paraId="6A4BC12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7"/>
          <w:sz w:val="20"/>
          <w:szCs w:val="20"/>
        </w:rPr>
        <w:t xml:space="preserve"> </w:t>
      </w:r>
      <w:r w:rsidRPr="000977F7">
        <w:rPr>
          <w:rFonts w:asciiTheme="majorHAnsi" w:hAnsiTheme="majorHAnsi"/>
          <w:i/>
          <w:sz w:val="20"/>
          <w:szCs w:val="20"/>
        </w:rPr>
        <w:t>2960</w:t>
      </w:r>
      <w:r w:rsidRPr="000977F7">
        <w:rPr>
          <w:rFonts w:asciiTheme="majorHAnsi" w:hAnsiTheme="majorHAnsi"/>
          <w:i/>
          <w:spacing w:val="8"/>
          <w:sz w:val="20"/>
          <w:szCs w:val="20"/>
        </w:rPr>
        <w:t xml:space="preserve"> </w:t>
      </w:r>
      <w:r w:rsidRPr="000977F7">
        <w:rPr>
          <w:rFonts w:asciiTheme="majorHAnsi" w:hAnsiTheme="majorHAnsi"/>
          <w:i/>
          <w:sz w:val="20"/>
          <w:szCs w:val="20"/>
        </w:rPr>
        <w:t>–</w:t>
      </w:r>
      <w:r w:rsidRPr="000977F7">
        <w:rPr>
          <w:rFonts w:asciiTheme="majorHAnsi" w:hAnsiTheme="majorHAnsi"/>
          <w:i/>
          <w:spacing w:val="7"/>
          <w:sz w:val="20"/>
          <w:szCs w:val="20"/>
        </w:rPr>
        <w:t xml:space="preserve"> </w:t>
      </w:r>
      <w:r w:rsidRPr="000977F7">
        <w:rPr>
          <w:rFonts w:asciiTheme="majorHAnsi" w:hAnsiTheme="majorHAnsi"/>
          <w:i/>
          <w:sz w:val="20"/>
          <w:szCs w:val="20"/>
        </w:rPr>
        <w:t>94</w:t>
      </w:r>
    </w:p>
    <w:p w14:paraId="773DF45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ЦЕНТРАЛІЗОВАНЕ РЕГУЛЮВАННЯ</w:t>
      </w:r>
      <w:r w:rsidRPr="000977F7">
        <w:rPr>
          <w:color w:val="auto"/>
          <w:spacing w:val="1"/>
          <w:sz w:val="20"/>
          <w:szCs w:val="20"/>
        </w:rPr>
        <w:t xml:space="preserve"> </w:t>
      </w:r>
      <w:r w:rsidRPr="000977F7">
        <w:rPr>
          <w:color w:val="auto"/>
          <w:sz w:val="20"/>
          <w:szCs w:val="20"/>
        </w:rPr>
        <w:t>ПАРАМЕТРА</w:t>
      </w:r>
      <w:r w:rsidRPr="000977F7">
        <w:rPr>
          <w:color w:val="auto"/>
          <w:spacing w:val="5"/>
          <w:sz w:val="20"/>
          <w:szCs w:val="20"/>
        </w:rPr>
        <w:t xml:space="preserve"> </w:t>
      </w:r>
      <w:r w:rsidRPr="000977F7">
        <w:rPr>
          <w:color w:val="auto"/>
          <w:sz w:val="20"/>
          <w:szCs w:val="20"/>
        </w:rPr>
        <w:t>ЕЛЕКТРИЧНОЇ</w:t>
      </w:r>
      <w:r w:rsidRPr="000977F7">
        <w:rPr>
          <w:color w:val="auto"/>
          <w:spacing w:val="3"/>
          <w:sz w:val="20"/>
          <w:szCs w:val="20"/>
        </w:rPr>
        <w:t xml:space="preserve"> </w:t>
      </w:r>
      <w:r w:rsidRPr="000977F7">
        <w:rPr>
          <w:color w:val="auto"/>
          <w:sz w:val="20"/>
          <w:szCs w:val="20"/>
        </w:rPr>
        <w:t>ЕНЕРГІЇ</w:t>
      </w:r>
      <w:r w:rsidRPr="000977F7">
        <w:rPr>
          <w:color w:val="auto"/>
          <w:spacing w:val="5"/>
          <w:sz w:val="20"/>
          <w:szCs w:val="20"/>
        </w:rPr>
        <w:t xml:space="preserve"> </w:t>
      </w:r>
      <w:r w:rsidRPr="000977F7">
        <w:rPr>
          <w:color w:val="auto"/>
          <w:sz w:val="20"/>
          <w:szCs w:val="20"/>
        </w:rPr>
        <w:t>–</w:t>
      </w:r>
    </w:p>
    <w:p w14:paraId="1ED2D0F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Регулювання</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r w:rsidRPr="000977F7">
        <w:rPr>
          <w:rFonts w:asciiTheme="majorHAnsi" w:hAnsiTheme="majorHAnsi"/>
          <w:spacing w:val="1"/>
          <w:sz w:val="20"/>
          <w:szCs w:val="20"/>
        </w:rPr>
        <w:t xml:space="preserve"> </w:t>
      </w:r>
      <w:r w:rsidRPr="000977F7">
        <w:rPr>
          <w:rFonts w:asciiTheme="majorHAnsi" w:hAnsiTheme="majorHAnsi"/>
          <w:sz w:val="20"/>
          <w:szCs w:val="20"/>
        </w:rPr>
        <w:t>електричної</w:t>
      </w:r>
      <w:r w:rsidRPr="000977F7">
        <w:rPr>
          <w:rFonts w:asciiTheme="majorHAnsi" w:hAnsiTheme="majorHAnsi"/>
          <w:spacing w:val="1"/>
          <w:sz w:val="20"/>
          <w:szCs w:val="20"/>
        </w:rPr>
        <w:t xml:space="preserve"> </w:t>
      </w:r>
      <w:r w:rsidRPr="000977F7">
        <w:rPr>
          <w:rFonts w:asciiTheme="majorHAnsi" w:hAnsiTheme="majorHAnsi"/>
          <w:sz w:val="20"/>
          <w:szCs w:val="20"/>
        </w:rPr>
        <w:t>енергії,</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здійснюється для групи споживачів електричної енергії</w:t>
      </w:r>
      <w:r w:rsidRPr="000977F7">
        <w:rPr>
          <w:rFonts w:asciiTheme="majorHAnsi" w:hAnsiTheme="majorHAnsi"/>
          <w:spacing w:val="4"/>
          <w:sz w:val="20"/>
          <w:szCs w:val="20"/>
        </w:rPr>
        <w:t xml:space="preserve"> </w:t>
      </w:r>
      <w:r w:rsidRPr="000977F7">
        <w:rPr>
          <w:rFonts w:asciiTheme="majorHAnsi" w:hAnsiTheme="majorHAnsi"/>
          <w:sz w:val="20"/>
          <w:szCs w:val="20"/>
        </w:rPr>
        <w:t>з</w:t>
      </w:r>
      <w:r w:rsidRPr="000977F7">
        <w:rPr>
          <w:rFonts w:asciiTheme="majorHAnsi" w:hAnsiTheme="majorHAnsi"/>
          <w:spacing w:val="2"/>
          <w:sz w:val="20"/>
          <w:szCs w:val="20"/>
        </w:rPr>
        <w:t xml:space="preserve"> </w:t>
      </w:r>
      <w:r w:rsidRPr="000977F7">
        <w:rPr>
          <w:rFonts w:asciiTheme="majorHAnsi" w:hAnsiTheme="majorHAnsi"/>
          <w:sz w:val="20"/>
          <w:szCs w:val="20"/>
        </w:rPr>
        <w:t>одного</w:t>
      </w:r>
      <w:r w:rsidRPr="000977F7">
        <w:rPr>
          <w:rFonts w:asciiTheme="majorHAnsi" w:hAnsiTheme="majorHAnsi"/>
          <w:spacing w:val="4"/>
          <w:sz w:val="20"/>
          <w:szCs w:val="20"/>
        </w:rPr>
        <w:t xml:space="preserve"> </w:t>
      </w:r>
      <w:r w:rsidRPr="000977F7">
        <w:rPr>
          <w:rFonts w:asciiTheme="majorHAnsi" w:hAnsiTheme="majorHAnsi"/>
          <w:sz w:val="20"/>
          <w:szCs w:val="20"/>
        </w:rPr>
        <w:t>пункту</w:t>
      </w:r>
    </w:p>
    <w:p w14:paraId="18A88CF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2"/>
          <w:sz w:val="20"/>
          <w:szCs w:val="20"/>
        </w:rPr>
        <w:t xml:space="preserve"> </w:t>
      </w:r>
      <w:r w:rsidRPr="000977F7">
        <w:rPr>
          <w:rFonts w:asciiTheme="majorHAnsi" w:hAnsiTheme="majorHAnsi"/>
          <w:i/>
          <w:sz w:val="20"/>
          <w:szCs w:val="20"/>
        </w:rPr>
        <w:t>3466 - 96</w:t>
      </w:r>
    </w:p>
    <w:p w14:paraId="1535DB9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ЦЕНТРАЛЬНА</w:t>
      </w:r>
      <w:r w:rsidRPr="000977F7">
        <w:rPr>
          <w:color w:val="auto"/>
          <w:spacing w:val="9"/>
          <w:sz w:val="20"/>
          <w:szCs w:val="20"/>
        </w:rPr>
        <w:t xml:space="preserve"> </w:t>
      </w:r>
      <w:r w:rsidRPr="000977F7">
        <w:rPr>
          <w:color w:val="auto"/>
          <w:sz w:val="20"/>
          <w:szCs w:val="20"/>
        </w:rPr>
        <w:t>ТОЧКА</w:t>
      </w:r>
      <w:r w:rsidRPr="000977F7">
        <w:rPr>
          <w:color w:val="auto"/>
          <w:spacing w:val="9"/>
          <w:sz w:val="20"/>
          <w:szCs w:val="20"/>
        </w:rPr>
        <w:t xml:space="preserve"> </w:t>
      </w:r>
      <w:r w:rsidRPr="000977F7">
        <w:rPr>
          <w:color w:val="auto"/>
          <w:sz w:val="20"/>
          <w:szCs w:val="20"/>
        </w:rPr>
        <w:t>ПЛАНУ</w:t>
      </w:r>
      <w:r w:rsidRPr="000977F7">
        <w:rPr>
          <w:color w:val="auto"/>
          <w:spacing w:val="15"/>
          <w:sz w:val="20"/>
          <w:szCs w:val="20"/>
        </w:rPr>
        <w:t xml:space="preserve"> </w:t>
      </w:r>
      <w:r w:rsidRPr="000977F7">
        <w:rPr>
          <w:color w:val="auto"/>
          <w:sz w:val="20"/>
          <w:szCs w:val="20"/>
        </w:rPr>
        <w:t>–</w:t>
      </w:r>
    </w:p>
    <w:p w14:paraId="4E37131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Точка</w:t>
      </w:r>
      <w:r w:rsidRPr="000977F7">
        <w:rPr>
          <w:rFonts w:asciiTheme="majorHAnsi" w:hAnsiTheme="majorHAnsi"/>
          <w:spacing w:val="1"/>
          <w:sz w:val="20"/>
          <w:szCs w:val="20"/>
        </w:rPr>
        <w:t xml:space="preserve"> </w:t>
      </w:r>
      <w:r w:rsidRPr="000977F7">
        <w:rPr>
          <w:rFonts w:asciiTheme="majorHAnsi" w:hAnsiTheme="majorHAnsi"/>
          <w:sz w:val="20"/>
          <w:szCs w:val="20"/>
        </w:rPr>
        <w:t>плану,</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відповідає</w:t>
      </w:r>
      <w:r w:rsidRPr="000977F7">
        <w:rPr>
          <w:rFonts w:asciiTheme="majorHAnsi" w:hAnsiTheme="majorHAnsi"/>
          <w:spacing w:val="1"/>
          <w:sz w:val="20"/>
          <w:szCs w:val="20"/>
        </w:rPr>
        <w:t xml:space="preserve"> </w:t>
      </w:r>
      <w:r w:rsidRPr="000977F7">
        <w:rPr>
          <w:rFonts w:asciiTheme="majorHAnsi" w:hAnsiTheme="majorHAnsi"/>
          <w:sz w:val="20"/>
          <w:szCs w:val="20"/>
        </w:rPr>
        <w:t>нулям</w:t>
      </w:r>
      <w:r w:rsidRPr="000977F7">
        <w:rPr>
          <w:rFonts w:asciiTheme="majorHAnsi" w:hAnsiTheme="majorHAnsi"/>
          <w:spacing w:val="1"/>
          <w:sz w:val="20"/>
          <w:szCs w:val="20"/>
        </w:rPr>
        <w:t xml:space="preserve"> </w:t>
      </w:r>
      <w:r w:rsidRPr="000977F7">
        <w:rPr>
          <w:rFonts w:asciiTheme="majorHAnsi" w:hAnsiTheme="majorHAnsi"/>
          <w:sz w:val="20"/>
          <w:szCs w:val="20"/>
        </w:rPr>
        <w:t>нормалізованої</w:t>
      </w:r>
      <w:r w:rsidRPr="000977F7">
        <w:rPr>
          <w:rFonts w:asciiTheme="majorHAnsi" w:hAnsiTheme="majorHAnsi"/>
          <w:spacing w:val="1"/>
          <w:sz w:val="20"/>
          <w:szCs w:val="20"/>
        </w:rPr>
        <w:t xml:space="preserve"> </w:t>
      </w:r>
      <w:r w:rsidRPr="000977F7">
        <w:rPr>
          <w:rFonts w:asciiTheme="majorHAnsi" w:hAnsiTheme="majorHAnsi"/>
          <w:sz w:val="20"/>
          <w:szCs w:val="20"/>
        </w:rPr>
        <w:t>(безрозмірної)</w:t>
      </w:r>
      <w:r w:rsidRPr="000977F7">
        <w:rPr>
          <w:rFonts w:asciiTheme="majorHAnsi" w:hAnsiTheme="majorHAnsi"/>
          <w:spacing w:val="4"/>
          <w:sz w:val="20"/>
          <w:szCs w:val="20"/>
        </w:rPr>
        <w:t xml:space="preserve"> </w:t>
      </w:r>
      <w:r w:rsidRPr="000977F7">
        <w:rPr>
          <w:rFonts w:asciiTheme="majorHAnsi" w:hAnsiTheme="majorHAnsi"/>
          <w:sz w:val="20"/>
          <w:szCs w:val="20"/>
        </w:rPr>
        <w:t>шкали</w:t>
      </w:r>
      <w:r w:rsidRPr="000977F7">
        <w:rPr>
          <w:rFonts w:asciiTheme="majorHAnsi" w:hAnsiTheme="majorHAnsi"/>
          <w:spacing w:val="5"/>
          <w:sz w:val="20"/>
          <w:szCs w:val="20"/>
        </w:rPr>
        <w:t xml:space="preserve"> </w:t>
      </w:r>
      <w:r w:rsidRPr="000977F7">
        <w:rPr>
          <w:rFonts w:asciiTheme="majorHAnsi" w:hAnsiTheme="majorHAnsi"/>
          <w:sz w:val="20"/>
          <w:szCs w:val="20"/>
        </w:rPr>
        <w:t>за</w:t>
      </w:r>
      <w:r w:rsidRPr="000977F7">
        <w:rPr>
          <w:rFonts w:asciiTheme="majorHAnsi" w:hAnsiTheme="majorHAnsi"/>
          <w:spacing w:val="7"/>
          <w:sz w:val="20"/>
          <w:szCs w:val="20"/>
        </w:rPr>
        <w:t xml:space="preserve"> </w:t>
      </w:r>
      <w:r w:rsidRPr="000977F7">
        <w:rPr>
          <w:rFonts w:asciiTheme="majorHAnsi" w:hAnsiTheme="majorHAnsi"/>
          <w:sz w:val="20"/>
          <w:szCs w:val="20"/>
        </w:rPr>
        <w:t>всіма</w:t>
      </w:r>
      <w:r w:rsidRPr="000977F7">
        <w:rPr>
          <w:rFonts w:asciiTheme="majorHAnsi" w:hAnsiTheme="majorHAnsi"/>
          <w:spacing w:val="6"/>
          <w:sz w:val="20"/>
          <w:szCs w:val="20"/>
        </w:rPr>
        <w:t xml:space="preserve"> </w:t>
      </w:r>
      <w:r w:rsidRPr="000977F7">
        <w:rPr>
          <w:rFonts w:asciiTheme="majorHAnsi" w:hAnsiTheme="majorHAnsi"/>
          <w:sz w:val="20"/>
          <w:szCs w:val="20"/>
        </w:rPr>
        <w:t>факторами</w:t>
      </w:r>
    </w:p>
    <w:p w14:paraId="31E4394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ЦЕХ</w:t>
      </w:r>
      <w:r w:rsidRPr="000977F7">
        <w:rPr>
          <w:color w:val="auto"/>
          <w:spacing w:val="6"/>
          <w:sz w:val="20"/>
          <w:szCs w:val="20"/>
        </w:rPr>
        <w:t xml:space="preserve"> </w:t>
      </w:r>
      <w:r w:rsidRPr="000977F7">
        <w:rPr>
          <w:color w:val="auto"/>
          <w:sz w:val="20"/>
          <w:szCs w:val="20"/>
        </w:rPr>
        <w:t>–</w:t>
      </w:r>
    </w:p>
    <w:p w14:paraId="1B75AC5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Організаційно</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технологічно</w:t>
      </w:r>
      <w:r w:rsidRPr="000977F7">
        <w:rPr>
          <w:rFonts w:asciiTheme="majorHAnsi" w:hAnsiTheme="majorHAnsi"/>
          <w:spacing w:val="1"/>
          <w:sz w:val="20"/>
          <w:szCs w:val="20"/>
        </w:rPr>
        <w:t xml:space="preserve"> </w:t>
      </w:r>
      <w:r w:rsidRPr="000977F7">
        <w:rPr>
          <w:rFonts w:asciiTheme="majorHAnsi" w:hAnsiTheme="majorHAnsi"/>
          <w:sz w:val="20"/>
          <w:szCs w:val="20"/>
        </w:rPr>
        <w:t>відокремлений</w:t>
      </w:r>
      <w:r w:rsidRPr="000977F7">
        <w:rPr>
          <w:rFonts w:asciiTheme="majorHAnsi" w:hAnsiTheme="majorHAnsi"/>
          <w:spacing w:val="1"/>
          <w:sz w:val="20"/>
          <w:szCs w:val="20"/>
        </w:rPr>
        <w:t xml:space="preserve"> </w:t>
      </w:r>
      <w:r w:rsidRPr="000977F7">
        <w:rPr>
          <w:rFonts w:asciiTheme="majorHAnsi" w:hAnsiTheme="majorHAnsi"/>
          <w:sz w:val="20"/>
          <w:szCs w:val="20"/>
        </w:rPr>
        <w:t>структурний</w:t>
      </w:r>
      <w:r w:rsidRPr="000977F7">
        <w:rPr>
          <w:rFonts w:asciiTheme="majorHAnsi" w:hAnsiTheme="majorHAnsi"/>
          <w:spacing w:val="1"/>
          <w:sz w:val="20"/>
          <w:szCs w:val="20"/>
        </w:rPr>
        <w:t xml:space="preserve"> </w:t>
      </w:r>
      <w:r w:rsidRPr="000977F7">
        <w:rPr>
          <w:rFonts w:asciiTheme="majorHAnsi" w:hAnsiTheme="majorHAnsi"/>
          <w:sz w:val="20"/>
          <w:szCs w:val="20"/>
        </w:rPr>
        <w:t>підрозділ,</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прямо</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побічно</w:t>
      </w:r>
      <w:r w:rsidRPr="000977F7">
        <w:rPr>
          <w:rFonts w:asciiTheme="majorHAnsi" w:hAnsiTheme="majorHAnsi"/>
          <w:spacing w:val="1"/>
          <w:sz w:val="20"/>
          <w:szCs w:val="20"/>
        </w:rPr>
        <w:t xml:space="preserve"> </w:t>
      </w:r>
      <w:r w:rsidRPr="000977F7">
        <w:rPr>
          <w:rFonts w:asciiTheme="majorHAnsi" w:hAnsiTheme="majorHAnsi"/>
          <w:sz w:val="20"/>
          <w:szCs w:val="20"/>
        </w:rPr>
        <w:t>бере</w:t>
      </w:r>
      <w:r w:rsidRPr="000977F7">
        <w:rPr>
          <w:rFonts w:asciiTheme="majorHAnsi" w:hAnsiTheme="majorHAnsi"/>
          <w:spacing w:val="1"/>
          <w:sz w:val="20"/>
          <w:szCs w:val="20"/>
        </w:rPr>
        <w:t xml:space="preserve"> </w:t>
      </w:r>
      <w:r w:rsidRPr="000977F7">
        <w:rPr>
          <w:rFonts w:asciiTheme="majorHAnsi" w:hAnsiTheme="majorHAnsi"/>
          <w:sz w:val="20"/>
          <w:szCs w:val="20"/>
        </w:rPr>
        <w:t>участь у перероблені предмета праці на готову продукцію та складається із сукупності виробничих дільниць</w:t>
      </w:r>
    </w:p>
    <w:p w14:paraId="0C622A4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6"/>
          <w:sz w:val="20"/>
          <w:szCs w:val="20"/>
        </w:rPr>
        <w:t xml:space="preserve"> </w:t>
      </w:r>
      <w:r w:rsidRPr="000977F7">
        <w:rPr>
          <w:rFonts w:asciiTheme="majorHAnsi" w:hAnsiTheme="majorHAnsi"/>
          <w:i/>
          <w:sz w:val="20"/>
          <w:szCs w:val="20"/>
        </w:rPr>
        <w:t>2960</w:t>
      </w:r>
      <w:r w:rsidRPr="000977F7">
        <w:rPr>
          <w:rFonts w:asciiTheme="majorHAnsi" w:hAnsiTheme="majorHAnsi"/>
          <w:i/>
          <w:spacing w:val="7"/>
          <w:sz w:val="20"/>
          <w:szCs w:val="20"/>
        </w:rPr>
        <w:t xml:space="preserve"> </w:t>
      </w:r>
      <w:r w:rsidRPr="000977F7">
        <w:rPr>
          <w:rFonts w:asciiTheme="majorHAnsi" w:hAnsiTheme="majorHAnsi"/>
          <w:i/>
          <w:sz w:val="20"/>
          <w:szCs w:val="20"/>
        </w:rPr>
        <w:t>–</w:t>
      </w:r>
      <w:r w:rsidRPr="000977F7">
        <w:rPr>
          <w:rFonts w:asciiTheme="majorHAnsi" w:hAnsiTheme="majorHAnsi"/>
          <w:i/>
          <w:spacing w:val="6"/>
          <w:sz w:val="20"/>
          <w:szCs w:val="20"/>
        </w:rPr>
        <w:t xml:space="preserve"> </w:t>
      </w:r>
      <w:r w:rsidRPr="000977F7">
        <w:rPr>
          <w:rFonts w:asciiTheme="majorHAnsi" w:hAnsiTheme="majorHAnsi"/>
          <w:i/>
          <w:sz w:val="20"/>
          <w:szCs w:val="20"/>
        </w:rPr>
        <w:t>94;</w:t>
      </w:r>
      <w:r w:rsidRPr="000977F7">
        <w:rPr>
          <w:rFonts w:asciiTheme="majorHAnsi" w:hAnsiTheme="majorHAnsi"/>
          <w:i/>
          <w:spacing w:val="7"/>
          <w:sz w:val="20"/>
          <w:szCs w:val="20"/>
        </w:rPr>
        <w:t xml:space="preserve"> </w:t>
      </w:r>
      <w:r w:rsidRPr="000977F7">
        <w:rPr>
          <w:rFonts w:asciiTheme="majorHAnsi" w:hAnsiTheme="majorHAnsi"/>
          <w:i/>
          <w:sz w:val="20"/>
          <w:szCs w:val="20"/>
        </w:rPr>
        <w:t>ДСТУ</w:t>
      </w:r>
      <w:r w:rsidRPr="000977F7">
        <w:rPr>
          <w:rFonts w:asciiTheme="majorHAnsi" w:hAnsiTheme="majorHAnsi"/>
          <w:i/>
          <w:spacing w:val="7"/>
          <w:sz w:val="20"/>
          <w:szCs w:val="20"/>
        </w:rPr>
        <w:t xml:space="preserve"> </w:t>
      </w:r>
      <w:r w:rsidRPr="000977F7">
        <w:rPr>
          <w:rFonts w:asciiTheme="majorHAnsi" w:hAnsiTheme="majorHAnsi"/>
          <w:i/>
          <w:sz w:val="20"/>
          <w:szCs w:val="20"/>
        </w:rPr>
        <w:t>2974</w:t>
      </w:r>
      <w:r w:rsidRPr="000977F7">
        <w:rPr>
          <w:rFonts w:asciiTheme="majorHAnsi" w:hAnsiTheme="majorHAnsi"/>
          <w:i/>
          <w:spacing w:val="11"/>
          <w:sz w:val="20"/>
          <w:szCs w:val="20"/>
        </w:rPr>
        <w:t xml:space="preserve"> </w:t>
      </w:r>
      <w:r w:rsidRPr="000977F7">
        <w:rPr>
          <w:rFonts w:asciiTheme="majorHAnsi" w:hAnsiTheme="majorHAnsi"/>
          <w:i/>
          <w:sz w:val="20"/>
          <w:szCs w:val="20"/>
        </w:rPr>
        <w:t>–</w:t>
      </w:r>
      <w:r w:rsidRPr="000977F7">
        <w:rPr>
          <w:rFonts w:asciiTheme="majorHAnsi" w:hAnsiTheme="majorHAnsi"/>
          <w:i/>
          <w:spacing w:val="5"/>
          <w:sz w:val="20"/>
          <w:szCs w:val="20"/>
        </w:rPr>
        <w:t xml:space="preserve"> </w:t>
      </w:r>
      <w:r w:rsidRPr="000977F7">
        <w:rPr>
          <w:rFonts w:asciiTheme="majorHAnsi" w:hAnsiTheme="majorHAnsi"/>
          <w:i/>
          <w:sz w:val="20"/>
          <w:szCs w:val="20"/>
        </w:rPr>
        <w:t>95</w:t>
      </w:r>
    </w:p>
    <w:p w14:paraId="2CFCAC0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ЦИКЛ</w:t>
      </w:r>
      <w:r w:rsidRPr="000977F7">
        <w:rPr>
          <w:color w:val="auto"/>
          <w:spacing w:val="17"/>
          <w:sz w:val="20"/>
          <w:szCs w:val="20"/>
        </w:rPr>
        <w:t xml:space="preserve"> </w:t>
      </w:r>
      <w:r w:rsidRPr="000977F7">
        <w:rPr>
          <w:color w:val="auto"/>
          <w:sz w:val="20"/>
          <w:szCs w:val="20"/>
        </w:rPr>
        <w:t>ІСНУВАННЯ</w:t>
      </w:r>
      <w:r w:rsidRPr="000977F7">
        <w:rPr>
          <w:color w:val="auto"/>
          <w:spacing w:val="13"/>
          <w:sz w:val="20"/>
          <w:szCs w:val="20"/>
        </w:rPr>
        <w:t xml:space="preserve"> </w:t>
      </w:r>
      <w:r w:rsidRPr="000977F7">
        <w:rPr>
          <w:color w:val="auto"/>
          <w:sz w:val="20"/>
          <w:szCs w:val="20"/>
        </w:rPr>
        <w:t>ПРОМИСЛОВОГО</w:t>
      </w:r>
      <w:r w:rsidRPr="000977F7">
        <w:rPr>
          <w:color w:val="auto"/>
          <w:spacing w:val="18"/>
          <w:sz w:val="20"/>
          <w:szCs w:val="20"/>
        </w:rPr>
        <w:t xml:space="preserve"> </w:t>
      </w:r>
      <w:r w:rsidRPr="000977F7">
        <w:rPr>
          <w:color w:val="auto"/>
          <w:sz w:val="20"/>
          <w:szCs w:val="20"/>
        </w:rPr>
        <w:t>ПІДПРИЄМСТВА</w:t>
      </w:r>
      <w:r w:rsidRPr="000977F7">
        <w:rPr>
          <w:color w:val="auto"/>
          <w:spacing w:val="3"/>
          <w:sz w:val="20"/>
          <w:szCs w:val="20"/>
        </w:rPr>
        <w:t xml:space="preserve"> </w:t>
      </w:r>
      <w:r w:rsidRPr="000977F7">
        <w:rPr>
          <w:color w:val="auto"/>
          <w:sz w:val="20"/>
          <w:szCs w:val="20"/>
        </w:rPr>
        <w:t>–</w:t>
      </w:r>
    </w:p>
    <w:p w14:paraId="745F5D6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Календарний</w:t>
      </w:r>
      <w:r w:rsidRPr="000977F7">
        <w:rPr>
          <w:rFonts w:asciiTheme="majorHAnsi" w:hAnsiTheme="majorHAnsi"/>
          <w:spacing w:val="23"/>
          <w:sz w:val="20"/>
          <w:szCs w:val="20"/>
        </w:rPr>
        <w:t xml:space="preserve"> </w:t>
      </w:r>
      <w:r w:rsidRPr="000977F7">
        <w:rPr>
          <w:rFonts w:asciiTheme="majorHAnsi" w:hAnsiTheme="majorHAnsi"/>
          <w:sz w:val="20"/>
          <w:szCs w:val="20"/>
        </w:rPr>
        <w:t>строк,</w:t>
      </w:r>
      <w:r w:rsidRPr="000977F7">
        <w:rPr>
          <w:rFonts w:asciiTheme="majorHAnsi" w:hAnsiTheme="majorHAnsi"/>
          <w:spacing w:val="25"/>
          <w:sz w:val="20"/>
          <w:szCs w:val="20"/>
        </w:rPr>
        <w:t xml:space="preserve"> </w:t>
      </w:r>
      <w:r w:rsidRPr="000977F7">
        <w:rPr>
          <w:rFonts w:asciiTheme="majorHAnsi" w:hAnsiTheme="majorHAnsi"/>
          <w:sz w:val="20"/>
          <w:szCs w:val="20"/>
        </w:rPr>
        <w:t>відведений</w:t>
      </w:r>
      <w:r w:rsidRPr="000977F7">
        <w:rPr>
          <w:rFonts w:asciiTheme="majorHAnsi" w:hAnsiTheme="majorHAnsi"/>
          <w:spacing w:val="23"/>
          <w:sz w:val="20"/>
          <w:szCs w:val="20"/>
        </w:rPr>
        <w:t xml:space="preserve"> </w:t>
      </w:r>
      <w:r w:rsidRPr="000977F7">
        <w:rPr>
          <w:rFonts w:asciiTheme="majorHAnsi" w:hAnsiTheme="majorHAnsi"/>
          <w:sz w:val="20"/>
          <w:szCs w:val="20"/>
        </w:rPr>
        <w:t>для</w:t>
      </w:r>
      <w:r w:rsidRPr="000977F7">
        <w:rPr>
          <w:rFonts w:asciiTheme="majorHAnsi" w:hAnsiTheme="majorHAnsi"/>
          <w:spacing w:val="24"/>
          <w:sz w:val="20"/>
          <w:szCs w:val="20"/>
        </w:rPr>
        <w:t xml:space="preserve"> </w:t>
      </w:r>
      <w:r w:rsidRPr="000977F7">
        <w:rPr>
          <w:rFonts w:asciiTheme="majorHAnsi" w:hAnsiTheme="majorHAnsi"/>
          <w:sz w:val="20"/>
          <w:szCs w:val="20"/>
        </w:rPr>
        <w:t>виконання</w:t>
      </w:r>
      <w:r w:rsidRPr="000977F7">
        <w:rPr>
          <w:rFonts w:asciiTheme="majorHAnsi" w:hAnsiTheme="majorHAnsi"/>
          <w:spacing w:val="24"/>
          <w:sz w:val="20"/>
          <w:szCs w:val="20"/>
        </w:rPr>
        <w:t xml:space="preserve"> </w:t>
      </w:r>
      <w:r w:rsidRPr="000977F7">
        <w:rPr>
          <w:rFonts w:asciiTheme="majorHAnsi" w:hAnsiTheme="majorHAnsi"/>
          <w:sz w:val="20"/>
          <w:szCs w:val="20"/>
        </w:rPr>
        <w:t>таких</w:t>
      </w:r>
      <w:r w:rsidRPr="000977F7">
        <w:rPr>
          <w:rFonts w:asciiTheme="majorHAnsi" w:hAnsiTheme="majorHAnsi"/>
          <w:spacing w:val="-47"/>
          <w:sz w:val="20"/>
          <w:szCs w:val="20"/>
        </w:rPr>
        <w:t xml:space="preserve"> </w:t>
      </w:r>
      <w:r w:rsidRPr="000977F7">
        <w:rPr>
          <w:rFonts w:asciiTheme="majorHAnsi" w:hAnsiTheme="majorHAnsi"/>
          <w:sz w:val="20"/>
          <w:szCs w:val="20"/>
        </w:rPr>
        <w:t>робіт:</w:t>
      </w:r>
    </w:p>
    <w:p w14:paraId="098F3DB8" w14:textId="77777777" w:rsidR="0097612F" w:rsidRPr="000977F7" w:rsidRDefault="0097612F" w:rsidP="00FD39A4">
      <w:pPr>
        <w:pStyle w:val="ac"/>
        <w:widowControl w:val="0"/>
        <w:numPr>
          <w:ilvl w:val="0"/>
          <w:numId w:val="67"/>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вибір</w:t>
      </w:r>
      <w:r w:rsidRPr="000977F7">
        <w:rPr>
          <w:rFonts w:asciiTheme="majorHAnsi" w:hAnsiTheme="majorHAnsi"/>
          <w:spacing w:val="16"/>
          <w:sz w:val="20"/>
          <w:szCs w:val="20"/>
        </w:rPr>
        <w:t xml:space="preserve"> </w:t>
      </w:r>
      <w:r w:rsidRPr="000977F7">
        <w:rPr>
          <w:rFonts w:asciiTheme="majorHAnsi" w:hAnsiTheme="majorHAnsi"/>
          <w:sz w:val="20"/>
          <w:szCs w:val="20"/>
        </w:rPr>
        <w:t>технології</w:t>
      </w:r>
      <w:r w:rsidRPr="000977F7">
        <w:rPr>
          <w:rFonts w:asciiTheme="majorHAnsi" w:hAnsiTheme="majorHAnsi"/>
          <w:spacing w:val="15"/>
          <w:sz w:val="20"/>
          <w:szCs w:val="20"/>
        </w:rPr>
        <w:t xml:space="preserve"> </w:t>
      </w:r>
      <w:r w:rsidRPr="000977F7">
        <w:rPr>
          <w:rFonts w:asciiTheme="majorHAnsi" w:hAnsiTheme="majorHAnsi"/>
          <w:sz w:val="20"/>
          <w:szCs w:val="20"/>
        </w:rPr>
        <w:t>виробництва;</w:t>
      </w:r>
    </w:p>
    <w:p w14:paraId="573F74B7" w14:textId="77777777" w:rsidR="0097612F" w:rsidRPr="000977F7" w:rsidRDefault="0097612F" w:rsidP="00FD39A4">
      <w:pPr>
        <w:pStyle w:val="ac"/>
        <w:widowControl w:val="0"/>
        <w:numPr>
          <w:ilvl w:val="0"/>
          <w:numId w:val="67"/>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розробка</w:t>
      </w:r>
      <w:r w:rsidRPr="000977F7">
        <w:rPr>
          <w:rFonts w:asciiTheme="majorHAnsi" w:hAnsiTheme="majorHAnsi"/>
          <w:spacing w:val="35"/>
          <w:sz w:val="20"/>
          <w:szCs w:val="20"/>
        </w:rPr>
        <w:t xml:space="preserve"> </w:t>
      </w:r>
      <w:r w:rsidRPr="000977F7">
        <w:rPr>
          <w:rFonts w:asciiTheme="majorHAnsi" w:hAnsiTheme="majorHAnsi"/>
          <w:sz w:val="20"/>
          <w:szCs w:val="20"/>
        </w:rPr>
        <w:t>та</w:t>
      </w:r>
      <w:r w:rsidRPr="000977F7">
        <w:rPr>
          <w:rFonts w:asciiTheme="majorHAnsi" w:hAnsiTheme="majorHAnsi"/>
          <w:spacing w:val="35"/>
          <w:sz w:val="20"/>
          <w:szCs w:val="20"/>
        </w:rPr>
        <w:t xml:space="preserve"> </w:t>
      </w:r>
      <w:r w:rsidRPr="000977F7">
        <w:rPr>
          <w:rFonts w:asciiTheme="majorHAnsi" w:hAnsiTheme="majorHAnsi"/>
          <w:sz w:val="20"/>
          <w:szCs w:val="20"/>
        </w:rPr>
        <w:t>виготовлення</w:t>
      </w:r>
      <w:r w:rsidRPr="000977F7">
        <w:rPr>
          <w:rFonts w:asciiTheme="majorHAnsi" w:hAnsiTheme="majorHAnsi"/>
          <w:spacing w:val="36"/>
          <w:sz w:val="20"/>
          <w:szCs w:val="20"/>
        </w:rPr>
        <w:t xml:space="preserve"> </w:t>
      </w:r>
      <w:r w:rsidRPr="000977F7">
        <w:rPr>
          <w:rFonts w:asciiTheme="majorHAnsi" w:hAnsiTheme="majorHAnsi"/>
          <w:sz w:val="20"/>
          <w:szCs w:val="20"/>
        </w:rPr>
        <w:t>устаткування</w:t>
      </w:r>
      <w:r w:rsidRPr="000977F7">
        <w:rPr>
          <w:rFonts w:asciiTheme="majorHAnsi" w:hAnsiTheme="majorHAnsi"/>
          <w:spacing w:val="34"/>
          <w:sz w:val="20"/>
          <w:szCs w:val="20"/>
        </w:rPr>
        <w:t xml:space="preserve"> </w:t>
      </w:r>
      <w:r w:rsidRPr="000977F7">
        <w:rPr>
          <w:rFonts w:asciiTheme="majorHAnsi" w:hAnsiTheme="majorHAnsi"/>
          <w:sz w:val="20"/>
          <w:szCs w:val="20"/>
        </w:rPr>
        <w:t>та</w:t>
      </w:r>
      <w:r w:rsidRPr="000977F7">
        <w:rPr>
          <w:rFonts w:asciiTheme="majorHAnsi" w:hAnsiTheme="majorHAnsi"/>
          <w:spacing w:val="35"/>
          <w:sz w:val="20"/>
          <w:szCs w:val="20"/>
        </w:rPr>
        <w:t xml:space="preserve"> </w:t>
      </w:r>
      <w:r w:rsidRPr="000977F7">
        <w:rPr>
          <w:rFonts w:asciiTheme="majorHAnsi" w:hAnsiTheme="majorHAnsi"/>
          <w:sz w:val="20"/>
          <w:szCs w:val="20"/>
        </w:rPr>
        <w:t>обладнання;</w:t>
      </w:r>
    </w:p>
    <w:p w14:paraId="386D6526" w14:textId="77777777" w:rsidR="0097612F" w:rsidRPr="000977F7" w:rsidRDefault="0097612F" w:rsidP="00FD39A4">
      <w:pPr>
        <w:pStyle w:val="ac"/>
        <w:widowControl w:val="0"/>
        <w:numPr>
          <w:ilvl w:val="0"/>
          <w:numId w:val="67"/>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вибір</w:t>
      </w:r>
      <w:r w:rsidRPr="000977F7">
        <w:rPr>
          <w:rFonts w:asciiTheme="majorHAnsi" w:hAnsiTheme="majorHAnsi"/>
          <w:spacing w:val="14"/>
          <w:sz w:val="20"/>
          <w:szCs w:val="20"/>
        </w:rPr>
        <w:t xml:space="preserve"> </w:t>
      </w:r>
      <w:r w:rsidRPr="000977F7">
        <w:rPr>
          <w:rFonts w:asciiTheme="majorHAnsi" w:hAnsiTheme="majorHAnsi"/>
          <w:sz w:val="20"/>
          <w:szCs w:val="20"/>
        </w:rPr>
        <w:t>проммайданчика;</w:t>
      </w:r>
    </w:p>
    <w:p w14:paraId="57CE4662" w14:textId="77777777" w:rsidR="0097612F" w:rsidRPr="000977F7" w:rsidRDefault="0097612F" w:rsidP="00FD39A4">
      <w:pPr>
        <w:pStyle w:val="ac"/>
        <w:widowControl w:val="0"/>
        <w:numPr>
          <w:ilvl w:val="0"/>
          <w:numId w:val="67"/>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проектування;</w:t>
      </w:r>
    </w:p>
    <w:p w14:paraId="1F6F06CE" w14:textId="77777777" w:rsidR="0097612F" w:rsidRPr="000977F7" w:rsidRDefault="0097612F" w:rsidP="00FD39A4">
      <w:pPr>
        <w:pStyle w:val="ac"/>
        <w:widowControl w:val="0"/>
        <w:numPr>
          <w:ilvl w:val="0"/>
          <w:numId w:val="67"/>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будівництво;</w:t>
      </w:r>
    </w:p>
    <w:p w14:paraId="0164C137" w14:textId="77777777" w:rsidR="0097612F" w:rsidRPr="000977F7" w:rsidRDefault="0097612F" w:rsidP="00FD39A4">
      <w:pPr>
        <w:pStyle w:val="ac"/>
        <w:widowControl w:val="0"/>
        <w:numPr>
          <w:ilvl w:val="0"/>
          <w:numId w:val="67"/>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уведення</w:t>
      </w:r>
      <w:r w:rsidRPr="000977F7">
        <w:rPr>
          <w:rFonts w:asciiTheme="majorHAnsi" w:hAnsiTheme="majorHAnsi"/>
          <w:spacing w:val="7"/>
          <w:sz w:val="20"/>
          <w:szCs w:val="20"/>
        </w:rPr>
        <w:t xml:space="preserve"> </w:t>
      </w:r>
      <w:r w:rsidRPr="000977F7">
        <w:rPr>
          <w:rFonts w:asciiTheme="majorHAnsi" w:hAnsiTheme="majorHAnsi"/>
          <w:sz w:val="20"/>
          <w:szCs w:val="20"/>
        </w:rPr>
        <w:t>в</w:t>
      </w:r>
      <w:r w:rsidRPr="000977F7">
        <w:rPr>
          <w:rFonts w:asciiTheme="majorHAnsi" w:hAnsiTheme="majorHAnsi"/>
          <w:spacing w:val="7"/>
          <w:sz w:val="20"/>
          <w:szCs w:val="20"/>
        </w:rPr>
        <w:t xml:space="preserve"> </w:t>
      </w:r>
      <w:r w:rsidRPr="000977F7">
        <w:rPr>
          <w:rFonts w:asciiTheme="majorHAnsi" w:hAnsiTheme="majorHAnsi"/>
          <w:sz w:val="20"/>
          <w:szCs w:val="20"/>
        </w:rPr>
        <w:t>дію;</w:t>
      </w:r>
    </w:p>
    <w:p w14:paraId="11550D30" w14:textId="77777777" w:rsidR="0097612F" w:rsidRPr="000977F7" w:rsidRDefault="0097612F" w:rsidP="00FD39A4">
      <w:pPr>
        <w:pStyle w:val="ac"/>
        <w:widowControl w:val="0"/>
        <w:numPr>
          <w:ilvl w:val="0"/>
          <w:numId w:val="67"/>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експлуатація;</w:t>
      </w:r>
    </w:p>
    <w:p w14:paraId="06E79261" w14:textId="77777777" w:rsidR="0097612F" w:rsidRPr="000977F7" w:rsidRDefault="0097612F" w:rsidP="00FD39A4">
      <w:pPr>
        <w:pStyle w:val="ac"/>
        <w:widowControl w:val="0"/>
        <w:numPr>
          <w:ilvl w:val="0"/>
          <w:numId w:val="67"/>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зняття</w:t>
      </w:r>
      <w:r w:rsidRPr="000977F7">
        <w:rPr>
          <w:rFonts w:asciiTheme="majorHAnsi" w:hAnsiTheme="majorHAnsi"/>
          <w:spacing w:val="9"/>
          <w:sz w:val="20"/>
          <w:szCs w:val="20"/>
        </w:rPr>
        <w:t xml:space="preserve"> </w:t>
      </w:r>
      <w:r w:rsidRPr="000977F7">
        <w:rPr>
          <w:rFonts w:asciiTheme="majorHAnsi" w:hAnsiTheme="majorHAnsi"/>
          <w:sz w:val="20"/>
          <w:szCs w:val="20"/>
        </w:rPr>
        <w:t>з</w:t>
      </w:r>
      <w:r w:rsidRPr="000977F7">
        <w:rPr>
          <w:rFonts w:asciiTheme="majorHAnsi" w:hAnsiTheme="majorHAnsi"/>
          <w:spacing w:val="11"/>
          <w:sz w:val="20"/>
          <w:szCs w:val="20"/>
        </w:rPr>
        <w:t xml:space="preserve"> </w:t>
      </w:r>
      <w:r w:rsidRPr="000977F7">
        <w:rPr>
          <w:rFonts w:asciiTheme="majorHAnsi" w:hAnsiTheme="majorHAnsi"/>
          <w:sz w:val="20"/>
          <w:szCs w:val="20"/>
        </w:rPr>
        <w:t>експлуатації;</w:t>
      </w:r>
    </w:p>
    <w:p w14:paraId="7CE74B18" w14:textId="77777777" w:rsidR="0097612F" w:rsidRPr="000977F7" w:rsidRDefault="0097612F" w:rsidP="00FD39A4">
      <w:pPr>
        <w:pStyle w:val="ac"/>
        <w:widowControl w:val="0"/>
        <w:numPr>
          <w:ilvl w:val="0"/>
          <w:numId w:val="67"/>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ліквідація</w:t>
      </w:r>
      <w:r w:rsidRPr="000977F7">
        <w:rPr>
          <w:rFonts w:asciiTheme="majorHAnsi" w:hAnsiTheme="majorHAnsi"/>
          <w:spacing w:val="15"/>
          <w:sz w:val="20"/>
          <w:szCs w:val="20"/>
        </w:rPr>
        <w:t xml:space="preserve"> </w:t>
      </w:r>
      <w:r w:rsidRPr="000977F7">
        <w:rPr>
          <w:rFonts w:asciiTheme="majorHAnsi" w:hAnsiTheme="majorHAnsi"/>
          <w:sz w:val="20"/>
          <w:szCs w:val="20"/>
        </w:rPr>
        <w:t>підприємства</w:t>
      </w:r>
    </w:p>
    <w:p w14:paraId="5038D49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2"/>
          <w:sz w:val="20"/>
          <w:szCs w:val="20"/>
        </w:rPr>
        <w:t xml:space="preserve"> </w:t>
      </w:r>
      <w:r w:rsidRPr="000977F7">
        <w:rPr>
          <w:rFonts w:asciiTheme="majorHAnsi" w:hAnsiTheme="majorHAnsi"/>
          <w:i/>
          <w:sz w:val="20"/>
          <w:szCs w:val="20"/>
        </w:rPr>
        <w:t>2156 - 93</w:t>
      </w:r>
    </w:p>
    <w:p w14:paraId="2F40604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aps/>
          <w:color w:val="auto"/>
          <w:sz w:val="20"/>
          <w:szCs w:val="20"/>
        </w:rPr>
        <w:t>Цикл «Плануй-Виконуй-Перевіряй-Дій»</w:t>
      </w:r>
      <w:r w:rsidRPr="000977F7">
        <w:rPr>
          <w:color w:val="auto"/>
          <w:sz w:val="20"/>
          <w:szCs w:val="20"/>
        </w:rPr>
        <w:t xml:space="preserve"> </w:t>
      </w:r>
    </w:p>
    <w:p w14:paraId="53BA38D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b w:val="0"/>
          <w:color w:val="auto"/>
          <w:sz w:val="20"/>
          <w:szCs w:val="20"/>
        </w:rPr>
        <w:t>PDCA</w:t>
      </w:r>
      <w:r w:rsidRPr="000977F7">
        <w:rPr>
          <w:color w:val="auto"/>
          <w:sz w:val="20"/>
          <w:szCs w:val="20"/>
        </w:rPr>
        <w:t xml:space="preserve"> -</w:t>
      </w:r>
    </w:p>
    <w:p w14:paraId="2A2381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Цикл PDCA може бути застосовано до всіх процесів і до системи управління якістю в цілому. Цикл PDCA може бути стисло описано так:</w:t>
      </w:r>
    </w:p>
    <w:p w14:paraId="2F1992C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
          <w:sz w:val="20"/>
          <w:szCs w:val="20"/>
        </w:rPr>
        <w:t>Плануй</w:t>
      </w:r>
      <w:r w:rsidRPr="000977F7">
        <w:rPr>
          <w:rFonts w:asciiTheme="majorHAnsi" w:hAnsiTheme="majorHAnsi"/>
          <w:sz w:val="20"/>
          <w:szCs w:val="20"/>
        </w:rPr>
        <w:t>: установлюй цілі системи та її процеси, а також ресурси, потрібні для отримання результатів</w:t>
      </w:r>
      <w:r w:rsidRPr="000977F7">
        <w:rPr>
          <w:rFonts w:asciiTheme="majorHAnsi" w:hAnsiTheme="majorHAnsi" w:cs="Arial"/>
          <w:sz w:val="20"/>
          <w:szCs w:val="20"/>
        </w:rPr>
        <w:t xml:space="preserve"> </w:t>
      </w:r>
      <w:r w:rsidRPr="000977F7">
        <w:rPr>
          <w:rFonts w:asciiTheme="majorHAnsi" w:hAnsiTheme="majorHAnsi"/>
          <w:sz w:val="20"/>
          <w:szCs w:val="20"/>
        </w:rPr>
        <w:t>відповідно до вимог замовників і політик організації, а також ідентифікуй і розглядай</w:t>
      </w:r>
      <w:r w:rsidRPr="000977F7">
        <w:rPr>
          <w:rFonts w:asciiTheme="majorHAnsi" w:hAnsiTheme="majorHAnsi" w:cs="Arial"/>
          <w:sz w:val="20"/>
          <w:szCs w:val="20"/>
        </w:rPr>
        <w:t xml:space="preserve"> </w:t>
      </w:r>
      <w:r w:rsidRPr="000977F7">
        <w:rPr>
          <w:rFonts w:asciiTheme="majorHAnsi" w:hAnsiTheme="majorHAnsi"/>
          <w:sz w:val="20"/>
          <w:szCs w:val="20"/>
        </w:rPr>
        <w:t>ризики та можливості.</w:t>
      </w:r>
    </w:p>
    <w:p w14:paraId="031FCC3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
          <w:sz w:val="20"/>
          <w:szCs w:val="20"/>
        </w:rPr>
        <w:t>Виконуй</w:t>
      </w:r>
      <w:r w:rsidRPr="000977F7">
        <w:rPr>
          <w:rFonts w:asciiTheme="majorHAnsi" w:hAnsiTheme="majorHAnsi"/>
          <w:sz w:val="20"/>
          <w:szCs w:val="20"/>
        </w:rPr>
        <w:t>: упроваджуй те, що заплановано.</w:t>
      </w:r>
    </w:p>
    <w:p w14:paraId="75E9DB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
          <w:sz w:val="20"/>
          <w:szCs w:val="20"/>
        </w:rPr>
        <w:lastRenderedPageBreak/>
        <w:t>Перевіряй</w:t>
      </w:r>
      <w:r w:rsidRPr="000977F7">
        <w:rPr>
          <w:rFonts w:asciiTheme="majorHAnsi" w:hAnsiTheme="majorHAnsi"/>
          <w:sz w:val="20"/>
          <w:szCs w:val="20"/>
        </w:rPr>
        <w:t>: здійснюй моніторинг і, де застосовно, вимірюй процеси та отримані в результаті продукцію та послуги, зважаючи на політики, цілі, вимоги та заплановані роботи, а також звітуй про результати.</w:t>
      </w:r>
    </w:p>
    <w:p w14:paraId="27A148E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b/>
          <w:sz w:val="20"/>
          <w:szCs w:val="20"/>
        </w:rPr>
        <w:t>Дій</w:t>
      </w:r>
      <w:r w:rsidRPr="000977F7">
        <w:rPr>
          <w:rFonts w:asciiTheme="majorHAnsi" w:hAnsiTheme="majorHAnsi"/>
          <w:sz w:val="20"/>
          <w:szCs w:val="20"/>
        </w:rPr>
        <w:t>: уживай заходів для поліпшування дієвості, за потреби.</w:t>
      </w:r>
    </w:p>
    <w:p w14:paraId="7177583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0A80A8C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ЦИКЛ</w:t>
      </w:r>
      <w:r w:rsidRPr="000977F7">
        <w:rPr>
          <w:color w:val="auto"/>
          <w:spacing w:val="-6"/>
          <w:sz w:val="20"/>
          <w:szCs w:val="20"/>
        </w:rPr>
        <w:t xml:space="preserve"> </w:t>
      </w:r>
      <w:r w:rsidRPr="000977F7">
        <w:rPr>
          <w:color w:val="auto"/>
          <w:sz w:val="20"/>
          <w:szCs w:val="20"/>
        </w:rPr>
        <w:t>ТЕХНІЧНОГО</w:t>
      </w:r>
      <w:r w:rsidRPr="000977F7">
        <w:rPr>
          <w:color w:val="auto"/>
          <w:spacing w:val="-4"/>
          <w:sz w:val="20"/>
          <w:szCs w:val="20"/>
        </w:rPr>
        <w:t xml:space="preserve"> </w:t>
      </w:r>
      <w:r w:rsidRPr="000977F7">
        <w:rPr>
          <w:color w:val="auto"/>
          <w:sz w:val="20"/>
          <w:szCs w:val="20"/>
        </w:rPr>
        <w:t>ОБСЛУГОВУВАННЯ -</w:t>
      </w:r>
    </w:p>
    <w:p w14:paraId="04D6950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Найменший повторюваний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інтервал часу або напрацювання об’єкта , на протязі яких виконують у визначеній послідовності у відповідності з вимогами нормативно – технічної документації всі встановлені види</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технічного обслуговування</w:t>
      </w:r>
    </w:p>
    <w:p w14:paraId="371F3D9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ЦИКЛ</w:t>
      </w:r>
      <w:r w:rsidRPr="000977F7">
        <w:rPr>
          <w:color w:val="auto"/>
          <w:spacing w:val="-5"/>
          <w:sz w:val="20"/>
          <w:szCs w:val="20"/>
        </w:rPr>
        <w:t xml:space="preserve"> </w:t>
      </w:r>
      <w:r w:rsidRPr="000977F7">
        <w:rPr>
          <w:color w:val="auto"/>
          <w:sz w:val="20"/>
          <w:szCs w:val="20"/>
        </w:rPr>
        <w:t>ТЕХНОЛОГІЧНОЇ</w:t>
      </w:r>
      <w:r w:rsidRPr="000977F7">
        <w:rPr>
          <w:color w:val="auto"/>
          <w:spacing w:val="-3"/>
          <w:sz w:val="20"/>
          <w:szCs w:val="20"/>
        </w:rPr>
        <w:t xml:space="preserve"> </w:t>
      </w:r>
      <w:r w:rsidRPr="000977F7">
        <w:rPr>
          <w:color w:val="auto"/>
          <w:sz w:val="20"/>
          <w:szCs w:val="20"/>
        </w:rPr>
        <w:t>ОПЕРАЦІЇ</w:t>
      </w:r>
      <w:r w:rsidRPr="000977F7">
        <w:rPr>
          <w:color w:val="auto"/>
          <w:spacing w:val="-4"/>
          <w:sz w:val="20"/>
          <w:szCs w:val="20"/>
        </w:rPr>
        <w:t xml:space="preserve"> </w:t>
      </w:r>
      <w:r w:rsidRPr="000977F7">
        <w:rPr>
          <w:color w:val="auto"/>
          <w:sz w:val="20"/>
          <w:szCs w:val="20"/>
        </w:rPr>
        <w:t>–</w:t>
      </w:r>
    </w:p>
    <w:p w14:paraId="448B088C"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OPERATION</w:t>
      </w:r>
      <w:r w:rsidRPr="004D2D14">
        <w:rPr>
          <w:rFonts w:asciiTheme="majorHAnsi" w:hAnsiTheme="majorHAnsi"/>
          <w:spacing w:val="-3"/>
          <w:sz w:val="20"/>
          <w:szCs w:val="20"/>
          <w:lang w:val="uk-UA"/>
        </w:rPr>
        <w:t xml:space="preserve"> </w:t>
      </w:r>
      <w:r w:rsidRPr="000977F7">
        <w:rPr>
          <w:rFonts w:asciiTheme="majorHAnsi" w:hAnsiTheme="majorHAnsi"/>
          <w:sz w:val="20"/>
          <w:szCs w:val="20"/>
        </w:rPr>
        <w:t>CYCLE</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24D3C74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Інтервал календарного часу від початку до кінця періодично повторюваної технологічної операції, незалежно від кількості виробів, які одночасно виготовляються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ремонтуються</w:t>
      </w:r>
    </w:p>
    <w:p w14:paraId="6B903E7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17B92F0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ЦИКЛ</w:t>
      </w:r>
      <w:r w:rsidRPr="000977F7">
        <w:rPr>
          <w:color w:val="auto"/>
          <w:spacing w:val="-4"/>
          <w:sz w:val="20"/>
          <w:szCs w:val="20"/>
        </w:rPr>
        <w:t xml:space="preserve"> </w:t>
      </w:r>
      <w:r w:rsidRPr="000977F7">
        <w:rPr>
          <w:color w:val="auto"/>
          <w:sz w:val="20"/>
          <w:szCs w:val="20"/>
        </w:rPr>
        <w:t>ХИТАННЯ</w:t>
      </w:r>
      <w:r w:rsidRPr="000977F7">
        <w:rPr>
          <w:color w:val="auto"/>
          <w:spacing w:val="-2"/>
          <w:sz w:val="20"/>
          <w:szCs w:val="20"/>
        </w:rPr>
        <w:t xml:space="preserve"> </w:t>
      </w:r>
      <w:r w:rsidRPr="000977F7">
        <w:rPr>
          <w:color w:val="auto"/>
          <w:sz w:val="20"/>
          <w:szCs w:val="20"/>
        </w:rPr>
        <w:t>–</w:t>
      </w:r>
    </w:p>
    <w:p w14:paraId="364CEFD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Перекриття частотного діапазону один раз у кожному</w:t>
      </w:r>
      <w:r w:rsidRPr="000977F7">
        <w:rPr>
          <w:rFonts w:asciiTheme="majorHAnsi" w:hAnsiTheme="majorHAnsi"/>
          <w:spacing w:val="1"/>
          <w:sz w:val="20"/>
          <w:szCs w:val="20"/>
        </w:rPr>
        <w:t xml:space="preserve"> </w:t>
      </w:r>
      <w:r w:rsidRPr="000977F7">
        <w:rPr>
          <w:rFonts w:asciiTheme="majorHAnsi" w:hAnsiTheme="majorHAnsi"/>
          <w:sz w:val="20"/>
          <w:szCs w:val="20"/>
        </w:rPr>
        <w:t>напрямку</w:t>
      </w:r>
    </w:p>
    <w:p w14:paraId="4099C09B"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3011 - 95</w:t>
      </w:r>
    </w:p>
    <w:p w14:paraId="657EC84F" w14:textId="77777777" w:rsidR="0097612F" w:rsidRPr="004D2D14" w:rsidRDefault="0097612F" w:rsidP="000977F7">
      <w:pPr>
        <w:tabs>
          <w:tab w:val="left" w:pos="284"/>
          <w:tab w:val="left" w:pos="2340"/>
          <w:tab w:val="left" w:pos="4873"/>
        </w:tabs>
        <w:spacing w:after="0" w:line="240" w:lineRule="auto"/>
        <w:ind w:left="170"/>
        <w:mirrorIndents/>
        <w:jc w:val="both"/>
        <w:rPr>
          <w:rFonts w:asciiTheme="majorHAnsi" w:hAnsiTheme="majorHAnsi"/>
          <w:spacing w:val="-48"/>
          <w:sz w:val="20"/>
          <w:szCs w:val="20"/>
          <w:lang w:val="en-US"/>
        </w:rPr>
      </w:pPr>
      <w:r w:rsidRPr="000977F7">
        <w:rPr>
          <w:rFonts w:asciiTheme="majorHAnsi" w:hAnsiTheme="majorHAnsi"/>
          <w:b/>
          <w:sz w:val="20"/>
          <w:szCs w:val="20"/>
        </w:rPr>
        <w:t>ЦИКЛІЧНА</w:t>
      </w:r>
      <w:r w:rsidRPr="004D2D14">
        <w:rPr>
          <w:rFonts w:asciiTheme="majorHAnsi" w:hAnsiTheme="majorHAnsi"/>
          <w:b/>
          <w:sz w:val="20"/>
          <w:szCs w:val="20"/>
          <w:lang w:val="en-US"/>
        </w:rPr>
        <w:t xml:space="preserve"> </w:t>
      </w:r>
      <w:r w:rsidRPr="000977F7">
        <w:rPr>
          <w:rFonts w:asciiTheme="majorHAnsi" w:hAnsiTheme="majorHAnsi"/>
          <w:b/>
          <w:sz w:val="20"/>
          <w:szCs w:val="20"/>
        </w:rPr>
        <w:t>ДОВГОВІЧНІСТЬ</w:t>
      </w:r>
      <w:r w:rsidRPr="004D2D14">
        <w:rPr>
          <w:rFonts w:asciiTheme="majorHAnsi" w:hAnsiTheme="majorHAnsi"/>
          <w:b/>
          <w:sz w:val="20"/>
          <w:szCs w:val="20"/>
          <w:lang w:val="en-US"/>
        </w:rPr>
        <w:t xml:space="preserve">, </w:t>
      </w:r>
      <w:r w:rsidRPr="004D2D14">
        <w:rPr>
          <w:rFonts w:asciiTheme="majorHAnsi" w:hAnsiTheme="majorHAnsi"/>
          <w:b/>
          <w:spacing w:val="-2"/>
          <w:sz w:val="20"/>
          <w:szCs w:val="20"/>
          <w:lang w:val="en-US"/>
        </w:rPr>
        <w:t xml:space="preserve">N </w:t>
      </w:r>
      <w:r w:rsidRPr="004D2D14">
        <w:rPr>
          <w:rFonts w:asciiTheme="majorHAnsi" w:hAnsiTheme="majorHAnsi"/>
          <w:spacing w:val="-2"/>
          <w:sz w:val="20"/>
          <w:szCs w:val="20"/>
          <w:lang w:val="en-US"/>
        </w:rPr>
        <w:t>–</w:t>
      </w:r>
      <w:r w:rsidRPr="004D2D14">
        <w:rPr>
          <w:rFonts w:asciiTheme="majorHAnsi" w:hAnsiTheme="majorHAnsi"/>
          <w:spacing w:val="-48"/>
          <w:sz w:val="20"/>
          <w:szCs w:val="20"/>
          <w:lang w:val="en-US"/>
        </w:rPr>
        <w:t xml:space="preserve"> </w:t>
      </w:r>
    </w:p>
    <w:p w14:paraId="4BD75BE9" w14:textId="77777777" w:rsidR="0097612F" w:rsidRPr="004D2D14" w:rsidRDefault="0097612F" w:rsidP="000977F7">
      <w:pPr>
        <w:tabs>
          <w:tab w:val="left" w:pos="284"/>
          <w:tab w:val="left" w:pos="2340"/>
          <w:tab w:val="left" w:pos="4873"/>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ENDURANCE;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LIFE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TO</w:t>
      </w:r>
      <w:r w:rsidRPr="004D2D14">
        <w:rPr>
          <w:rFonts w:asciiTheme="majorHAnsi" w:hAnsiTheme="majorHAnsi"/>
          <w:spacing w:val="61"/>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FATIGUE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CRACK</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LIFE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1FEDD1FD"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Кількість</w:t>
      </w:r>
      <w:r w:rsidRPr="000977F7">
        <w:rPr>
          <w:rFonts w:asciiTheme="majorHAnsi" w:hAnsiTheme="majorHAnsi"/>
          <w:spacing w:val="6"/>
          <w:sz w:val="20"/>
          <w:szCs w:val="20"/>
        </w:rPr>
        <w:t xml:space="preserve"> </w:t>
      </w:r>
      <w:r w:rsidRPr="000977F7">
        <w:rPr>
          <w:rFonts w:asciiTheme="majorHAnsi" w:hAnsiTheme="majorHAnsi"/>
          <w:sz w:val="20"/>
          <w:szCs w:val="20"/>
        </w:rPr>
        <w:t>циклів</w:t>
      </w:r>
      <w:r w:rsidRPr="000977F7">
        <w:rPr>
          <w:rFonts w:asciiTheme="majorHAnsi" w:hAnsiTheme="majorHAnsi"/>
          <w:spacing w:val="7"/>
          <w:sz w:val="20"/>
          <w:szCs w:val="20"/>
        </w:rPr>
        <w:t xml:space="preserve"> </w:t>
      </w:r>
      <w:r w:rsidRPr="000977F7">
        <w:rPr>
          <w:rFonts w:asciiTheme="majorHAnsi" w:hAnsiTheme="majorHAnsi"/>
          <w:sz w:val="20"/>
          <w:szCs w:val="20"/>
        </w:rPr>
        <w:t>напруження</w:t>
      </w:r>
      <w:r w:rsidRPr="000977F7">
        <w:rPr>
          <w:rFonts w:asciiTheme="majorHAnsi" w:hAnsiTheme="majorHAnsi"/>
          <w:spacing w:val="4"/>
          <w:sz w:val="20"/>
          <w:szCs w:val="20"/>
        </w:rPr>
        <w:t xml:space="preserve"> </w:t>
      </w:r>
      <w:r w:rsidRPr="000977F7">
        <w:rPr>
          <w:rFonts w:asciiTheme="majorHAnsi" w:hAnsiTheme="majorHAnsi"/>
          <w:sz w:val="20"/>
          <w:szCs w:val="20"/>
        </w:rPr>
        <w:t>чи</w:t>
      </w:r>
      <w:r w:rsidRPr="000977F7">
        <w:rPr>
          <w:rFonts w:asciiTheme="majorHAnsi" w:hAnsiTheme="majorHAnsi"/>
          <w:spacing w:val="6"/>
          <w:sz w:val="20"/>
          <w:szCs w:val="20"/>
        </w:rPr>
        <w:t xml:space="preserve"> </w:t>
      </w:r>
      <w:r w:rsidRPr="000977F7">
        <w:rPr>
          <w:rFonts w:asciiTheme="majorHAnsi" w:hAnsiTheme="majorHAnsi"/>
          <w:sz w:val="20"/>
          <w:szCs w:val="20"/>
        </w:rPr>
        <w:t>деформації,</w:t>
      </w:r>
      <w:r w:rsidRPr="000977F7">
        <w:rPr>
          <w:rFonts w:asciiTheme="majorHAnsi" w:hAnsiTheme="majorHAnsi"/>
          <w:spacing w:val="7"/>
          <w:sz w:val="20"/>
          <w:szCs w:val="20"/>
        </w:rPr>
        <w:t xml:space="preserve"> </w:t>
      </w:r>
      <w:r w:rsidRPr="000977F7">
        <w:rPr>
          <w:rFonts w:asciiTheme="majorHAnsi" w:hAnsiTheme="majorHAnsi"/>
          <w:sz w:val="20"/>
          <w:szCs w:val="20"/>
        </w:rPr>
        <w:t>витриманих навантажуваним об’єктом до граничного стану</w:t>
      </w:r>
      <w:r w:rsidRPr="000977F7">
        <w:rPr>
          <w:rFonts w:asciiTheme="majorHAnsi" w:hAnsiTheme="majorHAnsi"/>
          <w:spacing w:val="1"/>
          <w:sz w:val="20"/>
          <w:szCs w:val="20"/>
        </w:rPr>
        <w:t xml:space="preserve"> </w:t>
      </w:r>
    </w:p>
    <w:p w14:paraId="019D904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2444 - 94</w:t>
      </w:r>
    </w:p>
    <w:p w14:paraId="14B5DF6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ЦИКЛІЧНА</w:t>
      </w:r>
      <w:r w:rsidRPr="000977F7">
        <w:rPr>
          <w:color w:val="auto"/>
          <w:spacing w:val="-5"/>
          <w:sz w:val="20"/>
          <w:szCs w:val="20"/>
        </w:rPr>
        <w:t xml:space="preserve"> </w:t>
      </w:r>
      <w:r w:rsidRPr="000977F7">
        <w:rPr>
          <w:color w:val="auto"/>
          <w:sz w:val="20"/>
          <w:szCs w:val="20"/>
        </w:rPr>
        <w:t>ТРІЩИНОСТІЙКІСТЬ</w:t>
      </w:r>
      <w:r w:rsidRPr="000977F7">
        <w:rPr>
          <w:color w:val="auto"/>
          <w:spacing w:val="-3"/>
          <w:sz w:val="20"/>
          <w:szCs w:val="20"/>
        </w:rPr>
        <w:t xml:space="preserve"> </w:t>
      </w:r>
      <w:r w:rsidRPr="000977F7">
        <w:rPr>
          <w:color w:val="auto"/>
          <w:sz w:val="20"/>
          <w:szCs w:val="20"/>
        </w:rPr>
        <w:t>–</w:t>
      </w:r>
    </w:p>
    <w:p w14:paraId="2048F8F8" w14:textId="77777777" w:rsidR="0097612F" w:rsidRPr="000977F7" w:rsidRDefault="0097612F" w:rsidP="000977F7">
      <w:pPr>
        <w:pStyle w:val="7"/>
        <w:tabs>
          <w:tab w:val="left" w:pos="284"/>
        </w:tabs>
        <w:spacing w:before="0" w:line="240" w:lineRule="auto"/>
        <w:ind w:left="170"/>
        <w:mirrorIndents/>
        <w:jc w:val="both"/>
        <w:rPr>
          <w:b w:val="0"/>
          <w:bCs/>
          <w:color w:val="auto"/>
          <w:sz w:val="20"/>
          <w:szCs w:val="20"/>
        </w:rPr>
      </w:pPr>
      <w:r w:rsidRPr="000977F7">
        <w:rPr>
          <w:b w:val="0"/>
          <w:bCs/>
          <w:color w:val="auto"/>
          <w:sz w:val="20"/>
          <w:szCs w:val="20"/>
        </w:rPr>
        <w:t>CYCLE CRACK</w:t>
      </w:r>
      <w:r w:rsidRPr="000977F7">
        <w:rPr>
          <w:b w:val="0"/>
          <w:bCs/>
          <w:color w:val="auto"/>
          <w:spacing w:val="-2"/>
          <w:sz w:val="20"/>
          <w:szCs w:val="20"/>
        </w:rPr>
        <w:t xml:space="preserve"> </w:t>
      </w:r>
      <w:r w:rsidRPr="000977F7">
        <w:rPr>
          <w:b w:val="0"/>
          <w:bCs/>
          <w:color w:val="auto"/>
          <w:sz w:val="20"/>
          <w:szCs w:val="20"/>
        </w:rPr>
        <w:t>PROPAGATION</w:t>
      </w:r>
      <w:r w:rsidRPr="000977F7">
        <w:rPr>
          <w:b w:val="0"/>
          <w:bCs/>
          <w:color w:val="auto"/>
          <w:spacing w:val="-1"/>
          <w:sz w:val="20"/>
          <w:szCs w:val="20"/>
        </w:rPr>
        <w:t xml:space="preserve"> </w:t>
      </w:r>
      <w:r w:rsidRPr="000977F7">
        <w:rPr>
          <w:b w:val="0"/>
          <w:bCs/>
          <w:color w:val="auto"/>
          <w:sz w:val="20"/>
          <w:szCs w:val="20"/>
        </w:rPr>
        <w:t>–</w:t>
      </w:r>
    </w:p>
    <w:p w14:paraId="2A84130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Здатність матеріалу чинити опір розвиванню тріщини</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2"/>
          <w:sz w:val="20"/>
          <w:szCs w:val="20"/>
        </w:rPr>
        <w:t xml:space="preserve"> </w:t>
      </w:r>
      <w:r w:rsidRPr="000977F7">
        <w:rPr>
          <w:rFonts w:asciiTheme="majorHAnsi" w:hAnsiTheme="majorHAnsi"/>
          <w:sz w:val="20"/>
          <w:szCs w:val="20"/>
        </w:rPr>
        <w:t>час дії</w:t>
      </w:r>
      <w:r w:rsidRPr="000977F7">
        <w:rPr>
          <w:rFonts w:asciiTheme="majorHAnsi" w:hAnsiTheme="majorHAnsi"/>
          <w:spacing w:val="1"/>
          <w:sz w:val="20"/>
          <w:szCs w:val="20"/>
        </w:rPr>
        <w:t xml:space="preserve"> </w:t>
      </w:r>
      <w:r w:rsidRPr="000977F7">
        <w:rPr>
          <w:rFonts w:asciiTheme="majorHAnsi" w:hAnsiTheme="majorHAnsi"/>
          <w:sz w:val="20"/>
          <w:szCs w:val="20"/>
        </w:rPr>
        <w:t>циклічних</w:t>
      </w:r>
      <w:r w:rsidRPr="000977F7">
        <w:rPr>
          <w:rFonts w:asciiTheme="majorHAnsi" w:hAnsiTheme="majorHAnsi"/>
          <w:spacing w:val="1"/>
          <w:sz w:val="20"/>
          <w:szCs w:val="20"/>
        </w:rPr>
        <w:t xml:space="preserve"> </w:t>
      </w:r>
      <w:r w:rsidRPr="000977F7">
        <w:rPr>
          <w:rFonts w:asciiTheme="majorHAnsi" w:hAnsiTheme="majorHAnsi"/>
          <w:sz w:val="20"/>
          <w:szCs w:val="20"/>
        </w:rPr>
        <w:t>навантажень</w:t>
      </w:r>
    </w:p>
    <w:p w14:paraId="27DBD0D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2444 - 94</w:t>
      </w:r>
    </w:p>
    <w:p w14:paraId="36E6EA7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ЦИКЛІЧНІ</w:t>
      </w:r>
      <w:r w:rsidRPr="000977F7">
        <w:rPr>
          <w:color w:val="auto"/>
          <w:spacing w:val="-4"/>
          <w:sz w:val="20"/>
          <w:szCs w:val="20"/>
        </w:rPr>
        <w:t xml:space="preserve"> </w:t>
      </w:r>
      <w:r w:rsidRPr="000977F7">
        <w:rPr>
          <w:color w:val="auto"/>
          <w:sz w:val="20"/>
          <w:szCs w:val="20"/>
        </w:rPr>
        <w:t>ЗМІНИ</w:t>
      </w:r>
      <w:r w:rsidRPr="000977F7">
        <w:rPr>
          <w:color w:val="auto"/>
          <w:spacing w:val="-3"/>
          <w:sz w:val="20"/>
          <w:szCs w:val="20"/>
        </w:rPr>
        <w:t xml:space="preserve"> </w:t>
      </w:r>
      <w:r w:rsidRPr="000977F7">
        <w:rPr>
          <w:color w:val="auto"/>
          <w:sz w:val="20"/>
          <w:szCs w:val="20"/>
        </w:rPr>
        <w:t>НАПРУГИ</w:t>
      </w:r>
      <w:r w:rsidRPr="000977F7">
        <w:rPr>
          <w:color w:val="auto"/>
          <w:spacing w:val="1"/>
          <w:sz w:val="20"/>
          <w:szCs w:val="20"/>
        </w:rPr>
        <w:t xml:space="preserve"> </w:t>
      </w:r>
      <w:r w:rsidRPr="000977F7">
        <w:rPr>
          <w:color w:val="auto"/>
          <w:sz w:val="20"/>
          <w:szCs w:val="20"/>
        </w:rPr>
        <w:t>–</w:t>
      </w:r>
    </w:p>
    <w:p w14:paraId="53BE5F3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CYCLIC</w:t>
      </w:r>
      <w:r w:rsidRPr="000977F7">
        <w:rPr>
          <w:rFonts w:asciiTheme="majorHAnsi" w:hAnsiTheme="majorHAnsi"/>
          <w:spacing w:val="-2"/>
          <w:sz w:val="20"/>
          <w:szCs w:val="20"/>
        </w:rPr>
        <w:t xml:space="preserve"> </w:t>
      </w:r>
      <w:r w:rsidRPr="000977F7">
        <w:rPr>
          <w:rFonts w:asciiTheme="majorHAnsi" w:hAnsiTheme="majorHAnsi"/>
          <w:sz w:val="20"/>
          <w:szCs w:val="20"/>
        </w:rPr>
        <w:t>VOLTAGE</w:t>
      </w:r>
      <w:r w:rsidRPr="000977F7">
        <w:rPr>
          <w:rFonts w:asciiTheme="majorHAnsi" w:hAnsiTheme="majorHAnsi"/>
          <w:spacing w:val="-1"/>
          <w:sz w:val="20"/>
          <w:szCs w:val="20"/>
        </w:rPr>
        <w:t xml:space="preserve"> </w:t>
      </w:r>
      <w:r w:rsidRPr="000977F7">
        <w:rPr>
          <w:rFonts w:asciiTheme="majorHAnsi" w:hAnsiTheme="majorHAnsi"/>
          <w:sz w:val="20"/>
          <w:szCs w:val="20"/>
        </w:rPr>
        <w:t>VARIATION –</w:t>
      </w:r>
    </w:p>
    <w:p w14:paraId="4958948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Повільні зміни напруги у визначеній точці електричної мережі з добовим, тижневим чи річним циклом,</w:t>
      </w:r>
      <w:r w:rsidRPr="000977F7">
        <w:rPr>
          <w:rFonts w:asciiTheme="majorHAnsi" w:hAnsiTheme="majorHAnsi"/>
          <w:spacing w:val="1"/>
          <w:sz w:val="20"/>
          <w:szCs w:val="20"/>
        </w:rPr>
        <w:t xml:space="preserve"> </w:t>
      </w:r>
      <w:r w:rsidRPr="000977F7">
        <w:rPr>
          <w:rFonts w:asciiTheme="majorHAnsi" w:hAnsiTheme="majorHAnsi"/>
          <w:sz w:val="20"/>
          <w:szCs w:val="20"/>
        </w:rPr>
        <w:t>викликані</w:t>
      </w:r>
      <w:r w:rsidRPr="000977F7">
        <w:rPr>
          <w:rFonts w:asciiTheme="majorHAnsi" w:hAnsiTheme="majorHAnsi"/>
          <w:spacing w:val="1"/>
          <w:sz w:val="20"/>
          <w:szCs w:val="20"/>
        </w:rPr>
        <w:t xml:space="preserve"> </w:t>
      </w:r>
      <w:r w:rsidRPr="000977F7">
        <w:rPr>
          <w:rFonts w:asciiTheme="majorHAnsi" w:hAnsiTheme="majorHAnsi"/>
          <w:sz w:val="20"/>
          <w:szCs w:val="20"/>
        </w:rPr>
        <w:t>змінами</w:t>
      </w:r>
      <w:r w:rsidRPr="000977F7">
        <w:rPr>
          <w:rFonts w:asciiTheme="majorHAnsi" w:hAnsiTheme="majorHAnsi"/>
          <w:spacing w:val="1"/>
          <w:sz w:val="20"/>
          <w:szCs w:val="20"/>
        </w:rPr>
        <w:t xml:space="preserve"> </w:t>
      </w:r>
      <w:r w:rsidRPr="000977F7">
        <w:rPr>
          <w:rFonts w:asciiTheme="majorHAnsi" w:hAnsiTheme="majorHAnsi"/>
          <w:sz w:val="20"/>
          <w:szCs w:val="20"/>
        </w:rPr>
        <w:t>навантаження</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дією</w:t>
      </w:r>
      <w:r w:rsidRPr="000977F7">
        <w:rPr>
          <w:rFonts w:asciiTheme="majorHAnsi" w:hAnsiTheme="majorHAnsi"/>
          <w:spacing w:val="1"/>
          <w:sz w:val="20"/>
          <w:szCs w:val="20"/>
        </w:rPr>
        <w:t xml:space="preserve"> </w:t>
      </w:r>
      <w:r w:rsidRPr="000977F7">
        <w:rPr>
          <w:rFonts w:asciiTheme="majorHAnsi" w:hAnsiTheme="majorHAnsi"/>
          <w:sz w:val="20"/>
          <w:szCs w:val="20"/>
        </w:rPr>
        <w:t>пристроїв</w:t>
      </w:r>
      <w:r w:rsidRPr="000977F7">
        <w:rPr>
          <w:rFonts w:asciiTheme="majorHAnsi" w:hAnsiTheme="majorHAnsi"/>
          <w:spacing w:val="-47"/>
          <w:sz w:val="20"/>
          <w:szCs w:val="20"/>
        </w:rPr>
        <w:t xml:space="preserve">            </w:t>
      </w:r>
      <w:r w:rsidRPr="000977F7">
        <w:rPr>
          <w:rFonts w:asciiTheme="majorHAnsi" w:hAnsiTheme="majorHAnsi"/>
          <w:sz w:val="20"/>
          <w:szCs w:val="20"/>
        </w:rPr>
        <w:t>регулювання</w:t>
      </w:r>
      <w:r w:rsidRPr="000977F7">
        <w:rPr>
          <w:rFonts w:asciiTheme="majorHAnsi" w:hAnsiTheme="majorHAnsi"/>
          <w:spacing w:val="1"/>
          <w:sz w:val="20"/>
          <w:szCs w:val="20"/>
        </w:rPr>
        <w:t xml:space="preserve"> </w:t>
      </w:r>
      <w:r w:rsidRPr="000977F7">
        <w:rPr>
          <w:rFonts w:asciiTheme="majorHAnsi" w:hAnsiTheme="majorHAnsi"/>
          <w:sz w:val="20"/>
          <w:szCs w:val="20"/>
        </w:rPr>
        <w:t>напруги</w:t>
      </w:r>
    </w:p>
    <w:p w14:paraId="6647ECE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7058CB5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ЦИКЛІЧНІ</w:t>
      </w:r>
      <w:r w:rsidRPr="000977F7">
        <w:rPr>
          <w:color w:val="auto"/>
          <w:spacing w:val="-6"/>
          <w:sz w:val="20"/>
          <w:szCs w:val="20"/>
        </w:rPr>
        <w:t xml:space="preserve"> </w:t>
      </w:r>
      <w:r w:rsidRPr="000977F7">
        <w:rPr>
          <w:color w:val="auto"/>
          <w:sz w:val="20"/>
          <w:szCs w:val="20"/>
        </w:rPr>
        <w:t>ВИПРОБУВАННЯ</w:t>
      </w:r>
      <w:r w:rsidRPr="000977F7">
        <w:rPr>
          <w:color w:val="auto"/>
          <w:spacing w:val="-1"/>
          <w:sz w:val="20"/>
          <w:szCs w:val="20"/>
        </w:rPr>
        <w:t xml:space="preserve"> </w:t>
      </w:r>
      <w:r w:rsidRPr="000977F7">
        <w:rPr>
          <w:color w:val="auto"/>
          <w:sz w:val="20"/>
          <w:szCs w:val="20"/>
        </w:rPr>
        <w:t>–</w:t>
      </w:r>
    </w:p>
    <w:p w14:paraId="197D858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CYCLIC</w:t>
      </w:r>
      <w:r w:rsidRPr="000977F7">
        <w:rPr>
          <w:rFonts w:asciiTheme="majorHAnsi" w:hAnsiTheme="majorHAnsi"/>
          <w:spacing w:val="-2"/>
          <w:sz w:val="20"/>
          <w:szCs w:val="20"/>
        </w:rPr>
        <w:t xml:space="preserve"> </w:t>
      </w:r>
      <w:r w:rsidRPr="000977F7">
        <w:rPr>
          <w:rFonts w:asciiTheme="majorHAnsi" w:hAnsiTheme="majorHAnsi"/>
          <w:sz w:val="20"/>
          <w:szCs w:val="20"/>
        </w:rPr>
        <w:t>TEST –</w:t>
      </w:r>
    </w:p>
    <w:p w14:paraId="7F78331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Випробування</w:t>
      </w:r>
      <w:r w:rsidRPr="000977F7">
        <w:rPr>
          <w:rFonts w:asciiTheme="majorHAnsi" w:hAnsiTheme="majorHAnsi"/>
          <w:spacing w:val="-8"/>
          <w:sz w:val="20"/>
          <w:szCs w:val="20"/>
        </w:rPr>
        <w:t xml:space="preserve"> </w:t>
      </w:r>
      <w:r w:rsidRPr="000977F7">
        <w:rPr>
          <w:rFonts w:asciiTheme="majorHAnsi" w:hAnsiTheme="majorHAnsi"/>
          <w:sz w:val="20"/>
          <w:szCs w:val="20"/>
        </w:rPr>
        <w:t>об’єкта</w:t>
      </w:r>
      <w:r w:rsidRPr="000977F7">
        <w:rPr>
          <w:rFonts w:asciiTheme="majorHAnsi" w:hAnsiTheme="majorHAnsi"/>
          <w:spacing w:val="-4"/>
          <w:sz w:val="20"/>
          <w:szCs w:val="20"/>
        </w:rPr>
        <w:t xml:space="preserve"> </w:t>
      </w:r>
      <w:r w:rsidRPr="000977F7">
        <w:rPr>
          <w:rFonts w:asciiTheme="majorHAnsi" w:hAnsiTheme="majorHAnsi"/>
          <w:sz w:val="20"/>
          <w:szCs w:val="20"/>
        </w:rPr>
        <w:t>циклічним</w:t>
      </w:r>
      <w:r w:rsidRPr="000977F7">
        <w:rPr>
          <w:rFonts w:asciiTheme="majorHAnsi" w:hAnsiTheme="majorHAnsi"/>
          <w:spacing w:val="-6"/>
          <w:sz w:val="20"/>
          <w:szCs w:val="20"/>
        </w:rPr>
        <w:t xml:space="preserve"> </w:t>
      </w:r>
      <w:r w:rsidRPr="000977F7">
        <w:rPr>
          <w:rFonts w:asciiTheme="majorHAnsi" w:hAnsiTheme="majorHAnsi"/>
          <w:sz w:val="20"/>
          <w:szCs w:val="20"/>
        </w:rPr>
        <w:t>навантажуванням</w:t>
      </w:r>
    </w:p>
    <w:p w14:paraId="414C787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DB5F37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ЦИКЛОГРАМА</w:t>
      </w:r>
      <w:r w:rsidRPr="000977F7">
        <w:rPr>
          <w:color w:val="auto"/>
          <w:spacing w:val="-5"/>
          <w:sz w:val="20"/>
          <w:szCs w:val="20"/>
        </w:rPr>
        <w:t xml:space="preserve"> </w:t>
      </w:r>
      <w:r w:rsidRPr="000977F7">
        <w:rPr>
          <w:color w:val="auto"/>
          <w:sz w:val="20"/>
          <w:szCs w:val="20"/>
        </w:rPr>
        <w:t>КОНТРОЛЮ</w:t>
      </w:r>
      <w:r w:rsidRPr="000977F7">
        <w:rPr>
          <w:color w:val="auto"/>
          <w:spacing w:val="-4"/>
          <w:sz w:val="20"/>
          <w:szCs w:val="20"/>
        </w:rPr>
        <w:t xml:space="preserve"> </w:t>
      </w:r>
      <w:r w:rsidRPr="000977F7">
        <w:rPr>
          <w:color w:val="auto"/>
          <w:sz w:val="20"/>
          <w:szCs w:val="20"/>
        </w:rPr>
        <w:t>–</w:t>
      </w:r>
    </w:p>
    <w:p w14:paraId="38495F8A" w14:textId="77777777" w:rsidR="0097612F" w:rsidRPr="000977F7" w:rsidRDefault="0097612F" w:rsidP="000977F7">
      <w:pPr>
        <w:pStyle w:val="af6"/>
        <w:tabs>
          <w:tab w:val="left" w:pos="284"/>
        </w:tabs>
        <w:spacing w:after="0"/>
        <w:ind w:left="170"/>
        <w:mirrorIndents/>
        <w:jc w:val="both"/>
        <w:rPr>
          <w:rFonts w:asciiTheme="majorHAnsi" w:hAnsiTheme="majorHAnsi"/>
          <w:iCs/>
          <w:sz w:val="20"/>
          <w:szCs w:val="20"/>
        </w:rPr>
      </w:pPr>
      <w:r w:rsidRPr="000977F7">
        <w:rPr>
          <w:rFonts w:asciiTheme="majorHAnsi" w:hAnsiTheme="majorHAnsi"/>
          <w:sz w:val="20"/>
          <w:szCs w:val="20"/>
        </w:rPr>
        <w:t>Графічне зображення однократного виконання алгоритму контролю з вказанням інтервалів часу виконанн</w:t>
      </w:r>
      <w:r w:rsidRPr="000977F7">
        <w:rPr>
          <w:rFonts w:asciiTheme="majorHAnsi" w:hAnsiTheme="majorHAnsi"/>
          <w:i/>
          <w:sz w:val="20"/>
          <w:szCs w:val="20"/>
        </w:rPr>
        <w:t xml:space="preserve">я </w:t>
      </w:r>
      <w:r w:rsidRPr="000977F7">
        <w:rPr>
          <w:rFonts w:asciiTheme="majorHAnsi" w:hAnsiTheme="majorHAnsi"/>
          <w:iCs/>
          <w:sz w:val="20"/>
          <w:szCs w:val="20"/>
        </w:rPr>
        <w:t>кожної</w:t>
      </w:r>
      <w:r w:rsidRPr="000977F7">
        <w:rPr>
          <w:rFonts w:asciiTheme="majorHAnsi" w:hAnsiTheme="majorHAnsi"/>
          <w:iCs/>
          <w:spacing w:val="-1"/>
          <w:sz w:val="20"/>
          <w:szCs w:val="20"/>
        </w:rPr>
        <w:t xml:space="preserve"> </w:t>
      </w:r>
      <w:r w:rsidRPr="000977F7">
        <w:rPr>
          <w:rFonts w:asciiTheme="majorHAnsi" w:hAnsiTheme="majorHAnsi"/>
          <w:iCs/>
          <w:sz w:val="20"/>
          <w:szCs w:val="20"/>
        </w:rPr>
        <w:t>дії</w:t>
      </w:r>
    </w:p>
    <w:p w14:paraId="71E30606" w14:textId="77777777" w:rsidR="0097612F" w:rsidRPr="000977F7" w:rsidRDefault="0097612F" w:rsidP="000977F7">
      <w:pPr>
        <w:pStyle w:val="7"/>
        <w:tabs>
          <w:tab w:val="left" w:pos="284"/>
        </w:tabs>
        <w:spacing w:before="0" w:line="240" w:lineRule="auto"/>
        <w:ind w:left="170"/>
        <w:mirrorIndents/>
        <w:jc w:val="both"/>
        <w:rPr>
          <w:i/>
          <w:color w:val="auto"/>
          <w:sz w:val="20"/>
          <w:szCs w:val="20"/>
        </w:rPr>
      </w:pPr>
      <w:r w:rsidRPr="000977F7">
        <w:rPr>
          <w:color w:val="auto"/>
          <w:sz w:val="20"/>
          <w:szCs w:val="20"/>
        </w:rPr>
        <w:t>ЦИЛІНДРИЧНА</w:t>
      </w:r>
      <w:r w:rsidRPr="000977F7">
        <w:rPr>
          <w:color w:val="auto"/>
          <w:spacing w:val="-4"/>
          <w:sz w:val="20"/>
          <w:szCs w:val="20"/>
        </w:rPr>
        <w:t xml:space="preserve"> </w:t>
      </w:r>
      <w:r w:rsidRPr="000977F7">
        <w:rPr>
          <w:color w:val="auto"/>
          <w:sz w:val="20"/>
          <w:szCs w:val="20"/>
        </w:rPr>
        <w:t>(СФЕРИЧНА)</w:t>
      </w:r>
      <w:r w:rsidRPr="000977F7">
        <w:rPr>
          <w:color w:val="auto"/>
          <w:spacing w:val="-4"/>
          <w:sz w:val="20"/>
          <w:szCs w:val="20"/>
        </w:rPr>
        <w:t xml:space="preserve"> </w:t>
      </w:r>
      <w:r w:rsidRPr="000977F7">
        <w:rPr>
          <w:color w:val="auto"/>
          <w:sz w:val="20"/>
          <w:szCs w:val="20"/>
        </w:rPr>
        <w:t xml:space="preserve">ХВИЛЯ </w:t>
      </w:r>
      <w:r w:rsidRPr="000977F7">
        <w:rPr>
          <w:i/>
          <w:color w:val="auto"/>
          <w:sz w:val="20"/>
          <w:szCs w:val="20"/>
        </w:rPr>
        <w:t>–</w:t>
      </w:r>
    </w:p>
    <w:p w14:paraId="2D6B0CAA"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iCs/>
          <w:sz w:val="20"/>
          <w:szCs w:val="20"/>
        </w:rPr>
        <w:t>CYLINDRIC</w:t>
      </w:r>
      <w:r w:rsidRPr="000977F7">
        <w:rPr>
          <w:rFonts w:asciiTheme="majorHAnsi" w:hAnsiTheme="majorHAnsi"/>
          <w:iCs/>
          <w:spacing w:val="-3"/>
          <w:sz w:val="20"/>
          <w:szCs w:val="20"/>
        </w:rPr>
        <w:t xml:space="preserve"> </w:t>
      </w:r>
      <w:r w:rsidRPr="000977F7">
        <w:rPr>
          <w:rFonts w:asciiTheme="majorHAnsi" w:hAnsiTheme="majorHAnsi"/>
          <w:iCs/>
          <w:sz w:val="20"/>
          <w:szCs w:val="20"/>
        </w:rPr>
        <w:t>(SPHERICAL)</w:t>
      </w:r>
      <w:r w:rsidRPr="000977F7">
        <w:rPr>
          <w:rFonts w:asciiTheme="majorHAnsi" w:hAnsiTheme="majorHAnsi"/>
          <w:iCs/>
          <w:spacing w:val="-6"/>
          <w:sz w:val="20"/>
          <w:szCs w:val="20"/>
        </w:rPr>
        <w:t xml:space="preserve"> </w:t>
      </w:r>
      <w:r w:rsidRPr="000977F7">
        <w:rPr>
          <w:rFonts w:asciiTheme="majorHAnsi" w:hAnsiTheme="majorHAnsi"/>
          <w:iCs/>
          <w:sz w:val="20"/>
          <w:szCs w:val="20"/>
        </w:rPr>
        <w:t>WAVE</w:t>
      </w:r>
      <w:r w:rsidRPr="000977F7">
        <w:rPr>
          <w:rFonts w:asciiTheme="majorHAnsi" w:hAnsiTheme="majorHAnsi"/>
          <w:iCs/>
          <w:spacing w:val="1"/>
          <w:sz w:val="20"/>
          <w:szCs w:val="20"/>
        </w:rPr>
        <w:t xml:space="preserve"> </w:t>
      </w:r>
      <w:r w:rsidRPr="000977F7">
        <w:rPr>
          <w:rFonts w:asciiTheme="majorHAnsi" w:hAnsiTheme="majorHAnsi"/>
          <w:iCs/>
          <w:sz w:val="20"/>
          <w:szCs w:val="20"/>
        </w:rPr>
        <w:t>–</w:t>
      </w:r>
    </w:p>
    <w:p w14:paraId="7ED1B297"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iCs/>
          <w:sz w:val="20"/>
          <w:szCs w:val="20"/>
        </w:rPr>
        <w:t>Хвиля, фронт якої є циліндричною (сферичною) поверхнею, радіуси якої збігаються з напрямами поширення</w:t>
      </w:r>
      <w:r w:rsidRPr="000977F7">
        <w:rPr>
          <w:rFonts w:asciiTheme="majorHAnsi" w:hAnsiTheme="majorHAnsi"/>
          <w:iCs/>
          <w:spacing w:val="-1"/>
          <w:sz w:val="20"/>
          <w:szCs w:val="20"/>
        </w:rPr>
        <w:t xml:space="preserve"> </w:t>
      </w:r>
      <w:r w:rsidRPr="000977F7">
        <w:rPr>
          <w:rFonts w:asciiTheme="majorHAnsi" w:hAnsiTheme="majorHAnsi"/>
          <w:iCs/>
          <w:sz w:val="20"/>
          <w:szCs w:val="20"/>
        </w:rPr>
        <w:t>хвилі</w:t>
      </w:r>
    </w:p>
    <w:p w14:paraId="4DBD4D1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2300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7242ECC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ЦИРКУЛЯЦІЯ РЕЧОВИН У </w:t>
      </w:r>
    </w:p>
    <w:p w14:paraId="0C827972" w14:textId="77777777" w:rsidR="0097612F" w:rsidRPr="000977F7" w:rsidRDefault="0097612F" w:rsidP="000977F7">
      <w:pPr>
        <w:pStyle w:val="7"/>
        <w:tabs>
          <w:tab w:val="left" w:pos="284"/>
        </w:tabs>
        <w:spacing w:before="0" w:line="240" w:lineRule="auto"/>
        <w:ind w:left="170"/>
        <w:mirrorIndents/>
        <w:jc w:val="both"/>
        <w:rPr>
          <w:i/>
          <w:color w:val="auto"/>
          <w:sz w:val="20"/>
          <w:szCs w:val="20"/>
        </w:rPr>
      </w:pPr>
      <w:r w:rsidRPr="000977F7">
        <w:rPr>
          <w:color w:val="auto"/>
          <w:sz w:val="20"/>
          <w:szCs w:val="20"/>
        </w:rPr>
        <w:t>НАВКОЛИШНЬОМУ</w:t>
      </w:r>
      <w:r w:rsidRPr="000977F7">
        <w:rPr>
          <w:color w:val="auto"/>
          <w:spacing w:val="-1"/>
          <w:sz w:val="20"/>
          <w:szCs w:val="20"/>
        </w:rPr>
        <w:t xml:space="preserve"> </w:t>
      </w:r>
      <w:r w:rsidRPr="000977F7">
        <w:rPr>
          <w:color w:val="auto"/>
          <w:sz w:val="20"/>
          <w:szCs w:val="20"/>
        </w:rPr>
        <w:t xml:space="preserve">СЕРЕДОВИЩІ </w:t>
      </w:r>
      <w:r w:rsidRPr="000977F7">
        <w:rPr>
          <w:i/>
          <w:color w:val="auto"/>
          <w:sz w:val="20"/>
          <w:szCs w:val="20"/>
        </w:rPr>
        <w:t>–</w:t>
      </w:r>
    </w:p>
    <w:p w14:paraId="0479B44E"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iCs/>
          <w:sz w:val="20"/>
          <w:szCs w:val="20"/>
        </w:rPr>
        <w:t>Переміщення речовин у навколишньому середовищі з</w:t>
      </w:r>
      <w:r w:rsidRPr="000977F7">
        <w:rPr>
          <w:rFonts w:asciiTheme="majorHAnsi" w:hAnsiTheme="majorHAnsi"/>
          <w:iCs/>
          <w:spacing w:val="1"/>
          <w:sz w:val="20"/>
          <w:szCs w:val="20"/>
        </w:rPr>
        <w:t xml:space="preserve"> </w:t>
      </w:r>
      <w:r w:rsidRPr="000977F7">
        <w:rPr>
          <w:rFonts w:asciiTheme="majorHAnsi" w:hAnsiTheme="majorHAnsi"/>
          <w:iCs/>
          <w:sz w:val="20"/>
          <w:szCs w:val="20"/>
        </w:rPr>
        <w:t>повітряними</w:t>
      </w:r>
      <w:r w:rsidRPr="000977F7">
        <w:rPr>
          <w:rFonts w:asciiTheme="majorHAnsi" w:hAnsiTheme="majorHAnsi"/>
          <w:iCs/>
          <w:spacing w:val="1"/>
          <w:sz w:val="20"/>
          <w:szCs w:val="20"/>
        </w:rPr>
        <w:t xml:space="preserve"> </w:t>
      </w:r>
      <w:r w:rsidRPr="000977F7">
        <w:rPr>
          <w:rFonts w:asciiTheme="majorHAnsi" w:hAnsiTheme="majorHAnsi"/>
          <w:iCs/>
          <w:sz w:val="20"/>
          <w:szCs w:val="20"/>
        </w:rPr>
        <w:t>потоками,</w:t>
      </w:r>
      <w:r w:rsidRPr="000977F7">
        <w:rPr>
          <w:rFonts w:asciiTheme="majorHAnsi" w:hAnsiTheme="majorHAnsi"/>
          <w:iCs/>
          <w:spacing w:val="1"/>
          <w:sz w:val="20"/>
          <w:szCs w:val="20"/>
        </w:rPr>
        <w:t xml:space="preserve"> </w:t>
      </w:r>
      <w:r w:rsidRPr="000977F7">
        <w:rPr>
          <w:rFonts w:asciiTheme="majorHAnsi" w:hAnsiTheme="majorHAnsi"/>
          <w:iCs/>
          <w:sz w:val="20"/>
          <w:szCs w:val="20"/>
        </w:rPr>
        <w:t>водами</w:t>
      </w:r>
      <w:r w:rsidRPr="000977F7">
        <w:rPr>
          <w:rFonts w:asciiTheme="majorHAnsi" w:hAnsiTheme="majorHAnsi"/>
          <w:iCs/>
          <w:spacing w:val="1"/>
          <w:sz w:val="20"/>
          <w:szCs w:val="20"/>
        </w:rPr>
        <w:t xml:space="preserve"> </w:t>
      </w:r>
      <w:r w:rsidRPr="000977F7">
        <w:rPr>
          <w:rFonts w:asciiTheme="majorHAnsi" w:hAnsiTheme="majorHAnsi"/>
          <w:iCs/>
          <w:sz w:val="20"/>
          <w:szCs w:val="20"/>
        </w:rPr>
        <w:t>річок,</w:t>
      </w:r>
      <w:r w:rsidRPr="000977F7">
        <w:rPr>
          <w:rFonts w:asciiTheme="majorHAnsi" w:hAnsiTheme="majorHAnsi"/>
          <w:iCs/>
          <w:spacing w:val="1"/>
          <w:sz w:val="20"/>
          <w:szCs w:val="20"/>
        </w:rPr>
        <w:t xml:space="preserve"> </w:t>
      </w:r>
      <w:r w:rsidRPr="000977F7">
        <w:rPr>
          <w:rFonts w:asciiTheme="majorHAnsi" w:hAnsiTheme="majorHAnsi"/>
          <w:iCs/>
          <w:sz w:val="20"/>
          <w:szCs w:val="20"/>
        </w:rPr>
        <w:t>ґрунтовими</w:t>
      </w:r>
      <w:r w:rsidRPr="000977F7">
        <w:rPr>
          <w:rFonts w:asciiTheme="majorHAnsi" w:hAnsiTheme="majorHAnsi"/>
          <w:iCs/>
          <w:spacing w:val="1"/>
          <w:sz w:val="20"/>
          <w:szCs w:val="20"/>
        </w:rPr>
        <w:t xml:space="preserve"> </w:t>
      </w:r>
      <w:r w:rsidRPr="000977F7">
        <w:rPr>
          <w:rFonts w:asciiTheme="majorHAnsi" w:hAnsiTheme="majorHAnsi"/>
          <w:iCs/>
          <w:sz w:val="20"/>
          <w:szCs w:val="20"/>
        </w:rPr>
        <w:t>водами,</w:t>
      </w:r>
      <w:r w:rsidRPr="000977F7">
        <w:rPr>
          <w:rFonts w:asciiTheme="majorHAnsi" w:hAnsiTheme="majorHAnsi"/>
          <w:iCs/>
          <w:spacing w:val="-1"/>
          <w:sz w:val="20"/>
          <w:szCs w:val="20"/>
        </w:rPr>
        <w:t xml:space="preserve"> </w:t>
      </w:r>
      <w:r w:rsidRPr="000977F7">
        <w:rPr>
          <w:rFonts w:asciiTheme="majorHAnsi" w:hAnsiTheme="majorHAnsi"/>
          <w:iCs/>
          <w:sz w:val="20"/>
          <w:szCs w:val="20"/>
        </w:rPr>
        <w:t>по</w:t>
      </w:r>
      <w:r w:rsidRPr="000977F7">
        <w:rPr>
          <w:rFonts w:asciiTheme="majorHAnsi" w:hAnsiTheme="majorHAnsi"/>
          <w:iCs/>
          <w:spacing w:val="-2"/>
          <w:sz w:val="20"/>
          <w:szCs w:val="20"/>
        </w:rPr>
        <w:t xml:space="preserve"> </w:t>
      </w:r>
      <w:r w:rsidRPr="000977F7">
        <w:rPr>
          <w:rFonts w:asciiTheme="majorHAnsi" w:hAnsiTheme="majorHAnsi"/>
          <w:iCs/>
          <w:sz w:val="20"/>
          <w:szCs w:val="20"/>
        </w:rPr>
        <w:t>харчових та</w:t>
      </w:r>
      <w:r w:rsidRPr="000977F7">
        <w:rPr>
          <w:rFonts w:asciiTheme="majorHAnsi" w:hAnsiTheme="majorHAnsi"/>
          <w:iCs/>
          <w:spacing w:val="-2"/>
          <w:sz w:val="20"/>
          <w:szCs w:val="20"/>
        </w:rPr>
        <w:t xml:space="preserve"> </w:t>
      </w:r>
      <w:r w:rsidRPr="000977F7">
        <w:rPr>
          <w:rFonts w:asciiTheme="majorHAnsi" w:hAnsiTheme="majorHAnsi"/>
          <w:iCs/>
          <w:sz w:val="20"/>
          <w:szCs w:val="20"/>
        </w:rPr>
        <w:t>інших ланцюжках</w:t>
      </w:r>
    </w:p>
    <w:p w14:paraId="4C06B60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3038 - 95</w:t>
      </w:r>
    </w:p>
    <w:p w14:paraId="388306E3" w14:textId="77777777" w:rsidR="0097612F" w:rsidRPr="000977F7" w:rsidRDefault="0097612F" w:rsidP="000977F7">
      <w:pPr>
        <w:pStyle w:val="7"/>
        <w:tabs>
          <w:tab w:val="left" w:pos="284"/>
        </w:tabs>
        <w:spacing w:before="0" w:line="240" w:lineRule="auto"/>
        <w:ind w:left="170"/>
        <w:mirrorIndents/>
        <w:jc w:val="both"/>
        <w:rPr>
          <w:i/>
          <w:color w:val="auto"/>
          <w:sz w:val="20"/>
          <w:szCs w:val="20"/>
        </w:rPr>
      </w:pPr>
      <w:r w:rsidRPr="000977F7">
        <w:rPr>
          <w:color w:val="auto"/>
          <w:sz w:val="20"/>
          <w:szCs w:val="20"/>
        </w:rPr>
        <w:t>ЦИФРОВИЙ</w:t>
      </w:r>
      <w:r w:rsidRPr="000977F7">
        <w:rPr>
          <w:color w:val="auto"/>
          <w:spacing w:val="-4"/>
          <w:sz w:val="20"/>
          <w:szCs w:val="20"/>
        </w:rPr>
        <w:t xml:space="preserve"> </w:t>
      </w:r>
      <w:r w:rsidRPr="000977F7">
        <w:rPr>
          <w:color w:val="auto"/>
          <w:sz w:val="20"/>
          <w:szCs w:val="20"/>
        </w:rPr>
        <w:t>ВИМІРЮВАЛЬНИЙ</w:t>
      </w:r>
      <w:r w:rsidRPr="000977F7">
        <w:rPr>
          <w:color w:val="auto"/>
          <w:spacing w:val="-3"/>
          <w:sz w:val="20"/>
          <w:szCs w:val="20"/>
        </w:rPr>
        <w:t xml:space="preserve"> </w:t>
      </w:r>
      <w:r w:rsidRPr="000977F7">
        <w:rPr>
          <w:color w:val="auto"/>
          <w:sz w:val="20"/>
          <w:szCs w:val="20"/>
        </w:rPr>
        <w:t>ПРИЛАД</w:t>
      </w:r>
      <w:r w:rsidRPr="000977F7">
        <w:rPr>
          <w:color w:val="auto"/>
          <w:spacing w:val="-4"/>
          <w:sz w:val="20"/>
          <w:szCs w:val="20"/>
        </w:rPr>
        <w:t xml:space="preserve"> </w:t>
      </w:r>
      <w:r w:rsidRPr="000977F7">
        <w:rPr>
          <w:i/>
          <w:color w:val="auto"/>
          <w:sz w:val="20"/>
          <w:szCs w:val="20"/>
        </w:rPr>
        <w:t>–</w:t>
      </w:r>
    </w:p>
    <w:p w14:paraId="15ABF71A" w14:textId="77777777" w:rsidR="0097612F" w:rsidRPr="004D2D14" w:rsidRDefault="0097612F" w:rsidP="000977F7">
      <w:pPr>
        <w:tabs>
          <w:tab w:val="left" w:pos="284"/>
        </w:tabs>
        <w:spacing w:after="0" w:line="240" w:lineRule="auto"/>
        <w:ind w:left="170"/>
        <w:mirrorIndents/>
        <w:jc w:val="both"/>
        <w:rPr>
          <w:rFonts w:asciiTheme="majorHAnsi" w:hAnsiTheme="majorHAnsi"/>
          <w:iCs/>
          <w:sz w:val="20"/>
          <w:szCs w:val="20"/>
          <w:lang w:val="en-US"/>
        </w:rPr>
      </w:pPr>
      <w:r w:rsidRPr="004D2D14">
        <w:rPr>
          <w:rFonts w:asciiTheme="majorHAnsi" w:hAnsiTheme="majorHAnsi"/>
          <w:iCs/>
          <w:sz w:val="20"/>
          <w:szCs w:val="20"/>
          <w:lang w:val="en-US"/>
        </w:rPr>
        <w:t>DIGITAL</w:t>
      </w:r>
      <w:r w:rsidRPr="004D2D14">
        <w:rPr>
          <w:rFonts w:asciiTheme="majorHAnsi" w:hAnsiTheme="majorHAnsi"/>
          <w:iCs/>
          <w:spacing w:val="-4"/>
          <w:sz w:val="20"/>
          <w:szCs w:val="20"/>
          <w:lang w:val="en-US"/>
        </w:rPr>
        <w:t xml:space="preserve"> </w:t>
      </w:r>
      <w:r w:rsidRPr="004D2D14">
        <w:rPr>
          <w:rFonts w:asciiTheme="majorHAnsi" w:hAnsiTheme="majorHAnsi"/>
          <w:iCs/>
          <w:sz w:val="20"/>
          <w:szCs w:val="20"/>
          <w:lang w:val="en-US"/>
        </w:rPr>
        <w:t>MEASURING</w:t>
      </w:r>
      <w:r w:rsidRPr="004D2D14">
        <w:rPr>
          <w:rFonts w:asciiTheme="majorHAnsi" w:hAnsiTheme="majorHAnsi"/>
          <w:iCs/>
          <w:spacing w:val="-3"/>
          <w:sz w:val="20"/>
          <w:szCs w:val="20"/>
          <w:lang w:val="en-US"/>
        </w:rPr>
        <w:t xml:space="preserve"> </w:t>
      </w:r>
      <w:r w:rsidRPr="004D2D14">
        <w:rPr>
          <w:rFonts w:asciiTheme="majorHAnsi" w:hAnsiTheme="majorHAnsi"/>
          <w:iCs/>
          <w:sz w:val="20"/>
          <w:szCs w:val="20"/>
          <w:lang w:val="en-US"/>
        </w:rPr>
        <w:t>INSTRUMENT –</w:t>
      </w:r>
    </w:p>
    <w:p w14:paraId="0133629C"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iCs/>
          <w:sz w:val="20"/>
          <w:szCs w:val="20"/>
        </w:rPr>
        <w:t>Вимірювальний прилад, в якому візуальний сигнал вимірювальної інформації подається у вигляді цифр чи</w:t>
      </w:r>
      <w:r w:rsidRPr="000977F7">
        <w:rPr>
          <w:rFonts w:asciiTheme="majorHAnsi" w:hAnsiTheme="majorHAnsi"/>
          <w:iCs/>
          <w:spacing w:val="1"/>
          <w:sz w:val="20"/>
          <w:szCs w:val="20"/>
        </w:rPr>
        <w:t xml:space="preserve"> </w:t>
      </w:r>
      <w:r w:rsidRPr="000977F7">
        <w:rPr>
          <w:rFonts w:asciiTheme="majorHAnsi" w:hAnsiTheme="majorHAnsi"/>
          <w:iCs/>
          <w:sz w:val="20"/>
          <w:szCs w:val="20"/>
        </w:rPr>
        <w:t>символів</w:t>
      </w:r>
      <w:r w:rsidRPr="000977F7">
        <w:rPr>
          <w:rFonts w:asciiTheme="majorHAnsi" w:hAnsiTheme="majorHAnsi"/>
          <w:iCs/>
          <w:spacing w:val="-2"/>
          <w:sz w:val="20"/>
          <w:szCs w:val="20"/>
        </w:rPr>
        <w:t xml:space="preserve"> </w:t>
      </w:r>
      <w:r w:rsidRPr="000977F7">
        <w:rPr>
          <w:rFonts w:asciiTheme="majorHAnsi" w:hAnsiTheme="majorHAnsi"/>
          <w:iCs/>
          <w:sz w:val="20"/>
          <w:szCs w:val="20"/>
        </w:rPr>
        <w:t>на</w:t>
      </w:r>
      <w:r w:rsidRPr="000977F7">
        <w:rPr>
          <w:rFonts w:asciiTheme="majorHAnsi" w:hAnsiTheme="majorHAnsi"/>
          <w:iCs/>
          <w:spacing w:val="1"/>
          <w:sz w:val="20"/>
          <w:szCs w:val="20"/>
        </w:rPr>
        <w:t xml:space="preserve"> </w:t>
      </w:r>
      <w:r w:rsidRPr="000977F7">
        <w:rPr>
          <w:rFonts w:asciiTheme="majorHAnsi" w:hAnsiTheme="majorHAnsi"/>
          <w:iCs/>
          <w:sz w:val="20"/>
          <w:szCs w:val="20"/>
        </w:rPr>
        <w:t>показувальному пристрої</w:t>
      </w:r>
    </w:p>
    <w:p w14:paraId="2B5ABD0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w:t>
      </w:r>
      <w:r w:rsidRPr="000977F7">
        <w:rPr>
          <w:rFonts w:asciiTheme="majorHAnsi" w:hAnsiTheme="majorHAnsi"/>
          <w:i/>
          <w:spacing w:val="2"/>
          <w:sz w:val="20"/>
          <w:szCs w:val="20"/>
        </w:rPr>
        <w:t xml:space="preserve"> </w:t>
      </w:r>
      <w:r w:rsidRPr="000977F7">
        <w:rPr>
          <w:rFonts w:asciiTheme="majorHAnsi" w:hAnsiTheme="majorHAnsi"/>
          <w:i/>
          <w:sz w:val="20"/>
          <w:szCs w:val="20"/>
        </w:rPr>
        <w:t>– 94</w:t>
      </w:r>
    </w:p>
    <w:p w14:paraId="5313BFB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b/>
          <w:sz w:val="20"/>
          <w:szCs w:val="20"/>
        </w:rPr>
        <w:t xml:space="preserve">ЦИФРОВИЙ СИГНАЛ </w:t>
      </w:r>
      <w:r w:rsidRPr="000977F7">
        <w:rPr>
          <w:rFonts w:asciiTheme="majorHAnsi" w:hAnsiTheme="majorHAnsi"/>
          <w:i/>
          <w:sz w:val="20"/>
          <w:szCs w:val="20"/>
        </w:rPr>
        <w:t>–</w:t>
      </w:r>
    </w:p>
    <w:p w14:paraId="37AFB274"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i/>
          <w:spacing w:val="-47"/>
          <w:sz w:val="20"/>
          <w:szCs w:val="20"/>
        </w:rPr>
        <w:t xml:space="preserve"> </w:t>
      </w:r>
      <w:r w:rsidRPr="000977F7">
        <w:rPr>
          <w:rFonts w:asciiTheme="majorHAnsi" w:hAnsiTheme="majorHAnsi"/>
          <w:iCs/>
          <w:sz w:val="20"/>
          <w:szCs w:val="20"/>
        </w:rPr>
        <w:t>DIGITAL</w:t>
      </w:r>
      <w:r w:rsidRPr="000977F7">
        <w:rPr>
          <w:rFonts w:asciiTheme="majorHAnsi" w:hAnsiTheme="majorHAnsi"/>
          <w:iCs/>
          <w:spacing w:val="-2"/>
          <w:sz w:val="20"/>
          <w:szCs w:val="20"/>
        </w:rPr>
        <w:t xml:space="preserve"> </w:t>
      </w:r>
      <w:r w:rsidRPr="000977F7">
        <w:rPr>
          <w:rFonts w:asciiTheme="majorHAnsi" w:hAnsiTheme="majorHAnsi"/>
          <w:iCs/>
          <w:sz w:val="20"/>
          <w:szCs w:val="20"/>
        </w:rPr>
        <w:t>SIGNAL</w:t>
      </w:r>
      <w:r w:rsidRPr="000977F7">
        <w:rPr>
          <w:rFonts w:asciiTheme="majorHAnsi" w:hAnsiTheme="majorHAnsi"/>
          <w:iCs/>
          <w:spacing w:val="1"/>
          <w:sz w:val="20"/>
          <w:szCs w:val="20"/>
        </w:rPr>
        <w:t xml:space="preserve"> </w:t>
      </w:r>
      <w:r w:rsidRPr="000977F7">
        <w:rPr>
          <w:rFonts w:asciiTheme="majorHAnsi" w:hAnsiTheme="majorHAnsi"/>
          <w:iCs/>
          <w:sz w:val="20"/>
          <w:szCs w:val="20"/>
        </w:rPr>
        <w:t>–</w:t>
      </w:r>
    </w:p>
    <w:p w14:paraId="6A5DE6CD"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iCs/>
          <w:sz w:val="20"/>
          <w:szCs w:val="20"/>
        </w:rPr>
        <w:t>Складений сигнал, у якому сукупність значень інформативних</w:t>
      </w:r>
      <w:r w:rsidRPr="000977F7">
        <w:rPr>
          <w:rFonts w:asciiTheme="majorHAnsi" w:hAnsiTheme="majorHAnsi"/>
          <w:iCs/>
          <w:spacing w:val="1"/>
          <w:sz w:val="20"/>
          <w:szCs w:val="20"/>
        </w:rPr>
        <w:t xml:space="preserve"> </w:t>
      </w:r>
      <w:r w:rsidRPr="000977F7">
        <w:rPr>
          <w:rFonts w:asciiTheme="majorHAnsi" w:hAnsiTheme="majorHAnsi"/>
          <w:iCs/>
          <w:sz w:val="20"/>
          <w:szCs w:val="20"/>
        </w:rPr>
        <w:t>параметрів</w:t>
      </w:r>
      <w:r w:rsidRPr="000977F7">
        <w:rPr>
          <w:rFonts w:asciiTheme="majorHAnsi" w:hAnsiTheme="majorHAnsi"/>
          <w:iCs/>
          <w:spacing w:val="1"/>
          <w:sz w:val="20"/>
          <w:szCs w:val="20"/>
        </w:rPr>
        <w:t xml:space="preserve"> </w:t>
      </w:r>
      <w:r w:rsidRPr="000977F7">
        <w:rPr>
          <w:rFonts w:asciiTheme="majorHAnsi" w:hAnsiTheme="majorHAnsi"/>
          <w:iCs/>
          <w:sz w:val="20"/>
          <w:szCs w:val="20"/>
        </w:rPr>
        <w:t>двійкових</w:t>
      </w:r>
      <w:r w:rsidRPr="000977F7">
        <w:rPr>
          <w:rFonts w:asciiTheme="majorHAnsi" w:hAnsiTheme="majorHAnsi"/>
          <w:iCs/>
          <w:spacing w:val="1"/>
          <w:sz w:val="20"/>
          <w:szCs w:val="20"/>
        </w:rPr>
        <w:t xml:space="preserve"> </w:t>
      </w:r>
      <w:r w:rsidRPr="000977F7">
        <w:rPr>
          <w:rFonts w:asciiTheme="majorHAnsi" w:hAnsiTheme="majorHAnsi"/>
          <w:iCs/>
          <w:sz w:val="20"/>
          <w:szCs w:val="20"/>
        </w:rPr>
        <w:t>сигналів,</w:t>
      </w:r>
      <w:r w:rsidRPr="000977F7">
        <w:rPr>
          <w:rFonts w:asciiTheme="majorHAnsi" w:hAnsiTheme="majorHAnsi"/>
          <w:iCs/>
          <w:spacing w:val="1"/>
          <w:sz w:val="20"/>
          <w:szCs w:val="20"/>
        </w:rPr>
        <w:t xml:space="preserve"> </w:t>
      </w:r>
      <w:r w:rsidRPr="000977F7">
        <w:rPr>
          <w:rFonts w:asciiTheme="majorHAnsi" w:hAnsiTheme="majorHAnsi"/>
          <w:iCs/>
          <w:sz w:val="20"/>
          <w:szCs w:val="20"/>
        </w:rPr>
        <w:t>що</w:t>
      </w:r>
      <w:r w:rsidRPr="000977F7">
        <w:rPr>
          <w:rFonts w:asciiTheme="majorHAnsi" w:hAnsiTheme="majorHAnsi"/>
          <w:iCs/>
          <w:spacing w:val="1"/>
          <w:sz w:val="20"/>
          <w:szCs w:val="20"/>
        </w:rPr>
        <w:t xml:space="preserve"> </w:t>
      </w:r>
      <w:r w:rsidRPr="000977F7">
        <w:rPr>
          <w:rFonts w:asciiTheme="majorHAnsi" w:hAnsiTheme="majorHAnsi"/>
          <w:iCs/>
          <w:sz w:val="20"/>
          <w:szCs w:val="20"/>
        </w:rPr>
        <w:t>його</w:t>
      </w:r>
      <w:r w:rsidRPr="000977F7">
        <w:rPr>
          <w:rFonts w:asciiTheme="majorHAnsi" w:hAnsiTheme="majorHAnsi"/>
          <w:iCs/>
          <w:spacing w:val="1"/>
          <w:sz w:val="20"/>
          <w:szCs w:val="20"/>
        </w:rPr>
        <w:t xml:space="preserve"> </w:t>
      </w:r>
      <w:r w:rsidRPr="000977F7">
        <w:rPr>
          <w:rFonts w:asciiTheme="majorHAnsi" w:hAnsiTheme="majorHAnsi"/>
          <w:iCs/>
          <w:sz w:val="20"/>
          <w:szCs w:val="20"/>
        </w:rPr>
        <w:t>складають, відображує символ, що його пересилають</w:t>
      </w:r>
      <w:r w:rsidRPr="000977F7">
        <w:rPr>
          <w:rFonts w:asciiTheme="majorHAnsi" w:hAnsiTheme="majorHAnsi"/>
          <w:iCs/>
          <w:spacing w:val="-47"/>
          <w:sz w:val="20"/>
          <w:szCs w:val="20"/>
        </w:rPr>
        <w:t xml:space="preserve"> </w:t>
      </w:r>
      <w:r w:rsidRPr="000977F7">
        <w:rPr>
          <w:rFonts w:asciiTheme="majorHAnsi" w:hAnsiTheme="majorHAnsi"/>
          <w:iCs/>
          <w:sz w:val="20"/>
          <w:szCs w:val="20"/>
        </w:rPr>
        <w:t>у вигляді відповідної кодової комбінації двійкових знаків</w:t>
      </w:r>
    </w:p>
    <w:p w14:paraId="2F6C3E6F"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iCs/>
          <w:sz w:val="20"/>
          <w:szCs w:val="20"/>
        </w:rPr>
        <w:t>П</w:t>
      </w:r>
      <w:r w:rsidRPr="000977F7">
        <w:rPr>
          <w:rFonts w:asciiTheme="majorHAnsi" w:hAnsiTheme="majorHAnsi"/>
          <w:iCs/>
          <w:spacing w:val="-1"/>
          <w:sz w:val="20"/>
          <w:szCs w:val="20"/>
        </w:rPr>
        <w:t xml:space="preserve"> </w:t>
      </w:r>
      <w:r w:rsidRPr="000977F7">
        <w:rPr>
          <w:rFonts w:asciiTheme="majorHAnsi" w:hAnsiTheme="majorHAnsi"/>
          <w:iCs/>
          <w:sz w:val="20"/>
          <w:szCs w:val="20"/>
        </w:rPr>
        <w:t>р</w:t>
      </w:r>
      <w:r w:rsidRPr="000977F7">
        <w:rPr>
          <w:rFonts w:asciiTheme="majorHAnsi" w:hAnsiTheme="majorHAnsi"/>
          <w:iCs/>
          <w:spacing w:val="1"/>
          <w:sz w:val="20"/>
          <w:szCs w:val="20"/>
        </w:rPr>
        <w:t xml:space="preserve"> </w:t>
      </w:r>
      <w:r w:rsidRPr="000977F7">
        <w:rPr>
          <w:rFonts w:asciiTheme="majorHAnsi" w:hAnsiTheme="majorHAnsi"/>
          <w:iCs/>
          <w:sz w:val="20"/>
          <w:szCs w:val="20"/>
        </w:rPr>
        <w:t>и</w:t>
      </w:r>
      <w:r w:rsidRPr="000977F7">
        <w:rPr>
          <w:rFonts w:asciiTheme="majorHAnsi" w:hAnsiTheme="majorHAnsi"/>
          <w:iCs/>
          <w:spacing w:val="1"/>
          <w:sz w:val="20"/>
          <w:szCs w:val="20"/>
        </w:rPr>
        <w:t xml:space="preserve"> </w:t>
      </w:r>
      <w:r w:rsidRPr="000977F7">
        <w:rPr>
          <w:rFonts w:asciiTheme="majorHAnsi" w:hAnsiTheme="majorHAnsi"/>
          <w:iCs/>
          <w:sz w:val="20"/>
          <w:szCs w:val="20"/>
        </w:rPr>
        <w:t>м</w:t>
      </w:r>
      <w:r w:rsidRPr="000977F7">
        <w:rPr>
          <w:rFonts w:asciiTheme="majorHAnsi" w:hAnsiTheme="majorHAnsi"/>
          <w:iCs/>
          <w:spacing w:val="-1"/>
          <w:sz w:val="20"/>
          <w:szCs w:val="20"/>
        </w:rPr>
        <w:t xml:space="preserve"> </w:t>
      </w:r>
      <w:r w:rsidRPr="000977F7">
        <w:rPr>
          <w:rFonts w:asciiTheme="majorHAnsi" w:hAnsiTheme="majorHAnsi"/>
          <w:iCs/>
          <w:sz w:val="20"/>
          <w:szCs w:val="20"/>
        </w:rPr>
        <w:t>і</w:t>
      </w:r>
      <w:r w:rsidRPr="000977F7">
        <w:rPr>
          <w:rFonts w:asciiTheme="majorHAnsi" w:hAnsiTheme="majorHAnsi"/>
          <w:iCs/>
          <w:spacing w:val="-1"/>
          <w:sz w:val="20"/>
          <w:szCs w:val="20"/>
        </w:rPr>
        <w:t xml:space="preserve"> </w:t>
      </w:r>
      <w:r w:rsidRPr="000977F7">
        <w:rPr>
          <w:rFonts w:asciiTheme="majorHAnsi" w:hAnsiTheme="majorHAnsi"/>
          <w:iCs/>
          <w:sz w:val="20"/>
          <w:szCs w:val="20"/>
        </w:rPr>
        <w:t>т к</w:t>
      </w:r>
      <w:r w:rsidRPr="000977F7">
        <w:rPr>
          <w:rFonts w:asciiTheme="majorHAnsi" w:hAnsiTheme="majorHAnsi"/>
          <w:iCs/>
          <w:spacing w:val="-3"/>
          <w:sz w:val="20"/>
          <w:szCs w:val="20"/>
        </w:rPr>
        <w:t xml:space="preserve"> </w:t>
      </w:r>
      <w:r w:rsidRPr="000977F7">
        <w:rPr>
          <w:rFonts w:asciiTheme="majorHAnsi" w:hAnsiTheme="majorHAnsi"/>
          <w:iCs/>
          <w:sz w:val="20"/>
          <w:szCs w:val="20"/>
        </w:rPr>
        <w:t>а:</w:t>
      </w:r>
    </w:p>
    <w:p w14:paraId="66A3FABE" w14:textId="77777777" w:rsidR="0097612F" w:rsidRPr="000977F7" w:rsidRDefault="0097612F" w:rsidP="000977F7">
      <w:pPr>
        <w:tabs>
          <w:tab w:val="left" w:pos="284"/>
        </w:tabs>
        <w:spacing w:after="0" w:line="240" w:lineRule="auto"/>
        <w:ind w:left="170"/>
        <w:mirrorIndents/>
        <w:jc w:val="both"/>
        <w:rPr>
          <w:rFonts w:asciiTheme="majorHAnsi" w:hAnsiTheme="majorHAnsi"/>
          <w:iCs/>
          <w:sz w:val="20"/>
          <w:szCs w:val="20"/>
        </w:rPr>
      </w:pPr>
      <w:r w:rsidRPr="000977F7">
        <w:rPr>
          <w:rFonts w:asciiTheme="majorHAnsi" w:hAnsiTheme="majorHAnsi"/>
          <w:iCs/>
          <w:sz w:val="20"/>
          <w:szCs w:val="20"/>
        </w:rPr>
        <w:t>До</w:t>
      </w:r>
      <w:r w:rsidRPr="000977F7">
        <w:rPr>
          <w:rFonts w:asciiTheme="majorHAnsi" w:hAnsiTheme="majorHAnsi"/>
          <w:iCs/>
          <w:spacing w:val="1"/>
          <w:sz w:val="20"/>
          <w:szCs w:val="20"/>
        </w:rPr>
        <w:t xml:space="preserve"> </w:t>
      </w:r>
      <w:r w:rsidRPr="000977F7">
        <w:rPr>
          <w:rFonts w:asciiTheme="majorHAnsi" w:hAnsiTheme="majorHAnsi"/>
          <w:iCs/>
          <w:sz w:val="20"/>
          <w:szCs w:val="20"/>
        </w:rPr>
        <w:t>складу</w:t>
      </w:r>
      <w:r w:rsidRPr="000977F7">
        <w:rPr>
          <w:rFonts w:asciiTheme="majorHAnsi" w:hAnsiTheme="majorHAnsi"/>
          <w:iCs/>
          <w:spacing w:val="1"/>
          <w:sz w:val="20"/>
          <w:szCs w:val="20"/>
        </w:rPr>
        <w:t xml:space="preserve"> </w:t>
      </w:r>
      <w:r w:rsidRPr="000977F7">
        <w:rPr>
          <w:rFonts w:asciiTheme="majorHAnsi" w:hAnsiTheme="majorHAnsi"/>
          <w:iCs/>
          <w:sz w:val="20"/>
          <w:szCs w:val="20"/>
        </w:rPr>
        <w:t>цифрового</w:t>
      </w:r>
      <w:r w:rsidRPr="000977F7">
        <w:rPr>
          <w:rFonts w:asciiTheme="majorHAnsi" w:hAnsiTheme="majorHAnsi"/>
          <w:iCs/>
          <w:spacing w:val="1"/>
          <w:sz w:val="20"/>
          <w:szCs w:val="20"/>
        </w:rPr>
        <w:t xml:space="preserve"> </w:t>
      </w:r>
      <w:r w:rsidRPr="000977F7">
        <w:rPr>
          <w:rFonts w:asciiTheme="majorHAnsi" w:hAnsiTheme="majorHAnsi"/>
          <w:iCs/>
          <w:sz w:val="20"/>
          <w:szCs w:val="20"/>
        </w:rPr>
        <w:t>сигналу</w:t>
      </w:r>
      <w:r w:rsidRPr="000977F7">
        <w:rPr>
          <w:rFonts w:asciiTheme="majorHAnsi" w:hAnsiTheme="majorHAnsi"/>
          <w:iCs/>
          <w:spacing w:val="1"/>
          <w:sz w:val="20"/>
          <w:szCs w:val="20"/>
        </w:rPr>
        <w:t xml:space="preserve"> </w:t>
      </w:r>
      <w:r w:rsidRPr="000977F7">
        <w:rPr>
          <w:rFonts w:asciiTheme="majorHAnsi" w:hAnsiTheme="majorHAnsi"/>
          <w:iCs/>
          <w:sz w:val="20"/>
          <w:szCs w:val="20"/>
        </w:rPr>
        <w:t>можуть</w:t>
      </w:r>
      <w:r w:rsidRPr="000977F7">
        <w:rPr>
          <w:rFonts w:asciiTheme="majorHAnsi" w:hAnsiTheme="majorHAnsi"/>
          <w:iCs/>
          <w:spacing w:val="1"/>
          <w:sz w:val="20"/>
          <w:szCs w:val="20"/>
        </w:rPr>
        <w:t xml:space="preserve"> </w:t>
      </w:r>
      <w:r w:rsidRPr="000977F7">
        <w:rPr>
          <w:rFonts w:asciiTheme="majorHAnsi" w:hAnsiTheme="majorHAnsi"/>
          <w:iCs/>
          <w:sz w:val="20"/>
          <w:szCs w:val="20"/>
        </w:rPr>
        <w:t>включатися</w:t>
      </w:r>
      <w:r w:rsidRPr="000977F7">
        <w:rPr>
          <w:rFonts w:asciiTheme="majorHAnsi" w:hAnsiTheme="majorHAnsi"/>
          <w:iCs/>
          <w:spacing w:val="1"/>
          <w:sz w:val="20"/>
          <w:szCs w:val="20"/>
        </w:rPr>
        <w:t xml:space="preserve"> </w:t>
      </w:r>
      <w:r w:rsidRPr="000977F7">
        <w:rPr>
          <w:rFonts w:asciiTheme="majorHAnsi" w:hAnsiTheme="majorHAnsi"/>
          <w:iCs/>
          <w:sz w:val="20"/>
          <w:szCs w:val="20"/>
        </w:rPr>
        <w:t>також контрольні, синхронізувальні та інші додаткові</w:t>
      </w:r>
      <w:r w:rsidRPr="000977F7">
        <w:rPr>
          <w:rFonts w:asciiTheme="majorHAnsi" w:hAnsiTheme="majorHAnsi"/>
          <w:iCs/>
          <w:spacing w:val="-2"/>
          <w:sz w:val="20"/>
          <w:szCs w:val="20"/>
        </w:rPr>
        <w:t xml:space="preserve"> </w:t>
      </w:r>
      <w:r w:rsidRPr="000977F7">
        <w:rPr>
          <w:rFonts w:asciiTheme="majorHAnsi" w:hAnsiTheme="majorHAnsi"/>
          <w:iCs/>
          <w:sz w:val="20"/>
          <w:szCs w:val="20"/>
        </w:rPr>
        <w:t>елементи</w:t>
      </w:r>
    </w:p>
    <w:p w14:paraId="3BD743BC"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3956 - 2000</w:t>
      </w:r>
      <w:r w:rsidRPr="004D2D14">
        <w:rPr>
          <w:rFonts w:asciiTheme="majorHAnsi" w:hAnsiTheme="majorHAnsi"/>
          <w:i/>
          <w:spacing w:val="1"/>
          <w:sz w:val="20"/>
          <w:szCs w:val="20"/>
          <w:lang w:val="en-US"/>
        </w:rPr>
        <w:t xml:space="preserve"> </w:t>
      </w:r>
    </w:p>
    <w:p w14:paraId="4C4E4EAD" w14:textId="77777777" w:rsidR="0097612F" w:rsidRPr="004D2D14" w:rsidRDefault="0097612F" w:rsidP="000977F7">
      <w:pPr>
        <w:tabs>
          <w:tab w:val="left" w:pos="284"/>
        </w:tabs>
        <w:spacing w:after="0" w:line="240" w:lineRule="auto"/>
        <w:ind w:left="170"/>
        <w:mirrorIndents/>
        <w:jc w:val="both"/>
        <w:rPr>
          <w:rFonts w:asciiTheme="majorHAnsi" w:hAnsiTheme="majorHAnsi"/>
          <w:spacing w:val="-47"/>
          <w:sz w:val="20"/>
          <w:szCs w:val="20"/>
          <w:lang w:val="en-US"/>
        </w:rPr>
      </w:pPr>
      <w:r w:rsidRPr="000977F7">
        <w:rPr>
          <w:rFonts w:asciiTheme="majorHAnsi" w:hAnsiTheme="majorHAnsi"/>
          <w:b/>
          <w:sz w:val="20"/>
          <w:szCs w:val="20"/>
        </w:rPr>
        <w:t>ЦИФРОВІ</w:t>
      </w:r>
      <w:r w:rsidRPr="004D2D14">
        <w:rPr>
          <w:rFonts w:asciiTheme="majorHAnsi" w:hAnsiTheme="majorHAnsi"/>
          <w:b/>
          <w:sz w:val="20"/>
          <w:szCs w:val="20"/>
          <w:lang w:val="en-US"/>
        </w:rPr>
        <w:t xml:space="preserve"> </w:t>
      </w:r>
      <w:r w:rsidRPr="000977F7">
        <w:rPr>
          <w:rFonts w:asciiTheme="majorHAnsi" w:hAnsiTheme="majorHAnsi"/>
          <w:b/>
          <w:sz w:val="20"/>
          <w:szCs w:val="20"/>
        </w:rPr>
        <w:t>ДАНІ</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p>
    <w:p w14:paraId="732D1258"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DIGITAL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DATA</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2325AF75"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47"/>
          <w:sz w:val="20"/>
          <w:szCs w:val="20"/>
          <w:lang w:val="en-US"/>
        </w:rPr>
      </w:pPr>
      <w:r w:rsidRPr="000977F7">
        <w:rPr>
          <w:rFonts w:asciiTheme="majorHAnsi" w:hAnsiTheme="majorHAnsi"/>
          <w:iCs/>
          <w:sz w:val="20"/>
          <w:szCs w:val="20"/>
        </w:rPr>
        <w:t>Числові</w:t>
      </w:r>
      <w:r w:rsidRPr="004D2D14">
        <w:rPr>
          <w:rFonts w:asciiTheme="majorHAnsi" w:hAnsiTheme="majorHAnsi"/>
          <w:iCs/>
          <w:sz w:val="20"/>
          <w:szCs w:val="20"/>
          <w:lang w:val="en-US"/>
        </w:rPr>
        <w:t xml:space="preserve"> </w:t>
      </w:r>
      <w:r w:rsidRPr="000977F7">
        <w:rPr>
          <w:rFonts w:asciiTheme="majorHAnsi" w:hAnsiTheme="majorHAnsi"/>
          <w:iCs/>
          <w:sz w:val="20"/>
          <w:szCs w:val="20"/>
        </w:rPr>
        <w:t>дані</w:t>
      </w:r>
      <w:r w:rsidRPr="004D2D14">
        <w:rPr>
          <w:rFonts w:asciiTheme="majorHAnsi" w:hAnsiTheme="majorHAnsi"/>
          <w:iCs/>
          <w:sz w:val="20"/>
          <w:szCs w:val="20"/>
          <w:lang w:val="en-US"/>
        </w:rPr>
        <w:t xml:space="preserve">, </w:t>
      </w:r>
      <w:r w:rsidRPr="000977F7">
        <w:rPr>
          <w:rFonts w:asciiTheme="majorHAnsi" w:hAnsiTheme="majorHAnsi"/>
          <w:iCs/>
          <w:sz w:val="20"/>
          <w:szCs w:val="20"/>
        </w:rPr>
        <w:t>подані</w:t>
      </w:r>
      <w:r w:rsidRPr="004D2D14">
        <w:rPr>
          <w:rFonts w:asciiTheme="majorHAnsi" w:hAnsiTheme="majorHAnsi"/>
          <w:iCs/>
          <w:sz w:val="20"/>
          <w:szCs w:val="20"/>
          <w:lang w:val="en-US"/>
        </w:rPr>
        <w:t xml:space="preserve"> </w:t>
      </w:r>
      <w:r w:rsidRPr="000977F7">
        <w:rPr>
          <w:rFonts w:asciiTheme="majorHAnsi" w:hAnsiTheme="majorHAnsi"/>
          <w:iCs/>
          <w:sz w:val="20"/>
          <w:szCs w:val="20"/>
        </w:rPr>
        <w:t>як</w:t>
      </w:r>
      <w:r w:rsidRPr="004D2D14">
        <w:rPr>
          <w:rFonts w:asciiTheme="majorHAnsi" w:hAnsiTheme="majorHAnsi"/>
          <w:iCs/>
          <w:sz w:val="20"/>
          <w:szCs w:val="20"/>
          <w:lang w:val="en-US"/>
        </w:rPr>
        <w:t xml:space="preserve"> </w:t>
      </w:r>
      <w:r w:rsidRPr="000977F7">
        <w:rPr>
          <w:rFonts w:asciiTheme="majorHAnsi" w:hAnsiTheme="majorHAnsi"/>
          <w:iCs/>
          <w:sz w:val="20"/>
          <w:szCs w:val="20"/>
        </w:rPr>
        <w:t>комбінації</w:t>
      </w:r>
      <w:r w:rsidRPr="004D2D14">
        <w:rPr>
          <w:rFonts w:asciiTheme="majorHAnsi" w:hAnsiTheme="majorHAnsi"/>
          <w:iCs/>
          <w:sz w:val="20"/>
          <w:szCs w:val="20"/>
          <w:lang w:val="en-US"/>
        </w:rPr>
        <w:t xml:space="preserve"> </w:t>
      </w:r>
      <w:r w:rsidRPr="000977F7">
        <w:rPr>
          <w:rFonts w:asciiTheme="majorHAnsi" w:hAnsiTheme="majorHAnsi"/>
          <w:iCs/>
          <w:sz w:val="20"/>
          <w:szCs w:val="20"/>
        </w:rPr>
        <w:t>цифрових</w:t>
      </w:r>
      <w:r w:rsidRPr="004D2D14">
        <w:rPr>
          <w:rFonts w:asciiTheme="majorHAnsi" w:hAnsiTheme="majorHAnsi"/>
          <w:iCs/>
          <w:sz w:val="20"/>
          <w:szCs w:val="20"/>
          <w:lang w:val="en-US"/>
        </w:rPr>
        <w:t xml:space="preserve"> </w:t>
      </w:r>
      <w:r w:rsidRPr="000977F7">
        <w:rPr>
          <w:rFonts w:asciiTheme="majorHAnsi" w:hAnsiTheme="majorHAnsi"/>
          <w:iCs/>
          <w:sz w:val="20"/>
          <w:szCs w:val="20"/>
        </w:rPr>
        <w:t>знаків</w:t>
      </w:r>
      <w:r w:rsidRPr="004D2D14">
        <w:rPr>
          <w:rFonts w:asciiTheme="majorHAnsi" w:hAnsiTheme="majorHAnsi"/>
          <w:i/>
          <w:spacing w:val="-47"/>
          <w:sz w:val="20"/>
          <w:szCs w:val="20"/>
          <w:lang w:val="en-US"/>
        </w:rPr>
        <w:t xml:space="preserve"> </w:t>
      </w:r>
    </w:p>
    <w:p w14:paraId="77C8EE2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3956 - 2000</w:t>
      </w:r>
    </w:p>
    <w:p w14:paraId="72650F0E" w14:textId="77777777" w:rsidR="0097612F" w:rsidRPr="000977F7" w:rsidRDefault="0097612F" w:rsidP="000977F7">
      <w:pPr>
        <w:pStyle w:val="7"/>
        <w:tabs>
          <w:tab w:val="left" w:pos="284"/>
        </w:tabs>
        <w:spacing w:before="0" w:line="240" w:lineRule="auto"/>
        <w:ind w:left="170"/>
        <w:mirrorIndents/>
        <w:jc w:val="both"/>
        <w:rPr>
          <w:i/>
          <w:color w:val="auto"/>
          <w:sz w:val="20"/>
          <w:szCs w:val="20"/>
        </w:rPr>
      </w:pPr>
      <w:r w:rsidRPr="000977F7">
        <w:rPr>
          <w:color w:val="auto"/>
          <w:sz w:val="20"/>
          <w:szCs w:val="20"/>
        </w:rPr>
        <w:t>ЦІЛЬ</w:t>
      </w:r>
      <w:r w:rsidRPr="000977F7">
        <w:rPr>
          <w:color w:val="auto"/>
          <w:spacing w:val="-1"/>
          <w:sz w:val="20"/>
          <w:szCs w:val="20"/>
        </w:rPr>
        <w:t xml:space="preserve"> </w:t>
      </w:r>
      <w:r w:rsidRPr="000977F7">
        <w:rPr>
          <w:i/>
          <w:color w:val="auto"/>
          <w:sz w:val="20"/>
          <w:szCs w:val="20"/>
        </w:rPr>
        <w:t>–</w:t>
      </w:r>
    </w:p>
    <w:p w14:paraId="29FF719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OBJECTIVE -</w:t>
      </w:r>
    </w:p>
    <w:p w14:paraId="47B672A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Результат,</w:t>
      </w:r>
      <w:r w:rsidRPr="000977F7">
        <w:rPr>
          <w:rFonts w:asciiTheme="majorHAnsi" w:hAnsiTheme="majorHAnsi"/>
          <w:spacing w:val="-4"/>
          <w:sz w:val="20"/>
          <w:szCs w:val="20"/>
        </w:rPr>
        <w:t xml:space="preserve"> </w:t>
      </w:r>
      <w:r w:rsidRPr="000977F7">
        <w:rPr>
          <w:rFonts w:asciiTheme="majorHAnsi" w:hAnsiTheme="majorHAnsi"/>
          <w:sz w:val="20"/>
          <w:szCs w:val="20"/>
        </w:rPr>
        <w:t>який</w:t>
      </w:r>
      <w:r w:rsidRPr="000977F7">
        <w:rPr>
          <w:rFonts w:asciiTheme="majorHAnsi" w:hAnsiTheme="majorHAnsi"/>
          <w:spacing w:val="-4"/>
          <w:sz w:val="20"/>
          <w:szCs w:val="20"/>
        </w:rPr>
        <w:t xml:space="preserve"> </w:t>
      </w:r>
      <w:r w:rsidRPr="000977F7">
        <w:rPr>
          <w:rFonts w:asciiTheme="majorHAnsi" w:hAnsiTheme="majorHAnsi"/>
          <w:sz w:val="20"/>
          <w:szCs w:val="20"/>
        </w:rPr>
        <w:t>має</w:t>
      </w:r>
      <w:r w:rsidRPr="000977F7">
        <w:rPr>
          <w:rFonts w:asciiTheme="majorHAnsi" w:hAnsiTheme="majorHAnsi"/>
          <w:spacing w:val="-3"/>
          <w:sz w:val="20"/>
          <w:szCs w:val="20"/>
        </w:rPr>
        <w:t xml:space="preserve"> </w:t>
      </w:r>
      <w:r w:rsidRPr="000977F7">
        <w:rPr>
          <w:rFonts w:asciiTheme="majorHAnsi" w:hAnsiTheme="majorHAnsi"/>
          <w:sz w:val="20"/>
          <w:szCs w:val="20"/>
        </w:rPr>
        <w:t>бути</w:t>
      </w:r>
      <w:r w:rsidRPr="000977F7">
        <w:rPr>
          <w:rFonts w:asciiTheme="majorHAnsi" w:hAnsiTheme="majorHAnsi"/>
          <w:spacing w:val="-2"/>
          <w:sz w:val="20"/>
          <w:szCs w:val="20"/>
        </w:rPr>
        <w:t xml:space="preserve"> </w:t>
      </w:r>
      <w:r w:rsidRPr="000977F7">
        <w:rPr>
          <w:rFonts w:asciiTheme="majorHAnsi" w:hAnsiTheme="majorHAnsi"/>
          <w:sz w:val="20"/>
          <w:szCs w:val="20"/>
        </w:rPr>
        <w:t>досягнуто.</w:t>
      </w:r>
    </w:p>
    <w:p w14:paraId="3D59F3C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1. Ціль може бути стратегічною, тактичною</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оперативною.</w:t>
      </w:r>
    </w:p>
    <w:p w14:paraId="3EE9AAC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1"/>
          <w:sz w:val="20"/>
          <w:szCs w:val="20"/>
        </w:rPr>
        <w:t xml:space="preserve"> </w:t>
      </w:r>
      <w:r w:rsidRPr="000977F7">
        <w:rPr>
          <w:rFonts w:asciiTheme="majorHAnsi" w:hAnsiTheme="majorHAnsi"/>
          <w:sz w:val="20"/>
          <w:szCs w:val="20"/>
        </w:rPr>
        <w:t>2.</w:t>
      </w:r>
      <w:r w:rsidRPr="000977F7">
        <w:rPr>
          <w:rFonts w:asciiTheme="majorHAnsi" w:hAnsiTheme="majorHAnsi"/>
          <w:spacing w:val="1"/>
          <w:sz w:val="20"/>
          <w:szCs w:val="20"/>
        </w:rPr>
        <w:t xml:space="preserve"> </w:t>
      </w:r>
      <w:r w:rsidRPr="000977F7">
        <w:rPr>
          <w:rFonts w:asciiTheme="majorHAnsi" w:hAnsiTheme="majorHAnsi"/>
          <w:sz w:val="20"/>
          <w:szCs w:val="20"/>
        </w:rPr>
        <w:t>Цілі</w:t>
      </w:r>
      <w:r w:rsidRPr="000977F7">
        <w:rPr>
          <w:rFonts w:asciiTheme="majorHAnsi" w:hAnsiTheme="majorHAnsi"/>
          <w:spacing w:val="1"/>
          <w:sz w:val="20"/>
          <w:szCs w:val="20"/>
        </w:rPr>
        <w:t xml:space="preserve"> </w:t>
      </w:r>
      <w:r w:rsidRPr="000977F7">
        <w:rPr>
          <w:rFonts w:asciiTheme="majorHAnsi" w:hAnsiTheme="majorHAnsi"/>
          <w:sz w:val="20"/>
          <w:szCs w:val="20"/>
        </w:rPr>
        <w:t>можуть</w:t>
      </w:r>
      <w:r w:rsidRPr="000977F7">
        <w:rPr>
          <w:rFonts w:asciiTheme="majorHAnsi" w:hAnsiTheme="majorHAnsi"/>
          <w:spacing w:val="1"/>
          <w:sz w:val="20"/>
          <w:szCs w:val="20"/>
        </w:rPr>
        <w:t xml:space="preserve"> </w:t>
      </w:r>
      <w:r w:rsidRPr="000977F7">
        <w:rPr>
          <w:rFonts w:asciiTheme="majorHAnsi" w:hAnsiTheme="majorHAnsi"/>
          <w:sz w:val="20"/>
          <w:szCs w:val="20"/>
        </w:rPr>
        <w:t>стосуватись</w:t>
      </w:r>
      <w:r w:rsidRPr="000977F7">
        <w:rPr>
          <w:rFonts w:asciiTheme="majorHAnsi" w:hAnsiTheme="majorHAnsi"/>
          <w:spacing w:val="1"/>
          <w:sz w:val="20"/>
          <w:szCs w:val="20"/>
        </w:rPr>
        <w:t xml:space="preserve"> </w:t>
      </w:r>
      <w:r w:rsidRPr="000977F7">
        <w:rPr>
          <w:rFonts w:asciiTheme="majorHAnsi" w:hAnsiTheme="majorHAnsi"/>
          <w:sz w:val="20"/>
          <w:szCs w:val="20"/>
        </w:rPr>
        <w:t>різних</w:t>
      </w:r>
      <w:r w:rsidRPr="000977F7">
        <w:rPr>
          <w:rFonts w:asciiTheme="majorHAnsi" w:hAnsiTheme="majorHAnsi"/>
          <w:spacing w:val="1"/>
          <w:sz w:val="20"/>
          <w:szCs w:val="20"/>
        </w:rPr>
        <w:t xml:space="preserve"> </w:t>
      </w:r>
      <w:r w:rsidRPr="000977F7">
        <w:rPr>
          <w:rFonts w:asciiTheme="majorHAnsi" w:hAnsiTheme="majorHAnsi"/>
          <w:sz w:val="20"/>
          <w:szCs w:val="20"/>
        </w:rPr>
        <w:t>сфер</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фінансові</w:t>
      </w:r>
      <w:r w:rsidRPr="000977F7">
        <w:rPr>
          <w:rFonts w:asciiTheme="majorHAnsi" w:hAnsiTheme="majorHAnsi"/>
          <w:spacing w:val="1"/>
          <w:sz w:val="20"/>
          <w:szCs w:val="20"/>
        </w:rPr>
        <w:t xml:space="preserve"> </w:t>
      </w:r>
      <w:r w:rsidRPr="000977F7">
        <w:rPr>
          <w:rFonts w:asciiTheme="majorHAnsi" w:hAnsiTheme="majorHAnsi"/>
          <w:sz w:val="20"/>
          <w:szCs w:val="20"/>
        </w:rPr>
        <w:t>цілі,</w:t>
      </w:r>
      <w:r w:rsidRPr="000977F7">
        <w:rPr>
          <w:rFonts w:asciiTheme="majorHAnsi" w:hAnsiTheme="majorHAnsi"/>
          <w:spacing w:val="1"/>
          <w:sz w:val="20"/>
          <w:szCs w:val="20"/>
        </w:rPr>
        <w:t xml:space="preserve"> </w:t>
      </w:r>
      <w:r w:rsidRPr="000977F7">
        <w:rPr>
          <w:rFonts w:asciiTheme="majorHAnsi" w:hAnsiTheme="majorHAnsi"/>
          <w:sz w:val="20"/>
          <w:szCs w:val="20"/>
        </w:rPr>
        <w:t>цілі</w:t>
      </w:r>
      <w:r w:rsidRPr="000977F7">
        <w:rPr>
          <w:rFonts w:asciiTheme="majorHAnsi" w:hAnsiTheme="majorHAnsi"/>
          <w:spacing w:val="1"/>
          <w:sz w:val="20"/>
          <w:szCs w:val="20"/>
        </w:rPr>
        <w:t xml:space="preserve"> </w:t>
      </w:r>
      <w:r w:rsidRPr="000977F7">
        <w:rPr>
          <w:rFonts w:asciiTheme="majorHAnsi" w:hAnsiTheme="majorHAnsi"/>
          <w:sz w:val="20"/>
          <w:szCs w:val="20"/>
        </w:rPr>
        <w:t>щодо</w:t>
      </w:r>
      <w:r w:rsidRPr="000977F7">
        <w:rPr>
          <w:rFonts w:asciiTheme="majorHAnsi" w:hAnsiTheme="majorHAnsi"/>
          <w:spacing w:val="1"/>
          <w:sz w:val="20"/>
          <w:szCs w:val="20"/>
        </w:rPr>
        <w:t xml:space="preserve"> </w:t>
      </w:r>
      <w:r w:rsidRPr="000977F7">
        <w:rPr>
          <w:rFonts w:asciiTheme="majorHAnsi" w:hAnsiTheme="majorHAnsi"/>
          <w:sz w:val="20"/>
          <w:szCs w:val="20"/>
        </w:rPr>
        <w:t>охорони</w:t>
      </w:r>
      <w:r w:rsidRPr="000977F7">
        <w:rPr>
          <w:rFonts w:asciiTheme="majorHAnsi" w:hAnsiTheme="majorHAnsi"/>
          <w:spacing w:val="1"/>
          <w:sz w:val="20"/>
          <w:szCs w:val="20"/>
        </w:rPr>
        <w:t xml:space="preserve"> </w:t>
      </w:r>
      <w:r w:rsidRPr="000977F7">
        <w:rPr>
          <w:rFonts w:asciiTheme="majorHAnsi" w:hAnsiTheme="majorHAnsi"/>
          <w:sz w:val="20"/>
          <w:szCs w:val="20"/>
        </w:rPr>
        <w:t>здоров’я та безпеки праці, екологічні цілі) та їх можна</w:t>
      </w:r>
      <w:r w:rsidRPr="000977F7">
        <w:rPr>
          <w:rFonts w:asciiTheme="majorHAnsi" w:hAnsiTheme="majorHAnsi"/>
          <w:spacing w:val="1"/>
          <w:sz w:val="20"/>
          <w:szCs w:val="20"/>
        </w:rPr>
        <w:t xml:space="preserve"> </w:t>
      </w:r>
      <w:r w:rsidRPr="000977F7">
        <w:rPr>
          <w:rFonts w:asciiTheme="majorHAnsi" w:hAnsiTheme="majorHAnsi"/>
          <w:sz w:val="20"/>
          <w:szCs w:val="20"/>
        </w:rPr>
        <w:t>застосовувати</w:t>
      </w:r>
      <w:r w:rsidRPr="000977F7">
        <w:rPr>
          <w:rFonts w:asciiTheme="majorHAnsi" w:hAnsiTheme="majorHAnsi"/>
          <w:spacing w:val="10"/>
          <w:sz w:val="20"/>
          <w:szCs w:val="20"/>
        </w:rPr>
        <w:t xml:space="preserve"> </w:t>
      </w:r>
      <w:r w:rsidRPr="000977F7">
        <w:rPr>
          <w:rFonts w:asciiTheme="majorHAnsi" w:hAnsiTheme="majorHAnsi"/>
          <w:sz w:val="20"/>
          <w:szCs w:val="20"/>
        </w:rPr>
        <w:t>на</w:t>
      </w:r>
      <w:r w:rsidRPr="000977F7">
        <w:rPr>
          <w:rFonts w:asciiTheme="majorHAnsi" w:hAnsiTheme="majorHAnsi"/>
          <w:spacing w:val="12"/>
          <w:sz w:val="20"/>
          <w:szCs w:val="20"/>
        </w:rPr>
        <w:t xml:space="preserve"> </w:t>
      </w:r>
      <w:r w:rsidRPr="000977F7">
        <w:rPr>
          <w:rFonts w:asciiTheme="majorHAnsi" w:hAnsiTheme="majorHAnsi"/>
          <w:sz w:val="20"/>
          <w:szCs w:val="20"/>
        </w:rPr>
        <w:t>різних</w:t>
      </w:r>
      <w:r w:rsidRPr="000977F7">
        <w:rPr>
          <w:rFonts w:asciiTheme="majorHAnsi" w:hAnsiTheme="majorHAnsi"/>
          <w:spacing w:val="10"/>
          <w:sz w:val="20"/>
          <w:szCs w:val="20"/>
        </w:rPr>
        <w:t xml:space="preserve"> </w:t>
      </w:r>
      <w:r w:rsidRPr="000977F7">
        <w:rPr>
          <w:rFonts w:asciiTheme="majorHAnsi" w:hAnsiTheme="majorHAnsi"/>
          <w:sz w:val="20"/>
          <w:szCs w:val="20"/>
        </w:rPr>
        <w:t>рівнях</w:t>
      </w:r>
      <w:r w:rsidRPr="000977F7">
        <w:rPr>
          <w:rFonts w:asciiTheme="majorHAnsi" w:hAnsiTheme="majorHAnsi"/>
          <w:spacing w:val="10"/>
          <w:sz w:val="20"/>
          <w:szCs w:val="20"/>
        </w:rPr>
        <w:t xml:space="preserve"> </w:t>
      </w:r>
      <w:r w:rsidRPr="000977F7">
        <w:rPr>
          <w:rFonts w:asciiTheme="majorHAnsi" w:hAnsiTheme="majorHAnsi"/>
          <w:sz w:val="20"/>
          <w:szCs w:val="20"/>
        </w:rPr>
        <w:t>(наприклад,</w:t>
      </w:r>
      <w:r w:rsidRPr="000977F7">
        <w:rPr>
          <w:rFonts w:asciiTheme="majorHAnsi" w:hAnsiTheme="majorHAnsi"/>
          <w:spacing w:val="12"/>
          <w:sz w:val="20"/>
          <w:szCs w:val="20"/>
        </w:rPr>
        <w:t xml:space="preserve"> </w:t>
      </w:r>
      <w:r w:rsidRPr="000977F7">
        <w:rPr>
          <w:rFonts w:asciiTheme="majorHAnsi" w:hAnsiTheme="majorHAnsi"/>
          <w:sz w:val="20"/>
          <w:szCs w:val="20"/>
        </w:rPr>
        <w:t>стратегічні цілі, цілі для всієї організації, цілі проекту, цілі стосовно продукції</w:t>
      </w:r>
      <w:r w:rsidRPr="000977F7">
        <w:rPr>
          <w:rFonts w:asciiTheme="majorHAnsi" w:hAnsiTheme="majorHAnsi"/>
          <w:spacing w:val="-1"/>
          <w:sz w:val="20"/>
          <w:szCs w:val="20"/>
        </w:rPr>
        <w:t xml:space="preserve"> </w:t>
      </w:r>
      <w:r w:rsidRPr="000977F7">
        <w:rPr>
          <w:rFonts w:asciiTheme="majorHAnsi" w:hAnsiTheme="majorHAnsi"/>
          <w:sz w:val="20"/>
          <w:szCs w:val="20"/>
        </w:rPr>
        <w:t>та процесу).</w:t>
      </w:r>
    </w:p>
    <w:p w14:paraId="25486D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 3. Ціль може бути подано іншими способами, наприклад, як запланований результат, призначеність,</w:t>
      </w:r>
      <w:r w:rsidRPr="000977F7">
        <w:rPr>
          <w:rFonts w:asciiTheme="majorHAnsi" w:hAnsiTheme="majorHAnsi"/>
          <w:spacing w:val="10"/>
          <w:sz w:val="20"/>
          <w:szCs w:val="20"/>
        </w:rPr>
        <w:t xml:space="preserve"> </w:t>
      </w:r>
      <w:r w:rsidRPr="000977F7">
        <w:rPr>
          <w:rFonts w:asciiTheme="majorHAnsi" w:hAnsiTheme="majorHAnsi"/>
          <w:sz w:val="20"/>
          <w:szCs w:val="20"/>
        </w:rPr>
        <w:t>операційний</w:t>
      </w:r>
      <w:r w:rsidRPr="000977F7">
        <w:rPr>
          <w:rFonts w:asciiTheme="majorHAnsi" w:hAnsiTheme="majorHAnsi"/>
          <w:spacing w:val="10"/>
          <w:sz w:val="20"/>
          <w:szCs w:val="20"/>
        </w:rPr>
        <w:t xml:space="preserve"> </w:t>
      </w:r>
      <w:r w:rsidRPr="000977F7">
        <w:rPr>
          <w:rFonts w:asciiTheme="majorHAnsi" w:hAnsiTheme="majorHAnsi"/>
          <w:sz w:val="20"/>
          <w:szCs w:val="20"/>
        </w:rPr>
        <w:t>критерій,</w:t>
      </w:r>
      <w:r w:rsidRPr="000977F7">
        <w:rPr>
          <w:rFonts w:asciiTheme="majorHAnsi" w:hAnsiTheme="majorHAnsi"/>
          <w:spacing w:val="10"/>
          <w:sz w:val="20"/>
          <w:szCs w:val="20"/>
        </w:rPr>
        <w:t xml:space="preserve"> </w:t>
      </w:r>
      <w:r w:rsidRPr="000977F7">
        <w:rPr>
          <w:rFonts w:asciiTheme="majorHAnsi" w:hAnsiTheme="majorHAnsi"/>
          <w:sz w:val="20"/>
          <w:szCs w:val="20"/>
        </w:rPr>
        <w:t>як</w:t>
      </w:r>
      <w:r w:rsidRPr="000977F7">
        <w:rPr>
          <w:rFonts w:asciiTheme="majorHAnsi" w:hAnsiTheme="majorHAnsi"/>
          <w:spacing w:val="9"/>
          <w:sz w:val="20"/>
          <w:szCs w:val="20"/>
        </w:rPr>
        <w:t xml:space="preserve"> </w:t>
      </w:r>
      <w:r w:rsidRPr="000977F7">
        <w:rPr>
          <w:rFonts w:asciiTheme="majorHAnsi" w:hAnsiTheme="majorHAnsi"/>
          <w:sz w:val="20"/>
          <w:szCs w:val="20"/>
        </w:rPr>
        <w:t>ціль</w:t>
      </w:r>
      <w:r w:rsidRPr="000977F7">
        <w:rPr>
          <w:rFonts w:asciiTheme="majorHAnsi" w:hAnsiTheme="majorHAnsi"/>
          <w:spacing w:val="12"/>
          <w:sz w:val="20"/>
          <w:szCs w:val="20"/>
        </w:rPr>
        <w:t xml:space="preserve"> </w:t>
      </w:r>
      <w:r w:rsidRPr="000977F7">
        <w:rPr>
          <w:rFonts w:asciiTheme="majorHAnsi" w:hAnsiTheme="majorHAnsi"/>
          <w:sz w:val="20"/>
          <w:szCs w:val="20"/>
        </w:rPr>
        <w:t>у</w:t>
      </w:r>
      <w:r w:rsidRPr="000977F7">
        <w:rPr>
          <w:rFonts w:asciiTheme="majorHAnsi" w:hAnsiTheme="majorHAnsi"/>
          <w:spacing w:val="7"/>
          <w:sz w:val="20"/>
          <w:szCs w:val="20"/>
        </w:rPr>
        <w:t xml:space="preserve"> </w:t>
      </w:r>
      <w:r w:rsidRPr="000977F7">
        <w:rPr>
          <w:rFonts w:asciiTheme="majorHAnsi" w:hAnsiTheme="majorHAnsi"/>
          <w:sz w:val="20"/>
          <w:szCs w:val="20"/>
        </w:rPr>
        <w:t>сфері</w:t>
      </w:r>
      <w:r w:rsidRPr="000977F7">
        <w:rPr>
          <w:rFonts w:asciiTheme="majorHAnsi" w:hAnsiTheme="majorHAnsi"/>
          <w:spacing w:val="11"/>
          <w:sz w:val="20"/>
          <w:szCs w:val="20"/>
        </w:rPr>
        <w:t xml:space="preserve"> </w:t>
      </w:r>
      <w:r w:rsidRPr="000977F7">
        <w:rPr>
          <w:rFonts w:asciiTheme="majorHAnsi" w:hAnsiTheme="majorHAnsi"/>
          <w:sz w:val="20"/>
          <w:szCs w:val="20"/>
        </w:rPr>
        <w:t>якості</w:t>
      </w:r>
      <w:r w:rsidRPr="000977F7">
        <w:rPr>
          <w:rFonts w:asciiTheme="majorHAnsi" w:hAnsiTheme="majorHAnsi"/>
          <w:spacing w:val="9"/>
          <w:sz w:val="20"/>
          <w:szCs w:val="20"/>
        </w:rPr>
        <w:t xml:space="preserve"> </w:t>
      </w:r>
      <w:r w:rsidRPr="000977F7">
        <w:rPr>
          <w:rFonts w:asciiTheme="majorHAnsi" w:hAnsiTheme="majorHAnsi"/>
          <w:sz w:val="20"/>
          <w:szCs w:val="20"/>
        </w:rPr>
        <w:t xml:space="preserve">чи </w:t>
      </w:r>
      <w:r w:rsidRPr="000977F7">
        <w:rPr>
          <w:rFonts w:asciiTheme="majorHAnsi" w:hAnsiTheme="majorHAnsi"/>
          <w:spacing w:val="-47"/>
          <w:sz w:val="20"/>
          <w:szCs w:val="20"/>
        </w:rPr>
        <w:t xml:space="preserve"> </w:t>
      </w:r>
      <w:r w:rsidRPr="000977F7">
        <w:rPr>
          <w:rFonts w:asciiTheme="majorHAnsi" w:hAnsiTheme="majorHAnsi"/>
          <w:sz w:val="20"/>
          <w:szCs w:val="20"/>
        </w:rPr>
        <w:t>з використанням інших слів подібного значення (наприклад,</w:t>
      </w:r>
      <w:r w:rsidRPr="000977F7">
        <w:rPr>
          <w:rFonts w:asciiTheme="majorHAnsi" w:hAnsiTheme="majorHAnsi"/>
          <w:spacing w:val="-1"/>
          <w:sz w:val="20"/>
          <w:szCs w:val="20"/>
        </w:rPr>
        <w:t xml:space="preserve"> </w:t>
      </w:r>
      <w:r w:rsidRPr="000977F7">
        <w:rPr>
          <w:rFonts w:asciiTheme="majorHAnsi" w:hAnsiTheme="majorHAnsi"/>
          <w:sz w:val="20"/>
          <w:szCs w:val="20"/>
        </w:rPr>
        <w:t>мета,</w:t>
      </w:r>
      <w:r w:rsidRPr="000977F7">
        <w:rPr>
          <w:rFonts w:asciiTheme="majorHAnsi" w:hAnsiTheme="majorHAnsi"/>
          <w:spacing w:val="-1"/>
          <w:sz w:val="20"/>
          <w:szCs w:val="20"/>
        </w:rPr>
        <w:t xml:space="preserve"> </w:t>
      </w:r>
      <w:r w:rsidRPr="000977F7">
        <w:rPr>
          <w:rFonts w:asciiTheme="majorHAnsi" w:hAnsiTheme="majorHAnsi"/>
          <w:sz w:val="20"/>
          <w:szCs w:val="20"/>
        </w:rPr>
        <w:t>орієнтир</w:t>
      </w:r>
      <w:r w:rsidRPr="000977F7">
        <w:rPr>
          <w:rFonts w:asciiTheme="majorHAnsi" w:hAnsiTheme="majorHAnsi"/>
          <w:spacing w:val="1"/>
          <w:sz w:val="20"/>
          <w:szCs w:val="20"/>
        </w:rPr>
        <w:t xml:space="preserve"> </w:t>
      </w:r>
      <w:r w:rsidRPr="000977F7">
        <w:rPr>
          <w:rFonts w:asciiTheme="majorHAnsi" w:hAnsiTheme="majorHAnsi"/>
          <w:sz w:val="20"/>
          <w:szCs w:val="20"/>
        </w:rPr>
        <w:t>або завдання).</w:t>
      </w:r>
    </w:p>
    <w:p w14:paraId="66AEFA3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Примітка</w:t>
      </w:r>
      <w:r w:rsidRPr="000977F7">
        <w:rPr>
          <w:rFonts w:asciiTheme="majorHAnsi" w:hAnsiTheme="majorHAnsi"/>
          <w:spacing w:val="7"/>
          <w:sz w:val="20"/>
          <w:szCs w:val="20"/>
        </w:rPr>
        <w:t xml:space="preserve"> </w:t>
      </w:r>
      <w:r w:rsidRPr="000977F7">
        <w:rPr>
          <w:rFonts w:asciiTheme="majorHAnsi" w:hAnsiTheme="majorHAnsi"/>
          <w:sz w:val="20"/>
          <w:szCs w:val="20"/>
        </w:rPr>
        <w:t>4.</w:t>
      </w:r>
      <w:r w:rsidRPr="000977F7">
        <w:rPr>
          <w:rFonts w:asciiTheme="majorHAnsi" w:hAnsiTheme="majorHAnsi"/>
          <w:spacing w:val="7"/>
          <w:sz w:val="20"/>
          <w:szCs w:val="20"/>
        </w:rPr>
        <w:t xml:space="preserve"> </w:t>
      </w:r>
      <w:r w:rsidRPr="000977F7">
        <w:rPr>
          <w:rFonts w:asciiTheme="majorHAnsi" w:hAnsiTheme="majorHAnsi"/>
          <w:sz w:val="20"/>
          <w:szCs w:val="20"/>
        </w:rPr>
        <w:t>У</w:t>
      </w:r>
      <w:r w:rsidRPr="000977F7">
        <w:rPr>
          <w:rFonts w:asciiTheme="majorHAnsi" w:hAnsiTheme="majorHAnsi"/>
          <w:spacing w:val="7"/>
          <w:sz w:val="20"/>
          <w:szCs w:val="20"/>
        </w:rPr>
        <w:t xml:space="preserve"> </w:t>
      </w:r>
      <w:r w:rsidRPr="000977F7">
        <w:rPr>
          <w:rFonts w:asciiTheme="majorHAnsi" w:hAnsiTheme="majorHAnsi"/>
          <w:sz w:val="20"/>
          <w:szCs w:val="20"/>
        </w:rPr>
        <w:t>контексті</w:t>
      </w:r>
      <w:r w:rsidRPr="000977F7">
        <w:rPr>
          <w:rFonts w:asciiTheme="majorHAnsi" w:hAnsiTheme="majorHAnsi"/>
          <w:spacing w:val="6"/>
          <w:sz w:val="20"/>
          <w:szCs w:val="20"/>
        </w:rPr>
        <w:t xml:space="preserve"> </w:t>
      </w:r>
      <w:r w:rsidRPr="000977F7">
        <w:rPr>
          <w:rFonts w:asciiTheme="majorHAnsi" w:hAnsiTheme="majorHAnsi"/>
          <w:sz w:val="20"/>
          <w:szCs w:val="20"/>
        </w:rPr>
        <w:t>систем</w:t>
      </w:r>
      <w:r w:rsidRPr="000977F7">
        <w:rPr>
          <w:rFonts w:asciiTheme="majorHAnsi" w:hAnsiTheme="majorHAnsi"/>
          <w:spacing w:val="10"/>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58"/>
          <w:sz w:val="20"/>
          <w:szCs w:val="20"/>
        </w:rPr>
        <w:t xml:space="preserve"> </w:t>
      </w:r>
      <w:r w:rsidRPr="000977F7">
        <w:rPr>
          <w:rFonts w:asciiTheme="majorHAnsi" w:hAnsiTheme="majorHAnsi"/>
          <w:sz w:val="20"/>
          <w:szCs w:val="20"/>
        </w:rPr>
        <w:t>якістю</w:t>
      </w:r>
      <w:r w:rsidRPr="000977F7">
        <w:rPr>
          <w:rFonts w:asciiTheme="majorHAnsi" w:hAnsiTheme="majorHAnsi"/>
          <w:spacing w:val="-47"/>
          <w:sz w:val="20"/>
          <w:szCs w:val="20"/>
        </w:rPr>
        <w:t xml:space="preserve"> </w:t>
      </w:r>
      <w:r w:rsidRPr="000977F7">
        <w:rPr>
          <w:rFonts w:asciiTheme="majorHAnsi" w:hAnsiTheme="majorHAnsi"/>
          <w:sz w:val="20"/>
          <w:szCs w:val="20"/>
        </w:rPr>
        <w:t>цілі у сфері якості установлює організація відповідно</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1"/>
          <w:sz w:val="20"/>
          <w:szCs w:val="20"/>
        </w:rPr>
        <w:t xml:space="preserve"> </w:t>
      </w:r>
      <w:r w:rsidRPr="000977F7">
        <w:rPr>
          <w:rFonts w:asciiTheme="majorHAnsi" w:hAnsiTheme="majorHAnsi"/>
          <w:sz w:val="20"/>
          <w:szCs w:val="20"/>
        </w:rPr>
        <w:t>політики</w:t>
      </w:r>
      <w:r w:rsidRPr="000977F7">
        <w:rPr>
          <w:rFonts w:asciiTheme="majorHAnsi" w:hAnsiTheme="majorHAnsi"/>
          <w:spacing w:val="12"/>
          <w:sz w:val="20"/>
          <w:szCs w:val="20"/>
        </w:rPr>
        <w:t xml:space="preserve"> </w:t>
      </w:r>
      <w:r w:rsidRPr="000977F7">
        <w:rPr>
          <w:rFonts w:asciiTheme="majorHAnsi" w:hAnsiTheme="majorHAnsi"/>
          <w:sz w:val="20"/>
          <w:szCs w:val="20"/>
        </w:rPr>
        <w:t>у</w:t>
      </w:r>
      <w:r w:rsidRPr="000977F7">
        <w:rPr>
          <w:rFonts w:asciiTheme="majorHAnsi" w:hAnsiTheme="majorHAnsi"/>
          <w:spacing w:val="7"/>
          <w:sz w:val="20"/>
          <w:szCs w:val="20"/>
        </w:rPr>
        <w:t xml:space="preserve"> </w:t>
      </w:r>
      <w:r w:rsidRPr="000977F7">
        <w:rPr>
          <w:rFonts w:asciiTheme="majorHAnsi" w:hAnsiTheme="majorHAnsi"/>
          <w:sz w:val="20"/>
          <w:szCs w:val="20"/>
        </w:rPr>
        <w:t>сфері</w:t>
      </w:r>
      <w:r w:rsidRPr="000977F7">
        <w:rPr>
          <w:rFonts w:asciiTheme="majorHAnsi" w:hAnsiTheme="majorHAnsi"/>
          <w:spacing w:val="10"/>
          <w:sz w:val="20"/>
          <w:szCs w:val="20"/>
        </w:rPr>
        <w:t xml:space="preserve"> </w:t>
      </w:r>
      <w:r w:rsidRPr="000977F7">
        <w:rPr>
          <w:rFonts w:asciiTheme="majorHAnsi" w:hAnsiTheme="majorHAnsi"/>
          <w:sz w:val="20"/>
          <w:szCs w:val="20"/>
        </w:rPr>
        <w:t>якості</w:t>
      </w:r>
      <w:r w:rsidRPr="000977F7">
        <w:rPr>
          <w:rFonts w:asciiTheme="majorHAnsi" w:hAnsiTheme="majorHAnsi"/>
          <w:spacing w:val="11"/>
          <w:sz w:val="20"/>
          <w:szCs w:val="20"/>
        </w:rPr>
        <w:t xml:space="preserve"> </w:t>
      </w:r>
      <w:r w:rsidRPr="000977F7">
        <w:rPr>
          <w:rFonts w:asciiTheme="majorHAnsi" w:hAnsiTheme="majorHAnsi"/>
          <w:sz w:val="20"/>
          <w:szCs w:val="20"/>
        </w:rPr>
        <w:t>з</w:t>
      </w:r>
      <w:r w:rsidRPr="000977F7">
        <w:rPr>
          <w:rFonts w:asciiTheme="majorHAnsi" w:hAnsiTheme="majorHAnsi"/>
          <w:spacing w:val="10"/>
          <w:sz w:val="20"/>
          <w:szCs w:val="20"/>
        </w:rPr>
        <w:t xml:space="preserve"> </w:t>
      </w:r>
      <w:r w:rsidRPr="000977F7">
        <w:rPr>
          <w:rFonts w:asciiTheme="majorHAnsi" w:hAnsiTheme="majorHAnsi"/>
          <w:sz w:val="20"/>
          <w:szCs w:val="20"/>
        </w:rPr>
        <w:t>тим,</w:t>
      </w:r>
      <w:r w:rsidRPr="000977F7">
        <w:rPr>
          <w:rFonts w:asciiTheme="majorHAnsi" w:hAnsiTheme="majorHAnsi"/>
          <w:spacing w:val="12"/>
          <w:sz w:val="20"/>
          <w:szCs w:val="20"/>
        </w:rPr>
        <w:t xml:space="preserve"> </w:t>
      </w:r>
      <w:r w:rsidRPr="000977F7">
        <w:rPr>
          <w:rFonts w:asciiTheme="majorHAnsi" w:hAnsiTheme="majorHAnsi"/>
          <w:sz w:val="20"/>
          <w:szCs w:val="20"/>
        </w:rPr>
        <w:t>щоб</w:t>
      </w:r>
      <w:r w:rsidRPr="000977F7">
        <w:rPr>
          <w:rFonts w:asciiTheme="majorHAnsi" w:hAnsiTheme="majorHAnsi"/>
          <w:spacing w:val="10"/>
          <w:sz w:val="20"/>
          <w:szCs w:val="20"/>
        </w:rPr>
        <w:t xml:space="preserve"> </w:t>
      </w:r>
      <w:r w:rsidRPr="000977F7">
        <w:rPr>
          <w:rFonts w:asciiTheme="majorHAnsi" w:hAnsiTheme="majorHAnsi"/>
          <w:sz w:val="20"/>
          <w:szCs w:val="20"/>
        </w:rPr>
        <w:t>отримати</w:t>
      </w:r>
      <w:r w:rsidRPr="000977F7">
        <w:rPr>
          <w:rFonts w:asciiTheme="majorHAnsi" w:hAnsiTheme="majorHAnsi"/>
          <w:spacing w:val="9"/>
          <w:sz w:val="20"/>
          <w:szCs w:val="20"/>
        </w:rPr>
        <w:t xml:space="preserve"> </w:t>
      </w:r>
      <w:r w:rsidRPr="000977F7">
        <w:rPr>
          <w:rFonts w:asciiTheme="majorHAnsi" w:hAnsiTheme="majorHAnsi"/>
          <w:sz w:val="20"/>
          <w:szCs w:val="20"/>
        </w:rPr>
        <w:t>конкретні</w:t>
      </w:r>
      <w:r w:rsidRPr="000977F7">
        <w:rPr>
          <w:rFonts w:asciiTheme="majorHAnsi" w:hAnsiTheme="majorHAnsi"/>
          <w:spacing w:val="-1"/>
          <w:sz w:val="20"/>
          <w:szCs w:val="20"/>
        </w:rPr>
        <w:t xml:space="preserve"> </w:t>
      </w:r>
      <w:r w:rsidRPr="000977F7">
        <w:rPr>
          <w:rFonts w:asciiTheme="majorHAnsi" w:hAnsiTheme="majorHAnsi"/>
          <w:sz w:val="20"/>
          <w:szCs w:val="20"/>
        </w:rPr>
        <w:t>результати</w:t>
      </w:r>
    </w:p>
    <w:p w14:paraId="61C0E76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9000:2015</w:t>
      </w:r>
    </w:p>
    <w:p w14:paraId="4079CD02"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r w:rsidRPr="000977F7">
        <w:rPr>
          <w:rFonts w:asciiTheme="majorHAnsi" w:hAnsiTheme="majorHAnsi"/>
          <w:b/>
          <w:bCs/>
          <w:iCs/>
          <w:sz w:val="20"/>
          <w:szCs w:val="20"/>
        </w:rPr>
        <w:t>ЦІЛІ БЕЗПЕКИ -</w:t>
      </w:r>
    </w:p>
    <w:p w14:paraId="1BBA8BDD"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lang w:eastAsia="ru-RU"/>
        </w:rPr>
      </w:pPr>
      <w:r w:rsidRPr="000977F7">
        <w:rPr>
          <w:rFonts w:asciiTheme="majorHAnsi" w:hAnsiTheme="majorHAnsi"/>
          <w:sz w:val="20"/>
          <w:szCs w:val="20"/>
          <w:lang w:eastAsia="ru-RU"/>
        </w:rPr>
        <w:t>Цілі, спрямовані на захист людського життя або майна</w:t>
      </w:r>
    </w:p>
    <w:p w14:paraId="5E94515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Технічний регламент з електромагнітної сумісності обладнання</w:t>
      </w:r>
    </w:p>
    <w:p w14:paraId="7B021979"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ЦІЛІ</w:t>
      </w:r>
      <w:r w:rsidRPr="000977F7">
        <w:rPr>
          <w:color w:val="auto"/>
          <w:spacing w:val="27"/>
          <w:sz w:val="20"/>
          <w:szCs w:val="20"/>
        </w:rPr>
        <w:t xml:space="preserve"> </w:t>
      </w:r>
      <w:r w:rsidRPr="000977F7">
        <w:rPr>
          <w:color w:val="auto"/>
          <w:sz w:val="20"/>
          <w:szCs w:val="20"/>
        </w:rPr>
        <w:t>У</w:t>
      </w:r>
      <w:r w:rsidRPr="000977F7">
        <w:rPr>
          <w:color w:val="auto"/>
          <w:spacing w:val="28"/>
          <w:sz w:val="20"/>
          <w:szCs w:val="20"/>
        </w:rPr>
        <w:t xml:space="preserve"> </w:t>
      </w:r>
      <w:r w:rsidRPr="000977F7">
        <w:rPr>
          <w:color w:val="auto"/>
          <w:sz w:val="20"/>
          <w:szCs w:val="20"/>
        </w:rPr>
        <w:t>СФЕРІ</w:t>
      </w:r>
      <w:r w:rsidRPr="000977F7">
        <w:rPr>
          <w:color w:val="auto"/>
          <w:spacing w:val="27"/>
          <w:sz w:val="20"/>
          <w:szCs w:val="20"/>
        </w:rPr>
        <w:t xml:space="preserve"> </w:t>
      </w:r>
      <w:r w:rsidRPr="000977F7">
        <w:rPr>
          <w:color w:val="auto"/>
          <w:sz w:val="20"/>
          <w:szCs w:val="20"/>
        </w:rPr>
        <w:t>ЯКОСТІ</w:t>
      </w:r>
      <w:r w:rsidRPr="000977F7">
        <w:rPr>
          <w:color w:val="auto"/>
          <w:spacing w:val="30"/>
          <w:sz w:val="20"/>
          <w:szCs w:val="20"/>
        </w:rPr>
        <w:t xml:space="preserve"> </w:t>
      </w:r>
      <w:r w:rsidRPr="000977F7">
        <w:rPr>
          <w:color w:val="auto"/>
          <w:sz w:val="20"/>
          <w:szCs w:val="20"/>
        </w:rPr>
        <w:t>ТА</w:t>
      </w:r>
      <w:r w:rsidRPr="000977F7">
        <w:rPr>
          <w:color w:val="auto"/>
          <w:spacing w:val="30"/>
          <w:sz w:val="20"/>
          <w:szCs w:val="20"/>
        </w:rPr>
        <w:t xml:space="preserve"> </w:t>
      </w:r>
      <w:r w:rsidRPr="000977F7">
        <w:rPr>
          <w:color w:val="auto"/>
          <w:sz w:val="20"/>
          <w:szCs w:val="20"/>
        </w:rPr>
        <w:t>ПЛАНУВАННЯ</w:t>
      </w:r>
      <w:r w:rsidRPr="000977F7">
        <w:rPr>
          <w:color w:val="auto"/>
          <w:spacing w:val="27"/>
          <w:sz w:val="20"/>
          <w:szCs w:val="20"/>
        </w:rPr>
        <w:t xml:space="preserve"> </w:t>
      </w:r>
      <w:r w:rsidRPr="000977F7">
        <w:rPr>
          <w:color w:val="auto"/>
          <w:sz w:val="20"/>
          <w:szCs w:val="20"/>
        </w:rPr>
        <w:t>ДІЙ</w:t>
      </w:r>
      <w:r w:rsidRPr="000977F7">
        <w:rPr>
          <w:color w:val="auto"/>
          <w:spacing w:val="-47"/>
          <w:sz w:val="20"/>
          <w:szCs w:val="20"/>
        </w:rPr>
        <w:t xml:space="preserve"> </w:t>
      </w:r>
      <w:r w:rsidRPr="000977F7">
        <w:rPr>
          <w:color w:val="auto"/>
          <w:sz w:val="20"/>
          <w:szCs w:val="20"/>
        </w:rPr>
        <w:t>ДЛЯ</w:t>
      </w:r>
      <w:r w:rsidRPr="000977F7">
        <w:rPr>
          <w:color w:val="auto"/>
          <w:spacing w:val="-1"/>
          <w:sz w:val="20"/>
          <w:szCs w:val="20"/>
        </w:rPr>
        <w:t xml:space="preserve"> </w:t>
      </w:r>
      <w:r w:rsidRPr="000977F7">
        <w:rPr>
          <w:color w:val="auto"/>
          <w:sz w:val="20"/>
          <w:szCs w:val="20"/>
        </w:rPr>
        <w:t>ЇХ ДОСЯГНЕННЯ</w:t>
      </w:r>
      <w:r w:rsidRPr="000977F7">
        <w:rPr>
          <w:color w:val="auto"/>
          <w:spacing w:val="2"/>
          <w:sz w:val="20"/>
          <w:szCs w:val="20"/>
        </w:rPr>
        <w:t xml:space="preserve"> </w:t>
      </w:r>
      <w:r w:rsidRPr="000977F7">
        <w:rPr>
          <w:b w:val="0"/>
          <w:color w:val="auto"/>
          <w:sz w:val="20"/>
          <w:szCs w:val="20"/>
        </w:rPr>
        <w:t>-</w:t>
      </w:r>
    </w:p>
    <w:p w14:paraId="1A983C1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Організація повинна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встановити цілі</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у сфері якості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 відповідних підрозділів, рівнів і процесів, необхідних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для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системи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управління</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якістю.</w:t>
      </w:r>
    </w:p>
    <w:p w14:paraId="5D46A91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Потрібно,</w:t>
      </w:r>
      <w:r w:rsidRPr="000977F7">
        <w:rPr>
          <w:rFonts w:asciiTheme="majorHAnsi" w:hAnsiTheme="majorHAnsi"/>
          <w:spacing w:val="-2"/>
          <w:sz w:val="20"/>
          <w:szCs w:val="20"/>
        </w:rPr>
        <w:t xml:space="preserve"> </w:t>
      </w:r>
      <w:r w:rsidRPr="000977F7">
        <w:rPr>
          <w:rFonts w:asciiTheme="majorHAnsi" w:hAnsiTheme="majorHAnsi"/>
          <w:sz w:val="20"/>
          <w:szCs w:val="20"/>
        </w:rPr>
        <w:t>щоб</w:t>
      </w:r>
      <w:r w:rsidRPr="000977F7">
        <w:rPr>
          <w:rFonts w:asciiTheme="majorHAnsi" w:hAnsiTheme="majorHAnsi"/>
          <w:spacing w:val="-3"/>
          <w:sz w:val="20"/>
          <w:szCs w:val="20"/>
        </w:rPr>
        <w:t xml:space="preserve"> </w:t>
      </w:r>
      <w:r w:rsidRPr="000977F7">
        <w:rPr>
          <w:rFonts w:asciiTheme="majorHAnsi" w:hAnsiTheme="majorHAnsi"/>
          <w:sz w:val="20"/>
          <w:szCs w:val="20"/>
        </w:rPr>
        <w:t>цілі у</w:t>
      </w:r>
      <w:r w:rsidRPr="000977F7">
        <w:rPr>
          <w:rFonts w:asciiTheme="majorHAnsi" w:hAnsiTheme="majorHAnsi"/>
          <w:spacing w:val="-6"/>
          <w:sz w:val="20"/>
          <w:szCs w:val="20"/>
        </w:rPr>
        <w:t xml:space="preserve"> </w:t>
      </w:r>
      <w:r w:rsidRPr="000977F7">
        <w:rPr>
          <w:rFonts w:asciiTheme="majorHAnsi" w:hAnsiTheme="majorHAnsi"/>
          <w:sz w:val="20"/>
          <w:szCs w:val="20"/>
        </w:rPr>
        <w:t>сфері якості</w:t>
      </w:r>
    </w:p>
    <w:p w14:paraId="7AD24DB7" w14:textId="77777777" w:rsidR="0097612F" w:rsidRPr="000977F7" w:rsidRDefault="0097612F" w:rsidP="00FD39A4">
      <w:pPr>
        <w:pStyle w:val="ac"/>
        <w:widowControl w:val="0"/>
        <w:numPr>
          <w:ilvl w:val="1"/>
          <w:numId w:val="67"/>
        </w:numPr>
        <w:tabs>
          <w:tab w:val="left" w:pos="284"/>
          <w:tab w:val="left" w:pos="6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були</w:t>
      </w:r>
      <w:r w:rsidRPr="000977F7">
        <w:rPr>
          <w:rFonts w:asciiTheme="majorHAnsi" w:hAnsiTheme="majorHAnsi"/>
          <w:spacing w:val="-1"/>
          <w:sz w:val="20"/>
          <w:szCs w:val="20"/>
        </w:rPr>
        <w:t xml:space="preserve"> </w:t>
      </w:r>
      <w:r w:rsidRPr="000977F7">
        <w:rPr>
          <w:rFonts w:asciiTheme="majorHAnsi" w:hAnsiTheme="majorHAnsi"/>
          <w:sz w:val="20"/>
          <w:szCs w:val="20"/>
        </w:rPr>
        <w:t>узгоджені</w:t>
      </w:r>
      <w:r w:rsidRPr="000977F7">
        <w:rPr>
          <w:rFonts w:asciiTheme="majorHAnsi" w:hAnsiTheme="majorHAnsi"/>
          <w:spacing w:val="-3"/>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політикою</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6"/>
          <w:sz w:val="20"/>
          <w:szCs w:val="20"/>
        </w:rPr>
        <w:t xml:space="preserve"> </w:t>
      </w:r>
      <w:r w:rsidRPr="000977F7">
        <w:rPr>
          <w:rFonts w:asciiTheme="majorHAnsi" w:hAnsiTheme="majorHAnsi"/>
          <w:sz w:val="20"/>
          <w:szCs w:val="20"/>
        </w:rPr>
        <w:t>сфері</w:t>
      </w:r>
      <w:r w:rsidRPr="000977F7">
        <w:rPr>
          <w:rFonts w:asciiTheme="majorHAnsi" w:hAnsiTheme="majorHAnsi"/>
          <w:spacing w:val="-3"/>
          <w:sz w:val="20"/>
          <w:szCs w:val="20"/>
        </w:rPr>
        <w:t xml:space="preserve"> </w:t>
      </w:r>
      <w:r w:rsidRPr="000977F7">
        <w:rPr>
          <w:rFonts w:asciiTheme="majorHAnsi" w:hAnsiTheme="majorHAnsi"/>
          <w:sz w:val="20"/>
          <w:szCs w:val="20"/>
        </w:rPr>
        <w:t>якості;</w:t>
      </w:r>
    </w:p>
    <w:p w14:paraId="70FC6EAC" w14:textId="77777777" w:rsidR="0097612F" w:rsidRPr="000977F7" w:rsidRDefault="0097612F" w:rsidP="00FD39A4">
      <w:pPr>
        <w:pStyle w:val="ac"/>
        <w:widowControl w:val="0"/>
        <w:numPr>
          <w:ilvl w:val="1"/>
          <w:numId w:val="67"/>
        </w:numPr>
        <w:tabs>
          <w:tab w:val="left" w:pos="284"/>
          <w:tab w:val="left" w:pos="65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lastRenderedPageBreak/>
        <w:t>були</w:t>
      </w:r>
      <w:r w:rsidRPr="000977F7">
        <w:rPr>
          <w:rFonts w:asciiTheme="majorHAnsi" w:hAnsiTheme="majorHAnsi"/>
          <w:spacing w:val="-5"/>
          <w:sz w:val="20"/>
          <w:szCs w:val="20"/>
        </w:rPr>
        <w:t xml:space="preserve"> </w:t>
      </w:r>
      <w:r w:rsidRPr="000977F7">
        <w:rPr>
          <w:rFonts w:asciiTheme="majorHAnsi" w:hAnsiTheme="majorHAnsi"/>
          <w:sz w:val="20"/>
          <w:szCs w:val="20"/>
        </w:rPr>
        <w:t>вимірними;</w:t>
      </w:r>
    </w:p>
    <w:p w14:paraId="1F2EACCE" w14:textId="77777777" w:rsidR="0097612F" w:rsidRPr="000977F7" w:rsidRDefault="0097612F" w:rsidP="00FD39A4">
      <w:pPr>
        <w:pStyle w:val="ac"/>
        <w:widowControl w:val="0"/>
        <w:numPr>
          <w:ilvl w:val="1"/>
          <w:numId w:val="67"/>
        </w:numPr>
        <w:tabs>
          <w:tab w:val="left" w:pos="284"/>
          <w:tab w:val="left" w:pos="6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ураховували</w:t>
      </w:r>
      <w:r w:rsidRPr="000977F7">
        <w:rPr>
          <w:rFonts w:asciiTheme="majorHAnsi" w:hAnsiTheme="majorHAnsi"/>
          <w:spacing w:val="-7"/>
          <w:sz w:val="20"/>
          <w:szCs w:val="20"/>
        </w:rPr>
        <w:t xml:space="preserve"> </w:t>
      </w:r>
      <w:r w:rsidRPr="000977F7">
        <w:rPr>
          <w:rFonts w:asciiTheme="majorHAnsi" w:hAnsiTheme="majorHAnsi"/>
          <w:sz w:val="20"/>
          <w:szCs w:val="20"/>
        </w:rPr>
        <w:t>застосовні</w:t>
      </w:r>
      <w:r w:rsidRPr="000977F7">
        <w:rPr>
          <w:rFonts w:asciiTheme="majorHAnsi" w:hAnsiTheme="majorHAnsi"/>
          <w:spacing w:val="-4"/>
          <w:sz w:val="20"/>
          <w:szCs w:val="20"/>
        </w:rPr>
        <w:t xml:space="preserve"> </w:t>
      </w:r>
      <w:r w:rsidRPr="000977F7">
        <w:rPr>
          <w:rFonts w:asciiTheme="majorHAnsi" w:hAnsiTheme="majorHAnsi"/>
          <w:sz w:val="20"/>
          <w:szCs w:val="20"/>
        </w:rPr>
        <w:t>вимоги;</w:t>
      </w:r>
    </w:p>
    <w:p w14:paraId="5CA8191A" w14:textId="77777777" w:rsidR="0097612F" w:rsidRPr="000977F7" w:rsidRDefault="0097612F" w:rsidP="00FD39A4">
      <w:pPr>
        <w:pStyle w:val="ac"/>
        <w:widowControl w:val="0"/>
        <w:numPr>
          <w:ilvl w:val="1"/>
          <w:numId w:val="67"/>
        </w:numPr>
        <w:tabs>
          <w:tab w:val="left" w:pos="284"/>
          <w:tab w:val="left" w:pos="680"/>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були</w:t>
      </w:r>
      <w:r w:rsidRPr="000977F7">
        <w:rPr>
          <w:rFonts w:asciiTheme="majorHAnsi" w:hAnsiTheme="majorHAnsi"/>
          <w:spacing w:val="16"/>
          <w:sz w:val="20"/>
          <w:szCs w:val="20"/>
        </w:rPr>
        <w:t xml:space="preserve"> </w:t>
      </w:r>
      <w:r w:rsidRPr="000977F7">
        <w:rPr>
          <w:rFonts w:asciiTheme="majorHAnsi" w:hAnsiTheme="majorHAnsi"/>
          <w:sz w:val="20"/>
          <w:szCs w:val="20"/>
        </w:rPr>
        <w:t>доречними</w:t>
      </w:r>
      <w:r w:rsidRPr="000977F7">
        <w:rPr>
          <w:rFonts w:asciiTheme="majorHAnsi" w:hAnsiTheme="majorHAnsi"/>
          <w:spacing w:val="17"/>
          <w:sz w:val="20"/>
          <w:szCs w:val="20"/>
        </w:rPr>
        <w:t xml:space="preserve"> </w:t>
      </w:r>
      <w:r w:rsidRPr="000977F7">
        <w:rPr>
          <w:rFonts w:asciiTheme="majorHAnsi" w:hAnsiTheme="majorHAnsi"/>
          <w:sz w:val="20"/>
          <w:szCs w:val="20"/>
        </w:rPr>
        <w:t>з</w:t>
      </w:r>
      <w:r w:rsidRPr="000977F7">
        <w:rPr>
          <w:rFonts w:asciiTheme="majorHAnsi" w:hAnsiTheme="majorHAnsi"/>
          <w:spacing w:val="18"/>
          <w:sz w:val="20"/>
          <w:szCs w:val="20"/>
        </w:rPr>
        <w:t xml:space="preserve"> </w:t>
      </w:r>
      <w:r w:rsidRPr="000977F7">
        <w:rPr>
          <w:rFonts w:asciiTheme="majorHAnsi" w:hAnsiTheme="majorHAnsi"/>
          <w:sz w:val="20"/>
          <w:szCs w:val="20"/>
        </w:rPr>
        <w:t>погляду</w:t>
      </w:r>
      <w:r w:rsidRPr="000977F7">
        <w:rPr>
          <w:rFonts w:asciiTheme="majorHAnsi" w:hAnsiTheme="majorHAnsi"/>
          <w:spacing w:val="15"/>
          <w:sz w:val="20"/>
          <w:szCs w:val="20"/>
        </w:rPr>
        <w:t xml:space="preserve"> </w:t>
      </w:r>
      <w:r w:rsidRPr="000977F7">
        <w:rPr>
          <w:rFonts w:asciiTheme="majorHAnsi" w:hAnsiTheme="majorHAnsi"/>
          <w:sz w:val="20"/>
          <w:szCs w:val="20"/>
        </w:rPr>
        <w:t>відповідності</w:t>
      </w:r>
      <w:r w:rsidRPr="000977F7">
        <w:rPr>
          <w:rFonts w:asciiTheme="majorHAnsi" w:hAnsiTheme="majorHAnsi"/>
          <w:spacing w:val="17"/>
          <w:sz w:val="20"/>
          <w:szCs w:val="20"/>
        </w:rPr>
        <w:t xml:space="preserve"> </w:t>
      </w:r>
      <w:r w:rsidRPr="000977F7">
        <w:rPr>
          <w:rFonts w:asciiTheme="majorHAnsi" w:hAnsiTheme="majorHAnsi"/>
          <w:sz w:val="20"/>
          <w:szCs w:val="20"/>
        </w:rPr>
        <w:t>продукції</w:t>
      </w:r>
      <w:r w:rsidRPr="000977F7">
        <w:rPr>
          <w:rFonts w:asciiTheme="majorHAnsi" w:hAnsiTheme="majorHAnsi"/>
          <w:spacing w:val="-47"/>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послуг</w:t>
      </w:r>
      <w:r w:rsidRPr="000977F7">
        <w:rPr>
          <w:rFonts w:asciiTheme="majorHAnsi" w:hAnsiTheme="majorHAnsi"/>
          <w:spacing w:val="-3"/>
          <w:sz w:val="20"/>
          <w:szCs w:val="20"/>
        </w:rPr>
        <w:t xml:space="preserve"> </w:t>
      </w:r>
      <w:r w:rsidRPr="000977F7">
        <w:rPr>
          <w:rFonts w:asciiTheme="majorHAnsi" w:hAnsiTheme="majorHAnsi"/>
          <w:sz w:val="20"/>
          <w:szCs w:val="20"/>
        </w:rPr>
        <w:t>та підвищення</w:t>
      </w:r>
      <w:r w:rsidRPr="000977F7">
        <w:rPr>
          <w:rFonts w:asciiTheme="majorHAnsi" w:hAnsiTheme="majorHAnsi"/>
          <w:spacing w:val="-3"/>
          <w:sz w:val="20"/>
          <w:szCs w:val="20"/>
        </w:rPr>
        <w:t xml:space="preserve"> </w:t>
      </w:r>
      <w:r w:rsidRPr="000977F7">
        <w:rPr>
          <w:rFonts w:asciiTheme="majorHAnsi" w:hAnsiTheme="majorHAnsi"/>
          <w:sz w:val="20"/>
          <w:szCs w:val="20"/>
        </w:rPr>
        <w:t>задоволеності</w:t>
      </w:r>
      <w:r w:rsidRPr="000977F7">
        <w:rPr>
          <w:rFonts w:asciiTheme="majorHAnsi" w:hAnsiTheme="majorHAnsi"/>
          <w:spacing w:val="-3"/>
          <w:sz w:val="20"/>
          <w:szCs w:val="20"/>
        </w:rPr>
        <w:t xml:space="preserve"> </w:t>
      </w:r>
      <w:r w:rsidRPr="000977F7">
        <w:rPr>
          <w:rFonts w:asciiTheme="majorHAnsi" w:hAnsiTheme="majorHAnsi"/>
          <w:sz w:val="20"/>
          <w:szCs w:val="20"/>
        </w:rPr>
        <w:t>замовників;</w:t>
      </w:r>
    </w:p>
    <w:p w14:paraId="37D7D21D" w14:textId="77777777" w:rsidR="0097612F" w:rsidRPr="000977F7" w:rsidRDefault="0097612F" w:rsidP="00FD39A4">
      <w:pPr>
        <w:pStyle w:val="ac"/>
        <w:widowControl w:val="0"/>
        <w:numPr>
          <w:ilvl w:val="1"/>
          <w:numId w:val="67"/>
        </w:numPr>
        <w:tabs>
          <w:tab w:val="left" w:pos="284"/>
          <w:tab w:val="left" w:pos="647"/>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були</w:t>
      </w:r>
      <w:r w:rsidRPr="000977F7">
        <w:rPr>
          <w:rFonts w:asciiTheme="majorHAnsi" w:hAnsiTheme="majorHAnsi"/>
          <w:spacing w:val="-3"/>
          <w:sz w:val="20"/>
          <w:szCs w:val="20"/>
        </w:rPr>
        <w:t xml:space="preserve"> </w:t>
      </w:r>
      <w:r w:rsidRPr="000977F7">
        <w:rPr>
          <w:rFonts w:asciiTheme="majorHAnsi" w:hAnsiTheme="majorHAnsi"/>
          <w:sz w:val="20"/>
          <w:szCs w:val="20"/>
        </w:rPr>
        <w:t>охоплені</w:t>
      </w:r>
      <w:r w:rsidRPr="000977F7">
        <w:rPr>
          <w:rFonts w:asciiTheme="majorHAnsi" w:hAnsiTheme="majorHAnsi"/>
          <w:spacing w:val="-3"/>
          <w:sz w:val="20"/>
          <w:szCs w:val="20"/>
        </w:rPr>
        <w:t xml:space="preserve"> </w:t>
      </w:r>
      <w:r w:rsidRPr="000977F7">
        <w:rPr>
          <w:rFonts w:asciiTheme="majorHAnsi" w:hAnsiTheme="majorHAnsi"/>
          <w:sz w:val="20"/>
          <w:szCs w:val="20"/>
        </w:rPr>
        <w:t>моніторингом;</w:t>
      </w:r>
    </w:p>
    <w:p w14:paraId="6DA469F0" w14:textId="77777777" w:rsidR="0097612F" w:rsidRPr="000977F7" w:rsidRDefault="0097612F" w:rsidP="00FD39A4">
      <w:pPr>
        <w:pStyle w:val="ac"/>
        <w:widowControl w:val="0"/>
        <w:numPr>
          <w:ilvl w:val="1"/>
          <w:numId w:val="67"/>
        </w:numPr>
        <w:tabs>
          <w:tab w:val="left" w:pos="284"/>
          <w:tab w:val="left" w:pos="62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були</w:t>
      </w:r>
      <w:r w:rsidRPr="000977F7">
        <w:rPr>
          <w:rFonts w:asciiTheme="majorHAnsi" w:hAnsiTheme="majorHAnsi"/>
          <w:spacing w:val="-4"/>
          <w:sz w:val="20"/>
          <w:szCs w:val="20"/>
        </w:rPr>
        <w:t xml:space="preserve"> </w:t>
      </w:r>
      <w:r w:rsidRPr="000977F7">
        <w:rPr>
          <w:rFonts w:asciiTheme="majorHAnsi" w:hAnsiTheme="majorHAnsi"/>
          <w:sz w:val="20"/>
          <w:szCs w:val="20"/>
        </w:rPr>
        <w:t>доведені</w:t>
      </w:r>
      <w:r w:rsidRPr="000977F7">
        <w:rPr>
          <w:rFonts w:asciiTheme="majorHAnsi" w:hAnsiTheme="majorHAnsi"/>
          <w:spacing w:val="-3"/>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відома; були</w:t>
      </w:r>
      <w:r w:rsidRPr="000977F7">
        <w:rPr>
          <w:rFonts w:asciiTheme="majorHAnsi" w:hAnsiTheme="majorHAnsi"/>
          <w:spacing w:val="-5"/>
          <w:sz w:val="20"/>
          <w:szCs w:val="20"/>
        </w:rPr>
        <w:t xml:space="preserve"> </w:t>
      </w:r>
      <w:r w:rsidRPr="000977F7">
        <w:rPr>
          <w:rFonts w:asciiTheme="majorHAnsi" w:hAnsiTheme="majorHAnsi"/>
          <w:sz w:val="20"/>
          <w:szCs w:val="20"/>
        </w:rPr>
        <w:t>актуалізовані,</w:t>
      </w:r>
      <w:r w:rsidRPr="000977F7">
        <w:rPr>
          <w:rFonts w:asciiTheme="majorHAnsi" w:hAnsiTheme="majorHAnsi"/>
          <w:spacing w:val="-3"/>
          <w:sz w:val="20"/>
          <w:szCs w:val="20"/>
        </w:rPr>
        <w:t xml:space="preserve"> </w:t>
      </w:r>
      <w:r w:rsidRPr="000977F7">
        <w:rPr>
          <w:rFonts w:asciiTheme="majorHAnsi" w:hAnsiTheme="majorHAnsi"/>
          <w:sz w:val="20"/>
          <w:szCs w:val="20"/>
        </w:rPr>
        <w:t>як</w:t>
      </w:r>
      <w:r w:rsidRPr="000977F7">
        <w:rPr>
          <w:rFonts w:asciiTheme="majorHAnsi" w:hAnsiTheme="majorHAnsi"/>
          <w:spacing w:val="-5"/>
          <w:sz w:val="20"/>
          <w:szCs w:val="20"/>
        </w:rPr>
        <w:t xml:space="preserve"> </w:t>
      </w:r>
      <w:r w:rsidRPr="000977F7">
        <w:rPr>
          <w:rFonts w:asciiTheme="majorHAnsi" w:hAnsiTheme="majorHAnsi"/>
          <w:sz w:val="20"/>
          <w:szCs w:val="20"/>
        </w:rPr>
        <w:t>належить.</w:t>
      </w:r>
    </w:p>
    <w:p w14:paraId="5781205C" w14:textId="77777777" w:rsidR="0097612F" w:rsidRPr="000977F7" w:rsidRDefault="0097612F" w:rsidP="00FD39A4">
      <w:pPr>
        <w:pStyle w:val="ac"/>
        <w:widowControl w:val="0"/>
        <w:numPr>
          <w:ilvl w:val="1"/>
          <w:numId w:val="67"/>
        </w:numPr>
        <w:tabs>
          <w:tab w:val="left" w:pos="284"/>
          <w:tab w:val="left" w:pos="62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повинна</w:t>
      </w:r>
      <w:r w:rsidRPr="000977F7">
        <w:rPr>
          <w:rFonts w:asciiTheme="majorHAnsi" w:hAnsiTheme="majorHAnsi"/>
          <w:spacing w:val="1"/>
          <w:sz w:val="20"/>
          <w:szCs w:val="20"/>
        </w:rPr>
        <w:t xml:space="preserve"> </w:t>
      </w:r>
      <w:r w:rsidRPr="000977F7">
        <w:rPr>
          <w:rFonts w:asciiTheme="majorHAnsi" w:hAnsiTheme="majorHAnsi"/>
          <w:sz w:val="20"/>
          <w:szCs w:val="20"/>
        </w:rPr>
        <w:t>підтримувати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актуальному</w:t>
      </w:r>
      <w:r w:rsidRPr="000977F7">
        <w:rPr>
          <w:rFonts w:asciiTheme="majorHAnsi" w:hAnsiTheme="majorHAnsi"/>
          <w:spacing w:val="1"/>
          <w:sz w:val="20"/>
          <w:szCs w:val="20"/>
        </w:rPr>
        <w:t xml:space="preserve"> </w:t>
      </w:r>
      <w:r w:rsidRPr="000977F7">
        <w:rPr>
          <w:rFonts w:asciiTheme="majorHAnsi" w:hAnsiTheme="majorHAnsi"/>
          <w:sz w:val="20"/>
          <w:szCs w:val="20"/>
        </w:rPr>
        <w:t>стані задокументовану інформацію щодо цілей у сфері</w:t>
      </w:r>
      <w:r w:rsidRPr="000977F7">
        <w:rPr>
          <w:rFonts w:asciiTheme="majorHAnsi" w:hAnsiTheme="majorHAnsi"/>
          <w:spacing w:val="-2"/>
          <w:sz w:val="20"/>
          <w:szCs w:val="20"/>
        </w:rPr>
        <w:t xml:space="preserve"> </w:t>
      </w:r>
      <w:r w:rsidRPr="000977F7">
        <w:rPr>
          <w:rFonts w:asciiTheme="majorHAnsi" w:hAnsiTheme="majorHAnsi"/>
          <w:sz w:val="20"/>
          <w:szCs w:val="20"/>
        </w:rPr>
        <w:t>якості.</w:t>
      </w:r>
    </w:p>
    <w:p w14:paraId="0FC353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Плануючи те, як досягти своїх цілей у сфері якості,</w:t>
      </w:r>
      <w:r w:rsidRPr="000977F7">
        <w:rPr>
          <w:rFonts w:asciiTheme="majorHAnsi" w:hAnsiTheme="majorHAnsi"/>
          <w:spacing w:val="1"/>
          <w:sz w:val="20"/>
          <w:szCs w:val="20"/>
        </w:rPr>
        <w:t xml:space="preserve"> </w:t>
      </w:r>
      <w:r w:rsidRPr="000977F7">
        <w:rPr>
          <w:rFonts w:asciiTheme="majorHAnsi" w:hAnsiTheme="majorHAnsi"/>
          <w:sz w:val="20"/>
          <w:szCs w:val="20"/>
        </w:rPr>
        <w:t>організація</w:t>
      </w:r>
      <w:r w:rsidRPr="000977F7">
        <w:rPr>
          <w:rFonts w:asciiTheme="majorHAnsi" w:hAnsiTheme="majorHAnsi"/>
          <w:spacing w:val="1"/>
          <w:sz w:val="20"/>
          <w:szCs w:val="20"/>
        </w:rPr>
        <w:t xml:space="preserve"> </w:t>
      </w:r>
      <w:r w:rsidRPr="000977F7">
        <w:rPr>
          <w:rFonts w:asciiTheme="majorHAnsi" w:hAnsiTheme="majorHAnsi"/>
          <w:sz w:val="20"/>
          <w:szCs w:val="20"/>
        </w:rPr>
        <w:t>повинна</w:t>
      </w:r>
      <w:r w:rsidRPr="000977F7">
        <w:rPr>
          <w:rFonts w:asciiTheme="majorHAnsi" w:hAnsiTheme="majorHAnsi"/>
          <w:spacing w:val="-1"/>
          <w:sz w:val="20"/>
          <w:szCs w:val="20"/>
        </w:rPr>
        <w:t xml:space="preserve"> </w:t>
      </w:r>
      <w:r w:rsidRPr="000977F7">
        <w:rPr>
          <w:rFonts w:asciiTheme="majorHAnsi" w:hAnsiTheme="majorHAnsi"/>
          <w:sz w:val="20"/>
          <w:szCs w:val="20"/>
        </w:rPr>
        <w:t>визначити,</w:t>
      </w:r>
    </w:p>
    <w:p w14:paraId="53599798" w14:textId="77777777" w:rsidR="0097612F" w:rsidRPr="000977F7" w:rsidRDefault="0097612F" w:rsidP="00FD39A4">
      <w:pPr>
        <w:pStyle w:val="ac"/>
        <w:widowControl w:val="0"/>
        <w:numPr>
          <w:ilvl w:val="0"/>
          <w:numId w:val="66"/>
        </w:numPr>
        <w:tabs>
          <w:tab w:val="left" w:pos="284"/>
          <w:tab w:val="left" w:pos="52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що</w:t>
      </w:r>
      <w:r w:rsidRPr="000977F7">
        <w:rPr>
          <w:rFonts w:asciiTheme="majorHAnsi" w:hAnsiTheme="majorHAnsi"/>
          <w:spacing w:val="-3"/>
          <w:sz w:val="20"/>
          <w:szCs w:val="20"/>
        </w:rPr>
        <w:t xml:space="preserve"> </w:t>
      </w:r>
      <w:r w:rsidRPr="000977F7">
        <w:rPr>
          <w:rFonts w:asciiTheme="majorHAnsi" w:hAnsiTheme="majorHAnsi"/>
          <w:sz w:val="20"/>
          <w:szCs w:val="20"/>
        </w:rPr>
        <w:t>потрібно</w:t>
      </w:r>
      <w:r w:rsidRPr="000977F7">
        <w:rPr>
          <w:rFonts w:asciiTheme="majorHAnsi" w:hAnsiTheme="majorHAnsi"/>
          <w:spacing w:val="-3"/>
          <w:sz w:val="20"/>
          <w:szCs w:val="20"/>
        </w:rPr>
        <w:t xml:space="preserve"> </w:t>
      </w:r>
      <w:r w:rsidRPr="000977F7">
        <w:rPr>
          <w:rFonts w:asciiTheme="majorHAnsi" w:hAnsiTheme="majorHAnsi"/>
          <w:sz w:val="20"/>
          <w:szCs w:val="20"/>
        </w:rPr>
        <w:t>зробити;</w:t>
      </w:r>
    </w:p>
    <w:p w14:paraId="2F19844D" w14:textId="77777777" w:rsidR="0097612F" w:rsidRPr="000977F7" w:rsidRDefault="0097612F" w:rsidP="00FD39A4">
      <w:pPr>
        <w:pStyle w:val="ac"/>
        <w:widowControl w:val="0"/>
        <w:numPr>
          <w:ilvl w:val="0"/>
          <w:numId w:val="66"/>
        </w:numPr>
        <w:tabs>
          <w:tab w:val="left" w:pos="284"/>
          <w:tab w:val="left" w:pos="53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які</w:t>
      </w:r>
      <w:r w:rsidRPr="000977F7">
        <w:rPr>
          <w:rFonts w:asciiTheme="majorHAnsi" w:hAnsiTheme="majorHAnsi"/>
          <w:spacing w:val="-5"/>
          <w:sz w:val="20"/>
          <w:szCs w:val="20"/>
        </w:rPr>
        <w:t xml:space="preserve"> </w:t>
      </w:r>
      <w:r w:rsidRPr="000977F7">
        <w:rPr>
          <w:rFonts w:asciiTheme="majorHAnsi" w:hAnsiTheme="majorHAnsi"/>
          <w:sz w:val="20"/>
          <w:szCs w:val="20"/>
        </w:rPr>
        <w:t>ресурси</w:t>
      </w:r>
      <w:r w:rsidRPr="000977F7">
        <w:rPr>
          <w:rFonts w:asciiTheme="majorHAnsi" w:hAnsiTheme="majorHAnsi"/>
          <w:spacing w:val="-4"/>
          <w:sz w:val="20"/>
          <w:szCs w:val="20"/>
        </w:rPr>
        <w:t xml:space="preserve"> </w:t>
      </w:r>
      <w:r w:rsidRPr="000977F7">
        <w:rPr>
          <w:rFonts w:asciiTheme="majorHAnsi" w:hAnsiTheme="majorHAnsi"/>
          <w:sz w:val="20"/>
          <w:szCs w:val="20"/>
        </w:rPr>
        <w:t>будуть</w:t>
      </w:r>
      <w:r w:rsidRPr="000977F7">
        <w:rPr>
          <w:rFonts w:asciiTheme="majorHAnsi" w:hAnsiTheme="majorHAnsi"/>
          <w:spacing w:val="-3"/>
          <w:sz w:val="20"/>
          <w:szCs w:val="20"/>
        </w:rPr>
        <w:t xml:space="preserve"> </w:t>
      </w:r>
      <w:r w:rsidRPr="000977F7">
        <w:rPr>
          <w:rFonts w:asciiTheme="majorHAnsi" w:hAnsiTheme="majorHAnsi"/>
          <w:sz w:val="20"/>
          <w:szCs w:val="20"/>
        </w:rPr>
        <w:t>потрібні;</w:t>
      </w:r>
    </w:p>
    <w:p w14:paraId="00F54EE6" w14:textId="77777777" w:rsidR="0097612F" w:rsidRPr="000977F7" w:rsidRDefault="0097612F" w:rsidP="00FD39A4">
      <w:pPr>
        <w:pStyle w:val="ac"/>
        <w:widowControl w:val="0"/>
        <w:numPr>
          <w:ilvl w:val="0"/>
          <w:numId w:val="66"/>
        </w:numPr>
        <w:tabs>
          <w:tab w:val="left" w:pos="284"/>
          <w:tab w:val="left" w:pos="52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хто</w:t>
      </w:r>
      <w:r w:rsidRPr="000977F7">
        <w:rPr>
          <w:rFonts w:asciiTheme="majorHAnsi" w:hAnsiTheme="majorHAnsi"/>
          <w:spacing w:val="-8"/>
          <w:sz w:val="20"/>
          <w:szCs w:val="20"/>
        </w:rPr>
        <w:t xml:space="preserve"> </w:t>
      </w:r>
      <w:r w:rsidRPr="000977F7">
        <w:rPr>
          <w:rFonts w:asciiTheme="majorHAnsi" w:hAnsiTheme="majorHAnsi"/>
          <w:sz w:val="20"/>
          <w:szCs w:val="20"/>
        </w:rPr>
        <w:t>буде</w:t>
      </w:r>
      <w:r w:rsidRPr="000977F7">
        <w:rPr>
          <w:rFonts w:asciiTheme="majorHAnsi" w:hAnsiTheme="majorHAnsi"/>
          <w:spacing w:val="-9"/>
          <w:sz w:val="20"/>
          <w:szCs w:val="20"/>
        </w:rPr>
        <w:t xml:space="preserve"> </w:t>
      </w:r>
      <w:r w:rsidRPr="000977F7">
        <w:rPr>
          <w:rFonts w:asciiTheme="majorHAnsi" w:hAnsiTheme="majorHAnsi"/>
          <w:sz w:val="20"/>
          <w:szCs w:val="20"/>
        </w:rPr>
        <w:t>відповідальним;</w:t>
      </w:r>
    </w:p>
    <w:p w14:paraId="5DE0879F" w14:textId="77777777" w:rsidR="0097612F" w:rsidRPr="000977F7" w:rsidRDefault="0097612F" w:rsidP="00FD39A4">
      <w:pPr>
        <w:pStyle w:val="ac"/>
        <w:widowControl w:val="0"/>
        <w:numPr>
          <w:ilvl w:val="0"/>
          <w:numId w:val="66"/>
        </w:numPr>
        <w:tabs>
          <w:tab w:val="left" w:pos="284"/>
          <w:tab w:val="left" w:pos="53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коли</w:t>
      </w:r>
      <w:r w:rsidRPr="000977F7">
        <w:rPr>
          <w:rFonts w:asciiTheme="majorHAnsi" w:hAnsiTheme="majorHAnsi"/>
          <w:spacing w:val="-5"/>
          <w:sz w:val="20"/>
          <w:szCs w:val="20"/>
        </w:rPr>
        <w:t xml:space="preserve"> </w:t>
      </w:r>
      <w:r w:rsidRPr="000977F7">
        <w:rPr>
          <w:rFonts w:asciiTheme="majorHAnsi" w:hAnsiTheme="majorHAnsi"/>
          <w:sz w:val="20"/>
          <w:szCs w:val="20"/>
        </w:rPr>
        <w:t>це</w:t>
      </w:r>
      <w:r w:rsidRPr="000977F7">
        <w:rPr>
          <w:rFonts w:asciiTheme="majorHAnsi" w:hAnsiTheme="majorHAnsi"/>
          <w:spacing w:val="-3"/>
          <w:sz w:val="20"/>
          <w:szCs w:val="20"/>
        </w:rPr>
        <w:t xml:space="preserve"> </w:t>
      </w:r>
      <w:r w:rsidRPr="000977F7">
        <w:rPr>
          <w:rFonts w:asciiTheme="majorHAnsi" w:hAnsiTheme="majorHAnsi"/>
          <w:sz w:val="20"/>
          <w:szCs w:val="20"/>
        </w:rPr>
        <w:t>буде</w:t>
      </w:r>
      <w:r w:rsidRPr="000977F7">
        <w:rPr>
          <w:rFonts w:asciiTheme="majorHAnsi" w:hAnsiTheme="majorHAnsi"/>
          <w:spacing w:val="-4"/>
          <w:sz w:val="20"/>
          <w:szCs w:val="20"/>
        </w:rPr>
        <w:t xml:space="preserve"> </w:t>
      </w:r>
      <w:r w:rsidRPr="000977F7">
        <w:rPr>
          <w:rFonts w:asciiTheme="majorHAnsi" w:hAnsiTheme="majorHAnsi"/>
          <w:sz w:val="20"/>
          <w:szCs w:val="20"/>
        </w:rPr>
        <w:t>завершено;</w:t>
      </w:r>
    </w:p>
    <w:p w14:paraId="09BFD634" w14:textId="77777777" w:rsidR="0097612F" w:rsidRPr="000977F7" w:rsidRDefault="0097612F" w:rsidP="00FD39A4">
      <w:pPr>
        <w:pStyle w:val="ac"/>
        <w:widowControl w:val="0"/>
        <w:numPr>
          <w:ilvl w:val="0"/>
          <w:numId w:val="66"/>
        </w:numPr>
        <w:tabs>
          <w:tab w:val="left" w:pos="284"/>
          <w:tab w:val="left" w:pos="52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як</w:t>
      </w:r>
      <w:r w:rsidRPr="000977F7">
        <w:rPr>
          <w:rFonts w:asciiTheme="majorHAnsi" w:hAnsiTheme="majorHAnsi"/>
          <w:spacing w:val="-8"/>
          <w:sz w:val="20"/>
          <w:szCs w:val="20"/>
        </w:rPr>
        <w:t xml:space="preserve"> </w:t>
      </w:r>
      <w:r w:rsidRPr="000977F7">
        <w:rPr>
          <w:rFonts w:asciiTheme="majorHAnsi" w:hAnsiTheme="majorHAnsi"/>
          <w:sz w:val="20"/>
          <w:szCs w:val="20"/>
        </w:rPr>
        <w:t>оцінювати</w:t>
      </w:r>
      <w:r w:rsidRPr="000977F7">
        <w:rPr>
          <w:rFonts w:asciiTheme="majorHAnsi" w:hAnsiTheme="majorHAnsi"/>
          <w:spacing w:val="-8"/>
          <w:sz w:val="20"/>
          <w:szCs w:val="20"/>
        </w:rPr>
        <w:t xml:space="preserve"> </w:t>
      </w:r>
      <w:r w:rsidRPr="000977F7">
        <w:rPr>
          <w:rFonts w:asciiTheme="majorHAnsi" w:hAnsiTheme="majorHAnsi"/>
          <w:sz w:val="20"/>
          <w:szCs w:val="20"/>
        </w:rPr>
        <w:t>результати.</w:t>
      </w:r>
    </w:p>
    <w:p w14:paraId="1F89360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w:t>
      </w:r>
      <w:r w:rsidRPr="000977F7">
        <w:rPr>
          <w:rFonts w:asciiTheme="majorHAnsi" w:hAnsiTheme="majorHAnsi"/>
          <w:i/>
          <w:spacing w:val="-2"/>
          <w:sz w:val="20"/>
          <w:szCs w:val="20"/>
        </w:rPr>
        <w:t xml:space="preserve"> </w:t>
      </w:r>
      <w:r w:rsidRPr="000977F7">
        <w:rPr>
          <w:rFonts w:asciiTheme="majorHAnsi" w:hAnsiTheme="majorHAnsi"/>
          <w:i/>
          <w:sz w:val="20"/>
          <w:szCs w:val="20"/>
        </w:rPr>
        <w:t>9001:2015</w:t>
      </w:r>
    </w:p>
    <w:p w14:paraId="6DE95EC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ЦІНА НАЙМЕНШОГО РОЗРЯДУ ЦИФРОВОГО</w:t>
      </w:r>
      <w:r w:rsidRPr="000977F7">
        <w:rPr>
          <w:color w:val="auto"/>
          <w:spacing w:val="1"/>
          <w:sz w:val="20"/>
          <w:szCs w:val="20"/>
        </w:rPr>
        <w:t xml:space="preserve"> </w:t>
      </w:r>
      <w:r w:rsidRPr="000977F7">
        <w:rPr>
          <w:color w:val="auto"/>
          <w:sz w:val="20"/>
          <w:szCs w:val="20"/>
        </w:rPr>
        <w:t>ВИМІРЮВАЛЬНОГО ПРИЛАДУ</w:t>
      </w:r>
      <w:r w:rsidRPr="000977F7">
        <w:rPr>
          <w:color w:val="auto"/>
          <w:spacing w:val="2"/>
          <w:sz w:val="20"/>
          <w:szCs w:val="20"/>
        </w:rPr>
        <w:t xml:space="preserve"> </w:t>
      </w:r>
      <w:r w:rsidRPr="000977F7">
        <w:rPr>
          <w:color w:val="auto"/>
          <w:sz w:val="20"/>
          <w:szCs w:val="20"/>
        </w:rPr>
        <w:t>–</w:t>
      </w:r>
    </w:p>
    <w:p w14:paraId="2CE72FF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sz w:val="20"/>
          <w:szCs w:val="20"/>
        </w:rPr>
        <w:t>Різниця між двома найближчими показами цифрового</w:t>
      </w:r>
      <w:r w:rsidRPr="000977F7">
        <w:rPr>
          <w:rFonts w:asciiTheme="majorHAnsi" w:hAnsiTheme="majorHAnsi"/>
          <w:spacing w:val="-47"/>
          <w:sz w:val="20"/>
          <w:szCs w:val="20"/>
        </w:rPr>
        <w:t xml:space="preserve"> </w:t>
      </w:r>
      <w:r w:rsidRPr="000977F7">
        <w:rPr>
          <w:rFonts w:asciiTheme="majorHAnsi" w:hAnsiTheme="majorHAnsi"/>
          <w:spacing w:val="-2"/>
          <w:sz w:val="20"/>
          <w:szCs w:val="20"/>
        </w:rPr>
        <w:t>вимірювального приладу (кодового засобу вимірювань)</w:t>
      </w:r>
      <w:r w:rsidRPr="000977F7">
        <w:rPr>
          <w:rFonts w:asciiTheme="majorHAnsi" w:hAnsiTheme="majorHAnsi"/>
          <w:spacing w:val="-47"/>
          <w:sz w:val="20"/>
          <w:szCs w:val="20"/>
        </w:rPr>
        <w:t xml:space="preserve"> </w:t>
      </w: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C28383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ЦІНА ПОДІЛКИ ШКАЛИ АНАЛОГОВОГО </w:t>
      </w:r>
    </w:p>
    <w:p w14:paraId="6E00E71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ВИМІРЮВАЛЬНОГО ПРИЛАДУ</w:t>
      </w:r>
      <w:r w:rsidRPr="000977F7">
        <w:rPr>
          <w:color w:val="auto"/>
          <w:spacing w:val="2"/>
          <w:sz w:val="20"/>
          <w:szCs w:val="20"/>
        </w:rPr>
        <w:t xml:space="preserve"> </w:t>
      </w:r>
      <w:r w:rsidRPr="000977F7">
        <w:rPr>
          <w:color w:val="auto"/>
          <w:sz w:val="20"/>
          <w:szCs w:val="20"/>
        </w:rPr>
        <w:t>–</w:t>
      </w:r>
    </w:p>
    <w:p w14:paraId="33ADA8FB"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SCALE</w:t>
      </w:r>
      <w:r w:rsidRPr="004D2D14">
        <w:rPr>
          <w:rFonts w:asciiTheme="majorHAnsi" w:hAnsiTheme="majorHAnsi"/>
          <w:spacing w:val="46"/>
          <w:sz w:val="20"/>
          <w:szCs w:val="20"/>
          <w:lang w:val="uk-UA"/>
        </w:rPr>
        <w:t xml:space="preserve"> </w:t>
      </w:r>
      <w:r w:rsidRPr="000977F7">
        <w:rPr>
          <w:rFonts w:asciiTheme="majorHAnsi" w:hAnsiTheme="majorHAnsi"/>
          <w:sz w:val="20"/>
          <w:szCs w:val="20"/>
        </w:rPr>
        <w:t>INTERVAL</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2838806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Різниця значень вимірюваної величини, що відповідає</w:t>
      </w:r>
      <w:r w:rsidRPr="004D2D14">
        <w:rPr>
          <w:rFonts w:asciiTheme="majorHAnsi" w:hAnsiTheme="majorHAnsi"/>
          <w:spacing w:val="-48"/>
          <w:sz w:val="20"/>
          <w:szCs w:val="20"/>
          <w:lang w:val="uk-UA"/>
        </w:rPr>
        <w:t xml:space="preserve"> </w:t>
      </w:r>
      <w:r w:rsidRPr="004D2D14">
        <w:rPr>
          <w:rFonts w:asciiTheme="majorHAnsi" w:hAnsiTheme="majorHAnsi"/>
          <w:sz w:val="20"/>
          <w:szCs w:val="20"/>
          <w:lang w:val="uk-UA"/>
        </w:rPr>
        <w:t>двом сусіднім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позначкам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шкали</w:t>
      </w:r>
    </w:p>
    <w:p w14:paraId="1AA1988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2681 - 94</w:t>
      </w:r>
    </w:p>
    <w:p w14:paraId="4465289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ЦІНОВИЙ</w:t>
      </w:r>
      <w:r w:rsidRPr="000977F7">
        <w:rPr>
          <w:color w:val="auto"/>
          <w:spacing w:val="-6"/>
          <w:sz w:val="20"/>
          <w:szCs w:val="20"/>
        </w:rPr>
        <w:t xml:space="preserve"> </w:t>
      </w:r>
      <w:r w:rsidRPr="000977F7">
        <w:rPr>
          <w:color w:val="auto"/>
          <w:sz w:val="20"/>
          <w:szCs w:val="20"/>
        </w:rPr>
        <w:t>МАРКЕТИНГ –</w:t>
      </w:r>
    </w:p>
    <w:p w14:paraId="77D40A5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Форма реалізації стратегії маркетингу, яка характеризує управління ціною продукції з метою забезпечення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сформульованих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стратегією</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завдань</w:t>
      </w:r>
    </w:p>
    <w:p w14:paraId="1C9E913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0A36A9F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sectPr w:rsidR="0097612F" w:rsidRPr="000977F7" w:rsidSect="000977F7">
          <w:type w:val="continuous"/>
          <w:pgSz w:w="11900" w:h="16820"/>
          <w:pgMar w:top="980" w:right="380" w:bottom="960" w:left="1160" w:header="0" w:footer="775" w:gutter="0"/>
          <w:cols w:num="2" w:space="454"/>
        </w:sectPr>
      </w:pPr>
    </w:p>
    <w:p w14:paraId="6E22B27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sectPr w:rsidR="0097612F" w:rsidRPr="000977F7" w:rsidSect="000977F7">
          <w:type w:val="continuous"/>
          <w:pgSz w:w="11900" w:h="16820"/>
          <w:pgMar w:top="980" w:right="380" w:bottom="960" w:left="1160" w:header="0" w:footer="775" w:gutter="0"/>
          <w:cols w:num="2" w:space="454"/>
        </w:sectPr>
      </w:pPr>
    </w:p>
    <w:p w14:paraId="44260568" w14:textId="77777777" w:rsidR="0097612F" w:rsidRPr="00871491" w:rsidRDefault="0097612F" w:rsidP="00871491">
      <w:pPr>
        <w:pStyle w:val="1"/>
        <w:rPr>
          <w:lang w:val="uk-UA"/>
        </w:rPr>
      </w:pPr>
      <w:bookmarkStart w:id="316" w:name="_Toc132629656"/>
      <w:r w:rsidRPr="00871491">
        <w:rPr>
          <w:lang w:val="uk-UA"/>
        </w:rPr>
        <w:lastRenderedPageBreak/>
        <w:t>Ч</w:t>
      </w:r>
      <w:bookmarkEnd w:id="316"/>
    </w:p>
    <w:p w14:paraId="01AA2FD7" w14:textId="77777777" w:rsidR="0097612F" w:rsidRPr="00871491" w:rsidRDefault="0097612F" w:rsidP="00871491">
      <w:pPr>
        <w:pStyle w:val="1"/>
        <w:rPr>
          <w:lang w:val="uk-UA"/>
        </w:rPr>
        <w:sectPr w:rsidR="0097612F" w:rsidRPr="00871491" w:rsidSect="000977F7">
          <w:pgSz w:w="11900" w:h="16820"/>
          <w:pgMar w:top="980" w:right="380" w:bottom="960" w:left="1160" w:header="0" w:footer="775" w:gutter="0"/>
          <w:cols w:num="2" w:space="454"/>
        </w:sectPr>
      </w:pPr>
    </w:p>
    <w:p w14:paraId="78FA026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ЧАРТЕР</w:t>
      </w:r>
      <w:r w:rsidRPr="000977F7">
        <w:rPr>
          <w:color w:val="auto"/>
          <w:spacing w:val="-2"/>
          <w:sz w:val="20"/>
          <w:szCs w:val="20"/>
        </w:rPr>
        <w:t xml:space="preserve"> </w:t>
      </w:r>
      <w:r w:rsidRPr="000977F7">
        <w:rPr>
          <w:color w:val="auto"/>
          <w:sz w:val="20"/>
          <w:szCs w:val="20"/>
        </w:rPr>
        <w:t>–</w:t>
      </w:r>
    </w:p>
    <w:p w14:paraId="2A3B053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Угода</w:t>
      </w:r>
      <w:r w:rsidRPr="000977F7">
        <w:rPr>
          <w:rFonts w:asciiTheme="majorHAnsi" w:hAnsiTheme="majorHAnsi"/>
          <w:spacing w:val="1"/>
          <w:sz w:val="20"/>
          <w:szCs w:val="20"/>
        </w:rPr>
        <w:t xml:space="preserve"> </w:t>
      </w:r>
      <w:r w:rsidRPr="000977F7">
        <w:rPr>
          <w:rFonts w:asciiTheme="majorHAnsi" w:hAnsiTheme="majorHAnsi"/>
          <w:sz w:val="20"/>
          <w:szCs w:val="20"/>
        </w:rPr>
        <w:t>між</w:t>
      </w:r>
      <w:r w:rsidRPr="000977F7">
        <w:rPr>
          <w:rFonts w:asciiTheme="majorHAnsi" w:hAnsiTheme="majorHAnsi"/>
          <w:spacing w:val="1"/>
          <w:sz w:val="20"/>
          <w:szCs w:val="20"/>
        </w:rPr>
        <w:t xml:space="preserve"> </w:t>
      </w:r>
      <w:r w:rsidRPr="000977F7">
        <w:rPr>
          <w:rFonts w:asciiTheme="majorHAnsi" w:hAnsiTheme="majorHAnsi"/>
          <w:sz w:val="20"/>
          <w:szCs w:val="20"/>
        </w:rPr>
        <w:t>судновласником</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фрахтувальником</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47"/>
          <w:sz w:val="20"/>
          <w:szCs w:val="20"/>
        </w:rPr>
        <w:t xml:space="preserve"> </w:t>
      </w:r>
      <w:r w:rsidRPr="000977F7">
        <w:rPr>
          <w:rFonts w:asciiTheme="majorHAnsi" w:hAnsiTheme="majorHAnsi"/>
          <w:sz w:val="20"/>
          <w:szCs w:val="20"/>
        </w:rPr>
        <w:t>оренду всього судна або його частини на певний рейс</w:t>
      </w:r>
      <w:r w:rsidRPr="000977F7">
        <w:rPr>
          <w:rFonts w:asciiTheme="majorHAnsi" w:hAnsiTheme="majorHAnsi"/>
          <w:spacing w:val="1"/>
          <w:sz w:val="20"/>
          <w:szCs w:val="20"/>
        </w:rPr>
        <w:t xml:space="preserve"> </w:t>
      </w:r>
      <w:r w:rsidRPr="000977F7">
        <w:rPr>
          <w:rFonts w:asciiTheme="majorHAnsi" w:hAnsiTheme="majorHAnsi"/>
          <w:sz w:val="20"/>
          <w:szCs w:val="20"/>
        </w:rPr>
        <w:t>або термін</w:t>
      </w:r>
    </w:p>
    <w:p w14:paraId="354394E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7CB422CD" w14:textId="77777777" w:rsidR="0097612F" w:rsidRPr="000977F7" w:rsidRDefault="0097612F" w:rsidP="000977F7">
      <w:pPr>
        <w:tabs>
          <w:tab w:val="left" w:pos="284"/>
        </w:tabs>
        <w:spacing w:after="0" w:line="240" w:lineRule="auto"/>
        <w:ind w:left="170"/>
        <w:mirrorIndents/>
        <w:jc w:val="both"/>
        <w:rPr>
          <w:rFonts w:asciiTheme="majorHAnsi" w:hAnsiTheme="majorHAnsi"/>
          <w:b/>
          <w:bCs/>
          <w:iCs/>
          <w:sz w:val="20"/>
          <w:szCs w:val="20"/>
        </w:rPr>
      </w:pPr>
      <w:r w:rsidRPr="000977F7">
        <w:rPr>
          <w:rFonts w:asciiTheme="majorHAnsi" w:hAnsiTheme="majorHAnsi"/>
          <w:b/>
          <w:bCs/>
          <w:iCs/>
          <w:sz w:val="20"/>
          <w:szCs w:val="20"/>
        </w:rPr>
        <w:t>ЧАС АУДИТУ -</w:t>
      </w:r>
    </w:p>
    <w:p w14:paraId="25A81E3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 що потрібен на планування і повне та ефективне виконання аудиту системи менеджменту організації-клієнта.</w:t>
      </w:r>
    </w:p>
    <w:p w14:paraId="3D9BF4AE"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ISO/IEC 17021-1:2015</w:t>
      </w:r>
    </w:p>
    <w:p w14:paraId="230682B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 ВІДНОВНОГО ТЕХНІЧНОГО ОБСЛУГОВУВАННЯ –</w:t>
      </w:r>
    </w:p>
    <w:p w14:paraId="4BD26A1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CORRECTIVE</w:t>
      </w:r>
      <w:r w:rsidRPr="004D2D14">
        <w:rPr>
          <w:rFonts w:asciiTheme="majorHAnsi" w:hAnsiTheme="majorHAnsi"/>
          <w:spacing w:val="-3"/>
          <w:sz w:val="20"/>
          <w:szCs w:val="20"/>
          <w:lang w:val="uk-UA"/>
        </w:rPr>
        <w:t xml:space="preserve"> </w:t>
      </w:r>
      <w:r w:rsidRPr="000977F7">
        <w:rPr>
          <w:rFonts w:asciiTheme="majorHAnsi" w:hAnsiTheme="majorHAnsi"/>
          <w:sz w:val="20"/>
          <w:szCs w:val="20"/>
        </w:rPr>
        <w:t>MAINTENANCE</w:t>
      </w:r>
      <w:r w:rsidRPr="004D2D14">
        <w:rPr>
          <w:rFonts w:asciiTheme="majorHAnsi" w:hAnsiTheme="majorHAnsi"/>
          <w:spacing w:val="-2"/>
          <w:sz w:val="20"/>
          <w:szCs w:val="20"/>
          <w:lang w:val="uk-UA"/>
        </w:rPr>
        <w:t xml:space="preserve"> </w:t>
      </w:r>
      <w:r w:rsidRPr="000977F7">
        <w:rPr>
          <w:rFonts w:asciiTheme="majorHAnsi" w:hAnsiTheme="majorHAnsi"/>
          <w:sz w:val="20"/>
          <w:szCs w:val="20"/>
        </w:rPr>
        <w:t>TIME</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623D07F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Період часу, на протязі якого виконуються операції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для відновлення об’єкта, включно час затримок, 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властиві цим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операціям</w:t>
      </w:r>
    </w:p>
    <w:p w14:paraId="5A67622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B2C45D5" w14:textId="77777777" w:rsidR="0097612F" w:rsidRPr="000977F7" w:rsidRDefault="0097612F" w:rsidP="00FD39A4">
      <w:pPr>
        <w:pStyle w:val="ac"/>
        <w:widowControl w:val="0"/>
        <w:numPr>
          <w:ilvl w:val="1"/>
          <w:numId w:val="66"/>
        </w:numPr>
        <w:tabs>
          <w:tab w:val="left" w:pos="284"/>
          <w:tab w:val="left" w:pos="592"/>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Контроль працездатності, який є часткою відновного</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50"/>
          <w:sz w:val="20"/>
          <w:szCs w:val="20"/>
        </w:rPr>
        <w:t xml:space="preserve"> </w:t>
      </w:r>
      <w:r w:rsidRPr="000977F7">
        <w:rPr>
          <w:rFonts w:asciiTheme="majorHAnsi" w:hAnsiTheme="majorHAnsi"/>
          <w:sz w:val="20"/>
          <w:szCs w:val="20"/>
        </w:rPr>
        <w:t>виконуватися</w:t>
      </w:r>
      <w:r w:rsidRPr="000977F7">
        <w:rPr>
          <w:rFonts w:asciiTheme="majorHAnsi" w:hAnsiTheme="majorHAnsi"/>
          <w:spacing w:val="-47"/>
          <w:sz w:val="20"/>
          <w:szCs w:val="20"/>
        </w:rPr>
        <w:t xml:space="preserve"> </w:t>
      </w:r>
      <w:r w:rsidRPr="000977F7">
        <w:rPr>
          <w:rFonts w:asciiTheme="majorHAnsi" w:hAnsiTheme="majorHAnsi"/>
          <w:sz w:val="20"/>
          <w:szCs w:val="20"/>
        </w:rPr>
        <w:t>як</w:t>
      </w:r>
      <w:r w:rsidRPr="000977F7">
        <w:rPr>
          <w:rFonts w:asciiTheme="majorHAnsi" w:hAnsiTheme="majorHAnsi"/>
          <w:spacing w:val="-2"/>
          <w:sz w:val="20"/>
          <w:szCs w:val="20"/>
        </w:rPr>
        <w:t xml:space="preserve"> </w:t>
      </w:r>
      <w:r w:rsidRPr="000977F7">
        <w:rPr>
          <w:rFonts w:asciiTheme="majorHAnsi" w:hAnsiTheme="majorHAnsi"/>
          <w:sz w:val="20"/>
          <w:szCs w:val="20"/>
        </w:rPr>
        <w:t>вручну,</w:t>
      </w:r>
      <w:r w:rsidRPr="000977F7">
        <w:rPr>
          <w:rFonts w:asciiTheme="majorHAnsi" w:hAnsiTheme="majorHAnsi"/>
          <w:spacing w:val="2"/>
          <w:sz w:val="20"/>
          <w:szCs w:val="20"/>
        </w:rPr>
        <w:t xml:space="preserve"> </w:t>
      </w:r>
      <w:r w:rsidRPr="000977F7">
        <w:rPr>
          <w:rFonts w:asciiTheme="majorHAnsi" w:hAnsiTheme="majorHAnsi"/>
          <w:sz w:val="20"/>
          <w:szCs w:val="20"/>
        </w:rPr>
        <w:t>так</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автоматично</w:t>
      </w:r>
    </w:p>
    <w:p w14:paraId="7C7FDEE8" w14:textId="77777777" w:rsidR="0097612F" w:rsidRPr="000977F7" w:rsidRDefault="0097612F" w:rsidP="00FD39A4">
      <w:pPr>
        <w:pStyle w:val="ac"/>
        <w:widowControl w:val="0"/>
        <w:numPr>
          <w:ilvl w:val="1"/>
          <w:numId w:val="66"/>
        </w:numPr>
        <w:tabs>
          <w:tab w:val="left" w:pos="284"/>
          <w:tab w:val="left" w:pos="593"/>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pacing w:val="-4"/>
          <w:sz w:val="20"/>
          <w:szCs w:val="20"/>
        </w:rPr>
        <w:t xml:space="preserve">До часу відновного технічного обслуговування </w:t>
      </w:r>
      <w:r w:rsidRPr="000977F7">
        <w:rPr>
          <w:rFonts w:asciiTheme="majorHAnsi" w:hAnsiTheme="majorHAnsi"/>
          <w:spacing w:val="-3"/>
          <w:sz w:val="20"/>
          <w:szCs w:val="20"/>
        </w:rPr>
        <w:t>не вхо</w:t>
      </w:r>
      <w:r w:rsidRPr="000977F7">
        <w:rPr>
          <w:rFonts w:asciiTheme="majorHAnsi" w:hAnsiTheme="majorHAnsi"/>
          <w:spacing w:val="-7"/>
          <w:sz w:val="20"/>
          <w:szCs w:val="20"/>
        </w:rPr>
        <w:t>дять витрати часу, пов’язані з ремонтом частини об’єкта,</w:t>
      </w:r>
      <w:r w:rsidRPr="000977F7">
        <w:rPr>
          <w:rFonts w:asciiTheme="majorHAnsi" w:hAnsiTheme="majorHAnsi"/>
          <w:spacing w:val="-6"/>
          <w:sz w:val="20"/>
          <w:szCs w:val="20"/>
        </w:rPr>
        <w:t xml:space="preserve"> </w:t>
      </w:r>
      <w:r w:rsidRPr="000977F7">
        <w:rPr>
          <w:rFonts w:asciiTheme="majorHAnsi" w:hAnsiTheme="majorHAnsi"/>
          <w:spacing w:val="-8"/>
          <w:sz w:val="20"/>
          <w:szCs w:val="20"/>
        </w:rPr>
        <w:t>яка</w:t>
      </w:r>
      <w:r w:rsidRPr="000977F7">
        <w:rPr>
          <w:rFonts w:asciiTheme="majorHAnsi" w:hAnsiTheme="majorHAnsi"/>
          <w:spacing w:val="-14"/>
          <w:sz w:val="20"/>
          <w:szCs w:val="20"/>
        </w:rPr>
        <w:t xml:space="preserve"> </w:t>
      </w:r>
      <w:r w:rsidRPr="000977F7">
        <w:rPr>
          <w:rFonts w:asciiTheme="majorHAnsi" w:hAnsiTheme="majorHAnsi"/>
          <w:spacing w:val="-8"/>
          <w:sz w:val="20"/>
          <w:szCs w:val="20"/>
        </w:rPr>
        <w:t>замінюється</w:t>
      </w:r>
      <w:r w:rsidRPr="000977F7">
        <w:rPr>
          <w:rFonts w:asciiTheme="majorHAnsi" w:hAnsiTheme="majorHAnsi"/>
          <w:spacing w:val="-17"/>
          <w:sz w:val="20"/>
          <w:szCs w:val="20"/>
        </w:rPr>
        <w:t xml:space="preserve"> </w:t>
      </w:r>
      <w:r w:rsidRPr="000977F7">
        <w:rPr>
          <w:rFonts w:asciiTheme="majorHAnsi" w:hAnsiTheme="majorHAnsi"/>
          <w:spacing w:val="-8"/>
          <w:sz w:val="20"/>
          <w:szCs w:val="20"/>
        </w:rPr>
        <w:t>в</w:t>
      </w:r>
      <w:r w:rsidRPr="000977F7">
        <w:rPr>
          <w:rFonts w:asciiTheme="majorHAnsi" w:hAnsiTheme="majorHAnsi"/>
          <w:spacing w:val="-15"/>
          <w:sz w:val="20"/>
          <w:szCs w:val="20"/>
        </w:rPr>
        <w:t xml:space="preserve"> </w:t>
      </w:r>
      <w:r w:rsidRPr="000977F7">
        <w:rPr>
          <w:rFonts w:asciiTheme="majorHAnsi" w:hAnsiTheme="majorHAnsi"/>
          <w:spacing w:val="-8"/>
          <w:sz w:val="20"/>
          <w:szCs w:val="20"/>
        </w:rPr>
        <w:t>ході</w:t>
      </w:r>
      <w:r w:rsidRPr="000977F7">
        <w:rPr>
          <w:rFonts w:asciiTheme="majorHAnsi" w:hAnsiTheme="majorHAnsi"/>
          <w:spacing w:val="-15"/>
          <w:sz w:val="20"/>
          <w:szCs w:val="20"/>
        </w:rPr>
        <w:t xml:space="preserve"> </w:t>
      </w:r>
      <w:r w:rsidRPr="000977F7">
        <w:rPr>
          <w:rFonts w:asciiTheme="majorHAnsi" w:hAnsiTheme="majorHAnsi"/>
          <w:spacing w:val="-7"/>
          <w:sz w:val="20"/>
          <w:szCs w:val="20"/>
        </w:rPr>
        <w:t>виконання</w:t>
      </w:r>
      <w:r w:rsidRPr="000977F7">
        <w:rPr>
          <w:rFonts w:asciiTheme="majorHAnsi" w:hAnsiTheme="majorHAnsi"/>
          <w:spacing w:val="-15"/>
          <w:sz w:val="20"/>
          <w:szCs w:val="20"/>
        </w:rPr>
        <w:t xml:space="preserve"> </w:t>
      </w:r>
      <w:r w:rsidRPr="000977F7">
        <w:rPr>
          <w:rFonts w:asciiTheme="majorHAnsi" w:hAnsiTheme="majorHAnsi"/>
          <w:spacing w:val="-7"/>
          <w:sz w:val="20"/>
          <w:szCs w:val="20"/>
        </w:rPr>
        <w:t>цього</w:t>
      </w:r>
      <w:r w:rsidRPr="000977F7">
        <w:rPr>
          <w:rFonts w:asciiTheme="majorHAnsi" w:hAnsiTheme="majorHAnsi"/>
          <w:spacing w:val="-15"/>
          <w:sz w:val="20"/>
          <w:szCs w:val="20"/>
        </w:rPr>
        <w:t xml:space="preserve"> </w:t>
      </w:r>
      <w:r w:rsidRPr="000977F7">
        <w:rPr>
          <w:rFonts w:asciiTheme="majorHAnsi" w:hAnsiTheme="majorHAnsi"/>
          <w:spacing w:val="-7"/>
          <w:sz w:val="20"/>
          <w:szCs w:val="20"/>
        </w:rPr>
        <w:t>обслуговування</w:t>
      </w:r>
    </w:p>
    <w:p w14:paraId="5097650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w:t>
      </w:r>
      <w:r w:rsidRPr="000977F7">
        <w:rPr>
          <w:color w:val="auto"/>
          <w:spacing w:val="-5"/>
          <w:sz w:val="20"/>
          <w:szCs w:val="20"/>
        </w:rPr>
        <w:t xml:space="preserve"> </w:t>
      </w:r>
      <w:r w:rsidRPr="000977F7">
        <w:rPr>
          <w:color w:val="auto"/>
          <w:sz w:val="20"/>
          <w:szCs w:val="20"/>
        </w:rPr>
        <w:t>ВСТАНОВЛЕННЯ</w:t>
      </w:r>
      <w:r w:rsidRPr="000977F7">
        <w:rPr>
          <w:color w:val="auto"/>
          <w:spacing w:val="-4"/>
          <w:sz w:val="20"/>
          <w:szCs w:val="20"/>
        </w:rPr>
        <w:t xml:space="preserve"> </w:t>
      </w:r>
      <w:r w:rsidRPr="000977F7">
        <w:rPr>
          <w:color w:val="auto"/>
          <w:sz w:val="20"/>
          <w:szCs w:val="20"/>
        </w:rPr>
        <w:t>ПОКАЗУ</w:t>
      </w:r>
      <w:r w:rsidRPr="000977F7">
        <w:rPr>
          <w:color w:val="auto"/>
          <w:spacing w:val="-1"/>
          <w:sz w:val="20"/>
          <w:szCs w:val="20"/>
        </w:rPr>
        <w:t xml:space="preserve"> </w:t>
      </w:r>
      <w:r w:rsidRPr="000977F7">
        <w:rPr>
          <w:color w:val="auto"/>
          <w:sz w:val="20"/>
          <w:szCs w:val="20"/>
        </w:rPr>
        <w:t>–</w:t>
      </w:r>
    </w:p>
    <w:p w14:paraId="5B0B124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RESPONSE</w:t>
      </w:r>
      <w:r w:rsidRPr="000977F7">
        <w:rPr>
          <w:rFonts w:asciiTheme="majorHAnsi" w:hAnsiTheme="majorHAnsi"/>
          <w:spacing w:val="-2"/>
          <w:sz w:val="20"/>
          <w:szCs w:val="20"/>
        </w:rPr>
        <w:t xml:space="preserve"> </w:t>
      </w:r>
      <w:r w:rsidRPr="000977F7">
        <w:rPr>
          <w:rFonts w:asciiTheme="majorHAnsi" w:hAnsiTheme="majorHAnsi"/>
          <w:sz w:val="20"/>
          <w:szCs w:val="20"/>
        </w:rPr>
        <w:t>TIME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2CA41F5"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Інтервал</w:t>
      </w:r>
      <w:r w:rsidRPr="000977F7">
        <w:rPr>
          <w:rFonts w:asciiTheme="majorHAnsi" w:hAnsiTheme="majorHAnsi"/>
          <w:spacing w:val="6"/>
          <w:sz w:val="20"/>
          <w:szCs w:val="20"/>
        </w:rPr>
        <w:t xml:space="preserve"> </w:t>
      </w:r>
      <w:r w:rsidRPr="000977F7">
        <w:rPr>
          <w:rFonts w:asciiTheme="majorHAnsi" w:hAnsiTheme="majorHAnsi"/>
          <w:sz w:val="20"/>
          <w:szCs w:val="20"/>
        </w:rPr>
        <w:t>часу</w:t>
      </w:r>
      <w:r w:rsidRPr="000977F7">
        <w:rPr>
          <w:rFonts w:asciiTheme="majorHAnsi" w:hAnsiTheme="majorHAnsi"/>
          <w:spacing w:val="5"/>
          <w:sz w:val="20"/>
          <w:szCs w:val="20"/>
        </w:rPr>
        <w:t xml:space="preserve"> </w:t>
      </w:r>
      <w:r w:rsidRPr="000977F7">
        <w:rPr>
          <w:rFonts w:asciiTheme="majorHAnsi" w:hAnsiTheme="majorHAnsi"/>
          <w:sz w:val="20"/>
          <w:szCs w:val="20"/>
        </w:rPr>
        <w:t>від</w:t>
      </w:r>
      <w:r w:rsidRPr="000977F7">
        <w:rPr>
          <w:rFonts w:asciiTheme="majorHAnsi" w:hAnsiTheme="majorHAnsi"/>
          <w:spacing w:val="5"/>
          <w:sz w:val="20"/>
          <w:szCs w:val="20"/>
        </w:rPr>
        <w:t xml:space="preserve"> </w:t>
      </w:r>
      <w:r w:rsidRPr="000977F7">
        <w:rPr>
          <w:rFonts w:asciiTheme="majorHAnsi" w:hAnsiTheme="majorHAnsi"/>
          <w:sz w:val="20"/>
          <w:szCs w:val="20"/>
        </w:rPr>
        <w:t>моменту</w:t>
      </w:r>
      <w:r w:rsidRPr="000977F7">
        <w:rPr>
          <w:rFonts w:asciiTheme="majorHAnsi" w:hAnsiTheme="majorHAnsi"/>
          <w:spacing w:val="5"/>
          <w:sz w:val="20"/>
          <w:szCs w:val="20"/>
        </w:rPr>
        <w:t xml:space="preserve"> </w:t>
      </w:r>
      <w:r w:rsidRPr="000977F7">
        <w:rPr>
          <w:rFonts w:asciiTheme="majorHAnsi" w:hAnsiTheme="majorHAnsi"/>
          <w:sz w:val="20"/>
          <w:szCs w:val="20"/>
        </w:rPr>
        <w:t>початку</w:t>
      </w:r>
      <w:r w:rsidRPr="000977F7">
        <w:rPr>
          <w:rFonts w:asciiTheme="majorHAnsi" w:hAnsiTheme="majorHAnsi"/>
          <w:spacing w:val="4"/>
          <w:sz w:val="20"/>
          <w:szCs w:val="20"/>
        </w:rPr>
        <w:t xml:space="preserve"> </w:t>
      </w:r>
      <w:r w:rsidRPr="000977F7">
        <w:rPr>
          <w:rFonts w:asciiTheme="majorHAnsi" w:hAnsiTheme="majorHAnsi"/>
          <w:sz w:val="20"/>
          <w:szCs w:val="20"/>
        </w:rPr>
        <w:t>дії</w:t>
      </w:r>
      <w:r w:rsidRPr="000977F7">
        <w:rPr>
          <w:rFonts w:asciiTheme="majorHAnsi" w:hAnsiTheme="majorHAnsi"/>
          <w:spacing w:val="8"/>
          <w:sz w:val="20"/>
          <w:szCs w:val="20"/>
        </w:rPr>
        <w:t xml:space="preserve"> </w:t>
      </w:r>
      <w:r w:rsidRPr="000977F7">
        <w:rPr>
          <w:rFonts w:asciiTheme="majorHAnsi" w:hAnsiTheme="majorHAnsi"/>
          <w:sz w:val="20"/>
          <w:szCs w:val="20"/>
        </w:rPr>
        <w:t>вхідного</w:t>
      </w:r>
      <w:r w:rsidRPr="000977F7">
        <w:rPr>
          <w:rFonts w:asciiTheme="majorHAnsi" w:hAnsiTheme="majorHAnsi"/>
          <w:spacing w:val="7"/>
          <w:sz w:val="20"/>
          <w:szCs w:val="20"/>
        </w:rPr>
        <w:t xml:space="preserve"> </w:t>
      </w:r>
      <w:r w:rsidRPr="000977F7">
        <w:rPr>
          <w:rFonts w:asciiTheme="majorHAnsi" w:hAnsiTheme="majorHAnsi"/>
          <w:sz w:val="20"/>
          <w:szCs w:val="20"/>
        </w:rPr>
        <w:t>сигналу</w:t>
      </w:r>
      <w:r w:rsidRPr="000977F7">
        <w:rPr>
          <w:rFonts w:asciiTheme="majorHAnsi" w:hAnsiTheme="majorHAnsi"/>
          <w:spacing w:val="40"/>
          <w:sz w:val="20"/>
          <w:szCs w:val="20"/>
        </w:rPr>
        <w:t xml:space="preserve"> </w:t>
      </w:r>
      <w:r w:rsidRPr="000977F7">
        <w:rPr>
          <w:rFonts w:asciiTheme="majorHAnsi" w:hAnsiTheme="majorHAnsi"/>
          <w:sz w:val="20"/>
          <w:szCs w:val="20"/>
        </w:rPr>
        <w:t>до</w:t>
      </w:r>
      <w:r w:rsidRPr="000977F7">
        <w:rPr>
          <w:rFonts w:asciiTheme="majorHAnsi" w:hAnsiTheme="majorHAnsi"/>
          <w:spacing w:val="44"/>
          <w:sz w:val="20"/>
          <w:szCs w:val="20"/>
        </w:rPr>
        <w:t xml:space="preserve"> </w:t>
      </w:r>
      <w:r w:rsidRPr="000977F7">
        <w:rPr>
          <w:rFonts w:asciiTheme="majorHAnsi" w:hAnsiTheme="majorHAnsi"/>
          <w:sz w:val="20"/>
          <w:szCs w:val="20"/>
        </w:rPr>
        <w:t>моменту,</w:t>
      </w:r>
      <w:r w:rsidRPr="000977F7">
        <w:rPr>
          <w:rFonts w:asciiTheme="majorHAnsi" w:hAnsiTheme="majorHAnsi"/>
          <w:spacing w:val="43"/>
          <w:sz w:val="20"/>
          <w:szCs w:val="20"/>
        </w:rPr>
        <w:t xml:space="preserve"> </w:t>
      </w:r>
      <w:r w:rsidRPr="000977F7">
        <w:rPr>
          <w:rFonts w:asciiTheme="majorHAnsi" w:hAnsiTheme="majorHAnsi"/>
          <w:sz w:val="20"/>
          <w:szCs w:val="20"/>
        </w:rPr>
        <w:t>коли</w:t>
      </w:r>
      <w:r w:rsidRPr="000977F7">
        <w:rPr>
          <w:rFonts w:asciiTheme="majorHAnsi" w:hAnsiTheme="majorHAnsi"/>
          <w:spacing w:val="43"/>
          <w:sz w:val="20"/>
          <w:szCs w:val="20"/>
        </w:rPr>
        <w:t xml:space="preserve"> </w:t>
      </w:r>
      <w:r w:rsidRPr="000977F7">
        <w:rPr>
          <w:rFonts w:asciiTheme="majorHAnsi" w:hAnsiTheme="majorHAnsi"/>
          <w:sz w:val="20"/>
          <w:szCs w:val="20"/>
        </w:rPr>
        <w:t>показ</w:t>
      </w:r>
      <w:r w:rsidRPr="000977F7">
        <w:rPr>
          <w:rFonts w:asciiTheme="majorHAnsi" w:hAnsiTheme="majorHAnsi"/>
          <w:spacing w:val="45"/>
          <w:sz w:val="20"/>
          <w:szCs w:val="20"/>
        </w:rPr>
        <w:t xml:space="preserve"> </w:t>
      </w:r>
      <w:r w:rsidRPr="000977F7">
        <w:rPr>
          <w:rFonts w:asciiTheme="majorHAnsi" w:hAnsiTheme="majorHAnsi"/>
          <w:sz w:val="20"/>
          <w:szCs w:val="20"/>
        </w:rPr>
        <w:t>досягає</w:t>
      </w:r>
      <w:r w:rsidRPr="000977F7">
        <w:rPr>
          <w:rFonts w:asciiTheme="majorHAnsi" w:hAnsiTheme="majorHAnsi"/>
          <w:spacing w:val="44"/>
          <w:sz w:val="20"/>
          <w:szCs w:val="20"/>
        </w:rPr>
        <w:t xml:space="preserve"> </w:t>
      </w:r>
      <w:r w:rsidRPr="000977F7">
        <w:rPr>
          <w:rFonts w:asciiTheme="majorHAnsi" w:hAnsiTheme="majorHAnsi"/>
          <w:sz w:val="20"/>
          <w:szCs w:val="20"/>
        </w:rPr>
        <w:t>і</w:t>
      </w:r>
      <w:r w:rsidRPr="000977F7">
        <w:rPr>
          <w:rFonts w:asciiTheme="majorHAnsi" w:hAnsiTheme="majorHAnsi"/>
          <w:spacing w:val="43"/>
          <w:sz w:val="20"/>
          <w:szCs w:val="20"/>
        </w:rPr>
        <w:t xml:space="preserve"> </w:t>
      </w:r>
      <w:r w:rsidRPr="000977F7">
        <w:rPr>
          <w:rFonts w:asciiTheme="majorHAnsi" w:hAnsiTheme="majorHAnsi"/>
          <w:sz w:val="20"/>
          <w:szCs w:val="20"/>
        </w:rPr>
        <w:t>залишається</w:t>
      </w:r>
      <w:r w:rsidRPr="000977F7">
        <w:rPr>
          <w:rFonts w:asciiTheme="majorHAnsi" w:hAnsiTheme="majorHAnsi"/>
          <w:spacing w:val="43"/>
          <w:sz w:val="20"/>
          <w:szCs w:val="20"/>
        </w:rPr>
        <w:t xml:space="preserve"> </w:t>
      </w:r>
      <w:r w:rsidRPr="000977F7">
        <w:rPr>
          <w:rFonts w:asciiTheme="majorHAnsi" w:hAnsiTheme="majorHAnsi"/>
          <w:sz w:val="20"/>
          <w:szCs w:val="20"/>
        </w:rPr>
        <w:t>в</w:t>
      </w:r>
      <w:r w:rsidRPr="000977F7">
        <w:rPr>
          <w:rFonts w:asciiTheme="majorHAnsi" w:hAnsiTheme="majorHAnsi"/>
          <w:spacing w:val="-47"/>
          <w:sz w:val="20"/>
          <w:szCs w:val="20"/>
        </w:rPr>
        <w:t xml:space="preserve"> </w:t>
      </w:r>
      <w:r w:rsidRPr="000977F7">
        <w:rPr>
          <w:rFonts w:asciiTheme="majorHAnsi" w:hAnsiTheme="majorHAnsi"/>
          <w:sz w:val="20"/>
          <w:szCs w:val="20"/>
        </w:rPr>
        <w:t>середині певних меж навколо усталеного значення</w:t>
      </w:r>
      <w:r w:rsidRPr="000977F7">
        <w:rPr>
          <w:rFonts w:asciiTheme="majorHAnsi" w:hAnsiTheme="majorHAnsi"/>
          <w:spacing w:val="1"/>
          <w:sz w:val="20"/>
          <w:szCs w:val="20"/>
        </w:rPr>
        <w:t xml:space="preserve"> </w:t>
      </w:r>
    </w:p>
    <w:p w14:paraId="34512501"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2681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2805586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317" w:name="_Hlk104218433"/>
      <w:r w:rsidRPr="000977F7">
        <w:rPr>
          <w:color w:val="auto"/>
          <w:sz w:val="20"/>
          <w:szCs w:val="20"/>
        </w:rPr>
        <w:t>ЧАС</w:t>
      </w:r>
      <w:r w:rsidRPr="000977F7">
        <w:rPr>
          <w:color w:val="auto"/>
          <w:spacing w:val="-3"/>
          <w:sz w:val="20"/>
          <w:szCs w:val="20"/>
        </w:rPr>
        <w:t xml:space="preserve"> </w:t>
      </w:r>
      <w:r w:rsidRPr="000977F7">
        <w:rPr>
          <w:color w:val="auto"/>
          <w:sz w:val="20"/>
          <w:szCs w:val="20"/>
        </w:rPr>
        <w:t>ГОТОВНОСТІ</w:t>
      </w:r>
      <w:r w:rsidRPr="000977F7">
        <w:rPr>
          <w:color w:val="auto"/>
          <w:spacing w:val="-3"/>
          <w:sz w:val="20"/>
          <w:szCs w:val="20"/>
        </w:rPr>
        <w:t xml:space="preserve"> </w:t>
      </w:r>
      <w:r w:rsidRPr="000977F7">
        <w:rPr>
          <w:color w:val="auto"/>
          <w:sz w:val="20"/>
          <w:szCs w:val="20"/>
        </w:rPr>
        <w:t>ДО</w:t>
      </w:r>
      <w:r w:rsidRPr="000977F7">
        <w:rPr>
          <w:color w:val="auto"/>
          <w:spacing w:val="-2"/>
          <w:sz w:val="20"/>
          <w:szCs w:val="20"/>
        </w:rPr>
        <w:t xml:space="preserve"> </w:t>
      </w:r>
      <w:r w:rsidRPr="000977F7">
        <w:rPr>
          <w:color w:val="auto"/>
          <w:sz w:val="20"/>
          <w:szCs w:val="20"/>
        </w:rPr>
        <w:t>РОБОТИ –</w:t>
      </w:r>
    </w:p>
    <w:p w14:paraId="701D34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OPERABLE</w:t>
      </w:r>
      <w:r w:rsidRPr="000977F7">
        <w:rPr>
          <w:rFonts w:asciiTheme="majorHAnsi" w:hAnsiTheme="majorHAnsi"/>
          <w:spacing w:val="-2"/>
          <w:sz w:val="20"/>
          <w:szCs w:val="20"/>
        </w:rPr>
        <w:t xml:space="preserve"> </w:t>
      </w:r>
      <w:r w:rsidRPr="000977F7">
        <w:rPr>
          <w:rFonts w:asciiTheme="majorHAnsi" w:hAnsiTheme="majorHAnsi"/>
          <w:sz w:val="20"/>
          <w:szCs w:val="20"/>
        </w:rPr>
        <w:t>TIME;</w:t>
      </w:r>
      <w:r w:rsidRPr="000977F7">
        <w:rPr>
          <w:rFonts w:asciiTheme="majorHAnsi" w:hAnsiTheme="majorHAnsi"/>
          <w:spacing w:val="-2"/>
          <w:sz w:val="20"/>
          <w:szCs w:val="20"/>
        </w:rPr>
        <w:t xml:space="preserve"> </w:t>
      </w:r>
      <w:r w:rsidRPr="000977F7">
        <w:rPr>
          <w:rFonts w:asciiTheme="majorHAnsi" w:hAnsiTheme="majorHAnsi"/>
          <w:sz w:val="20"/>
          <w:szCs w:val="20"/>
        </w:rPr>
        <w:t>UPTIME –</w:t>
      </w:r>
    </w:p>
    <w:bookmarkEnd w:id="317"/>
    <w:p w14:paraId="2B6EE8E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Час, на протязі якого функціональний блок, якби знаходився в стані роботи, давав би правильні результати</w:t>
      </w:r>
    </w:p>
    <w:p w14:paraId="58E95EA6"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pacing w:val="-47"/>
          <w:sz w:val="20"/>
          <w:szCs w:val="20"/>
        </w:rPr>
        <w:t xml:space="preserve"> </w:t>
      </w:r>
      <w:r w:rsidRPr="000977F7">
        <w:rPr>
          <w:rFonts w:asciiTheme="majorHAnsi" w:hAnsiTheme="majorHAnsi"/>
          <w:b/>
          <w:sz w:val="20"/>
          <w:szCs w:val="20"/>
        </w:rPr>
        <w:t>ЧАС</w:t>
      </w:r>
      <w:r w:rsidRPr="000977F7">
        <w:rPr>
          <w:rFonts w:asciiTheme="majorHAnsi" w:hAnsiTheme="majorHAnsi"/>
          <w:b/>
          <w:spacing w:val="-4"/>
          <w:sz w:val="20"/>
          <w:szCs w:val="20"/>
        </w:rPr>
        <w:t xml:space="preserve"> </w:t>
      </w:r>
      <w:r w:rsidRPr="000977F7">
        <w:rPr>
          <w:rFonts w:asciiTheme="majorHAnsi" w:hAnsiTheme="majorHAnsi"/>
          <w:b/>
          <w:sz w:val="20"/>
          <w:szCs w:val="20"/>
        </w:rPr>
        <w:t>ДОСЯГНЕННЯ</w:t>
      </w:r>
      <w:r w:rsidRPr="000977F7">
        <w:rPr>
          <w:rFonts w:asciiTheme="majorHAnsi" w:hAnsiTheme="majorHAnsi"/>
          <w:b/>
          <w:spacing w:val="-4"/>
          <w:sz w:val="20"/>
          <w:szCs w:val="20"/>
        </w:rPr>
        <w:t xml:space="preserve"> </w:t>
      </w:r>
      <w:r w:rsidRPr="000977F7">
        <w:rPr>
          <w:rFonts w:asciiTheme="majorHAnsi" w:hAnsiTheme="majorHAnsi"/>
          <w:b/>
          <w:sz w:val="20"/>
          <w:szCs w:val="20"/>
        </w:rPr>
        <w:t>ЗАДАНОГО</w:t>
      </w:r>
      <w:r w:rsidRPr="000977F7">
        <w:rPr>
          <w:rFonts w:asciiTheme="majorHAnsi" w:hAnsiTheme="majorHAnsi"/>
          <w:b/>
          <w:spacing w:val="-2"/>
          <w:sz w:val="20"/>
          <w:szCs w:val="20"/>
        </w:rPr>
        <w:t xml:space="preserve"> </w:t>
      </w:r>
      <w:r w:rsidRPr="000977F7">
        <w:rPr>
          <w:rFonts w:asciiTheme="majorHAnsi" w:hAnsiTheme="majorHAnsi"/>
          <w:b/>
          <w:sz w:val="20"/>
          <w:szCs w:val="20"/>
        </w:rPr>
        <w:t xml:space="preserve">ПАРАМЕТРА </w:t>
      </w:r>
      <w:r w:rsidRPr="000977F7">
        <w:rPr>
          <w:rFonts w:asciiTheme="majorHAnsi" w:hAnsiTheme="majorHAnsi"/>
          <w:sz w:val="20"/>
          <w:szCs w:val="20"/>
        </w:rPr>
        <w:t>–</w:t>
      </w:r>
    </w:p>
    <w:p w14:paraId="0BE0EEC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 що обчислюється від моменту подавання команди на зміну параметра від значення базового параметра до моменту отримання заданого значення параметра</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контрольній</w:t>
      </w:r>
      <w:r w:rsidRPr="000977F7">
        <w:rPr>
          <w:rFonts w:asciiTheme="majorHAnsi" w:hAnsiTheme="majorHAnsi"/>
          <w:spacing w:val="-1"/>
          <w:sz w:val="20"/>
          <w:szCs w:val="20"/>
        </w:rPr>
        <w:t xml:space="preserve"> </w:t>
      </w:r>
      <w:r w:rsidRPr="000977F7">
        <w:rPr>
          <w:rFonts w:asciiTheme="majorHAnsi" w:hAnsiTheme="majorHAnsi"/>
          <w:sz w:val="20"/>
          <w:szCs w:val="20"/>
        </w:rPr>
        <w:t>точці</w:t>
      </w:r>
    </w:p>
    <w:p w14:paraId="4F3443E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3011 - 95</w:t>
      </w:r>
    </w:p>
    <w:p w14:paraId="231D839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w:t>
      </w:r>
      <w:r w:rsidRPr="000977F7">
        <w:rPr>
          <w:color w:val="auto"/>
          <w:spacing w:val="-3"/>
          <w:sz w:val="20"/>
          <w:szCs w:val="20"/>
        </w:rPr>
        <w:t xml:space="preserve"> </w:t>
      </w:r>
      <w:r w:rsidRPr="000977F7">
        <w:rPr>
          <w:color w:val="auto"/>
          <w:sz w:val="20"/>
          <w:szCs w:val="20"/>
        </w:rPr>
        <w:t>КОРИСНОЇ</w:t>
      </w:r>
      <w:r w:rsidRPr="000977F7">
        <w:rPr>
          <w:color w:val="auto"/>
          <w:spacing w:val="-3"/>
          <w:sz w:val="20"/>
          <w:szCs w:val="20"/>
        </w:rPr>
        <w:t xml:space="preserve"> </w:t>
      </w:r>
      <w:r w:rsidRPr="000977F7">
        <w:rPr>
          <w:color w:val="auto"/>
          <w:sz w:val="20"/>
          <w:szCs w:val="20"/>
        </w:rPr>
        <w:t>РОБОТИ</w:t>
      </w:r>
      <w:r w:rsidRPr="000977F7">
        <w:rPr>
          <w:color w:val="auto"/>
          <w:spacing w:val="1"/>
          <w:sz w:val="20"/>
          <w:szCs w:val="20"/>
        </w:rPr>
        <w:t xml:space="preserve"> </w:t>
      </w:r>
      <w:r w:rsidRPr="000977F7">
        <w:rPr>
          <w:color w:val="auto"/>
          <w:sz w:val="20"/>
          <w:szCs w:val="20"/>
        </w:rPr>
        <w:t>–</w:t>
      </w:r>
    </w:p>
    <w:p w14:paraId="3E4E9BD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OPERATING</w:t>
      </w:r>
      <w:r w:rsidRPr="000977F7">
        <w:rPr>
          <w:rFonts w:asciiTheme="majorHAnsi" w:hAnsiTheme="majorHAnsi"/>
          <w:spacing w:val="-1"/>
          <w:sz w:val="20"/>
          <w:szCs w:val="20"/>
        </w:rPr>
        <w:t xml:space="preserve"> </w:t>
      </w:r>
      <w:r w:rsidRPr="000977F7">
        <w:rPr>
          <w:rFonts w:asciiTheme="majorHAnsi" w:hAnsiTheme="majorHAnsi"/>
          <w:sz w:val="20"/>
          <w:szCs w:val="20"/>
        </w:rPr>
        <w:t>TIME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68BE3CD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1"/>
          <w:sz w:val="20"/>
          <w:szCs w:val="20"/>
        </w:rPr>
        <w:t xml:space="preserve"> </w:t>
      </w:r>
      <w:r w:rsidRPr="000977F7">
        <w:rPr>
          <w:rFonts w:asciiTheme="majorHAnsi" w:hAnsiTheme="majorHAnsi"/>
          <w:sz w:val="20"/>
          <w:szCs w:val="20"/>
        </w:rPr>
        <w:t>тривалості</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працездатності,</w:t>
      </w:r>
      <w:r w:rsidRPr="000977F7">
        <w:rPr>
          <w:rFonts w:asciiTheme="majorHAnsi" w:hAnsiTheme="majorHAnsi"/>
          <w:spacing w:val="1"/>
          <w:sz w:val="20"/>
          <w:szCs w:val="20"/>
        </w:rPr>
        <w:t xml:space="preserve"> </w:t>
      </w:r>
      <w:r w:rsidRPr="000977F7">
        <w:rPr>
          <w:rFonts w:asciiTheme="majorHAnsi" w:hAnsiTheme="majorHAnsi"/>
          <w:sz w:val="20"/>
          <w:szCs w:val="20"/>
        </w:rPr>
        <w:t>протягом</w:t>
      </w:r>
      <w:r w:rsidRPr="000977F7">
        <w:rPr>
          <w:rFonts w:asciiTheme="majorHAnsi" w:hAnsiTheme="majorHAnsi"/>
          <w:spacing w:val="1"/>
          <w:sz w:val="20"/>
          <w:szCs w:val="20"/>
        </w:rPr>
        <w:t xml:space="preserve"> </w:t>
      </w:r>
      <w:r w:rsidRPr="000977F7">
        <w:rPr>
          <w:rFonts w:asciiTheme="majorHAnsi" w:hAnsiTheme="majorHAnsi"/>
          <w:sz w:val="20"/>
          <w:szCs w:val="20"/>
        </w:rPr>
        <w:t>якої</w:t>
      </w:r>
      <w:r w:rsidRPr="000977F7">
        <w:rPr>
          <w:rFonts w:asciiTheme="majorHAnsi" w:hAnsiTheme="majorHAnsi"/>
          <w:spacing w:val="1"/>
          <w:sz w:val="20"/>
          <w:szCs w:val="20"/>
        </w:rPr>
        <w:t xml:space="preserve"> </w:t>
      </w:r>
      <w:r w:rsidRPr="000977F7">
        <w:rPr>
          <w:rFonts w:asciiTheme="majorHAnsi" w:hAnsiTheme="majorHAnsi"/>
          <w:sz w:val="20"/>
          <w:szCs w:val="20"/>
        </w:rPr>
        <w:t>функційний</w:t>
      </w:r>
      <w:r w:rsidRPr="000977F7">
        <w:rPr>
          <w:rFonts w:asciiTheme="majorHAnsi" w:hAnsiTheme="majorHAnsi"/>
          <w:spacing w:val="-2"/>
          <w:sz w:val="20"/>
          <w:szCs w:val="20"/>
        </w:rPr>
        <w:t xml:space="preserve"> </w:t>
      </w:r>
      <w:r w:rsidRPr="000977F7">
        <w:rPr>
          <w:rFonts w:asciiTheme="majorHAnsi" w:hAnsiTheme="majorHAnsi"/>
          <w:sz w:val="20"/>
          <w:szCs w:val="20"/>
        </w:rPr>
        <w:t>модуль (система) працює</w:t>
      </w:r>
    </w:p>
    <w:p w14:paraId="65319A03"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ISO/IEC 2382:2017</w:t>
      </w:r>
      <w:r w:rsidRPr="000977F7">
        <w:rPr>
          <w:rFonts w:asciiTheme="majorHAnsi" w:hAnsiTheme="majorHAnsi"/>
          <w:i/>
          <w:spacing w:val="-47"/>
          <w:sz w:val="20"/>
          <w:szCs w:val="20"/>
        </w:rPr>
        <w:t xml:space="preserve"> </w:t>
      </w:r>
      <w:bookmarkStart w:id="318" w:name="_Hlk100980542"/>
    </w:p>
    <w:p w14:paraId="3AEE59FB"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ЧАС ЗАПІЗНЮВАННЯ –</w:t>
      </w:r>
    </w:p>
    <w:p w14:paraId="64FEB372"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pacing w:val="-48"/>
          <w:sz w:val="20"/>
          <w:szCs w:val="20"/>
        </w:rPr>
        <w:t xml:space="preserve"> </w:t>
      </w:r>
      <w:r w:rsidRPr="000977F7">
        <w:rPr>
          <w:rFonts w:asciiTheme="majorHAnsi" w:hAnsiTheme="majorHAnsi"/>
          <w:sz w:val="20"/>
          <w:szCs w:val="20"/>
        </w:rPr>
        <w:t>DEAD</w:t>
      </w:r>
      <w:r w:rsidRPr="000977F7">
        <w:rPr>
          <w:rFonts w:asciiTheme="majorHAnsi" w:hAnsiTheme="majorHAnsi"/>
          <w:spacing w:val="-1"/>
          <w:sz w:val="20"/>
          <w:szCs w:val="20"/>
        </w:rPr>
        <w:t xml:space="preserve"> </w:t>
      </w:r>
      <w:r w:rsidRPr="000977F7">
        <w:rPr>
          <w:rFonts w:asciiTheme="majorHAnsi" w:hAnsiTheme="majorHAnsi"/>
          <w:sz w:val="20"/>
          <w:szCs w:val="20"/>
        </w:rPr>
        <w:t>TIME</w:t>
      </w:r>
      <w:r w:rsidRPr="000977F7">
        <w:rPr>
          <w:rFonts w:asciiTheme="majorHAnsi" w:hAnsiTheme="majorHAnsi"/>
          <w:spacing w:val="2"/>
          <w:sz w:val="20"/>
          <w:szCs w:val="20"/>
        </w:rPr>
        <w:t xml:space="preserve"> </w:t>
      </w:r>
      <w:r w:rsidRPr="000977F7">
        <w:rPr>
          <w:rFonts w:asciiTheme="majorHAnsi" w:hAnsiTheme="majorHAnsi"/>
          <w:sz w:val="20"/>
          <w:szCs w:val="20"/>
        </w:rPr>
        <w:t>–</w:t>
      </w:r>
    </w:p>
    <w:bookmarkEnd w:id="318"/>
    <w:p w14:paraId="1A36FE4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Часовий інтервал між початком змінювання вхідного</w:t>
      </w:r>
      <w:r w:rsidRPr="000977F7">
        <w:rPr>
          <w:rFonts w:asciiTheme="majorHAnsi" w:hAnsiTheme="majorHAnsi"/>
          <w:spacing w:val="1"/>
          <w:sz w:val="20"/>
          <w:szCs w:val="20"/>
        </w:rPr>
        <w:t xml:space="preserve"> </w:t>
      </w:r>
      <w:r w:rsidRPr="000977F7">
        <w:rPr>
          <w:rFonts w:asciiTheme="majorHAnsi" w:hAnsiTheme="majorHAnsi"/>
          <w:sz w:val="20"/>
          <w:szCs w:val="20"/>
        </w:rPr>
        <w:t>діяння і початком змінювання викликаного ним параметра об’єкта, який визначається згідно з перехідною</w:t>
      </w:r>
      <w:r w:rsidRPr="000977F7">
        <w:rPr>
          <w:rFonts w:asciiTheme="majorHAnsi" w:hAnsiTheme="majorHAnsi"/>
          <w:spacing w:val="1"/>
          <w:sz w:val="20"/>
          <w:szCs w:val="20"/>
        </w:rPr>
        <w:t xml:space="preserve"> </w:t>
      </w:r>
      <w:r w:rsidRPr="000977F7">
        <w:rPr>
          <w:rFonts w:asciiTheme="majorHAnsi" w:hAnsiTheme="majorHAnsi"/>
          <w:sz w:val="20"/>
          <w:szCs w:val="20"/>
        </w:rPr>
        <w:t>або імпульсною</w:t>
      </w:r>
      <w:r w:rsidRPr="000977F7">
        <w:rPr>
          <w:rFonts w:asciiTheme="majorHAnsi" w:hAnsiTheme="majorHAnsi"/>
          <w:spacing w:val="2"/>
          <w:sz w:val="20"/>
          <w:szCs w:val="20"/>
        </w:rPr>
        <w:t xml:space="preserve"> </w:t>
      </w:r>
      <w:r w:rsidRPr="000977F7">
        <w:rPr>
          <w:rFonts w:asciiTheme="majorHAnsi" w:hAnsiTheme="majorHAnsi"/>
          <w:sz w:val="20"/>
          <w:szCs w:val="20"/>
        </w:rPr>
        <w:t>характеристикою</w:t>
      </w:r>
    </w:p>
    <w:p w14:paraId="4AC57F7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15B7253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w:t>
      </w:r>
      <w:r w:rsidRPr="000977F7">
        <w:rPr>
          <w:color w:val="auto"/>
          <w:spacing w:val="-3"/>
          <w:sz w:val="20"/>
          <w:szCs w:val="20"/>
        </w:rPr>
        <w:t xml:space="preserve"> </w:t>
      </w:r>
      <w:r w:rsidRPr="000977F7">
        <w:rPr>
          <w:color w:val="auto"/>
          <w:sz w:val="20"/>
          <w:szCs w:val="20"/>
        </w:rPr>
        <w:t>НА</w:t>
      </w:r>
      <w:r w:rsidRPr="000977F7">
        <w:rPr>
          <w:color w:val="auto"/>
          <w:spacing w:val="-3"/>
          <w:sz w:val="20"/>
          <w:szCs w:val="20"/>
        </w:rPr>
        <w:t xml:space="preserve"> </w:t>
      </w:r>
      <w:r w:rsidRPr="000977F7">
        <w:rPr>
          <w:color w:val="auto"/>
          <w:sz w:val="20"/>
          <w:szCs w:val="20"/>
        </w:rPr>
        <w:t>ОСОБИСТІ</w:t>
      </w:r>
      <w:r w:rsidRPr="000977F7">
        <w:rPr>
          <w:color w:val="auto"/>
          <w:spacing w:val="-4"/>
          <w:sz w:val="20"/>
          <w:szCs w:val="20"/>
        </w:rPr>
        <w:t xml:space="preserve"> </w:t>
      </w:r>
      <w:r w:rsidRPr="000977F7">
        <w:rPr>
          <w:color w:val="auto"/>
          <w:sz w:val="20"/>
          <w:szCs w:val="20"/>
        </w:rPr>
        <w:t>ПОТРЕБИ</w:t>
      </w:r>
      <w:r w:rsidRPr="000977F7">
        <w:rPr>
          <w:color w:val="auto"/>
          <w:spacing w:val="1"/>
          <w:sz w:val="20"/>
          <w:szCs w:val="20"/>
        </w:rPr>
        <w:t xml:space="preserve"> </w:t>
      </w:r>
      <w:r w:rsidRPr="000977F7">
        <w:rPr>
          <w:color w:val="auto"/>
          <w:sz w:val="20"/>
          <w:szCs w:val="20"/>
        </w:rPr>
        <w:t>–</w:t>
      </w:r>
    </w:p>
    <w:p w14:paraId="2E1B589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TIME</w:t>
      </w:r>
      <w:r w:rsidRPr="004D2D14">
        <w:rPr>
          <w:rFonts w:asciiTheme="majorHAnsi" w:hAnsiTheme="majorHAnsi"/>
          <w:sz w:val="20"/>
          <w:szCs w:val="20"/>
          <w:lang w:val="uk-UA"/>
        </w:rPr>
        <w:t xml:space="preserve"> </w:t>
      </w:r>
      <w:r w:rsidRPr="000977F7">
        <w:rPr>
          <w:rFonts w:asciiTheme="majorHAnsi" w:hAnsiTheme="majorHAnsi"/>
          <w:sz w:val="20"/>
          <w:szCs w:val="20"/>
        </w:rPr>
        <w:t>FOR</w:t>
      </w:r>
      <w:r w:rsidRPr="004D2D14">
        <w:rPr>
          <w:rFonts w:asciiTheme="majorHAnsi" w:hAnsiTheme="majorHAnsi"/>
          <w:spacing w:val="-2"/>
          <w:sz w:val="20"/>
          <w:szCs w:val="20"/>
          <w:lang w:val="uk-UA"/>
        </w:rPr>
        <w:t xml:space="preserve"> </w:t>
      </w:r>
      <w:r w:rsidRPr="000977F7">
        <w:rPr>
          <w:rFonts w:asciiTheme="majorHAnsi" w:hAnsiTheme="majorHAnsi"/>
          <w:sz w:val="20"/>
          <w:szCs w:val="20"/>
        </w:rPr>
        <w:t>PERSONAL</w:t>
      </w:r>
      <w:r w:rsidRPr="004D2D14">
        <w:rPr>
          <w:rFonts w:asciiTheme="majorHAnsi" w:hAnsiTheme="majorHAnsi"/>
          <w:spacing w:val="-3"/>
          <w:sz w:val="20"/>
          <w:szCs w:val="20"/>
          <w:lang w:val="uk-UA"/>
        </w:rPr>
        <w:t xml:space="preserve"> </w:t>
      </w:r>
      <w:r w:rsidRPr="000977F7">
        <w:rPr>
          <w:rFonts w:asciiTheme="majorHAnsi" w:hAnsiTheme="majorHAnsi"/>
          <w:sz w:val="20"/>
          <w:szCs w:val="20"/>
        </w:rPr>
        <w:t>NEEDS</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6A21853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Частина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поштучного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часу,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яку</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витрачає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людина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особисті потреби та, під час виконання робіт, що втомлюють,</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на</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додатковий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відпочинок</w:t>
      </w:r>
    </w:p>
    <w:p w14:paraId="2301A22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10B7352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w:t>
      </w:r>
      <w:r w:rsidRPr="000977F7">
        <w:rPr>
          <w:color w:val="auto"/>
          <w:spacing w:val="45"/>
          <w:sz w:val="20"/>
          <w:szCs w:val="20"/>
        </w:rPr>
        <w:t xml:space="preserve"> </w:t>
      </w:r>
      <w:r w:rsidRPr="000977F7">
        <w:rPr>
          <w:color w:val="auto"/>
          <w:sz w:val="20"/>
          <w:szCs w:val="20"/>
        </w:rPr>
        <w:t>НАРОСТАННЯ</w:t>
      </w:r>
      <w:r w:rsidRPr="000977F7">
        <w:rPr>
          <w:color w:val="auto"/>
          <w:spacing w:val="-2"/>
          <w:sz w:val="20"/>
          <w:szCs w:val="20"/>
        </w:rPr>
        <w:t xml:space="preserve"> </w:t>
      </w:r>
      <w:r w:rsidRPr="000977F7">
        <w:rPr>
          <w:color w:val="auto"/>
          <w:sz w:val="20"/>
          <w:szCs w:val="20"/>
        </w:rPr>
        <w:t>–</w:t>
      </w:r>
    </w:p>
    <w:p w14:paraId="5F7DB68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DROWTH</w:t>
      </w:r>
      <w:r w:rsidRPr="000977F7">
        <w:rPr>
          <w:rFonts w:asciiTheme="majorHAnsi" w:hAnsiTheme="majorHAnsi"/>
          <w:spacing w:val="48"/>
          <w:sz w:val="20"/>
          <w:szCs w:val="20"/>
        </w:rPr>
        <w:t xml:space="preserve"> </w:t>
      </w:r>
      <w:r w:rsidRPr="000977F7">
        <w:rPr>
          <w:rFonts w:asciiTheme="majorHAnsi" w:hAnsiTheme="majorHAnsi"/>
          <w:sz w:val="20"/>
          <w:szCs w:val="20"/>
        </w:rPr>
        <w:t>TIME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74CF87A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Часовий</w:t>
      </w:r>
      <w:r w:rsidRPr="000977F7">
        <w:rPr>
          <w:rFonts w:asciiTheme="majorHAnsi" w:hAnsiTheme="majorHAnsi"/>
          <w:spacing w:val="1"/>
          <w:sz w:val="20"/>
          <w:szCs w:val="20"/>
        </w:rPr>
        <w:t xml:space="preserve"> </w:t>
      </w:r>
      <w:r w:rsidRPr="000977F7">
        <w:rPr>
          <w:rFonts w:asciiTheme="majorHAnsi" w:hAnsiTheme="majorHAnsi"/>
          <w:sz w:val="20"/>
          <w:szCs w:val="20"/>
        </w:rPr>
        <w:t>інтервал</w:t>
      </w:r>
      <w:r w:rsidRPr="000977F7">
        <w:rPr>
          <w:rFonts w:asciiTheme="majorHAnsi" w:hAnsiTheme="majorHAnsi"/>
          <w:spacing w:val="1"/>
          <w:sz w:val="20"/>
          <w:szCs w:val="20"/>
        </w:rPr>
        <w:t xml:space="preserve"> </w:t>
      </w:r>
      <w:r w:rsidRPr="000977F7">
        <w:rPr>
          <w:rFonts w:asciiTheme="majorHAnsi" w:hAnsiTheme="majorHAnsi"/>
          <w:sz w:val="20"/>
          <w:szCs w:val="20"/>
        </w:rPr>
        <w:t>між</w:t>
      </w:r>
      <w:r w:rsidRPr="000977F7">
        <w:rPr>
          <w:rFonts w:asciiTheme="majorHAnsi" w:hAnsiTheme="majorHAnsi"/>
          <w:spacing w:val="1"/>
          <w:sz w:val="20"/>
          <w:szCs w:val="20"/>
        </w:rPr>
        <w:t xml:space="preserve"> </w:t>
      </w:r>
      <w:r w:rsidRPr="000977F7">
        <w:rPr>
          <w:rFonts w:asciiTheme="majorHAnsi" w:hAnsiTheme="majorHAnsi"/>
          <w:sz w:val="20"/>
          <w:szCs w:val="20"/>
        </w:rPr>
        <w:t>початком</w:t>
      </w:r>
      <w:r w:rsidRPr="000977F7">
        <w:rPr>
          <w:rFonts w:asciiTheme="majorHAnsi" w:hAnsiTheme="majorHAnsi"/>
          <w:spacing w:val="1"/>
          <w:sz w:val="20"/>
          <w:szCs w:val="20"/>
        </w:rPr>
        <w:t xml:space="preserve"> </w:t>
      </w:r>
      <w:r w:rsidRPr="000977F7">
        <w:rPr>
          <w:rFonts w:asciiTheme="majorHAnsi" w:hAnsiTheme="majorHAnsi"/>
          <w:sz w:val="20"/>
          <w:szCs w:val="20"/>
        </w:rPr>
        <w:t>змінювання</w:t>
      </w:r>
      <w:r w:rsidRPr="000977F7">
        <w:rPr>
          <w:rFonts w:asciiTheme="majorHAnsi" w:hAnsiTheme="majorHAnsi"/>
          <w:spacing w:val="1"/>
          <w:sz w:val="20"/>
          <w:szCs w:val="20"/>
        </w:rPr>
        <w:t xml:space="preserve"> </w:t>
      </w:r>
      <w:r w:rsidRPr="000977F7">
        <w:rPr>
          <w:rFonts w:asciiTheme="majorHAnsi" w:hAnsiTheme="majorHAnsi"/>
          <w:sz w:val="20"/>
          <w:szCs w:val="20"/>
        </w:rPr>
        <w:t>параметра об’єкта і моментом, коли цей параметр наблизиться</w:t>
      </w:r>
      <w:r w:rsidRPr="000977F7">
        <w:rPr>
          <w:rFonts w:asciiTheme="majorHAnsi" w:hAnsiTheme="majorHAnsi"/>
          <w:spacing w:val="47"/>
          <w:sz w:val="20"/>
          <w:szCs w:val="20"/>
        </w:rPr>
        <w:t xml:space="preserve"> </w:t>
      </w:r>
      <w:r w:rsidRPr="000977F7">
        <w:rPr>
          <w:rFonts w:asciiTheme="majorHAnsi" w:hAnsiTheme="majorHAnsi"/>
          <w:sz w:val="20"/>
          <w:szCs w:val="20"/>
        </w:rPr>
        <w:t>вперше</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свого</w:t>
      </w:r>
      <w:r w:rsidRPr="000977F7">
        <w:rPr>
          <w:rFonts w:asciiTheme="majorHAnsi" w:hAnsiTheme="majorHAnsi"/>
          <w:spacing w:val="2"/>
          <w:sz w:val="20"/>
          <w:szCs w:val="20"/>
        </w:rPr>
        <w:t xml:space="preserve"> </w:t>
      </w:r>
      <w:r w:rsidRPr="000977F7">
        <w:rPr>
          <w:rFonts w:asciiTheme="majorHAnsi" w:hAnsiTheme="majorHAnsi"/>
          <w:sz w:val="20"/>
          <w:szCs w:val="20"/>
        </w:rPr>
        <w:t>усталеного значення</w:t>
      </w:r>
    </w:p>
    <w:p w14:paraId="5894A14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8FC323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 наростання визначається згідно з перехідною характеристикою</w:t>
      </w:r>
      <w:r w:rsidRPr="000977F7">
        <w:rPr>
          <w:rFonts w:asciiTheme="majorHAnsi" w:hAnsiTheme="majorHAnsi"/>
          <w:spacing w:val="9"/>
          <w:sz w:val="20"/>
          <w:szCs w:val="20"/>
        </w:rPr>
        <w:t xml:space="preserve"> </w:t>
      </w:r>
      <w:r w:rsidRPr="000977F7">
        <w:rPr>
          <w:rFonts w:asciiTheme="majorHAnsi" w:hAnsiTheme="majorHAnsi"/>
          <w:sz w:val="20"/>
          <w:szCs w:val="20"/>
        </w:rPr>
        <w:t>для</w:t>
      </w:r>
      <w:r w:rsidRPr="000977F7">
        <w:rPr>
          <w:rFonts w:asciiTheme="majorHAnsi" w:hAnsiTheme="majorHAnsi"/>
          <w:spacing w:val="10"/>
          <w:sz w:val="20"/>
          <w:szCs w:val="20"/>
        </w:rPr>
        <w:t xml:space="preserve"> </w:t>
      </w:r>
      <w:r w:rsidRPr="000977F7">
        <w:rPr>
          <w:rFonts w:asciiTheme="majorHAnsi" w:hAnsiTheme="majorHAnsi"/>
          <w:sz w:val="20"/>
          <w:szCs w:val="20"/>
        </w:rPr>
        <w:t>заданого</w:t>
      </w:r>
      <w:r w:rsidRPr="000977F7">
        <w:rPr>
          <w:rFonts w:asciiTheme="majorHAnsi" w:hAnsiTheme="majorHAnsi"/>
          <w:spacing w:val="11"/>
          <w:sz w:val="20"/>
          <w:szCs w:val="20"/>
        </w:rPr>
        <w:t xml:space="preserve"> </w:t>
      </w:r>
      <w:r w:rsidRPr="000977F7">
        <w:rPr>
          <w:rFonts w:asciiTheme="majorHAnsi" w:hAnsiTheme="majorHAnsi"/>
          <w:sz w:val="20"/>
          <w:szCs w:val="20"/>
        </w:rPr>
        <w:t>відсоткового</w:t>
      </w:r>
      <w:r w:rsidRPr="000977F7">
        <w:rPr>
          <w:rFonts w:asciiTheme="majorHAnsi" w:hAnsiTheme="majorHAnsi"/>
          <w:spacing w:val="10"/>
          <w:sz w:val="20"/>
          <w:szCs w:val="20"/>
        </w:rPr>
        <w:t xml:space="preserve"> </w:t>
      </w:r>
      <w:r w:rsidRPr="000977F7">
        <w:rPr>
          <w:rFonts w:asciiTheme="majorHAnsi" w:hAnsiTheme="majorHAnsi"/>
          <w:sz w:val="20"/>
          <w:szCs w:val="20"/>
        </w:rPr>
        <w:t>відношення,</w:t>
      </w:r>
      <w:r w:rsidRPr="000977F7">
        <w:rPr>
          <w:rFonts w:asciiTheme="majorHAnsi" w:hAnsiTheme="majorHAnsi"/>
          <w:spacing w:val="1"/>
          <w:sz w:val="20"/>
          <w:szCs w:val="20"/>
        </w:rPr>
        <w:t xml:space="preserve"> </w:t>
      </w:r>
      <w:r w:rsidRPr="000977F7">
        <w:rPr>
          <w:rFonts w:asciiTheme="majorHAnsi" w:hAnsiTheme="majorHAnsi"/>
          <w:sz w:val="20"/>
          <w:szCs w:val="20"/>
        </w:rPr>
        <w:t>яким</w:t>
      </w:r>
      <w:r w:rsidRPr="000977F7">
        <w:rPr>
          <w:rFonts w:asciiTheme="majorHAnsi" w:hAnsiTheme="majorHAnsi"/>
          <w:spacing w:val="1"/>
          <w:sz w:val="20"/>
          <w:szCs w:val="20"/>
        </w:rPr>
        <w:t xml:space="preserve"> </w:t>
      </w:r>
      <w:r w:rsidRPr="000977F7">
        <w:rPr>
          <w:rFonts w:asciiTheme="majorHAnsi" w:hAnsiTheme="majorHAnsi"/>
          <w:sz w:val="20"/>
          <w:szCs w:val="20"/>
        </w:rPr>
        <w:t>оцінюється</w:t>
      </w:r>
      <w:r w:rsidRPr="000977F7">
        <w:rPr>
          <w:rFonts w:asciiTheme="majorHAnsi" w:hAnsiTheme="majorHAnsi"/>
          <w:spacing w:val="1"/>
          <w:sz w:val="20"/>
          <w:szCs w:val="20"/>
        </w:rPr>
        <w:t xml:space="preserve"> </w:t>
      </w:r>
      <w:r w:rsidRPr="000977F7">
        <w:rPr>
          <w:rFonts w:asciiTheme="majorHAnsi" w:hAnsiTheme="majorHAnsi"/>
          <w:sz w:val="20"/>
          <w:szCs w:val="20"/>
        </w:rPr>
        <w:t>ступінь</w:t>
      </w:r>
      <w:r w:rsidRPr="000977F7">
        <w:rPr>
          <w:rFonts w:asciiTheme="majorHAnsi" w:hAnsiTheme="majorHAnsi"/>
          <w:spacing w:val="1"/>
          <w:sz w:val="20"/>
          <w:szCs w:val="20"/>
        </w:rPr>
        <w:t xml:space="preserve"> </w:t>
      </w:r>
      <w:r w:rsidRPr="000977F7">
        <w:rPr>
          <w:rFonts w:asciiTheme="majorHAnsi" w:hAnsiTheme="majorHAnsi"/>
          <w:sz w:val="20"/>
          <w:szCs w:val="20"/>
        </w:rPr>
        <w:t>наближення</w:t>
      </w:r>
      <w:r w:rsidRPr="000977F7">
        <w:rPr>
          <w:rFonts w:asciiTheme="majorHAnsi" w:hAnsiTheme="majorHAnsi"/>
          <w:spacing w:val="50"/>
          <w:sz w:val="20"/>
          <w:szCs w:val="20"/>
        </w:rPr>
        <w:t xml:space="preserve"> </w:t>
      </w:r>
      <w:r w:rsidRPr="000977F7">
        <w:rPr>
          <w:rFonts w:asciiTheme="majorHAnsi" w:hAnsiTheme="majorHAnsi"/>
          <w:sz w:val="20"/>
          <w:szCs w:val="20"/>
        </w:rPr>
        <w:t>параметра</w:t>
      </w:r>
      <w:r w:rsidRPr="000977F7">
        <w:rPr>
          <w:rFonts w:asciiTheme="majorHAnsi" w:hAnsiTheme="majorHAnsi"/>
          <w:spacing w:val="-48"/>
          <w:sz w:val="20"/>
          <w:szCs w:val="20"/>
        </w:rPr>
        <w:t xml:space="preserve">                  </w:t>
      </w:r>
      <w:r w:rsidRPr="000977F7">
        <w:rPr>
          <w:rFonts w:asciiTheme="majorHAnsi" w:hAnsiTheme="majorHAnsi"/>
          <w:sz w:val="20"/>
          <w:szCs w:val="20"/>
        </w:rPr>
        <w:t>до</w:t>
      </w:r>
      <w:r w:rsidRPr="000977F7">
        <w:rPr>
          <w:rFonts w:asciiTheme="majorHAnsi" w:hAnsiTheme="majorHAnsi"/>
          <w:spacing w:val="2"/>
          <w:sz w:val="20"/>
          <w:szCs w:val="20"/>
        </w:rPr>
        <w:t xml:space="preserve"> </w:t>
      </w:r>
      <w:r w:rsidRPr="000977F7">
        <w:rPr>
          <w:rFonts w:asciiTheme="majorHAnsi" w:hAnsiTheme="majorHAnsi"/>
          <w:sz w:val="20"/>
          <w:szCs w:val="20"/>
        </w:rPr>
        <w:t>усталеного значення</w:t>
      </w:r>
      <w:r w:rsidRPr="000977F7">
        <w:rPr>
          <w:rFonts w:asciiTheme="majorHAnsi" w:hAnsiTheme="majorHAnsi"/>
          <w:spacing w:val="-2"/>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90%</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E1FCA9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3956 - 2000</w:t>
      </w:r>
    </w:p>
    <w:p w14:paraId="04AADAF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w:t>
      </w:r>
      <w:r w:rsidRPr="000977F7">
        <w:rPr>
          <w:color w:val="auto"/>
          <w:spacing w:val="-3"/>
          <w:sz w:val="20"/>
          <w:szCs w:val="20"/>
        </w:rPr>
        <w:t xml:space="preserve"> </w:t>
      </w:r>
      <w:r w:rsidRPr="000977F7">
        <w:rPr>
          <w:color w:val="auto"/>
          <w:sz w:val="20"/>
          <w:szCs w:val="20"/>
        </w:rPr>
        <w:t>НЕ</w:t>
      </w:r>
      <w:r w:rsidRPr="000977F7">
        <w:rPr>
          <w:color w:val="auto"/>
          <w:spacing w:val="-3"/>
          <w:sz w:val="20"/>
          <w:szCs w:val="20"/>
        </w:rPr>
        <w:t xml:space="preserve"> </w:t>
      </w:r>
      <w:r w:rsidRPr="000977F7">
        <w:rPr>
          <w:color w:val="auto"/>
          <w:sz w:val="20"/>
          <w:szCs w:val="20"/>
        </w:rPr>
        <w:t>ГОТОВНОСТІ</w:t>
      </w:r>
      <w:r w:rsidRPr="000977F7">
        <w:rPr>
          <w:color w:val="auto"/>
          <w:spacing w:val="-3"/>
          <w:sz w:val="20"/>
          <w:szCs w:val="20"/>
        </w:rPr>
        <w:t xml:space="preserve"> </w:t>
      </w:r>
      <w:r w:rsidRPr="000977F7">
        <w:rPr>
          <w:color w:val="auto"/>
          <w:sz w:val="20"/>
          <w:szCs w:val="20"/>
        </w:rPr>
        <w:t>ДО</w:t>
      </w:r>
      <w:r w:rsidRPr="000977F7">
        <w:rPr>
          <w:color w:val="auto"/>
          <w:spacing w:val="-1"/>
          <w:sz w:val="20"/>
          <w:szCs w:val="20"/>
        </w:rPr>
        <w:t xml:space="preserve"> </w:t>
      </w:r>
      <w:r w:rsidRPr="000977F7">
        <w:rPr>
          <w:color w:val="auto"/>
          <w:sz w:val="20"/>
          <w:szCs w:val="20"/>
        </w:rPr>
        <w:t>РОБОТИ</w:t>
      </w:r>
      <w:r w:rsidRPr="000977F7">
        <w:rPr>
          <w:color w:val="auto"/>
          <w:spacing w:val="1"/>
          <w:sz w:val="20"/>
          <w:szCs w:val="20"/>
        </w:rPr>
        <w:t xml:space="preserve"> </w:t>
      </w:r>
      <w:r w:rsidRPr="000977F7">
        <w:rPr>
          <w:color w:val="auto"/>
          <w:sz w:val="20"/>
          <w:szCs w:val="20"/>
        </w:rPr>
        <w:t>–</w:t>
      </w:r>
    </w:p>
    <w:p w14:paraId="299E273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UNOPERABLE</w:t>
      </w:r>
      <w:r w:rsidRPr="004D2D14">
        <w:rPr>
          <w:rFonts w:asciiTheme="majorHAnsi" w:hAnsiTheme="majorHAnsi"/>
          <w:spacing w:val="-2"/>
          <w:sz w:val="20"/>
          <w:szCs w:val="20"/>
          <w:lang w:val="uk-UA"/>
        </w:rPr>
        <w:t xml:space="preserve"> </w:t>
      </w:r>
      <w:r w:rsidRPr="000977F7">
        <w:rPr>
          <w:rFonts w:asciiTheme="majorHAnsi" w:hAnsiTheme="majorHAnsi"/>
          <w:sz w:val="20"/>
          <w:szCs w:val="20"/>
        </w:rPr>
        <w:t>TIME</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335356C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 xml:space="preserve">Та частина часу простою, під час якої, при задоволенні всіх умов зовнішнього середовища, функціональний блок, якби він знаходився в стані роботи, не давав </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би</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правильних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результатів</w:t>
      </w:r>
    </w:p>
    <w:p w14:paraId="1F33E19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 НЕСПРАВНОГО (УШКОДЖЕНОГО)</w:t>
      </w:r>
      <w:r w:rsidRPr="000977F7">
        <w:rPr>
          <w:color w:val="auto"/>
          <w:spacing w:val="-47"/>
          <w:sz w:val="20"/>
          <w:szCs w:val="20"/>
        </w:rPr>
        <w:t xml:space="preserve"> </w:t>
      </w:r>
      <w:r w:rsidRPr="000977F7">
        <w:rPr>
          <w:color w:val="auto"/>
          <w:sz w:val="20"/>
          <w:szCs w:val="20"/>
        </w:rPr>
        <w:t>СТАНУ</w:t>
      </w:r>
      <w:r w:rsidRPr="000977F7">
        <w:rPr>
          <w:color w:val="auto"/>
          <w:spacing w:val="-1"/>
          <w:sz w:val="20"/>
          <w:szCs w:val="20"/>
        </w:rPr>
        <w:t xml:space="preserve"> </w:t>
      </w:r>
      <w:r w:rsidRPr="000977F7">
        <w:rPr>
          <w:color w:val="auto"/>
          <w:sz w:val="20"/>
          <w:szCs w:val="20"/>
        </w:rPr>
        <w:t>–</w:t>
      </w:r>
    </w:p>
    <w:p w14:paraId="246114A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DOWN</w:t>
      </w:r>
      <w:r w:rsidRPr="000977F7">
        <w:rPr>
          <w:rFonts w:asciiTheme="majorHAnsi" w:hAnsiTheme="majorHAnsi"/>
          <w:spacing w:val="-1"/>
          <w:sz w:val="20"/>
          <w:szCs w:val="20"/>
        </w:rPr>
        <w:t xml:space="preserve"> </w:t>
      </w:r>
      <w:r w:rsidRPr="000977F7">
        <w:rPr>
          <w:rFonts w:asciiTheme="majorHAnsi" w:hAnsiTheme="majorHAnsi"/>
          <w:sz w:val="20"/>
          <w:szCs w:val="20"/>
        </w:rPr>
        <w:t>TIME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B62EFA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 на протязі якого функціональний блок не може</w:t>
      </w:r>
      <w:r w:rsidRPr="000977F7">
        <w:rPr>
          <w:rFonts w:asciiTheme="majorHAnsi" w:hAnsiTheme="majorHAnsi"/>
          <w:spacing w:val="1"/>
          <w:sz w:val="20"/>
          <w:szCs w:val="20"/>
        </w:rPr>
        <w:t xml:space="preserve"> </w:t>
      </w:r>
      <w:r w:rsidRPr="000977F7">
        <w:rPr>
          <w:rFonts w:asciiTheme="majorHAnsi" w:hAnsiTheme="majorHAnsi"/>
          <w:sz w:val="20"/>
          <w:szCs w:val="20"/>
        </w:rPr>
        <w:t>використовуватися</w:t>
      </w:r>
      <w:r w:rsidRPr="000977F7">
        <w:rPr>
          <w:rFonts w:asciiTheme="majorHAnsi" w:hAnsiTheme="majorHAnsi"/>
          <w:spacing w:val="-3"/>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зв’язку</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наявністю дефекту</w:t>
      </w:r>
    </w:p>
    <w:p w14:paraId="5D90224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w:t>
      </w:r>
      <w:r w:rsidRPr="000977F7">
        <w:rPr>
          <w:color w:val="auto"/>
          <w:spacing w:val="-4"/>
          <w:sz w:val="20"/>
          <w:szCs w:val="20"/>
        </w:rPr>
        <w:t xml:space="preserve"> </w:t>
      </w:r>
      <w:r w:rsidRPr="000977F7">
        <w:rPr>
          <w:color w:val="auto"/>
          <w:sz w:val="20"/>
          <w:szCs w:val="20"/>
        </w:rPr>
        <w:t>ОБСЛУГОВУВАННЯ</w:t>
      </w:r>
      <w:r w:rsidRPr="000977F7">
        <w:rPr>
          <w:color w:val="auto"/>
          <w:spacing w:val="-3"/>
          <w:sz w:val="20"/>
          <w:szCs w:val="20"/>
        </w:rPr>
        <w:t xml:space="preserve"> </w:t>
      </w:r>
      <w:r w:rsidRPr="000977F7">
        <w:rPr>
          <w:color w:val="auto"/>
          <w:sz w:val="20"/>
          <w:szCs w:val="20"/>
        </w:rPr>
        <w:t>РОБОЧОГО</w:t>
      </w:r>
      <w:r w:rsidRPr="000977F7">
        <w:rPr>
          <w:color w:val="auto"/>
          <w:spacing w:val="-4"/>
          <w:sz w:val="20"/>
          <w:szCs w:val="20"/>
        </w:rPr>
        <w:t xml:space="preserve"> </w:t>
      </w:r>
      <w:r w:rsidRPr="000977F7">
        <w:rPr>
          <w:color w:val="auto"/>
          <w:sz w:val="20"/>
          <w:szCs w:val="20"/>
        </w:rPr>
        <w:t>МІСЦЯ –</w:t>
      </w:r>
    </w:p>
    <w:p w14:paraId="7D808E8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TIME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FOR</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MACHINE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SERVICING</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47E8D7D7" w14:textId="77777777" w:rsidR="0097612F" w:rsidRPr="000977F7" w:rsidRDefault="0097612F" w:rsidP="000977F7">
      <w:pPr>
        <w:pStyle w:val="af6"/>
        <w:tabs>
          <w:tab w:val="left" w:pos="284"/>
        </w:tabs>
        <w:spacing w:after="0"/>
        <w:ind w:left="170"/>
        <w:mirrorIndents/>
        <w:jc w:val="both"/>
        <w:rPr>
          <w:rFonts w:asciiTheme="majorHAnsi" w:hAnsiTheme="majorHAnsi"/>
          <w:spacing w:val="-2"/>
          <w:sz w:val="20"/>
          <w:szCs w:val="20"/>
        </w:rPr>
      </w:pPr>
      <w:r w:rsidRPr="000977F7">
        <w:rPr>
          <w:rFonts w:asciiTheme="majorHAnsi" w:hAnsiTheme="majorHAnsi"/>
          <w:spacing w:val="-1"/>
          <w:sz w:val="20"/>
          <w:szCs w:val="20"/>
        </w:rPr>
        <w:t>Частина</w:t>
      </w:r>
      <w:r w:rsidRPr="000977F7">
        <w:rPr>
          <w:rFonts w:asciiTheme="majorHAnsi" w:hAnsiTheme="majorHAnsi"/>
          <w:spacing w:val="1"/>
          <w:sz w:val="20"/>
          <w:szCs w:val="20"/>
        </w:rPr>
        <w:t xml:space="preserve"> </w:t>
      </w:r>
      <w:r w:rsidRPr="000977F7">
        <w:rPr>
          <w:rFonts w:asciiTheme="majorHAnsi" w:hAnsiTheme="majorHAnsi"/>
          <w:sz w:val="20"/>
          <w:szCs w:val="20"/>
        </w:rPr>
        <w:t>поштучного</w:t>
      </w:r>
      <w:r w:rsidRPr="000977F7">
        <w:rPr>
          <w:rFonts w:asciiTheme="majorHAnsi" w:hAnsiTheme="majorHAnsi"/>
          <w:spacing w:val="1"/>
          <w:sz w:val="20"/>
          <w:szCs w:val="20"/>
        </w:rPr>
        <w:t xml:space="preserve"> </w:t>
      </w:r>
      <w:r w:rsidRPr="000977F7">
        <w:rPr>
          <w:rFonts w:asciiTheme="majorHAnsi" w:hAnsiTheme="majorHAnsi"/>
          <w:sz w:val="20"/>
          <w:szCs w:val="20"/>
        </w:rPr>
        <w:t>часу, яку витрачає виконавець</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47"/>
          <w:sz w:val="20"/>
          <w:szCs w:val="20"/>
        </w:rPr>
        <w:t xml:space="preserve"> </w:t>
      </w:r>
      <w:r w:rsidRPr="000977F7">
        <w:rPr>
          <w:rFonts w:asciiTheme="majorHAnsi" w:hAnsiTheme="majorHAnsi"/>
          <w:spacing w:val="-3"/>
          <w:sz w:val="20"/>
          <w:szCs w:val="20"/>
        </w:rPr>
        <w:t>підтримання</w:t>
      </w:r>
      <w:r w:rsidRPr="000977F7">
        <w:rPr>
          <w:rFonts w:asciiTheme="majorHAnsi" w:hAnsiTheme="majorHAnsi"/>
          <w:spacing w:val="-9"/>
          <w:sz w:val="20"/>
          <w:szCs w:val="20"/>
        </w:rPr>
        <w:t xml:space="preserve"> </w:t>
      </w:r>
      <w:r w:rsidRPr="000977F7">
        <w:rPr>
          <w:rFonts w:asciiTheme="majorHAnsi" w:hAnsiTheme="majorHAnsi"/>
          <w:spacing w:val="-3"/>
          <w:sz w:val="20"/>
          <w:szCs w:val="20"/>
        </w:rPr>
        <w:t>засобів</w:t>
      </w:r>
      <w:r w:rsidRPr="000977F7">
        <w:rPr>
          <w:rFonts w:asciiTheme="majorHAnsi" w:hAnsiTheme="majorHAnsi"/>
          <w:spacing w:val="-9"/>
          <w:sz w:val="20"/>
          <w:szCs w:val="20"/>
        </w:rPr>
        <w:t xml:space="preserve"> </w:t>
      </w:r>
      <w:r w:rsidRPr="000977F7">
        <w:rPr>
          <w:rFonts w:asciiTheme="majorHAnsi" w:hAnsiTheme="majorHAnsi"/>
          <w:spacing w:val="-2"/>
          <w:sz w:val="20"/>
          <w:szCs w:val="20"/>
        </w:rPr>
        <w:t>технологічного</w:t>
      </w:r>
      <w:r w:rsidRPr="000977F7">
        <w:rPr>
          <w:rFonts w:asciiTheme="majorHAnsi" w:hAnsiTheme="majorHAnsi"/>
          <w:spacing w:val="-7"/>
          <w:sz w:val="20"/>
          <w:szCs w:val="20"/>
        </w:rPr>
        <w:t xml:space="preserve"> </w:t>
      </w:r>
      <w:r w:rsidRPr="000977F7">
        <w:rPr>
          <w:rFonts w:asciiTheme="majorHAnsi" w:hAnsiTheme="majorHAnsi"/>
          <w:spacing w:val="-2"/>
          <w:sz w:val="20"/>
          <w:szCs w:val="20"/>
        </w:rPr>
        <w:t>спорядження</w:t>
      </w:r>
      <w:r w:rsidRPr="000977F7">
        <w:rPr>
          <w:rFonts w:asciiTheme="majorHAnsi" w:hAnsiTheme="majorHAnsi"/>
          <w:spacing w:val="-8"/>
          <w:sz w:val="20"/>
          <w:szCs w:val="20"/>
        </w:rPr>
        <w:t xml:space="preserve"> </w:t>
      </w:r>
      <w:r w:rsidRPr="000977F7">
        <w:rPr>
          <w:rFonts w:asciiTheme="majorHAnsi" w:hAnsiTheme="majorHAnsi"/>
          <w:spacing w:val="-2"/>
          <w:sz w:val="20"/>
          <w:szCs w:val="20"/>
        </w:rPr>
        <w:t>в</w:t>
      </w:r>
      <w:r w:rsidRPr="000977F7">
        <w:rPr>
          <w:rFonts w:asciiTheme="majorHAnsi" w:hAnsiTheme="majorHAnsi"/>
          <w:spacing w:val="-9"/>
          <w:sz w:val="20"/>
          <w:szCs w:val="20"/>
        </w:rPr>
        <w:t xml:space="preserve"> </w:t>
      </w:r>
      <w:r w:rsidRPr="000977F7">
        <w:rPr>
          <w:rFonts w:asciiTheme="majorHAnsi" w:hAnsiTheme="majorHAnsi"/>
          <w:spacing w:val="-2"/>
          <w:sz w:val="20"/>
          <w:szCs w:val="20"/>
        </w:rPr>
        <w:t>пра</w:t>
      </w:r>
      <w:r w:rsidRPr="000977F7">
        <w:rPr>
          <w:rFonts w:asciiTheme="majorHAnsi" w:hAnsiTheme="majorHAnsi"/>
          <w:spacing w:val="-4"/>
          <w:sz w:val="20"/>
          <w:szCs w:val="20"/>
        </w:rPr>
        <w:t xml:space="preserve">цездатному стані та догляд за ними </w:t>
      </w:r>
      <w:r w:rsidRPr="000977F7">
        <w:rPr>
          <w:rFonts w:asciiTheme="majorHAnsi" w:hAnsiTheme="majorHAnsi"/>
          <w:spacing w:val="-3"/>
          <w:sz w:val="20"/>
          <w:szCs w:val="20"/>
        </w:rPr>
        <w:t>і робочим місцем</w:t>
      </w:r>
      <w:r w:rsidRPr="000977F7">
        <w:rPr>
          <w:rFonts w:asciiTheme="majorHAnsi" w:hAnsiTheme="majorHAnsi"/>
          <w:spacing w:val="-2"/>
          <w:sz w:val="20"/>
          <w:szCs w:val="20"/>
        </w:rPr>
        <w:t xml:space="preserve"> </w:t>
      </w:r>
    </w:p>
    <w:p w14:paraId="4AAD2441"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2391</w:t>
      </w:r>
      <w:r w:rsidRPr="000977F7">
        <w:rPr>
          <w:rFonts w:asciiTheme="majorHAnsi" w:hAnsiTheme="majorHAnsi"/>
          <w:i/>
          <w:spacing w:val="2"/>
          <w:sz w:val="20"/>
          <w:szCs w:val="20"/>
        </w:rPr>
        <w:t xml:space="preserve"> </w:t>
      </w:r>
      <w:r w:rsidRPr="000977F7">
        <w:rPr>
          <w:rFonts w:asciiTheme="majorHAnsi" w:hAnsiTheme="majorHAnsi"/>
          <w:i/>
          <w:sz w:val="20"/>
          <w:szCs w:val="20"/>
        </w:rPr>
        <w:t>– 2010</w:t>
      </w:r>
    </w:p>
    <w:p w14:paraId="6F54A09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w:t>
      </w:r>
      <w:r w:rsidRPr="000977F7">
        <w:rPr>
          <w:color w:val="auto"/>
          <w:spacing w:val="-4"/>
          <w:sz w:val="20"/>
          <w:szCs w:val="20"/>
        </w:rPr>
        <w:t xml:space="preserve"> </w:t>
      </w:r>
      <w:r w:rsidRPr="000977F7">
        <w:rPr>
          <w:color w:val="auto"/>
          <w:sz w:val="20"/>
          <w:szCs w:val="20"/>
        </w:rPr>
        <w:t>ОЧІКУВАННЯ</w:t>
      </w:r>
      <w:r w:rsidRPr="000977F7">
        <w:rPr>
          <w:color w:val="auto"/>
          <w:spacing w:val="-3"/>
          <w:sz w:val="20"/>
          <w:szCs w:val="20"/>
        </w:rPr>
        <w:t xml:space="preserve"> </w:t>
      </w:r>
      <w:r w:rsidRPr="000977F7">
        <w:rPr>
          <w:color w:val="auto"/>
          <w:sz w:val="20"/>
          <w:szCs w:val="20"/>
        </w:rPr>
        <w:t>(ЧЕКАННЯ)</w:t>
      </w:r>
      <w:r w:rsidRPr="000977F7">
        <w:rPr>
          <w:color w:val="auto"/>
          <w:spacing w:val="1"/>
          <w:sz w:val="20"/>
          <w:szCs w:val="20"/>
        </w:rPr>
        <w:t xml:space="preserve"> </w:t>
      </w:r>
      <w:r w:rsidRPr="000977F7">
        <w:rPr>
          <w:color w:val="auto"/>
          <w:sz w:val="20"/>
          <w:szCs w:val="20"/>
        </w:rPr>
        <w:t>–</w:t>
      </w:r>
    </w:p>
    <w:p w14:paraId="1CA1859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STAND-BY</w:t>
      </w:r>
      <w:r w:rsidRPr="000977F7">
        <w:rPr>
          <w:rFonts w:asciiTheme="majorHAnsi" w:hAnsiTheme="majorHAnsi"/>
          <w:spacing w:val="-2"/>
          <w:sz w:val="20"/>
          <w:szCs w:val="20"/>
        </w:rPr>
        <w:t xml:space="preserve"> </w:t>
      </w:r>
      <w:r w:rsidRPr="000977F7">
        <w:rPr>
          <w:rFonts w:asciiTheme="majorHAnsi" w:hAnsiTheme="majorHAnsi"/>
          <w:sz w:val="20"/>
          <w:szCs w:val="20"/>
        </w:rPr>
        <w:t>TIME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7B8DD4E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потрібного часу, на протязі якого об’єкт знаходиться</w:t>
      </w:r>
      <w:r w:rsidRPr="000977F7">
        <w:rPr>
          <w:rFonts w:asciiTheme="majorHAnsi" w:hAnsiTheme="majorHAnsi"/>
          <w:spacing w:val="-2"/>
          <w:sz w:val="20"/>
          <w:szCs w:val="20"/>
        </w:rPr>
        <w:t xml:space="preserve"> </w:t>
      </w:r>
      <w:r w:rsidRPr="000977F7">
        <w:rPr>
          <w:rFonts w:asciiTheme="majorHAnsi" w:hAnsiTheme="majorHAnsi"/>
          <w:sz w:val="20"/>
          <w:szCs w:val="20"/>
        </w:rPr>
        <w:t>в</w:t>
      </w:r>
      <w:r w:rsidRPr="000977F7">
        <w:rPr>
          <w:rFonts w:asciiTheme="majorHAnsi" w:hAnsiTheme="majorHAnsi"/>
          <w:spacing w:val="2"/>
          <w:sz w:val="20"/>
          <w:szCs w:val="20"/>
        </w:rPr>
        <w:t xml:space="preserve"> </w:t>
      </w:r>
      <w:r w:rsidRPr="000977F7">
        <w:rPr>
          <w:rFonts w:asciiTheme="majorHAnsi" w:hAnsiTheme="majorHAnsi"/>
          <w:sz w:val="20"/>
          <w:szCs w:val="20"/>
        </w:rPr>
        <w:t>працездатному</w:t>
      </w:r>
      <w:r w:rsidRPr="000977F7">
        <w:rPr>
          <w:rFonts w:asciiTheme="majorHAnsi" w:hAnsiTheme="majorHAnsi"/>
          <w:spacing w:val="-4"/>
          <w:sz w:val="20"/>
          <w:szCs w:val="20"/>
        </w:rPr>
        <w:t xml:space="preserve"> </w:t>
      </w:r>
      <w:r w:rsidRPr="000977F7">
        <w:rPr>
          <w:rFonts w:asciiTheme="majorHAnsi" w:hAnsiTheme="majorHAnsi"/>
          <w:sz w:val="20"/>
          <w:szCs w:val="20"/>
        </w:rPr>
        <w:t>стані</w:t>
      </w:r>
    </w:p>
    <w:p w14:paraId="0B2CA75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w:t>
      </w:r>
      <w:r w:rsidRPr="000977F7">
        <w:rPr>
          <w:color w:val="auto"/>
          <w:spacing w:val="-4"/>
          <w:sz w:val="20"/>
          <w:szCs w:val="20"/>
        </w:rPr>
        <w:t xml:space="preserve"> </w:t>
      </w:r>
      <w:r w:rsidRPr="000977F7">
        <w:rPr>
          <w:color w:val="auto"/>
          <w:sz w:val="20"/>
          <w:szCs w:val="20"/>
        </w:rPr>
        <w:t>ПЕРЕЗАПУСКУ</w:t>
      </w:r>
      <w:r w:rsidRPr="000977F7">
        <w:rPr>
          <w:color w:val="auto"/>
          <w:spacing w:val="-2"/>
          <w:sz w:val="20"/>
          <w:szCs w:val="20"/>
        </w:rPr>
        <w:t xml:space="preserve"> </w:t>
      </w:r>
      <w:r w:rsidRPr="000977F7">
        <w:rPr>
          <w:color w:val="auto"/>
          <w:sz w:val="20"/>
          <w:szCs w:val="20"/>
        </w:rPr>
        <w:t>–</w:t>
      </w:r>
    </w:p>
    <w:p w14:paraId="4B1C61C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RERUN</w:t>
      </w:r>
      <w:r w:rsidRPr="000977F7">
        <w:rPr>
          <w:rFonts w:asciiTheme="majorHAnsi" w:hAnsiTheme="majorHAnsi"/>
          <w:spacing w:val="-2"/>
          <w:sz w:val="20"/>
          <w:szCs w:val="20"/>
        </w:rPr>
        <w:t xml:space="preserve"> </w:t>
      </w:r>
      <w:r w:rsidRPr="000977F7">
        <w:rPr>
          <w:rFonts w:asciiTheme="majorHAnsi" w:hAnsiTheme="majorHAnsi"/>
          <w:sz w:val="20"/>
          <w:szCs w:val="20"/>
        </w:rPr>
        <w:t>TIME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AE04A2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w:t>
      </w:r>
      <w:r w:rsidRPr="000977F7">
        <w:rPr>
          <w:rFonts w:asciiTheme="majorHAnsi" w:hAnsiTheme="majorHAnsi"/>
          <w:spacing w:val="1"/>
          <w:sz w:val="20"/>
          <w:szCs w:val="20"/>
        </w:rPr>
        <w:t xml:space="preserve"> </w:t>
      </w:r>
      <w:r w:rsidRPr="000977F7">
        <w:rPr>
          <w:rFonts w:asciiTheme="majorHAnsi" w:hAnsiTheme="majorHAnsi"/>
          <w:sz w:val="20"/>
          <w:szCs w:val="20"/>
        </w:rPr>
        <w:t>часу</w:t>
      </w:r>
      <w:r w:rsidRPr="000977F7">
        <w:rPr>
          <w:rFonts w:asciiTheme="majorHAnsi" w:hAnsiTheme="majorHAnsi"/>
          <w:spacing w:val="1"/>
          <w:sz w:val="20"/>
          <w:szCs w:val="20"/>
        </w:rPr>
        <w:t xml:space="preserve"> </w:t>
      </w:r>
      <w:r w:rsidRPr="000977F7">
        <w:rPr>
          <w:rFonts w:asciiTheme="majorHAnsi" w:hAnsiTheme="majorHAnsi"/>
          <w:sz w:val="20"/>
          <w:szCs w:val="20"/>
        </w:rPr>
        <w:t>корисної</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r w:rsidRPr="000977F7">
        <w:rPr>
          <w:rFonts w:asciiTheme="majorHAnsi" w:hAnsiTheme="majorHAnsi"/>
          <w:spacing w:val="1"/>
          <w:sz w:val="20"/>
          <w:szCs w:val="20"/>
        </w:rPr>
        <w:t xml:space="preserve"> </w:t>
      </w:r>
      <w:r w:rsidRPr="000977F7">
        <w:rPr>
          <w:rFonts w:asciiTheme="majorHAnsi" w:hAnsiTheme="majorHAnsi"/>
          <w:sz w:val="20"/>
          <w:szCs w:val="20"/>
        </w:rPr>
        <w:t>яку використовують</w:t>
      </w:r>
      <w:r w:rsidRPr="000977F7">
        <w:rPr>
          <w:rFonts w:asciiTheme="majorHAnsi" w:hAnsiTheme="majorHAnsi"/>
          <w:spacing w:val="1"/>
          <w:sz w:val="20"/>
          <w:szCs w:val="20"/>
        </w:rPr>
        <w:t xml:space="preserve"> </w:t>
      </w:r>
      <w:r w:rsidRPr="000977F7">
        <w:rPr>
          <w:rFonts w:asciiTheme="majorHAnsi" w:hAnsiTheme="majorHAnsi"/>
          <w:sz w:val="20"/>
          <w:szCs w:val="20"/>
        </w:rPr>
        <w:t>для повторного запуску у зв’язку зі збоєм чи помилкою</w:t>
      </w:r>
      <w:r w:rsidRPr="000977F7">
        <w:rPr>
          <w:rFonts w:asciiTheme="majorHAnsi" w:hAnsiTheme="majorHAnsi"/>
          <w:spacing w:val="-1"/>
          <w:sz w:val="20"/>
          <w:szCs w:val="20"/>
        </w:rPr>
        <w:t xml:space="preserve"> </w:t>
      </w:r>
      <w:r w:rsidRPr="000977F7">
        <w:rPr>
          <w:rFonts w:asciiTheme="majorHAnsi" w:hAnsiTheme="majorHAnsi"/>
          <w:sz w:val="20"/>
          <w:szCs w:val="20"/>
        </w:rPr>
        <w:t>виконання</w:t>
      </w:r>
      <w:r w:rsidRPr="000977F7">
        <w:rPr>
          <w:rFonts w:asciiTheme="majorHAnsi" w:hAnsiTheme="majorHAnsi"/>
          <w:spacing w:val="2"/>
          <w:sz w:val="20"/>
          <w:szCs w:val="20"/>
        </w:rPr>
        <w:t xml:space="preserve"> </w:t>
      </w:r>
      <w:r w:rsidRPr="000977F7">
        <w:rPr>
          <w:rFonts w:asciiTheme="majorHAnsi" w:hAnsiTheme="majorHAnsi"/>
          <w:sz w:val="20"/>
          <w:szCs w:val="20"/>
        </w:rPr>
        <w:t>команди</w:t>
      </w:r>
    </w:p>
    <w:p w14:paraId="298A078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ISO/IEC</w:t>
      </w:r>
      <w:r w:rsidRPr="000977F7">
        <w:rPr>
          <w:rFonts w:asciiTheme="majorHAnsi" w:hAnsiTheme="majorHAnsi"/>
          <w:i/>
          <w:spacing w:val="-3"/>
          <w:sz w:val="20"/>
          <w:szCs w:val="20"/>
        </w:rPr>
        <w:t xml:space="preserve"> </w:t>
      </w:r>
      <w:r w:rsidRPr="000977F7">
        <w:rPr>
          <w:rFonts w:asciiTheme="majorHAnsi" w:hAnsiTheme="majorHAnsi"/>
          <w:i/>
          <w:sz w:val="20"/>
          <w:szCs w:val="20"/>
        </w:rPr>
        <w:t>2382:2017</w:t>
      </w:r>
    </w:p>
    <w:p w14:paraId="2F505AF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ЧАС ПІДГОТОВКИ ЗАСОБУ </w:t>
      </w:r>
      <w:r w:rsidRPr="000977F7">
        <w:rPr>
          <w:color w:val="auto"/>
          <w:spacing w:val="-47"/>
          <w:sz w:val="20"/>
          <w:szCs w:val="20"/>
        </w:rPr>
        <w:t xml:space="preserve"> </w:t>
      </w:r>
      <w:r w:rsidRPr="000977F7">
        <w:rPr>
          <w:color w:val="auto"/>
          <w:sz w:val="20"/>
          <w:szCs w:val="20"/>
        </w:rPr>
        <w:t>КОНТРОЛЮ</w:t>
      </w:r>
      <w:r w:rsidRPr="000977F7">
        <w:rPr>
          <w:color w:val="auto"/>
          <w:spacing w:val="-1"/>
          <w:sz w:val="20"/>
          <w:szCs w:val="20"/>
        </w:rPr>
        <w:t xml:space="preserve"> </w:t>
      </w:r>
      <w:r w:rsidRPr="000977F7">
        <w:rPr>
          <w:color w:val="auto"/>
          <w:sz w:val="20"/>
          <w:szCs w:val="20"/>
        </w:rPr>
        <w:t>–</w:t>
      </w:r>
    </w:p>
    <w:p w14:paraId="38BF0FD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 необхідний для приведення засобу контролю до</w:t>
      </w:r>
      <w:r w:rsidRPr="000977F7">
        <w:rPr>
          <w:rFonts w:asciiTheme="majorHAnsi" w:hAnsiTheme="majorHAnsi"/>
          <w:spacing w:val="1"/>
          <w:sz w:val="20"/>
          <w:szCs w:val="20"/>
        </w:rPr>
        <w:t xml:space="preserve"> </w:t>
      </w:r>
      <w:r w:rsidRPr="000977F7">
        <w:rPr>
          <w:rFonts w:asciiTheme="majorHAnsi" w:hAnsiTheme="majorHAnsi"/>
          <w:sz w:val="20"/>
          <w:szCs w:val="20"/>
        </w:rPr>
        <w:t>стану готовності для проведення контролю при штатному</w:t>
      </w:r>
      <w:r w:rsidRPr="000977F7">
        <w:rPr>
          <w:rFonts w:asciiTheme="majorHAnsi" w:hAnsiTheme="majorHAnsi"/>
          <w:spacing w:val="-5"/>
          <w:sz w:val="20"/>
          <w:szCs w:val="20"/>
        </w:rPr>
        <w:t xml:space="preserve"> </w:t>
      </w:r>
      <w:r w:rsidRPr="000977F7">
        <w:rPr>
          <w:rFonts w:asciiTheme="majorHAnsi" w:hAnsiTheme="majorHAnsi"/>
          <w:sz w:val="20"/>
          <w:szCs w:val="20"/>
        </w:rPr>
        <w:t>складі</w:t>
      </w:r>
      <w:r w:rsidRPr="000977F7">
        <w:rPr>
          <w:rFonts w:asciiTheme="majorHAnsi" w:hAnsiTheme="majorHAnsi"/>
          <w:spacing w:val="-1"/>
          <w:sz w:val="20"/>
          <w:szCs w:val="20"/>
        </w:rPr>
        <w:t xml:space="preserve"> </w:t>
      </w:r>
      <w:r w:rsidRPr="000977F7">
        <w:rPr>
          <w:rFonts w:asciiTheme="majorHAnsi" w:hAnsiTheme="majorHAnsi"/>
          <w:sz w:val="20"/>
          <w:szCs w:val="20"/>
        </w:rPr>
        <w:t>обслуговуючого персоналу</w:t>
      </w:r>
    </w:p>
    <w:p w14:paraId="14CFC84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w:t>
      </w:r>
      <w:r w:rsidRPr="000977F7">
        <w:rPr>
          <w:color w:val="auto"/>
          <w:spacing w:val="-5"/>
          <w:sz w:val="20"/>
          <w:szCs w:val="20"/>
        </w:rPr>
        <w:t xml:space="preserve"> </w:t>
      </w:r>
      <w:r w:rsidRPr="000977F7">
        <w:rPr>
          <w:color w:val="auto"/>
          <w:sz w:val="20"/>
          <w:szCs w:val="20"/>
        </w:rPr>
        <w:t>ПРИХОВАНОЇ</w:t>
      </w:r>
      <w:r w:rsidRPr="000977F7">
        <w:rPr>
          <w:color w:val="auto"/>
          <w:spacing w:val="-6"/>
          <w:sz w:val="20"/>
          <w:szCs w:val="20"/>
        </w:rPr>
        <w:t xml:space="preserve"> </w:t>
      </w:r>
      <w:r w:rsidRPr="000977F7">
        <w:rPr>
          <w:color w:val="auto"/>
          <w:sz w:val="20"/>
          <w:szCs w:val="20"/>
        </w:rPr>
        <w:t>НЕПРАЦЕЗДАТНОСТІ</w:t>
      </w:r>
      <w:r w:rsidRPr="000977F7">
        <w:rPr>
          <w:color w:val="auto"/>
          <w:spacing w:val="-2"/>
          <w:sz w:val="20"/>
          <w:szCs w:val="20"/>
        </w:rPr>
        <w:t xml:space="preserve"> </w:t>
      </w:r>
      <w:r w:rsidRPr="000977F7">
        <w:rPr>
          <w:color w:val="auto"/>
          <w:sz w:val="20"/>
          <w:szCs w:val="20"/>
        </w:rPr>
        <w:t>–</w:t>
      </w:r>
    </w:p>
    <w:p w14:paraId="0244355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UNDETECTED</w:t>
      </w:r>
      <w:r w:rsidRPr="000977F7">
        <w:rPr>
          <w:rFonts w:asciiTheme="majorHAnsi" w:hAnsiTheme="majorHAnsi"/>
          <w:spacing w:val="-2"/>
          <w:sz w:val="20"/>
          <w:szCs w:val="20"/>
        </w:rPr>
        <w:t xml:space="preserve"> </w:t>
      </w:r>
      <w:r w:rsidRPr="000977F7">
        <w:rPr>
          <w:rFonts w:asciiTheme="majorHAnsi" w:hAnsiTheme="majorHAnsi"/>
          <w:sz w:val="20"/>
          <w:szCs w:val="20"/>
        </w:rPr>
        <w:t>FAILURE</w:t>
      </w:r>
      <w:r w:rsidRPr="000977F7">
        <w:rPr>
          <w:rFonts w:asciiTheme="majorHAnsi" w:hAnsiTheme="majorHAnsi"/>
          <w:spacing w:val="-2"/>
          <w:sz w:val="20"/>
          <w:szCs w:val="20"/>
        </w:rPr>
        <w:t xml:space="preserve"> </w:t>
      </w:r>
      <w:r w:rsidRPr="000977F7">
        <w:rPr>
          <w:rFonts w:asciiTheme="majorHAnsi" w:hAnsiTheme="majorHAnsi"/>
          <w:sz w:val="20"/>
          <w:szCs w:val="20"/>
        </w:rPr>
        <w:t>TIME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0DBE749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Період часу між моментами виникнення та виявлення</w:t>
      </w:r>
      <w:r w:rsidRPr="000977F7">
        <w:rPr>
          <w:rFonts w:asciiTheme="majorHAnsi" w:hAnsiTheme="majorHAnsi"/>
          <w:spacing w:val="1"/>
          <w:sz w:val="20"/>
          <w:szCs w:val="20"/>
        </w:rPr>
        <w:t xml:space="preserve"> </w:t>
      </w:r>
      <w:r w:rsidRPr="000977F7">
        <w:rPr>
          <w:rFonts w:asciiTheme="majorHAnsi" w:hAnsiTheme="majorHAnsi"/>
          <w:sz w:val="20"/>
          <w:szCs w:val="20"/>
        </w:rPr>
        <w:t>відмови</w:t>
      </w:r>
    </w:p>
    <w:p w14:paraId="5E8B8A9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w:t>
      </w:r>
      <w:r w:rsidRPr="000977F7">
        <w:rPr>
          <w:color w:val="auto"/>
          <w:spacing w:val="-5"/>
          <w:sz w:val="20"/>
          <w:szCs w:val="20"/>
        </w:rPr>
        <w:t xml:space="preserve"> </w:t>
      </w:r>
      <w:r w:rsidRPr="000977F7">
        <w:rPr>
          <w:color w:val="auto"/>
          <w:sz w:val="20"/>
          <w:szCs w:val="20"/>
        </w:rPr>
        <w:t>ПРОГРАМНОГО</w:t>
      </w:r>
      <w:r w:rsidRPr="000977F7">
        <w:rPr>
          <w:color w:val="auto"/>
          <w:spacing w:val="-4"/>
          <w:sz w:val="20"/>
          <w:szCs w:val="20"/>
        </w:rPr>
        <w:t xml:space="preserve"> </w:t>
      </w:r>
      <w:r w:rsidRPr="000977F7">
        <w:rPr>
          <w:color w:val="auto"/>
          <w:sz w:val="20"/>
          <w:szCs w:val="20"/>
        </w:rPr>
        <w:t>ПЕРЕВІРЮВАННЯ</w:t>
      </w:r>
      <w:r w:rsidRPr="000977F7">
        <w:rPr>
          <w:color w:val="auto"/>
          <w:spacing w:val="-4"/>
          <w:sz w:val="20"/>
          <w:szCs w:val="20"/>
        </w:rPr>
        <w:t xml:space="preserve"> </w:t>
      </w:r>
      <w:r w:rsidRPr="000977F7">
        <w:rPr>
          <w:color w:val="auto"/>
          <w:sz w:val="20"/>
          <w:szCs w:val="20"/>
        </w:rPr>
        <w:t>–</w:t>
      </w:r>
    </w:p>
    <w:p w14:paraId="2A519E0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PROGRAM</w:t>
      </w:r>
      <w:r w:rsidRPr="000977F7">
        <w:rPr>
          <w:rFonts w:asciiTheme="majorHAnsi" w:hAnsiTheme="majorHAnsi"/>
          <w:spacing w:val="-2"/>
          <w:sz w:val="20"/>
          <w:szCs w:val="20"/>
        </w:rPr>
        <w:t xml:space="preserve"> </w:t>
      </w:r>
      <w:r w:rsidRPr="000977F7">
        <w:rPr>
          <w:rFonts w:asciiTheme="majorHAnsi" w:hAnsiTheme="majorHAnsi"/>
          <w:sz w:val="20"/>
          <w:szCs w:val="20"/>
        </w:rPr>
        <w:t>TEST</w:t>
      </w:r>
      <w:r w:rsidRPr="000977F7">
        <w:rPr>
          <w:rFonts w:asciiTheme="majorHAnsi" w:hAnsiTheme="majorHAnsi"/>
          <w:spacing w:val="-1"/>
          <w:sz w:val="20"/>
          <w:szCs w:val="20"/>
        </w:rPr>
        <w:t xml:space="preserve"> </w:t>
      </w:r>
      <w:r w:rsidRPr="000977F7">
        <w:rPr>
          <w:rFonts w:asciiTheme="majorHAnsi" w:hAnsiTheme="majorHAnsi"/>
          <w:sz w:val="20"/>
          <w:szCs w:val="20"/>
        </w:rPr>
        <w:t>TIME –</w:t>
      </w:r>
    </w:p>
    <w:p w14:paraId="18272E3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системного корисного часу, протягом якого</w:t>
      </w:r>
      <w:r w:rsidRPr="000977F7">
        <w:rPr>
          <w:rFonts w:asciiTheme="majorHAnsi" w:hAnsiTheme="majorHAnsi"/>
          <w:spacing w:val="1"/>
          <w:sz w:val="20"/>
          <w:szCs w:val="20"/>
        </w:rPr>
        <w:t xml:space="preserve"> </w:t>
      </w:r>
      <w:r w:rsidRPr="000977F7">
        <w:rPr>
          <w:rFonts w:asciiTheme="majorHAnsi" w:hAnsiTheme="majorHAnsi"/>
          <w:sz w:val="20"/>
          <w:szCs w:val="20"/>
        </w:rPr>
        <w:t>функційний модуль (систему) перевіряють за допомогою</w:t>
      </w:r>
      <w:r w:rsidRPr="000977F7">
        <w:rPr>
          <w:rFonts w:asciiTheme="majorHAnsi" w:hAnsiTheme="majorHAnsi"/>
          <w:spacing w:val="-1"/>
          <w:sz w:val="20"/>
          <w:szCs w:val="20"/>
        </w:rPr>
        <w:t xml:space="preserve"> </w:t>
      </w:r>
      <w:r w:rsidRPr="000977F7">
        <w:rPr>
          <w:rFonts w:asciiTheme="majorHAnsi" w:hAnsiTheme="majorHAnsi"/>
          <w:sz w:val="20"/>
          <w:szCs w:val="20"/>
        </w:rPr>
        <w:t>програми</w:t>
      </w:r>
    </w:p>
    <w:p w14:paraId="32256B2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ISO/IEC 2382-2017</w:t>
      </w:r>
    </w:p>
    <w:p w14:paraId="608D3360"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i/>
          <w:spacing w:val="-47"/>
          <w:sz w:val="20"/>
          <w:szCs w:val="20"/>
        </w:rPr>
        <w:t xml:space="preserve"> </w:t>
      </w:r>
      <w:r w:rsidRPr="000977F7">
        <w:rPr>
          <w:rFonts w:asciiTheme="majorHAnsi" w:hAnsiTheme="majorHAnsi"/>
          <w:b/>
          <w:sz w:val="20"/>
          <w:szCs w:val="20"/>
        </w:rPr>
        <w:t>ЧАС ПРОСТОЮ –</w:t>
      </w:r>
      <w:r w:rsidRPr="000977F7">
        <w:rPr>
          <w:rFonts w:asciiTheme="majorHAnsi" w:hAnsiTheme="majorHAnsi"/>
          <w:b/>
          <w:spacing w:val="1"/>
          <w:sz w:val="20"/>
          <w:szCs w:val="20"/>
        </w:rPr>
        <w:t xml:space="preserve"> </w:t>
      </w:r>
    </w:p>
    <w:p w14:paraId="23F8D327"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DOWN</w:t>
      </w:r>
      <w:r w:rsidRPr="000977F7">
        <w:rPr>
          <w:rFonts w:asciiTheme="majorHAnsi" w:hAnsiTheme="majorHAnsi"/>
          <w:spacing w:val="-1"/>
          <w:sz w:val="20"/>
          <w:szCs w:val="20"/>
        </w:rPr>
        <w:t xml:space="preserve"> </w:t>
      </w:r>
      <w:r w:rsidRPr="000977F7">
        <w:rPr>
          <w:rFonts w:asciiTheme="majorHAnsi" w:hAnsiTheme="majorHAnsi"/>
          <w:sz w:val="20"/>
          <w:szCs w:val="20"/>
        </w:rPr>
        <w:t>TIME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BC93A8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Період часу, на протязі якого виріб не здатний виконувати</w:t>
      </w:r>
      <w:r w:rsidRPr="000977F7">
        <w:rPr>
          <w:rFonts w:asciiTheme="majorHAnsi" w:hAnsiTheme="majorHAnsi"/>
          <w:spacing w:val="-2"/>
          <w:sz w:val="20"/>
          <w:szCs w:val="20"/>
        </w:rPr>
        <w:t xml:space="preserve"> </w:t>
      </w:r>
      <w:r w:rsidRPr="000977F7">
        <w:rPr>
          <w:rFonts w:asciiTheme="majorHAnsi" w:hAnsiTheme="majorHAnsi"/>
          <w:sz w:val="20"/>
          <w:szCs w:val="20"/>
        </w:rPr>
        <w:t>потрібну</w:t>
      </w:r>
      <w:r w:rsidRPr="000977F7">
        <w:rPr>
          <w:rFonts w:asciiTheme="majorHAnsi" w:hAnsiTheme="majorHAnsi"/>
          <w:spacing w:val="-4"/>
          <w:sz w:val="20"/>
          <w:szCs w:val="20"/>
        </w:rPr>
        <w:t xml:space="preserve"> </w:t>
      </w:r>
      <w:r w:rsidRPr="000977F7">
        <w:rPr>
          <w:rFonts w:asciiTheme="majorHAnsi" w:hAnsiTheme="majorHAnsi"/>
          <w:sz w:val="20"/>
          <w:szCs w:val="20"/>
        </w:rPr>
        <w:t>функцію</w:t>
      </w:r>
    </w:p>
    <w:p w14:paraId="11D6880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E2D8FF1" w14:textId="77777777" w:rsidR="0097612F" w:rsidRPr="000977F7" w:rsidRDefault="0097612F" w:rsidP="00FD39A4">
      <w:pPr>
        <w:pStyle w:val="ac"/>
        <w:widowControl w:val="0"/>
        <w:numPr>
          <w:ilvl w:val="0"/>
          <w:numId w:val="65"/>
        </w:numPr>
        <w:tabs>
          <w:tab w:val="left" w:pos="284"/>
          <w:tab w:val="left" w:pos="46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pacing w:val="-3"/>
          <w:sz w:val="20"/>
          <w:szCs w:val="20"/>
        </w:rPr>
        <w:t>Час</w:t>
      </w:r>
      <w:r w:rsidRPr="000977F7">
        <w:rPr>
          <w:rFonts w:asciiTheme="majorHAnsi" w:hAnsiTheme="majorHAnsi"/>
          <w:spacing w:val="-7"/>
          <w:sz w:val="20"/>
          <w:szCs w:val="20"/>
        </w:rPr>
        <w:t xml:space="preserve"> </w:t>
      </w:r>
      <w:r w:rsidRPr="000977F7">
        <w:rPr>
          <w:rFonts w:asciiTheme="majorHAnsi" w:hAnsiTheme="majorHAnsi"/>
          <w:spacing w:val="-3"/>
          <w:sz w:val="20"/>
          <w:szCs w:val="20"/>
        </w:rPr>
        <w:t>простою</w:t>
      </w:r>
      <w:r w:rsidRPr="000977F7">
        <w:rPr>
          <w:rFonts w:asciiTheme="majorHAnsi" w:hAnsiTheme="majorHAnsi"/>
          <w:spacing w:val="-7"/>
          <w:sz w:val="20"/>
          <w:szCs w:val="20"/>
        </w:rPr>
        <w:t xml:space="preserve"> </w:t>
      </w:r>
      <w:r w:rsidRPr="000977F7">
        <w:rPr>
          <w:rFonts w:asciiTheme="majorHAnsi" w:hAnsiTheme="majorHAnsi"/>
          <w:spacing w:val="-3"/>
          <w:sz w:val="20"/>
          <w:szCs w:val="20"/>
        </w:rPr>
        <w:t>виробу</w:t>
      </w:r>
      <w:r w:rsidRPr="000977F7">
        <w:rPr>
          <w:rFonts w:asciiTheme="majorHAnsi" w:hAnsiTheme="majorHAnsi"/>
          <w:spacing w:val="-9"/>
          <w:sz w:val="20"/>
          <w:szCs w:val="20"/>
        </w:rPr>
        <w:t xml:space="preserve"> </w:t>
      </w:r>
      <w:r w:rsidRPr="000977F7">
        <w:rPr>
          <w:rFonts w:asciiTheme="majorHAnsi" w:hAnsiTheme="majorHAnsi"/>
          <w:spacing w:val="-3"/>
          <w:sz w:val="20"/>
          <w:szCs w:val="20"/>
        </w:rPr>
        <w:t>складається</w:t>
      </w:r>
      <w:r w:rsidRPr="000977F7">
        <w:rPr>
          <w:rFonts w:asciiTheme="majorHAnsi" w:hAnsiTheme="majorHAnsi"/>
          <w:spacing w:val="-10"/>
          <w:sz w:val="20"/>
          <w:szCs w:val="20"/>
        </w:rPr>
        <w:t xml:space="preserve"> </w:t>
      </w:r>
      <w:r w:rsidRPr="000977F7">
        <w:rPr>
          <w:rFonts w:asciiTheme="majorHAnsi" w:hAnsiTheme="majorHAnsi"/>
          <w:spacing w:val="-3"/>
          <w:sz w:val="20"/>
          <w:szCs w:val="20"/>
        </w:rPr>
        <w:t>із</w:t>
      </w:r>
      <w:r w:rsidRPr="000977F7">
        <w:rPr>
          <w:rFonts w:asciiTheme="majorHAnsi" w:hAnsiTheme="majorHAnsi"/>
          <w:spacing w:val="-8"/>
          <w:sz w:val="20"/>
          <w:szCs w:val="20"/>
        </w:rPr>
        <w:t xml:space="preserve"> </w:t>
      </w:r>
      <w:r w:rsidRPr="000977F7">
        <w:rPr>
          <w:rFonts w:asciiTheme="majorHAnsi" w:hAnsiTheme="majorHAnsi"/>
          <w:spacing w:val="-3"/>
          <w:sz w:val="20"/>
          <w:szCs w:val="20"/>
        </w:rPr>
        <w:t>часу</w:t>
      </w:r>
      <w:r w:rsidRPr="000977F7">
        <w:rPr>
          <w:rFonts w:asciiTheme="majorHAnsi" w:hAnsiTheme="majorHAnsi"/>
          <w:spacing w:val="-9"/>
          <w:sz w:val="20"/>
          <w:szCs w:val="20"/>
        </w:rPr>
        <w:t xml:space="preserve"> </w:t>
      </w:r>
      <w:r w:rsidRPr="000977F7">
        <w:rPr>
          <w:rFonts w:asciiTheme="majorHAnsi" w:hAnsiTheme="majorHAnsi"/>
          <w:spacing w:val="-3"/>
          <w:sz w:val="20"/>
          <w:szCs w:val="20"/>
        </w:rPr>
        <w:t>технічного</w:t>
      </w:r>
      <w:r w:rsidRPr="000977F7">
        <w:rPr>
          <w:rFonts w:asciiTheme="majorHAnsi" w:hAnsiTheme="majorHAnsi"/>
          <w:spacing w:val="-10"/>
          <w:sz w:val="20"/>
          <w:szCs w:val="20"/>
        </w:rPr>
        <w:t xml:space="preserve"> </w:t>
      </w:r>
      <w:r w:rsidRPr="000977F7">
        <w:rPr>
          <w:rFonts w:asciiTheme="majorHAnsi" w:hAnsiTheme="majorHAnsi"/>
          <w:spacing w:val="-3"/>
          <w:sz w:val="20"/>
          <w:szCs w:val="20"/>
        </w:rPr>
        <w:t>обслуговування</w:t>
      </w:r>
      <w:r w:rsidRPr="000977F7">
        <w:rPr>
          <w:rFonts w:asciiTheme="majorHAnsi" w:hAnsiTheme="majorHAnsi"/>
          <w:spacing w:val="-7"/>
          <w:sz w:val="20"/>
          <w:szCs w:val="20"/>
        </w:rPr>
        <w:t xml:space="preserve"> </w:t>
      </w:r>
      <w:r w:rsidRPr="000977F7">
        <w:rPr>
          <w:rFonts w:asciiTheme="majorHAnsi" w:hAnsiTheme="majorHAnsi"/>
          <w:spacing w:val="-3"/>
          <w:sz w:val="20"/>
          <w:szCs w:val="20"/>
        </w:rPr>
        <w:t>та</w:t>
      </w:r>
      <w:r w:rsidRPr="000977F7">
        <w:rPr>
          <w:rFonts w:asciiTheme="majorHAnsi" w:hAnsiTheme="majorHAnsi"/>
          <w:spacing w:val="-6"/>
          <w:sz w:val="20"/>
          <w:szCs w:val="20"/>
        </w:rPr>
        <w:t xml:space="preserve"> </w:t>
      </w:r>
      <w:r w:rsidRPr="000977F7">
        <w:rPr>
          <w:rFonts w:asciiTheme="majorHAnsi" w:hAnsiTheme="majorHAnsi"/>
          <w:spacing w:val="-3"/>
          <w:sz w:val="20"/>
          <w:szCs w:val="20"/>
        </w:rPr>
        <w:t>затримок,</w:t>
      </w:r>
      <w:r w:rsidRPr="000977F7">
        <w:rPr>
          <w:rFonts w:asciiTheme="majorHAnsi" w:hAnsiTheme="majorHAnsi"/>
          <w:spacing w:val="-6"/>
          <w:sz w:val="20"/>
          <w:szCs w:val="20"/>
        </w:rPr>
        <w:t xml:space="preserve"> </w:t>
      </w:r>
      <w:r w:rsidRPr="000977F7">
        <w:rPr>
          <w:rFonts w:asciiTheme="majorHAnsi" w:hAnsiTheme="majorHAnsi"/>
          <w:spacing w:val="-3"/>
          <w:sz w:val="20"/>
          <w:szCs w:val="20"/>
        </w:rPr>
        <w:t>викликаних</w:t>
      </w:r>
      <w:r w:rsidRPr="000977F7">
        <w:rPr>
          <w:rFonts w:asciiTheme="majorHAnsi" w:hAnsiTheme="majorHAnsi"/>
          <w:spacing w:val="-7"/>
          <w:sz w:val="20"/>
          <w:szCs w:val="20"/>
        </w:rPr>
        <w:t xml:space="preserve"> </w:t>
      </w:r>
      <w:r w:rsidRPr="000977F7">
        <w:rPr>
          <w:rFonts w:asciiTheme="majorHAnsi" w:hAnsiTheme="majorHAnsi"/>
          <w:spacing w:val="-3"/>
          <w:sz w:val="20"/>
          <w:szCs w:val="20"/>
        </w:rPr>
        <w:t>відсутністю</w:t>
      </w:r>
      <w:r w:rsidRPr="000977F7">
        <w:rPr>
          <w:rFonts w:asciiTheme="majorHAnsi" w:hAnsiTheme="majorHAnsi"/>
          <w:spacing w:val="-7"/>
          <w:sz w:val="20"/>
          <w:szCs w:val="20"/>
        </w:rPr>
        <w:t xml:space="preserve"> </w:t>
      </w:r>
      <w:r w:rsidRPr="000977F7">
        <w:rPr>
          <w:rFonts w:asciiTheme="majorHAnsi" w:hAnsiTheme="majorHAnsi"/>
          <w:spacing w:val="-3"/>
          <w:sz w:val="20"/>
          <w:szCs w:val="20"/>
        </w:rPr>
        <w:lastRenderedPageBreak/>
        <w:t>ро</w:t>
      </w:r>
      <w:r w:rsidRPr="000977F7">
        <w:rPr>
          <w:rFonts w:asciiTheme="majorHAnsi" w:hAnsiTheme="majorHAnsi"/>
          <w:spacing w:val="-1"/>
          <w:sz w:val="20"/>
          <w:szCs w:val="20"/>
        </w:rPr>
        <w:t>бочої</w:t>
      </w:r>
      <w:r w:rsidRPr="000977F7">
        <w:rPr>
          <w:rFonts w:asciiTheme="majorHAnsi" w:hAnsiTheme="majorHAnsi"/>
          <w:spacing w:val="-11"/>
          <w:sz w:val="20"/>
          <w:szCs w:val="20"/>
        </w:rPr>
        <w:t xml:space="preserve"> </w:t>
      </w:r>
      <w:r w:rsidRPr="000977F7">
        <w:rPr>
          <w:rFonts w:asciiTheme="majorHAnsi" w:hAnsiTheme="majorHAnsi"/>
          <w:spacing w:val="-1"/>
          <w:sz w:val="20"/>
          <w:szCs w:val="20"/>
        </w:rPr>
        <w:t>сили,</w:t>
      </w:r>
      <w:r w:rsidRPr="000977F7">
        <w:rPr>
          <w:rFonts w:asciiTheme="majorHAnsi" w:hAnsiTheme="majorHAnsi"/>
          <w:spacing w:val="-9"/>
          <w:sz w:val="20"/>
          <w:szCs w:val="20"/>
        </w:rPr>
        <w:t xml:space="preserve"> </w:t>
      </w:r>
      <w:r w:rsidRPr="000977F7">
        <w:rPr>
          <w:rFonts w:asciiTheme="majorHAnsi" w:hAnsiTheme="majorHAnsi"/>
          <w:spacing w:val="-1"/>
          <w:sz w:val="20"/>
          <w:szCs w:val="20"/>
        </w:rPr>
        <w:t>запасних</w:t>
      </w:r>
      <w:r w:rsidRPr="000977F7">
        <w:rPr>
          <w:rFonts w:asciiTheme="majorHAnsi" w:hAnsiTheme="majorHAnsi"/>
          <w:spacing w:val="-12"/>
          <w:sz w:val="20"/>
          <w:szCs w:val="20"/>
        </w:rPr>
        <w:t xml:space="preserve"> </w:t>
      </w:r>
      <w:r w:rsidRPr="000977F7">
        <w:rPr>
          <w:rFonts w:asciiTheme="majorHAnsi" w:hAnsiTheme="majorHAnsi"/>
          <w:spacing w:val="-1"/>
          <w:sz w:val="20"/>
          <w:szCs w:val="20"/>
        </w:rPr>
        <w:t>частин,</w:t>
      </w:r>
      <w:r w:rsidRPr="000977F7">
        <w:rPr>
          <w:rFonts w:asciiTheme="majorHAnsi" w:hAnsiTheme="majorHAnsi"/>
          <w:spacing w:val="-7"/>
          <w:sz w:val="20"/>
          <w:szCs w:val="20"/>
        </w:rPr>
        <w:t xml:space="preserve"> </w:t>
      </w:r>
      <w:r w:rsidRPr="000977F7">
        <w:rPr>
          <w:rFonts w:asciiTheme="majorHAnsi" w:hAnsiTheme="majorHAnsi"/>
          <w:spacing w:val="-1"/>
          <w:sz w:val="20"/>
          <w:szCs w:val="20"/>
        </w:rPr>
        <w:t>технічних</w:t>
      </w:r>
      <w:r w:rsidRPr="000977F7">
        <w:rPr>
          <w:rFonts w:asciiTheme="majorHAnsi" w:hAnsiTheme="majorHAnsi"/>
          <w:spacing w:val="-12"/>
          <w:sz w:val="20"/>
          <w:szCs w:val="20"/>
        </w:rPr>
        <w:t xml:space="preserve"> </w:t>
      </w:r>
      <w:r w:rsidRPr="000977F7">
        <w:rPr>
          <w:rFonts w:asciiTheme="majorHAnsi" w:hAnsiTheme="majorHAnsi"/>
          <w:sz w:val="20"/>
          <w:szCs w:val="20"/>
        </w:rPr>
        <w:t>засобів</w:t>
      </w:r>
      <w:r w:rsidRPr="000977F7">
        <w:rPr>
          <w:rFonts w:asciiTheme="majorHAnsi" w:hAnsiTheme="majorHAnsi"/>
          <w:spacing w:val="-10"/>
          <w:sz w:val="20"/>
          <w:szCs w:val="20"/>
        </w:rPr>
        <w:t xml:space="preserve"> </w:t>
      </w:r>
      <w:r w:rsidRPr="000977F7">
        <w:rPr>
          <w:rFonts w:asciiTheme="majorHAnsi" w:hAnsiTheme="majorHAnsi"/>
          <w:sz w:val="20"/>
          <w:szCs w:val="20"/>
        </w:rPr>
        <w:t>і</w:t>
      </w:r>
      <w:r w:rsidRPr="000977F7">
        <w:rPr>
          <w:rFonts w:asciiTheme="majorHAnsi" w:hAnsiTheme="majorHAnsi"/>
          <w:spacing w:val="-9"/>
          <w:sz w:val="20"/>
          <w:szCs w:val="20"/>
        </w:rPr>
        <w:t xml:space="preserve"> </w:t>
      </w:r>
      <w:r w:rsidRPr="000977F7">
        <w:rPr>
          <w:rFonts w:asciiTheme="majorHAnsi" w:hAnsiTheme="majorHAnsi"/>
          <w:sz w:val="20"/>
          <w:szCs w:val="20"/>
        </w:rPr>
        <w:t>т.</w:t>
      </w:r>
      <w:r w:rsidRPr="000977F7">
        <w:rPr>
          <w:rFonts w:asciiTheme="majorHAnsi" w:hAnsiTheme="majorHAnsi"/>
          <w:spacing w:val="-9"/>
          <w:sz w:val="20"/>
          <w:szCs w:val="20"/>
        </w:rPr>
        <w:t xml:space="preserve"> </w:t>
      </w:r>
      <w:r w:rsidRPr="000977F7">
        <w:rPr>
          <w:rFonts w:asciiTheme="majorHAnsi" w:hAnsiTheme="majorHAnsi"/>
          <w:sz w:val="20"/>
          <w:szCs w:val="20"/>
        </w:rPr>
        <w:t>ін.</w:t>
      </w:r>
    </w:p>
    <w:p w14:paraId="64F8061D" w14:textId="77777777" w:rsidR="0097612F" w:rsidRPr="000977F7" w:rsidRDefault="0097612F" w:rsidP="00FD39A4">
      <w:pPr>
        <w:pStyle w:val="ac"/>
        <w:widowControl w:val="0"/>
        <w:numPr>
          <w:ilvl w:val="0"/>
          <w:numId w:val="65"/>
        </w:numPr>
        <w:tabs>
          <w:tab w:val="left" w:pos="284"/>
          <w:tab w:val="left" w:pos="464"/>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Якщо не обумовлено особливо, час простою виробу,</w:t>
      </w:r>
      <w:r w:rsidRPr="000977F7">
        <w:rPr>
          <w:rFonts w:asciiTheme="majorHAnsi" w:hAnsiTheme="majorHAnsi"/>
          <w:spacing w:val="-47"/>
          <w:sz w:val="20"/>
          <w:szCs w:val="20"/>
        </w:rPr>
        <w:t xml:space="preserve"> </w:t>
      </w:r>
      <w:r w:rsidRPr="000977F7">
        <w:rPr>
          <w:rFonts w:asciiTheme="majorHAnsi" w:hAnsiTheme="majorHAnsi"/>
          <w:sz w:val="20"/>
          <w:szCs w:val="20"/>
        </w:rPr>
        <w:t>що викликаний відмовою, відраховується з моменту</w:t>
      </w:r>
      <w:r w:rsidRPr="000977F7">
        <w:rPr>
          <w:rFonts w:asciiTheme="majorHAnsi" w:hAnsiTheme="majorHAnsi"/>
          <w:spacing w:val="1"/>
          <w:sz w:val="20"/>
          <w:szCs w:val="20"/>
        </w:rPr>
        <w:t xml:space="preserve"> </w:t>
      </w:r>
      <w:r w:rsidRPr="000977F7">
        <w:rPr>
          <w:rFonts w:asciiTheme="majorHAnsi" w:hAnsiTheme="majorHAnsi"/>
          <w:sz w:val="20"/>
          <w:szCs w:val="20"/>
        </w:rPr>
        <w:t>виявлення відмови. До часу простою входить будь який</w:t>
      </w:r>
      <w:r w:rsidRPr="000977F7">
        <w:rPr>
          <w:rFonts w:asciiTheme="majorHAnsi" w:hAnsiTheme="majorHAnsi"/>
          <w:spacing w:val="45"/>
          <w:sz w:val="20"/>
          <w:szCs w:val="20"/>
        </w:rPr>
        <w:t xml:space="preserve"> </w:t>
      </w:r>
      <w:r w:rsidRPr="000977F7">
        <w:rPr>
          <w:rFonts w:asciiTheme="majorHAnsi" w:hAnsiTheme="majorHAnsi"/>
          <w:sz w:val="20"/>
          <w:szCs w:val="20"/>
        </w:rPr>
        <w:t>додатковий</w:t>
      </w:r>
      <w:r w:rsidRPr="000977F7">
        <w:rPr>
          <w:rFonts w:asciiTheme="majorHAnsi" w:hAnsiTheme="majorHAnsi"/>
          <w:spacing w:val="45"/>
          <w:sz w:val="20"/>
          <w:szCs w:val="20"/>
        </w:rPr>
        <w:t xml:space="preserve"> </w:t>
      </w:r>
      <w:r w:rsidRPr="000977F7">
        <w:rPr>
          <w:rFonts w:asciiTheme="majorHAnsi" w:hAnsiTheme="majorHAnsi"/>
          <w:sz w:val="20"/>
          <w:szCs w:val="20"/>
        </w:rPr>
        <w:t>час,</w:t>
      </w:r>
      <w:r w:rsidRPr="000977F7">
        <w:rPr>
          <w:rFonts w:asciiTheme="majorHAnsi" w:hAnsiTheme="majorHAnsi"/>
          <w:spacing w:val="47"/>
          <w:sz w:val="20"/>
          <w:szCs w:val="20"/>
        </w:rPr>
        <w:t xml:space="preserve"> </w:t>
      </w:r>
      <w:r w:rsidRPr="000977F7">
        <w:rPr>
          <w:rFonts w:asciiTheme="majorHAnsi" w:hAnsiTheme="majorHAnsi"/>
          <w:sz w:val="20"/>
          <w:szCs w:val="20"/>
        </w:rPr>
        <w:t>необхідний</w:t>
      </w:r>
      <w:r w:rsidRPr="000977F7">
        <w:rPr>
          <w:rFonts w:asciiTheme="majorHAnsi" w:hAnsiTheme="majorHAnsi"/>
          <w:spacing w:val="45"/>
          <w:sz w:val="20"/>
          <w:szCs w:val="20"/>
        </w:rPr>
        <w:t xml:space="preserve"> </w:t>
      </w:r>
      <w:r w:rsidRPr="000977F7">
        <w:rPr>
          <w:rFonts w:asciiTheme="majorHAnsi" w:hAnsiTheme="majorHAnsi"/>
          <w:sz w:val="20"/>
          <w:szCs w:val="20"/>
        </w:rPr>
        <w:t>для</w:t>
      </w:r>
      <w:r w:rsidRPr="000977F7">
        <w:rPr>
          <w:rFonts w:asciiTheme="majorHAnsi" w:hAnsiTheme="majorHAnsi"/>
          <w:spacing w:val="49"/>
          <w:sz w:val="20"/>
          <w:szCs w:val="20"/>
        </w:rPr>
        <w:t xml:space="preserve"> </w:t>
      </w:r>
      <w:r w:rsidRPr="000977F7">
        <w:rPr>
          <w:rFonts w:asciiTheme="majorHAnsi" w:hAnsiTheme="majorHAnsi"/>
          <w:sz w:val="20"/>
          <w:szCs w:val="20"/>
        </w:rPr>
        <w:t>відновлення тих</w:t>
      </w:r>
      <w:r w:rsidRPr="000977F7">
        <w:rPr>
          <w:rFonts w:asciiTheme="majorHAnsi" w:hAnsiTheme="majorHAnsi"/>
          <w:spacing w:val="6"/>
          <w:sz w:val="20"/>
          <w:szCs w:val="20"/>
        </w:rPr>
        <w:t xml:space="preserve"> </w:t>
      </w:r>
      <w:r w:rsidRPr="000977F7">
        <w:rPr>
          <w:rFonts w:asciiTheme="majorHAnsi" w:hAnsiTheme="majorHAnsi"/>
          <w:sz w:val="20"/>
          <w:szCs w:val="20"/>
        </w:rPr>
        <w:t>же</w:t>
      </w:r>
      <w:r w:rsidRPr="000977F7">
        <w:rPr>
          <w:rFonts w:asciiTheme="majorHAnsi" w:hAnsiTheme="majorHAnsi"/>
          <w:spacing w:val="9"/>
          <w:sz w:val="20"/>
          <w:szCs w:val="20"/>
        </w:rPr>
        <w:t xml:space="preserve"> </w:t>
      </w:r>
      <w:r w:rsidRPr="000977F7">
        <w:rPr>
          <w:rFonts w:asciiTheme="majorHAnsi" w:hAnsiTheme="majorHAnsi"/>
          <w:sz w:val="20"/>
          <w:szCs w:val="20"/>
        </w:rPr>
        <w:t>робочих</w:t>
      </w:r>
      <w:r w:rsidRPr="000977F7">
        <w:rPr>
          <w:rFonts w:asciiTheme="majorHAnsi" w:hAnsiTheme="majorHAnsi"/>
          <w:spacing w:val="7"/>
          <w:sz w:val="20"/>
          <w:szCs w:val="20"/>
        </w:rPr>
        <w:t xml:space="preserve"> </w:t>
      </w:r>
      <w:r w:rsidRPr="000977F7">
        <w:rPr>
          <w:rFonts w:asciiTheme="majorHAnsi" w:hAnsiTheme="majorHAnsi"/>
          <w:sz w:val="20"/>
          <w:szCs w:val="20"/>
        </w:rPr>
        <w:t>функцій,</w:t>
      </w:r>
      <w:r w:rsidRPr="000977F7">
        <w:rPr>
          <w:rFonts w:asciiTheme="majorHAnsi" w:hAnsiTheme="majorHAnsi"/>
          <w:spacing w:val="9"/>
          <w:sz w:val="20"/>
          <w:szCs w:val="20"/>
        </w:rPr>
        <w:t xml:space="preserve"> </w:t>
      </w:r>
      <w:r w:rsidRPr="000977F7">
        <w:rPr>
          <w:rFonts w:asciiTheme="majorHAnsi" w:hAnsiTheme="majorHAnsi"/>
          <w:sz w:val="20"/>
          <w:szCs w:val="20"/>
        </w:rPr>
        <w:t>які</w:t>
      </w:r>
      <w:r w:rsidRPr="000977F7">
        <w:rPr>
          <w:rFonts w:asciiTheme="majorHAnsi" w:hAnsiTheme="majorHAnsi"/>
          <w:spacing w:val="9"/>
          <w:sz w:val="20"/>
          <w:szCs w:val="20"/>
        </w:rPr>
        <w:t xml:space="preserve"> </w:t>
      </w:r>
      <w:r w:rsidRPr="000977F7">
        <w:rPr>
          <w:rFonts w:asciiTheme="majorHAnsi" w:hAnsiTheme="majorHAnsi"/>
          <w:sz w:val="20"/>
          <w:szCs w:val="20"/>
        </w:rPr>
        <w:t>виконувались</w:t>
      </w:r>
      <w:r w:rsidRPr="000977F7">
        <w:rPr>
          <w:rFonts w:asciiTheme="majorHAnsi" w:hAnsiTheme="majorHAnsi"/>
          <w:spacing w:val="8"/>
          <w:sz w:val="20"/>
          <w:szCs w:val="20"/>
        </w:rPr>
        <w:t xml:space="preserve"> </w:t>
      </w:r>
      <w:r w:rsidRPr="000977F7">
        <w:rPr>
          <w:rFonts w:asciiTheme="majorHAnsi" w:hAnsiTheme="majorHAnsi"/>
          <w:sz w:val="20"/>
          <w:szCs w:val="20"/>
        </w:rPr>
        <w:t>до</w:t>
      </w:r>
      <w:r w:rsidRPr="000977F7">
        <w:rPr>
          <w:rFonts w:asciiTheme="majorHAnsi" w:hAnsiTheme="majorHAnsi"/>
          <w:spacing w:val="9"/>
          <w:sz w:val="20"/>
          <w:szCs w:val="20"/>
        </w:rPr>
        <w:t xml:space="preserve"> </w:t>
      </w:r>
      <w:r w:rsidRPr="000977F7">
        <w:rPr>
          <w:rFonts w:asciiTheme="majorHAnsi" w:hAnsiTheme="majorHAnsi"/>
          <w:sz w:val="20"/>
          <w:szCs w:val="20"/>
        </w:rPr>
        <w:t>появи</w:t>
      </w:r>
      <w:r w:rsidRPr="000977F7">
        <w:rPr>
          <w:rFonts w:asciiTheme="majorHAnsi" w:hAnsiTheme="majorHAnsi"/>
          <w:spacing w:val="-47"/>
          <w:sz w:val="20"/>
          <w:szCs w:val="20"/>
        </w:rPr>
        <w:t xml:space="preserve">      </w:t>
      </w:r>
      <w:r w:rsidRPr="000977F7">
        <w:rPr>
          <w:rFonts w:asciiTheme="majorHAnsi" w:hAnsiTheme="majorHAnsi"/>
          <w:sz w:val="20"/>
          <w:szCs w:val="20"/>
        </w:rPr>
        <w:t>відмови</w:t>
      </w:r>
    </w:p>
    <w:p w14:paraId="1A0F603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ЧАС ПРОСТОЮ ЗА ЗОВНІШНІМИ </w:t>
      </w:r>
    </w:p>
    <w:p w14:paraId="5AEB54C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ПРИЧИНА</w:t>
      </w:r>
      <w:r w:rsidRPr="000977F7">
        <w:rPr>
          <w:color w:val="auto"/>
          <w:spacing w:val="-47"/>
          <w:sz w:val="20"/>
          <w:szCs w:val="20"/>
        </w:rPr>
        <w:t xml:space="preserve"> </w:t>
      </w:r>
      <w:r w:rsidRPr="000977F7">
        <w:rPr>
          <w:color w:val="auto"/>
          <w:sz w:val="20"/>
          <w:szCs w:val="20"/>
        </w:rPr>
        <w:t>МИ</w:t>
      </w:r>
      <w:r w:rsidRPr="000977F7">
        <w:rPr>
          <w:color w:val="auto"/>
          <w:spacing w:val="1"/>
          <w:sz w:val="20"/>
          <w:szCs w:val="20"/>
        </w:rPr>
        <w:t xml:space="preserve"> </w:t>
      </w:r>
      <w:r w:rsidRPr="000977F7">
        <w:rPr>
          <w:color w:val="auto"/>
          <w:sz w:val="20"/>
          <w:szCs w:val="20"/>
        </w:rPr>
        <w:t>–</w:t>
      </w:r>
    </w:p>
    <w:p w14:paraId="1121447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EXTERNAL LOSS TIME;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ENVIRONNENTAL</w:t>
      </w:r>
      <w:r w:rsidRPr="004D2D14">
        <w:rPr>
          <w:rFonts w:asciiTheme="majorHAnsi" w:hAnsiTheme="majorHAnsi"/>
          <w:spacing w:val="-6"/>
          <w:sz w:val="20"/>
          <w:szCs w:val="20"/>
          <w:lang w:val="en-US"/>
        </w:rPr>
        <w:t xml:space="preserve"> </w:t>
      </w:r>
      <w:r w:rsidRPr="004D2D14">
        <w:rPr>
          <w:rFonts w:asciiTheme="majorHAnsi" w:hAnsiTheme="majorHAnsi"/>
          <w:sz w:val="20"/>
          <w:szCs w:val="20"/>
          <w:lang w:val="en-US"/>
        </w:rPr>
        <w:t>LOSS</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444C7D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 ушкодженого стану за рахунок дефектів, які існують</w:t>
      </w:r>
      <w:r w:rsidRPr="000977F7">
        <w:rPr>
          <w:rFonts w:asciiTheme="majorHAnsi" w:hAnsiTheme="majorHAnsi"/>
          <w:spacing w:val="-1"/>
          <w:sz w:val="20"/>
          <w:szCs w:val="20"/>
        </w:rPr>
        <w:t xml:space="preserve"> </w:t>
      </w:r>
      <w:r w:rsidRPr="000977F7">
        <w:rPr>
          <w:rFonts w:asciiTheme="majorHAnsi" w:hAnsiTheme="majorHAnsi"/>
          <w:sz w:val="20"/>
          <w:szCs w:val="20"/>
        </w:rPr>
        <w:t>поза функціонального блока</w:t>
      </w:r>
    </w:p>
    <w:p w14:paraId="4566EE5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 ПРОФІЛАКТИЧНОГО ТЕХНІЧНОГО ОБСЛУГОВУВАННЯ –</w:t>
      </w:r>
    </w:p>
    <w:p w14:paraId="18D228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PREVENTIVE</w:t>
      </w:r>
      <w:r w:rsidRPr="000977F7">
        <w:rPr>
          <w:rFonts w:asciiTheme="majorHAnsi" w:hAnsiTheme="majorHAnsi"/>
          <w:spacing w:val="-3"/>
          <w:sz w:val="20"/>
          <w:szCs w:val="20"/>
        </w:rPr>
        <w:t xml:space="preserve"> </w:t>
      </w:r>
      <w:r w:rsidRPr="000977F7">
        <w:rPr>
          <w:rFonts w:asciiTheme="majorHAnsi" w:hAnsiTheme="majorHAnsi"/>
          <w:sz w:val="20"/>
          <w:szCs w:val="20"/>
        </w:rPr>
        <w:t>MAINTENANCE</w:t>
      </w:r>
      <w:r w:rsidRPr="000977F7">
        <w:rPr>
          <w:rFonts w:asciiTheme="majorHAnsi" w:hAnsiTheme="majorHAnsi"/>
          <w:spacing w:val="-3"/>
          <w:sz w:val="20"/>
          <w:szCs w:val="20"/>
        </w:rPr>
        <w:t xml:space="preserve"> </w:t>
      </w:r>
      <w:r w:rsidRPr="000977F7">
        <w:rPr>
          <w:rFonts w:asciiTheme="majorHAnsi" w:hAnsiTheme="majorHAnsi"/>
          <w:sz w:val="20"/>
          <w:szCs w:val="20"/>
        </w:rPr>
        <w:t>TIME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5157F15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Період часу, на протязі якого виконуються операції з</w:t>
      </w:r>
      <w:r w:rsidRPr="000977F7">
        <w:rPr>
          <w:rFonts w:asciiTheme="majorHAnsi" w:hAnsiTheme="majorHAnsi"/>
          <w:spacing w:val="1"/>
          <w:sz w:val="20"/>
          <w:szCs w:val="20"/>
        </w:rPr>
        <w:t xml:space="preserve"> </w:t>
      </w:r>
      <w:r w:rsidRPr="000977F7">
        <w:rPr>
          <w:rFonts w:asciiTheme="majorHAnsi" w:hAnsiTheme="majorHAnsi"/>
          <w:sz w:val="20"/>
          <w:szCs w:val="20"/>
        </w:rPr>
        <w:t>профілактики об’єкта, включно з часом затримок, які</w:t>
      </w:r>
      <w:r w:rsidRPr="000977F7">
        <w:rPr>
          <w:rFonts w:asciiTheme="majorHAnsi" w:hAnsiTheme="majorHAnsi"/>
          <w:spacing w:val="1"/>
          <w:sz w:val="20"/>
          <w:szCs w:val="20"/>
        </w:rPr>
        <w:t xml:space="preserve"> </w:t>
      </w:r>
      <w:r w:rsidRPr="000977F7">
        <w:rPr>
          <w:rFonts w:asciiTheme="majorHAnsi" w:hAnsiTheme="majorHAnsi"/>
          <w:sz w:val="20"/>
          <w:szCs w:val="20"/>
        </w:rPr>
        <w:t>властиві цим</w:t>
      </w:r>
      <w:r w:rsidRPr="000977F7">
        <w:rPr>
          <w:rFonts w:asciiTheme="majorHAnsi" w:hAnsiTheme="majorHAnsi"/>
          <w:spacing w:val="1"/>
          <w:sz w:val="20"/>
          <w:szCs w:val="20"/>
        </w:rPr>
        <w:t xml:space="preserve"> </w:t>
      </w:r>
      <w:r w:rsidRPr="000977F7">
        <w:rPr>
          <w:rFonts w:asciiTheme="majorHAnsi" w:hAnsiTheme="majorHAnsi"/>
          <w:sz w:val="20"/>
          <w:szCs w:val="20"/>
        </w:rPr>
        <w:t>операціям</w:t>
      </w:r>
    </w:p>
    <w:p w14:paraId="35D15B7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37"/>
          <w:sz w:val="20"/>
          <w:szCs w:val="20"/>
        </w:rPr>
        <w:t xml:space="preserve"> </w:t>
      </w:r>
      <w:r w:rsidRPr="000977F7">
        <w:rPr>
          <w:rFonts w:asciiTheme="majorHAnsi" w:hAnsiTheme="majorHAnsi"/>
          <w:sz w:val="20"/>
          <w:szCs w:val="20"/>
        </w:rPr>
        <w:t>р</w:t>
      </w:r>
      <w:r w:rsidRPr="000977F7">
        <w:rPr>
          <w:rFonts w:asciiTheme="majorHAnsi" w:hAnsiTheme="majorHAnsi"/>
          <w:spacing w:val="41"/>
          <w:sz w:val="20"/>
          <w:szCs w:val="20"/>
        </w:rPr>
        <w:t xml:space="preserve"> </w:t>
      </w:r>
      <w:r w:rsidRPr="000977F7">
        <w:rPr>
          <w:rFonts w:asciiTheme="majorHAnsi" w:hAnsiTheme="majorHAnsi"/>
          <w:sz w:val="20"/>
          <w:szCs w:val="20"/>
        </w:rPr>
        <w:t>и</w:t>
      </w:r>
      <w:r w:rsidRPr="000977F7">
        <w:rPr>
          <w:rFonts w:asciiTheme="majorHAnsi" w:hAnsiTheme="majorHAnsi"/>
          <w:spacing w:val="37"/>
          <w:sz w:val="20"/>
          <w:szCs w:val="20"/>
        </w:rPr>
        <w:t xml:space="preserve"> </w:t>
      </w:r>
      <w:r w:rsidRPr="000977F7">
        <w:rPr>
          <w:rFonts w:asciiTheme="majorHAnsi" w:hAnsiTheme="majorHAnsi"/>
          <w:sz w:val="20"/>
          <w:szCs w:val="20"/>
        </w:rPr>
        <w:t>м</w:t>
      </w:r>
      <w:r w:rsidRPr="000977F7">
        <w:rPr>
          <w:rFonts w:asciiTheme="majorHAnsi" w:hAnsiTheme="majorHAnsi"/>
          <w:spacing w:val="40"/>
          <w:sz w:val="20"/>
          <w:szCs w:val="20"/>
        </w:rPr>
        <w:t xml:space="preserve"> </w:t>
      </w:r>
      <w:r w:rsidRPr="000977F7">
        <w:rPr>
          <w:rFonts w:asciiTheme="majorHAnsi" w:hAnsiTheme="majorHAnsi"/>
          <w:sz w:val="20"/>
          <w:szCs w:val="20"/>
        </w:rPr>
        <w:t>і</w:t>
      </w:r>
      <w:r w:rsidRPr="000977F7">
        <w:rPr>
          <w:rFonts w:asciiTheme="majorHAnsi" w:hAnsiTheme="majorHAnsi"/>
          <w:spacing w:val="40"/>
          <w:sz w:val="20"/>
          <w:szCs w:val="20"/>
        </w:rPr>
        <w:t xml:space="preserve"> </w:t>
      </w:r>
      <w:r w:rsidRPr="000977F7">
        <w:rPr>
          <w:rFonts w:asciiTheme="majorHAnsi" w:hAnsiTheme="majorHAnsi"/>
          <w:sz w:val="20"/>
          <w:szCs w:val="20"/>
        </w:rPr>
        <w:t>т</w:t>
      </w:r>
      <w:r w:rsidRPr="000977F7">
        <w:rPr>
          <w:rFonts w:asciiTheme="majorHAnsi" w:hAnsiTheme="majorHAnsi"/>
          <w:spacing w:val="40"/>
          <w:sz w:val="20"/>
          <w:szCs w:val="20"/>
        </w:rPr>
        <w:t xml:space="preserve"> </w:t>
      </w:r>
      <w:r w:rsidRPr="000977F7">
        <w:rPr>
          <w:rFonts w:asciiTheme="majorHAnsi" w:hAnsiTheme="majorHAnsi"/>
          <w:sz w:val="20"/>
          <w:szCs w:val="20"/>
        </w:rPr>
        <w:t>к</w:t>
      </w:r>
      <w:r w:rsidRPr="000977F7">
        <w:rPr>
          <w:rFonts w:asciiTheme="majorHAnsi" w:hAnsiTheme="majorHAnsi"/>
          <w:spacing w:val="36"/>
          <w:sz w:val="20"/>
          <w:szCs w:val="20"/>
        </w:rPr>
        <w:t xml:space="preserve"> </w:t>
      </w:r>
      <w:r w:rsidRPr="000977F7">
        <w:rPr>
          <w:rFonts w:asciiTheme="majorHAnsi" w:hAnsiTheme="majorHAnsi"/>
          <w:spacing w:val="10"/>
          <w:sz w:val="20"/>
          <w:szCs w:val="20"/>
        </w:rPr>
        <w:t>а:</w:t>
      </w:r>
    </w:p>
    <w:p w14:paraId="3BAD9534" w14:textId="77777777" w:rsidR="0097612F" w:rsidRPr="000977F7" w:rsidRDefault="0097612F" w:rsidP="00FD39A4">
      <w:pPr>
        <w:pStyle w:val="ac"/>
        <w:widowControl w:val="0"/>
        <w:numPr>
          <w:ilvl w:val="1"/>
          <w:numId w:val="65"/>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Контроль</w:t>
      </w:r>
      <w:r w:rsidRPr="000977F7">
        <w:rPr>
          <w:rFonts w:asciiTheme="majorHAnsi" w:hAnsiTheme="majorHAnsi"/>
          <w:spacing w:val="1"/>
          <w:sz w:val="20"/>
          <w:szCs w:val="20"/>
        </w:rPr>
        <w:t xml:space="preserve"> </w:t>
      </w:r>
      <w:r w:rsidRPr="000977F7">
        <w:rPr>
          <w:rFonts w:asciiTheme="majorHAnsi" w:hAnsiTheme="majorHAnsi"/>
          <w:sz w:val="20"/>
          <w:szCs w:val="20"/>
        </w:rPr>
        <w:t>працездатності,</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є</w:t>
      </w:r>
      <w:r w:rsidRPr="000977F7">
        <w:rPr>
          <w:rFonts w:asciiTheme="majorHAnsi" w:hAnsiTheme="majorHAnsi"/>
          <w:spacing w:val="1"/>
          <w:sz w:val="20"/>
          <w:szCs w:val="20"/>
        </w:rPr>
        <w:t xml:space="preserve"> </w:t>
      </w:r>
      <w:r w:rsidRPr="000977F7">
        <w:rPr>
          <w:rFonts w:asciiTheme="majorHAnsi" w:hAnsiTheme="majorHAnsi"/>
          <w:sz w:val="20"/>
          <w:szCs w:val="20"/>
        </w:rPr>
        <w:t>часткою</w:t>
      </w:r>
      <w:r w:rsidRPr="000977F7">
        <w:rPr>
          <w:rFonts w:asciiTheme="majorHAnsi" w:hAnsiTheme="majorHAnsi"/>
          <w:spacing w:val="1"/>
          <w:sz w:val="20"/>
          <w:szCs w:val="20"/>
        </w:rPr>
        <w:t xml:space="preserve"> </w:t>
      </w:r>
      <w:r w:rsidRPr="000977F7">
        <w:rPr>
          <w:rFonts w:asciiTheme="majorHAnsi" w:hAnsiTheme="majorHAnsi"/>
          <w:sz w:val="20"/>
          <w:szCs w:val="20"/>
        </w:rPr>
        <w:t>часу</w:t>
      </w:r>
      <w:r w:rsidRPr="000977F7">
        <w:rPr>
          <w:rFonts w:asciiTheme="majorHAnsi" w:hAnsiTheme="majorHAnsi"/>
          <w:spacing w:val="1"/>
          <w:sz w:val="20"/>
          <w:szCs w:val="20"/>
        </w:rPr>
        <w:t xml:space="preserve"> </w:t>
      </w:r>
      <w:r w:rsidRPr="000977F7">
        <w:rPr>
          <w:rFonts w:asciiTheme="majorHAnsi" w:hAnsiTheme="majorHAnsi"/>
          <w:sz w:val="20"/>
          <w:szCs w:val="20"/>
        </w:rPr>
        <w:t>профілактичного</w:t>
      </w:r>
      <w:r w:rsidRPr="000977F7">
        <w:rPr>
          <w:rFonts w:asciiTheme="majorHAnsi" w:hAnsiTheme="majorHAnsi"/>
          <w:spacing w:val="1"/>
          <w:sz w:val="20"/>
          <w:szCs w:val="20"/>
        </w:rPr>
        <w:t xml:space="preserve"> </w:t>
      </w:r>
      <w:r w:rsidRPr="000977F7">
        <w:rPr>
          <w:rFonts w:asciiTheme="majorHAnsi" w:hAnsiTheme="majorHAnsi"/>
          <w:sz w:val="20"/>
          <w:szCs w:val="20"/>
        </w:rPr>
        <w:t>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виконуватися</w:t>
      </w:r>
      <w:r w:rsidRPr="000977F7">
        <w:rPr>
          <w:rFonts w:asciiTheme="majorHAnsi" w:hAnsiTheme="majorHAnsi"/>
          <w:spacing w:val="-2"/>
          <w:sz w:val="20"/>
          <w:szCs w:val="20"/>
        </w:rPr>
        <w:t xml:space="preserve"> </w:t>
      </w:r>
      <w:r w:rsidRPr="000977F7">
        <w:rPr>
          <w:rFonts w:asciiTheme="majorHAnsi" w:hAnsiTheme="majorHAnsi"/>
          <w:sz w:val="20"/>
          <w:szCs w:val="20"/>
        </w:rPr>
        <w:t>як вручну, так</w:t>
      </w:r>
      <w:r w:rsidRPr="000977F7">
        <w:rPr>
          <w:rFonts w:asciiTheme="majorHAnsi" w:hAnsiTheme="majorHAnsi"/>
          <w:spacing w:val="-2"/>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автоматично</w:t>
      </w:r>
    </w:p>
    <w:p w14:paraId="0D41CA9A" w14:textId="77777777" w:rsidR="0097612F" w:rsidRPr="000977F7" w:rsidRDefault="0097612F" w:rsidP="00FD39A4">
      <w:pPr>
        <w:pStyle w:val="ac"/>
        <w:widowControl w:val="0"/>
        <w:numPr>
          <w:ilvl w:val="1"/>
          <w:numId w:val="65"/>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 часу профілактичного технічного обслуговування не входять витрати часу, необхідні для ремонту</w:t>
      </w:r>
      <w:r w:rsidRPr="000977F7">
        <w:rPr>
          <w:rFonts w:asciiTheme="majorHAnsi" w:hAnsiTheme="majorHAnsi"/>
          <w:spacing w:val="1"/>
          <w:sz w:val="20"/>
          <w:szCs w:val="20"/>
        </w:rPr>
        <w:t xml:space="preserve"> </w:t>
      </w:r>
      <w:r w:rsidRPr="000977F7">
        <w:rPr>
          <w:rFonts w:asciiTheme="majorHAnsi" w:hAnsiTheme="majorHAnsi"/>
          <w:sz w:val="20"/>
          <w:szCs w:val="20"/>
        </w:rPr>
        <w:t>частини</w:t>
      </w:r>
      <w:r w:rsidRPr="000977F7">
        <w:rPr>
          <w:rFonts w:asciiTheme="majorHAnsi" w:hAnsiTheme="majorHAnsi"/>
          <w:spacing w:val="1"/>
          <w:sz w:val="20"/>
          <w:szCs w:val="20"/>
        </w:rPr>
        <w:t xml:space="preserve"> </w:t>
      </w:r>
      <w:r w:rsidRPr="000977F7">
        <w:rPr>
          <w:rFonts w:asciiTheme="majorHAnsi" w:hAnsiTheme="majorHAnsi"/>
          <w:sz w:val="20"/>
          <w:szCs w:val="20"/>
        </w:rPr>
        <w:t>об’єкту,</w:t>
      </w:r>
      <w:r w:rsidRPr="000977F7">
        <w:rPr>
          <w:rFonts w:asciiTheme="majorHAnsi" w:hAnsiTheme="majorHAnsi"/>
          <w:spacing w:val="1"/>
          <w:sz w:val="20"/>
          <w:szCs w:val="20"/>
        </w:rPr>
        <w:t xml:space="preserve"> </w:t>
      </w:r>
      <w:r w:rsidRPr="000977F7">
        <w:rPr>
          <w:rFonts w:asciiTheme="majorHAnsi" w:hAnsiTheme="majorHAnsi"/>
          <w:sz w:val="20"/>
          <w:szCs w:val="20"/>
        </w:rPr>
        <w:t>яка</w:t>
      </w:r>
      <w:r w:rsidRPr="000977F7">
        <w:rPr>
          <w:rFonts w:asciiTheme="majorHAnsi" w:hAnsiTheme="majorHAnsi"/>
          <w:spacing w:val="1"/>
          <w:sz w:val="20"/>
          <w:szCs w:val="20"/>
        </w:rPr>
        <w:t xml:space="preserve"> </w:t>
      </w:r>
      <w:r w:rsidRPr="000977F7">
        <w:rPr>
          <w:rFonts w:asciiTheme="majorHAnsi" w:hAnsiTheme="majorHAnsi"/>
          <w:sz w:val="20"/>
          <w:szCs w:val="20"/>
        </w:rPr>
        <w:t>замінюється</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ході</w:t>
      </w:r>
      <w:r w:rsidRPr="000977F7">
        <w:rPr>
          <w:rFonts w:asciiTheme="majorHAnsi" w:hAnsiTheme="majorHAnsi"/>
          <w:spacing w:val="-47"/>
          <w:sz w:val="20"/>
          <w:szCs w:val="20"/>
        </w:rPr>
        <w:t xml:space="preserve"> </w:t>
      </w:r>
      <w:r w:rsidRPr="000977F7">
        <w:rPr>
          <w:rFonts w:asciiTheme="majorHAnsi" w:hAnsiTheme="majorHAnsi"/>
          <w:sz w:val="20"/>
          <w:szCs w:val="20"/>
        </w:rPr>
        <w:t>виконання</w:t>
      </w:r>
      <w:r w:rsidRPr="000977F7">
        <w:rPr>
          <w:rFonts w:asciiTheme="majorHAnsi" w:hAnsiTheme="majorHAnsi"/>
          <w:spacing w:val="1"/>
          <w:sz w:val="20"/>
          <w:szCs w:val="20"/>
        </w:rPr>
        <w:t xml:space="preserve"> </w:t>
      </w:r>
      <w:r w:rsidRPr="000977F7">
        <w:rPr>
          <w:rFonts w:asciiTheme="majorHAnsi" w:hAnsiTheme="majorHAnsi"/>
          <w:sz w:val="20"/>
          <w:szCs w:val="20"/>
        </w:rPr>
        <w:t>цього обслуговування</w:t>
      </w:r>
    </w:p>
    <w:p w14:paraId="3006403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w:t>
      </w:r>
      <w:r w:rsidRPr="000977F7">
        <w:rPr>
          <w:color w:val="auto"/>
          <w:spacing w:val="-5"/>
          <w:sz w:val="20"/>
          <w:szCs w:val="20"/>
        </w:rPr>
        <w:t xml:space="preserve"> </w:t>
      </w:r>
      <w:r w:rsidRPr="000977F7">
        <w:rPr>
          <w:color w:val="auto"/>
          <w:sz w:val="20"/>
          <w:szCs w:val="20"/>
        </w:rPr>
        <w:t>СИСТЕМНОГО</w:t>
      </w:r>
      <w:r w:rsidRPr="000977F7">
        <w:rPr>
          <w:color w:val="auto"/>
          <w:spacing w:val="-4"/>
          <w:sz w:val="20"/>
          <w:szCs w:val="20"/>
        </w:rPr>
        <w:t xml:space="preserve"> </w:t>
      </w:r>
      <w:r w:rsidRPr="000977F7">
        <w:rPr>
          <w:color w:val="auto"/>
          <w:sz w:val="20"/>
          <w:szCs w:val="20"/>
        </w:rPr>
        <w:t>ПЕРЕВІРЮВАННЯ</w:t>
      </w:r>
      <w:r w:rsidRPr="000977F7">
        <w:rPr>
          <w:color w:val="auto"/>
          <w:spacing w:val="-2"/>
          <w:sz w:val="20"/>
          <w:szCs w:val="20"/>
        </w:rPr>
        <w:t xml:space="preserve"> </w:t>
      </w:r>
      <w:r w:rsidRPr="000977F7">
        <w:rPr>
          <w:color w:val="auto"/>
          <w:sz w:val="20"/>
          <w:szCs w:val="20"/>
        </w:rPr>
        <w:t>–</w:t>
      </w:r>
    </w:p>
    <w:p w14:paraId="7AD9BE9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SYSTEM</w:t>
      </w:r>
      <w:r w:rsidRPr="000977F7">
        <w:rPr>
          <w:rFonts w:asciiTheme="majorHAnsi" w:hAnsiTheme="majorHAnsi"/>
          <w:spacing w:val="-2"/>
          <w:sz w:val="20"/>
          <w:szCs w:val="20"/>
        </w:rPr>
        <w:t xml:space="preserve"> </w:t>
      </w:r>
      <w:r w:rsidRPr="000977F7">
        <w:rPr>
          <w:rFonts w:asciiTheme="majorHAnsi" w:hAnsiTheme="majorHAnsi"/>
          <w:sz w:val="20"/>
          <w:szCs w:val="20"/>
        </w:rPr>
        <w:t>TEST</w:t>
      </w:r>
      <w:r w:rsidRPr="000977F7">
        <w:rPr>
          <w:rFonts w:asciiTheme="majorHAnsi" w:hAnsiTheme="majorHAnsi"/>
          <w:spacing w:val="-1"/>
          <w:sz w:val="20"/>
          <w:szCs w:val="20"/>
        </w:rPr>
        <w:t xml:space="preserve"> </w:t>
      </w:r>
      <w:r w:rsidRPr="000977F7">
        <w:rPr>
          <w:rFonts w:asciiTheme="majorHAnsi" w:hAnsiTheme="majorHAnsi"/>
          <w:sz w:val="20"/>
          <w:szCs w:val="20"/>
        </w:rPr>
        <w:t>TIME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0E718D7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часу корисної роботи, протягом якого функційний</w:t>
      </w:r>
      <w:r w:rsidRPr="000977F7">
        <w:rPr>
          <w:rFonts w:asciiTheme="majorHAnsi" w:hAnsiTheme="majorHAnsi"/>
          <w:spacing w:val="-4"/>
          <w:sz w:val="20"/>
          <w:szCs w:val="20"/>
        </w:rPr>
        <w:t xml:space="preserve"> </w:t>
      </w:r>
      <w:r w:rsidRPr="000977F7">
        <w:rPr>
          <w:rFonts w:asciiTheme="majorHAnsi" w:hAnsiTheme="majorHAnsi"/>
          <w:sz w:val="20"/>
          <w:szCs w:val="20"/>
        </w:rPr>
        <w:t>модуль</w:t>
      </w:r>
      <w:r w:rsidRPr="000977F7">
        <w:rPr>
          <w:rFonts w:asciiTheme="majorHAnsi" w:hAnsiTheme="majorHAnsi"/>
          <w:spacing w:val="-2"/>
          <w:sz w:val="20"/>
          <w:szCs w:val="20"/>
        </w:rPr>
        <w:t xml:space="preserve"> </w:t>
      </w:r>
      <w:r w:rsidRPr="000977F7">
        <w:rPr>
          <w:rFonts w:asciiTheme="majorHAnsi" w:hAnsiTheme="majorHAnsi"/>
          <w:sz w:val="20"/>
          <w:szCs w:val="20"/>
        </w:rPr>
        <w:t>(систему)</w:t>
      </w:r>
      <w:r w:rsidRPr="000977F7">
        <w:rPr>
          <w:rFonts w:asciiTheme="majorHAnsi" w:hAnsiTheme="majorHAnsi"/>
          <w:spacing w:val="-2"/>
          <w:sz w:val="20"/>
          <w:szCs w:val="20"/>
        </w:rPr>
        <w:t xml:space="preserve"> </w:t>
      </w:r>
      <w:r w:rsidRPr="000977F7">
        <w:rPr>
          <w:rFonts w:asciiTheme="majorHAnsi" w:hAnsiTheme="majorHAnsi"/>
          <w:sz w:val="20"/>
          <w:szCs w:val="20"/>
        </w:rPr>
        <w:t>перевіряють</w:t>
      </w:r>
      <w:r w:rsidRPr="000977F7">
        <w:rPr>
          <w:rFonts w:asciiTheme="majorHAnsi" w:hAnsiTheme="majorHAnsi"/>
          <w:spacing w:val="-2"/>
          <w:sz w:val="20"/>
          <w:szCs w:val="20"/>
        </w:rPr>
        <w:t xml:space="preserve"> </w:t>
      </w:r>
      <w:r w:rsidRPr="000977F7">
        <w:rPr>
          <w:rFonts w:asciiTheme="majorHAnsi" w:hAnsiTheme="majorHAnsi"/>
          <w:sz w:val="20"/>
          <w:szCs w:val="20"/>
        </w:rPr>
        <w:t>на</w:t>
      </w:r>
      <w:r w:rsidRPr="000977F7">
        <w:rPr>
          <w:rFonts w:asciiTheme="majorHAnsi" w:hAnsiTheme="majorHAnsi"/>
          <w:spacing w:val="-2"/>
          <w:sz w:val="20"/>
          <w:szCs w:val="20"/>
        </w:rPr>
        <w:t xml:space="preserve"> </w:t>
      </w:r>
      <w:r w:rsidRPr="000977F7">
        <w:rPr>
          <w:rFonts w:asciiTheme="majorHAnsi" w:hAnsiTheme="majorHAnsi"/>
          <w:sz w:val="20"/>
          <w:szCs w:val="20"/>
        </w:rPr>
        <w:t>готовність</w:t>
      </w:r>
    </w:p>
    <w:p w14:paraId="354BA86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ISO/IEC</w:t>
      </w:r>
      <w:r w:rsidRPr="000977F7">
        <w:rPr>
          <w:rFonts w:asciiTheme="majorHAnsi" w:hAnsiTheme="majorHAnsi"/>
          <w:i/>
          <w:spacing w:val="-3"/>
          <w:sz w:val="20"/>
          <w:szCs w:val="20"/>
        </w:rPr>
        <w:t xml:space="preserve"> </w:t>
      </w:r>
      <w:r w:rsidRPr="000977F7">
        <w:rPr>
          <w:rFonts w:asciiTheme="majorHAnsi" w:hAnsiTheme="majorHAnsi"/>
          <w:i/>
          <w:sz w:val="20"/>
          <w:szCs w:val="20"/>
        </w:rPr>
        <w:t>2382:2017</w:t>
      </w:r>
    </w:p>
    <w:p w14:paraId="328933E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w w:val="95"/>
          <w:sz w:val="20"/>
          <w:szCs w:val="20"/>
        </w:rPr>
        <w:t>ЧАС</w:t>
      </w:r>
      <w:r w:rsidRPr="000977F7">
        <w:rPr>
          <w:color w:val="auto"/>
          <w:spacing w:val="2"/>
          <w:w w:val="95"/>
          <w:sz w:val="20"/>
          <w:szCs w:val="20"/>
        </w:rPr>
        <w:t xml:space="preserve"> </w:t>
      </w:r>
      <w:r w:rsidRPr="000977F7">
        <w:rPr>
          <w:color w:val="auto"/>
          <w:w w:val="95"/>
          <w:sz w:val="20"/>
          <w:szCs w:val="20"/>
        </w:rPr>
        <w:t>СПРАВНОГО</w:t>
      </w:r>
      <w:r w:rsidRPr="000977F7">
        <w:rPr>
          <w:color w:val="auto"/>
          <w:spacing w:val="4"/>
          <w:w w:val="95"/>
          <w:sz w:val="20"/>
          <w:szCs w:val="20"/>
        </w:rPr>
        <w:t xml:space="preserve"> </w:t>
      </w:r>
      <w:r w:rsidRPr="000977F7">
        <w:rPr>
          <w:color w:val="auto"/>
          <w:w w:val="95"/>
          <w:sz w:val="20"/>
          <w:szCs w:val="20"/>
        </w:rPr>
        <w:t>(НЕУШКОДЖЕНОГО)</w:t>
      </w:r>
      <w:r w:rsidRPr="000977F7">
        <w:rPr>
          <w:color w:val="auto"/>
          <w:spacing w:val="4"/>
          <w:w w:val="95"/>
          <w:sz w:val="20"/>
          <w:szCs w:val="20"/>
        </w:rPr>
        <w:t xml:space="preserve"> </w:t>
      </w:r>
      <w:r w:rsidRPr="000977F7">
        <w:rPr>
          <w:color w:val="auto"/>
          <w:w w:val="95"/>
          <w:sz w:val="20"/>
          <w:szCs w:val="20"/>
        </w:rPr>
        <w:t>СТАНУ</w:t>
      </w:r>
      <w:r w:rsidRPr="000977F7">
        <w:rPr>
          <w:color w:val="auto"/>
          <w:spacing w:val="-1"/>
          <w:w w:val="95"/>
          <w:sz w:val="20"/>
          <w:szCs w:val="20"/>
        </w:rPr>
        <w:t xml:space="preserve"> </w:t>
      </w:r>
      <w:r w:rsidRPr="000977F7">
        <w:rPr>
          <w:color w:val="auto"/>
          <w:w w:val="95"/>
          <w:sz w:val="20"/>
          <w:szCs w:val="20"/>
        </w:rPr>
        <w:t>–</w:t>
      </w:r>
    </w:p>
    <w:p w14:paraId="54997B7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UP</w:t>
      </w:r>
      <w:r w:rsidRPr="000977F7">
        <w:rPr>
          <w:rFonts w:asciiTheme="majorHAnsi" w:hAnsiTheme="majorHAnsi"/>
          <w:spacing w:val="-1"/>
          <w:sz w:val="20"/>
          <w:szCs w:val="20"/>
        </w:rPr>
        <w:t xml:space="preserve"> </w:t>
      </w:r>
      <w:r w:rsidRPr="000977F7">
        <w:rPr>
          <w:rFonts w:asciiTheme="majorHAnsi" w:hAnsiTheme="majorHAnsi"/>
          <w:sz w:val="20"/>
          <w:szCs w:val="20"/>
        </w:rPr>
        <w:t>TIME</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1F2152F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Період часу, на протязі якого виріб здатний виконувати</w:t>
      </w:r>
      <w:r w:rsidRPr="000977F7">
        <w:rPr>
          <w:rFonts w:asciiTheme="majorHAnsi" w:hAnsiTheme="majorHAnsi"/>
          <w:spacing w:val="-2"/>
          <w:sz w:val="20"/>
          <w:szCs w:val="20"/>
        </w:rPr>
        <w:t xml:space="preserve"> </w:t>
      </w:r>
      <w:r w:rsidRPr="000977F7">
        <w:rPr>
          <w:rFonts w:asciiTheme="majorHAnsi" w:hAnsiTheme="majorHAnsi"/>
          <w:sz w:val="20"/>
          <w:szCs w:val="20"/>
        </w:rPr>
        <w:t>функції, що</w:t>
      </w:r>
      <w:r w:rsidRPr="000977F7">
        <w:rPr>
          <w:rFonts w:asciiTheme="majorHAnsi" w:hAnsiTheme="majorHAnsi"/>
          <w:spacing w:val="1"/>
          <w:sz w:val="20"/>
          <w:szCs w:val="20"/>
        </w:rPr>
        <w:t xml:space="preserve"> </w:t>
      </w:r>
      <w:r w:rsidRPr="000977F7">
        <w:rPr>
          <w:rFonts w:asciiTheme="majorHAnsi" w:hAnsiTheme="majorHAnsi"/>
          <w:sz w:val="20"/>
          <w:szCs w:val="20"/>
        </w:rPr>
        <w:t>вимагаються</w:t>
      </w:r>
    </w:p>
    <w:p w14:paraId="5C78174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w:t>
      </w:r>
      <w:r w:rsidRPr="000977F7">
        <w:rPr>
          <w:color w:val="auto"/>
          <w:spacing w:val="-5"/>
          <w:sz w:val="20"/>
          <w:szCs w:val="20"/>
        </w:rPr>
        <w:t xml:space="preserve"> </w:t>
      </w:r>
      <w:r w:rsidRPr="000977F7">
        <w:rPr>
          <w:color w:val="auto"/>
          <w:sz w:val="20"/>
          <w:szCs w:val="20"/>
        </w:rPr>
        <w:t>ТЕХНІЧНОГО</w:t>
      </w:r>
      <w:r w:rsidRPr="000977F7">
        <w:rPr>
          <w:color w:val="auto"/>
          <w:spacing w:val="-3"/>
          <w:sz w:val="20"/>
          <w:szCs w:val="20"/>
        </w:rPr>
        <w:t xml:space="preserve"> </w:t>
      </w:r>
      <w:r w:rsidRPr="000977F7">
        <w:rPr>
          <w:color w:val="auto"/>
          <w:sz w:val="20"/>
          <w:szCs w:val="20"/>
        </w:rPr>
        <w:t>ОБСЛУГОВУВАННЯ-</w:t>
      </w:r>
    </w:p>
    <w:p w14:paraId="062116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MAINTENANCE</w:t>
      </w:r>
      <w:r w:rsidRPr="000977F7">
        <w:rPr>
          <w:rFonts w:asciiTheme="majorHAnsi" w:hAnsiTheme="majorHAnsi"/>
          <w:spacing w:val="-2"/>
          <w:sz w:val="20"/>
          <w:szCs w:val="20"/>
        </w:rPr>
        <w:t xml:space="preserve"> </w:t>
      </w:r>
      <w:r w:rsidRPr="000977F7">
        <w:rPr>
          <w:rFonts w:asciiTheme="majorHAnsi" w:hAnsiTheme="majorHAnsi"/>
          <w:sz w:val="20"/>
          <w:szCs w:val="20"/>
        </w:rPr>
        <w:t>TIME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E743F1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Період часу, на протязі якого виконуються операції з</w:t>
      </w:r>
      <w:r w:rsidRPr="000977F7">
        <w:rPr>
          <w:rFonts w:asciiTheme="majorHAnsi" w:hAnsiTheme="majorHAnsi"/>
          <w:spacing w:val="1"/>
          <w:sz w:val="20"/>
          <w:szCs w:val="20"/>
        </w:rPr>
        <w:t xml:space="preserve"> </w:t>
      </w:r>
      <w:r w:rsidRPr="000977F7">
        <w:rPr>
          <w:rFonts w:asciiTheme="majorHAnsi" w:hAnsiTheme="majorHAnsi"/>
          <w:sz w:val="20"/>
          <w:szCs w:val="20"/>
        </w:rPr>
        <w:t>технічного обслуговування об’єкта вручну або автоматично,</w:t>
      </w:r>
      <w:r w:rsidRPr="000977F7">
        <w:rPr>
          <w:rFonts w:asciiTheme="majorHAnsi" w:hAnsiTheme="majorHAnsi"/>
          <w:spacing w:val="1"/>
          <w:sz w:val="20"/>
          <w:szCs w:val="20"/>
        </w:rPr>
        <w:t xml:space="preserve"> </w:t>
      </w:r>
      <w:r w:rsidRPr="000977F7">
        <w:rPr>
          <w:rFonts w:asciiTheme="majorHAnsi" w:hAnsiTheme="majorHAnsi"/>
          <w:sz w:val="20"/>
          <w:szCs w:val="20"/>
        </w:rPr>
        <w:t>виключно</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часом</w:t>
      </w:r>
      <w:r w:rsidRPr="000977F7">
        <w:rPr>
          <w:rFonts w:asciiTheme="majorHAnsi" w:hAnsiTheme="majorHAnsi"/>
          <w:spacing w:val="1"/>
          <w:sz w:val="20"/>
          <w:szCs w:val="20"/>
        </w:rPr>
        <w:t xml:space="preserve"> </w:t>
      </w:r>
      <w:r w:rsidRPr="000977F7">
        <w:rPr>
          <w:rFonts w:asciiTheme="majorHAnsi" w:hAnsiTheme="majorHAnsi"/>
          <w:sz w:val="20"/>
          <w:szCs w:val="20"/>
        </w:rPr>
        <w:t>затримок,</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50"/>
          <w:sz w:val="20"/>
          <w:szCs w:val="20"/>
        </w:rPr>
        <w:t xml:space="preserve"> </w:t>
      </w:r>
      <w:r w:rsidRPr="000977F7">
        <w:rPr>
          <w:rFonts w:asciiTheme="majorHAnsi" w:hAnsiTheme="majorHAnsi"/>
          <w:sz w:val="20"/>
          <w:szCs w:val="20"/>
        </w:rPr>
        <w:t>властиві</w:t>
      </w:r>
      <w:r w:rsidRPr="000977F7">
        <w:rPr>
          <w:rFonts w:asciiTheme="majorHAnsi" w:hAnsiTheme="majorHAnsi"/>
          <w:spacing w:val="1"/>
          <w:sz w:val="20"/>
          <w:szCs w:val="20"/>
        </w:rPr>
        <w:t xml:space="preserve"> </w:t>
      </w:r>
      <w:r w:rsidRPr="000977F7">
        <w:rPr>
          <w:rFonts w:asciiTheme="majorHAnsi" w:hAnsiTheme="majorHAnsi"/>
          <w:sz w:val="20"/>
          <w:szCs w:val="20"/>
        </w:rPr>
        <w:t>цим операціям</w:t>
      </w:r>
    </w:p>
    <w:p w14:paraId="0CA52AE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37"/>
          <w:sz w:val="20"/>
          <w:szCs w:val="20"/>
        </w:rPr>
        <w:t xml:space="preserve"> </w:t>
      </w:r>
      <w:r w:rsidRPr="000977F7">
        <w:rPr>
          <w:rFonts w:asciiTheme="majorHAnsi" w:hAnsiTheme="majorHAnsi"/>
          <w:sz w:val="20"/>
          <w:szCs w:val="20"/>
        </w:rPr>
        <w:t>р</w:t>
      </w:r>
      <w:r w:rsidRPr="000977F7">
        <w:rPr>
          <w:rFonts w:asciiTheme="majorHAnsi" w:hAnsiTheme="majorHAnsi"/>
          <w:spacing w:val="41"/>
          <w:sz w:val="20"/>
          <w:szCs w:val="20"/>
        </w:rPr>
        <w:t xml:space="preserve"> </w:t>
      </w:r>
      <w:r w:rsidRPr="000977F7">
        <w:rPr>
          <w:rFonts w:asciiTheme="majorHAnsi" w:hAnsiTheme="majorHAnsi"/>
          <w:sz w:val="20"/>
          <w:szCs w:val="20"/>
        </w:rPr>
        <w:t>и</w:t>
      </w:r>
      <w:r w:rsidRPr="000977F7">
        <w:rPr>
          <w:rFonts w:asciiTheme="majorHAnsi" w:hAnsiTheme="majorHAnsi"/>
          <w:spacing w:val="37"/>
          <w:sz w:val="20"/>
          <w:szCs w:val="20"/>
        </w:rPr>
        <w:t xml:space="preserve"> </w:t>
      </w:r>
      <w:r w:rsidRPr="000977F7">
        <w:rPr>
          <w:rFonts w:asciiTheme="majorHAnsi" w:hAnsiTheme="majorHAnsi"/>
          <w:sz w:val="20"/>
          <w:szCs w:val="20"/>
        </w:rPr>
        <w:t>м</w:t>
      </w:r>
      <w:r w:rsidRPr="000977F7">
        <w:rPr>
          <w:rFonts w:asciiTheme="majorHAnsi" w:hAnsiTheme="majorHAnsi"/>
          <w:spacing w:val="40"/>
          <w:sz w:val="20"/>
          <w:szCs w:val="20"/>
        </w:rPr>
        <w:t xml:space="preserve"> </w:t>
      </w:r>
      <w:r w:rsidRPr="000977F7">
        <w:rPr>
          <w:rFonts w:asciiTheme="majorHAnsi" w:hAnsiTheme="majorHAnsi"/>
          <w:sz w:val="20"/>
          <w:szCs w:val="20"/>
        </w:rPr>
        <w:t>і</w:t>
      </w:r>
      <w:r w:rsidRPr="000977F7">
        <w:rPr>
          <w:rFonts w:asciiTheme="majorHAnsi" w:hAnsiTheme="majorHAnsi"/>
          <w:spacing w:val="40"/>
          <w:sz w:val="20"/>
          <w:szCs w:val="20"/>
        </w:rPr>
        <w:t xml:space="preserve"> </w:t>
      </w:r>
      <w:r w:rsidRPr="000977F7">
        <w:rPr>
          <w:rFonts w:asciiTheme="majorHAnsi" w:hAnsiTheme="majorHAnsi"/>
          <w:sz w:val="20"/>
          <w:szCs w:val="20"/>
        </w:rPr>
        <w:t>т</w:t>
      </w:r>
      <w:r w:rsidRPr="000977F7">
        <w:rPr>
          <w:rFonts w:asciiTheme="majorHAnsi" w:hAnsiTheme="majorHAnsi"/>
          <w:spacing w:val="40"/>
          <w:sz w:val="20"/>
          <w:szCs w:val="20"/>
        </w:rPr>
        <w:t xml:space="preserve"> </w:t>
      </w:r>
      <w:r w:rsidRPr="000977F7">
        <w:rPr>
          <w:rFonts w:asciiTheme="majorHAnsi" w:hAnsiTheme="majorHAnsi"/>
          <w:sz w:val="20"/>
          <w:szCs w:val="20"/>
        </w:rPr>
        <w:t>к</w:t>
      </w:r>
      <w:r w:rsidRPr="000977F7">
        <w:rPr>
          <w:rFonts w:asciiTheme="majorHAnsi" w:hAnsiTheme="majorHAnsi"/>
          <w:spacing w:val="36"/>
          <w:sz w:val="20"/>
          <w:szCs w:val="20"/>
        </w:rPr>
        <w:t xml:space="preserve"> </w:t>
      </w:r>
      <w:r w:rsidRPr="000977F7">
        <w:rPr>
          <w:rFonts w:asciiTheme="majorHAnsi" w:hAnsiTheme="majorHAnsi"/>
          <w:spacing w:val="10"/>
          <w:sz w:val="20"/>
          <w:szCs w:val="20"/>
        </w:rPr>
        <w:t>а:</w:t>
      </w:r>
    </w:p>
    <w:p w14:paraId="376C8A35" w14:textId="77777777" w:rsidR="0097612F" w:rsidRPr="000977F7" w:rsidRDefault="0097612F" w:rsidP="00FD39A4">
      <w:pPr>
        <w:pStyle w:val="ac"/>
        <w:widowControl w:val="0"/>
        <w:numPr>
          <w:ilvl w:val="0"/>
          <w:numId w:val="6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До затримок, властивим операціям з технічного</w:t>
      </w:r>
      <w:r w:rsidRPr="000977F7">
        <w:rPr>
          <w:rFonts w:asciiTheme="majorHAnsi" w:hAnsiTheme="majorHAnsi"/>
          <w:spacing w:val="1"/>
          <w:sz w:val="20"/>
          <w:szCs w:val="20"/>
        </w:rPr>
        <w:t xml:space="preserve"> </w:t>
      </w:r>
      <w:r w:rsidRPr="000977F7">
        <w:rPr>
          <w:rFonts w:asciiTheme="majorHAnsi" w:hAnsiTheme="majorHAnsi"/>
          <w:sz w:val="20"/>
          <w:szCs w:val="20"/>
        </w:rPr>
        <w:t>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відносяться,</w:t>
      </w:r>
      <w:r w:rsidRPr="000977F7">
        <w:rPr>
          <w:rFonts w:asciiTheme="majorHAnsi" w:hAnsiTheme="majorHAnsi"/>
          <w:spacing w:val="1"/>
          <w:sz w:val="20"/>
          <w:szCs w:val="20"/>
        </w:rPr>
        <w:t xml:space="preserve"> </w:t>
      </w:r>
      <w:r w:rsidRPr="000977F7">
        <w:rPr>
          <w:rFonts w:asciiTheme="majorHAnsi" w:hAnsiTheme="majorHAnsi"/>
          <w:sz w:val="20"/>
          <w:szCs w:val="20"/>
        </w:rPr>
        <w:t>наприклад,</w:t>
      </w:r>
      <w:r w:rsidRPr="000977F7">
        <w:rPr>
          <w:rFonts w:asciiTheme="majorHAnsi" w:hAnsiTheme="majorHAnsi"/>
          <w:spacing w:val="1"/>
          <w:sz w:val="20"/>
          <w:szCs w:val="20"/>
        </w:rPr>
        <w:t xml:space="preserve"> </w:t>
      </w:r>
      <w:r w:rsidRPr="000977F7">
        <w:rPr>
          <w:rFonts w:asciiTheme="majorHAnsi" w:hAnsiTheme="majorHAnsi"/>
          <w:sz w:val="20"/>
          <w:szCs w:val="20"/>
        </w:rPr>
        <w:t>затримки,</w:t>
      </w:r>
      <w:r w:rsidRPr="000977F7">
        <w:rPr>
          <w:rFonts w:asciiTheme="majorHAnsi" w:hAnsiTheme="majorHAnsi"/>
          <w:spacing w:val="1"/>
          <w:sz w:val="20"/>
          <w:szCs w:val="20"/>
        </w:rPr>
        <w:t xml:space="preserve"> </w:t>
      </w:r>
      <w:r w:rsidRPr="000977F7">
        <w:rPr>
          <w:rFonts w:asciiTheme="majorHAnsi" w:hAnsiTheme="majorHAnsi"/>
          <w:sz w:val="20"/>
          <w:szCs w:val="20"/>
        </w:rPr>
        <w:t>обумовлені конструкцією об’єкта або діями, передбаченими технологією обслуговування</w:t>
      </w:r>
    </w:p>
    <w:p w14:paraId="59FEF15D" w14:textId="77777777" w:rsidR="0097612F" w:rsidRPr="000977F7" w:rsidRDefault="0097612F" w:rsidP="00FD39A4">
      <w:pPr>
        <w:pStyle w:val="ac"/>
        <w:widowControl w:val="0"/>
        <w:numPr>
          <w:ilvl w:val="0"/>
          <w:numId w:val="64"/>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Технічне</w:t>
      </w:r>
      <w:r w:rsidRPr="000977F7">
        <w:rPr>
          <w:rFonts w:asciiTheme="majorHAnsi" w:hAnsiTheme="majorHAnsi"/>
          <w:spacing w:val="1"/>
          <w:sz w:val="20"/>
          <w:szCs w:val="20"/>
        </w:rPr>
        <w:t xml:space="preserve"> </w:t>
      </w:r>
      <w:r w:rsidRPr="000977F7">
        <w:rPr>
          <w:rFonts w:asciiTheme="majorHAnsi" w:hAnsiTheme="majorHAnsi"/>
          <w:sz w:val="20"/>
          <w:szCs w:val="20"/>
        </w:rPr>
        <w:t>обслуговування</w:t>
      </w:r>
      <w:r w:rsidRPr="000977F7">
        <w:rPr>
          <w:rFonts w:asciiTheme="majorHAnsi" w:hAnsiTheme="majorHAnsi"/>
          <w:spacing w:val="1"/>
          <w:sz w:val="20"/>
          <w:szCs w:val="20"/>
        </w:rPr>
        <w:t xml:space="preserve"> </w:t>
      </w:r>
      <w:r w:rsidRPr="000977F7">
        <w:rPr>
          <w:rFonts w:asciiTheme="majorHAnsi" w:hAnsiTheme="majorHAnsi"/>
          <w:sz w:val="20"/>
          <w:szCs w:val="20"/>
        </w:rPr>
        <w:t>може</w:t>
      </w:r>
      <w:r w:rsidRPr="000977F7">
        <w:rPr>
          <w:rFonts w:asciiTheme="majorHAnsi" w:hAnsiTheme="majorHAnsi"/>
          <w:spacing w:val="1"/>
          <w:sz w:val="20"/>
          <w:szCs w:val="20"/>
        </w:rPr>
        <w:t xml:space="preserve"> </w:t>
      </w:r>
      <w:r w:rsidRPr="000977F7">
        <w:rPr>
          <w:rFonts w:asciiTheme="majorHAnsi" w:hAnsiTheme="majorHAnsi"/>
          <w:sz w:val="20"/>
          <w:szCs w:val="20"/>
        </w:rPr>
        <w:t>виконуватися</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тоді,</w:t>
      </w:r>
      <w:r w:rsidRPr="000977F7">
        <w:rPr>
          <w:rFonts w:asciiTheme="majorHAnsi" w:hAnsiTheme="majorHAnsi"/>
          <w:spacing w:val="-1"/>
          <w:sz w:val="20"/>
          <w:szCs w:val="20"/>
        </w:rPr>
        <w:t xml:space="preserve"> </w:t>
      </w:r>
      <w:r w:rsidRPr="000977F7">
        <w:rPr>
          <w:rFonts w:asciiTheme="majorHAnsi" w:hAnsiTheme="majorHAnsi"/>
          <w:sz w:val="20"/>
          <w:szCs w:val="20"/>
        </w:rPr>
        <w:t>коли</w:t>
      </w:r>
      <w:r w:rsidRPr="000977F7">
        <w:rPr>
          <w:rFonts w:asciiTheme="majorHAnsi" w:hAnsiTheme="majorHAnsi"/>
          <w:spacing w:val="-1"/>
          <w:sz w:val="20"/>
          <w:szCs w:val="20"/>
        </w:rPr>
        <w:t xml:space="preserve"> </w:t>
      </w:r>
      <w:r w:rsidRPr="000977F7">
        <w:rPr>
          <w:rFonts w:asciiTheme="majorHAnsi" w:hAnsiTheme="majorHAnsi"/>
          <w:sz w:val="20"/>
          <w:szCs w:val="20"/>
        </w:rPr>
        <w:t>об’єкт</w:t>
      </w:r>
      <w:r w:rsidRPr="000977F7">
        <w:rPr>
          <w:rFonts w:asciiTheme="majorHAnsi" w:hAnsiTheme="majorHAnsi"/>
          <w:spacing w:val="-2"/>
          <w:sz w:val="20"/>
          <w:szCs w:val="20"/>
        </w:rPr>
        <w:t xml:space="preserve"> </w:t>
      </w:r>
      <w:r w:rsidRPr="000977F7">
        <w:rPr>
          <w:rFonts w:asciiTheme="majorHAnsi" w:hAnsiTheme="majorHAnsi"/>
          <w:sz w:val="20"/>
          <w:szCs w:val="20"/>
        </w:rPr>
        <w:t>виконує задану</w:t>
      </w:r>
      <w:r w:rsidRPr="000977F7">
        <w:rPr>
          <w:rFonts w:asciiTheme="majorHAnsi" w:hAnsiTheme="majorHAnsi"/>
          <w:spacing w:val="-5"/>
          <w:sz w:val="20"/>
          <w:szCs w:val="20"/>
        </w:rPr>
        <w:t xml:space="preserve"> </w:t>
      </w:r>
      <w:r w:rsidRPr="000977F7">
        <w:rPr>
          <w:rFonts w:asciiTheme="majorHAnsi" w:hAnsiTheme="majorHAnsi"/>
          <w:sz w:val="20"/>
          <w:szCs w:val="20"/>
        </w:rPr>
        <w:t>функцію</w:t>
      </w:r>
    </w:p>
    <w:p w14:paraId="247E5C0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w:t>
      </w:r>
      <w:r w:rsidRPr="000977F7">
        <w:rPr>
          <w:color w:val="auto"/>
          <w:spacing w:val="-3"/>
          <w:sz w:val="20"/>
          <w:szCs w:val="20"/>
        </w:rPr>
        <w:t xml:space="preserve"> </w:t>
      </w:r>
      <w:r w:rsidRPr="000977F7">
        <w:rPr>
          <w:color w:val="auto"/>
          <w:sz w:val="20"/>
          <w:szCs w:val="20"/>
        </w:rPr>
        <w:t>УСТАНОВЛЮВАННЯ</w:t>
      </w:r>
      <w:r w:rsidRPr="000977F7">
        <w:rPr>
          <w:color w:val="auto"/>
          <w:spacing w:val="-1"/>
          <w:sz w:val="20"/>
          <w:szCs w:val="20"/>
        </w:rPr>
        <w:t xml:space="preserve"> </w:t>
      </w:r>
      <w:r w:rsidRPr="000977F7">
        <w:rPr>
          <w:color w:val="auto"/>
          <w:sz w:val="20"/>
          <w:szCs w:val="20"/>
        </w:rPr>
        <w:t>–</w:t>
      </w:r>
    </w:p>
    <w:p w14:paraId="1E9D007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FIXING</w:t>
      </w:r>
      <w:r w:rsidRPr="000977F7">
        <w:rPr>
          <w:rFonts w:asciiTheme="majorHAnsi" w:hAnsiTheme="majorHAnsi"/>
          <w:spacing w:val="48"/>
          <w:sz w:val="20"/>
          <w:szCs w:val="20"/>
        </w:rPr>
        <w:t xml:space="preserve"> </w:t>
      </w:r>
      <w:r w:rsidRPr="000977F7">
        <w:rPr>
          <w:rFonts w:asciiTheme="majorHAnsi" w:hAnsiTheme="majorHAnsi"/>
          <w:sz w:val="20"/>
          <w:szCs w:val="20"/>
        </w:rPr>
        <w:t>TIME –</w:t>
      </w:r>
    </w:p>
    <w:p w14:paraId="082878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Часовий інтервал між початком змінювання вхідного</w:t>
      </w:r>
      <w:r w:rsidRPr="000977F7">
        <w:rPr>
          <w:rFonts w:asciiTheme="majorHAnsi" w:hAnsiTheme="majorHAnsi"/>
          <w:spacing w:val="1"/>
          <w:sz w:val="20"/>
          <w:szCs w:val="20"/>
        </w:rPr>
        <w:t xml:space="preserve"> </w:t>
      </w:r>
      <w:r w:rsidRPr="000977F7">
        <w:rPr>
          <w:rFonts w:asciiTheme="majorHAnsi" w:hAnsiTheme="majorHAnsi"/>
          <w:sz w:val="20"/>
          <w:szCs w:val="20"/>
        </w:rPr>
        <w:t>діяння і моментом починаючи з якого значення параметра об’єкта входить і залишається в деякому діапазоні</w:t>
      </w:r>
      <w:r w:rsidRPr="000977F7">
        <w:rPr>
          <w:rFonts w:asciiTheme="majorHAnsi" w:hAnsiTheme="majorHAnsi"/>
          <w:spacing w:val="-2"/>
          <w:sz w:val="20"/>
          <w:szCs w:val="20"/>
        </w:rPr>
        <w:t xml:space="preserve"> </w:t>
      </w:r>
      <w:r w:rsidRPr="000977F7">
        <w:rPr>
          <w:rFonts w:asciiTheme="majorHAnsi" w:hAnsiTheme="majorHAnsi"/>
          <w:sz w:val="20"/>
          <w:szCs w:val="20"/>
        </w:rPr>
        <w:t>близько</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2"/>
          <w:sz w:val="20"/>
          <w:szCs w:val="20"/>
        </w:rPr>
        <w:t xml:space="preserve"> </w:t>
      </w:r>
      <w:r w:rsidRPr="000977F7">
        <w:rPr>
          <w:rFonts w:asciiTheme="majorHAnsi" w:hAnsiTheme="majorHAnsi"/>
          <w:sz w:val="20"/>
          <w:szCs w:val="20"/>
        </w:rPr>
        <w:t>усталеного значення</w:t>
      </w:r>
    </w:p>
    <w:p w14:paraId="13A87B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418FF9E4"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Час установлювання визначається згідно з перехідною</w:t>
      </w:r>
      <w:r w:rsidRPr="000977F7">
        <w:rPr>
          <w:rFonts w:asciiTheme="majorHAnsi" w:hAnsiTheme="majorHAnsi"/>
          <w:spacing w:val="-47"/>
          <w:sz w:val="20"/>
          <w:szCs w:val="20"/>
        </w:rPr>
        <w:t xml:space="preserve"> </w:t>
      </w:r>
      <w:r w:rsidRPr="000977F7">
        <w:rPr>
          <w:rFonts w:asciiTheme="majorHAnsi" w:hAnsiTheme="majorHAnsi"/>
          <w:sz w:val="20"/>
          <w:szCs w:val="20"/>
        </w:rPr>
        <w:t>характеристикою</w:t>
      </w:r>
      <w:r w:rsidRPr="000977F7">
        <w:rPr>
          <w:rFonts w:asciiTheme="majorHAnsi" w:hAnsiTheme="majorHAnsi"/>
          <w:spacing w:val="2"/>
          <w:sz w:val="20"/>
          <w:szCs w:val="20"/>
        </w:rPr>
        <w:t xml:space="preserve"> </w:t>
      </w:r>
      <w:r w:rsidRPr="000977F7">
        <w:rPr>
          <w:rFonts w:asciiTheme="majorHAnsi" w:hAnsiTheme="majorHAnsi"/>
          <w:sz w:val="20"/>
          <w:szCs w:val="20"/>
        </w:rPr>
        <w:t>для</w:t>
      </w:r>
      <w:r w:rsidRPr="000977F7">
        <w:rPr>
          <w:rFonts w:asciiTheme="majorHAnsi" w:hAnsiTheme="majorHAnsi"/>
          <w:spacing w:val="2"/>
          <w:sz w:val="20"/>
          <w:szCs w:val="20"/>
        </w:rPr>
        <w:t xml:space="preserve"> </w:t>
      </w:r>
      <w:r w:rsidRPr="000977F7">
        <w:rPr>
          <w:rFonts w:asciiTheme="majorHAnsi" w:hAnsiTheme="majorHAnsi"/>
          <w:sz w:val="20"/>
          <w:szCs w:val="20"/>
        </w:rPr>
        <w:t>визначеного</w:t>
      </w:r>
      <w:r w:rsidRPr="000977F7">
        <w:rPr>
          <w:rFonts w:asciiTheme="majorHAnsi" w:hAnsiTheme="majorHAnsi"/>
          <w:spacing w:val="1"/>
          <w:sz w:val="20"/>
          <w:szCs w:val="20"/>
        </w:rPr>
        <w:t xml:space="preserve"> </w:t>
      </w:r>
      <w:r w:rsidRPr="000977F7">
        <w:rPr>
          <w:rFonts w:asciiTheme="majorHAnsi" w:hAnsiTheme="majorHAnsi"/>
          <w:sz w:val="20"/>
          <w:szCs w:val="20"/>
        </w:rPr>
        <w:t>відсоткового</w:t>
      </w:r>
      <w:r w:rsidRPr="000977F7">
        <w:rPr>
          <w:rFonts w:asciiTheme="majorHAnsi" w:hAnsiTheme="majorHAnsi"/>
          <w:spacing w:val="1"/>
          <w:sz w:val="20"/>
          <w:szCs w:val="20"/>
        </w:rPr>
        <w:t xml:space="preserve"> </w:t>
      </w:r>
      <w:r w:rsidRPr="000977F7">
        <w:rPr>
          <w:rFonts w:asciiTheme="majorHAnsi" w:hAnsiTheme="majorHAnsi"/>
          <w:sz w:val="20"/>
          <w:szCs w:val="20"/>
        </w:rPr>
        <w:t>відхилення від усталеного значення ( наприклад, 5%)</w:t>
      </w:r>
    </w:p>
    <w:p w14:paraId="4B727865"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2000</w:t>
      </w:r>
    </w:p>
    <w:p w14:paraId="018188F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ЧАСОВА</w:t>
      </w:r>
      <w:r w:rsidRPr="000977F7">
        <w:rPr>
          <w:color w:val="auto"/>
          <w:spacing w:val="-4"/>
          <w:sz w:val="20"/>
          <w:szCs w:val="20"/>
        </w:rPr>
        <w:t xml:space="preserve"> </w:t>
      </w:r>
      <w:r w:rsidRPr="000977F7">
        <w:rPr>
          <w:color w:val="auto"/>
          <w:sz w:val="20"/>
          <w:szCs w:val="20"/>
        </w:rPr>
        <w:t>ХАРАКТЕРИСТИКА</w:t>
      </w:r>
      <w:r w:rsidRPr="000977F7">
        <w:rPr>
          <w:color w:val="auto"/>
          <w:spacing w:val="-2"/>
          <w:sz w:val="20"/>
          <w:szCs w:val="20"/>
        </w:rPr>
        <w:t xml:space="preserve"> </w:t>
      </w:r>
      <w:r w:rsidRPr="000977F7">
        <w:rPr>
          <w:color w:val="auto"/>
          <w:sz w:val="20"/>
          <w:szCs w:val="20"/>
        </w:rPr>
        <w:t>-</w:t>
      </w:r>
    </w:p>
    <w:p w14:paraId="61714AF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TIME</w:t>
      </w:r>
      <w:r w:rsidRPr="000977F7">
        <w:rPr>
          <w:rFonts w:asciiTheme="majorHAnsi" w:hAnsiTheme="majorHAnsi"/>
          <w:spacing w:val="-1"/>
          <w:sz w:val="20"/>
          <w:szCs w:val="20"/>
        </w:rPr>
        <w:t xml:space="preserve"> </w:t>
      </w:r>
      <w:r w:rsidRPr="000977F7">
        <w:rPr>
          <w:rFonts w:asciiTheme="majorHAnsi" w:hAnsiTheme="majorHAnsi"/>
          <w:sz w:val="20"/>
          <w:szCs w:val="20"/>
        </w:rPr>
        <w:t>CHARACTERISTIC</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256E07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Динамічна характеристика, що описує змінювання в</w:t>
      </w:r>
      <w:r w:rsidRPr="000977F7">
        <w:rPr>
          <w:rFonts w:asciiTheme="majorHAnsi" w:hAnsiTheme="majorHAnsi"/>
          <w:spacing w:val="1"/>
          <w:sz w:val="20"/>
          <w:szCs w:val="20"/>
        </w:rPr>
        <w:t xml:space="preserve"> </w:t>
      </w:r>
      <w:r w:rsidRPr="000977F7">
        <w:rPr>
          <w:rFonts w:asciiTheme="majorHAnsi" w:hAnsiTheme="majorHAnsi"/>
          <w:sz w:val="20"/>
          <w:szCs w:val="20"/>
        </w:rPr>
        <w:t>часі одного з параметрів об’єкта за заданої зміни деякого вхідного</w:t>
      </w:r>
      <w:r w:rsidRPr="000977F7">
        <w:rPr>
          <w:rFonts w:asciiTheme="majorHAnsi" w:hAnsiTheme="majorHAnsi"/>
          <w:spacing w:val="1"/>
          <w:sz w:val="20"/>
          <w:szCs w:val="20"/>
        </w:rPr>
        <w:t xml:space="preserve"> </w:t>
      </w:r>
      <w:r w:rsidRPr="000977F7">
        <w:rPr>
          <w:rFonts w:asciiTheme="majorHAnsi" w:hAnsiTheme="majorHAnsi"/>
          <w:sz w:val="20"/>
          <w:szCs w:val="20"/>
        </w:rPr>
        <w:t>діяння</w:t>
      </w:r>
    </w:p>
    <w:p w14:paraId="69EF2E7E"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3956</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2000</w:t>
      </w:r>
    </w:p>
    <w:p w14:paraId="17D7871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ЧАСОВЕ</w:t>
      </w:r>
      <w:r w:rsidRPr="000977F7">
        <w:rPr>
          <w:color w:val="auto"/>
          <w:spacing w:val="-4"/>
          <w:sz w:val="20"/>
          <w:szCs w:val="20"/>
        </w:rPr>
        <w:t xml:space="preserve"> </w:t>
      </w:r>
      <w:r w:rsidRPr="000977F7">
        <w:rPr>
          <w:color w:val="auto"/>
          <w:sz w:val="20"/>
          <w:szCs w:val="20"/>
        </w:rPr>
        <w:t>ДІЯННЯ</w:t>
      </w:r>
      <w:r w:rsidRPr="000977F7">
        <w:rPr>
          <w:color w:val="auto"/>
          <w:spacing w:val="-1"/>
          <w:sz w:val="20"/>
          <w:szCs w:val="20"/>
        </w:rPr>
        <w:t xml:space="preserve"> </w:t>
      </w:r>
      <w:r w:rsidRPr="000977F7">
        <w:rPr>
          <w:color w:val="auto"/>
          <w:sz w:val="20"/>
          <w:szCs w:val="20"/>
        </w:rPr>
        <w:t>–</w:t>
      </w:r>
    </w:p>
    <w:p w14:paraId="4267609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TIME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ACTION –</w:t>
      </w:r>
    </w:p>
    <w:p w14:paraId="12F160C4"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Діяння,</w:t>
      </w:r>
      <w:r w:rsidRPr="000977F7">
        <w:rPr>
          <w:rFonts w:asciiTheme="majorHAnsi" w:hAnsiTheme="majorHAnsi"/>
          <w:spacing w:val="-4"/>
          <w:sz w:val="20"/>
          <w:szCs w:val="20"/>
        </w:rPr>
        <w:t xml:space="preserve"> </w:t>
      </w:r>
      <w:r w:rsidRPr="000977F7">
        <w:rPr>
          <w:rFonts w:asciiTheme="majorHAnsi" w:hAnsiTheme="majorHAnsi"/>
          <w:sz w:val="20"/>
          <w:szCs w:val="20"/>
        </w:rPr>
        <w:t>основним</w:t>
      </w:r>
      <w:r w:rsidRPr="000977F7">
        <w:rPr>
          <w:rFonts w:asciiTheme="majorHAnsi" w:hAnsiTheme="majorHAnsi"/>
          <w:spacing w:val="-3"/>
          <w:sz w:val="20"/>
          <w:szCs w:val="20"/>
        </w:rPr>
        <w:t xml:space="preserve"> </w:t>
      </w:r>
      <w:r w:rsidRPr="000977F7">
        <w:rPr>
          <w:rFonts w:asciiTheme="majorHAnsi" w:hAnsiTheme="majorHAnsi"/>
          <w:sz w:val="20"/>
          <w:szCs w:val="20"/>
        </w:rPr>
        <w:t>параметром</w:t>
      </w:r>
      <w:r w:rsidRPr="000977F7">
        <w:rPr>
          <w:rFonts w:asciiTheme="majorHAnsi" w:hAnsiTheme="majorHAnsi"/>
          <w:spacing w:val="-3"/>
          <w:sz w:val="20"/>
          <w:szCs w:val="20"/>
        </w:rPr>
        <w:t xml:space="preserve"> </w:t>
      </w:r>
      <w:r w:rsidRPr="000977F7">
        <w:rPr>
          <w:rFonts w:asciiTheme="majorHAnsi" w:hAnsiTheme="majorHAnsi"/>
          <w:sz w:val="20"/>
          <w:szCs w:val="20"/>
        </w:rPr>
        <w:t>якого</w:t>
      </w:r>
      <w:r w:rsidRPr="000977F7">
        <w:rPr>
          <w:rFonts w:asciiTheme="majorHAnsi" w:hAnsiTheme="majorHAnsi"/>
          <w:spacing w:val="-3"/>
          <w:sz w:val="20"/>
          <w:szCs w:val="20"/>
        </w:rPr>
        <w:t xml:space="preserve"> </w:t>
      </w:r>
      <w:r w:rsidRPr="000977F7">
        <w:rPr>
          <w:rFonts w:asciiTheme="majorHAnsi" w:hAnsiTheme="majorHAnsi"/>
          <w:sz w:val="20"/>
          <w:szCs w:val="20"/>
        </w:rPr>
        <w:t>є</w:t>
      </w:r>
      <w:r w:rsidRPr="000977F7">
        <w:rPr>
          <w:rFonts w:asciiTheme="majorHAnsi" w:hAnsiTheme="majorHAnsi"/>
          <w:spacing w:val="-4"/>
          <w:sz w:val="20"/>
          <w:szCs w:val="20"/>
        </w:rPr>
        <w:t xml:space="preserve"> </w:t>
      </w:r>
      <w:r w:rsidRPr="000977F7">
        <w:rPr>
          <w:rFonts w:asciiTheme="majorHAnsi" w:hAnsiTheme="majorHAnsi"/>
          <w:sz w:val="20"/>
          <w:szCs w:val="20"/>
        </w:rPr>
        <w:t>поточний</w:t>
      </w:r>
      <w:r w:rsidRPr="000977F7">
        <w:rPr>
          <w:rFonts w:asciiTheme="majorHAnsi" w:hAnsiTheme="majorHAnsi"/>
          <w:spacing w:val="-4"/>
          <w:sz w:val="20"/>
          <w:szCs w:val="20"/>
        </w:rPr>
        <w:t xml:space="preserve"> </w:t>
      </w:r>
      <w:r w:rsidRPr="000977F7">
        <w:rPr>
          <w:rFonts w:asciiTheme="majorHAnsi" w:hAnsiTheme="majorHAnsi"/>
          <w:sz w:val="20"/>
          <w:szCs w:val="20"/>
        </w:rPr>
        <w:t>час</w:t>
      </w:r>
      <w:r w:rsidRPr="000977F7">
        <w:rPr>
          <w:rFonts w:asciiTheme="majorHAnsi" w:hAnsiTheme="majorHAnsi"/>
          <w:spacing w:val="-47"/>
          <w:sz w:val="20"/>
          <w:szCs w:val="20"/>
        </w:rPr>
        <w:t xml:space="preserve"> </w:t>
      </w:r>
    </w:p>
    <w:p w14:paraId="511A05D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6E5FADC6"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Для</w:t>
      </w:r>
      <w:r w:rsidRPr="000977F7">
        <w:rPr>
          <w:rFonts w:asciiTheme="majorHAnsi" w:hAnsiTheme="majorHAnsi"/>
          <w:spacing w:val="30"/>
          <w:sz w:val="20"/>
          <w:szCs w:val="20"/>
        </w:rPr>
        <w:t xml:space="preserve"> </w:t>
      </w:r>
      <w:r w:rsidRPr="000977F7">
        <w:rPr>
          <w:rFonts w:asciiTheme="majorHAnsi" w:hAnsiTheme="majorHAnsi"/>
          <w:sz w:val="20"/>
          <w:szCs w:val="20"/>
        </w:rPr>
        <w:t>імпульсного</w:t>
      </w:r>
      <w:r w:rsidRPr="000977F7">
        <w:rPr>
          <w:rFonts w:asciiTheme="majorHAnsi" w:hAnsiTheme="majorHAnsi"/>
          <w:spacing w:val="32"/>
          <w:sz w:val="20"/>
          <w:szCs w:val="20"/>
        </w:rPr>
        <w:t xml:space="preserve"> </w:t>
      </w:r>
      <w:r w:rsidRPr="000977F7">
        <w:rPr>
          <w:rFonts w:asciiTheme="majorHAnsi" w:hAnsiTheme="majorHAnsi"/>
          <w:sz w:val="20"/>
          <w:szCs w:val="20"/>
        </w:rPr>
        <w:t>діяння</w:t>
      </w:r>
      <w:r w:rsidRPr="000977F7">
        <w:rPr>
          <w:rFonts w:asciiTheme="majorHAnsi" w:hAnsiTheme="majorHAnsi"/>
          <w:spacing w:val="33"/>
          <w:sz w:val="20"/>
          <w:szCs w:val="20"/>
        </w:rPr>
        <w:t xml:space="preserve"> </w:t>
      </w:r>
      <w:r w:rsidRPr="000977F7">
        <w:rPr>
          <w:rFonts w:asciiTheme="majorHAnsi" w:hAnsiTheme="majorHAnsi"/>
          <w:sz w:val="20"/>
          <w:szCs w:val="20"/>
        </w:rPr>
        <w:t>під</w:t>
      </w:r>
      <w:r w:rsidRPr="000977F7">
        <w:rPr>
          <w:rFonts w:asciiTheme="majorHAnsi" w:hAnsiTheme="majorHAnsi"/>
          <w:spacing w:val="31"/>
          <w:sz w:val="20"/>
          <w:szCs w:val="20"/>
        </w:rPr>
        <w:t xml:space="preserve"> </w:t>
      </w:r>
      <w:r w:rsidRPr="000977F7">
        <w:rPr>
          <w:rFonts w:asciiTheme="majorHAnsi" w:hAnsiTheme="majorHAnsi"/>
          <w:sz w:val="20"/>
          <w:szCs w:val="20"/>
        </w:rPr>
        <w:t>поточним</w:t>
      </w:r>
      <w:r w:rsidRPr="000977F7">
        <w:rPr>
          <w:rFonts w:asciiTheme="majorHAnsi" w:hAnsiTheme="majorHAnsi"/>
          <w:spacing w:val="32"/>
          <w:sz w:val="20"/>
          <w:szCs w:val="20"/>
        </w:rPr>
        <w:t xml:space="preserve"> </w:t>
      </w:r>
      <w:r w:rsidRPr="000977F7">
        <w:rPr>
          <w:rFonts w:asciiTheme="majorHAnsi" w:hAnsiTheme="majorHAnsi"/>
          <w:sz w:val="20"/>
          <w:szCs w:val="20"/>
        </w:rPr>
        <w:t>часом</w:t>
      </w:r>
      <w:r w:rsidRPr="000977F7">
        <w:rPr>
          <w:rFonts w:asciiTheme="majorHAnsi" w:hAnsiTheme="majorHAnsi"/>
          <w:spacing w:val="31"/>
          <w:sz w:val="20"/>
          <w:szCs w:val="20"/>
        </w:rPr>
        <w:t xml:space="preserve"> </w:t>
      </w:r>
      <w:r w:rsidRPr="000977F7">
        <w:rPr>
          <w:rFonts w:asciiTheme="majorHAnsi" w:hAnsiTheme="majorHAnsi"/>
          <w:sz w:val="20"/>
          <w:szCs w:val="20"/>
        </w:rPr>
        <w:t>розуміють сумарну тривалість імпульсів дієвої величини</w:t>
      </w:r>
      <w:r w:rsidRPr="000977F7">
        <w:rPr>
          <w:rFonts w:asciiTheme="majorHAnsi" w:hAnsiTheme="majorHAnsi"/>
          <w:spacing w:val="1"/>
          <w:sz w:val="20"/>
          <w:szCs w:val="20"/>
        </w:rPr>
        <w:t xml:space="preserve"> </w:t>
      </w:r>
    </w:p>
    <w:p w14:paraId="679A7180"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2000</w:t>
      </w:r>
    </w:p>
    <w:p w14:paraId="2B011CF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ЧАСОВИЙ</w:t>
      </w:r>
      <w:r w:rsidRPr="000977F7">
        <w:rPr>
          <w:color w:val="auto"/>
          <w:spacing w:val="-1"/>
          <w:sz w:val="20"/>
          <w:szCs w:val="20"/>
        </w:rPr>
        <w:t xml:space="preserve"> </w:t>
      </w:r>
      <w:r w:rsidRPr="000977F7">
        <w:rPr>
          <w:color w:val="auto"/>
          <w:sz w:val="20"/>
          <w:szCs w:val="20"/>
        </w:rPr>
        <w:t>ДРЕЙФ</w:t>
      </w:r>
      <w:r w:rsidRPr="000977F7">
        <w:rPr>
          <w:color w:val="auto"/>
          <w:spacing w:val="-1"/>
          <w:sz w:val="20"/>
          <w:szCs w:val="20"/>
        </w:rPr>
        <w:t xml:space="preserve"> </w:t>
      </w:r>
      <w:r w:rsidRPr="000977F7">
        <w:rPr>
          <w:color w:val="auto"/>
          <w:sz w:val="20"/>
          <w:szCs w:val="20"/>
        </w:rPr>
        <w:t>–</w:t>
      </w:r>
    </w:p>
    <w:p w14:paraId="64C1AF1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Випадкове або невипадкове змінювання функцій відклику</w:t>
      </w:r>
      <w:r w:rsidRPr="000977F7">
        <w:rPr>
          <w:rFonts w:asciiTheme="majorHAnsi" w:hAnsiTheme="majorHAnsi"/>
          <w:spacing w:val="-2"/>
          <w:sz w:val="20"/>
          <w:szCs w:val="20"/>
        </w:rPr>
        <w:t xml:space="preserve"> </w:t>
      </w:r>
      <w:r w:rsidRPr="000977F7">
        <w:rPr>
          <w:rFonts w:asciiTheme="majorHAnsi" w:hAnsiTheme="majorHAnsi"/>
          <w:sz w:val="20"/>
          <w:szCs w:val="20"/>
        </w:rPr>
        <w:t>за часом</w:t>
      </w:r>
    </w:p>
    <w:p w14:paraId="7566BA0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ЧАСОВИЙ</w:t>
      </w:r>
      <w:r w:rsidRPr="000977F7">
        <w:rPr>
          <w:color w:val="auto"/>
          <w:spacing w:val="-4"/>
          <w:sz w:val="20"/>
          <w:szCs w:val="20"/>
        </w:rPr>
        <w:t xml:space="preserve"> </w:t>
      </w:r>
      <w:r w:rsidRPr="000977F7">
        <w:rPr>
          <w:color w:val="auto"/>
          <w:sz w:val="20"/>
          <w:szCs w:val="20"/>
        </w:rPr>
        <w:t>МЕТОД –</w:t>
      </w:r>
    </w:p>
    <w:p w14:paraId="00FB92F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реєстрації часу проходження хвиль випромінення через</w:t>
      </w:r>
      <w:r w:rsidRPr="000977F7">
        <w:rPr>
          <w:rFonts w:asciiTheme="majorHAnsi" w:hAnsiTheme="majorHAnsi"/>
          <w:spacing w:val="-1"/>
          <w:sz w:val="20"/>
          <w:szCs w:val="20"/>
        </w:rPr>
        <w:t xml:space="preserve"> </w:t>
      </w:r>
      <w:r w:rsidRPr="000977F7">
        <w:rPr>
          <w:rFonts w:asciiTheme="majorHAnsi" w:hAnsiTheme="majorHAnsi"/>
          <w:sz w:val="20"/>
          <w:szCs w:val="20"/>
        </w:rPr>
        <w:t>контрольований</w:t>
      </w:r>
      <w:r w:rsidRPr="000977F7">
        <w:rPr>
          <w:rFonts w:asciiTheme="majorHAnsi" w:hAnsiTheme="majorHAnsi"/>
          <w:spacing w:val="-1"/>
          <w:sz w:val="20"/>
          <w:szCs w:val="20"/>
        </w:rPr>
        <w:t xml:space="preserve"> </w:t>
      </w:r>
      <w:r w:rsidRPr="000977F7">
        <w:rPr>
          <w:rFonts w:asciiTheme="majorHAnsi" w:hAnsiTheme="majorHAnsi"/>
          <w:sz w:val="20"/>
          <w:szCs w:val="20"/>
        </w:rPr>
        <w:t>об’єкт</w:t>
      </w:r>
    </w:p>
    <w:p w14:paraId="4E428B8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69EF02B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b/>
          <w:sz w:val="20"/>
          <w:szCs w:val="20"/>
        </w:rPr>
        <w:t>ЧАСОВО–ІМПУЛЬСНЕ ДІЯННЯ</w:t>
      </w:r>
      <w:r w:rsidRPr="000977F7">
        <w:rPr>
          <w:rFonts w:asciiTheme="majorHAnsi" w:hAnsiTheme="majorHAnsi"/>
          <w:b/>
          <w:spacing w:val="1"/>
          <w:sz w:val="20"/>
          <w:szCs w:val="20"/>
        </w:rPr>
        <w:t xml:space="preserve"> </w:t>
      </w:r>
      <w:r w:rsidRPr="000977F7">
        <w:rPr>
          <w:rFonts w:asciiTheme="majorHAnsi" w:hAnsiTheme="majorHAnsi"/>
          <w:sz w:val="20"/>
          <w:szCs w:val="20"/>
        </w:rPr>
        <w:t>–</w:t>
      </w:r>
    </w:p>
    <w:p w14:paraId="11493CBF"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pacing w:val="-47"/>
          <w:sz w:val="20"/>
          <w:szCs w:val="20"/>
        </w:rPr>
        <w:t xml:space="preserve"> </w:t>
      </w:r>
      <w:r w:rsidRPr="000977F7">
        <w:rPr>
          <w:rFonts w:asciiTheme="majorHAnsi" w:hAnsiTheme="majorHAnsi"/>
          <w:sz w:val="20"/>
          <w:szCs w:val="20"/>
        </w:rPr>
        <w:t>IMPULSE –</w:t>
      </w:r>
      <w:r w:rsidRPr="000977F7">
        <w:rPr>
          <w:rFonts w:asciiTheme="majorHAnsi" w:hAnsiTheme="majorHAnsi"/>
          <w:spacing w:val="1"/>
          <w:sz w:val="20"/>
          <w:szCs w:val="20"/>
        </w:rPr>
        <w:t xml:space="preserve"> </w:t>
      </w:r>
      <w:r w:rsidRPr="000977F7">
        <w:rPr>
          <w:rFonts w:asciiTheme="majorHAnsi" w:hAnsiTheme="majorHAnsi"/>
          <w:sz w:val="20"/>
          <w:szCs w:val="20"/>
        </w:rPr>
        <w:t>TIME</w:t>
      </w:r>
      <w:r w:rsidRPr="000977F7">
        <w:rPr>
          <w:rFonts w:asciiTheme="majorHAnsi" w:hAnsiTheme="majorHAnsi"/>
          <w:spacing w:val="-2"/>
          <w:sz w:val="20"/>
          <w:szCs w:val="20"/>
        </w:rPr>
        <w:t xml:space="preserve"> </w:t>
      </w:r>
      <w:r w:rsidRPr="000977F7">
        <w:rPr>
          <w:rFonts w:asciiTheme="majorHAnsi" w:hAnsiTheme="majorHAnsi"/>
          <w:sz w:val="20"/>
          <w:szCs w:val="20"/>
        </w:rPr>
        <w:t>ACTION</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41AC195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Імпульсне</w:t>
      </w:r>
      <w:r w:rsidRPr="000977F7">
        <w:rPr>
          <w:rFonts w:asciiTheme="majorHAnsi" w:hAnsiTheme="majorHAnsi"/>
          <w:spacing w:val="21"/>
          <w:sz w:val="20"/>
          <w:szCs w:val="20"/>
        </w:rPr>
        <w:t xml:space="preserve"> </w:t>
      </w:r>
      <w:r w:rsidRPr="000977F7">
        <w:rPr>
          <w:rFonts w:asciiTheme="majorHAnsi" w:hAnsiTheme="majorHAnsi"/>
          <w:sz w:val="20"/>
          <w:szCs w:val="20"/>
        </w:rPr>
        <w:t>діяння,</w:t>
      </w:r>
      <w:r w:rsidRPr="000977F7">
        <w:rPr>
          <w:rFonts w:asciiTheme="majorHAnsi" w:hAnsiTheme="majorHAnsi"/>
          <w:spacing w:val="19"/>
          <w:sz w:val="20"/>
          <w:szCs w:val="20"/>
        </w:rPr>
        <w:t xml:space="preserve"> </w:t>
      </w:r>
      <w:r w:rsidRPr="000977F7">
        <w:rPr>
          <w:rFonts w:asciiTheme="majorHAnsi" w:hAnsiTheme="majorHAnsi"/>
          <w:sz w:val="20"/>
          <w:szCs w:val="20"/>
        </w:rPr>
        <w:t>основним</w:t>
      </w:r>
      <w:r w:rsidRPr="000977F7">
        <w:rPr>
          <w:rFonts w:asciiTheme="majorHAnsi" w:hAnsiTheme="majorHAnsi"/>
          <w:spacing w:val="20"/>
          <w:sz w:val="20"/>
          <w:szCs w:val="20"/>
        </w:rPr>
        <w:t xml:space="preserve"> </w:t>
      </w:r>
      <w:r w:rsidRPr="000977F7">
        <w:rPr>
          <w:rFonts w:asciiTheme="majorHAnsi" w:hAnsiTheme="majorHAnsi"/>
          <w:sz w:val="20"/>
          <w:szCs w:val="20"/>
        </w:rPr>
        <w:t>параметром</w:t>
      </w:r>
      <w:r w:rsidRPr="000977F7">
        <w:rPr>
          <w:rFonts w:asciiTheme="majorHAnsi" w:hAnsiTheme="majorHAnsi"/>
          <w:spacing w:val="20"/>
          <w:sz w:val="20"/>
          <w:szCs w:val="20"/>
        </w:rPr>
        <w:t xml:space="preserve"> </w:t>
      </w:r>
      <w:r w:rsidRPr="000977F7">
        <w:rPr>
          <w:rFonts w:asciiTheme="majorHAnsi" w:hAnsiTheme="majorHAnsi"/>
          <w:sz w:val="20"/>
          <w:szCs w:val="20"/>
        </w:rPr>
        <w:t>якого</w:t>
      </w:r>
      <w:r w:rsidRPr="000977F7">
        <w:rPr>
          <w:rFonts w:asciiTheme="majorHAnsi" w:hAnsiTheme="majorHAnsi"/>
          <w:spacing w:val="19"/>
          <w:sz w:val="20"/>
          <w:szCs w:val="20"/>
        </w:rPr>
        <w:t xml:space="preserve"> </w:t>
      </w:r>
      <w:r w:rsidRPr="000977F7">
        <w:rPr>
          <w:rFonts w:asciiTheme="majorHAnsi" w:hAnsiTheme="majorHAnsi"/>
          <w:sz w:val="20"/>
          <w:szCs w:val="20"/>
        </w:rPr>
        <w:t>є</w:t>
      </w:r>
      <w:r w:rsidRPr="000977F7">
        <w:rPr>
          <w:rFonts w:asciiTheme="majorHAnsi" w:hAnsiTheme="majorHAnsi"/>
          <w:spacing w:val="20"/>
          <w:sz w:val="20"/>
          <w:szCs w:val="20"/>
        </w:rPr>
        <w:t xml:space="preserve"> </w:t>
      </w:r>
      <w:r w:rsidRPr="000977F7">
        <w:rPr>
          <w:rFonts w:asciiTheme="majorHAnsi" w:hAnsiTheme="majorHAnsi"/>
          <w:sz w:val="20"/>
          <w:szCs w:val="20"/>
        </w:rPr>
        <w:t>тривалість</w:t>
      </w:r>
      <w:r w:rsidRPr="000977F7">
        <w:rPr>
          <w:rFonts w:asciiTheme="majorHAnsi" w:hAnsiTheme="majorHAnsi"/>
          <w:spacing w:val="-1"/>
          <w:sz w:val="20"/>
          <w:szCs w:val="20"/>
        </w:rPr>
        <w:t xml:space="preserve"> </w:t>
      </w:r>
      <w:r w:rsidRPr="000977F7">
        <w:rPr>
          <w:rFonts w:asciiTheme="majorHAnsi" w:hAnsiTheme="majorHAnsi"/>
          <w:sz w:val="20"/>
          <w:szCs w:val="20"/>
        </w:rPr>
        <w:t>імпульсу</w:t>
      </w:r>
      <w:r w:rsidRPr="000977F7">
        <w:rPr>
          <w:rFonts w:asciiTheme="majorHAnsi" w:hAnsiTheme="majorHAnsi"/>
          <w:spacing w:val="-1"/>
          <w:sz w:val="20"/>
          <w:szCs w:val="20"/>
        </w:rPr>
        <w:t xml:space="preserve"> </w:t>
      </w:r>
      <w:r w:rsidRPr="000977F7">
        <w:rPr>
          <w:rFonts w:asciiTheme="majorHAnsi" w:hAnsiTheme="majorHAnsi"/>
          <w:sz w:val="20"/>
          <w:szCs w:val="20"/>
        </w:rPr>
        <w:t>дієвої</w:t>
      </w:r>
      <w:r w:rsidRPr="000977F7">
        <w:rPr>
          <w:rFonts w:asciiTheme="majorHAnsi" w:hAnsiTheme="majorHAnsi"/>
          <w:spacing w:val="-2"/>
          <w:sz w:val="20"/>
          <w:szCs w:val="20"/>
        </w:rPr>
        <w:t xml:space="preserve"> </w:t>
      </w:r>
      <w:r w:rsidRPr="000977F7">
        <w:rPr>
          <w:rFonts w:asciiTheme="majorHAnsi" w:hAnsiTheme="majorHAnsi"/>
          <w:sz w:val="20"/>
          <w:szCs w:val="20"/>
        </w:rPr>
        <w:t>величини</w:t>
      </w:r>
    </w:p>
    <w:p w14:paraId="02541F8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704A557B"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Під</w:t>
      </w:r>
      <w:r w:rsidRPr="000977F7">
        <w:rPr>
          <w:rFonts w:asciiTheme="majorHAnsi" w:hAnsiTheme="majorHAnsi"/>
          <w:spacing w:val="17"/>
          <w:sz w:val="20"/>
          <w:szCs w:val="20"/>
        </w:rPr>
        <w:t xml:space="preserve"> </w:t>
      </w:r>
      <w:r w:rsidRPr="000977F7">
        <w:rPr>
          <w:rFonts w:asciiTheme="majorHAnsi" w:hAnsiTheme="majorHAnsi"/>
          <w:sz w:val="20"/>
          <w:szCs w:val="20"/>
        </w:rPr>
        <w:t>тривалістю</w:t>
      </w:r>
      <w:r w:rsidRPr="000977F7">
        <w:rPr>
          <w:rFonts w:asciiTheme="majorHAnsi" w:hAnsiTheme="majorHAnsi"/>
          <w:spacing w:val="18"/>
          <w:sz w:val="20"/>
          <w:szCs w:val="20"/>
        </w:rPr>
        <w:t xml:space="preserve"> </w:t>
      </w:r>
      <w:r w:rsidRPr="000977F7">
        <w:rPr>
          <w:rFonts w:asciiTheme="majorHAnsi" w:hAnsiTheme="majorHAnsi"/>
          <w:sz w:val="20"/>
          <w:szCs w:val="20"/>
        </w:rPr>
        <w:t>імпульсу</w:t>
      </w:r>
      <w:r w:rsidRPr="000977F7">
        <w:rPr>
          <w:rFonts w:asciiTheme="majorHAnsi" w:hAnsiTheme="majorHAnsi"/>
          <w:spacing w:val="17"/>
          <w:sz w:val="20"/>
          <w:szCs w:val="20"/>
        </w:rPr>
        <w:t xml:space="preserve"> </w:t>
      </w:r>
      <w:r w:rsidRPr="000977F7">
        <w:rPr>
          <w:rFonts w:asciiTheme="majorHAnsi" w:hAnsiTheme="majorHAnsi"/>
          <w:sz w:val="20"/>
          <w:szCs w:val="20"/>
        </w:rPr>
        <w:t>розуміють</w:t>
      </w:r>
      <w:r w:rsidRPr="000977F7">
        <w:rPr>
          <w:rFonts w:asciiTheme="majorHAnsi" w:hAnsiTheme="majorHAnsi"/>
          <w:spacing w:val="19"/>
          <w:sz w:val="20"/>
          <w:szCs w:val="20"/>
        </w:rPr>
        <w:t xml:space="preserve"> </w:t>
      </w:r>
      <w:r w:rsidRPr="000977F7">
        <w:rPr>
          <w:rFonts w:asciiTheme="majorHAnsi" w:hAnsiTheme="majorHAnsi"/>
          <w:sz w:val="20"/>
          <w:szCs w:val="20"/>
        </w:rPr>
        <w:t>тривалість</w:t>
      </w:r>
      <w:r w:rsidRPr="000977F7">
        <w:rPr>
          <w:rFonts w:asciiTheme="majorHAnsi" w:hAnsiTheme="majorHAnsi"/>
          <w:spacing w:val="18"/>
          <w:sz w:val="20"/>
          <w:szCs w:val="20"/>
        </w:rPr>
        <w:t xml:space="preserve"> </w:t>
      </w:r>
      <w:r w:rsidRPr="000977F7">
        <w:rPr>
          <w:rFonts w:asciiTheme="majorHAnsi" w:hAnsiTheme="majorHAnsi"/>
          <w:sz w:val="20"/>
          <w:szCs w:val="20"/>
        </w:rPr>
        <w:t>інтервалу</w:t>
      </w:r>
      <w:r w:rsidRPr="000977F7">
        <w:rPr>
          <w:rFonts w:asciiTheme="majorHAnsi" w:hAnsiTheme="majorHAnsi"/>
          <w:spacing w:val="32"/>
          <w:sz w:val="20"/>
          <w:szCs w:val="20"/>
        </w:rPr>
        <w:t xml:space="preserve"> </w:t>
      </w:r>
      <w:r w:rsidRPr="000977F7">
        <w:rPr>
          <w:rFonts w:asciiTheme="majorHAnsi" w:hAnsiTheme="majorHAnsi"/>
          <w:sz w:val="20"/>
          <w:szCs w:val="20"/>
        </w:rPr>
        <w:t>часу,</w:t>
      </w:r>
      <w:r w:rsidRPr="000977F7">
        <w:rPr>
          <w:rFonts w:asciiTheme="majorHAnsi" w:hAnsiTheme="majorHAnsi"/>
          <w:spacing w:val="36"/>
          <w:sz w:val="20"/>
          <w:szCs w:val="20"/>
        </w:rPr>
        <w:t xml:space="preserve"> </w:t>
      </w:r>
      <w:r w:rsidRPr="000977F7">
        <w:rPr>
          <w:rFonts w:asciiTheme="majorHAnsi" w:hAnsiTheme="majorHAnsi"/>
          <w:sz w:val="20"/>
          <w:szCs w:val="20"/>
        </w:rPr>
        <w:t>протягом</w:t>
      </w:r>
      <w:r w:rsidRPr="000977F7">
        <w:rPr>
          <w:rFonts w:asciiTheme="majorHAnsi" w:hAnsiTheme="majorHAnsi"/>
          <w:spacing w:val="37"/>
          <w:sz w:val="20"/>
          <w:szCs w:val="20"/>
        </w:rPr>
        <w:t xml:space="preserve"> </w:t>
      </w:r>
      <w:r w:rsidRPr="000977F7">
        <w:rPr>
          <w:rFonts w:asciiTheme="majorHAnsi" w:hAnsiTheme="majorHAnsi"/>
          <w:sz w:val="20"/>
          <w:szCs w:val="20"/>
        </w:rPr>
        <w:t>якого</w:t>
      </w:r>
      <w:r w:rsidRPr="000977F7">
        <w:rPr>
          <w:rFonts w:asciiTheme="majorHAnsi" w:hAnsiTheme="majorHAnsi"/>
          <w:spacing w:val="36"/>
          <w:sz w:val="20"/>
          <w:szCs w:val="20"/>
        </w:rPr>
        <w:t xml:space="preserve"> </w:t>
      </w:r>
      <w:r w:rsidRPr="000977F7">
        <w:rPr>
          <w:rFonts w:asciiTheme="majorHAnsi" w:hAnsiTheme="majorHAnsi"/>
          <w:sz w:val="20"/>
          <w:szCs w:val="20"/>
        </w:rPr>
        <w:t>значення</w:t>
      </w:r>
      <w:r w:rsidRPr="000977F7">
        <w:rPr>
          <w:rFonts w:asciiTheme="majorHAnsi" w:hAnsiTheme="majorHAnsi"/>
          <w:spacing w:val="35"/>
          <w:sz w:val="20"/>
          <w:szCs w:val="20"/>
        </w:rPr>
        <w:t xml:space="preserve"> </w:t>
      </w:r>
      <w:r w:rsidRPr="000977F7">
        <w:rPr>
          <w:rFonts w:asciiTheme="majorHAnsi" w:hAnsiTheme="majorHAnsi"/>
          <w:sz w:val="20"/>
          <w:szCs w:val="20"/>
        </w:rPr>
        <w:t>дієвої</w:t>
      </w:r>
      <w:r w:rsidRPr="000977F7">
        <w:rPr>
          <w:rFonts w:asciiTheme="majorHAnsi" w:hAnsiTheme="majorHAnsi"/>
          <w:spacing w:val="36"/>
          <w:sz w:val="20"/>
          <w:szCs w:val="20"/>
        </w:rPr>
        <w:t xml:space="preserve"> </w:t>
      </w:r>
      <w:r w:rsidRPr="000977F7">
        <w:rPr>
          <w:rFonts w:asciiTheme="majorHAnsi" w:hAnsiTheme="majorHAnsi"/>
          <w:sz w:val="20"/>
          <w:szCs w:val="20"/>
        </w:rPr>
        <w:t>величини</w:t>
      </w:r>
      <w:r w:rsidRPr="000977F7">
        <w:rPr>
          <w:rFonts w:asciiTheme="majorHAnsi" w:hAnsiTheme="majorHAnsi"/>
          <w:spacing w:val="-47"/>
          <w:sz w:val="20"/>
          <w:szCs w:val="20"/>
        </w:rPr>
        <w:t xml:space="preserve"> </w:t>
      </w:r>
      <w:r w:rsidRPr="000977F7">
        <w:rPr>
          <w:rFonts w:asciiTheme="majorHAnsi" w:hAnsiTheme="majorHAnsi"/>
          <w:sz w:val="20"/>
          <w:szCs w:val="20"/>
        </w:rPr>
        <w:t>перевищує порогове або інше встановлене значення</w:t>
      </w:r>
      <w:r w:rsidRPr="000977F7">
        <w:rPr>
          <w:rFonts w:asciiTheme="majorHAnsi" w:hAnsiTheme="majorHAnsi"/>
          <w:spacing w:val="1"/>
          <w:sz w:val="20"/>
          <w:szCs w:val="20"/>
        </w:rPr>
        <w:t xml:space="preserve"> </w:t>
      </w:r>
    </w:p>
    <w:p w14:paraId="6EBE4EE9"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2000</w:t>
      </w:r>
    </w:p>
    <w:p w14:paraId="15E641E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ЧАСОВО-ІМПУЛЬСНИЙ</w:t>
      </w:r>
      <w:r w:rsidRPr="000977F7">
        <w:rPr>
          <w:color w:val="auto"/>
          <w:spacing w:val="42"/>
          <w:sz w:val="20"/>
          <w:szCs w:val="20"/>
        </w:rPr>
        <w:t xml:space="preserve"> </w:t>
      </w:r>
      <w:r w:rsidRPr="000977F7">
        <w:rPr>
          <w:color w:val="auto"/>
          <w:sz w:val="20"/>
          <w:szCs w:val="20"/>
        </w:rPr>
        <w:t>СИГНАЛ –</w:t>
      </w:r>
    </w:p>
    <w:p w14:paraId="3D7AD4C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І</w:t>
      </w:r>
      <w:r w:rsidRPr="000977F7">
        <w:rPr>
          <w:rFonts w:asciiTheme="majorHAnsi" w:hAnsiTheme="majorHAnsi"/>
          <w:sz w:val="20"/>
          <w:szCs w:val="20"/>
        </w:rPr>
        <w:t>MPULSE</w:t>
      </w:r>
      <w:r w:rsidRPr="000977F7">
        <w:rPr>
          <w:rFonts w:asciiTheme="majorHAnsi" w:hAnsiTheme="majorHAnsi"/>
          <w:spacing w:val="-1"/>
          <w:sz w:val="20"/>
          <w:szCs w:val="20"/>
        </w:rPr>
        <w:t xml:space="preserve"> </w:t>
      </w:r>
      <w:r w:rsidRPr="000977F7">
        <w:rPr>
          <w:rFonts w:asciiTheme="majorHAnsi" w:hAnsiTheme="majorHAnsi"/>
          <w:sz w:val="20"/>
          <w:szCs w:val="20"/>
        </w:rPr>
        <w:t>– TIME</w:t>
      </w:r>
      <w:r w:rsidRPr="000977F7">
        <w:rPr>
          <w:rFonts w:asciiTheme="majorHAnsi" w:hAnsiTheme="majorHAnsi"/>
          <w:spacing w:val="47"/>
          <w:sz w:val="20"/>
          <w:szCs w:val="20"/>
        </w:rPr>
        <w:t xml:space="preserve"> </w:t>
      </w:r>
      <w:r w:rsidRPr="000977F7">
        <w:rPr>
          <w:rFonts w:asciiTheme="majorHAnsi" w:hAnsiTheme="majorHAnsi"/>
          <w:sz w:val="20"/>
          <w:szCs w:val="20"/>
        </w:rPr>
        <w:t>SIGNAL</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2C415698"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Імпульсний</w:t>
      </w:r>
      <w:r w:rsidRPr="000977F7">
        <w:rPr>
          <w:rFonts w:asciiTheme="majorHAnsi" w:hAnsiTheme="majorHAnsi"/>
          <w:spacing w:val="-6"/>
          <w:sz w:val="20"/>
          <w:szCs w:val="20"/>
        </w:rPr>
        <w:t xml:space="preserve"> </w:t>
      </w:r>
      <w:r w:rsidRPr="000977F7">
        <w:rPr>
          <w:rFonts w:asciiTheme="majorHAnsi" w:hAnsiTheme="majorHAnsi"/>
          <w:sz w:val="20"/>
          <w:szCs w:val="20"/>
        </w:rPr>
        <w:t>сигнал,</w:t>
      </w:r>
      <w:r w:rsidRPr="000977F7">
        <w:rPr>
          <w:rFonts w:asciiTheme="majorHAnsi" w:hAnsiTheme="majorHAnsi"/>
          <w:spacing w:val="-2"/>
          <w:sz w:val="20"/>
          <w:szCs w:val="20"/>
        </w:rPr>
        <w:t xml:space="preserve"> </w:t>
      </w:r>
      <w:r w:rsidRPr="000977F7">
        <w:rPr>
          <w:rFonts w:asciiTheme="majorHAnsi" w:hAnsiTheme="majorHAnsi"/>
          <w:sz w:val="20"/>
          <w:szCs w:val="20"/>
        </w:rPr>
        <w:t>інформативною</w:t>
      </w:r>
      <w:r w:rsidRPr="000977F7">
        <w:rPr>
          <w:rFonts w:asciiTheme="majorHAnsi" w:hAnsiTheme="majorHAnsi"/>
          <w:spacing w:val="-5"/>
          <w:sz w:val="20"/>
          <w:szCs w:val="20"/>
        </w:rPr>
        <w:t xml:space="preserve"> </w:t>
      </w:r>
      <w:r w:rsidRPr="000977F7">
        <w:rPr>
          <w:rFonts w:asciiTheme="majorHAnsi" w:hAnsiTheme="majorHAnsi"/>
          <w:sz w:val="20"/>
          <w:szCs w:val="20"/>
        </w:rPr>
        <w:t>ознакою</w:t>
      </w:r>
      <w:r w:rsidRPr="000977F7">
        <w:rPr>
          <w:rFonts w:asciiTheme="majorHAnsi" w:hAnsiTheme="majorHAnsi"/>
          <w:spacing w:val="-5"/>
          <w:sz w:val="20"/>
          <w:szCs w:val="20"/>
        </w:rPr>
        <w:t xml:space="preserve"> </w:t>
      </w:r>
      <w:r w:rsidRPr="000977F7">
        <w:rPr>
          <w:rFonts w:asciiTheme="majorHAnsi" w:hAnsiTheme="majorHAnsi"/>
          <w:sz w:val="20"/>
          <w:szCs w:val="20"/>
        </w:rPr>
        <w:t>або</w:t>
      </w:r>
      <w:r w:rsidRPr="000977F7">
        <w:rPr>
          <w:rFonts w:asciiTheme="majorHAnsi" w:hAnsiTheme="majorHAnsi"/>
          <w:spacing w:val="-2"/>
          <w:sz w:val="20"/>
          <w:szCs w:val="20"/>
        </w:rPr>
        <w:t xml:space="preserve"> </w:t>
      </w:r>
      <w:r w:rsidRPr="000977F7">
        <w:rPr>
          <w:rFonts w:asciiTheme="majorHAnsi" w:hAnsiTheme="majorHAnsi"/>
          <w:sz w:val="20"/>
          <w:szCs w:val="20"/>
        </w:rPr>
        <w:t>параметром</w:t>
      </w:r>
      <w:r w:rsidRPr="000977F7">
        <w:rPr>
          <w:rFonts w:asciiTheme="majorHAnsi" w:hAnsiTheme="majorHAnsi"/>
          <w:spacing w:val="26"/>
          <w:sz w:val="20"/>
          <w:szCs w:val="20"/>
        </w:rPr>
        <w:t xml:space="preserve"> </w:t>
      </w:r>
      <w:r w:rsidRPr="000977F7">
        <w:rPr>
          <w:rFonts w:asciiTheme="majorHAnsi" w:hAnsiTheme="majorHAnsi"/>
          <w:sz w:val="20"/>
          <w:szCs w:val="20"/>
        </w:rPr>
        <w:t>якого</w:t>
      </w:r>
      <w:r w:rsidRPr="000977F7">
        <w:rPr>
          <w:rFonts w:asciiTheme="majorHAnsi" w:hAnsiTheme="majorHAnsi"/>
          <w:spacing w:val="27"/>
          <w:sz w:val="20"/>
          <w:szCs w:val="20"/>
        </w:rPr>
        <w:t xml:space="preserve"> </w:t>
      </w:r>
      <w:r w:rsidRPr="000977F7">
        <w:rPr>
          <w:rFonts w:asciiTheme="majorHAnsi" w:hAnsiTheme="majorHAnsi"/>
          <w:sz w:val="20"/>
          <w:szCs w:val="20"/>
        </w:rPr>
        <w:t>є</w:t>
      </w:r>
      <w:r w:rsidRPr="000977F7">
        <w:rPr>
          <w:rFonts w:asciiTheme="majorHAnsi" w:hAnsiTheme="majorHAnsi"/>
          <w:spacing w:val="26"/>
          <w:sz w:val="20"/>
          <w:szCs w:val="20"/>
        </w:rPr>
        <w:t xml:space="preserve"> </w:t>
      </w:r>
      <w:r w:rsidRPr="000977F7">
        <w:rPr>
          <w:rFonts w:asciiTheme="majorHAnsi" w:hAnsiTheme="majorHAnsi"/>
          <w:sz w:val="20"/>
          <w:szCs w:val="20"/>
        </w:rPr>
        <w:t>тривалість</w:t>
      </w:r>
      <w:r w:rsidRPr="000977F7">
        <w:rPr>
          <w:rFonts w:asciiTheme="majorHAnsi" w:hAnsiTheme="majorHAnsi"/>
          <w:spacing w:val="28"/>
          <w:sz w:val="20"/>
          <w:szCs w:val="20"/>
        </w:rPr>
        <w:t xml:space="preserve"> </w:t>
      </w:r>
      <w:r w:rsidRPr="000977F7">
        <w:rPr>
          <w:rFonts w:asciiTheme="majorHAnsi" w:hAnsiTheme="majorHAnsi"/>
          <w:sz w:val="20"/>
          <w:szCs w:val="20"/>
        </w:rPr>
        <w:t>імпульсу</w:t>
      </w:r>
      <w:r w:rsidRPr="000977F7">
        <w:rPr>
          <w:rFonts w:asciiTheme="majorHAnsi" w:hAnsiTheme="majorHAnsi"/>
          <w:spacing w:val="25"/>
          <w:sz w:val="20"/>
          <w:szCs w:val="20"/>
        </w:rPr>
        <w:t xml:space="preserve"> </w:t>
      </w:r>
      <w:r w:rsidRPr="000977F7">
        <w:rPr>
          <w:rFonts w:asciiTheme="majorHAnsi" w:hAnsiTheme="majorHAnsi"/>
          <w:sz w:val="20"/>
          <w:szCs w:val="20"/>
        </w:rPr>
        <w:t>дієвої</w:t>
      </w:r>
      <w:r w:rsidRPr="000977F7">
        <w:rPr>
          <w:rFonts w:asciiTheme="majorHAnsi" w:hAnsiTheme="majorHAnsi"/>
          <w:spacing w:val="25"/>
          <w:sz w:val="20"/>
          <w:szCs w:val="20"/>
        </w:rPr>
        <w:t xml:space="preserve"> </w:t>
      </w:r>
      <w:r w:rsidRPr="000977F7">
        <w:rPr>
          <w:rFonts w:asciiTheme="majorHAnsi" w:hAnsiTheme="majorHAnsi"/>
          <w:sz w:val="20"/>
          <w:szCs w:val="20"/>
        </w:rPr>
        <w:t>величини,</w:t>
      </w:r>
      <w:r w:rsidRPr="000977F7">
        <w:rPr>
          <w:rFonts w:asciiTheme="majorHAnsi" w:hAnsiTheme="majorHAnsi"/>
          <w:spacing w:val="-47"/>
          <w:sz w:val="20"/>
          <w:szCs w:val="20"/>
        </w:rPr>
        <w:t xml:space="preserve"> </w:t>
      </w:r>
      <w:r w:rsidRPr="000977F7">
        <w:rPr>
          <w:rFonts w:asciiTheme="majorHAnsi" w:hAnsiTheme="majorHAnsi"/>
          <w:sz w:val="20"/>
          <w:szCs w:val="20"/>
        </w:rPr>
        <w:t>що визначається згідно з установленими правилами</w:t>
      </w:r>
      <w:r w:rsidRPr="000977F7">
        <w:rPr>
          <w:rFonts w:asciiTheme="majorHAnsi" w:hAnsiTheme="majorHAnsi"/>
          <w:spacing w:val="1"/>
          <w:sz w:val="20"/>
          <w:szCs w:val="20"/>
        </w:rPr>
        <w:t xml:space="preserve"> </w:t>
      </w:r>
    </w:p>
    <w:p w14:paraId="61A3D491"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3956</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2000</w:t>
      </w:r>
    </w:p>
    <w:p w14:paraId="651EA63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2"/>
          <w:sz w:val="20"/>
          <w:szCs w:val="20"/>
        </w:rPr>
        <w:t>ЧАСТКА</w:t>
      </w:r>
      <w:r w:rsidRPr="000977F7">
        <w:rPr>
          <w:color w:val="auto"/>
          <w:spacing w:val="-10"/>
          <w:sz w:val="20"/>
          <w:szCs w:val="20"/>
        </w:rPr>
        <w:t xml:space="preserve"> </w:t>
      </w:r>
      <w:r w:rsidRPr="000977F7">
        <w:rPr>
          <w:color w:val="auto"/>
          <w:spacing w:val="-2"/>
          <w:sz w:val="20"/>
          <w:szCs w:val="20"/>
        </w:rPr>
        <w:t>ДЕФЕКТНИХ</w:t>
      </w:r>
      <w:r w:rsidRPr="000977F7">
        <w:rPr>
          <w:color w:val="auto"/>
          <w:spacing w:val="-10"/>
          <w:sz w:val="20"/>
          <w:szCs w:val="20"/>
        </w:rPr>
        <w:t xml:space="preserve"> </w:t>
      </w:r>
      <w:r w:rsidRPr="000977F7">
        <w:rPr>
          <w:color w:val="auto"/>
          <w:spacing w:val="-1"/>
          <w:sz w:val="20"/>
          <w:szCs w:val="20"/>
        </w:rPr>
        <w:t>ОДИНИЦЬ</w:t>
      </w:r>
      <w:r w:rsidRPr="000977F7">
        <w:rPr>
          <w:color w:val="auto"/>
          <w:spacing w:val="-10"/>
          <w:sz w:val="20"/>
          <w:szCs w:val="20"/>
        </w:rPr>
        <w:t xml:space="preserve"> </w:t>
      </w:r>
      <w:r w:rsidRPr="000977F7">
        <w:rPr>
          <w:color w:val="auto"/>
          <w:spacing w:val="-1"/>
          <w:sz w:val="20"/>
          <w:szCs w:val="20"/>
        </w:rPr>
        <w:t>ПРОДУКЦ</w:t>
      </w:r>
      <w:bookmarkStart w:id="319" w:name="_Hlk105121905"/>
      <w:r w:rsidRPr="000977F7">
        <w:rPr>
          <w:color w:val="auto"/>
          <w:spacing w:val="-1"/>
          <w:sz w:val="20"/>
          <w:szCs w:val="20"/>
        </w:rPr>
        <w:t>І</w:t>
      </w:r>
      <w:bookmarkEnd w:id="319"/>
      <w:r w:rsidRPr="000977F7">
        <w:rPr>
          <w:color w:val="auto"/>
          <w:spacing w:val="-1"/>
          <w:sz w:val="20"/>
          <w:szCs w:val="20"/>
        </w:rPr>
        <w:t>Ї</w:t>
      </w:r>
      <w:r w:rsidRPr="000977F7">
        <w:rPr>
          <w:color w:val="auto"/>
          <w:spacing w:val="-8"/>
          <w:sz w:val="20"/>
          <w:szCs w:val="20"/>
        </w:rPr>
        <w:t xml:space="preserve"> </w:t>
      </w:r>
      <w:r w:rsidRPr="000977F7">
        <w:rPr>
          <w:color w:val="auto"/>
          <w:spacing w:val="-1"/>
          <w:sz w:val="20"/>
          <w:szCs w:val="20"/>
        </w:rPr>
        <w:t>–</w:t>
      </w:r>
    </w:p>
    <w:p w14:paraId="63DBD9F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FRACTION</w:t>
      </w:r>
      <w:r w:rsidRPr="004D2D14">
        <w:rPr>
          <w:rFonts w:asciiTheme="majorHAnsi" w:hAnsiTheme="majorHAnsi"/>
          <w:spacing w:val="-2"/>
          <w:sz w:val="20"/>
          <w:szCs w:val="20"/>
          <w:lang w:val="uk-UA"/>
        </w:rPr>
        <w:t xml:space="preserve"> </w:t>
      </w:r>
      <w:r w:rsidRPr="000977F7">
        <w:rPr>
          <w:rFonts w:asciiTheme="majorHAnsi" w:hAnsiTheme="majorHAnsi"/>
          <w:sz w:val="20"/>
          <w:szCs w:val="20"/>
        </w:rPr>
        <w:t>DEFECTIVE</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0445728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Відношення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кількості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дефектних одиниць</w:t>
      </w:r>
      <w:r w:rsidRPr="004D2D14">
        <w:rPr>
          <w:rFonts w:asciiTheme="majorHAnsi" w:hAnsiTheme="majorHAnsi"/>
          <w:spacing w:val="50"/>
          <w:sz w:val="20"/>
          <w:szCs w:val="20"/>
          <w:lang w:val="uk-UA"/>
        </w:rPr>
        <w:t xml:space="preserve"> </w:t>
      </w:r>
      <w:r w:rsidRPr="004D2D14">
        <w:rPr>
          <w:rFonts w:asciiTheme="majorHAnsi" w:hAnsiTheme="majorHAnsi"/>
          <w:sz w:val="20"/>
          <w:szCs w:val="20"/>
          <w:lang w:val="uk-UA"/>
        </w:rPr>
        <w:t>продукції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до загальної кількості одиниць продукції в партії чи</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потоці</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продукції</w:t>
      </w:r>
    </w:p>
    <w:p w14:paraId="7746AB4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6D25E2F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Частину</w:t>
      </w:r>
      <w:r w:rsidRPr="000977F7">
        <w:rPr>
          <w:rFonts w:asciiTheme="majorHAnsi" w:hAnsiTheme="majorHAnsi"/>
          <w:spacing w:val="-4"/>
          <w:sz w:val="20"/>
          <w:szCs w:val="20"/>
        </w:rPr>
        <w:t xml:space="preserve"> </w:t>
      </w:r>
      <w:r w:rsidRPr="000977F7">
        <w:rPr>
          <w:rFonts w:asciiTheme="majorHAnsi" w:hAnsiTheme="majorHAnsi"/>
          <w:sz w:val="20"/>
          <w:szCs w:val="20"/>
        </w:rPr>
        <w:t>дефектних</w:t>
      </w:r>
      <w:r w:rsidRPr="000977F7">
        <w:rPr>
          <w:rFonts w:asciiTheme="majorHAnsi" w:hAnsiTheme="majorHAnsi"/>
          <w:spacing w:val="-4"/>
          <w:sz w:val="20"/>
          <w:szCs w:val="20"/>
        </w:rPr>
        <w:t xml:space="preserve"> </w:t>
      </w:r>
      <w:r w:rsidRPr="000977F7">
        <w:rPr>
          <w:rFonts w:asciiTheme="majorHAnsi" w:hAnsiTheme="majorHAnsi"/>
          <w:sz w:val="20"/>
          <w:szCs w:val="20"/>
        </w:rPr>
        <w:t>одиниць подають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відсотках</w:t>
      </w:r>
    </w:p>
    <w:p w14:paraId="6181EB3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3514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97</w:t>
      </w:r>
    </w:p>
    <w:p w14:paraId="502A493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ЧАСТКА</w:t>
      </w:r>
      <w:r w:rsidRPr="000977F7">
        <w:rPr>
          <w:color w:val="auto"/>
          <w:spacing w:val="-4"/>
          <w:sz w:val="20"/>
          <w:szCs w:val="20"/>
        </w:rPr>
        <w:t xml:space="preserve"> </w:t>
      </w:r>
      <w:r w:rsidRPr="000977F7">
        <w:rPr>
          <w:color w:val="auto"/>
          <w:sz w:val="20"/>
          <w:szCs w:val="20"/>
        </w:rPr>
        <w:t>РИНКУ</w:t>
      </w:r>
      <w:r w:rsidRPr="000977F7">
        <w:rPr>
          <w:color w:val="auto"/>
          <w:spacing w:val="-1"/>
          <w:sz w:val="20"/>
          <w:szCs w:val="20"/>
        </w:rPr>
        <w:t xml:space="preserve"> </w:t>
      </w:r>
      <w:r w:rsidRPr="000977F7">
        <w:rPr>
          <w:color w:val="auto"/>
          <w:sz w:val="20"/>
          <w:szCs w:val="20"/>
        </w:rPr>
        <w:t>–</w:t>
      </w:r>
    </w:p>
    <w:p w14:paraId="0147BCD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Питома вага продукції організації в сукупному обсязі</w:t>
      </w:r>
      <w:r w:rsidRPr="000977F7">
        <w:rPr>
          <w:rFonts w:asciiTheme="majorHAnsi" w:hAnsiTheme="majorHAnsi"/>
          <w:spacing w:val="1"/>
          <w:sz w:val="20"/>
          <w:szCs w:val="20"/>
        </w:rPr>
        <w:t xml:space="preserve"> </w:t>
      </w:r>
      <w:r w:rsidRPr="000977F7">
        <w:rPr>
          <w:rFonts w:asciiTheme="majorHAnsi" w:hAnsiTheme="majorHAnsi"/>
          <w:sz w:val="20"/>
          <w:szCs w:val="20"/>
        </w:rPr>
        <w:t>реалізації</w:t>
      </w:r>
      <w:r w:rsidRPr="000977F7">
        <w:rPr>
          <w:rFonts w:asciiTheme="majorHAnsi" w:hAnsiTheme="majorHAnsi"/>
          <w:spacing w:val="1"/>
          <w:sz w:val="20"/>
          <w:szCs w:val="20"/>
        </w:rPr>
        <w:t xml:space="preserve"> </w:t>
      </w:r>
      <w:r w:rsidRPr="000977F7">
        <w:rPr>
          <w:rFonts w:asciiTheme="majorHAnsi" w:hAnsiTheme="majorHAnsi"/>
          <w:sz w:val="20"/>
          <w:szCs w:val="20"/>
        </w:rPr>
        <w:t>продукції</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1"/>
          <w:sz w:val="20"/>
          <w:szCs w:val="20"/>
        </w:rPr>
        <w:t xml:space="preserve"> </w:t>
      </w:r>
      <w:r w:rsidRPr="000977F7">
        <w:rPr>
          <w:rFonts w:asciiTheme="majorHAnsi" w:hAnsiTheme="majorHAnsi"/>
          <w:sz w:val="20"/>
          <w:szCs w:val="20"/>
        </w:rPr>
        <w:t>продажах</w:t>
      </w:r>
      <w:r w:rsidRPr="000977F7">
        <w:rPr>
          <w:rFonts w:asciiTheme="majorHAnsi" w:hAnsiTheme="majorHAnsi"/>
          <w:spacing w:val="-3"/>
          <w:sz w:val="20"/>
          <w:szCs w:val="20"/>
        </w:rPr>
        <w:t xml:space="preserve"> </w:t>
      </w:r>
      <w:r w:rsidRPr="000977F7">
        <w:rPr>
          <w:rFonts w:asciiTheme="majorHAnsi" w:hAnsiTheme="majorHAnsi"/>
          <w:sz w:val="20"/>
          <w:szCs w:val="20"/>
        </w:rPr>
        <w:t>галузі</w:t>
      </w:r>
    </w:p>
    <w:p w14:paraId="38235EB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3294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3FF6571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ЧАСТКОВА</w:t>
      </w:r>
      <w:r w:rsidRPr="000977F7">
        <w:rPr>
          <w:color w:val="auto"/>
          <w:spacing w:val="-2"/>
          <w:sz w:val="20"/>
          <w:szCs w:val="20"/>
        </w:rPr>
        <w:t xml:space="preserve"> </w:t>
      </w:r>
      <w:r w:rsidRPr="000977F7">
        <w:rPr>
          <w:color w:val="auto"/>
          <w:sz w:val="20"/>
          <w:szCs w:val="20"/>
        </w:rPr>
        <w:t>ВІДМОВА –</w:t>
      </w:r>
    </w:p>
    <w:p w14:paraId="68772DB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PARTIAL</w:t>
      </w:r>
      <w:r w:rsidRPr="000977F7">
        <w:rPr>
          <w:rFonts w:asciiTheme="majorHAnsi" w:hAnsiTheme="majorHAnsi"/>
          <w:spacing w:val="-5"/>
          <w:sz w:val="20"/>
          <w:szCs w:val="20"/>
        </w:rPr>
        <w:t xml:space="preserve"> </w:t>
      </w:r>
      <w:r w:rsidRPr="000977F7">
        <w:rPr>
          <w:rFonts w:asciiTheme="majorHAnsi" w:hAnsiTheme="majorHAnsi"/>
          <w:sz w:val="20"/>
          <w:szCs w:val="20"/>
        </w:rPr>
        <w:t>FAILURE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F22DA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 що призводить до неспроможності об’єкта</w:t>
      </w:r>
      <w:r w:rsidRPr="000977F7">
        <w:rPr>
          <w:rFonts w:asciiTheme="majorHAnsi" w:hAnsiTheme="majorHAnsi"/>
          <w:spacing w:val="1"/>
          <w:sz w:val="20"/>
          <w:szCs w:val="20"/>
        </w:rPr>
        <w:t xml:space="preserve"> </w:t>
      </w:r>
      <w:r w:rsidRPr="000977F7">
        <w:rPr>
          <w:rFonts w:asciiTheme="majorHAnsi" w:hAnsiTheme="majorHAnsi"/>
          <w:sz w:val="20"/>
          <w:szCs w:val="20"/>
        </w:rPr>
        <w:t>виконувати</w:t>
      </w:r>
      <w:r w:rsidRPr="000977F7">
        <w:rPr>
          <w:rFonts w:asciiTheme="majorHAnsi" w:hAnsiTheme="majorHAnsi"/>
          <w:spacing w:val="-2"/>
          <w:sz w:val="20"/>
          <w:szCs w:val="20"/>
        </w:rPr>
        <w:t xml:space="preserve"> </w:t>
      </w:r>
      <w:r w:rsidRPr="000977F7">
        <w:rPr>
          <w:rFonts w:asciiTheme="majorHAnsi" w:hAnsiTheme="majorHAnsi"/>
          <w:sz w:val="20"/>
          <w:szCs w:val="20"/>
        </w:rPr>
        <w:t>частину</w:t>
      </w:r>
      <w:r w:rsidRPr="000977F7">
        <w:rPr>
          <w:rFonts w:asciiTheme="majorHAnsi" w:hAnsiTheme="majorHAnsi"/>
          <w:spacing w:val="-2"/>
          <w:sz w:val="20"/>
          <w:szCs w:val="20"/>
        </w:rPr>
        <w:t xml:space="preserve"> </w:t>
      </w:r>
      <w:r w:rsidRPr="000977F7">
        <w:rPr>
          <w:rFonts w:asciiTheme="majorHAnsi" w:hAnsiTheme="majorHAnsi"/>
          <w:sz w:val="20"/>
          <w:szCs w:val="20"/>
        </w:rPr>
        <w:t>з потрібних</w:t>
      </w:r>
      <w:r w:rsidRPr="000977F7">
        <w:rPr>
          <w:rFonts w:asciiTheme="majorHAnsi" w:hAnsiTheme="majorHAnsi"/>
          <w:spacing w:val="-2"/>
          <w:sz w:val="20"/>
          <w:szCs w:val="20"/>
        </w:rPr>
        <w:t xml:space="preserve"> </w:t>
      </w:r>
      <w:r w:rsidRPr="000977F7">
        <w:rPr>
          <w:rFonts w:asciiTheme="majorHAnsi" w:hAnsiTheme="majorHAnsi"/>
          <w:sz w:val="20"/>
          <w:szCs w:val="20"/>
        </w:rPr>
        <w:t>функцій</w:t>
      </w:r>
    </w:p>
    <w:p w14:paraId="37353DB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08E69BC"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ЧАСТКОВА НЕСПРАВНІСТЬ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427AFE4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PARTIAL</w:t>
      </w:r>
      <w:r w:rsidRPr="000977F7">
        <w:rPr>
          <w:rFonts w:asciiTheme="majorHAnsi" w:hAnsiTheme="majorHAnsi"/>
          <w:spacing w:val="-3"/>
          <w:sz w:val="20"/>
          <w:szCs w:val="20"/>
        </w:rPr>
        <w:t xml:space="preserve"> </w:t>
      </w:r>
      <w:r w:rsidRPr="000977F7">
        <w:rPr>
          <w:rFonts w:asciiTheme="majorHAnsi" w:hAnsiTheme="majorHAnsi"/>
          <w:sz w:val="20"/>
          <w:szCs w:val="20"/>
        </w:rPr>
        <w:t>FAULT</w:t>
      </w:r>
      <w:r w:rsidRPr="000977F7">
        <w:rPr>
          <w:rFonts w:asciiTheme="majorHAnsi" w:hAnsiTheme="majorHAnsi"/>
          <w:spacing w:val="4"/>
          <w:sz w:val="20"/>
          <w:szCs w:val="20"/>
        </w:rPr>
        <w:t xml:space="preserve"> </w:t>
      </w:r>
      <w:r w:rsidRPr="000977F7">
        <w:rPr>
          <w:rFonts w:asciiTheme="majorHAnsi" w:hAnsiTheme="majorHAnsi"/>
          <w:sz w:val="20"/>
          <w:szCs w:val="20"/>
        </w:rPr>
        <w:t>–</w:t>
      </w:r>
    </w:p>
    <w:p w14:paraId="0378DCD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Несправність, що викликає нездатність об’єкта виконувати</w:t>
      </w:r>
      <w:r w:rsidRPr="000977F7">
        <w:rPr>
          <w:rFonts w:asciiTheme="majorHAnsi" w:hAnsiTheme="majorHAnsi"/>
          <w:spacing w:val="-2"/>
          <w:sz w:val="20"/>
          <w:szCs w:val="20"/>
        </w:rPr>
        <w:t xml:space="preserve"> </w:t>
      </w:r>
      <w:r w:rsidRPr="000977F7">
        <w:rPr>
          <w:rFonts w:asciiTheme="majorHAnsi" w:hAnsiTheme="majorHAnsi"/>
          <w:sz w:val="20"/>
          <w:szCs w:val="20"/>
        </w:rPr>
        <w:t>частину</w:t>
      </w:r>
      <w:r w:rsidRPr="000977F7">
        <w:rPr>
          <w:rFonts w:asciiTheme="majorHAnsi" w:hAnsiTheme="majorHAnsi"/>
          <w:spacing w:val="-1"/>
          <w:sz w:val="20"/>
          <w:szCs w:val="20"/>
        </w:rPr>
        <w:t xml:space="preserve"> </w:t>
      </w:r>
      <w:r w:rsidRPr="000977F7">
        <w:rPr>
          <w:rFonts w:asciiTheme="majorHAnsi" w:hAnsiTheme="majorHAnsi"/>
          <w:sz w:val="20"/>
          <w:szCs w:val="20"/>
        </w:rPr>
        <w:t>потрібних</w:t>
      </w:r>
      <w:r w:rsidRPr="000977F7">
        <w:rPr>
          <w:rFonts w:asciiTheme="majorHAnsi" w:hAnsiTheme="majorHAnsi"/>
          <w:spacing w:val="-1"/>
          <w:sz w:val="20"/>
          <w:szCs w:val="20"/>
        </w:rPr>
        <w:t xml:space="preserve"> </w:t>
      </w:r>
      <w:r w:rsidRPr="000977F7">
        <w:rPr>
          <w:rFonts w:asciiTheme="majorHAnsi" w:hAnsiTheme="majorHAnsi"/>
          <w:sz w:val="20"/>
          <w:szCs w:val="20"/>
        </w:rPr>
        <w:t>функцій</w:t>
      </w:r>
    </w:p>
    <w:p w14:paraId="4EBD7DD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5691C1D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lastRenderedPageBreak/>
        <w:t>ЧАСТКОВА</w:t>
      </w:r>
      <w:r w:rsidRPr="000977F7">
        <w:rPr>
          <w:color w:val="auto"/>
          <w:spacing w:val="-6"/>
          <w:sz w:val="20"/>
          <w:szCs w:val="20"/>
        </w:rPr>
        <w:t xml:space="preserve"> </w:t>
      </w:r>
      <w:r w:rsidRPr="000977F7">
        <w:rPr>
          <w:color w:val="auto"/>
          <w:sz w:val="20"/>
          <w:szCs w:val="20"/>
        </w:rPr>
        <w:t>ОДИНИЦЯ</w:t>
      </w:r>
      <w:r w:rsidRPr="000977F7">
        <w:rPr>
          <w:color w:val="auto"/>
          <w:spacing w:val="-7"/>
          <w:sz w:val="20"/>
          <w:szCs w:val="20"/>
        </w:rPr>
        <w:t xml:space="preserve"> </w:t>
      </w:r>
      <w:r w:rsidRPr="000977F7">
        <w:rPr>
          <w:color w:val="auto"/>
          <w:sz w:val="20"/>
          <w:szCs w:val="20"/>
        </w:rPr>
        <w:t>ФІЗИЧНОЇ</w:t>
      </w:r>
    </w:p>
    <w:p w14:paraId="30C5AD3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47"/>
          <w:sz w:val="20"/>
          <w:szCs w:val="20"/>
        </w:rPr>
        <w:t xml:space="preserve"> </w:t>
      </w:r>
      <w:r w:rsidRPr="000977F7">
        <w:rPr>
          <w:color w:val="auto"/>
          <w:sz w:val="20"/>
          <w:szCs w:val="20"/>
        </w:rPr>
        <w:t>ВЕЛИЧИНИ</w:t>
      </w:r>
      <w:r w:rsidRPr="000977F7">
        <w:rPr>
          <w:color w:val="auto"/>
          <w:spacing w:val="1"/>
          <w:sz w:val="20"/>
          <w:szCs w:val="20"/>
        </w:rPr>
        <w:t xml:space="preserve"> </w:t>
      </w:r>
      <w:r w:rsidRPr="000977F7">
        <w:rPr>
          <w:color w:val="auto"/>
          <w:sz w:val="20"/>
          <w:szCs w:val="20"/>
        </w:rPr>
        <w:t>–</w:t>
      </w:r>
    </w:p>
    <w:p w14:paraId="2A940B7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SUB-MULTIPLE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UNIT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0C88122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Одиниця фізичної величини, яка в ціле число разів</w:t>
      </w:r>
      <w:r w:rsidRPr="000977F7">
        <w:rPr>
          <w:rFonts w:asciiTheme="majorHAnsi" w:hAnsiTheme="majorHAnsi"/>
          <w:spacing w:val="1"/>
          <w:sz w:val="20"/>
          <w:szCs w:val="20"/>
        </w:rPr>
        <w:t xml:space="preserve"> </w:t>
      </w:r>
      <w:r w:rsidRPr="000977F7">
        <w:rPr>
          <w:rFonts w:asciiTheme="majorHAnsi" w:hAnsiTheme="majorHAnsi"/>
          <w:sz w:val="20"/>
          <w:szCs w:val="20"/>
        </w:rPr>
        <w:t>менша</w:t>
      </w:r>
      <w:r w:rsidRPr="000977F7">
        <w:rPr>
          <w:rFonts w:asciiTheme="majorHAnsi" w:hAnsiTheme="majorHAnsi"/>
          <w:spacing w:val="-2"/>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одиницю,</w:t>
      </w:r>
      <w:r w:rsidRPr="000977F7">
        <w:rPr>
          <w:rFonts w:asciiTheme="majorHAnsi" w:hAnsiTheme="majorHAnsi"/>
          <w:spacing w:val="-1"/>
          <w:sz w:val="20"/>
          <w:szCs w:val="20"/>
        </w:rPr>
        <w:t xml:space="preserve"> </w:t>
      </w:r>
      <w:r w:rsidRPr="000977F7">
        <w:rPr>
          <w:rFonts w:asciiTheme="majorHAnsi" w:hAnsiTheme="majorHAnsi"/>
          <w:sz w:val="20"/>
          <w:szCs w:val="20"/>
        </w:rPr>
        <w:t>від якої</w:t>
      </w:r>
      <w:r w:rsidRPr="000977F7">
        <w:rPr>
          <w:rFonts w:asciiTheme="majorHAnsi" w:hAnsiTheme="majorHAnsi"/>
          <w:spacing w:val="1"/>
          <w:sz w:val="20"/>
          <w:szCs w:val="20"/>
        </w:rPr>
        <w:t xml:space="preserve"> </w:t>
      </w:r>
      <w:r w:rsidRPr="000977F7">
        <w:rPr>
          <w:rFonts w:asciiTheme="majorHAnsi" w:hAnsiTheme="majorHAnsi"/>
          <w:sz w:val="20"/>
          <w:szCs w:val="20"/>
        </w:rPr>
        <w:t>вона</w:t>
      </w:r>
      <w:r w:rsidRPr="000977F7">
        <w:rPr>
          <w:rFonts w:asciiTheme="majorHAnsi" w:hAnsiTheme="majorHAnsi"/>
          <w:spacing w:val="1"/>
          <w:sz w:val="20"/>
          <w:szCs w:val="20"/>
        </w:rPr>
        <w:t xml:space="preserve"> </w:t>
      </w:r>
      <w:r w:rsidRPr="000977F7">
        <w:rPr>
          <w:rFonts w:asciiTheme="majorHAnsi" w:hAnsiTheme="majorHAnsi"/>
          <w:sz w:val="20"/>
          <w:szCs w:val="20"/>
        </w:rPr>
        <w:t>утворюється</w:t>
      </w:r>
    </w:p>
    <w:p w14:paraId="5B2CE75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64B3BC89"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ЧАСТОТА</w:t>
      </w:r>
      <w:r w:rsidRPr="000977F7">
        <w:rPr>
          <w:color w:val="auto"/>
          <w:spacing w:val="-2"/>
          <w:sz w:val="20"/>
          <w:szCs w:val="20"/>
        </w:rPr>
        <w:t xml:space="preserve"> </w:t>
      </w:r>
      <w:r w:rsidRPr="000977F7">
        <w:rPr>
          <w:color w:val="auto"/>
          <w:sz w:val="20"/>
          <w:szCs w:val="20"/>
        </w:rPr>
        <w:t>БИТТЯ</w:t>
      </w:r>
      <w:r w:rsidRPr="000977F7">
        <w:rPr>
          <w:color w:val="auto"/>
          <w:spacing w:val="-2"/>
          <w:sz w:val="20"/>
          <w:szCs w:val="20"/>
        </w:rPr>
        <w:t xml:space="preserve"> </w:t>
      </w:r>
      <w:r w:rsidRPr="000977F7">
        <w:rPr>
          <w:b w:val="0"/>
          <w:color w:val="auto"/>
          <w:sz w:val="20"/>
          <w:szCs w:val="20"/>
        </w:rPr>
        <w:t>–</w:t>
      </w:r>
    </w:p>
    <w:p w14:paraId="5E54BBFE"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BEAT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FREQUENCY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73BCF283"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Частота</w:t>
      </w:r>
      <w:r w:rsidRPr="000977F7">
        <w:rPr>
          <w:rFonts w:asciiTheme="majorHAnsi" w:hAnsiTheme="majorHAnsi"/>
          <w:spacing w:val="-3"/>
          <w:sz w:val="20"/>
          <w:szCs w:val="20"/>
        </w:rPr>
        <w:t xml:space="preserve"> </w:t>
      </w:r>
      <w:r w:rsidRPr="000977F7">
        <w:rPr>
          <w:rFonts w:asciiTheme="majorHAnsi" w:hAnsiTheme="majorHAnsi"/>
          <w:sz w:val="20"/>
          <w:szCs w:val="20"/>
        </w:rPr>
        <w:t>коливань</w:t>
      </w:r>
      <w:r w:rsidRPr="000977F7">
        <w:rPr>
          <w:rFonts w:asciiTheme="majorHAnsi" w:hAnsiTheme="majorHAnsi"/>
          <w:spacing w:val="-3"/>
          <w:sz w:val="20"/>
          <w:szCs w:val="20"/>
        </w:rPr>
        <w:t xml:space="preserve"> </w:t>
      </w:r>
      <w:r w:rsidRPr="000977F7">
        <w:rPr>
          <w:rFonts w:asciiTheme="majorHAnsi" w:hAnsiTheme="majorHAnsi"/>
          <w:sz w:val="20"/>
          <w:szCs w:val="20"/>
        </w:rPr>
        <w:t>значень</w:t>
      </w:r>
      <w:r w:rsidRPr="000977F7">
        <w:rPr>
          <w:rFonts w:asciiTheme="majorHAnsi" w:hAnsiTheme="majorHAnsi"/>
          <w:spacing w:val="-2"/>
          <w:sz w:val="20"/>
          <w:szCs w:val="20"/>
        </w:rPr>
        <w:t xml:space="preserve"> </w:t>
      </w:r>
      <w:r w:rsidRPr="000977F7">
        <w:rPr>
          <w:rFonts w:asciiTheme="majorHAnsi" w:hAnsiTheme="majorHAnsi"/>
          <w:sz w:val="20"/>
          <w:szCs w:val="20"/>
        </w:rPr>
        <w:t>розмаху</w:t>
      </w:r>
      <w:r w:rsidRPr="000977F7">
        <w:rPr>
          <w:rFonts w:asciiTheme="majorHAnsi" w:hAnsiTheme="majorHAnsi"/>
          <w:spacing w:val="-7"/>
          <w:sz w:val="20"/>
          <w:szCs w:val="20"/>
        </w:rPr>
        <w:t xml:space="preserve"> </w:t>
      </w:r>
      <w:r w:rsidRPr="000977F7">
        <w:rPr>
          <w:rFonts w:asciiTheme="majorHAnsi" w:hAnsiTheme="majorHAnsi"/>
          <w:sz w:val="20"/>
          <w:szCs w:val="20"/>
        </w:rPr>
        <w:t>під</w:t>
      </w:r>
      <w:r w:rsidRPr="000977F7">
        <w:rPr>
          <w:rFonts w:asciiTheme="majorHAnsi" w:hAnsiTheme="majorHAnsi"/>
          <w:spacing w:val="-3"/>
          <w:sz w:val="20"/>
          <w:szCs w:val="20"/>
        </w:rPr>
        <w:t xml:space="preserve"> </w:t>
      </w:r>
      <w:r w:rsidRPr="000977F7">
        <w:rPr>
          <w:rFonts w:asciiTheme="majorHAnsi" w:hAnsiTheme="majorHAnsi"/>
          <w:sz w:val="20"/>
          <w:szCs w:val="20"/>
        </w:rPr>
        <w:t>час</w:t>
      </w:r>
      <w:r w:rsidRPr="000977F7">
        <w:rPr>
          <w:rFonts w:asciiTheme="majorHAnsi" w:hAnsiTheme="majorHAnsi"/>
          <w:spacing w:val="-3"/>
          <w:sz w:val="20"/>
          <w:szCs w:val="20"/>
        </w:rPr>
        <w:t xml:space="preserve"> </w:t>
      </w:r>
      <w:r w:rsidRPr="000977F7">
        <w:rPr>
          <w:rFonts w:asciiTheme="majorHAnsi" w:hAnsiTheme="majorHAnsi"/>
          <w:sz w:val="20"/>
          <w:szCs w:val="20"/>
        </w:rPr>
        <w:t>биття</w:t>
      </w:r>
      <w:r w:rsidRPr="000977F7">
        <w:rPr>
          <w:rFonts w:asciiTheme="majorHAnsi" w:hAnsiTheme="majorHAnsi"/>
          <w:spacing w:val="-47"/>
          <w:sz w:val="20"/>
          <w:szCs w:val="20"/>
        </w:rPr>
        <w:t xml:space="preserve"> </w:t>
      </w:r>
    </w:p>
    <w:p w14:paraId="32B0735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646A6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w:t>
      </w:r>
      <w:r w:rsidRPr="000977F7">
        <w:rPr>
          <w:rFonts w:asciiTheme="majorHAnsi" w:hAnsiTheme="majorHAnsi"/>
          <w:spacing w:val="24"/>
          <w:sz w:val="20"/>
          <w:szCs w:val="20"/>
        </w:rPr>
        <w:t xml:space="preserve"> </w:t>
      </w:r>
      <w:r w:rsidRPr="000977F7">
        <w:rPr>
          <w:rFonts w:asciiTheme="majorHAnsi" w:hAnsiTheme="majorHAnsi"/>
          <w:sz w:val="20"/>
          <w:szCs w:val="20"/>
        </w:rPr>
        <w:t>разі</w:t>
      </w:r>
      <w:r w:rsidRPr="000977F7">
        <w:rPr>
          <w:rFonts w:asciiTheme="majorHAnsi" w:hAnsiTheme="majorHAnsi"/>
          <w:spacing w:val="20"/>
          <w:sz w:val="20"/>
          <w:szCs w:val="20"/>
        </w:rPr>
        <w:t xml:space="preserve"> </w:t>
      </w:r>
      <w:r w:rsidRPr="000977F7">
        <w:rPr>
          <w:rFonts w:asciiTheme="majorHAnsi" w:hAnsiTheme="majorHAnsi"/>
          <w:sz w:val="20"/>
          <w:szCs w:val="20"/>
        </w:rPr>
        <w:t>складання</w:t>
      </w:r>
      <w:r w:rsidRPr="000977F7">
        <w:rPr>
          <w:rFonts w:asciiTheme="majorHAnsi" w:hAnsiTheme="majorHAnsi"/>
          <w:spacing w:val="22"/>
          <w:sz w:val="20"/>
          <w:szCs w:val="20"/>
        </w:rPr>
        <w:t xml:space="preserve"> </w:t>
      </w:r>
      <w:r w:rsidRPr="000977F7">
        <w:rPr>
          <w:rFonts w:asciiTheme="majorHAnsi" w:hAnsiTheme="majorHAnsi"/>
          <w:sz w:val="20"/>
          <w:szCs w:val="20"/>
        </w:rPr>
        <w:t>двох</w:t>
      </w:r>
      <w:r w:rsidRPr="000977F7">
        <w:rPr>
          <w:rFonts w:asciiTheme="majorHAnsi" w:hAnsiTheme="majorHAnsi"/>
          <w:spacing w:val="21"/>
          <w:sz w:val="20"/>
          <w:szCs w:val="20"/>
        </w:rPr>
        <w:t xml:space="preserve"> </w:t>
      </w:r>
      <w:r w:rsidRPr="000977F7">
        <w:rPr>
          <w:rFonts w:asciiTheme="majorHAnsi" w:hAnsiTheme="majorHAnsi"/>
          <w:sz w:val="20"/>
          <w:szCs w:val="20"/>
        </w:rPr>
        <w:t>гармонічних</w:t>
      </w:r>
      <w:r w:rsidRPr="000977F7">
        <w:rPr>
          <w:rFonts w:asciiTheme="majorHAnsi" w:hAnsiTheme="majorHAnsi"/>
          <w:spacing w:val="24"/>
          <w:sz w:val="20"/>
          <w:szCs w:val="20"/>
        </w:rPr>
        <w:t xml:space="preserve"> </w:t>
      </w:r>
      <w:r w:rsidRPr="000977F7">
        <w:rPr>
          <w:rFonts w:asciiTheme="majorHAnsi" w:hAnsiTheme="majorHAnsi"/>
          <w:sz w:val="20"/>
          <w:szCs w:val="20"/>
        </w:rPr>
        <w:t>коливань</w:t>
      </w:r>
      <w:r w:rsidRPr="000977F7">
        <w:rPr>
          <w:rFonts w:asciiTheme="majorHAnsi" w:hAnsiTheme="majorHAnsi"/>
          <w:spacing w:val="23"/>
          <w:sz w:val="20"/>
          <w:szCs w:val="20"/>
        </w:rPr>
        <w:t xml:space="preserve"> </w:t>
      </w:r>
      <w:r w:rsidRPr="000977F7">
        <w:rPr>
          <w:rFonts w:asciiTheme="majorHAnsi" w:hAnsiTheme="majorHAnsi"/>
          <w:sz w:val="20"/>
          <w:szCs w:val="20"/>
        </w:rPr>
        <w:t>частота</w:t>
      </w:r>
      <w:r w:rsidRPr="000977F7">
        <w:rPr>
          <w:rFonts w:asciiTheme="majorHAnsi" w:hAnsiTheme="majorHAnsi"/>
          <w:spacing w:val="-47"/>
          <w:sz w:val="20"/>
          <w:szCs w:val="20"/>
        </w:rPr>
        <w:t xml:space="preserve"> </w:t>
      </w:r>
      <w:r w:rsidRPr="000977F7">
        <w:rPr>
          <w:rFonts w:asciiTheme="majorHAnsi" w:hAnsiTheme="majorHAnsi"/>
          <w:sz w:val="20"/>
          <w:szCs w:val="20"/>
        </w:rPr>
        <w:t>биття</w:t>
      </w:r>
      <w:r w:rsidRPr="000977F7">
        <w:rPr>
          <w:rFonts w:asciiTheme="majorHAnsi" w:hAnsiTheme="majorHAnsi"/>
          <w:spacing w:val="-2"/>
          <w:sz w:val="20"/>
          <w:szCs w:val="20"/>
        </w:rPr>
        <w:t xml:space="preserve"> </w:t>
      </w:r>
      <w:r w:rsidRPr="000977F7">
        <w:rPr>
          <w:rFonts w:asciiTheme="majorHAnsi" w:hAnsiTheme="majorHAnsi"/>
          <w:sz w:val="20"/>
          <w:szCs w:val="20"/>
        </w:rPr>
        <w:t>дорівнює різниці</w:t>
      </w:r>
      <w:r w:rsidRPr="000977F7">
        <w:rPr>
          <w:rFonts w:asciiTheme="majorHAnsi" w:hAnsiTheme="majorHAnsi"/>
          <w:spacing w:val="-2"/>
          <w:sz w:val="20"/>
          <w:szCs w:val="20"/>
        </w:rPr>
        <w:t xml:space="preserve"> </w:t>
      </w:r>
      <w:r w:rsidRPr="000977F7">
        <w:rPr>
          <w:rFonts w:asciiTheme="majorHAnsi" w:hAnsiTheme="majorHAnsi"/>
          <w:sz w:val="20"/>
          <w:szCs w:val="20"/>
        </w:rPr>
        <w:t>їхніх</w:t>
      </w:r>
      <w:r w:rsidRPr="000977F7">
        <w:rPr>
          <w:rFonts w:asciiTheme="majorHAnsi" w:hAnsiTheme="majorHAnsi"/>
          <w:spacing w:val="1"/>
          <w:sz w:val="20"/>
          <w:szCs w:val="20"/>
        </w:rPr>
        <w:t xml:space="preserve"> </w:t>
      </w:r>
      <w:r w:rsidRPr="000977F7">
        <w:rPr>
          <w:rFonts w:asciiTheme="majorHAnsi" w:hAnsiTheme="majorHAnsi"/>
          <w:sz w:val="20"/>
          <w:szCs w:val="20"/>
        </w:rPr>
        <w:t>частот</w:t>
      </w:r>
    </w:p>
    <w:p w14:paraId="4F7435C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2473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94</w:t>
      </w:r>
    </w:p>
    <w:p w14:paraId="383FD65B"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z w:val="20"/>
          <w:szCs w:val="20"/>
        </w:rPr>
        <w:t>Частота</w:t>
      </w:r>
      <w:r w:rsidRPr="000977F7">
        <w:rPr>
          <w:rFonts w:asciiTheme="majorHAnsi" w:hAnsiTheme="majorHAnsi"/>
          <w:spacing w:val="11"/>
          <w:sz w:val="20"/>
          <w:szCs w:val="20"/>
        </w:rPr>
        <w:t xml:space="preserve"> </w:t>
      </w:r>
      <w:r w:rsidRPr="000977F7">
        <w:rPr>
          <w:rFonts w:asciiTheme="majorHAnsi" w:hAnsiTheme="majorHAnsi"/>
          <w:sz w:val="20"/>
          <w:szCs w:val="20"/>
        </w:rPr>
        <w:t>коливань</w:t>
      </w:r>
      <w:r w:rsidRPr="000977F7">
        <w:rPr>
          <w:rFonts w:asciiTheme="majorHAnsi" w:hAnsiTheme="majorHAnsi"/>
          <w:spacing w:val="10"/>
          <w:sz w:val="20"/>
          <w:szCs w:val="20"/>
        </w:rPr>
        <w:t xml:space="preserve"> </w:t>
      </w:r>
      <w:r w:rsidRPr="000977F7">
        <w:rPr>
          <w:rFonts w:asciiTheme="majorHAnsi" w:hAnsiTheme="majorHAnsi"/>
          <w:sz w:val="20"/>
          <w:szCs w:val="20"/>
        </w:rPr>
        <w:t>значень</w:t>
      </w:r>
      <w:r w:rsidRPr="000977F7">
        <w:rPr>
          <w:rFonts w:asciiTheme="majorHAnsi" w:hAnsiTheme="majorHAnsi"/>
          <w:spacing w:val="11"/>
          <w:sz w:val="20"/>
          <w:szCs w:val="20"/>
        </w:rPr>
        <w:t xml:space="preserve"> </w:t>
      </w:r>
      <w:r w:rsidRPr="000977F7">
        <w:rPr>
          <w:rFonts w:asciiTheme="majorHAnsi" w:hAnsiTheme="majorHAnsi"/>
          <w:sz w:val="20"/>
          <w:szCs w:val="20"/>
        </w:rPr>
        <w:t>амплітуд</w:t>
      </w:r>
      <w:r w:rsidRPr="000977F7">
        <w:rPr>
          <w:rFonts w:asciiTheme="majorHAnsi" w:hAnsiTheme="majorHAnsi"/>
          <w:spacing w:val="10"/>
          <w:sz w:val="20"/>
          <w:szCs w:val="20"/>
        </w:rPr>
        <w:t xml:space="preserve"> </w:t>
      </w:r>
      <w:r w:rsidRPr="000977F7">
        <w:rPr>
          <w:rFonts w:asciiTheme="majorHAnsi" w:hAnsiTheme="majorHAnsi"/>
          <w:sz w:val="20"/>
          <w:szCs w:val="20"/>
        </w:rPr>
        <w:t>під</w:t>
      </w:r>
      <w:r w:rsidRPr="000977F7">
        <w:rPr>
          <w:rFonts w:asciiTheme="majorHAnsi" w:hAnsiTheme="majorHAnsi"/>
          <w:spacing w:val="10"/>
          <w:sz w:val="20"/>
          <w:szCs w:val="20"/>
        </w:rPr>
        <w:t xml:space="preserve"> </w:t>
      </w:r>
      <w:r w:rsidRPr="000977F7">
        <w:rPr>
          <w:rFonts w:asciiTheme="majorHAnsi" w:hAnsiTheme="majorHAnsi"/>
          <w:sz w:val="20"/>
          <w:szCs w:val="20"/>
        </w:rPr>
        <w:t>час</w:t>
      </w:r>
      <w:r w:rsidRPr="000977F7">
        <w:rPr>
          <w:rFonts w:asciiTheme="majorHAnsi" w:hAnsiTheme="majorHAnsi"/>
          <w:spacing w:val="11"/>
          <w:sz w:val="20"/>
          <w:szCs w:val="20"/>
        </w:rPr>
        <w:t xml:space="preserve"> </w:t>
      </w:r>
      <w:r w:rsidRPr="000977F7">
        <w:rPr>
          <w:rFonts w:asciiTheme="majorHAnsi" w:hAnsiTheme="majorHAnsi"/>
          <w:sz w:val="20"/>
          <w:szCs w:val="20"/>
        </w:rPr>
        <w:t>биття,</w:t>
      </w:r>
      <w:r w:rsidRPr="000977F7">
        <w:rPr>
          <w:rFonts w:asciiTheme="majorHAnsi" w:hAnsiTheme="majorHAnsi"/>
          <w:spacing w:val="11"/>
          <w:sz w:val="20"/>
          <w:szCs w:val="20"/>
        </w:rPr>
        <w:t xml:space="preserve"> </w:t>
      </w:r>
      <w:r w:rsidRPr="000977F7">
        <w:rPr>
          <w:rFonts w:asciiTheme="majorHAnsi" w:hAnsiTheme="majorHAnsi"/>
          <w:sz w:val="20"/>
          <w:szCs w:val="20"/>
        </w:rPr>
        <w:t>яка</w:t>
      </w:r>
      <w:r w:rsidRPr="000977F7">
        <w:rPr>
          <w:rFonts w:asciiTheme="majorHAnsi" w:hAnsiTheme="majorHAnsi"/>
          <w:spacing w:val="-47"/>
          <w:sz w:val="20"/>
          <w:szCs w:val="20"/>
        </w:rPr>
        <w:t xml:space="preserve"> </w:t>
      </w:r>
      <w:r w:rsidRPr="000977F7">
        <w:rPr>
          <w:rFonts w:asciiTheme="majorHAnsi" w:hAnsiTheme="majorHAnsi"/>
          <w:sz w:val="20"/>
          <w:szCs w:val="20"/>
        </w:rPr>
        <w:t>дорівнює різниці частот вібрацій, які складаються</w:t>
      </w:r>
    </w:p>
    <w:p w14:paraId="040F2A58"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2300</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54D817C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ЧАСТОТА</w:t>
      </w:r>
      <w:r w:rsidRPr="000977F7">
        <w:rPr>
          <w:color w:val="auto"/>
          <w:spacing w:val="-3"/>
          <w:sz w:val="20"/>
          <w:szCs w:val="20"/>
        </w:rPr>
        <w:t xml:space="preserve"> </w:t>
      </w:r>
      <w:r w:rsidRPr="000977F7">
        <w:rPr>
          <w:color w:val="auto"/>
          <w:sz w:val="20"/>
          <w:szCs w:val="20"/>
        </w:rPr>
        <w:t>ЗМІНИ</w:t>
      </w:r>
      <w:r w:rsidRPr="000977F7">
        <w:rPr>
          <w:color w:val="auto"/>
          <w:spacing w:val="-1"/>
          <w:sz w:val="20"/>
          <w:szCs w:val="20"/>
        </w:rPr>
        <w:t xml:space="preserve"> </w:t>
      </w:r>
      <w:r w:rsidRPr="000977F7">
        <w:rPr>
          <w:color w:val="auto"/>
          <w:sz w:val="20"/>
          <w:szCs w:val="20"/>
        </w:rPr>
        <w:t>НАПРУГИ</w:t>
      </w:r>
      <w:r w:rsidRPr="000977F7">
        <w:rPr>
          <w:color w:val="auto"/>
          <w:spacing w:val="1"/>
          <w:sz w:val="20"/>
          <w:szCs w:val="20"/>
        </w:rPr>
        <w:t xml:space="preserve"> </w:t>
      </w:r>
      <w:r w:rsidRPr="000977F7">
        <w:rPr>
          <w:color w:val="auto"/>
          <w:sz w:val="20"/>
          <w:szCs w:val="20"/>
        </w:rPr>
        <w:t>–</w:t>
      </w:r>
    </w:p>
    <w:p w14:paraId="01162FA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Кількість</w:t>
      </w:r>
      <w:r w:rsidRPr="000977F7">
        <w:rPr>
          <w:rFonts w:asciiTheme="majorHAnsi" w:hAnsiTheme="majorHAnsi"/>
          <w:spacing w:val="-4"/>
          <w:sz w:val="20"/>
          <w:szCs w:val="20"/>
        </w:rPr>
        <w:t xml:space="preserve"> </w:t>
      </w:r>
      <w:r w:rsidRPr="000977F7">
        <w:rPr>
          <w:rFonts w:asciiTheme="majorHAnsi" w:hAnsiTheme="majorHAnsi"/>
          <w:sz w:val="20"/>
          <w:szCs w:val="20"/>
        </w:rPr>
        <w:t>одноразових</w:t>
      </w:r>
      <w:r w:rsidRPr="000977F7">
        <w:rPr>
          <w:rFonts w:asciiTheme="majorHAnsi" w:hAnsiTheme="majorHAnsi"/>
          <w:spacing w:val="-3"/>
          <w:sz w:val="20"/>
          <w:szCs w:val="20"/>
        </w:rPr>
        <w:t xml:space="preserve"> </w:t>
      </w:r>
      <w:r w:rsidRPr="000977F7">
        <w:rPr>
          <w:rFonts w:asciiTheme="majorHAnsi" w:hAnsiTheme="majorHAnsi"/>
          <w:sz w:val="20"/>
          <w:szCs w:val="20"/>
        </w:rPr>
        <w:t>змін</w:t>
      </w:r>
      <w:r w:rsidRPr="000977F7">
        <w:rPr>
          <w:rFonts w:asciiTheme="majorHAnsi" w:hAnsiTheme="majorHAnsi"/>
          <w:spacing w:val="-1"/>
          <w:sz w:val="20"/>
          <w:szCs w:val="20"/>
        </w:rPr>
        <w:t xml:space="preserve"> </w:t>
      </w:r>
      <w:r w:rsidRPr="000977F7">
        <w:rPr>
          <w:rFonts w:asciiTheme="majorHAnsi" w:hAnsiTheme="majorHAnsi"/>
          <w:sz w:val="20"/>
          <w:szCs w:val="20"/>
        </w:rPr>
        <w:t>напруги</w:t>
      </w:r>
      <w:r w:rsidRPr="000977F7">
        <w:rPr>
          <w:rFonts w:asciiTheme="majorHAnsi" w:hAnsiTheme="majorHAnsi"/>
          <w:spacing w:val="-3"/>
          <w:sz w:val="20"/>
          <w:szCs w:val="20"/>
        </w:rPr>
        <w:t xml:space="preserve"> </w:t>
      </w:r>
      <w:r w:rsidRPr="000977F7">
        <w:rPr>
          <w:rFonts w:asciiTheme="majorHAnsi" w:hAnsiTheme="majorHAnsi"/>
          <w:sz w:val="20"/>
          <w:szCs w:val="20"/>
        </w:rPr>
        <w:t>за</w:t>
      </w:r>
      <w:r w:rsidRPr="000977F7">
        <w:rPr>
          <w:rFonts w:asciiTheme="majorHAnsi" w:hAnsiTheme="majorHAnsi"/>
          <w:spacing w:val="-2"/>
          <w:sz w:val="20"/>
          <w:szCs w:val="20"/>
        </w:rPr>
        <w:t xml:space="preserve"> </w:t>
      </w:r>
      <w:r w:rsidRPr="000977F7">
        <w:rPr>
          <w:rFonts w:asciiTheme="majorHAnsi" w:hAnsiTheme="majorHAnsi"/>
          <w:sz w:val="20"/>
          <w:szCs w:val="20"/>
        </w:rPr>
        <w:t>одиницю</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4B2DD54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3466 - 96</w:t>
      </w:r>
    </w:p>
    <w:p w14:paraId="385C01E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ЧАСТОТА</w:t>
      </w:r>
      <w:r w:rsidRPr="000977F7">
        <w:rPr>
          <w:color w:val="auto"/>
          <w:spacing w:val="-3"/>
          <w:sz w:val="20"/>
          <w:szCs w:val="20"/>
        </w:rPr>
        <w:t xml:space="preserve"> </w:t>
      </w:r>
      <w:r w:rsidRPr="000977F7">
        <w:rPr>
          <w:color w:val="auto"/>
          <w:sz w:val="20"/>
          <w:szCs w:val="20"/>
        </w:rPr>
        <w:t>ЗРІЗУ</w:t>
      </w:r>
      <w:r w:rsidRPr="000977F7">
        <w:rPr>
          <w:color w:val="auto"/>
          <w:spacing w:val="-1"/>
          <w:sz w:val="20"/>
          <w:szCs w:val="20"/>
        </w:rPr>
        <w:t xml:space="preserve"> </w:t>
      </w:r>
      <w:r w:rsidRPr="000977F7">
        <w:rPr>
          <w:color w:val="auto"/>
          <w:sz w:val="20"/>
          <w:szCs w:val="20"/>
        </w:rPr>
        <w:t>–</w:t>
      </w:r>
    </w:p>
    <w:p w14:paraId="3CC2AD1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CUT</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FREQUENCY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137692C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Частота</w:t>
      </w:r>
      <w:r w:rsidRPr="004D2D14">
        <w:rPr>
          <w:rFonts w:asciiTheme="majorHAnsi" w:hAnsiTheme="majorHAnsi"/>
          <w:sz w:val="20"/>
          <w:szCs w:val="20"/>
          <w:lang w:val="en-US"/>
        </w:rPr>
        <w:t xml:space="preserve">, </w:t>
      </w:r>
      <w:r w:rsidRPr="000977F7">
        <w:rPr>
          <w:rFonts w:asciiTheme="majorHAnsi" w:hAnsiTheme="majorHAnsi"/>
          <w:sz w:val="20"/>
          <w:szCs w:val="20"/>
        </w:rPr>
        <w:t>яка</w:t>
      </w:r>
      <w:r w:rsidRPr="004D2D14">
        <w:rPr>
          <w:rFonts w:asciiTheme="majorHAnsi" w:hAnsiTheme="majorHAnsi"/>
          <w:sz w:val="20"/>
          <w:szCs w:val="20"/>
          <w:lang w:val="en-US"/>
        </w:rPr>
        <w:t xml:space="preserve"> </w:t>
      </w:r>
      <w:r w:rsidRPr="000977F7">
        <w:rPr>
          <w:rFonts w:asciiTheme="majorHAnsi" w:hAnsiTheme="majorHAnsi"/>
          <w:sz w:val="20"/>
          <w:szCs w:val="20"/>
        </w:rPr>
        <w:t>відрізняється</w:t>
      </w:r>
      <w:r w:rsidRPr="004D2D14">
        <w:rPr>
          <w:rFonts w:asciiTheme="majorHAnsi" w:hAnsiTheme="majorHAnsi"/>
          <w:sz w:val="20"/>
          <w:szCs w:val="20"/>
          <w:lang w:val="en-US"/>
        </w:rPr>
        <w:t xml:space="preserve"> </w:t>
      </w:r>
      <w:r w:rsidRPr="000977F7">
        <w:rPr>
          <w:rFonts w:asciiTheme="majorHAnsi" w:hAnsiTheme="majorHAnsi"/>
          <w:sz w:val="20"/>
          <w:szCs w:val="20"/>
        </w:rPr>
        <w:t>від</w:t>
      </w:r>
      <w:r w:rsidRPr="004D2D14">
        <w:rPr>
          <w:rFonts w:asciiTheme="majorHAnsi" w:hAnsiTheme="majorHAnsi"/>
          <w:sz w:val="20"/>
          <w:szCs w:val="20"/>
          <w:lang w:val="en-US"/>
        </w:rPr>
        <w:t xml:space="preserve"> </w:t>
      </w:r>
      <w:r w:rsidRPr="000977F7">
        <w:rPr>
          <w:rFonts w:asciiTheme="majorHAnsi" w:hAnsiTheme="majorHAnsi"/>
          <w:sz w:val="20"/>
          <w:szCs w:val="20"/>
        </w:rPr>
        <w:t>нульової</w:t>
      </w:r>
      <w:r w:rsidRPr="004D2D14">
        <w:rPr>
          <w:rFonts w:asciiTheme="majorHAnsi" w:hAnsiTheme="majorHAnsi"/>
          <w:sz w:val="20"/>
          <w:szCs w:val="20"/>
          <w:lang w:val="en-US"/>
        </w:rPr>
        <w:t xml:space="preserve">, </w:t>
      </w:r>
      <w:r w:rsidRPr="000977F7">
        <w:rPr>
          <w:rFonts w:asciiTheme="majorHAnsi" w:hAnsiTheme="majorHAnsi"/>
          <w:sz w:val="20"/>
          <w:szCs w:val="20"/>
        </w:rPr>
        <w:t>за</w:t>
      </w:r>
      <w:r w:rsidRPr="004D2D14">
        <w:rPr>
          <w:rFonts w:asciiTheme="majorHAnsi" w:hAnsiTheme="majorHAnsi"/>
          <w:sz w:val="20"/>
          <w:szCs w:val="20"/>
          <w:lang w:val="en-US"/>
        </w:rPr>
        <w:t xml:space="preserve"> </w:t>
      </w:r>
      <w:r w:rsidRPr="000977F7">
        <w:rPr>
          <w:rFonts w:asciiTheme="majorHAnsi" w:hAnsiTheme="majorHAnsi"/>
          <w:sz w:val="20"/>
          <w:szCs w:val="20"/>
        </w:rPr>
        <w:t>якої</w:t>
      </w:r>
      <w:r w:rsidRPr="004D2D14">
        <w:rPr>
          <w:rFonts w:asciiTheme="majorHAnsi" w:hAnsiTheme="majorHAnsi"/>
          <w:sz w:val="20"/>
          <w:szCs w:val="20"/>
          <w:lang w:val="en-US"/>
        </w:rPr>
        <w:t xml:space="preserve"> </w:t>
      </w:r>
      <w:r w:rsidRPr="000977F7">
        <w:rPr>
          <w:rFonts w:asciiTheme="majorHAnsi" w:hAnsiTheme="majorHAnsi"/>
          <w:sz w:val="20"/>
          <w:szCs w:val="20"/>
        </w:rPr>
        <w:t>модуль</w:t>
      </w:r>
      <w:r w:rsidRPr="004D2D14">
        <w:rPr>
          <w:rFonts w:asciiTheme="majorHAnsi" w:hAnsiTheme="majorHAnsi"/>
          <w:spacing w:val="-47"/>
          <w:sz w:val="20"/>
          <w:szCs w:val="20"/>
          <w:lang w:val="en-US"/>
        </w:rPr>
        <w:t xml:space="preserve"> </w:t>
      </w:r>
      <w:r w:rsidRPr="000977F7">
        <w:rPr>
          <w:rFonts w:asciiTheme="majorHAnsi" w:hAnsiTheme="majorHAnsi"/>
          <w:sz w:val="20"/>
          <w:szCs w:val="20"/>
        </w:rPr>
        <w:t>частотної</w:t>
      </w:r>
      <w:r w:rsidRPr="004D2D14">
        <w:rPr>
          <w:rFonts w:asciiTheme="majorHAnsi" w:hAnsiTheme="majorHAnsi"/>
          <w:sz w:val="20"/>
          <w:szCs w:val="20"/>
          <w:lang w:val="en-US"/>
        </w:rPr>
        <w:t xml:space="preserve"> </w:t>
      </w:r>
      <w:r w:rsidRPr="000977F7">
        <w:rPr>
          <w:rFonts w:asciiTheme="majorHAnsi" w:hAnsiTheme="majorHAnsi"/>
          <w:sz w:val="20"/>
          <w:szCs w:val="20"/>
        </w:rPr>
        <w:t>передавальної</w:t>
      </w:r>
      <w:r w:rsidRPr="004D2D14">
        <w:rPr>
          <w:rFonts w:asciiTheme="majorHAnsi" w:hAnsiTheme="majorHAnsi"/>
          <w:sz w:val="20"/>
          <w:szCs w:val="20"/>
          <w:lang w:val="en-US"/>
        </w:rPr>
        <w:t xml:space="preserve"> </w:t>
      </w:r>
      <w:r w:rsidRPr="000977F7">
        <w:rPr>
          <w:rFonts w:asciiTheme="majorHAnsi" w:hAnsiTheme="majorHAnsi"/>
          <w:sz w:val="20"/>
          <w:szCs w:val="20"/>
        </w:rPr>
        <w:t>функції</w:t>
      </w:r>
      <w:r w:rsidRPr="004D2D14">
        <w:rPr>
          <w:rFonts w:asciiTheme="majorHAnsi" w:hAnsiTheme="majorHAnsi"/>
          <w:sz w:val="20"/>
          <w:szCs w:val="20"/>
          <w:lang w:val="en-US"/>
        </w:rPr>
        <w:t xml:space="preserve"> </w:t>
      </w:r>
      <w:r w:rsidRPr="000977F7">
        <w:rPr>
          <w:rFonts w:asciiTheme="majorHAnsi" w:hAnsiTheme="majorHAnsi"/>
          <w:sz w:val="20"/>
          <w:szCs w:val="20"/>
        </w:rPr>
        <w:t>набуває</w:t>
      </w:r>
      <w:r w:rsidRPr="004D2D14">
        <w:rPr>
          <w:rFonts w:asciiTheme="majorHAnsi" w:hAnsiTheme="majorHAnsi"/>
          <w:sz w:val="20"/>
          <w:szCs w:val="20"/>
          <w:lang w:val="en-US"/>
        </w:rPr>
        <w:t xml:space="preserve"> </w:t>
      </w:r>
      <w:r w:rsidRPr="000977F7">
        <w:rPr>
          <w:rFonts w:asciiTheme="majorHAnsi" w:hAnsiTheme="majorHAnsi"/>
          <w:sz w:val="20"/>
          <w:szCs w:val="20"/>
        </w:rPr>
        <w:t>значення</w:t>
      </w:r>
      <w:r w:rsidRPr="004D2D14">
        <w:rPr>
          <w:rFonts w:asciiTheme="majorHAnsi" w:hAnsiTheme="majorHAnsi"/>
          <w:sz w:val="20"/>
          <w:szCs w:val="20"/>
          <w:lang w:val="en-US"/>
        </w:rPr>
        <w:t xml:space="preserve">, </w:t>
      </w:r>
      <w:r w:rsidRPr="000977F7">
        <w:rPr>
          <w:rFonts w:asciiTheme="majorHAnsi" w:hAnsiTheme="majorHAnsi"/>
          <w:sz w:val="20"/>
          <w:szCs w:val="20"/>
        </w:rPr>
        <w:t>що</w:t>
      </w:r>
      <w:r w:rsidRPr="004D2D14">
        <w:rPr>
          <w:rFonts w:asciiTheme="majorHAnsi" w:hAnsiTheme="majorHAnsi"/>
          <w:spacing w:val="-47"/>
          <w:sz w:val="20"/>
          <w:szCs w:val="20"/>
          <w:lang w:val="en-US"/>
        </w:rPr>
        <w:t xml:space="preserve"> </w:t>
      </w:r>
      <w:r w:rsidRPr="000977F7">
        <w:rPr>
          <w:rFonts w:asciiTheme="majorHAnsi" w:hAnsiTheme="majorHAnsi"/>
          <w:sz w:val="20"/>
          <w:szCs w:val="20"/>
        </w:rPr>
        <w:t>дорівнює</w:t>
      </w:r>
      <w:r w:rsidRPr="004D2D14">
        <w:rPr>
          <w:rFonts w:asciiTheme="majorHAnsi" w:hAnsiTheme="majorHAnsi"/>
          <w:sz w:val="20"/>
          <w:szCs w:val="20"/>
          <w:lang w:val="en-US"/>
        </w:rPr>
        <w:t xml:space="preserve"> </w:t>
      </w:r>
      <w:r w:rsidRPr="000977F7">
        <w:rPr>
          <w:rFonts w:asciiTheme="majorHAnsi" w:hAnsiTheme="majorHAnsi"/>
          <w:sz w:val="20"/>
          <w:szCs w:val="20"/>
        </w:rPr>
        <w:t>значенню</w:t>
      </w:r>
      <w:r w:rsidRPr="004D2D14">
        <w:rPr>
          <w:rFonts w:asciiTheme="majorHAnsi" w:hAnsiTheme="majorHAnsi"/>
          <w:sz w:val="20"/>
          <w:szCs w:val="20"/>
          <w:lang w:val="en-US"/>
        </w:rPr>
        <w:t xml:space="preserve"> </w:t>
      </w:r>
      <w:r w:rsidRPr="000977F7">
        <w:rPr>
          <w:rFonts w:asciiTheme="majorHAnsi" w:hAnsiTheme="majorHAnsi"/>
          <w:sz w:val="20"/>
          <w:szCs w:val="20"/>
        </w:rPr>
        <w:t>цього</w:t>
      </w:r>
      <w:r w:rsidRPr="004D2D14">
        <w:rPr>
          <w:rFonts w:asciiTheme="majorHAnsi" w:hAnsiTheme="majorHAnsi"/>
          <w:sz w:val="20"/>
          <w:szCs w:val="20"/>
          <w:lang w:val="en-US"/>
        </w:rPr>
        <w:t xml:space="preserve"> </w:t>
      </w:r>
      <w:r w:rsidRPr="000977F7">
        <w:rPr>
          <w:rFonts w:asciiTheme="majorHAnsi" w:hAnsiTheme="majorHAnsi"/>
          <w:sz w:val="20"/>
          <w:szCs w:val="20"/>
        </w:rPr>
        <w:t>самого</w:t>
      </w:r>
      <w:r w:rsidRPr="004D2D14">
        <w:rPr>
          <w:rFonts w:asciiTheme="majorHAnsi" w:hAnsiTheme="majorHAnsi"/>
          <w:sz w:val="20"/>
          <w:szCs w:val="20"/>
          <w:lang w:val="en-US"/>
        </w:rPr>
        <w:t xml:space="preserve"> </w:t>
      </w:r>
      <w:r w:rsidRPr="000977F7">
        <w:rPr>
          <w:rFonts w:asciiTheme="majorHAnsi" w:hAnsiTheme="majorHAnsi"/>
          <w:sz w:val="20"/>
          <w:szCs w:val="20"/>
        </w:rPr>
        <w:t>модуля</w:t>
      </w:r>
      <w:r w:rsidRPr="004D2D14">
        <w:rPr>
          <w:rFonts w:asciiTheme="majorHAnsi" w:hAnsiTheme="majorHAnsi"/>
          <w:sz w:val="20"/>
          <w:szCs w:val="20"/>
          <w:lang w:val="en-US"/>
        </w:rPr>
        <w:t xml:space="preserve"> </w:t>
      </w:r>
      <w:r w:rsidRPr="000977F7">
        <w:rPr>
          <w:rFonts w:asciiTheme="majorHAnsi" w:hAnsiTheme="majorHAnsi"/>
          <w:sz w:val="20"/>
          <w:szCs w:val="20"/>
        </w:rPr>
        <w:t>за</w:t>
      </w:r>
      <w:r w:rsidRPr="004D2D14">
        <w:rPr>
          <w:rFonts w:asciiTheme="majorHAnsi" w:hAnsiTheme="majorHAnsi"/>
          <w:sz w:val="20"/>
          <w:szCs w:val="20"/>
          <w:lang w:val="en-US"/>
        </w:rPr>
        <w:t xml:space="preserve"> </w:t>
      </w:r>
      <w:r w:rsidRPr="000977F7">
        <w:rPr>
          <w:rFonts w:asciiTheme="majorHAnsi" w:hAnsiTheme="majorHAnsi"/>
          <w:sz w:val="20"/>
          <w:szCs w:val="20"/>
        </w:rPr>
        <w:t>частоти</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яка</w:t>
      </w:r>
      <w:r w:rsidRPr="004D2D14">
        <w:rPr>
          <w:rFonts w:asciiTheme="majorHAnsi" w:hAnsiTheme="majorHAnsi"/>
          <w:spacing w:val="-1"/>
          <w:sz w:val="20"/>
          <w:szCs w:val="20"/>
          <w:lang w:val="en-US"/>
        </w:rPr>
        <w:t xml:space="preserve"> </w:t>
      </w:r>
      <w:r w:rsidRPr="000977F7">
        <w:rPr>
          <w:rFonts w:asciiTheme="majorHAnsi" w:hAnsiTheme="majorHAnsi"/>
          <w:sz w:val="20"/>
          <w:szCs w:val="20"/>
        </w:rPr>
        <w:t>дорівнює</w:t>
      </w:r>
      <w:r w:rsidRPr="004D2D14">
        <w:rPr>
          <w:rFonts w:asciiTheme="majorHAnsi" w:hAnsiTheme="majorHAnsi"/>
          <w:sz w:val="20"/>
          <w:szCs w:val="20"/>
          <w:lang w:val="en-US"/>
        </w:rPr>
        <w:t xml:space="preserve"> </w:t>
      </w:r>
      <w:r w:rsidRPr="000977F7">
        <w:rPr>
          <w:rFonts w:asciiTheme="majorHAnsi" w:hAnsiTheme="majorHAnsi"/>
          <w:sz w:val="20"/>
          <w:szCs w:val="20"/>
        </w:rPr>
        <w:t>нулю</w:t>
      </w:r>
    </w:p>
    <w:p w14:paraId="46E9FD8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19B06CC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ЧАСТОТА ПЕРІОДИЧНИХ КОЛИВАНЬ; ЧАСТОТА –</w:t>
      </w:r>
    </w:p>
    <w:p w14:paraId="2049D96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FREQUENCY</w:t>
      </w:r>
      <w:r w:rsidRPr="004D2D14">
        <w:rPr>
          <w:rFonts w:asciiTheme="majorHAnsi" w:hAnsiTheme="majorHAnsi"/>
          <w:spacing w:val="-3"/>
          <w:sz w:val="20"/>
          <w:szCs w:val="20"/>
          <w:lang w:val="uk-UA"/>
        </w:rPr>
        <w:t xml:space="preserve"> </w:t>
      </w:r>
      <w:r w:rsidRPr="000977F7">
        <w:rPr>
          <w:rFonts w:asciiTheme="majorHAnsi" w:hAnsiTheme="majorHAnsi"/>
          <w:sz w:val="20"/>
          <w:szCs w:val="20"/>
        </w:rPr>
        <w:t>OF</w:t>
      </w:r>
      <w:r w:rsidRPr="004D2D14">
        <w:rPr>
          <w:rFonts w:asciiTheme="majorHAnsi" w:hAnsiTheme="majorHAnsi"/>
          <w:spacing w:val="-3"/>
          <w:sz w:val="20"/>
          <w:szCs w:val="20"/>
          <w:lang w:val="uk-UA"/>
        </w:rPr>
        <w:t xml:space="preserve"> </w:t>
      </w:r>
      <w:r w:rsidRPr="000977F7">
        <w:rPr>
          <w:rFonts w:asciiTheme="majorHAnsi" w:hAnsiTheme="majorHAnsi"/>
          <w:sz w:val="20"/>
          <w:szCs w:val="20"/>
        </w:rPr>
        <w:t>PERIODIC</w:t>
      </w:r>
      <w:r w:rsidRPr="004D2D14">
        <w:rPr>
          <w:rFonts w:asciiTheme="majorHAnsi" w:hAnsiTheme="majorHAnsi"/>
          <w:spacing w:val="-3"/>
          <w:sz w:val="20"/>
          <w:szCs w:val="20"/>
          <w:lang w:val="uk-UA"/>
        </w:rPr>
        <w:t xml:space="preserve"> </w:t>
      </w:r>
      <w:r w:rsidRPr="000977F7">
        <w:rPr>
          <w:rFonts w:asciiTheme="majorHAnsi" w:hAnsiTheme="majorHAnsi"/>
          <w:sz w:val="20"/>
          <w:szCs w:val="20"/>
        </w:rPr>
        <w:t>OSCILLATION</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4C24EB80" w14:textId="77777777" w:rsidR="0097612F" w:rsidRPr="004D2D14" w:rsidRDefault="0097612F" w:rsidP="000977F7">
      <w:pPr>
        <w:pStyle w:val="af6"/>
        <w:tabs>
          <w:tab w:val="left" w:pos="284"/>
        </w:tabs>
        <w:spacing w:after="0"/>
        <w:ind w:left="170"/>
        <w:mirrorIndents/>
        <w:jc w:val="both"/>
        <w:rPr>
          <w:rFonts w:asciiTheme="majorHAnsi" w:hAnsiTheme="majorHAnsi"/>
          <w:spacing w:val="-47"/>
          <w:sz w:val="20"/>
          <w:szCs w:val="20"/>
          <w:lang w:val="uk-UA"/>
        </w:rPr>
      </w:pPr>
      <w:r w:rsidRPr="004D2D14">
        <w:rPr>
          <w:rFonts w:asciiTheme="majorHAnsi" w:hAnsiTheme="majorHAnsi"/>
          <w:sz w:val="20"/>
          <w:szCs w:val="20"/>
          <w:lang w:val="uk-UA"/>
        </w:rPr>
        <w:t>Число</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періодів</w:t>
      </w:r>
      <w:r w:rsidRPr="004D2D14">
        <w:rPr>
          <w:rFonts w:asciiTheme="majorHAnsi" w:hAnsiTheme="majorHAnsi"/>
          <w:spacing w:val="-4"/>
          <w:sz w:val="20"/>
          <w:szCs w:val="20"/>
          <w:lang w:val="uk-UA"/>
        </w:rPr>
        <w:t xml:space="preserve"> </w:t>
      </w:r>
      <w:r w:rsidRPr="004D2D14">
        <w:rPr>
          <w:rFonts w:asciiTheme="majorHAnsi" w:hAnsiTheme="majorHAnsi"/>
          <w:sz w:val="20"/>
          <w:szCs w:val="20"/>
          <w:lang w:val="uk-UA"/>
        </w:rPr>
        <w:t>коливань</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за одиницю</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часу</w:t>
      </w:r>
      <w:r w:rsidRPr="004D2D14">
        <w:rPr>
          <w:rFonts w:asciiTheme="majorHAnsi" w:hAnsiTheme="majorHAnsi"/>
          <w:spacing w:val="-47"/>
          <w:sz w:val="20"/>
          <w:szCs w:val="20"/>
          <w:lang w:val="uk-UA"/>
        </w:rPr>
        <w:t xml:space="preserve"> </w:t>
      </w:r>
    </w:p>
    <w:p w14:paraId="3F6B6D1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17459C5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Величина,</w:t>
      </w:r>
      <w:r w:rsidRPr="000977F7">
        <w:rPr>
          <w:rFonts w:asciiTheme="majorHAnsi" w:hAnsiTheme="majorHAnsi"/>
          <w:spacing w:val="-4"/>
          <w:sz w:val="20"/>
          <w:szCs w:val="20"/>
        </w:rPr>
        <w:t xml:space="preserve"> </w:t>
      </w:r>
      <w:r w:rsidRPr="000977F7">
        <w:rPr>
          <w:rFonts w:asciiTheme="majorHAnsi" w:hAnsiTheme="majorHAnsi"/>
          <w:sz w:val="20"/>
          <w:szCs w:val="20"/>
        </w:rPr>
        <w:t>обернена</w:t>
      </w:r>
      <w:r w:rsidRPr="000977F7">
        <w:rPr>
          <w:rFonts w:asciiTheme="majorHAnsi" w:hAnsiTheme="majorHAnsi"/>
          <w:spacing w:val="-1"/>
          <w:sz w:val="20"/>
          <w:szCs w:val="20"/>
        </w:rPr>
        <w:t xml:space="preserve"> </w:t>
      </w:r>
      <w:r w:rsidRPr="000977F7">
        <w:rPr>
          <w:rFonts w:asciiTheme="majorHAnsi" w:hAnsiTheme="majorHAnsi"/>
          <w:sz w:val="20"/>
          <w:szCs w:val="20"/>
        </w:rPr>
        <w:t>періоду</w:t>
      </w:r>
    </w:p>
    <w:p w14:paraId="648AC4C3"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2473</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3AAB57E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ЧАСТОТА</w:t>
      </w:r>
      <w:r w:rsidRPr="000977F7">
        <w:rPr>
          <w:color w:val="auto"/>
          <w:spacing w:val="-3"/>
          <w:sz w:val="20"/>
          <w:szCs w:val="20"/>
        </w:rPr>
        <w:t xml:space="preserve"> </w:t>
      </w:r>
      <w:r w:rsidRPr="000977F7">
        <w:rPr>
          <w:color w:val="auto"/>
          <w:sz w:val="20"/>
          <w:szCs w:val="20"/>
        </w:rPr>
        <w:t>ПЕРІОДИЧНОЇ</w:t>
      </w:r>
      <w:r w:rsidRPr="000977F7">
        <w:rPr>
          <w:color w:val="auto"/>
          <w:spacing w:val="-4"/>
          <w:sz w:val="20"/>
          <w:szCs w:val="20"/>
        </w:rPr>
        <w:t xml:space="preserve"> </w:t>
      </w:r>
      <w:r w:rsidRPr="000977F7">
        <w:rPr>
          <w:color w:val="auto"/>
          <w:sz w:val="20"/>
          <w:szCs w:val="20"/>
        </w:rPr>
        <w:t>ВІБРАЦІЇ</w:t>
      </w:r>
      <w:r w:rsidRPr="000977F7">
        <w:rPr>
          <w:color w:val="auto"/>
          <w:spacing w:val="-2"/>
          <w:sz w:val="20"/>
          <w:szCs w:val="20"/>
        </w:rPr>
        <w:t xml:space="preserve"> </w:t>
      </w:r>
      <w:r w:rsidRPr="000977F7">
        <w:rPr>
          <w:color w:val="auto"/>
          <w:sz w:val="20"/>
          <w:szCs w:val="20"/>
        </w:rPr>
        <w:t>–</w:t>
      </w:r>
    </w:p>
    <w:p w14:paraId="5A58752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FREQUENCY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PERIODIC</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VIBRATION</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p w14:paraId="0E92A45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Величина,</w:t>
      </w:r>
      <w:r w:rsidRPr="000977F7">
        <w:rPr>
          <w:rFonts w:asciiTheme="majorHAnsi" w:hAnsiTheme="majorHAnsi"/>
          <w:spacing w:val="-2"/>
          <w:sz w:val="20"/>
          <w:szCs w:val="20"/>
        </w:rPr>
        <w:t xml:space="preserve"> </w:t>
      </w:r>
      <w:r w:rsidRPr="000977F7">
        <w:rPr>
          <w:rFonts w:asciiTheme="majorHAnsi" w:hAnsiTheme="majorHAnsi"/>
          <w:sz w:val="20"/>
          <w:szCs w:val="20"/>
        </w:rPr>
        <w:t>обернена до</w:t>
      </w:r>
      <w:r w:rsidRPr="000977F7">
        <w:rPr>
          <w:rFonts w:asciiTheme="majorHAnsi" w:hAnsiTheme="majorHAnsi"/>
          <w:spacing w:val="-3"/>
          <w:sz w:val="20"/>
          <w:szCs w:val="20"/>
        </w:rPr>
        <w:t xml:space="preserve"> </w:t>
      </w:r>
      <w:r w:rsidRPr="000977F7">
        <w:rPr>
          <w:rFonts w:asciiTheme="majorHAnsi" w:hAnsiTheme="majorHAnsi"/>
          <w:sz w:val="20"/>
          <w:szCs w:val="20"/>
        </w:rPr>
        <w:t>періоду</w:t>
      </w:r>
      <w:r w:rsidRPr="000977F7">
        <w:rPr>
          <w:rFonts w:asciiTheme="majorHAnsi" w:hAnsiTheme="majorHAnsi"/>
          <w:spacing w:val="-7"/>
          <w:sz w:val="20"/>
          <w:szCs w:val="20"/>
        </w:rPr>
        <w:t xml:space="preserve"> </w:t>
      </w:r>
      <w:r w:rsidRPr="000977F7">
        <w:rPr>
          <w:rFonts w:asciiTheme="majorHAnsi" w:hAnsiTheme="majorHAnsi"/>
          <w:sz w:val="20"/>
          <w:szCs w:val="20"/>
        </w:rPr>
        <w:t>вібрації</w:t>
      </w:r>
    </w:p>
    <w:p w14:paraId="2AB79BA3"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2300 – 93; ДСТУ 3011 – 95</w:t>
      </w:r>
      <w:r w:rsidRPr="000977F7">
        <w:rPr>
          <w:rFonts w:asciiTheme="majorHAnsi" w:hAnsiTheme="majorHAnsi"/>
          <w:i/>
          <w:spacing w:val="-47"/>
          <w:sz w:val="20"/>
          <w:szCs w:val="20"/>
        </w:rPr>
        <w:t xml:space="preserve"> </w:t>
      </w:r>
    </w:p>
    <w:p w14:paraId="60DA839F"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b/>
          <w:sz w:val="20"/>
          <w:szCs w:val="20"/>
        </w:rPr>
        <w:t>ЧАСТОТА СПОЛУЧЕННЯ –</w:t>
      </w:r>
      <w:r w:rsidRPr="000977F7">
        <w:rPr>
          <w:rFonts w:asciiTheme="majorHAnsi" w:hAnsiTheme="majorHAnsi"/>
          <w:b/>
          <w:spacing w:val="1"/>
          <w:sz w:val="20"/>
          <w:szCs w:val="20"/>
        </w:rPr>
        <w:t xml:space="preserve"> </w:t>
      </w:r>
    </w:p>
    <w:p w14:paraId="39F8489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CORNER</w:t>
      </w:r>
      <w:r w:rsidRPr="000977F7">
        <w:rPr>
          <w:rFonts w:asciiTheme="majorHAnsi" w:hAnsiTheme="majorHAnsi"/>
          <w:spacing w:val="-2"/>
          <w:sz w:val="20"/>
          <w:szCs w:val="20"/>
        </w:rPr>
        <w:t xml:space="preserve"> </w:t>
      </w:r>
      <w:r w:rsidRPr="000977F7">
        <w:rPr>
          <w:rFonts w:asciiTheme="majorHAnsi" w:hAnsiTheme="majorHAnsi"/>
          <w:sz w:val="20"/>
          <w:szCs w:val="20"/>
        </w:rPr>
        <w:t>FREQUENCY –</w:t>
      </w:r>
    </w:p>
    <w:p w14:paraId="0504F2C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Значення частоти в точці змінювання нахилу ламаної лінії асимптотичної амплітудно-частотної характеристики </w:t>
      </w:r>
    </w:p>
    <w:p w14:paraId="29E207FF"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3956</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2000</w:t>
      </w:r>
    </w:p>
    <w:p w14:paraId="5F597D5A" w14:textId="77777777" w:rsidR="0097612F" w:rsidRPr="004D2D14" w:rsidRDefault="0097612F" w:rsidP="000977F7">
      <w:pPr>
        <w:tabs>
          <w:tab w:val="left" w:pos="284"/>
        </w:tabs>
        <w:spacing w:after="0" w:line="240" w:lineRule="auto"/>
        <w:ind w:left="170"/>
        <w:mirrorIndents/>
        <w:jc w:val="both"/>
        <w:rPr>
          <w:rFonts w:asciiTheme="majorHAnsi" w:hAnsiTheme="majorHAnsi"/>
          <w:spacing w:val="1"/>
          <w:sz w:val="20"/>
          <w:szCs w:val="20"/>
          <w:lang w:val="en-US"/>
        </w:rPr>
      </w:pPr>
      <w:r w:rsidRPr="000977F7">
        <w:rPr>
          <w:rFonts w:asciiTheme="majorHAnsi" w:hAnsiTheme="majorHAnsi"/>
          <w:b/>
          <w:sz w:val="20"/>
          <w:szCs w:val="20"/>
        </w:rPr>
        <w:t>ЧАСТОТА</w:t>
      </w:r>
      <w:r w:rsidRPr="004D2D14">
        <w:rPr>
          <w:rFonts w:asciiTheme="majorHAnsi" w:hAnsiTheme="majorHAnsi"/>
          <w:b/>
          <w:sz w:val="20"/>
          <w:szCs w:val="20"/>
          <w:lang w:val="en-US"/>
        </w:rPr>
        <w:t xml:space="preserve"> </w:t>
      </w:r>
      <w:r w:rsidRPr="000977F7">
        <w:rPr>
          <w:rFonts w:asciiTheme="majorHAnsi" w:hAnsiTheme="majorHAnsi"/>
          <w:b/>
          <w:sz w:val="20"/>
          <w:szCs w:val="20"/>
        </w:rPr>
        <w:t>ЦИКЛІВ</w:t>
      </w:r>
      <w:r w:rsidRPr="004D2D14">
        <w:rPr>
          <w:rFonts w:asciiTheme="majorHAnsi" w:hAnsiTheme="majorHAnsi"/>
          <w:sz w:val="20"/>
          <w:szCs w:val="20"/>
          <w:lang w:val="en-US"/>
        </w:rPr>
        <w:t xml:space="preserve">, </w:t>
      </w:r>
      <w:r w:rsidRPr="004D2D14">
        <w:rPr>
          <w:rFonts w:asciiTheme="majorHAnsi" w:hAnsiTheme="majorHAnsi"/>
          <w:b/>
          <w:sz w:val="20"/>
          <w:szCs w:val="20"/>
          <w:lang w:val="en-US"/>
        </w:rPr>
        <w:t xml:space="preserve">f </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p>
    <w:p w14:paraId="072ADCFC"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FREQUENCY</w:t>
      </w:r>
      <w:r w:rsidRPr="004D2D14">
        <w:rPr>
          <w:rFonts w:asciiTheme="majorHAnsi" w:hAnsiTheme="majorHAnsi"/>
          <w:spacing w:val="-7"/>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CYCLES</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126C699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Кількість циклів</w:t>
      </w:r>
      <w:r w:rsidRPr="000977F7">
        <w:rPr>
          <w:rFonts w:asciiTheme="majorHAnsi" w:hAnsiTheme="majorHAnsi"/>
          <w:spacing w:val="-3"/>
          <w:sz w:val="20"/>
          <w:szCs w:val="20"/>
        </w:rPr>
        <w:t xml:space="preserve"> </w:t>
      </w:r>
      <w:r w:rsidRPr="000977F7">
        <w:rPr>
          <w:rFonts w:asciiTheme="majorHAnsi" w:hAnsiTheme="majorHAnsi"/>
          <w:sz w:val="20"/>
          <w:szCs w:val="20"/>
        </w:rPr>
        <w:t>за</w:t>
      </w:r>
      <w:r w:rsidRPr="000977F7">
        <w:rPr>
          <w:rFonts w:asciiTheme="majorHAnsi" w:hAnsiTheme="majorHAnsi"/>
          <w:spacing w:val="-2"/>
          <w:sz w:val="20"/>
          <w:szCs w:val="20"/>
        </w:rPr>
        <w:t xml:space="preserve"> </w:t>
      </w:r>
      <w:r w:rsidRPr="000977F7">
        <w:rPr>
          <w:rFonts w:asciiTheme="majorHAnsi" w:hAnsiTheme="majorHAnsi"/>
          <w:sz w:val="20"/>
          <w:szCs w:val="20"/>
        </w:rPr>
        <w:t>одиницю</w:t>
      </w:r>
      <w:r w:rsidRPr="000977F7">
        <w:rPr>
          <w:rFonts w:asciiTheme="majorHAnsi" w:hAnsiTheme="majorHAnsi"/>
          <w:spacing w:val="-2"/>
          <w:sz w:val="20"/>
          <w:szCs w:val="20"/>
        </w:rPr>
        <w:t xml:space="preserve"> </w:t>
      </w:r>
      <w:r w:rsidRPr="000977F7">
        <w:rPr>
          <w:rFonts w:asciiTheme="majorHAnsi" w:hAnsiTheme="majorHAnsi"/>
          <w:sz w:val="20"/>
          <w:szCs w:val="20"/>
        </w:rPr>
        <w:t>часу</w:t>
      </w:r>
    </w:p>
    <w:p w14:paraId="641CA37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2444 - 94</w:t>
      </w:r>
    </w:p>
    <w:p w14:paraId="39B820F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ЧАСТОТНА</w:t>
      </w:r>
      <w:r w:rsidRPr="000977F7">
        <w:rPr>
          <w:color w:val="auto"/>
          <w:spacing w:val="-4"/>
          <w:sz w:val="20"/>
          <w:szCs w:val="20"/>
        </w:rPr>
        <w:t xml:space="preserve"> </w:t>
      </w:r>
      <w:r w:rsidRPr="000977F7">
        <w:rPr>
          <w:color w:val="auto"/>
          <w:sz w:val="20"/>
          <w:szCs w:val="20"/>
        </w:rPr>
        <w:t>ПЕРЕДАВАЛЬНА</w:t>
      </w:r>
      <w:r w:rsidRPr="000977F7">
        <w:rPr>
          <w:color w:val="auto"/>
          <w:spacing w:val="-3"/>
          <w:sz w:val="20"/>
          <w:szCs w:val="20"/>
        </w:rPr>
        <w:t xml:space="preserve"> </w:t>
      </w:r>
      <w:r w:rsidRPr="000977F7">
        <w:rPr>
          <w:color w:val="auto"/>
          <w:sz w:val="20"/>
          <w:szCs w:val="20"/>
        </w:rPr>
        <w:t>ФУНКЦІЯ –</w:t>
      </w:r>
    </w:p>
    <w:p w14:paraId="67D56C8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FREQUENCY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TRANSFER</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FUNCTION –</w:t>
      </w:r>
    </w:p>
    <w:p w14:paraId="01B299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Частотна характеристика, що є відношенням комплексного</w:t>
      </w:r>
      <w:r w:rsidRPr="000977F7">
        <w:rPr>
          <w:rFonts w:asciiTheme="majorHAnsi" w:hAnsiTheme="majorHAnsi"/>
          <w:spacing w:val="1"/>
          <w:sz w:val="20"/>
          <w:szCs w:val="20"/>
        </w:rPr>
        <w:t xml:space="preserve"> </w:t>
      </w:r>
      <w:r w:rsidRPr="000977F7">
        <w:rPr>
          <w:rFonts w:asciiTheme="majorHAnsi" w:hAnsiTheme="majorHAnsi"/>
          <w:sz w:val="20"/>
          <w:szCs w:val="20"/>
        </w:rPr>
        <w:t>спектра деякого</w:t>
      </w:r>
      <w:r w:rsidRPr="000977F7">
        <w:rPr>
          <w:rFonts w:asciiTheme="majorHAnsi" w:hAnsiTheme="majorHAnsi"/>
          <w:spacing w:val="1"/>
          <w:sz w:val="20"/>
          <w:szCs w:val="20"/>
        </w:rPr>
        <w:t xml:space="preserve"> </w:t>
      </w:r>
      <w:r w:rsidRPr="000977F7">
        <w:rPr>
          <w:rFonts w:asciiTheme="majorHAnsi" w:hAnsiTheme="majorHAnsi"/>
          <w:sz w:val="20"/>
          <w:szCs w:val="20"/>
        </w:rPr>
        <w:t>параметра лінійного</w:t>
      </w:r>
      <w:r w:rsidRPr="000977F7">
        <w:rPr>
          <w:rFonts w:asciiTheme="majorHAnsi" w:hAnsiTheme="majorHAnsi"/>
          <w:spacing w:val="50"/>
          <w:sz w:val="20"/>
          <w:szCs w:val="20"/>
        </w:rPr>
        <w:t xml:space="preserve"> </w:t>
      </w:r>
      <w:r w:rsidRPr="000977F7">
        <w:rPr>
          <w:rFonts w:asciiTheme="majorHAnsi" w:hAnsiTheme="majorHAnsi"/>
          <w:sz w:val="20"/>
          <w:szCs w:val="20"/>
        </w:rPr>
        <w:t>об’єкта</w:t>
      </w:r>
      <w:r w:rsidRPr="000977F7">
        <w:rPr>
          <w:rFonts w:asciiTheme="majorHAnsi" w:hAnsiTheme="majorHAnsi"/>
          <w:spacing w:val="1"/>
          <w:sz w:val="20"/>
          <w:szCs w:val="20"/>
        </w:rPr>
        <w:t xml:space="preserve"> </w:t>
      </w:r>
      <w:r w:rsidRPr="000977F7">
        <w:rPr>
          <w:rFonts w:asciiTheme="majorHAnsi" w:hAnsiTheme="majorHAnsi"/>
          <w:sz w:val="20"/>
          <w:szCs w:val="20"/>
        </w:rPr>
        <w:t>до комплексного спектра вхідного діяння, яке викликало змінення</w:t>
      </w:r>
      <w:r w:rsidRPr="000977F7">
        <w:rPr>
          <w:rFonts w:asciiTheme="majorHAnsi" w:hAnsiTheme="majorHAnsi"/>
          <w:spacing w:val="-1"/>
          <w:sz w:val="20"/>
          <w:szCs w:val="20"/>
        </w:rPr>
        <w:t xml:space="preserve"> </w:t>
      </w:r>
      <w:r w:rsidRPr="000977F7">
        <w:rPr>
          <w:rFonts w:asciiTheme="majorHAnsi" w:hAnsiTheme="majorHAnsi"/>
          <w:sz w:val="20"/>
          <w:szCs w:val="20"/>
        </w:rPr>
        <w:t>цього параметра</w:t>
      </w:r>
    </w:p>
    <w:p w14:paraId="3BA7095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 и</w:t>
      </w:r>
      <w:r w:rsidRPr="000977F7">
        <w:rPr>
          <w:rFonts w:asciiTheme="majorHAnsi" w:hAnsiTheme="majorHAnsi"/>
          <w:spacing w:val="-1"/>
          <w:sz w:val="20"/>
          <w:szCs w:val="20"/>
        </w:rPr>
        <w:t xml:space="preserve"> </w:t>
      </w:r>
      <w:r w:rsidRPr="000977F7">
        <w:rPr>
          <w:rFonts w:asciiTheme="majorHAnsi" w:hAnsiTheme="majorHAnsi"/>
          <w:sz w:val="20"/>
          <w:szCs w:val="20"/>
        </w:rPr>
        <w:t>м 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121DA16E" w14:textId="77777777" w:rsidR="0097612F" w:rsidRPr="000977F7" w:rsidRDefault="0097612F" w:rsidP="00FD39A4">
      <w:pPr>
        <w:pStyle w:val="ac"/>
        <w:widowControl w:val="0"/>
        <w:numPr>
          <w:ilvl w:val="0"/>
          <w:numId w:val="63"/>
        </w:numPr>
        <w:tabs>
          <w:tab w:val="left" w:pos="284"/>
          <w:tab w:val="left" w:pos="71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комплексним</w:t>
      </w:r>
      <w:r w:rsidRPr="000977F7">
        <w:rPr>
          <w:rFonts w:asciiTheme="majorHAnsi" w:hAnsiTheme="majorHAnsi"/>
          <w:spacing w:val="1"/>
          <w:sz w:val="20"/>
          <w:szCs w:val="20"/>
        </w:rPr>
        <w:t xml:space="preserve"> </w:t>
      </w:r>
      <w:r w:rsidRPr="000977F7">
        <w:rPr>
          <w:rFonts w:asciiTheme="majorHAnsi" w:hAnsiTheme="majorHAnsi"/>
          <w:sz w:val="20"/>
          <w:szCs w:val="20"/>
        </w:rPr>
        <w:t>спектром</w:t>
      </w:r>
      <w:r w:rsidRPr="000977F7">
        <w:rPr>
          <w:rFonts w:asciiTheme="majorHAnsi" w:hAnsiTheme="majorHAnsi"/>
          <w:spacing w:val="1"/>
          <w:sz w:val="20"/>
          <w:szCs w:val="20"/>
        </w:rPr>
        <w:t xml:space="preserve"> </w:t>
      </w:r>
      <w:r w:rsidRPr="000977F7">
        <w:rPr>
          <w:rFonts w:asciiTheme="majorHAnsi" w:hAnsiTheme="majorHAnsi"/>
          <w:sz w:val="20"/>
          <w:szCs w:val="20"/>
        </w:rPr>
        <w:t>змінюваної</w:t>
      </w:r>
      <w:r w:rsidRPr="000977F7">
        <w:rPr>
          <w:rFonts w:asciiTheme="majorHAnsi" w:hAnsiTheme="majorHAnsi"/>
          <w:spacing w:val="1"/>
          <w:sz w:val="20"/>
          <w:szCs w:val="20"/>
        </w:rPr>
        <w:t xml:space="preserve"> </w:t>
      </w:r>
      <w:r w:rsidRPr="000977F7">
        <w:rPr>
          <w:rFonts w:asciiTheme="majorHAnsi" w:hAnsiTheme="majorHAnsi"/>
          <w:sz w:val="20"/>
          <w:szCs w:val="20"/>
        </w:rPr>
        <w:t>величин</w:t>
      </w:r>
      <w:r w:rsidRPr="000977F7">
        <w:rPr>
          <w:rFonts w:asciiTheme="majorHAnsi" w:hAnsiTheme="majorHAnsi"/>
          <w:spacing w:val="1"/>
          <w:sz w:val="20"/>
          <w:szCs w:val="20"/>
        </w:rPr>
        <w:t xml:space="preserve"> </w:t>
      </w:r>
      <w:r w:rsidRPr="000977F7">
        <w:rPr>
          <w:rFonts w:asciiTheme="majorHAnsi" w:hAnsiTheme="majorHAnsi"/>
          <w:sz w:val="20"/>
          <w:szCs w:val="20"/>
        </w:rPr>
        <w:t>розуміють перетворення Фур’є аналітичної залежності</w:t>
      </w:r>
      <w:r w:rsidRPr="000977F7">
        <w:rPr>
          <w:rFonts w:asciiTheme="majorHAnsi" w:hAnsiTheme="majorHAnsi"/>
          <w:spacing w:val="-2"/>
          <w:sz w:val="20"/>
          <w:szCs w:val="20"/>
        </w:rPr>
        <w:t xml:space="preserve"> </w:t>
      </w:r>
      <w:r w:rsidRPr="000977F7">
        <w:rPr>
          <w:rFonts w:asciiTheme="majorHAnsi" w:hAnsiTheme="majorHAnsi"/>
          <w:sz w:val="20"/>
          <w:szCs w:val="20"/>
        </w:rPr>
        <w:t>змінювання</w:t>
      </w:r>
      <w:r w:rsidRPr="000977F7">
        <w:rPr>
          <w:rFonts w:asciiTheme="majorHAnsi" w:hAnsiTheme="majorHAnsi"/>
          <w:spacing w:val="-1"/>
          <w:sz w:val="20"/>
          <w:szCs w:val="20"/>
        </w:rPr>
        <w:t xml:space="preserve"> </w:t>
      </w:r>
      <w:r w:rsidRPr="000977F7">
        <w:rPr>
          <w:rFonts w:asciiTheme="majorHAnsi" w:hAnsiTheme="majorHAnsi"/>
          <w:sz w:val="20"/>
          <w:szCs w:val="20"/>
        </w:rPr>
        <w:t>цієї</w:t>
      </w:r>
      <w:r w:rsidRPr="000977F7">
        <w:rPr>
          <w:rFonts w:asciiTheme="majorHAnsi" w:hAnsiTheme="majorHAnsi"/>
          <w:spacing w:val="-2"/>
          <w:sz w:val="20"/>
          <w:szCs w:val="20"/>
        </w:rPr>
        <w:t xml:space="preserve"> </w:t>
      </w:r>
      <w:r w:rsidRPr="000977F7">
        <w:rPr>
          <w:rFonts w:asciiTheme="majorHAnsi" w:hAnsiTheme="majorHAnsi"/>
          <w:sz w:val="20"/>
          <w:szCs w:val="20"/>
        </w:rPr>
        <w:t>величини</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часі</w:t>
      </w:r>
    </w:p>
    <w:p w14:paraId="15C6AF23" w14:textId="77777777" w:rsidR="0097612F" w:rsidRPr="000977F7" w:rsidRDefault="0097612F" w:rsidP="00FD39A4">
      <w:pPr>
        <w:pStyle w:val="ac"/>
        <w:widowControl w:val="0"/>
        <w:numPr>
          <w:ilvl w:val="0"/>
          <w:numId w:val="63"/>
        </w:numPr>
        <w:tabs>
          <w:tab w:val="left" w:pos="284"/>
          <w:tab w:val="left" w:pos="649"/>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Частотна передавальна функція збігається з передавальною</w:t>
      </w:r>
      <w:r w:rsidRPr="000977F7">
        <w:rPr>
          <w:rFonts w:asciiTheme="majorHAnsi" w:hAnsiTheme="majorHAnsi"/>
          <w:spacing w:val="43"/>
          <w:sz w:val="20"/>
          <w:szCs w:val="20"/>
        </w:rPr>
        <w:t xml:space="preserve"> </w:t>
      </w:r>
      <w:r w:rsidRPr="000977F7">
        <w:rPr>
          <w:rFonts w:asciiTheme="majorHAnsi" w:hAnsiTheme="majorHAnsi"/>
          <w:sz w:val="20"/>
          <w:szCs w:val="20"/>
        </w:rPr>
        <w:t>функцією,</w:t>
      </w:r>
      <w:r w:rsidRPr="000977F7">
        <w:rPr>
          <w:rFonts w:asciiTheme="majorHAnsi" w:hAnsiTheme="majorHAnsi"/>
          <w:spacing w:val="44"/>
          <w:sz w:val="20"/>
          <w:szCs w:val="20"/>
        </w:rPr>
        <w:t xml:space="preserve"> </w:t>
      </w:r>
      <w:r w:rsidRPr="000977F7">
        <w:rPr>
          <w:rFonts w:asciiTheme="majorHAnsi" w:hAnsiTheme="majorHAnsi"/>
          <w:sz w:val="20"/>
          <w:szCs w:val="20"/>
        </w:rPr>
        <w:t>аргументом</w:t>
      </w:r>
      <w:r w:rsidRPr="000977F7">
        <w:rPr>
          <w:rFonts w:asciiTheme="majorHAnsi" w:hAnsiTheme="majorHAnsi"/>
          <w:spacing w:val="45"/>
          <w:sz w:val="20"/>
          <w:szCs w:val="20"/>
        </w:rPr>
        <w:t xml:space="preserve"> </w:t>
      </w:r>
      <w:r w:rsidRPr="000977F7">
        <w:rPr>
          <w:rFonts w:asciiTheme="majorHAnsi" w:hAnsiTheme="majorHAnsi"/>
          <w:sz w:val="20"/>
          <w:szCs w:val="20"/>
        </w:rPr>
        <w:t>якої</w:t>
      </w:r>
      <w:r w:rsidRPr="000977F7">
        <w:rPr>
          <w:rFonts w:asciiTheme="majorHAnsi" w:hAnsiTheme="majorHAnsi"/>
          <w:spacing w:val="44"/>
          <w:sz w:val="20"/>
          <w:szCs w:val="20"/>
        </w:rPr>
        <w:t xml:space="preserve"> </w:t>
      </w:r>
      <w:r w:rsidRPr="000977F7">
        <w:rPr>
          <w:rFonts w:asciiTheme="majorHAnsi" w:hAnsiTheme="majorHAnsi"/>
          <w:sz w:val="20"/>
          <w:szCs w:val="20"/>
        </w:rPr>
        <w:t>є</w:t>
      </w:r>
      <w:r w:rsidRPr="000977F7">
        <w:rPr>
          <w:rFonts w:asciiTheme="majorHAnsi" w:hAnsiTheme="majorHAnsi"/>
          <w:spacing w:val="44"/>
          <w:sz w:val="20"/>
          <w:szCs w:val="20"/>
        </w:rPr>
        <w:t xml:space="preserve"> </w:t>
      </w:r>
      <w:r w:rsidRPr="000977F7">
        <w:rPr>
          <w:rFonts w:asciiTheme="majorHAnsi" w:hAnsiTheme="majorHAnsi"/>
          <w:sz w:val="20"/>
          <w:szCs w:val="20"/>
        </w:rPr>
        <w:t>точки</w:t>
      </w:r>
      <w:r w:rsidRPr="000977F7">
        <w:rPr>
          <w:rFonts w:asciiTheme="majorHAnsi" w:hAnsiTheme="majorHAnsi"/>
          <w:spacing w:val="45"/>
          <w:sz w:val="20"/>
          <w:szCs w:val="20"/>
        </w:rPr>
        <w:t xml:space="preserve"> </w:t>
      </w:r>
      <w:r w:rsidRPr="000977F7">
        <w:rPr>
          <w:rFonts w:asciiTheme="majorHAnsi" w:hAnsiTheme="majorHAnsi"/>
          <w:sz w:val="20"/>
          <w:szCs w:val="20"/>
        </w:rPr>
        <w:t>уявної</w:t>
      </w:r>
      <w:r w:rsidRPr="000977F7">
        <w:rPr>
          <w:rFonts w:asciiTheme="majorHAnsi" w:hAnsiTheme="majorHAnsi"/>
          <w:spacing w:val="-47"/>
          <w:sz w:val="20"/>
          <w:szCs w:val="20"/>
        </w:rPr>
        <w:t xml:space="preserve"> </w:t>
      </w:r>
      <w:r w:rsidRPr="000977F7">
        <w:rPr>
          <w:rFonts w:asciiTheme="majorHAnsi" w:hAnsiTheme="majorHAnsi"/>
          <w:sz w:val="20"/>
          <w:szCs w:val="20"/>
        </w:rPr>
        <w:t>осі</w:t>
      </w:r>
      <w:r w:rsidRPr="000977F7">
        <w:rPr>
          <w:rFonts w:asciiTheme="majorHAnsi" w:hAnsiTheme="majorHAnsi"/>
          <w:spacing w:val="-1"/>
          <w:sz w:val="20"/>
          <w:szCs w:val="20"/>
        </w:rPr>
        <w:t xml:space="preserve"> </w:t>
      </w:r>
      <w:r w:rsidRPr="000977F7">
        <w:rPr>
          <w:rFonts w:asciiTheme="majorHAnsi" w:hAnsiTheme="majorHAnsi"/>
          <w:sz w:val="20"/>
          <w:szCs w:val="20"/>
        </w:rPr>
        <w:t>комплексної</w:t>
      </w:r>
      <w:r w:rsidRPr="000977F7">
        <w:rPr>
          <w:rFonts w:asciiTheme="majorHAnsi" w:hAnsiTheme="majorHAnsi"/>
          <w:spacing w:val="-1"/>
          <w:sz w:val="20"/>
          <w:szCs w:val="20"/>
        </w:rPr>
        <w:t xml:space="preserve"> </w:t>
      </w:r>
      <w:r w:rsidRPr="000977F7">
        <w:rPr>
          <w:rFonts w:asciiTheme="majorHAnsi" w:hAnsiTheme="majorHAnsi"/>
          <w:sz w:val="20"/>
          <w:szCs w:val="20"/>
        </w:rPr>
        <w:t>площини</w:t>
      </w:r>
    </w:p>
    <w:p w14:paraId="023991B5"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3956</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2000</w:t>
      </w:r>
    </w:p>
    <w:p w14:paraId="759784D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ЧАСТОТНА</w:t>
      </w:r>
      <w:r w:rsidRPr="000977F7">
        <w:rPr>
          <w:color w:val="auto"/>
          <w:spacing w:val="-5"/>
          <w:sz w:val="20"/>
          <w:szCs w:val="20"/>
        </w:rPr>
        <w:t xml:space="preserve"> </w:t>
      </w:r>
      <w:r w:rsidRPr="000977F7">
        <w:rPr>
          <w:color w:val="auto"/>
          <w:sz w:val="20"/>
          <w:szCs w:val="20"/>
        </w:rPr>
        <w:t>ХАРАКТЕРИСТИКА</w:t>
      </w:r>
      <w:r w:rsidRPr="000977F7">
        <w:rPr>
          <w:color w:val="auto"/>
          <w:spacing w:val="-3"/>
          <w:sz w:val="20"/>
          <w:szCs w:val="20"/>
        </w:rPr>
        <w:t xml:space="preserve"> </w:t>
      </w:r>
      <w:r w:rsidRPr="000977F7">
        <w:rPr>
          <w:color w:val="auto"/>
          <w:sz w:val="20"/>
          <w:szCs w:val="20"/>
        </w:rPr>
        <w:t>–</w:t>
      </w:r>
    </w:p>
    <w:p w14:paraId="50D16117" w14:textId="77777777" w:rsidR="0097612F" w:rsidRPr="004D2D14" w:rsidRDefault="0097612F" w:rsidP="000977F7">
      <w:pPr>
        <w:pStyle w:val="af6"/>
        <w:tabs>
          <w:tab w:val="left" w:pos="284"/>
        </w:tabs>
        <w:spacing w:after="0"/>
        <w:ind w:left="170"/>
        <w:mirrorIndents/>
        <w:jc w:val="both"/>
        <w:rPr>
          <w:rFonts w:asciiTheme="majorHAnsi" w:hAnsiTheme="majorHAnsi"/>
          <w:b/>
          <w:sz w:val="20"/>
          <w:szCs w:val="20"/>
          <w:lang w:val="en-US"/>
        </w:rPr>
      </w:pPr>
      <w:r w:rsidRPr="004D2D14">
        <w:rPr>
          <w:rFonts w:asciiTheme="majorHAnsi" w:hAnsiTheme="majorHAnsi"/>
          <w:sz w:val="20"/>
          <w:szCs w:val="20"/>
          <w:lang w:val="en-US"/>
        </w:rPr>
        <w:t>FREQUENCY</w:t>
      </w:r>
      <w:r w:rsidRPr="004D2D14">
        <w:rPr>
          <w:rFonts w:asciiTheme="majorHAnsi" w:hAnsiTheme="majorHAnsi"/>
          <w:spacing w:val="45"/>
          <w:sz w:val="20"/>
          <w:szCs w:val="20"/>
          <w:lang w:val="en-US"/>
        </w:rPr>
        <w:t xml:space="preserve"> </w:t>
      </w:r>
      <w:r w:rsidRPr="004D2D14">
        <w:rPr>
          <w:rFonts w:asciiTheme="majorHAnsi" w:hAnsiTheme="majorHAnsi"/>
          <w:sz w:val="20"/>
          <w:szCs w:val="20"/>
          <w:lang w:val="en-US"/>
        </w:rPr>
        <w:t xml:space="preserve">CHARACTERISTIC </w:t>
      </w:r>
      <w:r w:rsidRPr="004D2D14">
        <w:rPr>
          <w:rFonts w:asciiTheme="majorHAnsi" w:hAnsiTheme="majorHAnsi"/>
          <w:b/>
          <w:sz w:val="20"/>
          <w:szCs w:val="20"/>
          <w:lang w:val="en-US"/>
        </w:rPr>
        <w:t>–</w:t>
      </w:r>
    </w:p>
    <w:p w14:paraId="0B868680"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Динамічна</w:t>
      </w:r>
      <w:r w:rsidRPr="000977F7">
        <w:rPr>
          <w:rFonts w:asciiTheme="majorHAnsi" w:hAnsiTheme="majorHAnsi"/>
          <w:spacing w:val="14"/>
          <w:sz w:val="20"/>
          <w:szCs w:val="20"/>
        </w:rPr>
        <w:t xml:space="preserve"> </w:t>
      </w:r>
      <w:r w:rsidRPr="000977F7">
        <w:rPr>
          <w:rFonts w:asciiTheme="majorHAnsi" w:hAnsiTheme="majorHAnsi"/>
          <w:sz w:val="20"/>
          <w:szCs w:val="20"/>
        </w:rPr>
        <w:t>характеристика,</w:t>
      </w:r>
      <w:r w:rsidRPr="000977F7">
        <w:rPr>
          <w:rFonts w:asciiTheme="majorHAnsi" w:hAnsiTheme="majorHAnsi"/>
          <w:spacing w:val="15"/>
          <w:sz w:val="20"/>
          <w:szCs w:val="20"/>
        </w:rPr>
        <w:t xml:space="preserve"> </w:t>
      </w:r>
      <w:r w:rsidRPr="000977F7">
        <w:rPr>
          <w:rFonts w:asciiTheme="majorHAnsi" w:hAnsiTheme="majorHAnsi"/>
          <w:sz w:val="20"/>
          <w:szCs w:val="20"/>
        </w:rPr>
        <w:t>яка</w:t>
      </w:r>
      <w:r w:rsidRPr="000977F7">
        <w:rPr>
          <w:rFonts w:asciiTheme="majorHAnsi" w:hAnsiTheme="majorHAnsi"/>
          <w:spacing w:val="14"/>
          <w:sz w:val="20"/>
          <w:szCs w:val="20"/>
        </w:rPr>
        <w:t xml:space="preserve"> </w:t>
      </w:r>
      <w:r w:rsidRPr="000977F7">
        <w:rPr>
          <w:rFonts w:asciiTheme="majorHAnsi" w:hAnsiTheme="majorHAnsi"/>
          <w:sz w:val="20"/>
          <w:szCs w:val="20"/>
        </w:rPr>
        <w:t>описує</w:t>
      </w:r>
      <w:r w:rsidRPr="000977F7">
        <w:rPr>
          <w:rFonts w:asciiTheme="majorHAnsi" w:hAnsiTheme="majorHAnsi"/>
          <w:spacing w:val="13"/>
          <w:sz w:val="20"/>
          <w:szCs w:val="20"/>
        </w:rPr>
        <w:t xml:space="preserve"> </w:t>
      </w:r>
      <w:r w:rsidRPr="000977F7">
        <w:rPr>
          <w:rFonts w:asciiTheme="majorHAnsi" w:hAnsiTheme="majorHAnsi"/>
          <w:sz w:val="20"/>
          <w:szCs w:val="20"/>
        </w:rPr>
        <w:t>залежність</w:t>
      </w:r>
      <w:r w:rsidRPr="000977F7">
        <w:rPr>
          <w:rFonts w:asciiTheme="majorHAnsi" w:hAnsiTheme="majorHAnsi"/>
          <w:spacing w:val="15"/>
          <w:sz w:val="20"/>
          <w:szCs w:val="20"/>
        </w:rPr>
        <w:t xml:space="preserve"> </w:t>
      </w:r>
      <w:r w:rsidRPr="000977F7">
        <w:rPr>
          <w:rFonts w:asciiTheme="majorHAnsi" w:hAnsiTheme="majorHAnsi"/>
          <w:sz w:val="20"/>
          <w:szCs w:val="20"/>
        </w:rPr>
        <w:t>параметрів</w:t>
      </w:r>
      <w:r w:rsidRPr="000977F7">
        <w:rPr>
          <w:rFonts w:asciiTheme="majorHAnsi" w:hAnsiTheme="majorHAnsi"/>
          <w:spacing w:val="33"/>
          <w:sz w:val="20"/>
          <w:szCs w:val="20"/>
        </w:rPr>
        <w:t xml:space="preserve"> </w:t>
      </w:r>
      <w:r w:rsidRPr="000977F7">
        <w:rPr>
          <w:rFonts w:asciiTheme="majorHAnsi" w:hAnsiTheme="majorHAnsi"/>
          <w:sz w:val="20"/>
          <w:szCs w:val="20"/>
        </w:rPr>
        <w:t>усталеного</w:t>
      </w:r>
      <w:r w:rsidRPr="000977F7">
        <w:rPr>
          <w:rFonts w:asciiTheme="majorHAnsi" w:hAnsiTheme="majorHAnsi"/>
          <w:spacing w:val="34"/>
          <w:sz w:val="20"/>
          <w:szCs w:val="20"/>
        </w:rPr>
        <w:t xml:space="preserve"> </w:t>
      </w:r>
      <w:r w:rsidRPr="000977F7">
        <w:rPr>
          <w:rFonts w:asciiTheme="majorHAnsi" w:hAnsiTheme="majorHAnsi"/>
          <w:sz w:val="20"/>
          <w:szCs w:val="20"/>
        </w:rPr>
        <w:t>процесу</w:t>
      </w:r>
      <w:r w:rsidRPr="000977F7">
        <w:rPr>
          <w:rFonts w:asciiTheme="majorHAnsi" w:hAnsiTheme="majorHAnsi"/>
          <w:spacing w:val="31"/>
          <w:sz w:val="20"/>
          <w:szCs w:val="20"/>
        </w:rPr>
        <w:t xml:space="preserve"> </w:t>
      </w:r>
      <w:r w:rsidRPr="000977F7">
        <w:rPr>
          <w:rFonts w:asciiTheme="majorHAnsi" w:hAnsiTheme="majorHAnsi"/>
          <w:sz w:val="20"/>
          <w:szCs w:val="20"/>
        </w:rPr>
        <w:t>в</w:t>
      </w:r>
      <w:r w:rsidRPr="000977F7">
        <w:rPr>
          <w:rFonts w:asciiTheme="majorHAnsi" w:hAnsiTheme="majorHAnsi"/>
          <w:spacing w:val="31"/>
          <w:sz w:val="20"/>
          <w:szCs w:val="20"/>
        </w:rPr>
        <w:t xml:space="preserve"> </w:t>
      </w:r>
      <w:r w:rsidRPr="000977F7">
        <w:rPr>
          <w:rFonts w:asciiTheme="majorHAnsi" w:hAnsiTheme="majorHAnsi"/>
          <w:sz w:val="20"/>
          <w:szCs w:val="20"/>
        </w:rPr>
        <w:t>лінійному</w:t>
      </w:r>
      <w:r w:rsidRPr="000977F7">
        <w:rPr>
          <w:rFonts w:asciiTheme="majorHAnsi" w:hAnsiTheme="majorHAnsi"/>
          <w:spacing w:val="29"/>
          <w:sz w:val="20"/>
          <w:szCs w:val="20"/>
        </w:rPr>
        <w:t xml:space="preserve"> </w:t>
      </w:r>
      <w:r w:rsidRPr="000977F7">
        <w:rPr>
          <w:rFonts w:asciiTheme="majorHAnsi" w:hAnsiTheme="majorHAnsi"/>
          <w:sz w:val="20"/>
          <w:szCs w:val="20"/>
        </w:rPr>
        <w:t>об’єкті</w:t>
      </w:r>
      <w:r w:rsidRPr="000977F7">
        <w:rPr>
          <w:rFonts w:asciiTheme="majorHAnsi" w:hAnsiTheme="majorHAnsi"/>
          <w:spacing w:val="33"/>
          <w:sz w:val="20"/>
          <w:szCs w:val="20"/>
        </w:rPr>
        <w:t xml:space="preserve"> </w:t>
      </w:r>
      <w:r w:rsidRPr="000977F7">
        <w:rPr>
          <w:rFonts w:asciiTheme="majorHAnsi" w:hAnsiTheme="majorHAnsi"/>
          <w:sz w:val="20"/>
          <w:szCs w:val="20"/>
        </w:rPr>
        <w:t>від</w:t>
      </w:r>
      <w:r w:rsidRPr="000977F7">
        <w:rPr>
          <w:rFonts w:asciiTheme="majorHAnsi" w:hAnsiTheme="majorHAnsi"/>
          <w:spacing w:val="-47"/>
          <w:sz w:val="20"/>
          <w:szCs w:val="20"/>
        </w:rPr>
        <w:t xml:space="preserve"> </w:t>
      </w:r>
      <w:r w:rsidRPr="000977F7">
        <w:rPr>
          <w:rFonts w:asciiTheme="majorHAnsi" w:hAnsiTheme="majorHAnsi"/>
          <w:spacing w:val="-2"/>
          <w:sz w:val="20"/>
          <w:szCs w:val="20"/>
        </w:rPr>
        <w:t xml:space="preserve">параметрів гармонічного </w:t>
      </w:r>
      <w:r w:rsidRPr="000977F7">
        <w:rPr>
          <w:rFonts w:asciiTheme="majorHAnsi" w:hAnsiTheme="majorHAnsi"/>
          <w:spacing w:val="-1"/>
          <w:sz w:val="20"/>
          <w:szCs w:val="20"/>
        </w:rPr>
        <w:t>вхідного діяння на цей об’єкт</w:t>
      </w:r>
      <w:r w:rsidRPr="000977F7">
        <w:rPr>
          <w:rFonts w:asciiTheme="majorHAnsi" w:hAnsiTheme="majorHAnsi"/>
          <w:spacing w:val="-47"/>
          <w:sz w:val="20"/>
          <w:szCs w:val="20"/>
        </w:rPr>
        <w:t xml:space="preserve"> </w:t>
      </w:r>
    </w:p>
    <w:p w14:paraId="42E2997E"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3956</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 2000</w:t>
      </w:r>
    </w:p>
    <w:p w14:paraId="0A274B1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ЧАСТОТНЕ</w:t>
      </w:r>
      <w:r w:rsidRPr="000977F7">
        <w:rPr>
          <w:color w:val="auto"/>
          <w:spacing w:val="-3"/>
          <w:sz w:val="20"/>
          <w:szCs w:val="20"/>
        </w:rPr>
        <w:t xml:space="preserve"> </w:t>
      </w:r>
      <w:r w:rsidRPr="000977F7">
        <w:rPr>
          <w:color w:val="auto"/>
          <w:sz w:val="20"/>
          <w:szCs w:val="20"/>
        </w:rPr>
        <w:t>ДІЯННЯ</w:t>
      </w:r>
      <w:r w:rsidRPr="000977F7">
        <w:rPr>
          <w:color w:val="auto"/>
          <w:spacing w:val="-1"/>
          <w:sz w:val="20"/>
          <w:szCs w:val="20"/>
        </w:rPr>
        <w:t xml:space="preserve"> </w:t>
      </w:r>
      <w:r w:rsidRPr="000977F7">
        <w:rPr>
          <w:color w:val="auto"/>
          <w:sz w:val="20"/>
          <w:szCs w:val="20"/>
        </w:rPr>
        <w:t>-</w:t>
      </w:r>
    </w:p>
    <w:p w14:paraId="2077B248"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FREQUENCY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ACTION-</w:t>
      </w:r>
    </w:p>
    <w:p w14:paraId="2AFF253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Гармонічне діяння, основним параметром якого є частота</w:t>
      </w:r>
      <w:r w:rsidRPr="000977F7">
        <w:rPr>
          <w:rFonts w:asciiTheme="majorHAnsi" w:hAnsiTheme="majorHAnsi"/>
          <w:spacing w:val="-2"/>
          <w:sz w:val="20"/>
          <w:szCs w:val="20"/>
        </w:rPr>
        <w:t xml:space="preserve"> </w:t>
      </w:r>
      <w:r w:rsidRPr="000977F7">
        <w:rPr>
          <w:rFonts w:asciiTheme="majorHAnsi" w:hAnsiTheme="majorHAnsi"/>
          <w:sz w:val="20"/>
          <w:szCs w:val="20"/>
        </w:rPr>
        <w:t>періодичного</w:t>
      </w:r>
      <w:r w:rsidRPr="000977F7">
        <w:rPr>
          <w:rFonts w:asciiTheme="majorHAnsi" w:hAnsiTheme="majorHAnsi"/>
          <w:spacing w:val="-1"/>
          <w:sz w:val="20"/>
          <w:szCs w:val="20"/>
        </w:rPr>
        <w:t xml:space="preserve"> </w:t>
      </w:r>
      <w:r w:rsidRPr="000977F7">
        <w:rPr>
          <w:rFonts w:asciiTheme="majorHAnsi" w:hAnsiTheme="majorHAnsi"/>
          <w:sz w:val="20"/>
          <w:szCs w:val="20"/>
        </w:rPr>
        <w:t>змінювання</w:t>
      </w:r>
      <w:r w:rsidRPr="000977F7">
        <w:rPr>
          <w:rFonts w:asciiTheme="majorHAnsi" w:hAnsiTheme="majorHAnsi"/>
          <w:spacing w:val="-2"/>
          <w:sz w:val="20"/>
          <w:szCs w:val="20"/>
        </w:rPr>
        <w:t xml:space="preserve"> </w:t>
      </w:r>
      <w:r w:rsidRPr="000977F7">
        <w:rPr>
          <w:rFonts w:asciiTheme="majorHAnsi" w:hAnsiTheme="majorHAnsi"/>
          <w:sz w:val="20"/>
          <w:szCs w:val="20"/>
        </w:rPr>
        <w:t>дієвої</w:t>
      </w:r>
      <w:r w:rsidRPr="000977F7">
        <w:rPr>
          <w:rFonts w:asciiTheme="majorHAnsi" w:hAnsiTheme="majorHAnsi"/>
          <w:spacing w:val="-3"/>
          <w:sz w:val="20"/>
          <w:szCs w:val="20"/>
        </w:rPr>
        <w:t xml:space="preserve"> </w:t>
      </w:r>
      <w:r w:rsidRPr="000977F7">
        <w:rPr>
          <w:rFonts w:asciiTheme="majorHAnsi" w:hAnsiTheme="majorHAnsi"/>
          <w:sz w:val="20"/>
          <w:szCs w:val="20"/>
        </w:rPr>
        <w:t>величини.</w:t>
      </w:r>
    </w:p>
    <w:p w14:paraId="194447AA"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2"/>
          <w:sz w:val="20"/>
          <w:szCs w:val="20"/>
        </w:rPr>
        <w:t xml:space="preserve"> </w:t>
      </w:r>
      <w:r w:rsidRPr="000977F7">
        <w:rPr>
          <w:rFonts w:asciiTheme="majorHAnsi" w:hAnsiTheme="majorHAnsi"/>
          <w:i/>
          <w:iCs/>
          <w:sz w:val="20"/>
          <w:szCs w:val="20"/>
        </w:rPr>
        <w:t>3956</w:t>
      </w:r>
      <w:r w:rsidRPr="000977F7">
        <w:rPr>
          <w:rFonts w:asciiTheme="majorHAnsi" w:hAnsiTheme="majorHAnsi"/>
          <w:i/>
          <w:iCs/>
          <w:spacing w:val="-2"/>
          <w:sz w:val="20"/>
          <w:szCs w:val="20"/>
        </w:rPr>
        <w:t xml:space="preserve"> </w:t>
      </w:r>
      <w:r w:rsidRPr="000977F7">
        <w:rPr>
          <w:rFonts w:asciiTheme="majorHAnsi" w:hAnsiTheme="majorHAnsi"/>
          <w:i/>
          <w:iCs/>
          <w:sz w:val="20"/>
          <w:szCs w:val="20"/>
        </w:rPr>
        <w:t>– 2000</w:t>
      </w:r>
    </w:p>
    <w:p w14:paraId="6B7E089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ЧАСТОТНИЙ</w:t>
      </w:r>
      <w:r w:rsidRPr="000977F7">
        <w:rPr>
          <w:color w:val="auto"/>
          <w:spacing w:val="-2"/>
          <w:sz w:val="20"/>
          <w:szCs w:val="20"/>
        </w:rPr>
        <w:t xml:space="preserve"> </w:t>
      </w:r>
      <w:r w:rsidRPr="000977F7">
        <w:rPr>
          <w:color w:val="auto"/>
          <w:sz w:val="20"/>
          <w:szCs w:val="20"/>
        </w:rPr>
        <w:t>СИГНАЛ</w:t>
      </w:r>
      <w:r w:rsidRPr="000977F7">
        <w:rPr>
          <w:color w:val="auto"/>
          <w:spacing w:val="-1"/>
          <w:sz w:val="20"/>
          <w:szCs w:val="20"/>
        </w:rPr>
        <w:t xml:space="preserve"> </w:t>
      </w:r>
      <w:r w:rsidRPr="000977F7">
        <w:rPr>
          <w:color w:val="auto"/>
          <w:sz w:val="20"/>
          <w:szCs w:val="20"/>
        </w:rPr>
        <w:t>–</w:t>
      </w:r>
    </w:p>
    <w:p w14:paraId="5D1B8B4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FREQUENCY</w:t>
      </w:r>
      <w:r w:rsidRPr="000977F7">
        <w:rPr>
          <w:rFonts w:asciiTheme="majorHAnsi" w:hAnsiTheme="majorHAnsi"/>
          <w:spacing w:val="-4"/>
          <w:sz w:val="20"/>
          <w:szCs w:val="20"/>
        </w:rPr>
        <w:t xml:space="preserve"> </w:t>
      </w:r>
      <w:r w:rsidRPr="000977F7">
        <w:rPr>
          <w:rFonts w:asciiTheme="majorHAnsi" w:hAnsiTheme="majorHAnsi"/>
          <w:sz w:val="20"/>
          <w:szCs w:val="20"/>
        </w:rPr>
        <w:t>SIGNAL</w:t>
      </w:r>
    </w:p>
    <w:p w14:paraId="04BAEC2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Гармонічний або імпульсний сигнал, інформативною</w:t>
      </w:r>
      <w:r w:rsidRPr="000977F7">
        <w:rPr>
          <w:rFonts w:asciiTheme="majorHAnsi" w:hAnsiTheme="majorHAnsi"/>
          <w:spacing w:val="1"/>
          <w:sz w:val="20"/>
          <w:szCs w:val="20"/>
        </w:rPr>
        <w:t xml:space="preserve"> </w:t>
      </w:r>
      <w:r w:rsidRPr="000977F7">
        <w:rPr>
          <w:rFonts w:asciiTheme="majorHAnsi" w:hAnsiTheme="majorHAnsi"/>
          <w:sz w:val="20"/>
          <w:szCs w:val="20"/>
        </w:rPr>
        <w:t>ознакою або параметром якого є частота змінювання</w:t>
      </w:r>
      <w:r w:rsidRPr="000977F7">
        <w:rPr>
          <w:rFonts w:asciiTheme="majorHAnsi" w:hAnsiTheme="majorHAnsi"/>
          <w:spacing w:val="1"/>
          <w:sz w:val="20"/>
          <w:szCs w:val="20"/>
        </w:rPr>
        <w:t xml:space="preserve"> </w:t>
      </w:r>
      <w:r w:rsidRPr="000977F7">
        <w:rPr>
          <w:rFonts w:asciiTheme="majorHAnsi" w:hAnsiTheme="majorHAnsi"/>
          <w:sz w:val="20"/>
          <w:szCs w:val="20"/>
        </w:rPr>
        <w:t>дієвої</w:t>
      </w:r>
      <w:r w:rsidRPr="000977F7">
        <w:rPr>
          <w:rFonts w:asciiTheme="majorHAnsi" w:hAnsiTheme="majorHAnsi"/>
          <w:spacing w:val="-2"/>
          <w:sz w:val="20"/>
          <w:szCs w:val="20"/>
        </w:rPr>
        <w:t xml:space="preserve"> </w:t>
      </w:r>
      <w:r w:rsidRPr="000977F7">
        <w:rPr>
          <w:rFonts w:asciiTheme="majorHAnsi" w:hAnsiTheme="majorHAnsi"/>
          <w:sz w:val="20"/>
          <w:szCs w:val="20"/>
        </w:rPr>
        <w:t>величини</w:t>
      </w:r>
    </w:p>
    <w:p w14:paraId="120240F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ДСТУ</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3956</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 2000</w:t>
      </w:r>
    </w:p>
    <w:p w14:paraId="7B83821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ЧАСТОТНО-ІМПУЛЬСНЕ</w:t>
      </w:r>
      <w:r w:rsidRPr="000977F7">
        <w:rPr>
          <w:color w:val="auto"/>
          <w:spacing w:val="-6"/>
          <w:sz w:val="20"/>
          <w:szCs w:val="20"/>
        </w:rPr>
        <w:t xml:space="preserve"> </w:t>
      </w:r>
      <w:r w:rsidRPr="000977F7">
        <w:rPr>
          <w:color w:val="auto"/>
          <w:sz w:val="20"/>
          <w:szCs w:val="20"/>
        </w:rPr>
        <w:t>ДІЯННЯ</w:t>
      </w:r>
      <w:r w:rsidRPr="000977F7">
        <w:rPr>
          <w:color w:val="auto"/>
          <w:spacing w:val="-2"/>
          <w:sz w:val="20"/>
          <w:szCs w:val="20"/>
        </w:rPr>
        <w:t xml:space="preserve"> </w:t>
      </w:r>
      <w:r w:rsidRPr="000977F7">
        <w:rPr>
          <w:color w:val="auto"/>
          <w:sz w:val="20"/>
          <w:szCs w:val="20"/>
        </w:rPr>
        <w:t>–</w:t>
      </w:r>
    </w:p>
    <w:p w14:paraId="7F23CE2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IMPULSE-FREQUENCY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ACTION</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1BA8A7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Імпульсне діяння, основним параметром якого є частота</w:t>
      </w:r>
      <w:r w:rsidRPr="000977F7">
        <w:rPr>
          <w:rFonts w:asciiTheme="majorHAnsi" w:hAnsiTheme="majorHAnsi"/>
          <w:spacing w:val="-1"/>
          <w:sz w:val="20"/>
          <w:szCs w:val="20"/>
        </w:rPr>
        <w:t xml:space="preserve"> </w:t>
      </w:r>
      <w:r w:rsidRPr="000977F7">
        <w:rPr>
          <w:rFonts w:asciiTheme="majorHAnsi" w:hAnsiTheme="majorHAnsi"/>
          <w:sz w:val="20"/>
          <w:szCs w:val="20"/>
        </w:rPr>
        <w:t>імпульсів</w:t>
      </w:r>
      <w:r w:rsidRPr="000977F7">
        <w:rPr>
          <w:rFonts w:asciiTheme="majorHAnsi" w:hAnsiTheme="majorHAnsi"/>
          <w:spacing w:val="-1"/>
          <w:sz w:val="20"/>
          <w:szCs w:val="20"/>
        </w:rPr>
        <w:t xml:space="preserve"> </w:t>
      </w:r>
      <w:r w:rsidRPr="000977F7">
        <w:rPr>
          <w:rFonts w:asciiTheme="majorHAnsi" w:hAnsiTheme="majorHAnsi"/>
          <w:sz w:val="20"/>
          <w:szCs w:val="20"/>
        </w:rPr>
        <w:t>дієвої</w:t>
      </w:r>
      <w:r w:rsidRPr="000977F7">
        <w:rPr>
          <w:rFonts w:asciiTheme="majorHAnsi" w:hAnsiTheme="majorHAnsi"/>
          <w:spacing w:val="-1"/>
          <w:sz w:val="20"/>
          <w:szCs w:val="20"/>
        </w:rPr>
        <w:t xml:space="preserve"> </w:t>
      </w:r>
      <w:r w:rsidRPr="000977F7">
        <w:rPr>
          <w:rFonts w:asciiTheme="majorHAnsi" w:hAnsiTheme="majorHAnsi"/>
          <w:sz w:val="20"/>
          <w:szCs w:val="20"/>
        </w:rPr>
        <w:t>величини</w:t>
      </w:r>
    </w:p>
    <w:p w14:paraId="30394FA4"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1"/>
          <w:sz w:val="20"/>
          <w:szCs w:val="20"/>
        </w:rPr>
        <w:t xml:space="preserve"> </w:t>
      </w:r>
      <w:r w:rsidRPr="000977F7">
        <w:rPr>
          <w:rFonts w:asciiTheme="majorHAnsi" w:hAnsiTheme="majorHAnsi"/>
          <w:i/>
          <w:iCs/>
          <w:sz w:val="20"/>
          <w:szCs w:val="20"/>
        </w:rPr>
        <w:t>3956</w:t>
      </w:r>
      <w:r w:rsidRPr="000977F7">
        <w:rPr>
          <w:rFonts w:asciiTheme="majorHAnsi" w:hAnsiTheme="majorHAnsi"/>
          <w:i/>
          <w:iCs/>
          <w:spacing w:val="-2"/>
          <w:sz w:val="20"/>
          <w:szCs w:val="20"/>
        </w:rPr>
        <w:t xml:space="preserve"> </w:t>
      </w:r>
      <w:r w:rsidRPr="000977F7">
        <w:rPr>
          <w:rFonts w:asciiTheme="majorHAnsi" w:hAnsiTheme="majorHAnsi"/>
          <w:i/>
          <w:iCs/>
          <w:sz w:val="20"/>
          <w:szCs w:val="20"/>
        </w:rPr>
        <w:t>– 2000</w:t>
      </w:r>
    </w:p>
    <w:p w14:paraId="21B111F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4"/>
          <w:sz w:val="20"/>
          <w:szCs w:val="20"/>
        </w:rPr>
        <w:t>ЧАСТОТНОПОДІЛЕНИЙ</w:t>
      </w:r>
      <w:r w:rsidRPr="000977F7">
        <w:rPr>
          <w:color w:val="auto"/>
          <w:spacing w:val="-7"/>
          <w:sz w:val="20"/>
          <w:szCs w:val="20"/>
        </w:rPr>
        <w:t xml:space="preserve"> </w:t>
      </w:r>
      <w:r w:rsidRPr="000977F7">
        <w:rPr>
          <w:color w:val="auto"/>
          <w:spacing w:val="-4"/>
          <w:sz w:val="20"/>
          <w:szCs w:val="20"/>
        </w:rPr>
        <w:t>(СКЛАДЕНИЙ)</w:t>
      </w:r>
      <w:r w:rsidRPr="000977F7">
        <w:rPr>
          <w:color w:val="auto"/>
          <w:spacing w:val="-8"/>
          <w:sz w:val="20"/>
          <w:szCs w:val="20"/>
        </w:rPr>
        <w:t xml:space="preserve"> </w:t>
      </w:r>
      <w:r w:rsidRPr="000977F7">
        <w:rPr>
          <w:color w:val="auto"/>
          <w:spacing w:val="-4"/>
          <w:sz w:val="20"/>
          <w:szCs w:val="20"/>
        </w:rPr>
        <w:t>СИГНАЛ–</w:t>
      </w:r>
    </w:p>
    <w:p w14:paraId="210AB38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FREQUENCY</w:t>
      </w:r>
      <w:r w:rsidRPr="000977F7">
        <w:rPr>
          <w:rFonts w:asciiTheme="majorHAnsi" w:hAnsiTheme="majorHAnsi"/>
          <w:spacing w:val="-3"/>
          <w:sz w:val="20"/>
          <w:szCs w:val="20"/>
        </w:rPr>
        <w:t xml:space="preserve"> </w:t>
      </w:r>
      <w:r w:rsidRPr="000977F7">
        <w:rPr>
          <w:rFonts w:asciiTheme="majorHAnsi" w:hAnsiTheme="majorHAnsi"/>
          <w:sz w:val="20"/>
          <w:szCs w:val="20"/>
        </w:rPr>
        <w:t>SEPARATION</w:t>
      </w:r>
      <w:r w:rsidRPr="000977F7">
        <w:rPr>
          <w:rFonts w:asciiTheme="majorHAnsi" w:hAnsiTheme="majorHAnsi"/>
          <w:spacing w:val="-2"/>
          <w:sz w:val="20"/>
          <w:szCs w:val="20"/>
        </w:rPr>
        <w:t xml:space="preserve"> </w:t>
      </w:r>
      <w:r w:rsidRPr="000977F7">
        <w:rPr>
          <w:rFonts w:asciiTheme="majorHAnsi" w:hAnsiTheme="majorHAnsi"/>
          <w:sz w:val="20"/>
          <w:szCs w:val="20"/>
        </w:rPr>
        <w:t>SIGNAL</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32952AF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Складений сигнал спільного діяння, різним складовим</w:t>
      </w:r>
      <w:r w:rsidRPr="000977F7">
        <w:rPr>
          <w:rFonts w:asciiTheme="majorHAnsi" w:hAnsiTheme="majorHAnsi"/>
          <w:spacing w:val="-47"/>
          <w:sz w:val="20"/>
          <w:szCs w:val="20"/>
        </w:rPr>
        <w:t xml:space="preserve"> </w:t>
      </w:r>
      <w:r w:rsidRPr="000977F7">
        <w:rPr>
          <w:rFonts w:asciiTheme="majorHAnsi" w:hAnsiTheme="majorHAnsi"/>
          <w:sz w:val="20"/>
          <w:szCs w:val="20"/>
        </w:rPr>
        <w:t>сигналам якого відповідають свої частотні діапазони</w:t>
      </w:r>
      <w:r w:rsidRPr="000977F7">
        <w:rPr>
          <w:rFonts w:asciiTheme="majorHAnsi" w:hAnsiTheme="majorHAnsi"/>
          <w:spacing w:val="1"/>
          <w:sz w:val="20"/>
          <w:szCs w:val="20"/>
        </w:rPr>
        <w:t xml:space="preserve"> </w:t>
      </w:r>
      <w:r w:rsidRPr="000977F7">
        <w:rPr>
          <w:rFonts w:asciiTheme="majorHAnsi" w:hAnsiTheme="majorHAnsi"/>
          <w:sz w:val="20"/>
          <w:szCs w:val="20"/>
        </w:rPr>
        <w:t>змінювання</w:t>
      </w:r>
      <w:r w:rsidRPr="000977F7">
        <w:rPr>
          <w:rFonts w:asciiTheme="majorHAnsi" w:hAnsiTheme="majorHAnsi"/>
          <w:spacing w:val="-2"/>
          <w:sz w:val="20"/>
          <w:szCs w:val="20"/>
        </w:rPr>
        <w:t xml:space="preserve"> </w:t>
      </w:r>
      <w:r w:rsidRPr="000977F7">
        <w:rPr>
          <w:rFonts w:asciiTheme="majorHAnsi" w:hAnsiTheme="majorHAnsi"/>
          <w:sz w:val="20"/>
          <w:szCs w:val="20"/>
        </w:rPr>
        <w:t>дієвої</w:t>
      </w:r>
      <w:r w:rsidRPr="000977F7">
        <w:rPr>
          <w:rFonts w:asciiTheme="majorHAnsi" w:hAnsiTheme="majorHAnsi"/>
          <w:spacing w:val="-1"/>
          <w:sz w:val="20"/>
          <w:szCs w:val="20"/>
        </w:rPr>
        <w:t xml:space="preserve"> </w:t>
      </w:r>
      <w:r w:rsidRPr="000977F7">
        <w:rPr>
          <w:rFonts w:asciiTheme="majorHAnsi" w:hAnsiTheme="majorHAnsi"/>
          <w:sz w:val="20"/>
          <w:szCs w:val="20"/>
        </w:rPr>
        <w:t>величини</w:t>
      </w:r>
    </w:p>
    <w:p w14:paraId="1F9EFE8F"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1"/>
          <w:sz w:val="20"/>
          <w:szCs w:val="20"/>
        </w:rPr>
        <w:t xml:space="preserve"> </w:t>
      </w:r>
      <w:r w:rsidRPr="000977F7">
        <w:rPr>
          <w:rFonts w:asciiTheme="majorHAnsi" w:hAnsiTheme="majorHAnsi"/>
          <w:i/>
          <w:iCs/>
          <w:sz w:val="20"/>
          <w:szCs w:val="20"/>
        </w:rPr>
        <w:t>3956</w:t>
      </w:r>
      <w:r w:rsidRPr="000977F7">
        <w:rPr>
          <w:rFonts w:asciiTheme="majorHAnsi" w:hAnsiTheme="majorHAnsi"/>
          <w:i/>
          <w:iCs/>
          <w:spacing w:val="-2"/>
          <w:sz w:val="20"/>
          <w:szCs w:val="20"/>
        </w:rPr>
        <w:t xml:space="preserve"> </w:t>
      </w:r>
      <w:r w:rsidRPr="000977F7">
        <w:rPr>
          <w:rFonts w:asciiTheme="majorHAnsi" w:hAnsiTheme="majorHAnsi"/>
          <w:i/>
          <w:iCs/>
          <w:sz w:val="20"/>
          <w:szCs w:val="20"/>
        </w:rPr>
        <w:t>– 2000</w:t>
      </w:r>
    </w:p>
    <w:p w14:paraId="319874D7"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ЧИННИК</w:t>
      </w:r>
      <w:r w:rsidRPr="000977F7">
        <w:rPr>
          <w:color w:val="auto"/>
          <w:spacing w:val="-6"/>
          <w:sz w:val="20"/>
          <w:szCs w:val="20"/>
        </w:rPr>
        <w:t xml:space="preserve"> </w:t>
      </w:r>
      <w:r w:rsidRPr="000977F7">
        <w:rPr>
          <w:color w:val="auto"/>
          <w:sz w:val="20"/>
          <w:szCs w:val="20"/>
        </w:rPr>
        <w:t>МАЛОЇ</w:t>
      </w:r>
      <w:r w:rsidRPr="000977F7">
        <w:rPr>
          <w:color w:val="auto"/>
          <w:spacing w:val="-3"/>
          <w:sz w:val="20"/>
          <w:szCs w:val="20"/>
        </w:rPr>
        <w:t xml:space="preserve"> </w:t>
      </w:r>
      <w:r w:rsidRPr="000977F7">
        <w:rPr>
          <w:color w:val="auto"/>
          <w:sz w:val="20"/>
          <w:szCs w:val="20"/>
        </w:rPr>
        <w:t>ІНТЕНСИВНОСТІ</w:t>
      </w:r>
      <w:r w:rsidRPr="000977F7">
        <w:rPr>
          <w:color w:val="auto"/>
          <w:spacing w:val="-2"/>
          <w:sz w:val="20"/>
          <w:szCs w:val="20"/>
        </w:rPr>
        <w:t xml:space="preserve"> </w:t>
      </w:r>
      <w:r w:rsidRPr="000977F7">
        <w:rPr>
          <w:b w:val="0"/>
          <w:color w:val="auto"/>
          <w:sz w:val="20"/>
          <w:szCs w:val="20"/>
        </w:rPr>
        <w:t>–</w:t>
      </w:r>
    </w:p>
    <w:p w14:paraId="40C71B1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Чинник</w:t>
      </w:r>
      <w:r w:rsidRPr="000977F7">
        <w:rPr>
          <w:rFonts w:asciiTheme="majorHAnsi" w:hAnsiTheme="majorHAnsi"/>
          <w:spacing w:val="1"/>
          <w:sz w:val="20"/>
          <w:szCs w:val="20"/>
        </w:rPr>
        <w:t xml:space="preserve"> </w:t>
      </w:r>
      <w:r w:rsidRPr="000977F7">
        <w:rPr>
          <w:rFonts w:asciiTheme="majorHAnsi" w:hAnsiTheme="majorHAnsi"/>
          <w:sz w:val="20"/>
          <w:szCs w:val="20"/>
        </w:rPr>
        <w:t>навколишнього</w:t>
      </w:r>
      <w:r w:rsidRPr="000977F7">
        <w:rPr>
          <w:rFonts w:asciiTheme="majorHAnsi" w:hAnsiTheme="majorHAnsi"/>
          <w:spacing w:val="1"/>
          <w:sz w:val="20"/>
          <w:szCs w:val="20"/>
        </w:rPr>
        <w:t xml:space="preserve"> </w:t>
      </w:r>
      <w:r w:rsidRPr="000977F7">
        <w:rPr>
          <w:rFonts w:asciiTheme="majorHAnsi" w:hAnsiTheme="majorHAnsi"/>
          <w:sz w:val="20"/>
          <w:szCs w:val="20"/>
        </w:rPr>
        <w:t>середовища,</w:t>
      </w:r>
      <w:r w:rsidRPr="000977F7">
        <w:rPr>
          <w:rFonts w:asciiTheme="majorHAnsi" w:hAnsiTheme="majorHAnsi"/>
          <w:spacing w:val="1"/>
          <w:sz w:val="20"/>
          <w:szCs w:val="20"/>
        </w:rPr>
        <w:t xml:space="preserve"> </w:t>
      </w:r>
      <w:r w:rsidRPr="000977F7">
        <w:rPr>
          <w:rFonts w:asciiTheme="majorHAnsi" w:hAnsiTheme="majorHAnsi"/>
          <w:sz w:val="20"/>
          <w:szCs w:val="20"/>
        </w:rPr>
        <w:t>який</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даної</w:t>
      </w:r>
      <w:r w:rsidRPr="000977F7">
        <w:rPr>
          <w:rFonts w:asciiTheme="majorHAnsi" w:hAnsiTheme="majorHAnsi"/>
          <w:spacing w:val="1"/>
          <w:sz w:val="20"/>
          <w:szCs w:val="20"/>
        </w:rPr>
        <w:t xml:space="preserve"> </w:t>
      </w:r>
      <w:r w:rsidRPr="000977F7">
        <w:rPr>
          <w:rFonts w:asciiTheme="majorHAnsi" w:hAnsiTheme="majorHAnsi"/>
          <w:sz w:val="20"/>
          <w:szCs w:val="20"/>
        </w:rPr>
        <w:t>інтенсивності</w:t>
      </w:r>
      <w:r w:rsidRPr="000977F7">
        <w:rPr>
          <w:rFonts w:asciiTheme="majorHAnsi" w:hAnsiTheme="majorHAnsi"/>
          <w:spacing w:val="1"/>
          <w:sz w:val="20"/>
          <w:szCs w:val="20"/>
        </w:rPr>
        <w:t xml:space="preserve"> </w:t>
      </w:r>
      <w:r w:rsidRPr="000977F7">
        <w:rPr>
          <w:rFonts w:asciiTheme="majorHAnsi" w:hAnsiTheme="majorHAnsi"/>
          <w:sz w:val="20"/>
          <w:szCs w:val="20"/>
        </w:rPr>
        <w:t>не</w:t>
      </w:r>
      <w:r w:rsidRPr="000977F7">
        <w:rPr>
          <w:rFonts w:asciiTheme="majorHAnsi" w:hAnsiTheme="majorHAnsi"/>
          <w:spacing w:val="1"/>
          <w:sz w:val="20"/>
          <w:szCs w:val="20"/>
        </w:rPr>
        <w:t xml:space="preserve"> </w:t>
      </w:r>
      <w:r w:rsidRPr="000977F7">
        <w:rPr>
          <w:rFonts w:asciiTheme="majorHAnsi" w:hAnsiTheme="majorHAnsi"/>
          <w:sz w:val="20"/>
          <w:szCs w:val="20"/>
        </w:rPr>
        <w:t>викликає</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населення</w:t>
      </w:r>
      <w:r w:rsidRPr="000977F7">
        <w:rPr>
          <w:rFonts w:asciiTheme="majorHAnsi" w:hAnsiTheme="majorHAnsi"/>
          <w:spacing w:val="1"/>
          <w:sz w:val="20"/>
          <w:szCs w:val="20"/>
        </w:rPr>
        <w:t xml:space="preserve"> </w:t>
      </w:r>
      <w:r w:rsidRPr="000977F7">
        <w:rPr>
          <w:rFonts w:asciiTheme="majorHAnsi" w:hAnsiTheme="majorHAnsi"/>
          <w:sz w:val="20"/>
          <w:szCs w:val="20"/>
        </w:rPr>
        <w:t>токсичних</w:t>
      </w:r>
      <w:r w:rsidRPr="000977F7">
        <w:rPr>
          <w:rFonts w:asciiTheme="majorHAnsi" w:hAnsiTheme="majorHAnsi"/>
          <w:spacing w:val="1"/>
          <w:sz w:val="20"/>
          <w:szCs w:val="20"/>
        </w:rPr>
        <w:t xml:space="preserve"> </w:t>
      </w:r>
      <w:r w:rsidRPr="000977F7">
        <w:rPr>
          <w:rFonts w:asciiTheme="majorHAnsi" w:hAnsiTheme="majorHAnsi"/>
          <w:sz w:val="20"/>
          <w:szCs w:val="20"/>
        </w:rPr>
        <w:t>ефектів, але не знижує чи підвищує чутливість організму до інших шкідливих впливів та не погіршує санітарні</w:t>
      </w:r>
      <w:r w:rsidRPr="000977F7">
        <w:rPr>
          <w:rFonts w:asciiTheme="majorHAnsi" w:hAnsiTheme="majorHAnsi"/>
          <w:spacing w:val="1"/>
          <w:sz w:val="20"/>
          <w:szCs w:val="20"/>
        </w:rPr>
        <w:t xml:space="preserve"> </w:t>
      </w:r>
      <w:r w:rsidRPr="000977F7">
        <w:rPr>
          <w:rFonts w:asciiTheme="majorHAnsi" w:hAnsiTheme="majorHAnsi"/>
          <w:sz w:val="20"/>
          <w:szCs w:val="20"/>
        </w:rPr>
        <w:t>умови</w:t>
      </w:r>
      <w:r w:rsidRPr="000977F7">
        <w:rPr>
          <w:rFonts w:asciiTheme="majorHAnsi" w:hAnsiTheme="majorHAnsi"/>
          <w:spacing w:val="-1"/>
          <w:sz w:val="20"/>
          <w:szCs w:val="20"/>
        </w:rPr>
        <w:t xml:space="preserve"> </w:t>
      </w:r>
      <w:r w:rsidRPr="000977F7">
        <w:rPr>
          <w:rFonts w:asciiTheme="majorHAnsi" w:hAnsiTheme="majorHAnsi"/>
          <w:sz w:val="20"/>
          <w:szCs w:val="20"/>
        </w:rPr>
        <w:t>життя</w:t>
      </w:r>
      <w:r w:rsidRPr="000977F7">
        <w:rPr>
          <w:rFonts w:asciiTheme="majorHAnsi" w:hAnsiTheme="majorHAnsi"/>
          <w:spacing w:val="-1"/>
          <w:sz w:val="20"/>
          <w:szCs w:val="20"/>
        </w:rPr>
        <w:t xml:space="preserve"> </w:t>
      </w:r>
      <w:r w:rsidRPr="000977F7">
        <w:rPr>
          <w:rFonts w:asciiTheme="majorHAnsi" w:hAnsiTheme="majorHAnsi"/>
          <w:sz w:val="20"/>
          <w:szCs w:val="20"/>
        </w:rPr>
        <w:t>населення</w:t>
      </w:r>
    </w:p>
    <w:p w14:paraId="316844E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3038 - 95</w:t>
      </w:r>
    </w:p>
    <w:p w14:paraId="08277D0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w w:val="95"/>
          <w:sz w:val="20"/>
          <w:szCs w:val="20"/>
        </w:rPr>
        <w:t>ЧИННИКИ</w:t>
      </w:r>
      <w:r w:rsidRPr="000977F7">
        <w:rPr>
          <w:color w:val="auto"/>
          <w:spacing w:val="16"/>
          <w:w w:val="95"/>
          <w:sz w:val="20"/>
          <w:szCs w:val="20"/>
        </w:rPr>
        <w:t xml:space="preserve"> </w:t>
      </w:r>
      <w:r w:rsidRPr="000977F7">
        <w:rPr>
          <w:color w:val="auto"/>
          <w:w w:val="95"/>
          <w:sz w:val="20"/>
          <w:szCs w:val="20"/>
        </w:rPr>
        <w:t>НАВКОЛИШНЬОГО</w:t>
      </w:r>
      <w:r w:rsidRPr="000977F7">
        <w:rPr>
          <w:color w:val="auto"/>
          <w:spacing w:val="21"/>
          <w:w w:val="95"/>
          <w:sz w:val="20"/>
          <w:szCs w:val="20"/>
        </w:rPr>
        <w:t xml:space="preserve"> </w:t>
      </w:r>
      <w:r w:rsidRPr="000977F7">
        <w:rPr>
          <w:color w:val="auto"/>
          <w:w w:val="95"/>
          <w:sz w:val="20"/>
          <w:szCs w:val="20"/>
        </w:rPr>
        <w:t>СЕРЕДОВИЩА</w:t>
      </w:r>
      <w:r w:rsidRPr="000977F7">
        <w:rPr>
          <w:color w:val="auto"/>
          <w:spacing w:val="16"/>
          <w:w w:val="95"/>
          <w:sz w:val="20"/>
          <w:szCs w:val="20"/>
        </w:rPr>
        <w:t xml:space="preserve"> </w:t>
      </w:r>
      <w:r w:rsidRPr="000977F7">
        <w:rPr>
          <w:color w:val="auto"/>
          <w:w w:val="95"/>
          <w:sz w:val="20"/>
          <w:szCs w:val="20"/>
        </w:rPr>
        <w:t>–</w:t>
      </w:r>
    </w:p>
    <w:p w14:paraId="6DF430B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Будь-який хімічний, фізичний чи біологічний компонент середовища природного або антропогенного походження,</w:t>
      </w:r>
      <w:r w:rsidRPr="000977F7">
        <w:rPr>
          <w:rFonts w:asciiTheme="majorHAnsi" w:hAnsiTheme="majorHAnsi"/>
          <w:spacing w:val="-1"/>
          <w:sz w:val="20"/>
          <w:szCs w:val="20"/>
        </w:rPr>
        <w:t xml:space="preserve"> </w:t>
      </w:r>
      <w:r w:rsidRPr="000977F7">
        <w:rPr>
          <w:rFonts w:asciiTheme="majorHAnsi" w:hAnsiTheme="majorHAnsi"/>
          <w:sz w:val="20"/>
          <w:szCs w:val="20"/>
        </w:rPr>
        <w:t>здатний</w:t>
      </w:r>
      <w:r w:rsidRPr="000977F7">
        <w:rPr>
          <w:rFonts w:asciiTheme="majorHAnsi" w:hAnsiTheme="majorHAnsi"/>
          <w:spacing w:val="-2"/>
          <w:sz w:val="20"/>
          <w:szCs w:val="20"/>
        </w:rPr>
        <w:t xml:space="preserve"> </w:t>
      </w:r>
      <w:r w:rsidRPr="000977F7">
        <w:rPr>
          <w:rFonts w:asciiTheme="majorHAnsi" w:hAnsiTheme="majorHAnsi"/>
          <w:sz w:val="20"/>
          <w:szCs w:val="20"/>
        </w:rPr>
        <w:t>впливати на організм</w:t>
      </w:r>
    </w:p>
    <w:p w14:paraId="4BFE892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3038 - 95</w:t>
      </w:r>
    </w:p>
    <w:p w14:paraId="7EE10D9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ЧИННИКИ</w:t>
      </w:r>
      <w:r w:rsidRPr="000977F7">
        <w:rPr>
          <w:color w:val="auto"/>
          <w:spacing w:val="-5"/>
          <w:sz w:val="20"/>
          <w:szCs w:val="20"/>
        </w:rPr>
        <w:t xml:space="preserve"> </w:t>
      </w:r>
      <w:r w:rsidRPr="000977F7">
        <w:rPr>
          <w:color w:val="auto"/>
          <w:sz w:val="20"/>
          <w:szCs w:val="20"/>
        </w:rPr>
        <w:t>ПРОФЕСІЙНОЇ</w:t>
      </w:r>
      <w:r w:rsidRPr="000977F7">
        <w:rPr>
          <w:color w:val="auto"/>
          <w:spacing w:val="-3"/>
          <w:sz w:val="20"/>
          <w:szCs w:val="20"/>
        </w:rPr>
        <w:t xml:space="preserve"> </w:t>
      </w:r>
      <w:r w:rsidRPr="000977F7">
        <w:rPr>
          <w:color w:val="auto"/>
          <w:sz w:val="20"/>
          <w:szCs w:val="20"/>
        </w:rPr>
        <w:t>ШКІДЛИВОСТІ</w:t>
      </w:r>
      <w:r w:rsidRPr="000977F7">
        <w:rPr>
          <w:color w:val="auto"/>
          <w:spacing w:val="-4"/>
          <w:sz w:val="20"/>
          <w:szCs w:val="20"/>
        </w:rPr>
        <w:t xml:space="preserve"> </w:t>
      </w:r>
      <w:r w:rsidRPr="000977F7">
        <w:rPr>
          <w:color w:val="auto"/>
          <w:sz w:val="20"/>
          <w:szCs w:val="20"/>
        </w:rPr>
        <w:t>–</w:t>
      </w:r>
    </w:p>
    <w:p w14:paraId="1AD4157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Чинники трудового процесу та виробничого середовища, вплив яких на організм людини за умови недотримання гігієнічних нормативів може стати причиною зниження працездатності та погіршення здоров’я</w:t>
      </w:r>
      <w:r w:rsidRPr="000977F7">
        <w:rPr>
          <w:rFonts w:asciiTheme="majorHAnsi" w:hAnsiTheme="majorHAnsi"/>
          <w:spacing w:val="1"/>
          <w:sz w:val="20"/>
          <w:szCs w:val="20"/>
        </w:rPr>
        <w:t xml:space="preserve"> </w:t>
      </w:r>
      <w:r w:rsidRPr="000977F7">
        <w:rPr>
          <w:rFonts w:asciiTheme="majorHAnsi" w:hAnsiTheme="majorHAnsi"/>
          <w:sz w:val="20"/>
          <w:szCs w:val="20"/>
        </w:rPr>
        <w:t>аж</w:t>
      </w:r>
      <w:r w:rsidRPr="000977F7">
        <w:rPr>
          <w:rFonts w:asciiTheme="majorHAnsi" w:hAnsiTheme="majorHAnsi"/>
          <w:spacing w:val="-2"/>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появи</w:t>
      </w:r>
      <w:r w:rsidRPr="000977F7">
        <w:rPr>
          <w:rFonts w:asciiTheme="majorHAnsi" w:hAnsiTheme="majorHAnsi"/>
          <w:spacing w:val="-2"/>
          <w:sz w:val="20"/>
          <w:szCs w:val="20"/>
        </w:rPr>
        <w:t xml:space="preserve"> </w:t>
      </w:r>
      <w:r w:rsidRPr="000977F7">
        <w:rPr>
          <w:rFonts w:asciiTheme="majorHAnsi" w:hAnsiTheme="majorHAnsi"/>
          <w:sz w:val="20"/>
          <w:szCs w:val="20"/>
        </w:rPr>
        <w:t>професійного</w:t>
      </w:r>
      <w:r w:rsidRPr="000977F7">
        <w:rPr>
          <w:rFonts w:asciiTheme="majorHAnsi" w:hAnsiTheme="majorHAnsi"/>
          <w:spacing w:val="1"/>
          <w:sz w:val="20"/>
          <w:szCs w:val="20"/>
        </w:rPr>
        <w:t xml:space="preserve"> </w:t>
      </w:r>
      <w:r w:rsidRPr="000977F7">
        <w:rPr>
          <w:rFonts w:asciiTheme="majorHAnsi" w:hAnsiTheme="majorHAnsi"/>
          <w:sz w:val="20"/>
          <w:szCs w:val="20"/>
        </w:rPr>
        <w:t>захворювання</w:t>
      </w:r>
    </w:p>
    <w:p w14:paraId="5547DFA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3038 - 95</w:t>
      </w:r>
    </w:p>
    <w:p w14:paraId="415CD63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2"/>
          <w:sz w:val="20"/>
          <w:szCs w:val="20"/>
        </w:rPr>
        <w:t>ЧИСЛОВЕ</w:t>
      </w:r>
      <w:r w:rsidRPr="000977F7">
        <w:rPr>
          <w:color w:val="auto"/>
          <w:spacing w:val="-9"/>
          <w:sz w:val="20"/>
          <w:szCs w:val="20"/>
        </w:rPr>
        <w:t xml:space="preserve"> </w:t>
      </w:r>
      <w:r w:rsidRPr="000977F7">
        <w:rPr>
          <w:color w:val="auto"/>
          <w:spacing w:val="-2"/>
          <w:sz w:val="20"/>
          <w:szCs w:val="20"/>
        </w:rPr>
        <w:t>ЗНАЧЕННЯ</w:t>
      </w:r>
      <w:r w:rsidRPr="000977F7">
        <w:rPr>
          <w:color w:val="auto"/>
          <w:spacing w:val="-8"/>
          <w:sz w:val="20"/>
          <w:szCs w:val="20"/>
        </w:rPr>
        <w:t xml:space="preserve"> </w:t>
      </w:r>
      <w:r w:rsidRPr="000977F7">
        <w:rPr>
          <w:color w:val="auto"/>
          <w:spacing w:val="-1"/>
          <w:sz w:val="20"/>
          <w:szCs w:val="20"/>
        </w:rPr>
        <w:t>ФІЗИЧНОЇ</w:t>
      </w:r>
      <w:r w:rsidRPr="000977F7">
        <w:rPr>
          <w:color w:val="auto"/>
          <w:spacing w:val="-11"/>
          <w:sz w:val="20"/>
          <w:szCs w:val="20"/>
        </w:rPr>
        <w:t xml:space="preserve"> </w:t>
      </w:r>
      <w:r w:rsidRPr="000977F7">
        <w:rPr>
          <w:color w:val="auto"/>
          <w:spacing w:val="-1"/>
          <w:sz w:val="20"/>
          <w:szCs w:val="20"/>
        </w:rPr>
        <w:t>ВЕЛИЧИНИ</w:t>
      </w:r>
      <w:r w:rsidRPr="000977F7">
        <w:rPr>
          <w:color w:val="auto"/>
          <w:spacing w:val="-7"/>
          <w:sz w:val="20"/>
          <w:szCs w:val="20"/>
        </w:rPr>
        <w:t xml:space="preserve"> </w:t>
      </w:r>
      <w:r w:rsidRPr="000977F7">
        <w:rPr>
          <w:color w:val="auto"/>
          <w:spacing w:val="-1"/>
          <w:sz w:val="20"/>
          <w:szCs w:val="20"/>
        </w:rPr>
        <w:t>–</w:t>
      </w:r>
    </w:p>
    <w:p w14:paraId="2192410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NUMERICAL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VALUE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A</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QUANTITY</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w:t>
      </w:r>
    </w:p>
    <w:p w14:paraId="02D4EBCE" w14:textId="77777777" w:rsidR="0097612F" w:rsidRPr="004D2D14" w:rsidRDefault="0097612F" w:rsidP="000977F7">
      <w:pPr>
        <w:pStyle w:val="af6"/>
        <w:tabs>
          <w:tab w:val="left" w:pos="284"/>
        </w:tabs>
        <w:spacing w:after="0"/>
        <w:ind w:left="170"/>
        <w:mirrorIndents/>
        <w:jc w:val="both"/>
        <w:rPr>
          <w:rFonts w:asciiTheme="majorHAnsi" w:hAnsiTheme="majorHAnsi"/>
          <w:spacing w:val="1"/>
          <w:sz w:val="20"/>
          <w:szCs w:val="20"/>
          <w:lang w:val="en-US"/>
        </w:rPr>
      </w:pPr>
      <w:r w:rsidRPr="000977F7">
        <w:rPr>
          <w:rFonts w:asciiTheme="majorHAnsi" w:hAnsiTheme="majorHAnsi"/>
          <w:sz w:val="20"/>
          <w:szCs w:val="20"/>
        </w:rPr>
        <w:t>Число</w:t>
      </w:r>
      <w:r w:rsidRPr="004D2D14">
        <w:rPr>
          <w:rFonts w:asciiTheme="majorHAnsi" w:hAnsiTheme="majorHAnsi"/>
          <w:sz w:val="20"/>
          <w:szCs w:val="20"/>
          <w:lang w:val="en-US"/>
        </w:rPr>
        <w:t>,</w:t>
      </w:r>
      <w:r w:rsidRPr="004D2D14">
        <w:rPr>
          <w:rFonts w:asciiTheme="majorHAnsi" w:hAnsiTheme="majorHAnsi"/>
          <w:spacing w:val="18"/>
          <w:sz w:val="20"/>
          <w:szCs w:val="20"/>
          <w:lang w:val="en-US"/>
        </w:rPr>
        <w:t xml:space="preserve"> </w:t>
      </w:r>
      <w:r w:rsidRPr="000977F7">
        <w:rPr>
          <w:rFonts w:asciiTheme="majorHAnsi" w:hAnsiTheme="majorHAnsi"/>
          <w:sz w:val="20"/>
          <w:szCs w:val="20"/>
        </w:rPr>
        <w:t>що</w:t>
      </w:r>
      <w:r w:rsidRPr="004D2D14">
        <w:rPr>
          <w:rFonts w:asciiTheme="majorHAnsi" w:hAnsiTheme="majorHAnsi"/>
          <w:spacing w:val="18"/>
          <w:sz w:val="20"/>
          <w:szCs w:val="20"/>
          <w:lang w:val="en-US"/>
        </w:rPr>
        <w:t xml:space="preserve"> </w:t>
      </w:r>
      <w:r w:rsidRPr="000977F7">
        <w:rPr>
          <w:rFonts w:asciiTheme="majorHAnsi" w:hAnsiTheme="majorHAnsi"/>
          <w:sz w:val="20"/>
          <w:szCs w:val="20"/>
        </w:rPr>
        <w:t>дорівнює</w:t>
      </w:r>
      <w:r w:rsidRPr="004D2D14">
        <w:rPr>
          <w:rFonts w:asciiTheme="majorHAnsi" w:hAnsiTheme="majorHAnsi"/>
          <w:spacing w:val="18"/>
          <w:sz w:val="20"/>
          <w:szCs w:val="20"/>
          <w:lang w:val="en-US"/>
        </w:rPr>
        <w:t xml:space="preserve"> </w:t>
      </w:r>
      <w:r w:rsidRPr="000977F7">
        <w:rPr>
          <w:rFonts w:asciiTheme="majorHAnsi" w:hAnsiTheme="majorHAnsi"/>
          <w:sz w:val="20"/>
          <w:szCs w:val="20"/>
        </w:rPr>
        <w:t>відношенню</w:t>
      </w:r>
      <w:r w:rsidRPr="004D2D14">
        <w:rPr>
          <w:rFonts w:asciiTheme="majorHAnsi" w:hAnsiTheme="majorHAnsi"/>
          <w:spacing w:val="17"/>
          <w:sz w:val="20"/>
          <w:szCs w:val="20"/>
          <w:lang w:val="en-US"/>
        </w:rPr>
        <w:t xml:space="preserve"> </w:t>
      </w:r>
      <w:r w:rsidRPr="000977F7">
        <w:rPr>
          <w:rFonts w:asciiTheme="majorHAnsi" w:hAnsiTheme="majorHAnsi"/>
          <w:sz w:val="20"/>
          <w:szCs w:val="20"/>
        </w:rPr>
        <w:t>розміру</w:t>
      </w:r>
      <w:r w:rsidRPr="004D2D14">
        <w:rPr>
          <w:rFonts w:asciiTheme="majorHAnsi" w:hAnsiTheme="majorHAnsi"/>
          <w:spacing w:val="14"/>
          <w:sz w:val="20"/>
          <w:szCs w:val="20"/>
          <w:lang w:val="en-US"/>
        </w:rPr>
        <w:t xml:space="preserve"> </w:t>
      </w:r>
      <w:r w:rsidRPr="000977F7">
        <w:rPr>
          <w:rFonts w:asciiTheme="majorHAnsi" w:hAnsiTheme="majorHAnsi"/>
          <w:sz w:val="20"/>
          <w:szCs w:val="20"/>
        </w:rPr>
        <w:t>фізичної</w:t>
      </w:r>
      <w:r w:rsidRPr="004D2D14">
        <w:rPr>
          <w:rFonts w:asciiTheme="majorHAnsi" w:hAnsiTheme="majorHAnsi"/>
          <w:spacing w:val="-47"/>
          <w:sz w:val="20"/>
          <w:szCs w:val="20"/>
          <w:lang w:val="en-US"/>
        </w:rPr>
        <w:t xml:space="preserve"> </w:t>
      </w:r>
      <w:r w:rsidRPr="000977F7">
        <w:rPr>
          <w:rFonts w:asciiTheme="majorHAnsi" w:hAnsiTheme="majorHAnsi"/>
          <w:sz w:val="20"/>
          <w:szCs w:val="20"/>
        </w:rPr>
        <w:t>величини</w:t>
      </w:r>
      <w:r w:rsidRPr="004D2D14">
        <w:rPr>
          <w:rFonts w:asciiTheme="majorHAnsi" w:hAnsiTheme="majorHAnsi"/>
          <w:sz w:val="20"/>
          <w:szCs w:val="20"/>
          <w:lang w:val="en-US"/>
        </w:rPr>
        <w:t>,</w:t>
      </w:r>
      <w:r w:rsidRPr="004D2D14">
        <w:rPr>
          <w:rFonts w:asciiTheme="majorHAnsi" w:hAnsiTheme="majorHAnsi"/>
          <w:spacing w:val="43"/>
          <w:sz w:val="20"/>
          <w:szCs w:val="20"/>
          <w:lang w:val="en-US"/>
        </w:rPr>
        <w:t xml:space="preserve"> </w:t>
      </w:r>
      <w:r w:rsidRPr="000977F7">
        <w:rPr>
          <w:rFonts w:asciiTheme="majorHAnsi" w:hAnsiTheme="majorHAnsi"/>
          <w:sz w:val="20"/>
          <w:szCs w:val="20"/>
        </w:rPr>
        <w:t>що</w:t>
      </w:r>
      <w:r w:rsidRPr="004D2D14">
        <w:rPr>
          <w:rFonts w:asciiTheme="majorHAnsi" w:hAnsiTheme="majorHAnsi"/>
          <w:spacing w:val="44"/>
          <w:sz w:val="20"/>
          <w:szCs w:val="20"/>
          <w:lang w:val="en-US"/>
        </w:rPr>
        <w:t xml:space="preserve"> </w:t>
      </w:r>
      <w:r w:rsidRPr="000977F7">
        <w:rPr>
          <w:rFonts w:asciiTheme="majorHAnsi" w:hAnsiTheme="majorHAnsi"/>
          <w:sz w:val="20"/>
          <w:szCs w:val="20"/>
        </w:rPr>
        <w:t>вимірюється</w:t>
      </w:r>
      <w:r w:rsidRPr="004D2D14">
        <w:rPr>
          <w:rFonts w:asciiTheme="majorHAnsi" w:hAnsiTheme="majorHAnsi"/>
          <w:sz w:val="20"/>
          <w:szCs w:val="20"/>
          <w:lang w:val="en-US"/>
        </w:rPr>
        <w:t>,</w:t>
      </w:r>
      <w:r w:rsidRPr="004D2D14">
        <w:rPr>
          <w:rFonts w:asciiTheme="majorHAnsi" w:hAnsiTheme="majorHAnsi"/>
          <w:spacing w:val="46"/>
          <w:sz w:val="20"/>
          <w:szCs w:val="20"/>
          <w:lang w:val="en-US"/>
        </w:rPr>
        <w:t xml:space="preserve"> </w:t>
      </w:r>
      <w:r w:rsidRPr="000977F7">
        <w:rPr>
          <w:rFonts w:asciiTheme="majorHAnsi" w:hAnsiTheme="majorHAnsi"/>
          <w:sz w:val="20"/>
          <w:szCs w:val="20"/>
        </w:rPr>
        <w:t>до</w:t>
      </w:r>
      <w:r w:rsidRPr="004D2D14">
        <w:rPr>
          <w:rFonts w:asciiTheme="majorHAnsi" w:hAnsiTheme="majorHAnsi"/>
          <w:spacing w:val="43"/>
          <w:sz w:val="20"/>
          <w:szCs w:val="20"/>
          <w:lang w:val="en-US"/>
        </w:rPr>
        <w:t xml:space="preserve"> </w:t>
      </w:r>
      <w:r w:rsidRPr="000977F7">
        <w:rPr>
          <w:rFonts w:asciiTheme="majorHAnsi" w:hAnsiTheme="majorHAnsi"/>
          <w:sz w:val="20"/>
          <w:szCs w:val="20"/>
        </w:rPr>
        <w:t>розміру</w:t>
      </w:r>
      <w:r w:rsidRPr="004D2D14">
        <w:rPr>
          <w:rFonts w:asciiTheme="majorHAnsi" w:hAnsiTheme="majorHAnsi"/>
          <w:spacing w:val="40"/>
          <w:sz w:val="20"/>
          <w:szCs w:val="20"/>
          <w:lang w:val="en-US"/>
        </w:rPr>
        <w:t xml:space="preserve"> </w:t>
      </w:r>
      <w:r w:rsidRPr="000977F7">
        <w:rPr>
          <w:rFonts w:asciiTheme="majorHAnsi" w:hAnsiTheme="majorHAnsi"/>
          <w:sz w:val="20"/>
          <w:szCs w:val="20"/>
        </w:rPr>
        <w:t>одиниці</w:t>
      </w:r>
      <w:r w:rsidRPr="004D2D14">
        <w:rPr>
          <w:rFonts w:asciiTheme="majorHAnsi" w:hAnsiTheme="majorHAnsi"/>
          <w:spacing w:val="44"/>
          <w:sz w:val="20"/>
          <w:szCs w:val="20"/>
          <w:lang w:val="en-US"/>
        </w:rPr>
        <w:t xml:space="preserve"> </w:t>
      </w:r>
      <w:r w:rsidRPr="000977F7">
        <w:rPr>
          <w:rFonts w:asciiTheme="majorHAnsi" w:hAnsiTheme="majorHAnsi"/>
          <w:sz w:val="20"/>
          <w:szCs w:val="20"/>
        </w:rPr>
        <w:t>цієї</w:t>
      </w:r>
      <w:r w:rsidRPr="004D2D14">
        <w:rPr>
          <w:rFonts w:asciiTheme="majorHAnsi" w:hAnsiTheme="majorHAnsi"/>
          <w:spacing w:val="-47"/>
          <w:sz w:val="20"/>
          <w:szCs w:val="20"/>
          <w:lang w:val="en-US"/>
        </w:rPr>
        <w:t xml:space="preserve"> </w:t>
      </w:r>
      <w:r w:rsidRPr="000977F7">
        <w:rPr>
          <w:rFonts w:asciiTheme="majorHAnsi" w:hAnsiTheme="majorHAnsi"/>
          <w:sz w:val="20"/>
          <w:szCs w:val="20"/>
        </w:rPr>
        <w:t>фізичної</w:t>
      </w:r>
      <w:r w:rsidRPr="004D2D14">
        <w:rPr>
          <w:rFonts w:asciiTheme="majorHAnsi" w:hAnsiTheme="majorHAnsi"/>
          <w:sz w:val="20"/>
          <w:szCs w:val="20"/>
          <w:lang w:val="en-US"/>
        </w:rPr>
        <w:t xml:space="preserve"> </w:t>
      </w:r>
      <w:r w:rsidRPr="000977F7">
        <w:rPr>
          <w:rFonts w:asciiTheme="majorHAnsi" w:hAnsiTheme="majorHAnsi"/>
          <w:sz w:val="20"/>
          <w:szCs w:val="20"/>
        </w:rPr>
        <w:t>величини</w:t>
      </w:r>
      <w:r w:rsidRPr="004D2D14">
        <w:rPr>
          <w:rFonts w:asciiTheme="majorHAnsi" w:hAnsiTheme="majorHAnsi"/>
          <w:sz w:val="20"/>
          <w:szCs w:val="20"/>
          <w:lang w:val="en-US"/>
        </w:rPr>
        <w:t xml:space="preserve">, </w:t>
      </w:r>
      <w:r w:rsidRPr="000977F7">
        <w:rPr>
          <w:rFonts w:asciiTheme="majorHAnsi" w:hAnsiTheme="majorHAnsi"/>
          <w:sz w:val="20"/>
          <w:szCs w:val="20"/>
        </w:rPr>
        <w:t>чи</w:t>
      </w:r>
      <w:r w:rsidRPr="004D2D14">
        <w:rPr>
          <w:rFonts w:asciiTheme="majorHAnsi" w:hAnsiTheme="majorHAnsi"/>
          <w:sz w:val="20"/>
          <w:szCs w:val="20"/>
          <w:lang w:val="en-US"/>
        </w:rPr>
        <w:t xml:space="preserve"> </w:t>
      </w:r>
      <w:r w:rsidRPr="000977F7">
        <w:rPr>
          <w:rFonts w:asciiTheme="majorHAnsi" w:hAnsiTheme="majorHAnsi"/>
          <w:sz w:val="20"/>
          <w:szCs w:val="20"/>
        </w:rPr>
        <w:t>кратної</w:t>
      </w:r>
      <w:r w:rsidRPr="004D2D14">
        <w:rPr>
          <w:rFonts w:asciiTheme="majorHAnsi" w:hAnsiTheme="majorHAnsi"/>
          <w:sz w:val="20"/>
          <w:szCs w:val="20"/>
          <w:lang w:val="en-US"/>
        </w:rPr>
        <w:t xml:space="preserve"> (</w:t>
      </w:r>
      <w:r w:rsidRPr="000977F7">
        <w:rPr>
          <w:rFonts w:asciiTheme="majorHAnsi" w:hAnsiTheme="majorHAnsi"/>
          <w:sz w:val="20"/>
          <w:szCs w:val="20"/>
        </w:rPr>
        <w:t>часткової</w:t>
      </w:r>
      <w:r w:rsidRPr="004D2D14">
        <w:rPr>
          <w:rFonts w:asciiTheme="majorHAnsi" w:hAnsiTheme="majorHAnsi"/>
          <w:sz w:val="20"/>
          <w:szCs w:val="20"/>
          <w:lang w:val="en-US"/>
        </w:rPr>
        <w:t xml:space="preserve">) </w:t>
      </w:r>
      <w:r w:rsidRPr="000977F7">
        <w:rPr>
          <w:rFonts w:asciiTheme="majorHAnsi" w:hAnsiTheme="majorHAnsi"/>
          <w:sz w:val="20"/>
          <w:szCs w:val="20"/>
        </w:rPr>
        <w:t>одиниці</w:t>
      </w:r>
      <w:r w:rsidRPr="004D2D14">
        <w:rPr>
          <w:rFonts w:asciiTheme="majorHAnsi" w:hAnsiTheme="majorHAnsi"/>
          <w:spacing w:val="1"/>
          <w:sz w:val="20"/>
          <w:szCs w:val="20"/>
          <w:lang w:val="en-US"/>
        </w:rPr>
        <w:t xml:space="preserve"> </w:t>
      </w:r>
    </w:p>
    <w:p w14:paraId="3D66FDE6"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327460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ЧИСЛОВЕ</w:t>
      </w:r>
      <w:r w:rsidRPr="000977F7">
        <w:rPr>
          <w:color w:val="auto"/>
          <w:spacing w:val="-4"/>
          <w:sz w:val="20"/>
          <w:szCs w:val="20"/>
        </w:rPr>
        <w:t xml:space="preserve"> </w:t>
      </w:r>
      <w:r w:rsidRPr="000977F7">
        <w:rPr>
          <w:color w:val="auto"/>
          <w:sz w:val="20"/>
          <w:szCs w:val="20"/>
        </w:rPr>
        <w:t>ПРОГРАМНЕ</w:t>
      </w:r>
      <w:r w:rsidRPr="000977F7">
        <w:rPr>
          <w:color w:val="auto"/>
          <w:spacing w:val="-4"/>
          <w:sz w:val="20"/>
          <w:szCs w:val="20"/>
        </w:rPr>
        <w:t xml:space="preserve"> </w:t>
      </w:r>
      <w:r w:rsidRPr="000977F7">
        <w:rPr>
          <w:color w:val="auto"/>
          <w:sz w:val="20"/>
          <w:szCs w:val="20"/>
        </w:rPr>
        <w:t>УПРАВЛІННЯ</w:t>
      </w:r>
      <w:r w:rsidRPr="000977F7">
        <w:rPr>
          <w:color w:val="auto"/>
          <w:spacing w:val="-2"/>
          <w:sz w:val="20"/>
          <w:szCs w:val="20"/>
        </w:rPr>
        <w:t xml:space="preserve"> </w:t>
      </w:r>
      <w:r w:rsidRPr="000977F7">
        <w:rPr>
          <w:color w:val="auto"/>
          <w:sz w:val="20"/>
          <w:szCs w:val="20"/>
        </w:rPr>
        <w:t>(ЧПУ) –</w:t>
      </w:r>
    </w:p>
    <w:p w14:paraId="04B5A95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Система</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r w:rsidRPr="000977F7">
        <w:rPr>
          <w:rFonts w:asciiTheme="majorHAnsi" w:hAnsiTheme="majorHAnsi"/>
          <w:spacing w:val="1"/>
          <w:sz w:val="20"/>
          <w:szCs w:val="20"/>
        </w:rPr>
        <w:t xml:space="preserve"> </w:t>
      </w:r>
      <w:r w:rsidRPr="000977F7">
        <w:rPr>
          <w:rFonts w:asciiTheme="majorHAnsi" w:hAnsiTheme="majorHAnsi"/>
          <w:sz w:val="20"/>
          <w:szCs w:val="20"/>
        </w:rPr>
        <w:t>режимами</w:t>
      </w:r>
      <w:r w:rsidRPr="000977F7">
        <w:rPr>
          <w:rFonts w:asciiTheme="majorHAnsi" w:hAnsiTheme="majorHAnsi"/>
          <w:spacing w:val="1"/>
          <w:sz w:val="20"/>
          <w:szCs w:val="20"/>
        </w:rPr>
        <w:t xml:space="preserve"> </w:t>
      </w:r>
      <w:r w:rsidRPr="000977F7">
        <w:rPr>
          <w:rFonts w:asciiTheme="majorHAnsi" w:hAnsiTheme="majorHAnsi"/>
          <w:sz w:val="20"/>
          <w:szCs w:val="20"/>
        </w:rPr>
        <w:t>роботи</w:t>
      </w:r>
      <w:r w:rsidRPr="000977F7">
        <w:rPr>
          <w:rFonts w:asciiTheme="majorHAnsi" w:hAnsiTheme="majorHAnsi"/>
          <w:spacing w:val="1"/>
          <w:sz w:val="20"/>
          <w:szCs w:val="20"/>
        </w:rPr>
        <w:t xml:space="preserve"> </w:t>
      </w:r>
      <w:r w:rsidRPr="000977F7">
        <w:rPr>
          <w:rFonts w:asciiTheme="majorHAnsi" w:hAnsiTheme="majorHAnsi"/>
          <w:sz w:val="20"/>
          <w:szCs w:val="20"/>
        </w:rPr>
        <w:t>верстата</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заздалегідь</w:t>
      </w:r>
      <w:r w:rsidRPr="000977F7">
        <w:rPr>
          <w:rFonts w:asciiTheme="majorHAnsi" w:hAnsiTheme="majorHAnsi"/>
          <w:spacing w:val="1"/>
          <w:sz w:val="20"/>
          <w:szCs w:val="20"/>
        </w:rPr>
        <w:t xml:space="preserve"> </w:t>
      </w:r>
      <w:r w:rsidRPr="000977F7">
        <w:rPr>
          <w:rFonts w:asciiTheme="majorHAnsi" w:hAnsiTheme="majorHAnsi"/>
          <w:sz w:val="20"/>
          <w:szCs w:val="20"/>
        </w:rPr>
        <w:t>заданою</w:t>
      </w:r>
      <w:r w:rsidRPr="000977F7">
        <w:rPr>
          <w:rFonts w:asciiTheme="majorHAnsi" w:hAnsiTheme="majorHAnsi"/>
          <w:spacing w:val="1"/>
          <w:sz w:val="20"/>
          <w:szCs w:val="20"/>
        </w:rPr>
        <w:t xml:space="preserve"> </w:t>
      </w:r>
      <w:r w:rsidRPr="000977F7">
        <w:rPr>
          <w:rFonts w:asciiTheme="majorHAnsi" w:hAnsiTheme="majorHAnsi"/>
          <w:sz w:val="20"/>
          <w:szCs w:val="20"/>
        </w:rPr>
        <w:t>програмою,</w:t>
      </w:r>
      <w:r w:rsidRPr="000977F7">
        <w:rPr>
          <w:rFonts w:asciiTheme="majorHAnsi" w:hAnsiTheme="majorHAnsi"/>
          <w:spacing w:val="1"/>
          <w:sz w:val="20"/>
          <w:szCs w:val="20"/>
        </w:rPr>
        <w:t xml:space="preserve"> </w:t>
      </w:r>
      <w:r w:rsidRPr="000977F7">
        <w:rPr>
          <w:rFonts w:asciiTheme="majorHAnsi" w:hAnsiTheme="majorHAnsi"/>
          <w:sz w:val="20"/>
          <w:szCs w:val="20"/>
        </w:rPr>
        <w:t>записаною</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 xml:space="preserve">програмоносії в цифровій формі, з наступним її </w:t>
      </w:r>
      <w:r w:rsidRPr="000977F7">
        <w:rPr>
          <w:rFonts w:asciiTheme="majorHAnsi" w:hAnsiTheme="majorHAnsi"/>
          <w:sz w:val="20"/>
          <w:szCs w:val="20"/>
        </w:rPr>
        <w:lastRenderedPageBreak/>
        <w:t>зчитуванням</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перетворенням</w:t>
      </w:r>
      <w:r w:rsidRPr="000977F7">
        <w:rPr>
          <w:rFonts w:asciiTheme="majorHAnsi" w:hAnsiTheme="majorHAnsi"/>
          <w:spacing w:val="2"/>
          <w:sz w:val="20"/>
          <w:szCs w:val="20"/>
        </w:rPr>
        <w:t xml:space="preserve"> </w:t>
      </w:r>
      <w:r w:rsidRPr="000977F7">
        <w:rPr>
          <w:rFonts w:asciiTheme="majorHAnsi" w:hAnsiTheme="majorHAnsi"/>
          <w:sz w:val="20"/>
          <w:szCs w:val="20"/>
        </w:rPr>
        <w:t>у</w:t>
      </w:r>
      <w:r w:rsidRPr="000977F7">
        <w:rPr>
          <w:rFonts w:asciiTheme="majorHAnsi" w:hAnsiTheme="majorHAnsi"/>
          <w:spacing w:val="-2"/>
          <w:sz w:val="20"/>
          <w:szCs w:val="20"/>
        </w:rPr>
        <w:t xml:space="preserve"> </w:t>
      </w:r>
      <w:r w:rsidRPr="000977F7">
        <w:rPr>
          <w:rFonts w:asciiTheme="majorHAnsi" w:hAnsiTheme="majorHAnsi"/>
          <w:sz w:val="20"/>
          <w:szCs w:val="20"/>
        </w:rPr>
        <w:t>сигнали</w:t>
      </w:r>
      <w:r w:rsidRPr="000977F7">
        <w:rPr>
          <w:rFonts w:asciiTheme="majorHAnsi" w:hAnsiTheme="majorHAnsi"/>
          <w:spacing w:val="-2"/>
          <w:sz w:val="20"/>
          <w:szCs w:val="20"/>
        </w:rPr>
        <w:t xml:space="preserve"> </w:t>
      </w:r>
      <w:r w:rsidRPr="000977F7">
        <w:rPr>
          <w:rFonts w:asciiTheme="majorHAnsi" w:hAnsiTheme="majorHAnsi"/>
          <w:sz w:val="20"/>
          <w:szCs w:val="20"/>
        </w:rPr>
        <w:t>правління:</w:t>
      </w:r>
    </w:p>
    <w:p w14:paraId="482D8C86" w14:textId="77777777" w:rsidR="0097612F" w:rsidRPr="000977F7" w:rsidRDefault="0097612F" w:rsidP="00FD39A4">
      <w:pPr>
        <w:pStyle w:val="ac"/>
        <w:widowControl w:val="0"/>
        <w:numPr>
          <w:ilvl w:val="1"/>
          <w:numId w:val="180"/>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адаптивне – з автоматичною пристосовуваністю</w:t>
      </w:r>
      <w:r w:rsidRPr="000977F7">
        <w:rPr>
          <w:rFonts w:asciiTheme="majorHAnsi" w:hAnsiTheme="majorHAnsi"/>
          <w:spacing w:val="1"/>
          <w:sz w:val="20"/>
          <w:szCs w:val="20"/>
        </w:rPr>
        <w:t xml:space="preserve"> </w:t>
      </w:r>
      <w:r w:rsidRPr="000977F7">
        <w:rPr>
          <w:rFonts w:asciiTheme="majorHAnsi" w:hAnsiTheme="majorHAnsi"/>
          <w:sz w:val="20"/>
          <w:szCs w:val="20"/>
        </w:rPr>
        <w:t>процесу обробки заготовки до змінюючихся умов</w:t>
      </w:r>
      <w:r w:rsidRPr="000977F7">
        <w:rPr>
          <w:rFonts w:asciiTheme="majorHAnsi" w:hAnsiTheme="majorHAnsi"/>
          <w:spacing w:val="1"/>
          <w:sz w:val="20"/>
          <w:szCs w:val="20"/>
        </w:rPr>
        <w:t xml:space="preserve"> </w:t>
      </w:r>
      <w:r w:rsidRPr="000977F7">
        <w:rPr>
          <w:rFonts w:asciiTheme="majorHAnsi" w:hAnsiTheme="majorHAnsi"/>
          <w:sz w:val="20"/>
          <w:szCs w:val="20"/>
        </w:rPr>
        <w:t>обробки</w:t>
      </w:r>
      <w:r w:rsidRPr="000977F7">
        <w:rPr>
          <w:rFonts w:asciiTheme="majorHAnsi" w:hAnsiTheme="majorHAnsi"/>
          <w:spacing w:val="-2"/>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визначеними</w:t>
      </w:r>
      <w:r w:rsidRPr="000977F7">
        <w:rPr>
          <w:rFonts w:asciiTheme="majorHAnsi" w:hAnsiTheme="majorHAnsi"/>
          <w:spacing w:val="1"/>
          <w:sz w:val="20"/>
          <w:szCs w:val="20"/>
        </w:rPr>
        <w:t xml:space="preserve"> </w:t>
      </w:r>
      <w:r w:rsidRPr="000977F7">
        <w:rPr>
          <w:rFonts w:asciiTheme="majorHAnsi" w:hAnsiTheme="majorHAnsi"/>
          <w:sz w:val="20"/>
          <w:szCs w:val="20"/>
        </w:rPr>
        <w:t>критеріями;</w:t>
      </w:r>
    </w:p>
    <w:p w14:paraId="1674D370" w14:textId="77777777" w:rsidR="0097612F" w:rsidRPr="000977F7" w:rsidRDefault="0097612F" w:rsidP="00FD39A4">
      <w:pPr>
        <w:pStyle w:val="ac"/>
        <w:widowControl w:val="0"/>
        <w:numPr>
          <w:ilvl w:val="1"/>
          <w:numId w:val="180"/>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без зворотного зв’язку – без потоку інформації</w:t>
      </w:r>
      <w:r w:rsidRPr="000977F7">
        <w:rPr>
          <w:rFonts w:asciiTheme="majorHAnsi" w:hAnsiTheme="majorHAnsi"/>
          <w:spacing w:val="1"/>
          <w:sz w:val="20"/>
          <w:szCs w:val="20"/>
        </w:rPr>
        <w:t xml:space="preserve"> </w:t>
      </w:r>
      <w:r w:rsidRPr="000977F7">
        <w:rPr>
          <w:rFonts w:asciiTheme="majorHAnsi" w:hAnsiTheme="majorHAnsi"/>
          <w:sz w:val="20"/>
          <w:szCs w:val="20"/>
        </w:rPr>
        <w:t>про результат дії</w:t>
      </w:r>
      <w:r w:rsidRPr="000977F7">
        <w:rPr>
          <w:rFonts w:asciiTheme="majorHAnsi" w:hAnsiTheme="majorHAnsi"/>
          <w:spacing w:val="-2"/>
          <w:sz w:val="20"/>
          <w:szCs w:val="20"/>
        </w:rPr>
        <w:t xml:space="preserve"> </w:t>
      </w:r>
      <w:r w:rsidRPr="000977F7">
        <w:rPr>
          <w:rFonts w:asciiTheme="majorHAnsi" w:hAnsiTheme="majorHAnsi"/>
          <w:sz w:val="20"/>
          <w:szCs w:val="20"/>
        </w:rPr>
        <w:t>сигналу</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управління;</w:t>
      </w:r>
    </w:p>
    <w:p w14:paraId="1AE0329A" w14:textId="77777777" w:rsidR="0097612F" w:rsidRPr="000977F7" w:rsidRDefault="0097612F" w:rsidP="00FD39A4">
      <w:pPr>
        <w:pStyle w:val="ac"/>
        <w:widowControl w:val="0"/>
        <w:numPr>
          <w:ilvl w:val="1"/>
          <w:numId w:val="180"/>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групове – групою верстатів від ЕОМ, які мають</w:t>
      </w:r>
      <w:r w:rsidRPr="000977F7">
        <w:rPr>
          <w:rFonts w:asciiTheme="majorHAnsi" w:hAnsiTheme="majorHAnsi"/>
          <w:spacing w:val="1"/>
          <w:sz w:val="20"/>
          <w:szCs w:val="20"/>
        </w:rPr>
        <w:t xml:space="preserve"> </w:t>
      </w:r>
      <w:r w:rsidRPr="000977F7">
        <w:rPr>
          <w:rFonts w:asciiTheme="majorHAnsi" w:hAnsiTheme="majorHAnsi"/>
          <w:sz w:val="20"/>
          <w:szCs w:val="20"/>
        </w:rPr>
        <w:t>загальну</w:t>
      </w:r>
      <w:r w:rsidRPr="000977F7">
        <w:rPr>
          <w:rFonts w:asciiTheme="majorHAnsi" w:hAnsiTheme="majorHAnsi"/>
          <w:spacing w:val="1"/>
          <w:sz w:val="20"/>
          <w:szCs w:val="20"/>
        </w:rPr>
        <w:t xml:space="preserve"> </w:t>
      </w:r>
      <w:r w:rsidRPr="000977F7">
        <w:rPr>
          <w:rFonts w:asciiTheme="majorHAnsi" w:hAnsiTheme="majorHAnsi"/>
          <w:sz w:val="20"/>
          <w:szCs w:val="20"/>
        </w:rPr>
        <w:t>пам’ять</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зберігання</w:t>
      </w:r>
      <w:r w:rsidRPr="000977F7">
        <w:rPr>
          <w:rFonts w:asciiTheme="majorHAnsi" w:hAnsiTheme="majorHAnsi"/>
          <w:spacing w:val="1"/>
          <w:sz w:val="20"/>
          <w:szCs w:val="20"/>
        </w:rPr>
        <w:t xml:space="preserve"> </w:t>
      </w:r>
      <w:r w:rsidRPr="000977F7">
        <w:rPr>
          <w:rFonts w:asciiTheme="majorHAnsi" w:hAnsiTheme="majorHAnsi"/>
          <w:sz w:val="20"/>
          <w:szCs w:val="20"/>
        </w:rPr>
        <w:t>управляючих</w:t>
      </w:r>
      <w:r w:rsidRPr="000977F7">
        <w:rPr>
          <w:rFonts w:asciiTheme="majorHAnsi" w:hAnsiTheme="majorHAnsi"/>
          <w:spacing w:val="1"/>
          <w:sz w:val="20"/>
          <w:szCs w:val="20"/>
        </w:rPr>
        <w:t xml:space="preserve"> </w:t>
      </w:r>
      <w:r w:rsidRPr="000977F7">
        <w:rPr>
          <w:rFonts w:asciiTheme="majorHAnsi" w:hAnsiTheme="majorHAnsi"/>
          <w:sz w:val="20"/>
          <w:szCs w:val="20"/>
        </w:rPr>
        <w:t>програм,</w:t>
      </w:r>
      <w:r w:rsidRPr="000977F7">
        <w:rPr>
          <w:rFonts w:asciiTheme="majorHAnsi" w:hAnsiTheme="majorHAnsi"/>
          <w:spacing w:val="-3"/>
          <w:sz w:val="20"/>
          <w:szCs w:val="20"/>
        </w:rPr>
        <w:t xml:space="preserve"> </w:t>
      </w:r>
      <w:r w:rsidRPr="000977F7">
        <w:rPr>
          <w:rFonts w:asciiTheme="majorHAnsi" w:hAnsiTheme="majorHAnsi"/>
          <w:sz w:val="20"/>
          <w:szCs w:val="20"/>
        </w:rPr>
        <w:t>розподілених</w:t>
      </w:r>
      <w:r w:rsidRPr="000977F7">
        <w:rPr>
          <w:rFonts w:asciiTheme="majorHAnsi" w:hAnsiTheme="majorHAnsi"/>
          <w:spacing w:val="-3"/>
          <w:sz w:val="20"/>
          <w:szCs w:val="20"/>
        </w:rPr>
        <w:t xml:space="preserve"> </w:t>
      </w:r>
      <w:r w:rsidRPr="000977F7">
        <w:rPr>
          <w:rFonts w:asciiTheme="majorHAnsi" w:hAnsiTheme="majorHAnsi"/>
          <w:sz w:val="20"/>
          <w:szCs w:val="20"/>
        </w:rPr>
        <w:t>за</w:t>
      </w:r>
      <w:r w:rsidRPr="000977F7">
        <w:rPr>
          <w:rFonts w:asciiTheme="majorHAnsi" w:hAnsiTheme="majorHAnsi"/>
          <w:spacing w:val="-2"/>
          <w:sz w:val="20"/>
          <w:szCs w:val="20"/>
        </w:rPr>
        <w:t xml:space="preserve"> </w:t>
      </w:r>
      <w:r w:rsidRPr="000977F7">
        <w:rPr>
          <w:rFonts w:asciiTheme="majorHAnsi" w:hAnsiTheme="majorHAnsi"/>
          <w:sz w:val="20"/>
          <w:szCs w:val="20"/>
        </w:rPr>
        <w:t>запитом</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3"/>
          <w:sz w:val="20"/>
          <w:szCs w:val="20"/>
        </w:rPr>
        <w:t xml:space="preserve"> </w:t>
      </w:r>
      <w:r w:rsidRPr="000977F7">
        <w:rPr>
          <w:rFonts w:asciiTheme="majorHAnsi" w:hAnsiTheme="majorHAnsi"/>
          <w:sz w:val="20"/>
          <w:szCs w:val="20"/>
        </w:rPr>
        <w:t>верстатів;</w:t>
      </w:r>
    </w:p>
    <w:p w14:paraId="2601F94A" w14:textId="77777777" w:rsidR="0097612F" w:rsidRPr="000977F7" w:rsidRDefault="0097612F" w:rsidP="00FD39A4">
      <w:pPr>
        <w:pStyle w:val="ac"/>
        <w:widowControl w:val="0"/>
        <w:numPr>
          <w:ilvl w:val="1"/>
          <w:numId w:val="180"/>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безперервно-дискретною</w:t>
      </w:r>
      <w:r w:rsidRPr="000977F7">
        <w:rPr>
          <w:rFonts w:asciiTheme="majorHAnsi" w:hAnsiTheme="majorHAnsi"/>
          <w:spacing w:val="1"/>
          <w:sz w:val="20"/>
          <w:szCs w:val="20"/>
        </w:rPr>
        <w:t xml:space="preserve"> </w:t>
      </w:r>
      <w:r w:rsidRPr="000977F7">
        <w:rPr>
          <w:rFonts w:asciiTheme="majorHAnsi" w:hAnsiTheme="majorHAnsi"/>
          <w:sz w:val="20"/>
          <w:szCs w:val="20"/>
        </w:rPr>
        <w:t>інформацією,</w:t>
      </w:r>
      <w:r w:rsidRPr="000977F7">
        <w:rPr>
          <w:rFonts w:asciiTheme="majorHAnsi" w:hAnsiTheme="majorHAnsi"/>
          <w:spacing w:val="1"/>
          <w:sz w:val="20"/>
          <w:szCs w:val="20"/>
        </w:rPr>
        <w:t xml:space="preserve"> </w:t>
      </w:r>
      <w:r w:rsidRPr="000977F7">
        <w:rPr>
          <w:rFonts w:asciiTheme="majorHAnsi" w:hAnsiTheme="majorHAnsi"/>
          <w:sz w:val="20"/>
          <w:szCs w:val="20"/>
        </w:rPr>
        <w:t>створеною безперервними і дискретними (імпульсними)</w:t>
      </w:r>
      <w:r w:rsidRPr="000977F7">
        <w:rPr>
          <w:rFonts w:asciiTheme="majorHAnsi" w:hAnsiTheme="majorHAnsi"/>
          <w:spacing w:val="1"/>
          <w:sz w:val="20"/>
          <w:szCs w:val="20"/>
        </w:rPr>
        <w:t xml:space="preserve"> </w:t>
      </w:r>
      <w:r w:rsidRPr="000977F7">
        <w:rPr>
          <w:rFonts w:asciiTheme="majorHAnsi" w:hAnsiTheme="majorHAnsi"/>
          <w:sz w:val="20"/>
          <w:szCs w:val="20"/>
        </w:rPr>
        <w:t>сигналами;</w:t>
      </w:r>
    </w:p>
    <w:p w14:paraId="34C56054" w14:textId="77777777" w:rsidR="0097612F" w:rsidRPr="000977F7" w:rsidRDefault="0097612F" w:rsidP="00FD39A4">
      <w:pPr>
        <w:pStyle w:val="ac"/>
        <w:widowControl w:val="0"/>
        <w:numPr>
          <w:ilvl w:val="1"/>
          <w:numId w:val="180"/>
        </w:numPr>
        <w:tabs>
          <w:tab w:val="left" w:pos="284"/>
          <w:tab w:val="left" w:pos="676"/>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з дискретною інформацією – з кодовою інформацією, створеною дискретними (імпульсними) сигналами;</w:t>
      </w:r>
    </w:p>
    <w:p w14:paraId="130D4532" w14:textId="77777777" w:rsidR="0097612F" w:rsidRPr="000977F7" w:rsidRDefault="0097612F" w:rsidP="00FD39A4">
      <w:pPr>
        <w:pStyle w:val="ac"/>
        <w:widowControl w:val="0"/>
        <w:numPr>
          <w:ilvl w:val="2"/>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із зворотнім зв’язком – із двома потоками інформації, а саме: сигнал управління і сигнал про результат</w:t>
      </w:r>
      <w:r w:rsidRPr="000977F7">
        <w:rPr>
          <w:rFonts w:asciiTheme="majorHAnsi" w:hAnsiTheme="majorHAnsi"/>
          <w:spacing w:val="-2"/>
          <w:sz w:val="20"/>
          <w:szCs w:val="20"/>
        </w:rPr>
        <w:t xml:space="preserve"> </w:t>
      </w:r>
      <w:r w:rsidRPr="000977F7">
        <w:rPr>
          <w:rFonts w:asciiTheme="majorHAnsi" w:hAnsiTheme="majorHAnsi"/>
          <w:sz w:val="20"/>
          <w:szCs w:val="20"/>
        </w:rPr>
        <w:t>дії сигналу</w:t>
      </w:r>
      <w:r w:rsidRPr="000977F7">
        <w:rPr>
          <w:rFonts w:asciiTheme="majorHAnsi" w:hAnsiTheme="majorHAnsi"/>
          <w:spacing w:val="2"/>
          <w:sz w:val="20"/>
          <w:szCs w:val="20"/>
        </w:rPr>
        <w:t xml:space="preserve"> </w:t>
      </w:r>
      <w:r w:rsidRPr="000977F7">
        <w:rPr>
          <w:rFonts w:asciiTheme="majorHAnsi" w:hAnsiTheme="majorHAnsi"/>
          <w:sz w:val="20"/>
          <w:szCs w:val="20"/>
        </w:rPr>
        <w:t>управління;</w:t>
      </w:r>
    </w:p>
    <w:p w14:paraId="7F2437FF" w14:textId="77777777" w:rsidR="0097612F" w:rsidRPr="000977F7" w:rsidRDefault="0097612F" w:rsidP="00FD39A4">
      <w:pPr>
        <w:pStyle w:val="ac"/>
        <w:widowControl w:val="0"/>
        <w:numPr>
          <w:ilvl w:val="2"/>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контурне – переміщення робочих органів верстата</w:t>
      </w:r>
      <w:r w:rsidRPr="000977F7">
        <w:rPr>
          <w:rFonts w:asciiTheme="majorHAnsi" w:hAnsiTheme="majorHAnsi"/>
          <w:spacing w:val="-47"/>
          <w:sz w:val="20"/>
          <w:szCs w:val="20"/>
        </w:rPr>
        <w:t xml:space="preserve"> </w:t>
      </w:r>
      <w:r w:rsidRPr="000977F7">
        <w:rPr>
          <w:rFonts w:asciiTheme="majorHAnsi" w:hAnsiTheme="majorHAnsi"/>
          <w:sz w:val="20"/>
          <w:szCs w:val="20"/>
        </w:rPr>
        <w:t>відбувається за заданою траєкторією із заданою</w:t>
      </w:r>
      <w:r w:rsidRPr="000977F7">
        <w:rPr>
          <w:rFonts w:asciiTheme="majorHAnsi" w:hAnsiTheme="majorHAnsi"/>
          <w:spacing w:val="1"/>
          <w:sz w:val="20"/>
          <w:szCs w:val="20"/>
        </w:rPr>
        <w:t xml:space="preserve"> </w:t>
      </w:r>
      <w:r w:rsidRPr="000977F7">
        <w:rPr>
          <w:rFonts w:asciiTheme="majorHAnsi" w:hAnsiTheme="majorHAnsi"/>
          <w:sz w:val="20"/>
          <w:szCs w:val="20"/>
        </w:rPr>
        <w:t>швидкістю</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отримання</w:t>
      </w:r>
      <w:r w:rsidRPr="000977F7">
        <w:rPr>
          <w:rFonts w:asciiTheme="majorHAnsi" w:hAnsiTheme="majorHAnsi"/>
          <w:spacing w:val="1"/>
          <w:sz w:val="20"/>
          <w:szCs w:val="20"/>
        </w:rPr>
        <w:t xml:space="preserve"> </w:t>
      </w:r>
      <w:r w:rsidRPr="000977F7">
        <w:rPr>
          <w:rFonts w:asciiTheme="majorHAnsi" w:hAnsiTheme="majorHAnsi"/>
          <w:sz w:val="20"/>
          <w:szCs w:val="20"/>
        </w:rPr>
        <w:t>необхідного</w:t>
      </w:r>
      <w:r w:rsidRPr="000977F7">
        <w:rPr>
          <w:rFonts w:asciiTheme="majorHAnsi" w:hAnsiTheme="majorHAnsi"/>
          <w:spacing w:val="1"/>
          <w:sz w:val="20"/>
          <w:szCs w:val="20"/>
        </w:rPr>
        <w:t xml:space="preserve"> </w:t>
      </w:r>
      <w:r w:rsidRPr="000977F7">
        <w:rPr>
          <w:rFonts w:asciiTheme="majorHAnsi" w:hAnsiTheme="majorHAnsi"/>
          <w:sz w:val="20"/>
          <w:szCs w:val="20"/>
        </w:rPr>
        <w:t>контуру</w:t>
      </w:r>
      <w:r w:rsidRPr="000977F7">
        <w:rPr>
          <w:rFonts w:asciiTheme="majorHAnsi" w:hAnsiTheme="majorHAnsi"/>
          <w:spacing w:val="-47"/>
          <w:sz w:val="20"/>
          <w:szCs w:val="20"/>
        </w:rPr>
        <w:t xml:space="preserve"> </w:t>
      </w:r>
      <w:r w:rsidRPr="000977F7">
        <w:rPr>
          <w:rFonts w:asciiTheme="majorHAnsi" w:hAnsiTheme="majorHAnsi"/>
          <w:sz w:val="20"/>
          <w:szCs w:val="20"/>
        </w:rPr>
        <w:t>заготовки;</w:t>
      </w:r>
    </w:p>
    <w:p w14:paraId="2B85319E" w14:textId="77777777" w:rsidR="0097612F" w:rsidRPr="000977F7" w:rsidRDefault="0097612F" w:rsidP="00FD39A4">
      <w:pPr>
        <w:pStyle w:val="ac"/>
        <w:widowControl w:val="0"/>
        <w:numPr>
          <w:ilvl w:val="2"/>
          <w:numId w:val="180"/>
        </w:numPr>
        <w:tabs>
          <w:tab w:val="left" w:pos="284"/>
          <w:tab w:val="left" w:pos="801"/>
        </w:tabs>
        <w:autoSpaceDE w:val="0"/>
        <w:autoSpaceDN w:val="0"/>
        <w:spacing w:after="0" w:line="240" w:lineRule="auto"/>
        <w:ind w:left="170" w:firstLine="0"/>
        <w:contextualSpacing w:val="0"/>
        <w:mirrorIndents/>
        <w:jc w:val="both"/>
        <w:rPr>
          <w:rFonts w:asciiTheme="majorHAnsi" w:hAnsiTheme="majorHAnsi"/>
          <w:sz w:val="20"/>
          <w:szCs w:val="20"/>
        </w:rPr>
      </w:pPr>
      <w:r w:rsidRPr="000977F7">
        <w:rPr>
          <w:rFonts w:asciiTheme="majorHAnsi" w:hAnsiTheme="majorHAnsi"/>
          <w:sz w:val="20"/>
          <w:szCs w:val="20"/>
        </w:rPr>
        <w:t>позиційне – переміщення робочих органів верстата здійснюється в заданій точці, причому траєкторії</w:t>
      </w:r>
      <w:r w:rsidRPr="000977F7">
        <w:rPr>
          <w:rFonts w:asciiTheme="majorHAnsi" w:hAnsiTheme="majorHAnsi"/>
          <w:spacing w:val="-2"/>
          <w:sz w:val="20"/>
          <w:szCs w:val="20"/>
        </w:rPr>
        <w:t xml:space="preserve"> </w:t>
      </w:r>
      <w:r w:rsidRPr="000977F7">
        <w:rPr>
          <w:rFonts w:asciiTheme="majorHAnsi" w:hAnsiTheme="majorHAnsi"/>
          <w:sz w:val="20"/>
          <w:szCs w:val="20"/>
        </w:rPr>
        <w:t>переміщення</w:t>
      </w:r>
      <w:r w:rsidRPr="000977F7">
        <w:rPr>
          <w:rFonts w:asciiTheme="majorHAnsi" w:hAnsiTheme="majorHAnsi"/>
          <w:spacing w:val="-1"/>
          <w:sz w:val="20"/>
          <w:szCs w:val="20"/>
        </w:rPr>
        <w:t xml:space="preserve"> </w:t>
      </w:r>
      <w:r w:rsidRPr="000977F7">
        <w:rPr>
          <w:rFonts w:asciiTheme="majorHAnsi" w:hAnsiTheme="majorHAnsi"/>
          <w:sz w:val="20"/>
          <w:szCs w:val="20"/>
        </w:rPr>
        <w:t>не задаються</w:t>
      </w:r>
    </w:p>
    <w:p w14:paraId="2FCD372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ЧИСТОВЕ</w:t>
      </w:r>
      <w:r w:rsidRPr="000977F7">
        <w:rPr>
          <w:color w:val="auto"/>
          <w:spacing w:val="-4"/>
          <w:sz w:val="20"/>
          <w:szCs w:val="20"/>
        </w:rPr>
        <w:t xml:space="preserve"> </w:t>
      </w:r>
      <w:r w:rsidRPr="000977F7">
        <w:rPr>
          <w:color w:val="auto"/>
          <w:sz w:val="20"/>
          <w:szCs w:val="20"/>
        </w:rPr>
        <w:t>ОБРОБЛЕННЯ</w:t>
      </w:r>
      <w:r w:rsidRPr="000977F7">
        <w:rPr>
          <w:color w:val="auto"/>
          <w:spacing w:val="-2"/>
          <w:sz w:val="20"/>
          <w:szCs w:val="20"/>
        </w:rPr>
        <w:t xml:space="preserve"> </w:t>
      </w:r>
      <w:r w:rsidRPr="000977F7">
        <w:rPr>
          <w:color w:val="auto"/>
          <w:sz w:val="20"/>
          <w:szCs w:val="20"/>
        </w:rPr>
        <w:t>–</w:t>
      </w:r>
    </w:p>
    <w:p w14:paraId="6ECA2C02"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Оброблення, внаслідок якого досягають заданої точності розмірів та шорсткості оброблюваних поверхонь</w:t>
      </w:r>
      <w:r w:rsidRPr="000977F7">
        <w:rPr>
          <w:rFonts w:asciiTheme="majorHAnsi" w:hAnsiTheme="majorHAnsi"/>
          <w:spacing w:val="-47"/>
          <w:sz w:val="20"/>
          <w:szCs w:val="20"/>
        </w:rPr>
        <w:t xml:space="preserve"> </w:t>
      </w:r>
    </w:p>
    <w:p w14:paraId="5D073C31"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2391</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2010</w:t>
      </w:r>
    </w:p>
    <w:p w14:paraId="799CFA3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ЧЛЕН</w:t>
      </w:r>
      <w:r w:rsidRPr="000977F7">
        <w:rPr>
          <w:color w:val="auto"/>
          <w:spacing w:val="-2"/>
          <w:sz w:val="20"/>
          <w:szCs w:val="20"/>
        </w:rPr>
        <w:t xml:space="preserve"> </w:t>
      </w:r>
      <w:r w:rsidRPr="000977F7">
        <w:rPr>
          <w:color w:val="auto"/>
          <w:sz w:val="20"/>
          <w:szCs w:val="20"/>
        </w:rPr>
        <w:t>(СИСТЕМИ</w:t>
      </w:r>
      <w:r w:rsidRPr="000977F7">
        <w:rPr>
          <w:color w:val="auto"/>
          <w:spacing w:val="-2"/>
          <w:sz w:val="20"/>
          <w:szCs w:val="20"/>
        </w:rPr>
        <w:t xml:space="preserve"> </w:t>
      </w:r>
      <w:r w:rsidRPr="000977F7">
        <w:rPr>
          <w:color w:val="auto"/>
          <w:sz w:val="20"/>
          <w:szCs w:val="20"/>
        </w:rPr>
        <w:t>АБО</w:t>
      </w:r>
      <w:r w:rsidRPr="000977F7">
        <w:rPr>
          <w:color w:val="auto"/>
          <w:spacing w:val="-2"/>
          <w:sz w:val="20"/>
          <w:szCs w:val="20"/>
        </w:rPr>
        <w:t xml:space="preserve"> </w:t>
      </w:r>
      <w:r w:rsidRPr="000977F7">
        <w:rPr>
          <w:color w:val="auto"/>
          <w:sz w:val="20"/>
          <w:szCs w:val="20"/>
        </w:rPr>
        <w:t>СХЕМИ)</w:t>
      </w:r>
      <w:r w:rsidRPr="000977F7">
        <w:rPr>
          <w:color w:val="auto"/>
          <w:spacing w:val="-1"/>
          <w:sz w:val="20"/>
          <w:szCs w:val="20"/>
        </w:rPr>
        <w:t xml:space="preserve"> </w:t>
      </w:r>
      <w:r w:rsidRPr="000977F7">
        <w:rPr>
          <w:color w:val="auto"/>
          <w:sz w:val="20"/>
          <w:szCs w:val="20"/>
        </w:rPr>
        <w:t>–</w:t>
      </w:r>
    </w:p>
    <w:p w14:paraId="16371434"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MEMBER;</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MEMBER</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OF A</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SYSTEM</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OR</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SCHEME –</w:t>
      </w:r>
    </w:p>
    <w:p w14:paraId="5A0EBFA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Орган, що діє згідно із застосовуваними правилами</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має можливість</w:t>
      </w:r>
      <w:r w:rsidRPr="000977F7">
        <w:rPr>
          <w:rFonts w:asciiTheme="majorHAnsi" w:hAnsiTheme="majorHAnsi"/>
          <w:spacing w:val="1"/>
          <w:sz w:val="20"/>
          <w:szCs w:val="20"/>
        </w:rPr>
        <w:t xml:space="preserve"> </w:t>
      </w:r>
      <w:r w:rsidRPr="000977F7">
        <w:rPr>
          <w:rFonts w:asciiTheme="majorHAnsi" w:hAnsiTheme="majorHAnsi"/>
          <w:sz w:val="20"/>
          <w:szCs w:val="20"/>
        </w:rPr>
        <w:t>брати участь в</w:t>
      </w:r>
      <w:r w:rsidRPr="000977F7">
        <w:rPr>
          <w:rFonts w:asciiTheme="majorHAnsi" w:hAnsiTheme="majorHAnsi"/>
          <w:spacing w:val="1"/>
          <w:sz w:val="20"/>
          <w:szCs w:val="20"/>
        </w:rPr>
        <w:t xml:space="preserve"> </w:t>
      </w:r>
      <w:r w:rsidRPr="000977F7">
        <w:rPr>
          <w:rFonts w:asciiTheme="majorHAnsi" w:hAnsiTheme="majorHAnsi"/>
          <w:sz w:val="20"/>
          <w:szCs w:val="20"/>
        </w:rPr>
        <w:t>управлінні системою</w:t>
      </w:r>
      <w:r w:rsidRPr="000977F7">
        <w:rPr>
          <w:rFonts w:asciiTheme="majorHAnsi" w:hAnsiTheme="majorHAnsi"/>
          <w:spacing w:val="1"/>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схемою</w:t>
      </w:r>
    </w:p>
    <w:p w14:paraId="02DBE67B" w14:textId="77777777" w:rsidR="0097612F" w:rsidRPr="000977F7" w:rsidRDefault="0097612F" w:rsidP="000977F7">
      <w:pPr>
        <w:tabs>
          <w:tab w:val="left" w:pos="284"/>
        </w:tabs>
        <w:spacing w:after="0" w:line="240" w:lineRule="auto"/>
        <w:ind w:left="170"/>
        <w:mirrorIndents/>
        <w:jc w:val="both"/>
        <w:rPr>
          <w:rFonts w:asciiTheme="majorHAnsi" w:hAnsiTheme="majorHAnsi"/>
          <w:i/>
          <w:iCs/>
          <w:sz w:val="20"/>
          <w:szCs w:val="20"/>
        </w:rPr>
      </w:pPr>
      <w:r w:rsidRPr="000977F7">
        <w:rPr>
          <w:rFonts w:asciiTheme="majorHAnsi" w:hAnsiTheme="majorHAnsi"/>
          <w:i/>
          <w:iCs/>
          <w:spacing w:val="-7"/>
          <w:w w:val="95"/>
          <w:sz w:val="20"/>
          <w:szCs w:val="20"/>
        </w:rPr>
        <w:t>ДСТУ ISO/IEC</w:t>
      </w:r>
      <w:r w:rsidRPr="000977F7">
        <w:rPr>
          <w:rFonts w:asciiTheme="majorHAnsi" w:hAnsiTheme="majorHAnsi"/>
          <w:i/>
          <w:iCs/>
          <w:spacing w:val="-17"/>
          <w:w w:val="95"/>
          <w:sz w:val="20"/>
          <w:szCs w:val="20"/>
        </w:rPr>
        <w:t xml:space="preserve"> </w:t>
      </w:r>
      <w:r w:rsidRPr="000977F7">
        <w:rPr>
          <w:rFonts w:asciiTheme="majorHAnsi" w:hAnsiTheme="majorHAnsi"/>
          <w:i/>
          <w:iCs/>
          <w:spacing w:val="-6"/>
          <w:w w:val="95"/>
          <w:sz w:val="20"/>
          <w:szCs w:val="20"/>
        </w:rPr>
        <w:t>17000:2007</w:t>
      </w:r>
    </w:p>
    <w:p w14:paraId="4925AA9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ЧОРНОВЕ</w:t>
      </w:r>
      <w:r w:rsidRPr="000977F7">
        <w:rPr>
          <w:color w:val="auto"/>
          <w:spacing w:val="-5"/>
          <w:sz w:val="20"/>
          <w:szCs w:val="20"/>
        </w:rPr>
        <w:t xml:space="preserve"> </w:t>
      </w:r>
      <w:r w:rsidRPr="000977F7">
        <w:rPr>
          <w:color w:val="auto"/>
          <w:sz w:val="20"/>
          <w:szCs w:val="20"/>
        </w:rPr>
        <w:t>ОБРОБЛЕННЯ –</w:t>
      </w:r>
    </w:p>
    <w:p w14:paraId="450F30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Оброблення, внаслідок якого знімається основна частина</w:t>
      </w:r>
      <w:r w:rsidRPr="000977F7">
        <w:rPr>
          <w:rFonts w:asciiTheme="majorHAnsi" w:hAnsiTheme="majorHAnsi"/>
          <w:spacing w:val="-1"/>
          <w:sz w:val="20"/>
          <w:szCs w:val="20"/>
        </w:rPr>
        <w:t xml:space="preserve"> </w:t>
      </w:r>
      <w:r w:rsidRPr="000977F7">
        <w:rPr>
          <w:rFonts w:asciiTheme="majorHAnsi" w:hAnsiTheme="majorHAnsi"/>
          <w:sz w:val="20"/>
          <w:szCs w:val="20"/>
        </w:rPr>
        <w:t>припуску</w:t>
      </w:r>
    </w:p>
    <w:p w14:paraId="72B69D2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2391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 2010</w:t>
      </w:r>
    </w:p>
    <w:p w14:paraId="62B7FDB1" w14:textId="77777777" w:rsidR="0097612F" w:rsidRPr="004D2D14" w:rsidRDefault="0097612F" w:rsidP="000977F7">
      <w:pPr>
        <w:tabs>
          <w:tab w:val="left" w:pos="284"/>
        </w:tabs>
        <w:spacing w:after="0" w:line="240" w:lineRule="auto"/>
        <w:ind w:left="170"/>
        <w:mirrorIndents/>
        <w:jc w:val="both"/>
        <w:rPr>
          <w:rFonts w:asciiTheme="majorHAnsi" w:hAnsiTheme="majorHAnsi"/>
          <w:b/>
          <w:bCs/>
          <w:iCs/>
          <w:sz w:val="20"/>
          <w:szCs w:val="20"/>
          <w:lang w:val="en-US"/>
        </w:rPr>
      </w:pPr>
      <w:bookmarkStart w:id="320" w:name="_Hlk103695417"/>
      <w:r w:rsidRPr="000977F7">
        <w:rPr>
          <w:rFonts w:asciiTheme="majorHAnsi" w:hAnsiTheme="majorHAnsi"/>
          <w:b/>
          <w:bCs/>
          <w:iCs/>
          <w:sz w:val="20"/>
          <w:szCs w:val="20"/>
        </w:rPr>
        <w:t>ЧУТЛИВЕ</w:t>
      </w:r>
      <w:r w:rsidRPr="004D2D14">
        <w:rPr>
          <w:rFonts w:asciiTheme="majorHAnsi" w:hAnsiTheme="majorHAnsi"/>
          <w:b/>
          <w:bCs/>
          <w:iCs/>
          <w:sz w:val="20"/>
          <w:szCs w:val="20"/>
          <w:lang w:val="en-US"/>
        </w:rPr>
        <w:t xml:space="preserve"> </w:t>
      </w:r>
      <w:r w:rsidRPr="000977F7">
        <w:rPr>
          <w:rFonts w:asciiTheme="majorHAnsi" w:hAnsiTheme="majorHAnsi"/>
          <w:b/>
          <w:bCs/>
          <w:iCs/>
          <w:sz w:val="20"/>
          <w:szCs w:val="20"/>
        </w:rPr>
        <w:t>ЗАХИСНЕ</w:t>
      </w:r>
      <w:r w:rsidRPr="004D2D14">
        <w:rPr>
          <w:rFonts w:asciiTheme="majorHAnsi" w:hAnsiTheme="majorHAnsi"/>
          <w:b/>
          <w:bCs/>
          <w:iCs/>
          <w:sz w:val="20"/>
          <w:szCs w:val="20"/>
          <w:lang w:val="en-US"/>
        </w:rPr>
        <w:t xml:space="preserve"> </w:t>
      </w:r>
      <w:r w:rsidRPr="000977F7">
        <w:rPr>
          <w:rFonts w:asciiTheme="majorHAnsi" w:hAnsiTheme="majorHAnsi"/>
          <w:b/>
          <w:bCs/>
          <w:iCs/>
          <w:sz w:val="20"/>
          <w:szCs w:val="20"/>
        </w:rPr>
        <w:t>УСТАТКОВАННЯ</w:t>
      </w:r>
      <w:r w:rsidRPr="004D2D14">
        <w:rPr>
          <w:rFonts w:asciiTheme="majorHAnsi" w:hAnsiTheme="majorHAnsi"/>
          <w:b/>
          <w:bCs/>
          <w:iCs/>
          <w:sz w:val="20"/>
          <w:szCs w:val="20"/>
          <w:lang w:val="en-US"/>
        </w:rPr>
        <w:t xml:space="preserve"> –</w:t>
      </w:r>
    </w:p>
    <w:p w14:paraId="478C5A6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SENSITIVE PROTECTIVE EQUIPMENT (S</w:t>
      </w:r>
      <w:r w:rsidRPr="000977F7">
        <w:rPr>
          <w:rFonts w:asciiTheme="majorHAnsi" w:hAnsiTheme="majorHAnsi"/>
          <w:sz w:val="20"/>
          <w:szCs w:val="20"/>
        </w:rPr>
        <w:t>РЕ</w:t>
      </w:r>
      <w:r w:rsidRPr="004D2D14">
        <w:rPr>
          <w:rFonts w:asciiTheme="majorHAnsi" w:hAnsiTheme="majorHAnsi"/>
          <w:sz w:val="20"/>
          <w:szCs w:val="20"/>
          <w:lang w:val="en-US"/>
        </w:rPr>
        <w:t xml:space="preserve">) </w:t>
      </w:r>
      <w:bookmarkEnd w:id="320"/>
      <w:r w:rsidRPr="004D2D14">
        <w:rPr>
          <w:rFonts w:asciiTheme="majorHAnsi" w:hAnsiTheme="majorHAnsi"/>
          <w:sz w:val="20"/>
          <w:szCs w:val="20"/>
          <w:lang w:val="en-US"/>
        </w:rPr>
        <w:t xml:space="preserve">– </w:t>
      </w:r>
    </w:p>
    <w:p w14:paraId="6E73DE0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Устатковання, яке подає відповідний сигнал до системи керування в присутності людини або частин її тіла для зменшення ризику в небезпечній зоні.</w:t>
      </w:r>
    </w:p>
    <w:p w14:paraId="6E18B0F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Примітка. Сигнал може виникати, якщо людина або частина її тіла перетинає визначену межу, наприклад потрапляє в небезпечну зону (спотикання) або якщо людина перебуває у визначеній зоні (виявлення присутності) чи в обох випадках </w:t>
      </w:r>
    </w:p>
    <w:p w14:paraId="444AD804"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064DDFE8" w14:textId="77777777" w:rsidR="0097612F" w:rsidRPr="000977F7" w:rsidRDefault="000977F7" w:rsidP="000977F7">
      <w:pPr>
        <w:pStyle w:val="7"/>
        <w:tabs>
          <w:tab w:val="left" w:pos="284"/>
        </w:tabs>
        <w:spacing w:before="0" w:line="240" w:lineRule="auto"/>
        <w:ind w:left="170"/>
        <w:mirrorIndents/>
        <w:jc w:val="both"/>
        <w:rPr>
          <w:b w:val="0"/>
          <w:color w:val="auto"/>
          <w:sz w:val="20"/>
          <w:szCs w:val="20"/>
        </w:rPr>
      </w:pPr>
      <w:r>
        <w:rPr>
          <w:color w:val="auto"/>
          <w:sz w:val="20"/>
          <w:szCs w:val="20"/>
        </w:rPr>
        <w:br w:type="column"/>
      </w:r>
      <w:r w:rsidR="0097612F" w:rsidRPr="000977F7">
        <w:rPr>
          <w:color w:val="auto"/>
          <w:sz w:val="20"/>
          <w:szCs w:val="20"/>
        </w:rPr>
        <w:t>ЧУТЛИВІСТЬ (ВИМІРЮВАЛЬНОГО ПЕРЕТВОРЮВАЧА)</w:t>
      </w:r>
      <w:r w:rsidR="0097612F" w:rsidRPr="000977F7">
        <w:rPr>
          <w:color w:val="auto"/>
          <w:spacing w:val="1"/>
          <w:sz w:val="20"/>
          <w:szCs w:val="20"/>
        </w:rPr>
        <w:t xml:space="preserve"> </w:t>
      </w:r>
      <w:r w:rsidR="0097612F" w:rsidRPr="000977F7">
        <w:rPr>
          <w:b w:val="0"/>
          <w:color w:val="auto"/>
          <w:sz w:val="20"/>
          <w:szCs w:val="20"/>
        </w:rPr>
        <w:t>–</w:t>
      </w:r>
    </w:p>
    <w:p w14:paraId="74938193"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SENSITIVITY</w:t>
      </w:r>
      <w:r w:rsidRPr="004D2D14">
        <w:rPr>
          <w:rFonts w:asciiTheme="majorHAnsi" w:hAnsiTheme="majorHAnsi"/>
          <w:sz w:val="20"/>
          <w:szCs w:val="20"/>
          <w:lang w:val="uk-UA"/>
        </w:rPr>
        <w:t xml:space="preserve"> –</w:t>
      </w:r>
    </w:p>
    <w:p w14:paraId="59DECA6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Відношення зміни вихідної величини вимірювального</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перетворювача до зміни вхідної величини, що її викликає</w:t>
      </w:r>
    </w:p>
    <w:p w14:paraId="5306CD52"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2681</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94</w:t>
      </w:r>
    </w:p>
    <w:p w14:paraId="46FF93B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sectPr w:rsidR="0097612F" w:rsidRPr="004D2D14" w:rsidSect="000977F7">
          <w:type w:val="continuous"/>
          <w:pgSz w:w="11900" w:h="16820"/>
          <w:pgMar w:top="980" w:right="380" w:bottom="960" w:left="1160" w:header="0" w:footer="775" w:gutter="0"/>
          <w:cols w:num="2" w:space="454"/>
        </w:sectPr>
      </w:pPr>
    </w:p>
    <w:p w14:paraId="55D28D8D" w14:textId="77777777" w:rsidR="0097612F" w:rsidRPr="00871491" w:rsidRDefault="0097612F" w:rsidP="00871491">
      <w:pPr>
        <w:pStyle w:val="1"/>
        <w:rPr>
          <w:lang w:val="uk-UA"/>
        </w:rPr>
      </w:pPr>
      <w:bookmarkStart w:id="321" w:name="_Toc132629657"/>
      <w:r w:rsidRPr="00871491">
        <w:rPr>
          <w:lang w:val="uk-UA"/>
        </w:rPr>
        <w:lastRenderedPageBreak/>
        <w:t>Ш</w:t>
      </w:r>
      <w:bookmarkEnd w:id="321"/>
    </w:p>
    <w:p w14:paraId="098D2B4C" w14:textId="77777777" w:rsidR="0097612F" w:rsidRPr="00871491" w:rsidRDefault="0097612F" w:rsidP="00871491">
      <w:pPr>
        <w:pStyle w:val="1"/>
        <w:rPr>
          <w:lang w:val="uk-UA"/>
        </w:rPr>
        <w:sectPr w:rsidR="0097612F" w:rsidRPr="00871491" w:rsidSect="000977F7">
          <w:pgSz w:w="11900" w:h="16820"/>
          <w:pgMar w:top="980" w:right="380" w:bottom="960" w:left="1160" w:header="0" w:footer="775" w:gutter="0"/>
          <w:cols w:num="2" w:space="454"/>
        </w:sectPr>
      </w:pPr>
    </w:p>
    <w:p w14:paraId="07C2CA9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ШАБРУВАННЯ</w:t>
      </w:r>
      <w:r w:rsidRPr="000977F7">
        <w:rPr>
          <w:color w:val="auto"/>
          <w:spacing w:val="-4"/>
          <w:sz w:val="20"/>
          <w:szCs w:val="20"/>
        </w:rPr>
        <w:t xml:space="preserve"> </w:t>
      </w:r>
      <w:r w:rsidRPr="000977F7">
        <w:rPr>
          <w:color w:val="auto"/>
          <w:sz w:val="20"/>
          <w:szCs w:val="20"/>
        </w:rPr>
        <w:t>–</w:t>
      </w:r>
    </w:p>
    <w:p w14:paraId="56E3D83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Оздоблювальна обробка поверхонь, попередньо оброблених різанням та припасовуваних в процесі складання, шляхом зняття тонкої стружки в окремих місцях</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шабером вручну</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або механічним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шляхом</w:t>
      </w:r>
    </w:p>
    <w:p w14:paraId="7DEB182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ШВИДКІСТЬ</w:t>
      </w:r>
      <w:r w:rsidRPr="000977F7">
        <w:rPr>
          <w:color w:val="auto"/>
          <w:spacing w:val="-4"/>
          <w:sz w:val="20"/>
          <w:szCs w:val="20"/>
        </w:rPr>
        <w:t xml:space="preserve"> </w:t>
      </w:r>
      <w:r w:rsidRPr="000977F7">
        <w:rPr>
          <w:color w:val="auto"/>
          <w:sz w:val="20"/>
          <w:szCs w:val="20"/>
        </w:rPr>
        <w:t>ГАРМОНІЧНОЇ</w:t>
      </w:r>
      <w:r w:rsidRPr="000977F7">
        <w:rPr>
          <w:color w:val="auto"/>
          <w:spacing w:val="-4"/>
          <w:sz w:val="20"/>
          <w:szCs w:val="20"/>
        </w:rPr>
        <w:t xml:space="preserve"> </w:t>
      </w:r>
      <w:r w:rsidRPr="000977F7">
        <w:rPr>
          <w:color w:val="auto"/>
          <w:sz w:val="20"/>
          <w:szCs w:val="20"/>
        </w:rPr>
        <w:t>ХВИЛІ</w:t>
      </w:r>
      <w:r w:rsidRPr="000977F7">
        <w:rPr>
          <w:color w:val="auto"/>
          <w:spacing w:val="-1"/>
          <w:sz w:val="20"/>
          <w:szCs w:val="20"/>
        </w:rPr>
        <w:t xml:space="preserve"> </w:t>
      </w:r>
      <w:r w:rsidRPr="000977F7">
        <w:rPr>
          <w:color w:val="auto"/>
          <w:sz w:val="20"/>
          <w:szCs w:val="20"/>
        </w:rPr>
        <w:t>–</w:t>
      </w:r>
    </w:p>
    <w:p w14:paraId="3F0BD197"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WAVE</w:t>
      </w:r>
      <w:r w:rsidRPr="004D2D14">
        <w:rPr>
          <w:rFonts w:asciiTheme="majorHAnsi" w:hAnsiTheme="majorHAnsi"/>
          <w:spacing w:val="-2"/>
          <w:sz w:val="20"/>
          <w:szCs w:val="20"/>
          <w:lang w:val="uk-UA"/>
        </w:rPr>
        <w:t xml:space="preserve"> </w:t>
      </w:r>
      <w:r w:rsidRPr="000977F7">
        <w:rPr>
          <w:rFonts w:asciiTheme="majorHAnsi" w:hAnsiTheme="majorHAnsi"/>
          <w:sz w:val="20"/>
          <w:szCs w:val="20"/>
        </w:rPr>
        <w:t>VELOCITY</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437453E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Швидкість</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поширення</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фронту</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гармонічної</w:t>
      </w:r>
      <w:r w:rsidRPr="004D2D14">
        <w:rPr>
          <w:rFonts w:asciiTheme="majorHAnsi" w:hAnsiTheme="majorHAnsi"/>
          <w:spacing w:val="-3"/>
          <w:sz w:val="20"/>
          <w:szCs w:val="20"/>
          <w:lang w:val="uk-UA"/>
        </w:rPr>
        <w:t xml:space="preserve"> </w:t>
      </w:r>
      <w:r w:rsidRPr="004D2D14">
        <w:rPr>
          <w:rFonts w:asciiTheme="majorHAnsi" w:hAnsiTheme="majorHAnsi"/>
          <w:sz w:val="20"/>
          <w:szCs w:val="20"/>
          <w:lang w:val="uk-UA"/>
        </w:rPr>
        <w:t>хвилі</w:t>
      </w:r>
    </w:p>
    <w:p w14:paraId="60C40B7A"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w:t>
      </w:r>
      <w:r w:rsidRPr="004D2D14">
        <w:rPr>
          <w:rFonts w:asciiTheme="majorHAnsi" w:hAnsiTheme="majorHAnsi"/>
          <w:i/>
          <w:spacing w:val="-2"/>
          <w:sz w:val="20"/>
          <w:szCs w:val="20"/>
          <w:lang w:val="uk-UA"/>
        </w:rPr>
        <w:t xml:space="preserve"> </w:t>
      </w:r>
      <w:r w:rsidRPr="004D2D14">
        <w:rPr>
          <w:rFonts w:asciiTheme="majorHAnsi" w:hAnsiTheme="majorHAnsi"/>
          <w:i/>
          <w:sz w:val="20"/>
          <w:szCs w:val="20"/>
          <w:lang w:val="uk-UA"/>
        </w:rPr>
        <w:t>2300</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w:t>
      </w:r>
      <w:r w:rsidRPr="004D2D14">
        <w:rPr>
          <w:rFonts w:asciiTheme="majorHAnsi" w:hAnsiTheme="majorHAnsi"/>
          <w:i/>
          <w:spacing w:val="-1"/>
          <w:sz w:val="20"/>
          <w:szCs w:val="20"/>
          <w:lang w:val="uk-UA"/>
        </w:rPr>
        <w:t xml:space="preserve"> </w:t>
      </w:r>
      <w:r w:rsidRPr="004D2D14">
        <w:rPr>
          <w:rFonts w:asciiTheme="majorHAnsi" w:hAnsiTheme="majorHAnsi"/>
          <w:i/>
          <w:sz w:val="20"/>
          <w:szCs w:val="20"/>
          <w:lang w:val="uk-UA"/>
        </w:rPr>
        <w:t>93</w:t>
      </w:r>
    </w:p>
    <w:p w14:paraId="5BF92E7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ШВИДКІСТЬ</w:t>
      </w:r>
      <w:r w:rsidRPr="000977F7">
        <w:rPr>
          <w:color w:val="auto"/>
          <w:spacing w:val="-4"/>
          <w:sz w:val="20"/>
          <w:szCs w:val="20"/>
        </w:rPr>
        <w:t xml:space="preserve"> </w:t>
      </w:r>
      <w:r w:rsidRPr="000977F7">
        <w:rPr>
          <w:color w:val="auto"/>
          <w:sz w:val="20"/>
          <w:szCs w:val="20"/>
        </w:rPr>
        <w:t>ДЕФОРМАЦІЇ</w:t>
      </w:r>
      <w:r w:rsidRPr="000977F7">
        <w:rPr>
          <w:color w:val="auto"/>
          <w:spacing w:val="-3"/>
          <w:sz w:val="20"/>
          <w:szCs w:val="20"/>
        </w:rPr>
        <w:t xml:space="preserve"> </w:t>
      </w:r>
      <w:r w:rsidRPr="000977F7">
        <w:rPr>
          <w:color w:val="auto"/>
          <w:sz w:val="20"/>
          <w:szCs w:val="20"/>
        </w:rPr>
        <w:t>–</w:t>
      </w:r>
    </w:p>
    <w:p w14:paraId="01799C8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STRAIN</w:t>
      </w:r>
      <w:r w:rsidRPr="004D2D14">
        <w:rPr>
          <w:rFonts w:asciiTheme="majorHAnsi" w:hAnsiTheme="majorHAnsi"/>
          <w:spacing w:val="-2"/>
          <w:sz w:val="20"/>
          <w:szCs w:val="20"/>
          <w:lang w:val="uk-UA"/>
        </w:rPr>
        <w:t xml:space="preserve"> </w:t>
      </w:r>
      <w:r w:rsidRPr="000977F7">
        <w:rPr>
          <w:rFonts w:asciiTheme="majorHAnsi" w:hAnsiTheme="majorHAnsi"/>
          <w:sz w:val="20"/>
          <w:szCs w:val="20"/>
        </w:rPr>
        <w:t>RATE</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31777B9B" w14:textId="77777777" w:rsidR="0097612F" w:rsidRPr="004D2D14" w:rsidRDefault="0097612F" w:rsidP="000977F7">
      <w:pPr>
        <w:tabs>
          <w:tab w:val="left" w:pos="284"/>
        </w:tabs>
        <w:spacing w:after="0" w:line="240" w:lineRule="auto"/>
        <w:ind w:left="170"/>
        <w:mirrorIndents/>
        <w:jc w:val="both"/>
        <w:rPr>
          <w:rFonts w:asciiTheme="majorHAnsi" w:hAnsiTheme="majorHAnsi"/>
          <w:spacing w:val="1"/>
          <w:sz w:val="20"/>
          <w:szCs w:val="20"/>
          <w:lang w:val="uk-UA"/>
        </w:rPr>
      </w:pPr>
      <w:r w:rsidRPr="004D2D14">
        <w:rPr>
          <w:rFonts w:asciiTheme="majorHAnsi" w:hAnsiTheme="majorHAnsi"/>
          <w:sz w:val="20"/>
          <w:szCs w:val="20"/>
          <w:lang w:val="uk-UA"/>
        </w:rPr>
        <w:t>Зміна деформації за одиницю часу</w:t>
      </w:r>
      <w:r w:rsidRPr="004D2D14">
        <w:rPr>
          <w:rFonts w:asciiTheme="majorHAnsi" w:hAnsiTheme="majorHAnsi"/>
          <w:spacing w:val="1"/>
          <w:sz w:val="20"/>
          <w:szCs w:val="20"/>
          <w:lang w:val="uk-UA"/>
        </w:rPr>
        <w:t xml:space="preserve"> </w:t>
      </w:r>
    </w:p>
    <w:p w14:paraId="4FCDAD7E" w14:textId="77777777" w:rsidR="0097612F" w:rsidRPr="004D2D14" w:rsidRDefault="0097612F" w:rsidP="000977F7">
      <w:pPr>
        <w:tabs>
          <w:tab w:val="left" w:pos="284"/>
        </w:tabs>
        <w:spacing w:after="0" w:line="240" w:lineRule="auto"/>
        <w:ind w:left="170"/>
        <w:mirrorIndents/>
        <w:jc w:val="both"/>
        <w:rPr>
          <w:rFonts w:asciiTheme="majorHAnsi" w:hAnsiTheme="majorHAnsi"/>
          <w:i/>
          <w:spacing w:val="1"/>
          <w:sz w:val="20"/>
          <w:szCs w:val="20"/>
          <w:lang w:val="uk-UA"/>
        </w:rPr>
      </w:pPr>
      <w:r w:rsidRPr="004D2D14">
        <w:rPr>
          <w:rFonts w:asciiTheme="majorHAnsi" w:hAnsiTheme="majorHAnsi"/>
          <w:i/>
          <w:sz w:val="20"/>
          <w:szCs w:val="20"/>
          <w:lang w:val="uk-UA"/>
        </w:rPr>
        <w:t>ДСТУ 2825 – 94; ДСТУ 2824 – 94</w:t>
      </w:r>
      <w:r w:rsidRPr="004D2D14">
        <w:rPr>
          <w:rFonts w:asciiTheme="majorHAnsi" w:hAnsiTheme="majorHAnsi"/>
          <w:i/>
          <w:spacing w:val="1"/>
          <w:sz w:val="20"/>
          <w:szCs w:val="20"/>
          <w:lang w:val="uk-UA"/>
        </w:rPr>
        <w:t xml:space="preserve"> </w:t>
      </w:r>
    </w:p>
    <w:p w14:paraId="2085AB5B"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uk-UA"/>
        </w:rPr>
      </w:pPr>
      <w:r w:rsidRPr="004D2D14">
        <w:rPr>
          <w:rFonts w:asciiTheme="majorHAnsi" w:hAnsiTheme="majorHAnsi"/>
          <w:b/>
          <w:sz w:val="20"/>
          <w:szCs w:val="20"/>
          <w:lang w:val="uk-UA"/>
        </w:rPr>
        <w:t>ШВИДКІСТЬ ДЕФОРМУВАННЯ –</w:t>
      </w:r>
      <w:r w:rsidRPr="004D2D14">
        <w:rPr>
          <w:rFonts w:asciiTheme="majorHAnsi" w:hAnsiTheme="majorHAnsi"/>
          <w:b/>
          <w:spacing w:val="-47"/>
          <w:sz w:val="20"/>
          <w:szCs w:val="20"/>
          <w:lang w:val="uk-UA"/>
        </w:rPr>
        <w:t xml:space="preserve"> </w:t>
      </w:r>
    </w:p>
    <w:p w14:paraId="430B857F"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0977F7">
        <w:rPr>
          <w:rFonts w:asciiTheme="majorHAnsi" w:hAnsiTheme="majorHAnsi"/>
          <w:sz w:val="20"/>
          <w:szCs w:val="20"/>
        </w:rPr>
        <w:t>STRAINING</w:t>
      </w:r>
      <w:r w:rsidRPr="004D2D14">
        <w:rPr>
          <w:rFonts w:asciiTheme="majorHAnsi" w:hAnsiTheme="majorHAnsi"/>
          <w:spacing w:val="1"/>
          <w:sz w:val="20"/>
          <w:szCs w:val="20"/>
          <w:lang w:val="uk-UA"/>
        </w:rPr>
        <w:t xml:space="preserve"> </w:t>
      </w:r>
      <w:r w:rsidRPr="000977F7">
        <w:rPr>
          <w:rFonts w:asciiTheme="majorHAnsi" w:hAnsiTheme="majorHAnsi"/>
          <w:sz w:val="20"/>
          <w:szCs w:val="20"/>
        </w:rPr>
        <w:t>RATE</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w:t>
      </w:r>
    </w:p>
    <w:p w14:paraId="2C0D1EE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Швидкість</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взаємного</w:t>
      </w:r>
      <w:r w:rsidRPr="004D2D14">
        <w:rPr>
          <w:rFonts w:asciiTheme="majorHAnsi" w:hAnsiTheme="majorHAnsi"/>
          <w:spacing w:val="18"/>
          <w:sz w:val="20"/>
          <w:szCs w:val="20"/>
          <w:lang w:val="uk-UA"/>
        </w:rPr>
        <w:t xml:space="preserve"> </w:t>
      </w:r>
      <w:r w:rsidRPr="004D2D14">
        <w:rPr>
          <w:rFonts w:asciiTheme="majorHAnsi" w:hAnsiTheme="majorHAnsi"/>
          <w:sz w:val="20"/>
          <w:szCs w:val="20"/>
          <w:lang w:val="uk-UA"/>
        </w:rPr>
        <w:t>зміщення</w:t>
      </w:r>
      <w:r w:rsidRPr="004D2D14">
        <w:rPr>
          <w:rFonts w:asciiTheme="majorHAnsi" w:hAnsiTheme="majorHAnsi"/>
          <w:spacing w:val="17"/>
          <w:sz w:val="20"/>
          <w:szCs w:val="20"/>
          <w:lang w:val="uk-UA"/>
        </w:rPr>
        <w:t xml:space="preserve"> </w:t>
      </w:r>
      <w:r w:rsidRPr="004D2D14">
        <w:rPr>
          <w:rFonts w:asciiTheme="majorHAnsi" w:hAnsiTheme="majorHAnsi"/>
          <w:sz w:val="20"/>
          <w:szCs w:val="20"/>
          <w:lang w:val="uk-UA"/>
        </w:rPr>
        <w:t>точок</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об’єкта</w:t>
      </w:r>
      <w:r w:rsidRPr="004D2D14">
        <w:rPr>
          <w:rFonts w:asciiTheme="majorHAnsi" w:hAnsiTheme="majorHAnsi"/>
          <w:spacing w:val="20"/>
          <w:sz w:val="20"/>
          <w:szCs w:val="20"/>
          <w:lang w:val="uk-UA"/>
        </w:rPr>
        <w:t xml:space="preserve"> </w:t>
      </w:r>
      <w:r w:rsidRPr="004D2D14">
        <w:rPr>
          <w:rFonts w:asciiTheme="majorHAnsi" w:hAnsiTheme="majorHAnsi"/>
          <w:sz w:val="20"/>
          <w:szCs w:val="20"/>
          <w:lang w:val="uk-UA"/>
        </w:rPr>
        <w:t>під</w:t>
      </w:r>
      <w:r w:rsidRPr="004D2D14">
        <w:rPr>
          <w:rFonts w:asciiTheme="majorHAnsi" w:hAnsiTheme="majorHAnsi"/>
          <w:spacing w:val="16"/>
          <w:sz w:val="20"/>
          <w:szCs w:val="20"/>
          <w:lang w:val="uk-UA"/>
        </w:rPr>
        <w:t xml:space="preserve"> </w:t>
      </w:r>
      <w:r w:rsidRPr="004D2D14">
        <w:rPr>
          <w:rFonts w:asciiTheme="majorHAnsi" w:hAnsiTheme="majorHAnsi"/>
          <w:sz w:val="20"/>
          <w:szCs w:val="20"/>
          <w:lang w:val="uk-UA"/>
        </w:rPr>
        <w:t>час</w:t>
      </w:r>
      <w:r w:rsidRPr="004D2D14">
        <w:rPr>
          <w:rFonts w:asciiTheme="majorHAnsi" w:hAnsiTheme="majorHAnsi"/>
          <w:spacing w:val="-47"/>
          <w:sz w:val="20"/>
          <w:szCs w:val="20"/>
          <w:lang w:val="uk-UA"/>
        </w:rPr>
        <w:t xml:space="preserve"> </w:t>
      </w:r>
      <w:r w:rsidRPr="004D2D14">
        <w:rPr>
          <w:rFonts w:asciiTheme="majorHAnsi" w:hAnsiTheme="majorHAnsi"/>
          <w:sz w:val="20"/>
          <w:szCs w:val="20"/>
          <w:lang w:val="uk-UA"/>
        </w:rPr>
        <w:t>його деформування</w:t>
      </w:r>
    </w:p>
    <w:p w14:paraId="0E67152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uk-UA"/>
        </w:rPr>
      </w:pPr>
      <w:r w:rsidRPr="004D2D14">
        <w:rPr>
          <w:rFonts w:asciiTheme="majorHAnsi" w:hAnsiTheme="majorHAnsi"/>
          <w:i/>
          <w:sz w:val="20"/>
          <w:szCs w:val="20"/>
          <w:lang w:val="uk-UA"/>
        </w:rPr>
        <w:t>ДСТУ 2825 – 94; ДСТУ 2824 – 94</w:t>
      </w:r>
    </w:p>
    <w:p w14:paraId="23A34A78"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47"/>
          <w:sz w:val="20"/>
          <w:szCs w:val="20"/>
          <w:lang w:val="uk-UA"/>
        </w:rPr>
      </w:pPr>
      <w:r w:rsidRPr="004D2D14">
        <w:rPr>
          <w:rFonts w:asciiTheme="majorHAnsi" w:hAnsiTheme="majorHAnsi"/>
          <w:b/>
          <w:sz w:val="20"/>
          <w:szCs w:val="20"/>
          <w:lang w:val="uk-UA"/>
        </w:rPr>
        <w:t>ШВИДКІСТЬ ЗНОШУВАННЯ –</w:t>
      </w:r>
      <w:r w:rsidRPr="004D2D14">
        <w:rPr>
          <w:rFonts w:asciiTheme="majorHAnsi" w:hAnsiTheme="majorHAnsi"/>
          <w:b/>
          <w:spacing w:val="-47"/>
          <w:sz w:val="20"/>
          <w:szCs w:val="20"/>
          <w:lang w:val="uk-UA"/>
        </w:rPr>
        <w:t xml:space="preserve"> </w:t>
      </w:r>
    </w:p>
    <w:p w14:paraId="4A6C9424"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uk-UA"/>
        </w:rPr>
      </w:pPr>
      <w:r w:rsidRPr="000977F7">
        <w:rPr>
          <w:rFonts w:asciiTheme="majorHAnsi" w:hAnsiTheme="majorHAnsi"/>
          <w:sz w:val="20"/>
          <w:szCs w:val="20"/>
        </w:rPr>
        <w:t>WEAR</w:t>
      </w:r>
      <w:r w:rsidRPr="004D2D14">
        <w:rPr>
          <w:rFonts w:asciiTheme="majorHAnsi" w:hAnsiTheme="majorHAnsi"/>
          <w:sz w:val="20"/>
          <w:szCs w:val="20"/>
          <w:lang w:val="uk-UA"/>
        </w:rPr>
        <w:t xml:space="preserve"> </w:t>
      </w:r>
      <w:r w:rsidRPr="000977F7">
        <w:rPr>
          <w:rFonts w:asciiTheme="majorHAnsi" w:hAnsiTheme="majorHAnsi"/>
          <w:sz w:val="20"/>
          <w:szCs w:val="20"/>
        </w:rPr>
        <w:t>RATE</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427C0BE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Відношення</w:t>
      </w:r>
      <w:r w:rsidRPr="000977F7">
        <w:rPr>
          <w:rFonts w:asciiTheme="majorHAnsi" w:hAnsiTheme="majorHAnsi"/>
          <w:spacing w:val="-4"/>
          <w:sz w:val="20"/>
          <w:szCs w:val="20"/>
        </w:rPr>
        <w:t xml:space="preserve"> </w:t>
      </w:r>
      <w:r w:rsidRPr="000977F7">
        <w:rPr>
          <w:rFonts w:asciiTheme="majorHAnsi" w:hAnsiTheme="majorHAnsi"/>
          <w:sz w:val="20"/>
          <w:szCs w:val="20"/>
        </w:rPr>
        <w:t>величини</w:t>
      </w:r>
      <w:r w:rsidRPr="000977F7">
        <w:rPr>
          <w:rFonts w:asciiTheme="majorHAnsi" w:hAnsiTheme="majorHAnsi"/>
          <w:spacing w:val="-4"/>
          <w:sz w:val="20"/>
          <w:szCs w:val="20"/>
        </w:rPr>
        <w:t xml:space="preserve"> </w:t>
      </w:r>
      <w:r w:rsidRPr="000977F7">
        <w:rPr>
          <w:rFonts w:asciiTheme="majorHAnsi" w:hAnsiTheme="majorHAnsi"/>
          <w:sz w:val="20"/>
          <w:szCs w:val="20"/>
        </w:rPr>
        <w:t>зносу</w:t>
      </w:r>
      <w:r w:rsidRPr="000977F7">
        <w:rPr>
          <w:rFonts w:asciiTheme="majorHAnsi" w:hAnsiTheme="majorHAnsi"/>
          <w:spacing w:val="-4"/>
          <w:sz w:val="20"/>
          <w:szCs w:val="20"/>
        </w:rPr>
        <w:t xml:space="preserve"> </w:t>
      </w:r>
      <w:r w:rsidRPr="000977F7">
        <w:rPr>
          <w:rFonts w:asciiTheme="majorHAnsi" w:hAnsiTheme="majorHAnsi"/>
          <w:sz w:val="20"/>
          <w:szCs w:val="20"/>
        </w:rPr>
        <w:t>до</w:t>
      </w:r>
      <w:r w:rsidRPr="000977F7">
        <w:rPr>
          <w:rFonts w:asciiTheme="majorHAnsi" w:hAnsiTheme="majorHAnsi"/>
          <w:spacing w:val="-3"/>
          <w:sz w:val="20"/>
          <w:szCs w:val="20"/>
        </w:rPr>
        <w:t xml:space="preserve"> </w:t>
      </w:r>
      <w:r w:rsidRPr="000977F7">
        <w:rPr>
          <w:rFonts w:asciiTheme="majorHAnsi" w:hAnsiTheme="majorHAnsi"/>
          <w:sz w:val="20"/>
          <w:szCs w:val="20"/>
        </w:rPr>
        <w:t>часу</w:t>
      </w:r>
      <w:r w:rsidRPr="000977F7">
        <w:rPr>
          <w:rFonts w:asciiTheme="majorHAnsi" w:hAnsiTheme="majorHAnsi"/>
          <w:spacing w:val="-6"/>
          <w:sz w:val="20"/>
          <w:szCs w:val="20"/>
        </w:rPr>
        <w:t xml:space="preserve"> </w:t>
      </w:r>
      <w:r w:rsidRPr="000977F7">
        <w:rPr>
          <w:rFonts w:asciiTheme="majorHAnsi" w:hAnsiTheme="majorHAnsi"/>
          <w:sz w:val="20"/>
          <w:szCs w:val="20"/>
        </w:rPr>
        <w:t>зношування</w:t>
      </w:r>
    </w:p>
    <w:p w14:paraId="2BE1B38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2823</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CB0F94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ШВИДКІСТЬ</w:t>
      </w:r>
      <w:r w:rsidRPr="000977F7">
        <w:rPr>
          <w:color w:val="auto"/>
          <w:spacing w:val="-3"/>
          <w:sz w:val="20"/>
          <w:szCs w:val="20"/>
        </w:rPr>
        <w:t xml:space="preserve"> </w:t>
      </w:r>
      <w:r w:rsidRPr="000977F7">
        <w:rPr>
          <w:color w:val="auto"/>
          <w:sz w:val="20"/>
          <w:szCs w:val="20"/>
        </w:rPr>
        <w:t>КОВЗАННЯ</w:t>
      </w:r>
      <w:r w:rsidRPr="000977F7">
        <w:rPr>
          <w:color w:val="auto"/>
          <w:spacing w:val="-1"/>
          <w:sz w:val="20"/>
          <w:szCs w:val="20"/>
        </w:rPr>
        <w:t xml:space="preserve"> </w:t>
      </w:r>
      <w:r w:rsidRPr="000977F7">
        <w:rPr>
          <w:color w:val="auto"/>
          <w:sz w:val="20"/>
          <w:szCs w:val="20"/>
        </w:rPr>
        <w:t>–</w:t>
      </w:r>
    </w:p>
    <w:p w14:paraId="7C577A8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Різниця між</w:t>
      </w:r>
      <w:r w:rsidRPr="000977F7">
        <w:rPr>
          <w:rFonts w:asciiTheme="majorHAnsi" w:hAnsiTheme="majorHAnsi"/>
          <w:spacing w:val="1"/>
          <w:sz w:val="20"/>
          <w:szCs w:val="20"/>
        </w:rPr>
        <w:t xml:space="preserve"> </w:t>
      </w:r>
      <w:r w:rsidRPr="000977F7">
        <w:rPr>
          <w:rFonts w:asciiTheme="majorHAnsi" w:hAnsiTheme="majorHAnsi"/>
          <w:sz w:val="20"/>
          <w:szCs w:val="20"/>
        </w:rPr>
        <w:t>швидкостями</w:t>
      </w:r>
      <w:r w:rsidRPr="000977F7">
        <w:rPr>
          <w:rFonts w:asciiTheme="majorHAnsi" w:hAnsiTheme="majorHAnsi"/>
          <w:spacing w:val="1"/>
          <w:sz w:val="20"/>
          <w:szCs w:val="20"/>
        </w:rPr>
        <w:t xml:space="preserve"> </w:t>
      </w:r>
      <w:r w:rsidRPr="000977F7">
        <w:rPr>
          <w:rFonts w:asciiTheme="majorHAnsi" w:hAnsiTheme="majorHAnsi"/>
          <w:sz w:val="20"/>
          <w:szCs w:val="20"/>
        </w:rPr>
        <w:t>тіл</w:t>
      </w:r>
      <w:r w:rsidRPr="000977F7">
        <w:rPr>
          <w:rFonts w:asciiTheme="majorHAnsi" w:hAnsiTheme="majorHAnsi"/>
          <w:spacing w:val="1"/>
          <w:sz w:val="20"/>
          <w:szCs w:val="20"/>
        </w:rPr>
        <w:t xml:space="preserve"> </w:t>
      </w:r>
      <w:r w:rsidRPr="000977F7">
        <w:rPr>
          <w:rFonts w:asciiTheme="majorHAnsi" w:hAnsiTheme="majorHAnsi"/>
          <w:sz w:val="20"/>
          <w:szCs w:val="20"/>
        </w:rPr>
        <w:t>в точках їх</w:t>
      </w:r>
      <w:r w:rsidRPr="000977F7">
        <w:rPr>
          <w:rFonts w:asciiTheme="majorHAnsi" w:hAnsiTheme="majorHAnsi"/>
          <w:spacing w:val="1"/>
          <w:sz w:val="20"/>
          <w:szCs w:val="20"/>
        </w:rPr>
        <w:t xml:space="preserve"> </w:t>
      </w:r>
      <w:r w:rsidRPr="000977F7">
        <w:rPr>
          <w:rFonts w:asciiTheme="majorHAnsi" w:hAnsiTheme="majorHAnsi"/>
          <w:sz w:val="20"/>
          <w:szCs w:val="20"/>
        </w:rPr>
        <w:t>дотику в</w:t>
      </w:r>
      <w:r w:rsidRPr="000977F7">
        <w:rPr>
          <w:rFonts w:asciiTheme="majorHAnsi" w:hAnsiTheme="majorHAnsi"/>
          <w:spacing w:val="1"/>
          <w:sz w:val="20"/>
          <w:szCs w:val="20"/>
        </w:rPr>
        <w:t xml:space="preserve"> </w:t>
      </w:r>
      <w:r w:rsidRPr="000977F7">
        <w:rPr>
          <w:rFonts w:asciiTheme="majorHAnsi" w:hAnsiTheme="majorHAnsi"/>
          <w:sz w:val="20"/>
          <w:szCs w:val="20"/>
        </w:rPr>
        <w:t>умовах</w:t>
      </w:r>
      <w:r w:rsidRPr="000977F7">
        <w:rPr>
          <w:rFonts w:asciiTheme="majorHAnsi" w:hAnsiTheme="majorHAnsi"/>
          <w:spacing w:val="-2"/>
          <w:sz w:val="20"/>
          <w:szCs w:val="20"/>
        </w:rPr>
        <w:t xml:space="preserve"> </w:t>
      </w:r>
      <w:r w:rsidRPr="000977F7">
        <w:rPr>
          <w:rFonts w:asciiTheme="majorHAnsi" w:hAnsiTheme="majorHAnsi"/>
          <w:sz w:val="20"/>
          <w:szCs w:val="20"/>
        </w:rPr>
        <w:t>ковзання</w:t>
      </w:r>
    </w:p>
    <w:p w14:paraId="430431D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2823 – 94</w:t>
      </w:r>
    </w:p>
    <w:p w14:paraId="12F8996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ШВИДКІСТЬ</w:t>
      </w:r>
      <w:r w:rsidRPr="000977F7">
        <w:rPr>
          <w:color w:val="auto"/>
          <w:spacing w:val="-3"/>
          <w:sz w:val="20"/>
          <w:szCs w:val="20"/>
        </w:rPr>
        <w:t xml:space="preserve"> </w:t>
      </w:r>
      <w:r w:rsidRPr="000977F7">
        <w:rPr>
          <w:color w:val="auto"/>
          <w:sz w:val="20"/>
          <w:szCs w:val="20"/>
        </w:rPr>
        <w:t>КОРОЗІЇ</w:t>
      </w:r>
      <w:r w:rsidRPr="000977F7">
        <w:rPr>
          <w:color w:val="auto"/>
          <w:spacing w:val="-2"/>
          <w:sz w:val="20"/>
          <w:szCs w:val="20"/>
        </w:rPr>
        <w:t xml:space="preserve"> </w:t>
      </w:r>
      <w:r w:rsidRPr="000977F7">
        <w:rPr>
          <w:color w:val="auto"/>
          <w:sz w:val="20"/>
          <w:szCs w:val="20"/>
        </w:rPr>
        <w:t>–</w:t>
      </w:r>
    </w:p>
    <w:p w14:paraId="6622339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Корозійні</w:t>
      </w:r>
      <w:r w:rsidRPr="000977F7">
        <w:rPr>
          <w:rFonts w:asciiTheme="majorHAnsi" w:hAnsiTheme="majorHAnsi"/>
          <w:spacing w:val="7"/>
          <w:sz w:val="20"/>
          <w:szCs w:val="20"/>
        </w:rPr>
        <w:t xml:space="preserve"> </w:t>
      </w:r>
      <w:r w:rsidRPr="000977F7">
        <w:rPr>
          <w:rFonts w:asciiTheme="majorHAnsi" w:hAnsiTheme="majorHAnsi"/>
          <w:sz w:val="20"/>
          <w:szCs w:val="20"/>
        </w:rPr>
        <w:t>втрати</w:t>
      </w:r>
      <w:r w:rsidRPr="000977F7">
        <w:rPr>
          <w:rFonts w:asciiTheme="majorHAnsi" w:hAnsiTheme="majorHAnsi"/>
          <w:spacing w:val="5"/>
          <w:sz w:val="20"/>
          <w:szCs w:val="20"/>
        </w:rPr>
        <w:t xml:space="preserve"> </w:t>
      </w:r>
      <w:r w:rsidRPr="000977F7">
        <w:rPr>
          <w:rFonts w:asciiTheme="majorHAnsi" w:hAnsiTheme="majorHAnsi"/>
          <w:sz w:val="20"/>
          <w:szCs w:val="20"/>
        </w:rPr>
        <w:t>з</w:t>
      </w:r>
      <w:r w:rsidRPr="000977F7">
        <w:rPr>
          <w:rFonts w:asciiTheme="majorHAnsi" w:hAnsiTheme="majorHAnsi"/>
          <w:spacing w:val="8"/>
          <w:sz w:val="20"/>
          <w:szCs w:val="20"/>
        </w:rPr>
        <w:t xml:space="preserve"> </w:t>
      </w:r>
      <w:r w:rsidRPr="000977F7">
        <w:rPr>
          <w:rFonts w:asciiTheme="majorHAnsi" w:hAnsiTheme="majorHAnsi"/>
          <w:sz w:val="20"/>
          <w:szCs w:val="20"/>
        </w:rPr>
        <w:t>одиниці</w:t>
      </w:r>
      <w:r w:rsidRPr="000977F7">
        <w:rPr>
          <w:rFonts w:asciiTheme="majorHAnsi" w:hAnsiTheme="majorHAnsi"/>
          <w:spacing w:val="7"/>
          <w:sz w:val="20"/>
          <w:szCs w:val="20"/>
        </w:rPr>
        <w:t xml:space="preserve"> </w:t>
      </w:r>
      <w:r w:rsidRPr="000977F7">
        <w:rPr>
          <w:rFonts w:asciiTheme="majorHAnsi" w:hAnsiTheme="majorHAnsi"/>
          <w:sz w:val="20"/>
          <w:szCs w:val="20"/>
        </w:rPr>
        <w:t>поверхні</w:t>
      </w:r>
      <w:r w:rsidRPr="000977F7">
        <w:rPr>
          <w:rFonts w:asciiTheme="majorHAnsi" w:hAnsiTheme="majorHAnsi"/>
          <w:spacing w:val="6"/>
          <w:sz w:val="20"/>
          <w:szCs w:val="20"/>
        </w:rPr>
        <w:t xml:space="preserve"> </w:t>
      </w:r>
      <w:r w:rsidRPr="000977F7">
        <w:rPr>
          <w:rFonts w:asciiTheme="majorHAnsi" w:hAnsiTheme="majorHAnsi"/>
          <w:sz w:val="20"/>
          <w:szCs w:val="20"/>
        </w:rPr>
        <w:t>металу</w:t>
      </w:r>
      <w:r w:rsidRPr="000977F7">
        <w:rPr>
          <w:rFonts w:asciiTheme="majorHAnsi" w:hAnsiTheme="majorHAnsi"/>
          <w:spacing w:val="5"/>
          <w:sz w:val="20"/>
          <w:szCs w:val="20"/>
        </w:rPr>
        <w:t xml:space="preserve"> </w:t>
      </w:r>
      <w:r w:rsidRPr="000977F7">
        <w:rPr>
          <w:rFonts w:asciiTheme="majorHAnsi" w:hAnsiTheme="majorHAnsi"/>
          <w:sz w:val="20"/>
          <w:szCs w:val="20"/>
        </w:rPr>
        <w:t>за</w:t>
      </w:r>
      <w:r w:rsidRPr="000977F7">
        <w:rPr>
          <w:rFonts w:asciiTheme="majorHAnsi" w:hAnsiTheme="majorHAnsi"/>
          <w:spacing w:val="8"/>
          <w:sz w:val="20"/>
          <w:szCs w:val="20"/>
        </w:rPr>
        <w:t xml:space="preserve"> </w:t>
      </w:r>
      <w:r w:rsidRPr="000977F7">
        <w:rPr>
          <w:rFonts w:asciiTheme="majorHAnsi" w:hAnsiTheme="majorHAnsi"/>
          <w:sz w:val="20"/>
          <w:szCs w:val="20"/>
        </w:rPr>
        <w:t>одиницю</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4922685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3830 - 98</w:t>
      </w:r>
    </w:p>
    <w:p w14:paraId="4809EA2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ШВИДКІСТЬ</w:t>
      </w:r>
      <w:r w:rsidRPr="000977F7">
        <w:rPr>
          <w:color w:val="auto"/>
          <w:spacing w:val="-5"/>
          <w:sz w:val="20"/>
          <w:szCs w:val="20"/>
        </w:rPr>
        <w:t xml:space="preserve"> </w:t>
      </w:r>
      <w:r w:rsidRPr="000977F7">
        <w:rPr>
          <w:color w:val="auto"/>
          <w:sz w:val="20"/>
          <w:szCs w:val="20"/>
        </w:rPr>
        <w:t>НАВАНТАЖУВАННЯ</w:t>
      </w:r>
      <w:r w:rsidRPr="000977F7">
        <w:rPr>
          <w:color w:val="auto"/>
          <w:spacing w:val="-3"/>
          <w:sz w:val="20"/>
          <w:szCs w:val="20"/>
        </w:rPr>
        <w:t xml:space="preserve"> </w:t>
      </w:r>
      <w:r w:rsidRPr="000977F7">
        <w:rPr>
          <w:color w:val="auto"/>
          <w:sz w:val="20"/>
          <w:szCs w:val="20"/>
        </w:rPr>
        <w:t>–</w:t>
      </w:r>
    </w:p>
    <w:p w14:paraId="3F68F9D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LOADING</w:t>
      </w:r>
      <w:r w:rsidRPr="000977F7">
        <w:rPr>
          <w:rFonts w:asciiTheme="majorHAnsi" w:hAnsiTheme="majorHAnsi"/>
          <w:spacing w:val="-2"/>
          <w:sz w:val="20"/>
          <w:szCs w:val="20"/>
        </w:rPr>
        <w:t xml:space="preserve"> </w:t>
      </w:r>
      <w:r w:rsidRPr="000977F7">
        <w:rPr>
          <w:rFonts w:asciiTheme="majorHAnsi" w:hAnsiTheme="majorHAnsi"/>
          <w:sz w:val="20"/>
          <w:szCs w:val="20"/>
        </w:rPr>
        <w:t>RATE –</w:t>
      </w:r>
    </w:p>
    <w:p w14:paraId="394589D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Зміна</w:t>
      </w:r>
      <w:r w:rsidRPr="000977F7">
        <w:rPr>
          <w:rFonts w:asciiTheme="majorHAnsi" w:hAnsiTheme="majorHAnsi"/>
          <w:spacing w:val="-3"/>
          <w:sz w:val="20"/>
          <w:szCs w:val="20"/>
        </w:rPr>
        <w:t xml:space="preserve"> </w:t>
      </w:r>
      <w:r w:rsidRPr="000977F7">
        <w:rPr>
          <w:rFonts w:asciiTheme="majorHAnsi" w:hAnsiTheme="majorHAnsi"/>
          <w:sz w:val="20"/>
          <w:szCs w:val="20"/>
        </w:rPr>
        <w:t>навантаження</w:t>
      </w:r>
      <w:r w:rsidRPr="000977F7">
        <w:rPr>
          <w:rFonts w:asciiTheme="majorHAnsi" w:hAnsiTheme="majorHAnsi"/>
          <w:spacing w:val="-3"/>
          <w:sz w:val="20"/>
          <w:szCs w:val="20"/>
        </w:rPr>
        <w:t xml:space="preserve"> </w:t>
      </w:r>
      <w:r w:rsidRPr="000977F7">
        <w:rPr>
          <w:rFonts w:asciiTheme="majorHAnsi" w:hAnsiTheme="majorHAnsi"/>
          <w:sz w:val="20"/>
          <w:szCs w:val="20"/>
        </w:rPr>
        <w:t>за</w:t>
      </w:r>
      <w:r w:rsidRPr="000977F7">
        <w:rPr>
          <w:rFonts w:asciiTheme="majorHAnsi" w:hAnsiTheme="majorHAnsi"/>
          <w:spacing w:val="-2"/>
          <w:sz w:val="20"/>
          <w:szCs w:val="20"/>
        </w:rPr>
        <w:t xml:space="preserve"> </w:t>
      </w:r>
      <w:r w:rsidRPr="000977F7">
        <w:rPr>
          <w:rFonts w:asciiTheme="majorHAnsi" w:hAnsiTheme="majorHAnsi"/>
          <w:sz w:val="20"/>
          <w:szCs w:val="20"/>
        </w:rPr>
        <w:t>одиницю</w:t>
      </w:r>
      <w:r w:rsidRPr="000977F7">
        <w:rPr>
          <w:rFonts w:asciiTheme="majorHAnsi" w:hAnsiTheme="majorHAnsi"/>
          <w:spacing w:val="-2"/>
          <w:sz w:val="20"/>
          <w:szCs w:val="20"/>
        </w:rPr>
        <w:t xml:space="preserve"> </w:t>
      </w:r>
      <w:r w:rsidRPr="000977F7">
        <w:rPr>
          <w:rFonts w:asciiTheme="majorHAnsi" w:hAnsiTheme="majorHAnsi"/>
          <w:sz w:val="20"/>
          <w:szCs w:val="20"/>
        </w:rPr>
        <w:t>часу</w:t>
      </w:r>
    </w:p>
    <w:p w14:paraId="3BC6DE8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r w:rsidRPr="000977F7">
        <w:rPr>
          <w:rFonts w:asciiTheme="majorHAnsi" w:hAnsiTheme="majorHAnsi"/>
          <w:i/>
          <w:spacing w:val="-1"/>
          <w:sz w:val="20"/>
          <w:szCs w:val="20"/>
        </w:rPr>
        <w:t xml:space="preserve"> </w:t>
      </w: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2824 –</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57544C9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ШВИДКІСТЬ</w:t>
      </w:r>
      <w:r w:rsidRPr="000977F7">
        <w:rPr>
          <w:color w:val="auto"/>
          <w:spacing w:val="-5"/>
          <w:sz w:val="20"/>
          <w:szCs w:val="20"/>
        </w:rPr>
        <w:t xml:space="preserve"> </w:t>
      </w:r>
      <w:r w:rsidRPr="000977F7">
        <w:rPr>
          <w:color w:val="auto"/>
          <w:sz w:val="20"/>
          <w:szCs w:val="20"/>
        </w:rPr>
        <w:t>ПРОНИКАННЯ</w:t>
      </w:r>
      <w:r w:rsidRPr="000977F7">
        <w:rPr>
          <w:color w:val="auto"/>
          <w:spacing w:val="-1"/>
          <w:sz w:val="20"/>
          <w:szCs w:val="20"/>
        </w:rPr>
        <w:t xml:space="preserve"> </w:t>
      </w:r>
      <w:r w:rsidRPr="000977F7">
        <w:rPr>
          <w:color w:val="auto"/>
          <w:sz w:val="20"/>
          <w:szCs w:val="20"/>
        </w:rPr>
        <w:t>КОРОЗІЇ</w:t>
      </w:r>
      <w:r w:rsidRPr="000977F7">
        <w:rPr>
          <w:color w:val="auto"/>
          <w:spacing w:val="-4"/>
          <w:sz w:val="20"/>
          <w:szCs w:val="20"/>
        </w:rPr>
        <w:t xml:space="preserve"> </w:t>
      </w:r>
      <w:r w:rsidRPr="000977F7">
        <w:rPr>
          <w:color w:val="auto"/>
          <w:sz w:val="20"/>
          <w:szCs w:val="20"/>
        </w:rPr>
        <w:t>–</w:t>
      </w:r>
    </w:p>
    <w:p w14:paraId="580C263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Глибина корозійного руйнування металу за одиницю</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6523A7A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3830 - 98</w:t>
      </w:r>
    </w:p>
    <w:p w14:paraId="23E3CC6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1"/>
          <w:sz w:val="20"/>
          <w:szCs w:val="20"/>
        </w:rPr>
        <w:t>ШЕВIНГУВАННЯ</w:t>
      </w:r>
      <w:r w:rsidRPr="000977F7">
        <w:rPr>
          <w:color w:val="auto"/>
          <w:spacing w:val="2"/>
          <w:sz w:val="20"/>
          <w:szCs w:val="20"/>
        </w:rPr>
        <w:t xml:space="preserve"> </w:t>
      </w:r>
      <w:r w:rsidRPr="000977F7">
        <w:rPr>
          <w:noProof/>
          <w:color w:val="auto"/>
          <w:spacing w:val="1"/>
          <w:position w:val="-4"/>
          <w:sz w:val="20"/>
          <w:szCs w:val="20"/>
          <w:lang w:val="ru-RU" w:eastAsia="ru-RU"/>
        </w:rPr>
        <w:drawing>
          <wp:inline distT="0" distB="0" distL="0" distR="0" wp14:anchorId="2C141683" wp14:editId="19B074DC">
            <wp:extent cx="140207" cy="155448"/>
            <wp:effectExtent l="0" t="0" r="0" b="0"/>
            <wp:docPr id="5168" name="image1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106.png"/>
                    <pic:cNvPicPr/>
                  </pic:nvPicPr>
                  <pic:blipFill>
                    <a:blip r:embed="rId43" cstate="print"/>
                    <a:stretch>
                      <a:fillRect/>
                    </a:stretch>
                  </pic:blipFill>
                  <pic:spPr>
                    <a:xfrm>
                      <a:off x="0" y="0"/>
                      <a:ext cx="140207" cy="155448"/>
                    </a:xfrm>
                    <a:prstGeom prst="rect">
                      <a:avLst/>
                    </a:prstGeom>
                  </pic:spPr>
                </pic:pic>
              </a:graphicData>
            </a:graphic>
          </wp:inline>
        </w:drawing>
      </w:r>
    </w:p>
    <w:p w14:paraId="75251BE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Оздоблювальна</w:t>
      </w:r>
      <w:r w:rsidRPr="000977F7">
        <w:rPr>
          <w:rFonts w:asciiTheme="majorHAnsi" w:hAnsiTheme="majorHAnsi"/>
          <w:spacing w:val="1"/>
          <w:sz w:val="20"/>
          <w:szCs w:val="20"/>
        </w:rPr>
        <w:t xml:space="preserve"> </w:t>
      </w:r>
      <w:r w:rsidRPr="000977F7">
        <w:rPr>
          <w:rFonts w:asciiTheme="majorHAnsi" w:hAnsiTheme="majorHAnsi"/>
          <w:sz w:val="20"/>
          <w:szCs w:val="20"/>
        </w:rPr>
        <w:t>обробка</w:t>
      </w:r>
      <w:r w:rsidRPr="000977F7">
        <w:rPr>
          <w:rFonts w:asciiTheme="majorHAnsi" w:hAnsiTheme="majorHAnsi"/>
          <w:spacing w:val="1"/>
          <w:sz w:val="20"/>
          <w:szCs w:val="20"/>
        </w:rPr>
        <w:t xml:space="preserve"> </w:t>
      </w:r>
      <w:r w:rsidRPr="000977F7">
        <w:rPr>
          <w:rFonts w:asciiTheme="majorHAnsi" w:hAnsiTheme="majorHAnsi"/>
          <w:sz w:val="20"/>
          <w:szCs w:val="20"/>
        </w:rPr>
        <w:t>бокових</w:t>
      </w:r>
      <w:r w:rsidRPr="000977F7">
        <w:rPr>
          <w:rFonts w:asciiTheme="majorHAnsi" w:hAnsiTheme="majorHAnsi"/>
          <w:spacing w:val="1"/>
          <w:sz w:val="20"/>
          <w:szCs w:val="20"/>
        </w:rPr>
        <w:t xml:space="preserve"> </w:t>
      </w:r>
      <w:r w:rsidRPr="000977F7">
        <w:rPr>
          <w:rFonts w:asciiTheme="majorHAnsi" w:hAnsiTheme="majorHAnsi"/>
          <w:sz w:val="20"/>
          <w:szCs w:val="20"/>
        </w:rPr>
        <w:t>поверхонь</w:t>
      </w:r>
      <w:r w:rsidRPr="000977F7">
        <w:rPr>
          <w:rFonts w:asciiTheme="majorHAnsi" w:hAnsiTheme="majorHAnsi"/>
          <w:spacing w:val="1"/>
          <w:sz w:val="20"/>
          <w:szCs w:val="20"/>
        </w:rPr>
        <w:t xml:space="preserve"> </w:t>
      </w:r>
      <w:r w:rsidRPr="000977F7">
        <w:rPr>
          <w:rFonts w:asciiTheme="majorHAnsi" w:hAnsiTheme="majorHAnsi"/>
          <w:sz w:val="20"/>
          <w:szCs w:val="20"/>
        </w:rPr>
        <w:t>зубців</w:t>
      </w:r>
      <w:r w:rsidRPr="000977F7">
        <w:rPr>
          <w:rFonts w:asciiTheme="majorHAnsi" w:hAnsiTheme="majorHAnsi"/>
          <w:spacing w:val="1"/>
          <w:sz w:val="20"/>
          <w:szCs w:val="20"/>
        </w:rPr>
        <w:t xml:space="preserve"> </w:t>
      </w:r>
      <w:r w:rsidRPr="000977F7">
        <w:rPr>
          <w:rFonts w:asciiTheme="majorHAnsi" w:hAnsiTheme="majorHAnsi"/>
          <w:sz w:val="20"/>
          <w:szCs w:val="20"/>
        </w:rPr>
        <w:t>зняттям</w:t>
      </w:r>
      <w:r w:rsidRPr="000977F7">
        <w:rPr>
          <w:rFonts w:asciiTheme="majorHAnsi" w:hAnsiTheme="majorHAnsi"/>
          <w:spacing w:val="1"/>
          <w:sz w:val="20"/>
          <w:szCs w:val="20"/>
        </w:rPr>
        <w:t xml:space="preserve"> </w:t>
      </w:r>
      <w:r w:rsidRPr="000977F7">
        <w:rPr>
          <w:rFonts w:asciiTheme="majorHAnsi" w:hAnsiTheme="majorHAnsi"/>
          <w:sz w:val="20"/>
          <w:szCs w:val="20"/>
        </w:rPr>
        <w:t>тонкої</w:t>
      </w:r>
      <w:r w:rsidRPr="000977F7">
        <w:rPr>
          <w:rFonts w:asciiTheme="majorHAnsi" w:hAnsiTheme="majorHAnsi"/>
          <w:spacing w:val="1"/>
          <w:sz w:val="20"/>
          <w:szCs w:val="20"/>
        </w:rPr>
        <w:t xml:space="preserve"> </w:t>
      </w:r>
      <w:r w:rsidRPr="000977F7">
        <w:rPr>
          <w:rFonts w:asciiTheme="majorHAnsi" w:hAnsiTheme="majorHAnsi"/>
          <w:sz w:val="20"/>
          <w:szCs w:val="20"/>
        </w:rPr>
        <w:t>волосоподібної</w:t>
      </w:r>
      <w:r w:rsidRPr="000977F7">
        <w:rPr>
          <w:rFonts w:asciiTheme="majorHAnsi" w:hAnsiTheme="majorHAnsi"/>
          <w:spacing w:val="1"/>
          <w:sz w:val="20"/>
          <w:szCs w:val="20"/>
        </w:rPr>
        <w:t xml:space="preserve"> </w:t>
      </w:r>
      <w:r w:rsidRPr="000977F7">
        <w:rPr>
          <w:rFonts w:asciiTheme="majorHAnsi" w:hAnsiTheme="majorHAnsi"/>
          <w:sz w:val="20"/>
          <w:szCs w:val="20"/>
        </w:rPr>
        <w:t>стружки</w:t>
      </w:r>
      <w:r w:rsidRPr="000977F7">
        <w:rPr>
          <w:rFonts w:asciiTheme="majorHAnsi" w:hAnsiTheme="majorHAnsi"/>
          <w:spacing w:val="51"/>
          <w:sz w:val="20"/>
          <w:szCs w:val="20"/>
        </w:rPr>
        <w:t xml:space="preserve"> </w:t>
      </w:r>
      <w:r w:rsidRPr="000977F7">
        <w:rPr>
          <w:rFonts w:asciiTheme="majorHAnsi" w:hAnsiTheme="majorHAnsi"/>
          <w:sz w:val="20"/>
          <w:szCs w:val="20"/>
        </w:rPr>
        <w:t>шевером,</w:t>
      </w:r>
      <w:r w:rsidRPr="000977F7">
        <w:rPr>
          <w:rFonts w:asciiTheme="majorHAnsi" w:hAnsiTheme="majorHAnsi"/>
          <w:spacing w:val="-47"/>
          <w:sz w:val="20"/>
          <w:szCs w:val="20"/>
        </w:rPr>
        <w:t xml:space="preserve"> </w:t>
      </w:r>
      <w:r w:rsidRPr="000977F7">
        <w:rPr>
          <w:rFonts w:asciiTheme="majorHAnsi" w:hAnsiTheme="majorHAnsi"/>
          <w:sz w:val="20"/>
          <w:szCs w:val="20"/>
        </w:rPr>
        <w:t>який знаходиться в зачепленні з оброблювальним колесом,</w:t>
      </w:r>
      <w:r w:rsidRPr="000977F7">
        <w:rPr>
          <w:rFonts w:asciiTheme="majorHAnsi" w:hAnsiTheme="majorHAnsi"/>
          <w:spacing w:val="1"/>
          <w:sz w:val="20"/>
          <w:szCs w:val="20"/>
        </w:rPr>
        <w:t xml:space="preserve"> </w:t>
      </w:r>
      <w:r w:rsidRPr="000977F7">
        <w:rPr>
          <w:rFonts w:asciiTheme="majorHAnsi" w:hAnsiTheme="majorHAnsi"/>
          <w:sz w:val="20"/>
          <w:szCs w:val="20"/>
        </w:rPr>
        <w:t>утворюючи</w:t>
      </w:r>
      <w:r w:rsidRPr="000977F7">
        <w:rPr>
          <w:rFonts w:asciiTheme="majorHAnsi" w:hAnsiTheme="majorHAnsi"/>
          <w:spacing w:val="1"/>
          <w:sz w:val="20"/>
          <w:szCs w:val="20"/>
        </w:rPr>
        <w:t xml:space="preserve"> </w:t>
      </w:r>
      <w:r w:rsidRPr="000977F7">
        <w:rPr>
          <w:rFonts w:asciiTheme="majorHAnsi" w:hAnsiTheme="majorHAnsi"/>
          <w:sz w:val="20"/>
          <w:szCs w:val="20"/>
        </w:rPr>
        <w:t>зубчасту</w:t>
      </w:r>
      <w:r w:rsidRPr="000977F7">
        <w:rPr>
          <w:rFonts w:asciiTheme="majorHAnsi" w:hAnsiTheme="majorHAnsi"/>
          <w:spacing w:val="1"/>
          <w:sz w:val="20"/>
          <w:szCs w:val="20"/>
        </w:rPr>
        <w:t xml:space="preserve"> </w:t>
      </w:r>
      <w:r w:rsidRPr="000977F7">
        <w:rPr>
          <w:rFonts w:asciiTheme="majorHAnsi" w:hAnsiTheme="majorHAnsi"/>
          <w:sz w:val="20"/>
          <w:szCs w:val="20"/>
        </w:rPr>
        <w:t>передачу</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вісями,</w:t>
      </w:r>
      <w:r w:rsidRPr="000977F7">
        <w:rPr>
          <w:rFonts w:asciiTheme="majorHAnsi" w:hAnsiTheme="majorHAnsi"/>
          <w:spacing w:val="1"/>
          <w:sz w:val="20"/>
          <w:szCs w:val="20"/>
        </w:rPr>
        <w:t xml:space="preserve"> </w:t>
      </w:r>
      <w:r w:rsidRPr="000977F7">
        <w:rPr>
          <w:rFonts w:asciiTheme="majorHAnsi" w:hAnsiTheme="majorHAnsi"/>
          <w:sz w:val="20"/>
          <w:szCs w:val="20"/>
        </w:rPr>
        <w:t>які</w:t>
      </w:r>
      <w:r w:rsidRPr="000977F7">
        <w:rPr>
          <w:rFonts w:asciiTheme="majorHAnsi" w:hAnsiTheme="majorHAnsi"/>
          <w:spacing w:val="1"/>
          <w:sz w:val="20"/>
          <w:szCs w:val="20"/>
        </w:rPr>
        <w:t xml:space="preserve"> </w:t>
      </w:r>
      <w:r w:rsidRPr="000977F7">
        <w:rPr>
          <w:rFonts w:asciiTheme="majorHAnsi" w:hAnsiTheme="majorHAnsi"/>
          <w:sz w:val="20"/>
          <w:szCs w:val="20"/>
        </w:rPr>
        <w:t>перехрещуються, таким чином, що оброблюване колесо отримує ще й осьове зворотно-поступальне переміщення</w:t>
      </w:r>
    </w:p>
    <w:p w14:paraId="2BAC4543"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ШИРИНА</w:t>
      </w:r>
      <w:r w:rsidRPr="000977F7">
        <w:rPr>
          <w:color w:val="auto"/>
          <w:spacing w:val="22"/>
          <w:sz w:val="20"/>
          <w:szCs w:val="20"/>
        </w:rPr>
        <w:t xml:space="preserve"> </w:t>
      </w:r>
      <w:r w:rsidRPr="000977F7">
        <w:rPr>
          <w:color w:val="auto"/>
          <w:sz w:val="20"/>
          <w:szCs w:val="20"/>
        </w:rPr>
        <w:t>ДІАПАЗОНУ</w:t>
      </w:r>
      <w:r w:rsidRPr="000977F7">
        <w:rPr>
          <w:color w:val="auto"/>
          <w:spacing w:val="26"/>
          <w:sz w:val="20"/>
          <w:szCs w:val="20"/>
        </w:rPr>
        <w:t xml:space="preserve"> </w:t>
      </w:r>
      <w:r w:rsidRPr="000977F7">
        <w:rPr>
          <w:color w:val="auto"/>
          <w:sz w:val="20"/>
          <w:szCs w:val="20"/>
        </w:rPr>
        <w:t>ЗМІНЮВАННЯ</w:t>
      </w:r>
      <w:r w:rsidRPr="000977F7">
        <w:rPr>
          <w:color w:val="auto"/>
          <w:spacing w:val="22"/>
          <w:sz w:val="20"/>
          <w:szCs w:val="20"/>
        </w:rPr>
        <w:t xml:space="preserve"> </w:t>
      </w:r>
      <w:r w:rsidRPr="000977F7">
        <w:rPr>
          <w:color w:val="auto"/>
          <w:sz w:val="20"/>
          <w:szCs w:val="20"/>
        </w:rPr>
        <w:t>ПАРАМЕТРА</w:t>
      </w:r>
      <w:r w:rsidRPr="000977F7">
        <w:rPr>
          <w:b w:val="0"/>
          <w:color w:val="auto"/>
          <w:sz w:val="20"/>
          <w:szCs w:val="20"/>
        </w:rPr>
        <w:t>–</w:t>
      </w:r>
    </w:p>
    <w:p w14:paraId="0AE9D4D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WIDTH</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RANGE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CHANGE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PARAMETER–</w:t>
      </w:r>
    </w:p>
    <w:p w14:paraId="4795EF4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Алгебраїчна</w:t>
      </w:r>
      <w:r w:rsidRPr="000977F7">
        <w:rPr>
          <w:rFonts w:asciiTheme="majorHAnsi" w:hAnsiTheme="majorHAnsi"/>
          <w:spacing w:val="1"/>
          <w:sz w:val="20"/>
          <w:szCs w:val="20"/>
        </w:rPr>
        <w:t xml:space="preserve"> </w:t>
      </w:r>
      <w:r w:rsidRPr="000977F7">
        <w:rPr>
          <w:rFonts w:asciiTheme="majorHAnsi" w:hAnsiTheme="majorHAnsi"/>
          <w:sz w:val="20"/>
          <w:szCs w:val="20"/>
        </w:rPr>
        <w:t>різниця між верхнім</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нижнім</w:t>
      </w:r>
      <w:r w:rsidRPr="000977F7">
        <w:rPr>
          <w:rFonts w:asciiTheme="majorHAnsi" w:hAnsiTheme="majorHAnsi"/>
          <w:spacing w:val="1"/>
          <w:sz w:val="20"/>
          <w:szCs w:val="20"/>
        </w:rPr>
        <w:t xml:space="preserve"> </w:t>
      </w:r>
      <w:r w:rsidRPr="000977F7">
        <w:rPr>
          <w:rFonts w:asciiTheme="majorHAnsi" w:hAnsiTheme="majorHAnsi"/>
          <w:sz w:val="20"/>
          <w:szCs w:val="20"/>
        </w:rPr>
        <w:t>граничними</w:t>
      </w:r>
      <w:r w:rsidRPr="000977F7">
        <w:rPr>
          <w:rFonts w:asciiTheme="majorHAnsi" w:hAnsiTheme="majorHAnsi"/>
          <w:spacing w:val="-2"/>
          <w:sz w:val="20"/>
          <w:szCs w:val="20"/>
        </w:rPr>
        <w:t xml:space="preserve"> </w:t>
      </w:r>
      <w:r w:rsidRPr="000977F7">
        <w:rPr>
          <w:rFonts w:asciiTheme="majorHAnsi" w:hAnsiTheme="majorHAnsi"/>
          <w:sz w:val="20"/>
          <w:szCs w:val="20"/>
        </w:rPr>
        <w:t>значеннями</w:t>
      </w:r>
      <w:r w:rsidRPr="000977F7">
        <w:rPr>
          <w:rFonts w:asciiTheme="majorHAnsi" w:hAnsiTheme="majorHAnsi"/>
          <w:spacing w:val="-1"/>
          <w:sz w:val="20"/>
          <w:szCs w:val="20"/>
        </w:rPr>
        <w:t xml:space="preserve"> </w:t>
      </w:r>
      <w:r w:rsidRPr="000977F7">
        <w:rPr>
          <w:rFonts w:asciiTheme="majorHAnsi" w:hAnsiTheme="majorHAnsi"/>
          <w:sz w:val="20"/>
          <w:szCs w:val="20"/>
        </w:rPr>
        <w:t>параметра</w:t>
      </w:r>
    </w:p>
    <w:p w14:paraId="5E08533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3956</w:t>
      </w:r>
      <w:r w:rsidRPr="000977F7">
        <w:rPr>
          <w:rFonts w:asciiTheme="majorHAnsi" w:hAnsiTheme="majorHAnsi"/>
          <w:i/>
          <w:spacing w:val="1"/>
          <w:sz w:val="20"/>
          <w:szCs w:val="20"/>
        </w:rPr>
        <w:t xml:space="preserve"> </w:t>
      </w:r>
      <w:r w:rsidRPr="000977F7">
        <w:rPr>
          <w:rFonts w:asciiTheme="majorHAnsi" w:hAnsiTheme="majorHAnsi"/>
          <w:i/>
          <w:sz w:val="20"/>
          <w:szCs w:val="20"/>
        </w:rPr>
        <w:t>– 2000</w:t>
      </w:r>
    </w:p>
    <w:p w14:paraId="006D9DE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ШИРОКОСМУГОВЕ</w:t>
      </w:r>
      <w:r w:rsidRPr="000977F7">
        <w:rPr>
          <w:color w:val="auto"/>
          <w:spacing w:val="-7"/>
          <w:sz w:val="20"/>
          <w:szCs w:val="20"/>
        </w:rPr>
        <w:t xml:space="preserve"> </w:t>
      </w:r>
      <w:r w:rsidRPr="000977F7">
        <w:rPr>
          <w:color w:val="auto"/>
          <w:sz w:val="20"/>
          <w:szCs w:val="20"/>
        </w:rPr>
        <w:t>НАВАНТАЖУВАННЯ</w:t>
      </w:r>
      <w:r w:rsidRPr="000977F7">
        <w:rPr>
          <w:color w:val="auto"/>
          <w:spacing w:val="-4"/>
          <w:sz w:val="20"/>
          <w:szCs w:val="20"/>
        </w:rPr>
        <w:t xml:space="preserve"> </w:t>
      </w:r>
      <w:r w:rsidRPr="000977F7">
        <w:rPr>
          <w:color w:val="auto"/>
          <w:sz w:val="20"/>
          <w:szCs w:val="20"/>
        </w:rPr>
        <w:t>–</w:t>
      </w:r>
    </w:p>
    <w:p w14:paraId="084F8BD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BROADBAND</w:t>
      </w:r>
      <w:r w:rsidRPr="000977F7">
        <w:rPr>
          <w:rFonts w:asciiTheme="majorHAnsi" w:hAnsiTheme="majorHAnsi"/>
          <w:spacing w:val="-3"/>
          <w:sz w:val="20"/>
          <w:szCs w:val="20"/>
        </w:rPr>
        <w:t xml:space="preserve"> </w:t>
      </w:r>
      <w:r w:rsidRPr="000977F7">
        <w:rPr>
          <w:rFonts w:asciiTheme="majorHAnsi" w:hAnsiTheme="majorHAnsi"/>
          <w:sz w:val="20"/>
          <w:szCs w:val="20"/>
        </w:rPr>
        <w:t>LOADING</w:t>
      </w:r>
      <w:r w:rsidRPr="000977F7">
        <w:rPr>
          <w:rFonts w:asciiTheme="majorHAnsi" w:hAnsiTheme="majorHAnsi"/>
          <w:spacing w:val="-2"/>
          <w:sz w:val="20"/>
          <w:szCs w:val="20"/>
        </w:rPr>
        <w:t xml:space="preserve"> </w:t>
      </w:r>
      <w:r w:rsidRPr="000977F7">
        <w:rPr>
          <w:rFonts w:asciiTheme="majorHAnsi" w:hAnsiTheme="majorHAnsi"/>
          <w:sz w:val="20"/>
          <w:szCs w:val="20"/>
        </w:rPr>
        <w:t>–</w:t>
      </w:r>
    </w:p>
    <w:p w14:paraId="6EB4D10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Навантажування,</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здійснюється</w:t>
      </w:r>
      <w:r w:rsidRPr="000977F7">
        <w:rPr>
          <w:rFonts w:asciiTheme="majorHAnsi" w:hAnsiTheme="majorHAnsi"/>
          <w:spacing w:val="1"/>
          <w:sz w:val="20"/>
          <w:szCs w:val="20"/>
        </w:rPr>
        <w:t xml:space="preserve"> </w:t>
      </w:r>
      <w:r w:rsidRPr="000977F7">
        <w:rPr>
          <w:rFonts w:asciiTheme="majorHAnsi" w:hAnsiTheme="majorHAnsi"/>
          <w:sz w:val="20"/>
          <w:szCs w:val="20"/>
        </w:rPr>
        <w:t>як</w:t>
      </w:r>
      <w:r w:rsidRPr="000977F7">
        <w:rPr>
          <w:rFonts w:asciiTheme="majorHAnsi" w:hAnsiTheme="majorHAnsi"/>
          <w:spacing w:val="1"/>
          <w:sz w:val="20"/>
          <w:szCs w:val="20"/>
        </w:rPr>
        <w:t xml:space="preserve"> </w:t>
      </w:r>
      <w:r w:rsidRPr="000977F7">
        <w:rPr>
          <w:rFonts w:asciiTheme="majorHAnsi" w:hAnsiTheme="majorHAnsi"/>
          <w:sz w:val="20"/>
          <w:szCs w:val="20"/>
        </w:rPr>
        <w:t>широкосмуговий</w:t>
      </w:r>
      <w:r w:rsidRPr="000977F7">
        <w:rPr>
          <w:rFonts w:asciiTheme="majorHAnsi" w:hAnsiTheme="majorHAnsi"/>
          <w:spacing w:val="-2"/>
          <w:sz w:val="20"/>
          <w:szCs w:val="20"/>
        </w:rPr>
        <w:t xml:space="preserve"> </w:t>
      </w:r>
      <w:r w:rsidRPr="000977F7">
        <w:rPr>
          <w:rFonts w:asciiTheme="majorHAnsi" w:hAnsiTheme="majorHAnsi"/>
          <w:sz w:val="20"/>
          <w:szCs w:val="20"/>
        </w:rPr>
        <w:t>випадковий</w:t>
      </w:r>
      <w:r w:rsidRPr="000977F7">
        <w:rPr>
          <w:rFonts w:asciiTheme="majorHAnsi" w:hAnsiTheme="majorHAnsi"/>
          <w:spacing w:val="-1"/>
          <w:sz w:val="20"/>
          <w:szCs w:val="20"/>
        </w:rPr>
        <w:t xml:space="preserve"> </w:t>
      </w:r>
      <w:r w:rsidRPr="000977F7">
        <w:rPr>
          <w:rFonts w:asciiTheme="majorHAnsi" w:hAnsiTheme="majorHAnsi"/>
          <w:sz w:val="20"/>
          <w:szCs w:val="20"/>
        </w:rPr>
        <w:t>процес</w:t>
      </w:r>
    </w:p>
    <w:p w14:paraId="29C3228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2444 - 94</w:t>
      </w:r>
    </w:p>
    <w:p w14:paraId="3E0FE9A9" w14:textId="77777777" w:rsidR="0097612F" w:rsidRPr="000977F7" w:rsidRDefault="000977F7" w:rsidP="000977F7">
      <w:pPr>
        <w:pStyle w:val="7"/>
        <w:tabs>
          <w:tab w:val="left" w:pos="284"/>
        </w:tabs>
        <w:spacing w:before="0" w:line="240" w:lineRule="auto"/>
        <w:ind w:left="170"/>
        <w:mirrorIndents/>
        <w:jc w:val="both"/>
        <w:rPr>
          <w:color w:val="auto"/>
          <w:sz w:val="20"/>
          <w:szCs w:val="20"/>
        </w:rPr>
      </w:pPr>
      <w:r>
        <w:rPr>
          <w:color w:val="auto"/>
          <w:sz w:val="20"/>
          <w:szCs w:val="20"/>
        </w:rPr>
        <w:br w:type="column"/>
      </w:r>
      <w:r w:rsidR="0097612F" w:rsidRPr="000977F7">
        <w:rPr>
          <w:color w:val="auto"/>
          <w:sz w:val="20"/>
          <w:szCs w:val="20"/>
        </w:rPr>
        <w:t>ШИРОКОСМУГОВИЙ</w:t>
      </w:r>
      <w:r w:rsidR="0097612F" w:rsidRPr="000977F7">
        <w:rPr>
          <w:color w:val="auto"/>
          <w:spacing w:val="-4"/>
          <w:sz w:val="20"/>
          <w:szCs w:val="20"/>
        </w:rPr>
        <w:t xml:space="preserve"> </w:t>
      </w:r>
      <w:r w:rsidR="0097612F" w:rsidRPr="000977F7">
        <w:rPr>
          <w:color w:val="auto"/>
          <w:sz w:val="20"/>
          <w:szCs w:val="20"/>
        </w:rPr>
        <w:t>ШУМ –</w:t>
      </w:r>
    </w:p>
    <w:p w14:paraId="0383CBB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BROAD</w:t>
      </w:r>
      <w:r w:rsidRPr="000977F7">
        <w:rPr>
          <w:rFonts w:asciiTheme="majorHAnsi" w:hAnsiTheme="majorHAnsi"/>
          <w:spacing w:val="-3"/>
          <w:sz w:val="20"/>
          <w:szCs w:val="20"/>
        </w:rPr>
        <w:t xml:space="preserve"> </w:t>
      </w:r>
      <w:r w:rsidRPr="000977F7">
        <w:rPr>
          <w:rFonts w:asciiTheme="majorHAnsi" w:hAnsiTheme="majorHAnsi"/>
          <w:sz w:val="20"/>
          <w:szCs w:val="20"/>
        </w:rPr>
        <w:t>BANDNOISE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22B04B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Шум</w:t>
      </w:r>
      <w:r w:rsidRPr="000977F7">
        <w:rPr>
          <w:rFonts w:asciiTheme="majorHAnsi" w:hAnsiTheme="majorHAnsi"/>
          <w:spacing w:val="6"/>
          <w:sz w:val="20"/>
          <w:szCs w:val="20"/>
        </w:rPr>
        <w:t xml:space="preserve"> </w:t>
      </w:r>
      <w:r w:rsidRPr="000977F7">
        <w:rPr>
          <w:rFonts w:asciiTheme="majorHAnsi" w:hAnsiTheme="majorHAnsi"/>
          <w:sz w:val="20"/>
          <w:szCs w:val="20"/>
        </w:rPr>
        <w:t>з</w:t>
      </w:r>
      <w:r w:rsidRPr="000977F7">
        <w:rPr>
          <w:rFonts w:asciiTheme="majorHAnsi" w:hAnsiTheme="majorHAnsi"/>
          <w:spacing w:val="6"/>
          <w:sz w:val="20"/>
          <w:szCs w:val="20"/>
        </w:rPr>
        <w:t xml:space="preserve"> </w:t>
      </w:r>
      <w:r w:rsidRPr="000977F7">
        <w:rPr>
          <w:rFonts w:asciiTheme="majorHAnsi" w:hAnsiTheme="majorHAnsi"/>
          <w:sz w:val="20"/>
          <w:szCs w:val="20"/>
        </w:rPr>
        <w:t>безперервним</w:t>
      </w:r>
      <w:r w:rsidRPr="000977F7">
        <w:rPr>
          <w:rFonts w:asciiTheme="majorHAnsi" w:hAnsiTheme="majorHAnsi"/>
          <w:spacing w:val="6"/>
          <w:sz w:val="20"/>
          <w:szCs w:val="20"/>
        </w:rPr>
        <w:t xml:space="preserve"> </w:t>
      </w:r>
      <w:r w:rsidRPr="000977F7">
        <w:rPr>
          <w:rFonts w:asciiTheme="majorHAnsi" w:hAnsiTheme="majorHAnsi"/>
          <w:sz w:val="20"/>
          <w:szCs w:val="20"/>
        </w:rPr>
        <w:t>спектром</w:t>
      </w:r>
      <w:r w:rsidRPr="000977F7">
        <w:rPr>
          <w:rFonts w:asciiTheme="majorHAnsi" w:hAnsiTheme="majorHAnsi"/>
          <w:spacing w:val="6"/>
          <w:sz w:val="20"/>
          <w:szCs w:val="20"/>
        </w:rPr>
        <w:t xml:space="preserve"> </w:t>
      </w:r>
      <w:r w:rsidRPr="000977F7">
        <w:rPr>
          <w:rFonts w:asciiTheme="majorHAnsi" w:hAnsiTheme="majorHAnsi"/>
          <w:sz w:val="20"/>
          <w:szCs w:val="20"/>
        </w:rPr>
        <w:t>шириною</w:t>
      </w:r>
      <w:r w:rsidRPr="000977F7">
        <w:rPr>
          <w:rFonts w:asciiTheme="majorHAnsi" w:hAnsiTheme="majorHAnsi"/>
          <w:spacing w:val="5"/>
          <w:sz w:val="20"/>
          <w:szCs w:val="20"/>
        </w:rPr>
        <w:t xml:space="preserve"> </w:t>
      </w:r>
      <w:r w:rsidRPr="000977F7">
        <w:rPr>
          <w:rFonts w:asciiTheme="majorHAnsi" w:hAnsiTheme="majorHAnsi"/>
          <w:sz w:val="20"/>
          <w:szCs w:val="20"/>
        </w:rPr>
        <w:t>більш</w:t>
      </w:r>
      <w:r w:rsidRPr="000977F7">
        <w:rPr>
          <w:rFonts w:asciiTheme="majorHAnsi" w:hAnsiTheme="majorHAnsi"/>
          <w:spacing w:val="6"/>
          <w:sz w:val="20"/>
          <w:szCs w:val="20"/>
        </w:rPr>
        <w:t xml:space="preserve"> </w:t>
      </w:r>
      <w:r w:rsidRPr="000977F7">
        <w:rPr>
          <w:rFonts w:asciiTheme="majorHAnsi" w:hAnsiTheme="majorHAnsi"/>
          <w:sz w:val="20"/>
          <w:szCs w:val="20"/>
        </w:rPr>
        <w:t>однієї октави</w:t>
      </w:r>
    </w:p>
    <w:p w14:paraId="7760ED7E"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5C83F54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1"/>
          <w:sz w:val="20"/>
          <w:szCs w:val="20"/>
        </w:rPr>
        <w:t xml:space="preserve">ШИРОКОСМУГОВІ </w:t>
      </w:r>
      <w:r w:rsidRPr="000977F7">
        <w:rPr>
          <w:color w:val="auto"/>
          <w:sz w:val="20"/>
          <w:szCs w:val="20"/>
        </w:rPr>
        <w:t>ВИПАДКОВІ</w:t>
      </w:r>
    </w:p>
    <w:p w14:paraId="4D65A46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47"/>
          <w:sz w:val="20"/>
          <w:szCs w:val="20"/>
        </w:rPr>
        <w:t xml:space="preserve"> </w:t>
      </w:r>
      <w:r w:rsidRPr="000977F7">
        <w:rPr>
          <w:color w:val="auto"/>
          <w:sz w:val="20"/>
          <w:szCs w:val="20"/>
        </w:rPr>
        <w:t>КОЛИВАННЯ –</w:t>
      </w:r>
    </w:p>
    <w:p w14:paraId="4F609D5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BROAD-BAND</w:t>
      </w:r>
      <w:r w:rsidRPr="000977F7">
        <w:rPr>
          <w:rFonts w:asciiTheme="majorHAnsi" w:hAnsiTheme="majorHAnsi"/>
          <w:spacing w:val="-4"/>
          <w:sz w:val="20"/>
          <w:szCs w:val="20"/>
        </w:rPr>
        <w:t xml:space="preserve"> </w:t>
      </w:r>
      <w:r w:rsidRPr="000977F7">
        <w:rPr>
          <w:rFonts w:asciiTheme="majorHAnsi" w:hAnsiTheme="majorHAnsi"/>
          <w:sz w:val="20"/>
          <w:szCs w:val="20"/>
        </w:rPr>
        <w:t>RANDOM</w:t>
      </w:r>
      <w:r w:rsidRPr="000977F7">
        <w:rPr>
          <w:rFonts w:asciiTheme="majorHAnsi" w:hAnsiTheme="majorHAnsi"/>
          <w:spacing w:val="-1"/>
          <w:sz w:val="20"/>
          <w:szCs w:val="20"/>
        </w:rPr>
        <w:t xml:space="preserve"> </w:t>
      </w:r>
      <w:r w:rsidRPr="000977F7">
        <w:rPr>
          <w:rFonts w:asciiTheme="majorHAnsi" w:hAnsiTheme="majorHAnsi"/>
          <w:sz w:val="20"/>
          <w:szCs w:val="20"/>
        </w:rPr>
        <w:t>VIBRATION –</w:t>
      </w:r>
    </w:p>
    <w:p w14:paraId="48810CF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Випадкові</w:t>
      </w:r>
      <w:r w:rsidRPr="000977F7">
        <w:rPr>
          <w:rFonts w:asciiTheme="majorHAnsi" w:hAnsiTheme="majorHAnsi"/>
          <w:spacing w:val="10"/>
          <w:sz w:val="20"/>
          <w:szCs w:val="20"/>
        </w:rPr>
        <w:t xml:space="preserve"> </w:t>
      </w:r>
      <w:r w:rsidRPr="000977F7">
        <w:rPr>
          <w:rFonts w:asciiTheme="majorHAnsi" w:hAnsiTheme="majorHAnsi"/>
          <w:sz w:val="20"/>
          <w:szCs w:val="20"/>
        </w:rPr>
        <w:t>коливання,</w:t>
      </w:r>
      <w:r w:rsidRPr="000977F7">
        <w:rPr>
          <w:rFonts w:asciiTheme="majorHAnsi" w:hAnsiTheme="majorHAnsi"/>
          <w:spacing w:val="10"/>
          <w:sz w:val="20"/>
          <w:szCs w:val="20"/>
        </w:rPr>
        <w:t xml:space="preserve"> </w:t>
      </w:r>
      <w:r w:rsidRPr="000977F7">
        <w:rPr>
          <w:rFonts w:asciiTheme="majorHAnsi" w:hAnsiTheme="majorHAnsi"/>
          <w:sz w:val="20"/>
          <w:szCs w:val="20"/>
        </w:rPr>
        <w:t>для</w:t>
      </w:r>
      <w:r w:rsidRPr="000977F7">
        <w:rPr>
          <w:rFonts w:asciiTheme="majorHAnsi" w:hAnsiTheme="majorHAnsi"/>
          <w:spacing w:val="10"/>
          <w:sz w:val="20"/>
          <w:szCs w:val="20"/>
        </w:rPr>
        <w:t xml:space="preserve"> </w:t>
      </w:r>
      <w:r w:rsidRPr="000977F7">
        <w:rPr>
          <w:rFonts w:asciiTheme="majorHAnsi" w:hAnsiTheme="majorHAnsi"/>
          <w:sz w:val="20"/>
          <w:szCs w:val="20"/>
        </w:rPr>
        <w:t>яких</w:t>
      </w:r>
      <w:r w:rsidRPr="000977F7">
        <w:rPr>
          <w:rFonts w:asciiTheme="majorHAnsi" w:hAnsiTheme="majorHAnsi"/>
          <w:spacing w:val="9"/>
          <w:sz w:val="20"/>
          <w:szCs w:val="20"/>
        </w:rPr>
        <w:t xml:space="preserve"> </w:t>
      </w:r>
      <w:r w:rsidRPr="000977F7">
        <w:rPr>
          <w:rFonts w:asciiTheme="majorHAnsi" w:hAnsiTheme="majorHAnsi"/>
          <w:sz w:val="20"/>
          <w:szCs w:val="20"/>
        </w:rPr>
        <w:t>характерна</w:t>
      </w:r>
      <w:r w:rsidRPr="000977F7">
        <w:rPr>
          <w:rFonts w:asciiTheme="majorHAnsi" w:hAnsiTheme="majorHAnsi"/>
          <w:spacing w:val="11"/>
          <w:sz w:val="20"/>
          <w:szCs w:val="20"/>
        </w:rPr>
        <w:t xml:space="preserve"> </w:t>
      </w:r>
      <w:r w:rsidRPr="000977F7">
        <w:rPr>
          <w:rFonts w:asciiTheme="majorHAnsi" w:hAnsiTheme="majorHAnsi"/>
          <w:sz w:val="20"/>
          <w:szCs w:val="20"/>
        </w:rPr>
        <w:t>широка</w:t>
      </w:r>
      <w:r w:rsidRPr="000977F7">
        <w:rPr>
          <w:rFonts w:asciiTheme="majorHAnsi" w:hAnsiTheme="majorHAnsi"/>
          <w:spacing w:val="-47"/>
          <w:sz w:val="20"/>
          <w:szCs w:val="20"/>
        </w:rPr>
        <w:t xml:space="preserve"> </w:t>
      </w:r>
      <w:r w:rsidRPr="000977F7">
        <w:rPr>
          <w:rFonts w:asciiTheme="majorHAnsi" w:hAnsiTheme="majorHAnsi"/>
          <w:sz w:val="20"/>
          <w:szCs w:val="20"/>
        </w:rPr>
        <w:t>смуга</w:t>
      </w:r>
      <w:r w:rsidRPr="000977F7">
        <w:rPr>
          <w:rFonts w:asciiTheme="majorHAnsi" w:hAnsiTheme="majorHAnsi"/>
          <w:spacing w:val="-1"/>
          <w:sz w:val="20"/>
          <w:szCs w:val="20"/>
        </w:rPr>
        <w:t xml:space="preserve"> </w:t>
      </w:r>
      <w:r w:rsidRPr="000977F7">
        <w:rPr>
          <w:rFonts w:asciiTheme="majorHAnsi" w:hAnsiTheme="majorHAnsi"/>
          <w:sz w:val="20"/>
          <w:szCs w:val="20"/>
        </w:rPr>
        <w:t>частот</w:t>
      </w:r>
    </w:p>
    <w:p w14:paraId="19DB2AF6"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2473</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080BE0EF" w14:textId="77777777" w:rsidR="0097612F" w:rsidRPr="004D2D14" w:rsidRDefault="0097612F" w:rsidP="000977F7">
      <w:pPr>
        <w:tabs>
          <w:tab w:val="left" w:pos="284"/>
        </w:tabs>
        <w:spacing w:after="0" w:line="240" w:lineRule="auto"/>
        <w:ind w:left="170"/>
        <w:mirrorIndents/>
        <w:jc w:val="both"/>
        <w:rPr>
          <w:rFonts w:asciiTheme="majorHAnsi" w:hAnsiTheme="majorHAnsi"/>
          <w:spacing w:val="-47"/>
          <w:sz w:val="20"/>
          <w:szCs w:val="20"/>
          <w:lang w:val="en-US"/>
        </w:rPr>
      </w:pPr>
      <w:r w:rsidRPr="000977F7">
        <w:rPr>
          <w:rFonts w:asciiTheme="majorHAnsi" w:hAnsiTheme="majorHAnsi"/>
          <w:b/>
          <w:sz w:val="20"/>
          <w:szCs w:val="20"/>
        </w:rPr>
        <w:t>ШИРОТНО</w:t>
      </w:r>
      <w:r w:rsidRPr="004D2D14">
        <w:rPr>
          <w:rFonts w:asciiTheme="majorHAnsi" w:hAnsiTheme="majorHAnsi"/>
          <w:b/>
          <w:sz w:val="20"/>
          <w:szCs w:val="20"/>
          <w:lang w:val="en-US"/>
        </w:rPr>
        <w:t xml:space="preserve"> – </w:t>
      </w:r>
      <w:r w:rsidRPr="000977F7">
        <w:rPr>
          <w:rFonts w:asciiTheme="majorHAnsi" w:hAnsiTheme="majorHAnsi"/>
          <w:b/>
          <w:sz w:val="20"/>
          <w:szCs w:val="20"/>
        </w:rPr>
        <w:t>ІМПУЛЬСНЕ</w:t>
      </w:r>
      <w:r w:rsidRPr="004D2D14">
        <w:rPr>
          <w:rFonts w:asciiTheme="majorHAnsi" w:hAnsiTheme="majorHAnsi"/>
          <w:b/>
          <w:sz w:val="20"/>
          <w:szCs w:val="20"/>
          <w:lang w:val="en-US"/>
        </w:rPr>
        <w:t xml:space="preserve"> </w:t>
      </w:r>
      <w:r w:rsidRPr="000977F7">
        <w:rPr>
          <w:rFonts w:asciiTheme="majorHAnsi" w:hAnsiTheme="majorHAnsi"/>
          <w:b/>
          <w:sz w:val="20"/>
          <w:szCs w:val="20"/>
        </w:rPr>
        <w:t>ДІЯННЯ</w:t>
      </w:r>
      <w:r w:rsidRPr="004D2D14">
        <w:rPr>
          <w:rFonts w:asciiTheme="majorHAnsi" w:hAnsiTheme="majorHAnsi"/>
          <w:b/>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47"/>
          <w:sz w:val="20"/>
          <w:szCs w:val="20"/>
          <w:lang w:val="en-US"/>
        </w:rPr>
        <w:t xml:space="preserve"> </w:t>
      </w:r>
    </w:p>
    <w:p w14:paraId="4AC0E1D4"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IMPULSE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RELATIVE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ACTION –</w:t>
      </w:r>
    </w:p>
    <w:p w14:paraId="64A453E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Імпульсне</w:t>
      </w:r>
      <w:r w:rsidRPr="004D2D14">
        <w:rPr>
          <w:rFonts w:asciiTheme="majorHAnsi" w:hAnsiTheme="majorHAnsi"/>
          <w:spacing w:val="27"/>
          <w:sz w:val="20"/>
          <w:szCs w:val="20"/>
          <w:lang w:val="en-US"/>
        </w:rPr>
        <w:t xml:space="preserve"> </w:t>
      </w:r>
      <w:r w:rsidRPr="000977F7">
        <w:rPr>
          <w:rFonts w:asciiTheme="majorHAnsi" w:hAnsiTheme="majorHAnsi"/>
          <w:sz w:val="20"/>
          <w:szCs w:val="20"/>
        </w:rPr>
        <w:t>діяння</w:t>
      </w:r>
      <w:r w:rsidRPr="004D2D14">
        <w:rPr>
          <w:rFonts w:asciiTheme="majorHAnsi" w:hAnsiTheme="majorHAnsi"/>
          <w:sz w:val="20"/>
          <w:szCs w:val="20"/>
          <w:lang w:val="en-US"/>
        </w:rPr>
        <w:t>,</w:t>
      </w:r>
      <w:r w:rsidRPr="004D2D14">
        <w:rPr>
          <w:rFonts w:asciiTheme="majorHAnsi" w:hAnsiTheme="majorHAnsi"/>
          <w:spacing w:val="27"/>
          <w:sz w:val="20"/>
          <w:szCs w:val="20"/>
          <w:lang w:val="en-US"/>
        </w:rPr>
        <w:t xml:space="preserve"> </w:t>
      </w:r>
      <w:r w:rsidRPr="000977F7">
        <w:rPr>
          <w:rFonts w:asciiTheme="majorHAnsi" w:hAnsiTheme="majorHAnsi"/>
          <w:sz w:val="20"/>
          <w:szCs w:val="20"/>
        </w:rPr>
        <w:t>основним</w:t>
      </w:r>
      <w:r w:rsidRPr="004D2D14">
        <w:rPr>
          <w:rFonts w:asciiTheme="majorHAnsi" w:hAnsiTheme="majorHAnsi"/>
          <w:spacing w:val="28"/>
          <w:sz w:val="20"/>
          <w:szCs w:val="20"/>
          <w:lang w:val="en-US"/>
        </w:rPr>
        <w:t xml:space="preserve"> </w:t>
      </w:r>
      <w:r w:rsidRPr="000977F7">
        <w:rPr>
          <w:rFonts w:asciiTheme="majorHAnsi" w:hAnsiTheme="majorHAnsi"/>
          <w:sz w:val="20"/>
          <w:szCs w:val="20"/>
        </w:rPr>
        <w:t>параметром</w:t>
      </w:r>
      <w:r w:rsidRPr="004D2D14">
        <w:rPr>
          <w:rFonts w:asciiTheme="majorHAnsi" w:hAnsiTheme="majorHAnsi"/>
          <w:spacing w:val="27"/>
          <w:sz w:val="20"/>
          <w:szCs w:val="20"/>
          <w:lang w:val="en-US"/>
        </w:rPr>
        <w:t xml:space="preserve"> </w:t>
      </w:r>
      <w:r w:rsidRPr="000977F7">
        <w:rPr>
          <w:rFonts w:asciiTheme="majorHAnsi" w:hAnsiTheme="majorHAnsi"/>
          <w:sz w:val="20"/>
          <w:szCs w:val="20"/>
        </w:rPr>
        <w:t>якого</w:t>
      </w:r>
      <w:r w:rsidRPr="004D2D14">
        <w:rPr>
          <w:rFonts w:asciiTheme="majorHAnsi" w:hAnsiTheme="majorHAnsi"/>
          <w:spacing w:val="26"/>
          <w:sz w:val="20"/>
          <w:szCs w:val="20"/>
          <w:lang w:val="en-US"/>
        </w:rPr>
        <w:t xml:space="preserve"> </w:t>
      </w:r>
      <w:r w:rsidRPr="000977F7">
        <w:rPr>
          <w:rFonts w:asciiTheme="majorHAnsi" w:hAnsiTheme="majorHAnsi"/>
          <w:sz w:val="20"/>
          <w:szCs w:val="20"/>
        </w:rPr>
        <w:t>є</w:t>
      </w:r>
      <w:r w:rsidRPr="004D2D14">
        <w:rPr>
          <w:rFonts w:asciiTheme="majorHAnsi" w:hAnsiTheme="majorHAnsi"/>
          <w:spacing w:val="29"/>
          <w:sz w:val="20"/>
          <w:szCs w:val="20"/>
          <w:lang w:val="en-US"/>
        </w:rPr>
        <w:t xml:space="preserve"> </w:t>
      </w:r>
      <w:r w:rsidRPr="000977F7">
        <w:rPr>
          <w:rFonts w:asciiTheme="majorHAnsi" w:hAnsiTheme="majorHAnsi"/>
          <w:sz w:val="20"/>
          <w:szCs w:val="20"/>
        </w:rPr>
        <w:t>відношення</w:t>
      </w:r>
      <w:r w:rsidRPr="004D2D14">
        <w:rPr>
          <w:rFonts w:asciiTheme="majorHAnsi" w:hAnsiTheme="majorHAnsi"/>
          <w:spacing w:val="11"/>
          <w:sz w:val="20"/>
          <w:szCs w:val="20"/>
          <w:lang w:val="en-US"/>
        </w:rPr>
        <w:t xml:space="preserve"> </w:t>
      </w:r>
      <w:r w:rsidRPr="000977F7">
        <w:rPr>
          <w:rFonts w:asciiTheme="majorHAnsi" w:hAnsiTheme="majorHAnsi"/>
          <w:sz w:val="20"/>
          <w:szCs w:val="20"/>
        </w:rPr>
        <w:t>тривалості</w:t>
      </w:r>
      <w:r w:rsidRPr="004D2D14">
        <w:rPr>
          <w:rFonts w:asciiTheme="majorHAnsi" w:hAnsiTheme="majorHAnsi"/>
          <w:spacing w:val="11"/>
          <w:sz w:val="20"/>
          <w:szCs w:val="20"/>
          <w:lang w:val="en-US"/>
        </w:rPr>
        <w:t xml:space="preserve"> </w:t>
      </w:r>
      <w:r w:rsidRPr="000977F7">
        <w:rPr>
          <w:rFonts w:asciiTheme="majorHAnsi" w:hAnsiTheme="majorHAnsi"/>
          <w:sz w:val="20"/>
          <w:szCs w:val="20"/>
        </w:rPr>
        <w:t>імпульсу</w:t>
      </w:r>
      <w:r w:rsidRPr="004D2D14">
        <w:rPr>
          <w:rFonts w:asciiTheme="majorHAnsi" w:hAnsiTheme="majorHAnsi"/>
          <w:spacing w:val="10"/>
          <w:sz w:val="20"/>
          <w:szCs w:val="20"/>
          <w:lang w:val="en-US"/>
        </w:rPr>
        <w:t xml:space="preserve"> </w:t>
      </w:r>
      <w:r w:rsidRPr="000977F7">
        <w:rPr>
          <w:rFonts w:asciiTheme="majorHAnsi" w:hAnsiTheme="majorHAnsi"/>
          <w:sz w:val="20"/>
          <w:szCs w:val="20"/>
        </w:rPr>
        <w:t>дієвої</w:t>
      </w:r>
      <w:r w:rsidRPr="004D2D14">
        <w:rPr>
          <w:rFonts w:asciiTheme="majorHAnsi" w:hAnsiTheme="majorHAnsi"/>
          <w:spacing w:val="12"/>
          <w:sz w:val="20"/>
          <w:szCs w:val="20"/>
          <w:lang w:val="en-US"/>
        </w:rPr>
        <w:t xml:space="preserve"> </w:t>
      </w:r>
      <w:r w:rsidRPr="000977F7">
        <w:rPr>
          <w:rFonts w:asciiTheme="majorHAnsi" w:hAnsiTheme="majorHAnsi"/>
          <w:sz w:val="20"/>
          <w:szCs w:val="20"/>
        </w:rPr>
        <w:t>величини</w:t>
      </w:r>
      <w:r w:rsidRPr="004D2D14">
        <w:rPr>
          <w:rFonts w:asciiTheme="majorHAnsi" w:hAnsiTheme="majorHAnsi"/>
          <w:spacing w:val="10"/>
          <w:sz w:val="20"/>
          <w:szCs w:val="20"/>
          <w:lang w:val="en-US"/>
        </w:rPr>
        <w:t xml:space="preserve"> </w:t>
      </w:r>
      <w:r w:rsidRPr="000977F7">
        <w:rPr>
          <w:rFonts w:asciiTheme="majorHAnsi" w:hAnsiTheme="majorHAnsi"/>
          <w:sz w:val="20"/>
          <w:szCs w:val="20"/>
        </w:rPr>
        <w:t>до</w:t>
      </w:r>
      <w:r w:rsidRPr="004D2D14">
        <w:rPr>
          <w:rFonts w:asciiTheme="majorHAnsi" w:hAnsiTheme="majorHAnsi"/>
          <w:spacing w:val="12"/>
          <w:sz w:val="20"/>
          <w:szCs w:val="20"/>
          <w:lang w:val="en-US"/>
        </w:rPr>
        <w:t xml:space="preserve"> </w:t>
      </w:r>
      <w:r w:rsidRPr="000977F7">
        <w:rPr>
          <w:rFonts w:asciiTheme="majorHAnsi" w:hAnsiTheme="majorHAnsi"/>
          <w:sz w:val="20"/>
          <w:szCs w:val="20"/>
        </w:rPr>
        <w:t>тривалості</w:t>
      </w:r>
      <w:r w:rsidRPr="004D2D14">
        <w:rPr>
          <w:rFonts w:asciiTheme="majorHAnsi" w:hAnsiTheme="majorHAnsi"/>
          <w:spacing w:val="2"/>
          <w:sz w:val="20"/>
          <w:szCs w:val="20"/>
          <w:lang w:val="en-US"/>
        </w:rPr>
        <w:t xml:space="preserve"> </w:t>
      </w:r>
      <w:r w:rsidRPr="000977F7">
        <w:rPr>
          <w:rFonts w:asciiTheme="majorHAnsi" w:hAnsiTheme="majorHAnsi"/>
          <w:sz w:val="20"/>
          <w:szCs w:val="20"/>
        </w:rPr>
        <w:t>періоду</w:t>
      </w:r>
      <w:r w:rsidRPr="004D2D14">
        <w:rPr>
          <w:rFonts w:asciiTheme="majorHAnsi" w:hAnsiTheme="majorHAnsi"/>
          <w:sz w:val="20"/>
          <w:szCs w:val="20"/>
          <w:lang w:val="en-US"/>
        </w:rPr>
        <w:t xml:space="preserve"> </w:t>
      </w:r>
      <w:r w:rsidRPr="000977F7">
        <w:rPr>
          <w:rFonts w:asciiTheme="majorHAnsi" w:hAnsiTheme="majorHAnsi"/>
          <w:sz w:val="20"/>
          <w:szCs w:val="20"/>
        </w:rPr>
        <w:t>повторюваних</w:t>
      </w:r>
      <w:r w:rsidRPr="004D2D14">
        <w:rPr>
          <w:rFonts w:asciiTheme="majorHAnsi" w:hAnsiTheme="majorHAnsi"/>
          <w:sz w:val="20"/>
          <w:szCs w:val="20"/>
          <w:lang w:val="en-US"/>
        </w:rPr>
        <w:t xml:space="preserve"> </w:t>
      </w:r>
      <w:r w:rsidRPr="000977F7">
        <w:rPr>
          <w:rFonts w:asciiTheme="majorHAnsi" w:hAnsiTheme="majorHAnsi"/>
          <w:sz w:val="20"/>
          <w:szCs w:val="20"/>
        </w:rPr>
        <w:t>імпульсів</w:t>
      </w:r>
      <w:r w:rsidRPr="004D2D14">
        <w:rPr>
          <w:rFonts w:asciiTheme="majorHAnsi" w:hAnsiTheme="majorHAnsi"/>
          <w:spacing w:val="1"/>
          <w:sz w:val="20"/>
          <w:szCs w:val="20"/>
          <w:lang w:val="en-US"/>
        </w:rPr>
        <w:t xml:space="preserve"> </w:t>
      </w:r>
      <w:r w:rsidRPr="000977F7">
        <w:rPr>
          <w:rFonts w:asciiTheme="majorHAnsi" w:hAnsiTheme="majorHAnsi"/>
          <w:sz w:val="20"/>
          <w:szCs w:val="20"/>
        </w:rPr>
        <w:t>або</w:t>
      </w:r>
      <w:r w:rsidRPr="004D2D14">
        <w:rPr>
          <w:rFonts w:asciiTheme="majorHAnsi" w:hAnsiTheme="majorHAnsi"/>
          <w:spacing w:val="3"/>
          <w:sz w:val="20"/>
          <w:szCs w:val="20"/>
          <w:lang w:val="en-US"/>
        </w:rPr>
        <w:t xml:space="preserve"> </w:t>
      </w:r>
      <w:r w:rsidRPr="000977F7">
        <w:rPr>
          <w:rFonts w:asciiTheme="majorHAnsi" w:hAnsiTheme="majorHAnsi"/>
          <w:sz w:val="20"/>
          <w:szCs w:val="20"/>
        </w:rPr>
        <w:t>до</w:t>
      </w:r>
      <w:r w:rsidRPr="004D2D14">
        <w:rPr>
          <w:rFonts w:asciiTheme="majorHAnsi" w:hAnsiTheme="majorHAnsi"/>
          <w:spacing w:val="3"/>
          <w:sz w:val="20"/>
          <w:szCs w:val="20"/>
          <w:lang w:val="en-US"/>
        </w:rPr>
        <w:t xml:space="preserve"> </w:t>
      </w:r>
      <w:r w:rsidRPr="000977F7">
        <w:rPr>
          <w:rFonts w:asciiTheme="majorHAnsi" w:hAnsiTheme="majorHAnsi"/>
          <w:sz w:val="20"/>
          <w:szCs w:val="20"/>
        </w:rPr>
        <w:t>трива</w:t>
      </w:r>
      <w:r w:rsidRPr="000977F7">
        <w:rPr>
          <w:rFonts w:asciiTheme="majorHAnsi" w:hAnsiTheme="majorHAnsi"/>
          <w:spacing w:val="-1"/>
          <w:sz w:val="20"/>
          <w:szCs w:val="20"/>
        </w:rPr>
        <w:t>лості</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інтервалу</w:t>
      </w:r>
      <w:r w:rsidRPr="004D2D14">
        <w:rPr>
          <w:rFonts w:asciiTheme="majorHAnsi" w:hAnsiTheme="majorHAnsi"/>
          <w:spacing w:val="-1"/>
          <w:sz w:val="20"/>
          <w:szCs w:val="20"/>
          <w:lang w:val="en-US"/>
        </w:rPr>
        <w:t xml:space="preserve"> </w:t>
      </w:r>
      <w:r w:rsidRPr="000977F7">
        <w:rPr>
          <w:rFonts w:asciiTheme="majorHAnsi" w:hAnsiTheme="majorHAnsi"/>
          <w:spacing w:val="-1"/>
          <w:sz w:val="20"/>
          <w:szCs w:val="20"/>
        </w:rPr>
        <w:t>часу</w:t>
      </w:r>
      <w:r w:rsidRPr="004D2D14">
        <w:rPr>
          <w:rFonts w:asciiTheme="majorHAnsi" w:hAnsiTheme="majorHAnsi"/>
          <w:spacing w:val="-1"/>
          <w:sz w:val="20"/>
          <w:szCs w:val="20"/>
          <w:lang w:val="en-US"/>
        </w:rPr>
        <w:t xml:space="preserve"> </w:t>
      </w:r>
      <w:r w:rsidRPr="000977F7">
        <w:rPr>
          <w:rFonts w:asciiTheme="majorHAnsi" w:hAnsiTheme="majorHAnsi"/>
          <w:sz w:val="20"/>
          <w:szCs w:val="20"/>
        </w:rPr>
        <w:t>між</w:t>
      </w:r>
      <w:r w:rsidRPr="004D2D14">
        <w:rPr>
          <w:rFonts w:asciiTheme="majorHAnsi" w:hAnsiTheme="majorHAnsi"/>
          <w:sz w:val="20"/>
          <w:szCs w:val="20"/>
          <w:lang w:val="en-US"/>
        </w:rPr>
        <w:t xml:space="preserve"> </w:t>
      </w:r>
      <w:r w:rsidRPr="000977F7">
        <w:rPr>
          <w:rFonts w:asciiTheme="majorHAnsi" w:hAnsiTheme="majorHAnsi"/>
          <w:sz w:val="20"/>
          <w:szCs w:val="20"/>
        </w:rPr>
        <w:t>імпульсами</w:t>
      </w:r>
      <w:r w:rsidRPr="004D2D14">
        <w:rPr>
          <w:rFonts w:asciiTheme="majorHAnsi" w:hAnsiTheme="majorHAnsi"/>
          <w:sz w:val="20"/>
          <w:szCs w:val="20"/>
          <w:lang w:val="en-US"/>
        </w:rPr>
        <w:t xml:space="preserve"> </w:t>
      </w:r>
      <w:r w:rsidRPr="000977F7">
        <w:rPr>
          <w:rFonts w:asciiTheme="majorHAnsi" w:hAnsiTheme="majorHAnsi"/>
          <w:sz w:val="20"/>
          <w:szCs w:val="20"/>
        </w:rPr>
        <w:t>дієвої</w:t>
      </w:r>
      <w:r w:rsidRPr="004D2D14">
        <w:rPr>
          <w:rFonts w:asciiTheme="majorHAnsi" w:hAnsiTheme="majorHAnsi"/>
          <w:sz w:val="20"/>
          <w:szCs w:val="20"/>
          <w:lang w:val="en-US"/>
        </w:rPr>
        <w:t xml:space="preserve"> </w:t>
      </w:r>
      <w:r w:rsidRPr="000977F7">
        <w:rPr>
          <w:rFonts w:asciiTheme="majorHAnsi" w:hAnsiTheme="majorHAnsi"/>
          <w:sz w:val="20"/>
          <w:szCs w:val="20"/>
        </w:rPr>
        <w:t>величини</w:t>
      </w:r>
    </w:p>
    <w:p w14:paraId="0F33FFF1"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3956 - 2000</w:t>
      </w:r>
    </w:p>
    <w:p w14:paraId="58EE826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ШИРОТНОІМПУЛЬСНИЙ</w:t>
      </w:r>
      <w:r w:rsidRPr="000977F7">
        <w:rPr>
          <w:color w:val="auto"/>
          <w:spacing w:val="-4"/>
          <w:sz w:val="20"/>
          <w:szCs w:val="20"/>
        </w:rPr>
        <w:t xml:space="preserve"> </w:t>
      </w:r>
      <w:r w:rsidRPr="000977F7">
        <w:rPr>
          <w:color w:val="auto"/>
          <w:sz w:val="20"/>
          <w:szCs w:val="20"/>
        </w:rPr>
        <w:t>СИГНАЛ –</w:t>
      </w:r>
    </w:p>
    <w:p w14:paraId="510DE962"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IMPULSE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RELATIVE</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TIME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SIGNAL –</w:t>
      </w:r>
    </w:p>
    <w:p w14:paraId="1DBF3C6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0977F7">
        <w:rPr>
          <w:rFonts w:asciiTheme="majorHAnsi" w:hAnsiTheme="majorHAnsi"/>
          <w:sz w:val="20"/>
          <w:szCs w:val="20"/>
        </w:rPr>
        <w:t>Імпульсний</w:t>
      </w:r>
      <w:r w:rsidRPr="004D2D14">
        <w:rPr>
          <w:rFonts w:asciiTheme="majorHAnsi" w:hAnsiTheme="majorHAnsi"/>
          <w:sz w:val="20"/>
          <w:szCs w:val="20"/>
          <w:lang w:val="en-US"/>
        </w:rPr>
        <w:t xml:space="preserve"> </w:t>
      </w:r>
      <w:r w:rsidRPr="000977F7">
        <w:rPr>
          <w:rFonts w:asciiTheme="majorHAnsi" w:hAnsiTheme="majorHAnsi"/>
          <w:sz w:val="20"/>
          <w:szCs w:val="20"/>
        </w:rPr>
        <w:t>сигнал</w:t>
      </w:r>
      <w:r w:rsidRPr="004D2D14">
        <w:rPr>
          <w:rFonts w:asciiTheme="majorHAnsi" w:hAnsiTheme="majorHAnsi"/>
          <w:sz w:val="20"/>
          <w:szCs w:val="20"/>
          <w:lang w:val="en-US"/>
        </w:rPr>
        <w:t xml:space="preserve">, </w:t>
      </w:r>
      <w:r w:rsidRPr="000977F7">
        <w:rPr>
          <w:rFonts w:asciiTheme="majorHAnsi" w:hAnsiTheme="majorHAnsi"/>
          <w:sz w:val="20"/>
          <w:szCs w:val="20"/>
        </w:rPr>
        <w:t>інформативною</w:t>
      </w:r>
      <w:r w:rsidRPr="004D2D14">
        <w:rPr>
          <w:rFonts w:asciiTheme="majorHAnsi" w:hAnsiTheme="majorHAnsi"/>
          <w:sz w:val="20"/>
          <w:szCs w:val="20"/>
          <w:lang w:val="en-US"/>
        </w:rPr>
        <w:t xml:space="preserve"> </w:t>
      </w:r>
      <w:r w:rsidRPr="000977F7">
        <w:rPr>
          <w:rFonts w:asciiTheme="majorHAnsi" w:hAnsiTheme="majorHAnsi"/>
          <w:sz w:val="20"/>
          <w:szCs w:val="20"/>
        </w:rPr>
        <w:t>ознакою</w:t>
      </w:r>
      <w:r w:rsidRPr="004D2D14">
        <w:rPr>
          <w:rFonts w:asciiTheme="majorHAnsi" w:hAnsiTheme="majorHAnsi"/>
          <w:sz w:val="20"/>
          <w:szCs w:val="20"/>
          <w:lang w:val="en-US"/>
        </w:rPr>
        <w:t xml:space="preserve"> </w:t>
      </w:r>
      <w:r w:rsidRPr="000977F7">
        <w:rPr>
          <w:rFonts w:asciiTheme="majorHAnsi" w:hAnsiTheme="majorHAnsi"/>
          <w:sz w:val="20"/>
          <w:szCs w:val="20"/>
        </w:rPr>
        <w:t>або</w:t>
      </w:r>
      <w:r w:rsidRPr="004D2D14">
        <w:rPr>
          <w:rFonts w:asciiTheme="majorHAnsi" w:hAnsiTheme="majorHAnsi"/>
          <w:sz w:val="20"/>
          <w:szCs w:val="20"/>
          <w:lang w:val="en-US"/>
        </w:rPr>
        <w:t xml:space="preserve"> </w:t>
      </w:r>
      <w:r w:rsidRPr="000977F7">
        <w:rPr>
          <w:rFonts w:asciiTheme="majorHAnsi" w:hAnsiTheme="majorHAnsi"/>
          <w:sz w:val="20"/>
          <w:szCs w:val="20"/>
        </w:rPr>
        <w:t>параметром</w:t>
      </w:r>
      <w:r w:rsidRPr="004D2D14">
        <w:rPr>
          <w:rFonts w:asciiTheme="majorHAnsi" w:hAnsiTheme="majorHAnsi"/>
          <w:spacing w:val="1"/>
          <w:sz w:val="20"/>
          <w:szCs w:val="20"/>
          <w:lang w:val="en-US"/>
        </w:rPr>
        <w:t xml:space="preserve"> </w:t>
      </w:r>
      <w:r w:rsidRPr="000977F7">
        <w:rPr>
          <w:rFonts w:asciiTheme="majorHAnsi" w:hAnsiTheme="majorHAnsi"/>
          <w:sz w:val="20"/>
          <w:szCs w:val="20"/>
        </w:rPr>
        <w:t>якого</w:t>
      </w:r>
      <w:r w:rsidRPr="004D2D14">
        <w:rPr>
          <w:rFonts w:asciiTheme="majorHAnsi" w:hAnsiTheme="majorHAnsi"/>
          <w:spacing w:val="1"/>
          <w:sz w:val="20"/>
          <w:szCs w:val="20"/>
          <w:lang w:val="en-US"/>
        </w:rPr>
        <w:t xml:space="preserve"> </w:t>
      </w:r>
      <w:r w:rsidRPr="000977F7">
        <w:rPr>
          <w:rFonts w:asciiTheme="majorHAnsi" w:hAnsiTheme="majorHAnsi"/>
          <w:sz w:val="20"/>
          <w:szCs w:val="20"/>
        </w:rPr>
        <w:t>є</w:t>
      </w:r>
      <w:r w:rsidRPr="004D2D14">
        <w:rPr>
          <w:rFonts w:asciiTheme="majorHAnsi" w:hAnsiTheme="majorHAnsi"/>
          <w:spacing w:val="1"/>
          <w:sz w:val="20"/>
          <w:szCs w:val="20"/>
          <w:lang w:val="en-US"/>
        </w:rPr>
        <w:t xml:space="preserve"> </w:t>
      </w:r>
      <w:r w:rsidRPr="000977F7">
        <w:rPr>
          <w:rFonts w:asciiTheme="majorHAnsi" w:hAnsiTheme="majorHAnsi"/>
          <w:sz w:val="20"/>
          <w:szCs w:val="20"/>
        </w:rPr>
        <w:t>відношення</w:t>
      </w:r>
      <w:r w:rsidRPr="004D2D14">
        <w:rPr>
          <w:rFonts w:asciiTheme="majorHAnsi" w:hAnsiTheme="majorHAnsi"/>
          <w:spacing w:val="1"/>
          <w:sz w:val="20"/>
          <w:szCs w:val="20"/>
          <w:lang w:val="en-US"/>
        </w:rPr>
        <w:t xml:space="preserve"> </w:t>
      </w:r>
      <w:r w:rsidRPr="000977F7">
        <w:rPr>
          <w:rFonts w:asciiTheme="majorHAnsi" w:hAnsiTheme="majorHAnsi"/>
          <w:sz w:val="20"/>
          <w:szCs w:val="20"/>
        </w:rPr>
        <w:t>тривалості</w:t>
      </w:r>
      <w:r w:rsidRPr="004D2D14">
        <w:rPr>
          <w:rFonts w:asciiTheme="majorHAnsi" w:hAnsiTheme="majorHAnsi"/>
          <w:spacing w:val="1"/>
          <w:sz w:val="20"/>
          <w:szCs w:val="20"/>
          <w:lang w:val="en-US"/>
        </w:rPr>
        <w:t xml:space="preserve"> </w:t>
      </w:r>
      <w:r w:rsidRPr="000977F7">
        <w:rPr>
          <w:rFonts w:asciiTheme="majorHAnsi" w:hAnsiTheme="majorHAnsi"/>
          <w:sz w:val="20"/>
          <w:szCs w:val="20"/>
        </w:rPr>
        <w:t>імпульсу</w:t>
      </w:r>
      <w:r w:rsidRPr="004D2D14">
        <w:rPr>
          <w:rFonts w:asciiTheme="majorHAnsi" w:hAnsiTheme="majorHAnsi"/>
          <w:spacing w:val="1"/>
          <w:sz w:val="20"/>
          <w:szCs w:val="20"/>
          <w:lang w:val="en-US"/>
        </w:rPr>
        <w:t xml:space="preserve"> </w:t>
      </w:r>
      <w:r w:rsidRPr="000977F7">
        <w:rPr>
          <w:rFonts w:asciiTheme="majorHAnsi" w:hAnsiTheme="majorHAnsi"/>
          <w:sz w:val="20"/>
          <w:szCs w:val="20"/>
        </w:rPr>
        <w:t>дієвої</w:t>
      </w:r>
      <w:r w:rsidRPr="004D2D14">
        <w:rPr>
          <w:rFonts w:asciiTheme="majorHAnsi" w:hAnsiTheme="majorHAnsi"/>
          <w:sz w:val="20"/>
          <w:szCs w:val="20"/>
          <w:lang w:val="en-US"/>
        </w:rPr>
        <w:t xml:space="preserve"> </w:t>
      </w:r>
      <w:r w:rsidRPr="000977F7">
        <w:rPr>
          <w:rFonts w:asciiTheme="majorHAnsi" w:hAnsiTheme="majorHAnsi"/>
          <w:sz w:val="20"/>
          <w:szCs w:val="20"/>
        </w:rPr>
        <w:t>величини</w:t>
      </w:r>
      <w:r w:rsidRPr="004D2D14">
        <w:rPr>
          <w:rFonts w:asciiTheme="majorHAnsi" w:hAnsiTheme="majorHAnsi"/>
          <w:sz w:val="20"/>
          <w:szCs w:val="20"/>
          <w:lang w:val="en-US"/>
        </w:rPr>
        <w:t xml:space="preserve"> </w:t>
      </w:r>
      <w:r w:rsidRPr="000977F7">
        <w:rPr>
          <w:rFonts w:asciiTheme="majorHAnsi" w:hAnsiTheme="majorHAnsi"/>
          <w:sz w:val="20"/>
          <w:szCs w:val="20"/>
        </w:rPr>
        <w:t>до</w:t>
      </w:r>
      <w:r w:rsidRPr="004D2D14">
        <w:rPr>
          <w:rFonts w:asciiTheme="majorHAnsi" w:hAnsiTheme="majorHAnsi"/>
          <w:sz w:val="20"/>
          <w:szCs w:val="20"/>
          <w:lang w:val="en-US"/>
        </w:rPr>
        <w:t xml:space="preserve"> </w:t>
      </w:r>
      <w:r w:rsidRPr="000977F7">
        <w:rPr>
          <w:rFonts w:asciiTheme="majorHAnsi" w:hAnsiTheme="majorHAnsi"/>
          <w:sz w:val="20"/>
          <w:szCs w:val="20"/>
        </w:rPr>
        <w:t>тривалості</w:t>
      </w:r>
      <w:r w:rsidRPr="004D2D14">
        <w:rPr>
          <w:rFonts w:asciiTheme="majorHAnsi" w:hAnsiTheme="majorHAnsi"/>
          <w:sz w:val="20"/>
          <w:szCs w:val="20"/>
          <w:lang w:val="en-US"/>
        </w:rPr>
        <w:t xml:space="preserve"> </w:t>
      </w:r>
      <w:r w:rsidRPr="000977F7">
        <w:rPr>
          <w:rFonts w:asciiTheme="majorHAnsi" w:hAnsiTheme="majorHAnsi"/>
          <w:sz w:val="20"/>
          <w:szCs w:val="20"/>
        </w:rPr>
        <w:t>інтервалу</w:t>
      </w:r>
      <w:r w:rsidRPr="004D2D14">
        <w:rPr>
          <w:rFonts w:asciiTheme="majorHAnsi" w:hAnsiTheme="majorHAnsi"/>
          <w:sz w:val="20"/>
          <w:szCs w:val="20"/>
          <w:lang w:val="en-US"/>
        </w:rPr>
        <w:t xml:space="preserve"> </w:t>
      </w:r>
      <w:r w:rsidRPr="000977F7">
        <w:rPr>
          <w:rFonts w:asciiTheme="majorHAnsi" w:hAnsiTheme="majorHAnsi"/>
          <w:sz w:val="20"/>
          <w:szCs w:val="20"/>
        </w:rPr>
        <w:t>між</w:t>
      </w:r>
      <w:r w:rsidRPr="004D2D14">
        <w:rPr>
          <w:rFonts w:asciiTheme="majorHAnsi" w:hAnsiTheme="majorHAnsi"/>
          <w:sz w:val="20"/>
          <w:szCs w:val="20"/>
          <w:lang w:val="en-US"/>
        </w:rPr>
        <w:t xml:space="preserve"> </w:t>
      </w:r>
      <w:r w:rsidRPr="000977F7">
        <w:rPr>
          <w:rFonts w:asciiTheme="majorHAnsi" w:hAnsiTheme="majorHAnsi"/>
          <w:sz w:val="20"/>
          <w:szCs w:val="20"/>
        </w:rPr>
        <w:t>імпульсами</w:t>
      </w:r>
      <w:r w:rsidRPr="004D2D14">
        <w:rPr>
          <w:rFonts w:asciiTheme="majorHAnsi" w:hAnsiTheme="majorHAnsi"/>
          <w:spacing w:val="-2"/>
          <w:sz w:val="20"/>
          <w:szCs w:val="20"/>
          <w:lang w:val="en-US"/>
        </w:rPr>
        <w:t xml:space="preserve"> </w:t>
      </w:r>
      <w:r w:rsidRPr="000977F7">
        <w:rPr>
          <w:rFonts w:asciiTheme="majorHAnsi" w:hAnsiTheme="majorHAnsi"/>
          <w:sz w:val="20"/>
          <w:szCs w:val="20"/>
        </w:rPr>
        <w:t>або</w:t>
      </w:r>
      <w:r w:rsidRPr="004D2D14">
        <w:rPr>
          <w:rFonts w:asciiTheme="majorHAnsi" w:hAnsiTheme="majorHAnsi"/>
          <w:spacing w:val="1"/>
          <w:sz w:val="20"/>
          <w:szCs w:val="20"/>
          <w:lang w:val="en-US"/>
        </w:rPr>
        <w:t xml:space="preserve"> </w:t>
      </w:r>
      <w:r w:rsidRPr="000977F7">
        <w:rPr>
          <w:rFonts w:asciiTheme="majorHAnsi" w:hAnsiTheme="majorHAnsi"/>
          <w:sz w:val="20"/>
          <w:szCs w:val="20"/>
        </w:rPr>
        <w:t>до</w:t>
      </w:r>
      <w:r w:rsidRPr="004D2D14">
        <w:rPr>
          <w:rFonts w:asciiTheme="majorHAnsi" w:hAnsiTheme="majorHAnsi"/>
          <w:sz w:val="20"/>
          <w:szCs w:val="20"/>
          <w:lang w:val="en-US"/>
        </w:rPr>
        <w:t xml:space="preserve"> </w:t>
      </w:r>
      <w:r w:rsidRPr="000977F7">
        <w:rPr>
          <w:rFonts w:asciiTheme="majorHAnsi" w:hAnsiTheme="majorHAnsi"/>
          <w:sz w:val="20"/>
          <w:szCs w:val="20"/>
        </w:rPr>
        <w:t>тривалості</w:t>
      </w:r>
      <w:r w:rsidRPr="004D2D14">
        <w:rPr>
          <w:rFonts w:asciiTheme="majorHAnsi" w:hAnsiTheme="majorHAnsi"/>
          <w:spacing w:val="-2"/>
          <w:sz w:val="20"/>
          <w:szCs w:val="20"/>
          <w:lang w:val="en-US"/>
        </w:rPr>
        <w:t xml:space="preserve"> </w:t>
      </w:r>
      <w:r w:rsidRPr="000977F7">
        <w:rPr>
          <w:rFonts w:asciiTheme="majorHAnsi" w:hAnsiTheme="majorHAnsi"/>
          <w:sz w:val="20"/>
          <w:szCs w:val="20"/>
        </w:rPr>
        <w:t>періоду</w:t>
      </w:r>
      <w:r w:rsidRPr="004D2D14">
        <w:rPr>
          <w:rFonts w:asciiTheme="majorHAnsi" w:hAnsiTheme="majorHAnsi"/>
          <w:spacing w:val="-4"/>
          <w:sz w:val="20"/>
          <w:szCs w:val="20"/>
          <w:lang w:val="en-US"/>
        </w:rPr>
        <w:t xml:space="preserve"> </w:t>
      </w:r>
      <w:r w:rsidRPr="000977F7">
        <w:rPr>
          <w:rFonts w:asciiTheme="majorHAnsi" w:hAnsiTheme="majorHAnsi"/>
          <w:sz w:val="20"/>
          <w:szCs w:val="20"/>
        </w:rPr>
        <w:t>імпульсів</w:t>
      </w:r>
    </w:p>
    <w:p w14:paraId="4C7C1EAB"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3956 - 2000</w:t>
      </w:r>
    </w:p>
    <w:p w14:paraId="50B16042" w14:textId="77777777" w:rsidR="0097612F" w:rsidRPr="000977F7" w:rsidRDefault="0097612F" w:rsidP="000977F7">
      <w:pPr>
        <w:pStyle w:val="7"/>
        <w:tabs>
          <w:tab w:val="left" w:pos="284"/>
        </w:tabs>
        <w:spacing w:before="0" w:line="240" w:lineRule="auto"/>
        <w:ind w:left="170"/>
        <w:mirrorIndents/>
        <w:jc w:val="both"/>
        <w:rPr>
          <w:color w:val="auto"/>
          <w:spacing w:val="-47"/>
          <w:sz w:val="20"/>
          <w:szCs w:val="20"/>
        </w:rPr>
      </w:pPr>
      <w:r w:rsidRPr="000977F7">
        <w:rPr>
          <w:color w:val="auto"/>
          <w:spacing w:val="-1"/>
          <w:sz w:val="20"/>
          <w:szCs w:val="20"/>
        </w:rPr>
        <w:t xml:space="preserve">ШИРОКОСМУГОВІ </w:t>
      </w:r>
      <w:r w:rsidRPr="000977F7">
        <w:rPr>
          <w:color w:val="auto"/>
          <w:sz w:val="20"/>
          <w:szCs w:val="20"/>
        </w:rPr>
        <w:t>ВИПАДКОВІ</w:t>
      </w:r>
      <w:r w:rsidRPr="000977F7">
        <w:rPr>
          <w:color w:val="auto"/>
          <w:spacing w:val="-47"/>
          <w:sz w:val="20"/>
          <w:szCs w:val="20"/>
        </w:rPr>
        <w:t xml:space="preserve"> </w:t>
      </w:r>
    </w:p>
    <w:p w14:paraId="3FC6B186"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КОЛИВАННЯ -</w:t>
      </w:r>
    </w:p>
    <w:p w14:paraId="44952A9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BROAD-BAND</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RANDOM</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VIBRATION –</w:t>
      </w:r>
    </w:p>
    <w:p w14:paraId="298F8C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Випадкові</w:t>
      </w:r>
      <w:r w:rsidRPr="000977F7">
        <w:rPr>
          <w:rFonts w:asciiTheme="majorHAnsi" w:hAnsiTheme="majorHAnsi"/>
          <w:spacing w:val="1"/>
          <w:sz w:val="20"/>
          <w:szCs w:val="20"/>
        </w:rPr>
        <w:t xml:space="preserve"> </w:t>
      </w:r>
      <w:r w:rsidRPr="000977F7">
        <w:rPr>
          <w:rFonts w:asciiTheme="majorHAnsi" w:hAnsiTheme="majorHAnsi"/>
          <w:sz w:val="20"/>
          <w:szCs w:val="20"/>
        </w:rPr>
        <w:t>коливання,</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яких</w:t>
      </w:r>
      <w:r w:rsidRPr="000977F7">
        <w:rPr>
          <w:rFonts w:asciiTheme="majorHAnsi" w:hAnsiTheme="majorHAnsi"/>
          <w:spacing w:val="1"/>
          <w:sz w:val="20"/>
          <w:szCs w:val="20"/>
        </w:rPr>
        <w:t xml:space="preserve"> </w:t>
      </w:r>
      <w:r w:rsidRPr="000977F7">
        <w:rPr>
          <w:rFonts w:asciiTheme="majorHAnsi" w:hAnsiTheme="majorHAnsi"/>
          <w:sz w:val="20"/>
          <w:szCs w:val="20"/>
        </w:rPr>
        <w:t>характерна</w:t>
      </w:r>
      <w:r w:rsidRPr="000977F7">
        <w:rPr>
          <w:rFonts w:asciiTheme="majorHAnsi" w:hAnsiTheme="majorHAnsi"/>
          <w:spacing w:val="1"/>
          <w:sz w:val="20"/>
          <w:szCs w:val="20"/>
        </w:rPr>
        <w:t xml:space="preserve"> </w:t>
      </w:r>
      <w:r w:rsidRPr="000977F7">
        <w:rPr>
          <w:rFonts w:asciiTheme="majorHAnsi" w:hAnsiTheme="majorHAnsi"/>
          <w:sz w:val="20"/>
          <w:szCs w:val="20"/>
        </w:rPr>
        <w:t>широка</w:t>
      </w:r>
      <w:r w:rsidRPr="000977F7">
        <w:rPr>
          <w:rFonts w:asciiTheme="majorHAnsi" w:hAnsiTheme="majorHAnsi"/>
          <w:spacing w:val="1"/>
          <w:sz w:val="20"/>
          <w:szCs w:val="20"/>
        </w:rPr>
        <w:t xml:space="preserve"> </w:t>
      </w:r>
      <w:r w:rsidRPr="000977F7">
        <w:rPr>
          <w:rFonts w:asciiTheme="majorHAnsi" w:hAnsiTheme="majorHAnsi"/>
          <w:sz w:val="20"/>
          <w:szCs w:val="20"/>
        </w:rPr>
        <w:t>смуга</w:t>
      </w:r>
      <w:r w:rsidRPr="000977F7">
        <w:rPr>
          <w:rFonts w:asciiTheme="majorHAnsi" w:hAnsiTheme="majorHAnsi"/>
          <w:spacing w:val="-1"/>
          <w:sz w:val="20"/>
          <w:szCs w:val="20"/>
        </w:rPr>
        <w:t xml:space="preserve"> </w:t>
      </w:r>
      <w:r w:rsidRPr="000977F7">
        <w:rPr>
          <w:rFonts w:asciiTheme="majorHAnsi" w:hAnsiTheme="majorHAnsi"/>
          <w:sz w:val="20"/>
          <w:szCs w:val="20"/>
        </w:rPr>
        <w:t>частот</w:t>
      </w:r>
    </w:p>
    <w:p w14:paraId="0302FE0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 2473 – 94</w:t>
      </w:r>
    </w:p>
    <w:p w14:paraId="24D77F60" w14:textId="77777777" w:rsidR="0097612F" w:rsidRPr="000977F7" w:rsidRDefault="0097612F" w:rsidP="000977F7">
      <w:pPr>
        <w:tabs>
          <w:tab w:val="left" w:pos="284"/>
        </w:tabs>
        <w:spacing w:after="0" w:line="240" w:lineRule="auto"/>
        <w:ind w:left="170"/>
        <w:mirrorIndents/>
        <w:jc w:val="both"/>
        <w:rPr>
          <w:rFonts w:asciiTheme="majorHAnsi" w:hAnsiTheme="majorHAnsi"/>
          <w:b/>
          <w:spacing w:val="1"/>
          <w:sz w:val="20"/>
          <w:szCs w:val="20"/>
        </w:rPr>
      </w:pPr>
      <w:r w:rsidRPr="000977F7">
        <w:rPr>
          <w:rFonts w:asciiTheme="majorHAnsi" w:hAnsiTheme="majorHAnsi"/>
          <w:i/>
          <w:spacing w:val="-47"/>
          <w:sz w:val="20"/>
          <w:szCs w:val="20"/>
        </w:rPr>
        <w:t xml:space="preserve"> </w:t>
      </w:r>
      <w:r w:rsidRPr="000977F7">
        <w:rPr>
          <w:rFonts w:asciiTheme="majorHAnsi" w:hAnsiTheme="majorHAnsi"/>
          <w:b/>
          <w:sz w:val="20"/>
          <w:szCs w:val="20"/>
        </w:rPr>
        <w:t>ШКАЛА –</w:t>
      </w:r>
      <w:r w:rsidRPr="000977F7">
        <w:rPr>
          <w:rFonts w:asciiTheme="majorHAnsi" w:hAnsiTheme="majorHAnsi"/>
          <w:b/>
          <w:spacing w:val="1"/>
          <w:sz w:val="20"/>
          <w:szCs w:val="20"/>
        </w:rPr>
        <w:t xml:space="preserve"> </w:t>
      </w:r>
    </w:p>
    <w:p w14:paraId="7A3E47E3"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SCALE –</w:t>
      </w:r>
    </w:p>
    <w:p w14:paraId="4258C14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Частина показувального приладу у вигляді впорядкованої сукупності позначок разом із пов’язаною з нею</w:t>
      </w:r>
      <w:r w:rsidRPr="000977F7">
        <w:rPr>
          <w:rFonts w:asciiTheme="majorHAnsi" w:hAnsiTheme="majorHAnsi"/>
          <w:spacing w:val="1"/>
          <w:sz w:val="20"/>
          <w:szCs w:val="20"/>
        </w:rPr>
        <w:t xml:space="preserve"> </w:t>
      </w:r>
      <w:r w:rsidRPr="000977F7">
        <w:rPr>
          <w:rFonts w:asciiTheme="majorHAnsi" w:hAnsiTheme="majorHAnsi"/>
          <w:sz w:val="20"/>
          <w:szCs w:val="20"/>
        </w:rPr>
        <w:t>певною</w:t>
      </w:r>
      <w:r w:rsidRPr="000977F7">
        <w:rPr>
          <w:rFonts w:asciiTheme="majorHAnsi" w:hAnsiTheme="majorHAnsi"/>
          <w:spacing w:val="-1"/>
          <w:sz w:val="20"/>
          <w:szCs w:val="20"/>
        </w:rPr>
        <w:t xml:space="preserve"> </w:t>
      </w:r>
      <w:r w:rsidRPr="000977F7">
        <w:rPr>
          <w:rFonts w:asciiTheme="majorHAnsi" w:hAnsiTheme="majorHAnsi"/>
          <w:sz w:val="20"/>
          <w:szCs w:val="20"/>
        </w:rPr>
        <w:t>послідовністю чисел</w:t>
      </w:r>
    </w:p>
    <w:p w14:paraId="61FBBDB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2681</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1A94E0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ШКАЛА</w:t>
      </w:r>
      <w:r w:rsidRPr="000977F7">
        <w:rPr>
          <w:color w:val="auto"/>
          <w:spacing w:val="-2"/>
          <w:sz w:val="20"/>
          <w:szCs w:val="20"/>
        </w:rPr>
        <w:t xml:space="preserve"> </w:t>
      </w:r>
      <w:r w:rsidRPr="000977F7">
        <w:rPr>
          <w:color w:val="auto"/>
          <w:sz w:val="20"/>
          <w:szCs w:val="20"/>
        </w:rPr>
        <w:t>КОРОЗІЙНОЇ</w:t>
      </w:r>
      <w:r w:rsidRPr="000977F7">
        <w:rPr>
          <w:color w:val="auto"/>
          <w:spacing w:val="-4"/>
          <w:sz w:val="20"/>
          <w:szCs w:val="20"/>
        </w:rPr>
        <w:t xml:space="preserve"> </w:t>
      </w:r>
      <w:r w:rsidRPr="000977F7">
        <w:rPr>
          <w:color w:val="auto"/>
          <w:sz w:val="20"/>
          <w:szCs w:val="20"/>
        </w:rPr>
        <w:t>ТРИВКОСТІ</w:t>
      </w:r>
      <w:r w:rsidRPr="000977F7">
        <w:rPr>
          <w:color w:val="auto"/>
          <w:spacing w:val="-4"/>
          <w:sz w:val="20"/>
          <w:szCs w:val="20"/>
        </w:rPr>
        <w:t xml:space="preserve"> </w:t>
      </w:r>
      <w:r w:rsidRPr="000977F7">
        <w:rPr>
          <w:color w:val="auto"/>
          <w:sz w:val="20"/>
          <w:szCs w:val="20"/>
        </w:rPr>
        <w:t>–</w:t>
      </w:r>
    </w:p>
    <w:p w14:paraId="272224E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Шкала, призначена для якісної і кількісної оцінки корозійної</w:t>
      </w:r>
      <w:r w:rsidRPr="000977F7">
        <w:rPr>
          <w:rFonts w:asciiTheme="majorHAnsi" w:hAnsiTheme="majorHAnsi"/>
          <w:spacing w:val="-2"/>
          <w:sz w:val="20"/>
          <w:szCs w:val="20"/>
        </w:rPr>
        <w:t xml:space="preserve"> </w:t>
      </w:r>
      <w:r w:rsidRPr="000977F7">
        <w:rPr>
          <w:rFonts w:asciiTheme="majorHAnsi" w:hAnsiTheme="majorHAnsi"/>
          <w:sz w:val="20"/>
          <w:szCs w:val="20"/>
        </w:rPr>
        <w:t>тривкості</w:t>
      </w:r>
      <w:r w:rsidRPr="000977F7">
        <w:rPr>
          <w:rFonts w:asciiTheme="majorHAnsi" w:hAnsiTheme="majorHAnsi"/>
          <w:spacing w:val="-2"/>
          <w:sz w:val="20"/>
          <w:szCs w:val="20"/>
        </w:rPr>
        <w:t xml:space="preserve"> </w:t>
      </w:r>
      <w:r w:rsidRPr="000977F7">
        <w:rPr>
          <w:rFonts w:asciiTheme="majorHAnsi" w:hAnsiTheme="majorHAnsi"/>
          <w:sz w:val="20"/>
          <w:szCs w:val="20"/>
        </w:rPr>
        <w:t>металу</w:t>
      </w:r>
      <w:r w:rsidRPr="000977F7">
        <w:rPr>
          <w:rFonts w:asciiTheme="majorHAnsi" w:hAnsiTheme="majorHAnsi"/>
          <w:spacing w:val="-3"/>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конкретних</w:t>
      </w:r>
      <w:r w:rsidRPr="000977F7">
        <w:rPr>
          <w:rFonts w:asciiTheme="majorHAnsi" w:hAnsiTheme="majorHAnsi"/>
          <w:spacing w:val="1"/>
          <w:sz w:val="20"/>
          <w:szCs w:val="20"/>
        </w:rPr>
        <w:t xml:space="preserve"> </w:t>
      </w:r>
      <w:r w:rsidRPr="000977F7">
        <w:rPr>
          <w:rFonts w:asciiTheme="majorHAnsi" w:hAnsiTheme="majorHAnsi"/>
          <w:sz w:val="20"/>
          <w:szCs w:val="20"/>
        </w:rPr>
        <w:t>умовах</w:t>
      </w:r>
    </w:p>
    <w:p w14:paraId="63EE6FA8"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3830 - 98</w:t>
      </w:r>
    </w:p>
    <w:p w14:paraId="4D3E73A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ШКАЛА</w:t>
      </w:r>
      <w:r w:rsidRPr="000977F7">
        <w:rPr>
          <w:color w:val="auto"/>
          <w:spacing w:val="-1"/>
          <w:sz w:val="20"/>
          <w:szCs w:val="20"/>
        </w:rPr>
        <w:t xml:space="preserve"> </w:t>
      </w:r>
      <w:r w:rsidRPr="000977F7">
        <w:rPr>
          <w:color w:val="auto"/>
          <w:sz w:val="20"/>
          <w:szCs w:val="20"/>
        </w:rPr>
        <w:t>ФІЗИЧНОЇ</w:t>
      </w:r>
      <w:r w:rsidRPr="000977F7">
        <w:rPr>
          <w:color w:val="auto"/>
          <w:spacing w:val="-4"/>
          <w:sz w:val="20"/>
          <w:szCs w:val="20"/>
        </w:rPr>
        <w:t xml:space="preserve"> </w:t>
      </w:r>
      <w:r w:rsidRPr="000977F7">
        <w:rPr>
          <w:color w:val="auto"/>
          <w:sz w:val="20"/>
          <w:szCs w:val="20"/>
        </w:rPr>
        <w:t>ВЕЛИЧИНИ</w:t>
      </w:r>
      <w:r w:rsidRPr="000977F7">
        <w:rPr>
          <w:color w:val="auto"/>
          <w:spacing w:val="1"/>
          <w:sz w:val="20"/>
          <w:szCs w:val="20"/>
        </w:rPr>
        <w:t xml:space="preserve"> </w:t>
      </w:r>
      <w:r w:rsidRPr="000977F7">
        <w:rPr>
          <w:color w:val="auto"/>
          <w:sz w:val="20"/>
          <w:szCs w:val="20"/>
        </w:rPr>
        <w:t>–</w:t>
      </w:r>
    </w:p>
    <w:p w14:paraId="6FE7653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REFERENCE-VALUE SCALE OF A QUANTITY OR</w:t>
      </w:r>
      <w:r w:rsidRPr="004D2D14">
        <w:rPr>
          <w:rFonts w:asciiTheme="majorHAnsi" w:hAnsiTheme="majorHAnsi"/>
          <w:spacing w:val="-48"/>
          <w:sz w:val="20"/>
          <w:szCs w:val="20"/>
          <w:lang w:val="en-US"/>
        </w:rPr>
        <w:t xml:space="preserve"> </w:t>
      </w:r>
      <w:r w:rsidRPr="004D2D14">
        <w:rPr>
          <w:rFonts w:asciiTheme="majorHAnsi" w:hAnsiTheme="majorHAnsi"/>
          <w:sz w:val="20"/>
          <w:szCs w:val="20"/>
          <w:lang w:val="en-US"/>
        </w:rPr>
        <w:t>PROPERTY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p w14:paraId="1B220A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Послідовний ряд значень однорідних фізичних величин, які присвоєні цим величинам відповідно до узгоджених</w:t>
      </w:r>
      <w:r w:rsidRPr="000977F7">
        <w:rPr>
          <w:rFonts w:asciiTheme="majorHAnsi" w:hAnsiTheme="majorHAnsi"/>
          <w:spacing w:val="-2"/>
          <w:sz w:val="20"/>
          <w:szCs w:val="20"/>
        </w:rPr>
        <w:t xml:space="preserve"> </w:t>
      </w:r>
      <w:r w:rsidRPr="000977F7">
        <w:rPr>
          <w:rFonts w:asciiTheme="majorHAnsi" w:hAnsiTheme="majorHAnsi"/>
          <w:sz w:val="20"/>
          <w:szCs w:val="20"/>
        </w:rPr>
        <w:t>правил</w:t>
      </w:r>
    </w:p>
    <w:p w14:paraId="03F3FAC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л</w:t>
      </w:r>
      <w:r w:rsidRPr="000977F7">
        <w:rPr>
          <w:rFonts w:asciiTheme="majorHAnsi" w:hAnsiTheme="majorHAnsi"/>
          <w:spacing w:val="-1"/>
          <w:sz w:val="20"/>
          <w:szCs w:val="20"/>
        </w:rPr>
        <w:t xml:space="preserve"> </w:t>
      </w:r>
      <w:r w:rsidRPr="000977F7">
        <w:rPr>
          <w:rFonts w:asciiTheme="majorHAnsi" w:hAnsiTheme="majorHAnsi"/>
          <w:sz w:val="20"/>
          <w:szCs w:val="20"/>
        </w:rPr>
        <w:t>а</w:t>
      </w:r>
      <w:r w:rsidRPr="000977F7">
        <w:rPr>
          <w:rFonts w:asciiTheme="majorHAnsi" w:hAnsiTheme="majorHAnsi"/>
          <w:spacing w:val="-1"/>
          <w:sz w:val="20"/>
          <w:szCs w:val="20"/>
        </w:rPr>
        <w:t xml:space="preserve"> </w:t>
      </w:r>
      <w:r w:rsidRPr="000977F7">
        <w:rPr>
          <w:rFonts w:asciiTheme="majorHAnsi" w:hAnsiTheme="majorHAnsi"/>
          <w:sz w:val="20"/>
          <w:szCs w:val="20"/>
        </w:rPr>
        <w:t>д</w:t>
      </w:r>
      <w:r w:rsidRPr="000977F7">
        <w:rPr>
          <w:rFonts w:asciiTheme="majorHAnsi" w:hAnsiTheme="majorHAnsi"/>
          <w:spacing w:val="-1"/>
          <w:sz w:val="20"/>
          <w:szCs w:val="20"/>
        </w:rPr>
        <w:t xml:space="preserve"> </w:t>
      </w:r>
      <w:r w:rsidRPr="000977F7">
        <w:rPr>
          <w:rFonts w:asciiTheme="majorHAnsi" w:hAnsiTheme="majorHAnsi"/>
          <w:sz w:val="20"/>
          <w:szCs w:val="20"/>
        </w:rPr>
        <w:t>и:</w:t>
      </w:r>
    </w:p>
    <w:p w14:paraId="41E8AD9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Міжнародна</w:t>
      </w:r>
      <w:r w:rsidRPr="000977F7">
        <w:rPr>
          <w:rFonts w:asciiTheme="majorHAnsi" w:hAnsiTheme="majorHAnsi"/>
          <w:spacing w:val="1"/>
          <w:sz w:val="20"/>
          <w:szCs w:val="20"/>
        </w:rPr>
        <w:t xml:space="preserve"> </w:t>
      </w:r>
      <w:r w:rsidRPr="000977F7">
        <w:rPr>
          <w:rFonts w:asciiTheme="majorHAnsi" w:hAnsiTheme="majorHAnsi"/>
          <w:sz w:val="20"/>
          <w:szCs w:val="20"/>
        </w:rPr>
        <w:t>практична</w:t>
      </w:r>
      <w:r w:rsidRPr="000977F7">
        <w:rPr>
          <w:rFonts w:asciiTheme="majorHAnsi" w:hAnsiTheme="majorHAnsi"/>
          <w:spacing w:val="1"/>
          <w:sz w:val="20"/>
          <w:szCs w:val="20"/>
        </w:rPr>
        <w:t xml:space="preserve"> </w:t>
      </w:r>
      <w:r w:rsidRPr="000977F7">
        <w:rPr>
          <w:rFonts w:asciiTheme="majorHAnsi" w:hAnsiTheme="majorHAnsi"/>
          <w:sz w:val="20"/>
          <w:szCs w:val="20"/>
        </w:rPr>
        <w:t>температурна</w:t>
      </w:r>
      <w:r w:rsidRPr="000977F7">
        <w:rPr>
          <w:rFonts w:asciiTheme="majorHAnsi" w:hAnsiTheme="majorHAnsi"/>
          <w:spacing w:val="1"/>
          <w:sz w:val="20"/>
          <w:szCs w:val="20"/>
        </w:rPr>
        <w:t xml:space="preserve"> </w:t>
      </w:r>
      <w:r w:rsidRPr="000977F7">
        <w:rPr>
          <w:rFonts w:asciiTheme="majorHAnsi" w:hAnsiTheme="majorHAnsi"/>
          <w:sz w:val="20"/>
          <w:szCs w:val="20"/>
        </w:rPr>
        <w:t>шкала,</w:t>
      </w:r>
      <w:r w:rsidRPr="000977F7">
        <w:rPr>
          <w:rFonts w:asciiTheme="majorHAnsi" w:hAnsiTheme="majorHAnsi"/>
          <w:spacing w:val="1"/>
          <w:sz w:val="20"/>
          <w:szCs w:val="20"/>
        </w:rPr>
        <w:t xml:space="preserve"> </w:t>
      </w:r>
      <w:r w:rsidRPr="000977F7">
        <w:rPr>
          <w:rFonts w:asciiTheme="majorHAnsi" w:hAnsiTheme="majorHAnsi"/>
          <w:sz w:val="20"/>
          <w:szCs w:val="20"/>
        </w:rPr>
        <w:t>шкала</w:t>
      </w:r>
      <w:r w:rsidRPr="000977F7">
        <w:rPr>
          <w:rFonts w:asciiTheme="majorHAnsi" w:hAnsiTheme="majorHAnsi"/>
          <w:spacing w:val="1"/>
          <w:sz w:val="20"/>
          <w:szCs w:val="20"/>
        </w:rPr>
        <w:t xml:space="preserve"> </w:t>
      </w:r>
      <w:r w:rsidRPr="000977F7">
        <w:rPr>
          <w:rFonts w:asciiTheme="majorHAnsi" w:hAnsiTheme="majorHAnsi"/>
          <w:sz w:val="20"/>
          <w:szCs w:val="20"/>
        </w:rPr>
        <w:t>міцності</w:t>
      </w:r>
    </w:p>
    <w:p w14:paraId="16573E2A"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2681</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94</w:t>
      </w:r>
    </w:p>
    <w:p w14:paraId="2BF8845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ШКІДЛИВА</w:t>
      </w:r>
      <w:r w:rsidRPr="000977F7">
        <w:rPr>
          <w:color w:val="auto"/>
          <w:spacing w:val="-3"/>
          <w:sz w:val="20"/>
          <w:szCs w:val="20"/>
        </w:rPr>
        <w:t xml:space="preserve"> </w:t>
      </w:r>
      <w:r w:rsidRPr="000977F7">
        <w:rPr>
          <w:color w:val="auto"/>
          <w:sz w:val="20"/>
          <w:szCs w:val="20"/>
        </w:rPr>
        <w:t>РЕЧОВИНА –</w:t>
      </w:r>
    </w:p>
    <w:p w14:paraId="77FA929D"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HARMFUL</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SUBSTANCE –</w:t>
      </w:r>
    </w:p>
    <w:p w14:paraId="62D77F0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Речовина,</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контактуючи</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організмом</w:t>
      </w:r>
      <w:r w:rsidRPr="000977F7">
        <w:rPr>
          <w:rFonts w:asciiTheme="majorHAnsi" w:hAnsiTheme="majorHAnsi"/>
          <w:spacing w:val="1"/>
          <w:sz w:val="20"/>
          <w:szCs w:val="20"/>
        </w:rPr>
        <w:t xml:space="preserve"> </w:t>
      </w:r>
      <w:r w:rsidRPr="000977F7">
        <w:rPr>
          <w:rFonts w:asciiTheme="majorHAnsi" w:hAnsiTheme="majorHAnsi"/>
          <w:sz w:val="20"/>
          <w:szCs w:val="20"/>
        </w:rPr>
        <w:t>людини,</w:t>
      </w:r>
      <w:r w:rsidRPr="000977F7">
        <w:rPr>
          <w:rFonts w:asciiTheme="majorHAnsi" w:hAnsiTheme="majorHAnsi"/>
          <w:spacing w:val="1"/>
          <w:sz w:val="20"/>
          <w:szCs w:val="20"/>
        </w:rPr>
        <w:t xml:space="preserve"> </w:t>
      </w:r>
      <w:r w:rsidRPr="000977F7">
        <w:rPr>
          <w:rFonts w:asciiTheme="majorHAnsi" w:hAnsiTheme="majorHAnsi"/>
          <w:sz w:val="20"/>
          <w:szCs w:val="20"/>
        </w:rPr>
        <w:t>може викликати захворювання чи відхилення у стані</w:t>
      </w:r>
      <w:r w:rsidRPr="000977F7">
        <w:rPr>
          <w:rFonts w:asciiTheme="majorHAnsi" w:hAnsiTheme="majorHAnsi"/>
          <w:spacing w:val="1"/>
          <w:sz w:val="20"/>
          <w:szCs w:val="20"/>
        </w:rPr>
        <w:t xml:space="preserve"> </w:t>
      </w:r>
      <w:r w:rsidRPr="000977F7">
        <w:rPr>
          <w:rFonts w:asciiTheme="majorHAnsi" w:hAnsiTheme="majorHAnsi"/>
          <w:sz w:val="20"/>
          <w:szCs w:val="20"/>
        </w:rPr>
        <w:t>здоров’я як під час впливу речовини, так і в подальший</w:t>
      </w:r>
      <w:r w:rsidRPr="000977F7">
        <w:rPr>
          <w:rFonts w:asciiTheme="majorHAnsi" w:hAnsiTheme="majorHAnsi"/>
          <w:spacing w:val="1"/>
          <w:sz w:val="20"/>
          <w:szCs w:val="20"/>
        </w:rPr>
        <w:t xml:space="preserve"> </w:t>
      </w:r>
      <w:r w:rsidRPr="000977F7">
        <w:rPr>
          <w:rFonts w:asciiTheme="majorHAnsi" w:hAnsiTheme="majorHAnsi"/>
          <w:sz w:val="20"/>
          <w:szCs w:val="20"/>
        </w:rPr>
        <w:t>період</w:t>
      </w:r>
      <w:r w:rsidRPr="000977F7">
        <w:rPr>
          <w:rFonts w:asciiTheme="majorHAnsi" w:hAnsiTheme="majorHAnsi"/>
          <w:spacing w:val="1"/>
          <w:sz w:val="20"/>
          <w:szCs w:val="20"/>
        </w:rPr>
        <w:t xml:space="preserve"> </w:t>
      </w:r>
      <w:r w:rsidRPr="000977F7">
        <w:rPr>
          <w:rFonts w:asciiTheme="majorHAnsi" w:hAnsiTheme="majorHAnsi"/>
          <w:sz w:val="20"/>
          <w:szCs w:val="20"/>
        </w:rPr>
        <w:t>життя,</w:t>
      </w:r>
      <w:r w:rsidRPr="000977F7">
        <w:rPr>
          <w:rFonts w:asciiTheme="majorHAnsi" w:hAnsiTheme="majorHAnsi"/>
          <w:spacing w:val="1"/>
          <w:sz w:val="20"/>
          <w:szCs w:val="20"/>
        </w:rPr>
        <w:t xml:space="preserve"> </w:t>
      </w:r>
      <w:r w:rsidRPr="000977F7">
        <w:rPr>
          <w:rFonts w:asciiTheme="majorHAnsi" w:hAnsiTheme="majorHAnsi"/>
          <w:sz w:val="20"/>
          <w:szCs w:val="20"/>
        </w:rPr>
        <w:t>теперішнього</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наступного</w:t>
      </w:r>
      <w:r w:rsidRPr="000977F7">
        <w:rPr>
          <w:rFonts w:asciiTheme="majorHAnsi" w:hAnsiTheme="majorHAnsi"/>
          <w:spacing w:val="1"/>
          <w:sz w:val="20"/>
          <w:szCs w:val="20"/>
        </w:rPr>
        <w:t xml:space="preserve"> </w:t>
      </w:r>
      <w:r w:rsidRPr="000977F7">
        <w:rPr>
          <w:rFonts w:asciiTheme="majorHAnsi" w:hAnsiTheme="majorHAnsi"/>
          <w:sz w:val="20"/>
          <w:szCs w:val="20"/>
        </w:rPr>
        <w:t>поколінь</w:t>
      </w:r>
    </w:p>
    <w:p w14:paraId="00312243" w14:textId="77777777" w:rsidR="0097612F" w:rsidRPr="004D2D14" w:rsidRDefault="0097612F" w:rsidP="000977F7">
      <w:pPr>
        <w:tabs>
          <w:tab w:val="left" w:pos="284"/>
        </w:tabs>
        <w:spacing w:after="0" w:line="240" w:lineRule="auto"/>
        <w:ind w:left="170"/>
        <w:mirrorIndents/>
        <w:jc w:val="both"/>
        <w:rPr>
          <w:rFonts w:asciiTheme="majorHAnsi" w:hAnsiTheme="majorHAnsi"/>
          <w:b/>
          <w:spacing w:val="1"/>
          <w:sz w:val="20"/>
          <w:szCs w:val="20"/>
          <w:lang w:val="en-US"/>
        </w:rPr>
      </w:pPr>
      <w:r w:rsidRPr="000977F7">
        <w:rPr>
          <w:rFonts w:asciiTheme="majorHAnsi" w:hAnsiTheme="majorHAnsi"/>
          <w:i/>
          <w:sz w:val="20"/>
          <w:szCs w:val="20"/>
        </w:rPr>
        <w:t>ДСТУ</w:t>
      </w:r>
      <w:r w:rsidRPr="004D2D14">
        <w:rPr>
          <w:rFonts w:asciiTheme="majorHAnsi" w:hAnsiTheme="majorHAnsi"/>
          <w:i/>
          <w:sz w:val="20"/>
          <w:szCs w:val="20"/>
          <w:lang w:val="en-US"/>
        </w:rPr>
        <w:t xml:space="preserve"> 2293:2014; </w:t>
      </w:r>
      <w:r w:rsidRPr="000977F7">
        <w:rPr>
          <w:rFonts w:asciiTheme="majorHAnsi" w:hAnsiTheme="majorHAnsi"/>
          <w:i/>
          <w:sz w:val="20"/>
          <w:szCs w:val="20"/>
        </w:rPr>
        <w:t>ДСТУ</w:t>
      </w:r>
      <w:r w:rsidRPr="004D2D14">
        <w:rPr>
          <w:rFonts w:asciiTheme="majorHAnsi" w:hAnsiTheme="majorHAnsi"/>
          <w:i/>
          <w:sz w:val="20"/>
          <w:szCs w:val="20"/>
          <w:lang w:val="en-US"/>
        </w:rPr>
        <w:t xml:space="preserve"> 3038 – 95</w:t>
      </w:r>
      <w:r w:rsidRPr="004D2D14">
        <w:rPr>
          <w:rFonts w:asciiTheme="majorHAnsi" w:hAnsiTheme="majorHAnsi"/>
          <w:i/>
          <w:spacing w:val="-47"/>
          <w:sz w:val="20"/>
          <w:szCs w:val="20"/>
          <w:lang w:val="en-US"/>
        </w:rPr>
        <w:t xml:space="preserve"> </w:t>
      </w:r>
      <w:r w:rsidR="00042C62" w:rsidRPr="004D2D14">
        <w:rPr>
          <w:rFonts w:asciiTheme="majorHAnsi" w:hAnsiTheme="majorHAnsi"/>
          <w:i/>
          <w:spacing w:val="-47"/>
          <w:sz w:val="20"/>
          <w:szCs w:val="20"/>
          <w:lang w:val="en-US"/>
        </w:rPr>
        <w:br w:type="column"/>
      </w:r>
      <w:r w:rsidRPr="000977F7">
        <w:rPr>
          <w:rFonts w:asciiTheme="majorHAnsi" w:hAnsiTheme="majorHAnsi"/>
          <w:b/>
          <w:sz w:val="20"/>
          <w:szCs w:val="20"/>
        </w:rPr>
        <w:lastRenderedPageBreak/>
        <w:t>ШКІДЛИВЕ</w:t>
      </w:r>
      <w:r w:rsidRPr="004D2D14">
        <w:rPr>
          <w:rFonts w:asciiTheme="majorHAnsi" w:hAnsiTheme="majorHAnsi"/>
          <w:b/>
          <w:spacing w:val="-2"/>
          <w:sz w:val="20"/>
          <w:szCs w:val="20"/>
          <w:lang w:val="en-US"/>
        </w:rPr>
        <w:t xml:space="preserve"> </w:t>
      </w:r>
      <w:r w:rsidRPr="000977F7">
        <w:rPr>
          <w:rFonts w:asciiTheme="majorHAnsi" w:hAnsiTheme="majorHAnsi"/>
          <w:b/>
          <w:sz w:val="20"/>
          <w:szCs w:val="20"/>
        </w:rPr>
        <w:t>ДІЯННЯ</w:t>
      </w:r>
      <w:r w:rsidRPr="004D2D14">
        <w:rPr>
          <w:rFonts w:asciiTheme="majorHAnsi" w:hAnsiTheme="majorHAnsi"/>
          <w:b/>
          <w:spacing w:val="2"/>
          <w:sz w:val="20"/>
          <w:szCs w:val="20"/>
          <w:lang w:val="en-US"/>
        </w:rPr>
        <w:t xml:space="preserve"> </w:t>
      </w:r>
      <w:r w:rsidRPr="004D2D14">
        <w:rPr>
          <w:rFonts w:asciiTheme="majorHAnsi" w:hAnsiTheme="majorHAnsi"/>
          <w:b/>
          <w:sz w:val="20"/>
          <w:szCs w:val="20"/>
          <w:lang w:val="en-US"/>
        </w:rPr>
        <w:t>–</w:t>
      </w:r>
      <w:r w:rsidRPr="004D2D14">
        <w:rPr>
          <w:rFonts w:asciiTheme="majorHAnsi" w:hAnsiTheme="majorHAnsi"/>
          <w:b/>
          <w:spacing w:val="1"/>
          <w:sz w:val="20"/>
          <w:szCs w:val="20"/>
          <w:lang w:val="en-US"/>
        </w:rPr>
        <w:t xml:space="preserve"> </w:t>
      </w:r>
    </w:p>
    <w:p w14:paraId="77FC1B56" w14:textId="77777777" w:rsidR="0097612F" w:rsidRPr="004D2D14" w:rsidRDefault="0097612F" w:rsidP="000977F7">
      <w:pPr>
        <w:tabs>
          <w:tab w:val="left" w:pos="284"/>
        </w:tabs>
        <w:spacing w:after="0" w:line="240" w:lineRule="auto"/>
        <w:ind w:left="170"/>
        <w:mirrorIndents/>
        <w:jc w:val="both"/>
        <w:rPr>
          <w:rFonts w:asciiTheme="majorHAnsi" w:hAnsiTheme="majorHAnsi"/>
          <w:sz w:val="20"/>
          <w:szCs w:val="20"/>
          <w:lang w:val="en-US"/>
        </w:rPr>
      </w:pPr>
      <w:r w:rsidRPr="004D2D14">
        <w:rPr>
          <w:rFonts w:asciiTheme="majorHAnsi" w:hAnsiTheme="majorHAnsi"/>
          <w:sz w:val="20"/>
          <w:szCs w:val="20"/>
          <w:lang w:val="en-US"/>
        </w:rPr>
        <w:t>ADVERSE</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EFFECT</w:t>
      </w:r>
      <w:r w:rsidRPr="004D2D14">
        <w:rPr>
          <w:rFonts w:asciiTheme="majorHAnsi" w:hAnsiTheme="majorHAnsi"/>
          <w:spacing w:val="4"/>
          <w:sz w:val="20"/>
          <w:szCs w:val="20"/>
          <w:lang w:val="en-US"/>
        </w:rPr>
        <w:t xml:space="preserve"> </w:t>
      </w:r>
      <w:r w:rsidRPr="004D2D14">
        <w:rPr>
          <w:rFonts w:asciiTheme="majorHAnsi" w:hAnsiTheme="majorHAnsi"/>
          <w:sz w:val="20"/>
          <w:szCs w:val="20"/>
          <w:lang w:val="en-US"/>
        </w:rPr>
        <w:t>–</w:t>
      </w:r>
    </w:p>
    <w:p w14:paraId="1DB1988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Несприятлива для організму людини дія чинників навколишнього середовища</w:t>
      </w:r>
    </w:p>
    <w:p w14:paraId="41350C4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3038 - 95</w:t>
      </w:r>
    </w:p>
    <w:p w14:paraId="2B257B41"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ШКІДЛИВИЙ ВИРОБНИЧИЙ ЧИННИК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57F6369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HARMFUL</w:t>
      </w:r>
      <w:r w:rsidRPr="000977F7">
        <w:rPr>
          <w:rFonts w:asciiTheme="majorHAnsi" w:hAnsiTheme="majorHAnsi"/>
          <w:spacing w:val="-3"/>
          <w:sz w:val="20"/>
          <w:szCs w:val="20"/>
        </w:rPr>
        <w:t xml:space="preserve"> </w:t>
      </w:r>
      <w:r w:rsidRPr="000977F7">
        <w:rPr>
          <w:rFonts w:asciiTheme="majorHAnsi" w:hAnsiTheme="majorHAnsi"/>
          <w:sz w:val="20"/>
          <w:szCs w:val="20"/>
        </w:rPr>
        <w:t>FACTOR –</w:t>
      </w:r>
    </w:p>
    <w:p w14:paraId="1B983D3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Виробничий</w:t>
      </w:r>
      <w:r w:rsidRPr="000977F7">
        <w:rPr>
          <w:rFonts w:asciiTheme="majorHAnsi" w:hAnsiTheme="majorHAnsi"/>
          <w:spacing w:val="12"/>
          <w:sz w:val="20"/>
          <w:szCs w:val="20"/>
        </w:rPr>
        <w:t xml:space="preserve"> </w:t>
      </w:r>
      <w:r w:rsidRPr="000977F7">
        <w:rPr>
          <w:rFonts w:asciiTheme="majorHAnsi" w:hAnsiTheme="majorHAnsi"/>
          <w:sz w:val="20"/>
          <w:szCs w:val="20"/>
        </w:rPr>
        <w:t>чинник,</w:t>
      </w:r>
      <w:r w:rsidRPr="000977F7">
        <w:rPr>
          <w:rFonts w:asciiTheme="majorHAnsi" w:hAnsiTheme="majorHAnsi"/>
          <w:spacing w:val="16"/>
          <w:sz w:val="20"/>
          <w:szCs w:val="20"/>
        </w:rPr>
        <w:t xml:space="preserve"> </w:t>
      </w:r>
      <w:r w:rsidRPr="000977F7">
        <w:rPr>
          <w:rFonts w:asciiTheme="majorHAnsi" w:hAnsiTheme="majorHAnsi"/>
          <w:sz w:val="20"/>
          <w:szCs w:val="20"/>
        </w:rPr>
        <w:t>вплив</w:t>
      </w:r>
      <w:r w:rsidRPr="000977F7">
        <w:rPr>
          <w:rFonts w:asciiTheme="majorHAnsi" w:hAnsiTheme="majorHAnsi"/>
          <w:spacing w:val="15"/>
          <w:sz w:val="20"/>
          <w:szCs w:val="20"/>
        </w:rPr>
        <w:t xml:space="preserve"> </w:t>
      </w:r>
      <w:r w:rsidRPr="000977F7">
        <w:rPr>
          <w:rFonts w:asciiTheme="majorHAnsi" w:hAnsiTheme="majorHAnsi"/>
          <w:sz w:val="20"/>
          <w:szCs w:val="20"/>
        </w:rPr>
        <w:t>якого</w:t>
      </w:r>
      <w:r w:rsidRPr="000977F7">
        <w:rPr>
          <w:rFonts w:asciiTheme="majorHAnsi" w:hAnsiTheme="majorHAnsi"/>
          <w:spacing w:val="15"/>
          <w:sz w:val="20"/>
          <w:szCs w:val="20"/>
        </w:rPr>
        <w:t xml:space="preserve"> </w:t>
      </w:r>
      <w:r w:rsidRPr="000977F7">
        <w:rPr>
          <w:rFonts w:asciiTheme="majorHAnsi" w:hAnsiTheme="majorHAnsi"/>
          <w:sz w:val="20"/>
          <w:szCs w:val="20"/>
        </w:rPr>
        <w:t>за</w:t>
      </w:r>
      <w:r w:rsidRPr="000977F7">
        <w:rPr>
          <w:rFonts w:asciiTheme="majorHAnsi" w:hAnsiTheme="majorHAnsi"/>
          <w:spacing w:val="14"/>
          <w:sz w:val="20"/>
          <w:szCs w:val="20"/>
        </w:rPr>
        <w:t xml:space="preserve"> </w:t>
      </w:r>
      <w:r w:rsidRPr="000977F7">
        <w:rPr>
          <w:rFonts w:asciiTheme="majorHAnsi" w:hAnsiTheme="majorHAnsi"/>
          <w:sz w:val="20"/>
          <w:szCs w:val="20"/>
        </w:rPr>
        <w:t>певних</w:t>
      </w:r>
      <w:r w:rsidRPr="000977F7">
        <w:rPr>
          <w:rFonts w:asciiTheme="majorHAnsi" w:hAnsiTheme="majorHAnsi"/>
          <w:spacing w:val="17"/>
          <w:sz w:val="20"/>
          <w:szCs w:val="20"/>
        </w:rPr>
        <w:t xml:space="preserve"> </w:t>
      </w:r>
      <w:r w:rsidRPr="000977F7">
        <w:rPr>
          <w:rFonts w:asciiTheme="majorHAnsi" w:hAnsiTheme="majorHAnsi"/>
          <w:sz w:val="20"/>
          <w:szCs w:val="20"/>
        </w:rPr>
        <w:t>умов</w:t>
      </w:r>
      <w:r w:rsidRPr="000977F7">
        <w:rPr>
          <w:rFonts w:asciiTheme="majorHAnsi" w:hAnsiTheme="majorHAnsi"/>
          <w:spacing w:val="14"/>
          <w:sz w:val="20"/>
          <w:szCs w:val="20"/>
        </w:rPr>
        <w:t xml:space="preserve"> </w:t>
      </w:r>
      <w:r w:rsidRPr="000977F7">
        <w:rPr>
          <w:rFonts w:asciiTheme="majorHAnsi" w:hAnsiTheme="majorHAnsi"/>
          <w:sz w:val="20"/>
          <w:szCs w:val="20"/>
        </w:rPr>
        <w:t>може</w:t>
      </w:r>
      <w:r w:rsidRPr="000977F7">
        <w:rPr>
          <w:rFonts w:asciiTheme="majorHAnsi" w:hAnsiTheme="majorHAnsi"/>
          <w:spacing w:val="26"/>
          <w:sz w:val="20"/>
          <w:szCs w:val="20"/>
        </w:rPr>
        <w:t xml:space="preserve"> </w:t>
      </w:r>
      <w:r w:rsidRPr="000977F7">
        <w:rPr>
          <w:rFonts w:asciiTheme="majorHAnsi" w:hAnsiTheme="majorHAnsi"/>
          <w:sz w:val="20"/>
          <w:szCs w:val="20"/>
        </w:rPr>
        <w:t>призвести</w:t>
      </w:r>
      <w:r w:rsidRPr="000977F7">
        <w:rPr>
          <w:rFonts w:asciiTheme="majorHAnsi" w:hAnsiTheme="majorHAnsi"/>
          <w:spacing w:val="28"/>
          <w:sz w:val="20"/>
          <w:szCs w:val="20"/>
        </w:rPr>
        <w:t xml:space="preserve"> </w:t>
      </w:r>
      <w:r w:rsidRPr="000977F7">
        <w:rPr>
          <w:rFonts w:asciiTheme="majorHAnsi" w:hAnsiTheme="majorHAnsi"/>
          <w:sz w:val="20"/>
          <w:szCs w:val="20"/>
        </w:rPr>
        <w:t>до</w:t>
      </w:r>
      <w:r w:rsidRPr="000977F7">
        <w:rPr>
          <w:rFonts w:asciiTheme="majorHAnsi" w:hAnsiTheme="majorHAnsi"/>
          <w:spacing w:val="26"/>
          <w:sz w:val="20"/>
          <w:szCs w:val="20"/>
        </w:rPr>
        <w:t xml:space="preserve"> </w:t>
      </w:r>
      <w:r w:rsidRPr="000977F7">
        <w:rPr>
          <w:rFonts w:asciiTheme="majorHAnsi" w:hAnsiTheme="majorHAnsi"/>
          <w:sz w:val="20"/>
          <w:szCs w:val="20"/>
        </w:rPr>
        <w:t>захворювання,</w:t>
      </w:r>
      <w:r w:rsidRPr="000977F7">
        <w:rPr>
          <w:rFonts w:asciiTheme="majorHAnsi" w:hAnsiTheme="majorHAnsi"/>
          <w:spacing w:val="27"/>
          <w:sz w:val="20"/>
          <w:szCs w:val="20"/>
        </w:rPr>
        <w:t xml:space="preserve"> </w:t>
      </w:r>
      <w:r w:rsidRPr="000977F7">
        <w:rPr>
          <w:rFonts w:asciiTheme="majorHAnsi" w:hAnsiTheme="majorHAnsi"/>
          <w:sz w:val="20"/>
          <w:szCs w:val="20"/>
        </w:rPr>
        <w:t>зниження</w:t>
      </w:r>
      <w:r w:rsidRPr="000977F7">
        <w:rPr>
          <w:rFonts w:asciiTheme="majorHAnsi" w:hAnsiTheme="majorHAnsi"/>
          <w:spacing w:val="27"/>
          <w:sz w:val="20"/>
          <w:szCs w:val="20"/>
        </w:rPr>
        <w:t xml:space="preserve"> </w:t>
      </w:r>
      <w:r w:rsidRPr="000977F7">
        <w:rPr>
          <w:rFonts w:asciiTheme="majorHAnsi" w:hAnsiTheme="majorHAnsi"/>
          <w:sz w:val="20"/>
          <w:szCs w:val="20"/>
        </w:rPr>
        <w:t>працездатності і (або) негативного впливу на здоров’я нащадків</w:t>
      </w:r>
    </w:p>
    <w:p w14:paraId="3A71D12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3B70D0E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Залежно від кількісної характеристики (рівня, концентрації тощо) і тривалості впливу шкідливий виробничий</w:t>
      </w:r>
      <w:r w:rsidRPr="000977F7">
        <w:rPr>
          <w:rFonts w:asciiTheme="majorHAnsi" w:hAnsiTheme="majorHAnsi"/>
          <w:spacing w:val="-2"/>
          <w:sz w:val="20"/>
          <w:szCs w:val="20"/>
        </w:rPr>
        <w:t xml:space="preserve"> </w:t>
      </w:r>
      <w:r w:rsidRPr="000977F7">
        <w:rPr>
          <w:rFonts w:asciiTheme="majorHAnsi" w:hAnsiTheme="majorHAnsi"/>
          <w:sz w:val="20"/>
          <w:szCs w:val="20"/>
        </w:rPr>
        <w:t>чинник</w:t>
      </w:r>
      <w:r w:rsidRPr="000977F7">
        <w:rPr>
          <w:rFonts w:asciiTheme="majorHAnsi" w:hAnsiTheme="majorHAnsi"/>
          <w:spacing w:val="-1"/>
          <w:sz w:val="20"/>
          <w:szCs w:val="20"/>
        </w:rPr>
        <w:t xml:space="preserve"> </w:t>
      </w:r>
      <w:r w:rsidRPr="000977F7">
        <w:rPr>
          <w:rFonts w:asciiTheme="majorHAnsi" w:hAnsiTheme="majorHAnsi"/>
          <w:sz w:val="20"/>
          <w:szCs w:val="20"/>
        </w:rPr>
        <w:t>може стати</w:t>
      </w:r>
      <w:r w:rsidRPr="000977F7">
        <w:rPr>
          <w:rFonts w:asciiTheme="majorHAnsi" w:hAnsiTheme="majorHAnsi"/>
          <w:spacing w:val="-2"/>
          <w:sz w:val="20"/>
          <w:szCs w:val="20"/>
        </w:rPr>
        <w:t xml:space="preserve"> </w:t>
      </w:r>
      <w:r w:rsidRPr="000977F7">
        <w:rPr>
          <w:rFonts w:asciiTheme="majorHAnsi" w:hAnsiTheme="majorHAnsi"/>
          <w:sz w:val="20"/>
          <w:szCs w:val="20"/>
        </w:rPr>
        <w:t>небезпечним</w:t>
      </w:r>
    </w:p>
    <w:p w14:paraId="720A252C" w14:textId="77777777" w:rsidR="0097612F" w:rsidRPr="000977F7" w:rsidRDefault="0097612F" w:rsidP="000977F7">
      <w:pPr>
        <w:tabs>
          <w:tab w:val="left" w:pos="284"/>
        </w:tabs>
        <w:spacing w:after="0" w:line="240" w:lineRule="auto"/>
        <w:ind w:left="170"/>
        <w:mirrorIndents/>
        <w:jc w:val="both"/>
        <w:rPr>
          <w:rFonts w:asciiTheme="majorHAnsi" w:hAnsiTheme="majorHAnsi"/>
          <w:i/>
          <w:spacing w:val="-47"/>
          <w:sz w:val="20"/>
          <w:szCs w:val="20"/>
        </w:rPr>
      </w:pPr>
      <w:r w:rsidRPr="000977F7">
        <w:rPr>
          <w:rFonts w:asciiTheme="majorHAnsi" w:hAnsiTheme="majorHAnsi"/>
          <w:i/>
          <w:sz w:val="20"/>
          <w:szCs w:val="20"/>
        </w:rPr>
        <w:t>ДСТУ 2293:2014</w:t>
      </w:r>
      <w:r w:rsidRPr="000977F7">
        <w:rPr>
          <w:rFonts w:asciiTheme="majorHAnsi" w:hAnsiTheme="majorHAnsi"/>
          <w:i/>
          <w:spacing w:val="-47"/>
          <w:sz w:val="20"/>
          <w:szCs w:val="20"/>
        </w:rPr>
        <w:t xml:space="preserve"> </w:t>
      </w:r>
    </w:p>
    <w:p w14:paraId="0A40F63C"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 xml:space="preserve">ШКІДЛИВИЙ ВПЛИВ НА ЗДОРОВ'Я </w:t>
      </w:r>
    </w:p>
    <w:p w14:paraId="793308FA" w14:textId="77777777" w:rsidR="0097612F" w:rsidRPr="000977F7" w:rsidRDefault="0097612F" w:rsidP="000977F7">
      <w:pPr>
        <w:tabs>
          <w:tab w:val="left" w:pos="284"/>
        </w:tabs>
        <w:spacing w:after="0" w:line="240" w:lineRule="auto"/>
        <w:ind w:left="170"/>
        <w:mirrorIndents/>
        <w:jc w:val="both"/>
        <w:rPr>
          <w:rFonts w:asciiTheme="majorHAnsi" w:hAnsiTheme="majorHAnsi"/>
          <w:b/>
          <w:sz w:val="20"/>
          <w:szCs w:val="20"/>
        </w:rPr>
      </w:pPr>
      <w:r w:rsidRPr="000977F7">
        <w:rPr>
          <w:rFonts w:asciiTheme="majorHAnsi" w:hAnsiTheme="majorHAnsi"/>
          <w:b/>
          <w:sz w:val="20"/>
          <w:szCs w:val="20"/>
        </w:rPr>
        <w:t>ЛЮДИНИ –</w:t>
      </w:r>
    </w:p>
    <w:p w14:paraId="35EC4CF7" w14:textId="77777777" w:rsidR="0097612F" w:rsidRPr="000977F7" w:rsidRDefault="0097612F" w:rsidP="000977F7">
      <w:pPr>
        <w:tabs>
          <w:tab w:val="left" w:pos="284"/>
        </w:tabs>
        <w:spacing w:after="0" w:line="240" w:lineRule="auto"/>
        <w:ind w:left="170"/>
        <w:mirrorIndents/>
        <w:jc w:val="both"/>
        <w:rPr>
          <w:rFonts w:asciiTheme="majorHAnsi" w:hAnsiTheme="majorHAnsi"/>
          <w:bCs/>
          <w:sz w:val="20"/>
          <w:szCs w:val="20"/>
        </w:rPr>
      </w:pPr>
      <w:r w:rsidRPr="000977F7">
        <w:rPr>
          <w:rFonts w:asciiTheme="majorHAnsi" w:hAnsiTheme="majorHAnsi"/>
          <w:bCs/>
          <w:sz w:val="20"/>
          <w:szCs w:val="20"/>
        </w:rPr>
        <w:t>Вплив факторів середовища життєдіяльності, що створює загрозу здоров'ю, життю або працездатності людини чи здоров'ю майбутніх поколінь</w:t>
      </w:r>
    </w:p>
    <w:p w14:paraId="45517A2B" w14:textId="77777777" w:rsidR="0097612F" w:rsidRPr="000977F7" w:rsidRDefault="0097612F" w:rsidP="000977F7">
      <w:pPr>
        <w:tabs>
          <w:tab w:val="left" w:pos="284"/>
        </w:tabs>
        <w:spacing w:after="0" w:line="240" w:lineRule="auto"/>
        <w:ind w:left="170"/>
        <w:mirrorIndents/>
        <w:jc w:val="both"/>
        <w:rPr>
          <w:rFonts w:asciiTheme="majorHAnsi" w:hAnsiTheme="majorHAnsi"/>
          <w:bCs/>
          <w:i/>
          <w:iCs/>
          <w:sz w:val="20"/>
          <w:szCs w:val="20"/>
        </w:rPr>
      </w:pPr>
      <w:r w:rsidRPr="000977F7">
        <w:rPr>
          <w:rFonts w:asciiTheme="majorHAnsi" w:hAnsiTheme="majorHAnsi"/>
          <w:bCs/>
          <w:i/>
          <w:iCs/>
          <w:sz w:val="20"/>
          <w:szCs w:val="20"/>
        </w:rPr>
        <w:t>Ст. 1 закону України "Про забезпечення санітарного та епідемічного благополуччя населення"</w:t>
      </w:r>
    </w:p>
    <w:p w14:paraId="61C8A6AD" w14:textId="77777777" w:rsidR="0097612F" w:rsidRPr="000977F7" w:rsidRDefault="0097612F" w:rsidP="000977F7">
      <w:pPr>
        <w:tabs>
          <w:tab w:val="left" w:pos="284"/>
        </w:tabs>
        <w:spacing w:after="0" w:line="240" w:lineRule="auto"/>
        <w:ind w:left="170"/>
        <w:mirrorIndents/>
        <w:jc w:val="both"/>
        <w:rPr>
          <w:rFonts w:asciiTheme="majorHAnsi" w:hAnsiTheme="majorHAnsi"/>
          <w:spacing w:val="1"/>
          <w:sz w:val="20"/>
          <w:szCs w:val="20"/>
        </w:rPr>
      </w:pPr>
      <w:r w:rsidRPr="000977F7">
        <w:rPr>
          <w:rFonts w:asciiTheme="majorHAnsi" w:hAnsiTheme="majorHAnsi"/>
          <w:b/>
          <w:sz w:val="20"/>
          <w:szCs w:val="20"/>
        </w:rPr>
        <w:t xml:space="preserve">ШКОДА </w:t>
      </w:r>
      <w:r w:rsidRPr="000977F7">
        <w:rPr>
          <w:rFonts w:asciiTheme="majorHAnsi" w:hAnsiTheme="majorHAnsi"/>
          <w:sz w:val="20"/>
          <w:szCs w:val="20"/>
        </w:rPr>
        <w:t>–</w:t>
      </w:r>
    </w:p>
    <w:p w14:paraId="69AF19A1"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HARM</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D772D1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 xml:space="preserve">Фізичне травмування або ушкодження здоров’я </w:t>
      </w:r>
    </w:p>
    <w:p w14:paraId="600907D8"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 EN ISO 12100:2016</w:t>
      </w:r>
    </w:p>
    <w:p w14:paraId="557ED07F" w14:textId="77777777" w:rsidR="0097612F" w:rsidRPr="000977F7" w:rsidRDefault="0097612F" w:rsidP="000977F7">
      <w:pPr>
        <w:pStyle w:val="af6"/>
        <w:tabs>
          <w:tab w:val="left" w:pos="284"/>
        </w:tabs>
        <w:spacing w:after="0"/>
        <w:ind w:left="170"/>
        <w:mirrorIndents/>
        <w:jc w:val="both"/>
        <w:rPr>
          <w:rFonts w:asciiTheme="majorHAnsi" w:hAnsiTheme="majorHAnsi"/>
          <w:spacing w:val="1"/>
          <w:sz w:val="20"/>
          <w:szCs w:val="20"/>
        </w:rPr>
      </w:pPr>
      <w:r w:rsidRPr="000977F7">
        <w:rPr>
          <w:rFonts w:asciiTheme="majorHAnsi" w:hAnsiTheme="majorHAnsi"/>
          <w:spacing w:val="-1"/>
          <w:sz w:val="20"/>
          <w:szCs w:val="20"/>
        </w:rPr>
        <w:t>Фізичне</w:t>
      </w:r>
      <w:r w:rsidRPr="000977F7">
        <w:rPr>
          <w:rFonts w:asciiTheme="majorHAnsi" w:hAnsiTheme="majorHAnsi"/>
          <w:spacing w:val="-9"/>
          <w:sz w:val="20"/>
          <w:szCs w:val="20"/>
        </w:rPr>
        <w:t xml:space="preserve"> </w:t>
      </w:r>
      <w:r w:rsidRPr="000977F7">
        <w:rPr>
          <w:rFonts w:asciiTheme="majorHAnsi" w:hAnsiTheme="majorHAnsi"/>
          <w:spacing w:val="-1"/>
          <w:sz w:val="20"/>
          <w:szCs w:val="20"/>
        </w:rPr>
        <w:t>ушкодження</w:t>
      </w:r>
      <w:r w:rsidRPr="000977F7">
        <w:rPr>
          <w:rFonts w:asciiTheme="majorHAnsi" w:hAnsiTheme="majorHAnsi"/>
          <w:spacing w:val="-11"/>
          <w:sz w:val="20"/>
          <w:szCs w:val="20"/>
        </w:rPr>
        <w:t xml:space="preserve"> </w:t>
      </w:r>
      <w:r w:rsidRPr="000977F7">
        <w:rPr>
          <w:rFonts w:asciiTheme="majorHAnsi" w:hAnsiTheme="majorHAnsi"/>
          <w:spacing w:val="-1"/>
          <w:sz w:val="20"/>
          <w:szCs w:val="20"/>
        </w:rPr>
        <w:t>і</w:t>
      </w:r>
      <w:r w:rsidRPr="000977F7">
        <w:rPr>
          <w:rFonts w:asciiTheme="majorHAnsi" w:hAnsiTheme="majorHAnsi"/>
          <w:spacing w:val="-11"/>
          <w:sz w:val="20"/>
          <w:szCs w:val="20"/>
        </w:rPr>
        <w:t xml:space="preserve"> </w:t>
      </w:r>
      <w:r w:rsidRPr="000977F7">
        <w:rPr>
          <w:rFonts w:asciiTheme="majorHAnsi" w:hAnsiTheme="majorHAnsi"/>
          <w:spacing w:val="-1"/>
          <w:sz w:val="20"/>
          <w:szCs w:val="20"/>
        </w:rPr>
        <w:t>(або)</w:t>
      </w:r>
      <w:r w:rsidRPr="000977F7">
        <w:rPr>
          <w:rFonts w:asciiTheme="majorHAnsi" w:hAnsiTheme="majorHAnsi"/>
          <w:spacing w:val="-7"/>
          <w:sz w:val="20"/>
          <w:szCs w:val="20"/>
        </w:rPr>
        <w:t xml:space="preserve"> </w:t>
      </w:r>
      <w:r w:rsidRPr="000977F7">
        <w:rPr>
          <w:rFonts w:asciiTheme="majorHAnsi" w:hAnsiTheme="majorHAnsi"/>
          <w:spacing w:val="-1"/>
          <w:sz w:val="20"/>
          <w:szCs w:val="20"/>
        </w:rPr>
        <w:t>збитки,</w:t>
      </w:r>
      <w:r w:rsidRPr="000977F7">
        <w:rPr>
          <w:rFonts w:asciiTheme="majorHAnsi" w:hAnsiTheme="majorHAnsi"/>
          <w:spacing w:val="-9"/>
          <w:sz w:val="20"/>
          <w:szCs w:val="20"/>
        </w:rPr>
        <w:t xml:space="preserve"> </w:t>
      </w:r>
      <w:r w:rsidRPr="000977F7">
        <w:rPr>
          <w:rFonts w:asciiTheme="majorHAnsi" w:hAnsiTheme="majorHAnsi"/>
          <w:spacing w:val="-1"/>
          <w:sz w:val="20"/>
          <w:szCs w:val="20"/>
        </w:rPr>
        <w:t>заподіяні</w:t>
      </w:r>
      <w:r w:rsidRPr="000977F7">
        <w:rPr>
          <w:rFonts w:asciiTheme="majorHAnsi" w:hAnsiTheme="majorHAnsi"/>
          <w:spacing w:val="-10"/>
          <w:sz w:val="20"/>
          <w:szCs w:val="20"/>
        </w:rPr>
        <w:t xml:space="preserve"> </w:t>
      </w:r>
      <w:r w:rsidRPr="000977F7">
        <w:rPr>
          <w:rFonts w:asciiTheme="majorHAnsi" w:hAnsiTheme="majorHAnsi"/>
          <w:spacing w:val="-1"/>
          <w:sz w:val="20"/>
          <w:szCs w:val="20"/>
        </w:rPr>
        <w:t>здоров’ю</w:t>
      </w:r>
      <w:r w:rsidRPr="000977F7">
        <w:rPr>
          <w:rFonts w:asciiTheme="majorHAnsi" w:hAnsiTheme="majorHAnsi"/>
          <w:spacing w:val="-47"/>
          <w:sz w:val="20"/>
          <w:szCs w:val="20"/>
        </w:rPr>
        <w:t xml:space="preserve"> </w:t>
      </w:r>
      <w:r w:rsidRPr="000977F7">
        <w:rPr>
          <w:rFonts w:asciiTheme="majorHAnsi" w:hAnsiTheme="majorHAnsi"/>
          <w:sz w:val="20"/>
          <w:szCs w:val="20"/>
        </w:rPr>
        <w:t>людей і (або) майну чи навколишньому середовищу</w:t>
      </w:r>
      <w:r w:rsidRPr="000977F7">
        <w:rPr>
          <w:rFonts w:asciiTheme="majorHAnsi" w:hAnsiTheme="majorHAnsi"/>
          <w:spacing w:val="1"/>
          <w:sz w:val="20"/>
          <w:szCs w:val="20"/>
        </w:rPr>
        <w:t xml:space="preserve"> </w:t>
      </w:r>
    </w:p>
    <w:p w14:paraId="7D11689B"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2293:2014</w:t>
      </w:r>
    </w:p>
    <w:p w14:paraId="1FE705A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ШЛЯХ</w:t>
      </w:r>
      <w:r w:rsidRPr="000977F7">
        <w:rPr>
          <w:color w:val="auto"/>
          <w:spacing w:val="-4"/>
          <w:sz w:val="20"/>
          <w:szCs w:val="20"/>
        </w:rPr>
        <w:t xml:space="preserve"> </w:t>
      </w:r>
      <w:r w:rsidRPr="000977F7">
        <w:rPr>
          <w:color w:val="auto"/>
          <w:sz w:val="20"/>
          <w:szCs w:val="20"/>
        </w:rPr>
        <w:t>НАДХОДЖЕННЯ</w:t>
      </w:r>
      <w:r w:rsidRPr="000977F7">
        <w:rPr>
          <w:color w:val="auto"/>
          <w:spacing w:val="-3"/>
          <w:sz w:val="20"/>
          <w:szCs w:val="20"/>
        </w:rPr>
        <w:t xml:space="preserve"> </w:t>
      </w:r>
      <w:r w:rsidRPr="000977F7">
        <w:rPr>
          <w:color w:val="auto"/>
          <w:sz w:val="20"/>
          <w:szCs w:val="20"/>
        </w:rPr>
        <w:t>РЕЧОВИН</w:t>
      </w:r>
      <w:r w:rsidRPr="000977F7">
        <w:rPr>
          <w:color w:val="auto"/>
          <w:spacing w:val="-1"/>
          <w:sz w:val="20"/>
          <w:szCs w:val="20"/>
        </w:rPr>
        <w:t xml:space="preserve"> </w:t>
      </w:r>
      <w:r w:rsidRPr="000977F7">
        <w:rPr>
          <w:color w:val="auto"/>
          <w:sz w:val="20"/>
          <w:szCs w:val="20"/>
        </w:rPr>
        <w:t>–</w:t>
      </w:r>
    </w:p>
    <w:p w14:paraId="7CD0E7E7"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Шлях,</w:t>
      </w:r>
      <w:r w:rsidRPr="000977F7">
        <w:rPr>
          <w:rFonts w:asciiTheme="majorHAnsi" w:hAnsiTheme="majorHAnsi"/>
          <w:spacing w:val="1"/>
          <w:sz w:val="20"/>
          <w:szCs w:val="20"/>
        </w:rPr>
        <w:t xml:space="preserve"> </w:t>
      </w:r>
      <w:r w:rsidRPr="000977F7">
        <w:rPr>
          <w:rFonts w:asciiTheme="majorHAnsi" w:hAnsiTheme="majorHAnsi"/>
          <w:sz w:val="20"/>
          <w:szCs w:val="20"/>
        </w:rPr>
        <w:t>по</w:t>
      </w:r>
      <w:r w:rsidRPr="000977F7">
        <w:rPr>
          <w:rFonts w:asciiTheme="majorHAnsi" w:hAnsiTheme="majorHAnsi"/>
          <w:spacing w:val="1"/>
          <w:sz w:val="20"/>
          <w:szCs w:val="20"/>
        </w:rPr>
        <w:t xml:space="preserve"> </w:t>
      </w:r>
      <w:r w:rsidRPr="000977F7">
        <w:rPr>
          <w:rFonts w:asciiTheme="majorHAnsi" w:hAnsiTheme="majorHAnsi"/>
          <w:sz w:val="20"/>
          <w:szCs w:val="20"/>
        </w:rPr>
        <w:t>якому здійснюється</w:t>
      </w:r>
      <w:r w:rsidRPr="000977F7">
        <w:rPr>
          <w:rFonts w:asciiTheme="majorHAnsi" w:hAnsiTheme="majorHAnsi"/>
          <w:spacing w:val="1"/>
          <w:sz w:val="20"/>
          <w:szCs w:val="20"/>
        </w:rPr>
        <w:t xml:space="preserve"> </w:t>
      </w:r>
      <w:r w:rsidRPr="000977F7">
        <w:rPr>
          <w:rFonts w:asciiTheme="majorHAnsi" w:hAnsiTheme="majorHAnsi"/>
          <w:sz w:val="20"/>
          <w:szCs w:val="20"/>
        </w:rPr>
        <w:t>вплив</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людину чи</w:t>
      </w:r>
      <w:r w:rsidRPr="000977F7">
        <w:rPr>
          <w:rFonts w:asciiTheme="majorHAnsi" w:hAnsiTheme="majorHAnsi"/>
          <w:spacing w:val="1"/>
          <w:sz w:val="20"/>
          <w:szCs w:val="20"/>
        </w:rPr>
        <w:t xml:space="preserve"> </w:t>
      </w:r>
      <w:r w:rsidRPr="000977F7">
        <w:rPr>
          <w:rFonts w:asciiTheme="majorHAnsi" w:hAnsiTheme="majorHAnsi"/>
          <w:sz w:val="20"/>
          <w:szCs w:val="20"/>
        </w:rPr>
        <w:t>експериментальних тварин різних шкідливих речовин</w:t>
      </w:r>
      <w:r w:rsidRPr="000977F7">
        <w:rPr>
          <w:rFonts w:asciiTheme="majorHAnsi" w:hAnsiTheme="majorHAnsi"/>
          <w:spacing w:val="-47"/>
          <w:sz w:val="20"/>
          <w:szCs w:val="20"/>
        </w:rPr>
        <w:t xml:space="preserve"> </w:t>
      </w:r>
    </w:p>
    <w:p w14:paraId="755D7C01" w14:textId="77777777" w:rsidR="0097612F" w:rsidRPr="000977F7" w:rsidRDefault="0097612F" w:rsidP="000977F7">
      <w:pPr>
        <w:pStyle w:val="af6"/>
        <w:tabs>
          <w:tab w:val="left" w:pos="284"/>
        </w:tabs>
        <w:spacing w:after="0"/>
        <w:ind w:left="170"/>
        <w:mirrorIndents/>
        <w:jc w:val="both"/>
        <w:rPr>
          <w:rFonts w:asciiTheme="majorHAnsi" w:hAnsiTheme="majorHAnsi"/>
          <w:i/>
          <w:iCs/>
          <w:sz w:val="20"/>
          <w:szCs w:val="20"/>
        </w:rPr>
      </w:pPr>
      <w:r w:rsidRPr="000977F7">
        <w:rPr>
          <w:rFonts w:asciiTheme="majorHAnsi" w:hAnsiTheme="majorHAnsi"/>
          <w:i/>
          <w:iCs/>
          <w:sz w:val="20"/>
          <w:szCs w:val="20"/>
        </w:rPr>
        <w:t>ДСТУ</w:t>
      </w:r>
      <w:r w:rsidRPr="000977F7">
        <w:rPr>
          <w:rFonts w:asciiTheme="majorHAnsi" w:hAnsiTheme="majorHAnsi"/>
          <w:i/>
          <w:iCs/>
          <w:spacing w:val="-1"/>
          <w:sz w:val="20"/>
          <w:szCs w:val="20"/>
        </w:rPr>
        <w:t xml:space="preserve"> </w:t>
      </w:r>
      <w:r w:rsidRPr="000977F7">
        <w:rPr>
          <w:rFonts w:asciiTheme="majorHAnsi" w:hAnsiTheme="majorHAnsi"/>
          <w:i/>
          <w:iCs/>
          <w:sz w:val="20"/>
          <w:szCs w:val="20"/>
        </w:rPr>
        <w:t>3038 - 95</w:t>
      </w:r>
    </w:p>
    <w:p w14:paraId="1E6B329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ШЛЯХ</w:t>
      </w:r>
      <w:r w:rsidRPr="000977F7">
        <w:rPr>
          <w:color w:val="auto"/>
          <w:spacing w:val="-3"/>
          <w:sz w:val="20"/>
          <w:szCs w:val="20"/>
        </w:rPr>
        <w:t xml:space="preserve"> </w:t>
      </w:r>
      <w:r w:rsidRPr="000977F7">
        <w:rPr>
          <w:color w:val="auto"/>
          <w:sz w:val="20"/>
          <w:szCs w:val="20"/>
        </w:rPr>
        <w:t>ТЕРТЯ</w:t>
      </w:r>
      <w:r w:rsidRPr="000977F7">
        <w:rPr>
          <w:color w:val="auto"/>
          <w:spacing w:val="-1"/>
          <w:sz w:val="20"/>
          <w:szCs w:val="20"/>
        </w:rPr>
        <w:t xml:space="preserve"> </w:t>
      </w:r>
      <w:r w:rsidRPr="000977F7">
        <w:rPr>
          <w:color w:val="auto"/>
          <w:sz w:val="20"/>
          <w:szCs w:val="20"/>
        </w:rPr>
        <w:t>–</w:t>
      </w:r>
    </w:p>
    <w:p w14:paraId="117FB66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Відстань, що проходить точка поверхні тертя одного</w:t>
      </w:r>
      <w:r w:rsidRPr="000977F7">
        <w:rPr>
          <w:rFonts w:asciiTheme="majorHAnsi" w:hAnsiTheme="majorHAnsi"/>
          <w:spacing w:val="1"/>
          <w:sz w:val="20"/>
          <w:szCs w:val="20"/>
        </w:rPr>
        <w:t xml:space="preserve"> </w:t>
      </w:r>
      <w:r w:rsidRPr="000977F7">
        <w:rPr>
          <w:rFonts w:asciiTheme="majorHAnsi" w:hAnsiTheme="majorHAnsi"/>
          <w:sz w:val="20"/>
          <w:szCs w:val="20"/>
        </w:rPr>
        <w:t>тіла</w:t>
      </w:r>
      <w:r w:rsidRPr="000977F7">
        <w:rPr>
          <w:rFonts w:asciiTheme="majorHAnsi" w:hAnsiTheme="majorHAnsi"/>
          <w:spacing w:val="2"/>
          <w:sz w:val="20"/>
          <w:szCs w:val="20"/>
        </w:rPr>
        <w:t xml:space="preserve"> </w:t>
      </w:r>
      <w:r w:rsidRPr="000977F7">
        <w:rPr>
          <w:rFonts w:asciiTheme="majorHAnsi" w:hAnsiTheme="majorHAnsi"/>
          <w:sz w:val="20"/>
          <w:szCs w:val="20"/>
        </w:rPr>
        <w:t>по</w:t>
      </w:r>
      <w:r w:rsidRPr="000977F7">
        <w:rPr>
          <w:rFonts w:asciiTheme="majorHAnsi" w:hAnsiTheme="majorHAnsi"/>
          <w:spacing w:val="1"/>
          <w:sz w:val="20"/>
          <w:szCs w:val="20"/>
        </w:rPr>
        <w:t xml:space="preserve"> </w:t>
      </w:r>
      <w:r w:rsidRPr="000977F7">
        <w:rPr>
          <w:rFonts w:asciiTheme="majorHAnsi" w:hAnsiTheme="majorHAnsi"/>
          <w:sz w:val="20"/>
          <w:szCs w:val="20"/>
        </w:rPr>
        <w:t>поверхні</w:t>
      </w:r>
      <w:r w:rsidRPr="000977F7">
        <w:rPr>
          <w:rFonts w:asciiTheme="majorHAnsi" w:hAnsiTheme="majorHAnsi"/>
          <w:spacing w:val="-2"/>
          <w:sz w:val="20"/>
          <w:szCs w:val="20"/>
        </w:rPr>
        <w:t xml:space="preserve"> </w:t>
      </w:r>
      <w:r w:rsidRPr="000977F7">
        <w:rPr>
          <w:rFonts w:asciiTheme="majorHAnsi" w:hAnsiTheme="majorHAnsi"/>
          <w:sz w:val="20"/>
          <w:szCs w:val="20"/>
        </w:rPr>
        <w:t>іншого</w:t>
      </w:r>
      <w:r w:rsidRPr="000977F7">
        <w:rPr>
          <w:rFonts w:asciiTheme="majorHAnsi" w:hAnsiTheme="majorHAnsi"/>
          <w:spacing w:val="1"/>
          <w:sz w:val="20"/>
          <w:szCs w:val="20"/>
        </w:rPr>
        <w:t xml:space="preserve"> </w:t>
      </w:r>
      <w:r w:rsidRPr="000977F7">
        <w:rPr>
          <w:rFonts w:asciiTheme="majorHAnsi" w:hAnsiTheme="majorHAnsi"/>
          <w:sz w:val="20"/>
          <w:szCs w:val="20"/>
        </w:rPr>
        <w:t>тіла</w:t>
      </w:r>
    </w:p>
    <w:p w14:paraId="6B862D9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2823 – 94</w:t>
      </w:r>
    </w:p>
    <w:p w14:paraId="158FEA5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ШТАМПОВАНИЙ</w:t>
      </w:r>
      <w:r w:rsidRPr="000977F7">
        <w:rPr>
          <w:color w:val="auto"/>
          <w:spacing w:val="-6"/>
          <w:sz w:val="20"/>
          <w:szCs w:val="20"/>
        </w:rPr>
        <w:t xml:space="preserve"> </w:t>
      </w:r>
      <w:r w:rsidRPr="000977F7">
        <w:rPr>
          <w:color w:val="auto"/>
          <w:sz w:val="20"/>
          <w:szCs w:val="20"/>
        </w:rPr>
        <w:t>ВИРІБ –</w:t>
      </w:r>
    </w:p>
    <w:p w14:paraId="4D1D3E5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Виріб чи заготовка, одержані технологічним методом</w:t>
      </w:r>
      <w:r w:rsidRPr="000977F7">
        <w:rPr>
          <w:rFonts w:asciiTheme="majorHAnsi" w:hAnsiTheme="majorHAnsi"/>
          <w:spacing w:val="1"/>
          <w:sz w:val="20"/>
          <w:szCs w:val="20"/>
        </w:rPr>
        <w:t xml:space="preserve"> </w:t>
      </w:r>
      <w:r w:rsidRPr="000977F7">
        <w:rPr>
          <w:rFonts w:asciiTheme="majorHAnsi" w:hAnsiTheme="majorHAnsi"/>
          <w:sz w:val="20"/>
          <w:szCs w:val="20"/>
        </w:rPr>
        <w:t>штампування</w:t>
      </w:r>
    </w:p>
    <w:p w14:paraId="75EDF87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 – 2010</w:t>
      </w:r>
    </w:p>
    <w:p w14:paraId="4562753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ШТАМПУВАННЯ</w:t>
      </w:r>
      <w:r w:rsidRPr="000977F7">
        <w:rPr>
          <w:color w:val="auto"/>
          <w:spacing w:val="-3"/>
          <w:sz w:val="20"/>
          <w:szCs w:val="20"/>
        </w:rPr>
        <w:t xml:space="preserve"> </w:t>
      </w:r>
      <w:r w:rsidRPr="000977F7">
        <w:rPr>
          <w:color w:val="auto"/>
          <w:sz w:val="20"/>
          <w:szCs w:val="20"/>
        </w:rPr>
        <w:t>–</w:t>
      </w:r>
    </w:p>
    <w:p w14:paraId="6D3722BB" w14:textId="77777777" w:rsidR="0097612F" w:rsidRPr="000977F7" w:rsidRDefault="0097612F" w:rsidP="000977F7">
      <w:pPr>
        <w:pStyle w:val="af6"/>
        <w:tabs>
          <w:tab w:val="left" w:pos="284"/>
        </w:tabs>
        <w:spacing w:after="0"/>
        <w:ind w:left="170"/>
        <w:mirrorIndents/>
        <w:jc w:val="both"/>
        <w:rPr>
          <w:rFonts w:asciiTheme="majorHAnsi" w:hAnsiTheme="majorHAnsi"/>
          <w:spacing w:val="-48"/>
          <w:sz w:val="20"/>
          <w:szCs w:val="20"/>
        </w:rPr>
      </w:pPr>
      <w:r w:rsidRPr="000977F7">
        <w:rPr>
          <w:rFonts w:asciiTheme="majorHAnsi" w:hAnsiTheme="majorHAnsi"/>
          <w:sz w:val="20"/>
          <w:szCs w:val="20"/>
        </w:rPr>
        <w:t>Оброблення металів тиском за допомогою штампу</w:t>
      </w:r>
      <w:r w:rsidRPr="000977F7">
        <w:rPr>
          <w:rFonts w:asciiTheme="majorHAnsi" w:hAnsiTheme="majorHAnsi"/>
          <w:spacing w:val="-48"/>
          <w:sz w:val="20"/>
          <w:szCs w:val="20"/>
        </w:rPr>
        <w:t xml:space="preserve"> </w:t>
      </w:r>
    </w:p>
    <w:p w14:paraId="773C4DC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1"/>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1"/>
          <w:sz w:val="20"/>
          <w:szCs w:val="20"/>
        </w:rPr>
        <w:t xml:space="preserve"> </w:t>
      </w:r>
      <w:r w:rsidRPr="000977F7">
        <w:rPr>
          <w:rFonts w:asciiTheme="majorHAnsi" w:hAnsiTheme="majorHAnsi"/>
          <w:sz w:val="20"/>
          <w:szCs w:val="20"/>
        </w:rPr>
        <w:t>а:</w:t>
      </w:r>
    </w:p>
    <w:p w14:paraId="5F80B03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Штампування може бути здійснене у штампі, встановленому на робочому органі ковальсько штампувальної</w:t>
      </w:r>
      <w:r w:rsidRPr="000977F7">
        <w:rPr>
          <w:rFonts w:asciiTheme="majorHAnsi" w:hAnsiTheme="majorHAnsi"/>
          <w:spacing w:val="-2"/>
          <w:sz w:val="20"/>
          <w:szCs w:val="20"/>
        </w:rPr>
        <w:t xml:space="preserve"> </w:t>
      </w:r>
      <w:r w:rsidRPr="000977F7">
        <w:rPr>
          <w:rFonts w:asciiTheme="majorHAnsi" w:hAnsiTheme="majorHAnsi"/>
          <w:sz w:val="20"/>
          <w:szCs w:val="20"/>
        </w:rPr>
        <w:t>машини</w:t>
      </w:r>
    </w:p>
    <w:p w14:paraId="66F547F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2391</w:t>
      </w:r>
      <w:r w:rsidRPr="000977F7">
        <w:rPr>
          <w:rFonts w:asciiTheme="majorHAnsi" w:hAnsiTheme="majorHAnsi"/>
          <w:i/>
          <w:spacing w:val="1"/>
          <w:sz w:val="20"/>
          <w:szCs w:val="20"/>
        </w:rPr>
        <w:t xml:space="preserve"> </w:t>
      </w:r>
      <w:r w:rsidRPr="000977F7">
        <w:rPr>
          <w:rFonts w:asciiTheme="majorHAnsi" w:hAnsiTheme="majorHAnsi"/>
          <w:i/>
          <w:sz w:val="20"/>
          <w:szCs w:val="20"/>
        </w:rPr>
        <w:t>– 2010</w:t>
      </w:r>
    </w:p>
    <w:p w14:paraId="6AD66641"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ШТРАФНІ САНКЦІЇ ДО ЮРИДИЧНИХ ТА </w:t>
      </w:r>
    </w:p>
    <w:p w14:paraId="3E1DCD2A"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ФІЗИЧНИХ ОСІБ, ЯКІ ВІДПОВІДНО ДО ЗАКОНОДАВСТВА</w:t>
      </w:r>
      <w:r w:rsidRPr="000977F7">
        <w:rPr>
          <w:color w:val="auto"/>
          <w:spacing w:val="1"/>
          <w:sz w:val="20"/>
          <w:szCs w:val="20"/>
        </w:rPr>
        <w:t xml:space="preserve"> </w:t>
      </w:r>
      <w:r w:rsidRPr="000977F7">
        <w:rPr>
          <w:color w:val="auto"/>
          <w:sz w:val="20"/>
          <w:szCs w:val="20"/>
        </w:rPr>
        <w:t>ВИКОРИСТОВУЮТЬ</w:t>
      </w:r>
      <w:r w:rsidRPr="000977F7">
        <w:rPr>
          <w:color w:val="auto"/>
          <w:spacing w:val="1"/>
          <w:sz w:val="20"/>
          <w:szCs w:val="20"/>
        </w:rPr>
        <w:t xml:space="preserve"> </w:t>
      </w:r>
      <w:r w:rsidRPr="000977F7">
        <w:rPr>
          <w:color w:val="auto"/>
          <w:sz w:val="20"/>
          <w:szCs w:val="20"/>
        </w:rPr>
        <w:t>НАЙМАНУ</w:t>
      </w:r>
      <w:r w:rsidRPr="000977F7">
        <w:rPr>
          <w:color w:val="auto"/>
          <w:spacing w:val="1"/>
          <w:sz w:val="20"/>
          <w:szCs w:val="20"/>
        </w:rPr>
        <w:t xml:space="preserve"> </w:t>
      </w:r>
      <w:r w:rsidRPr="000977F7">
        <w:rPr>
          <w:color w:val="auto"/>
          <w:sz w:val="20"/>
          <w:szCs w:val="20"/>
        </w:rPr>
        <w:t>ПРАЦЮ,</w:t>
      </w:r>
      <w:r w:rsidRPr="000977F7">
        <w:rPr>
          <w:color w:val="auto"/>
          <w:spacing w:val="7"/>
          <w:sz w:val="20"/>
          <w:szCs w:val="20"/>
        </w:rPr>
        <w:t xml:space="preserve"> </w:t>
      </w:r>
      <w:r w:rsidRPr="000977F7">
        <w:rPr>
          <w:color w:val="auto"/>
          <w:sz w:val="20"/>
          <w:szCs w:val="20"/>
        </w:rPr>
        <w:t>ПОСАДОВИХ</w:t>
      </w:r>
      <w:r w:rsidRPr="000977F7">
        <w:rPr>
          <w:color w:val="auto"/>
          <w:spacing w:val="8"/>
          <w:sz w:val="20"/>
          <w:szCs w:val="20"/>
        </w:rPr>
        <w:t xml:space="preserve"> </w:t>
      </w:r>
      <w:r w:rsidRPr="000977F7">
        <w:rPr>
          <w:color w:val="auto"/>
          <w:sz w:val="20"/>
          <w:szCs w:val="20"/>
        </w:rPr>
        <w:t>ОСІБ</w:t>
      </w:r>
      <w:r w:rsidRPr="000977F7">
        <w:rPr>
          <w:color w:val="auto"/>
          <w:spacing w:val="7"/>
          <w:sz w:val="20"/>
          <w:szCs w:val="20"/>
        </w:rPr>
        <w:t xml:space="preserve"> </w:t>
      </w:r>
      <w:r w:rsidRPr="000977F7">
        <w:rPr>
          <w:color w:val="auto"/>
          <w:sz w:val="20"/>
          <w:szCs w:val="20"/>
        </w:rPr>
        <w:t>ТА</w:t>
      </w:r>
      <w:r w:rsidRPr="000977F7">
        <w:rPr>
          <w:color w:val="auto"/>
          <w:spacing w:val="8"/>
          <w:sz w:val="20"/>
          <w:szCs w:val="20"/>
        </w:rPr>
        <w:t xml:space="preserve"> </w:t>
      </w:r>
      <w:r w:rsidRPr="000977F7">
        <w:rPr>
          <w:color w:val="auto"/>
          <w:sz w:val="20"/>
          <w:szCs w:val="20"/>
        </w:rPr>
        <w:t>ПРАЦІВНИКІВ -</w:t>
      </w:r>
    </w:p>
    <w:p w14:paraId="1854A05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порушення</w:t>
      </w:r>
      <w:r w:rsidRPr="000977F7">
        <w:rPr>
          <w:rFonts w:asciiTheme="majorHAnsi" w:hAnsiTheme="majorHAnsi"/>
          <w:spacing w:val="1"/>
          <w:sz w:val="20"/>
          <w:szCs w:val="20"/>
        </w:rPr>
        <w:t xml:space="preserve"> </w:t>
      </w:r>
      <w:r w:rsidRPr="000977F7">
        <w:rPr>
          <w:rFonts w:asciiTheme="majorHAnsi" w:hAnsiTheme="majorHAnsi"/>
          <w:sz w:val="20"/>
          <w:szCs w:val="20"/>
        </w:rPr>
        <w:t>законодавства</w:t>
      </w:r>
      <w:r w:rsidRPr="000977F7">
        <w:rPr>
          <w:rFonts w:asciiTheme="majorHAnsi" w:hAnsiTheme="majorHAnsi"/>
          <w:spacing w:val="1"/>
          <w:sz w:val="20"/>
          <w:szCs w:val="20"/>
        </w:rPr>
        <w:t xml:space="preserve"> </w:t>
      </w:r>
      <w:r w:rsidRPr="000977F7">
        <w:rPr>
          <w:rFonts w:asciiTheme="majorHAnsi" w:hAnsiTheme="majorHAnsi"/>
          <w:sz w:val="20"/>
          <w:szCs w:val="20"/>
        </w:rPr>
        <w:t>про</w:t>
      </w:r>
      <w:r w:rsidRPr="000977F7">
        <w:rPr>
          <w:rFonts w:asciiTheme="majorHAnsi" w:hAnsiTheme="majorHAnsi"/>
          <w:spacing w:val="1"/>
          <w:sz w:val="20"/>
          <w:szCs w:val="20"/>
        </w:rPr>
        <w:t xml:space="preserve"> </w:t>
      </w:r>
      <w:r w:rsidRPr="000977F7">
        <w:rPr>
          <w:rFonts w:asciiTheme="majorHAnsi" w:hAnsiTheme="majorHAnsi"/>
          <w:sz w:val="20"/>
          <w:szCs w:val="20"/>
        </w:rPr>
        <w:t>охорону</w:t>
      </w:r>
      <w:r w:rsidRPr="000977F7">
        <w:rPr>
          <w:rFonts w:asciiTheme="majorHAnsi" w:hAnsiTheme="majorHAnsi"/>
          <w:spacing w:val="1"/>
          <w:sz w:val="20"/>
          <w:szCs w:val="20"/>
        </w:rPr>
        <w:t xml:space="preserve"> </w:t>
      </w:r>
      <w:r w:rsidRPr="000977F7">
        <w:rPr>
          <w:rFonts w:asciiTheme="majorHAnsi" w:hAnsiTheme="majorHAnsi"/>
          <w:sz w:val="20"/>
          <w:szCs w:val="20"/>
        </w:rPr>
        <w:t>праці</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47"/>
          <w:sz w:val="20"/>
          <w:szCs w:val="20"/>
        </w:rPr>
        <w:t xml:space="preserve"> </w:t>
      </w:r>
      <w:r w:rsidRPr="000977F7">
        <w:rPr>
          <w:rFonts w:asciiTheme="majorHAnsi" w:hAnsiTheme="majorHAnsi"/>
          <w:sz w:val="20"/>
          <w:szCs w:val="20"/>
        </w:rPr>
        <w:t>невиконання приписів (розпоряджень) посадових осіб</w:t>
      </w:r>
      <w:r w:rsidRPr="000977F7">
        <w:rPr>
          <w:rFonts w:asciiTheme="majorHAnsi" w:hAnsiTheme="majorHAnsi"/>
          <w:spacing w:val="1"/>
          <w:sz w:val="20"/>
          <w:szCs w:val="20"/>
        </w:rPr>
        <w:t xml:space="preserve"> </w:t>
      </w:r>
      <w:r w:rsidRPr="000977F7">
        <w:rPr>
          <w:rFonts w:asciiTheme="majorHAnsi" w:hAnsiTheme="majorHAnsi"/>
          <w:sz w:val="20"/>
          <w:szCs w:val="20"/>
        </w:rPr>
        <w:t>органів виконавчої влади з нагляду за охороною праці</w:t>
      </w:r>
      <w:r w:rsidRPr="000977F7">
        <w:rPr>
          <w:rFonts w:asciiTheme="majorHAnsi" w:hAnsiTheme="majorHAnsi"/>
          <w:spacing w:val="-47"/>
          <w:sz w:val="20"/>
          <w:szCs w:val="20"/>
        </w:rPr>
        <w:t xml:space="preserve"> </w:t>
      </w:r>
      <w:r w:rsidRPr="000977F7">
        <w:rPr>
          <w:rFonts w:asciiTheme="majorHAnsi" w:hAnsiTheme="majorHAnsi"/>
          <w:sz w:val="20"/>
          <w:szCs w:val="20"/>
        </w:rPr>
        <w:t xml:space="preserve">юридичні та фізичні особи, які відповідно до законодавства використовують найману працю, притягаються органами виконавчої влади з нагляду </w:t>
      </w:r>
      <w:r w:rsidRPr="000977F7">
        <w:rPr>
          <w:rFonts w:asciiTheme="majorHAnsi" w:hAnsiTheme="majorHAnsi"/>
          <w:sz w:val="20"/>
          <w:szCs w:val="20"/>
        </w:rPr>
        <w:t>за охороною</w:t>
      </w:r>
      <w:r w:rsidRPr="000977F7">
        <w:rPr>
          <w:rFonts w:asciiTheme="majorHAnsi" w:hAnsiTheme="majorHAnsi"/>
          <w:spacing w:val="1"/>
          <w:sz w:val="20"/>
          <w:szCs w:val="20"/>
        </w:rPr>
        <w:t xml:space="preserve"> </w:t>
      </w:r>
      <w:r w:rsidRPr="000977F7">
        <w:rPr>
          <w:rFonts w:asciiTheme="majorHAnsi" w:hAnsiTheme="majorHAnsi"/>
          <w:sz w:val="20"/>
          <w:szCs w:val="20"/>
        </w:rPr>
        <w:t>праці</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сплати</w:t>
      </w:r>
      <w:r w:rsidRPr="000977F7">
        <w:rPr>
          <w:rFonts w:asciiTheme="majorHAnsi" w:hAnsiTheme="majorHAnsi"/>
          <w:spacing w:val="1"/>
          <w:sz w:val="20"/>
          <w:szCs w:val="20"/>
        </w:rPr>
        <w:t xml:space="preserve"> </w:t>
      </w:r>
      <w:r w:rsidRPr="000977F7">
        <w:rPr>
          <w:rFonts w:asciiTheme="majorHAnsi" w:hAnsiTheme="majorHAnsi"/>
          <w:sz w:val="20"/>
          <w:szCs w:val="20"/>
        </w:rPr>
        <w:t>штрафу</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порядку,</w:t>
      </w:r>
      <w:r w:rsidRPr="000977F7">
        <w:rPr>
          <w:rFonts w:asciiTheme="majorHAnsi" w:hAnsiTheme="majorHAnsi"/>
          <w:spacing w:val="1"/>
          <w:sz w:val="20"/>
          <w:szCs w:val="20"/>
        </w:rPr>
        <w:t xml:space="preserve"> </w:t>
      </w:r>
      <w:r w:rsidRPr="000977F7">
        <w:rPr>
          <w:rFonts w:asciiTheme="majorHAnsi" w:hAnsiTheme="majorHAnsi"/>
          <w:sz w:val="20"/>
          <w:szCs w:val="20"/>
        </w:rPr>
        <w:t>встановленому</w:t>
      </w:r>
      <w:r w:rsidRPr="000977F7">
        <w:rPr>
          <w:rFonts w:asciiTheme="majorHAnsi" w:hAnsiTheme="majorHAnsi"/>
          <w:spacing w:val="1"/>
          <w:sz w:val="20"/>
          <w:szCs w:val="20"/>
        </w:rPr>
        <w:t xml:space="preserve"> </w:t>
      </w:r>
      <w:r w:rsidRPr="000977F7">
        <w:rPr>
          <w:rFonts w:asciiTheme="majorHAnsi" w:hAnsiTheme="majorHAnsi"/>
          <w:sz w:val="20"/>
          <w:szCs w:val="20"/>
        </w:rPr>
        <w:t>законом.</w:t>
      </w:r>
      <w:r w:rsidRPr="000977F7">
        <w:rPr>
          <w:rFonts w:asciiTheme="majorHAnsi" w:hAnsiTheme="majorHAnsi"/>
          <w:spacing w:val="1"/>
          <w:sz w:val="20"/>
          <w:szCs w:val="20"/>
        </w:rPr>
        <w:t xml:space="preserve"> </w:t>
      </w:r>
      <w:r w:rsidRPr="000977F7">
        <w:rPr>
          <w:rFonts w:asciiTheme="majorHAnsi" w:hAnsiTheme="majorHAnsi"/>
          <w:sz w:val="20"/>
          <w:szCs w:val="20"/>
        </w:rPr>
        <w:t>Сплата</w:t>
      </w:r>
      <w:r w:rsidRPr="000977F7">
        <w:rPr>
          <w:rFonts w:asciiTheme="majorHAnsi" w:hAnsiTheme="majorHAnsi"/>
          <w:spacing w:val="1"/>
          <w:sz w:val="20"/>
          <w:szCs w:val="20"/>
        </w:rPr>
        <w:t xml:space="preserve"> </w:t>
      </w:r>
      <w:r w:rsidRPr="000977F7">
        <w:rPr>
          <w:rFonts w:asciiTheme="majorHAnsi" w:hAnsiTheme="majorHAnsi"/>
          <w:sz w:val="20"/>
          <w:szCs w:val="20"/>
        </w:rPr>
        <w:t>штрафу не</w:t>
      </w:r>
      <w:r w:rsidRPr="000977F7">
        <w:rPr>
          <w:rFonts w:asciiTheme="majorHAnsi" w:hAnsiTheme="majorHAnsi"/>
          <w:spacing w:val="1"/>
          <w:sz w:val="20"/>
          <w:szCs w:val="20"/>
        </w:rPr>
        <w:t xml:space="preserve"> </w:t>
      </w:r>
      <w:r w:rsidRPr="000977F7">
        <w:rPr>
          <w:rFonts w:asciiTheme="majorHAnsi" w:hAnsiTheme="majorHAnsi"/>
          <w:sz w:val="20"/>
          <w:szCs w:val="20"/>
        </w:rPr>
        <w:t>звільняє</w:t>
      </w:r>
      <w:r w:rsidRPr="000977F7">
        <w:rPr>
          <w:rFonts w:asciiTheme="majorHAnsi" w:hAnsiTheme="majorHAnsi"/>
          <w:spacing w:val="1"/>
          <w:sz w:val="20"/>
          <w:szCs w:val="20"/>
        </w:rPr>
        <w:t xml:space="preserve"> </w:t>
      </w:r>
      <w:r w:rsidRPr="000977F7">
        <w:rPr>
          <w:rFonts w:asciiTheme="majorHAnsi" w:hAnsiTheme="majorHAnsi"/>
          <w:sz w:val="20"/>
          <w:szCs w:val="20"/>
        </w:rPr>
        <w:t>юридичну або</w:t>
      </w:r>
      <w:r w:rsidRPr="000977F7">
        <w:rPr>
          <w:rFonts w:asciiTheme="majorHAnsi" w:hAnsiTheme="majorHAnsi"/>
          <w:spacing w:val="1"/>
          <w:sz w:val="20"/>
          <w:szCs w:val="20"/>
        </w:rPr>
        <w:t xml:space="preserve"> </w:t>
      </w:r>
      <w:r w:rsidRPr="000977F7">
        <w:rPr>
          <w:rFonts w:asciiTheme="majorHAnsi" w:hAnsiTheme="majorHAnsi"/>
          <w:sz w:val="20"/>
          <w:szCs w:val="20"/>
        </w:rPr>
        <w:t>фізичну особу, яка відповідно до законодавства використовує</w:t>
      </w:r>
      <w:r w:rsidRPr="000977F7">
        <w:rPr>
          <w:rFonts w:asciiTheme="majorHAnsi" w:hAnsiTheme="majorHAnsi"/>
          <w:spacing w:val="1"/>
          <w:sz w:val="20"/>
          <w:szCs w:val="20"/>
        </w:rPr>
        <w:t xml:space="preserve"> </w:t>
      </w:r>
      <w:r w:rsidRPr="000977F7">
        <w:rPr>
          <w:rFonts w:asciiTheme="majorHAnsi" w:hAnsiTheme="majorHAnsi"/>
          <w:sz w:val="20"/>
          <w:szCs w:val="20"/>
        </w:rPr>
        <w:t>найману</w:t>
      </w:r>
      <w:r w:rsidRPr="000977F7">
        <w:rPr>
          <w:rFonts w:asciiTheme="majorHAnsi" w:hAnsiTheme="majorHAnsi"/>
          <w:spacing w:val="1"/>
          <w:sz w:val="20"/>
          <w:szCs w:val="20"/>
        </w:rPr>
        <w:t xml:space="preserve"> </w:t>
      </w:r>
      <w:r w:rsidRPr="000977F7">
        <w:rPr>
          <w:rFonts w:asciiTheme="majorHAnsi" w:hAnsiTheme="majorHAnsi"/>
          <w:sz w:val="20"/>
          <w:szCs w:val="20"/>
        </w:rPr>
        <w:t>працю,</w:t>
      </w:r>
      <w:r w:rsidRPr="000977F7">
        <w:rPr>
          <w:rFonts w:asciiTheme="majorHAnsi" w:hAnsiTheme="majorHAnsi"/>
          <w:spacing w:val="1"/>
          <w:sz w:val="20"/>
          <w:szCs w:val="20"/>
        </w:rPr>
        <w:t xml:space="preserve"> </w:t>
      </w:r>
      <w:r w:rsidRPr="000977F7">
        <w:rPr>
          <w:rFonts w:asciiTheme="majorHAnsi" w:hAnsiTheme="majorHAnsi"/>
          <w:sz w:val="20"/>
          <w:szCs w:val="20"/>
        </w:rPr>
        <w:t>від</w:t>
      </w:r>
      <w:r w:rsidRPr="000977F7">
        <w:rPr>
          <w:rFonts w:asciiTheme="majorHAnsi" w:hAnsiTheme="majorHAnsi"/>
          <w:spacing w:val="1"/>
          <w:sz w:val="20"/>
          <w:szCs w:val="20"/>
        </w:rPr>
        <w:t xml:space="preserve"> </w:t>
      </w:r>
      <w:r w:rsidRPr="000977F7">
        <w:rPr>
          <w:rFonts w:asciiTheme="majorHAnsi" w:hAnsiTheme="majorHAnsi"/>
          <w:sz w:val="20"/>
          <w:szCs w:val="20"/>
        </w:rPr>
        <w:t>усунення</w:t>
      </w:r>
      <w:r w:rsidRPr="000977F7">
        <w:rPr>
          <w:rFonts w:asciiTheme="majorHAnsi" w:hAnsiTheme="majorHAnsi"/>
          <w:spacing w:val="1"/>
          <w:sz w:val="20"/>
          <w:szCs w:val="20"/>
        </w:rPr>
        <w:t xml:space="preserve"> </w:t>
      </w:r>
      <w:r w:rsidRPr="000977F7">
        <w:rPr>
          <w:rFonts w:asciiTheme="majorHAnsi" w:hAnsiTheme="majorHAnsi"/>
          <w:sz w:val="20"/>
          <w:szCs w:val="20"/>
        </w:rPr>
        <w:t>виявлених</w:t>
      </w:r>
      <w:r w:rsidRPr="000977F7">
        <w:rPr>
          <w:rFonts w:asciiTheme="majorHAnsi" w:hAnsiTheme="majorHAnsi"/>
          <w:spacing w:val="1"/>
          <w:sz w:val="20"/>
          <w:szCs w:val="20"/>
        </w:rPr>
        <w:t xml:space="preserve"> </w:t>
      </w:r>
      <w:r w:rsidRPr="000977F7">
        <w:rPr>
          <w:rFonts w:asciiTheme="majorHAnsi" w:hAnsiTheme="majorHAnsi"/>
          <w:sz w:val="20"/>
          <w:szCs w:val="20"/>
        </w:rPr>
        <w:t>порушень</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визначені</w:t>
      </w:r>
      <w:r w:rsidRPr="000977F7">
        <w:rPr>
          <w:rFonts w:asciiTheme="majorHAnsi" w:hAnsiTheme="majorHAnsi"/>
          <w:spacing w:val="-1"/>
          <w:sz w:val="20"/>
          <w:szCs w:val="20"/>
        </w:rPr>
        <w:t xml:space="preserve"> </w:t>
      </w:r>
      <w:r w:rsidRPr="000977F7">
        <w:rPr>
          <w:rFonts w:asciiTheme="majorHAnsi" w:hAnsiTheme="majorHAnsi"/>
          <w:sz w:val="20"/>
          <w:szCs w:val="20"/>
        </w:rPr>
        <w:t>строки.</w:t>
      </w:r>
    </w:p>
    <w:p w14:paraId="019832E1"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Максимальний розмір штрафу не може перевищувати</w:t>
      </w:r>
      <w:r w:rsidRPr="000977F7">
        <w:rPr>
          <w:rFonts w:asciiTheme="majorHAnsi" w:hAnsiTheme="majorHAnsi"/>
          <w:spacing w:val="-47"/>
          <w:sz w:val="20"/>
          <w:szCs w:val="20"/>
        </w:rPr>
        <w:t xml:space="preserve"> </w:t>
      </w:r>
      <w:r w:rsidRPr="000977F7">
        <w:rPr>
          <w:rFonts w:asciiTheme="majorHAnsi" w:hAnsiTheme="majorHAnsi"/>
          <w:sz w:val="20"/>
          <w:szCs w:val="20"/>
        </w:rPr>
        <w:t>п'яти</w:t>
      </w:r>
      <w:r w:rsidRPr="000977F7">
        <w:rPr>
          <w:rFonts w:asciiTheme="majorHAnsi" w:hAnsiTheme="majorHAnsi"/>
          <w:spacing w:val="1"/>
          <w:sz w:val="20"/>
          <w:szCs w:val="20"/>
        </w:rPr>
        <w:t xml:space="preserve"> </w:t>
      </w:r>
      <w:r w:rsidRPr="000977F7">
        <w:rPr>
          <w:rFonts w:asciiTheme="majorHAnsi" w:hAnsiTheme="majorHAnsi"/>
          <w:sz w:val="20"/>
          <w:szCs w:val="20"/>
        </w:rPr>
        <w:t>відсотків</w:t>
      </w:r>
      <w:r w:rsidRPr="000977F7">
        <w:rPr>
          <w:rFonts w:asciiTheme="majorHAnsi" w:hAnsiTheme="majorHAnsi"/>
          <w:spacing w:val="1"/>
          <w:sz w:val="20"/>
          <w:szCs w:val="20"/>
        </w:rPr>
        <w:t xml:space="preserve"> </w:t>
      </w:r>
      <w:r w:rsidRPr="000977F7">
        <w:rPr>
          <w:rFonts w:asciiTheme="majorHAnsi" w:hAnsiTheme="majorHAnsi"/>
          <w:sz w:val="20"/>
          <w:szCs w:val="20"/>
        </w:rPr>
        <w:t>середньомісячного</w:t>
      </w:r>
      <w:r w:rsidRPr="000977F7">
        <w:rPr>
          <w:rFonts w:asciiTheme="majorHAnsi" w:hAnsiTheme="majorHAnsi"/>
          <w:spacing w:val="1"/>
          <w:sz w:val="20"/>
          <w:szCs w:val="20"/>
        </w:rPr>
        <w:t xml:space="preserve"> </w:t>
      </w:r>
      <w:r w:rsidRPr="000977F7">
        <w:rPr>
          <w:rFonts w:asciiTheme="majorHAnsi" w:hAnsiTheme="majorHAnsi"/>
          <w:sz w:val="20"/>
          <w:szCs w:val="20"/>
        </w:rPr>
        <w:t>фонду</w:t>
      </w:r>
      <w:r w:rsidRPr="000977F7">
        <w:rPr>
          <w:rFonts w:asciiTheme="majorHAnsi" w:hAnsiTheme="majorHAnsi"/>
          <w:spacing w:val="1"/>
          <w:sz w:val="20"/>
          <w:szCs w:val="20"/>
        </w:rPr>
        <w:t xml:space="preserve"> </w:t>
      </w:r>
      <w:r w:rsidRPr="000977F7">
        <w:rPr>
          <w:rFonts w:asciiTheme="majorHAnsi" w:hAnsiTheme="majorHAnsi"/>
          <w:sz w:val="20"/>
          <w:szCs w:val="20"/>
        </w:rPr>
        <w:t>заробітної</w:t>
      </w:r>
      <w:r w:rsidRPr="000977F7">
        <w:rPr>
          <w:rFonts w:asciiTheme="majorHAnsi" w:hAnsiTheme="majorHAnsi"/>
          <w:spacing w:val="-47"/>
          <w:sz w:val="20"/>
          <w:szCs w:val="20"/>
        </w:rPr>
        <w:t xml:space="preserve"> </w:t>
      </w:r>
      <w:r w:rsidRPr="000977F7">
        <w:rPr>
          <w:rFonts w:asciiTheme="majorHAnsi" w:hAnsiTheme="majorHAnsi"/>
          <w:sz w:val="20"/>
          <w:szCs w:val="20"/>
        </w:rPr>
        <w:t>плати за попередній рік юридичної чи фізичної особи,</w:t>
      </w:r>
      <w:r w:rsidRPr="000977F7">
        <w:rPr>
          <w:rFonts w:asciiTheme="majorHAnsi" w:hAnsiTheme="majorHAnsi"/>
          <w:spacing w:val="-47"/>
          <w:sz w:val="20"/>
          <w:szCs w:val="20"/>
        </w:rPr>
        <w:t xml:space="preserve"> </w:t>
      </w:r>
      <w:r w:rsidRPr="000977F7">
        <w:rPr>
          <w:rFonts w:asciiTheme="majorHAnsi" w:hAnsiTheme="majorHAnsi"/>
          <w:sz w:val="20"/>
          <w:szCs w:val="20"/>
        </w:rPr>
        <w:t>яка відповідно до законодавства використовує найману</w:t>
      </w:r>
      <w:r w:rsidRPr="000977F7">
        <w:rPr>
          <w:rFonts w:asciiTheme="majorHAnsi" w:hAnsiTheme="majorHAnsi"/>
          <w:spacing w:val="-2"/>
          <w:sz w:val="20"/>
          <w:szCs w:val="20"/>
        </w:rPr>
        <w:t xml:space="preserve"> </w:t>
      </w:r>
      <w:r w:rsidRPr="000977F7">
        <w:rPr>
          <w:rFonts w:asciiTheme="majorHAnsi" w:hAnsiTheme="majorHAnsi"/>
          <w:sz w:val="20"/>
          <w:szCs w:val="20"/>
        </w:rPr>
        <w:t>працю.</w:t>
      </w:r>
    </w:p>
    <w:p w14:paraId="46E48C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порушення</w:t>
      </w:r>
      <w:r w:rsidRPr="000977F7">
        <w:rPr>
          <w:rFonts w:asciiTheme="majorHAnsi" w:hAnsiTheme="majorHAnsi"/>
          <w:spacing w:val="1"/>
          <w:sz w:val="20"/>
          <w:szCs w:val="20"/>
        </w:rPr>
        <w:t xml:space="preserve"> </w:t>
      </w:r>
      <w:r w:rsidRPr="000977F7">
        <w:rPr>
          <w:rFonts w:asciiTheme="majorHAnsi" w:hAnsiTheme="majorHAnsi"/>
          <w:sz w:val="20"/>
          <w:szCs w:val="20"/>
        </w:rPr>
        <w:t>вимог,</w:t>
      </w:r>
      <w:r w:rsidRPr="000977F7">
        <w:rPr>
          <w:rFonts w:asciiTheme="majorHAnsi" w:hAnsiTheme="majorHAnsi"/>
          <w:spacing w:val="1"/>
          <w:sz w:val="20"/>
          <w:szCs w:val="20"/>
        </w:rPr>
        <w:t xml:space="preserve"> </w:t>
      </w:r>
      <w:r w:rsidRPr="000977F7">
        <w:rPr>
          <w:rFonts w:asciiTheme="majorHAnsi" w:hAnsiTheme="majorHAnsi"/>
          <w:sz w:val="20"/>
          <w:szCs w:val="20"/>
        </w:rPr>
        <w:t>передбачених частинами третьою і четвертою статті 19 цього Закону, юридична чи</w:t>
      </w:r>
      <w:r w:rsidRPr="000977F7">
        <w:rPr>
          <w:rFonts w:asciiTheme="majorHAnsi" w:hAnsiTheme="majorHAnsi"/>
          <w:spacing w:val="-47"/>
          <w:sz w:val="20"/>
          <w:szCs w:val="20"/>
        </w:rPr>
        <w:t xml:space="preserve"> </w:t>
      </w:r>
      <w:r w:rsidRPr="000977F7">
        <w:rPr>
          <w:rFonts w:asciiTheme="majorHAnsi" w:hAnsiTheme="majorHAnsi"/>
          <w:sz w:val="20"/>
          <w:szCs w:val="20"/>
        </w:rPr>
        <w:t>фізична особа, яка відповідно до законодавства використовує найману працю, сплачує штраф із розрахунку</w:t>
      </w:r>
      <w:r w:rsidRPr="000977F7">
        <w:rPr>
          <w:rFonts w:asciiTheme="majorHAnsi" w:hAnsiTheme="majorHAnsi"/>
          <w:spacing w:val="30"/>
          <w:sz w:val="20"/>
          <w:szCs w:val="20"/>
        </w:rPr>
        <w:t xml:space="preserve"> </w:t>
      </w:r>
      <w:r w:rsidRPr="000977F7">
        <w:rPr>
          <w:rFonts w:asciiTheme="majorHAnsi" w:hAnsiTheme="majorHAnsi"/>
          <w:sz w:val="20"/>
          <w:szCs w:val="20"/>
        </w:rPr>
        <w:t>25</w:t>
      </w:r>
      <w:r w:rsidRPr="000977F7">
        <w:rPr>
          <w:rFonts w:asciiTheme="majorHAnsi" w:hAnsiTheme="majorHAnsi"/>
          <w:spacing w:val="35"/>
          <w:sz w:val="20"/>
          <w:szCs w:val="20"/>
        </w:rPr>
        <w:t xml:space="preserve"> </w:t>
      </w:r>
      <w:r w:rsidRPr="000977F7">
        <w:rPr>
          <w:rFonts w:asciiTheme="majorHAnsi" w:hAnsiTheme="majorHAnsi"/>
          <w:sz w:val="20"/>
          <w:szCs w:val="20"/>
        </w:rPr>
        <w:t>відсотків</w:t>
      </w:r>
      <w:r w:rsidRPr="000977F7">
        <w:rPr>
          <w:rFonts w:asciiTheme="majorHAnsi" w:hAnsiTheme="majorHAnsi"/>
          <w:spacing w:val="33"/>
          <w:sz w:val="20"/>
          <w:szCs w:val="20"/>
        </w:rPr>
        <w:t xml:space="preserve"> </w:t>
      </w:r>
      <w:r w:rsidRPr="000977F7">
        <w:rPr>
          <w:rFonts w:asciiTheme="majorHAnsi" w:hAnsiTheme="majorHAnsi"/>
          <w:sz w:val="20"/>
          <w:szCs w:val="20"/>
        </w:rPr>
        <w:t>від</w:t>
      </w:r>
      <w:r w:rsidRPr="000977F7">
        <w:rPr>
          <w:rFonts w:asciiTheme="majorHAnsi" w:hAnsiTheme="majorHAnsi"/>
          <w:spacing w:val="33"/>
          <w:sz w:val="20"/>
          <w:szCs w:val="20"/>
        </w:rPr>
        <w:t xml:space="preserve"> </w:t>
      </w:r>
      <w:r w:rsidRPr="000977F7">
        <w:rPr>
          <w:rFonts w:asciiTheme="majorHAnsi" w:hAnsiTheme="majorHAnsi"/>
          <w:sz w:val="20"/>
          <w:szCs w:val="20"/>
        </w:rPr>
        <w:t>різниці</w:t>
      </w:r>
      <w:r w:rsidRPr="000977F7">
        <w:rPr>
          <w:rFonts w:asciiTheme="majorHAnsi" w:hAnsiTheme="majorHAnsi"/>
          <w:spacing w:val="36"/>
          <w:sz w:val="20"/>
          <w:szCs w:val="20"/>
        </w:rPr>
        <w:t xml:space="preserve"> </w:t>
      </w:r>
      <w:r w:rsidRPr="000977F7">
        <w:rPr>
          <w:rFonts w:asciiTheme="majorHAnsi" w:hAnsiTheme="majorHAnsi"/>
          <w:sz w:val="20"/>
          <w:szCs w:val="20"/>
        </w:rPr>
        <w:t>між</w:t>
      </w:r>
      <w:r w:rsidRPr="000977F7">
        <w:rPr>
          <w:rFonts w:asciiTheme="majorHAnsi" w:hAnsiTheme="majorHAnsi"/>
          <w:spacing w:val="33"/>
          <w:sz w:val="20"/>
          <w:szCs w:val="20"/>
        </w:rPr>
        <w:t xml:space="preserve"> </w:t>
      </w:r>
      <w:r w:rsidRPr="000977F7">
        <w:rPr>
          <w:rFonts w:asciiTheme="majorHAnsi" w:hAnsiTheme="majorHAnsi"/>
          <w:sz w:val="20"/>
          <w:szCs w:val="20"/>
        </w:rPr>
        <w:t>розрахунковою</w:t>
      </w:r>
      <w:r w:rsidRPr="000977F7">
        <w:rPr>
          <w:rFonts w:asciiTheme="majorHAnsi" w:hAnsiTheme="majorHAnsi"/>
          <w:spacing w:val="35"/>
          <w:sz w:val="20"/>
          <w:szCs w:val="20"/>
        </w:rPr>
        <w:t xml:space="preserve"> </w:t>
      </w:r>
      <w:r w:rsidRPr="000977F7">
        <w:rPr>
          <w:rFonts w:asciiTheme="majorHAnsi" w:hAnsiTheme="majorHAnsi"/>
          <w:sz w:val="20"/>
          <w:szCs w:val="20"/>
        </w:rPr>
        <w:t>мінімальною сумою витрат на охорону праці у звітному</w:t>
      </w:r>
      <w:r w:rsidRPr="000977F7">
        <w:rPr>
          <w:rFonts w:asciiTheme="majorHAnsi" w:hAnsiTheme="majorHAnsi"/>
          <w:spacing w:val="1"/>
          <w:sz w:val="20"/>
          <w:szCs w:val="20"/>
        </w:rPr>
        <w:t xml:space="preserve"> </w:t>
      </w:r>
      <w:r w:rsidRPr="000977F7">
        <w:rPr>
          <w:rFonts w:asciiTheme="majorHAnsi" w:hAnsiTheme="majorHAnsi"/>
          <w:sz w:val="20"/>
          <w:szCs w:val="20"/>
        </w:rPr>
        <w:t>періоді та фактичною сумою цих витрат за такий період.</w:t>
      </w:r>
    </w:p>
    <w:p w14:paraId="48E4402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Несплата або неповна сплата юридичними чи фізичними особами, які відповідно до законодавства використовують найману працю, штрафу тягне за собою</w:t>
      </w:r>
      <w:r w:rsidRPr="000977F7">
        <w:rPr>
          <w:rFonts w:asciiTheme="majorHAnsi" w:hAnsiTheme="majorHAnsi"/>
          <w:spacing w:val="1"/>
          <w:sz w:val="20"/>
          <w:szCs w:val="20"/>
        </w:rPr>
        <w:t xml:space="preserve"> </w:t>
      </w:r>
      <w:r w:rsidRPr="000977F7">
        <w:rPr>
          <w:rFonts w:asciiTheme="majorHAnsi" w:hAnsiTheme="majorHAnsi"/>
          <w:sz w:val="20"/>
          <w:szCs w:val="20"/>
        </w:rPr>
        <w:t>нарахування пені на несплачену суму штрафу (його</w:t>
      </w:r>
      <w:r w:rsidRPr="000977F7">
        <w:rPr>
          <w:rFonts w:asciiTheme="majorHAnsi" w:hAnsiTheme="majorHAnsi"/>
          <w:spacing w:val="1"/>
          <w:sz w:val="20"/>
          <w:szCs w:val="20"/>
        </w:rPr>
        <w:t xml:space="preserve"> </w:t>
      </w:r>
      <w:r w:rsidRPr="000977F7">
        <w:rPr>
          <w:rFonts w:asciiTheme="majorHAnsi" w:hAnsiTheme="majorHAnsi"/>
          <w:sz w:val="20"/>
          <w:szCs w:val="20"/>
        </w:rPr>
        <w:t>частини) з розрахунку 120 відсотків річних облікової</w:t>
      </w:r>
      <w:r w:rsidRPr="000977F7">
        <w:rPr>
          <w:rFonts w:asciiTheme="majorHAnsi" w:hAnsiTheme="majorHAnsi"/>
          <w:spacing w:val="1"/>
          <w:sz w:val="20"/>
          <w:szCs w:val="20"/>
        </w:rPr>
        <w:t xml:space="preserve"> </w:t>
      </w:r>
      <w:r w:rsidRPr="000977F7">
        <w:rPr>
          <w:rFonts w:asciiTheme="majorHAnsi" w:hAnsiTheme="majorHAnsi"/>
          <w:sz w:val="20"/>
          <w:szCs w:val="20"/>
        </w:rPr>
        <w:t>ставки Національного банку України, що діяла в період</w:t>
      </w:r>
      <w:r w:rsidRPr="000977F7">
        <w:rPr>
          <w:rFonts w:asciiTheme="majorHAnsi" w:hAnsiTheme="majorHAnsi"/>
          <w:spacing w:val="-2"/>
          <w:sz w:val="20"/>
          <w:szCs w:val="20"/>
        </w:rPr>
        <w:t xml:space="preserve"> </w:t>
      </w:r>
      <w:r w:rsidRPr="000977F7">
        <w:rPr>
          <w:rFonts w:asciiTheme="majorHAnsi" w:hAnsiTheme="majorHAnsi"/>
          <w:sz w:val="20"/>
          <w:szCs w:val="20"/>
        </w:rPr>
        <w:t>такої</w:t>
      </w:r>
      <w:r w:rsidRPr="000977F7">
        <w:rPr>
          <w:rFonts w:asciiTheme="majorHAnsi" w:hAnsiTheme="majorHAnsi"/>
          <w:spacing w:val="-2"/>
          <w:sz w:val="20"/>
          <w:szCs w:val="20"/>
        </w:rPr>
        <w:t xml:space="preserve"> </w:t>
      </w:r>
      <w:r w:rsidRPr="000977F7">
        <w:rPr>
          <w:rFonts w:asciiTheme="majorHAnsi" w:hAnsiTheme="majorHAnsi"/>
          <w:sz w:val="20"/>
          <w:szCs w:val="20"/>
        </w:rPr>
        <w:t>несплати,</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кожен день</w:t>
      </w:r>
      <w:r w:rsidRPr="000977F7">
        <w:rPr>
          <w:rFonts w:asciiTheme="majorHAnsi" w:hAnsiTheme="majorHAnsi"/>
          <w:spacing w:val="-1"/>
          <w:sz w:val="20"/>
          <w:szCs w:val="20"/>
        </w:rPr>
        <w:t xml:space="preserve"> </w:t>
      </w:r>
      <w:r w:rsidRPr="000977F7">
        <w:rPr>
          <w:rFonts w:asciiTheme="majorHAnsi" w:hAnsiTheme="majorHAnsi"/>
          <w:sz w:val="20"/>
          <w:szCs w:val="20"/>
        </w:rPr>
        <w:t>прострочення.</w:t>
      </w:r>
    </w:p>
    <w:p w14:paraId="777EB8A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Кошти від застосування штрафних санкцій до юридичних чи фізичних осіб, які відповідно до законодавства</w:t>
      </w:r>
      <w:r w:rsidRPr="000977F7">
        <w:rPr>
          <w:rFonts w:asciiTheme="majorHAnsi" w:hAnsiTheme="majorHAnsi"/>
          <w:spacing w:val="17"/>
          <w:sz w:val="20"/>
          <w:szCs w:val="20"/>
        </w:rPr>
        <w:t xml:space="preserve"> </w:t>
      </w:r>
      <w:r w:rsidRPr="000977F7">
        <w:rPr>
          <w:rFonts w:asciiTheme="majorHAnsi" w:hAnsiTheme="majorHAnsi"/>
          <w:sz w:val="20"/>
          <w:szCs w:val="20"/>
        </w:rPr>
        <w:t>використовують</w:t>
      </w:r>
      <w:r w:rsidRPr="000977F7">
        <w:rPr>
          <w:rFonts w:asciiTheme="majorHAnsi" w:hAnsiTheme="majorHAnsi"/>
          <w:spacing w:val="18"/>
          <w:sz w:val="20"/>
          <w:szCs w:val="20"/>
        </w:rPr>
        <w:t xml:space="preserve"> </w:t>
      </w:r>
      <w:r w:rsidRPr="000977F7">
        <w:rPr>
          <w:rFonts w:asciiTheme="majorHAnsi" w:hAnsiTheme="majorHAnsi"/>
          <w:sz w:val="20"/>
          <w:szCs w:val="20"/>
        </w:rPr>
        <w:t>найману</w:t>
      </w:r>
      <w:r w:rsidRPr="000977F7">
        <w:rPr>
          <w:rFonts w:asciiTheme="majorHAnsi" w:hAnsiTheme="majorHAnsi"/>
          <w:spacing w:val="14"/>
          <w:sz w:val="20"/>
          <w:szCs w:val="20"/>
        </w:rPr>
        <w:t xml:space="preserve"> </w:t>
      </w:r>
      <w:r w:rsidRPr="000977F7">
        <w:rPr>
          <w:rFonts w:asciiTheme="majorHAnsi" w:hAnsiTheme="majorHAnsi"/>
          <w:sz w:val="20"/>
          <w:szCs w:val="20"/>
        </w:rPr>
        <w:t>працю,</w:t>
      </w:r>
      <w:r w:rsidRPr="000977F7">
        <w:rPr>
          <w:rFonts w:asciiTheme="majorHAnsi" w:hAnsiTheme="majorHAnsi"/>
          <w:spacing w:val="17"/>
          <w:sz w:val="20"/>
          <w:szCs w:val="20"/>
        </w:rPr>
        <w:t xml:space="preserve"> </w:t>
      </w:r>
      <w:r w:rsidRPr="000977F7">
        <w:rPr>
          <w:rFonts w:asciiTheme="majorHAnsi" w:hAnsiTheme="majorHAnsi"/>
          <w:sz w:val="20"/>
          <w:szCs w:val="20"/>
        </w:rPr>
        <w:t>посадових</w:t>
      </w:r>
      <w:r w:rsidRPr="000977F7">
        <w:rPr>
          <w:rFonts w:asciiTheme="majorHAnsi" w:hAnsiTheme="majorHAnsi"/>
          <w:spacing w:val="16"/>
          <w:sz w:val="20"/>
          <w:szCs w:val="20"/>
        </w:rPr>
        <w:t xml:space="preserve"> </w:t>
      </w:r>
      <w:r w:rsidRPr="000977F7">
        <w:rPr>
          <w:rFonts w:asciiTheme="majorHAnsi" w:hAnsiTheme="majorHAnsi"/>
          <w:sz w:val="20"/>
          <w:szCs w:val="20"/>
        </w:rPr>
        <w:t>осіб</w:t>
      </w:r>
      <w:r w:rsidRPr="000977F7">
        <w:rPr>
          <w:rFonts w:asciiTheme="majorHAnsi" w:hAnsiTheme="majorHAnsi"/>
          <w:spacing w:val="-47"/>
          <w:sz w:val="20"/>
          <w:szCs w:val="20"/>
        </w:rPr>
        <w:t xml:space="preserve"> </w:t>
      </w:r>
      <w:r w:rsidRPr="000977F7">
        <w:rPr>
          <w:rFonts w:asciiTheme="majorHAnsi" w:hAnsiTheme="majorHAnsi"/>
          <w:sz w:val="20"/>
          <w:szCs w:val="20"/>
        </w:rPr>
        <w:t>і працівників, визначених цією статтею, зараховуються</w:t>
      </w:r>
      <w:r w:rsidRPr="000977F7">
        <w:rPr>
          <w:rFonts w:asciiTheme="majorHAnsi" w:hAnsiTheme="majorHAnsi"/>
          <w:spacing w:val="-2"/>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Державного</w:t>
      </w:r>
      <w:r w:rsidRPr="000977F7">
        <w:rPr>
          <w:rFonts w:asciiTheme="majorHAnsi" w:hAnsiTheme="majorHAnsi"/>
          <w:spacing w:val="1"/>
          <w:sz w:val="20"/>
          <w:szCs w:val="20"/>
        </w:rPr>
        <w:t xml:space="preserve"> </w:t>
      </w:r>
      <w:r w:rsidRPr="000977F7">
        <w:rPr>
          <w:rFonts w:asciiTheme="majorHAnsi" w:hAnsiTheme="majorHAnsi"/>
          <w:sz w:val="20"/>
          <w:szCs w:val="20"/>
        </w:rPr>
        <w:t>бюджету</w:t>
      </w:r>
      <w:r w:rsidRPr="000977F7">
        <w:rPr>
          <w:rFonts w:asciiTheme="majorHAnsi" w:hAnsiTheme="majorHAnsi"/>
          <w:spacing w:val="-2"/>
          <w:sz w:val="20"/>
          <w:szCs w:val="20"/>
        </w:rPr>
        <w:t xml:space="preserve"> </w:t>
      </w:r>
      <w:r w:rsidRPr="000977F7">
        <w:rPr>
          <w:rFonts w:asciiTheme="majorHAnsi" w:hAnsiTheme="majorHAnsi"/>
          <w:sz w:val="20"/>
          <w:szCs w:val="20"/>
        </w:rPr>
        <w:t>України.</w:t>
      </w:r>
    </w:p>
    <w:p w14:paraId="537E518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Притягнення</w:t>
      </w:r>
      <w:r w:rsidRPr="000977F7">
        <w:rPr>
          <w:rFonts w:asciiTheme="majorHAnsi" w:hAnsiTheme="majorHAnsi"/>
          <w:spacing w:val="1"/>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відповідальності</w:t>
      </w:r>
      <w:r w:rsidRPr="000977F7">
        <w:rPr>
          <w:rFonts w:asciiTheme="majorHAnsi" w:hAnsiTheme="majorHAnsi"/>
          <w:spacing w:val="1"/>
          <w:sz w:val="20"/>
          <w:szCs w:val="20"/>
        </w:rPr>
        <w:t xml:space="preserve"> </w:t>
      </w:r>
      <w:r w:rsidRPr="000977F7">
        <w:rPr>
          <w:rFonts w:asciiTheme="majorHAnsi" w:hAnsiTheme="majorHAnsi"/>
          <w:sz w:val="20"/>
          <w:szCs w:val="20"/>
        </w:rPr>
        <w:t>посадових</w:t>
      </w:r>
      <w:r w:rsidRPr="000977F7">
        <w:rPr>
          <w:rFonts w:asciiTheme="majorHAnsi" w:hAnsiTheme="majorHAnsi"/>
          <w:spacing w:val="1"/>
          <w:sz w:val="20"/>
          <w:szCs w:val="20"/>
        </w:rPr>
        <w:t xml:space="preserve"> </w:t>
      </w:r>
      <w:r w:rsidRPr="000977F7">
        <w:rPr>
          <w:rFonts w:asciiTheme="majorHAnsi" w:hAnsiTheme="majorHAnsi"/>
          <w:sz w:val="20"/>
          <w:szCs w:val="20"/>
        </w:rPr>
        <w:t>осіб</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працівників за порушення законів та інших нормативно-правових актів з охорони праці здійснюється відповідно до Кодексу України про адміністративні правопорушення.</w:t>
      </w:r>
    </w:p>
    <w:p w14:paraId="300B96A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Ст.</w:t>
      </w:r>
      <w:r w:rsidRPr="000977F7">
        <w:rPr>
          <w:rFonts w:asciiTheme="majorHAnsi" w:hAnsiTheme="majorHAnsi"/>
          <w:i/>
          <w:spacing w:val="-2"/>
          <w:sz w:val="20"/>
          <w:szCs w:val="20"/>
        </w:rPr>
        <w:t xml:space="preserve"> </w:t>
      </w:r>
      <w:r w:rsidRPr="000977F7">
        <w:rPr>
          <w:rFonts w:asciiTheme="majorHAnsi" w:hAnsiTheme="majorHAnsi"/>
          <w:i/>
          <w:sz w:val="20"/>
          <w:szCs w:val="20"/>
        </w:rPr>
        <w:t>43 закону</w:t>
      </w:r>
      <w:r w:rsidRPr="000977F7">
        <w:rPr>
          <w:rFonts w:asciiTheme="majorHAnsi" w:hAnsiTheme="majorHAnsi"/>
          <w:i/>
          <w:spacing w:val="-3"/>
          <w:sz w:val="20"/>
          <w:szCs w:val="20"/>
        </w:rPr>
        <w:t xml:space="preserve"> </w:t>
      </w:r>
      <w:r w:rsidRPr="000977F7">
        <w:rPr>
          <w:rFonts w:asciiTheme="majorHAnsi" w:hAnsiTheme="majorHAnsi"/>
          <w:i/>
          <w:sz w:val="20"/>
          <w:szCs w:val="20"/>
        </w:rPr>
        <w:t>України</w:t>
      </w:r>
      <w:r w:rsidRPr="000977F7">
        <w:rPr>
          <w:rFonts w:asciiTheme="majorHAnsi" w:hAnsiTheme="majorHAnsi"/>
          <w:i/>
          <w:spacing w:val="-1"/>
          <w:sz w:val="20"/>
          <w:szCs w:val="20"/>
        </w:rPr>
        <w:t xml:space="preserve"> "</w:t>
      </w:r>
      <w:r w:rsidRPr="000977F7">
        <w:rPr>
          <w:rFonts w:asciiTheme="majorHAnsi" w:hAnsiTheme="majorHAnsi"/>
          <w:i/>
          <w:sz w:val="20"/>
          <w:szCs w:val="20"/>
        </w:rPr>
        <w:t>Про</w:t>
      </w:r>
      <w:r w:rsidRPr="000977F7">
        <w:rPr>
          <w:rFonts w:asciiTheme="majorHAnsi" w:hAnsiTheme="majorHAnsi"/>
          <w:i/>
          <w:spacing w:val="-3"/>
          <w:sz w:val="20"/>
          <w:szCs w:val="20"/>
        </w:rPr>
        <w:t xml:space="preserve"> </w:t>
      </w:r>
      <w:r w:rsidRPr="000977F7">
        <w:rPr>
          <w:rFonts w:asciiTheme="majorHAnsi" w:hAnsiTheme="majorHAnsi"/>
          <w:i/>
          <w:sz w:val="20"/>
          <w:szCs w:val="20"/>
        </w:rPr>
        <w:t>охорону</w:t>
      </w:r>
      <w:r w:rsidRPr="000977F7">
        <w:rPr>
          <w:rFonts w:asciiTheme="majorHAnsi" w:hAnsiTheme="majorHAnsi"/>
          <w:i/>
          <w:spacing w:val="-4"/>
          <w:sz w:val="20"/>
          <w:szCs w:val="20"/>
        </w:rPr>
        <w:t xml:space="preserve"> </w:t>
      </w:r>
      <w:r w:rsidRPr="000977F7">
        <w:rPr>
          <w:rFonts w:asciiTheme="majorHAnsi" w:hAnsiTheme="majorHAnsi"/>
          <w:i/>
          <w:sz w:val="20"/>
          <w:szCs w:val="20"/>
        </w:rPr>
        <w:t>праці"</w:t>
      </w:r>
    </w:p>
    <w:p w14:paraId="479FEF0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ШТРИХ</w:t>
      </w:r>
      <w:r w:rsidRPr="000977F7">
        <w:rPr>
          <w:color w:val="auto"/>
          <w:spacing w:val="-2"/>
          <w:sz w:val="20"/>
          <w:szCs w:val="20"/>
        </w:rPr>
        <w:t xml:space="preserve"> </w:t>
      </w:r>
      <w:r w:rsidRPr="000977F7">
        <w:rPr>
          <w:color w:val="auto"/>
          <w:sz w:val="20"/>
          <w:szCs w:val="20"/>
        </w:rPr>
        <w:t>–</w:t>
      </w:r>
    </w:p>
    <w:p w14:paraId="5DA2596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BAR</w:t>
      </w:r>
      <w:r w:rsidRPr="000977F7">
        <w:rPr>
          <w:rFonts w:asciiTheme="majorHAnsi" w:hAnsiTheme="majorHAnsi"/>
          <w:spacing w:val="-3"/>
          <w:sz w:val="20"/>
          <w:szCs w:val="20"/>
        </w:rPr>
        <w:t xml:space="preserve"> </w:t>
      </w:r>
      <w:r w:rsidRPr="000977F7">
        <w:rPr>
          <w:rFonts w:asciiTheme="majorHAnsi" w:hAnsiTheme="majorHAnsi"/>
          <w:sz w:val="20"/>
          <w:szCs w:val="20"/>
        </w:rPr>
        <w:t>–</w:t>
      </w:r>
    </w:p>
    <w:p w14:paraId="384DA20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Елемент штрихового коду, що є частиною поверхні</w:t>
      </w:r>
      <w:r w:rsidRPr="000977F7">
        <w:rPr>
          <w:rFonts w:asciiTheme="majorHAnsi" w:hAnsiTheme="majorHAnsi"/>
          <w:spacing w:val="1"/>
          <w:sz w:val="20"/>
          <w:szCs w:val="20"/>
        </w:rPr>
        <w:t xml:space="preserve"> </w:t>
      </w:r>
      <w:r w:rsidRPr="000977F7">
        <w:rPr>
          <w:rFonts w:asciiTheme="majorHAnsi" w:hAnsiTheme="majorHAnsi"/>
          <w:sz w:val="20"/>
          <w:szCs w:val="20"/>
        </w:rPr>
        <w:t>носія, обмеженою паралельними лініями, яка має забарвлення</w:t>
      </w:r>
      <w:r w:rsidRPr="000977F7">
        <w:rPr>
          <w:rFonts w:asciiTheme="majorHAnsi" w:hAnsiTheme="majorHAnsi"/>
          <w:spacing w:val="1"/>
          <w:sz w:val="20"/>
          <w:szCs w:val="20"/>
        </w:rPr>
        <w:t xml:space="preserve"> </w:t>
      </w:r>
      <w:r w:rsidRPr="000977F7">
        <w:rPr>
          <w:rFonts w:asciiTheme="majorHAnsi" w:hAnsiTheme="majorHAnsi"/>
          <w:sz w:val="20"/>
          <w:szCs w:val="20"/>
        </w:rPr>
        <w:t>з</w:t>
      </w:r>
      <w:r w:rsidRPr="000977F7">
        <w:rPr>
          <w:rFonts w:asciiTheme="majorHAnsi" w:hAnsiTheme="majorHAnsi"/>
          <w:spacing w:val="1"/>
          <w:sz w:val="20"/>
          <w:szCs w:val="20"/>
        </w:rPr>
        <w:t xml:space="preserve"> </w:t>
      </w:r>
      <w:r w:rsidRPr="000977F7">
        <w:rPr>
          <w:rFonts w:asciiTheme="majorHAnsi" w:hAnsiTheme="majorHAnsi"/>
          <w:sz w:val="20"/>
          <w:szCs w:val="20"/>
        </w:rPr>
        <w:t>меншим</w:t>
      </w:r>
      <w:r w:rsidRPr="000977F7">
        <w:rPr>
          <w:rFonts w:asciiTheme="majorHAnsi" w:hAnsiTheme="majorHAnsi"/>
          <w:spacing w:val="1"/>
          <w:sz w:val="20"/>
          <w:szCs w:val="20"/>
        </w:rPr>
        <w:t xml:space="preserve"> </w:t>
      </w:r>
      <w:r w:rsidRPr="000977F7">
        <w:rPr>
          <w:rFonts w:asciiTheme="majorHAnsi" w:hAnsiTheme="majorHAnsi"/>
          <w:sz w:val="20"/>
          <w:szCs w:val="20"/>
        </w:rPr>
        <w:t>коефіцієнтом</w:t>
      </w:r>
      <w:r w:rsidRPr="000977F7">
        <w:rPr>
          <w:rFonts w:asciiTheme="majorHAnsi" w:hAnsiTheme="majorHAnsi"/>
          <w:spacing w:val="1"/>
          <w:sz w:val="20"/>
          <w:szCs w:val="20"/>
        </w:rPr>
        <w:t xml:space="preserve"> </w:t>
      </w:r>
      <w:r w:rsidRPr="000977F7">
        <w:rPr>
          <w:rFonts w:asciiTheme="majorHAnsi" w:hAnsiTheme="majorHAnsi"/>
          <w:sz w:val="20"/>
          <w:szCs w:val="20"/>
        </w:rPr>
        <w:t>відбиття,</w:t>
      </w:r>
      <w:r w:rsidRPr="000977F7">
        <w:rPr>
          <w:rFonts w:asciiTheme="majorHAnsi" w:hAnsiTheme="majorHAnsi"/>
          <w:spacing w:val="1"/>
          <w:sz w:val="20"/>
          <w:szCs w:val="20"/>
        </w:rPr>
        <w:t xml:space="preserve"> </w:t>
      </w:r>
      <w:r w:rsidRPr="000977F7">
        <w:rPr>
          <w:rFonts w:asciiTheme="majorHAnsi" w:hAnsiTheme="majorHAnsi"/>
          <w:sz w:val="20"/>
          <w:szCs w:val="20"/>
        </w:rPr>
        <w:t>ніж</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1"/>
          <w:sz w:val="20"/>
          <w:szCs w:val="20"/>
        </w:rPr>
        <w:t xml:space="preserve"> </w:t>
      </w:r>
      <w:r w:rsidRPr="000977F7">
        <w:rPr>
          <w:rFonts w:asciiTheme="majorHAnsi" w:hAnsiTheme="majorHAnsi"/>
          <w:sz w:val="20"/>
          <w:szCs w:val="20"/>
        </w:rPr>
        <w:t>поверхні</w:t>
      </w:r>
      <w:r w:rsidRPr="000977F7">
        <w:rPr>
          <w:rFonts w:asciiTheme="majorHAnsi" w:hAnsiTheme="majorHAnsi"/>
          <w:spacing w:val="-2"/>
          <w:sz w:val="20"/>
          <w:szCs w:val="20"/>
        </w:rPr>
        <w:t xml:space="preserve"> </w:t>
      </w:r>
      <w:r w:rsidRPr="000977F7">
        <w:rPr>
          <w:rFonts w:asciiTheme="majorHAnsi" w:hAnsiTheme="majorHAnsi"/>
          <w:sz w:val="20"/>
          <w:szCs w:val="20"/>
        </w:rPr>
        <w:t>носія</w:t>
      </w:r>
    </w:p>
    <w:p w14:paraId="154DFB4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3144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BAD9B9F"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ШТРИХКОДОВА</w:t>
      </w:r>
      <w:r w:rsidRPr="000977F7">
        <w:rPr>
          <w:color w:val="auto"/>
          <w:spacing w:val="-5"/>
          <w:sz w:val="20"/>
          <w:szCs w:val="20"/>
        </w:rPr>
        <w:t xml:space="preserve"> </w:t>
      </w:r>
      <w:r w:rsidRPr="000977F7">
        <w:rPr>
          <w:color w:val="auto"/>
          <w:sz w:val="20"/>
          <w:szCs w:val="20"/>
        </w:rPr>
        <w:t>ПОЗНАЧКА</w:t>
      </w:r>
      <w:r w:rsidRPr="000977F7">
        <w:rPr>
          <w:color w:val="auto"/>
          <w:spacing w:val="-2"/>
          <w:sz w:val="20"/>
          <w:szCs w:val="20"/>
        </w:rPr>
        <w:t xml:space="preserve"> </w:t>
      </w:r>
      <w:r w:rsidRPr="000977F7">
        <w:rPr>
          <w:b w:val="0"/>
          <w:color w:val="auto"/>
          <w:sz w:val="20"/>
          <w:szCs w:val="20"/>
        </w:rPr>
        <w:t>–</w:t>
      </w:r>
    </w:p>
    <w:p w14:paraId="7E3811E0" w14:textId="77777777" w:rsidR="0097612F" w:rsidRPr="000977F7" w:rsidRDefault="0097612F" w:rsidP="000977F7">
      <w:pPr>
        <w:pStyle w:val="af6"/>
        <w:tabs>
          <w:tab w:val="left" w:pos="284"/>
        </w:tabs>
        <w:spacing w:after="0"/>
        <w:ind w:left="170"/>
        <w:mirrorIndents/>
        <w:jc w:val="both"/>
        <w:rPr>
          <w:rFonts w:asciiTheme="majorHAnsi" w:hAnsiTheme="majorHAnsi"/>
          <w:spacing w:val="1"/>
          <w:w w:val="95"/>
          <w:sz w:val="20"/>
          <w:szCs w:val="20"/>
        </w:rPr>
      </w:pPr>
      <w:r w:rsidRPr="000977F7">
        <w:rPr>
          <w:rFonts w:asciiTheme="majorHAnsi" w:hAnsiTheme="majorHAnsi"/>
          <w:spacing w:val="-1"/>
          <w:sz w:val="20"/>
          <w:szCs w:val="20"/>
        </w:rPr>
        <w:t>Сукупність</w:t>
      </w:r>
      <w:r w:rsidRPr="000977F7">
        <w:rPr>
          <w:rFonts w:asciiTheme="majorHAnsi" w:hAnsiTheme="majorHAnsi"/>
          <w:spacing w:val="-10"/>
          <w:sz w:val="20"/>
          <w:szCs w:val="20"/>
        </w:rPr>
        <w:t xml:space="preserve"> </w:t>
      </w:r>
      <w:r w:rsidRPr="000977F7">
        <w:rPr>
          <w:rFonts w:asciiTheme="majorHAnsi" w:hAnsiTheme="majorHAnsi"/>
          <w:spacing w:val="-1"/>
          <w:sz w:val="20"/>
          <w:szCs w:val="20"/>
        </w:rPr>
        <w:t>даних,</w:t>
      </w:r>
      <w:r w:rsidRPr="000977F7">
        <w:rPr>
          <w:rFonts w:asciiTheme="majorHAnsi" w:hAnsiTheme="majorHAnsi"/>
          <w:spacing w:val="-7"/>
          <w:sz w:val="20"/>
          <w:szCs w:val="20"/>
        </w:rPr>
        <w:t xml:space="preserve"> </w:t>
      </w:r>
      <w:r w:rsidRPr="000977F7">
        <w:rPr>
          <w:rFonts w:asciiTheme="majorHAnsi" w:hAnsiTheme="majorHAnsi"/>
          <w:sz w:val="20"/>
          <w:szCs w:val="20"/>
        </w:rPr>
        <w:t>поданих</w:t>
      </w:r>
      <w:r w:rsidRPr="000977F7">
        <w:rPr>
          <w:rFonts w:asciiTheme="majorHAnsi" w:hAnsiTheme="majorHAnsi"/>
          <w:spacing w:val="-9"/>
          <w:sz w:val="20"/>
          <w:szCs w:val="20"/>
        </w:rPr>
        <w:t xml:space="preserve"> </w:t>
      </w:r>
      <w:r w:rsidRPr="000977F7">
        <w:rPr>
          <w:rFonts w:asciiTheme="majorHAnsi" w:hAnsiTheme="majorHAnsi"/>
          <w:sz w:val="20"/>
          <w:szCs w:val="20"/>
        </w:rPr>
        <w:t>у</w:t>
      </w:r>
      <w:r w:rsidRPr="000977F7">
        <w:rPr>
          <w:rFonts w:asciiTheme="majorHAnsi" w:hAnsiTheme="majorHAnsi"/>
          <w:spacing w:val="-8"/>
          <w:sz w:val="20"/>
          <w:szCs w:val="20"/>
        </w:rPr>
        <w:t xml:space="preserve"> </w:t>
      </w:r>
      <w:r w:rsidRPr="000977F7">
        <w:rPr>
          <w:rFonts w:asciiTheme="majorHAnsi" w:hAnsiTheme="majorHAnsi"/>
          <w:sz w:val="20"/>
          <w:szCs w:val="20"/>
        </w:rPr>
        <w:t>вигляді</w:t>
      </w:r>
      <w:r w:rsidRPr="000977F7">
        <w:rPr>
          <w:rFonts w:asciiTheme="majorHAnsi" w:hAnsiTheme="majorHAnsi"/>
          <w:spacing w:val="-10"/>
          <w:sz w:val="20"/>
          <w:szCs w:val="20"/>
        </w:rPr>
        <w:t xml:space="preserve"> </w:t>
      </w:r>
      <w:r w:rsidRPr="000977F7">
        <w:rPr>
          <w:rFonts w:asciiTheme="majorHAnsi" w:hAnsiTheme="majorHAnsi"/>
          <w:sz w:val="20"/>
          <w:szCs w:val="20"/>
        </w:rPr>
        <w:t>штрихового</w:t>
      </w:r>
      <w:r w:rsidRPr="000977F7">
        <w:rPr>
          <w:rFonts w:asciiTheme="majorHAnsi" w:hAnsiTheme="majorHAnsi"/>
          <w:spacing w:val="-8"/>
          <w:sz w:val="20"/>
          <w:szCs w:val="20"/>
        </w:rPr>
        <w:t xml:space="preserve"> </w:t>
      </w:r>
      <w:r w:rsidRPr="000977F7">
        <w:rPr>
          <w:rFonts w:asciiTheme="majorHAnsi" w:hAnsiTheme="majorHAnsi"/>
          <w:sz w:val="20"/>
          <w:szCs w:val="20"/>
        </w:rPr>
        <w:t>та</w:t>
      </w:r>
      <w:r w:rsidRPr="000977F7">
        <w:rPr>
          <w:rFonts w:asciiTheme="majorHAnsi" w:hAnsiTheme="majorHAnsi"/>
          <w:spacing w:val="-9"/>
          <w:sz w:val="20"/>
          <w:szCs w:val="20"/>
        </w:rPr>
        <w:t xml:space="preserve"> </w:t>
      </w:r>
      <w:r w:rsidRPr="000977F7">
        <w:rPr>
          <w:rFonts w:asciiTheme="majorHAnsi" w:hAnsiTheme="majorHAnsi"/>
          <w:sz w:val="20"/>
          <w:szCs w:val="20"/>
        </w:rPr>
        <w:t>ін</w:t>
      </w:r>
      <w:r w:rsidRPr="000977F7">
        <w:rPr>
          <w:rFonts w:asciiTheme="majorHAnsi" w:hAnsiTheme="majorHAnsi"/>
          <w:spacing w:val="-3"/>
          <w:sz w:val="20"/>
          <w:szCs w:val="20"/>
        </w:rPr>
        <w:t>ших</w:t>
      </w:r>
      <w:r w:rsidRPr="000977F7">
        <w:rPr>
          <w:rFonts w:asciiTheme="majorHAnsi" w:hAnsiTheme="majorHAnsi"/>
          <w:spacing w:val="-9"/>
          <w:sz w:val="20"/>
          <w:szCs w:val="20"/>
        </w:rPr>
        <w:t xml:space="preserve"> </w:t>
      </w:r>
      <w:r w:rsidRPr="000977F7">
        <w:rPr>
          <w:rFonts w:asciiTheme="majorHAnsi" w:hAnsiTheme="majorHAnsi"/>
          <w:spacing w:val="-3"/>
          <w:sz w:val="20"/>
          <w:szCs w:val="20"/>
        </w:rPr>
        <w:t>елементів,</w:t>
      </w:r>
      <w:r w:rsidRPr="000977F7">
        <w:rPr>
          <w:rFonts w:asciiTheme="majorHAnsi" w:hAnsiTheme="majorHAnsi"/>
          <w:spacing w:val="-6"/>
          <w:sz w:val="20"/>
          <w:szCs w:val="20"/>
        </w:rPr>
        <w:t xml:space="preserve"> </w:t>
      </w:r>
      <w:r w:rsidRPr="000977F7">
        <w:rPr>
          <w:rFonts w:asciiTheme="majorHAnsi" w:hAnsiTheme="majorHAnsi"/>
          <w:spacing w:val="-3"/>
          <w:sz w:val="20"/>
          <w:szCs w:val="20"/>
        </w:rPr>
        <w:t>побудована</w:t>
      </w:r>
      <w:r w:rsidRPr="000977F7">
        <w:rPr>
          <w:rFonts w:asciiTheme="majorHAnsi" w:hAnsiTheme="majorHAnsi"/>
          <w:spacing w:val="-7"/>
          <w:sz w:val="20"/>
          <w:szCs w:val="20"/>
        </w:rPr>
        <w:t xml:space="preserve"> </w:t>
      </w:r>
      <w:r w:rsidRPr="000977F7">
        <w:rPr>
          <w:rFonts w:asciiTheme="majorHAnsi" w:hAnsiTheme="majorHAnsi"/>
          <w:spacing w:val="-3"/>
          <w:sz w:val="20"/>
          <w:szCs w:val="20"/>
        </w:rPr>
        <w:t>за</w:t>
      </w:r>
      <w:r w:rsidRPr="000977F7">
        <w:rPr>
          <w:rFonts w:asciiTheme="majorHAnsi" w:hAnsiTheme="majorHAnsi"/>
          <w:spacing w:val="-7"/>
          <w:sz w:val="20"/>
          <w:szCs w:val="20"/>
        </w:rPr>
        <w:t xml:space="preserve"> </w:t>
      </w:r>
      <w:r w:rsidRPr="000977F7">
        <w:rPr>
          <w:rFonts w:asciiTheme="majorHAnsi" w:hAnsiTheme="majorHAnsi"/>
          <w:spacing w:val="-3"/>
          <w:sz w:val="20"/>
          <w:szCs w:val="20"/>
        </w:rPr>
        <w:t>певними</w:t>
      </w:r>
      <w:r w:rsidRPr="000977F7">
        <w:rPr>
          <w:rFonts w:asciiTheme="majorHAnsi" w:hAnsiTheme="majorHAnsi"/>
          <w:spacing w:val="-6"/>
          <w:sz w:val="20"/>
          <w:szCs w:val="20"/>
        </w:rPr>
        <w:t xml:space="preserve"> </w:t>
      </w:r>
      <w:r w:rsidRPr="000977F7">
        <w:rPr>
          <w:rFonts w:asciiTheme="majorHAnsi" w:hAnsiTheme="majorHAnsi"/>
          <w:spacing w:val="-3"/>
          <w:sz w:val="20"/>
          <w:szCs w:val="20"/>
        </w:rPr>
        <w:t>правилами</w:t>
      </w:r>
      <w:r w:rsidRPr="000977F7">
        <w:rPr>
          <w:rFonts w:asciiTheme="majorHAnsi" w:hAnsiTheme="majorHAnsi"/>
          <w:spacing w:val="-9"/>
          <w:sz w:val="20"/>
          <w:szCs w:val="20"/>
        </w:rPr>
        <w:t xml:space="preserve"> </w:t>
      </w:r>
      <w:r w:rsidRPr="000977F7">
        <w:rPr>
          <w:rFonts w:asciiTheme="majorHAnsi" w:hAnsiTheme="majorHAnsi"/>
          <w:spacing w:val="-2"/>
          <w:sz w:val="20"/>
          <w:szCs w:val="20"/>
        </w:rPr>
        <w:t>і</w:t>
      </w:r>
      <w:r w:rsidRPr="000977F7">
        <w:rPr>
          <w:rFonts w:asciiTheme="majorHAnsi" w:hAnsiTheme="majorHAnsi"/>
          <w:spacing w:val="-6"/>
          <w:sz w:val="20"/>
          <w:szCs w:val="20"/>
        </w:rPr>
        <w:t xml:space="preserve"> </w:t>
      </w:r>
      <w:r w:rsidRPr="000977F7">
        <w:rPr>
          <w:rFonts w:asciiTheme="majorHAnsi" w:hAnsiTheme="majorHAnsi"/>
          <w:spacing w:val="-2"/>
          <w:sz w:val="20"/>
          <w:szCs w:val="20"/>
        </w:rPr>
        <w:t>при</w:t>
      </w:r>
      <w:r w:rsidRPr="000977F7">
        <w:rPr>
          <w:rFonts w:asciiTheme="majorHAnsi" w:hAnsiTheme="majorHAnsi"/>
          <w:w w:val="95"/>
          <w:sz w:val="20"/>
          <w:szCs w:val="20"/>
        </w:rPr>
        <w:t>значена для автоматичної ідентифікації одиниць обліку</w:t>
      </w:r>
      <w:r w:rsidRPr="000977F7">
        <w:rPr>
          <w:rFonts w:asciiTheme="majorHAnsi" w:hAnsiTheme="majorHAnsi"/>
          <w:spacing w:val="1"/>
          <w:w w:val="95"/>
          <w:sz w:val="20"/>
          <w:szCs w:val="20"/>
        </w:rPr>
        <w:t xml:space="preserve"> </w:t>
      </w:r>
    </w:p>
    <w:p w14:paraId="4812CCF7" w14:textId="77777777" w:rsidR="0097612F" w:rsidRPr="004D2D14" w:rsidRDefault="0097612F" w:rsidP="000977F7">
      <w:pPr>
        <w:pStyle w:val="af6"/>
        <w:tabs>
          <w:tab w:val="left" w:pos="284"/>
        </w:tabs>
        <w:spacing w:after="0"/>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3144</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95</w:t>
      </w:r>
    </w:p>
    <w:p w14:paraId="144DECA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ШТРИХ</w:t>
      </w:r>
      <w:r w:rsidRPr="000977F7">
        <w:rPr>
          <w:color w:val="auto"/>
          <w:spacing w:val="-2"/>
          <w:sz w:val="20"/>
          <w:szCs w:val="20"/>
        </w:rPr>
        <w:t xml:space="preserve"> </w:t>
      </w:r>
      <w:r w:rsidRPr="000977F7">
        <w:rPr>
          <w:color w:val="auto"/>
          <w:sz w:val="20"/>
          <w:szCs w:val="20"/>
        </w:rPr>
        <w:t>–</w:t>
      </w:r>
      <w:r w:rsidRPr="000977F7">
        <w:rPr>
          <w:color w:val="auto"/>
          <w:spacing w:val="-2"/>
          <w:sz w:val="20"/>
          <w:szCs w:val="20"/>
        </w:rPr>
        <w:t xml:space="preserve"> </w:t>
      </w:r>
      <w:r w:rsidRPr="000977F7">
        <w:rPr>
          <w:color w:val="auto"/>
          <w:sz w:val="20"/>
          <w:szCs w:val="20"/>
        </w:rPr>
        <w:t>НОСІЙ</w:t>
      </w:r>
      <w:r w:rsidRPr="000977F7">
        <w:rPr>
          <w:color w:val="auto"/>
          <w:spacing w:val="-2"/>
          <w:sz w:val="20"/>
          <w:szCs w:val="20"/>
        </w:rPr>
        <w:t xml:space="preserve"> </w:t>
      </w:r>
      <w:r w:rsidRPr="000977F7">
        <w:rPr>
          <w:color w:val="auto"/>
          <w:sz w:val="20"/>
          <w:szCs w:val="20"/>
        </w:rPr>
        <w:t>–</w:t>
      </w:r>
    </w:p>
    <w:p w14:paraId="0C7DBDF5"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STROKE-MEDIUM</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(BAR</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CODE) –</w:t>
      </w:r>
    </w:p>
    <w:p w14:paraId="4EED2550"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Прямокутна рамка, що оточує штрихкодову позначку</w:t>
      </w:r>
      <w:r w:rsidRPr="000977F7">
        <w:rPr>
          <w:rFonts w:asciiTheme="majorHAnsi" w:hAnsiTheme="majorHAnsi"/>
          <w:spacing w:val="1"/>
          <w:sz w:val="20"/>
          <w:szCs w:val="20"/>
        </w:rPr>
        <w:t xml:space="preserve"> </w:t>
      </w:r>
      <w:r w:rsidRPr="000977F7">
        <w:rPr>
          <w:rFonts w:asciiTheme="majorHAnsi" w:hAnsiTheme="majorHAnsi"/>
          <w:sz w:val="20"/>
          <w:szCs w:val="20"/>
        </w:rPr>
        <w:t>для вирівнювання навантаження на поверхню матеріалу</w:t>
      </w:r>
      <w:r w:rsidRPr="000977F7">
        <w:rPr>
          <w:rFonts w:asciiTheme="majorHAnsi" w:hAnsiTheme="majorHAnsi"/>
          <w:spacing w:val="-2"/>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час друкування</w:t>
      </w:r>
    </w:p>
    <w:p w14:paraId="7ABD4893"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3144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95</w:t>
      </w:r>
    </w:p>
    <w:p w14:paraId="4A96196D"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ШТРИХОВЕ КОДУВАННЯ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7B5A4555"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BAR CODING</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5122CCC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Подання</w:t>
      </w:r>
      <w:r w:rsidRPr="000977F7">
        <w:rPr>
          <w:rFonts w:asciiTheme="majorHAnsi" w:hAnsiTheme="majorHAnsi"/>
          <w:spacing w:val="-4"/>
          <w:sz w:val="20"/>
          <w:szCs w:val="20"/>
        </w:rPr>
        <w:t xml:space="preserve"> </w:t>
      </w:r>
      <w:r w:rsidRPr="000977F7">
        <w:rPr>
          <w:rFonts w:asciiTheme="majorHAnsi" w:hAnsiTheme="majorHAnsi"/>
          <w:sz w:val="20"/>
          <w:szCs w:val="20"/>
        </w:rPr>
        <w:t>даних</w:t>
      </w:r>
      <w:r w:rsidRPr="000977F7">
        <w:rPr>
          <w:rFonts w:asciiTheme="majorHAnsi" w:hAnsiTheme="majorHAnsi"/>
          <w:spacing w:val="-4"/>
          <w:sz w:val="20"/>
          <w:szCs w:val="20"/>
        </w:rPr>
        <w:t xml:space="preserve"> </w:t>
      </w:r>
      <w:r w:rsidRPr="000977F7">
        <w:rPr>
          <w:rFonts w:asciiTheme="majorHAnsi" w:hAnsiTheme="majorHAnsi"/>
          <w:sz w:val="20"/>
          <w:szCs w:val="20"/>
        </w:rPr>
        <w:t>за</w:t>
      </w:r>
      <w:r w:rsidRPr="000977F7">
        <w:rPr>
          <w:rFonts w:asciiTheme="majorHAnsi" w:hAnsiTheme="majorHAnsi"/>
          <w:spacing w:val="-2"/>
          <w:sz w:val="20"/>
          <w:szCs w:val="20"/>
        </w:rPr>
        <w:t xml:space="preserve"> </w:t>
      </w:r>
      <w:r w:rsidRPr="000977F7">
        <w:rPr>
          <w:rFonts w:asciiTheme="majorHAnsi" w:hAnsiTheme="majorHAnsi"/>
          <w:sz w:val="20"/>
          <w:szCs w:val="20"/>
        </w:rPr>
        <w:t>допомогою</w:t>
      </w:r>
      <w:r w:rsidRPr="000977F7">
        <w:rPr>
          <w:rFonts w:asciiTheme="majorHAnsi" w:hAnsiTheme="majorHAnsi"/>
          <w:spacing w:val="-3"/>
          <w:sz w:val="20"/>
          <w:szCs w:val="20"/>
        </w:rPr>
        <w:t xml:space="preserve"> </w:t>
      </w:r>
      <w:r w:rsidRPr="000977F7">
        <w:rPr>
          <w:rFonts w:asciiTheme="majorHAnsi" w:hAnsiTheme="majorHAnsi"/>
          <w:sz w:val="20"/>
          <w:szCs w:val="20"/>
        </w:rPr>
        <w:t>штрихового</w:t>
      </w:r>
      <w:r w:rsidRPr="000977F7">
        <w:rPr>
          <w:rFonts w:asciiTheme="majorHAnsi" w:hAnsiTheme="majorHAnsi"/>
          <w:spacing w:val="-1"/>
          <w:sz w:val="20"/>
          <w:szCs w:val="20"/>
        </w:rPr>
        <w:t xml:space="preserve"> </w:t>
      </w:r>
      <w:r w:rsidRPr="000977F7">
        <w:rPr>
          <w:rFonts w:asciiTheme="majorHAnsi" w:hAnsiTheme="majorHAnsi"/>
          <w:sz w:val="20"/>
          <w:szCs w:val="20"/>
        </w:rPr>
        <w:t>коду</w:t>
      </w:r>
    </w:p>
    <w:p w14:paraId="3F17EFA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3144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45193F7"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ШТРИХОВИЙ КОД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18A62A59"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lastRenderedPageBreak/>
        <w:t>BAR CODE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9B353F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Комбінація</w:t>
      </w:r>
      <w:r w:rsidRPr="000977F7">
        <w:rPr>
          <w:rFonts w:asciiTheme="majorHAnsi" w:hAnsiTheme="majorHAnsi"/>
          <w:spacing w:val="1"/>
          <w:sz w:val="20"/>
          <w:szCs w:val="20"/>
        </w:rPr>
        <w:t xml:space="preserve"> </w:t>
      </w:r>
      <w:r w:rsidRPr="000977F7">
        <w:rPr>
          <w:rFonts w:asciiTheme="majorHAnsi" w:hAnsiTheme="majorHAnsi"/>
          <w:sz w:val="20"/>
          <w:szCs w:val="20"/>
        </w:rPr>
        <w:t>послідовно</w:t>
      </w:r>
      <w:r w:rsidRPr="000977F7">
        <w:rPr>
          <w:rFonts w:asciiTheme="majorHAnsi" w:hAnsiTheme="majorHAnsi"/>
          <w:spacing w:val="1"/>
          <w:sz w:val="20"/>
          <w:szCs w:val="20"/>
        </w:rPr>
        <w:t xml:space="preserve"> </w:t>
      </w:r>
      <w:r w:rsidRPr="000977F7">
        <w:rPr>
          <w:rFonts w:asciiTheme="majorHAnsi" w:hAnsiTheme="majorHAnsi"/>
          <w:sz w:val="20"/>
          <w:szCs w:val="20"/>
        </w:rPr>
        <w:t>розташованих</w:t>
      </w:r>
      <w:r w:rsidRPr="000977F7">
        <w:rPr>
          <w:rFonts w:asciiTheme="majorHAnsi" w:hAnsiTheme="majorHAnsi"/>
          <w:spacing w:val="1"/>
          <w:sz w:val="20"/>
          <w:szCs w:val="20"/>
        </w:rPr>
        <w:t xml:space="preserve"> </w:t>
      </w:r>
      <w:r w:rsidRPr="000977F7">
        <w:rPr>
          <w:rFonts w:asciiTheme="majorHAnsi" w:hAnsiTheme="majorHAnsi"/>
          <w:sz w:val="20"/>
          <w:szCs w:val="20"/>
        </w:rPr>
        <w:t>паралельних</w:t>
      </w:r>
      <w:r w:rsidRPr="000977F7">
        <w:rPr>
          <w:rFonts w:asciiTheme="majorHAnsi" w:hAnsiTheme="majorHAnsi"/>
          <w:spacing w:val="-47"/>
          <w:sz w:val="20"/>
          <w:szCs w:val="20"/>
        </w:rPr>
        <w:t xml:space="preserve"> </w:t>
      </w:r>
      <w:r w:rsidRPr="000977F7">
        <w:rPr>
          <w:rFonts w:asciiTheme="majorHAnsi" w:hAnsiTheme="majorHAnsi"/>
          <w:sz w:val="20"/>
          <w:szCs w:val="20"/>
        </w:rPr>
        <w:t>штрихів та проміжків між ними, розміри та розташування</w:t>
      </w:r>
      <w:r w:rsidRPr="000977F7">
        <w:rPr>
          <w:rFonts w:asciiTheme="majorHAnsi" w:hAnsiTheme="majorHAnsi"/>
          <w:spacing w:val="-1"/>
          <w:sz w:val="20"/>
          <w:szCs w:val="20"/>
        </w:rPr>
        <w:t xml:space="preserve"> </w:t>
      </w:r>
      <w:r w:rsidRPr="000977F7">
        <w:rPr>
          <w:rFonts w:asciiTheme="majorHAnsi" w:hAnsiTheme="majorHAnsi"/>
          <w:sz w:val="20"/>
          <w:szCs w:val="20"/>
        </w:rPr>
        <w:t>яких</w:t>
      </w:r>
      <w:r w:rsidRPr="000977F7">
        <w:rPr>
          <w:rFonts w:asciiTheme="majorHAnsi" w:hAnsiTheme="majorHAnsi"/>
          <w:spacing w:val="-2"/>
          <w:sz w:val="20"/>
          <w:szCs w:val="20"/>
        </w:rPr>
        <w:t xml:space="preserve"> </w:t>
      </w:r>
      <w:r w:rsidRPr="000977F7">
        <w:rPr>
          <w:rFonts w:asciiTheme="majorHAnsi" w:hAnsiTheme="majorHAnsi"/>
          <w:sz w:val="20"/>
          <w:szCs w:val="20"/>
        </w:rPr>
        <w:t>встановлені</w:t>
      </w:r>
      <w:r w:rsidRPr="000977F7">
        <w:rPr>
          <w:rFonts w:asciiTheme="majorHAnsi" w:hAnsiTheme="majorHAnsi"/>
          <w:spacing w:val="1"/>
          <w:sz w:val="20"/>
          <w:szCs w:val="20"/>
        </w:rPr>
        <w:t xml:space="preserve"> </w:t>
      </w:r>
      <w:r w:rsidRPr="000977F7">
        <w:rPr>
          <w:rFonts w:asciiTheme="majorHAnsi" w:hAnsiTheme="majorHAnsi"/>
          <w:sz w:val="20"/>
          <w:szCs w:val="20"/>
        </w:rPr>
        <w:t>певними</w:t>
      </w:r>
      <w:r w:rsidRPr="000977F7">
        <w:rPr>
          <w:rFonts w:asciiTheme="majorHAnsi" w:hAnsiTheme="majorHAnsi"/>
          <w:spacing w:val="-1"/>
          <w:sz w:val="20"/>
          <w:szCs w:val="20"/>
        </w:rPr>
        <w:t xml:space="preserve"> </w:t>
      </w:r>
      <w:r w:rsidRPr="000977F7">
        <w:rPr>
          <w:rFonts w:asciiTheme="majorHAnsi" w:hAnsiTheme="majorHAnsi"/>
          <w:sz w:val="20"/>
          <w:szCs w:val="20"/>
        </w:rPr>
        <w:t>правилами</w:t>
      </w:r>
    </w:p>
    <w:p w14:paraId="2FA967C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3144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10FEFB7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ШТРИХОВИЙ</w:t>
      </w:r>
      <w:r w:rsidRPr="000977F7">
        <w:rPr>
          <w:color w:val="auto"/>
          <w:spacing w:val="1"/>
          <w:sz w:val="20"/>
          <w:szCs w:val="20"/>
        </w:rPr>
        <w:t xml:space="preserve"> </w:t>
      </w:r>
      <w:r w:rsidRPr="000977F7">
        <w:rPr>
          <w:color w:val="auto"/>
          <w:sz w:val="20"/>
          <w:szCs w:val="20"/>
        </w:rPr>
        <w:t xml:space="preserve">КОД З ФІКСОВАНОЮ </w:t>
      </w:r>
    </w:p>
    <w:p w14:paraId="210294B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ДОВЖИ</w:t>
      </w:r>
      <w:r w:rsidRPr="000977F7">
        <w:rPr>
          <w:color w:val="auto"/>
          <w:spacing w:val="-47"/>
          <w:sz w:val="20"/>
          <w:szCs w:val="20"/>
        </w:rPr>
        <w:t xml:space="preserve"> </w:t>
      </w:r>
      <w:r w:rsidRPr="000977F7">
        <w:rPr>
          <w:color w:val="auto"/>
          <w:sz w:val="20"/>
          <w:szCs w:val="20"/>
        </w:rPr>
        <w:t>НОЮ</w:t>
      </w:r>
      <w:r w:rsidRPr="000977F7">
        <w:rPr>
          <w:color w:val="auto"/>
          <w:spacing w:val="-2"/>
          <w:sz w:val="20"/>
          <w:szCs w:val="20"/>
        </w:rPr>
        <w:t xml:space="preserve"> </w:t>
      </w:r>
      <w:r w:rsidRPr="000977F7">
        <w:rPr>
          <w:color w:val="auto"/>
          <w:sz w:val="20"/>
          <w:szCs w:val="20"/>
        </w:rPr>
        <w:t>–</w:t>
      </w:r>
    </w:p>
    <w:p w14:paraId="7B112EE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FIXED</w:t>
      </w:r>
      <w:r w:rsidRPr="004D2D14">
        <w:rPr>
          <w:rFonts w:asciiTheme="majorHAnsi" w:hAnsiTheme="majorHAnsi"/>
          <w:spacing w:val="-1"/>
          <w:sz w:val="20"/>
          <w:szCs w:val="20"/>
          <w:lang w:val="uk-UA"/>
        </w:rPr>
        <w:t xml:space="preserve"> </w:t>
      </w:r>
      <w:r w:rsidRPr="000977F7">
        <w:rPr>
          <w:rFonts w:asciiTheme="majorHAnsi" w:hAnsiTheme="majorHAnsi"/>
          <w:sz w:val="20"/>
          <w:szCs w:val="20"/>
        </w:rPr>
        <w:t>LENGTH</w:t>
      </w:r>
      <w:r w:rsidRPr="004D2D14">
        <w:rPr>
          <w:rFonts w:asciiTheme="majorHAnsi" w:hAnsiTheme="majorHAnsi"/>
          <w:spacing w:val="-1"/>
          <w:sz w:val="20"/>
          <w:szCs w:val="20"/>
          <w:lang w:val="uk-UA"/>
        </w:rPr>
        <w:t xml:space="preserve"> </w:t>
      </w:r>
      <w:r w:rsidRPr="000977F7">
        <w:rPr>
          <w:rFonts w:asciiTheme="majorHAnsi" w:hAnsiTheme="majorHAnsi"/>
          <w:sz w:val="20"/>
          <w:szCs w:val="20"/>
        </w:rPr>
        <w:t>BAR</w:t>
      </w:r>
      <w:r w:rsidRPr="004D2D14">
        <w:rPr>
          <w:rFonts w:asciiTheme="majorHAnsi" w:hAnsiTheme="majorHAnsi"/>
          <w:spacing w:val="-1"/>
          <w:sz w:val="20"/>
          <w:szCs w:val="20"/>
          <w:lang w:val="uk-UA"/>
        </w:rPr>
        <w:t xml:space="preserve"> </w:t>
      </w:r>
      <w:r w:rsidRPr="000977F7">
        <w:rPr>
          <w:rFonts w:asciiTheme="majorHAnsi" w:hAnsiTheme="majorHAnsi"/>
          <w:sz w:val="20"/>
          <w:szCs w:val="20"/>
        </w:rPr>
        <w:t>CODE</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5D41A471"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Штриховий</w:t>
      </w:r>
      <w:r w:rsidRPr="004D2D14">
        <w:rPr>
          <w:rFonts w:asciiTheme="majorHAnsi" w:hAnsiTheme="majorHAnsi"/>
          <w:spacing w:val="8"/>
          <w:sz w:val="20"/>
          <w:szCs w:val="20"/>
          <w:lang w:val="uk-UA"/>
        </w:rPr>
        <w:t xml:space="preserve"> </w:t>
      </w:r>
      <w:r w:rsidRPr="004D2D14">
        <w:rPr>
          <w:rFonts w:asciiTheme="majorHAnsi" w:hAnsiTheme="majorHAnsi"/>
          <w:sz w:val="20"/>
          <w:szCs w:val="20"/>
          <w:lang w:val="uk-UA"/>
        </w:rPr>
        <w:t>код,</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структура</w:t>
      </w:r>
      <w:r w:rsidRPr="004D2D14">
        <w:rPr>
          <w:rFonts w:asciiTheme="majorHAnsi" w:hAnsiTheme="majorHAnsi"/>
          <w:spacing w:val="11"/>
          <w:sz w:val="20"/>
          <w:szCs w:val="20"/>
          <w:lang w:val="uk-UA"/>
        </w:rPr>
        <w:t xml:space="preserve"> </w:t>
      </w:r>
      <w:r w:rsidRPr="004D2D14">
        <w:rPr>
          <w:rFonts w:asciiTheme="majorHAnsi" w:hAnsiTheme="majorHAnsi"/>
          <w:sz w:val="20"/>
          <w:szCs w:val="20"/>
          <w:lang w:val="uk-UA"/>
        </w:rPr>
        <w:t>якого</w:t>
      </w:r>
      <w:r w:rsidRPr="004D2D14">
        <w:rPr>
          <w:rFonts w:asciiTheme="majorHAnsi" w:hAnsiTheme="majorHAnsi"/>
          <w:spacing w:val="10"/>
          <w:sz w:val="20"/>
          <w:szCs w:val="20"/>
          <w:lang w:val="uk-UA"/>
        </w:rPr>
        <w:t xml:space="preserve"> </w:t>
      </w:r>
      <w:r w:rsidRPr="004D2D14">
        <w:rPr>
          <w:rFonts w:asciiTheme="majorHAnsi" w:hAnsiTheme="majorHAnsi"/>
          <w:sz w:val="20"/>
          <w:szCs w:val="20"/>
          <w:lang w:val="uk-UA"/>
        </w:rPr>
        <w:t>вимагає</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певної</w:t>
      </w:r>
      <w:r w:rsidRPr="004D2D14">
        <w:rPr>
          <w:rFonts w:asciiTheme="majorHAnsi" w:hAnsiTheme="majorHAnsi"/>
          <w:spacing w:val="9"/>
          <w:sz w:val="20"/>
          <w:szCs w:val="20"/>
          <w:lang w:val="uk-UA"/>
        </w:rPr>
        <w:t xml:space="preserve"> </w:t>
      </w:r>
      <w:r w:rsidRPr="004D2D14">
        <w:rPr>
          <w:rFonts w:asciiTheme="majorHAnsi" w:hAnsiTheme="majorHAnsi"/>
          <w:sz w:val="20"/>
          <w:szCs w:val="20"/>
          <w:lang w:val="uk-UA"/>
        </w:rPr>
        <w:t>кількості інформаційних знаків у штрихкодовій позначці</w:t>
      </w:r>
    </w:p>
    <w:p w14:paraId="3A4E705F"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3144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E39C6D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1"/>
          <w:sz w:val="20"/>
          <w:szCs w:val="20"/>
        </w:rPr>
        <w:t>ШТРИХОВИЙ</w:t>
      </w:r>
      <w:r w:rsidRPr="000977F7">
        <w:rPr>
          <w:color w:val="auto"/>
          <w:spacing w:val="-11"/>
          <w:sz w:val="20"/>
          <w:szCs w:val="20"/>
        </w:rPr>
        <w:t xml:space="preserve"> </w:t>
      </w:r>
      <w:r w:rsidRPr="000977F7">
        <w:rPr>
          <w:color w:val="auto"/>
          <w:spacing w:val="-1"/>
          <w:sz w:val="20"/>
          <w:szCs w:val="20"/>
        </w:rPr>
        <w:t>КОД</w:t>
      </w:r>
      <w:r w:rsidRPr="000977F7">
        <w:rPr>
          <w:color w:val="auto"/>
          <w:spacing w:val="-11"/>
          <w:sz w:val="20"/>
          <w:szCs w:val="20"/>
        </w:rPr>
        <w:t xml:space="preserve"> </w:t>
      </w:r>
      <w:r w:rsidRPr="000977F7">
        <w:rPr>
          <w:color w:val="auto"/>
          <w:spacing w:val="-1"/>
          <w:sz w:val="20"/>
          <w:szCs w:val="20"/>
        </w:rPr>
        <w:t>ЗІ</w:t>
      </w:r>
      <w:r w:rsidRPr="000977F7">
        <w:rPr>
          <w:color w:val="auto"/>
          <w:spacing w:val="-11"/>
          <w:sz w:val="20"/>
          <w:szCs w:val="20"/>
        </w:rPr>
        <w:t xml:space="preserve"> </w:t>
      </w:r>
      <w:r w:rsidRPr="000977F7">
        <w:rPr>
          <w:color w:val="auto"/>
          <w:spacing w:val="-1"/>
          <w:sz w:val="20"/>
          <w:szCs w:val="20"/>
        </w:rPr>
        <w:t>ЗМІННОЮ</w:t>
      </w:r>
      <w:r w:rsidRPr="000977F7">
        <w:rPr>
          <w:color w:val="auto"/>
          <w:spacing w:val="-11"/>
          <w:sz w:val="20"/>
          <w:szCs w:val="20"/>
        </w:rPr>
        <w:t xml:space="preserve"> </w:t>
      </w:r>
      <w:r w:rsidRPr="000977F7">
        <w:rPr>
          <w:color w:val="auto"/>
          <w:sz w:val="20"/>
          <w:szCs w:val="20"/>
        </w:rPr>
        <w:t>ДОВЖИНОЮ</w:t>
      </w:r>
      <w:r w:rsidRPr="000977F7">
        <w:rPr>
          <w:color w:val="auto"/>
          <w:spacing w:val="-12"/>
          <w:sz w:val="20"/>
          <w:szCs w:val="20"/>
        </w:rPr>
        <w:t xml:space="preserve"> </w:t>
      </w:r>
      <w:r w:rsidRPr="000977F7">
        <w:rPr>
          <w:color w:val="auto"/>
          <w:sz w:val="20"/>
          <w:szCs w:val="20"/>
        </w:rPr>
        <w:t>–</w:t>
      </w:r>
    </w:p>
    <w:p w14:paraId="398F5B7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0977F7">
        <w:rPr>
          <w:rFonts w:asciiTheme="majorHAnsi" w:hAnsiTheme="majorHAnsi"/>
          <w:sz w:val="20"/>
          <w:szCs w:val="20"/>
        </w:rPr>
        <w:t>VARIABLE</w:t>
      </w:r>
      <w:r w:rsidRPr="004D2D14">
        <w:rPr>
          <w:rFonts w:asciiTheme="majorHAnsi" w:hAnsiTheme="majorHAnsi"/>
          <w:sz w:val="20"/>
          <w:szCs w:val="20"/>
          <w:lang w:val="uk-UA"/>
        </w:rPr>
        <w:t xml:space="preserve"> </w:t>
      </w:r>
      <w:r w:rsidRPr="000977F7">
        <w:rPr>
          <w:rFonts w:asciiTheme="majorHAnsi" w:hAnsiTheme="majorHAnsi"/>
          <w:sz w:val="20"/>
          <w:szCs w:val="20"/>
        </w:rPr>
        <w:t>LENGTH</w:t>
      </w:r>
      <w:r w:rsidRPr="004D2D14">
        <w:rPr>
          <w:rFonts w:asciiTheme="majorHAnsi" w:hAnsiTheme="majorHAnsi"/>
          <w:spacing w:val="-2"/>
          <w:sz w:val="20"/>
          <w:szCs w:val="20"/>
          <w:lang w:val="uk-UA"/>
        </w:rPr>
        <w:t xml:space="preserve"> </w:t>
      </w:r>
      <w:r w:rsidRPr="000977F7">
        <w:rPr>
          <w:rFonts w:asciiTheme="majorHAnsi" w:hAnsiTheme="majorHAnsi"/>
          <w:sz w:val="20"/>
          <w:szCs w:val="20"/>
        </w:rPr>
        <w:t>BAR</w:t>
      </w:r>
      <w:r w:rsidRPr="004D2D14">
        <w:rPr>
          <w:rFonts w:asciiTheme="majorHAnsi" w:hAnsiTheme="majorHAnsi"/>
          <w:spacing w:val="-2"/>
          <w:sz w:val="20"/>
          <w:szCs w:val="20"/>
          <w:lang w:val="uk-UA"/>
        </w:rPr>
        <w:t xml:space="preserve"> </w:t>
      </w:r>
      <w:r w:rsidRPr="000977F7">
        <w:rPr>
          <w:rFonts w:asciiTheme="majorHAnsi" w:hAnsiTheme="majorHAnsi"/>
          <w:sz w:val="20"/>
          <w:szCs w:val="20"/>
        </w:rPr>
        <w:t>CODE</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w:t>
      </w:r>
    </w:p>
    <w:p w14:paraId="4BB4A0D9" w14:textId="77777777" w:rsidR="0097612F" w:rsidRPr="004D2D14" w:rsidRDefault="0097612F" w:rsidP="000977F7">
      <w:pPr>
        <w:pStyle w:val="af6"/>
        <w:tabs>
          <w:tab w:val="left" w:pos="284"/>
        </w:tabs>
        <w:spacing w:after="0"/>
        <w:ind w:left="170"/>
        <w:mirrorIndents/>
        <w:jc w:val="both"/>
        <w:rPr>
          <w:rFonts w:asciiTheme="majorHAnsi" w:hAnsiTheme="majorHAnsi"/>
          <w:spacing w:val="-5"/>
          <w:sz w:val="20"/>
          <w:szCs w:val="20"/>
          <w:lang w:val="uk-UA"/>
        </w:rPr>
      </w:pPr>
      <w:r w:rsidRPr="004D2D14">
        <w:rPr>
          <w:rFonts w:asciiTheme="majorHAnsi" w:hAnsiTheme="majorHAnsi"/>
          <w:spacing w:val="-4"/>
          <w:sz w:val="20"/>
          <w:szCs w:val="20"/>
          <w:lang w:val="uk-UA"/>
        </w:rPr>
        <w:t xml:space="preserve">Штриховий код, структура якого дозволяє </w:t>
      </w:r>
      <w:r w:rsidRPr="004D2D14">
        <w:rPr>
          <w:rFonts w:asciiTheme="majorHAnsi" w:hAnsiTheme="majorHAnsi"/>
          <w:spacing w:val="-3"/>
          <w:sz w:val="20"/>
          <w:szCs w:val="20"/>
          <w:lang w:val="uk-UA"/>
        </w:rPr>
        <w:t>мати довільну</w:t>
      </w:r>
      <w:r w:rsidRPr="004D2D14">
        <w:rPr>
          <w:rFonts w:asciiTheme="majorHAnsi" w:hAnsiTheme="majorHAnsi"/>
          <w:spacing w:val="-47"/>
          <w:sz w:val="20"/>
          <w:szCs w:val="20"/>
          <w:lang w:val="uk-UA"/>
        </w:rPr>
        <w:t xml:space="preserve"> </w:t>
      </w:r>
      <w:r w:rsidRPr="004D2D14">
        <w:rPr>
          <w:rFonts w:asciiTheme="majorHAnsi" w:hAnsiTheme="majorHAnsi"/>
          <w:spacing w:val="-6"/>
          <w:sz w:val="20"/>
          <w:szCs w:val="20"/>
          <w:lang w:val="uk-UA"/>
        </w:rPr>
        <w:t xml:space="preserve">кількість інформаційних знаків у штрихкодовій </w:t>
      </w:r>
      <w:r w:rsidRPr="004D2D14">
        <w:rPr>
          <w:rFonts w:asciiTheme="majorHAnsi" w:hAnsiTheme="majorHAnsi"/>
          <w:spacing w:val="-5"/>
          <w:sz w:val="20"/>
          <w:szCs w:val="20"/>
          <w:lang w:val="uk-UA"/>
        </w:rPr>
        <w:t>позначці</w:t>
      </w:r>
    </w:p>
    <w:p w14:paraId="6B8B7CA5"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3144</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95</w:t>
      </w:r>
    </w:p>
    <w:p w14:paraId="6139C1A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ШУМ</w:t>
      </w:r>
      <w:r w:rsidRPr="000977F7">
        <w:rPr>
          <w:color w:val="auto"/>
          <w:spacing w:val="-1"/>
          <w:sz w:val="20"/>
          <w:szCs w:val="20"/>
        </w:rPr>
        <w:t xml:space="preserve"> </w:t>
      </w:r>
      <w:r w:rsidRPr="000977F7">
        <w:rPr>
          <w:color w:val="auto"/>
          <w:sz w:val="20"/>
          <w:szCs w:val="20"/>
        </w:rPr>
        <w:t>–</w:t>
      </w:r>
    </w:p>
    <w:p w14:paraId="7FC6D2F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NOISE</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09977F5C"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pacing w:val="-3"/>
          <w:sz w:val="20"/>
          <w:szCs w:val="20"/>
        </w:rPr>
        <w:t>Коливання</w:t>
      </w:r>
      <w:r w:rsidRPr="000977F7">
        <w:rPr>
          <w:rFonts w:asciiTheme="majorHAnsi" w:hAnsiTheme="majorHAnsi"/>
          <w:spacing w:val="-2"/>
          <w:sz w:val="20"/>
          <w:szCs w:val="20"/>
        </w:rPr>
        <w:t xml:space="preserve"> частинок</w:t>
      </w:r>
      <w:r w:rsidRPr="000977F7">
        <w:rPr>
          <w:rFonts w:asciiTheme="majorHAnsi" w:hAnsiTheme="majorHAnsi"/>
          <w:spacing w:val="-1"/>
          <w:sz w:val="20"/>
          <w:szCs w:val="20"/>
        </w:rPr>
        <w:t xml:space="preserve"> </w:t>
      </w:r>
      <w:r w:rsidRPr="000977F7">
        <w:rPr>
          <w:rFonts w:asciiTheme="majorHAnsi" w:hAnsiTheme="majorHAnsi"/>
          <w:spacing w:val="-2"/>
          <w:sz w:val="20"/>
          <w:szCs w:val="20"/>
        </w:rPr>
        <w:t>навколишнього</w:t>
      </w:r>
      <w:r w:rsidRPr="000977F7">
        <w:rPr>
          <w:rFonts w:asciiTheme="majorHAnsi" w:hAnsiTheme="majorHAnsi"/>
          <w:spacing w:val="-1"/>
          <w:sz w:val="20"/>
          <w:szCs w:val="20"/>
        </w:rPr>
        <w:t xml:space="preserve"> </w:t>
      </w:r>
      <w:r w:rsidRPr="000977F7">
        <w:rPr>
          <w:rFonts w:asciiTheme="majorHAnsi" w:hAnsiTheme="majorHAnsi"/>
          <w:spacing w:val="-2"/>
          <w:sz w:val="20"/>
          <w:szCs w:val="20"/>
        </w:rPr>
        <w:t>середовища,</w:t>
      </w:r>
      <w:r w:rsidRPr="000977F7">
        <w:rPr>
          <w:rFonts w:asciiTheme="majorHAnsi" w:hAnsiTheme="majorHAnsi"/>
          <w:spacing w:val="-1"/>
          <w:sz w:val="20"/>
          <w:szCs w:val="20"/>
        </w:rPr>
        <w:t xml:space="preserve"> </w:t>
      </w:r>
      <w:r w:rsidRPr="000977F7">
        <w:rPr>
          <w:rFonts w:asciiTheme="majorHAnsi" w:hAnsiTheme="majorHAnsi"/>
          <w:spacing w:val="-2"/>
          <w:sz w:val="20"/>
          <w:szCs w:val="20"/>
        </w:rPr>
        <w:t>що</w:t>
      </w:r>
      <w:r w:rsidRPr="000977F7">
        <w:rPr>
          <w:rFonts w:asciiTheme="majorHAnsi" w:hAnsiTheme="majorHAnsi"/>
          <w:spacing w:val="-1"/>
          <w:sz w:val="20"/>
          <w:szCs w:val="20"/>
        </w:rPr>
        <w:t xml:space="preserve"> </w:t>
      </w:r>
      <w:r w:rsidRPr="000977F7">
        <w:rPr>
          <w:rFonts w:asciiTheme="majorHAnsi" w:hAnsiTheme="majorHAnsi"/>
          <w:spacing w:val="-8"/>
          <w:sz w:val="20"/>
          <w:szCs w:val="20"/>
        </w:rPr>
        <w:t xml:space="preserve">сприймається органами слуху </w:t>
      </w:r>
      <w:r w:rsidRPr="000977F7">
        <w:rPr>
          <w:rFonts w:asciiTheme="majorHAnsi" w:hAnsiTheme="majorHAnsi"/>
          <w:spacing w:val="-7"/>
          <w:sz w:val="20"/>
          <w:szCs w:val="20"/>
        </w:rPr>
        <w:t>людини як небажані сигнали</w:t>
      </w:r>
      <w:r w:rsidRPr="000977F7">
        <w:rPr>
          <w:rFonts w:asciiTheme="majorHAnsi" w:hAnsiTheme="majorHAnsi"/>
          <w:spacing w:val="-47"/>
          <w:sz w:val="20"/>
          <w:szCs w:val="20"/>
        </w:rPr>
        <w:t xml:space="preserve"> </w:t>
      </w:r>
    </w:p>
    <w:p w14:paraId="13FDA033"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2325</w:t>
      </w:r>
      <w:r w:rsidRPr="000977F7">
        <w:rPr>
          <w:rFonts w:asciiTheme="majorHAnsi" w:hAnsiTheme="majorHAnsi"/>
          <w:i/>
          <w:spacing w:val="2"/>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03F78BB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ШУМ</w:t>
      </w:r>
      <w:r w:rsidRPr="000977F7">
        <w:rPr>
          <w:color w:val="auto"/>
          <w:spacing w:val="-4"/>
          <w:sz w:val="20"/>
          <w:szCs w:val="20"/>
        </w:rPr>
        <w:t xml:space="preserve"> </w:t>
      </w:r>
      <w:r w:rsidRPr="000977F7">
        <w:rPr>
          <w:color w:val="auto"/>
          <w:sz w:val="20"/>
          <w:szCs w:val="20"/>
        </w:rPr>
        <w:t>AЕРОДИНАМІЧНОГО</w:t>
      </w:r>
      <w:r w:rsidRPr="000977F7">
        <w:rPr>
          <w:color w:val="auto"/>
          <w:spacing w:val="-6"/>
          <w:sz w:val="20"/>
          <w:szCs w:val="20"/>
        </w:rPr>
        <w:t xml:space="preserve"> </w:t>
      </w:r>
      <w:r w:rsidRPr="000977F7">
        <w:rPr>
          <w:color w:val="auto"/>
          <w:sz w:val="20"/>
          <w:szCs w:val="20"/>
        </w:rPr>
        <w:t>ПОХОДЖЕННЯ</w:t>
      </w:r>
      <w:r w:rsidRPr="000977F7">
        <w:rPr>
          <w:color w:val="auto"/>
          <w:spacing w:val="-2"/>
          <w:sz w:val="20"/>
          <w:szCs w:val="20"/>
        </w:rPr>
        <w:t xml:space="preserve"> </w:t>
      </w:r>
      <w:r w:rsidRPr="000977F7">
        <w:rPr>
          <w:color w:val="auto"/>
          <w:sz w:val="20"/>
          <w:szCs w:val="20"/>
        </w:rPr>
        <w:t>–</w:t>
      </w:r>
    </w:p>
    <w:p w14:paraId="4AB78E0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Шум,</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2"/>
          <w:sz w:val="20"/>
          <w:szCs w:val="20"/>
        </w:rPr>
        <w:t xml:space="preserve"> </w:t>
      </w:r>
      <w:r w:rsidRPr="000977F7">
        <w:rPr>
          <w:rFonts w:asciiTheme="majorHAnsi" w:hAnsiTheme="majorHAnsi"/>
          <w:sz w:val="20"/>
          <w:szCs w:val="20"/>
        </w:rPr>
        <w:t>виникає</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3"/>
          <w:sz w:val="20"/>
          <w:szCs w:val="20"/>
        </w:rPr>
        <w:t xml:space="preserve"> </w:t>
      </w:r>
      <w:r w:rsidRPr="000977F7">
        <w:rPr>
          <w:rFonts w:asciiTheme="majorHAnsi" w:hAnsiTheme="majorHAnsi"/>
          <w:sz w:val="20"/>
          <w:szCs w:val="20"/>
        </w:rPr>
        <w:t>газах</w:t>
      </w:r>
    </w:p>
    <w:p w14:paraId="7ED04BE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17FCC0F3"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ШУМ</w:t>
      </w:r>
      <w:r w:rsidRPr="000977F7">
        <w:rPr>
          <w:color w:val="auto"/>
          <w:spacing w:val="-5"/>
          <w:sz w:val="20"/>
          <w:szCs w:val="20"/>
        </w:rPr>
        <w:t xml:space="preserve"> </w:t>
      </w:r>
      <w:r w:rsidRPr="000977F7">
        <w:rPr>
          <w:color w:val="auto"/>
          <w:sz w:val="20"/>
          <w:szCs w:val="20"/>
        </w:rPr>
        <w:t>ГІДРОДИНАМІЧНОГО</w:t>
      </w:r>
      <w:r w:rsidRPr="000977F7">
        <w:rPr>
          <w:color w:val="auto"/>
          <w:spacing w:val="-6"/>
          <w:sz w:val="20"/>
          <w:szCs w:val="20"/>
        </w:rPr>
        <w:t xml:space="preserve"> </w:t>
      </w:r>
      <w:r w:rsidRPr="000977F7">
        <w:rPr>
          <w:color w:val="auto"/>
          <w:sz w:val="20"/>
          <w:szCs w:val="20"/>
        </w:rPr>
        <w:t>ПОХОДЖЕННЯ</w:t>
      </w:r>
      <w:r w:rsidRPr="000977F7">
        <w:rPr>
          <w:color w:val="auto"/>
          <w:spacing w:val="-3"/>
          <w:sz w:val="20"/>
          <w:szCs w:val="20"/>
        </w:rPr>
        <w:t xml:space="preserve"> </w:t>
      </w:r>
      <w:r w:rsidRPr="000977F7">
        <w:rPr>
          <w:color w:val="auto"/>
          <w:sz w:val="20"/>
          <w:szCs w:val="20"/>
        </w:rPr>
        <w:t>–</w:t>
      </w:r>
    </w:p>
    <w:p w14:paraId="5682F0A2"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Шум,</w:t>
      </w:r>
      <w:r w:rsidRPr="000977F7">
        <w:rPr>
          <w:rFonts w:asciiTheme="majorHAnsi" w:hAnsiTheme="majorHAnsi"/>
          <w:spacing w:val="-3"/>
          <w:sz w:val="20"/>
          <w:szCs w:val="20"/>
        </w:rPr>
        <w:t xml:space="preserve"> </w:t>
      </w:r>
      <w:r w:rsidRPr="000977F7">
        <w:rPr>
          <w:rFonts w:asciiTheme="majorHAnsi" w:hAnsiTheme="majorHAnsi"/>
          <w:sz w:val="20"/>
          <w:szCs w:val="20"/>
        </w:rPr>
        <w:t>що</w:t>
      </w:r>
      <w:r w:rsidRPr="000977F7">
        <w:rPr>
          <w:rFonts w:asciiTheme="majorHAnsi" w:hAnsiTheme="majorHAnsi"/>
          <w:spacing w:val="-2"/>
          <w:sz w:val="20"/>
          <w:szCs w:val="20"/>
        </w:rPr>
        <w:t xml:space="preserve"> </w:t>
      </w:r>
      <w:r w:rsidRPr="000977F7">
        <w:rPr>
          <w:rFonts w:asciiTheme="majorHAnsi" w:hAnsiTheme="majorHAnsi"/>
          <w:sz w:val="20"/>
          <w:szCs w:val="20"/>
        </w:rPr>
        <w:t>виникає</w:t>
      </w:r>
      <w:r w:rsidRPr="000977F7">
        <w:rPr>
          <w:rFonts w:asciiTheme="majorHAnsi" w:hAnsiTheme="majorHAnsi"/>
          <w:spacing w:val="1"/>
          <w:sz w:val="20"/>
          <w:szCs w:val="20"/>
        </w:rPr>
        <w:t xml:space="preserve"> </w:t>
      </w:r>
      <w:r w:rsidRPr="000977F7">
        <w:rPr>
          <w:rFonts w:asciiTheme="majorHAnsi" w:hAnsiTheme="majorHAnsi"/>
          <w:sz w:val="20"/>
          <w:szCs w:val="20"/>
        </w:rPr>
        <w:t>у</w:t>
      </w:r>
      <w:r w:rsidRPr="000977F7">
        <w:rPr>
          <w:rFonts w:asciiTheme="majorHAnsi" w:hAnsiTheme="majorHAnsi"/>
          <w:spacing w:val="-4"/>
          <w:sz w:val="20"/>
          <w:szCs w:val="20"/>
        </w:rPr>
        <w:t xml:space="preserve"> </w:t>
      </w:r>
      <w:r w:rsidRPr="000977F7">
        <w:rPr>
          <w:rFonts w:asciiTheme="majorHAnsi" w:hAnsiTheme="majorHAnsi"/>
          <w:sz w:val="20"/>
          <w:szCs w:val="20"/>
        </w:rPr>
        <w:t>рідинах</w:t>
      </w:r>
    </w:p>
    <w:p w14:paraId="7856663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259B62D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w w:val="95"/>
          <w:sz w:val="20"/>
          <w:szCs w:val="20"/>
        </w:rPr>
        <w:t>ШУМ</w:t>
      </w:r>
      <w:r w:rsidRPr="000977F7">
        <w:rPr>
          <w:color w:val="auto"/>
          <w:spacing w:val="19"/>
          <w:w w:val="95"/>
          <w:sz w:val="20"/>
          <w:szCs w:val="20"/>
        </w:rPr>
        <w:t xml:space="preserve"> </w:t>
      </w:r>
      <w:r w:rsidRPr="000977F7">
        <w:rPr>
          <w:color w:val="auto"/>
          <w:w w:val="95"/>
          <w:sz w:val="20"/>
          <w:szCs w:val="20"/>
        </w:rPr>
        <w:t>ЕЛЕКТРОМАГНІТНОГО</w:t>
      </w:r>
      <w:r w:rsidRPr="000977F7">
        <w:rPr>
          <w:color w:val="auto"/>
          <w:spacing w:val="16"/>
          <w:w w:val="95"/>
          <w:sz w:val="20"/>
          <w:szCs w:val="20"/>
        </w:rPr>
        <w:t xml:space="preserve"> </w:t>
      </w:r>
      <w:r w:rsidRPr="000977F7">
        <w:rPr>
          <w:color w:val="auto"/>
          <w:w w:val="95"/>
          <w:sz w:val="20"/>
          <w:szCs w:val="20"/>
        </w:rPr>
        <w:t>ПОХОДЖЕННЯ</w:t>
      </w:r>
      <w:r w:rsidRPr="000977F7">
        <w:rPr>
          <w:color w:val="auto"/>
          <w:spacing w:val="15"/>
          <w:w w:val="95"/>
          <w:sz w:val="20"/>
          <w:szCs w:val="20"/>
        </w:rPr>
        <w:t xml:space="preserve"> </w:t>
      </w:r>
      <w:r w:rsidRPr="000977F7">
        <w:rPr>
          <w:color w:val="auto"/>
          <w:w w:val="95"/>
          <w:sz w:val="20"/>
          <w:szCs w:val="20"/>
        </w:rPr>
        <w:t>–</w:t>
      </w:r>
    </w:p>
    <w:p w14:paraId="552C4B8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Шум, що виникає внаслідок коливань елементів електродинамічних</w:t>
      </w:r>
      <w:r w:rsidRPr="000977F7">
        <w:rPr>
          <w:rFonts w:asciiTheme="majorHAnsi" w:hAnsiTheme="majorHAnsi"/>
          <w:spacing w:val="1"/>
          <w:sz w:val="20"/>
          <w:szCs w:val="20"/>
        </w:rPr>
        <w:t xml:space="preserve"> </w:t>
      </w:r>
      <w:r w:rsidRPr="000977F7">
        <w:rPr>
          <w:rFonts w:asciiTheme="majorHAnsi" w:hAnsiTheme="majorHAnsi"/>
          <w:sz w:val="20"/>
          <w:szCs w:val="20"/>
        </w:rPr>
        <w:t>пристроїв</w:t>
      </w:r>
      <w:r w:rsidRPr="000977F7">
        <w:rPr>
          <w:rFonts w:asciiTheme="majorHAnsi" w:hAnsiTheme="majorHAnsi"/>
          <w:spacing w:val="1"/>
          <w:sz w:val="20"/>
          <w:szCs w:val="20"/>
        </w:rPr>
        <w:t xml:space="preserve"> </w:t>
      </w:r>
      <w:r w:rsidRPr="000977F7">
        <w:rPr>
          <w:rFonts w:asciiTheme="majorHAnsi" w:hAnsiTheme="majorHAnsi"/>
          <w:sz w:val="20"/>
          <w:szCs w:val="20"/>
        </w:rPr>
        <w:t>під</w:t>
      </w:r>
      <w:r w:rsidRPr="000977F7">
        <w:rPr>
          <w:rFonts w:asciiTheme="majorHAnsi" w:hAnsiTheme="majorHAnsi"/>
          <w:spacing w:val="1"/>
          <w:sz w:val="20"/>
          <w:szCs w:val="20"/>
        </w:rPr>
        <w:t xml:space="preserve"> </w:t>
      </w:r>
      <w:r w:rsidRPr="000977F7">
        <w:rPr>
          <w:rFonts w:asciiTheme="majorHAnsi" w:hAnsiTheme="majorHAnsi"/>
          <w:sz w:val="20"/>
          <w:szCs w:val="20"/>
        </w:rPr>
        <w:t>впливом</w:t>
      </w:r>
      <w:r w:rsidRPr="000977F7">
        <w:rPr>
          <w:rFonts w:asciiTheme="majorHAnsi" w:hAnsiTheme="majorHAnsi"/>
          <w:spacing w:val="1"/>
          <w:sz w:val="20"/>
          <w:szCs w:val="20"/>
        </w:rPr>
        <w:t xml:space="preserve"> </w:t>
      </w:r>
      <w:r w:rsidRPr="000977F7">
        <w:rPr>
          <w:rFonts w:asciiTheme="majorHAnsi" w:hAnsiTheme="majorHAnsi"/>
          <w:sz w:val="20"/>
          <w:szCs w:val="20"/>
        </w:rPr>
        <w:t>магнітних</w:t>
      </w:r>
      <w:r w:rsidRPr="000977F7">
        <w:rPr>
          <w:rFonts w:asciiTheme="majorHAnsi" w:hAnsiTheme="majorHAnsi"/>
          <w:spacing w:val="1"/>
          <w:sz w:val="20"/>
          <w:szCs w:val="20"/>
        </w:rPr>
        <w:t xml:space="preserve"> </w:t>
      </w:r>
      <w:r w:rsidRPr="000977F7">
        <w:rPr>
          <w:rFonts w:asciiTheme="majorHAnsi" w:hAnsiTheme="majorHAnsi"/>
          <w:sz w:val="20"/>
          <w:szCs w:val="20"/>
        </w:rPr>
        <w:t>змінних</w:t>
      </w:r>
      <w:r w:rsidRPr="000977F7">
        <w:rPr>
          <w:rFonts w:asciiTheme="majorHAnsi" w:hAnsiTheme="majorHAnsi"/>
          <w:spacing w:val="-2"/>
          <w:sz w:val="20"/>
          <w:szCs w:val="20"/>
        </w:rPr>
        <w:t xml:space="preserve"> </w:t>
      </w:r>
      <w:r w:rsidRPr="000977F7">
        <w:rPr>
          <w:rFonts w:asciiTheme="majorHAnsi" w:hAnsiTheme="majorHAnsi"/>
          <w:sz w:val="20"/>
          <w:szCs w:val="20"/>
        </w:rPr>
        <w:t>сил</w:t>
      </w:r>
    </w:p>
    <w:p w14:paraId="1F5AE12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7C7B42FE"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ШУМ</w:t>
      </w:r>
      <w:r w:rsidRPr="000977F7">
        <w:rPr>
          <w:color w:val="auto"/>
          <w:spacing w:val="-5"/>
          <w:sz w:val="20"/>
          <w:szCs w:val="20"/>
        </w:rPr>
        <w:t xml:space="preserve"> </w:t>
      </w:r>
      <w:r w:rsidRPr="000977F7">
        <w:rPr>
          <w:color w:val="auto"/>
          <w:sz w:val="20"/>
          <w:szCs w:val="20"/>
        </w:rPr>
        <w:t>МЕХАНІЧНОГО</w:t>
      </w:r>
      <w:r w:rsidRPr="000977F7">
        <w:rPr>
          <w:color w:val="auto"/>
          <w:spacing w:val="-4"/>
          <w:sz w:val="20"/>
          <w:szCs w:val="20"/>
        </w:rPr>
        <w:t xml:space="preserve"> </w:t>
      </w:r>
      <w:r w:rsidRPr="000977F7">
        <w:rPr>
          <w:color w:val="auto"/>
          <w:sz w:val="20"/>
          <w:szCs w:val="20"/>
        </w:rPr>
        <w:t>ПОХОДЖЕННЯ</w:t>
      </w:r>
      <w:r w:rsidRPr="000977F7">
        <w:rPr>
          <w:color w:val="auto"/>
          <w:spacing w:val="-2"/>
          <w:sz w:val="20"/>
          <w:szCs w:val="20"/>
        </w:rPr>
        <w:t xml:space="preserve"> </w:t>
      </w:r>
      <w:r w:rsidRPr="000977F7">
        <w:rPr>
          <w:color w:val="auto"/>
          <w:sz w:val="20"/>
          <w:szCs w:val="20"/>
        </w:rPr>
        <w:t>–</w:t>
      </w:r>
    </w:p>
    <w:p w14:paraId="1FC5F739"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Шум, що виникає внаслідок вібрацій поверхонь машин та обладнання, а також ударів у з’єднаннях деталей,</w:t>
      </w:r>
      <w:r w:rsidRPr="000977F7">
        <w:rPr>
          <w:rFonts w:asciiTheme="majorHAnsi" w:hAnsiTheme="majorHAnsi"/>
          <w:spacing w:val="-1"/>
          <w:sz w:val="20"/>
          <w:szCs w:val="20"/>
        </w:rPr>
        <w:t xml:space="preserve"> </w:t>
      </w:r>
      <w:r w:rsidRPr="000977F7">
        <w:rPr>
          <w:rFonts w:asciiTheme="majorHAnsi" w:hAnsiTheme="majorHAnsi"/>
          <w:sz w:val="20"/>
          <w:szCs w:val="20"/>
        </w:rPr>
        <w:t>збірних</w:t>
      </w:r>
      <w:r w:rsidRPr="000977F7">
        <w:rPr>
          <w:rFonts w:asciiTheme="majorHAnsi" w:hAnsiTheme="majorHAnsi"/>
          <w:spacing w:val="-2"/>
          <w:sz w:val="20"/>
          <w:szCs w:val="20"/>
        </w:rPr>
        <w:t xml:space="preserve"> </w:t>
      </w:r>
      <w:r w:rsidRPr="000977F7">
        <w:rPr>
          <w:rFonts w:asciiTheme="majorHAnsi" w:hAnsiTheme="majorHAnsi"/>
          <w:sz w:val="20"/>
          <w:szCs w:val="20"/>
        </w:rPr>
        <w:t>одиниць</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конструкцій у</w:t>
      </w:r>
      <w:r w:rsidRPr="000977F7">
        <w:rPr>
          <w:rFonts w:asciiTheme="majorHAnsi" w:hAnsiTheme="majorHAnsi"/>
          <w:spacing w:val="1"/>
          <w:sz w:val="20"/>
          <w:szCs w:val="20"/>
        </w:rPr>
        <w:t xml:space="preserve"> </w:t>
      </w:r>
      <w:r w:rsidRPr="000977F7">
        <w:rPr>
          <w:rFonts w:asciiTheme="majorHAnsi" w:hAnsiTheme="majorHAnsi"/>
          <w:sz w:val="20"/>
          <w:szCs w:val="20"/>
        </w:rPr>
        <w:t>цілому</w:t>
      </w:r>
    </w:p>
    <w:p w14:paraId="08A9FD6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7C6A4A80"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ШУМОВА</w:t>
      </w:r>
      <w:r w:rsidRPr="000977F7">
        <w:rPr>
          <w:color w:val="auto"/>
          <w:spacing w:val="-3"/>
          <w:sz w:val="20"/>
          <w:szCs w:val="20"/>
        </w:rPr>
        <w:t xml:space="preserve"> </w:t>
      </w:r>
      <w:r w:rsidRPr="000977F7">
        <w:rPr>
          <w:color w:val="auto"/>
          <w:sz w:val="20"/>
          <w:szCs w:val="20"/>
        </w:rPr>
        <w:t>ПОТУЖНІСТЬ</w:t>
      </w:r>
      <w:r w:rsidRPr="000977F7">
        <w:rPr>
          <w:color w:val="auto"/>
          <w:spacing w:val="-2"/>
          <w:sz w:val="20"/>
          <w:szCs w:val="20"/>
        </w:rPr>
        <w:t xml:space="preserve"> </w:t>
      </w:r>
      <w:r w:rsidRPr="000977F7">
        <w:rPr>
          <w:color w:val="auto"/>
          <w:sz w:val="20"/>
          <w:szCs w:val="20"/>
        </w:rPr>
        <w:t>–</w:t>
      </w:r>
    </w:p>
    <w:p w14:paraId="14B90FA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SOUND</w:t>
      </w:r>
      <w:r w:rsidRPr="000977F7">
        <w:rPr>
          <w:rFonts w:asciiTheme="majorHAnsi" w:hAnsiTheme="majorHAnsi"/>
          <w:spacing w:val="-2"/>
          <w:sz w:val="20"/>
          <w:szCs w:val="20"/>
        </w:rPr>
        <w:t xml:space="preserve"> </w:t>
      </w:r>
      <w:r w:rsidRPr="000977F7">
        <w:rPr>
          <w:rFonts w:asciiTheme="majorHAnsi" w:hAnsiTheme="majorHAnsi"/>
          <w:sz w:val="20"/>
          <w:szCs w:val="20"/>
        </w:rPr>
        <w:t>POWER</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A9A5CF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Шумова</w:t>
      </w:r>
      <w:r w:rsidRPr="000977F7">
        <w:rPr>
          <w:rFonts w:asciiTheme="majorHAnsi" w:hAnsiTheme="majorHAnsi"/>
          <w:spacing w:val="1"/>
          <w:sz w:val="20"/>
          <w:szCs w:val="20"/>
        </w:rPr>
        <w:t xml:space="preserve"> </w:t>
      </w:r>
      <w:r w:rsidRPr="000977F7">
        <w:rPr>
          <w:rFonts w:asciiTheme="majorHAnsi" w:hAnsiTheme="majorHAnsi"/>
          <w:sz w:val="20"/>
          <w:szCs w:val="20"/>
        </w:rPr>
        <w:t>енергія,</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проходить</w:t>
      </w:r>
      <w:r w:rsidRPr="000977F7">
        <w:rPr>
          <w:rFonts w:asciiTheme="majorHAnsi" w:hAnsiTheme="majorHAnsi"/>
          <w:spacing w:val="1"/>
          <w:sz w:val="20"/>
          <w:szCs w:val="20"/>
        </w:rPr>
        <w:t xml:space="preserve"> </w:t>
      </w:r>
      <w:r w:rsidRPr="000977F7">
        <w:rPr>
          <w:rFonts w:asciiTheme="majorHAnsi" w:hAnsiTheme="majorHAnsi"/>
          <w:sz w:val="20"/>
          <w:szCs w:val="20"/>
        </w:rPr>
        <w:t>через</w:t>
      </w:r>
      <w:r w:rsidRPr="000977F7">
        <w:rPr>
          <w:rFonts w:asciiTheme="majorHAnsi" w:hAnsiTheme="majorHAnsi"/>
          <w:spacing w:val="1"/>
          <w:sz w:val="20"/>
          <w:szCs w:val="20"/>
        </w:rPr>
        <w:t xml:space="preserve"> </w:t>
      </w:r>
      <w:r w:rsidRPr="000977F7">
        <w:rPr>
          <w:rFonts w:asciiTheme="majorHAnsi" w:hAnsiTheme="majorHAnsi"/>
          <w:sz w:val="20"/>
          <w:szCs w:val="20"/>
        </w:rPr>
        <w:t>поверхню</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одиницю</w:t>
      </w:r>
      <w:r w:rsidRPr="000977F7">
        <w:rPr>
          <w:rFonts w:asciiTheme="majorHAnsi" w:hAnsiTheme="majorHAnsi"/>
          <w:spacing w:val="-1"/>
          <w:sz w:val="20"/>
          <w:szCs w:val="20"/>
        </w:rPr>
        <w:t xml:space="preserve"> </w:t>
      </w:r>
      <w:r w:rsidRPr="000977F7">
        <w:rPr>
          <w:rFonts w:asciiTheme="majorHAnsi" w:hAnsiTheme="majorHAnsi"/>
          <w:sz w:val="20"/>
          <w:szCs w:val="20"/>
        </w:rPr>
        <w:t>часу</w:t>
      </w:r>
    </w:p>
    <w:p w14:paraId="2EECA39B"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474D362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ШУМОВА</w:t>
      </w:r>
      <w:r w:rsidRPr="000977F7">
        <w:rPr>
          <w:color w:val="auto"/>
          <w:spacing w:val="-9"/>
          <w:sz w:val="20"/>
          <w:szCs w:val="20"/>
        </w:rPr>
        <w:t xml:space="preserve"> </w:t>
      </w:r>
      <w:r w:rsidRPr="000977F7">
        <w:rPr>
          <w:color w:val="auto"/>
          <w:sz w:val="20"/>
          <w:szCs w:val="20"/>
        </w:rPr>
        <w:t>ХАРАКТЕРИСТИКА</w:t>
      </w:r>
      <w:r w:rsidRPr="000977F7">
        <w:rPr>
          <w:color w:val="auto"/>
          <w:spacing w:val="-9"/>
          <w:sz w:val="20"/>
          <w:szCs w:val="20"/>
        </w:rPr>
        <w:t xml:space="preserve"> </w:t>
      </w:r>
      <w:r w:rsidRPr="000977F7">
        <w:rPr>
          <w:color w:val="auto"/>
          <w:sz w:val="20"/>
          <w:szCs w:val="20"/>
        </w:rPr>
        <w:t>ДЖЕРЕЛА</w:t>
      </w:r>
      <w:r w:rsidRPr="000977F7">
        <w:rPr>
          <w:color w:val="auto"/>
          <w:spacing w:val="-47"/>
          <w:sz w:val="20"/>
          <w:szCs w:val="20"/>
        </w:rPr>
        <w:t xml:space="preserve"> </w:t>
      </w:r>
      <w:r w:rsidRPr="000977F7">
        <w:rPr>
          <w:color w:val="auto"/>
          <w:sz w:val="20"/>
          <w:szCs w:val="20"/>
        </w:rPr>
        <w:t>ШУМУ</w:t>
      </w:r>
      <w:r w:rsidRPr="000977F7">
        <w:rPr>
          <w:color w:val="auto"/>
          <w:spacing w:val="-1"/>
          <w:sz w:val="20"/>
          <w:szCs w:val="20"/>
        </w:rPr>
        <w:t xml:space="preserve"> </w:t>
      </w:r>
      <w:r w:rsidRPr="000977F7">
        <w:rPr>
          <w:color w:val="auto"/>
          <w:sz w:val="20"/>
          <w:szCs w:val="20"/>
        </w:rPr>
        <w:t>–</w:t>
      </w:r>
    </w:p>
    <w:p w14:paraId="7823E6AF"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джерел</w:t>
      </w:r>
      <w:r w:rsidRPr="000977F7">
        <w:rPr>
          <w:rFonts w:asciiTheme="majorHAnsi" w:hAnsiTheme="majorHAnsi"/>
          <w:spacing w:val="1"/>
          <w:sz w:val="20"/>
          <w:szCs w:val="20"/>
        </w:rPr>
        <w:t xml:space="preserve"> </w:t>
      </w:r>
      <w:r w:rsidRPr="000977F7">
        <w:rPr>
          <w:rFonts w:asciiTheme="majorHAnsi" w:hAnsiTheme="majorHAnsi"/>
          <w:sz w:val="20"/>
          <w:szCs w:val="20"/>
        </w:rPr>
        <w:t>постійного</w:t>
      </w:r>
      <w:r w:rsidRPr="000977F7">
        <w:rPr>
          <w:rFonts w:asciiTheme="majorHAnsi" w:hAnsiTheme="majorHAnsi"/>
          <w:spacing w:val="1"/>
          <w:sz w:val="20"/>
          <w:szCs w:val="20"/>
        </w:rPr>
        <w:t xml:space="preserve"> </w:t>
      </w:r>
      <w:r w:rsidRPr="000977F7">
        <w:rPr>
          <w:rFonts w:asciiTheme="majorHAnsi" w:hAnsiTheme="majorHAnsi"/>
          <w:sz w:val="20"/>
          <w:szCs w:val="20"/>
        </w:rPr>
        <w:t>шуму:</w:t>
      </w:r>
      <w:r w:rsidRPr="000977F7">
        <w:rPr>
          <w:rFonts w:asciiTheme="majorHAnsi" w:hAnsiTheme="majorHAnsi"/>
          <w:spacing w:val="1"/>
          <w:sz w:val="20"/>
          <w:szCs w:val="20"/>
        </w:rPr>
        <w:t xml:space="preserve"> </w:t>
      </w:r>
      <w:r w:rsidRPr="000977F7">
        <w:rPr>
          <w:rFonts w:asciiTheme="majorHAnsi" w:hAnsiTheme="majorHAnsi"/>
          <w:sz w:val="20"/>
          <w:szCs w:val="20"/>
        </w:rPr>
        <w:t>коригований</w:t>
      </w:r>
      <w:r w:rsidRPr="000977F7">
        <w:rPr>
          <w:rFonts w:asciiTheme="majorHAnsi" w:hAnsiTheme="majorHAnsi"/>
          <w:spacing w:val="1"/>
          <w:sz w:val="20"/>
          <w:szCs w:val="20"/>
        </w:rPr>
        <w:t xml:space="preserve"> </w:t>
      </w:r>
      <w:r w:rsidRPr="000977F7">
        <w:rPr>
          <w:rFonts w:asciiTheme="majorHAnsi" w:hAnsiTheme="majorHAnsi"/>
          <w:sz w:val="20"/>
          <w:szCs w:val="20"/>
        </w:rPr>
        <w:t>рівень</w:t>
      </w:r>
      <w:r w:rsidRPr="000977F7">
        <w:rPr>
          <w:rFonts w:asciiTheme="majorHAnsi" w:hAnsiTheme="majorHAnsi"/>
          <w:spacing w:val="1"/>
          <w:sz w:val="20"/>
          <w:szCs w:val="20"/>
        </w:rPr>
        <w:t xml:space="preserve"> </w:t>
      </w:r>
      <w:r w:rsidRPr="000977F7">
        <w:rPr>
          <w:rFonts w:asciiTheme="majorHAnsi" w:hAnsiTheme="majorHAnsi"/>
          <w:sz w:val="20"/>
          <w:szCs w:val="20"/>
        </w:rPr>
        <w:t>шумової потужності, рівень шумової потужності; рівень</w:t>
      </w:r>
      <w:r w:rsidRPr="000977F7">
        <w:rPr>
          <w:rFonts w:asciiTheme="majorHAnsi" w:hAnsiTheme="majorHAnsi"/>
          <w:spacing w:val="1"/>
          <w:sz w:val="20"/>
          <w:szCs w:val="20"/>
        </w:rPr>
        <w:t xml:space="preserve"> </w:t>
      </w:r>
      <w:r w:rsidRPr="000977F7">
        <w:rPr>
          <w:rFonts w:asciiTheme="majorHAnsi" w:hAnsiTheme="majorHAnsi"/>
          <w:sz w:val="20"/>
          <w:szCs w:val="20"/>
        </w:rPr>
        <w:t>шуму</w:t>
      </w:r>
      <w:r w:rsidRPr="000977F7">
        <w:rPr>
          <w:rFonts w:asciiTheme="majorHAnsi" w:hAnsiTheme="majorHAnsi"/>
          <w:spacing w:val="1"/>
          <w:sz w:val="20"/>
          <w:szCs w:val="20"/>
        </w:rPr>
        <w:t xml:space="preserve"> </w:t>
      </w:r>
      <w:r w:rsidRPr="000977F7">
        <w:rPr>
          <w:rFonts w:asciiTheme="majorHAnsi" w:hAnsiTheme="majorHAnsi"/>
          <w:sz w:val="20"/>
          <w:szCs w:val="20"/>
        </w:rPr>
        <w:t>в</w:t>
      </w:r>
      <w:r w:rsidRPr="000977F7">
        <w:rPr>
          <w:rFonts w:asciiTheme="majorHAnsi" w:hAnsiTheme="majorHAnsi"/>
          <w:spacing w:val="1"/>
          <w:sz w:val="20"/>
          <w:szCs w:val="20"/>
        </w:rPr>
        <w:t xml:space="preserve"> </w:t>
      </w:r>
      <w:r w:rsidRPr="000977F7">
        <w:rPr>
          <w:rFonts w:asciiTheme="majorHAnsi" w:hAnsiTheme="majorHAnsi"/>
          <w:sz w:val="20"/>
          <w:szCs w:val="20"/>
        </w:rPr>
        <w:t>контрольних</w:t>
      </w:r>
      <w:r w:rsidRPr="000977F7">
        <w:rPr>
          <w:rFonts w:asciiTheme="majorHAnsi" w:hAnsiTheme="majorHAnsi"/>
          <w:spacing w:val="1"/>
          <w:sz w:val="20"/>
          <w:szCs w:val="20"/>
        </w:rPr>
        <w:t xml:space="preserve"> </w:t>
      </w:r>
      <w:r w:rsidRPr="000977F7">
        <w:rPr>
          <w:rFonts w:asciiTheme="majorHAnsi" w:hAnsiTheme="majorHAnsi"/>
          <w:sz w:val="20"/>
          <w:szCs w:val="20"/>
        </w:rPr>
        <w:t>точках;</w:t>
      </w:r>
      <w:r w:rsidRPr="000977F7">
        <w:rPr>
          <w:rFonts w:asciiTheme="majorHAnsi" w:hAnsiTheme="majorHAnsi"/>
          <w:spacing w:val="1"/>
          <w:sz w:val="20"/>
          <w:szCs w:val="20"/>
        </w:rPr>
        <w:t xml:space="preserve"> </w:t>
      </w:r>
      <w:r w:rsidRPr="000977F7">
        <w:rPr>
          <w:rFonts w:asciiTheme="majorHAnsi" w:hAnsiTheme="majorHAnsi"/>
          <w:sz w:val="20"/>
          <w:szCs w:val="20"/>
        </w:rPr>
        <w:t>рівень</w:t>
      </w:r>
      <w:r w:rsidRPr="000977F7">
        <w:rPr>
          <w:rFonts w:asciiTheme="majorHAnsi" w:hAnsiTheme="majorHAnsi"/>
          <w:spacing w:val="1"/>
          <w:sz w:val="20"/>
          <w:szCs w:val="20"/>
        </w:rPr>
        <w:t xml:space="preserve"> </w:t>
      </w:r>
      <w:r w:rsidRPr="000977F7">
        <w:rPr>
          <w:rFonts w:asciiTheme="majorHAnsi" w:hAnsiTheme="majorHAnsi"/>
          <w:sz w:val="20"/>
          <w:szCs w:val="20"/>
        </w:rPr>
        <w:t>звукового</w:t>
      </w:r>
      <w:r w:rsidRPr="000977F7">
        <w:rPr>
          <w:rFonts w:asciiTheme="majorHAnsi" w:hAnsiTheme="majorHAnsi"/>
          <w:spacing w:val="-47"/>
          <w:sz w:val="20"/>
          <w:szCs w:val="20"/>
        </w:rPr>
        <w:t xml:space="preserve"> </w:t>
      </w:r>
      <w:r w:rsidRPr="000977F7">
        <w:rPr>
          <w:rFonts w:asciiTheme="majorHAnsi" w:hAnsiTheme="majorHAnsi"/>
          <w:sz w:val="20"/>
          <w:szCs w:val="20"/>
        </w:rPr>
        <w:t>тиску в смугах частот у контрольних точках, максимальний показник спрямованості шуму. Для джерел</w:t>
      </w:r>
      <w:r w:rsidRPr="000977F7">
        <w:rPr>
          <w:rFonts w:asciiTheme="majorHAnsi" w:hAnsiTheme="majorHAnsi"/>
          <w:spacing w:val="1"/>
          <w:sz w:val="20"/>
          <w:szCs w:val="20"/>
        </w:rPr>
        <w:t xml:space="preserve"> </w:t>
      </w:r>
      <w:r w:rsidRPr="000977F7">
        <w:rPr>
          <w:rFonts w:asciiTheme="majorHAnsi" w:hAnsiTheme="majorHAnsi"/>
          <w:sz w:val="20"/>
          <w:szCs w:val="20"/>
        </w:rPr>
        <w:t>непостійного шуму – еквівалентний рівень шуму. Для</w:t>
      </w:r>
      <w:r w:rsidRPr="000977F7">
        <w:rPr>
          <w:rFonts w:asciiTheme="majorHAnsi" w:hAnsiTheme="majorHAnsi"/>
          <w:spacing w:val="1"/>
          <w:sz w:val="20"/>
          <w:szCs w:val="20"/>
        </w:rPr>
        <w:t xml:space="preserve"> </w:t>
      </w:r>
      <w:r w:rsidRPr="000977F7">
        <w:rPr>
          <w:rFonts w:asciiTheme="majorHAnsi" w:hAnsiTheme="majorHAnsi"/>
          <w:sz w:val="20"/>
          <w:szCs w:val="20"/>
        </w:rPr>
        <w:t>джерел імпульсного шуму – рівень шуму, виміряний</w:t>
      </w:r>
      <w:r w:rsidRPr="000977F7">
        <w:rPr>
          <w:rFonts w:asciiTheme="majorHAnsi" w:hAnsiTheme="majorHAnsi"/>
          <w:spacing w:val="1"/>
          <w:sz w:val="20"/>
          <w:szCs w:val="20"/>
        </w:rPr>
        <w:t xml:space="preserve"> </w:t>
      </w:r>
      <w:r w:rsidRPr="000977F7">
        <w:rPr>
          <w:rFonts w:asciiTheme="majorHAnsi" w:hAnsiTheme="majorHAnsi"/>
          <w:sz w:val="20"/>
          <w:szCs w:val="20"/>
        </w:rPr>
        <w:t>за</w:t>
      </w:r>
      <w:r w:rsidRPr="000977F7">
        <w:rPr>
          <w:rFonts w:asciiTheme="majorHAnsi" w:hAnsiTheme="majorHAnsi"/>
          <w:spacing w:val="-1"/>
          <w:sz w:val="20"/>
          <w:szCs w:val="20"/>
        </w:rPr>
        <w:t xml:space="preserve"> </w:t>
      </w:r>
      <w:r w:rsidRPr="000977F7">
        <w:rPr>
          <w:rFonts w:asciiTheme="majorHAnsi" w:hAnsiTheme="majorHAnsi"/>
          <w:sz w:val="20"/>
          <w:szCs w:val="20"/>
        </w:rPr>
        <w:t>шкалою</w:t>
      </w:r>
      <w:r w:rsidRPr="000977F7">
        <w:rPr>
          <w:rFonts w:asciiTheme="majorHAnsi" w:hAnsiTheme="majorHAnsi"/>
          <w:spacing w:val="2"/>
          <w:sz w:val="20"/>
          <w:szCs w:val="20"/>
        </w:rPr>
        <w:t xml:space="preserve"> </w:t>
      </w:r>
      <w:r w:rsidRPr="000977F7">
        <w:rPr>
          <w:rFonts w:asciiTheme="majorHAnsi" w:hAnsiTheme="majorHAnsi"/>
          <w:sz w:val="20"/>
          <w:szCs w:val="20"/>
        </w:rPr>
        <w:t>«імпульс»</w:t>
      </w:r>
      <w:r w:rsidRPr="000977F7">
        <w:rPr>
          <w:rFonts w:asciiTheme="majorHAnsi" w:hAnsiTheme="majorHAnsi"/>
          <w:spacing w:val="-4"/>
          <w:sz w:val="20"/>
          <w:szCs w:val="20"/>
        </w:rPr>
        <w:t xml:space="preserve"> </w:t>
      </w:r>
      <w:r w:rsidRPr="000977F7">
        <w:rPr>
          <w:rFonts w:asciiTheme="majorHAnsi" w:hAnsiTheme="majorHAnsi"/>
          <w:sz w:val="20"/>
          <w:szCs w:val="20"/>
        </w:rPr>
        <w:t>шумоміра</w:t>
      </w:r>
    </w:p>
    <w:p w14:paraId="1455CA5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3A3FAAA5"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ШУМОВА</w:t>
      </w:r>
      <w:r w:rsidRPr="000977F7">
        <w:rPr>
          <w:color w:val="auto"/>
          <w:spacing w:val="-10"/>
          <w:sz w:val="20"/>
          <w:szCs w:val="20"/>
        </w:rPr>
        <w:t xml:space="preserve"> </w:t>
      </w:r>
      <w:r w:rsidRPr="000977F7">
        <w:rPr>
          <w:color w:val="auto"/>
          <w:sz w:val="20"/>
          <w:szCs w:val="20"/>
        </w:rPr>
        <w:t>ХАРАКТЕРИСТИКА</w:t>
      </w:r>
      <w:r w:rsidRPr="000977F7">
        <w:rPr>
          <w:color w:val="auto"/>
          <w:spacing w:val="-10"/>
          <w:sz w:val="20"/>
          <w:szCs w:val="20"/>
        </w:rPr>
        <w:t xml:space="preserve"> </w:t>
      </w:r>
      <w:r w:rsidRPr="000977F7">
        <w:rPr>
          <w:color w:val="auto"/>
          <w:sz w:val="20"/>
          <w:szCs w:val="20"/>
        </w:rPr>
        <w:t>РОБОЧОГО</w:t>
      </w:r>
      <w:r w:rsidRPr="000977F7">
        <w:rPr>
          <w:color w:val="auto"/>
          <w:spacing w:val="-47"/>
          <w:sz w:val="20"/>
          <w:szCs w:val="20"/>
        </w:rPr>
        <w:t xml:space="preserve"> </w:t>
      </w:r>
      <w:r w:rsidRPr="000977F7">
        <w:rPr>
          <w:color w:val="auto"/>
          <w:sz w:val="20"/>
          <w:szCs w:val="20"/>
        </w:rPr>
        <w:t>МІСЦЯ</w:t>
      </w:r>
      <w:r w:rsidRPr="000977F7">
        <w:rPr>
          <w:color w:val="auto"/>
          <w:spacing w:val="-1"/>
          <w:sz w:val="20"/>
          <w:szCs w:val="20"/>
        </w:rPr>
        <w:t xml:space="preserve"> </w:t>
      </w:r>
      <w:r w:rsidRPr="000977F7">
        <w:rPr>
          <w:color w:val="auto"/>
          <w:sz w:val="20"/>
          <w:szCs w:val="20"/>
        </w:rPr>
        <w:t>–</w:t>
      </w:r>
    </w:p>
    <w:p w14:paraId="3782434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Для постійного шуму – рівні звукового тиску в октавних смугах спектру з середньо геометричними частотами</w:t>
      </w:r>
      <w:r w:rsidRPr="000977F7">
        <w:rPr>
          <w:rFonts w:asciiTheme="majorHAnsi" w:hAnsiTheme="majorHAnsi"/>
          <w:spacing w:val="7"/>
          <w:sz w:val="20"/>
          <w:szCs w:val="20"/>
        </w:rPr>
        <w:t xml:space="preserve"> </w:t>
      </w:r>
      <w:r w:rsidRPr="000977F7">
        <w:rPr>
          <w:rFonts w:asciiTheme="majorHAnsi" w:hAnsiTheme="majorHAnsi"/>
          <w:sz w:val="20"/>
          <w:szCs w:val="20"/>
        </w:rPr>
        <w:t>31,5;</w:t>
      </w:r>
      <w:r w:rsidRPr="000977F7">
        <w:rPr>
          <w:rFonts w:asciiTheme="majorHAnsi" w:hAnsiTheme="majorHAnsi"/>
          <w:spacing w:val="8"/>
          <w:sz w:val="20"/>
          <w:szCs w:val="20"/>
        </w:rPr>
        <w:t xml:space="preserve"> </w:t>
      </w:r>
      <w:r w:rsidRPr="000977F7">
        <w:rPr>
          <w:rFonts w:asciiTheme="majorHAnsi" w:hAnsiTheme="majorHAnsi"/>
          <w:sz w:val="20"/>
          <w:szCs w:val="20"/>
        </w:rPr>
        <w:t>63;</w:t>
      </w:r>
      <w:r w:rsidRPr="000977F7">
        <w:rPr>
          <w:rFonts w:asciiTheme="majorHAnsi" w:hAnsiTheme="majorHAnsi"/>
          <w:spacing w:val="9"/>
          <w:sz w:val="20"/>
          <w:szCs w:val="20"/>
        </w:rPr>
        <w:t xml:space="preserve"> </w:t>
      </w:r>
      <w:r w:rsidRPr="000977F7">
        <w:rPr>
          <w:rFonts w:asciiTheme="majorHAnsi" w:hAnsiTheme="majorHAnsi"/>
          <w:sz w:val="20"/>
          <w:szCs w:val="20"/>
        </w:rPr>
        <w:t>125;</w:t>
      </w:r>
      <w:r w:rsidRPr="000977F7">
        <w:rPr>
          <w:rFonts w:asciiTheme="majorHAnsi" w:hAnsiTheme="majorHAnsi"/>
          <w:spacing w:val="8"/>
          <w:sz w:val="20"/>
          <w:szCs w:val="20"/>
        </w:rPr>
        <w:t xml:space="preserve"> </w:t>
      </w:r>
      <w:r w:rsidRPr="000977F7">
        <w:rPr>
          <w:rFonts w:asciiTheme="majorHAnsi" w:hAnsiTheme="majorHAnsi"/>
          <w:sz w:val="20"/>
          <w:szCs w:val="20"/>
        </w:rPr>
        <w:t>250;</w:t>
      </w:r>
      <w:r w:rsidRPr="000977F7">
        <w:rPr>
          <w:rFonts w:asciiTheme="majorHAnsi" w:hAnsiTheme="majorHAnsi"/>
          <w:spacing w:val="8"/>
          <w:sz w:val="20"/>
          <w:szCs w:val="20"/>
        </w:rPr>
        <w:t xml:space="preserve"> </w:t>
      </w:r>
      <w:r w:rsidRPr="000977F7">
        <w:rPr>
          <w:rFonts w:asciiTheme="majorHAnsi" w:hAnsiTheme="majorHAnsi"/>
          <w:sz w:val="20"/>
          <w:szCs w:val="20"/>
        </w:rPr>
        <w:t>500;</w:t>
      </w:r>
      <w:r w:rsidRPr="000977F7">
        <w:rPr>
          <w:rFonts w:asciiTheme="majorHAnsi" w:hAnsiTheme="majorHAnsi"/>
          <w:spacing w:val="9"/>
          <w:sz w:val="20"/>
          <w:szCs w:val="20"/>
        </w:rPr>
        <w:t xml:space="preserve"> </w:t>
      </w:r>
      <w:r w:rsidRPr="000977F7">
        <w:rPr>
          <w:rFonts w:asciiTheme="majorHAnsi" w:hAnsiTheme="majorHAnsi"/>
          <w:sz w:val="20"/>
          <w:szCs w:val="20"/>
        </w:rPr>
        <w:t>1000;</w:t>
      </w:r>
      <w:r w:rsidRPr="000977F7">
        <w:rPr>
          <w:rFonts w:asciiTheme="majorHAnsi" w:hAnsiTheme="majorHAnsi"/>
          <w:spacing w:val="6"/>
          <w:sz w:val="20"/>
          <w:szCs w:val="20"/>
        </w:rPr>
        <w:t xml:space="preserve"> </w:t>
      </w:r>
      <w:r w:rsidRPr="000977F7">
        <w:rPr>
          <w:rFonts w:asciiTheme="majorHAnsi" w:hAnsiTheme="majorHAnsi"/>
          <w:sz w:val="20"/>
          <w:szCs w:val="20"/>
        </w:rPr>
        <w:t>2000;</w:t>
      </w:r>
      <w:r w:rsidRPr="000977F7">
        <w:rPr>
          <w:rFonts w:asciiTheme="majorHAnsi" w:hAnsiTheme="majorHAnsi"/>
          <w:spacing w:val="8"/>
          <w:sz w:val="20"/>
          <w:szCs w:val="20"/>
        </w:rPr>
        <w:t xml:space="preserve"> </w:t>
      </w:r>
      <w:r w:rsidRPr="000977F7">
        <w:rPr>
          <w:rFonts w:asciiTheme="majorHAnsi" w:hAnsiTheme="majorHAnsi"/>
          <w:sz w:val="20"/>
          <w:szCs w:val="20"/>
        </w:rPr>
        <w:t>4000;</w:t>
      </w:r>
      <w:r w:rsidRPr="000977F7">
        <w:rPr>
          <w:rFonts w:asciiTheme="majorHAnsi" w:hAnsiTheme="majorHAnsi"/>
          <w:spacing w:val="9"/>
          <w:sz w:val="20"/>
          <w:szCs w:val="20"/>
        </w:rPr>
        <w:t xml:space="preserve"> </w:t>
      </w:r>
      <w:r w:rsidRPr="000977F7">
        <w:rPr>
          <w:rFonts w:asciiTheme="majorHAnsi" w:hAnsiTheme="majorHAnsi"/>
          <w:sz w:val="20"/>
          <w:szCs w:val="20"/>
        </w:rPr>
        <w:t>та</w:t>
      </w:r>
      <w:r w:rsidRPr="000977F7">
        <w:rPr>
          <w:rFonts w:asciiTheme="majorHAnsi" w:hAnsiTheme="majorHAnsi"/>
          <w:spacing w:val="9"/>
          <w:sz w:val="20"/>
          <w:szCs w:val="20"/>
        </w:rPr>
        <w:t xml:space="preserve"> </w:t>
      </w:r>
      <w:r w:rsidRPr="000977F7">
        <w:rPr>
          <w:rFonts w:asciiTheme="majorHAnsi" w:hAnsiTheme="majorHAnsi"/>
          <w:sz w:val="20"/>
          <w:szCs w:val="20"/>
        </w:rPr>
        <w:t>8000 Гц.</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1"/>
          <w:sz w:val="20"/>
          <w:szCs w:val="20"/>
        </w:rPr>
        <w:t xml:space="preserve"> </w:t>
      </w:r>
      <w:r w:rsidRPr="000977F7">
        <w:rPr>
          <w:rFonts w:asciiTheme="majorHAnsi" w:hAnsiTheme="majorHAnsi"/>
          <w:sz w:val="20"/>
          <w:szCs w:val="20"/>
        </w:rPr>
        <w:t>непостійного</w:t>
      </w:r>
      <w:r w:rsidRPr="000977F7">
        <w:rPr>
          <w:rFonts w:asciiTheme="majorHAnsi" w:hAnsiTheme="majorHAnsi"/>
          <w:spacing w:val="1"/>
          <w:sz w:val="20"/>
          <w:szCs w:val="20"/>
        </w:rPr>
        <w:t xml:space="preserve"> </w:t>
      </w:r>
      <w:r w:rsidRPr="000977F7">
        <w:rPr>
          <w:rFonts w:asciiTheme="majorHAnsi" w:hAnsiTheme="majorHAnsi"/>
          <w:sz w:val="20"/>
          <w:szCs w:val="20"/>
        </w:rPr>
        <w:t>шуму</w:t>
      </w:r>
      <w:r w:rsidRPr="000977F7">
        <w:rPr>
          <w:rFonts w:asciiTheme="majorHAnsi" w:hAnsiTheme="majorHAnsi"/>
          <w:spacing w:val="1"/>
          <w:sz w:val="20"/>
          <w:szCs w:val="20"/>
        </w:rPr>
        <w:t xml:space="preserve"> </w:t>
      </w:r>
      <w:r w:rsidRPr="000977F7">
        <w:rPr>
          <w:rFonts w:asciiTheme="majorHAnsi" w:hAnsiTheme="majorHAnsi"/>
          <w:sz w:val="20"/>
          <w:szCs w:val="20"/>
        </w:rPr>
        <w:t>еквівалентний</w:t>
      </w:r>
      <w:r w:rsidRPr="000977F7">
        <w:rPr>
          <w:rFonts w:asciiTheme="majorHAnsi" w:hAnsiTheme="majorHAnsi"/>
          <w:spacing w:val="1"/>
          <w:sz w:val="20"/>
          <w:szCs w:val="20"/>
        </w:rPr>
        <w:t xml:space="preserve"> </w:t>
      </w:r>
      <w:r w:rsidRPr="000977F7">
        <w:rPr>
          <w:rFonts w:asciiTheme="majorHAnsi" w:hAnsiTheme="majorHAnsi"/>
          <w:sz w:val="20"/>
          <w:szCs w:val="20"/>
        </w:rPr>
        <w:t>рівень</w:t>
      </w:r>
      <w:r w:rsidRPr="000977F7">
        <w:rPr>
          <w:rFonts w:asciiTheme="majorHAnsi" w:hAnsiTheme="majorHAnsi"/>
          <w:spacing w:val="-47"/>
          <w:sz w:val="20"/>
          <w:szCs w:val="20"/>
        </w:rPr>
        <w:t xml:space="preserve"> </w:t>
      </w:r>
      <w:r w:rsidRPr="000977F7">
        <w:rPr>
          <w:rFonts w:asciiTheme="majorHAnsi" w:hAnsiTheme="majorHAnsi"/>
          <w:sz w:val="20"/>
          <w:szCs w:val="20"/>
        </w:rPr>
        <w:t xml:space="preserve">шуму та (або) доза шуму. Для коливного в часі </w:t>
      </w:r>
      <w:r w:rsidRPr="000977F7">
        <w:rPr>
          <w:rFonts w:asciiTheme="majorHAnsi" w:hAnsiTheme="majorHAnsi"/>
          <w:sz w:val="20"/>
          <w:szCs w:val="20"/>
        </w:rPr>
        <w:t>шуму</w:t>
      </w:r>
      <w:r w:rsidRPr="000977F7">
        <w:rPr>
          <w:rFonts w:asciiTheme="majorHAnsi" w:hAnsiTheme="majorHAnsi"/>
          <w:spacing w:val="1"/>
          <w:sz w:val="20"/>
          <w:szCs w:val="20"/>
        </w:rPr>
        <w:t xml:space="preserve"> </w:t>
      </w:r>
      <w:r w:rsidRPr="000977F7">
        <w:rPr>
          <w:rFonts w:asciiTheme="majorHAnsi" w:hAnsiTheme="majorHAnsi"/>
          <w:sz w:val="20"/>
          <w:szCs w:val="20"/>
        </w:rPr>
        <w:t>та</w:t>
      </w:r>
      <w:r w:rsidRPr="000977F7">
        <w:rPr>
          <w:rFonts w:asciiTheme="majorHAnsi" w:hAnsiTheme="majorHAnsi"/>
          <w:spacing w:val="1"/>
          <w:sz w:val="20"/>
          <w:szCs w:val="20"/>
        </w:rPr>
        <w:t xml:space="preserve"> </w:t>
      </w:r>
      <w:r w:rsidRPr="000977F7">
        <w:rPr>
          <w:rFonts w:asciiTheme="majorHAnsi" w:hAnsiTheme="majorHAnsi"/>
          <w:sz w:val="20"/>
          <w:szCs w:val="20"/>
        </w:rPr>
        <w:t>переривчастого шуму – додатково максимальні рівні шуму, виміряні за часовою характеристикою "повільно" шумоміра. Для імпульсного шуму – максимальний рівень шуму, виміряний за часовою характеристикою "імпульс" шумоміра</w:t>
      </w:r>
    </w:p>
    <w:p w14:paraId="1B5BAB4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 р и м і т к а: Величини середньо геометричних частот подані за рекомендаціями Міжнародної організації із стандартизації ISO</w:t>
      </w:r>
    </w:p>
    <w:p w14:paraId="26C663EA"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23F3C66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ШУМОВЕ</w:t>
      </w:r>
      <w:r w:rsidRPr="000977F7">
        <w:rPr>
          <w:color w:val="auto"/>
          <w:spacing w:val="-5"/>
          <w:sz w:val="20"/>
          <w:szCs w:val="20"/>
        </w:rPr>
        <w:t xml:space="preserve"> </w:t>
      </w:r>
      <w:r w:rsidRPr="000977F7">
        <w:rPr>
          <w:color w:val="auto"/>
          <w:sz w:val="20"/>
          <w:szCs w:val="20"/>
        </w:rPr>
        <w:t>ЗАБРУДНЕННЯ</w:t>
      </w:r>
      <w:r w:rsidRPr="000977F7">
        <w:rPr>
          <w:color w:val="auto"/>
          <w:spacing w:val="-1"/>
          <w:sz w:val="20"/>
          <w:szCs w:val="20"/>
        </w:rPr>
        <w:t xml:space="preserve"> </w:t>
      </w:r>
      <w:r w:rsidRPr="000977F7">
        <w:rPr>
          <w:color w:val="auto"/>
          <w:sz w:val="20"/>
          <w:szCs w:val="20"/>
        </w:rPr>
        <w:t>–</w:t>
      </w:r>
    </w:p>
    <w:p w14:paraId="5A1002D6"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NOISE</w:t>
      </w:r>
      <w:r w:rsidRPr="000977F7">
        <w:rPr>
          <w:rFonts w:asciiTheme="majorHAnsi" w:hAnsiTheme="majorHAnsi"/>
          <w:spacing w:val="-2"/>
          <w:sz w:val="20"/>
          <w:szCs w:val="20"/>
        </w:rPr>
        <w:t xml:space="preserve"> </w:t>
      </w:r>
      <w:r w:rsidRPr="000977F7">
        <w:rPr>
          <w:rFonts w:asciiTheme="majorHAnsi" w:hAnsiTheme="majorHAnsi"/>
          <w:sz w:val="20"/>
          <w:szCs w:val="20"/>
        </w:rPr>
        <w:t>POLLUTION –</w:t>
      </w:r>
    </w:p>
    <w:p w14:paraId="3349B14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Зростання</w:t>
      </w:r>
      <w:r w:rsidRPr="000977F7">
        <w:rPr>
          <w:rFonts w:asciiTheme="majorHAnsi" w:hAnsiTheme="majorHAnsi"/>
          <w:spacing w:val="-6"/>
          <w:sz w:val="20"/>
          <w:szCs w:val="20"/>
        </w:rPr>
        <w:t xml:space="preserve"> </w:t>
      </w:r>
      <w:r w:rsidRPr="000977F7">
        <w:rPr>
          <w:rFonts w:asciiTheme="majorHAnsi" w:hAnsiTheme="majorHAnsi"/>
          <w:sz w:val="20"/>
          <w:szCs w:val="20"/>
        </w:rPr>
        <w:t>інтенсивного</w:t>
      </w:r>
      <w:r w:rsidRPr="000977F7">
        <w:rPr>
          <w:rFonts w:asciiTheme="majorHAnsi" w:hAnsiTheme="majorHAnsi"/>
          <w:spacing w:val="-3"/>
          <w:sz w:val="20"/>
          <w:szCs w:val="20"/>
        </w:rPr>
        <w:t xml:space="preserve"> </w:t>
      </w:r>
      <w:r w:rsidRPr="000977F7">
        <w:rPr>
          <w:rFonts w:asciiTheme="majorHAnsi" w:hAnsiTheme="majorHAnsi"/>
          <w:sz w:val="20"/>
          <w:szCs w:val="20"/>
        </w:rPr>
        <w:t>шуму</w:t>
      </w:r>
      <w:r w:rsidRPr="000977F7">
        <w:rPr>
          <w:rFonts w:asciiTheme="majorHAnsi" w:hAnsiTheme="majorHAnsi"/>
          <w:spacing w:val="-3"/>
          <w:sz w:val="20"/>
          <w:szCs w:val="20"/>
        </w:rPr>
        <w:t xml:space="preserve"> </w:t>
      </w:r>
      <w:r w:rsidRPr="000977F7">
        <w:rPr>
          <w:rFonts w:asciiTheme="majorHAnsi" w:hAnsiTheme="majorHAnsi"/>
          <w:sz w:val="20"/>
          <w:szCs w:val="20"/>
        </w:rPr>
        <w:t>над</w:t>
      </w:r>
      <w:r w:rsidRPr="000977F7">
        <w:rPr>
          <w:rFonts w:asciiTheme="majorHAnsi" w:hAnsiTheme="majorHAnsi"/>
          <w:spacing w:val="-3"/>
          <w:sz w:val="20"/>
          <w:szCs w:val="20"/>
        </w:rPr>
        <w:t xml:space="preserve"> </w:t>
      </w:r>
      <w:r w:rsidRPr="000977F7">
        <w:rPr>
          <w:rFonts w:asciiTheme="majorHAnsi" w:hAnsiTheme="majorHAnsi"/>
          <w:sz w:val="20"/>
          <w:szCs w:val="20"/>
        </w:rPr>
        <w:t>природним</w:t>
      </w:r>
      <w:r w:rsidRPr="000977F7">
        <w:rPr>
          <w:rFonts w:asciiTheme="majorHAnsi" w:hAnsiTheme="majorHAnsi"/>
          <w:spacing w:val="-3"/>
          <w:sz w:val="20"/>
          <w:szCs w:val="20"/>
        </w:rPr>
        <w:t xml:space="preserve"> </w:t>
      </w:r>
      <w:r w:rsidRPr="000977F7">
        <w:rPr>
          <w:rFonts w:asciiTheme="majorHAnsi" w:hAnsiTheme="majorHAnsi"/>
          <w:sz w:val="20"/>
          <w:szCs w:val="20"/>
        </w:rPr>
        <w:t>рівнем</w:t>
      </w:r>
    </w:p>
    <w:p w14:paraId="2D2282A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1FFA16CF"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ШУМОВЕ</w:t>
      </w:r>
      <w:r w:rsidRPr="000977F7">
        <w:rPr>
          <w:color w:val="auto"/>
          <w:spacing w:val="-5"/>
          <w:sz w:val="20"/>
          <w:szCs w:val="20"/>
        </w:rPr>
        <w:t xml:space="preserve"> </w:t>
      </w:r>
      <w:r w:rsidRPr="000977F7">
        <w:rPr>
          <w:color w:val="auto"/>
          <w:sz w:val="20"/>
          <w:szCs w:val="20"/>
        </w:rPr>
        <w:t>НАВАНТАЖЕННЯ</w:t>
      </w:r>
      <w:r w:rsidRPr="000977F7">
        <w:rPr>
          <w:color w:val="auto"/>
          <w:spacing w:val="-1"/>
          <w:sz w:val="20"/>
          <w:szCs w:val="20"/>
        </w:rPr>
        <w:t xml:space="preserve"> </w:t>
      </w:r>
      <w:r w:rsidRPr="000977F7">
        <w:rPr>
          <w:color w:val="auto"/>
          <w:sz w:val="20"/>
          <w:szCs w:val="20"/>
        </w:rPr>
        <w:t>–</w:t>
      </w:r>
    </w:p>
    <w:p w14:paraId="5849BF2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pacing w:val="-1"/>
          <w:sz w:val="20"/>
          <w:szCs w:val="20"/>
        </w:rPr>
        <w:t>Доза</w:t>
      </w:r>
      <w:r w:rsidRPr="000977F7">
        <w:rPr>
          <w:rFonts w:asciiTheme="majorHAnsi" w:hAnsiTheme="majorHAnsi"/>
          <w:spacing w:val="-10"/>
          <w:sz w:val="20"/>
          <w:szCs w:val="20"/>
        </w:rPr>
        <w:t xml:space="preserve"> </w:t>
      </w:r>
      <w:r w:rsidRPr="000977F7">
        <w:rPr>
          <w:rFonts w:asciiTheme="majorHAnsi" w:hAnsiTheme="majorHAnsi"/>
          <w:spacing w:val="-1"/>
          <w:sz w:val="20"/>
          <w:szCs w:val="20"/>
        </w:rPr>
        <w:t>шуму</w:t>
      </w:r>
      <w:r w:rsidRPr="000977F7">
        <w:rPr>
          <w:rFonts w:asciiTheme="majorHAnsi" w:hAnsiTheme="majorHAnsi"/>
          <w:spacing w:val="-11"/>
          <w:sz w:val="20"/>
          <w:szCs w:val="20"/>
        </w:rPr>
        <w:t xml:space="preserve"> </w:t>
      </w:r>
      <w:r w:rsidRPr="000977F7">
        <w:rPr>
          <w:rFonts w:asciiTheme="majorHAnsi" w:hAnsiTheme="majorHAnsi"/>
          <w:spacing w:val="-1"/>
          <w:sz w:val="20"/>
          <w:szCs w:val="20"/>
        </w:rPr>
        <w:t>за</w:t>
      </w:r>
      <w:r w:rsidRPr="000977F7">
        <w:rPr>
          <w:rFonts w:asciiTheme="majorHAnsi" w:hAnsiTheme="majorHAnsi"/>
          <w:spacing w:val="-9"/>
          <w:sz w:val="20"/>
          <w:szCs w:val="20"/>
        </w:rPr>
        <w:t xml:space="preserve"> </w:t>
      </w:r>
      <w:r w:rsidRPr="000977F7">
        <w:rPr>
          <w:rFonts w:asciiTheme="majorHAnsi" w:hAnsiTheme="majorHAnsi"/>
          <w:spacing w:val="-1"/>
          <w:sz w:val="20"/>
          <w:szCs w:val="20"/>
        </w:rPr>
        <w:t>8-годинний</w:t>
      </w:r>
      <w:r w:rsidRPr="000977F7">
        <w:rPr>
          <w:rFonts w:asciiTheme="majorHAnsi" w:hAnsiTheme="majorHAnsi"/>
          <w:spacing w:val="-11"/>
          <w:sz w:val="20"/>
          <w:szCs w:val="20"/>
        </w:rPr>
        <w:t xml:space="preserve"> </w:t>
      </w:r>
      <w:r w:rsidRPr="000977F7">
        <w:rPr>
          <w:rFonts w:asciiTheme="majorHAnsi" w:hAnsiTheme="majorHAnsi"/>
          <w:spacing w:val="-1"/>
          <w:sz w:val="20"/>
          <w:szCs w:val="20"/>
        </w:rPr>
        <w:t>робочий</w:t>
      </w:r>
      <w:r w:rsidRPr="000977F7">
        <w:rPr>
          <w:rFonts w:asciiTheme="majorHAnsi" w:hAnsiTheme="majorHAnsi"/>
          <w:spacing w:val="-10"/>
          <w:sz w:val="20"/>
          <w:szCs w:val="20"/>
        </w:rPr>
        <w:t xml:space="preserve"> </w:t>
      </w:r>
      <w:r w:rsidRPr="000977F7">
        <w:rPr>
          <w:rFonts w:asciiTheme="majorHAnsi" w:hAnsiTheme="majorHAnsi"/>
          <w:spacing w:val="-1"/>
          <w:sz w:val="20"/>
          <w:szCs w:val="20"/>
        </w:rPr>
        <w:t>день</w:t>
      </w:r>
      <w:r w:rsidRPr="000977F7">
        <w:rPr>
          <w:rFonts w:asciiTheme="majorHAnsi" w:hAnsiTheme="majorHAnsi"/>
          <w:spacing w:val="-9"/>
          <w:sz w:val="20"/>
          <w:szCs w:val="20"/>
        </w:rPr>
        <w:t xml:space="preserve"> </w:t>
      </w:r>
      <w:r w:rsidRPr="000977F7">
        <w:rPr>
          <w:rFonts w:asciiTheme="majorHAnsi" w:hAnsiTheme="majorHAnsi"/>
          <w:spacing w:val="-1"/>
          <w:sz w:val="20"/>
          <w:szCs w:val="20"/>
        </w:rPr>
        <w:t>(робочу</w:t>
      </w:r>
      <w:r w:rsidRPr="000977F7">
        <w:rPr>
          <w:rFonts w:asciiTheme="majorHAnsi" w:hAnsiTheme="majorHAnsi"/>
          <w:spacing w:val="-11"/>
          <w:sz w:val="20"/>
          <w:szCs w:val="20"/>
        </w:rPr>
        <w:t xml:space="preserve"> </w:t>
      </w:r>
      <w:r w:rsidRPr="000977F7">
        <w:rPr>
          <w:rFonts w:asciiTheme="majorHAnsi" w:hAnsiTheme="majorHAnsi"/>
          <w:spacing w:val="-1"/>
          <w:sz w:val="20"/>
          <w:szCs w:val="20"/>
        </w:rPr>
        <w:t>зміну)</w:t>
      </w:r>
    </w:p>
    <w:p w14:paraId="2036ADE8"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6CBA715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ШУМОВИЙ ЕЛЕКТРИЧНИЙ МЕТОД </w:t>
      </w:r>
    </w:p>
    <w:p w14:paraId="479B5BE4"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КОНТРОЛЮ</w:t>
      </w:r>
      <w:r w:rsidRPr="000977F7">
        <w:rPr>
          <w:color w:val="auto"/>
          <w:spacing w:val="-2"/>
          <w:sz w:val="20"/>
          <w:szCs w:val="20"/>
        </w:rPr>
        <w:t xml:space="preserve"> </w:t>
      </w:r>
      <w:r w:rsidRPr="000977F7">
        <w:rPr>
          <w:color w:val="auto"/>
          <w:sz w:val="20"/>
          <w:szCs w:val="20"/>
        </w:rPr>
        <w:t>–</w:t>
      </w:r>
    </w:p>
    <w:p w14:paraId="2E211DB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 електричного неруйнівного контролю, що ґрунтується на реєстрації шумових параметрів під впливом електричного поля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об’єкт</w:t>
      </w:r>
      <w:r w:rsidRPr="000977F7">
        <w:rPr>
          <w:rFonts w:asciiTheme="majorHAnsi" w:hAnsiTheme="majorHAnsi"/>
          <w:spacing w:val="-2"/>
          <w:sz w:val="20"/>
          <w:szCs w:val="20"/>
        </w:rPr>
        <w:t xml:space="preserve"> </w:t>
      </w:r>
      <w:r w:rsidRPr="000977F7">
        <w:rPr>
          <w:rFonts w:asciiTheme="majorHAnsi" w:hAnsiTheme="majorHAnsi"/>
          <w:sz w:val="20"/>
          <w:szCs w:val="20"/>
        </w:rPr>
        <w:t>контролю</w:t>
      </w:r>
    </w:p>
    <w:p w14:paraId="477D8777"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2866</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35C2AA7C"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ШУМОВИЙ</w:t>
      </w:r>
      <w:r w:rsidRPr="000977F7">
        <w:rPr>
          <w:color w:val="auto"/>
          <w:spacing w:val="-5"/>
          <w:sz w:val="20"/>
          <w:szCs w:val="20"/>
        </w:rPr>
        <w:t xml:space="preserve"> </w:t>
      </w:r>
      <w:r w:rsidRPr="000977F7">
        <w:rPr>
          <w:color w:val="auto"/>
          <w:sz w:val="20"/>
          <w:szCs w:val="20"/>
        </w:rPr>
        <w:t>МЕТОД</w:t>
      </w:r>
      <w:r w:rsidRPr="000977F7">
        <w:rPr>
          <w:color w:val="auto"/>
          <w:spacing w:val="-1"/>
          <w:sz w:val="20"/>
          <w:szCs w:val="20"/>
        </w:rPr>
        <w:t xml:space="preserve"> </w:t>
      </w:r>
      <w:r w:rsidRPr="000977F7">
        <w:rPr>
          <w:color w:val="auto"/>
          <w:sz w:val="20"/>
          <w:szCs w:val="20"/>
        </w:rPr>
        <w:t>–</w:t>
      </w:r>
    </w:p>
    <w:p w14:paraId="0813311D"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Метод</w:t>
      </w:r>
      <w:r w:rsidRPr="000977F7">
        <w:rPr>
          <w:rFonts w:asciiTheme="majorHAnsi" w:hAnsiTheme="majorHAnsi"/>
          <w:spacing w:val="1"/>
          <w:sz w:val="20"/>
          <w:szCs w:val="20"/>
        </w:rPr>
        <w:t xml:space="preserve"> </w:t>
      </w:r>
      <w:r w:rsidRPr="000977F7">
        <w:rPr>
          <w:rFonts w:asciiTheme="majorHAnsi" w:hAnsiTheme="majorHAnsi"/>
          <w:sz w:val="20"/>
          <w:szCs w:val="20"/>
        </w:rPr>
        <w:t>неруйнівного</w:t>
      </w:r>
      <w:r w:rsidRPr="000977F7">
        <w:rPr>
          <w:rFonts w:asciiTheme="majorHAnsi" w:hAnsiTheme="majorHAnsi"/>
          <w:spacing w:val="1"/>
          <w:sz w:val="20"/>
          <w:szCs w:val="20"/>
        </w:rPr>
        <w:t xml:space="preserve"> </w:t>
      </w:r>
      <w:r w:rsidRPr="000977F7">
        <w:rPr>
          <w:rFonts w:asciiTheme="majorHAnsi" w:hAnsiTheme="majorHAnsi"/>
          <w:sz w:val="20"/>
          <w:szCs w:val="20"/>
        </w:rPr>
        <w:t>контролю,</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ґрунтується</w:t>
      </w:r>
      <w:r w:rsidRPr="000977F7">
        <w:rPr>
          <w:rFonts w:asciiTheme="majorHAnsi" w:hAnsiTheme="majorHAnsi"/>
          <w:spacing w:val="1"/>
          <w:sz w:val="20"/>
          <w:szCs w:val="20"/>
        </w:rPr>
        <w:t xml:space="preserve"> </w:t>
      </w:r>
      <w:r w:rsidRPr="000977F7">
        <w:rPr>
          <w:rFonts w:asciiTheme="majorHAnsi" w:hAnsiTheme="majorHAnsi"/>
          <w:sz w:val="20"/>
          <w:szCs w:val="20"/>
        </w:rPr>
        <w:t>на</w:t>
      </w:r>
      <w:r w:rsidRPr="000977F7">
        <w:rPr>
          <w:rFonts w:asciiTheme="majorHAnsi" w:hAnsiTheme="majorHAnsi"/>
          <w:spacing w:val="1"/>
          <w:sz w:val="20"/>
          <w:szCs w:val="20"/>
        </w:rPr>
        <w:t xml:space="preserve"> </w:t>
      </w:r>
      <w:r w:rsidRPr="000977F7">
        <w:rPr>
          <w:rFonts w:asciiTheme="majorHAnsi" w:hAnsiTheme="majorHAnsi"/>
          <w:sz w:val="20"/>
          <w:szCs w:val="20"/>
        </w:rPr>
        <w:t>реєстрації</w:t>
      </w:r>
      <w:r w:rsidRPr="000977F7">
        <w:rPr>
          <w:rFonts w:asciiTheme="majorHAnsi" w:hAnsiTheme="majorHAnsi"/>
          <w:spacing w:val="-2"/>
          <w:sz w:val="20"/>
          <w:szCs w:val="20"/>
        </w:rPr>
        <w:t xml:space="preserve"> </w:t>
      </w:r>
      <w:r w:rsidRPr="000977F7">
        <w:rPr>
          <w:rFonts w:asciiTheme="majorHAnsi" w:hAnsiTheme="majorHAnsi"/>
          <w:sz w:val="20"/>
          <w:szCs w:val="20"/>
        </w:rPr>
        <w:t>шумових</w:t>
      </w:r>
      <w:r w:rsidRPr="000977F7">
        <w:rPr>
          <w:rFonts w:asciiTheme="majorHAnsi" w:hAnsiTheme="majorHAnsi"/>
          <w:spacing w:val="1"/>
          <w:sz w:val="20"/>
          <w:szCs w:val="20"/>
        </w:rPr>
        <w:t xml:space="preserve"> </w:t>
      </w:r>
      <w:r w:rsidRPr="000977F7">
        <w:rPr>
          <w:rFonts w:asciiTheme="majorHAnsi" w:hAnsiTheme="majorHAnsi"/>
          <w:sz w:val="20"/>
          <w:szCs w:val="20"/>
        </w:rPr>
        <w:t>параметрів</w:t>
      </w:r>
    </w:p>
    <w:p w14:paraId="634FE5BF"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B2DC3C8"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ШУМОВИМІРЮВАЛЬНИЙ</w:t>
      </w:r>
      <w:r w:rsidRPr="000977F7">
        <w:rPr>
          <w:color w:val="auto"/>
          <w:spacing w:val="-5"/>
          <w:sz w:val="20"/>
          <w:szCs w:val="20"/>
        </w:rPr>
        <w:t xml:space="preserve"> </w:t>
      </w:r>
      <w:r w:rsidRPr="000977F7">
        <w:rPr>
          <w:color w:val="auto"/>
          <w:sz w:val="20"/>
          <w:szCs w:val="20"/>
        </w:rPr>
        <w:t>ТРАКТ</w:t>
      </w:r>
      <w:r w:rsidRPr="000977F7">
        <w:rPr>
          <w:color w:val="auto"/>
          <w:spacing w:val="-4"/>
          <w:sz w:val="20"/>
          <w:szCs w:val="20"/>
        </w:rPr>
        <w:t xml:space="preserve"> </w:t>
      </w:r>
      <w:r w:rsidRPr="000977F7">
        <w:rPr>
          <w:b w:val="0"/>
          <w:color w:val="auto"/>
          <w:sz w:val="20"/>
          <w:szCs w:val="20"/>
        </w:rPr>
        <w:t>–</w:t>
      </w:r>
    </w:p>
    <w:p w14:paraId="75BC78A4"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Комплект</w:t>
      </w:r>
      <w:r w:rsidRPr="000977F7">
        <w:rPr>
          <w:rFonts w:asciiTheme="majorHAnsi" w:hAnsiTheme="majorHAnsi"/>
          <w:spacing w:val="1"/>
          <w:sz w:val="20"/>
          <w:szCs w:val="20"/>
        </w:rPr>
        <w:t xml:space="preserve"> </w:t>
      </w:r>
      <w:r w:rsidRPr="000977F7">
        <w:rPr>
          <w:rFonts w:asciiTheme="majorHAnsi" w:hAnsiTheme="majorHAnsi"/>
          <w:sz w:val="20"/>
          <w:szCs w:val="20"/>
        </w:rPr>
        <w:t>приладів,</w:t>
      </w:r>
      <w:r w:rsidRPr="000977F7">
        <w:rPr>
          <w:rFonts w:asciiTheme="majorHAnsi" w:hAnsiTheme="majorHAnsi"/>
          <w:spacing w:val="1"/>
          <w:sz w:val="20"/>
          <w:szCs w:val="20"/>
        </w:rPr>
        <w:t xml:space="preserve"> </w:t>
      </w:r>
      <w:r w:rsidRPr="000977F7">
        <w:rPr>
          <w:rFonts w:asciiTheme="majorHAnsi" w:hAnsiTheme="majorHAnsi"/>
          <w:sz w:val="20"/>
          <w:szCs w:val="20"/>
        </w:rPr>
        <w:t>що</w:t>
      </w:r>
      <w:r w:rsidRPr="000977F7">
        <w:rPr>
          <w:rFonts w:asciiTheme="majorHAnsi" w:hAnsiTheme="majorHAnsi"/>
          <w:spacing w:val="1"/>
          <w:sz w:val="20"/>
          <w:szCs w:val="20"/>
        </w:rPr>
        <w:t xml:space="preserve"> </w:t>
      </w:r>
      <w:r w:rsidRPr="000977F7">
        <w:rPr>
          <w:rFonts w:asciiTheme="majorHAnsi" w:hAnsiTheme="majorHAnsi"/>
          <w:sz w:val="20"/>
          <w:szCs w:val="20"/>
        </w:rPr>
        <w:t>забезпечують</w:t>
      </w:r>
      <w:r w:rsidRPr="000977F7">
        <w:rPr>
          <w:rFonts w:asciiTheme="majorHAnsi" w:hAnsiTheme="majorHAnsi"/>
          <w:spacing w:val="1"/>
          <w:sz w:val="20"/>
          <w:szCs w:val="20"/>
        </w:rPr>
        <w:t xml:space="preserve"> </w:t>
      </w:r>
      <w:r w:rsidRPr="000977F7">
        <w:rPr>
          <w:rFonts w:asciiTheme="majorHAnsi" w:hAnsiTheme="majorHAnsi"/>
          <w:sz w:val="20"/>
          <w:szCs w:val="20"/>
        </w:rPr>
        <w:t>перетворення</w:t>
      </w:r>
      <w:r w:rsidRPr="000977F7">
        <w:rPr>
          <w:rFonts w:asciiTheme="majorHAnsi" w:hAnsiTheme="majorHAnsi"/>
          <w:spacing w:val="1"/>
          <w:sz w:val="20"/>
          <w:szCs w:val="20"/>
        </w:rPr>
        <w:t xml:space="preserve"> </w:t>
      </w:r>
      <w:r w:rsidRPr="000977F7">
        <w:rPr>
          <w:rFonts w:asciiTheme="majorHAnsi" w:hAnsiTheme="majorHAnsi"/>
          <w:sz w:val="20"/>
          <w:szCs w:val="20"/>
        </w:rPr>
        <w:t>шуму в електричний сигнал з подальшим його динамічним,</w:t>
      </w:r>
      <w:r w:rsidRPr="000977F7">
        <w:rPr>
          <w:rFonts w:asciiTheme="majorHAnsi" w:hAnsiTheme="majorHAnsi"/>
          <w:spacing w:val="-1"/>
          <w:sz w:val="20"/>
          <w:szCs w:val="20"/>
        </w:rPr>
        <w:t xml:space="preserve"> </w:t>
      </w:r>
      <w:r w:rsidRPr="000977F7">
        <w:rPr>
          <w:rFonts w:asciiTheme="majorHAnsi" w:hAnsiTheme="majorHAnsi"/>
          <w:sz w:val="20"/>
          <w:szCs w:val="20"/>
        </w:rPr>
        <w:t>часовим та частотним аналізом</w:t>
      </w:r>
    </w:p>
    <w:p w14:paraId="5A6D1321"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2583B407"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ШУМОВІДБИТТЯ</w:t>
      </w:r>
      <w:r w:rsidRPr="000977F7">
        <w:rPr>
          <w:color w:val="auto"/>
          <w:spacing w:val="-3"/>
          <w:sz w:val="20"/>
          <w:szCs w:val="20"/>
        </w:rPr>
        <w:t xml:space="preserve"> </w:t>
      </w:r>
      <w:r w:rsidRPr="000977F7">
        <w:rPr>
          <w:color w:val="auto"/>
          <w:sz w:val="20"/>
          <w:szCs w:val="20"/>
        </w:rPr>
        <w:t>–</w:t>
      </w:r>
    </w:p>
    <w:p w14:paraId="489E3E9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ACOUSTICAL</w:t>
      </w:r>
      <w:r w:rsidRPr="000977F7">
        <w:rPr>
          <w:rFonts w:asciiTheme="majorHAnsi" w:hAnsiTheme="majorHAnsi"/>
          <w:spacing w:val="-4"/>
          <w:sz w:val="20"/>
          <w:szCs w:val="20"/>
        </w:rPr>
        <w:t xml:space="preserve"> </w:t>
      </w:r>
      <w:r w:rsidRPr="000977F7">
        <w:rPr>
          <w:rFonts w:asciiTheme="majorHAnsi" w:hAnsiTheme="majorHAnsi"/>
          <w:sz w:val="20"/>
          <w:szCs w:val="20"/>
        </w:rPr>
        <w:t>REFLECTION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79D51793"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Здатність</w:t>
      </w:r>
      <w:r w:rsidRPr="000977F7">
        <w:rPr>
          <w:rFonts w:asciiTheme="majorHAnsi" w:hAnsiTheme="majorHAnsi"/>
          <w:spacing w:val="-3"/>
          <w:sz w:val="20"/>
          <w:szCs w:val="20"/>
        </w:rPr>
        <w:t xml:space="preserve"> </w:t>
      </w:r>
      <w:r w:rsidRPr="000977F7">
        <w:rPr>
          <w:rFonts w:asciiTheme="majorHAnsi" w:hAnsiTheme="majorHAnsi"/>
          <w:sz w:val="20"/>
          <w:szCs w:val="20"/>
        </w:rPr>
        <w:t>перепони</w:t>
      </w:r>
      <w:r w:rsidRPr="000977F7">
        <w:rPr>
          <w:rFonts w:asciiTheme="majorHAnsi" w:hAnsiTheme="majorHAnsi"/>
          <w:spacing w:val="-2"/>
          <w:sz w:val="20"/>
          <w:szCs w:val="20"/>
        </w:rPr>
        <w:t xml:space="preserve"> </w:t>
      </w:r>
      <w:r w:rsidRPr="000977F7">
        <w:rPr>
          <w:rFonts w:asciiTheme="majorHAnsi" w:hAnsiTheme="majorHAnsi"/>
          <w:sz w:val="20"/>
          <w:szCs w:val="20"/>
        </w:rPr>
        <w:t>до</w:t>
      </w:r>
      <w:r w:rsidRPr="000977F7">
        <w:rPr>
          <w:rFonts w:asciiTheme="majorHAnsi" w:hAnsiTheme="majorHAnsi"/>
          <w:spacing w:val="-2"/>
          <w:sz w:val="20"/>
          <w:szCs w:val="20"/>
        </w:rPr>
        <w:t xml:space="preserve"> </w:t>
      </w:r>
      <w:r w:rsidRPr="000977F7">
        <w:rPr>
          <w:rFonts w:asciiTheme="majorHAnsi" w:hAnsiTheme="majorHAnsi"/>
          <w:sz w:val="20"/>
          <w:szCs w:val="20"/>
        </w:rPr>
        <w:t>відбиття</w:t>
      </w:r>
      <w:r w:rsidRPr="000977F7">
        <w:rPr>
          <w:rFonts w:asciiTheme="majorHAnsi" w:hAnsiTheme="majorHAnsi"/>
          <w:spacing w:val="-4"/>
          <w:sz w:val="20"/>
          <w:szCs w:val="20"/>
        </w:rPr>
        <w:t xml:space="preserve"> </w:t>
      </w:r>
      <w:r w:rsidRPr="000977F7">
        <w:rPr>
          <w:rFonts w:asciiTheme="majorHAnsi" w:hAnsiTheme="majorHAnsi"/>
          <w:sz w:val="20"/>
          <w:szCs w:val="20"/>
        </w:rPr>
        <w:t>шуму</w:t>
      </w:r>
    </w:p>
    <w:p w14:paraId="7EF65CFB"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lang w:val="en-US"/>
        </w:rPr>
      </w:pPr>
      <w:r w:rsidRPr="000977F7">
        <w:rPr>
          <w:rFonts w:asciiTheme="majorHAnsi" w:hAnsiTheme="majorHAnsi"/>
          <w:i/>
          <w:sz w:val="20"/>
          <w:szCs w:val="20"/>
        </w:rPr>
        <w:t>ДСТУ</w:t>
      </w:r>
      <w:r w:rsidRPr="004D2D14">
        <w:rPr>
          <w:rFonts w:asciiTheme="majorHAnsi" w:hAnsiTheme="majorHAnsi"/>
          <w:i/>
          <w:spacing w:val="-2"/>
          <w:sz w:val="20"/>
          <w:szCs w:val="20"/>
          <w:lang w:val="en-US"/>
        </w:rPr>
        <w:t xml:space="preserve"> </w:t>
      </w:r>
      <w:r w:rsidRPr="004D2D14">
        <w:rPr>
          <w:rFonts w:asciiTheme="majorHAnsi" w:hAnsiTheme="majorHAnsi"/>
          <w:i/>
          <w:sz w:val="20"/>
          <w:szCs w:val="20"/>
          <w:lang w:val="en-US"/>
        </w:rPr>
        <w:t>2325</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w:t>
      </w:r>
      <w:r w:rsidRPr="004D2D14">
        <w:rPr>
          <w:rFonts w:asciiTheme="majorHAnsi" w:hAnsiTheme="majorHAnsi"/>
          <w:i/>
          <w:spacing w:val="-1"/>
          <w:sz w:val="20"/>
          <w:szCs w:val="20"/>
          <w:lang w:val="en-US"/>
        </w:rPr>
        <w:t xml:space="preserve"> </w:t>
      </w:r>
      <w:r w:rsidRPr="004D2D14">
        <w:rPr>
          <w:rFonts w:asciiTheme="majorHAnsi" w:hAnsiTheme="majorHAnsi"/>
          <w:i/>
          <w:sz w:val="20"/>
          <w:szCs w:val="20"/>
          <w:lang w:val="en-US"/>
        </w:rPr>
        <w:t>93</w:t>
      </w:r>
    </w:p>
    <w:p w14:paraId="4C5A0FAE"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ШУМОМІР</w:t>
      </w:r>
      <w:r w:rsidRPr="000977F7">
        <w:rPr>
          <w:color w:val="auto"/>
          <w:spacing w:val="-1"/>
          <w:sz w:val="20"/>
          <w:szCs w:val="20"/>
        </w:rPr>
        <w:t xml:space="preserve"> </w:t>
      </w:r>
      <w:r w:rsidRPr="000977F7">
        <w:rPr>
          <w:b w:val="0"/>
          <w:color w:val="auto"/>
          <w:sz w:val="20"/>
          <w:szCs w:val="20"/>
        </w:rPr>
        <w:t>–</w:t>
      </w:r>
    </w:p>
    <w:p w14:paraId="361861D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SOUND LEVEL</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METER –</w:t>
      </w:r>
    </w:p>
    <w:p w14:paraId="606EA14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Прилад</w:t>
      </w:r>
      <w:r w:rsidRPr="000977F7">
        <w:rPr>
          <w:rFonts w:asciiTheme="majorHAnsi" w:hAnsiTheme="majorHAnsi"/>
          <w:spacing w:val="-1"/>
          <w:sz w:val="20"/>
          <w:szCs w:val="20"/>
        </w:rPr>
        <w:t xml:space="preserve"> </w:t>
      </w:r>
      <w:r w:rsidRPr="000977F7">
        <w:rPr>
          <w:rFonts w:asciiTheme="majorHAnsi" w:hAnsiTheme="majorHAnsi"/>
          <w:sz w:val="20"/>
          <w:szCs w:val="20"/>
        </w:rPr>
        <w:t>для</w:t>
      </w:r>
      <w:r w:rsidRPr="000977F7">
        <w:rPr>
          <w:rFonts w:asciiTheme="majorHAnsi" w:hAnsiTheme="majorHAnsi"/>
          <w:spacing w:val="-4"/>
          <w:sz w:val="20"/>
          <w:szCs w:val="20"/>
        </w:rPr>
        <w:t xml:space="preserve"> </w:t>
      </w:r>
      <w:r w:rsidRPr="000977F7">
        <w:rPr>
          <w:rFonts w:asciiTheme="majorHAnsi" w:hAnsiTheme="majorHAnsi"/>
          <w:sz w:val="20"/>
          <w:szCs w:val="20"/>
        </w:rPr>
        <w:t>вимірювання</w:t>
      </w:r>
      <w:r w:rsidRPr="000977F7">
        <w:rPr>
          <w:rFonts w:asciiTheme="majorHAnsi" w:hAnsiTheme="majorHAnsi"/>
          <w:spacing w:val="-4"/>
          <w:sz w:val="20"/>
          <w:szCs w:val="20"/>
        </w:rPr>
        <w:t xml:space="preserve"> </w:t>
      </w:r>
      <w:r w:rsidRPr="000977F7">
        <w:rPr>
          <w:rFonts w:asciiTheme="majorHAnsi" w:hAnsiTheme="majorHAnsi"/>
          <w:sz w:val="20"/>
          <w:szCs w:val="20"/>
        </w:rPr>
        <w:t>рівня</w:t>
      </w:r>
      <w:r w:rsidRPr="000977F7">
        <w:rPr>
          <w:rFonts w:asciiTheme="majorHAnsi" w:hAnsiTheme="majorHAnsi"/>
          <w:spacing w:val="-4"/>
          <w:sz w:val="20"/>
          <w:szCs w:val="20"/>
        </w:rPr>
        <w:t xml:space="preserve"> </w:t>
      </w:r>
      <w:r w:rsidRPr="000977F7">
        <w:rPr>
          <w:rFonts w:asciiTheme="majorHAnsi" w:hAnsiTheme="majorHAnsi"/>
          <w:sz w:val="20"/>
          <w:szCs w:val="20"/>
        </w:rPr>
        <w:t>шуму</w:t>
      </w:r>
    </w:p>
    <w:p w14:paraId="0F2E7D76"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2325 – 93</w:t>
      </w:r>
    </w:p>
    <w:p w14:paraId="058FC8B9" w14:textId="77777777" w:rsidR="0097612F" w:rsidRPr="000977F7" w:rsidRDefault="0097612F" w:rsidP="000977F7">
      <w:pPr>
        <w:tabs>
          <w:tab w:val="left" w:pos="284"/>
        </w:tabs>
        <w:spacing w:after="0" w:line="240" w:lineRule="auto"/>
        <w:ind w:left="170"/>
        <w:mirrorIndents/>
        <w:jc w:val="both"/>
        <w:rPr>
          <w:rFonts w:asciiTheme="majorHAnsi" w:hAnsiTheme="majorHAnsi"/>
          <w:spacing w:val="-47"/>
          <w:sz w:val="20"/>
          <w:szCs w:val="20"/>
        </w:rPr>
      </w:pPr>
      <w:r w:rsidRPr="000977F7">
        <w:rPr>
          <w:rFonts w:asciiTheme="majorHAnsi" w:hAnsiTheme="majorHAnsi"/>
          <w:b/>
          <w:sz w:val="20"/>
          <w:szCs w:val="20"/>
        </w:rPr>
        <w:t xml:space="preserve">ШУМОПОГЛИНАННЯ </w:t>
      </w:r>
      <w:r w:rsidRPr="000977F7">
        <w:rPr>
          <w:rFonts w:asciiTheme="majorHAnsi" w:hAnsiTheme="majorHAnsi"/>
          <w:sz w:val="20"/>
          <w:szCs w:val="20"/>
        </w:rPr>
        <w:t>–</w:t>
      </w:r>
      <w:r w:rsidRPr="000977F7">
        <w:rPr>
          <w:rFonts w:asciiTheme="majorHAnsi" w:hAnsiTheme="majorHAnsi"/>
          <w:spacing w:val="-47"/>
          <w:sz w:val="20"/>
          <w:szCs w:val="20"/>
        </w:rPr>
        <w:t xml:space="preserve"> </w:t>
      </w:r>
    </w:p>
    <w:p w14:paraId="7814252A" w14:textId="77777777" w:rsidR="0097612F" w:rsidRPr="000977F7" w:rsidRDefault="0097612F" w:rsidP="000977F7">
      <w:pPr>
        <w:tabs>
          <w:tab w:val="left" w:pos="284"/>
        </w:tabs>
        <w:spacing w:after="0" w:line="240" w:lineRule="auto"/>
        <w:ind w:left="170"/>
        <w:mirrorIndents/>
        <w:jc w:val="both"/>
        <w:rPr>
          <w:rFonts w:asciiTheme="majorHAnsi" w:hAnsiTheme="majorHAnsi"/>
          <w:sz w:val="20"/>
          <w:szCs w:val="20"/>
        </w:rPr>
      </w:pPr>
      <w:r w:rsidRPr="000977F7">
        <w:rPr>
          <w:rFonts w:asciiTheme="majorHAnsi" w:hAnsiTheme="majorHAnsi"/>
          <w:sz w:val="20"/>
          <w:szCs w:val="20"/>
        </w:rPr>
        <w:t>SOUND</w:t>
      </w:r>
      <w:r w:rsidRPr="000977F7">
        <w:rPr>
          <w:rFonts w:asciiTheme="majorHAnsi" w:hAnsiTheme="majorHAnsi"/>
          <w:spacing w:val="1"/>
          <w:sz w:val="20"/>
          <w:szCs w:val="20"/>
        </w:rPr>
        <w:t xml:space="preserve"> </w:t>
      </w:r>
      <w:r w:rsidRPr="000977F7">
        <w:rPr>
          <w:rFonts w:asciiTheme="majorHAnsi" w:hAnsiTheme="majorHAnsi"/>
          <w:sz w:val="20"/>
          <w:szCs w:val="20"/>
        </w:rPr>
        <w:t>ABSORPTION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37E2B2C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Перетворення звукової енергії у теплову під час проходження</w:t>
      </w:r>
      <w:r w:rsidRPr="000977F7">
        <w:rPr>
          <w:rFonts w:asciiTheme="majorHAnsi" w:hAnsiTheme="majorHAnsi"/>
          <w:spacing w:val="-2"/>
          <w:sz w:val="20"/>
          <w:szCs w:val="20"/>
        </w:rPr>
        <w:t xml:space="preserve"> </w:t>
      </w:r>
      <w:r w:rsidRPr="000977F7">
        <w:rPr>
          <w:rFonts w:asciiTheme="majorHAnsi" w:hAnsiTheme="majorHAnsi"/>
          <w:sz w:val="20"/>
          <w:szCs w:val="20"/>
        </w:rPr>
        <w:t>шуму у</w:t>
      </w:r>
      <w:r w:rsidRPr="000977F7">
        <w:rPr>
          <w:rFonts w:asciiTheme="majorHAnsi" w:hAnsiTheme="majorHAnsi"/>
          <w:spacing w:val="-1"/>
          <w:sz w:val="20"/>
          <w:szCs w:val="20"/>
        </w:rPr>
        <w:t xml:space="preserve"> </w:t>
      </w:r>
      <w:r w:rsidRPr="000977F7">
        <w:rPr>
          <w:rFonts w:asciiTheme="majorHAnsi" w:hAnsiTheme="majorHAnsi"/>
          <w:sz w:val="20"/>
          <w:szCs w:val="20"/>
        </w:rPr>
        <w:t>просторі</w:t>
      </w:r>
      <w:r w:rsidRPr="000977F7">
        <w:rPr>
          <w:rFonts w:asciiTheme="majorHAnsi" w:hAnsiTheme="majorHAnsi"/>
          <w:spacing w:val="-2"/>
          <w:sz w:val="20"/>
          <w:szCs w:val="20"/>
        </w:rPr>
        <w:t xml:space="preserve"> </w:t>
      </w:r>
      <w:r w:rsidRPr="000977F7">
        <w:rPr>
          <w:rFonts w:asciiTheme="majorHAnsi" w:hAnsiTheme="majorHAnsi"/>
          <w:sz w:val="20"/>
          <w:szCs w:val="20"/>
        </w:rPr>
        <w:t>чи</w:t>
      </w:r>
      <w:r w:rsidRPr="000977F7">
        <w:rPr>
          <w:rFonts w:asciiTheme="majorHAnsi" w:hAnsiTheme="majorHAnsi"/>
          <w:spacing w:val="-2"/>
          <w:sz w:val="20"/>
          <w:szCs w:val="20"/>
        </w:rPr>
        <w:t xml:space="preserve"> </w:t>
      </w:r>
      <w:r w:rsidRPr="000977F7">
        <w:rPr>
          <w:rFonts w:asciiTheme="majorHAnsi" w:hAnsiTheme="majorHAnsi"/>
          <w:sz w:val="20"/>
          <w:szCs w:val="20"/>
        </w:rPr>
        <w:t>через перепону</w:t>
      </w:r>
    </w:p>
    <w:p w14:paraId="0EF1FD60"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7492075D"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ШУМОПОГЛИНАЛЬНА ОБРОБКА </w:t>
      </w:r>
    </w:p>
    <w:p w14:paraId="21318388"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ПРИМІ</w:t>
      </w:r>
      <w:r w:rsidRPr="000977F7">
        <w:rPr>
          <w:color w:val="auto"/>
          <w:spacing w:val="-47"/>
          <w:sz w:val="20"/>
          <w:szCs w:val="20"/>
        </w:rPr>
        <w:t xml:space="preserve"> </w:t>
      </w:r>
      <w:r w:rsidRPr="000977F7">
        <w:rPr>
          <w:color w:val="auto"/>
          <w:sz w:val="20"/>
          <w:szCs w:val="20"/>
        </w:rPr>
        <w:t xml:space="preserve">ЩЕННЯ </w:t>
      </w:r>
      <w:r w:rsidRPr="000977F7">
        <w:rPr>
          <w:b w:val="0"/>
          <w:color w:val="auto"/>
          <w:sz w:val="20"/>
          <w:szCs w:val="20"/>
        </w:rPr>
        <w:t>–</w:t>
      </w:r>
    </w:p>
    <w:p w14:paraId="038FBEE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Розміщення у приміщенні шумопоглинальних матеріалів</w:t>
      </w:r>
      <w:r w:rsidRPr="000977F7">
        <w:rPr>
          <w:rFonts w:asciiTheme="majorHAnsi" w:hAnsiTheme="majorHAnsi"/>
          <w:spacing w:val="-2"/>
          <w:sz w:val="20"/>
          <w:szCs w:val="20"/>
        </w:rPr>
        <w:t xml:space="preserve"> </w:t>
      </w:r>
      <w:r w:rsidRPr="000977F7">
        <w:rPr>
          <w:rFonts w:asciiTheme="majorHAnsi" w:hAnsiTheme="majorHAnsi"/>
          <w:sz w:val="20"/>
          <w:szCs w:val="20"/>
        </w:rPr>
        <w:t>та</w:t>
      </w:r>
      <w:r w:rsidRPr="000977F7">
        <w:rPr>
          <w:rFonts w:asciiTheme="majorHAnsi" w:hAnsiTheme="majorHAnsi"/>
          <w:spacing w:val="3"/>
          <w:sz w:val="20"/>
          <w:szCs w:val="20"/>
        </w:rPr>
        <w:t xml:space="preserve"> </w:t>
      </w:r>
      <w:r w:rsidRPr="000977F7">
        <w:rPr>
          <w:rFonts w:asciiTheme="majorHAnsi" w:hAnsiTheme="majorHAnsi"/>
          <w:sz w:val="20"/>
          <w:szCs w:val="20"/>
        </w:rPr>
        <w:t>конструкцій</w:t>
      </w:r>
    </w:p>
    <w:p w14:paraId="3C9BEDED"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2325</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93</w:t>
      </w:r>
    </w:p>
    <w:p w14:paraId="45036B8C"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sectPr w:rsidR="0097612F" w:rsidRPr="000977F7" w:rsidSect="000977F7">
          <w:type w:val="continuous"/>
          <w:pgSz w:w="11900" w:h="16820"/>
          <w:pgMar w:top="980" w:right="380" w:bottom="960" w:left="1160" w:header="0" w:footer="775" w:gutter="0"/>
          <w:cols w:num="2" w:space="454"/>
        </w:sectPr>
      </w:pPr>
    </w:p>
    <w:p w14:paraId="2F41BA85" w14:textId="77777777" w:rsidR="0097612F" w:rsidRPr="00871491" w:rsidRDefault="0097612F" w:rsidP="00871491">
      <w:pPr>
        <w:pStyle w:val="1"/>
        <w:rPr>
          <w:lang w:val="uk-UA"/>
        </w:rPr>
      </w:pPr>
      <w:bookmarkStart w:id="322" w:name="_Toc132629658"/>
      <w:r w:rsidRPr="00871491">
        <w:rPr>
          <w:lang w:val="uk-UA"/>
        </w:rPr>
        <w:lastRenderedPageBreak/>
        <w:t>Щ</w:t>
      </w:r>
      <w:bookmarkEnd w:id="322"/>
    </w:p>
    <w:p w14:paraId="079D3FEF" w14:textId="77777777" w:rsidR="0097612F" w:rsidRPr="00871491" w:rsidRDefault="0097612F" w:rsidP="00871491">
      <w:pPr>
        <w:pStyle w:val="1"/>
        <w:rPr>
          <w:lang w:val="uk-UA"/>
        </w:rPr>
        <w:sectPr w:rsidR="0097612F" w:rsidRPr="00871491" w:rsidSect="000977F7">
          <w:pgSz w:w="11900" w:h="16820"/>
          <w:pgMar w:top="980" w:right="380" w:bottom="960" w:left="1160" w:header="0" w:footer="775" w:gutter="0"/>
          <w:cols w:num="2" w:space="454"/>
        </w:sectPr>
      </w:pPr>
    </w:p>
    <w:p w14:paraId="36AA6F7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ЩІЛИННА</w:t>
      </w:r>
      <w:r w:rsidRPr="000977F7">
        <w:rPr>
          <w:color w:val="auto"/>
          <w:spacing w:val="-4"/>
          <w:sz w:val="20"/>
          <w:szCs w:val="20"/>
        </w:rPr>
        <w:t xml:space="preserve"> </w:t>
      </w:r>
      <w:r w:rsidRPr="000977F7">
        <w:rPr>
          <w:color w:val="auto"/>
          <w:sz w:val="20"/>
          <w:szCs w:val="20"/>
        </w:rPr>
        <w:t>КОРОЗІЯ</w:t>
      </w:r>
      <w:r w:rsidRPr="000977F7">
        <w:rPr>
          <w:color w:val="auto"/>
          <w:spacing w:val="-3"/>
          <w:sz w:val="20"/>
          <w:szCs w:val="20"/>
        </w:rPr>
        <w:t xml:space="preserve"> </w:t>
      </w:r>
      <w:r w:rsidRPr="000977F7">
        <w:rPr>
          <w:color w:val="auto"/>
          <w:sz w:val="20"/>
          <w:szCs w:val="20"/>
        </w:rPr>
        <w:t>–</w:t>
      </w:r>
    </w:p>
    <w:p w14:paraId="4383188C"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CREVICE</w:t>
      </w:r>
      <w:r w:rsidRPr="000977F7">
        <w:rPr>
          <w:rFonts w:asciiTheme="majorHAnsi" w:hAnsiTheme="majorHAnsi"/>
          <w:spacing w:val="-3"/>
          <w:sz w:val="20"/>
          <w:szCs w:val="20"/>
        </w:rPr>
        <w:t xml:space="preserve"> </w:t>
      </w:r>
      <w:r w:rsidRPr="000977F7">
        <w:rPr>
          <w:rFonts w:asciiTheme="majorHAnsi" w:hAnsiTheme="majorHAnsi"/>
          <w:sz w:val="20"/>
          <w:szCs w:val="20"/>
        </w:rPr>
        <w:t>CORROSION</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1751976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Корозія металу, яка відбувається в середині чи навколо вузького отвору,</w:t>
      </w:r>
      <w:r w:rsidRPr="000977F7">
        <w:rPr>
          <w:rFonts w:asciiTheme="majorHAnsi" w:hAnsiTheme="majorHAnsi"/>
          <w:spacing w:val="-1"/>
          <w:sz w:val="20"/>
          <w:szCs w:val="20"/>
        </w:rPr>
        <w:t xml:space="preserve"> </w:t>
      </w:r>
      <w:r w:rsidRPr="000977F7">
        <w:rPr>
          <w:rFonts w:asciiTheme="majorHAnsi" w:hAnsiTheme="majorHAnsi"/>
          <w:sz w:val="20"/>
          <w:szCs w:val="20"/>
        </w:rPr>
        <w:t>щілини</w:t>
      </w:r>
      <w:r w:rsidRPr="000977F7">
        <w:rPr>
          <w:rFonts w:asciiTheme="majorHAnsi" w:hAnsiTheme="majorHAnsi"/>
          <w:spacing w:val="-1"/>
          <w:sz w:val="20"/>
          <w:szCs w:val="20"/>
        </w:rPr>
        <w:t xml:space="preserve"> </w:t>
      </w:r>
      <w:r w:rsidRPr="000977F7">
        <w:rPr>
          <w:rFonts w:asciiTheme="majorHAnsi" w:hAnsiTheme="majorHAnsi"/>
          <w:sz w:val="20"/>
          <w:szCs w:val="20"/>
        </w:rPr>
        <w:t>або</w:t>
      </w:r>
      <w:r w:rsidRPr="000977F7">
        <w:rPr>
          <w:rFonts w:asciiTheme="majorHAnsi" w:hAnsiTheme="majorHAnsi"/>
          <w:spacing w:val="-1"/>
          <w:sz w:val="20"/>
          <w:szCs w:val="20"/>
        </w:rPr>
        <w:t xml:space="preserve"> </w:t>
      </w:r>
      <w:r w:rsidRPr="000977F7">
        <w:rPr>
          <w:rFonts w:asciiTheme="majorHAnsi" w:hAnsiTheme="majorHAnsi"/>
          <w:sz w:val="20"/>
          <w:szCs w:val="20"/>
        </w:rPr>
        <w:t>проміжку</w:t>
      </w:r>
    </w:p>
    <w:p w14:paraId="302A8E35"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3830 - 98</w:t>
      </w:r>
    </w:p>
    <w:p w14:paraId="6B9E52C7" w14:textId="77777777" w:rsidR="0097612F" w:rsidRPr="004D2D14" w:rsidRDefault="0097612F" w:rsidP="000977F7">
      <w:pPr>
        <w:tabs>
          <w:tab w:val="left" w:pos="284"/>
        </w:tabs>
        <w:spacing w:after="0" w:line="240" w:lineRule="auto"/>
        <w:ind w:left="170"/>
        <w:mirrorIndents/>
        <w:jc w:val="both"/>
        <w:rPr>
          <w:rFonts w:asciiTheme="majorHAnsi" w:hAnsiTheme="majorHAnsi"/>
          <w:i/>
          <w:sz w:val="20"/>
          <w:szCs w:val="20"/>
        </w:rPr>
      </w:pPr>
    </w:p>
    <w:p w14:paraId="33DAA018" w14:textId="77777777" w:rsidR="000977F7" w:rsidRPr="004D2D14" w:rsidRDefault="000977F7" w:rsidP="000977F7">
      <w:pPr>
        <w:tabs>
          <w:tab w:val="left" w:pos="284"/>
        </w:tabs>
        <w:spacing w:after="0" w:line="240" w:lineRule="auto"/>
        <w:ind w:left="170"/>
        <w:mirrorIndents/>
        <w:jc w:val="both"/>
        <w:rPr>
          <w:rFonts w:asciiTheme="majorHAnsi" w:hAnsiTheme="majorHAnsi"/>
          <w:i/>
          <w:sz w:val="20"/>
          <w:szCs w:val="20"/>
        </w:rPr>
      </w:pPr>
    </w:p>
    <w:p w14:paraId="653C7FAD" w14:textId="77777777" w:rsidR="000977F7" w:rsidRPr="004D2D14" w:rsidRDefault="000977F7" w:rsidP="000977F7">
      <w:pPr>
        <w:tabs>
          <w:tab w:val="left" w:pos="284"/>
        </w:tabs>
        <w:spacing w:after="0" w:line="240" w:lineRule="auto"/>
        <w:ind w:left="170"/>
        <w:mirrorIndents/>
        <w:jc w:val="both"/>
        <w:rPr>
          <w:rFonts w:asciiTheme="majorHAnsi" w:hAnsiTheme="majorHAnsi"/>
          <w:i/>
          <w:sz w:val="20"/>
          <w:szCs w:val="20"/>
        </w:rPr>
      </w:pPr>
    </w:p>
    <w:p w14:paraId="20F7F5B5" w14:textId="77777777" w:rsidR="0097612F" w:rsidRPr="000977F7" w:rsidRDefault="0097612F" w:rsidP="000977F7">
      <w:pPr>
        <w:pStyle w:val="7"/>
        <w:tabs>
          <w:tab w:val="left" w:pos="284"/>
        </w:tabs>
        <w:spacing w:before="0" w:line="240" w:lineRule="auto"/>
        <w:ind w:left="170"/>
        <w:mirrorIndents/>
        <w:jc w:val="both"/>
        <w:rPr>
          <w:color w:val="auto"/>
          <w:spacing w:val="-9"/>
          <w:sz w:val="20"/>
          <w:szCs w:val="20"/>
        </w:rPr>
      </w:pPr>
      <w:r w:rsidRPr="000977F7">
        <w:rPr>
          <w:color w:val="auto"/>
          <w:spacing w:val="-2"/>
          <w:sz w:val="20"/>
          <w:szCs w:val="20"/>
        </w:rPr>
        <w:t>ЩІЛИННИЙ</w:t>
      </w:r>
      <w:r w:rsidRPr="000977F7">
        <w:rPr>
          <w:color w:val="auto"/>
          <w:spacing w:val="-10"/>
          <w:sz w:val="20"/>
          <w:szCs w:val="20"/>
        </w:rPr>
        <w:t xml:space="preserve"> </w:t>
      </w:r>
      <w:r w:rsidRPr="000977F7">
        <w:rPr>
          <w:color w:val="auto"/>
          <w:spacing w:val="-2"/>
          <w:sz w:val="20"/>
          <w:szCs w:val="20"/>
        </w:rPr>
        <w:t>ЗЧИТУВАЧ</w:t>
      </w:r>
      <w:r w:rsidRPr="000977F7">
        <w:rPr>
          <w:color w:val="auto"/>
          <w:spacing w:val="-7"/>
          <w:sz w:val="20"/>
          <w:szCs w:val="20"/>
        </w:rPr>
        <w:t xml:space="preserve"> </w:t>
      </w:r>
      <w:r w:rsidRPr="000977F7">
        <w:rPr>
          <w:color w:val="auto"/>
          <w:spacing w:val="-1"/>
          <w:sz w:val="20"/>
          <w:szCs w:val="20"/>
        </w:rPr>
        <w:t>ШТРИХОВОГО</w:t>
      </w:r>
      <w:r w:rsidRPr="000977F7">
        <w:rPr>
          <w:color w:val="auto"/>
          <w:spacing w:val="-9"/>
          <w:sz w:val="20"/>
          <w:szCs w:val="20"/>
        </w:rPr>
        <w:t xml:space="preserve"> </w:t>
      </w:r>
    </w:p>
    <w:p w14:paraId="6399DD4B"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pacing w:val="-1"/>
          <w:sz w:val="20"/>
          <w:szCs w:val="20"/>
        </w:rPr>
        <w:t>КОДУ</w:t>
      </w:r>
      <w:r w:rsidRPr="000977F7">
        <w:rPr>
          <w:color w:val="auto"/>
          <w:spacing w:val="-9"/>
          <w:sz w:val="20"/>
          <w:szCs w:val="20"/>
        </w:rPr>
        <w:t xml:space="preserve"> </w:t>
      </w:r>
      <w:r w:rsidRPr="000977F7">
        <w:rPr>
          <w:color w:val="auto"/>
          <w:spacing w:val="-1"/>
          <w:sz w:val="20"/>
          <w:szCs w:val="20"/>
        </w:rPr>
        <w:t>–</w:t>
      </w:r>
    </w:p>
    <w:p w14:paraId="20CB7D76"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Стаціонарний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зчитувальний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пристрій</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нерухомим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променем,</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що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забезпечує</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зчитування</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штрихкодової</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позначки</w:t>
      </w:r>
      <w:r w:rsidRPr="004D2D14">
        <w:rPr>
          <w:rFonts w:asciiTheme="majorHAnsi" w:hAnsiTheme="majorHAnsi"/>
          <w:spacing w:val="-2"/>
          <w:sz w:val="20"/>
          <w:szCs w:val="20"/>
          <w:lang w:val="uk-UA"/>
        </w:rPr>
        <w:t xml:space="preserve"> </w:t>
      </w:r>
      <w:r w:rsidRPr="004D2D14">
        <w:rPr>
          <w:rFonts w:asciiTheme="majorHAnsi" w:hAnsiTheme="majorHAnsi"/>
          <w:sz w:val="20"/>
          <w:szCs w:val="20"/>
          <w:lang w:val="uk-UA"/>
        </w:rPr>
        <w:t>зі спеціальних</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карток</w:t>
      </w:r>
    </w:p>
    <w:p w14:paraId="3998CAF8"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3"/>
          <w:sz w:val="20"/>
          <w:szCs w:val="20"/>
        </w:rPr>
        <w:t xml:space="preserve"> </w:t>
      </w:r>
      <w:r w:rsidRPr="000977F7">
        <w:rPr>
          <w:rFonts w:asciiTheme="majorHAnsi" w:hAnsiTheme="majorHAnsi"/>
          <w:i/>
          <w:sz w:val="20"/>
          <w:szCs w:val="20"/>
        </w:rPr>
        <w:t>3144</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2"/>
          <w:sz w:val="20"/>
          <w:szCs w:val="20"/>
        </w:rPr>
        <w:t xml:space="preserve"> </w:t>
      </w:r>
      <w:r w:rsidRPr="000977F7">
        <w:rPr>
          <w:rFonts w:asciiTheme="majorHAnsi" w:hAnsiTheme="majorHAnsi"/>
          <w:i/>
          <w:sz w:val="20"/>
          <w:szCs w:val="20"/>
        </w:rPr>
        <w:t>95</w:t>
      </w:r>
    </w:p>
    <w:p w14:paraId="35AF614A" w14:textId="77777777" w:rsidR="000977F7" w:rsidRPr="004D2D14" w:rsidRDefault="000977F7" w:rsidP="000977F7">
      <w:pPr>
        <w:tabs>
          <w:tab w:val="left" w:pos="284"/>
        </w:tabs>
        <w:spacing w:after="0" w:line="240" w:lineRule="auto"/>
        <w:ind w:left="170"/>
        <w:mirrorIndents/>
        <w:jc w:val="both"/>
        <w:rPr>
          <w:rFonts w:asciiTheme="majorHAnsi" w:hAnsiTheme="majorHAnsi"/>
          <w:w w:val="99"/>
          <w:sz w:val="20"/>
          <w:szCs w:val="20"/>
        </w:rPr>
      </w:pPr>
    </w:p>
    <w:p w14:paraId="24341B84" w14:textId="77777777" w:rsidR="000977F7" w:rsidRPr="004D2D14" w:rsidRDefault="000977F7" w:rsidP="000977F7">
      <w:pPr>
        <w:tabs>
          <w:tab w:val="left" w:pos="284"/>
        </w:tabs>
        <w:spacing w:after="0" w:line="240" w:lineRule="auto"/>
        <w:ind w:left="170"/>
        <w:mirrorIndents/>
        <w:jc w:val="both"/>
        <w:rPr>
          <w:rFonts w:asciiTheme="majorHAnsi" w:hAnsiTheme="majorHAnsi"/>
          <w:w w:val="99"/>
          <w:sz w:val="20"/>
          <w:szCs w:val="20"/>
        </w:rPr>
      </w:pPr>
    </w:p>
    <w:p w14:paraId="7E10634D" w14:textId="77777777" w:rsidR="000977F7" w:rsidRPr="000977F7" w:rsidRDefault="000977F7" w:rsidP="000977F7">
      <w:pPr>
        <w:pStyle w:val="7"/>
        <w:tabs>
          <w:tab w:val="left" w:pos="284"/>
        </w:tabs>
        <w:spacing w:before="0" w:line="240" w:lineRule="auto"/>
        <w:ind w:left="170"/>
        <w:mirrorIndents/>
        <w:jc w:val="right"/>
        <w:rPr>
          <w:color w:val="auto"/>
          <w:sz w:val="20"/>
          <w:szCs w:val="20"/>
        </w:rPr>
        <w:sectPr w:rsidR="000977F7" w:rsidRPr="000977F7" w:rsidSect="000977F7">
          <w:type w:val="continuous"/>
          <w:pgSz w:w="11900" w:h="16820"/>
          <w:pgMar w:top="980" w:right="380" w:bottom="960" w:left="1160" w:header="0" w:footer="775" w:gutter="0"/>
          <w:cols w:num="2" w:space="454"/>
        </w:sectPr>
      </w:pPr>
    </w:p>
    <w:p w14:paraId="55BE84B2" w14:textId="77777777" w:rsidR="000977F7" w:rsidRPr="004D2D14" w:rsidRDefault="000977F7" w:rsidP="000977F7">
      <w:pPr>
        <w:tabs>
          <w:tab w:val="left" w:pos="284"/>
        </w:tabs>
        <w:spacing w:after="0" w:line="240" w:lineRule="auto"/>
        <w:ind w:left="170"/>
        <w:mirrorIndents/>
        <w:jc w:val="both"/>
        <w:rPr>
          <w:rFonts w:asciiTheme="majorHAnsi" w:hAnsiTheme="majorHAnsi"/>
          <w:w w:val="99"/>
          <w:sz w:val="20"/>
          <w:szCs w:val="20"/>
        </w:rPr>
        <w:sectPr w:rsidR="000977F7" w:rsidRPr="004D2D14" w:rsidSect="000977F7">
          <w:type w:val="continuous"/>
          <w:pgSz w:w="11900" w:h="16820"/>
          <w:pgMar w:top="980" w:right="560" w:bottom="960" w:left="1160" w:header="0" w:footer="775" w:gutter="0"/>
          <w:cols w:num="2" w:space="454"/>
        </w:sectPr>
      </w:pPr>
    </w:p>
    <w:p w14:paraId="79ECF647" w14:textId="77777777" w:rsidR="00871491" w:rsidRPr="00871491" w:rsidRDefault="00871491" w:rsidP="00871491">
      <w:pPr>
        <w:pStyle w:val="1"/>
        <w:rPr>
          <w:lang w:val="uk-UA"/>
        </w:rPr>
      </w:pPr>
      <w:bookmarkStart w:id="323" w:name="_Toc132629659"/>
      <w:r w:rsidRPr="00871491">
        <w:rPr>
          <w:lang w:val="uk-UA"/>
        </w:rPr>
        <w:t>Ю</w:t>
      </w:r>
      <w:bookmarkEnd w:id="323"/>
    </w:p>
    <w:p w14:paraId="08F58718"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ЮРИДИЧНА</w:t>
      </w:r>
      <w:r w:rsidRPr="000977F7">
        <w:rPr>
          <w:color w:val="auto"/>
          <w:spacing w:val="-6"/>
          <w:sz w:val="20"/>
          <w:szCs w:val="20"/>
        </w:rPr>
        <w:t xml:space="preserve"> </w:t>
      </w:r>
      <w:r w:rsidRPr="000977F7">
        <w:rPr>
          <w:color w:val="auto"/>
          <w:sz w:val="20"/>
          <w:szCs w:val="20"/>
        </w:rPr>
        <w:t>ВІПОВІДАЛЬНІСТЬ</w:t>
      </w:r>
      <w:r w:rsidRPr="000977F7">
        <w:rPr>
          <w:color w:val="auto"/>
          <w:spacing w:val="-6"/>
          <w:sz w:val="20"/>
          <w:szCs w:val="20"/>
        </w:rPr>
        <w:t xml:space="preserve"> </w:t>
      </w:r>
      <w:r w:rsidRPr="000977F7">
        <w:rPr>
          <w:color w:val="auto"/>
          <w:sz w:val="20"/>
          <w:szCs w:val="20"/>
        </w:rPr>
        <w:t>ЗА</w:t>
      </w:r>
      <w:r w:rsidRPr="000977F7">
        <w:rPr>
          <w:color w:val="auto"/>
          <w:spacing w:val="-6"/>
          <w:sz w:val="20"/>
          <w:szCs w:val="20"/>
        </w:rPr>
        <w:t xml:space="preserve"> </w:t>
      </w:r>
      <w:r w:rsidRPr="000977F7">
        <w:rPr>
          <w:color w:val="auto"/>
          <w:sz w:val="20"/>
          <w:szCs w:val="20"/>
        </w:rPr>
        <w:t>ЯКІСТЬ</w:t>
      </w:r>
      <w:r w:rsidRPr="000977F7">
        <w:rPr>
          <w:color w:val="auto"/>
          <w:spacing w:val="-47"/>
          <w:sz w:val="20"/>
          <w:szCs w:val="20"/>
        </w:rPr>
        <w:t xml:space="preserve"> </w:t>
      </w:r>
      <w:r w:rsidRPr="000977F7">
        <w:rPr>
          <w:color w:val="auto"/>
          <w:sz w:val="20"/>
          <w:szCs w:val="20"/>
        </w:rPr>
        <w:t>ВИРОБУ</w:t>
      </w:r>
      <w:r w:rsidRPr="000977F7">
        <w:rPr>
          <w:color w:val="auto"/>
          <w:spacing w:val="-1"/>
          <w:sz w:val="20"/>
          <w:szCs w:val="20"/>
        </w:rPr>
        <w:t xml:space="preserve"> </w:t>
      </w:r>
      <w:r w:rsidRPr="000977F7">
        <w:rPr>
          <w:color w:val="auto"/>
          <w:sz w:val="20"/>
          <w:szCs w:val="20"/>
        </w:rPr>
        <w:t>–</w:t>
      </w:r>
    </w:p>
    <w:p w14:paraId="4E4C62CF"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r w:rsidRPr="004D2D14">
        <w:rPr>
          <w:rFonts w:asciiTheme="majorHAnsi" w:hAnsiTheme="majorHAnsi"/>
          <w:sz w:val="20"/>
          <w:szCs w:val="20"/>
          <w:lang w:val="uk-UA"/>
        </w:rPr>
        <w:t>Загальний</w:t>
      </w:r>
      <w:r w:rsidRPr="004D2D14">
        <w:rPr>
          <w:rFonts w:asciiTheme="majorHAnsi" w:hAnsiTheme="majorHAnsi"/>
          <w:spacing w:val="42"/>
          <w:sz w:val="20"/>
          <w:szCs w:val="20"/>
          <w:lang w:val="uk-UA"/>
        </w:rPr>
        <w:t xml:space="preserve"> </w:t>
      </w:r>
      <w:r w:rsidRPr="004D2D14">
        <w:rPr>
          <w:rFonts w:asciiTheme="majorHAnsi" w:hAnsiTheme="majorHAnsi"/>
          <w:sz w:val="20"/>
          <w:szCs w:val="20"/>
          <w:lang w:val="uk-UA"/>
        </w:rPr>
        <w:t>термін,</w:t>
      </w:r>
      <w:r w:rsidRPr="004D2D14">
        <w:rPr>
          <w:rFonts w:asciiTheme="majorHAnsi" w:hAnsiTheme="majorHAnsi"/>
          <w:spacing w:val="42"/>
          <w:sz w:val="20"/>
          <w:szCs w:val="20"/>
          <w:lang w:val="uk-UA"/>
        </w:rPr>
        <w:t xml:space="preserve"> </w:t>
      </w:r>
      <w:r w:rsidRPr="004D2D14">
        <w:rPr>
          <w:rFonts w:asciiTheme="majorHAnsi" w:hAnsiTheme="majorHAnsi"/>
          <w:sz w:val="20"/>
          <w:szCs w:val="20"/>
          <w:lang w:val="uk-UA"/>
        </w:rPr>
        <w:t>який</w:t>
      </w:r>
      <w:r w:rsidRPr="004D2D14">
        <w:rPr>
          <w:rFonts w:asciiTheme="majorHAnsi" w:hAnsiTheme="majorHAnsi"/>
          <w:spacing w:val="40"/>
          <w:sz w:val="20"/>
          <w:szCs w:val="20"/>
          <w:lang w:val="uk-UA"/>
        </w:rPr>
        <w:t xml:space="preserve"> </w:t>
      </w:r>
      <w:r w:rsidRPr="004D2D14">
        <w:rPr>
          <w:rFonts w:asciiTheme="majorHAnsi" w:hAnsiTheme="majorHAnsi"/>
          <w:sz w:val="20"/>
          <w:szCs w:val="20"/>
          <w:lang w:val="uk-UA"/>
        </w:rPr>
        <w:t>описує</w:t>
      </w:r>
      <w:r w:rsidRPr="004D2D14">
        <w:rPr>
          <w:rFonts w:asciiTheme="majorHAnsi" w:hAnsiTheme="majorHAnsi"/>
          <w:spacing w:val="42"/>
          <w:sz w:val="20"/>
          <w:szCs w:val="20"/>
          <w:lang w:val="uk-UA"/>
        </w:rPr>
        <w:t xml:space="preserve"> </w:t>
      </w:r>
      <w:r w:rsidRPr="004D2D14">
        <w:rPr>
          <w:rFonts w:asciiTheme="majorHAnsi" w:hAnsiTheme="majorHAnsi"/>
          <w:sz w:val="20"/>
          <w:szCs w:val="20"/>
          <w:lang w:val="uk-UA"/>
        </w:rPr>
        <w:t>обов’язки,</w:t>
      </w:r>
      <w:r w:rsidRPr="004D2D14">
        <w:rPr>
          <w:rFonts w:asciiTheme="majorHAnsi" w:hAnsiTheme="majorHAnsi"/>
          <w:spacing w:val="42"/>
          <w:sz w:val="20"/>
          <w:szCs w:val="20"/>
          <w:lang w:val="uk-UA"/>
        </w:rPr>
        <w:t xml:space="preserve"> </w:t>
      </w:r>
      <w:r w:rsidRPr="004D2D14">
        <w:rPr>
          <w:rFonts w:asciiTheme="majorHAnsi" w:hAnsiTheme="majorHAnsi"/>
          <w:sz w:val="20"/>
          <w:szCs w:val="20"/>
          <w:lang w:val="uk-UA"/>
        </w:rPr>
        <w:t>накладені</w:t>
      </w:r>
      <w:r w:rsidRPr="004D2D14">
        <w:rPr>
          <w:rFonts w:asciiTheme="majorHAnsi" w:hAnsiTheme="majorHAnsi"/>
          <w:spacing w:val="-48"/>
          <w:sz w:val="20"/>
          <w:szCs w:val="20"/>
          <w:lang w:val="uk-UA"/>
        </w:rPr>
        <w:t xml:space="preserve"> </w:t>
      </w:r>
      <w:r w:rsidRPr="004D2D14">
        <w:rPr>
          <w:rFonts w:asciiTheme="majorHAnsi" w:hAnsiTheme="majorHAnsi"/>
          <w:sz w:val="20"/>
          <w:szCs w:val="20"/>
          <w:lang w:val="uk-UA"/>
        </w:rPr>
        <w:t>на виготовлювача або інших осіб, щодо відшкодування збитків із-за нанесених травм, пошкоджень власності або інших втрат, викликаних використанням виробу</w:t>
      </w:r>
      <w:r w:rsidRPr="004D2D14">
        <w:rPr>
          <w:rFonts w:asciiTheme="majorHAnsi" w:hAnsiTheme="majorHAnsi"/>
          <w:spacing w:val="-5"/>
          <w:sz w:val="20"/>
          <w:szCs w:val="20"/>
          <w:lang w:val="uk-UA"/>
        </w:rPr>
        <w:t xml:space="preserve"> </w:t>
      </w:r>
      <w:r w:rsidRPr="004D2D14">
        <w:rPr>
          <w:rFonts w:asciiTheme="majorHAnsi" w:hAnsiTheme="majorHAnsi"/>
          <w:sz w:val="20"/>
          <w:szCs w:val="20"/>
          <w:lang w:val="uk-UA"/>
        </w:rPr>
        <w:t>або</w:t>
      </w:r>
      <w:r w:rsidRPr="004D2D14">
        <w:rPr>
          <w:rFonts w:asciiTheme="majorHAnsi" w:hAnsiTheme="majorHAnsi"/>
          <w:spacing w:val="1"/>
          <w:sz w:val="20"/>
          <w:szCs w:val="20"/>
          <w:lang w:val="uk-UA"/>
        </w:rPr>
        <w:t xml:space="preserve"> </w:t>
      </w:r>
      <w:r w:rsidRPr="004D2D14">
        <w:rPr>
          <w:rFonts w:asciiTheme="majorHAnsi" w:hAnsiTheme="majorHAnsi"/>
          <w:sz w:val="20"/>
          <w:szCs w:val="20"/>
          <w:lang w:val="uk-UA"/>
        </w:rPr>
        <w:t>послуги</w:t>
      </w:r>
    </w:p>
    <w:p w14:paraId="637776CA"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uk-UA"/>
        </w:rPr>
      </w:pPr>
    </w:p>
    <w:p w14:paraId="79150A2E" w14:textId="77777777" w:rsidR="0097612F" w:rsidRDefault="0097612F" w:rsidP="000977F7">
      <w:pPr>
        <w:tabs>
          <w:tab w:val="left" w:pos="284"/>
        </w:tabs>
        <w:spacing w:after="120" w:line="240" w:lineRule="auto"/>
        <w:ind w:left="170"/>
        <w:mirrorIndents/>
        <w:jc w:val="center"/>
        <w:rPr>
          <w:rFonts w:asciiTheme="majorHAnsi" w:hAnsiTheme="majorHAnsi"/>
          <w:b/>
          <w:sz w:val="20"/>
          <w:szCs w:val="20"/>
          <w:lang w:val="uk-UA"/>
        </w:rPr>
      </w:pPr>
    </w:p>
    <w:p w14:paraId="37348F02" w14:textId="77777777" w:rsidR="0047220D" w:rsidRDefault="0047220D" w:rsidP="000977F7">
      <w:pPr>
        <w:tabs>
          <w:tab w:val="left" w:pos="284"/>
        </w:tabs>
        <w:spacing w:after="120" w:line="240" w:lineRule="auto"/>
        <w:ind w:left="170"/>
        <w:mirrorIndents/>
        <w:jc w:val="center"/>
        <w:rPr>
          <w:rFonts w:asciiTheme="majorHAnsi" w:hAnsiTheme="majorHAnsi"/>
          <w:b/>
          <w:sz w:val="20"/>
          <w:szCs w:val="20"/>
          <w:lang w:val="uk-UA"/>
        </w:rPr>
      </w:pPr>
    </w:p>
    <w:p w14:paraId="765F02C9" w14:textId="77777777" w:rsidR="0047220D" w:rsidRDefault="0047220D" w:rsidP="000977F7">
      <w:pPr>
        <w:tabs>
          <w:tab w:val="left" w:pos="284"/>
        </w:tabs>
        <w:spacing w:after="120" w:line="240" w:lineRule="auto"/>
        <w:ind w:left="170"/>
        <w:mirrorIndents/>
        <w:jc w:val="center"/>
        <w:rPr>
          <w:rFonts w:asciiTheme="majorHAnsi" w:hAnsiTheme="majorHAnsi"/>
          <w:b/>
          <w:sz w:val="20"/>
          <w:szCs w:val="20"/>
          <w:lang w:val="uk-UA"/>
        </w:rPr>
      </w:pPr>
    </w:p>
    <w:p w14:paraId="35FAC8AA" w14:textId="77777777" w:rsidR="0047220D" w:rsidRDefault="0047220D" w:rsidP="000977F7">
      <w:pPr>
        <w:tabs>
          <w:tab w:val="left" w:pos="284"/>
        </w:tabs>
        <w:spacing w:after="120" w:line="240" w:lineRule="auto"/>
        <w:ind w:left="170"/>
        <w:mirrorIndents/>
        <w:jc w:val="center"/>
        <w:rPr>
          <w:rFonts w:asciiTheme="majorHAnsi" w:hAnsiTheme="majorHAnsi"/>
          <w:b/>
          <w:sz w:val="20"/>
          <w:szCs w:val="20"/>
          <w:lang w:val="uk-UA"/>
        </w:rPr>
      </w:pPr>
    </w:p>
    <w:p w14:paraId="70F0EE1B" w14:textId="77777777" w:rsidR="0047220D" w:rsidRDefault="0047220D" w:rsidP="000977F7">
      <w:pPr>
        <w:tabs>
          <w:tab w:val="left" w:pos="284"/>
        </w:tabs>
        <w:spacing w:after="120" w:line="240" w:lineRule="auto"/>
        <w:ind w:left="170"/>
        <w:mirrorIndents/>
        <w:jc w:val="center"/>
        <w:rPr>
          <w:rFonts w:asciiTheme="majorHAnsi" w:hAnsiTheme="majorHAnsi"/>
          <w:b/>
          <w:sz w:val="20"/>
          <w:szCs w:val="20"/>
          <w:lang w:val="uk-UA"/>
        </w:rPr>
      </w:pPr>
    </w:p>
    <w:p w14:paraId="65EB8588" w14:textId="77777777" w:rsidR="0097612F" w:rsidRPr="000977F7" w:rsidRDefault="0097612F" w:rsidP="000977F7">
      <w:pPr>
        <w:pStyle w:val="7"/>
        <w:tabs>
          <w:tab w:val="left" w:pos="284"/>
        </w:tabs>
        <w:spacing w:before="0" w:line="240" w:lineRule="auto"/>
        <w:ind w:left="170"/>
        <w:mirrorIndents/>
        <w:jc w:val="both"/>
        <w:rPr>
          <w:color w:val="auto"/>
          <w:sz w:val="20"/>
          <w:szCs w:val="20"/>
        </w:rPr>
        <w:sectPr w:rsidR="0097612F" w:rsidRPr="000977F7" w:rsidSect="000977F7">
          <w:type w:val="continuous"/>
          <w:pgSz w:w="11900" w:h="16820"/>
          <w:pgMar w:top="980" w:right="380" w:bottom="960" w:left="1160" w:header="0" w:footer="775" w:gutter="0"/>
          <w:cols w:num="2" w:space="454"/>
        </w:sectPr>
      </w:pPr>
      <w:bookmarkStart w:id="324" w:name="_Hlk102279574"/>
    </w:p>
    <w:p w14:paraId="176E98D6" w14:textId="77777777" w:rsidR="00B045B4" w:rsidRDefault="00B045B4" w:rsidP="000977F7">
      <w:pPr>
        <w:pStyle w:val="7"/>
        <w:tabs>
          <w:tab w:val="left" w:pos="284"/>
        </w:tabs>
        <w:spacing w:before="0" w:line="240" w:lineRule="auto"/>
        <w:ind w:left="170"/>
        <w:mirrorIndents/>
        <w:jc w:val="both"/>
        <w:rPr>
          <w:color w:val="auto"/>
          <w:sz w:val="20"/>
          <w:szCs w:val="20"/>
        </w:rPr>
      </w:pPr>
    </w:p>
    <w:p w14:paraId="08EA08D6" w14:textId="77777777" w:rsidR="00B045B4" w:rsidRPr="00871491" w:rsidRDefault="00B045B4" w:rsidP="00871491">
      <w:pPr>
        <w:pStyle w:val="1"/>
        <w:rPr>
          <w:lang w:val="uk-UA"/>
        </w:rPr>
      </w:pPr>
      <w:bookmarkStart w:id="325" w:name="_Toc132629660"/>
      <w:r w:rsidRPr="00871491">
        <w:rPr>
          <w:lang w:val="uk-UA"/>
        </w:rPr>
        <w:t>Я</w:t>
      </w:r>
      <w:bookmarkEnd w:id="325"/>
    </w:p>
    <w:p w14:paraId="5EE8D2E5" w14:textId="77777777" w:rsidR="00B045B4" w:rsidRDefault="00B045B4" w:rsidP="000977F7">
      <w:pPr>
        <w:pStyle w:val="7"/>
        <w:tabs>
          <w:tab w:val="left" w:pos="284"/>
        </w:tabs>
        <w:spacing w:before="0" w:line="240" w:lineRule="auto"/>
        <w:ind w:left="170"/>
        <w:mirrorIndents/>
        <w:jc w:val="both"/>
        <w:rPr>
          <w:color w:val="auto"/>
          <w:sz w:val="20"/>
          <w:szCs w:val="20"/>
        </w:rPr>
      </w:pPr>
    </w:p>
    <w:p w14:paraId="24EF7D20" w14:textId="77777777" w:rsidR="0047220D" w:rsidRPr="0047220D" w:rsidRDefault="0047220D" w:rsidP="0047220D">
      <w:pPr>
        <w:rPr>
          <w:lang w:val="uk-UA"/>
        </w:rPr>
        <w:sectPr w:rsidR="0047220D" w:rsidRPr="0047220D" w:rsidSect="000977F7">
          <w:type w:val="continuous"/>
          <w:pgSz w:w="11900" w:h="16820"/>
          <w:pgMar w:top="980" w:right="380" w:bottom="960" w:left="1160" w:header="0" w:footer="775" w:gutter="0"/>
          <w:cols w:num="2" w:space="454"/>
        </w:sectPr>
      </w:pPr>
    </w:p>
    <w:p w14:paraId="129FF79D" w14:textId="77777777" w:rsidR="0097612F" w:rsidRPr="00B045B4" w:rsidRDefault="0097612F" w:rsidP="000977F7">
      <w:pPr>
        <w:pStyle w:val="7"/>
        <w:tabs>
          <w:tab w:val="left" w:pos="284"/>
        </w:tabs>
        <w:spacing w:before="0" w:line="240" w:lineRule="auto"/>
        <w:ind w:left="170"/>
        <w:mirrorIndents/>
        <w:jc w:val="both"/>
        <w:rPr>
          <w:color w:val="auto"/>
          <w:sz w:val="20"/>
          <w:szCs w:val="20"/>
        </w:rPr>
      </w:pPr>
      <w:r w:rsidRPr="00B045B4">
        <w:rPr>
          <w:color w:val="auto"/>
          <w:sz w:val="20"/>
          <w:szCs w:val="20"/>
        </w:rPr>
        <w:t>ЯВНА ВІДМОВА –</w:t>
      </w:r>
    </w:p>
    <w:p w14:paraId="1DEB0459"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EXPLICIT</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FAILURE</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w:t>
      </w:r>
    </w:p>
    <w:bookmarkEnd w:id="324"/>
    <w:p w14:paraId="5C129AA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Відмова, що виявляється візуально чи штатними методами і засобами контролю та діагностування під час</w:t>
      </w:r>
      <w:r w:rsidRPr="000977F7">
        <w:rPr>
          <w:rFonts w:asciiTheme="majorHAnsi" w:hAnsiTheme="majorHAnsi"/>
          <w:spacing w:val="-47"/>
          <w:sz w:val="20"/>
          <w:szCs w:val="20"/>
        </w:rPr>
        <w:t xml:space="preserve"> </w:t>
      </w:r>
      <w:r w:rsidRPr="000977F7">
        <w:rPr>
          <w:rFonts w:asciiTheme="majorHAnsi" w:hAnsiTheme="majorHAnsi"/>
          <w:sz w:val="20"/>
          <w:szCs w:val="20"/>
        </w:rPr>
        <w:t>підготовки об’єкта до використання чи в процесі його</w:t>
      </w:r>
      <w:r w:rsidRPr="000977F7">
        <w:rPr>
          <w:rFonts w:asciiTheme="majorHAnsi" w:hAnsiTheme="majorHAnsi"/>
          <w:spacing w:val="1"/>
          <w:sz w:val="20"/>
          <w:szCs w:val="20"/>
        </w:rPr>
        <w:t xml:space="preserve"> </w:t>
      </w:r>
      <w:r w:rsidRPr="000977F7">
        <w:rPr>
          <w:rFonts w:asciiTheme="majorHAnsi" w:hAnsiTheme="majorHAnsi"/>
          <w:sz w:val="20"/>
          <w:szCs w:val="20"/>
        </w:rPr>
        <w:t>використання</w:t>
      </w:r>
      <w:r w:rsidRPr="000977F7">
        <w:rPr>
          <w:rFonts w:asciiTheme="majorHAnsi" w:hAnsiTheme="majorHAnsi"/>
          <w:spacing w:val="-2"/>
          <w:sz w:val="20"/>
          <w:szCs w:val="20"/>
        </w:rPr>
        <w:t xml:space="preserve"> </w:t>
      </w:r>
      <w:r w:rsidRPr="000977F7">
        <w:rPr>
          <w:rFonts w:asciiTheme="majorHAnsi" w:hAnsiTheme="majorHAnsi"/>
          <w:sz w:val="20"/>
          <w:szCs w:val="20"/>
        </w:rPr>
        <w:t>за призначенням</w:t>
      </w:r>
    </w:p>
    <w:p w14:paraId="50C3EE14"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2860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0791674F" w14:textId="77777777" w:rsidR="0097612F" w:rsidRPr="00B045B4" w:rsidRDefault="0097612F" w:rsidP="000977F7">
      <w:pPr>
        <w:pStyle w:val="7"/>
        <w:tabs>
          <w:tab w:val="left" w:pos="284"/>
        </w:tabs>
        <w:spacing w:before="0" w:line="240" w:lineRule="auto"/>
        <w:ind w:left="170"/>
        <w:mirrorIndents/>
        <w:jc w:val="both"/>
        <w:rPr>
          <w:color w:val="auto"/>
          <w:sz w:val="20"/>
          <w:szCs w:val="20"/>
        </w:rPr>
      </w:pPr>
      <w:r w:rsidRPr="00B045B4">
        <w:rPr>
          <w:color w:val="auto"/>
          <w:sz w:val="20"/>
          <w:szCs w:val="20"/>
        </w:rPr>
        <w:t>ЯВНИЙ ДЕФЕКТ –</w:t>
      </w:r>
    </w:p>
    <w:p w14:paraId="703506B5"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Дефект, для виявлення якого в нормативній документації, обов’язковій для даного виду контролю, передбачені</w:t>
      </w:r>
      <w:r w:rsidRPr="000977F7">
        <w:rPr>
          <w:rFonts w:asciiTheme="majorHAnsi" w:hAnsiTheme="majorHAnsi"/>
          <w:spacing w:val="-2"/>
          <w:sz w:val="20"/>
          <w:szCs w:val="20"/>
        </w:rPr>
        <w:t xml:space="preserve"> </w:t>
      </w:r>
      <w:r w:rsidRPr="000977F7">
        <w:rPr>
          <w:rFonts w:asciiTheme="majorHAnsi" w:hAnsiTheme="majorHAnsi"/>
          <w:sz w:val="20"/>
          <w:szCs w:val="20"/>
        </w:rPr>
        <w:t>відповідні</w:t>
      </w:r>
      <w:r w:rsidRPr="000977F7">
        <w:rPr>
          <w:rFonts w:asciiTheme="majorHAnsi" w:hAnsiTheme="majorHAnsi"/>
          <w:spacing w:val="-2"/>
          <w:sz w:val="20"/>
          <w:szCs w:val="20"/>
        </w:rPr>
        <w:t xml:space="preserve"> </w:t>
      </w:r>
      <w:r w:rsidRPr="000977F7">
        <w:rPr>
          <w:rFonts w:asciiTheme="majorHAnsi" w:hAnsiTheme="majorHAnsi"/>
          <w:sz w:val="20"/>
          <w:szCs w:val="20"/>
        </w:rPr>
        <w:t>правила,</w:t>
      </w:r>
      <w:r w:rsidRPr="000977F7">
        <w:rPr>
          <w:rFonts w:asciiTheme="majorHAnsi" w:hAnsiTheme="majorHAnsi"/>
          <w:spacing w:val="1"/>
          <w:sz w:val="20"/>
          <w:szCs w:val="20"/>
        </w:rPr>
        <w:t xml:space="preserve"> </w:t>
      </w:r>
      <w:r w:rsidRPr="000977F7">
        <w:rPr>
          <w:rFonts w:asciiTheme="majorHAnsi" w:hAnsiTheme="majorHAnsi"/>
          <w:sz w:val="20"/>
          <w:szCs w:val="20"/>
        </w:rPr>
        <w:t>методи</w:t>
      </w:r>
      <w:r w:rsidRPr="000977F7">
        <w:rPr>
          <w:rFonts w:asciiTheme="majorHAnsi" w:hAnsiTheme="majorHAnsi"/>
          <w:spacing w:val="-3"/>
          <w:sz w:val="20"/>
          <w:szCs w:val="20"/>
        </w:rPr>
        <w:t xml:space="preserve"> </w:t>
      </w:r>
      <w:r w:rsidRPr="000977F7">
        <w:rPr>
          <w:rFonts w:asciiTheme="majorHAnsi" w:hAnsiTheme="majorHAnsi"/>
          <w:sz w:val="20"/>
          <w:szCs w:val="20"/>
        </w:rPr>
        <w:t>і</w:t>
      </w:r>
      <w:r w:rsidRPr="000977F7">
        <w:rPr>
          <w:rFonts w:asciiTheme="majorHAnsi" w:hAnsiTheme="majorHAnsi"/>
          <w:spacing w:val="-1"/>
          <w:sz w:val="20"/>
          <w:szCs w:val="20"/>
        </w:rPr>
        <w:t xml:space="preserve"> </w:t>
      </w:r>
      <w:r w:rsidRPr="000977F7">
        <w:rPr>
          <w:rFonts w:asciiTheme="majorHAnsi" w:hAnsiTheme="majorHAnsi"/>
          <w:sz w:val="20"/>
          <w:szCs w:val="20"/>
        </w:rPr>
        <w:t>засоби</w:t>
      </w:r>
    </w:p>
    <w:p w14:paraId="3D4F32C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bookmarkStart w:id="326" w:name="_Hlk101515096"/>
      <w:r w:rsidRPr="000977F7">
        <w:rPr>
          <w:color w:val="auto"/>
          <w:sz w:val="20"/>
          <w:szCs w:val="20"/>
        </w:rPr>
        <w:t>ЯКІСТЬ</w:t>
      </w:r>
      <w:r w:rsidRPr="000977F7">
        <w:rPr>
          <w:color w:val="auto"/>
          <w:spacing w:val="-4"/>
          <w:sz w:val="20"/>
          <w:szCs w:val="20"/>
        </w:rPr>
        <w:t xml:space="preserve"> </w:t>
      </w:r>
      <w:r w:rsidRPr="000977F7">
        <w:rPr>
          <w:color w:val="auto"/>
          <w:sz w:val="20"/>
          <w:szCs w:val="20"/>
        </w:rPr>
        <w:t>ЕЛЕКТРИЧНОЇ</w:t>
      </w:r>
      <w:r w:rsidRPr="000977F7">
        <w:rPr>
          <w:color w:val="auto"/>
          <w:spacing w:val="-3"/>
          <w:sz w:val="20"/>
          <w:szCs w:val="20"/>
        </w:rPr>
        <w:t xml:space="preserve"> </w:t>
      </w:r>
      <w:r w:rsidRPr="000977F7">
        <w:rPr>
          <w:color w:val="auto"/>
          <w:sz w:val="20"/>
          <w:szCs w:val="20"/>
        </w:rPr>
        <w:t>ЕНЕРГІЇ</w:t>
      </w:r>
      <w:r w:rsidRPr="000977F7">
        <w:rPr>
          <w:color w:val="auto"/>
          <w:spacing w:val="-2"/>
          <w:sz w:val="20"/>
          <w:szCs w:val="20"/>
        </w:rPr>
        <w:t xml:space="preserve"> </w:t>
      </w:r>
      <w:r w:rsidRPr="000977F7">
        <w:rPr>
          <w:color w:val="auto"/>
          <w:sz w:val="20"/>
          <w:szCs w:val="20"/>
        </w:rPr>
        <w:t>–</w:t>
      </w:r>
    </w:p>
    <w:p w14:paraId="225B10A0" w14:textId="77777777" w:rsidR="0097612F" w:rsidRPr="004D2D14" w:rsidRDefault="0097612F" w:rsidP="000977F7">
      <w:pPr>
        <w:pStyle w:val="af6"/>
        <w:tabs>
          <w:tab w:val="left" w:pos="284"/>
        </w:tabs>
        <w:spacing w:after="0"/>
        <w:ind w:left="170"/>
        <w:mirrorIndents/>
        <w:jc w:val="both"/>
        <w:rPr>
          <w:rFonts w:asciiTheme="majorHAnsi" w:hAnsiTheme="majorHAnsi"/>
          <w:sz w:val="20"/>
          <w:szCs w:val="20"/>
          <w:lang w:val="en-US"/>
        </w:rPr>
      </w:pPr>
      <w:r w:rsidRPr="004D2D14">
        <w:rPr>
          <w:rFonts w:asciiTheme="majorHAnsi" w:hAnsiTheme="majorHAnsi"/>
          <w:sz w:val="20"/>
          <w:szCs w:val="20"/>
          <w:lang w:val="en-US"/>
        </w:rPr>
        <w:t>QUALITY</w:t>
      </w:r>
      <w:r w:rsidRPr="004D2D14">
        <w:rPr>
          <w:rFonts w:asciiTheme="majorHAnsi" w:hAnsiTheme="majorHAnsi"/>
          <w:spacing w:val="-2"/>
          <w:sz w:val="20"/>
          <w:szCs w:val="20"/>
          <w:lang w:val="en-US"/>
        </w:rPr>
        <w:t xml:space="preserve"> </w:t>
      </w:r>
      <w:r w:rsidRPr="004D2D14">
        <w:rPr>
          <w:rFonts w:asciiTheme="majorHAnsi" w:hAnsiTheme="majorHAnsi"/>
          <w:sz w:val="20"/>
          <w:szCs w:val="20"/>
          <w:lang w:val="en-US"/>
        </w:rPr>
        <w:t>OF</w:t>
      </w:r>
      <w:r w:rsidRPr="004D2D14">
        <w:rPr>
          <w:rFonts w:asciiTheme="majorHAnsi" w:hAnsiTheme="majorHAnsi"/>
          <w:spacing w:val="-3"/>
          <w:sz w:val="20"/>
          <w:szCs w:val="20"/>
          <w:lang w:val="en-US"/>
        </w:rPr>
        <w:t xml:space="preserve"> </w:t>
      </w:r>
      <w:r w:rsidRPr="004D2D14">
        <w:rPr>
          <w:rFonts w:asciiTheme="majorHAnsi" w:hAnsiTheme="majorHAnsi"/>
          <w:sz w:val="20"/>
          <w:szCs w:val="20"/>
          <w:lang w:val="en-US"/>
        </w:rPr>
        <w:t>SUPPLY</w:t>
      </w:r>
      <w:r w:rsidRPr="004D2D14">
        <w:rPr>
          <w:rFonts w:asciiTheme="majorHAnsi" w:hAnsiTheme="majorHAnsi"/>
          <w:spacing w:val="-1"/>
          <w:sz w:val="20"/>
          <w:szCs w:val="20"/>
          <w:lang w:val="en-US"/>
        </w:rPr>
        <w:t xml:space="preserve"> </w:t>
      </w:r>
      <w:r w:rsidRPr="004D2D14">
        <w:rPr>
          <w:rFonts w:asciiTheme="majorHAnsi" w:hAnsiTheme="majorHAnsi"/>
          <w:sz w:val="20"/>
          <w:szCs w:val="20"/>
          <w:lang w:val="en-US"/>
        </w:rPr>
        <w:t>–</w:t>
      </w:r>
    </w:p>
    <w:bookmarkEnd w:id="326"/>
    <w:p w14:paraId="1A997CEE"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Ступінь відповідності параметрів електричної енергії</w:t>
      </w:r>
      <w:r w:rsidRPr="000977F7">
        <w:rPr>
          <w:rFonts w:asciiTheme="majorHAnsi" w:hAnsiTheme="majorHAnsi"/>
          <w:spacing w:val="1"/>
          <w:sz w:val="20"/>
          <w:szCs w:val="20"/>
        </w:rPr>
        <w:t xml:space="preserve"> </w:t>
      </w:r>
      <w:r w:rsidRPr="000977F7">
        <w:rPr>
          <w:rFonts w:asciiTheme="majorHAnsi" w:hAnsiTheme="majorHAnsi"/>
          <w:sz w:val="20"/>
          <w:szCs w:val="20"/>
        </w:rPr>
        <w:t>їх установленим</w:t>
      </w:r>
      <w:r w:rsidRPr="000977F7">
        <w:rPr>
          <w:rFonts w:asciiTheme="majorHAnsi" w:hAnsiTheme="majorHAnsi"/>
          <w:spacing w:val="1"/>
          <w:sz w:val="20"/>
          <w:szCs w:val="20"/>
        </w:rPr>
        <w:t xml:space="preserve"> </w:t>
      </w:r>
      <w:r w:rsidRPr="000977F7">
        <w:rPr>
          <w:rFonts w:asciiTheme="majorHAnsi" w:hAnsiTheme="majorHAnsi"/>
          <w:sz w:val="20"/>
          <w:szCs w:val="20"/>
        </w:rPr>
        <w:t>значенням</w:t>
      </w:r>
    </w:p>
    <w:p w14:paraId="0D5A6FC9"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1"/>
          <w:sz w:val="20"/>
          <w:szCs w:val="20"/>
        </w:rPr>
        <w:t xml:space="preserve"> </w:t>
      </w:r>
      <w:r w:rsidRPr="000977F7">
        <w:rPr>
          <w:rFonts w:asciiTheme="majorHAnsi" w:hAnsiTheme="majorHAnsi"/>
          <w:i/>
          <w:sz w:val="20"/>
          <w:szCs w:val="20"/>
        </w:rPr>
        <w:t>3466 - 96</w:t>
      </w:r>
    </w:p>
    <w:p w14:paraId="617F23C5" w14:textId="77777777" w:rsidR="0097612F" w:rsidRPr="000977F7" w:rsidRDefault="0047220D" w:rsidP="000977F7">
      <w:pPr>
        <w:pStyle w:val="7"/>
        <w:tabs>
          <w:tab w:val="left" w:pos="284"/>
        </w:tabs>
        <w:spacing w:before="0" w:line="240" w:lineRule="auto"/>
        <w:ind w:left="170"/>
        <w:mirrorIndents/>
        <w:jc w:val="both"/>
        <w:rPr>
          <w:color w:val="auto"/>
          <w:sz w:val="20"/>
          <w:szCs w:val="20"/>
        </w:rPr>
      </w:pPr>
      <w:r>
        <w:rPr>
          <w:color w:val="auto"/>
          <w:sz w:val="20"/>
          <w:szCs w:val="20"/>
        </w:rPr>
        <w:br w:type="column"/>
      </w:r>
      <w:r w:rsidR="0097612F" w:rsidRPr="000977F7">
        <w:rPr>
          <w:color w:val="auto"/>
          <w:sz w:val="20"/>
          <w:szCs w:val="20"/>
        </w:rPr>
        <w:t>ЯКІСТЬ</w:t>
      </w:r>
      <w:r w:rsidR="0097612F" w:rsidRPr="000977F7">
        <w:rPr>
          <w:color w:val="auto"/>
          <w:spacing w:val="-4"/>
          <w:sz w:val="20"/>
          <w:szCs w:val="20"/>
        </w:rPr>
        <w:t xml:space="preserve"> </w:t>
      </w:r>
      <w:r w:rsidR="0097612F" w:rsidRPr="000977F7">
        <w:rPr>
          <w:color w:val="auto"/>
          <w:sz w:val="20"/>
          <w:szCs w:val="20"/>
        </w:rPr>
        <w:t>ПРОГРАМНОГО</w:t>
      </w:r>
      <w:r w:rsidR="0097612F" w:rsidRPr="000977F7">
        <w:rPr>
          <w:color w:val="auto"/>
          <w:spacing w:val="-4"/>
          <w:sz w:val="20"/>
          <w:szCs w:val="20"/>
        </w:rPr>
        <w:t xml:space="preserve"> </w:t>
      </w:r>
      <w:r w:rsidR="0097612F" w:rsidRPr="000977F7">
        <w:rPr>
          <w:color w:val="auto"/>
          <w:sz w:val="20"/>
          <w:szCs w:val="20"/>
        </w:rPr>
        <w:t>ЗАСОБУ</w:t>
      </w:r>
      <w:r w:rsidR="0097612F" w:rsidRPr="000977F7">
        <w:rPr>
          <w:color w:val="auto"/>
          <w:spacing w:val="-3"/>
          <w:sz w:val="20"/>
          <w:szCs w:val="20"/>
        </w:rPr>
        <w:t xml:space="preserve"> </w:t>
      </w:r>
      <w:r w:rsidR="0097612F" w:rsidRPr="000977F7">
        <w:rPr>
          <w:color w:val="auto"/>
          <w:sz w:val="20"/>
          <w:szCs w:val="20"/>
        </w:rPr>
        <w:t>–</w:t>
      </w:r>
    </w:p>
    <w:p w14:paraId="658C2DC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SOFTWARE</w:t>
      </w:r>
      <w:r w:rsidRPr="000977F7">
        <w:rPr>
          <w:rFonts w:asciiTheme="majorHAnsi" w:hAnsiTheme="majorHAnsi"/>
          <w:spacing w:val="-2"/>
          <w:sz w:val="20"/>
          <w:szCs w:val="20"/>
        </w:rPr>
        <w:t xml:space="preserve"> </w:t>
      </w:r>
      <w:r w:rsidRPr="000977F7">
        <w:rPr>
          <w:rFonts w:asciiTheme="majorHAnsi" w:hAnsiTheme="majorHAnsi"/>
          <w:sz w:val="20"/>
          <w:szCs w:val="20"/>
        </w:rPr>
        <w:t>QUALITY</w:t>
      </w:r>
      <w:r w:rsidRPr="000977F7">
        <w:rPr>
          <w:rFonts w:asciiTheme="majorHAnsi" w:hAnsiTheme="majorHAnsi"/>
          <w:spacing w:val="-1"/>
          <w:sz w:val="20"/>
          <w:szCs w:val="20"/>
        </w:rPr>
        <w:t xml:space="preserve"> </w:t>
      </w:r>
      <w:r w:rsidRPr="000977F7">
        <w:rPr>
          <w:rFonts w:asciiTheme="majorHAnsi" w:hAnsiTheme="majorHAnsi"/>
          <w:sz w:val="20"/>
          <w:szCs w:val="20"/>
        </w:rPr>
        <w:t>–</w:t>
      </w:r>
    </w:p>
    <w:p w14:paraId="4DC53D1A"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властивостей програмного засобу щодо їх</w:t>
      </w:r>
      <w:r w:rsidRPr="000977F7">
        <w:rPr>
          <w:rFonts w:asciiTheme="majorHAnsi" w:hAnsiTheme="majorHAnsi"/>
          <w:spacing w:val="1"/>
          <w:sz w:val="20"/>
          <w:szCs w:val="20"/>
        </w:rPr>
        <w:t xml:space="preserve"> </w:t>
      </w:r>
      <w:r w:rsidRPr="000977F7">
        <w:rPr>
          <w:rFonts w:asciiTheme="majorHAnsi" w:hAnsiTheme="majorHAnsi"/>
          <w:sz w:val="20"/>
          <w:szCs w:val="20"/>
        </w:rPr>
        <w:t>придатності задовольняти встановлені чи передбачені</w:t>
      </w:r>
      <w:r w:rsidRPr="000977F7">
        <w:rPr>
          <w:rFonts w:asciiTheme="majorHAnsi" w:hAnsiTheme="majorHAnsi"/>
          <w:spacing w:val="1"/>
          <w:sz w:val="20"/>
          <w:szCs w:val="20"/>
        </w:rPr>
        <w:t xml:space="preserve"> </w:t>
      </w:r>
      <w:r w:rsidRPr="000977F7">
        <w:rPr>
          <w:rFonts w:asciiTheme="majorHAnsi" w:hAnsiTheme="majorHAnsi"/>
          <w:sz w:val="20"/>
          <w:szCs w:val="20"/>
        </w:rPr>
        <w:t>потреби відповідно до</w:t>
      </w:r>
      <w:r w:rsidRPr="000977F7">
        <w:rPr>
          <w:rFonts w:asciiTheme="majorHAnsi" w:hAnsiTheme="majorHAnsi"/>
          <w:spacing w:val="-1"/>
          <w:sz w:val="20"/>
          <w:szCs w:val="20"/>
        </w:rPr>
        <w:t xml:space="preserve"> </w:t>
      </w:r>
      <w:r w:rsidRPr="000977F7">
        <w:rPr>
          <w:rFonts w:asciiTheme="majorHAnsi" w:hAnsiTheme="majorHAnsi"/>
          <w:sz w:val="20"/>
          <w:szCs w:val="20"/>
        </w:rPr>
        <w:t>його призначення</w:t>
      </w:r>
    </w:p>
    <w:p w14:paraId="22C5FA6B"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П</w:t>
      </w:r>
      <w:r w:rsidRPr="000977F7">
        <w:rPr>
          <w:rFonts w:asciiTheme="majorHAnsi" w:hAnsiTheme="majorHAnsi"/>
          <w:spacing w:val="-1"/>
          <w:sz w:val="20"/>
          <w:szCs w:val="20"/>
        </w:rPr>
        <w:t xml:space="preserve"> </w:t>
      </w:r>
      <w:r w:rsidRPr="000977F7">
        <w:rPr>
          <w:rFonts w:asciiTheme="majorHAnsi" w:hAnsiTheme="majorHAnsi"/>
          <w:sz w:val="20"/>
          <w:szCs w:val="20"/>
        </w:rPr>
        <w:t>р</w:t>
      </w:r>
      <w:r w:rsidRPr="000977F7">
        <w:rPr>
          <w:rFonts w:asciiTheme="majorHAnsi" w:hAnsiTheme="majorHAnsi"/>
          <w:spacing w:val="1"/>
          <w:sz w:val="20"/>
          <w:szCs w:val="20"/>
        </w:rPr>
        <w:t xml:space="preserve"> </w:t>
      </w:r>
      <w:r w:rsidRPr="000977F7">
        <w:rPr>
          <w:rFonts w:asciiTheme="majorHAnsi" w:hAnsiTheme="majorHAnsi"/>
          <w:sz w:val="20"/>
          <w:szCs w:val="20"/>
        </w:rPr>
        <w:t>и</w:t>
      </w:r>
      <w:r w:rsidRPr="000977F7">
        <w:rPr>
          <w:rFonts w:asciiTheme="majorHAnsi" w:hAnsiTheme="majorHAnsi"/>
          <w:spacing w:val="-2"/>
          <w:sz w:val="20"/>
          <w:szCs w:val="20"/>
        </w:rPr>
        <w:t xml:space="preserve"> </w:t>
      </w:r>
      <w:r w:rsidRPr="000977F7">
        <w:rPr>
          <w:rFonts w:asciiTheme="majorHAnsi" w:hAnsiTheme="majorHAnsi"/>
          <w:sz w:val="20"/>
          <w:szCs w:val="20"/>
        </w:rPr>
        <w:t>м</w:t>
      </w:r>
      <w:r w:rsidRPr="000977F7">
        <w:rPr>
          <w:rFonts w:asciiTheme="majorHAnsi" w:hAnsiTheme="majorHAnsi"/>
          <w:spacing w:val="1"/>
          <w:sz w:val="20"/>
          <w:szCs w:val="20"/>
        </w:rPr>
        <w:t xml:space="preserve"> </w:t>
      </w:r>
      <w:r w:rsidRPr="000977F7">
        <w:rPr>
          <w:rFonts w:asciiTheme="majorHAnsi" w:hAnsiTheme="majorHAnsi"/>
          <w:sz w:val="20"/>
          <w:szCs w:val="20"/>
        </w:rPr>
        <w:t>і</w:t>
      </w:r>
      <w:r w:rsidRPr="000977F7">
        <w:rPr>
          <w:rFonts w:asciiTheme="majorHAnsi" w:hAnsiTheme="majorHAnsi"/>
          <w:spacing w:val="-2"/>
          <w:sz w:val="20"/>
          <w:szCs w:val="20"/>
        </w:rPr>
        <w:t xml:space="preserve"> </w:t>
      </w:r>
      <w:r w:rsidRPr="000977F7">
        <w:rPr>
          <w:rFonts w:asciiTheme="majorHAnsi" w:hAnsiTheme="majorHAnsi"/>
          <w:sz w:val="20"/>
          <w:szCs w:val="20"/>
        </w:rPr>
        <w:t>т</w:t>
      </w:r>
      <w:r w:rsidRPr="000977F7">
        <w:rPr>
          <w:rFonts w:asciiTheme="majorHAnsi" w:hAnsiTheme="majorHAnsi"/>
          <w:spacing w:val="-1"/>
          <w:sz w:val="20"/>
          <w:szCs w:val="20"/>
        </w:rPr>
        <w:t xml:space="preserve"> </w:t>
      </w:r>
      <w:r w:rsidRPr="000977F7">
        <w:rPr>
          <w:rFonts w:asciiTheme="majorHAnsi" w:hAnsiTheme="majorHAnsi"/>
          <w:sz w:val="20"/>
          <w:szCs w:val="20"/>
        </w:rPr>
        <w:t>к</w:t>
      </w:r>
      <w:r w:rsidRPr="000977F7">
        <w:rPr>
          <w:rFonts w:asciiTheme="majorHAnsi" w:hAnsiTheme="majorHAnsi"/>
          <w:spacing w:val="-2"/>
          <w:sz w:val="20"/>
          <w:szCs w:val="20"/>
        </w:rPr>
        <w:t xml:space="preserve"> </w:t>
      </w:r>
      <w:r w:rsidRPr="000977F7">
        <w:rPr>
          <w:rFonts w:asciiTheme="majorHAnsi" w:hAnsiTheme="majorHAnsi"/>
          <w:sz w:val="20"/>
          <w:szCs w:val="20"/>
        </w:rPr>
        <w:t>а:</w:t>
      </w:r>
    </w:p>
    <w:p w14:paraId="2024AAE6" w14:textId="77777777" w:rsidR="0097612F" w:rsidRPr="000977F7" w:rsidRDefault="0097612F" w:rsidP="000977F7">
      <w:pPr>
        <w:pStyle w:val="af6"/>
        <w:tabs>
          <w:tab w:val="left" w:pos="284"/>
        </w:tabs>
        <w:spacing w:after="0"/>
        <w:ind w:left="170"/>
        <w:mirrorIndents/>
        <w:jc w:val="both"/>
        <w:rPr>
          <w:rFonts w:asciiTheme="majorHAnsi" w:hAnsiTheme="majorHAnsi"/>
          <w:spacing w:val="-47"/>
          <w:sz w:val="20"/>
          <w:szCs w:val="20"/>
        </w:rPr>
      </w:pPr>
      <w:r w:rsidRPr="000977F7">
        <w:rPr>
          <w:rFonts w:asciiTheme="majorHAnsi" w:hAnsiTheme="majorHAnsi"/>
          <w:sz w:val="20"/>
          <w:szCs w:val="20"/>
        </w:rPr>
        <w:t>Кожна властивість програмного засобу, за якою оцінюється його якість, може уточнюватись на множині</w:t>
      </w:r>
      <w:r w:rsidRPr="000977F7">
        <w:rPr>
          <w:rFonts w:asciiTheme="majorHAnsi" w:hAnsiTheme="majorHAnsi"/>
          <w:spacing w:val="1"/>
          <w:sz w:val="20"/>
          <w:szCs w:val="20"/>
        </w:rPr>
        <w:t xml:space="preserve"> </w:t>
      </w:r>
      <w:r w:rsidRPr="000977F7">
        <w:rPr>
          <w:rFonts w:asciiTheme="majorHAnsi" w:hAnsiTheme="majorHAnsi"/>
          <w:sz w:val="20"/>
          <w:szCs w:val="20"/>
        </w:rPr>
        <w:t>рівнів властивостей, які зумовлюють дану властивість</w:t>
      </w:r>
      <w:r w:rsidRPr="000977F7">
        <w:rPr>
          <w:rFonts w:asciiTheme="majorHAnsi" w:hAnsiTheme="majorHAnsi"/>
          <w:spacing w:val="-47"/>
          <w:sz w:val="20"/>
          <w:szCs w:val="20"/>
        </w:rPr>
        <w:t xml:space="preserve"> </w:t>
      </w:r>
    </w:p>
    <w:p w14:paraId="39BCECBB" w14:textId="77777777" w:rsidR="0097612F" w:rsidRPr="000977F7" w:rsidRDefault="0097612F" w:rsidP="000977F7">
      <w:pPr>
        <w:pStyle w:val="af6"/>
        <w:tabs>
          <w:tab w:val="left" w:pos="284"/>
        </w:tabs>
        <w:spacing w:after="0"/>
        <w:ind w:left="170"/>
        <w:mirrorIndents/>
        <w:jc w:val="both"/>
        <w:rPr>
          <w:rFonts w:asciiTheme="majorHAnsi" w:hAnsiTheme="majorHAnsi"/>
          <w:i/>
          <w:sz w:val="20"/>
          <w:szCs w:val="20"/>
        </w:rPr>
      </w:pPr>
      <w:r w:rsidRPr="000977F7">
        <w:rPr>
          <w:rFonts w:asciiTheme="majorHAnsi" w:hAnsiTheme="majorHAnsi"/>
          <w:i/>
          <w:sz w:val="20"/>
          <w:szCs w:val="20"/>
        </w:rPr>
        <w:t>ДСТУ 2844 - 94</w:t>
      </w:r>
    </w:p>
    <w:p w14:paraId="1FD29E19"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ЯКІСТЬ</w:t>
      </w:r>
      <w:r w:rsidRPr="000977F7">
        <w:rPr>
          <w:color w:val="auto"/>
          <w:spacing w:val="-3"/>
          <w:sz w:val="20"/>
          <w:szCs w:val="20"/>
        </w:rPr>
        <w:t xml:space="preserve"> </w:t>
      </w:r>
      <w:r w:rsidRPr="000977F7">
        <w:rPr>
          <w:color w:val="auto"/>
          <w:sz w:val="20"/>
          <w:szCs w:val="20"/>
        </w:rPr>
        <w:t>ПРОДУКЦІЇ</w:t>
      </w:r>
      <w:r w:rsidRPr="000977F7">
        <w:rPr>
          <w:color w:val="auto"/>
          <w:spacing w:val="-2"/>
          <w:sz w:val="20"/>
          <w:szCs w:val="20"/>
        </w:rPr>
        <w:t xml:space="preserve"> </w:t>
      </w:r>
      <w:r w:rsidRPr="000977F7">
        <w:rPr>
          <w:color w:val="auto"/>
          <w:sz w:val="20"/>
          <w:szCs w:val="20"/>
        </w:rPr>
        <w:t>–</w:t>
      </w:r>
    </w:p>
    <w:p w14:paraId="6E07E897"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властивостей продукції, що зумовлюють її</w:t>
      </w:r>
      <w:r w:rsidRPr="000977F7">
        <w:rPr>
          <w:rFonts w:asciiTheme="majorHAnsi" w:hAnsiTheme="majorHAnsi"/>
          <w:spacing w:val="-47"/>
          <w:sz w:val="20"/>
          <w:szCs w:val="20"/>
        </w:rPr>
        <w:t xml:space="preserve"> </w:t>
      </w:r>
      <w:r w:rsidRPr="000977F7">
        <w:rPr>
          <w:rFonts w:asciiTheme="majorHAnsi" w:hAnsiTheme="majorHAnsi"/>
          <w:sz w:val="20"/>
          <w:szCs w:val="20"/>
        </w:rPr>
        <w:t>придатність</w:t>
      </w:r>
      <w:r w:rsidRPr="000977F7">
        <w:rPr>
          <w:rFonts w:asciiTheme="majorHAnsi" w:hAnsiTheme="majorHAnsi"/>
          <w:spacing w:val="1"/>
          <w:sz w:val="20"/>
          <w:szCs w:val="20"/>
        </w:rPr>
        <w:t xml:space="preserve"> </w:t>
      </w:r>
      <w:r w:rsidRPr="000977F7">
        <w:rPr>
          <w:rFonts w:asciiTheme="majorHAnsi" w:hAnsiTheme="majorHAnsi"/>
          <w:sz w:val="20"/>
          <w:szCs w:val="20"/>
        </w:rPr>
        <w:t>задовольняти</w:t>
      </w:r>
      <w:r w:rsidRPr="000977F7">
        <w:rPr>
          <w:rFonts w:asciiTheme="majorHAnsi" w:hAnsiTheme="majorHAnsi"/>
          <w:spacing w:val="1"/>
          <w:sz w:val="20"/>
          <w:szCs w:val="20"/>
        </w:rPr>
        <w:t xml:space="preserve"> </w:t>
      </w:r>
      <w:r w:rsidRPr="000977F7">
        <w:rPr>
          <w:rFonts w:asciiTheme="majorHAnsi" w:hAnsiTheme="majorHAnsi"/>
          <w:sz w:val="20"/>
          <w:szCs w:val="20"/>
        </w:rPr>
        <w:t>певні</w:t>
      </w:r>
      <w:r w:rsidRPr="000977F7">
        <w:rPr>
          <w:rFonts w:asciiTheme="majorHAnsi" w:hAnsiTheme="majorHAnsi"/>
          <w:spacing w:val="1"/>
          <w:sz w:val="20"/>
          <w:szCs w:val="20"/>
        </w:rPr>
        <w:t xml:space="preserve"> </w:t>
      </w:r>
      <w:r w:rsidRPr="000977F7">
        <w:rPr>
          <w:rFonts w:asciiTheme="majorHAnsi" w:hAnsiTheme="majorHAnsi"/>
          <w:sz w:val="20"/>
          <w:szCs w:val="20"/>
        </w:rPr>
        <w:t>потреби</w:t>
      </w:r>
      <w:r w:rsidRPr="000977F7">
        <w:rPr>
          <w:rFonts w:asciiTheme="majorHAnsi" w:hAnsiTheme="majorHAnsi"/>
          <w:spacing w:val="50"/>
          <w:sz w:val="20"/>
          <w:szCs w:val="20"/>
        </w:rPr>
        <w:t xml:space="preserve"> </w:t>
      </w:r>
      <w:r w:rsidRPr="000977F7">
        <w:rPr>
          <w:rFonts w:asciiTheme="majorHAnsi" w:hAnsiTheme="majorHAnsi"/>
          <w:sz w:val="20"/>
          <w:szCs w:val="20"/>
        </w:rPr>
        <w:t>відповідно</w:t>
      </w:r>
      <w:r w:rsidRPr="000977F7">
        <w:rPr>
          <w:rFonts w:asciiTheme="majorHAnsi" w:hAnsiTheme="majorHAnsi"/>
          <w:spacing w:val="-47"/>
          <w:sz w:val="20"/>
          <w:szCs w:val="20"/>
        </w:rPr>
        <w:t xml:space="preserve"> </w:t>
      </w:r>
      <w:r w:rsidRPr="000977F7">
        <w:rPr>
          <w:rFonts w:asciiTheme="majorHAnsi" w:hAnsiTheme="majorHAnsi"/>
          <w:sz w:val="20"/>
          <w:szCs w:val="20"/>
        </w:rPr>
        <w:t>до</w:t>
      </w:r>
      <w:r w:rsidRPr="000977F7">
        <w:rPr>
          <w:rFonts w:asciiTheme="majorHAnsi" w:hAnsiTheme="majorHAnsi"/>
          <w:spacing w:val="-1"/>
          <w:sz w:val="20"/>
          <w:szCs w:val="20"/>
        </w:rPr>
        <w:t xml:space="preserve"> </w:t>
      </w:r>
      <w:r w:rsidRPr="000977F7">
        <w:rPr>
          <w:rFonts w:asciiTheme="majorHAnsi" w:hAnsiTheme="majorHAnsi"/>
          <w:sz w:val="20"/>
          <w:szCs w:val="20"/>
        </w:rPr>
        <w:t>свого</w:t>
      </w:r>
      <w:r w:rsidRPr="000977F7">
        <w:rPr>
          <w:rFonts w:asciiTheme="majorHAnsi" w:hAnsiTheme="majorHAnsi"/>
          <w:spacing w:val="1"/>
          <w:sz w:val="20"/>
          <w:szCs w:val="20"/>
        </w:rPr>
        <w:t xml:space="preserve"> </w:t>
      </w:r>
      <w:r w:rsidRPr="000977F7">
        <w:rPr>
          <w:rFonts w:asciiTheme="majorHAnsi" w:hAnsiTheme="majorHAnsi"/>
          <w:sz w:val="20"/>
          <w:szCs w:val="20"/>
        </w:rPr>
        <w:t>призначення</w:t>
      </w:r>
    </w:p>
    <w:p w14:paraId="4072DBF2" w14:textId="77777777" w:rsidR="0097612F" w:rsidRPr="000977F7" w:rsidRDefault="0097612F" w:rsidP="000977F7">
      <w:pPr>
        <w:tabs>
          <w:tab w:val="left" w:pos="284"/>
        </w:tabs>
        <w:spacing w:after="0" w:line="240" w:lineRule="auto"/>
        <w:ind w:left="170"/>
        <w:mirrorIndents/>
        <w:jc w:val="both"/>
        <w:rPr>
          <w:rFonts w:asciiTheme="majorHAnsi" w:hAnsiTheme="majorHAnsi"/>
          <w:i/>
          <w:sz w:val="20"/>
          <w:szCs w:val="20"/>
        </w:rPr>
      </w:pPr>
      <w:r w:rsidRPr="000977F7">
        <w:rPr>
          <w:rFonts w:asciiTheme="majorHAnsi" w:hAnsiTheme="majorHAnsi"/>
          <w:i/>
          <w:sz w:val="20"/>
          <w:szCs w:val="20"/>
        </w:rPr>
        <w:t>ДСТУ</w:t>
      </w:r>
      <w:r w:rsidRPr="000977F7">
        <w:rPr>
          <w:rFonts w:asciiTheme="majorHAnsi" w:hAnsiTheme="majorHAnsi"/>
          <w:i/>
          <w:spacing w:val="-2"/>
          <w:sz w:val="20"/>
          <w:szCs w:val="20"/>
        </w:rPr>
        <w:t xml:space="preserve"> </w:t>
      </w:r>
      <w:r w:rsidRPr="000977F7">
        <w:rPr>
          <w:rFonts w:asciiTheme="majorHAnsi" w:hAnsiTheme="majorHAnsi"/>
          <w:i/>
          <w:sz w:val="20"/>
          <w:szCs w:val="20"/>
        </w:rPr>
        <w:t>2960</w:t>
      </w:r>
      <w:r w:rsidRPr="000977F7">
        <w:rPr>
          <w:rFonts w:asciiTheme="majorHAnsi" w:hAnsiTheme="majorHAnsi"/>
          <w:i/>
          <w:spacing w:val="-1"/>
          <w:sz w:val="20"/>
          <w:szCs w:val="20"/>
        </w:rPr>
        <w:t xml:space="preserve"> </w:t>
      </w:r>
      <w:r w:rsidRPr="000977F7">
        <w:rPr>
          <w:rFonts w:asciiTheme="majorHAnsi" w:hAnsiTheme="majorHAnsi"/>
          <w:i/>
          <w:sz w:val="20"/>
          <w:szCs w:val="20"/>
        </w:rPr>
        <w:t>–</w:t>
      </w:r>
      <w:r w:rsidRPr="000977F7">
        <w:rPr>
          <w:rFonts w:asciiTheme="majorHAnsi" w:hAnsiTheme="majorHAnsi"/>
          <w:i/>
          <w:spacing w:val="-1"/>
          <w:sz w:val="20"/>
          <w:szCs w:val="20"/>
        </w:rPr>
        <w:t xml:space="preserve"> </w:t>
      </w:r>
      <w:r w:rsidRPr="000977F7">
        <w:rPr>
          <w:rFonts w:asciiTheme="majorHAnsi" w:hAnsiTheme="majorHAnsi"/>
          <w:i/>
          <w:sz w:val="20"/>
          <w:szCs w:val="20"/>
        </w:rPr>
        <w:t>94</w:t>
      </w:r>
    </w:p>
    <w:p w14:paraId="116CACC2" w14:textId="77777777" w:rsidR="0097612F" w:rsidRPr="000977F7" w:rsidRDefault="0097612F" w:rsidP="000977F7">
      <w:pPr>
        <w:pStyle w:val="7"/>
        <w:tabs>
          <w:tab w:val="left" w:pos="284"/>
        </w:tabs>
        <w:spacing w:before="0" w:line="240" w:lineRule="auto"/>
        <w:ind w:left="170"/>
        <w:mirrorIndents/>
        <w:jc w:val="both"/>
        <w:rPr>
          <w:color w:val="auto"/>
          <w:sz w:val="20"/>
          <w:szCs w:val="20"/>
        </w:rPr>
      </w:pPr>
      <w:r w:rsidRPr="000977F7">
        <w:rPr>
          <w:color w:val="auto"/>
          <w:sz w:val="20"/>
          <w:szCs w:val="20"/>
        </w:rPr>
        <w:t xml:space="preserve">ЯКІСТЬ СТВОРЕННЯ (ЕКСПЛУАТАЦІЇ) </w:t>
      </w:r>
    </w:p>
    <w:p w14:paraId="112C39CA" w14:textId="77777777" w:rsidR="0097612F" w:rsidRPr="000977F7" w:rsidRDefault="0097612F" w:rsidP="000977F7">
      <w:pPr>
        <w:pStyle w:val="7"/>
        <w:tabs>
          <w:tab w:val="left" w:pos="284"/>
        </w:tabs>
        <w:spacing w:before="0" w:line="240" w:lineRule="auto"/>
        <w:ind w:left="170"/>
        <w:mirrorIndents/>
        <w:jc w:val="both"/>
        <w:rPr>
          <w:b w:val="0"/>
          <w:color w:val="auto"/>
          <w:sz w:val="20"/>
          <w:szCs w:val="20"/>
        </w:rPr>
      </w:pPr>
      <w:r w:rsidRPr="000977F7">
        <w:rPr>
          <w:color w:val="auto"/>
          <w:sz w:val="20"/>
          <w:szCs w:val="20"/>
        </w:rPr>
        <w:t>ПРОДУКЦІЇ</w:t>
      </w:r>
      <w:r w:rsidRPr="000977F7">
        <w:rPr>
          <w:b w:val="0"/>
          <w:color w:val="auto"/>
          <w:sz w:val="20"/>
          <w:szCs w:val="20"/>
        </w:rPr>
        <w:t>–</w:t>
      </w:r>
    </w:p>
    <w:p w14:paraId="68B1AD68" w14:textId="77777777" w:rsidR="0097612F" w:rsidRPr="000977F7" w:rsidRDefault="0097612F" w:rsidP="000977F7">
      <w:pPr>
        <w:pStyle w:val="af6"/>
        <w:tabs>
          <w:tab w:val="left" w:pos="284"/>
        </w:tabs>
        <w:spacing w:after="0"/>
        <w:ind w:left="170"/>
        <w:mirrorIndents/>
        <w:jc w:val="both"/>
        <w:rPr>
          <w:rFonts w:asciiTheme="majorHAnsi" w:hAnsiTheme="majorHAnsi"/>
          <w:sz w:val="20"/>
          <w:szCs w:val="20"/>
        </w:rPr>
      </w:pPr>
      <w:r w:rsidRPr="000977F7">
        <w:rPr>
          <w:rFonts w:asciiTheme="majorHAnsi" w:hAnsiTheme="majorHAnsi"/>
          <w:sz w:val="20"/>
          <w:szCs w:val="20"/>
        </w:rPr>
        <w:t>Сукупність властивостей процесу створення (експлуатації) продукції, від яких залежить відповідність цього</w:t>
      </w:r>
      <w:r w:rsidRPr="000977F7">
        <w:rPr>
          <w:rFonts w:asciiTheme="majorHAnsi" w:hAnsiTheme="majorHAnsi"/>
          <w:spacing w:val="-3"/>
          <w:sz w:val="20"/>
          <w:szCs w:val="20"/>
        </w:rPr>
        <w:t xml:space="preserve"> </w:t>
      </w:r>
      <w:r w:rsidRPr="000977F7">
        <w:rPr>
          <w:rFonts w:asciiTheme="majorHAnsi" w:hAnsiTheme="majorHAnsi"/>
          <w:sz w:val="20"/>
          <w:szCs w:val="20"/>
        </w:rPr>
        <w:t>процесу</w:t>
      </w:r>
      <w:r w:rsidRPr="000977F7">
        <w:rPr>
          <w:rFonts w:asciiTheme="majorHAnsi" w:hAnsiTheme="majorHAnsi"/>
          <w:spacing w:val="-3"/>
          <w:sz w:val="20"/>
          <w:szCs w:val="20"/>
        </w:rPr>
        <w:t xml:space="preserve"> </w:t>
      </w:r>
      <w:r w:rsidRPr="000977F7">
        <w:rPr>
          <w:rFonts w:asciiTheme="majorHAnsi" w:hAnsiTheme="majorHAnsi"/>
          <w:sz w:val="20"/>
          <w:szCs w:val="20"/>
        </w:rPr>
        <w:t>і</w:t>
      </w:r>
      <w:r w:rsidRPr="000977F7">
        <w:rPr>
          <w:rFonts w:asciiTheme="majorHAnsi" w:hAnsiTheme="majorHAnsi"/>
          <w:spacing w:val="-4"/>
          <w:sz w:val="20"/>
          <w:szCs w:val="20"/>
        </w:rPr>
        <w:t xml:space="preserve"> </w:t>
      </w:r>
      <w:r w:rsidRPr="000977F7">
        <w:rPr>
          <w:rFonts w:asciiTheme="majorHAnsi" w:hAnsiTheme="majorHAnsi"/>
          <w:sz w:val="20"/>
          <w:szCs w:val="20"/>
        </w:rPr>
        <w:t>його</w:t>
      </w:r>
      <w:r w:rsidRPr="000977F7">
        <w:rPr>
          <w:rFonts w:asciiTheme="majorHAnsi" w:hAnsiTheme="majorHAnsi"/>
          <w:spacing w:val="-2"/>
          <w:sz w:val="20"/>
          <w:szCs w:val="20"/>
        </w:rPr>
        <w:t xml:space="preserve"> </w:t>
      </w:r>
      <w:r w:rsidRPr="000977F7">
        <w:rPr>
          <w:rFonts w:asciiTheme="majorHAnsi" w:hAnsiTheme="majorHAnsi"/>
          <w:sz w:val="20"/>
          <w:szCs w:val="20"/>
        </w:rPr>
        <w:t>результатів</w:t>
      </w:r>
      <w:r w:rsidRPr="000977F7">
        <w:rPr>
          <w:rFonts w:asciiTheme="majorHAnsi" w:hAnsiTheme="majorHAnsi"/>
          <w:spacing w:val="-1"/>
          <w:sz w:val="20"/>
          <w:szCs w:val="20"/>
        </w:rPr>
        <w:t xml:space="preserve"> </w:t>
      </w:r>
      <w:r w:rsidRPr="000977F7">
        <w:rPr>
          <w:rFonts w:asciiTheme="majorHAnsi" w:hAnsiTheme="majorHAnsi"/>
          <w:sz w:val="20"/>
          <w:szCs w:val="20"/>
        </w:rPr>
        <w:t>установленим</w:t>
      </w:r>
      <w:r w:rsidRPr="000977F7">
        <w:rPr>
          <w:rFonts w:asciiTheme="majorHAnsi" w:hAnsiTheme="majorHAnsi"/>
          <w:spacing w:val="-2"/>
          <w:sz w:val="20"/>
          <w:szCs w:val="20"/>
        </w:rPr>
        <w:t xml:space="preserve"> </w:t>
      </w:r>
      <w:r w:rsidRPr="000977F7">
        <w:rPr>
          <w:rFonts w:asciiTheme="majorHAnsi" w:hAnsiTheme="majorHAnsi"/>
          <w:sz w:val="20"/>
          <w:szCs w:val="20"/>
        </w:rPr>
        <w:t>вимогам</w:t>
      </w:r>
    </w:p>
    <w:p w14:paraId="03566360" w14:textId="77777777" w:rsidR="0097612F" w:rsidRPr="000977F7" w:rsidRDefault="0097612F" w:rsidP="000977F7">
      <w:pPr>
        <w:pStyle w:val="1"/>
        <w:tabs>
          <w:tab w:val="left" w:pos="284"/>
        </w:tabs>
        <w:spacing w:line="240" w:lineRule="auto"/>
        <w:ind w:left="170"/>
        <w:mirrorIndents/>
        <w:jc w:val="both"/>
        <w:rPr>
          <w:color w:val="auto"/>
          <w:sz w:val="20"/>
          <w:szCs w:val="20"/>
        </w:rPr>
        <w:sectPr w:rsidR="0097612F" w:rsidRPr="000977F7" w:rsidSect="000977F7">
          <w:type w:val="continuous"/>
          <w:pgSz w:w="11900" w:h="16820"/>
          <w:pgMar w:top="980" w:right="380" w:bottom="960" w:left="1160" w:header="0" w:footer="775" w:gutter="0"/>
          <w:cols w:num="2" w:space="454"/>
        </w:sectPr>
      </w:pPr>
    </w:p>
    <w:p w14:paraId="242EFF44" w14:textId="77777777" w:rsidR="0097612F" w:rsidRPr="000977F7" w:rsidRDefault="0097612F" w:rsidP="000977F7">
      <w:pPr>
        <w:pStyle w:val="1"/>
        <w:tabs>
          <w:tab w:val="left" w:pos="284"/>
        </w:tabs>
        <w:spacing w:line="240" w:lineRule="auto"/>
        <w:ind w:left="170"/>
        <w:mirrorIndents/>
        <w:jc w:val="both"/>
        <w:rPr>
          <w:color w:val="auto"/>
          <w:sz w:val="20"/>
          <w:szCs w:val="20"/>
        </w:rPr>
        <w:sectPr w:rsidR="0097612F" w:rsidRPr="000977F7" w:rsidSect="000977F7">
          <w:type w:val="continuous"/>
          <w:pgSz w:w="11900" w:h="16820"/>
          <w:pgMar w:top="980" w:right="380" w:bottom="960" w:left="1160" w:header="0" w:footer="775" w:gutter="0"/>
          <w:cols w:num="2" w:space="454"/>
        </w:sectPr>
      </w:pPr>
    </w:p>
    <w:p w14:paraId="3A039FAE" w14:textId="14E9739E" w:rsidR="0097612F" w:rsidRPr="0047220D" w:rsidRDefault="0047220D" w:rsidP="0047220D">
      <w:pPr>
        <w:pStyle w:val="2"/>
        <w:spacing w:line="240" w:lineRule="auto"/>
        <w:ind w:firstLine="0"/>
        <w:jc w:val="center"/>
        <w:rPr>
          <w:color w:val="auto"/>
          <w:sz w:val="24"/>
          <w:szCs w:val="24"/>
        </w:rPr>
      </w:pPr>
      <w:bookmarkStart w:id="327" w:name="_TOC_250000"/>
      <w:bookmarkStart w:id="328" w:name="_Toc132629661"/>
      <w:r w:rsidRPr="00871491">
        <w:rPr>
          <w:sz w:val="32"/>
          <w:szCs w:val="32"/>
          <w:lang w:val="uk-UA"/>
        </w:rPr>
        <w:lastRenderedPageBreak/>
        <w:t xml:space="preserve">ДЖЕРЕЛА </w:t>
      </w:r>
      <w:bookmarkEnd w:id="327"/>
      <w:r w:rsidRPr="00871491">
        <w:rPr>
          <w:sz w:val="32"/>
          <w:szCs w:val="32"/>
          <w:lang w:val="uk-UA"/>
        </w:rPr>
        <w:t>ІНФОРМАЦІЇ</w:t>
      </w:r>
      <w:bookmarkEnd w:id="328"/>
    </w:p>
    <w:p w14:paraId="3811B718" w14:textId="77777777" w:rsidR="0097612F" w:rsidRPr="000977F7" w:rsidRDefault="0097612F" w:rsidP="0097612F">
      <w:pPr>
        <w:pStyle w:val="af6"/>
        <w:spacing w:after="0"/>
        <w:rPr>
          <w:rFonts w:asciiTheme="majorHAnsi" w:hAnsiTheme="majorHAnsi"/>
          <w:b/>
          <w:sz w:val="20"/>
          <w:szCs w:val="20"/>
        </w:rPr>
      </w:pPr>
    </w:p>
    <w:p w14:paraId="1AA9E83E"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Закон України "Про акредитацію органів з оцінки відповідності" / Відомості Верховної Ради України (ВВР), 2001, № 32, ст. 170.-. Редакція від 01.01.2021 р.</w:t>
      </w:r>
    </w:p>
    <w:p w14:paraId="033F41CF"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 xml:space="preserve">Закон України "Про технічні регламенти та оцінку відповідності" / </w:t>
      </w:r>
      <w:bookmarkStart w:id="329" w:name="_Hlk103351898"/>
      <w:bookmarkStart w:id="330" w:name="_Hlk103182877"/>
      <w:r w:rsidRPr="00D77A37">
        <w:rPr>
          <w:rFonts w:asciiTheme="majorHAnsi" w:hAnsiTheme="majorHAnsi"/>
          <w:sz w:val="28"/>
          <w:szCs w:val="28"/>
        </w:rPr>
        <w:t xml:space="preserve">Відомості Верховної Ради України (ВВР), </w:t>
      </w:r>
      <w:bookmarkEnd w:id="329"/>
      <w:r w:rsidRPr="00D77A37">
        <w:rPr>
          <w:rFonts w:asciiTheme="majorHAnsi" w:hAnsiTheme="majorHAnsi"/>
          <w:sz w:val="28"/>
          <w:szCs w:val="28"/>
        </w:rPr>
        <w:t xml:space="preserve">2015, № 14, ст. 96.-. </w:t>
      </w:r>
      <w:bookmarkStart w:id="331" w:name="_Hlk103397657"/>
      <w:r w:rsidRPr="00D77A37">
        <w:rPr>
          <w:rFonts w:asciiTheme="majorHAnsi" w:hAnsiTheme="majorHAnsi"/>
          <w:sz w:val="28"/>
          <w:szCs w:val="28"/>
        </w:rPr>
        <w:t xml:space="preserve">Редакція від </w:t>
      </w:r>
      <w:bookmarkEnd w:id="331"/>
      <w:r w:rsidRPr="00D77A37">
        <w:rPr>
          <w:rFonts w:asciiTheme="majorHAnsi" w:hAnsiTheme="majorHAnsi"/>
          <w:sz w:val="28"/>
          <w:szCs w:val="28"/>
        </w:rPr>
        <w:t>19.02.2022</w:t>
      </w:r>
      <w:bookmarkEnd w:id="330"/>
      <w:r w:rsidRPr="00D77A37">
        <w:rPr>
          <w:rFonts w:asciiTheme="majorHAnsi" w:hAnsiTheme="majorHAnsi"/>
          <w:sz w:val="28"/>
          <w:szCs w:val="28"/>
        </w:rPr>
        <w:t xml:space="preserve"> р.</w:t>
      </w:r>
    </w:p>
    <w:p w14:paraId="2CCC46EA"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 xml:space="preserve">Закон України "Про загальну безпечність нехарчової продукції" / </w:t>
      </w:r>
      <w:bookmarkStart w:id="332" w:name="_Hlk103397349"/>
      <w:r w:rsidRPr="00D77A37">
        <w:rPr>
          <w:rFonts w:asciiTheme="majorHAnsi" w:hAnsiTheme="majorHAnsi"/>
          <w:sz w:val="28"/>
          <w:szCs w:val="28"/>
        </w:rPr>
        <w:t xml:space="preserve">Відомості Верховної Ради України (ВВР), </w:t>
      </w:r>
      <w:bookmarkEnd w:id="332"/>
      <w:r w:rsidRPr="00D77A37">
        <w:rPr>
          <w:rFonts w:asciiTheme="majorHAnsi" w:hAnsiTheme="majorHAnsi"/>
          <w:sz w:val="28"/>
          <w:szCs w:val="28"/>
        </w:rPr>
        <w:t>2011, № 22, ст.145. Редакція від 26.03.2020</w:t>
      </w:r>
    </w:p>
    <w:p w14:paraId="33C95900"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Закон України "Про державний ринковий нагляд і контроль нехарчової продукції" / Відомості Верховної Ради України (ВВР), 2011, № 21, ст.144. Редакція від 16.04.2022</w:t>
      </w:r>
    </w:p>
    <w:p w14:paraId="4E68253F"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 xml:space="preserve">Закон України "Про захист прав споживачів" / Відомості Верховної Ради УРСР (ВВР), 1991, № 30, ст.379.  Із змінами. </w:t>
      </w:r>
      <w:bookmarkStart w:id="333" w:name="_Hlk103151846"/>
      <w:r w:rsidRPr="00D77A37">
        <w:rPr>
          <w:rFonts w:asciiTheme="majorHAnsi" w:hAnsiTheme="majorHAnsi"/>
          <w:sz w:val="28"/>
          <w:szCs w:val="28"/>
        </w:rPr>
        <w:t>Редакція від 01.08.2022</w:t>
      </w:r>
      <w:bookmarkEnd w:id="333"/>
    </w:p>
    <w:p w14:paraId="0C69D056"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 xml:space="preserve">Закон України "Про охорону навколишнього природного середовища" / </w:t>
      </w:r>
      <w:bookmarkStart w:id="334" w:name="_Hlk103151655"/>
      <w:r w:rsidRPr="00D77A37">
        <w:rPr>
          <w:rFonts w:asciiTheme="majorHAnsi" w:hAnsiTheme="majorHAnsi"/>
          <w:sz w:val="28"/>
          <w:szCs w:val="28"/>
        </w:rPr>
        <w:t xml:space="preserve">Відомості Верховної Ради України (ВВР), </w:t>
      </w:r>
      <w:bookmarkEnd w:id="334"/>
      <w:r w:rsidRPr="00D77A37">
        <w:rPr>
          <w:rFonts w:asciiTheme="majorHAnsi" w:hAnsiTheme="majorHAnsi"/>
          <w:sz w:val="28"/>
          <w:szCs w:val="28"/>
        </w:rPr>
        <w:t>1991, №</w:t>
      </w:r>
      <w:r w:rsidRPr="00D77A37">
        <w:rPr>
          <w:rFonts w:asciiTheme="majorHAnsi" w:hAnsiTheme="majorHAnsi"/>
          <w:spacing w:val="-47"/>
          <w:sz w:val="28"/>
          <w:szCs w:val="28"/>
        </w:rPr>
        <w:t xml:space="preserve"> </w:t>
      </w:r>
      <w:r w:rsidRPr="00D77A37">
        <w:rPr>
          <w:rFonts w:asciiTheme="majorHAnsi" w:hAnsiTheme="majorHAnsi"/>
          <w:sz w:val="28"/>
          <w:szCs w:val="28"/>
        </w:rPr>
        <w:t>41,</w:t>
      </w:r>
      <w:r w:rsidRPr="00D77A37">
        <w:rPr>
          <w:rFonts w:asciiTheme="majorHAnsi" w:hAnsiTheme="majorHAnsi"/>
          <w:spacing w:val="-1"/>
          <w:sz w:val="28"/>
          <w:szCs w:val="28"/>
        </w:rPr>
        <w:t xml:space="preserve"> </w:t>
      </w:r>
      <w:r w:rsidRPr="00D77A37">
        <w:rPr>
          <w:rFonts w:asciiTheme="majorHAnsi" w:hAnsiTheme="majorHAnsi"/>
          <w:sz w:val="28"/>
          <w:szCs w:val="28"/>
        </w:rPr>
        <w:t>ст.546).</w:t>
      </w:r>
      <w:r w:rsidRPr="00D77A37">
        <w:rPr>
          <w:rFonts w:asciiTheme="majorHAnsi" w:hAnsiTheme="majorHAnsi"/>
          <w:spacing w:val="-1"/>
          <w:sz w:val="28"/>
          <w:szCs w:val="28"/>
        </w:rPr>
        <w:t xml:space="preserve"> </w:t>
      </w:r>
      <w:r w:rsidRPr="00D77A37">
        <w:rPr>
          <w:rFonts w:asciiTheme="majorHAnsi" w:hAnsiTheme="majorHAnsi"/>
          <w:sz w:val="28"/>
          <w:szCs w:val="28"/>
        </w:rPr>
        <w:t>–</w:t>
      </w:r>
      <w:r w:rsidRPr="00D77A37">
        <w:rPr>
          <w:rFonts w:asciiTheme="majorHAnsi" w:hAnsiTheme="majorHAnsi"/>
          <w:spacing w:val="1"/>
          <w:sz w:val="28"/>
          <w:szCs w:val="28"/>
        </w:rPr>
        <w:t xml:space="preserve"> </w:t>
      </w:r>
      <w:r w:rsidRPr="00D77A37">
        <w:rPr>
          <w:rFonts w:asciiTheme="majorHAnsi" w:hAnsiTheme="majorHAnsi"/>
          <w:sz w:val="28"/>
          <w:szCs w:val="28"/>
        </w:rPr>
        <w:t>Із змінами.</w:t>
      </w:r>
      <w:r w:rsidRPr="00D77A37">
        <w:rPr>
          <w:rFonts w:asciiTheme="majorHAnsi" w:hAnsiTheme="majorHAnsi"/>
          <w:spacing w:val="1"/>
          <w:sz w:val="28"/>
          <w:szCs w:val="28"/>
        </w:rPr>
        <w:t xml:space="preserve"> </w:t>
      </w:r>
      <w:r w:rsidRPr="00D77A37">
        <w:rPr>
          <w:rFonts w:asciiTheme="majorHAnsi" w:hAnsiTheme="majorHAnsi"/>
          <w:sz w:val="28"/>
          <w:szCs w:val="28"/>
        </w:rPr>
        <w:t>–</w:t>
      </w:r>
      <w:r w:rsidRPr="00D77A37">
        <w:rPr>
          <w:rFonts w:asciiTheme="majorHAnsi" w:hAnsiTheme="majorHAnsi"/>
          <w:spacing w:val="2"/>
          <w:sz w:val="28"/>
          <w:szCs w:val="28"/>
        </w:rPr>
        <w:t xml:space="preserve"> </w:t>
      </w:r>
      <w:r w:rsidRPr="00D77A37">
        <w:rPr>
          <w:rFonts w:asciiTheme="majorHAnsi" w:hAnsiTheme="majorHAnsi"/>
          <w:sz w:val="28"/>
          <w:szCs w:val="28"/>
        </w:rPr>
        <w:t>В</w:t>
      </w:r>
      <w:r w:rsidRPr="00D77A37">
        <w:rPr>
          <w:rFonts w:asciiTheme="majorHAnsi" w:hAnsiTheme="majorHAnsi"/>
          <w:spacing w:val="-1"/>
          <w:sz w:val="28"/>
          <w:szCs w:val="28"/>
        </w:rPr>
        <w:t xml:space="preserve"> </w:t>
      </w:r>
      <w:r w:rsidRPr="00D77A37">
        <w:rPr>
          <w:rFonts w:asciiTheme="majorHAnsi" w:hAnsiTheme="majorHAnsi"/>
          <w:sz w:val="28"/>
          <w:szCs w:val="28"/>
        </w:rPr>
        <w:t>редакції</w:t>
      </w:r>
      <w:r w:rsidRPr="00D77A37">
        <w:rPr>
          <w:rFonts w:asciiTheme="majorHAnsi" w:hAnsiTheme="majorHAnsi"/>
          <w:spacing w:val="-2"/>
          <w:sz w:val="28"/>
          <w:szCs w:val="28"/>
        </w:rPr>
        <w:t xml:space="preserve"> </w:t>
      </w:r>
      <w:r w:rsidRPr="00D77A37">
        <w:rPr>
          <w:rFonts w:asciiTheme="majorHAnsi" w:hAnsiTheme="majorHAnsi"/>
          <w:sz w:val="28"/>
          <w:szCs w:val="28"/>
        </w:rPr>
        <w:t>від</w:t>
      </w:r>
      <w:r w:rsidRPr="00D77A37">
        <w:rPr>
          <w:rFonts w:asciiTheme="majorHAnsi" w:hAnsiTheme="majorHAnsi"/>
          <w:spacing w:val="-1"/>
          <w:sz w:val="28"/>
          <w:szCs w:val="28"/>
        </w:rPr>
        <w:t xml:space="preserve"> </w:t>
      </w:r>
      <w:r w:rsidRPr="00D77A37">
        <w:rPr>
          <w:rFonts w:asciiTheme="majorHAnsi" w:hAnsiTheme="majorHAnsi"/>
          <w:sz w:val="28"/>
          <w:szCs w:val="28"/>
        </w:rPr>
        <w:t>01.01.2022</w:t>
      </w:r>
      <w:r w:rsidRPr="00D77A37">
        <w:rPr>
          <w:rFonts w:asciiTheme="majorHAnsi" w:hAnsiTheme="majorHAnsi"/>
          <w:spacing w:val="-1"/>
          <w:sz w:val="28"/>
          <w:szCs w:val="28"/>
        </w:rPr>
        <w:t xml:space="preserve"> </w:t>
      </w:r>
      <w:r w:rsidRPr="00D77A37">
        <w:rPr>
          <w:rFonts w:asciiTheme="majorHAnsi" w:hAnsiTheme="majorHAnsi"/>
          <w:sz w:val="28"/>
          <w:szCs w:val="28"/>
        </w:rPr>
        <w:t>р.</w:t>
      </w:r>
    </w:p>
    <w:p w14:paraId="526A1CAD"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w w:val="99"/>
          <w:sz w:val="28"/>
          <w:szCs w:val="28"/>
        </w:rPr>
        <w:t>Закон</w:t>
      </w:r>
      <w:r w:rsidRPr="00D77A37">
        <w:rPr>
          <w:rFonts w:asciiTheme="majorHAnsi" w:hAnsiTheme="majorHAnsi"/>
          <w:spacing w:val="-1"/>
          <w:sz w:val="28"/>
          <w:szCs w:val="28"/>
        </w:rPr>
        <w:t xml:space="preserve"> </w:t>
      </w:r>
      <w:r w:rsidRPr="00D77A37">
        <w:rPr>
          <w:rFonts w:asciiTheme="majorHAnsi" w:hAnsiTheme="majorHAnsi"/>
          <w:w w:val="99"/>
          <w:sz w:val="28"/>
          <w:szCs w:val="28"/>
        </w:rPr>
        <w:t>Украї</w:t>
      </w:r>
      <w:r w:rsidRPr="00D77A37">
        <w:rPr>
          <w:rFonts w:asciiTheme="majorHAnsi" w:hAnsiTheme="majorHAnsi"/>
          <w:spacing w:val="1"/>
          <w:w w:val="99"/>
          <w:sz w:val="28"/>
          <w:szCs w:val="28"/>
        </w:rPr>
        <w:t>н</w:t>
      </w:r>
      <w:r w:rsidRPr="00D77A37">
        <w:rPr>
          <w:rFonts w:asciiTheme="majorHAnsi" w:hAnsiTheme="majorHAnsi"/>
          <w:w w:val="99"/>
          <w:sz w:val="28"/>
          <w:szCs w:val="28"/>
        </w:rPr>
        <w:t>и</w:t>
      </w:r>
      <w:r w:rsidRPr="00D77A37">
        <w:rPr>
          <w:rFonts w:asciiTheme="majorHAnsi" w:hAnsiTheme="majorHAnsi"/>
          <w:sz w:val="28"/>
          <w:szCs w:val="28"/>
        </w:rPr>
        <w:t xml:space="preserve"> "</w:t>
      </w:r>
      <w:r w:rsidRPr="00D77A37">
        <w:rPr>
          <w:rFonts w:asciiTheme="majorHAnsi" w:hAnsiTheme="majorHAnsi"/>
          <w:spacing w:val="-1"/>
          <w:w w:val="99"/>
          <w:sz w:val="28"/>
          <w:szCs w:val="28"/>
        </w:rPr>
        <w:t>П</w:t>
      </w:r>
      <w:r w:rsidRPr="00D77A37">
        <w:rPr>
          <w:rFonts w:asciiTheme="majorHAnsi" w:hAnsiTheme="majorHAnsi"/>
          <w:spacing w:val="1"/>
          <w:w w:val="99"/>
          <w:sz w:val="28"/>
          <w:szCs w:val="28"/>
        </w:rPr>
        <w:t>р</w:t>
      </w:r>
      <w:r w:rsidRPr="00D77A37">
        <w:rPr>
          <w:rFonts w:asciiTheme="majorHAnsi" w:hAnsiTheme="majorHAnsi"/>
          <w:w w:val="99"/>
          <w:sz w:val="28"/>
          <w:szCs w:val="28"/>
        </w:rPr>
        <w:t>о</w:t>
      </w:r>
      <w:r w:rsidRPr="00D77A37">
        <w:rPr>
          <w:rFonts w:asciiTheme="majorHAnsi" w:hAnsiTheme="majorHAnsi"/>
          <w:spacing w:val="1"/>
          <w:sz w:val="28"/>
          <w:szCs w:val="28"/>
        </w:rPr>
        <w:t xml:space="preserve"> </w:t>
      </w:r>
      <w:r w:rsidRPr="00D77A37">
        <w:rPr>
          <w:rFonts w:asciiTheme="majorHAnsi" w:hAnsiTheme="majorHAnsi"/>
          <w:spacing w:val="1"/>
          <w:w w:val="99"/>
          <w:sz w:val="28"/>
          <w:szCs w:val="28"/>
        </w:rPr>
        <w:t>о</w:t>
      </w:r>
      <w:r w:rsidRPr="00D77A37">
        <w:rPr>
          <w:rFonts w:asciiTheme="majorHAnsi" w:hAnsiTheme="majorHAnsi"/>
          <w:spacing w:val="-2"/>
          <w:w w:val="99"/>
          <w:sz w:val="28"/>
          <w:szCs w:val="28"/>
        </w:rPr>
        <w:t>х</w:t>
      </w:r>
      <w:r w:rsidRPr="00D77A37">
        <w:rPr>
          <w:rFonts w:asciiTheme="majorHAnsi" w:hAnsiTheme="majorHAnsi"/>
          <w:spacing w:val="1"/>
          <w:w w:val="99"/>
          <w:sz w:val="28"/>
          <w:szCs w:val="28"/>
        </w:rPr>
        <w:t>оро</w:t>
      </w:r>
      <w:r w:rsidRPr="00D77A37">
        <w:rPr>
          <w:rFonts w:asciiTheme="majorHAnsi" w:hAnsiTheme="majorHAnsi"/>
          <w:spacing w:val="-2"/>
          <w:w w:val="99"/>
          <w:sz w:val="28"/>
          <w:szCs w:val="28"/>
        </w:rPr>
        <w:t>н</w:t>
      </w:r>
      <w:r w:rsidRPr="00D77A37">
        <w:rPr>
          <w:rFonts w:asciiTheme="majorHAnsi" w:hAnsiTheme="majorHAnsi"/>
          <w:w w:val="99"/>
          <w:sz w:val="28"/>
          <w:szCs w:val="28"/>
        </w:rPr>
        <w:t>у</w:t>
      </w:r>
      <w:r w:rsidRPr="00D77A37">
        <w:rPr>
          <w:rFonts w:asciiTheme="majorHAnsi" w:hAnsiTheme="majorHAnsi"/>
          <w:spacing w:val="-1"/>
          <w:sz w:val="28"/>
          <w:szCs w:val="28"/>
        </w:rPr>
        <w:t xml:space="preserve"> </w:t>
      </w:r>
      <w:r w:rsidRPr="00D77A37">
        <w:rPr>
          <w:rFonts w:asciiTheme="majorHAnsi" w:hAnsiTheme="majorHAnsi"/>
          <w:spacing w:val="-2"/>
          <w:w w:val="99"/>
          <w:sz w:val="28"/>
          <w:szCs w:val="28"/>
        </w:rPr>
        <w:t>п</w:t>
      </w:r>
      <w:r w:rsidRPr="00D77A37">
        <w:rPr>
          <w:rFonts w:asciiTheme="majorHAnsi" w:hAnsiTheme="majorHAnsi"/>
          <w:spacing w:val="1"/>
          <w:w w:val="99"/>
          <w:sz w:val="28"/>
          <w:szCs w:val="28"/>
        </w:rPr>
        <w:t>р</w:t>
      </w:r>
      <w:r w:rsidRPr="00D77A37">
        <w:rPr>
          <w:rFonts w:asciiTheme="majorHAnsi" w:hAnsiTheme="majorHAnsi"/>
          <w:w w:val="99"/>
          <w:sz w:val="28"/>
          <w:szCs w:val="28"/>
        </w:rPr>
        <w:t>а</w:t>
      </w:r>
      <w:r w:rsidRPr="00D77A37">
        <w:rPr>
          <w:rFonts w:asciiTheme="majorHAnsi" w:hAnsiTheme="majorHAnsi"/>
          <w:spacing w:val="1"/>
          <w:w w:val="99"/>
          <w:sz w:val="28"/>
          <w:szCs w:val="28"/>
        </w:rPr>
        <w:t>ц</w:t>
      </w:r>
      <w:r w:rsidRPr="00D77A37">
        <w:rPr>
          <w:rFonts w:asciiTheme="majorHAnsi" w:hAnsiTheme="majorHAnsi"/>
          <w:w w:val="128"/>
          <w:sz w:val="28"/>
          <w:szCs w:val="28"/>
        </w:rPr>
        <w:t xml:space="preserve">і" </w:t>
      </w:r>
      <w:r w:rsidRPr="00D77A37">
        <w:rPr>
          <w:rFonts w:asciiTheme="majorHAnsi" w:hAnsiTheme="majorHAnsi"/>
          <w:w w:val="99"/>
          <w:sz w:val="28"/>
          <w:szCs w:val="28"/>
        </w:rPr>
        <w:t xml:space="preserve">/ </w:t>
      </w:r>
      <w:r w:rsidRPr="00D77A37">
        <w:rPr>
          <w:rFonts w:asciiTheme="majorHAnsi" w:hAnsiTheme="majorHAnsi"/>
          <w:spacing w:val="1"/>
          <w:w w:val="99"/>
          <w:sz w:val="28"/>
          <w:szCs w:val="28"/>
        </w:rPr>
        <w:t>В</w:t>
      </w:r>
      <w:r w:rsidRPr="00D77A37">
        <w:rPr>
          <w:rFonts w:asciiTheme="majorHAnsi" w:hAnsiTheme="majorHAnsi"/>
          <w:w w:val="99"/>
          <w:sz w:val="28"/>
          <w:szCs w:val="28"/>
        </w:rPr>
        <w:t>і</w:t>
      </w:r>
      <w:r w:rsidRPr="00D77A37">
        <w:rPr>
          <w:rFonts w:asciiTheme="majorHAnsi" w:hAnsiTheme="majorHAnsi"/>
          <w:spacing w:val="-1"/>
          <w:w w:val="99"/>
          <w:sz w:val="28"/>
          <w:szCs w:val="28"/>
        </w:rPr>
        <w:t>д</w:t>
      </w:r>
      <w:r w:rsidRPr="00D77A37">
        <w:rPr>
          <w:rFonts w:asciiTheme="majorHAnsi" w:hAnsiTheme="majorHAnsi"/>
          <w:spacing w:val="1"/>
          <w:w w:val="99"/>
          <w:sz w:val="28"/>
          <w:szCs w:val="28"/>
        </w:rPr>
        <w:t>омо</w:t>
      </w:r>
      <w:r w:rsidRPr="00D77A37">
        <w:rPr>
          <w:rFonts w:asciiTheme="majorHAnsi" w:hAnsiTheme="majorHAnsi"/>
          <w:w w:val="99"/>
          <w:sz w:val="28"/>
          <w:szCs w:val="28"/>
        </w:rPr>
        <w:t>сті</w:t>
      </w:r>
      <w:r w:rsidRPr="00D77A37">
        <w:rPr>
          <w:rFonts w:asciiTheme="majorHAnsi" w:hAnsiTheme="majorHAnsi"/>
          <w:spacing w:val="-1"/>
          <w:sz w:val="28"/>
          <w:szCs w:val="28"/>
        </w:rPr>
        <w:t xml:space="preserve"> </w:t>
      </w:r>
      <w:r w:rsidRPr="00D77A37">
        <w:rPr>
          <w:rFonts w:asciiTheme="majorHAnsi" w:hAnsiTheme="majorHAnsi"/>
          <w:spacing w:val="1"/>
          <w:w w:val="99"/>
          <w:sz w:val="28"/>
          <w:szCs w:val="28"/>
        </w:rPr>
        <w:t>В</w:t>
      </w:r>
      <w:r w:rsidRPr="00D77A37">
        <w:rPr>
          <w:rFonts w:asciiTheme="majorHAnsi" w:hAnsiTheme="majorHAnsi"/>
          <w:w w:val="99"/>
          <w:sz w:val="28"/>
          <w:szCs w:val="28"/>
        </w:rPr>
        <w:t>е</w:t>
      </w:r>
      <w:r w:rsidRPr="00D77A37">
        <w:rPr>
          <w:rFonts w:asciiTheme="majorHAnsi" w:hAnsiTheme="majorHAnsi"/>
          <w:spacing w:val="1"/>
          <w:w w:val="99"/>
          <w:sz w:val="28"/>
          <w:szCs w:val="28"/>
        </w:rPr>
        <w:t>р</w:t>
      </w:r>
      <w:r w:rsidRPr="00D77A37">
        <w:rPr>
          <w:rFonts w:asciiTheme="majorHAnsi" w:hAnsiTheme="majorHAnsi"/>
          <w:spacing w:val="-2"/>
          <w:w w:val="99"/>
          <w:sz w:val="28"/>
          <w:szCs w:val="28"/>
        </w:rPr>
        <w:t>х</w:t>
      </w:r>
      <w:r w:rsidRPr="00D77A37">
        <w:rPr>
          <w:rFonts w:asciiTheme="majorHAnsi" w:hAnsiTheme="majorHAnsi"/>
          <w:spacing w:val="1"/>
          <w:w w:val="99"/>
          <w:sz w:val="28"/>
          <w:szCs w:val="28"/>
        </w:rPr>
        <w:t>о</w:t>
      </w:r>
      <w:r w:rsidRPr="00D77A37">
        <w:rPr>
          <w:rFonts w:asciiTheme="majorHAnsi" w:hAnsiTheme="majorHAnsi"/>
          <w:spacing w:val="-1"/>
          <w:w w:val="99"/>
          <w:sz w:val="28"/>
          <w:szCs w:val="28"/>
        </w:rPr>
        <w:t>в</w:t>
      </w:r>
      <w:r w:rsidRPr="00D77A37">
        <w:rPr>
          <w:rFonts w:asciiTheme="majorHAnsi" w:hAnsiTheme="majorHAnsi"/>
          <w:spacing w:val="-2"/>
          <w:w w:val="99"/>
          <w:sz w:val="28"/>
          <w:szCs w:val="28"/>
        </w:rPr>
        <w:t>н</w:t>
      </w:r>
      <w:r w:rsidRPr="00D77A37">
        <w:rPr>
          <w:rFonts w:asciiTheme="majorHAnsi" w:hAnsiTheme="majorHAnsi"/>
          <w:spacing w:val="1"/>
          <w:w w:val="99"/>
          <w:sz w:val="28"/>
          <w:szCs w:val="28"/>
        </w:rPr>
        <w:t>о</w:t>
      </w:r>
      <w:r w:rsidRPr="00D77A37">
        <w:rPr>
          <w:rFonts w:asciiTheme="majorHAnsi" w:hAnsiTheme="majorHAnsi"/>
          <w:w w:val="99"/>
          <w:sz w:val="28"/>
          <w:szCs w:val="28"/>
        </w:rPr>
        <w:t>ї</w:t>
      </w:r>
      <w:r w:rsidRPr="00D77A37">
        <w:rPr>
          <w:rFonts w:asciiTheme="majorHAnsi" w:hAnsiTheme="majorHAnsi"/>
          <w:spacing w:val="-1"/>
          <w:sz w:val="28"/>
          <w:szCs w:val="28"/>
        </w:rPr>
        <w:t xml:space="preserve"> </w:t>
      </w:r>
      <w:r w:rsidRPr="00D77A37">
        <w:rPr>
          <w:rFonts w:asciiTheme="majorHAnsi" w:hAnsiTheme="majorHAnsi"/>
          <w:spacing w:val="2"/>
          <w:w w:val="99"/>
          <w:sz w:val="28"/>
          <w:szCs w:val="28"/>
        </w:rPr>
        <w:t>Р</w:t>
      </w:r>
      <w:r w:rsidRPr="00D77A37">
        <w:rPr>
          <w:rFonts w:asciiTheme="majorHAnsi" w:hAnsiTheme="majorHAnsi"/>
          <w:w w:val="99"/>
          <w:sz w:val="28"/>
          <w:szCs w:val="28"/>
        </w:rPr>
        <w:t>ади</w:t>
      </w:r>
      <w:r w:rsidRPr="00D77A37">
        <w:rPr>
          <w:rFonts w:asciiTheme="majorHAnsi" w:hAnsiTheme="majorHAnsi"/>
          <w:spacing w:val="-1"/>
          <w:sz w:val="28"/>
          <w:szCs w:val="28"/>
        </w:rPr>
        <w:t xml:space="preserve"> </w:t>
      </w:r>
      <w:r w:rsidRPr="00D77A37">
        <w:rPr>
          <w:rFonts w:asciiTheme="majorHAnsi" w:hAnsiTheme="majorHAnsi"/>
          <w:w w:val="99"/>
          <w:sz w:val="28"/>
          <w:szCs w:val="28"/>
        </w:rPr>
        <w:t>Укра</w:t>
      </w:r>
      <w:r w:rsidRPr="00D77A37">
        <w:rPr>
          <w:rFonts w:asciiTheme="majorHAnsi" w:hAnsiTheme="majorHAnsi"/>
          <w:spacing w:val="2"/>
          <w:w w:val="99"/>
          <w:sz w:val="28"/>
          <w:szCs w:val="28"/>
        </w:rPr>
        <w:t>ї</w:t>
      </w:r>
      <w:r w:rsidRPr="00D77A37">
        <w:rPr>
          <w:rFonts w:asciiTheme="majorHAnsi" w:hAnsiTheme="majorHAnsi"/>
          <w:spacing w:val="-2"/>
          <w:w w:val="99"/>
          <w:sz w:val="28"/>
          <w:szCs w:val="28"/>
        </w:rPr>
        <w:t>н</w:t>
      </w:r>
      <w:r w:rsidRPr="00D77A37">
        <w:rPr>
          <w:rFonts w:asciiTheme="majorHAnsi" w:hAnsiTheme="majorHAnsi"/>
          <w:w w:val="99"/>
          <w:sz w:val="28"/>
          <w:szCs w:val="28"/>
        </w:rPr>
        <w:t>и</w:t>
      </w:r>
      <w:r w:rsidRPr="00D77A37">
        <w:rPr>
          <w:rFonts w:asciiTheme="majorHAnsi" w:hAnsiTheme="majorHAnsi"/>
          <w:spacing w:val="-1"/>
          <w:sz w:val="28"/>
          <w:szCs w:val="28"/>
        </w:rPr>
        <w:t xml:space="preserve"> </w:t>
      </w:r>
      <w:r w:rsidRPr="00D77A37">
        <w:rPr>
          <w:rFonts w:asciiTheme="majorHAnsi" w:hAnsiTheme="majorHAnsi"/>
          <w:w w:val="99"/>
          <w:sz w:val="28"/>
          <w:szCs w:val="28"/>
        </w:rPr>
        <w:t>(</w:t>
      </w:r>
      <w:r w:rsidRPr="00D77A37">
        <w:rPr>
          <w:rFonts w:asciiTheme="majorHAnsi" w:hAnsiTheme="majorHAnsi"/>
          <w:spacing w:val="1"/>
          <w:w w:val="99"/>
          <w:sz w:val="28"/>
          <w:szCs w:val="28"/>
        </w:rPr>
        <w:t>ВВР</w:t>
      </w:r>
      <w:r w:rsidRPr="00D77A37">
        <w:rPr>
          <w:rFonts w:asciiTheme="majorHAnsi" w:hAnsiTheme="majorHAnsi"/>
          <w:w w:val="99"/>
          <w:sz w:val="28"/>
          <w:szCs w:val="28"/>
        </w:rPr>
        <w:t>),</w:t>
      </w:r>
      <w:r w:rsidRPr="00D77A37">
        <w:rPr>
          <w:rFonts w:asciiTheme="majorHAnsi" w:hAnsiTheme="majorHAnsi"/>
          <w:sz w:val="28"/>
          <w:szCs w:val="28"/>
        </w:rPr>
        <w:t xml:space="preserve"> </w:t>
      </w:r>
      <w:r w:rsidRPr="00D77A37">
        <w:rPr>
          <w:rFonts w:asciiTheme="majorHAnsi" w:hAnsiTheme="majorHAnsi"/>
          <w:spacing w:val="-2"/>
          <w:w w:val="99"/>
          <w:sz w:val="28"/>
          <w:szCs w:val="28"/>
        </w:rPr>
        <w:t>1</w:t>
      </w:r>
      <w:r w:rsidRPr="00D77A37">
        <w:rPr>
          <w:rFonts w:asciiTheme="majorHAnsi" w:hAnsiTheme="majorHAnsi"/>
          <w:spacing w:val="1"/>
          <w:w w:val="99"/>
          <w:sz w:val="28"/>
          <w:szCs w:val="28"/>
        </w:rPr>
        <w:t>9</w:t>
      </w:r>
      <w:r w:rsidRPr="00D77A37">
        <w:rPr>
          <w:rFonts w:asciiTheme="majorHAnsi" w:hAnsiTheme="majorHAnsi"/>
          <w:spacing w:val="-2"/>
          <w:w w:val="99"/>
          <w:sz w:val="28"/>
          <w:szCs w:val="28"/>
        </w:rPr>
        <w:t>9</w:t>
      </w:r>
      <w:r w:rsidRPr="00D77A37">
        <w:rPr>
          <w:rFonts w:asciiTheme="majorHAnsi" w:hAnsiTheme="majorHAnsi"/>
          <w:spacing w:val="1"/>
          <w:w w:val="99"/>
          <w:sz w:val="28"/>
          <w:szCs w:val="28"/>
        </w:rPr>
        <w:t>2</w:t>
      </w:r>
      <w:r w:rsidRPr="00D77A37">
        <w:rPr>
          <w:rFonts w:asciiTheme="majorHAnsi" w:hAnsiTheme="majorHAnsi"/>
          <w:w w:val="99"/>
          <w:sz w:val="28"/>
          <w:szCs w:val="28"/>
        </w:rPr>
        <w:t>,</w:t>
      </w:r>
      <w:r w:rsidRPr="00D77A37">
        <w:rPr>
          <w:rFonts w:asciiTheme="majorHAnsi" w:hAnsiTheme="majorHAnsi"/>
          <w:sz w:val="28"/>
          <w:szCs w:val="28"/>
        </w:rPr>
        <w:t xml:space="preserve"> </w:t>
      </w:r>
      <w:r w:rsidRPr="00D77A37">
        <w:rPr>
          <w:rFonts w:asciiTheme="majorHAnsi" w:hAnsiTheme="majorHAnsi"/>
          <w:w w:val="99"/>
          <w:sz w:val="28"/>
          <w:szCs w:val="28"/>
        </w:rPr>
        <w:t>№</w:t>
      </w:r>
      <w:r w:rsidRPr="00D77A37">
        <w:rPr>
          <w:rFonts w:asciiTheme="majorHAnsi" w:hAnsiTheme="majorHAnsi"/>
          <w:spacing w:val="-1"/>
          <w:sz w:val="28"/>
          <w:szCs w:val="28"/>
        </w:rPr>
        <w:t xml:space="preserve"> </w:t>
      </w:r>
      <w:r w:rsidRPr="00D77A37">
        <w:rPr>
          <w:rFonts w:asciiTheme="majorHAnsi" w:hAnsiTheme="majorHAnsi"/>
          <w:spacing w:val="1"/>
          <w:w w:val="99"/>
          <w:sz w:val="28"/>
          <w:szCs w:val="28"/>
        </w:rPr>
        <w:t>49</w:t>
      </w:r>
      <w:r w:rsidRPr="00D77A37">
        <w:rPr>
          <w:rFonts w:asciiTheme="majorHAnsi" w:hAnsiTheme="majorHAnsi"/>
          <w:w w:val="99"/>
          <w:sz w:val="28"/>
          <w:szCs w:val="28"/>
        </w:rPr>
        <w:t>,</w:t>
      </w:r>
      <w:r w:rsidRPr="00D77A37">
        <w:rPr>
          <w:rFonts w:asciiTheme="majorHAnsi" w:hAnsiTheme="majorHAnsi"/>
          <w:sz w:val="28"/>
          <w:szCs w:val="28"/>
        </w:rPr>
        <w:t xml:space="preserve"> </w:t>
      </w:r>
      <w:r w:rsidRPr="00D77A37">
        <w:rPr>
          <w:rFonts w:asciiTheme="majorHAnsi" w:hAnsiTheme="majorHAnsi"/>
          <w:w w:val="99"/>
          <w:sz w:val="28"/>
          <w:szCs w:val="28"/>
        </w:rPr>
        <w:t>ст.</w:t>
      </w:r>
      <w:r w:rsidRPr="00D77A37">
        <w:rPr>
          <w:rFonts w:asciiTheme="majorHAnsi" w:hAnsiTheme="majorHAnsi"/>
          <w:spacing w:val="1"/>
          <w:w w:val="99"/>
          <w:sz w:val="28"/>
          <w:szCs w:val="28"/>
        </w:rPr>
        <w:t>6</w:t>
      </w:r>
      <w:r w:rsidRPr="00D77A37">
        <w:rPr>
          <w:rFonts w:asciiTheme="majorHAnsi" w:hAnsiTheme="majorHAnsi"/>
          <w:spacing w:val="-2"/>
          <w:w w:val="99"/>
          <w:sz w:val="28"/>
          <w:szCs w:val="28"/>
        </w:rPr>
        <w:t>6</w:t>
      </w:r>
      <w:r w:rsidRPr="00D77A37">
        <w:rPr>
          <w:rFonts w:asciiTheme="majorHAnsi" w:hAnsiTheme="majorHAnsi"/>
          <w:spacing w:val="1"/>
          <w:w w:val="99"/>
          <w:sz w:val="28"/>
          <w:szCs w:val="28"/>
        </w:rPr>
        <w:t>8</w:t>
      </w:r>
      <w:r w:rsidRPr="00D77A37">
        <w:rPr>
          <w:rFonts w:asciiTheme="majorHAnsi" w:hAnsiTheme="majorHAnsi"/>
          <w:w w:val="99"/>
          <w:sz w:val="28"/>
          <w:szCs w:val="28"/>
        </w:rPr>
        <w:t>.</w:t>
      </w:r>
      <w:r w:rsidRPr="00D77A37">
        <w:rPr>
          <w:rFonts w:asciiTheme="majorHAnsi" w:hAnsiTheme="majorHAnsi"/>
          <w:spacing w:val="1"/>
          <w:sz w:val="28"/>
          <w:szCs w:val="28"/>
        </w:rPr>
        <w:t xml:space="preserve"> </w:t>
      </w:r>
      <w:bookmarkStart w:id="335" w:name="_Hlk103769652"/>
      <w:r w:rsidRPr="00D77A37">
        <w:rPr>
          <w:rFonts w:asciiTheme="majorHAnsi" w:hAnsiTheme="majorHAnsi"/>
          <w:w w:val="99"/>
          <w:sz w:val="28"/>
          <w:szCs w:val="28"/>
        </w:rPr>
        <w:t>Із</w:t>
      </w:r>
      <w:r w:rsidRPr="00D77A37">
        <w:rPr>
          <w:rFonts w:asciiTheme="majorHAnsi" w:hAnsiTheme="majorHAnsi"/>
          <w:sz w:val="28"/>
          <w:szCs w:val="28"/>
        </w:rPr>
        <w:t xml:space="preserve"> </w:t>
      </w:r>
      <w:r w:rsidRPr="00D77A37">
        <w:rPr>
          <w:rFonts w:asciiTheme="majorHAnsi" w:hAnsiTheme="majorHAnsi"/>
          <w:w w:val="99"/>
          <w:sz w:val="28"/>
          <w:szCs w:val="28"/>
        </w:rPr>
        <w:t>з</w:t>
      </w:r>
      <w:r w:rsidRPr="00D77A37">
        <w:rPr>
          <w:rFonts w:asciiTheme="majorHAnsi" w:hAnsiTheme="majorHAnsi"/>
          <w:spacing w:val="2"/>
          <w:w w:val="99"/>
          <w:sz w:val="28"/>
          <w:szCs w:val="28"/>
        </w:rPr>
        <w:t>м</w:t>
      </w:r>
      <w:r w:rsidRPr="00D77A37">
        <w:rPr>
          <w:rFonts w:asciiTheme="majorHAnsi" w:hAnsiTheme="majorHAnsi"/>
          <w:spacing w:val="-1"/>
          <w:w w:val="99"/>
          <w:sz w:val="28"/>
          <w:szCs w:val="28"/>
        </w:rPr>
        <w:t>і</w:t>
      </w:r>
      <w:r w:rsidRPr="00D77A37">
        <w:rPr>
          <w:rFonts w:asciiTheme="majorHAnsi" w:hAnsiTheme="majorHAnsi"/>
          <w:spacing w:val="-2"/>
          <w:w w:val="99"/>
          <w:sz w:val="28"/>
          <w:szCs w:val="28"/>
        </w:rPr>
        <w:t>н</w:t>
      </w:r>
      <w:r w:rsidRPr="00D77A37">
        <w:rPr>
          <w:rFonts w:asciiTheme="majorHAnsi" w:hAnsiTheme="majorHAnsi"/>
          <w:w w:val="99"/>
          <w:sz w:val="28"/>
          <w:szCs w:val="28"/>
        </w:rPr>
        <w:t>а</w:t>
      </w:r>
      <w:r w:rsidRPr="00D77A37">
        <w:rPr>
          <w:rFonts w:asciiTheme="majorHAnsi" w:hAnsiTheme="majorHAnsi"/>
          <w:spacing w:val="1"/>
          <w:w w:val="99"/>
          <w:sz w:val="28"/>
          <w:szCs w:val="28"/>
        </w:rPr>
        <w:t>м</w:t>
      </w:r>
      <w:r w:rsidRPr="00D77A37">
        <w:rPr>
          <w:rFonts w:asciiTheme="majorHAnsi" w:hAnsiTheme="majorHAnsi"/>
          <w:spacing w:val="-2"/>
          <w:w w:val="99"/>
          <w:sz w:val="28"/>
          <w:szCs w:val="28"/>
        </w:rPr>
        <w:t>и</w:t>
      </w:r>
      <w:r w:rsidRPr="00D77A37">
        <w:rPr>
          <w:rFonts w:asciiTheme="majorHAnsi" w:hAnsiTheme="majorHAnsi"/>
          <w:w w:val="99"/>
          <w:sz w:val="28"/>
          <w:szCs w:val="28"/>
        </w:rPr>
        <w:t xml:space="preserve">. </w:t>
      </w:r>
      <w:r w:rsidRPr="00D77A37">
        <w:rPr>
          <w:rFonts w:asciiTheme="majorHAnsi" w:hAnsiTheme="majorHAnsi"/>
          <w:sz w:val="28"/>
          <w:szCs w:val="28"/>
        </w:rPr>
        <w:t>Редакція</w:t>
      </w:r>
      <w:r w:rsidRPr="00D77A37">
        <w:rPr>
          <w:rFonts w:asciiTheme="majorHAnsi" w:hAnsiTheme="majorHAnsi"/>
          <w:spacing w:val="-2"/>
          <w:sz w:val="28"/>
          <w:szCs w:val="28"/>
        </w:rPr>
        <w:t xml:space="preserve"> </w:t>
      </w:r>
      <w:r w:rsidRPr="00D77A37">
        <w:rPr>
          <w:rFonts w:asciiTheme="majorHAnsi" w:hAnsiTheme="majorHAnsi"/>
          <w:sz w:val="28"/>
          <w:szCs w:val="28"/>
        </w:rPr>
        <w:t>від</w:t>
      </w:r>
      <w:r w:rsidRPr="00D77A37">
        <w:rPr>
          <w:rFonts w:asciiTheme="majorHAnsi" w:hAnsiTheme="majorHAnsi"/>
          <w:spacing w:val="-1"/>
          <w:sz w:val="28"/>
          <w:szCs w:val="28"/>
        </w:rPr>
        <w:t xml:space="preserve"> 14.</w:t>
      </w:r>
      <w:r w:rsidRPr="00D77A37">
        <w:rPr>
          <w:rFonts w:asciiTheme="majorHAnsi" w:hAnsiTheme="majorHAnsi"/>
          <w:sz w:val="28"/>
          <w:szCs w:val="28"/>
        </w:rPr>
        <w:t>08.2021 р.</w:t>
      </w:r>
    </w:p>
    <w:bookmarkEnd w:id="335"/>
    <w:p w14:paraId="4BDB03D8"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Закон</w:t>
      </w:r>
      <w:r w:rsidRPr="00D77A37">
        <w:rPr>
          <w:rFonts w:asciiTheme="majorHAnsi" w:hAnsiTheme="majorHAnsi"/>
          <w:spacing w:val="-1"/>
          <w:sz w:val="28"/>
          <w:szCs w:val="28"/>
        </w:rPr>
        <w:t xml:space="preserve"> </w:t>
      </w:r>
      <w:r w:rsidRPr="00D77A37">
        <w:rPr>
          <w:rFonts w:asciiTheme="majorHAnsi" w:hAnsiTheme="majorHAnsi"/>
          <w:sz w:val="28"/>
          <w:szCs w:val="28"/>
        </w:rPr>
        <w:t>України</w:t>
      </w:r>
      <w:r w:rsidRPr="00D77A37">
        <w:rPr>
          <w:rFonts w:asciiTheme="majorHAnsi" w:hAnsiTheme="majorHAnsi"/>
          <w:spacing w:val="1"/>
          <w:sz w:val="28"/>
          <w:szCs w:val="28"/>
        </w:rPr>
        <w:t xml:space="preserve"> "</w:t>
      </w:r>
      <w:r w:rsidRPr="00D77A37">
        <w:rPr>
          <w:rFonts w:asciiTheme="majorHAnsi" w:hAnsiTheme="majorHAnsi"/>
          <w:sz w:val="28"/>
          <w:szCs w:val="28"/>
        </w:rPr>
        <w:t>Про</w:t>
      </w:r>
      <w:r w:rsidRPr="00D77A37">
        <w:rPr>
          <w:rFonts w:asciiTheme="majorHAnsi" w:hAnsiTheme="majorHAnsi"/>
          <w:spacing w:val="1"/>
          <w:sz w:val="28"/>
          <w:szCs w:val="28"/>
        </w:rPr>
        <w:t xml:space="preserve"> </w:t>
      </w:r>
      <w:r w:rsidRPr="00D77A37">
        <w:rPr>
          <w:rFonts w:asciiTheme="majorHAnsi" w:hAnsiTheme="majorHAnsi"/>
          <w:sz w:val="28"/>
          <w:szCs w:val="28"/>
        </w:rPr>
        <w:t>стандартизацію"</w:t>
      </w:r>
      <w:r w:rsidRPr="00D77A37">
        <w:rPr>
          <w:rFonts w:asciiTheme="majorHAnsi" w:hAnsiTheme="majorHAnsi"/>
          <w:spacing w:val="-2"/>
          <w:sz w:val="28"/>
          <w:szCs w:val="28"/>
        </w:rPr>
        <w:t xml:space="preserve"> </w:t>
      </w:r>
      <w:r w:rsidRPr="00D77A37">
        <w:rPr>
          <w:rFonts w:asciiTheme="majorHAnsi" w:hAnsiTheme="majorHAnsi"/>
          <w:sz w:val="28"/>
          <w:szCs w:val="28"/>
        </w:rPr>
        <w:t xml:space="preserve">/ </w:t>
      </w:r>
      <w:bookmarkStart w:id="336" w:name="_Hlk105829383"/>
      <w:r w:rsidRPr="00D77A37">
        <w:rPr>
          <w:rFonts w:asciiTheme="majorHAnsi" w:hAnsiTheme="majorHAnsi"/>
          <w:sz w:val="28"/>
          <w:szCs w:val="28"/>
        </w:rPr>
        <w:t>Відомості Верховної Ради (ВВР), 2014, № 31,</w:t>
      </w:r>
      <w:r w:rsidRPr="00D77A37">
        <w:rPr>
          <w:rFonts w:asciiTheme="majorHAnsi" w:hAnsiTheme="majorHAnsi"/>
          <w:spacing w:val="-1"/>
          <w:sz w:val="28"/>
          <w:szCs w:val="28"/>
        </w:rPr>
        <w:t xml:space="preserve"> </w:t>
      </w:r>
      <w:r w:rsidRPr="00D77A37">
        <w:rPr>
          <w:rFonts w:asciiTheme="majorHAnsi" w:hAnsiTheme="majorHAnsi"/>
          <w:sz w:val="28"/>
          <w:szCs w:val="28"/>
        </w:rPr>
        <w:t>ст.1058.</w:t>
      </w:r>
      <w:r w:rsidRPr="00D77A37">
        <w:rPr>
          <w:rFonts w:asciiTheme="majorHAnsi" w:hAnsiTheme="majorHAnsi"/>
          <w:spacing w:val="11"/>
          <w:sz w:val="28"/>
          <w:szCs w:val="28"/>
        </w:rPr>
        <w:t xml:space="preserve"> </w:t>
      </w:r>
      <w:r w:rsidRPr="00D77A37">
        <w:rPr>
          <w:rFonts w:asciiTheme="majorHAnsi" w:hAnsiTheme="majorHAnsi"/>
          <w:w w:val="99"/>
          <w:sz w:val="28"/>
          <w:szCs w:val="28"/>
        </w:rPr>
        <w:t>Із</w:t>
      </w:r>
      <w:r w:rsidRPr="00D77A37">
        <w:rPr>
          <w:rFonts w:asciiTheme="majorHAnsi" w:hAnsiTheme="majorHAnsi"/>
          <w:sz w:val="28"/>
          <w:szCs w:val="28"/>
        </w:rPr>
        <w:t xml:space="preserve"> </w:t>
      </w:r>
      <w:r w:rsidRPr="00D77A37">
        <w:rPr>
          <w:rFonts w:asciiTheme="majorHAnsi" w:hAnsiTheme="majorHAnsi"/>
          <w:w w:val="99"/>
          <w:sz w:val="28"/>
          <w:szCs w:val="28"/>
        </w:rPr>
        <w:t>з</w:t>
      </w:r>
      <w:r w:rsidRPr="00D77A37">
        <w:rPr>
          <w:rFonts w:asciiTheme="majorHAnsi" w:hAnsiTheme="majorHAnsi"/>
          <w:spacing w:val="2"/>
          <w:w w:val="99"/>
          <w:sz w:val="28"/>
          <w:szCs w:val="28"/>
        </w:rPr>
        <w:t>м</w:t>
      </w:r>
      <w:r w:rsidRPr="00D77A37">
        <w:rPr>
          <w:rFonts w:asciiTheme="majorHAnsi" w:hAnsiTheme="majorHAnsi"/>
          <w:spacing w:val="-1"/>
          <w:w w:val="99"/>
          <w:sz w:val="28"/>
          <w:szCs w:val="28"/>
        </w:rPr>
        <w:t>і</w:t>
      </w:r>
      <w:r w:rsidRPr="00D77A37">
        <w:rPr>
          <w:rFonts w:asciiTheme="majorHAnsi" w:hAnsiTheme="majorHAnsi"/>
          <w:spacing w:val="-2"/>
          <w:w w:val="99"/>
          <w:sz w:val="28"/>
          <w:szCs w:val="28"/>
        </w:rPr>
        <w:t>н</w:t>
      </w:r>
      <w:r w:rsidRPr="00D77A37">
        <w:rPr>
          <w:rFonts w:asciiTheme="majorHAnsi" w:hAnsiTheme="majorHAnsi"/>
          <w:w w:val="99"/>
          <w:sz w:val="28"/>
          <w:szCs w:val="28"/>
        </w:rPr>
        <w:t>а</w:t>
      </w:r>
      <w:r w:rsidRPr="00D77A37">
        <w:rPr>
          <w:rFonts w:asciiTheme="majorHAnsi" w:hAnsiTheme="majorHAnsi"/>
          <w:spacing w:val="1"/>
          <w:w w:val="99"/>
          <w:sz w:val="28"/>
          <w:szCs w:val="28"/>
        </w:rPr>
        <w:t>м</w:t>
      </w:r>
      <w:r w:rsidRPr="00D77A37">
        <w:rPr>
          <w:rFonts w:asciiTheme="majorHAnsi" w:hAnsiTheme="majorHAnsi"/>
          <w:spacing w:val="-2"/>
          <w:w w:val="99"/>
          <w:sz w:val="28"/>
          <w:szCs w:val="28"/>
        </w:rPr>
        <w:t>и</w:t>
      </w:r>
      <w:r w:rsidRPr="00D77A37">
        <w:rPr>
          <w:rFonts w:asciiTheme="majorHAnsi" w:hAnsiTheme="majorHAnsi"/>
          <w:w w:val="99"/>
          <w:sz w:val="28"/>
          <w:szCs w:val="28"/>
        </w:rPr>
        <w:t xml:space="preserve">. </w:t>
      </w:r>
      <w:r w:rsidRPr="00D77A37">
        <w:rPr>
          <w:rFonts w:asciiTheme="majorHAnsi" w:hAnsiTheme="majorHAnsi"/>
          <w:sz w:val="28"/>
          <w:szCs w:val="28"/>
        </w:rPr>
        <w:t>Редакція</w:t>
      </w:r>
      <w:r w:rsidRPr="00D77A37">
        <w:rPr>
          <w:rFonts w:asciiTheme="majorHAnsi" w:hAnsiTheme="majorHAnsi"/>
          <w:spacing w:val="-2"/>
          <w:sz w:val="28"/>
          <w:szCs w:val="28"/>
        </w:rPr>
        <w:t xml:space="preserve"> </w:t>
      </w:r>
      <w:r w:rsidRPr="00D77A37">
        <w:rPr>
          <w:rFonts w:asciiTheme="majorHAnsi" w:hAnsiTheme="majorHAnsi"/>
          <w:sz w:val="28"/>
          <w:szCs w:val="28"/>
        </w:rPr>
        <w:t>від</w:t>
      </w:r>
      <w:r w:rsidRPr="00D77A37">
        <w:rPr>
          <w:rFonts w:asciiTheme="majorHAnsi" w:hAnsiTheme="majorHAnsi"/>
          <w:spacing w:val="-1"/>
          <w:sz w:val="28"/>
          <w:szCs w:val="28"/>
        </w:rPr>
        <w:t xml:space="preserve"> 19.</w:t>
      </w:r>
      <w:r w:rsidRPr="00D77A37">
        <w:rPr>
          <w:rFonts w:asciiTheme="majorHAnsi" w:hAnsiTheme="majorHAnsi"/>
          <w:sz w:val="28"/>
          <w:szCs w:val="28"/>
        </w:rPr>
        <w:t>02.2022 р.</w:t>
      </w:r>
    </w:p>
    <w:bookmarkEnd w:id="336"/>
    <w:p w14:paraId="2C2F5DFF" w14:textId="77777777" w:rsidR="0097612F" w:rsidRPr="00D77A37" w:rsidRDefault="0097612F" w:rsidP="00D77A37">
      <w:pPr>
        <w:pStyle w:val="af6"/>
        <w:numPr>
          <w:ilvl w:val="0"/>
          <w:numId w:val="231"/>
        </w:numPr>
        <w:spacing w:after="0"/>
        <w:rPr>
          <w:rFonts w:asciiTheme="majorHAnsi" w:hAnsiTheme="majorHAnsi"/>
          <w:sz w:val="28"/>
          <w:szCs w:val="28"/>
        </w:rPr>
      </w:pPr>
      <w:r w:rsidRPr="00D77A37">
        <w:fldChar w:fldCharType="begin"/>
      </w:r>
      <w:r w:rsidRPr="00D77A37">
        <w:rPr>
          <w:rFonts w:asciiTheme="majorHAnsi" w:hAnsiTheme="majorHAnsi"/>
          <w:sz w:val="28"/>
          <w:szCs w:val="28"/>
        </w:rPr>
        <w:instrText xml:space="preserve"> HYPERLINK "https://zakon.rada.gov.ua/laws/show/2704-19" \t "_blank" </w:instrText>
      </w:r>
      <w:r w:rsidRPr="00D77A37">
        <w:fldChar w:fldCharType="separate"/>
      </w:r>
      <w:r w:rsidRPr="00D77A37">
        <w:rPr>
          <w:rStyle w:val="af1"/>
          <w:rFonts w:asciiTheme="majorHAnsi" w:hAnsiTheme="majorHAnsi"/>
          <w:color w:val="auto"/>
          <w:sz w:val="28"/>
          <w:szCs w:val="28"/>
          <w:shd w:val="clear" w:color="auto" w:fill="FFFFFF"/>
        </w:rPr>
        <w:t>Закону України</w:t>
      </w:r>
      <w:r w:rsidRPr="00D77A37">
        <w:rPr>
          <w:rStyle w:val="af1"/>
          <w:rFonts w:asciiTheme="majorHAnsi" w:hAnsiTheme="majorHAnsi"/>
          <w:color w:val="auto"/>
          <w:sz w:val="28"/>
          <w:szCs w:val="28"/>
          <w:shd w:val="clear" w:color="auto" w:fill="FFFFFF"/>
        </w:rPr>
        <w:fldChar w:fldCharType="end"/>
      </w:r>
      <w:r w:rsidRPr="00D77A37">
        <w:rPr>
          <w:rStyle w:val="af1"/>
          <w:rFonts w:asciiTheme="majorHAnsi" w:hAnsiTheme="majorHAnsi"/>
          <w:color w:val="auto"/>
          <w:sz w:val="28"/>
          <w:szCs w:val="28"/>
          <w:shd w:val="clear" w:color="auto" w:fill="FFFFFF"/>
        </w:rPr>
        <w:t xml:space="preserve"> </w:t>
      </w:r>
      <w:r w:rsidRPr="00D77A37">
        <w:rPr>
          <w:rFonts w:asciiTheme="majorHAnsi" w:hAnsiTheme="majorHAnsi"/>
          <w:sz w:val="28"/>
          <w:szCs w:val="28"/>
          <w:shd w:val="clear" w:color="auto" w:fill="FFFFFF"/>
        </w:rPr>
        <w:t>"Про забезпечення функціонування української мови як державної</w:t>
      </w:r>
      <w:bookmarkStart w:id="337" w:name="_Hlk105930281"/>
      <w:r w:rsidRPr="00D77A37">
        <w:rPr>
          <w:rFonts w:asciiTheme="majorHAnsi" w:hAnsiTheme="majorHAnsi"/>
          <w:sz w:val="28"/>
          <w:szCs w:val="28"/>
          <w:shd w:val="clear" w:color="auto" w:fill="FFFFFF"/>
        </w:rPr>
        <w:t xml:space="preserve">" / </w:t>
      </w:r>
      <w:r w:rsidRPr="00D77A37">
        <w:rPr>
          <w:rFonts w:asciiTheme="majorHAnsi" w:hAnsiTheme="majorHAnsi"/>
          <w:sz w:val="28"/>
          <w:szCs w:val="28"/>
        </w:rPr>
        <w:t>Відомості Верховної Ради (ВВР), 2019, № 21,</w:t>
      </w:r>
      <w:r w:rsidRPr="00D77A37">
        <w:rPr>
          <w:rFonts w:asciiTheme="majorHAnsi" w:hAnsiTheme="majorHAnsi"/>
          <w:spacing w:val="-1"/>
          <w:sz w:val="28"/>
          <w:szCs w:val="28"/>
        </w:rPr>
        <w:t xml:space="preserve"> </w:t>
      </w:r>
      <w:r w:rsidRPr="00D77A37">
        <w:rPr>
          <w:rFonts w:asciiTheme="majorHAnsi" w:hAnsiTheme="majorHAnsi"/>
          <w:sz w:val="28"/>
          <w:szCs w:val="28"/>
        </w:rPr>
        <w:t>ст. 81.</w:t>
      </w:r>
      <w:r w:rsidRPr="00D77A37">
        <w:rPr>
          <w:rFonts w:asciiTheme="majorHAnsi" w:hAnsiTheme="majorHAnsi"/>
          <w:spacing w:val="11"/>
          <w:sz w:val="28"/>
          <w:szCs w:val="28"/>
        </w:rPr>
        <w:t xml:space="preserve"> </w:t>
      </w:r>
      <w:r w:rsidRPr="00D77A37">
        <w:rPr>
          <w:rFonts w:asciiTheme="majorHAnsi" w:hAnsiTheme="majorHAnsi"/>
          <w:w w:val="99"/>
          <w:sz w:val="28"/>
          <w:szCs w:val="28"/>
        </w:rPr>
        <w:t>Із</w:t>
      </w:r>
      <w:r w:rsidRPr="00D77A37">
        <w:rPr>
          <w:rFonts w:asciiTheme="majorHAnsi" w:hAnsiTheme="majorHAnsi"/>
          <w:sz w:val="28"/>
          <w:szCs w:val="28"/>
        </w:rPr>
        <w:t xml:space="preserve"> </w:t>
      </w:r>
      <w:r w:rsidRPr="00D77A37">
        <w:rPr>
          <w:rFonts w:asciiTheme="majorHAnsi" w:hAnsiTheme="majorHAnsi"/>
          <w:w w:val="99"/>
          <w:sz w:val="28"/>
          <w:szCs w:val="28"/>
        </w:rPr>
        <w:t>з</w:t>
      </w:r>
      <w:r w:rsidRPr="00D77A37">
        <w:rPr>
          <w:rFonts w:asciiTheme="majorHAnsi" w:hAnsiTheme="majorHAnsi"/>
          <w:spacing w:val="2"/>
          <w:w w:val="99"/>
          <w:sz w:val="28"/>
          <w:szCs w:val="28"/>
        </w:rPr>
        <w:t>м</w:t>
      </w:r>
      <w:r w:rsidRPr="00D77A37">
        <w:rPr>
          <w:rFonts w:asciiTheme="majorHAnsi" w:hAnsiTheme="majorHAnsi"/>
          <w:spacing w:val="-1"/>
          <w:w w:val="99"/>
          <w:sz w:val="28"/>
          <w:szCs w:val="28"/>
        </w:rPr>
        <w:t>і</w:t>
      </w:r>
      <w:r w:rsidRPr="00D77A37">
        <w:rPr>
          <w:rFonts w:asciiTheme="majorHAnsi" w:hAnsiTheme="majorHAnsi"/>
          <w:spacing w:val="-2"/>
          <w:w w:val="99"/>
          <w:sz w:val="28"/>
          <w:szCs w:val="28"/>
        </w:rPr>
        <w:t>н</w:t>
      </w:r>
      <w:r w:rsidRPr="00D77A37">
        <w:rPr>
          <w:rFonts w:asciiTheme="majorHAnsi" w:hAnsiTheme="majorHAnsi"/>
          <w:w w:val="99"/>
          <w:sz w:val="28"/>
          <w:szCs w:val="28"/>
        </w:rPr>
        <w:t>а</w:t>
      </w:r>
      <w:r w:rsidRPr="00D77A37">
        <w:rPr>
          <w:rFonts w:asciiTheme="majorHAnsi" w:hAnsiTheme="majorHAnsi"/>
          <w:spacing w:val="1"/>
          <w:w w:val="99"/>
          <w:sz w:val="28"/>
          <w:szCs w:val="28"/>
        </w:rPr>
        <w:t>м</w:t>
      </w:r>
      <w:r w:rsidRPr="00D77A37">
        <w:rPr>
          <w:rFonts w:asciiTheme="majorHAnsi" w:hAnsiTheme="majorHAnsi"/>
          <w:spacing w:val="-2"/>
          <w:w w:val="99"/>
          <w:sz w:val="28"/>
          <w:szCs w:val="28"/>
        </w:rPr>
        <w:t>и</w:t>
      </w:r>
      <w:r w:rsidRPr="00D77A37">
        <w:rPr>
          <w:rFonts w:asciiTheme="majorHAnsi" w:hAnsiTheme="majorHAnsi"/>
          <w:w w:val="99"/>
          <w:sz w:val="28"/>
          <w:szCs w:val="28"/>
        </w:rPr>
        <w:t xml:space="preserve">. </w:t>
      </w:r>
      <w:r w:rsidRPr="00D77A37">
        <w:rPr>
          <w:rFonts w:asciiTheme="majorHAnsi" w:hAnsiTheme="majorHAnsi"/>
          <w:sz w:val="28"/>
          <w:szCs w:val="28"/>
        </w:rPr>
        <w:t>Редакція</w:t>
      </w:r>
      <w:r w:rsidRPr="00D77A37">
        <w:rPr>
          <w:rFonts w:asciiTheme="majorHAnsi" w:hAnsiTheme="majorHAnsi"/>
          <w:spacing w:val="-2"/>
          <w:sz w:val="28"/>
          <w:szCs w:val="28"/>
        </w:rPr>
        <w:t xml:space="preserve"> </w:t>
      </w:r>
      <w:r w:rsidRPr="00D77A37">
        <w:rPr>
          <w:rFonts w:asciiTheme="majorHAnsi" w:hAnsiTheme="majorHAnsi"/>
          <w:sz w:val="28"/>
          <w:szCs w:val="28"/>
        </w:rPr>
        <w:t>від</w:t>
      </w:r>
      <w:r w:rsidRPr="00D77A37">
        <w:rPr>
          <w:rFonts w:asciiTheme="majorHAnsi" w:hAnsiTheme="majorHAnsi"/>
          <w:spacing w:val="-1"/>
          <w:sz w:val="28"/>
          <w:szCs w:val="28"/>
        </w:rPr>
        <w:t xml:space="preserve"> 07.05</w:t>
      </w:r>
      <w:r w:rsidRPr="00D77A37">
        <w:rPr>
          <w:rFonts w:asciiTheme="majorHAnsi" w:hAnsiTheme="majorHAnsi"/>
          <w:sz w:val="28"/>
          <w:szCs w:val="28"/>
        </w:rPr>
        <w:t>.2022 р.</w:t>
      </w:r>
    </w:p>
    <w:bookmarkEnd w:id="337"/>
    <w:p w14:paraId="3035C206"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shd w:val="clear" w:color="auto" w:fill="FFFFFF"/>
        </w:rPr>
        <w:t xml:space="preserve">Закон України "Про охорону прав на промислові зразки" / </w:t>
      </w:r>
      <w:bookmarkStart w:id="338" w:name="_Hlk105830241"/>
      <w:r w:rsidRPr="00D77A37">
        <w:rPr>
          <w:rFonts w:asciiTheme="majorHAnsi" w:hAnsiTheme="majorHAnsi"/>
          <w:sz w:val="28"/>
          <w:szCs w:val="28"/>
        </w:rPr>
        <w:t>Відомості Верховної Ради (ВВР), 1994, № 7,</w:t>
      </w:r>
      <w:r w:rsidRPr="00D77A37">
        <w:rPr>
          <w:rFonts w:asciiTheme="majorHAnsi" w:hAnsiTheme="majorHAnsi"/>
          <w:spacing w:val="-1"/>
          <w:sz w:val="28"/>
          <w:szCs w:val="28"/>
        </w:rPr>
        <w:t xml:space="preserve"> </w:t>
      </w:r>
      <w:r w:rsidRPr="00D77A37">
        <w:rPr>
          <w:rFonts w:asciiTheme="majorHAnsi" w:hAnsiTheme="majorHAnsi"/>
          <w:sz w:val="28"/>
          <w:szCs w:val="28"/>
        </w:rPr>
        <w:t>ст. 34.</w:t>
      </w:r>
      <w:r w:rsidRPr="00D77A37">
        <w:rPr>
          <w:rFonts w:asciiTheme="majorHAnsi" w:hAnsiTheme="majorHAnsi"/>
          <w:spacing w:val="11"/>
          <w:sz w:val="28"/>
          <w:szCs w:val="28"/>
        </w:rPr>
        <w:t xml:space="preserve"> </w:t>
      </w:r>
      <w:r w:rsidRPr="00D77A37">
        <w:rPr>
          <w:rFonts w:asciiTheme="majorHAnsi" w:hAnsiTheme="majorHAnsi"/>
          <w:w w:val="99"/>
          <w:sz w:val="28"/>
          <w:szCs w:val="28"/>
        </w:rPr>
        <w:t>Із</w:t>
      </w:r>
      <w:r w:rsidRPr="00D77A37">
        <w:rPr>
          <w:rFonts w:asciiTheme="majorHAnsi" w:hAnsiTheme="majorHAnsi"/>
          <w:sz w:val="28"/>
          <w:szCs w:val="28"/>
        </w:rPr>
        <w:t xml:space="preserve"> </w:t>
      </w:r>
      <w:r w:rsidRPr="00D77A37">
        <w:rPr>
          <w:rFonts w:asciiTheme="majorHAnsi" w:hAnsiTheme="majorHAnsi"/>
          <w:w w:val="99"/>
          <w:sz w:val="28"/>
          <w:szCs w:val="28"/>
        </w:rPr>
        <w:t>з</w:t>
      </w:r>
      <w:r w:rsidRPr="00D77A37">
        <w:rPr>
          <w:rFonts w:asciiTheme="majorHAnsi" w:hAnsiTheme="majorHAnsi"/>
          <w:spacing w:val="2"/>
          <w:w w:val="99"/>
          <w:sz w:val="28"/>
          <w:szCs w:val="28"/>
        </w:rPr>
        <w:t>м</w:t>
      </w:r>
      <w:r w:rsidRPr="00D77A37">
        <w:rPr>
          <w:rFonts w:asciiTheme="majorHAnsi" w:hAnsiTheme="majorHAnsi"/>
          <w:spacing w:val="-1"/>
          <w:w w:val="99"/>
          <w:sz w:val="28"/>
          <w:szCs w:val="28"/>
        </w:rPr>
        <w:t>і</w:t>
      </w:r>
      <w:r w:rsidRPr="00D77A37">
        <w:rPr>
          <w:rFonts w:asciiTheme="majorHAnsi" w:hAnsiTheme="majorHAnsi"/>
          <w:spacing w:val="-2"/>
          <w:w w:val="99"/>
          <w:sz w:val="28"/>
          <w:szCs w:val="28"/>
        </w:rPr>
        <w:t>н</w:t>
      </w:r>
      <w:r w:rsidRPr="00D77A37">
        <w:rPr>
          <w:rFonts w:asciiTheme="majorHAnsi" w:hAnsiTheme="majorHAnsi"/>
          <w:w w:val="99"/>
          <w:sz w:val="28"/>
          <w:szCs w:val="28"/>
        </w:rPr>
        <w:t>а</w:t>
      </w:r>
      <w:r w:rsidRPr="00D77A37">
        <w:rPr>
          <w:rFonts w:asciiTheme="majorHAnsi" w:hAnsiTheme="majorHAnsi"/>
          <w:spacing w:val="1"/>
          <w:w w:val="99"/>
          <w:sz w:val="28"/>
          <w:szCs w:val="28"/>
        </w:rPr>
        <w:t>м</w:t>
      </w:r>
      <w:r w:rsidRPr="00D77A37">
        <w:rPr>
          <w:rFonts w:asciiTheme="majorHAnsi" w:hAnsiTheme="majorHAnsi"/>
          <w:spacing w:val="-2"/>
          <w:w w:val="99"/>
          <w:sz w:val="28"/>
          <w:szCs w:val="28"/>
        </w:rPr>
        <w:t>и</w:t>
      </w:r>
      <w:r w:rsidRPr="00D77A37">
        <w:rPr>
          <w:rFonts w:asciiTheme="majorHAnsi" w:hAnsiTheme="majorHAnsi"/>
          <w:w w:val="99"/>
          <w:sz w:val="28"/>
          <w:szCs w:val="28"/>
        </w:rPr>
        <w:t xml:space="preserve">. </w:t>
      </w:r>
      <w:r w:rsidRPr="00D77A37">
        <w:rPr>
          <w:rFonts w:asciiTheme="majorHAnsi" w:hAnsiTheme="majorHAnsi"/>
          <w:sz w:val="28"/>
          <w:szCs w:val="28"/>
        </w:rPr>
        <w:t>Редакція</w:t>
      </w:r>
      <w:r w:rsidRPr="00D77A37">
        <w:rPr>
          <w:rFonts w:asciiTheme="majorHAnsi" w:hAnsiTheme="majorHAnsi"/>
          <w:spacing w:val="-2"/>
          <w:sz w:val="28"/>
          <w:szCs w:val="28"/>
        </w:rPr>
        <w:t xml:space="preserve"> </w:t>
      </w:r>
      <w:r w:rsidRPr="00D77A37">
        <w:rPr>
          <w:rFonts w:asciiTheme="majorHAnsi" w:hAnsiTheme="majorHAnsi"/>
          <w:sz w:val="28"/>
          <w:szCs w:val="28"/>
        </w:rPr>
        <w:t>від</w:t>
      </w:r>
      <w:r w:rsidRPr="00D77A37">
        <w:rPr>
          <w:rFonts w:asciiTheme="majorHAnsi" w:hAnsiTheme="majorHAnsi"/>
          <w:spacing w:val="-1"/>
          <w:sz w:val="28"/>
          <w:szCs w:val="28"/>
        </w:rPr>
        <w:t xml:space="preserve"> 14.10</w:t>
      </w:r>
      <w:r w:rsidRPr="00D77A37">
        <w:rPr>
          <w:rFonts w:asciiTheme="majorHAnsi" w:hAnsiTheme="majorHAnsi"/>
          <w:sz w:val="28"/>
          <w:szCs w:val="28"/>
        </w:rPr>
        <w:t>.2020 р.</w:t>
      </w:r>
    </w:p>
    <w:p w14:paraId="19613779" w14:textId="77777777" w:rsidR="0097612F" w:rsidRPr="00D77A37" w:rsidRDefault="0097612F" w:rsidP="00D77A37">
      <w:pPr>
        <w:pStyle w:val="af6"/>
        <w:numPr>
          <w:ilvl w:val="0"/>
          <w:numId w:val="231"/>
        </w:numPr>
        <w:spacing w:after="0"/>
        <w:rPr>
          <w:rFonts w:asciiTheme="majorHAnsi" w:hAnsiTheme="majorHAnsi"/>
          <w:sz w:val="28"/>
          <w:szCs w:val="28"/>
        </w:rPr>
      </w:pPr>
      <w:bookmarkStart w:id="339" w:name="_Hlk105930784"/>
      <w:r w:rsidRPr="00D77A37">
        <w:rPr>
          <w:rFonts w:asciiTheme="majorHAnsi" w:hAnsiTheme="majorHAnsi"/>
          <w:sz w:val="28"/>
          <w:szCs w:val="28"/>
        </w:rPr>
        <w:t>Закон України "Про забезпечення санітарного</w:t>
      </w:r>
      <w:r w:rsidRPr="00D77A37">
        <w:rPr>
          <w:rFonts w:asciiTheme="majorHAnsi" w:hAnsiTheme="majorHAnsi"/>
          <w:spacing w:val="1"/>
          <w:sz w:val="28"/>
          <w:szCs w:val="28"/>
        </w:rPr>
        <w:t xml:space="preserve"> </w:t>
      </w:r>
      <w:r w:rsidRPr="00D77A37">
        <w:rPr>
          <w:rFonts w:asciiTheme="majorHAnsi" w:hAnsiTheme="majorHAnsi"/>
          <w:sz w:val="28"/>
          <w:szCs w:val="28"/>
        </w:rPr>
        <w:t>та</w:t>
      </w:r>
      <w:r w:rsidRPr="00D77A37">
        <w:rPr>
          <w:rFonts w:asciiTheme="majorHAnsi" w:hAnsiTheme="majorHAnsi"/>
          <w:spacing w:val="1"/>
          <w:sz w:val="28"/>
          <w:szCs w:val="28"/>
        </w:rPr>
        <w:t xml:space="preserve"> </w:t>
      </w:r>
      <w:r w:rsidRPr="00D77A37">
        <w:rPr>
          <w:rFonts w:asciiTheme="majorHAnsi" w:hAnsiTheme="majorHAnsi"/>
          <w:sz w:val="28"/>
          <w:szCs w:val="28"/>
        </w:rPr>
        <w:t>епідемічного</w:t>
      </w:r>
      <w:r w:rsidRPr="00D77A37">
        <w:rPr>
          <w:rFonts w:asciiTheme="majorHAnsi" w:hAnsiTheme="majorHAnsi"/>
          <w:spacing w:val="1"/>
          <w:sz w:val="28"/>
          <w:szCs w:val="28"/>
        </w:rPr>
        <w:t xml:space="preserve"> </w:t>
      </w:r>
      <w:r w:rsidRPr="00D77A37">
        <w:rPr>
          <w:rFonts w:asciiTheme="majorHAnsi" w:hAnsiTheme="majorHAnsi"/>
          <w:sz w:val="28"/>
          <w:szCs w:val="28"/>
        </w:rPr>
        <w:t>благополуччя</w:t>
      </w:r>
      <w:r w:rsidRPr="00D77A37">
        <w:rPr>
          <w:rFonts w:asciiTheme="majorHAnsi" w:hAnsiTheme="majorHAnsi"/>
          <w:spacing w:val="1"/>
          <w:sz w:val="28"/>
          <w:szCs w:val="28"/>
        </w:rPr>
        <w:t xml:space="preserve"> </w:t>
      </w:r>
      <w:r w:rsidRPr="00D77A37">
        <w:rPr>
          <w:rFonts w:asciiTheme="majorHAnsi" w:hAnsiTheme="majorHAnsi"/>
          <w:sz w:val="28"/>
          <w:szCs w:val="28"/>
        </w:rPr>
        <w:t xml:space="preserve">населення" </w:t>
      </w:r>
      <w:r w:rsidRPr="00D77A37">
        <w:rPr>
          <w:rFonts w:asciiTheme="majorHAnsi" w:hAnsiTheme="majorHAnsi"/>
          <w:sz w:val="28"/>
          <w:szCs w:val="28"/>
          <w:shd w:val="clear" w:color="auto" w:fill="FFFFFF"/>
        </w:rPr>
        <w:t xml:space="preserve">/ </w:t>
      </w:r>
      <w:bookmarkStart w:id="340" w:name="_Hlk115871931"/>
      <w:r w:rsidRPr="00D77A37">
        <w:rPr>
          <w:rFonts w:asciiTheme="majorHAnsi" w:hAnsiTheme="majorHAnsi"/>
          <w:sz w:val="28"/>
          <w:szCs w:val="28"/>
        </w:rPr>
        <w:t>Відомості Верховної Ради (ВВР), 1994, № 27,</w:t>
      </w:r>
      <w:r w:rsidRPr="00D77A37">
        <w:rPr>
          <w:rFonts w:asciiTheme="majorHAnsi" w:hAnsiTheme="majorHAnsi"/>
          <w:spacing w:val="-1"/>
          <w:sz w:val="28"/>
          <w:szCs w:val="28"/>
        </w:rPr>
        <w:t xml:space="preserve"> </w:t>
      </w:r>
      <w:r w:rsidRPr="00D77A37">
        <w:rPr>
          <w:rFonts w:asciiTheme="majorHAnsi" w:hAnsiTheme="majorHAnsi"/>
          <w:sz w:val="28"/>
          <w:szCs w:val="28"/>
        </w:rPr>
        <w:t>ст. 218.</w:t>
      </w:r>
      <w:r w:rsidRPr="00D77A37">
        <w:rPr>
          <w:rFonts w:asciiTheme="majorHAnsi" w:hAnsiTheme="majorHAnsi"/>
          <w:spacing w:val="11"/>
          <w:sz w:val="28"/>
          <w:szCs w:val="28"/>
        </w:rPr>
        <w:t xml:space="preserve"> </w:t>
      </w:r>
      <w:r w:rsidRPr="00D77A37">
        <w:rPr>
          <w:rFonts w:asciiTheme="majorHAnsi" w:hAnsiTheme="majorHAnsi"/>
          <w:w w:val="99"/>
          <w:sz w:val="28"/>
          <w:szCs w:val="28"/>
        </w:rPr>
        <w:t>Із</w:t>
      </w:r>
      <w:r w:rsidRPr="00D77A37">
        <w:rPr>
          <w:rFonts w:asciiTheme="majorHAnsi" w:hAnsiTheme="majorHAnsi"/>
          <w:sz w:val="28"/>
          <w:szCs w:val="28"/>
        </w:rPr>
        <w:t xml:space="preserve"> </w:t>
      </w:r>
      <w:r w:rsidRPr="00D77A37">
        <w:rPr>
          <w:rFonts w:asciiTheme="majorHAnsi" w:hAnsiTheme="majorHAnsi"/>
          <w:w w:val="99"/>
          <w:sz w:val="28"/>
          <w:szCs w:val="28"/>
        </w:rPr>
        <w:t>з</w:t>
      </w:r>
      <w:r w:rsidRPr="00D77A37">
        <w:rPr>
          <w:rFonts w:asciiTheme="majorHAnsi" w:hAnsiTheme="majorHAnsi"/>
          <w:spacing w:val="2"/>
          <w:w w:val="99"/>
          <w:sz w:val="28"/>
          <w:szCs w:val="28"/>
        </w:rPr>
        <w:t>м</w:t>
      </w:r>
      <w:r w:rsidRPr="00D77A37">
        <w:rPr>
          <w:rFonts w:asciiTheme="majorHAnsi" w:hAnsiTheme="majorHAnsi"/>
          <w:spacing w:val="-1"/>
          <w:w w:val="99"/>
          <w:sz w:val="28"/>
          <w:szCs w:val="28"/>
        </w:rPr>
        <w:t>і</w:t>
      </w:r>
      <w:r w:rsidRPr="00D77A37">
        <w:rPr>
          <w:rFonts w:asciiTheme="majorHAnsi" w:hAnsiTheme="majorHAnsi"/>
          <w:spacing w:val="-2"/>
          <w:w w:val="99"/>
          <w:sz w:val="28"/>
          <w:szCs w:val="28"/>
        </w:rPr>
        <w:t>н</w:t>
      </w:r>
      <w:r w:rsidRPr="00D77A37">
        <w:rPr>
          <w:rFonts w:asciiTheme="majorHAnsi" w:hAnsiTheme="majorHAnsi"/>
          <w:w w:val="99"/>
          <w:sz w:val="28"/>
          <w:szCs w:val="28"/>
        </w:rPr>
        <w:t>а</w:t>
      </w:r>
      <w:r w:rsidRPr="00D77A37">
        <w:rPr>
          <w:rFonts w:asciiTheme="majorHAnsi" w:hAnsiTheme="majorHAnsi"/>
          <w:spacing w:val="1"/>
          <w:w w:val="99"/>
          <w:sz w:val="28"/>
          <w:szCs w:val="28"/>
        </w:rPr>
        <w:t>м</w:t>
      </w:r>
      <w:r w:rsidRPr="00D77A37">
        <w:rPr>
          <w:rFonts w:asciiTheme="majorHAnsi" w:hAnsiTheme="majorHAnsi"/>
          <w:spacing w:val="-2"/>
          <w:w w:val="99"/>
          <w:sz w:val="28"/>
          <w:szCs w:val="28"/>
        </w:rPr>
        <w:t>и</w:t>
      </w:r>
      <w:r w:rsidRPr="00D77A37">
        <w:rPr>
          <w:rFonts w:asciiTheme="majorHAnsi" w:hAnsiTheme="majorHAnsi"/>
          <w:w w:val="99"/>
          <w:sz w:val="28"/>
          <w:szCs w:val="28"/>
        </w:rPr>
        <w:t xml:space="preserve">. </w:t>
      </w:r>
      <w:r w:rsidRPr="00D77A37">
        <w:rPr>
          <w:rFonts w:asciiTheme="majorHAnsi" w:hAnsiTheme="majorHAnsi"/>
          <w:sz w:val="28"/>
          <w:szCs w:val="28"/>
        </w:rPr>
        <w:t>Редакція</w:t>
      </w:r>
      <w:r w:rsidRPr="00D77A37">
        <w:rPr>
          <w:rFonts w:asciiTheme="majorHAnsi" w:hAnsiTheme="majorHAnsi"/>
          <w:spacing w:val="-2"/>
          <w:sz w:val="28"/>
          <w:szCs w:val="28"/>
        </w:rPr>
        <w:t xml:space="preserve"> </w:t>
      </w:r>
      <w:r w:rsidRPr="00D77A37">
        <w:rPr>
          <w:rFonts w:asciiTheme="majorHAnsi" w:hAnsiTheme="majorHAnsi"/>
          <w:sz w:val="28"/>
          <w:szCs w:val="28"/>
        </w:rPr>
        <w:t>від</w:t>
      </w:r>
      <w:r w:rsidRPr="00D77A37">
        <w:rPr>
          <w:rFonts w:asciiTheme="majorHAnsi" w:hAnsiTheme="majorHAnsi"/>
          <w:spacing w:val="-1"/>
          <w:sz w:val="28"/>
          <w:szCs w:val="28"/>
        </w:rPr>
        <w:t xml:space="preserve"> 14.01</w:t>
      </w:r>
      <w:r w:rsidRPr="00D77A37">
        <w:rPr>
          <w:rFonts w:asciiTheme="majorHAnsi" w:hAnsiTheme="majorHAnsi"/>
          <w:sz w:val="28"/>
          <w:szCs w:val="28"/>
        </w:rPr>
        <w:t>.2021 р.</w:t>
      </w:r>
    </w:p>
    <w:bookmarkEnd w:id="340"/>
    <w:p w14:paraId="4199E7E3"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Закон України "Про державний ринковий нагляд і контроль нехарчової продукції" / Відомості Верховної Ради (ВВР), 2011, № 21,</w:t>
      </w:r>
      <w:r w:rsidRPr="00D77A37">
        <w:rPr>
          <w:rFonts w:asciiTheme="majorHAnsi" w:hAnsiTheme="majorHAnsi"/>
          <w:spacing w:val="-1"/>
          <w:sz w:val="28"/>
          <w:szCs w:val="28"/>
        </w:rPr>
        <w:t xml:space="preserve"> </w:t>
      </w:r>
      <w:r w:rsidRPr="00D77A37">
        <w:rPr>
          <w:rFonts w:asciiTheme="majorHAnsi" w:hAnsiTheme="majorHAnsi"/>
          <w:sz w:val="28"/>
          <w:szCs w:val="28"/>
        </w:rPr>
        <w:t>ст. 144.</w:t>
      </w:r>
      <w:r w:rsidRPr="00D77A37">
        <w:rPr>
          <w:rFonts w:asciiTheme="majorHAnsi" w:hAnsiTheme="majorHAnsi"/>
          <w:spacing w:val="11"/>
          <w:sz w:val="28"/>
          <w:szCs w:val="28"/>
        </w:rPr>
        <w:t xml:space="preserve"> </w:t>
      </w:r>
      <w:r w:rsidRPr="00D77A37">
        <w:rPr>
          <w:rFonts w:asciiTheme="majorHAnsi" w:hAnsiTheme="majorHAnsi"/>
          <w:w w:val="99"/>
          <w:sz w:val="28"/>
          <w:szCs w:val="28"/>
        </w:rPr>
        <w:t>Із</w:t>
      </w:r>
      <w:r w:rsidRPr="00D77A37">
        <w:rPr>
          <w:rFonts w:asciiTheme="majorHAnsi" w:hAnsiTheme="majorHAnsi"/>
          <w:sz w:val="28"/>
          <w:szCs w:val="28"/>
        </w:rPr>
        <w:t xml:space="preserve"> </w:t>
      </w:r>
      <w:r w:rsidRPr="00D77A37">
        <w:rPr>
          <w:rFonts w:asciiTheme="majorHAnsi" w:hAnsiTheme="majorHAnsi"/>
          <w:w w:val="99"/>
          <w:sz w:val="28"/>
          <w:szCs w:val="28"/>
        </w:rPr>
        <w:t>з</w:t>
      </w:r>
      <w:r w:rsidRPr="00D77A37">
        <w:rPr>
          <w:rFonts w:asciiTheme="majorHAnsi" w:hAnsiTheme="majorHAnsi"/>
          <w:spacing w:val="2"/>
          <w:w w:val="99"/>
          <w:sz w:val="28"/>
          <w:szCs w:val="28"/>
        </w:rPr>
        <w:t>м</w:t>
      </w:r>
      <w:r w:rsidRPr="00D77A37">
        <w:rPr>
          <w:rFonts w:asciiTheme="majorHAnsi" w:hAnsiTheme="majorHAnsi"/>
          <w:spacing w:val="-1"/>
          <w:w w:val="99"/>
          <w:sz w:val="28"/>
          <w:szCs w:val="28"/>
        </w:rPr>
        <w:t>і</w:t>
      </w:r>
      <w:r w:rsidRPr="00D77A37">
        <w:rPr>
          <w:rFonts w:asciiTheme="majorHAnsi" w:hAnsiTheme="majorHAnsi"/>
          <w:spacing w:val="-2"/>
          <w:w w:val="99"/>
          <w:sz w:val="28"/>
          <w:szCs w:val="28"/>
        </w:rPr>
        <w:t>н</w:t>
      </w:r>
      <w:r w:rsidRPr="00D77A37">
        <w:rPr>
          <w:rFonts w:asciiTheme="majorHAnsi" w:hAnsiTheme="majorHAnsi"/>
          <w:w w:val="99"/>
          <w:sz w:val="28"/>
          <w:szCs w:val="28"/>
        </w:rPr>
        <w:t>а</w:t>
      </w:r>
      <w:r w:rsidRPr="00D77A37">
        <w:rPr>
          <w:rFonts w:asciiTheme="majorHAnsi" w:hAnsiTheme="majorHAnsi"/>
          <w:spacing w:val="1"/>
          <w:w w:val="99"/>
          <w:sz w:val="28"/>
          <w:szCs w:val="28"/>
        </w:rPr>
        <w:t>м</w:t>
      </w:r>
      <w:r w:rsidRPr="00D77A37">
        <w:rPr>
          <w:rFonts w:asciiTheme="majorHAnsi" w:hAnsiTheme="majorHAnsi"/>
          <w:spacing w:val="-2"/>
          <w:w w:val="99"/>
          <w:sz w:val="28"/>
          <w:szCs w:val="28"/>
        </w:rPr>
        <w:t>и</w:t>
      </w:r>
      <w:r w:rsidRPr="00D77A37">
        <w:rPr>
          <w:rFonts w:asciiTheme="majorHAnsi" w:hAnsiTheme="majorHAnsi"/>
          <w:w w:val="99"/>
          <w:sz w:val="28"/>
          <w:szCs w:val="28"/>
        </w:rPr>
        <w:t xml:space="preserve">. </w:t>
      </w:r>
      <w:r w:rsidRPr="00D77A37">
        <w:rPr>
          <w:rFonts w:asciiTheme="majorHAnsi" w:hAnsiTheme="majorHAnsi"/>
          <w:sz w:val="28"/>
          <w:szCs w:val="28"/>
        </w:rPr>
        <w:t>Редакція</w:t>
      </w:r>
      <w:r w:rsidRPr="00D77A37">
        <w:rPr>
          <w:rFonts w:asciiTheme="majorHAnsi" w:hAnsiTheme="majorHAnsi"/>
          <w:spacing w:val="-2"/>
          <w:sz w:val="28"/>
          <w:szCs w:val="28"/>
        </w:rPr>
        <w:t xml:space="preserve"> </w:t>
      </w:r>
      <w:r w:rsidRPr="00D77A37">
        <w:rPr>
          <w:rFonts w:asciiTheme="majorHAnsi" w:hAnsiTheme="majorHAnsi"/>
          <w:sz w:val="28"/>
          <w:szCs w:val="28"/>
        </w:rPr>
        <w:t>від</w:t>
      </w:r>
      <w:r w:rsidRPr="00D77A37">
        <w:rPr>
          <w:rFonts w:asciiTheme="majorHAnsi" w:hAnsiTheme="majorHAnsi"/>
          <w:spacing w:val="-1"/>
          <w:sz w:val="28"/>
          <w:szCs w:val="28"/>
        </w:rPr>
        <w:t xml:space="preserve"> 16.04</w:t>
      </w:r>
      <w:r w:rsidRPr="00D77A37">
        <w:rPr>
          <w:rFonts w:asciiTheme="majorHAnsi" w:hAnsiTheme="majorHAnsi"/>
          <w:sz w:val="28"/>
          <w:szCs w:val="28"/>
        </w:rPr>
        <w:t>.2022 р.</w:t>
      </w:r>
    </w:p>
    <w:p w14:paraId="4861BB84" w14:textId="77777777" w:rsidR="0097612F" w:rsidRPr="00D77A37" w:rsidRDefault="0097612F" w:rsidP="00D77A37">
      <w:pPr>
        <w:pStyle w:val="af6"/>
        <w:numPr>
          <w:ilvl w:val="0"/>
          <w:numId w:val="231"/>
        </w:numPr>
        <w:spacing w:after="0"/>
        <w:rPr>
          <w:rFonts w:asciiTheme="majorHAnsi" w:hAnsiTheme="majorHAnsi"/>
          <w:sz w:val="28"/>
          <w:szCs w:val="28"/>
        </w:rPr>
      </w:pPr>
      <w:bookmarkStart w:id="341" w:name="n771"/>
      <w:bookmarkEnd w:id="338"/>
      <w:bookmarkEnd w:id="339"/>
      <w:bookmarkEnd w:id="341"/>
      <w:r w:rsidRPr="00D77A37">
        <w:rPr>
          <w:rFonts w:asciiTheme="majorHAnsi" w:hAnsiTheme="majorHAnsi"/>
          <w:sz w:val="28"/>
          <w:szCs w:val="28"/>
        </w:rPr>
        <w:t xml:space="preserve">Технічний регламент безпеки машин. </w:t>
      </w:r>
      <w:bookmarkStart w:id="342" w:name="_Hlk103506914"/>
      <w:bookmarkStart w:id="343" w:name="_Hlk103503680"/>
      <w:bookmarkStart w:id="344" w:name="_Hlk103494653"/>
      <w:r w:rsidRPr="00D77A37">
        <w:rPr>
          <w:rFonts w:asciiTheme="majorHAnsi" w:hAnsiTheme="majorHAnsi"/>
          <w:sz w:val="28"/>
          <w:szCs w:val="28"/>
        </w:rPr>
        <w:t>Кабінет Міністрів України. Постанова від 30 січня 2013 р. № 62</w:t>
      </w:r>
      <w:bookmarkEnd w:id="342"/>
      <w:r w:rsidRPr="00D77A37">
        <w:rPr>
          <w:rFonts w:asciiTheme="majorHAnsi" w:hAnsiTheme="majorHAnsi"/>
          <w:sz w:val="28"/>
          <w:szCs w:val="28"/>
        </w:rPr>
        <w:t>. Редакція 26.08.2021 р.</w:t>
      </w:r>
    </w:p>
    <w:bookmarkEnd w:id="343"/>
    <w:p w14:paraId="68639ECD"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shd w:val="clear" w:color="auto" w:fill="FFFFFF"/>
        </w:rPr>
        <w:t xml:space="preserve">Технічний регламент ліфтів і компонентів безпеки для ліфтів. </w:t>
      </w:r>
      <w:bookmarkStart w:id="345" w:name="_Hlk103578730"/>
      <w:r w:rsidRPr="00D77A37">
        <w:rPr>
          <w:rFonts w:asciiTheme="majorHAnsi" w:hAnsiTheme="majorHAnsi"/>
          <w:sz w:val="28"/>
          <w:szCs w:val="28"/>
        </w:rPr>
        <w:t>Кабінет Міністрів України. Постанова від 21 червня 2017 р. № 438. Редакція</w:t>
      </w:r>
      <w:r w:rsidRPr="00D77A37">
        <w:rPr>
          <w:rFonts w:asciiTheme="majorHAnsi" w:hAnsiTheme="majorHAnsi"/>
          <w:spacing w:val="-1"/>
          <w:sz w:val="28"/>
          <w:szCs w:val="28"/>
        </w:rPr>
        <w:t xml:space="preserve"> </w:t>
      </w:r>
      <w:r w:rsidRPr="00D77A37">
        <w:rPr>
          <w:rFonts w:asciiTheme="majorHAnsi" w:hAnsiTheme="majorHAnsi"/>
          <w:sz w:val="28"/>
          <w:szCs w:val="28"/>
        </w:rPr>
        <w:t>від</w:t>
      </w:r>
      <w:r w:rsidRPr="00D77A37">
        <w:rPr>
          <w:rFonts w:asciiTheme="majorHAnsi" w:hAnsiTheme="majorHAnsi"/>
          <w:spacing w:val="-1"/>
          <w:sz w:val="28"/>
          <w:szCs w:val="28"/>
        </w:rPr>
        <w:t xml:space="preserve"> 23.</w:t>
      </w:r>
      <w:r w:rsidRPr="00D77A37">
        <w:rPr>
          <w:rFonts w:asciiTheme="majorHAnsi" w:hAnsiTheme="majorHAnsi"/>
          <w:sz w:val="28"/>
          <w:szCs w:val="28"/>
        </w:rPr>
        <w:t>07.2020</w:t>
      </w:r>
      <w:r w:rsidRPr="00D77A37">
        <w:rPr>
          <w:rFonts w:asciiTheme="majorHAnsi" w:hAnsiTheme="majorHAnsi"/>
          <w:spacing w:val="-1"/>
          <w:sz w:val="28"/>
          <w:szCs w:val="28"/>
        </w:rPr>
        <w:t xml:space="preserve"> </w:t>
      </w:r>
      <w:r w:rsidRPr="00D77A37">
        <w:rPr>
          <w:rFonts w:asciiTheme="majorHAnsi" w:hAnsiTheme="majorHAnsi"/>
          <w:sz w:val="28"/>
          <w:szCs w:val="28"/>
        </w:rPr>
        <w:t>р.</w:t>
      </w:r>
    </w:p>
    <w:p w14:paraId="50D0153C" w14:textId="77777777" w:rsidR="0097612F" w:rsidRPr="00D77A37" w:rsidRDefault="0097612F" w:rsidP="00D77A37">
      <w:pPr>
        <w:pStyle w:val="af6"/>
        <w:numPr>
          <w:ilvl w:val="0"/>
          <w:numId w:val="231"/>
        </w:numPr>
        <w:spacing w:after="0"/>
        <w:rPr>
          <w:rFonts w:asciiTheme="majorHAnsi" w:hAnsiTheme="majorHAnsi"/>
          <w:sz w:val="28"/>
          <w:szCs w:val="28"/>
        </w:rPr>
      </w:pPr>
      <w:bookmarkStart w:id="346" w:name="_Hlk103506308"/>
      <w:bookmarkEnd w:id="345"/>
      <w:r w:rsidRPr="00D77A37">
        <w:rPr>
          <w:rFonts w:asciiTheme="majorHAnsi" w:hAnsiTheme="majorHAnsi"/>
          <w:sz w:val="28"/>
          <w:szCs w:val="28"/>
        </w:rPr>
        <w:t>Технічний регламент модулів оцінки відповідності</w:t>
      </w:r>
      <w:bookmarkEnd w:id="346"/>
      <w:r w:rsidRPr="00D77A37">
        <w:rPr>
          <w:rFonts w:asciiTheme="majorHAnsi" w:hAnsiTheme="majorHAnsi"/>
          <w:sz w:val="28"/>
          <w:szCs w:val="28"/>
        </w:rPr>
        <w:t xml:space="preserve">. Кабінет Міністрів України. Постанова від 13.01.2016 р. № 95. </w:t>
      </w:r>
      <w:bookmarkStart w:id="347" w:name="_Hlk115865908"/>
      <w:r w:rsidRPr="00D77A37">
        <w:rPr>
          <w:rFonts w:asciiTheme="majorHAnsi" w:hAnsiTheme="majorHAnsi"/>
          <w:sz w:val="28"/>
          <w:szCs w:val="28"/>
        </w:rPr>
        <w:t>Редакція 03.07.2020 р.</w:t>
      </w:r>
    </w:p>
    <w:bookmarkEnd w:id="347"/>
    <w:p w14:paraId="59CB74D0"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lastRenderedPageBreak/>
        <w:t>Технічний регламент з електромагнітної сумісності обладнання. Кабінет Мінісрів України. Постанова від 16 грудня 2015 р. № 1077. Редакція 03.05.2022 р.</w:t>
      </w:r>
    </w:p>
    <w:p w14:paraId="6D4D3D7B"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Технічний регламент низьковольтного електричного обладнання. Кабінет Міністрів України. Постанова від 16 грудня 2015 р. № 1067. Редакція 26.08.2021 р.</w:t>
      </w:r>
    </w:p>
    <w:p w14:paraId="473C836E"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Технічний регламент обладнання, що працює під тиском. Кабінет Міністрів України. Постанова від 16 січня 2019 р. № 27. Редакція 10.03.2022 р.</w:t>
      </w:r>
    </w:p>
    <w:bookmarkEnd w:id="344"/>
    <w:p w14:paraId="778AF497"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Митний кодекс України</w:t>
      </w:r>
      <w:r w:rsidRPr="00D77A37">
        <w:rPr>
          <w:rFonts w:asciiTheme="majorHAnsi" w:hAnsiTheme="majorHAnsi"/>
          <w:spacing w:val="1"/>
          <w:sz w:val="28"/>
          <w:szCs w:val="28"/>
        </w:rPr>
        <w:t xml:space="preserve"> </w:t>
      </w:r>
      <w:r w:rsidRPr="00D77A37">
        <w:rPr>
          <w:rFonts w:asciiTheme="majorHAnsi" w:hAnsiTheme="majorHAnsi"/>
          <w:sz w:val="28"/>
          <w:szCs w:val="28"/>
        </w:rPr>
        <w:t>/ Відомості Верховної Ради України (ВВР), 2012, № 44-45, № 46-47, № 48, ст.552.. – Із</w:t>
      </w:r>
      <w:r w:rsidRPr="00D77A37">
        <w:rPr>
          <w:rFonts w:asciiTheme="majorHAnsi" w:hAnsiTheme="majorHAnsi"/>
          <w:spacing w:val="-47"/>
          <w:sz w:val="28"/>
          <w:szCs w:val="28"/>
        </w:rPr>
        <w:t xml:space="preserve"> </w:t>
      </w:r>
      <w:r w:rsidRPr="00D77A37">
        <w:rPr>
          <w:rFonts w:asciiTheme="majorHAnsi" w:hAnsiTheme="majorHAnsi"/>
          <w:sz w:val="28"/>
          <w:szCs w:val="28"/>
        </w:rPr>
        <w:t>змінами. –</w:t>
      </w:r>
      <w:r w:rsidRPr="00D77A37">
        <w:rPr>
          <w:rFonts w:asciiTheme="majorHAnsi" w:hAnsiTheme="majorHAnsi"/>
          <w:spacing w:val="1"/>
          <w:sz w:val="28"/>
          <w:szCs w:val="28"/>
        </w:rPr>
        <w:t xml:space="preserve"> </w:t>
      </w:r>
      <w:r w:rsidRPr="00D77A37">
        <w:rPr>
          <w:rFonts w:asciiTheme="majorHAnsi" w:hAnsiTheme="majorHAnsi"/>
          <w:sz w:val="28"/>
          <w:szCs w:val="28"/>
        </w:rPr>
        <w:t>В</w:t>
      </w:r>
      <w:r w:rsidRPr="00D77A37">
        <w:rPr>
          <w:rFonts w:asciiTheme="majorHAnsi" w:hAnsiTheme="majorHAnsi"/>
          <w:spacing w:val="1"/>
          <w:sz w:val="28"/>
          <w:szCs w:val="28"/>
        </w:rPr>
        <w:t xml:space="preserve"> </w:t>
      </w:r>
      <w:r w:rsidRPr="00D77A37">
        <w:rPr>
          <w:rFonts w:asciiTheme="majorHAnsi" w:hAnsiTheme="majorHAnsi"/>
          <w:sz w:val="28"/>
          <w:szCs w:val="28"/>
        </w:rPr>
        <w:t>редакції</w:t>
      </w:r>
      <w:r w:rsidRPr="00D77A37">
        <w:rPr>
          <w:rFonts w:asciiTheme="majorHAnsi" w:hAnsiTheme="majorHAnsi"/>
          <w:spacing w:val="-1"/>
          <w:sz w:val="28"/>
          <w:szCs w:val="28"/>
        </w:rPr>
        <w:t xml:space="preserve"> </w:t>
      </w:r>
      <w:r w:rsidRPr="00D77A37">
        <w:rPr>
          <w:rFonts w:asciiTheme="majorHAnsi" w:hAnsiTheme="majorHAnsi"/>
          <w:sz w:val="28"/>
          <w:szCs w:val="28"/>
        </w:rPr>
        <w:t>від</w:t>
      </w:r>
      <w:r w:rsidRPr="00D77A37">
        <w:rPr>
          <w:rFonts w:asciiTheme="majorHAnsi" w:hAnsiTheme="majorHAnsi"/>
          <w:spacing w:val="-1"/>
          <w:sz w:val="28"/>
          <w:szCs w:val="28"/>
        </w:rPr>
        <w:t xml:space="preserve"> </w:t>
      </w:r>
      <w:r w:rsidRPr="00D77A37">
        <w:rPr>
          <w:rFonts w:asciiTheme="majorHAnsi" w:hAnsiTheme="majorHAnsi"/>
          <w:sz w:val="28"/>
          <w:szCs w:val="28"/>
        </w:rPr>
        <w:t>01.01.2017</w:t>
      </w:r>
      <w:r w:rsidRPr="00D77A37">
        <w:rPr>
          <w:rFonts w:asciiTheme="majorHAnsi" w:hAnsiTheme="majorHAnsi"/>
          <w:spacing w:val="2"/>
          <w:sz w:val="28"/>
          <w:szCs w:val="28"/>
        </w:rPr>
        <w:t xml:space="preserve"> </w:t>
      </w:r>
      <w:r w:rsidRPr="00D77A37">
        <w:rPr>
          <w:rFonts w:asciiTheme="majorHAnsi" w:hAnsiTheme="majorHAnsi"/>
          <w:sz w:val="28"/>
          <w:szCs w:val="28"/>
        </w:rPr>
        <w:t>р.</w:t>
      </w:r>
    </w:p>
    <w:p w14:paraId="5BE2E2B9" w14:textId="77777777" w:rsidR="00D77A37" w:rsidRPr="00D77A37" w:rsidRDefault="00D77A37" w:rsidP="00D77A37">
      <w:pPr>
        <w:pStyle w:val="ac"/>
        <w:numPr>
          <w:ilvl w:val="0"/>
          <w:numId w:val="231"/>
        </w:numPr>
        <w:spacing w:after="0" w:line="240" w:lineRule="auto"/>
        <w:jc w:val="both"/>
        <w:rPr>
          <w:rFonts w:asciiTheme="majorHAnsi" w:hAnsiTheme="majorHAnsi"/>
          <w:sz w:val="28"/>
          <w:szCs w:val="28"/>
          <w:lang w:eastAsia="ru-RU"/>
        </w:rPr>
      </w:pPr>
      <w:r w:rsidRPr="00D77A37">
        <w:rPr>
          <w:rFonts w:asciiTheme="majorHAnsi" w:hAnsiTheme="majorHAnsi"/>
          <w:sz w:val="28"/>
          <w:szCs w:val="28"/>
          <w:lang w:eastAsia="ru-RU"/>
        </w:rPr>
        <w:t>ГОСТ 15.309-98 Система разработки и постановки продукции на производство. Испытания и приемка выпускаемой продукции. Основные положения</w:t>
      </w:r>
    </w:p>
    <w:p w14:paraId="28D638B2"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w:t>
      </w:r>
      <w:r w:rsidRPr="00D77A37">
        <w:rPr>
          <w:rFonts w:asciiTheme="majorHAnsi" w:hAnsiTheme="majorHAnsi"/>
          <w:spacing w:val="-3"/>
          <w:sz w:val="28"/>
          <w:szCs w:val="28"/>
        </w:rPr>
        <w:t xml:space="preserve"> 2156</w:t>
      </w:r>
      <w:r w:rsidRPr="00D77A37">
        <w:rPr>
          <w:rFonts w:asciiTheme="majorHAnsi" w:hAnsiTheme="majorHAnsi"/>
          <w:sz w:val="28"/>
          <w:szCs w:val="28"/>
        </w:rPr>
        <w:t>-93</w:t>
      </w:r>
      <w:r w:rsidRPr="00D77A37">
        <w:rPr>
          <w:rFonts w:asciiTheme="majorHAnsi" w:hAnsiTheme="majorHAnsi"/>
          <w:spacing w:val="-3"/>
          <w:sz w:val="28"/>
          <w:szCs w:val="28"/>
        </w:rPr>
        <w:t xml:space="preserve"> </w:t>
      </w:r>
      <w:r w:rsidRPr="00D77A37">
        <w:rPr>
          <w:rFonts w:asciiTheme="majorHAnsi" w:hAnsiTheme="majorHAnsi"/>
          <w:sz w:val="28"/>
          <w:szCs w:val="28"/>
        </w:rPr>
        <w:t>Безпечність</w:t>
      </w:r>
      <w:r w:rsidRPr="00D77A37">
        <w:rPr>
          <w:rFonts w:asciiTheme="majorHAnsi" w:hAnsiTheme="majorHAnsi"/>
          <w:spacing w:val="-5"/>
          <w:sz w:val="28"/>
          <w:szCs w:val="28"/>
        </w:rPr>
        <w:t xml:space="preserve"> </w:t>
      </w:r>
      <w:r w:rsidRPr="00D77A37">
        <w:rPr>
          <w:rFonts w:asciiTheme="majorHAnsi" w:hAnsiTheme="majorHAnsi"/>
          <w:sz w:val="28"/>
          <w:szCs w:val="28"/>
        </w:rPr>
        <w:t>промислових</w:t>
      </w:r>
      <w:r w:rsidRPr="00D77A37">
        <w:rPr>
          <w:rFonts w:asciiTheme="majorHAnsi" w:hAnsiTheme="majorHAnsi"/>
          <w:spacing w:val="-2"/>
          <w:sz w:val="28"/>
          <w:szCs w:val="28"/>
        </w:rPr>
        <w:t xml:space="preserve"> </w:t>
      </w:r>
      <w:r w:rsidRPr="00D77A37">
        <w:rPr>
          <w:rFonts w:asciiTheme="majorHAnsi" w:hAnsiTheme="majorHAnsi"/>
          <w:sz w:val="28"/>
          <w:szCs w:val="28"/>
        </w:rPr>
        <w:t>підприємств.</w:t>
      </w:r>
      <w:r w:rsidRPr="00D77A37">
        <w:rPr>
          <w:rFonts w:asciiTheme="majorHAnsi" w:hAnsiTheme="majorHAnsi"/>
          <w:spacing w:val="-4"/>
          <w:sz w:val="28"/>
          <w:szCs w:val="28"/>
        </w:rPr>
        <w:t xml:space="preserve"> </w:t>
      </w:r>
      <w:r w:rsidRPr="00D77A37">
        <w:rPr>
          <w:rFonts w:asciiTheme="majorHAnsi" w:hAnsiTheme="majorHAnsi"/>
          <w:sz w:val="28"/>
          <w:szCs w:val="28"/>
        </w:rPr>
        <w:t>Терміни</w:t>
      </w:r>
      <w:r w:rsidRPr="00D77A37">
        <w:rPr>
          <w:rFonts w:asciiTheme="majorHAnsi" w:hAnsiTheme="majorHAnsi"/>
          <w:spacing w:val="-5"/>
          <w:sz w:val="28"/>
          <w:szCs w:val="28"/>
        </w:rPr>
        <w:t xml:space="preserve"> </w:t>
      </w:r>
      <w:r w:rsidRPr="00D77A37">
        <w:rPr>
          <w:rFonts w:asciiTheme="majorHAnsi" w:hAnsiTheme="majorHAnsi"/>
          <w:sz w:val="28"/>
          <w:szCs w:val="28"/>
        </w:rPr>
        <w:t>та</w:t>
      </w:r>
      <w:r w:rsidRPr="00D77A37">
        <w:rPr>
          <w:rFonts w:asciiTheme="majorHAnsi" w:hAnsiTheme="majorHAnsi"/>
          <w:spacing w:val="-1"/>
          <w:sz w:val="28"/>
          <w:szCs w:val="28"/>
        </w:rPr>
        <w:t xml:space="preserve"> </w:t>
      </w:r>
      <w:r w:rsidRPr="00D77A37">
        <w:rPr>
          <w:rFonts w:asciiTheme="majorHAnsi" w:hAnsiTheme="majorHAnsi"/>
          <w:sz w:val="28"/>
          <w:szCs w:val="28"/>
        </w:rPr>
        <w:t>визначення</w:t>
      </w:r>
    </w:p>
    <w:p w14:paraId="3D49D79C"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 2226-94 Системи якості. Комплекси керування якістю системні технологічні. Основні положення</w:t>
      </w:r>
      <w:r w:rsidRPr="00D77A37">
        <w:rPr>
          <w:rFonts w:asciiTheme="majorHAnsi" w:hAnsiTheme="majorHAnsi"/>
          <w:spacing w:val="-47"/>
          <w:sz w:val="28"/>
          <w:szCs w:val="28"/>
        </w:rPr>
        <w:t xml:space="preserve"> </w:t>
      </w:r>
      <w:r w:rsidRPr="00D77A37">
        <w:rPr>
          <w:rFonts w:asciiTheme="majorHAnsi" w:hAnsiTheme="majorHAnsi"/>
          <w:sz w:val="28"/>
          <w:szCs w:val="28"/>
        </w:rPr>
        <w:t>ДСТУ</w:t>
      </w:r>
      <w:r w:rsidRPr="00D77A37">
        <w:rPr>
          <w:rFonts w:asciiTheme="majorHAnsi" w:hAnsiTheme="majorHAnsi"/>
          <w:spacing w:val="-1"/>
          <w:sz w:val="28"/>
          <w:szCs w:val="28"/>
        </w:rPr>
        <w:t xml:space="preserve"> </w:t>
      </w:r>
      <w:r w:rsidRPr="00D77A37">
        <w:rPr>
          <w:rFonts w:asciiTheme="majorHAnsi" w:hAnsiTheme="majorHAnsi"/>
          <w:sz w:val="28"/>
          <w:szCs w:val="28"/>
        </w:rPr>
        <w:t>2293:2014</w:t>
      </w:r>
      <w:r w:rsidRPr="00D77A37">
        <w:rPr>
          <w:rFonts w:asciiTheme="majorHAnsi" w:hAnsiTheme="majorHAnsi"/>
          <w:spacing w:val="2"/>
          <w:sz w:val="28"/>
          <w:szCs w:val="28"/>
        </w:rPr>
        <w:t xml:space="preserve"> </w:t>
      </w:r>
      <w:r w:rsidRPr="00D77A37">
        <w:rPr>
          <w:rFonts w:asciiTheme="majorHAnsi" w:hAnsiTheme="majorHAnsi"/>
          <w:sz w:val="28"/>
          <w:szCs w:val="28"/>
        </w:rPr>
        <w:t>Охорона</w:t>
      </w:r>
      <w:r w:rsidRPr="00D77A37">
        <w:rPr>
          <w:rFonts w:asciiTheme="majorHAnsi" w:hAnsiTheme="majorHAnsi"/>
          <w:spacing w:val="-1"/>
          <w:sz w:val="28"/>
          <w:szCs w:val="28"/>
        </w:rPr>
        <w:t xml:space="preserve"> </w:t>
      </w:r>
      <w:r w:rsidRPr="00D77A37">
        <w:rPr>
          <w:rFonts w:asciiTheme="majorHAnsi" w:hAnsiTheme="majorHAnsi"/>
          <w:sz w:val="28"/>
          <w:szCs w:val="28"/>
        </w:rPr>
        <w:t>праці. Терміни</w:t>
      </w:r>
      <w:r w:rsidRPr="00D77A37">
        <w:rPr>
          <w:rFonts w:asciiTheme="majorHAnsi" w:hAnsiTheme="majorHAnsi"/>
          <w:spacing w:val="-1"/>
          <w:sz w:val="28"/>
          <w:szCs w:val="28"/>
        </w:rPr>
        <w:t xml:space="preserve"> </w:t>
      </w:r>
      <w:r w:rsidRPr="00D77A37">
        <w:rPr>
          <w:rFonts w:asciiTheme="majorHAnsi" w:hAnsiTheme="majorHAnsi"/>
          <w:sz w:val="28"/>
          <w:szCs w:val="28"/>
        </w:rPr>
        <w:t>та</w:t>
      </w:r>
      <w:r w:rsidRPr="00D77A37">
        <w:rPr>
          <w:rFonts w:asciiTheme="majorHAnsi" w:hAnsiTheme="majorHAnsi"/>
          <w:spacing w:val="-1"/>
          <w:sz w:val="28"/>
          <w:szCs w:val="28"/>
        </w:rPr>
        <w:t xml:space="preserve"> </w:t>
      </w:r>
      <w:r w:rsidRPr="00D77A37">
        <w:rPr>
          <w:rFonts w:asciiTheme="majorHAnsi" w:hAnsiTheme="majorHAnsi"/>
          <w:sz w:val="28"/>
          <w:szCs w:val="28"/>
        </w:rPr>
        <w:t>визначення</w:t>
      </w:r>
      <w:r w:rsidRPr="00D77A37">
        <w:rPr>
          <w:rFonts w:asciiTheme="majorHAnsi" w:hAnsiTheme="majorHAnsi"/>
          <w:spacing w:val="2"/>
          <w:sz w:val="28"/>
          <w:szCs w:val="28"/>
        </w:rPr>
        <w:t xml:space="preserve"> </w:t>
      </w:r>
      <w:r w:rsidRPr="00D77A37">
        <w:rPr>
          <w:rFonts w:asciiTheme="majorHAnsi" w:hAnsiTheme="majorHAnsi"/>
          <w:sz w:val="28"/>
          <w:szCs w:val="28"/>
        </w:rPr>
        <w:t>понять</w:t>
      </w:r>
    </w:p>
    <w:p w14:paraId="54E1586F"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 2300-93 Вібрація. Терміни та визначення</w:t>
      </w:r>
      <w:r w:rsidRPr="00D77A37">
        <w:rPr>
          <w:rFonts w:asciiTheme="majorHAnsi" w:hAnsiTheme="majorHAnsi"/>
          <w:spacing w:val="-47"/>
          <w:sz w:val="28"/>
          <w:szCs w:val="28"/>
        </w:rPr>
        <w:t xml:space="preserve"> </w:t>
      </w:r>
      <w:r w:rsidRPr="00D77A37">
        <w:rPr>
          <w:rFonts w:asciiTheme="majorHAnsi" w:hAnsiTheme="majorHAnsi"/>
          <w:sz w:val="28"/>
          <w:szCs w:val="28"/>
        </w:rPr>
        <w:t>ДСТУ</w:t>
      </w:r>
      <w:r w:rsidRPr="00D77A37">
        <w:rPr>
          <w:rFonts w:asciiTheme="majorHAnsi" w:hAnsiTheme="majorHAnsi"/>
          <w:spacing w:val="-2"/>
          <w:sz w:val="28"/>
          <w:szCs w:val="28"/>
        </w:rPr>
        <w:t xml:space="preserve"> </w:t>
      </w:r>
      <w:r w:rsidRPr="00D77A37">
        <w:rPr>
          <w:rFonts w:asciiTheme="majorHAnsi" w:hAnsiTheme="majorHAnsi"/>
          <w:sz w:val="28"/>
          <w:szCs w:val="28"/>
        </w:rPr>
        <w:t>2325-93 Шум.</w:t>
      </w:r>
      <w:r w:rsidRPr="00D77A37">
        <w:rPr>
          <w:rFonts w:asciiTheme="majorHAnsi" w:hAnsiTheme="majorHAnsi"/>
          <w:spacing w:val="-1"/>
          <w:sz w:val="28"/>
          <w:szCs w:val="28"/>
        </w:rPr>
        <w:t xml:space="preserve"> </w:t>
      </w:r>
      <w:r w:rsidRPr="00D77A37">
        <w:rPr>
          <w:rFonts w:asciiTheme="majorHAnsi" w:hAnsiTheme="majorHAnsi"/>
          <w:sz w:val="28"/>
          <w:szCs w:val="28"/>
        </w:rPr>
        <w:t>Терміни</w:t>
      </w:r>
      <w:r w:rsidRPr="00D77A37">
        <w:rPr>
          <w:rFonts w:asciiTheme="majorHAnsi" w:hAnsiTheme="majorHAnsi"/>
          <w:spacing w:val="-3"/>
          <w:sz w:val="28"/>
          <w:szCs w:val="28"/>
        </w:rPr>
        <w:t xml:space="preserve"> </w:t>
      </w:r>
      <w:r w:rsidRPr="00D77A37">
        <w:rPr>
          <w:rFonts w:asciiTheme="majorHAnsi" w:hAnsiTheme="majorHAnsi"/>
          <w:sz w:val="28"/>
          <w:szCs w:val="28"/>
        </w:rPr>
        <w:t>та</w:t>
      </w:r>
      <w:r w:rsidRPr="00D77A37">
        <w:rPr>
          <w:rFonts w:asciiTheme="majorHAnsi" w:hAnsiTheme="majorHAnsi"/>
          <w:spacing w:val="-1"/>
          <w:sz w:val="28"/>
          <w:szCs w:val="28"/>
        </w:rPr>
        <w:t xml:space="preserve"> </w:t>
      </w:r>
      <w:r w:rsidRPr="00D77A37">
        <w:rPr>
          <w:rFonts w:asciiTheme="majorHAnsi" w:hAnsiTheme="majorHAnsi"/>
          <w:sz w:val="28"/>
          <w:szCs w:val="28"/>
        </w:rPr>
        <w:t>визначення</w:t>
      </w:r>
    </w:p>
    <w:p w14:paraId="75C1917E" w14:textId="77777777" w:rsidR="00D77A37"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pacing w:val="-4"/>
          <w:sz w:val="28"/>
          <w:szCs w:val="28"/>
        </w:rPr>
        <w:t>ДСТУ</w:t>
      </w:r>
      <w:r w:rsidRPr="00D77A37">
        <w:rPr>
          <w:rFonts w:asciiTheme="majorHAnsi" w:hAnsiTheme="majorHAnsi"/>
          <w:spacing w:val="-9"/>
          <w:sz w:val="28"/>
          <w:szCs w:val="28"/>
        </w:rPr>
        <w:t xml:space="preserve"> </w:t>
      </w:r>
      <w:r w:rsidRPr="00D77A37">
        <w:rPr>
          <w:rFonts w:asciiTheme="majorHAnsi" w:hAnsiTheme="majorHAnsi"/>
          <w:spacing w:val="-4"/>
          <w:sz w:val="28"/>
          <w:szCs w:val="28"/>
        </w:rPr>
        <w:t>2374-94</w:t>
      </w:r>
      <w:r w:rsidRPr="00D77A37">
        <w:rPr>
          <w:rFonts w:asciiTheme="majorHAnsi" w:hAnsiTheme="majorHAnsi"/>
          <w:spacing w:val="-8"/>
          <w:sz w:val="28"/>
          <w:szCs w:val="28"/>
        </w:rPr>
        <w:t xml:space="preserve"> </w:t>
      </w:r>
      <w:r w:rsidRPr="00D77A37">
        <w:rPr>
          <w:rFonts w:asciiTheme="majorHAnsi" w:hAnsiTheme="majorHAnsi"/>
          <w:spacing w:val="-4"/>
          <w:sz w:val="28"/>
          <w:szCs w:val="28"/>
        </w:rPr>
        <w:t>Розрахунки</w:t>
      </w:r>
      <w:r w:rsidRPr="00D77A37">
        <w:rPr>
          <w:rFonts w:asciiTheme="majorHAnsi" w:hAnsiTheme="majorHAnsi"/>
          <w:spacing w:val="-6"/>
          <w:sz w:val="28"/>
          <w:szCs w:val="28"/>
        </w:rPr>
        <w:t xml:space="preserve"> </w:t>
      </w:r>
      <w:r w:rsidRPr="00D77A37">
        <w:rPr>
          <w:rFonts w:asciiTheme="majorHAnsi" w:hAnsiTheme="majorHAnsi"/>
          <w:spacing w:val="-4"/>
          <w:sz w:val="28"/>
          <w:szCs w:val="28"/>
        </w:rPr>
        <w:t>на</w:t>
      </w:r>
      <w:r w:rsidRPr="00D77A37">
        <w:rPr>
          <w:rFonts w:asciiTheme="majorHAnsi" w:hAnsiTheme="majorHAnsi"/>
          <w:spacing w:val="-7"/>
          <w:sz w:val="28"/>
          <w:szCs w:val="28"/>
        </w:rPr>
        <w:t xml:space="preserve"> </w:t>
      </w:r>
      <w:r w:rsidRPr="00D77A37">
        <w:rPr>
          <w:rFonts w:asciiTheme="majorHAnsi" w:hAnsiTheme="majorHAnsi"/>
          <w:spacing w:val="-4"/>
          <w:sz w:val="28"/>
          <w:szCs w:val="28"/>
        </w:rPr>
        <w:t>міцність</w:t>
      </w:r>
      <w:r w:rsidRPr="00D77A37">
        <w:rPr>
          <w:rFonts w:asciiTheme="majorHAnsi" w:hAnsiTheme="majorHAnsi"/>
          <w:spacing w:val="-9"/>
          <w:sz w:val="28"/>
          <w:szCs w:val="28"/>
        </w:rPr>
        <w:t xml:space="preserve"> </w:t>
      </w:r>
      <w:r w:rsidRPr="00D77A37">
        <w:rPr>
          <w:rFonts w:asciiTheme="majorHAnsi" w:hAnsiTheme="majorHAnsi"/>
          <w:spacing w:val="-4"/>
          <w:sz w:val="28"/>
          <w:szCs w:val="28"/>
        </w:rPr>
        <w:t>та</w:t>
      </w:r>
      <w:r w:rsidRPr="00D77A37">
        <w:rPr>
          <w:rFonts w:asciiTheme="majorHAnsi" w:hAnsiTheme="majorHAnsi"/>
          <w:spacing w:val="-7"/>
          <w:sz w:val="28"/>
          <w:szCs w:val="28"/>
        </w:rPr>
        <w:t xml:space="preserve"> </w:t>
      </w:r>
      <w:r w:rsidRPr="00D77A37">
        <w:rPr>
          <w:rFonts w:asciiTheme="majorHAnsi" w:hAnsiTheme="majorHAnsi"/>
          <w:spacing w:val="-4"/>
          <w:sz w:val="28"/>
          <w:szCs w:val="28"/>
        </w:rPr>
        <w:t>випробування</w:t>
      </w:r>
      <w:r w:rsidRPr="00D77A37">
        <w:rPr>
          <w:rFonts w:asciiTheme="majorHAnsi" w:hAnsiTheme="majorHAnsi"/>
          <w:spacing w:val="-8"/>
          <w:sz w:val="28"/>
          <w:szCs w:val="28"/>
        </w:rPr>
        <w:t xml:space="preserve"> </w:t>
      </w:r>
      <w:r w:rsidRPr="00D77A37">
        <w:rPr>
          <w:rFonts w:asciiTheme="majorHAnsi" w:hAnsiTheme="majorHAnsi"/>
          <w:spacing w:val="-4"/>
          <w:sz w:val="28"/>
          <w:szCs w:val="28"/>
        </w:rPr>
        <w:t>технічних</w:t>
      </w:r>
      <w:r w:rsidRPr="00D77A37">
        <w:rPr>
          <w:rFonts w:asciiTheme="majorHAnsi" w:hAnsiTheme="majorHAnsi"/>
          <w:spacing w:val="-11"/>
          <w:sz w:val="28"/>
          <w:szCs w:val="28"/>
        </w:rPr>
        <w:t xml:space="preserve"> </w:t>
      </w:r>
      <w:r w:rsidRPr="00D77A37">
        <w:rPr>
          <w:rFonts w:asciiTheme="majorHAnsi" w:hAnsiTheme="majorHAnsi"/>
          <w:spacing w:val="-4"/>
          <w:sz w:val="28"/>
          <w:szCs w:val="28"/>
        </w:rPr>
        <w:t>виробів. Акустична</w:t>
      </w:r>
      <w:r w:rsidRPr="00D77A37">
        <w:rPr>
          <w:rFonts w:asciiTheme="majorHAnsi" w:hAnsiTheme="majorHAnsi"/>
          <w:spacing w:val="-6"/>
          <w:sz w:val="28"/>
          <w:szCs w:val="28"/>
        </w:rPr>
        <w:t xml:space="preserve"> </w:t>
      </w:r>
      <w:r w:rsidRPr="00D77A37">
        <w:rPr>
          <w:rFonts w:asciiTheme="majorHAnsi" w:hAnsiTheme="majorHAnsi"/>
          <w:spacing w:val="-4"/>
          <w:sz w:val="28"/>
          <w:szCs w:val="28"/>
        </w:rPr>
        <w:t>емісія.</w:t>
      </w:r>
      <w:r w:rsidRPr="00D77A37">
        <w:rPr>
          <w:rFonts w:asciiTheme="majorHAnsi" w:hAnsiTheme="majorHAnsi"/>
          <w:spacing w:val="-9"/>
          <w:sz w:val="28"/>
          <w:szCs w:val="28"/>
        </w:rPr>
        <w:t xml:space="preserve"> </w:t>
      </w:r>
      <w:r w:rsidRPr="00D77A37">
        <w:rPr>
          <w:rFonts w:asciiTheme="majorHAnsi" w:hAnsiTheme="majorHAnsi"/>
          <w:spacing w:val="-3"/>
          <w:sz w:val="28"/>
          <w:szCs w:val="28"/>
        </w:rPr>
        <w:t>Терміни</w:t>
      </w:r>
      <w:r w:rsidRPr="00D77A37">
        <w:rPr>
          <w:rFonts w:asciiTheme="majorHAnsi" w:hAnsiTheme="majorHAnsi"/>
          <w:spacing w:val="-8"/>
          <w:sz w:val="28"/>
          <w:szCs w:val="28"/>
        </w:rPr>
        <w:t xml:space="preserve"> </w:t>
      </w:r>
      <w:r w:rsidRPr="00D77A37">
        <w:rPr>
          <w:rFonts w:asciiTheme="majorHAnsi" w:hAnsiTheme="majorHAnsi"/>
          <w:spacing w:val="-3"/>
          <w:sz w:val="28"/>
          <w:szCs w:val="28"/>
        </w:rPr>
        <w:t>та</w:t>
      </w:r>
      <w:r w:rsidRPr="00D77A37">
        <w:rPr>
          <w:rFonts w:asciiTheme="majorHAnsi" w:hAnsiTheme="majorHAnsi"/>
          <w:spacing w:val="-9"/>
          <w:sz w:val="28"/>
          <w:szCs w:val="28"/>
        </w:rPr>
        <w:t xml:space="preserve"> </w:t>
      </w:r>
      <w:r w:rsidRPr="00D77A37">
        <w:rPr>
          <w:rFonts w:asciiTheme="majorHAnsi" w:hAnsiTheme="majorHAnsi"/>
          <w:spacing w:val="-3"/>
          <w:sz w:val="28"/>
          <w:szCs w:val="28"/>
        </w:rPr>
        <w:t>визначення</w:t>
      </w:r>
      <w:r w:rsidRPr="00D77A37">
        <w:rPr>
          <w:rFonts w:asciiTheme="majorHAnsi" w:hAnsiTheme="majorHAnsi"/>
          <w:spacing w:val="-47"/>
          <w:sz w:val="28"/>
          <w:szCs w:val="28"/>
        </w:rPr>
        <w:t xml:space="preserve"> </w:t>
      </w:r>
    </w:p>
    <w:p w14:paraId="640A6F37" w14:textId="1DF77820"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w:t>
      </w:r>
      <w:r w:rsidRPr="00D77A37">
        <w:rPr>
          <w:rFonts w:asciiTheme="majorHAnsi" w:hAnsiTheme="majorHAnsi"/>
          <w:spacing w:val="-1"/>
          <w:sz w:val="28"/>
          <w:szCs w:val="28"/>
        </w:rPr>
        <w:t xml:space="preserve"> </w:t>
      </w:r>
      <w:r w:rsidRPr="00D77A37">
        <w:rPr>
          <w:rFonts w:asciiTheme="majorHAnsi" w:hAnsiTheme="majorHAnsi"/>
          <w:sz w:val="28"/>
          <w:szCs w:val="28"/>
        </w:rPr>
        <w:t>2389-94</w:t>
      </w:r>
      <w:r w:rsidRPr="00D77A37">
        <w:rPr>
          <w:rFonts w:asciiTheme="majorHAnsi" w:hAnsiTheme="majorHAnsi"/>
          <w:spacing w:val="-2"/>
          <w:sz w:val="28"/>
          <w:szCs w:val="28"/>
        </w:rPr>
        <w:t xml:space="preserve"> </w:t>
      </w:r>
      <w:r w:rsidRPr="00D77A37">
        <w:rPr>
          <w:rFonts w:asciiTheme="majorHAnsi" w:hAnsiTheme="majorHAnsi"/>
          <w:sz w:val="28"/>
          <w:szCs w:val="28"/>
        </w:rPr>
        <w:t>Технічне</w:t>
      </w:r>
      <w:r w:rsidRPr="00D77A37">
        <w:rPr>
          <w:rFonts w:asciiTheme="majorHAnsi" w:hAnsiTheme="majorHAnsi"/>
          <w:spacing w:val="-1"/>
          <w:sz w:val="28"/>
          <w:szCs w:val="28"/>
        </w:rPr>
        <w:t xml:space="preserve"> </w:t>
      </w:r>
      <w:r w:rsidRPr="00D77A37">
        <w:rPr>
          <w:rFonts w:asciiTheme="majorHAnsi" w:hAnsiTheme="majorHAnsi"/>
          <w:sz w:val="28"/>
          <w:szCs w:val="28"/>
        </w:rPr>
        <w:t>діагностування</w:t>
      </w:r>
      <w:r w:rsidRPr="00D77A37">
        <w:rPr>
          <w:rFonts w:asciiTheme="majorHAnsi" w:hAnsiTheme="majorHAnsi"/>
          <w:spacing w:val="-2"/>
          <w:sz w:val="28"/>
          <w:szCs w:val="28"/>
        </w:rPr>
        <w:t xml:space="preserve"> </w:t>
      </w:r>
      <w:r w:rsidRPr="00D77A37">
        <w:rPr>
          <w:rFonts w:asciiTheme="majorHAnsi" w:hAnsiTheme="majorHAnsi"/>
          <w:sz w:val="28"/>
          <w:szCs w:val="28"/>
        </w:rPr>
        <w:t>та</w:t>
      </w:r>
      <w:r w:rsidRPr="00D77A37">
        <w:rPr>
          <w:rFonts w:asciiTheme="majorHAnsi" w:hAnsiTheme="majorHAnsi"/>
          <w:spacing w:val="1"/>
          <w:sz w:val="28"/>
          <w:szCs w:val="28"/>
        </w:rPr>
        <w:t xml:space="preserve"> </w:t>
      </w:r>
      <w:r w:rsidRPr="00D77A37">
        <w:rPr>
          <w:rFonts w:asciiTheme="majorHAnsi" w:hAnsiTheme="majorHAnsi"/>
          <w:sz w:val="28"/>
          <w:szCs w:val="28"/>
        </w:rPr>
        <w:t>контроль</w:t>
      </w:r>
      <w:r w:rsidRPr="00D77A37">
        <w:rPr>
          <w:rFonts w:asciiTheme="majorHAnsi" w:hAnsiTheme="majorHAnsi"/>
          <w:spacing w:val="1"/>
          <w:sz w:val="28"/>
          <w:szCs w:val="28"/>
        </w:rPr>
        <w:t xml:space="preserve"> </w:t>
      </w:r>
      <w:r w:rsidRPr="00D77A37">
        <w:rPr>
          <w:rFonts w:asciiTheme="majorHAnsi" w:hAnsiTheme="majorHAnsi"/>
          <w:sz w:val="28"/>
          <w:szCs w:val="28"/>
        </w:rPr>
        <w:t>технічного</w:t>
      </w:r>
      <w:r w:rsidRPr="00D77A37">
        <w:rPr>
          <w:rFonts w:asciiTheme="majorHAnsi" w:hAnsiTheme="majorHAnsi"/>
          <w:spacing w:val="1"/>
          <w:sz w:val="28"/>
          <w:szCs w:val="28"/>
        </w:rPr>
        <w:t xml:space="preserve"> </w:t>
      </w:r>
      <w:r w:rsidRPr="00D77A37">
        <w:rPr>
          <w:rFonts w:asciiTheme="majorHAnsi" w:hAnsiTheme="majorHAnsi"/>
          <w:sz w:val="28"/>
          <w:szCs w:val="28"/>
        </w:rPr>
        <w:t>стану.</w:t>
      </w:r>
      <w:r w:rsidRPr="00D77A37">
        <w:rPr>
          <w:rFonts w:asciiTheme="majorHAnsi" w:hAnsiTheme="majorHAnsi"/>
          <w:spacing w:val="-1"/>
          <w:sz w:val="28"/>
          <w:szCs w:val="28"/>
        </w:rPr>
        <w:t xml:space="preserve"> </w:t>
      </w:r>
      <w:r w:rsidRPr="00D77A37">
        <w:rPr>
          <w:rFonts w:asciiTheme="majorHAnsi" w:hAnsiTheme="majorHAnsi"/>
          <w:sz w:val="28"/>
          <w:szCs w:val="28"/>
        </w:rPr>
        <w:t>Терміни</w:t>
      </w:r>
      <w:r w:rsidRPr="00D77A37">
        <w:rPr>
          <w:rFonts w:asciiTheme="majorHAnsi" w:hAnsiTheme="majorHAnsi"/>
          <w:spacing w:val="-2"/>
          <w:sz w:val="28"/>
          <w:szCs w:val="28"/>
        </w:rPr>
        <w:t xml:space="preserve"> </w:t>
      </w:r>
      <w:r w:rsidRPr="00D77A37">
        <w:rPr>
          <w:rFonts w:asciiTheme="majorHAnsi" w:hAnsiTheme="majorHAnsi"/>
          <w:sz w:val="28"/>
          <w:szCs w:val="28"/>
        </w:rPr>
        <w:t>ти визначання</w:t>
      </w:r>
    </w:p>
    <w:p w14:paraId="7F598976"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 2391-2010 Система технологічної документації. Терміни та визначення основних понять</w:t>
      </w:r>
    </w:p>
    <w:p w14:paraId="28FB7712" w14:textId="77777777" w:rsidR="0097612F" w:rsidRPr="00D77A37" w:rsidRDefault="0097612F" w:rsidP="00D77A37">
      <w:pPr>
        <w:pStyle w:val="af6"/>
        <w:numPr>
          <w:ilvl w:val="0"/>
          <w:numId w:val="231"/>
        </w:numPr>
        <w:spacing w:after="0"/>
        <w:rPr>
          <w:rFonts w:asciiTheme="majorHAnsi" w:hAnsiTheme="majorHAnsi"/>
          <w:spacing w:val="-47"/>
          <w:sz w:val="28"/>
          <w:szCs w:val="28"/>
        </w:rPr>
      </w:pPr>
      <w:r w:rsidRPr="00D77A37">
        <w:rPr>
          <w:rFonts w:asciiTheme="majorHAnsi" w:hAnsiTheme="majorHAnsi"/>
          <w:spacing w:val="-2"/>
          <w:sz w:val="28"/>
          <w:szCs w:val="28"/>
        </w:rPr>
        <w:t>ДСТУ</w:t>
      </w:r>
      <w:r w:rsidRPr="00D77A37">
        <w:rPr>
          <w:rFonts w:asciiTheme="majorHAnsi" w:hAnsiTheme="majorHAnsi"/>
          <w:spacing w:val="-10"/>
          <w:sz w:val="28"/>
          <w:szCs w:val="28"/>
        </w:rPr>
        <w:t xml:space="preserve"> </w:t>
      </w:r>
      <w:r w:rsidRPr="00D77A37">
        <w:rPr>
          <w:rFonts w:asciiTheme="majorHAnsi" w:hAnsiTheme="majorHAnsi"/>
          <w:spacing w:val="-2"/>
          <w:sz w:val="28"/>
          <w:szCs w:val="28"/>
        </w:rPr>
        <w:t>2442-94</w:t>
      </w:r>
      <w:r w:rsidRPr="00D77A37">
        <w:rPr>
          <w:rFonts w:asciiTheme="majorHAnsi" w:hAnsiTheme="majorHAnsi"/>
          <w:spacing w:val="-10"/>
          <w:sz w:val="28"/>
          <w:szCs w:val="28"/>
        </w:rPr>
        <w:t xml:space="preserve"> </w:t>
      </w:r>
      <w:r w:rsidRPr="00D77A37">
        <w:rPr>
          <w:rFonts w:asciiTheme="majorHAnsi" w:hAnsiTheme="majorHAnsi"/>
          <w:spacing w:val="-2"/>
          <w:sz w:val="28"/>
          <w:szCs w:val="28"/>
        </w:rPr>
        <w:t>Розрахунки</w:t>
      </w:r>
      <w:r w:rsidRPr="00D77A37">
        <w:rPr>
          <w:rFonts w:asciiTheme="majorHAnsi" w:hAnsiTheme="majorHAnsi"/>
          <w:spacing w:val="-9"/>
          <w:sz w:val="28"/>
          <w:szCs w:val="28"/>
        </w:rPr>
        <w:t xml:space="preserve"> </w:t>
      </w:r>
      <w:r w:rsidRPr="00D77A37">
        <w:rPr>
          <w:rFonts w:asciiTheme="majorHAnsi" w:hAnsiTheme="majorHAnsi"/>
          <w:spacing w:val="-2"/>
          <w:sz w:val="28"/>
          <w:szCs w:val="28"/>
        </w:rPr>
        <w:t>та</w:t>
      </w:r>
      <w:r w:rsidRPr="00D77A37">
        <w:rPr>
          <w:rFonts w:asciiTheme="majorHAnsi" w:hAnsiTheme="majorHAnsi"/>
          <w:spacing w:val="-10"/>
          <w:sz w:val="28"/>
          <w:szCs w:val="28"/>
        </w:rPr>
        <w:t xml:space="preserve"> </w:t>
      </w:r>
      <w:r w:rsidRPr="00D77A37">
        <w:rPr>
          <w:rFonts w:asciiTheme="majorHAnsi" w:hAnsiTheme="majorHAnsi"/>
          <w:spacing w:val="-2"/>
          <w:sz w:val="28"/>
          <w:szCs w:val="28"/>
        </w:rPr>
        <w:t>випробування</w:t>
      </w:r>
      <w:r w:rsidRPr="00D77A37">
        <w:rPr>
          <w:rFonts w:asciiTheme="majorHAnsi" w:hAnsiTheme="majorHAnsi"/>
          <w:spacing w:val="-9"/>
          <w:sz w:val="28"/>
          <w:szCs w:val="28"/>
        </w:rPr>
        <w:t xml:space="preserve"> </w:t>
      </w:r>
      <w:r w:rsidRPr="00D77A37">
        <w:rPr>
          <w:rFonts w:asciiTheme="majorHAnsi" w:hAnsiTheme="majorHAnsi"/>
          <w:spacing w:val="-2"/>
          <w:sz w:val="28"/>
          <w:szCs w:val="28"/>
        </w:rPr>
        <w:t>на</w:t>
      </w:r>
      <w:r w:rsidRPr="00D77A37">
        <w:rPr>
          <w:rFonts w:asciiTheme="majorHAnsi" w:hAnsiTheme="majorHAnsi"/>
          <w:spacing w:val="-9"/>
          <w:sz w:val="28"/>
          <w:szCs w:val="28"/>
        </w:rPr>
        <w:t xml:space="preserve"> </w:t>
      </w:r>
      <w:r w:rsidRPr="00D77A37">
        <w:rPr>
          <w:rFonts w:asciiTheme="majorHAnsi" w:hAnsiTheme="majorHAnsi"/>
          <w:spacing w:val="-1"/>
          <w:sz w:val="28"/>
          <w:szCs w:val="28"/>
        </w:rPr>
        <w:t>міцність.</w:t>
      </w:r>
      <w:r w:rsidRPr="00D77A37">
        <w:rPr>
          <w:rFonts w:asciiTheme="majorHAnsi" w:hAnsiTheme="majorHAnsi"/>
          <w:spacing w:val="-8"/>
          <w:sz w:val="28"/>
          <w:szCs w:val="28"/>
        </w:rPr>
        <w:t xml:space="preserve"> </w:t>
      </w:r>
      <w:r w:rsidRPr="00D77A37">
        <w:rPr>
          <w:rFonts w:asciiTheme="majorHAnsi" w:hAnsiTheme="majorHAnsi"/>
          <w:spacing w:val="-1"/>
          <w:sz w:val="28"/>
          <w:szCs w:val="28"/>
        </w:rPr>
        <w:t>Механіка</w:t>
      </w:r>
      <w:r w:rsidRPr="00D77A37">
        <w:rPr>
          <w:rFonts w:asciiTheme="majorHAnsi" w:hAnsiTheme="majorHAnsi"/>
          <w:spacing w:val="-10"/>
          <w:sz w:val="28"/>
          <w:szCs w:val="28"/>
        </w:rPr>
        <w:t xml:space="preserve"> </w:t>
      </w:r>
      <w:r w:rsidRPr="00D77A37">
        <w:rPr>
          <w:rFonts w:asciiTheme="majorHAnsi" w:hAnsiTheme="majorHAnsi"/>
          <w:spacing w:val="-1"/>
          <w:sz w:val="28"/>
          <w:szCs w:val="28"/>
        </w:rPr>
        <w:t>руйнування.</w:t>
      </w:r>
      <w:r w:rsidRPr="00D77A37">
        <w:rPr>
          <w:rFonts w:asciiTheme="majorHAnsi" w:hAnsiTheme="majorHAnsi"/>
          <w:spacing w:val="-9"/>
          <w:sz w:val="28"/>
          <w:szCs w:val="28"/>
        </w:rPr>
        <w:t xml:space="preserve"> </w:t>
      </w:r>
      <w:r w:rsidRPr="00D77A37">
        <w:rPr>
          <w:rFonts w:asciiTheme="majorHAnsi" w:hAnsiTheme="majorHAnsi"/>
          <w:spacing w:val="-1"/>
          <w:sz w:val="28"/>
          <w:szCs w:val="28"/>
        </w:rPr>
        <w:t>Терміни</w:t>
      </w:r>
      <w:r w:rsidRPr="00D77A37">
        <w:rPr>
          <w:rFonts w:asciiTheme="majorHAnsi" w:hAnsiTheme="majorHAnsi"/>
          <w:spacing w:val="-12"/>
          <w:sz w:val="28"/>
          <w:szCs w:val="28"/>
        </w:rPr>
        <w:t xml:space="preserve"> </w:t>
      </w:r>
      <w:r w:rsidRPr="00D77A37">
        <w:rPr>
          <w:rFonts w:asciiTheme="majorHAnsi" w:hAnsiTheme="majorHAnsi"/>
          <w:spacing w:val="-1"/>
          <w:sz w:val="28"/>
          <w:szCs w:val="28"/>
        </w:rPr>
        <w:t>та</w:t>
      </w:r>
      <w:r w:rsidRPr="00D77A37">
        <w:rPr>
          <w:rFonts w:asciiTheme="majorHAnsi" w:hAnsiTheme="majorHAnsi"/>
          <w:spacing w:val="-8"/>
          <w:sz w:val="28"/>
          <w:szCs w:val="28"/>
        </w:rPr>
        <w:t xml:space="preserve"> </w:t>
      </w:r>
      <w:r w:rsidRPr="00D77A37">
        <w:rPr>
          <w:rFonts w:asciiTheme="majorHAnsi" w:hAnsiTheme="majorHAnsi"/>
          <w:spacing w:val="-1"/>
          <w:sz w:val="28"/>
          <w:szCs w:val="28"/>
        </w:rPr>
        <w:t>визначення</w:t>
      </w:r>
    </w:p>
    <w:p w14:paraId="5213A31D"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w:t>
      </w:r>
      <w:r w:rsidRPr="00D77A37">
        <w:rPr>
          <w:rFonts w:asciiTheme="majorHAnsi" w:hAnsiTheme="majorHAnsi"/>
          <w:spacing w:val="-2"/>
          <w:sz w:val="28"/>
          <w:szCs w:val="28"/>
        </w:rPr>
        <w:t xml:space="preserve"> </w:t>
      </w:r>
      <w:r w:rsidRPr="00D77A37">
        <w:rPr>
          <w:rFonts w:asciiTheme="majorHAnsi" w:hAnsiTheme="majorHAnsi"/>
          <w:sz w:val="28"/>
          <w:szCs w:val="28"/>
        </w:rPr>
        <w:t>2444-94</w:t>
      </w:r>
      <w:r w:rsidRPr="00D77A37">
        <w:rPr>
          <w:rFonts w:asciiTheme="majorHAnsi" w:hAnsiTheme="majorHAnsi"/>
          <w:spacing w:val="-2"/>
          <w:sz w:val="28"/>
          <w:szCs w:val="28"/>
        </w:rPr>
        <w:t xml:space="preserve"> </w:t>
      </w:r>
      <w:r w:rsidRPr="00D77A37">
        <w:rPr>
          <w:rFonts w:asciiTheme="majorHAnsi" w:hAnsiTheme="majorHAnsi"/>
          <w:sz w:val="28"/>
          <w:szCs w:val="28"/>
        </w:rPr>
        <w:t>Розрахунки та</w:t>
      </w:r>
      <w:r w:rsidRPr="00D77A37">
        <w:rPr>
          <w:rFonts w:asciiTheme="majorHAnsi" w:hAnsiTheme="majorHAnsi"/>
          <w:spacing w:val="-1"/>
          <w:sz w:val="28"/>
          <w:szCs w:val="28"/>
        </w:rPr>
        <w:t xml:space="preserve"> </w:t>
      </w:r>
      <w:r w:rsidRPr="00D77A37">
        <w:rPr>
          <w:rFonts w:asciiTheme="majorHAnsi" w:hAnsiTheme="majorHAnsi"/>
          <w:sz w:val="28"/>
          <w:szCs w:val="28"/>
        </w:rPr>
        <w:t>випробування</w:t>
      </w:r>
      <w:r w:rsidRPr="00D77A37">
        <w:rPr>
          <w:rFonts w:asciiTheme="majorHAnsi" w:hAnsiTheme="majorHAnsi"/>
          <w:spacing w:val="-2"/>
          <w:sz w:val="28"/>
          <w:szCs w:val="28"/>
        </w:rPr>
        <w:t xml:space="preserve"> </w:t>
      </w:r>
      <w:r w:rsidRPr="00D77A37">
        <w:rPr>
          <w:rFonts w:asciiTheme="majorHAnsi" w:hAnsiTheme="majorHAnsi"/>
          <w:sz w:val="28"/>
          <w:szCs w:val="28"/>
        </w:rPr>
        <w:t>на</w:t>
      </w:r>
      <w:r w:rsidRPr="00D77A37">
        <w:rPr>
          <w:rFonts w:asciiTheme="majorHAnsi" w:hAnsiTheme="majorHAnsi"/>
          <w:spacing w:val="-1"/>
          <w:sz w:val="28"/>
          <w:szCs w:val="28"/>
        </w:rPr>
        <w:t xml:space="preserve"> </w:t>
      </w:r>
      <w:r w:rsidRPr="00D77A37">
        <w:rPr>
          <w:rFonts w:asciiTheme="majorHAnsi" w:hAnsiTheme="majorHAnsi"/>
          <w:sz w:val="28"/>
          <w:szCs w:val="28"/>
        </w:rPr>
        <w:t>міцність.</w:t>
      </w:r>
      <w:r w:rsidRPr="00D77A37">
        <w:rPr>
          <w:rFonts w:asciiTheme="majorHAnsi" w:hAnsiTheme="majorHAnsi"/>
          <w:spacing w:val="-1"/>
          <w:sz w:val="28"/>
          <w:szCs w:val="28"/>
        </w:rPr>
        <w:t xml:space="preserve"> </w:t>
      </w:r>
      <w:r w:rsidRPr="00D77A37">
        <w:rPr>
          <w:rFonts w:asciiTheme="majorHAnsi" w:hAnsiTheme="majorHAnsi"/>
          <w:sz w:val="28"/>
          <w:szCs w:val="28"/>
        </w:rPr>
        <w:t>Опір</w:t>
      </w:r>
      <w:r w:rsidRPr="00D77A37">
        <w:rPr>
          <w:rFonts w:asciiTheme="majorHAnsi" w:hAnsiTheme="majorHAnsi"/>
          <w:spacing w:val="-1"/>
          <w:sz w:val="28"/>
          <w:szCs w:val="28"/>
        </w:rPr>
        <w:t xml:space="preserve"> </w:t>
      </w:r>
      <w:r w:rsidRPr="00D77A37">
        <w:rPr>
          <w:rFonts w:asciiTheme="majorHAnsi" w:hAnsiTheme="majorHAnsi"/>
          <w:sz w:val="28"/>
          <w:szCs w:val="28"/>
        </w:rPr>
        <w:t>втомі.</w:t>
      </w:r>
      <w:r w:rsidRPr="00D77A37">
        <w:rPr>
          <w:rFonts w:asciiTheme="majorHAnsi" w:hAnsiTheme="majorHAnsi"/>
          <w:spacing w:val="-1"/>
          <w:sz w:val="28"/>
          <w:szCs w:val="28"/>
        </w:rPr>
        <w:t xml:space="preserve"> </w:t>
      </w:r>
      <w:r w:rsidRPr="00D77A37">
        <w:rPr>
          <w:rFonts w:asciiTheme="majorHAnsi" w:hAnsiTheme="majorHAnsi"/>
          <w:sz w:val="28"/>
          <w:szCs w:val="28"/>
        </w:rPr>
        <w:t>Терміни</w:t>
      </w:r>
      <w:r w:rsidRPr="00D77A37">
        <w:rPr>
          <w:rFonts w:asciiTheme="majorHAnsi" w:hAnsiTheme="majorHAnsi"/>
          <w:spacing w:val="-2"/>
          <w:sz w:val="28"/>
          <w:szCs w:val="28"/>
        </w:rPr>
        <w:t xml:space="preserve"> </w:t>
      </w:r>
      <w:r w:rsidRPr="00D77A37">
        <w:rPr>
          <w:rFonts w:asciiTheme="majorHAnsi" w:hAnsiTheme="majorHAnsi"/>
          <w:sz w:val="28"/>
          <w:szCs w:val="28"/>
        </w:rPr>
        <w:t>та</w:t>
      </w:r>
      <w:r w:rsidRPr="00D77A37">
        <w:rPr>
          <w:rFonts w:asciiTheme="majorHAnsi" w:hAnsiTheme="majorHAnsi"/>
          <w:spacing w:val="-1"/>
          <w:sz w:val="28"/>
          <w:szCs w:val="28"/>
        </w:rPr>
        <w:t xml:space="preserve"> </w:t>
      </w:r>
      <w:r w:rsidRPr="00D77A37">
        <w:rPr>
          <w:rFonts w:asciiTheme="majorHAnsi" w:hAnsiTheme="majorHAnsi"/>
          <w:sz w:val="28"/>
          <w:szCs w:val="28"/>
        </w:rPr>
        <w:t>визначення</w:t>
      </w:r>
    </w:p>
    <w:p w14:paraId="56656481"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 2470-94 Надійність техніки. Системи технологічні. Терміни та визначення</w:t>
      </w:r>
      <w:r w:rsidRPr="00D77A37">
        <w:rPr>
          <w:rFonts w:asciiTheme="majorHAnsi" w:hAnsiTheme="majorHAnsi"/>
          <w:spacing w:val="-47"/>
          <w:sz w:val="28"/>
          <w:szCs w:val="28"/>
        </w:rPr>
        <w:t xml:space="preserve"> </w:t>
      </w:r>
      <w:r w:rsidRPr="00D77A37">
        <w:rPr>
          <w:rFonts w:asciiTheme="majorHAnsi" w:hAnsiTheme="majorHAnsi"/>
          <w:sz w:val="28"/>
          <w:szCs w:val="28"/>
        </w:rPr>
        <w:t>ДСТУ</w:t>
      </w:r>
      <w:r w:rsidRPr="00D77A37">
        <w:rPr>
          <w:rFonts w:asciiTheme="majorHAnsi" w:hAnsiTheme="majorHAnsi"/>
          <w:spacing w:val="-1"/>
          <w:sz w:val="28"/>
          <w:szCs w:val="28"/>
        </w:rPr>
        <w:t xml:space="preserve"> </w:t>
      </w:r>
      <w:r w:rsidRPr="00D77A37">
        <w:rPr>
          <w:rFonts w:asciiTheme="majorHAnsi" w:hAnsiTheme="majorHAnsi"/>
          <w:sz w:val="28"/>
          <w:szCs w:val="28"/>
        </w:rPr>
        <w:t>2473-94 Механічні</w:t>
      </w:r>
      <w:r w:rsidRPr="00D77A37">
        <w:rPr>
          <w:rFonts w:asciiTheme="majorHAnsi" w:hAnsiTheme="majorHAnsi"/>
          <w:spacing w:val="-1"/>
          <w:sz w:val="28"/>
          <w:szCs w:val="28"/>
        </w:rPr>
        <w:t xml:space="preserve"> </w:t>
      </w:r>
      <w:r w:rsidRPr="00D77A37">
        <w:rPr>
          <w:rFonts w:asciiTheme="majorHAnsi" w:hAnsiTheme="majorHAnsi"/>
          <w:sz w:val="28"/>
          <w:szCs w:val="28"/>
        </w:rPr>
        <w:t>коливання.</w:t>
      </w:r>
      <w:r w:rsidRPr="00D77A37">
        <w:rPr>
          <w:rFonts w:asciiTheme="majorHAnsi" w:hAnsiTheme="majorHAnsi"/>
          <w:spacing w:val="-1"/>
          <w:sz w:val="28"/>
          <w:szCs w:val="28"/>
        </w:rPr>
        <w:t xml:space="preserve"> </w:t>
      </w:r>
      <w:r w:rsidRPr="00D77A37">
        <w:rPr>
          <w:rFonts w:asciiTheme="majorHAnsi" w:hAnsiTheme="majorHAnsi"/>
          <w:sz w:val="28"/>
          <w:szCs w:val="28"/>
        </w:rPr>
        <w:t>Терміни</w:t>
      </w:r>
      <w:r w:rsidRPr="00D77A37">
        <w:rPr>
          <w:rFonts w:asciiTheme="majorHAnsi" w:hAnsiTheme="majorHAnsi"/>
          <w:spacing w:val="-1"/>
          <w:sz w:val="28"/>
          <w:szCs w:val="28"/>
        </w:rPr>
        <w:t xml:space="preserve"> </w:t>
      </w:r>
      <w:r w:rsidRPr="00D77A37">
        <w:rPr>
          <w:rFonts w:asciiTheme="majorHAnsi" w:hAnsiTheme="majorHAnsi"/>
          <w:sz w:val="28"/>
          <w:szCs w:val="28"/>
        </w:rPr>
        <w:t>та</w:t>
      </w:r>
      <w:r w:rsidRPr="00D77A37">
        <w:rPr>
          <w:rFonts w:asciiTheme="majorHAnsi" w:hAnsiTheme="majorHAnsi"/>
          <w:spacing w:val="-1"/>
          <w:sz w:val="28"/>
          <w:szCs w:val="28"/>
        </w:rPr>
        <w:t xml:space="preserve"> </w:t>
      </w:r>
      <w:r w:rsidRPr="00D77A37">
        <w:rPr>
          <w:rFonts w:asciiTheme="majorHAnsi" w:hAnsiTheme="majorHAnsi"/>
          <w:sz w:val="28"/>
          <w:szCs w:val="28"/>
        </w:rPr>
        <w:t>визначення</w:t>
      </w:r>
    </w:p>
    <w:p w14:paraId="0ACD81F5"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w:t>
      </w:r>
      <w:r w:rsidRPr="00D77A37">
        <w:rPr>
          <w:rFonts w:asciiTheme="majorHAnsi" w:hAnsiTheme="majorHAnsi"/>
          <w:spacing w:val="-3"/>
          <w:sz w:val="28"/>
          <w:szCs w:val="28"/>
        </w:rPr>
        <w:t xml:space="preserve"> </w:t>
      </w:r>
      <w:r w:rsidRPr="00D77A37">
        <w:rPr>
          <w:rFonts w:asciiTheme="majorHAnsi" w:hAnsiTheme="majorHAnsi"/>
          <w:sz w:val="28"/>
          <w:szCs w:val="28"/>
        </w:rPr>
        <w:t>2474</w:t>
      </w:r>
      <w:r w:rsidRPr="00D77A37">
        <w:rPr>
          <w:rFonts w:asciiTheme="majorHAnsi" w:hAnsiTheme="majorHAnsi"/>
          <w:spacing w:val="-3"/>
          <w:sz w:val="28"/>
          <w:szCs w:val="28"/>
        </w:rPr>
        <w:t xml:space="preserve"> </w:t>
      </w:r>
      <w:r w:rsidRPr="00D77A37">
        <w:rPr>
          <w:rFonts w:asciiTheme="majorHAnsi" w:hAnsiTheme="majorHAnsi"/>
          <w:sz w:val="28"/>
          <w:szCs w:val="28"/>
        </w:rPr>
        <w:t>94</w:t>
      </w:r>
      <w:r w:rsidRPr="00D77A37">
        <w:rPr>
          <w:rFonts w:asciiTheme="majorHAnsi" w:hAnsiTheme="majorHAnsi"/>
          <w:spacing w:val="-1"/>
          <w:sz w:val="28"/>
          <w:szCs w:val="28"/>
        </w:rPr>
        <w:t xml:space="preserve"> </w:t>
      </w:r>
      <w:r w:rsidRPr="00D77A37">
        <w:rPr>
          <w:rFonts w:asciiTheme="majorHAnsi" w:hAnsiTheme="majorHAnsi"/>
          <w:sz w:val="28"/>
          <w:szCs w:val="28"/>
        </w:rPr>
        <w:t>Механічні</w:t>
      </w:r>
      <w:r w:rsidRPr="00D77A37">
        <w:rPr>
          <w:rFonts w:asciiTheme="majorHAnsi" w:hAnsiTheme="majorHAnsi"/>
          <w:spacing w:val="-4"/>
          <w:sz w:val="28"/>
          <w:szCs w:val="28"/>
        </w:rPr>
        <w:t xml:space="preserve"> </w:t>
      </w:r>
      <w:r w:rsidRPr="00D77A37">
        <w:rPr>
          <w:rFonts w:asciiTheme="majorHAnsi" w:hAnsiTheme="majorHAnsi"/>
          <w:sz w:val="28"/>
          <w:szCs w:val="28"/>
        </w:rPr>
        <w:t>коливальні</w:t>
      </w:r>
      <w:r w:rsidRPr="00D77A37">
        <w:rPr>
          <w:rFonts w:asciiTheme="majorHAnsi" w:hAnsiTheme="majorHAnsi"/>
          <w:spacing w:val="-3"/>
          <w:sz w:val="28"/>
          <w:szCs w:val="28"/>
        </w:rPr>
        <w:t xml:space="preserve"> </w:t>
      </w:r>
      <w:r w:rsidRPr="00D77A37">
        <w:rPr>
          <w:rFonts w:asciiTheme="majorHAnsi" w:hAnsiTheme="majorHAnsi"/>
          <w:sz w:val="28"/>
          <w:szCs w:val="28"/>
        </w:rPr>
        <w:t>системи.</w:t>
      </w:r>
      <w:r w:rsidRPr="00D77A37">
        <w:rPr>
          <w:rFonts w:asciiTheme="majorHAnsi" w:hAnsiTheme="majorHAnsi"/>
          <w:spacing w:val="-2"/>
          <w:sz w:val="28"/>
          <w:szCs w:val="28"/>
        </w:rPr>
        <w:t xml:space="preserve"> </w:t>
      </w:r>
      <w:r w:rsidRPr="00D77A37">
        <w:rPr>
          <w:rFonts w:asciiTheme="majorHAnsi" w:hAnsiTheme="majorHAnsi"/>
          <w:sz w:val="28"/>
          <w:szCs w:val="28"/>
        </w:rPr>
        <w:t>Терміни</w:t>
      </w:r>
      <w:r w:rsidRPr="00D77A37">
        <w:rPr>
          <w:rFonts w:asciiTheme="majorHAnsi" w:hAnsiTheme="majorHAnsi"/>
          <w:spacing w:val="-3"/>
          <w:sz w:val="28"/>
          <w:szCs w:val="28"/>
        </w:rPr>
        <w:t xml:space="preserve"> </w:t>
      </w:r>
      <w:r w:rsidRPr="00D77A37">
        <w:rPr>
          <w:rFonts w:asciiTheme="majorHAnsi" w:hAnsiTheme="majorHAnsi"/>
          <w:sz w:val="28"/>
          <w:szCs w:val="28"/>
        </w:rPr>
        <w:t>та</w:t>
      </w:r>
      <w:r w:rsidRPr="00D77A37">
        <w:rPr>
          <w:rFonts w:asciiTheme="majorHAnsi" w:hAnsiTheme="majorHAnsi"/>
          <w:spacing w:val="-3"/>
          <w:sz w:val="28"/>
          <w:szCs w:val="28"/>
        </w:rPr>
        <w:t xml:space="preserve"> </w:t>
      </w:r>
      <w:r w:rsidRPr="00D77A37">
        <w:rPr>
          <w:rFonts w:asciiTheme="majorHAnsi" w:hAnsiTheme="majorHAnsi"/>
          <w:sz w:val="28"/>
          <w:szCs w:val="28"/>
        </w:rPr>
        <w:t>визначення</w:t>
      </w:r>
    </w:p>
    <w:p w14:paraId="08FF465C"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w:t>
      </w:r>
      <w:r w:rsidRPr="00D77A37">
        <w:rPr>
          <w:rFonts w:asciiTheme="majorHAnsi" w:hAnsiTheme="majorHAnsi"/>
          <w:spacing w:val="-3"/>
          <w:sz w:val="28"/>
          <w:szCs w:val="28"/>
        </w:rPr>
        <w:t xml:space="preserve"> </w:t>
      </w:r>
      <w:r w:rsidRPr="00D77A37">
        <w:rPr>
          <w:rFonts w:asciiTheme="majorHAnsi" w:hAnsiTheme="majorHAnsi"/>
          <w:sz w:val="28"/>
          <w:szCs w:val="28"/>
        </w:rPr>
        <w:t>2634-94</w:t>
      </w:r>
      <w:r w:rsidRPr="00D77A37">
        <w:rPr>
          <w:rFonts w:asciiTheme="majorHAnsi" w:hAnsiTheme="majorHAnsi"/>
          <w:spacing w:val="-4"/>
          <w:sz w:val="28"/>
          <w:szCs w:val="28"/>
        </w:rPr>
        <w:t xml:space="preserve"> </w:t>
      </w:r>
      <w:r w:rsidRPr="00D77A37">
        <w:rPr>
          <w:rFonts w:asciiTheme="majorHAnsi" w:hAnsiTheme="majorHAnsi"/>
          <w:sz w:val="28"/>
          <w:szCs w:val="28"/>
        </w:rPr>
        <w:t>Вироби</w:t>
      </w:r>
      <w:r w:rsidRPr="00D77A37">
        <w:rPr>
          <w:rFonts w:asciiTheme="majorHAnsi" w:hAnsiTheme="majorHAnsi"/>
          <w:spacing w:val="-5"/>
          <w:sz w:val="28"/>
          <w:szCs w:val="28"/>
        </w:rPr>
        <w:t xml:space="preserve"> </w:t>
      </w:r>
      <w:r w:rsidRPr="00D77A37">
        <w:rPr>
          <w:rFonts w:asciiTheme="majorHAnsi" w:hAnsiTheme="majorHAnsi"/>
          <w:sz w:val="28"/>
          <w:szCs w:val="28"/>
        </w:rPr>
        <w:t>електронної</w:t>
      </w:r>
      <w:r w:rsidRPr="00D77A37">
        <w:rPr>
          <w:rFonts w:asciiTheme="majorHAnsi" w:hAnsiTheme="majorHAnsi"/>
          <w:spacing w:val="-4"/>
          <w:sz w:val="28"/>
          <w:szCs w:val="28"/>
        </w:rPr>
        <w:t xml:space="preserve"> </w:t>
      </w:r>
      <w:r w:rsidRPr="00D77A37">
        <w:rPr>
          <w:rFonts w:asciiTheme="majorHAnsi" w:hAnsiTheme="majorHAnsi"/>
          <w:sz w:val="28"/>
          <w:szCs w:val="28"/>
        </w:rPr>
        <w:t>техніки.</w:t>
      </w:r>
      <w:r w:rsidRPr="00D77A37">
        <w:rPr>
          <w:rFonts w:asciiTheme="majorHAnsi" w:hAnsiTheme="majorHAnsi"/>
          <w:spacing w:val="-3"/>
          <w:sz w:val="28"/>
          <w:szCs w:val="28"/>
        </w:rPr>
        <w:t xml:space="preserve"> </w:t>
      </w:r>
      <w:r w:rsidRPr="00D77A37">
        <w:rPr>
          <w:rFonts w:asciiTheme="majorHAnsi" w:hAnsiTheme="majorHAnsi"/>
          <w:sz w:val="28"/>
          <w:szCs w:val="28"/>
        </w:rPr>
        <w:t>Методи</w:t>
      </w:r>
      <w:r w:rsidRPr="00D77A37">
        <w:rPr>
          <w:rFonts w:asciiTheme="majorHAnsi" w:hAnsiTheme="majorHAnsi"/>
          <w:spacing w:val="-5"/>
          <w:sz w:val="28"/>
          <w:szCs w:val="28"/>
        </w:rPr>
        <w:t xml:space="preserve"> </w:t>
      </w:r>
      <w:r w:rsidRPr="00D77A37">
        <w:rPr>
          <w:rFonts w:asciiTheme="majorHAnsi" w:hAnsiTheme="majorHAnsi"/>
          <w:sz w:val="28"/>
          <w:szCs w:val="28"/>
        </w:rPr>
        <w:t>оцінювання</w:t>
      </w:r>
      <w:r w:rsidRPr="00D77A37">
        <w:rPr>
          <w:rFonts w:asciiTheme="majorHAnsi" w:hAnsiTheme="majorHAnsi"/>
          <w:spacing w:val="-4"/>
          <w:sz w:val="28"/>
          <w:szCs w:val="28"/>
        </w:rPr>
        <w:t xml:space="preserve"> </w:t>
      </w:r>
      <w:r w:rsidRPr="00D77A37">
        <w:rPr>
          <w:rFonts w:asciiTheme="majorHAnsi" w:hAnsiTheme="majorHAnsi"/>
          <w:sz w:val="28"/>
          <w:szCs w:val="28"/>
        </w:rPr>
        <w:t>відповідності</w:t>
      </w:r>
      <w:r w:rsidRPr="00D77A37">
        <w:rPr>
          <w:rFonts w:asciiTheme="majorHAnsi" w:hAnsiTheme="majorHAnsi"/>
          <w:spacing w:val="-1"/>
          <w:sz w:val="28"/>
          <w:szCs w:val="28"/>
        </w:rPr>
        <w:t xml:space="preserve"> </w:t>
      </w:r>
      <w:r w:rsidRPr="00D77A37">
        <w:rPr>
          <w:rFonts w:asciiTheme="majorHAnsi" w:hAnsiTheme="majorHAnsi"/>
          <w:sz w:val="28"/>
          <w:szCs w:val="28"/>
        </w:rPr>
        <w:t>вимогам</w:t>
      </w:r>
      <w:r w:rsidRPr="00D77A37">
        <w:rPr>
          <w:rFonts w:asciiTheme="majorHAnsi" w:hAnsiTheme="majorHAnsi"/>
          <w:spacing w:val="-2"/>
          <w:sz w:val="28"/>
          <w:szCs w:val="28"/>
        </w:rPr>
        <w:t xml:space="preserve"> </w:t>
      </w:r>
      <w:r w:rsidRPr="00D77A37">
        <w:rPr>
          <w:rFonts w:asciiTheme="majorHAnsi" w:hAnsiTheme="majorHAnsi"/>
          <w:sz w:val="28"/>
          <w:szCs w:val="28"/>
        </w:rPr>
        <w:t>до</w:t>
      </w:r>
      <w:r w:rsidRPr="00D77A37">
        <w:rPr>
          <w:rFonts w:asciiTheme="majorHAnsi" w:hAnsiTheme="majorHAnsi"/>
          <w:spacing w:val="-2"/>
          <w:sz w:val="28"/>
          <w:szCs w:val="28"/>
        </w:rPr>
        <w:t xml:space="preserve"> </w:t>
      </w:r>
      <w:r w:rsidRPr="00D77A37">
        <w:rPr>
          <w:rFonts w:asciiTheme="majorHAnsi" w:hAnsiTheme="majorHAnsi"/>
          <w:sz w:val="28"/>
          <w:szCs w:val="28"/>
        </w:rPr>
        <w:t>надійності</w:t>
      </w:r>
    </w:p>
    <w:p w14:paraId="443AED4C"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w:t>
      </w:r>
      <w:r w:rsidRPr="00D77A37">
        <w:rPr>
          <w:rFonts w:asciiTheme="majorHAnsi" w:hAnsiTheme="majorHAnsi"/>
          <w:spacing w:val="4"/>
          <w:sz w:val="28"/>
          <w:szCs w:val="28"/>
        </w:rPr>
        <w:t xml:space="preserve"> </w:t>
      </w:r>
      <w:r w:rsidRPr="00D77A37">
        <w:rPr>
          <w:rFonts w:asciiTheme="majorHAnsi" w:hAnsiTheme="majorHAnsi"/>
          <w:sz w:val="28"/>
          <w:szCs w:val="28"/>
        </w:rPr>
        <w:t>2681-94</w:t>
      </w:r>
      <w:r w:rsidRPr="00D77A37">
        <w:rPr>
          <w:rFonts w:asciiTheme="majorHAnsi" w:hAnsiTheme="majorHAnsi"/>
          <w:spacing w:val="5"/>
          <w:sz w:val="28"/>
          <w:szCs w:val="28"/>
        </w:rPr>
        <w:t xml:space="preserve"> </w:t>
      </w:r>
      <w:r w:rsidRPr="00D77A37">
        <w:rPr>
          <w:rFonts w:asciiTheme="majorHAnsi" w:hAnsiTheme="majorHAnsi"/>
          <w:sz w:val="28"/>
          <w:szCs w:val="28"/>
        </w:rPr>
        <w:t>Державна</w:t>
      </w:r>
      <w:r w:rsidRPr="00D77A37">
        <w:rPr>
          <w:rFonts w:asciiTheme="majorHAnsi" w:hAnsiTheme="majorHAnsi"/>
          <w:spacing w:val="4"/>
          <w:sz w:val="28"/>
          <w:szCs w:val="28"/>
        </w:rPr>
        <w:t xml:space="preserve"> </w:t>
      </w:r>
      <w:r w:rsidRPr="00D77A37">
        <w:rPr>
          <w:rFonts w:asciiTheme="majorHAnsi" w:hAnsiTheme="majorHAnsi"/>
          <w:sz w:val="28"/>
          <w:szCs w:val="28"/>
        </w:rPr>
        <w:t>система</w:t>
      </w:r>
      <w:r w:rsidRPr="00D77A37">
        <w:rPr>
          <w:rFonts w:asciiTheme="majorHAnsi" w:hAnsiTheme="majorHAnsi"/>
          <w:spacing w:val="4"/>
          <w:sz w:val="28"/>
          <w:szCs w:val="28"/>
        </w:rPr>
        <w:t xml:space="preserve"> </w:t>
      </w:r>
      <w:r w:rsidRPr="00D77A37">
        <w:rPr>
          <w:rFonts w:asciiTheme="majorHAnsi" w:hAnsiTheme="majorHAnsi"/>
          <w:sz w:val="28"/>
          <w:szCs w:val="28"/>
        </w:rPr>
        <w:t>забезпечення</w:t>
      </w:r>
      <w:r w:rsidRPr="00D77A37">
        <w:rPr>
          <w:rFonts w:asciiTheme="majorHAnsi" w:hAnsiTheme="majorHAnsi"/>
          <w:spacing w:val="3"/>
          <w:sz w:val="28"/>
          <w:szCs w:val="28"/>
        </w:rPr>
        <w:t xml:space="preserve"> </w:t>
      </w:r>
      <w:r w:rsidRPr="00D77A37">
        <w:rPr>
          <w:rFonts w:asciiTheme="majorHAnsi" w:hAnsiTheme="majorHAnsi"/>
          <w:sz w:val="28"/>
          <w:szCs w:val="28"/>
        </w:rPr>
        <w:t>єдності</w:t>
      </w:r>
      <w:r w:rsidRPr="00D77A37">
        <w:rPr>
          <w:rFonts w:asciiTheme="majorHAnsi" w:hAnsiTheme="majorHAnsi"/>
          <w:spacing w:val="6"/>
          <w:sz w:val="28"/>
          <w:szCs w:val="28"/>
        </w:rPr>
        <w:t xml:space="preserve"> </w:t>
      </w:r>
      <w:r w:rsidRPr="00D77A37">
        <w:rPr>
          <w:rFonts w:asciiTheme="majorHAnsi" w:hAnsiTheme="majorHAnsi"/>
          <w:sz w:val="28"/>
          <w:szCs w:val="28"/>
        </w:rPr>
        <w:t>вимірювань.</w:t>
      </w:r>
      <w:r w:rsidRPr="00D77A37">
        <w:rPr>
          <w:rFonts w:asciiTheme="majorHAnsi" w:hAnsiTheme="majorHAnsi"/>
          <w:spacing w:val="4"/>
          <w:sz w:val="28"/>
          <w:szCs w:val="28"/>
        </w:rPr>
        <w:t xml:space="preserve"> </w:t>
      </w:r>
      <w:r w:rsidRPr="00D77A37">
        <w:rPr>
          <w:rFonts w:asciiTheme="majorHAnsi" w:hAnsiTheme="majorHAnsi"/>
          <w:sz w:val="28"/>
          <w:szCs w:val="28"/>
        </w:rPr>
        <w:t>Метрологія.</w:t>
      </w:r>
      <w:r w:rsidRPr="00D77A37">
        <w:rPr>
          <w:rFonts w:asciiTheme="majorHAnsi" w:hAnsiTheme="majorHAnsi"/>
          <w:spacing w:val="4"/>
          <w:sz w:val="28"/>
          <w:szCs w:val="28"/>
        </w:rPr>
        <w:t xml:space="preserve"> </w:t>
      </w:r>
      <w:r w:rsidRPr="00D77A37">
        <w:rPr>
          <w:rFonts w:asciiTheme="majorHAnsi" w:hAnsiTheme="majorHAnsi"/>
          <w:sz w:val="28"/>
          <w:szCs w:val="28"/>
        </w:rPr>
        <w:t>Терміни</w:t>
      </w:r>
      <w:r w:rsidRPr="00D77A37">
        <w:rPr>
          <w:rFonts w:asciiTheme="majorHAnsi" w:hAnsiTheme="majorHAnsi"/>
          <w:spacing w:val="3"/>
          <w:sz w:val="28"/>
          <w:szCs w:val="28"/>
        </w:rPr>
        <w:t xml:space="preserve"> </w:t>
      </w:r>
      <w:r w:rsidRPr="00D77A37">
        <w:rPr>
          <w:rFonts w:asciiTheme="majorHAnsi" w:hAnsiTheme="majorHAnsi"/>
          <w:sz w:val="28"/>
          <w:szCs w:val="28"/>
        </w:rPr>
        <w:t>та</w:t>
      </w:r>
      <w:r w:rsidRPr="00D77A37">
        <w:rPr>
          <w:rFonts w:asciiTheme="majorHAnsi" w:hAnsiTheme="majorHAnsi"/>
          <w:spacing w:val="5"/>
          <w:sz w:val="28"/>
          <w:szCs w:val="28"/>
        </w:rPr>
        <w:t xml:space="preserve"> </w:t>
      </w:r>
      <w:r w:rsidRPr="00D77A37">
        <w:rPr>
          <w:rFonts w:asciiTheme="majorHAnsi" w:hAnsiTheme="majorHAnsi"/>
          <w:sz w:val="28"/>
          <w:szCs w:val="28"/>
        </w:rPr>
        <w:t>визначення</w:t>
      </w:r>
      <w:r w:rsidRPr="00D77A37">
        <w:rPr>
          <w:rFonts w:asciiTheme="majorHAnsi" w:hAnsiTheme="majorHAnsi"/>
          <w:spacing w:val="1"/>
          <w:sz w:val="28"/>
          <w:szCs w:val="28"/>
        </w:rPr>
        <w:t xml:space="preserve"> </w:t>
      </w:r>
    </w:p>
    <w:p w14:paraId="23AE4717"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w:t>
      </w:r>
      <w:r w:rsidRPr="00D77A37">
        <w:rPr>
          <w:rFonts w:asciiTheme="majorHAnsi" w:hAnsiTheme="majorHAnsi"/>
          <w:spacing w:val="-3"/>
          <w:sz w:val="28"/>
          <w:szCs w:val="28"/>
        </w:rPr>
        <w:t xml:space="preserve"> </w:t>
      </w:r>
      <w:r w:rsidRPr="00D77A37">
        <w:rPr>
          <w:rFonts w:asciiTheme="majorHAnsi" w:hAnsiTheme="majorHAnsi"/>
          <w:sz w:val="28"/>
          <w:szCs w:val="28"/>
        </w:rPr>
        <w:t>2823-94</w:t>
      </w:r>
      <w:r w:rsidRPr="00D77A37">
        <w:rPr>
          <w:rFonts w:asciiTheme="majorHAnsi" w:hAnsiTheme="majorHAnsi"/>
          <w:spacing w:val="-2"/>
          <w:sz w:val="28"/>
          <w:szCs w:val="28"/>
        </w:rPr>
        <w:t xml:space="preserve"> </w:t>
      </w:r>
      <w:r w:rsidRPr="00D77A37">
        <w:rPr>
          <w:rFonts w:asciiTheme="majorHAnsi" w:hAnsiTheme="majorHAnsi"/>
          <w:sz w:val="28"/>
          <w:szCs w:val="28"/>
        </w:rPr>
        <w:t>Зносостійкість</w:t>
      </w:r>
      <w:r w:rsidRPr="00D77A37">
        <w:rPr>
          <w:rFonts w:asciiTheme="majorHAnsi" w:hAnsiTheme="majorHAnsi"/>
          <w:spacing w:val="-3"/>
          <w:sz w:val="28"/>
          <w:szCs w:val="28"/>
        </w:rPr>
        <w:t xml:space="preserve"> </w:t>
      </w:r>
      <w:r w:rsidRPr="00D77A37">
        <w:rPr>
          <w:rFonts w:asciiTheme="majorHAnsi" w:hAnsiTheme="majorHAnsi"/>
          <w:sz w:val="28"/>
          <w:szCs w:val="28"/>
        </w:rPr>
        <w:t>виробів.</w:t>
      </w:r>
      <w:r w:rsidRPr="00D77A37">
        <w:rPr>
          <w:rFonts w:asciiTheme="majorHAnsi" w:hAnsiTheme="majorHAnsi"/>
          <w:spacing w:val="-3"/>
          <w:sz w:val="28"/>
          <w:szCs w:val="28"/>
        </w:rPr>
        <w:t xml:space="preserve"> </w:t>
      </w:r>
      <w:r w:rsidRPr="00D77A37">
        <w:rPr>
          <w:rFonts w:asciiTheme="majorHAnsi" w:hAnsiTheme="majorHAnsi"/>
          <w:sz w:val="28"/>
          <w:szCs w:val="28"/>
        </w:rPr>
        <w:t>Тертя</w:t>
      </w:r>
      <w:r w:rsidRPr="00D77A37">
        <w:rPr>
          <w:rFonts w:asciiTheme="majorHAnsi" w:hAnsiTheme="majorHAnsi"/>
          <w:spacing w:val="-3"/>
          <w:sz w:val="28"/>
          <w:szCs w:val="28"/>
        </w:rPr>
        <w:t xml:space="preserve"> </w:t>
      </w:r>
      <w:r w:rsidRPr="00D77A37">
        <w:rPr>
          <w:rFonts w:asciiTheme="majorHAnsi" w:hAnsiTheme="majorHAnsi"/>
          <w:sz w:val="28"/>
          <w:szCs w:val="28"/>
        </w:rPr>
        <w:t>зношування</w:t>
      </w:r>
      <w:r w:rsidRPr="00D77A37">
        <w:rPr>
          <w:rFonts w:asciiTheme="majorHAnsi" w:hAnsiTheme="majorHAnsi"/>
          <w:spacing w:val="-4"/>
          <w:sz w:val="28"/>
          <w:szCs w:val="28"/>
        </w:rPr>
        <w:t xml:space="preserve"> </w:t>
      </w:r>
      <w:r w:rsidRPr="00D77A37">
        <w:rPr>
          <w:rFonts w:asciiTheme="majorHAnsi" w:hAnsiTheme="majorHAnsi"/>
          <w:sz w:val="28"/>
          <w:szCs w:val="28"/>
        </w:rPr>
        <w:t>та</w:t>
      </w:r>
      <w:r w:rsidRPr="00D77A37">
        <w:rPr>
          <w:rFonts w:asciiTheme="majorHAnsi" w:hAnsiTheme="majorHAnsi"/>
          <w:spacing w:val="-4"/>
          <w:sz w:val="28"/>
          <w:szCs w:val="28"/>
        </w:rPr>
        <w:t xml:space="preserve"> </w:t>
      </w:r>
      <w:r w:rsidRPr="00D77A37">
        <w:rPr>
          <w:rFonts w:asciiTheme="majorHAnsi" w:hAnsiTheme="majorHAnsi"/>
          <w:sz w:val="28"/>
          <w:szCs w:val="28"/>
        </w:rPr>
        <w:t>мащення.</w:t>
      </w:r>
      <w:r w:rsidRPr="00D77A37">
        <w:rPr>
          <w:rFonts w:asciiTheme="majorHAnsi" w:hAnsiTheme="majorHAnsi"/>
          <w:spacing w:val="-2"/>
          <w:sz w:val="28"/>
          <w:szCs w:val="28"/>
        </w:rPr>
        <w:t xml:space="preserve"> </w:t>
      </w:r>
      <w:r w:rsidRPr="00D77A37">
        <w:rPr>
          <w:rFonts w:asciiTheme="majorHAnsi" w:hAnsiTheme="majorHAnsi"/>
          <w:sz w:val="28"/>
          <w:szCs w:val="28"/>
        </w:rPr>
        <w:t>Терміни</w:t>
      </w:r>
      <w:r w:rsidRPr="00D77A37">
        <w:rPr>
          <w:rFonts w:asciiTheme="majorHAnsi" w:hAnsiTheme="majorHAnsi"/>
          <w:spacing w:val="-4"/>
          <w:sz w:val="28"/>
          <w:szCs w:val="28"/>
        </w:rPr>
        <w:t xml:space="preserve"> </w:t>
      </w:r>
      <w:r w:rsidRPr="00D77A37">
        <w:rPr>
          <w:rFonts w:asciiTheme="majorHAnsi" w:hAnsiTheme="majorHAnsi"/>
          <w:sz w:val="28"/>
          <w:szCs w:val="28"/>
        </w:rPr>
        <w:t>та</w:t>
      </w:r>
      <w:r w:rsidRPr="00D77A37">
        <w:rPr>
          <w:rFonts w:asciiTheme="majorHAnsi" w:hAnsiTheme="majorHAnsi"/>
          <w:spacing w:val="-3"/>
          <w:sz w:val="28"/>
          <w:szCs w:val="28"/>
        </w:rPr>
        <w:t xml:space="preserve"> </w:t>
      </w:r>
      <w:r w:rsidRPr="00D77A37">
        <w:rPr>
          <w:rFonts w:asciiTheme="majorHAnsi" w:hAnsiTheme="majorHAnsi"/>
          <w:sz w:val="28"/>
          <w:szCs w:val="28"/>
        </w:rPr>
        <w:t>визначення</w:t>
      </w:r>
    </w:p>
    <w:p w14:paraId="6FEA05F5"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 2824-94 Розрахунки та випробування на міцність. Види і методи механічних випробувань. Терміни та</w:t>
      </w:r>
      <w:r w:rsidRPr="00D77A37">
        <w:rPr>
          <w:rFonts w:asciiTheme="majorHAnsi" w:hAnsiTheme="majorHAnsi"/>
          <w:spacing w:val="-47"/>
          <w:sz w:val="28"/>
          <w:szCs w:val="28"/>
        </w:rPr>
        <w:t xml:space="preserve"> </w:t>
      </w:r>
      <w:r w:rsidRPr="00D77A37">
        <w:rPr>
          <w:rFonts w:asciiTheme="majorHAnsi" w:hAnsiTheme="majorHAnsi"/>
          <w:sz w:val="28"/>
          <w:szCs w:val="28"/>
        </w:rPr>
        <w:t>визначення</w:t>
      </w:r>
    </w:p>
    <w:p w14:paraId="7FF38894"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lastRenderedPageBreak/>
        <w:t>ДСТУ 2825-94 Розрахунки та випробування на міцність. Терміни та визначення основних понять</w:t>
      </w:r>
      <w:r w:rsidRPr="00D77A37">
        <w:rPr>
          <w:rFonts w:asciiTheme="majorHAnsi" w:hAnsiTheme="majorHAnsi"/>
          <w:spacing w:val="-47"/>
          <w:sz w:val="28"/>
          <w:szCs w:val="28"/>
        </w:rPr>
        <w:t xml:space="preserve"> </w:t>
      </w:r>
      <w:r w:rsidRPr="00D77A37">
        <w:rPr>
          <w:rFonts w:asciiTheme="majorHAnsi" w:hAnsiTheme="majorHAnsi"/>
          <w:sz w:val="28"/>
          <w:szCs w:val="28"/>
        </w:rPr>
        <w:t>ДСТУ</w:t>
      </w:r>
      <w:r w:rsidRPr="00D77A37">
        <w:rPr>
          <w:rFonts w:asciiTheme="majorHAnsi" w:hAnsiTheme="majorHAnsi"/>
          <w:spacing w:val="-1"/>
          <w:sz w:val="28"/>
          <w:szCs w:val="28"/>
        </w:rPr>
        <w:t xml:space="preserve"> </w:t>
      </w:r>
      <w:r w:rsidRPr="00D77A37">
        <w:rPr>
          <w:rFonts w:asciiTheme="majorHAnsi" w:hAnsiTheme="majorHAnsi"/>
          <w:sz w:val="28"/>
          <w:szCs w:val="28"/>
        </w:rPr>
        <w:t>2844-94 Програмні</w:t>
      </w:r>
      <w:r w:rsidRPr="00D77A37">
        <w:rPr>
          <w:rFonts w:asciiTheme="majorHAnsi" w:hAnsiTheme="majorHAnsi"/>
          <w:spacing w:val="-2"/>
          <w:sz w:val="28"/>
          <w:szCs w:val="28"/>
        </w:rPr>
        <w:t xml:space="preserve"> </w:t>
      </w:r>
      <w:r w:rsidRPr="00D77A37">
        <w:rPr>
          <w:rFonts w:asciiTheme="majorHAnsi" w:hAnsiTheme="majorHAnsi"/>
          <w:sz w:val="28"/>
          <w:szCs w:val="28"/>
        </w:rPr>
        <w:t>засоби</w:t>
      </w:r>
      <w:r w:rsidRPr="00D77A37">
        <w:rPr>
          <w:rFonts w:asciiTheme="majorHAnsi" w:hAnsiTheme="majorHAnsi"/>
          <w:spacing w:val="-3"/>
          <w:sz w:val="28"/>
          <w:szCs w:val="28"/>
        </w:rPr>
        <w:t xml:space="preserve"> </w:t>
      </w:r>
      <w:r w:rsidRPr="00D77A37">
        <w:rPr>
          <w:rFonts w:asciiTheme="majorHAnsi" w:hAnsiTheme="majorHAnsi"/>
          <w:sz w:val="28"/>
          <w:szCs w:val="28"/>
        </w:rPr>
        <w:t>ЕОМ.</w:t>
      </w:r>
      <w:r w:rsidRPr="00D77A37">
        <w:rPr>
          <w:rFonts w:asciiTheme="majorHAnsi" w:hAnsiTheme="majorHAnsi"/>
          <w:spacing w:val="-1"/>
          <w:sz w:val="28"/>
          <w:szCs w:val="28"/>
        </w:rPr>
        <w:t xml:space="preserve"> </w:t>
      </w:r>
      <w:r w:rsidRPr="00D77A37">
        <w:rPr>
          <w:rFonts w:asciiTheme="majorHAnsi" w:hAnsiTheme="majorHAnsi"/>
          <w:sz w:val="28"/>
          <w:szCs w:val="28"/>
        </w:rPr>
        <w:t>Забезпечення</w:t>
      </w:r>
      <w:r w:rsidRPr="00D77A37">
        <w:rPr>
          <w:rFonts w:asciiTheme="majorHAnsi" w:hAnsiTheme="majorHAnsi"/>
          <w:spacing w:val="1"/>
          <w:sz w:val="28"/>
          <w:szCs w:val="28"/>
        </w:rPr>
        <w:t xml:space="preserve"> </w:t>
      </w:r>
      <w:r w:rsidRPr="00D77A37">
        <w:rPr>
          <w:rFonts w:asciiTheme="majorHAnsi" w:hAnsiTheme="majorHAnsi"/>
          <w:sz w:val="28"/>
          <w:szCs w:val="28"/>
        </w:rPr>
        <w:t>якості.</w:t>
      </w:r>
      <w:r w:rsidRPr="00D77A37">
        <w:rPr>
          <w:rFonts w:asciiTheme="majorHAnsi" w:hAnsiTheme="majorHAnsi"/>
          <w:spacing w:val="-1"/>
          <w:sz w:val="28"/>
          <w:szCs w:val="28"/>
        </w:rPr>
        <w:t xml:space="preserve"> </w:t>
      </w:r>
      <w:r w:rsidRPr="00D77A37">
        <w:rPr>
          <w:rFonts w:asciiTheme="majorHAnsi" w:hAnsiTheme="majorHAnsi"/>
          <w:sz w:val="28"/>
          <w:szCs w:val="28"/>
        </w:rPr>
        <w:t>Терміни</w:t>
      </w:r>
      <w:r w:rsidRPr="00D77A37">
        <w:rPr>
          <w:rFonts w:asciiTheme="majorHAnsi" w:hAnsiTheme="majorHAnsi"/>
          <w:spacing w:val="-2"/>
          <w:sz w:val="28"/>
          <w:szCs w:val="28"/>
        </w:rPr>
        <w:t xml:space="preserve"> </w:t>
      </w:r>
      <w:r w:rsidRPr="00D77A37">
        <w:rPr>
          <w:rFonts w:asciiTheme="majorHAnsi" w:hAnsiTheme="majorHAnsi"/>
          <w:sz w:val="28"/>
          <w:szCs w:val="28"/>
        </w:rPr>
        <w:t>та</w:t>
      </w:r>
      <w:r w:rsidRPr="00D77A37">
        <w:rPr>
          <w:rFonts w:asciiTheme="majorHAnsi" w:hAnsiTheme="majorHAnsi"/>
          <w:spacing w:val="-1"/>
          <w:sz w:val="28"/>
          <w:szCs w:val="28"/>
        </w:rPr>
        <w:t xml:space="preserve"> </w:t>
      </w:r>
      <w:r w:rsidRPr="00D77A37">
        <w:rPr>
          <w:rFonts w:asciiTheme="majorHAnsi" w:hAnsiTheme="majorHAnsi"/>
          <w:sz w:val="28"/>
          <w:szCs w:val="28"/>
        </w:rPr>
        <w:t>визначення</w:t>
      </w:r>
    </w:p>
    <w:p w14:paraId="3CCB8A48"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 2860-94 Надійність техніки. Терміни та визначення</w:t>
      </w:r>
    </w:p>
    <w:p w14:paraId="6784B103"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w:t>
      </w:r>
      <w:r w:rsidRPr="00D77A37">
        <w:rPr>
          <w:rFonts w:asciiTheme="majorHAnsi" w:hAnsiTheme="majorHAnsi"/>
          <w:spacing w:val="-5"/>
          <w:sz w:val="28"/>
          <w:szCs w:val="28"/>
        </w:rPr>
        <w:t xml:space="preserve"> </w:t>
      </w:r>
      <w:r w:rsidRPr="00D77A37">
        <w:rPr>
          <w:rFonts w:asciiTheme="majorHAnsi" w:hAnsiTheme="majorHAnsi"/>
          <w:sz w:val="28"/>
          <w:szCs w:val="28"/>
        </w:rPr>
        <w:t>2865-94</w:t>
      </w:r>
      <w:r w:rsidRPr="00D77A37">
        <w:rPr>
          <w:rFonts w:asciiTheme="majorHAnsi" w:hAnsiTheme="majorHAnsi"/>
          <w:spacing w:val="-3"/>
          <w:sz w:val="28"/>
          <w:szCs w:val="28"/>
        </w:rPr>
        <w:t xml:space="preserve"> </w:t>
      </w:r>
      <w:r w:rsidRPr="00D77A37">
        <w:rPr>
          <w:rFonts w:asciiTheme="majorHAnsi" w:hAnsiTheme="majorHAnsi"/>
          <w:sz w:val="28"/>
          <w:szCs w:val="28"/>
        </w:rPr>
        <w:t>Контроль</w:t>
      </w:r>
      <w:r w:rsidRPr="00D77A37">
        <w:rPr>
          <w:rFonts w:asciiTheme="majorHAnsi" w:hAnsiTheme="majorHAnsi"/>
          <w:spacing w:val="-4"/>
          <w:sz w:val="28"/>
          <w:szCs w:val="28"/>
        </w:rPr>
        <w:t xml:space="preserve"> </w:t>
      </w:r>
      <w:r w:rsidRPr="00D77A37">
        <w:rPr>
          <w:rFonts w:asciiTheme="majorHAnsi" w:hAnsiTheme="majorHAnsi"/>
          <w:sz w:val="28"/>
          <w:szCs w:val="28"/>
        </w:rPr>
        <w:t>неруйнівний.</w:t>
      </w:r>
      <w:r w:rsidRPr="00D77A37">
        <w:rPr>
          <w:rFonts w:asciiTheme="majorHAnsi" w:hAnsiTheme="majorHAnsi"/>
          <w:spacing w:val="-5"/>
          <w:sz w:val="28"/>
          <w:szCs w:val="28"/>
        </w:rPr>
        <w:t xml:space="preserve"> </w:t>
      </w:r>
      <w:r w:rsidRPr="00D77A37">
        <w:rPr>
          <w:rFonts w:asciiTheme="majorHAnsi" w:hAnsiTheme="majorHAnsi"/>
          <w:sz w:val="28"/>
          <w:szCs w:val="28"/>
        </w:rPr>
        <w:t>Терміни</w:t>
      </w:r>
      <w:r w:rsidRPr="00D77A37">
        <w:rPr>
          <w:rFonts w:asciiTheme="majorHAnsi" w:hAnsiTheme="majorHAnsi"/>
          <w:spacing w:val="-5"/>
          <w:sz w:val="28"/>
          <w:szCs w:val="28"/>
        </w:rPr>
        <w:t xml:space="preserve"> </w:t>
      </w:r>
      <w:r w:rsidRPr="00D77A37">
        <w:rPr>
          <w:rFonts w:asciiTheme="majorHAnsi" w:hAnsiTheme="majorHAnsi"/>
          <w:sz w:val="28"/>
          <w:szCs w:val="28"/>
        </w:rPr>
        <w:t>та</w:t>
      </w:r>
      <w:r w:rsidRPr="00D77A37">
        <w:rPr>
          <w:rFonts w:asciiTheme="majorHAnsi" w:hAnsiTheme="majorHAnsi"/>
          <w:spacing w:val="-4"/>
          <w:sz w:val="28"/>
          <w:szCs w:val="28"/>
        </w:rPr>
        <w:t xml:space="preserve"> </w:t>
      </w:r>
      <w:r w:rsidRPr="00D77A37">
        <w:rPr>
          <w:rFonts w:asciiTheme="majorHAnsi" w:hAnsiTheme="majorHAnsi"/>
          <w:sz w:val="28"/>
          <w:szCs w:val="28"/>
        </w:rPr>
        <w:t>визначення</w:t>
      </w:r>
    </w:p>
    <w:p w14:paraId="6887BD85"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 2866-94 Контроль неруйнівний електричний. Терміни та визначення</w:t>
      </w:r>
    </w:p>
    <w:p w14:paraId="3A7E73B4"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w:t>
      </w:r>
      <w:r w:rsidRPr="00D77A37">
        <w:rPr>
          <w:rFonts w:asciiTheme="majorHAnsi" w:hAnsiTheme="majorHAnsi"/>
          <w:spacing w:val="-2"/>
          <w:sz w:val="28"/>
          <w:szCs w:val="28"/>
        </w:rPr>
        <w:t xml:space="preserve"> </w:t>
      </w:r>
      <w:r w:rsidRPr="00D77A37">
        <w:rPr>
          <w:rFonts w:asciiTheme="majorHAnsi" w:hAnsiTheme="majorHAnsi"/>
          <w:sz w:val="28"/>
          <w:szCs w:val="28"/>
        </w:rPr>
        <w:t>2925-94</w:t>
      </w:r>
      <w:r w:rsidRPr="00D77A37">
        <w:rPr>
          <w:rFonts w:asciiTheme="majorHAnsi" w:hAnsiTheme="majorHAnsi"/>
          <w:spacing w:val="-1"/>
          <w:sz w:val="28"/>
          <w:szCs w:val="28"/>
        </w:rPr>
        <w:t xml:space="preserve"> </w:t>
      </w:r>
      <w:r w:rsidRPr="00D77A37">
        <w:rPr>
          <w:rFonts w:asciiTheme="majorHAnsi" w:hAnsiTheme="majorHAnsi"/>
          <w:sz w:val="28"/>
          <w:szCs w:val="28"/>
        </w:rPr>
        <w:t>Якість</w:t>
      </w:r>
      <w:r w:rsidRPr="00D77A37">
        <w:rPr>
          <w:rFonts w:asciiTheme="majorHAnsi" w:hAnsiTheme="majorHAnsi"/>
          <w:spacing w:val="-3"/>
          <w:sz w:val="28"/>
          <w:szCs w:val="28"/>
        </w:rPr>
        <w:t xml:space="preserve"> </w:t>
      </w:r>
      <w:r w:rsidRPr="00D77A37">
        <w:rPr>
          <w:rFonts w:asciiTheme="majorHAnsi" w:hAnsiTheme="majorHAnsi"/>
          <w:sz w:val="28"/>
          <w:szCs w:val="28"/>
        </w:rPr>
        <w:t>продукції.</w:t>
      </w:r>
      <w:r w:rsidRPr="00D77A37">
        <w:rPr>
          <w:rFonts w:asciiTheme="majorHAnsi" w:hAnsiTheme="majorHAnsi"/>
          <w:spacing w:val="-2"/>
          <w:sz w:val="28"/>
          <w:szCs w:val="28"/>
        </w:rPr>
        <w:t xml:space="preserve"> </w:t>
      </w:r>
      <w:r w:rsidRPr="00D77A37">
        <w:rPr>
          <w:rFonts w:asciiTheme="majorHAnsi" w:hAnsiTheme="majorHAnsi"/>
          <w:sz w:val="28"/>
          <w:szCs w:val="28"/>
        </w:rPr>
        <w:t>Оцінювання</w:t>
      </w:r>
      <w:r w:rsidRPr="00D77A37">
        <w:rPr>
          <w:rFonts w:asciiTheme="majorHAnsi" w:hAnsiTheme="majorHAnsi"/>
          <w:spacing w:val="-3"/>
          <w:sz w:val="28"/>
          <w:szCs w:val="28"/>
        </w:rPr>
        <w:t xml:space="preserve"> </w:t>
      </w:r>
      <w:r w:rsidRPr="00D77A37">
        <w:rPr>
          <w:rFonts w:asciiTheme="majorHAnsi" w:hAnsiTheme="majorHAnsi"/>
          <w:sz w:val="28"/>
          <w:szCs w:val="28"/>
        </w:rPr>
        <w:t>якості.</w:t>
      </w:r>
      <w:r w:rsidRPr="00D77A37">
        <w:rPr>
          <w:rFonts w:asciiTheme="majorHAnsi" w:hAnsiTheme="majorHAnsi"/>
          <w:spacing w:val="-2"/>
          <w:sz w:val="28"/>
          <w:szCs w:val="28"/>
        </w:rPr>
        <w:t xml:space="preserve"> </w:t>
      </w:r>
      <w:r w:rsidRPr="00D77A37">
        <w:rPr>
          <w:rFonts w:asciiTheme="majorHAnsi" w:hAnsiTheme="majorHAnsi"/>
          <w:sz w:val="28"/>
          <w:szCs w:val="28"/>
        </w:rPr>
        <w:t>Терміни</w:t>
      </w:r>
      <w:r w:rsidRPr="00D77A37">
        <w:rPr>
          <w:rFonts w:asciiTheme="majorHAnsi" w:hAnsiTheme="majorHAnsi"/>
          <w:spacing w:val="-3"/>
          <w:sz w:val="28"/>
          <w:szCs w:val="28"/>
        </w:rPr>
        <w:t xml:space="preserve"> </w:t>
      </w:r>
      <w:r w:rsidRPr="00D77A37">
        <w:rPr>
          <w:rFonts w:asciiTheme="majorHAnsi" w:hAnsiTheme="majorHAnsi"/>
          <w:sz w:val="28"/>
          <w:szCs w:val="28"/>
        </w:rPr>
        <w:t>та</w:t>
      </w:r>
      <w:r w:rsidRPr="00D77A37">
        <w:rPr>
          <w:rFonts w:asciiTheme="majorHAnsi" w:hAnsiTheme="majorHAnsi"/>
          <w:spacing w:val="1"/>
          <w:sz w:val="28"/>
          <w:szCs w:val="28"/>
        </w:rPr>
        <w:t xml:space="preserve"> </w:t>
      </w:r>
      <w:r w:rsidRPr="00D77A37">
        <w:rPr>
          <w:rFonts w:asciiTheme="majorHAnsi" w:hAnsiTheme="majorHAnsi"/>
          <w:sz w:val="28"/>
          <w:szCs w:val="28"/>
        </w:rPr>
        <w:t>визначення</w:t>
      </w:r>
    </w:p>
    <w:p w14:paraId="202998CF"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 2960-94 Організація промислового виробництва. Основні поняття. Терміни та визначення</w:t>
      </w:r>
      <w:r w:rsidRPr="00D77A37">
        <w:rPr>
          <w:rFonts w:asciiTheme="majorHAnsi" w:hAnsiTheme="majorHAnsi"/>
          <w:spacing w:val="-47"/>
          <w:sz w:val="28"/>
          <w:szCs w:val="28"/>
        </w:rPr>
        <w:t xml:space="preserve"> </w:t>
      </w:r>
      <w:r w:rsidRPr="00D77A37">
        <w:rPr>
          <w:rFonts w:asciiTheme="majorHAnsi" w:hAnsiTheme="majorHAnsi"/>
          <w:sz w:val="28"/>
          <w:szCs w:val="28"/>
        </w:rPr>
        <w:t>ДСТУ</w:t>
      </w:r>
      <w:r w:rsidRPr="00D77A37">
        <w:rPr>
          <w:rFonts w:asciiTheme="majorHAnsi" w:hAnsiTheme="majorHAnsi"/>
          <w:spacing w:val="-2"/>
          <w:sz w:val="28"/>
          <w:szCs w:val="28"/>
        </w:rPr>
        <w:t xml:space="preserve"> </w:t>
      </w:r>
      <w:r w:rsidRPr="00D77A37">
        <w:rPr>
          <w:rFonts w:asciiTheme="majorHAnsi" w:hAnsiTheme="majorHAnsi"/>
          <w:sz w:val="28"/>
          <w:szCs w:val="28"/>
        </w:rPr>
        <w:t>2974-95</w:t>
      </w:r>
      <w:r w:rsidRPr="00D77A37">
        <w:rPr>
          <w:rFonts w:asciiTheme="majorHAnsi" w:hAnsiTheme="majorHAnsi"/>
          <w:spacing w:val="-3"/>
          <w:sz w:val="28"/>
          <w:szCs w:val="28"/>
        </w:rPr>
        <w:t xml:space="preserve"> </w:t>
      </w:r>
      <w:r w:rsidRPr="00D77A37">
        <w:rPr>
          <w:rFonts w:asciiTheme="majorHAnsi" w:hAnsiTheme="majorHAnsi"/>
          <w:sz w:val="28"/>
          <w:szCs w:val="28"/>
        </w:rPr>
        <w:t>Технологічне підготовлення виробництва.</w:t>
      </w:r>
      <w:r w:rsidRPr="00D77A37">
        <w:rPr>
          <w:rFonts w:asciiTheme="majorHAnsi" w:hAnsiTheme="majorHAnsi"/>
          <w:spacing w:val="-2"/>
          <w:sz w:val="28"/>
          <w:szCs w:val="28"/>
        </w:rPr>
        <w:t xml:space="preserve"> </w:t>
      </w:r>
      <w:r w:rsidRPr="00D77A37">
        <w:rPr>
          <w:rFonts w:asciiTheme="majorHAnsi" w:hAnsiTheme="majorHAnsi"/>
          <w:sz w:val="28"/>
          <w:szCs w:val="28"/>
        </w:rPr>
        <w:t>Основні</w:t>
      </w:r>
      <w:r w:rsidRPr="00D77A37">
        <w:rPr>
          <w:rFonts w:asciiTheme="majorHAnsi" w:hAnsiTheme="majorHAnsi"/>
          <w:spacing w:val="-3"/>
          <w:sz w:val="28"/>
          <w:szCs w:val="28"/>
        </w:rPr>
        <w:t xml:space="preserve"> </w:t>
      </w:r>
      <w:r w:rsidRPr="00D77A37">
        <w:rPr>
          <w:rFonts w:asciiTheme="majorHAnsi" w:hAnsiTheme="majorHAnsi"/>
          <w:sz w:val="28"/>
          <w:szCs w:val="28"/>
        </w:rPr>
        <w:t>терміни</w:t>
      </w:r>
      <w:r w:rsidRPr="00D77A37">
        <w:rPr>
          <w:rFonts w:asciiTheme="majorHAnsi" w:hAnsiTheme="majorHAnsi"/>
          <w:spacing w:val="-3"/>
          <w:sz w:val="28"/>
          <w:szCs w:val="28"/>
        </w:rPr>
        <w:t xml:space="preserve"> </w:t>
      </w:r>
      <w:r w:rsidRPr="00D77A37">
        <w:rPr>
          <w:rFonts w:asciiTheme="majorHAnsi" w:hAnsiTheme="majorHAnsi"/>
          <w:sz w:val="28"/>
          <w:szCs w:val="28"/>
        </w:rPr>
        <w:t>та</w:t>
      </w:r>
      <w:r w:rsidRPr="00D77A37">
        <w:rPr>
          <w:rFonts w:asciiTheme="majorHAnsi" w:hAnsiTheme="majorHAnsi"/>
          <w:spacing w:val="1"/>
          <w:sz w:val="28"/>
          <w:szCs w:val="28"/>
        </w:rPr>
        <w:t xml:space="preserve"> </w:t>
      </w:r>
      <w:r w:rsidRPr="00D77A37">
        <w:rPr>
          <w:rFonts w:asciiTheme="majorHAnsi" w:hAnsiTheme="majorHAnsi"/>
          <w:sz w:val="28"/>
          <w:szCs w:val="28"/>
        </w:rPr>
        <w:t>визначення</w:t>
      </w:r>
    </w:p>
    <w:p w14:paraId="76D7FD8F"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w:t>
      </w:r>
      <w:r w:rsidRPr="00D77A37">
        <w:rPr>
          <w:rFonts w:asciiTheme="majorHAnsi" w:hAnsiTheme="majorHAnsi"/>
          <w:spacing w:val="-4"/>
          <w:sz w:val="28"/>
          <w:szCs w:val="28"/>
        </w:rPr>
        <w:t xml:space="preserve"> </w:t>
      </w:r>
      <w:r w:rsidRPr="00D77A37">
        <w:rPr>
          <w:rFonts w:asciiTheme="majorHAnsi" w:hAnsiTheme="majorHAnsi"/>
          <w:sz w:val="28"/>
          <w:szCs w:val="28"/>
        </w:rPr>
        <w:t>3011-95</w:t>
      </w:r>
      <w:r w:rsidRPr="00D77A37">
        <w:rPr>
          <w:rFonts w:asciiTheme="majorHAnsi" w:hAnsiTheme="majorHAnsi"/>
          <w:spacing w:val="-3"/>
          <w:sz w:val="28"/>
          <w:szCs w:val="28"/>
        </w:rPr>
        <w:t xml:space="preserve"> </w:t>
      </w:r>
      <w:r w:rsidRPr="00D77A37">
        <w:rPr>
          <w:rFonts w:asciiTheme="majorHAnsi" w:hAnsiTheme="majorHAnsi"/>
          <w:sz w:val="28"/>
          <w:szCs w:val="28"/>
        </w:rPr>
        <w:t>Устаткування</w:t>
      </w:r>
      <w:r w:rsidRPr="00D77A37">
        <w:rPr>
          <w:rFonts w:asciiTheme="majorHAnsi" w:hAnsiTheme="majorHAnsi"/>
          <w:spacing w:val="-5"/>
          <w:sz w:val="28"/>
          <w:szCs w:val="28"/>
        </w:rPr>
        <w:t xml:space="preserve"> </w:t>
      </w:r>
      <w:r w:rsidRPr="00D77A37">
        <w:rPr>
          <w:rFonts w:asciiTheme="majorHAnsi" w:hAnsiTheme="majorHAnsi"/>
          <w:sz w:val="28"/>
          <w:szCs w:val="28"/>
        </w:rPr>
        <w:t>випробувальне</w:t>
      </w:r>
      <w:r w:rsidRPr="00D77A37">
        <w:rPr>
          <w:rFonts w:asciiTheme="majorHAnsi" w:hAnsiTheme="majorHAnsi"/>
          <w:spacing w:val="-4"/>
          <w:sz w:val="28"/>
          <w:szCs w:val="28"/>
        </w:rPr>
        <w:t xml:space="preserve"> </w:t>
      </w:r>
      <w:r w:rsidRPr="00D77A37">
        <w:rPr>
          <w:rFonts w:asciiTheme="majorHAnsi" w:hAnsiTheme="majorHAnsi"/>
          <w:sz w:val="28"/>
          <w:szCs w:val="28"/>
        </w:rPr>
        <w:t>кліматичне</w:t>
      </w:r>
      <w:r w:rsidRPr="00D77A37">
        <w:rPr>
          <w:rFonts w:asciiTheme="majorHAnsi" w:hAnsiTheme="majorHAnsi"/>
          <w:spacing w:val="-2"/>
          <w:sz w:val="28"/>
          <w:szCs w:val="28"/>
        </w:rPr>
        <w:t xml:space="preserve"> </w:t>
      </w:r>
      <w:r w:rsidRPr="00D77A37">
        <w:rPr>
          <w:rFonts w:asciiTheme="majorHAnsi" w:hAnsiTheme="majorHAnsi"/>
          <w:sz w:val="28"/>
          <w:szCs w:val="28"/>
        </w:rPr>
        <w:t>та</w:t>
      </w:r>
      <w:r w:rsidRPr="00D77A37">
        <w:rPr>
          <w:rFonts w:asciiTheme="majorHAnsi" w:hAnsiTheme="majorHAnsi"/>
          <w:spacing w:val="-4"/>
          <w:sz w:val="28"/>
          <w:szCs w:val="28"/>
        </w:rPr>
        <w:t xml:space="preserve"> </w:t>
      </w:r>
      <w:r w:rsidRPr="00D77A37">
        <w:rPr>
          <w:rFonts w:asciiTheme="majorHAnsi" w:hAnsiTheme="majorHAnsi"/>
          <w:sz w:val="28"/>
          <w:szCs w:val="28"/>
        </w:rPr>
        <w:t>механічне.</w:t>
      </w:r>
      <w:r w:rsidRPr="00D77A37">
        <w:rPr>
          <w:rFonts w:asciiTheme="majorHAnsi" w:hAnsiTheme="majorHAnsi"/>
          <w:spacing w:val="-3"/>
          <w:sz w:val="28"/>
          <w:szCs w:val="28"/>
        </w:rPr>
        <w:t xml:space="preserve"> </w:t>
      </w:r>
      <w:r w:rsidRPr="00D77A37">
        <w:rPr>
          <w:rFonts w:asciiTheme="majorHAnsi" w:hAnsiTheme="majorHAnsi"/>
          <w:sz w:val="28"/>
          <w:szCs w:val="28"/>
        </w:rPr>
        <w:t>Терміни</w:t>
      </w:r>
      <w:r w:rsidRPr="00D77A37">
        <w:rPr>
          <w:rFonts w:asciiTheme="majorHAnsi" w:hAnsiTheme="majorHAnsi"/>
          <w:spacing w:val="-5"/>
          <w:sz w:val="28"/>
          <w:szCs w:val="28"/>
        </w:rPr>
        <w:t xml:space="preserve"> </w:t>
      </w:r>
      <w:r w:rsidRPr="00D77A37">
        <w:rPr>
          <w:rFonts w:asciiTheme="majorHAnsi" w:hAnsiTheme="majorHAnsi"/>
          <w:sz w:val="28"/>
          <w:szCs w:val="28"/>
        </w:rPr>
        <w:t>та</w:t>
      </w:r>
      <w:r w:rsidRPr="00D77A37">
        <w:rPr>
          <w:rFonts w:asciiTheme="majorHAnsi" w:hAnsiTheme="majorHAnsi"/>
          <w:spacing w:val="-4"/>
          <w:sz w:val="28"/>
          <w:szCs w:val="28"/>
        </w:rPr>
        <w:t xml:space="preserve"> </w:t>
      </w:r>
      <w:r w:rsidRPr="00D77A37">
        <w:rPr>
          <w:rFonts w:asciiTheme="majorHAnsi" w:hAnsiTheme="majorHAnsi"/>
          <w:sz w:val="28"/>
          <w:szCs w:val="28"/>
        </w:rPr>
        <w:t>визначення</w:t>
      </w:r>
    </w:p>
    <w:p w14:paraId="57275846"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 3021-95 Випробування і контроль якості продукції. Терміни та визначення</w:t>
      </w:r>
      <w:r w:rsidRPr="00D77A37">
        <w:rPr>
          <w:rFonts w:asciiTheme="majorHAnsi" w:hAnsiTheme="majorHAnsi"/>
          <w:spacing w:val="-47"/>
          <w:sz w:val="28"/>
          <w:szCs w:val="28"/>
        </w:rPr>
        <w:t xml:space="preserve"> </w:t>
      </w:r>
      <w:r w:rsidRPr="00D77A37">
        <w:rPr>
          <w:rFonts w:asciiTheme="majorHAnsi" w:hAnsiTheme="majorHAnsi"/>
          <w:sz w:val="28"/>
          <w:szCs w:val="28"/>
        </w:rPr>
        <w:t>ДСТУ</w:t>
      </w:r>
      <w:r w:rsidRPr="00D77A37">
        <w:rPr>
          <w:rFonts w:asciiTheme="majorHAnsi" w:hAnsiTheme="majorHAnsi"/>
          <w:spacing w:val="-1"/>
          <w:sz w:val="28"/>
          <w:szCs w:val="28"/>
        </w:rPr>
        <w:t xml:space="preserve"> </w:t>
      </w:r>
      <w:r w:rsidRPr="00D77A37">
        <w:rPr>
          <w:rFonts w:asciiTheme="majorHAnsi" w:hAnsiTheme="majorHAnsi"/>
          <w:sz w:val="28"/>
          <w:szCs w:val="28"/>
        </w:rPr>
        <w:t>3038-95 Гігієна.</w:t>
      </w:r>
      <w:r w:rsidRPr="00D77A37">
        <w:rPr>
          <w:rFonts w:asciiTheme="majorHAnsi" w:hAnsiTheme="majorHAnsi"/>
          <w:spacing w:val="-3"/>
          <w:sz w:val="28"/>
          <w:szCs w:val="28"/>
        </w:rPr>
        <w:t xml:space="preserve"> </w:t>
      </w:r>
      <w:r w:rsidRPr="00D77A37">
        <w:rPr>
          <w:rFonts w:asciiTheme="majorHAnsi" w:hAnsiTheme="majorHAnsi"/>
          <w:sz w:val="28"/>
          <w:szCs w:val="28"/>
        </w:rPr>
        <w:t>Терміни та</w:t>
      </w:r>
      <w:r w:rsidRPr="00D77A37">
        <w:rPr>
          <w:rFonts w:asciiTheme="majorHAnsi" w:hAnsiTheme="majorHAnsi"/>
          <w:spacing w:val="-1"/>
          <w:sz w:val="28"/>
          <w:szCs w:val="28"/>
        </w:rPr>
        <w:t xml:space="preserve"> </w:t>
      </w:r>
      <w:r w:rsidRPr="00D77A37">
        <w:rPr>
          <w:rFonts w:asciiTheme="majorHAnsi" w:hAnsiTheme="majorHAnsi"/>
          <w:sz w:val="28"/>
          <w:szCs w:val="28"/>
        </w:rPr>
        <w:t>визначення</w:t>
      </w:r>
      <w:r w:rsidRPr="00D77A37">
        <w:rPr>
          <w:rFonts w:asciiTheme="majorHAnsi" w:hAnsiTheme="majorHAnsi"/>
          <w:spacing w:val="-1"/>
          <w:sz w:val="28"/>
          <w:szCs w:val="28"/>
        </w:rPr>
        <w:t xml:space="preserve"> </w:t>
      </w:r>
      <w:r w:rsidRPr="00D77A37">
        <w:rPr>
          <w:rFonts w:asciiTheme="majorHAnsi" w:hAnsiTheme="majorHAnsi"/>
          <w:sz w:val="28"/>
          <w:szCs w:val="28"/>
        </w:rPr>
        <w:t>основних понять</w:t>
      </w:r>
    </w:p>
    <w:p w14:paraId="1B72630D"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w:t>
      </w:r>
      <w:r w:rsidRPr="00D77A37">
        <w:rPr>
          <w:rFonts w:asciiTheme="majorHAnsi" w:hAnsiTheme="majorHAnsi"/>
          <w:spacing w:val="-3"/>
          <w:sz w:val="28"/>
          <w:szCs w:val="28"/>
        </w:rPr>
        <w:t xml:space="preserve"> </w:t>
      </w:r>
      <w:r w:rsidRPr="00D77A37">
        <w:rPr>
          <w:rFonts w:asciiTheme="majorHAnsi" w:hAnsiTheme="majorHAnsi"/>
          <w:sz w:val="28"/>
          <w:szCs w:val="28"/>
        </w:rPr>
        <w:t>3144-95</w:t>
      </w:r>
      <w:r w:rsidRPr="00D77A37">
        <w:rPr>
          <w:rFonts w:asciiTheme="majorHAnsi" w:hAnsiTheme="majorHAnsi"/>
          <w:spacing w:val="-2"/>
          <w:sz w:val="28"/>
          <w:szCs w:val="28"/>
        </w:rPr>
        <w:t xml:space="preserve"> </w:t>
      </w:r>
      <w:r w:rsidRPr="00D77A37">
        <w:rPr>
          <w:rFonts w:asciiTheme="majorHAnsi" w:hAnsiTheme="majorHAnsi"/>
          <w:sz w:val="28"/>
          <w:szCs w:val="28"/>
        </w:rPr>
        <w:t>Коди</w:t>
      </w:r>
      <w:r w:rsidRPr="00D77A37">
        <w:rPr>
          <w:rFonts w:asciiTheme="majorHAnsi" w:hAnsiTheme="majorHAnsi"/>
          <w:spacing w:val="-5"/>
          <w:sz w:val="28"/>
          <w:szCs w:val="28"/>
        </w:rPr>
        <w:t xml:space="preserve"> </w:t>
      </w:r>
      <w:r w:rsidRPr="00D77A37">
        <w:rPr>
          <w:rFonts w:asciiTheme="majorHAnsi" w:hAnsiTheme="majorHAnsi"/>
          <w:sz w:val="28"/>
          <w:szCs w:val="28"/>
        </w:rPr>
        <w:t>і</w:t>
      </w:r>
      <w:r w:rsidRPr="00D77A37">
        <w:rPr>
          <w:rFonts w:asciiTheme="majorHAnsi" w:hAnsiTheme="majorHAnsi"/>
          <w:spacing w:val="-4"/>
          <w:sz w:val="28"/>
          <w:szCs w:val="28"/>
        </w:rPr>
        <w:t xml:space="preserve"> </w:t>
      </w:r>
      <w:r w:rsidRPr="00D77A37">
        <w:rPr>
          <w:rFonts w:asciiTheme="majorHAnsi" w:hAnsiTheme="majorHAnsi"/>
          <w:sz w:val="28"/>
          <w:szCs w:val="28"/>
        </w:rPr>
        <w:t>кодування</w:t>
      </w:r>
      <w:r w:rsidRPr="00D77A37">
        <w:rPr>
          <w:rFonts w:asciiTheme="majorHAnsi" w:hAnsiTheme="majorHAnsi"/>
          <w:spacing w:val="-4"/>
          <w:sz w:val="28"/>
          <w:szCs w:val="28"/>
        </w:rPr>
        <w:t xml:space="preserve"> </w:t>
      </w:r>
      <w:r w:rsidRPr="00D77A37">
        <w:rPr>
          <w:rFonts w:asciiTheme="majorHAnsi" w:hAnsiTheme="majorHAnsi"/>
          <w:sz w:val="28"/>
          <w:szCs w:val="28"/>
        </w:rPr>
        <w:t>інформації.</w:t>
      </w:r>
      <w:r w:rsidRPr="00D77A37">
        <w:rPr>
          <w:rFonts w:asciiTheme="majorHAnsi" w:hAnsiTheme="majorHAnsi"/>
          <w:spacing w:val="-3"/>
          <w:sz w:val="28"/>
          <w:szCs w:val="28"/>
        </w:rPr>
        <w:t xml:space="preserve"> </w:t>
      </w:r>
      <w:r w:rsidRPr="00D77A37">
        <w:rPr>
          <w:rFonts w:asciiTheme="majorHAnsi" w:hAnsiTheme="majorHAnsi"/>
          <w:sz w:val="28"/>
          <w:szCs w:val="28"/>
        </w:rPr>
        <w:t>Штрихове</w:t>
      </w:r>
      <w:r w:rsidRPr="00D77A37">
        <w:rPr>
          <w:rFonts w:asciiTheme="majorHAnsi" w:hAnsiTheme="majorHAnsi"/>
          <w:spacing w:val="-1"/>
          <w:sz w:val="28"/>
          <w:szCs w:val="28"/>
        </w:rPr>
        <w:t xml:space="preserve"> </w:t>
      </w:r>
      <w:r w:rsidRPr="00D77A37">
        <w:rPr>
          <w:rFonts w:asciiTheme="majorHAnsi" w:hAnsiTheme="majorHAnsi"/>
          <w:sz w:val="28"/>
          <w:szCs w:val="28"/>
        </w:rPr>
        <w:t>кодування.</w:t>
      </w:r>
      <w:r w:rsidRPr="00D77A37">
        <w:rPr>
          <w:rFonts w:asciiTheme="majorHAnsi" w:hAnsiTheme="majorHAnsi"/>
          <w:spacing w:val="-3"/>
          <w:sz w:val="28"/>
          <w:szCs w:val="28"/>
        </w:rPr>
        <w:t xml:space="preserve"> </w:t>
      </w:r>
      <w:r w:rsidRPr="00D77A37">
        <w:rPr>
          <w:rFonts w:asciiTheme="majorHAnsi" w:hAnsiTheme="majorHAnsi"/>
          <w:sz w:val="28"/>
          <w:szCs w:val="28"/>
        </w:rPr>
        <w:t>Терміни</w:t>
      </w:r>
      <w:r w:rsidRPr="00D77A37">
        <w:rPr>
          <w:rFonts w:asciiTheme="majorHAnsi" w:hAnsiTheme="majorHAnsi"/>
          <w:spacing w:val="-4"/>
          <w:sz w:val="28"/>
          <w:szCs w:val="28"/>
        </w:rPr>
        <w:t xml:space="preserve"> </w:t>
      </w:r>
      <w:r w:rsidRPr="00D77A37">
        <w:rPr>
          <w:rFonts w:asciiTheme="majorHAnsi" w:hAnsiTheme="majorHAnsi"/>
          <w:sz w:val="28"/>
          <w:szCs w:val="28"/>
        </w:rPr>
        <w:t>та</w:t>
      </w:r>
      <w:r w:rsidRPr="00D77A37">
        <w:rPr>
          <w:rFonts w:asciiTheme="majorHAnsi" w:hAnsiTheme="majorHAnsi"/>
          <w:spacing w:val="-3"/>
          <w:sz w:val="28"/>
          <w:szCs w:val="28"/>
        </w:rPr>
        <w:t xml:space="preserve"> </w:t>
      </w:r>
      <w:r w:rsidRPr="00D77A37">
        <w:rPr>
          <w:rFonts w:asciiTheme="majorHAnsi" w:hAnsiTheme="majorHAnsi"/>
          <w:sz w:val="28"/>
          <w:szCs w:val="28"/>
        </w:rPr>
        <w:t>визначення</w:t>
      </w:r>
    </w:p>
    <w:p w14:paraId="0E4EB999"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 3278-95 Система розроблення та поставлення продукції на виробництво. Основні терміни та визначення</w:t>
      </w:r>
      <w:r w:rsidRPr="00D77A37">
        <w:rPr>
          <w:rFonts w:asciiTheme="majorHAnsi" w:hAnsiTheme="majorHAnsi"/>
          <w:spacing w:val="-47"/>
          <w:sz w:val="28"/>
          <w:szCs w:val="28"/>
        </w:rPr>
        <w:t xml:space="preserve"> </w:t>
      </w:r>
      <w:r w:rsidRPr="00D77A37">
        <w:rPr>
          <w:rFonts w:asciiTheme="majorHAnsi" w:hAnsiTheme="majorHAnsi"/>
          <w:sz w:val="28"/>
          <w:szCs w:val="28"/>
        </w:rPr>
        <w:t>ДСТУ</w:t>
      </w:r>
      <w:r w:rsidRPr="00D77A37">
        <w:rPr>
          <w:rFonts w:asciiTheme="majorHAnsi" w:hAnsiTheme="majorHAnsi"/>
          <w:spacing w:val="-1"/>
          <w:sz w:val="28"/>
          <w:szCs w:val="28"/>
        </w:rPr>
        <w:t xml:space="preserve"> </w:t>
      </w:r>
      <w:r w:rsidRPr="00D77A37">
        <w:rPr>
          <w:rFonts w:asciiTheme="majorHAnsi" w:hAnsiTheme="majorHAnsi"/>
          <w:sz w:val="28"/>
          <w:szCs w:val="28"/>
        </w:rPr>
        <w:t>3293-95 Зовнішньоекономічна</w:t>
      </w:r>
      <w:r w:rsidRPr="00D77A37">
        <w:rPr>
          <w:rFonts w:asciiTheme="majorHAnsi" w:hAnsiTheme="majorHAnsi"/>
          <w:spacing w:val="-1"/>
          <w:sz w:val="28"/>
          <w:szCs w:val="28"/>
        </w:rPr>
        <w:t xml:space="preserve"> </w:t>
      </w:r>
      <w:r w:rsidRPr="00D77A37">
        <w:rPr>
          <w:rFonts w:asciiTheme="majorHAnsi" w:hAnsiTheme="majorHAnsi"/>
          <w:sz w:val="28"/>
          <w:szCs w:val="28"/>
        </w:rPr>
        <w:t>діяльність.</w:t>
      </w:r>
      <w:r w:rsidRPr="00D77A37">
        <w:rPr>
          <w:rFonts w:asciiTheme="majorHAnsi" w:hAnsiTheme="majorHAnsi"/>
          <w:spacing w:val="-1"/>
          <w:sz w:val="28"/>
          <w:szCs w:val="28"/>
        </w:rPr>
        <w:t xml:space="preserve"> </w:t>
      </w:r>
      <w:r w:rsidRPr="00D77A37">
        <w:rPr>
          <w:rFonts w:asciiTheme="majorHAnsi" w:hAnsiTheme="majorHAnsi"/>
          <w:sz w:val="28"/>
          <w:szCs w:val="28"/>
        </w:rPr>
        <w:t>Терміни</w:t>
      </w:r>
      <w:r w:rsidRPr="00D77A37">
        <w:rPr>
          <w:rFonts w:asciiTheme="majorHAnsi" w:hAnsiTheme="majorHAnsi"/>
          <w:spacing w:val="-2"/>
          <w:sz w:val="28"/>
          <w:szCs w:val="28"/>
        </w:rPr>
        <w:t xml:space="preserve"> </w:t>
      </w:r>
      <w:r w:rsidRPr="00D77A37">
        <w:rPr>
          <w:rFonts w:asciiTheme="majorHAnsi" w:hAnsiTheme="majorHAnsi"/>
          <w:sz w:val="28"/>
          <w:szCs w:val="28"/>
        </w:rPr>
        <w:t>та визначення</w:t>
      </w:r>
      <w:r w:rsidRPr="00D77A37">
        <w:rPr>
          <w:rFonts w:asciiTheme="majorHAnsi" w:hAnsiTheme="majorHAnsi"/>
          <w:spacing w:val="-2"/>
          <w:sz w:val="28"/>
          <w:szCs w:val="28"/>
        </w:rPr>
        <w:t xml:space="preserve"> </w:t>
      </w:r>
      <w:r w:rsidRPr="00D77A37">
        <w:rPr>
          <w:rFonts w:asciiTheme="majorHAnsi" w:hAnsiTheme="majorHAnsi"/>
          <w:sz w:val="28"/>
          <w:szCs w:val="28"/>
        </w:rPr>
        <w:t>основних</w:t>
      </w:r>
      <w:r w:rsidRPr="00D77A37">
        <w:rPr>
          <w:rFonts w:asciiTheme="majorHAnsi" w:hAnsiTheme="majorHAnsi"/>
          <w:spacing w:val="-2"/>
          <w:sz w:val="28"/>
          <w:szCs w:val="28"/>
        </w:rPr>
        <w:t xml:space="preserve"> </w:t>
      </w:r>
      <w:r w:rsidRPr="00D77A37">
        <w:rPr>
          <w:rFonts w:asciiTheme="majorHAnsi" w:hAnsiTheme="majorHAnsi"/>
          <w:sz w:val="28"/>
          <w:szCs w:val="28"/>
        </w:rPr>
        <w:t>понять</w:t>
      </w:r>
    </w:p>
    <w:p w14:paraId="7D32EE2E"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w:t>
      </w:r>
      <w:r w:rsidRPr="00D77A37">
        <w:rPr>
          <w:rFonts w:asciiTheme="majorHAnsi" w:hAnsiTheme="majorHAnsi"/>
          <w:spacing w:val="-4"/>
          <w:sz w:val="28"/>
          <w:szCs w:val="28"/>
        </w:rPr>
        <w:t xml:space="preserve"> </w:t>
      </w:r>
      <w:r w:rsidRPr="00D77A37">
        <w:rPr>
          <w:rFonts w:asciiTheme="majorHAnsi" w:hAnsiTheme="majorHAnsi"/>
          <w:sz w:val="28"/>
          <w:szCs w:val="28"/>
        </w:rPr>
        <w:t>3294-95</w:t>
      </w:r>
      <w:r w:rsidRPr="00D77A37">
        <w:rPr>
          <w:rFonts w:asciiTheme="majorHAnsi" w:hAnsiTheme="majorHAnsi"/>
          <w:spacing w:val="-3"/>
          <w:sz w:val="28"/>
          <w:szCs w:val="28"/>
        </w:rPr>
        <w:t xml:space="preserve"> </w:t>
      </w:r>
      <w:r w:rsidRPr="00D77A37">
        <w:rPr>
          <w:rFonts w:asciiTheme="majorHAnsi" w:hAnsiTheme="majorHAnsi"/>
          <w:sz w:val="28"/>
          <w:szCs w:val="28"/>
        </w:rPr>
        <w:t>Маркетинг. Терміни</w:t>
      </w:r>
      <w:r w:rsidRPr="00D77A37">
        <w:rPr>
          <w:rFonts w:asciiTheme="majorHAnsi" w:hAnsiTheme="majorHAnsi"/>
          <w:spacing w:val="-5"/>
          <w:sz w:val="28"/>
          <w:szCs w:val="28"/>
        </w:rPr>
        <w:t xml:space="preserve"> </w:t>
      </w:r>
      <w:r w:rsidRPr="00D77A37">
        <w:rPr>
          <w:rFonts w:asciiTheme="majorHAnsi" w:hAnsiTheme="majorHAnsi"/>
          <w:sz w:val="28"/>
          <w:szCs w:val="28"/>
        </w:rPr>
        <w:t>та</w:t>
      </w:r>
      <w:r w:rsidRPr="00D77A37">
        <w:rPr>
          <w:rFonts w:asciiTheme="majorHAnsi" w:hAnsiTheme="majorHAnsi"/>
          <w:spacing w:val="-3"/>
          <w:sz w:val="28"/>
          <w:szCs w:val="28"/>
        </w:rPr>
        <w:t xml:space="preserve"> </w:t>
      </w:r>
      <w:r w:rsidRPr="00D77A37">
        <w:rPr>
          <w:rFonts w:asciiTheme="majorHAnsi" w:hAnsiTheme="majorHAnsi"/>
          <w:sz w:val="28"/>
          <w:szCs w:val="28"/>
        </w:rPr>
        <w:t>визначення</w:t>
      </w:r>
      <w:r w:rsidRPr="00D77A37">
        <w:rPr>
          <w:rFonts w:asciiTheme="majorHAnsi" w:hAnsiTheme="majorHAnsi"/>
          <w:spacing w:val="-5"/>
          <w:sz w:val="28"/>
          <w:szCs w:val="28"/>
        </w:rPr>
        <w:t xml:space="preserve"> </w:t>
      </w:r>
      <w:r w:rsidRPr="00D77A37">
        <w:rPr>
          <w:rFonts w:asciiTheme="majorHAnsi" w:hAnsiTheme="majorHAnsi"/>
          <w:sz w:val="28"/>
          <w:szCs w:val="28"/>
        </w:rPr>
        <w:t>основних</w:t>
      </w:r>
      <w:r w:rsidRPr="00D77A37">
        <w:rPr>
          <w:rFonts w:asciiTheme="majorHAnsi" w:hAnsiTheme="majorHAnsi"/>
          <w:spacing w:val="-2"/>
          <w:sz w:val="28"/>
          <w:szCs w:val="28"/>
        </w:rPr>
        <w:t xml:space="preserve"> </w:t>
      </w:r>
      <w:r w:rsidRPr="00D77A37">
        <w:rPr>
          <w:rFonts w:asciiTheme="majorHAnsi" w:hAnsiTheme="majorHAnsi"/>
          <w:sz w:val="28"/>
          <w:szCs w:val="28"/>
        </w:rPr>
        <w:t>понять</w:t>
      </w:r>
    </w:p>
    <w:p w14:paraId="25E8657B"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 3321-2003 Система конструкторської документації. Терміни та визначення основних понять</w:t>
      </w:r>
      <w:r w:rsidRPr="00D77A37">
        <w:rPr>
          <w:rFonts w:asciiTheme="majorHAnsi" w:hAnsiTheme="majorHAnsi"/>
          <w:spacing w:val="-47"/>
          <w:sz w:val="28"/>
          <w:szCs w:val="28"/>
        </w:rPr>
        <w:t xml:space="preserve"> </w:t>
      </w:r>
    </w:p>
    <w:p w14:paraId="5F89E271"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w:t>
      </w:r>
      <w:r w:rsidRPr="00D77A37">
        <w:rPr>
          <w:rFonts w:asciiTheme="majorHAnsi" w:hAnsiTheme="majorHAnsi"/>
          <w:spacing w:val="-3"/>
          <w:sz w:val="28"/>
          <w:szCs w:val="28"/>
        </w:rPr>
        <w:t xml:space="preserve"> </w:t>
      </w:r>
      <w:r w:rsidRPr="00D77A37">
        <w:rPr>
          <w:rFonts w:asciiTheme="majorHAnsi" w:hAnsiTheme="majorHAnsi"/>
          <w:sz w:val="28"/>
          <w:szCs w:val="28"/>
        </w:rPr>
        <w:t>3466-96</w:t>
      </w:r>
      <w:r w:rsidRPr="00D77A37">
        <w:rPr>
          <w:rFonts w:asciiTheme="majorHAnsi" w:hAnsiTheme="majorHAnsi"/>
          <w:spacing w:val="-2"/>
          <w:sz w:val="28"/>
          <w:szCs w:val="28"/>
        </w:rPr>
        <w:t xml:space="preserve"> </w:t>
      </w:r>
      <w:r w:rsidRPr="00D77A37">
        <w:rPr>
          <w:rFonts w:asciiTheme="majorHAnsi" w:hAnsiTheme="majorHAnsi"/>
          <w:sz w:val="28"/>
          <w:szCs w:val="28"/>
        </w:rPr>
        <w:t>Якість</w:t>
      </w:r>
      <w:r w:rsidRPr="00D77A37">
        <w:rPr>
          <w:rFonts w:asciiTheme="majorHAnsi" w:hAnsiTheme="majorHAnsi"/>
          <w:spacing w:val="-4"/>
          <w:sz w:val="28"/>
          <w:szCs w:val="28"/>
        </w:rPr>
        <w:t xml:space="preserve"> </w:t>
      </w:r>
      <w:r w:rsidRPr="00D77A37">
        <w:rPr>
          <w:rFonts w:asciiTheme="majorHAnsi" w:hAnsiTheme="majorHAnsi"/>
          <w:sz w:val="28"/>
          <w:szCs w:val="28"/>
        </w:rPr>
        <w:t>електричної</w:t>
      </w:r>
      <w:r w:rsidRPr="00D77A37">
        <w:rPr>
          <w:rFonts w:asciiTheme="majorHAnsi" w:hAnsiTheme="majorHAnsi"/>
          <w:spacing w:val="-4"/>
          <w:sz w:val="28"/>
          <w:szCs w:val="28"/>
        </w:rPr>
        <w:t xml:space="preserve"> </w:t>
      </w:r>
      <w:r w:rsidRPr="00D77A37">
        <w:rPr>
          <w:rFonts w:asciiTheme="majorHAnsi" w:hAnsiTheme="majorHAnsi"/>
          <w:sz w:val="28"/>
          <w:szCs w:val="28"/>
        </w:rPr>
        <w:t>енергії.</w:t>
      </w:r>
      <w:r w:rsidRPr="00D77A37">
        <w:rPr>
          <w:rFonts w:asciiTheme="majorHAnsi" w:hAnsiTheme="majorHAnsi"/>
          <w:spacing w:val="-3"/>
          <w:sz w:val="28"/>
          <w:szCs w:val="28"/>
        </w:rPr>
        <w:t xml:space="preserve"> </w:t>
      </w:r>
      <w:r w:rsidRPr="00D77A37">
        <w:rPr>
          <w:rFonts w:asciiTheme="majorHAnsi" w:hAnsiTheme="majorHAnsi"/>
          <w:sz w:val="28"/>
          <w:szCs w:val="28"/>
        </w:rPr>
        <w:t>Терміни</w:t>
      </w:r>
      <w:r w:rsidRPr="00D77A37">
        <w:rPr>
          <w:rFonts w:asciiTheme="majorHAnsi" w:hAnsiTheme="majorHAnsi"/>
          <w:spacing w:val="-4"/>
          <w:sz w:val="28"/>
          <w:szCs w:val="28"/>
        </w:rPr>
        <w:t xml:space="preserve"> </w:t>
      </w:r>
      <w:r w:rsidRPr="00D77A37">
        <w:rPr>
          <w:rFonts w:asciiTheme="majorHAnsi" w:hAnsiTheme="majorHAnsi"/>
          <w:sz w:val="28"/>
          <w:szCs w:val="28"/>
        </w:rPr>
        <w:t>та</w:t>
      </w:r>
      <w:r w:rsidRPr="00D77A37">
        <w:rPr>
          <w:rFonts w:asciiTheme="majorHAnsi" w:hAnsiTheme="majorHAnsi"/>
          <w:spacing w:val="-3"/>
          <w:sz w:val="28"/>
          <w:szCs w:val="28"/>
        </w:rPr>
        <w:t xml:space="preserve"> </w:t>
      </w:r>
      <w:r w:rsidRPr="00D77A37">
        <w:rPr>
          <w:rFonts w:asciiTheme="majorHAnsi" w:hAnsiTheme="majorHAnsi"/>
          <w:sz w:val="28"/>
          <w:szCs w:val="28"/>
        </w:rPr>
        <w:t>визначення</w:t>
      </w:r>
    </w:p>
    <w:p w14:paraId="47C1032F"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w:t>
      </w:r>
      <w:r w:rsidRPr="00D77A37">
        <w:rPr>
          <w:rFonts w:asciiTheme="majorHAnsi" w:hAnsiTheme="majorHAnsi"/>
          <w:spacing w:val="-3"/>
          <w:sz w:val="28"/>
          <w:szCs w:val="28"/>
        </w:rPr>
        <w:t xml:space="preserve"> </w:t>
      </w:r>
      <w:r w:rsidRPr="00D77A37">
        <w:rPr>
          <w:rFonts w:asciiTheme="majorHAnsi" w:hAnsiTheme="majorHAnsi"/>
          <w:sz w:val="28"/>
          <w:szCs w:val="28"/>
        </w:rPr>
        <w:t>3514-97</w:t>
      </w:r>
      <w:r w:rsidRPr="00D77A37">
        <w:rPr>
          <w:rFonts w:asciiTheme="majorHAnsi" w:hAnsiTheme="majorHAnsi"/>
          <w:spacing w:val="-2"/>
          <w:sz w:val="28"/>
          <w:szCs w:val="28"/>
        </w:rPr>
        <w:t xml:space="preserve"> </w:t>
      </w:r>
      <w:r w:rsidRPr="00D77A37">
        <w:rPr>
          <w:rFonts w:asciiTheme="majorHAnsi" w:hAnsiTheme="majorHAnsi"/>
          <w:sz w:val="28"/>
          <w:szCs w:val="28"/>
        </w:rPr>
        <w:t>Статистичні</w:t>
      </w:r>
      <w:r w:rsidRPr="00D77A37">
        <w:rPr>
          <w:rFonts w:asciiTheme="majorHAnsi" w:hAnsiTheme="majorHAnsi"/>
          <w:spacing w:val="-2"/>
          <w:sz w:val="28"/>
          <w:szCs w:val="28"/>
        </w:rPr>
        <w:t xml:space="preserve"> </w:t>
      </w:r>
      <w:r w:rsidRPr="00D77A37">
        <w:rPr>
          <w:rFonts w:asciiTheme="majorHAnsi" w:hAnsiTheme="majorHAnsi"/>
          <w:sz w:val="28"/>
          <w:szCs w:val="28"/>
        </w:rPr>
        <w:t>методи</w:t>
      </w:r>
      <w:r w:rsidRPr="00D77A37">
        <w:rPr>
          <w:rFonts w:asciiTheme="majorHAnsi" w:hAnsiTheme="majorHAnsi"/>
          <w:spacing w:val="-4"/>
          <w:sz w:val="28"/>
          <w:szCs w:val="28"/>
        </w:rPr>
        <w:t xml:space="preserve"> </w:t>
      </w:r>
      <w:r w:rsidRPr="00D77A37">
        <w:rPr>
          <w:rFonts w:asciiTheme="majorHAnsi" w:hAnsiTheme="majorHAnsi"/>
          <w:sz w:val="28"/>
          <w:szCs w:val="28"/>
        </w:rPr>
        <w:t>контролю</w:t>
      </w:r>
      <w:r w:rsidRPr="00D77A37">
        <w:rPr>
          <w:rFonts w:asciiTheme="majorHAnsi" w:hAnsiTheme="majorHAnsi"/>
          <w:spacing w:val="-3"/>
          <w:sz w:val="28"/>
          <w:szCs w:val="28"/>
        </w:rPr>
        <w:t xml:space="preserve"> </w:t>
      </w:r>
      <w:r w:rsidRPr="00D77A37">
        <w:rPr>
          <w:rFonts w:asciiTheme="majorHAnsi" w:hAnsiTheme="majorHAnsi"/>
          <w:sz w:val="28"/>
          <w:szCs w:val="28"/>
        </w:rPr>
        <w:t>та</w:t>
      </w:r>
      <w:r w:rsidRPr="00D77A37">
        <w:rPr>
          <w:rFonts w:asciiTheme="majorHAnsi" w:hAnsiTheme="majorHAnsi"/>
          <w:spacing w:val="-3"/>
          <w:sz w:val="28"/>
          <w:szCs w:val="28"/>
        </w:rPr>
        <w:t xml:space="preserve"> </w:t>
      </w:r>
      <w:r w:rsidRPr="00D77A37">
        <w:rPr>
          <w:rFonts w:asciiTheme="majorHAnsi" w:hAnsiTheme="majorHAnsi"/>
          <w:sz w:val="28"/>
          <w:szCs w:val="28"/>
        </w:rPr>
        <w:t>регулювання.</w:t>
      </w:r>
      <w:r w:rsidRPr="00D77A37">
        <w:rPr>
          <w:rFonts w:asciiTheme="majorHAnsi" w:hAnsiTheme="majorHAnsi"/>
          <w:spacing w:val="-3"/>
          <w:sz w:val="28"/>
          <w:szCs w:val="28"/>
        </w:rPr>
        <w:t xml:space="preserve"> </w:t>
      </w:r>
      <w:r w:rsidRPr="00D77A37">
        <w:rPr>
          <w:rFonts w:asciiTheme="majorHAnsi" w:hAnsiTheme="majorHAnsi"/>
          <w:sz w:val="28"/>
          <w:szCs w:val="28"/>
        </w:rPr>
        <w:t>Терміни</w:t>
      </w:r>
      <w:r w:rsidRPr="00D77A37">
        <w:rPr>
          <w:rFonts w:asciiTheme="majorHAnsi" w:hAnsiTheme="majorHAnsi"/>
          <w:spacing w:val="-4"/>
          <w:sz w:val="28"/>
          <w:szCs w:val="28"/>
        </w:rPr>
        <w:t xml:space="preserve"> </w:t>
      </w:r>
      <w:r w:rsidRPr="00D77A37">
        <w:rPr>
          <w:rFonts w:asciiTheme="majorHAnsi" w:hAnsiTheme="majorHAnsi"/>
          <w:sz w:val="28"/>
          <w:szCs w:val="28"/>
        </w:rPr>
        <w:t>та</w:t>
      </w:r>
      <w:r w:rsidRPr="00D77A37">
        <w:rPr>
          <w:rFonts w:asciiTheme="majorHAnsi" w:hAnsiTheme="majorHAnsi"/>
          <w:spacing w:val="-3"/>
          <w:sz w:val="28"/>
          <w:szCs w:val="28"/>
        </w:rPr>
        <w:t xml:space="preserve"> </w:t>
      </w:r>
      <w:r w:rsidRPr="00D77A37">
        <w:rPr>
          <w:rFonts w:asciiTheme="majorHAnsi" w:hAnsiTheme="majorHAnsi"/>
          <w:sz w:val="28"/>
          <w:szCs w:val="28"/>
        </w:rPr>
        <w:t>визначання</w:t>
      </w:r>
    </w:p>
    <w:p w14:paraId="52A3FEC2"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w:t>
      </w:r>
      <w:r w:rsidRPr="00D77A37">
        <w:rPr>
          <w:rFonts w:asciiTheme="majorHAnsi" w:hAnsiTheme="majorHAnsi"/>
          <w:spacing w:val="-3"/>
          <w:sz w:val="28"/>
          <w:szCs w:val="28"/>
        </w:rPr>
        <w:t xml:space="preserve"> </w:t>
      </w:r>
      <w:r w:rsidRPr="00D77A37">
        <w:rPr>
          <w:rFonts w:asciiTheme="majorHAnsi" w:hAnsiTheme="majorHAnsi"/>
          <w:sz w:val="28"/>
          <w:szCs w:val="28"/>
        </w:rPr>
        <w:t>3830-98</w:t>
      </w:r>
      <w:r w:rsidRPr="00D77A37">
        <w:rPr>
          <w:rFonts w:asciiTheme="majorHAnsi" w:hAnsiTheme="majorHAnsi"/>
          <w:spacing w:val="-1"/>
          <w:sz w:val="28"/>
          <w:szCs w:val="28"/>
        </w:rPr>
        <w:t xml:space="preserve"> </w:t>
      </w:r>
      <w:r w:rsidRPr="00D77A37">
        <w:rPr>
          <w:rFonts w:asciiTheme="majorHAnsi" w:hAnsiTheme="majorHAnsi"/>
          <w:sz w:val="28"/>
          <w:szCs w:val="28"/>
        </w:rPr>
        <w:t>Корозія</w:t>
      </w:r>
      <w:r w:rsidRPr="00D77A37">
        <w:rPr>
          <w:rFonts w:asciiTheme="majorHAnsi" w:hAnsiTheme="majorHAnsi"/>
          <w:spacing w:val="-3"/>
          <w:sz w:val="28"/>
          <w:szCs w:val="28"/>
        </w:rPr>
        <w:t xml:space="preserve"> </w:t>
      </w:r>
      <w:r w:rsidRPr="00D77A37">
        <w:rPr>
          <w:rFonts w:asciiTheme="majorHAnsi" w:hAnsiTheme="majorHAnsi"/>
          <w:sz w:val="28"/>
          <w:szCs w:val="28"/>
        </w:rPr>
        <w:t>металів</w:t>
      </w:r>
      <w:r w:rsidRPr="00D77A37">
        <w:rPr>
          <w:rFonts w:asciiTheme="majorHAnsi" w:hAnsiTheme="majorHAnsi"/>
          <w:spacing w:val="-4"/>
          <w:sz w:val="28"/>
          <w:szCs w:val="28"/>
        </w:rPr>
        <w:t xml:space="preserve"> </w:t>
      </w:r>
      <w:r w:rsidRPr="00D77A37">
        <w:rPr>
          <w:rFonts w:asciiTheme="majorHAnsi" w:hAnsiTheme="majorHAnsi"/>
          <w:sz w:val="28"/>
          <w:szCs w:val="28"/>
        </w:rPr>
        <w:t>і</w:t>
      </w:r>
      <w:r w:rsidRPr="00D77A37">
        <w:rPr>
          <w:rFonts w:asciiTheme="majorHAnsi" w:hAnsiTheme="majorHAnsi"/>
          <w:spacing w:val="-3"/>
          <w:sz w:val="28"/>
          <w:szCs w:val="28"/>
        </w:rPr>
        <w:t xml:space="preserve"> </w:t>
      </w:r>
      <w:r w:rsidRPr="00D77A37">
        <w:rPr>
          <w:rFonts w:asciiTheme="majorHAnsi" w:hAnsiTheme="majorHAnsi"/>
          <w:sz w:val="28"/>
          <w:szCs w:val="28"/>
        </w:rPr>
        <w:t>сплавів.</w:t>
      </w:r>
      <w:r w:rsidRPr="00D77A37">
        <w:rPr>
          <w:rFonts w:asciiTheme="majorHAnsi" w:hAnsiTheme="majorHAnsi"/>
          <w:spacing w:val="-2"/>
          <w:sz w:val="28"/>
          <w:szCs w:val="28"/>
        </w:rPr>
        <w:t xml:space="preserve"> </w:t>
      </w:r>
      <w:r w:rsidRPr="00D77A37">
        <w:rPr>
          <w:rFonts w:asciiTheme="majorHAnsi" w:hAnsiTheme="majorHAnsi"/>
          <w:sz w:val="28"/>
          <w:szCs w:val="28"/>
        </w:rPr>
        <w:t>Терміни</w:t>
      </w:r>
      <w:r w:rsidRPr="00D77A37">
        <w:rPr>
          <w:rFonts w:asciiTheme="majorHAnsi" w:hAnsiTheme="majorHAnsi"/>
          <w:spacing w:val="-4"/>
          <w:sz w:val="28"/>
          <w:szCs w:val="28"/>
        </w:rPr>
        <w:t xml:space="preserve"> </w:t>
      </w:r>
      <w:r w:rsidRPr="00D77A37">
        <w:rPr>
          <w:rFonts w:asciiTheme="majorHAnsi" w:hAnsiTheme="majorHAnsi"/>
          <w:sz w:val="28"/>
          <w:szCs w:val="28"/>
        </w:rPr>
        <w:t>та</w:t>
      </w:r>
      <w:r w:rsidRPr="00D77A37">
        <w:rPr>
          <w:rFonts w:asciiTheme="majorHAnsi" w:hAnsiTheme="majorHAnsi"/>
          <w:spacing w:val="-2"/>
          <w:sz w:val="28"/>
          <w:szCs w:val="28"/>
        </w:rPr>
        <w:t xml:space="preserve"> </w:t>
      </w:r>
      <w:r w:rsidRPr="00D77A37">
        <w:rPr>
          <w:rFonts w:asciiTheme="majorHAnsi" w:hAnsiTheme="majorHAnsi"/>
          <w:sz w:val="28"/>
          <w:szCs w:val="28"/>
        </w:rPr>
        <w:t>визначення</w:t>
      </w:r>
      <w:r w:rsidRPr="00D77A37">
        <w:rPr>
          <w:rFonts w:asciiTheme="majorHAnsi" w:hAnsiTheme="majorHAnsi"/>
          <w:spacing w:val="-3"/>
          <w:sz w:val="28"/>
          <w:szCs w:val="28"/>
        </w:rPr>
        <w:t xml:space="preserve"> </w:t>
      </w:r>
      <w:r w:rsidRPr="00D77A37">
        <w:rPr>
          <w:rFonts w:asciiTheme="majorHAnsi" w:hAnsiTheme="majorHAnsi"/>
          <w:sz w:val="28"/>
          <w:szCs w:val="28"/>
        </w:rPr>
        <w:t>основних</w:t>
      </w:r>
      <w:r w:rsidRPr="00D77A37">
        <w:rPr>
          <w:rFonts w:asciiTheme="majorHAnsi" w:hAnsiTheme="majorHAnsi"/>
          <w:spacing w:val="-3"/>
          <w:sz w:val="28"/>
          <w:szCs w:val="28"/>
        </w:rPr>
        <w:t xml:space="preserve"> </w:t>
      </w:r>
      <w:r w:rsidRPr="00D77A37">
        <w:rPr>
          <w:rFonts w:asciiTheme="majorHAnsi" w:hAnsiTheme="majorHAnsi"/>
          <w:sz w:val="28"/>
          <w:szCs w:val="28"/>
        </w:rPr>
        <w:t>понять</w:t>
      </w:r>
    </w:p>
    <w:p w14:paraId="78714CC3"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pacing w:val="-2"/>
          <w:sz w:val="28"/>
          <w:szCs w:val="28"/>
        </w:rPr>
        <w:t>ДСТУ</w:t>
      </w:r>
      <w:r w:rsidRPr="00D77A37">
        <w:rPr>
          <w:rFonts w:asciiTheme="majorHAnsi" w:hAnsiTheme="majorHAnsi"/>
          <w:spacing w:val="-10"/>
          <w:sz w:val="28"/>
          <w:szCs w:val="28"/>
        </w:rPr>
        <w:t xml:space="preserve"> </w:t>
      </w:r>
      <w:r w:rsidRPr="00D77A37">
        <w:rPr>
          <w:rFonts w:asciiTheme="majorHAnsi" w:hAnsiTheme="majorHAnsi"/>
          <w:spacing w:val="-2"/>
          <w:sz w:val="28"/>
          <w:szCs w:val="28"/>
        </w:rPr>
        <w:t>3892-99</w:t>
      </w:r>
      <w:r w:rsidRPr="00D77A37">
        <w:rPr>
          <w:rFonts w:asciiTheme="majorHAnsi" w:hAnsiTheme="majorHAnsi"/>
          <w:spacing w:val="-9"/>
          <w:sz w:val="28"/>
          <w:szCs w:val="28"/>
        </w:rPr>
        <w:t xml:space="preserve"> </w:t>
      </w:r>
      <w:r w:rsidRPr="00D77A37">
        <w:rPr>
          <w:rFonts w:asciiTheme="majorHAnsi" w:hAnsiTheme="majorHAnsi"/>
          <w:spacing w:val="-2"/>
          <w:sz w:val="28"/>
          <w:szCs w:val="28"/>
        </w:rPr>
        <w:t>Засоби</w:t>
      </w:r>
      <w:r w:rsidRPr="00D77A37">
        <w:rPr>
          <w:rFonts w:asciiTheme="majorHAnsi" w:hAnsiTheme="majorHAnsi"/>
          <w:spacing w:val="-10"/>
          <w:sz w:val="28"/>
          <w:szCs w:val="28"/>
        </w:rPr>
        <w:t xml:space="preserve"> </w:t>
      </w:r>
      <w:r w:rsidRPr="00D77A37">
        <w:rPr>
          <w:rFonts w:asciiTheme="majorHAnsi" w:hAnsiTheme="majorHAnsi"/>
          <w:spacing w:val="-2"/>
          <w:sz w:val="28"/>
          <w:szCs w:val="28"/>
        </w:rPr>
        <w:t>інженерно-технічного</w:t>
      </w:r>
      <w:r w:rsidRPr="00D77A37">
        <w:rPr>
          <w:rFonts w:asciiTheme="majorHAnsi" w:hAnsiTheme="majorHAnsi"/>
          <w:spacing w:val="-7"/>
          <w:sz w:val="28"/>
          <w:szCs w:val="28"/>
        </w:rPr>
        <w:t xml:space="preserve"> </w:t>
      </w:r>
      <w:r w:rsidRPr="00D77A37">
        <w:rPr>
          <w:rFonts w:asciiTheme="majorHAnsi" w:hAnsiTheme="majorHAnsi"/>
          <w:spacing w:val="-1"/>
          <w:sz w:val="28"/>
          <w:szCs w:val="28"/>
        </w:rPr>
        <w:t>укріплення</w:t>
      </w:r>
      <w:r w:rsidRPr="00D77A37">
        <w:rPr>
          <w:rFonts w:asciiTheme="majorHAnsi" w:hAnsiTheme="majorHAnsi"/>
          <w:spacing w:val="-8"/>
          <w:sz w:val="28"/>
          <w:szCs w:val="28"/>
        </w:rPr>
        <w:t xml:space="preserve"> </w:t>
      </w:r>
      <w:r w:rsidRPr="00D77A37">
        <w:rPr>
          <w:rFonts w:asciiTheme="majorHAnsi" w:hAnsiTheme="majorHAnsi"/>
          <w:spacing w:val="-1"/>
          <w:sz w:val="28"/>
          <w:szCs w:val="28"/>
        </w:rPr>
        <w:t>та</w:t>
      </w:r>
      <w:r w:rsidRPr="00D77A37">
        <w:rPr>
          <w:rFonts w:asciiTheme="majorHAnsi" w:hAnsiTheme="majorHAnsi"/>
          <w:spacing w:val="-10"/>
          <w:sz w:val="28"/>
          <w:szCs w:val="28"/>
        </w:rPr>
        <w:t xml:space="preserve"> </w:t>
      </w:r>
      <w:r w:rsidRPr="00D77A37">
        <w:rPr>
          <w:rFonts w:asciiTheme="majorHAnsi" w:hAnsiTheme="majorHAnsi"/>
          <w:spacing w:val="-1"/>
          <w:sz w:val="28"/>
          <w:szCs w:val="28"/>
        </w:rPr>
        <w:t>захисту</w:t>
      </w:r>
      <w:r w:rsidRPr="00D77A37">
        <w:rPr>
          <w:rFonts w:asciiTheme="majorHAnsi" w:hAnsiTheme="majorHAnsi"/>
          <w:spacing w:val="-11"/>
          <w:sz w:val="28"/>
          <w:szCs w:val="28"/>
        </w:rPr>
        <w:t xml:space="preserve"> </w:t>
      </w:r>
      <w:r w:rsidRPr="00D77A37">
        <w:rPr>
          <w:rFonts w:asciiTheme="majorHAnsi" w:hAnsiTheme="majorHAnsi"/>
          <w:spacing w:val="-1"/>
          <w:sz w:val="28"/>
          <w:szCs w:val="28"/>
        </w:rPr>
        <w:t>об’єктів.</w:t>
      </w:r>
      <w:r w:rsidRPr="00D77A37">
        <w:rPr>
          <w:rFonts w:asciiTheme="majorHAnsi" w:hAnsiTheme="majorHAnsi"/>
          <w:spacing w:val="-10"/>
          <w:sz w:val="28"/>
          <w:szCs w:val="28"/>
        </w:rPr>
        <w:t xml:space="preserve"> </w:t>
      </w:r>
      <w:r w:rsidRPr="00D77A37">
        <w:rPr>
          <w:rFonts w:asciiTheme="majorHAnsi" w:hAnsiTheme="majorHAnsi"/>
          <w:spacing w:val="-1"/>
          <w:sz w:val="28"/>
          <w:szCs w:val="28"/>
        </w:rPr>
        <w:t>Терміни</w:t>
      </w:r>
      <w:r w:rsidRPr="00D77A37">
        <w:rPr>
          <w:rFonts w:asciiTheme="majorHAnsi" w:hAnsiTheme="majorHAnsi"/>
          <w:spacing w:val="-9"/>
          <w:sz w:val="28"/>
          <w:szCs w:val="28"/>
        </w:rPr>
        <w:t xml:space="preserve"> </w:t>
      </w:r>
      <w:r w:rsidRPr="00D77A37">
        <w:rPr>
          <w:rFonts w:asciiTheme="majorHAnsi" w:hAnsiTheme="majorHAnsi"/>
          <w:spacing w:val="-1"/>
          <w:sz w:val="28"/>
          <w:szCs w:val="28"/>
        </w:rPr>
        <w:t>та</w:t>
      </w:r>
      <w:r w:rsidRPr="00D77A37">
        <w:rPr>
          <w:rFonts w:asciiTheme="majorHAnsi" w:hAnsiTheme="majorHAnsi"/>
          <w:spacing w:val="-10"/>
          <w:sz w:val="28"/>
          <w:szCs w:val="28"/>
        </w:rPr>
        <w:t xml:space="preserve"> </w:t>
      </w:r>
      <w:r w:rsidRPr="00D77A37">
        <w:rPr>
          <w:rFonts w:asciiTheme="majorHAnsi" w:hAnsiTheme="majorHAnsi"/>
          <w:spacing w:val="-1"/>
          <w:sz w:val="28"/>
          <w:szCs w:val="28"/>
        </w:rPr>
        <w:t>визначення</w:t>
      </w:r>
    </w:p>
    <w:p w14:paraId="2D9AD172"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 3956-2000</w:t>
      </w:r>
      <w:r w:rsidRPr="00D77A37">
        <w:rPr>
          <w:rFonts w:asciiTheme="majorHAnsi" w:hAnsiTheme="majorHAnsi"/>
          <w:spacing w:val="1"/>
          <w:sz w:val="28"/>
          <w:szCs w:val="28"/>
        </w:rPr>
        <w:t xml:space="preserve"> </w:t>
      </w:r>
      <w:r w:rsidRPr="00D77A37">
        <w:rPr>
          <w:rFonts w:asciiTheme="majorHAnsi" w:hAnsiTheme="majorHAnsi"/>
          <w:sz w:val="28"/>
          <w:szCs w:val="28"/>
        </w:rPr>
        <w:t>Технічні засоби вимірювання та керування в промислових процесах. Частина 1. Основні поняття.</w:t>
      </w:r>
      <w:r w:rsidRPr="00D77A37">
        <w:rPr>
          <w:rFonts w:asciiTheme="majorHAnsi" w:hAnsiTheme="majorHAnsi"/>
          <w:spacing w:val="-1"/>
          <w:sz w:val="28"/>
          <w:szCs w:val="28"/>
        </w:rPr>
        <w:t xml:space="preserve"> </w:t>
      </w:r>
      <w:r w:rsidRPr="00D77A37">
        <w:rPr>
          <w:rFonts w:asciiTheme="majorHAnsi" w:hAnsiTheme="majorHAnsi"/>
          <w:sz w:val="28"/>
          <w:szCs w:val="28"/>
        </w:rPr>
        <w:t>Терміни</w:t>
      </w:r>
      <w:r w:rsidRPr="00D77A37">
        <w:rPr>
          <w:rFonts w:asciiTheme="majorHAnsi" w:hAnsiTheme="majorHAnsi"/>
          <w:spacing w:val="-1"/>
          <w:sz w:val="28"/>
          <w:szCs w:val="28"/>
        </w:rPr>
        <w:t xml:space="preserve"> </w:t>
      </w:r>
      <w:r w:rsidRPr="00D77A37">
        <w:rPr>
          <w:rFonts w:asciiTheme="majorHAnsi" w:hAnsiTheme="majorHAnsi"/>
          <w:sz w:val="28"/>
          <w:szCs w:val="28"/>
        </w:rPr>
        <w:t>та визначення</w:t>
      </w:r>
    </w:p>
    <w:p w14:paraId="2761DEF4" w14:textId="77777777"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w:t>
      </w:r>
      <w:r w:rsidRPr="00D77A37">
        <w:rPr>
          <w:rFonts w:asciiTheme="majorHAnsi" w:hAnsiTheme="majorHAnsi"/>
          <w:spacing w:val="1"/>
          <w:sz w:val="28"/>
          <w:szCs w:val="28"/>
        </w:rPr>
        <w:t xml:space="preserve"> </w:t>
      </w:r>
      <w:r w:rsidRPr="00D77A37">
        <w:rPr>
          <w:rFonts w:asciiTheme="majorHAnsi" w:hAnsiTheme="majorHAnsi"/>
          <w:sz w:val="28"/>
          <w:szCs w:val="28"/>
        </w:rPr>
        <w:t>4748:2007</w:t>
      </w:r>
      <w:r w:rsidRPr="00D77A37">
        <w:rPr>
          <w:rFonts w:asciiTheme="majorHAnsi" w:hAnsiTheme="majorHAnsi"/>
          <w:spacing w:val="1"/>
          <w:sz w:val="28"/>
          <w:szCs w:val="28"/>
        </w:rPr>
        <w:t xml:space="preserve"> </w:t>
      </w:r>
      <w:r w:rsidRPr="00D77A37">
        <w:rPr>
          <w:rFonts w:asciiTheme="majorHAnsi" w:hAnsiTheme="majorHAnsi"/>
          <w:sz w:val="28"/>
          <w:szCs w:val="28"/>
        </w:rPr>
        <w:t>Машини сільськогосподарські.</w:t>
      </w:r>
      <w:r w:rsidRPr="00D77A37">
        <w:rPr>
          <w:rFonts w:asciiTheme="majorHAnsi" w:hAnsiTheme="majorHAnsi"/>
          <w:spacing w:val="2"/>
          <w:sz w:val="28"/>
          <w:szCs w:val="28"/>
        </w:rPr>
        <w:t xml:space="preserve"> </w:t>
      </w:r>
      <w:r w:rsidRPr="00D77A37">
        <w:rPr>
          <w:rFonts w:asciiTheme="majorHAnsi" w:hAnsiTheme="majorHAnsi"/>
          <w:sz w:val="28"/>
          <w:szCs w:val="28"/>
        </w:rPr>
        <w:t>Методи</w:t>
      </w:r>
      <w:r w:rsidRPr="00D77A37">
        <w:rPr>
          <w:rFonts w:asciiTheme="majorHAnsi" w:hAnsiTheme="majorHAnsi"/>
          <w:spacing w:val="3"/>
          <w:sz w:val="28"/>
          <w:szCs w:val="28"/>
        </w:rPr>
        <w:t xml:space="preserve"> </w:t>
      </w:r>
      <w:r w:rsidRPr="00D77A37">
        <w:rPr>
          <w:rFonts w:asciiTheme="majorHAnsi" w:hAnsiTheme="majorHAnsi"/>
          <w:sz w:val="28"/>
          <w:szCs w:val="28"/>
        </w:rPr>
        <w:t>оцінювання</w:t>
      </w:r>
      <w:r w:rsidRPr="00D77A37">
        <w:rPr>
          <w:rFonts w:asciiTheme="majorHAnsi" w:hAnsiTheme="majorHAnsi"/>
          <w:spacing w:val="1"/>
          <w:sz w:val="28"/>
          <w:szCs w:val="28"/>
        </w:rPr>
        <w:t xml:space="preserve"> </w:t>
      </w:r>
      <w:r w:rsidRPr="00D77A37">
        <w:rPr>
          <w:rFonts w:asciiTheme="majorHAnsi" w:hAnsiTheme="majorHAnsi"/>
          <w:sz w:val="28"/>
          <w:szCs w:val="28"/>
        </w:rPr>
        <w:t>пристосованості</w:t>
      </w:r>
      <w:r w:rsidRPr="00D77A37">
        <w:rPr>
          <w:rFonts w:asciiTheme="majorHAnsi" w:hAnsiTheme="majorHAnsi"/>
          <w:spacing w:val="1"/>
          <w:sz w:val="28"/>
          <w:szCs w:val="28"/>
        </w:rPr>
        <w:t xml:space="preserve"> </w:t>
      </w:r>
      <w:r w:rsidRPr="00D77A37">
        <w:rPr>
          <w:rFonts w:asciiTheme="majorHAnsi" w:hAnsiTheme="majorHAnsi"/>
          <w:sz w:val="28"/>
          <w:szCs w:val="28"/>
        </w:rPr>
        <w:t>до</w:t>
      </w:r>
      <w:r w:rsidRPr="00D77A37">
        <w:rPr>
          <w:rFonts w:asciiTheme="majorHAnsi" w:hAnsiTheme="majorHAnsi"/>
          <w:spacing w:val="2"/>
          <w:sz w:val="28"/>
          <w:szCs w:val="28"/>
        </w:rPr>
        <w:t xml:space="preserve"> </w:t>
      </w:r>
      <w:r w:rsidRPr="00D77A37">
        <w:rPr>
          <w:rFonts w:asciiTheme="majorHAnsi" w:hAnsiTheme="majorHAnsi"/>
          <w:sz w:val="28"/>
          <w:szCs w:val="28"/>
        </w:rPr>
        <w:t>технічного</w:t>
      </w:r>
      <w:r w:rsidRPr="00D77A37">
        <w:rPr>
          <w:rFonts w:asciiTheme="majorHAnsi" w:hAnsiTheme="majorHAnsi"/>
          <w:spacing w:val="-5"/>
          <w:sz w:val="28"/>
          <w:szCs w:val="28"/>
        </w:rPr>
        <w:t xml:space="preserve"> </w:t>
      </w:r>
      <w:r w:rsidRPr="00D77A37">
        <w:rPr>
          <w:rFonts w:asciiTheme="majorHAnsi" w:hAnsiTheme="majorHAnsi"/>
          <w:sz w:val="28"/>
          <w:szCs w:val="28"/>
        </w:rPr>
        <w:t>обслуговування</w:t>
      </w:r>
    </w:p>
    <w:p w14:paraId="70B2F6A0" w14:textId="61E70756" w:rsidR="0097612F"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w:t>
      </w:r>
      <w:r w:rsidRPr="00D77A37">
        <w:rPr>
          <w:rFonts w:asciiTheme="majorHAnsi" w:hAnsiTheme="majorHAnsi"/>
          <w:spacing w:val="-2"/>
          <w:sz w:val="28"/>
          <w:szCs w:val="28"/>
        </w:rPr>
        <w:t xml:space="preserve"> </w:t>
      </w:r>
      <w:r w:rsidRPr="00D77A37">
        <w:rPr>
          <w:rFonts w:asciiTheme="majorHAnsi" w:hAnsiTheme="majorHAnsi"/>
          <w:sz w:val="28"/>
          <w:szCs w:val="28"/>
        </w:rPr>
        <w:t>ISO</w:t>
      </w:r>
      <w:r w:rsidRPr="00D77A37">
        <w:rPr>
          <w:rFonts w:asciiTheme="majorHAnsi" w:hAnsiTheme="majorHAnsi"/>
          <w:spacing w:val="-2"/>
          <w:sz w:val="28"/>
          <w:szCs w:val="28"/>
        </w:rPr>
        <w:t xml:space="preserve"> </w:t>
      </w:r>
      <w:r w:rsidRPr="00D77A37">
        <w:rPr>
          <w:rFonts w:asciiTheme="majorHAnsi" w:hAnsiTheme="majorHAnsi"/>
          <w:sz w:val="28"/>
          <w:szCs w:val="28"/>
        </w:rPr>
        <w:t>900</w:t>
      </w:r>
      <w:r w:rsidR="00D77A37">
        <w:rPr>
          <w:rFonts w:asciiTheme="majorHAnsi" w:hAnsiTheme="majorHAnsi"/>
          <w:sz w:val="28"/>
          <w:szCs w:val="28"/>
          <w:lang w:val="uk-UA"/>
        </w:rPr>
        <w:t>0:</w:t>
      </w:r>
      <w:r w:rsidRPr="00D77A37">
        <w:rPr>
          <w:rFonts w:asciiTheme="majorHAnsi" w:hAnsiTheme="majorHAnsi"/>
          <w:sz w:val="28"/>
          <w:szCs w:val="28"/>
        </w:rPr>
        <w:t>2015</w:t>
      </w:r>
      <w:r w:rsidRPr="00D77A37">
        <w:rPr>
          <w:rFonts w:asciiTheme="majorHAnsi" w:hAnsiTheme="majorHAnsi"/>
          <w:spacing w:val="47"/>
          <w:sz w:val="28"/>
          <w:szCs w:val="28"/>
        </w:rPr>
        <w:t xml:space="preserve"> </w:t>
      </w:r>
      <w:r w:rsidRPr="00D77A37">
        <w:rPr>
          <w:rFonts w:asciiTheme="majorHAnsi" w:hAnsiTheme="majorHAnsi"/>
          <w:sz w:val="28"/>
          <w:szCs w:val="28"/>
        </w:rPr>
        <w:t>Системи</w:t>
      </w:r>
      <w:r w:rsidRPr="00D77A37">
        <w:rPr>
          <w:rFonts w:asciiTheme="majorHAnsi" w:hAnsiTheme="majorHAnsi"/>
          <w:spacing w:val="-1"/>
          <w:sz w:val="28"/>
          <w:szCs w:val="28"/>
        </w:rPr>
        <w:t xml:space="preserve"> </w:t>
      </w:r>
      <w:r w:rsidRPr="00D77A37">
        <w:rPr>
          <w:rFonts w:asciiTheme="majorHAnsi" w:hAnsiTheme="majorHAnsi"/>
          <w:sz w:val="28"/>
          <w:szCs w:val="28"/>
        </w:rPr>
        <w:t>управління</w:t>
      </w:r>
      <w:r w:rsidRPr="00D77A37">
        <w:rPr>
          <w:rFonts w:asciiTheme="majorHAnsi" w:hAnsiTheme="majorHAnsi"/>
          <w:spacing w:val="-3"/>
          <w:sz w:val="28"/>
          <w:szCs w:val="28"/>
        </w:rPr>
        <w:t xml:space="preserve"> </w:t>
      </w:r>
      <w:r w:rsidRPr="00D77A37">
        <w:rPr>
          <w:rFonts w:asciiTheme="majorHAnsi" w:hAnsiTheme="majorHAnsi"/>
          <w:sz w:val="28"/>
          <w:szCs w:val="28"/>
        </w:rPr>
        <w:t>якістю.</w:t>
      </w:r>
      <w:r w:rsidRPr="00D77A37">
        <w:rPr>
          <w:rFonts w:asciiTheme="majorHAnsi" w:hAnsiTheme="majorHAnsi"/>
          <w:spacing w:val="-2"/>
          <w:sz w:val="28"/>
          <w:szCs w:val="28"/>
        </w:rPr>
        <w:t xml:space="preserve"> </w:t>
      </w:r>
      <w:r w:rsidR="00D77A37">
        <w:rPr>
          <w:rFonts w:asciiTheme="majorHAnsi" w:hAnsiTheme="majorHAnsi"/>
          <w:sz w:val="28"/>
          <w:szCs w:val="28"/>
          <w:lang w:val="uk-UA"/>
        </w:rPr>
        <w:t>Основні положення та словник термінів</w:t>
      </w:r>
    </w:p>
    <w:p w14:paraId="6CE23E20" w14:textId="026C1157" w:rsidR="00D77A37" w:rsidRDefault="00D77A37" w:rsidP="00D77A37">
      <w:pPr>
        <w:pStyle w:val="af6"/>
        <w:numPr>
          <w:ilvl w:val="0"/>
          <w:numId w:val="231"/>
        </w:numPr>
        <w:spacing w:after="0"/>
        <w:rPr>
          <w:rFonts w:asciiTheme="majorHAnsi" w:hAnsiTheme="majorHAnsi"/>
          <w:sz w:val="28"/>
          <w:szCs w:val="28"/>
        </w:rPr>
      </w:pPr>
      <w:r w:rsidRPr="00D77A37">
        <w:rPr>
          <w:rFonts w:asciiTheme="majorHAnsi" w:hAnsiTheme="majorHAnsi"/>
          <w:sz w:val="28"/>
          <w:szCs w:val="28"/>
        </w:rPr>
        <w:t>ДСТУ</w:t>
      </w:r>
      <w:r w:rsidRPr="00D77A37">
        <w:rPr>
          <w:rFonts w:asciiTheme="majorHAnsi" w:hAnsiTheme="majorHAnsi"/>
          <w:spacing w:val="-2"/>
          <w:sz w:val="28"/>
          <w:szCs w:val="28"/>
        </w:rPr>
        <w:t xml:space="preserve"> </w:t>
      </w:r>
      <w:r w:rsidRPr="00D77A37">
        <w:rPr>
          <w:rFonts w:asciiTheme="majorHAnsi" w:hAnsiTheme="majorHAnsi"/>
          <w:sz w:val="28"/>
          <w:szCs w:val="28"/>
        </w:rPr>
        <w:t>ISO</w:t>
      </w:r>
      <w:r w:rsidRPr="00D77A37">
        <w:rPr>
          <w:rFonts w:asciiTheme="majorHAnsi" w:hAnsiTheme="majorHAnsi"/>
          <w:spacing w:val="-2"/>
          <w:sz w:val="28"/>
          <w:szCs w:val="28"/>
        </w:rPr>
        <w:t xml:space="preserve"> </w:t>
      </w:r>
      <w:r w:rsidRPr="00D77A37">
        <w:rPr>
          <w:rFonts w:asciiTheme="majorHAnsi" w:hAnsiTheme="majorHAnsi"/>
          <w:sz w:val="28"/>
          <w:szCs w:val="28"/>
        </w:rPr>
        <w:t>9001:2015</w:t>
      </w:r>
      <w:r w:rsidRPr="00D77A37">
        <w:rPr>
          <w:rFonts w:asciiTheme="majorHAnsi" w:hAnsiTheme="majorHAnsi"/>
          <w:spacing w:val="47"/>
          <w:sz w:val="28"/>
          <w:szCs w:val="28"/>
        </w:rPr>
        <w:t xml:space="preserve"> </w:t>
      </w:r>
      <w:r w:rsidRPr="00D77A37">
        <w:rPr>
          <w:rFonts w:asciiTheme="majorHAnsi" w:hAnsiTheme="majorHAnsi"/>
          <w:sz w:val="28"/>
          <w:szCs w:val="28"/>
        </w:rPr>
        <w:t>Системи</w:t>
      </w:r>
      <w:r w:rsidRPr="00D77A37">
        <w:rPr>
          <w:rFonts w:asciiTheme="majorHAnsi" w:hAnsiTheme="majorHAnsi"/>
          <w:spacing w:val="-1"/>
          <w:sz w:val="28"/>
          <w:szCs w:val="28"/>
        </w:rPr>
        <w:t xml:space="preserve"> </w:t>
      </w:r>
      <w:r w:rsidRPr="00D77A37">
        <w:rPr>
          <w:rFonts w:asciiTheme="majorHAnsi" w:hAnsiTheme="majorHAnsi"/>
          <w:sz w:val="28"/>
          <w:szCs w:val="28"/>
        </w:rPr>
        <w:t>управління</w:t>
      </w:r>
      <w:r w:rsidRPr="00D77A37">
        <w:rPr>
          <w:rFonts w:asciiTheme="majorHAnsi" w:hAnsiTheme="majorHAnsi"/>
          <w:spacing w:val="-3"/>
          <w:sz w:val="28"/>
          <w:szCs w:val="28"/>
        </w:rPr>
        <w:t xml:space="preserve"> </w:t>
      </w:r>
      <w:r w:rsidRPr="00D77A37">
        <w:rPr>
          <w:rFonts w:asciiTheme="majorHAnsi" w:hAnsiTheme="majorHAnsi"/>
          <w:sz w:val="28"/>
          <w:szCs w:val="28"/>
        </w:rPr>
        <w:t>якістю.</w:t>
      </w:r>
      <w:r w:rsidRPr="00D77A37">
        <w:rPr>
          <w:rFonts w:asciiTheme="majorHAnsi" w:hAnsiTheme="majorHAnsi"/>
          <w:spacing w:val="-2"/>
          <w:sz w:val="28"/>
          <w:szCs w:val="28"/>
        </w:rPr>
        <w:t xml:space="preserve"> </w:t>
      </w:r>
      <w:r w:rsidRPr="00D77A37">
        <w:rPr>
          <w:rFonts w:asciiTheme="majorHAnsi" w:hAnsiTheme="majorHAnsi"/>
          <w:sz w:val="28"/>
          <w:szCs w:val="28"/>
        </w:rPr>
        <w:t>Вимоги</w:t>
      </w:r>
    </w:p>
    <w:p w14:paraId="1CAC5CFA" w14:textId="26285EEC" w:rsidR="0097612F" w:rsidRPr="00D77A37" w:rsidRDefault="0097612F" w:rsidP="00D77A37">
      <w:pPr>
        <w:pStyle w:val="af6"/>
        <w:numPr>
          <w:ilvl w:val="0"/>
          <w:numId w:val="231"/>
        </w:numPr>
        <w:spacing w:after="0"/>
        <w:rPr>
          <w:rFonts w:asciiTheme="majorHAnsi" w:hAnsiTheme="majorHAnsi"/>
          <w:sz w:val="28"/>
          <w:szCs w:val="28"/>
        </w:rPr>
      </w:pPr>
      <w:r w:rsidRPr="00D77A37">
        <w:rPr>
          <w:rFonts w:asciiTheme="majorHAnsi" w:hAnsiTheme="majorHAnsi"/>
          <w:spacing w:val="-6"/>
          <w:sz w:val="28"/>
          <w:szCs w:val="28"/>
        </w:rPr>
        <w:t>ДСТУ</w:t>
      </w:r>
      <w:r w:rsidRPr="00D77A37">
        <w:rPr>
          <w:rFonts w:asciiTheme="majorHAnsi" w:hAnsiTheme="majorHAnsi"/>
          <w:spacing w:val="-12"/>
          <w:sz w:val="28"/>
          <w:szCs w:val="28"/>
        </w:rPr>
        <w:t xml:space="preserve"> </w:t>
      </w:r>
      <w:r w:rsidRPr="00D77A37">
        <w:rPr>
          <w:rFonts w:asciiTheme="majorHAnsi" w:hAnsiTheme="majorHAnsi"/>
          <w:spacing w:val="-6"/>
          <w:sz w:val="28"/>
          <w:szCs w:val="28"/>
        </w:rPr>
        <w:t>ISO</w:t>
      </w:r>
      <w:r w:rsidRPr="00D77A37">
        <w:rPr>
          <w:rFonts w:asciiTheme="majorHAnsi" w:hAnsiTheme="majorHAnsi"/>
          <w:spacing w:val="-12"/>
          <w:sz w:val="28"/>
          <w:szCs w:val="28"/>
        </w:rPr>
        <w:t xml:space="preserve"> </w:t>
      </w:r>
      <w:r w:rsidRPr="00D77A37">
        <w:rPr>
          <w:rFonts w:asciiTheme="majorHAnsi" w:hAnsiTheme="majorHAnsi"/>
          <w:spacing w:val="-6"/>
          <w:sz w:val="28"/>
          <w:szCs w:val="28"/>
        </w:rPr>
        <w:t>14001</w:t>
      </w:r>
      <w:r w:rsidR="00D77A37" w:rsidRPr="00D77A37">
        <w:rPr>
          <w:rFonts w:asciiTheme="majorHAnsi" w:hAnsiTheme="majorHAnsi"/>
          <w:sz w:val="28"/>
          <w:szCs w:val="28"/>
        </w:rPr>
        <w:t>:</w:t>
      </w:r>
      <w:r w:rsidRPr="00D77A37">
        <w:rPr>
          <w:rFonts w:asciiTheme="majorHAnsi" w:hAnsiTheme="majorHAnsi"/>
          <w:spacing w:val="-6"/>
          <w:sz w:val="28"/>
          <w:szCs w:val="28"/>
        </w:rPr>
        <w:t>2015</w:t>
      </w:r>
      <w:r w:rsidRPr="00D77A37">
        <w:rPr>
          <w:rFonts w:asciiTheme="majorHAnsi" w:hAnsiTheme="majorHAnsi"/>
          <w:spacing w:val="36"/>
          <w:sz w:val="28"/>
          <w:szCs w:val="28"/>
        </w:rPr>
        <w:t xml:space="preserve"> </w:t>
      </w:r>
      <w:r w:rsidRPr="00D77A37">
        <w:rPr>
          <w:rFonts w:asciiTheme="majorHAnsi" w:hAnsiTheme="majorHAnsi"/>
          <w:spacing w:val="-6"/>
          <w:sz w:val="28"/>
          <w:szCs w:val="28"/>
        </w:rPr>
        <w:t>Системи</w:t>
      </w:r>
      <w:r w:rsidRPr="00D77A37">
        <w:rPr>
          <w:rFonts w:asciiTheme="majorHAnsi" w:hAnsiTheme="majorHAnsi"/>
          <w:spacing w:val="-13"/>
          <w:sz w:val="28"/>
          <w:szCs w:val="28"/>
        </w:rPr>
        <w:t xml:space="preserve"> </w:t>
      </w:r>
      <w:r w:rsidRPr="00D77A37">
        <w:rPr>
          <w:rFonts w:asciiTheme="majorHAnsi" w:hAnsiTheme="majorHAnsi"/>
          <w:spacing w:val="-6"/>
          <w:sz w:val="28"/>
          <w:szCs w:val="28"/>
        </w:rPr>
        <w:t>екологічного</w:t>
      </w:r>
      <w:r w:rsidRPr="00D77A37">
        <w:rPr>
          <w:rFonts w:asciiTheme="majorHAnsi" w:hAnsiTheme="majorHAnsi"/>
          <w:spacing w:val="-8"/>
          <w:sz w:val="28"/>
          <w:szCs w:val="28"/>
        </w:rPr>
        <w:t xml:space="preserve"> </w:t>
      </w:r>
      <w:r w:rsidRPr="00D77A37">
        <w:rPr>
          <w:rFonts w:asciiTheme="majorHAnsi" w:hAnsiTheme="majorHAnsi"/>
          <w:spacing w:val="-6"/>
          <w:sz w:val="28"/>
          <w:szCs w:val="28"/>
        </w:rPr>
        <w:t>управління.</w:t>
      </w:r>
      <w:r w:rsidRPr="00D77A37">
        <w:rPr>
          <w:rFonts w:asciiTheme="majorHAnsi" w:hAnsiTheme="majorHAnsi"/>
          <w:spacing w:val="32"/>
          <w:sz w:val="28"/>
          <w:szCs w:val="28"/>
        </w:rPr>
        <w:t xml:space="preserve"> </w:t>
      </w:r>
      <w:r w:rsidRPr="00D77A37">
        <w:rPr>
          <w:rFonts w:asciiTheme="majorHAnsi" w:hAnsiTheme="majorHAnsi"/>
          <w:spacing w:val="-6"/>
          <w:sz w:val="28"/>
          <w:szCs w:val="28"/>
        </w:rPr>
        <w:t>Вимоги</w:t>
      </w:r>
      <w:r w:rsidRPr="00D77A37">
        <w:rPr>
          <w:rFonts w:asciiTheme="majorHAnsi" w:hAnsiTheme="majorHAnsi"/>
          <w:spacing w:val="-11"/>
          <w:sz w:val="28"/>
          <w:szCs w:val="28"/>
        </w:rPr>
        <w:t xml:space="preserve"> </w:t>
      </w:r>
      <w:r w:rsidRPr="00D77A37">
        <w:rPr>
          <w:rFonts w:asciiTheme="majorHAnsi" w:hAnsiTheme="majorHAnsi"/>
          <w:spacing w:val="-5"/>
          <w:sz w:val="28"/>
          <w:szCs w:val="28"/>
        </w:rPr>
        <w:t>та</w:t>
      </w:r>
      <w:r w:rsidRPr="00D77A37">
        <w:rPr>
          <w:rFonts w:asciiTheme="majorHAnsi" w:hAnsiTheme="majorHAnsi"/>
          <w:spacing w:val="34"/>
          <w:sz w:val="28"/>
          <w:szCs w:val="28"/>
        </w:rPr>
        <w:t xml:space="preserve"> </w:t>
      </w:r>
      <w:r w:rsidRPr="00D77A37">
        <w:rPr>
          <w:rFonts w:asciiTheme="majorHAnsi" w:hAnsiTheme="majorHAnsi"/>
          <w:spacing w:val="-5"/>
          <w:sz w:val="28"/>
          <w:szCs w:val="28"/>
        </w:rPr>
        <w:t>настанови</w:t>
      </w:r>
      <w:r w:rsidRPr="00D77A37">
        <w:rPr>
          <w:rFonts w:asciiTheme="majorHAnsi" w:hAnsiTheme="majorHAnsi"/>
          <w:spacing w:val="-13"/>
          <w:sz w:val="28"/>
          <w:szCs w:val="28"/>
        </w:rPr>
        <w:t xml:space="preserve"> </w:t>
      </w:r>
      <w:r w:rsidRPr="00D77A37">
        <w:rPr>
          <w:rFonts w:asciiTheme="majorHAnsi" w:hAnsiTheme="majorHAnsi"/>
          <w:spacing w:val="-5"/>
          <w:sz w:val="28"/>
          <w:szCs w:val="28"/>
        </w:rPr>
        <w:t>щодо</w:t>
      </w:r>
      <w:r w:rsidRPr="00D77A37">
        <w:rPr>
          <w:rFonts w:asciiTheme="majorHAnsi" w:hAnsiTheme="majorHAnsi"/>
          <w:spacing w:val="-13"/>
          <w:sz w:val="28"/>
          <w:szCs w:val="28"/>
        </w:rPr>
        <w:t xml:space="preserve"> </w:t>
      </w:r>
      <w:r w:rsidRPr="00D77A37">
        <w:rPr>
          <w:rFonts w:asciiTheme="majorHAnsi" w:hAnsiTheme="majorHAnsi"/>
          <w:spacing w:val="-5"/>
          <w:sz w:val="28"/>
          <w:szCs w:val="28"/>
        </w:rPr>
        <w:t>застосування</w:t>
      </w:r>
    </w:p>
    <w:p w14:paraId="1B77983F" w14:textId="77777777" w:rsidR="0097612F" w:rsidRPr="00D77A37" w:rsidRDefault="0097612F" w:rsidP="00D77A37">
      <w:pPr>
        <w:pStyle w:val="af6"/>
        <w:numPr>
          <w:ilvl w:val="0"/>
          <w:numId w:val="231"/>
        </w:numPr>
        <w:spacing w:after="0"/>
        <w:rPr>
          <w:rFonts w:asciiTheme="majorHAnsi" w:hAnsiTheme="majorHAnsi"/>
          <w:spacing w:val="-5"/>
          <w:sz w:val="28"/>
          <w:szCs w:val="28"/>
        </w:rPr>
      </w:pPr>
      <w:r w:rsidRPr="00D77A37">
        <w:rPr>
          <w:rFonts w:asciiTheme="majorHAnsi" w:hAnsiTheme="majorHAnsi"/>
          <w:spacing w:val="-7"/>
          <w:sz w:val="28"/>
          <w:szCs w:val="28"/>
        </w:rPr>
        <w:lastRenderedPageBreak/>
        <w:t xml:space="preserve">ДСТУISO/IEC 17000:2007 (ISO/IEC 17000:2004, IDT) Оцінювання відповідності. </w:t>
      </w:r>
      <w:r w:rsidRPr="00D77A37">
        <w:rPr>
          <w:rFonts w:asciiTheme="majorHAnsi" w:hAnsiTheme="majorHAnsi"/>
          <w:spacing w:val="-6"/>
          <w:sz w:val="28"/>
          <w:szCs w:val="28"/>
        </w:rPr>
        <w:t>Словник термінів і загальні принципи</w:t>
      </w:r>
      <w:r w:rsidRPr="00D77A37">
        <w:rPr>
          <w:rFonts w:asciiTheme="majorHAnsi" w:hAnsiTheme="majorHAnsi"/>
          <w:spacing w:val="-5"/>
          <w:sz w:val="28"/>
          <w:szCs w:val="28"/>
        </w:rPr>
        <w:t xml:space="preserve"> </w:t>
      </w:r>
    </w:p>
    <w:p w14:paraId="56186FEB" w14:textId="77777777" w:rsidR="0097612F" w:rsidRPr="00D77A37" w:rsidRDefault="0097612F" w:rsidP="00D77A37">
      <w:pPr>
        <w:pStyle w:val="af6"/>
        <w:numPr>
          <w:ilvl w:val="0"/>
          <w:numId w:val="231"/>
        </w:numPr>
        <w:spacing w:after="0"/>
        <w:rPr>
          <w:rFonts w:asciiTheme="majorHAnsi" w:hAnsiTheme="majorHAnsi"/>
          <w:sz w:val="28"/>
          <w:szCs w:val="28"/>
        </w:rPr>
      </w:pPr>
      <w:bookmarkStart w:id="348" w:name="_Hlk103233663"/>
      <w:r w:rsidRPr="00D77A37">
        <w:rPr>
          <w:rFonts w:asciiTheme="majorHAnsi" w:hAnsiTheme="majorHAnsi"/>
          <w:sz w:val="28"/>
          <w:szCs w:val="28"/>
        </w:rPr>
        <w:t>ДСТУ EN ISO/IEC 17020:2019</w:t>
      </w:r>
      <w:bookmarkEnd w:id="348"/>
      <w:r w:rsidRPr="00D77A37">
        <w:rPr>
          <w:rFonts w:asciiTheme="majorHAnsi" w:hAnsiTheme="majorHAnsi"/>
          <w:sz w:val="28"/>
          <w:szCs w:val="28"/>
        </w:rPr>
        <w:t xml:space="preserve"> Оцінка відповідності. Вимоги до роботи різних типів органів з інспектування</w:t>
      </w:r>
    </w:p>
    <w:p w14:paraId="028A6BB5" w14:textId="77777777" w:rsidR="0097612F" w:rsidRPr="00D77A37" w:rsidRDefault="0097612F" w:rsidP="00D77A37">
      <w:pPr>
        <w:pStyle w:val="ac"/>
        <w:numPr>
          <w:ilvl w:val="0"/>
          <w:numId w:val="231"/>
        </w:numPr>
        <w:spacing w:after="0" w:line="240" w:lineRule="auto"/>
        <w:jc w:val="both"/>
        <w:rPr>
          <w:rFonts w:asciiTheme="majorHAnsi" w:hAnsiTheme="majorHAnsi"/>
          <w:sz w:val="28"/>
          <w:szCs w:val="28"/>
          <w:lang w:eastAsia="ru-RU"/>
        </w:rPr>
      </w:pPr>
      <w:bookmarkStart w:id="349" w:name="_Hlk103413895"/>
      <w:r w:rsidRPr="00D77A37">
        <w:rPr>
          <w:rFonts w:asciiTheme="majorHAnsi" w:hAnsiTheme="majorHAnsi"/>
          <w:sz w:val="28"/>
          <w:szCs w:val="28"/>
          <w:lang w:eastAsia="ru-RU"/>
        </w:rPr>
        <w:t xml:space="preserve">ДСТУ EN ISO/IEC 17021-1:2015 </w:t>
      </w:r>
      <w:bookmarkEnd w:id="349"/>
      <w:r w:rsidRPr="00D77A37">
        <w:rPr>
          <w:rFonts w:asciiTheme="majorHAnsi" w:hAnsiTheme="majorHAnsi"/>
          <w:sz w:val="28"/>
          <w:szCs w:val="28"/>
          <w:lang w:eastAsia="ru-RU"/>
        </w:rPr>
        <w:t>(EN ISO/IEC 17021-1:2015, IDT; ISO/IEC 17021-1:2015, IDT) Оцінка відповідності. Вимоги до органів, які здійснюють аудит і сертифікацію систем менеджменту. Частина 1. Вимоги</w:t>
      </w:r>
    </w:p>
    <w:p w14:paraId="1352B05C" w14:textId="77777777" w:rsidR="0097612F" w:rsidRPr="00D77A37" w:rsidRDefault="0097612F" w:rsidP="00D77A37">
      <w:pPr>
        <w:pStyle w:val="af6"/>
        <w:numPr>
          <w:ilvl w:val="0"/>
          <w:numId w:val="231"/>
        </w:numPr>
        <w:spacing w:after="0"/>
        <w:rPr>
          <w:rFonts w:asciiTheme="majorHAnsi" w:hAnsiTheme="majorHAnsi"/>
          <w:sz w:val="28"/>
          <w:szCs w:val="28"/>
        </w:rPr>
      </w:pPr>
      <w:bookmarkStart w:id="350" w:name="_Hlk103264556"/>
      <w:r w:rsidRPr="00D77A37">
        <w:rPr>
          <w:rFonts w:asciiTheme="majorHAnsi" w:hAnsiTheme="majorHAnsi"/>
          <w:sz w:val="28"/>
          <w:szCs w:val="28"/>
        </w:rPr>
        <w:t xml:space="preserve">ДСТУ EN ISO/IEC 17025:2019 </w:t>
      </w:r>
      <w:bookmarkEnd w:id="350"/>
      <w:r w:rsidRPr="00D77A37">
        <w:rPr>
          <w:rFonts w:asciiTheme="majorHAnsi" w:hAnsiTheme="majorHAnsi"/>
          <w:sz w:val="28"/>
          <w:szCs w:val="28"/>
        </w:rPr>
        <w:t>Загальні вимоги до компетентності випробувальних та калібрувальних лабораторій</w:t>
      </w:r>
    </w:p>
    <w:p w14:paraId="66447657" w14:textId="77777777" w:rsidR="0097612F" w:rsidRPr="00D77A37" w:rsidRDefault="0097612F" w:rsidP="00D77A37">
      <w:pPr>
        <w:pStyle w:val="ac"/>
        <w:numPr>
          <w:ilvl w:val="0"/>
          <w:numId w:val="231"/>
        </w:numPr>
        <w:spacing w:after="0" w:line="240" w:lineRule="auto"/>
        <w:jc w:val="both"/>
        <w:rPr>
          <w:rFonts w:asciiTheme="majorHAnsi" w:hAnsiTheme="majorHAnsi"/>
          <w:sz w:val="28"/>
          <w:szCs w:val="28"/>
          <w:lang w:eastAsia="ru-RU"/>
        </w:rPr>
      </w:pPr>
      <w:bookmarkStart w:id="351" w:name="_Hlk103319296"/>
      <w:r w:rsidRPr="00D77A37">
        <w:rPr>
          <w:rFonts w:asciiTheme="majorHAnsi" w:hAnsiTheme="majorHAnsi"/>
          <w:sz w:val="28"/>
          <w:szCs w:val="28"/>
          <w:lang w:eastAsia="ru-RU"/>
        </w:rPr>
        <w:t xml:space="preserve">ДСТУ EN ISO/IEC 17065:2019 </w:t>
      </w:r>
      <w:bookmarkEnd w:id="351"/>
      <w:r w:rsidRPr="00D77A37">
        <w:rPr>
          <w:rFonts w:asciiTheme="majorHAnsi" w:hAnsiTheme="majorHAnsi"/>
          <w:sz w:val="28"/>
          <w:szCs w:val="28"/>
          <w:lang w:eastAsia="ru-RU"/>
        </w:rPr>
        <w:t>(EN ISO/IEC 17065:2012, IDT; ISO/IEC 17065:2012, IDT) Оцінка відповідності. Вимоги до органів з сертифікації продукції, процесів та послуг</w:t>
      </w:r>
    </w:p>
    <w:p w14:paraId="6B7CCBEF" w14:textId="77777777" w:rsidR="0097612F" w:rsidRPr="00D77A37" w:rsidRDefault="0097612F" w:rsidP="00D77A37">
      <w:pPr>
        <w:pStyle w:val="af6"/>
        <w:numPr>
          <w:ilvl w:val="0"/>
          <w:numId w:val="231"/>
        </w:numPr>
        <w:spacing w:after="0"/>
        <w:rPr>
          <w:rFonts w:asciiTheme="majorHAnsi" w:hAnsiTheme="majorHAnsi"/>
          <w:sz w:val="28"/>
          <w:szCs w:val="28"/>
        </w:rPr>
      </w:pPr>
      <w:bookmarkStart w:id="352" w:name="_Hlk103609801"/>
      <w:bookmarkStart w:id="353" w:name="_Hlk103609750"/>
      <w:r w:rsidRPr="00D77A37">
        <w:rPr>
          <w:rFonts w:asciiTheme="majorHAnsi" w:hAnsiTheme="majorHAnsi"/>
          <w:sz w:val="28"/>
          <w:szCs w:val="28"/>
        </w:rPr>
        <w:t>ДСТУ EN ISO 12100:2016</w:t>
      </w:r>
      <w:bookmarkEnd w:id="352"/>
      <w:r w:rsidRPr="00D77A37">
        <w:rPr>
          <w:rFonts w:asciiTheme="majorHAnsi" w:hAnsiTheme="majorHAnsi"/>
          <w:sz w:val="28"/>
          <w:szCs w:val="28"/>
        </w:rPr>
        <w:t xml:space="preserve"> </w:t>
      </w:r>
      <w:bookmarkEnd w:id="353"/>
      <w:r w:rsidRPr="00D77A37">
        <w:rPr>
          <w:rFonts w:asciiTheme="majorHAnsi" w:hAnsiTheme="majorHAnsi"/>
          <w:sz w:val="28"/>
          <w:szCs w:val="28"/>
        </w:rPr>
        <w:t>Національний стандарт України. Безпечність машин. Принципи проектування. Оцінювання ризиків та зменшення ризиків</w:t>
      </w:r>
    </w:p>
    <w:p w14:paraId="2DA871FB" w14:textId="77777777" w:rsidR="0097612F" w:rsidRPr="00D77A37" w:rsidRDefault="0097612F" w:rsidP="00D77A37">
      <w:pPr>
        <w:pStyle w:val="ac"/>
        <w:numPr>
          <w:ilvl w:val="0"/>
          <w:numId w:val="231"/>
        </w:numPr>
        <w:spacing w:after="0" w:line="240" w:lineRule="auto"/>
        <w:jc w:val="both"/>
        <w:rPr>
          <w:rFonts w:asciiTheme="majorHAnsi" w:hAnsiTheme="majorHAnsi"/>
          <w:iCs/>
          <w:sz w:val="28"/>
          <w:szCs w:val="28"/>
        </w:rPr>
      </w:pPr>
      <w:bookmarkStart w:id="354" w:name="_Hlk102194303"/>
      <w:bookmarkStart w:id="355" w:name="_Hlk102194373"/>
      <w:r w:rsidRPr="00D77A37">
        <w:rPr>
          <w:rFonts w:asciiTheme="majorHAnsi" w:hAnsiTheme="majorHAnsi"/>
          <w:iCs/>
          <w:sz w:val="28"/>
          <w:szCs w:val="28"/>
        </w:rPr>
        <w:t>ДСТУ</w:t>
      </w:r>
      <w:r w:rsidRPr="00D77A37">
        <w:rPr>
          <w:rFonts w:asciiTheme="majorHAnsi" w:hAnsiTheme="majorHAnsi"/>
          <w:iCs/>
          <w:spacing w:val="-2"/>
          <w:sz w:val="28"/>
          <w:szCs w:val="28"/>
        </w:rPr>
        <w:t xml:space="preserve"> </w:t>
      </w:r>
      <w:bookmarkStart w:id="356" w:name="_Hlk102193991"/>
      <w:r w:rsidRPr="00D77A37">
        <w:rPr>
          <w:rFonts w:asciiTheme="majorHAnsi" w:hAnsiTheme="majorHAnsi"/>
          <w:iCs/>
          <w:sz w:val="28"/>
          <w:szCs w:val="28"/>
        </w:rPr>
        <w:t>ISO/IEC</w:t>
      </w:r>
      <w:r w:rsidRPr="00D77A37">
        <w:rPr>
          <w:rFonts w:asciiTheme="majorHAnsi" w:hAnsiTheme="majorHAnsi"/>
          <w:iCs/>
          <w:spacing w:val="-3"/>
          <w:sz w:val="28"/>
          <w:szCs w:val="28"/>
        </w:rPr>
        <w:t xml:space="preserve"> </w:t>
      </w:r>
      <w:r w:rsidRPr="00D77A37">
        <w:rPr>
          <w:rFonts w:asciiTheme="majorHAnsi" w:hAnsiTheme="majorHAnsi"/>
          <w:iCs/>
          <w:sz w:val="28"/>
          <w:szCs w:val="28"/>
        </w:rPr>
        <w:t>2382</w:t>
      </w:r>
      <w:bookmarkEnd w:id="354"/>
      <w:r w:rsidRPr="00D77A37">
        <w:rPr>
          <w:rFonts w:asciiTheme="majorHAnsi" w:hAnsiTheme="majorHAnsi"/>
          <w:iCs/>
          <w:sz w:val="28"/>
          <w:szCs w:val="28"/>
        </w:rPr>
        <w:t>:2017</w:t>
      </w:r>
      <w:bookmarkEnd w:id="355"/>
      <w:r w:rsidRPr="00D77A37">
        <w:rPr>
          <w:rFonts w:asciiTheme="majorHAnsi" w:hAnsiTheme="majorHAnsi"/>
          <w:iCs/>
          <w:sz w:val="28"/>
          <w:szCs w:val="28"/>
        </w:rPr>
        <w:t xml:space="preserve"> </w:t>
      </w:r>
      <w:bookmarkEnd w:id="356"/>
      <w:r w:rsidRPr="00D77A37">
        <w:rPr>
          <w:rFonts w:asciiTheme="majorHAnsi" w:hAnsiTheme="majorHAnsi"/>
          <w:iCs/>
          <w:sz w:val="28"/>
          <w:szCs w:val="28"/>
        </w:rPr>
        <w:t>(ISO/IEC</w:t>
      </w:r>
      <w:r w:rsidRPr="00D77A37">
        <w:rPr>
          <w:rFonts w:asciiTheme="majorHAnsi" w:hAnsiTheme="majorHAnsi"/>
          <w:iCs/>
          <w:spacing w:val="-3"/>
          <w:sz w:val="28"/>
          <w:szCs w:val="28"/>
        </w:rPr>
        <w:t xml:space="preserve"> </w:t>
      </w:r>
      <w:r w:rsidRPr="00D77A37">
        <w:rPr>
          <w:rFonts w:asciiTheme="majorHAnsi" w:hAnsiTheme="majorHAnsi"/>
          <w:iCs/>
          <w:sz w:val="28"/>
          <w:szCs w:val="28"/>
        </w:rPr>
        <w:t xml:space="preserve">2382:2015, </w:t>
      </w:r>
      <w:r w:rsidRPr="00D77A37">
        <w:rPr>
          <w:rFonts w:asciiTheme="majorHAnsi" w:hAnsiTheme="majorHAnsi"/>
          <w:sz w:val="28"/>
          <w:szCs w:val="28"/>
        </w:rPr>
        <w:t>IDT) Інформаційні технології. Словник термінів</w:t>
      </w:r>
    </w:p>
    <w:p w14:paraId="3229823A" w14:textId="77777777" w:rsidR="0097612F" w:rsidRPr="00D77A37" w:rsidRDefault="0097612F" w:rsidP="00D77A37">
      <w:pPr>
        <w:pStyle w:val="af6"/>
        <w:numPr>
          <w:ilvl w:val="0"/>
          <w:numId w:val="231"/>
        </w:numPr>
        <w:spacing w:after="0"/>
        <w:rPr>
          <w:rFonts w:asciiTheme="majorHAnsi" w:hAnsiTheme="majorHAnsi"/>
          <w:w w:val="99"/>
          <w:sz w:val="28"/>
          <w:szCs w:val="28"/>
        </w:rPr>
      </w:pPr>
      <w:r w:rsidRPr="00D77A37">
        <w:rPr>
          <w:rFonts w:asciiTheme="majorHAnsi" w:hAnsiTheme="majorHAnsi"/>
          <w:sz w:val="28"/>
          <w:szCs w:val="28"/>
        </w:rPr>
        <w:t>Керівництво з питань проектного менеджменту: Пер. з англ../ Під ред. С.Д. Бушуєва, 2-е вид., перероб. – К.:</w:t>
      </w:r>
      <w:r w:rsidRPr="00D77A37">
        <w:rPr>
          <w:rFonts w:asciiTheme="majorHAnsi" w:hAnsiTheme="majorHAnsi"/>
          <w:spacing w:val="-47"/>
          <w:sz w:val="28"/>
          <w:szCs w:val="28"/>
        </w:rPr>
        <w:t xml:space="preserve"> </w:t>
      </w:r>
      <w:r w:rsidRPr="00D77A37">
        <w:rPr>
          <w:rFonts w:asciiTheme="majorHAnsi" w:hAnsiTheme="majorHAnsi"/>
          <w:spacing w:val="1"/>
          <w:w w:val="99"/>
          <w:sz w:val="28"/>
          <w:szCs w:val="28"/>
        </w:rPr>
        <w:t>В</w:t>
      </w:r>
      <w:r w:rsidRPr="00D77A37">
        <w:rPr>
          <w:rFonts w:asciiTheme="majorHAnsi" w:hAnsiTheme="majorHAnsi"/>
          <w:spacing w:val="-2"/>
          <w:w w:val="99"/>
          <w:sz w:val="28"/>
          <w:szCs w:val="28"/>
        </w:rPr>
        <w:t>и</w:t>
      </w:r>
      <w:r w:rsidRPr="00D77A37">
        <w:rPr>
          <w:rFonts w:asciiTheme="majorHAnsi" w:hAnsiTheme="majorHAnsi"/>
          <w:w w:val="99"/>
          <w:sz w:val="28"/>
          <w:szCs w:val="28"/>
        </w:rPr>
        <w:t>да</w:t>
      </w:r>
      <w:r w:rsidRPr="00D77A37">
        <w:rPr>
          <w:rFonts w:asciiTheme="majorHAnsi" w:hAnsiTheme="majorHAnsi"/>
          <w:spacing w:val="1"/>
          <w:w w:val="99"/>
          <w:sz w:val="28"/>
          <w:szCs w:val="28"/>
        </w:rPr>
        <w:t>в</w:t>
      </w:r>
      <w:r w:rsidRPr="00D77A37">
        <w:rPr>
          <w:rFonts w:asciiTheme="majorHAnsi" w:hAnsiTheme="majorHAnsi"/>
          <w:spacing w:val="-2"/>
          <w:w w:val="99"/>
          <w:sz w:val="28"/>
          <w:szCs w:val="28"/>
        </w:rPr>
        <w:t>ни</w:t>
      </w:r>
      <w:r w:rsidRPr="00D77A37">
        <w:rPr>
          <w:rFonts w:asciiTheme="majorHAnsi" w:hAnsiTheme="majorHAnsi"/>
          <w:spacing w:val="2"/>
          <w:w w:val="99"/>
          <w:sz w:val="28"/>
          <w:szCs w:val="28"/>
        </w:rPr>
        <w:t>ч</w:t>
      </w:r>
      <w:r w:rsidRPr="00D77A37">
        <w:rPr>
          <w:rFonts w:asciiTheme="majorHAnsi" w:hAnsiTheme="majorHAnsi"/>
          <w:spacing w:val="-2"/>
          <w:w w:val="99"/>
          <w:sz w:val="28"/>
          <w:szCs w:val="28"/>
        </w:rPr>
        <w:t>и</w:t>
      </w:r>
      <w:r w:rsidRPr="00D77A37">
        <w:rPr>
          <w:rFonts w:asciiTheme="majorHAnsi" w:hAnsiTheme="majorHAnsi"/>
          <w:w w:val="99"/>
          <w:sz w:val="28"/>
          <w:szCs w:val="28"/>
        </w:rPr>
        <w:t>й</w:t>
      </w:r>
      <w:r w:rsidRPr="00D77A37">
        <w:rPr>
          <w:rFonts w:asciiTheme="majorHAnsi" w:hAnsiTheme="majorHAnsi"/>
          <w:spacing w:val="-1"/>
          <w:sz w:val="28"/>
          <w:szCs w:val="28"/>
        </w:rPr>
        <w:t xml:space="preserve"> </w:t>
      </w:r>
      <w:r w:rsidRPr="00D77A37">
        <w:rPr>
          <w:rFonts w:asciiTheme="majorHAnsi" w:hAnsiTheme="majorHAnsi"/>
          <w:spacing w:val="1"/>
          <w:w w:val="99"/>
          <w:sz w:val="28"/>
          <w:szCs w:val="28"/>
        </w:rPr>
        <w:t>д</w:t>
      </w:r>
      <w:r w:rsidRPr="00D77A37">
        <w:rPr>
          <w:rFonts w:asciiTheme="majorHAnsi" w:hAnsiTheme="majorHAnsi"/>
          <w:w w:val="99"/>
          <w:sz w:val="28"/>
          <w:szCs w:val="28"/>
        </w:rPr>
        <w:t>ім</w:t>
      </w:r>
      <w:r w:rsidRPr="00D77A37">
        <w:rPr>
          <w:rFonts w:asciiTheme="majorHAnsi" w:hAnsiTheme="majorHAnsi"/>
          <w:spacing w:val="1"/>
          <w:sz w:val="28"/>
          <w:szCs w:val="28"/>
        </w:rPr>
        <w:t xml:space="preserve"> </w:t>
      </w:r>
      <w:r w:rsidRPr="00D77A37">
        <w:rPr>
          <w:rFonts w:asciiTheme="majorHAnsi" w:hAnsiTheme="majorHAnsi"/>
          <w:spacing w:val="-2"/>
          <w:w w:val="44"/>
          <w:sz w:val="28"/>
          <w:szCs w:val="28"/>
        </w:rPr>
        <w:t>―</w:t>
      </w:r>
      <w:r w:rsidRPr="00D77A37">
        <w:rPr>
          <w:rFonts w:asciiTheme="majorHAnsi" w:hAnsiTheme="majorHAnsi"/>
          <w:w w:val="99"/>
          <w:sz w:val="28"/>
          <w:szCs w:val="28"/>
        </w:rPr>
        <w:t>Д</w:t>
      </w:r>
      <w:r w:rsidRPr="00D77A37">
        <w:rPr>
          <w:rFonts w:asciiTheme="majorHAnsi" w:hAnsiTheme="majorHAnsi"/>
          <w:spacing w:val="2"/>
          <w:w w:val="99"/>
          <w:sz w:val="28"/>
          <w:szCs w:val="28"/>
        </w:rPr>
        <w:t>е</w:t>
      </w:r>
      <w:r w:rsidRPr="00D77A37">
        <w:rPr>
          <w:rFonts w:asciiTheme="majorHAnsi" w:hAnsiTheme="majorHAnsi"/>
          <w:spacing w:val="-1"/>
          <w:w w:val="99"/>
          <w:sz w:val="28"/>
          <w:szCs w:val="28"/>
        </w:rPr>
        <w:t>л</w:t>
      </w:r>
      <w:r w:rsidRPr="00D77A37">
        <w:rPr>
          <w:rFonts w:asciiTheme="majorHAnsi" w:hAnsiTheme="majorHAnsi"/>
          <w:spacing w:val="1"/>
          <w:w w:val="99"/>
          <w:sz w:val="28"/>
          <w:szCs w:val="28"/>
        </w:rPr>
        <w:t>о</w:t>
      </w:r>
      <w:r w:rsidRPr="00D77A37">
        <w:rPr>
          <w:rFonts w:asciiTheme="majorHAnsi" w:hAnsiTheme="majorHAnsi"/>
          <w:spacing w:val="-1"/>
          <w:w w:val="99"/>
          <w:sz w:val="28"/>
          <w:szCs w:val="28"/>
        </w:rPr>
        <w:t>ва</w:t>
      </w:r>
      <w:r w:rsidRPr="00D77A37">
        <w:rPr>
          <w:rFonts w:asciiTheme="majorHAnsi" w:hAnsiTheme="majorHAnsi"/>
          <w:w w:val="99"/>
          <w:sz w:val="28"/>
          <w:szCs w:val="28"/>
        </w:rPr>
        <w:t>я</w:t>
      </w:r>
      <w:r w:rsidRPr="00D77A37">
        <w:rPr>
          <w:rFonts w:asciiTheme="majorHAnsi" w:hAnsiTheme="majorHAnsi"/>
          <w:spacing w:val="-1"/>
          <w:sz w:val="28"/>
          <w:szCs w:val="28"/>
        </w:rPr>
        <w:t xml:space="preserve"> </w:t>
      </w:r>
      <w:r w:rsidRPr="00D77A37">
        <w:rPr>
          <w:rFonts w:asciiTheme="majorHAnsi" w:hAnsiTheme="majorHAnsi"/>
          <w:spacing w:val="2"/>
          <w:w w:val="99"/>
          <w:sz w:val="28"/>
          <w:szCs w:val="28"/>
        </w:rPr>
        <w:t>У</w:t>
      </w:r>
      <w:r w:rsidRPr="00D77A37">
        <w:rPr>
          <w:rFonts w:asciiTheme="majorHAnsi" w:hAnsiTheme="majorHAnsi"/>
          <w:spacing w:val="-1"/>
          <w:w w:val="99"/>
          <w:sz w:val="28"/>
          <w:szCs w:val="28"/>
        </w:rPr>
        <w:t>к</w:t>
      </w:r>
      <w:r w:rsidRPr="00D77A37">
        <w:rPr>
          <w:rFonts w:asciiTheme="majorHAnsi" w:hAnsiTheme="majorHAnsi"/>
          <w:spacing w:val="1"/>
          <w:w w:val="99"/>
          <w:sz w:val="28"/>
          <w:szCs w:val="28"/>
        </w:rPr>
        <w:t>р</w:t>
      </w:r>
      <w:r w:rsidRPr="00D77A37">
        <w:rPr>
          <w:rFonts w:asciiTheme="majorHAnsi" w:hAnsiTheme="majorHAnsi"/>
          <w:w w:val="99"/>
          <w:sz w:val="28"/>
          <w:szCs w:val="28"/>
        </w:rPr>
        <w:t>а</w:t>
      </w:r>
      <w:r w:rsidRPr="00D77A37">
        <w:rPr>
          <w:rFonts w:asciiTheme="majorHAnsi" w:hAnsiTheme="majorHAnsi"/>
          <w:spacing w:val="-1"/>
          <w:w w:val="99"/>
          <w:sz w:val="28"/>
          <w:szCs w:val="28"/>
        </w:rPr>
        <w:t>и</w:t>
      </w:r>
      <w:r w:rsidRPr="00D77A37">
        <w:rPr>
          <w:rFonts w:asciiTheme="majorHAnsi" w:hAnsiTheme="majorHAnsi"/>
          <w:spacing w:val="-2"/>
          <w:w w:val="99"/>
          <w:sz w:val="28"/>
          <w:szCs w:val="28"/>
        </w:rPr>
        <w:t>н</w:t>
      </w:r>
      <w:r w:rsidRPr="00D77A37">
        <w:rPr>
          <w:rFonts w:asciiTheme="majorHAnsi" w:hAnsiTheme="majorHAnsi"/>
          <w:w w:val="122"/>
          <w:sz w:val="28"/>
          <w:szCs w:val="28"/>
        </w:rPr>
        <w:t>а</w:t>
      </w:r>
      <w:r w:rsidRPr="00D77A37">
        <w:rPr>
          <w:rFonts w:asciiTheme="majorHAnsi" w:hAnsiTheme="majorHAnsi"/>
          <w:w w:val="99"/>
          <w:sz w:val="28"/>
          <w:szCs w:val="28"/>
        </w:rPr>
        <w:t>,</w:t>
      </w:r>
      <w:r w:rsidRPr="00D77A37">
        <w:rPr>
          <w:rFonts w:asciiTheme="majorHAnsi" w:hAnsiTheme="majorHAnsi"/>
          <w:sz w:val="28"/>
          <w:szCs w:val="28"/>
        </w:rPr>
        <w:t xml:space="preserve"> </w:t>
      </w:r>
      <w:r w:rsidRPr="00D77A37">
        <w:rPr>
          <w:rFonts w:asciiTheme="majorHAnsi" w:hAnsiTheme="majorHAnsi"/>
          <w:spacing w:val="1"/>
          <w:w w:val="99"/>
          <w:sz w:val="28"/>
          <w:szCs w:val="28"/>
        </w:rPr>
        <w:t>2000</w:t>
      </w:r>
      <w:r w:rsidRPr="00D77A37">
        <w:rPr>
          <w:rFonts w:asciiTheme="majorHAnsi" w:hAnsiTheme="majorHAnsi"/>
          <w:w w:val="99"/>
          <w:sz w:val="28"/>
          <w:szCs w:val="28"/>
        </w:rPr>
        <w:t>.</w:t>
      </w:r>
      <w:r w:rsidRPr="00D77A37">
        <w:rPr>
          <w:rFonts w:asciiTheme="majorHAnsi" w:hAnsiTheme="majorHAnsi"/>
          <w:spacing w:val="5"/>
          <w:sz w:val="28"/>
          <w:szCs w:val="28"/>
        </w:rPr>
        <w:t xml:space="preserve"> </w:t>
      </w:r>
      <w:r w:rsidRPr="00D77A37">
        <w:rPr>
          <w:rFonts w:asciiTheme="majorHAnsi" w:hAnsiTheme="majorHAnsi"/>
          <w:w w:val="99"/>
          <w:sz w:val="28"/>
          <w:szCs w:val="28"/>
        </w:rPr>
        <w:t>–</w:t>
      </w:r>
      <w:r w:rsidRPr="00D77A37">
        <w:rPr>
          <w:rFonts w:asciiTheme="majorHAnsi" w:hAnsiTheme="majorHAnsi"/>
          <w:spacing w:val="1"/>
          <w:sz w:val="28"/>
          <w:szCs w:val="28"/>
        </w:rPr>
        <w:t xml:space="preserve"> </w:t>
      </w:r>
      <w:r w:rsidRPr="00D77A37">
        <w:rPr>
          <w:rFonts w:asciiTheme="majorHAnsi" w:hAnsiTheme="majorHAnsi"/>
          <w:spacing w:val="-2"/>
          <w:w w:val="99"/>
          <w:sz w:val="28"/>
          <w:szCs w:val="28"/>
        </w:rPr>
        <w:t>1</w:t>
      </w:r>
      <w:r w:rsidRPr="00D77A37">
        <w:rPr>
          <w:rFonts w:asciiTheme="majorHAnsi" w:hAnsiTheme="majorHAnsi"/>
          <w:spacing w:val="1"/>
          <w:w w:val="99"/>
          <w:sz w:val="28"/>
          <w:szCs w:val="28"/>
        </w:rPr>
        <w:t>9</w:t>
      </w:r>
      <w:r w:rsidRPr="00D77A37">
        <w:rPr>
          <w:rFonts w:asciiTheme="majorHAnsi" w:hAnsiTheme="majorHAnsi"/>
          <w:w w:val="99"/>
          <w:sz w:val="28"/>
          <w:szCs w:val="28"/>
        </w:rPr>
        <w:t>8</w:t>
      </w:r>
      <w:r w:rsidRPr="00D77A37">
        <w:rPr>
          <w:rFonts w:asciiTheme="majorHAnsi" w:hAnsiTheme="majorHAnsi"/>
          <w:spacing w:val="1"/>
          <w:sz w:val="28"/>
          <w:szCs w:val="28"/>
        </w:rPr>
        <w:t xml:space="preserve"> </w:t>
      </w:r>
      <w:r w:rsidRPr="00D77A37">
        <w:rPr>
          <w:rFonts w:asciiTheme="majorHAnsi" w:hAnsiTheme="majorHAnsi"/>
          <w:w w:val="99"/>
          <w:sz w:val="28"/>
          <w:szCs w:val="28"/>
        </w:rPr>
        <w:t>с.</w:t>
      </w:r>
    </w:p>
    <w:p w14:paraId="3D06309D" w14:textId="77777777" w:rsidR="0097612F" w:rsidRPr="000977F7" w:rsidRDefault="0097612F" w:rsidP="0097612F">
      <w:pPr>
        <w:spacing w:after="0" w:line="240" w:lineRule="auto"/>
        <w:rPr>
          <w:rFonts w:asciiTheme="majorHAnsi" w:hAnsiTheme="majorHAnsi"/>
          <w:sz w:val="20"/>
          <w:szCs w:val="20"/>
          <w:lang w:eastAsia="ru-RU"/>
        </w:rPr>
      </w:pPr>
      <w:bookmarkStart w:id="357" w:name="n459"/>
      <w:bookmarkStart w:id="358" w:name="n460"/>
      <w:bookmarkStart w:id="359" w:name="Text"/>
      <w:bookmarkStart w:id="360" w:name="n498"/>
      <w:bookmarkStart w:id="361" w:name="n505"/>
      <w:bookmarkStart w:id="362" w:name="n507"/>
      <w:bookmarkStart w:id="363" w:name="n509"/>
      <w:bookmarkStart w:id="364" w:name="n511"/>
      <w:bookmarkStart w:id="365" w:name="n512"/>
      <w:bookmarkStart w:id="366" w:name="n513"/>
      <w:bookmarkStart w:id="367" w:name="n514"/>
      <w:bookmarkStart w:id="368" w:name="n515"/>
      <w:bookmarkStart w:id="369" w:name="n516"/>
      <w:bookmarkStart w:id="370" w:name="n517"/>
      <w:bookmarkStart w:id="371" w:name="n518"/>
      <w:bookmarkStart w:id="372" w:name="n519"/>
      <w:bookmarkStart w:id="373" w:name="n520"/>
      <w:bookmarkStart w:id="374" w:name="n521"/>
      <w:bookmarkStart w:id="375" w:name="n522"/>
      <w:bookmarkStart w:id="376" w:name="n523"/>
      <w:bookmarkStart w:id="377" w:name="n524"/>
      <w:bookmarkStart w:id="378" w:name="n525"/>
      <w:bookmarkStart w:id="379" w:name="n526"/>
      <w:bookmarkStart w:id="380" w:name="n527"/>
      <w:bookmarkStart w:id="381" w:name="n528"/>
      <w:bookmarkStart w:id="382" w:name="n529"/>
      <w:bookmarkStart w:id="383" w:name="n530"/>
      <w:bookmarkStart w:id="384" w:name="n992"/>
      <w:bookmarkStart w:id="385" w:name="n537"/>
      <w:bookmarkStart w:id="386" w:name="n538"/>
      <w:bookmarkStart w:id="387" w:name="n551"/>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p>
    <w:p w14:paraId="3183BAB2" w14:textId="77777777" w:rsidR="0097612F" w:rsidRPr="000977F7" w:rsidRDefault="0097612F" w:rsidP="0097612F">
      <w:pPr>
        <w:spacing w:after="0" w:line="240" w:lineRule="auto"/>
        <w:rPr>
          <w:rFonts w:asciiTheme="majorHAnsi" w:hAnsiTheme="majorHAnsi"/>
          <w:sz w:val="20"/>
          <w:szCs w:val="20"/>
          <w:lang w:eastAsia="ru-RU"/>
        </w:rPr>
      </w:pPr>
    </w:p>
    <w:p w14:paraId="259E1954" w14:textId="77777777" w:rsidR="0097612F" w:rsidRPr="000977F7" w:rsidRDefault="0097612F" w:rsidP="0097612F">
      <w:pPr>
        <w:spacing w:after="0" w:line="240" w:lineRule="auto"/>
        <w:rPr>
          <w:rFonts w:asciiTheme="majorHAnsi" w:hAnsiTheme="majorHAnsi"/>
          <w:sz w:val="20"/>
          <w:szCs w:val="20"/>
          <w:lang w:eastAsia="ru-RU"/>
        </w:rPr>
      </w:pPr>
    </w:p>
    <w:p w14:paraId="3D3E7D1D" w14:textId="77777777" w:rsidR="0097612F" w:rsidRPr="000977F7" w:rsidRDefault="0097612F" w:rsidP="0097612F">
      <w:pPr>
        <w:spacing w:after="0" w:line="240" w:lineRule="auto"/>
        <w:rPr>
          <w:rFonts w:asciiTheme="majorHAnsi" w:hAnsiTheme="majorHAnsi"/>
          <w:sz w:val="20"/>
          <w:szCs w:val="20"/>
          <w:lang w:eastAsia="ru-RU"/>
        </w:rPr>
      </w:pPr>
    </w:p>
    <w:p w14:paraId="215293F5" w14:textId="77777777" w:rsidR="0097612F" w:rsidRPr="000977F7" w:rsidRDefault="0097612F" w:rsidP="0097612F">
      <w:pPr>
        <w:spacing w:after="0" w:line="240" w:lineRule="auto"/>
        <w:rPr>
          <w:rFonts w:asciiTheme="majorHAnsi" w:hAnsiTheme="majorHAnsi"/>
        </w:rPr>
        <w:sectPr w:rsidR="0097612F" w:rsidRPr="000977F7" w:rsidSect="000977F7">
          <w:pgSz w:w="11910" w:h="16840"/>
          <w:pgMar w:top="980" w:right="640" w:bottom="960" w:left="1340" w:header="0" w:footer="775" w:gutter="0"/>
          <w:cols w:space="454"/>
        </w:sectPr>
      </w:pPr>
      <w:bookmarkStart w:id="388" w:name="n58"/>
      <w:bookmarkEnd w:id="388"/>
    </w:p>
    <w:p w14:paraId="7802F059" w14:textId="77777777" w:rsidR="0097612F" w:rsidRPr="000977F7" w:rsidRDefault="0097612F" w:rsidP="0097612F">
      <w:pPr>
        <w:spacing w:after="0" w:line="240" w:lineRule="auto"/>
        <w:jc w:val="center"/>
        <w:rPr>
          <w:rFonts w:asciiTheme="majorHAnsi" w:hAnsiTheme="majorHAnsi"/>
          <w:spacing w:val="20"/>
          <w:sz w:val="28"/>
          <w:szCs w:val="28"/>
          <w:lang w:val="uk-UA"/>
        </w:rPr>
      </w:pPr>
      <w:r w:rsidRPr="000977F7">
        <w:rPr>
          <w:rFonts w:asciiTheme="majorHAnsi" w:hAnsiTheme="majorHAnsi"/>
          <w:spacing w:val="20"/>
          <w:sz w:val="28"/>
          <w:szCs w:val="28"/>
          <w:lang w:val="uk-UA"/>
        </w:rPr>
        <w:lastRenderedPageBreak/>
        <w:t>Електронне мережне навчальне видання</w:t>
      </w:r>
    </w:p>
    <w:p w14:paraId="23CB7813" w14:textId="77777777" w:rsidR="0097612F" w:rsidRPr="004D2D14" w:rsidRDefault="0097612F" w:rsidP="0097612F">
      <w:pPr>
        <w:pStyle w:val="af6"/>
        <w:spacing w:after="0"/>
        <w:rPr>
          <w:rFonts w:asciiTheme="majorHAnsi" w:hAnsiTheme="majorHAnsi"/>
          <w:sz w:val="30"/>
        </w:rPr>
      </w:pPr>
    </w:p>
    <w:p w14:paraId="4FCA408D" w14:textId="77777777" w:rsidR="000977F7" w:rsidRPr="004D2D14" w:rsidRDefault="000977F7" w:rsidP="0097612F">
      <w:pPr>
        <w:pStyle w:val="af6"/>
        <w:spacing w:after="0"/>
        <w:rPr>
          <w:rFonts w:asciiTheme="majorHAnsi" w:hAnsiTheme="majorHAnsi"/>
          <w:sz w:val="30"/>
        </w:rPr>
      </w:pPr>
    </w:p>
    <w:p w14:paraId="1D1B3E49" w14:textId="77777777" w:rsidR="0097612F" w:rsidRPr="000977F7" w:rsidRDefault="0097612F" w:rsidP="0097612F">
      <w:pPr>
        <w:pStyle w:val="af6"/>
        <w:spacing w:after="0"/>
        <w:rPr>
          <w:rFonts w:asciiTheme="majorHAnsi" w:hAnsiTheme="majorHAnsi"/>
        </w:rPr>
      </w:pPr>
    </w:p>
    <w:p w14:paraId="20BFEFA2" w14:textId="77777777" w:rsidR="00CD70A5" w:rsidRDefault="00CD70A5" w:rsidP="0097612F">
      <w:pPr>
        <w:tabs>
          <w:tab w:val="left" w:pos="9781"/>
        </w:tabs>
        <w:spacing w:after="0" w:line="240" w:lineRule="auto"/>
        <w:ind w:right="6"/>
        <w:jc w:val="center"/>
        <w:rPr>
          <w:rFonts w:asciiTheme="majorHAnsi" w:hAnsiTheme="majorHAnsi"/>
          <w:b/>
          <w:sz w:val="40"/>
          <w:szCs w:val="40"/>
          <w:lang w:val="uk-UA"/>
        </w:rPr>
      </w:pPr>
      <w:r>
        <w:rPr>
          <w:rFonts w:asciiTheme="majorHAnsi" w:hAnsiTheme="majorHAnsi"/>
          <w:b/>
          <w:sz w:val="40"/>
          <w:szCs w:val="40"/>
          <w:lang w:val="uk-UA"/>
        </w:rPr>
        <w:t xml:space="preserve">Укладачі: </w:t>
      </w:r>
    </w:p>
    <w:p w14:paraId="319485BC" w14:textId="7E58E00F" w:rsidR="0097612F" w:rsidRPr="000977F7" w:rsidRDefault="0097612F" w:rsidP="0097612F">
      <w:pPr>
        <w:tabs>
          <w:tab w:val="left" w:pos="9781"/>
        </w:tabs>
        <w:spacing w:after="0" w:line="240" w:lineRule="auto"/>
        <w:ind w:right="6"/>
        <w:jc w:val="center"/>
        <w:rPr>
          <w:rFonts w:asciiTheme="majorHAnsi" w:hAnsiTheme="majorHAnsi"/>
          <w:sz w:val="40"/>
          <w:szCs w:val="40"/>
        </w:rPr>
      </w:pPr>
      <w:r w:rsidRPr="000977F7">
        <w:rPr>
          <w:rFonts w:asciiTheme="majorHAnsi" w:hAnsiTheme="majorHAnsi"/>
          <w:b/>
          <w:sz w:val="40"/>
          <w:szCs w:val="40"/>
        </w:rPr>
        <w:t>Шишкін</w:t>
      </w:r>
      <w:r w:rsidRPr="000977F7">
        <w:rPr>
          <w:rFonts w:asciiTheme="majorHAnsi" w:hAnsiTheme="majorHAnsi"/>
          <w:sz w:val="40"/>
          <w:szCs w:val="40"/>
        </w:rPr>
        <w:t xml:space="preserve"> Валерій Миколайович</w:t>
      </w:r>
    </w:p>
    <w:p w14:paraId="5F5723A0" w14:textId="77777777" w:rsidR="0097612F" w:rsidRPr="000977F7" w:rsidRDefault="0097612F" w:rsidP="0097612F">
      <w:pPr>
        <w:tabs>
          <w:tab w:val="left" w:pos="9781"/>
        </w:tabs>
        <w:spacing w:after="0" w:line="240" w:lineRule="auto"/>
        <w:ind w:right="6"/>
        <w:jc w:val="center"/>
        <w:rPr>
          <w:rFonts w:asciiTheme="majorHAnsi" w:hAnsiTheme="majorHAnsi"/>
          <w:sz w:val="40"/>
          <w:szCs w:val="40"/>
        </w:rPr>
      </w:pPr>
      <w:r w:rsidRPr="000977F7">
        <w:rPr>
          <w:rFonts w:asciiTheme="majorHAnsi" w:hAnsiTheme="majorHAnsi"/>
          <w:b/>
          <w:sz w:val="40"/>
          <w:szCs w:val="40"/>
        </w:rPr>
        <w:t>Лоза</w:t>
      </w:r>
      <w:r w:rsidRPr="000977F7">
        <w:rPr>
          <w:rFonts w:asciiTheme="majorHAnsi" w:hAnsiTheme="majorHAnsi"/>
          <w:sz w:val="40"/>
          <w:szCs w:val="40"/>
        </w:rPr>
        <w:t xml:space="preserve"> Антон Миколайович</w:t>
      </w:r>
    </w:p>
    <w:p w14:paraId="0886E43D" w14:textId="77777777" w:rsidR="00FB7522" w:rsidRPr="000977F7" w:rsidRDefault="00FB7522" w:rsidP="00FB7522">
      <w:pPr>
        <w:tabs>
          <w:tab w:val="left" w:pos="9781"/>
        </w:tabs>
        <w:spacing w:after="0" w:line="240" w:lineRule="auto"/>
        <w:ind w:right="6"/>
        <w:jc w:val="center"/>
        <w:rPr>
          <w:rFonts w:asciiTheme="majorHAnsi" w:hAnsiTheme="majorHAnsi"/>
          <w:sz w:val="40"/>
          <w:szCs w:val="40"/>
        </w:rPr>
      </w:pPr>
      <w:r w:rsidRPr="000977F7">
        <w:rPr>
          <w:rFonts w:asciiTheme="majorHAnsi" w:hAnsiTheme="majorHAnsi"/>
          <w:b/>
          <w:sz w:val="40"/>
          <w:szCs w:val="40"/>
        </w:rPr>
        <w:t>Ромашко</w:t>
      </w:r>
      <w:r w:rsidRPr="000977F7">
        <w:rPr>
          <w:rFonts w:asciiTheme="majorHAnsi" w:hAnsiTheme="majorHAnsi"/>
          <w:sz w:val="40"/>
          <w:szCs w:val="40"/>
        </w:rPr>
        <w:t xml:space="preserve"> Алла Сазонівна</w:t>
      </w:r>
    </w:p>
    <w:p w14:paraId="2CFE9FCC" w14:textId="77777777" w:rsidR="0097612F" w:rsidRPr="000977F7" w:rsidRDefault="0097612F" w:rsidP="0097612F">
      <w:pPr>
        <w:pStyle w:val="af6"/>
        <w:spacing w:after="0"/>
        <w:rPr>
          <w:rFonts w:asciiTheme="majorHAnsi" w:hAnsiTheme="majorHAnsi"/>
          <w:sz w:val="30"/>
        </w:rPr>
      </w:pPr>
    </w:p>
    <w:p w14:paraId="3F451373" w14:textId="77777777" w:rsidR="0097612F" w:rsidRPr="004D2D14" w:rsidRDefault="0097612F" w:rsidP="0097612F">
      <w:pPr>
        <w:pStyle w:val="af6"/>
        <w:spacing w:after="0"/>
        <w:rPr>
          <w:rFonts w:asciiTheme="majorHAnsi" w:hAnsiTheme="majorHAnsi"/>
          <w:sz w:val="30"/>
        </w:rPr>
      </w:pPr>
    </w:p>
    <w:p w14:paraId="58080169" w14:textId="77777777" w:rsidR="000977F7" w:rsidRPr="004D2D14" w:rsidRDefault="000977F7" w:rsidP="0097612F">
      <w:pPr>
        <w:pStyle w:val="af6"/>
        <w:spacing w:after="0"/>
        <w:rPr>
          <w:rFonts w:asciiTheme="majorHAnsi" w:hAnsiTheme="majorHAnsi"/>
          <w:sz w:val="30"/>
        </w:rPr>
      </w:pPr>
    </w:p>
    <w:p w14:paraId="462B02CB" w14:textId="77777777" w:rsidR="000977F7" w:rsidRPr="004D2D14" w:rsidRDefault="000977F7" w:rsidP="0097612F">
      <w:pPr>
        <w:pStyle w:val="af6"/>
        <w:spacing w:after="0"/>
        <w:rPr>
          <w:rFonts w:asciiTheme="majorHAnsi" w:hAnsiTheme="majorHAnsi"/>
          <w:sz w:val="30"/>
        </w:rPr>
      </w:pPr>
    </w:p>
    <w:p w14:paraId="2D211D90" w14:textId="194FBF69" w:rsidR="0097612F" w:rsidRPr="00297070" w:rsidRDefault="00FB7522" w:rsidP="00FB7522">
      <w:pPr>
        <w:spacing w:after="0" w:line="240" w:lineRule="auto"/>
        <w:jc w:val="center"/>
        <w:rPr>
          <w:rFonts w:asciiTheme="majorHAnsi" w:hAnsiTheme="majorHAnsi"/>
          <w:sz w:val="26"/>
          <w:szCs w:val="26"/>
          <w:lang w:val="uk-UA"/>
        </w:rPr>
      </w:pPr>
      <w:r w:rsidRPr="004D2D14">
        <w:rPr>
          <w:rFonts w:ascii="Cambria Math" w:hAnsi="Cambria Math"/>
          <w:b/>
          <w:sz w:val="36"/>
          <w:szCs w:val="36"/>
          <w:lang w:val="uk-UA"/>
        </w:rPr>
        <w:t>ОЦІНКА ВІДПОВІДНОСТІ ПРОДУКЦІЇ МАШИНОБУДУВАННЯ ТА СИСТЕМИ УПРАВЛІННЯ ЯКІСТЮ.  НОРМАТИВНА</w:t>
      </w:r>
      <w:r w:rsidRPr="004D2D14">
        <w:rPr>
          <w:rFonts w:ascii="Cambria Math" w:hAnsi="Cambria Math"/>
          <w:b/>
          <w:spacing w:val="-3"/>
          <w:sz w:val="36"/>
          <w:szCs w:val="36"/>
          <w:lang w:val="uk-UA"/>
        </w:rPr>
        <w:t xml:space="preserve"> </w:t>
      </w:r>
      <w:r w:rsidRPr="004D2D14">
        <w:rPr>
          <w:rFonts w:ascii="Cambria Math" w:hAnsi="Cambria Math"/>
          <w:b/>
          <w:sz w:val="36"/>
          <w:szCs w:val="36"/>
          <w:lang w:val="uk-UA"/>
        </w:rPr>
        <w:t>ТЕРМІНОЛОГІЯ</w:t>
      </w:r>
      <w:r w:rsidRPr="00297070">
        <w:rPr>
          <w:rFonts w:ascii="Cambria Math" w:hAnsi="Cambria Math"/>
          <w:b/>
          <w:sz w:val="36"/>
          <w:szCs w:val="36"/>
          <w:lang w:val="uk-UA"/>
        </w:rPr>
        <w:t xml:space="preserve"> </w:t>
      </w:r>
      <w:r w:rsidRPr="004D2D14">
        <w:rPr>
          <w:rFonts w:ascii="Cambria Math" w:hAnsi="Cambria Math"/>
          <w:b/>
          <w:sz w:val="36"/>
          <w:szCs w:val="36"/>
          <w:lang w:val="uk-UA"/>
        </w:rPr>
        <w:t>ТА</w:t>
      </w:r>
      <w:r w:rsidRPr="004D2D14">
        <w:rPr>
          <w:rFonts w:ascii="Cambria Math" w:hAnsi="Cambria Math"/>
          <w:b/>
          <w:spacing w:val="-3"/>
          <w:sz w:val="36"/>
          <w:szCs w:val="36"/>
          <w:lang w:val="uk-UA"/>
        </w:rPr>
        <w:t xml:space="preserve"> </w:t>
      </w:r>
      <w:r w:rsidRPr="004D2D14">
        <w:rPr>
          <w:rFonts w:ascii="Cambria Math" w:hAnsi="Cambria Math"/>
          <w:b/>
          <w:sz w:val="36"/>
          <w:szCs w:val="36"/>
          <w:lang w:val="uk-UA"/>
        </w:rPr>
        <w:t>ВИЗНАЧЕННЯ</w:t>
      </w:r>
    </w:p>
    <w:p w14:paraId="6A77E371" w14:textId="77777777" w:rsidR="0097612F" w:rsidRPr="00297070" w:rsidRDefault="0097612F" w:rsidP="0097612F">
      <w:pPr>
        <w:adjustRightInd w:val="0"/>
        <w:spacing w:after="0" w:line="240" w:lineRule="auto"/>
        <w:jc w:val="center"/>
        <w:rPr>
          <w:rFonts w:asciiTheme="majorHAnsi" w:eastAsiaTheme="minorHAnsi" w:hAnsiTheme="majorHAnsi" w:cs="Calibri"/>
          <w:sz w:val="28"/>
          <w:szCs w:val="28"/>
          <w:lang w:val="uk-UA"/>
        </w:rPr>
      </w:pPr>
    </w:p>
    <w:p w14:paraId="145D66DB" w14:textId="77777777" w:rsidR="0097612F" w:rsidRPr="00297070" w:rsidRDefault="0097612F" w:rsidP="0097612F">
      <w:pPr>
        <w:adjustRightInd w:val="0"/>
        <w:spacing w:after="0" w:line="240" w:lineRule="auto"/>
        <w:jc w:val="center"/>
        <w:rPr>
          <w:rFonts w:asciiTheme="majorHAnsi" w:eastAsiaTheme="minorHAnsi" w:hAnsiTheme="majorHAnsi" w:cs="Calibri"/>
          <w:sz w:val="28"/>
          <w:szCs w:val="28"/>
          <w:lang w:val="uk-UA"/>
        </w:rPr>
      </w:pPr>
    </w:p>
    <w:p w14:paraId="5E3F9C40" w14:textId="77777777" w:rsidR="0097612F" w:rsidRPr="00297070" w:rsidRDefault="0097612F" w:rsidP="0097612F">
      <w:pPr>
        <w:adjustRightInd w:val="0"/>
        <w:spacing w:after="0" w:line="240" w:lineRule="auto"/>
        <w:jc w:val="center"/>
        <w:rPr>
          <w:rFonts w:asciiTheme="majorHAnsi" w:eastAsiaTheme="minorHAnsi" w:hAnsiTheme="majorHAnsi" w:cs="Calibri"/>
          <w:sz w:val="28"/>
          <w:szCs w:val="28"/>
          <w:lang w:val="uk-UA"/>
        </w:rPr>
      </w:pPr>
    </w:p>
    <w:p w14:paraId="495A2209" w14:textId="77777777" w:rsidR="000977F7" w:rsidRPr="00297070" w:rsidRDefault="000977F7" w:rsidP="0097612F">
      <w:pPr>
        <w:adjustRightInd w:val="0"/>
        <w:spacing w:after="0" w:line="240" w:lineRule="auto"/>
        <w:jc w:val="center"/>
        <w:rPr>
          <w:rFonts w:asciiTheme="majorHAnsi" w:eastAsiaTheme="minorHAnsi" w:hAnsiTheme="majorHAnsi" w:cs="Calibri"/>
          <w:sz w:val="28"/>
          <w:szCs w:val="28"/>
          <w:lang w:val="uk-UA"/>
        </w:rPr>
      </w:pPr>
    </w:p>
    <w:p w14:paraId="21D8847E" w14:textId="77777777" w:rsidR="0097612F" w:rsidRPr="00297070" w:rsidRDefault="0097612F" w:rsidP="0097612F">
      <w:pPr>
        <w:adjustRightInd w:val="0"/>
        <w:spacing w:after="0" w:line="240" w:lineRule="auto"/>
        <w:jc w:val="center"/>
        <w:rPr>
          <w:rFonts w:asciiTheme="majorHAnsi" w:eastAsiaTheme="minorHAnsi" w:hAnsiTheme="majorHAnsi" w:cs="Calibri"/>
          <w:sz w:val="28"/>
          <w:szCs w:val="28"/>
          <w:lang w:val="uk-UA"/>
        </w:rPr>
      </w:pPr>
    </w:p>
    <w:p w14:paraId="0A5FABB8" w14:textId="77777777" w:rsidR="0097612F" w:rsidRPr="00297070" w:rsidRDefault="0097612F" w:rsidP="0097612F">
      <w:pPr>
        <w:adjustRightInd w:val="0"/>
        <w:spacing w:after="0" w:line="240" w:lineRule="auto"/>
        <w:jc w:val="center"/>
        <w:rPr>
          <w:rFonts w:asciiTheme="majorHAnsi" w:eastAsiaTheme="minorHAnsi" w:hAnsiTheme="majorHAnsi" w:cs="Calibri"/>
          <w:sz w:val="28"/>
          <w:szCs w:val="28"/>
          <w:lang w:val="uk-UA"/>
        </w:rPr>
      </w:pPr>
    </w:p>
    <w:p w14:paraId="134B726F" w14:textId="77777777" w:rsidR="0097612F" w:rsidRPr="00297070" w:rsidRDefault="0097612F" w:rsidP="0097612F">
      <w:pPr>
        <w:adjustRightInd w:val="0"/>
        <w:spacing w:after="0" w:line="240" w:lineRule="auto"/>
        <w:jc w:val="center"/>
        <w:rPr>
          <w:rFonts w:asciiTheme="majorHAnsi" w:eastAsiaTheme="minorHAnsi" w:hAnsiTheme="majorHAnsi" w:cs="Calibri"/>
          <w:sz w:val="28"/>
          <w:szCs w:val="28"/>
          <w:lang w:val="uk-UA"/>
        </w:rPr>
      </w:pPr>
    </w:p>
    <w:p w14:paraId="5071D5D4" w14:textId="77777777" w:rsidR="0097612F" w:rsidRPr="00297070" w:rsidRDefault="0097612F" w:rsidP="0097612F">
      <w:pPr>
        <w:adjustRightInd w:val="0"/>
        <w:spacing w:after="0" w:line="240" w:lineRule="auto"/>
        <w:jc w:val="center"/>
        <w:rPr>
          <w:rFonts w:asciiTheme="majorHAnsi" w:eastAsiaTheme="minorHAnsi" w:hAnsiTheme="majorHAnsi" w:cs="Calibri"/>
          <w:sz w:val="28"/>
          <w:szCs w:val="28"/>
          <w:lang w:val="uk-UA"/>
        </w:rPr>
      </w:pPr>
    </w:p>
    <w:p w14:paraId="3A250720" w14:textId="77777777" w:rsidR="0097612F" w:rsidRPr="00297070" w:rsidRDefault="0097612F" w:rsidP="0097612F">
      <w:pPr>
        <w:adjustRightInd w:val="0"/>
        <w:spacing w:after="0" w:line="240" w:lineRule="auto"/>
        <w:jc w:val="center"/>
        <w:rPr>
          <w:rFonts w:asciiTheme="majorHAnsi" w:eastAsiaTheme="minorHAnsi" w:hAnsiTheme="majorHAnsi" w:cs="Calibri"/>
          <w:sz w:val="28"/>
          <w:szCs w:val="28"/>
          <w:lang w:val="uk-UA"/>
        </w:rPr>
      </w:pPr>
    </w:p>
    <w:p w14:paraId="398F19B0" w14:textId="77777777" w:rsidR="0097612F" w:rsidRPr="00297070" w:rsidRDefault="0097612F" w:rsidP="0097612F">
      <w:pPr>
        <w:adjustRightInd w:val="0"/>
        <w:spacing w:after="0" w:line="240" w:lineRule="auto"/>
        <w:jc w:val="center"/>
        <w:rPr>
          <w:rFonts w:asciiTheme="majorHAnsi" w:eastAsiaTheme="minorHAnsi" w:hAnsiTheme="majorHAnsi" w:cs="Calibri"/>
          <w:sz w:val="28"/>
          <w:szCs w:val="28"/>
          <w:lang w:val="uk-UA"/>
        </w:rPr>
      </w:pPr>
    </w:p>
    <w:p w14:paraId="41D93E38" w14:textId="77777777" w:rsidR="0097612F" w:rsidRPr="00297070" w:rsidRDefault="0097612F" w:rsidP="0097612F">
      <w:pPr>
        <w:adjustRightInd w:val="0"/>
        <w:spacing w:after="0" w:line="240" w:lineRule="auto"/>
        <w:jc w:val="center"/>
        <w:rPr>
          <w:rFonts w:asciiTheme="majorHAnsi" w:eastAsiaTheme="minorHAnsi" w:hAnsiTheme="majorHAnsi" w:cs="Calibri"/>
          <w:sz w:val="28"/>
          <w:szCs w:val="28"/>
          <w:lang w:val="uk-UA"/>
        </w:rPr>
      </w:pPr>
    </w:p>
    <w:p w14:paraId="4634B68C" w14:textId="77777777" w:rsidR="0097612F" w:rsidRPr="00297070" w:rsidRDefault="0097612F" w:rsidP="0097612F">
      <w:pPr>
        <w:adjustRightInd w:val="0"/>
        <w:spacing w:after="0" w:line="240" w:lineRule="auto"/>
        <w:jc w:val="center"/>
        <w:rPr>
          <w:rFonts w:asciiTheme="majorHAnsi" w:eastAsiaTheme="minorHAnsi" w:hAnsiTheme="majorHAnsi" w:cs="Calibri"/>
          <w:sz w:val="28"/>
          <w:szCs w:val="28"/>
          <w:lang w:val="uk-UA"/>
        </w:rPr>
      </w:pPr>
    </w:p>
    <w:p w14:paraId="6F4BE848" w14:textId="77777777" w:rsidR="0097612F" w:rsidRPr="00297070" w:rsidRDefault="0097612F" w:rsidP="0097612F">
      <w:pPr>
        <w:adjustRightInd w:val="0"/>
        <w:spacing w:after="0" w:line="240" w:lineRule="auto"/>
        <w:jc w:val="center"/>
        <w:rPr>
          <w:rFonts w:asciiTheme="majorHAnsi" w:eastAsiaTheme="minorHAnsi" w:hAnsiTheme="majorHAnsi" w:cs="Calibri"/>
          <w:sz w:val="28"/>
          <w:szCs w:val="28"/>
          <w:lang w:val="uk-UA"/>
        </w:rPr>
      </w:pPr>
    </w:p>
    <w:p w14:paraId="4E1B00AD" w14:textId="40FCD53D" w:rsidR="0097612F" w:rsidRPr="00297070" w:rsidRDefault="0036519F" w:rsidP="0097612F">
      <w:pPr>
        <w:adjustRightInd w:val="0"/>
        <w:spacing w:after="0" w:line="240" w:lineRule="auto"/>
        <w:jc w:val="center"/>
        <w:rPr>
          <w:rFonts w:asciiTheme="majorHAnsi" w:eastAsiaTheme="minorHAnsi" w:hAnsiTheme="majorHAnsi" w:cs="Calibri"/>
          <w:sz w:val="28"/>
          <w:szCs w:val="28"/>
          <w:lang w:val="uk-UA"/>
        </w:rPr>
      </w:pPr>
      <w:r>
        <w:rPr>
          <w:rFonts w:asciiTheme="majorHAnsi" w:eastAsiaTheme="minorHAnsi" w:hAnsiTheme="majorHAnsi" w:cs="Calibri"/>
          <w:sz w:val="28"/>
          <w:szCs w:val="28"/>
          <w:lang w:val="uk-UA"/>
        </w:rPr>
        <w:t>Національний технічний університет України</w:t>
      </w:r>
    </w:p>
    <w:p w14:paraId="7CF5C3B0" w14:textId="3F1B2AE6" w:rsidR="0097612F" w:rsidRPr="00297070" w:rsidRDefault="0036519F" w:rsidP="0097612F">
      <w:pPr>
        <w:adjustRightInd w:val="0"/>
        <w:spacing w:after="0" w:line="240" w:lineRule="auto"/>
        <w:jc w:val="center"/>
        <w:rPr>
          <w:rFonts w:asciiTheme="majorHAnsi" w:eastAsiaTheme="minorHAnsi" w:hAnsiTheme="majorHAnsi" w:cs="Calibri"/>
          <w:sz w:val="28"/>
          <w:szCs w:val="28"/>
          <w:lang w:val="uk-UA"/>
        </w:rPr>
      </w:pPr>
      <w:r>
        <w:rPr>
          <w:rFonts w:asciiTheme="majorHAnsi" w:eastAsiaTheme="minorHAnsi" w:hAnsiTheme="majorHAnsi" w:cs="Calibri"/>
          <w:sz w:val="28"/>
          <w:szCs w:val="28"/>
          <w:lang w:val="uk-UA"/>
        </w:rPr>
        <w:t>«</w:t>
      </w:r>
      <w:r w:rsidR="0097612F" w:rsidRPr="00297070">
        <w:rPr>
          <w:rFonts w:asciiTheme="majorHAnsi" w:eastAsiaTheme="minorHAnsi" w:hAnsiTheme="majorHAnsi" w:cs="Calibri"/>
          <w:sz w:val="28"/>
          <w:szCs w:val="28"/>
          <w:lang w:val="uk-UA"/>
        </w:rPr>
        <w:t>Київський пол</w:t>
      </w:r>
      <w:r w:rsidR="0097612F" w:rsidRPr="000977F7">
        <w:rPr>
          <w:rFonts w:asciiTheme="majorHAnsi" w:eastAsiaTheme="minorHAnsi" w:hAnsiTheme="majorHAnsi" w:cs="Calibri"/>
          <w:sz w:val="28"/>
          <w:szCs w:val="28"/>
        </w:rPr>
        <w:t>i</w:t>
      </w:r>
      <w:r w:rsidR="0097612F" w:rsidRPr="00297070">
        <w:rPr>
          <w:rFonts w:asciiTheme="majorHAnsi" w:eastAsiaTheme="minorHAnsi" w:hAnsiTheme="majorHAnsi" w:cs="Calibri"/>
          <w:sz w:val="28"/>
          <w:szCs w:val="28"/>
          <w:lang w:val="uk-UA"/>
        </w:rPr>
        <w:t>техн</w:t>
      </w:r>
      <w:r w:rsidR="0097612F" w:rsidRPr="000977F7">
        <w:rPr>
          <w:rFonts w:asciiTheme="majorHAnsi" w:eastAsiaTheme="minorHAnsi" w:hAnsiTheme="majorHAnsi" w:cs="Calibri"/>
          <w:sz w:val="28"/>
          <w:szCs w:val="28"/>
        </w:rPr>
        <w:t>i</w:t>
      </w:r>
      <w:r w:rsidR="0097612F" w:rsidRPr="00297070">
        <w:rPr>
          <w:rFonts w:asciiTheme="majorHAnsi" w:eastAsiaTheme="minorHAnsi" w:hAnsiTheme="majorHAnsi" w:cs="Calibri"/>
          <w:sz w:val="28"/>
          <w:szCs w:val="28"/>
          <w:lang w:val="uk-UA"/>
        </w:rPr>
        <w:t>чний інститут</w:t>
      </w:r>
    </w:p>
    <w:p w14:paraId="7B6124C7" w14:textId="747F6E48" w:rsidR="0097612F" w:rsidRPr="00297070" w:rsidRDefault="0097612F" w:rsidP="0097612F">
      <w:pPr>
        <w:adjustRightInd w:val="0"/>
        <w:spacing w:after="0" w:line="240" w:lineRule="auto"/>
        <w:jc w:val="center"/>
        <w:rPr>
          <w:rFonts w:asciiTheme="majorHAnsi" w:eastAsiaTheme="minorHAnsi" w:hAnsiTheme="majorHAnsi" w:cs="Calibri"/>
          <w:sz w:val="28"/>
          <w:szCs w:val="28"/>
          <w:lang w:val="uk-UA"/>
        </w:rPr>
      </w:pPr>
      <w:r w:rsidRPr="000977F7">
        <w:rPr>
          <w:rFonts w:asciiTheme="majorHAnsi" w:eastAsiaTheme="minorHAnsi" w:hAnsiTheme="majorHAnsi" w:cs="Calibri"/>
          <w:sz w:val="28"/>
          <w:szCs w:val="28"/>
        </w:rPr>
        <w:t>i</w:t>
      </w:r>
      <w:r w:rsidRPr="00297070">
        <w:rPr>
          <w:rFonts w:asciiTheme="majorHAnsi" w:eastAsiaTheme="minorHAnsi" w:hAnsiTheme="majorHAnsi" w:cs="Calibri"/>
          <w:sz w:val="28"/>
          <w:szCs w:val="28"/>
          <w:lang w:val="uk-UA"/>
        </w:rPr>
        <w:t>мен</w:t>
      </w:r>
      <w:r w:rsidRPr="000977F7">
        <w:rPr>
          <w:rFonts w:asciiTheme="majorHAnsi" w:eastAsiaTheme="minorHAnsi" w:hAnsiTheme="majorHAnsi" w:cs="Calibri"/>
          <w:sz w:val="28"/>
          <w:szCs w:val="28"/>
        </w:rPr>
        <w:t>i</w:t>
      </w:r>
      <w:r w:rsidRPr="00297070">
        <w:rPr>
          <w:rFonts w:asciiTheme="majorHAnsi" w:eastAsiaTheme="minorHAnsi" w:hAnsiTheme="majorHAnsi" w:cs="Calibri"/>
          <w:sz w:val="28"/>
          <w:szCs w:val="28"/>
          <w:lang w:val="uk-UA"/>
        </w:rPr>
        <w:t xml:space="preserve"> Ігоря Сікорського</w:t>
      </w:r>
      <w:r w:rsidR="0036519F">
        <w:rPr>
          <w:rFonts w:asciiTheme="majorHAnsi" w:eastAsiaTheme="minorHAnsi" w:hAnsiTheme="majorHAnsi" w:cs="Calibri"/>
          <w:sz w:val="28"/>
          <w:szCs w:val="28"/>
          <w:lang w:val="uk-UA"/>
        </w:rPr>
        <w:t>»</w:t>
      </w:r>
      <w:bookmarkStart w:id="389" w:name="_GoBack"/>
      <w:bookmarkEnd w:id="389"/>
    </w:p>
    <w:p w14:paraId="58CCF195" w14:textId="77777777" w:rsidR="00077E20" w:rsidRPr="00297070" w:rsidRDefault="0097612F" w:rsidP="000977F7">
      <w:pPr>
        <w:spacing w:after="0" w:line="240" w:lineRule="auto"/>
        <w:jc w:val="center"/>
        <w:rPr>
          <w:rFonts w:asciiTheme="majorHAnsi" w:eastAsia="Times New Roman" w:hAnsiTheme="majorHAnsi"/>
          <w:bCs/>
          <w:sz w:val="28"/>
          <w:szCs w:val="28"/>
          <w:bdr w:val="none" w:sz="0" w:space="0" w:color="auto" w:frame="1"/>
          <w:lang w:val="uk-UA" w:eastAsia="ru-RU"/>
        </w:rPr>
      </w:pPr>
      <w:r w:rsidRPr="00297070">
        <w:rPr>
          <w:rFonts w:asciiTheme="majorHAnsi" w:eastAsiaTheme="minorHAnsi" w:hAnsiTheme="majorHAnsi" w:cs="Calibri"/>
          <w:sz w:val="28"/>
          <w:szCs w:val="28"/>
          <w:lang w:val="uk-UA"/>
        </w:rPr>
        <w:t>Київ – 2023</w:t>
      </w:r>
    </w:p>
    <w:sectPr w:rsidR="00077E20" w:rsidRPr="00297070" w:rsidSect="000977F7">
      <w:headerReference w:type="default" r:id="rId44"/>
      <w:footerReference w:type="default" r:id="rId45"/>
      <w:pgSz w:w="11910" w:h="16840"/>
      <w:pgMar w:top="1300" w:right="640" w:bottom="960" w:left="1340" w:header="0" w:footer="775" w:gutter="0"/>
      <w:cols w:space="45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37674D" w14:textId="77777777" w:rsidR="0031280E" w:rsidRDefault="0031280E" w:rsidP="001E469B">
      <w:pPr>
        <w:spacing w:after="0" w:line="240" w:lineRule="auto"/>
      </w:pPr>
      <w:r>
        <w:separator/>
      </w:r>
    </w:p>
  </w:endnote>
  <w:endnote w:type="continuationSeparator" w:id="0">
    <w:p w14:paraId="14FF2860" w14:textId="77777777" w:rsidR="0031280E" w:rsidRDefault="0031280E" w:rsidP="001E46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Полужирный">
    <w:panose1 w:val="02020803070505020304"/>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 w:name="Cambria Math">
    <w:panose1 w:val="02040503050406030204"/>
    <w:charset w:val="CC"/>
    <w:family w:val="roman"/>
    <w:pitch w:val="variable"/>
    <w:sig w:usb0="E00006FF" w:usb1="420024FF" w:usb2="02000000" w:usb3="00000000" w:csb0="0000019F" w:csb1="00000000"/>
  </w:font>
  <w:font w:name="TimesNew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37562251"/>
      <w:docPartObj>
        <w:docPartGallery w:val="Page Numbers (Bottom of Page)"/>
        <w:docPartUnique/>
      </w:docPartObj>
    </w:sdtPr>
    <w:sdtEndPr/>
    <w:sdtContent>
      <w:p w14:paraId="3E401642" w14:textId="77777777" w:rsidR="00297070" w:rsidRDefault="00297070">
        <w:pPr>
          <w:pStyle w:val="af"/>
          <w:jc w:val="right"/>
        </w:pPr>
        <w:r>
          <w:fldChar w:fldCharType="begin"/>
        </w:r>
        <w:r>
          <w:instrText>PAGE   \* MERGEFORMAT</w:instrText>
        </w:r>
        <w:r>
          <w:fldChar w:fldCharType="separate"/>
        </w:r>
        <w:r w:rsidR="0036519F">
          <w:rPr>
            <w:noProof/>
          </w:rPr>
          <w:t>3</w:t>
        </w:r>
        <w:r>
          <w:rPr>
            <w:noProof/>
          </w:rPr>
          <w:fldChar w:fldCharType="end"/>
        </w:r>
      </w:p>
    </w:sdtContent>
  </w:sdt>
  <w:p w14:paraId="3BA2B778" w14:textId="77777777" w:rsidR="00297070" w:rsidRDefault="00297070">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8615024"/>
      <w:docPartObj>
        <w:docPartGallery w:val="Page Numbers (Bottom of Page)"/>
        <w:docPartUnique/>
      </w:docPartObj>
    </w:sdtPr>
    <w:sdtEndPr/>
    <w:sdtContent>
      <w:p w14:paraId="073E5351" w14:textId="77777777" w:rsidR="00297070" w:rsidRDefault="00297070" w:rsidP="00042C62">
        <w:pPr>
          <w:pStyle w:val="af"/>
          <w:jc w:val="right"/>
        </w:pPr>
        <w:r w:rsidRPr="00031AE5">
          <w:rPr>
            <w:rFonts w:asciiTheme="minorHAnsi" w:hAnsiTheme="minorHAnsi" w:cstheme="minorHAnsi"/>
          </w:rPr>
          <w:fldChar w:fldCharType="begin"/>
        </w:r>
        <w:r w:rsidRPr="00031AE5">
          <w:rPr>
            <w:rFonts w:asciiTheme="minorHAnsi" w:hAnsiTheme="minorHAnsi" w:cstheme="minorHAnsi"/>
          </w:rPr>
          <w:instrText>PAGE   \* MERGEFORMAT</w:instrText>
        </w:r>
        <w:r w:rsidRPr="00031AE5">
          <w:rPr>
            <w:rFonts w:asciiTheme="minorHAnsi" w:hAnsiTheme="minorHAnsi" w:cstheme="minorHAnsi"/>
          </w:rPr>
          <w:fldChar w:fldCharType="separate"/>
        </w:r>
        <w:r w:rsidR="0036519F">
          <w:rPr>
            <w:rFonts w:asciiTheme="minorHAnsi" w:hAnsiTheme="minorHAnsi" w:cstheme="minorHAnsi"/>
            <w:noProof/>
          </w:rPr>
          <w:t>10</w:t>
        </w:r>
        <w:r w:rsidRPr="00031AE5">
          <w:rPr>
            <w:rFonts w:asciiTheme="minorHAnsi" w:hAnsiTheme="minorHAnsi" w:cstheme="minorHAnsi"/>
          </w:rPr>
          <w:fldChar w:fldCharType="end"/>
        </w:r>
      </w:p>
    </w:sdtContent>
  </w:sdt>
  <w:p w14:paraId="7D0F02FE" w14:textId="77777777" w:rsidR="00297070" w:rsidRDefault="00297070">
    <w:pPr>
      <w:pStyle w:val="af6"/>
      <w:spacing w:line="14" w:lineRule="auto"/>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6876979"/>
      <w:docPartObj>
        <w:docPartGallery w:val="Page Numbers (Bottom of Page)"/>
        <w:docPartUnique/>
      </w:docPartObj>
    </w:sdtPr>
    <w:sdtEndPr/>
    <w:sdtContent>
      <w:p w14:paraId="551A92F5" w14:textId="77777777" w:rsidR="00297070" w:rsidRDefault="00297070" w:rsidP="00042C62">
        <w:pPr>
          <w:pStyle w:val="af"/>
          <w:jc w:val="right"/>
        </w:pPr>
        <w:r w:rsidRPr="00737847">
          <w:rPr>
            <w:rFonts w:asciiTheme="minorHAnsi" w:hAnsiTheme="minorHAnsi" w:cstheme="minorHAnsi"/>
          </w:rPr>
          <w:fldChar w:fldCharType="begin"/>
        </w:r>
        <w:r w:rsidRPr="00737847">
          <w:rPr>
            <w:rFonts w:asciiTheme="minorHAnsi" w:hAnsiTheme="minorHAnsi" w:cstheme="minorHAnsi"/>
          </w:rPr>
          <w:instrText>PAGE   \* MERGEFORMAT</w:instrText>
        </w:r>
        <w:r w:rsidRPr="00737847">
          <w:rPr>
            <w:rFonts w:asciiTheme="minorHAnsi" w:hAnsiTheme="minorHAnsi" w:cstheme="minorHAnsi"/>
          </w:rPr>
          <w:fldChar w:fldCharType="separate"/>
        </w:r>
        <w:r w:rsidR="0036519F">
          <w:rPr>
            <w:rFonts w:asciiTheme="minorHAnsi" w:hAnsiTheme="minorHAnsi" w:cstheme="minorHAnsi"/>
            <w:noProof/>
          </w:rPr>
          <w:t>260</w:t>
        </w:r>
        <w:r w:rsidRPr="00737847">
          <w:rPr>
            <w:rFonts w:asciiTheme="minorHAnsi" w:hAnsiTheme="minorHAnsi" w:cstheme="minorHAnsi"/>
          </w:rPr>
          <w:fldChar w:fldCharType="end"/>
        </w:r>
      </w:p>
    </w:sdtContent>
  </w:sdt>
  <w:p w14:paraId="7784B6A3" w14:textId="77777777" w:rsidR="00297070" w:rsidRDefault="00297070">
    <w:pPr>
      <w:pStyle w:val="af6"/>
      <w:spacing w:line="14" w:lineRule="auto"/>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69334862"/>
      <w:docPartObj>
        <w:docPartGallery w:val="Page Numbers (Bottom of Page)"/>
        <w:docPartUnique/>
      </w:docPartObj>
    </w:sdtPr>
    <w:sdtEndPr/>
    <w:sdtContent>
      <w:p w14:paraId="22770DFB" w14:textId="77777777" w:rsidR="00297070" w:rsidRDefault="00297070" w:rsidP="00042C62">
        <w:pPr>
          <w:pStyle w:val="af"/>
          <w:jc w:val="right"/>
        </w:pPr>
        <w:r w:rsidRPr="00737847">
          <w:rPr>
            <w:rFonts w:asciiTheme="minorHAnsi" w:hAnsiTheme="minorHAnsi" w:cstheme="minorHAnsi"/>
          </w:rPr>
          <w:fldChar w:fldCharType="begin"/>
        </w:r>
        <w:r w:rsidRPr="00737847">
          <w:rPr>
            <w:rFonts w:asciiTheme="minorHAnsi" w:hAnsiTheme="minorHAnsi" w:cstheme="minorHAnsi"/>
          </w:rPr>
          <w:instrText>PAGE   \* MERGEFORMAT</w:instrText>
        </w:r>
        <w:r w:rsidRPr="00737847">
          <w:rPr>
            <w:rFonts w:asciiTheme="minorHAnsi" w:hAnsiTheme="minorHAnsi" w:cstheme="minorHAnsi"/>
          </w:rPr>
          <w:fldChar w:fldCharType="separate"/>
        </w:r>
        <w:r w:rsidR="0036519F">
          <w:rPr>
            <w:rFonts w:asciiTheme="minorHAnsi" w:hAnsiTheme="minorHAnsi" w:cstheme="minorHAnsi"/>
            <w:noProof/>
          </w:rPr>
          <w:t>288</w:t>
        </w:r>
        <w:r w:rsidRPr="00737847">
          <w:rPr>
            <w:rFonts w:asciiTheme="minorHAnsi" w:hAnsiTheme="minorHAnsi" w:cstheme="minorHAnsi"/>
          </w:rPr>
          <w:fldChar w:fldCharType="end"/>
        </w:r>
      </w:p>
    </w:sdtContent>
  </w:sdt>
  <w:p w14:paraId="4C601CEA" w14:textId="77777777" w:rsidR="00297070" w:rsidRDefault="00297070">
    <w:pPr>
      <w:pStyle w:val="af6"/>
      <w:spacing w:line="14" w:lineRule="auto"/>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B76694" w14:textId="77777777" w:rsidR="00297070" w:rsidRDefault="00297070">
    <w:pPr>
      <w:pStyle w:val="af6"/>
      <w:spacing w:line="14" w:lineRule="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30BB7F" w14:textId="77777777" w:rsidR="0031280E" w:rsidRDefault="0031280E" w:rsidP="001E469B">
      <w:pPr>
        <w:spacing w:after="0" w:line="240" w:lineRule="auto"/>
      </w:pPr>
      <w:r>
        <w:separator/>
      </w:r>
    </w:p>
  </w:footnote>
  <w:footnote w:type="continuationSeparator" w:id="0">
    <w:p w14:paraId="4D89D572" w14:textId="77777777" w:rsidR="0031280E" w:rsidRDefault="0031280E" w:rsidP="001E469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253577" w14:textId="77777777" w:rsidR="00297070" w:rsidRDefault="00297070">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73033"/>
    <w:multiLevelType w:val="hybridMultilevel"/>
    <w:tmpl w:val="8AE8479A"/>
    <w:lvl w:ilvl="0" w:tplc="449ECE16">
      <w:numFmt w:val="bullet"/>
      <w:lvlText w:val="-"/>
      <w:lvlJc w:val="left"/>
      <w:pPr>
        <w:ind w:left="520" w:hanging="360"/>
      </w:pPr>
      <w:rPr>
        <w:rFonts w:ascii="Times New Roman" w:eastAsia="Times New Roman" w:hAnsi="Times New Roman" w:cs="Times New Roman" w:hint="default"/>
        <w:w w:val="99"/>
        <w:sz w:val="20"/>
        <w:szCs w:val="20"/>
        <w:lang w:val="uk-UA" w:eastAsia="en-US" w:bidi="ar-SA"/>
      </w:rPr>
    </w:lvl>
    <w:lvl w:ilvl="1" w:tplc="BBC61B28">
      <w:numFmt w:val="bullet"/>
      <w:lvlText w:val="•"/>
      <w:lvlJc w:val="left"/>
      <w:pPr>
        <w:ind w:left="992" w:hanging="360"/>
      </w:pPr>
      <w:rPr>
        <w:rFonts w:hint="default"/>
        <w:lang w:val="uk-UA" w:eastAsia="en-US" w:bidi="ar-SA"/>
      </w:rPr>
    </w:lvl>
    <w:lvl w:ilvl="2" w:tplc="14988380">
      <w:numFmt w:val="bullet"/>
      <w:lvlText w:val="•"/>
      <w:lvlJc w:val="left"/>
      <w:pPr>
        <w:ind w:left="1460" w:hanging="360"/>
      </w:pPr>
      <w:rPr>
        <w:rFonts w:hint="default"/>
        <w:lang w:val="uk-UA" w:eastAsia="en-US" w:bidi="ar-SA"/>
      </w:rPr>
    </w:lvl>
    <w:lvl w:ilvl="3" w:tplc="476A13A4">
      <w:numFmt w:val="bullet"/>
      <w:lvlText w:val="•"/>
      <w:lvlJc w:val="left"/>
      <w:pPr>
        <w:ind w:left="1928" w:hanging="360"/>
      </w:pPr>
      <w:rPr>
        <w:rFonts w:hint="default"/>
        <w:lang w:val="uk-UA" w:eastAsia="en-US" w:bidi="ar-SA"/>
      </w:rPr>
    </w:lvl>
    <w:lvl w:ilvl="4" w:tplc="C1D80C4A">
      <w:numFmt w:val="bullet"/>
      <w:lvlText w:val="•"/>
      <w:lvlJc w:val="left"/>
      <w:pPr>
        <w:ind w:left="2396" w:hanging="360"/>
      </w:pPr>
      <w:rPr>
        <w:rFonts w:hint="default"/>
        <w:lang w:val="uk-UA" w:eastAsia="en-US" w:bidi="ar-SA"/>
      </w:rPr>
    </w:lvl>
    <w:lvl w:ilvl="5" w:tplc="AD9CD956">
      <w:numFmt w:val="bullet"/>
      <w:lvlText w:val="•"/>
      <w:lvlJc w:val="left"/>
      <w:pPr>
        <w:ind w:left="2864" w:hanging="360"/>
      </w:pPr>
      <w:rPr>
        <w:rFonts w:hint="default"/>
        <w:lang w:val="uk-UA" w:eastAsia="en-US" w:bidi="ar-SA"/>
      </w:rPr>
    </w:lvl>
    <w:lvl w:ilvl="6" w:tplc="70ACF230">
      <w:numFmt w:val="bullet"/>
      <w:lvlText w:val="•"/>
      <w:lvlJc w:val="left"/>
      <w:pPr>
        <w:ind w:left="3333" w:hanging="360"/>
      </w:pPr>
      <w:rPr>
        <w:rFonts w:hint="default"/>
        <w:lang w:val="uk-UA" w:eastAsia="en-US" w:bidi="ar-SA"/>
      </w:rPr>
    </w:lvl>
    <w:lvl w:ilvl="7" w:tplc="9DC07864">
      <w:numFmt w:val="bullet"/>
      <w:lvlText w:val="•"/>
      <w:lvlJc w:val="left"/>
      <w:pPr>
        <w:ind w:left="3801" w:hanging="360"/>
      </w:pPr>
      <w:rPr>
        <w:rFonts w:hint="default"/>
        <w:lang w:val="uk-UA" w:eastAsia="en-US" w:bidi="ar-SA"/>
      </w:rPr>
    </w:lvl>
    <w:lvl w:ilvl="8" w:tplc="1B5C1EE2">
      <w:numFmt w:val="bullet"/>
      <w:lvlText w:val="•"/>
      <w:lvlJc w:val="left"/>
      <w:pPr>
        <w:ind w:left="4269" w:hanging="360"/>
      </w:pPr>
      <w:rPr>
        <w:rFonts w:hint="default"/>
        <w:lang w:val="uk-UA" w:eastAsia="en-US" w:bidi="ar-SA"/>
      </w:rPr>
    </w:lvl>
  </w:abstractNum>
  <w:abstractNum w:abstractNumId="1" w15:restartNumberingAfterBreak="0">
    <w:nsid w:val="006B42D4"/>
    <w:multiLevelType w:val="hybridMultilevel"/>
    <w:tmpl w:val="F6F2575A"/>
    <w:lvl w:ilvl="0" w:tplc="8D8E247A">
      <w:start w:val="1"/>
      <w:numFmt w:val="decimal"/>
      <w:lvlText w:val="%1)"/>
      <w:lvlJc w:val="left"/>
      <w:pPr>
        <w:ind w:left="440" w:hanging="225"/>
      </w:pPr>
      <w:rPr>
        <w:rFonts w:ascii="Times New Roman" w:eastAsia="Times New Roman" w:hAnsi="Times New Roman" w:cs="Times New Roman" w:hint="default"/>
        <w:spacing w:val="0"/>
        <w:w w:val="99"/>
        <w:sz w:val="20"/>
        <w:szCs w:val="20"/>
        <w:lang w:val="uk-UA" w:eastAsia="en-US" w:bidi="ar-SA"/>
      </w:rPr>
    </w:lvl>
    <w:lvl w:ilvl="1" w:tplc="E29AEBFA">
      <w:numFmt w:val="bullet"/>
      <w:lvlText w:val="•"/>
      <w:lvlJc w:val="left"/>
      <w:pPr>
        <w:ind w:left="908" w:hanging="225"/>
      </w:pPr>
      <w:rPr>
        <w:rFonts w:hint="default"/>
        <w:lang w:val="uk-UA" w:eastAsia="en-US" w:bidi="ar-SA"/>
      </w:rPr>
    </w:lvl>
    <w:lvl w:ilvl="2" w:tplc="654CA1CE">
      <w:numFmt w:val="bullet"/>
      <w:lvlText w:val="•"/>
      <w:lvlJc w:val="left"/>
      <w:pPr>
        <w:ind w:left="1376" w:hanging="225"/>
      </w:pPr>
      <w:rPr>
        <w:rFonts w:hint="default"/>
        <w:lang w:val="uk-UA" w:eastAsia="en-US" w:bidi="ar-SA"/>
      </w:rPr>
    </w:lvl>
    <w:lvl w:ilvl="3" w:tplc="F32A3DB8">
      <w:numFmt w:val="bullet"/>
      <w:lvlText w:val="•"/>
      <w:lvlJc w:val="left"/>
      <w:pPr>
        <w:ind w:left="1845" w:hanging="225"/>
      </w:pPr>
      <w:rPr>
        <w:rFonts w:hint="default"/>
        <w:lang w:val="uk-UA" w:eastAsia="en-US" w:bidi="ar-SA"/>
      </w:rPr>
    </w:lvl>
    <w:lvl w:ilvl="4" w:tplc="45427E7C">
      <w:numFmt w:val="bullet"/>
      <w:lvlText w:val="•"/>
      <w:lvlJc w:val="left"/>
      <w:pPr>
        <w:ind w:left="2313" w:hanging="225"/>
      </w:pPr>
      <w:rPr>
        <w:rFonts w:hint="default"/>
        <w:lang w:val="uk-UA" w:eastAsia="en-US" w:bidi="ar-SA"/>
      </w:rPr>
    </w:lvl>
    <w:lvl w:ilvl="5" w:tplc="021C5990">
      <w:numFmt w:val="bullet"/>
      <w:lvlText w:val="•"/>
      <w:lvlJc w:val="left"/>
      <w:pPr>
        <w:ind w:left="2781" w:hanging="225"/>
      </w:pPr>
      <w:rPr>
        <w:rFonts w:hint="default"/>
        <w:lang w:val="uk-UA" w:eastAsia="en-US" w:bidi="ar-SA"/>
      </w:rPr>
    </w:lvl>
    <w:lvl w:ilvl="6" w:tplc="5554DFF2">
      <w:numFmt w:val="bullet"/>
      <w:lvlText w:val="•"/>
      <w:lvlJc w:val="left"/>
      <w:pPr>
        <w:ind w:left="3250" w:hanging="225"/>
      </w:pPr>
      <w:rPr>
        <w:rFonts w:hint="default"/>
        <w:lang w:val="uk-UA" w:eastAsia="en-US" w:bidi="ar-SA"/>
      </w:rPr>
    </w:lvl>
    <w:lvl w:ilvl="7" w:tplc="FE0A4B36">
      <w:numFmt w:val="bullet"/>
      <w:lvlText w:val="•"/>
      <w:lvlJc w:val="left"/>
      <w:pPr>
        <w:ind w:left="3718" w:hanging="225"/>
      </w:pPr>
      <w:rPr>
        <w:rFonts w:hint="default"/>
        <w:lang w:val="uk-UA" w:eastAsia="en-US" w:bidi="ar-SA"/>
      </w:rPr>
    </w:lvl>
    <w:lvl w:ilvl="8" w:tplc="DF344D6C">
      <w:numFmt w:val="bullet"/>
      <w:lvlText w:val="•"/>
      <w:lvlJc w:val="left"/>
      <w:pPr>
        <w:ind w:left="4187" w:hanging="225"/>
      </w:pPr>
      <w:rPr>
        <w:rFonts w:hint="default"/>
        <w:lang w:val="uk-UA" w:eastAsia="en-US" w:bidi="ar-SA"/>
      </w:rPr>
    </w:lvl>
  </w:abstractNum>
  <w:abstractNum w:abstractNumId="2" w15:restartNumberingAfterBreak="0">
    <w:nsid w:val="006F3E5C"/>
    <w:multiLevelType w:val="hybridMultilevel"/>
    <w:tmpl w:val="18CA7770"/>
    <w:lvl w:ilvl="0" w:tplc="837C91EC">
      <w:start w:val="1"/>
      <w:numFmt w:val="lowerLetter"/>
      <w:lvlText w:val="%1)"/>
      <w:lvlJc w:val="left"/>
      <w:pPr>
        <w:ind w:left="646" w:hanging="206"/>
      </w:pPr>
      <w:rPr>
        <w:rFonts w:ascii="Times New Roman" w:eastAsia="Times New Roman" w:hAnsi="Times New Roman" w:cs="Times New Roman" w:hint="default"/>
        <w:w w:val="99"/>
        <w:sz w:val="20"/>
        <w:szCs w:val="20"/>
        <w:lang w:val="uk-UA" w:eastAsia="en-US" w:bidi="ar-SA"/>
      </w:rPr>
    </w:lvl>
    <w:lvl w:ilvl="1" w:tplc="786665E8">
      <w:numFmt w:val="bullet"/>
      <w:lvlText w:val="•"/>
      <w:lvlJc w:val="left"/>
      <w:pPr>
        <w:ind w:left="1088" w:hanging="206"/>
      </w:pPr>
      <w:rPr>
        <w:rFonts w:hint="default"/>
        <w:lang w:val="uk-UA" w:eastAsia="en-US" w:bidi="ar-SA"/>
      </w:rPr>
    </w:lvl>
    <w:lvl w:ilvl="2" w:tplc="E9B8BEB4">
      <w:numFmt w:val="bullet"/>
      <w:lvlText w:val="•"/>
      <w:lvlJc w:val="left"/>
      <w:pPr>
        <w:ind w:left="1536" w:hanging="206"/>
      </w:pPr>
      <w:rPr>
        <w:rFonts w:hint="default"/>
        <w:lang w:val="uk-UA" w:eastAsia="en-US" w:bidi="ar-SA"/>
      </w:rPr>
    </w:lvl>
    <w:lvl w:ilvl="3" w:tplc="884E88E2">
      <w:numFmt w:val="bullet"/>
      <w:lvlText w:val="•"/>
      <w:lvlJc w:val="left"/>
      <w:pPr>
        <w:ind w:left="1984" w:hanging="206"/>
      </w:pPr>
      <w:rPr>
        <w:rFonts w:hint="default"/>
        <w:lang w:val="uk-UA" w:eastAsia="en-US" w:bidi="ar-SA"/>
      </w:rPr>
    </w:lvl>
    <w:lvl w:ilvl="4" w:tplc="DBEA4290">
      <w:numFmt w:val="bullet"/>
      <w:lvlText w:val="•"/>
      <w:lvlJc w:val="left"/>
      <w:pPr>
        <w:ind w:left="2432" w:hanging="206"/>
      </w:pPr>
      <w:rPr>
        <w:rFonts w:hint="default"/>
        <w:lang w:val="uk-UA" w:eastAsia="en-US" w:bidi="ar-SA"/>
      </w:rPr>
    </w:lvl>
    <w:lvl w:ilvl="5" w:tplc="24A67B6A">
      <w:numFmt w:val="bullet"/>
      <w:lvlText w:val="•"/>
      <w:lvlJc w:val="left"/>
      <w:pPr>
        <w:ind w:left="2881" w:hanging="206"/>
      </w:pPr>
      <w:rPr>
        <w:rFonts w:hint="default"/>
        <w:lang w:val="uk-UA" w:eastAsia="en-US" w:bidi="ar-SA"/>
      </w:rPr>
    </w:lvl>
    <w:lvl w:ilvl="6" w:tplc="12CED4B2">
      <w:numFmt w:val="bullet"/>
      <w:lvlText w:val="•"/>
      <w:lvlJc w:val="left"/>
      <w:pPr>
        <w:ind w:left="3329" w:hanging="206"/>
      </w:pPr>
      <w:rPr>
        <w:rFonts w:hint="default"/>
        <w:lang w:val="uk-UA" w:eastAsia="en-US" w:bidi="ar-SA"/>
      </w:rPr>
    </w:lvl>
    <w:lvl w:ilvl="7" w:tplc="55E48810">
      <w:numFmt w:val="bullet"/>
      <w:lvlText w:val="•"/>
      <w:lvlJc w:val="left"/>
      <w:pPr>
        <w:ind w:left="3777" w:hanging="206"/>
      </w:pPr>
      <w:rPr>
        <w:rFonts w:hint="default"/>
        <w:lang w:val="uk-UA" w:eastAsia="en-US" w:bidi="ar-SA"/>
      </w:rPr>
    </w:lvl>
    <w:lvl w:ilvl="8" w:tplc="4EEC267C">
      <w:numFmt w:val="bullet"/>
      <w:lvlText w:val="•"/>
      <w:lvlJc w:val="left"/>
      <w:pPr>
        <w:ind w:left="4225" w:hanging="206"/>
      </w:pPr>
      <w:rPr>
        <w:rFonts w:hint="default"/>
        <w:lang w:val="uk-UA" w:eastAsia="en-US" w:bidi="ar-SA"/>
      </w:rPr>
    </w:lvl>
  </w:abstractNum>
  <w:abstractNum w:abstractNumId="3" w15:restartNumberingAfterBreak="0">
    <w:nsid w:val="01704A40"/>
    <w:multiLevelType w:val="hybridMultilevel"/>
    <w:tmpl w:val="AE1CEDF2"/>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4" w15:restartNumberingAfterBreak="0">
    <w:nsid w:val="022042A0"/>
    <w:multiLevelType w:val="hybridMultilevel"/>
    <w:tmpl w:val="51A6C824"/>
    <w:lvl w:ilvl="0" w:tplc="C640FD22">
      <w:start w:val="2"/>
      <w:numFmt w:val="lowerLetter"/>
      <w:lvlText w:val="%1)"/>
      <w:lvlJc w:val="left"/>
      <w:pPr>
        <w:ind w:left="658" w:hanging="218"/>
      </w:pPr>
      <w:rPr>
        <w:rFonts w:ascii="Times New Roman" w:eastAsia="Times New Roman" w:hAnsi="Times New Roman" w:cs="Times New Roman" w:hint="default"/>
        <w:spacing w:val="0"/>
        <w:w w:val="99"/>
        <w:sz w:val="20"/>
        <w:szCs w:val="20"/>
        <w:lang w:val="uk-UA" w:eastAsia="en-US" w:bidi="ar-SA"/>
      </w:rPr>
    </w:lvl>
    <w:lvl w:ilvl="1" w:tplc="962A40B2">
      <w:numFmt w:val="bullet"/>
      <w:lvlText w:val="•"/>
      <w:lvlJc w:val="left"/>
      <w:pPr>
        <w:ind w:left="1106" w:hanging="218"/>
      </w:pPr>
      <w:rPr>
        <w:rFonts w:hint="default"/>
        <w:lang w:val="uk-UA" w:eastAsia="en-US" w:bidi="ar-SA"/>
      </w:rPr>
    </w:lvl>
    <w:lvl w:ilvl="2" w:tplc="5E5C60DA">
      <w:numFmt w:val="bullet"/>
      <w:lvlText w:val="•"/>
      <w:lvlJc w:val="left"/>
      <w:pPr>
        <w:ind w:left="1553" w:hanging="218"/>
      </w:pPr>
      <w:rPr>
        <w:rFonts w:hint="default"/>
        <w:lang w:val="uk-UA" w:eastAsia="en-US" w:bidi="ar-SA"/>
      </w:rPr>
    </w:lvl>
    <w:lvl w:ilvl="3" w:tplc="0EDA16BC">
      <w:numFmt w:val="bullet"/>
      <w:lvlText w:val="•"/>
      <w:lvlJc w:val="left"/>
      <w:pPr>
        <w:ind w:left="1999" w:hanging="218"/>
      </w:pPr>
      <w:rPr>
        <w:rFonts w:hint="default"/>
        <w:lang w:val="uk-UA" w:eastAsia="en-US" w:bidi="ar-SA"/>
      </w:rPr>
    </w:lvl>
    <w:lvl w:ilvl="4" w:tplc="7956664E">
      <w:numFmt w:val="bullet"/>
      <w:lvlText w:val="•"/>
      <w:lvlJc w:val="left"/>
      <w:pPr>
        <w:ind w:left="2446" w:hanging="218"/>
      </w:pPr>
      <w:rPr>
        <w:rFonts w:hint="default"/>
        <w:lang w:val="uk-UA" w:eastAsia="en-US" w:bidi="ar-SA"/>
      </w:rPr>
    </w:lvl>
    <w:lvl w:ilvl="5" w:tplc="5E76310E">
      <w:numFmt w:val="bullet"/>
      <w:lvlText w:val="•"/>
      <w:lvlJc w:val="left"/>
      <w:pPr>
        <w:ind w:left="2893" w:hanging="218"/>
      </w:pPr>
      <w:rPr>
        <w:rFonts w:hint="default"/>
        <w:lang w:val="uk-UA" w:eastAsia="en-US" w:bidi="ar-SA"/>
      </w:rPr>
    </w:lvl>
    <w:lvl w:ilvl="6" w:tplc="744C2962">
      <w:numFmt w:val="bullet"/>
      <w:lvlText w:val="•"/>
      <w:lvlJc w:val="left"/>
      <w:pPr>
        <w:ind w:left="3339" w:hanging="218"/>
      </w:pPr>
      <w:rPr>
        <w:rFonts w:hint="default"/>
        <w:lang w:val="uk-UA" w:eastAsia="en-US" w:bidi="ar-SA"/>
      </w:rPr>
    </w:lvl>
    <w:lvl w:ilvl="7" w:tplc="1A8601CE">
      <w:numFmt w:val="bullet"/>
      <w:lvlText w:val="•"/>
      <w:lvlJc w:val="left"/>
      <w:pPr>
        <w:ind w:left="3786" w:hanging="218"/>
      </w:pPr>
      <w:rPr>
        <w:rFonts w:hint="default"/>
        <w:lang w:val="uk-UA" w:eastAsia="en-US" w:bidi="ar-SA"/>
      </w:rPr>
    </w:lvl>
    <w:lvl w:ilvl="8" w:tplc="BA1EAC4C">
      <w:numFmt w:val="bullet"/>
      <w:lvlText w:val="•"/>
      <w:lvlJc w:val="left"/>
      <w:pPr>
        <w:ind w:left="4233" w:hanging="218"/>
      </w:pPr>
      <w:rPr>
        <w:rFonts w:hint="default"/>
        <w:lang w:val="uk-UA" w:eastAsia="en-US" w:bidi="ar-SA"/>
      </w:rPr>
    </w:lvl>
  </w:abstractNum>
  <w:abstractNum w:abstractNumId="5" w15:restartNumberingAfterBreak="0">
    <w:nsid w:val="024A0373"/>
    <w:multiLevelType w:val="hybridMultilevel"/>
    <w:tmpl w:val="C72C67F4"/>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6" w15:restartNumberingAfterBreak="0">
    <w:nsid w:val="03726A84"/>
    <w:multiLevelType w:val="hybridMultilevel"/>
    <w:tmpl w:val="4274E296"/>
    <w:lvl w:ilvl="0" w:tplc="2B4EAFBC">
      <w:start w:val="1"/>
      <w:numFmt w:val="decimal"/>
      <w:lvlText w:val="%1."/>
      <w:lvlJc w:val="left"/>
      <w:pPr>
        <w:ind w:left="440" w:hanging="276"/>
      </w:pPr>
      <w:rPr>
        <w:rFonts w:ascii="Times New Roman" w:eastAsia="Times New Roman" w:hAnsi="Times New Roman" w:cs="Times New Roman" w:hint="default"/>
        <w:spacing w:val="0"/>
        <w:w w:val="99"/>
        <w:sz w:val="20"/>
        <w:szCs w:val="20"/>
        <w:lang w:val="uk-UA" w:eastAsia="en-US" w:bidi="ar-SA"/>
      </w:rPr>
    </w:lvl>
    <w:lvl w:ilvl="1" w:tplc="63E48514">
      <w:numFmt w:val="bullet"/>
      <w:lvlText w:val="•"/>
      <w:lvlJc w:val="left"/>
      <w:pPr>
        <w:ind w:left="908" w:hanging="276"/>
      </w:pPr>
      <w:rPr>
        <w:rFonts w:hint="default"/>
        <w:lang w:val="uk-UA" w:eastAsia="en-US" w:bidi="ar-SA"/>
      </w:rPr>
    </w:lvl>
    <w:lvl w:ilvl="2" w:tplc="F72A9FF8">
      <w:numFmt w:val="bullet"/>
      <w:lvlText w:val="•"/>
      <w:lvlJc w:val="left"/>
      <w:pPr>
        <w:ind w:left="1377" w:hanging="276"/>
      </w:pPr>
      <w:rPr>
        <w:rFonts w:hint="default"/>
        <w:lang w:val="uk-UA" w:eastAsia="en-US" w:bidi="ar-SA"/>
      </w:rPr>
    </w:lvl>
    <w:lvl w:ilvl="3" w:tplc="629C9060">
      <w:numFmt w:val="bullet"/>
      <w:lvlText w:val="•"/>
      <w:lvlJc w:val="left"/>
      <w:pPr>
        <w:ind w:left="1845" w:hanging="276"/>
      </w:pPr>
      <w:rPr>
        <w:rFonts w:hint="default"/>
        <w:lang w:val="uk-UA" w:eastAsia="en-US" w:bidi="ar-SA"/>
      </w:rPr>
    </w:lvl>
    <w:lvl w:ilvl="4" w:tplc="608407CA">
      <w:numFmt w:val="bullet"/>
      <w:lvlText w:val="•"/>
      <w:lvlJc w:val="left"/>
      <w:pPr>
        <w:ind w:left="2314" w:hanging="276"/>
      </w:pPr>
      <w:rPr>
        <w:rFonts w:hint="default"/>
        <w:lang w:val="uk-UA" w:eastAsia="en-US" w:bidi="ar-SA"/>
      </w:rPr>
    </w:lvl>
    <w:lvl w:ilvl="5" w:tplc="50DEDB1C">
      <w:numFmt w:val="bullet"/>
      <w:lvlText w:val="•"/>
      <w:lvlJc w:val="left"/>
      <w:pPr>
        <w:ind w:left="2782" w:hanging="276"/>
      </w:pPr>
      <w:rPr>
        <w:rFonts w:hint="default"/>
        <w:lang w:val="uk-UA" w:eastAsia="en-US" w:bidi="ar-SA"/>
      </w:rPr>
    </w:lvl>
    <w:lvl w:ilvl="6" w:tplc="4BF0CBD4">
      <w:numFmt w:val="bullet"/>
      <w:lvlText w:val="•"/>
      <w:lvlJc w:val="left"/>
      <w:pPr>
        <w:ind w:left="3251" w:hanging="276"/>
      </w:pPr>
      <w:rPr>
        <w:rFonts w:hint="default"/>
        <w:lang w:val="uk-UA" w:eastAsia="en-US" w:bidi="ar-SA"/>
      </w:rPr>
    </w:lvl>
    <w:lvl w:ilvl="7" w:tplc="0EB6A666">
      <w:numFmt w:val="bullet"/>
      <w:lvlText w:val="•"/>
      <w:lvlJc w:val="left"/>
      <w:pPr>
        <w:ind w:left="3720" w:hanging="276"/>
      </w:pPr>
      <w:rPr>
        <w:rFonts w:hint="default"/>
        <w:lang w:val="uk-UA" w:eastAsia="en-US" w:bidi="ar-SA"/>
      </w:rPr>
    </w:lvl>
    <w:lvl w:ilvl="8" w:tplc="3CE694C0">
      <w:numFmt w:val="bullet"/>
      <w:lvlText w:val="•"/>
      <w:lvlJc w:val="left"/>
      <w:pPr>
        <w:ind w:left="4188" w:hanging="276"/>
      </w:pPr>
      <w:rPr>
        <w:rFonts w:hint="default"/>
        <w:lang w:val="uk-UA" w:eastAsia="en-US" w:bidi="ar-SA"/>
      </w:rPr>
    </w:lvl>
  </w:abstractNum>
  <w:abstractNum w:abstractNumId="7" w15:restartNumberingAfterBreak="0">
    <w:nsid w:val="03981D0B"/>
    <w:multiLevelType w:val="hybridMultilevel"/>
    <w:tmpl w:val="E4A094EA"/>
    <w:lvl w:ilvl="0" w:tplc="651E9840">
      <w:start w:val="1"/>
      <w:numFmt w:val="decimal"/>
      <w:lvlText w:val="%1."/>
      <w:lvlJc w:val="left"/>
      <w:pPr>
        <w:ind w:left="800" w:hanging="360"/>
      </w:pPr>
      <w:rPr>
        <w:rFonts w:ascii="Times New Roman" w:eastAsia="Times New Roman" w:hAnsi="Times New Roman" w:cs="Times New Roman" w:hint="default"/>
        <w:spacing w:val="0"/>
        <w:w w:val="99"/>
        <w:sz w:val="20"/>
        <w:szCs w:val="20"/>
        <w:lang w:val="uk-UA" w:eastAsia="en-US" w:bidi="ar-SA"/>
      </w:rPr>
    </w:lvl>
    <w:lvl w:ilvl="1" w:tplc="68584D74">
      <w:start w:val="1"/>
      <w:numFmt w:val="lowerLetter"/>
      <w:lvlText w:val="%2)"/>
      <w:lvlJc w:val="left"/>
      <w:pPr>
        <w:ind w:left="1037" w:hanging="437"/>
      </w:pPr>
      <w:rPr>
        <w:rFonts w:ascii="Times New Roman" w:eastAsia="Times New Roman" w:hAnsi="Times New Roman" w:cs="Times New Roman" w:hint="default"/>
        <w:w w:val="99"/>
        <w:sz w:val="20"/>
        <w:szCs w:val="20"/>
        <w:lang w:val="uk-UA" w:eastAsia="en-US" w:bidi="ar-SA"/>
      </w:rPr>
    </w:lvl>
    <w:lvl w:ilvl="2" w:tplc="BCFA79DC">
      <w:numFmt w:val="bullet"/>
      <w:lvlText w:val="•"/>
      <w:lvlJc w:val="left"/>
      <w:pPr>
        <w:ind w:left="1300" w:hanging="437"/>
      </w:pPr>
      <w:rPr>
        <w:rFonts w:hint="default"/>
        <w:lang w:val="uk-UA" w:eastAsia="en-US" w:bidi="ar-SA"/>
      </w:rPr>
    </w:lvl>
    <w:lvl w:ilvl="3" w:tplc="76AE7644">
      <w:numFmt w:val="bullet"/>
      <w:lvlText w:val="•"/>
      <w:lvlJc w:val="left"/>
      <w:pPr>
        <w:ind w:left="1132" w:hanging="437"/>
      </w:pPr>
      <w:rPr>
        <w:rFonts w:hint="default"/>
        <w:lang w:val="uk-UA" w:eastAsia="en-US" w:bidi="ar-SA"/>
      </w:rPr>
    </w:lvl>
    <w:lvl w:ilvl="4" w:tplc="9B684B4A">
      <w:numFmt w:val="bullet"/>
      <w:lvlText w:val="•"/>
      <w:lvlJc w:val="left"/>
      <w:pPr>
        <w:ind w:left="965" w:hanging="437"/>
      </w:pPr>
      <w:rPr>
        <w:rFonts w:hint="default"/>
        <w:lang w:val="uk-UA" w:eastAsia="en-US" w:bidi="ar-SA"/>
      </w:rPr>
    </w:lvl>
    <w:lvl w:ilvl="5" w:tplc="CE66C672">
      <w:numFmt w:val="bullet"/>
      <w:lvlText w:val="•"/>
      <w:lvlJc w:val="left"/>
      <w:pPr>
        <w:ind w:left="797" w:hanging="437"/>
      </w:pPr>
      <w:rPr>
        <w:rFonts w:hint="default"/>
        <w:lang w:val="uk-UA" w:eastAsia="en-US" w:bidi="ar-SA"/>
      </w:rPr>
    </w:lvl>
    <w:lvl w:ilvl="6" w:tplc="900E0948">
      <w:numFmt w:val="bullet"/>
      <w:lvlText w:val="•"/>
      <w:lvlJc w:val="left"/>
      <w:pPr>
        <w:ind w:left="630" w:hanging="437"/>
      </w:pPr>
      <w:rPr>
        <w:rFonts w:hint="default"/>
        <w:lang w:val="uk-UA" w:eastAsia="en-US" w:bidi="ar-SA"/>
      </w:rPr>
    </w:lvl>
    <w:lvl w:ilvl="7" w:tplc="8876A9C4">
      <w:numFmt w:val="bullet"/>
      <w:lvlText w:val="•"/>
      <w:lvlJc w:val="left"/>
      <w:pPr>
        <w:ind w:left="462" w:hanging="437"/>
      </w:pPr>
      <w:rPr>
        <w:rFonts w:hint="default"/>
        <w:lang w:val="uk-UA" w:eastAsia="en-US" w:bidi="ar-SA"/>
      </w:rPr>
    </w:lvl>
    <w:lvl w:ilvl="8" w:tplc="34E23566">
      <w:numFmt w:val="bullet"/>
      <w:lvlText w:val="•"/>
      <w:lvlJc w:val="left"/>
      <w:pPr>
        <w:ind w:left="295" w:hanging="437"/>
      </w:pPr>
      <w:rPr>
        <w:rFonts w:hint="default"/>
        <w:lang w:val="uk-UA" w:eastAsia="en-US" w:bidi="ar-SA"/>
      </w:rPr>
    </w:lvl>
  </w:abstractNum>
  <w:abstractNum w:abstractNumId="8" w15:restartNumberingAfterBreak="0">
    <w:nsid w:val="03D64F90"/>
    <w:multiLevelType w:val="hybridMultilevel"/>
    <w:tmpl w:val="0D3CFAEC"/>
    <w:lvl w:ilvl="0" w:tplc="B90ECD62">
      <w:start w:val="7"/>
      <w:numFmt w:val="decimal"/>
      <w:lvlText w:val="%1)"/>
      <w:lvlJc w:val="left"/>
      <w:pPr>
        <w:ind w:left="440" w:hanging="273"/>
        <w:jc w:val="right"/>
      </w:pPr>
      <w:rPr>
        <w:rFonts w:ascii="Times New Roman" w:eastAsia="Times New Roman" w:hAnsi="Times New Roman" w:cs="Times New Roman" w:hint="default"/>
        <w:spacing w:val="0"/>
        <w:w w:val="99"/>
        <w:sz w:val="20"/>
        <w:szCs w:val="20"/>
        <w:lang w:val="uk-UA" w:eastAsia="en-US" w:bidi="ar-SA"/>
      </w:rPr>
    </w:lvl>
    <w:lvl w:ilvl="1" w:tplc="B8087ACA">
      <w:numFmt w:val="bullet"/>
      <w:lvlText w:val="•"/>
      <w:lvlJc w:val="left"/>
      <w:pPr>
        <w:ind w:left="908" w:hanging="273"/>
      </w:pPr>
      <w:rPr>
        <w:rFonts w:hint="default"/>
        <w:lang w:val="uk-UA" w:eastAsia="en-US" w:bidi="ar-SA"/>
      </w:rPr>
    </w:lvl>
    <w:lvl w:ilvl="2" w:tplc="131C68FC">
      <w:numFmt w:val="bullet"/>
      <w:lvlText w:val="•"/>
      <w:lvlJc w:val="left"/>
      <w:pPr>
        <w:ind w:left="1377" w:hanging="273"/>
      </w:pPr>
      <w:rPr>
        <w:rFonts w:hint="default"/>
        <w:lang w:val="uk-UA" w:eastAsia="en-US" w:bidi="ar-SA"/>
      </w:rPr>
    </w:lvl>
    <w:lvl w:ilvl="3" w:tplc="286297FC">
      <w:numFmt w:val="bullet"/>
      <w:lvlText w:val="•"/>
      <w:lvlJc w:val="left"/>
      <w:pPr>
        <w:ind w:left="1845" w:hanging="273"/>
      </w:pPr>
      <w:rPr>
        <w:rFonts w:hint="default"/>
        <w:lang w:val="uk-UA" w:eastAsia="en-US" w:bidi="ar-SA"/>
      </w:rPr>
    </w:lvl>
    <w:lvl w:ilvl="4" w:tplc="1D6612DE">
      <w:numFmt w:val="bullet"/>
      <w:lvlText w:val="•"/>
      <w:lvlJc w:val="left"/>
      <w:pPr>
        <w:ind w:left="2314" w:hanging="273"/>
      </w:pPr>
      <w:rPr>
        <w:rFonts w:hint="default"/>
        <w:lang w:val="uk-UA" w:eastAsia="en-US" w:bidi="ar-SA"/>
      </w:rPr>
    </w:lvl>
    <w:lvl w:ilvl="5" w:tplc="4078B906">
      <w:numFmt w:val="bullet"/>
      <w:lvlText w:val="•"/>
      <w:lvlJc w:val="left"/>
      <w:pPr>
        <w:ind w:left="2783" w:hanging="273"/>
      </w:pPr>
      <w:rPr>
        <w:rFonts w:hint="default"/>
        <w:lang w:val="uk-UA" w:eastAsia="en-US" w:bidi="ar-SA"/>
      </w:rPr>
    </w:lvl>
    <w:lvl w:ilvl="6" w:tplc="A796AEC2">
      <w:numFmt w:val="bullet"/>
      <w:lvlText w:val="•"/>
      <w:lvlJc w:val="left"/>
      <w:pPr>
        <w:ind w:left="3251" w:hanging="273"/>
      </w:pPr>
      <w:rPr>
        <w:rFonts w:hint="default"/>
        <w:lang w:val="uk-UA" w:eastAsia="en-US" w:bidi="ar-SA"/>
      </w:rPr>
    </w:lvl>
    <w:lvl w:ilvl="7" w:tplc="CEE0F0D0">
      <w:numFmt w:val="bullet"/>
      <w:lvlText w:val="•"/>
      <w:lvlJc w:val="left"/>
      <w:pPr>
        <w:ind w:left="3720" w:hanging="273"/>
      </w:pPr>
      <w:rPr>
        <w:rFonts w:hint="default"/>
        <w:lang w:val="uk-UA" w:eastAsia="en-US" w:bidi="ar-SA"/>
      </w:rPr>
    </w:lvl>
    <w:lvl w:ilvl="8" w:tplc="E4C2A6C8">
      <w:numFmt w:val="bullet"/>
      <w:lvlText w:val="•"/>
      <w:lvlJc w:val="left"/>
      <w:pPr>
        <w:ind w:left="4188" w:hanging="273"/>
      </w:pPr>
      <w:rPr>
        <w:rFonts w:hint="default"/>
        <w:lang w:val="uk-UA" w:eastAsia="en-US" w:bidi="ar-SA"/>
      </w:rPr>
    </w:lvl>
  </w:abstractNum>
  <w:abstractNum w:abstractNumId="9" w15:restartNumberingAfterBreak="0">
    <w:nsid w:val="04F55536"/>
    <w:multiLevelType w:val="hybridMultilevel"/>
    <w:tmpl w:val="7E60CBC0"/>
    <w:lvl w:ilvl="0" w:tplc="28E6742C">
      <w:start w:val="2"/>
      <w:numFmt w:val="bullet"/>
      <w:lvlText w:val="-"/>
      <w:lvlJc w:val="left"/>
      <w:pPr>
        <w:ind w:left="87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05077E1B"/>
    <w:multiLevelType w:val="hybridMultilevel"/>
    <w:tmpl w:val="35EAA784"/>
    <w:lvl w:ilvl="0" w:tplc="0D98F784">
      <w:numFmt w:val="bullet"/>
      <w:lvlText w:val="-"/>
      <w:lvlJc w:val="left"/>
      <w:pPr>
        <w:ind w:left="1146" w:hanging="360"/>
      </w:pPr>
      <w:rPr>
        <w:rFonts w:ascii="Times New Roman" w:eastAsia="Times New Roman" w:hAnsi="Times New Roman" w:cs="Times New Roman" w:hint="default"/>
        <w:w w:val="99"/>
        <w:sz w:val="20"/>
        <w:szCs w:val="20"/>
        <w:lang w:val="uk-UA" w:eastAsia="en-US" w:bidi="ar-SA"/>
      </w:rPr>
    </w:lvl>
    <w:lvl w:ilvl="1" w:tplc="4DB0BC2C">
      <w:numFmt w:val="bullet"/>
      <w:lvlText w:val="•"/>
      <w:lvlJc w:val="left"/>
      <w:pPr>
        <w:ind w:left="1538" w:hanging="360"/>
      </w:pPr>
      <w:rPr>
        <w:rFonts w:hint="default"/>
        <w:lang w:val="uk-UA" w:eastAsia="en-US" w:bidi="ar-SA"/>
      </w:rPr>
    </w:lvl>
    <w:lvl w:ilvl="2" w:tplc="60061FEC">
      <w:numFmt w:val="bullet"/>
      <w:lvlText w:val="•"/>
      <w:lvlJc w:val="left"/>
      <w:pPr>
        <w:ind w:left="1936" w:hanging="360"/>
      </w:pPr>
      <w:rPr>
        <w:rFonts w:hint="default"/>
        <w:lang w:val="uk-UA" w:eastAsia="en-US" w:bidi="ar-SA"/>
      </w:rPr>
    </w:lvl>
    <w:lvl w:ilvl="3" w:tplc="16342144">
      <w:numFmt w:val="bullet"/>
      <w:lvlText w:val="•"/>
      <w:lvlJc w:val="left"/>
      <w:pPr>
        <w:ind w:left="2335" w:hanging="360"/>
      </w:pPr>
      <w:rPr>
        <w:rFonts w:hint="default"/>
        <w:lang w:val="uk-UA" w:eastAsia="en-US" w:bidi="ar-SA"/>
      </w:rPr>
    </w:lvl>
    <w:lvl w:ilvl="4" w:tplc="70C015BA">
      <w:numFmt w:val="bullet"/>
      <w:lvlText w:val="•"/>
      <w:lvlJc w:val="left"/>
      <w:pPr>
        <w:ind w:left="2733" w:hanging="360"/>
      </w:pPr>
      <w:rPr>
        <w:rFonts w:hint="default"/>
        <w:lang w:val="uk-UA" w:eastAsia="en-US" w:bidi="ar-SA"/>
      </w:rPr>
    </w:lvl>
    <w:lvl w:ilvl="5" w:tplc="FA52AA4C">
      <w:numFmt w:val="bullet"/>
      <w:lvlText w:val="•"/>
      <w:lvlJc w:val="left"/>
      <w:pPr>
        <w:ind w:left="3131" w:hanging="360"/>
      </w:pPr>
      <w:rPr>
        <w:rFonts w:hint="default"/>
        <w:lang w:val="uk-UA" w:eastAsia="en-US" w:bidi="ar-SA"/>
      </w:rPr>
    </w:lvl>
    <w:lvl w:ilvl="6" w:tplc="D6E21D54">
      <w:numFmt w:val="bullet"/>
      <w:lvlText w:val="•"/>
      <w:lvlJc w:val="left"/>
      <w:pPr>
        <w:ind w:left="3530" w:hanging="360"/>
      </w:pPr>
      <w:rPr>
        <w:rFonts w:hint="default"/>
        <w:lang w:val="uk-UA" w:eastAsia="en-US" w:bidi="ar-SA"/>
      </w:rPr>
    </w:lvl>
    <w:lvl w:ilvl="7" w:tplc="992CD9D0">
      <w:numFmt w:val="bullet"/>
      <w:lvlText w:val="•"/>
      <w:lvlJc w:val="left"/>
      <w:pPr>
        <w:ind w:left="3928" w:hanging="360"/>
      </w:pPr>
      <w:rPr>
        <w:rFonts w:hint="default"/>
        <w:lang w:val="uk-UA" w:eastAsia="en-US" w:bidi="ar-SA"/>
      </w:rPr>
    </w:lvl>
    <w:lvl w:ilvl="8" w:tplc="BDB8AB64">
      <w:numFmt w:val="bullet"/>
      <w:lvlText w:val="•"/>
      <w:lvlJc w:val="left"/>
      <w:pPr>
        <w:ind w:left="4326" w:hanging="360"/>
      </w:pPr>
      <w:rPr>
        <w:rFonts w:hint="default"/>
        <w:lang w:val="uk-UA" w:eastAsia="en-US" w:bidi="ar-SA"/>
      </w:rPr>
    </w:lvl>
  </w:abstractNum>
  <w:abstractNum w:abstractNumId="11" w15:restartNumberingAfterBreak="0">
    <w:nsid w:val="06AD4398"/>
    <w:multiLevelType w:val="hybridMultilevel"/>
    <w:tmpl w:val="E49CB432"/>
    <w:lvl w:ilvl="0" w:tplc="915CF816">
      <w:start w:val="2"/>
      <w:numFmt w:val="lowerLetter"/>
      <w:lvlText w:val="%1)"/>
      <w:lvlJc w:val="left"/>
      <w:pPr>
        <w:ind w:left="316" w:hanging="235"/>
      </w:pPr>
      <w:rPr>
        <w:rFonts w:ascii="Times New Roman" w:eastAsia="Times New Roman" w:hAnsi="Times New Roman" w:cs="Times New Roman" w:hint="default"/>
        <w:spacing w:val="0"/>
        <w:w w:val="99"/>
        <w:sz w:val="20"/>
        <w:szCs w:val="20"/>
        <w:lang w:val="uk-UA" w:eastAsia="en-US" w:bidi="ar-SA"/>
      </w:rPr>
    </w:lvl>
    <w:lvl w:ilvl="1" w:tplc="0C101290">
      <w:numFmt w:val="bullet"/>
      <w:lvlText w:val="•"/>
      <w:lvlJc w:val="left"/>
      <w:pPr>
        <w:ind w:left="824" w:hanging="235"/>
      </w:pPr>
      <w:rPr>
        <w:rFonts w:hint="default"/>
        <w:lang w:val="uk-UA" w:eastAsia="en-US" w:bidi="ar-SA"/>
      </w:rPr>
    </w:lvl>
    <w:lvl w:ilvl="2" w:tplc="76786DCC">
      <w:numFmt w:val="bullet"/>
      <w:lvlText w:val="•"/>
      <w:lvlJc w:val="left"/>
      <w:pPr>
        <w:ind w:left="1328" w:hanging="235"/>
      </w:pPr>
      <w:rPr>
        <w:rFonts w:hint="default"/>
        <w:lang w:val="uk-UA" w:eastAsia="en-US" w:bidi="ar-SA"/>
      </w:rPr>
    </w:lvl>
    <w:lvl w:ilvl="3" w:tplc="C1AA32DA">
      <w:numFmt w:val="bullet"/>
      <w:lvlText w:val="•"/>
      <w:lvlJc w:val="left"/>
      <w:pPr>
        <w:ind w:left="1832" w:hanging="235"/>
      </w:pPr>
      <w:rPr>
        <w:rFonts w:hint="default"/>
        <w:lang w:val="uk-UA" w:eastAsia="en-US" w:bidi="ar-SA"/>
      </w:rPr>
    </w:lvl>
    <w:lvl w:ilvl="4" w:tplc="22B846C6">
      <w:numFmt w:val="bullet"/>
      <w:lvlText w:val="•"/>
      <w:lvlJc w:val="left"/>
      <w:pPr>
        <w:ind w:left="2336" w:hanging="235"/>
      </w:pPr>
      <w:rPr>
        <w:rFonts w:hint="default"/>
        <w:lang w:val="uk-UA" w:eastAsia="en-US" w:bidi="ar-SA"/>
      </w:rPr>
    </w:lvl>
    <w:lvl w:ilvl="5" w:tplc="A816E77C">
      <w:numFmt w:val="bullet"/>
      <w:lvlText w:val="•"/>
      <w:lvlJc w:val="left"/>
      <w:pPr>
        <w:ind w:left="2840" w:hanging="235"/>
      </w:pPr>
      <w:rPr>
        <w:rFonts w:hint="default"/>
        <w:lang w:val="uk-UA" w:eastAsia="en-US" w:bidi="ar-SA"/>
      </w:rPr>
    </w:lvl>
    <w:lvl w:ilvl="6" w:tplc="24E8272E">
      <w:numFmt w:val="bullet"/>
      <w:lvlText w:val="•"/>
      <w:lvlJc w:val="left"/>
      <w:pPr>
        <w:ind w:left="3344" w:hanging="235"/>
      </w:pPr>
      <w:rPr>
        <w:rFonts w:hint="default"/>
        <w:lang w:val="uk-UA" w:eastAsia="en-US" w:bidi="ar-SA"/>
      </w:rPr>
    </w:lvl>
    <w:lvl w:ilvl="7" w:tplc="92182C44">
      <w:numFmt w:val="bullet"/>
      <w:lvlText w:val="•"/>
      <w:lvlJc w:val="left"/>
      <w:pPr>
        <w:ind w:left="3848" w:hanging="235"/>
      </w:pPr>
      <w:rPr>
        <w:rFonts w:hint="default"/>
        <w:lang w:val="uk-UA" w:eastAsia="en-US" w:bidi="ar-SA"/>
      </w:rPr>
    </w:lvl>
    <w:lvl w:ilvl="8" w:tplc="756653AA">
      <w:numFmt w:val="bullet"/>
      <w:lvlText w:val="•"/>
      <w:lvlJc w:val="left"/>
      <w:pPr>
        <w:ind w:left="4352" w:hanging="235"/>
      </w:pPr>
      <w:rPr>
        <w:rFonts w:hint="default"/>
        <w:lang w:val="uk-UA" w:eastAsia="en-US" w:bidi="ar-SA"/>
      </w:rPr>
    </w:lvl>
  </w:abstractNum>
  <w:abstractNum w:abstractNumId="12" w15:restartNumberingAfterBreak="0">
    <w:nsid w:val="07305A8E"/>
    <w:multiLevelType w:val="hybridMultilevel"/>
    <w:tmpl w:val="9E80130E"/>
    <w:lvl w:ilvl="0" w:tplc="56A8D138">
      <w:start w:val="1"/>
      <w:numFmt w:val="lowerLetter"/>
      <w:lvlText w:val="%1)"/>
      <w:lvlJc w:val="left"/>
      <w:pPr>
        <w:ind w:left="519" w:hanging="206"/>
      </w:pPr>
      <w:rPr>
        <w:rFonts w:ascii="Times New Roman" w:eastAsia="Times New Roman" w:hAnsi="Times New Roman" w:cs="Times New Roman" w:hint="default"/>
        <w:w w:val="99"/>
        <w:sz w:val="20"/>
        <w:szCs w:val="20"/>
        <w:lang w:val="uk-UA" w:eastAsia="en-US" w:bidi="ar-SA"/>
      </w:rPr>
    </w:lvl>
    <w:lvl w:ilvl="1" w:tplc="D792B356">
      <w:start w:val="1"/>
      <w:numFmt w:val="decimal"/>
      <w:lvlText w:val="%2)"/>
      <w:lvlJc w:val="left"/>
      <w:pPr>
        <w:ind w:left="313" w:hanging="257"/>
      </w:pPr>
      <w:rPr>
        <w:rFonts w:ascii="Times New Roman" w:eastAsia="Times New Roman" w:hAnsi="Times New Roman" w:cs="Times New Roman" w:hint="default"/>
        <w:spacing w:val="0"/>
        <w:w w:val="99"/>
        <w:sz w:val="20"/>
        <w:szCs w:val="20"/>
        <w:lang w:val="uk-UA" w:eastAsia="en-US" w:bidi="ar-SA"/>
      </w:rPr>
    </w:lvl>
    <w:lvl w:ilvl="2" w:tplc="8BA02568">
      <w:numFmt w:val="bullet"/>
      <w:lvlText w:val="•"/>
      <w:lvlJc w:val="left"/>
      <w:pPr>
        <w:ind w:left="1057" w:hanging="257"/>
      </w:pPr>
      <w:rPr>
        <w:rFonts w:hint="default"/>
        <w:lang w:val="uk-UA" w:eastAsia="en-US" w:bidi="ar-SA"/>
      </w:rPr>
    </w:lvl>
    <w:lvl w:ilvl="3" w:tplc="69E28D28">
      <w:numFmt w:val="bullet"/>
      <w:lvlText w:val="•"/>
      <w:lvlJc w:val="left"/>
      <w:pPr>
        <w:ind w:left="1595" w:hanging="257"/>
      </w:pPr>
      <w:rPr>
        <w:rFonts w:hint="default"/>
        <w:lang w:val="uk-UA" w:eastAsia="en-US" w:bidi="ar-SA"/>
      </w:rPr>
    </w:lvl>
    <w:lvl w:ilvl="4" w:tplc="A67EBF18">
      <w:numFmt w:val="bullet"/>
      <w:lvlText w:val="•"/>
      <w:lvlJc w:val="left"/>
      <w:pPr>
        <w:ind w:left="2132" w:hanging="257"/>
      </w:pPr>
      <w:rPr>
        <w:rFonts w:hint="default"/>
        <w:lang w:val="uk-UA" w:eastAsia="en-US" w:bidi="ar-SA"/>
      </w:rPr>
    </w:lvl>
    <w:lvl w:ilvl="5" w:tplc="9676918E">
      <w:numFmt w:val="bullet"/>
      <w:lvlText w:val="•"/>
      <w:lvlJc w:val="left"/>
      <w:pPr>
        <w:ind w:left="2670" w:hanging="257"/>
      </w:pPr>
      <w:rPr>
        <w:rFonts w:hint="default"/>
        <w:lang w:val="uk-UA" w:eastAsia="en-US" w:bidi="ar-SA"/>
      </w:rPr>
    </w:lvl>
    <w:lvl w:ilvl="6" w:tplc="A1129C76">
      <w:numFmt w:val="bullet"/>
      <w:lvlText w:val="•"/>
      <w:lvlJc w:val="left"/>
      <w:pPr>
        <w:ind w:left="3208" w:hanging="257"/>
      </w:pPr>
      <w:rPr>
        <w:rFonts w:hint="default"/>
        <w:lang w:val="uk-UA" w:eastAsia="en-US" w:bidi="ar-SA"/>
      </w:rPr>
    </w:lvl>
    <w:lvl w:ilvl="7" w:tplc="FA4263C4">
      <w:numFmt w:val="bullet"/>
      <w:lvlText w:val="•"/>
      <w:lvlJc w:val="left"/>
      <w:pPr>
        <w:ind w:left="3745" w:hanging="257"/>
      </w:pPr>
      <w:rPr>
        <w:rFonts w:hint="default"/>
        <w:lang w:val="uk-UA" w:eastAsia="en-US" w:bidi="ar-SA"/>
      </w:rPr>
    </w:lvl>
    <w:lvl w:ilvl="8" w:tplc="AD68F134">
      <w:numFmt w:val="bullet"/>
      <w:lvlText w:val="•"/>
      <w:lvlJc w:val="left"/>
      <w:pPr>
        <w:ind w:left="4283" w:hanging="257"/>
      </w:pPr>
      <w:rPr>
        <w:rFonts w:hint="default"/>
        <w:lang w:val="uk-UA" w:eastAsia="en-US" w:bidi="ar-SA"/>
      </w:rPr>
    </w:lvl>
  </w:abstractNum>
  <w:abstractNum w:abstractNumId="13" w15:restartNumberingAfterBreak="0">
    <w:nsid w:val="07D517FE"/>
    <w:multiLevelType w:val="hybridMultilevel"/>
    <w:tmpl w:val="1E586284"/>
    <w:lvl w:ilvl="0" w:tplc="ECB458BC">
      <w:start w:val="2"/>
      <w:numFmt w:val="lowerLetter"/>
      <w:lvlText w:val="%1)"/>
      <w:lvlJc w:val="left"/>
      <w:pPr>
        <w:ind w:left="440" w:hanging="271"/>
      </w:pPr>
      <w:rPr>
        <w:rFonts w:ascii="Times New Roman" w:eastAsia="Times New Roman" w:hAnsi="Times New Roman" w:cs="Times New Roman" w:hint="default"/>
        <w:spacing w:val="0"/>
        <w:w w:val="99"/>
        <w:sz w:val="20"/>
        <w:szCs w:val="20"/>
        <w:lang w:val="uk-UA" w:eastAsia="en-US" w:bidi="ar-SA"/>
      </w:rPr>
    </w:lvl>
    <w:lvl w:ilvl="1" w:tplc="B066D5A4">
      <w:numFmt w:val="bullet"/>
      <w:lvlText w:val="•"/>
      <w:lvlJc w:val="left"/>
      <w:pPr>
        <w:ind w:left="908" w:hanging="271"/>
      </w:pPr>
      <w:rPr>
        <w:rFonts w:hint="default"/>
        <w:lang w:val="uk-UA" w:eastAsia="en-US" w:bidi="ar-SA"/>
      </w:rPr>
    </w:lvl>
    <w:lvl w:ilvl="2" w:tplc="8E7A6B96">
      <w:numFmt w:val="bullet"/>
      <w:lvlText w:val="•"/>
      <w:lvlJc w:val="left"/>
      <w:pPr>
        <w:ind w:left="1377" w:hanging="271"/>
      </w:pPr>
      <w:rPr>
        <w:rFonts w:hint="default"/>
        <w:lang w:val="uk-UA" w:eastAsia="en-US" w:bidi="ar-SA"/>
      </w:rPr>
    </w:lvl>
    <w:lvl w:ilvl="3" w:tplc="F26825E8">
      <w:numFmt w:val="bullet"/>
      <w:lvlText w:val="•"/>
      <w:lvlJc w:val="left"/>
      <w:pPr>
        <w:ind w:left="1845" w:hanging="271"/>
      </w:pPr>
      <w:rPr>
        <w:rFonts w:hint="default"/>
        <w:lang w:val="uk-UA" w:eastAsia="en-US" w:bidi="ar-SA"/>
      </w:rPr>
    </w:lvl>
    <w:lvl w:ilvl="4" w:tplc="84A05DA4">
      <w:numFmt w:val="bullet"/>
      <w:lvlText w:val="•"/>
      <w:lvlJc w:val="left"/>
      <w:pPr>
        <w:ind w:left="2314" w:hanging="271"/>
      </w:pPr>
      <w:rPr>
        <w:rFonts w:hint="default"/>
        <w:lang w:val="uk-UA" w:eastAsia="en-US" w:bidi="ar-SA"/>
      </w:rPr>
    </w:lvl>
    <w:lvl w:ilvl="5" w:tplc="D63688B0">
      <w:numFmt w:val="bullet"/>
      <w:lvlText w:val="•"/>
      <w:lvlJc w:val="left"/>
      <w:pPr>
        <w:ind w:left="2782" w:hanging="271"/>
      </w:pPr>
      <w:rPr>
        <w:rFonts w:hint="default"/>
        <w:lang w:val="uk-UA" w:eastAsia="en-US" w:bidi="ar-SA"/>
      </w:rPr>
    </w:lvl>
    <w:lvl w:ilvl="6" w:tplc="619E6B78">
      <w:numFmt w:val="bullet"/>
      <w:lvlText w:val="•"/>
      <w:lvlJc w:val="left"/>
      <w:pPr>
        <w:ind w:left="3251" w:hanging="271"/>
      </w:pPr>
      <w:rPr>
        <w:rFonts w:hint="default"/>
        <w:lang w:val="uk-UA" w:eastAsia="en-US" w:bidi="ar-SA"/>
      </w:rPr>
    </w:lvl>
    <w:lvl w:ilvl="7" w:tplc="54FA5B2C">
      <w:numFmt w:val="bullet"/>
      <w:lvlText w:val="•"/>
      <w:lvlJc w:val="left"/>
      <w:pPr>
        <w:ind w:left="3719" w:hanging="271"/>
      </w:pPr>
      <w:rPr>
        <w:rFonts w:hint="default"/>
        <w:lang w:val="uk-UA" w:eastAsia="en-US" w:bidi="ar-SA"/>
      </w:rPr>
    </w:lvl>
    <w:lvl w:ilvl="8" w:tplc="13CE4E58">
      <w:numFmt w:val="bullet"/>
      <w:lvlText w:val="•"/>
      <w:lvlJc w:val="left"/>
      <w:pPr>
        <w:ind w:left="4188" w:hanging="271"/>
      </w:pPr>
      <w:rPr>
        <w:rFonts w:hint="default"/>
        <w:lang w:val="uk-UA" w:eastAsia="en-US" w:bidi="ar-SA"/>
      </w:rPr>
    </w:lvl>
  </w:abstractNum>
  <w:abstractNum w:abstractNumId="14" w15:restartNumberingAfterBreak="0">
    <w:nsid w:val="08490C2F"/>
    <w:multiLevelType w:val="hybridMultilevel"/>
    <w:tmpl w:val="4192F642"/>
    <w:lvl w:ilvl="0" w:tplc="C7B88E86">
      <w:start w:val="2"/>
      <w:numFmt w:val="lowerLetter"/>
      <w:lvlText w:val="%1)"/>
      <w:lvlJc w:val="left"/>
      <w:pPr>
        <w:ind w:left="440" w:hanging="242"/>
      </w:pPr>
      <w:rPr>
        <w:rFonts w:ascii="Times New Roman" w:eastAsia="Times New Roman" w:hAnsi="Times New Roman" w:cs="Times New Roman" w:hint="default"/>
        <w:spacing w:val="0"/>
        <w:w w:val="99"/>
        <w:sz w:val="20"/>
        <w:szCs w:val="20"/>
        <w:lang w:val="uk-UA" w:eastAsia="en-US" w:bidi="ar-SA"/>
      </w:rPr>
    </w:lvl>
    <w:lvl w:ilvl="1" w:tplc="320E9940">
      <w:numFmt w:val="bullet"/>
      <w:lvlText w:val="•"/>
      <w:lvlJc w:val="left"/>
      <w:pPr>
        <w:ind w:left="908" w:hanging="242"/>
      </w:pPr>
      <w:rPr>
        <w:rFonts w:hint="default"/>
        <w:lang w:val="uk-UA" w:eastAsia="en-US" w:bidi="ar-SA"/>
      </w:rPr>
    </w:lvl>
    <w:lvl w:ilvl="2" w:tplc="D4708DC4">
      <w:numFmt w:val="bullet"/>
      <w:lvlText w:val="•"/>
      <w:lvlJc w:val="left"/>
      <w:pPr>
        <w:ind w:left="1376" w:hanging="242"/>
      </w:pPr>
      <w:rPr>
        <w:rFonts w:hint="default"/>
        <w:lang w:val="uk-UA" w:eastAsia="en-US" w:bidi="ar-SA"/>
      </w:rPr>
    </w:lvl>
    <w:lvl w:ilvl="3" w:tplc="00506D40">
      <w:numFmt w:val="bullet"/>
      <w:lvlText w:val="•"/>
      <w:lvlJc w:val="left"/>
      <w:pPr>
        <w:ind w:left="1845" w:hanging="242"/>
      </w:pPr>
      <w:rPr>
        <w:rFonts w:hint="default"/>
        <w:lang w:val="uk-UA" w:eastAsia="en-US" w:bidi="ar-SA"/>
      </w:rPr>
    </w:lvl>
    <w:lvl w:ilvl="4" w:tplc="A66ABE90">
      <w:numFmt w:val="bullet"/>
      <w:lvlText w:val="•"/>
      <w:lvlJc w:val="left"/>
      <w:pPr>
        <w:ind w:left="2313" w:hanging="242"/>
      </w:pPr>
      <w:rPr>
        <w:rFonts w:hint="default"/>
        <w:lang w:val="uk-UA" w:eastAsia="en-US" w:bidi="ar-SA"/>
      </w:rPr>
    </w:lvl>
    <w:lvl w:ilvl="5" w:tplc="15C2006A">
      <w:numFmt w:val="bullet"/>
      <w:lvlText w:val="•"/>
      <w:lvlJc w:val="left"/>
      <w:pPr>
        <w:ind w:left="2782" w:hanging="242"/>
      </w:pPr>
      <w:rPr>
        <w:rFonts w:hint="default"/>
        <w:lang w:val="uk-UA" w:eastAsia="en-US" w:bidi="ar-SA"/>
      </w:rPr>
    </w:lvl>
    <w:lvl w:ilvl="6" w:tplc="2ED61336">
      <w:numFmt w:val="bullet"/>
      <w:lvlText w:val="•"/>
      <w:lvlJc w:val="left"/>
      <w:pPr>
        <w:ind w:left="3250" w:hanging="242"/>
      </w:pPr>
      <w:rPr>
        <w:rFonts w:hint="default"/>
        <w:lang w:val="uk-UA" w:eastAsia="en-US" w:bidi="ar-SA"/>
      </w:rPr>
    </w:lvl>
    <w:lvl w:ilvl="7" w:tplc="5EF2F612">
      <w:numFmt w:val="bullet"/>
      <w:lvlText w:val="•"/>
      <w:lvlJc w:val="left"/>
      <w:pPr>
        <w:ind w:left="3719" w:hanging="242"/>
      </w:pPr>
      <w:rPr>
        <w:rFonts w:hint="default"/>
        <w:lang w:val="uk-UA" w:eastAsia="en-US" w:bidi="ar-SA"/>
      </w:rPr>
    </w:lvl>
    <w:lvl w:ilvl="8" w:tplc="BFBC0ECA">
      <w:numFmt w:val="bullet"/>
      <w:lvlText w:val="•"/>
      <w:lvlJc w:val="left"/>
      <w:pPr>
        <w:ind w:left="4187" w:hanging="242"/>
      </w:pPr>
      <w:rPr>
        <w:rFonts w:hint="default"/>
        <w:lang w:val="uk-UA" w:eastAsia="en-US" w:bidi="ar-SA"/>
      </w:rPr>
    </w:lvl>
  </w:abstractNum>
  <w:abstractNum w:abstractNumId="15" w15:restartNumberingAfterBreak="0">
    <w:nsid w:val="09B2355C"/>
    <w:multiLevelType w:val="hybridMultilevel"/>
    <w:tmpl w:val="B5749B4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0AEA5456"/>
    <w:multiLevelType w:val="hybridMultilevel"/>
    <w:tmpl w:val="64161C4A"/>
    <w:lvl w:ilvl="0" w:tplc="AFFCE75E">
      <w:start w:val="1"/>
      <w:numFmt w:val="decimal"/>
      <w:lvlText w:val="%1."/>
      <w:lvlJc w:val="left"/>
      <w:pPr>
        <w:ind w:left="582" w:hanging="152"/>
      </w:pPr>
      <w:rPr>
        <w:rFonts w:ascii="Times New Roman" w:eastAsia="Times New Roman" w:hAnsi="Times New Roman" w:cs="Times New Roman" w:hint="default"/>
        <w:spacing w:val="-2"/>
        <w:w w:val="99"/>
        <w:sz w:val="18"/>
        <w:szCs w:val="18"/>
        <w:lang w:val="uk-UA" w:eastAsia="en-US" w:bidi="ar-SA"/>
      </w:rPr>
    </w:lvl>
    <w:lvl w:ilvl="1" w:tplc="AF4EDB96">
      <w:numFmt w:val="bullet"/>
      <w:lvlText w:val="•"/>
      <w:lvlJc w:val="left"/>
      <w:pPr>
        <w:ind w:left="1034" w:hanging="152"/>
      </w:pPr>
      <w:rPr>
        <w:rFonts w:hint="default"/>
        <w:lang w:val="uk-UA" w:eastAsia="en-US" w:bidi="ar-SA"/>
      </w:rPr>
    </w:lvl>
    <w:lvl w:ilvl="2" w:tplc="C88AE0D8">
      <w:numFmt w:val="bullet"/>
      <w:lvlText w:val="•"/>
      <w:lvlJc w:val="left"/>
      <w:pPr>
        <w:ind w:left="1489" w:hanging="152"/>
      </w:pPr>
      <w:rPr>
        <w:rFonts w:hint="default"/>
        <w:lang w:val="uk-UA" w:eastAsia="en-US" w:bidi="ar-SA"/>
      </w:rPr>
    </w:lvl>
    <w:lvl w:ilvl="3" w:tplc="7046C750">
      <w:numFmt w:val="bullet"/>
      <w:lvlText w:val="•"/>
      <w:lvlJc w:val="left"/>
      <w:pPr>
        <w:ind w:left="1943" w:hanging="152"/>
      </w:pPr>
      <w:rPr>
        <w:rFonts w:hint="default"/>
        <w:lang w:val="uk-UA" w:eastAsia="en-US" w:bidi="ar-SA"/>
      </w:rPr>
    </w:lvl>
    <w:lvl w:ilvl="4" w:tplc="F7AA01CA">
      <w:numFmt w:val="bullet"/>
      <w:lvlText w:val="•"/>
      <w:lvlJc w:val="left"/>
      <w:pPr>
        <w:ind w:left="2398" w:hanging="152"/>
      </w:pPr>
      <w:rPr>
        <w:rFonts w:hint="default"/>
        <w:lang w:val="uk-UA" w:eastAsia="en-US" w:bidi="ar-SA"/>
      </w:rPr>
    </w:lvl>
    <w:lvl w:ilvl="5" w:tplc="0B62F52A">
      <w:numFmt w:val="bullet"/>
      <w:lvlText w:val="•"/>
      <w:lvlJc w:val="left"/>
      <w:pPr>
        <w:ind w:left="2852" w:hanging="152"/>
      </w:pPr>
      <w:rPr>
        <w:rFonts w:hint="default"/>
        <w:lang w:val="uk-UA" w:eastAsia="en-US" w:bidi="ar-SA"/>
      </w:rPr>
    </w:lvl>
    <w:lvl w:ilvl="6" w:tplc="D946F458">
      <w:numFmt w:val="bullet"/>
      <w:lvlText w:val="•"/>
      <w:lvlJc w:val="left"/>
      <w:pPr>
        <w:ind w:left="3307" w:hanging="152"/>
      </w:pPr>
      <w:rPr>
        <w:rFonts w:hint="default"/>
        <w:lang w:val="uk-UA" w:eastAsia="en-US" w:bidi="ar-SA"/>
      </w:rPr>
    </w:lvl>
    <w:lvl w:ilvl="7" w:tplc="60343C4A">
      <w:numFmt w:val="bullet"/>
      <w:lvlText w:val="•"/>
      <w:lvlJc w:val="left"/>
      <w:pPr>
        <w:ind w:left="3761" w:hanging="152"/>
      </w:pPr>
      <w:rPr>
        <w:rFonts w:hint="default"/>
        <w:lang w:val="uk-UA" w:eastAsia="en-US" w:bidi="ar-SA"/>
      </w:rPr>
    </w:lvl>
    <w:lvl w:ilvl="8" w:tplc="75E2D1F0">
      <w:numFmt w:val="bullet"/>
      <w:lvlText w:val="•"/>
      <w:lvlJc w:val="left"/>
      <w:pPr>
        <w:ind w:left="4216" w:hanging="152"/>
      </w:pPr>
      <w:rPr>
        <w:rFonts w:hint="default"/>
        <w:lang w:val="uk-UA" w:eastAsia="en-US" w:bidi="ar-SA"/>
      </w:rPr>
    </w:lvl>
  </w:abstractNum>
  <w:abstractNum w:abstractNumId="17" w15:restartNumberingAfterBreak="0">
    <w:nsid w:val="0AFA5655"/>
    <w:multiLevelType w:val="hybridMultilevel"/>
    <w:tmpl w:val="7990033E"/>
    <w:lvl w:ilvl="0" w:tplc="CE485FBA">
      <w:start w:val="1"/>
      <w:numFmt w:val="decimal"/>
      <w:lvlText w:val="%1."/>
      <w:lvlJc w:val="left"/>
      <w:pPr>
        <w:ind w:left="316" w:hanging="297"/>
        <w:jc w:val="right"/>
      </w:pPr>
      <w:rPr>
        <w:rFonts w:ascii="Times New Roman" w:eastAsia="Times New Roman" w:hAnsi="Times New Roman" w:cs="Times New Roman" w:hint="default"/>
        <w:spacing w:val="0"/>
        <w:w w:val="99"/>
        <w:sz w:val="20"/>
        <w:szCs w:val="20"/>
        <w:lang w:val="uk-UA" w:eastAsia="en-US" w:bidi="ar-SA"/>
      </w:rPr>
    </w:lvl>
    <w:lvl w:ilvl="1" w:tplc="C554C088">
      <w:numFmt w:val="bullet"/>
      <w:lvlText w:val="•"/>
      <w:lvlJc w:val="left"/>
      <w:pPr>
        <w:ind w:left="824" w:hanging="297"/>
      </w:pPr>
      <w:rPr>
        <w:rFonts w:hint="default"/>
        <w:lang w:val="uk-UA" w:eastAsia="en-US" w:bidi="ar-SA"/>
      </w:rPr>
    </w:lvl>
    <w:lvl w:ilvl="2" w:tplc="BEF40CBA">
      <w:numFmt w:val="bullet"/>
      <w:lvlText w:val="•"/>
      <w:lvlJc w:val="left"/>
      <w:pPr>
        <w:ind w:left="1328" w:hanging="297"/>
      </w:pPr>
      <w:rPr>
        <w:rFonts w:hint="default"/>
        <w:lang w:val="uk-UA" w:eastAsia="en-US" w:bidi="ar-SA"/>
      </w:rPr>
    </w:lvl>
    <w:lvl w:ilvl="3" w:tplc="ACB2D27A">
      <w:numFmt w:val="bullet"/>
      <w:lvlText w:val="•"/>
      <w:lvlJc w:val="left"/>
      <w:pPr>
        <w:ind w:left="1832" w:hanging="297"/>
      </w:pPr>
      <w:rPr>
        <w:rFonts w:hint="default"/>
        <w:lang w:val="uk-UA" w:eastAsia="en-US" w:bidi="ar-SA"/>
      </w:rPr>
    </w:lvl>
    <w:lvl w:ilvl="4" w:tplc="3128217C">
      <w:numFmt w:val="bullet"/>
      <w:lvlText w:val="•"/>
      <w:lvlJc w:val="left"/>
      <w:pPr>
        <w:ind w:left="2336" w:hanging="297"/>
      </w:pPr>
      <w:rPr>
        <w:rFonts w:hint="default"/>
        <w:lang w:val="uk-UA" w:eastAsia="en-US" w:bidi="ar-SA"/>
      </w:rPr>
    </w:lvl>
    <w:lvl w:ilvl="5" w:tplc="D7BA7DBA">
      <w:numFmt w:val="bullet"/>
      <w:lvlText w:val="•"/>
      <w:lvlJc w:val="left"/>
      <w:pPr>
        <w:ind w:left="2840" w:hanging="297"/>
      </w:pPr>
      <w:rPr>
        <w:rFonts w:hint="default"/>
        <w:lang w:val="uk-UA" w:eastAsia="en-US" w:bidi="ar-SA"/>
      </w:rPr>
    </w:lvl>
    <w:lvl w:ilvl="6" w:tplc="CAFA976E">
      <w:numFmt w:val="bullet"/>
      <w:lvlText w:val="•"/>
      <w:lvlJc w:val="left"/>
      <w:pPr>
        <w:ind w:left="3344" w:hanging="297"/>
      </w:pPr>
      <w:rPr>
        <w:rFonts w:hint="default"/>
        <w:lang w:val="uk-UA" w:eastAsia="en-US" w:bidi="ar-SA"/>
      </w:rPr>
    </w:lvl>
    <w:lvl w:ilvl="7" w:tplc="ECA04DCC">
      <w:numFmt w:val="bullet"/>
      <w:lvlText w:val="•"/>
      <w:lvlJc w:val="left"/>
      <w:pPr>
        <w:ind w:left="3848" w:hanging="297"/>
      </w:pPr>
      <w:rPr>
        <w:rFonts w:hint="default"/>
        <w:lang w:val="uk-UA" w:eastAsia="en-US" w:bidi="ar-SA"/>
      </w:rPr>
    </w:lvl>
    <w:lvl w:ilvl="8" w:tplc="246C9064">
      <w:numFmt w:val="bullet"/>
      <w:lvlText w:val="•"/>
      <w:lvlJc w:val="left"/>
      <w:pPr>
        <w:ind w:left="4352" w:hanging="297"/>
      </w:pPr>
      <w:rPr>
        <w:rFonts w:hint="default"/>
        <w:lang w:val="uk-UA" w:eastAsia="en-US" w:bidi="ar-SA"/>
      </w:rPr>
    </w:lvl>
  </w:abstractNum>
  <w:abstractNum w:abstractNumId="18" w15:restartNumberingAfterBreak="0">
    <w:nsid w:val="0B086AB8"/>
    <w:multiLevelType w:val="hybridMultilevel"/>
    <w:tmpl w:val="247A9D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0CF96D53"/>
    <w:multiLevelType w:val="hybridMultilevel"/>
    <w:tmpl w:val="D618E818"/>
    <w:lvl w:ilvl="0" w:tplc="6FB846E8">
      <w:numFmt w:val="bullet"/>
      <w:lvlText w:val="-"/>
      <w:lvlJc w:val="left"/>
      <w:pPr>
        <w:ind w:left="800" w:hanging="360"/>
      </w:pPr>
      <w:rPr>
        <w:rFonts w:ascii="Times New Roman" w:eastAsia="Times New Roman" w:hAnsi="Times New Roman" w:cs="Times New Roman" w:hint="default"/>
        <w:w w:val="99"/>
        <w:sz w:val="20"/>
        <w:szCs w:val="20"/>
        <w:lang w:val="uk-UA" w:eastAsia="en-US" w:bidi="ar-SA"/>
      </w:rPr>
    </w:lvl>
    <w:lvl w:ilvl="1" w:tplc="A572755A">
      <w:numFmt w:val="bullet"/>
      <w:lvlText w:val="•"/>
      <w:lvlJc w:val="left"/>
      <w:pPr>
        <w:ind w:left="1772" w:hanging="360"/>
      </w:pPr>
      <w:rPr>
        <w:rFonts w:hint="default"/>
        <w:lang w:val="uk-UA" w:eastAsia="en-US" w:bidi="ar-SA"/>
      </w:rPr>
    </w:lvl>
    <w:lvl w:ilvl="2" w:tplc="99D052E0">
      <w:numFmt w:val="bullet"/>
      <w:lvlText w:val="•"/>
      <w:lvlJc w:val="left"/>
      <w:pPr>
        <w:ind w:left="2745" w:hanging="360"/>
      </w:pPr>
      <w:rPr>
        <w:rFonts w:hint="default"/>
        <w:lang w:val="uk-UA" w:eastAsia="en-US" w:bidi="ar-SA"/>
      </w:rPr>
    </w:lvl>
    <w:lvl w:ilvl="3" w:tplc="C0C831F4">
      <w:numFmt w:val="bullet"/>
      <w:lvlText w:val="•"/>
      <w:lvlJc w:val="left"/>
      <w:pPr>
        <w:ind w:left="3717" w:hanging="360"/>
      </w:pPr>
      <w:rPr>
        <w:rFonts w:hint="default"/>
        <w:lang w:val="uk-UA" w:eastAsia="en-US" w:bidi="ar-SA"/>
      </w:rPr>
    </w:lvl>
    <w:lvl w:ilvl="4" w:tplc="E62CCD10">
      <w:numFmt w:val="bullet"/>
      <w:lvlText w:val="•"/>
      <w:lvlJc w:val="left"/>
      <w:pPr>
        <w:ind w:left="4690" w:hanging="360"/>
      </w:pPr>
      <w:rPr>
        <w:rFonts w:hint="default"/>
        <w:lang w:val="uk-UA" w:eastAsia="en-US" w:bidi="ar-SA"/>
      </w:rPr>
    </w:lvl>
    <w:lvl w:ilvl="5" w:tplc="98D8082E">
      <w:numFmt w:val="bullet"/>
      <w:lvlText w:val="•"/>
      <w:lvlJc w:val="left"/>
      <w:pPr>
        <w:ind w:left="5663" w:hanging="360"/>
      </w:pPr>
      <w:rPr>
        <w:rFonts w:hint="default"/>
        <w:lang w:val="uk-UA" w:eastAsia="en-US" w:bidi="ar-SA"/>
      </w:rPr>
    </w:lvl>
    <w:lvl w:ilvl="6" w:tplc="33D4D1F8">
      <w:numFmt w:val="bullet"/>
      <w:lvlText w:val="•"/>
      <w:lvlJc w:val="left"/>
      <w:pPr>
        <w:ind w:left="6635" w:hanging="360"/>
      </w:pPr>
      <w:rPr>
        <w:rFonts w:hint="default"/>
        <w:lang w:val="uk-UA" w:eastAsia="en-US" w:bidi="ar-SA"/>
      </w:rPr>
    </w:lvl>
    <w:lvl w:ilvl="7" w:tplc="93EA0DEA">
      <w:numFmt w:val="bullet"/>
      <w:lvlText w:val="•"/>
      <w:lvlJc w:val="left"/>
      <w:pPr>
        <w:ind w:left="7608" w:hanging="360"/>
      </w:pPr>
      <w:rPr>
        <w:rFonts w:hint="default"/>
        <w:lang w:val="uk-UA" w:eastAsia="en-US" w:bidi="ar-SA"/>
      </w:rPr>
    </w:lvl>
    <w:lvl w:ilvl="8" w:tplc="265260E4">
      <w:numFmt w:val="bullet"/>
      <w:lvlText w:val="•"/>
      <w:lvlJc w:val="left"/>
      <w:pPr>
        <w:ind w:left="8581" w:hanging="360"/>
      </w:pPr>
      <w:rPr>
        <w:rFonts w:hint="default"/>
        <w:lang w:val="uk-UA" w:eastAsia="en-US" w:bidi="ar-SA"/>
      </w:rPr>
    </w:lvl>
  </w:abstractNum>
  <w:abstractNum w:abstractNumId="20" w15:restartNumberingAfterBreak="0">
    <w:nsid w:val="0D3D10D1"/>
    <w:multiLevelType w:val="hybridMultilevel"/>
    <w:tmpl w:val="9438C632"/>
    <w:lvl w:ilvl="0" w:tplc="EDA46EA2">
      <w:start w:val="1"/>
      <w:numFmt w:val="decimal"/>
      <w:lvlText w:val="%1)"/>
      <w:lvlJc w:val="left"/>
      <w:pPr>
        <w:ind w:left="440" w:hanging="249"/>
      </w:pPr>
      <w:rPr>
        <w:rFonts w:ascii="Times New Roman" w:eastAsia="Times New Roman" w:hAnsi="Times New Roman" w:cs="Times New Roman" w:hint="default"/>
        <w:spacing w:val="0"/>
        <w:w w:val="99"/>
        <w:sz w:val="20"/>
        <w:szCs w:val="20"/>
        <w:lang w:val="uk-UA" w:eastAsia="en-US" w:bidi="ar-SA"/>
      </w:rPr>
    </w:lvl>
    <w:lvl w:ilvl="1" w:tplc="D792B7F2">
      <w:numFmt w:val="bullet"/>
      <w:lvlText w:val="•"/>
      <w:lvlJc w:val="left"/>
      <w:pPr>
        <w:ind w:left="908" w:hanging="249"/>
      </w:pPr>
      <w:rPr>
        <w:rFonts w:hint="default"/>
        <w:lang w:val="uk-UA" w:eastAsia="en-US" w:bidi="ar-SA"/>
      </w:rPr>
    </w:lvl>
    <w:lvl w:ilvl="2" w:tplc="68CA6AC8">
      <w:numFmt w:val="bullet"/>
      <w:lvlText w:val="•"/>
      <w:lvlJc w:val="left"/>
      <w:pPr>
        <w:ind w:left="1376" w:hanging="249"/>
      </w:pPr>
      <w:rPr>
        <w:rFonts w:hint="default"/>
        <w:lang w:val="uk-UA" w:eastAsia="en-US" w:bidi="ar-SA"/>
      </w:rPr>
    </w:lvl>
    <w:lvl w:ilvl="3" w:tplc="E6C6F786">
      <w:numFmt w:val="bullet"/>
      <w:lvlText w:val="•"/>
      <w:lvlJc w:val="left"/>
      <w:pPr>
        <w:ind w:left="1845" w:hanging="249"/>
      </w:pPr>
      <w:rPr>
        <w:rFonts w:hint="default"/>
        <w:lang w:val="uk-UA" w:eastAsia="en-US" w:bidi="ar-SA"/>
      </w:rPr>
    </w:lvl>
    <w:lvl w:ilvl="4" w:tplc="6838C8FA">
      <w:numFmt w:val="bullet"/>
      <w:lvlText w:val="•"/>
      <w:lvlJc w:val="left"/>
      <w:pPr>
        <w:ind w:left="2313" w:hanging="249"/>
      </w:pPr>
      <w:rPr>
        <w:rFonts w:hint="default"/>
        <w:lang w:val="uk-UA" w:eastAsia="en-US" w:bidi="ar-SA"/>
      </w:rPr>
    </w:lvl>
    <w:lvl w:ilvl="5" w:tplc="DC5E8CE4">
      <w:numFmt w:val="bullet"/>
      <w:lvlText w:val="•"/>
      <w:lvlJc w:val="left"/>
      <w:pPr>
        <w:ind w:left="2781" w:hanging="249"/>
      </w:pPr>
      <w:rPr>
        <w:rFonts w:hint="default"/>
        <w:lang w:val="uk-UA" w:eastAsia="en-US" w:bidi="ar-SA"/>
      </w:rPr>
    </w:lvl>
    <w:lvl w:ilvl="6" w:tplc="9D0C6CB4">
      <w:numFmt w:val="bullet"/>
      <w:lvlText w:val="•"/>
      <w:lvlJc w:val="left"/>
      <w:pPr>
        <w:ind w:left="3250" w:hanging="249"/>
      </w:pPr>
      <w:rPr>
        <w:rFonts w:hint="default"/>
        <w:lang w:val="uk-UA" w:eastAsia="en-US" w:bidi="ar-SA"/>
      </w:rPr>
    </w:lvl>
    <w:lvl w:ilvl="7" w:tplc="CBC26FCC">
      <w:numFmt w:val="bullet"/>
      <w:lvlText w:val="•"/>
      <w:lvlJc w:val="left"/>
      <w:pPr>
        <w:ind w:left="3718" w:hanging="249"/>
      </w:pPr>
      <w:rPr>
        <w:rFonts w:hint="default"/>
        <w:lang w:val="uk-UA" w:eastAsia="en-US" w:bidi="ar-SA"/>
      </w:rPr>
    </w:lvl>
    <w:lvl w:ilvl="8" w:tplc="6C127C32">
      <w:numFmt w:val="bullet"/>
      <w:lvlText w:val="•"/>
      <w:lvlJc w:val="left"/>
      <w:pPr>
        <w:ind w:left="4187" w:hanging="249"/>
      </w:pPr>
      <w:rPr>
        <w:rFonts w:hint="default"/>
        <w:lang w:val="uk-UA" w:eastAsia="en-US" w:bidi="ar-SA"/>
      </w:rPr>
    </w:lvl>
  </w:abstractNum>
  <w:abstractNum w:abstractNumId="21" w15:restartNumberingAfterBreak="0">
    <w:nsid w:val="0E660F43"/>
    <w:multiLevelType w:val="hybridMultilevel"/>
    <w:tmpl w:val="721AF128"/>
    <w:lvl w:ilvl="0" w:tplc="0FE66CD0">
      <w:start w:val="1"/>
      <w:numFmt w:val="decimal"/>
      <w:lvlText w:val="%1."/>
      <w:lvlJc w:val="left"/>
      <w:pPr>
        <w:ind w:left="677" w:hanging="360"/>
      </w:pPr>
      <w:rPr>
        <w:rFonts w:ascii="Times New Roman" w:eastAsia="Times New Roman" w:hAnsi="Times New Roman" w:cs="Times New Roman" w:hint="default"/>
        <w:spacing w:val="0"/>
        <w:w w:val="99"/>
        <w:sz w:val="20"/>
        <w:szCs w:val="20"/>
        <w:lang w:val="uk-UA" w:eastAsia="en-US" w:bidi="ar-SA"/>
      </w:rPr>
    </w:lvl>
    <w:lvl w:ilvl="1" w:tplc="C456AC82">
      <w:start w:val="1"/>
      <w:numFmt w:val="lowerLetter"/>
      <w:lvlText w:val="%2)"/>
      <w:lvlJc w:val="left"/>
      <w:pPr>
        <w:ind w:left="440" w:hanging="216"/>
      </w:pPr>
      <w:rPr>
        <w:rFonts w:ascii="Times New Roman" w:eastAsia="Times New Roman" w:hAnsi="Times New Roman" w:cs="Times New Roman" w:hint="default"/>
        <w:w w:val="99"/>
        <w:sz w:val="20"/>
        <w:szCs w:val="20"/>
        <w:lang w:val="uk-UA" w:eastAsia="en-US" w:bidi="ar-SA"/>
      </w:rPr>
    </w:lvl>
    <w:lvl w:ilvl="2" w:tplc="73ECA1DC">
      <w:numFmt w:val="bullet"/>
      <w:lvlText w:val="•"/>
      <w:lvlJc w:val="left"/>
      <w:pPr>
        <w:ind w:left="600" w:hanging="216"/>
      </w:pPr>
      <w:rPr>
        <w:rFonts w:hint="default"/>
        <w:lang w:val="uk-UA" w:eastAsia="en-US" w:bidi="ar-SA"/>
      </w:rPr>
    </w:lvl>
    <w:lvl w:ilvl="3" w:tplc="E81E5A36">
      <w:numFmt w:val="bullet"/>
      <w:lvlText w:val="•"/>
      <w:lvlJc w:val="left"/>
      <w:pPr>
        <w:ind w:left="520" w:hanging="216"/>
      </w:pPr>
      <w:rPr>
        <w:rFonts w:hint="default"/>
        <w:lang w:val="uk-UA" w:eastAsia="en-US" w:bidi="ar-SA"/>
      </w:rPr>
    </w:lvl>
    <w:lvl w:ilvl="4" w:tplc="41829D92">
      <w:numFmt w:val="bullet"/>
      <w:lvlText w:val="•"/>
      <w:lvlJc w:val="left"/>
      <w:pPr>
        <w:ind w:left="440" w:hanging="216"/>
      </w:pPr>
      <w:rPr>
        <w:rFonts w:hint="default"/>
        <w:lang w:val="uk-UA" w:eastAsia="en-US" w:bidi="ar-SA"/>
      </w:rPr>
    </w:lvl>
    <w:lvl w:ilvl="5" w:tplc="91306EA0">
      <w:numFmt w:val="bullet"/>
      <w:lvlText w:val="•"/>
      <w:lvlJc w:val="left"/>
      <w:pPr>
        <w:ind w:left="360" w:hanging="216"/>
      </w:pPr>
      <w:rPr>
        <w:rFonts w:hint="default"/>
        <w:lang w:val="uk-UA" w:eastAsia="en-US" w:bidi="ar-SA"/>
      </w:rPr>
    </w:lvl>
    <w:lvl w:ilvl="6" w:tplc="47866550">
      <w:numFmt w:val="bullet"/>
      <w:lvlText w:val="•"/>
      <w:lvlJc w:val="left"/>
      <w:pPr>
        <w:ind w:left="281" w:hanging="216"/>
      </w:pPr>
      <w:rPr>
        <w:rFonts w:hint="default"/>
        <w:lang w:val="uk-UA" w:eastAsia="en-US" w:bidi="ar-SA"/>
      </w:rPr>
    </w:lvl>
    <w:lvl w:ilvl="7" w:tplc="4E28D522">
      <w:numFmt w:val="bullet"/>
      <w:lvlText w:val="•"/>
      <w:lvlJc w:val="left"/>
      <w:pPr>
        <w:ind w:left="201" w:hanging="216"/>
      </w:pPr>
      <w:rPr>
        <w:rFonts w:hint="default"/>
        <w:lang w:val="uk-UA" w:eastAsia="en-US" w:bidi="ar-SA"/>
      </w:rPr>
    </w:lvl>
    <w:lvl w:ilvl="8" w:tplc="F14ECCD0">
      <w:numFmt w:val="bullet"/>
      <w:lvlText w:val="•"/>
      <w:lvlJc w:val="left"/>
      <w:pPr>
        <w:ind w:left="121" w:hanging="216"/>
      </w:pPr>
      <w:rPr>
        <w:rFonts w:hint="default"/>
        <w:lang w:val="uk-UA" w:eastAsia="en-US" w:bidi="ar-SA"/>
      </w:rPr>
    </w:lvl>
  </w:abstractNum>
  <w:abstractNum w:abstractNumId="22" w15:restartNumberingAfterBreak="0">
    <w:nsid w:val="0E9E0534"/>
    <w:multiLevelType w:val="hybridMultilevel"/>
    <w:tmpl w:val="B4A0014E"/>
    <w:lvl w:ilvl="0" w:tplc="8834D9B4">
      <w:start w:val="1"/>
      <w:numFmt w:val="decimal"/>
      <w:lvlText w:val="%1."/>
      <w:lvlJc w:val="left"/>
      <w:pPr>
        <w:ind w:left="440" w:hanging="360"/>
      </w:pPr>
      <w:rPr>
        <w:rFonts w:ascii="Times New Roman" w:eastAsia="Times New Roman" w:hAnsi="Times New Roman" w:cs="Times New Roman" w:hint="default"/>
        <w:spacing w:val="0"/>
        <w:w w:val="99"/>
        <w:sz w:val="20"/>
        <w:szCs w:val="20"/>
        <w:lang w:val="uk-UA" w:eastAsia="en-US" w:bidi="ar-SA"/>
      </w:rPr>
    </w:lvl>
    <w:lvl w:ilvl="1" w:tplc="63BCAC4C">
      <w:numFmt w:val="bullet"/>
      <w:lvlText w:val="•"/>
      <w:lvlJc w:val="left"/>
      <w:pPr>
        <w:ind w:left="908" w:hanging="360"/>
      </w:pPr>
      <w:rPr>
        <w:rFonts w:hint="default"/>
        <w:lang w:val="uk-UA" w:eastAsia="en-US" w:bidi="ar-SA"/>
      </w:rPr>
    </w:lvl>
    <w:lvl w:ilvl="2" w:tplc="6D1E7CD0">
      <w:numFmt w:val="bullet"/>
      <w:lvlText w:val="•"/>
      <w:lvlJc w:val="left"/>
      <w:pPr>
        <w:ind w:left="1377" w:hanging="360"/>
      </w:pPr>
      <w:rPr>
        <w:rFonts w:hint="default"/>
        <w:lang w:val="uk-UA" w:eastAsia="en-US" w:bidi="ar-SA"/>
      </w:rPr>
    </w:lvl>
    <w:lvl w:ilvl="3" w:tplc="CD7CBA8A">
      <w:numFmt w:val="bullet"/>
      <w:lvlText w:val="•"/>
      <w:lvlJc w:val="left"/>
      <w:pPr>
        <w:ind w:left="1846" w:hanging="360"/>
      </w:pPr>
      <w:rPr>
        <w:rFonts w:hint="default"/>
        <w:lang w:val="uk-UA" w:eastAsia="en-US" w:bidi="ar-SA"/>
      </w:rPr>
    </w:lvl>
    <w:lvl w:ilvl="4" w:tplc="E8B04228">
      <w:numFmt w:val="bullet"/>
      <w:lvlText w:val="•"/>
      <w:lvlJc w:val="left"/>
      <w:pPr>
        <w:ind w:left="2315" w:hanging="360"/>
      </w:pPr>
      <w:rPr>
        <w:rFonts w:hint="default"/>
        <w:lang w:val="uk-UA" w:eastAsia="en-US" w:bidi="ar-SA"/>
      </w:rPr>
    </w:lvl>
    <w:lvl w:ilvl="5" w:tplc="872E5EAC">
      <w:numFmt w:val="bullet"/>
      <w:lvlText w:val="•"/>
      <w:lvlJc w:val="left"/>
      <w:pPr>
        <w:ind w:left="2784" w:hanging="360"/>
      </w:pPr>
      <w:rPr>
        <w:rFonts w:hint="default"/>
        <w:lang w:val="uk-UA" w:eastAsia="en-US" w:bidi="ar-SA"/>
      </w:rPr>
    </w:lvl>
    <w:lvl w:ilvl="6" w:tplc="7B060154">
      <w:numFmt w:val="bullet"/>
      <w:lvlText w:val="•"/>
      <w:lvlJc w:val="left"/>
      <w:pPr>
        <w:ind w:left="3253" w:hanging="360"/>
      </w:pPr>
      <w:rPr>
        <w:rFonts w:hint="default"/>
        <w:lang w:val="uk-UA" w:eastAsia="en-US" w:bidi="ar-SA"/>
      </w:rPr>
    </w:lvl>
    <w:lvl w:ilvl="7" w:tplc="3398B0A4">
      <w:numFmt w:val="bullet"/>
      <w:lvlText w:val="•"/>
      <w:lvlJc w:val="left"/>
      <w:pPr>
        <w:ind w:left="3722" w:hanging="360"/>
      </w:pPr>
      <w:rPr>
        <w:rFonts w:hint="default"/>
        <w:lang w:val="uk-UA" w:eastAsia="en-US" w:bidi="ar-SA"/>
      </w:rPr>
    </w:lvl>
    <w:lvl w:ilvl="8" w:tplc="1B18B286">
      <w:numFmt w:val="bullet"/>
      <w:lvlText w:val="•"/>
      <w:lvlJc w:val="left"/>
      <w:pPr>
        <w:ind w:left="4191" w:hanging="360"/>
      </w:pPr>
      <w:rPr>
        <w:rFonts w:hint="default"/>
        <w:lang w:val="uk-UA" w:eastAsia="en-US" w:bidi="ar-SA"/>
      </w:rPr>
    </w:lvl>
  </w:abstractNum>
  <w:abstractNum w:abstractNumId="23" w15:restartNumberingAfterBreak="0">
    <w:nsid w:val="0FA314F0"/>
    <w:multiLevelType w:val="hybridMultilevel"/>
    <w:tmpl w:val="C09230DE"/>
    <w:lvl w:ilvl="0" w:tplc="FAD08F5A">
      <w:numFmt w:val="bullet"/>
      <w:lvlText w:val="-"/>
      <w:lvlJc w:val="left"/>
      <w:pPr>
        <w:ind w:left="800" w:hanging="360"/>
      </w:pPr>
      <w:rPr>
        <w:rFonts w:ascii="Times New Roman" w:eastAsia="Times New Roman" w:hAnsi="Times New Roman" w:cs="Times New Roman" w:hint="default"/>
        <w:w w:val="99"/>
        <w:sz w:val="20"/>
        <w:szCs w:val="20"/>
        <w:lang w:val="uk-UA" w:eastAsia="en-US" w:bidi="ar-SA"/>
      </w:rPr>
    </w:lvl>
    <w:lvl w:ilvl="1" w:tplc="1B167320">
      <w:numFmt w:val="bullet"/>
      <w:lvlText w:val="•"/>
      <w:lvlJc w:val="left"/>
      <w:pPr>
        <w:ind w:left="1232" w:hanging="360"/>
      </w:pPr>
      <w:rPr>
        <w:rFonts w:hint="default"/>
        <w:lang w:val="uk-UA" w:eastAsia="en-US" w:bidi="ar-SA"/>
      </w:rPr>
    </w:lvl>
    <w:lvl w:ilvl="2" w:tplc="00B21F9E">
      <w:numFmt w:val="bullet"/>
      <w:lvlText w:val="•"/>
      <w:lvlJc w:val="left"/>
      <w:pPr>
        <w:ind w:left="1664" w:hanging="360"/>
      </w:pPr>
      <w:rPr>
        <w:rFonts w:hint="default"/>
        <w:lang w:val="uk-UA" w:eastAsia="en-US" w:bidi="ar-SA"/>
      </w:rPr>
    </w:lvl>
    <w:lvl w:ilvl="3" w:tplc="36E0B93E">
      <w:numFmt w:val="bullet"/>
      <w:lvlText w:val="•"/>
      <w:lvlJc w:val="left"/>
      <w:pPr>
        <w:ind w:left="2097" w:hanging="360"/>
      </w:pPr>
      <w:rPr>
        <w:rFonts w:hint="default"/>
        <w:lang w:val="uk-UA" w:eastAsia="en-US" w:bidi="ar-SA"/>
      </w:rPr>
    </w:lvl>
    <w:lvl w:ilvl="4" w:tplc="F6B40EA2">
      <w:numFmt w:val="bullet"/>
      <w:lvlText w:val="•"/>
      <w:lvlJc w:val="left"/>
      <w:pPr>
        <w:ind w:left="2529" w:hanging="360"/>
      </w:pPr>
      <w:rPr>
        <w:rFonts w:hint="default"/>
        <w:lang w:val="uk-UA" w:eastAsia="en-US" w:bidi="ar-SA"/>
      </w:rPr>
    </w:lvl>
    <w:lvl w:ilvl="5" w:tplc="BC826E8A">
      <w:numFmt w:val="bullet"/>
      <w:lvlText w:val="•"/>
      <w:lvlJc w:val="left"/>
      <w:pPr>
        <w:ind w:left="2961" w:hanging="360"/>
      </w:pPr>
      <w:rPr>
        <w:rFonts w:hint="default"/>
        <w:lang w:val="uk-UA" w:eastAsia="en-US" w:bidi="ar-SA"/>
      </w:rPr>
    </w:lvl>
    <w:lvl w:ilvl="6" w:tplc="005C4ADC">
      <w:numFmt w:val="bullet"/>
      <w:lvlText w:val="•"/>
      <w:lvlJc w:val="left"/>
      <w:pPr>
        <w:ind w:left="3394" w:hanging="360"/>
      </w:pPr>
      <w:rPr>
        <w:rFonts w:hint="default"/>
        <w:lang w:val="uk-UA" w:eastAsia="en-US" w:bidi="ar-SA"/>
      </w:rPr>
    </w:lvl>
    <w:lvl w:ilvl="7" w:tplc="4E3CC874">
      <w:numFmt w:val="bullet"/>
      <w:lvlText w:val="•"/>
      <w:lvlJc w:val="left"/>
      <w:pPr>
        <w:ind w:left="3826" w:hanging="360"/>
      </w:pPr>
      <w:rPr>
        <w:rFonts w:hint="default"/>
        <w:lang w:val="uk-UA" w:eastAsia="en-US" w:bidi="ar-SA"/>
      </w:rPr>
    </w:lvl>
    <w:lvl w:ilvl="8" w:tplc="BFAC9F02">
      <w:numFmt w:val="bullet"/>
      <w:lvlText w:val="•"/>
      <w:lvlJc w:val="left"/>
      <w:pPr>
        <w:ind w:left="4259" w:hanging="360"/>
      </w:pPr>
      <w:rPr>
        <w:rFonts w:hint="default"/>
        <w:lang w:val="uk-UA" w:eastAsia="en-US" w:bidi="ar-SA"/>
      </w:rPr>
    </w:lvl>
  </w:abstractNum>
  <w:abstractNum w:abstractNumId="24" w15:restartNumberingAfterBreak="0">
    <w:nsid w:val="0FCC4681"/>
    <w:multiLevelType w:val="hybridMultilevel"/>
    <w:tmpl w:val="2A542BEE"/>
    <w:lvl w:ilvl="0" w:tplc="90E04A68">
      <w:numFmt w:val="bullet"/>
      <w:lvlText w:val="-"/>
      <w:lvlJc w:val="left"/>
      <w:pPr>
        <w:ind w:left="800" w:hanging="360"/>
      </w:pPr>
      <w:rPr>
        <w:rFonts w:ascii="Times New Roman" w:eastAsia="Times New Roman" w:hAnsi="Times New Roman" w:cs="Times New Roman" w:hint="default"/>
        <w:w w:val="99"/>
        <w:sz w:val="20"/>
        <w:szCs w:val="20"/>
        <w:lang w:val="uk-UA" w:eastAsia="en-US" w:bidi="ar-SA"/>
      </w:rPr>
    </w:lvl>
    <w:lvl w:ilvl="1" w:tplc="06FC720E">
      <w:numFmt w:val="bullet"/>
      <w:lvlText w:val="•"/>
      <w:lvlJc w:val="left"/>
      <w:pPr>
        <w:ind w:left="1232" w:hanging="360"/>
      </w:pPr>
      <w:rPr>
        <w:rFonts w:hint="default"/>
        <w:lang w:val="uk-UA" w:eastAsia="en-US" w:bidi="ar-SA"/>
      </w:rPr>
    </w:lvl>
    <w:lvl w:ilvl="2" w:tplc="16320038">
      <w:numFmt w:val="bullet"/>
      <w:lvlText w:val="•"/>
      <w:lvlJc w:val="left"/>
      <w:pPr>
        <w:ind w:left="1665" w:hanging="360"/>
      </w:pPr>
      <w:rPr>
        <w:rFonts w:hint="default"/>
        <w:lang w:val="uk-UA" w:eastAsia="en-US" w:bidi="ar-SA"/>
      </w:rPr>
    </w:lvl>
    <w:lvl w:ilvl="3" w:tplc="DE54F74A">
      <w:numFmt w:val="bullet"/>
      <w:lvlText w:val="•"/>
      <w:lvlJc w:val="left"/>
      <w:pPr>
        <w:ind w:left="2097" w:hanging="360"/>
      </w:pPr>
      <w:rPr>
        <w:rFonts w:hint="default"/>
        <w:lang w:val="uk-UA" w:eastAsia="en-US" w:bidi="ar-SA"/>
      </w:rPr>
    </w:lvl>
    <w:lvl w:ilvl="4" w:tplc="646C0EA8">
      <w:numFmt w:val="bullet"/>
      <w:lvlText w:val="•"/>
      <w:lvlJc w:val="left"/>
      <w:pPr>
        <w:ind w:left="2530" w:hanging="360"/>
      </w:pPr>
      <w:rPr>
        <w:rFonts w:hint="default"/>
        <w:lang w:val="uk-UA" w:eastAsia="en-US" w:bidi="ar-SA"/>
      </w:rPr>
    </w:lvl>
    <w:lvl w:ilvl="5" w:tplc="89CCBE8A">
      <w:numFmt w:val="bullet"/>
      <w:lvlText w:val="•"/>
      <w:lvlJc w:val="left"/>
      <w:pPr>
        <w:ind w:left="2962" w:hanging="360"/>
      </w:pPr>
      <w:rPr>
        <w:rFonts w:hint="default"/>
        <w:lang w:val="uk-UA" w:eastAsia="en-US" w:bidi="ar-SA"/>
      </w:rPr>
    </w:lvl>
    <w:lvl w:ilvl="6" w:tplc="6374C50E">
      <w:numFmt w:val="bullet"/>
      <w:lvlText w:val="•"/>
      <w:lvlJc w:val="left"/>
      <w:pPr>
        <w:ind w:left="3395" w:hanging="360"/>
      </w:pPr>
      <w:rPr>
        <w:rFonts w:hint="default"/>
        <w:lang w:val="uk-UA" w:eastAsia="en-US" w:bidi="ar-SA"/>
      </w:rPr>
    </w:lvl>
    <w:lvl w:ilvl="7" w:tplc="3EDA806C">
      <w:numFmt w:val="bullet"/>
      <w:lvlText w:val="•"/>
      <w:lvlJc w:val="left"/>
      <w:pPr>
        <w:ind w:left="3827" w:hanging="360"/>
      </w:pPr>
      <w:rPr>
        <w:rFonts w:hint="default"/>
        <w:lang w:val="uk-UA" w:eastAsia="en-US" w:bidi="ar-SA"/>
      </w:rPr>
    </w:lvl>
    <w:lvl w:ilvl="8" w:tplc="48183748">
      <w:numFmt w:val="bullet"/>
      <w:lvlText w:val="•"/>
      <w:lvlJc w:val="left"/>
      <w:pPr>
        <w:ind w:left="4260" w:hanging="360"/>
      </w:pPr>
      <w:rPr>
        <w:rFonts w:hint="default"/>
        <w:lang w:val="uk-UA" w:eastAsia="en-US" w:bidi="ar-SA"/>
      </w:rPr>
    </w:lvl>
  </w:abstractNum>
  <w:abstractNum w:abstractNumId="25" w15:restartNumberingAfterBreak="0">
    <w:nsid w:val="0FFB4473"/>
    <w:multiLevelType w:val="hybridMultilevel"/>
    <w:tmpl w:val="5E38F4AA"/>
    <w:lvl w:ilvl="0" w:tplc="849605D0">
      <w:start w:val="3"/>
      <w:numFmt w:val="bullet"/>
      <w:lvlText w:val="-"/>
      <w:lvlJc w:val="left"/>
      <w:pPr>
        <w:ind w:left="1287" w:hanging="360"/>
      </w:pPr>
      <w:rPr>
        <w:rFonts w:ascii="Calibri Light" w:eastAsia="Tahoma" w:hAnsi="Calibri Light" w:cs="Calibri Light"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6" w15:restartNumberingAfterBreak="0">
    <w:nsid w:val="105D7B69"/>
    <w:multiLevelType w:val="hybridMultilevel"/>
    <w:tmpl w:val="6CB014E8"/>
    <w:lvl w:ilvl="0" w:tplc="849605D0">
      <w:start w:val="3"/>
      <w:numFmt w:val="bullet"/>
      <w:lvlText w:val="-"/>
      <w:lvlJc w:val="left"/>
      <w:pPr>
        <w:ind w:left="1287" w:hanging="360"/>
      </w:pPr>
      <w:rPr>
        <w:rFonts w:ascii="Calibri Light" w:eastAsia="Tahoma" w:hAnsi="Calibri Light" w:cs="Calibri Light"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7" w15:restartNumberingAfterBreak="0">
    <w:nsid w:val="10926406"/>
    <w:multiLevelType w:val="hybridMultilevel"/>
    <w:tmpl w:val="7C567860"/>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28" w15:restartNumberingAfterBreak="0">
    <w:nsid w:val="10B223DF"/>
    <w:multiLevelType w:val="hybridMultilevel"/>
    <w:tmpl w:val="ABE4CF62"/>
    <w:lvl w:ilvl="0" w:tplc="7778A4FA">
      <w:numFmt w:val="bullet"/>
      <w:lvlText w:val="-"/>
      <w:lvlJc w:val="left"/>
      <w:pPr>
        <w:ind w:left="800" w:hanging="360"/>
      </w:pPr>
      <w:rPr>
        <w:rFonts w:ascii="Times New Roman" w:eastAsia="Times New Roman" w:hAnsi="Times New Roman" w:cs="Times New Roman" w:hint="default"/>
        <w:w w:val="99"/>
        <w:sz w:val="20"/>
        <w:szCs w:val="20"/>
        <w:lang w:val="uk-UA" w:eastAsia="en-US" w:bidi="ar-SA"/>
      </w:rPr>
    </w:lvl>
    <w:lvl w:ilvl="1" w:tplc="7C449F7E">
      <w:numFmt w:val="bullet"/>
      <w:lvlText w:val="•"/>
      <w:lvlJc w:val="left"/>
      <w:pPr>
        <w:ind w:left="1232" w:hanging="360"/>
      </w:pPr>
      <w:rPr>
        <w:rFonts w:hint="default"/>
        <w:lang w:val="uk-UA" w:eastAsia="en-US" w:bidi="ar-SA"/>
      </w:rPr>
    </w:lvl>
    <w:lvl w:ilvl="2" w:tplc="49E40FEA">
      <w:numFmt w:val="bullet"/>
      <w:lvlText w:val="•"/>
      <w:lvlJc w:val="left"/>
      <w:pPr>
        <w:ind w:left="1665" w:hanging="360"/>
      </w:pPr>
      <w:rPr>
        <w:rFonts w:hint="default"/>
        <w:lang w:val="uk-UA" w:eastAsia="en-US" w:bidi="ar-SA"/>
      </w:rPr>
    </w:lvl>
    <w:lvl w:ilvl="3" w:tplc="E2600612">
      <w:numFmt w:val="bullet"/>
      <w:lvlText w:val="•"/>
      <w:lvlJc w:val="left"/>
      <w:pPr>
        <w:ind w:left="2097" w:hanging="360"/>
      </w:pPr>
      <w:rPr>
        <w:rFonts w:hint="default"/>
        <w:lang w:val="uk-UA" w:eastAsia="en-US" w:bidi="ar-SA"/>
      </w:rPr>
    </w:lvl>
    <w:lvl w:ilvl="4" w:tplc="60923B5A">
      <w:numFmt w:val="bullet"/>
      <w:lvlText w:val="•"/>
      <w:lvlJc w:val="left"/>
      <w:pPr>
        <w:ind w:left="2530" w:hanging="360"/>
      </w:pPr>
      <w:rPr>
        <w:rFonts w:hint="default"/>
        <w:lang w:val="uk-UA" w:eastAsia="en-US" w:bidi="ar-SA"/>
      </w:rPr>
    </w:lvl>
    <w:lvl w:ilvl="5" w:tplc="46FC80A8">
      <w:numFmt w:val="bullet"/>
      <w:lvlText w:val="•"/>
      <w:lvlJc w:val="left"/>
      <w:pPr>
        <w:ind w:left="2963" w:hanging="360"/>
      </w:pPr>
      <w:rPr>
        <w:rFonts w:hint="default"/>
        <w:lang w:val="uk-UA" w:eastAsia="en-US" w:bidi="ar-SA"/>
      </w:rPr>
    </w:lvl>
    <w:lvl w:ilvl="6" w:tplc="3E3CEBF2">
      <w:numFmt w:val="bullet"/>
      <w:lvlText w:val="•"/>
      <w:lvlJc w:val="left"/>
      <w:pPr>
        <w:ind w:left="3395" w:hanging="360"/>
      </w:pPr>
      <w:rPr>
        <w:rFonts w:hint="default"/>
        <w:lang w:val="uk-UA" w:eastAsia="en-US" w:bidi="ar-SA"/>
      </w:rPr>
    </w:lvl>
    <w:lvl w:ilvl="7" w:tplc="3B42A9D2">
      <w:numFmt w:val="bullet"/>
      <w:lvlText w:val="•"/>
      <w:lvlJc w:val="left"/>
      <w:pPr>
        <w:ind w:left="3828" w:hanging="360"/>
      </w:pPr>
      <w:rPr>
        <w:rFonts w:hint="default"/>
        <w:lang w:val="uk-UA" w:eastAsia="en-US" w:bidi="ar-SA"/>
      </w:rPr>
    </w:lvl>
    <w:lvl w:ilvl="8" w:tplc="5560C550">
      <w:numFmt w:val="bullet"/>
      <w:lvlText w:val="•"/>
      <w:lvlJc w:val="left"/>
      <w:pPr>
        <w:ind w:left="4260" w:hanging="360"/>
      </w:pPr>
      <w:rPr>
        <w:rFonts w:hint="default"/>
        <w:lang w:val="uk-UA" w:eastAsia="en-US" w:bidi="ar-SA"/>
      </w:rPr>
    </w:lvl>
  </w:abstractNum>
  <w:abstractNum w:abstractNumId="29" w15:restartNumberingAfterBreak="0">
    <w:nsid w:val="10C8702B"/>
    <w:multiLevelType w:val="hybridMultilevel"/>
    <w:tmpl w:val="02D612B6"/>
    <w:lvl w:ilvl="0" w:tplc="14F65FB4">
      <w:start w:val="1"/>
      <w:numFmt w:val="decimal"/>
      <w:lvlText w:val="%1."/>
      <w:lvlJc w:val="left"/>
      <w:pPr>
        <w:ind w:left="467" w:hanging="152"/>
      </w:pPr>
      <w:rPr>
        <w:rFonts w:ascii="Times New Roman" w:eastAsia="Times New Roman" w:hAnsi="Times New Roman" w:cs="Times New Roman" w:hint="default"/>
        <w:spacing w:val="0"/>
        <w:w w:val="99"/>
        <w:sz w:val="18"/>
        <w:szCs w:val="18"/>
        <w:lang w:val="uk-UA" w:eastAsia="en-US" w:bidi="ar-SA"/>
      </w:rPr>
    </w:lvl>
    <w:lvl w:ilvl="1" w:tplc="D0BE8F58">
      <w:start w:val="1"/>
      <w:numFmt w:val="decimal"/>
      <w:lvlText w:val="%2."/>
      <w:lvlJc w:val="left"/>
      <w:pPr>
        <w:ind w:left="800" w:hanging="360"/>
      </w:pPr>
      <w:rPr>
        <w:rFonts w:ascii="Times New Roman" w:eastAsia="Times New Roman" w:hAnsi="Times New Roman" w:cs="Times New Roman" w:hint="default"/>
        <w:spacing w:val="0"/>
        <w:w w:val="99"/>
        <w:sz w:val="20"/>
        <w:szCs w:val="20"/>
        <w:lang w:val="uk-UA" w:eastAsia="en-US" w:bidi="ar-SA"/>
      </w:rPr>
    </w:lvl>
    <w:lvl w:ilvl="2" w:tplc="C7AEEDDC">
      <w:numFmt w:val="bullet"/>
      <w:lvlText w:val="•"/>
      <w:lvlJc w:val="left"/>
      <w:pPr>
        <w:ind w:left="706" w:hanging="360"/>
      </w:pPr>
      <w:rPr>
        <w:rFonts w:hint="default"/>
        <w:lang w:val="uk-UA" w:eastAsia="en-US" w:bidi="ar-SA"/>
      </w:rPr>
    </w:lvl>
    <w:lvl w:ilvl="3" w:tplc="AD2E638A">
      <w:numFmt w:val="bullet"/>
      <w:lvlText w:val="•"/>
      <w:lvlJc w:val="left"/>
      <w:pPr>
        <w:ind w:left="612" w:hanging="360"/>
      </w:pPr>
      <w:rPr>
        <w:rFonts w:hint="default"/>
        <w:lang w:val="uk-UA" w:eastAsia="en-US" w:bidi="ar-SA"/>
      </w:rPr>
    </w:lvl>
    <w:lvl w:ilvl="4" w:tplc="306A9AD6">
      <w:numFmt w:val="bullet"/>
      <w:lvlText w:val="•"/>
      <w:lvlJc w:val="left"/>
      <w:pPr>
        <w:ind w:left="519" w:hanging="360"/>
      </w:pPr>
      <w:rPr>
        <w:rFonts w:hint="default"/>
        <w:lang w:val="uk-UA" w:eastAsia="en-US" w:bidi="ar-SA"/>
      </w:rPr>
    </w:lvl>
    <w:lvl w:ilvl="5" w:tplc="9DA2EF1E">
      <w:numFmt w:val="bullet"/>
      <w:lvlText w:val="•"/>
      <w:lvlJc w:val="left"/>
      <w:pPr>
        <w:ind w:left="425" w:hanging="360"/>
      </w:pPr>
      <w:rPr>
        <w:rFonts w:hint="default"/>
        <w:lang w:val="uk-UA" w:eastAsia="en-US" w:bidi="ar-SA"/>
      </w:rPr>
    </w:lvl>
    <w:lvl w:ilvl="6" w:tplc="F9D4041E">
      <w:numFmt w:val="bullet"/>
      <w:lvlText w:val="•"/>
      <w:lvlJc w:val="left"/>
      <w:pPr>
        <w:ind w:left="332" w:hanging="360"/>
      </w:pPr>
      <w:rPr>
        <w:rFonts w:hint="default"/>
        <w:lang w:val="uk-UA" w:eastAsia="en-US" w:bidi="ar-SA"/>
      </w:rPr>
    </w:lvl>
    <w:lvl w:ilvl="7" w:tplc="5B6CD232">
      <w:numFmt w:val="bullet"/>
      <w:lvlText w:val="•"/>
      <w:lvlJc w:val="left"/>
      <w:pPr>
        <w:ind w:left="238" w:hanging="360"/>
      </w:pPr>
      <w:rPr>
        <w:rFonts w:hint="default"/>
        <w:lang w:val="uk-UA" w:eastAsia="en-US" w:bidi="ar-SA"/>
      </w:rPr>
    </w:lvl>
    <w:lvl w:ilvl="8" w:tplc="6BC86E22">
      <w:numFmt w:val="bullet"/>
      <w:lvlText w:val="•"/>
      <w:lvlJc w:val="left"/>
      <w:pPr>
        <w:ind w:left="144" w:hanging="360"/>
      </w:pPr>
      <w:rPr>
        <w:rFonts w:hint="default"/>
        <w:lang w:val="uk-UA" w:eastAsia="en-US" w:bidi="ar-SA"/>
      </w:rPr>
    </w:lvl>
  </w:abstractNum>
  <w:abstractNum w:abstractNumId="30" w15:restartNumberingAfterBreak="0">
    <w:nsid w:val="10E00457"/>
    <w:multiLevelType w:val="hybridMultilevel"/>
    <w:tmpl w:val="3DA4469A"/>
    <w:lvl w:ilvl="0" w:tplc="F9946878">
      <w:start w:val="1"/>
      <w:numFmt w:val="lowerLetter"/>
      <w:lvlText w:val="%1)"/>
      <w:lvlJc w:val="left"/>
      <w:pPr>
        <w:ind w:left="315" w:hanging="245"/>
        <w:jc w:val="right"/>
      </w:pPr>
      <w:rPr>
        <w:rFonts w:ascii="Times New Roman" w:eastAsia="Times New Roman" w:hAnsi="Times New Roman" w:cs="Times New Roman" w:hint="default"/>
        <w:w w:val="99"/>
        <w:sz w:val="20"/>
        <w:szCs w:val="20"/>
        <w:lang w:val="uk-UA" w:eastAsia="en-US" w:bidi="ar-SA"/>
      </w:rPr>
    </w:lvl>
    <w:lvl w:ilvl="1" w:tplc="585664EC">
      <w:numFmt w:val="bullet"/>
      <w:lvlText w:val="•"/>
      <w:lvlJc w:val="left"/>
      <w:pPr>
        <w:ind w:left="824" w:hanging="245"/>
      </w:pPr>
      <w:rPr>
        <w:rFonts w:hint="default"/>
        <w:lang w:val="uk-UA" w:eastAsia="en-US" w:bidi="ar-SA"/>
      </w:rPr>
    </w:lvl>
    <w:lvl w:ilvl="2" w:tplc="36803DB2">
      <w:numFmt w:val="bullet"/>
      <w:lvlText w:val="•"/>
      <w:lvlJc w:val="left"/>
      <w:pPr>
        <w:ind w:left="1328" w:hanging="245"/>
      </w:pPr>
      <w:rPr>
        <w:rFonts w:hint="default"/>
        <w:lang w:val="uk-UA" w:eastAsia="en-US" w:bidi="ar-SA"/>
      </w:rPr>
    </w:lvl>
    <w:lvl w:ilvl="3" w:tplc="577474F4">
      <w:numFmt w:val="bullet"/>
      <w:lvlText w:val="•"/>
      <w:lvlJc w:val="left"/>
      <w:pPr>
        <w:ind w:left="1832" w:hanging="245"/>
      </w:pPr>
      <w:rPr>
        <w:rFonts w:hint="default"/>
        <w:lang w:val="uk-UA" w:eastAsia="en-US" w:bidi="ar-SA"/>
      </w:rPr>
    </w:lvl>
    <w:lvl w:ilvl="4" w:tplc="4630EF2A">
      <w:numFmt w:val="bullet"/>
      <w:lvlText w:val="•"/>
      <w:lvlJc w:val="left"/>
      <w:pPr>
        <w:ind w:left="2336" w:hanging="245"/>
      </w:pPr>
      <w:rPr>
        <w:rFonts w:hint="default"/>
        <w:lang w:val="uk-UA" w:eastAsia="en-US" w:bidi="ar-SA"/>
      </w:rPr>
    </w:lvl>
    <w:lvl w:ilvl="5" w:tplc="C8482430">
      <w:numFmt w:val="bullet"/>
      <w:lvlText w:val="•"/>
      <w:lvlJc w:val="left"/>
      <w:pPr>
        <w:ind w:left="2840" w:hanging="245"/>
      </w:pPr>
      <w:rPr>
        <w:rFonts w:hint="default"/>
        <w:lang w:val="uk-UA" w:eastAsia="en-US" w:bidi="ar-SA"/>
      </w:rPr>
    </w:lvl>
    <w:lvl w:ilvl="6" w:tplc="A26A2E08">
      <w:numFmt w:val="bullet"/>
      <w:lvlText w:val="•"/>
      <w:lvlJc w:val="left"/>
      <w:pPr>
        <w:ind w:left="3344" w:hanging="245"/>
      </w:pPr>
      <w:rPr>
        <w:rFonts w:hint="default"/>
        <w:lang w:val="uk-UA" w:eastAsia="en-US" w:bidi="ar-SA"/>
      </w:rPr>
    </w:lvl>
    <w:lvl w:ilvl="7" w:tplc="6018D382">
      <w:numFmt w:val="bullet"/>
      <w:lvlText w:val="•"/>
      <w:lvlJc w:val="left"/>
      <w:pPr>
        <w:ind w:left="3848" w:hanging="245"/>
      </w:pPr>
      <w:rPr>
        <w:rFonts w:hint="default"/>
        <w:lang w:val="uk-UA" w:eastAsia="en-US" w:bidi="ar-SA"/>
      </w:rPr>
    </w:lvl>
    <w:lvl w:ilvl="8" w:tplc="C3620418">
      <w:numFmt w:val="bullet"/>
      <w:lvlText w:val="•"/>
      <w:lvlJc w:val="left"/>
      <w:pPr>
        <w:ind w:left="4352" w:hanging="245"/>
      </w:pPr>
      <w:rPr>
        <w:rFonts w:hint="default"/>
        <w:lang w:val="uk-UA" w:eastAsia="en-US" w:bidi="ar-SA"/>
      </w:rPr>
    </w:lvl>
  </w:abstractNum>
  <w:abstractNum w:abstractNumId="31" w15:restartNumberingAfterBreak="0">
    <w:nsid w:val="12324AEF"/>
    <w:multiLevelType w:val="hybridMultilevel"/>
    <w:tmpl w:val="F01E51E6"/>
    <w:lvl w:ilvl="0" w:tplc="5EE85E0C">
      <w:start w:val="1"/>
      <w:numFmt w:val="decimal"/>
      <w:lvlText w:val="%1."/>
      <w:lvlJc w:val="left"/>
      <w:pPr>
        <w:ind w:left="677" w:hanging="360"/>
      </w:pPr>
      <w:rPr>
        <w:rFonts w:ascii="Times New Roman" w:eastAsia="Times New Roman" w:hAnsi="Times New Roman" w:cs="Times New Roman" w:hint="default"/>
        <w:spacing w:val="0"/>
        <w:w w:val="99"/>
        <w:sz w:val="20"/>
        <w:szCs w:val="20"/>
        <w:lang w:val="uk-UA" w:eastAsia="en-US" w:bidi="ar-SA"/>
      </w:rPr>
    </w:lvl>
    <w:lvl w:ilvl="1" w:tplc="497ED3A0">
      <w:numFmt w:val="bullet"/>
      <w:lvlText w:val="•"/>
      <w:lvlJc w:val="left"/>
      <w:pPr>
        <w:ind w:left="1148" w:hanging="360"/>
      </w:pPr>
      <w:rPr>
        <w:rFonts w:hint="default"/>
        <w:lang w:val="uk-UA" w:eastAsia="en-US" w:bidi="ar-SA"/>
      </w:rPr>
    </w:lvl>
    <w:lvl w:ilvl="2" w:tplc="2D602D68">
      <w:numFmt w:val="bullet"/>
      <w:lvlText w:val="•"/>
      <w:lvlJc w:val="left"/>
      <w:pPr>
        <w:ind w:left="1616" w:hanging="360"/>
      </w:pPr>
      <w:rPr>
        <w:rFonts w:hint="default"/>
        <w:lang w:val="uk-UA" w:eastAsia="en-US" w:bidi="ar-SA"/>
      </w:rPr>
    </w:lvl>
    <w:lvl w:ilvl="3" w:tplc="5C8AB6FC">
      <w:numFmt w:val="bullet"/>
      <w:lvlText w:val="•"/>
      <w:lvlJc w:val="left"/>
      <w:pPr>
        <w:ind w:left="2084" w:hanging="360"/>
      </w:pPr>
      <w:rPr>
        <w:rFonts w:hint="default"/>
        <w:lang w:val="uk-UA" w:eastAsia="en-US" w:bidi="ar-SA"/>
      </w:rPr>
    </w:lvl>
    <w:lvl w:ilvl="4" w:tplc="690683C8">
      <w:numFmt w:val="bullet"/>
      <w:lvlText w:val="•"/>
      <w:lvlJc w:val="left"/>
      <w:pPr>
        <w:ind w:left="2553" w:hanging="360"/>
      </w:pPr>
      <w:rPr>
        <w:rFonts w:hint="default"/>
        <w:lang w:val="uk-UA" w:eastAsia="en-US" w:bidi="ar-SA"/>
      </w:rPr>
    </w:lvl>
    <w:lvl w:ilvl="5" w:tplc="F79600CA">
      <w:numFmt w:val="bullet"/>
      <w:lvlText w:val="•"/>
      <w:lvlJc w:val="left"/>
      <w:pPr>
        <w:ind w:left="3021" w:hanging="360"/>
      </w:pPr>
      <w:rPr>
        <w:rFonts w:hint="default"/>
        <w:lang w:val="uk-UA" w:eastAsia="en-US" w:bidi="ar-SA"/>
      </w:rPr>
    </w:lvl>
    <w:lvl w:ilvl="6" w:tplc="83CEF632">
      <w:numFmt w:val="bullet"/>
      <w:lvlText w:val="•"/>
      <w:lvlJc w:val="left"/>
      <w:pPr>
        <w:ind w:left="3489" w:hanging="360"/>
      </w:pPr>
      <w:rPr>
        <w:rFonts w:hint="default"/>
        <w:lang w:val="uk-UA" w:eastAsia="en-US" w:bidi="ar-SA"/>
      </w:rPr>
    </w:lvl>
    <w:lvl w:ilvl="7" w:tplc="9914FE36">
      <w:numFmt w:val="bullet"/>
      <w:lvlText w:val="•"/>
      <w:lvlJc w:val="left"/>
      <w:pPr>
        <w:ind w:left="3957" w:hanging="360"/>
      </w:pPr>
      <w:rPr>
        <w:rFonts w:hint="default"/>
        <w:lang w:val="uk-UA" w:eastAsia="en-US" w:bidi="ar-SA"/>
      </w:rPr>
    </w:lvl>
    <w:lvl w:ilvl="8" w:tplc="00C864CC">
      <w:numFmt w:val="bullet"/>
      <w:lvlText w:val="•"/>
      <w:lvlJc w:val="left"/>
      <w:pPr>
        <w:ind w:left="4426" w:hanging="360"/>
      </w:pPr>
      <w:rPr>
        <w:rFonts w:hint="default"/>
        <w:lang w:val="uk-UA" w:eastAsia="en-US" w:bidi="ar-SA"/>
      </w:rPr>
    </w:lvl>
  </w:abstractNum>
  <w:abstractNum w:abstractNumId="32" w15:restartNumberingAfterBreak="0">
    <w:nsid w:val="136F45BB"/>
    <w:multiLevelType w:val="hybridMultilevel"/>
    <w:tmpl w:val="9E720006"/>
    <w:lvl w:ilvl="0" w:tplc="3AB83342">
      <w:numFmt w:val="bullet"/>
      <w:lvlText w:val="-"/>
      <w:lvlJc w:val="left"/>
      <w:pPr>
        <w:ind w:left="676" w:hanging="456"/>
      </w:pPr>
      <w:rPr>
        <w:rFonts w:ascii="Times New Roman" w:eastAsia="Times New Roman" w:hAnsi="Times New Roman" w:cs="Times New Roman" w:hint="default"/>
        <w:w w:val="99"/>
        <w:sz w:val="20"/>
        <w:szCs w:val="20"/>
        <w:lang w:val="uk-UA" w:eastAsia="en-US" w:bidi="ar-SA"/>
      </w:rPr>
    </w:lvl>
    <w:lvl w:ilvl="1" w:tplc="C93A67E2">
      <w:numFmt w:val="bullet"/>
      <w:lvlText w:val="•"/>
      <w:lvlJc w:val="left"/>
      <w:pPr>
        <w:ind w:left="1148" w:hanging="456"/>
      </w:pPr>
      <w:rPr>
        <w:rFonts w:hint="default"/>
        <w:lang w:val="uk-UA" w:eastAsia="en-US" w:bidi="ar-SA"/>
      </w:rPr>
    </w:lvl>
    <w:lvl w:ilvl="2" w:tplc="A5BE16D4">
      <w:numFmt w:val="bullet"/>
      <w:lvlText w:val="•"/>
      <w:lvlJc w:val="left"/>
      <w:pPr>
        <w:ind w:left="1616" w:hanging="456"/>
      </w:pPr>
      <w:rPr>
        <w:rFonts w:hint="default"/>
        <w:lang w:val="uk-UA" w:eastAsia="en-US" w:bidi="ar-SA"/>
      </w:rPr>
    </w:lvl>
    <w:lvl w:ilvl="3" w:tplc="44804A06">
      <w:numFmt w:val="bullet"/>
      <w:lvlText w:val="•"/>
      <w:lvlJc w:val="left"/>
      <w:pPr>
        <w:ind w:left="2084" w:hanging="456"/>
      </w:pPr>
      <w:rPr>
        <w:rFonts w:hint="default"/>
        <w:lang w:val="uk-UA" w:eastAsia="en-US" w:bidi="ar-SA"/>
      </w:rPr>
    </w:lvl>
    <w:lvl w:ilvl="4" w:tplc="246EE18A">
      <w:numFmt w:val="bullet"/>
      <w:lvlText w:val="•"/>
      <w:lvlJc w:val="left"/>
      <w:pPr>
        <w:ind w:left="2552" w:hanging="456"/>
      </w:pPr>
      <w:rPr>
        <w:rFonts w:hint="default"/>
        <w:lang w:val="uk-UA" w:eastAsia="en-US" w:bidi="ar-SA"/>
      </w:rPr>
    </w:lvl>
    <w:lvl w:ilvl="5" w:tplc="2DF80F3A">
      <w:numFmt w:val="bullet"/>
      <w:lvlText w:val="•"/>
      <w:lvlJc w:val="left"/>
      <w:pPr>
        <w:ind w:left="3020" w:hanging="456"/>
      </w:pPr>
      <w:rPr>
        <w:rFonts w:hint="default"/>
        <w:lang w:val="uk-UA" w:eastAsia="en-US" w:bidi="ar-SA"/>
      </w:rPr>
    </w:lvl>
    <w:lvl w:ilvl="6" w:tplc="6B506400">
      <w:numFmt w:val="bullet"/>
      <w:lvlText w:val="•"/>
      <w:lvlJc w:val="left"/>
      <w:pPr>
        <w:ind w:left="3488" w:hanging="456"/>
      </w:pPr>
      <w:rPr>
        <w:rFonts w:hint="default"/>
        <w:lang w:val="uk-UA" w:eastAsia="en-US" w:bidi="ar-SA"/>
      </w:rPr>
    </w:lvl>
    <w:lvl w:ilvl="7" w:tplc="DBA85048">
      <w:numFmt w:val="bullet"/>
      <w:lvlText w:val="•"/>
      <w:lvlJc w:val="left"/>
      <w:pPr>
        <w:ind w:left="3957" w:hanging="456"/>
      </w:pPr>
      <w:rPr>
        <w:rFonts w:hint="default"/>
        <w:lang w:val="uk-UA" w:eastAsia="en-US" w:bidi="ar-SA"/>
      </w:rPr>
    </w:lvl>
    <w:lvl w:ilvl="8" w:tplc="46545B64">
      <w:numFmt w:val="bullet"/>
      <w:lvlText w:val="•"/>
      <w:lvlJc w:val="left"/>
      <w:pPr>
        <w:ind w:left="4425" w:hanging="456"/>
      </w:pPr>
      <w:rPr>
        <w:rFonts w:hint="default"/>
        <w:lang w:val="uk-UA" w:eastAsia="en-US" w:bidi="ar-SA"/>
      </w:rPr>
    </w:lvl>
  </w:abstractNum>
  <w:abstractNum w:abstractNumId="33" w15:restartNumberingAfterBreak="0">
    <w:nsid w:val="156D3BA6"/>
    <w:multiLevelType w:val="hybridMultilevel"/>
    <w:tmpl w:val="247A9D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15714BA5"/>
    <w:multiLevelType w:val="hybridMultilevel"/>
    <w:tmpl w:val="8B163064"/>
    <w:lvl w:ilvl="0" w:tplc="C2E6710E">
      <w:start w:val="2"/>
      <w:numFmt w:val="lowerLetter"/>
      <w:lvlText w:val="%1)"/>
      <w:lvlJc w:val="left"/>
      <w:pPr>
        <w:ind w:left="440" w:hanging="238"/>
      </w:pPr>
      <w:rPr>
        <w:rFonts w:ascii="Times New Roman" w:eastAsia="Times New Roman" w:hAnsi="Times New Roman" w:cs="Times New Roman" w:hint="default"/>
        <w:spacing w:val="0"/>
        <w:w w:val="99"/>
        <w:sz w:val="20"/>
        <w:szCs w:val="20"/>
        <w:lang w:val="uk-UA" w:eastAsia="en-US" w:bidi="ar-SA"/>
      </w:rPr>
    </w:lvl>
    <w:lvl w:ilvl="1" w:tplc="8A3A4A78">
      <w:numFmt w:val="bullet"/>
      <w:lvlText w:val="•"/>
      <w:lvlJc w:val="left"/>
      <w:pPr>
        <w:ind w:left="908" w:hanging="238"/>
      </w:pPr>
      <w:rPr>
        <w:rFonts w:hint="default"/>
        <w:lang w:val="uk-UA" w:eastAsia="en-US" w:bidi="ar-SA"/>
      </w:rPr>
    </w:lvl>
    <w:lvl w:ilvl="2" w:tplc="38685724">
      <w:numFmt w:val="bullet"/>
      <w:lvlText w:val="•"/>
      <w:lvlJc w:val="left"/>
      <w:pPr>
        <w:ind w:left="1376" w:hanging="238"/>
      </w:pPr>
      <w:rPr>
        <w:rFonts w:hint="default"/>
        <w:lang w:val="uk-UA" w:eastAsia="en-US" w:bidi="ar-SA"/>
      </w:rPr>
    </w:lvl>
    <w:lvl w:ilvl="3" w:tplc="538A6710">
      <w:numFmt w:val="bullet"/>
      <w:lvlText w:val="•"/>
      <w:lvlJc w:val="left"/>
      <w:pPr>
        <w:ind w:left="1845" w:hanging="238"/>
      </w:pPr>
      <w:rPr>
        <w:rFonts w:hint="default"/>
        <w:lang w:val="uk-UA" w:eastAsia="en-US" w:bidi="ar-SA"/>
      </w:rPr>
    </w:lvl>
    <w:lvl w:ilvl="4" w:tplc="70E80108">
      <w:numFmt w:val="bullet"/>
      <w:lvlText w:val="•"/>
      <w:lvlJc w:val="left"/>
      <w:pPr>
        <w:ind w:left="2313" w:hanging="238"/>
      </w:pPr>
      <w:rPr>
        <w:rFonts w:hint="default"/>
        <w:lang w:val="uk-UA" w:eastAsia="en-US" w:bidi="ar-SA"/>
      </w:rPr>
    </w:lvl>
    <w:lvl w:ilvl="5" w:tplc="0FAA6B1C">
      <w:numFmt w:val="bullet"/>
      <w:lvlText w:val="•"/>
      <w:lvlJc w:val="left"/>
      <w:pPr>
        <w:ind w:left="2781" w:hanging="238"/>
      </w:pPr>
      <w:rPr>
        <w:rFonts w:hint="default"/>
        <w:lang w:val="uk-UA" w:eastAsia="en-US" w:bidi="ar-SA"/>
      </w:rPr>
    </w:lvl>
    <w:lvl w:ilvl="6" w:tplc="8E84D174">
      <w:numFmt w:val="bullet"/>
      <w:lvlText w:val="•"/>
      <w:lvlJc w:val="left"/>
      <w:pPr>
        <w:ind w:left="3250" w:hanging="238"/>
      </w:pPr>
      <w:rPr>
        <w:rFonts w:hint="default"/>
        <w:lang w:val="uk-UA" w:eastAsia="en-US" w:bidi="ar-SA"/>
      </w:rPr>
    </w:lvl>
    <w:lvl w:ilvl="7" w:tplc="FD80BBB6">
      <w:numFmt w:val="bullet"/>
      <w:lvlText w:val="•"/>
      <w:lvlJc w:val="left"/>
      <w:pPr>
        <w:ind w:left="3718" w:hanging="238"/>
      </w:pPr>
      <w:rPr>
        <w:rFonts w:hint="default"/>
        <w:lang w:val="uk-UA" w:eastAsia="en-US" w:bidi="ar-SA"/>
      </w:rPr>
    </w:lvl>
    <w:lvl w:ilvl="8" w:tplc="C2AA90DC">
      <w:numFmt w:val="bullet"/>
      <w:lvlText w:val="•"/>
      <w:lvlJc w:val="left"/>
      <w:pPr>
        <w:ind w:left="4186" w:hanging="238"/>
      </w:pPr>
      <w:rPr>
        <w:rFonts w:hint="default"/>
        <w:lang w:val="uk-UA" w:eastAsia="en-US" w:bidi="ar-SA"/>
      </w:rPr>
    </w:lvl>
  </w:abstractNum>
  <w:abstractNum w:abstractNumId="35" w15:restartNumberingAfterBreak="0">
    <w:nsid w:val="157275F1"/>
    <w:multiLevelType w:val="hybridMultilevel"/>
    <w:tmpl w:val="C84CA004"/>
    <w:lvl w:ilvl="0" w:tplc="387C6E8A">
      <w:start w:val="1"/>
      <w:numFmt w:val="lowerLetter"/>
      <w:lvlText w:val="%1)"/>
      <w:lvlJc w:val="left"/>
      <w:pPr>
        <w:ind w:left="524" w:hanging="206"/>
      </w:pPr>
      <w:rPr>
        <w:rFonts w:ascii="Times New Roman" w:eastAsia="Times New Roman" w:hAnsi="Times New Roman" w:cs="Times New Roman" w:hint="default"/>
        <w:w w:val="99"/>
        <w:sz w:val="20"/>
        <w:szCs w:val="20"/>
        <w:lang w:val="uk-UA" w:eastAsia="en-US" w:bidi="ar-SA"/>
      </w:rPr>
    </w:lvl>
    <w:lvl w:ilvl="1" w:tplc="1D687B02">
      <w:start w:val="1"/>
      <w:numFmt w:val="decimal"/>
      <w:lvlText w:val="%2."/>
      <w:lvlJc w:val="left"/>
      <w:pPr>
        <w:ind w:left="500" w:hanging="216"/>
        <w:jc w:val="right"/>
      </w:pPr>
      <w:rPr>
        <w:rFonts w:ascii="Times New Roman" w:eastAsia="Times New Roman" w:hAnsi="Times New Roman" w:cs="Times New Roman" w:hint="default"/>
        <w:spacing w:val="0"/>
        <w:w w:val="99"/>
        <w:sz w:val="20"/>
        <w:szCs w:val="20"/>
        <w:lang w:val="uk-UA" w:eastAsia="en-US" w:bidi="ar-SA"/>
      </w:rPr>
    </w:lvl>
    <w:lvl w:ilvl="2" w:tplc="59E890E6">
      <w:numFmt w:val="bullet"/>
      <w:lvlText w:val="•"/>
      <w:lvlJc w:val="left"/>
      <w:pPr>
        <w:ind w:left="458" w:hanging="216"/>
      </w:pPr>
      <w:rPr>
        <w:rFonts w:hint="default"/>
        <w:lang w:val="uk-UA" w:eastAsia="en-US" w:bidi="ar-SA"/>
      </w:rPr>
    </w:lvl>
    <w:lvl w:ilvl="3" w:tplc="69AC5A10">
      <w:numFmt w:val="bullet"/>
      <w:lvlText w:val="•"/>
      <w:lvlJc w:val="left"/>
      <w:pPr>
        <w:ind w:left="396" w:hanging="216"/>
      </w:pPr>
      <w:rPr>
        <w:rFonts w:hint="default"/>
        <w:lang w:val="uk-UA" w:eastAsia="en-US" w:bidi="ar-SA"/>
      </w:rPr>
    </w:lvl>
    <w:lvl w:ilvl="4" w:tplc="A2C4BAC8">
      <w:numFmt w:val="bullet"/>
      <w:lvlText w:val="•"/>
      <w:lvlJc w:val="left"/>
      <w:pPr>
        <w:ind w:left="334" w:hanging="216"/>
      </w:pPr>
      <w:rPr>
        <w:rFonts w:hint="default"/>
        <w:lang w:val="uk-UA" w:eastAsia="en-US" w:bidi="ar-SA"/>
      </w:rPr>
    </w:lvl>
    <w:lvl w:ilvl="5" w:tplc="0DD863AA">
      <w:numFmt w:val="bullet"/>
      <w:lvlText w:val="•"/>
      <w:lvlJc w:val="left"/>
      <w:pPr>
        <w:ind w:left="272" w:hanging="216"/>
      </w:pPr>
      <w:rPr>
        <w:rFonts w:hint="default"/>
        <w:lang w:val="uk-UA" w:eastAsia="en-US" w:bidi="ar-SA"/>
      </w:rPr>
    </w:lvl>
    <w:lvl w:ilvl="6" w:tplc="D480D978">
      <w:numFmt w:val="bullet"/>
      <w:lvlText w:val="•"/>
      <w:lvlJc w:val="left"/>
      <w:pPr>
        <w:ind w:left="210" w:hanging="216"/>
      </w:pPr>
      <w:rPr>
        <w:rFonts w:hint="default"/>
        <w:lang w:val="uk-UA" w:eastAsia="en-US" w:bidi="ar-SA"/>
      </w:rPr>
    </w:lvl>
    <w:lvl w:ilvl="7" w:tplc="74B60E32">
      <w:numFmt w:val="bullet"/>
      <w:lvlText w:val="•"/>
      <w:lvlJc w:val="left"/>
      <w:pPr>
        <w:ind w:left="148" w:hanging="216"/>
      </w:pPr>
      <w:rPr>
        <w:rFonts w:hint="default"/>
        <w:lang w:val="uk-UA" w:eastAsia="en-US" w:bidi="ar-SA"/>
      </w:rPr>
    </w:lvl>
    <w:lvl w:ilvl="8" w:tplc="1AA6AC58">
      <w:numFmt w:val="bullet"/>
      <w:lvlText w:val="•"/>
      <w:lvlJc w:val="left"/>
      <w:pPr>
        <w:ind w:left="86" w:hanging="216"/>
      </w:pPr>
      <w:rPr>
        <w:rFonts w:hint="default"/>
        <w:lang w:val="uk-UA" w:eastAsia="en-US" w:bidi="ar-SA"/>
      </w:rPr>
    </w:lvl>
  </w:abstractNum>
  <w:abstractNum w:abstractNumId="36" w15:restartNumberingAfterBreak="0">
    <w:nsid w:val="15A05192"/>
    <w:multiLevelType w:val="hybridMultilevel"/>
    <w:tmpl w:val="83061A42"/>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37" w15:restartNumberingAfterBreak="0">
    <w:nsid w:val="17B374C0"/>
    <w:multiLevelType w:val="hybridMultilevel"/>
    <w:tmpl w:val="AEC2F914"/>
    <w:lvl w:ilvl="0" w:tplc="DBB4356A">
      <w:start w:val="1"/>
      <w:numFmt w:val="decimal"/>
      <w:lvlText w:val="%1)"/>
      <w:lvlJc w:val="left"/>
      <w:pPr>
        <w:ind w:left="1230" w:hanging="360"/>
      </w:pPr>
      <w:rPr>
        <w:rFonts w:hint="default"/>
      </w:rPr>
    </w:lvl>
    <w:lvl w:ilvl="1" w:tplc="04190019" w:tentative="1">
      <w:start w:val="1"/>
      <w:numFmt w:val="lowerLetter"/>
      <w:lvlText w:val="%2."/>
      <w:lvlJc w:val="left"/>
      <w:pPr>
        <w:ind w:left="1950" w:hanging="360"/>
      </w:pPr>
    </w:lvl>
    <w:lvl w:ilvl="2" w:tplc="0419001B" w:tentative="1">
      <w:start w:val="1"/>
      <w:numFmt w:val="lowerRoman"/>
      <w:lvlText w:val="%3."/>
      <w:lvlJc w:val="right"/>
      <w:pPr>
        <w:ind w:left="2670" w:hanging="180"/>
      </w:pPr>
    </w:lvl>
    <w:lvl w:ilvl="3" w:tplc="0419000F" w:tentative="1">
      <w:start w:val="1"/>
      <w:numFmt w:val="decimal"/>
      <w:lvlText w:val="%4."/>
      <w:lvlJc w:val="left"/>
      <w:pPr>
        <w:ind w:left="3390" w:hanging="360"/>
      </w:pPr>
    </w:lvl>
    <w:lvl w:ilvl="4" w:tplc="04190019" w:tentative="1">
      <w:start w:val="1"/>
      <w:numFmt w:val="lowerLetter"/>
      <w:lvlText w:val="%5."/>
      <w:lvlJc w:val="left"/>
      <w:pPr>
        <w:ind w:left="4110" w:hanging="360"/>
      </w:pPr>
    </w:lvl>
    <w:lvl w:ilvl="5" w:tplc="0419001B" w:tentative="1">
      <w:start w:val="1"/>
      <w:numFmt w:val="lowerRoman"/>
      <w:lvlText w:val="%6."/>
      <w:lvlJc w:val="right"/>
      <w:pPr>
        <w:ind w:left="4830" w:hanging="180"/>
      </w:pPr>
    </w:lvl>
    <w:lvl w:ilvl="6" w:tplc="0419000F" w:tentative="1">
      <w:start w:val="1"/>
      <w:numFmt w:val="decimal"/>
      <w:lvlText w:val="%7."/>
      <w:lvlJc w:val="left"/>
      <w:pPr>
        <w:ind w:left="5550" w:hanging="360"/>
      </w:pPr>
    </w:lvl>
    <w:lvl w:ilvl="7" w:tplc="04190019" w:tentative="1">
      <w:start w:val="1"/>
      <w:numFmt w:val="lowerLetter"/>
      <w:lvlText w:val="%8."/>
      <w:lvlJc w:val="left"/>
      <w:pPr>
        <w:ind w:left="6270" w:hanging="360"/>
      </w:pPr>
    </w:lvl>
    <w:lvl w:ilvl="8" w:tplc="0419001B" w:tentative="1">
      <w:start w:val="1"/>
      <w:numFmt w:val="lowerRoman"/>
      <w:lvlText w:val="%9."/>
      <w:lvlJc w:val="right"/>
      <w:pPr>
        <w:ind w:left="6990" w:hanging="180"/>
      </w:pPr>
    </w:lvl>
  </w:abstractNum>
  <w:abstractNum w:abstractNumId="38" w15:restartNumberingAfterBreak="0">
    <w:nsid w:val="17BD71AD"/>
    <w:multiLevelType w:val="hybridMultilevel"/>
    <w:tmpl w:val="8B3AABD8"/>
    <w:lvl w:ilvl="0" w:tplc="EFAC35F8">
      <w:start w:val="1"/>
      <w:numFmt w:val="decimal"/>
      <w:lvlText w:val="%1."/>
      <w:lvlJc w:val="left"/>
      <w:pPr>
        <w:ind w:left="440" w:hanging="211"/>
        <w:jc w:val="right"/>
      </w:pPr>
      <w:rPr>
        <w:rFonts w:ascii="Times New Roman" w:eastAsia="Times New Roman" w:hAnsi="Times New Roman" w:cs="Times New Roman" w:hint="default"/>
        <w:spacing w:val="0"/>
        <w:w w:val="99"/>
        <w:sz w:val="20"/>
        <w:szCs w:val="20"/>
        <w:lang w:val="uk-UA" w:eastAsia="en-US" w:bidi="ar-SA"/>
      </w:rPr>
    </w:lvl>
    <w:lvl w:ilvl="1" w:tplc="BC406CA6">
      <w:numFmt w:val="bullet"/>
      <w:lvlText w:val="•"/>
      <w:lvlJc w:val="left"/>
      <w:pPr>
        <w:ind w:left="908" w:hanging="211"/>
      </w:pPr>
      <w:rPr>
        <w:rFonts w:hint="default"/>
        <w:lang w:val="uk-UA" w:eastAsia="en-US" w:bidi="ar-SA"/>
      </w:rPr>
    </w:lvl>
    <w:lvl w:ilvl="2" w:tplc="BB4A8DCA">
      <w:numFmt w:val="bullet"/>
      <w:lvlText w:val="•"/>
      <w:lvlJc w:val="left"/>
      <w:pPr>
        <w:ind w:left="1377" w:hanging="211"/>
      </w:pPr>
      <w:rPr>
        <w:rFonts w:hint="default"/>
        <w:lang w:val="uk-UA" w:eastAsia="en-US" w:bidi="ar-SA"/>
      </w:rPr>
    </w:lvl>
    <w:lvl w:ilvl="3" w:tplc="F0BC045C">
      <w:numFmt w:val="bullet"/>
      <w:lvlText w:val="•"/>
      <w:lvlJc w:val="left"/>
      <w:pPr>
        <w:ind w:left="1845" w:hanging="211"/>
      </w:pPr>
      <w:rPr>
        <w:rFonts w:hint="default"/>
        <w:lang w:val="uk-UA" w:eastAsia="en-US" w:bidi="ar-SA"/>
      </w:rPr>
    </w:lvl>
    <w:lvl w:ilvl="4" w:tplc="94002D02">
      <w:numFmt w:val="bullet"/>
      <w:lvlText w:val="•"/>
      <w:lvlJc w:val="left"/>
      <w:pPr>
        <w:ind w:left="2314" w:hanging="211"/>
      </w:pPr>
      <w:rPr>
        <w:rFonts w:hint="default"/>
        <w:lang w:val="uk-UA" w:eastAsia="en-US" w:bidi="ar-SA"/>
      </w:rPr>
    </w:lvl>
    <w:lvl w:ilvl="5" w:tplc="029460A6">
      <w:numFmt w:val="bullet"/>
      <w:lvlText w:val="•"/>
      <w:lvlJc w:val="left"/>
      <w:pPr>
        <w:ind w:left="2783" w:hanging="211"/>
      </w:pPr>
      <w:rPr>
        <w:rFonts w:hint="default"/>
        <w:lang w:val="uk-UA" w:eastAsia="en-US" w:bidi="ar-SA"/>
      </w:rPr>
    </w:lvl>
    <w:lvl w:ilvl="6" w:tplc="20826CC6">
      <w:numFmt w:val="bullet"/>
      <w:lvlText w:val="•"/>
      <w:lvlJc w:val="left"/>
      <w:pPr>
        <w:ind w:left="3251" w:hanging="211"/>
      </w:pPr>
      <w:rPr>
        <w:rFonts w:hint="default"/>
        <w:lang w:val="uk-UA" w:eastAsia="en-US" w:bidi="ar-SA"/>
      </w:rPr>
    </w:lvl>
    <w:lvl w:ilvl="7" w:tplc="599C0B80">
      <w:numFmt w:val="bullet"/>
      <w:lvlText w:val="•"/>
      <w:lvlJc w:val="left"/>
      <w:pPr>
        <w:ind w:left="3720" w:hanging="211"/>
      </w:pPr>
      <w:rPr>
        <w:rFonts w:hint="default"/>
        <w:lang w:val="uk-UA" w:eastAsia="en-US" w:bidi="ar-SA"/>
      </w:rPr>
    </w:lvl>
    <w:lvl w:ilvl="8" w:tplc="81FE72F0">
      <w:numFmt w:val="bullet"/>
      <w:lvlText w:val="•"/>
      <w:lvlJc w:val="left"/>
      <w:pPr>
        <w:ind w:left="4188" w:hanging="211"/>
      </w:pPr>
      <w:rPr>
        <w:rFonts w:hint="default"/>
        <w:lang w:val="uk-UA" w:eastAsia="en-US" w:bidi="ar-SA"/>
      </w:rPr>
    </w:lvl>
  </w:abstractNum>
  <w:abstractNum w:abstractNumId="39" w15:restartNumberingAfterBreak="0">
    <w:nsid w:val="17C178C9"/>
    <w:multiLevelType w:val="hybridMultilevel"/>
    <w:tmpl w:val="FAA2CFB2"/>
    <w:lvl w:ilvl="0" w:tplc="69F6886C">
      <w:start w:val="1"/>
      <w:numFmt w:val="decimal"/>
      <w:lvlText w:val="%1)"/>
      <w:lvlJc w:val="left"/>
      <w:pPr>
        <w:ind w:left="440" w:hanging="230"/>
        <w:jc w:val="right"/>
      </w:pPr>
      <w:rPr>
        <w:rFonts w:ascii="Times New Roman" w:eastAsia="Times New Roman" w:hAnsi="Times New Roman" w:cs="Times New Roman" w:hint="default"/>
        <w:spacing w:val="0"/>
        <w:w w:val="99"/>
        <w:sz w:val="20"/>
        <w:szCs w:val="20"/>
        <w:lang w:val="uk-UA" w:eastAsia="en-US" w:bidi="ar-SA"/>
      </w:rPr>
    </w:lvl>
    <w:lvl w:ilvl="1" w:tplc="2E34EE6E">
      <w:numFmt w:val="bullet"/>
      <w:lvlText w:val="•"/>
      <w:lvlJc w:val="left"/>
      <w:pPr>
        <w:ind w:left="908" w:hanging="230"/>
      </w:pPr>
      <w:rPr>
        <w:rFonts w:hint="default"/>
        <w:lang w:val="uk-UA" w:eastAsia="en-US" w:bidi="ar-SA"/>
      </w:rPr>
    </w:lvl>
    <w:lvl w:ilvl="2" w:tplc="74C2C0F0">
      <w:numFmt w:val="bullet"/>
      <w:lvlText w:val="•"/>
      <w:lvlJc w:val="left"/>
      <w:pPr>
        <w:ind w:left="1376" w:hanging="230"/>
      </w:pPr>
      <w:rPr>
        <w:rFonts w:hint="default"/>
        <w:lang w:val="uk-UA" w:eastAsia="en-US" w:bidi="ar-SA"/>
      </w:rPr>
    </w:lvl>
    <w:lvl w:ilvl="3" w:tplc="6984715E">
      <w:numFmt w:val="bullet"/>
      <w:lvlText w:val="•"/>
      <w:lvlJc w:val="left"/>
      <w:pPr>
        <w:ind w:left="1845" w:hanging="230"/>
      </w:pPr>
      <w:rPr>
        <w:rFonts w:hint="default"/>
        <w:lang w:val="uk-UA" w:eastAsia="en-US" w:bidi="ar-SA"/>
      </w:rPr>
    </w:lvl>
    <w:lvl w:ilvl="4" w:tplc="A02E7F1A">
      <w:numFmt w:val="bullet"/>
      <w:lvlText w:val="•"/>
      <w:lvlJc w:val="left"/>
      <w:pPr>
        <w:ind w:left="2313" w:hanging="230"/>
      </w:pPr>
      <w:rPr>
        <w:rFonts w:hint="default"/>
        <w:lang w:val="uk-UA" w:eastAsia="en-US" w:bidi="ar-SA"/>
      </w:rPr>
    </w:lvl>
    <w:lvl w:ilvl="5" w:tplc="6FA8E2DA">
      <w:numFmt w:val="bullet"/>
      <w:lvlText w:val="•"/>
      <w:lvlJc w:val="left"/>
      <w:pPr>
        <w:ind w:left="2781" w:hanging="230"/>
      </w:pPr>
      <w:rPr>
        <w:rFonts w:hint="default"/>
        <w:lang w:val="uk-UA" w:eastAsia="en-US" w:bidi="ar-SA"/>
      </w:rPr>
    </w:lvl>
    <w:lvl w:ilvl="6" w:tplc="77FA31A2">
      <w:numFmt w:val="bullet"/>
      <w:lvlText w:val="•"/>
      <w:lvlJc w:val="left"/>
      <w:pPr>
        <w:ind w:left="3250" w:hanging="230"/>
      </w:pPr>
      <w:rPr>
        <w:rFonts w:hint="default"/>
        <w:lang w:val="uk-UA" w:eastAsia="en-US" w:bidi="ar-SA"/>
      </w:rPr>
    </w:lvl>
    <w:lvl w:ilvl="7" w:tplc="A3BCFF38">
      <w:numFmt w:val="bullet"/>
      <w:lvlText w:val="•"/>
      <w:lvlJc w:val="left"/>
      <w:pPr>
        <w:ind w:left="3718" w:hanging="230"/>
      </w:pPr>
      <w:rPr>
        <w:rFonts w:hint="default"/>
        <w:lang w:val="uk-UA" w:eastAsia="en-US" w:bidi="ar-SA"/>
      </w:rPr>
    </w:lvl>
    <w:lvl w:ilvl="8" w:tplc="A1E07AB0">
      <w:numFmt w:val="bullet"/>
      <w:lvlText w:val="•"/>
      <w:lvlJc w:val="left"/>
      <w:pPr>
        <w:ind w:left="4187" w:hanging="230"/>
      </w:pPr>
      <w:rPr>
        <w:rFonts w:hint="default"/>
        <w:lang w:val="uk-UA" w:eastAsia="en-US" w:bidi="ar-SA"/>
      </w:rPr>
    </w:lvl>
  </w:abstractNum>
  <w:abstractNum w:abstractNumId="40" w15:restartNumberingAfterBreak="0">
    <w:nsid w:val="18151851"/>
    <w:multiLevelType w:val="hybridMultilevel"/>
    <w:tmpl w:val="0142B5FA"/>
    <w:lvl w:ilvl="0" w:tplc="849605D0">
      <w:start w:val="3"/>
      <w:numFmt w:val="bullet"/>
      <w:lvlText w:val="-"/>
      <w:lvlJc w:val="left"/>
      <w:pPr>
        <w:ind w:left="720" w:hanging="360"/>
      </w:pPr>
      <w:rPr>
        <w:rFonts w:ascii="Calibri Light" w:eastAsia="Tahoma" w:hAnsi="Calibri Light" w:cs="Calibri Light" w:hint="default"/>
      </w:rPr>
    </w:lvl>
    <w:lvl w:ilvl="1" w:tplc="20000003" w:tentative="1">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1" w15:restartNumberingAfterBreak="0">
    <w:nsid w:val="18162AA2"/>
    <w:multiLevelType w:val="hybridMultilevel"/>
    <w:tmpl w:val="9B3CD656"/>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42" w15:restartNumberingAfterBreak="0">
    <w:nsid w:val="190E52C8"/>
    <w:multiLevelType w:val="hybridMultilevel"/>
    <w:tmpl w:val="204678DA"/>
    <w:lvl w:ilvl="0" w:tplc="C0285972">
      <w:start w:val="1"/>
      <w:numFmt w:val="decimal"/>
      <w:lvlText w:val="%1)"/>
      <w:lvlJc w:val="left"/>
      <w:pPr>
        <w:ind w:left="440" w:hanging="252"/>
      </w:pPr>
      <w:rPr>
        <w:rFonts w:ascii="Times New Roman" w:eastAsia="Times New Roman" w:hAnsi="Times New Roman" w:cs="Times New Roman" w:hint="default"/>
        <w:spacing w:val="0"/>
        <w:w w:val="99"/>
        <w:sz w:val="20"/>
        <w:szCs w:val="20"/>
        <w:lang w:val="uk-UA" w:eastAsia="en-US" w:bidi="ar-SA"/>
      </w:rPr>
    </w:lvl>
    <w:lvl w:ilvl="1" w:tplc="F266E7E6">
      <w:numFmt w:val="bullet"/>
      <w:lvlText w:val="•"/>
      <w:lvlJc w:val="left"/>
      <w:pPr>
        <w:ind w:left="908" w:hanging="252"/>
      </w:pPr>
      <w:rPr>
        <w:rFonts w:hint="default"/>
        <w:lang w:val="uk-UA" w:eastAsia="en-US" w:bidi="ar-SA"/>
      </w:rPr>
    </w:lvl>
    <w:lvl w:ilvl="2" w:tplc="26F26BAE">
      <w:numFmt w:val="bullet"/>
      <w:lvlText w:val="•"/>
      <w:lvlJc w:val="left"/>
      <w:pPr>
        <w:ind w:left="1377" w:hanging="252"/>
      </w:pPr>
      <w:rPr>
        <w:rFonts w:hint="default"/>
        <w:lang w:val="uk-UA" w:eastAsia="en-US" w:bidi="ar-SA"/>
      </w:rPr>
    </w:lvl>
    <w:lvl w:ilvl="3" w:tplc="88D49E6A">
      <w:numFmt w:val="bullet"/>
      <w:lvlText w:val="•"/>
      <w:lvlJc w:val="left"/>
      <w:pPr>
        <w:ind w:left="1845" w:hanging="252"/>
      </w:pPr>
      <w:rPr>
        <w:rFonts w:hint="default"/>
        <w:lang w:val="uk-UA" w:eastAsia="en-US" w:bidi="ar-SA"/>
      </w:rPr>
    </w:lvl>
    <w:lvl w:ilvl="4" w:tplc="EE70C4C8">
      <w:numFmt w:val="bullet"/>
      <w:lvlText w:val="•"/>
      <w:lvlJc w:val="left"/>
      <w:pPr>
        <w:ind w:left="2314" w:hanging="252"/>
      </w:pPr>
      <w:rPr>
        <w:rFonts w:hint="default"/>
        <w:lang w:val="uk-UA" w:eastAsia="en-US" w:bidi="ar-SA"/>
      </w:rPr>
    </w:lvl>
    <w:lvl w:ilvl="5" w:tplc="9F7830A2">
      <w:numFmt w:val="bullet"/>
      <w:lvlText w:val="•"/>
      <w:lvlJc w:val="left"/>
      <w:pPr>
        <w:ind w:left="2783" w:hanging="252"/>
      </w:pPr>
      <w:rPr>
        <w:rFonts w:hint="default"/>
        <w:lang w:val="uk-UA" w:eastAsia="en-US" w:bidi="ar-SA"/>
      </w:rPr>
    </w:lvl>
    <w:lvl w:ilvl="6" w:tplc="3DE0436E">
      <w:numFmt w:val="bullet"/>
      <w:lvlText w:val="•"/>
      <w:lvlJc w:val="left"/>
      <w:pPr>
        <w:ind w:left="3251" w:hanging="252"/>
      </w:pPr>
      <w:rPr>
        <w:rFonts w:hint="default"/>
        <w:lang w:val="uk-UA" w:eastAsia="en-US" w:bidi="ar-SA"/>
      </w:rPr>
    </w:lvl>
    <w:lvl w:ilvl="7" w:tplc="604E0C04">
      <w:numFmt w:val="bullet"/>
      <w:lvlText w:val="•"/>
      <w:lvlJc w:val="left"/>
      <w:pPr>
        <w:ind w:left="3720" w:hanging="252"/>
      </w:pPr>
      <w:rPr>
        <w:rFonts w:hint="default"/>
        <w:lang w:val="uk-UA" w:eastAsia="en-US" w:bidi="ar-SA"/>
      </w:rPr>
    </w:lvl>
    <w:lvl w:ilvl="8" w:tplc="6D5E3544">
      <w:numFmt w:val="bullet"/>
      <w:lvlText w:val="•"/>
      <w:lvlJc w:val="left"/>
      <w:pPr>
        <w:ind w:left="4188" w:hanging="252"/>
      </w:pPr>
      <w:rPr>
        <w:rFonts w:hint="default"/>
        <w:lang w:val="uk-UA" w:eastAsia="en-US" w:bidi="ar-SA"/>
      </w:rPr>
    </w:lvl>
  </w:abstractNum>
  <w:abstractNum w:abstractNumId="43" w15:restartNumberingAfterBreak="0">
    <w:nsid w:val="19AA5676"/>
    <w:multiLevelType w:val="hybridMultilevel"/>
    <w:tmpl w:val="4A2C0BFE"/>
    <w:lvl w:ilvl="0" w:tplc="8B70C4F6">
      <w:start w:val="1"/>
      <w:numFmt w:val="decimal"/>
      <w:lvlText w:val="%1."/>
      <w:lvlJc w:val="left"/>
      <w:pPr>
        <w:ind w:left="678" w:hanging="360"/>
      </w:pPr>
      <w:rPr>
        <w:rFonts w:ascii="Times New Roman" w:eastAsia="Times New Roman" w:hAnsi="Times New Roman" w:cs="Times New Roman" w:hint="default"/>
        <w:spacing w:val="0"/>
        <w:w w:val="99"/>
        <w:sz w:val="20"/>
        <w:szCs w:val="20"/>
        <w:lang w:val="uk-UA" w:eastAsia="en-US" w:bidi="ar-SA"/>
      </w:rPr>
    </w:lvl>
    <w:lvl w:ilvl="1" w:tplc="B3B018A2">
      <w:numFmt w:val="bullet"/>
      <w:lvlText w:val="•"/>
      <w:lvlJc w:val="left"/>
      <w:pPr>
        <w:ind w:left="1148" w:hanging="360"/>
      </w:pPr>
      <w:rPr>
        <w:rFonts w:hint="default"/>
        <w:lang w:val="uk-UA" w:eastAsia="en-US" w:bidi="ar-SA"/>
      </w:rPr>
    </w:lvl>
    <w:lvl w:ilvl="2" w:tplc="45DC8AB4">
      <w:numFmt w:val="bullet"/>
      <w:lvlText w:val="•"/>
      <w:lvlJc w:val="left"/>
      <w:pPr>
        <w:ind w:left="1616" w:hanging="360"/>
      </w:pPr>
      <w:rPr>
        <w:rFonts w:hint="default"/>
        <w:lang w:val="uk-UA" w:eastAsia="en-US" w:bidi="ar-SA"/>
      </w:rPr>
    </w:lvl>
    <w:lvl w:ilvl="3" w:tplc="C324C5C4">
      <w:numFmt w:val="bullet"/>
      <w:lvlText w:val="•"/>
      <w:lvlJc w:val="left"/>
      <w:pPr>
        <w:ind w:left="2085" w:hanging="360"/>
      </w:pPr>
      <w:rPr>
        <w:rFonts w:hint="default"/>
        <w:lang w:val="uk-UA" w:eastAsia="en-US" w:bidi="ar-SA"/>
      </w:rPr>
    </w:lvl>
    <w:lvl w:ilvl="4" w:tplc="7722CC3E">
      <w:numFmt w:val="bullet"/>
      <w:lvlText w:val="•"/>
      <w:lvlJc w:val="left"/>
      <w:pPr>
        <w:ind w:left="2553" w:hanging="360"/>
      </w:pPr>
      <w:rPr>
        <w:rFonts w:hint="default"/>
        <w:lang w:val="uk-UA" w:eastAsia="en-US" w:bidi="ar-SA"/>
      </w:rPr>
    </w:lvl>
    <w:lvl w:ilvl="5" w:tplc="F0128802">
      <w:numFmt w:val="bullet"/>
      <w:lvlText w:val="•"/>
      <w:lvlJc w:val="left"/>
      <w:pPr>
        <w:ind w:left="3021" w:hanging="360"/>
      </w:pPr>
      <w:rPr>
        <w:rFonts w:hint="default"/>
        <w:lang w:val="uk-UA" w:eastAsia="en-US" w:bidi="ar-SA"/>
      </w:rPr>
    </w:lvl>
    <w:lvl w:ilvl="6" w:tplc="1AE64398">
      <w:numFmt w:val="bullet"/>
      <w:lvlText w:val="•"/>
      <w:lvlJc w:val="left"/>
      <w:pPr>
        <w:ind w:left="3490" w:hanging="360"/>
      </w:pPr>
      <w:rPr>
        <w:rFonts w:hint="default"/>
        <w:lang w:val="uk-UA" w:eastAsia="en-US" w:bidi="ar-SA"/>
      </w:rPr>
    </w:lvl>
    <w:lvl w:ilvl="7" w:tplc="B49C46F8">
      <w:numFmt w:val="bullet"/>
      <w:lvlText w:val="•"/>
      <w:lvlJc w:val="left"/>
      <w:pPr>
        <w:ind w:left="3958" w:hanging="360"/>
      </w:pPr>
      <w:rPr>
        <w:rFonts w:hint="default"/>
        <w:lang w:val="uk-UA" w:eastAsia="en-US" w:bidi="ar-SA"/>
      </w:rPr>
    </w:lvl>
    <w:lvl w:ilvl="8" w:tplc="2E969B4E">
      <w:numFmt w:val="bullet"/>
      <w:lvlText w:val="•"/>
      <w:lvlJc w:val="left"/>
      <w:pPr>
        <w:ind w:left="4426" w:hanging="360"/>
      </w:pPr>
      <w:rPr>
        <w:rFonts w:hint="default"/>
        <w:lang w:val="uk-UA" w:eastAsia="en-US" w:bidi="ar-SA"/>
      </w:rPr>
    </w:lvl>
  </w:abstractNum>
  <w:abstractNum w:abstractNumId="44" w15:restartNumberingAfterBreak="0">
    <w:nsid w:val="19F62F4E"/>
    <w:multiLevelType w:val="hybridMultilevel"/>
    <w:tmpl w:val="0E58CA32"/>
    <w:lvl w:ilvl="0" w:tplc="92066974">
      <w:start w:val="2"/>
      <w:numFmt w:val="lowerLetter"/>
      <w:lvlText w:val="%1)"/>
      <w:lvlJc w:val="left"/>
      <w:pPr>
        <w:ind w:left="658" w:hanging="218"/>
      </w:pPr>
      <w:rPr>
        <w:rFonts w:ascii="Times New Roman" w:eastAsia="Times New Roman" w:hAnsi="Times New Roman" w:cs="Times New Roman" w:hint="default"/>
        <w:spacing w:val="0"/>
        <w:w w:val="99"/>
        <w:sz w:val="20"/>
        <w:szCs w:val="20"/>
        <w:lang w:val="uk-UA" w:eastAsia="en-US" w:bidi="ar-SA"/>
      </w:rPr>
    </w:lvl>
    <w:lvl w:ilvl="1" w:tplc="1BFCD224">
      <w:numFmt w:val="bullet"/>
      <w:lvlText w:val="•"/>
      <w:lvlJc w:val="left"/>
      <w:pPr>
        <w:ind w:left="1106" w:hanging="218"/>
      </w:pPr>
      <w:rPr>
        <w:rFonts w:hint="default"/>
        <w:lang w:val="uk-UA" w:eastAsia="en-US" w:bidi="ar-SA"/>
      </w:rPr>
    </w:lvl>
    <w:lvl w:ilvl="2" w:tplc="6226DF48">
      <w:numFmt w:val="bullet"/>
      <w:lvlText w:val="•"/>
      <w:lvlJc w:val="left"/>
      <w:pPr>
        <w:ind w:left="1552" w:hanging="218"/>
      </w:pPr>
      <w:rPr>
        <w:rFonts w:hint="default"/>
        <w:lang w:val="uk-UA" w:eastAsia="en-US" w:bidi="ar-SA"/>
      </w:rPr>
    </w:lvl>
    <w:lvl w:ilvl="3" w:tplc="7F3EEEA0">
      <w:numFmt w:val="bullet"/>
      <w:lvlText w:val="•"/>
      <w:lvlJc w:val="left"/>
      <w:pPr>
        <w:ind w:left="1999" w:hanging="218"/>
      </w:pPr>
      <w:rPr>
        <w:rFonts w:hint="default"/>
        <w:lang w:val="uk-UA" w:eastAsia="en-US" w:bidi="ar-SA"/>
      </w:rPr>
    </w:lvl>
    <w:lvl w:ilvl="4" w:tplc="0680D708">
      <w:numFmt w:val="bullet"/>
      <w:lvlText w:val="•"/>
      <w:lvlJc w:val="left"/>
      <w:pPr>
        <w:ind w:left="2445" w:hanging="218"/>
      </w:pPr>
      <w:rPr>
        <w:rFonts w:hint="default"/>
        <w:lang w:val="uk-UA" w:eastAsia="en-US" w:bidi="ar-SA"/>
      </w:rPr>
    </w:lvl>
    <w:lvl w:ilvl="5" w:tplc="E49233D6">
      <w:numFmt w:val="bullet"/>
      <w:lvlText w:val="•"/>
      <w:lvlJc w:val="left"/>
      <w:pPr>
        <w:ind w:left="2892" w:hanging="218"/>
      </w:pPr>
      <w:rPr>
        <w:rFonts w:hint="default"/>
        <w:lang w:val="uk-UA" w:eastAsia="en-US" w:bidi="ar-SA"/>
      </w:rPr>
    </w:lvl>
    <w:lvl w:ilvl="6" w:tplc="132A8A18">
      <w:numFmt w:val="bullet"/>
      <w:lvlText w:val="•"/>
      <w:lvlJc w:val="left"/>
      <w:pPr>
        <w:ind w:left="3338" w:hanging="218"/>
      </w:pPr>
      <w:rPr>
        <w:rFonts w:hint="default"/>
        <w:lang w:val="uk-UA" w:eastAsia="en-US" w:bidi="ar-SA"/>
      </w:rPr>
    </w:lvl>
    <w:lvl w:ilvl="7" w:tplc="52A01BFA">
      <w:numFmt w:val="bullet"/>
      <w:lvlText w:val="•"/>
      <w:lvlJc w:val="left"/>
      <w:pPr>
        <w:ind w:left="3785" w:hanging="218"/>
      </w:pPr>
      <w:rPr>
        <w:rFonts w:hint="default"/>
        <w:lang w:val="uk-UA" w:eastAsia="en-US" w:bidi="ar-SA"/>
      </w:rPr>
    </w:lvl>
    <w:lvl w:ilvl="8" w:tplc="84FE72AE">
      <w:numFmt w:val="bullet"/>
      <w:lvlText w:val="•"/>
      <w:lvlJc w:val="left"/>
      <w:pPr>
        <w:ind w:left="4231" w:hanging="218"/>
      </w:pPr>
      <w:rPr>
        <w:rFonts w:hint="default"/>
        <w:lang w:val="uk-UA" w:eastAsia="en-US" w:bidi="ar-SA"/>
      </w:rPr>
    </w:lvl>
  </w:abstractNum>
  <w:abstractNum w:abstractNumId="45" w15:restartNumberingAfterBreak="0">
    <w:nsid w:val="1A973761"/>
    <w:multiLevelType w:val="hybridMultilevel"/>
    <w:tmpl w:val="8064DFF8"/>
    <w:lvl w:ilvl="0" w:tplc="D0CEF70C">
      <w:start w:val="1"/>
      <w:numFmt w:val="decimal"/>
      <w:lvlText w:val="%1."/>
      <w:lvlJc w:val="left"/>
      <w:pPr>
        <w:ind w:left="676" w:hanging="360"/>
      </w:pPr>
      <w:rPr>
        <w:rFonts w:hint="default"/>
        <w:spacing w:val="0"/>
        <w:w w:val="99"/>
        <w:lang w:val="uk-UA" w:eastAsia="en-US" w:bidi="ar-SA"/>
      </w:rPr>
    </w:lvl>
    <w:lvl w:ilvl="1" w:tplc="2AE4C4B6">
      <w:start w:val="1"/>
      <w:numFmt w:val="decimal"/>
      <w:lvlText w:val="%2."/>
      <w:lvlJc w:val="left"/>
      <w:pPr>
        <w:ind w:left="800" w:hanging="360"/>
      </w:pPr>
      <w:rPr>
        <w:rFonts w:ascii="Times New Roman" w:eastAsia="Times New Roman" w:hAnsi="Times New Roman" w:cs="Times New Roman" w:hint="default"/>
        <w:spacing w:val="0"/>
        <w:w w:val="99"/>
        <w:sz w:val="20"/>
        <w:szCs w:val="20"/>
        <w:lang w:val="uk-UA" w:eastAsia="en-US" w:bidi="ar-SA"/>
      </w:rPr>
    </w:lvl>
    <w:lvl w:ilvl="2" w:tplc="FA0427BA">
      <w:numFmt w:val="bullet"/>
      <w:lvlText w:val="•"/>
      <w:lvlJc w:val="left"/>
      <w:pPr>
        <w:ind w:left="706" w:hanging="360"/>
      </w:pPr>
      <w:rPr>
        <w:rFonts w:hint="default"/>
        <w:lang w:val="uk-UA" w:eastAsia="en-US" w:bidi="ar-SA"/>
      </w:rPr>
    </w:lvl>
    <w:lvl w:ilvl="3" w:tplc="648E365C">
      <w:numFmt w:val="bullet"/>
      <w:lvlText w:val="•"/>
      <w:lvlJc w:val="left"/>
      <w:pPr>
        <w:ind w:left="613" w:hanging="360"/>
      </w:pPr>
      <w:rPr>
        <w:rFonts w:hint="default"/>
        <w:lang w:val="uk-UA" w:eastAsia="en-US" w:bidi="ar-SA"/>
      </w:rPr>
    </w:lvl>
    <w:lvl w:ilvl="4" w:tplc="F208BF42">
      <w:numFmt w:val="bullet"/>
      <w:lvlText w:val="•"/>
      <w:lvlJc w:val="left"/>
      <w:pPr>
        <w:ind w:left="520" w:hanging="360"/>
      </w:pPr>
      <w:rPr>
        <w:rFonts w:hint="default"/>
        <w:lang w:val="uk-UA" w:eastAsia="en-US" w:bidi="ar-SA"/>
      </w:rPr>
    </w:lvl>
    <w:lvl w:ilvl="5" w:tplc="D06AF338">
      <w:numFmt w:val="bullet"/>
      <w:lvlText w:val="•"/>
      <w:lvlJc w:val="left"/>
      <w:pPr>
        <w:ind w:left="427" w:hanging="360"/>
      </w:pPr>
      <w:rPr>
        <w:rFonts w:hint="default"/>
        <w:lang w:val="uk-UA" w:eastAsia="en-US" w:bidi="ar-SA"/>
      </w:rPr>
    </w:lvl>
    <w:lvl w:ilvl="6" w:tplc="40C2A28A">
      <w:numFmt w:val="bullet"/>
      <w:lvlText w:val="•"/>
      <w:lvlJc w:val="left"/>
      <w:pPr>
        <w:ind w:left="333" w:hanging="360"/>
      </w:pPr>
      <w:rPr>
        <w:rFonts w:hint="default"/>
        <w:lang w:val="uk-UA" w:eastAsia="en-US" w:bidi="ar-SA"/>
      </w:rPr>
    </w:lvl>
    <w:lvl w:ilvl="7" w:tplc="156666B4">
      <w:numFmt w:val="bullet"/>
      <w:lvlText w:val="•"/>
      <w:lvlJc w:val="left"/>
      <w:pPr>
        <w:ind w:left="240" w:hanging="360"/>
      </w:pPr>
      <w:rPr>
        <w:rFonts w:hint="default"/>
        <w:lang w:val="uk-UA" w:eastAsia="en-US" w:bidi="ar-SA"/>
      </w:rPr>
    </w:lvl>
    <w:lvl w:ilvl="8" w:tplc="61A2E512">
      <w:numFmt w:val="bullet"/>
      <w:lvlText w:val="•"/>
      <w:lvlJc w:val="left"/>
      <w:pPr>
        <w:ind w:left="147" w:hanging="360"/>
      </w:pPr>
      <w:rPr>
        <w:rFonts w:hint="default"/>
        <w:lang w:val="uk-UA" w:eastAsia="en-US" w:bidi="ar-SA"/>
      </w:rPr>
    </w:lvl>
  </w:abstractNum>
  <w:abstractNum w:abstractNumId="46" w15:restartNumberingAfterBreak="0">
    <w:nsid w:val="1C330118"/>
    <w:multiLevelType w:val="hybridMultilevel"/>
    <w:tmpl w:val="6E38EEDA"/>
    <w:lvl w:ilvl="0" w:tplc="AB4E3C52">
      <w:start w:val="1"/>
      <w:numFmt w:val="decimal"/>
      <w:lvlText w:val="%1."/>
      <w:lvlJc w:val="left"/>
      <w:pPr>
        <w:ind w:left="318" w:hanging="219"/>
      </w:pPr>
      <w:rPr>
        <w:rFonts w:ascii="Times New Roman" w:eastAsia="Times New Roman" w:hAnsi="Times New Roman" w:cs="Times New Roman" w:hint="default"/>
        <w:spacing w:val="0"/>
        <w:w w:val="99"/>
        <w:sz w:val="20"/>
        <w:szCs w:val="20"/>
        <w:lang w:val="uk-UA" w:eastAsia="en-US" w:bidi="ar-SA"/>
      </w:rPr>
    </w:lvl>
    <w:lvl w:ilvl="1" w:tplc="7BE0E31E">
      <w:numFmt w:val="bullet"/>
      <w:lvlText w:val="•"/>
      <w:lvlJc w:val="left"/>
      <w:pPr>
        <w:ind w:left="824" w:hanging="219"/>
      </w:pPr>
      <w:rPr>
        <w:rFonts w:hint="default"/>
        <w:lang w:val="uk-UA" w:eastAsia="en-US" w:bidi="ar-SA"/>
      </w:rPr>
    </w:lvl>
    <w:lvl w:ilvl="2" w:tplc="B0C2B9E0">
      <w:numFmt w:val="bullet"/>
      <w:lvlText w:val="•"/>
      <w:lvlJc w:val="left"/>
      <w:pPr>
        <w:ind w:left="1328" w:hanging="219"/>
      </w:pPr>
      <w:rPr>
        <w:rFonts w:hint="default"/>
        <w:lang w:val="uk-UA" w:eastAsia="en-US" w:bidi="ar-SA"/>
      </w:rPr>
    </w:lvl>
    <w:lvl w:ilvl="3" w:tplc="5BAAF850">
      <w:numFmt w:val="bullet"/>
      <w:lvlText w:val="•"/>
      <w:lvlJc w:val="left"/>
      <w:pPr>
        <w:ind w:left="1833" w:hanging="219"/>
      </w:pPr>
      <w:rPr>
        <w:rFonts w:hint="default"/>
        <w:lang w:val="uk-UA" w:eastAsia="en-US" w:bidi="ar-SA"/>
      </w:rPr>
    </w:lvl>
    <w:lvl w:ilvl="4" w:tplc="DE54EC08">
      <w:numFmt w:val="bullet"/>
      <w:lvlText w:val="•"/>
      <w:lvlJc w:val="left"/>
      <w:pPr>
        <w:ind w:left="2337" w:hanging="219"/>
      </w:pPr>
      <w:rPr>
        <w:rFonts w:hint="default"/>
        <w:lang w:val="uk-UA" w:eastAsia="en-US" w:bidi="ar-SA"/>
      </w:rPr>
    </w:lvl>
    <w:lvl w:ilvl="5" w:tplc="7FBE158A">
      <w:numFmt w:val="bullet"/>
      <w:lvlText w:val="•"/>
      <w:lvlJc w:val="left"/>
      <w:pPr>
        <w:ind w:left="2841" w:hanging="219"/>
      </w:pPr>
      <w:rPr>
        <w:rFonts w:hint="default"/>
        <w:lang w:val="uk-UA" w:eastAsia="en-US" w:bidi="ar-SA"/>
      </w:rPr>
    </w:lvl>
    <w:lvl w:ilvl="6" w:tplc="C9462932">
      <w:numFmt w:val="bullet"/>
      <w:lvlText w:val="•"/>
      <w:lvlJc w:val="left"/>
      <w:pPr>
        <w:ind w:left="3346" w:hanging="219"/>
      </w:pPr>
      <w:rPr>
        <w:rFonts w:hint="default"/>
        <w:lang w:val="uk-UA" w:eastAsia="en-US" w:bidi="ar-SA"/>
      </w:rPr>
    </w:lvl>
    <w:lvl w:ilvl="7" w:tplc="E6C22672">
      <w:numFmt w:val="bullet"/>
      <w:lvlText w:val="•"/>
      <w:lvlJc w:val="left"/>
      <w:pPr>
        <w:ind w:left="3850" w:hanging="219"/>
      </w:pPr>
      <w:rPr>
        <w:rFonts w:hint="default"/>
        <w:lang w:val="uk-UA" w:eastAsia="en-US" w:bidi="ar-SA"/>
      </w:rPr>
    </w:lvl>
    <w:lvl w:ilvl="8" w:tplc="6994AC4E">
      <w:numFmt w:val="bullet"/>
      <w:lvlText w:val="•"/>
      <w:lvlJc w:val="left"/>
      <w:pPr>
        <w:ind w:left="4354" w:hanging="219"/>
      </w:pPr>
      <w:rPr>
        <w:rFonts w:hint="default"/>
        <w:lang w:val="uk-UA" w:eastAsia="en-US" w:bidi="ar-SA"/>
      </w:rPr>
    </w:lvl>
  </w:abstractNum>
  <w:abstractNum w:abstractNumId="47" w15:restartNumberingAfterBreak="0">
    <w:nsid w:val="1C4A08AE"/>
    <w:multiLevelType w:val="hybridMultilevel"/>
    <w:tmpl w:val="638A0FAA"/>
    <w:lvl w:ilvl="0" w:tplc="6D9A4E98">
      <w:numFmt w:val="bullet"/>
      <w:lvlText w:val="-"/>
      <w:lvlJc w:val="left"/>
      <w:pPr>
        <w:ind w:left="800" w:hanging="360"/>
      </w:pPr>
      <w:rPr>
        <w:rFonts w:ascii="Times New Roman" w:eastAsia="Times New Roman" w:hAnsi="Times New Roman" w:cs="Times New Roman" w:hint="default"/>
        <w:w w:val="99"/>
        <w:sz w:val="20"/>
        <w:szCs w:val="20"/>
        <w:lang w:val="uk-UA" w:eastAsia="en-US" w:bidi="ar-SA"/>
      </w:rPr>
    </w:lvl>
    <w:lvl w:ilvl="1" w:tplc="6DE213E8">
      <w:numFmt w:val="bullet"/>
      <w:lvlText w:val="•"/>
      <w:lvlJc w:val="left"/>
      <w:pPr>
        <w:ind w:left="1232" w:hanging="360"/>
      </w:pPr>
      <w:rPr>
        <w:rFonts w:hint="default"/>
        <w:lang w:val="uk-UA" w:eastAsia="en-US" w:bidi="ar-SA"/>
      </w:rPr>
    </w:lvl>
    <w:lvl w:ilvl="2" w:tplc="017C2E62">
      <w:numFmt w:val="bullet"/>
      <w:lvlText w:val="•"/>
      <w:lvlJc w:val="left"/>
      <w:pPr>
        <w:ind w:left="1665" w:hanging="360"/>
      </w:pPr>
      <w:rPr>
        <w:rFonts w:hint="default"/>
        <w:lang w:val="uk-UA" w:eastAsia="en-US" w:bidi="ar-SA"/>
      </w:rPr>
    </w:lvl>
    <w:lvl w:ilvl="3" w:tplc="CA548298">
      <w:numFmt w:val="bullet"/>
      <w:lvlText w:val="•"/>
      <w:lvlJc w:val="left"/>
      <w:pPr>
        <w:ind w:left="2097" w:hanging="360"/>
      </w:pPr>
      <w:rPr>
        <w:rFonts w:hint="default"/>
        <w:lang w:val="uk-UA" w:eastAsia="en-US" w:bidi="ar-SA"/>
      </w:rPr>
    </w:lvl>
    <w:lvl w:ilvl="4" w:tplc="863AE5D4">
      <w:numFmt w:val="bullet"/>
      <w:lvlText w:val="•"/>
      <w:lvlJc w:val="left"/>
      <w:pPr>
        <w:ind w:left="2530" w:hanging="360"/>
      </w:pPr>
      <w:rPr>
        <w:rFonts w:hint="default"/>
        <w:lang w:val="uk-UA" w:eastAsia="en-US" w:bidi="ar-SA"/>
      </w:rPr>
    </w:lvl>
    <w:lvl w:ilvl="5" w:tplc="A872AAFE">
      <w:numFmt w:val="bullet"/>
      <w:lvlText w:val="•"/>
      <w:lvlJc w:val="left"/>
      <w:pPr>
        <w:ind w:left="2963" w:hanging="360"/>
      </w:pPr>
      <w:rPr>
        <w:rFonts w:hint="default"/>
        <w:lang w:val="uk-UA" w:eastAsia="en-US" w:bidi="ar-SA"/>
      </w:rPr>
    </w:lvl>
    <w:lvl w:ilvl="6" w:tplc="6AA8064E">
      <w:numFmt w:val="bullet"/>
      <w:lvlText w:val="•"/>
      <w:lvlJc w:val="left"/>
      <w:pPr>
        <w:ind w:left="3395" w:hanging="360"/>
      </w:pPr>
      <w:rPr>
        <w:rFonts w:hint="default"/>
        <w:lang w:val="uk-UA" w:eastAsia="en-US" w:bidi="ar-SA"/>
      </w:rPr>
    </w:lvl>
    <w:lvl w:ilvl="7" w:tplc="38883A48">
      <w:numFmt w:val="bullet"/>
      <w:lvlText w:val="•"/>
      <w:lvlJc w:val="left"/>
      <w:pPr>
        <w:ind w:left="3828" w:hanging="360"/>
      </w:pPr>
      <w:rPr>
        <w:rFonts w:hint="default"/>
        <w:lang w:val="uk-UA" w:eastAsia="en-US" w:bidi="ar-SA"/>
      </w:rPr>
    </w:lvl>
    <w:lvl w:ilvl="8" w:tplc="6EE2399A">
      <w:numFmt w:val="bullet"/>
      <w:lvlText w:val="•"/>
      <w:lvlJc w:val="left"/>
      <w:pPr>
        <w:ind w:left="4260" w:hanging="360"/>
      </w:pPr>
      <w:rPr>
        <w:rFonts w:hint="default"/>
        <w:lang w:val="uk-UA" w:eastAsia="en-US" w:bidi="ar-SA"/>
      </w:rPr>
    </w:lvl>
  </w:abstractNum>
  <w:abstractNum w:abstractNumId="48" w15:restartNumberingAfterBreak="0">
    <w:nsid w:val="1CCD21D6"/>
    <w:multiLevelType w:val="hybridMultilevel"/>
    <w:tmpl w:val="A0905300"/>
    <w:lvl w:ilvl="0" w:tplc="98CE8620">
      <w:start w:val="1"/>
      <w:numFmt w:val="lowerLetter"/>
      <w:lvlText w:val="%1)"/>
      <w:lvlJc w:val="left"/>
      <w:pPr>
        <w:ind w:left="646" w:hanging="206"/>
      </w:pPr>
      <w:rPr>
        <w:rFonts w:ascii="Times New Roman" w:eastAsia="Times New Roman" w:hAnsi="Times New Roman" w:cs="Times New Roman" w:hint="default"/>
        <w:w w:val="99"/>
        <w:sz w:val="20"/>
        <w:szCs w:val="20"/>
        <w:lang w:val="uk-UA" w:eastAsia="en-US" w:bidi="ar-SA"/>
      </w:rPr>
    </w:lvl>
    <w:lvl w:ilvl="1" w:tplc="EACE6D18">
      <w:numFmt w:val="bullet"/>
      <w:lvlText w:val="•"/>
      <w:lvlJc w:val="left"/>
      <w:pPr>
        <w:ind w:left="1088" w:hanging="206"/>
      </w:pPr>
      <w:rPr>
        <w:rFonts w:hint="default"/>
        <w:lang w:val="uk-UA" w:eastAsia="en-US" w:bidi="ar-SA"/>
      </w:rPr>
    </w:lvl>
    <w:lvl w:ilvl="2" w:tplc="B08C99D2">
      <w:numFmt w:val="bullet"/>
      <w:lvlText w:val="•"/>
      <w:lvlJc w:val="left"/>
      <w:pPr>
        <w:ind w:left="1536" w:hanging="206"/>
      </w:pPr>
      <w:rPr>
        <w:rFonts w:hint="default"/>
        <w:lang w:val="uk-UA" w:eastAsia="en-US" w:bidi="ar-SA"/>
      </w:rPr>
    </w:lvl>
    <w:lvl w:ilvl="3" w:tplc="71B24036">
      <w:numFmt w:val="bullet"/>
      <w:lvlText w:val="•"/>
      <w:lvlJc w:val="left"/>
      <w:pPr>
        <w:ind w:left="1985" w:hanging="206"/>
      </w:pPr>
      <w:rPr>
        <w:rFonts w:hint="default"/>
        <w:lang w:val="uk-UA" w:eastAsia="en-US" w:bidi="ar-SA"/>
      </w:rPr>
    </w:lvl>
    <w:lvl w:ilvl="4" w:tplc="BA20004A">
      <w:numFmt w:val="bullet"/>
      <w:lvlText w:val="•"/>
      <w:lvlJc w:val="left"/>
      <w:pPr>
        <w:ind w:left="2433" w:hanging="206"/>
      </w:pPr>
      <w:rPr>
        <w:rFonts w:hint="default"/>
        <w:lang w:val="uk-UA" w:eastAsia="en-US" w:bidi="ar-SA"/>
      </w:rPr>
    </w:lvl>
    <w:lvl w:ilvl="5" w:tplc="55AC32DA">
      <w:numFmt w:val="bullet"/>
      <w:lvlText w:val="•"/>
      <w:lvlJc w:val="left"/>
      <w:pPr>
        <w:ind w:left="2882" w:hanging="206"/>
      </w:pPr>
      <w:rPr>
        <w:rFonts w:hint="default"/>
        <w:lang w:val="uk-UA" w:eastAsia="en-US" w:bidi="ar-SA"/>
      </w:rPr>
    </w:lvl>
    <w:lvl w:ilvl="6" w:tplc="3C3C4744">
      <w:numFmt w:val="bullet"/>
      <w:lvlText w:val="•"/>
      <w:lvlJc w:val="left"/>
      <w:pPr>
        <w:ind w:left="3330" w:hanging="206"/>
      </w:pPr>
      <w:rPr>
        <w:rFonts w:hint="default"/>
        <w:lang w:val="uk-UA" w:eastAsia="en-US" w:bidi="ar-SA"/>
      </w:rPr>
    </w:lvl>
    <w:lvl w:ilvl="7" w:tplc="4E66054A">
      <w:numFmt w:val="bullet"/>
      <w:lvlText w:val="•"/>
      <w:lvlJc w:val="left"/>
      <w:pPr>
        <w:ind w:left="3779" w:hanging="206"/>
      </w:pPr>
      <w:rPr>
        <w:rFonts w:hint="default"/>
        <w:lang w:val="uk-UA" w:eastAsia="en-US" w:bidi="ar-SA"/>
      </w:rPr>
    </w:lvl>
    <w:lvl w:ilvl="8" w:tplc="28827DE8">
      <w:numFmt w:val="bullet"/>
      <w:lvlText w:val="•"/>
      <w:lvlJc w:val="left"/>
      <w:pPr>
        <w:ind w:left="4227" w:hanging="206"/>
      </w:pPr>
      <w:rPr>
        <w:rFonts w:hint="default"/>
        <w:lang w:val="uk-UA" w:eastAsia="en-US" w:bidi="ar-SA"/>
      </w:rPr>
    </w:lvl>
  </w:abstractNum>
  <w:abstractNum w:abstractNumId="49" w15:restartNumberingAfterBreak="0">
    <w:nsid w:val="1D805EB9"/>
    <w:multiLevelType w:val="hybridMultilevel"/>
    <w:tmpl w:val="43EAF46E"/>
    <w:lvl w:ilvl="0" w:tplc="C98E085E">
      <w:start w:val="1"/>
      <w:numFmt w:val="lowerLetter"/>
      <w:lvlText w:val="%1)"/>
      <w:lvlJc w:val="left"/>
      <w:pPr>
        <w:ind w:left="646" w:hanging="206"/>
      </w:pPr>
      <w:rPr>
        <w:rFonts w:ascii="Times New Roman" w:eastAsia="Times New Roman" w:hAnsi="Times New Roman" w:cs="Times New Roman" w:hint="default"/>
        <w:w w:val="99"/>
        <w:sz w:val="20"/>
        <w:szCs w:val="20"/>
        <w:lang w:val="uk-UA" w:eastAsia="en-US" w:bidi="ar-SA"/>
      </w:rPr>
    </w:lvl>
    <w:lvl w:ilvl="1" w:tplc="3B4C5178">
      <w:start w:val="1"/>
      <w:numFmt w:val="decimal"/>
      <w:lvlText w:val="%2)"/>
      <w:lvlJc w:val="left"/>
      <w:pPr>
        <w:ind w:left="440" w:hanging="249"/>
      </w:pPr>
      <w:rPr>
        <w:rFonts w:ascii="Times New Roman" w:eastAsia="Times New Roman" w:hAnsi="Times New Roman" w:cs="Times New Roman" w:hint="default"/>
        <w:spacing w:val="0"/>
        <w:w w:val="99"/>
        <w:sz w:val="20"/>
        <w:szCs w:val="20"/>
        <w:lang w:val="uk-UA" w:eastAsia="en-US" w:bidi="ar-SA"/>
      </w:rPr>
    </w:lvl>
    <w:lvl w:ilvl="2" w:tplc="D87C85C4">
      <w:numFmt w:val="bullet"/>
      <w:lvlText w:val="•"/>
      <w:lvlJc w:val="left"/>
      <w:pPr>
        <w:ind w:left="1138" w:hanging="249"/>
      </w:pPr>
      <w:rPr>
        <w:rFonts w:hint="default"/>
        <w:lang w:val="uk-UA" w:eastAsia="en-US" w:bidi="ar-SA"/>
      </w:rPr>
    </w:lvl>
    <w:lvl w:ilvl="3" w:tplc="4A2E1428">
      <w:numFmt w:val="bullet"/>
      <w:lvlText w:val="•"/>
      <w:lvlJc w:val="left"/>
      <w:pPr>
        <w:ind w:left="1636" w:hanging="249"/>
      </w:pPr>
      <w:rPr>
        <w:rFonts w:hint="default"/>
        <w:lang w:val="uk-UA" w:eastAsia="en-US" w:bidi="ar-SA"/>
      </w:rPr>
    </w:lvl>
    <w:lvl w:ilvl="4" w:tplc="C28C0EC6">
      <w:numFmt w:val="bullet"/>
      <w:lvlText w:val="•"/>
      <w:lvlJc w:val="left"/>
      <w:pPr>
        <w:ind w:left="2134" w:hanging="249"/>
      </w:pPr>
      <w:rPr>
        <w:rFonts w:hint="default"/>
        <w:lang w:val="uk-UA" w:eastAsia="en-US" w:bidi="ar-SA"/>
      </w:rPr>
    </w:lvl>
    <w:lvl w:ilvl="5" w:tplc="1C8804C2">
      <w:numFmt w:val="bullet"/>
      <w:lvlText w:val="•"/>
      <w:lvlJc w:val="left"/>
      <w:pPr>
        <w:ind w:left="2633" w:hanging="249"/>
      </w:pPr>
      <w:rPr>
        <w:rFonts w:hint="default"/>
        <w:lang w:val="uk-UA" w:eastAsia="en-US" w:bidi="ar-SA"/>
      </w:rPr>
    </w:lvl>
    <w:lvl w:ilvl="6" w:tplc="F98C3424">
      <w:numFmt w:val="bullet"/>
      <w:lvlText w:val="•"/>
      <w:lvlJc w:val="left"/>
      <w:pPr>
        <w:ind w:left="3131" w:hanging="249"/>
      </w:pPr>
      <w:rPr>
        <w:rFonts w:hint="default"/>
        <w:lang w:val="uk-UA" w:eastAsia="en-US" w:bidi="ar-SA"/>
      </w:rPr>
    </w:lvl>
    <w:lvl w:ilvl="7" w:tplc="CBA892D0">
      <w:numFmt w:val="bullet"/>
      <w:lvlText w:val="•"/>
      <w:lvlJc w:val="left"/>
      <w:pPr>
        <w:ind w:left="3629" w:hanging="249"/>
      </w:pPr>
      <w:rPr>
        <w:rFonts w:hint="default"/>
        <w:lang w:val="uk-UA" w:eastAsia="en-US" w:bidi="ar-SA"/>
      </w:rPr>
    </w:lvl>
    <w:lvl w:ilvl="8" w:tplc="A9CA44F8">
      <w:numFmt w:val="bullet"/>
      <w:lvlText w:val="•"/>
      <w:lvlJc w:val="left"/>
      <w:pPr>
        <w:ind w:left="4127" w:hanging="249"/>
      </w:pPr>
      <w:rPr>
        <w:rFonts w:hint="default"/>
        <w:lang w:val="uk-UA" w:eastAsia="en-US" w:bidi="ar-SA"/>
      </w:rPr>
    </w:lvl>
  </w:abstractNum>
  <w:abstractNum w:abstractNumId="50" w15:restartNumberingAfterBreak="0">
    <w:nsid w:val="1DAB4EC5"/>
    <w:multiLevelType w:val="hybridMultilevel"/>
    <w:tmpl w:val="29BA2AC0"/>
    <w:lvl w:ilvl="0" w:tplc="7944BBC6">
      <w:start w:val="4"/>
      <w:numFmt w:val="lowerLetter"/>
      <w:lvlText w:val="%1)"/>
      <w:lvlJc w:val="left"/>
      <w:pPr>
        <w:ind w:left="313" w:hanging="274"/>
      </w:pPr>
      <w:rPr>
        <w:rFonts w:ascii="Times New Roman" w:eastAsia="Times New Roman" w:hAnsi="Times New Roman" w:cs="Times New Roman" w:hint="default"/>
        <w:spacing w:val="0"/>
        <w:w w:val="99"/>
        <w:sz w:val="20"/>
        <w:szCs w:val="20"/>
        <w:lang w:val="uk-UA" w:eastAsia="en-US" w:bidi="ar-SA"/>
      </w:rPr>
    </w:lvl>
    <w:lvl w:ilvl="1" w:tplc="4E6C14C2">
      <w:numFmt w:val="bullet"/>
      <w:lvlText w:val="•"/>
      <w:lvlJc w:val="left"/>
      <w:pPr>
        <w:ind w:left="823" w:hanging="274"/>
      </w:pPr>
      <w:rPr>
        <w:rFonts w:hint="default"/>
        <w:lang w:val="uk-UA" w:eastAsia="en-US" w:bidi="ar-SA"/>
      </w:rPr>
    </w:lvl>
    <w:lvl w:ilvl="2" w:tplc="B30A1D08">
      <w:numFmt w:val="bullet"/>
      <w:lvlText w:val="•"/>
      <w:lvlJc w:val="left"/>
      <w:pPr>
        <w:ind w:left="1327" w:hanging="274"/>
      </w:pPr>
      <w:rPr>
        <w:rFonts w:hint="default"/>
        <w:lang w:val="uk-UA" w:eastAsia="en-US" w:bidi="ar-SA"/>
      </w:rPr>
    </w:lvl>
    <w:lvl w:ilvl="3" w:tplc="04EE8034">
      <w:numFmt w:val="bullet"/>
      <w:lvlText w:val="•"/>
      <w:lvlJc w:val="left"/>
      <w:pPr>
        <w:ind w:left="1831" w:hanging="274"/>
      </w:pPr>
      <w:rPr>
        <w:rFonts w:hint="default"/>
        <w:lang w:val="uk-UA" w:eastAsia="en-US" w:bidi="ar-SA"/>
      </w:rPr>
    </w:lvl>
    <w:lvl w:ilvl="4" w:tplc="C5AE4650">
      <w:numFmt w:val="bullet"/>
      <w:lvlText w:val="•"/>
      <w:lvlJc w:val="left"/>
      <w:pPr>
        <w:ind w:left="2335" w:hanging="274"/>
      </w:pPr>
      <w:rPr>
        <w:rFonts w:hint="default"/>
        <w:lang w:val="uk-UA" w:eastAsia="en-US" w:bidi="ar-SA"/>
      </w:rPr>
    </w:lvl>
    <w:lvl w:ilvl="5" w:tplc="D6A88AA2">
      <w:numFmt w:val="bullet"/>
      <w:lvlText w:val="•"/>
      <w:lvlJc w:val="left"/>
      <w:pPr>
        <w:ind w:left="2839" w:hanging="274"/>
      </w:pPr>
      <w:rPr>
        <w:rFonts w:hint="default"/>
        <w:lang w:val="uk-UA" w:eastAsia="en-US" w:bidi="ar-SA"/>
      </w:rPr>
    </w:lvl>
    <w:lvl w:ilvl="6" w:tplc="CCF211B6">
      <w:numFmt w:val="bullet"/>
      <w:lvlText w:val="•"/>
      <w:lvlJc w:val="left"/>
      <w:pPr>
        <w:ind w:left="3343" w:hanging="274"/>
      </w:pPr>
      <w:rPr>
        <w:rFonts w:hint="default"/>
        <w:lang w:val="uk-UA" w:eastAsia="en-US" w:bidi="ar-SA"/>
      </w:rPr>
    </w:lvl>
    <w:lvl w:ilvl="7" w:tplc="EDF093A0">
      <w:numFmt w:val="bullet"/>
      <w:lvlText w:val="•"/>
      <w:lvlJc w:val="left"/>
      <w:pPr>
        <w:ind w:left="3847" w:hanging="274"/>
      </w:pPr>
      <w:rPr>
        <w:rFonts w:hint="default"/>
        <w:lang w:val="uk-UA" w:eastAsia="en-US" w:bidi="ar-SA"/>
      </w:rPr>
    </w:lvl>
    <w:lvl w:ilvl="8" w:tplc="D22A1AB6">
      <w:numFmt w:val="bullet"/>
      <w:lvlText w:val="•"/>
      <w:lvlJc w:val="left"/>
      <w:pPr>
        <w:ind w:left="4351" w:hanging="274"/>
      </w:pPr>
      <w:rPr>
        <w:rFonts w:hint="default"/>
        <w:lang w:val="uk-UA" w:eastAsia="en-US" w:bidi="ar-SA"/>
      </w:rPr>
    </w:lvl>
  </w:abstractNum>
  <w:abstractNum w:abstractNumId="51" w15:restartNumberingAfterBreak="0">
    <w:nsid w:val="1E6D6B7A"/>
    <w:multiLevelType w:val="hybridMultilevel"/>
    <w:tmpl w:val="0666BBAA"/>
    <w:lvl w:ilvl="0" w:tplc="DBC0DCEA">
      <w:start w:val="1"/>
      <w:numFmt w:val="decimal"/>
      <w:lvlText w:val="%1)"/>
      <w:lvlJc w:val="left"/>
      <w:pPr>
        <w:ind w:left="708" w:hanging="218"/>
      </w:pPr>
      <w:rPr>
        <w:rFonts w:ascii="Times New Roman" w:eastAsia="Times New Roman" w:hAnsi="Times New Roman" w:cs="Times New Roman" w:hint="default"/>
        <w:spacing w:val="0"/>
        <w:w w:val="99"/>
        <w:sz w:val="20"/>
        <w:szCs w:val="20"/>
        <w:lang w:val="uk-UA" w:eastAsia="en-US" w:bidi="ar-SA"/>
      </w:rPr>
    </w:lvl>
    <w:lvl w:ilvl="1" w:tplc="8582647A">
      <w:numFmt w:val="bullet"/>
      <w:lvlText w:val="•"/>
      <w:lvlJc w:val="left"/>
      <w:pPr>
        <w:ind w:left="1142" w:hanging="218"/>
      </w:pPr>
      <w:rPr>
        <w:rFonts w:hint="default"/>
        <w:lang w:val="uk-UA" w:eastAsia="en-US" w:bidi="ar-SA"/>
      </w:rPr>
    </w:lvl>
    <w:lvl w:ilvl="2" w:tplc="124C49D2">
      <w:numFmt w:val="bullet"/>
      <w:lvlText w:val="•"/>
      <w:lvlJc w:val="left"/>
      <w:pPr>
        <w:ind w:left="1585" w:hanging="218"/>
      </w:pPr>
      <w:rPr>
        <w:rFonts w:hint="default"/>
        <w:lang w:val="uk-UA" w:eastAsia="en-US" w:bidi="ar-SA"/>
      </w:rPr>
    </w:lvl>
    <w:lvl w:ilvl="3" w:tplc="64B4C492">
      <w:numFmt w:val="bullet"/>
      <w:lvlText w:val="•"/>
      <w:lvlJc w:val="left"/>
      <w:pPr>
        <w:ind w:left="2027" w:hanging="218"/>
      </w:pPr>
      <w:rPr>
        <w:rFonts w:hint="default"/>
        <w:lang w:val="uk-UA" w:eastAsia="en-US" w:bidi="ar-SA"/>
      </w:rPr>
    </w:lvl>
    <w:lvl w:ilvl="4" w:tplc="9B08F36E">
      <w:numFmt w:val="bullet"/>
      <w:lvlText w:val="•"/>
      <w:lvlJc w:val="left"/>
      <w:pPr>
        <w:ind w:left="2470" w:hanging="218"/>
      </w:pPr>
      <w:rPr>
        <w:rFonts w:hint="default"/>
        <w:lang w:val="uk-UA" w:eastAsia="en-US" w:bidi="ar-SA"/>
      </w:rPr>
    </w:lvl>
    <w:lvl w:ilvl="5" w:tplc="6264F862">
      <w:numFmt w:val="bullet"/>
      <w:lvlText w:val="•"/>
      <w:lvlJc w:val="left"/>
      <w:pPr>
        <w:ind w:left="2913" w:hanging="218"/>
      </w:pPr>
      <w:rPr>
        <w:rFonts w:hint="default"/>
        <w:lang w:val="uk-UA" w:eastAsia="en-US" w:bidi="ar-SA"/>
      </w:rPr>
    </w:lvl>
    <w:lvl w:ilvl="6" w:tplc="7AC20224">
      <w:numFmt w:val="bullet"/>
      <w:lvlText w:val="•"/>
      <w:lvlJc w:val="left"/>
      <w:pPr>
        <w:ind w:left="3355" w:hanging="218"/>
      </w:pPr>
      <w:rPr>
        <w:rFonts w:hint="default"/>
        <w:lang w:val="uk-UA" w:eastAsia="en-US" w:bidi="ar-SA"/>
      </w:rPr>
    </w:lvl>
    <w:lvl w:ilvl="7" w:tplc="9A5ADF50">
      <w:numFmt w:val="bullet"/>
      <w:lvlText w:val="•"/>
      <w:lvlJc w:val="left"/>
      <w:pPr>
        <w:ind w:left="3798" w:hanging="218"/>
      </w:pPr>
      <w:rPr>
        <w:rFonts w:hint="default"/>
        <w:lang w:val="uk-UA" w:eastAsia="en-US" w:bidi="ar-SA"/>
      </w:rPr>
    </w:lvl>
    <w:lvl w:ilvl="8" w:tplc="A61604A4">
      <w:numFmt w:val="bullet"/>
      <w:lvlText w:val="•"/>
      <w:lvlJc w:val="left"/>
      <w:pPr>
        <w:ind w:left="4240" w:hanging="218"/>
      </w:pPr>
      <w:rPr>
        <w:rFonts w:hint="default"/>
        <w:lang w:val="uk-UA" w:eastAsia="en-US" w:bidi="ar-SA"/>
      </w:rPr>
    </w:lvl>
  </w:abstractNum>
  <w:abstractNum w:abstractNumId="52" w15:restartNumberingAfterBreak="0">
    <w:nsid w:val="1FEC5519"/>
    <w:multiLevelType w:val="hybridMultilevel"/>
    <w:tmpl w:val="AA7AA908"/>
    <w:lvl w:ilvl="0" w:tplc="159208BE">
      <w:start w:val="2"/>
      <w:numFmt w:val="lowerLetter"/>
      <w:lvlText w:val="%1)"/>
      <w:lvlJc w:val="left"/>
      <w:pPr>
        <w:ind w:left="658" w:hanging="218"/>
      </w:pPr>
      <w:rPr>
        <w:rFonts w:ascii="Times New Roman" w:eastAsia="Times New Roman" w:hAnsi="Times New Roman" w:cs="Times New Roman" w:hint="default"/>
        <w:spacing w:val="0"/>
        <w:w w:val="99"/>
        <w:sz w:val="20"/>
        <w:szCs w:val="20"/>
        <w:lang w:val="uk-UA" w:eastAsia="en-US" w:bidi="ar-SA"/>
      </w:rPr>
    </w:lvl>
    <w:lvl w:ilvl="1" w:tplc="DEA89210">
      <w:start w:val="1"/>
      <w:numFmt w:val="decimal"/>
      <w:lvlText w:val="%2)"/>
      <w:lvlJc w:val="left"/>
      <w:pPr>
        <w:ind w:left="833" w:hanging="218"/>
      </w:pPr>
      <w:rPr>
        <w:rFonts w:ascii="Times New Roman" w:eastAsia="Times New Roman" w:hAnsi="Times New Roman" w:cs="Times New Roman" w:hint="default"/>
        <w:spacing w:val="0"/>
        <w:w w:val="99"/>
        <w:sz w:val="20"/>
        <w:szCs w:val="20"/>
        <w:lang w:val="uk-UA" w:eastAsia="en-US" w:bidi="ar-SA"/>
      </w:rPr>
    </w:lvl>
    <w:lvl w:ilvl="2" w:tplc="0B226F52">
      <w:numFmt w:val="bullet"/>
      <w:lvlText w:val="•"/>
      <w:lvlJc w:val="left"/>
      <w:pPr>
        <w:ind w:left="1316" w:hanging="218"/>
      </w:pPr>
      <w:rPr>
        <w:rFonts w:hint="default"/>
        <w:lang w:val="uk-UA" w:eastAsia="en-US" w:bidi="ar-SA"/>
      </w:rPr>
    </w:lvl>
    <w:lvl w:ilvl="3" w:tplc="3AE282EE">
      <w:numFmt w:val="bullet"/>
      <w:lvlText w:val="•"/>
      <w:lvlJc w:val="left"/>
      <w:pPr>
        <w:ind w:left="1792" w:hanging="218"/>
      </w:pPr>
      <w:rPr>
        <w:rFonts w:hint="default"/>
        <w:lang w:val="uk-UA" w:eastAsia="en-US" w:bidi="ar-SA"/>
      </w:rPr>
    </w:lvl>
    <w:lvl w:ilvl="4" w:tplc="6B5C1E56">
      <w:numFmt w:val="bullet"/>
      <w:lvlText w:val="•"/>
      <w:lvlJc w:val="left"/>
      <w:pPr>
        <w:ind w:left="2268" w:hanging="218"/>
      </w:pPr>
      <w:rPr>
        <w:rFonts w:hint="default"/>
        <w:lang w:val="uk-UA" w:eastAsia="en-US" w:bidi="ar-SA"/>
      </w:rPr>
    </w:lvl>
    <w:lvl w:ilvl="5" w:tplc="46FA505E">
      <w:numFmt w:val="bullet"/>
      <w:lvlText w:val="•"/>
      <w:lvlJc w:val="left"/>
      <w:pPr>
        <w:ind w:left="2744" w:hanging="218"/>
      </w:pPr>
      <w:rPr>
        <w:rFonts w:hint="default"/>
        <w:lang w:val="uk-UA" w:eastAsia="en-US" w:bidi="ar-SA"/>
      </w:rPr>
    </w:lvl>
    <w:lvl w:ilvl="6" w:tplc="8356DC6C">
      <w:numFmt w:val="bullet"/>
      <w:lvlText w:val="•"/>
      <w:lvlJc w:val="left"/>
      <w:pPr>
        <w:ind w:left="3221" w:hanging="218"/>
      </w:pPr>
      <w:rPr>
        <w:rFonts w:hint="default"/>
        <w:lang w:val="uk-UA" w:eastAsia="en-US" w:bidi="ar-SA"/>
      </w:rPr>
    </w:lvl>
    <w:lvl w:ilvl="7" w:tplc="9B7EB3E6">
      <w:numFmt w:val="bullet"/>
      <w:lvlText w:val="•"/>
      <w:lvlJc w:val="left"/>
      <w:pPr>
        <w:ind w:left="3697" w:hanging="218"/>
      </w:pPr>
      <w:rPr>
        <w:rFonts w:hint="default"/>
        <w:lang w:val="uk-UA" w:eastAsia="en-US" w:bidi="ar-SA"/>
      </w:rPr>
    </w:lvl>
    <w:lvl w:ilvl="8" w:tplc="0010A1F2">
      <w:numFmt w:val="bullet"/>
      <w:lvlText w:val="•"/>
      <w:lvlJc w:val="left"/>
      <w:pPr>
        <w:ind w:left="4173" w:hanging="218"/>
      </w:pPr>
      <w:rPr>
        <w:rFonts w:hint="default"/>
        <w:lang w:val="uk-UA" w:eastAsia="en-US" w:bidi="ar-SA"/>
      </w:rPr>
    </w:lvl>
  </w:abstractNum>
  <w:abstractNum w:abstractNumId="53" w15:restartNumberingAfterBreak="0">
    <w:nsid w:val="1FF11E14"/>
    <w:multiLevelType w:val="hybridMultilevel"/>
    <w:tmpl w:val="59CE97C0"/>
    <w:lvl w:ilvl="0" w:tplc="15E41B7E">
      <w:start w:val="1"/>
      <w:numFmt w:val="decimal"/>
      <w:lvlText w:val="%1)"/>
      <w:lvlJc w:val="left"/>
      <w:pPr>
        <w:ind w:left="317" w:hanging="230"/>
      </w:pPr>
      <w:rPr>
        <w:rFonts w:ascii="Times New Roman" w:eastAsia="Times New Roman" w:hAnsi="Times New Roman" w:cs="Times New Roman" w:hint="default"/>
        <w:spacing w:val="0"/>
        <w:w w:val="99"/>
        <w:sz w:val="20"/>
        <w:szCs w:val="20"/>
        <w:lang w:val="uk-UA" w:eastAsia="en-US" w:bidi="ar-SA"/>
      </w:rPr>
    </w:lvl>
    <w:lvl w:ilvl="1" w:tplc="0BD2CFEA">
      <w:numFmt w:val="bullet"/>
      <w:lvlText w:val="•"/>
      <w:lvlJc w:val="left"/>
      <w:pPr>
        <w:ind w:left="824" w:hanging="230"/>
      </w:pPr>
      <w:rPr>
        <w:rFonts w:hint="default"/>
        <w:lang w:val="uk-UA" w:eastAsia="en-US" w:bidi="ar-SA"/>
      </w:rPr>
    </w:lvl>
    <w:lvl w:ilvl="2" w:tplc="BBA645DC">
      <w:numFmt w:val="bullet"/>
      <w:lvlText w:val="•"/>
      <w:lvlJc w:val="left"/>
      <w:pPr>
        <w:ind w:left="1328" w:hanging="230"/>
      </w:pPr>
      <w:rPr>
        <w:rFonts w:hint="default"/>
        <w:lang w:val="uk-UA" w:eastAsia="en-US" w:bidi="ar-SA"/>
      </w:rPr>
    </w:lvl>
    <w:lvl w:ilvl="3" w:tplc="7B7CE6CC">
      <w:numFmt w:val="bullet"/>
      <w:lvlText w:val="•"/>
      <w:lvlJc w:val="left"/>
      <w:pPr>
        <w:ind w:left="1832" w:hanging="230"/>
      </w:pPr>
      <w:rPr>
        <w:rFonts w:hint="default"/>
        <w:lang w:val="uk-UA" w:eastAsia="en-US" w:bidi="ar-SA"/>
      </w:rPr>
    </w:lvl>
    <w:lvl w:ilvl="4" w:tplc="C4C08308">
      <w:numFmt w:val="bullet"/>
      <w:lvlText w:val="•"/>
      <w:lvlJc w:val="left"/>
      <w:pPr>
        <w:ind w:left="2336" w:hanging="230"/>
      </w:pPr>
      <w:rPr>
        <w:rFonts w:hint="default"/>
        <w:lang w:val="uk-UA" w:eastAsia="en-US" w:bidi="ar-SA"/>
      </w:rPr>
    </w:lvl>
    <w:lvl w:ilvl="5" w:tplc="5704B5FE">
      <w:numFmt w:val="bullet"/>
      <w:lvlText w:val="•"/>
      <w:lvlJc w:val="left"/>
      <w:pPr>
        <w:ind w:left="2841" w:hanging="230"/>
      </w:pPr>
      <w:rPr>
        <w:rFonts w:hint="default"/>
        <w:lang w:val="uk-UA" w:eastAsia="en-US" w:bidi="ar-SA"/>
      </w:rPr>
    </w:lvl>
    <w:lvl w:ilvl="6" w:tplc="5E22D088">
      <w:numFmt w:val="bullet"/>
      <w:lvlText w:val="•"/>
      <w:lvlJc w:val="left"/>
      <w:pPr>
        <w:ind w:left="3345" w:hanging="230"/>
      </w:pPr>
      <w:rPr>
        <w:rFonts w:hint="default"/>
        <w:lang w:val="uk-UA" w:eastAsia="en-US" w:bidi="ar-SA"/>
      </w:rPr>
    </w:lvl>
    <w:lvl w:ilvl="7" w:tplc="ACDE6C46">
      <w:numFmt w:val="bullet"/>
      <w:lvlText w:val="•"/>
      <w:lvlJc w:val="left"/>
      <w:pPr>
        <w:ind w:left="3849" w:hanging="230"/>
      </w:pPr>
      <w:rPr>
        <w:rFonts w:hint="default"/>
        <w:lang w:val="uk-UA" w:eastAsia="en-US" w:bidi="ar-SA"/>
      </w:rPr>
    </w:lvl>
    <w:lvl w:ilvl="8" w:tplc="576883EC">
      <w:numFmt w:val="bullet"/>
      <w:lvlText w:val="•"/>
      <w:lvlJc w:val="left"/>
      <w:pPr>
        <w:ind w:left="4353" w:hanging="230"/>
      </w:pPr>
      <w:rPr>
        <w:rFonts w:hint="default"/>
        <w:lang w:val="uk-UA" w:eastAsia="en-US" w:bidi="ar-SA"/>
      </w:rPr>
    </w:lvl>
  </w:abstractNum>
  <w:abstractNum w:abstractNumId="54" w15:restartNumberingAfterBreak="0">
    <w:nsid w:val="209F3315"/>
    <w:multiLevelType w:val="hybridMultilevel"/>
    <w:tmpl w:val="1FC89492"/>
    <w:lvl w:ilvl="0" w:tplc="FFFFFFFF">
      <w:start w:val="27"/>
      <w:numFmt w:val="bullet"/>
      <w:lvlText w:val="-"/>
      <w:lvlJc w:val="left"/>
      <w:pPr>
        <w:ind w:left="928" w:hanging="360"/>
      </w:pPr>
      <w:rPr>
        <w:rFonts w:ascii="Times New Roman" w:eastAsia="Times New Roman" w:hAnsi="Times New Roman" w:cs="Times New Roman" w:hint="default"/>
      </w:rPr>
    </w:lvl>
    <w:lvl w:ilvl="1" w:tplc="28E6742C">
      <w:start w:val="2"/>
      <w:numFmt w:val="bullet"/>
      <w:lvlText w:val="-"/>
      <w:lvlJc w:val="left"/>
      <w:pPr>
        <w:ind w:left="1168" w:hanging="360"/>
      </w:pPr>
      <w:rPr>
        <w:rFonts w:ascii="Times New Roman" w:eastAsia="Times New Roman" w:hAnsi="Times New Roman" w:cs="Times New Roman" w:hint="default"/>
      </w:r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55" w15:restartNumberingAfterBreak="0">
    <w:nsid w:val="218D617D"/>
    <w:multiLevelType w:val="multilevel"/>
    <w:tmpl w:val="E0B04B1E"/>
    <w:lvl w:ilvl="0">
      <w:start w:val="1"/>
      <w:numFmt w:val="decimal"/>
      <w:lvlText w:val="%1."/>
      <w:lvlJc w:val="left"/>
      <w:pPr>
        <w:ind w:left="108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56" w15:restartNumberingAfterBreak="0">
    <w:nsid w:val="21E508FF"/>
    <w:multiLevelType w:val="hybridMultilevel"/>
    <w:tmpl w:val="A558A39E"/>
    <w:lvl w:ilvl="0" w:tplc="4E440B26">
      <w:start w:val="1"/>
      <w:numFmt w:val="decimal"/>
      <w:lvlText w:val="%1."/>
      <w:lvlJc w:val="left"/>
      <w:pPr>
        <w:ind w:left="676" w:hanging="360"/>
      </w:pPr>
      <w:rPr>
        <w:rFonts w:ascii="Times New Roman" w:eastAsia="Times New Roman" w:hAnsi="Times New Roman" w:cs="Times New Roman" w:hint="default"/>
        <w:spacing w:val="0"/>
        <w:w w:val="99"/>
        <w:sz w:val="20"/>
        <w:szCs w:val="20"/>
        <w:lang w:val="uk-UA" w:eastAsia="en-US" w:bidi="ar-SA"/>
      </w:rPr>
    </w:lvl>
    <w:lvl w:ilvl="1" w:tplc="06041144">
      <w:start w:val="1"/>
      <w:numFmt w:val="decimal"/>
      <w:lvlText w:val="%2."/>
      <w:lvlJc w:val="left"/>
      <w:pPr>
        <w:ind w:left="440" w:hanging="225"/>
        <w:jc w:val="right"/>
      </w:pPr>
      <w:rPr>
        <w:rFonts w:ascii="Times New Roman" w:eastAsia="Times New Roman" w:hAnsi="Times New Roman" w:cs="Times New Roman" w:hint="default"/>
        <w:spacing w:val="0"/>
        <w:w w:val="99"/>
        <w:sz w:val="20"/>
        <w:szCs w:val="20"/>
        <w:lang w:val="uk-UA" w:eastAsia="en-US" w:bidi="ar-SA"/>
      </w:rPr>
    </w:lvl>
    <w:lvl w:ilvl="2" w:tplc="E0FA8506">
      <w:numFmt w:val="bullet"/>
      <w:lvlText w:val="•"/>
      <w:lvlJc w:val="left"/>
      <w:pPr>
        <w:ind w:left="600" w:hanging="225"/>
      </w:pPr>
      <w:rPr>
        <w:rFonts w:hint="default"/>
        <w:lang w:val="uk-UA" w:eastAsia="en-US" w:bidi="ar-SA"/>
      </w:rPr>
    </w:lvl>
    <w:lvl w:ilvl="3" w:tplc="C3228CBC">
      <w:numFmt w:val="bullet"/>
      <w:lvlText w:val="•"/>
      <w:lvlJc w:val="left"/>
      <w:pPr>
        <w:ind w:left="520" w:hanging="225"/>
      </w:pPr>
      <w:rPr>
        <w:rFonts w:hint="default"/>
        <w:lang w:val="uk-UA" w:eastAsia="en-US" w:bidi="ar-SA"/>
      </w:rPr>
    </w:lvl>
    <w:lvl w:ilvl="4" w:tplc="9102A0B4">
      <w:numFmt w:val="bullet"/>
      <w:lvlText w:val="•"/>
      <w:lvlJc w:val="left"/>
      <w:pPr>
        <w:ind w:left="440" w:hanging="225"/>
      </w:pPr>
      <w:rPr>
        <w:rFonts w:hint="default"/>
        <w:lang w:val="uk-UA" w:eastAsia="en-US" w:bidi="ar-SA"/>
      </w:rPr>
    </w:lvl>
    <w:lvl w:ilvl="5" w:tplc="947842DC">
      <w:numFmt w:val="bullet"/>
      <w:lvlText w:val="•"/>
      <w:lvlJc w:val="left"/>
      <w:pPr>
        <w:ind w:left="360" w:hanging="225"/>
      </w:pPr>
      <w:rPr>
        <w:rFonts w:hint="default"/>
        <w:lang w:val="uk-UA" w:eastAsia="en-US" w:bidi="ar-SA"/>
      </w:rPr>
    </w:lvl>
    <w:lvl w:ilvl="6" w:tplc="4024F164">
      <w:numFmt w:val="bullet"/>
      <w:lvlText w:val="•"/>
      <w:lvlJc w:val="left"/>
      <w:pPr>
        <w:ind w:left="280" w:hanging="225"/>
      </w:pPr>
      <w:rPr>
        <w:rFonts w:hint="default"/>
        <w:lang w:val="uk-UA" w:eastAsia="en-US" w:bidi="ar-SA"/>
      </w:rPr>
    </w:lvl>
    <w:lvl w:ilvl="7" w:tplc="098221CE">
      <w:numFmt w:val="bullet"/>
      <w:lvlText w:val="•"/>
      <w:lvlJc w:val="left"/>
      <w:pPr>
        <w:ind w:left="200" w:hanging="225"/>
      </w:pPr>
      <w:rPr>
        <w:rFonts w:hint="default"/>
        <w:lang w:val="uk-UA" w:eastAsia="en-US" w:bidi="ar-SA"/>
      </w:rPr>
    </w:lvl>
    <w:lvl w:ilvl="8" w:tplc="381AB402">
      <w:numFmt w:val="bullet"/>
      <w:lvlText w:val="•"/>
      <w:lvlJc w:val="left"/>
      <w:pPr>
        <w:ind w:left="121" w:hanging="225"/>
      </w:pPr>
      <w:rPr>
        <w:rFonts w:hint="default"/>
        <w:lang w:val="uk-UA" w:eastAsia="en-US" w:bidi="ar-SA"/>
      </w:rPr>
    </w:lvl>
  </w:abstractNum>
  <w:abstractNum w:abstractNumId="57" w15:restartNumberingAfterBreak="0">
    <w:nsid w:val="22EF57C0"/>
    <w:multiLevelType w:val="hybridMultilevel"/>
    <w:tmpl w:val="5DFC1B42"/>
    <w:lvl w:ilvl="0" w:tplc="3B9E66FE">
      <w:numFmt w:val="bullet"/>
      <w:lvlText w:val="-"/>
      <w:lvlJc w:val="left"/>
      <w:pPr>
        <w:ind w:left="316" w:hanging="159"/>
      </w:pPr>
      <w:rPr>
        <w:rFonts w:ascii="Times New Roman" w:eastAsia="Times New Roman" w:hAnsi="Times New Roman" w:cs="Times New Roman" w:hint="default"/>
        <w:w w:val="99"/>
        <w:sz w:val="20"/>
        <w:szCs w:val="20"/>
        <w:lang w:val="uk-UA" w:eastAsia="en-US" w:bidi="ar-SA"/>
      </w:rPr>
    </w:lvl>
    <w:lvl w:ilvl="1" w:tplc="BEB83D04">
      <w:numFmt w:val="bullet"/>
      <w:lvlText w:val="•"/>
      <w:lvlJc w:val="left"/>
      <w:pPr>
        <w:ind w:left="824" w:hanging="159"/>
      </w:pPr>
      <w:rPr>
        <w:rFonts w:hint="default"/>
        <w:lang w:val="uk-UA" w:eastAsia="en-US" w:bidi="ar-SA"/>
      </w:rPr>
    </w:lvl>
    <w:lvl w:ilvl="2" w:tplc="464E7FD6">
      <w:numFmt w:val="bullet"/>
      <w:lvlText w:val="•"/>
      <w:lvlJc w:val="left"/>
      <w:pPr>
        <w:ind w:left="1328" w:hanging="159"/>
      </w:pPr>
      <w:rPr>
        <w:rFonts w:hint="default"/>
        <w:lang w:val="uk-UA" w:eastAsia="en-US" w:bidi="ar-SA"/>
      </w:rPr>
    </w:lvl>
    <w:lvl w:ilvl="3" w:tplc="D6B69C96">
      <w:numFmt w:val="bullet"/>
      <w:lvlText w:val="•"/>
      <w:lvlJc w:val="left"/>
      <w:pPr>
        <w:ind w:left="1832" w:hanging="159"/>
      </w:pPr>
      <w:rPr>
        <w:rFonts w:hint="default"/>
        <w:lang w:val="uk-UA" w:eastAsia="en-US" w:bidi="ar-SA"/>
      </w:rPr>
    </w:lvl>
    <w:lvl w:ilvl="4" w:tplc="B93CCA7C">
      <w:numFmt w:val="bullet"/>
      <w:lvlText w:val="•"/>
      <w:lvlJc w:val="left"/>
      <w:pPr>
        <w:ind w:left="2336" w:hanging="159"/>
      </w:pPr>
      <w:rPr>
        <w:rFonts w:hint="default"/>
        <w:lang w:val="uk-UA" w:eastAsia="en-US" w:bidi="ar-SA"/>
      </w:rPr>
    </w:lvl>
    <w:lvl w:ilvl="5" w:tplc="6BAE5BFE">
      <w:numFmt w:val="bullet"/>
      <w:lvlText w:val="•"/>
      <w:lvlJc w:val="left"/>
      <w:pPr>
        <w:ind w:left="2840" w:hanging="159"/>
      </w:pPr>
      <w:rPr>
        <w:rFonts w:hint="default"/>
        <w:lang w:val="uk-UA" w:eastAsia="en-US" w:bidi="ar-SA"/>
      </w:rPr>
    </w:lvl>
    <w:lvl w:ilvl="6" w:tplc="8228A9CE">
      <w:numFmt w:val="bullet"/>
      <w:lvlText w:val="•"/>
      <w:lvlJc w:val="left"/>
      <w:pPr>
        <w:ind w:left="3344" w:hanging="159"/>
      </w:pPr>
      <w:rPr>
        <w:rFonts w:hint="default"/>
        <w:lang w:val="uk-UA" w:eastAsia="en-US" w:bidi="ar-SA"/>
      </w:rPr>
    </w:lvl>
    <w:lvl w:ilvl="7" w:tplc="F6B64CB6">
      <w:numFmt w:val="bullet"/>
      <w:lvlText w:val="•"/>
      <w:lvlJc w:val="left"/>
      <w:pPr>
        <w:ind w:left="3848" w:hanging="159"/>
      </w:pPr>
      <w:rPr>
        <w:rFonts w:hint="default"/>
        <w:lang w:val="uk-UA" w:eastAsia="en-US" w:bidi="ar-SA"/>
      </w:rPr>
    </w:lvl>
    <w:lvl w:ilvl="8" w:tplc="4B50C8AA">
      <w:numFmt w:val="bullet"/>
      <w:lvlText w:val="•"/>
      <w:lvlJc w:val="left"/>
      <w:pPr>
        <w:ind w:left="4352" w:hanging="159"/>
      </w:pPr>
      <w:rPr>
        <w:rFonts w:hint="default"/>
        <w:lang w:val="uk-UA" w:eastAsia="en-US" w:bidi="ar-SA"/>
      </w:rPr>
    </w:lvl>
  </w:abstractNum>
  <w:abstractNum w:abstractNumId="58" w15:restartNumberingAfterBreak="0">
    <w:nsid w:val="22F9699F"/>
    <w:multiLevelType w:val="hybridMultilevel"/>
    <w:tmpl w:val="7B866516"/>
    <w:lvl w:ilvl="0" w:tplc="751642F8">
      <w:start w:val="1"/>
      <w:numFmt w:val="decimal"/>
      <w:lvlText w:val="%1."/>
      <w:lvlJc w:val="left"/>
      <w:pPr>
        <w:ind w:left="800" w:hanging="360"/>
      </w:pPr>
      <w:rPr>
        <w:rFonts w:hint="default"/>
        <w:spacing w:val="0"/>
        <w:w w:val="99"/>
        <w:lang w:val="uk-UA" w:eastAsia="en-US" w:bidi="ar-SA"/>
      </w:rPr>
    </w:lvl>
    <w:lvl w:ilvl="1" w:tplc="85CEAA86">
      <w:numFmt w:val="bullet"/>
      <w:lvlText w:val="•"/>
      <w:lvlJc w:val="left"/>
      <w:pPr>
        <w:ind w:left="1772" w:hanging="360"/>
      </w:pPr>
      <w:rPr>
        <w:rFonts w:hint="default"/>
        <w:lang w:val="uk-UA" w:eastAsia="en-US" w:bidi="ar-SA"/>
      </w:rPr>
    </w:lvl>
    <w:lvl w:ilvl="2" w:tplc="68003B50">
      <w:numFmt w:val="bullet"/>
      <w:lvlText w:val="•"/>
      <w:lvlJc w:val="left"/>
      <w:pPr>
        <w:ind w:left="2745" w:hanging="360"/>
      </w:pPr>
      <w:rPr>
        <w:rFonts w:hint="default"/>
        <w:lang w:val="uk-UA" w:eastAsia="en-US" w:bidi="ar-SA"/>
      </w:rPr>
    </w:lvl>
    <w:lvl w:ilvl="3" w:tplc="E66678E6">
      <w:numFmt w:val="bullet"/>
      <w:lvlText w:val="•"/>
      <w:lvlJc w:val="left"/>
      <w:pPr>
        <w:ind w:left="3717" w:hanging="360"/>
      </w:pPr>
      <w:rPr>
        <w:rFonts w:hint="default"/>
        <w:lang w:val="uk-UA" w:eastAsia="en-US" w:bidi="ar-SA"/>
      </w:rPr>
    </w:lvl>
    <w:lvl w:ilvl="4" w:tplc="B680D8C4">
      <w:numFmt w:val="bullet"/>
      <w:lvlText w:val="•"/>
      <w:lvlJc w:val="left"/>
      <w:pPr>
        <w:ind w:left="4690" w:hanging="360"/>
      </w:pPr>
      <w:rPr>
        <w:rFonts w:hint="default"/>
        <w:lang w:val="uk-UA" w:eastAsia="en-US" w:bidi="ar-SA"/>
      </w:rPr>
    </w:lvl>
    <w:lvl w:ilvl="5" w:tplc="6562E3BA">
      <w:numFmt w:val="bullet"/>
      <w:lvlText w:val="•"/>
      <w:lvlJc w:val="left"/>
      <w:pPr>
        <w:ind w:left="5663" w:hanging="360"/>
      </w:pPr>
      <w:rPr>
        <w:rFonts w:hint="default"/>
        <w:lang w:val="uk-UA" w:eastAsia="en-US" w:bidi="ar-SA"/>
      </w:rPr>
    </w:lvl>
    <w:lvl w:ilvl="6" w:tplc="0074B87E">
      <w:numFmt w:val="bullet"/>
      <w:lvlText w:val="•"/>
      <w:lvlJc w:val="left"/>
      <w:pPr>
        <w:ind w:left="6635" w:hanging="360"/>
      </w:pPr>
      <w:rPr>
        <w:rFonts w:hint="default"/>
        <w:lang w:val="uk-UA" w:eastAsia="en-US" w:bidi="ar-SA"/>
      </w:rPr>
    </w:lvl>
    <w:lvl w:ilvl="7" w:tplc="50B6DAE8">
      <w:numFmt w:val="bullet"/>
      <w:lvlText w:val="•"/>
      <w:lvlJc w:val="left"/>
      <w:pPr>
        <w:ind w:left="7608" w:hanging="360"/>
      </w:pPr>
      <w:rPr>
        <w:rFonts w:hint="default"/>
        <w:lang w:val="uk-UA" w:eastAsia="en-US" w:bidi="ar-SA"/>
      </w:rPr>
    </w:lvl>
    <w:lvl w:ilvl="8" w:tplc="910632B0">
      <w:numFmt w:val="bullet"/>
      <w:lvlText w:val="•"/>
      <w:lvlJc w:val="left"/>
      <w:pPr>
        <w:ind w:left="8581" w:hanging="360"/>
      </w:pPr>
      <w:rPr>
        <w:rFonts w:hint="default"/>
        <w:lang w:val="uk-UA" w:eastAsia="en-US" w:bidi="ar-SA"/>
      </w:rPr>
    </w:lvl>
  </w:abstractNum>
  <w:abstractNum w:abstractNumId="59" w15:restartNumberingAfterBreak="0">
    <w:nsid w:val="23620D72"/>
    <w:multiLevelType w:val="hybridMultilevel"/>
    <w:tmpl w:val="5A724A7E"/>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60" w15:restartNumberingAfterBreak="0">
    <w:nsid w:val="24480826"/>
    <w:multiLevelType w:val="hybridMultilevel"/>
    <w:tmpl w:val="B028824C"/>
    <w:lvl w:ilvl="0" w:tplc="436870EC">
      <w:start w:val="1"/>
      <w:numFmt w:val="decimal"/>
      <w:lvlText w:val="%1)"/>
      <w:lvlJc w:val="left"/>
      <w:pPr>
        <w:ind w:left="317" w:hanging="221"/>
      </w:pPr>
      <w:rPr>
        <w:rFonts w:ascii="Times New Roman" w:eastAsia="Times New Roman" w:hAnsi="Times New Roman" w:cs="Times New Roman" w:hint="default"/>
        <w:spacing w:val="0"/>
        <w:w w:val="99"/>
        <w:sz w:val="20"/>
        <w:szCs w:val="20"/>
        <w:lang w:val="uk-UA" w:eastAsia="en-US" w:bidi="ar-SA"/>
      </w:rPr>
    </w:lvl>
    <w:lvl w:ilvl="1" w:tplc="A7BC5BE6">
      <w:numFmt w:val="bullet"/>
      <w:lvlText w:val="•"/>
      <w:lvlJc w:val="left"/>
      <w:pPr>
        <w:ind w:left="824" w:hanging="221"/>
      </w:pPr>
      <w:rPr>
        <w:rFonts w:hint="default"/>
        <w:lang w:val="uk-UA" w:eastAsia="en-US" w:bidi="ar-SA"/>
      </w:rPr>
    </w:lvl>
    <w:lvl w:ilvl="2" w:tplc="1FFC85B6">
      <w:numFmt w:val="bullet"/>
      <w:lvlText w:val="•"/>
      <w:lvlJc w:val="left"/>
      <w:pPr>
        <w:ind w:left="1328" w:hanging="221"/>
      </w:pPr>
      <w:rPr>
        <w:rFonts w:hint="default"/>
        <w:lang w:val="uk-UA" w:eastAsia="en-US" w:bidi="ar-SA"/>
      </w:rPr>
    </w:lvl>
    <w:lvl w:ilvl="3" w:tplc="269442B4">
      <w:numFmt w:val="bullet"/>
      <w:lvlText w:val="•"/>
      <w:lvlJc w:val="left"/>
      <w:pPr>
        <w:ind w:left="1832" w:hanging="221"/>
      </w:pPr>
      <w:rPr>
        <w:rFonts w:hint="default"/>
        <w:lang w:val="uk-UA" w:eastAsia="en-US" w:bidi="ar-SA"/>
      </w:rPr>
    </w:lvl>
    <w:lvl w:ilvl="4" w:tplc="53A8D854">
      <w:numFmt w:val="bullet"/>
      <w:lvlText w:val="•"/>
      <w:lvlJc w:val="left"/>
      <w:pPr>
        <w:ind w:left="2336" w:hanging="221"/>
      </w:pPr>
      <w:rPr>
        <w:rFonts w:hint="default"/>
        <w:lang w:val="uk-UA" w:eastAsia="en-US" w:bidi="ar-SA"/>
      </w:rPr>
    </w:lvl>
    <w:lvl w:ilvl="5" w:tplc="C3BC7DC2">
      <w:numFmt w:val="bullet"/>
      <w:lvlText w:val="•"/>
      <w:lvlJc w:val="left"/>
      <w:pPr>
        <w:ind w:left="2841" w:hanging="221"/>
      </w:pPr>
      <w:rPr>
        <w:rFonts w:hint="default"/>
        <w:lang w:val="uk-UA" w:eastAsia="en-US" w:bidi="ar-SA"/>
      </w:rPr>
    </w:lvl>
    <w:lvl w:ilvl="6" w:tplc="0A3AA898">
      <w:numFmt w:val="bullet"/>
      <w:lvlText w:val="•"/>
      <w:lvlJc w:val="left"/>
      <w:pPr>
        <w:ind w:left="3345" w:hanging="221"/>
      </w:pPr>
      <w:rPr>
        <w:rFonts w:hint="default"/>
        <w:lang w:val="uk-UA" w:eastAsia="en-US" w:bidi="ar-SA"/>
      </w:rPr>
    </w:lvl>
    <w:lvl w:ilvl="7" w:tplc="4B4ADF44">
      <w:numFmt w:val="bullet"/>
      <w:lvlText w:val="•"/>
      <w:lvlJc w:val="left"/>
      <w:pPr>
        <w:ind w:left="3849" w:hanging="221"/>
      </w:pPr>
      <w:rPr>
        <w:rFonts w:hint="default"/>
        <w:lang w:val="uk-UA" w:eastAsia="en-US" w:bidi="ar-SA"/>
      </w:rPr>
    </w:lvl>
    <w:lvl w:ilvl="8" w:tplc="D1646634">
      <w:numFmt w:val="bullet"/>
      <w:lvlText w:val="•"/>
      <w:lvlJc w:val="left"/>
      <w:pPr>
        <w:ind w:left="4353" w:hanging="221"/>
      </w:pPr>
      <w:rPr>
        <w:rFonts w:hint="default"/>
        <w:lang w:val="uk-UA" w:eastAsia="en-US" w:bidi="ar-SA"/>
      </w:rPr>
    </w:lvl>
  </w:abstractNum>
  <w:abstractNum w:abstractNumId="61" w15:restartNumberingAfterBreak="0">
    <w:nsid w:val="244C3249"/>
    <w:multiLevelType w:val="hybridMultilevel"/>
    <w:tmpl w:val="C726AF0A"/>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62" w15:restartNumberingAfterBreak="0">
    <w:nsid w:val="24730552"/>
    <w:multiLevelType w:val="hybridMultilevel"/>
    <w:tmpl w:val="0A6C4B94"/>
    <w:lvl w:ilvl="0" w:tplc="EA183CC6">
      <w:start w:val="27"/>
      <w:numFmt w:val="bullet"/>
      <w:lvlText w:val="-"/>
      <w:lvlJc w:val="left"/>
      <w:pPr>
        <w:ind w:left="1230" w:hanging="360"/>
      </w:pPr>
      <w:rPr>
        <w:rFonts w:ascii="Calibri Light" w:eastAsia="Calibri Light" w:hAnsi="Calibri Light" w:cs="Calibri Light" w:hint="default"/>
      </w:rPr>
    </w:lvl>
    <w:lvl w:ilvl="1" w:tplc="FFFFFFFF" w:tentative="1">
      <w:start w:val="1"/>
      <w:numFmt w:val="bullet"/>
      <w:lvlText w:val="o"/>
      <w:lvlJc w:val="left"/>
      <w:pPr>
        <w:ind w:left="1950" w:hanging="360"/>
      </w:pPr>
      <w:rPr>
        <w:rFonts w:ascii="Courier New" w:hAnsi="Courier New" w:cs="Courier New" w:hint="default"/>
      </w:rPr>
    </w:lvl>
    <w:lvl w:ilvl="2" w:tplc="FFFFFFFF" w:tentative="1">
      <w:start w:val="1"/>
      <w:numFmt w:val="bullet"/>
      <w:lvlText w:val=""/>
      <w:lvlJc w:val="left"/>
      <w:pPr>
        <w:ind w:left="2670" w:hanging="360"/>
      </w:pPr>
      <w:rPr>
        <w:rFonts w:ascii="Wingdings" w:hAnsi="Wingdings" w:hint="default"/>
      </w:rPr>
    </w:lvl>
    <w:lvl w:ilvl="3" w:tplc="FFFFFFFF" w:tentative="1">
      <w:start w:val="1"/>
      <w:numFmt w:val="bullet"/>
      <w:lvlText w:val=""/>
      <w:lvlJc w:val="left"/>
      <w:pPr>
        <w:ind w:left="3390" w:hanging="360"/>
      </w:pPr>
      <w:rPr>
        <w:rFonts w:ascii="Symbol" w:hAnsi="Symbol" w:hint="default"/>
      </w:rPr>
    </w:lvl>
    <w:lvl w:ilvl="4" w:tplc="FFFFFFFF" w:tentative="1">
      <w:start w:val="1"/>
      <w:numFmt w:val="bullet"/>
      <w:lvlText w:val="o"/>
      <w:lvlJc w:val="left"/>
      <w:pPr>
        <w:ind w:left="4110" w:hanging="360"/>
      </w:pPr>
      <w:rPr>
        <w:rFonts w:ascii="Courier New" w:hAnsi="Courier New" w:cs="Courier New" w:hint="default"/>
      </w:rPr>
    </w:lvl>
    <w:lvl w:ilvl="5" w:tplc="FFFFFFFF" w:tentative="1">
      <w:start w:val="1"/>
      <w:numFmt w:val="bullet"/>
      <w:lvlText w:val=""/>
      <w:lvlJc w:val="left"/>
      <w:pPr>
        <w:ind w:left="4830" w:hanging="360"/>
      </w:pPr>
      <w:rPr>
        <w:rFonts w:ascii="Wingdings" w:hAnsi="Wingdings" w:hint="default"/>
      </w:rPr>
    </w:lvl>
    <w:lvl w:ilvl="6" w:tplc="FFFFFFFF" w:tentative="1">
      <w:start w:val="1"/>
      <w:numFmt w:val="bullet"/>
      <w:lvlText w:val=""/>
      <w:lvlJc w:val="left"/>
      <w:pPr>
        <w:ind w:left="5550" w:hanging="360"/>
      </w:pPr>
      <w:rPr>
        <w:rFonts w:ascii="Symbol" w:hAnsi="Symbol" w:hint="default"/>
      </w:rPr>
    </w:lvl>
    <w:lvl w:ilvl="7" w:tplc="FFFFFFFF" w:tentative="1">
      <w:start w:val="1"/>
      <w:numFmt w:val="bullet"/>
      <w:lvlText w:val="o"/>
      <w:lvlJc w:val="left"/>
      <w:pPr>
        <w:ind w:left="6270" w:hanging="360"/>
      </w:pPr>
      <w:rPr>
        <w:rFonts w:ascii="Courier New" w:hAnsi="Courier New" w:cs="Courier New" w:hint="default"/>
      </w:rPr>
    </w:lvl>
    <w:lvl w:ilvl="8" w:tplc="FFFFFFFF" w:tentative="1">
      <w:start w:val="1"/>
      <w:numFmt w:val="bullet"/>
      <w:lvlText w:val=""/>
      <w:lvlJc w:val="left"/>
      <w:pPr>
        <w:ind w:left="6990" w:hanging="360"/>
      </w:pPr>
      <w:rPr>
        <w:rFonts w:ascii="Wingdings" w:hAnsi="Wingdings" w:hint="default"/>
      </w:rPr>
    </w:lvl>
  </w:abstractNum>
  <w:abstractNum w:abstractNumId="63" w15:restartNumberingAfterBreak="0">
    <w:nsid w:val="25E578FC"/>
    <w:multiLevelType w:val="hybridMultilevel"/>
    <w:tmpl w:val="719E32E0"/>
    <w:lvl w:ilvl="0" w:tplc="0E2C29FA">
      <w:start w:val="1"/>
      <w:numFmt w:val="decimal"/>
      <w:lvlText w:val="%1)"/>
      <w:lvlJc w:val="left"/>
      <w:pPr>
        <w:ind w:left="708" w:hanging="218"/>
      </w:pPr>
      <w:rPr>
        <w:rFonts w:ascii="Times New Roman" w:eastAsia="Times New Roman" w:hAnsi="Times New Roman" w:cs="Times New Roman" w:hint="default"/>
        <w:spacing w:val="0"/>
        <w:w w:val="99"/>
        <w:sz w:val="20"/>
        <w:szCs w:val="20"/>
        <w:lang w:val="uk-UA" w:eastAsia="en-US" w:bidi="ar-SA"/>
      </w:rPr>
    </w:lvl>
    <w:lvl w:ilvl="1" w:tplc="E52204B2">
      <w:numFmt w:val="bullet"/>
      <w:lvlText w:val="•"/>
      <w:lvlJc w:val="left"/>
      <w:pPr>
        <w:ind w:left="1142" w:hanging="218"/>
      </w:pPr>
      <w:rPr>
        <w:rFonts w:hint="default"/>
        <w:lang w:val="uk-UA" w:eastAsia="en-US" w:bidi="ar-SA"/>
      </w:rPr>
    </w:lvl>
    <w:lvl w:ilvl="2" w:tplc="768E85B8">
      <w:numFmt w:val="bullet"/>
      <w:lvlText w:val="•"/>
      <w:lvlJc w:val="left"/>
      <w:pPr>
        <w:ind w:left="1585" w:hanging="218"/>
      </w:pPr>
      <w:rPr>
        <w:rFonts w:hint="default"/>
        <w:lang w:val="uk-UA" w:eastAsia="en-US" w:bidi="ar-SA"/>
      </w:rPr>
    </w:lvl>
    <w:lvl w:ilvl="3" w:tplc="47641FFE">
      <w:numFmt w:val="bullet"/>
      <w:lvlText w:val="•"/>
      <w:lvlJc w:val="left"/>
      <w:pPr>
        <w:ind w:left="2027" w:hanging="218"/>
      </w:pPr>
      <w:rPr>
        <w:rFonts w:hint="default"/>
        <w:lang w:val="uk-UA" w:eastAsia="en-US" w:bidi="ar-SA"/>
      </w:rPr>
    </w:lvl>
    <w:lvl w:ilvl="4" w:tplc="DD6ACE76">
      <w:numFmt w:val="bullet"/>
      <w:lvlText w:val="•"/>
      <w:lvlJc w:val="left"/>
      <w:pPr>
        <w:ind w:left="2470" w:hanging="218"/>
      </w:pPr>
      <w:rPr>
        <w:rFonts w:hint="default"/>
        <w:lang w:val="uk-UA" w:eastAsia="en-US" w:bidi="ar-SA"/>
      </w:rPr>
    </w:lvl>
    <w:lvl w:ilvl="5" w:tplc="41CC8E6E">
      <w:numFmt w:val="bullet"/>
      <w:lvlText w:val="•"/>
      <w:lvlJc w:val="left"/>
      <w:pPr>
        <w:ind w:left="2912" w:hanging="218"/>
      </w:pPr>
      <w:rPr>
        <w:rFonts w:hint="default"/>
        <w:lang w:val="uk-UA" w:eastAsia="en-US" w:bidi="ar-SA"/>
      </w:rPr>
    </w:lvl>
    <w:lvl w:ilvl="6" w:tplc="A4C25396">
      <w:numFmt w:val="bullet"/>
      <w:lvlText w:val="•"/>
      <w:lvlJc w:val="left"/>
      <w:pPr>
        <w:ind w:left="3355" w:hanging="218"/>
      </w:pPr>
      <w:rPr>
        <w:rFonts w:hint="default"/>
        <w:lang w:val="uk-UA" w:eastAsia="en-US" w:bidi="ar-SA"/>
      </w:rPr>
    </w:lvl>
    <w:lvl w:ilvl="7" w:tplc="FE0A84C4">
      <w:numFmt w:val="bullet"/>
      <w:lvlText w:val="•"/>
      <w:lvlJc w:val="left"/>
      <w:pPr>
        <w:ind w:left="3797" w:hanging="218"/>
      </w:pPr>
      <w:rPr>
        <w:rFonts w:hint="default"/>
        <w:lang w:val="uk-UA" w:eastAsia="en-US" w:bidi="ar-SA"/>
      </w:rPr>
    </w:lvl>
    <w:lvl w:ilvl="8" w:tplc="E214C4F6">
      <w:numFmt w:val="bullet"/>
      <w:lvlText w:val="•"/>
      <w:lvlJc w:val="left"/>
      <w:pPr>
        <w:ind w:left="4240" w:hanging="218"/>
      </w:pPr>
      <w:rPr>
        <w:rFonts w:hint="default"/>
        <w:lang w:val="uk-UA" w:eastAsia="en-US" w:bidi="ar-SA"/>
      </w:rPr>
    </w:lvl>
  </w:abstractNum>
  <w:abstractNum w:abstractNumId="64" w15:restartNumberingAfterBreak="0">
    <w:nsid w:val="25F13DAE"/>
    <w:multiLevelType w:val="hybridMultilevel"/>
    <w:tmpl w:val="F6325FB6"/>
    <w:lvl w:ilvl="0" w:tplc="65FCEE7E">
      <w:start w:val="1"/>
      <w:numFmt w:val="decimal"/>
      <w:lvlText w:val="%1."/>
      <w:lvlJc w:val="left"/>
      <w:pPr>
        <w:ind w:left="318" w:hanging="233"/>
      </w:pPr>
      <w:rPr>
        <w:rFonts w:ascii="Times New Roman" w:eastAsia="Times New Roman" w:hAnsi="Times New Roman" w:cs="Times New Roman" w:hint="default"/>
        <w:spacing w:val="0"/>
        <w:w w:val="99"/>
        <w:sz w:val="20"/>
        <w:szCs w:val="20"/>
        <w:lang w:val="uk-UA" w:eastAsia="en-US" w:bidi="ar-SA"/>
      </w:rPr>
    </w:lvl>
    <w:lvl w:ilvl="1" w:tplc="1B5ACF6C">
      <w:numFmt w:val="bullet"/>
      <w:lvlText w:val="•"/>
      <w:lvlJc w:val="left"/>
      <w:pPr>
        <w:ind w:left="824" w:hanging="233"/>
      </w:pPr>
      <w:rPr>
        <w:rFonts w:hint="default"/>
        <w:lang w:val="uk-UA" w:eastAsia="en-US" w:bidi="ar-SA"/>
      </w:rPr>
    </w:lvl>
    <w:lvl w:ilvl="2" w:tplc="EA3ED1B4">
      <w:numFmt w:val="bullet"/>
      <w:lvlText w:val="•"/>
      <w:lvlJc w:val="left"/>
      <w:pPr>
        <w:ind w:left="1328" w:hanging="233"/>
      </w:pPr>
      <w:rPr>
        <w:rFonts w:hint="default"/>
        <w:lang w:val="uk-UA" w:eastAsia="en-US" w:bidi="ar-SA"/>
      </w:rPr>
    </w:lvl>
    <w:lvl w:ilvl="3" w:tplc="5F8ABA1A">
      <w:numFmt w:val="bullet"/>
      <w:lvlText w:val="•"/>
      <w:lvlJc w:val="left"/>
      <w:pPr>
        <w:ind w:left="1833" w:hanging="233"/>
      </w:pPr>
      <w:rPr>
        <w:rFonts w:hint="default"/>
        <w:lang w:val="uk-UA" w:eastAsia="en-US" w:bidi="ar-SA"/>
      </w:rPr>
    </w:lvl>
    <w:lvl w:ilvl="4" w:tplc="0DF83AAE">
      <w:numFmt w:val="bullet"/>
      <w:lvlText w:val="•"/>
      <w:lvlJc w:val="left"/>
      <w:pPr>
        <w:ind w:left="2337" w:hanging="233"/>
      </w:pPr>
      <w:rPr>
        <w:rFonts w:hint="default"/>
        <w:lang w:val="uk-UA" w:eastAsia="en-US" w:bidi="ar-SA"/>
      </w:rPr>
    </w:lvl>
    <w:lvl w:ilvl="5" w:tplc="781C37D2">
      <w:numFmt w:val="bullet"/>
      <w:lvlText w:val="•"/>
      <w:lvlJc w:val="left"/>
      <w:pPr>
        <w:ind w:left="2841" w:hanging="233"/>
      </w:pPr>
      <w:rPr>
        <w:rFonts w:hint="default"/>
        <w:lang w:val="uk-UA" w:eastAsia="en-US" w:bidi="ar-SA"/>
      </w:rPr>
    </w:lvl>
    <w:lvl w:ilvl="6" w:tplc="EA2C3F9E">
      <w:numFmt w:val="bullet"/>
      <w:lvlText w:val="•"/>
      <w:lvlJc w:val="left"/>
      <w:pPr>
        <w:ind w:left="3346" w:hanging="233"/>
      </w:pPr>
      <w:rPr>
        <w:rFonts w:hint="default"/>
        <w:lang w:val="uk-UA" w:eastAsia="en-US" w:bidi="ar-SA"/>
      </w:rPr>
    </w:lvl>
    <w:lvl w:ilvl="7" w:tplc="E53CD6FE">
      <w:numFmt w:val="bullet"/>
      <w:lvlText w:val="•"/>
      <w:lvlJc w:val="left"/>
      <w:pPr>
        <w:ind w:left="3850" w:hanging="233"/>
      </w:pPr>
      <w:rPr>
        <w:rFonts w:hint="default"/>
        <w:lang w:val="uk-UA" w:eastAsia="en-US" w:bidi="ar-SA"/>
      </w:rPr>
    </w:lvl>
    <w:lvl w:ilvl="8" w:tplc="4F9A523E">
      <w:numFmt w:val="bullet"/>
      <w:lvlText w:val="•"/>
      <w:lvlJc w:val="left"/>
      <w:pPr>
        <w:ind w:left="4354" w:hanging="233"/>
      </w:pPr>
      <w:rPr>
        <w:rFonts w:hint="default"/>
        <w:lang w:val="uk-UA" w:eastAsia="en-US" w:bidi="ar-SA"/>
      </w:rPr>
    </w:lvl>
  </w:abstractNum>
  <w:abstractNum w:abstractNumId="65" w15:restartNumberingAfterBreak="0">
    <w:nsid w:val="26437FA8"/>
    <w:multiLevelType w:val="hybridMultilevel"/>
    <w:tmpl w:val="3392CEF4"/>
    <w:lvl w:ilvl="0" w:tplc="E0FE1DF4">
      <w:start w:val="1"/>
      <w:numFmt w:val="decimal"/>
      <w:lvlText w:val="%1)"/>
      <w:lvlJc w:val="left"/>
      <w:pPr>
        <w:ind w:left="440" w:hanging="266"/>
      </w:pPr>
      <w:rPr>
        <w:rFonts w:ascii="Times New Roman" w:eastAsia="Times New Roman" w:hAnsi="Times New Roman" w:cs="Times New Roman" w:hint="default"/>
        <w:spacing w:val="0"/>
        <w:w w:val="99"/>
        <w:sz w:val="20"/>
        <w:szCs w:val="20"/>
        <w:lang w:val="uk-UA" w:eastAsia="en-US" w:bidi="ar-SA"/>
      </w:rPr>
    </w:lvl>
    <w:lvl w:ilvl="1" w:tplc="897C01AC">
      <w:numFmt w:val="bullet"/>
      <w:lvlText w:val="•"/>
      <w:lvlJc w:val="left"/>
      <w:pPr>
        <w:ind w:left="908" w:hanging="266"/>
      </w:pPr>
      <w:rPr>
        <w:rFonts w:hint="default"/>
        <w:lang w:val="uk-UA" w:eastAsia="en-US" w:bidi="ar-SA"/>
      </w:rPr>
    </w:lvl>
    <w:lvl w:ilvl="2" w:tplc="A49686C6">
      <w:numFmt w:val="bullet"/>
      <w:lvlText w:val="•"/>
      <w:lvlJc w:val="left"/>
      <w:pPr>
        <w:ind w:left="1377" w:hanging="266"/>
      </w:pPr>
      <w:rPr>
        <w:rFonts w:hint="default"/>
        <w:lang w:val="uk-UA" w:eastAsia="en-US" w:bidi="ar-SA"/>
      </w:rPr>
    </w:lvl>
    <w:lvl w:ilvl="3" w:tplc="E20A1EDE">
      <w:numFmt w:val="bullet"/>
      <w:lvlText w:val="•"/>
      <w:lvlJc w:val="left"/>
      <w:pPr>
        <w:ind w:left="1845" w:hanging="266"/>
      </w:pPr>
      <w:rPr>
        <w:rFonts w:hint="default"/>
        <w:lang w:val="uk-UA" w:eastAsia="en-US" w:bidi="ar-SA"/>
      </w:rPr>
    </w:lvl>
    <w:lvl w:ilvl="4" w:tplc="6EEE1E7C">
      <w:numFmt w:val="bullet"/>
      <w:lvlText w:val="•"/>
      <w:lvlJc w:val="left"/>
      <w:pPr>
        <w:ind w:left="2314" w:hanging="266"/>
      </w:pPr>
      <w:rPr>
        <w:rFonts w:hint="default"/>
        <w:lang w:val="uk-UA" w:eastAsia="en-US" w:bidi="ar-SA"/>
      </w:rPr>
    </w:lvl>
    <w:lvl w:ilvl="5" w:tplc="02BA00C2">
      <w:numFmt w:val="bullet"/>
      <w:lvlText w:val="•"/>
      <w:lvlJc w:val="left"/>
      <w:pPr>
        <w:ind w:left="2783" w:hanging="266"/>
      </w:pPr>
      <w:rPr>
        <w:rFonts w:hint="default"/>
        <w:lang w:val="uk-UA" w:eastAsia="en-US" w:bidi="ar-SA"/>
      </w:rPr>
    </w:lvl>
    <w:lvl w:ilvl="6" w:tplc="5546E30E">
      <w:numFmt w:val="bullet"/>
      <w:lvlText w:val="•"/>
      <w:lvlJc w:val="left"/>
      <w:pPr>
        <w:ind w:left="3251" w:hanging="266"/>
      </w:pPr>
      <w:rPr>
        <w:rFonts w:hint="default"/>
        <w:lang w:val="uk-UA" w:eastAsia="en-US" w:bidi="ar-SA"/>
      </w:rPr>
    </w:lvl>
    <w:lvl w:ilvl="7" w:tplc="31829788">
      <w:numFmt w:val="bullet"/>
      <w:lvlText w:val="•"/>
      <w:lvlJc w:val="left"/>
      <w:pPr>
        <w:ind w:left="3720" w:hanging="266"/>
      </w:pPr>
      <w:rPr>
        <w:rFonts w:hint="default"/>
        <w:lang w:val="uk-UA" w:eastAsia="en-US" w:bidi="ar-SA"/>
      </w:rPr>
    </w:lvl>
    <w:lvl w:ilvl="8" w:tplc="CC8CC20E">
      <w:numFmt w:val="bullet"/>
      <w:lvlText w:val="•"/>
      <w:lvlJc w:val="left"/>
      <w:pPr>
        <w:ind w:left="4188" w:hanging="266"/>
      </w:pPr>
      <w:rPr>
        <w:rFonts w:hint="default"/>
        <w:lang w:val="uk-UA" w:eastAsia="en-US" w:bidi="ar-SA"/>
      </w:rPr>
    </w:lvl>
  </w:abstractNum>
  <w:abstractNum w:abstractNumId="66" w15:restartNumberingAfterBreak="0">
    <w:nsid w:val="26A36D1E"/>
    <w:multiLevelType w:val="hybridMultilevel"/>
    <w:tmpl w:val="4FEA5D62"/>
    <w:lvl w:ilvl="0" w:tplc="849605D0">
      <w:start w:val="3"/>
      <w:numFmt w:val="bullet"/>
      <w:lvlText w:val="-"/>
      <w:lvlJc w:val="left"/>
      <w:pPr>
        <w:ind w:left="870" w:hanging="360"/>
      </w:pPr>
      <w:rPr>
        <w:rFonts w:ascii="Times New Roman" w:eastAsia="Calibri" w:hAnsi="Times New Roman" w:cs="Times New Roman" w:hint="default"/>
      </w:rPr>
    </w:lvl>
    <w:lvl w:ilvl="1" w:tplc="04190003" w:tentative="1">
      <w:start w:val="1"/>
      <w:numFmt w:val="bullet"/>
      <w:lvlText w:val="o"/>
      <w:lvlJc w:val="left"/>
      <w:pPr>
        <w:ind w:left="1590" w:hanging="360"/>
      </w:pPr>
      <w:rPr>
        <w:rFonts w:ascii="Courier New" w:hAnsi="Courier New" w:cs="Courier New" w:hint="default"/>
      </w:rPr>
    </w:lvl>
    <w:lvl w:ilvl="2" w:tplc="04190005" w:tentative="1">
      <w:start w:val="1"/>
      <w:numFmt w:val="bullet"/>
      <w:lvlText w:val=""/>
      <w:lvlJc w:val="left"/>
      <w:pPr>
        <w:ind w:left="2310" w:hanging="360"/>
      </w:pPr>
      <w:rPr>
        <w:rFonts w:ascii="Wingdings" w:hAnsi="Wingdings" w:hint="default"/>
      </w:rPr>
    </w:lvl>
    <w:lvl w:ilvl="3" w:tplc="04190001" w:tentative="1">
      <w:start w:val="1"/>
      <w:numFmt w:val="bullet"/>
      <w:lvlText w:val=""/>
      <w:lvlJc w:val="left"/>
      <w:pPr>
        <w:ind w:left="3030" w:hanging="360"/>
      </w:pPr>
      <w:rPr>
        <w:rFonts w:ascii="Symbol" w:hAnsi="Symbol" w:hint="default"/>
      </w:rPr>
    </w:lvl>
    <w:lvl w:ilvl="4" w:tplc="04190003" w:tentative="1">
      <w:start w:val="1"/>
      <w:numFmt w:val="bullet"/>
      <w:lvlText w:val="o"/>
      <w:lvlJc w:val="left"/>
      <w:pPr>
        <w:ind w:left="3750" w:hanging="360"/>
      </w:pPr>
      <w:rPr>
        <w:rFonts w:ascii="Courier New" w:hAnsi="Courier New" w:cs="Courier New" w:hint="default"/>
      </w:rPr>
    </w:lvl>
    <w:lvl w:ilvl="5" w:tplc="04190005" w:tentative="1">
      <w:start w:val="1"/>
      <w:numFmt w:val="bullet"/>
      <w:lvlText w:val=""/>
      <w:lvlJc w:val="left"/>
      <w:pPr>
        <w:ind w:left="4470" w:hanging="360"/>
      </w:pPr>
      <w:rPr>
        <w:rFonts w:ascii="Wingdings" w:hAnsi="Wingdings" w:hint="default"/>
      </w:rPr>
    </w:lvl>
    <w:lvl w:ilvl="6" w:tplc="04190001" w:tentative="1">
      <w:start w:val="1"/>
      <w:numFmt w:val="bullet"/>
      <w:lvlText w:val=""/>
      <w:lvlJc w:val="left"/>
      <w:pPr>
        <w:ind w:left="5190" w:hanging="360"/>
      </w:pPr>
      <w:rPr>
        <w:rFonts w:ascii="Symbol" w:hAnsi="Symbol" w:hint="default"/>
      </w:rPr>
    </w:lvl>
    <w:lvl w:ilvl="7" w:tplc="04190003" w:tentative="1">
      <w:start w:val="1"/>
      <w:numFmt w:val="bullet"/>
      <w:lvlText w:val="o"/>
      <w:lvlJc w:val="left"/>
      <w:pPr>
        <w:ind w:left="5910" w:hanging="360"/>
      </w:pPr>
      <w:rPr>
        <w:rFonts w:ascii="Courier New" w:hAnsi="Courier New" w:cs="Courier New" w:hint="default"/>
      </w:rPr>
    </w:lvl>
    <w:lvl w:ilvl="8" w:tplc="04190005" w:tentative="1">
      <w:start w:val="1"/>
      <w:numFmt w:val="bullet"/>
      <w:lvlText w:val=""/>
      <w:lvlJc w:val="left"/>
      <w:pPr>
        <w:ind w:left="6630" w:hanging="360"/>
      </w:pPr>
      <w:rPr>
        <w:rFonts w:ascii="Wingdings" w:hAnsi="Wingdings" w:hint="default"/>
      </w:rPr>
    </w:lvl>
  </w:abstractNum>
  <w:abstractNum w:abstractNumId="67" w15:restartNumberingAfterBreak="0">
    <w:nsid w:val="26BA5DCD"/>
    <w:multiLevelType w:val="hybridMultilevel"/>
    <w:tmpl w:val="3A180D32"/>
    <w:lvl w:ilvl="0" w:tplc="28E6742C">
      <w:start w:val="2"/>
      <w:numFmt w:val="bullet"/>
      <w:lvlText w:val="-"/>
      <w:lvlJc w:val="left"/>
      <w:pPr>
        <w:ind w:left="870" w:hanging="360"/>
      </w:pPr>
      <w:rPr>
        <w:rFonts w:ascii="Times New Roman" w:eastAsia="Times New Roman" w:hAnsi="Times New Roman" w:cs="Times New Roman" w:hint="default"/>
      </w:rPr>
    </w:lvl>
    <w:lvl w:ilvl="1" w:tplc="04190003" w:tentative="1">
      <w:start w:val="1"/>
      <w:numFmt w:val="bullet"/>
      <w:lvlText w:val="o"/>
      <w:lvlJc w:val="left"/>
      <w:pPr>
        <w:ind w:left="1590" w:hanging="360"/>
      </w:pPr>
      <w:rPr>
        <w:rFonts w:ascii="Courier New" w:hAnsi="Courier New" w:cs="Courier New" w:hint="default"/>
      </w:rPr>
    </w:lvl>
    <w:lvl w:ilvl="2" w:tplc="04190005" w:tentative="1">
      <w:start w:val="1"/>
      <w:numFmt w:val="bullet"/>
      <w:lvlText w:val=""/>
      <w:lvlJc w:val="left"/>
      <w:pPr>
        <w:ind w:left="2310" w:hanging="360"/>
      </w:pPr>
      <w:rPr>
        <w:rFonts w:ascii="Wingdings" w:hAnsi="Wingdings" w:hint="default"/>
      </w:rPr>
    </w:lvl>
    <w:lvl w:ilvl="3" w:tplc="04190001" w:tentative="1">
      <w:start w:val="1"/>
      <w:numFmt w:val="bullet"/>
      <w:lvlText w:val=""/>
      <w:lvlJc w:val="left"/>
      <w:pPr>
        <w:ind w:left="3030" w:hanging="360"/>
      </w:pPr>
      <w:rPr>
        <w:rFonts w:ascii="Symbol" w:hAnsi="Symbol" w:hint="default"/>
      </w:rPr>
    </w:lvl>
    <w:lvl w:ilvl="4" w:tplc="04190003" w:tentative="1">
      <w:start w:val="1"/>
      <w:numFmt w:val="bullet"/>
      <w:lvlText w:val="o"/>
      <w:lvlJc w:val="left"/>
      <w:pPr>
        <w:ind w:left="3750" w:hanging="360"/>
      </w:pPr>
      <w:rPr>
        <w:rFonts w:ascii="Courier New" w:hAnsi="Courier New" w:cs="Courier New" w:hint="default"/>
      </w:rPr>
    </w:lvl>
    <w:lvl w:ilvl="5" w:tplc="04190005" w:tentative="1">
      <w:start w:val="1"/>
      <w:numFmt w:val="bullet"/>
      <w:lvlText w:val=""/>
      <w:lvlJc w:val="left"/>
      <w:pPr>
        <w:ind w:left="4470" w:hanging="360"/>
      </w:pPr>
      <w:rPr>
        <w:rFonts w:ascii="Wingdings" w:hAnsi="Wingdings" w:hint="default"/>
      </w:rPr>
    </w:lvl>
    <w:lvl w:ilvl="6" w:tplc="04190001" w:tentative="1">
      <w:start w:val="1"/>
      <w:numFmt w:val="bullet"/>
      <w:lvlText w:val=""/>
      <w:lvlJc w:val="left"/>
      <w:pPr>
        <w:ind w:left="5190" w:hanging="360"/>
      </w:pPr>
      <w:rPr>
        <w:rFonts w:ascii="Symbol" w:hAnsi="Symbol" w:hint="default"/>
      </w:rPr>
    </w:lvl>
    <w:lvl w:ilvl="7" w:tplc="04190003" w:tentative="1">
      <w:start w:val="1"/>
      <w:numFmt w:val="bullet"/>
      <w:lvlText w:val="o"/>
      <w:lvlJc w:val="left"/>
      <w:pPr>
        <w:ind w:left="5910" w:hanging="360"/>
      </w:pPr>
      <w:rPr>
        <w:rFonts w:ascii="Courier New" w:hAnsi="Courier New" w:cs="Courier New" w:hint="default"/>
      </w:rPr>
    </w:lvl>
    <w:lvl w:ilvl="8" w:tplc="04190005" w:tentative="1">
      <w:start w:val="1"/>
      <w:numFmt w:val="bullet"/>
      <w:lvlText w:val=""/>
      <w:lvlJc w:val="left"/>
      <w:pPr>
        <w:ind w:left="6630" w:hanging="360"/>
      </w:pPr>
      <w:rPr>
        <w:rFonts w:ascii="Wingdings" w:hAnsi="Wingdings" w:hint="default"/>
      </w:rPr>
    </w:lvl>
  </w:abstractNum>
  <w:abstractNum w:abstractNumId="68" w15:restartNumberingAfterBreak="0">
    <w:nsid w:val="271228B3"/>
    <w:multiLevelType w:val="hybridMultilevel"/>
    <w:tmpl w:val="205CCC06"/>
    <w:lvl w:ilvl="0" w:tplc="B5CA7790">
      <w:start w:val="1"/>
      <w:numFmt w:val="decimal"/>
      <w:lvlText w:val="%1)"/>
      <w:lvlJc w:val="left"/>
      <w:pPr>
        <w:ind w:left="440" w:hanging="360"/>
      </w:pPr>
      <w:rPr>
        <w:rFonts w:ascii="Times New Roman" w:eastAsia="Times New Roman" w:hAnsi="Times New Roman" w:cs="Times New Roman" w:hint="default"/>
        <w:spacing w:val="0"/>
        <w:w w:val="99"/>
        <w:sz w:val="20"/>
        <w:szCs w:val="20"/>
        <w:lang w:val="uk-UA" w:eastAsia="en-US" w:bidi="ar-SA"/>
      </w:rPr>
    </w:lvl>
    <w:lvl w:ilvl="1" w:tplc="5582D258">
      <w:start w:val="1"/>
      <w:numFmt w:val="decimal"/>
      <w:lvlText w:val="%2."/>
      <w:lvlJc w:val="left"/>
      <w:pPr>
        <w:ind w:left="1245" w:hanging="360"/>
      </w:pPr>
      <w:rPr>
        <w:rFonts w:ascii="Times New Roman" w:eastAsia="Times New Roman" w:hAnsi="Times New Roman" w:cs="Times New Roman" w:hint="default"/>
        <w:spacing w:val="0"/>
        <w:w w:val="99"/>
        <w:sz w:val="20"/>
        <w:szCs w:val="20"/>
        <w:lang w:val="uk-UA" w:eastAsia="en-US" w:bidi="ar-SA"/>
      </w:rPr>
    </w:lvl>
    <w:lvl w:ilvl="2" w:tplc="F4A26ECE">
      <w:numFmt w:val="bullet"/>
      <w:lvlText w:val="•"/>
      <w:lvlJc w:val="left"/>
      <w:pPr>
        <w:ind w:left="1097" w:hanging="360"/>
      </w:pPr>
      <w:rPr>
        <w:rFonts w:hint="default"/>
        <w:lang w:val="uk-UA" w:eastAsia="en-US" w:bidi="ar-SA"/>
      </w:rPr>
    </w:lvl>
    <w:lvl w:ilvl="3" w:tplc="501A7954">
      <w:numFmt w:val="bullet"/>
      <w:lvlText w:val="•"/>
      <w:lvlJc w:val="left"/>
      <w:pPr>
        <w:ind w:left="955" w:hanging="360"/>
      </w:pPr>
      <w:rPr>
        <w:rFonts w:hint="default"/>
        <w:lang w:val="uk-UA" w:eastAsia="en-US" w:bidi="ar-SA"/>
      </w:rPr>
    </w:lvl>
    <w:lvl w:ilvl="4" w:tplc="F1AE2E52">
      <w:numFmt w:val="bullet"/>
      <w:lvlText w:val="•"/>
      <w:lvlJc w:val="left"/>
      <w:pPr>
        <w:ind w:left="813" w:hanging="360"/>
      </w:pPr>
      <w:rPr>
        <w:rFonts w:hint="default"/>
        <w:lang w:val="uk-UA" w:eastAsia="en-US" w:bidi="ar-SA"/>
      </w:rPr>
    </w:lvl>
    <w:lvl w:ilvl="5" w:tplc="8732FE4A">
      <w:numFmt w:val="bullet"/>
      <w:lvlText w:val="•"/>
      <w:lvlJc w:val="left"/>
      <w:pPr>
        <w:ind w:left="671" w:hanging="360"/>
      </w:pPr>
      <w:rPr>
        <w:rFonts w:hint="default"/>
        <w:lang w:val="uk-UA" w:eastAsia="en-US" w:bidi="ar-SA"/>
      </w:rPr>
    </w:lvl>
    <w:lvl w:ilvl="6" w:tplc="F3C8BF1A">
      <w:numFmt w:val="bullet"/>
      <w:lvlText w:val="•"/>
      <w:lvlJc w:val="left"/>
      <w:pPr>
        <w:ind w:left="529" w:hanging="360"/>
      </w:pPr>
      <w:rPr>
        <w:rFonts w:hint="default"/>
        <w:lang w:val="uk-UA" w:eastAsia="en-US" w:bidi="ar-SA"/>
      </w:rPr>
    </w:lvl>
    <w:lvl w:ilvl="7" w:tplc="D5526872">
      <w:numFmt w:val="bullet"/>
      <w:lvlText w:val="•"/>
      <w:lvlJc w:val="left"/>
      <w:pPr>
        <w:ind w:left="387" w:hanging="360"/>
      </w:pPr>
      <w:rPr>
        <w:rFonts w:hint="default"/>
        <w:lang w:val="uk-UA" w:eastAsia="en-US" w:bidi="ar-SA"/>
      </w:rPr>
    </w:lvl>
    <w:lvl w:ilvl="8" w:tplc="6E4E1232">
      <w:numFmt w:val="bullet"/>
      <w:lvlText w:val="•"/>
      <w:lvlJc w:val="left"/>
      <w:pPr>
        <w:ind w:left="245" w:hanging="360"/>
      </w:pPr>
      <w:rPr>
        <w:rFonts w:hint="default"/>
        <w:lang w:val="uk-UA" w:eastAsia="en-US" w:bidi="ar-SA"/>
      </w:rPr>
    </w:lvl>
  </w:abstractNum>
  <w:abstractNum w:abstractNumId="69" w15:restartNumberingAfterBreak="0">
    <w:nsid w:val="27AF2053"/>
    <w:multiLevelType w:val="multilevel"/>
    <w:tmpl w:val="294210D6"/>
    <w:lvl w:ilvl="0">
      <w:start w:val="2"/>
      <w:numFmt w:val="decimal"/>
      <w:lvlText w:val="%1"/>
      <w:lvlJc w:val="left"/>
      <w:pPr>
        <w:ind w:left="1160" w:hanging="437"/>
      </w:pPr>
      <w:rPr>
        <w:rFonts w:ascii="Times New Roman" w:eastAsia="Times New Roman" w:hAnsi="Times New Roman" w:cs="Times New Roman" w:hint="default"/>
        <w:b/>
        <w:bCs/>
        <w:w w:val="99"/>
        <w:sz w:val="20"/>
        <w:szCs w:val="20"/>
        <w:lang w:val="uk-UA" w:eastAsia="en-US" w:bidi="ar-SA"/>
      </w:rPr>
    </w:lvl>
    <w:lvl w:ilvl="1">
      <w:start w:val="1"/>
      <w:numFmt w:val="decimal"/>
      <w:lvlText w:val="%1.%2"/>
      <w:lvlJc w:val="left"/>
      <w:pPr>
        <w:ind w:left="1286" w:hanging="435"/>
        <w:jc w:val="right"/>
      </w:pPr>
      <w:rPr>
        <w:rFonts w:ascii="Times New Roman" w:eastAsia="Times New Roman" w:hAnsi="Times New Roman" w:cs="Times New Roman" w:hint="default"/>
        <w:b/>
        <w:bCs/>
        <w:spacing w:val="0"/>
        <w:w w:val="99"/>
        <w:sz w:val="20"/>
        <w:szCs w:val="20"/>
        <w:lang w:val="uk-UA" w:eastAsia="en-US" w:bidi="ar-SA"/>
      </w:rPr>
    </w:lvl>
    <w:lvl w:ilvl="2">
      <w:numFmt w:val="bullet"/>
      <w:lvlText w:val="•"/>
      <w:lvlJc w:val="left"/>
      <w:pPr>
        <w:ind w:left="1953" w:hanging="435"/>
      </w:pPr>
      <w:rPr>
        <w:rFonts w:hint="default"/>
        <w:lang w:val="uk-UA" w:eastAsia="en-US" w:bidi="ar-SA"/>
      </w:rPr>
    </w:lvl>
    <w:lvl w:ilvl="3">
      <w:numFmt w:val="bullet"/>
      <w:lvlText w:val="•"/>
      <w:lvlJc w:val="left"/>
      <w:pPr>
        <w:ind w:left="2349" w:hanging="435"/>
      </w:pPr>
      <w:rPr>
        <w:rFonts w:hint="default"/>
        <w:lang w:val="uk-UA" w:eastAsia="en-US" w:bidi="ar-SA"/>
      </w:rPr>
    </w:lvl>
    <w:lvl w:ilvl="4">
      <w:numFmt w:val="bullet"/>
      <w:lvlText w:val="•"/>
      <w:lvlJc w:val="left"/>
      <w:pPr>
        <w:ind w:left="2746" w:hanging="435"/>
      </w:pPr>
      <w:rPr>
        <w:rFonts w:hint="default"/>
        <w:lang w:val="uk-UA" w:eastAsia="en-US" w:bidi="ar-SA"/>
      </w:rPr>
    </w:lvl>
    <w:lvl w:ilvl="5">
      <w:numFmt w:val="bullet"/>
      <w:lvlText w:val="•"/>
      <w:lvlJc w:val="left"/>
      <w:pPr>
        <w:ind w:left="3142" w:hanging="435"/>
      </w:pPr>
      <w:rPr>
        <w:rFonts w:hint="default"/>
        <w:lang w:val="uk-UA" w:eastAsia="en-US" w:bidi="ar-SA"/>
      </w:rPr>
    </w:lvl>
    <w:lvl w:ilvl="6">
      <w:numFmt w:val="bullet"/>
      <w:lvlText w:val="•"/>
      <w:lvlJc w:val="left"/>
      <w:pPr>
        <w:ind w:left="3539" w:hanging="435"/>
      </w:pPr>
      <w:rPr>
        <w:rFonts w:hint="default"/>
        <w:lang w:val="uk-UA" w:eastAsia="en-US" w:bidi="ar-SA"/>
      </w:rPr>
    </w:lvl>
    <w:lvl w:ilvl="7">
      <w:numFmt w:val="bullet"/>
      <w:lvlText w:val="•"/>
      <w:lvlJc w:val="left"/>
      <w:pPr>
        <w:ind w:left="3935" w:hanging="435"/>
      </w:pPr>
      <w:rPr>
        <w:rFonts w:hint="default"/>
        <w:lang w:val="uk-UA" w:eastAsia="en-US" w:bidi="ar-SA"/>
      </w:rPr>
    </w:lvl>
    <w:lvl w:ilvl="8">
      <w:numFmt w:val="bullet"/>
      <w:lvlText w:val="•"/>
      <w:lvlJc w:val="left"/>
      <w:pPr>
        <w:ind w:left="4332" w:hanging="435"/>
      </w:pPr>
      <w:rPr>
        <w:rFonts w:hint="default"/>
        <w:lang w:val="uk-UA" w:eastAsia="en-US" w:bidi="ar-SA"/>
      </w:rPr>
    </w:lvl>
  </w:abstractNum>
  <w:abstractNum w:abstractNumId="70" w15:restartNumberingAfterBreak="0">
    <w:nsid w:val="27B764B6"/>
    <w:multiLevelType w:val="hybridMultilevel"/>
    <w:tmpl w:val="E056D468"/>
    <w:lvl w:ilvl="0" w:tplc="849605D0">
      <w:start w:val="3"/>
      <w:numFmt w:val="bullet"/>
      <w:lvlText w:val="-"/>
      <w:lvlJc w:val="left"/>
      <w:pPr>
        <w:ind w:left="1210" w:hanging="360"/>
      </w:pPr>
      <w:rPr>
        <w:rFonts w:ascii="Calibri Light" w:eastAsia="Tahoma" w:hAnsi="Calibri Light" w:cs="Calibri Light" w:hint="default"/>
      </w:rPr>
    </w:lvl>
    <w:lvl w:ilvl="1" w:tplc="20000003" w:tentative="1">
      <w:start w:val="1"/>
      <w:numFmt w:val="bullet"/>
      <w:lvlText w:val="o"/>
      <w:lvlJc w:val="left"/>
      <w:pPr>
        <w:ind w:left="1930" w:hanging="360"/>
      </w:pPr>
      <w:rPr>
        <w:rFonts w:ascii="Courier New" w:hAnsi="Courier New" w:cs="Courier New" w:hint="default"/>
      </w:rPr>
    </w:lvl>
    <w:lvl w:ilvl="2" w:tplc="20000005" w:tentative="1">
      <w:start w:val="1"/>
      <w:numFmt w:val="bullet"/>
      <w:lvlText w:val=""/>
      <w:lvlJc w:val="left"/>
      <w:pPr>
        <w:ind w:left="2650" w:hanging="360"/>
      </w:pPr>
      <w:rPr>
        <w:rFonts w:ascii="Wingdings" w:hAnsi="Wingdings" w:hint="default"/>
      </w:rPr>
    </w:lvl>
    <w:lvl w:ilvl="3" w:tplc="20000001" w:tentative="1">
      <w:start w:val="1"/>
      <w:numFmt w:val="bullet"/>
      <w:lvlText w:val=""/>
      <w:lvlJc w:val="left"/>
      <w:pPr>
        <w:ind w:left="3370" w:hanging="360"/>
      </w:pPr>
      <w:rPr>
        <w:rFonts w:ascii="Symbol" w:hAnsi="Symbol" w:hint="default"/>
      </w:rPr>
    </w:lvl>
    <w:lvl w:ilvl="4" w:tplc="20000003" w:tentative="1">
      <w:start w:val="1"/>
      <w:numFmt w:val="bullet"/>
      <w:lvlText w:val="o"/>
      <w:lvlJc w:val="left"/>
      <w:pPr>
        <w:ind w:left="4090" w:hanging="360"/>
      </w:pPr>
      <w:rPr>
        <w:rFonts w:ascii="Courier New" w:hAnsi="Courier New" w:cs="Courier New" w:hint="default"/>
      </w:rPr>
    </w:lvl>
    <w:lvl w:ilvl="5" w:tplc="20000005" w:tentative="1">
      <w:start w:val="1"/>
      <w:numFmt w:val="bullet"/>
      <w:lvlText w:val=""/>
      <w:lvlJc w:val="left"/>
      <w:pPr>
        <w:ind w:left="4810" w:hanging="360"/>
      </w:pPr>
      <w:rPr>
        <w:rFonts w:ascii="Wingdings" w:hAnsi="Wingdings" w:hint="default"/>
      </w:rPr>
    </w:lvl>
    <w:lvl w:ilvl="6" w:tplc="20000001" w:tentative="1">
      <w:start w:val="1"/>
      <w:numFmt w:val="bullet"/>
      <w:lvlText w:val=""/>
      <w:lvlJc w:val="left"/>
      <w:pPr>
        <w:ind w:left="5530" w:hanging="360"/>
      </w:pPr>
      <w:rPr>
        <w:rFonts w:ascii="Symbol" w:hAnsi="Symbol" w:hint="default"/>
      </w:rPr>
    </w:lvl>
    <w:lvl w:ilvl="7" w:tplc="20000003" w:tentative="1">
      <w:start w:val="1"/>
      <w:numFmt w:val="bullet"/>
      <w:lvlText w:val="o"/>
      <w:lvlJc w:val="left"/>
      <w:pPr>
        <w:ind w:left="6250" w:hanging="360"/>
      </w:pPr>
      <w:rPr>
        <w:rFonts w:ascii="Courier New" w:hAnsi="Courier New" w:cs="Courier New" w:hint="default"/>
      </w:rPr>
    </w:lvl>
    <w:lvl w:ilvl="8" w:tplc="20000005" w:tentative="1">
      <w:start w:val="1"/>
      <w:numFmt w:val="bullet"/>
      <w:lvlText w:val=""/>
      <w:lvlJc w:val="left"/>
      <w:pPr>
        <w:ind w:left="6970" w:hanging="360"/>
      </w:pPr>
      <w:rPr>
        <w:rFonts w:ascii="Wingdings" w:hAnsi="Wingdings" w:hint="default"/>
      </w:rPr>
    </w:lvl>
  </w:abstractNum>
  <w:abstractNum w:abstractNumId="71" w15:restartNumberingAfterBreak="0">
    <w:nsid w:val="27E95EE1"/>
    <w:multiLevelType w:val="hybridMultilevel"/>
    <w:tmpl w:val="D99CB37A"/>
    <w:lvl w:ilvl="0" w:tplc="0EA2A7EE">
      <w:start w:val="1"/>
      <w:numFmt w:val="decimal"/>
      <w:lvlText w:val="%1."/>
      <w:lvlJc w:val="left"/>
      <w:pPr>
        <w:ind w:left="452" w:hanging="360"/>
      </w:pPr>
      <w:rPr>
        <w:rFonts w:hint="default"/>
      </w:rPr>
    </w:lvl>
    <w:lvl w:ilvl="1" w:tplc="04190019" w:tentative="1">
      <w:start w:val="1"/>
      <w:numFmt w:val="lowerLetter"/>
      <w:lvlText w:val="%2."/>
      <w:lvlJc w:val="left"/>
      <w:pPr>
        <w:ind w:left="1172" w:hanging="360"/>
      </w:pPr>
    </w:lvl>
    <w:lvl w:ilvl="2" w:tplc="0419001B" w:tentative="1">
      <w:start w:val="1"/>
      <w:numFmt w:val="lowerRoman"/>
      <w:lvlText w:val="%3."/>
      <w:lvlJc w:val="right"/>
      <w:pPr>
        <w:ind w:left="1892" w:hanging="180"/>
      </w:pPr>
    </w:lvl>
    <w:lvl w:ilvl="3" w:tplc="0419000F" w:tentative="1">
      <w:start w:val="1"/>
      <w:numFmt w:val="decimal"/>
      <w:lvlText w:val="%4."/>
      <w:lvlJc w:val="left"/>
      <w:pPr>
        <w:ind w:left="2612" w:hanging="360"/>
      </w:pPr>
    </w:lvl>
    <w:lvl w:ilvl="4" w:tplc="04190019" w:tentative="1">
      <w:start w:val="1"/>
      <w:numFmt w:val="lowerLetter"/>
      <w:lvlText w:val="%5."/>
      <w:lvlJc w:val="left"/>
      <w:pPr>
        <w:ind w:left="3332" w:hanging="360"/>
      </w:pPr>
    </w:lvl>
    <w:lvl w:ilvl="5" w:tplc="0419001B" w:tentative="1">
      <w:start w:val="1"/>
      <w:numFmt w:val="lowerRoman"/>
      <w:lvlText w:val="%6."/>
      <w:lvlJc w:val="right"/>
      <w:pPr>
        <w:ind w:left="4052" w:hanging="180"/>
      </w:pPr>
    </w:lvl>
    <w:lvl w:ilvl="6" w:tplc="0419000F" w:tentative="1">
      <w:start w:val="1"/>
      <w:numFmt w:val="decimal"/>
      <w:lvlText w:val="%7."/>
      <w:lvlJc w:val="left"/>
      <w:pPr>
        <w:ind w:left="4772" w:hanging="360"/>
      </w:pPr>
    </w:lvl>
    <w:lvl w:ilvl="7" w:tplc="04190019" w:tentative="1">
      <w:start w:val="1"/>
      <w:numFmt w:val="lowerLetter"/>
      <w:lvlText w:val="%8."/>
      <w:lvlJc w:val="left"/>
      <w:pPr>
        <w:ind w:left="5492" w:hanging="360"/>
      </w:pPr>
    </w:lvl>
    <w:lvl w:ilvl="8" w:tplc="0419001B" w:tentative="1">
      <w:start w:val="1"/>
      <w:numFmt w:val="lowerRoman"/>
      <w:lvlText w:val="%9."/>
      <w:lvlJc w:val="right"/>
      <w:pPr>
        <w:ind w:left="6212" w:hanging="180"/>
      </w:pPr>
    </w:lvl>
  </w:abstractNum>
  <w:abstractNum w:abstractNumId="72" w15:restartNumberingAfterBreak="0">
    <w:nsid w:val="27FA55A9"/>
    <w:multiLevelType w:val="hybridMultilevel"/>
    <w:tmpl w:val="1C542268"/>
    <w:lvl w:ilvl="0" w:tplc="849605D0">
      <w:start w:val="3"/>
      <w:numFmt w:val="bullet"/>
      <w:lvlText w:val="-"/>
      <w:lvlJc w:val="left"/>
      <w:pPr>
        <w:ind w:left="1287" w:hanging="360"/>
      </w:pPr>
      <w:rPr>
        <w:rFonts w:ascii="Calibri Light" w:eastAsia="Tahoma" w:hAnsi="Calibri Light" w:cs="Calibri Light"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73" w15:restartNumberingAfterBreak="0">
    <w:nsid w:val="29A151A8"/>
    <w:multiLevelType w:val="hybridMultilevel"/>
    <w:tmpl w:val="A7FAB29C"/>
    <w:lvl w:ilvl="0" w:tplc="28E6742C">
      <w:start w:val="2"/>
      <w:numFmt w:val="bullet"/>
      <w:lvlText w:val="-"/>
      <w:lvlJc w:val="left"/>
      <w:pPr>
        <w:ind w:left="927" w:hanging="360"/>
      </w:pPr>
      <w:rPr>
        <w:rFonts w:ascii="Times New Roman" w:eastAsia="Times New Roman" w:hAnsi="Times New Roman" w:cs="Times New Roman"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4" w15:restartNumberingAfterBreak="0">
    <w:nsid w:val="2A570617"/>
    <w:multiLevelType w:val="hybridMultilevel"/>
    <w:tmpl w:val="C36C7A1A"/>
    <w:lvl w:ilvl="0" w:tplc="A62ED1E6">
      <w:start w:val="1"/>
      <w:numFmt w:val="decimal"/>
      <w:lvlText w:val="%1."/>
      <w:lvlJc w:val="left"/>
      <w:pPr>
        <w:ind w:left="678" w:hanging="360"/>
      </w:pPr>
      <w:rPr>
        <w:rFonts w:ascii="Times New Roman" w:eastAsia="Times New Roman" w:hAnsi="Times New Roman" w:cs="Times New Roman" w:hint="default"/>
        <w:spacing w:val="0"/>
        <w:w w:val="99"/>
        <w:sz w:val="20"/>
        <w:szCs w:val="20"/>
        <w:lang w:val="uk-UA" w:eastAsia="en-US" w:bidi="ar-SA"/>
      </w:rPr>
    </w:lvl>
    <w:lvl w:ilvl="1" w:tplc="DE749C30">
      <w:start w:val="1"/>
      <w:numFmt w:val="decimal"/>
      <w:lvlText w:val="%2."/>
      <w:lvlJc w:val="left"/>
      <w:pPr>
        <w:ind w:left="800" w:hanging="360"/>
      </w:pPr>
      <w:rPr>
        <w:rFonts w:ascii="Times New Roman" w:eastAsia="Times New Roman" w:hAnsi="Times New Roman" w:cs="Times New Roman" w:hint="default"/>
        <w:spacing w:val="0"/>
        <w:w w:val="99"/>
        <w:sz w:val="20"/>
        <w:szCs w:val="20"/>
        <w:lang w:val="uk-UA" w:eastAsia="en-US" w:bidi="ar-SA"/>
      </w:rPr>
    </w:lvl>
    <w:lvl w:ilvl="2" w:tplc="81C86EAE">
      <w:numFmt w:val="bullet"/>
      <w:lvlText w:val="•"/>
      <w:lvlJc w:val="left"/>
      <w:pPr>
        <w:ind w:left="707" w:hanging="360"/>
      </w:pPr>
      <w:rPr>
        <w:rFonts w:hint="default"/>
        <w:lang w:val="uk-UA" w:eastAsia="en-US" w:bidi="ar-SA"/>
      </w:rPr>
    </w:lvl>
    <w:lvl w:ilvl="3" w:tplc="6EB0F516">
      <w:numFmt w:val="bullet"/>
      <w:lvlText w:val="•"/>
      <w:lvlJc w:val="left"/>
      <w:pPr>
        <w:ind w:left="614" w:hanging="360"/>
      </w:pPr>
      <w:rPr>
        <w:rFonts w:hint="default"/>
        <w:lang w:val="uk-UA" w:eastAsia="en-US" w:bidi="ar-SA"/>
      </w:rPr>
    </w:lvl>
    <w:lvl w:ilvl="4" w:tplc="E7E61DEC">
      <w:numFmt w:val="bullet"/>
      <w:lvlText w:val="•"/>
      <w:lvlJc w:val="left"/>
      <w:pPr>
        <w:ind w:left="521" w:hanging="360"/>
      </w:pPr>
      <w:rPr>
        <w:rFonts w:hint="default"/>
        <w:lang w:val="uk-UA" w:eastAsia="en-US" w:bidi="ar-SA"/>
      </w:rPr>
    </w:lvl>
    <w:lvl w:ilvl="5" w:tplc="3782E4B6">
      <w:numFmt w:val="bullet"/>
      <w:lvlText w:val="•"/>
      <w:lvlJc w:val="left"/>
      <w:pPr>
        <w:ind w:left="428" w:hanging="360"/>
      </w:pPr>
      <w:rPr>
        <w:rFonts w:hint="default"/>
        <w:lang w:val="uk-UA" w:eastAsia="en-US" w:bidi="ar-SA"/>
      </w:rPr>
    </w:lvl>
    <w:lvl w:ilvl="6" w:tplc="A07E91EC">
      <w:numFmt w:val="bullet"/>
      <w:lvlText w:val="•"/>
      <w:lvlJc w:val="left"/>
      <w:pPr>
        <w:ind w:left="335" w:hanging="360"/>
      </w:pPr>
      <w:rPr>
        <w:rFonts w:hint="default"/>
        <w:lang w:val="uk-UA" w:eastAsia="en-US" w:bidi="ar-SA"/>
      </w:rPr>
    </w:lvl>
    <w:lvl w:ilvl="7" w:tplc="8C7254C6">
      <w:numFmt w:val="bullet"/>
      <w:lvlText w:val="•"/>
      <w:lvlJc w:val="left"/>
      <w:pPr>
        <w:ind w:left="242" w:hanging="360"/>
      </w:pPr>
      <w:rPr>
        <w:rFonts w:hint="default"/>
        <w:lang w:val="uk-UA" w:eastAsia="en-US" w:bidi="ar-SA"/>
      </w:rPr>
    </w:lvl>
    <w:lvl w:ilvl="8" w:tplc="8F3A39B2">
      <w:numFmt w:val="bullet"/>
      <w:lvlText w:val="•"/>
      <w:lvlJc w:val="left"/>
      <w:pPr>
        <w:ind w:left="149" w:hanging="360"/>
      </w:pPr>
      <w:rPr>
        <w:rFonts w:hint="default"/>
        <w:lang w:val="uk-UA" w:eastAsia="en-US" w:bidi="ar-SA"/>
      </w:rPr>
    </w:lvl>
  </w:abstractNum>
  <w:abstractNum w:abstractNumId="75" w15:restartNumberingAfterBreak="0">
    <w:nsid w:val="2B1909E4"/>
    <w:multiLevelType w:val="hybridMultilevel"/>
    <w:tmpl w:val="4426F5FC"/>
    <w:lvl w:ilvl="0" w:tplc="8A94FAC6">
      <w:start w:val="1"/>
      <w:numFmt w:val="lowerLetter"/>
      <w:lvlText w:val="%1)"/>
      <w:lvlJc w:val="left"/>
      <w:pPr>
        <w:ind w:left="523" w:hanging="206"/>
      </w:pPr>
      <w:rPr>
        <w:rFonts w:ascii="Times New Roman" w:eastAsia="Times New Roman" w:hAnsi="Times New Roman" w:cs="Times New Roman" w:hint="default"/>
        <w:w w:val="99"/>
        <w:sz w:val="20"/>
        <w:szCs w:val="20"/>
        <w:lang w:val="uk-UA" w:eastAsia="en-US" w:bidi="ar-SA"/>
      </w:rPr>
    </w:lvl>
    <w:lvl w:ilvl="1" w:tplc="4B4638DA">
      <w:start w:val="1"/>
      <w:numFmt w:val="decimal"/>
      <w:lvlText w:val="%2."/>
      <w:lvlJc w:val="left"/>
      <w:pPr>
        <w:ind w:left="582" w:hanging="152"/>
      </w:pPr>
      <w:rPr>
        <w:rFonts w:ascii="Times New Roman" w:eastAsia="Times New Roman" w:hAnsi="Times New Roman" w:cs="Times New Roman" w:hint="default"/>
        <w:spacing w:val="0"/>
        <w:w w:val="99"/>
        <w:sz w:val="18"/>
        <w:szCs w:val="18"/>
        <w:lang w:val="uk-UA" w:eastAsia="en-US" w:bidi="ar-SA"/>
      </w:rPr>
    </w:lvl>
    <w:lvl w:ilvl="2" w:tplc="68562426">
      <w:numFmt w:val="bullet"/>
      <w:lvlText w:val="•"/>
      <w:lvlJc w:val="left"/>
      <w:pPr>
        <w:ind w:left="511" w:hanging="152"/>
      </w:pPr>
      <w:rPr>
        <w:rFonts w:hint="default"/>
        <w:lang w:val="uk-UA" w:eastAsia="en-US" w:bidi="ar-SA"/>
      </w:rPr>
    </w:lvl>
    <w:lvl w:ilvl="3" w:tplc="23968CBE">
      <w:numFmt w:val="bullet"/>
      <w:lvlText w:val="•"/>
      <w:lvlJc w:val="left"/>
      <w:pPr>
        <w:ind w:left="443" w:hanging="152"/>
      </w:pPr>
      <w:rPr>
        <w:rFonts w:hint="default"/>
        <w:lang w:val="uk-UA" w:eastAsia="en-US" w:bidi="ar-SA"/>
      </w:rPr>
    </w:lvl>
    <w:lvl w:ilvl="4" w:tplc="CA2CA9D0">
      <w:numFmt w:val="bullet"/>
      <w:lvlText w:val="•"/>
      <w:lvlJc w:val="left"/>
      <w:pPr>
        <w:ind w:left="375" w:hanging="152"/>
      </w:pPr>
      <w:rPr>
        <w:rFonts w:hint="default"/>
        <w:lang w:val="uk-UA" w:eastAsia="en-US" w:bidi="ar-SA"/>
      </w:rPr>
    </w:lvl>
    <w:lvl w:ilvl="5" w:tplc="240C6568">
      <w:numFmt w:val="bullet"/>
      <w:lvlText w:val="•"/>
      <w:lvlJc w:val="left"/>
      <w:pPr>
        <w:ind w:left="306" w:hanging="152"/>
      </w:pPr>
      <w:rPr>
        <w:rFonts w:hint="default"/>
        <w:lang w:val="uk-UA" w:eastAsia="en-US" w:bidi="ar-SA"/>
      </w:rPr>
    </w:lvl>
    <w:lvl w:ilvl="6" w:tplc="C1264986">
      <w:numFmt w:val="bullet"/>
      <w:lvlText w:val="•"/>
      <w:lvlJc w:val="left"/>
      <w:pPr>
        <w:ind w:left="238" w:hanging="152"/>
      </w:pPr>
      <w:rPr>
        <w:rFonts w:hint="default"/>
        <w:lang w:val="uk-UA" w:eastAsia="en-US" w:bidi="ar-SA"/>
      </w:rPr>
    </w:lvl>
    <w:lvl w:ilvl="7" w:tplc="18721B66">
      <w:numFmt w:val="bullet"/>
      <w:lvlText w:val="•"/>
      <w:lvlJc w:val="left"/>
      <w:pPr>
        <w:ind w:left="170" w:hanging="152"/>
      </w:pPr>
      <w:rPr>
        <w:rFonts w:hint="default"/>
        <w:lang w:val="uk-UA" w:eastAsia="en-US" w:bidi="ar-SA"/>
      </w:rPr>
    </w:lvl>
    <w:lvl w:ilvl="8" w:tplc="986CEFC2">
      <w:numFmt w:val="bullet"/>
      <w:lvlText w:val="•"/>
      <w:lvlJc w:val="left"/>
      <w:pPr>
        <w:ind w:left="102" w:hanging="152"/>
      </w:pPr>
      <w:rPr>
        <w:rFonts w:hint="default"/>
        <w:lang w:val="uk-UA" w:eastAsia="en-US" w:bidi="ar-SA"/>
      </w:rPr>
    </w:lvl>
  </w:abstractNum>
  <w:abstractNum w:abstractNumId="76" w15:restartNumberingAfterBreak="0">
    <w:nsid w:val="2B4B179F"/>
    <w:multiLevelType w:val="hybridMultilevel"/>
    <w:tmpl w:val="AEC2F914"/>
    <w:lvl w:ilvl="0" w:tplc="DBB4356A">
      <w:start w:val="1"/>
      <w:numFmt w:val="decimal"/>
      <w:lvlText w:val="%1)"/>
      <w:lvlJc w:val="left"/>
      <w:pPr>
        <w:ind w:left="1230" w:hanging="360"/>
      </w:pPr>
      <w:rPr>
        <w:rFonts w:hint="default"/>
      </w:rPr>
    </w:lvl>
    <w:lvl w:ilvl="1" w:tplc="04190019" w:tentative="1">
      <w:start w:val="1"/>
      <w:numFmt w:val="lowerLetter"/>
      <w:lvlText w:val="%2."/>
      <w:lvlJc w:val="left"/>
      <w:pPr>
        <w:ind w:left="1950" w:hanging="360"/>
      </w:pPr>
    </w:lvl>
    <w:lvl w:ilvl="2" w:tplc="0419001B" w:tentative="1">
      <w:start w:val="1"/>
      <w:numFmt w:val="lowerRoman"/>
      <w:lvlText w:val="%3."/>
      <w:lvlJc w:val="right"/>
      <w:pPr>
        <w:ind w:left="2670" w:hanging="180"/>
      </w:pPr>
    </w:lvl>
    <w:lvl w:ilvl="3" w:tplc="0419000F" w:tentative="1">
      <w:start w:val="1"/>
      <w:numFmt w:val="decimal"/>
      <w:lvlText w:val="%4."/>
      <w:lvlJc w:val="left"/>
      <w:pPr>
        <w:ind w:left="3390" w:hanging="360"/>
      </w:pPr>
    </w:lvl>
    <w:lvl w:ilvl="4" w:tplc="04190019" w:tentative="1">
      <w:start w:val="1"/>
      <w:numFmt w:val="lowerLetter"/>
      <w:lvlText w:val="%5."/>
      <w:lvlJc w:val="left"/>
      <w:pPr>
        <w:ind w:left="4110" w:hanging="360"/>
      </w:pPr>
    </w:lvl>
    <w:lvl w:ilvl="5" w:tplc="0419001B" w:tentative="1">
      <w:start w:val="1"/>
      <w:numFmt w:val="lowerRoman"/>
      <w:lvlText w:val="%6."/>
      <w:lvlJc w:val="right"/>
      <w:pPr>
        <w:ind w:left="4830" w:hanging="180"/>
      </w:pPr>
    </w:lvl>
    <w:lvl w:ilvl="6" w:tplc="0419000F" w:tentative="1">
      <w:start w:val="1"/>
      <w:numFmt w:val="decimal"/>
      <w:lvlText w:val="%7."/>
      <w:lvlJc w:val="left"/>
      <w:pPr>
        <w:ind w:left="5550" w:hanging="360"/>
      </w:pPr>
    </w:lvl>
    <w:lvl w:ilvl="7" w:tplc="04190019" w:tentative="1">
      <w:start w:val="1"/>
      <w:numFmt w:val="lowerLetter"/>
      <w:lvlText w:val="%8."/>
      <w:lvlJc w:val="left"/>
      <w:pPr>
        <w:ind w:left="6270" w:hanging="360"/>
      </w:pPr>
    </w:lvl>
    <w:lvl w:ilvl="8" w:tplc="0419001B" w:tentative="1">
      <w:start w:val="1"/>
      <w:numFmt w:val="lowerRoman"/>
      <w:lvlText w:val="%9."/>
      <w:lvlJc w:val="right"/>
      <w:pPr>
        <w:ind w:left="6990" w:hanging="180"/>
      </w:pPr>
    </w:lvl>
  </w:abstractNum>
  <w:abstractNum w:abstractNumId="77" w15:restartNumberingAfterBreak="0">
    <w:nsid w:val="2BA87ECA"/>
    <w:multiLevelType w:val="hybridMultilevel"/>
    <w:tmpl w:val="DC180A9E"/>
    <w:lvl w:ilvl="0" w:tplc="AD701CB8">
      <w:start w:val="1"/>
      <w:numFmt w:val="decimal"/>
      <w:lvlText w:val="%1."/>
      <w:lvlJc w:val="left"/>
      <w:pPr>
        <w:ind w:left="723" w:hanging="360"/>
      </w:pPr>
      <w:rPr>
        <w:rFonts w:ascii="Times New Roman" w:eastAsia="Times New Roman" w:hAnsi="Times New Roman" w:cs="Times New Roman" w:hint="default"/>
        <w:spacing w:val="0"/>
        <w:w w:val="99"/>
        <w:sz w:val="20"/>
        <w:szCs w:val="20"/>
        <w:lang w:val="uk-UA" w:eastAsia="en-US" w:bidi="ar-SA"/>
      </w:rPr>
    </w:lvl>
    <w:lvl w:ilvl="1" w:tplc="3056AB7C">
      <w:numFmt w:val="bullet"/>
      <w:lvlText w:val="•"/>
      <w:lvlJc w:val="left"/>
      <w:pPr>
        <w:ind w:left="1160" w:hanging="360"/>
      </w:pPr>
      <w:rPr>
        <w:rFonts w:hint="default"/>
        <w:lang w:val="uk-UA" w:eastAsia="en-US" w:bidi="ar-SA"/>
      </w:rPr>
    </w:lvl>
    <w:lvl w:ilvl="2" w:tplc="633C5DDE">
      <w:numFmt w:val="bullet"/>
      <w:lvlText w:val="•"/>
      <w:lvlJc w:val="left"/>
      <w:pPr>
        <w:ind w:left="1600" w:hanging="360"/>
      </w:pPr>
      <w:rPr>
        <w:rFonts w:hint="default"/>
        <w:lang w:val="uk-UA" w:eastAsia="en-US" w:bidi="ar-SA"/>
      </w:rPr>
    </w:lvl>
    <w:lvl w:ilvl="3" w:tplc="7E6C79EE">
      <w:numFmt w:val="bullet"/>
      <w:lvlText w:val="•"/>
      <w:lvlJc w:val="left"/>
      <w:pPr>
        <w:ind w:left="2041" w:hanging="360"/>
      </w:pPr>
      <w:rPr>
        <w:rFonts w:hint="default"/>
        <w:lang w:val="uk-UA" w:eastAsia="en-US" w:bidi="ar-SA"/>
      </w:rPr>
    </w:lvl>
    <w:lvl w:ilvl="4" w:tplc="184EC2C2">
      <w:numFmt w:val="bullet"/>
      <w:lvlText w:val="•"/>
      <w:lvlJc w:val="left"/>
      <w:pPr>
        <w:ind w:left="2481" w:hanging="360"/>
      </w:pPr>
      <w:rPr>
        <w:rFonts w:hint="default"/>
        <w:lang w:val="uk-UA" w:eastAsia="en-US" w:bidi="ar-SA"/>
      </w:rPr>
    </w:lvl>
    <w:lvl w:ilvl="5" w:tplc="3EB03292">
      <w:numFmt w:val="bullet"/>
      <w:lvlText w:val="•"/>
      <w:lvlJc w:val="left"/>
      <w:pPr>
        <w:ind w:left="2921" w:hanging="360"/>
      </w:pPr>
      <w:rPr>
        <w:rFonts w:hint="default"/>
        <w:lang w:val="uk-UA" w:eastAsia="en-US" w:bidi="ar-SA"/>
      </w:rPr>
    </w:lvl>
    <w:lvl w:ilvl="6" w:tplc="7668F80E">
      <w:numFmt w:val="bullet"/>
      <w:lvlText w:val="•"/>
      <w:lvlJc w:val="left"/>
      <w:pPr>
        <w:ind w:left="3362" w:hanging="360"/>
      </w:pPr>
      <w:rPr>
        <w:rFonts w:hint="default"/>
        <w:lang w:val="uk-UA" w:eastAsia="en-US" w:bidi="ar-SA"/>
      </w:rPr>
    </w:lvl>
    <w:lvl w:ilvl="7" w:tplc="DBA6302C">
      <w:numFmt w:val="bullet"/>
      <w:lvlText w:val="•"/>
      <w:lvlJc w:val="left"/>
      <w:pPr>
        <w:ind w:left="3802" w:hanging="360"/>
      </w:pPr>
      <w:rPr>
        <w:rFonts w:hint="default"/>
        <w:lang w:val="uk-UA" w:eastAsia="en-US" w:bidi="ar-SA"/>
      </w:rPr>
    </w:lvl>
    <w:lvl w:ilvl="8" w:tplc="575A80E2">
      <w:numFmt w:val="bullet"/>
      <w:lvlText w:val="•"/>
      <w:lvlJc w:val="left"/>
      <w:pPr>
        <w:ind w:left="4243" w:hanging="360"/>
      </w:pPr>
      <w:rPr>
        <w:rFonts w:hint="default"/>
        <w:lang w:val="uk-UA" w:eastAsia="en-US" w:bidi="ar-SA"/>
      </w:rPr>
    </w:lvl>
  </w:abstractNum>
  <w:abstractNum w:abstractNumId="78" w15:restartNumberingAfterBreak="0">
    <w:nsid w:val="2BFA4D99"/>
    <w:multiLevelType w:val="hybridMultilevel"/>
    <w:tmpl w:val="6EB6A056"/>
    <w:lvl w:ilvl="0" w:tplc="A97C6326">
      <w:start w:val="1"/>
      <w:numFmt w:val="decimal"/>
      <w:lvlText w:val="%1."/>
      <w:lvlJc w:val="left"/>
      <w:pPr>
        <w:ind w:left="598" w:hanging="720"/>
      </w:pPr>
      <w:rPr>
        <w:rFonts w:ascii="Times New Roman" w:eastAsia="Times New Roman" w:hAnsi="Times New Roman" w:cs="Times New Roman" w:hint="default"/>
        <w:spacing w:val="0"/>
        <w:w w:val="99"/>
        <w:sz w:val="20"/>
        <w:szCs w:val="20"/>
        <w:lang w:val="uk-UA" w:eastAsia="en-US" w:bidi="ar-SA"/>
      </w:rPr>
    </w:lvl>
    <w:lvl w:ilvl="1" w:tplc="1AA6C956">
      <w:numFmt w:val="bullet"/>
      <w:lvlText w:val="•"/>
      <w:lvlJc w:val="left"/>
      <w:pPr>
        <w:ind w:left="1076" w:hanging="720"/>
      </w:pPr>
      <w:rPr>
        <w:rFonts w:hint="default"/>
        <w:lang w:val="uk-UA" w:eastAsia="en-US" w:bidi="ar-SA"/>
      </w:rPr>
    </w:lvl>
    <w:lvl w:ilvl="2" w:tplc="8ECEF4A6">
      <w:numFmt w:val="bullet"/>
      <w:lvlText w:val="•"/>
      <w:lvlJc w:val="left"/>
      <w:pPr>
        <w:ind w:left="1552" w:hanging="720"/>
      </w:pPr>
      <w:rPr>
        <w:rFonts w:hint="default"/>
        <w:lang w:val="uk-UA" w:eastAsia="en-US" w:bidi="ar-SA"/>
      </w:rPr>
    </w:lvl>
    <w:lvl w:ilvl="3" w:tplc="0748B10C">
      <w:numFmt w:val="bullet"/>
      <w:lvlText w:val="•"/>
      <w:lvlJc w:val="left"/>
      <w:pPr>
        <w:ind w:left="2028" w:hanging="720"/>
      </w:pPr>
      <w:rPr>
        <w:rFonts w:hint="default"/>
        <w:lang w:val="uk-UA" w:eastAsia="en-US" w:bidi="ar-SA"/>
      </w:rPr>
    </w:lvl>
    <w:lvl w:ilvl="4" w:tplc="C02862F8">
      <w:numFmt w:val="bullet"/>
      <w:lvlText w:val="•"/>
      <w:lvlJc w:val="left"/>
      <w:pPr>
        <w:ind w:left="2504" w:hanging="720"/>
      </w:pPr>
      <w:rPr>
        <w:rFonts w:hint="default"/>
        <w:lang w:val="uk-UA" w:eastAsia="en-US" w:bidi="ar-SA"/>
      </w:rPr>
    </w:lvl>
    <w:lvl w:ilvl="5" w:tplc="5BE01E1A">
      <w:numFmt w:val="bullet"/>
      <w:lvlText w:val="•"/>
      <w:lvlJc w:val="left"/>
      <w:pPr>
        <w:ind w:left="2980" w:hanging="720"/>
      </w:pPr>
      <w:rPr>
        <w:rFonts w:hint="default"/>
        <w:lang w:val="uk-UA" w:eastAsia="en-US" w:bidi="ar-SA"/>
      </w:rPr>
    </w:lvl>
    <w:lvl w:ilvl="6" w:tplc="15468D9A">
      <w:numFmt w:val="bullet"/>
      <w:lvlText w:val="•"/>
      <w:lvlJc w:val="left"/>
      <w:pPr>
        <w:ind w:left="3456" w:hanging="720"/>
      </w:pPr>
      <w:rPr>
        <w:rFonts w:hint="default"/>
        <w:lang w:val="uk-UA" w:eastAsia="en-US" w:bidi="ar-SA"/>
      </w:rPr>
    </w:lvl>
    <w:lvl w:ilvl="7" w:tplc="E7FC406E">
      <w:numFmt w:val="bullet"/>
      <w:lvlText w:val="•"/>
      <w:lvlJc w:val="left"/>
      <w:pPr>
        <w:ind w:left="3932" w:hanging="720"/>
      </w:pPr>
      <w:rPr>
        <w:rFonts w:hint="default"/>
        <w:lang w:val="uk-UA" w:eastAsia="en-US" w:bidi="ar-SA"/>
      </w:rPr>
    </w:lvl>
    <w:lvl w:ilvl="8" w:tplc="1D4EA118">
      <w:numFmt w:val="bullet"/>
      <w:lvlText w:val="•"/>
      <w:lvlJc w:val="left"/>
      <w:pPr>
        <w:ind w:left="4408" w:hanging="720"/>
      </w:pPr>
      <w:rPr>
        <w:rFonts w:hint="default"/>
        <w:lang w:val="uk-UA" w:eastAsia="en-US" w:bidi="ar-SA"/>
      </w:rPr>
    </w:lvl>
  </w:abstractNum>
  <w:abstractNum w:abstractNumId="79" w15:restartNumberingAfterBreak="0">
    <w:nsid w:val="2C6A1B9F"/>
    <w:multiLevelType w:val="hybridMultilevel"/>
    <w:tmpl w:val="935E0B70"/>
    <w:lvl w:ilvl="0" w:tplc="33D02AD2">
      <w:start w:val="2"/>
      <w:numFmt w:val="lowerLetter"/>
      <w:lvlText w:val="%1)"/>
      <w:lvlJc w:val="left"/>
      <w:pPr>
        <w:ind w:left="316" w:hanging="257"/>
      </w:pPr>
      <w:rPr>
        <w:rFonts w:ascii="Times New Roman" w:eastAsia="Times New Roman" w:hAnsi="Times New Roman" w:cs="Times New Roman" w:hint="default"/>
        <w:spacing w:val="0"/>
        <w:w w:val="99"/>
        <w:sz w:val="20"/>
        <w:szCs w:val="20"/>
        <w:lang w:val="uk-UA" w:eastAsia="en-US" w:bidi="ar-SA"/>
      </w:rPr>
    </w:lvl>
    <w:lvl w:ilvl="1" w:tplc="3C7E044A">
      <w:numFmt w:val="bullet"/>
      <w:lvlText w:val="•"/>
      <w:lvlJc w:val="left"/>
      <w:pPr>
        <w:ind w:left="824" w:hanging="257"/>
      </w:pPr>
      <w:rPr>
        <w:rFonts w:hint="default"/>
        <w:lang w:val="uk-UA" w:eastAsia="en-US" w:bidi="ar-SA"/>
      </w:rPr>
    </w:lvl>
    <w:lvl w:ilvl="2" w:tplc="014CF796">
      <w:numFmt w:val="bullet"/>
      <w:lvlText w:val="•"/>
      <w:lvlJc w:val="left"/>
      <w:pPr>
        <w:ind w:left="1328" w:hanging="257"/>
      </w:pPr>
      <w:rPr>
        <w:rFonts w:hint="default"/>
        <w:lang w:val="uk-UA" w:eastAsia="en-US" w:bidi="ar-SA"/>
      </w:rPr>
    </w:lvl>
    <w:lvl w:ilvl="3" w:tplc="F7921E44">
      <w:numFmt w:val="bullet"/>
      <w:lvlText w:val="•"/>
      <w:lvlJc w:val="left"/>
      <w:pPr>
        <w:ind w:left="1832" w:hanging="257"/>
      </w:pPr>
      <w:rPr>
        <w:rFonts w:hint="default"/>
        <w:lang w:val="uk-UA" w:eastAsia="en-US" w:bidi="ar-SA"/>
      </w:rPr>
    </w:lvl>
    <w:lvl w:ilvl="4" w:tplc="9AE01A06">
      <w:numFmt w:val="bullet"/>
      <w:lvlText w:val="•"/>
      <w:lvlJc w:val="left"/>
      <w:pPr>
        <w:ind w:left="2336" w:hanging="257"/>
      </w:pPr>
      <w:rPr>
        <w:rFonts w:hint="default"/>
        <w:lang w:val="uk-UA" w:eastAsia="en-US" w:bidi="ar-SA"/>
      </w:rPr>
    </w:lvl>
    <w:lvl w:ilvl="5" w:tplc="B9FC9A66">
      <w:numFmt w:val="bullet"/>
      <w:lvlText w:val="•"/>
      <w:lvlJc w:val="left"/>
      <w:pPr>
        <w:ind w:left="2840" w:hanging="257"/>
      </w:pPr>
      <w:rPr>
        <w:rFonts w:hint="default"/>
        <w:lang w:val="uk-UA" w:eastAsia="en-US" w:bidi="ar-SA"/>
      </w:rPr>
    </w:lvl>
    <w:lvl w:ilvl="6" w:tplc="A87AC504">
      <w:numFmt w:val="bullet"/>
      <w:lvlText w:val="•"/>
      <w:lvlJc w:val="left"/>
      <w:pPr>
        <w:ind w:left="3345" w:hanging="257"/>
      </w:pPr>
      <w:rPr>
        <w:rFonts w:hint="default"/>
        <w:lang w:val="uk-UA" w:eastAsia="en-US" w:bidi="ar-SA"/>
      </w:rPr>
    </w:lvl>
    <w:lvl w:ilvl="7" w:tplc="A80A2D60">
      <w:numFmt w:val="bullet"/>
      <w:lvlText w:val="•"/>
      <w:lvlJc w:val="left"/>
      <w:pPr>
        <w:ind w:left="3849" w:hanging="257"/>
      </w:pPr>
      <w:rPr>
        <w:rFonts w:hint="default"/>
        <w:lang w:val="uk-UA" w:eastAsia="en-US" w:bidi="ar-SA"/>
      </w:rPr>
    </w:lvl>
    <w:lvl w:ilvl="8" w:tplc="17E61510">
      <w:numFmt w:val="bullet"/>
      <w:lvlText w:val="•"/>
      <w:lvlJc w:val="left"/>
      <w:pPr>
        <w:ind w:left="4353" w:hanging="257"/>
      </w:pPr>
      <w:rPr>
        <w:rFonts w:hint="default"/>
        <w:lang w:val="uk-UA" w:eastAsia="en-US" w:bidi="ar-SA"/>
      </w:rPr>
    </w:lvl>
  </w:abstractNum>
  <w:abstractNum w:abstractNumId="80" w15:restartNumberingAfterBreak="0">
    <w:nsid w:val="2D926AD3"/>
    <w:multiLevelType w:val="hybridMultilevel"/>
    <w:tmpl w:val="DEBA2CE0"/>
    <w:lvl w:ilvl="0" w:tplc="EC04EDAC">
      <w:start w:val="1"/>
      <w:numFmt w:val="decimal"/>
      <w:lvlText w:val="%1."/>
      <w:lvlJc w:val="left"/>
      <w:pPr>
        <w:ind w:left="676" w:hanging="396"/>
      </w:pPr>
      <w:rPr>
        <w:rFonts w:ascii="Times New Roman" w:eastAsia="Times New Roman" w:hAnsi="Times New Roman" w:cs="Times New Roman" w:hint="default"/>
        <w:spacing w:val="0"/>
        <w:w w:val="99"/>
        <w:sz w:val="20"/>
        <w:szCs w:val="20"/>
        <w:lang w:val="uk-UA" w:eastAsia="en-US" w:bidi="ar-SA"/>
      </w:rPr>
    </w:lvl>
    <w:lvl w:ilvl="1" w:tplc="5FB042E6">
      <w:start w:val="1"/>
      <w:numFmt w:val="decimal"/>
      <w:lvlText w:val="%2)"/>
      <w:lvlJc w:val="left"/>
      <w:pPr>
        <w:ind w:left="471" w:hanging="242"/>
      </w:pPr>
      <w:rPr>
        <w:rFonts w:ascii="Times New Roman" w:eastAsia="Times New Roman" w:hAnsi="Times New Roman" w:cs="Times New Roman" w:hint="default"/>
        <w:spacing w:val="0"/>
        <w:w w:val="99"/>
        <w:sz w:val="20"/>
        <w:szCs w:val="20"/>
        <w:lang w:val="uk-UA" w:eastAsia="en-US" w:bidi="ar-SA"/>
      </w:rPr>
    </w:lvl>
    <w:lvl w:ilvl="2" w:tplc="FC7CE2E4">
      <w:numFmt w:val="bullet"/>
      <w:lvlText w:val="•"/>
      <w:lvlJc w:val="left"/>
      <w:pPr>
        <w:ind w:left="600" w:hanging="242"/>
      </w:pPr>
      <w:rPr>
        <w:rFonts w:hint="default"/>
        <w:lang w:val="uk-UA" w:eastAsia="en-US" w:bidi="ar-SA"/>
      </w:rPr>
    </w:lvl>
    <w:lvl w:ilvl="3" w:tplc="D9D437B0">
      <w:numFmt w:val="bullet"/>
      <w:lvlText w:val="•"/>
      <w:lvlJc w:val="left"/>
      <w:pPr>
        <w:ind w:left="520" w:hanging="242"/>
      </w:pPr>
      <w:rPr>
        <w:rFonts w:hint="default"/>
        <w:lang w:val="uk-UA" w:eastAsia="en-US" w:bidi="ar-SA"/>
      </w:rPr>
    </w:lvl>
    <w:lvl w:ilvl="4" w:tplc="D3A28B24">
      <w:numFmt w:val="bullet"/>
      <w:lvlText w:val="•"/>
      <w:lvlJc w:val="left"/>
      <w:pPr>
        <w:ind w:left="440" w:hanging="242"/>
      </w:pPr>
      <w:rPr>
        <w:rFonts w:hint="default"/>
        <w:lang w:val="uk-UA" w:eastAsia="en-US" w:bidi="ar-SA"/>
      </w:rPr>
    </w:lvl>
    <w:lvl w:ilvl="5" w:tplc="72FA40AA">
      <w:numFmt w:val="bullet"/>
      <w:lvlText w:val="•"/>
      <w:lvlJc w:val="left"/>
      <w:pPr>
        <w:ind w:left="360" w:hanging="242"/>
      </w:pPr>
      <w:rPr>
        <w:rFonts w:hint="default"/>
        <w:lang w:val="uk-UA" w:eastAsia="en-US" w:bidi="ar-SA"/>
      </w:rPr>
    </w:lvl>
    <w:lvl w:ilvl="6" w:tplc="3D6CB4B2">
      <w:numFmt w:val="bullet"/>
      <w:lvlText w:val="•"/>
      <w:lvlJc w:val="left"/>
      <w:pPr>
        <w:ind w:left="280" w:hanging="242"/>
      </w:pPr>
      <w:rPr>
        <w:rFonts w:hint="default"/>
        <w:lang w:val="uk-UA" w:eastAsia="en-US" w:bidi="ar-SA"/>
      </w:rPr>
    </w:lvl>
    <w:lvl w:ilvl="7" w:tplc="858CC9F4">
      <w:numFmt w:val="bullet"/>
      <w:lvlText w:val="•"/>
      <w:lvlJc w:val="left"/>
      <w:pPr>
        <w:ind w:left="200" w:hanging="242"/>
      </w:pPr>
      <w:rPr>
        <w:rFonts w:hint="default"/>
        <w:lang w:val="uk-UA" w:eastAsia="en-US" w:bidi="ar-SA"/>
      </w:rPr>
    </w:lvl>
    <w:lvl w:ilvl="8" w:tplc="36C2FC54">
      <w:numFmt w:val="bullet"/>
      <w:lvlText w:val="•"/>
      <w:lvlJc w:val="left"/>
      <w:pPr>
        <w:ind w:left="120" w:hanging="242"/>
      </w:pPr>
      <w:rPr>
        <w:rFonts w:hint="default"/>
        <w:lang w:val="uk-UA" w:eastAsia="en-US" w:bidi="ar-SA"/>
      </w:rPr>
    </w:lvl>
  </w:abstractNum>
  <w:abstractNum w:abstractNumId="81" w15:restartNumberingAfterBreak="0">
    <w:nsid w:val="2D9C6E5F"/>
    <w:multiLevelType w:val="hybridMultilevel"/>
    <w:tmpl w:val="1212A3DE"/>
    <w:lvl w:ilvl="0" w:tplc="FCB2EFAC">
      <w:start w:val="1"/>
      <w:numFmt w:val="decimal"/>
      <w:lvlText w:val="%1."/>
      <w:lvlJc w:val="left"/>
      <w:pPr>
        <w:ind w:left="440" w:hanging="273"/>
      </w:pPr>
      <w:rPr>
        <w:rFonts w:ascii="Times New Roman" w:eastAsia="Times New Roman" w:hAnsi="Times New Roman" w:cs="Times New Roman" w:hint="default"/>
        <w:spacing w:val="0"/>
        <w:w w:val="99"/>
        <w:sz w:val="20"/>
        <w:szCs w:val="20"/>
        <w:lang w:val="uk-UA" w:eastAsia="en-US" w:bidi="ar-SA"/>
      </w:rPr>
    </w:lvl>
    <w:lvl w:ilvl="1" w:tplc="251E60CA">
      <w:numFmt w:val="bullet"/>
      <w:lvlText w:val="•"/>
      <w:lvlJc w:val="left"/>
      <w:pPr>
        <w:ind w:left="908" w:hanging="273"/>
      </w:pPr>
      <w:rPr>
        <w:rFonts w:hint="default"/>
        <w:lang w:val="uk-UA" w:eastAsia="en-US" w:bidi="ar-SA"/>
      </w:rPr>
    </w:lvl>
    <w:lvl w:ilvl="2" w:tplc="890AEBC0">
      <w:numFmt w:val="bullet"/>
      <w:lvlText w:val="•"/>
      <w:lvlJc w:val="left"/>
      <w:pPr>
        <w:ind w:left="1376" w:hanging="273"/>
      </w:pPr>
      <w:rPr>
        <w:rFonts w:hint="default"/>
        <w:lang w:val="uk-UA" w:eastAsia="en-US" w:bidi="ar-SA"/>
      </w:rPr>
    </w:lvl>
    <w:lvl w:ilvl="3" w:tplc="C788629A">
      <w:numFmt w:val="bullet"/>
      <w:lvlText w:val="•"/>
      <w:lvlJc w:val="left"/>
      <w:pPr>
        <w:ind w:left="1845" w:hanging="273"/>
      </w:pPr>
      <w:rPr>
        <w:rFonts w:hint="default"/>
        <w:lang w:val="uk-UA" w:eastAsia="en-US" w:bidi="ar-SA"/>
      </w:rPr>
    </w:lvl>
    <w:lvl w:ilvl="4" w:tplc="204EA05E">
      <w:numFmt w:val="bullet"/>
      <w:lvlText w:val="•"/>
      <w:lvlJc w:val="left"/>
      <w:pPr>
        <w:ind w:left="2313" w:hanging="273"/>
      </w:pPr>
      <w:rPr>
        <w:rFonts w:hint="default"/>
        <w:lang w:val="uk-UA" w:eastAsia="en-US" w:bidi="ar-SA"/>
      </w:rPr>
    </w:lvl>
    <w:lvl w:ilvl="5" w:tplc="E35AA4EE">
      <w:numFmt w:val="bullet"/>
      <w:lvlText w:val="•"/>
      <w:lvlJc w:val="left"/>
      <w:pPr>
        <w:ind w:left="2781" w:hanging="273"/>
      </w:pPr>
      <w:rPr>
        <w:rFonts w:hint="default"/>
        <w:lang w:val="uk-UA" w:eastAsia="en-US" w:bidi="ar-SA"/>
      </w:rPr>
    </w:lvl>
    <w:lvl w:ilvl="6" w:tplc="BB14A03A">
      <w:numFmt w:val="bullet"/>
      <w:lvlText w:val="•"/>
      <w:lvlJc w:val="left"/>
      <w:pPr>
        <w:ind w:left="3250" w:hanging="273"/>
      </w:pPr>
      <w:rPr>
        <w:rFonts w:hint="default"/>
        <w:lang w:val="uk-UA" w:eastAsia="en-US" w:bidi="ar-SA"/>
      </w:rPr>
    </w:lvl>
    <w:lvl w:ilvl="7" w:tplc="79B0E98C">
      <w:numFmt w:val="bullet"/>
      <w:lvlText w:val="•"/>
      <w:lvlJc w:val="left"/>
      <w:pPr>
        <w:ind w:left="3718" w:hanging="273"/>
      </w:pPr>
      <w:rPr>
        <w:rFonts w:hint="default"/>
        <w:lang w:val="uk-UA" w:eastAsia="en-US" w:bidi="ar-SA"/>
      </w:rPr>
    </w:lvl>
    <w:lvl w:ilvl="8" w:tplc="2A288828">
      <w:numFmt w:val="bullet"/>
      <w:lvlText w:val="•"/>
      <w:lvlJc w:val="left"/>
      <w:pPr>
        <w:ind w:left="4186" w:hanging="273"/>
      </w:pPr>
      <w:rPr>
        <w:rFonts w:hint="default"/>
        <w:lang w:val="uk-UA" w:eastAsia="en-US" w:bidi="ar-SA"/>
      </w:rPr>
    </w:lvl>
  </w:abstractNum>
  <w:abstractNum w:abstractNumId="82" w15:restartNumberingAfterBreak="0">
    <w:nsid w:val="2DE60ED1"/>
    <w:multiLevelType w:val="hybridMultilevel"/>
    <w:tmpl w:val="99FAA11E"/>
    <w:lvl w:ilvl="0" w:tplc="D4B81064">
      <w:start w:val="1"/>
      <w:numFmt w:val="decimal"/>
      <w:lvlText w:val="%1."/>
      <w:lvlJc w:val="left"/>
      <w:pPr>
        <w:ind w:left="928"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3" w15:restartNumberingAfterBreak="0">
    <w:nsid w:val="2DFF3E33"/>
    <w:multiLevelType w:val="hybridMultilevel"/>
    <w:tmpl w:val="527E12DA"/>
    <w:lvl w:ilvl="0" w:tplc="04220017">
      <w:start w:val="1"/>
      <w:numFmt w:val="lowerLetter"/>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4" w15:restartNumberingAfterBreak="0">
    <w:nsid w:val="2F661EE2"/>
    <w:multiLevelType w:val="hybridMultilevel"/>
    <w:tmpl w:val="E9C265D4"/>
    <w:lvl w:ilvl="0" w:tplc="849605D0">
      <w:start w:val="3"/>
      <w:numFmt w:val="bullet"/>
      <w:lvlText w:val="-"/>
      <w:lvlJc w:val="left"/>
      <w:pPr>
        <w:ind w:left="1287" w:hanging="360"/>
      </w:pPr>
      <w:rPr>
        <w:rFonts w:ascii="Calibri Light" w:eastAsia="Tahoma" w:hAnsi="Calibri Light" w:cs="Calibri Light"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85" w15:restartNumberingAfterBreak="0">
    <w:nsid w:val="301F543A"/>
    <w:multiLevelType w:val="hybridMultilevel"/>
    <w:tmpl w:val="D5082044"/>
    <w:lvl w:ilvl="0" w:tplc="19C294FA">
      <w:start w:val="1"/>
      <w:numFmt w:val="decimal"/>
      <w:lvlText w:val="%1."/>
      <w:lvlJc w:val="left"/>
      <w:pPr>
        <w:ind w:left="800" w:hanging="360"/>
      </w:pPr>
      <w:rPr>
        <w:rFonts w:ascii="Times New Roman" w:eastAsia="Times New Roman" w:hAnsi="Times New Roman" w:cs="Times New Roman" w:hint="default"/>
        <w:spacing w:val="0"/>
        <w:w w:val="99"/>
        <w:sz w:val="20"/>
        <w:szCs w:val="20"/>
        <w:lang w:val="uk-UA" w:eastAsia="en-US" w:bidi="ar-SA"/>
      </w:rPr>
    </w:lvl>
    <w:lvl w:ilvl="1" w:tplc="BBDEAE56">
      <w:numFmt w:val="bullet"/>
      <w:lvlText w:val="•"/>
      <w:lvlJc w:val="left"/>
      <w:pPr>
        <w:ind w:left="1232" w:hanging="360"/>
      </w:pPr>
      <w:rPr>
        <w:rFonts w:hint="default"/>
        <w:lang w:val="uk-UA" w:eastAsia="en-US" w:bidi="ar-SA"/>
      </w:rPr>
    </w:lvl>
    <w:lvl w:ilvl="2" w:tplc="AD14473C">
      <w:numFmt w:val="bullet"/>
      <w:lvlText w:val="•"/>
      <w:lvlJc w:val="left"/>
      <w:pPr>
        <w:ind w:left="1665" w:hanging="360"/>
      </w:pPr>
      <w:rPr>
        <w:rFonts w:hint="default"/>
        <w:lang w:val="uk-UA" w:eastAsia="en-US" w:bidi="ar-SA"/>
      </w:rPr>
    </w:lvl>
    <w:lvl w:ilvl="3" w:tplc="5C3E1274">
      <w:numFmt w:val="bullet"/>
      <w:lvlText w:val="•"/>
      <w:lvlJc w:val="left"/>
      <w:pPr>
        <w:ind w:left="2097" w:hanging="360"/>
      </w:pPr>
      <w:rPr>
        <w:rFonts w:hint="default"/>
        <w:lang w:val="uk-UA" w:eastAsia="en-US" w:bidi="ar-SA"/>
      </w:rPr>
    </w:lvl>
    <w:lvl w:ilvl="4" w:tplc="578CEA36">
      <w:numFmt w:val="bullet"/>
      <w:lvlText w:val="•"/>
      <w:lvlJc w:val="left"/>
      <w:pPr>
        <w:ind w:left="2530" w:hanging="360"/>
      </w:pPr>
      <w:rPr>
        <w:rFonts w:hint="default"/>
        <w:lang w:val="uk-UA" w:eastAsia="en-US" w:bidi="ar-SA"/>
      </w:rPr>
    </w:lvl>
    <w:lvl w:ilvl="5" w:tplc="B69C143C">
      <w:numFmt w:val="bullet"/>
      <w:lvlText w:val="•"/>
      <w:lvlJc w:val="left"/>
      <w:pPr>
        <w:ind w:left="2963" w:hanging="360"/>
      </w:pPr>
      <w:rPr>
        <w:rFonts w:hint="default"/>
        <w:lang w:val="uk-UA" w:eastAsia="en-US" w:bidi="ar-SA"/>
      </w:rPr>
    </w:lvl>
    <w:lvl w:ilvl="6" w:tplc="B01A517E">
      <w:numFmt w:val="bullet"/>
      <w:lvlText w:val="•"/>
      <w:lvlJc w:val="left"/>
      <w:pPr>
        <w:ind w:left="3395" w:hanging="360"/>
      </w:pPr>
      <w:rPr>
        <w:rFonts w:hint="default"/>
        <w:lang w:val="uk-UA" w:eastAsia="en-US" w:bidi="ar-SA"/>
      </w:rPr>
    </w:lvl>
    <w:lvl w:ilvl="7" w:tplc="A008F59E">
      <w:numFmt w:val="bullet"/>
      <w:lvlText w:val="•"/>
      <w:lvlJc w:val="left"/>
      <w:pPr>
        <w:ind w:left="3828" w:hanging="360"/>
      </w:pPr>
      <w:rPr>
        <w:rFonts w:hint="default"/>
        <w:lang w:val="uk-UA" w:eastAsia="en-US" w:bidi="ar-SA"/>
      </w:rPr>
    </w:lvl>
    <w:lvl w:ilvl="8" w:tplc="56686AD0">
      <w:numFmt w:val="bullet"/>
      <w:lvlText w:val="•"/>
      <w:lvlJc w:val="left"/>
      <w:pPr>
        <w:ind w:left="4260" w:hanging="360"/>
      </w:pPr>
      <w:rPr>
        <w:rFonts w:hint="default"/>
        <w:lang w:val="uk-UA" w:eastAsia="en-US" w:bidi="ar-SA"/>
      </w:rPr>
    </w:lvl>
  </w:abstractNum>
  <w:abstractNum w:abstractNumId="86" w15:restartNumberingAfterBreak="0">
    <w:nsid w:val="307667DC"/>
    <w:multiLevelType w:val="hybridMultilevel"/>
    <w:tmpl w:val="71403D8C"/>
    <w:lvl w:ilvl="0" w:tplc="EA183CC6">
      <w:start w:val="27"/>
      <w:numFmt w:val="bullet"/>
      <w:lvlText w:val="-"/>
      <w:lvlJc w:val="left"/>
      <w:pPr>
        <w:ind w:left="1429" w:hanging="360"/>
      </w:pPr>
      <w:rPr>
        <w:rFonts w:ascii="Calibri Light" w:eastAsia="Calibri Light" w:hAnsi="Calibri Light" w:cs="Calibri Light"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87" w15:restartNumberingAfterBreak="0">
    <w:nsid w:val="30C40E91"/>
    <w:multiLevelType w:val="hybridMultilevel"/>
    <w:tmpl w:val="1FEAB0DE"/>
    <w:lvl w:ilvl="0" w:tplc="E820A9FA">
      <w:start w:val="1"/>
      <w:numFmt w:val="decimal"/>
      <w:lvlText w:val="%1)"/>
      <w:lvlJc w:val="left"/>
      <w:pPr>
        <w:ind w:left="301" w:hanging="240"/>
      </w:pPr>
      <w:rPr>
        <w:rFonts w:ascii="Times New Roman" w:eastAsia="Times New Roman" w:hAnsi="Times New Roman" w:cs="Times New Roman" w:hint="default"/>
        <w:spacing w:val="0"/>
        <w:w w:val="99"/>
        <w:sz w:val="20"/>
        <w:szCs w:val="20"/>
        <w:lang w:val="uk-UA" w:eastAsia="en-US" w:bidi="ar-SA"/>
      </w:rPr>
    </w:lvl>
    <w:lvl w:ilvl="1" w:tplc="58DEA30C">
      <w:numFmt w:val="bullet"/>
      <w:lvlText w:val="•"/>
      <w:lvlJc w:val="left"/>
      <w:pPr>
        <w:ind w:left="804" w:hanging="240"/>
      </w:pPr>
      <w:rPr>
        <w:rFonts w:hint="default"/>
        <w:lang w:val="uk-UA" w:eastAsia="en-US" w:bidi="ar-SA"/>
      </w:rPr>
    </w:lvl>
    <w:lvl w:ilvl="2" w:tplc="73FCFF6A">
      <w:numFmt w:val="bullet"/>
      <w:lvlText w:val="•"/>
      <w:lvlJc w:val="left"/>
      <w:pPr>
        <w:ind w:left="1309" w:hanging="240"/>
      </w:pPr>
      <w:rPr>
        <w:rFonts w:hint="default"/>
        <w:lang w:val="uk-UA" w:eastAsia="en-US" w:bidi="ar-SA"/>
      </w:rPr>
    </w:lvl>
    <w:lvl w:ilvl="3" w:tplc="3036F4D4">
      <w:numFmt w:val="bullet"/>
      <w:lvlText w:val="•"/>
      <w:lvlJc w:val="left"/>
      <w:pPr>
        <w:ind w:left="1814" w:hanging="240"/>
      </w:pPr>
      <w:rPr>
        <w:rFonts w:hint="default"/>
        <w:lang w:val="uk-UA" w:eastAsia="en-US" w:bidi="ar-SA"/>
      </w:rPr>
    </w:lvl>
    <w:lvl w:ilvl="4" w:tplc="0A0027B0">
      <w:numFmt w:val="bullet"/>
      <w:lvlText w:val="•"/>
      <w:lvlJc w:val="left"/>
      <w:pPr>
        <w:ind w:left="2318" w:hanging="240"/>
      </w:pPr>
      <w:rPr>
        <w:rFonts w:hint="default"/>
        <w:lang w:val="uk-UA" w:eastAsia="en-US" w:bidi="ar-SA"/>
      </w:rPr>
    </w:lvl>
    <w:lvl w:ilvl="5" w:tplc="15E67436">
      <w:numFmt w:val="bullet"/>
      <w:lvlText w:val="•"/>
      <w:lvlJc w:val="left"/>
      <w:pPr>
        <w:ind w:left="2823" w:hanging="240"/>
      </w:pPr>
      <w:rPr>
        <w:rFonts w:hint="default"/>
        <w:lang w:val="uk-UA" w:eastAsia="en-US" w:bidi="ar-SA"/>
      </w:rPr>
    </w:lvl>
    <w:lvl w:ilvl="6" w:tplc="C88C2984">
      <w:numFmt w:val="bullet"/>
      <w:lvlText w:val="•"/>
      <w:lvlJc w:val="left"/>
      <w:pPr>
        <w:ind w:left="3328" w:hanging="240"/>
      </w:pPr>
      <w:rPr>
        <w:rFonts w:hint="default"/>
        <w:lang w:val="uk-UA" w:eastAsia="en-US" w:bidi="ar-SA"/>
      </w:rPr>
    </w:lvl>
    <w:lvl w:ilvl="7" w:tplc="2CFE52A0">
      <w:numFmt w:val="bullet"/>
      <w:lvlText w:val="•"/>
      <w:lvlJc w:val="left"/>
      <w:pPr>
        <w:ind w:left="3832" w:hanging="240"/>
      </w:pPr>
      <w:rPr>
        <w:rFonts w:hint="default"/>
        <w:lang w:val="uk-UA" w:eastAsia="en-US" w:bidi="ar-SA"/>
      </w:rPr>
    </w:lvl>
    <w:lvl w:ilvl="8" w:tplc="4AFAB370">
      <w:numFmt w:val="bullet"/>
      <w:lvlText w:val="•"/>
      <w:lvlJc w:val="left"/>
      <w:pPr>
        <w:ind w:left="4337" w:hanging="240"/>
      </w:pPr>
      <w:rPr>
        <w:rFonts w:hint="default"/>
        <w:lang w:val="uk-UA" w:eastAsia="en-US" w:bidi="ar-SA"/>
      </w:rPr>
    </w:lvl>
  </w:abstractNum>
  <w:abstractNum w:abstractNumId="88" w15:restartNumberingAfterBreak="0">
    <w:nsid w:val="310A19F5"/>
    <w:multiLevelType w:val="hybridMultilevel"/>
    <w:tmpl w:val="F82A0B0E"/>
    <w:lvl w:ilvl="0" w:tplc="76426590">
      <w:start w:val="4"/>
      <w:numFmt w:val="lowerLetter"/>
      <w:lvlText w:val="%1)"/>
      <w:lvlJc w:val="left"/>
      <w:pPr>
        <w:ind w:left="440" w:hanging="274"/>
        <w:jc w:val="right"/>
      </w:pPr>
      <w:rPr>
        <w:rFonts w:ascii="Times New Roman" w:eastAsia="Times New Roman" w:hAnsi="Times New Roman" w:cs="Times New Roman" w:hint="default"/>
        <w:spacing w:val="0"/>
        <w:w w:val="99"/>
        <w:sz w:val="20"/>
        <w:szCs w:val="20"/>
        <w:lang w:val="uk-UA" w:eastAsia="en-US" w:bidi="ar-SA"/>
      </w:rPr>
    </w:lvl>
    <w:lvl w:ilvl="1" w:tplc="A34C3002">
      <w:numFmt w:val="bullet"/>
      <w:lvlText w:val="•"/>
      <w:lvlJc w:val="left"/>
      <w:pPr>
        <w:ind w:left="908" w:hanging="274"/>
      </w:pPr>
      <w:rPr>
        <w:rFonts w:hint="default"/>
        <w:lang w:val="uk-UA" w:eastAsia="en-US" w:bidi="ar-SA"/>
      </w:rPr>
    </w:lvl>
    <w:lvl w:ilvl="2" w:tplc="408A4E56">
      <w:numFmt w:val="bullet"/>
      <w:lvlText w:val="•"/>
      <w:lvlJc w:val="left"/>
      <w:pPr>
        <w:ind w:left="1377" w:hanging="274"/>
      </w:pPr>
      <w:rPr>
        <w:rFonts w:hint="default"/>
        <w:lang w:val="uk-UA" w:eastAsia="en-US" w:bidi="ar-SA"/>
      </w:rPr>
    </w:lvl>
    <w:lvl w:ilvl="3" w:tplc="A44C8688">
      <w:numFmt w:val="bullet"/>
      <w:lvlText w:val="•"/>
      <w:lvlJc w:val="left"/>
      <w:pPr>
        <w:ind w:left="1845" w:hanging="274"/>
      </w:pPr>
      <w:rPr>
        <w:rFonts w:hint="default"/>
        <w:lang w:val="uk-UA" w:eastAsia="en-US" w:bidi="ar-SA"/>
      </w:rPr>
    </w:lvl>
    <w:lvl w:ilvl="4" w:tplc="977A9708">
      <w:numFmt w:val="bullet"/>
      <w:lvlText w:val="•"/>
      <w:lvlJc w:val="left"/>
      <w:pPr>
        <w:ind w:left="2314" w:hanging="274"/>
      </w:pPr>
      <w:rPr>
        <w:rFonts w:hint="default"/>
        <w:lang w:val="uk-UA" w:eastAsia="en-US" w:bidi="ar-SA"/>
      </w:rPr>
    </w:lvl>
    <w:lvl w:ilvl="5" w:tplc="972AB5F8">
      <w:numFmt w:val="bullet"/>
      <w:lvlText w:val="•"/>
      <w:lvlJc w:val="left"/>
      <w:pPr>
        <w:ind w:left="2783" w:hanging="274"/>
      </w:pPr>
      <w:rPr>
        <w:rFonts w:hint="default"/>
        <w:lang w:val="uk-UA" w:eastAsia="en-US" w:bidi="ar-SA"/>
      </w:rPr>
    </w:lvl>
    <w:lvl w:ilvl="6" w:tplc="629EE50C">
      <w:numFmt w:val="bullet"/>
      <w:lvlText w:val="•"/>
      <w:lvlJc w:val="left"/>
      <w:pPr>
        <w:ind w:left="3251" w:hanging="274"/>
      </w:pPr>
      <w:rPr>
        <w:rFonts w:hint="default"/>
        <w:lang w:val="uk-UA" w:eastAsia="en-US" w:bidi="ar-SA"/>
      </w:rPr>
    </w:lvl>
    <w:lvl w:ilvl="7" w:tplc="9716B5AE">
      <w:numFmt w:val="bullet"/>
      <w:lvlText w:val="•"/>
      <w:lvlJc w:val="left"/>
      <w:pPr>
        <w:ind w:left="3720" w:hanging="274"/>
      </w:pPr>
      <w:rPr>
        <w:rFonts w:hint="default"/>
        <w:lang w:val="uk-UA" w:eastAsia="en-US" w:bidi="ar-SA"/>
      </w:rPr>
    </w:lvl>
    <w:lvl w:ilvl="8" w:tplc="5558762E">
      <w:numFmt w:val="bullet"/>
      <w:lvlText w:val="•"/>
      <w:lvlJc w:val="left"/>
      <w:pPr>
        <w:ind w:left="4188" w:hanging="274"/>
      </w:pPr>
      <w:rPr>
        <w:rFonts w:hint="default"/>
        <w:lang w:val="uk-UA" w:eastAsia="en-US" w:bidi="ar-SA"/>
      </w:rPr>
    </w:lvl>
  </w:abstractNum>
  <w:abstractNum w:abstractNumId="89" w15:restartNumberingAfterBreak="0">
    <w:nsid w:val="31AE157A"/>
    <w:multiLevelType w:val="hybridMultilevel"/>
    <w:tmpl w:val="5ADAF220"/>
    <w:lvl w:ilvl="0" w:tplc="39E21D7A">
      <w:start w:val="2"/>
      <w:numFmt w:val="lowerLetter"/>
      <w:lvlText w:val="%1)"/>
      <w:lvlJc w:val="left"/>
      <w:pPr>
        <w:ind w:left="315" w:hanging="230"/>
      </w:pPr>
      <w:rPr>
        <w:rFonts w:ascii="Times New Roman" w:eastAsia="Times New Roman" w:hAnsi="Times New Roman" w:cs="Times New Roman" w:hint="default"/>
        <w:spacing w:val="0"/>
        <w:w w:val="99"/>
        <w:sz w:val="20"/>
        <w:szCs w:val="20"/>
        <w:lang w:val="uk-UA" w:eastAsia="en-US" w:bidi="ar-SA"/>
      </w:rPr>
    </w:lvl>
    <w:lvl w:ilvl="1" w:tplc="230E3A54">
      <w:start w:val="1"/>
      <w:numFmt w:val="decimal"/>
      <w:lvlText w:val="%2."/>
      <w:lvlJc w:val="left"/>
      <w:pPr>
        <w:ind w:left="800" w:hanging="360"/>
      </w:pPr>
      <w:rPr>
        <w:rFonts w:hint="default"/>
        <w:spacing w:val="0"/>
        <w:w w:val="99"/>
        <w:lang w:val="uk-UA" w:eastAsia="en-US" w:bidi="ar-SA"/>
      </w:rPr>
    </w:lvl>
    <w:lvl w:ilvl="2" w:tplc="3C2A9770">
      <w:numFmt w:val="bullet"/>
      <w:lvlText w:val="•"/>
      <w:lvlJc w:val="left"/>
      <w:pPr>
        <w:ind w:left="706" w:hanging="360"/>
      </w:pPr>
      <w:rPr>
        <w:rFonts w:hint="default"/>
        <w:lang w:val="uk-UA" w:eastAsia="en-US" w:bidi="ar-SA"/>
      </w:rPr>
    </w:lvl>
    <w:lvl w:ilvl="3" w:tplc="39F2807E">
      <w:numFmt w:val="bullet"/>
      <w:lvlText w:val="•"/>
      <w:lvlJc w:val="left"/>
      <w:pPr>
        <w:ind w:left="613" w:hanging="360"/>
      </w:pPr>
      <w:rPr>
        <w:rFonts w:hint="default"/>
        <w:lang w:val="uk-UA" w:eastAsia="en-US" w:bidi="ar-SA"/>
      </w:rPr>
    </w:lvl>
    <w:lvl w:ilvl="4" w:tplc="FFCA7468">
      <w:numFmt w:val="bullet"/>
      <w:lvlText w:val="•"/>
      <w:lvlJc w:val="left"/>
      <w:pPr>
        <w:ind w:left="519" w:hanging="360"/>
      </w:pPr>
      <w:rPr>
        <w:rFonts w:hint="default"/>
        <w:lang w:val="uk-UA" w:eastAsia="en-US" w:bidi="ar-SA"/>
      </w:rPr>
    </w:lvl>
    <w:lvl w:ilvl="5" w:tplc="4398B2F2">
      <w:numFmt w:val="bullet"/>
      <w:lvlText w:val="•"/>
      <w:lvlJc w:val="left"/>
      <w:pPr>
        <w:ind w:left="426" w:hanging="360"/>
      </w:pPr>
      <w:rPr>
        <w:rFonts w:hint="default"/>
        <w:lang w:val="uk-UA" w:eastAsia="en-US" w:bidi="ar-SA"/>
      </w:rPr>
    </w:lvl>
    <w:lvl w:ilvl="6" w:tplc="6C766264">
      <w:numFmt w:val="bullet"/>
      <w:lvlText w:val="•"/>
      <w:lvlJc w:val="left"/>
      <w:pPr>
        <w:ind w:left="333" w:hanging="360"/>
      </w:pPr>
      <w:rPr>
        <w:rFonts w:hint="default"/>
        <w:lang w:val="uk-UA" w:eastAsia="en-US" w:bidi="ar-SA"/>
      </w:rPr>
    </w:lvl>
    <w:lvl w:ilvl="7" w:tplc="2B4A2EA8">
      <w:numFmt w:val="bullet"/>
      <w:lvlText w:val="•"/>
      <w:lvlJc w:val="left"/>
      <w:pPr>
        <w:ind w:left="239" w:hanging="360"/>
      </w:pPr>
      <w:rPr>
        <w:rFonts w:hint="default"/>
        <w:lang w:val="uk-UA" w:eastAsia="en-US" w:bidi="ar-SA"/>
      </w:rPr>
    </w:lvl>
    <w:lvl w:ilvl="8" w:tplc="6BD2C5AC">
      <w:numFmt w:val="bullet"/>
      <w:lvlText w:val="•"/>
      <w:lvlJc w:val="left"/>
      <w:pPr>
        <w:ind w:left="146" w:hanging="360"/>
      </w:pPr>
      <w:rPr>
        <w:rFonts w:hint="default"/>
        <w:lang w:val="uk-UA" w:eastAsia="en-US" w:bidi="ar-SA"/>
      </w:rPr>
    </w:lvl>
  </w:abstractNum>
  <w:abstractNum w:abstractNumId="90" w15:restartNumberingAfterBreak="0">
    <w:nsid w:val="327042A1"/>
    <w:multiLevelType w:val="hybridMultilevel"/>
    <w:tmpl w:val="0F102082"/>
    <w:lvl w:ilvl="0" w:tplc="E106512A">
      <w:start w:val="6"/>
      <w:numFmt w:val="bullet"/>
      <w:lvlText w:val="-"/>
      <w:lvlJc w:val="left"/>
      <w:pPr>
        <w:ind w:left="927" w:hanging="360"/>
      </w:pPr>
      <w:rPr>
        <w:rFonts w:ascii="Times New Roman" w:eastAsia="Times New Roman" w:hAnsi="Times New Roman" w:cs="Times New Roman" w:hint="default"/>
        <w:b/>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91" w15:restartNumberingAfterBreak="0">
    <w:nsid w:val="32800D81"/>
    <w:multiLevelType w:val="hybridMultilevel"/>
    <w:tmpl w:val="76505688"/>
    <w:lvl w:ilvl="0" w:tplc="F484FC68">
      <w:start w:val="1"/>
      <w:numFmt w:val="decimal"/>
      <w:lvlText w:val="%1."/>
      <w:lvlJc w:val="left"/>
      <w:pPr>
        <w:ind w:left="618" w:hanging="360"/>
      </w:pPr>
      <w:rPr>
        <w:rFonts w:ascii="Times New Roman" w:eastAsia="Times New Roman" w:hAnsi="Times New Roman" w:cs="Times New Roman" w:hint="default"/>
        <w:spacing w:val="0"/>
        <w:w w:val="99"/>
        <w:sz w:val="20"/>
        <w:szCs w:val="20"/>
        <w:lang w:val="uk-UA" w:eastAsia="en-US" w:bidi="ar-SA"/>
      </w:rPr>
    </w:lvl>
    <w:lvl w:ilvl="1" w:tplc="D3001D02">
      <w:start w:val="1"/>
      <w:numFmt w:val="decimal"/>
      <w:lvlText w:val="%2."/>
      <w:lvlJc w:val="left"/>
      <w:pPr>
        <w:ind w:left="723" w:hanging="284"/>
      </w:pPr>
      <w:rPr>
        <w:rFonts w:ascii="Times New Roman" w:eastAsia="Times New Roman" w:hAnsi="Times New Roman" w:cs="Times New Roman" w:hint="default"/>
        <w:spacing w:val="0"/>
        <w:w w:val="99"/>
        <w:sz w:val="20"/>
        <w:szCs w:val="20"/>
        <w:lang w:val="uk-UA" w:eastAsia="en-US" w:bidi="ar-SA"/>
      </w:rPr>
    </w:lvl>
    <w:lvl w:ilvl="2" w:tplc="1C58E66C">
      <w:numFmt w:val="bullet"/>
      <w:lvlText w:val="•"/>
      <w:lvlJc w:val="left"/>
      <w:pPr>
        <w:ind w:left="629" w:hanging="284"/>
      </w:pPr>
      <w:rPr>
        <w:rFonts w:hint="default"/>
        <w:lang w:val="uk-UA" w:eastAsia="en-US" w:bidi="ar-SA"/>
      </w:rPr>
    </w:lvl>
    <w:lvl w:ilvl="3" w:tplc="46AA3DD8">
      <w:numFmt w:val="bullet"/>
      <w:lvlText w:val="•"/>
      <w:lvlJc w:val="left"/>
      <w:pPr>
        <w:ind w:left="538" w:hanging="284"/>
      </w:pPr>
      <w:rPr>
        <w:rFonts w:hint="default"/>
        <w:lang w:val="uk-UA" w:eastAsia="en-US" w:bidi="ar-SA"/>
      </w:rPr>
    </w:lvl>
    <w:lvl w:ilvl="4" w:tplc="D4C28F0A">
      <w:numFmt w:val="bullet"/>
      <w:lvlText w:val="•"/>
      <w:lvlJc w:val="left"/>
      <w:pPr>
        <w:ind w:left="447" w:hanging="284"/>
      </w:pPr>
      <w:rPr>
        <w:rFonts w:hint="default"/>
        <w:lang w:val="uk-UA" w:eastAsia="en-US" w:bidi="ar-SA"/>
      </w:rPr>
    </w:lvl>
    <w:lvl w:ilvl="5" w:tplc="F4923702">
      <w:numFmt w:val="bullet"/>
      <w:lvlText w:val="•"/>
      <w:lvlJc w:val="left"/>
      <w:pPr>
        <w:ind w:left="356" w:hanging="284"/>
      </w:pPr>
      <w:rPr>
        <w:rFonts w:hint="default"/>
        <w:lang w:val="uk-UA" w:eastAsia="en-US" w:bidi="ar-SA"/>
      </w:rPr>
    </w:lvl>
    <w:lvl w:ilvl="6" w:tplc="C7D81C5C">
      <w:numFmt w:val="bullet"/>
      <w:lvlText w:val="•"/>
      <w:lvlJc w:val="left"/>
      <w:pPr>
        <w:ind w:left="265" w:hanging="284"/>
      </w:pPr>
      <w:rPr>
        <w:rFonts w:hint="default"/>
        <w:lang w:val="uk-UA" w:eastAsia="en-US" w:bidi="ar-SA"/>
      </w:rPr>
    </w:lvl>
    <w:lvl w:ilvl="7" w:tplc="383CD740">
      <w:numFmt w:val="bullet"/>
      <w:lvlText w:val="•"/>
      <w:lvlJc w:val="left"/>
      <w:pPr>
        <w:ind w:left="175" w:hanging="284"/>
      </w:pPr>
      <w:rPr>
        <w:rFonts w:hint="default"/>
        <w:lang w:val="uk-UA" w:eastAsia="en-US" w:bidi="ar-SA"/>
      </w:rPr>
    </w:lvl>
    <w:lvl w:ilvl="8" w:tplc="59604B9A">
      <w:numFmt w:val="bullet"/>
      <w:lvlText w:val="•"/>
      <w:lvlJc w:val="left"/>
      <w:pPr>
        <w:ind w:left="84" w:hanging="284"/>
      </w:pPr>
      <w:rPr>
        <w:rFonts w:hint="default"/>
        <w:lang w:val="uk-UA" w:eastAsia="en-US" w:bidi="ar-SA"/>
      </w:rPr>
    </w:lvl>
  </w:abstractNum>
  <w:abstractNum w:abstractNumId="92" w15:restartNumberingAfterBreak="0">
    <w:nsid w:val="32896361"/>
    <w:multiLevelType w:val="hybridMultilevel"/>
    <w:tmpl w:val="7BC6EBCC"/>
    <w:lvl w:ilvl="0" w:tplc="B1B6335C">
      <w:numFmt w:val="bullet"/>
      <w:lvlText w:val="-"/>
      <w:lvlJc w:val="left"/>
      <w:pPr>
        <w:ind w:left="800" w:hanging="360"/>
      </w:pPr>
      <w:rPr>
        <w:rFonts w:ascii="Times New Roman" w:eastAsia="Times New Roman" w:hAnsi="Times New Roman" w:cs="Times New Roman" w:hint="default"/>
        <w:w w:val="99"/>
        <w:sz w:val="20"/>
        <w:szCs w:val="20"/>
        <w:lang w:val="uk-UA" w:eastAsia="en-US" w:bidi="ar-SA"/>
      </w:rPr>
    </w:lvl>
    <w:lvl w:ilvl="1" w:tplc="CC00D2CA">
      <w:numFmt w:val="bullet"/>
      <w:lvlText w:val="•"/>
      <w:lvlJc w:val="left"/>
      <w:pPr>
        <w:ind w:left="1245" w:hanging="360"/>
      </w:pPr>
      <w:rPr>
        <w:rFonts w:hint="default"/>
        <w:lang w:val="uk-UA" w:eastAsia="en-US" w:bidi="ar-SA"/>
      </w:rPr>
    </w:lvl>
    <w:lvl w:ilvl="2" w:tplc="174E8894">
      <w:numFmt w:val="bullet"/>
      <w:lvlText w:val="•"/>
      <w:lvlJc w:val="left"/>
      <w:pPr>
        <w:ind w:left="1691" w:hanging="360"/>
      </w:pPr>
      <w:rPr>
        <w:rFonts w:hint="default"/>
        <w:lang w:val="uk-UA" w:eastAsia="en-US" w:bidi="ar-SA"/>
      </w:rPr>
    </w:lvl>
    <w:lvl w:ilvl="3" w:tplc="1B8AD278">
      <w:numFmt w:val="bullet"/>
      <w:lvlText w:val="•"/>
      <w:lvlJc w:val="left"/>
      <w:pPr>
        <w:ind w:left="2137" w:hanging="360"/>
      </w:pPr>
      <w:rPr>
        <w:rFonts w:hint="default"/>
        <w:lang w:val="uk-UA" w:eastAsia="en-US" w:bidi="ar-SA"/>
      </w:rPr>
    </w:lvl>
    <w:lvl w:ilvl="4" w:tplc="E21A848C">
      <w:numFmt w:val="bullet"/>
      <w:lvlText w:val="•"/>
      <w:lvlJc w:val="left"/>
      <w:pPr>
        <w:ind w:left="2583" w:hanging="360"/>
      </w:pPr>
      <w:rPr>
        <w:rFonts w:hint="default"/>
        <w:lang w:val="uk-UA" w:eastAsia="en-US" w:bidi="ar-SA"/>
      </w:rPr>
    </w:lvl>
    <w:lvl w:ilvl="5" w:tplc="8D9ACF56">
      <w:numFmt w:val="bullet"/>
      <w:lvlText w:val="•"/>
      <w:lvlJc w:val="left"/>
      <w:pPr>
        <w:ind w:left="3029" w:hanging="360"/>
      </w:pPr>
      <w:rPr>
        <w:rFonts w:hint="default"/>
        <w:lang w:val="uk-UA" w:eastAsia="en-US" w:bidi="ar-SA"/>
      </w:rPr>
    </w:lvl>
    <w:lvl w:ilvl="6" w:tplc="B8ECB4CA">
      <w:numFmt w:val="bullet"/>
      <w:lvlText w:val="•"/>
      <w:lvlJc w:val="left"/>
      <w:pPr>
        <w:ind w:left="3475" w:hanging="360"/>
      </w:pPr>
      <w:rPr>
        <w:rFonts w:hint="default"/>
        <w:lang w:val="uk-UA" w:eastAsia="en-US" w:bidi="ar-SA"/>
      </w:rPr>
    </w:lvl>
    <w:lvl w:ilvl="7" w:tplc="46301576">
      <w:numFmt w:val="bullet"/>
      <w:lvlText w:val="•"/>
      <w:lvlJc w:val="left"/>
      <w:pPr>
        <w:ind w:left="3921" w:hanging="360"/>
      </w:pPr>
      <w:rPr>
        <w:rFonts w:hint="default"/>
        <w:lang w:val="uk-UA" w:eastAsia="en-US" w:bidi="ar-SA"/>
      </w:rPr>
    </w:lvl>
    <w:lvl w:ilvl="8" w:tplc="986A888C">
      <w:numFmt w:val="bullet"/>
      <w:lvlText w:val="•"/>
      <w:lvlJc w:val="left"/>
      <w:pPr>
        <w:ind w:left="4367" w:hanging="360"/>
      </w:pPr>
      <w:rPr>
        <w:rFonts w:hint="default"/>
        <w:lang w:val="uk-UA" w:eastAsia="en-US" w:bidi="ar-SA"/>
      </w:rPr>
    </w:lvl>
  </w:abstractNum>
  <w:abstractNum w:abstractNumId="93" w15:restartNumberingAfterBreak="0">
    <w:nsid w:val="32DB277F"/>
    <w:multiLevelType w:val="hybridMultilevel"/>
    <w:tmpl w:val="C9FC53BA"/>
    <w:lvl w:ilvl="0" w:tplc="8692F40A">
      <w:start w:val="1"/>
      <w:numFmt w:val="decimal"/>
      <w:lvlText w:val="%1."/>
      <w:lvlJc w:val="left"/>
      <w:pPr>
        <w:ind w:left="800" w:hanging="360"/>
      </w:pPr>
      <w:rPr>
        <w:rFonts w:ascii="Times New Roman" w:eastAsia="Times New Roman" w:hAnsi="Times New Roman" w:cs="Times New Roman" w:hint="default"/>
        <w:spacing w:val="0"/>
        <w:w w:val="99"/>
        <w:sz w:val="20"/>
        <w:szCs w:val="20"/>
        <w:lang w:val="uk-UA" w:eastAsia="en-US" w:bidi="ar-SA"/>
      </w:rPr>
    </w:lvl>
    <w:lvl w:ilvl="1" w:tplc="DF74E47E">
      <w:numFmt w:val="bullet"/>
      <w:lvlText w:val="•"/>
      <w:lvlJc w:val="left"/>
      <w:pPr>
        <w:ind w:left="1232" w:hanging="360"/>
      </w:pPr>
      <w:rPr>
        <w:rFonts w:hint="default"/>
        <w:lang w:val="uk-UA" w:eastAsia="en-US" w:bidi="ar-SA"/>
      </w:rPr>
    </w:lvl>
    <w:lvl w:ilvl="2" w:tplc="351E4546">
      <w:numFmt w:val="bullet"/>
      <w:lvlText w:val="•"/>
      <w:lvlJc w:val="left"/>
      <w:pPr>
        <w:ind w:left="1664" w:hanging="360"/>
      </w:pPr>
      <w:rPr>
        <w:rFonts w:hint="default"/>
        <w:lang w:val="uk-UA" w:eastAsia="en-US" w:bidi="ar-SA"/>
      </w:rPr>
    </w:lvl>
    <w:lvl w:ilvl="3" w:tplc="1ABC210C">
      <w:numFmt w:val="bullet"/>
      <w:lvlText w:val="•"/>
      <w:lvlJc w:val="left"/>
      <w:pPr>
        <w:ind w:left="2097" w:hanging="360"/>
      </w:pPr>
      <w:rPr>
        <w:rFonts w:hint="default"/>
        <w:lang w:val="uk-UA" w:eastAsia="en-US" w:bidi="ar-SA"/>
      </w:rPr>
    </w:lvl>
    <w:lvl w:ilvl="4" w:tplc="43104774">
      <w:numFmt w:val="bullet"/>
      <w:lvlText w:val="•"/>
      <w:lvlJc w:val="left"/>
      <w:pPr>
        <w:ind w:left="2529" w:hanging="360"/>
      </w:pPr>
      <w:rPr>
        <w:rFonts w:hint="default"/>
        <w:lang w:val="uk-UA" w:eastAsia="en-US" w:bidi="ar-SA"/>
      </w:rPr>
    </w:lvl>
    <w:lvl w:ilvl="5" w:tplc="B3AEB4A6">
      <w:numFmt w:val="bullet"/>
      <w:lvlText w:val="•"/>
      <w:lvlJc w:val="left"/>
      <w:pPr>
        <w:ind w:left="2961" w:hanging="360"/>
      </w:pPr>
      <w:rPr>
        <w:rFonts w:hint="default"/>
        <w:lang w:val="uk-UA" w:eastAsia="en-US" w:bidi="ar-SA"/>
      </w:rPr>
    </w:lvl>
    <w:lvl w:ilvl="6" w:tplc="F7AC0AFA">
      <w:numFmt w:val="bullet"/>
      <w:lvlText w:val="•"/>
      <w:lvlJc w:val="left"/>
      <w:pPr>
        <w:ind w:left="3394" w:hanging="360"/>
      </w:pPr>
      <w:rPr>
        <w:rFonts w:hint="default"/>
        <w:lang w:val="uk-UA" w:eastAsia="en-US" w:bidi="ar-SA"/>
      </w:rPr>
    </w:lvl>
    <w:lvl w:ilvl="7" w:tplc="9BDCF866">
      <w:numFmt w:val="bullet"/>
      <w:lvlText w:val="•"/>
      <w:lvlJc w:val="left"/>
      <w:pPr>
        <w:ind w:left="3826" w:hanging="360"/>
      </w:pPr>
      <w:rPr>
        <w:rFonts w:hint="default"/>
        <w:lang w:val="uk-UA" w:eastAsia="en-US" w:bidi="ar-SA"/>
      </w:rPr>
    </w:lvl>
    <w:lvl w:ilvl="8" w:tplc="1C4C04FC">
      <w:numFmt w:val="bullet"/>
      <w:lvlText w:val="•"/>
      <w:lvlJc w:val="left"/>
      <w:pPr>
        <w:ind w:left="4259" w:hanging="360"/>
      </w:pPr>
      <w:rPr>
        <w:rFonts w:hint="default"/>
        <w:lang w:val="uk-UA" w:eastAsia="en-US" w:bidi="ar-SA"/>
      </w:rPr>
    </w:lvl>
  </w:abstractNum>
  <w:abstractNum w:abstractNumId="94" w15:restartNumberingAfterBreak="0">
    <w:nsid w:val="33272BFA"/>
    <w:multiLevelType w:val="hybridMultilevel"/>
    <w:tmpl w:val="C71C37EC"/>
    <w:lvl w:ilvl="0" w:tplc="28E6742C">
      <w:start w:val="2"/>
      <w:numFmt w:val="bullet"/>
      <w:lvlText w:val="-"/>
      <w:lvlJc w:val="left"/>
      <w:pPr>
        <w:ind w:left="1590" w:hanging="360"/>
      </w:pPr>
      <w:rPr>
        <w:rFonts w:ascii="Times New Roman" w:eastAsia="Times New Roman" w:hAnsi="Times New Roman" w:cs="Times New Roman" w:hint="default"/>
      </w:rPr>
    </w:lvl>
    <w:lvl w:ilvl="1" w:tplc="20000003" w:tentative="1">
      <w:start w:val="1"/>
      <w:numFmt w:val="bullet"/>
      <w:lvlText w:val="o"/>
      <w:lvlJc w:val="left"/>
      <w:pPr>
        <w:ind w:left="2310" w:hanging="360"/>
      </w:pPr>
      <w:rPr>
        <w:rFonts w:ascii="Courier New" w:hAnsi="Courier New" w:cs="Courier New" w:hint="default"/>
      </w:rPr>
    </w:lvl>
    <w:lvl w:ilvl="2" w:tplc="20000005" w:tentative="1">
      <w:start w:val="1"/>
      <w:numFmt w:val="bullet"/>
      <w:lvlText w:val=""/>
      <w:lvlJc w:val="left"/>
      <w:pPr>
        <w:ind w:left="3030" w:hanging="360"/>
      </w:pPr>
      <w:rPr>
        <w:rFonts w:ascii="Wingdings" w:hAnsi="Wingdings" w:hint="default"/>
      </w:rPr>
    </w:lvl>
    <w:lvl w:ilvl="3" w:tplc="20000001" w:tentative="1">
      <w:start w:val="1"/>
      <w:numFmt w:val="bullet"/>
      <w:lvlText w:val=""/>
      <w:lvlJc w:val="left"/>
      <w:pPr>
        <w:ind w:left="3750" w:hanging="360"/>
      </w:pPr>
      <w:rPr>
        <w:rFonts w:ascii="Symbol" w:hAnsi="Symbol" w:hint="default"/>
      </w:rPr>
    </w:lvl>
    <w:lvl w:ilvl="4" w:tplc="20000003" w:tentative="1">
      <w:start w:val="1"/>
      <w:numFmt w:val="bullet"/>
      <w:lvlText w:val="o"/>
      <w:lvlJc w:val="left"/>
      <w:pPr>
        <w:ind w:left="4470" w:hanging="360"/>
      </w:pPr>
      <w:rPr>
        <w:rFonts w:ascii="Courier New" w:hAnsi="Courier New" w:cs="Courier New" w:hint="default"/>
      </w:rPr>
    </w:lvl>
    <w:lvl w:ilvl="5" w:tplc="20000005" w:tentative="1">
      <w:start w:val="1"/>
      <w:numFmt w:val="bullet"/>
      <w:lvlText w:val=""/>
      <w:lvlJc w:val="left"/>
      <w:pPr>
        <w:ind w:left="5190" w:hanging="360"/>
      </w:pPr>
      <w:rPr>
        <w:rFonts w:ascii="Wingdings" w:hAnsi="Wingdings" w:hint="default"/>
      </w:rPr>
    </w:lvl>
    <w:lvl w:ilvl="6" w:tplc="20000001" w:tentative="1">
      <w:start w:val="1"/>
      <w:numFmt w:val="bullet"/>
      <w:lvlText w:val=""/>
      <w:lvlJc w:val="left"/>
      <w:pPr>
        <w:ind w:left="5910" w:hanging="360"/>
      </w:pPr>
      <w:rPr>
        <w:rFonts w:ascii="Symbol" w:hAnsi="Symbol" w:hint="default"/>
      </w:rPr>
    </w:lvl>
    <w:lvl w:ilvl="7" w:tplc="20000003" w:tentative="1">
      <w:start w:val="1"/>
      <w:numFmt w:val="bullet"/>
      <w:lvlText w:val="o"/>
      <w:lvlJc w:val="left"/>
      <w:pPr>
        <w:ind w:left="6630" w:hanging="360"/>
      </w:pPr>
      <w:rPr>
        <w:rFonts w:ascii="Courier New" w:hAnsi="Courier New" w:cs="Courier New" w:hint="default"/>
      </w:rPr>
    </w:lvl>
    <w:lvl w:ilvl="8" w:tplc="20000005" w:tentative="1">
      <w:start w:val="1"/>
      <w:numFmt w:val="bullet"/>
      <w:lvlText w:val=""/>
      <w:lvlJc w:val="left"/>
      <w:pPr>
        <w:ind w:left="7350" w:hanging="360"/>
      </w:pPr>
      <w:rPr>
        <w:rFonts w:ascii="Wingdings" w:hAnsi="Wingdings" w:hint="default"/>
      </w:rPr>
    </w:lvl>
  </w:abstractNum>
  <w:abstractNum w:abstractNumId="95" w15:restartNumberingAfterBreak="0">
    <w:nsid w:val="33F27D20"/>
    <w:multiLevelType w:val="hybridMultilevel"/>
    <w:tmpl w:val="08A85054"/>
    <w:lvl w:ilvl="0" w:tplc="10CA7D86">
      <w:start w:val="1"/>
      <w:numFmt w:val="decimal"/>
      <w:lvlText w:val="%1."/>
      <w:lvlJc w:val="left"/>
      <w:pPr>
        <w:ind w:left="800" w:hanging="360"/>
      </w:pPr>
      <w:rPr>
        <w:rFonts w:ascii="Times New Roman" w:eastAsia="Times New Roman" w:hAnsi="Times New Roman" w:cs="Times New Roman" w:hint="default"/>
        <w:spacing w:val="0"/>
        <w:w w:val="99"/>
        <w:sz w:val="20"/>
        <w:szCs w:val="20"/>
        <w:lang w:val="uk-UA" w:eastAsia="en-US" w:bidi="ar-SA"/>
      </w:rPr>
    </w:lvl>
    <w:lvl w:ilvl="1" w:tplc="FA0090E6">
      <w:numFmt w:val="bullet"/>
      <w:lvlText w:val="•"/>
      <w:lvlJc w:val="left"/>
      <w:pPr>
        <w:ind w:left="1233" w:hanging="360"/>
      </w:pPr>
      <w:rPr>
        <w:rFonts w:hint="default"/>
        <w:lang w:val="uk-UA" w:eastAsia="en-US" w:bidi="ar-SA"/>
      </w:rPr>
    </w:lvl>
    <w:lvl w:ilvl="2" w:tplc="30A47624">
      <w:numFmt w:val="bullet"/>
      <w:lvlText w:val="•"/>
      <w:lvlJc w:val="left"/>
      <w:pPr>
        <w:ind w:left="1667" w:hanging="360"/>
      </w:pPr>
      <w:rPr>
        <w:rFonts w:hint="default"/>
        <w:lang w:val="uk-UA" w:eastAsia="en-US" w:bidi="ar-SA"/>
      </w:rPr>
    </w:lvl>
    <w:lvl w:ilvl="3" w:tplc="E522E59A">
      <w:numFmt w:val="bullet"/>
      <w:lvlText w:val="•"/>
      <w:lvlJc w:val="left"/>
      <w:pPr>
        <w:ind w:left="2101" w:hanging="360"/>
      </w:pPr>
      <w:rPr>
        <w:rFonts w:hint="default"/>
        <w:lang w:val="uk-UA" w:eastAsia="en-US" w:bidi="ar-SA"/>
      </w:rPr>
    </w:lvl>
    <w:lvl w:ilvl="4" w:tplc="DBD4F732">
      <w:numFmt w:val="bullet"/>
      <w:lvlText w:val="•"/>
      <w:lvlJc w:val="left"/>
      <w:pPr>
        <w:ind w:left="2535" w:hanging="360"/>
      </w:pPr>
      <w:rPr>
        <w:rFonts w:hint="default"/>
        <w:lang w:val="uk-UA" w:eastAsia="en-US" w:bidi="ar-SA"/>
      </w:rPr>
    </w:lvl>
    <w:lvl w:ilvl="5" w:tplc="BE3A5F7E">
      <w:numFmt w:val="bullet"/>
      <w:lvlText w:val="•"/>
      <w:lvlJc w:val="left"/>
      <w:pPr>
        <w:ind w:left="2969" w:hanging="360"/>
      </w:pPr>
      <w:rPr>
        <w:rFonts w:hint="default"/>
        <w:lang w:val="uk-UA" w:eastAsia="en-US" w:bidi="ar-SA"/>
      </w:rPr>
    </w:lvl>
    <w:lvl w:ilvl="6" w:tplc="E06E89A2">
      <w:numFmt w:val="bullet"/>
      <w:lvlText w:val="•"/>
      <w:lvlJc w:val="left"/>
      <w:pPr>
        <w:ind w:left="3403" w:hanging="360"/>
      </w:pPr>
      <w:rPr>
        <w:rFonts w:hint="default"/>
        <w:lang w:val="uk-UA" w:eastAsia="en-US" w:bidi="ar-SA"/>
      </w:rPr>
    </w:lvl>
    <w:lvl w:ilvl="7" w:tplc="8F901DFE">
      <w:numFmt w:val="bullet"/>
      <w:lvlText w:val="•"/>
      <w:lvlJc w:val="left"/>
      <w:pPr>
        <w:ind w:left="3837" w:hanging="360"/>
      </w:pPr>
      <w:rPr>
        <w:rFonts w:hint="default"/>
        <w:lang w:val="uk-UA" w:eastAsia="en-US" w:bidi="ar-SA"/>
      </w:rPr>
    </w:lvl>
    <w:lvl w:ilvl="8" w:tplc="017423D2">
      <w:numFmt w:val="bullet"/>
      <w:lvlText w:val="•"/>
      <w:lvlJc w:val="left"/>
      <w:pPr>
        <w:ind w:left="4271" w:hanging="360"/>
      </w:pPr>
      <w:rPr>
        <w:rFonts w:hint="default"/>
        <w:lang w:val="uk-UA" w:eastAsia="en-US" w:bidi="ar-SA"/>
      </w:rPr>
    </w:lvl>
  </w:abstractNum>
  <w:abstractNum w:abstractNumId="96" w15:restartNumberingAfterBreak="0">
    <w:nsid w:val="34C93DF1"/>
    <w:multiLevelType w:val="hybridMultilevel"/>
    <w:tmpl w:val="2F8A39F6"/>
    <w:lvl w:ilvl="0" w:tplc="14021858">
      <w:start w:val="1"/>
      <w:numFmt w:val="decimal"/>
      <w:lvlText w:val="%1."/>
      <w:lvlJc w:val="left"/>
      <w:pPr>
        <w:ind w:left="440" w:hanging="245"/>
        <w:jc w:val="right"/>
      </w:pPr>
      <w:rPr>
        <w:rFonts w:ascii="Times New Roman" w:eastAsia="Times New Roman" w:hAnsi="Times New Roman" w:cs="Times New Roman" w:hint="default"/>
        <w:spacing w:val="0"/>
        <w:w w:val="99"/>
        <w:sz w:val="20"/>
        <w:szCs w:val="20"/>
        <w:lang w:val="uk-UA" w:eastAsia="en-US" w:bidi="ar-SA"/>
      </w:rPr>
    </w:lvl>
    <w:lvl w:ilvl="1" w:tplc="2812BBA4">
      <w:numFmt w:val="bullet"/>
      <w:lvlText w:val="•"/>
      <w:lvlJc w:val="left"/>
      <w:pPr>
        <w:ind w:left="908" w:hanging="245"/>
      </w:pPr>
      <w:rPr>
        <w:rFonts w:hint="default"/>
        <w:lang w:val="uk-UA" w:eastAsia="en-US" w:bidi="ar-SA"/>
      </w:rPr>
    </w:lvl>
    <w:lvl w:ilvl="2" w:tplc="243462C8">
      <w:numFmt w:val="bullet"/>
      <w:lvlText w:val="•"/>
      <w:lvlJc w:val="left"/>
      <w:pPr>
        <w:ind w:left="1377" w:hanging="245"/>
      </w:pPr>
      <w:rPr>
        <w:rFonts w:hint="default"/>
        <w:lang w:val="uk-UA" w:eastAsia="en-US" w:bidi="ar-SA"/>
      </w:rPr>
    </w:lvl>
    <w:lvl w:ilvl="3" w:tplc="EE4C688C">
      <w:numFmt w:val="bullet"/>
      <w:lvlText w:val="•"/>
      <w:lvlJc w:val="left"/>
      <w:pPr>
        <w:ind w:left="1845" w:hanging="245"/>
      </w:pPr>
      <w:rPr>
        <w:rFonts w:hint="default"/>
        <w:lang w:val="uk-UA" w:eastAsia="en-US" w:bidi="ar-SA"/>
      </w:rPr>
    </w:lvl>
    <w:lvl w:ilvl="4" w:tplc="1C041ABE">
      <w:numFmt w:val="bullet"/>
      <w:lvlText w:val="•"/>
      <w:lvlJc w:val="left"/>
      <w:pPr>
        <w:ind w:left="2314" w:hanging="245"/>
      </w:pPr>
      <w:rPr>
        <w:rFonts w:hint="default"/>
        <w:lang w:val="uk-UA" w:eastAsia="en-US" w:bidi="ar-SA"/>
      </w:rPr>
    </w:lvl>
    <w:lvl w:ilvl="5" w:tplc="3D88E126">
      <w:numFmt w:val="bullet"/>
      <w:lvlText w:val="•"/>
      <w:lvlJc w:val="left"/>
      <w:pPr>
        <w:ind w:left="2783" w:hanging="245"/>
      </w:pPr>
      <w:rPr>
        <w:rFonts w:hint="default"/>
        <w:lang w:val="uk-UA" w:eastAsia="en-US" w:bidi="ar-SA"/>
      </w:rPr>
    </w:lvl>
    <w:lvl w:ilvl="6" w:tplc="EAAEA81E">
      <w:numFmt w:val="bullet"/>
      <w:lvlText w:val="•"/>
      <w:lvlJc w:val="left"/>
      <w:pPr>
        <w:ind w:left="3251" w:hanging="245"/>
      </w:pPr>
      <w:rPr>
        <w:rFonts w:hint="default"/>
        <w:lang w:val="uk-UA" w:eastAsia="en-US" w:bidi="ar-SA"/>
      </w:rPr>
    </w:lvl>
    <w:lvl w:ilvl="7" w:tplc="1616A746">
      <w:numFmt w:val="bullet"/>
      <w:lvlText w:val="•"/>
      <w:lvlJc w:val="left"/>
      <w:pPr>
        <w:ind w:left="3720" w:hanging="245"/>
      </w:pPr>
      <w:rPr>
        <w:rFonts w:hint="default"/>
        <w:lang w:val="uk-UA" w:eastAsia="en-US" w:bidi="ar-SA"/>
      </w:rPr>
    </w:lvl>
    <w:lvl w:ilvl="8" w:tplc="94C23E8E">
      <w:numFmt w:val="bullet"/>
      <w:lvlText w:val="•"/>
      <w:lvlJc w:val="left"/>
      <w:pPr>
        <w:ind w:left="4188" w:hanging="245"/>
      </w:pPr>
      <w:rPr>
        <w:rFonts w:hint="default"/>
        <w:lang w:val="uk-UA" w:eastAsia="en-US" w:bidi="ar-SA"/>
      </w:rPr>
    </w:lvl>
  </w:abstractNum>
  <w:abstractNum w:abstractNumId="97" w15:restartNumberingAfterBreak="0">
    <w:nsid w:val="34D642EF"/>
    <w:multiLevelType w:val="hybridMultilevel"/>
    <w:tmpl w:val="3EBC3A5C"/>
    <w:lvl w:ilvl="0" w:tplc="28E6742C">
      <w:start w:val="2"/>
      <w:numFmt w:val="bullet"/>
      <w:lvlText w:val="-"/>
      <w:lvlJc w:val="left"/>
      <w:pPr>
        <w:ind w:left="1168" w:hanging="360"/>
      </w:pPr>
      <w:rPr>
        <w:rFonts w:ascii="Times New Roman" w:eastAsia="Times New Roman" w:hAnsi="Times New Roman" w:cs="Times New Roman" w:hint="default"/>
      </w:rPr>
    </w:lvl>
    <w:lvl w:ilvl="1" w:tplc="FFFFFFFF" w:tentative="1">
      <w:start w:val="1"/>
      <w:numFmt w:val="bullet"/>
      <w:lvlText w:val="o"/>
      <w:lvlJc w:val="left"/>
      <w:pPr>
        <w:ind w:left="1888" w:hanging="360"/>
      </w:pPr>
      <w:rPr>
        <w:rFonts w:ascii="Courier New" w:hAnsi="Courier New" w:cs="Courier New" w:hint="default"/>
      </w:rPr>
    </w:lvl>
    <w:lvl w:ilvl="2" w:tplc="FFFFFFFF" w:tentative="1">
      <w:start w:val="1"/>
      <w:numFmt w:val="bullet"/>
      <w:lvlText w:val=""/>
      <w:lvlJc w:val="left"/>
      <w:pPr>
        <w:ind w:left="2608" w:hanging="360"/>
      </w:pPr>
      <w:rPr>
        <w:rFonts w:ascii="Wingdings" w:hAnsi="Wingdings" w:hint="default"/>
      </w:rPr>
    </w:lvl>
    <w:lvl w:ilvl="3" w:tplc="FFFFFFFF" w:tentative="1">
      <w:start w:val="1"/>
      <w:numFmt w:val="bullet"/>
      <w:lvlText w:val=""/>
      <w:lvlJc w:val="left"/>
      <w:pPr>
        <w:ind w:left="3328" w:hanging="360"/>
      </w:pPr>
      <w:rPr>
        <w:rFonts w:ascii="Symbol" w:hAnsi="Symbol" w:hint="default"/>
      </w:rPr>
    </w:lvl>
    <w:lvl w:ilvl="4" w:tplc="FFFFFFFF" w:tentative="1">
      <w:start w:val="1"/>
      <w:numFmt w:val="bullet"/>
      <w:lvlText w:val="o"/>
      <w:lvlJc w:val="left"/>
      <w:pPr>
        <w:ind w:left="4048" w:hanging="360"/>
      </w:pPr>
      <w:rPr>
        <w:rFonts w:ascii="Courier New" w:hAnsi="Courier New" w:cs="Courier New" w:hint="default"/>
      </w:rPr>
    </w:lvl>
    <w:lvl w:ilvl="5" w:tplc="FFFFFFFF" w:tentative="1">
      <w:start w:val="1"/>
      <w:numFmt w:val="bullet"/>
      <w:lvlText w:val=""/>
      <w:lvlJc w:val="left"/>
      <w:pPr>
        <w:ind w:left="4768" w:hanging="360"/>
      </w:pPr>
      <w:rPr>
        <w:rFonts w:ascii="Wingdings" w:hAnsi="Wingdings" w:hint="default"/>
      </w:rPr>
    </w:lvl>
    <w:lvl w:ilvl="6" w:tplc="FFFFFFFF" w:tentative="1">
      <w:start w:val="1"/>
      <w:numFmt w:val="bullet"/>
      <w:lvlText w:val=""/>
      <w:lvlJc w:val="left"/>
      <w:pPr>
        <w:ind w:left="5488" w:hanging="360"/>
      </w:pPr>
      <w:rPr>
        <w:rFonts w:ascii="Symbol" w:hAnsi="Symbol" w:hint="default"/>
      </w:rPr>
    </w:lvl>
    <w:lvl w:ilvl="7" w:tplc="FFFFFFFF" w:tentative="1">
      <w:start w:val="1"/>
      <w:numFmt w:val="bullet"/>
      <w:lvlText w:val="o"/>
      <w:lvlJc w:val="left"/>
      <w:pPr>
        <w:ind w:left="6208" w:hanging="360"/>
      </w:pPr>
      <w:rPr>
        <w:rFonts w:ascii="Courier New" w:hAnsi="Courier New" w:cs="Courier New" w:hint="default"/>
      </w:rPr>
    </w:lvl>
    <w:lvl w:ilvl="8" w:tplc="FFFFFFFF" w:tentative="1">
      <w:start w:val="1"/>
      <w:numFmt w:val="bullet"/>
      <w:lvlText w:val=""/>
      <w:lvlJc w:val="left"/>
      <w:pPr>
        <w:ind w:left="6928" w:hanging="360"/>
      </w:pPr>
      <w:rPr>
        <w:rFonts w:ascii="Wingdings" w:hAnsi="Wingdings" w:hint="default"/>
      </w:rPr>
    </w:lvl>
  </w:abstractNum>
  <w:abstractNum w:abstractNumId="98" w15:restartNumberingAfterBreak="0">
    <w:nsid w:val="34DA45DD"/>
    <w:multiLevelType w:val="hybridMultilevel"/>
    <w:tmpl w:val="D7BE4BF0"/>
    <w:lvl w:ilvl="0" w:tplc="946678B2">
      <w:start w:val="1"/>
      <w:numFmt w:val="decimal"/>
      <w:lvlText w:val="%1."/>
      <w:lvlJc w:val="left"/>
      <w:pPr>
        <w:ind w:left="453" w:hanging="152"/>
      </w:pPr>
      <w:rPr>
        <w:rFonts w:ascii="Times New Roman" w:eastAsia="Times New Roman" w:hAnsi="Times New Roman" w:cs="Times New Roman" w:hint="default"/>
        <w:spacing w:val="0"/>
        <w:w w:val="99"/>
        <w:sz w:val="18"/>
        <w:szCs w:val="18"/>
        <w:lang w:val="uk-UA" w:eastAsia="en-US" w:bidi="ar-SA"/>
      </w:rPr>
    </w:lvl>
    <w:lvl w:ilvl="1" w:tplc="D2DE123C">
      <w:start w:val="1"/>
      <w:numFmt w:val="decimal"/>
      <w:lvlText w:val="%2."/>
      <w:lvlJc w:val="left"/>
      <w:pPr>
        <w:ind w:left="800" w:hanging="360"/>
      </w:pPr>
      <w:rPr>
        <w:rFonts w:ascii="Times New Roman" w:eastAsia="Times New Roman" w:hAnsi="Times New Roman" w:cs="Times New Roman" w:hint="default"/>
        <w:spacing w:val="0"/>
        <w:w w:val="99"/>
        <w:sz w:val="20"/>
        <w:szCs w:val="20"/>
        <w:lang w:val="uk-UA" w:eastAsia="en-US" w:bidi="ar-SA"/>
      </w:rPr>
    </w:lvl>
    <w:lvl w:ilvl="2" w:tplc="E9AACE32">
      <w:numFmt w:val="bullet"/>
      <w:lvlText w:val="•"/>
      <w:lvlJc w:val="left"/>
      <w:pPr>
        <w:ind w:left="706" w:hanging="360"/>
      </w:pPr>
      <w:rPr>
        <w:rFonts w:hint="default"/>
        <w:lang w:val="uk-UA" w:eastAsia="en-US" w:bidi="ar-SA"/>
      </w:rPr>
    </w:lvl>
    <w:lvl w:ilvl="3" w:tplc="F268FFB6">
      <w:numFmt w:val="bullet"/>
      <w:lvlText w:val="•"/>
      <w:lvlJc w:val="left"/>
      <w:pPr>
        <w:ind w:left="613" w:hanging="360"/>
      </w:pPr>
      <w:rPr>
        <w:rFonts w:hint="default"/>
        <w:lang w:val="uk-UA" w:eastAsia="en-US" w:bidi="ar-SA"/>
      </w:rPr>
    </w:lvl>
    <w:lvl w:ilvl="4" w:tplc="8D42A804">
      <w:numFmt w:val="bullet"/>
      <w:lvlText w:val="•"/>
      <w:lvlJc w:val="left"/>
      <w:pPr>
        <w:ind w:left="520" w:hanging="360"/>
      </w:pPr>
      <w:rPr>
        <w:rFonts w:hint="default"/>
        <w:lang w:val="uk-UA" w:eastAsia="en-US" w:bidi="ar-SA"/>
      </w:rPr>
    </w:lvl>
    <w:lvl w:ilvl="5" w:tplc="4F1A13C8">
      <w:numFmt w:val="bullet"/>
      <w:lvlText w:val="•"/>
      <w:lvlJc w:val="left"/>
      <w:pPr>
        <w:ind w:left="426" w:hanging="360"/>
      </w:pPr>
      <w:rPr>
        <w:rFonts w:hint="default"/>
        <w:lang w:val="uk-UA" w:eastAsia="en-US" w:bidi="ar-SA"/>
      </w:rPr>
    </w:lvl>
    <w:lvl w:ilvl="6" w:tplc="3C1EB8F4">
      <w:numFmt w:val="bullet"/>
      <w:lvlText w:val="•"/>
      <w:lvlJc w:val="left"/>
      <w:pPr>
        <w:ind w:left="333" w:hanging="360"/>
      </w:pPr>
      <w:rPr>
        <w:rFonts w:hint="default"/>
        <w:lang w:val="uk-UA" w:eastAsia="en-US" w:bidi="ar-SA"/>
      </w:rPr>
    </w:lvl>
    <w:lvl w:ilvl="7" w:tplc="F284669E">
      <w:numFmt w:val="bullet"/>
      <w:lvlText w:val="•"/>
      <w:lvlJc w:val="left"/>
      <w:pPr>
        <w:ind w:left="240" w:hanging="360"/>
      </w:pPr>
      <w:rPr>
        <w:rFonts w:hint="default"/>
        <w:lang w:val="uk-UA" w:eastAsia="en-US" w:bidi="ar-SA"/>
      </w:rPr>
    </w:lvl>
    <w:lvl w:ilvl="8" w:tplc="41829660">
      <w:numFmt w:val="bullet"/>
      <w:lvlText w:val="•"/>
      <w:lvlJc w:val="left"/>
      <w:pPr>
        <w:ind w:left="146" w:hanging="360"/>
      </w:pPr>
      <w:rPr>
        <w:rFonts w:hint="default"/>
        <w:lang w:val="uk-UA" w:eastAsia="en-US" w:bidi="ar-SA"/>
      </w:rPr>
    </w:lvl>
  </w:abstractNum>
  <w:abstractNum w:abstractNumId="99" w15:restartNumberingAfterBreak="0">
    <w:nsid w:val="35070908"/>
    <w:multiLevelType w:val="hybridMultilevel"/>
    <w:tmpl w:val="4FD06EFC"/>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100" w15:restartNumberingAfterBreak="0">
    <w:nsid w:val="356652A4"/>
    <w:multiLevelType w:val="hybridMultilevel"/>
    <w:tmpl w:val="2A764F22"/>
    <w:lvl w:ilvl="0" w:tplc="5F2A53FA">
      <w:start w:val="1"/>
      <w:numFmt w:val="decimal"/>
      <w:lvlText w:val="%1."/>
      <w:lvlJc w:val="left"/>
      <w:pPr>
        <w:ind w:left="440" w:hanging="362"/>
        <w:jc w:val="right"/>
      </w:pPr>
      <w:rPr>
        <w:rFonts w:ascii="Times New Roman" w:eastAsia="Times New Roman" w:hAnsi="Times New Roman" w:cs="Times New Roman" w:hint="default"/>
        <w:spacing w:val="0"/>
        <w:w w:val="99"/>
        <w:sz w:val="20"/>
        <w:szCs w:val="20"/>
        <w:lang w:val="uk-UA" w:eastAsia="en-US" w:bidi="ar-SA"/>
      </w:rPr>
    </w:lvl>
    <w:lvl w:ilvl="1" w:tplc="FAE26BEC">
      <w:start w:val="1"/>
      <w:numFmt w:val="lowerLetter"/>
      <w:lvlText w:val="%2)"/>
      <w:lvlJc w:val="left"/>
      <w:pPr>
        <w:ind w:left="440" w:hanging="216"/>
      </w:pPr>
      <w:rPr>
        <w:rFonts w:ascii="Times New Roman" w:eastAsia="Times New Roman" w:hAnsi="Times New Roman" w:cs="Times New Roman" w:hint="default"/>
        <w:w w:val="99"/>
        <w:sz w:val="20"/>
        <w:szCs w:val="20"/>
        <w:lang w:val="uk-UA" w:eastAsia="en-US" w:bidi="ar-SA"/>
      </w:rPr>
    </w:lvl>
    <w:lvl w:ilvl="2" w:tplc="B170BA8A">
      <w:numFmt w:val="bullet"/>
      <w:lvlText w:val="•"/>
      <w:lvlJc w:val="left"/>
      <w:pPr>
        <w:ind w:left="1377" w:hanging="216"/>
      </w:pPr>
      <w:rPr>
        <w:rFonts w:hint="default"/>
        <w:lang w:val="uk-UA" w:eastAsia="en-US" w:bidi="ar-SA"/>
      </w:rPr>
    </w:lvl>
    <w:lvl w:ilvl="3" w:tplc="D3E69B52">
      <w:numFmt w:val="bullet"/>
      <w:lvlText w:val="•"/>
      <w:lvlJc w:val="left"/>
      <w:pPr>
        <w:ind w:left="1845" w:hanging="216"/>
      </w:pPr>
      <w:rPr>
        <w:rFonts w:hint="default"/>
        <w:lang w:val="uk-UA" w:eastAsia="en-US" w:bidi="ar-SA"/>
      </w:rPr>
    </w:lvl>
    <w:lvl w:ilvl="4" w:tplc="33CC7C7E">
      <w:numFmt w:val="bullet"/>
      <w:lvlText w:val="•"/>
      <w:lvlJc w:val="left"/>
      <w:pPr>
        <w:ind w:left="2314" w:hanging="216"/>
      </w:pPr>
      <w:rPr>
        <w:rFonts w:hint="default"/>
        <w:lang w:val="uk-UA" w:eastAsia="en-US" w:bidi="ar-SA"/>
      </w:rPr>
    </w:lvl>
    <w:lvl w:ilvl="5" w:tplc="54DE5FF0">
      <w:numFmt w:val="bullet"/>
      <w:lvlText w:val="•"/>
      <w:lvlJc w:val="left"/>
      <w:pPr>
        <w:ind w:left="2783" w:hanging="216"/>
      </w:pPr>
      <w:rPr>
        <w:rFonts w:hint="default"/>
        <w:lang w:val="uk-UA" w:eastAsia="en-US" w:bidi="ar-SA"/>
      </w:rPr>
    </w:lvl>
    <w:lvl w:ilvl="6" w:tplc="D390FC76">
      <w:numFmt w:val="bullet"/>
      <w:lvlText w:val="•"/>
      <w:lvlJc w:val="left"/>
      <w:pPr>
        <w:ind w:left="3251" w:hanging="216"/>
      </w:pPr>
      <w:rPr>
        <w:rFonts w:hint="default"/>
        <w:lang w:val="uk-UA" w:eastAsia="en-US" w:bidi="ar-SA"/>
      </w:rPr>
    </w:lvl>
    <w:lvl w:ilvl="7" w:tplc="C694C890">
      <w:numFmt w:val="bullet"/>
      <w:lvlText w:val="•"/>
      <w:lvlJc w:val="left"/>
      <w:pPr>
        <w:ind w:left="3720" w:hanging="216"/>
      </w:pPr>
      <w:rPr>
        <w:rFonts w:hint="default"/>
        <w:lang w:val="uk-UA" w:eastAsia="en-US" w:bidi="ar-SA"/>
      </w:rPr>
    </w:lvl>
    <w:lvl w:ilvl="8" w:tplc="F79CB702">
      <w:numFmt w:val="bullet"/>
      <w:lvlText w:val="•"/>
      <w:lvlJc w:val="left"/>
      <w:pPr>
        <w:ind w:left="4188" w:hanging="216"/>
      </w:pPr>
      <w:rPr>
        <w:rFonts w:hint="default"/>
        <w:lang w:val="uk-UA" w:eastAsia="en-US" w:bidi="ar-SA"/>
      </w:rPr>
    </w:lvl>
  </w:abstractNum>
  <w:abstractNum w:abstractNumId="101" w15:restartNumberingAfterBreak="0">
    <w:nsid w:val="369B0AAE"/>
    <w:multiLevelType w:val="hybridMultilevel"/>
    <w:tmpl w:val="DE7CDCB0"/>
    <w:lvl w:ilvl="0" w:tplc="0E08933C">
      <w:start w:val="1"/>
      <w:numFmt w:val="decimal"/>
      <w:lvlText w:val="%1."/>
      <w:lvlJc w:val="left"/>
      <w:pPr>
        <w:ind w:left="675" w:hanging="360"/>
        <w:jc w:val="right"/>
      </w:pPr>
      <w:rPr>
        <w:rFonts w:ascii="Times New Roman" w:eastAsia="Times New Roman" w:hAnsi="Times New Roman" w:cs="Times New Roman" w:hint="default"/>
        <w:spacing w:val="0"/>
        <w:w w:val="99"/>
        <w:sz w:val="20"/>
        <w:szCs w:val="20"/>
        <w:lang w:val="uk-UA" w:eastAsia="en-US" w:bidi="ar-SA"/>
      </w:rPr>
    </w:lvl>
    <w:lvl w:ilvl="1" w:tplc="EB4A2E98">
      <w:numFmt w:val="bullet"/>
      <w:lvlText w:val="•"/>
      <w:lvlJc w:val="left"/>
      <w:pPr>
        <w:ind w:left="1148" w:hanging="360"/>
      </w:pPr>
      <w:rPr>
        <w:rFonts w:hint="default"/>
        <w:lang w:val="uk-UA" w:eastAsia="en-US" w:bidi="ar-SA"/>
      </w:rPr>
    </w:lvl>
    <w:lvl w:ilvl="2" w:tplc="CAF0E6E6">
      <w:numFmt w:val="bullet"/>
      <w:lvlText w:val="•"/>
      <w:lvlJc w:val="left"/>
      <w:pPr>
        <w:ind w:left="1616" w:hanging="360"/>
      </w:pPr>
      <w:rPr>
        <w:rFonts w:hint="default"/>
        <w:lang w:val="uk-UA" w:eastAsia="en-US" w:bidi="ar-SA"/>
      </w:rPr>
    </w:lvl>
    <w:lvl w:ilvl="3" w:tplc="BEB020A8">
      <w:numFmt w:val="bullet"/>
      <w:lvlText w:val="•"/>
      <w:lvlJc w:val="left"/>
      <w:pPr>
        <w:ind w:left="2084" w:hanging="360"/>
      </w:pPr>
      <w:rPr>
        <w:rFonts w:hint="default"/>
        <w:lang w:val="uk-UA" w:eastAsia="en-US" w:bidi="ar-SA"/>
      </w:rPr>
    </w:lvl>
    <w:lvl w:ilvl="4" w:tplc="3BA0CB10">
      <w:numFmt w:val="bullet"/>
      <w:lvlText w:val="•"/>
      <w:lvlJc w:val="left"/>
      <w:pPr>
        <w:ind w:left="2552" w:hanging="360"/>
      </w:pPr>
      <w:rPr>
        <w:rFonts w:hint="default"/>
        <w:lang w:val="uk-UA" w:eastAsia="en-US" w:bidi="ar-SA"/>
      </w:rPr>
    </w:lvl>
    <w:lvl w:ilvl="5" w:tplc="D416D8BC">
      <w:numFmt w:val="bullet"/>
      <w:lvlText w:val="•"/>
      <w:lvlJc w:val="left"/>
      <w:pPr>
        <w:ind w:left="3020" w:hanging="360"/>
      </w:pPr>
      <w:rPr>
        <w:rFonts w:hint="default"/>
        <w:lang w:val="uk-UA" w:eastAsia="en-US" w:bidi="ar-SA"/>
      </w:rPr>
    </w:lvl>
    <w:lvl w:ilvl="6" w:tplc="229E834A">
      <w:numFmt w:val="bullet"/>
      <w:lvlText w:val="•"/>
      <w:lvlJc w:val="left"/>
      <w:pPr>
        <w:ind w:left="3488" w:hanging="360"/>
      </w:pPr>
      <w:rPr>
        <w:rFonts w:hint="default"/>
        <w:lang w:val="uk-UA" w:eastAsia="en-US" w:bidi="ar-SA"/>
      </w:rPr>
    </w:lvl>
    <w:lvl w:ilvl="7" w:tplc="35E6117C">
      <w:numFmt w:val="bullet"/>
      <w:lvlText w:val="•"/>
      <w:lvlJc w:val="left"/>
      <w:pPr>
        <w:ind w:left="3956" w:hanging="360"/>
      </w:pPr>
      <w:rPr>
        <w:rFonts w:hint="default"/>
        <w:lang w:val="uk-UA" w:eastAsia="en-US" w:bidi="ar-SA"/>
      </w:rPr>
    </w:lvl>
    <w:lvl w:ilvl="8" w:tplc="1656266E">
      <w:numFmt w:val="bullet"/>
      <w:lvlText w:val="•"/>
      <w:lvlJc w:val="left"/>
      <w:pPr>
        <w:ind w:left="4424" w:hanging="360"/>
      </w:pPr>
      <w:rPr>
        <w:rFonts w:hint="default"/>
        <w:lang w:val="uk-UA" w:eastAsia="en-US" w:bidi="ar-SA"/>
      </w:rPr>
    </w:lvl>
  </w:abstractNum>
  <w:abstractNum w:abstractNumId="102" w15:restartNumberingAfterBreak="0">
    <w:nsid w:val="36C85735"/>
    <w:multiLevelType w:val="hybridMultilevel"/>
    <w:tmpl w:val="8FE4A77C"/>
    <w:lvl w:ilvl="0" w:tplc="E4B6DE94">
      <w:start w:val="1"/>
      <w:numFmt w:val="decimal"/>
      <w:lvlText w:val="%1."/>
      <w:lvlJc w:val="left"/>
      <w:pPr>
        <w:ind w:left="676" w:hanging="360"/>
      </w:pPr>
      <w:rPr>
        <w:rFonts w:ascii="Times New Roman" w:eastAsia="Times New Roman" w:hAnsi="Times New Roman" w:cs="Times New Roman" w:hint="default"/>
        <w:spacing w:val="0"/>
        <w:w w:val="99"/>
        <w:sz w:val="20"/>
        <w:szCs w:val="20"/>
        <w:lang w:val="uk-UA" w:eastAsia="en-US" w:bidi="ar-SA"/>
      </w:rPr>
    </w:lvl>
    <w:lvl w:ilvl="1" w:tplc="568EF928">
      <w:numFmt w:val="bullet"/>
      <w:lvlText w:val="•"/>
      <w:lvlJc w:val="left"/>
      <w:pPr>
        <w:ind w:left="1148" w:hanging="360"/>
      </w:pPr>
      <w:rPr>
        <w:rFonts w:hint="default"/>
        <w:lang w:val="uk-UA" w:eastAsia="en-US" w:bidi="ar-SA"/>
      </w:rPr>
    </w:lvl>
    <w:lvl w:ilvl="2" w:tplc="11FE7DA8">
      <w:numFmt w:val="bullet"/>
      <w:lvlText w:val="•"/>
      <w:lvlJc w:val="left"/>
      <w:pPr>
        <w:ind w:left="1616" w:hanging="360"/>
      </w:pPr>
      <w:rPr>
        <w:rFonts w:hint="default"/>
        <w:lang w:val="uk-UA" w:eastAsia="en-US" w:bidi="ar-SA"/>
      </w:rPr>
    </w:lvl>
    <w:lvl w:ilvl="3" w:tplc="254073EA">
      <w:numFmt w:val="bullet"/>
      <w:lvlText w:val="•"/>
      <w:lvlJc w:val="left"/>
      <w:pPr>
        <w:ind w:left="2084" w:hanging="360"/>
      </w:pPr>
      <w:rPr>
        <w:rFonts w:hint="default"/>
        <w:lang w:val="uk-UA" w:eastAsia="en-US" w:bidi="ar-SA"/>
      </w:rPr>
    </w:lvl>
    <w:lvl w:ilvl="4" w:tplc="62D4BE04">
      <w:numFmt w:val="bullet"/>
      <w:lvlText w:val="•"/>
      <w:lvlJc w:val="left"/>
      <w:pPr>
        <w:ind w:left="2552" w:hanging="360"/>
      </w:pPr>
      <w:rPr>
        <w:rFonts w:hint="default"/>
        <w:lang w:val="uk-UA" w:eastAsia="en-US" w:bidi="ar-SA"/>
      </w:rPr>
    </w:lvl>
    <w:lvl w:ilvl="5" w:tplc="18A6F624">
      <w:numFmt w:val="bullet"/>
      <w:lvlText w:val="•"/>
      <w:lvlJc w:val="left"/>
      <w:pPr>
        <w:ind w:left="3020" w:hanging="360"/>
      </w:pPr>
      <w:rPr>
        <w:rFonts w:hint="default"/>
        <w:lang w:val="uk-UA" w:eastAsia="en-US" w:bidi="ar-SA"/>
      </w:rPr>
    </w:lvl>
    <w:lvl w:ilvl="6" w:tplc="6BF40EBE">
      <w:numFmt w:val="bullet"/>
      <w:lvlText w:val="•"/>
      <w:lvlJc w:val="left"/>
      <w:pPr>
        <w:ind w:left="3488" w:hanging="360"/>
      </w:pPr>
      <w:rPr>
        <w:rFonts w:hint="default"/>
        <w:lang w:val="uk-UA" w:eastAsia="en-US" w:bidi="ar-SA"/>
      </w:rPr>
    </w:lvl>
    <w:lvl w:ilvl="7" w:tplc="1408F6B4">
      <w:numFmt w:val="bullet"/>
      <w:lvlText w:val="•"/>
      <w:lvlJc w:val="left"/>
      <w:pPr>
        <w:ind w:left="3956" w:hanging="360"/>
      </w:pPr>
      <w:rPr>
        <w:rFonts w:hint="default"/>
        <w:lang w:val="uk-UA" w:eastAsia="en-US" w:bidi="ar-SA"/>
      </w:rPr>
    </w:lvl>
    <w:lvl w:ilvl="8" w:tplc="02A86332">
      <w:numFmt w:val="bullet"/>
      <w:lvlText w:val="•"/>
      <w:lvlJc w:val="left"/>
      <w:pPr>
        <w:ind w:left="4424" w:hanging="360"/>
      </w:pPr>
      <w:rPr>
        <w:rFonts w:hint="default"/>
        <w:lang w:val="uk-UA" w:eastAsia="en-US" w:bidi="ar-SA"/>
      </w:rPr>
    </w:lvl>
  </w:abstractNum>
  <w:abstractNum w:abstractNumId="103" w15:restartNumberingAfterBreak="0">
    <w:nsid w:val="370F7FE7"/>
    <w:multiLevelType w:val="hybridMultilevel"/>
    <w:tmpl w:val="47AE2D42"/>
    <w:lvl w:ilvl="0" w:tplc="83806642">
      <w:start w:val="1"/>
      <w:numFmt w:val="decimal"/>
      <w:lvlText w:val="%1)"/>
      <w:lvlJc w:val="left"/>
      <w:pPr>
        <w:ind w:left="440" w:hanging="266"/>
      </w:pPr>
      <w:rPr>
        <w:rFonts w:ascii="Times New Roman" w:eastAsia="Times New Roman" w:hAnsi="Times New Roman" w:cs="Times New Roman" w:hint="default"/>
        <w:spacing w:val="0"/>
        <w:w w:val="99"/>
        <w:sz w:val="20"/>
        <w:szCs w:val="20"/>
        <w:lang w:val="uk-UA" w:eastAsia="en-US" w:bidi="ar-SA"/>
      </w:rPr>
    </w:lvl>
    <w:lvl w:ilvl="1" w:tplc="785A729C">
      <w:numFmt w:val="bullet"/>
      <w:lvlText w:val="•"/>
      <w:lvlJc w:val="left"/>
      <w:pPr>
        <w:ind w:left="908" w:hanging="266"/>
      </w:pPr>
      <w:rPr>
        <w:rFonts w:hint="default"/>
        <w:lang w:val="uk-UA" w:eastAsia="en-US" w:bidi="ar-SA"/>
      </w:rPr>
    </w:lvl>
    <w:lvl w:ilvl="2" w:tplc="3992EBD2">
      <w:numFmt w:val="bullet"/>
      <w:lvlText w:val="•"/>
      <w:lvlJc w:val="left"/>
      <w:pPr>
        <w:ind w:left="1377" w:hanging="266"/>
      </w:pPr>
      <w:rPr>
        <w:rFonts w:hint="default"/>
        <w:lang w:val="uk-UA" w:eastAsia="en-US" w:bidi="ar-SA"/>
      </w:rPr>
    </w:lvl>
    <w:lvl w:ilvl="3" w:tplc="704A47F0">
      <w:numFmt w:val="bullet"/>
      <w:lvlText w:val="•"/>
      <w:lvlJc w:val="left"/>
      <w:pPr>
        <w:ind w:left="1845" w:hanging="266"/>
      </w:pPr>
      <w:rPr>
        <w:rFonts w:hint="default"/>
        <w:lang w:val="uk-UA" w:eastAsia="en-US" w:bidi="ar-SA"/>
      </w:rPr>
    </w:lvl>
    <w:lvl w:ilvl="4" w:tplc="2C46C246">
      <w:numFmt w:val="bullet"/>
      <w:lvlText w:val="•"/>
      <w:lvlJc w:val="left"/>
      <w:pPr>
        <w:ind w:left="2314" w:hanging="266"/>
      </w:pPr>
      <w:rPr>
        <w:rFonts w:hint="default"/>
        <w:lang w:val="uk-UA" w:eastAsia="en-US" w:bidi="ar-SA"/>
      </w:rPr>
    </w:lvl>
    <w:lvl w:ilvl="5" w:tplc="7D92C524">
      <w:numFmt w:val="bullet"/>
      <w:lvlText w:val="•"/>
      <w:lvlJc w:val="left"/>
      <w:pPr>
        <w:ind w:left="2783" w:hanging="266"/>
      </w:pPr>
      <w:rPr>
        <w:rFonts w:hint="default"/>
        <w:lang w:val="uk-UA" w:eastAsia="en-US" w:bidi="ar-SA"/>
      </w:rPr>
    </w:lvl>
    <w:lvl w:ilvl="6" w:tplc="A7F62516">
      <w:numFmt w:val="bullet"/>
      <w:lvlText w:val="•"/>
      <w:lvlJc w:val="left"/>
      <w:pPr>
        <w:ind w:left="3251" w:hanging="266"/>
      </w:pPr>
      <w:rPr>
        <w:rFonts w:hint="default"/>
        <w:lang w:val="uk-UA" w:eastAsia="en-US" w:bidi="ar-SA"/>
      </w:rPr>
    </w:lvl>
    <w:lvl w:ilvl="7" w:tplc="2D5ED38A">
      <w:numFmt w:val="bullet"/>
      <w:lvlText w:val="•"/>
      <w:lvlJc w:val="left"/>
      <w:pPr>
        <w:ind w:left="3720" w:hanging="266"/>
      </w:pPr>
      <w:rPr>
        <w:rFonts w:hint="default"/>
        <w:lang w:val="uk-UA" w:eastAsia="en-US" w:bidi="ar-SA"/>
      </w:rPr>
    </w:lvl>
    <w:lvl w:ilvl="8" w:tplc="EAEE2A82">
      <w:numFmt w:val="bullet"/>
      <w:lvlText w:val="•"/>
      <w:lvlJc w:val="left"/>
      <w:pPr>
        <w:ind w:left="4188" w:hanging="266"/>
      </w:pPr>
      <w:rPr>
        <w:rFonts w:hint="default"/>
        <w:lang w:val="uk-UA" w:eastAsia="en-US" w:bidi="ar-SA"/>
      </w:rPr>
    </w:lvl>
  </w:abstractNum>
  <w:abstractNum w:abstractNumId="104" w15:restartNumberingAfterBreak="0">
    <w:nsid w:val="37311C88"/>
    <w:multiLevelType w:val="hybridMultilevel"/>
    <w:tmpl w:val="95FED3E8"/>
    <w:lvl w:ilvl="0" w:tplc="17F8C81A">
      <w:start w:val="1"/>
      <w:numFmt w:val="decimal"/>
      <w:lvlText w:val="%1."/>
      <w:lvlJc w:val="left"/>
      <w:pPr>
        <w:ind w:left="800" w:hanging="360"/>
      </w:pPr>
      <w:rPr>
        <w:rFonts w:ascii="Times New Roman" w:eastAsia="Times New Roman" w:hAnsi="Times New Roman" w:cs="Times New Roman" w:hint="default"/>
        <w:spacing w:val="0"/>
        <w:w w:val="99"/>
        <w:sz w:val="20"/>
        <w:szCs w:val="20"/>
        <w:lang w:val="uk-UA" w:eastAsia="en-US" w:bidi="ar-SA"/>
      </w:rPr>
    </w:lvl>
    <w:lvl w:ilvl="1" w:tplc="020A8B90">
      <w:numFmt w:val="bullet"/>
      <w:lvlText w:val="•"/>
      <w:lvlJc w:val="left"/>
      <w:pPr>
        <w:ind w:left="1232" w:hanging="360"/>
      </w:pPr>
      <w:rPr>
        <w:rFonts w:hint="default"/>
        <w:lang w:val="uk-UA" w:eastAsia="en-US" w:bidi="ar-SA"/>
      </w:rPr>
    </w:lvl>
    <w:lvl w:ilvl="2" w:tplc="8C8EC1CC">
      <w:numFmt w:val="bullet"/>
      <w:lvlText w:val="•"/>
      <w:lvlJc w:val="left"/>
      <w:pPr>
        <w:ind w:left="1664" w:hanging="360"/>
      </w:pPr>
      <w:rPr>
        <w:rFonts w:hint="default"/>
        <w:lang w:val="uk-UA" w:eastAsia="en-US" w:bidi="ar-SA"/>
      </w:rPr>
    </w:lvl>
    <w:lvl w:ilvl="3" w:tplc="30EA10F6">
      <w:numFmt w:val="bullet"/>
      <w:lvlText w:val="•"/>
      <w:lvlJc w:val="left"/>
      <w:pPr>
        <w:ind w:left="2097" w:hanging="360"/>
      </w:pPr>
      <w:rPr>
        <w:rFonts w:hint="default"/>
        <w:lang w:val="uk-UA" w:eastAsia="en-US" w:bidi="ar-SA"/>
      </w:rPr>
    </w:lvl>
    <w:lvl w:ilvl="4" w:tplc="18F00122">
      <w:numFmt w:val="bullet"/>
      <w:lvlText w:val="•"/>
      <w:lvlJc w:val="left"/>
      <w:pPr>
        <w:ind w:left="2529" w:hanging="360"/>
      </w:pPr>
      <w:rPr>
        <w:rFonts w:hint="default"/>
        <w:lang w:val="uk-UA" w:eastAsia="en-US" w:bidi="ar-SA"/>
      </w:rPr>
    </w:lvl>
    <w:lvl w:ilvl="5" w:tplc="AD541890">
      <w:numFmt w:val="bullet"/>
      <w:lvlText w:val="•"/>
      <w:lvlJc w:val="left"/>
      <w:pPr>
        <w:ind w:left="2961" w:hanging="360"/>
      </w:pPr>
      <w:rPr>
        <w:rFonts w:hint="default"/>
        <w:lang w:val="uk-UA" w:eastAsia="en-US" w:bidi="ar-SA"/>
      </w:rPr>
    </w:lvl>
    <w:lvl w:ilvl="6" w:tplc="9886B9B8">
      <w:numFmt w:val="bullet"/>
      <w:lvlText w:val="•"/>
      <w:lvlJc w:val="left"/>
      <w:pPr>
        <w:ind w:left="3394" w:hanging="360"/>
      </w:pPr>
      <w:rPr>
        <w:rFonts w:hint="default"/>
        <w:lang w:val="uk-UA" w:eastAsia="en-US" w:bidi="ar-SA"/>
      </w:rPr>
    </w:lvl>
    <w:lvl w:ilvl="7" w:tplc="45B0F792">
      <w:numFmt w:val="bullet"/>
      <w:lvlText w:val="•"/>
      <w:lvlJc w:val="left"/>
      <w:pPr>
        <w:ind w:left="3826" w:hanging="360"/>
      </w:pPr>
      <w:rPr>
        <w:rFonts w:hint="default"/>
        <w:lang w:val="uk-UA" w:eastAsia="en-US" w:bidi="ar-SA"/>
      </w:rPr>
    </w:lvl>
    <w:lvl w:ilvl="8" w:tplc="60ECB45C">
      <w:numFmt w:val="bullet"/>
      <w:lvlText w:val="•"/>
      <w:lvlJc w:val="left"/>
      <w:pPr>
        <w:ind w:left="4258" w:hanging="360"/>
      </w:pPr>
      <w:rPr>
        <w:rFonts w:hint="default"/>
        <w:lang w:val="uk-UA" w:eastAsia="en-US" w:bidi="ar-SA"/>
      </w:rPr>
    </w:lvl>
  </w:abstractNum>
  <w:abstractNum w:abstractNumId="105" w15:restartNumberingAfterBreak="0">
    <w:nsid w:val="3739317A"/>
    <w:multiLevelType w:val="hybridMultilevel"/>
    <w:tmpl w:val="A050AD22"/>
    <w:lvl w:ilvl="0" w:tplc="773CCF40">
      <w:start w:val="1"/>
      <w:numFmt w:val="decimal"/>
      <w:lvlText w:val="%1."/>
      <w:lvlJc w:val="left"/>
      <w:pPr>
        <w:ind w:left="742" w:hanging="335"/>
        <w:jc w:val="right"/>
      </w:pPr>
      <w:rPr>
        <w:rFonts w:ascii="Times New Roman" w:eastAsia="Times New Roman" w:hAnsi="Times New Roman" w:cs="Times New Roman" w:hint="default"/>
        <w:spacing w:val="0"/>
        <w:w w:val="99"/>
        <w:sz w:val="20"/>
        <w:szCs w:val="20"/>
        <w:lang w:val="uk-UA" w:eastAsia="en-US" w:bidi="ar-SA"/>
      </w:rPr>
    </w:lvl>
    <w:lvl w:ilvl="1" w:tplc="5CE2ACC6">
      <w:numFmt w:val="bullet"/>
      <w:lvlText w:val="•"/>
      <w:lvlJc w:val="left"/>
      <w:pPr>
        <w:ind w:left="1202" w:hanging="335"/>
      </w:pPr>
      <w:rPr>
        <w:rFonts w:hint="default"/>
        <w:lang w:val="uk-UA" w:eastAsia="en-US" w:bidi="ar-SA"/>
      </w:rPr>
    </w:lvl>
    <w:lvl w:ilvl="2" w:tplc="C180D3D4">
      <w:numFmt w:val="bullet"/>
      <w:lvlText w:val="•"/>
      <w:lvlJc w:val="left"/>
      <w:pPr>
        <w:ind w:left="1664" w:hanging="335"/>
      </w:pPr>
      <w:rPr>
        <w:rFonts w:hint="default"/>
        <w:lang w:val="uk-UA" w:eastAsia="en-US" w:bidi="ar-SA"/>
      </w:rPr>
    </w:lvl>
    <w:lvl w:ilvl="3" w:tplc="16668860">
      <w:numFmt w:val="bullet"/>
      <w:lvlText w:val="•"/>
      <w:lvlJc w:val="left"/>
      <w:pPr>
        <w:ind w:left="2126" w:hanging="335"/>
      </w:pPr>
      <w:rPr>
        <w:rFonts w:hint="default"/>
        <w:lang w:val="uk-UA" w:eastAsia="en-US" w:bidi="ar-SA"/>
      </w:rPr>
    </w:lvl>
    <w:lvl w:ilvl="4" w:tplc="75AAA0C0">
      <w:numFmt w:val="bullet"/>
      <w:lvlText w:val="•"/>
      <w:lvlJc w:val="left"/>
      <w:pPr>
        <w:ind w:left="2588" w:hanging="335"/>
      </w:pPr>
      <w:rPr>
        <w:rFonts w:hint="default"/>
        <w:lang w:val="uk-UA" w:eastAsia="en-US" w:bidi="ar-SA"/>
      </w:rPr>
    </w:lvl>
    <w:lvl w:ilvl="5" w:tplc="7C1C9A0E">
      <w:numFmt w:val="bullet"/>
      <w:lvlText w:val="•"/>
      <w:lvlJc w:val="left"/>
      <w:pPr>
        <w:ind w:left="3050" w:hanging="335"/>
      </w:pPr>
      <w:rPr>
        <w:rFonts w:hint="default"/>
        <w:lang w:val="uk-UA" w:eastAsia="en-US" w:bidi="ar-SA"/>
      </w:rPr>
    </w:lvl>
    <w:lvl w:ilvl="6" w:tplc="99608B3C">
      <w:numFmt w:val="bullet"/>
      <w:lvlText w:val="•"/>
      <w:lvlJc w:val="left"/>
      <w:pPr>
        <w:ind w:left="3512" w:hanging="335"/>
      </w:pPr>
      <w:rPr>
        <w:rFonts w:hint="default"/>
        <w:lang w:val="uk-UA" w:eastAsia="en-US" w:bidi="ar-SA"/>
      </w:rPr>
    </w:lvl>
    <w:lvl w:ilvl="7" w:tplc="E14A85BC">
      <w:numFmt w:val="bullet"/>
      <w:lvlText w:val="•"/>
      <w:lvlJc w:val="left"/>
      <w:pPr>
        <w:ind w:left="3974" w:hanging="335"/>
      </w:pPr>
      <w:rPr>
        <w:rFonts w:hint="default"/>
        <w:lang w:val="uk-UA" w:eastAsia="en-US" w:bidi="ar-SA"/>
      </w:rPr>
    </w:lvl>
    <w:lvl w:ilvl="8" w:tplc="EC74CC34">
      <w:numFmt w:val="bullet"/>
      <w:lvlText w:val="•"/>
      <w:lvlJc w:val="left"/>
      <w:pPr>
        <w:ind w:left="4436" w:hanging="335"/>
      </w:pPr>
      <w:rPr>
        <w:rFonts w:hint="default"/>
        <w:lang w:val="uk-UA" w:eastAsia="en-US" w:bidi="ar-SA"/>
      </w:rPr>
    </w:lvl>
  </w:abstractNum>
  <w:abstractNum w:abstractNumId="106" w15:restartNumberingAfterBreak="0">
    <w:nsid w:val="37E20688"/>
    <w:multiLevelType w:val="hybridMultilevel"/>
    <w:tmpl w:val="74D8EC76"/>
    <w:lvl w:ilvl="0" w:tplc="F1B8AB20">
      <w:start w:val="1"/>
      <w:numFmt w:val="decimal"/>
      <w:lvlText w:val="%1."/>
      <w:lvlJc w:val="left"/>
      <w:pPr>
        <w:ind w:left="800" w:hanging="360"/>
      </w:pPr>
      <w:rPr>
        <w:rFonts w:ascii="Times New Roman" w:eastAsia="Times New Roman" w:hAnsi="Times New Roman" w:cs="Times New Roman" w:hint="default"/>
        <w:spacing w:val="0"/>
        <w:w w:val="99"/>
        <w:sz w:val="20"/>
        <w:szCs w:val="20"/>
        <w:lang w:val="uk-UA" w:eastAsia="en-US" w:bidi="ar-SA"/>
      </w:rPr>
    </w:lvl>
    <w:lvl w:ilvl="1" w:tplc="852C5E80">
      <w:numFmt w:val="bullet"/>
      <w:lvlText w:val="•"/>
      <w:lvlJc w:val="left"/>
      <w:pPr>
        <w:ind w:left="1232" w:hanging="360"/>
      </w:pPr>
      <w:rPr>
        <w:rFonts w:hint="default"/>
        <w:lang w:val="uk-UA" w:eastAsia="en-US" w:bidi="ar-SA"/>
      </w:rPr>
    </w:lvl>
    <w:lvl w:ilvl="2" w:tplc="B5E8FD54">
      <w:numFmt w:val="bullet"/>
      <w:lvlText w:val="•"/>
      <w:lvlJc w:val="left"/>
      <w:pPr>
        <w:ind w:left="1664" w:hanging="360"/>
      </w:pPr>
      <w:rPr>
        <w:rFonts w:hint="default"/>
        <w:lang w:val="uk-UA" w:eastAsia="en-US" w:bidi="ar-SA"/>
      </w:rPr>
    </w:lvl>
    <w:lvl w:ilvl="3" w:tplc="10B41774">
      <w:numFmt w:val="bullet"/>
      <w:lvlText w:val="•"/>
      <w:lvlJc w:val="left"/>
      <w:pPr>
        <w:ind w:left="2097" w:hanging="360"/>
      </w:pPr>
      <w:rPr>
        <w:rFonts w:hint="default"/>
        <w:lang w:val="uk-UA" w:eastAsia="en-US" w:bidi="ar-SA"/>
      </w:rPr>
    </w:lvl>
    <w:lvl w:ilvl="4" w:tplc="288A8230">
      <w:numFmt w:val="bullet"/>
      <w:lvlText w:val="•"/>
      <w:lvlJc w:val="left"/>
      <w:pPr>
        <w:ind w:left="2529" w:hanging="360"/>
      </w:pPr>
      <w:rPr>
        <w:rFonts w:hint="default"/>
        <w:lang w:val="uk-UA" w:eastAsia="en-US" w:bidi="ar-SA"/>
      </w:rPr>
    </w:lvl>
    <w:lvl w:ilvl="5" w:tplc="14EA9C06">
      <w:numFmt w:val="bullet"/>
      <w:lvlText w:val="•"/>
      <w:lvlJc w:val="left"/>
      <w:pPr>
        <w:ind w:left="2961" w:hanging="360"/>
      </w:pPr>
      <w:rPr>
        <w:rFonts w:hint="default"/>
        <w:lang w:val="uk-UA" w:eastAsia="en-US" w:bidi="ar-SA"/>
      </w:rPr>
    </w:lvl>
    <w:lvl w:ilvl="6" w:tplc="43ACA4B0">
      <w:numFmt w:val="bullet"/>
      <w:lvlText w:val="•"/>
      <w:lvlJc w:val="left"/>
      <w:pPr>
        <w:ind w:left="3394" w:hanging="360"/>
      </w:pPr>
      <w:rPr>
        <w:rFonts w:hint="default"/>
        <w:lang w:val="uk-UA" w:eastAsia="en-US" w:bidi="ar-SA"/>
      </w:rPr>
    </w:lvl>
    <w:lvl w:ilvl="7" w:tplc="7A14D474">
      <w:numFmt w:val="bullet"/>
      <w:lvlText w:val="•"/>
      <w:lvlJc w:val="left"/>
      <w:pPr>
        <w:ind w:left="3826" w:hanging="360"/>
      </w:pPr>
      <w:rPr>
        <w:rFonts w:hint="default"/>
        <w:lang w:val="uk-UA" w:eastAsia="en-US" w:bidi="ar-SA"/>
      </w:rPr>
    </w:lvl>
    <w:lvl w:ilvl="8" w:tplc="0A14EA40">
      <w:numFmt w:val="bullet"/>
      <w:lvlText w:val="•"/>
      <w:lvlJc w:val="left"/>
      <w:pPr>
        <w:ind w:left="4259" w:hanging="360"/>
      </w:pPr>
      <w:rPr>
        <w:rFonts w:hint="default"/>
        <w:lang w:val="uk-UA" w:eastAsia="en-US" w:bidi="ar-SA"/>
      </w:rPr>
    </w:lvl>
  </w:abstractNum>
  <w:abstractNum w:abstractNumId="107" w15:restartNumberingAfterBreak="0">
    <w:nsid w:val="38280A4F"/>
    <w:multiLevelType w:val="hybridMultilevel"/>
    <w:tmpl w:val="A9187FF4"/>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108" w15:restartNumberingAfterBreak="0">
    <w:nsid w:val="390E1B2D"/>
    <w:multiLevelType w:val="hybridMultilevel"/>
    <w:tmpl w:val="7BDE6E54"/>
    <w:lvl w:ilvl="0" w:tplc="EB7E0920">
      <w:start w:val="2"/>
      <w:numFmt w:val="lowerLetter"/>
      <w:lvlText w:val="%1)"/>
      <w:lvlJc w:val="left"/>
      <w:pPr>
        <w:ind w:left="533" w:hanging="218"/>
      </w:pPr>
      <w:rPr>
        <w:rFonts w:ascii="Times New Roman" w:eastAsia="Times New Roman" w:hAnsi="Times New Roman" w:cs="Times New Roman" w:hint="default"/>
        <w:spacing w:val="0"/>
        <w:w w:val="99"/>
        <w:sz w:val="20"/>
        <w:szCs w:val="20"/>
        <w:lang w:val="uk-UA" w:eastAsia="en-US" w:bidi="ar-SA"/>
      </w:rPr>
    </w:lvl>
    <w:lvl w:ilvl="1" w:tplc="702E080E">
      <w:start w:val="1"/>
      <w:numFmt w:val="decimal"/>
      <w:lvlText w:val="%2)"/>
      <w:lvlJc w:val="left"/>
      <w:pPr>
        <w:ind w:left="440" w:hanging="245"/>
      </w:pPr>
      <w:rPr>
        <w:rFonts w:ascii="Times New Roman" w:eastAsia="Times New Roman" w:hAnsi="Times New Roman" w:cs="Times New Roman" w:hint="default"/>
        <w:spacing w:val="0"/>
        <w:w w:val="99"/>
        <w:sz w:val="20"/>
        <w:szCs w:val="20"/>
        <w:lang w:val="uk-UA" w:eastAsia="en-US" w:bidi="ar-SA"/>
      </w:rPr>
    </w:lvl>
    <w:lvl w:ilvl="2" w:tplc="52586D6A">
      <w:numFmt w:val="bullet"/>
      <w:lvlText w:val="•"/>
      <w:lvlJc w:val="left"/>
      <w:pPr>
        <w:ind w:left="475" w:hanging="245"/>
      </w:pPr>
      <w:rPr>
        <w:rFonts w:hint="default"/>
        <w:lang w:val="uk-UA" w:eastAsia="en-US" w:bidi="ar-SA"/>
      </w:rPr>
    </w:lvl>
    <w:lvl w:ilvl="3" w:tplc="E53E2962">
      <w:numFmt w:val="bullet"/>
      <w:lvlText w:val="•"/>
      <w:lvlJc w:val="left"/>
      <w:pPr>
        <w:ind w:left="411" w:hanging="245"/>
      </w:pPr>
      <w:rPr>
        <w:rFonts w:hint="default"/>
        <w:lang w:val="uk-UA" w:eastAsia="en-US" w:bidi="ar-SA"/>
      </w:rPr>
    </w:lvl>
    <w:lvl w:ilvl="4" w:tplc="F61AD7DA">
      <w:numFmt w:val="bullet"/>
      <w:lvlText w:val="•"/>
      <w:lvlJc w:val="left"/>
      <w:pPr>
        <w:ind w:left="346" w:hanging="245"/>
      </w:pPr>
      <w:rPr>
        <w:rFonts w:hint="default"/>
        <w:lang w:val="uk-UA" w:eastAsia="en-US" w:bidi="ar-SA"/>
      </w:rPr>
    </w:lvl>
    <w:lvl w:ilvl="5" w:tplc="4FB89882">
      <w:numFmt w:val="bullet"/>
      <w:lvlText w:val="•"/>
      <w:lvlJc w:val="left"/>
      <w:pPr>
        <w:ind w:left="282" w:hanging="245"/>
      </w:pPr>
      <w:rPr>
        <w:rFonts w:hint="default"/>
        <w:lang w:val="uk-UA" w:eastAsia="en-US" w:bidi="ar-SA"/>
      </w:rPr>
    </w:lvl>
    <w:lvl w:ilvl="6" w:tplc="26224348">
      <w:numFmt w:val="bullet"/>
      <w:lvlText w:val="•"/>
      <w:lvlJc w:val="left"/>
      <w:pPr>
        <w:ind w:left="217" w:hanging="245"/>
      </w:pPr>
      <w:rPr>
        <w:rFonts w:hint="default"/>
        <w:lang w:val="uk-UA" w:eastAsia="en-US" w:bidi="ar-SA"/>
      </w:rPr>
    </w:lvl>
    <w:lvl w:ilvl="7" w:tplc="793A215E">
      <w:numFmt w:val="bullet"/>
      <w:lvlText w:val="•"/>
      <w:lvlJc w:val="left"/>
      <w:pPr>
        <w:ind w:left="153" w:hanging="245"/>
      </w:pPr>
      <w:rPr>
        <w:rFonts w:hint="default"/>
        <w:lang w:val="uk-UA" w:eastAsia="en-US" w:bidi="ar-SA"/>
      </w:rPr>
    </w:lvl>
    <w:lvl w:ilvl="8" w:tplc="608A0CFE">
      <w:numFmt w:val="bullet"/>
      <w:lvlText w:val="•"/>
      <w:lvlJc w:val="left"/>
      <w:pPr>
        <w:ind w:left="88" w:hanging="245"/>
      </w:pPr>
      <w:rPr>
        <w:rFonts w:hint="default"/>
        <w:lang w:val="uk-UA" w:eastAsia="en-US" w:bidi="ar-SA"/>
      </w:rPr>
    </w:lvl>
  </w:abstractNum>
  <w:abstractNum w:abstractNumId="109" w15:restartNumberingAfterBreak="0">
    <w:nsid w:val="39897D64"/>
    <w:multiLevelType w:val="hybridMultilevel"/>
    <w:tmpl w:val="57E67148"/>
    <w:lvl w:ilvl="0" w:tplc="5F8E2DA2">
      <w:start w:val="1"/>
      <w:numFmt w:val="decimal"/>
      <w:lvlText w:val="%1."/>
      <w:lvlJc w:val="left"/>
      <w:pPr>
        <w:ind w:left="677" w:hanging="360"/>
      </w:pPr>
      <w:rPr>
        <w:rFonts w:ascii="Times New Roman" w:eastAsia="Times New Roman" w:hAnsi="Times New Roman" w:cs="Times New Roman" w:hint="default"/>
        <w:spacing w:val="0"/>
        <w:w w:val="99"/>
        <w:sz w:val="20"/>
        <w:szCs w:val="20"/>
        <w:lang w:val="uk-UA" w:eastAsia="en-US" w:bidi="ar-SA"/>
      </w:rPr>
    </w:lvl>
    <w:lvl w:ilvl="1" w:tplc="0360E4E6">
      <w:start w:val="1"/>
      <w:numFmt w:val="decimal"/>
      <w:lvlText w:val="%2."/>
      <w:lvlJc w:val="left"/>
      <w:pPr>
        <w:ind w:left="800" w:hanging="360"/>
      </w:pPr>
      <w:rPr>
        <w:rFonts w:ascii="Times New Roman" w:eastAsia="Times New Roman" w:hAnsi="Times New Roman" w:cs="Times New Roman" w:hint="default"/>
        <w:spacing w:val="0"/>
        <w:w w:val="99"/>
        <w:sz w:val="20"/>
        <w:szCs w:val="20"/>
        <w:lang w:val="uk-UA" w:eastAsia="en-US" w:bidi="ar-SA"/>
      </w:rPr>
    </w:lvl>
    <w:lvl w:ilvl="2" w:tplc="1062032C">
      <w:numFmt w:val="bullet"/>
      <w:lvlText w:val="•"/>
      <w:lvlJc w:val="left"/>
      <w:pPr>
        <w:ind w:left="706" w:hanging="360"/>
      </w:pPr>
      <w:rPr>
        <w:rFonts w:hint="default"/>
        <w:lang w:val="uk-UA" w:eastAsia="en-US" w:bidi="ar-SA"/>
      </w:rPr>
    </w:lvl>
    <w:lvl w:ilvl="3" w:tplc="285A7E50">
      <w:numFmt w:val="bullet"/>
      <w:lvlText w:val="•"/>
      <w:lvlJc w:val="left"/>
      <w:pPr>
        <w:ind w:left="613" w:hanging="360"/>
      </w:pPr>
      <w:rPr>
        <w:rFonts w:hint="default"/>
        <w:lang w:val="uk-UA" w:eastAsia="en-US" w:bidi="ar-SA"/>
      </w:rPr>
    </w:lvl>
    <w:lvl w:ilvl="4" w:tplc="2AFA3A8A">
      <w:numFmt w:val="bullet"/>
      <w:lvlText w:val="•"/>
      <w:lvlJc w:val="left"/>
      <w:pPr>
        <w:ind w:left="520" w:hanging="360"/>
      </w:pPr>
      <w:rPr>
        <w:rFonts w:hint="default"/>
        <w:lang w:val="uk-UA" w:eastAsia="en-US" w:bidi="ar-SA"/>
      </w:rPr>
    </w:lvl>
    <w:lvl w:ilvl="5" w:tplc="1526CCB2">
      <w:numFmt w:val="bullet"/>
      <w:lvlText w:val="•"/>
      <w:lvlJc w:val="left"/>
      <w:pPr>
        <w:ind w:left="427" w:hanging="360"/>
      </w:pPr>
      <w:rPr>
        <w:rFonts w:hint="default"/>
        <w:lang w:val="uk-UA" w:eastAsia="en-US" w:bidi="ar-SA"/>
      </w:rPr>
    </w:lvl>
    <w:lvl w:ilvl="6" w:tplc="645EC5E8">
      <w:numFmt w:val="bullet"/>
      <w:lvlText w:val="•"/>
      <w:lvlJc w:val="left"/>
      <w:pPr>
        <w:ind w:left="334" w:hanging="360"/>
      </w:pPr>
      <w:rPr>
        <w:rFonts w:hint="default"/>
        <w:lang w:val="uk-UA" w:eastAsia="en-US" w:bidi="ar-SA"/>
      </w:rPr>
    </w:lvl>
    <w:lvl w:ilvl="7" w:tplc="D4008B2C">
      <w:numFmt w:val="bullet"/>
      <w:lvlText w:val="•"/>
      <w:lvlJc w:val="left"/>
      <w:pPr>
        <w:ind w:left="241" w:hanging="360"/>
      </w:pPr>
      <w:rPr>
        <w:rFonts w:hint="default"/>
        <w:lang w:val="uk-UA" w:eastAsia="en-US" w:bidi="ar-SA"/>
      </w:rPr>
    </w:lvl>
    <w:lvl w:ilvl="8" w:tplc="A646543C">
      <w:numFmt w:val="bullet"/>
      <w:lvlText w:val="•"/>
      <w:lvlJc w:val="left"/>
      <w:pPr>
        <w:ind w:left="148" w:hanging="360"/>
      </w:pPr>
      <w:rPr>
        <w:rFonts w:hint="default"/>
        <w:lang w:val="uk-UA" w:eastAsia="en-US" w:bidi="ar-SA"/>
      </w:rPr>
    </w:lvl>
  </w:abstractNum>
  <w:abstractNum w:abstractNumId="110" w15:restartNumberingAfterBreak="0">
    <w:nsid w:val="3A7B4275"/>
    <w:multiLevelType w:val="hybridMultilevel"/>
    <w:tmpl w:val="9536A210"/>
    <w:lvl w:ilvl="0" w:tplc="ED1CE62A">
      <w:start w:val="1"/>
      <w:numFmt w:val="decimal"/>
      <w:lvlText w:val="%1."/>
      <w:lvlJc w:val="left"/>
      <w:pPr>
        <w:ind w:left="800" w:hanging="360"/>
      </w:pPr>
      <w:rPr>
        <w:rFonts w:ascii="Times New Roman" w:eastAsia="Times New Roman" w:hAnsi="Times New Roman" w:cs="Times New Roman" w:hint="default"/>
        <w:spacing w:val="0"/>
        <w:w w:val="99"/>
        <w:sz w:val="20"/>
        <w:szCs w:val="20"/>
        <w:lang w:val="uk-UA" w:eastAsia="en-US" w:bidi="ar-SA"/>
      </w:rPr>
    </w:lvl>
    <w:lvl w:ilvl="1" w:tplc="88C683CC">
      <w:numFmt w:val="bullet"/>
      <w:lvlText w:val="•"/>
      <w:lvlJc w:val="left"/>
      <w:pPr>
        <w:ind w:left="1232" w:hanging="360"/>
      </w:pPr>
      <w:rPr>
        <w:rFonts w:hint="default"/>
        <w:lang w:val="uk-UA" w:eastAsia="en-US" w:bidi="ar-SA"/>
      </w:rPr>
    </w:lvl>
    <w:lvl w:ilvl="2" w:tplc="B52875C0">
      <w:numFmt w:val="bullet"/>
      <w:lvlText w:val="•"/>
      <w:lvlJc w:val="left"/>
      <w:pPr>
        <w:ind w:left="1664" w:hanging="360"/>
      </w:pPr>
      <w:rPr>
        <w:rFonts w:hint="default"/>
        <w:lang w:val="uk-UA" w:eastAsia="en-US" w:bidi="ar-SA"/>
      </w:rPr>
    </w:lvl>
    <w:lvl w:ilvl="3" w:tplc="B11C2F40">
      <w:numFmt w:val="bullet"/>
      <w:lvlText w:val="•"/>
      <w:lvlJc w:val="left"/>
      <w:pPr>
        <w:ind w:left="2097" w:hanging="360"/>
      </w:pPr>
      <w:rPr>
        <w:rFonts w:hint="default"/>
        <w:lang w:val="uk-UA" w:eastAsia="en-US" w:bidi="ar-SA"/>
      </w:rPr>
    </w:lvl>
    <w:lvl w:ilvl="4" w:tplc="31C47A96">
      <w:numFmt w:val="bullet"/>
      <w:lvlText w:val="•"/>
      <w:lvlJc w:val="left"/>
      <w:pPr>
        <w:ind w:left="2529" w:hanging="360"/>
      </w:pPr>
      <w:rPr>
        <w:rFonts w:hint="default"/>
        <w:lang w:val="uk-UA" w:eastAsia="en-US" w:bidi="ar-SA"/>
      </w:rPr>
    </w:lvl>
    <w:lvl w:ilvl="5" w:tplc="3032464A">
      <w:numFmt w:val="bullet"/>
      <w:lvlText w:val="•"/>
      <w:lvlJc w:val="left"/>
      <w:pPr>
        <w:ind w:left="2961" w:hanging="360"/>
      </w:pPr>
      <w:rPr>
        <w:rFonts w:hint="default"/>
        <w:lang w:val="uk-UA" w:eastAsia="en-US" w:bidi="ar-SA"/>
      </w:rPr>
    </w:lvl>
    <w:lvl w:ilvl="6" w:tplc="0E6E16C8">
      <w:numFmt w:val="bullet"/>
      <w:lvlText w:val="•"/>
      <w:lvlJc w:val="left"/>
      <w:pPr>
        <w:ind w:left="3394" w:hanging="360"/>
      </w:pPr>
      <w:rPr>
        <w:rFonts w:hint="default"/>
        <w:lang w:val="uk-UA" w:eastAsia="en-US" w:bidi="ar-SA"/>
      </w:rPr>
    </w:lvl>
    <w:lvl w:ilvl="7" w:tplc="35464480">
      <w:numFmt w:val="bullet"/>
      <w:lvlText w:val="•"/>
      <w:lvlJc w:val="left"/>
      <w:pPr>
        <w:ind w:left="3826" w:hanging="360"/>
      </w:pPr>
      <w:rPr>
        <w:rFonts w:hint="default"/>
        <w:lang w:val="uk-UA" w:eastAsia="en-US" w:bidi="ar-SA"/>
      </w:rPr>
    </w:lvl>
    <w:lvl w:ilvl="8" w:tplc="5A1C81EC">
      <w:numFmt w:val="bullet"/>
      <w:lvlText w:val="•"/>
      <w:lvlJc w:val="left"/>
      <w:pPr>
        <w:ind w:left="4259" w:hanging="360"/>
      </w:pPr>
      <w:rPr>
        <w:rFonts w:hint="default"/>
        <w:lang w:val="uk-UA" w:eastAsia="en-US" w:bidi="ar-SA"/>
      </w:rPr>
    </w:lvl>
  </w:abstractNum>
  <w:abstractNum w:abstractNumId="111" w15:restartNumberingAfterBreak="0">
    <w:nsid w:val="3ADF40C8"/>
    <w:multiLevelType w:val="hybridMultilevel"/>
    <w:tmpl w:val="54C695B2"/>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112" w15:restartNumberingAfterBreak="0">
    <w:nsid w:val="3B031195"/>
    <w:multiLevelType w:val="hybridMultilevel"/>
    <w:tmpl w:val="BFEC6D54"/>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113" w15:restartNumberingAfterBreak="0">
    <w:nsid w:val="3BCE1D19"/>
    <w:multiLevelType w:val="hybridMultilevel"/>
    <w:tmpl w:val="EF22AAC6"/>
    <w:lvl w:ilvl="0" w:tplc="016A8464">
      <w:start w:val="1"/>
      <w:numFmt w:val="decimal"/>
      <w:lvlText w:val="%1)"/>
      <w:lvlJc w:val="left"/>
      <w:pPr>
        <w:ind w:left="440" w:hanging="221"/>
      </w:pPr>
      <w:rPr>
        <w:rFonts w:ascii="Times New Roman" w:eastAsia="Times New Roman" w:hAnsi="Times New Roman" w:cs="Times New Roman" w:hint="default"/>
        <w:spacing w:val="0"/>
        <w:w w:val="99"/>
        <w:sz w:val="20"/>
        <w:szCs w:val="20"/>
        <w:lang w:val="uk-UA" w:eastAsia="en-US" w:bidi="ar-SA"/>
      </w:rPr>
    </w:lvl>
    <w:lvl w:ilvl="1" w:tplc="964C6F06">
      <w:numFmt w:val="bullet"/>
      <w:lvlText w:val="•"/>
      <w:lvlJc w:val="left"/>
      <w:pPr>
        <w:ind w:left="908" w:hanging="221"/>
      </w:pPr>
      <w:rPr>
        <w:rFonts w:hint="default"/>
        <w:lang w:val="uk-UA" w:eastAsia="en-US" w:bidi="ar-SA"/>
      </w:rPr>
    </w:lvl>
    <w:lvl w:ilvl="2" w:tplc="B596E914">
      <w:numFmt w:val="bullet"/>
      <w:lvlText w:val="•"/>
      <w:lvlJc w:val="left"/>
      <w:pPr>
        <w:ind w:left="1376" w:hanging="221"/>
      </w:pPr>
      <w:rPr>
        <w:rFonts w:hint="default"/>
        <w:lang w:val="uk-UA" w:eastAsia="en-US" w:bidi="ar-SA"/>
      </w:rPr>
    </w:lvl>
    <w:lvl w:ilvl="3" w:tplc="52AAA2D8">
      <w:numFmt w:val="bullet"/>
      <w:lvlText w:val="•"/>
      <w:lvlJc w:val="left"/>
      <w:pPr>
        <w:ind w:left="1845" w:hanging="221"/>
      </w:pPr>
      <w:rPr>
        <w:rFonts w:hint="default"/>
        <w:lang w:val="uk-UA" w:eastAsia="en-US" w:bidi="ar-SA"/>
      </w:rPr>
    </w:lvl>
    <w:lvl w:ilvl="4" w:tplc="DD14CF54">
      <w:numFmt w:val="bullet"/>
      <w:lvlText w:val="•"/>
      <w:lvlJc w:val="left"/>
      <w:pPr>
        <w:ind w:left="2313" w:hanging="221"/>
      </w:pPr>
      <w:rPr>
        <w:rFonts w:hint="default"/>
        <w:lang w:val="uk-UA" w:eastAsia="en-US" w:bidi="ar-SA"/>
      </w:rPr>
    </w:lvl>
    <w:lvl w:ilvl="5" w:tplc="8302869A">
      <w:numFmt w:val="bullet"/>
      <w:lvlText w:val="•"/>
      <w:lvlJc w:val="left"/>
      <w:pPr>
        <w:ind w:left="2781" w:hanging="221"/>
      </w:pPr>
      <w:rPr>
        <w:rFonts w:hint="default"/>
        <w:lang w:val="uk-UA" w:eastAsia="en-US" w:bidi="ar-SA"/>
      </w:rPr>
    </w:lvl>
    <w:lvl w:ilvl="6" w:tplc="4E7A21F6">
      <w:numFmt w:val="bullet"/>
      <w:lvlText w:val="•"/>
      <w:lvlJc w:val="left"/>
      <w:pPr>
        <w:ind w:left="3250" w:hanging="221"/>
      </w:pPr>
      <w:rPr>
        <w:rFonts w:hint="default"/>
        <w:lang w:val="uk-UA" w:eastAsia="en-US" w:bidi="ar-SA"/>
      </w:rPr>
    </w:lvl>
    <w:lvl w:ilvl="7" w:tplc="44D066BC">
      <w:numFmt w:val="bullet"/>
      <w:lvlText w:val="•"/>
      <w:lvlJc w:val="left"/>
      <w:pPr>
        <w:ind w:left="3718" w:hanging="221"/>
      </w:pPr>
      <w:rPr>
        <w:rFonts w:hint="default"/>
        <w:lang w:val="uk-UA" w:eastAsia="en-US" w:bidi="ar-SA"/>
      </w:rPr>
    </w:lvl>
    <w:lvl w:ilvl="8" w:tplc="B32C3B4A">
      <w:numFmt w:val="bullet"/>
      <w:lvlText w:val="•"/>
      <w:lvlJc w:val="left"/>
      <w:pPr>
        <w:ind w:left="4187" w:hanging="221"/>
      </w:pPr>
      <w:rPr>
        <w:rFonts w:hint="default"/>
        <w:lang w:val="uk-UA" w:eastAsia="en-US" w:bidi="ar-SA"/>
      </w:rPr>
    </w:lvl>
  </w:abstractNum>
  <w:abstractNum w:abstractNumId="114" w15:restartNumberingAfterBreak="0">
    <w:nsid w:val="3BF43634"/>
    <w:multiLevelType w:val="hybridMultilevel"/>
    <w:tmpl w:val="2CDA0B08"/>
    <w:lvl w:ilvl="0" w:tplc="A550716C">
      <w:start w:val="1"/>
      <w:numFmt w:val="decimal"/>
      <w:lvlText w:val="%1."/>
      <w:lvlJc w:val="left"/>
      <w:pPr>
        <w:ind w:left="678" w:hanging="360"/>
      </w:pPr>
      <w:rPr>
        <w:rFonts w:ascii="Times New Roman" w:eastAsia="Times New Roman" w:hAnsi="Times New Roman" w:cs="Times New Roman" w:hint="default"/>
        <w:spacing w:val="0"/>
        <w:w w:val="99"/>
        <w:sz w:val="20"/>
        <w:szCs w:val="20"/>
        <w:lang w:val="uk-UA" w:eastAsia="en-US" w:bidi="ar-SA"/>
      </w:rPr>
    </w:lvl>
    <w:lvl w:ilvl="1" w:tplc="DB04C934">
      <w:start w:val="1"/>
      <w:numFmt w:val="decimal"/>
      <w:lvlText w:val="%2."/>
      <w:lvlJc w:val="left"/>
      <w:pPr>
        <w:ind w:left="440" w:hanging="233"/>
      </w:pPr>
      <w:rPr>
        <w:rFonts w:ascii="Times New Roman" w:eastAsia="Times New Roman" w:hAnsi="Times New Roman" w:cs="Times New Roman" w:hint="default"/>
        <w:spacing w:val="0"/>
        <w:w w:val="99"/>
        <w:sz w:val="20"/>
        <w:szCs w:val="20"/>
        <w:lang w:val="uk-UA" w:eastAsia="en-US" w:bidi="ar-SA"/>
      </w:rPr>
    </w:lvl>
    <w:lvl w:ilvl="2" w:tplc="8A823898">
      <w:numFmt w:val="bullet"/>
      <w:lvlText w:val="•"/>
      <w:lvlJc w:val="left"/>
      <w:pPr>
        <w:ind w:left="600" w:hanging="233"/>
      </w:pPr>
      <w:rPr>
        <w:rFonts w:hint="default"/>
        <w:lang w:val="uk-UA" w:eastAsia="en-US" w:bidi="ar-SA"/>
      </w:rPr>
    </w:lvl>
    <w:lvl w:ilvl="3" w:tplc="8F0675F6">
      <w:numFmt w:val="bullet"/>
      <w:lvlText w:val="•"/>
      <w:lvlJc w:val="left"/>
      <w:pPr>
        <w:ind w:left="520" w:hanging="233"/>
      </w:pPr>
      <w:rPr>
        <w:rFonts w:hint="default"/>
        <w:lang w:val="uk-UA" w:eastAsia="en-US" w:bidi="ar-SA"/>
      </w:rPr>
    </w:lvl>
    <w:lvl w:ilvl="4" w:tplc="C29EA5DC">
      <w:numFmt w:val="bullet"/>
      <w:lvlText w:val="•"/>
      <w:lvlJc w:val="left"/>
      <w:pPr>
        <w:ind w:left="440" w:hanging="233"/>
      </w:pPr>
      <w:rPr>
        <w:rFonts w:hint="default"/>
        <w:lang w:val="uk-UA" w:eastAsia="en-US" w:bidi="ar-SA"/>
      </w:rPr>
    </w:lvl>
    <w:lvl w:ilvl="5" w:tplc="5AEA43AC">
      <w:numFmt w:val="bullet"/>
      <w:lvlText w:val="•"/>
      <w:lvlJc w:val="left"/>
      <w:pPr>
        <w:ind w:left="360" w:hanging="233"/>
      </w:pPr>
      <w:rPr>
        <w:rFonts w:hint="default"/>
        <w:lang w:val="uk-UA" w:eastAsia="en-US" w:bidi="ar-SA"/>
      </w:rPr>
    </w:lvl>
    <w:lvl w:ilvl="6" w:tplc="7686532C">
      <w:numFmt w:val="bullet"/>
      <w:lvlText w:val="•"/>
      <w:lvlJc w:val="left"/>
      <w:pPr>
        <w:ind w:left="280" w:hanging="233"/>
      </w:pPr>
      <w:rPr>
        <w:rFonts w:hint="default"/>
        <w:lang w:val="uk-UA" w:eastAsia="en-US" w:bidi="ar-SA"/>
      </w:rPr>
    </w:lvl>
    <w:lvl w:ilvl="7" w:tplc="2F400140">
      <w:numFmt w:val="bullet"/>
      <w:lvlText w:val="•"/>
      <w:lvlJc w:val="left"/>
      <w:pPr>
        <w:ind w:left="200" w:hanging="233"/>
      </w:pPr>
      <w:rPr>
        <w:rFonts w:hint="default"/>
        <w:lang w:val="uk-UA" w:eastAsia="en-US" w:bidi="ar-SA"/>
      </w:rPr>
    </w:lvl>
    <w:lvl w:ilvl="8" w:tplc="4440CD36">
      <w:numFmt w:val="bullet"/>
      <w:lvlText w:val="•"/>
      <w:lvlJc w:val="left"/>
      <w:pPr>
        <w:ind w:left="120" w:hanging="233"/>
      </w:pPr>
      <w:rPr>
        <w:rFonts w:hint="default"/>
        <w:lang w:val="uk-UA" w:eastAsia="en-US" w:bidi="ar-SA"/>
      </w:rPr>
    </w:lvl>
  </w:abstractNum>
  <w:abstractNum w:abstractNumId="115" w15:restartNumberingAfterBreak="0">
    <w:nsid w:val="3CC642AB"/>
    <w:multiLevelType w:val="hybridMultilevel"/>
    <w:tmpl w:val="CE30C6EE"/>
    <w:lvl w:ilvl="0" w:tplc="0C162AD2">
      <w:numFmt w:val="bullet"/>
      <w:lvlText w:val="-"/>
      <w:lvlJc w:val="left"/>
      <w:pPr>
        <w:ind w:left="315" w:hanging="132"/>
      </w:pPr>
      <w:rPr>
        <w:rFonts w:ascii="Times New Roman" w:eastAsia="Times New Roman" w:hAnsi="Times New Roman" w:cs="Times New Roman" w:hint="default"/>
        <w:w w:val="99"/>
        <w:sz w:val="20"/>
        <w:szCs w:val="20"/>
        <w:lang w:val="uk-UA" w:eastAsia="en-US" w:bidi="ar-SA"/>
      </w:rPr>
    </w:lvl>
    <w:lvl w:ilvl="1" w:tplc="37400CEC">
      <w:numFmt w:val="bullet"/>
      <w:lvlText w:val="•"/>
      <w:lvlJc w:val="left"/>
      <w:pPr>
        <w:ind w:left="824" w:hanging="132"/>
      </w:pPr>
      <w:rPr>
        <w:rFonts w:hint="default"/>
        <w:lang w:val="uk-UA" w:eastAsia="en-US" w:bidi="ar-SA"/>
      </w:rPr>
    </w:lvl>
    <w:lvl w:ilvl="2" w:tplc="064CFB3A">
      <w:numFmt w:val="bullet"/>
      <w:lvlText w:val="•"/>
      <w:lvlJc w:val="left"/>
      <w:pPr>
        <w:ind w:left="1328" w:hanging="132"/>
      </w:pPr>
      <w:rPr>
        <w:rFonts w:hint="default"/>
        <w:lang w:val="uk-UA" w:eastAsia="en-US" w:bidi="ar-SA"/>
      </w:rPr>
    </w:lvl>
    <w:lvl w:ilvl="3" w:tplc="AD1811A8">
      <w:numFmt w:val="bullet"/>
      <w:lvlText w:val="•"/>
      <w:lvlJc w:val="left"/>
      <w:pPr>
        <w:ind w:left="1832" w:hanging="132"/>
      </w:pPr>
      <w:rPr>
        <w:rFonts w:hint="default"/>
        <w:lang w:val="uk-UA" w:eastAsia="en-US" w:bidi="ar-SA"/>
      </w:rPr>
    </w:lvl>
    <w:lvl w:ilvl="4" w:tplc="E03E53DC">
      <w:numFmt w:val="bullet"/>
      <w:lvlText w:val="•"/>
      <w:lvlJc w:val="left"/>
      <w:pPr>
        <w:ind w:left="2336" w:hanging="132"/>
      </w:pPr>
      <w:rPr>
        <w:rFonts w:hint="default"/>
        <w:lang w:val="uk-UA" w:eastAsia="en-US" w:bidi="ar-SA"/>
      </w:rPr>
    </w:lvl>
    <w:lvl w:ilvl="5" w:tplc="A4C6BA2A">
      <w:numFmt w:val="bullet"/>
      <w:lvlText w:val="•"/>
      <w:lvlJc w:val="left"/>
      <w:pPr>
        <w:ind w:left="2840" w:hanging="132"/>
      </w:pPr>
      <w:rPr>
        <w:rFonts w:hint="default"/>
        <w:lang w:val="uk-UA" w:eastAsia="en-US" w:bidi="ar-SA"/>
      </w:rPr>
    </w:lvl>
    <w:lvl w:ilvl="6" w:tplc="69461D92">
      <w:numFmt w:val="bullet"/>
      <w:lvlText w:val="•"/>
      <w:lvlJc w:val="left"/>
      <w:pPr>
        <w:ind w:left="3344" w:hanging="132"/>
      </w:pPr>
      <w:rPr>
        <w:rFonts w:hint="default"/>
        <w:lang w:val="uk-UA" w:eastAsia="en-US" w:bidi="ar-SA"/>
      </w:rPr>
    </w:lvl>
    <w:lvl w:ilvl="7" w:tplc="EFDC79C2">
      <w:numFmt w:val="bullet"/>
      <w:lvlText w:val="•"/>
      <w:lvlJc w:val="left"/>
      <w:pPr>
        <w:ind w:left="3848" w:hanging="132"/>
      </w:pPr>
      <w:rPr>
        <w:rFonts w:hint="default"/>
        <w:lang w:val="uk-UA" w:eastAsia="en-US" w:bidi="ar-SA"/>
      </w:rPr>
    </w:lvl>
    <w:lvl w:ilvl="8" w:tplc="A46C3DDC">
      <w:numFmt w:val="bullet"/>
      <w:lvlText w:val="•"/>
      <w:lvlJc w:val="left"/>
      <w:pPr>
        <w:ind w:left="4352" w:hanging="132"/>
      </w:pPr>
      <w:rPr>
        <w:rFonts w:hint="default"/>
        <w:lang w:val="uk-UA" w:eastAsia="en-US" w:bidi="ar-SA"/>
      </w:rPr>
    </w:lvl>
  </w:abstractNum>
  <w:abstractNum w:abstractNumId="116" w15:restartNumberingAfterBreak="0">
    <w:nsid w:val="3D2B5CBF"/>
    <w:multiLevelType w:val="hybridMultilevel"/>
    <w:tmpl w:val="8A869A6A"/>
    <w:lvl w:ilvl="0" w:tplc="4E4AE07A">
      <w:start w:val="1"/>
      <w:numFmt w:val="decimal"/>
      <w:lvlText w:val="%1."/>
      <w:lvlJc w:val="left"/>
      <w:pPr>
        <w:ind w:left="800" w:hanging="360"/>
      </w:pPr>
      <w:rPr>
        <w:rFonts w:ascii="Times New Roman" w:eastAsia="Times New Roman" w:hAnsi="Times New Roman" w:cs="Times New Roman" w:hint="default"/>
        <w:spacing w:val="0"/>
        <w:w w:val="99"/>
        <w:sz w:val="20"/>
        <w:szCs w:val="20"/>
        <w:lang w:val="uk-UA" w:eastAsia="en-US" w:bidi="ar-SA"/>
      </w:rPr>
    </w:lvl>
    <w:lvl w:ilvl="1" w:tplc="690C8262">
      <w:numFmt w:val="bullet"/>
      <w:lvlText w:val="•"/>
      <w:lvlJc w:val="left"/>
      <w:pPr>
        <w:ind w:left="1232" w:hanging="360"/>
      </w:pPr>
      <w:rPr>
        <w:rFonts w:hint="default"/>
        <w:lang w:val="uk-UA" w:eastAsia="en-US" w:bidi="ar-SA"/>
      </w:rPr>
    </w:lvl>
    <w:lvl w:ilvl="2" w:tplc="768EAA5C">
      <w:numFmt w:val="bullet"/>
      <w:lvlText w:val="•"/>
      <w:lvlJc w:val="left"/>
      <w:pPr>
        <w:ind w:left="1665" w:hanging="360"/>
      </w:pPr>
      <w:rPr>
        <w:rFonts w:hint="default"/>
        <w:lang w:val="uk-UA" w:eastAsia="en-US" w:bidi="ar-SA"/>
      </w:rPr>
    </w:lvl>
    <w:lvl w:ilvl="3" w:tplc="143C897E">
      <w:numFmt w:val="bullet"/>
      <w:lvlText w:val="•"/>
      <w:lvlJc w:val="left"/>
      <w:pPr>
        <w:ind w:left="2097" w:hanging="360"/>
      </w:pPr>
      <w:rPr>
        <w:rFonts w:hint="default"/>
        <w:lang w:val="uk-UA" w:eastAsia="en-US" w:bidi="ar-SA"/>
      </w:rPr>
    </w:lvl>
    <w:lvl w:ilvl="4" w:tplc="2806EF86">
      <w:numFmt w:val="bullet"/>
      <w:lvlText w:val="•"/>
      <w:lvlJc w:val="left"/>
      <w:pPr>
        <w:ind w:left="2530" w:hanging="360"/>
      </w:pPr>
      <w:rPr>
        <w:rFonts w:hint="default"/>
        <w:lang w:val="uk-UA" w:eastAsia="en-US" w:bidi="ar-SA"/>
      </w:rPr>
    </w:lvl>
    <w:lvl w:ilvl="5" w:tplc="798C84E6">
      <w:numFmt w:val="bullet"/>
      <w:lvlText w:val="•"/>
      <w:lvlJc w:val="left"/>
      <w:pPr>
        <w:ind w:left="2963" w:hanging="360"/>
      </w:pPr>
      <w:rPr>
        <w:rFonts w:hint="default"/>
        <w:lang w:val="uk-UA" w:eastAsia="en-US" w:bidi="ar-SA"/>
      </w:rPr>
    </w:lvl>
    <w:lvl w:ilvl="6" w:tplc="063ED932">
      <w:numFmt w:val="bullet"/>
      <w:lvlText w:val="•"/>
      <w:lvlJc w:val="left"/>
      <w:pPr>
        <w:ind w:left="3395" w:hanging="360"/>
      </w:pPr>
      <w:rPr>
        <w:rFonts w:hint="default"/>
        <w:lang w:val="uk-UA" w:eastAsia="en-US" w:bidi="ar-SA"/>
      </w:rPr>
    </w:lvl>
    <w:lvl w:ilvl="7" w:tplc="03482444">
      <w:numFmt w:val="bullet"/>
      <w:lvlText w:val="•"/>
      <w:lvlJc w:val="left"/>
      <w:pPr>
        <w:ind w:left="3828" w:hanging="360"/>
      </w:pPr>
      <w:rPr>
        <w:rFonts w:hint="default"/>
        <w:lang w:val="uk-UA" w:eastAsia="en-US" w:bidi="ar-SA"/>
      </w:rPr>
    </w:lvl>
    <w:lvl w:ilvl="8" w:tplc="AFC6CC68">
      <w:numFmt w:val="bullet"/>
      <w:lvlText w:val="•"/>
      <w:lvlJc w:val="left"/>
      <w:pPr>
        <w:ind w:left="4260" w:hanging="360"/>
      </w:pPr>
      <w:rPr>
        <w:rFonts w:hint="default"/>
        <w:lang w:val="uk-UA" w:eastAsia="en-US" w:bidi="ar-SA"/>
      </w:rPr>
    </w:lvl>
  </w:abstractNum>
  <w:abstractNum w:abstractNumId="117" w15:restartNumberingAfterBreak="0">
    <w:nsid w:val="3DF10312"/>
    <w:multiLevelType w:val="hybridMultilevel"/>
    <w:tmpl w:val="EC78567E"/>
    <w:lvl w:ilvl="0" w:tplc="9D90308E">
      <w:numFmt w:val="bullet"/>
      <w:lvlText w:val="-"/>
      <w:lvlJc w:val="left"/>
      <w:pPr>
        <w:ind w:left="800" w:hanging="360"/>
      </w:pPr>
      <w:rPr>
        <w:rFonts w:ascii="Times New Roman" w:eastAsia="Times New Roman" w:hAnsi="Times New Roman" w:cs="Times New Roman" w:hint="default"/>
        <w:w w:val="99"/>
        <w:sz w:val="20"/>
        <w:szCs w:val="20"/>
        <w:lang w:val="uk-UA" w:eastAsia="en-US" w:bidi="ar-SA"/>
      </w:rPr>
    </w:lvl>
    <w:lvl w:ilvl="1" w:tplc="3D0E95D0">
      <w:numFmt w:val="bullet"/>
      <w:lvlText w:val="•"/>
      <w:lvlJc w:val="left"/>
      <w:pPr>
        <w:ind w:left="1232" w:hanging="360"/>
      </w:pPr>
      <w:rPr>
        <w:rFonts w:hint="default"/>
        <w:lang w:val="uk-UA" w:eastAsia="en-US" w:bidi="ar-SA"/>
      </w:rPr>
    </w:lvl>
    <w:lvl w:ilvl="2" w:tplc="FA541730">
      <w:numFmt w:val="bullet"/>
      <w:lvlText w:val="•"/>
      <w:lvlJc w:val="left"/>
      <w:pPr>
        <w:ind w:left="1664" w:hanging="360"/>
      </w:pPr>
      <w:rPr>
        <w:rFonts w:hint="default"/>
        <w:lang w:val="uk-UA" w:eastAsia="en-US" w:bidi="ar-SA"/>
      </w:rPr>
    </w:lvl>
    <w:lvl w:ilvl="3" w:tplc="EF0C57F0">
      <w:numFmt w:val="bullet"/>
      <w:lvlText w:val="•"/>
      <w:lvlJc w:val="left"/>
      <w:pPr>
        <w:ind w:left="2097" w:hanging="360"/>
      </w:pPr>
      <w:rPr>
        <w:rFonts w:hint="default"/>
        <w:lang w:val="uk-UA" w:eastAsia="en-US" w:bidi="ar-SA"/>
      </w:rPr>
    </w:lvl>
    <w:lvl w:ilvl="4" w:tplc="22FEE198">
      <w:numFmt w:val="bullet"/>
      <w:lvlText w:val="•"/>
      <w:lvlJc w:val="left"/>
      <w:pPr>
        <w:ind w:left="2529" w:hanging="360"/>
      </w:pPr>
      <w:rPr>
        <w:rFonts w:hint="default"/>
        <w:lang w:val="uk-UA" w:eastAsia="en-US" w:bidi="ar-SA"/>
      </w:rPr>
    </w:lvl>
    <w:lvl w:ilvl="5" w:tplc="212016FE">
      <w:numFmt w:val="bullet"/>
      <w:lvlText w:val="•"/>
      <w:lvlJc w:val="left"/>
      <w:pPr>
        <w:ind w:left="2962" w:hanging="360"/>
      </w:pPr>
      <w:rPr>
        <w:rFonts w:hint="default"/>
        <w:lang w:val="uk-UA" w:eastAsia="en-US" w:bidi="ar-SA"/>
      </w:rPr>
    </w:lvl>
    <w:lvl w:ilvl="6" w:tplc="6680CB1A">
      <w:numFmt w:val="bullet"/>
      <w:lvlText w:val="•"/>
      <w:lvlJc w:val="left"/>
      <w:pPr>
        <w:ind w:left="3394" w:hanging="360"/>
      </w:pPr>
      <w:rPr>
        <w:rFonts w:hint="default"/>
        <w:lang w:val="uk-UA" w:eastAsia="en-US" w:bidi="ar-SA"/>
      </w:rPr>
    </w:lvl>
    <w:lvl w:ilvl="7" w:tplc="4210F2AC">
      <w:numFmt w:val="bullet"/>
      <w:lvlText w:val="•"/>
      <w:lvlJc w:val="left"/>
      <w:pPr>
        <w:ind w:left="3827" w:hanging="360"/>
      </w:pPr>
      <w:rPr>
        <w:rFonts w:hint="default"/>
        <w:lang w:val="uk-UA" w:eastAsia="en-US" w:bidi="ar-SA"/>
      </w:rPr>
    </w:lvl>
    <w:lvl w:ilvl="8" w:tplc="6A04847A">
      <w:numFmt w:val="bullet"/>
      <w:lvlText w:val="•"/>
      <w:lvlJc w:val="left"/>
      <w:pPr>
        <w:ind w:left="4259" w:hanging="360"/>
      </w:pPr>
      <w:rPr>
        <w:rFonts w:hint="default"/>
        <w:lang w:val="uk-UA" w:eastAsia="en-US" w:bidi="ar-SA"/>
      </w:rPr>
    </w:lvl>
  </w:abstractNum>
  <w:abstractNum w:abstractNumId="118" w15:restartNumberingAfterBreak="0">
    <w:nsid w:val="3E4B7884"/>
    <w:multiLevelType w:val="hybridMultilevel"/>
    <w:tmpl w:val="6B1A3EAC"/>
    <w:lvl w:ilvl="0" w:tplc="E45ACFE4">
      <w:start w:val="1"/>
      <w:numFmt w:val="decimal"/>
      <w:lvlText w:val="%1."/>
      <w:lvlJc w:val="left"/>
      <w:pPr>
        <w:ind w:left="677" w:hanging="360"/>
      </w:pPr>
      <w:rPr>
        <w:rFonts w:ascii="Times New Roman" w:eastAsia="Times New Roman" w:hAnsi="Times New Roman" w:cs="Times New Roman" w:hint="default"/>
        <w:spacing w:val="0"/>
        <w:w w:val="99"/>
        <w:sz w:val="20"/>
        <w:szCs w:val="20"/>
        <w:lang w:val="uk-UA" w:eastAsia="en-US" w:bidi="ar-SA"/>
      </w:rPr>
    </w:lvl>
    <w:lvl w:ilvl="1" w:tplc="D8F6E10C">
      <w:start w:val="1"/>
      <w:numFmt w:val="decimal"/>
      <w:lvlText w:val="%2."/>
      <w:lvlJc w:val="left"/>
      <w:pPr>
        <w:ind w:left="800" w:hanging="360"/>
      </w:pPr>
      <w:rPr>
        <w:rFonts w:ascii="Times New Roman" w:eastAsia="Times New Roman" w:hAnsi="Times New Roman" w:cs="Times New Roman"/>
        <w:spacing w:val="0"/>
        <w:w w:val="99"/>
        <w:sz w:val="20"/>
        <w:szCs w:val="20"/>
        <w:lang w:val="uk-UA" w:eastAsia="en-US" w:bidi="ar-SA"/>
      </w:rPr>
    </w:lvl>
    <w:lvl w:ilvl="2" w:tplc="350ED138">
      <w:numFmt w:val="bullet"/>
      <w:lvlText w:val="•"/>
      <w:lvlJc w:val="left"/>
      <w:pPr>
        <w:ind w:left="733" w:hanging="360"/>
      </w:pPr>
      <w:rPr>
        <w:rFonts w:hint="default"/>
        <w:lang w:val="uk-UA" w:eastAsia="en-US" w:bidi="ar-SA"/>
      </w:rPr>
    </w:lvl>
    <w:lvl w:ilvl="3" w:tplc="ECC4D95C">
      <w:numFmt w:val="bullet"/>
      <w:lvlText w:val="•"/>
      <w:lvlJc w:val="left"/>
      <w:pPr>
        <w:ind w:left="666" w:hanging="360"/>
      </w:pPr>
      <w:rPr>
        <w:rFonts w:hint="default"/>
        <w:lang w:val="uk-UA" w:eastAsia="en-US" w:bidi="ar-SA"/>
      </w:rPr>
    </w:lvl>
    <w:lvl w:ilvl="4" w:tplc="1730D7FE">
      <w:numFmt w:val="bullet"/>
      <w:lvlText w:val="•"/>
      <w:lvlJc w:val="left"/>
      <w:pPr>
        <w:ind w:left="600" w:hanging="360"/>
      </w:pPr>
      <w:rPr>
        <w:rFonts w:hint="default"/>
        <w:lang w:val="uk-UA" w:eastAsia="en-US" w:bidi="ar-SA"/>
      </w:rPr>
    </w:lvl>
    <w:lvl w:ilvl="5" w:tplc="E4BED58C">
      <w:numFmt w:val="bullet"/>
      <w:lvlText w:val="•"/>
      <w:lvlJc w:val="left"/>
      <w:pPr>
        <w:ind w:left="533" w:hanging="360"/>
      </w:pPr>
      <w:rPr>
        <w:rFonts w:hint="default"/>
        <w:lang w:val="uk-UA" w:eastAsia="en-US" w:bidi="ar-SA"/>
      </w:rPr>
    </w:lvl>
    <w:lvl w:ilvl="6" w:tplc="19FAFF80">
      <w:numFmt w:val="bullet"/>
      <w:lvlText w:val="•"/>
      <w:lvlJc w:val="left"/>
      <w:pPr>
        <w:ind w:left="466" w:hanging="360"/>
      </w:pPr>
      <w:rPr>
        <w:rFonts w:hint="default"/>
        <w:lang w:val="uk-UA" w:eastAsia="en-US" w:bidi="ar-SA"/>
      </w:rPr>
    </w:lvl>
    <w:lvl w:ilvl="7" w:tplc="862246F8">
      <w:numFmt w:val="bullet"/>
      <w:lvlText w:val="•"/>
      <w:lvlJc w:val="left"/>
      <w:pPr>
        <w:ind w:left="400" w:hanging="360"/>
      </w:pPr>
      <w:rPr>
        <w:rFonts w:hint="default"/>
        <w:lang w:val="uk-UA" w:eastAsia="en-US" w:bidi="ar-SA"/>
      </w:rPr>
    </w:lvl>
    <w:lvl w:ilvl="8" w:tplc="0ECAC0C4">
      <w:numFmt w:val="bullet"/>
      <w:lvlText w:val="•"/>
      <w:lvlJc w:val="left"/>
      <w:pPr>
        <w:ind w:left="333" w:hanging="360"/>
      </w:pPr>
      <w:rPr>
        <w:rFonts w:hint="default"/>
        <w:lang w:val="uk-UA" w:eastAsia="en-US" w:bidi="ar-SA"/>
      </w:rPr>
    </w:lvl>
  </w:abstractNum>
  <w:abstractNum w:abstractNumId="119" w15:restartNumberingAfterBreak="0">
    <w:nsid w:val="3EA90DA0"/>
    <w:multiLevelType w:val="hybridMultilevel"/>
    <w:tmpl w:val="72CC9690"/>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120" w15:restartNumberingAfterBreak="0">
    <w:nsid w:val="3EC830E0"/>
    <w:multiLevelType w:val="hybridMultilevel"/>
    <w:tmpl w:val="9E1AD48A"/>
    <w:lvl w:ilvl="0" w:tplc="62B661BC">
      <w:start w:val="4"/>
      <w:numFmt w:val="lowerLetter"/>
      <w:lvlText w:val="%1)"/>
      <w:lvlJc w:val="left"/>
      <w:pPr>
        <w:ind w:left="440" w:hanging="271"/>
      </w:pPr>
      <w:rPr>
        <w:rFonts w:ascii="Times New Roman" w:eastAsia="Times New Roman" w:hAnsi="Times New Roman" w:cs="Times New Roman" w:hint="default"/>
        <w:spacing w:val="0"/>
        <w:w w:val="99"/>
        <w:sz w:val="20"/>
        <w:szCs w:val="20"/>
        <w:lang w:val="uk-UA" w:eastAsia="en-US" w:bidi="ar-SA"/>
      </w:rPr>
    </w:lvl>
    <w:lvl w:ilvl="1" w:tplc="EAFEC08C">
      <w:start w:val="1"/>
      <w:numFmt w:val="decimal"/>
      <w:lvlText w:val="%2)"/>
      <w:lvlJc w:val="left"/>
      <w:pPr>
        <w:ind w:left="506" w:hanging="223"/>
        <w:jc w:val="right"/>
      </w:pPr>
      <w:rPr>
        <w:rFonts w:ascii="Times New Roman" w:eastAsia="Times New Roman" w:hAnsi="Times New Roman" w:cs="Times New Roman" w:hint="default"/>
        <w:spacing w:val="0"/>
        <w:w w:val="99"/>
        <w:sz w:val="20"/>
        <w:szCs w:val="20"/>
        <w:lang w:val="uk-UA" w:eastAsia="en-US" w:bidi="ar-SA"/>
      </w:rPr>
    </w:lvl>
    <w:lvl w:ilvl="2" w:tplc="5E92779C">
      <w:numFmt w:val="bullet"/>
      <w:lvlText w:val="•"/>
      <w:lvlJc w:val="left"/>
      <w:pPr>
        <w:ind w:left="1377" w:hanging="223"/>
      </w:pPr>
      <w:rPr>
        <w:rFonts w:hint="default"/>
        <w:lang w:val="uk-UA" w:eastAsia="en-US" w:bidi="ar-SA"/>
      </w:rPr>
    </w:lvl>
    <w:lvl w:ilvl="3" w:tplc="FE8287BE">
      <w:numFmt w:val="bullet"/>
      <w:lvlText w:val="•"/>
      <w:lvlJc w:val="left"/>
      <w:pPr>
        <w:ind w:left="1845" w:hanging="223"/>
      </w:pPr>
      <w:rPr>
        <w:rFonts w:hint="default"/>
        <w:lang w:val="uk-UA" w:eastAsia="en-US" w:bidi="ar-SA"/>
      </w:rPr>
    </w:lvl>
    <w:lvl w:ilvl="4" w:tplc="0BD403D2">
      <w:numFmt w:val="bullet"/>
      <w:lvlText w:val="•"/>
      <w:lvlJc w:val="left"/>
      <w:pPr>
        <w:ind w:left="2314" w:hanging="223"/>
      </w:pPr>
      <w:rPr>
        <w:rFonts w:hint="default"/>
        <w:lang w:val="uk-UA" w:eastAsia="en-US" w:bidi="ar-SA"/>
      </w:rPr>
    </w:lvl>
    <w:lvl w:ilvl="5" w:tplc="E6CCB9F2">
      <w:numFmt w:val="bullet"/>
      <w:lvlText w:val="•"/>
      <w:lvlJc w:val="left"/>
      <w:pPr>
        <w:ind w:left="2783" w:hanging="223"/>
      </w:pPr>
      <w:rPr>
        <w:rFonts w:hint="default"/>
        <w:lang w:val="uk-UA" w:eastAsia="en-US" w:bidi="ar-SA"/>
      </w:rPr>
    </w:lvl>
    <w:lvl w:ilvl="6" w:tplc="0FEE6DC6">
      <w:numFmt w:val="bullet"/>
      <w:lvlText w:val="•"/>
      <w:lvlJc w:val="left"/>
      <w:pPr>
        <w:ind w:left="3251" w:hanging="223"/>
      </w:pPr>
      <w:rPr>
        <w:rFonts w:hint="default"/>
        <w:lang w:val="uk-UA" w:eastAsia="en-US" w:bidi="ar-SA"/>
      </w:rPr>
    </w:lvl>
    <w:lvl w:ilvl="7" w:tplc="A552C324">
      <w:numFmt w:val="bullet"/>
      <w:lvlText w:val="•"/>
      <w:lvlJc w:val="left"/>
      <w:pPr>
        <w:ind w:left="3720" w:hanging="223"/>
      </w:pPr>
      <w:rPr>
        <w:rFonts w:hint="default"/>
        <w:lang w:val="uk-UA" w:eastAsia="en-US" w:bidi="ar-SA"/>
      </w:rPr>
    </w:lvl>
    <w:lvl w:ilvl="8" w:tplc="CE3A1482">
      <w:numFmt w:val="bullet"/>
      <w:lvlText w:val="•"/>
      <w:lvlJc w:val="left"/>
      <w:pPr>
        <w:ind w:left="4188" w:hanging="223"/>
      </w:pPr>
      <w:rPr>
        <w:rFonts w:hint="default"/>
        <w:lang w:val="uk-UA" w:eastAsia="en-US" w:bidi="ar-SA"/>
      </w:rPr>
    </w:lvl>
  </w:abstractNum>
  <w:abstractNum w:abstractNumId="121" w15:restartNumberingAfterBreak="0">
    <w:nsid w:val="3EF86390"/>
    <w:multiLevelType w:val="hybridMultilevel"/>
    <w:tmpl w:val="08168486"/>
    <w:lvl w:ilvl="0" w:tplc="849605D0">
      <w:start w:val="3"/>
      <w:numFmt w:val="bullet"/>
      <w:lvlText w:val="-"/>
      <w:lvlJc w:val="left"/>
      <w:pPr>
        <w:ind w:left="720" w:hanging="360"/>
      </w:pPr>
      <w:rPr>
        <w:rFonts w:ascii="Calibri Light" w:eastAsia="Tahoma" w:hAnsi="Calibri Light" w:cs="Calibri Light"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2" w15:restartNumberingAfterBreak="0">
    <w:nsid w:val="3F3468B2"/>
    <w:multiLevelType w:val="hybridMultilevel"/>
    <w:tmpl w:val="794E263E"/>
    <w:lvl w:ilvl="0" w:tplc="84B45C5A">
      <w:start w:val="1"/>
      <w:numFmt w:val="decimal"/>
      <w:lvlText w:val="%1."/>
      <w:lvlJc w:val="left"/>
      <w:pPr>
        <w:ind w:left="675" w:hanging="360"/>
      </w:pPr>
      <w:rPr>
        <w:rFonts w:ascii="Times New Roman" w:eastAsia="Times New Roman" w:hAnsi="Times New Roman" w:cs="Times New Roman" w:hint="default"/>
        <w:spacing w:val="0"/>
        <w:w w:val="99"/>
        <w:sz w:val="20"/>
        <w:szCs w:val="20"/>
        <w:lang w:val="uk-UA" w:eastAsia="en-US" w:bidi="ar-SA"/>
      </w:rPr>
    </w:lvl>
    <w:lvl w:ilvl="1" w:tplc="3B1E584E">
      <w:numFmt w:val="bullet"/>
      <w:lvlText w:val="•"/>
      <w:lvlJc w:val="left"/>
      <w:pPr>
        <w:ind w:left="1148" w:hanging="360"/>
      </w:pPr>
      <w:rPr>
        <w:rFonts w:hint="default"/>
        <w:lang w:val="uk-UA" w:eastAsia="en-US" w:bidi="ar-SA"/>
      </w:rPr>
    </w:lvl>
    <w:lvl w:ilvl="2" w:tplc="1DF82DDA">
      <w:numFmt w:val="bullet"/>
      <w:lvlText w:val="•"/>
      <w:lvlJc w:val="left"/>
      <w:pPr>
        <w:ind w:left="1616" w:hanging="360"/>
      </w:pPr>
      <w:rPr>
        <w:rFonts w:hint="default"/>
        <w:lang w:val="uk-UA" w:eastAsia="en-US" w:bidi="ar-SA"/>
      </w:rPr>
    </w:lvl>
    <w:lvl w:ilvl="3" w:tplc="927AB518">
      <w:numFmt w:val="bullet"/>
      <w:lvlText w:val="•"/>
      <w:lvlJc w:val="left"/>
      <w:pPr>
        <w:ind w:left="2084" w:hanging="360"/>
      </w:pPr>
      <w:rPr>
        <w:rFonts w:hint="default"/>
        <w:lang w:val="uk-UA" w:eastAsia="en-US" w:bidi="ar-SA"/>
      </w:rPr>
    </w:lvl>
    <w:lvl w:ilvl="4" w:tplc="D6AE7C80">
      <w:numFmt w:val="bullet"/>
      <w:lvlText w:val="•"/>
      <w:lvlJc w:val="left"/>
      <w:pPr>
        <w:ind w:left="2552" w:hanging="360"/>
      </w:pPr>
      <w:rPr>
        <w:rFonts w:hint="default"/>
        <w:lang w:val="uk-UA" w:eastAsia="en-US" w:bidi="ar-SA"/>
      </w:rPr>
    </w:lvl>
    <w:lvl w:ilvl="5" w:tplc="9CA4D12C">
      <w:numFmt w:val="bullet"/>
      <w:lvlText w:val="•"/>
      <w:lvlJc w:val="left"/>
      <w:pPr>
        <w:ind w:left="3020" w:hanging="360"/>
      </w:pPr>
      <w:rPr>
        <w:rFonts w:hint="default"/>
        <w:lang w:val="uk-UA" w:eastAsia="en-US" w:bidi="ar-SA"/>
      </w:rPr>
    </w:lvl>
    <w:lvl w:ilvl="6" w:tplc="10F00AC0">
      <w:numFmt w:val="bullet"/>
      <w:lvlText w:val="•"/>
      <w:lvlJc w:val="left"/>
      <w:pPr>
        <w:ind w:left="3488" w:hanging="360"/>
      </w:pPr>
      <w:rPr>
        <w:rFonts w:hint="default"/>
        <w:lang w:val="uk-UA" w:eastAsia="en-US" w:bidi="ar-SA"/>
      </w:rPr>
    </w:lvl>
    <w:lvl w:ilvl="7" w:tplc="A55404F0">
      <w:numFmt w:val="bullet"/>
      <w:lvlText w:val="•"/>
      <w:lvlJc w:val="left"/>
      <w:pPr>
        <w:ind w:left="3956" w:hanging="360"/>
      </w:pPr>
      <w:rPr>
        <w:rFonts w:hint="default"/>
        <w:lang w:val="uk-UA" w:eastAsia="en-US" w:bidi="ar-SA"/>
      </w:rPr>
    </w:lvl>
    <w:lvl w:ilvl="8" w:tplc="D95C16E6">
      <w:numFmt w:val="bullet"/>
      <w:lvlText w:val="•"/>
      <w:lvlJc w:val="left"/>
      <w:pPr>
        <w:ind w:left="4424" w:hanging="360"/>
      </w:pPr>
      <w:rPr>
        <w:rFonts w:hint="default"/>
        <w:lang w:val="uk-UA" w:eastAsia="en-US" w:bidi="ar-SA"/>
      </w:rPr>
    </w:lvl>
  </w:abstractNum>
  <w:abstractNum w:abstractNumId="123" w15:restartNumberingAfterBreak="0">
    <w:nsid w:val="3F707ED5"/>
    <w:multiLevelType w:val="hybridMultilevel"/>
    <w:tmpl w:val="0DCEEFA2"/>
    <w:lvl w:ilvl="0" w:tplc="DA7C8598">
      <w:start w:val="1"/>
      <w:numFmt w:val="decimal"/>
      <w:lvlText w:val="%1."/>
      <w:lvlJc w:val="left"/>
      <w:pPr>
        <w:ind w:left="800" w:hanging="360"/>
      </w:pPr>
      <w:rPr>
        <w:rFonts w:ascii="Times New Roman" w:eastAsia="Times New Roman" w:hAnsi="Times New Roman" w:cs="Times New Roman" w:hint="default"/>
        <w:spacing w:val="0"/>
        <w:w w:val="99"/>
        <w:sz w:val="20"/>
        <w:szCs w:val="20"/>
        <w:lang w:val="uk-UA" w:eastAsia="en-US" w:bidi="ar-SA"/>
      </w:rPr>
    </w:lvl>
    <w:lvl w:ilvl="1" w:tplc="B396F706">
      <w:numFmt w:val="bullet"/>
      <w:lvlText w:val="•"/>
      <w:lvlJc w:val="left"/>
      <w:pPr>
        <w:ind w:left="1232" w:hanging="360"/>
      </w:pPr>
      <w:rPr>
        <w:rFonts w:hint="default"/>
        <w:lang w:val="uk-UA" w:eastAsia="en-US" w:bidi="ar-SA"/>
      </w:rPr>
    </w:lvl>
    <w:lvl w:ilvl="2" w:tplc="3DAA2B9C">
      <w:numFmt w:val="bullet"/>
      <w:lvlText w:val="•"/>
      <w:lvlJc w:val="left"/>
      <w:pPr>
        <w:ind w:left="1665" w:hanging="360"/>
      </w:pPr>
      <w:rPr>
        <w:rFonts w:hint="default"/>
        <w:lang w:val="uk-UA" w:eastAsia="en-US" w:bidi="ar-SA"/>
      </w:rPr>
    </w:lvl>
    <w:lvl w:ilvl="3" w:tplc="75ACD856">
      <w:numFmt w:val="bullet"/>
      <w:lvlText w:val="•"/>
      <w:lvlJc w:val="left"/>
      <w:pPr>
        <w:ind w:left="2097" w:hanging="360"/>
      </w:pPr>
      <w:rPr>
        <w:rFonts w:hint="default"/>
        <w:lang w:val="uk-UA" w:eastAsia="en-US" w:bidi="ar-SA"/>
      </w:rPr>
    </w:lvl>
    <w:lvl w:ilvl="4" w:tplc="E06885D8">
      <w:numFmt w:val="bullet"/>
      <w:lvlText w:val="•"/>
      <w:lvlJc w:val="left"/>
      <w:pPr>
        <w:ind w:left="2530" w:hanging="360"/>
      </w:pPr>
      <w:rPr>
        <w:rFonts w:hint="default"/>
        <w:lang w:val="uk-UA" w:eastAsia="en-US" w:bidi="ar-SA"/>
      </w:rPr>
    </w:lvl>
    <w:lvl w:ilvl="5" w:tplc="16D42C70">
      <w:numFmt w:val="bullet"/>
      <w:lvlText w:val="•"/>
      <w:lvlJc w:val="left"/>
      <w:pPr>
        <w:ind w:left="2962" w:hanging="360"/>
      </w:pPr>
      <w:rPr>
        <w:rFonts w:hint="default"/>
        <w:lang w:val="uk-UA" w:eastAsia="en-US" w:bidi="ar-SA"/>
      </w:rPr>
    </w:lvl>
    <w:lvl w:ilvl="6" w:tplc="25965834">
      <w:numFmt w:val="bullet"/>
      <w:lvlText w:val="•"/>
      <w:lvlJc w:val="left"/>
      <w:pPr>
        <w:ind w:left="3395" w:hanging="360"/>
      </w:pPr>
      <w:rPr>
        <w:rFonts w:hint="default"/>
        <w:lang w:val="uk-UA" w:eastAsia="en-US" w:bidi="ar-SA"/>
      </w:rPr>
    </w:lvl>
    <w:lvl w:ilvl="7" w:tplc="297A9858">
      <w:numFmt w:val="bullet"/>
      <w:lvlText w:val="•"/>
      <w:lvlJc w:val="left"/>
      <w:pPr>
        <w:ind w:left="3827" w:hanging="360"/>
      </w:pPr>
      <w:rPr>
        <w:rFonts w:hint="default"/>
        <w:lang w:val="uk-UA" w:eastAsia="en-US" w:bidi="ar-SA"/>
      </w:rPr>
    </w:lvl>
    <w:lvl w:ilvl="8" w:tplc="E2C09FFA">
      <w:numFmt w:val="bullet"/>
      <w:lvlText w:val="•"/>
      <w:lvlJc w:val="left"/>
      <w:pPr>
        <w:ind w:left="4260" w:hanging="360"/>
      </w:pPr>
      <w:rPr>
        <w:rFonts w:hint="default"/>
        <w:lang w:val="uk-UA" w:eastAsia="en-US" w:bidi="ar-SA"/>
      </w:rPr>
    </w:lvl>
  </w:abstractNum>
  <w:abstractNum w:abstractNumId="124" w15:restartNumberingAfterBreak="0">
    <w:nsid w:val="404E4210"/>
    <w:multiLevelType w:val="hybridMultilevel"/>
    <w:tmpl w:val="5A8AFCEA"/>
    <w:lvl w:ilvl="0" w:tplc="4126C87C">
      <w:start w:val="2"/>
      <w:numFmt w:val="lowerLetter"/>
      <w:lvlText w:val="%1)"/>
      <w:lvlJc w:val="left"/>
      <w:pPr>
        <w:ind w:left="440" w:hanging="218"/>
      </w:pPr>
      <w:rPr>
        <w:rFonts w:ascii="Times New Roman" w:eastAsia="Times New Roman" w:hAnsi="Times New Roman" w:cs="Times New Roman" w:hint="default"/>
        <w:spacing w:val="0"/>
        <w:w w:val="99"/>
        <w:sz w:val="20"/>
        <w:szCs w:val="20"/>
        <w:lang w:val="uk-UA" w:eastAsia="en-US" w:bidi="ar-SA"/>
      </w:rPr>
    </w:lvl>
    <w:lvl w:ilvl="1" w:tplc="EBE8A8EC">
      <w:numFmt w:val="bullet"/>
      <w:lvlText w:val="-"/>
      <w:lvlJc w:val="left"/>
      <w:pPr>
        <w:ind w:left="1160" w:hanging="348"/>
      </w:pPr>
      <w:rPr>
        <w:rFonts w:ascii="Times New Roman" w:eastAsia="Times New Roman" w:hAnsi="Times New Roman" w:cs="Times New Roman" w:hint="default"/>
        <w:w w:val="99"/>
        <w:sz w:val="20"/>
        <w:szCs w:val="20"/>
        <w:lang w:val="uk-UA" w:eastAsia="en-US" w:bidi="ar-SA"/>
      </w:rPr>
    </w:lvl>
    <w:lvl w:ilvl="2" w:tplc="D48486C0">
      <w:numFmt w:val="bullet"/>
      <w:lvlText w:val="•"/>
      <w:lvlJc w:val="left"/>
      <w:pPr>
        <w:ind w:left="1605" w:hanging="348"/>
      </w:pPr>
      <w:rPr>
        <w:rFonts w:hint="default"/>
        <w:lang w:val="uk-UA" w:eastAsia="en-US" w:bidi="ar-SA"/>
      </w:rPr>
    </w:lvl>
    <w:lvl w:ilvl="3" w:tplc="E5D2346A">
      <w:numFmt w:val="bullet"/>
      <w:lvlText w:val="•"/>
      <w:lvlJc w:val="left"/>
      <w:pPr>
        <w:ind w:left="2049" w:hanging="348"/>
      </w:pPr>
      <w:rPr>
        <w:rFonts w:hint="default"/>
        <w:lang w:val="uk-UA" w:eastAsia="en-US" w:bidi="ar-SA"/>
      </w:rPr>
    </w:lvl>
    <w:lvl w:ilvl="4" w:tplc="464400E0">
      <w:numFmt w:val="bullet"/>
      <w:lvlText w:val="•"/>
      <w:lvlJc w:val="left"/>
      <w:pPr>
        <w:ind w:left="2494" w:hanging="348"/>
      </w:pPr>
      <w:rPr>
        <w:rFonts w:hint="default"/>
        <w:lang w:val="uk-UA" w:eastAsia="en-US" w:bidi="ar-SA"/>
      </w:rPr>
    </w:lvl>
    <w:lvl w:ilvl="5" w:tplc="E90AD8CA">
      <w:numFmt w:val="bullet"/>
      <w:lvlText w:val="•"/>
      <w:lvlJc w:val="left"/>
      <w:pPr>
        <w:ind w:left="2939" w:hanging="348"/>
      </w:pPr>
      <w:rPr>
        <w:rFonts w:hint="default"/>
        <w:lang w:val="uk-UA" w:eastAsia="en-US" w:bidi="ar-SA"/>
      </w:rPr>
    </w:lvl>
    <w:lvl w:ilvl="6" w:tplc="4BCE82DC">
      <w:numFmt w:val="bullet"/>
      <w:lvlText w:val="•"/>
      <w:lvlJc w:val="left"/>
      <w:pPr>
        <w:ind w:left="3384" w:hanging="348"/>
      </w:pPr>
      <w:rPr>
        <w:rFonts w:hint="default"/>
        <w:lang w:val="uk-UA" w:eastAsia="en-US" w:bidi="ar-SA"/>
      </w:rPr>
    </w:lvl>
    <w:lvl w:ilvl="7" w:tplc="AF68A628">
      <w:numFmt w:val="bullet"/>
      <w:lvlText w:val="•"/>
      <w:lvlJc w:val="left"/>
      <w:pPr>
        <w:ind w:left="3829" w:hanging="348"/>
      </w:pPr>
      <w:rPr>
        <w:rFonts w:hint="default"/>
        <w:lang w:val="uk-UA" w:eastAsia="en-US" w:bidi="ar-SA"/>
      </w:rPr>
    </w:lvl>
    <w:lvl w:ilvl="8" w:tplc="F3083C52">
      <w:numFmt w:val="bullet"/>
      <w:lvlText w:val="•"/>
      <w:lvlJc w:val="left"/>
      <w:pPr>
        <w:ind w:left="4274" w:hanging="348"/>
      </w:pPr>
      <w:rPr>
        <w:rFonts w:hint="default"/>
        <w:lang w:val="uk-UA" w:eastAsia="en-US" w:bidi="ar-SA"/>
      </w:rPr>
    </w:lvl>
  </w:abstractNum>
  <w:abstractNum w:abstractNumId="125" w15:restartNumberingAfterBreak="0">
    <w:nsid w:val="40732C6B"/>
    <w:multiLevelType w:val="hybridMultilevel"/>
    <w:tmpl w:val="8B0E2BC4"/>
    <w:lvl w:ilvl="0" w:tplc="4F38801C">
      <w:start w:val="1"/>
      <w:numFmt w:val="decimal"/>
      <w:lvlText w:val="%1."/>
      <w:lvlJc w:val="left"/>
      <w:pPr>
        <w:ind w:left="846" w:hanging="360"/>
      </w:pPr>
      <w:rPr>
        <w:rFonts w:ascii="Times New Roman" w:eastAsia="Times New Roman" w:hAnsi="Times New Roman" w:cs="Times New Roman" w:hint="default"/>
        <w:spacing w:val="0"/>
        <w:w w:val="99"/>
        <w:sz w:val="20"/>
        <w:szCs w:val="20"/>
        <w:lang w:val="uk-UA" w:eastAsia="en-US" w:bidi="ar-SA"/>
      </w:rPr>
    </w:lvl>
    <w:lvl w:ilvl="1" w:tplc="41F84182">
      <w:numFmt w:val="bullet"/>
      <w:lvlText w:val="•"/>
      <w:lvlJc w:val="left"/>
      <w:pPr>
        <w:ind w:left="1268" w:hanging="360"/>
      </w:pPr>
      <w:rPr>
        <w:rFonts w:hint="default"/>
        <w:lang w:val="uk-UA" w:eastAsia="en-US" w:bidi="ar-SA"/>
      </w:rPr>
    </w:lvl>
    <w:lvl w:ilvl="2" w:tplc="6ED8CFDC">
      <w:numFmt w:val="bullet"/>
      <w:lvlText w:val="•"/>
      <w:lvlJc w:val="left"/>
      <w:pPr>
        <w:ind w:left="1697" w:hanging="360"/>
      </w:pPr>
      <w:rPr>
        <w:rFonts w:hint="default"/>
        <w:lang w:val="uk-UA" w:eastAsia="en-US" w:bidi="ar-SA"/>
      </w:rPr>
    </w:lvl>
    <w:lvl w:ilvl="3" w:tplc="E452D4E6">
      <w:numFmt w:val="bullet"/>
      <w:lvlText w:val="•"/>
      <w:lvlJc w:val="left"/>
      <w:pPr>
        <w:ind w:left="2125" w:hanging="360"/>
      </w:pPr>
      <w:rPr>
        <w:rFonts w:hint="default"/>
        <w:lang w:val="uk-UA" w:eastAsia="en-US" w:bidi="ar-SA"/>
      </w:rPr>
    </w:lvl>
    <w:lvl w:ilvl="4" w:tplc="2EF61AB4">
      <w:numFmt w:val="bullet"/>
      <w:lvlText w:val="•"/>
      <w:lvlJc w:val="left"/>
      <w:pPr>
        <w:ind w:left="2554" w:hanging="360"/>
      </w:pPr>
      <w:rPr>
        <w:rFonts w:hint="default"/>
        <w:lang w:val="uk-UA" w:eastAsia="en-US" w:bidi="ar-SA"/>
      </w:rPr>
    </w:lvl>
    <w:lvl w:ilvl="5" w:tplc="F1C6BE3E">
      <w:numFmt w:val="bullet"/>
      <w:lvlText w:val="•"/>
      <w:lvlJc w:val="left"/>
      <w:pPr>
        <w:ind w:left="2983" w:hanging="360"/>
      </w:pPr>
      <w:rPr>
        <w:rFonts w:hint="default"/>
        <w:lang w:val="uk-UA" w:eastAsia="en-US" w:bidi="ar-SA"/>
      </w:rPr>
    </w:lvl>
    <w:lvl w:ilvl="6" w:tplc="C06457D4">
      <w:numFmt w:val="bullet"/>
      <w:lvlText w:val="•"/>
      <w:lvlJc w:val="left"/>
      <w:pPr>
        <w:ind w:left="3411" w:hanging="360"/>
      </w:pPr>
      <w:rPr>
        <w:rFonts w:hint="default"/>
        <w:lang w:val="uk-UA" w:eastAsia="en-US" w:bidi="ar-SA"/>
      </w:rPr>
    </w:lvl>
    <w:lvl w:ilvl="7" w:tplc="FB905A44">
      <w:numFmt w:val="bullet"/>
      <w:lvlText w:val="•"/>
      <w:lvlJc w:val="left"/>
      <w:pPr>
        <w:ind w:left="3840" w:hanging="360"/>
      </w:pPr>
      <w:rPr>
        <w:rFonts w:hint="default"/>
        <w:lang w:val="uk-UA" w:eastAsia="en-US" w:bidi="ar-SA"/>
      </w:rPr>
    </w:lvl>
    <w:lvl w:ilvl="8" w:tplc="6FDE1024">
      <w:numFmt w:val="bullet"/>
      <w:lvlText w:val="•"/>
      <w:lvlJc w:val="left"/>
      <w:pPr>
        <w:ind w:left="4268" w:hanging="360"/>
      </w:pPr>
      <w:rPr>
        <w:rFonts w:hint="default"/>
        <w:lang w:val="uk-UA" w:eastAsia="en-US" w:bidi="ar-SA"/>
      </w:rPr>
    </w:lvl>
  </w:abstractNum>
  <w:abstractNum w:abstractNumId="126" w15:restartNumberingAfterBreak="0">
    <w:nsid w:val="40B947EC"/>
    <w:multiLevelType w:val="hybridMultilevel"/>
    <w:tmpl w:val="E354B958"/>
    <w:lvl w:ilvl="0" w:tplc="D67CD61A">
      <w:start w:val="1"/>
      <w:numFmt w:val="decimal"/>
      <w:lvlText w:val="%1."/>
      <w:lvlJc w:val="left"/>
      <w:pPr>
        <w:ind w:left="503" w:hanging="240"/>
      </w:pPr>
      <w:rPr>
        <w:rFonts w:ascii="Times New Roman" w:eastAsia="Times New Roman" w:hAnsi="Times New Roman" w:cs="Times New Roman" w:hint="default"/>
        <w:spacing w:val="0"/>
        <w:w w:val="99"/>
        <w:sz w:val="20"/>
        <w:szCs w:val="20"/>
        <w:lang w:val="uk-UA" w:eastAsia="en-US" w:bidi="ar-SA"/>
      </w:rPr>
    </w:lvl>
    <w:lvl w:ilvl="1" w:tplc="2174D3DE">
      <w:numFmt w:val="bullet"/>
      <w:lvlText w:val="•"/>
      <w:lvlJc w:val="left"/>
      <w:pPr>
        <w:ind w:left="969" w:hanging="240"/>
      </w:pPr>
      <w:rPr>
        <w:rFonts w:hint="default"/>
        <w:lang w:val="uk-UA" w:eastAsia="en-US" w:bidi="ar-SA"/>
      </w:rPr>
    </w:lvl>
    <w:lvl w:ilvl="2" w:tplc="797851BC">
      <w:numFmt w:val="bullet"/>
      <w:lvlText w:val="•"/>
      <w:lvlJc w:val="left"/>
      <w:pPr>
        <w:ind w:left="1438" w:hanging="240"/>
      </w:pPr>
      <w:rPr>
        <w:rFonts w:hint="default"/>
        <w:lang w:val="uk-UA" w:eastAsia="en-US" w:bidi="ar-SA"/>
      </w:rPr>
    </w:lvl>
    <w:lvl w:ilvl="3" w:tplc="32AEC952">
      <w:numFmt w:val="bullet"/>
      <w:lvlText w:val="•"/>
      <w:lvlJc w:val="left"/>
      <w:pPr>
        <w:ind w:left="1907" w:hanging="240"/>
      </w:pPr>
      <w:rPr>
        <w:rFonts w:hint="default"/>
        <w:lang w:val="uk-UA" w:eastAsia="en-US" w:bidi="ar-SA"/>
      </w:rPr>
    </w:lvl>
    <w:lvl w:ilvl="4" w:tplc="FFFAB85E">
      <w:numFmt w:val="bullet"/>
      <w:lvlText w:val="•"/>
      <w:lvlJc w:val="left"/>
      <w:pPr>
        <w:ind w:left="2376" w:hanging="240"/>
      </w:pPr>
      <w:rPr>
        <w:rFonts w:hint="default"/>
        <w:lang w:val="uk-UA" w:eastAsia="en-US" w:bidi="ar-SA"/>
      </w:rPr>
    </w:lvl>
    <w:lvl w:ilvl="5" w:tplc="6414DD6E">
      <w:numFmt w:val="bullet"/>
      <w:lvlText w:val="•"/>
      <w:lvlJc w:val="left"/>
      <w:pPr>
        <w:ind w:left="2845" w:hanging="240"/>
      </w:pPr>
      <w:rPr>
        <w:rFonts w:hint="default"/>
        <w:lang w:val="uk-UA" w:eastAsia="en-US" w:bidi="ar-SA"/>
      </w:rPr>
    </w:lvl>
    <w:lvl w:ilvl="6" w:tplc="750A8614">
      <w:numFmt w:val="bullet"/>
      <w:lvlText w:val="•"/>
      <w:lvlJc w:val="left"/>
      <w:pPr>
        <w:ind w:left="3314" w:hanging="240"/>
      </w:pPr>
      <w:rPr>
        <w:rFonts w:hint="default"/>
        <w:lang w:val="uk-UA" w:eastAsia="en-US" w:bidi="ar-SA"/>
      </w:rPr>
    </w:lvl>
    <w:lvl w:ilvl="7" w:tplc="259ADAD6">
      <w:numFmt w:val="bullet"/>
      <w:lvlText w:val="•"/>
      <w:lvlJc w:val="left"/>
      <w:pPr>
        <w:ind w:left="3783" w:hanging="240"/>
      </w:pPr>
      <w:rPr>
        <w:rFonts w:hint="default"/>
        <w:lang w:val="uk-UA" w:eastAsia="en-US" w:bidi="ar-SA"/>
      </w:rPr>
    </w:lvl>
    <w:lvl w:ilvl="8" w:tplc="C9320632">
      <w:numFmt w:val="bullet"/>
      <w:lvlText w:val="•"/>
      <w:lvlJc w:val="left"/>
      <w:pPr>
        <w:ind w:left="4252" w:hanging="240"/>
      </w:pPr>
      <w:rPr>
        <w:rFonts w:hint="default"/>
        <w:lang w:val="uk-UA" w:eastAsia="en-US" w:bidi="ar-SA"/>
      </w:rPr>
    </w:lvl>
  </w:abstractNum>
  <w:abstractNum w:abstractNumId="127" w15:restartNumberingAfterBreak="0">
    <w:nsid w:val="40C6206F"/>
    <w:multiLevelType w:val="hybridMultilevel"/>
    <w:tmpl w:val="08445AF8"/>
    <w:lvl w:ilvl="0" w:tplc="5FF49F30">
      <w:start w:val="1"/>
      <w:numFmt w:val="decimal"/>
      <w:lvlText w:val="%1."/>
      <w:lvlJc w:val="left"/>
      <w:pPr>
        <w:ind w:left="655" w:hanging="352"/>
      </w:pPr>
      <w:rPr>
        <w:rFonts w:ascii="Times New Roman" w:eastAsia="Times New Roman" w:hAnsi="Times New Roman" w:cs="Times New Roman" w:hint="default"/>
        <w:spacing w:val="0"/>
        <w:w w:val="99"/>
        <w:sz w:val="20"/>
        <w:szCs w:val="20"/>
        <w:lang w:val="uk-UA" w:eastAsia="en-US" w:bidi="ar-SA"/>
      </w:rPr>
    </w:lvl>
    <w:lvl w:ilvl="1" w:tplc="A5FE8414">
      <w:start w:val="1"/>
      <w:numFmt w:val="decimal"/>
      <w:lvlText w:val="%2."/>
      <w:lvlJc w:val="left"/>
      <w:pPr>
        <w:ind w:left="591" w:hanging="152"/>
      </w:pPr>
      <w:rPr>
        <w:rFonts w:ascii="Times New Roman" w:eastAsia="Times New Roman" w:hAnsi="Times New Roman" w:cs="Times New Roman" w:hint="default"/>
        <w:spacing w:val="0"/>
        <w:w w:val="99"/>
        <w:sz w:val="18"/>
        <w:szCs w:val="18"/>
        <w:lang w:val="uk-UA" w:eastAsia="en-US" w:bidi="ar-SA"/>
      </w:rPr>
    </w:lvl>
    <w:lvl w:ilvl="2" w:tplc="862488C2">
      <w:numFmt w:val="bullet"/>
      <w:lvlText w:val="•"/>
      <w:lvlJc w:val="left"/>
      <w:pPr>
        <w:ind w:left="580" w:hanging="152"/>
      </w:pPr>
      <w:rPr>
        <w:rFonts w:hint="default"/>
        <w:lang w:val="uk-UA" w:eastAsia="en-US" w:bidi="ar-SA"/>
      </w:rPr>
    </w:lvl>
    <w:lvl w:ilvl="3" w:tplc="0F929990">
      <w:numFmt w:val="bullet"/>
      <w:lvlText w:val="•"/>
      <w:lvlJc w:val="left"/>
      <w:pPr>
        <w:ind w:left="501" w:hanging="152"/>
      </w:pPr>
      <w:rPr>
        <w:rFonts w:hint="default"/>
        <w:lang w:val="uk-UA" w:eastAsia="en-US" w:bidi="ar-SA"/>
      </w:rPr>
    </w:lvl>
    <w:lvl w:ilvl="4" w:tplc="A398AE3E">
      <w:numFmt w:val="bullet"/>
      <w:lvlText w:val="•"/>
      <w:lvlJc w:val="left"/>
      <w:pPr>
        <w:ind w:left="422" w:hanging="152"/>
      </w:pPr>
      <w:rPr>
        <w:rFonts w:hint="default"/>
        <w:lang w:val="uk-UA" w:eastAsia="en-US" w:bidi="ar-SA"/>
      </w:rPr>
    </w:lvl>
    <w:lvl w:ilvl="5" w:tplc="F8849288">
      <w:numFmt w:val="bullet"/>
      <w:lvlText w:val="•"/>
      <w:lvlJc w:val="left"/>
      <w:pPr>
        <w:ind w:left="342" w:hanging="152"/>
      </w:pPr>
      <w:rPr>
        <w:rFonts w:hint="default"/>
        <w:lang w:val="uk-UA" w:eastAsia="en-US" w:bidi="ar-SA"/>
      </w:rPr>
    </w:lvl>
    <w:lvl w:ilvl="6" w:tplc="02CC96A6">
      <w:numFmt w:val="bullet"/>
      <w:lvlText w:val="•"/>
      <w:lvlJc w:val="left"/>
      <w:pPr>
        <w:ind w:left="263" w:hanging="152"/>
      </w:pPr>
      <w:rPr>
        <w:rFonts w:hint="default"/>
        <w:lang w:val="uk-UA" w:eastAsia="en-US" w:bidi="ar-SA"/>
      </w:rPr>
    </w:lvl>
    <w:lvl w:ilvl="7" w:tplc="FAB0ECFE">
      <w:numFmt w:val="bullet"/>
      <w:lvlText w:val="•"/>
      <w:lvlJc w:val="left"/>
      <w:pPr>
        <w:ind w:left="184" w:hanging="152"/>
      </w:pPr>
      <w:rPr>
        <w:rFonts w:hint="default"/>
        <w:lang w:val="uk-UA" w:eastAsia="en-US" w:bidi="ar-SA"/>
      </w:rPr>
    </w:lvl>
    <w:lvl w:ilvl="8" w:tplc="83B8A9FC">
      <w:numFmt w:val="bullet"/>
      <w:lvlText w:val="•"/>
      <w:lvlJc w:val="left"/>
      <w:pPr>
        <w:ind w:left="104" w:hanging="152"/>
      </w:pPr>
      <w:rPr>
        <w:rFonts w:hint="default"/>
        <w:lang w:val="uk-UA" w:eastAsia="en-US" w:bidi="ar-SA"/>
      </w:rPr>
    </w:lvl>
  </w:abstractNum>
  <w:abstractNum w:abstractNumId="128" w15:restartNumberingAfterBreak="0">
    <w:nsid w:val="41412E00"/>
    <w:multiLevelType w:val="hybridMultilevel"/>
    <w:tmpl w:val="F2F07B14"/>
    <w:lvl w:ilvl="0" w:tplc="EA183CC6">
      <w:start w:val="27"/>
      <w:numFmt w:val="bullet"/>
      <w:lvlText w:val="-"/>
      <w:lvlJc w:val="left"/>
      <w:pPr>
        <w:ind w:left="928" w:hanging="360"/>
      </w:pPr>
      <w:rPr>
        <w:rFonts w:ascii="Times New Roman" w:eastAsia="Times New Roman" w:hAnsi="Times New Roman" w:cs="Times New Roman" w:hint="default"/>
      </w:rPr>
    </w:lvl>
    <w:lvl w:ilvl="1" w:tplc="0FFC9286">
      <w:start w:val="1"/>
      <w:numFmt w:val="bullet"/>
      <w:lvlText w:val=""/>
      <w:lvlJc w:val="left"/>
      <w:pPr>
        <w:ind w:left="1647" w:hanging="360"/>
      </w:pPr>
      <w:rPr>
        <w:rFonts w:ascii="Symbol" w:eastAsia="Calibri Light" w:hAnsi="Symbol" w:cs="Times New Roman" w:hint="default"/>
      </w:r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9" w15:restartNumberingAfterBreak="0">
    <w:nsid w:val="4146525B"/>
    <w:multiLevelType w:val="hybridMultilevel"/>
    <w:tmpl w:val="99FAA11E"/>
    <w:lvl w:ilvl="0" w:tplc="D4B8106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0" w15:restartNumberingAfterBreak="0">
    <w:nsid w:val="42B37F87"/>
    <w:multiLevelType w:val="hybridMultilevel"/>
    <w:tmpl w:val="9CC26D08"/>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131" w15:restartNumberingAfterBreak="0">
    <w:nsid w:val="42F26D22"/>
    <w:multiLevelType w:val="hybridMultilevel"/>
    <w:tmpl w:val="2692271C"/>
    <w:lvl w:ilvl="0" w:tplc="C0C0F818">
      <w:start w:val="4"/>
      <w:numFmt w:val="lowerLetter"/>
      <w:lvlText w:val="%1)"/>
      <w:lvlJc w:val="left"/>
      <w:pPr>
        <w:ind w:left="535" w:hanging="218"/>
      </w:pPr>
      <w:rPr>
        <w:rFonts w:ascii="Times New Roman" w:eastAsia="Times New Roman" w:hAnsi="Times New Roman" w:cs="Times New Roman" w:hint="default"/>
        <w:spacing w:val="0"/>
        <w:w w:val="99"/>
        <w:sz w:val="20"/>
        <w:szCs w:val="20"/>
        <w:lang w:val="uk-UA" w:eastAsia="en-US" w:bidi="ar-SA"/>
      </w:rPr>
    </w:lvl>
    <w:lvl w:ilvl="1" w:tplc="4F7466CC">
      <w:start w:val="2"/>
      <w:numFmt w:val="lowerLetter"/>
      <w:lvlText w:val="%2)"/>
      <w:lvlJc w:val="left"/>
      <w:pPr>
        <w:ind w:left="440" w:hanging="218"/>
      </w:pPr>
      <w:rPr>
        <w:rFonts w:ascii="Times New Roman" w:eastAsia="Times New Roman" w:hAnsi="Times New Roman" w:cs="Times New Roman" w:hint="default"/>
        <w:spacing w:val="0"/>
        <w:w w:val="99"/>
        <w:sz w:val="20"/>
        <w:szCs w:val="20"/>
        <w:lang w:val="uk-UA" w:eastAsia="en-US" w:bidi="ar-SA"/>
      </w:rPr>
    </w:lvl>
    <w:lvl w:ilvl="2" w:tplc="05366922">
      <w:numFmt w:val="bullet"/>
      <w:lvlText w:val="•"/>
      <w:lvlJc w:val="left"/>
      <w:pPr>
        <w:ind w:left="475" w:hanging="218"/>
      </w:pPr>
      <w:rPr>
        <w:rFonts w:hint="default"/>
        <w:lang w:val="uk-UA" w:eastAsia="en-US" w:bidi="ar-SA"/>
      </w:rPr>
    </w:lvl>
    <w:lvl w:ilvl="3" w:tplc="BE52FE94">
      <w:numFmt w:val="bullet"/>
      <w:lvlText w:val="•"/>
      <w:lvlJc w:val="left"/>
      <w:pPr>
        <w:ind w:left="411" w:hanging="218"/>
      </w:pPr>
      <w:rPr>
        <w:rFonts w:hint="default"/>
        <w:lang w:val="uk-UA" w:eastAsia="en-US" w:bidi="ar-SA"/>
      </w:rPr>
    </w:lvl>
    <w:lvl w:ilvl="4" w:tplc="02108244">
      <w:numFmt w:val="bullet"/>
      <w:lvlText w:val="•"/>
      <w:lvlJc w:val="left"/>
      <w:pPr>
        <w:ind w:left="346" w:hanging="218"/>
      </w:pPr>
      <w:rPr>
        <w:rFonts w:hint="default"/>
        <w:lang w:val="uk-UA" w:eastAsia="en-US" w:bidi="ar-SA"/>
      </w:rPr>
    </w:lvl>
    <w:lvl w:ilvl="5" w:tplc="F5844A60">
      <w:numFmt w:val="bullet"/>
      <w:lvlText w:val="•"/>
      <w:lvlJc w:val="left"/>
      <w:pPr>
        <w:ind w:left="282" w:hanging="218"/>
      </w:pPr>
      <w:rPr>
        <w:rFonts w:hint="default"/>
        <w:lang w:val="uk-UA" w:eastAsia="en-US" w:bidi="ar-SA"/>
      </w:rPr>
    </w:lvl>
    <w:lvl w:ilvl="6" w:tplc="9770288E">
      <w:numFmt w:val="bullet"/>
      <w:lvlText w:val="•"/>
      <w:lvlJc w:val="left"/>
      <w:pPr>
        <w:ind w:left="218" w:hanging="218"/>
      </w:pPr>
      <w:rPr>
        <w:rFonts w:hint="default"/>
        <w:lang w:val="uk-UA" w:eastAsia="en-US" w:bidi="ar-SA"/>
      </w:rPr>
    </w:lvl>
    <w:lvl w:ilvl="7" w:tplc="2F1EE0A0">
      <w:numFmt w:val="bullet"/>
      <w:lvlText w:val="•"/>
      <w:lvlJc w:val="left"/>
      <w:pPr>
        <w:ind w:left="153" w:hanging="218"/>
      </w:pPr>
      <w:rPr>
        <w:rFonts w:hint="default"/>
        <w:lang w:val="uk-UA" w:eastAsia="en-US" w:bidi="ar-SA"/>
      </w:rPr>
    </w:lvl>
    <w:lvl w:ilvl="8" w:tplc="F8383D64">
      <w:numFmt w:val="bullet"/>
      <w:lvlText w:val="•"/>
      <w:lvlJc w:val="left"/>
      <w:pPr>
        <w:ind w:left="89" w:hanging="218"/>
      </w:pPr>
      <w:rPr>
        <w:rFonts w:hint="default"/>
        <w:lang w:val="uk-UA" w:eastAsia="en-US" w:bidi="ar-SA"/>
      </w:rPr>
    </w:lvl>
  </w:abstractNum>
  <w:abstractNum w:abstractNumId="132" w15:restartNumberingAfterBreak="0">
    <w:nsid w:val="443A2A09"/>
    <w:multiLevelType w:val="hybridMultilevel"/>
    <w:tmpl w:val="86C6C746"/>
    <w:lvl w:ilvl="0" w:tplc="7E5273F0">
      <w:start w:val="1"/>
      <w:numFmt w:val="decimal"/>
      <w:lvlText w:val="%1."/>
      <w:lvlJc w:val="left"/>
      <w:pPr>
        <w:ind w:left="315" w:hanging="259"/>
        <w:jc w:val="right"/>
      </w:pPr>
      <w:rPr>
        <w:rFonts w:hint="default"/>
        <w:w w:val="99"/>
        <w:lang w:val="uk-UA" w:eastAsia="en-US" w:bidi="ar-SA"/>
      </w:rPr>
    </w:lvl>
    <w:lvl w:ilvl="1" w:tplc="3ED2848A">
      <w:numFmt w:val="bullet"/>
      <w:lvlText w:val="•"/>
      <w:lvlJc w:val="left"/>
      <w:pPr>
        <w:ind w:left="824" w:hanging="259"/>
      </w:pPr>
      <w:rPr>
        <w:rFonts w:hint="default"/>
        <w:lang w:val="uk-UA" w:eastAsia="en-US" w:bidi="ar-SA"/>
      </w:rPr>
    </w:lvl>
    <w:lvl w:ilvl="2" w:tplc="29E6C5A6">
      <w:numFmt w:val="bullet"/>
      <w:lvlText w:val="•"/>
      <w:lvlJc w:val="left"/>
      <w:pPr>
        <w:ind w:left="1328" w:hanging="259"/>
      </w:pPr>
      <w:rPr>
        <w:rFonts w:hint="default"/>
        <w:lang w:val="uk-UA" w:eastAsia="en-US" w:bidi="ar-SA"/>
      </w:rPr>
    </w:lvl>
    <w:lvl w:ilvl="3" w:tplc="24F66810">
      <w:numFmt w:val="bullet"/>
      <w:lvlText w:val="•"/>
      <w:lvlJc w:val="left"/>
      <w:pPr>
        <w:ind w:left="1832" w:hanging="259"/>
      </w:pPr>
      <w:rPr>
        <w:rFonts w:hint="default"/>
        <w:lang w:val="uk-UA" w:eastAsia="en-US" w:bidi="ar-SA"/>
      </w:rPr>
    </w:lvl>
    <w:lvl w:ilvl="4" w:tplc="85988416">
      <w:numFmt w:val="bullet"/>
      <w:lvlText w:val="•"/>
      <w:lvlJc w:val="left"/>
      <w:pPr>
        <w:ind w:left="2336" w:hanging="259"/>
      </w:pPr>
      <w:rPr>
        <w:rFonts w:hint="default"/>
        <w:lang w:val="uk-UA" w:eastAsia="en-US" w:bidi="ar-SA"/>
      </w:rPr>
    </w:lvl>
    <w:lvl w:ilvl="5" w:tplc="CD5A9CF6">
      <w:numFmt w:val="bullet"/>
      <w:lvlText w:val="•"/>
      <w:lvlJc w:val="left"/>
      <w:pPr>
        <w:ind w:left="2840" w:hanging="259"/>
      </w:pPr>
      <w:rPr>
        <w:rFonts w:hint="default"/>
        <w:lang w:val="uk-UA" w:eastAsia="en-US" w:bidi="ar-SA"/>
      </w:rPr>
    </w:lvl>
    <w:lvl w:ilvl="6" w:tplc="F348A974">
      <w:numFmt w:val="bullet"/>
      <w:lvlText w:val="•"/>
      <w:lvlJc w:val="left"/>
      <w:pPr>
        <w:ind w:left="3344" w:hanging="259"/>
      </w:pPr>
      <w:rPr>
        <w:rFonts w:hint="default"/>
        <w:lang w:val="uk-UA" w:eastAsia="en-US" w:bidi="ar-SA"/>
      </w:rPr>
    </w:lvl>
    <w:lvl w:ilvl="7" w:tplc="78340740">
      <w:numFmt w:val="bullet"/>
      <w:lvlText w:val="•"/>
      <w:lvlJc w:val="left"/>
      <w:pPr>
        <w:ind w:left="3848" w:hanging="259"/>
      </w:pPr>
      <w:rPr>
        <w:rFonts w:hint="default"/>
        <w:lang w:val="uk-UA" w:eastAsia="en-US" w:bidi="ar-SA"/>
      </w:rPr>
    </w:lvl>
    <w:lvl w:ilvl="8" w:tplc="671AA7D8">
      <w:numFmt w:val="bullet"/>
      <w:lvlText w:val="•"/>
      <w:lvlJc w:val="left"/>
      <w:pPr>
        <w:ind w:left="4352" w:hanging="259"/>
      </w:pPr>
      <w:rPr>
        <w:rFonts w:hint="default"/>
        <w:lang w:val="uk-UA" w:eastAsia="en-US" w:bidi="ar-SA"/>
      </w:rPr>
    </w:lvl>
  </w:abstractNum>
  <w:abstractNum w:abstractNumId="133" w15:restartNumberingAfterBreak="0">
    <w:nsid w:val="44CA3CE3"/>
    <w:multiLevelType w:val="hybridMultilevel"/>
    <w:tmpl w:val="0302C72A"/>
    <w:lvl w:ilvl="0" w:tplc="3CC6C1D6">
      <w:start w:val="1"/>
      <w:numFmt w:val="decimal"/>
      <w:lvlText w:val="%1."/>
      <w:lvlJc w:val="left"/>
      <w:pPr>
        <w:ind w:left="800" w:hanging="360"/>
      </w:pPr>
      <w:rPr>
        <w:rFonts w:hint="default"/>
        <w:spacing w:val="0"/>
        <w:w w:val="99"/>
        <w:lang w:val="uk-UA" w:eastAsia="en-US" w:bidi="ar-SA"/>
      </w:rPr>
    </w:lvl>
    <w:lvl w:ilvl="1" w:tplc="BA6AFA5E">
      <w:numFmt w:val="bullet"/>
      <w:lvlText w:val="•"/>
      <w:lvlJc w:val="left"/>
      <w:pPr>
        <w:ind w:left="1232" w:hanging="360"/>
      </w:pPr>
      <w:rPr>
        <w:rFonts w:hint="default"/>
        <w:lang w:val="uk-UA" w:eastAsia="en-US" w:bidi="ar-SA"/>
      </w:rPr>
    </w:lvl>
    <w:lvl w:ilvl="2" w:tplc="871CC52E">
      <w:numFmt w:val="bullet"/>
      <w:lvlText w:val="•"/>
      <w:lvlJc w:val="left"/>
      <w:pPr>
        <w:ind w:left="1665" w:hanging="360"/>
      </w:pPr>
      <w:rPr>
        <w:rFonts w:hint="default"/>
        <w:lang w:val="uk-UA" w:eastAsia="en-US" w:bidi="ar-SA"/>
      </w:rPr>
    </w:lvl>
    <w:lvl w:ilvl="3" w:tplc="258A7EA2">
      <w:numFmt w:val="bullet"/>
      <w:lvlText w:val="•"/>
      <w:lvlJc w:val="left"/>
      <w:pPr>
        <w:ind w:left="2097" w:hanging="360"/>
      </w:pPr>
      <w:rPr>
        <w:rFonts w:hint="default"/>
        <w:lang w:val="uk-UA" w:eastAsia="en-US" w:bidi="ar-SA"/>
      </w:rPr>
    </w:lvl>
    <w:lvl w:ilvl="4" w:tplc="6EF2D594">
      <w:numFmt w:val="bullet"/>
      <w:lvlText w:val="•"/>
      <w:lvlJc w:val="left"/>
      <w:pPr>
        <w:ind w:left="2530" w:hanging="360"/>
      </w:pPr>
      <w:rPr>
        <w:rFonts w:hint="default"/>
        <w:lang w:val="uk-UA" w:eastAsia="en-US" w:bidi="ar-SA"/>
      </w:rPr>
    </w:lvl>
    <w:lvl w:ilvl="5" w:tplc="416AD224">
      <w:numFmt w:val="bullet"/>
      <w:lvlText w:val="•"/>
      <w:lvlJc w:val="left"/>
      <w:pPr>
        <w:ind w:left="2962" w:hanging="360"/>
      </w:pPr>
      <w:rPr>
        <w:rFonts w:hint="default"/>
        <w:lang w:val="uk-UA" w:eastAsia="en-US" w:bidi="ar-SA"/>
      </w:rPr>
    </w:lvl>
    <w:lvl w:ilvl="6" w:tplc="47505046">
      <w:numFmt w:val="bullet"/>
      <w:lvlText w:val="•"/>
      <w:lvlJc w:val="left"/>
      <w:pPr>
        <w:ind w:left="3395" w:hanging="360"/>
      </w:pPr>
      <w:rPr>
        <w:rFonts w:hint="default"/>
        <w:lang w:val="uk-UA" w:eastAsia="en-US" w:bidi="ar-SA"/>
      </w:rPr>
    </w:lvl>
    <w:lvl w:ilvl="7" w:tplc="1CCCFF40">
      <w:numFmt w:val="bullet"/>
      <w:lvlText w:val="•"/>
      <w:lvlJc w:val="left"/>
      <w:pPr>
        <w:ind w:left="3827" w:hanging="360"/>
      </w:pPr>
      <w:rPr>
        <w:rFonts w:hint="default"/>
        <w:lang w:val="uk-UA" w:eastAsia="en-US" w:bidi="ar-SA"/>
      </w:rPr>
    </w:lvl>
    <w:lvl w:ilvl="8" w:tplc="E4B81C94">
      <w:numFmt w:val="bullet"/>
      <w:lvlText w:val="•"/>
      <w:lvlJc w:val="left"/>
      <w:pPr>
        <w:ind w:left="4260" w:hanging="360"/>
      </w:pPr>
      <w:rPr>
        <w:rFonts w:hint="default"/>
        <w:lang w:val="uk-UA" w:eastAsia="en-US" w:bidi="ar-SA"/>
      </w:rPr>
    </w:lvl>
  </w:abstractNum>
  <w:abstractNum w:abstractNumId="134" w15:restartNumberingAfterBreak="0">
    <w:nsid w:val="46E5156C"/>
    <w:multiLevelType w:val="hybridMultilevel"/>
    <w:tmpl w:val="25940550"/>
    <w:lvl w:ilvl="0" w:tplc="19D43E6A">
      <w:numFmt w:val="bullet"/>
      <w:lvlText w:val="-"/>
      <w:lvlJc w:val="left"/>
      <w:pPr>
        <w:ind w:left="315" w:hanging="166"/>
      </w:pPr>
      <w:rPr>
        <w:rFonts w:ascii="Times New Roman" w:eastAsia="Times New Roman" w:hAnsi="Times New Roman" w:cs="Times New Roman" w:hint="default"/>
        <w:w w:val="99"/>
        <w:sz w:val="20"/>
        <w:szCs w:val="20"/>
        <w:lang w:val="uk-UA" w:eastAsia="en-US" w:bidi="ar-SA"/>
      </w:rPr>
    </w:lvl>
    <w:lvl w:ilvl="1" w:tplc="E29AB496">
      <w:numFmt w:val="bullet"/>
      <w:lvlText w:val="•"/>
      <w:lvlJc w:val="left"/>
      <w:pPr>
        <w:ind w:left="824" w:hanging="166"/>
      </w:pPr>
      <w:rPr>
        <w:rFonts w:hint="default"/>
        <w:lang w:val="uk-UA" w:eastAsia="en-US" w:bidi="ar-SA"/>
      </w:rPr>
    </w:lvl>
    <w:lvl w:ilvl="2" w:tplc="5FBC1178">
      <w:numFmt w:val="bullet"/>
      <w:lvlText w:val="•"/>
      <w:lvlJc w:val="left"/>
      <w:pPr>
        <w:ind w:left="1328" w:hanging="166"/>
      </w:pPr>
      <w:rPr>
        <w:rFonts w:hint="default"/>
        <w:lang w:val="uk-UA" w:eastAsia="en-US" w:bidi="ar-SA"/>
      </w:rPr>
    </w:lvl>
    <w:lvl w:ilvl="3" w:tplc="71C28CC4">
      <w:numFmt w:val="bullet"/>
      <w:lvlText w:val="•"/>
      <w:lvlJc w:val="left"/>
      <w:pPr>
        <w:ind w:left="1832" w:hanging="166"/>
      </w:pPr>
      <w:rPr>
        <w:rFonts w:hint="default"/>
        <w:lang w:val="uk-UA" w:eastAsia="en-US" w:bidi="ar-SA"/>
      </w:rPr>
    </w:lvl>
    <w:lvl w:ilvl="4" w:tplc="B9A0BFC0">
      <w:numFmt w:val="bullet"/>
      <w:lvlText w:val="•"/>
      <w:lvlJc w:val="left"/>
      <w:pPr>
        <w:ind w:left="2336" w:hanging="166"/>
      </w:pPr>
      <w:rPr>
        <w:rFonts w:hint="default"/>
        <w:lang w:val="uk-UA" w:eastAsia="en-US" w:bidi="ar-SA"/>
      </w:rPr>
    </w:lvl>
    <w:lvl w:ilvl="5" w:tplc="9B48C3EA">
      <w:numFmt w:val="bullet"/>
      <w:lvlText w:val="•"/>
      <w:lvlJc w:val="left"/>
      <w:pPr>
        <w:ind w:left="2840" w:hanging="166"/>
      </w:pPr>
      <w:rPr>
        <w:rFonts w:hint="default"/>
        <w:lang w:val="uk-UA" w:eastAsia="en-US" w:bidi="ar-SA"/>
      </w:rPr>
    </w:lvl>
    <w:lvl w:ilvl="6" w:tplc="644ACEC8">
      <w:numFmt w:val="bullet"/>
      <w:lvlText w:val="•"/>
      <w:lvlJc w:val="left"/>
      <w:pPr>
        <w:ind w:left="3344" w:hanging="166"/>
      </w:pPr>
      <w:rPr>
        <w:rFonts w:hint="default"/>
        <w:lang w:val="uk-UA" w:eastAsia="en-US" w:bidi="ar-SA"/>
      </w:rPr>
    </w:lvl>
    <w:lvl w:ilvl="7" w:tplc="62189720">
      <w:numFmt w:val="bullet"/>
      <w:lvlText w:val="•"/>
      <w:lvlJc w:val="left"/>
      <w:pPr>
        <w:ind w:left="3848" w:hanging="166"/>
      </w:pPr>
      <w:rPr>
        <w:rFonts w:hint="default"/>
        <w:lang w:val="uk-UA" w:eastAsia="en-US" w:bidi="ar-SA"/>
      </w:rPr>
    </w:lvl>
    <w:lvl w:ilvl="8" w:tplc="318299AA">
      <w:numFmt w:val="bullet"/>
      <w:lvlText w:val="•"/>
      <w:lvlJc w:val="left"/>
      <w:pPr>
        <w:ind w:left="4352" w:hanging="166"/>
      </w:pPr>
      <w:rPr>
        <w:rFonts w:hint="default"/>
        <w:lang w:val="uk-UA" w:eastAsia="en-US" w:bidi="ar-SA"/>
      </w:rPr>
    </w:lvl>
  </w:abstractNum>
  <w:abstractNum w:abstractNumId="135" w15:restartNumberingAfterBreak="0">
    <w:nsid w:val="490750C2"/>
    <w:multiLevelType w:val="hybridMultilevel"/>
    <w:tmpl w:val="EDE86136"/>
    <w:lvl w:ilvl="0" w:tplc="CE36A864">
      <w:start w:val="1"/>
      <w:numFmt w:val="decimal"/>
      <w:lvlText w:val="%1."/>
      <w:lvlJc w:val="left"/>
      <w:pPr>
        <w:ind w:left="800" w:hanging="360"/>
      </w:pPr>
      <w:rPr>
        <w:rFonts w:ascii="Times New Roman" w:eastAsia="Times New Roman" w:hAnsi="Times New Roman" w:cs="Times New Roman" w:hint="default"/>
        <w:spacing w:val="0"/>
        <w:w w:val="99"/>
        <w:sz w:val="20"/>
        <w:szCs w:val="20"/>
        <w:lang w:val="uk-UA" w:eastAsia="en-US" w:bidi="ar-SA"/>
      </w:rPr>
    </w:lvl>
    <w:lvl w:ilvl="1" w:tplc="9AB0BF44">
      <w:start w:val="1"/>
      <w:numFmt w:val="decimal"/>
      <w:lvlText w:val="%2."/>
      <w:lvlJc w:val="left"/>
      <w:pPr>
        <w:ind w:left="440" w:hanging="360"/>
        <w:jc w:val="right"/>
      </w:pPr>
      <w:rPr>
        <w:rFonts w:ascii="Times New Roman" w:eastAsia="Times New Roman" w:hAnsi="Times New Roman" w:cs="Times New Roman" w:hint="default"/>
        <w:spacing w:val="0"/>
        <w:w w:val="99"/>
        <w:sz w:val="20"/>
        <w:szCs w:val="20"/>
        <w:lang w:val="uk-UA" w:eastAsia="en-US" w:bidi="ar-SA"/>
      </w:rPr>
    </w:lvl>
    <w:lvl w:ilvl="2" w:tplc="4704C95E">
      <w:numFmt w:val="bullet"/>
      <w:lvlText w:val="•"/>
      <w:lvlJc w:val="left"/>
      <w:pPr>
        <w:ind w:left="1280" w:hanging="360"/>
      </w:pPr>
      <w:rPr>
        <w:rFonts w:hint="default"/>
        <w:lang w:val="uk-UA" w:eastAsia="en-US" w:bidi="ar-SA"/>
      </w:rPr>
    </w:lvl>
    <w:lvl w:ilvl="3" w:tplc="A07A0182">
      <w:numFmt w:val="bullet"/>
      <w:lvlText w:val="•"/>
      <w:lvlJc w:val="left"/>
      <w:pPr>
        <w:ind w:left="1761" w:hanging="360"/>
      </w:pPr>
      <w:rPr>
        <w:rFonts w:hint="default"/>
        <w:lang w:val="uk-UA" w:eastAsia="en-US" w:bidi="ar-SA"/>
      </w:rPr>
    </w:lvl>
    <w:lvl w:ilvl="4" w:tplc="4CE09F7A">
      <w:numFmt w:val="bullet"/>
      <w:lvlText w:val="•"/>
      <w:lvlJc w:val="left"/>
      <w:pPr>
        <w:ind w:left="2242" w:hanging="360"/>
      </w:pPr>
      <w:rPr>
        <w:rFonts w:hint="default"/>
        <w:lang w:val="uk-UA" w:eastAsia="en-US" w:bidi="ar-SA"/>
      </w:rPr>
    </w:lvl>
    <w:lvl w:ilvl="5" w:tplc="B03CA22A">
      <w:numFmt w:val="bullet"/>
      <w:lvlText w:val="•"/>
      <w:lvlJc w:val="left"/>
      <w:pPr>
        <w:ind w:left="2722" w:hanging="360"/>
      </w:pPr>
      <w:rPr>
        <w:rFonts w:hint="default"/>
        <w:lang w:val="uk-UA" w:eastAsia="en-US" w:bidi="ar-SA"/>
      </w:rPr>
    </w:lvl>
    <w:lvl w:ilvl="6" w:tplc="9A122A7C">
      <w:numFmt w:val="bullet"/>
      <w:lvlText w:val="•"/>
      <w:lvlJc w:val="left"/>
      <w:pPr>
        <w:ind w:left="3203" w:hanging="360"/>
      </w:pPr>
      <w:rPr>
        <w:rFonts w:hint="default"/>
        <w:lang w:val="uk-UA" w:eastAsia="en-US" w:bidi="ar-SA"/>
      </w:rPr>
    </w:lvl>
    <w:lvl w:ilvl="7" w:tplc="46DCD6E4">
      <w:numFmt w:val="bullet"/>
      <w:lvlText w:val="•"/>
      <w:lvlJc w:val="left"/>
      <w:pPr>
        <w:ind w:left="3684" w:hanging="360"/>
      </w:pPr>
      <w:rPr>
        <w:rFonts w:hint="default"/>
        <w:lang w:val="uk-UA" w:eastAsia="en-US" w:bidi="ar-SA"/>
      </w:rPr>
    </w:lvl>
    <w:lvl w:ilvl="8" w:tplc="9A86A306">
      <w:numFmt w:val="bullet"/>
      <w:lvlText w:val="•"/>
      <w:lvlJc w:val="left"/>
      <w:pPr>
        <w:ind w:left="4164" w:hanging="360"/>
      </w:pPr>
      <w:rPr>
        <w:rFonts w:hint="default"/>
        <w:lang w:val="uk-UA" w:eastAsia="en-US" w:bidi="ar-SA"/>
      </w:rPr>
    </w:lvl>
  </w:abstractNum>
  <w:abstractNum w:abstractNumId="136" w15:restartNumberingAfterBreak="0">
    <w:nsid w:val="49840D44"/>
    <w:multiLevelType w:val="hybridMultilevel"/>
    <w:tmpl w:val="43489DBE"/>
    <w:lvl w:ilvl="0" w:tplc="1B3A08EE">
      <w:start w:val="2"/>
      <w:numFmt w:val="lowerLetter"/>
      <w:lvlText w:val="%1)"/>
      <w:lvlJc w:val="left"/>
      <w:pPr>
        <w:ind w:left="315" w:hanging="235"/>
      </w:pPr>
      <w:rPr>
        <w:rFonts w:ascii="Times New Roman" w:eastAsia="Times New Roman" w:hAnsi="Times New Roman" w:cs="Times New Roman" w:hint="default"/>
        <w:spacing w:val="0"/>
        <w:w w:val="99"/>
        <w:sz w:val="20"/>
        <w:szCs w:val="20"/>
        <w:lang w:val="uk-UA" w:eastAsia="en-US" w:bidi="ar-SA"/>
      </w:rPr>
    </w:lvl>
    <w:lvl w:ilvl="1" w:tplc="DBC81128">
      <w:numFmt w:val="bullet"/>
      <w:lvlText w:val="•"/>
      <w:lvlJc w:val="left"/>
      <w:pPr>
        <w:ind w:left="440" w:hanging="235"/>
      </w:pPr>
      <w:rPr>
        <w:rFonts w:hint="default"/>
        <w:lang w:val="uk-UA" w:eastAsia="en-US" w:bidi="ar-SA"/>
      </w:rPr>
    </w:lvl>
    <w:lvl w:ilvl="2" w:tplc="77BE4954">
      <w:numFmt w:val="bullet"/>
      <w:lvlText w:val="•"/>
      <w:lvlJc w:val="left"/>
      <w:pPr>
        <w:ind w:left="386" w:hanging="235"/>
      </w:pPr>
      <w:rPr>
        <w:rFonts w:hint="default"/>
        <w:lang w:val="uk-UA" w:eastAsia="en-US" w:bidi="ar-SA"/>
      </w:rPr>
    </w:lvl>
    <w:lvl w:ilvl="3" w:tplc="970046A8">
      <w:numFmt w:val="bullet"/>
      <w:lvlText w:val="•"/>
      <w:lvlJc w:val="left"/>
      <w:pPr>
        <w:ind w:left="333" w:hanging="235"/>
      </w:pPr>
      <w:rPr>
        <w:rFonts w:hint="default"/>
        <w:lang w:val="uk-UA" w:eastAsia="en-US" w:bidi="ar-SA"/>
      </w:rPr>
    </w:lvl>
    <w:lvl w:ilvl="4" w:tplc="FEACA3AA">
      <w:numFmt w:val="bullet"/>
      <w:lvlText w:val="•"/>
      <w:lvlJc w:val="left"/>
      <w:pPr>
        <w:ind w:left="279" w:hanging="235"/>
      </w:pPr>
      <w:rPr>
        <w:rFonts w:hint="default"/>
        <w:lang w:val="uk-UA" w:eastAsia="en-US" w:bidi="ar-SA"/>
      </w:rPr>
    </w:lvl>
    <w:lvl w:ilvl="5" w:tplc="3B6C03C6">
      <w:numFmt w:val="bullet"/>
      <w:lvlText w:val="•"/>
      <w:lvlJc w:val="left"/>
      <w:pPr>
        <w:ind w:left="226" w:hanging="235"/>
      </w:pPr>
      <w:rPr>
        <w:rFonts w:hint="default"/>
        <w:lang w:val="uk-UA" w:eastAsia="en-US" w:bidi="ar-SA"/>
      </w:rPr>
    </w:lvl>
    <w:lvl w:ilvl="6" w:tplc="159A0604">
      <w:numFmt w:val="bullet"/>
      <w:lvlText w:val="•"/>
      <w:lvlJc w:val="left"/>
      <w:pPr>
        <w:ind w:left="172" w:hanging="235"/>
      </w:pPr>
      <w:rPr>
        <w:rFonts w:hint="default"/>
        <w:lang w:val="uk-UA" w:eastAsia="en-US" w:bidi="ar-SA"/>
      </w:rPr>
    </w:lvl>
    <w:lvl w:ilvl="7" w:tplc="3A42584A">
      <w:numFmt w:val="bullet"/>
      <w:lvlText w:val="•"/>
      <w:lvlJc w:val="left"/>
      <w:pPr>
        <w:ind w:left="119" w:hanging="235"/>
      </w:pPr>
      <w:rPr>
        <w:rFonts w:hint="default"/>
        <w:lang w:val="uk-UA" w:eastAsia="en-US" w:bidi="ar-SA"/>
      </w:rPr>
    </w:lvl>
    <w:lvl w:ilvl="8" w:tplc="63B2FAF0">
      <w:numFmt w:val="bullet"/>
      <w:lvlText w:val="•"/>
      <w:lvlJc w:val="left"/>
      <w:pPr>
        <w:ind w:left="66" w:hanging="235"/>
      </w:pPr>
      <w:rPr>
        <w:rFonts w:hint="default"/>
        <w:lang w:val="uk-UA" w:eastAsia="en-US" w:bidi="ar-SA"/>
      </w:rPr>
    </w:lvl>
  </w:abstractNum>
  <w:abstractNum w:abstractNumId="137" w15:restartNumberingAfterBreak="0">
    <w:nsid w:val="49A049A2"/>
    <w:multiLevelType w:val="hybridMultilevel"/>
    <w:tmpl w:val="3E4AF6AE"/>
    <w:lvl w:ilvl="0" w:tplc="F830CA04">
      <w:start w:val="1"/>
      <w:numFmt w:val="decimal"/>
      <w:lvlText w:val="%1."/>
      <w:lvlJc w:val="left"/>
      <w:pPr>
        <w:ind w:left="676" w:hanging="360"/>
      </w:pPr>
      <w:rPr>
        <w:rFonts w:ascii="Times New Roman" w:eastAsia="Times New Roman" w:hAnsi="Times New Roman" w:cs="Times New Roman" w:hint="default"/>
        <w:spacing w:val="0"/>
        <w:w w:val="99"/>
        <w:sz w:val="20"/>
        <w:szCs w:val="20"/>
        <w:lang w:val="uk-UA" w:eastAsia="en-US" w:bidi="ar-SA"/>
      </w:rPr>
    </w:lvl>
    <w:lvl w:ilvl="1" w:tplc="95F6A304">
      <w:start w:val="1"/>
      <w:numFmt w:val="decimal"/>
      <w:lvlText w:val="%2."/>
      <w:lvlJc w:val="left"/>
      <w:pPr>
        <w:ind w:left="800" w:hanging="360"/>
      </w:pPr>
      <w:rPr>
        <w:rFonts w:ascii="Times New Roman" w:eastAsia="Times New Roman" w:hAnsi="Times New Roman" w:cs="Times New Roman" w:hint="default"/>
        <w:spacing w:val="0"/>
        <w:w w:val="99"/>
        <w:sz w:val="20"/>
        <w:szCs w:val="20"/>
        <w:lang w:val="uk-UA" w:eastAsia="en-US" w:bidi="ar-SA"/>
      </w:rPr>
    </w:lvl>
    <w:lvl w:ilvl="2" w:tplc="5D90DC0A">
      <w:numFmt w:val="bullet"/>
      <w:lvlText w:val="•"/>
      <w:lvlJc w:val="left"/>
      <w:pPr>
        <w:ind w:left="706" w:hanging="360"/>
      </w:pPr>
      <w:rPr>
        <w:rFonts w:hint="default"/>
        <w:lang w:val="uk-UA" w:eastAsia="en-US" w:bidi="ar-SA"/>
      </w:rPr>
    </w:lvl>
    <w:lvl w:ilvl="3" w:tplc="2D4C18C0">
      <w:numFmt w:val="bullet"/>
      <w:lvlText w:val="•"/>
      <w:lvlJc w:val="left"/>
      <w:pPr>
        <w:ind w:left="613" w:hanging="360"/>
      </w:pPr>
      <w:rPr>
        <w:rFonts w:hint="default"/>
        <w:lang w:val="uk-UA" w:eastAsia="en-US" w:bidi="ar-SA"/>
      </w:rPr>
    </w:lvl>
    <w:lvl w:ilvl="4" w:tplc="E01E7492">
      <w:numFmt w:val="bullet"/>
      <w:lvlText w:val="•"/>
      <w:lvlJc w:val="left"/>
      <w:pPr>
        <w:ind w:left="520" w:hanging="360"/>
      </w:pPr>
      <w:rPr>
        <w:rFonts w:hint="default"/>
        <w:lang w:val="uk-UA" w:eastAsia="en-US" w:bidi="ar-SA"/>
      </w:rPr>
    </w:lvl>
    <w:lvl w:ilvl="5" w:tplc="8F680162">
      <w:numFmt w:val="bullet"/>
      <w:lvlText w:val="•"/>
      <w:lvlJc w:val="left"/>
      <w:pPr>
        <w:ind w:left="426" w:hanging="360"/>
      </w:pPr>
      <w:rPr>
        <w:rFonts w:hint="default"/>
        <w:lang w:val="uk-UA" w:eastAsia="en-US" w:bidi="ar-SA"/>
      </w:rPr>
    </w:lvl>
    <w:lvl w:ilvl="6" w:tplc="584A84AA">
      <w:numFmt w:val="bullet"/>
      <w:lvlText w:val="•"/>
      <w:lvlJc w:val="left"/>
      <w:pPr>
        <w:ind w:left="333" w:hanging="360"/>
      </w:pPr>
      <w:rPr>
        <w:rFonts w:hint="default"/>
        <w:lang w:val="uk-UA" w:eastAsia="en-US" w:bidi="ar-SA"/>
      </w:rPr>
    </w:lvl>
    <w:lvl w:ilvl="7" w:tplc="DDCC559C">
      <w:numFmt w:val="bullet"/>
      <w:lvlText w:val="•"/>
      <w:lvlJc w:val="left"/>
      <w:pPr>
        <w:ind w:left="240" w:hanging="360"/>
      </w:pPr>
      <w:rPr>
        <w:rFonts w:hint="default"/>
        <w:lang w:val="uk-UA" w:eastAsia="en-US" w:bidi="ar-SA"/>
      </w:rPr>
    </w:lvl>
    <w:lvl w:ilvl="8" w:tplc="AA1098CA">
      <w:numFmt w:val="bullet"/>
      <w:lvlText w:val="•"/>
      <w:lvlJc w:val="left"/>
      <w:pPr>
        <w:ind w:left="146" w:hanging="360"/>
      </w:pPr>
      <w:rPr>
        <w:rFonts w:hint="default"/>
        <w:lang w:val="uk-UA" w:eastAsia="en-US" w:bidi="ar-SA"/>
      </w:rPr>
    </w:lvl>
  </w:abstractNum>
  <w:abstractNum w:abstractNumId="138" w15:restartNumberingAfterBreak="0">
    <w:nsid w:val="4A183841"/>
    <w:multiLevelType w:val="hybridMultilevel"/>
    <w:tmpl w:val="AFA0FDE6"/>
    <w:lvl w:ilvl="0" w:tplc="E2D235AE">
      <w:start w:val="1"/>
      <w:numFmt w:val="decimal"/>
      <w:lvlText w:val="%1)"/>
      <w:lvlJc w:val="left"/>
      <w:pPr>
        <w:ind w:left="360" w:hanging="360"/>
      </w:pPr>
      <w:rPr>
        <w:rFonts w:ascii="Times New Roman" w:eastAsia="Times New Roman" w:hAnsi="Times New Roman" w:cs="Times New Roman" w:hint="default"/>
        <w:spacing w:val="0"/>
        <w:w w:val="99"/>
        <w:sz w:val="20"/>
        <w:szCs w:val="20"/>
        <w:lang w:val="uk-UA" w:eastAsia="en-US" w:bidi="ar-SA"/>
      </w:rPr>
    </w:lvl>
    <w:lvl w:ilvl="1" w:tplc="C7C2CF98">
      <w:start w:val="1"/>
      <w:numFmt w:val="lowerLetter"/>
      <w:lvlText w:val="%2)"/>
      <w:lvlJc w:val="left"/>
      <w:pPr>
        <w:ind w:left="646" w:hanging="206"/>
      </w:pPr>
      <w:rPr>
        <w:rFonts w:ascii="Times New Roman" w:eastAsia="Times New Roman" w:hAnsi="Times New Roman" w:cs="Times New Roman" w:hint="default"/>
        <w:w w:val="99"/>
        <w:sz w:val="20"/>
        <w:szCs w:val="20"/>
        <w:lang w:val="uk-UA" w:eastAsia="en-US" w:bidi="ar-SA"/>
      </w:rPr>
    </w:lvl>
    <w:lvl w:ilvl="2" w:tplc="94C8366A">
      <w:numFmt w:val="bullet"/>
      <w:lvlText w:val="•"/>
      <w:lvlJc w:val="left"/>
      <w:pPr>
        <w:ind w:left="599" w:hanging="206"/>
      </w:pPr>
      <w:rPr>
        <w:rFonts w:hint="default"/>
        <w:lang w:val="uk-UA" w:eastAsia="en-US" w:bidi="ar-SA"/>
      </w:rPr>
    </w:lvl>
    <w:lvl w:ilvl="3" w:tplc="CB18F9CC">
      <w:numFmt w:val="bullet"/>
      <w:lvlText w:val="•"/>
      <w:lvlJc w:val="left"/>
      <w:pPr>
        <w:ind w:left="519" w:hanging="206"/>
      </w:pPr>
      <w:rPr>
        <w:rFonts w:hint="default"/>
        <w:lang w:val="uk-UA" w:eastAsia="en-US" w:bidi="ar-SA"/>
      </w:rPr>
    </w:lvl>
    <w:lvl w:ilvl="4" w:tplc="9372F128">
      <w:numFmt w:val="bullet"/>
      <w:lvlText w:val="•"/>
      <w:lvlJc w:val="left"/>
      <w:pPr>
        <w:ind w:left="439" w:hanging="206"/>
      </w:pPr>
      <w:rPr>
        <w:rFonts w:hint="default"/>
        <w:lang w:val="uk-UA" w:eastAsia="en-US" w:bidi="ar-SA"/>
      </w:rPr>
    </w:lvl>
    <w:lvl w:ilvl="5" w:tplc="54BE819C">
      <w:numFmt w:val="bullet"/>
      <w:lvlText w:val="•"/>
      <w:lvlJc w:val="left"/>
      <w:pPr>
        <w:ind w:left="358" w:hanging="206"/>
      </w:pPr>
      <w:rPr>
        <w:rFonts w:hint="default"/>
        <w:lang w:val="uk-UA" w:eastAsia="en-US" w:bidi="ar-SA"/>
      </w:rPr>
    </w:lvl>
    <w:lvl w:ilvl="6" w:tplc="ABCEA744">
      <w:numFmt w:val="bullet"/>
      <w:lvlText w:val="•"/>
      <w:lvlJc w:val="left"/>
      <w:pPr>
        <w:ind w:left="278" w:hanging="206"/>
      </w:pPr>
      <w:rPr>
        <w:rFonts w:hint="default"/>
        <w:lang w:val="uk-UA" w:eastAsia="en-US" w:bidi="ar-SA"/>
      </w:rPr>
    </w:lvl>
    <w:lvl w:ilvl="7" w:tplc="75EC38B8">
      <w:numFmt w:val="bullet"/>
      <w:lvlText w:val="•"/>
      <w:lvlJc w:val="left"/>
      <w:pPr>
        <w:ind w:left="198" w:hanging="206"/>
      </w:pPr>
      <w:rPr>
        <w:rFonts w:hint="default"/>
        <w:lang w:val="uk-UA" w:eastAsia="en-US" w:bidi="ar-SA"/>
      </w:rPr>
    </w:lvl>
    <w:lvl w:ilvl="8" w:tplc="718A5538">
      <w:numFmt w:val="bullet"/>
      <w:lvlText w:val="•"/>
      <w:lvlJc w:val="left"/>
      <w:pPr>
        <w:ind w:left="118" w:hanging="206"/>
      </w:pPr>
      <w:rPr>
        <w:rFonts w:hint="default"/>
        <w:lang w:val="uk-UA" w:eastAsia="en-US" w:bidi="ar-SA"/>
      </w:rPr>
    </w:lvl>
  </w:abstractNum>
  <w:abstractNum w:abstractNumId="139" w15:restartNumberingAfterBreak="0">
    <w:nsid w:val="4A920F5F"/>
    <w:multiLevelType w:val="hybridMultilevel"/>
    <w:tmpl w:val="BFE4102C"/>
    <w:lvl w:ilvl="0" w:tplc="E4FE7C86">
      <w:numFmt w:val="bullet"/>
      <w:lvlText w:val="-"/>
      <w:lvlJc w:val="left"/>
      <w:pPr>
        <w:ind w:left="77" w:hanging="128"/>
      </w:pPr>
      <w:rPr>
        <w:rFonts w:ascii="Times New Roman" w:eastAsia="Times New Roman" w:hAnsi="Times New Roman" w:cs="Times New Roman" w:hint="default"/>
        <w:w w:val="99"/>
        <w:sz w:val="20"/>
        <w:szCs w:val="20"/>
        <w:lang w:val="uk-UA" w:eastAsia="en-US" w:bidi="ar-SA"/>
      </w:rPr>
    </w:lvl>
    <w:lvl w:ilvl="1" w:tplc="AEBA94FA">
      <w:numFmt w:val="bullet"/>
      <w:lvlText w:val="•"/>
      <w:lvlJc w:val="left"/>
      <w:pPr>
        <w:ind w:left="584" w:hanging="128"/>
      </w:pPr>
      <w:rPr>
        <w:rFonts w:hint="default"/>
        <w:lang w:val="uk-UA" w:eastAsia="en-US" w:bidi="ar-SA"/>
      </w:rPr>
    </w:lvl>
    <w:lvl w:ilvl="2" w:tplc="B89CC402">
      <w:numFmt w:val="bullet"/>
      <w:lvlText w:val="•"/>
      <w:lvlJc w:val="left"/>
      <w:pPr>
        <w:ind w:left="1088" w:hanging="128"/>
      </w:pPr>
      <w:rPr>
        <w:rFonts w:hint="default"/>
        <w:lang w:val="uk-UA" w:eastAsia="en-US" w:bidi="ar-SA"/>
      </w:rPr>
    </w:lvl>
    <w:lvl w:ilvl="3" w:tplc="13D66B30">
      <w:numFmt w:val="bullet"/>
      <w:lvlText w:val="•"/>
      <w:lvlJc w:val="left"/>
      <w:pPr>
        <w:ind w:left="1592" w:hanging="128"/>
      </w:pPr>
      <w:rPr>
        <w:rFonts w:hint="default"/>
        <w:lang w:val="uk-UA" w:eastAsia="en-US" w:bidi="ar-SA"/>
      </w:rPr>
    </w:lvl>
    <w:lvl w:ilvl="4" w:tplc="A8D0D812">
      <w:numFmt w:val="bullet"/>
      <w:lvlText w:val="•"/>
      <w:lvlJc w:val="left"/>
      <w:pPr>
        <w:ind w:left="2096" w:hanging="128"/>
      </w:pPr>
      <w:rPr>
        <w:rFonts w:hint="default"/>
        <w:lang w:val="uk-UA" w:eastAsia="en-US" w:bidi="ar-SA"/>
      </w:rPr>
    </w:lvl>
    <w:lvl w:ilvl="5" w:tplc="DA28D8D0">
      <w:numFmt w:val="bullet"/>
      <w:lvlText w:val="•"/>
      <w:lvlJc w:val="left"/>
      <w:pPr>
        <w:ind w:left="2601" w:hanging="128"/>
      </w:pPr>
      <w:rPr>
        <w:rFonts w:hint="default"/>
        <w:lang w:val="uk-UA" w:eastAsia="en-US" w:bidi="ar-SA"/>
      </w:rPr>
    </w:lvl>
    <w:lvl w:ilvl="6" w:tplc="4618768A">
      <w:numFmt w:val="bullet"/>
      <w:lvlText w:val="•"/>
      <w:lvlJc w:val="left"/>
      <w:pPr>
        <w:ind w:left="3105" w:hanging="128"/>
      </w:pPr>
      <w:rPr>
        <w:rFonts w:hint="default"/>
        <w:lang w:val="uk-UA" w:eastAsia="en-US" w:bidi="ar-SA"/>
      </w:rPr>
    </w:lvl>
    <w:lvl w:ilvl="7" w:tplc="F9E6A59E">
      <w:numFmt w:val="bullet"/>
      <w:lvlText w:val="•"/>
      <w:lvlJc w:val="left"/>
      <w:pPr>
        <w:ind w:left="3609" w:hanging="128"/>
      </w:pPr>
      <w:rPr>
        <w:rFonts w:hint="default"/>
        <w:lang w:val="uk-UA" w:eastAsia="en-US" w:bidi="ar-SA"/>
      </w:rPr>
    </w:lvl>
    <w:lvl w:ilvl="8" w:tplc="4D564E98">
      <w:numFmt w:val="bullet"/>
      <w:lvlText w:val="•"/>
      <w:lvlJc w:val="left"/>
      <w:pPr>
        <w:ind w:left="4113" w:hanging="128"/>
      </w:pPr>
      <w:rPr>
        <w:rFonts w:hint="default"/>
        <w:lang w:val="uk-UA" w:eastAsia="en-US" w:bidi="ar-SA"/>
      </w:rPr>
    </w:lvl>
  </w:abstractNum>
  <w:abstractNum w:abstractNumId="140" w15:restartNumberingAfterBreak="0">
    <w:nsid w:val="4ABC61E7"/>
    <w:multiLevelType w:val="hybridMultilevel"/>
    <w:tmpl w:val="F5069184"/>
    <w:lvl w:ilvl="0" w:tplc="ABE2A030">
      <w:start w:val="1"/>
      <w:numFmt w:val="decimal"/>
      <w:lvlText w:val="%1."/>
      <w:lvlJc w:val="left"/>
      <w:pPr>
        <w:ind w:left="928" w:hanging="360"/>
      </w:pPr>
      <w:rPr>
        <w:rFonts w:eastAsia="Calibri" w:hint="default"/>
        <w:b w:val="0"/>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141" w15:restartNumberingAfterBreak="0">
    <w:nsid w:val="4ACB0BC2"/>
    <w:multiLevelType w:val="hybridMultilevel"/>
    <w:tmpl w:val="8C60B25E"/>
    <w:lvl w:ilvl="0" w:tplc="3320DED0">
      <w:start w:val="1"/>
      <w:numFmt w:val="lowerLetter"/>
      <w:lvlText w:val="%1)"/>
      <w:lvlJc w:val="left"/>
      <w:pPr>
        <w:ind w:left="646" w:hanging="206"/>
      </w:pPr>
      <w:rPr>
        <w:rFonts w:ascii="Times New Roman" w:eastAsia="Times New Roman" w:hAnsi="Times New Roman" w:cs="Times New Roman" w:hint="default"/>
        <w:w w:val="99"/>
        <w:sz w:val="20"/>
        <w:szCs w:val="20"/>
        <w:lang w:val="uk-UA" w:eastAsia="en-US" w:bidi="ar-SA"/>
      </w:rPr>
    </w:lvl>
    <w:lvl w:ilvl="1" w:tplc="5BBA4972">
      <w:numFmt w:val="bullet"/>
      <w:lvlText w:val="•"/>
      <w:lvlJc w:val="left"/>
      <w:pPr>
        <w:ind w:left="1088" w:hanging="206"/>
      </w:pPr>
      <w:rPr>
        <w:rFonts w:hint="default"/>
        <w:lang w:val="uk-UA" w:eastAsia="en-US" w:bidi="ar-SA"/>
      </w:rPr>
    </w:lvl>
    <w:lvl w:ilvl="2" w:tplc="2CB2F42E">
      <w:numFmt w:val="bullet"/>
      <w:lvlText w:val="•"/>
      <w:lvlJc w:val="left"/>
      <w:pPr>
        <w:ind w:left="1536" w:hanging="206"/>
      </w:pPr>
      <w:rPr>
        <w:rFonts w:hint="default"/>
        <w:lang w:val="uk-UA" w:eastAsia="en-US" w:bidi="ar-SA"/>
      </w:rPr>
    </w:lvl>
    <w:lvl w:ilvl="3" w:tplc="4418A262">
      <w:numFmt w:val="bullet"/>
      <w:lvlText w:val="•"/>
      <w:lvlJc w:val="left"/>
      <w:pPr>
        <w:ind w:left="1985" w:hanging="206"/>
      </w:pPr>
      <w:rPr>
        <w:rFonts w:hint="default"/>
        <w:lang w:val="uk-UA" w:eastAsia="en-US" w:bidi="ar-SA"/>
      </w:rPr>
    </w:lvl>
    <w:lvl w:ilvl="4" w:tplc="FCE47084">
      <w:numFmt w:val="bullet"/>
      <w:lvlText w:val="•"/>
      <w:lvlJc w:val="left"/>
      <w:pPr>
        <w:ind w:left="2433" w:hanging="206"/>
      </w:pPr>
      <w:rPr>
        <w:rFonts w:hint="default"/>
        <w:lang w:val="uk-UA" w:eastAsia="en-US" w:bidi="ar-SA"/>
      </w:rPr>
    </w:lvl>
    <w:lvl w:ilvl="5" w:tplc="EA126362">
      <w:numFmt w:val="bullet"/>
      <w:lvlText w:val="•"/>
      <w:lvlJc w:val="left"/>
      <w:pPr>
        <w:ind w:left="2882" w:hanging="206"/>
      </w:pPr>
      <w:rPr>
        <w:rFonts w:hint="default"/>
        <w:lang w:val="uk-UA" w:eastAsia="en-US" w:bidi="ar-SA"/>
      </w:rPr>
    </w:lvl>
    <w:lvl w:ilvl="6" w:tplc="06F2E3D8">
      <w:numFmt w:val="bullet"/>
      <w:lvlText w:val="•"/>
      <w:lvlJc w:val="left"/>
      <w:pPr>
        <w:ind w:left="3330" w:hanging="206"/>
      </w:pPr>
      <w:rPr>
        <w:rFonts w:hint="default"/>
        <w:lang w:val="uk-UA" w:eastAsia="en-US" w:bidi="ar-SA"/>
      </w:rPr>
    </w:lvl>
    <w:lvl w:ilvl="7" w:tplc="70166FD0">
      <w:numFmt w:val="bullet"/>
      <w:lvlText w:val="•"/>
      <w:lvlJc w:val="left"/>
      <w:pPr>
        <w:ind w:left="3779" w:hanging="206"/>
      </w:pPr>
      <w:rPr>
        <w:rFonts w:hint="default"/>
        <w:lang w:val="uk-UA" w:eastAsia="en-US" w:bidi="ar-SA"/>
      </w:rPr>
    </w:lvl>
    <w:lvl w:ilvl="8" w:tplc="F37C8BDC">
      <w:numFmt w:val="bullet"/>
      <w:lvlText w:val="•"/>
      <w:lvlJc w:val="left"/>
      <w:pPr>
        <w:ind w:left="4227" w:hanging="206"/>
      </w:pPr>
      <w:rPr>
        <w:rFonts w:hint="default"/>
        <w:lang w:val="uk-UA" w:eastAsia="en-US" w:bidi="ar-SA"/>
      </w:rPr>
    </w:lvl>
  </w:abstractNum>
  <w:abstractNum w:abstractNumId="142" w15:restartNumberingAfterBreak="0">
    <w:nsid w:val="4B037248"/>
    <w:multiLevelType w:val="hybridMultilevel"/>
    <w:tmpl w:val="E95AE100"/>
    <w:lvl w:ilvl="0" w:tplc="68702A0C">
      <w:start w:val="1"/>
      <w:numFmt w:val="lowerLetter"/>
      <w:lvlText w:val="%1)"/>
      <w:lvlJc w:val="left"/>
      <w:pPr>
        <w:ind w:left="522" w:hanging="206"/>
      </w:pPr>
      <w:rPr>
        <w:rFonts w:ascii="Times New Roman" w:eastAsia="Times New Roman" w:hAnsi="Times New Roman" w:cs="Times New Roman" w:hint="default"/>
        <w:w w:val="99"/>
        <w:sz w:val="20"/>
        <w:szCs w:val="20"/>
        <w:lang w:val="uk-UA" w:eastAsia="en-US" w:bidi="ar-SA"/>
      </w:rPr>
    </w:lvl>
    <w:lvl w:ilvl="1" w:tplc="63A87818">
      <w:start w:val="1"/>
      <w:numFmt w:val="lowerLetter"/>
      <w:lvlText w:val="%2)"/>
      <w:lvlJc w:val="left"/>
      <w:pPr>
        <w:ind w:left="646" w:hanging="206"/>
      </w:pPr>
      <w:rPr>
        <w:rFonts w:ascii="Times New Roman" w:eastAsia="Times New Roman" w:hAnsi="Times New Roman" w:cs="Times New Roman" w:hint="default"/>
        <w:w w:val="99"/>
        <w:sz w:val="20"/>
        <w:szCs w:val="20"/>
        <w:lang w:val="uk-UA" w:eastAsia="en-US" w:bidi="ar-SA"/>
      </w:rPr>
    </w:lvl>
    <w:lvl w:ilvl="2" w:tplc="ACFA698E">
      <w:numFmt w:val="bullet"/>
      <w:lvlText w:val="•"/>
      <w:lvlJc w:val="left"/>
      <w:pPr>
        <w:ind w:left="564" w:hanging="206"/>
      </w:pPr>
      <w:rPr>
        <w:rFonts w:hint="default"/>
        <w:lang w:val="uk-UA" w:eastAsia="en-US" w:bidi="ar-SA"/>
      </w:rPr>
    </w:lvl>
    <w:lvl w:ilvl="3" w:tplc="09F0B5DE">
      <w:numFmt w:val="bullet"/>
      <w:lvlText w:val="•"/>
      <w:lvlJc w:val="left"/>
      <w:pPr>
        <w:ind w:left="488" w:hanging="206"/>
      </w:pPr>
      <w:rPr>
        <w:rFonts w:hint="default"/>
        <w:lang w:val="uk-UA" w:eastAsia="en-US" w:bidi="ar-SA"/>
      </w:rPr>
    </w:lvl>
    <w:lvl w:ilvl="4" w:tplc="727C838E">
      <w:numFmt w:val="bullet"/>
      <w:lvlText w:val="•"/>
      <w:lvlJc w:val="left"/>
      <w:pPr>
        <w:ind w:left="413" w:hanging="206"/>
      </w:pPr>
      <w:rPr>
        <w:rFonts w:hint="default"/>
        <w:lang w:val="uk-UA" w:eastAsia="en-US" w:bidi="ar-SA"/>
      </w:rPr>
    </w:lvl>
    <w:lvl w:ilvl="5" w:tplc="469E836A">
      <w:numFmt w:val="bullet"/>
      <w:lvlText w:val="•"/>
      <w:lvlJc w:val="left"/>
      <w:pPr>
        <w:ind w:left="337" w:hanging="206"/>
      </w:pPr>
      <w:rPr>
        <w:rFonts w:hint="default"/>
        <w:lang w:val="uk-UA" w:eastAsia="en-US" w:bidi="ar-SA"/>
      </w:rPr>
    </w:lvl>
    <w:lvl w:ilvl="6" w:tplc="D82EF7C4">
      <w:numFmt w:val="bullet"/>
      <w:lvlText w:val="•"/>
      <w:lvlJc w:val="left"/>
      <w:pPr>
        <w:ind w:left="261" w:hanging="206"/>
      </w:pPr>
      <w:rPr>
        <w:rFonts w:hint="default"/>
        <w:lang w:val="uk-UA" w:eastAsia="en-US" w:bidi="ar-SA"/>
      </w:rPr>
    </w:lvl>
    <w:lvl w:ilvl="7" w:tplc="DFFED4F0">
      <w:numFmt w:val="bullet"/>
      <w:lvlText w:val="•"/>
      <w:lvlJc w:val="left"/>
      <w:pPr>
        <w:ind w:left="186" w:hanging="206"/>
      </w:pPr>
      <w:rPr>
        <w:rFonts w:hint="default"/>
        <w:lang w:val="uk-UA" w:eastAsia="en-US" w:bidi="ar-SA"/>
      </w:rPr>
    </w:lvl>
    <w:lvl w:ilvl="8" w:tplc="8EB41874">
      <w:numFmt w:val="bullet"/>
      <w:lvlText w:val="•"/>
      <w:lvlJc w:val="left"/>
      <w:pPr>
        <w:ind w:left="110" w:hanging="206"/>
      </w:pPr>
      <w:rPr>
        <w:rFonts w:hint="default"/>
        <w:lang w:val="uk-UA" w:eastAsia="en-US" w:bidi="ar-SA"/>
      </w:rPr>
    </w:lvl>
  </w:abstractNum>
  <w:abstractNum w:abstractNumId="143" w15:restartNumberingAfterBreak="0">
    <w:nsid w:val="4BEF44B8"/>
    <w:multiLevelType w:val="multilevel"/>
    <w:tmpl w:val="1CEAB15A"/>
    <w:lvl w:ilvl="0">
      <w:start w:val="5"/>
      <w:numFmt w:val="decimal"/>
      <w:lvlText w:val="%1"/>
      <w:lvlJc w:val="left"/>
      <w:pPr>
        <w:ind w:left="1118" w:hanging="252"/>
        <w:jc w:val="right"/>
      </w:pPr>
      <w:rPr>
        <w:rFonts w:ascii="Times New Roman" w:eastAsia="Times New Roman" w:hAnsi="Times New Roman" w:cs="Times New Roman" w:hint="default"/>
        <w:b/>
        <w:bCs/>
        <w:w w:val="99"/>
        <w:sz w:val="20"/>
        <w:szCs w:val="20"/>
        <w:lang w:val="uk-UA" w:eastAsia="en-US" w:bidi="ar-SA"/>
      </w:rPr>
    </w:lvl>
    <w:lvl w:ilvl="1">
      <w:start w:val="1"/>
      <w:numFmt w:val="decimal"/>
      <w:lvlText w:val="%1.%2"/>
      <w:lvlJc w:val="left"/>
      <w:pPr>
        <w:ind w:left="1267" w:hanging="400"/>
        <w:jc w:val="right"/>
      </w:pPr>
      <w:rPr>
        <w:rFonts w:ascii="Times New Roman" w:eastAsia="Times New Roman" w:hAnsi="Times New Roman" w:cs="Times New Roman" w:hint="default"/>
        <w:b/>
        <w:bCs/>
        <w:spacing w:val="0"/>
        <w:w w:val="99"/>
        <w:sz w:val="20"/>
        <w:szCs w:val="20"/>
        <w:lang w:val="uk-UA" w:eastAsia="en-US" w:bidi="ar-SA"/>
      </w:rPr>
    </w:lvl>
    <w:lvl w:ilvl="2">
      <w:numFmt w:val="bullet"/>
      <w:lvlText w:val="•"/>
      <w:lvlJc w:val="left"/>
      <w:pPr>
        <w:ind w:left="1689" w:hanging="400"/>
      </w:pPr>
      <w:rPr>
        <w:rFonts w:hint="default"/>
        <w:lang w:val="uk-UA" w:eastAsia="en-US" w:bidi="ar-SA"/>
      </w:rPr>
    </w:lvl>
    <w:lvl w:ilvl="3">
      <w:numFmt w:val="bullet"/>
      <w:lvlText w:val="•"/>
      <w:lvlJc w:val="left"/>
      <w:pPr>
        <w:ind w:left="2118" w:hanging="400"/>
      </w:pPr>
      <w:rPr>
        <w:rFonts w:hint="default"/>
        <w:lang w:val="uk-UA" w:eastAsia="en-US" w:bidi="ar-SA"/>
      </w:rPr>
    </w:lvl>
    <w:lvl w:ilvl="4">
      <w:numFmt w:val="bullet"/>
      <w:lvlText w:val="•"/>
      <w:lvlJc w:val="left"/>
      <w:pPr>
        <w:ind w:left="2547" w:hanging="400"/>
      </w:pPr>
      <w:rPr>
        <w:rFonts w:hint="default"/>
        <w:lang w:val="uk-UA" w:eastAsia="en-US" w:bidi="ar-SA"/>
      </w:rPr>
    </w:lvl>
    <w:lvl w:ilvl="5">
      <w:numFmt w:val="bullet"/>
      <w:lvlText w:val="•"/>
      <w:lvlJc w:val="left"/>
      <w:pPr>
        <w:ind w:left="2977" w:hanging="400"/>
      </w:pPr>
      <w:rPr>
        <w:rFonts w:hint="default"/>
        <w:lang w:val="uk-UA" w:eastAsia="en-US" w:bidi="ar-SA"/>
      </w:rPr>
    </w:lvl>
    <w:lvl w:ilvl="6">
      <w:numFmt w:val="bullet"/>
      <w:lvlText w:val="•"/>
      <w:lvlJc w:val="left"/>
      <w:pPr>
        <w:ind w:left="3406" w:hanging="400"/>
      </w:pPr>
      <w:rPr>
        <w:rFonts w:hint="default"/>
        <w:lang w:val="uk-UA" w:eastAsia="en-US" w:bidi="ar-SA"/>
      </w:rPr>
    </w:lvl>
    <w:lvl w:ilvl="7">
      <w:numFmt w:val="bullet"/>
      <w:lvlText w:val="•"/>
      <w:lvlJc w:val="left"/>
      <w:pPr>
        <w:ind w:left="3835" w:hanging="400"/>
      </w:pPr>
      <w:rPr>
        <w:rFonts w:hint="default"/>
        <w:lang w:val="uk-UA" w:eastAsia="en-US" w:bidi="ar-SA"/>
      </w:rPr>
    </w:lvl>
    <w:lvl w:ilvl="8">
      <w:numFmt w:val="bullet"/>
      <w:lvlText w:val="•"/>
      <w:lvlJc w:val="left"/>
      <w:pPr>
        <w:ind w:left="4265" w:hanging="400"/>
      </w:pPr>
      <w:rPr>
        <w:rFonts w:hint="default"/>
        <w:lang w:val="uk-UA" w:eastAsia="en-US" w:bidi="ar-SA"/>
      </w:rPr>
    </w:lvl>
  </w:abstractNum>
  <w:abstractNum w:abstractNumId="144" w15:restartNumberingAfterBreak="0">
    <w:nsid w:val="4C701729"/>
    <w:multiLevelType w:val="hybridMultilevel"/>
    <w:tmpl w:val="C332DCCE"/>
    <w:lvl w:ilvl="0" w:tplc="E4CE5134">
      <w:start w:val="3"/>
      <w:numFmt w:val="bullet"/>
      <w:lvlText w:val="-"/>
      <w:lvlJc w:val="left"/>
      <w:pPr>
        <w:ind w:left="870" w:hanging="360"/>
      </w:pPr>
      <w:rPr>
        <w:rFonts w:ascii="Times New Roman" w:eastAsia="Times New Roman" w:hAnsi="Times New Roman" w:cs="Times New Roman" w:hint="default"/>
      </w:rPr>
    </w:lvl>
    <w:lvl w:ilvl="1" w:tplc="04190003" w:tentative="1">
      <w:start w:val="1"/>
      <w:numFmt w:val="bullet"/>
      <w:lvlText w:val="o"/>
      <w:lvlJc w:val="left"/>
      <w:pPr>
        <w:ind w:left="1590" w:hanging="360"/>
      </w:pPr>
      <w:rPr>
        <w:rFonts w:ascii="Courier New" w:hAnsi="Courier New" w:cs="Courier New" w:hint="default"/>
      </w:rPr>
    </w:lvl>
    <w:lvl w:ilvl="2" w:tplc="04190005" w:tentative="1">
      <w:start w:val="1"/>
      <w:numFmt w:val="bullet"/>
      <w:lvlText w:val=""/>
      <w:lvlJc w:val="left"/>
      <w:pPr>
        <w:ind w:left="2310" w:hanging="360"/>
      </w:pPr>
      <w:rPr>
        <w:rFonts w:ascii="Wingdings" w:hAnsi="Wingdings" w:hint="default"/>
      </w:rPr>
    </w:lvl>
    <w:lvl w:ilvl="3" w:tplc="04190001" w:tentative="1">
      <w:start w:val="1"/>
      <w:numFmt w:val="bullet"/>
      <w:lvlText w:val=""/>
      <w:lvlJc w:val="left"/>
      <w:pPr>
        <w:ind w:left="3030" w:hanging="360"/>
      </w:pPr>
      <w:rPr>
        <w:rFonts w:ascii="Symbol" w:hAnsi="Symbol" w:hint="default"/>
      </w:rPr>
    </w:lvl>
    <w:lvl w:ilvl="4" w:tplc="04190003" w:tentative="1">
      <w:start w:val="1"/>
      <w:numFmt w:val="bullet"/>
      <w:lvlText w:val="o"/>
      <w:lvlJc w:val="left"/>
      <w:pPr>
        <w:ind w:left="3750" w:hanging="360"/>
      </w:pPr>
      <w:rPr>
        <w:rFonts w:ascii="Courier New" w:hAnsi="Courier New" w:cs="Courier New" w:hint="default"/>
      </w:rPr>
    </w:lvl>
    <w:lvl w:ilvl="5" w:tplc="04190005" w:tentative="1">
      <w:start w:val="1"/>
      <w:numFmt w:val="bullet"/>
      <w:lvlText w:val=""/>
      <w:lvlJc w:val="left"/>
      <w:pPr>
        <w:ind w:left="4470" w:hanging="360"/>
      </w:pPr>
      <w:rPr>
        <w:rFonts w:ascii="Wingdings" w:hAnsi="Wingdings" w:hint="default"/>
      </w:rPr>
    </w:lvl>
    <w:lvl w:ilvl="6" w:tplc="04190001" w:tentative="1">
      <w:start w:val="1"/>
      <w:numFmt w:val="bullet"/>
      <w:lvlText w:val=""/>
      <w:lvlJc w:val="left"/>
      <w:pPr>
        <w:ind w:left="5190" w:hanging="360"/>
      </w:pPr>
      <w:rPr>
        <w:rFonts w:ascii="Symbol" w:hAnsi="Symbol" w:hint="default"/>
      </w:rPr>
    </w:lvl>
    <w:lvl w:ilvl="7" w:tplc="04190003" w:tentative="1">
      <w:start w:val="1"/>
      <w:numFmt w:val="bullet"/>
      <w:lvlText w:val="o"/>
      <w:lvlJc w:val="left"/>
      <w:pPr>
        <w:ind w:left="5910" w:hanging="360"/>
      </w:pPr>
      <w:rPr>
        <w:rFonts w:ascii="Courier New" w:hAnsi="Courier New" w:cs="Courier New" w:hint="default"/>
      </w:rPr>
    </w:lvl>
    <w:lvl w:ilvl="8" w:tplc="04190005" w:tentative="1">
      <w:start w:val="1"/>
      <w:numFmt w:val="bullet"/>
      <w:lvlText w:val=""/>
      <w:lvlJc w:val="left"/>
      <w:pPr>
        <w:ind w:left="6630" w:hanging="360"/>
      </w:pPr>
      <w:rPr>
        <w:rFonts w:ascii="Wingdings" w:hAnsi="Wingdings" w:hint="default"/>
      </w:rPr>
    </w:lvl>
  </w:abstractNum>
  <w:abstractNum w:abstractNumId="145" w15:restartNumberingAfterBreak="0">
    <w:nsid w:val="4D004325"/>
    <w:multiLevelType w:val="hybridMultilevel"/>
    <w:tmpl w:val="65D8ADDA"/>
    <w:lvl w:ilvl="0" w:tplc="EA183CC6">
      <w:start w:val="27"/>
      <w:numFmt w:val="bullet"/>
      <w:lvlText w:val="-"/>
      <w:lvlJc w:val="left"/>
      <w:pPr>
        <w:ind w:left="720" w:hanging="360"/>
      </w:pPr>
      <w:rPr>
        <w:rFonts w:ascii="Calibri Light" w:eastAsia="Calibri Light" w:hAnsi="Calibri Light" w:cs="Calibri Light"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6" w15:restartNumberingAfterBreak="0">
    <w:nsid w:val="4E571705"/>
    <w:multiLevelType w:val="hybridMultilevel"/>
    <w:tmpl w:val="7B6A0F32"/>
    <w:lvl w:ilvl="0" w:tplc="3510209A">
      <w:numFmt w:val="bullet"/>
      <w:lvlText w:val="-"/>
      <w:lvlJc w:val="left"/>
      <w:pPr>
        <w:ind w:left="677" w:hanging="360"/>
      </w:pPr>
      <w:rPr>
        <w:rFonts w:ascii="Times New Roman" w:eastAsia="Times New Roman" w:hAnsi="Times New Roman" w:cs="Times New Roman" w:hint="default"/>
        <w:w w:val="99"/>
        <w:sz w:val="20"/>
        <w:szCs w:val="20"/>
        <w:lang w:val="uk-UA" w:eastAsia="en-US" w:bidi="ar-SA"/>
      </w:rPr>
    </w:lvl>
    <w:lvl w:ilvl="1" w:tplc="356A816C">
      <w:numFmt w:val="bullet"/>
      <w:lvlText w:val="-"/>
      <w:lvlJc w:val="left"/>
      <w:pPr>
        <w:ind w:left="800" w:hanging="360"/>
      </w:pPr>
      <w:rPr>
        <w:rFonts w:ascii="Times New Roman" w:eastAsia="Times New Roman" w:hAnsi="Times New Roman" w:cs="Times New Roman" w:hint="default"/>
        <w:w w:val="99"/>
        <w:sz w:val="20"/>
        <w:szCs w:val="20"/>
        <w:lang w:val="uk-UA" w:eastAsia="en-US" w:bidi="ar-SA"/>
      </w:rPr>
    </w:lvl>
    <w:lvl w:ilvl="2" w:tplc="7EF86F34">
      <w:numFmt w:val="bullet"/>
      <w:lvlText w:val="•"/>
      <w:lvlJc w:val="left"/>
      <w:pPr>
        <w:ind w:left="706" w:hanging="360"/>
      </w:pPr>
      <w:rPr>
        <w:rFonts w:hint="default"/>
        <w:lang w:val="uk-UA" w:eastAsia="en-US" w:bidi="ar-SA"/>
      </w:rPr>
    </w:lvl>
    <w:lvl w:ilvl="3" w:tplc="A24CEA9E">
      <w:numFmt w:val="bullet"/>
      <w:lvlText w:val="•"/>
      <w:lvlJc w:val="left"/>
      <w:pPr>
        <w:ind w:left="613" w:hanging="360"/>
      </w:pPr>
      <w:rPr>
        <w:rFonts w:hint="default"/>
        <w:lang w:val="uk-UA" w:eastAsia="en-US" w:bidi="ar-SA"/>
      </w:rPr>
    </w:lvl>
    <w:lvl w:ilvl="4" w:tplc="5B66E934">
      <w:numFmt w:val="bullet"/>
      <w:lvlText w:val="•"/>
      <w:lvlJc w:val="left"/>
      <w:pPr>
        <w:ind w:left="519" w:hanging="360"/>
      </w:pPr>
      <w:rPr>
        <w:rFonts w:hint="default"/>
        <w:lang w:val="uk-UA" w:eastAsia="en-US" w:bidi="ar-SA"/>
      </w:rPr>
    </w:lvl>
    <w:lvl w:ilvl="5" w:tplc="1E68E418">
      <w:numFmt w:val="bullet"/>
      <w:lvlText w:val="•"/>
      <w:lvlJc w:val="left"/>
      <w:pPr>
        <w:ind w:left="426" w:hanging="360"/>
      </w:pPr>
      <w:rPr>
        <w:rFonts w:hint="default"/>
        <w:lang w:val="uk-UA" w:eastAsia="en-US" w:bidi="ar-SA"/>
      </w:rPr>
    </w:lvl>
    <w:lvl w:ilvl="6" w:tplc="3036E106">
      <w:numFmt w:val="bullet"/>
      <w:lvlText w:val="•"/>
      <w:lvlJc w:val="left"/>
      <w:pPr>
        <w:ind w:left="332" w:hanging="360"/>
      </w:pPr>
      <w:rPr>
        <w:rFonts w:hint="default"/>
        <w:lang w:val="uk-UA" w:eastAsia="en-US" w:bidi="ar-SA"/>
      </w:rPr>
    </w:lvl>
    <w:lvl w:ilvl="7" w:tplc="43383ADA">
      <w:numFmt w:val="bullet"/>
      <w:lvlText w:val="•"/>
      <w:lvlJc w:val="left"/>
      <w:pPr>
        <w:ind w:left="239" w:hanging="360"/>
      </w:pPr>
      <w:rPr>
        <w:rFonts w:hint="default"/>
        <w:lang w:val="uk-UA" w:eastAsia="en-US" w:bidi="ar-SA"/>
      </w:rPr>
    </w:lvl>
    <w:lvl w:ilvl="8" w:tplc="209C41A0">
      <w:numFmt w:val="bullet"/>
      <w:lvlText w:val="•"/>
      <w:lvlJc w:val="left"/>
      <w:pPr>
        <w:ind w:left="146" w:hanging="360"/>
      </w:pPr>
      <w:rPr>
        <w:rFonts w:hint="default"/>
        <w:lang w:val="uk-UA" w:eastAsia="en-US" w:bidi="ar-SA"/>
      </w:rPr>
    </w:lvl>
  </w:abstractNum>
  <w:abstractNum w:abstractNumId="147" w15:restartNumberingAfterBreak="0">
    <w:nsid w:val="4E7F1F48"/>
    <w:multiLevelType w:val="hybridMultilevel"/>
    <w:tmpl w:val="B7BE97CC"/>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148" w15:restartNumberingAfterBreak="0">
    <w:nsid w:val="4EE02669"/>
    <w:multiLevelType w:val="hybridMultilevel"/>
    <w:tmpl w:val="72AEE064"/>
    <w:lvl w:ilvl="0" w:tplc="E05CC85E">
      <w:start w:val="1"/>
      <w:numFmt w:val="lowerLetter"/>
      <w:lvlText w:val="%1)"/>
      <w:lvlJc w:val="left"/>
      <w:pPr>
        <w:ind w:left="316" w:hanging="360"/>
      </w:pPr>
      <w:rPr>
        <w:rFonts w:ascii="Times New Roman" w:eastAsia="Times New Roman" w:hAnsi="Times New Roman" w:cs="Times New Roman" w:hint="default"/>
        <w:w w:val="99"/>
        <w:sz w:val="20"/>
        <w:szCs w:val="20"/>
        <w:lang w:val="uk-UA" w:eastAsia="en-US" w:bidi="ar-SA"/>
      </w:rPr>
    </w:lvl>
    <w:lvl w:ilvl="1" w:tplc="6D329CAE">
      <w:start w:val="1"/>
      <w:numFmt w:val="lowerLetter"/>
      <w:lvlText w:val="%2)"/>
      <w:lvlJc w:val="left"/>
      <w:pPr>
        <w:ind w:left="440" w:hanging="218"/>
      </w:pPr>
      <w:rPr>
        <w:rFonts w:ascii="Times New Roman" w:eastAsia="Times New Roman" w:hAnsi="Times New Roman" w:cs="Times New Roman" w:hint="default"/>
        <w:w w:val="99"/>
        <w:sz w:val="20"/>
        <w:szCs w:val="20"/>
        <w:lang w:val="uk-UA" w:eastAsia="en-US" w:bidi="ar-SA"/>
      </w:rPr>
    </w:lvl>
    <w:lvl w:ilvl="2" w:tplc="50D20644">
      <w:numFmt w:val="bullet"/>
      <w:lvlText w:val="•"/>
      <w:lvlJc w:val="left"/>
      <w:pPr>
        <w:ind w:left="386" w:hanging="218"/>
      </w:pPr>
      <w:rPr>
        <w:rFonts w:hint="default"/>
        <w:lang w:val="uk-UA" w:eastAsia="en-US" w:bidi="ar-SA"/>
      </w:rPr>
    </w:lvl>
    <w:lvl w:ilvl="3" w:tplc="C7A6BC7A">
      <w:numFmt w:val="bullet"/>
      <w:lvlText w:val="•"/>
      <w:lvlJc w:val="left"/>
      <w:pPr>
        <w:ind w:left="332" w:hanging="218"/>
      </w:pPr>
      <w:rPr>
        <w:rFonts w:hint="default"/>
        <w:lang w:val="uk-UA" w:eastAsia="en-US" w:bidi="ar-SA"/>
      </w:rPr>
    </w:lvl>
    <w:lvl w:ilvl="4" w:tplc="06C6134E">
      <w:numFmt w:val="bullet"/>
      <w:lvlText w:val="•"/>
      <w:lvlJc w:val="left"/>
      <w:pPr>
        <w:ind w:left="279" w:hanging="218"/>
      </w:pPr>
      <w:rPr>
        <w:rFonts w:hint="default"/>
        <w:lang w:val="uk-UA" w:eastAsia="en-US" w:bidi="ar-SA"/>
      </w:rPr>
    </w:lvl>
    <w:lvl w:ilvl="5" w:tplc="FB7C8ABE">
      <w:numFmt w:val="bullet"/>
      <w:lvlText w:val="•"/>
      <w:lvlJc w:val="left"/>
      <w:pPr>
        <w:ind w:left="225" w:hanging="218"/>
      </w:pPr>
      <w:rPr>
        <w:rFonts w:hint="default"/>
        <w:lang w:val="uk-UA" w:eastAsia="en-US" w:bidi="ar-SA"/>
      </w:rPr>
    </w:lvl>
    <w:lvl w:ilvl="6" w:tplc="41CC93CA">
      <w:numFmt w:val="bullet"/>
      <w:lvlText w:val="•"/>
      <w:lvlJc w:val="left"/>
      <w:pPr>
        <w:ind w:left="172" w:hanging="218"/>
      </w:pPr>
      <w:rPr>
        <w:rFonts w:hint="default"/>
        <w:lang w:val="uk-UA" w:eastAsia="en-US" w:bidi="ar-SA"/>
      </w:rPr>
    </w:lvl>
    <w:lvl w:ilvl="7" w:tplc="300234CA">
      <w:numFmt w:val="bullet"/>
      <w:lvlText w:val="•"/>
      <w:lvlJc w:val="left"/>
      <w:pPr>
        <w:ind w:left="118" w:hanging="218"/>
      </w:pPr>
      <w:rPr>
        <w:rFonts w:hint="default"/>
        <w:lang w:val="uk-UA" w:eastAsia="en-US" w:bidi="ar-SA"/>
      </w:rPr>
    </w:lvl>
    <w:lvl w:ilvl="8" w:tplc="8BC806F8">
      <w:numFmt w:val="bullet"/>
      <w:lvlText w:val="•"/>
      <w:lvlJc w:val="left"/>
      <w:pPr>
        <w:ind w:left="65" w:hanging="218"/>
      </w:pPr>
      <w:rPr>
        <w:rFonts w:hint="default"/>
        <w:lang w:val="uk-UA" w:eastAsia="en-US" w:bidi="ar-SA"/>
      </w:rPr>
    </w:lvl>
  </w:abstractNum>
  <w:abstractNum w:abstractNumId="149" w15:restartNumberingAfterBreak="0">
    <w:nsid w:val="4F7803FF"/>
    <w:multiLevelType w:val="hybridMultilevel"/>
    <w:tmpl w:val="1C7C0ABA"/>
    <w:lvl w:ilvl="0" w:tplc="D0DC4096">
      <w:start w:val="1"/>
      <w:numFmt w:val="decimal"/>
      <w:lvlText w:val="%1."/>
      <w:lvlJc w:val="left"/>
      <w:pPr>
        <w:ind w:left="800" w:hanging="360"/>
      </w:pPr>
      <w:rPr>
        <w:rFonts w:ascii="Times New Roman" w:eastAsia="Times New Roman" w:hAnsi="Times New Roman" w:cs="Times New Roman" w:hint="default"/>
        <w:spacing w:val="0"/>
        <w:w w:val="99"/>
        <w:sz w:val="20"/>
        <w:szCs w:val="20"/>
        <w:lang w:val="uk-UA" w:eastAsia="en-US" w:bidi="ar-SA"/>
      </w:rPr>
    </w:lvl>
    <w:lvl w:ilvl="1" w:tplc="25AC874A">
      <w:numFmt w:val="bullet"/>
      <w:lvlText w:val="•"/>
      <w:lvlJc w:val="left"/>
      <w:pPr>
        <w:ind w:left="1232" w:hanging="360"/>
      </w:pPr>
      <w:rPr>
        <w:rFonts w:hint="default"/>
        <w:lang w:val="uk-UA" w:eastAsia="en-US" w:bidi="ar-SA"/>
      </w:rPr>
    </w:lvl>
    <w:lvl w:ilvl="2" w:tplc="A4803B1C">
      <w:numFmt w:val="bullet"/>
      <w:lvlText w:val="•"/>
      <w:lvlJc w:val="left"/>
      <w:pPr>
        <w:ind w:left="1664" w:hanging="360"/>
      </w:pPr>
      <w:rPr>
        <w:rFonts w:hint="default"/>
        <w:lang w:val="uk-UA" w:eastAsia="en-US" w:bidi="ar-SA"/>
      </w:rPr>
    </w:lvl>
    <w:lvl w:ilvl="3" w:tplc="17FCA20C">
      <w:numFmt w:val="bullet"/>
      <w:lvlText w:val="•"/>
      <w:lvlJc w:val="left"/>
      <w:pPr>
        <w:ind w:left="2097" w:hanging="360"/>
      </w:pPr>
      <w:rPr>
        <w:rFonts w:hint="default"/>
        <w:lang w:val="uk-UA" w:eastAsia="en-US" w:bidi="ar-SA"/>
      </w:rPr>
    </w:lvl>
    <w:lvl w:ilvl="4" w:tplc="424CD7B4">
      <w:numFmt w:val="bullet"/>
      <w:lvlText w:val="•"/>
      <w:lvlJc w:val="left"/>
      <w:pPr>
        <w:ind w:left="2529" w:hanging="360"/>
      </w:pPr>
      <w:rPr>
        <w:rFonts w:hint="default"/>
        <w:lang w:val="uk-UA" w:eastAsia="en-US" w:bidi="ar-SA"/>
      </w:rPr>
    </w:lvl>
    <w:lvl w:ilvl="5" w:tplc="B2C4C02C">
      <w:numFmt w:val="bullet"/>
      <w:lvlText w:val="•"/>
      <w:lvlJc w:val="left"/>
      <w:pPr>
        <w:ind w:left="2961" w:hanging="360"/>
      </w:pPr>
      <w:rPr>
        <w:rFonts w:hint="default"/>
        <w:lang w:val="uk-UA" w:eastAsia="en-US" w:bidi="ar-SA"/>
      </w:rPr>
    </w:lvl>
    <w:lvl w:ilvl="6" w:tplc="EC6470BC">
      <w:numFmt w:val="bullet"/>
      <w:lvlText w:val="•"/>
      <w:lvlJc w:val="left"/>
      <w:pPr>
        <w:ind w:left="3394" w:hanging="360"/>
      </w:pPr>
      <w:rPr>
        <w:rFonts w:hint="default"/>
        <w:lang w:val="uk-UA" w:eastAsia="en-US" w:bidi="ar-SA"/>
      </w:rPr>
    </w:lvl>
    <w:lvl w:ilvl="7" w:tplc="77707096">
      <w:numFmt w:val="bullet"/>
      <w:lvlText w:val="•"/>
      <w:lvlJc w:val="left"/>
      <w:pPr>
        <w:ind w:left="3826" w:hanging="360"/>
      </w:pPr>
      <w:rPr>
        <w:rFonts w:hint="default"/>
        <w:lang w:val="uk-UA" w:eastAsia="en-US" w:bidi="ar-SA"/>
      </w:rPr>
    </w:lvl>
    <w:lvl w:ilvl="8" w:tplc="A078BE9C">
      <w:numFmt w:val="bullet"/>
      <w:lvlText w:val="•"/>
      <w:lvlJc w:val="left"/>
      <w:pPr>
        <w:ind w:left="4258" w:hanging="360"/>
      </w:pPr>
      <w:rPr>
        <w:rFonts w:hint="default"/>
        <w:lang w:val="uk-UA" w:eastAsia="en-US" w:bidi="ar-SA"/>
      </w:rPr>
    </w:lvl>
  </w:abstractNum>
  <w:abstractNum w:abstractNumId="150" w15:restartNumberingAfterBreak="0">
    <w:nsid w:val="50811B5C"/>
    <w:multiLevelType w:val="hybridMultilevel"/>
    <w:tmpl w:val="97645E5C"/>
    <w:lvl w:ilvl="0" w:tplc="43DA5C5C">
      <w:start w:val="1"/>
      <w:numFmt w:val="decimal"/>
      <w:lvlText w:val="%1."/>
      <w:lvlJc w:val="left"/>
      <w:pPr>
        <w:ind w:left="675" w:hanging="360"/>
        <w:jc w:val="right"/>
      </w:pPr>
      <w:rPr>
        <w:rFonts w:ascii="Times New Roman" w:eastAsia="Times New Roman" w:hAnsi="Times New Roman" w:cs="Times New Roman" w:hint="default"/>
        <w:spacing w:val="0"/>
        <w:w w:val="99"/>
        <w:sz w:val="20"/>
        <w:szCs w:val="20"/>
        <w:lang w:val="uk-UA" w:eastAsia="en-US" w:bidi="ar-SA"/>
      </w:rPr>
    </w:lvl>
    <w:lvl w:ilvl="1" w:tplc="A41E9746">
      <w:start w:val="1"/>
      <w:numFmt w:val="decimal"/>
      <w:lvlText w:val="%2."/>
      <w:lvlJc w:val="left"/>
      <w:pPr>
        <w:ind w:left="891" w:hanging="360"/>
        <w:jc w:val="right"/>
      </w:pPr>
      <w:rPr>
        <w:rFonts w:ascii="Times New Roman" w:eastAsia="Times New Roman" w:hAnsi="Times New Roman" w:cs="Times New Roman" w:hint="default"/>
        <w:spacing w:val="0"/>
        <w:w w:val="99"/>
        <w:sz w:val="20"/>
        <w:szCs w:val="20"/>
        <w:lang w:val="uk-UA" w:eastAsia="en-US" w:bidi="ar-SA"/>
      </w:rPr>
    </w:lvl>
    <w:lvl w:ilvl="2" w:tplc="C772F35E">
      <w:numFmt w:val="bullet"/>
      <w:lvlText w:val="•"/>
      <w:lvlJc w:val="left"/>
      <w:pPr>
        <w:ind w:left="795" w:hanging="360"/>
      </w:pPr>
      <w:rPr>
        <w:rFonts w:hint="default"/>
        <w:lang w:val="uk-UA" w:eastAsia="en-US" w:bidi="ar-SA"/>
      </w:rPr>
    </w:lvl>
    <w:lvl w:ilvl="3" w:tplc="FE824D4C">
      <w:numFmt w:val="bullet"/>
      <w:lvlText w:val="•"/>
      <w:lvlJc w:val="left"/>
      <w:pPr>
        <w:ind w:left="690" w:hanging="360"/>
      </w:pPr>
      <w:rPr>
        <w:rFonts w:hint="default"/>
        <w:lang w:val="uk-UA" w:eastAsia="en-US" w:bidi="ar-SA"/>
      </w:rPr>
    </w:lvl>
    <w:lvl w:ilvl="4" w:tplc="DE9EDA48">
      <w:numFmt w:val="bullet"/>
      <w:lvlText w:val="•"/>
      <w:lvlJc w:val="left"/>
      <w:pPr>
        <w:ind w:left="585" w:hanging="360"/>
      </w:pPr>
      <w:rPr>
        <w:rFonts w:hint="default"/>
        <w:lang w:val="uk-UA" w:eastAsia="en-US" w:bidi="ar-SA"/>
      </w:rPr>
    </w:lvl>
    <w:lvl w:ilvl="5" w:tplc="A740DD3A">
      <w:numFmt w:val="bullet"/>
      <w:lvlText w:val="•"/>
      <w:lvlJc w:val="left"/>
      <w:pPr>
        <w:ind w:left="480" w:hanging="360"/>
      </w:pPr>
      <w:rPr>
        <w:rFonts w:hint="default"/>
        <w:lang w:val="uk-UA" w:eastAsia="en-US" w:bidi="ar-SA"/>
      </w:rPr>
    </w:lvl>
    <w:lvl w:ilvl="6" w:tplc="A826586A">
      <w:numFmt w:val="bullet"/>
      <w:lvlText w:val="•"/>
      <w:lvlJc w:val="left"/>
      <w:pPr>
        <w:ind w:left="376" w:hanging="360"/>
      </w:pPr>
      <w:rPr>
        <w:rFonts w:hint="default"/>
        <w:lang w:val="uk-UA" w:eastAsia="en-US" w:bidi="ar-SA"/>
      </w:rPr>
    </w:lvl>
    <w:lvl w:ilvl="7" w:tplc="729AEF0A">
      <w:numFmt w:val="bullet"/>
      <w:lvlText w:val="•"/>
      <w:lvlJc w:val="left"/>
      <w:pPr>
        <w:ind w:left="271" w:hanging="360"/>
      </w:pPr>
      <w:rPr>
        <w:rFonts w:hint="default"/>
        <w:lang w:val="uk-UA" w:eastAsia="en-US" w:bidi="ar-SA"/>
      </w:rPr>
    </w:lvl>
    <w:lvl w:ilvl="8" w:tplc="0F1AA95C">
      <w:numFmt w:val="bullet"/>
      <w:lvlText w:val="•"/>
      <w:lvlJc w:val="left"/>
      <w:pPr>
        <w:ind w:left="166" w:hanging="360"/>
      </w:pPr>
      <w:rPr>
        <w:rFonts w:hint="default"/>
        <w:lang w:val="uk-UA" w:eastAsia="en-US" w:bidi="ar-SA"/>
      </w:rPr>
    </w:lvl>
  </w:abstractNum>
  <w:abstractNum w:abstractNumId="151" w15:restartNumberingAfterBreak="0">
    <w:nsid w:val="523F1280"/>
    <w:multiLevelType w:val="hybridMultilevel"/>
    <w:tmpl w:val="CBE0D942"/>
    <w:lvl w:ilvl="0" w:tplc="749CFB06">
      <w:start w:val="1"/>
      <w:numFmt w:val="decimal"/>
      <w:lvlText w:val="%1."/>
      <w:lvlJc w:val="left"/>
      <w:pPr>
        <w:ind w:left="506" w:hanging="360"/>
      </w:pPr>
      <w:rPr>
        <w:rFonts w:ascii="Times New Roman" w:eastAsia="Times New Roman" w:hAnsi="Times New Roman" w:cs="Times New Roman" w:hint="default"/>
        <w:spacing w:val="0"/>
        <w:w w:val="99"/>
        <w:sz w:val="20"/>
        <w:szCs w:val="20"/>
        <w:lang w:val="uk-UA" w:eastAsia="en-US" w:bidi="ar-SA"/>
      </w:rPr>
    </w:lvl>
    <w:lvl w:ilvl="1" w:tplc="BAF6F354">
      <w:start w:val="1"/>
      <w:numFmt w:val="decimal"/>
      <w:lvlText w:val="%2."/>
      <w:lvlJc w:val="left"/>
      <w:pPr>
        <w:ind w:left="800" w:hanging="360"/>
        <w:jc w:val="right"/>
      </w:pPr>
      <w:rPr>
        <w:rFonts w:ascii="Times New Roman" w:eastAsia="Times New Roman" w:hAnsi="Times New Roman" w:cs="Times New Roman" w:hint="default"/>
        <w:spacing w:val="0"/>
        <w:w w:val="99"/>
        <w:sz w:val="20"/>
        <w:szCs w:val="20"/>
        <w:lang w:val="uk-UA" w:eastAsia="en-US" w:bidi="ar-SA"/>
      </w:rPr>
    </w:lvl>
    <w:lvl w:ilvl="2" w:tplc="A4223644">
      <w:numFmt w:val="bullet"/>
      <w:lvlText w:val="•"/>
      <w:lvlJc w:val="left"/>
      <w:pPr>
        <w:ind w:left="687" w:hanging="360"/>
      </w:pPr>
      <w:rPr>
        <w:rFonts w:hint="default"/>
        <w:lang w:val="uk-UA" w:eastAsia="en-US" w:bidi="ar-SA"/>
      </w:rPr>
    </w:lvl>
    <w:lvl w:ilvl="3" w:tplc="4934DA18">
      <w:numFmt w:val="bullet"/>
      <w:lvlText w:val="•"/>
      <w:lvlJc w:val="left"/>
      <w:pPr>
        <w:ind w:left="575" w:hanging="360"/>
      </w:pPr>
      <w:rPr>
        <w:rFonts w:hint="default"/>
        <w:lang w:val="uk-UA" w:eastAsia="en-US" w:bidi="ar-SA"/>
      </w:rPr>
    </w:lvl>
    <w:lvl w:ilvl="4" w:tplc="87987ABC">
      <w:numFmt w:val="bullet"/>
      <w:lvlText w:val="•"/>
      <w:lvlJc w:val="left"/>
      <w:pPr>
        <w:ind w:left="463" w:hanging="360"/>
      </w:pPr>
      <w:rPr>
        <w:rFonts w:hint="default"/>
        <w:lang w:val="uk-UA" w:eastAsia="en-US" w:bidi="ar-SA"/>
      </w:rPr>
    </w:lvl>
    <w:lvl w:ilvl="5" w:tplc="EF60BF30">
      <w:numFmt w:val="bullet"/>
      <w:lvlText w:val="•"/>
      <w:lvlJc w:val="left"/>
      <w:pPr>
        <w:ind w:left="351" w:hanging="360"/>
      </w:pPr>
      <w:rPr>
        <w:rFonts w:hint="default"/>
        <w:lang w:val="uk-UA" w:eastAsia="en-US" w:bidi="ar-SA"/>
      </w:rPr>
    </w:lvl>
    <w:lvl w:ilvl="6" w:tplc="0A024064">
      <w:numFmt w:val="bullet"/>
      <w:lvlText w:val="•"/>
      <w:lvlJc w:val="left"/>
      <w:pPr>
        <w:ind w:left="239" w:hanging="360"/>
      </w:pPr>
      <w:rPr>
        <w:rFonts w:hint="default"/>
        <w:lang w:val="uk-UA" w:eastAsia="en-US" w:bidi="ar-SA"/>
      </w:rPr>
    </w:lvl>
    <w:lvl w:ilvl="7" w:tplc="862234B2">
      <w:numFmt w:val="bullet"/>
      <w:lvlText w:val="•"/>
      <w:lvlJc w:val="left"/>
      <w:pPr>
        <w:ind w:left="127" w:hanging="360"/>
      </w:pPr>
      <w:rPr>
        <w:rFonts w:hint="default"/>
        <w:lang w:val="uk-UA" w:eastAsia="en-US" w:bidi="ar-SA"/>
      </w:rPr>
    </w:lvl>
    <w:lvl w:ilvl="8" w:tplc="E47CF5C0">
      <w:numFmt w:val="bullet"/>
      <w:lvlText w:val="•"/>
      <w:lvlJc w:val="left"/>
      <w:pPr>
        <w:ind w:left="15" w:hanging="360"/>
      </w:pPr>
      <w:rPr>
        <w:rFonts w:hint="default"/>
        <w:lang w:val="uk-UA" w:eastAsia="en-US" w:bidi="ar-SA"/>
      </w:rPr>
    </w:lvl>
  </w:abstractNum>
  <w:abstractNum w:abstractNumId="152" w15:restartNumberingAfterBreak="0">
    <w:nsid w:val="52931959"/>
    <w:multiLevelType w:val="hybridMultilevel"/>
    <w:tmpl w:val="5A7A905A"/>
    <w:lvl w:ilvl="0" w:tplc="44584B4E">
      <w:start w:val="1"/>
      <w:numFmt w:val="decimal"/>
      <w:lvlText w:val="%1)"/>
      <w:lvlJc w:val="left"/>
      <w:pPr>
        <w:ind w:left="440" w:hanging="235"/>
      </w:pPr>
      <w:rPr>
        <w:rFonts w:ascii="Times New Roman" w:eastAsia="Times New Roman" w:hAnsi="Times New Roman" w:cs="Times New Roman" w:hint="default"/>
        <w:spacing w:val="0"/>
        <w:w w:val="99"/>
        <w:sz w:val="20"/>
        <w:szCs w:val="20"/>
        <w:lang w:val="uk-UA" w:eastAsia="en-US" w:bidi="ar-SA"/>
      </w:rPr>
    </w:lvl>
    <w:lvl w:ilvl="1" w:tplc="746AA538">
      <w:numFmt w:val="bullet"/>
      <w:lvlText w:val="•"/>
      <w:lvlJc w:val="left"/>
      <w:pPr>
        <w:ind w:left="908" w:hanging="235"/>
      </w:pPr>
      <w:rPr>
        <w:rFonts w:hint="default"/>
        <w:lang w:val="uk-UA" w:eastAsia="en-US" w:bidi="ar-SA"/>
      </w:rPr>
    </w:lvl>
    <w:lvl w:ilvl="2" w:tplc="02328A34">
      <w:numFmt w:val="bullet"/>
      <w:lvlText w:val="•"/>
      <w:lvlJc w:val="left"/>
      <w:pPr>
        <w:ind w:left="1377" w:hanging="235"/>
      </w:pPr>
      <w:rPr>
        <w:rFonts w:hint="default"/>
        <w:lang w:val="uk-UA" w:eastAsia="en-US" w:bidi="ar-SA"/>
      </w:rPr>
    </w:lvl>
    <w:lvl w:ilvl="3" w:tplc="6E369150">
      <w:numFmt w:val="bullet"/>
      <w:lvlText w:val="•"/>
      <w:lvlJc w:val="left"/>
      <w:pPr>
        <w:ind w:left="1845" w:hanging="235"/>
      </w:pPr>
      <w:rPr>
        <w:rFonts w:hint="default"/>
        <w:lang w:val="uk-UA" w:eastAsia="en-US" w:bidi="ar-SA"/>
      </w:rPr>
    </w:lvl>
    <w:lvl w:ilvl="4" w:tplc="258822BC">
      <w:numFmt w:val="bullet"/>
      <w:lvlText w:val="•"/>
      <w:lvlJc w:val="left"/>
      <w:pPr>
        <w:ind w:left="2314" w:hanging="235"/>
      </w:pPr>
      <w:rPr>
        <w:rFonts w:hint="default"/>
        <w:lang w:val="uk-UA" w:eastAsia="en-US" w:bidi="ar-SA"/>
      </w:rPr>
    </w:lvl>
    <w:lvl w:ilvl="5" w:tplc="023E6102">
      <w:numFmt w:val="bullet"/>
      <w:lvlText w:val="•"/>
      <w:lvlJc w:val="left"/>
      <w:pPr>
        <w:ind w:left="2783" w:hanging="235"/>
      </w:pPr>
      <w:rPr>
        <w:rFonts w:hint="default"/>
        <w:lang w:val="uk-UA" w:eastAsia="en-US" w:bidi="ar-SA"/>
      </w:rPr>
    </w:lvl>
    <w:lvl w:ilvl="6" w:tplc="14508C0E">
      <w:numFmt w:val="bullet"/>
      <w:lvlText w:val="•"/>
      <w:lvlJc w:val="left"/>
      <w:pPr>
        <w:ind w:left="3251" w:hanging="235"/>
      </w:pPr>
      <w:rPr>
        <w:rFonts w:hint="default"/>
        <w:lang w:val="uk-UA" w:eastAsia="en-US" w:bidi="ar-SA"/>
      </w:rPr>
    </w:lvl>
    <w:lvl w:ilvl="7" w:tplc="669A76E8">
      <w:numFmt w:val="bullet"/>
      <w:lvlText w:val="•"/>
      <w:lvlJc w:val="left"/>
      <w:pPr>
        <w:ind w:left="3720" w:hanging="235"/>
      </w:pPr>
      <w:rPr>
        <w:rFonts w:hint="default"/>
        <w:lang w:val="uk-UA" w:eastAsia="en-US" w:bidi="ar-SA"/>
      </w:rPr>
    </w:lvl>
    <w:lvl w:ilvl="8" w:tplc="27EE200A">
      <w:numFmt w:val="bullet"/>
      <w:lvlText w:val="•"/>
      <w:lvlJc w:val="left"/>
      <w:pPr>
        <w:ind w:left="4188" w:hanging="235"/>
      </w:pPr>
      <w:rPr>
        <w:rFonts w:hint="default"/>
        <w:lang w:val="uk-UA" w:eastAsia="en-US" w:bidi="ar-SA"/>
      </w:rPr>
    </w:lvl>
  </w:abstractNum>
  <w:abstractNum w:abstractNumId="153" w15:restartNumberingAfterBreak="0">
    <w:nsid w:val="53774E7C"/>
    <w:multiLevelType w:val="hybridMultilevel"/>
    <w:tmpl w:val="74324252"/>
    <w:lvl w:ilvl="0" w:tplc="B5867F9C">
      <w:numFmt w:val="bullet"/>
      <w:lvlText w:val="-"/>
      <w:lvlJc w:val="left"/>
      <w:pPr>
        <w:ind w:left="800" w:hanging="360"/>
      </w:pPr>
      <w:rPr>
        <w:rFonts w:ascii="Times New Roman" w:eastAsia="Times New Roman" w:hAnsi="Times New Roman" w:cs="Times New Roman" w:hint="default"/>
        <w:w w:val="99"/>
        <w:sz w:val="20"/>
        <w:szCs w:val="20"/>
        <w:lang w:val="uk-UA" w:eastAsia="en-US" w:bidi="ar-SA"/>
      </w:rPr>
    </w:lvl>
    <w:lvl w:ilvl="1" w:tplc="1884C93A">
      <w:numFmt w:val="bullet"/>
      <w:lvlText w:val="•"/>
      <w:lvlJc w:val="left"/>
      <w:pPr>
        <w:ind w:left="1232" w:hanging="360"/>
      </w:pPr>
      <w:rPr>
        <w:rFonts w:hint="default"/>
        <w:lang w:val="uk-UA" w:eastAsia="en-US" w:bidi="ar-SA"/>
      </w:rPr>
    </w:lvl>
    <w:lvl w:ilvl="2" w:tplc="620828E8">
      <w:numFmt w:val="bullet"/>
      <w:lvlText w:val="•"/>
      <w:lvlJc w:val="left"/>
      <w:pPr>
        <w:ind w:left="1665" w:hanging="360"/>
      </w:pPr>
      <w:rPr>
        <w:rFonts w:hint="default"/>
        <w:lang w:val="uk-UA" w:eastAsia="en-US" w:bidi="ar-SA"/>
      </w:rPr>
    </w:lvl>
    <w:lvl w:ilvl="3" w:tplc="B3DA60DE">
      <w:numFmt w:val="bullet"/>
      <w:lvlText w:val="•"/>
      <w:lvlJc w:val="left"/>
      <w:pPr>
        <w:ind w:left="2097" w:hanging="360"/>
      </w:pPr>
      <w:rPr>
        <w:rFonts w:hint="default"/>
        <w:lang w:val="uk-UA" w:eastAsia="en-US" w:bidi="ar-SA"/>
      </w:rPr>
    </w:lvl>
    <w:lvl w:ilvl="4" w:tplc="9FA644FA">
      <w:numFmt w:val="bullet"/>
      <w:lvlText w:val="•"/>
      <w:lvlJc w:val="left"/>
      <w:pPr>
        <w:ind w:left="2530" w:hanging="360"/>
      </w:pPr>
      <w:rPr>
        <w:rFonts w:hint="default"/>
        <w:lang w:val="uk-UA" w:eastAsia="en-US" w:bidi="ar-SA"/>
      </w:rPr>
    </w:lvl>
    <w:lvl w:ilvl="5" w:tplc="7EDC473E">
      <w:numFmt w:val="bullet"/>
      <w:lvlText w:val="•"/>
      <w:lvlJc w:val="left"/>
      <w:pPr>
        <w:ind w:left="2962" w:hanging="360"/>
      </w:pPr>
      <w:rPr>
        <w:rFonts w:hint="default"/>
        <w:lang w:val="uk-UA" w:eastAsia="en-US" w:bidi="ar-SA"/>
      </w:rPr>
    </w:lvl>
    <w:lvl w:ilvl="6" w:tplc="A9BADFD8">
      <w:numFmt w:val="bullet"/>
      <w:lvlText w:val="•"/>
      <w:lvlJc w:val="left"/>
      <w:pPr>
        <w:ind w:left="3395" w:hanging="360"/>
      </w:pPr>
      <w:rPr>
        <w:rFonts w:hint="default"/>
        <w:lang w:val="uk-UA" w:eastAsia="en-US" w:bidi="ar-SA"/>
      </w:rPr>
    </w:lvl>
    <w:lvl w:ilvl="7" w:tplc="E23CA790">
      <w:numFmt w:val="bullet"/>
      <w:lvlText w:val="•"/>
      <w:lvlJc w:val="left"/>
      <w:pPr>
        <w:ind w:left="3827" w:hanging="360"/>
      </w:pPr>
      <w:rPr>
        <w:rFonts w:hint="default"/>
        <w:lang w:val="uk-UA" w:eastAsia="en-US" w:bidi="ar-SA"/>
      </w:rPr>
    </w:lvl>
    <w:lvl w:ilvl="8" w:tplc="D5FA8FC4">
      <w:numFmt w:val="bullet"/>
      <w:lvlText w:val="•"/>
      <w:lvlJc w:val="left"/>
      <w:pPr>
        <w:ind w:left="4260" w:hanging="360"/>
      </w:pPr>
      <w:rPr>
        <w:rFonts w:hint="default"/>
        <w:lang w:val="uk-UA" w:eastAsia="en-US" w:bidi="ar-SA"/>
      </w:rPr>
    </w:lvl>
  </w:abstractNum>
  <w:abstractNum w:abstractNumId="154" w15:restartNumberingAfterBreak="0">
    <w:nsid w:val="53A7689D"/>
    <w:multiLevelType w:val="hybridMultilevel"/>
    <w:tmpl w:val="29A87CEA"/>
    <w:lvl w:ilvl="0" w:tplc="9CBC3EE6">
      <w:start w:val="1"/>
      <w:numFmt w:val="decimal"/>
      <w:lvlText w:val="%1)"/>
      <w:lvlJc w:val="left"/>
      <w:pPr>
        <w:ind w:left="316" w:hanging="233"/>
        <w:jc w:val="right"/>
      </w:pPr>
      <w:rPr>
        <w:rFonts w:ascii="Times New Roman" w:eastAsia="Times New Roman" w:hAnsi="Times New Roman" w:cs="Times New Roman" w:hint="default"/>
        <w:spacing w:val="0"/>
        <w:w w:val="99"/>
        <w:sz w:val="20"/>
        <w:szCs w:val="20"/>
        <w:lang w:val="uk-UA" w:eastAsia="en-US" w:bidi="ar-SA"/>
      </w:rPr>
    </w:lvl>
    <w:lvl w:ilvl="1" w:tplc="76287D1A">
      <w:numFmt w:val="bullet"/>
      <w:lvlText w:val="•"/>
      <w:lvlJc w:val="left"/>
      <w:pPr>
        <w:ind w:left="824" w:hanging="233"/>
      </w:pPr>
      <w:rPr>
        <w:rFonts w:hint="default"/>
        <w:lang w:val="uk-UA" w:eastAsia="en-US" w:bidi="ar-SA"/>
      </w:rPr>
    </w:lvl>
    <w:lvl w:ilvl="2" w:tplc="F1863B4A">
      <w:numFmt w:val="bullet"/>
      <w:lvlText w:val="•"/>
      <w:lvlJc w:val="left"/>
      <w:pPr>
        <w:ind w:left="1328" w:hanging="233"/>
      </w:pPr>
      <w:rPr>
        <w:rFonts w:hint="default"/>
        <w:lang w:val="uk-UA" w:eastAsia="en-US" w:bidi="ar-SA"/>
      </w:rPr>
    </w:lvl>
    <w:lvl w:ilvl="3" w:tplc="0FA8FAD6">
      <w:numFmt w:val="bullet"/>
      <w:lvlText w:val="•"/>
      <w:lvlJc w:val="left"/>
      <w:pPr>
        <w:ind w:left="1832" w:hanging="233"/>
      </w:pPr>
      <w:rPr>
        <w:rFonts w:hint="default"/>
        <w:lang w:val="uk-UA" w:eastAsia="en-US" w:bidi="ar-SA"/>
      </w:rPr>
    </w:lvl>
    <w:lvl w:ilvl="4" w:tplc="96AE1078">
      <w:numFmt w:val="bullet"/>
      <w:lvlText w:val="•"/>
      <w:lvlJc w:val="left"/>
      <w:pPr>
        <w:ind w:left="2336" w:hanging="233"/>
      </w:pPr>
      <w:rPr>
        <w:rFonts w:hint="default"/>
        <w:lang w:val="uk-UA" w:eastAsia="en-US" w:bidi="ar-SA"/>
      </w:rPr>
    </w:lvl>
    <w:lvl w:ilvl="5" w:tplc="17D0DAF8">
      <w:numFmt w:val="bullet"/>
      <w:lvlText w:val="•"/>
      <w:lvlJc w:val="left"/>
      <w:pPr>
        <w:ind w:left="2840" w:hanging="233"/>
      </w:pPr>
      <w:rPr>
        <w:rFonts w:hint="default"/>
        <w:lang w:val="uk-UA" w:eastAsia="en-US" w:bidi="ar-SA"/>
      </w:rPr>
    </w:lvl>
    <w:lvl w:ilvl="6" w:tplc="19787B2A">
      <w:numFmt w:val="bullet"/>
      <w:lvlText w:val="•"/>
      <w:lvlJc w:val="left"/>
      <w:pPr>
        <w:ind w:left="3344" w:hanging="233"/>
      </w:pPr>
      <w:rPr>
        <w:rFonts w:hint="default"/>
        <w:lang w:val="uk-UA" w:eastAsia="en-US" w:bidi="ar-SA"/>
      </w:rPr>
    </w:lvl>
    <w:lvl w:ilvl="7" w:tplc="65F4A782">
      <w:numFmt w:val="bullet"/>
      <w:lvlText w:val="•"/>
      <w:lvlJc w:val="left"/>
      <w:pPr>
        <w:ind w:left="3848" w:hanging="233"/>
      </w:pPr>
      <w:rPr>
        <w:rFonts w:hint="default"/>
        <w:lang w:val="uk-UA" w:eastAsia="en-US" w:bidi="ar-SA"/>
      </w:rPr>
    </w:lvl>
    <w:lvl w:ilvl="8" w:tplc="9C6A1F94">
      <w:numFmt w:val="bullet"/>
      <w:lvlText w:val="•"/>
      <w:lvlJc w:val="left"/>
      <w:pPr>
        <w:ind w:left="4352" w:hanging="233"/>
      </w:pPr>
      <w:rPr>
        <w:rFonts w:hint="default"/>
        <w:lang w:val="uk-UA" w:eastAsia="en-US" w:bidi="ar-SA"/>
      </w:rPr>
    </w:lvl>
  </w:abstractNum>
  <w:abstractNum w:abstractNumId="155" w15:restartNumberingAfterBreak="0">
    <w:nsid w:val="54840166"/>
    <w:multiLevelType w:val="hybridMultilevel"/>
    <w:tmpl w:val="A1163816"/>
    <w:lvl w:ilvl="0" w:tplc="0F96459C">
      <w:start w:val="2"/>
      <w:numFmt w:val="lowerLetter"/>
      <w:lvlText w:val="%1)"/>
      <w:lvlJc w:val="left"/>
      <w:pPr>
        <w:ind w:left="316" w:hanging="228"/>
      </w:pPr>
      <w:rPr>
        <w:rFonts w:ascii="Times New Roman" w:eastAsia="Times New Roman" w:hAnsi="Times New Roman" w:cs="Times New Roman" w:hint="default"/>
        <w:spacing w:val="0"/>
        <w:w w:val="99"/>
        <w:sz w:val="20"/>
        <w:szCs w:val="20"/>
        <w:lang w:val="uk-UA" w:eastAsia="en-US" w:bidi="ar-SA"/>
      </w:rPr>
    </w:lvl>
    <w:lvl w:ilvl="1" w:tplc="FAD41AAA">
      <w:start w:val="1"/>
      <w:numFmt w:val="decimal"/>
      <w:lvlText w:val="%2."/>
      <w:lvlJc w:val="left"/>
      <w:pPr>
        <w:ind w:left="800" w:hanging="360"/>
      </w:pPr>
      <w:rPr>
        <w:rFonts w:ascii="Times New Roman" w:eastAsia="Times New Roman" w:hAnsi="Times New Roman" w:cs="Times New Roman" w:hint="default"/>
        <w:spacing w:val="-2"/>
        <w:w w:val="99"/>
        <w:sz w:val="20"/>
        <w:szCs w:val="20"/>
        <w:lang w:val="uk-UA" w:eastAsia="en-US" w:bidi="ar-SA"/>
      </w:rPr>
    </w:lvl>
    <w:lvl w:ilvl="2" w:tplc="5692B108">
      <w:numFmt w:val="bullet"/>
      <w:lvlText w:val="•"/>
      <w:lvlJc w:val="left"/>
      <w:pPr>
        <w:ind w:left="706" w:hanging="360"/>
      </w:pPr>
      <w:rPr>
        <w:rFonts w:hint="default"/>
        <w:lang w:val="uk-UA" w:eastAsia="en-US" w:bidi="ar-SA"/>
      </w:rPr>
    </w:lvl>
    <w:lvl w:ilvl="3" w:tplc="EFF2AF04">
      <w:numFmt w:val="bullet"/>
      <w:lvlText w:val="•"/>
      <w:lvlJc w:val="left"/>
      <w:pPr>
        <w:ind w:left="613" w:hanging="360"/>
      </w:pPr>
      <w:rPr>
        <w:rFonts w:hint="default"/>
        <w:lang w:val="uk-UA" w:eastAsia="en-US" w:bidi="ar-SA"/>
      </w:rPr>
    </w:lvl>
    <w:lvl w:ilvl="4" w:tplc="E332AE58">
      <w:numFmt w:val="bullet"/>
      <w:lvlText w:val="•"/>
      <w:lvlJc w:val="left"/>
      <w:pPr>
        <w:ind w:left="519" w:hanging="360"/>
      </w:pPr>
      <w:rPr>
        <w:rFonts w:hint="default"/>
        <w:lang w:val="uk-UA" w:eastAsia="en-US" w:bidi="ar-SA"/>
      </w:rPr>
    </w:lvl>
    <w:lvl w:ilvl="5" w:tplc="09685FDA">
      <w:numFmt w:val="bullet"/>
      <w:lvlText w:val="•"/>
      <w:lvlJc w:val="left"/>
      <w:pPr>
        <w:ind w:left="426" w:hanging="360"/>
      </w:pPr>
      <w:rPr>
        <w:rFonts w:hint="default"/>
        <w:lang w:val="uk-UA" w:eastAsia="en-US" w:bidi="ar-SA"/>
      </w:rPr>
    </w:lvl>
    <w:lvl w:ilvl="6" w:tplc="B37419B8">
      <w:numFmt w:val="bullet"/>
      <w:lvlText w:val="•"/>
      <w:lvlJc w:val="left"/>
      <w:pPr>
        <w:ind w:left="332" w:hanging="360"/>
      </w:pPr>
      <w:rPr>
        <w:rFonts w:hint="default"/>
        <w:lang w:val="uk-UA" w:eastAsia="en-US" w:bidi="ar-SA"/>
      </w:rPr>
    </w:lvl>
    <w:lvl w:ilvl="7" w:tplc="F6BAE6E0">
      <w:numFmt w:val="bullet"/>
      <w:lvlText w:val="•"/>
      <w:lvlJc w:val="left"/>
      <w:pPr>
        <w:ind w:left="239" w:hanging="360"/>
      </w:pPr>
      <w:rPr>
        <w:rFonts w:hint="default"/>
        <w:lang w:val="uk-UA" w:eastAsia="en-US" w:bidi="ar-SA"/>
      </w:rPr>
    </w:lvl>
    <w:lvl w:ilvl="8" w:tplc="AEC89AA6">
      <w:numFmt w:val="bullet"/>
      <w:lvlText w:val="•"/>
      <w:lvlJc w:val="left"/>
      <w:pPr>
        <w:ind w:left="146" w:hanging="360"/>
      </w:pPr>
      <w:rPr>
        <w:rFonts w:hint="default"/>
        <w:lang w:val="uk-UA" w:eastAsia="en-US" w:bidi="ar-SA"/>
      </w:rPr>
    </w:lvl>
  </w:abstractNum>
  <w:abstractNum w:abstractNumId="156" w15:restartNumberingAfterBreak="0">
    <w:nsid w:val="54BC0563"/>
    <w:multiLevelType w:val="hybridMultilevel"/>
    <w:tmpl w:val="C146307E"/>
    <w:lvl w:ilvl="0" w:tplc="849605D0">
      <w:start w:val="3"/>
      <w:numFmt w:val="bullet"/>
      <w:lvlText w:val="-"/>
      <w:lvlJc w:val="left"/>
      <w:pPr>
        <w:ind w:left="870" w:hanging="360"/>
      </w:pPr>
      <w:rPr>
        <w:rFonts w:ascii="Calibri Light" w:eastAsia="Tahoma" w:hAnsi="Calibri Light" w:cs="Calibri Light" w:hint="default"/>
      </w:rPr>
    </w:lvl>
    <w:lvl w:ilvl="1" w:tplc="04190003" w:tentative="1">
      <w:start w:val="1"/>
      <w:numFmt w:val="bullet"/>
      <w:lvlText w:val="o"/>
      <w:lvlJc w:val="left"/>
      <w:pPr>
        <w:ind w:left="1440" w:hanging="360"/>
      </w:pPr>
      <w:rPr>
        <w:rFonts w:ascii="Symbol" w:hAnsi="Symbol" w:cs="Symbol" w:hint="default"/>
      </w:rPr>
    </w:lvl>
    <w:lvl w:ilvl="2" w:tplc="04190005" w:tentative="1">
      <w:start w:val="1"/>
      <w:numFmt w:val="bullet"/>
      <w:lvlText w:val=""/>
      <w:lvlJc w:val="left"/>
      <w:pPr>
        <w:ind w:left="2160" w:hanging="360"/>
      </w:pPr>
      <w:rPr>
        <w:rFonts w:ascii="Times New Roman Полужирный" w:hAnsi="Times New Roman Полужирный" w:hint="default"/>
      </w:rPr>
    </w:lvl>
    <w:lvl w:ilvl="3" w:tplc="04190001" w:tentative="1">
      <w:start w:val="1"/>
      <w:numFmt w:val="bullet"/>
      <w:lvlText w:val=""/>
      <w:lvlJc w:val="left"/>
      <w:pPr>
        <w:ind w:left="2880" w:hanging="360"/>
      </w:pPr>
      <w:rPr>
        <w:rFonts w:ascii="Calibri" w:hAnsi="Calibri" w:hint="default"/>
      </w:rPr>
    </w:lvl>
    <w:lvl w:ilvl="4" w:tplc="04190003" w:tentative="1">
      <w:start w:val="1"/>
      <w:numFmt w:val="bullet"/>
      <w:lvlText w:val="o"/>
      <w:lvlJc w:val="left"/>
      <w:pPr>
        <w:ind w:left="3600" w:hanging="360"/>
      </w:pPr>
      <w:rPr>
        <w:rFonts w:ascii="Symbol" w:hAnsi="Symbol" w:cs="Symbol" w:hint="default"/>
      </w:rPr>
    </w:lvl>
    <w:lvl w:ilvl="5" w:tplc="04190005" w:tentative="1">
      <w:start w:val="1"/>
      <w:numFmt w:val="bullet"/>
      <w:lvlText w:val=""/>
      <w:lvlJc w:val="left"/>
      <w:pPr>
        <w:ind w:left="4320" w:hanging="360"/>
      </w:pPr>
      <w:rPr>
        <w:rFonts w:ascii="Times New Roman Полужирный" w:hAnsi="Times New Roman Полужирный" w:hint="default"/>
      </w:rPr>
    </w:lvl>
    <w:lvl w:ilvl="6" w:tplc="04190001" w:tentative="1">
      <w:start w:val="1"/>
      <w:numFmt w:val="bullet"/>
      <w:lvlText w:val=""/>
      <w:lvlJc w:val="left"/>
      <w:pPr>
        <w:ind w:left="5040" w:hanging="360"/>
      </w:pPr>
      <w:rPr>
        <w:rFonts w:ascii="Calibri" w:hAnsi="Calibri" w:hint="default"/>
      </w:rPr>
    </w:lvl>
    <w:lvl w:ilvl="7" w:tplc="04190003" w:tentative="1">
      <w:start w:val="1"/>
      <w:numFmt w:val="bullet"/>
      <w:lvlText w:val="o"/>
      <w:lvlJc w:val="left"/>
      <w:pPr>
        <w:ind w:left="5760" w:hanging="360"/>
      </w:pPr>
      <w:rPr>
        <w:rFonts w:ascii="Symbol" w:hAnsi="Symbol" w:cs="Symbol" w:hint="default"/>
      </w:rPr>
    </w:lvl>
    <w:lvl w:ilvl="8" w:tplc="04190005" w:tentative="1">
      <w:start w:val="1"/>
      <w:numFmt w:val="bullet"/>
      <w:lvlText w:val=""/>
      <w:lvlJc w:val="left"/>
      <w:pPr>
        <w:ind w:left="6480" w:hanging="360"/>
      </w:pPr>
      <w:rPr>
        <w:rFonts w:ascii="Times New Roman Полужирный" w:hAnsi="Times New Roman Полужирный" w:hint="default"/>
      </w:rPr>
    </w:lvl>
  </w:abstractNum>
  <w:abstractNum w:abstractNumId="157" w15:restartNumberingAfterBreak="0">
    <w:nsid w:val="54C26992"/>
    <w:multiLevelType w:val="hybridMultilevel"/>
    <w:tmpl w:val="A1607ECE"/>
    <w:lvl w:ilvl="0" w:tplc="448E4B24">
      <w:numFmt w:val="bullet"/>
      <w:lvlText w:val="-"/>
      <w:lvlJc w:val="left"/>
      <w:pPr>
        <w:ind w:left="620" w:hanging="140"/>
      </w:pPr>
      <w:rPr>
        <w:rFonts w:ascii="Times New Roman" w:eastAsia="Times New Roman" w:hAnsi="Times New Roman" w:cs="Times New Roman" w:hint="default"/>
        <w:w w:val="99"/>
        <w:sz w:val="20"/>
        <w:szCs w:val="20"/>
        <w:lang w:val="uk-UA" w:eastAsia="en-US" w:bidi="ar-SA"/>
      </w:rPr>
    </w:lvl>
    <w:lvl w:ilvl="1" w:tplc="FB826BF8">
      <w:numFmt w:val="bullet"/>
      <w:lvlText w:val="•"/>
      <w:lvlJc w:val="left"/>
      <w:pPr>
        <w:ind w:left="1070" w:hanging="140"/>
      </w:pPr>
      <w:rPr>
        <w:rFonts w:hint="default"/>
        <w:lang w:val="uk-UA" w:eastAsia="en-US" w:bidi="ar-SA"/>
      </w:rPr>
    </w:lvl>
    <w:lvl w:ilvl="2" w:tplc="9F201294">
      <w:numFmt w:val="bullet"/>
      <w:lvlText w:val="•"/>
      <w:lvlJc w:val="left"/>
      <w:pPr>
        <w:ind w:left="1521" w:hanging="140"/>
      </w:pPr>
      <w:rPr>
        <w:rFonts w:hint="default"/>
        <w:lang w:val="uk-UA" w:eastAsia="en-US" w:bidi="ar-SA"/>
      </w:rPr>
    </w:lvl>
    <w:lvl w:ilvl="3" w:tplc="303A8D00">
      <w:numFmt w:val="bullet"/>
      <w:lvlText w:val="•"/>
      <w:lvlJc w:val="left"/>
      <w:pPr>
        <w:ind w:left="1971" w:hanging="140"/>
      </w:pPr>
      <w:rPr>
        <w:rFonts w:hint="default"/>
        <w:lang w:val="uk-UA" w:eastAsia="en-US" w:bidi="ar-SA"/>
      </w:rPr>
    </w:lvl>
    <w:lvl w:ilvl="4" w:tplc="BF780D4E">
      <w:numFmt w:val="bullet"/>
      <w:lvlText w:val="•"/>
      <w:lvlJc w:val="left"/>
      <w:pPr>
        <w:ind w:left="2422" w:hanging="140"/>
      </w:pPr>
      <w:rPr>
        <w:rFonts w:hint="default"/>
        <w:lang w:val="uk-UA" w:eastAsia="en-US" w:bidi="ar-SA"/>
      </w:rPr>
    </w:lvl>
    <w:lvl w:ilvl="5" w:tplc="CC601992">
      <w:numFmt w:val="bullet"/>
      <w:lvlText w:val="•"/>
      <w:lvlJc w:val="left"/>
      <w:pPr>
        <w:ind w:left="2872" w:hanging="140"/>
      </w:pPr>
      <w:rPr>
        <w:rFonts w:hint="default"/>
        <w:lang w:val="uk-UA" w:eastAsia="en-US" w:bidi="ar-SA"/>
      </w:rPr>
    </w:lvl>
    <w:lvl w:ilvl="6" w:tplc="398E6DC8">
      <w:numFmt w:val="bullet"/>
      <w:lvlText w:val="•"/>
      <w:lvlJc w:val="left"/>
      <w:pPr>
        <w:ind w:left="3323" w:hanging="140"/>
      </w:pPr>
      <w:rPr>
        <w:rFonts w:hint="default"/>
        <w:lang w:val="uk-UA" w:eastAsia="en-US" w:bidi="ar-SA"/>
      </w:rPr>
    </w:lvl>
    <w:lvl w:ilvl="7" w:tplc="279C1A3A">
      <w:numFmt w:val="bullet"/>
      <w:lvlText w:val="•"/>
      <w:lvlJc w:val="left"/>
      <w:pPr>
        <w:ind w:left="3773" w:hanging="140"/>
      </w:pPr>
      <w:rPr>
        <w:rFonts w:hint="default"/>
        <w:lang w:val="uk-UA" w:eastAsia="en-US" w:bidi="ar-SA"/>
      </w:rPr>
    </w:lvl>
    <w:lvl w:ilvl="8" w:tplc="8A008B88">
      <w:numFmt w:val="bullet"/>
      <w:lvlText w:val="•"/>
      <w:lvlJc w:val="left"/>
      <w:pPr>
        <w:ind w:left="4224" w:hanging="140"/>
      </w:pPr>
      <w:rPr>
        <w:rFonts w:hint="default"/>
        <w:lang w:val="uk-UA" w:eastAsia="en-US" w:bidi="ar-SA"/>
      </w:rPr>
    </w:lvl>
  </w:abstractNum>
  <w:abstractNum w:abstractNumId="158" w15:restartNumberingAfterBreak="0">
    <w:nsid w:val="54EA5E81"/>
    <w:multiLevelType w:val="hybridMultilevel"/>
    <w:tmpl w:val="A0AC9194"/>
    <w:lvl w:ilvl="0" w:tplc="4A064506">
      <w:start w:val="1"/>
      <w:numFmt w:val="lowerLetter"/>
      <w:lvlText w:val="%1)"/>
      <w:lvlJc w:val="left"/>
      <w:pPr>
        <w:ind w:left="317" w:hanging="214"/>
      </w:pPr>
      <w:rPr>
        <w:rFonts w:ascii="Times New Roman" w:eastAsia="Times New Roman" w:hAnsi="Times New Roman" w:cs="Times New Roman" w:hint="default"/>
        <w:w w:val="99"/>
        <w:sz w:val="20"/>
        <w:szCs w:val="20"/>
        <w:lang w:val="uk-UA" w:eastAsia="en-US" w:bidi="ar-SA"/>
      </w:rPr>
    </w:lvl>
    <w:lvl w:ilvl="1" w:tplc="84B6B3FE">
      <w:start w:val="1"/>
      <w:numFmt w:val="decimal"/>
      <w:lvlText w:val="%2)"/>
      <w:lvlJc w:val="left"/>
      <w:pPr>
        <w:ind w:left="519" w:hanging="235"/>
      </w:pPr>
      <w:rPr>
        <w:rFonts w:ascii="Times New Roman" w:eastAsia="Times New Roman" w:hAnsi="Times New Roman" w:cs="Times New Roman" w:hint="default"/>
        <w:spacing w:val="0"/>
        <w:w w:val="99"/>
        <w:sz w:val="20"/>
        <w:szCs w:val="20"/>
        <w:lang w:val="uk-UA" w:eastAsia="en-US" w:bidi="ar-SA"/>
      </w:rPr>
    </w:lvl>
    <w:lvl w:ilvl="2" w:tplc="84F665AC">
      <w:numFmt w:val="bullet"/>
      <w:lvlText w:val="•"/>
      <w:lvlJc w:val="left"/>
      <w:pPr>
        <w:ind w:left="1093" w:hanging="235"/>
      </w:pPr>
      <w:rPr>
        <w:rFonts w:hint="default"/>
        <w:lang w:val="uk-UA" w:eastAsia="en-US" w:bidi="ar-SA"/>
      </w:rPr>
    </w:lvl>
    <w:lvl w:ilvl="3" w:tplc="FD22A29C">
      <w:numFmt w:val="bullet"/>
      <w:lvlText w:val="•"/>
      <w:lvlJc w:val="left"/>
      <w:pPr>
        <w:ind w:left="1627" w:hanging="235"/>
      </w:pPr>
      <w:rPr>
        <w:rFonts w:hint="default"/>
        <w:lang w:val="uk-UA" w:eastAsia="en-US" w:bidi="ar-SA"/>
      </w:rPr>
    </w:lvl>
    <w:lvl w:ilvl="4" w:tplc="B35C3F26">
      <w:numFmt w:val="bullet"/>
      <w:lvlText w:val="•"/>
      <w:lvlJc w:val="left"/>
      <w:pPr>
        <w:ind w:left="2160" w:hanging="235"/>
      </w:pPr>
      <w:rPr>
        <w:rFonts w:hint="default"/>
        <w:lang w:val="uk-UA" w:eastAsia="en-US" w:bidi="ar-SA"/>
      </w:rPr>
    </w:lvl>
    <w:lvl w:ilvl="5" w:tplc="25800A36">
      <w:numFmt w:val="bullet"/>
      <w:lvlText w:val="•"/>
      <w:lvlJc w:val="left"/>
      <w:pPr>
        <w:ind w:left="2694" w:hanging="235"/>
      </w:pPr>
      <w:rPr>
        <w:rFonts w:hint="default"/>
        <w:lang w:val="uk-UA" w:eastAsia="en-US" w:bidi="ar-SA"/>
      </w:rPr>
    </w:lvl>
    <w:lvl w:ilvl="6" w:tplc="3F52A3B0">
      <w:numFmt w:val="bullet"/>
      <w:lvlText w:val="•"/>
      <w:lvlJc w:val="left"/>
      <w:pPr>
        <w:ind w:left="3228" w:hanging="235"/>
      </w:pPr>
      <w:rPr>
        <w:rFonts w:hint="default"/>
        <w:lang w:val="uk-UA" w:eastAsia="en-US" w:bidi="ar-SA"/>
      </w:rPr>
    </w:lvl>
    <w:lvl w:ilvl="7" w:tplc="18E8BC0C">
      <w:numFmt w:val="bullet"/>
      <w:lvlText w:val="•"/>
      <w:lvlJc w:val="left"/>
      <w:pPr>
        <w:ind w:left="3761" w:hanging="235"/>
      </w:pPr>
      <w:rPr>
        <w:rFonts w:hint="default"/>
        <w:lang w:val="uk-UA" w:eastAsia="en-US" w:bidi="ar-SA"/>
      </w:rPr>
    </w:lvl>
    <w:lvl w:ilvl="8" w:tplc="9B8CDBD2">
      <w:numFmt w:val="bullet"/>
      <w:lvlText w:val="•"/>
      <w:lvlJc w:val="left"/>
      <w:pPr>
        <w:ind w:left="4295" w:hanging="235"/>
      </w:pPr>
      <w:rPr>
        <w:rFonts w:hint="default"/>
        <w:lang w:val="uk-UA" w:eastAsia="en-US" w:bidi="ar-SA"/>
      </w:rPr>
    </w:lvl>
  </w:abstractNum>
  <w:abstractNum w:abstractNumId="159" w15:restartNumberingAfterBreak="0">
    <w:nsid w:val="558A50AA"/>
    <w:multiLevelType w:val="hybridMultilevel"/>
    <w:tmpl w:val="8BD4BAD2"/>
    <w:lvl w:ilvl="0" w:tplc="B14EB072">
      <w:start w:val="2"/>
      <w:numFmt w:val="lowerLetter"/>
      <w:lvlText w:val="%1)"/>
      <w:lvlJc w:val="left"/>
      <w:pPr>
        <w:ind w:left="317" w:hanging="331"/>
      </w:pPr>
      <w:rPr>
        <w:rFonts w:ascii="Times New Roman" w:eastAsia="Times New Roman" w:hAnsi="Times New Roman" w:cs="Times New Roman" w:hint="default"/>
        <w:spacing w:val="0"/>
        <w:w w:val="99"/>
        <w:sz w:val="20"/>
        <w:szCs w:val="20"/>
        <w:lang w:val="uk-UA" w:eastAsia="en-US" w:bidi="ar-SA"/>
      </w:rPr>
    </w:lvl>
    <w:lvl w:ilvl="1" w:tplc="7DE6874E">
      <w:numFmt w:val="bullet"/>
      <w:lvlText w:val="•"/>
      <w:lvlJc w:val="left"/>
      <w:pPr>
        <w:ind w:left="824" w:hanging="331"/>
      </w:pPr>
      <w:rPr>
        <w:rFonts w:hint="default"/>
        <w:lang w:val="uk-UA" w:eastAsia="en-US" w:bidi="ar-SA"/>
      </w:rPr>
    </w:lvl>
    <w:lvl w:ilvl="2" w:tplc="3822D802">
      <w:numFmt w:val="bullet"/>
      <w:lvlText w:val="•"/>
      <w:lvlJc w:val="left"/>
      <w:pPr>
        <w:ind w:left="1328" w:hanging="331"/>
      </w:pPr>
      <w:rPr>
        <w:rFonts w:hint="default"/>
        <w:lang w:val="uk-UA" w:eastAsia="en-US" w:bidi="ar-SA"/>
      </w:rPr>
    </w:lvl>
    <w:lvl w:ilvl="3" w:tplc="61BCDD80">
      <w:numFmt w:val="bullet"/>
      <w:lvlText w:val="•"/>
      <w:lvlJc w:val="left"/>
      <w:pPr>
        <w:ind w:left="1832" w:hanging="331"/>
      </w:pPr>
      <w:rPr>
        <w:rFonts w:hint="default"/>
        <w:lang w:val="uk-UA" w:eastAsia="en-US" w:bidi="ar-SA"/>
      </w:rPr>
    </w:lvl>
    <w:lvl w:ilvl="4" w:tplc="230E5580">
      <w:numFmt w:val="bullet"/>
      <w:lvlText w:val="•"/>
      <w:lvlJc w:val="left"/>
      <w:pPr>
        <w:ind w:left="2337" w:hanging="331"/>
      </w:pPr>
      <w:rPr>
        <w:rFonts w:hint="default"/>
        <w:lang w:val="uk-UA" w:eastAsia="en-US" w:bidi="ar-SA"/>
      </w:rPr>
    </w:lvl>
    <w:lvl w:ilvl="5" w:tplc="86169840">
      <w:numFmt w:val="bullet"/>
      <w:lvlText w:val="•"/>
      <w:lvlJc w:val="left"/>
      <w:pPr>
        <w:ind w:left="2841" w:hanging="331"/>
      </w:pPr>
      <w:rPr>
        <w:rFonts w:hint="default"/>
        <w:lang w:val="uk-UA" w:eastAsia="en-US" w:bidi="ar-SA"/>
      </w:rPr>
    </w:lvl>
    <w:lvl w:ilvl="6" w:tplc="54525990">
      <w:numFmt w:val="bullet"/>
      <w:lvlText w:val="•"/>
      <w:lvlJc w:val="left"/>
      <w:pPr>
        <w:ind w:left="3345" w:hanging="331"/>
      </w:pPr>
      <w:rPr>
        <w:rFonts w:hint="default"/>
        <w:lang w:val="uk-UA" w:eastAsia="en-US" w:bidi="ar-SA"/>
      </w:rPr>
    </w:lvl>
    <w:lvl w:ilvl="7" w:tplc="7B76F5F8">
      <w:numFmt w:val="bullet"/>
      <w:lvlText w:val="•"/>
      <w:lvlJc w:val="left"/>
      <w:pPr>
        <w:ind w:left="3849" w:hanging="331"/>
      </w:pPr>
      <w:rPr>
        <w:rFonts w:hint="default"/>
        <w:lang w:val="uk-UA" w:eastAsia="en-US" w:bidi="ar-SA"/>
      </w:rPr>
    </w:lvl>
    <w:lvl w:ilvl="8" w:tplc="C9402990">
      <w:numFmt w:val="bullet"/>
      <w:lvlText w:val="•"/>
      <w:lvlJc w:val="left"/>
      <w:pPr>
        <w:ind w:left="4354" w:hanging="331"/>
      </w:pPr>
      <w:rPr>
        <w:rFonts w:hint="default"/>
        <w:lang w:val="uk-UA" w:eastAsia="en-US" w:bidi="ar-SA"/>
      </w:rPr>
    </w:lvl>
  </w:abstractNum>
  <w:abstractNum w:abstractNumId="160" w15:restartNumberingAfterBreak="0">
    <w:nsid w:val="568579E6"/>
    <w:multiLevelType w:val="hybridMultilevel"/>
    <w:tmpl w:val="7C9000CC"/>
    <w:lvl w:ilvl="0" w:tplc="0D806C94">
      <w:start w:val="1"/>
      <w:numFmt w:val="lowerLetter"/>
      <w:lvlText w:val="%1)"/>
      <w:lvlJc w:val="left"/>
      <w:pPr>
        <w:ind w:left="490" w:hanging="206"/>
      </w:pPr>
      <w:rPr>
        <w:rFonts w:ascii="Times New Roman" w:eastAsia="Times New Roman" w:hAnsi="Times New Roman" w:cs="Times New Roman" w:hint="default"/>
        <w:w w:val="99"/>
        <w:sz w:val="20"/>
        <w:szCs w:val="20"/>
        <w:lang w:val="uk-UA" w:eastAsia="en-US" w:bidi="ar-SA"/>
      </w:rPr>
    </w:lvl>
    <w:lvl w:ilvl="1" w:tplc="F4EA7E56">
      <w:start w:val="1"/>
      <w:numFmt w:val="decimal"/>
      <w:lvlText w:val="%2)"/>
      <w:lvlJc w:val="left"/>
      <w:pPr>
        <w:ind w:left="708" w:hanging="218"/>
      </w:pPr>
      <w:rPr>
        <w:rFonts w:ascii="Times New Roman" w:eastAsia="Times New Roman" w:hAnsi="Times New Roman" w:cs="Times New Roman" w:hint="default"/>
        <w:spacing w:val="0"/>
        <w:w w:val="99"/>
        <w:sz w:val="20"/>
        <w:szCs w:val="20"/>
        <w:lang w:val="uk-UA" w:eastAsia="en-US" w:bidi="ar-SA"/>
      </w:rPr>
    </w:lvl>
    <w:lvl w:ilvl="2" w:tplc="0FC8D2FC">
      <w:numFmt w:val="bullet"/>
      <w:lvlText w:val="•"/>
      <w:lvlJc w:val="left"/>
      <w:pPr>
        <w:ind w:left="1217" w:hanging="218"/>
      </w:pPr>
      <w:rPr>
        <w:rFonts w:hint="default"/>
        <w:lang w:val="uk-UA" w:eastAsia="en-US" w:bidi="ar-SA"/>
      </w:rPr>
    </w:lvl>
    <w:lvl w:ilvl="3" w:tplc="AA04FFE8">
      <w:numFmt w:val="bullet"/>
      <w:lvlText w:val="•"/>
      <w:lvlJc w:val="left"/>
      <w:pPr>
        <w:ind w:left="1735" w:hanging="218"/>
      </w:pPr>
      <w:rPr>
        <w:rFonts w:hint="default"/>
        <w:lang w:val="uk-UA" w:eastAsia="en-US" w:bidi="ar-SA"/>
      </w:rPr>
    </w:lvl>
    <w:lvl w:ilvl="4" w:tplc="F6A82488">
      <w:numFmt w:val="bullet"/>
      <w:lvlText w:val="•"/>
      <w:lvlJc w:val="left"/>
      <w:pPr>
        <w:ind w:left="2253" w:hanging="218"/>
      </w:pPr>
      <w:rPr>
        <w:rFonts w:hint="default"/>
        <w:lang w:val="uk-UA" w:eastAsia="en-US" w:bidi="ar-SA"/>
      </w:rPr>
    </w:lvl>
    <w:lvl w:ilvl="5" w:tplc="F2BEF30C">
      <w:numFmt w:val="bullet"/>
      <w:lvlText w:val="•"/>
      <w:lvlJc w:val="left"/>
      <w:pPr>
        <w:ind w:left="2771" w:hanging="218"/>
      </w:pPr>
      <w:rPr>
        <w:rFonts w:hint="default"/>
        <w:lang w:val="uk-UA" w:eastAsia="en-US" w:bidi="ar-SA"/>
      </w:rPr>
    </w:lvl>
    <w:lvl w:ilvl="6" w:tplc="B9D23078">
      <w:numFmt w:val="bullet"/>
      <w:lvlText w:val="•"/>
      <w:lvlJc w:val="left"/>
      <w:pPr>
        <w:ind w:left="3289" w:hanging="218"/>
      </w:pPr>
      <w:rPr>
        <w:rFonts w:hint="default"/>
        <w:lang w:val="uk-UA" w:eastAsia="en-US" w:bidi="ar-SA"/>
      </w:rPr>
    </w:lvl>
    <w:lvl w:ilvl="7" w:tplc="D0D641E8">
      <w:numFmt w:val="bullet"/>
      <w:lvlText w:val="•"/>
      <w:lvlJc w:val="left"/>
      <w:pPr>
        <w:ind w:left="3806" w:hanging="218"/>
      </w:pPr>
      <w:rPr>
        <w:rFonts w:hint="default"/>
        <w:lang w:val="uk-UA" w:eastAsia="en-US" w:bidi="ar-SA"/>
      </w:rPr>
    </w:lvl>
    <w:lvl w:ilvl="8" w:tplc="CCC8C198">
      <w:numFmt w:val="bullet"/>
      <w:lvlText w:val="•"/>
      <w:lvlJc w:val="left"/>
      <w:pPr>
        <w:ind w:left="4324" w:hanging="218"/>
      </w:pPr>
      <w:rPr>
        <w:rFonts w:hint="default"/>
        <w:lang w:val="uk-UA" w:eastAsia="en-US" w:bidi="ar-SA"/>
      </w:rPr>
    </w:lvl>
  </w:abstractNum>
  <w:abstractNum w:abstractNumId="161" w15:restartNumberingAfterBreak="0">
    <w:nsid w:val="568F7691"/>
    <w:multiLevelType w:val="hybridMultilevel"/>
    <w:tmpl w:val="F990B7BA"/>
    <w:lvl w:ilvl="0" w:tplc="01406418">
      <w:start w:val="1"/>
      <w:numFmt w:val="decimal"/>
      <w:lvlText w:val="%1."/>
      <w:lvlJc w:val="left"/>
      <w:pPr>
        <w:ind w:left="800" w:hanging="360"/>
      </w:pPr>
      <w:rPr>
        <w:rFonts w:ascii="Times New Roman" w:eastAsia="Times New Roman" w:hAnsi="Times New Roman" w:cs="Times New Roman" w:hint="default"/>
        <w:spacing w:val="0"/>
        <w:w w:val="99"/>
        <w:sz w:val="20"/>
        <w:szCs w:val="20"/>
        <w:lang w:val="uk-UA" w:eastAsia="en-US" w:bidi="ar-SA"/>
      </w:rPr>
    </w:lvl>
    <w:lvl w:ilvl="1" w:tplc="8084BB52">
      <w:numFmt w:val="bullet"/>
      <w:lvlText w:val="•"/>
      <w:lvlJc w:val="left"/>
      <w:pPr>
        <w:ind w:left="1235" w:hanging="360"/>
      </w:pPr>
      <w:rPr>
        <w:rFonts w:hint="default"/>
        <w:lang w:val="uk-UA" w:eastAsia="en-US" w:bidi="ar-SA"/>
      </w:rPr>
    </w:lvl>
    <w:lvl w:ilvl="2" w:tplc="EED2A446">
      <w:numFmt w:val="bullet"/>
      <w:lvlText w:val="•"/>
      <w:lvlJc w:val="left"/>
      <w:pPr>
        <w:ind w:left="1670" w:hanging="360"/>
      </w:pPr>
      <w:rPr>
        <w:rFonts w:hint="default"/>
        <w:lang w:val="uk-UA" w:eastAsia="en-US" w:bidi="ar-SA"/>
      </w:rPr>
    </w:lvl>
    <w:lvl w:ilvl="3" w:tplc="A2A41676">
      <w:numFmt w:val="bullet"/>
      <w:lvlText w:val="•"/>
      <w:lvlJc w:val="left"/>
      <w:pPr>
        <w:ind w:left="2105" w:hanging="360"/>
      </w:pPr>
      <w:rPr>
        <w:rFonts w:hint="default"/>
        <w:lang w:val="uk-UA" w:eastAsia="en-US" w:bidi="ar-SA"/>
      </w:rPr>
    </w:lvl>
    <w:lvl w:ilvl="4" w:tplc="1A769D42">
      <w:numFmt w:val="bullet"/>
      <w:lvlText w:val="•"/>
      <w:lvlJc w:val="left"/>
      <w:pPr>
        <w:ind w:left="2540" w:hanging="360"/>
      </w:pPr>
      <w:rPr>
        <w:rFonts w:hint="default"/>
        <w:lang w:val="uk-UA" w:eastAsia="en-US" w:bidi="ar-SA"/>
      </w:rPr>
    </w:lvl>
    <w:lvl w:ilvl="5" w:tplc="85CC7820">
      <w:numFmt w:val="bullet"/>
      <w:lvlText w:val="•"/>
      <w:lvlJc w:val="left"/>
      <w:pPr>
        <w:ind w:left="2975" w:hanging="360"/>
      </w:pPr>
      <w:rPr>
        <w:rFonts w:hint="default"/>
        <w:lang w:val="uk-UA" w:eastAsia="en-US" w:bidi="ar-SA"/>
      </w:rPr>
    </w:lvl>
    <w:lvl w:ilvl="6" w:tplc="C3FC173C">
      <w:numFmt w:val="bullet"/>
      <w:lvlText w:val="•"/>
      <w:lvlJc w:val="left"/>
      <w:pPr>
        <w:ind w:left="3410" w:hanging="360"/>
      </w:pPr>
      <w:rPr>
        <w:rFonts w:hint="default"/>
        <w:lang w:val="uk-UA" w:eastAsia="en-US" w:bidi="ar-SA"/>
      </w:rPr>
    </w:lvl>
    <w:lvl w:ilvl="7" w:tplc="BE2C3854">
      <w:numFmt w:val="bullet"/>
      <w:lvlText w:val="•"/>
      <w:lvlJc w:val="left"/>
      <w:pPr>
        <w:ind w:left="3845" w:hanging="360"/>
      </w:pPr>
      <w:rPr>
        <w:rFonts w:hint="default"/>
        <w:lang w:val="uk-UA" w:eastAsia="en-US" w:bidi="ar-SA"/>
      </w:rPr>
    </w:lvl>
    <w:lvl w:ilvl="8" w:tplc="536CE78C">
      <w:numFmt w:val="bullet"/>
      <w:lvlText w:val="•"/>
      <w:lvlJc w:val="left"/>
      <w:pPr>
        <w:ind w:left="4281" w:hanging="360"/>
      </w:pPr>
      <w:rPr>
        <w:rFonts w:hint="default"/>
        <w:lang w:val="uk-UA" w:eastAsia="en-US" w:bidi="ar-SA"/>
      </w:rPr>
    </w:lvl>
  </w:abstractNum>
  <w:abstractNum w:abstractNumId="162" w15:restartNumberingAfterBreak="0">
    <w:nsid w:val="56D02411"/>
    <w:multiLevelType w:val="hybridMultilevel"/>
    <w:tmpl w:val="CAF6F1EE"/>
    <w:lvl w:ilvl="0" w:tplc="DE74BA46">
      <w:start w:val="1"/>
      <w:numFmt w:val="decimal"/>
      <w:lvlText w:val="%1."/>
      <w:lvlJc w:val="left"/>
      <w:pPr>
        <w:ind w:left="675" w:hanging="360"/>
      </w:pPr>
      <w:rPr>
        <w:rFonts w:hint="default"/>
        <w:spacing w:val="0"/>
        <w:w w:val="99"/>
        <w:lang w:val="uk-UA" w:eastAsia="en-US" w:bidi="ar-SA"/>
      </w:rPr>
    </w:lvl>
    <w:lvl w:ilvl="1" w:tplc="C73A6F14">
      <w:numFmt w:val="bullet"/>
      <w:lvlText w:val="•"/>
      <w:lvlJc w:val="left"/>
      <w:pPr>
        <w:ind w:left="1148" w:hanging="360"/>
      </w:pPr>
      <w:rPr>
        <w:rFonts w:hint="default"/>
        <w:lang w:val="uk-UA" w:eastAsia="en-US" w:bidi="ar-SA"/>
      </w:rPr>
    </w:lvl>
    <w:lvl w:ilvl="2" w:tplc="AE4C1E5A">
      <w:numFmt w:val="bullet"/>
      <w:lvlText w:val="•"/>
      <w:lvlJc w:val="left"/>
      <w:pPr>
        <w:ind w:left="1616" w:hanging="360"/>
      </w:pPr>
      <w:rPr>
        <w:rFonts w:hint="default"/>
        <w:lang w:val="uk-UA" w:eastAsia="en-US" w:bidi="ar-SA"/>
      </w:rPr>
    </w:lvl>
    <w:lvl w:ilvl="3" w:tplc="B672B28C">
      <w:numFmt w:val="bullet"/>
      <w:lvlText w:val="•"/>
      <w:lvlJc w:val="left"/>
      <w:pPr>
        <w:ind w:left="2084" w:hanging="360"/>
      </w:pPr>
      <w:rPr>
        <w:rFonts w:hint="default"/>
        <w:lang w:val="uk-UA" w:eastAsia="en-US" w:bidi="ar-SA"/>
      </w:rPr>
    </w:lvl>
    <w:lvl w:ilvl="4" w:tplc="19B208D4">
      <w:numFmt w:val="bullet"/>
      <w:lvlText w:val="•"/>
      <w:lvlJc w:val="left"/>
      <w:pPr>
        <w:ind w:left="2552" w:hanging="360"/>
      </w:pPr>
      <w:rPr>
        <w:rFonts w:hint="default"/>
        <w:lang w:val="uk-UA" w:eastAsia="en-US" w:bidi="ar-SA"/>
      </w:rPr>
    </w:lvl>
    <w:lvl w:ilvl="5" w:tplc="F544B4F6">
      <w:numFmt w:val="bullet"/>
      <w:lvlText w:val="•"/>
      <w:lvlJc w:val="left"/>
      <w:pPr>
        <w:ind w:left="3020" w:hanging="360"/>
      </w:pPr>
      <w:rPr>
        <w:rFonts w:hint="default"/>
        <w:lang w:val="uk-UA" w:eastAsia="en-US" w:bidi="ar-SA"/>
      </w:rPr>
    </w:lvl>
    <w:lvl w:ilvl="6" w:tplc="BBBEFFC2">
      <w:numFmt w:val="bullet"/>
      <w:lvlText w:val="•"/>
      <w:lvlJc w:val="left"/>
      <w:pPr>
        <w:ind w:left="3488" w:hanging="360"/>
      </w:pPr>
      <w:rPr>
        <w:rFonts w:hint="default"/>
        <w:lang w:val="uk-UA" w:eastAsia="en-US" w:bidi="ar-SA"/>
      </w:rPr>
    </w:lvl>
    <w:lvl w:ilvl="7" w:tplc="80AA85D2">
      <w:numFmt w:val="bullet"/>
      <w:lvlText w:val="•"/>
      <w:lvlJc w:val="left"/>
      <w:pPr>
        <w:ind w:left="3956" w:hanging="360"/>
      </w:pPr>
      <w:rPr>
        <w:rFonts w:hint="default"/>
        <w:lang w:val="uk-UA" w:eastAsia="en-US" w:bidi="ar-SA"/>
      </w:rPr>
    </w:lvl>
    <w:lvl w:ilvl="8" w:tplc="601C7348">
      <w:numFmt w:val="bullet"/>
      <w:lvlText w:val="•"/>
      <w:lvlJc w:val="left"/>
      <w:pPr>
        <w:ind w:left="4424" w:hanging="360"/>
      </w:pPr>
      <w:rPr>
        <w:rFonts w:hint="default"/>
        <w:lang w:val="uk-UA" w:eastAsia="en-US" w:bidi="ar-SA"/>
      </w:rPr>
    </w:lvl>
  </w:abstractNum>
  <w:abstractNum w:abstractNumId="163" w15:restartNumberingAfterBreak="0">
    <w:nsid w:val="572B4B62"/>
    <w:multiLevelType w:val="hybridMultilevel"/>
    <w:tmpl w:val="712C374C"/>
    <w:lvl w:ilvl="0" w:tplc="E78A3506">
      <w:start w:val="1"/>
      <w:numFmt w:val="decimal"/>
      <w:lvlText w:val="%1."/>
      <w:lvlJc w:val="left"/>
      <w:pPr>
        <w:ind w:left="678" w:hanging="360"/>
        <w:jc w:val="right"/>
      </w:pPr>
      <w:rPr>
        <w:rFonts w:ascii="Times New Roman" w:eastAsia="Times New Roman" w:hAnsi="Times New Roman" w:cs="Times New Roman" w:hint="default"/>
        <w:spacing w:val="0"/>
        <w:w w:val="99"/>
        <w:sz w:val="20"/>
        <w:szCs w:val="20"/>
        <w:lang w:val="uk-UA" w:eastAsia="en-US" w:bidi="ar-SA"/>
      </w:rPr>
    </w:lvl>
    <w:lvl w:ilvl="1" w:tplc="7F78A928">
      <w:start w:val="1"/>
      <w:numFmt w:val="decimal"/>
      <w:lvlText w:val="%2)"/>
      <w:lvlJc w:val="left"/>
      <w:pPr>
        <w:ind w:left="440" w:hanging="223"/>
      </w:pPr>
      <w:rPr>
        <w:rFonts w:ascii="Times New Roman" w:eastAsia="Times New Roman" w:hAnsi="Times New Roman" w:cs="Times New Roman" w:hint="default"/>
        <w:spacing w:val="0"/>
        <w:w w:val="99"/>
        <w:sz w:val="20"/>
        <w:szCs w:val="20"/>
        <w:lang w:val="uk-UA" w:eastAsia="en-US" w:bidi="ar-SA"/>
      </w:rPr>
    </w:lvl>
    <w:lvl w:ilvl="2" w:tplc="0D4451C4">
      <w:numFmt w:val="bullet"/>
      <w:lvlText w:val="•"/>
      <w:lvlJc w:val="left"/>
      <w:pPr>
        <w:ind w:left="600" w:hanging="223"/>
      </w:pPr>
      <w:rPr>
        <w:rFonts w:hint="default"/>
        <w:lang w:val="uk-UA" w:eastAsia="en-US" w:bidi="ar-SA"/>
      </w:rPr>
    </w:lvl>
    <w:lvl w:ilvl="3" w:tplc="2B224040">
      <w:numFmt w:val="bullet"/>
      <w:lvlText w:val="•"/>
      <w:lvlJc w:val="left"/>
      <w:pPr>
        <w:ind w:left="520" w:hanging="223"/>
      </w:pPr>
      <w:rPr>
        <w:rFonts w:hint="default"/>
        <w:lang w:val="uk-UA" w:eastAsia="en-US" w:bidi="ar-SA"/>
      </w:rPr>
    </w:lvl>
    <w:lvl w:ilvl="4" w:tplc="5622C628">
      <w:numFmt w:val="bullet"/>
      <w:lvlText w:val="•"/>
      <w:lvlJc w:val="left"/>
      <w:pPr>
        <w:ind w:left="440" w:hanging="223"/>
      </w:pPr>
      <w:rPr>
        <w:rFonts w:hint="default"/>
        <w:lang w:val="uk-UA" w:eastAsia="en-US" w:bidi="ar-SA"/>
      </w:rPr>
    </w:lvl>
    <w:lvl w:ilvl="5" w:tplc="6AEC8204">
      <w:numFmt w:val="bullet"/>
      <w:lvlText w:val="•"/>
      <w:lvlJc w:val="left"/>
      <w:pPr>
        <w:ind w:left="361" w:hanging="223"/>
      </w:pPr>
      <w:rPr>
        <w:rFonts w:hint="default"/>
        <w:lang w:val="uk-UA" w:eastAsia="en-US" w:bidi="ar-SA"/>
      </w:rPr>
    </w:lvl>
    <w:lvl w:ilvl="6" w:tplc="6CDEFB86">
      <w:numFmt w:val="bullet"/>
      <w:lvlText w:val="•"/>
      <w:lvlJc w:val="left"/>
      <w:pPr>
        <w:ind w:left="281" w:hanging="223"/>
      </w:pPr>
      <w:rPr>
        <w:rFonts w:hint="default"/>
        <w:lang w:val="uk-UA" w:eastAsia="en-US" w:bidi="ar-SA"/>
      </w:rPr>
    </w:lvl>
    <w:lvl w:ilvl="7" w:tplc="FD347780">
      <w:numFmt w:val="bullet"/>
      <w:lvlText w:val="•"/>
      <w:lvlJc w:val="left"/>
      <w:pPr>
        <w:ind w:left="201" w:hanging="223"/>
      </w:pPr>
      <w:rPr>
        <w:rFonts w:hint="default"/>
        <w:lang w:val="uk-UA" w:eastAsia="en-US" w:bidi="ar-SA"/>
      </w:rPr>
    </w:lvl>
    <w:lvl w:ilvl="8" w:tplc="EB48E23E">
      <w:numFmt w:val="bullet"/>
      <w:lvlText w:val="•"/>
      <w:lvlJc w:val="left"/>
      <w:pPr>
        <w:ind w:left="121" w:hanging="223"/>
      </w:pPr>
      <w:rPr>
        <w:rFonts w:hint="default"/>
        <w:lang w:val="uk-UA" w:eastAsia="en-US" w:bidi="ar-SA"/>
      </w:rPr>
    </w:lvl>
  </w:abstractNum>
  <w:abstractNum w:abstractNumId="164" w15:restartNumberingAfterBreak="0">
    <w:nsid w:val="57BA3B75"/>
    <w:multiLevelType w:val="hybridMultilevel"/>
    <w:tmpl w:val="63BA602E"/>
    <w:lvl w:ilvl="0" w:tplc="3E769552">
      <w:start w:val="1"/>
      <w:numFmt w:val="decimal"/>
      <w:lvlText w:val="%1."/>
      <w:lvlJc w:val="left"/>
      <w:pPr>
        <w:ind w:left="315" w:hanging="209"/>
        <w:jc w:val="right"/>
      </w:pPr>
      <w:rPr>
        <w:rFonts w:ascii="Times New Roman" w:eastAsia="Times New Roman" w:hAnsi="Times New Roman" w:cs="Times New Roman" w:hint="default"/>
        <w:spacing w:val="0"/>
        <w:w w:val="99"/>
        <w:sz w:val="20"/>
        <w:szCs w:val="20"/>
        <w:lang w:val="uk-UA" w:eastAsia="en-US" w:bidi="ar-SA"/>
      </w:rPr>
    </w:lvl>
    <w:lvl w:ilvl="1" w:tplc="EEE0B934">
      <w:numFmt w:val="bullet"/>
      <w:lvlText w:val="•"/>
      <w:lvlJc w:val="left"/>
      <w:pPr>
        <w:ind w:left="824" w:hanging="209"/>
      </w:pPr>
      <w:rPr>
        <w:rFonts w:hint="default"/>
        <w:lang w:val="uk-UA" w:eastAsia="en-US" w:bidi="ar-SA"/>
      </w:rPr>
    </w:lvl>
    <w:lvl w:ilvl="2" w:tplc="A4CA41FA">
      <w:numFmt w:val="bullet"/>
      <w:lvlText w:val="•"/>
      <w:lvlJc w:val="left"/>
      <w:pPr>
        <w:ind w:left="1328" w:hanging="209"/>
      </w:pPr>
      <w:rPr>
        <w:rFonts w:hint="default"/>
        <w:lang w:val="uk-UA" w:eastAsia="en-US" w:bidi="ar-SA"/>
      </w:rPr>
    </w:lvl>
    <w:lvl w:ilvl="3" w:tplc="697C1060">
      <w:numFmt w:val="bullet"/>
      <w:lvlText w:val="•"/>
      <w:lvlJc w:val="left"/>
      <w:pPr>
        <w:ind w:left="1832" w:hanging="209"/>
      </w:pPr>
      <w:rPr>
        <w:rFonts w:hint="default"/>
        <w:lang w:val="uk-UA" w:eastAsia="en-US" w:bidi="ar-SA"/>
      </w:rPr>
    </w:lvl>
    <w:lvl w:ilvl="4" w:tplc="984AE07C">
      <w:numFmt w:val="bullet"/>
      <w:lvlText w:val="•"/>
      <w:lvlJc w:val="left"/>
      <w:pPr>
        <w:ind w:left="2336" w:hanging="209"/>
      </w:pPr>
      <w:rPr>
        <w:rFonts w:hint="default"/>
        <w:lang w:val="uk-UA" w:eastAsia="en-US" w:bidi="ar-SA"/>
      </w:rPr>
    </w:lvl>
    <w:lvl w:ilvl="5" w:tplc="989AEEDC">
      <w:numFmt w:val="bullet"/>
      <w:lvlText w:val="•"/>
      <w:lvlJc w:val="left"/>
      <w:pPr>
        <w:ind w:left="2840" w:hanging="209"/>
      </w:pPr>
      <w:rPr>
        <w:rFonts w:hint="default"/>
        <w:lang w:val="uk-UA" w:eastAsia="en-US" w:bidi="ar-SA"/>
      </w:rPr>
    </w:lvl>
    <w:lvl w:ilvl="6" w:tplc="01B02088">
      <w:numFmt w:val="bullet"/>
      <w:lvlText w:val="•"/>
      <w:lvlJc w:val="left"/>
      <w:pPr>
        <w:ind w:left="3344" w:hanging="209"/>
      </w:pPr>
      <w:rPr>
        <w:rFonts w:hint="default"/>
        <w:lang w:val="uk-UA" w:eastAsia="en-US" w:bidi="ar-SA"/>
      </w:rPr>
    </w:lvl>
    <w:lvl w:ilvl="7" w:tplc="84BA4F1A">
      <w:numFmt w:val="bullet"/>
      <w:lvlText w:val="•"/>
      <w:lvlJc w:val="left"/>
      <w:pPr>
        <w:ind w:left="3848" w:hanging="209"/>
      </w:pPr>
      <w:rPr>
        <w:rFonts w:hint="default"/>
        <w:lang w:val="uk-UA" w:eastAsia="en-US" w:bidi="ar-SA"/>
      </w:rPr>
    </w:lvl>
    <w:lvl w:ilvl="8" w:tplc="F39C4AD0">
      <w:numFmt w:val="bullet"/>
      <w:lvlText w:val="•"/>
      <w:lvlJc w:val="left"/>
      <w:pPr>
        <w:ind w:left="4352" w:hanging="209"/>
      </w:pPr>
      <w:rPr>
        <w:rFonts w:hint="default"/>
        <w:lang w:val="uk-UA" w:eastAsia="en-US" w:bidi="ar-SA"/>
      </w:rPr>
    </w:lvl>
  </w:abstractNum>
  <w:abstractNum w:abstractNumId="165" w15:restartNumberingAfterBreak="0">
    <w:nsid w:val="57FE7B3C"/>
    <w:multiLevelType w:val="hybridMultilevel"/>
    <w:tmpl w:val="EAF2084A"/>
    <w:lvl w:ilvl="0" w:tplc="74D48CE4">
      <w:start w:val="1"/>
      <w:numFmt w:val="decimal"/>
      <w:lvlText w:val="%1)"/>
      <w:lvlJc w:val="left"/>
      <w:pPr>
        <w:ind w:left="379" w:hanging="237"/>
        <w:jc w:val="right"/>
      </w:pPr>
      <w:rPr>
        <w:rFonts w:ascii="Times New Roman" w:eastAsia="Times New Roman" w:hAnsi="Times New Roman" w:cs="Times New Roman" w:hint="default"/>
        <w:spacing w:val="0"/>
        <w:w w:val="99"/>
        <w:sz w:val="20"/>
        <w:szCs w:val="20"/>
        <w:lang w:val="uk-UA" w:eastAsia="en-US" w:bidi="ar-SA"/>
      </w:rPr>
    </w:lvl>
    <w:lvl w:ilvl="1" w:tplc="A1664A38">
      <w:numFmt w:val="bullet"/>
      <w:lvlText w:val="•"/>
      <w:lvlJc w:val="left"/>
      <w:pPr>
        <w:ind w:left="824" w:hanging="237"/>
      </w:pPr>
      <w:rPr>
        <w:rFonts w:hint="default"/>
        <w:lang w:val="uk-UA" w:eastAsia="en-US" w:bidi="ar-SA"/>
      </w:rPr>
    </w:lvl>
    <w:lvl w:ilvl="2" w:tplc="93FE1218">
      <w:numFmt w:val="bullet"/>
      <w:lvlText w:val="•"/>
      <w:lvlJc w:val="left"/>
      <w:pPr>
        <w:ind w:left="1328" w:hanging="237"/>
      </w:pPr>
      <w:rPr>
        <w:rFonts w:hint="default"/>
        <w:lang w:val="uk-UA" w:eastAsia="en-US" w:bidi="ar-SA"/>
      </w:rPr>
    </w:lvl>
    <w:lvl w:ilvl="3" w:tplc="8E4EC962">
      <w:numFmt w:val="bullet"/>
      <w:lvlText w:val="•"/>
      <w:lvlJc w:val="left"/>
      <w:pPr>
        <w:ind w:left="1832" w:hanging="237"/>
      </w:pPr>
      <w:rPr>
        <w:rFonts w:hint="default"/>
        <w:lang w:val="uk-UA" w:eastAsia="en-US" w:bidi="ar-SA"/>
      </w:rPr>
    </w:lvl>
    <w:lvl w:ilvl="4" w:tplc="34F61D06">
      <w:numFmt w:val="bullet"/>
      <w:lvlText w:val="•"/>
      <w:lvlJc w:val="left"/>
      <w:pPr>
        <w:ind w:left="2336" w:hanging="237"/>
      </w:pPr>
      <w:rPr>
        <w:rFonts w:hint="default"/>
        <w:lang w:val="uk-UA" w:eastAsia="en-US" w:bidi="ar-SA"/>
      </w:rPr>
    </w:lvl>
    <w:lvl w:ilvl="5" w:tplc="B34858D6">
      <w:numFmt w:val="bullet"/>
      <w:lvlText w:val="•"/>
      <w:lvlJc w:val="left"/>
      <w:pPr>
        <w:ind w:left="2840" w:hanging="237"/>
      </w:pPr>
      <w:rPr>
        <w:rFonts w:hint="default"/>
        <w:lang w:val="uk-UA" w:eastAsia="en-US" w:bidi="ar-SA"/>
      </w:rPr>
    </w:lvl>
    <w:lvl w:ilvl="6" w:tplc="6994E55E">
      <w:numFmt w:val="bullet"/>
      <w:lvlText w:val="•"/>
      <w:lvlJc w:val="left"/>
      <w:pPr>
        <w:ind w:left="3344" w:hanging="237"/>
      </w:pPr>
      <w:rPr>
        <w:rFonts w:hint="default"/>
        <w:lang w:val="uk-UA" w:eastAsia="en-US" w:bidi="ar-SA"/>
      </w:rPr>
    </w:lvl>
    <w:lvl w:ilvl="7" w:tplc="04A6D004">
      <w:numFmt w:val="bullet"/>
      <w:lvlText w:val="•"/>
      <w:lvlJc w:val="left"/>
      <w:pPr>
        <w:ind w:left="3848" w:hanging="237"/>
      </w:pPr>
      <w:rPr>
        <w:rFonts w:hint="default"/>
        <w:lang w:val="uk-UA" w:eastAsia="en-US" w:bidi="ar-SA"/>
      </w:rPr>
    </w:lvl>
    <w:lvl w:ilvl="8" w:tplc="B1D23FF8">
      <w:numFmt w:val="bullet"/>
      <w:lvlText w:val="•"/>
      <w:lvlJc w:val="left"/>
      <w:pPr>
        <w:ind w:left="4352" w:hanging="237"/>
      </w:pPr>
      <w:rPr>
        <w:rFonts w:hint="default"/>
        <w:lang w:val="uk-UA" w:eastAsia="en-US" w:bidi="ar-SA"/>
      </w:rPr>
    </w:lvl>
  </w:abstractNum>
  <w:abstractNum w:abstractNumId="166" w15:restartNumberingAfterBreak="0">
    <w:nsid w:val="58487B5E"/>
    <w:multiLevelType w:val="hybridMultilevel"/>
    <w:tmpl w:val="21B68D76"/>
    <w:lvl w:ilvl="0" w:tplc="6D5A871C">
      <w:start w:val="1"/>
      <w:numFmt w:val="decimal"/>
      <w:lvlText w:val="%1."/>
      <w:lvlJc w:val="left"/>
      <w:pPr>
        <w:ind w:left="720" w:hanging="152"/>
        <w:jc w:val="right"/>
      </w:pPr>
      <w:rPr>
        <w:rFonts w:ascii="Times New Roman" w:eastAsia="Times New Roman" w:hAnsi="Times New Roman" w:cs="Times New Roman" w:hint="default"/>
        <w:spacing w:val="0"/>
        <w:w w:val="99"/>
        <w:sz w:val="18"/>
        <w:szCs w:val="18"/>
        <w:lang w:val="uk-UA" w:eastAsia="en-US" w:bidi="ar-SA"/>
      </w:rPr>
    </w:lvl>
    <w:lvl w:ilvl="1" w:tplc="C4FA6896">
      <w:numFmt w:val="bullet"/>
      <w:lvlText w:val="•"/>
      <w:lvlJc w:val="left"/>
      <w:pPr>
        <w:ind w:left="1034" w:hanging="152"/>
      </w:pPr>
      <w:rPr>
        <w:rFonts w:hint="default"/>
        <w:lang w:val="uk-UA" w:eastAsia="en-US" w:bidi="ar-SA"/>
      </w:rPr>
    </w:lvl>
    <w:lvl w:ilvl="2" w:tplc="9D2E8DC2">
      <w:numFmt w:val="bullet"/>
      <w:lvlText w:val="•"/>
      <w:lvlJc w:val="left"/>
      <w:pPr>
        <w:ind w:left="1489" w:hanging="152"/>
      </w:pPr>
      <w:rPr>
        <w:rFonts w:hint="default"/>
        <w:lang w:val="uk-UA" w:eastAsia="en-US" w:bidi="ar-SA"/>
      </w:rPr>
    </w:lvl>
    <w:lvl w:ilvl="3" w:tplc="F6104828">
      <w:numFmt w:val="bullet"/>
      <w:lvlText w:val="•"/>
      <w:lvlJc w:val="left"/>
      <w:pPr>
        <w:ind w:left="1943" w:hanging="152"/>
      </w:pPr>
      <w:rPr>
        <w:rFonts w:hint="default"/>
        <w:lang w:val="uk-UA" w:eastAsia="en-US" w:bidi="ar-SA"/>
      </w:rPr>
    </w:lvl>
    <w:lvl w:ilvl="4" w:tplc="B3E6F28E">
      <w:numFmt w:val="bullet"/>
      <w:lvlText w:val="•"/>
      <w:lvlJc w:val="left"/>
      <w:pPr>
        <w:ind w:left="2398" w:hanging="152"/>
      </w:pPr>
      <w:rPr>
        <w:rFonts w:hint="default"/>
        <w:lang w:val="uk-UA" w:eastAsia="en-US" w:bidi="ar-SA"/>
      </w:rPr>
    </w:lvl>
    <w:lvl w:ilvl="5" w:tplc="CF74323E">
      <w:numFmt w:val="bullet"/>
      <w:lvlText w:val="•"/>
      <w:lvlJc w:val="left"/>
      <w:pPr>
        <w:ind w:left="2853" w:hanging="152"/>
      </w:pPr>
      <w:rPr>
        <w:rFonts w:hint="default"/>
        <w:lang w:val="uk-UA" w:eastAsia="en-US" w:bidi="ar-SA"/>
      </w:rPr>
    </w:lvl>
    <w:lvl w:ilvl="6" w:tplc="EDD8137C">
      <w:numFmt w:val="bullet"/>
      <w:lvlText w:val="•"/>
      <w:lvlJc w:val="left"/>
      <w:pPr>
        <w:ind w:left="3307" w:hanging="152"/>
      </w:pPr>
      <w:rPr>
        <w:rFonts w:hint="default"/>
        <w:lang w:val="uk-UA" w:eastAsia="en-US" w:bidi="ar-SA"/>
      </w:rPr>
    </w:lvl>
    <w:lvl w:ilvl="7" w:tplc="C3E82622">
      <w:numFmt w:val="bullet"/>
      <w:lvlText w:val="•"/>
      <w:lvlJc w:val="left"/>
      <w:pPr>
        <w:ind w:left="3762" w:hanging="152"/>
      </w:pPr>
      <w:rPr>
        <w:rFonts w:hint="default"/>
        <w:lang w:val="uk-UA" w:eastAsia="en-US" w:bidi="ar-SA"/>
      </w:rPr>
    </w:lvl>
    <w:lvl w:ilvl="8" w:tplc="444453F6">
      <w:numFmt w:val="bullet"/>
      <w:lvlText w:val="•"/>
      <w:lvlJc w:val="left"/>
      <w:pPr>
        <w:ind w:left="4216" w:hanging="152"/>
      </w:pPr>
      <w:rPr>
        <w:rFonts w:hint="default"/>
        <w:lang w:val="uk-UA" w:eastAsia="en-US" w:bidi="ar-SA"/>
      </w:rPr>
    </w:lvl>
  </w:abstractNum>
  <w:abstractNum w:abstractNumId="167" w15:restartNumberingAfterBreak="0">
    <w:nsid w:val="58D66037"/>
    <w:multiLevelType w:val="multilevel"/>
    <w:tmpl w:val="594C2F84"/>
    <w:lvl w:ilvl="0">
      <w:start w:val="4"/>
      <w:numFmt w:val="decimal"/>
      <w:lvlText w:val="%1."/>
      <w:lvlJc w:val="left"/>
      <w:pPr>
        <w:ind w:left="924" w:hanging="201"/>
      </w:pPr>
      <w:rPr>
        <w:rFonts w:ascii="Times New Roman" w:eastAsia="Times New Roman" w:hAnsi="Times New Roman" w:cs="Times New Roman" w:hint="default"/>
        <w:b/>
        <w:bCs/>
        <w:spacing w:val="0"/>
        <w:w w:val="99"/>
        <w:sz w:val="20"/>
        <w:szCs w:val="20"/>
        <w:lang w:val="uk-UA" w:eastAsia="en-US" w:bidi="ar-SA"/>
      </w:rPr>
    </w:lvl>
    <w:lvl w:ilvl="1">
      <w:start w:val="1"/>
      <w:numFmt w:val="decimal"/>
      <w:lvlText w:val="%1.%2"/>
      <w:lvlJc w:val="left"/>
      <w:pPr>
        <w:ind w:left="1957" w:hanging="398"/>
        <w:jc w:val="right"/>
      </w:pPr>
      <w:rPr>
        <w:rFonts w:ascii="Times New Roman" w:eastAsia="Times New Roman" w:hAnsi="Times New Roman" w:cs="Times New Roman" w:hint="default"/>
        <w:b/>
        <w:bCs/>
        <w:spacing w:val="0"/>
        <w:w w:val="99"/>
        <w:sz w:val="20"/>
        <w:szCs w:val="20"/>
        <w:lang w:val="uk-UA" w:eastAsia="en-US" w:bidi="ar-SA"/>
      </w:rPr>
    </w:lvl>
    <w:lvl w:ilvl="2">
      <w:numFmt w:val="bullet"/>
      <w:lvlText w:val="•"/>
      <w:lvlJc w:val="left"/>
      <w:pPr>
        <w:ind w:left="1387" w:hanging="398"/>
      </w:pPr>
      <w:rPr>
        <w:rFonts w:hint="default"/>
        <w:lang w:val="uk-UA" w:eastAsia="en-US" w:bidi="ar-SA"/>
      </w:rPr>
    </w:lvl>
    <w:lvl w:ilvl="3">
      <w:numFmt w:val="bullet"/>
      <w:lvlText w:val="•"/>
      <w:lvlJc w:val="left"/>
      <w:pPr>
        <w:ind w:left="1854" w:hanging="398"/>
      </w:pPr>
      <w:rPr>
        <w:rFonts w:hint="default"/>
        <w:lang w:val="uk-UA" w:eastAsia="en-US" w:bidi="ar-SA"/>
      </w:rPr>
    </w:lvl>
    <w:lvl w:ilvl="4">
      <w:numFmt w:val="bullet"/>
      <w:lvlText w:val="•"/>
      <w:lvlJc w:val="left"/>
      <w:pPr>
        <w:ind w:left="2321" w:hanging="398"/>
      </w:pPr>
      <w:rPr>
        <w:rFonts w:hint="default"/>
        <w:lang w:val="uk-UA" w:eastAsia="en-US" w:bidi="ar-SA"/>
      </w:rPr>
    </w:lvl>
    <w:lvl w:ilvl="5">
      <w:numFmt w:val="bullet"/>
      <w:lvlText w:val="•"/>
      <w:lvlJc w:val="left"/>
      <w:pPr>
        <w:ind w:left="2789" w:hanging="398"/>
      </w:pPr>
      <w:rPr>
        <w:rFonts w:hint="default"/>
        <w:lang w:val="uk-UA" w:eastAsia="en-US" w:bidi="ar-SA"/>
      </w:rPr>
    </w:lvl>
    <w:lvl w:ilvl="6">
      <w:numFmt w:val="bullet"/>
      <w:lvlText w:val="•"/>
      <w:lvlJc w:val="left"/>
      <w:pPr>
        <w:ind w:left="3256" w:hanging="398"/>
      </w:pPr>
      <w:rPr>
        <w:rFonts w:hint="default"/>
        <w:lang w:val="uk-UA" w:eastAsia="en-US" w:bidi="ar-SA"/>
      </w:rPr>
    </w:lvl>
    <w:lvl w:ilvl="7">
      <w:numFmt w:val="bullet"/>
      <w:lvlText w:val="•"/>
      <w:lvlJc w:val="left"/>
      <w:pPr>
        <w:ind w:left="3723" w:hanging="398"/>
      </w:pPr>
      <w:rPr>
        <w:rFonts w:hint="default"/>
        <w:lang w:val="uk-UA" w:eastAsia="en-US" w:bidi="ar-SA"/>
      </w:rPr>
    </w:lvl>
    <w:lvl w:ilvl="8">
      <w:numFmt w:val="bullet"/>
      <w:lvlText w:val="•"/>
      <w:lvlJc w:val="left"/>
      <w:pPr>
        <w:ind w:left="4190" w:hanging="398"/>
      </w:pPr>
      <w:rPr>
        <w:rFonts w:hint="default"/>
        <w:lang w:val="uk-UA" w:eastAsia="en-US" w:bidi="ar-SA"/>
      </w:rPr>
    </w:lvl>
  </w:abstractNum>
  <w:abstractNum w:abstractNumId="168" w15:restartNumberingAfterBreak="0">
    <w:nsid w:val="58F212D4"/>
    <w:multiLevelType w:val="hybridMultilevel"/>
    <w:tmpl w:val="1B20E4DE"/>
    <w:lvl w:ilvl="0" w:tplc="B1BAE0E4">
      <w:start w:val="1"/>
      <w:numFmt w:val="decimal"/>
      <w:lvlText w:val="%1)"/>
      <w:lvlJc w:val="left"/>
      <w:pPr>
        <w:ind w:left="318" w:hanging="264"/>
        <w:jc w:val="right"/>
      </w:pPr>
      <w:rPr>
        <w:rFonts w:ascii="Times New Roman" w:eastAsia="Times New Roman" w:hAnsi="Times New Roman" w:cs="Times New Roman" w:hint="default"/>
        <w:spacing w:val="0"/>
        <w:w w:val="99"/>
        <w:sz w:val="20"/>
        <w:szCs w:val="20"/>
        <w:lang w:val="uk-UA" w:eastAsia="en-US" w:bidi="ar-SA"/>
      </w:rPr>
    </w:lvl>
    <w:lvl w:ilvl="1" w:tplc="18503554">
      <w:numFmt w:val="bullet"/>
      <w:lvlText w:val="•"/>
      <w:lvlJc w:val="left"/>
      <w:pPr>
        <w:ind w:left="824" w:hanging="264"/>
      </w:pPr>
      <w:rPr>
        <w:rFonts w:hint="default"/>
        <w:lang w:val="uk-UA" w:eastAsia="en-US" w:bidi="ar-SA"/>
      </w:rPr>
    </w:lvl>
    <w:lvl w:ilvl="2" w:tplc="4BF2D2E0">
      <w:numFmt w:val="bullet"/>
      <w:lvlText w:val="•"/>
      <w:lvlJc w:val="left"/>
      <w:pPr>
        <w:ind w:left="1328" w:hanging="264"/>
      </w:pPr>
      <w:rPr>
        <w:rFonts w:hint="default"/>
        <w:lang w:val="uk-UA" w:eastAsia="en-US" w:bidi="ar-SA"/>
      </w:rPr>
    </w:lvl>
    <w:lvl w:ilvl="3" w:tplc="913C4FB2">
      <w:numFmt w:val="bullet"/>
      <w:lvlText w:val="•"/>
      <w:lvlJc w:val="left"/>
      <w:pPr>
        <w:ind w:left="1833" w:hanging="264"/>
      </w:pPr>
      <w:rPr>
        <w:rFonts w:hint="default"/>
        <w:lang w:val="uk-UA" w:eastAsia="en-US" w:bidi="ar-SA"/>
      </w:rPr>
    </w:lvl>
    <w:lvl w:ilvl="4" w:tplc="F9061C78">
      <w:numFmt w:val="bullet"/>
      <w:lvlText w:val="•"/>
      <w:lvlJc w:val="left"/>
      <w:pPr>
        <w:ind w:left="2337" w:hanging="264"/>
      </w:pPr>
      <w:rPr>
        <w:rFonts w:hint="default"/>
        <w:lang w:val="uk-UA" w:eastAsia="en-US" w:bidi="ar-SA"/>
      </w:rPr>
    </w:lvl>
    <w:lvl w:ilvl="5" w:tplc="9DD8F0FE">
      <w:numFmt w:val="bullet"/>
      <w:lvlText w:val="•"/>
      <w:lvlJc w:val="left"/>
      <w:pPr>
        <w:ind w:left="2841" w:hanging="264"/>
      </w:pPr>
      <w:rPr>
        <w:rFonts w:hint="default"/>
        <w:lang w:val="uk-UA" w:eastAsia="en-US" w:bidi="ar-SA"/>
      </w:rPr>
    </w:lvl>
    <w:lvl w:ilvl="6" w:tplc="DD1057F8">
      <w:numFmt w:val="bullet"/>
      <w:lvlText w:val="•"/>
      <w:lvlJc w:val="left"/>
      <w:pPr>
        <w:ind w:left="3346" w:hanging="264"/>
      </w:pPr>
      <w:rPr>
        <w:rFonts w:hint="default"/>
        <w:lang w:val="uk-UA" w:eastAsia="en-US" w:bidi="ar-SA"/>
      </w:rPr>
    </w:lvl>
    <w:lvl w:ilvl="7" w:tplc="4B2A134C">
      <w:numFmt w:val="bullet"/>
      <w:lvlText w:val="•"/>
      <w:lvlJc w:val="left"/>
      <w:pPr>
        <w:ind w:left="3850" w:hanging="264"/>
      </w:pPr>
      <w:rPr>
        <w:rFonts w:hint="default"/>
        <w:lang w:val="uk-UA" w:eastAsia="en-US" w:bidi="ar-SA"/>
      </w:rPr>
    </w:lvl>
    <w:lvl w:ilvl="8" w:tplc="CA48A890">
      <w:numFmt w:val="bullet"/>
      <w:lvlText w:val="•"/>
      <w:lvlJc w:val="left"/>
      <w:pPr>
        <w:ind w:left="4354" w:hanging="264"/>
      </w:pPr>
      <w:rPr>
        <w:rFonts w:hint="default"/>
        <w:lang w:val="uk-UA" w:eastAsia="en-US" w:bidi="ar-SA"/>
      </w:rPr>
    </w:lvl>
  </w:abstractNum>
  <w:abstractNum w:abstractNumId="169" w15:restartNumberingAfterBreak="0">
    <w:nsid w:val="5A3020C2"/>
    <w:multiLevelType w:val="hybridMultilevel"/>
    <w:tmpl w:val="D1EC04EA"/>
    <w:lvl w:ilvl="0" w:tplc="C2E67532">
      <w:start w:val="1"/>
      <w:numFmt w:val="decimal"/>
      <w:lvlText w:val="%1."/>
      <w:lvlJc w:val="left"/>
      <w:pPr>
        <w:ind w:left="800" w:hanging="360"/>
      </w:pPr>
      <w:rPr>
        <w:rFonts w:ascii="Times New Roman" w:eastAsia="Times New Roman" w:hAnsi="Times New Roman" w:cs="Times New Roman" w:hint="default"/>
        <w:spacing w:val="0"/>
        <w:w w:val="99"/>
        <w:sz w:val="20"/>
        <w:szCs w:val="20"/>
        <w:lang w:val="uk-UA" w:eastAsia="en-US" w:bidi="ar-SA"/>
      </w:rPr>
    </w:lvl>
    <w:lvl w:ilvl="1" w:tplc="7C52B9FA">
      <w:numFmt w:val="bullet"/>
      <w:lvlText w:val="•"/>
      <w:lvlJc w:val="left"/>
      <w:pPr>
        <w:ind w:left="1232" w:hanging="360"/>
      </w:pPr>
      <w:rPr>
        <w:rFonts w:hint="default"/>
        <w:lang w:val="uk-UA" w:eastAsia="en-US" w:bidi="ar-SA"/>
      </w:rPr>
    </w:lvl>
    <w:lvl w:ilvl="2" w:tplc="26DE5F08">
      <w:numFmt w:val="bullet"/>
      <w:lvlText w:val="•"/>
      <w:lvlJc w:val="left"/>
      <w:pPr>
        <w:ind w:left="1665" w:hanging="360"/>
      </w:pPr>
      <w:rPr>
        <w:rFonts w:hint="default"/>
        <w:lang w:val="uk-UA" w:eastAsia="en-US" w:bidi="ar-SA"/>
      </w:rPr>
    </w:lvl>
    <w:lvl w:ilvl="3" w:tplc="484AA4CC">
      <w:numFmt w:val="bullet"/>
      <w:lvlText w:val="•"/>
      <w:lvlJc w:val="left"/>
      <w:pPr>
        <w:ind w:left="2098" w:hanging="360"/>
      </w:pPr>
      <w:rPr>
        <w:rFonts w:hint="default"/>
        <w:lang w:val="uk-UA" w:eastAsia="en-US" w:bidi="ar-SA"/>
      </w:rPr>
    </w:lvl>
    <w:lvl w:ilvl="4" w:tplc="9BEC5316">
      <w:numFmt w:val="bullet"/>
      <w:lvlText w:val="•"/>
      <w:lvlJc w:val="left"/>
      <w:pPr>
        <w:ind w:left="2531" w:hanging="360"/>
      </w:pPr>
      <w:rPr>
        <w:rFonts w:hint="default"/>
        <w:lang w:val="uk-UA" w:eastAsia="en-US" w:bidi="ar-SA"/>
      </w:rPr>
    </w:lvl>
    <w:lvl w:ilvl="5" w:tplc="FD28A394">
      <w:numFmt w:val="bullet"/>
      <w:lvlText w:val="•"/>
      <w:lvlJc w:val="left"/>
      <w:pPr>
        <w:ind w:left="2964" w:hanging="360"/>
      </w:pPr>
      <w:rPr>
        <w:rFonts w:hint="default"/>
        <w:lang w:val="uk-UA" w:eastAsia="en-US" w:bidi="ar-SA"/>
      </w:rPr>
    </w:lvl>
    <w:lvl w:ilvl="6" w:tplc="F252CFFA">
      <w:numFmt w:val="bullet"/>
      <w:lvlText w:val="•"/>
      <w:lvlJc w:val="left"/>
      <w:pPr>
        <w:ind w:left="3397" w:hanging="360"/>
      </w:pPr>
      <w:rPr>
        <w:rFonts w:hint="default"/>
        <w:lang w:val="uk-UA" w:eastAsia="en-US" w:bidi="ar-SA"/>
      </w:rPr>
    </w:lvl>
    <w:lvl w:ilvl="7" w:tplc="54E433AA">
      <w:numFmt w:val="bullet"/>
      <w:lvlText w:val="•"/>
      <w:lvlJc w:val="left"/>
      <w:pPr>
        <w:ind w:left="3830" w:hanging="360"/>
      </w:pPr>
      <w:rPr>
        <w:rFonts w:hint="default"/>
        <w:lang w:val="uk-UA" w:eastAsia="en-US" w:bidi="ar-SA"/>
      </w:rPr>
    </w:lvl>
    <w:lvl w:ilvl="8" w:tplc="6F9C2D50">
      <w:numFmt w:val="bullet"/>
      <w:lvlText w:val="•"/>
      <w:lvlJc w:val="left"/>
      <w:pPr>
        <w:ind w:left="4263" w:hanging="360"/>
      </w:pPr>
      <w:rPr>
        <w:rFonts w:hint="default"/>
        <w:lang w:val="uk-UA" w:eastAsia="en-US" w:bidi="ar-SA"/>
      </w:rPr>
    </w:lvl>
  </w:abstractNum>
  <w:abstractNum w:abstractNumId="170" w15:restartNumberingAfterBreak="0">
    <w:nsid w:val="5A3F7E26"/>
    <w:multiLevelType w:val="hybridMultilevel"/>
    <w:tmpl w:val="8E389812"/>
    <w:lvl w:ilvl="0" w:tplc="81E83CDE">
      <w:start w:val="1"/>
      <w:numFmt w:val="decimal"/>
      <w:lvlText w:val="%1)"/>
      <w:lvlJc w:val="left"/>
      <w:pPr>
        <w:ind w:left="440" w:hanging="245"/>
      </w:pPr>
      <w:rPr>
        <w:rFonts w:ascii="Times New Roman" w:eastAsia="Times New Roman" w:hAnsi="Times New Roman" w:cs="Times New Roman" w:hint="default"/>
        <w:spacing w:val="0"/>
        <w:w w:val="99"/>
        <w:sz w:val="20"/>
        <w:szCs w:val="20"/>
        <w:lang w:val="uk-UA" w:eastAsia="en-US" w:bidi="ar-SA"/>
      </w:rPr>
    </w:lvl>
    <w:lvl w:ilvl="1" w:tplc="8522DB50">
      <w:numFmt w:val="bullet"/>
      <w:lvlText w:val="•"/>
      <w:lvlJc w:val="left"/>
      <w:pPr>
        <w:ind w:left="908" w:hanging="245"/>
      </w:pPr>
      <w:rPr>
        <w:rFonts w:hint="default"/>
        <w:lang w:val="uk-UA" w:eastAsia="en-US" w:bidi="ar-SA"/>
      </w:rPr>
    </w:lvl>
    <w:lvl w:ilvl="2" w:tplc="14263AAC">
      <w:numFmt w:val="bullet"/>
      <w:lvlText w:val="•"/>
      <w:lvlJc w:val="left"/>
      <w:pPr>
        <w:ind w:left="1377" w:hanging="245"/>
      </w:pPr>
      <w:rPr>
        <w:rFonts w:hint="default"/>
        <w:lang w:val="uk-UA" w:eastAsia="en-US" w:bidi="ar-SA"/>
      </w:rPr>
    </w:lvl>
    <w:lvl w:ilvl="3" w:tplc="267A6E80">
      <w:numFmt w:val="bullet"/>
      <w:lvlText w:val="•"/>
      <w:lvlJc w:val="left"/>
      <w:pPr>
        <w:ind w:left="1845" w:hanging="245"/>
      </w:pPr>
      <w:rPr>
        <w:rFonts w:hint="default"/>
        <w:lang w:val="uk-UA" w:eastAsia="en-US" w:bidi="ar-SA"/>
      </w:rPr>
    </w:lvl>
    <w:lvl w:ilvl="4" w:tplc="9DEAC78C">
      <w:numFmt w:val="bullet"/>
      <w:lvlText w:val="•"/>
      <w:lvlJc w:val="left"/>
      <w:pPr>
        <w:ind w:left="2314" w:hanging="245"/>
      </w:pPr>
      <w:rPr>
        <w:rFonts w:hint="default"/>
        <w:lang w:val="uk-UA" w:eastAsia="en-US" w:bidi="ar-SA"/>
      </w:rPr>
    </w:lvl>
    <w:lvl w:ilvl="5" w:tplc="F8A46B20">
      <w:numFmt w:val="bullet"/>
      <w:lvlText w:val="•"/>
      <w:lvlJc w:val="left"/>
      <w:pPr>
        <w:ind w:left="2782" w:hanging="245"/>
      </w:pPr>
      <w:rPr>
        <w:rFonts w:hint="default"/>
        <w:lang w:val="uk-UA" w:eastAsia="en-US" w:bidi="ar-SA"/>
      </w:rPr>
    </w:lvl>
    <w:lvl w:ilvl="6" w:tplc="2C6C7292">
      <w:numFmt w:val="bullet"/>
      <w:lvlText w:val="•"/>
      <w:lvlJc w:val="left"/>
      <w:pPr>
        <w:ind w:left="3251" w:hanging="245"/>
      </w:pPr>
      <w:rPr>
        <w:rFonts w:hint="default"/>
        <w:lang w:val="uk-UA" w:eastAsia="en-US" w:bidi="ar-SA"/>
      </w:rPr>
    </w:lvl>
    <w:lvl w:ilvl="7" w:tplc="E55CB1FC">
      <w:numFmt w:val="bullet"/>
      <w:lvlText w:val="•"/>
      <w:lvlJc w:val="left"/>
      <w:pPr>
        <w:ind w:left="3719" w:hanging="245"/>
      </w:pPr>
      <w:rPr>
        <w:rFonts w:hint="default"/>
        <w:lang w:val="uk-UA" w:eastAsia="en-US" w:bidi="ar-SA"/>
      </w:rPr>
    </w:lvl>
    <w:lvl w:ilvl="8" w:tplc="C3E48102">
      <w:numFmt w:val="bullet"/>
      <w:lvlText w:val="•"/>
      <w:lvlJc w:val="left"/>
      <w:pPr>
        <w:ind w:left="4188" w:hanging="245"/>
      </w:pPr>
      <w:rPr>
        <w:rFonts w:hint="default"/>
        <w:lang w:val="uk-UA" w:eastAsia="en-US" w:bidi="ar-SA"/>
      </w:rPr>
    </w:lvl>
  </w:abstractNum>
  <w:abstractNum w:abstractNumId="171" w15:restartNumberingAfterBreak="0">
    <w:nsid w:val="5AEE2207"/>
    <w:multiLevelType w:val="hybridMultilevel"/>
    <w:tmpl w:val="5F943786"/>
    <w:lvl w:ilvl="0" w:tplc="303AAE10">
      <w:start w:val="9"/>
      <w:numFmt w:val="bullet"/>
      <w:lvlText w:val="-"/>
      <w:lvlJc w:val="left"/>
      <w:pPr>
        <w:ind w:left="1494" w:hanging="360"/>
      </w:pPr>
      <w:rPr>
        <w:rFonts w:ascii="Times New Roman" w:eastAsia="Times New Roman" w:hAnsi="Times New Roman" w:cs="Times New Roman" w:hint="default"/>
        <w:b/>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2" w15:restartNumberingAfterBreak="0">
    <w:nsid w:val="5B047075"/>
    <w:multiLevelType w:val="hybridMultilevel"/>
    <w:tmpl w:val="03B8E1E4"/>
    <w:lvl w:ilvl="0" w:tplc="90A813BA">
      <w:start w:val="1"/>
      <w:numFmt w:val="lowerLetter"/>
      <w:lvlText w:val="%1)"/>
      <w:lvlJc w:val="left"/>
      <w:pPr>
        <w:ind w:left="382" w:hanging="240"/>
      </w:pPr>
      <w:rPr>
        <w:rFonts w:ascii="Times New Roman" w:eastAsia="Times New Roman" w:hAnsi="Times New Roman" w:cs="Times New Roman" w:hint="default"/>
        <w:w w:val="99"/>
        <w:sz w:val="20"/>
        <w:szCs w:val="20"/>
        <w:lang w:val="uk-UA" w:eastAsia="en-US" w:bidi="ar-SA"/>
      </w:rPr>
    </w:lvl>
    <w:lvl w:ilvl="1" w:tplc="42C62EDE">
      <w:numFmt w:val="bullet"/>
      <w:lvlText w:val="•"/>
      <w:lvlJc w:val="left"/>
      <w:pPr>
        <w:ind w:left="824" w:hanging="240"/>
      </w:pPr>
      <w:rPr>
        <w:rFonts w:hint="default"/>
        <w:lang w:val="uk-UA" w:eastAsia="en-US" w:bidi="ar-SA"/>
      </w:rPr>
    </w:lvl>
    <w:lvl w:ilvl="2" w:tplc="45589762">
      <w:numFmt w:val="bullet"/>
      <w:lvlText w:val="•"/>
      <w:lvlJc w:val="left"/>
      <w:pPr>
        <w:ind w:left="1328" w:hanging="240"/>
      </w:pPr>
      <w:rPr>
        <w:rFonts w:hint="default"/>
        <w:lang w:val="uk-UA" w:eastAsia="en-US" w:bidi="ar-SA"/>
      </w:rPr>
    </w:lvl>
    <w:lvl w:ilvl="3" w:tplc="FD181A9A">
      <w:numFmt w:val="bullet"/>
      <w:lvlText w:val="•"/>
      <w:lvlJc w:val="left"/>
      <w:pPr>
        <w:ind w:left="1832" w:hanging="240"/>
      </w:pPr>
      <w:rPr>
        <w:rFonts w:hint="default"/>
        <w:lang w:val="uk-UA" w:eastAsia="en-US" w:bidi="ar-SA"/>
      </w:rPr>
    </w:lvl>
    <w:lvl w:ilvl="4" w:tplc="FB185AA6">
      <w:numFmt w:val="bullet"/>
      <w:lvlText w:val="•"/>
      <w:lvlJc w:val="left"/>
      <w:pPr>
        <w:ind w:left="2336" w:hanging="240"/>
      </w:pPr>
      <w:rPr>
        <w:rFonts w:hint="default"/>
        <w:lang w:val="uk-UA" w:eastAsia="en-US" w:bidi="ar-SA"/>
      </w:rPr>
    </w:lvl>
    <w:lvl w:ilvl="5" w:tplc="015C90C0">
      <w:numFmt w:val="bullet"/>
      <w:lvlText w:val="•"/>
      <w:lvlJc w:val="left"/>
      <w:pPr>
        <w:ind w:left="2840" w:hanging="240"/>
      </w:pPr>
      <w:rPr>
        <w:rFonts w:hint="default"/>
        <w:lang w:val="uk-UA" w:eastAsia="en-US" w:bidi="ar-SA"/>
      </w:rPr>
    </w:lvl>
    <w:lvl w:ilvl="6" w:tplc="B9B6FCFE">
      <w:numFmt w:val="bullet"/>
      <w:lvlText w:val="•"/>
      <w:lvlJc w:val="left"/>
      <w:pPr>
        <w:ind w:left="3345" w:hanging="240"/>
      </w:pPr>
      <w:rPr>
        <w:rFonts w:hint="default"/>
        <w:lang w:val="uk-UA" w:eastAsia="en-US" w:bidi="ar-SA"/>
      </w:rPr>
    </w:lvl>
    <w:lvl w:ilvl="7" w:tplc="32CC2CEA">
      <w:numFmt w:val="bullet"/>
      <w:lvlText w:val="•"/>
      <w:lvlJc w:val="left"/>
      <w:pPr>
        <w:ind w:left="3849" w:hanging="240"/>
      </w:pPr>
      <w:rPr>
        <w:rFonts w:hint="default"/>
        <w:lang w:val="uk-UA" w:eastAsia="en-US" w:bidi="ar-SA"/>
      </w:rPr>
    </w:lvl>
    <w:lvl w:ilvl="8" w:tplc="64547F7E">
      <w:numFmt w:val="bullet"/>
      <w:lvlText w:val="•"/>
      <w:lvlJc w:val="left"/>
      <w:pPr>
        <w:ind w:left="4353" w:hanging="240"/>
      </w:pPr>
      <w:rPr>
        <w:rFonts w:hint="default"/>
        <w:lang w:val="uk-UA" w:eastAsia="en-US" w:bidi="ar-SA"/>
      </w:rPr>
    </w:lvl>
  </w:abstractNum>
  <w:abstractNum w:abstractNumId="173" w15:restartNumberingAfterBreak="0">
    <w:nsid w:val="5B48339B"/>
    <w:multiLevelType w:val="hybridMultilevel"/>
    <w:tmpl w:val="011E34EC"/>
    <w:lvl w:ilvl="0" w:tplc="A062827C">
      <w:start w:val="1"/>
      <w:numFmt w:val="decimal"/>
      <w:lvlText w:val="%1."/>
      <w:lvlJc w:val="left"/>
      <w:pPr>
        <w:ind w:left="723" w:hanging="360"/>
      </w:pPr>
      <w:rPr>
        <w:rFonts w:ascii="Times New Roman" w:eastAsia="Times New Roman" w:hAnsi="Times New Roman" w:cs="Times New Roman" w:hint="default"/>
        <w:spacing w:val="0"/>
        <w:w w:val="99"/>
        <w:sz w:val="20"/>
        <w:szCs w:val="20"/>
        <w:lang w:val="uk-UA" w:eastAsia="en-US" w:bidi="ar-SA"/>
      </w:rPr>
    </w:lvl>
    <w:lvl w:ilvl="1" w:tplc="600E8806">
      <w:numFmt w:val="bullet"/>
      <w:lvlText w:val="•"/>
      <w:lvlJc w:val="left"/>
      <w:pPr>
        <w:ind w:left="1160" w:hanging="360"/>
      </w:pPr>
      <w:rPr>
        <w:rFonts w:hint="default"/>
        <w:lang w:val="uk-UA" w:eastAsia="en-US" w:bidi="ar-SA"/>
      </w:rPr>
    </w:lvl>
    <w:lvl w:ilvl="2" w:tplc="AF141D50">
      <w:numFmt w:val="bullet"/>
      <w:lvlText w:val="•"/>
      <w:lvlJc w:val="left"/>
      <w:pPr>
        <w:ind w:left="1601" w:hanging="360"/>
      </w:pPr>
      <w:rPr>
        <w:rFonts w:hint="default"/>
        <w:lang w:val="uk-UA" w:eastAsia="en-US" w:bidi="ar-SA"/>
      </w:rPr>
    </w:lvl>
    <w:lvl w:ilvl="3" w:tplc="0E9A8744">
      <w:numFmt w:val="bullet"/>
      <w:lvlText w:val="•"/>
      <w:lvlJc w:val="left"/>
      <w:pPr>
        <w:ind w:left="2041" w:hanging="360"/>
      </w:pPr>
      <w:rPr>
        <w:rFonts w:hint="default"/>
        <w:lang w:val="uk-UA" w:eastAsia="en-US" w:bidi="ar-SA"/>
      </w:rPr>
    </w:lvl>
    <w:lvl w:ilvl="4" w:tplc="CA4098F6">
      <w:numFmt w:val="bullet"/>
      <w:lvlText w:val="•"/>
      <w:lvlJc w:val="left"/>
      <w:pPr>
        <w:ind w:left="2482" w:hanging="360"/>
      </w:pPr>
      <w:rPr>
        <w:rFonts w:hint="default"/>
        <w:lang w:val="uk-UA" w:eastAsia="en-US" w:bidi="ar-SA"/>
      </w:rPr>
    </w:lvl>
    <w:lvl w:ilvl="5" w:tplc="A15230D0">
      <w:numFmt w:val="bullet"/>
      <w:lvlText w:val="•"/>
      <w:lvlJc w:val="left"/>
      <w:pPr>
        <w:ind w:left="2922" w:hanging="360"/>
      </w:pPr>
      <w:rPr>
        <w:rFonts w:hint="default"/>
        <w:lang w:val="uk-UA" w:eastAsia="en-US" w:bidi="ar-SA"/>
      </w:rPr>
    </w:lvl>
    <w:lvl w:ilvl="6" w:tplc="269C8A22">
      <w:numFmt w:val="bullet"/>
      <w:lvlText w:val="•"/>
      <w:lvlJc w:val="left"/>
      <w:pPr>
        <w:ind w:left="3363" w:hanging="360"/>
      </w:pPr>
      <w:rPr>
        <w:rFonts w:hint="default"/>
        <w:lang w:val="uk-UA" w:eastAsia="en-US" w:bidi="ar-SA"/>
      </w:rPr>
    </w:lvl>
    <w:lvl w:ilvl="7" w:tplc="DBE0A22A">
      <w:numFmt w:val="bullet"/>
      <w:lvlText w:val="•"/>
      <w:lvlJc w:val="left"/>
      <w:pPr>
        <w:ind w:left="3803" w:hanging="360"/>
      </w:pPr>
      <w:rPr>
        <w:rFonts w:hint="default"/>
        <w:lang w:val="uk-UA" w:eastAsia="en-US" w:bidi="ar-SA"/>
      </w:rPr>
    </w:lvl>
    <w:lvl w:ilvl="8" w:tplc="D610D946">
      <w:numFmt w:val="bullet"/>
      <w:lvlText w:val="•"/>
      <w:lvlJc w:val="left"/>
      <w:pPr>
        <w:ind w:left="4244" w:hanging="360"/>
      </w:pPr>
      <w:rPr>
        <w:rFonts w:hint="default"/>
        <w:lang w:val="uk-UA" w:eastAsia="en-US" w:bidi="ar-SA"/>
      </w:rPr>
    </w:lvl>
  </w:abstractNum>
  <w:abstractNum w:abstractNumId="174" w15:restartNumberingAfterBreak="0">
    <w:nsid w:val="5B5F07E6"/>
    <w:multiLevelType w:val="hybridMultilevel"/>
    <w:tmpl w:val="74BE36D2"/>
    <w:lvl w:ilvl="0" w:tplc="90B61AD4">
      <w:start w:val="3"/>
      <w:numFmt w:val="decimal"/>
      <w:lvlText w:val="%1)"/>
      <w:lvlJc w:val="left"/>
      <w:pPr>
        <w:ind w:left="651" w:hanging="225"/>
      </w:pPr>
      <w:rPr>
        <w:rFonts w:ascii="Times New Roman" w:eastAsia="Times New Roman" w:hAnsi="Times New Roman" w:cs="Times New Roman" w:hint="default"/>
        <w:spacing w:val="0"/>
        <w:w w:val="99"/>
        <w:sz w:val="20"/>
        <w:szCs w:val="20"/>
        <w:lang w:val="uk-UA" w:eastAsia="en-US" w:bidi="ar-SA"/>
      </w:rPr>
    </w:lvl>
    <w:lvl w:ilvl="1" w:tplc="94A86AE8">
      <w:numFmt w:val="bullet"/>
      <w:lvlText w:val="•"/>
      <w:lvlJc w:val="left"/>
      <w:pPr>
        <w:ind w:left="824" w:hanging="225"/>
      </w:pPr>
      <w:rPr>
        <w:rFonts w:hint="default"/>
        <w:lang w:val="uk-UA" w:eastAsia="en-US" w:bidi="ar-SA"/>
      </w:rPr>
    </w:lvl>
    <w:lvl w:ilvl="2" w:tplc="CEEA9986">
      <w:numFmt w:val="bullet"/>
      <w:lvlText w:val="•"/>
      <w:lvlJc w:val="left"/>
      <w:pPr>
        <w:ind w:left="1328" w:hanging="225"/>
      </w:pPr>
      <w:rPr>
        <w:rFonts w:hint="default"/>
        <w:lang w:val="uk-UA" w:eastAsia="en-US" w:bidi="ar-SA"/>
      </w:rPr>
    </w:lvl>
    <w:lvl w:ilvl="3" w:tplc="4B26418A">
      <w:numFmt w:val="bullet"/>
      <w:lvlText w:val="•"/>
      <w:lvlJc w:val="left"/>
      <w:pPr>
        <w:ind w:left="1832" w:hanging="225"/>
      </w:pPr>
      <w:rPr>
        <w:rFonts w:hint="default"/>
        <w:lang w:val="uk-UA" w:eastAsia="en-US" w:bidi="ar-SA"/>
      </w:rPr>
    </w:lvl>
    <w:lvl w:ilvl="4" w:tplc="A0B01E8A">
      <w:numFmt w:val="bullet"/>
      <w:lvlText w:val="•"/>
      <w:lvlJc w:val="left"/>
      <w:pPr>
        <w:ind w:left="2336" w:hanging="225"/>
      </w:pPr>
      <w:rPr>
        <w:rFonts w:hint="default"/>
        <w:lang w:val="uk-UA" w:eastAsia="en-US" w:bidi="ar-SA"/>
      </w:rPr>
    </w:lvl>
    <w:lvl w:ilvl="5" w:tplc="0FA8EA4A">
      <w:numFmt w:val="bullet"/>
      <w:lvlText w:val="•"/>
      <w:lvlJc w:val="left"/>
      <w:pPr>
        <w:ind w:left="2840" w:hanging="225"/>
      </w:pPr>
      <w:rPr>
        <w:rFonts w:hint="default"/>
        <w:lang w:val="uk-UA" w:eastAsia="en-US" w:bidi="ar-SA"/>
      </w:rPr>
    </w:lvl>
    <w:lvl w:ilvl="6" w:tplc="AC30490C">
      <w:numFmt w:val="bullet"/>
      <w:lvlText w:val="•"/>
      <w:lvlJc w:val="left"/>
      <w:pPr>
        <w:ind w:left="3344" w:hanging="225"/>
      </w:pPr>
      <w:rPr>
        <w:rFonts w:hint="default"/>
        <w:lang w:val="uk-UA" w:eastAsia="en-US" w:bidi="ar-SA"/>
      </w:rPr>
    </w:lvl>
    <w:lvl w:ilvl="7" w:tplc="E3F0FE74">
      <w:numFmt w:val="bullet"/>
      <w:lvlText w:val="•"/>
      <w:lvlJc w:val="left"/>
      <w:pPr>
        <w:ind w:left="3848" w:hanging="225"/>
      </w:pPr>
      <w:rPr>
        <w:rFonts w:hint="default"/>
        <w:lang w:val="uk-UA" w:eastAsia="en-US" w:bidi="ar-SA"/>
      </w:rPr>
    </w:lvl>
    <w:lvl w:ilvl="8" w:tplc="32DC6B06">
      <w:numFmt w:val="bullet"/>
      <w:lvlText w:val="•"/>
      <w:lvlJc w:val="left"/>
      <w:pPr>
        <w:ind w:left="4352" w:hanging="225"/>
      </w:pPr>
      <w:rPr>
        <w:rFonts w:hint="default"/>
        <w:lang w:val="uk-UA" w:eastAsia="en-US" w:bidi="ar-SA"/>
      </w:rPr>
    </w:lvl>
  </w:abstractNum>
  <w:abstractNum w:abstractNumId="175" w15:restartNumberingAfterBreak="0">
    <w:nsid w:val="5C4C22FF"/>
    <w:multiLevelType w:val="hybridMultilevel"/>
    <w:tmpl w:val="8C0401CC"/>
    <w:lvl w:ilvl="0" w:tplc="4EBC11E2">
      <w:start w:val="1"/>
      <w:numFmt w:val="decimal"/>
      <w:lvlText w:val="%1."/>
      <w:lvlJc w:val="left"/>
      <w:pPr>
        <w:ind w:left="860" w:hanging="360"/>
      </w:pPr>
      <w:rPr>
        <w:rFonts w:ascii="Times New Roman" w:eastAsia="Times New Roman" w:hAnsi="Times New Roman" w:cs="Times New Roman" w:hint="default"/>
        <w:spacing w:val="0"/>
        <w:w w:val="99"/>
        <w:sz w:val="20"/>
        <w:szCs w:val="20"/>
        <w:lang w:val="uk-UA" w:eastAsia="en-US" w:bidi="ar-SA"/>
      </w:rPr>
    </w:lvl>
    <w:lvl w:ilvl="1" w:tplc="58F65DC8">
      <w:numFmt w:val="bullet"/>
      <w:lvlText w:val="•"/>
      <w:lvlJc w:val="left"/>
      <w:pPr>
        <w:ind w:left="1286" w:hanging="360"/>
      </w:pPr>
      <w:rPr>
        <w:rFonts w:hint="default"/>
        <w:lang w:val="uk-UA" w:eastAsia="en-US" w:bidi="ar-SA"/>
      </w:rPr>
    </w:lvl>
    <w:lvl w:ilvl="2" w:tplc="1A0A79A0">
      <w:numFmt w:val="bullet"/>
      <w:lvlText w:val="•"/>
      <w:lvlJc w:val="left"/>
      <w:pPr>
        <w:ind w:left="1713" w:hanging="360"/>
      </w:pPr>
      <w:rPr>
        <w:rFonts w:hint="default"/>
        <w:lang w:val="uk-UA" w:eastAsia="en-US" w:bidi="ar-SA"/>
      </w:rPr>
    </w:lvl>
    <w:lvl w:ilvl="3" w:tplc="61E29862">
      <w:numFmt w:val="bullet"/>
      <w:lvlText w:val="•"/>
      <w:lvlJc w:val="left"/>
      <w:pPr>
        <w:ind w:left="2139" w:hanging="360"/>
      </w:pPr>
      <w:rPr>
        <w:rFonts w:hint="default"/>
        <w:lang w:val="uk-UA" w:eastAsia="en-US" w:bidi="ar-SA"/>
      </w:rPr>
    </w:lvl>
    <w:lvl w:ilvl="4" w:tplc="83108C3C">
      <w:numFmt w:val="bullet"/>
      <w:lvlText w:val="•"/>
      <w:lvlJc w:val="left"/>
      <w:pPr>
        <w:ind w:left="2566" w:hanging="360"/>
      </w:pPr>
      <w:rPr>
        <w:rFonts w:hint="default"/>
        <w:lang w:val="uk-UA" w:eastAsia="en-US" w:bidi="ar-SA"/>
      </w:rPr>
    </w:lvl>
    <w:lvl w:ilvl="5" w:tplc="5FB4E370">
      <w:numFmt w:val="bullet"/>
      <w:lvlText w:val="•"/>
      <w:lvlJc w:val="left"/>
      <w:pPr>
        <w:ind w:left="2993" w:hanging="360"/>
      </w:pPr>
      <w:rPr>
        <w:rFonts w:hint="default"/>
        <w:lang w:val="uk-UA" w:eastAsia="en-US" w:bidi="ar-SA"/>
      </w:rPr>
    </w:lvl>
    <w:lvl w:ilvl="6" w:tplc="F9B4FD74">
      <w:numFmt w:val="bullet"/>
      <w:lvlText w:val="•"/>
      <w:lvlJc w:val="left"/>
      <w:pPr>
        <w:ind w:left="3419" w:hanging="360"/>
      </w:pPr>
      <w:rPr>
        <w:rFonts w:hint="default"/>
        <w:lang w:val="uk-UA" w:eastAsia="en-US" w:bidi="ar-SA"/>
      </w:rPr>
    </w:lvl>
    <w:lvl w:ilvl="7" w:tplc="DBD63054">
      <w:numFmt w:val="bullet"/>
      <w:lvlText w:val="•"/>
      <w:lvlJc w:val="left"/>
      <w:pPr>
        <w:ind w:left="3846" w:hanging="360"/>
      </w:pPr>
      <w:rPr>
        <w:rFonts w:hint="default"/>
        <w:lang w:val="uk-UA" w:eastAsia="en-US" w:bidi="ar-SA"/>
      </w:rPr>
    </w:lvl>
    <w:lvl w:ilvl="8" w:tplc="86248EE6">
      <w:numFmt w:val="bullet"/>
      <w:lvlText w:val="•"/>
      <w:lvlJc w:val="left"/>
      <w:pPr>
        <w:ind w:left="4272" w:hanging="360"/>
      </w:pPr>
      <w:rPr>
        <w:rFonts w:hint="default"/>
        <w:lang w:val="uk-UA" w:eastAsia="en-US" w:bidi="ar-SA"/>
      </w:rPr>
    </w:lvl>
  </w:abstractNum>
  <w:abstractNum w:abstractNumId="176" w15:restartNumberingAfterBreak="0">
    <w:nsid w:val="5D6B2E2E"/>
    <w:multiLevelType w:val="hybridMultilevel"/>
    <w:tmpl w:val="8924BDAC"/>
    <w:lvl w:ilvl="0" w:tplc="2320CFF4">
      <w:start w:val="1"/>
      <w:numFmt w:val="lowerLetter"/>
      <w:lvlText w:val="%1)"/>
      <w:lvlJc w:val="left"/>
      <w:pPr>
        <w:ind w:left="283" w:hanging="206"/>
      </w:pPr>
      <w:rPr>
        <w:rFonts w:ascii="Times New Roman" w:eastAsia="Times New Roman" w:hAnsi="Times New Roman" w:cs="Times New Roman" w:hint="default"/>
        <w:w w:val="99"/>
        <w:sz w:val="20"/>
        <w:szCs w:val="20"/>
        <w:lang w:val="uk-UA" w:eastAsia="en-US" w:bidi="ar-SA"/>
      </w:rPr>
    </w:lvl>
    <w:lvl w:ilvl="1" w:tplc="558AE4F8">
      <w:start w:val="1"/>
      <w:numFmt w:val="decimal"/>
      <w:lvlText w:val="%2."/>
      <w:lvlJc w:val="left"/>
      <w:pPr>
        <w:ind w:left="497" w:hanging="360"/>
      </w:pPr>
      <w:rPr>
        <w:rFonts w:ascii="Times New Roman" w:eastAsia="Times New Roman" w:hAnsi="Times New Roman" w:cs="Times New Roman" w:hint="default"/>
        <w:spacing w:val="0"/>
        <w:w w:val="99"/>
        <w:sz w:val="20"/>
        <w:szCs w:val="20"/>
        <w:lang w:val="uk-UA" w:eastAsia="en-US" w:bidi="ar-SA"/>
      </w:rPr>
    </w:lvl>
    <w:lvl w:ilvl="2" w:tplc="9A24F2F0">
      <w:start w:val="1"/>
      <w:numFmt w:val="decimal"/>
      <w:lvlText w:val="%3."/>
      <w:lvlJc w:val="left"/>
      <w:pPr>
        <w:ind w:left="716" w:hanging="228"/>
      </w:pPr>
      <w:rPr>
        <w:rFonts w:ascii="Times New Roman" w:eastAsia="Times New Roman" w:hAnsi="Times New Roman" w:cs="Times New Roman" w:hint="default"/>
        <w:spacing w:val="0"/>
        <w:w w:val="99"/>
        <w:sz w:val="20"/>
        <w:szCs w:val="20"/>
        <w:lang w:val="uk-UA" w:eastAsia="en-US" w:bidi="ar-SA"/>
      </w:rPr>
    </w:lvl>
    <w:lvl w:ilvl="3" w:tplc="857C45F4">
      <w:numFmt w:val="bullet"/>
      <w:lvlText w:val="•"/>
      <w:lvlJc w:val="left"/>
      <w:pPr>
        <w:ind w:left="720" w:hanging="228"/>
      </w:pPr>
      <w:rPr>
        <w:rFonts w:hint="default"/>
        <w:lang w:val="uk-UA" w:eastAsia="en-US" w:bidi="ar-SA"/>
      </w:rPr>
    </w:lvl>
    <w:lvl w:ilvl="4" w:tplc="086204C2">
      <w:numFmt w:val="bullet"/>
      <w:lvlText w:val="•"/>
      <w:lvlJc w:val="left"/>
      <w:pPr>
        <w:ind w:left="617" w:hanging="228"/>
      </w:pPr>
      <w:rPr>
        <w:rFonts w:hint="default"/>
        <w:lang w:val="uk-UA" w:eastAsia="en-US" w:bidi="ar-SA"/>
      </w:rPr>
    </w:lvl>
    <w:lvl w:ilvl="5" w:tplc="05A617BE">
      <w:numFmt w:val="bullet"/>
      <w:lvlText w:val="•"/>
      <w:lvlJc w:val="left"/>
      <w:pPr>
        <w:ind w:left="515" w:hanging="228"/>
      </w:pPr>
      <w:rPr>
        <w:rFonts w:hint="default"/>
        <w:lang w:val="uk-UA" w:eastAsia="en-US" w:bidi="ar-SA"/>
      </w:rPr>
    </w:lvl>
    <w:lvl w:ilvl="6" w:tplc="3D3EC226">
      <w:numFmt w:val="bullet"/>
      <w:lvlText w:val="•"/>
      <w:lvlJc w:val="left"/>
      <w:pPr>
        <w:ind w:left="413" w:hanging="228"/>
      </w:pPr>
      <w:rPr>
        <w:rFonts w:hint="default"/>
        <w:lang w:val="uk-UA" w:eastAsia="en-US" w:bidi="ar-SA"/>
      </w:rPr>
    </w:lvl>
    <w:lvl w:ilvl="7" w:tplc="D0B077C0">
      <w:numFmt w:val="bullet"/>
      <w:lvlText w:val="•"/>
      <w:lvlJc w:val="left"/>
      <w:pPr>
        <w:ind w:left="311" w:hanging="228"/>
      </w:pPr>
      <w:rPr>
        <w:rFonts w:hint="default"/>
        <w:lang w:val="uk-UA" w:eastAsia="en-US" w:bidi="ar-SA"/>
      </w:rPr>
    </w:lvl>
    <w:lvl w:ilvl="8" w:tplc="5FFA7CD6">
      <w:numFmt w:val="bullet"/>
      <w:lvlText w:val="•"/>
      <w:lvlJc w:val="left"/>
      <w:pPr>
        <w:ind w:left="209" w:hanging="228"/>
      </w:pPr>
      <w:rPr>
        <w:rFonts w:hint="default"/>
        <w:lang w:val="uk-UA" w:eastAsia="en-US" w:bidi="ar-SA"/>
      </w:rPr>
    </w:lvl>
  </w:abstractNum>
  <w:abstractNum w:abstractNumId="177" w15:restartNumberingAfterBreak="0">
    <w:nsid w:val="5D752BF3"/>
    <w:multiLevelType w:val="hybridMultilevel"/>
    <w:tmpl w:val="9BD24F04"/>
    <w:lvl w:ilvl="0" w:tplc="849605D0">
      <w:start w:val="3"/>
      <w:numFmt w:val="bullet"/>
      <w:lvlText w:val="-"/>
      <w:lvlJc w:val="left"/>
      <w:pPr>
        <w:ind w:left="1380" w:hanging="360"/>
      </w:pPr>
      <w:rPr>
        <w:rFonts w:ascii="Times New Roman" w:eastAsia="Calibri" w:hAnsi="Times New Roman" w:cs="Times New Roman" w:hint="default"/>
      </w:rPr>
    </w:lvl>
    <w:lvl w:ilvl="1" w:tplc="04190003" w:tentative="1">
      <w:start w:val="1"/>
      <w:numFmt w:val="bullet"/>
      <w:lvlText w:val="o"/>
      <w:lvlJc w:val="left"/>
      <w:pPr>
        <w:ind w:left="1950" w:hanging="360"/>
      </w:pPr>
      <w:rPr>
        <w:rFonts w:ascii="Courier New" w:hAnsi="Courier New" w:cs="Courier New" w:hint="default"/>
      </w:rPr>
    </w:lvl>
    <w:lvl w:ilvl="2" w:tplc="04190005" w:tentative="1">
      <w:start w:val="1"/>
      <w:numFmt w:val="bullet"/>
      <w:lvlText w:val=""/>
      <w:lvlJc w:val="left"/>
      <w:pPr>
        <w:ind w:left="2670" w:hanging="360"/>
      </w:pPr>
      <w:rPr>
        <w:rFonts w:ascii="Wingdings" w:hAnsi="Wingdings" w:hint="default"/>
      </w:rPr>
    </w:lvl>
    <w:lvl w:ilvl="3" w:tplc="04190001" w:tentative="1">
      <w:start w:val="1"/>
      <w:numFmt w:val="bullet"/>
      <w:lvlText w:val=""/>
      <w:lvlJc w:val="left"/>
      <w:pPr>
        <w:ind w:left="3390" w:hanging="360"/>
      </w:pPr>
      <w:rPr>
        <w:rFonts w:ascii="Symbol" w:hAnsi="Symbol" w:hint="default"/>
      </w:rPr>
    </w:lvl>
    <w:lvl w:ilvl="4" w:tplc="04190003" w:tentative="1">
      <w:start w:val="1"/>
      <w:numFmt w:val="bullet"/>
      <w:lvlText w:val="o"/>
      <w:lvlJc w:val="left"/>
      <w:pPr>
        <w:ind w:left="4110" w:hanging="360"/>
      </w:pPr>
      <w:rPr>
        <w:rFonts w:ascii="Courier New" w:hAnsi="Courier New" w:cs="Courier New" w:hint="default"/>
      </w:rPr>
    </w:lvl>
    <w:lvl w:ilvl="5" w:tplc="04190005" w:tentative="1">
      <w:start w:val="1"/>
      <w:numFmt w:val="bullet"/>
      <w:lvlText w:val=""/>
      <w:lvlJc w:val="left"/>
      <w:pPr>
        <w:ind w:left="4830" w:hanging="360"/>
      </w:pPr>
      <w:rPr>
        <w:rFonts w:ascii="Wingdings" w:hAnsi="Wingdings" w:hint="default"/>
      </w:rPr>
    </w:lvl>
    <w:lvl w:ilvl="6" w:tplc="04190001" w:tentative="1">
      <w:start w:val="1"/>
      <w:numFmt w:val="bullet"/>
      <w:lvlText w:val=""/>
      <w:lvlJc w:val="left"/>
      <w:pPr>
        <w:ind w:left="5550" w:hanging="360"/>
      </w:pPr>
      <w:rPr>
        <w:rFonts w:ascii="Symbol" w:hAnsi="Symbol" w:hint="default"/>
      </w:rPr>
    </w:lvl>
    <w:lvl w:ilvl="7" w:tplc="04190003" w:tentative="1">
      <w:start w:val="1"/>
      <w:numFmt w:val="bullet"/>
      <w:lvlText w:val="o"/>
      <w:lvlJc w:val="left"/>
      <w:pPr>
        <w:ind w:left="6270" w:hanging="360"/>
      </w:pPr>
      <w:rPr>
        <w:rFonts w:ascii="Courier New" w:hAnsi="Courier New" w:cs="Courier New" w:hint="default"/>
      </w:rPr>
    </w:lvl>
    <w:lvl w:ilvl="8" w:tplc="04190005" w:tentative="1">
      <w:start w:val="1"/>
      <w:numFmt w:val="bullet"/>
      <w:lvlText w:val=""/>
      <w:lvlJc w:val="left"/>
      <w:pPr>
        <w:ind w:left="6990" w:hanging="360"/>
      </w:pPr>
      <w:rPr>
        <w:rFonts w:ascii="Wingdings" w:hAnsi="Wingdings" w:hint="default"/>
      </w:rPr>
    </w:lvl>
  </w:abstractNum>
  <w:abstractNum w:abstractNumId="178" w15:restartNumberingAfterBreak="0">
    <w:nsid w:val="5E012630"/>
    <w:multiLevelType w:val="hybridMultilevel"/>
    <w:tmpl w:val="74DCAC9E"/>
    <w:lvl w:ilvl="0" w:tplc="D182E3DC">
      <w:start w:val="1"/>
      <w:numFmt w:val="lowerLetter"/>
      <w:lvlText w:val="%1)"/>
      <w:lvlJc w:val="left"/>
      <w:pPr>
        <w:ind w:left="317" w:hanging="250"/>
      </w:pPr>
      <w:rPr>
        <w:rFonts w:ascii="Times New Roman" w:eastAsia="Times New Roman" w:hAnsi="Times New Roman" w:cs="Times New Roman" w:hint="default"/>
        <w:w w:val="99"/>
        <w:sz w:val="20"/>
        <w:szCs w:val="20"/>
        <w:lang w:val="uk-UA" w:eastAsia="en-US" w:bidi="ar-SA"/>
      </w:rPr>
    </w:lvl>
    <w:lvl w:ilvl="1" w:tplc="29480DDE">
      <w:numFmt w:val="bullet"/>
      <w:lvlText w:val="•"/>
      <w:lvlJc w:val="left"/>
      <w:pPr>
        <w:ind w:left="824" w:hanging="250"/>
      </w:pPr>
      <w:rPr>
        <w:rFonts w:hint="default"/>
        <w:lang w:val="uk-UA" w:eastAsia="en-US" w:bidi="ar-SA"/>
      </w:rPr>
    </w:lvl>
    <w:lvl w:ilvl="2" w:tplc="43101CB4">
      <w:numFmt w:val="bullet"/>
      <w:lvlText w:val="•"/>
      <w:lvlJc w:val="left"/>
      <w:pPr>
        <w:ind w:left="1328" w:hanging="250"/>
      </w:pPr>
      <w:rPr>
        <w:rFonts w:hint="default"/>
        <w:lang w:val="uk-UA" w:eastAsia="en-US" w:bidi="ar-SA"/>
      </w:rPr>
    </w:lvl>
    <w:lvl w:ilvl="3" w:tplc="761A661E">
      <w:numFmt w:val="bullet"/>
      <w:lvlText w:val="•"/>
      <w:lvlJc w:val="left"/>
      <w:pPr>
        <w:ind w:left="1832" w:hanging="250"/>
      </w:pPr>
      <w:rPr>
        <w:rFonts w:hint="default"/>
        <w:lang w:val="uk-UA" w:eastAsia="en-US" w:bidi="ar-SA"/>
      </w:rPr>
    </w:lvl>
    <w:lvl w:ilvl="4" w:tplc="00CAA6E6">
      <w:numFmt w:val="bullet"/>
      <w:lvlText w:val="•"/>
      <w:lvlJc w:val="left"/>
      <w:pPr>
        <w:ind w:left="2336" w:hanging="250"/>
      </w:pPr>
      <w:rPr>
        <w:rFonts w:hint="default"/>
        <w:lang w:val="uk-UA" w:eastAsia="en-US" w:bidi="ar-SA"/>
      </w:rPr>
    </w:lvl>
    <w:lvl w:ilvl="5" w:tplc="3DF43DA4">
      <w:numFmt w:val="bullet"/>
      <w:lvlText w:val="•"/>
      <w:lvlJc w:val="left"/>
      <w:pPr>
        <w:ind w:left="2841" w:hanging="250"/>
      </w:pPr>
      <w:rPr>
        <w:rFonts w:hint="default"/>
        <w:lang w:val="uk-UA" w:eastAsia="en-US" w:bidi="ar-SA"/>
      </w:rPr>
    </w:lvl>
    <w:lvl w:ilvl="6" w:tplc="3F0AE51E">
      <w:numFmt w:val="bullet"/>
      <w:lvlText w:val="•"/>
      <w:lvlJc w:val="left"/>
      <w:pPr>
        <w:ind w:left="3345" w:hanging="250"/>
      </w:pPr>
      <w:rPr>
        <w:rFonts w:hint="default"/>
        <w:lang w:val="uk-UA" w:eastAsia="en-US" w:bidi="ar-SA"/>
      </w:rPr>
    </w:lvl>
    <w:lvl w:ilvl="7" w:tplc="63EA627A">
      <w:numFmt w:val="bullet"/>
      <w:lvlText w:val="•"/>
      <w:lvlJc w:val="left"/>
      <w:pPr>
        <w:ind w:left="3849" w:hanging="250"/>
      </w:pPr>
      <w:rPr>
        <w:rFonts w:hint="default"/>
        <w:lang w:val="uk-UA" w:eastAsia="en-US" w:bidi="ar-SA"/>
      </w:rPr>
    </w:lvl>
    <w:lvl w:ilvl="8" w:tplc="7C64A66E">
      <w:numFmt w:val="bullet"/>
      <w:lvlText w:val="•"/>
      <w:lvlJc w:val="left"/>
      <w:pPr>
        <w:ind w:left="4353" w:hanging="250"/>
      </w:pPr>
      <w:rPr>
        <w:rFonts w:hint="default"/>
        <w:lang w:val="uk-UA" w:eastAsia="en-US" w:bidi="ar-SA"/>
      </w:rPr>
    </w:lvl>
  </w:abstractNum>
  <w:abstractNum w:abstractNumId="179" w15:restartNumberingAfterBreak="0">
    <w:nsid w:val="5E6759CF"/>
    <w:multiLevelType w:val="hybridMultilevel"/>
    <w:tmpl w:val="2E12E27A"/>
    <w:lvl w:ilvl="0" w:tplc="1180D0A4">
      <w:start w:val="2"/>
      <w:numFmt w:val="lowerLetter"/>
      <w:lvlText w:val="%1)"/>
      <w:lvlJc w:val="left"/>
      <w:pPr>
        <w:ind w:left="295" w:hanging="218"/>
      </w:pPr>
      <w:rPr>
        <w:rFonts w:ascii="Times New Roman" w:eastAsia="Times New Roman" w:hAnsi="Times New Roman" w:cs="Times New Roman" w:hint="default"/>
        <w:spacing w:val="0"/>
        <w:w w:val="99"/>
        <w:sz w:val="20"/>
        <w:szCs w:val="20"/>
        <w:lang w:val="uk-UA" w:eastAsia="en-US" w:bidi="ar-SA"/>
      </w:rPr>
    </w:lvl>
    <w:lvl w:ilvl="1" w:tplc="ADA062D8">
      <w:start w:val="1"/>
      <w:numFmt w:val="decimal"/>
      <w:lvlText w:val="%2)"/>
      <w:lvlJc w:val="left"/>
      <w:pPr>
        <w:ind w:left="77" w:hanging="228"/>
      </w:pPr>
      <w:rPr>
        <w:rFonts w:ascii="Times New Roman" w:eastAsia="Times New Roman" w:hAnsi="Times New Roman" w:cs="Times New Roman" w:hint="default"/>
        <w:spacing w:val="0"/>
        <w:w w:val="99"/>
        <w:sz w:val="20"/>
        <w:szCs w:val="20"/>
        <w:lang w:val="uk-UA" w:eastAsia="en-US" w:bidi="ar-SA"/>
      </w:rPr>
    </w:lvl>
    <w:lvl w:ilvl="2" w:tplc="73C6157E">
      <w:numFmt w:val="bullet"/>
      <w:lvlText w:val="•"/>
      <w:lvlJc w:val="left"/>
      <w:pPr>
        <w:ind w:left="835" w:hanging="228"/>
      </w:pPr>
      <w:rPr>
        <w:rFonts w:hint="default"/>
        <w:lang w:val="uk-UA" w:eastAsia="en-US" w:bidi="ar-SA"/>
      </w:rPr>
    </w:lvl>
    <w:lvl w:ilvl="3" w:tplc="C6CACDBC">
      <w:numFmt w:val="bullet"/>
      <w:lvlText w:val="•"/>
      <w:lvlJc w:val="left"/>
      <w:pPr>
        <w:ind w:left="1371" w:hanging="228"/>
      </w:pPr>
      <w:rPr>
        <w:rFonts w:hint="default"/>
        <w:lang w:val="uk-UA" w:eastAsia="en-US" w:bidi="ar-SA"/>
      </w:rPr>
    </w:lvl>
    <w:lvl w:ilvl="4" w:tplc="26F6167C">
      <w:numFmt w:val="bullet"/>
      <w:lvlText w:val="•"/>
      <w:lvlJc w:val="left"/>
      <w:pPr>
        <w:ind w:left="1907" w:hanging="228"/>
      </w:pPr>
      <w:rPr>
        <w:rFonts w:hint="default"/>
        <w:lang w:val="uk-UA" w:eastAsia="en-US" w:bidi="ar-SA"/>
      </w:rPr>
    </w:lvl>
    <w:lvl w:ilvl="5" w:tplc="137272BE">
      <w:numFmt w:val="bullet"/>
      <w:lvlText w:val="•"/>
      <w:lvlJc w:val="left"/>
      <w:pPr>
        <w:ind w:left="2443" w:hanging="228"/>
      </w:pPr>
      <w:rPr>
        <w:rFonts w:hint="default"/>
        <w:lang w:val="uk-UA" w:eastAsia="en-US" w:bidi="ar-SA"/>
      </w:rPr>
    </w:lvl>
    <w:lvl w:ilvl="6" w:tplc="6BCA8830">
      <w:numFmt w:val="bullet"/>
      <w:lvlText w:val="•"/>
      <w:lvlJc w:val="left"/>
      <w:pPr>
        <w:ind w:left="2978" w:hanging="228"/>
      </w:pPr>
      <w:rPr>
        <w:rFonts w:hint="default"/>
        <w:lang w:val="uk-UA" w:eastAsia="en-US" w:bidi="ar-SA"/>
      </w:rPr>
    </w:lvl>
    <w:lvl w:ilvl="7" w:tplc="057E01EC">
      <w:numFmt w:val="bullet"/>
      <w:lvlText w:val="•"/>
      <w:lvlJc w:val="left"/>
      <w:pPr>
        <w:ind w:left="3514" w:hanging="228"/>
      </w:pPr>
      <w:rPr>
        <w:rFonts w:hint="default"/>
        <w:lang w:val="uk-UA" w:eastAsia="en-US" w:bidi="ar-SA"/>
      </w:rPr>
    </w:lvl>
    <w:lvl w:ilvl="8" w:tplc="39C4A4EC">
      <w:numFmt w:val="bullet"/>
      <w:lvlText w:val="•"/>
      <w:lvlJc w:val="left"/>
      <w:pPr>
        <w:ind w:left="4050" w:hanging="228"/>
      </w:pPr>
      <w:rPr>
        <w:rFonts w:hint="default"/>
        <w:lang w:val="uk-UA" w:eastAsia="en-US" w:bidi="ar-SA"/>
      </w:rPr>
    </w:lvl>
  </w:abstractNum>
  <w:abstractNum w:abstractNumId="180" w15:restartNumberingAfterBreak="0">
    <w:nsid w:val="5E7C04C1"/>
    <w:multiLevelType w:val="hybridMultilevel"/>
    <w:tmpl w:val="3A58D1CC"/>
    <w:lvl w:ilvl="0" w:tplc="2E5AB22C">
      <w:numFmt w:val="bullet"/>
      <w:lvlText w:val="-"/>
      <w:lvlJc w:val="left"/>
      <w:pPr>
        <w:ind w:left="440" w:hanging="327"/>
      </w:pPr>
      <w:rPr>
        <w:rFonts w:ascii="Times New Roman" w:eastAsia="Times New Roman" w:hAnsi="Times New Roman" w:cs="Times New Roman" w:hint="default"/>
        <w:w w:val="99"/>
        <w:sz w:val="20"/>
        <w:szCs w:val="20"/>
        <w:lang w:val="uk-UA" w:eastAsia="en-US" w:bidi="ar-SA"/>
      </w:rPr>
    </w:lvl>
    <w:lvl w:ilvl="1" w:tplc="BF56E2E8">
      <w:numFmt w:val="bullet"/>
      <w:lvlText w:val="-"/>
      <w:lvlJc w:val="left"/>
      <w:pPr>
        <w:ind w:left="1635" w:hanging="360"/>
      </w:pPr>
      <w:rPr>
        <w:rFonts w:ascii="Times New Roman" w:eastAsia="Times New Roman" w:hAnsi="Times New Roman" w:cs="Times New Roman" w:hint="default"/>
        <w:w w:val="99"/>
        <w:sz w:val="20"/>
        <w:szCs w:val="20"/>
        <w:lang w:val="uk-UA" w:eastAsia="en-US" w:bidi="ar-SA"/>
      </w:rPr>
    </w:lvl>
    <w:lvl w:ilvl="2" w:tplc="729C60CA">
      <w:numFmt w:val="bullet"/>
      <w:lvlText w:val="-"/>
      <w:lvlJc w:val="left"/>
      <w:pPr>
        <w:ind w:left="620" w:hanging="180"/>
      </w:pPr>
      <w:rPr>
        <w:rFonts w:ascii="Times New Roman" w:eastAsia="Times New Roman" w:hAnsi="Times New Roman" w:cs="Times New Roman" w:hint="default"/>
        <w:w w:val="99"/>
        <w:sz w:val="20"/>
        <w:szCs w:val="20"/>
        <w:lang w:val="uk-UA" w:eastAsia="en-US" w:bidi="ar-SA"/>
      </w:rPr>
    </w:lvl>
    <w:lvl w:ilvl="3" w:tplc="A62E9E84">
      <w:numFmt w:val="bullet"/>
      <w:lvlText w:val="•"/>
      <w:lvlJc w:val="left"/>
      <w:pPr>
        <w:ind w:left="800" w:hanging="180"/>
      </w:pPr>
      <w:rPr>
        <w:rFonts w:hint="default"/>
        <w:lang w:val="uk-UA" w:eastAsia="en-US" w:bidi="ar-SA"/>
      </w:rPr>
    </w:lvl>
    <w:lvl w:ilvl="4" w:tplc="B3B835E4">
      <w:numFmt w:val="bullet"/>
      <w:lvlText w:val="•"/>
      <w:lvlJc w:val="left"/>
      <w:pPr>
        <w:ind w:left="1140" w:hanging="180"/>
      </w:pPr>
      <w:rPr>
        <w:rFonts w:hint="default"/>
        <w:lang w:val="uk-UA" w:eastAsia="en-US" w:bidi="ar-SA"/>
      </w:rPr>
    </w:lvl>
    <w:lvl w:ilvl="5" w:tplc="EC5C15B6">
      <w:numFmt w:val="bullet"/>
      <w:lvlText w:val="•"/>
      <w:lvlJc w:val="left"/>
      <w:pPr>
        <w:ind w:left="933" w:hanging="180"/>
      </w:pPr>
      <w:rPr>
        <w:rFonts w:hint="default"/>
        <w:lang w:val="uk-UA" w:eastAsia="en-US" w:bidi="ar-SA"/>
      </w:rPr>
    </w:lvl>
    <w:lvl w:ilvl="6" w:tplc="3C085DAC">
      <w:numFmt w:val="bullet"/>
      <w:lvlText w:val="•"/>
      <w:lvlJc w:val="left"/>
      <w:pPr>
        <w:ind w:left="727" w:hanging="180"/>
      </w:pPr>
      <w:rPr>
        <w:rFonts w:hint="default"/>
        <w:lang w:val="uk-UA" w:eastAsia="en-US" w:bidi="ar-SA"/>
      </w:rPr>
    </w:lvl>
    <w:lvl w:ilvl="7" w:tplc="E228D7E8">
      <w:numFmt w:val="bullet"/>
      <w:lvlText w:val="•"/>
      <w:lvlJc w:val="left"/>
      <w:pPr>
        <w:ind w:left="520" w:hanging="180"/>
      </w:pPr>
      <w:rPr>
        <w:rFonts w:hint="default"/>
        <w:lang w:val="uk-UA" w:eastAsia="en-US" w:bidi="ar-SA"/>
      </w:rPr>
    </w:lvl>
    <w:lvl w:ilvl="8" w:tplc="79DED0B0">
      <w:numFmt w:val="bullet"/>
      <w:lvlText w:val="•"/>
      <w:lvlJc w:val="left"/>
      <w:pPr>
        <w:ind w:left="314" w:hanging="180"/>
      </w:pPr>
      <w:rPr>
        <w:rFonts w:hint="default"/>
        <w:lang w:val="uk-UA" w:eastAsia="en-US" w:bidi="ar-SA"/>
      </w:rPr>
    </w:lvl>
  </w:abstractNum>
  <w:abstractNum w:abstractNumId="181" w15:restartNumberingAfterBreak="0">
    <w:nsid w:val="5ED56CA3"/>
    <w:multiLevelType w:val="hybridMultilevel"/>
    <w:tmpl w:val="92F439D4"/>
    <w:lvl w:ilvl="0" w:tplc="45A675A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82" w15:restartNumberingAfterBreak="0">
    <w:nsid w:val="5F4D509F"/>
    <w:multiLevelType w:val="hybridMultilevel"/>
    <w:tmpl w:val="761A63AA"/>
    <w:lvl w:ilvl="0" w:tplc="BFA4B19E">
      <w:start w:val="5"/>
      <w:numFmt w:val="bullet"/>
      <w:lvlText w:val="-"/>
      <w:lvlJc w:val="left"/>
      <w:pPr>
        <w:ind w:left="1113" w:hanging="360"/>
      </w:pPr>
      <w:rPr>
        <w:rFonts w:ascii="Times New Roman" w:eastAsia="Cambria" w:hAnsi="Times New Roman" w:cs="Times New Roman" w:hint="default"/>
      </w:rPr>
    </w:lvl>
    <w:lvl w:ilvl="1" w:tplc="04190003" w:tentative="1">
      <w:start w:val="1"/>
      <w:numFmt w:val="bullet"/>
      <w:lvlText w:val="o"/>
      <w:lvlJc w:val="left"/>
      <w:pPr>
        <w:ind w:left="1833" w:hanging="360"/>
      </w:pPr>
      <w:rPr>
        <w:rFonts w:ascii="Courier New" w:hAnsi="Courier New" w:cs="Courier New" w:hint="default"/>
      </w:rPr>
    </w:lvl>
    <w:lvl w:ilvl="2" w:tplc="04190005" w:tentative="1">
      <w:start w:val="1"/>
      <w:numFmt w:val="bullet"/>
      <w:lvlText w:val=""/>
      <w:lvlJc w:val="left"/>
      <w:pPr>
        <w:ind w:left="2553" w:hanging="360"/>
      </w:pPr>
      <w:rPr>
        <w:rFonts w:ascii="Wingdings" w:hAnsi="Wingdings" w:hint="default"/>
      </w:rPr>
    </w:lvl>
    <w:lvl w:ilvl="3" w:tplc="04190001" w:tentative="1">
      <w:start w:val="1"/>
      <w:numFmt w:val="bullet"/>
      <w:lvlText w:val=""/>
      <w:lvlJc w:val="left"/>
      <w:pPr>
        <w:ind w:left="3273" w:hanging="360"/>
      </w:pPr>
      <w:rPr>
        <w:rFonts w:ascii="Symbol" w:hAnsi="Symbol" w:hint="default"/>
      </w:rPr>
    </w:lvl>
    <w:lvl w:ilvl="4" w:tplc="04190003" w:tentative="1">
      <w:start w:val="1"/>
      <w:numFmt w:val="bullet"/>
      <w:lvlText w:val="o"/>
      <w:lvlJc w:val="left"/>
      <w:pPr>
        <w:ind w:left="3993" w:hanging="360"/>
      </w:pPr>
      <w:rPr>
        <w:rFonts w:ascii="Courier New" w:hAnsi="Courier New" w:cs="Courier New" w:hint="default"/>
      </w:rPr>
    </w:lvl>
    <w:lvl w:ilvl="5" w:tplc="04190005" w:tentative="1">
      <w:start w:val="1"/>
      <w:numFmt w:val="bullet"/>
      <w:lvlText w:val=""/>
      <w:lvlJc w:val="left"/>
      <w:pPr>
        <w:ind w:left="4713" w:hanging="360"/>
      </w:pPr>
      <w:rPr>
        <w:rFonts w:ascii="Wingdings" w:hAnsi="Wingdings" w:hint="default"/>
      </w:rPr>
    </w:lvl>
    <w:lvl w:ilvl="6" w:tplc="04190001" w:tentative="1">
      <w:start w:val="1"/>
      <w:numFmt w:val="bullet"/>
      <w:lvlText w:val=""/>
      <w:lvlJc w:val="left"/>
      <w:pPr>
        <w:ind w:left="5433" w:hanging="360"/>
      </w:pPr>
      <w:rPr>
        <w:rFonts w:ascii="Symbol" w:hAnsi="Symbol" w:hint="default"/>
      </w:rPr>
    </w:lvl>
    <w:lvl w:ilvl="7" w:tplc="04190003" w:tentative="1">
      <w:start w:val="1"/>
      <w:numFmt w:val="bullet"/>
      <w:lvlText w:val="o"/>
      <w:lvlJc w:val="left"/>
      <w:pPr>
        <w:ind w:left="6153" w:hanging="360"/>
      </w:pPr>
      <w:rPr>
        <w:rFonts w:ascii="Courier New" w:hAnsi="Courier New" w:cs="Courier New" w:hint="default"/>
      </w:rPr>
    </w:lvl>
    <w:lvl w:ilvl="8" w:tplc="04190005" w:tentative="1">
      <w:start w:val="1"/>
      <w:numFmt w:val="bullet"/>
      <w:lvlText w:val=""/>
      <w:lvlJc w:val="left"/>
      <w:pPr>
        <w:ind w:left="6873" w:hanging="360"/>
      </w:pPr>
      <w:rPr>
        <w:rFonts w:ascii="Wingdings" w:hAnsi="Wingdings" w:hint="default"/>
      </w:rPr>
    </w:lvl>
  </w:abstractNum>
  <w:abstractNum w:abstractNumId="183" w15:restartNumberingAfterBreak="0">
    <w:nsid w:val="5F7F6403"/>
    <w:multiLevelType w:val="hybridMultilevel"/>
    <w:tmpl w:val="39DC1DB6"/>
    <w:lvl w:ilvl="0" w:tplc="1D3E1E62">
      <w:start w:val="1"/>
      <w:numFmt w:val="decimal"/>
      <w:lvlText w:val="%1."/>
      <w:lvlJc w:val="left"/>
      <w:pPr>
        <w:ind w:left="582" w:hanging="252"/>
      </w:pPr>
      <w:rPr>
        <w:rFonts w:ascii="Times New Roman" w:eastAsia="Times New Roman" w:hAnsi="Times New Roman" w:cs="Times New Roman" w:hint="default"/>
        <w:spacing w:val="0"/>
        <w:w w:val="99"/>
        <w:sz w:val="20"/>
        <w:szCs w:val="20"/>
        <w:lang w:val="uk-UA" w:eastAsia="en-US" w:bidi="ar-SA"/>
      </w:rPr>
    </w:lvl>
    <w:lvl w:ilvl="1" w:tplc="02327186">
      <w:numFmt w:val="bullet"/>
      <w:lvlText w:val="•"/>
      <w:lvlJc w:val="left"/>
      <w:pPr>
        <w:ind w:left="1034" w:hanging="252"/>
      </w:pPr>
      <w:rPr>
        <w:rFonts w:hint="default"/>
        <w:lang w:val="uk-UA" w:eastAsia="en-US" w:bidi="ar-SA"/>
      </w:rPr>
    </w:lvl>
    <w:lvl w:ilvl="2" w:tplc="7C00B008">
      <w:numFmt w:val="bullet"/>
      <w:lvlText w:val="•"/>
      <w:lvlJc w:val="left"/>
      <w:pPr>
        <w:ind w:left="1489" w:hanging="252"/>
      </w:pPr>
      <w:rPr>
        <w:rFonts w:hint="default"/>
        <w:lang w:val="uk-UA" w:eastAsia="en-US" w:bidi="ar-SA"/>
      </w:rPr>
    </w:lvl>
    <w:lvl w:ilvl="3" w:tplc="A372F260">
      <w:numFmt w:val="bullet"/>
      <w:lvlText w:val="•"/>
      <w:lvlJc w:val="left"/>
      <w:pPr>
        <w:ind w:left="1943" w:hanging="252"/>
      </w:pPr>
      <w:rPr>
        <w:rFonts w:hint="default"/>
        <w:lang w:val="uk-UA" w:eastAsia="en-US" w:bidi="ar-SA"/>
      </w:rPr>
    </w:lvl>
    <w:lvl w:ilvl="4" w:tplc="F14C7992">
      <w:numFmt w:val="bullet"/>
      <w:lvlText w:val="•"/>
      <w:lvlJc w:val="left"/>
      <w:pPr>
        <w:ind w:left="2398" w:hanging="252"/>
      </w:pPr>
      <w:rPr>
        <w:rFonts w:hint="default"/>
        <w:lang w:val="uk-UA" w:eastAsia="en-US" w:bidi="ar-SA"/>
      </w:rPr>
    </w:lvl>
    <w:lvl w:ilvl="5" w:tplc="733E8BB4">
      <w:numFmt w:val="bullet"/>
      <w:lvlText w:val="•"/>
      <w:lvlJc w:val="left"/>
      <w:pPr>
        <w:ind w:left="2853" w:hanging="252"/>
      </w:pPr>
      <w:rPr>
        <w:rFonts w:hint="default"/>
        <w:lang w:val="uk-UA" w:eastAsia="en-US" w:bidi="ar-SA"/>
      </w:rPr>
    </w:lvl>
    <w:lvl w:ilvl="6" w:tplc="048023C6">
      <w:numFmt w:val="bullet"/>
      <w:lvlText w:val="•"/>
      <w:lvlJc w:val="left"/>
      <w:pPr>
        <w:ind w:left="3307" w:hanging="252"/>
      </w:pPr>
      <w:rPr>
        <w:rFonts w:hint="default"/>
        <w:lang w:val="uk-UA" w:eastAsia="en-US" w:bidi="ar-SA"/>
      </w:rPr>
    </w:lvl>
    <w:lvl w:ilvl="7" w:tplc="A78E7FB2">
      <w:numFmt w:val="bullet"/>
      <w:lvlText w:val="•"/>
      <w:lvlJc w:val="left"/>
      <w:pPr>
        <w:ind w:left="3762" w:hanging="252"/>
      </w:pPr>
      <w:rPr>
        <w:rFonts w:hint="default"/>
        <w:lang w:val="uk-UA" w:eastAsia="en-US" w:bidi="ar-SA"/>
      </w:rPr>
    </w:lvl>
    <w:lvl w:ilvl="8" w:tplc="35569E12">
      <w:numFmt w:val="bullet"/>
      <w:lvlText w:val="•"/>
      <w:lvlJc w:val="left"/>
      <w:pPr>
        <w:ind w:left="4216" w:hanging="252"/>
      </w:pPr>
      <w:rPr>
        <w:rFonts w:hint="default"/>
        <w:lang w:val="uk-UA" w:eastAsia="en-US" w:bidi="ar-SA"/>
      </w:rPr>
    </w:lvl>
  </w:abstractNum>
  <w:abstractNum w:abstractNumId="184" w15:restartNumberingAfterBreak="0">
    <w:nsid w:val="60E04487"/>
    <w:multiLevelType w:val="hybridMultilevel"/>
    <w:tmpl w:val="56AA30CE"/>
    <w:lvl w:ilvl="0" w:tplc="BD86699E">
      <w:start w:val="4"/>
      <w:numFmt w:val="lowerLetter"/>
      <w:lvlText w:val="%1)"/>
      <w:lvlJc w:val="left"/>
      <w:pPr>
        <w:ind w:left="315" w:hanging="269"/>
      </w:pPr>
      <w:rPr>
        <w:rFonts w:ascii="Times New Roman" w:eastAsia="Times New Roman" w:hAnsi="Times New Roman" w:cs="Times New Roman" w:hint="default"/>
        <w:spacing w:val="0"/>
        <w:w w:val="99"/>
        <w:sz w:val="20"/>
        <w:szCs w:val="20"/>
        <w:lang w:val="uk-UA" w:eastAsia="en-US" w:bidi="ar-SA"/>
      </w:rPr>
    </w:lvl>
    <w:lvl w:ilvl="1" w:tplc="2B409DBC">
      <w:numFmt w:val="bullet"/>
      <w:lvlText w:val="•"/>
      <w:lvlJc w:val="left"/>
      <w:pPr>
        <w:ind w:left="824" w:hanging="269"/>
      </w:pPr>
      <w:rPr>
        <w:rFonts w:hint="default"/>
        <w:lang w:val="uk-UA" w:eastAsia="en-US" w:bidi="ar-SA"/>
      </w:rPr>
    </w:lvl>
    <w:lvl w:ilvl="2" w:tplc="B06C9238">
      <w:numFmt w:val="bullet"/>
      <w:lvlText w:val="•"/>
      <w:lvlJc w:val="left"/>
      <w:pPr>
        <w:ind w:left="1328" w:hanging="269"/>
      </w:pPr>
      <w:rPr>
        <w:rFonts w:hint="default"/>
        <w:lang w:val="uk-UA" w:eastAsia="en-US" w:bidi="ar-SA"/>
      </w:rPr>
    </w:lvl>
    <w:lvl w:ilvl="3" w:tplc="13A644BC">
      <w:numFmt w:val="bullet"/>
      <w:lvlText w:val="•"/>
      <w:lvlJc w:val="left"/>
      <w:pPr>
        <w:ind w:left="1832" w:hanging="269"/>
      </w:pPr>
      <w:rPr>
        <w:rFonts w:hint="default"/>
        <w:lang w:val="uk-UA" w:eastAsia="en-US" w:bidi="ar-SA"/>
      </w:rPr>
    </w:lvl>
    <w:lvl w:ilvl="4" w:tplc="2EA27E2A">
      <w:numFmt w:val="bullet"/>
      <w:lvlText w:val="•"/>
      <w:lvlJc w:val="left"/>
      <w:pPr>
        <w:ind w:left="2336" w:hanging="269"/>
      </w:pPr>
      <w:rPr>
        <w:rFonts w:hint="default"/>
        <w:lang w:val="uk-UA" w:eastAsia="en-US" w:bidi="ar-SA"/>
      </w:rPr>
    </w:lvl>
    <w:lvl w:ilvl="5" w:tplc="818A193C">
      <w:numFmt w:val="bullet"/>
      <w:lvlText w:val="•"/>
      <w:lvlJc w:val="left"/>
      <w:pPr>
        <w:ind w:left="2840" w:hanging="269"/>
      </w:pPr>
      <w:rPr>
        <w:rFonts w:hint="default"/>
        <w:lang w:val="uk-UA" w:eastAsia="en-US" w:bidi="ar-SA"/>
      </w:rPr>
    </w:lvl>
    <w:lvl w:ilvl="6" w:tplc="840C6378">
      <w:numFmt w:val="bullet"/>
      <w:lvlText w:val="•"/>
      <w:lvlJc w:val="left"/>
      <w:pPr>
        <w:ind w:left="3344" w:hanging="269"/>
      </w:pPr>
      <w:rPr>
        <w:rFonts w:hint="default"/>
        <w:lang w:val="uk-UA" w:eastAsia="en-US" w:bidi="ar-SA"/>
      </w:rPr>
    </w:lvl>
    <w:lvl w:ilvl="7" w:tplc="77567D16">
      <w:numFmt w:val="bullet"/>
      <w:lvlText w:val="•"/>
      <w:lvlJc w:val="left"/>
      <w:pPr>
        <w:ind w:left="3848" w:hanging="269"/>
      </w:pPr>
      <w:rPr>
        <w:rFonts w:hint="default"/>
        <w:lang w:val="uk-UA" w:eastAsia="en-US" w:bidi="ar-SA"/>
      </w:rPr>
    </w:lvl>
    <w:lvl w:ilvl="8" w:tplc="34287122">
      <w:numFmt w:val="bullet"/>
      <w:lvlText w:val="•"/>
      <w:lvlJc w:val="left"/>
      <w:pPr>
        <w:ind w:left="4352" w:hanging="269"/>
      </w:pPr>
      <w:rPr>
        <w:rFonts w:hint="default"/>
        <w:lang w:val="uk-UA" w:eastAsia="en-US" w:bidi="ar-SA"/>
      </w:rPr>
    </w:lvl>
  </w:abstractNum>
  <w:abstractNum w:abstractNumId="185" w15:restartNumberingAfterBreak="0">
    <w:nsid w:val="61345FFE"/>
    <w:multiLevelType w:val="hybridMultilevel"/>
    <w:tmpl w:val="C20249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6" w15:restartNumberingAfterBreak="0">
    <w:nsid w:val="61733B39"/>
    <w:multiLevelType w:val="hybridMultilevel"/>
    <w:tmpl w:val="5132559E"/>
    <w:lvl w:ilvl="0" w:tplc="0616DF7C">
      <w:start w:val="1"/>
      <w:numFmt w:val="decimal"/>
      <w:lvlText w:val="%1."/>
      <w:lvlJc w:val="left"/>
      <w:pPr>
        <w:ind w:left="846" w:hanging="360"/>
      </w:pPr>
      <w:rPr>
        <w:rFonts w:ascii="Times New Roman" w:eastAsia="Times New Roman" w:hAnsi="Times New Roman" w:cs="Times New Roman" w:hint="default"/>
        <w:spacing w:val="0"/>
        <w:w w:val="99"/>
        <w:sz w:val="20"/>
        <w:szCs w:val="20"/>
        <w:lang w:val="uk-UA" w:eastAsia="en-US" w:bidi="ar-SA"/>
      </w:rPr>
    </w:lvl>
    <w:lvl w:ilvl="1" w:tplc="331C1BB2">
      <w:numFmt w:val="bullet"/>
      <w:lvlText w:val="•"/>
      <w:lvlJc w:val="left"/>
      <w:pPr>
        <w:ind w:left="1268" w:hanging="360"/>
      </w:pPr>
      <w:rPr>
        <w:rFonts w:hint="default"/>
        <w:lang w:val="uk-UA" w:eastAsia="en-US" w:bidi="ar-SA"/>
      </w:rPr>
    </w:lvl>
    <w:lvl w:ilvl="2" w:tplc="F806A91C">
      <w:numFmt w:val="bullet"/>
      <w:lvlText w:val="•"/>
      <w:lvlJc w:val="left"/>
      <w:pPr>
        <w:ind w:left="1697" w:hanging="360"/>
      </w:pPr>
      <w:rPr>
        <w:rFonts w:hint="default"/>
        <w:lang w:val="uk-UA" w:eastAsia="en-US" w:bidi="ar-SA"/>
      </w:rPr>
    </w:lvl>
    <w:lvl w:ilvl="3" w:tplc="2BEE8EE4">
      <w:numFmt w:val="bullet"/>
      <w:lvlText w:val="•"/>
      <w:lvlJc w:val="left"/>
      <w:pPr>
        <w:ind w:left="2125" w:hanging="360"/>
      </w:pPr>
      <w:rPr>
        <w:rFonts w:hint="default"/>
        <w:lang w:val="uk-UA" w:eastAsia="en-US" w:bidi="ar-SA"/>
      </w:rPr>
    </w:lvl>
    <w:lvl w:ilvl="4" w:tplc="38CEC18E">
      <w:numFmt w:val="bullet"/>
      <w:lvlText w:val="•"/>
      <w:lvlJc w:val="left"/>
      <w:pPr>
        <w:ind w:left="2554" w:hanging="360"/>
      </w:pPr>
      <w:rPr>
        <w:rFonts w:hint="default"/>
        <w:lang w:val="uk-UA" w:eastAsia="en-US" w:bidi="ar-SA"/>
      </w:rPr>
    </w:lvl>
    <w:lvl w:ilvl="5" w:tplc="16B8FC0E">
      <w:numFmt w:val="bullet"/>
      <w:lvlText w:val="•"/>
      <w:lvlJc w:val="left"/>
      <w:pPr>
        <w:ind w:left="2983" w:hanging="360"/>
      </w:pPr>
      <w:rPr>
        <w:rFonts w:hint="default"/>
        <w:lang w:val="uk-UA" w:eastAsia="en-US" w:bidi="ar-SA"/>
      </w:rPr>
    </w:lvl>
    <w:lvl w:ilvl="6" w:tplc="62B2D2F0">
      <w:numFmt w:val="bullet"/>
      <w:lvlText w:val="•"/>
      <w:lvlJc w:val="left"/>
      <w:pPr>
        <w:ind w:left="3411" w:hanging="360"/>
      </w:pPr>
      <w:rPr>
        <w:rFonts w:hint="default"/>
        <w:lang w:val="uk-UA" w:eastAsia="en-US" w:bidi="ar-SA"/>
      </w:rPr>
    </w:lvl>
    <w:lvl w:ilvl="7" w:tplc="D9EE0EFA">
      <w:numFmt w:val="bullet"/>
      <w:lvlText w:val="•"/>
      <w:lvlJc w:val="left"/>
      <w:pPr>
        <w:ind w:left="3840" w:hanging="360"/>
      </w:pPr>
      <w:rPr>
        <w:rFonts w:hint="default"/>
        <w:lang w:val="uk-UA" w:eastAsia="en-US" w:bidi="ar-SA"/>
      </w:rPr>
    </w:lvl>
    <w:lvl w:ilvl="8" w:tplc="DAAA468E">
      <w:numFmt w:val="bullet"/>
      <w:lvlText w:val="•"/>
      <w:lvlJc w:val="left"/>
      <w:pPr>
        <w:ind w:left="4268" w:hanging="360"/>
      </w:pPr>
      <w:rPr>
        <w:rFonts w:hint="default"/>
        <w:lang w:val="uk-UA" w:eastAsia="en-US" w:bidi="ar-SA"/>
      </w:rPr>
    </w:lvl>
  </w:abstractNum>
  <w:abstractNum w:abstractNumId="187" w15:restartNumberingAfterBreak="0">
    <w:nsid w:val="620F19DA"/>
    <w:multiLevelType w:val="hybridMultilevel"/>
    <w:tmpl w:val="FA203D24"/>
    <w:lvl w:ilvl="0" w:tplc="1E529DEE">
      <w:start w:val="2"/>
      <w:numFmt w:val="lowerLetter"/>
      <w:lvlText w:val="%1)"/>
      <w:lvlJc w:val="left"/>
      <w:pPr>
        <w:ind w:left="316" w:hanging="235"/>
      </w:pPr>
      <w:rPr>
        <w:rFonts w:ascii="Times New Roman" w:eastAsia="Times New Roman" w:hAnsi="Times New Roman" w:cs="Times New Roman" w:hint="default"/>
        <w:spacing w:val="0"/>
        <w:w w:val="99"/>
        <w:sz w:val="20"/>
        <w:szCs w:val="20"/>
        <w:lang w:val="uk-UA" w:eastAsia="en-US" w:bidi="ar-SA"/>
      </w:rPr>
    </w:lvl>
    <w:lvl w:ilvl="1" w:tplc="4EB030F8">
      <w:start w:val="1"/>
      <w:numFmt w:val="decimal"/>
      <w:lvlText w:val="%2)"/>
      <w:lvlJc w:val="left"/>
      <w:pPr>
        <w:ind w:left="316" w:hanging="223"/>
        <w:jc w:val="right"/>
      </w:pPr>
      <w:rPr>
        <w:rFonts w:ascii="Times New Roman" w:eastAsia="Times New Roman" w:hAnsi="Times New Roman" w:cs="Times New Roman" w:hint="default"/>
        <w:spacing w:val="0"/>
        <w:w w:val="99"/>
        <w:sz w:val="20"/>
        <w:szCs w:val="20"/>
        <w:lang w:val="uk-UA" w:eastAsia="en-US" w:bidi="ar-SA"/>
      </w:rPr>
    </w:lvl>
    <w:lvl w:ilvl="2" w:tplc="1F205856">
      <w:numFmt w:val="bullet"/>
      <w:lvlText w:val="•"/>
      <w:lvlJc w:val="left"/>
      <w:pPr>
        <w:ind w:left="1328" w:hanging="223"/>
      </w:pPr>
      <w:rPr>
        <w:rFonts w:hint="default"/>
        <w:lang w:val="uk-UA" w:eastAsia="en-US" w:bidi="ar-SA"/>
      </w:rPr>
    </w:lvl>
    <w:lvl w:ilvl="3" w:tplc="332EB354">
      <w:numFmt w:val="bullet"/>
      <w:lvlText w:val="•"/>
      <w:lvlJc w:val="left"/>
      <w:pPr>
        <w:ind w:left="1832" w:hanging="223"/>
      </w:pPr>
      <w:rPr>
        <w:rFonts w:hint="default"/>
        <w:lang w:val="uk-UA" w:eastAsia="en-US" w:bidi="ar-SA"/>
      </w:rPr>
    </w:lvl>
    <w:lvl w:ilvl="4" w:tplc="54BC0538">
      <w:numFmt w:val="bullet"/>
      <w:lvlText w:val="•"/>
      <w:lvlJc w:val="left"/>
      <w:pPr>
        <w:ind w:left="2336" w:hanging="223"/>
      </w:pPr>
      <w:rPr>
        <w:rFonts w:hint="default"/>
        <w:lang w:val="uk-UA" w:eastAsia="en-US" w:bidi="ar-SA"/>
      </w:rPr>
    </w:lvl>
    <w:lvl w:ilvl="5" w:tplc="B018166E">
      <w:numFmt w:val="bullet"/>
      <w:lvlText w:val="•"/>
      <w:lvlJc w:val="left"/>
      <w:pPr>
        <w:ind w:left="2840" w:hanging="223"/>
      </w:pPr>
      <w:rPr>
        <w:rFonts w:hint="default"/>
        <w:lang w:val="uk-UA" w:eastAsia="en-US" w:bidi="ar-SA"/>
      </w:rPr>
    </w:lvl>
    <w:lvl w:ilvl="6" w:tplc="DBE0B8B6">
      <w:numFmt w:val="bullet"/>
      <w:lvlText w:val="•"/>
      <w:lvlJc w:val="left"/>
      <w:pPr>
        <w:ind w:left="3344" w:hanging="223"/>
      </w:pPr>
      <w:rPr>
        <w:rFonts w:hint="default"/>
        <w:lang w:val="uk-UA" w:eastAsia="en-US" w:bidi="ar-SA"/>
      </w:rPr>
    </w:lvl>
    <w:lvl w:ilvl="7" w:tplc="D2823D14">
      <w:numFmt w:val="bullet"/>
      <w:lvlText w:val="•"/>
      <w:lvlJc w:val="left"/>
      <w:pPr>
        <w:ind w:left="3848" w:hanging="223"/>
      </w:pPr>
      <w:rPr>
        <w:rFonts w:hint="default"/>
        <w:lang w:val="uk-UA" w:eastAsia="en-US" w:bidi="ar-SA"/>
      </w:rPr>
    </w:lvl>
    <w:lvl w:ilvl="8" w:tplc="91B8DDF8">
      <w:numFmt w:val="bullet"/>
      <w:lvlText w:val="•"/>
      <w:lvlJc w:val="left"/>
      <w:pPr>
        <w:ind w:left="4352" w:hanging="223"/>
      </w:pPr>
      <w:rPr>
        <w:rFonts w:hint="default"/>
        <w:lang w:val="uk-UA" w:eastAsia="en-US" w:bidi="ar-SA"/>
      </w:rPr>
    </w:lvl>
  </w:abstractNum>
  <w:abstractNum w:abstractNumId="188" w15:restartNumberingAfterBreak="0">
    <w:nsid w:val="62715555"/>
    <w:multiLevelType w:val="hybridMultilevel"/>
    <w:tmpl w:val="C7C2FA1A"/>
    <w:lvl w:ilvl="0" w:tplc="5FB2AD60">
      <w:start w:val="1"/>
      <w:numFmt w:val="decimal"/>
      <w:lvlText w:val="%1."/>
      <w:lvlJc w:val="left"/>
      <w:pPr>
        <w:ind w:left="678" w:hanging="360"/>
      </w:pPr>
      <w:rPr>
        <w:rFonts w:ascii="Times New Roman" w:eastAsia="Times New Roman" w:hAnsi="Times New Roman" w:cs="Times New Roman" w:hint="default"/>
        <w:spacing w:val="0"/>
        <w:w w:val="99"/>
        <w:sz w:val="20"/>
        <w:szCs w:val="20"/>
        <w:lang w:val="uk-UA" w:eastAsia="en-US" w:bidi="ar-SA"/>
      </w:rPr>
    </w:lvl>
    <w:lvl w:ilvl="1" w:tplc="AA540B0E">
      <w:start w:val="1"/>
      <w:numFmt w:val="decimal"/>
      <w:lvlText w:val="%2)"/>
      <w:lvlJc w:val="left"/>
      <w:pPr>
        <w:ind w:left="440" w:hanging="230"/>
      </w:pPr>
      <w:rPr>
        <w:rFonts w:ascii="Times New Roman" w:eastAsia="Times New Roman" w:hAnsi="Times New Roman" w:cs="Times New Roman" w:hint="default"/>
        <w:spacing w:val="0"/>
        <w:w w:val="99"/>
        <w:sz w:val="20"/>
        <w:szCs w:val="20"/>
        <w:lang w:val="uk-UA" w:eastAsia="en-US" w:bidi="ar-SA"/>
      </w:rPr>
    </w:lvl>
    <w:lvl w:ilvl="2" w:tplc="7B02A126">
      <w:numFmt w:val="bullet"/>
      <w:lvlText w:val="•"/>
      <w:lvlJc w:val="left"/>
      <w:pPr>
        <w:ind w:left="600" w:hanging="230"/>
      </w:pPr>
      <w:rPr>
        <w:rFonts w:hint="default"/>
        <w:lang w:val="uk-UA" w:eastAsia="en-US" w:bidi="ar-SA"/>
      </w:rPr>
    </w:lvl>
    <w:lvl w:ilvl="3" w:tplc="C0D8A7FC">
      <w:numFmt w:val="bullet"/>
      <w:lvlText w:val="•"/>
      <w:lvlJc w:val="left"/>
      <w:pPr>
        <w:ind w:left="520" w:hanging="230"/>
      </w:pPr>
      <w:rPr>
        <w:rFonts w:hint="default"/>
        <w:lang w:val="uk-UA" w:eastAsia="en-US" w:bidi="ar-SA"/>
      </w:rPr>
    </w:lvl>
    <w:lvl w:ilvl="4" w:tplc="F8EAC02A">
      <w:numFmt w:val="bullet"/>
      <w:lvlText w:val="•"/>
      <w:lvlJc w:val="left"/>
      <w:pPr>
        <w:ind w:left="441" w:hanging="230"/>
      </w:pPr>
      <w:rPr>
        <w:rFonts w:hint="default"/>
        <w:lang w:val="uk-UA" w:eastAsia="en-US" w:bidi="ar-SA"/>
      </w:rPr>
    </w:lvl>
    <w:lvl w:ilvl="5" w:tplc="B20E35A6">
      <w:numFmt w:val="bullet"/>
      <w:lvlText w:val="•"/>
      <w:lvlJc w:val="left"/>
      <w:pPr>
        <w:ind w:left="361" w:hanging="230"/>
      </w:pPr>
      <w:rPr>
        <w:rFonts w:hint="default"/>
        <w:lang w:val="uk-UA" w:eastAsia="en-US" w:bidi="ar-SA"/>
      </w:rPr>
    </w:lvl>
    <w:lvl w:ilvl="6" w:tplc="A5AC4D70">
      <w:numFmt w:val="bullet"/>
      <w:lvlText w:val="•"/>
      <w:lvlJc w:val="left"/>
      <w:pPr>
        <w:ind w:left="281" w:hanging="230"/>
      </w:pPr>
      <w:rPr>
        <w:rFonts w:hint="default"/>
        <w:lang w:val="uk-UA" w:eastAsia="en-US" w:bidi="ar-SA"/>
      </w:rPr>
    </w:lvl>
    <w:lvl w:ilvl="7" w:tplc="19342924">
      <w:numFmt w:val="bullet"/>
      <w:lvlText w:val="•"/>
      <w:lvlJc w:val="left"/>
      <w:pPr>
        <w:ind w:left="202" w:hanging="230"/>
      </w:pPr>
      <w:rPr>
        <w:rFonts w:hint="default"/>
        <w:lang w:val="uk-UA" w:eastAsia="en-US" w:bidi="ar-SA"/>
      </w:rPr>
    </w:lvl>
    <w:lvl w:ilvl="8" w:tplc="C164A44C">
      <w:numFmt w:val="bullet"/>
      <w:lvlText w:val="•"/>
      <w:lvlJc w:val="left"/>
      <w:pPr>
        <w:ind w:left="122" w:hanging="230"/>
      </w:pPr>
      <w:rPr>
        <w:rFonts w:hint="default"/>
        <w:lang w:val="uk-UA" w:eastAsia="en-US" w:bidi="ar-SA"/>
      </w:rPr>
    </w:lvl>
  </w:abstractNum>
  <w:abstractNum w:abstractNumId="189" w15:restartNumberingAfterBreak="0">
    <w:nsid w:val="62D97685"/>
    <w:multiLevelType w:val="hybridMultilevel"/>
    <w:tmpl w:val="48F8E726"/>
    <w:lvl w:ilvl="0" w:tplc="849605D0">
      <w:start w:val="3"/>
      <w:numFmt w:val="bullet"/>
      <w:lvlText w:val="-"/>
      <w:lvlJc w:val="left"/>
      <w:pPr>
        <w:ind w:left="1287" w:hanging="360"/>
      </w:pPr>
      <w:rPr>
        <w:rFonts w:ascii="Calibri Light" w:eastAsia="Tahoma" w:hAnsi="Calibri Light" w:cs="Calibri Light"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90" w15:restartNumberingAfterBreak="0">
    <w:nsid w:val="62FF10CF"/>
    <w:multiLevelType w:val="hybridMultilevel"/>
    <w:tmpl w:val="F4D4ED84"/>
    <w:lvl w:ilvl="0" w:tplc="85184814">
      <w:start w:val="1"/>
      <w:numFmt w:val="decimal"/>
      <w:lvlText w:val="%1."/>
      <w:lvlJc w:val="left"/>
      <w:pPr>
        <w:ind w:left="1356" w:hanging="221"/>
        <w:jc w:val="right"/>
      </w:pPr>
      <w:rPr>
        <w:rFonts w:ascii="Times New Roman" w:eastAsia="Times New Roman" w:hAnsi="Times New Roman" w:cs="Times New Roman" w:hint="default"/>
        <w:spacing w:val="0"/>
        <w:w w:val="99"/>
        <w:sz w:val="20"/>
        <w:szCs w:val="20"/>
        <w:lang w:val="uk-UA" w:eastAsia="en-US" w:bidi="ar-SA"/>
      </w:rPr>
    </w:lvl>
    <w:lvl w:ilvl="1" w:tplc="756AD486">
      <w:numFmt w:val="bullet"/>
      <w:lvlText w:val="•"/>
      <w:lvlJc w:val="left"/>
      <w:pPr>
        <w:ind w:left="967" w:hanging="221"/>
      </w:pPr>
      <w:rPr>
        <w:rFonts w:hint="default"/>
        <w:lang w:val="uk-UA" w:eastAsia="en-US" w:bidi="ar-SA"/>
      </w:rPr>
    </w:lvl>
    <w:lvl w:ilvl="2" w:tplc="9F3EBC3A">
      <w:numFmt w:val="bullet"/>
      <w:lvlText w:val="•"/>
      <w:lvlJc w:val="left"/>
      <w:pPr>
        <w:ind w:left="1471" w:hanging="221"/>
      </w:pPr>
      <w:rPr>
        <w:rFonts w:hint="default"/>
        <w:lang w:val="uk-UA" w:eastAsia="en-US" w:bidi="ar-SA"/>
      </w:rPr>
    </w:lvl>
    <w:lvl w:ilvl="3" w:tplc="7FD0CD78">
      <w:numFmt w:val="bullet"/>
      <w:lvlText w:val="•"/>
      <w:lvlJc w:val="left"/>
      <w:pPr>
        <w:ind w:left="1975" w:hanging="221"/>
      </w:pPr>
      <w:rPr>
        <w:rFonts w:hint="default"/>
        <w:lang w:val="uk-UA" w:eastAsia="en-US" w:bidi="ar-SA"/>
      </w:rPr>
    </w:lvl>
    <w:lvl w:ilvl="4" w:tplc="EAD22CAA">
      <w:numFmt w:val="bullet"/>
      <w:lvlText w:val="•"/>
      <w:lvlJc w:val="left"/>
      <w:pPr>
        <w:ind w:left="2479" w:hanging="221"/>
      </w:pPr>
      <w:rPr>
        <w:rFonts w:hint="default"/>
        <w:lang w:val="uk-UA" w:eastAsia="en-US" w:bidi="ar-SA"/>
      </w:rPr>
    </w:lvl>
    <w:lvl w:ilvl="5" w:tplc="D01E9C72">
      <w:numFmt w:val="bullet"/>
      <w:lvlText w:val="•"/>
      <w:lvlJc w:val="left"/>
      <w:pPr>
        <w:ind w:left="2983" w:hanging="221"/>
      </w:pPr>
      <w:rPr>
        <w:rFonts w:hint="default"/>
        <w:lang w:val="uk-UA" w:eastAsia="en-US" w:bidi="ar-SA"/>
      </w:rPr>
    </w:lvl>
    <w:lvl w:ilvl="6" w:tplc="6E88C6A6">
      <w:numFmt w:val="bullet"/>
      <w:lvlText w:val="•"/>
      <w:lvlJc w:val="left"/>
      <w:pPr>
        <w:ind w:left="3487" w:hanging="221"/>
      </w:pPr>
      <w:rPr>
        <w:rFonts w:hint="default"/>
        <w:lang w:val="uk-UA" w:eastAsia="en-US" w:bidi="ar-SA"/>
      </w:rPr>
    </w:lvl>
    <w:lvl w:ilvl="7" w:tplc="789C6404">
      <w:numFmt w:val="bullet"/>
      <w:lvlText w:val="•"/>
      <w:lvlJc w:val="left"/>
      <w:pPr>
        <w:ind w:left="3991" w:hanging="221"/>
      </w:pPr>
      <w:rPr>
        <w:rFonts w:hint="default"/>
        <w:lang w:val="uk-UA" w:eastAsia="en-US" w:bidi="ar-SA"/>
      </w:rPr>
    </w:lvl>
    <w:lvl w:ilvl="8" w:tplc="5A143C00">
      <w:numFmt w:val="bullet"/>
      <w:lvlText w:val="•"/>
      <w:lvlJc w:val="left"/>
      <w:pPr>
        <w:ind w:left="4495" w:hanging="221"/>
      </w:pPr>
      <w:rPr>
        <w:rFonts w:hint="default"/>
        <w:lang w:val="uk-UA" w:eastAsia="en-US" w:bidi="ar-SA"/>
      </w:rPr>
    </w:lvl>
  </w:abstractNum>
  <w:abstractNum w:abstractNumId="191" w15:restartNumberingAfterBreak="0">
    <w:nsid w:val="63370D6A"/>
    <w:multiLevelType w:val="hybridMultilevel"/>
    <w:tmpl w:val="777A29C2"/>
    <w:lvl w:ilvl="0" w:tplc="EA183CC6">
      <w:start w:val="27"/>
      <w:numFmt w:val="bullet"/>
      <w:lvlText w:val="-"/>
      <w:lvlJc w:val="left"/>
      <w:pPr>
        <w:ind w:left="1287" w:hanging="360"/>
      </w:pPr>
      <w:rPr>
        <w:rFonts w:ascii="Calibri Light" w:eastAsia="Calibri Light" w:hAnsi="Calibri Light" w:cs="Calibri Light"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2" w15:restartNumberingAfterBreak="0">
    <w:nsid w:val="63BA2C52"/>
    <w:multiLevelType w:val="hybridMultilevel"/>
    <w:tmpl w:val="28F0E5E0"/>
    <w:lvl w:ilvl="0" w:tplc="483ECD56">
      <w:start w:val="1"/>
      <w:numFmt w:val="decimal"/>
      <w:lvlText w:val="%1."/>
      <w:lvlJc w:val="left"/>
      <w:pPr>
        <w:ind w:left="723" w:hanging="360"/>
      </w:pPr>
      <w:rPr>
        <w:rFonts w:ascii="Times New Roman" w:eastAsia="Times New Roman" w:hAnsi="Times New Roman" w:cs="Times New Roman" w:hint="default"/>
        <w:spacing w:val="0"/>
        <w:w w:val="99"/>
        <w:sz w:val="20"/>
        <w:szCs w:val="20"/>
        <w:lang w:val="uk-UA" w:eastAsia="en-US" w:bidi="ar-SA"/>
      </w:rPr>
    </w:lvl>
    <w:lvl w:ilvl="1" w:tplc="E8A6CF20">
      <w:numFmt w:val="bullet"/>
      <w:lvlText w:val="•"/>
      <w:lvlJc w:val="left"/>
      <w:pPr>
        <w:ind w:left="1160" w:hanging="360"/>
      </w:pPr>
      <w:rPr>
        <w:rFonts w:hint="default"/>
        <w:lang w:val="uk-UA" w:eastAsia="en-US" w:bidi="ar-SA"/>
      </w:rPr>
    </w:lvl>
    <w:lvl w:ilvl="2" w:tplc="78609EBE">
      <w:numFmt w:val="bullet"/>
      <w:lvlText w:val="•"/>
      <w:lvlJc w:val="left"/>
      <w:pPr>
        <w:ind w:left="1601" w:hanging="360"/>
      </w:pPr>
      <w:rPr>
        <w:rFonts w:hint="default"/>
        <w:lang w:val="uk-UA" w:eastAsia="en-US" w:bidi="ar-SA"/>
      </w:rPr>
    </w:lvl>
    <w:lvl w:ilvl="3" w:tplc="75060490">
      <w:numFmt w:val="bullet"/>
      <w:lvlText w:val="•"/>
      <w:lvlJc w:val="left"/>
      <w:pPr>
        <w:ind w:left="2041" w:hanging="360"/>
      </w:pPr>
      <w:rPr>
        <w:rFonts w:hint="default"/>
        <w:lang w:val="uk-UA" w:eastAsia="en-US" w:bidi="ar-SA"/>
      </w:rPr>
    </w:lvl>
    <w:lvl w:ilvl="4" w:tplc="870EB5E8">
      <w:numFmt w:val="bullet"/>
      <w:lvlText w:val="•"/>
      <w:lvlJc w:val="left"/>
      <w:pPr>
        <w:ind w:left="2482" w:hanging="360"/>
      </w:pPr>
      <w:rPr>
        <w:rFonts w:hint="default"/>
        <w:lang w:val="uk-UA" w:eastAsia="en-US" w:bidi="ar-SA"/>
      </w:rPr>
    </w:lvl>
    <w:lvl w:ilvl="5" w:tplc="1AE66BE8">
      <w:numFmt w:val="bullet"/>
      <w:lvlText w:val="•"/>
      <w:lvlJc w:val="left"/>
      <w:pPr>
        <w:ind w:left="2923" w:hanging="360"/>
      </w:pPr>
      <w:rPr>
        <w:rFonts w:hint="default"/>
        <w:lang w:val="uk-UA" w:eastAsia="en-US" w:bidi="ar-SA"/>
      </w:rPr>
    </w:lvl>
    <w:lvl w:ilvl="6" w:tplc="3992DE26">
      <w:numFmt w:val="bullet"/>
      <w:lvlText w:val="•"/>
      <w:lvlJc w:val="left"/>
      <w:pPr>
        <w:ind w:left="3363" w:hanging="360"/>
      </w:pPr>
      <w:rPr>
        <w:rFonts w:hint="default"/>
        <w:lang w:val="uk-UA" w:eastAsia="en-US" w:bidi="ar-SA"/>
      </w:rPr>
    </w:lvl>
    <w:lvl w:ilvl="7" w:tplc="D14A8128">
      <w:numFmt w:val="bullet"/>
      <w:lvlText w:val="•"/>
      <w:lvlJc w:val="left"/>
      <w:pPr>
        <w:ind w:left="3804" w:hanging="360"/>
      </w:pPr>
      <w:rPr>
        <w:rFonts w:hint="default"/>
        <w:lang w:val="uk-UA" w:eastAsia="en-US" w:bidi="ar-SA"/>
      </w:rPr>
    </w:lvl>
    <w:lvl w:ilvl="8" w:tplc="6BF046E6">
      <w:numFmt w:val="bullet"/>
      <w:lvlText w:val="•"/>
      <w:lvlJc w:val="left"/>
      <w:pPr>
        <w:ind w:left="4244" w:hanging="360"/>
      </w:pPr>
      <w:rPr>
        <w:rFonts w:hint="default"/>
        <w:lang w:val="uk-UA" w:eastAsia="en-US" w:bidi="ar-SA"/>
      </w:rPr>
    </w:lvl>
  </w:abstractNum>
  <w:abstractNum w:abstractNumId="193" w15:restartNumberingAfterBreak="0">
    <w:nsid w:val="652B00C3"/>
    <w:multiLevelType w:val="hybridMultilevel"/>
    <w:tmpl w:val="ED9035C4"/>
    <w:lvl w:ilvl="0" w:tplc="849605D0">
      <w:start w:val="3"/>
      <w:numFmt w:val="bullet"/>
      <w:lvlText w:val="-"/>
      <w:lvlJc w:val="left"/>
      <w:pPr>
        <w:ind w:left="1287" w:hanging="360"/>
      </w:pPr>
      <w:rPr>
        <w:rFonts w:ascii="Calibri Light" w:eastAsia="Tahoma" w:hAnsi="Calibri Light" w:cs="Calibri Light"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94" w15:restartNumberingAfterBreak="0">
    <w:nsid w:val="65F65809"/>
    <w:multiLevelType w:val="hybridMultilevel"/>
    <w:tmpl w:val="26C4992C"/>
    <w:lvl w:ilvl="0" w:tplc="28E6742C">
      <w:start w:val="2"/>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5" w15:restartNumberingAfterBreak="0">
    <w:nsid w:val="662566EA"/>
    <w:multiLevelType w:val="hybridMultilevel"/>
    <w:tmpl w:val="2D243A6E"/>
    <w:lvl w:ilvl="0" w:tplc="303AAE10">
      <w:start w:val="9"/>
      <w:numFmt w:val="bullet"/>
      <w:lvlText w:val="-"/>
      <w:lvlJc w:val="left"/>
      <w:pPr>
        <w:ind w:left="927" w:hanging="360"/>
      </w:pPr>
      <w:rPr>
        <w:rFonts w:ascii="Times New Roman" w:eastAsia="Times New Roman" w:hAnsi="Times New Roman" w:cs="Times New Roman" w:hint="default"/>
        <w:b/>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96" w15:restartNumberingAfterBreak="0">
    <w:nsid w:val="668E18E3"/>
    <w:multiLevelType w:val="hybridMultilevel"/>
    <w:tmpl w:val="D3423576"/>
    <w:lvl w:ilvl="0" w:tplc="76DC46C8">
      <w:start w:val="1"/>
      <w:numFmt w:val="decimal"/>
      <w:lvlText w:val="%1."/>
      <w:lvlJc w:val="left"/>
      <w:pPr>
        <w:ind w:left="675" w:hanging="360"/>
      </w:pPr>
      <w:rPr>
        <w:rFonts w:ascii="Times New Roman" w:eastAsia="Times New Roman" w:hAnsi="Times New Roman" w:cs="Times New Roman" w:hint="default"/>
        <w:spacing w:val="0"/>
        <w:w w:val="99"/>
        <w:sz w:val="20"/>
        <w:szCs w:val="20"/>
        <w:lang w:val="uk-UA" w:eastAsia="en-US" w:bidi="ar-SA"/>
      </w:rPr>
    </w:lvl>
    <w:lvl w:ilvl="1" w:tplc="C9AC62C2">
      <w:numFmt w:val="bullet"/>
      <w:lvlText w:val="•"/>
      <w:lvlJc w:val="left"/>
      <w:pPr>
        <w:ind w:left="1148" w:hanging="360"/>
      </w:pPr>
      <w:rPr>
        <w:rFonts w:hint="default"/>
        <w:lang w:val="uk-UA" w:eastAsia="en-US" w:bidi="ar-SA"/>
      </w:rPr>
    </w:lvl>
    <w:lvl w:ilvl="2" w:tplc="16BC6ABC">
      <w:numFmt w:val="bullet"/>
      <w:lvlText w:val="•"/>
      <w:lvlJc w:val="left"/>
      <w:pPr>
        <w:ind w:left="1616" w:hanging="360"/>
      </w:pPr>
      <w:rPr>
        <w:rFonts w:hint="default"/>
        <w:lang w:val="uk-UA" w:eastAsia="en-US" w:bidi="ar-SA"/>
      </w:rPr>
    </w:lvl>
    <w:lvl w:ilvl="3" w:tplc="4EB040CE">
      <w:numFmt w:val="bullet"/>
      <w:lvlText w:val="•"/>
      <w:lvlJc w:val="left"/>
      <w:pPr>
        <w:ind w:left="2084" w:hanging="360"/>
      </w:pPr>
      <w:rPr>
        <w:rFonts w:hint="default"/>
        <w:lang w:val="uk-UA" w:eastAsia="en-US" w:bidi="ar-SA"/>
      </w:rPr>
    </w:lvl>
    <w:lvl w:ilvl="4" w:tplc="A4B2BB60">
      <w:numFmt w:val="bullet"/>
      <w:lvlText w:val="•"/>
      <w:lvlJc w:val="left"/>
      <w:pPr>
        <w:ind w:left="2552" w:hanging="360"/>
      </w:pPr>
      <w:rPr>
        <w:rFonts w:hint="default"/>
        <w:lang w:val="uk-UA" w:eastAsia="en-US" w:bidi="ar-SA"/>
      </w:rPr>
    </w:lvl>
    <w:lvl w:ilvl="5" w:tplc="054482DE">
      <w:numFmt w:val="bullet"/>
      <w:lvlText w:val="•"/>
      <w:lvlJc w:val="left"/>
      <w:pPr>
        <w:ind w:left="3020" w:hanging="360"/>
      </w:pPr>
      <w:rPr>
        <w:rFonts w:hint="default"/>
        <w:lang w:val="uk-UA" w:eastAsia="en-US" w:bidi="ar-SA"/>
      </w:rPr>
    </w:lvl>
    <w:lvl w:ilvl="6" w:tplc="0C00D812">
      <w:numFmt w:val="bullet"/>
      <w:lvlText w:val="•"/>
      <w:lvlJc w:val="left"/>
      <w:pPr>
        <w:ind w:left="3488" w:hanging="360"/>
      </w:pPr>
      <w:rPr>
        <w:rFonts w:hint="default"/>
        <w:lang w:val="uk-UA" w:eastAsia="en-US" w:bidi="ar-SA"/>
      </w:rPr>
    </w:lvl>
    <w:lvl w:ilvl="7" w:tplc="AA8407EE">
      <w:numFmt w:val="bullet"/>
      <w:lvlText w:val="•"/>
      <w:lvlJc w:val="left"/>
      <w:pPr>
        <w:ind w:left="3956" w:hanging="360"/>
      </w:pPr>
      <w:rPr>
        <w:rFonts w:hint="default"/>
        <w:lang w:val="uk-UA" w:eastAsia="en-US" w:bidi="ar-SA"/>
      </w:rPr>
    </w:lvl>
    <w:lvl w:ilvl="8" w:tplc="9A589D62">
      <w:numFmt w:val="bullet"/>
      <w:lvlText w:val="•"/>
      <w:lvlJc w:val="left"/>
      <w:pPr>
        <w:ind w:left="4424" w:hanging="360"/>
      </w:pPr>
      <w:rPr>
        <w:rFonts w:hint="default"/>
        <w:lang w:val="uk-UA" w:eastAsia="en-US" w:bidi="ar-SA"/>
      </w:rPr>
    </w:lvl>
  </w:abstractNum>
  <w:abstractNum w:abstractNumId="197" w15:restartNumberingAfterBreak="0">
    <w:nsid w:val="69B21371"/>
    <w:multiLevelType w:val="hybridMultilevel"/>
    <w:tmpl w:val="416ADC70"/>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198" w15:restartNumberingAfterBreak="0">
    <w:nsid w:val="69BE7E24"/>
    <w:multiLevelType w:val="hybridMultilevel"/>
    <w:tmpl w:val="F24AA99E"/>
    <w:lvl w:ilvl="0" w:tplc="C7E8A2CC">
      <w:start w:val="1"/>
      <w:numFmt w:val="decimal"/>
      <w:lvlText w:val="%1)"/>
      <w:lvlJc w:val="left"/>
      <w:pPr>
        <w:ind w:left="585" w:hanging="218"/>
      </w:pPr>
      <w:rPr>
        <w:rFonts w:ascii="Times New Roman" w:eastAsia="Times New Roman" w:hAnsi="Times New Roman" w:cs="Times New Roman" w:hint="default"/>
        <w:spacing w:val="0"/>
        <w:w w:val="99"/>
        <w:sz w:val="20"/>
        <w:szCs w:val="20"/>
        <w:lang w:val="uk-UA" w:eastAsia="en-US" w:bidi="ar-SA"/>
      </w:rPr>
    </w:lvl>
    <w:lvl w:ilvl="1" w:tplc="13BC6C8A">
      <w:numFmt w:val="bullet"/>
      <w:lvlText w:val="•"/>
      <w:lvlJc w:val="left"/>
      <w:pPr>
        <w:ind w:left="760" w:hanging="218"/>
      </w:pPr>
      <w:rPr>
        <w:rFonts w:hint="default"/>
        <w:lang w:val="uk-UA" w:eastAsia="en-US" w:bidi="ar-SA"/>
      </w:rPr>
    </w:lvl>
    <w:lvl w:ilvl="2" w:tplc="50E6001A">
      <w:numFmt w:val="bullet"/>
      <w:lvlText w:val="•"/>
      <w:lvlJc w:val="left"/>
      <w:pPr>
        <w:ind w:left="671" w:hanging="218"/>
      </w:pPr>
      <w:rPr>
        <w:rFonts w:hint="default"/>
        <w:lang w:val="uk-UA" w:eastAsia="en-US" w:bidi="ar-SA"/>
      </w:rPr>
    </w:lvl>
    <w:lvl w:ilvl="3" w:tplc="60121D80">
      <w:numFmt w:val="bullet"/>
      <w:lvlText w:val="•"/>
      <w:lvlJc w:val="left"/>
      <w:pPr>
        <w:ind w:left="582" w:hanging="218"/>
      </w:pPr>
      <w:rPr>
        <w:rFonts w:hint="default"/>
        <w:lang w:val="uk-UA" w:eastAsia="en-US" w:bidi="ar-SA"/>
      </w:rPr>
    </w:lvl>
    <w:lvl w:ilvl="4" w:tplc="270EC5F0">
      <w:numFmt w:val="bullet"/>
      <w:lvlText w:val="•"/>
      <w:lvlJc w:val="left"/>
      <w:pPr>
        <w:ind w:left="494" w:hanging="218"/>
      </w:pPr>
      <w:rPr>
        <w:rFonts w:hint="default"/>
        <w:lang w:val="uk-UA" w:eastAsia="en-US" w:bidi="ar-SA"/>
      </w:rPr>
    </w:lvl>
    <w:lvl w:ilvl="5" w:tplc="3FE0E98A">
      <w:numFmt w:val="bullet"/>
      <w:lvlText w:val="•"/>
      <w:lvlJc w:val="left"/>
      <w:pPr>
        <w:ind w:left="405" w:hanging="218"/>
      </w:pPr>
      <w:rPr>
        <w:rFonts w:hint="default"/>
        <w:lang w:val="uk-UA" w:eastAsia="en-US" w:bidi="ar-SA"/>
      </w:rPr>
    </w:lvl>
    <w:lvl w:ilvl="6" w:tplc="04BC0E0E">
      <w:numFmt w:val="bullet"/>
      <w:lvlText w:val="•"/>
      <w:lvlJc w:val="left"/>
      <w:pPr>
        <w:ind w:left="316" w:hanging="218"/>
      </w:pPr>
      <w:rPr>
        <w:rFonts w:hint="default"/>
        <w:lang w:val="uk-UA" w:eastAsia="en-US" w:bidi="ar-SA"/>
      </w:rPr>
    </w:lvl>
    <w:lvl w:ilvl="7" w:tplc="6B1A599C">
      <w:numFmt w:val="bullet"/>
      <w:lvlText w:val="•"/>
      <w:lvlJc w:val="left"/>
      <w:pPr>
        <w:ind w:left="228" w:hanging="218"/>
      </w:pPr>
      <w:rPr>
        <w:rFonts w:hint="default"/>
        <w:lang w:val="uk-UA" w:eastAsia="en-US" w:bidi="ar-SA"/>
      </w:rPr>
    </w:lvl>
    <w:lvl w:ilvl="8" w:tplc="07721754">
      <w:numFmt w:val="bullet"/>
      <w:lvlText w:val="•"/>
      <w:lvlJc w:val="left"/>
      <w:pPr>
        <w:ind w:left="139" w:hanging="218"/>
      </w:pPr>
      <w:rPr>
        <w:rFonts w:hint="default"/>
        <w:lang w:val="uk-UA" w:eastAsia="en-US" w:bidi="ar-SA"/>
      </w:rPr>
    </w:lvl>
  </w:abstractNum>
  <w:abstractNum w:abstractNumId="199" w15:restartNumberingAfterBreak="0">
    <w:nsid w:val="6A800E8E"/>
    <w:multiLevelType w:val="hybridMultilevel"/>
    <w:tmpl w:val="0016C7AA"/>
    <w:lvl w:ilvl="0" w:tplc="5F688778">
      <w:numFmt w:val="bullet"/>
      <w:lvlText w:val="-"/>
      <w:lvlJc w:val="left"/>
      <w:pPr>
        <w:ind w:left="316" w:hanging="130"/>
      </w:pPr>
      <w:rPr>
        <w:rFonts w:ascii="Times New Roman" w:eastAsia="Times New Roman" w:hAnsi="Times New Roman" w:cs="Times New Roman" w:hint="default"/>
        <w:w w:val="99"/>
        <w:sz w:val="20"/>
        <w:szCs w:val="20"/>
        <w:lang w:val="uk-UA" w:eastAsia="en-US" w:bidi="ar-SA"/>
      </w:rPr>
    </w:lvl>
    <w:lvl w:ilvl="1" w:tplc="A2FC3796">
      <w:numFmt w:val="bullet"/>
      <w:lvlText w:val="-"/>
      <w:lvlJc w:val="left"/>
      <w:pPr>
        <w:ind w:left="800" w:hanging="360"/>
      </w:pPr>
      <w:rPr>
        <w:rFonts w:ascii="Times New Roman" w:eastAsia="Times New Roman" w:hAnsi="Times New Roman" w:cs="Times New Roman" w:hint="default"/>
        <w:w w:val="99"/>
        <w:sz w:val="20"/>
        <w:szCs w:val="20"/>
        <w:lang w:val="uk-UA" w:eastAsia="en-US" w:bidi="ar-SA"/>
      </w:rPr>
    </w:lvl>
    <w:lvl w:ilvl="2" w:tplc="CAE41772">
      <w:numFmt w:val="bullet"/>
      <w:lvlText w:val="•"/>
      <w:lvlJc w:val="left"/>
      <w:pPr>
        <w:ind w:left="706" w:hanging="360"/>
      </w:pPr>
      <w:rPr>
        <w:rFonts w:hint="default"/>
        <w:lang w:val="uk-UA" w:eastAsia="en-US" w:bidi="ar-SA"/>
      </w:rPr>
    </w:lvl>
    <w:lvl w:ilvl="3" w:tplc="D668041A">
      <w:numFmt w:val="bullet"/>
      <w:lvlText w:val="•"/>
      <w:lvlJc w:val="left"/>
      <w:pPr>
        <w:ind w:left="612" w:hanging="360"/>
      </w:pPr>
      <w:rPr>
        <w:rFonts w:hint="default"/>
        <w:lang w:val="uk-UA" w:eastAsia="en-US" w:bidi="ar-SA"/>
      </w:rPr>
    </w:lvl>
    <w:lvl w:ilvl="4" w:tplc="B6D6A9A4">
      <w:numFmt w:val="bullet"/>
      <w:lvlText w:val="•"/>
      <w:lvlJc w:val="left"/>
      <w:pPr>
        <w:ind w:left="519" w:hanging="360"/>
      </w:pPr>
      <w:rPr>
        <w:rFonts w:hint="default"/>
        <w:lang w:val="uk-UA" w:eastAsia="en-US" w:bidi="ar-SA"/>
      </w:rPr>
    </w:lvl>
    <w:lvl w:ilvl="5" w:tplc="A624324A">
      <w:numFmt w:val="bullet"/>
      <w:lvlText w:val="•"/>
      <w:lvlJc w:val="left"/>
      <w:pPr>
        <w:ind w:left="425" w:hanging="360"/>
      </w:pPr>
      <w:rPr>
        <w:rFonts w:hint="default"/>
        <w:lang w:val="uk-UA" w:eastAsia="en-US" w:bidi="ar-SA"/>
      </w:rPr>
    </w:lvl>
    <w:lvl w:ilvl="6" w:tplc="A8C080D4">
      <w:numFmt w:val="bullet"/>
      <w:lvlText w:val="•"/>
      <w:lvlJc w:val="left"/>
      <w:pPr>
        <w:ind w:left="332" w:hanging="360"/>
      </w:pPr>
      <w:rPr>
        <w:rFonts w:hint="default"/>
        <w:lang w:val="uk-UA" w:eastAsia="en-US" w:bidi="ar-SA"/>
      </w:rPr>
    </w:lvl>
    <w:lvl w:ilvl="7" w:tplc="BB44AFC4">
      <w:numFmt w:val="bullet"/>
      <w:lvlText w:val="•"/>
      <w:lvlJc w:val="left"/>
      <w:pPr>
        <w:ind w:left="238" w:hanging="360"/>
      </w:pPr>
      <w:rPr>
        <w:rFonts w:hint="default"/>
        <w:lang w:val="uk-UA" w:eastAsia="en-US" w:bidi="ar-SA"/>
      </w:rPr>
    </w:lvl>
    <w:lvl w:ilvl="8" w:tplc="66F2CA92">
      <w:numFmt w:val="bullet"/>
      <w:lvlText w:val="•"/>
      <w:lvlJc w:val="left"/>
      <w:pPr>
        <w:ind w:left="145" w:hanging="360"/>
      </w:pPr>
      <w:rPr>
        <w:rFonts w:hint="default"/>
        <w:lang w:val="uk-UA" w:eastAsia="en-US" w:bidi="ar-SA"/>
      </w:rPr>
    </w:lvl>
  </w:abstractNum>
  <w:abstractNum w:abstractNumId="200" w15:restartNumberingAfterBreak="0">
    <w:nsid w:val="6A8421CB"/>
    <w:multiLevelType w:val="hybridMultilevel"/>
    <w:tmpl w:val="5BB6DA58"/>
    <w:lvl w:ilvl="0" w:tplc="DE5CFDD2">
      <w:start w:val="1"/>
      <w:numFmt w:val="decimal"/>
      <w:lvlText w:val="%1."/>
      <w:lvlJc w:val="left"/>
      <w:pPr>
        <w:ind w:left="316" w:hanging="216"/>
        <w:jc w:val="right"/>
      </w:pPr>
      <w:rPr>
        <w:rFonts w:ascii="Times New Roman" w:eastAsia="Times New Roman" w:hAnsi="Times New Roman" w:cs="Times New Roman" w:hint="default"/>
        <w:spacing w:val="0"/>
        <w:w w:val="99"/>
        <w:sz w:val="20"/>
        <w:szCs w:val="20"/>
        <w:lang w:val="uk-UA" w:eastAsia="en-US" w:bidi="ar-SA"/>
      </w:rPr>
    </w:lvl>
    <w:lvl w:ilvl="1" w:tplc="08561DFC">
      <w:start w:val="1"/>
      <w:numFmt w:val="decimal"/>
      <w:lvlText w:val="%2)"/>
      <w:lvlJc w:val="left"/>
      <w:pPr>
        <w:ind w:left="440" w:hanging="228"/>
      </w:pPr>
      <w:rPr>
        <w:rFonts w:ascii="Times New Roman" w:eastAsia="Times New Roman" w:hAnsi="Times New Roman" w:cs="Times New Roman" w:hint="default"/>
        <w:spacing w:val="0"/>
        <w:w w:val="99"/>
        <w:sz w:val="20"/>
        <w:szCs w:val="20"/>
        <w:lang w:val="uk-UA" w:eastAsia="en-US" w:bidi="ar-SA"/>
      </w:rPr>
    </w:lvl>
    <w:lvl w:ilvl="2" w:tplc="962CA634">
      <w:numFmt w:val="bullet"/>
      <w:lvlText w:val="•"/>
      <w:lvlJc w:val="left"/>
      <w:pPr>
        <w:ind w:left="386" w:hanging="228"/>
      </w:pPr>
      <w:rPr>
        <w:rFonts w:hint="default"/>
        <w:lang w:val="uk-UA" w:eastAsia="en-US" w:bidi="ar-SA"/>
      </w:rPr>
    </w:lvl>
    <w:lvl w:ilvl="3" w:tplc="BE18221E">
      <w:numFmt w:val="bullet"/>
      <w:lvlText w:val="•"/>
      <w:lvlJc w:val="left"/>
      <w:pPr>
        <w:ind w:left="333" w:hanging="228"/>
      </w:pPr>
      <w:rPr>
        <w:rFonts w:hint="default"/>
        <w:lang w:val="uk-UA" w:eastAsia="en-US" w:bidi="ar-SA"/>
      </w:rPr>
    </w:lvl>
    <w:lvl w:ilvl="4" w:tplc="2B5A9CC6">
      <w:numFmt w:val="bullet"/>
      <w:lvlText w:val="•"/>
      <w:lvlJc w:val="left"/>
      <w:pPr>
        <w:ind w:left="280" w:hanging="228"/>
      </w:pPr>
      <w:rPr>
        <w:rFonts w:hint="default"/>
        <w:lang w:val="uk-UA" w:eastAsia="en-US" w:bidi="ar-SA"/>
      </w:rPr>
    </w:lvl>
    <w:lvl w:ilvl="5" w:tplc="D428A4AA">
      <w:numFmt w:val="bullet"/>
      <w:lvlText w:val="•"/>
      <w:lvlJc w:val="left"/>
      <w:pPr>
        <w:ind w:left="227" w:hanging="228"/>
      </w:pPr>
      <w:rPr>
        <w:rFonts w:hint="default"/>
        <w:lang w:val="uk-UA" w:eastAsia="en-US" w:bidi="ar-SA"/>
      </w:rPr>
    </w:lvl>
    <w:lvl w:ilvl="6" w:tplc="92625224">
      <w:numFmt w:val="bullet"/>
      <w:lvlText w:val="•"/>
      <w:lvlJc w:val="left"/>
      <w:pPr>
        <w:ind w:left="173" w:hanging="228"/>
      </w:pPr>
      <w:rPr>
        <w:rFonts w:hint="default"/>
        <w:lang w:val="uk-UA" w:eastAsia="en-US" w:bidi="ar-SA"/>
      </w:rPr>
    </w:lvl>
    <w:lvl w:ilvl="7" w:tplc="8EF27A0E">
      <w:numFmt w:val="bullet"/>
      <w:lvlText w:val="•"/>
      <w:lvlJc w:val="left"/>
      <w:pPr>
        <w:ind w:left="120" w:hanging="228"/>
      </w:pPr>
      <w:rPr>
        <w:rFonts w:hint="default"/>
        <w:lang w:val="uk-UA" w:eastAsia="en-US" w:bidi="ar-SA"/>
      </w:rPr>
    </w:lvl>
    <w:lvl w:ilvl="8" w:tplc="E8A463D8">
      <w:numFmt w:val="bullet"/>
      <w:lvlText w:val="•"/>
      <w:lvlJc w:val="left"/>
      <w:pPr>
        <w:ind w:left="67" w:hanging="228"/>
      </w:pPr>
      <w:rPr>
        <w:rFonts w:hint="default"/>
        <w:lang w:val="uk-UA" w:eastAsia="en-US" w:bidi="ar-SA"/>
      </w:rPr>
    </w:lvl>
  </w:abstractNum>
  <w:abstractNum w:abstractNumId="201" w15:restartNumberingAfterBreak="0">
    <w:nsid w:val="6AFD2E19"/>
    <w:multiLevelType w:val="hybridMultilevel"/>
    <w:tmpl w:val="57DCF83A"/>
    <w:lvl w:ilvl="0" w:tplc="8E7EFE6C">
      <w:start w:val="1"/>
      <w:numFmt w:val="decimal"/>
      <w:lvlText w:val="%1."/>
      <w:lvlJc w:val="left"/>
      <w:pPr>
        <w:ind w:left="676" w:hanging="360"/>
      </w:pPr>
      <w:rPr>
        <w:rFonts w:ascii="Times New Roman" w:eastAsia="Times New Roman" w:hAnsi="Times New Roman" w:cs="Times New Roman" w:hint="default"/>
        <w:spacing w:val="0"/>
        <w:w w:val="99"/>
        <w:sz w:val="20"/>
        <w:szCs w:val="20"/>
        <w:lang w:val="uk-UA" w:eastAsia="en-US" w:bidi="ar-SA"/>
      </w:rPr>
    </w:lvl>
    <w:lvl w:ilvl="1" w:tplc="2B3AAA8A">
      <w:start w:val="1"/>
      <w:numFmt w:val="decimal"/>
      <w:lvlText w:val="%2."/>
      <w:lvlJc w:val="left"/>
      <w:pPr>
        <w:ind w:left="800" w:hanging="360"/>
      </w:pPr>
      <w:rPr>
        <w:rFonts w:ascii="Times New Roman" w:eastAsia="Times New Roman" w:hAnsi="Times New Roman" w:cs="Times New Roman" w:hint="default"/>
        <w:spacing w:val="0"/>
        <w:w w:val="99"/>
        <w:sz w:val="20"/>
        <w:szCs w:val="20"/>
        <w:lang w:val="uk-UA" w:eastAsia="en-US" w:bidi="ar-SA"/>
      </w:rPr>
    </w:lvl>
    <w:lvl w:ilvl="2" w:tplc="23002A52">
      <w:numFmt w:val="bullet"/>
      <w:lvlText w:val="•"/>
      <w:lvlJc w:val="left"/>
      <w:pPr>
        <w:ind w:left="706" w:hanging="360"/>
      </w:pPr>
      <w:rPr>
        <w:rFonts w:hint="default"/>
        <w:lang w:val="uk-UA" w:eastAsia="en-US" w:bidi="ar-SA"/>
      </w:rPr>
    </w:lvl>
    <w:lvl w:ilvl="3" w:tplc="D26ADCB8">
      <w:numFmt w:val="bullet"/>
      <w:lvlText w:val="•"/>
      <w:lvlJc w:val="left"/>
      <w:pPr>
        <w:ind w:left="613" w:hanging="360"/>
      </w:pPr>
      <w:rPr>
        <w:rFonts w:hint="default"/>
        <w:lang w:val="uk-UA" w:eastAsia="en-US" w:bidi="ar-SA"/>
      </w:rPr>
    </w:lvl>
    <w:lvl w:ilvl="4" w:tplc="15ACA790">
      <w:numFmt w:val="bullet"/>
      <w:lvlText w:val="•"/>
      <w:lvlJc w:val="left"/>
      <w:pPr>
        <w:ind w:left="519" w:hanging="360"/>
      </w:pPr>
      <w:rPr>
        <w:rFonts w:hint="default"/>
        <w:lang w:val="uk-UA" w:eastAsia="en-US" w:bidi="ar-SA"/>
      </w:rPr>
    </w:lvl>
    <w:lvl w:ilvl="5" w:tplc="E5DE1DD6">
      <w:numFmt w:val="bullet"/>
      <w:lvlText w:val="•"/>
      <w:lvlJc w:val="left"/>
      <w:pPr>
        <w:ind w:left="426" w:hanging="360"/>
      </w:pPr>
      <w:rPr>
        <w:rFonts w:hint="default"/>
        <w:lang w:val="uk-UA" w:eastAsia="en-US" w:bidi="ar-SA"/>
      </w:rPr>
    </w:lvl>
    <w:lvl w:ilvl="6" w:tplc="DFC8BD2E">
      <w:numFmt w:val="bullet"/>
      <w:lvlText w:val="•"/>
      <w:lvlJc w:val="left"/>
      <w:pPr>
        <w:ind w:left="332" w:hanging="360"/>
      </w:pPr>
      <w:rPr>
        <w:rFonts w:hint="default"/>
        <w:lang w:val="uk-UA" w:eastAsia="en-US" w:bidi="ar-SA"/>
      </w:rPr>
    </w:lvl>
    <w:lvl w:ilvl="7" w:tplc="19FEA33C">
      <w:numFmt w:val="bullet"/>
      <w:lvlText w:val="•"/>
      <w:lvlJc w:val="left"/>
      <w:pPr>
        <w:ind w:left="239" w:hanging="360"/>
      </w:pPr>
      <w:rPr>
        <w:rFonts w:hint="default"/>
        <w:lang w:val="uk-UA" w:eastAsia="en-US" w:bidi="ar-SA"/>
      </w:rPr>
    </w:lvl>
    <w:lvl w:ilvl="8" w:tplc="BAD4EBD8">
      <w:numFmt w:val="bullet"/>
      <w:lvlText w:val="•"/>
      <w:lvlJc w:val="left"/>
      <w:pPr>
        <w:ind w:left="145" w:hanging="360"/>
      </w:pPr>
      <w:rPr>
        <w:rFonts w:hint="default"/>
        <w:lang w:val="uk-UA" w:eastAsia="en-US" w:bidi="ar-SA"/>
      </w:rPr>
    </w:lvl>
  </w:abstractNum>
  <w:abstractNum w:abstractNumId="202" w15:restartNumberingAfterBreak="0">
    <w:nsid w:val="6B2959D3"/>
    <w:multiLevelType w:val="hybridMultilevel"/>
    <w:tmpl w:val="822E881E"/>
    <w:lvl w:ilvl="0" w:tplc="4AA85FF2">
      <w:start w:val="1"/>
      <w:numFmt w:val="decimal"/>
      <w:lvlText w:val="%1)"/>
      <w:lvlJc w:val="left"/>
      <w:pPr>
        <w:ind w:left="440" w:hanging="218"/>
      </w:pPr>
      <w:rPr>
        <w:rFonts w:ascii="Times New Roman" w:eastAsia="Times New Roman" w:hAnsi="Times New Roman" w:cs="Times New Roman" w:hint="default"/>
        <w:spacing w:val="0"/>
        <w:w w:val="99"/>
        <w:sz w:val="20"/>
        <w:szCs w:val="20"/>
        <w:lang w:val="uk-UA" w:eastAsia="en-US" w:bidi="ar-SA"/>
      </w:rPr>
    </w:lvl>
    <w:lvl w:ilvl="1" w:tplc="39DAD016">
      <w:numFmt w:val="bullet"/>
      <w:lvlText w:val="•"/>
      <w:lvlJc w:val="left"/>
      <w:pPr>
        <w:ind w:left="908" w:hanging="218"/>
      </w:pPr>
      <w:rPr>
        <w:rFonts w:hint="default"/>
        <w:lang w:val="uk-UA" w:eastAsia="en-US" w:bidi="ar-SA"/>
      </w:rPr>
    </w:lvl>
    <w:lvl w:ilvl="2" w:tplc="7102E938">
      <w:numFmt w:val="bullet"/>
      <w:lvlText w:val="•"/>
      <w:lvlJc w:val="left"/>
      <w:pPr>
        <w:ind w:left="1376" w:hanging="218"/>
      </w:pPr>
      <w:rPr>
        <w:rFonts w:hint="default"/>
        <w:lang w:val="uk-UA" w:eastAsia="en-US" w:bidi="ar-SA"/>
      </w:rPr>
    </w:lvl>
    <w:lvl w:ilvl="3" w:tplc="B15A4002">
      <w:numFmt w:val="bullet"/>
      <w:lvlText w:val="•"/>
      <w:lvlJc w:val="left"/>
      <w:pPr>
        <w:ind w:left="1844" w:hanging="218"/>
      </w:pPr>
      <w:rPr>
        <w:rFonts w:hint="default"/>
        <w:lang w:val="uk-UA" w:eastAsia="en-US" w:bidi="ar-SA"/>
      </w:rPr>
    </w:lvl>
    <w:lvl w:ilvl="4" w:tplc="0868CE20">
      <w:numFmt w:val="bullet"/>
      <w:lvlText w:val="•"/>
      <w:lvlJc w:val="left"/>
      <w:pPr>
        <w:ind w:left="2312" w:hanging="218"/>
      </w:pPr>
      <w:rPr>
        <w:rFonts w:hint="default"/>
        <w:lang w:val="uk-UA" w:eastAsia="en-US" w:bidi="ar-SA"/>
      </w:rPr>
    </w:lvl>
    <w:lvl w:ilvl="5" w:tplc="327E8AF6">
      <w:numFmt w:val="bullet"/>
      <w:lvlText w:val="•"/>
      <w:lvlJc w:val="left"/>
      <w:pPr>
        <w:ind w:left="2780" w:hanging="218"/>
      </w:pPr>
      <w:rPr>
        <w:rFonts w:hint="default"/>
        <w:lang w:val="uk-UA" w:eastAsia="en-US" w:bidi="ar-SA"/>
      </w:rPr>
    </w:lvl>
    <w:lvl w:ilvl="6" w:tplc="80A82EB8">
      <w:numFmt w:val="bullet"/>
      <w:lvlText w:val="•"/>
      <w:lvlJc w:val="left"/>
      <w:pPr>
        <w:ind w:left="3248" w:hanging="218"/>
      </w:pPr>
      <w:rPr>
        <w:rFonts w:hint="default"/>
        <w:lang w:val="uk-UA" w:eastAsia="en-US" w:bidi="ar-SA"/>
      </w:rPr>
    </w:lvl>
    <w:lvl w:ilvl="7" w:tplc="969C8DA8">
      <w:numFmt w:val="bullet"/>
      <w:lvlText w:val="•"/>
      <w:lvlJc w:val="left"/>
      <w:pPr>
        <w:ind w:left="3717" w:hanging="218"/>
      </w:pPr>
      <w:rPr>
        <w:rFonts w:hint="default"/>
        <w:lang w:val="uk-UA" w:eastAsia="en-US" w:bidi="ar-SA"/>
      </w:rPr>
    </w:lvl>
    <w:lvl w:ilvl="8" w:tplc="E73479CC">
      <w:numFmt w:val="bullet"/>
      <w:lvlText w:val="•"/>
      <w:lvlJc w:val="left"/>
      <w:pPr>
        <w:ind w:left="4185" w:hanging="218"/>
      </w:pPr>
      <w:rPr>
        <w:rFonts w:hint="default"/>
        <w:lang w:val="uk-UA" w:eastAsia="en-US" w:bidi="ar-SA"/>
      </w:rPr>
    </w:lvl>
  </w:abstractNum>
  <w:abstractNum w:abstractNumId="203" w15:restartNumberingAfterBreak="0">
    <w:nsid w:val="6B363A53"/>
    <w:multiLevelType w:val="hybridMultilevel"/>
    <w:tmpl w:val="8F9AB2FA"/>
    <w:lvl w:ilvl="0" w:tplc="C888A1EA">
      <w:start w:val="1"/>
      <w:numFmt w:val="decimal"/>
      <w:lvlText w:val="%1."/>
      <w:lvlJc w:val="left"/>
      <w:pPr>
        <w:ind w:left="800" w:hanging="360"/>
      </w:pPr>
      <w:rPr>
        <w:rFonts w:ascii="Times New Roman" w:eastAsia="Times New Roman" w:hAnsi="Times New Roman" w:cs="Times New Roman" w:hint="default"/>
        <w:spacing w:val="0"/>
        <w:w w:val="99"/>
        <w:sz w:val="20"/>
        <w:szCs w:val="20"/>
        <w:lang w:val="uk-UA" w:eastAsia="en-US" w:bidi="ar-SA"/>
      </w:rPr>
    </w:lvl>
    <w:lvl w:ilvl="1" w:tplc="221AAE0A">
      <w:numFmt w:val="bullet"/>
      <w:lvlText w:val="•"/>
      <w:lvlJc w:val="left"/>
      <w:pPr>
        <w:ind w:left="1232" w:hanging="360"/>
      </w:pPr>
      <w:rPr>
        <w:rFonts w:hint="default"/>
        <w:lang w:val="uk-UA" w:eastAsia="en-US" w:bidi="ar-SA"/>
      </w:rPr>
    </w:lvl>
    <w:lvl w:ilvl="2" w:tplc="3030263C">
      <w:numFmt w:val="bullet"/>
      <w:lvlText w:val="•"/>
      <w:lvlJc w:val="left"/>
      <w:pPr>
        <w:ind w:left="1665" w:hanging="360"/>
      </w:pPr>
      <w:rPr>
        <w:rFonts w:hint="default"/>
        <w:lang w:val="uk-UA" w:eastAsia="en-US" w:bidi="ar-SA"/>
      </w:rPr>
    </w:lvl>
    <w:lvl w:ilvl="3" w:tplc="223EF25C">
      <w:numFmt w:val="bullet"/>
      <w:lvlText w:val="•"/>
      <w:lvlJc w:val="left"/>
      <w:pPr>
        <w:ind w:left="2097" w:hanging="360"/>
      </w:pPr>
      <w:rPr>
        <w:rFonts w:hint="default"/>
        <w:lang w:val="uk-UA" w:eastAsia="en-US" w:bidi="ar-SA"/>
      </w:rPr>
    </w:lvl>
    <w:lvl w:ilvl="4" w:tplc="330A63E0">
      <w:numFmt w:val="bullet"/>
      <w:lvlText w:val="•"/>
      <w:lvlJc w:val="left"/>
      <w:pPr>
        <w:ind w:left="2530" w:hanging="360"/>
      </w:pPr>
      <w:rPr>
        <w:rFonts w:hint="default"/>
        <w:lang w:val="uk-UA" w:eastAsia="en-US" w:bidi="ar-SA"/>
      </w:rPr>
    </w:lvl>
    <w:lvl w:ilvl="5" w:tplc="2752E5C8">
      <w:numFmt w:val="bullet"/>
      <w:lvlText w:val="•"/>
      <w:lvlJc w:val="left"/>
      <w:pPr>
        <w:ind w:left="2962" w:hanging="360"/>
      </w:pPr>
      <w:rPr>
        <w:rFonts w:hint="default"/>
        <w:lang w:val="uk-UA" w:eastAsia="en-US" w:bidi="ar-SA"/>
      </w:rPr>
    </w:lvl>
    <w:lvl w:ilvl="6" w:tplc="EA4ABDBE">
      <w:numFmt w:val="bullet"/>
      <w:lvlText w:val="•"/>
      <w:lvlJc w:val="left"/>
      <w:pPr>
        <w:ind w:left="3395" w:hanging="360"/>
      </w:pPr>
      <w:rPr>
        <w:rFonts w:hint="default"/>
        <w:lang w:val="uk-UA" w:eastAsia="en-US" w:bidi="ar-SA"/>
      </w:rPr>
    </w:lvl>
    <w:lvl w:ilvl="7" w:tplc="9D02BC00">
      <w:numFmt w:val="bullet"/>
      <w:lvlText w:val="•"/>
      <w:lvlJc w:val="left"/>
      <w:pPr>
        <w:ind w:left="3827" w:hanging="360"/>
      </w:pPr>
      <w:rPr>
        <w:rFonts w:hint="default"/>
        <w:lang w:val="uk-UA" w:eastAsia="en-US" w:bidi="ar-SA"/>
      </w:rPr>
    </w:lvl>
    <w:lvl w:ilvl="8" w:tplc="C952035C">
      <w:numFmt w:val="bullet"/>
      <w:lvlText w:val="•"/>
      <w:lvlJc w:val="left"/>
      <w:pPr>
        <w:ind w:left="4260" w:hanging="360"/>
      </w:pPr>
      <w:rPr>
        <w:rFonts w:hint="default"/>
        <w:lang w:val="uk-UA" w:eastAsia="en-US" w:bidi="ar-SA"/>
      </w:rPr>
    </w:lvl>
  </w:abstractNum>
  <w:abstractNum w:abstractNumId="204" w15:restartNumberingAfterBreak="0">
    <w:nsid w:val="6B8221AA"/>
    <w:multiLevelType w:val="multilevel"/>
    <w:tmpl w:val="5FE41A42"/>
    <w:lvl w:ilvl="0">
      <w:start w:val="1"/>
      <w:numFmt w:val="decimal"/>
      <w:lvlText w:val="%1."/>
      <w:lvlJc w:val="left"/>
      <w:pPr>
        <w:ind w:left="643" w:hanging="284"/>
        <w:jc w:val="right"/>
      </w:pPr>
      <w:rPr>
        <w:rFonts w:ascii="Times New Roman" w:eastAsia="Times New Roman" w:hAnsi="Times New Roman" w:cs="Times New Roman" w:hint="default"/>
        <w:b/>
        <w:bCs/>
        <w:spacing w:val="0"/>
        <w:w w:val="99"/>
        <w:sz w:val="20"/>
        <w:szCs w:val="20"/>
        <w:lang w:val="uk-UA" w:eastAsia="en-US" w:bidi="ar-SA"/>
      </w:rPr>
    </w:lvl>
    <w:lvl w:ilvl="1">
      <w:start w:val="1"/>
      <w:numFmt w:val="decimal"/>
      <w:lvlText w:val="%1.%2"/>
      <w:lvlJc w:val="left"/>
      <w:pPr>
        <w:ind w:left="2139" w:hanging="437"/>
        <w:jc w:val="right"/>
      </w:pPr>
      <w:rPr>
        <w:rFonts w:ascii="Times New Roman" w:eastAsia="Times New Roman" w:hAnsi="Times New Roman" w:cs="Times New Roman" w:hint="default"/>
        <w:b/>
        <w:bCs/>
        <w:spacing w:val="0"/>
        <w:w w:val="99"/>
        <w:sz w:val="20"/>
        <w:szCs w:val="20"/>
        <w:lang w:val="uk-UA" w:eastAsia="en-US" w:bidi="ar-SA"/>
      </w:rPr>
    </w:lvl>
    <w:lvl w:ilvl="2">
      <w:numFmt w:val="bullet"/>
      <w:lvlText w:val="•"/>
      <w:lvlJc w:val="left"/>
      <w:pPr>
        <w:ind w:left="800" w:hanging="437"/>
      </w:pPr>
      <w:rPr>
        <w:rFonts w:hint="default"/>
        <w:lang w:val="uk-UA" w:eastAsia="en-US" w:bidi="ar-SA"/>
      </w:rPr>
    </w:lvl>
    <w:lvl w:ilvl="3">
      <w:numFmt w:val="bullet"/>
      <w:lvlText w:val="•"/>
      <w:lvlJc w:val="left"/>
      <w:pPr>
        <w:ind w:left="1160" w:hanging="437"/>
      </w:pPr>
      <w:rPr>
        <w:rFonts w:hint="default"/>
        <w:lang w:val="uk-UA" w:eastAsia="en-US" w:bidi="ar-SA"/>
      </w:rPr>
    </w:lvl>
    <w:lvl w:ilvl="4">
      <w:numFmt w:val="bullet"/>
      <w:lvlText w:val="•"/>
      <w:lvlJc w:val="left"/>
      <w:pPr>
        <w:ind w:left="954" w:hanging="437"/>
      </w:pPr>
      <w:rPr>
        <w:rFonts w:hint="default"/>
        <w:lang w:val="uk-UA" w:eastAsia="en-US" w:bidi="ar-SA"/>
      </w:rPr>
    </w:lvl>
    <w:lvl w:ilvl="5">
      <w:numFmt w:val="bullet"/>
      <w:lvlText w:val="•"/>
      <w:lvlJc w:val="left"/>
      <w:pPr>
        <w:ind w:left="748" w:hanging="437"/>
      </w:pPr>
      <w:rPr>
        <w:rFonts w:hint="default"/>
        <w:lang w:val="uk-UA" w:eastAsia="en-US" w:bidi="ar-SA"/>
      </w:rPr>
    </w:lvl>
    <w:lvl w:ilvl="6">
      <w:numFmt w:val="bullet"/>
      <w:lvlText w:val="•"/>
      <w:lvlJc w:val="left"/>
      <w:pPr>
        <w:ind w:left="543" w:hanging="437"/>
      </w:pPr>
      <w:rPr>
        <w:rFonts w:hint="default"/>
        <w:lang w:val="uk-UA" w:eastAsia="en-US" w:bidi="ar-SA"/>
      </w:rPr>
    </w:lvl>
    <w:lvl w:ilvl="7">
      <w:numFmt w:val="bullet"/>
      <w:lvlText w:val="•"/>
      <w:lvlJc w:val="left"/>
      <w:pPr>
        <w:ind w:left="337" w:hanging="437"/>
      </w:pPr>
      <w:rPr>
        <w:rFonts w:hint="default"/>
        <w:lang w:val="uk-UA" w:eastAsia="en-US" w:bidi="ar-SA"/>
      </w:rPr>
    </w:lvl>
    <w:lvl w:ilvl="8">
      <w:numFmt w:val="bullet"/>
      <w:lvlText w:val="•"/>
      <w:lvlJc w:val="left"/>
      <w:pPr>
        <w:ind w:left="132" w:hanging="437"/>
      </w:pPr>
      <w:rPr>
        <w:rFonts w:hint="default"/>
        <w:lang w:val="uk-UA" w:eastAsia="en-US" w:bidi="ar-SA"/>
      </w:rPr>
    </w:lvl>
  </w:abstractNum>
  <w:abstractNum w:abstractNumId="205" w15:restartNumberingAfterBreak="0">
    <w:nsid w:val="6C22290C"/>
    <w:multiLevelType w:val="hybridMultilevel"/>
    <w:tmpl w:val="E982A5BC"/>
    <w:lvl w:ilvl="0" w:tplc="9FE0C416">
      <w:start w:val="1"/>
      <w:numFmt w:val="decimal"/>
      <w:lvlText w:val="%1."/>
      <w:lvlJc w:val="left"/>
      <w:pPr>
        <w:ind w:left="800" w:hanging="360"/>
      </w:pPr>
      <w:rPr>
        <w:rFonts w:ascii="Times New Roman" w:eastAsia="Times New Roman" w:hAnsi="Times New Roman" w:cs="Times New Roman" w:hint="default"/>
        <w:spacing w:val="0"/>
        <w:w w:val="99"/>
        <w:sz w:val="20"/>
        <w:szCs w:val="20"/>
        <w:lang w:val="uk-UA" w:eastAsia="en-US" w:bidi="ar-SA"/>
      </w:rPr>
    </w:lvl>
    <w:lvl w:ilvl="1" w:tplc="2CE6FC2E">
      <w:numFmt w:val="bullet"/>
      <w:lvlText w:val="•"/>
      <w:lvlJc w:val="left"/>
      <w:pPr>
        <w:ind w:left="1232" w:hanging="360"/>
      </w:pPr>
      <w:rPr>
        <w:rFonts w:hint="default"/>
        <w:lang w:val="uk-UA" w:eastAsia="en-US" w:bidi="ar-SA"/>
      </w:rPr>
    </w:lvl>
    <w:lvl w:ilvl="2" w:tplc="0A36F492">
      <w:numFmt w:val="bullet"/>
      <w:lvlText w:val="•"/>
      <w:lvlJc w:val="left"/>
      <w:pPr>
        <w:ind w:left="1665" w:hanging="360"/>
      </w:pPr>
      <w:rPr>
        <w:rFonts w:hint="default"/>
        <w:lang w:val="uk-UA" w:eastAsia="en-US" w:bidi="ar-SA"/>
      </w:rPr>
    </w:lvl>
    <w:lvl w:ilvl="3" w:tplc="148EFBDA">
      <w:numFmt w:val="bullet"/>
      <w:lvlText w:val="•"/>
      <w:lvlJc w:val="left"/>
      <w:pPr>
        <w:ind w:left="2097" w:hanging="360"/>
      </w:pPr>
      <w:rPr>
        <w:rFonts w:hint="default"/>
        <w:lang w:val="uk-UA" w:eastAsia="en-US" w:bidi="ar-SA"/>
      </w:rPr>
    </w:lvl>
    <w:lvl w:ilvl="4" w:tplc="A318414E">
      <w:numFmt w:val="bullet"/>
      <w:lvlText w:val="•"/>
      <w:lvlJc w:val="left"/>
      <w:pPr>
        <w:ind w:left="2530" w:hanging="360"/>
      </w:pPr>
      <w:rPr>
        <w:rFonts w:hint="default"/>
        <w:lang w:val="uk-UA" w:eastAsia="en-US" w:bidi="ar-SA"/>
      </w:rPr>
    </w:lvl>
    <w:lvl w:ilvl="5" w:tplc="CC2E968E">
      <w:numFmt w:val="bullet"/>
      <w:lvlText w:val="•"/>
      <w:lvlJc w:val="left"/>
      <w:pPr>
        <w:ind w:left="2962" w:hanging="360"/>
      </w:pPr>
      <w:rPr>
        <w:rFonts w:hint="default"/>
        <w:lang w:val="uk-UA" w:eastAsia="en-US" w:bidi="ar-SA"/>
      </w:rPr>
    </w:lvl>
    <w:lvl w:ilvl="6" w:tplc="629C7B90">
      <w:numFmt w:val="bullet"/>
      <w:lvlText w:val="•"/>
      <w:lvlJc w:val="left"/>
      <w:pPr>
        <w:ind w:left="3395" w:hanging="360"/>
      </w:pPr>
      <w:rPr>
        <w:rFonts w:hint="default"/>
        <w:lang w:val="uk-UA" w:eastAsia="en-US" w:bidi="ar-SA"/>
      </w:rPr>
    </w:lvl>
    <w:lvl w:ilvl="7" w:tplc="C96E1F5E">
      <w:numFmt w:val="bullet"/>
      <w:lvlText w:val="•"/>
      <w:lvlJc w:val="left"/>
      <w:pPr>
        <w:ind w:left="3827" w:hanging="360"/>
      </w:pPr>
      <w:rPr>
        <w:rFonts w:hint="default"/>
        <w:lang w:val="uk-UA" w:eastAsia="en-US" w:bidi="ar-SA"/>
      </w:rPr>
    </w:lvl>
    <w:lvl w:ilvl="8" w:tplc="C89696B2">
      <w:numFmt w:val="bullet"/>
      <w:lvlText w:val="•"/>
      <w:lvlJc w:val="left"/>
      <w:pPr>
        <w:ind w:left="4260" w:hanging="360"/>
      </w:pPr>
      <w:rPr>
        <w:rFonts w:hint="default"/>
        <w:lang w:val="uk-UA" w:eastAsia="en-US" w:bidi="ar-SA"/>
      </w:rPr>
    </w:lvl>
  </w:abstractNum>
  <w:abstractNum w:abstractNumId="206" w15:restartNumberingAfterBreak="0">
    <w:nsid w:val="6CA25A55"/>
    <w:multiLevelType w:val="hybridMultilevel"/>
    <w:tmpl w:val="2EBA1660"/>
    <w:lvl w:ilvl="0" w:tplc="D4B81064">
      <w:start w:val="1"/>
      <w:numFmt w:val="decimal"/>
      <w:lvlText w:val="%1."/>
      <w:lvlJc w:val="left"/>
      <w:pPr>
        <w:ind w:left="870" w:hanging="360"/>
      </w:pPr>
      <w:rPr>
        <w:rFonts w:hint="default"/>
      </w:rPr>
    </w:lvl>
    <w:lvl w:ilvl="1" w:tplc="04190019" w:tentative="1">
      <w:start w:val="1"/>
      <w:numFmt w:val="lowerLetter"/>
      <w:lvlText w:val="%2."/>
      <w:lvlJc w:val="left"/>
      <w:pPr>
        <w:ind w:left="1590" w:hanging="360"/>
      </w:pPr>
    </w:lvl>
    <w:lvl w:ilvl="2" w:tplc="0419001B" w:tentative="1">
      <w:start w:val="1"/>
      <w:numFmt w:val="lowerRoman"/>
      <w:lvlText w:val="%3."/>
      <w:lvlJc w:val="right"/>
      <w:pPr>
        <w:ind w:left="2310" w:hanging="180"/>
      </w:pPr>
    </w:lvl>
    <w:lvl w:ilvl="3" w:tplc="0419000F" w:tentative="1">
      <w:start w:val="1"/>
      <w:numFmt w:val="decimal"/>
      <w:lvlText w:val="%4."/>
      <w:lvlJc w:val="left"/>
      <w:pPr>
        <w:ind w:left="3030" w:hanging="360"/>
      </w:pPr>
    </w:lvl>
    <w:lvl w:ilvl="4" w:tplc="04190019" w:tentative="1">
      <w:start w:val="1"/>
      <w:numFmt w:val="lowerLetter"/>
      <w:lvlText w:val="%5."/>
      <w:lvlJc w:val="left"/>
      <w:pPr>
        <w:ind w:left="3750" w:hanging="360"/>
      </w:pPr>
    </w:lvl>
    <w:lvl w:ilvl="5" w:tplc="0419001B" w:tentative="1">
      <w:start w:val="1"/>
      <w:numFmt w:val="lowerRoman"/>
      <w:lvlText w:val="%6."/>
      <w:lvlJc w:val="right"/>
      <w:pPr>
        <w:ind w:left="4470" w:hanging="180"/>
      </w:pPr>
    </w:lvl>
    <w:lvl w:ilvl="6" w:tplc="0419000F" w:tentative="1">
      <w:start w:val="1"/>
      <w:numFmt w:val="decimal"/>
      <w:lvlText w:val="%7."/>
      <w:lvlJc w:val="left"/>
      <w:pPr>
        <w:ind w:left="5190" w:hanging="360"/>
      </w:pPr>
    </w:lvl>
    <w:lvl w:ilvl="7" w:tplc="04190019" w:tentative="1">
      <w:start w:val="1"/>
      <w:numFmt w:val="lowerLetter"/>
      <w:lvlText w:val="%8."/>
      <w:lvlJc w:val="left"/>
      <w:pPr>
        <w:ind w:left="5910" w:hanging="360"/>
      </w:pPr>
    </w:lvl>
    <w:lvl w:ilvl="8" w:tplc="0419001B" w:tentative="1">
      <w:start w:val="1"/>
      <w:numFmt w:val="lowerRoman"/>
      <w:lvlText w:val="%9."/>
      <w:lvlJc w:val="right"/>
      <w:pPr>
        <w:ind w:left="6630" w:hanging="180"/>
      </w:pPr>
    </w:lvl>
  </w:abstractNum>
  <w:abstractNum w:abstractNumId="207" w15:restartNumberingAfterBreak="0">
    <w:nsid w:val="6D1E68B0"/>
    <w:multiLevelType w:val="hybridMultilevel"/>
    <w:tmpl w:val="E292A52C"/>
    <w:lvl w:ilvl="0" w:tplc="32A0B2F8">
      <w:start w:val="1"/>
      <w:numFmt w:val="decimal"/>
      <w:lvlText w:val="%1."/>
      <w:lvlJc w:val="left"/>
      <w:pPr>
        <w:ind w:left="846" w:hanging="360"/>
      </w:pPr>
      <w:rPr>
        <w:rFonts w:ascii="Times New Roman" w:eastAsia="Times New Roman" w:hAnsi="Times New Roman" w:cs="Times New Roman" w:hint="default"/>
        <w:spacing w:val="0"/>
        <w:w w:val="99"/>
        <w:sz w:val="20"/>
        <w:szCs w:val="20"/>
        <w:lang w:val="uk-UA" w:eastAsia="en-US" w:bidi="ar-SA"/>
      </w:rPr>
    </w:lvl>
    <w:lvl w:ilvl="1" w:tplc="736EB5A4">
      <w:numFmt w:val="bullet"/>
      <w:lvlText w:val="•"/>
      <w:lvlJc w:val="left"/>
      <w:pPr>
        <w:ind w:left="1268" w:hanging="360"/>
      </w:pPr>
      <w:rPr>
        <w:rFonts w:hint="default"/>
        <w:lang w:val="uk-UA" w:eastAsia="en-US" w:bidi="ar-SA"/>
      </w:rPr>
    </w:lvl>
    <w:lvl w:ilvl="2" w:tplc="F1B6937C">
      <w:numFmt w:val="bullet"/>
      <w:lvlText w:val="•"/>
      <w:lvlJc w:val="left"/>
      <w:pPr>
        <w:ind w:left="1697" w:hanging="360"/>
      </w:pPr>
      <w:rPr>
        <w:rFonts w:hint="default"/>
        <w:lang w:val="uk-UA" w:eastAsia="en-US" w:bidi="ar-SA"/>
      </w:rPr>
    </w:lvl>
    <w:lvl w:ilvl="3" w:tplc="84B6A724">
      <w:numFmt w:val="bullet"/>
      <w:lvlText w:val="•"/>
      <w:lvlJc w:val="left"/>
      <w:pPr>
        <w:ind w:left="2125" w:hanging="360"/>
      </w:pPr>
      <w:rPr>
        <w:rFonts w:hint="default"/>
        <w:lang w:val="uk-UA" w:eastAsia="en-US" w:bidi="ar-SA"/>
      </w:rPr>
    </w:lvl>
    <w:lvl w:ilvl="4" w:tplc="BDC2555E">
      <w:numFmt w:val="bullet"/>
      <w:lvlText w:val="•"/>
      <w:lvlJc w:val="left"/>
      <w:pPr>
        <w:ind w:left="2554" w:hanging="360"/>
      </w:pPr>
      <w:rPr>
        <w:rFonts w:hint="default"/>
        <w:lang w:val="uk-UA" w:eastAsia="en-US" w:bidi="ar-SA"/>
      </w:rPr>
    </w:lvl>
    <w:lvl w:ilvl="5" w:tplc="56321324">
      <w:numFmt w:val="bullet"/>
      <w:lvlText w:val="•"/>
      <w:lvlJc w:val="left"/>
      <w:pPr>
        <w:ind w:left="2982" w:hanging="360"/>
      </w:pPr>
      <w:rPr>
        <w:rFonts w:hint="default"/>
        <w:lang w:val="uk-UA" w:eastAsia="en-US" w:bidi="ar-SA"/>
      </w:rPr>
    </w:lvl>
    <w:lvl w:ilvl="6" w:tplc="C9A8E610">
      <w:numFmt w:val="bullet"/>
      <w:lvlText w:val="•"/>
      <w:lvlJc w:val="left"/>
      <w:pPr>
        <w:ind w:left="3411" w:hanging="360"/>
      </w:pPr>
      <w:rPr>
        <w:rFonts w:hint="default"/>
        <w:lang w:val="uk-UA" w:eastAsia="en-US" w:bidi="ar-SA"/>
      </w:rPr>
    </w:lvl>
    <w:lvl w:ilvl="7" w:tplc="95381BC2">
      <w:numFmt w:val="bullet"/>
      <w:lvlText w:val="•"/>
      <w:lvlJc w:val="left"/>
      <w:pPr>
        <w:ind w:left="3839" w:hanging="360"/>
      </w:pPr>
      <w:rPr>
        <w:rFonts w:hint="default"/>
        <w:lang w:val="uk-UA" w:eastAsia="en-US" w:bidi="ar-SA"/>
      </w:rPr>
    </w:lvl>
    <w:lvl w:ilvl="8" w:tplc="3654ABE2">
      <w:numFmt w:val="bullet"/>
      <w:lvlText w:val="•"/>
      <w:lvlJc w:val="left"/>
      <w:pPr>
        <w:ind w:left="4268" w:hanging="360"/>
      </w:pPr>
      <w:rPr>
        <w:rFonts w:hint="default"/>
        <w:lang w:val="uk-UA" w:eastAsia="en-US" w:bidi="ar-SA"/>
      </w:rPr>
    </w:lvl>
  </w:abstractNum>
  <w:abstractNum w:abstractNumId="208" w15:restartNumberingAfterBreak="0">
    <w:nsid w:val="6E324C4E"/>
    <w:multiLevelType w:val="hybridMultilevel"/>
    <w:tmpl w:val="33CC924C"/>
    <w:lvl w:ilvl="0" w:tplc="DDE074CA">
      <w:start w:val="1"/>
      <w:numFmt w:val="decimal"/>
      <w:lvlText w:val="%1."/>
      <w:lvlJc w:val="left"/>
      <w:pPr>
        <w:ind w:left="676" w:hanging="360"/>
      </w:pPr>
      <w:rPr>
        <w:rFonts w:ascii="Times New Roman" w:eastAsia="Times New Roman" w:hAnsi="Times New Roman" w:cs="Times New Roman" w:hint="default"/>
        <w:spacing w:val="0"/>
        <w:w w:val="99"/>
        <w:sz w:val="20"/>
        <w:szCs w:val="20"/>
        <w:lang w:val="uk-UA" w:eastAsia="en-US" w:bidi="ar-SA"/>
      </w:rPr>
    </w:lvl>
    <w:lvl w:ilvl="1" w:tplc="CB4A9020">
      <w:numFmt w:val="bullet"/>
      <w:lvlText w:val="•"/>
      <w:lvlJc w:val="left"/>
      <w:pPr>
        <w:ind w:left="1148" w:hanging="360"/>
      </w:pPr>
      <w:rPr>
        <w:rFonts w:hint="default"/>
        <w:lang w:val="uk-UA" w:eastAsia="en-US" w:bidi="ar-SA"/>
      </w:rPr>
    </w:lvl>
    <w:lvl w:ilvl="2" w:tplc="9D402738">
      <w:numFmt w:val="bullet"/>
      <w:lvlText w:val="•"/>
      <w:lvlJc w:val="left"/>
      <w:pPr>
        <w:ind w:left="1616" w:hanging="360"/>
      </w:pPr>
      <w:rPr>
        <w:rFonts w:hint="default"/>
        <w:lang w:val="uk-UA" w:eastAsia="en-US" w:bidi="ar-SA"/>
      </w:rPr>
    </w:lvl>
    <w:lvl w:ilvl="3" w:tplc="E00E2AD4">
      <w:numFmt w:val="bullet"/>
      <w:lvlText w:val="•"/>
      <w:lvlJc w:val="left"/>
      <w:pPr>
        <w:ind w:left="2084" w:hanging="360"/>
      </w:pPr>
      <w:rPr>
        <w:rFonts w:hint="default"/>
        <w:lang w:val="uk-UA" w:eastAsia="en-US" w:bidi="ar-SA"/>
      </w:rPr>
    </w:lvl>
    <w:lvl w:ilvl="4" w:tplc="6A7CA2C2">
      <w:numFmt w:val="bullet"/>
      <w:lvlText w:val="•"/>
      <w:lvlJc w:val="left"/>
      <w:pPr>
        <w:ind w:left="2552" w:hanging="360"/>
      </w:pPr>
      <w:rPr>
        <w:rFonts w:hint="default"/>
        <w:lang w:val="uk-UA" w:eastAsia="en-US" w:bidi="ar-SA"/>
      </w:rPr>
    </w:lvl>
    <w:lvl w:ilvl="5" w:tplc="626A19CC">
      <w:numFmt w:val="bullet"/>
      <w:lvlText w:val="•"/>
      <w:lvlJc w:val="left"/>
      <w:pPr>
        <w:ind w:left="3020" w:hanging="360"/>
      </w:pPr>
      <w:rPr>
        <w:rFonts w:hint="default"/>
        <w:lang w:val="uk-UA" w:eastAsia="en-US" w:bidi="ar-SA"/>
      </w:rPr>
    </w:lvl>
    <w:lvl w:ilvl="6" w:tplc="24DA164A">
      <w:numFmt w:val="bullet"/>
      <w:lvlText w:val="•"/>
      <w:lvlJc w:val="left"/>
      <w:pPr>
        <w:ind w:left="3488" w:hanging="360"/>
      </w:pPr>
      <w:rPr>
        <w:rFonts w:hint="default"/>
        <w:lang w:val="uk-UA" w:eastAsia="en-US" w:bidi="ar-SA"/>
      </w:rPr>
    </w:lvl>
    <w:lvl w:ilvl="7" w:tplc="973433D4">
      <w:numFmt w:val="bullet"/>
      <w:lvlText w:val="•"/>
      <w:lvlJc w:val="left"/>
      <w:pPr>
        <w:ind w:left="3956" w:hanging="360"/>
      </w:pPr>
      <w:rPr>
        <w:rFonts w:hint="default"/>
        <w:lang w:val="uk-UA" w:eastAsia="en-US" w:bidi="ar-SA"/>
      </w:rPr>
    </w:lvl>
    <w:lvl w:ilvl="8" w:tplc="D4B49482">
      <w:numFmt w:val="bullet"/>
      <w:lvlText w:val="•"/>
      <w:lvlJc w:val="left"/>
      <w:pPr>
        <w:ind w:left="4424" w:hanging="360"/>
      </w:pPr>
      <w:rPr>
        <w:rFonts w:hint="default"/>
        <w:lang w:val="uk-UA" w:eastAsia="en-US" w:bidi="ar-SA"/>
      </w:rPr>
    </w:lvl>
  </w:abstractNum>
  <w:abstractNum w:abstractNumId="209" w15:restartNumberingAfterBreak="0">
    <w:nsid w:val="6FC35042"/>
    <w:multiLevelType w:val="hybridMultilevel"/>
    <w:tmpl w:val="F2705432"/>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210" w15:restartNumberingAfterBreak="0">
    <w:nsid w:val="6FCB17EC"/>
    <w:multiLevelType w:val="hybridMultilevel"/>
    <w:tmpl w:val="D660D03C"/>
    <w:lvl w:ilvl="0" w:tplc="1FBCDED2">
      <w:start w:val="1"/>
      <w:numFmt w:val="decimal"/>
      <w:lvlText w:val="%1."/>
      <w:lvlJc w:val="left"/>
      <w:pPr>
        <w:ind w:left="677" w:hanging="360"/>
      </w:pPr>
      <w:rPr>
        <w:rFonts w:ascii="Times New Roman" w:eastAsia="Times New Roman" w:hAnsi="Times New Roman" w:cs="Times New Roman" w:hint="default"/>
        <w:spacing w:val="0"/>
        <w:w w:val="99"/>
        <w:sz w:val="20"/>
        <w:szCs w:val="20"/>
        <w:lang w:val="uk-UA" w:eastAsia="en-US" w:bidi="ar-SA"/>
      </w:rPr>
    </w:lvl>
    <w:lvl w:ilvl="1" w:tplc="DA56CA9E">
      <w:start w:val="1"/>
      <w:numFmt w:val="decimal"/>
      <w:lvlText w:val="%2."/>
      <w:lvlJc w:val="left"/>
      <w:pPr>
        <w:ind w:left="591" w:hanging="152"/>
        <w:jc w:val="right"/>
      </w:pPr>
      <w:rPr>
        <w:rFonts w:ascii="Times New Roman" w:eastAsia="Times New Roman" w:hAnsi="Times New Roman" w:cs="Times New Roman" w:hint="default"/>
        <w:spacing w:val="0"/>
        <w:w w:val="99"/>
        <w:sz w:val="18"/>
        <w:szCs w:val="18"/>
        <w:lang w:val="uk-UA" w:eastAsia="en-US" w:bidi="ar-SA"/>
      </w:rPr>
    </w:lvl>
    <w:lvl w:ilvl="2" w:tplc="83AA8250">
      <w:numFmt w:val="bullet"/>
      <w:lvlText w:val="•"/>
      <w:lvlJc w:val="left"/>
      <w:pPr>
        <w:ind w:left="600" w:hanging="152"/>
      </w:pPr>
      <w:rPr>
        <w:rFonts w:hint="default"/>
        <w:lang w:val="uk-UA" w:eastAsia="en-US" w:bidi="ar-SA"/>
      </w:rPr>
    </w:lvl>
    <w:lvl w:ilvl="3" w:tplc="A90CCC70">
      <w:numFmt w:val="bullet"/>
      <w:lvlText w:val="•"/>
      <w:lvlJc w:val="left"/>
      <w:pPr>
        <w:ind w:left="520" w:hanging="152"/>
      </w:pPr>
      <w:rPr>
        <w:rFonts w:hint="default"/>
        <w:lang w:val="uk-UA" w:eastAsia="en-US" w:bidi="ar-SA"/>
      </w:rPr>
    </w:lvl>
    <w:lvl w:ilvl="4" w:tplc="948C4264">
      <w:numFmt w:val="bullet"/>
      <w:lvlText w:val="•"/>
      <w:lvlJc w:val="left"/>
      <w:pPr>
        <w:ind w:left="440" w:hanging="152"/>
      </w:pPr>
      <w:rPr>
        <w:rFonts w:hint="default"/>
        <w:lang w:val="uk-UA" w:eastAsia="en-US" w:bidi="ar-SA"/>
      </w:rPr>
    </w:lvl>
    <w:lvl w:ilvl="5" w:tplc="77EACB00">
      <w:numFmt w:val="bullet"/>
      <w:lvlText w:val="•"/>
      <w:lvlJc w:val="left"/>
      <w:pPr>
        <w:ind w:left="360" w:hanging="152"/>
      </w:pPr>
      <w:rPr>
        <w:rFonts w:hint="default"/>
        <w:lang w:val="uk-UA" w:eastAsia="en-US" w:bidi="ar-SA"/>
      </w:rPr>
    </w:lvl>
    <w:lvl w:ilvl="6" w:tplc="3AA2BFD8">
      <w:numFmt w:val="bullet"/>
      <w:lvlText w:val="•"/>
      <w:lvlJc w:val="left"/>
      <w:pPr>
        <w:ind w:left="280" w:hanging="152"/>
      </w:pPr>
      <w:rPr>
        <w:rFonts w:hint="default"/>
        <w:lang w:val="uk-UA" w:eastAsia="en-US" w:bidi="ar-SA"/>
      </w:rPr>
    </w:lvl>
    <w:lvl w:ilvl="7" w:tplc="6354FFD6">
      <w:numFmt w:val="bullet"/>
      <w:lvlText w:val="•"/>
      <w:lvlJc w:val="left"/>
      <w:pPr>
        <w:ind w:left="200" w:hanging="152"/>
      </w:pPr>
      <w:rPr>
        <w:rFonts w:hint="default"/>
        <w:lang w:val="uk-UA" w:eastAsia="en-US" w:bidi="ar-SA"/>
      </w:rPr>
    </w:lvl>
    <w:lvl w:ilvl="8" w:tplc="65F49DD4">
      <w:numFmt w:val="bullet"/>
      <w:lvlText w:val="•"/>
      <w:lvlJc w:val="left"/>
      <w:pPr>
        <w:ind w:left="120" w:hanging="152"/>
      </w:pPr>
      <w:rPr>
        <w:rFonts w:hint="default"/>
        <w:lang w:val="uk-UA" w:eastAsia="en-US" w:bidi="ar-SA"/>
      </w:rPr>
    </w:lvl>
  </w:abstractNum>
  <w:abstractNum w:abstractNumId="211" w15:restartNumberingAfterBreak="0">
    <w:nsid w:val="703D1CFC"/>
    <w:multiLevelType w:val="hybridMultilevel"/>
    <w:tmpl w:val="93303FE0"/>
    <w:lvl w:ilvl="0" w:tplc="FFFFFFFF">
      <w:start w:val="2"/>
      <w:numFmt w:val="bullet"/>
      <w:lvlText w:val="-"/>
      <w:lvlJc w:val="left"/>
      <w:pPr>
        <w:ind w:left="1287" w:hanging="360"/>
      </w:pPr>
      <w:rPr>
        <w:rFonts w:ascii="Times New Roman" w:eastAsia="Times New Roman" w:hAnsi="Times New Roman" w:cs="Times New Roman" w:hint="default"/>
      </w:rPr>
    </w:lvl>
    <w:lvl w:ilvl="1" w:tplc="28E6742C">
      <w:start w:val="2"/>
      <w:numFmt w:val="bullet"/>
      <w:lvlText w:val="-"/>
      <w:lvlJc w:val="left"/>
      <w:pPr>
        <w:ind w:left="1168" w:hanging="360"/>
      </w:pPr>
      <w:rPr>
        <w:rFonts w:ascii="Times New Roman" w:eastAsia="Times New Roman" w:hAnsi="Times New Roman" w:cs="Times New Roman"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212" w15:restartNumberingAfterBreak="0">
    <w:nsid w:val="70D73163"/>
    <w:multiLevelType w:val="hybridMultilevel"/>
    <w:tmpl w:val="C40ED6AC"/>
    <w:lvl w:ilvl="0" w:tplc="3044F200">
      <w:start w:val="1"/>
      <w:numFmt w:val="decimal"/>
      <w:lvlText w:val="%1."/>
      <w:lvlJc w:val="left"/>
      <w:pPr>
        <w:ind w:left="675" w:hanging="360"/>
      </w:pPr>
      <w:rPr>
        <w:rFonts w:ascii="Times New Roman" w:eastAsia="Times New Roman" w:hAnsi="Times New Roman" w:cs="Times New Roman" w:hint="default"/>
        <w:spacing w:val="0"/>
        <w:w w:val="99"/>
        <w:sz w:val="20"/>
        <w:szCs w:val="20"/>
        <w:lang w:val="uk-UA" w:eastAsia="en-US" w:bidi="ar-SA"/>
      </w:rPr>
    </w:lvl>
    <w:lvl w:ilvl="1" w:tplc="ACC80B4E">
      <w:start w:val="1"/>
      <w:numFmt w:val="decimal"/>
      <w:lvlText w:val="%2)"/>
      <w:lvlJc w:val="left"/>
      <w:pPr>
        <w:ind w:left="440" w:hanging="245"/>
      </w:pPr>
      <w:rPr>
        <w:rFonts w:ascii="Times New Roman" w:eastAsia="Times New Roman" w:hAnsi="Times New Roman" w:cs="Times New Roman" w:hint="default"/>
        <w:spacing w:val="0"/>
        <w:w w:val="99"/>
        <w:sz w:val="20"/>
        <w:szCs w:val="20"/>
        <w:lang w:val="uk-UA" w:eastAsia="en-US" w:bidi="ar-SA"/>
      </w:rPr>
    </w:lvl>
    <w:lvl w:ilvl="2" w:tplc="EAB822B2">
      <w:numFmt w:val="bullet"/>
      <w:lvlText w:val="•"/>
      <w:lvlJc w:val="left"/>
      <w:pPr>
        <w:ind w:left="599" w:hanging="245"/>
      </w:pPr>
      <w:rPr>
        <w:rFonts w:hint="default"/>
        <w:lang w:val="uk-UA" w:eastAsia="en-US" w:bidi="ar-SA"/>
      </w:rPr>
    </w:lvl>
    <w:lvl w:ilvl="3" w:tplc="88CA1ED4">
      <w:numFmt w:val="bullet"/>
      <w:lvlText w:val="•"/>
      <w:lvlJc w:val="left"/>
      <w:pPr>
        <w:ind w:left="519" w:hanging="245"/>
      </w:pPr>
      <w:rPr>
        <w:rFonts w:hint="default"/>
        <w:lang w:val="uk-UA" w:eastAsia="en-US" w:bidi="ar-SA"/>
      </w:rPr>
    </w:lvl>
    <w:lvl w:ilvl="4" w:tplc="FD4C04A0">
      <w:numFmt w:val="bullet"/>
      <w:lvlText w:val="•"/>
      <w:lvlJc w:val="left"/>
      <w:pPr>
        <w:ind w:left="439" w:hanging="245"/>
      </w:pPr>
      <w:rPr>
        <w:rFonts w:hint="default"/>
        <w:lang w:val="uk-UA" w:eastAsia="en-US" w:bidi="ar-SA"/>
      </w:rPr>
    </w:lvl>
    <w:lvl w:ilvl="5" w:tplc="CC847A68">
      <w:numFmt w:val="bullet"/>
      <w:lvlText w:val="•"/>
      <w:lvlJc w:val="left"/>
      <w:pPr>
        <w:ind w:left="359" w:hanging="245"/>
      </w:pPr>
      <w:rPr>
        <w:rFonts w:hint="default"/>
        <w:lang w:val="uk-UA" w:eastAsia="en-US" w:bidi="ar-SA"/>
      </w:rPr>
    </w:lvl>
    <w:lvl w:ilvl="6" w:tplc="43489390">
      <w:numFmt w:val="bullet"/>
      <w:lvlText w:val="•"/>
      <w:lvlJc w:val="left"/>
      <w:pPr>
        <w:ind w:left="278" w:hanging="245"/>
      </w:pPr>
      <w:rPr>
        <w:rFonts w:hint="default"/>
        <w:lang w:val="uk-UA" w:eastAsia="en-US" w:bidi="ar-SA"/>
      </w:rPr>
    </w:lvl>
    <w:lvl w:ilvl="7" w:tplc="94806FA2">
      <w:numFmt w:val="bullet"/>
      <w:lvlText w:val="•"/>
      <w:lvlJc w:val="left"/>
      <w:pPr>
        <w:ind w:left="198" w:hanging="245"/>
      </w:pPr>
      <w:rPr>
        <w:rFonts w:hint="default"/>
        <w:lang w:val="uk-UA" w:eastAsia="en-US" w:bidi="ar-SA"/>
      </w:rPr>
    </w:lvl>
    <w:lvl w:ilvl="8" w:tplc="36DABC90">
      <w:numFmt w:val="bullet"/>
      <w:lvlText w:val="•"/>
      <w:lvlJc w:val="left"/>
      <w:pPr>
        <w:ind w:left="118" w:hanging="245"/>
      </w:pPr>
      <w:rPr>
        <w:rFonts w:hint="default"/>
        <w:lang w:val="uk-UA" w:eastAsia="en-US" w:bidi="ar-SA"/>
      </w:rPr>
    </w:lvl>
  </w:abstractNum>
  <w:abstractNum w:abstractNumId="213" w15:restartNumberingAfterBreak="0">
    <w:nsid w:val="7171434E"/>
    <w:multiLevelType w:val="hybridMultilevel"/>
    <w:tmpl w:val="8E6E7F2E"/>
    <w:lvl w:ilvl="0" w:tplc="849605D0">
      <w:start w:val="3"/>
      <w:numFmt w:val="bullet"/>
      <w:lvlText w:val="-"/>
      <w:lvlJc w:val="left"/>
      <w:pPr>
        <w:ind w:left="1287" w:hanging="360"/>
      </w:pPr>
      <w:rPr>
        <w:rFonts w:ascii="Calibri Light" w:eastAsia="Tahoma" w:hAnsi="Calibri Light" w:cs="Calibri Light"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14" w15:restartNumberingAfterBreak="0">
    <w:nsid w:val="71C13A8C"/>
    <w:multiLevelType w:val="hybridMultilevel"/>
    <w:tmpl w:val="B5D4FA88"/>
    <w:lvl w:ilvl="0" w:tplc="FA56384E">
      <w:start w:val="1"/>
      <w:numFmt w:val="decimal"/>
      <w:lvlText w:val="%1."/>
      <w:lvlJc w:val="left"/>
      <w:pPr>
        <w:ind w:left="502" w:hanging="218"/>
        <w:jc w:val="right"/>
      </w:pPr>
      <w:rPr>
        <w:rFonts w:ascii="Times New Roman" w:eastAsia="Times New Roman" w:hAnsi="Times New Roman" w:cs="Times New Roman" w:hint="default"/>
        <w:spacing w:val="0"/>
        <w:w w:val="99"/>
        <w:sz w:val="20"/>
        <w:szCs w:val="20"/>
        <w:lang w:val="uk-UA" w:eastAsia="en-US" w:bidi="ar-SA"/>
      </w:rPr>
    </w:lvl>
    <w:lvl w:ilvl="1" w:tplc="952C45F0">
      <w:numFmt w:val="bullet"/>
      <w:lvlText w:val="•"/>
      <w:lvlJc w:val="left"/>
      <w:pPr>
        <w:ind w:left="908" w:hanging="218"/>
      </w:pPr>
      <w:rPr>
        <w:rFonts w:hint="default"/>
        <w:lang w:val="uk-UA" w:eastAsia="en-US" w:bidi="ar-SA"/>
      </w:rPr>
    </w:lvl>
    <w:lvl w:ilvl="2" w:tplc="5DACE3A6">
      <w:numFmt w:val="bullet"/>
      <w:lvlText w:val="•"/>
      <w:lvlJc w:val="left"/>
      <w:pPr>
        <w:ind w:left="1377" w:hanging="218"/>
      </w:pPr>
      <w:rPr>
        <w:rFonts w:hint="default"/>
        <w:lang w:val="uk-UA" w:eastAsia="en-US" w:bidi="ar-SA"/>
      </w:rPr>
    </w:lvl>
    <w:lvl w:ilvl="3" w:tplc="E2D0D6B0">
      <w:numFmt w:val="bullet"/>
      <w:lvlText w:val="•"/>
      <w:lvlJc w:val="left"/>
      <w:pPr>
        <w:ind w:left="1845" w:hanging="218"/>
      </w:pPr>
      <w:rPr>
        <w:rFonts w:hint="default"/>
        <w:lang w:val="uk-UA" w:eastAsia="en-US" w:bidi="ar-SA"/>
      </w:rPr>
    </w:lvl>
    <w:lvl w:ilvl="4" w:tplc="B2C02548">
      <w:numFmt w:val="bullet"/>
      <w:lvlText w:val="•"/>
      <w:lvlJc w:val="left"/>
      <w:pPr>
        <w:ind w:left="2314" w:hanging="218"/>
      </w:pPr>
      <w:rPr>
        <w:rFonts w:hint="default"/>
        <w:lang w:val="uk-UA" w:eastAsia="en-US" w:bidi="ar-SA"/>
      </w:rPr>
    </w:lvl>
    <w:lvl w:ilvl="5" w:tplc="AB323AD2">
      <w:numFmt w:val="bullet"/>
      <w:lvlText w:val="•"/>
      <w:lvlJc w:val="left"/>
      <w:pPr>
        <w:ind w:left="2783" w:hanging="218"/>
      </w:pPr>
      <w:rPr>
        <w:rFonts w:hint="default"/>
        <w:lang w:val="uk-UA" w:eastAsia="en-US" w:bidi="ar-SA"/>
      </w:rPr>
    </w:lvl>
    <w:lvl w:ilvl="6" w:tplc="F452B3DC">
      <w:numFmt w:val="bullet"/>
      <w:lvlText w:val="•"/>
      <w:lvlJc w:val="left"/>
      <w:pPr>
        <w:ind w:left="3251" w:hanging="218"/>
      </w:pPr>
      <w:rPr>
        <w:rFonts w:hint="default"/>
        <w:lang w:val="uk-UA" w:eastAsia="en-US" w:bidi="ar-SA"/>
      </w:rPr>
    </w:lvl>
    <w:lvl w:ilvl="7" w:tplc="73086F6A">
      <w:numFmt w:val="bullet"/>
      <w:lvlText w:val="•"/>
      <w:lvlJc w:val="left"/>
      <w:pPr>
        <w:ind w:left="3720" w:hanging="218"/>
      </w:pPr>
      <w:rPr>
        <w:rFonts w:hint="default"/>
        <w:lang w:val="uk-UA" w:eastAsia="en-US" w:bidi="ar-SA"/>
      </w:rPr>
    </w:lvl>
    <w:lvl w:ilvl="8" w:tplc="A232079E">
      <w:numFmt w:val="bullet"/>
      <w:lvlText w:val="•"/>
      <w:lvlJc w:val="left"/>
      <w:pPr>
        <w:ind w:left="4188" w:hanging="218"/>
      </w:pPr>
      <w:rPr>
        <w:rFonts w:hint="default"/>
        <w:lang w:val="uk-UA" w:eastAsia="en-US" w:bidi="ar-SA"/>
      </w:rPr>
    </w:lvl>
  </w:abstractNum>
  <w:abstractNum w:abstractNumId="215" w15:restartNumberingAfterBreak="0">
    <w:nsid w:val="71DE149F"/>
    <w:multiLevelType w:val="hybridMultilevel"/>
    <w:tmpl w:val="A6EC4928"/>
    <w:lvl w:ilvl="0" w:tplc="D9D42E22">
      <w:start w:val="1"/>
      <w:numFmt w:val="lowerLetter"/>
      <w:lvlText w:val="%1)"/>
      <w:lvlJc w:val="left"/>
      <w:pPr>
        <w:ind w:left="440" w:hanging="228"/>
      </w:pPr>
      <w:rPr>
        <w:rFonts w:ascii="Times New Roman" w:eastAsia="Times New Roman" w:hAnsi="Times New Roman" w:cs="Times New Roman" w:hint="default"/>
        <w:w w:val="99"/>
        <w:sz w:val="20"/>
        <w:szCs w:val="20"/>
        <w:lang w:val="uk-UA" w:eastAsia="en-US" w:bidi="ar-SA"/>
      </w:rPr>
    </w:lvl>
    <w:lvl w:ilvl="1" w:tplc="24C4D9E2">
      <w:numFmt w:val="bullet"/>
      <w:lvlText w:val="•"/>
      <w:lvlJc w:val="left"/>
      <w:pPr>
        <w:ind w:left="908" w:hanging="228"/>
      </w:pPr>
      <w:rPr>
        <w:rFonts w:hint="default"/>
        <w:lang w:val="uk-UA" w:eastAsia="en-US" w:bidi="ar-SA"/>
      </w:rPr>
    </w:lvl>
    <w:lvl w:ilvl="2" w:tplc="4D30C068">
      <w:numFmt w:val="bullet"/>
      <w:lvlText w:val="•"/>
      <w:lvlJc w:val="left"/>
      <w:pPr>
        <w:ind w:left="1377" w:hanging="228"/>
      </w:pPr>
      <w:rPr>
        <w:rFonts w:hint="default"/>
        <w:lang w:val="uk-UA" w:eastAsia="en-US" w:bidi="ar-SA"/>
      </w:rPr>
    </w:lvl>
    <w:lvl w:ilvl="3" w:tplc="F8B258DA">
      <w:numFmt w:val="bullet"/>
      <w:lvlText w:val="•"/>
      <w:lvlJc w:val="left"/>
      <w:pPr>
        <w:ind w:left="1845" w:hanging="228"/>
      </w:pPr>
      <w:rPr>
        <w:rFonts w:hint="default"/>
        <w:lang w:val="uk-UA" w:eastAsia="en-US" w:bidi="ar-SA"/>
      </w:rPr>
    </w:lvl>
    <w:lvl w:ilvl="4" w:tplc="36026342">
      <w:numFmt w:val="bullet"/>
      <w:lvlText w:val="•"/>
      <w:lvlJc w:val="left"/>
      <w:pPr>
        <w:ind w:left="2314" w:hanging="228"/>
      </w:pPr>
      <w:rPr>
        <w:rFonts w:hint="default"/>
        <w:lang w:val="uk-UA" w:eastAsia="en-US" w:bidi="ar-SA"/>
      </w:rPr>
    </w:lvl>
    <w:lvl w:ilvl="5" w:tplc="493CF90E">
      <w:numFmt w:val="bullet"/>
      <w:lvlText w:val="•"/>
      <w:lvlJc w:val="left"/>
      <w:pPr>
        <w:ind w:left="2782" w:hanging="228"/>
      </w:pPr>
      <w:rPr>
        <w:rFonts w:hint="default"/>
        <w:lang w:val="uk-UA" w:eastAsia="en-US" w:bidi="ar-SA"/>
      </w:rPr>
    </w:lvl>
    <w:lvl w:ilvl="6" w:tplc="34980E40">
      <w:numFmt w:val="bullet"/>
      <w:lvlText w:val="•"/>
      <w:lvlJc w:val="left"/>
      <w:pPr>
        <w:ind w:left="3251" w:hanging="228"/>
      </w:pPr>
      <w:rPr>
        <w:rFonts w:hint="default"/>
        <w:lang w:val="uk-UA" w:eastAsia="en-US" w:bidi="ar-SA"/>
      </w:rPr>
    </w:lvl>
    <w:lvl w:ilvl="7" w:tplc="085047D6">
      <w:numFmt w:val="bullet"/>
      <w:lvlText w:val="•"/>
      <w:lvlJc w:val="left"/>
      <w:pPr>
        <w:ind w:left="3719" w:hanging="228"/>
      </w:pPr>
      <w:rPr>
        <w:rFonts w:hint="default"/>
        <w:lang w:val="uk-UA" w:eastAsia="en-US" w:bidi="ar-SA"/>
      </w:rPr>
    </w:lvl>
    <w:lvl w:ilvl="8" w:tplc="3CF6398A">
      <w:numFmt w:val="bullet"/>
      <w:lvlText w:val="•"/>
      <w:lvlJc w:val="left"/>
      <w:pPr>
        <w:ind w:left="4188" w:hanging="228"/>
      </w:pPr>
      <w:rPr>
        <w:rFonts w:hint="default"/>
        <w:lang w:val="uk-UA" w:eastAsia="en-US" w:bidi="ar-SA"/>
      </w:rPr>
    </w:lvl>
  </w:abstractNum>
  <w:abstractNum w:abstractNumId="216" w15:restartNumberingAfterBreak="0">
    <w:nsid w:val="736067E5"/>
    <w:multiLevelType w:val="hybridMultilevel"/>
    <w:tmpl w:val="351E2402"/>
    <w:lvl w:ilvl="0" w:tplc="BD3ADBEE">
      <w:start w:val="1"/>
      <w:numFmt w:val="decimal"/>
      <w:lvlText w:val="%1."/>
      <w:lvlJc w:val="left"/>
      <w:pPr>
        <w:ind w:left="440" w:hanging="290"/>
      </w:pPr>
      <w:rPr>
        <w:rFonts w:ascii="Times New Roman" w:eastAsia="Times New Roman" w:hAnsi="Times New Roman" w:cs="Times New Roman" w:hint="default"/>
        <w:spacing w:val="0"/>
        <w:w w:val="99"/>
        <w:sz w:val="20"/>
        <w:szCs w:val="20"/>
        <w:lang w:val="uk-UA" w:eastAsia="en-US" w:bidi="ar-SA"/>
      </w:rPr>
    </w:lvl>
    <w:lvl w:ilvl="1" w:tplc="DA50E0A8">
      <w:numFmt w:val="bullet"/>
      <w:lvlText w:val="•"/>
      <w:lvlJc w:val="left"/>
      <w:pPr>
        <w:ind w:left="908" w:hanging="290"/>
      </w:pPr>
      <w:rPr>
        <w:rFonts w:hint="default"/>
        <w:lang w:val="uk-UA" w:eastAsia="en-US" w:bidi="ar-SA"/>
      </w:rPr>
    </w:lvl>
    <w:lvl w:ilvl="2" w:tplc="298E8920">
      <w:numFmt w:val="bullet"/>
      <w:lvlText w:val="•"/>
      <w:lvlJc w:val="left"/>
      <w:pPr>
        <w:ind w:left="1376" w:hanging="290"/>
      </w:pPr>
      <w:rPr>
        <w:rFonts w:hint="default"/>
        <w:lang w:val="uk-UA" w:eastAsia="en-US" w:bidi="ar-SA"/>
      </w:rPr>
    </w:lvl>
    <w:lvl w:ilvl="3" w:tplc="35F41824">
      <w:numFmt w:val="bullet"/>
      <w:lvlText w:val="•"/>
      <w:lvlJc w:val="left"/>
      <w:pPr>
        <w:ind w:left="1844" w:hanging="290"/>
      </w:pPr>
      <w:rPr>
        <w:rFonts w:hint="default"/>
        <w:lang w:val="uk-UA" w:eastAsia="en-US" w:bidi="ar-SA"/>
      </w:rPr>
    </w:lvl>
    <w:lvl w:ilvl="4" w:tplc="96327E4C">
      <w:numFmt w:val="bullet"/>
      <w:lvlText w:val="•"/>
      <w:lvlJc w:val="left"/>
      <w:pPr>
        <w:ind w:left="2313" w:hanging="290"/>
      </w:pPr>
      <w:rPr>
        <w:rFonts w:hint="default"/>
        <w:lang w:val="uk-UA" w:eastAsia="en-US" w:bidi="ar-SA"/>
      </w:rPr>
    </w:lvl>
    <w:lvl w:ilvl="5" w:tplc="949CD0A2">
      <w:numFmt w:val="bullet"/>
      <w:lvlText w:val="•"/>
      <w:lvlJc w:val="left"/>
      <w:pPr>
        <w:ind w:left="2781" w:hanging="290"/>
      </w:pPr>
      <w:rPr>
        <w:rFonts w:hint="default"/>
        <w:lang w:val="uk-UA" w:eastAsia="en-US" w:bidi="ar-SA"/>
      </w:rPr>
    </w:lvl>
    <w:lvl w:ilvl="6" w:tplc="7638CF16">
      <w:numFmt w:val="bullet"/>
      <w:lvlText w:val="•"/>
      <w:lvlJc w:val="left"/>
      <w:pPr>
        <w:ind w:left="3249" w:hanging="290"/>
      </w:pPr>
      <w:rPr>
        <w:rFonts w:hint="default"/>
        <w:lang w:val="uk-UA" w:eastAsia="en-US" w:bidi="ar-SA"/>
      </w:rPr>
    </w:lvl>
    <w:lvl w:ilvl="7" w:tplc="26783B1A">
      <w:numFmt w:val="bullet"/>
      <w:lvlText w:val="•"/>
      <w:lvlJc w:val="left"/>
      <w:pPr>
        <w:ind w:left="3718" w:hanging="290"/>
      </w:pPr>
      <w:rPr>
        <w:rFonts w:hint="default"/>
        <w:lang w:val="uk-UA" w:eastAsia="en-US" w:bidi="ar-SA"/>
      </w:rPr>
    </w:lvl>
    <w:lvl w:ilvl="8" w:tplc="9E4A223E">
      <w:numFmt w:val="bullet"/>
      <w:lvlText w:val="•"/>
      <w:lvlJc w:val="left"/>
      <w:pPr>
        <w:ind w:left="4186" w:hanging="290"/>
      </w:pPr>
      <w:rPr>
        <w:rFonts w:hint="default"/>
        <w:lang w:val="uk-UA" w:eastAsia="en-US" w:bidi="ar-SA"/>
      </w:rPr>
    </w:lvl>
  </w:abstractNum>
  <w:abstractNum w:abstractNumId="217" w15:restartNumberingAfterBreak="0">
    <w:nsid w:val="73F835C0"/>
    <w:multiLevelType w:val="hybridMultilevel"/>
    <w:tmpl w:val="9C26EDB0"/>
    <w:lvl w:ilvl="0" w:tplc="0834F030">
      <w:start w:val="1"/>
      <w:numFmt w:val="decimal"/>
      <w:lvlText w:val="%1."/>
      <w:lvlJc w:val="left"/>
      <w:pPr>
        <w:ind w:left="440" w:hanging="252"/>
      </w:pPr>
      <w:rPr>
        <w:rFonts w:ascii="Times New Roman" w:eastAsia="Times New Roman" w:hAnsi="Times New Roman" w:cs="Times New Roman" w:hint="default"/>
        <w:spacing w:val="0"/>
        <w:w w:val="99"/>
        <w:sz w:val="20"/>
        <w:szCs w:val="20"/>
        <w:lang w:val="uk-UA" w:eastAsia="en-US" w:bidi="ar-SA"/>
      </w:rPr>
    </w:lvl>
    <w:lvl w:ilvl="1" w:tplc="04384A00">
      <w:numFmt w:val="bullet"/>
      <w:lvlText w:val="•"/>
      <w:lvlJc w:val="left"/>
      <w:pPr>
        <w:ind w:left="921" w:hanging="252"/>
      </w:pPr>
      <w:rPr>
        <w:rFonts w:hint="default"/>
        <w:lang w:val="uk-UA" w:eastAsia="en-US" w:bidi="ar-SA"/>
      </w:rPr>
    </w:lvl>
    <w:lvl w:ilvl="2" w:tplc="5790AC36">
      <w:numFmt w:val="bullet"/>
      <w:lvlText w:val="•"/>
      <w:lvlJc w:val="left"/>
      <w:pPr>
        <w:ind w:left="1403" w:hanging="252"/>
      </w:pPr>
      <w:rPr>
        <w:rFonts w:hint="default"/>
        <w:lang w:val="uk-UA" w:eastAsia="en-US" w:bidi="ar-SA"/>
      </w:rPr>
    </w:lvl>
    <w:lvl w:ilvl="3" w:tplc="3AE24A74">
      <w:numFmt w:val="bullet"/>
      <w:lvlText w:val="•"/>
      <w:lvlJc w:val="left"/>
      <w:pPr>
        <w:ind w:left="1885" w:hanging="252"/>
      </w:pPr>
      <w:rPr>
        <w:rFonts w:hint="default"/>
        <w:lang w:val="uk-UA" w:eastAsia="en-US" w:bidi="ar-SA"/>
      </w:rPr>
    </w:lvl>
    <w:lvl w:ilvl="4" w:tplc="DA8812A8">
      <w:numFmt w:val="bullet"/>
      <w:lvlText w:val="•"/>
      <w:lvlJc w:val="left"/>
      <w:pPr>
        <w:ind w:left="2367" w:hanging="252"/>
      </w:pPr>
      <w:rPr>
        <w:rFonts w:hint="default"/>
        <w:lang w:val="uk-UA" w:eastAsia="en-US" w:bidi="ar-SA"/>
      </w:rPr>
    </w:lvl>
    <w:lvl w:ilvl="5" w:tplc="061237D6">
      <w:numFmt w:val="bullet"/>
      <w:lvlText w:val="•"/>
      <w:lvlJc w:val="left"/>
      <w:pPr>
        <w:ind w:left="2849" w:hanging="252"/>
      </w:pPr>
      <w:rPr>
        <w:rFonts w:hint="default"/>
        <w:lang w:val="uk-UA" w:eastAsia="en-US" w:bidi="ar-SA"/>
      </w:rPr>
    </w:lvl>
    <w:lvl w:ilvl="6" w:tplc="685CF89A">
      <w:numFmt w:val="bullet"/>
      <w:lvlText w:val="•"/>
      <w:lvlJc w:val="left"/>
      <w:pPr>
        <w:ind w:left="3331" w:hanging="252"/>
      </w:pPr>
      <w:rPr>
        <w:rFonts w:hint="default"/>
        <w:lang w:val="uk-UA" w:eastAsia="en-US" w:bidi="ar-SA"/>
      </w:rPr>
    </w:lvl>
    <w:lvl w:ilvl="7" w:tplc="B7E673C2">
      <w:numFmt w:val="bullet"/>
      <w:lvlText w:val="•"/>
      <w:lvlJc w:val="left"/>
      <w:pPr>
        <w:ind w:left="3813" w:hanging="252"/>
      </w:pPr>
      <w:rPr>
        <w:rFonts w:hint="default"/>
        <w:lang w:val="uk-UA" w:eastAsia="en-US" w:bidi="ar-SA"/>
      </w:rPr>
    </w:lvl>
    <w:lvl w:ilvl="8" w:tplc="3C90EB66">
      <w:numFmt w:val="bullet"/>
      <w:lvlText w:val="•"/>
      <w:lvlJc w:val="left"/>
      <w:pPr>
        <w:ind w:left="4295" w:hanging="252"/>
      </w:pPr>
      <w:rPr>
        <w:rFonts w:hint="default"/>
        <w:lang w:val="uk-UA" w:eastAsia="en-US" w:bidi="ar-SA"/>
      </w:rPr>
    </w:lvl>
  </w:abstractNum>
  <w:abstractNum w:abstractNumId="218" w15:restartNumberingAfterBreak="0">
    <w:nsid w:val="747A482C"/>
    <w:multiLevelType w:val="hybridMultilevel"/>
    <w:tmpl w:val="24F29D16"/>
    <w:lvl w:ilvl="0" w:tplc="EA183CC6">
      <w:start w:val="27"/>
      <w:numFmt w:val="bullet"/>
      <w:lvlText w:val="-"/>
      <w:lvlJc w:val="left"/>
      <w:pPr>
        <w:ind w:left="720" w:hanging="360"/>
      </w:pPr>
      <w:rPr>
        <w:rFonts w:ascii="Calibri Light" w:eastAsia="Calibri Light" w:hAnsi="Calibri Light" w:cs="Calibri Light"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9" w15:restartNumberingAfterBreak="0">
    <w:nsid w:val="75620595"/>
    <w:multiLevelType w:val="hybridMultilevel"/>
    <w:tmpl w:val="69B83B98"/>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220" w15:restartNumberingAfterBreak="0">
    <w:nsid w:val="75FA5106"/>
    <w:multiLevelType w:val="hybridMultilevel"/>
    <w:tmpl w:val="24A05B84"/>
    <w:lvl w:ilvl="0" w:tplc="38CC4B4E">
      <w:start w:val="1"/>
      <w:numFmt w:val="decimal"/>
      <w:lvlText w:val="%1."/>
      <w:lvlJc w:val="left"/>
      <w:pPr>
        <w:ind w:left="800" w:hanging="360"/>
      </w:pPr>
      <w:rPr>
        <w:rFonts w:ascii="Times New Roman" w:eastAsia="Times New Roman" w:hAnsi="Times New Roman" w:cs="Times New Roman" w:hint="default"/>
        <w:spacing w:val="0"/>
        <w:w w:val="99"/>
        <w:sz w:val="20"/>
        <w:szCs w:val="20"/>
        <w:lang w:val="uk-UA" w:eastAsia="en-US" w:bidi="ar-SA"/>
      </w:rPr>
    </w:lvl>
    <w:lvl w:ilvl="1" w:tplc="75A6EB46">
      <w:numFmt w:val="bullet"/>
      <w:lvlText w:val="•"/>
      <w:lvlJc w:val="left"/>
      <w:pPr>
        <w:ind w:left="1232" w:hanging="360"/>
      </w:pPr>
      <w:rPr>
        <w:rFonts w:hint="default"/>
        <w:lang w:val="uk-UA" w:eastAsia="en-US" w:bidi="ar-SA"/>
      </w:rPr>
    </w:lvl>
    <w:lvl w:ilvl="2" w:tplc="5A0C067E">
      <w:numFmt w:val="bullet"/>
      <w:lvlText w:val="•"/>
      <w:lvlJc w:val="left"/>
      <w:pPr>
        <w:ind w:left="1664" w:hanging="360"/>
      </w:pPr>
      <w:rPr>
        <w:rFonts w:hint="default"/>
        <w:lang w:val="uk-UA" w:eastAsia="en-US" w:bidi="ar-SA"/>
      </w:rPr>
    </w:lvl>
    <w:lvl w:ilvl="3" w:tplc="7FECE556">
      <w:numFmt w:val="bullet"/>
      <w:lvlText w:val="•"/>
      <w:lvlJc w:val="left"/>
      <w:pPr>
        <w:ind w:left="2097" w:hanging="360"/>
      </w:pPr>
      <w:rPr>
        <w:rFonts w:hint="default"/>
        <w:lang w:val="uk-UA" w:eastAsia="en-US" w:bidi="ar-SA"/>
      </w:rPr>
    </w:lvl>
    <w:lvl w:ilvl="4" w:tplc="ADCE54D2">
      <w:numFmt w:val="bullet"/>
      <w:lvlText w:val="•"/>
      <w:lvlJc w:val="left"/>
      <w:pPr>
        <w:ind w:left="2529" w:hanging="360"/>
      </w:pPr>
      <w:rPr>
        <w:rFonts w:hint="default"/>
        <w:lang w:val="uk-UA" w:eastAsia="en-US" w:bidi="ar-SA"/>
      </w:rPr>
    </w:lvl>
    <w:lvl w:ilvl="5" w:tplc="779C2BCA">
      <w:numFmt w:val="bullet"/>
      <w:lvlText w:val="•"/>
      <w:lvlJc w:val="left"/>
      <w:pPr>
        <w:ind w:left="2961" w:hanging="360"/>
      </w:pPr>
      <w:rPr>
        <w:rFonts w:hint="default"/>
        <w:lang w:val="uk-UA" w:eastAsia="en-US" w:bidi="ar-SA"/>
      </w:rPr>
    </w:lvl>
    <w:lvl w:ilvl="6" w:tplc="4BEAD92C">
      <w:numFmt w:val="bullet"/>
      <w:lvlText w:val="•"/>
      <w:lvlJc w:val="left"/>
      <w:pPr>
        <w:ind w:left="3394" w:hanging="360"/>
      </w:pPr>
      <w:rPr>
        <w:rFonts w:hint="default"/>
        <w:lang w:val="uk-UA" w:eastAsia="en-US" w:bidi="ar-SA"/>
      </w:rPr>
    </w:lvl>
    <w:lvl w:ilvl="7" w:tplc="15EC5AFC">
      <w:numFmt w:val="bullet"/>
      <w:lvlText w:val="•"/>
      <w:lvlJc w:val="left"/>
      <w:pPr>
        <w:ind w:left="3826" w:hanging="360"/>
      </w:pPr>
      <w:rPr>
        <w:rFonts w:hint="default"/>
        <w:lang w:val="uk-UA" w:eastAsia="en-US" w:bidi="ar-SA"/>
      </w:rPr>
    </w:lvl>
    <w:lvl w:ilvl="8" w:tplc="0996193A">
      <w:numFmt w:val="bullet"/>
      <w:lvlText w:val="•"/>
      <w:lvlJc w:val="left"/>
      <w:pPr>
        <w:ind w:left="4259" w:hanging="360"/>
      </w:pPr>
      <w:rPr>
        <w:rFonts w:hint="default"/>
        <w:lang w:val="uk-UA" w:eastAsia="en-US" w:bidi="ar-SA"/>
      </w:rPr>
    </w:lvl>
  </w:abstractNum>
  <w:abstractNum w:abstractNumId="221" w15:restartNumberingAfterBreak="0">
    <w:nsid w:val="779C63ED"/>
    <w:multiLevelType w:val="hybridMultilevel"/>
    <w:tmpl w:val="97AAE936"/>
    <w:lvl w:ilvl="0" w:tplc="83747340">
      <w:start w:val="1"/>
      <w:numFmt w:val="decimal"/>
      <w:lvlText w:val="%1."/>
      <w:lvlJc w:val="left"/>
      <w:pPr>
        <w:ind w:left="800" w:hanging="360"/>
      </w:pPr>
      <w:rPr>
        <w:rFonts w:ascii="Times New Roman" w:eastAsia="Times New Roman" w:hAnsi="Times New Roman" w:cs="Times New Roman" w:hint="default"/>
        <w:spacing w:val="0"/>
        <w:w w:val="99"/>
        <w:sz w:val="20"/>
        <w:szCs w:val="20"/>
        <w:lang w:val="uk-UA" w:eastAsia="en-US" w:bidi="ar-SA"/>
      </w:rPr>
    </w:lvl>
    <w:lvl w:ilvl="1" w:tplc="D1427694">
      <w:numFmt w:val="bullet"/>
      <w:lvlText w:val="•"/>
      <w:lvlJc w:val="left"/>
      <w:pPr>
        <w:ind w:left="1232" w:hanging="360"/>
      </w:pPr>
      <w:rPr>
        <w:rFonts w:hint="default"/>
        <w:lang w:val="uk-UA" w:eastAsia="en-US" w:bidi="ar-SA"/>
      </w:rPr>
    </w:lvl>
    <w:lvl w:ilvl="2" w:tplc="849CFA7C">
      <w:numFmt w:val="bullet"/>
      <w:lvlText w:val="•"/>
      <w:lvlJc w:val="left"/>
      <w:pPr>
        <w:ind w:left="1664" w:hanging="360"/>
      </w:pPr>
      <w:rPr>
        <w:rFonts w:hint="default"/>
        <w:lang w:val="uk-UA" w:eastAsia="en-US" w:bidi="ar-SA"/>
      </w:rPr>
    </w:lvl>
    <w:lvl w:ilvl="3" w:tplc="00A2BF86">
      <w:numFmt w:val="bullet"/>
      <w:lvlText w:val="•"/>
      <w:lvlJc w:val="left"/>
      <w:pPr>
        <w:ind w:left="2097" w:hanging="360"/>
      </w:pPr>
      <w:rPr>
        <w:rFonts w:hint="default"/>
        <w:lang w:val="uk-UA" w:eastAsia="en-US" w:bidi="ar-SA"/>
      </w:rPr>
    </w:lvl>
    <w:lvl w:ilvl="4" w:tplc="1A720756">
      <w:numFmt w:val="bullet"/>
      <w:lvlText w:val="•"/>
      <w:lvlJc w:val="left"/>
      <w:pPr>
        <w:ind w:left="2529" w:hanging="360"/>
      </w:pPr>
      <w:rPr>
        <w:rFonts w:hint="default"/>
        <w:lang w:val="uk-UA" w:eastAsia="en-US" w:bidi="ar-SA"/>
      </w:rPr>
    </w:lvl>
    <w:lvl w:ilvl="5" w:tplc="DEFE41D0">
      <w:numFmt w:val="bullet"/>
      <w:lvlText w:val="•"/>
      <w:lvlJc w:val="left"/>
      <w:pPr>
        <w:ind w:left="2962" w:hanging="360"/>
      </w:pPr>
      <w:rPr>
        <w:rFonts w:hint="default"/>
        <w:lang w:val="uk-UA" w:eastAsia="en-US" w:bidi="ar-SA"/>
      </w:rPr>
    </w:lvl>
    <w:lvl w:ilvl="6" w:tplc="4CD62692">
      <w:numFmt w:val="bullet"/>
      <w:lvlText w:val="•"/>
      <w:lvlJc w:val="left"/>
      <w:pPr>
        <w:ind w:left="3394" w:hanging="360"/>
      </w:pPr>
      <w:rPr>
        <w:rFonts w:hint="default"/>
        <w:lang w:val="uk-UA" w:eastAsia="en-US" w:bidi="ar-SA"/>
      </w:rPr>
    </w:lvl>
    <w:lvl w:ilvl="7" w:tplc="22B62CA8">
      <w:numFmt w:val="bullet"/>
      <w:lvlText w:val="•"/>
      <w:lvlJc w:val="left"/>
      <w:pPr>
        <w:ind w:left="3827" w:hanging="360"/>
      </w:pPr>
      <w:rPr>
        <w:rFonts w:hint="default"/>
        <w:lang w:val="uk-UA" w:eastAsia="en-US" w:bidi="ar-SA"/>
      </w:rPr>
    </w:lvl>
    <w:lvl w:ilvl="8" w:tplc="A048756A">
      <w:numFmt w:val="bullet"/>
      <w:lvlText w:val="•"/>
      <w:lvlJc w:val="left"/>
      <w:pPr>
        <w:ind w:left="4259" w:hanging="360"/>
      </w:pPr>
      <w:rPr>
        <w:rFonts w:hint="default"/>
        <w:lang w:val="uk-UA" w:eastAsia="en-US" w:bidi="ar-SA"/>
      </w:rPr>
    </w:lvl>
  </w:abstractNum>
  <w:abstractNum w:abstractNumId="222" w15:restartNumberingAfterBreak="0">
    <w:nsid w:val="77D91297"/>
    <w:multiLevelType w:val="hybridMultilevel"/>
    <w:tmpl w:val="BAEC733A"/>
    <w:lvl w:ilvl="0" w:tplc="041ABD34">
      <w:numFmt w:val="bullet"/>
      <w:lvlText w:val="-"/>
      <w:lvlJc w:val="left"/>
      <w:pPr>
        <w:ind w:left="440" w:hanging="360"/>
      </w:pPr>
      <w:rPr>
        <w:rFonts w:ascii="Times New Roman" w:eastAsia="Times New Roman" w:hAnsi="Times New Roman" w:cs="Times New Roman" w:hint="default"/>
        <w:w w:val="99"/>
        <w:sz w:val="20"/>
        <w:szCs w:val="20"/>
        <w:lang w:val="uk-UA" w:eastAsia="en-US" w:bidi="ar-SA"/>
      </w:rPr>
    </w:lvl>
    <w:lvl w:ilvl="1" w:tplc="FF643D00">
      <w:numFmt w:val="bullet"/>
      <w:lvlText w:val="•"/>
      <w:lvlJc w:val="left"/>
      <w:pPr>
        <w:ind w:left="909" w:hanging="360"/>
      </w:pPr>
      <w:rPr>
        <w:rFonts w:hint="default"/>
        <w:lang w:val="uk-UA" w:eastAsia="en-US" w:bidi="ar-SA"/>
      </w:rPr>
    </w:lvl>
    <w:lvl w:ilvl="2" w:tplc="AD32E09C">
      <w:numFmt w:val="bullet"/>
      <w:lvlText w:val="•"/>
      <w:lvlJc w:val="left"/>
      <w:pPr>
        <w:ind w:left="1378" w:hanging="360"/>
      </w:pPr>
      <w:rPr>
        <w:rFonts w:hint="default"/>
        <w:lang w:val="uk-UA" w:eastAsia="en-US" w:bidi="ar-SA"/>
      </w:rPr>
    </w:lvl>
    <w:lvl w:ilvl="3" w:tplc="3ECA4A58">
      <w:numFmt w:val="bullet"/>
      <w:lvlText w:val="•"/>
      <w:lvlJc w:val="left"/>
      <w:pPr>
        <w:ind w:left="1847" w:hanging="360"/>
      </w:pPr>
      <w:rPr>
        <w:rFonts w:hint="default"/>
        <w:lang w:val="uk-UA" w:eastAsia="en-US" w:bidi="ar-SA"/>
      </w:rPr>
    </w:lvl>
    <w:lvl w:ilvl="4" w:tplc="818C6910">
      <w:numFmt w:val="bullet"/>
      <w:lvlText w:val="•"/>
      <w:lvlJc w:val="left"/>
      <w:pPr>
        <w:ind w:left="2316" w:hanging="360"/>
      </w:pPr>
      <w:rPr>
        <w:rFonts w:hint="default"/>
        <w:lang w:val="uk-UA" w:eastAsia="en-US" w:bidi="ar-SA"/>
      </w:rPr>
    </w:lvl>
    <w:lvl w:ilvl="5" w:tplc="EA68221E">
      <w:numFmt w:val="bullet"/>
      <w:lvlText w:val="•"/>
      <w:lvlJc w:val="left"/>
      <w:pPr>
        <w:ind w:left="2785" w:hanging="360"/>
      </w:pPr>
      <w:rPr>
        <w:rFonts w:hint="default"/>
        <w:lang w:val="uk-UA" w:eastAsia="en-US" w:bidi="ar-SA"/>
      </w:rPr>
    </w:lvl>
    <w:lvl w:ilvl="6" w:tplc="4ED0DDB8">
      <w:numFmt w:val="bullet"/>
      <w:lvlText w:val="•"/>
      <w:lvlJc w:val="left"/>
      <w:pPr>
        <w:ind w:left="3255" w:hanging="360"/>
      </w:pPr>
      <w:rPr>
        <w:rFonts w:hint="default"/>
        <w:lang w:val="uk-UA" w:eastAsia="en-US" w:bidi="ar-SA"/>
      </w:rPr>
    </w:lvl>
    <w:lvl w:ilvl="7" w:tplc="77BE4066">
      <w:numFmt w:val="bullet"/>
      <w:lvlText w:val="•"/>
      <w:lvlJc w:val="left"/>
      <w:pPr>
        <w:ind w:left="3724" w:hanging="360"/>
      </w:pPr>
      <w:rPr>
        <w:rFonts w:hint="default"/>
        <w:lang w:val="uk-UA" w:eastAsia="en-US" w:bidi="ar-SA"/>
      </w:rPr>
    </w:lvl>
    <w:lvl w:ilvl="8" w:tplc="1B7A569C">
      <w:numFmt w:val="bullet"/>
      <w:lvlText w:val="•"/>
      <w:lvlJc w:val="left"/>
      <w:pPr>
        <w:ind w:left="4193" w:hanging="360"/>
      </w:pPr>
      <w:rPr>
        <w:rFonts w:hint="default"/>
        <w:lang w:val="uk-UA" w:eastAsia="en-US" w:bidi="ar-SA"/>
      </w:rPr>
    </w:lvl>
  </w:abstractNum>
  <w:abstractNum w:abstractNumId="223" w15:restartNumberingAfterBreak="0">
    <w:nsid w:val="7866212D"/>
    <w:multiLevelType w:val="hybridMultilevel"/>
    <w:tmpl w:val="CA70CA5A"/>
    <w:lvl w:ilvl="0" w:tplc="5314B780">
      <w:numFmt w:val="bullet"/>
      <w:lvlText w:val="-"/>
      <w:lvlJc w:val="left"/>
      <w:pPr>
        <w:ind w:left="800" w:hanging="360"/>
      </w:pPr>
      <w:rPr>
        <w:rFonts w:ascii="Times New Roman" w:eastAsia="Times New Roman" w:hAnsi="Times New Roman" w:cs="Times New Roman" w:hint="default"/>
        <w:w w:val="99"/>
        <w:sz w:val="20"/>
        <w:szCs w:val="20"/>
        <w:lang w:val="uk-UA" w:eastAsia="en-US" w:bidi="ar-SA"/>
      </w:rPr>
    </w:lvl>
    <w:lvl w:ilvl="1" w:tplc="605414B2">
      <w:numFmt w:val="bullet"/>
      <w:lvlText w:val="•"/>
      <w:lvlJc w:val="left"/>
      <w:pPr>
        <w:ind w:left="1232" w:hanging="360"/>
      </w:pPr>
      <w:rPr>
        <w:rFonts w:hint="default"/>
        <w:lang w:val="uk-UA" w:eastAsia="en-US" w:bidi="ar-SA"/>
      </w:rPr>
    </w:lvl>
    <w:lvl w:ilvl="2" w:tplc="50B492B6">
      <w:numFmt w:val="bullet"/>
      <w:lvlText w:val="•"/>
      <w:lvlJc w:val="left"/>
      <w:pPr>
        <w:ind w:left="1665" w:hanging="360"/>
      </w:pPr>
      <w:rPr>
        <w:rFonts w:hint="default"/>
        <w:lang w:val="uk-UA" w:eastAsia="en-US" w:bidi="ar-SA"/>
      </w:rPr>
    </w:lvl>
    <w:lvl w:ilvl="3" w:tplc="C742E938">
      <w:numFmt w:val="bullet"/>
      <w:lvlText w:val="•"/>
      <w:lvlJc w:val="left"/>
      <w:pPr>
        <w:ind w:left="2097" w:hanging="360"/>
      </w:pPr>
      <w:rPr>
        <w:rFonts w:hint="default"/>
        <w:lang w:val="uk-UA" w:eastAsia="en-US" w:bidi="ar-SA"/>
      </w:rPr>
    </w:lvl>
    <w:lvl w:ilvl="4" w:tplc="C41A8A88">
      <w:numFmt w:val="bullet"/>
      <w:lvlText w:val="•"/>
      <w:lvlJc w:val="left"/>
      <w:pPr>
        <w:ind w:left="2530" w:hanging="360"/>
      </w:pPr>
      <w:rPr>
        <w:rFonts w:hint="default"/>
        <w:lang w:val="uk-UA" w:eastAsia="en-US" w:bidi="ar-SA"/>
      </w:rPr>
    </w:lvl>
    <w:lvl w:ilvl="5" w:tplc="EA4628B2">
      <w:numFmt w:val="bullet"/>
      <w:lvlText w:val="•"/>
      <w:lvlJc w:val="left"/>
      <w:pPr>
        <w:ind w:left="2963" w:hanging="360"/>
      </w:pPr>
      <w:rPr>
        <w:rFonts w:hint="default"/>
        <w:lang w:val="uk-UA" w:eastAsia="en-US" w:bidi="ar-SA"/>
      </w:rPr>
    </w:lvl>
    <w:lvl w:ilvl="6" w:tplc="7CBE1FC2">
      <w:numFmt w:val="bullet"/>
      <w:lvlText w:val="•"/>
      <w:lvlJc w:val="left"/>
      <w:pPr>
        <w:ind w:left="3395" w:hanging="360"/>
      </w:pPr>
      <w:rPr>
        <w:rFonts w:hint="default"/>
        <w:lang w:val="uk-UA" w:eastAsia="en-US" w:bidi="ar-SA"/>
      </w:rPr>
    </w:lvl>
    <w:lvl w:ilvl="7" w:tplc="A52E87CC">
      <w:numFmt w:val="bullet"/>
      <w:lvlText w:val="•"/>
      <w:lvlJc w:val="left"/>
      <w:pPr>
        <w:ind w:left="3828" w:hanging="360"/>
      </w:pPr>
      <w:rPr>
        <w:rFonts w:hint="default"/>
        <w:lang w:val="uk-UA" w:eastAsia="en-US" w:bidi="ar-SA"/>
      </w:rPr>
    </w:lvl>
    <w:lvl w:ilvl="8" w:tplc="1EF02598">
      <w:numFmt w:val="bullet"/>
      <w:lvlText w:val="•"/>
      <w:lvlJc w:val="left"/>
      <w:pPr>
        <w:ind w:left="4260" w:hanging="360"/>
      </w:pPr>
      <w:rPr>
        <w:rFonts w:hint="default"/>
        <w:lang w:val="uk-UA" w:eastAsia="en-US" w:bidi="ar-SA"/>
      </w:rPr>
    </w:lvl>
  </w:abstractNum>
  <w:abstractNum w:abstractNumId="224" w15:restartNumberingAfterBreak="0">
    <w:nsid w:val="78C438D2"/>
    <w:multiLevelType w:val="hybridMultilevel"/>
    <w:tmpl w:val="9F587290"/>
    <w:lvl w:ilvl="0" w:tplc="BFA4B19E">
      <w:start w:val="5"/>
      <w:numFmt w:val="bullet"/>
      <w:lvlText w:val="-"/>
      <w:lvlJc w:val="left"/>
      <w:pPr>
        <w:ind w:left="870" w:hanging="360"/>
      </w:pPr>
      <w:rPr>
        <w:rFonts w:ascii="Times New Roman" w:eastAsia="Cambria" w:hAnsi="Times New Roman" w:cs="Times New Roman" w:hint="default"/>
      </w:rPr>
    </w:lvl>
    <w:lvl w:ilvl="1" w:tplc="04190003" w:tentative="1">
      <w:start w:val="1"/>
      <w:numFmt w:val="bullet"/>
      <w:lvlText w:val="o"/>
      <w:lvlJc w:val="left"/>
      <w:pPr>
        <w:ind w:left="1590" w:hanging="360"/>
      </w:pPr>
      <w:rPr>
        <w:rFonts w:ascii="Courier New" w:hAnsi="Courier New" w:cs="Courier New" w:hint="default"/>
      </w:rPr>
    </w:lvl>
    <w:lvl w:ilvl="2" w:tplc="04190005" w:tentative="1">
      <w:start w:val="1"/>
      <w:numFmt w:val="bullet"/>
      <w:lvlText w:val=""/>
      <w:lvlJc w:val="left"/>
      <w:pPr>
        <w:ind w:left="2310" w:hanging="360"/>
      </w:pPr>
      <w:rPr>
        <w:rFonts w:ascii="Wingdings" w:hAnsi="Wingdings" w:hint="default"/>
      </w:rPr>
    </w:lvl>
    <w:lvl w:ilvl="3" w:tplc="04190001" w:tentative="1">
      <w:start w:val="1"/>
      <w:numFmt w:val="bullet"/>
      <w:lvlText w:val=""/>
      <w:lvlJc w:val="left"/>
      <w:pPr>
        <w:ind w:left="3030" w:hanging="360"/>
      </w:pPr>
      <w:rPr>
        <w:rFonts w:ascii="Symbol" w:hAnsi="Symbol" w:hint="default"/>
      </w:rPr>
    </w:lvl>
    <w:lvl w:ilvl="4" w:tplc="04190003" w:tentative="1">
      <w:start w:val="1"/>
      <w:numFmt w:val="bullet"/>
      <w:lvlText w:val="o"/>
      <w:lvlJc w:val="left"/>
      <w:pPr>
        <w:ind w:left="3750" w:hanging="360"/>
      </w:pPr>
      <w:rPr>
        <w:rFonts w:ascii="Courier New" w:hAnsi="Courier New" w:cs="Courier New" w:hint="default"/>
      </w:rPr>
    </w:lvl>
    <w:lvl w:ilvl="5" w:tplc="04190005" w:tentative="1">
      <w:start w:val="1"/>
      <w:numFmt w:val="bullet"/>
      <w:lvlText w:val=""/>
      <w:lvlJc w:val="left"/>
      <w:pPr>
        <w:ind w:left="4470" w:hanging="360"/>
      </w:pPr>
      <w:rPr>
        <w:rFonts w:ascii="Wingdings" w:hAnsi="Wingdings" w:hint="default"/>
      </w:rPr>
    </w:lvl>
    <w:lvl w:ilvl="6" w:tplc="04190001" w:tentative="1">
      <w:start w:val="1"/>
      <w:numFmt w:val="bullet"/>
      <w:lvlText w:val=""/>
      <w:lvlJc w:val="left"/>
      <w:pPr>
        <w:ind w:left="5190" w:hanging="360"/>
      </w:pPr>
      <w:rPr>
        <w:rFonts w:ascii="Symbol" w:hAnsi="Symbol" w:hint="default"/>
      </w:rPr>
    </w:lvl>
    <w:lvl w:ilvl="7" w:tplc="04190003" w:tentative="1">
      <w:start w:val="1"/>
      <w:numFmt w:val="bullet"/>
      <w:lvlText w:val="o"/>
      <w:lvlJc w:val="left"/>
      <w:pPr>
        <w:ind w:left="5910" w:hanging="360"/>
      </w:pPr>
      <w:rPr>
        <w:rFonts w:ascii="Courier New" w:hAnsi="Courier New" w:cs="Courier New" w:hint="default"/>
      </w:rPr>
    </w:lvl>
    <w:lvl w:ilvl="8" w:tplc="04190005" w:tentative="1">
      <w:start w:val="1"/>
      <w:numFmt w:val="bullet"/>
      <w:lvlText w:val=""/>
      <w:lvlJc w:val="left"/>
      <w:pPr>
        <w:ind w:left="6630" w:hanging="360"/>
      </w:pPr>
      <w:rPr>
        <w:rFonts w:ascii="Wingdings" w:hAnsi="Wingdings" w:hint="default"/>
      </w:rPr>
    </w:lvl>
  </w:abstractNum>
  <w:abstractNum w:abstractNumId="225" w15:restartNumberingAfterBreak="0">
    <w:nsid w:val="79755D85"/>
    <w:multiLevelType w:val="hybridMultilevel"/>
    <w:tmpl w:val="F76C8E1C"/>
    <w:lvl w:ilvl="0" w:tplc="5B0439FE">
      <w:start w:val="1"/>
      <w:numFmt w:val="decimal"/>
      <w:lvlText w:val="%1."/>
      <w:lvlJc w:val="left"/>
      <w:pPr>
        <w:ind w:left="676" w:hanging="360"/>
      </w:pPr>
      <w:rPr>
        <w:rFonts w:ascii="Times New Roman" w:eastAsia="Times New Roman" w:hAnsi="Times New Roman" w:cs="Times New Roman" w:hint="default"/>
        <w:spacing w:val="0"/>
        <w:w w:val="99"/>
        <w:sz w:val="20"/>
        <w:szCs w:val="20"/>
        <w:lang w:val="uk-UA" w:eastAsia="en-US" w:bidi="ar-SA"/>
      </w:rPr>
    </w:lvl>
    <w:lvl w:ilvl="1" w:tplc="361AD5BE">
      <w:start w:val="1"/>
      <w:numFmt w:val="decimal"/>
      <w:lvlText w:val="%2."/>
      <w:lvlJc w:val="left"/>
      <w:pPr>
        <w:ind w:left="800" w:hanging="360"/>
      </w:pPr>
      <w:rPr>
        <w:rFonts w:ascii="Times New Roman" w:eastAsia="Times New Roman" w:hAnsi="Times New Roman" w:cs="Times New Roman" w:hint="default"/>
        <w:spacing w:val="0"/>
        <w:w w:val="99"/>
        <w:sz w:val="20"/>
        <w:szCs w:val="20"/>
        <w:lang w:val="uk-UA" w:eastAsia="en-US" w:bidi="ar-SA"/>
      </w:rPr>
    </w:lvl>
    <w:lvl w:ilvl="2" w:tplc="56D6C1AE">
      <w:numFmt w:val="bullet"/>
      <w:lvlText w:val="•"/>
      <w:lvlJc w:val="left"/>
      <w:pPr>
        <w:ind w:left="706" w:hanging="360"/>
      </w:pPr>
      <w:rPr>
        <w:rFonts w:hint="default"/>
        <w:lang w:val="uk-UA" w:eastAsia="en-US" w:bidi="ar-SA"/>
      </w:rPr>
    </w:lvl>
    <w:lvl w:ilvl="3" w:tplc="C8C4B05E">
      <w:numFmt w:val="bullet"/>
      <w:lvlText w:val="•"/>
      <w:lvlJc w:val="left"/>
      <w:pPr>
        <w:ind w:left="613" w:hanging="360"/>
      </w:pPr>
      <w:rPr>
        <w:rFonts w:hint="default"/>
        <w:lang w:val="uk-UA" w:eastAsia="en-US" w:bidi="ar-SA"/>
      </w:rPr>
    </w:lvl>
    <w:lvl w:ilvl="4" w:tplc="94F64380">
      <w:numFmt w:val="bullet"/>
      <w:lvlText w:val="•"/>
      <w:lvlJc w:val="left"/>
      <w:pPr>
        <w:ind w:left="520" w:hanging="360"/>
      </w:pPr>
      <w:rPr>
        <w:rFonts w:hint="default"/>
        <w:lang w:val="uk-UA" w:eastAsia="en-US" w:bidi="ar-SA"/>
      </w:rPr>
    </w:lvl>
    <w:lvl w:ilvl="5" w:tplc="D8D01E22">
      <w:numFmt w:val="bullet"/>
      <w:lvlText w:val="•"/>
      <w:lvlJc w:val="left"/>
      <w:pPr>
        <w:ind w:left="426" w:hanging="360"/>
      </w:pPr>
      <w:rPr>
        <w:rFonts w:hint="default"/>
        <w:lang w:val="uk-UA" w:eastAsia="en-US" w:bidi="ar-SA"/>
      </w:rPr>
    </w:lvl>
    <w:lvl w:ilvl="6" w:tplc="43E2895A">
      <w:numFmt w:val="bullet"/>
      <w:lvlText w:val="•"/>
      <w:lvlJc w:val="left"/>
      <w:pPr>
        <w:ind w:left="333" w:hanging="360"/>
      </w:pPr>
      <w:rPr>
        <w:rFonts w:hint="default"/>
        <w:lang w:val="uk-UA" w:eastAsia="en-US" w:bidi="ar-SA"/>
      </w:rPr>
    </w:lvl>
    <w:lvl w:ilvl="7" w:tplc="DEE23156">
      <w:numFmt w:val="bullet"/>
      <w:lvlText w:val="•"/>
      <w:lvlJc w:val="left"/>
      <w:pPr>
        <w:ind w:left="240" w:hanging="360"/>
      </w:pPr>
      <w:rPr>
        <w:rFonts w:hint="default"/>
        <w:lang w:val="uk-UA" w:eastAsia="en-US" w:bidi="ar-SA"/>
      </w:rPr>
    </w:lvl>
    <w:lvl w:ilvl="8" w:tplc="06ECFF6E">
      <w:numFmt w:val="bullet"/>
      <w:lvlText w:val="•"/>
      <w:lvlJc w:val="left"/>
      <w:pPr>
        <w:ind w:left="146" w:hanging="360"/>
      </w:pPr>
      <w:rPr>
        <w:rFonts w:hint="default"/>
        <w:lang w:val="uk-UA" w:eastAsia="en-US" w:bidi="ar-SA"/>
      </w:rPr>
    </w:lvl>
  </w:abstractNum>
  <w:abstractNum w:abstractNumId="226" w15:restartNumberingAfterBreak="0">
    <w:nsid w:val="7AEC7706"/>
    <w:multiLevelType w:val="hybridMultilevel"/>
    <w:tmpl w:val="D5D2782E"/>
    <w:lvl w:ilvl="0" w:tplc="F4EC8C48">
      <w:start w:val="3"/>
      <w:numFmt w:val="decimal"/>
      <w:lvlText w:val="%1)"/>
      <w:lvlJc w:val="left"/>
      <w:pPr>
        <w:ind w:left="315" w:hanging="228"/>
        <w:jc w:val="right"/>
      </w:pPr>
      <w:rPr>
        <w:rFonts w:ascii="Times New Roman" w:eastAsia="Times New Roman" w:hAnsi="Times New Roman" w:cs="Times New Roman" w:hint="default"/>
        <w:spacing w:val="0"/>
        <w:w w:val="99"/>
        <w:sz w:val="20"/>
        <w:szCs w:val="20"/>
        <w:lang w:val="uk-UA" w:eastAsia="en-US" w:bidi="ar-SA"/>
      </w:rPr>
    </w:lvl>
    <w:lvl w:ilvl="1" w:tplc="099603C6">
      <w:numFmt w:val="bullet"/>
      <w:lvlText w:val="•"/>
      <w:lvlJc w:val="left"/>
      <w:pPr>
        <w:ind w:left="824" w:hanging="228"/>
      </w:pPr>
      <w:rPr>
        <w:rFonts w:hint="default"/>
        <w:lang w:val="uk-UA" w:eastAsia="en-US" w:bidi="ar-SA"/>
      </w:rPr>
    </w:lvl>
    <w:lvl w:ilvl="2" w:tplc="FE523428">
      <w:numFmt w:val="bullet"/>
      <w:lvlText w:val="•"/>
      <w:lvlJc w:val="left"/>
      <w:pPr>
        <w:ind w:left="1328" w:hanging="228"/>
      </w:pPr>
      <w:rPr>
        <w:rFonts w:hint="default"/>
        <w:lang w:val="uk-UA" w:eastAsia="en-US" w:bidi="ar-SA"/>
      </w:rPr>
    </w:lvl>
    <w:lvl w:ilvl="3" w:tplc="360E244A">
      <w:numFmt w:val="bullet"/>
      <w:lvlText w:val="•"/>
      <w:lvlJc w:val="left"/>
      <w:pPr>
        <w:ind w:left="1832" w:hanging="228"/>
      </w:pPr>
      <w:rPr>
        <w:rFonts w:hint="default"/>
        <w:lang w:val="uk-UA" w:eastAsia="en-US" w:bidi="ar-SA"/>
      </w:rPr>
    </w:lvl>
    <w:lvl w:ilvl="4" w:tplc="76122BCA">
      <w:numFmt w:val="bullet"/>
      <w:lvlText w:val="•"/>
      <w:lvlJc w:val="left"/>
      <w:pPr>
        <w:ind w:left="2336" w:hanging="228"/>
      </w:pPr>
      <w:rPr>
        <w:rFonts w:hint="default"/>
        <w:lang w:val="uk-UA" w:eastAsia="en-US" w:bidi="ar-SA"/>
      </w:rPr>
    </w:lvl>
    <w:lvl w:ilvl="5" w:tplc="4A840244">
      <w:numFmt w:val="bullet"/>
      <w:lvlText w:val="•"/>
      <w:lvlJc w:val="left"/>
      <w:pPr>
        <w:ind w:left="2840" w:hanging="228"/>
      </w:pPr>
      <w:rPr>
        <w:rFonts w:hint="default"/>
        <w:lang w:val="uk-UA" w:eastAsia="en-US" w:bidi="ar-SA"/>
      </w:rPr>
    </w:lvl>
    <w:lvl w:ilvl="6" w:tplc="67B04E80">
      <w:numFmt w:val="bullet"/>
      <w:lvlText w:val="•"/>
      <w:lvlJc w:val="left"/>
      <w:pPr>
        <w:ind w:left="3344" w:hanging="228"/>
      </w:pPr>
      <w:rPr>
        <w:rFonts w:hint="default"/>
        <w:lang w:val="uk-UA" w:eastAsia="en-US" w:bidi="ar-SA"/>
      </w:rPr>
    </w:lvl>
    <w:lvl w:ilvl="7" w:tplc="13F60FE0">
      <w:numFmt w:val="bullet"/>
      <w:lvlText w:val="•"/>
      <w:lvlJc w:val="left"/>
      <w:pPr>
        <w:ind w:left="3848" w:hanging="228"/>
      </w:pPr>
      <w:rPr>
        <w:rFonts w:hint="default"/>
        <w:lang w:val="uk-UA" w:eastAsia="en-US" w:bidi="ar-SA"/>
      </w:rPr>
    </w:lvl>
    <w:lvl w:ilvl="8" w:tplc="618CC992">
      <w:numFmt w:val="bullet"/>
      <w:lvlText w:val="•"/>
      <w:lvlJc w:val="left"/>
      <w:pPr>
        <w:ind w:left="4352" w:hanging="228"/>
      </w:pPr>
      <w:rPr>
        <w:rFonts w:hint="default"/>
        <w:lang w:val="uk-UA" w:eastAsia="en-US" w:bidi="ar-SA"/>
      </w:rPr>
    </w:lvl>
  </w:abstractNum>
  <w:abstractNum w:abstractNumId="227" w15:restartNumberingAfterBreak="0">
    <w:nsid w:val="7B536F24"/>
    <w:multiLevelType w:val="hybridMultilevel"/>
    <w:tmpl w:val="2B2C8E6C"/>
    <w:lvl w:ilvl="0" w:tplc="6EC859FC">
      <w:start w:val="1"/>
      <w:numFmt w:val="decimal"/>
      <w:lvlText w:val="%1."/>
      <w:lvlJc w:val="left"/>
      <w:pPr>
        <w:ind w:left="316" w:hanging="213"/>
      </w:pPr>
      <w:rPr>
        <w:rFonts w:ascii="Times New Roman" w:eastAsia="Times New Roman" w:hAnsi="Times New Roman" w:cs="Times New Roman" w:hint="default"/>
        <w:spacing w:val="0"/>
        <w:w w:val="99"/>
        <w:sz w:val="20"/>
        <w:szCs w:val="20"/>
        <w:lang w:val="uk-UA" w:eastAsia="en-US" w:bidi="ar-SA"/>
      </w:rPr>
    </w:lvl>
    <w:lvl w:ilvl="1" w:tplc="7598BA34">
      <w:numFmt w:val="bullet"/>
      <w:lvlText w:val="•"/>
      <w:lvlJc w:val="left"/>
      <w:pPr>
        <w:ind w:left="824" w:hanging="213"/>
      </w:pPr>
      <w:rPr>
        <w:rFonts w:hint="default"/>
        <w:lang w:val="uk-UA" w:eastAsia="en-US" w:bidi="ar-SA"/>
      </w:rPr>
    </w:lvl>
    <w:lvl w:ilvl="2" w:tplc="E3DAA80E">
      <w:numFmt w:val="bullet"/>
      <w:lvlText w:val="•"/>
      <w:lvlJc w:val="left"/>
      <w:pPr>
        <w:ind w:left="1328" w:hanging="213"/>
      </w:pPr>
      <w:rPr>
        <w:rFonts w:hint="default"/>
        <w:lang w:val="uk-UA" w:eastAsia="en-US" w:bidi="ar-SA"/>
      </w:rPr>
    </w:lvl>
    <w:lvl w:ilvl="3" w:tplc="C1FA2BB4">
      <w:numFmt w:val="bullet"/>
      <w:lvlText w:val="•"/>
      <w:lvlJc w:val="left"/>
      <w:pPr>
        <w:ind w:left="1832" w:hanging="213"/>
      </w:pPr>
      <w:rPr>
        <w:rFonts w:hint="default"/>
        <w:lang w:val="uk-UA" w:eastAsia="en-US" w:bidi="ar-SA"/>
      </w:rPr>
    </w:lvl>
    <w:lvl w:ilvl="4" w:tplc="1DC2DCE0">
      <w:numFmt w:val="bullet"/>
      <w:lvlText w:val="•"/>
      <w:lvlJc w:val="left"/>
      <w:pPr>
        <w:ind w:left="2336" w:hanging="213"/>
      </w:pPr>
      <w:rPr>
        <w:rFonts w:hint="default"/>
        <w:lang w:val="uk-UA" w:eastAsia="en-US" w:bidi="ar-SA"/>
      </w:rPr>
    </w:lvl>
    <w:lvl w:ilvl="5" w:tplc="1FA8F3FE">
      <w:numFmt w:val="bullet"/>
      <w:lvlText w:val="•"/>
      <w:lvlJc w:val="left"/>
      <w:pPr>
        <w:ind w:left="2840" w:hanging="213"/>
      </w:pPr>
      <w:rPr>
        <w:rFonts w:hint="default"/>
        <w:lang w:val="uk-UA" w:eastAsia="en-US" w:bidi="ar-SA"/>
      </w:rPr>
    </w:lvl>
    <w:lvl w:ilvl="6" w:tplc="13F87298">
      <w:numFmt w:val="bullet"/>
      <w:lvlText w:val="•"/>
      <w:lvlJc w:val="left"/>
      <w:pPr>
        <w:ind w:left="3344" w:hanging="213"/>
      </w:pPr>
      <w:rPr>
        <w:rFonts w:hint="default"/>
        <w:lang w:val="uk-UA" w:eastAsia="en-US" w:bidi="ar-SA"/>
      </w:rPr>
    </w:lvl>
    <w:lvl w:ilvl="7" w:tplc="B8F62E62">
      <w:numFmt w:val="bullet"/>
      <w:lvlText w:val="•"/>
      <w:lvlJc w:val="left"/>
      <w:pPr>
        <w:ind w:left="3848" w:hanging="213"/>
      </w:pPr>
      <w:rPr>
        <w:rFonts w:hint="default"/>
        <w:lang w:val="uk-UA" w:eastAsia="en-US" w:bidi="ar-SA"/>
      </w:rPr>
    </w:lvl>
    <w:lvl w:ilvl="8" w:tplc="EEAA8D2A">
      <w:numFmt w:val="bullet"/>
      <w:lvlText w:val="•"/>
      <w:lvlJc w:val="left"/>
      <w:pPr>
        <w:ind w:left="4352" w:hanging="213"/>
      </w:pPr>
      <w:rPr>
        <w:rFonts w:hint="default"/>
        <w:lang w:val="uk-UA" w:eastAsia="en-US" w:bidi="ar-SA"/>
      </w:rPr>
    </w:lvl>
  </w:abstractNum>
  <w:abstractNum w:abstractNumId="228" w15:restartNumberingAfterBreak="0">
    <w:nsid w:val="7BD272FD"/>
    <w:multiLevelType w:val="hybridMultilevel"/>
    <w:tmpl w:val="368E3E14"/>
    <w:lvl w:ilvl="0" w:tplc="0226B06A">
      <w:start w:val="1"/>
      <w:numFmt w:val="decimal"/>
      <w:lvlText w:val="%1."/>
      <w:lvlJc w:val="left"/>
      <w:pPr>
        <w:ind w:left="675" w:hanging="360"/>
        <w:jc w:val="right"/>
      </w:pPr>
      <w:rPr>
        <w:rFonts w:ascii="Times New Roman" w:eastAsia="Times New Roman" w:hAnsi="Times New Roman" w:cs="Times New Roman" w:hint="default"/>
        <w:spacing w:val="0"/>
        <w:w w:val="99"/>
        <w:sz w:val="20"/>
        <w:szCs w:val="20"/>
        <w:lang w:val="uk-UA" w:eastAsia="en-US" w:bidi="ar-SA"/>
      </w:rPr>
    </w:lvl>
    <w:lvl w:ilvl="1" w:tplc="738AE762">
      <w:numFmt w:val="bullet"/>
      <w:lvlText w:val="•"/>
      <w:lvlJc w:val="left"/>
      <w:pPr>
        <w:ind w:left="1148" w:hanging="360"/>
      </w:pPr>
      <w:rPr>
        <w:rFonts w:hint="default"/>
        <w:lang w:val="uk-UA" w:eastAsia="en-US" w:bidi="ar-SA"/>
      </w:rPr>
    </w:lvl>
    <w:lvl w:ilvl="2" w:tplc="1C02F07A">
      <w:numFmt w:val="bullet"/>
      <w:lvlText w:val="•"/>
      <w:lvlJc w:val="left"/>
      <w:pPr>
        <w:ind w:left="1616" w:hanging="360"/>
      </w:pPr>
      <w:rPr>
        <w:rFonts w:hint="default"/>
        <w:lang w:val="uk-UA" w:eastAsia="en-US" w:bidi="ar-SA"/>
      </w:rPr>
    </w:lvl>
    <w:lvl w:ilvl="3" w:tplc="36026F64">
      <w:numFmt w:val="bullet"/>
      <w:lvlText w:val="•"/>
      <w:lvlJc w:val="left"/>
      <w:pPr>
        <w:ind w:left="2084" w:hanging="360"/>
      </w:pPr>
      <w:rPr>
        <w:rFonts w:hint="default"/>
        <w:lang w:val="uk-UA" w:eastAsia="en-US" w:bidi="ar-SA"/>
      </w:rPr>
    </w:lvl>
    <w:lvl w:ilvl="4" w:tplc="C4848544">
      <w:numFmt w:val="bullet"/>
      <w:lvlText w:val="•"/>
      <w:lvlJc w:val="left"/>
      <w:pPr>
        <w:ind w:left="2552" w:hanging="360"/>
      </w:pPr>
      <w:rPr>
        <w:rFonts w:hint="default"/>
        <w:lang w:val="uk-UA" w:eastAsia="en-US" w:bidi="ar-SA"/>
      </w:rPr>
    </w:lvl>
    <w:lvl w:ilvl="5" w:tplc="2754334C">
      <w:numFmt w:val="bullet"/>
      <w:lvlText w:val="•"/>
      <w:lvlJc w:val="left"/>
      <w:pPr>
        <w:ind w:left="3020" w:hanging="360"/>
      </w:pPr>
      <w:rPr>
        <w:rFonts w:hint="default"/>
        <w:lang w:val="uk-UA" w:eastAsia="en-US" w:bidi="ar-SA"/>
      </w:rPr>
    </w:lvl>
    <w:lvl w:ilvl="6" w:tplc="4BD6C17C">
      <w:numFmt w:val="bullet"/>
      <w:lvlText w:val="•"/>
      <w:lvlJc w:val="left"/>
      <w:pPr>
        <w:ind w:left="3488" w:hanging="360"/>
      </w:pPr>
      <w:rPr>
        <w:rFonts w:hint="default"/>
        <w:lang w:val="uk-UA" w:eastAsia="en-US" w:bidi="ar-SA"/>
      </w:rPr>
    </w:lvl>
    <w:lvl w:ilvl="7" w:tplc="556EBFD6">
      <w:numFmt w:val="bullet"/>
      <w:lvlText w:val="•"/>
      <w:lvlJc w:val="left"/>
      <w:pPr>
        <w:ind w:left="3956" w:hanging="360"/>
      </w:pPr>
      <w:rPr>
        <w:rFonts w:hint="default"/>
        <w:lang w:val="uk-UA" w:eastAsia="en-US" w:bidi="ar-SA"/>
      </w:rPr>
    </w:lvl>
    <w:lvl w:ilvl="8" w:tplc="E500BD6E">
      <w:numFmt w:val="bullet"/>
      <w:lvlText w:val="•"/>
      <w:lvlJc w:val="left"/>
      <w:pPr>
        <w:ind w:left="4424" w:hanging="360"/>
      </w:pPr>
      <w:rPr>
        <w:rFonts w:hint="default"/>
        <w:lang w:val="uk-UA" w:eastAsia="en-US" w:bidi="ar-SA"/>
      </w:rPr>
    </w:lvl>
  </w:abstractNum>
  <w:abstractNum w:abstractNumId="229" w15:restartNumberingAfterBreak="0">
    <w:nsid w:val="7CBD1F75"/>
    <w:multiLevelType w:val="hybridMultilevel"/>
    <w:tmpl w:val="9B7C6C76"/>
    <w:lvl w:ilvl="0" w:tplc="F1B2D674">
      <w:start w:val="9"/>
      <w:numFmt w:val="decimal"/>
      <w:lvlText w:val="%1"/>
      <w:lvlJc w:val="left"/>
      <w:pPr>
        <w:ind w:left="1478" w:hanging="360"/>
      </w:pPr>
      <w:rPr>
        <w:rFonts w:hint="default"/>
      </w:rPr>
    </w:lvl>
    <w:lvl w:ilvl="1" w:tplc="04190019" w:tentative="1">
      <w:start w:val="1"/>
      <w:numFmt w:val="lowerLetter"/>
      <w:lvlText w:val="%2."/>
      <w:lvlJc w:val="left"/>
      <w:pPr>
        <w:ind w:left="2198" w:hanging="360"/>
      </w:pPr>
    </w:lvl>
    <w:lvl w:ilvl="2" w:tplc="0419001B" w:tentative="1">
      <w:start w:val="1"/>
      <w:numFmt w:val="lowerRoman"/>
      <w:lvlText w:val="%3."/>
      <w:lvlJc w:val="right"/>
      <w:pPr>
        <w:ind w:left="2918" w:hanging="180"/>
      </w:pPr>
    </w:lvl>
    <w:lvl w:ilvl="3" w:tplc="0419000F" w:tentative="1">
      <w:start w:val="1"/>
      <w:numFmt w:val="decimal"/>
      <w:lvlText w:val="%4."/>
      <w:lvlJc w:val="left"/>
      <w:pPr>
        <w:ind w:left="3638" w:hanging="360"/>
      </w:pPr>
    </w:lvl>
    <w:lvl w:ilvl="4" w:tplc="04190019" w:tentative="1">
      <w:start w:val="1"/>
      <w:numFmt w:val="lowerLetter"/>
      <w:lvlText w:val="%5."/>
      <w:lvlJc w:val="left"/>
      <w:pPr>
        <w:ind w:left="4358" w:hanging="360"/>
      </w:pPr>
    </w:lvl>
    <w:lvl w:ilvl="5" w:tplc="0419001B" w:tentative="1">
      <w:start w:val="1"/>
      <w:numFmt w:val="lowerRoman"/>
      <w:lvlText w:val="%6."/>
      <w:lvlJc w:val="right"/>
      <w:pPr>
        <w:ind w:left="5078" w:hanging="180"/>
      </w:pPr>
    </w:lvl>
    <w:lvl w:ilvl="6" w:tplc="0419000F" w:tentative="1">
      <w:start w:val="1"/>
      <w:numFmt w:val="decimal"/>
      <w:lvlText w:val="%7."/>
      <w:lvlJc w:val="left"/>
      <w:pPr>
        <w:ind w:left="5798" w:hanging="360"/>
      </w:pPr>
    </w:lvl>
    <w:lvl w:ilvl="7" w:tplc="04190019" w:tentative="1">
      <w:start w:val="1"/>
      <w:numFmt w:val="lowerLetter"/>
      <w:lvlText w:val="%8."/>
      <w:lvlJc w:val="left"/>
      <w:pPr>
        <w:ind w:left="6518" w:hanging="360"/>
      </w:pPr>
    </w:lvl>
    <w:lvl w:ilvl="8" w:tplc="0419001B" w:tentative="1">
      <w:start w:val="1"/>
      <w:numFmt w:val="lowerRoman"/>
      <w:lvlText w:val="%9."/>
      <w:lvlJc w:val="right"/>
      <w:pPr>
        <w:ind w:left="7238" w:hanging="180"/>
      </w:pPr>
    </w:lvl>
  </w:abstractNum>
  <w:abstractNum w:abstractNumId="230" w15:restartNumberingAfterBreak="0">
    <w:nsid w:val="7E696260"/>
    <w:multiLevelType w:val="hybridMultilevel"/>
    <w:tmpl w:val="B2609384"/>
    <w:lvl w:ilvl="0" w:tplc="A60ED5F2">
      <w:start w:val="1"/>
      <w:numFmt w:val="lowerLetter"/>
      <w:lvlText w:val="%1)"/>
      <w:lvlJc w:val="left"/>
      <w:pPr>
        <w:ind w:left="646" w:hanging="206"/>
      </w:pPr>
      <w:rPr>
        <w:rFonts w:ascii="Times New Roman" w:eastAsia="Times New Roman" w:hAnsi="Times New Roman" w:cs="Times New Roman" w:hint="default"/>
        <w:w w:val="99"/>
        <w:sz w:val="20"/>
        <w:szCs w:val="20"/>
        <w:lang w:val="uk-UA" w:eastAsia="en-US" w:bidi="ar-SA"/>
      </w:rPr>
    </w:lvl>
    <w:lvl w:ilvl="1" w:tplc="2BF26A6E">
      <w:numFmt w:val="bullet"/>
      <w:lvlText w:val="•"/>
      <w:lvlJc w:val="left"/>
      <w:pPr>
        <w:ind w:left="1088" w:hanging="206"/>
      </w:pPr>
      <w:rPr>
        <w:rFonts w:hint="default"/>
        <w:lang w:val="uk-UA" w:eastAsia="en-US" w:bidi="ar-SA"/>
      </w:rPr>
    </w:lvl>
    <w:lvl w:ilvl="2" w:tplc="7CA652F2">
      <w:numFmt w:val="bullet"/>
      <w:lvlText w:val="•"/>
      <w:lvlJc w:val="left"/>
      <w:pPr>
        <w:ind w:left="1537" w:hanging="206"/>
      </w:pPr>
      <w:rPr>
        <w:rFonts w:hint="default"/>
        <w:lang w:val="uk-UA" w:eastAsia="en-US" w:bidi="ar-SA"/>
      </w:rPr>
    </w:lvl>
    <w:lvl w:ilvl="3" w:tplc="9E081A1C">
      <w:numFmt w:val="bullet"/>
      <w:lvlText w:val="•"/>
      <w:lvlJc w:val="left"/>
      <w:pPr>
        <w:ind w:left="1985" w:hanging="206"/>
      </w:pPr>
      <w:rPr>
        <w:rFonts w:hint="default"/>
        <w:lang w:val="uk-UA" w:eastAsia="en-US" w:bidi="ar-SA"/>
      </w:rPr>
    </w:lvl>
    <w:lvl w:ilvl="4" w:tplc="0AA23496">
      <w:numFmt w:val="bullet"/>
      <w:lvlText w:val="•"/>
      <w:lvlJc w:val="left"/>
      <w:pPr>
        <w:ind w:left="2434" w:hanging="206"/>
      </w:pPr>
      <w:rPr>
        <w:rFonts w:hint="default"/>
        <w:lang w:val="uk-UA" w:eastAsia="en-US" w:bidi="ar-SA"/>
      </w:rPr>
    </w:lvl>
    <w:lvl w:ilvl="5" w:tplc="C1DED624">
      <w:numFmt w:val="bullet"/>
      <w:lvlText w:val="•"/>
      <w:lvlJc w:val="left"/>
      <w:pPr>
        <w:ind w:left="2882" w:hanging="206"/>
      </w:pPr>
      <w:rPr>
        <w:rFonts w:hint="default"/>
        <w:lang w:val="uk-UA" w:eastAsia="en-US" w:bidi="ar-SA"/>
      </w:rPr>
    </w:lvl>
    <w:lvl w:ilvl="6" w:tplc="B4941536">
      <w:numFmt w:val="bullet"/>
      <w:lvlText w:val="•"/>
      <w:lvlJc w:val="left"/>
      <w:pPr>
        <w:ind w:left="3331" w:hanging="206"/>
      </w:pPr>
      <w:rPr>
        <w:rFonts w:hint="default"/>
        <w:lang w:val="uk-UA" w:eastAsia="en-US" w:bidi="ar-SA"/>
      </w:rPr>
    </w:lvl>
    <w:lvl w:ilvl="7" w:tplc="07F0ED5C">
      <w:numFmt w:val="bullet"/>
      <w:lvlText w:val="•"/>
      <w:lvlJc w:val="left"/>
      <w:pPr>
        <w:ind w:left="3779" w:hanging="206"/>
      </w:pPr>
      <w:rPr>
        <w:rFonts w:hint="default"/>
        <w:lang w:val="uk-UA" w:eastAsia="en-US" w:bidi="ar-SA"/>
      </w:rPr>
    </w:lvl>
    <w:lvl w:ilvl="8" w:tplc="8DFA3548">
      <w:numFmt w:val="bullet"/>
      <w:lvlText w:val="•"/>
      <w:lvlJc w:val="left"/>
      <w:pPr>
        <w:ind w:left="4228" w:hanging="206"/>
      </w:pPr>
      <w:rPr>
        <w:rFonts w:hint="default"/>
        <w:lang w:val="uk-UA" w:eastAsia="en-US" w:bidi="ar-SA"/>
      </w:rPr>
    </w:lvl>
  </w:abstractNum>
  <w:num w:numId="1">
    <w:abstractNumId w:val="206"/>
  </w:num>
  <w:num w:numId="2">
    <w:abstractNumId w:val="67"/>
  </w:num>
  <w:num w:numId="3">
    <w:abstractNumId w:val="82"/>
  </w:num>
  <w:num w:numId="4">
    <w:abstractNumId w:val="55"/>
  </w:num>
  <w:num w:numId="5">
    <w:abstractNumId w:val="9"/>
  </w:num>
  <w:num w:numId="6">
    <w:abstractNumId w:val="18"/>
  </w:num>
  <w:num w:numId="7">
    <w:abstractNumId w:val="66"/>
  </w:num>
  <w:num w:numId="8">
    <w:abstractNumId w:val="177"/>
  </w:num>
  <w:num w:numId="9">
    <w:abstractNumId w:val="144"/>
  </w:num>
  <w:num w:numId="10">
    <w:abstractNumId w:val="33"/>
  </w:num>
  <w:num w:numId="11">
    <w:abstractNumId w:val="129"/>
  </w:num>
  <w:num w:numId="12">
    <w:abstractNumId w:val="156"/>
  </w:num>
  <w:num w:numId="13">
    <w:abstractNumId w:val="191"/>
  </w:num>
  <w:num w:numId="14">
    <w:abstractNumId w:val="90"/>
  </w:num>
  <w:num w:numId="15">
    <w:abstractNumId w:val="224"/>
  </w:num>
  <w:num w:numId="16">
    <w:abstractNumId w:val="76"/>
  </w:num>
  <w:num w:numId="17">
    <w:abstractNumId w:val="37"/>
  </w:num>
  <w:num w:numId="18">
    <w:abstractNumId w:val="182"/>
  </w:num>
  <w:num w:numId="19">
    <w:abstractNumId w:val="195"/>
  </w:num>
  <w:num w:numId="20">
    <w:abstractNumId w:val="171"/>
  </w:num>
  <w:num w:numId="21">
    <w:abstractNumId w:val="181"/>
  </w:num>
  <w:num w:numId="22">
    <w:abstractNumId w:val="140"/>
  </w:num>
  <w:num w:numId="23">
    <w:abstractNumId w:val="128"/>
  </w:num>
  <w:num w:numId="24">
    <w:abstractNumId w:val="73"/>
  </w:num>
  <w:num w:numId="25">
    <w:abstractNumId w:val="15"/>
  </w:num>
  <w:num w:numId="26">
    <w:abstractNumId w:val="94"/>
  </w:num>
  <w:num w:numId="27">
    <w:abstractNumId w:val="194"/>
  </w:num>
  <w:num w:numId="28">
    <w:abstractNumId w:val="97"/>
  </w:num>
  <w:num w:numId="29">
    <w:abstractNumId w:val="211"/>
  </w:num>
  <w:num w:numId="30">
    <w:abstractNumId w:val="54"/>
  </w:num>
  <w:num w:numId="31">
    <w:abstractNumId w:val="189"/>
  </w:num>
  <w:num w:numId="32">
    <w:abstractNumId w:val="193"/>
  </w:num>
  <w:num w:numId="33">
    <w:abstractNumId w:val="72"/>
  </w:num>
  <w:num w:numId="34">
    <w:abstractNumId w:val="26"/>
  </w:num>
  <w:num w:numId="35">
    <w:abstractNumId w:val="213"/>
  </w:num>
  <w:num w:numId="36">
    <w:abstractNumId w:val="40"/>
  </w:num>
  <w:num w:numId="37">
    <w:abstractNumId w:val="107"/>
  </w:num>
  <w:num w:numId="38">
    <w:abstractNumId w:val="99"/>
  </w:num>
  <w:num w:numId="39">
    <w:abstractNumId w:val="36"/>
  </w:num>
  <w:num w:numId="40">
    <w:abstractNumId w:val="27"/>
  </w:num>
  <w:num w:numId="41">
    <w:abstractNumId w:val="209"/>
  </w:num>
  <w:num w:numId="42">
    <w:abstractNumId w:val="219"/>
  </w:num>
  <w:num w:numId="43">
    <w:abstractNumId w:val="130"/>
  </w:num>
  <w:num w:numId="44">
    <w:abstractNumId w:val="112"/>
  </w:num>
  <w:num w:numId="45">
    <w:abstractNumId w:val="25"/>
  </w:num>
  <w:num w:numId="46">
    <w:abstractNumId w:val="5"/>
  </w:num>
  <w:num w:numId="47">
    <w:abstractNumId w:val="121"/>
  </w:num>
  <w:num w:numId="48">
    <w:abstractNumId w:val="111"/>
  </w:num>
  <w:num w:numId="49">
    <w:abstractNumId w:val="147"/>
  </w:num>
  <w:num w:numId="50">
    <w:abstractNumId w:val="3"/>
  </w:num>
  <w:num w:numId="51">
    <w:abstractNumId w:val="61"/>
  </w:num>
  <w:num w:numId="52">
    <w:abstractNumId w:val="119"/>
  </w:num>
  <w:num w:numId="53">
    <w:abstractNumId w:val="41"/>
  </w:num>
  <w:num w:numId="54">
    <w:abstractNumId w:val="84"/>
  </w:num>
  <w:num w:numId="55">
    <w:abstractNumId w:val="70"/>
  </w:num>
  <w:num w:numId="56">
    <w:abstractNumId w:val="197"/>
  </w:num>
  <w:num w:numId="57">
    <w:abstractNumId w:val="59"/>
  </w:num>
  <w:num w:numId="58">
    <w:abstractNumId w:val="62"/>
  </w:num>
  <w:num w:numId="59">
    <w:abstractNumId w:val="218"/>
  </w:num>
  <w:num w:numId="60">
    <w:abstractNumId w:val="86"/>
  </w:num>
  <w:num w:numId="61">
    <w:abstractNumId w:val="145"/>
  </w:num>
  <w:num w:numId="62">
    <w:abstractNumId w:val="69"/>
  </w:num>
  <w:num w:numId="63">
    <w:abstractNumId w:val="6"/>
  </w:num>
  <w:num w:numId="64">
    <w:abstractNumId w:val="22"/>
  </w:num>
  <w:num w:numId="65">
    <w:abstractNumId w:val="98"/>
  </w:num>
  <w:num w:numId="66">
    <w:abstractNumId w:val="75"/>
  </w:num>
  <w:num w:numId="67">
    <w:abstractNumId w:val="138"/>
  </w:num>
  <w:num w:numId="68">
    <w:abstractNumId w:val="159"/>
  </w:num>
  <w:num w:numId="69">
    <w:abstractNumId w:val="16"/>
  </w:num>
  <w:num w:numId="70">
    <w:abstractNumId w:val="123"/>
  </w:num>
  <w:num w:numId="71">
    <w:abstractNumId w:val="183"/>
  </w:num>
  <w:num w:numId="72">
    <w:abstractNumId w:val="135"/>
  </w:num>
  <w:num w:numId="73">
    <w:abstractNumId w:val="152"/>
  </w:num>
  <w:num w:numId="74">
    <w:abstractNumId w:val="103"/>
  </w:num>
  <w:num w:numId="75">
    <w:abstractNumId w:val="47"/>
  </w:num>
  <w:num w:numId="76">
    <w:abstractNumId w:val="56"/>
  </w:num>
  <w:num w:numId="77">
    <w:abstractNumId w:val="212"/>
  </w:num>
  <w:num w:numId="78">
    <w:abstractNumId w:val="92"/>
  </w:num>
  <w:num w:numId="79">
    <w:abstractNumId w:val="217"/>
  </w:num>
  <w:num w:numId="80">
    <w:abstractNumId w:val="74"/>
  </w:num>
  <w:num w:numId="81">
    <w:abstractNumId w:val="29"/>
  </w:num>
  <w:num w:numId="82">
    <w:abstractNumId w:val="157"/>
  </w:num>
  <w:num w:numId="83">
    <w:abstractNumId w:val="88"/>
  </w:num>
  <w:num w:numId="84">
    <w:abstractNumId w:val="21"/>
  </w:num>
  <w:num w:numId="85">
    <w:abstractNumId w:val="220"/>
  </w:num>
  <w:num w:numId="86">
    <w:abstractNumId w:val="68"/>
  </w:num>
  <w:num w:numId="87">
    <w:abstractNumId w:val="101"/>
  </w:num>
  <w:num w:numId="88">
    <w:abstractNumId w:val="149"/>
  </w:num>
  <w:num w:numId="89">
    <w:abstractNumId w:val="215"/>
  </w:num>
  <w:num w:numId="90">
    <w:abstractNumId w:val="221"/>
  </w:num>
  <w:num w:numId="91">
    <w:abstractNumId w:val="222"/>
  </w:num>
  <w:num w:numId="92">
    <w:abstractNumId w:val="10"/>
  </w:num>
  <w:num w:numId="93">
    <w:abstractNumId w:val="169"/>
  </w:num>
  <w:num w:numId="94">
    <w:abstractNumId w:val="186"/>
  </w:num>
  <w:num w:numId="95">
    <w:abstractNumId w:val="53"/>
  </w:num>
  <w:num w:numId="96">
    <w:abstractNumId w:val="113"/>
  </w:num>
  <w:num w:numId="97">
    <w:abstractNumId w:val="20"/>
  </w:num>
  <w:num w:numId="98">
    <w:abstractNumId w:val="1"/>
  </w:num>
  <w:num w:numId="99">
    <w:abstractNumId w:val="174"/>
  </w:num>
  <w:num w:numId="100">
    <w:abstractNumId w:val="38"/>
  </w:num>
  <w:num w:numId="101">
    <w:abstractNumId w:val="63"/>
  </w:num>
  <w:num w:numId="102">
    <w:abstractNumId w:val="190"/>
  </w:num>
  <w:num w:numId="103">
    <w:abstractNumId w:val="65"/>
  </w:num>
  <w:num w:numId="104">
    <w:abstractNumId w:val="51"/>
  </w:num>
  <w:num w:numId="105">
    <w:abstractNumId w:val="96"/>
  </w:num>
  <w:num w:numId="106">
    <w:abstractNumId w:val="42"/>
  </w:num>
  <w:num w:numId="107">
    <w:abstractNumId w:val="214"/>
  </w:num>
  <w:num w:numId="108">
    <w:abstractNumId w:val="165"/>
  </w:num>
  <w:num w:numId="109">
    <w:abstractNumId w:val="125"/>
  </w:num>
  <w:num w:numId="110">
    <w:abstractNumId w:val="110"/>
  </w:num>
  <w:num w:numId="111">
    <w:abstractNumId w:val="175"/>
  </w:num>
  <w:num w:numId="112">
    <w:abstractNumId w:val="115"/>
  </w:num>
  <w:num w:numId="113">
    <w:abstractNumId w:val="155"/>
  </w:num>
  <w:num w:numId="114">
    <w:abstractNumId w:val="79"/>
  </w:num>
  <w:num w:numId="115">
    <w:abstractNumId w:val="78"/>
  </w:num>
  <w:num w:numId="116">
    <w:abstractNumId w:val="192"/>
  </w:num>
  <w:num w:numId="117">
    <w:abstractNumId w:val="109"/>
  </w:num>
  <w:num w:numId="118">
    <w:abstractNumId w:val="8"/>
  </w:num>
  <w:num w:numId="119">
    <w:abstractNumId w:val="168"/>
  </w:num>
  <w:num w:numId="120">
    <w:abstractNumId w:val="64"/>
  </w:num>
  <w:num w:numId="121">
    <w:abstractNumId w:val="172"/>
  </w:num>
  <w:num w:numId="122">
    <w:abstractNumId w:val="104"/>
  </w:num>
  <w:num w:numId="123">
    <w:abstractNumId w:val="202"/>
  </w:num>
  <w:num w:numId="124">
    <w:abstractNumId w:val="19"/>
  </w:num>
  <w:num w:numId="125">
    <w:abstractNumId w:val="127"/>
  </w:num>
  <w:num w:numId="126">
    <w:abstractNumId w:val="170"/>
  </w:num>
  <w:num w:numId="127">
    <w:abstractNumId w:val="164"/>
  </w:num>
  <w:num w:numId="128">
    <w:abstractNumId w:val="89"/>
  </w:num>
  <w:num w:numId="129">
    <w:abstractNumId w:val="216"/>
  </w:num>
  <w:num w:numId="130">
    <w:abstractNumId w:val="23"/>
  </w:num>
  <w:num w:numId="131">
    <w:abstractNumId w:val="120"/>
  </w:num>
  <w:num w:numId="132">
    <w:abstractNumId w:val="52"/>
  </w:num>
  <w:num w:numId="133">
    <w:abstractNumId w:val="102"/>
  </w:num>
  <w:num w:numId="134">
    <w:abstractNumId w:val="4"/>
  </w:num>
  <w:num w:numId="135">
    <w:abstractNumId w:val="87"/>
  </w:num>
  <w:num w:numId="136">
    <w:abstractNumId w:val="95"/>
  </w:num>
  <w:num w:numId="137">
    <w:abstractNumId w:val="161"/>
  </w:num>
  <w:num w:numId="138">
    <w:abstractNumId w:val="108"/>
  </w:num>
  <w:num w:numId="139">
    <w:abstractNumId w:val="184"/>
  </w:num>
  <w:num w:numId="140">
    <w:abstractNumId w:val="154"/>
  </w:num>
  <w:num w:numId="141">
    <w:abstractNumId w:val="200"/>
  </w:num>
  <w:num w:numId="142">
    <w:abstractNumId w:val="160"/>
  </w:num>
  <w:num w:numId="143">
    <w:abstractNumId w:val="143"/>
  </w:num>
  <w:num w:numId="144">
    <w:abstractNumId w:val="148"/>
  </w:num>
  <w:num w:numId="145">
    <w:abstractNumId w:val="167"/>
  </w:num>
  <w:num w:numId="146">
    <w:abstractNumId w:val="7"/>
  </w:num>
  <w:num w:numId="147">
    <w:abstractNumId w:val="228"/>
  </w:num>
  <w:num w:numId="148">
    <w:abstractNumId w:val="196"/>
  </w:num>
  <w:num w:numId="149">
    <w:abstractNumId w:val="45"/>
  </w:num>
  <w:num w:numId="150">
    <w:abstractNumId w:val="122"/>
  </w:num>
  <w:num w:numId="151">
    <w:abstractNumId w:val="223"/>
  </w:num>
  <w:num w:numId="152">
    <w:abstractNumId w:val="188"/>
  </w:num>
  <w:num w:numId="153">
    <w:abstractNumId w:val="136"/>
  </w:num>
  <w:num w:numId="154">
    <w:abstractNumId w:val="116"/>
  </w:num>
  <w:num w:numId="155">
    <w:abstractNumId w:val="85"/>
  </w:num>
  <w:num w:numId="156">
    <w:abstractNumId w:val="44"/>
  </w:num>
  <w:num w:numId="157">
    <w:abstractNumId w:val="14"/>
  </w:num>
  <w:num w:numId="158">
    <w:abstractNumId w:val="187"/>
  </w:num>
  <w:num w:numId="159">
    <w:abstractNumId w:val="11"/>
  </w:num>
  <w:num w:numId="160">
    <w:abstractNumId w:val="13"/>
  </w:num>
  <w:num w:numId="161">
    <w:abstractNumId w:val="0"/>
  </w:num>
  <w:num w:numId="162">
    <w:abstractNumId w:val="49"/>
  </w:num>
  <w:num w:numId="163">
    <w:abstractNumId w:val="48"/>
  </w:num>
  <w:num w:numId="164">
    <w:abstractNumId w:val="141"/>
  </w:num>
  <w:num w:numId="165">
    <w:abstractNumId w:val="30"/>
  </w:num>
  <w:num w:numId="166">
    <w:abstractNumId w:val="81"/>
  </w:num>
  <w:num w:numId="167">
    <w:abstractNumId w:val="31"/>
  </w:num>
  <w:num w:numId="168">
    <w:abstractNumId w:val="131"/>
  </w:num>
  <w:num w:numId="169">
    <w:abstractNumId w:val="142"/>
  </w:num>
  <w:num w:numId="170">
    <w:abstractNumId w:val="91"/>
  </w:num>
  <w:num w:numId="171">
    <w:abstractNumId w:val="205"/>
  </w:num>
  <w:num w:numId="172">
    <w:abstractNumId w:val="163"/>
  </w:num>
  <w:num w:numId="173">
    <w:abstractNumId w:val="227"/>
  </w:num>
  <w:num w:numId="174">
    <w:abstractNumId w:val="24"/>
  </w:num>
  <w:num w:numId="175">
    <w:abstractNumId w:val="43"/>
  </w:num>
  <w:num w:numId="176">
    <w:abstractNumId w:val="133"/>
  </w:num>
  <w:num w:numId="177">
    <w:abstractNumId w:val="146"/>
  </w:num>
  <w:num w:numId="178">
    <w:abstractNumId w:val="34"/>
  </w:num>
  <w:num w:numId="179">
    <w:abstractNumId w:val="208"/>
  </w:num>
  <w:num w:numId="180">
    <w:abstractNumId w:val="180"/>
  </w:num>
  <w:num w:numId="181">
    <w:abstractNumId w:val="124"/>
  </w:num>
  <w:num w:numId="182">
    <w:abstractNumId w:val="153"/>
  </w:num>
  <w:num w:numId="183">
    <w:abstractNumId w:val="225"/>
  </w:num>
  <w:num w:numId="184">
    <w:abstractNumId w:val="176"/>
  </w:num>
  <w:num w:numId="185">
    <w:abstractNumId w:val="179"/>
  </w:num>
  <w:num w:numId="186">
    <w:abstractNumId w:val="100"/>
  </w:num>
  <w:num w:numId="187">
    <w:abstractNumId w:val="80"/>
  </w:num>
  <w:num w:numId="188">
    <w:abstractNumId w:val="207"/>
  </w:num>
  <w:num w:numId="189">
    <w:abstractNumId w:val="137"/>
  </w:num>
  <w:num w:numId="190">
    <w:abstractNumId w:val="35"/>
  </w:num>
  <w:num w:numId="191">
    <w:abstractNumId w:val="50"/>
  </w:num>
  <w:num w:numId="192">
    <w:abstractNumId w:val="12"/>
  </w:num>
  <w:num w:numId="193">
    <w:abstractNumId w:val="226"/>
  </w:num>
  <w:num w:numId="194">
    <w:abstractNumId w:val="132"/>
  </w:num>
  <w:num w:numId="195">
    <w:abstractNumId w:val="162"/>
  </w:num>
  <w:num w:numId="196">
    <w:abstractNumId w:val="230"/>
  </w:num>
  <w:num w:numId="197">
    <w:abstractNumId w:val="105"/>
  </w:num>
  <w:num w:numId="198">
    <w:abstractNumId w:val="134"/>
  </w:num>
  <w:num w:numId="199">
    <w:abstractNumId w:val="151"/>
  </w:num>
  <w:num w:numId="200">
    <w:abstractNumId w:val="126"/>
  </w:num>
  <w:num w:numId="201">
    <w:abstractNumId w:val="28"/>
  </w:num>
  <w:num w:numId="202">
    <w:abstractNumId w:val="32"/>
  </w:num>
  <w:num w:numId="203">
    <w:abstractNumId w:val="117"/>
  </w:num>
  <w:num w:numId="204">
    <w:abstractNumId w:val="210"/>
  </w:num>
  <w:num w:numId="205">
    <w:abstractNumId w:val="93"/>
  </w:num>
  <w:num w:numId="206">
    <w:abstractNumId w:val="106"/>
  </w:num>
  <w:num w:numId="207">
    <w:abstractNumId w:val="57"/>
  </w:num>
  <w:num w:numId="208">
    <w:abstractNumId w:val="204"/>
  </w:num>
  <w:num w:numId="209">
    <w:abstractNumId w:val="139"/>
  </w:num>
  <w:num w:numId="210">
    <w:abstractNumId w:val="118"/>
  </w:num>
  <w:num w:numId="211">
    <w:abstractNumId w:val="198"/>
  </w:num>
  <w:num w:numId="212">
    <w:abstractNumId w:val="60"/>
  </w:num>
  <w:num w:numId="213">
    <w:abstractNumId w:val="39"/>
  </w:num>
  <w:num w:numId="214">
    <w:abstractNumId w:val="17"/>
  </w:num>
  <w:num w:numId="215">
    <w:abstractNumId w:val="173"/>
  </w:num>
  <w:num w:numId="216">
    <w:abstractNumId w:val="203"/>
  </w:num>
  <w:num w:numId="217">
    <w:abstractNumId w:val="77"/>
  </w:num>
  <w:num w:numId="218">
    <w:abstractNumId w:val="199"/>
  </w:num>
  <w:num w:numId="219">
    <w:abstractNumId w:val="201"/>
  </w:num>
  <w:num w:numId="220">
    <w:abstractNumId w:val="58"/>
  </w:num>
  <w:num w:numId="221">
    <w:abstractNumId w:val="2"/>
  </w:num>
  <w:num w:numId="222">
    <w:abstractNumId w:val="158"/>
  </w:num>
  <w:num w:numId="223">
    <w:abstractNumId w:val="178"/>
  </w:num>
  <w:num w:numId="224">
    <w:abstractNumId w:val="114"/>
  </w:num>
  <w:num w:numId="225">
    <w:abstractNumId w:val="46"/>
  </w:num>
  <w:num w:numId="226">
    <w:abstractNumId w:val="150"/>
  </w:num>
  <w:num w:numId="227">
    <w:abstractNumId w:val="166"/>
  </w:num>
  <w:num w:numId="228">
    <w:abstractNumId w:val="83"/>
  </w:num>
  <w:num w:numId="229">
    <w:abstractNumId w:val="71"/>
  </w:num>
  <w:num w:numId="230">
    <w:abstractNumId w:val="229"/>
  </w:num>
  <w:num w:numId="231">
    <w:abstractNumId w:val="185"/>
  </w:num>
  <w:numIdMacAtCleanup w:val="2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2737"/>
    <w:rsid w:val="0000003B"/>
    <w:rsid w:val="00001FBE"/>
    <w:rsid w:val="00002BEB"/>
    <w:rsid w:val="00006533"/>
    <w:rsid w:val="00006D22"/>
    <w:rsid w:val="000077A8"/>
    <w:rsid w:val="00010584"/>
    <w:rsid w:val="0001059C"/>
    <w:rsid w:val="00013C5C"/>
    <w:rsid w:val="00016A97"/>
    <w:rsid w:val="000244A9"/>
    <w:rsid w:val="000257CC"/>
    <w:rsid w:val="00025A31"/>
    <w:rsid w:val="0002770A"/>
    <w:rsid w:val="00027FB1"/>
    <w:rsid w:val="00030BFB"/>
    <w:rsid w:val="00032795"/>
    <w:rsid w:val="00034071"/>
    <w:rsid w:val="00040F9B"/>
    <w:rsid w:val="00042C62"/>
    <w:rsid w:val="00044227"/>
    <w:rsid w:val="000455D0"/>
    <w:rsid w:val="00051D40"/>
    <w:rsid w:val="0005321D"/>
    <w:rsid w:val="000533FF"/>
    <w:rsid w:val="000539AC"/>
    <w:rsid w:val="00054DE9"/>
    <w:rsid w:val="00056B99"/>
    <w:rsid w:val="00064AFB"/>
    <w:rsid w:val="000655EA"/>
    <w:rsid w:val="000658DE"/>
    <w:rsid w:val="000668D8"/>
    <w:rsid w:val="00073F4A"/>
    <w:rsid w:val="00076A52"/>
    <w:rsid w:val="00077E20"/>
    <w:rsid w:val="00077FF2"/>
    <w:rsid w:val="000820AA"/>
    <w:rsid w:val="000820F6"/>
    <w:rsid w:val="00084F9F"/>
    <w:rsid w:val="0008523F"/>
    <w:rsid w:val="0008694E"/>
    <w:rsid w:val="00093E47"/>
    <w:rsid w:val="0009645F"/>
    <w:rsid w:val="000977F7"/>
    <w:rsid w:val="000A13E1"/>
    <w:rsid w:val="000A2061"/>
    <w:rsid w:val="000A264D"/>
    <w:rsid w:val="000A5F74"/>
    <w:rsid w:val="000A7BA8"/>
    <w:rsid w:val="000C2ED6"/>
    <w:rsid w:val="000C3268"/>
    <w:rsid w:val="000C3DFF"/>
    <w:rsid w:val="000C6C12"/>
    <w:rsid w:val="000E10B7"/>
    <w:rsid w:val="000E11E4"/>
    <w:rsid w:val="000E4FBD"/>
    <w:rsid w:val="000E5903"/>
    <w:rsid w:val="000E5936"/>
    <w:rsid w:val="000F1CF6"/>
    <w:rsid w:val="000F35DA"/>
    <w:rsid w:val="000F3D6B"/>
    <w:rsid w:val="000F4492"/>
    <w:rsid w:val="000F5113"/>
    <w:rsid w:val="000F53A6"/>
    <w:rsid w:val="000F6076"/>
    <w:rsid w:val="000F7F6F"/>
    <w:rsid w:val="001019EA"/>
    <w:rsid w:val="001030B8"/>
    <w:rsid w:val="0010357E"/>
    <w:rsid w:val="00107DD5"/>
    <w:rsid w:val="0011016C"/>
    <w:rsid w:val="00110A39"/>
    <w:rsid w:val="00114223"/>
    <w:rsid w:val="00121A58"/>
    <w:rsid w:val="00132389"/>
    <w:rsid w:val="00132BE9"/>
    <w:rsid w:val="0013651B"/>
    <w:rsid w:val="00137765"/>
    <w:rsid w:val="00142B57"/>
    <w:rsid w:val="00143066"/>
    <w:rsid w:val="001451E1"/>
    <w:rsid w:val="00145F0E"/>
    <w:rsid w:val="00146DC8"/>
    <w:rsid w:val="00151C74"/>
    <w:rsid w:val="00152FAA"/>
    <w:rsid w:val="00153AE7"/>
    <w:rsid w:val="0015532B"/>
    <w:rsid w:val="001567B8"/>
    <w:rsid w:val="00157D24"/>
    <w:rsid w:val="00163B8E"/>
    <w:rsid w:val="00165338"/>
    <w:rsid w:val="00165ECB"/>
    <w:rsid w:val="00166A7F"/>
    <w:rsid w:val="00166B41"/>
    <w:rsid w:val="001703A4"/>
    <w:rsid w:val="00170880"/>
    <w:rsid w:val="00174445"/>
    <w:rsid w:val="00174E94"/>
    <w:rsid w:val="001800A2"/>
    <w:rsid w:val="00181CF0"/>
    <w:rsid w:val="0018456B"/>
    <w:rsid w:val="0018477D"/>
    <w:rsid w:val="00185BFA"/>
    <w:rsid w:val="00186E99"/>
    <w:rsid w:val="001874E1"/>
    <w:rsid w:val="00187A31"/>
    <w:rsid w:val="00193A02"/>
    <w:rsid w:val="00196A79"/>
    <w:rsid w:val="00197D47"/>
    <w:rsid w:val="001A18FC"/>
    <w:rsid w:val="001A2E72"/>
    <w:rsid w:val="001A646E"/>
    <w:rsid w:val="001B08AE"/>
    <w:rsid w:val="001B2489"/>
    <w:rsid w:val="001B572D"/>
    <w:rsid w:val="001B6E3F"/>
    <w:rsid w:val="001C1017"/>
    <w:rsid w:val="001C15BA"/>
    <w:rsid w:val="001C19F3"/>
    <w:rsid w:val="001C35CA"/>
    <w:rsid w:val="001C3DB7"/>
    <w:rsid w:val="001C601B"/>
    <w:rsid w:val="001C7D20"/>
    <w:rsid w:val="001D29E2"/>
    <w:rsid w:val="001D5C60"/>
    <w:rsid w:val="001D684D"/>
    <w:rsid w:val="001E469B"/>
    <w:rsid w:val="001E47AD"/>
    <w:rsid w:val="001E55BC"/>
    <w:rsid w:val="001E7FF1"/>
    <w:rsid w:val="001F0954"/>
    <w:rsid w:val="001F4617"/>
    <w:rsid w:val="00202B12"/>
    <w:rsid w:val="00203329"/>
    <w:rsid w:val="00203EF2"/>
    <w:rsid w:val="00211768"/>
    <w:rsid w:val="002119F0"/>
    <w:rsid w:val="00212A38"/>
    <w:rsid w:val="002136C6"/>
    <w:rsid w:val="00213990"/>
    <w:rsid w:val="00213D2B"/>
    <w:rsid w:val="00217E5C"/>
    <w:rsid w:val="00226098"/>
    <w:rsid w:val="00226F38"/>
    <w:rsid w:val="00227F3C"/>
    <w:rsid w:val="00232500"/>
    <w:rsid w:val="00235DB6"/>
    <w:rsid w:val="002361D7"/>
    <w:rsid w:val="00237A96"/>
    <w:rsid w:val="00240605"/>
    <w:rsid w:val="0024689B"/>
    <w:rsid w:val="0025458E"/>
    <w:rsid w:val="002548DF"/>
    <w:rsid w:val="002613FE"/>
    <w:rsid w:val="0026504C"/>
    <w:rsid w:val="002664AD"/>
    <w:rsid w:val="0026655C"/>
    <w:rsid w:val="002670DB"/>
    <w:rsid w:val="00270335"/>
    <w:rsid w:val="002742FC"/>
    <w:rsid w:val="00275A7A"/>
    <w:rsid w:val="002838D4"/>
    <w:rsid w:val="00283D59"/>
    <w:rsid w:val="00284A6A"/>
    <w:rsid w:val="00285362"/>
    <w:rsid w:val="00291A71"/>
    <w:rsid w:val="002939DD"/>
    <w:rsid w:val="00293A1F"/>
    <w:rsid w:val="002949C8"/>
    <w:rsid w:val="00296D9D"/>
    <w:rsid w:val="00297070"/>
    <w:rsid w:val="002A22D8"/>
    <w:rsid w:val="002A2361"/>
    <w:rsid w:val="002A341C"/>
    <w:rsid w:val="002A466E"/>
    <w:rsid w:val="002A5A88"/>
    <w:rsid w:val="002B1508"/>
    <w:rsid w:val="002B5930"/>
    <w:rsid w:val="002B66C5"/>
    <w:rsid w:val="002B6A54"/>
    <w:rsid w:val="002C000B"/>
    <w:rsid w:val="002C20AC"/>
    <w:rsid w:val="002C563E"/>
    <w:rsid w:val="002D1451"/>
    <w:rsid w:val="002D2539"/>
    <w:rsid w:val="002D35BB"/>
    <w:rsid w:val="002D3E52"/>
    <w:rsid w:val="002D598C"/>
    <w:rsid w:val="002E0041"/>
    <w:rsid w:val="002E19DF"/>
    <w:rsid w:val="002E203C"/>
    <w:rsid w:val="002E3DAD"/>
    <w:rsid w:val="002E4CFE"/>
    <w:rsid w:val="002E5AB4"/>
    <w:rsid w:val="002E60DE"/>
    <w:rsid w:val="002E6955"/>
    <w:rsid w:val="002F3025"/>
    <w:rsid w:val="00301E18"/>
    <w:rsid w:val="003049F2"/>
    <w:rsid w:val="00305762"/>
    <w:rsid w:val="0031280E"/>
    <w:rsid w:val="00314238"/>
    <w:rsid w:val="003146E8"/>
    <w:rsid w:val="00314A4C"/>
    <w:rsid w:val="00320E82"/>
    <w:rsid w:val="00321E10"/>
    <w:rsid w:val="0032248F"/>
    <w:rsid w:val="003239D0"/>
    <w:rsid w:val="00324AD5"/>
    <w:rsid w:val="00325E44"/>
    <w:rsid w:val="003276EC"/>
    <w:rsid w:val="00330849"/>
    <w:rsid w:val="00330A6C"/>
    <w:rsid w:val="00330E6F"/>
    <w:rsid w:val="00333023"/>
    <w:rsid w:val="00333B53"/>
    <w:rsid w:val="0033462C"/>
    <w:rsid w:val="00335D36"/>
    <w:rsid w:val="00340584"/>
    <w:rsid w:val="00340B90"/>
    <w:rsid w:val="003420FF"/>
    <w:rsid w:val="00347AED"/>
    <w:rsid w:val="00347B82"/>
    <w:rsid w:val="00351821"/>
    <w:rsid w:val="00351A26"/>
    <w:rsid w:val="00351BD5"/>
    <w:rsid w:val="00352E52"/>
    <w:rsid w:val="00353CCD"/>
    <w:rsid w:val="0035526F"/>
    <w:rsid w:val="00357CF1"/>
    <w:rsid w:val="003600A8"/>
    <w:rsid w:val="00364338"/>
    <w:rsid w:val="003644C7"/>
    <w:rsid w:val="0036519F"/>
    <w:rsid w:val="00375665"/>
    <w:rsid w:val="00376318"/>
    <w:rsid w:val="00376B16"/>
    <w:rsid w:val="003822DC"/>
    <w:rsid w:val="00383F97"/>
    <w:rsid w:val="00384844"/>
    <w:rsid w:val="003850F2"/>
    <w:rsid w:val="00390C35"/>
    <w:rsid w:val="00391C43"/>
    <w:rsid w:val="00392438"/>
    <w:rsid w:val="003A562D"/>
    <w:rsid w:val="003A73B8"/>
    <w:rsid w:val="003A742D"/>
    <w:rsid w:val="003B112C"/>
    <w:rsid w:val="003B12F5"/>
    <w:rsid w:val="003B1AD5"/>
    <w:rsid w:val="003B20F6"/>
    <w:rsid w:val="003B3D80"/>
    <w:rsid w:val="003B4F45"/>
    <w:rsid w:val="003C3903"/>
    <w:rsid w:val="003D2C41"/>
    <w:rsid w:val="003E04DC"/>
    <w:rsid w:val="003E2E0B"/>
    <w:rsid w:val="003E4185"/>
    <w:rsid w:val="003E67F4"/>
    <w:rsid w:val="003E6BD5"/>
    <w:rsid w:val="003E6C25"/>
    <w:rsid w:val="003F1761"/>
    <w:rsid w:val="003F2954"/>
    <w:rsid w:val="003F3505"/>
    <w:rsid w:val="003F5FCB"/>
    <w:rsid w:val="003F721E"/>
    <w:rsid w:val="00400BCD"/>
    <w:rsid w:val="004015CE"/>
    <w:rsid w:val="00401B0C"/>
    <w:rsid w:val="004051E1"/>
    <w:rsid w:val="004065CA"/>
    <w:rsid w:val="00406B18"/>
    <w:rsid w:val="00410380"/>
    <w:rsid w:val="00420477"/>
    <w:rsid w:val="0042119D"/>
    <w:rsid w:val="004222BC"/>
    <w:rsid w:val="004241B6"/>
    <w:rsid w:val="00425D1E"/>
    <w:rsid w:val="00433C3C"/>
    <w:rsid w:val="00437D71"/>
    <w:rsid w:val="0044131B"/>
    <w:rsid w:val="004422B7"/>
    <w:rsid w:val="00442D99"/>
    <w:rsid w:val="004437B0"/>
    <w:rsid w:val="004449E7"/>
    <w:rsid w:val="004465F6"/>
    <w:rsid w:val="00447251"/>
    <w:rsid w:val="004502EE"/>
    <w:rsid w:val="00450E5B"/>
    <w:rsid w:val="00452265"/>
    <w:rsid w:val="00453C3E"/>
    <w:rsid w:val="00455AF5"/>
    <w:rsid w:val="004610FF"/>
    <w:rsid w:val="004611CB"/>
    <w:rsid w:val="004620E5"/>
    <w:rsid w:val="00464787"/>
    <w:rsid w:val="004666F1"/>
    <w:rsid w:val="0047220D"/>
    <w:rsid w:val="00474408"/>
    <w:rsid w:val="00476541"/>
    <w:rsid w:val="004860A4"/>
    <w:rsid w:val="00495AD8"/>
    <w:rsid w:val="00495E62"/>
    <w:rsid w:val="00496650"/>
    <w:rsid w:val="00497D43"/>
    <w:rsid w:val="004A03DC"/>
    <w:rsid w:val="004A205D"/>
    <w:rsid w:val="004A37DF"/>
    <w:rsid w:val="004A461F"/>
    <w:rsid w:val="004A513F"/>
    <w:rsid w:val="004B0F3F"/>
    <w:rsid w:val="004B3D60"/>
    <w:rsid w:val="004B6E18"/>
    <w:rsid w:val="004C077C"/>
    <w:rsid w:val="004C7942"/>
    <w:rsid w:val="004D2D14"/>
    <w:rsid w:val="004D5EA8"/>
    <w:rsid w:val="004D6CAC"/>
    <w:rsid w:val="004E0177"/>
    <w:rsid w:val="004E0B17"/>
    <w:rsid w:val="004E2401"/>
    <w:rsid w:val="004E370F"/>
    <w:rsid w:val="004E4467"/>
    <w:rsid w:val="004E6D93"/>
    <w:rsid w:val="004F0219"/>
    <w:rsid w:val="00504D06"/>
    <w:rsid w:val="00506C44"/>
    <w:rsid w:val="00510FE8"/>
    <w:rsid w:val="005126B1"/>
    <w:rsid w:val="00512E7C"/>
    <w:rsid w:val="0051350C"/>
    <w:rsid w:val="00513B28"/>
    <w:rsid w:val="0051602D"/>
    <w:rsid w:val="00517800"/>
    <w:rsid w:val="005209B7"/>
    <w:rsid w:val="0052354E"/>
    <w:rsid w:val="00523659"/>
    <w:rsid w:val="00524766"/>
    <w:rsid w:val="00531589"/>
    <w:rsid w:val="00531D2F"/>
    <w:rsid w:val="005323A0"/>
    <w:rsid w:val="00536CB0"/>
    <w:rsid w:val="005376C9"/>
    <w:rsid w:val="00537F20"/>
    <w:rsid w:val="005416C8"/>
    <w:rsid w:val="00547F4F"/>
    <w:rsid w:val="005526A6"/>
    <w:rsid w:val="005542C0"/>
    <w:rsid w:val="00563574"/>
    <w:rsid w:val="00563A3F"/>
    <w:rsid w:val="00564453"/>
    <w:rsid w:val="00565C0E"/>
    <w:rsid w:val="005665D9"/>
    <w:rsid w:val="005669D5"/>
    <w:rsid w:val="005678D3"/>
    <w:rsid w:val="00570C8D"/>
    <w:rsid w:val="00570E7C"/>
    <w:rsid w:val="005721B1"/>
    <w:rsid w:val="0057405C"/>
    <w:rsid w:val="00574067"/>
    <w:rsid w:val="00576A59"/>
    <w:rsid w:val="0058169A"/>
    <w:rsid w:val="00583F92"/>
    <w:rsid w:val="00587413"/>
    <w:rsid w:val="00590F62"/>
    <w:rsid w:val="005917F8"/>
    <w:rsid w:val="00593219"/>
    <w:rsid w:val="005957CD"/>
    <w:rsid w:val="0059692D"/>
    <w:rsid w:val="005A277F"/>
    <w:rsid w:val="005A4948"/>
    <w:rsid w:val="005A5B2E"/>
    <w:rsid w:val="005A7628"/>
    <w:rsid w:val="005B35F9"/>
    <w:rsid w:val="005C4874"/>
    <w:rsid w:val="005C4879"/>
    <w:rsid w:val="005D1AF8"/>
    <w:rsid w:val="005D4136"/>
    <w:rsid w:val="005D41B3"/>
    <w:rsid w:val="005D53CB"/>
    <w:rsid w:val="005E0504"/>
    <w:rsid w:val="005E09DD"/>
    <w:rsid w:val="005E1B6A"/>
    <w:rsid w:val="005E2DFF"/>
    <w:rsid w:val="005E6183"/>
    <w:rsid w:val="00600759"/>
    <w:rsid w:val="00603D98"/>
    <w:rsid w:val="0060480D"/>
    <w:rsid w:val="00610886"/>
    <w:rsid w:val="0061201F"/>
    <w:rsid w:val="0061220F"/>
    <w:rsid w:val="00612E8E"/>
    <w:rsid w:val="0061325F"/>
    <w:rsid w:val="00616686"/>
    <w:rsid w:val="00616F8D"/>
    <w:rsid w:val="0061718B"/>
    <w:rsid w:val="00621534"/>
    <w:rsid w:val="00624BAE"/>
    <w:rsid w:val="0062627C"/>
    <w:rsid w:val="00627985"/>
    <w:rsid w:val="00627E08"/>
    <w:rsid w:val="006377A3"/>
    <w:rsid w:val="006406ED"/>
    <w:rsid w:val="00645743"/>
    <w:rsid w:val="00647917"/>
    <w:rsid w:val="00660E6C"/>
    <w:rsid w:val="006625E7"/>
    <w:rsid w:val="0066457F"/>
    <w:rsid w:val="00666506"/>
    <w:rsid w:val="00673069"/>
    <w:rsid w:val="0067417B"/>
    <w:rsid w:val="00676AA8"/>
    <w:rsid w:val="00677576"/>
    <w:rsid w:val="00677D3B"/>
    <w:rsid w:val="006834CD"/>
    <w:rsid w:val="006925B1"/>
    <w:rsid w:val="00695BB0"/>
    <w:rsid w:val="0069724C"/>
    <w:rsid w:val="00697E0C"/>
    <w:rsid w:val="006A0A89"/>
    <w:rsid w:val="006A0BA3"/>
    <w:rsid w:val="006A26D6"/>
    <w:rsid w:val="006A69A1"/>
    <w:rsid w:val="006B026D"/>
    <w:rsid w:val="006B10C7"/>
    <w:rsid w:val="006B2FE0"/>
    <w:rsid w:val="006B405B"/>
    <w:rsid w:val="006B457A"/>
    <w:rsid w:val="006B5F27"/>
    <w:rsid w:val="006B637D"/>
    <w:rsid w:val="006B6608"/>
    <w:rsid w:val="006B6D12"/>
    <w:rsid w:val="006C11EC"/>
    <w:rsid w:val="006C5B17"/>
    <w:rsid w:val="006D10C9"/>
    <w:rsid w:val="006D1C85"/>
    <w:rsid w:val="006D5C13"/>
    <w:rsid w:val="006D6EFF"/>
    <w:rsid w:val="006E0807"/>
    <w:rsid w:val="006E0A87"/>
    <w:rsid w:val="006E65F2"/>
    <w:rsid w:val="006F57E1"/>
    <w:rsid w:val="006F75D6"/>
    <w:rsid w:val="006F7993"/>
    <w:rsid w:val="007006F1"/>
    <w:rsid w:val="00702F60"/>
    <w:rsid w:val="0070499E"/>
    <w:rsid w:val="007066EC"/>
    <w:rsid w:val="00720CD2"/>
    <w:rsid w:val="00721FB4"/>
    <w:rsid w:val="00725865"/>
    <w:rsid w:val="0072690B"/>
    <w:rsid w:val="007279E8"/>
    <w:rsid w:val="00730080"/>
    <w:rsid w:val="0073194C"/>
    <w:rsid w:val="00733F4B"/>
    <w:rsid w:val="00734ADA"/>
    <w:rsid w:val="00734C49"/>
    <w:rsid w:val="007357BB"/>
    <w:rsid w:val="007358B2"/>
    <w:rsid w:val="007363E1"/>
    <w:rsid w:val="00740C68"/>
    <w:rsid w:val="00741321"/>
    <w:rsid w:val="00741E18"/>
    <w:rsid w:val="00742E81"/>
    <w:rsid w:val="00750410"/>
    <w:rsid w:val="007506BE"/>
    <w:rsid w:val="007546CB"/>
    <w:rsid w:val="0075483C"/>
    <w:rsid w:val="00754E05"/>
    <w:rsid w:val="0076320C"/>
    <w:rsid w:val="00764363"/>
    <w:rsid w:val="0076577C"/>
    <w:rsid w:val="00765F27"/>
    <w:rsid w:val="00766393"/>
    <w:rsid w:val="007711D4"/>
    <w:rsid w:val="007715EE"/>
    <w:rsid w:val="00774A3F"/>
    <w:rsid w:val="0078239A"/>
    <w:rsid w:val="00784FCB"/>
    <w:rsid w:val="0078505B"/>
    <w:rsid w:val="00785E74"/>
    <w:rsid w:val="0078666F"/>
    <w:rsid w:val="00790486"/>
    <w:rsid w:val="00790E8E"/>
    <w:rsid w:val="00797990"/>
    <w:rsid w:val="007A2D7C"/>
    <w:rsid w:val="007B2D39"/>
    <w:rsid w:val="007B595C"/>
    <w:rsid w:val="007B62A9"/>
    <w:rsid w:val="007C04DD"/>
    <w:rsid w:val="007C126A"/>
    <w:rsid w:val="007C2A00"/>
    <w:rsid w:val="007C392E"/>
    <w:rsid w:val="007C5FCC"/>
    <w:rsid w:val="007D22DA"/>
    <w:rsid w:val="007D4E23"/>
    <w:rsid w:val="007D7E79"/>
    <w:rsid w:val="007E186B"/>
    <w:rsid w:val="007E452C"/>
    <w:rsid w:val="007E5553"/>
    <w:rsid w:val="007F0033"/>
    <w:rsid w:val="007F2C1D"/>
    <w:rsid w:val="007F38EA"/>
    <w:rsid w:val="007F517D"/>
    <w:rsid w:val="007F73EF"/>
    <w:rsid w:val="00800884"/>
    <w:rsid w:val="00802D66"/>
    <w:rsid w:val="00802F2F"/>
    <w:rsid w:val="00803891"/>
    <w:rsid w:val="00806AB0"/>
    <w:rsid w:val="00806F6F"/>
    <w:rsid w:val="008104ED"/>
    <w:rsid w:val="00813DE0"/>
    <w:rsid w:val="008255A7"/>
    <w:rsid w:val="0082731C"/>
    <w:rsid w:val="00827916"/>
    <w:rsid w:val="008312FD"/>
    <w:rsid w:val="008346BE"/>
    <w:rsid w:val="008372BD"/>
    <w:rsid w:val="0084434A"/>
    <w:rsid w:val="00844380"/>
    <w:rsid w:val="008512B8"/>
    <w:rsid w:val="0085333D"/>
    <w:rsid w:val="0085401C"/>
    <w:rsid w:val="00857221"/>
    <w:rsid w:val="00860F19"/>
    <w:rsid w:val="00862463"/>
    <w:rsid w:val="0086499F"/>
    <w:rsid w:val="00864DEF"/>
    <w:rsid w:val="00866912"/>
    <w:rsid w:val="0086771C"/>
    <w:rsid w:val="00867FD5"/>
    <w:rsid w:val="00871491"/>
    <w:rsid w:val="008802C3"/>
    <w:rsid w:val="0088233D"/>
    <w:rsid w:val="0088252A"/>
    <w:rsid w:val="00883EB8"/>
    <w:rsid w:val="00884C18"/>
    <w:rsid w:val="00893733"/>
    <w:rsid w:val="008971DC"/>
    <w:rsid w:val="008A01B4"/>
    <w:rsid w:val="008A3A8F"/>
    <w:rsid w:val="008A7D23"/>
    <w:rsid w:val="008B1C65"/>
    <w:rsid w:val="008B23B2"/>
    <w:rsid w:val="008B3193"/>
    <w:rsid w:val="008B4114"/>
    <w:rsid w:val="008B4A2C"/>
    <w:rsid w:val="008B602F"/>
    <w:rsid w:val="008C12E5"/>
    <w:rsid w:val="008C18C9"/>
    <w:rsid w:val="008C3E97"/>
    <w:rsid w:val="008C44A7"/>
    <w:rsid w:val="008C7B4A"/>
    <w:rsid w:val="008D241F"/>
    <w:rsid w:val="008D2738"/>
    <w:rsid w:val="008D3030"/>
    <w:rsid w:val="008D44DA"/>
    <w:rsid w:val="008D580E"/>
    <w:rsid w:val="008D6171"/>
    <w:rsid w:val="008E2CB1"/>
    <w:rsid w:val="008E3D1B"/>
    <w:rsid w:val="008E47B7"/>
    <w:rsid w:val="008E7726"/>
    <w:rsid w:val="008F17DF"/>
    <w:rsid w:val="008F1C4C"/>
    <w:rsid w:val="008F3EEA"/>
    <w:rsid w:val="009002FC"/>
    <w:rsid w:val="00902173"/>
    <w:rsid w:val="00902BCC"/>
    <w:rsid w:val="009036FC"/>
    <w:rsid w:val="0090506E"/>
    <w:rsid w:val="00907D65"/>
    <w:rsid w:val="009108AB"/>
    <w:rsid w:val="00911C87"/>
    <w:rsid w:val="00911E83"/>
    <w:rsid w:val="00914420"/>
    <w:rsid w:val="0091579E"/>
    <w:rsid w:val="00917D8C"/>
    <w:rsid w:val="00920558"/>
    <w:rsid w:val="00923499"/>
    <w:rsid w:val="00924A5B"/>
    <w:rsid w:val="00925F77"/>
    <w:rsid w:val="0093166B"/>
    <w:rsid w:val="00932E4C"/>
    <w:rsid w:val="00937EFF"/>
    <w:rsid w:val="009405F5"/>
    <w:rsid w:val="0094419D"/>
    <w:rsid w:val="0094529F"/>
    <w:rsid w:val="00957167"/>
    <w:rsid w:val="00960C72"/>
    <w:rsid w:val="00966C99"/>
    <w:rsid w:val="00966E2B"/>
    <w:rsid w:val="00967E36"/>
    <w:rsid w:val="00970B69"/>
    <w:rsid w:val="00971670"/>
    <w:rsid w:val="009717F6"/>
    <w:rsid w:val="0097612F"/>
    <w:rsid w:val="00976188"/>
    <w:rsid w:val="009776FF"/>
    <w:rsid w:val="00981876"/>
    <w:rsid w:val="00984A12"/>
    <w:rsid w:val="00991461"/>
    <w:rsid w:val="00992D69"/>
    <w:rsid w:val="0099381D"/>
    <w:rsid w:val="0099432F"/>
    <w:rsid w:val="00995A22"/>
    <w:rsid w:val="009A228F"/>
    <w:rsid w:val="009A74BC"/>
    <w:rsid w:val="009B04B2"/>
    <w:rsid w:val="009C03DF"/>
    <w:rsid w:val="009C2701"/>
    <w:rsid w:val="009C319F"/>
    <w:rsid w:val="009C5369"/>
    <w:rsid w:val="009C58A1"/>
    <w:rsid w:val="009C6936"/>
    <w:rsid w:val="009C75E0"/>
    <w:rsid w:val="009D7360"/>
    <w:rsid w:val="009E4708"/>
    <w:rsid w:val="009E5200"/>
    <w:rsid w:val="009E5613"/>
    <w:rsid w:val="009E567A"/>
    <w:rsid w:val="009E7BAF"/>
    <w:rsid w:val="009F0D20"/>
    <w:rsid w:val="009F42E3"/>
    <w:rsid w:val="009F6DDE"/>
    <w:rsid w:val="00A008EE"/>
    <w:rsid w:val="00A022C6"/>
    <w:rsid w:val="00A02827"/>
    <w:rsid w:val="00A05DD7"/>
    <w:rsid w:val="00A0694D"/>
    <w:rsid w:val="00A07286"/>
    <w:rsid w:val="00A10BD5"/>
    <w:rsid w:val="00A144E9"/>
    <w:rsid w:val="00A1770C"/>
    <w:rsid w:val="00A21A96"/>
    <w:rsid w:val="00A21FBE"/>
    <w:rsid w:val="00A3012E"/>
    <w:rsid w:val="00A3060F"/>
    <w:rsid w:val="00A3126A"/>
    <w:rsid w:val="00A313FD"/>
    <w:rsid w:val="00A31F2E"/>
    <w:rsid w:val="00A34F71"/>
    <w:rsid w:val="00A36FE3"/>
    <w:rsid w:val="00A40866"/>
    <w:rsid w:val="00A43095"/>
    <w:rsid w:val="00A46F6F"/>
    <w:rsid w:val="00A47674"/>
    <w:rsid w:val="00A55E56"/>
    <w:rsid w:val="00A55FEE"/>
    <w:rsid w:val="00A575B1"/>
    <w:rsid w:val="00A61F63"/>
    <w:rsid w:val="00A6210D"/>
    <w:rsid w:val="00A63A69"/>
    <w:rsid w:val="00A66194"/>
    <w:rsid w:val="00A71851"/>
    <w:rsid w:val="00A75B77"/>
    <w:rsid w:val="00A811BE"/>
    <w:rsid w:val="00A82BF5"/>
    <w:rsid w:val="00A856B2"/>
    <w:rsid w:val="00A870E9"/>
    <w:rsid w:val="00A91DF6"/>
    <w:rsid w:val="00A920C1"/>
    <w:rsid w:val="00A92413"/>
    <w:rsid w:val="00A938DC"/>
    <w:rsid w:val="00A95AFC"/>
    <w:rsid w:val="00A967DC"/>
    <w:rsid w:val="00A9720A"/>
    <w:rsid w:val="00AA467B"/>
    <w:rsid w:val="00AB00DB"/>
    <w:rsid w:val="00AB06F8"/>
    <w:rsid w:val="00AB1D1C"/>
    <w:rsid w:val="00AB25DA"/>
    <w:rsid w:val="00AB4B17"/>
    <w:rsid w:val="00AB56FB"/>
    <w:rsid w:val="00AB60A4"/>
    <w:rsid w:val="00AC0956"/>
    <w:rsid w:val="00AC49F7"/>
    <w:rsid w:val="00AC630C"/>
    <w:rsid w:val="00AD21D5"/>
    <w:rsid w:val="00AD34B1"/>
    <w:rsid w:val="00AD57DC"/>
    <w:rsid w:val="00AD62AB"/>
    <w:rsid w:val="00AD72A2"/>
    <w:rsid w:val="00AE0D0C"/>
    <w:rsid w:val="00AE6381"/>
    <w:rsid w:val="00AE678B"/>
    <w:rsid w:val="00AF00C2"/>
    <w:rsid w:val="00AF06DF"/>
    <w:rsid w:val="00AF7408"/>
    <w:rsid w:val="00AF7C09"/>
    <w:rsid w:val="00B014B0"/>
    <w:rsid w:val="00B02491"/>
    <w:rsid w:val="00B045B4"/>
    <w:rsid w:val="00B05030"/>
    <w:rsid w:val="00B06EC0"/>
    <w:rsid w:val="00B15037"/>
    <w:rsid w:val="00B160BB"/>
    <w:rsid w:val="00B2051B"/>
    <w:rsid w:val="00B20D0E"/>
    <w:rsid w:val="00B238D3"/>
    <w:rsid w:val="00B25681"/>
    <w:rsid w:val="00B272C1"/>
    <w:rsid w:val="00B322EF"/>
    <w:rsid w:val="00B36B19"/>
    <w:rsid w:val="00B404B7"/>
    <w:rsid w:val="00B4101D"/>
    <w:rsid w:val="00B41310"/>
    <w:rsid w:val="00B46762"/>
    <w:rsid w:val="00B46BC0"/>
    <w:rsid w:val="00B46C65"/>
    <w:rsid w:val="00B50800"/>
    <w:rsid w:val="00B51B8D"/>
    <w:rsid w:val="00B55484"/>
    <w:rsid w:val="00B5608B"/>
    <w:rsid w:val="00B61CC8"/>
    <w:rsid w:val="00B72253"/>
    <w:rsid w:val="00B7425F"/>
    <w:rsid w:val="00B75B4E"/>
    <w:rsid w:val="00B75F7C"/>
    <w:rsid w:val="00B861A7"/>
    <w:rsid w:val="00B877B7"/>
    <w:rsid w:val="00B9147C"/>
    <w:rsid w:val="00B92626"/>
    <w:rsid w:val="00B9334A"/>
    <w:rsid w:val="00B9464B"/>
    <w:rsid w:val="00B94BC0"/>
    <w:rsid w:val="00B96269"/>
    <w:rsid w:val="00BA21AC"/>
    <w:rsid w:val="00BA23CD"/>
    <w:rsid w:val="00BA418D"/>
    <w:rsid w:val="00BA6CFD"/>
    <w:rsid w:val="00BB1BFA"/>
    <w:rsid w:val="00BB1F76"/>
    <w:rsid w:val="00BB270B"/>
    <w:rsid w:val="00BB4338"/>
    <w:rsid w:val="00BC3949"/>
    <w:rsid w:val="00BC414E"/>
    <w:rsid w:val="00BC5069"/>
    <w:rsid w:val="00BC6C82"/>
    <w:rsid w:val="00BD31D5"/>
    <w:rsid w:val="00BD4D97"/>
    <w:rsid w:val="00BD4EA6"/>
    <w:rsid w:val="00BD503F"/>
    <w:rsid w:val="00BD7F56"/>
    <w:rsid w:val="00BE2BB5"/>
    <w:rsid w:val="00BE3AA5"/>
    <w:rsid w:val="00BE57B5"/>
    <w:rsid w:val="00BE57C0"/>
    <w:rsid w:val="00BE70E8"/>
    <w:rsid w:val="00BF03F7"/>
    <w:rsid w:val="00BF3A7A"/>
    <w:rsid w:val="00BF6BEC"/>
    <w:rsid w:val="00C04646"/>
    <w:rsid w:val="00C0644D"/>
    <w:rsid w:val="00C10197"/>
    <w:rsid w:val="00C112CE"/>
    <w:rsid w:val="00C1171D"/>
    <w:rsid w:val="00C158F1"/>
    <w:rsid w:val="00C23180"/>
    <w:rsid w:val="00C24470"/>
    <w:rsid w:val="00C2589A"/>
    <w:rsid w:val="00C2771F"/>
    <w:rsid w:val="00C3162F"/>
    <w:rsid w:val="00C32A57"/>
    <w:rsid w:val="00C3476E"/>
    <w:rsid w:val="00C34916"/>
    <w:rsid w:val="00C35791"/>
    <w:rsid w:val="00C36179"/>
    <w:rsid w:val="00C40756"/>
    <w:rsid w:val="00C46885"/>
    <w:rsid w:val="00C4747D"/>
    <w:rsid w:val="00C515EC"/>
    <w:rsid w:val="00C52101"/>
    <w:rsid w:val="00C54F27"/>
    <w:rsid w:val="00C603D3"/>
    <w:rsid w:val="00C61677"/>
    <w:rsid w:val="00C704C7"/>
    <w:rsid w:val="00C74095"/>
    <w:rsid w:val="00C74162"/>
    <w:rsid w:val="00C77B40"/>
    <w:rsid w:val="00C824E3"/>
    <w:rsid w:val="00C870CC"/>
    <w:rsid w:val="00C87FAF"/>
    <w:rsid w:val="00C90461"/>
    <w:rsid w:val="00C90682"/>
    <w:rsid w:val="00C91893"/>
    <w:rsid w:val="00C935B2"/>
    <w:rsid w:val="00C95584"/>
    <w:rsid w:val="00CA2553"/>
    <w:rsid w:val="00CA256A"/>
    <w:rsid w:val="00CA5E51"/>
    <w:rsid w:val="00CA6036"/>
    <w:rsid w:val="00CB2511"/>
    <w:rsid w:val="00CB28FE"/>
    <w:rsid w:val="00CB385C"/>
    <w:rsid w:val="00CB535D"/>
    <w:rsid w:val="00CB54C4"/>
    <w:rsid w:val="00CB583C"/>
    <w:rsid w:val="00CB7A15"/>
    <w:rsid w:val="00CD003A"/>
    <w:rsid w:val="00CD3B90"/>
    <w:rsid w:val="00CD41F1"/>
    <w:rsid w:val="00CD4269"/>
    <w:rsid w:val="00CD6063"/>
    <w:rsid w:val="00CD70A5"/>
    <w:rsid w:val="00CD74D8"/>
    <w:rsid w:val="00CE0994"/>
    <w:rsid w:val="00CE30FB"/>
    <w:rsid w:val="00CE3B03"/>
    <w:rsid w:val="00CE4E21"/>
    <w:rsid w:val="00CF071B"/>
    <w:rsid w:val="00CF218E"/>
    <w:rsid w:val="00CF239C"/>
    <w:rsid w:val="00CF5513"/>
    <w:rsid w:val="00CF79BE"/>
    <w:rsid w:val="00D030F5"/>
    <w:rsid w:val="00D04F25"/>
    <w:rsid w:val="00D0564C"/>
    <w:rsid w:val="00D06391"/>
    <w:rsid w:val="00D0743F"/>
    <w:rsid w:val="00D14A73"/>
    <w:rsid w:val="00D16037"/>
    <w:rsid w:val="00D17027"/>
    <w:rsid w:val="00D231C5"/>
    <w:rsid w:val="00D255F9"/>
    <w:rsid w:val="00D2581F"/>
    <w:rsid w:val="00D26693"/>
    <w:rsid w:val="00D32C8E"/>
    <w:rsid w:val="00D3622E"/>
    <w:rsid w:val="00D37302"/>
    <w:rsid w:val="00D42737"/>
    <w:rsid w:val="00D4366A"/>
    <w:rsid w:val="00D4457C"/>
    <w:rsid w:val="00D44BEA"/>
    <w:rsid w:val="00D547B1"/>
    <w:rsid w:val="00D579CE"/>
    <w:rsid w:val="00D60E0D"/>
    <w:rsid w:val="00D63DFD"/>
    <w:rsid w:val="00D6767A"/>
    <w:rsid w:val="00D72137"/>
    <w:rsid w:val="00D72B95"/>
    <w:rsid w:val="00D72F16"/>
    <w:rsid w:val="00D7372C"/>
    <w:rsid w:val="00D74134"/>
    <w:rsid w:val="00D74D70"/>
    <w:rsid w:val="00D77A37"/>
    <w:rsid w:val="00D8513D"/>
    <w:rsid w:val="00D90796"/>
    <w:rsid w:val="00D93908"/>
    <w:rsid w:val="00D964B5"/>
    <w:rsid w:val="00DA2B57"/>
    <w:rsid w:val="00DA68D2"/>
    <w:rsid w:val="00DB48C3"/>
    <w:rsid w:val="00DB75D1"/>
    <w:rsid w:val="00DB7DE0"/>
    <w:rsid w:val="00DC21C9"/>
    <w:rsid w:val="00DC338E"/>
    <w:rsid w:val="00DC7424"/>
    <w:rsid w:val="00DD0549"/>
    <w:rsid w:val="00DD1C74"/>
    <w:rsid w:val="00DD20B1"/>
    <w:rsid w:val="00DD7B6B"/>
    <w:rsid w:val="00DE0280"/>
    <w:rsid w:val="00DE0F5A"/>
    <w:rsid w:val="00DE1D04"/>
    <w:rsid w:val="00DE1FCE"/>
    <w:rsid w:val="00DE2AF5"/>
    <w:rsid w:val="00DE65B8"/>
    <w:rsid w:val="00DF2170"/>
    <w:rsid w:val="00DF4CC4"/>
    <w:rsid w:val="00DF5F28"/>
    <w:rsid w:val="00DF611D"/>
    <w:rsid w:val="00E02D59"/>
    <w:rsid w:val="00E04D31"/>
    <w:rsid w:val="00E07BBC"/>
    <w:rsid w:val="00E15D24"/>
    <w:rsid w:val="00E16001"/>
    <w:rsid w:val="00E16315"/>
    <w:rsid w:val="00E1667C"/>
    <w:rsid w:val="00E16B20"/>
    <w:rsid w:val="00E20D59"/>
    <w:rsid w:val="00E210AD"/>
    <w:rsid w:val="00E21676"/>
    <w:rsid w:val="00E300C0"/>
    <w:rsid w:val="00E311BE"/>
    <w:rsid w:val="00E313A8"/>
    <w:rsid w:val="00E32516"/>
    <w:rsid w:val="00E33FA1"/>
    <w:rsid w:val="00E35423"/>
    <w:rsid w:val="00E3600B"/>
    <w:rsid w:val="00E41930"/>
    <w:rsid w:val="00E47FC3"/>
    <w:rsid w:val="00E52F56"/>
    <w:rsid w:val="00E5346A"/>
    <w:rsid w:val="00E535FF"/>
    <w:rsid w:val="00E54D34"/>
    <w:rsid w:val="00E55CA0"/>
    <w:rsid w:val="00E55E77"/>
    <w:rsid w:val="00E56A61"/>
    <w:rsid w:val="00E6105E"/>
    <w:rsid w:val="00E62F75"/>
    <w:rsid w:val="00E64F29"/>
    <w:rsid w:val="00E6753C"/>
    <w:rsid w:val="00E732E7"/>
    <w:rsid w:val="00E84375"/>
    <w:rsid w:val="00E847AD"/>
    <w:rsid w:val="00E84D58"/>
    <w:rsid w:val="00E9132D"/>
    <w:rsid w:val="00E93EC4"/>
    <w:rsid w:val="00E97C70"/>
    <w:rsid w:val="00E97D39"/>
    <w:rsid w:val="00EA0119"/>
    <w:rsid w:val="00EA2FDB"/>
    <w:rsid w:val="00EA4E53"/>
    <w:rsid w:val="00EB00F1"/>
    <w:rsid w:val="00EB060E"/>
    <w:rsid w:val="00EB0817"/>
    <w:rsid w:val="00EB24BD"/>
    <w:rsid w:val="00EB6248"/>
    <w:rsid w:val="00EB7596"/>
    <w:rsid w:val="00EC536B"/>
    <w:rsid w:val="00EC5750"/>
    <w:rsid w:val="00EC5E9E"/>
    <w:rsid w:val="00ED0AF7"/>
    <w:rsid w:val="00ED113E"/>
    <w:rsid w:val="00ED1246"/>
    <w:rsid w:val="00ED2D4D"/>
    <w:rsid w:val="00ED6EC9"/>
    <w:rsid w:val="00EE0CC2"/>
    <w:rsid w:val="00EE1283"/>
    <w:rsid w:val="00EE2DDE"/>
    <w:rsid w:val="00EE4534"/>
    <w:rsid w:val="00EE63D1"/>
    <w:rsid w:val="00EE65C4"/>
    <w:rsid w:val="00EE7E8C"/>
    <w:rsid w:val="00EF08EF"/>
    <w:rsid w:val="00EF1A6D"/>
    <w:rsid w:val="00EF257D"/>
    <w:rsid w:val="00EF4B5B"/>
    <w:rsid w:val="00EF5F04"/>
    <w:rsid w:val="00EF61AB"/>
    <w:rsid w:val="00F027BB"/>
    <w:rsid w:val="00F05D92"/>
    <w:rsid w:val="00F06B18"/>
    <w:rsid w:val="00F071DC"/>
    <w:rsid w:val="00F108E7"/>
    <w:rsid w:val="00F12FF1"/>
    <w:rsid w:val="00F145CD"/>
    <w:rsid w:val="00F15B7E"/>
    <w:rsid w:val="00F17FB7"/>
    <w:rsid w:val="00F205D0"/>
    <w:rsid w:val="00F21281"/>
    <w:rsid w:val="00F23B93"/>
    <w:rsid w:val="00F26237"/>
    <w:rsid w:val="00F2790B"/>
    <w:rsid w:val="00F3071E"/>
    <w:rsid w:val="00F30DAD"/>
    <w:rsid w:val="00F31EF5"/>
    <w:rsid w:val="00F340DD"/>
    <w:rsid w:val="00F40D28"/>
    <w:rsid w:val="00F438B8"/>
    <w:rsid w:val="00F47C52"/>
    <w:rsid w:val="00F502A4"/>
    <w:rsid w:val="00F50CD6"/>
    <w:rsid w:val="00F522A2"/>
    <w:rsid w:val="00F5250F"/>
    <w:rsid w:val="00F54444"/>
    <w:rsid w:val="00F56DD5"/>
    <w:rsid w:val="00F63166"/>
    <w:rsid w:val="00F6362D"/>
    <w:rsid w:val="00F658F5"/>
    <w:rsid w:val="00F66324"/>
    <w:rsid w:val="00F672F8"/>
    <w:rsid w:val="00F72A97"/>
    <w:rsid w:val="00F74133"/>
    <w:rsid w:val="00F74722"/>
    <w:rsid w:val="00F77A79"/>
    <w:rsid w:val="00F77B10"/>
    <w:rsid w:val="00F802B4"/>
    <w:rsid w:val="00F81426"/>
    <w:rsid w:val="00F827EC"/>
    <w:rsid w:val="00F87561"/>
    <w:rsid w:val="00F90007"/>
    <w:rsid w:val="00F90269"/>
    <w:rsid w:val="00F90B5C"/>
    <w:rsid w:val="00F91D94"/>
    <w:rsid w:val="00F92E7C"/>
    <w:rsid w:val="00F93E08"/>
    <w:rsid w:val="00F9414D"/>
    <w:rsid w:val="00F95577"/>
    <w:rsid w:val="00FA091B"/>
    <w:rsid w:val="00FA2245"/>
    <w:rsid w:val="00FA3D7C"/>
    <w:rsid w:val="00FA4EDD"/>
    <w:rsid w:val="00FA64AE"/>
    <w:rsid w:val="00FB2EAE"/>
    <w:rsid w:val="00FB332A"/>
    <w:rsid w:val="00FB3B91"/>
    <w:rsid w:val="00FB62FC"/>
    <w:rsid w:val="00FB7522"/>
    <w:rsid w:val="00FB7608"/>
    <w:rsid w:val="00FC051C"/>
    <w:rsid w:val="00FC2148"/>
    <w:rsid w:val="00FC27F2"/>
    <w:rsid w:val="00FC2E46"/>
    <w:rsid w:val="00FC7105"/>
    <w:rsid w:val="00FD1D67"/>
    <w:rsid w:val="00FD39A4"/>
    <w:rsid w:val="00FE3F55"/>
    <w:rsid w:val="00FE4356"/>
    <w:rsid w:val="00FE5ED5"/>
    <w:rsid w:val="00FE7835"/>
    <w:rsid w:val="00FE7E20"/>
    <w:rsid w:val="00FF04A9"/>
    <w:rsid w:val="00FF1114"/>
    <w:rsid w:val="00FF3D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6E892D"/>
  <w15:docId w15:val="{D5F516FD-351A-4C2A-8523-825B812BB1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1" w:unhideWhenUsed="1" w:qFormat="1"/>
    <w:lsdException w:name="heading 8" w:semiHidden="1" w:uiPriority="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97070"/>
    <w:rPr>
      <w:rFonts w:ascii="Calibri" w:eastAsia="Calibri" w:hAnsi="Calibri" w:cs="Times New Roman"/>
      <w:lang w:val="ru-RU" w:eastAsia="en-US"/>
    </w:rPr>
  </w:style>
  <w:style w:type="paragraph" w:styleId="1">
    <w:name w:val="heading 1"/>
    <w:basedOn w:val="a"/>
    <w:next w:val="a"/>
    <w:link w:val="10"/>
    <w:uiPriority w:val="9"/>
    <w:qFormat/>
    <w:rsid w:val="00E02D59"/>
    <w:pPr>
      <w:keepNext/>
      <w:keepLines/>
      <w:spacing w:after="0"/>
      <w:jc w:val="center"/>
      <w:outlineLvl w:val="0"/>
    </w:pPr>
    <w:rPr>
      <w:rFonts w:asciiTheme="majorHAnsi" w:eastAsiaTheme="majorEastAsia" w:hAnsiTheme="majorHAnsi" w:cstheme="majorBidi"/>
      <w:b/>
      <w:color w:val="000000" w:themeColor="text1"/>
      <w:sz w:val="32"/>
      <w:szCs w:val="32"/>
    </w:rPr>
  </w:style>
  <w:style w:type="paragraph" w:styleId="2">
    <w:name w:val="heading 2"/>
    <w:basedOn w:val="a"/>
    <w:next w:val="a"/>
    <w:link w:val="20"/>
    <w:uiPriority w:val="9"/>
    <w:unhideWhenUsed/>
    <w:qFormat/>
    <w:rsid w:val="00E02D59"/>
    <w:pPr>
      <w:keepNext/>
      <w:keepLines/>
      <w:spacing w:after="0"/>
      <w:ind w:firstLine="709"/>
      <w:jc w:val="both"/>
      <w:outlineLvl w:val="1"/>
    </w:pPr>
    <w:rPr>
      <w:rFonts w:asciiTheme="majorHAnsi" w:eastAsiaTheme="majorEastAsia" w:hAnsiTheme="majorHAnsi" w:cstheme="majorBidi"/>
      <w:b/>
      <w:color w:val="000000" w:themeColor="text1"/>
      <w:sz w:val="28"/>
      <w:szCs w:val="26"/>
    </w:rPr>
  </w:style>
  <w:style w:type="paragraph" w:styleId="3">
    <w:name w:val="heading 3"/>
    <w:basedOn w:val="a"/>
    <w:next w:val="a"/>
    <w:link w:val="30"/>
    <w:uiPriority w:val="9"/>
    <w:unhideWhenUsed/>
    <w:qFormat/>
    <w:rsid w:val="00296D9D"/>
    <w:pPr>
      <w:keepNext/>
      <w:keepLines/>
      <w:spacing w:after="0"/>
      <w:ind w:firstLine="709"/>
      <w:jc w:val="both"/>
      <w:outlineLvl w:val="2"/>
    </w:pPr>
    <w:rPr>
      <w:rFonts w:asciiTheme="majorHAnsi" w:eastAsiaTheme="majorEastAsia" w:hAnsiTheme="majorHAnsi" w:cstheme="majorBidi"/>
      <w:b/>
      <w:color w:val="000000" w:themeColor="text1"/>
      <w:sz w:val="28"/>
      <w:szCs w:val="24"/>
    </w:rPr>
  </w:style>
  <w:style w:type="paragraph" w:styleId="4">
    <w:name w:val="heading 4"/>
    <w:basedOn w:val="a"/>
    <w:next w:val="a"/>
    <w:link w:val="40"/>
    <w:uiPriority w:val="9"/>
    <w:unhideWhenUsed/>
    <w:qFormat/>
    <w:rsid w:val="00E97C70"/>
    <w:pPr>
      <w:keepNext/>
      <w:keepLines/>
      <w:spacing w:after="0"/>
      <w:jc w:val="center"/>
      <w:outlineLvl w:val="3"/>
    </w:pPr>
    <w:rPr>
      <w:rFonts w:asciiTheme="majorHAnsi" w:eastAsiaTheme="majorEastAsia" w:hAnsiTheme="majorHAnsi" w:cstheme="majorBidi"/>
      <w:b/>
      <w:bCs/>
      <w:iCs/>
      <w:color w:val="000000" w:themeColor="text1"/>
      <w:sz w:val="28"/>
    </w:rPr>
  </w:style>
  <w:style w:type="paragraph" w:styleId="5">
    <w:name w:val="heading 5"/>
    <w:basedOn w:val="a"/>
    <w:next w:val="a"/>
    <w:link w:val="50"/>
    <w:uiPriority w:val="9"/>
    <w:qFormat/>
    <w:rsid w:val="00E84375"/>
    <w:pPr>
      <w:keepNext/>
      <w:spacing w:after="0" w:line="240" w:lineRule="auto"/>
      <w:jc w:val="center"/>
      <w:outlineLvl w:val="4"/>
    </w:pPr>
    <w:rPr>
      <w:rFonts w:ascii="Calibri Light" w:eastAsia="Calibri Light" w:hAnsi="Calibri Light" w:cs="Calibri Light"/>
      <w:b/>
      <w:bCs/>
      <w:sz w:val="24"/>
      <w:szCs w:val="24"/>
      <w:u w:val="single"/>
      <w:lang w:eastAsia="ru-RU"/>
    </w:rPr>
  </w:style>
  <w:style w:type="paragraph" w:styleId="6">
    <w:name w:val="heading 6"/>
    <w:basedOn w:val="a"/>
    <w:link w:val="60"/>
    <w:uiPriority w:val="9"/>
    <w:unhideWhenUsed/>
    <w:qFormat/>
    <w:rsid w:val="0097612F"/>
    <w:pPr>
      <w:widowControl w:val="0"/>
      <w:autoSpaceDE w:val="0"/>
      <w:autoSpaceDN w:val="0"/>
      <w:spacing w:after="0" w:line="240" w:lineRule="auto"/>
      <w:ind w:left="317" w:right="-1"/>
      <w:outlineLvl w:val="5"/>
    </w:pPr>
    <w:rPr>
      <w:rFonts w:ascii="Times New Roman" w:eastAsia="Times New Roman" w:hAnsi="Times New Roman"/>
      <w:lang w:val="uk-UA"/>
    </w:rPr>
  </w:style>
  <w:style w:type="paragraph" w:styleId="7">
    <w:name w:val="heading 7"/>
    <w:basedOn w:val="a"/>
    <w:next w:val="a"/>
    <w:link w:val="70"/>
    <w:uiPriority w:val="1"/>
    <w:qFormat/>
    <w:rsid w:val="00042C62"/>
    <w:pPr>
      <w:keepNext/>
      <w:keepLines/>
      <w:spacing w:before="200" w:after="0"/>
      <w:outlineLvl w:val="6"/>
    </w:pPr>
    <w:rPr>
      <w:rFonts w:asciiTheme="majorHAnsi" w:eastAsia="Calibri Light" w:hAnsiTheme="majorHAnsi" w:cs="Calibri Light"/>
      <w:b/>
      <w:iCs/>
      <w:color w:val="404040"/>
      <w:lang w:val="uk-UA"/>
    </w:rPr>
  </w:style>
  <w:style w:type="paragraph" w:styleId="8">
    <w:name w:val="heading 8"/>
    <w:basedOn w:val="a"/>
    <w:link w:val="80"/>
    <w:uiPriority w:val="1"/>
    <w:qFormat/>
    <w:rsid w:val="0097612F"/>
    <w:pPr>
      <w:widowControl w:val="0"/>
      <w:autoSpaceDE w:val="0"/>
      <w:autoSpaceDN w:val="0"/>
      <w:spacing w:before="5" w:after="0" w:line="228" w:lineRule="exact"/>
      <w:ind w:left="440"/>
      <w:outlineLvl w:val="7"/>
    </w:pPr>
    <w:rPr>
      <w:rFonts w:ascii="Times New Roman" w:eastAsia="Times New Roman" w:hAnsi="Times New Roman"/>
      <w:b/>
      <w:bCs/>
      <w:i/>
      <w:iCs/>
      <w:sz w:val="20"/>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02D59"/>
    <w:rPr>
      <w:rFonts w:asciiTheme="majorHAnsi" w:eastAsiaTheme="majorEastAsia" w:hAnsiTheme="majorHAnsi" w:cstheme="majorBidi"/>
      <w:b/>
      <w:color w:val="000000" w:themeColor="text1"/>
      <w:sz w:val="32"/>
      <w:szCs w:val="32"/>
      <w:lang w:val="ru-RU" w:eastAsia="en-US"/>
    </w:rPr>
  </w:style>
  <w:style w:type="character" w:customStyle="1" w:styleId="20">
    <w:name w:val="Заголовок 2 Знак"/>
    <w:basedOn w:val="a0"/>
    <w:link w:val="2"/>
    <w:uiPriority w:val="9"/>
    <w:rsid w:val="00E02D59"/>
    <w:rPr>
      <w:rFonts w:asciiTheme="majorHAnsi" w:eastAsiaTheme="majorEastAsia" w:hAnsiTheme="majorHAnsi" w:cstheme="majorBidi"/>
      <w:b/>
      <w:color w:val="000000" w:themeColor="text1"/>
      <w:sz w:val="28"/>
      <w:szCs w:val="26"/>
      <w:lang w:val="ru-RU" w:eastAsia="en-US"/>
    </w:rPr>
  </w:style>
  <w:style w:type="character" w:customStyle="1" w:styleId="30">
    <w:name w:val="Заголовок 3 Знак"/>
    <w:basedOn w:val="a0"/>
    <w:link w:val="3"/>
    <w:uiPriority w:val="9"/>
    <w:rsid w:val="00296D9D"/>
    <w:rPr>
      <w:rFonts w:asciiTheme="majorHAnsi" w:eastAsiaTheme="majorEastAsia" w:hAnsiTheme="majorHAnsi" w:cstheme="majorBidi"/>
      <w:b/>
      <w:color w:val="000000" w:themeColor="text1"/>
      <w:sz w:val="28"/>
      <w:szCs w:val="24"/>
      <w:lang w:val="ru-RU" w:eastAsia="en-US"/>
    </w:rPr>
  </w:style>
  <w:style w:type="character" w:customStyle="1" w:styleId="40">
    <w:name w:val="Заголовок 4 Знак"/>
    <w:basedOn w:val="a0"/>
    <w:link w:val="4"/>
    <w:uiPriority w:val="9"/>
    <w:rsid w:val="00E97C70"/>
    <w:rPr>
      <w:rFonts w:asciiTheme="majorHAnsi" w:eastAsiaTheme="majorEastAsia" w:hAnsiTheme="majorHAnsi" w:cstheme="majorBidi"/>
      <w:b/>
      <w:bCs/>
      <w:iCs/>
      <w:color w:val="000000" w:themeColor="text1"/>
      <w:sz w:val="28"/>
      <w:lang w:val="ru-RU" w:eastAsia="en-US"/>
    </w:rPr>
  </w:style>
  <w:style w:type="character" w:customStyle="1" w:styleId="50">
    <w:name w:val="Заголовок 5 Знак"/>
    <w:basedOn w:val="a0"/>
    <w:link w:val="5"/>
    <w:rsid w:val="00E84375"/>
    <w:rPr>
      <w:rFonts w:ascii="Calibri Light" w:eastAsia="Calibri Light" w:hAnsi="Calibri Light" w:cs="Calibri Light"/>
      <w:b/>
      <w:bCs/>
      <w:sz w:val="24"/>
      <w:szCs w:val="24"/>
      <w:u w:val="single"/>
      <w:lang w:val="ru-RU" w:eastAsia="ru-RU"/>
    </w:rPr>
  </w:style>
  <w:style w:type="character" w:customStyle="1" w:styleId="70">
    <w:name w:val="Заголовок 7 Знак"/>
    <w:basedOn w:val="a0"/>
    <w:link w:val="7"/>
    <w:uiPriority w:val="1"/>
    <w:rsid w:val="00042C62"/>
    <w:rPr>
      <w:rFonts w:asciiTheme="majorHAnsi" w:eastAsia="Calibri Light" w:hAnsiTheme="majorHAnsi" w:cs="Calibri Light"/>
      <w:b/>
      <w:iCs/>
      <w:color w:val="404040"/>
      <w:lang w:eastAsia="en-US"/>
    </w:rPr>
  </w:style>
  <w:style w:type="character" w:styleId="a3">
    <w:name w:val="annotation reference"/>
    <w:basedOn w:val="a0"/>
    <w:uiPriority w:val="99"/>
    <w:semiHidden/>
    <w:unhideWhenUsed/>
    <w:rsid w:val="00D42737"/>
    <w:rPr>
      <w:sz w:val="16"/>
      <w:szCs w:val="16"/>
    </w:rPr>
  </w:style>
  <w:style w:type="paragraph" w:styleId="a4">
    <w:name w:val="annotation text"/>
    <w:basedOn w:val="a"/>
    <w:link w:val="a5"/>
    <w:uiPriority w:val="99"/>
    <w:semiHidden/>
    <w:unhideWhenUsed/>
    <w:rsid w:val="00D42737"/>
    <w:pPr>
      <w:spacing w:line="240" w:lineRule="auto"/>
    </w:pPr>
    <w:rPr>
      <w:sz w:val="20"/>
      <w:szCs w:val="20"/>
    </w:rPr>
  </w:style>
  <w:style w:type="character" w:customStyle="1" w:styleId="a5">
    <w:name w:val="Текст примечания Знак"/>
    <w:basedOn w:val="a0"/>
    <w:link w:val="a4"/>
    <w:uiPriority w:val="99"/>
    <w:semiHidden/>
    <w:rsid w:val="00D42737"/>
    <w:rPr>
      <w:rFonts w:ascii="Calibri" w:eastAsia="Calibri" w:hAnsi="Calibri" w:cs="Times New Roman"/>
      <w:sz w:val="20"/>
      <w:szCs w:val="20"/>
      <w:lang w:val="ru-RU" w:eastAsia="en-US"/>
    </w:rPr>
  </w:style>
  <w:style w:type="paragraph" w:styleId="a6">
    <w:name w:val="Balloon Text"/>
    <w:basedOn w:val="a"/>
    <w:link w:val="a7"/>
    <w:uiPriority w:val="99"/>
    <w:semiHidden/>
    <w:unhideWhenUsed/>
    <w:rsid w:val="00D42737"/>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42737"/>
    <w:rPr>
      <w:rFonts w:ascii="Tahoma" w:eastAsia="Calibri" w:hAnsi="Tahoma" w:cs="Tahoma"/>
      <w:sz w:val="16"/>
      <w:szCs w:val="16"/>
      <w:lang w:val="ru-RU" w:eastAsia="en-US"/>
    </w:rPr>
  </w:style>
  <w:style w:type="paragraph" w:styleId="a8">
    <w:name w:val="Normal (Web)"/>
    <w:basedOn w:val="a"/>
    <w:uiPriority w:val="99"/>
    <w:unhideWhenUsed/>
    <w:rsid w:val="006D10C9"/>
    <w:pPr>
      <w:spacing w:before="100" w:beforeAutospacing="1" w:after="100" w:afterAutospacing="1" w:line="240" w:lineRule="auto"/>
    </w:pPr>
    <w:rPr>
      <w:rFonts w:ascii="Times New Roman" w:eastAsiaTheme="minorEastAsia" w:hAnsi="Times New Roman"/>
      <w:sz w:val="24"/>
      <w:szCs w:val="24"/>
      <w:lang w:val="uk-UA" w:eastAsia="uk-UA"/>
    </w:rPr>
  </w:style>
  <w:style w:type="table" w:styleId="a9">
    <w:name w:val="Table Grid"/>
    <w:basedOn w:val="a1"/>
    <w:uiPriority w:val="59"/>
    <w:rsid w:val="00D063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annotation subject"/>
    <w:basedOn w:val="a4"/>
    <w:next w:val="a4"/>
    <w:link w:val="ab"/>
    <w:uiPriority w:val="99"/>
    <w:semiHidden/>
    <w:unhideWhenUsed/>
    <w:rsid w:val="008104ED"/>
    <w:rPr>
      <w:b/>
      <w:bCs/>
    </w:rPr>
  </w:style>
  <w:style w:type="character" w:customStyle="1" w:styleId="ab">
    <w:name w:val="Тема примечания Знак"/>
    <w:basedOn w:val="a5"/>
    <w:link w:val="aa"/>
    <w:uiPriority w:val="99"/>
    <w:semiHidden/>
    <w:rsid w:val="008104ED"/>
    <w:rPr>
      <w:rFonts w:ascii="Calibri" w:eastAsia="Calibri" w:hAnsi="Calibri" w:cs="Times New Roman"/>
      <w:b/>
      <w:bCs/>
      <w:sz w:val="20"/>
      <w:szCs w:val="20"/>
      <w:lang w:val="ru-RU" w:eastAsia="en-US"/>
    </w:rPr>
  </w:style>
  <w:style w:type="paragraph" w:styleId="ac">
    <w:name w:val="List Paragraph"/>
    <w:basedOn w:val="a"/>
    <w:uiPriority w:val="1"/>
    <w:qFormat/>
    <w:rsid w:val="001B2489"/>
    <w:pPr>
      <w:ind w:left="720"/>
      <w:contextualSpacing/>
    </w:pPr>
  </w:style>
  <w:style w:type="paragraph" w:styleId="ad">
    <w:name w:val="header"/>
    <w:basedOn w:val="a"/>
    <w:link w:val="ae"/>
    <w:uiPriority w:val="99"/>
    <w:unhideWhenUsed/>
    <w:rsid w:val="001E469B"/>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1E469B"/>
    <w:rPr>
      <w:rFonts w:ascii="Calibri" w:eastAsia="Calibri" w:hAnsi="Calibri" w:cs="Times New Roman"/>
      <w:lang w:val="ru-RU" w:eastAsia="en-US"/>
    </w:rPr>
  </w:style>
  <w:style w:type="paragraph" w:styleId="af">
    <w:name w:val="footer"/>
    <w:basedOn w:val="a"/>
    <w:link w:val="af0"/>
    <w:uiPriority w:val="99"/>
    <w:unhideWhenUsed/>
    <w:rsid w:val="001E469B"/>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1E469B"/>
    <w:rPr>
      <w:rFonts w:ascii="Calibri" w:eastAsia="Calibri" w:hAnsi="Calibri" w:cs="Times New Roman"/>
      <w:lang w:val="ru-RU" w:eastAsia="en-US"/>
    </w:rPr>
  </w:style>
  <w:style w:type="character" w:styleId="af1">
    <w:name w:val="Hyperlink"/>
    <w:uiPriority w:val="99"/>
    <w:qFormat/>
    <w:rsid w:val="00612E8E"/>
    <w:rPr>
      <w:color w:val="0000FF"/>
      <w:u w:val="single"/>
    </w:rPr>
  </w:style>
  <w:style w:type="paragraph" w:styleId="HTML">
    <w:name w:val="HTML Preformatted"/>
    <w:basedOn w:val="a"/>
    <w:link w:val="HTML0"/>
    <w:uiPriority w:val="99"/>
    <w:unhideWhenUsed/>
    <w:rsid w:val="00612E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612E8E"/>
    <w:rPr>
      <w:rFonts w:ascii="Courier New" w:eastAsia="Times New Roman" w:hAnsi="Courier New" w:cs="Courier New"/>
      <w:sz w:val="20"/>
      <w:szCs w:val="20"/>
      <w:lang w:eastAsia="uk-UA"/>
    </w:rPr>
  </w:style>
  <w:style w:type="paragraph" w:customStyle="1" w:styleId="rvps2">
    <w:name w:val="rvps2"/>
    <w:basedOn w:val="a"/>
    <w:rsid w:val="00612E8E"/>
    <w:pPr>
      <w:spacing w:before="100" w:beforeAutospacing="1" w:after="100" w:afterAutospacing="1" w:line="240" w:lineRule="auto"/>
    </w:pPr>
    <w:rPr>
      <w:rFonts w:ascii="Times New Roman" w:eastAsia="Times New Roman" w:hAnsi="Times New Roman"/>
      <w:sz w:val="24"/>
      <w:szCs w:val="24"/>
      <w:lang w:eastAsia="ru-RU"/>
    </w:rPr>
  </w:style>
  <w:style w:type="character" w:styleId="af2">
    <w:name w:val="Strong"/>
    <w:basedOn w:val="a0"/>
    <w:uiPriority w:val="22"/>
    <w:qFormat/>
    <w:rsid w:val="00740C68"/>
    <w:rPr>
      <w:b/>
      <w:bCs/>
    </w:rPr>
  </w:style>
  <w:style w:type="character" w:styleId="af3">
    <w:name w:val="FollowedHyperlink"/>
    <w:basedOn w:val="a0"/>
    <w:uiPriority w:val="99"/>
    <w:semiHidden/>
    <w:unhideWhenUsed/>
    <w:rsid w:val="003E67F4"/>
    <w:rPr>
      <w:color w:val="800080" w:themeColor="followedHyperlink"/>
      <w:u w:val="single"/>
    </w:rPr>
  </w:style>
  <w:style w:type="character" w:customStyle="1" w:styleId="citation-number">
    <w:name w:val="citation-number"/>
    <w:basedOn w:val="a0"/>
    <w:rsid w:val="002D3E52"/>
  </w:style>
  <w:style w:type="character" w:customStyle="1" w:styleId="citation-content">
    <w:name w:val="citation-content"/>
    <w:basedOn w:val="a0"/>
    <w:rsid w:val="002D3E52"/>
  </w:style>
  <w:style w:type="paragraph" w:customStyle="1" w:styleId="citation">
    <w:name w:val="citation"/>
    <w:basedOn w:val="a"/>
    <w:rsid w:val="006E0807"/>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1">
    <w:name w:val="Обычный1"/>
    <w:basedOn w:val="a"/>
    <w:rsid w:val="00110A39"/>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rvts23">
    <w:name w:val="rvts23"/>
    <w:rsid w:val="00110A39"/>
  </w:style>
  <w:style w:type="paragraph" w:styleId="31">
    <w:name w:val="Body Text 3"/>
    <w:basedOn w:val="a"/>
    <w:link w:val="32"/>
    <w:rsid w:val="00E84375"/>
    <w:pPr>
      <w:spacing w:after="0" w:line="240" w:lineRule="auto"/>
    </w:pPr>
    <w:rPr>
      <w:rFonts w:ascii="Calibri Light" w:eastAsia="Calibri Light" w:hAnsi="Calibri Light" w:cs="Calibri Light"/>
      <w:lang w:val="uk-UA" w:eastAsia="ru-RU"/>
    </w:rPr>
  </w:style>
  <w:style w:type="character" w:customStyle="1" w:styleId="32">
    <w:name w:val="Основной текст 3 Знак"/>
    <w:basedOn w:val="a0"/>
    <w:link w:val="31"/>
    <w:rsid w:val="00E84375"/>
    <w:rPr>
      <w:rFonts w:ascii="Calibri Light" w:eastAsia="Calibri Light" w:hAnsi="Calibri Light" w:cs="Calibri Light"/>
      <w:lang w:eastAsia="ru-RU"/>
    </w:rPr>
  </w:style>
  <w:style w:type="paragraph" w:styleId="af4">
    <w:name w:val="Body Text Indent"/>
    <w:basedOn w:val="a"/>
    <w:link w:val="af5"/>
    <w:uiPriority w:val="99"/>
    <w:unhideWhenUsed/>
    <w:rsid w:val="00E84375"/>
    <w:pPr>
      <w:spacing w:after="120"/>
      <w:ind w:left="283"/>
    </w:pPr>
    <w:rPr>
      <w:rFonts w:ascii="Tahoma" w:eastAsia="Tahoma" w:hAnsi="Tahoma" w:cs="Calibri Light"/>
      <w:lang w:val="uk-UA"/>
    </w:rPr>
  </w:style>
  <w:style w:type="character" w:customStyle="1" w:styleId="af5">
    <w:name w:val="Основной текст с отступом Знак"/>
    <w:basedOn w:val="a0"/>
    <w:link w:val="af4"/>
    <w:uiPriority w:val="99"/>
    <w:rsid w:val="00E84375"/>
    <w:rPr>
      <w:rFonts w:ascii="Tahoma" w:eastAsia="Tahoma" w:hAnsi="Tahoma" w:cs="Calibri Light"/>
      <w:lang w:eastAsia="en-US"/>
    </w:rPr>
  </w:style>
  <w:style w:type="character" w:customStyle="1" w:styleId="apple-converted-space">
    <w:name w:val="apple-converted-space"/>
    <w:basedOn w:val="a0"/>
    <w:rsid w:val="00E84375"/>
  </w:style>
  <w:style w:type="character" w:customStyle="1" w:styleId="5yl5">
    <w:name w:val="_5yl5"/>
    <w:basedOn w:val="a0"/>
    <w:rsid w:val="00E84375"/>
  </w:style>
  <w:style w:type="character" w:customStyle="1" w:styleId="alt-edited">
    <w:name w:val="alt-edited"/>
    <w:basedOn w:val="a0"/>
    <w:rsid w:val="00E84375"/>
  </w:style>
  <w:style w:type="character" w:customStyle="1" w:styleId="hps">
    <w:name w:val="hps"/>
    <w:basedOn w:val="a0"/>
    <w:rsid w:val="00E84375"/>
  </w:style>
  <w:style w:type="character" w:customStyle="1" w:styleId="st">
    <w:name w:val="st"/>
    <w:basedOn w:val="a0"/>
    <w:rsid w:val="00E84375"/>
  </w:style>
  <w:style w:type="paragraph" w:customStyle="1" w:styleId="21">
    <w:name w:val="Обычный2"/>
    <w:basedOn w:val="a"/>
    <w:rsid w:val="00E84375"/>
    <w:pPr>
      <w:spacing w:before="100" w:beforeAutospacing="1" w:after="100" w:afterAutospacing="1" w:line="240" w:lineRule="auto"/>
    </w:pPr>
    <w:rPr>
      <w:rFonts w:ascii="Calibri Light" w:eastAsia="Calibri Light" w:hAnsi="Calibri Light" w:cs="Calibri Light"/>
      <w:sz w:val="24"/>
      <w:szCs w:val="24"/>
      <w:lang w:val="uk-UA" w:eastAsia="uk-UA"/>
    </w:rPr>
  </w:style>
  <w:style w:type="paragraph" w:customStyle="1" w:styleId="tbl-txt">
    <w:name w:val="tbl-txt"/>
    <w:basedOn w:val="a"/>
    <w:rsid w:val="00E84375"/>
    <w:pPr>
      <w:spacing w:before="100" w:beforeAutospacing="1" w:after="100" w:afterAutospacing="1" w:line="240" w:lineRule="auto"/>
    </w:pPr>
    <w:rPr>
      <w:rFonts w:ascii="Calibri Light" w:eastAsia="Calibri Light" w:hAnsi="Calibri Light" w:cs="Calibri Light"/>
      <w:sz w:val="24"/>
      <w:szCs w:val="24"/>
      <w:lang w:val="uk-UA" w:eastAsia="uk-UA"/>
    </w:rPr>
  </w:style>
  <w:style w:type="paragraph" w:customStyle="1" w:styleId="BeginIndent">
    <w:name w:val="Begin_Indent"/>
    <w:basedOn w:val="a"/>
    <w:rsid w:val="00E84375"/>
    <w:pPr>
      <w:widowControl w:val="0"/>
      <w:overflowPunct w:val="0"/>
      <w:autoSpaceDE w:val="0"/>
      <w:autoSpaceDN w:val="0"/>
      <w:adjustRightInd w:val="0"/>
      <w:spacing w:after="0" w:line="240" w:lineRule="auto"/>
      <w:ind w:firstLine="567"/>
      <w:textAlignment w:val="baseline"/>
    </w:pPr>
    <w:rPr>
      <w:rFonts w:ascii="Cambria Math" w:eastAsia="Calibri Light" w:hAnsi="Cambria Math" w:cs="Calibri Light"/>
      <w:sz w:val="24"/>
      <w:szCs w:val="20"/>
      <w:lang w:eastAsia="ru-RU"/>
    </w:rPr>
  </w:style>
  <w:style w:type="paragraph" w:customStyle="1" w:styleId="Default">
    <w:name w:val="Default"/>
    <w:rsid w:val="00E84375"/>
    <w:pPr>
      <w:autoSpaceDE w:val="0"/>
      <w:autoSpaceDN w:val="0"/>
      <w:adjustRightInd w:val="0"/>
      <w:spacing w:after="0" w:line="240" w:lineRule="auto"/>
    </w:pPr>
    <w:rPr>
      <w:rFonts w:ascii="Cambria Math" w:eastAsia="Tahoma" w:hAnsi="Cambria Math" w:cs="Cambria Math"/>
      <w:color w:val="000000"/>
      <w:sz w:val="24"/>
      <w:szCs w:val="24"/>
      <w:lang w:eastAsia="en-US"/>
    </w:rPr>
  </w:style>
  <w:style w:type="character" w:customStyle="1" w:styleId="y2iqfc">
    <w:name w:val="y2iqfc"/>
    <w:rsid w:val="00E84375"/>
  </w:style>
  <w:style w:type="character" w:customStyle="1" w:styleId="fontstyle01">
    <w:name w:val="fontstyle01"/>
    <w:rsid w:val="00E84375"/>
    <w:rPr>
      <w:rFonts w:ascii="Tahoma" w:hAnsi="Tahoma" w:cs="Tahoma" w:hint="default"/>
      <w:b w:val="0"/>
      <w:bCs w:val="0"/>
      <w:i w:val="0"/>
      <w:iCs w:val="0"/>
      <w:color w:val="000000"/>
      <w:sz w:val="20"/>
      <w:szCs w:val="20"/>
    </w:rPr>
  </w:style>
  <w:style w:type="character" w:customStyle="1" w:styleId="rvts9">
    <w:name w:val="rvts9"/>
    <w:rsid w:val="00E84375"/>
  </w:style>
  <w:style w:type="character" w:customStyle="1" w:styleId="rvts11">
    <w:name w:val="rvts11"/>
    <w:rsid w:val="00E84375"/>
  </w:style>
  <w:style w:type="paragraph" w:customStyle="1" w:styleId="rvps7">
    <w:name w:val="rvps7"/>
    <w:basedOn w:val="a"/>
    <w:rsid w:val="00E84375"/>
    <w:pPr>
      <w:spacing w:before="100" w:beforeAutospacing="1" w:after="100" w:afterAutospacing="1" w:line="240" w:lineRule="auto"/>
    </w:pPr>
    <w:rPr>
      <w:rFonts w:ascii="Calibri Light" w:eastAsia="Calibri Light" w:hAnsi="Calibri Light" w:cs="Calibri Light"/>
      <w:sz w:val="24"/>
      <w:szCs w:val="24"/>
      <w:lang w:eastAsia="ru-RU"/>
    </w:rPr>
  </w:style>
  <w:style w:type="character" w:customStyle="1" w:styleId="rvts15">
    <w:name w:val="rvts15"/>
    <w:rsid w:val="00E84375"/>
  </w:style>
  <w:style w:type="paragraph" w:customStyle="1" w:styleId="rvps6">
    <w:name w:val="rvps6"/>
    <w:basedOn w:val="a"/>
    <w:rsid w:val="00E84375"/>
    <w:pPr>
      <w:spacing w:before="100" w:beforeAutospacing="1" w:after="100" w:afterAutospacing="1" w:line="240" w:lineRule="auto"/>
    </w:pPr>
    <w:rPr>
      <w:rFonts w:ascii="Calibri Light" w:eastAsia="Calibri Light" w:hAnsi="Calibri Light" w:cs="Calibri Light"/>
      <w:sz w:val="24"/>
      <w:szCs w:val="24"/>
      <w:lang w:eastAsia="ru-RU"/>
    </w:rPr>
  </w:style>
  <w:style w:type="character" w:customStyle="1" w:styleId="rvts46">
    <w:name w:val="rvts46"/>
    <w:rsid w:val="00E84375"/>
  </w:style>
  <w:style w:type="character" w:styleId="HTML1">
    <w:name w:val="HTML Cite"/>
    <w:uiPriority w:val="99"/>
    <w:semiHidden/>
    <w:unhideWhenUsed/>
    <w:rsid w:val="00E84375"/>
    <w:rPr>
      <w:i/>
      <w:iCs/>
    </w:rPr>
  </w:style>
  <w:style w:type="character" w:customStyle="1" w:styleId="dyjrff">
    <w:name w:val="dyjrff"/>
    <w:rsid w:val="00E84375"/>
  </w:style>
  <w:style w:type="paragraph" w:customStyle="1" w:styleId="rvps14">
    <w:name w:val="rvps14"/>
    <w:basedOn w:val="a"/>
    <w:rsid w:val="00E84375"/>
    <w:pPr>
      <w:spacing w:before="100" w:beforeAutospacing="1" w:after="100" w:afterAutospacing="1" w:line="240" w:lineRule="auto"/>
    </w:pPr>
    <w:rPr>
      <w:rFonts w:ascii="Calibri Light" w:eastAsia="Calibri Light" w:hAnsi="Calibri Light" w:cs="Calibri Light"/>
      <w:sz w:val="24"/>
      <w:szCs w:val="24"/>
      <w:lang w:eastAsia="ru-RU"/>
    </w:rPr>
  </w:style>
  <w:style w:type="character" w:customStyle="1" w:styleId="rvts82">
    <w:name w:val="rvts82"/>
    <w:rsid w:val="00E84375"/>
  </w:style>
  <w:style w:type="paragraph" w:customStyle="1" w:styleId="rvps12">
    <w:name w:val="rvps12"/>
    <w:basedOn w:val="a"/>
    <w:rsid w:val="00E84375"/>
    <w:pPr>
      <w:spacing w:before="100" w:beforeAutospacing="1" w:after="100" w:afterAutospacing="1" w:line="240" w:lineRule="auto"/>
    </w:pPr>
    <w:rPr>
      <w:rFonts w:ascii="Calibri Light" w:eastAsia="Calibri Light" w:hAnsi="Calibri Light" w:cs="Calibri Light"/>
      <w:sz w:val="24"/>
      <w:szCs w:val="24"/>
      <w:lang w:eastAsia="ru-RU"/>
    </w:rPr>
  </w:style>
  <w:style w:type="character" w:customStyle="1" w:styleId="rvts37">
    <w:name w:val="rvts37"/>
    <w:rsid w:val="00E84375"/>
  </w:style>
  <w:style w:type="paragraph" w:customStyle="1" w:styleId="33">
    <w:name w:val="Обычный3"/>
    <w:basedOn w:val="a"/>
    <w:rsid w:val="00C24470"/>
    <w:pPr>
      <w:spacing w:before="100" w:beforeAutospacing="1" w:after="100" w:afterAutospacing="1" w:line="240" w:lineRule="auto"/>
    </w:pPr>
    <w:rPr>
      <w:rFonts w:ascii="Calibri Light" w:eastAsia="Calibri Light" w:hAnsi="Calibri Light"/>
      <w:sz w:val="24"/>
      <w:szCs w:val="24"/>
      <w:lang w:eastAsia="uk-UA"/>
    </w:rPr>
  </w:style>
  <w:style w:type="character" w:customStyle="1" w:styleId="fontstyle21">
    <w:name w:val="fontstyle21"/>
    <w:rsid w:val="00C24470"/>
    <w:rPr>
      <w:rFonts w:ascii="Times New Roman" w:hAnsi="Times New Roman" w:cs="Times New Roman" w:hint="default"/>
      <w:b w:val="0"/>
      <w:bCs w:val="0"/>
      <w:i w:val="0"/>
      <w:iCs w:val="0"/>
      <w:color w:val="000000"/>
      <w:sz w:val="28"/>
      <w:szCs w:val="28"/>
    </w:rPr>
  </w:style>
  <w:style w:type="paragraph" w:styleId="af6">
    <w:name w:val="Body Text"/>
    <w:basedOn w:val="a"/>
    <w:link w:val="af7"/>
    <w:uiPriority w:val="1"/>
    <w:unhideWhenUsed/>
    <w:qFormat/>
    <w:rsid w:val="00C24470"/>
    <w:pPr>
      <w:spacing w:after="120" w:line="240" w:lineRule="auto"/>
    </w:pPr>
    <w:rPr>
      <w:rFonts w:ascii="Times New Roman" w:eastAsia="Times New Roman" w:hAnsi="Times New Roman"/>
      <w:sz w:val="24"/>
      <w:szCs w:val="24"/>
      <w:lang w:eastAsia="ru-RU"/>
    </w:rPr>
  </w:style>
  <w:style w:type="character" w:customStyle="1" w:styleId="af7">
    <w:name w:val="Основной текст Знак"/>
    <w:basedOn w:val="a0"/>
    <w:link w:val="af6"/>
    <w:uiPriority w:val="1"/>
    <w:rsid w:val="00C24470"/>
    <w:rPr>
      <w:rFonts w:ascii="Times New Roman" w:eastAsia="Times New Roman" w:hAnsi="Times New Roman" w:cs="Times New Roman"/>
      <w:sz w:val="24"/>
      <w:szCs w:val="24"/>
      <w:lang w:val="ru-RU" w:eastAsia="ru-RU"/>
    </w:rPr>
  </w:style>
  <w:style w:type="character" w:customStyle="1" w:styleId="fontstyle31">
    <w:name w:val="fontstyle31"/>
    <w:rsid w:val="00C24470"/>
    <w:rPr>
      <w:rFonts w:ascii="Times New Roman" w:hAnsi="Times New Roman" w:cs="Times New Roman" w:hint="default"/>
      <w:b w:val="0"/>
      <w:bCs w:val="0"/>
      <w:i/>
      <w:iCs/>
      <w:color w:val="000000"/>
      <w:sz w:val="28"/>
      <w:szCs w:val="28"/>
    </w:rPr>
  </w:style>
  <w:style w:type="character" w:customStyle="1" w:styleId="fontstyle41">
    <w:name w:val="fontstyle41"/>
    <w:rsid w:val="00C24470"/>
    <w:rPr>
      <w:rFonts w:ascii="Symbol" w:hAnsi="Symbol" w:hint="default"/>
      <w:b w:val="0"/>
      <w:bCs w:val="0"/>
      <w:i w:val="0"/>
      <w:iCs w:val="0"/>
      <w:color w:val="000000"/>
      <w:sz w:val="56"/>
      <w:szCs w:val="56"/>
    </w:rPr>
  </w:style>
  <w:style w:type="character" w:styleId="af8">
    <w:name w:val="Emphasis"/>
    <w:basedOn w:val="a0"/>
    <w:uiPriority w:val="20"/>
    <w:qFormat/>
    <w:rsid w:val="00911C87"/>
    <w:rPr>
      <w:i/>
      <w:iCs/>
    </w:rPr>
  </w:style>
  <w:style w:type="character" w:customStyle="1" w:styleId="12">
    <w:name w:val="Незакрита згадка1"/>
    <w:basedOn w:val="a0"/>
    <w:uiPriority w:val="99"/>
    <w:semiHidden/>
    <w:unhideWhenUsed/>
    <w:rsid w:val="008B23B2"/>
    <w:rPr>
      <w:color w:val="605E5C"/>
      <w:shd w:val="clear" w:color="auto" w:fill="E1DFDD"/>
    </w:rPr>
  </w:style>
  <w:style w:type="character" w:customStyle="1" w:styleId="value">
    <w:name w:val="value"/>
    <w:basedOn w:val="a0"/>
    <w:rsid w:val="00A811BE"/>
  </w:style>
  <w:style w:type="paragraph" w:customStyle="1" w:styleId="91">
    <w:name w:val="Заголовок 91"/>
    <w:basedOn w:val="a"/>
    <w:rsid w:val="004E4467"/>
    <w:pPr>
      <w:widowControl w:val="0"/>
      <w:autoSpaceDE w:val="0"/>
      <w:autoSpaceDN w:val="0"/>
      <w:adjustRightInd w:val="0"/>
      <w:spacing w:before="44" w:after="0" w:line="240" w:lineRule="auto"/>
      <w:ind w:left="860"/>
      <w:outlineLvl w:val="8"/>
    </w:pPr>
    <w:rPr>
      <w:rFonts w:eastAsia="Times New Roman" w:cs="Calibri"/>
      <w:b/>
      <w:bCs/>
      <w:sz w:val="28"/>
      <w:szCs w:val="28"/>
      <w:lang w:eastAsia="ru-RU"/>
    </w:rPr>
  </w:style>
  <w:style w:type="character" w:customStyle="1" w:styleId="22">
    <w:name w:val="Незакрита згадка2"/>
    <w:basedOn w:val="a0"/>
    <w:uiPriority w:val="99"/>
    <w:semiHidden/>
    <w:unhideWhenUsed/>
    <w:rsid w:val="003E6BD5"/>
    <w:rPr>
      <w:color w:val="605E5C"/>
      <w:shd w:val="clear" w:color="auto" w:fill="E1DFDD"/>
    </w:rPr>
  </w:style>
  <w:style w:type="paragraph" w:styleId="af9">
    <w:name w:val="TOC Heading"/>
    <w:basedOn w:val="1"/>
    <w:next w:val="a"/>
    <w:uiPriority w:val="39"/>
    <w:unhideWhenUsed/>
    <w:qFormat/>
    <w:rsid w:val="004B3D60"/>
    <w:pPr>
      <w:spacing w:before="480"/>
      <w:jc w:val="left"/>
      <w:outlineLvl w:val="9"/>
    </w:pPr>
    <w:rPr>
      <w:bCs/>
      <w:color w:val="365F91" w:themeColor="accent1" w:themeShade="BF"/>
      <w:sz w:val="28"/>
      <w:szCs w:val="28"/>
    </w:rPr>
  </w:style>
  <w:style w:type="paragraph" w:styleId="13">
    <w:name w:val="toc 1"/>
    <w:basedOn w:val="a"/>
    <w:next w:val="a"/>
    <w:autoRedefine/>
    <w:uiPriority w:val="39"/>
    <w:unhideWhenUsed/>
    <w:qFormat/>
    <w:rsid w:val="007D4E23"/>
    <w:pPr>
      <w:tabs>
        <w:tab w:val="right" w:pos="9639"/>
      </w:tabs>
      <w:spacing w:before="120" w:after="120"/>
      <w:ind w:left="210" w:hanging="210"/>
    </w:pPr>
    <w:rPr>
      <w:rFonts w:asciiTheme="majorHAnsi" w:hAnsiTheme="majorHAnsi"/>
      <w:b/>
      <w:bCs/>
      <w:caps/>
      <w:noProof/>
      <w:sz w:val="28"/>
      <w:szCs w:val="28"/>
      <w:lang w:eastAsia="ru-RU"/>
    </w:rPr>
  </w:style>
  <w:style w:type="paragraph" w:styleId="23">
    <w:name w:val="toc 2"/>
    <w:basedOn w:val="a"/>
    <w:next w:val="a"/>
    <w:autoRedefine/>
    <w:uiPriority w:val="39"/>
    <w:unhideWhenUsed/>
    <w:qFormat/>
    <w:rsid w:val="00077E20"/>
    <w:pPr>
      <w:tabs>
        <w:tab w:val="right" w:pos="9658"/>
      </w:tabs>
      <w:spacing w:before="240" w:after="0"/>
      <w:ind w:left="993" w:hanging="426"/>
    </w:pPr>
    <w:rPr>
      <w:rFonts w:asciiTheme="minorHAnsi" w:hAnsiTheme="minorHAnsi" w:cstheme="minorHAnsi"/>
      <w:b/>
      <w:bCs/>
      <w:sz w:val="20"/>
      <w:szCs w:val="20"/>
    </w:rPr>
  </w:style>
  <w:style w:type="paragraph" w:styleId="34">
    <w:name w:val="toc 3"/>
    <w:basedOn w:val="a"/>
    <w:next w:val="a"/>
    <w:autoRedefine/>
    <w:uiPriority w:val="39"/>
    <w:unhideWhenUsed/>
    <w:rsid w:val="00077E20"/>
    <w:pPr>
      <w:tabs>
        <w:tab w:val="right" w:pos="9658"/>
      </w:tabs>
      <w:spacing w:after="0"/>
      <w:ind w:left="220" w:firstLine="914"/>
    </w:pPr>
    <w:rPr>
      <w:rFonts w:asciiTheme="minorHAnsi" w:hAnsiTheme="minorHAnsi" w:cstheme="minorHAnsi"/>
      <w:sz w:val="20"/>
      <w:szCs w:val="20"/>
    </w:rPr>
  </w:style>
  <w:style w:type="paragraph" w:styleId="41">
    <w:name w:val="toc 4"/>
    <w:basedOn w:val="a"/>
    <w:next w:val="a"/>
    <w:autoRedefine/>
    <w:uiPriority w:val="39"/>
    <w:unhideWhenUsed/>
    <w:rsid w:val="004B3D60"/>
    <w:pPr>
      <w:spacing w:after="0"/>
      <w:ind w:left="440"/>
    </w:pPr>
    <w:rPr>
      <w:rFonts w:asciiTheme="minorHAnsi" w:hAnsiTheme="minorHAnsi" w:cstheme="minorHAnsi"/>
      <w:sz w:val="20"/>
      <w:szCs w:val="20"/>
    </w:rPr>
  </w:style>
  <w:style w:type="paragraph" w:styleId="51">
    <w:name w:val="toc 5"/>
    <w:basedOn w:val="a"/>
    <w:next w:val="a"/>
    <w:autoRedefine/>
    <w:uiPriority w:val="39"/>
    <w:unhideWhenUsed/>
    <w:rsid w:val="00077E20"/>
    <w:pPr>
      <w:spacing w:after="0"/>
      <w:ind w:left="660"/>
    </w:pPr>
    <w:rPr>
      <w:rFonts w:asciiTheme="minorHAnsi" w:hAnsiTheme="minorHAnsi" w:cstheme="minorHAnsi"/>
      <w:sz w:val="20"/>
      <w:szCs w:val="20"/>
    </w:rPr>
  </w:style>
  <w:style w:type="paragraph" w:styleId="61">
    <w:name w:val="toc 6"/>
    <w:basedOn w:val="a"/>
    <w:next w:val="a"/>
    <w:autoRedefine/>
    <w:uiPriority w:val="39"/>
    <w:unhideWhenUsed/>
    <w:rsid w:val="00077E20"/>
    <w:pPr>
      <w:spacing w:after="0"/>
      <w:ind w:left="880"/>
    </w:pPr>
    <w:rPr>
      <w:rFonts w:asciiTheme="minorHAnsi" w:hAnsiTheme="minorHAnsi" w:cstheme="minorHAnsi"/>
      <w:sz w:val="20"/>
      <w:szCs w:val="20"/>
    </w:rPr>
  </w:style>
  <w:style w:type="paragraph" w:styleId="71">
    <w:name w:val="toc 7"/>
    <w:basedOn w:val="a"/>
    <w:next w:val="a"/>
    <w:autoRedefine/>
    <w:uiPriority w:val="39"/>
    <w:unhideWhenUsed/>
    <w:rsid w:val="00077E20"/>
    <w:pPr>
      <w:spacing w:after="0"/>
      <w:ind w:left="1100"/>
    </w:pPr>
    <w:rPr>
      <w:rFonts w:asciiTheme="minorHAnsi" w:hAnsiTheme="minorHAnsi" w:cstheme="minorHAnsi"/>
      <w:sz w:val="20"/>
      <w:szCs w:val="20"/>
    </w:rPr>
  </w:style>
  <w:style w:type="paragraph" w:styleId="81">
    <w:name w:val="toc 8"/>
    <w:basedOn w:val="a"/>
    <w:next w:val="a"/>
    <w:autoRedefine/>
    <w:uiPriority w:val="39"/>
    <w:unhideWhenUsed/>
    <w:rsid w:val="00077E20"/>
    <w:pPr>
      <w:spacing w:after="0"/>
      <w:ind w:left="1320"/>
    </w:pPr>
    <w:rPr>
      <w:rFonts w:asciiTheme="minorHAnsi" w:hAnsiTheme="minorHAnsi" w:cstheme="minorHAnsi"/>
      <w:sz w:val="20"/>
      <w:szCs w:val="20"/>
    </w:rPr>
  </w:style>
  <w:style w:type="paragraph" w:styleId="9">
    <w:name w:val="toc 9"/>
    <w:basedOn w:val="a"/>
    <w:next w:val="a"/>
    <w:autoRedefine/>
    <w:uiPriority w:val="39"/>
    <w:unhideWhenUsed/>
    <w:rsid w:val="00077E20"/>
    <w:pPr>
      <w:spacing w:after="0"/>
      <w:ind w:left="1540"/>
    </w:pPr>
    <w:rPr>
      <w:rFonts w:asciiTheme="minorHAnsi" w:hAnsiTheme="minorHAnsi" w:cstheme="minorHAnsi"/>
      <w:sz w:val="20"/>
      <w:szCs w:val="20"/>
    </w:rPr>
  </w:style>
  <w:style w:type="character" w:customStyle="1" w:styleId="60">
    <w:name w:val="Заголовок 6 Знак"/>
    <w:basedOn w:val="a0"/>
    <w:link w:val="6"/>
    <w:uiPriority w:val="9"/>
    <w:rsid w:val="0097612F"/>
    <w:rPr>
      <w:rFonts w:ascii="Times New Roman" w:eastAsia="Times New Roman" w:hAnsi="Times New Roman" w:cs="Times New Roman"/>
      <w:lang w:eastAsia="en-US"/>
    </w:rPr>
  </w:style>
  <w:style w:type="character" w:customStyle="1" w:styleId="80">
    <w:name w:val="Заголовок 8 Знак"/>
    <w:basedOn w:val="a0"/>
    <w:link w:val="8"/>
    <w:uiPriority w:val="1"/>
    <w:rsid w:val="0097612F"/>
    <w:rPr>
      <w:rFonts w:ascii="Times New Roman" w:eastAsia="Times New Roman" w:hAnsi="Times New Roman" w:cs="Times New Roman"/>
      <w:b/>
      <w:bCs/>
      <w:i/>
      <w:iCs/>
      <w:sz w:val="20"/>
      <w:szCs w:val="20"/>
      <w:lang w:eastAsia="en-US"/>
    </w:rPr>
  </w:style>
  <w:style w:type="table" w:customStyle="1" w:styleId="TableNormal">
    <w:name w:val="Table Normal"/>
    <w:uiPriority w:val="2"/>
    <w:semiHidden/>
    <w:unhideWhenUsed/>
    <w:qFormat/>
    <w:rsid w:val="0097612F"/>
    <w:pPr>
      <w:widowControl w:val="0"/>
      <w:autoSpaceDE w:val="0"/>
      <w:autoSpaceDN w:val="0"/>
      <w:spacing w:after="0" w:line="240" w:lineRule="auto"/>
    </w:pPr>
    <w:rPr>
      <w:lang w:val="en-US"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97612F"/>
    <w:pPr>
      <w:widowControl w:val="0"/>
      <w:autoSpaceDE w:val="0"/>
      <w:autoSpaceDN w:val="0"/>
      <w:spacing w:after="0" w:line="240" w:lineRule="auto"/>
      <w:ind w:left="316"/>
    </w:pPr>
    <w:rPr>
      <w:rFonts w:ascii="Times New Roman" w:eastAsia="Times New Roman" w:hAnsi="Times New Roman"/>
      <w:lang w:val="uk-UA"/>
    </w:rPr>
  </w:style>
  <w:style w:type="character" w:customStyle="1" w:styleId="24">
    <w:name w:val="Основной текст (2)_"/>
    <w:basedOn w:val="a0"/>
    <w:link w:val="25"/>
    <w:uiPriority w:val="99"/>
    <w:rsid w:val="0097612F"/>
    <w:rPr>
      <w:rFonts w:ascii="Times New Roman" w:hAnsi="Times New Roman"/>
      <w:b/>
      <w:bCs/>
      <w:sz w:val="27"/>
      <w:szCs w:val="27"/>
      <w:shd w:val="clear" w:color="auto" w:fill="FFFFFF"/>
    </w:rPr>
  </w:style>
  <w:style w:type="character" w:customStyle="1" w:styleId="42">
    <w:name w:val="Основной текст (4)_"/>
    <w:basedOn w:val="a0"/>
    <w:link w:val="43"/>
    <w:uiPriority w:val="99"/>
    <w:rsid w:val="0097612F"/>
    <w:rPr>
      <w:rFonts w:ascii="Times New Roman" w:hAnsi="Times New Roman"/>
      <w:b/>
      <w:bCs/>
      <w:sz w:val="39"/>
      <w:szCs w:val="39"/>
      <w:shd w:val="clear" w:color="auto" w:fill="FFFFFF"/>
    </w:rPr>
  </w:style>
  <w:style w:type="paragraph" w:customStyle="1" w:styleId="25">
    <w:name w:val="Основной текст (2)"/>
    <w:basedOn w:val="a"/>
    <w:link w:val="24"/>
    <w:uiPriority w:val="99"/>
    <w:rsid w:val="0097612F"/>
    <w:pPr>
      <w:widowControl w:val="0"/>
      <w:shd w:val="clear" w:color="auto" w:fill="FFFFFF"/>
      <w:spacing w:before="1140" w:after="0" w:line="374" w:lineRule="exact"/>
      <w:jc w:val="both"/>
    </w:pPr>
    <w:rPr>
      <w:rFonts w:ascii="Times New Roman" w:eastAsiaTheme="minorHAnsi" w:hAnsi="Times New Roman" w:cstheme="minorBidi"/>
      <w:b/>
      <w:bCs/>
      <w:sz w:val="27"/>
      <w:szCs w:val="27"/>
      <w:lang w:val="uk-UA" w:eastAsia="en-GB"/>
    </w:rPr>
  </w:style>
  <w:style w:type="paragraph" w:customStyle="1" w:styleId="43">
    <w:name w:val="Основной текст (4)"/>
    <w:basedOn w:val="a"/>
    <w:link w:val="42"/>
    <w:uiPriority w:val="99"/>
    <w:rsid w:val="0097612F"/>
    <w:pPr>
      <w:widowControl w:val="0"/>
      <w:shd w:val="clear" w:color="auto" w:fill="FFFFFF"/>
      <w:spacing w:before="5580" w:after="120" w:line="600" w:lineRule="exact"/>
      <w:jc w:val="center"/>
    </w:pPr>
    <w:rPr>
      <w:rFonts w:ascii="Times New Roman" w:eastAsiaTheme="minorHAnsi" w:hAnsi="Times New Roman" w:cstheme="minorBidi"/>
      <w:b/>
      <w:bCs/>
      <w:sz w:val="39"/>
      <w:szCs w:val="39"/>
      <w:lang w:val="uk-UA" w:eastAsia="en-GB"/>
    </w:rPr>
  </w:style>
  <w:style w:type="character" w:customStyle="1" w:styleId="14">
    <w:name w:val="Основной текст Знак1"/>
    <w:basedOn w:val="a0"/>
    <w:uiPriority w:val="99"/>
    <w:rsid w:val="0097612F"/>
    <w:rPr>
      <w:rFonts w:ascii="Times New Roman" w:hAnsi="Times New Roman"/>
      <w:spacing w:val="3"/>
      <w:sz w:val="21"/>
      <w:szCs w:val="21"/>
      <w:shd w:val="clear" w:color="auto" w:fill="FFFFFF"/>
    </w:rPr>
  </w:style>
  <w:style w:type="character" w:customStyle="1" w:styleId="52">
    <w:name w:val="Основной текст (5)_"/>
    <w:basedOn w:val="a0"/>
    <w:link w:val="53"/>
    <w:uiPriority w:val="99"/>
    <w:rsid w:val="0097612F"/>
    <w:rPr>
      <w:rFonts w:ascii="Times New Roman" w:hAnsi="Times New Roman"/>
      <w:b/>
      <w:bCs/>
      <w:sz w:val="19"/>
      <w:szCs w:val="19"/>
      <w:shd w:val="clear" w:color="auto" w:fill="FFFFFF"/>
    </w:rPr>
  </w:style>
  <w:style w:type="paragraph" w:customStyle="1" w:styleId="53">
    <w:name w:val="Основной текст (5)"/>
    <w:basedOn w:val="a"/>
    <w:link w:val="52"/>
    <w:uiPriority w:val="99"/>
    <w:rsid w:val="0097612F"/>
    <w:pPr>
      <w:widowControl w:val="0"/>
      <w:shd w:val="clear" w:color="auto" w:fill="FFFFFF"/>
      <w:spacing w:before="60" w:after="60" w:line="206" w:lineRule="exact"/>
      <w:ind w:hanging="1500"/>
      <w:jc w:val="both"/>
    </w:pPr>
    <w:rPr>
      <w:rFonts w:ascii="Times New Roman" w:eastAsiaTheme="minorHAnsi" w:hAnsi="Times New Roman" w:cstheme="minorBidi"/>
      <w:b/>
      <w:bCs/>
      <w:sz w:val="19"/>
      <w:szCs w:val="19"/>
      <w:lang w:val="uk-UA" w:eastAsia="en-GB"/>
    </w:rPr>
  </w:style>
  <w:style w:type="character" w:customStyle="1" w:styleId="afa">
    <w:name w:val="Основной текст + Курсив"/>
    <w:basedOn w:val="14"/>
    <w:uiPriority w:val="99"/>
    <w:rsid w:val="0097612F"/>
    <w:rPr>
      <w:rFonts w:ascii="Times New Roman" w:hAnsi="Times New Roman"/>
      <w:i/>
      <w:iCs/>
      <w:spacing w:val="0"/>
      <w:sz w:val="23"/>
      <w:szCs w:val="23"/>
      <w:shd w:val="clear" w:color="auto" w:fill="FFFFFF"/>
    </w:rPr>
  </w:style>
  <w:style w:type="character" w:customStyle="1" w:styleId="item">
    <w:name w:val="item"/>
    <w:basedOn w:val="a0"/>
    <w:rsid w:val="0097612F"/>
  </w:style>
  <w:style w:type="character" w:customStyle="1" w:styleId="rvts0">
    <w:name w:val="rvts0"/>
    <w:basedOn w:val="a0"/>
    <w:rsid w:val="0097612F"/>
  </w:style>
  <w:style w:type="paragraph" w:customStyle="1" w:styleId="rvps17">
    <w:name w:val="rvps17"/>
    <w:basedOn w:val="a"/>
    <w:rsid w:val="0097612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64">
    <w:name w:val="rvts64"/>
    <w:basedOn w:val="a0"/>
    <w:rsid w:val="0097612F"/>
  </w:style>
  <w:style w:type="paragraph" w:customStyle="1" w:styleId="rvps18">
    <w:name w:val="rvps18"/>
    <w:basedOn w:val="a"/>
    <w:rsid w:val="0097612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52">
    <w:name w:val="rvts52"/>
    <w:basedOn w:val="a0"/>
    <w:rsid w:val="0097612F"/>
  </w:style>
  <w:style w:type="paragraph" w:customStyle="1" w:styleId="rvps4">
    <w:name w:val="rvps4"/>
    <w:basedOn w:val="a"/>
    <w:rsid w:val="0097612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44">
    <w:name w:val="rvts44"/>
    <w:basedOn w:val="a0"/>
    <w:rsid w:val="0097612F"/>
  </w:style>
  <w:style w:type="paragraph" w:customStyle="1" w:styleId="rvps15">
    <w:name w:val="rvps15"/>
    <w:basedOn w:val="a"/>
    <w:rsid w:val="0097612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78">
    <w:name w:val="rvts78"/>
    <w:basedOn w:val="a0"/>
    <w:rsid w:val="0097612F"/>
  </w:style>
  <w:style w:type="character" w:customStyle="1" w:styleId="hard-blue-color">
    <w:name w:val="hard-blue-color"/>
    <w:basedOn w:val="a0"/>
    <w:rsid w:val="0097612F"/>
  </w:style>
  <w:style w:type="paragraph" w:customStyle="1" w:styleId="tj">
    <w:name w:val="tj"/>
    <w:basedOn w:val="a"/>
    <w:rsid w:val="0097612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d-none">
    <w:name w:val="d-none"/>
    <w:basedOn w:val="a0"/>
    <w:rsid w:val="0097612F"/>
  </w:style>
  <w:style w:type="character" w:customStyle="1" w:styleId="fontstyle11">
    <w:name w:val="fontstyle11"/>
    <w:basedOn w:val="a0"/>
    <w:rsid w:val="0097612F"/>
    <w:rPr>
      <w:rFonts w:ascii="TimesNewRoman" w:hAnsi="TimesNewRoman" w:hint="default"/>
      <w:b w:val="0"/>
      <w:bCs w:val="0"/>
      <w:i w:val="0"/>
      <w:iCs w:val="0"/>
      <w:color w:val="000000"/>
      <w:sz w:val="14"/>
      <w:szCs w:val="14"/>
    </w:rPr>
  </w:style>
  <w:style w:type="character" w:customStyle="1" w:styleId="customfontstyle">
    <w:name w:val="customfontstyle"/>
    <w:basedOn w:val="a0"/>
    <w:rsid w:val="0097612F"/>
  </w:style>
  <w:style w:type="character" w:customStyle="1" w:styleId="docdata">
    <w:name w:val="docdata"/>
    <w:aliases w:val="docy,v5,1719,baiaagaaboqcaaad8aqaaax+baaaaaaaaaaaaaaaaaaaaaaaaaaaaaaaaaaaaaaaaaaaaaaaaaaaaaaaaaaaaaaaaaaaaaaaaaaaaaaaaaaaaaaaaaaaaaaaaaaaaaaaaaaaaaaaaaaaaaaaaaaaaaaaaaaaaaaaaaaaaaaaaaaaaaaaaaaaaaaaaaaaaaaaaaaaaaaaaaaaaaaaaaaaaaaaaaaaaaaaaaaaaaaa"/>
    <w:basedOn w:val="a0"/>
    <w:rsid w:val="003651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3243214">
      <w:bodyDiv w:val="1"/>
      <w:marLeft w:val="0"/>
      <w:marRight w:val="0"/>
      <w:marTop w:val="0"/>
      <w:marBottom w:val="0"/>
      <w:divBdr>
        <w:top w:val="none" w:sz="0" w:space="0" w:color="auto"/>
        <w:left w:val="none" w:sz="0" w:space="0" w:color="auto"/>
        <w:bottom w:val="none" w:sz="0" w:space="0" w:color="auto"/>
        <w:right w:val="none" w:sz="0" w:space="0" w:color="auto"/>
      </w:divBdr>
    </w:div>
    <w:div w:id="816457975">
      <w:bodyDiv w:val="1"/>
      <w:marLeft w:val="0"/>
      <w:marRight w:val="0"/>
      <w:marTop w:val="0"/>
      <w:marBottom w:val="0"/>
      <w:divBdr>
        <w:top w:val="none" w:sz="0" w:space="0" w:color="auto"/>
        <w:left w:val="none" w:sz="0" w:space="0" w:color="auto"/>
        <w:bottom w:val="none" w:sz="0" w:space="0" w:color="auto"/>
        <w:right w:val="none" w:sz="0" w:space="0" w:color="auto"/>
      </w:divBdr>
    </w:div>
    <w:div w:id="921841267">
      <w:bodyDiv w:val="1"/>
      <w:marLeft w:val="0"/>
      <w:marRight w:val="0"/>
      <w:marTop w:val="0"/>
      <w:marBottom w:val="0"/>
      <w:divBdr>
        <w:top w:val="none" w:sz="0" w:space="0" w:color="auto"/>
        <w:left w:val="none" w:sz="0" w:space="0" w:color="auto"/>
        <w:bottom w:val="none" w:sz="0" w:space="0" w:color="auto"/>
        <w:right w:val="none" w:sz="0" w:space="0" w:color="auto"/>
      </w:divBdr>
    </w:div>
    <w:div w:id="1192106659">
      <w:bodyDiv w:val="1"/>
      <w:marLeft w:val="0"/>
      <w:marRight w:val="0"/>
      <w:marTop w:val="0"/>
      <w:marBottom w:val="0"/>
      <w:divBdr>
        <w:top w:val="none" w:sz="0" w:space="0" w:color="auto"/>
        <w:left w:val="none" w:sz="0" w:space="0" w:color="auto"/>
        <w:bottom w:val="none" w:sz="0" w:space="0" w:color="auto"/>
        <w:right w:val="none" w:sz="0" w:space="0" w:color="auto"/>
      </w:divBdr>
    </w:div>
    <w:div w:id="1935434401">
      <w:bodyDiv w:val="1"/>
      <w:marLeft w:val="0"/>
      <w:marRight w:val="0"/>
      <w:marTop w:val="0"/>
      <w:marBottom w:val="0"/>
      <w:divBdr>
        <w:top w:val="none" w:sz="0" w:space="0" w:color="auto"/>
        <w:left w:val="none" w:sz="0" w:space="0" w:color="auto"/>
        <w:bottom w:val="none" w:sz="0" w:space="0" w:color="auto"/>
        <w:right w:val="none" w:sz="0" w:space="0" w:color="auto"/>
      </w:divBdr>
    </w:div>
    <w:div w:id="1990090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ips.ligazakon.net/document/view/t124495?an=56" TargetMode="External"/><Relationship Id="rId18" Type="http://schemas.openxmlformats.org/officeDocument/2006/relationships/image" Target="media/image3.png"/><Relationship Id="rId26" Type="http://schemas.openxmlformats.org/officeDocument/2006/relationships/image" Target="media/image8.png"/><Relationship Id="rId39" Type="http://schemas.openxmlformats.org/officeDocument/2006/relationships/hyperlink" Target="https://zakon.rada.gov.ua/laws/show/1069-2016-%D0%BF" TargetMode="External"/><Relationship Id="rId3" Type="http://schemas.openxmlformats.org/officeDocument/2006/relationships/styles" Target="styles.xml"/><Relationship Id="rId21" Type="http://schemas.openxmlformats.org/officeDocument/2006/relationships/image" Target="media/image6.png"/><Relationship Id="rId34" Type="http://schemas.openxmlformats.org/officeDocument/2006/relationships/hyperlink" Target="https://zakon.rada.gov.ua/laws/show/z0924-02" TargetMode="External"/><Relationship Id="rId42" Type="http://schemas.openxmlformats.org/officeDocument/2006/relationships/hyperlink" Target="https://zakon.rada.gov.ua/laws/show/994-2003-%D0%BF" TargetMode="Externa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ips.ligazakon.net/document/view/t200440?ed=2020_01_14&amp;an=159" TargetMode="External"/><Relationship Id="rId17" Type="http://schemas.openxmlformats.org/officeDocument/2006/relationships/hyperlink" Target="https://zakon.rada.gov.ua/laws/show/265/95-%D0%B2%D1%80" TargetMode="External"/><Relationship Id="rId25" Type="http://schemas.openxmlformats.org/officeDocument/2006/relationships/hyperlink" Target="https://ips.ligazakon.net/document/view/t190202?ed=2019_10_17&amp;an=11" TargetMode="External"/><Relationship Id="rId33" Type="http://schemas.openxmlformats.org/officeDocument/2006/relationships/hyperlink" Target="https://zakon.rada.gov.ua/laws/show/z0923-02" TargetMode="External"/><Relationship Id="rId38" Type="http://schemas.openxmlformats.org/officeDocument/2006/relationships/image" Target="media/image11.pn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zakon.rada.gov.ua/laws/show/995_342" TargetMode="External"/><Relationship Id="rId20" Type="http://schemas.openxmlformats.org/officeDocument/2006/relationships/image" Target="media/image5.png"/><Relationship Id="rId29" Type="http://schemas.openxmlformats.org/officeDocument/2006/relationships/hyperlink" Target="https://zakon.rada.gov.ua/laws/show/2755-17" TargetMode="External"/><Relationship Id="rId41"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hyperlink" Target="https://ips.ligazakon.net/document/view/t190202?ed=2019_10_17&amp;an=10" TargetMode="External"/><Relationship Id="rId32" Type="http://schemas.openxmlformats.org/officeDocument/2006/relationships/image" Target="media/image9.png"/><Relationship Id="rId37" Type="http://schemas.openxmlformats.org/officeDocument/2006/relationships/image" Target="media/image10.png"/><Relationship Id="rId40" Type="http://schemas.openxmlformats.org/officeDocument/2006/relationships/hyperlink" Target="https://zakon.rada.gov.ua/laws/show/438-2017-%D0%BF" TargetMode="External"/><Relationship Id="rId45" Type="http://schemas.openxmlformats.org/officeDocument/2006/relationships/footer" Target="footer5.xml"/><Relationship Id="rId5" Type="http://schemas.openxmlformats.org/officeDocument/2006/relationships/webSettings" Target="webSettings.xml"/><Relationship Id="rId15" Type="http://schemas.openxmlformats.org/officeDocument/2006/relationships/hyperlink" Target="https://zakon.rada.gov.ua/laws/show/995_123" TargetMode="External"/><Relationship Id="rId23" Type="http://schemas.openxmlformats.org/officeDocument/2006/relationships/hyperlink" Target="https://ips.ligazakon.net/document/view/t190202?ed=2019_10_17&amp;an=9" TargetMode="External"/><Relationship Id="rId28" Type="http://schemas.openxmlformats.org/officeDocument/2006/relationships/hyperlink" Target="https://zakon.rada.gov.ua/laws/show/995_132" TargetMode="External"/><Relationship Id="rId36" Type="http://schemas.openxmlformats.org/officeDocument/2006/relationships/hyperlink" Target="https://zakon.rada.gov.ua/laws/show/z1246-16" TargetMode="External"/><Relationship Id="rId10" Type="http://schemas.openxmlformats.org/officeDocument/2006/relationships/footer" Target="footer3.xml"/><Relationship Id="rId19" Type="http://schemas.openxmlformats.org/officeDocument/2006/relationships/image" Target="media/image4.png"/><Relationship Id="rId31" Type="http://schemas.openxmlformats.org/officeDocument/2006/relationships/hyperlink" Target="https://zakon.rada.gov.ua/laws/show/438-2017-%D0%BF" TargetMode="Externa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2.png"/><Relationship Id="rId22" Type="http://schemas.openxmlformats.org/officeDocument/2006/relationships/image" Target="media/image7.png"/><Relationship Id="rId27" Type="http://schemas.openxmlformats.org/officeDocument/2006/relationships/hyperlink" Target="https://zakon.rada.gov.ua/laws/show/62-2013-%D0%BF" TargetMode="External"/><Relationship Id="rId30" Type="http://schemas.openxmlformats.org/officeDocument/2006/relationships/hyperlink" Target="https://zakon.rada.gov.ua/laws/show/377-20" TargetMode="External"/><Relationship Id="rId35" Type="http://schemas.openxmlformats.org/officeDocument/2006/relationships/hyperlink" Target="https://zakon.rada.gov.ua/laws/show/2704-19" TargetMode="External"/><Relationship Id="rId43" Type="http://schemas.openxmlformats.org/officeDocument/2006/relationships/image" Target="media/image1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0A5808-ED7D-4FA1-8941-C7DF5905B5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289</Pages>
  <Words>175916</Words>
  <Characters>1002727</Characters>
  <Application>Microsoft Office Word</Application>
  <DocSecurity>0</DocSecurity>
  <Lines>8356</Lines>
  <Paragraphs>2352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NMV KPI</Company>
  <LinksUpToDate>false</LinksUpToDate>
  <CharactersWithSpaces>1176291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dc:creator>
  <cp:lastModifiedBy>Acer</cp:lastModifiedBy>
  <cp:revision>8</cp:revision>
  <cp:lastPrinted>2023-04-15T10:01:00Z</cp:lastPrinted>
  <dcterms:created xsi:type="dcterms:W3CDTF">2023-04-17T10:25:00Z</dcterms:created>
  <dcterms:modified xsi:type="dcterms:W3CDTF">2023-05-11T14:26:00Z</dcterms:modified>
</cp:coreProperties>
</file>